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BDA268" w14:textId="77777777" w:rsidR="00957053" w:rsidRPr="0044524F" w:rsidRDefault="00957053" w:rsidP="009654CF">
      <w:pPr>
        <w:autoSpaceDE w:val="0"/>
        <w:autoSpaceDN w:val="0"/>
        <w:adjustRightInd w:val="0"/>
        <w:spacing w:after="0" w:line="240" w:lineRule="auto"/>
        <w:jc w:val="both"/>
        <w:rPr>
          <w:rFonts w:ascii="Times New Roman" w:hAnsi="Times New Roman"/>
          <w:b/>
          <w:bCs/>
          <w:color w:val="000000" w:themeColor="text1"/>
          <w:sz w:val="16"/>
          <w:szCs w:val="16"/>
        </w:rPr>
      </w:pPr>
      <w:r w:rsidRPr="0044524F">
        <w:rPr>
          <w:rFonts w:ascii="Times New Roman" w:hAnsi="Times New Roman"/>
          <w:b/>
          <w:bCs/>
          <w:color w:val="000000" w:themeColor="text1"/>
          <w:sz w:val="16"/>
          <w:szCs w:val="16"/>
        </w:rPr>
        <w:t>1933</w:t>
      </w:r>
    </w:p>
    <w:p w14:paraId="3A0C4A98" w14:textId="77777777" w:rsidR="002217A6" w:rsidRPr="0044524F" w:rsidRDefault="002217A6"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22C8A6B0" w14:textId="77777777" w:rsidR="008E59AC" w:rsidRPr="0044524F" w:rsidRDefault="008E59AC"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6AF6ED4" w14:textId="77777777" w:rsidR="008E59AC" w:rsidRPr="0044524F" w:rsidRDefault="008E59A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9391774"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1933 г. заложенные в начале пятилетки заводы давали в больших коли</w:t>
      </w:r>
      <w:r w:rsidRPr="00142305">
        <w:rPr>
          <w:rFonts w:ascii="Times New Roman" w:hAnsi="Times New Roman"/>
          <w:color w:val="0070C0"/>
          <w:sz w:val="16"/>
          <w:szCs w:val="16"/>
        </w:rPr>
        <w:softHyphen/>
        <w:t>чествах авиационную продукцию - истребители И-5, разведчики Р-5, бомбарди</w:t>
      </w:r>
      <w:r w:rsidRPr="00142305">
        <w:rPr>
          <w:rFonts w:ascii="Times New Roman" w:hAnsi="Times New Roman"/>
          <w:color w:val="0070C0"/>
          <w:sz w:val="16"/>
          <w:szCs w:val="16"/>
        </w:rPr>
        <w:softHyphen/>
        <w:t>ровщики ТБ-3, разработанные конструкторскими коллективами под руковод</w:t>
      </w:r>
      <w:r w:rsidRPr="00142305">
        <w:rPr>
          <w:rFonts w:ascii="Times New Roman" w:hAnsi="Times New Roman"/>
          <w:color w:val="0070C0"/>
          <w:sz w:val="16"/>
          <w:szCs w:val="16"/>
        </w:rPr>
        <w:softHyphen/>
        <w:t>ством А. Н. Туполева и Н. Н. Поликарпова (24968).</w:t>
      </w:r>
    </w:p>
    <w:p w14:paraId="0E458453" w14:textId="77777777" w:rsidR="009654CF" w:rsidRPr="00142305" w:rsidRDefault="009654CF" w:rsidP="009654CF">
      <w:pPr>
        <w:spacing w:after="0" w:line="240" w:lineRule="auto"/>
        <w:jc w:val="both"/>
        <w:rPr>
          <w:rFonts w:ascii="Times New Roman" w:hAnsi="Times New Roman"/>
          <w:color w:val="0070C0"/>
          <w:sz w:val="16"/>
          <w:szCs w:val="16"/>
        </w:rPr>
      </w:pPr>
    </w:p>
    <w:p w14:paraId="1BF22D0F"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1933 г. Р-5, спроектированный в середине 20-х годов, уже порядком устарел. Мировое самолетостроение быстро прогрессировало, а наш разведчик изменился мало (24990).</w:t>
      </w:r>
    </w:p>
    <w:p w14:paraId="34B7682D" w14:textId="77777777" w:rsidR="009654CF" w:rsidRPr="00142305" w:rsidRDefault="009654CF" w:rsidP="009654CF">
      <w:pPr>
        <w:spacing w:after="0" w:line="240" w:lineRule="auto"/>
        <w:jc w:val="both"/>
        <w:rPr>
          <w:rFonts w:ascii="Times New Roman" w:hAnsi="Times New Roman"/>
          <w:color w:val="0070C0"/>
          <w:sz w:val="16"/>
          <w:szCs w:val="16"/>
        </w:rPr>
      </w:pPr>
    </w:p>
    <w:p w14:paraId="3DAA5D92"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1933 г. на вооружение поступили торпеды ТАН-12 для низкого торпедометания (с бреющего полета) и ТАВ- 15 для сброса с парашютами, а также авиационная мина МАВ-1 (ВОМИЗА-100). Для торпедоносцев сконструи</w:t>
      </w:r>
      <w:r w:rsidRPr="00142305">
        <w:rPr>
          <w:rFonts w:ascii="Times New Roman" w:hAnsi="Times New Roman"/>
          <w:color w:val="0070C0"/>
          <w:sz w:val="16"/>
          <w:szCs w:val="16"/>
        </w:rPr>
        <w:softHyphen/>
        <w:t>ровали несколько типов специальных прицелов. К этому времени сформировали две минно-торпедных эскадри</w:t>
      </w:r>
      <w:r w:rsidRPr="00142305">
        <w:rPr>
          <w:rFonts w:ascii="Times New Roman" w:hAnsi="Times New Roman"/>
          <w:color w:val="0070C0"/>
          <w:sz w:val="16"/>
          <w:szCs w:val="16"/>
        </w:rPr>
        <w:softHyphen/>
        <w:t>льи (на Балтийском флоте и на Тихом океане) и один от</w:t>
      </w:r>
      <w:r w:rsidRPr="00142305">
        <w:rPr>
          <w:rFonts w:ascii="Times New Roman" w:hAnsi="Times New Roman"/>
          <w:color w:val="0070C0"/>
          <w:sz w:val="16"/>
          <w:szCs w:val="16"/>
        </w:rPr>
        <w:softHyphen/>
        <w:t>дельный отряд (на Черном море). Все они оснащались са</w:t>
      </w:r>
      <w:r w:rsidRPr="00142305">
        <w:rPr>
          <w:rFonts w:ascii="Times New Roman" w:hAnsi="Times New Roman"/>
          <w:color w:val="0070C0"/>
          <w:sz w:val="16"/>
          <w:szCs w:val="16"/>
        </w:rPr>
        <w:softHyphen/>
        <w:t>молетами ТБ-1 в сухопутном или поплавковом варианте.</w:t>
      </w:r>
    </w:p>
    <w:p w14:paraId="4BD48B5F"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из-за значительного веса ТБ-1 обладал недостаточ</w:t>
      </w:r>
      <w:r w:rsidRPr="00142305">
        <w:rPr>
          <w:rFonts w:ascii="Times New Roman" w:hAnsi="Times New Roman"/>
          <w:color w:val="0070C0"/>
          <w:sz w:val="16"/>
          <w:szCs w:val="16"/>
        </w:rPr>
        <w:softHyphen/>
        <w:t>ной маневренностью. Ему больше подходили постановка мин и высотное торпедометание. В качестве низкого тор</w:t>
      </w:r>
      <w:r w:rsidRPr="00142305">
        <w:rPr>
          <w:rFonts w:ascii="Times New Roman" w:hAnsi="Times New Roman"/>
          <w:color w:val="0070C0"/>
          <w:sz w:val="16"/>
          <w:szCs w:val="16"/>
        </w:rPr>
        <w:softHyphen/>
        <w:t>педоносца этот довольно тихоходный и неуклюжий самолет казался весьма уязвимым. Кроме того, он был тех</w:t>
      </w:r>
      <w:r w:rsidRPr="00142305">
        <w:rPr>
          <w:rFonts w:ascii="Times New Roman" w:hAnsi="Times New Roman"/>
          <w:color w:val="0070C0"/>
          <w:sz w:val="16"/>
          <w:szCs w:val="16"/>
        </w:rPr>
        <w:softHyphen/>
        <w:t>нологически сложен (по тому времени) и стоил недеше</w:t>
      </w:r>
      <w:r w:rsidRPr="00142305">
        <w:rPr>
          <w:rFonts w:ascii="Times New Roman" w:hAnsi="Times New Roman"/>
          <w:color w:val="0070C0"/>
          <w:sz w:val="16"/>
          <w:szCs w:val="16"/>
        </w:rPr>
        <w:softHyphen/>
        <w:t>во. ВВС РККА, в которые тогда организационно входила морская авиация, требовалось что-нибудь попроще и по</w:t>
      </w:r>
      <w:r w:rsidRPr="00142305">
        <w:rPr>
          <w:rFonts w:ascii="Times New Roman" w:hAnsi="Times New Roman"/>
          <w:color w:val="0070C0"/>
          <w:sz w:val="16"/>
          <w:szCs w:val="16"/>
        </w:rPr>
        <w:softHyphen/>
        <w:t>дешевле для нужд береговой обороны, в первую очередь, на Дальнем Востоке, где нужно было хоть что-то противо</w:t>
      </w:r>
      <w:r w:rsidRPr="00142305">
        <w:rPr>
          <w:rFonts w:ascii="Times New Roman" w:hAnsi="Times New Roman"/>
          <w:color w:val="0070C0"/>
          <w:sz w:val="16"/>
          <w:szCs w:val="16"/>
        </w:rPr>
        <w:softHyphen/>
        <w:t>поставить сильному японскому флоту.</w:t>
      </w:r>
    </w:p>
    <w:p w14:paraId="33F3937B"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Выбор пал на Р-5. Новое предложение переделать его в торпедоносец выдвинул В.С. Коннэрт, начальник отде</w:t>
      </w:r>
      <w:r w:rsidRPr="00142305">
        <w:rPr>
          <w:rFonts w:ascii="Times New Roman" w:hAnsi="Times New Roman"/>
          <w:color w:val="0070C0"/>
          <w:sz w:val="16"/>
          <w:szCs w:val="16"/>
        </w:rPr>
        <w:softHyphen/>
        <w:t>ла вооружения УВВС (24990).</w:t>
      </w:r>
    </w:p>
    <w:p w14:paraId="226D929A" w14:textId="77777777" w:rsidR="009654CF" w:rsidRPr="00142305" w:rsidRDefault="009654CF" w:rsidP="009654CF">
      <w:pPr>
        <w:spacing w:after="0" w:line="240" w:lineRule="auto"/>
        <w:jc w:val="both"/>
        <w:rPr>
          <w:rFonts w:ascii="Times New Roman" w:hAnsi="Times New Roman"/>
          <w:color w:val="0070C0"/>
          <w:sz w:val="16"/>
          <w:szCs w:val="16"/>
        </w:rPr>
      </w:pPr>
    </w:p>
    <w:p w14:paraId="609DEB45"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1933 год в структуру ОСГА входили аэросанный конструктор</w:t>
      </w:r>
      <w:r w:rsidRPr="00142305">
        <w:rPr>
          <w:rFonts w:ascii="Times New Roman" w:hAnsi="Times New Roman"/>
          <w:color w:val="0070C0"/>
          <w:sz w:val="16"/>
          <w:szCs w:val="16"/>
        </w:rPr>
        <w:softHyphen/>
        <w:t>ский отдел, глиссерный конструкторский отдел, опытное и серийное производ</w:t>
      </w:r>
      <w:r w:rsidRPr="00142305">
        <w:rPr>
          <w:rFonts w:ascii="Times New Roman" w:hAnsi="Times New Roman"/>
          <w:color w:val="0070C0"/>
          <w:sz w:val="16"/>
          <w:szCs w:val="16"/>
        </w:rPr>
        <w:softHyphen/>
        <w:t>ство. Глиссерский отдел возглавлял В.А. Гартвиг, а аэросанным подразделе</w:t>
      </w:r>
      <w:r w:rsidRPr="00142305">
        <w:rPr>
          <w:rFonts w:ascii="Times New Roman" w:hAnsi="Times New Roman"/>
          <w:color w:val="0070C0"/>
          <w:sz w:val="16"/>
          <w:szCs w:val="16"/>
        </w:rPr>
        <w:softHyphen/>
        <w:t>нием руководил И.Н. Ювенальев. В их подчинении находились бригады по проектам (машинам). В ОСГА работали К. Белокопытов, И. Четвериков, Н. Неве</w:t>
      </w:r>
      <w:r w:rsidRPr="00142305">
        <w:rPr>
          <w:rFonts w:ascii="Times New Roman" w:hAnsi="Times New Roman"/>
          <w:color w:val="0070C0"/>
          <w:sz w:val="16"/>
          <w:szCs w:val="16"/>
        </w:rPr>
        <w:softHyphen/>
        <w:t>ров, А. Кузнецов, Н. Васильев, С. Коро</w:t>
      </w:r>
      <w:r w:rsidRPr="00142305">
        <w:rPr>
          <w:rFonts w:ascii="Times New Roman" w:hAnsi="Times New Roman"/>
          <w:color w:val="0070C0"/>
          <w:sz w:val="16"/>
          <w:szCs w:val="16"/>
        </w:rPr>
        <w:softHyphen/>
        <w:t>стелев, П. Смехов, В. Дзякевич, братья Габель, М. Фрид, И. Тышкевич, ино</w:t>
      </w:r>
      <w:r w:rsidRPr="00142305">
        <w:rPr>
          <w:rFonts w:ascii="Times New Roman" w:hAnsi="Times New Roman"/>
          <w:color w:val="0070C0"/>
          <w:sz w:val="16"/>
          <w:szCs w:val="16"/>
        </w:rPr>
        <w:softHyphen/>
        <w:t>странный инженер Фукс и др. Помимо собственного отдельного сарая, отделом использовались территория двора НИИ ГВФ и цеха завода опытного самолето</w:t>
      </w:r>
      <w:r w:rsidRPr="00142305">
        <w:rPr>
          <w:rFonts w:ascii="Times New Roman" w:hAnsi="Times New Roman"/>
          <w:color w:val="0070C0"/>
          <w:sz w:val="16"/>
          <w:szCs w:val="16"/>
        </w:rPr>
        <w:softHyphen/>
        <w:t>строения. Параллельно развитию ОСГА проходил реконструкцию и ООС, кото</w:t>
      </w:r>
      <w:r w:rsidRPr="00142305">
        <w:rPr>
          <w:rFonts w:ascii="Times New Roman" w:hAnsi="Times New Roman"/>
          <w:color w:val="0070C0"/>
          <w:sz w:val="16"/>
          <w:szCs w:val="16"/>
        </w:rPr>
        <w:softHyphen/>
        <w:t>рый также получил самостоятельность и стал именоваться как «Завод № 89». Фи</w:t>
      </w:r>
      <w:r w:rsidRPr="00142305">
        <w:rPr>
          <w:rFonts w:ascii="Times New Roman" w:hAnsi="Times New Roman"/>
          <w:color w:val="0070C0"/>
          <w:sz w:val="16"/>
          <w:szCs w:val="16"/>
        </w:rPr>
        <w:softHyphen/>
        <w:t>нансирование отдела осуществлялось за счет как госбюджетных средств (от ГВФ, военного и чекисткого ведомств), так и привлеченных, собранных обществом «Автодор». Часть работ ОСГА выполнял по прямым хозяйственным договорам с отдельными учреждениями.</w:t>
      </w:r>
    </w:p>
    <w:p w14:paraId="2557A14A"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Конструкторская деятельность ОСГА велась по нескольким так называемым «линиям»: линии аэросаней на 2 места, 7 и 12 мест; линия глиссеров с воз</w:t>
      </w:r>
      <w:r w:rsidRPr="00142305">
        <w:rPr>
          <w:rFonts w:ascii="Times New Roman" w:hAnsi="Times New Roman"/>
          <w:color w:val="0070C0"/>
          <w:sz w:val="16"/>
          <w:szCs w:val="16"/>
        </w:rPr>
        <w:softHyphen/>
        <w:t>душными винтами; линия мореходных глиссеров с водяными винтами; линия научно-исследовательских работ.</w:t>
      </w:r>
    </w:p>
    <w:p w14:paraId="2DD36AF3"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отделе была принята система нумерации, при которой глиссеры по</w:t>
      </w:r>
      <w:r w:rsidRPr="00142305">
        <w:rPr>
          <w:rFonts w:ascii="Times New Roman" w:hAnsi="Times New Roman"/>
          <w:color w:val="0070C0"/>
          <w:sz w:val="16"/>
          <w:szCs w:val="16"/>
        </w:rPr>
        <w:softHyphen/>
        <w:t>лучали нечетные номера, а аэросани четные. В общей сложности в ОСГА СНИИ ГВФ спроектировали 13 моделей глиссеров, пять моделей аэросаней, а также построили самолет для под</w:t>
      </w:r>
      <w:r w:rsidRPr="00142305">
        <w:rPr>
          <w:rFonts w:ascii="Times New Roman" w:hAnsi="Times New Roman"/>
          <w:color w:val="0070C0"/>
          <w:sz w:val="16"/>
          <w:szCs w:val="16"/>
        </w:rPr>
        <w:softHyphen/>
        <w:t>водной лодки ОСГА-101 конструкции И.В. Четверикова (24914).</w:t>
      </w:r>
    </w:p>
    <w:p w14:paraId="22BAC8AB" w14:textId="77777777" w:rsidR="009654CF" w:rsidRPr="00142305" w:rsidRDefault="009654CF" w:rsidP="009654CF">
      <w:pPr>
        <w:spacing w:after="0" w:line="240" w:lineRule="auto"/>
        <w:jc w:val="both"/>
        <w:rPr>
          <w:rFonts w:ascii="Times New Roman" w:hAnsi="Times New Roman"/>
          <w:color w:val="0070C0"/>
          <w:sz w:val="16"/>
          <w:szCs w:val="16"/>
        </w:rPr>
      </w:pPr>
    </w:p>
    <w:p w14:paraId="6836A944" w14:textId="72F05439" w:rsidR="008E59AC" w:rsidRPr="0044524F" w:rsidRDefault="008E59A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1933 г. на вооружение поступили торпеды ТАН-12 для низкого торпедометания (с бреющего полета) и ТАВ- 15 для сброса с парашютами, а также авиационная мина МАВ-1 (ВОМИЗА-</w:t>
      </w:r>
      <w:r w:rsidR="0044524F">
        <w:rPr>
          <w:rFonts w:ascii="Times New Roman" w:hAnsi="Times New Roman"/>
          <w:color w:val="000000" w:themeColor="text1"/>
          <w:sz w:val="16"/>
          <w:szCs w:val="16"/>
        </w:rPr>
        <w:t>100</w:t>
      </w:r>
      <w:r w:rsidRPr="0044524F">
        <w:rPr>
          <w:rFonts w:ascii="Times New Roman" w:hAnsi="Times New Roman"/>
          <w:color w:val="000000" w:themeColor="text1"/>
          <w:sz w:val="16"/>
          <w:szCs w:val="16"/>
        </w:rPr>
        <w:t>). Для торпедоносцев сконструировали несколько типов специальных прицелов. К этому времени сформировали две минно-торпедных эскадрильи (на Балтийском флоте и на Тихом океане) и один отдельный отряд (на Черном море). Все они оснащались самолетами ТБ-1 в сухопутном или поплавковом варианте.</w:t>
      </w:r>
    </w:p>
    <w:p w14:paraId="140881D4" w14:textId="77777777" w:rsidR="008E59AC" w:rsidRPr="0044524F" w:rsidRDefault="008E59A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из-за значительного веса ТБ-1 обладал недостаточной маневренностью. Ему больше подходили постановка мин и высотное торпедометание. В качестве низкого торпедоносца этот довольно тихоходный и неуклюжий самолет казался весьма уязвимым. Кроме того, он был технологически сложен (по тому времени) и стоил недешево. ВВС РККА, в которые тогда организационно входила морская авиация, требовалось что-нибудь попроще и подешевле для нужд береговой обороны, в первую очередь, на Дальнем Востоке, где нужно было хоть что-то противопоставить сильному японскому флоту.</w:t>
      </w:r>
    </w:p>
    <w:p w14:paraId="2569599D" w14:textId="77777777" w:rsidR="008E59AC" w:rsidRPr="0044524F" w:rsidRDefault="008E59A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Выбор пал на Р-5. Новое предложение переделать его в торпедоносец выдвинул B.C. Коннэрг, начальник отдела вооружения УВВС. 9 июля 1933 г.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(12034).</w:t>
      </w:r>
    </w:p>
    <w:p w14:paraId="559FAD55" w14:textId="77777777" w:rsidR="008E59AC" w:rsidRPr="0044524F" w:rsidRDefault="008E59AC" w:rsidP="009654CF">
      <w:pPr>
        <w:autoSpaceDE w:val="0"/>
        <w:autoSpaceDN w:val="0"/>
        <w:adjustRightInd w:val="0"/>
        <w:spacing w:after="0" w:line="240" w:lineRule="auto"/>
        <w:jc w:val="both"/>
        <w:rPr>
          <w:rFonts w:ascii="Times New Roman" w:hAnsi="Times New Roman"/>
          <w:color w:val="000000" w:themeColor="text1"/>
          <w:sz w:val="16"/>
          <w:szCs w:val="16"/>
        </w:rPr>
      </w:pPr>
    </w:p>
    <w:p w14:paraId="0D8609DB" w14:textId="77777777" w:rsidR="008E59AC" w:rsidRPr="0044524F" w:rsidRDefault="008E59A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1933 г. можно отнести первый опыт в создании ракетных агитационных боеприпасов. Тогда в ГДЛ УВИ НВ РККА для стрелковых подраз</w:t>
      </w:r>
      <w:r w:rsidRPr="0044524F">
        <w:rPr>
          <w:rFonts w:ascii="Times New Roman" w:hAnsi="Times New Roman"/>
          <w:color w:val="000000" w:themeColor="text1"/>
          <w:sz w:val="16"/>
          <w:szCs w:val="16"/>
        </w:rPr>
        <w:softHyphen/>
        <w:t>делений РККА разработали полевой 74-мм универсальный ракетный снаряд РС-74-О и А модели 1330 осветительного и агитационного дейст</w:t>
      </w:r>
      <w:r w:rsidRPr="0044524F">
        <w:rPr>
          <w:rFonts w:ascii="Times New Roman" w:hAnsi="Times New Roman"/>
          <w:color w:val="000000" w:themeColor="text1"/>
          <w:sz w:val="16"/>
          <w:szCs w:val="16"/>
        </w:rPr>
        <w:softHyphen/>
        <w:t>вия. У читателя может создаться впечатление, что при этом в ОГПУ за</w:t>
      </w:r>
      <w:r w:rsidRPr="0044524F">
        <w:rPr>
          <w:rFonts w:ascii="Times New Roman" w:hAnsi="Times New Roman"/>
          <w:color w:val="000000" w:themeColor="text1"/>
          <w:sz w:val="16"/>
          <w:szCs w:val="16"/>
        </w:rPr>
        <w:softHyphen/>
        <w:t>ботились о том, чтобы их листовки и агитлитературу в окопах читали круглосуточно. Вовсе нет. Просто, алгоритмы действия пиротехническо</w:t>
      </w:r>
      <w:r w:rsidRPr="0044524F">
        <w:rPr>
          <w:rFonts w:ascii="Times New Roman" w:hAnsi="Times New Roman"/>
          <w:color w:val="000000" w:themeColor="text1"/>
          <w:sz w:val="16"/>
          <w:szCs w:val="16"/>
        </w:rPr>
        <w:softHyphen/>
        <w:t>го распаковщика контейнера с листовками или с осветительным факелом были аналогичны. Поэтому конструкторы к одному двигателю раз</w:t>
      </w:r>
      <w:r w:rsidRPr="0044524F">
        <w:rPr>
          <w:rFonts w:ascii="Times New Roman" w:hAnsi="Times New Roman"/>
          <w:color w:val="000000" w:themeColor="text1"/>
          <w:sz w:val="16"/>
          <w:szCs w:val="16"/>
        </w:rPr>
        <w:softHyphen/>
        <w:t>рабатывали сразу две разнотипных БЧ.</w:t>
      </w:r>
    </w:p>
    <w:p w14:paraId="6A34CFBA" w14:textId="77777777" w:rsidR="008E59AC" w:rsidRPr="0044524F" w:rsidRDefault="008E59A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Проектировал этот боеприпас В.А.Артемьев, конструировал, по-види</w:t>
      </w:r>
      <w:r w:rsidRPr="0044524F">
        <w:rPr>
          <w:rFonts w:ascii="Times New Roman" w:hAnsi="Times New Roman"/>
          <w:color w:val="000000" w:themeColor="text1"/>
          <w:sz w:val="16"/>
          <w:szCs w:val="16"/>
        </w:rPr>
        <w:softHyphen/>
        <w:t>мому, Л.Э.Шварц (подпись на чертеже неразборчива), чертежи исполни.1 Б.Андерсон, а утвердил 17 июля 1933 г. Г.Э.Лангемак. Если придерживать</w:t>
      </w:r>
      <w:r w:rsidRPr="0044524F">
        <w:rPr>
          <w:rFonts w:ascii="Times New Roman" w:hAnsi="Times New Roman"/>
          <w:color w:val="000000" w:themeColor="text1"/>
          <w:sz w:val="16"/>
          <w:szCs w:val="16"/>
        </w:rPr>
        <w:softHyphen/>
        <w:t>ся устоявшихся авиационных традиций, когда калибр РС измеряют по диаметру корпуса двигателя, то РС-74А можно отнести к надкалиберному боеприпасу. То есть, в основе его силовой установки был использован уд</w:t>
      </w:r>
      <w:r w:rsidRPr="0044524F">
        <w:rPr>
          <w:rFonts w:ascii="Times New Roman" w:hAnsi="Times New Roman"/>
          <w:color w:val="000000" w:themeColor="text1"/>
          <w:sz w:val="16"/>
          <w:szCs w:val="16"/>
        </w:rPr>
        <w:softHyphen/>
        <w:t>линенный вариант двигателя от ТРС-68С и ТРС-68Т с наибольшим диа</w:t>
      </w:r>
      <w:r w:rsidRPr="0044524F">
        <w:rPr>
          <w:rFonts w:ascii="Times New Roman" w:hAnsi="Times New Roman"/>
          <w:color w:val="000000" w:themeColor="text1"/>
          <w:sz w:val="16"/>
          <w:szCs w:val="16"/>
        </w:rPr>
        <w:softHyphen/>
        <w:t>метром 68 мм. Однако, боковые тангенциальные отверстия у РС-74А от</w:t>
      </w:r>
      <w:r w:rsidRPr="0044524F">
        <w:rPr>
          <w:rFonts w:ascii="Times New Roman" w:hAnsi="Times New Roman"/>
          <w:color w:val="000000" w:themeColor="text1"/>
          <w:sz w:val="16"/>
          <w:szCs w:val="16"/>
        </w:rPr>
        <w:softHyphen/>
        <w:t>сутствовали, а стабилизировался снаряд на траектории оперением минометного типа с восемью крыльями размахом 106 мм.</w:t>
      </w:r>
    </w:p>
    <w:p w14:paraId="0712031E" w14:textId="77777777" w:rsidR="008E59AC" w:rsidRPr="0044524F" w:rsidRDefault="008E59A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любопытно, его крепили заклепками к цилиндрической трубке, установленной в хвостовой части боеприпаса за сопловым срезом. Таким образом, выпускную часть сопла удлинили цилиндрической «уравни</w:t>
      </w:r>
      <w:r w:rsidRPr="0044524F">
        <w:rPr>
          <w:rFonts w:ascii="Times New Roman" w:hAnsi="Times New Roman"/>
          <w:color w:val="000000" w:themeColor="text1"/>
          <w:sz w:val="16"/>
          <w:szCs w:val="16"/>
        </w:rPr>
        <w:softHyphen/>
        <w:t>тельной частью». Теоретически давление продуктов горения РЗ на срезе сопла должно было соответствовать атмосферному, поэтому удлинять его цилиндрической трубкой можно было без проблем. Однако, у РС-74 в стенках выпускного цилиндра были выполнены четыре прямых сквоз</w:t>
      </w:r>
      <w:r w:rsidRPr="0044524F">
        <w:rPr>
          <w:rFonts w:ascii="Times New Roman" w:hAnsi="Times New Roman"/>
          <w:color w:val="000000" w:themeColor="text1"/>
          <w:sz w:val="16"/>
          <w:szCs w:val="16"/>
        </w:rPr>
        <w:softHyphen/>
        <w:t>ных отверстия диаметром 6 мм. Подобным элементом обладала и 1000-кг воздушно-реактивная торпеда конструкции инженера Тверского (о ней речь пойдет ниже) (11402).</w:t>
      </w:r>
    </w:p>
    <w:p w14:paraId="590E42A1" w14:textId="77777777" w:rsidR="008E59AC" w:rsidRPr="0044524F" w:rsidRDefault="008E59A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9EA43F"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1933 г. при участии комитета содействия дирижаблестроению собрали свыше 27 млн ру</w:t>
      </w:r>
      <w:r w:rsidRPr="0044524F">
        <w:rPr>
          <w:rFonts w:ascii="Times New Roman" w:hAnsi="Times New Roman"/>
          <w:color w:val="000000" w:themeColor="text1"/>
          <w:sz w:val="16"/>
          <w:szCs w:val="16"/>
        </w:rPr>
        <w:softHyphen/>
        <w:t>блей. Работа комитета продолжалась до октя</w:t>
      </w:r>
      <w:r w:rsidRPr="0044524F">
        <w:rPr>
          <w:rFonts w:ascii="Times New Roman" w:hAnsi="Times New Roman"/>
          <w:color w:val="000000" w:themeColor="text1"/>
          <w:sz w:val="16"/>
          <w:szCs w:val="16"/>
        </w:rPr>
        <w:softHyphen/>
        <w:t>бря 1932 г., когда, чтобы избежать параллелизма с «Дирижаблестроем», его преобразовали в ко</w:t>
      </w:r>
      <w:r w:rsidRPr="0044524F">
        <w:rPr>
          <w:rFonts w:ascii="Times New Roman" w:hAnsi="Times New Roman"/>
          <w:color w:val="000000" w:themeColor="text1"/>
          <w:sz w:val="16"/>
          <w:szCs w:val="16"/>
        </w:rPr>
        <w:softHyphen/>
        <w:t>миссию по шефству над эскадрой дирижаблей имени Ленина (20120).</w:t>
      </w:r>
    </w:p>
    <w:p w14:paraId="1A0FBDFC" w14:textId="77777777" w:rsidR="008E59AC" w:rsidRPr="0044524F" w:rsidRDefault="008E59AC" w:rsidP="009654CF">
      <w:pPr>
        <w:spacing w:after="0" w:line="240" w:lineRule="auto"/>
        <w:jc w:val="both"/>
        <w:rPr>
          <w:rFonts w:ascii="Times New Roman" w:hAnsi="Times New Roman"/>
          <w:color w:val="000000" w:themeColor="text1"/>
          <w:sz w:val="16"/>
          <w:szCs w:val="16"/>
        </w:rPr>
      </w:pPr>
    </w:p>
    <w:p w14:paraId="68F82FC1"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К 1933 году народные деньги, собранные эскадру дирижаблей имени Ленина, кончились. Дирижаблестрой перевели на чисто бюджетное финансирование, а государственные средства всегда выделяли неохотно, да и к неумеренным тратам относились весьма неодобрительно (23192).</w:t>
      </w:r>
    </w:p>
    <w:p w14:paraId="144CFCB2" w14:textId="77777777" w:rsidR="008E59AC" w:rsidRPr="0044524F" w:rsidRDefault="008E59AC" w:rsidP="009654CF">
      <w:pPr>
        <w:spacing w:after="0" w:line="240" w:lineRule="auto"/>
        <w:jc w:val="both"/>
        <w:rPr>
          <w:rFonts w:ascii="Times New Roman" w:hAnsi="Times New Roman"/>
          <w:color w:val="000000" w:themeColor="text1"/>
          <w:sz w:val="16"/>
          <w:szCs w:val="16"/>
        </w:rPr>
      </w:pPr>
    </w:p>
    <w:p w14:paraId="3D3E0734" w14:textId="77777777" w:rsidR="008E59AC" w:rsidRPr="0044524F" w:rsidRDefault="008E59AC"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FA71FFF" w14:textId="77777777" w:rsidR="008E59AC" w:rsidRPr="0044524F" w:rsidRDefault="008E59A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E0132B5"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1933 году был изготовлен опытный образец облегченного 25-мм автомата, автоматика которого основывалась на смасштабированной конструкции пулемета Дегтярева. Помимо В. А. Дегтярева в разработке также участвовали А. С. Кладов и Г. С. Шпагин. В пушке использовался как секторный магазин емкостью 7 патронов, так и барабанный на 12 патронов.</w:t>
      </w:r>
    </w:p>
    <w:p w14:paraId="7F031919"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Данных по системе, получившей внутризаводской индекс «Образец 3-4», к сожалению, не сохра</w:t>
      </w:r>
      <w:r w:rsidRPr="00142305">
        <w:rPr>
          <w:rFonts w:ascii="Times New Roman" w:hAnsi="Times New Roman"/>
          <w:color w:val="0070C0"/>
          <w:sz w:val="16"/>
          <w:szCs w:val="16"/>
        </w:rPr>
        <w:softHyphen/>
        <w:t>нилось. Ввиду сложности работ и неотработанности патрона к концу 1933 года работы над 25-мм автоматом были свернуты в пользу более легких 20-мм систем.</w:t>
      </w:r>
    </w:p>
    <w:p w14:paraId="34E6E1FF"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тот период времени во многих странах концепция 20-мм универсального автомата, пригодного для зенитного, танкового, противотанкового и авиационного использования, была весьма популяр</w:t>
      </w:r>
      <w:r w:rsidRPr="00142305">
        <w:rPr>
          <w:rFonts w:ascii="Times New Roman" w:hAnsi="Times New Roman"/>
          <w:color w:val="0070C0"/>
          <w:sz w:val="16"/>
          <w:szCs w:val="16"/>
        </w:rPr>
        <w:softHyphen/>
        <w:t>на. Легкие, компактные и скорострельные 20-мм автоматы в начале 30-х годов были способны уверенно поражать практически любые цели – танки, бронемашины, самолеты и живую силу противника.</w:t>
      </w:r>
    </w:p>
    <w:p w14:paraId="1878CEAD" w14:textId="77777777" w:rsidR="009654CF" w:rsidRPr="00142305" w:rsidRDefault="009654CF" w:rsidP="009654C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Работу по созданию подобной системы в КБ-2 в 1932 году была поручена опытному инженеру Яну Яновичу Атслега, латышу по национальности. Первоначально планировалась разработка и собст</w:t>
      </w:r>
      <w:r w:rsidRPr="00142305">
        <w:rPr>
          <w:rFonts w:ascii="Times New Roman" w:hAnsi="Times New Roman"/>
          <w:color w:val="0070C0"/>
          <w:sz w:val="16"/>
          <w:szCs w:val="16"/>
        </w:rPr>
        <w:softHyphen/>
        <w:t>венного патрона, но в августе того же года АУ РККА предложило использовать мощный патрон немец</w:t>
      </w:r>
      <w:r w:rsidRPr="00142305">
        <w:rPr>
          <w:rFonts w:ascii="Times New Roman" w:hAnsi="Times New Roman"/>
          <w:color w:val="0070C0"/>
          <w:sz w:val="16"/>
          <w:szCs w:val="16"/>
        </w:rPr>
        <w:softHyphen/>
        <w:t>кой зенитки 2 cm FlaK 30 фирмы Рейнметалл, более известный сейчас как «Длинный Солотурн» – 20×138В мм, производственную линию под которые планировалось закупить у немцев. Это несколько облегчало задачу. Патрон был хорошо отработан в производстве, обладал великолепной баллистикой и был достаточно распространен в мире (25392).</w:t>
      </w:r>
    </w:p>
    <w:p w14:paraId="6D9D90EC" w14:textId="77777777" w:rsidR="009654CF" w:rsidRPr="00142305" w:rsidRDefault="009654CF" w:rsidP="009654CF">
      <w:pPr>
        <w:spacing w:after="0" w:line="240" w:lineRule="auto"/>
        <w:jc w:val="both"/>
        <w:rPr>
          <w:rFonts w:ascii="Times New Roman" w:hAnsi="Times New Roman"/>
          <w:color w:val="0070C0"/>
          <w:sz w:val="16"/>
          <w:szCs w:val="16"/>
        </w:rPr>
      </w:pPr>
    </w:p>
    <w:p w14:paraId="0E13783B"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1933 году у специалистов мастерской склада № 60 был готов улучшенный вариант легкой бронеплощадки ПЛ-35. В качестве базы теперь использовалась рама 50-тонного четырехосного вагона на тележках «Даймонд». В СССР производство таких вагонов было налажено на брянском заводе «Красный Профинтерн». Бронирование площадки было сделано комбинированным — снаружи 5-мм броневой лист, внутри 12-мм лист обычной стали, а между ними воздушный зазор. Крепились листы к каркасу из металлического профиля при помощи болтов. Существенно упростили технологию изготовления орудийных башен — вместо круглых </w:t>
      </w:r>
      <w:r w:rsidRPr="0044524F">
        <w:rPr>
          <w:rFonts w:ascii="Times New Roman" w:hAnsi="Times New Roman"/>
          <w:color w:val="000000" w:themeColor="text1"/>
          <w:sz w:val="16"/>
          <w:szCs w:val="16"/>
        </w:rPr>
        <w:lastRenderedPageBreak/>
        <w:t>они стали гранеными. Башни изготавливали из плоских 15-мм бронелистов, соединявшихся между собой сваркой. Такой же конструкции была и башенка для наблюдения и орудийной панорамы на крыше башни. Вращение башни осуществлялось вручную. Командирская шестигранная башенка, располагавшаяся посреди крыши вагона, также сваривалась из плоских броневых листов. В ней смонтировали танковую панораму ПТК, что существенно улучшило возможности по наблюдению за полем боя. Вместо пулеметных установок с раздельным наведением в горизонтальной и вертикальной плоскостях все пулеметы (в том числе и в башнях) теперь крепились в шаровых установках. Были увеличены углы обстрела пулеметов, а их стволы прикрыли бронированным кожухом. Более рационально была размещена боеукладка, в результате возимый боезапас увеличился до 560 снарядов и 30 000 патронов. В вагоне было установлено 10 аккумуляторов для обеспечения аварийного освещения. Общая длина площадки составляла 14,2 м, нагрузка на ось не превышала 17,5 тонн, а экипаж составлял 24 человека. Благодаря более плотной компоновке удалось уменьшить высоту корпуса по сравнению с предыдущей легкой бронеплощадкой (разработанной складом № 60 в 1930 году). Внесли изменения и в конструкцию бронирования паровоза, оптимизировав его. Теперь командирская рубка защищалась бронелистами толщиной 15 мм, будка машиниста и башня ПВО — 13 мм, вертикальные листы брони оставались толщиной 10 мм, а наклонные и крыша — 8 мм. В командирской рубке разместили радиостанцию 71-ТК-1 с поручневой антенной, командир имел и телефонную связь с командирами бронеплощадок, орудий и паровозной бригадой. Командиры площадок также вызывались при помощи ревуна, машинист и командир бронепоезда — звонком и лампочкой. В башне ПВО, расположенной в задней части тендера, смонтировали спаренную установку пулеметов Максима (22745).</w:t>
      </w:r>
    </w:p>
    <w:p w14:paraId="1BF81EDE" w14:textId="77777777" w:rsidR="008E59AC" w:rsidRPr="0044524F" w:rsidRDefault="008E59AC" w:rsidP="009654CF">
      <w:pPr>
        <w:spacing w:after="0" w:line="240" w:lineRule="auto"/>
        <w:jc w:val="both"/>
        <w:rPr>
          <w:rFonts w:ascii="Times New Roman" w:hAnsi="Times New Roman"/>
          <w:color w:val="000000" w:themeColor="text1"/>
          <w:sz w:val="16"/>
          <w:szCs w:val="16"/>
        </w:rPr>
      </w:pPr>
    </w:p>
    <w:p w14:paraId="36EA3C4B"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1933 г. под руководством А.Г. Эльсница были завершены работы над теле</w:t>
      </w:r>
      <w:r w:rsidRPr="0044524F">
        <w:rPr>
          <w:rFonts w:ascii="Times New Roman" w:hAnsi="Times New Roman"/>
          <w:color w:val="000000" w:themeColor="text1"/>
          <w:sz w:val="16"/>
          <w:szCs w:val="16"/>
        </w:rPr>
        <w:softHyphen/>
        <w:t>фонным аппаратом ТАМ (телефонный аппарат мощный). Аппарат ТАМ являлся фоноиндукторным и предназначался для телефонной связи крупных штабов по дальним телефонным и телеграфным линиям. Несмотря на неудачную схему и конструкцию, большой вес и объем, большой расход батарей, он был принят на вооружение РККА в том же 1933 г . В 1935 г. на заводе «Красная заря» была вы</w:t>
      </w:r>
      <w:r w:rsidRPr="0044524F">
        <w:rPr>
          <w:rFonts w:ascii="Times New Roman" w:hAnsi="Times New Roman"/>
          <w:color w:val="000000" w:themeColor="text1"/>
          <w:sz w:val="16"/>
          <w:szCs w:val="16"/>
        </w:rPr>
        <w:softHyphen/>
        <w:t>пущена опытная партия этих аппаратов, которые с этого времени небольшими серийными партиями (самая крупная - 955 телефонов в 1938 г.) вплоть до 1940 г. производились на предприятии . ТАМ использовался на маневрах, во время бое</w:t>
      </w:r>
      <w:r w:rsidRPr="0044524F">
        <w:rPr>
          <w:rFonts w:ascii="Times New Roman" w:hAnsi="Times New Roman"/>
          <w:color w:val="000000" w:themeColor="text1"/>
          <w:sz w:val="16"/>
          <w:szCs w:val="16"/>
        </w:rPr>
        <w:softHyphen/>
        <w:t>вых действий на Холхин-Голе, и везде о его работе отзывы были положитель</w:t>
      </w:r>
      <w:r w:rsidRPr="0044524F">
        <w:rPr>
          <w:rFonts w:ascii="Times New Roman" w:hAnsi="Times New Roman"/>
          <w:color w:val="000000" w:themeColor="text1"/>
          <w:sz w:val="16"/>
          <w:szCs w:val="16"/>
        </w:rPr>
        <w:softHyphen/>
        <w:t>ными. Однако он не мог претендовать на занятие места унифицированного еди</w:t>
      </w:r>
      <w:r w:rsidRPr="0044524F">
        <w:rPr>
          <w:rFonts w:ascii="Times New Roman" w:hAnsi="Times New Roman"/>
          <w:color w:val="000000" w:themeColor="text1"/>
          <w:sz w:val="16"/>
          <w:szCs w:val="16"/>
        </w:rPr>
        <w:softHyphen/>
        <w:t>ного образца аппарата для всех сухопутных сил. Наряду с ТАМ в 1933 г. на «Красной заре» был создан и выпущен для подводников телефонный аппарат глубинный ТАГ, позволивший иметь телефонную связь с водолазами, находя</w:t>
      </w:r>
      <w:r w:rsidRPr="0044524F">
        <w:rPr>
          <w:rFonts w:ascii="Times New Roman" w:hAnsi="Times New Roman"/>
          <w:color w:val="000000" w:themeColor="text1"/>
          <w:sz w:val="16"/>
          <w:szCs w:val="16"/>
        </w:rPr>
        <w:softHyphen/>
        <w:t>щимися под водой .</w:t>
      </w:r>
    </w:p>
    <w:p w14:paraId="5317EB67"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аппаратов УНА-31 в 1934-1935 гг. была разработана пластмассовая микротелефонная трубка. Несмотря на значительные трудности при внедрении новых изделий в серийное производство, в конце 1936 г. были выпущены первые партии модифицированных телефонных аппаратов УНА-Ф-31 и УНА-И-31. В предвоенные годы их выпуск постоянно наращивался: 1936 г. - 2609 шт., 1938 г. - 8942 шт., 1939 г. - 23941 шт., 1940 г. - 32427 шт. Это тем более показательно, если учесть, что в целом производство телефонных аппаратов в эти годы имело тенденцию к сокращению (см. таблицу 4).</w:t>
      </w:r>
    </w:p>
    <w:tbl>
      <w:tblPr>
        <w:tblW w:w="0" w:type="auto"/>
        <w:tblLayout w:type="fixed"/>
        <w:tblCellMar>
          <w:left w:w="10" w:type="dxa"/>
          <w:right w:w="10" w:type="dxa"/>
        </w:tblCellMar>
        <w:tblLook w:val="04A0" w:firstRow="1" w:lastRow="0" w:firstColumn="1" w:lastColumn="0" w:noHBand="0" w:noVBand="1"/>
      </w:tblPr>
      <w:tblGrid>
        <w:gridCol w:w="3312"/>
        <w:gridCol w:w="1594"/>
        <w:gridCol w:w="1589"/>
        <w:gridCol w:w="1589"/>
        <w:gridCol w:w="1603"/>
      </w:tblGrid>
      <w:tr w:rsidR="008E59AC" w:rsidRPr="0044524F" w14:paraId="70AFEF9D" w14:textId="77777777" w:rsidTr="003D0776">
        <w:trPr>
          <w:trHeight w:val="658"/>
        </w:trPr>
        <w:tc>
          <w:tcPr>
            <w:tcW w:w="3312" w:type="dxa"/>
            <w:vMerge w:val="restart"/>
            <w:tcBorders>
              <w:top w:val="single" w:sz="4" w:space="0" w:color="auto"/>
              <w:left w:val="single" w:sz="4" w:space="0" w:color="auto"/>
              <w:right w:val="single" w:sz="4" w:space="0" w:color="auto"/>
            </w:tcBorders>
            <w:shd w:val="clear" w:color="auto" w:fill="FFFFFF"/>
          </w:tcPr>
          <w:p w14:paraId="57AEA64F" w14:textId="77777777" w:rsidR="008E59AC" w:rsidRPr="0044524F" w:rsidRDefault="008E59AC" w:rsidP="009654CF">
            <w:pPr>
              <w:spacing w:after="0" w:line="240" w:lineRule="auto"/>
              <w:jc w:val="both"/>
              <w:rPr>
                <w:rFonts w:ascii="Times New Roman" w:hAnsi="Times New Roman"/>
                <w:color w:val="000000" w:themeColor="text1"/>
                <w:sz w:val="16"/>
                <w:szCs w:val="16"/>
              </w:rPr>
            </w:pPr>
          </w:p>
        </w:tc>
        <w:tc>
          <w:tcPr>
            <w:tcW w:w="6375" w:type="dxa"/>
            <w:gridSpan w:val="4"/>
            <w:tcBorders>
              <w:top w:val="single" w:sz="4" w:space="0" w:color="auto"/>
              <w:left w:val="single" w:sz="4" w:space="0" w:color="auto"/>
              <w:bottom w:val="single" w:sz="4" w:space="0" w:color="auto"/>
              <w:right w:val="single" w:sz="4" w:space="0" w:color="auto"/>
            </w:tcBorders>
            <w:shd w:val="clear" w:color="auto" w:fill="FFFFFF"/>
          </w:tcPr>
          <w:p w14:paraId="622F0102"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телефонных аппаратов всех типов,</w:t>
            </w:r>
          </w:p>
          <w:p w14:paraId="4046A18A"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шт.</w:t>
            </w:r>
          </w:p>
        </w:tc>
      </w:tr>
      <w:tr w:rsidR="008E59AC" w:rsidRPr="0044524F" w14:paraId="32F1C010" w14:textId="77777777" w:rsidTr="003D0776">
        <w:trPr>
          <w:trHeight w:val="480"/>
        </w:trPr>
        <w:tc>
          <w:tcPr>
            <w:tcW w:w="3312" w:type="dxa"/>
            <w:vMerge/>
            <w:tcBorders>
              <w:left w:val="single" w:sz="4" w:space="0" w:color="auto"/>
              <w:bottom w:val="single" w:sz="4" w:space="0" w:color="auto"/>
              <w:right w:val="single" w:sz="4" w:space="0" w:color="auto"/>
            </w:tcBorders>
            <w:shd w:val="clear" w:color="auto" w:fill="FFFFFF"/>
          </w:tcPr>
          <w:p w14:paraId="28885AFD" w14:textId="77777777" w:rsidR="008E59AC" w:rsidRPr="0044524F" w:rsidRDefault="008E59AC" w:rsidP="009654CF">
            <w:pPr>
              <w:spacing w:after="0" w:line="240" w:lineRule="auto"/>
              <w:jc w:val="both"/>
              <w:rPr>
                <w:rFonts w:ascii="Times New Roman" w:hAnsi="Times New Roman"/>
                <w:color w:val="000000" w:themeColor="text1"/>
                <w:sz w:val="16"/>
                <w:szCs w:val="16"/>
              </w:rPr>
            </w:pPr>
          </w:p>
        </w:tc>
        <w:tc>
          <w:tcPr>
            <w:tcW w:w="1594" w:type="dxa"/>
            <w:tcBorders>
              <w:top w:val="single" w:sz="4" w:space="0" w:color="auto"/>
              <w:left w:val="single" w:sz="4" w:space="0" w:color="auto"/>
              <w:bottom w:val="single" w:sz="4" w:space="0" w:color="auto"/>
              <w:right w:val="single" w:sz="4" w:space="0" w:color="auto"/>
            </w:tcBorders>
            <w:shd w:val="clear" w:color="auto" w:fill="FFFFFF"/>
          </w:tcPr>
          <w:p w14:paraId="1217669E"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1937 г.</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26C8728C"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1938 г.</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72DF32B5"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1939 г.</w:t>
            </w:r>
          </w:p>
        </w:tc>
        <w:tc>
          <w:tcPr>
            <w:tcW w:w="1603" w:type="dxa"/>
            <w:tcBorders>
              <w:top w:val="single" w:sz="4" w:space="0" w:color="auto"/>
              <w:left w:val="single" w:sz="4" w:space="0" w:color="auto"/>
              <w:bottom w:val="single" w:sz="4" w:space="0" w:color="auto"/>
              <w:right w:val="single" w:sz="4" w:space="0" w:color="auto"/>
            </w:tcBorders>
            <w:shd w:val="clear" w:color="auto" w:fill="FFFFFF"/>
          </w:tcPr>
          <w:p w14:paraId="77A93F63"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1940 г.</w:t>
            </w:r>
          </w:p>
        </w:tc>
      </w:tr>
      <w:tr w:rsidR="008E59AC" w:rsidRPr="0044524F" w14:paraId="0DB1BEB6" w14:textId="77777777" w:rsidTr="003D0776">
        <w:trPr>
          <w:trHeight w:val="653"/>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F61EC77"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Вся промышленность СССР</w:t>
            </w:r>
          </w:p>
        </w:tc>
        <w:tc>
          <w:tcPr>
            <w:tcW w:w="1594" w:type="dxa"/>
            <w:tcBorders>
              <w:top w:val="single" w:sz="4" w:space="0" w:color="auto"/>
              <w:left w:val="single" w:sz="4" w:space="0" w:color="auto"/>
              <w:bottom w:val="single" w:sz="4" w:space="0" w:color="auto"/>
              <w:right w:val="single" w:sz="4" w:space="0" w:color="auto"/>
            </w:tcBorders>
            <w:shd w:val="clear" w:color="auto" w:fill="FFFFFF"/>
          </w:tcPr>
          <w:p w14:paraId="6AB99C72"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254,6</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6DB3AE22"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214,6</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212C3DB2"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221,4</w:t>
            </w:r>
          </w:p>
        </w:tc>
        <w:tc>
          <w:tcPr>
            <w:tcW w:w="1603" w:type="dxa"/>
            <w:tcBorders>
              <w:top w:val="single" w:sz="4" w:space="0" w:color="auto"/>
              <w:left w:val="single" w:sz="4" w:space="0" w:color="auto"/>
              <w:bottom w:val="single" w:sz="4" w:space="0" w:color="auto"/>
              <w:right w:val="single" w:sz="4" w:space="0" w:color="auto"/>
            </w:tcBorders>
            <w:shd w:val="clear" w:color="auto" w:fill="FFFFFF"/>
          </w:tcPr>
          <w:p w14:paraId="3947AC82"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184,5</w:t>
            </w:r>
          </w:p>
        </w:tc>
      </w:tr>
      <w:tr w:rsidR="008E59AC" w:rsidRPr="0044524F" w14:paraId="5B0D1CCE" w14:textId="77777777" w:rsidTr="003D0776">
        <w:trPr>
          <w:trHeight w:val="485"/>
        </w:trPr>
        <w:tc>
          <w:tcPr>
            <w:tcW w:w="3312" w:type="dxa"/>
            <w:tcBorders>
              <w:top w:val="single" w:sz="4" w:space="0" w:color="auto"/>
              <w:left w:val="single" w:sz="4" w:space="0" w:color="auto"/>
              <w:bottom w:val="single" w:sz="4" w:space="0" w:color="auto"/>
              <w:right w:val="single" w:sz="4" w:space="0" w:color="auto"/>
            </w:tcBorders>
            <w:shd w:val="clear" w:color="auto" w:fill="FFFFFF"/>
          </w:tcPr>
          <w:p w14:paraId="76EE0A88"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«Красная заря»</w:t>
            </w:r>
          </w:p>
        </w:tc>
        <w:tc>
          <w:tcPr>
            <w:tcW w:w="1594" w:type="dxa"/>
            <w:tcBorders>
              <w:top w:val="single" w:sz="4" w:space="0" w:color="auto"/>
              <w:left w:val="single" w:sz="4" w:space="0" w:color="auto"/>
              <w:bottom w:val="single" w:sz="4" w:space="0" w:color="auto"/>
              <w:right w:val="single" w:sz="4" w:space="0" w:color="auto"/>
            </w:tcBorders>
            <w:shd w:val="clear" w:color="auto" w:fill="FFFFFF"/>
          </w:tcPr>
          <w:p w14:paraId="2516E903"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7AF5D740"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210,9</w:t>
            </w:r>
          </w:p>
        </w:tc>
        <w:tc>
          <w:tcPr>
            <w:tcW w:w="1589" w:type="dxa"/>
            <w:tcBorders>
              <w:top w:val="single" w:sz="4" w:space="0" w:color="auto"/>
              <w:left w:val="single" w:sz="4" w:space="0" w:color="auto"/>
              <w:bottom w:val="single" w:sz="4" w:space="0" w:color="auto"/>
              <w:right w:val="single" w:sz="4" w:space="0" w:color="auto"/>
            </w:tcBorders>
            <w:shd w:val="clear" w:color="auto" w:fill="FFFFFF"/>
          </w:tcPr>
          <w:p w14:paraId="444FB72C"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219,8</w:t>
            </w:r>
          </w:p>
        </w:tc>
        <w:tc>
          <w:tcPr>
            <w:tcW w:w="1603" w:type="dxa"/>
            <w:tcBorders>
              <w:top w:val="single" w:sz="4" w:space="0" w:color="auto"/>
              <w:left w:val="single" w:sz="4" w:space="0" w:color="auto"/>
              <w:bottom w:val="single" w:sz="4" w:space="0" w:color="auto"/>
              <w:right w:val="single" w:sz="4" w:space="0" w:color="auto"/>
            </w:tcBorders>
            <w:shd w:val="clear" w:color="auto" w:fill="FFFFFF"/>
          </w:tcPr>
          <w:p w14:paraId="4132F5D1"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181,1</w:t>
            </w:r>
          </w:p>
        </w:tc>
      </w:tr>
    </w:tbl>
    <w:p w14:paraId="2116E86C"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(19098).</w:t>
      </w:r>
    </w:p>
    <w:p w14:paraId="06DF4C0F" w14:textId="77777777" w:rsidR="008E59AC" w:rsidRPr="0044524F" w:rsidRDefault="008E59AC" w:rsidP="009654CF">
      <w:pPr>
        <w:spacing w:after="0" w:line="240" w:lineRule="auto"/>
        <w:jc w:val="both"/>
        <w:rPr>
          <w:rFonts w:ascii="Times New Roman" w:hAnsi="Times New Roman"/>
          <w:color w:val="000000" w:themeColor="text1"/>
          <w:sz w:val="16"/>
          <w:szCs w:val="16"/>
        </w:rPr>
      </w:pPr>
    </w:p>
    <w:p w14:paraId="3D4CCC5E" w14:textId="77777777" w:rsidR="00904E0B" w:rsidRPr="0044524F" w:rsidRDefault="00904E0B"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6490445" w14:textId="77777777" w:rsidR="00904E0B" w:rsidRPr="0044524F" w:rsidRDefault="00904E0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A35A7E6" w14:textId="77777777" w:rsidR="00904E0B" w:rsidRPr="0044524F" w:rsidRDefault="00904E0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1933 г. в чертежи М-34 вне</w:t>
      </w:r>
      <w:r w:rsidRPr="0044524F">
        <w:rPr>
          <w:rFonts w:ascii="Times New Roman" w:hAnsi="Times New Roman"/>
          <w:color w:val="000000" w:themeColor="text1"/>
          <w:sz w:val="16"/>
          <w:szCs w:val="16"/>
        </w:rPr>
        <w:softHyphen/>
        <w:t>сли более 2000 поправок. Но свою лепту внесли и производственники. Большие проблемы были с литьем крупных деталей, где шло до 60% брака. Еще хуже было положение в металлообрабатывающих цехах, где порой фиксировали до 80% брака! Но в это время сборка все рав</w:t>
      </w:r>
      <w:r w:rsidRPr="0044524F">
        <w:rPr>
          <w:rFonts w:ascii="Times New Roman" w:hAnsi="Times New Roman"/>
          <w:color w:val="000000" w:themeColor="text1"/>
          <w:sz w:val="16"/>
          <w:szCs w:val="16"/>
        </w:rPr>
        <w:softHyphen/>
        <w:t>но набирала темп. В последние ме</w:t>
      </w:r>
      <w:r w:rsidRPr="0044524F">
        <w:rPr>
          <w:rFonts w:ascii="Times New Roman" w:hAnsi="Times New Roman"/>
          <w:color w:val="000000" w:themeColor="text1"/>
          <w:sz w:val="16"/>
          <w:szCs w:val="16"/>
        </w:rPr>
        <w:softHyphen/>
        <w:t>сяцы 1932 г. она доходила до 40 моторов в месяц. Но это не помогло выполнить план - вместо 400 двига</w:t>
      </w:r>
      <w:r w:rsidRPr="0044524F">
        <w:rPr>
          <w:rFonts w:ascii="Times New Roman" w:hAnsi="Times New Roman"/>
          <w:color w:val="000000" w:themeColor="text1"/>
          <w:sz w:val="16"/>
          <w:szCs w:val="16"/>
        </w:rPr>
        <w:softHyphen/>
        <w:t>телей по сводке ГУАП всего получи</w:t>
      </w:r>
      <w:r w:rsidRPr="0044524F">
        <w:rPr>
          <w:rFonts w:ascii="Times New Roman" w:hAnsi="Times New Roman"/>
          <w:color w:val="000000" w:themeColor="text1"/>
          <w:sz w:val="16"/>
          <w:szCs w:val="16"/>
        </w:rPr>
        <w:softHyphen/>
        <w:t>лось 385 (считая и некондиционные). По документам же УВВС в 1932 г. выпущено 80 моторов, из них 25 негодных. Очевидно, руководство завода включило в отчетность всю некомплектную и незаконченную продукцию. Однако запуск М-34 в серию наверху расценили как большую победу. 21 февраля 1933 г. А.А. Микулина наградили орденом Крас</w:t>
      </w:r>
      <w:r w:rsidRPr="0044524F">
        <w:rPr>
          <w:rFonts w:ascii="Times New Roman" w:hAnsi="Times New Roman"/>
          <w:color w:val="000000" w:themeColor="text1"/>
          <w:sz w:val="16"/>
          <w:szCs w:val="16"/>
        </w:rPr>
        <w:softHyphen/>
        <w:t>ной Звезды. 3-я серия («В») из 100 штук бла</w:t>
      </w:r>
      <w:r w:rsidRPr="0044524F">
        <w:rPr>
          <w:rFonts w:ascii="Times New Roman" w:hAnsi="Times New Roman"/>
          <w:color w:val="000000" w:themeColor="text1"/>
          <w:sz w:val="16"/>
          <w:szCs w:val="16"/>
        </w:rPr>
        <w:softHyphen/>
        <w:t>гополучно прошла военную прием</w:t>
      </w:r>
      <w:r w:rsidRPr="0044524F">
        <w:rPr>
          <w:rFonts w:ascii="Times New Roman" w:hAnsi="Times New Roman"/>
          <w:color w:val="000000" w:themeColor="text1"/>
          <w:sz w:val="16"/>
          <w:szCs w:val="16"/>
        </w:rPr>
        <w:softHyphen/>
        <w:t>ку к 27 января 1933 г. Зато в том же месяце М-34 в третий раз провалил госиспытания на стенде - на 35-м часу оборвался шатун. Вскрытие показало, что причиной оказалось выкрашивание баббита в шатунном вкладыше (11848).</w:t>
      </w:r>
    </w:p>
    <w:p w14:paraId="777724C7" w14:textId="77777777" w:rsidR="00904E0B" w:rsidRPr="0044524F" w:rsidRDefault="00904E0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0CADACF" w14:textId="77777777" w:rsidR="00904E0B" w:rsidRPr="0044524F" w:rsidRDefault="00904E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1933 г. развернулись работы по кассетам для ампулы, которые собирались сбрасывать сериями или залпом из специальных кассет. Разрабатывались кассеты для внутреннего размещения в бомбоотсеке самолета или на наружной подвеске, одноразовые и многоразового использования.</w:t>
      </w:r>
    </w:p>
    <w:p w14:paraId="7138FC0E" w14:textId="77777777" w:rsidR="00904E0B" w:rsidRPr="0044524F" w:rsidRDefault="00904E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Ими занимались параллельно Осконпробюро ВВС, НИИ ВВС и ЦАГИ. Позже подключился также завод № 145, где выпускали авиационное вооружение.</w:t>
      </w:r>
    </w:p>
    <w:p w14:paraId="322AA284" w14:textId="77777777" w:rsidR="00904E0B" w:rsidRPr="0044524F" w:rsidRDefault="00904E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Осконпробюро под руководством П.И. Гроховского создали кассету Г-52. Она предназначалась для биплана Р-5. В целом на самолете находилось 1600 небольших стеклянных ампул. Они сбрасывались пачками по восемь штук, пачка раскрывалась при падении. Другая работа, по кассете на 9000 ампул для тяжелого бомбардировщика ТБ-3, заложенная в план 1933 г., видимо, осталась незаконченной.</w:t>
      </w:r>
    </w:p>
    <w:p w14:paraId="28A97E7E" w14:textId="77777777" w:rsidR="00904E0B" w:rsidRPr="0044524F" w:rsidRDefault="00904E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ЦАГИ вели работу над кассетами и для тяжелых, и для легких бомбардировщиков. Созданные в 1933 г. для гигантского бомбовоза ТБ-4, так и не запущенного в серию, ампульные кассеты АК-2 приспособили для установки во внутреннем кассетном бомбодержателе КД-2 бомбардировщика ТБ-3.</w:t>
      </w:r>
    </w:p>
    <w:p w14:paraId="096667C4" w14:textId="77777777" w:rsidR="00904E0B" w:rsidRPr="0044524F" w:rsidRDefault="00904E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Кассета АК-2 представляла собой пакет из 16 труб ("колодцев"), в которые укладывались шары, по 15 литровых жестяных ампул в каждой трубе. Итого получалось 240 ампул в одной кассете. Загрузку осуществляли на земле, затем лебедкой поднимали кассету в бом- боотсек. На это три человека тратили два часа.</w:t>
      </w:r>
    </w:p>
    <w:p w14:paraId="38A78253" w14:textId="77777777" w:rsidR="00904E0B" w:rsidRPr="0044524F" w:rsidRDefault="00904E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Крышки внизу труб открывались вместе со створками бомбоотсека при помощи системы тяг. Сброс шел по команде от бомбосбрасывателя - механического СБР-9 или электрического ЭСБР-2. Механика позволяла сбрасывать из каждой кассеты по 60 шаров в четыре приема, электрическая система - порциями с заданными интервалами времени.</w:t>
      </w:r>
    </w:p>
    <w:p w14:paraId="0D3F85DE" w14:textId="77777777" w:rsidR="00904E0B" w:rsidRPr="0044524F" w:rsidRDefault="00904E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Пустая кассета весила 54,5 кг. ТБ-3 брал четыре таких кассеты, всего самолет нес 1200 кг чистого иприта или люизита. Испытания кассеты на бомбардировщике проводились в июне 1935 г. На следующий год заказали дюжину штук для дополнительных испытаний (12043).</w:t>
      </w:r>
    </w:p>
    <w:p w14:paraId="58FF55B6" w14:textId="77777777" w:rsidR="00904E0B" w:rsidRPr="0044524F" w:rsidRDefault="00904E0B" w:rsidP="009654CF">
      <w:pPr>
        <w:autoSpaceDE w:val="0"/>
        <w:autoSpaceDN w:val="0"/>
        <w:adjustRightInd w:val="0"/>
        <w:spacing w:after="0" w:line="240" w:lineRule="auto"/>
        <w:jc w:val="both"/>
        <w:rPr>
          <w:rFonts w:ascii="Times New Roman" w:hAnsi="Times New Roman"/>
          <w:color w:val="000000" w:themeColor="text1"/>
          <w:sz w:val="16"/>
          <w:szCs w:val="16"/>
        </w:rPr>
      </w:pPr>
    </w:p>
    <w:p w14:paraId="56880C92" w14:textId="77777777" w:rsidR="00904E0B" w:rsidRPr="0044524F" w:rsidRDefault="00904E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1933 года группа Д Газодинамической лаборатории (Руководитель Н. А. Доровлев, отсюда и индекс лаборатории. В состав группы входили инженеры Иванов, Игнатенко, Мартынов и Рашков) была включена в состав АНИИ. Одной из первых работ группы Д было семейство 165-мм полковых минометов (3861).</w:t>
      </w:r>
    </w:p>
    <w:p w14:paraId="3C5714A1" w14:textId="77777777" w:rsidR="00904E0B" w:rsidRPr="0044524F" w:rsidRDefault="00904E0B" w:rsidP="009654CF">
      <w:pPr>
        <w:autoSpaceDE w:val="0"/>
        <w:autoSpaceDN w:val="0"/>
        <w:adjustRightInd w:val="0"/>
        <w:spacing w:after="0" w:line="240" w:lineRule="auto"/>
        <w:jc w:val="both"/>
        <w:rPr>
          <w:rFonts w:ascii="Times New Roman" w:hAnsi="Times New Roman"/>
          <w:color w:val="000000" w:themeColor="text1"/>
          <w:sz w:val="16"/>
          <w:szCs w:val="16"/>
        </w:rPr>
      </w:pPr>
    </w:p>
    <w:p w14:paraId="73BF4B49" w14:textId="77777777" w:rsidR="00904E0B" w:rsidRPr="0044524F" w:rsidRDefault="00904E0B"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CB837D1" w14:textId="77777777" w:rsidR="00904E0B" w:rsidRPr="0044524F" w:rsidRDefault="00904E0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2420FFD" w14:textId="77777777" w:rsidR="00904E0B" w:rsidRPr="0044524F" w:rsidRDefault="00904E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1933 г. группа «Д» была включена в состав АНИИ. Одной из первых работ группы было семейство 165-мм полковых минометов.</w:t>
      </w:r>
    </w:p>
    <w:p w14:paraId="0B6C2632" w14:textId="77777777" w:rsidR="00904E0B" w:rsidRPr="0044524F" w:rsidRDefault="00904E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Ведущую роль в проектировании минометов играла группа «Д» газодинамической лаборатории. Ее руководителем был Н. А. Доровлев, отсюда и индекс лаборатории. В состав группы входили инженеры Иванов, Игнатенко, Мартынов и Рашков.</w:t>
      </w:r>
    </w:p>
    <w:p w14:paraId="4F01F201" w14:textId="77777777" w:rsidR="00904E0B" w:rsidRPr="0044524F" w:rsidRDefault="00904E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1930–1932 гг. группой «Д» был спроектирован 165-мм полковой миномет ПМ-1. Основным назначением миномета была стрельба химической миной, поэтому он чаще назывался газометом «В». Конструктивно миномет был выполнен по схеме перевернутого реального треугольника.</w:t>
      </w:r>
    </w:p>
    <w:p w14:paraId="18ADDFCA" w14:textId="77777777" w:rsidR="00904E0B" w:rsidRPr="0044524F" w:rsidRDefault="00904E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стрельбе колесный ход отделялся, и миномет опирался только на деревянную опорную плиту прямоугольной формы.</w:t>
      </w:r>
    </w:p>
    <w:p w14:paraId="616F1089" w14:textId="77777777" w:rsidR="00904E0B" w:rsidRPr="0044524F" w:rsidRDefault="00904E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Принцип воспламенения заряда газодинамический. Заряд помещался в отдельной камере, соединенной с каналом ствола отверстием, называемым соплом. Недостатком миномета была его малая скорострельность, так как заряжание производилось в два приема: мина — с дула, заряд — с казенной части. Затвор миномета клиновой системы инженера Соколова.</w:t>
      </w:r>
    </w:p>
    <w:p w14:paraId="7CDA54E5" w14:textId="77777777" w:rsidR="00904E0B" w:rsidRPr="0044524F" w:rsidRDefault="00904E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Ствол миномета гладкий. Мины оперенные. Метательный заряд помещался в укороченной гильзе от 107-мм пушки обр. 1910 г. (12705).</w:t>
      </w:r>
    </w:p>
    <w:p w14:paraId="5EF7E26E" w14:textId="77777777" w:rsidR="00904E0B" w:rsidRPr="0044524F" w:rsidRDefault="00904E0B" w:rsidP="009654CF">
      <w:pPr>
        <w:spacing w:after="0" w:line="240" w:lineRule="auto"/>
        <w:jc w:val="both"/>
        <w:rPr>
          <w:rFonts w:ascii="Times New Roman" w:hAnsi="Times New Roman"/>
          <w:color w:val="000000" w:themeColor="text1"/>
          <w:sz w:val="16"/>
          <w:szCs w:val="16"/>
        </w:rPr>
      </w:pPr>
    </w:p>
    <w:p w14:paraId="075D8B59" w14:textId="77777777" w:rsidR="009D11B6" w:rsidRPr="00142305" w:rsidRDefault="009D11B6" w:rsidP="009D11B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 началу 1933 года «груп</w:t>
      </w:r>
      <w:r w:rsidRPr="00142305">
        <w:rPr>
          <w:rStyle w:val="aff"/>
          <w:rFonts w:ascii="Times New Roman" w:hAnsi="Times New Roman" w:cs="Times New Roman"/>
          <w:color w:val="0070C0"/>
          <w:spacing w:val="0"/>
          <w:sz w:val="16"/>
          <w:szCs w:val="16"/>
        </w:rPr>
        <w:softHyphen/>
        <w:t>па Д» газодинамической лаборатории, руководителем которой был Н. А. Доровлев, отсюда и индекс лаборатории, а в состав группы вхо</w:t>
      </w:r>
      <w:r w:rsidRPr="00142305">
        <w:rPr>
          <w:rStyle w:val="aff"/>
          <w:rFonts w:ascii="Times New Roman" w:hAnsi="Times New Roman" w:cs="Times New Roman"/>
          <w:color w:val="0070C0"/>
          <w:spacing w:val="0"/>
          <w:sz w:val="16"/>
          <w:szCs w:val="16"/>
        </w:rPr>
        <w:softHyphen/>
        <w:t>дили инженеры Иванов, Игнатенко, Мартынов и Рашков, была включена в состав АНИИ. Одной из пер</w:t>
      </w:r>
      <w:r w:rsidRPr="00142305">
        <w:rPr>
          <w:rStyle w:val="aff"/>
          <w:rFonts w:ascii="Times New Roman" w:hAnsi="Times New Roman" w:cs="Times New Roman"/>
          <w:color w:val="0070C0"/>
          <w:spacing w:val="0"/>
          <w:sz w:val="16"/>
          <w:szCs w:val="16"/>
        </w:rPr>
        <w:softHyphen/>
        <w:t>вых работ группы Д было семейство 165-мм полковых минометов (25439).</w:t>
      </w:r>
    </w:p>
    <w:p w14:paraId="2AB78823" w14:textId="77777777" w:rsidR="009D11B6" w:rsidRPr="00142305" w:rsidRDefault="009D11B6" w:rsidP="009D11B6">
      <w:pPr>
        <w:spacing w:after="0" w:line="240" w:lineRule="auto"/>
        <w:jc w:val="both"/>
        <w:rPr>
          <w:rFonts w:ascii="Times New Roman" w:hAnsi="Times New Roman"/>
          <w:color w:val="0070C0"/>
          <w:sz w:val="16"/>
          <w:szCs w:val="16"/>
        </w:rPr>
      </w:pPr>
    </w:p>
    <w:p w14:paraId="5DEE6009" w14:textId="77777777" w:rsidR="009D11B6" w:rsidRPr="00142305" w:rsidRDefault="009D11B6" w:rsidP="009D11B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1933 года Мариу</w:t>
      </w:r>
      <w:r w:rsidRPr="00142305">
        <w:rPr>
          <w:rFonts w:ascii="Times New Roman" w:hAnsi="Times New Roman"/>
          <w:color w:val="0070C0"/>
          <w:sz w:val="16"/>
          <w:szCs w:val="16"/>
        </w:rPr>
        <w:softHyphen/>
        <w:t>польский завод имени Ильича который получил задание организовать выпуск корпусов и башен танков БТ-5, смог наладить серийное изготовление этой продукции (25009).</w:t>
      </w:r>
    </w:p>
    <w:p w14:paraId="1CE71163" w14:textId="77777777" w:rsidR="009D11B6" w:rsidRPr="00142305" w:rsidRDefault="009D11B6" w:rsidP="009D11B6">
      <w:pPr>
        <w:spacing w:after="0" w:line="240" w:lineRule="auto"/>
        <w:jc w:val="both"/>
        <w:rPr>
          <w:rFonts w:ascii="Times New Roman" w:hAnsi="Times New Roman"/>
          <w:color w:val="0070C0"/>
          <w:sz w:val="16"/>
          <w:szCs w:val="16"/>
        </w:rPr>
      </w:pPr>
    </w:p>
    <w:p w14:paraId="13A98B6F" w14:textId="77777777" w:rsidR="009D11B6" w:rsidRPr="00142305" w:rsidRDefault="009D11B6" w:rsidP="009D11B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началу 1933 года по заказу Московского союза потребительских обществ мастерские комбината реконструкции транспорта в Москве (КРТ) переделали полуторку ГАЗ-АА в седельный тягач для собственных нужд. А история интересна тем, что после удачной переделки этой конструкцией заинтересовались на ГАЗе. Позже чертежи были переданы на Горьковский завод, где было собрано еще несколько тягачей для того же МСПО. Собирали эти тягачи в 1934 году в экспериментальном отделении опытных мастерских под руководством товарища Соловьева.</w:t>
      </w:r>
    </w:p>
    <w:p w14:paraId="6A56D014" w14:textId="77777777" w:rsidR="009D11B6" w:rsidRPr="00142305" w:rsidRDefault="009D11B6" w:rsidP="009D11B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Тягач на 95% был изготовлен из деталей ГАЗ-АА. Автомобиль мог работать как с седельным устройством, так и в качестве лесовоза. Базу традиционно укоротили (до 2,6 м), вследствие чего пришлось обрезать длинные лонжероны рамы, трубу карданного вала и раскосные штанги заднего моста. Сам задний мост был собран из дефектных деталей автомобиля ГАЗ-АА. Задние кантилеверные рессоры были заменены полуэллиптическими. Конструкция сцепки была довольно простой, но в то же время более практичной, чем на «продвинутом» Я-12Д. Водителю достаточно было подъехать задом к полуприцепу и резким движением по инерции запустить на лоток перед полуприцепа, а затем поднять шаровой конец рычага для закрепления сцепки. Вся процедура занимала не более минуты; о том, какие сложности ждали водителя при сцепке тягача ЗИС-10 с полуприцепом, я расскажу ниже. Максимальная нагрузка была небольшой. Полуприцеп использовался также иностранной фирмы, и его максимальный вес ограничивался 2,5 тоннами, поскольку двигатель ГАЗ-АА был слабым. Таким образом, грузоподъемность седельного тягача увеличивалась по сравнению с грузовиком всего на 40%.</w:t>
      </w:r>
    </w:p>
    <w:p w14:paraId="1F79764B" w14:textId="77777777" w:rsidR="009D11B6" w:rsidRPr="00142305" w:rsidRDefault="009D11B6" w:rsidP="009D11B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ГАЗе хоть и заинтересовались новинкой, но, похоже, собственных седельных тягачей делать не стали. Завод рапортовал о выпуске почти восьмисот тягачей, однако, скорее всего, все они были автолесовозами без седельного устройства, поскольку эту программу посчитали приоритетной еще в 1934 году. Построенные три седельных тягача ГАЗ-АА работали в МСПО до конца своих дней (25598).</w:t>
      </w:r>
    </w:p>
    <w:p w14:paraId="11BBEBB9" w14:textId="77777777" w:rsidR="009D11B6" w:rsidRPr="00142305" w:rsidRDefault="009D11B6" w:rsidP="009D11B6">
      <w:pPr>
        <w:spacing w:after="0" w:line="240" w:lineRule="auto"/>
        <w:jc w:val="both"/>
        <w:rPr>
          <w:rFonts w:ascii="Times New Roman" w:hAnsi="Times New Roman"/>
          <w:color w:val="0070C0"/>
          <w:sz w:val="16"/>
          <w:szCs w:val="16"/>
        </w:rPr>
      </w:pPr>
    </w:p>
    <w:p w14:paraId="66B67EEF" w14:textId="77777777" w:rsidR="00904E0B" w:rsidRPr="0044524F" w:rsidRDefault="00904E0B"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Жизнь и внутреняя политика:</w:t>
      </w:r>
    </w:p>
    <w:p w14:paraId="02308306" w14:textId="77777777" w:rsidR="00904E0B" w:rsidRPr="0044524F" w:rsidRDefault="00904E0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A1F3BBF" w14:textId="77777777" w:rsidR="00904E0B" w:rsidRPr="0044524F" w:rsidRDefault="00904E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началу 1933 г. большинство сооружений канала было закончено. Двадцать восьмого мая 1933 г. по каналу начал движение первый караван судов. Караван сопровождался землечерпалками, доводившими глубину на фарватере до проектных 12 футов. </w:t>
      </w:r>
    </w:p>
    <w:p w14:paraId="3B43DB91" w14:textId="77777777" w:rsidR="00904E0B" w:rsidRPr="0044524F" w:rsidRDefault="00904E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Беломорско-Балтийский канал был построен. Он обошелся в 101 316 тыс. рублей, из которых 17 316 тыс. рублей было покрыто за счет выполнения Беломорстроем работ по договорам с другими организациями. Строители полностью уложились в проектную смету. Постановлением ЦК ВКП(б) от 2 августа 1933 г. канал был официально зачислен в число действующих водных путей Союза 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w:t>
      </w:r>
    </w:p>
    <w:p w14:paraId="354B179A" w14:textId="77777777" w:rsidR="00904E0B" w:rsidRPr="0044524F" w:rsidRDefault="00904E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 временем к переходу по трассе канала готовилась первая группа военных кораблей Балтийского флота. Хотя официально канал был принят в эксплуатацию только 2 августа 1933 г., интересы обороны страны требовали скорейшего создания на Севере военно-морской группировки (12129).</w:t>
      </w:r>
    </w:p>
    <w:p w14:paraId="1CD54531" w14:textId="77777777" w:rsidR="00904E0B" w:rsidRPr="0044524F" w:rsidRDefault="00904E0B" w:rsidP="009654CF">
      <w:pPr>
        <w:spacing w:after="0" w:line="240" w:lineRule="auto"/>
        <w:jc w:val="both"/>
        <w:rPr>
          <w:rFonts w:ascii="Times New Roman" w:hAnsi="Times New Roman"/>
          <w:color w:val="000000" w:themeColor="text1"/>
          <w:sz w:val="16"/>
          <w:szCs w:val="16"/>
        </w:rPr>
      </w:pPr>
    </w:p>
    <w:p w14:paraId="4113971A" w14:textId="77777777" w:rsidR="008E59AC" w:rsidRPr="0044524F" w:rsidRDefault="008E59AC"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7988F92" w14:textId="77777777" w:rsidR="008E59AC" w:rsidRPr="0044524F" w:rsidRDefault="008E59A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24502A9"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январю 1933 года остаось всего 4 ЮГ-1, из которых 3 использовались как учебные (один в Военно-воздушной академии и два — в школе морских летчиков в Ейске), а четвертый, приписанный к 70-му отряду особого назначения, обслуживал Реввоенсовет ОКДВА. В январе 1934 года летал уже всего один самолет в Ейске.</w:t>
      </w:r>
    </w:p>
    <w:p w14:paraId="2C83C9CA" w14:textId="77777777" w:rsidR="008E59AC" w:rsidRPr="0044524F" w:rsidRDefault="008E59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Высвободившиеся «юнкерсы» перешли в гражданскую авиацию. О приобретении пассажирских G.24 задумывались и раньше. Например, в январе 1928 года намеревались купить один-два 0.24 для предполагавшейся авиалинии Ташкент-Кабул. В феврале того же года через торгпредство в Берлине заказали для общества «Добролет» один трехмоторный «юнкерс» с колесным и поплавковым шасси. Он предназначался для линии Иркутск—Якутск. Но в августе заказ аннулировали и вместо С.24 купили три одномоторных </w:t>
      </w:r>
      <w:hyperlink r:id="rId5" w:history="1">
        <w:r w:rsidRPr="0044524F">
          <w:rPr>
            <w:rFonts w:ascii="Times New Roman" w:hAnsi="Times New Roman"/>
            <w:color w:val="000000" w:themeColor="text1"/>
            <w:sz w:val="16"/>
            <w:szCs w:val="16"/>
          </w:rPr>
          <w:t>W.33</w:t>
        </w:r>
      </w:hyperlink>
      <w:r w:rsidRPr="0044524F">
        <w:rPr>
          <w:rFonts w:ascii="Times New Roman" w:hAnsi="Times New Roman"/>
          <w:color w:val="000000" w:themeColor="text1"/>
          <w:sz w:val="16"/>
          <w:szCs w:val="16"/>
        </w:rPr>
        <w:t xml:space="preserve"> (15479).</w:t>
      </w:r>
    </w:p>
    <w:p w14:paraId="56E10D4C" w14:textId="77777777" w:rsidR="008E59AC" w:rsidRPr="0044524F" w:rsidRDefault="008E59AC" w:rsidP="009654CF">
      <w:pPr>
        <w:spacing w:after="0" w:line="240" w:lineRule="auto"/>
        <w:jc w:val="both"/>
        <w:rPr>
          <w:rFonts w:ascii="Times New Roman" w:hAnsi="Times New Roman"/>
          <w:color w:val="000000" w:themeColor="text1"/>
          <w:sz w:val="16"/>
          <w:szCs w:val="16"/>
        </w:rPr>
      </w:pPr>
    </w:p>
    <w:p w14:paraId="5290A5CB" w14:textId="77777777" w:rsidR="00904E0B" w:rsidRPr="0044524F" w:rsidRDefault="00904E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январю 1933 г. группу бескаркасного дирижабля переименовали в Бюро дирижабля Циолковского (позднее КБ-3) (20120).</w:t>
      </w:r>
    </w:p>
    <w:p w14:paraId="12353816" w14:textId="77777777" w:rsidR="00904E0B" w:rsidRPr="0044524F" w:rsidRDefault="00904E0B" w:rsidP="009654CF">
      <w:pPr>
        <w:spacing w:after="0" w:line="240" w:lineRule="auto"/>
        <w:jc w:val="both"/>
        <w:rPr>
          <w:rFonts w:ascii="Times New Roman" w:hAnsi="Times New Roman"/>
          <w:color w:val="000000" w:themeColor="text1"/>
          <w:sz w:val="16"/>
          <w:szCs w:val="16"/>
        </w:rPr>
      </w:pPr>
    </w:p>
    <w:p w14:paraId="01D8B5E1" w14:textId="2C565EF5" w:rsidR="0080592A" w:rsidRPr="0044524F" w:rsidRDefault="0080592A"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40218E1D" w14:textId="77777777" w:rsidR="0080592A" w:rsidRPr="0044524F" w:rsidRDefault="0080592A"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7A1CEA96" w14:textId="77777777" w:rsidR="0080592A" w:rsidRPr="0044524F" w:rsidRDefault="008059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январю I933 г., когда Гитлер пришел к влас</w:t>
      </w:r>
      <w:r w:rsidRPr="0044524F">
        <w:rPr>
          <w:rFonts w:ascii="Times New Roman" w:hAnsi="Times New Roman"/>
          <w:color w:val="000000" w:themeColor="text1"/>
          <w:sz w:val="16"/>
          <w:szCs w:val="16"/>
        </w:rPr>
        <w:softHyphen/>
        <w:t>ти в Германии, в авиационной промышленно</w:t>
      </w:r>
      <w:r w:rsidRPr="0044524F">
        <w:rPr>
          <w:rFonts w:ascii="Times New Roman" w:hAnsi="Times New Roman"/>
          <w:color w:val="000000" w:themeColor="text1"/>
          <w:sz w:val="16"/>
          <w:szCs w:val="16"/>
        </w:rPr>
        <w:softHyphen/>
        <w:t>сти страны было занято всего около 4000 работников. В конце года их стало вчетверо больше, но темпы считались все же недо</w:t>
      </w:r>
      <w:r w:rsidRPr="0044524F">
        <w:rPr>
          <w:rFonts w:ascii="Times New Roman" w:hAnsi="Times New Roman"/>
          <w:color w:val="000000" w:themeColor="text1"/>
          <w:sz w:val="16"/>
          <w:szCs w:val="16"/>
        </w:rPr>
        <w:softHyphen/>
        <w:t>статочно высокими. По мнению Мильха, за</w:t>
      </w:r>
      <w:r w:rsidRPr="0044524F">
        <w:rPr>
          <w:rFonts w:ascii="Times New Roman" w:hAnsi="Times New Roman"/>
          <w:color w:val="000000" w:themeColor="text1"/>
          <w:sz w:val="16"/>
          <w:szCs w:val="16"/>
        </w:rPr>
        <w:softHyphen/>
        <w:t>нявшего пост государственного секретаря ми</w:t>
      </w:r>
      <w:r w:rsidRPr="0044524F">
        <w:rPr>
          <w:rFonts w:ascii="Times New Roman" w:hAnsi="Times New Roman"/>
          <w:color w:val="000000" w:themeColor="text1"/>
          <w:sz w:val="16"/>
          <w:szCs w:val="16"/>
        </w:rPr>
        <w:softHyphen/>
        <w:t>нистерства авиации и пользовавшегося пра</w:t>
      </w:r>
      <w:r w:rsidRPr="0044524F">
        <w:rPr>
          <w:rFonts w:ascii="Times New Roman" w:hAnsi="Times New Roman"/>
          <w:color w:val="000000" w:themeColor="text1"/>
          <w:sz w:val="16"/>
          <w:szCs w:val="16"/>
        </w:rPr>
        <w:softHyphen/>
        <w:t>вами -заместителя Геринга, для превращения Люфтваффе в эффективный вид Вооружен</w:t>
      </w:r>
      <w:r w:rsidRPr="0044524F">
        <w:rPr>
          <w:rFonts w:ascii="Times New Roman" w:hAnsi="Times New Roman"/>
          <w:color w:val="000000" w:themeColor="text1"/>
          <w:sz w:val="16"/>
          <w:szCs w:val="16"/>
        </w:rPr>
        <w:softHyphen/>
        <w:t>ных сил требовалось 10лет. Форсированное расширение авиационной отрасли продолжа</w:t>
      </w:r>
      <w:r w:rsidRPr="0044524F">
        <w:rPr>
          <w:rFonts w:ascii="Times New Roman" w:hAnsi="Times New Roman"/>
          <w:color w:val="000000" w:themeColor="text1"/>
          <w:sz w:val="16"/>
          <w:szCs w:val="16"/>
        </w:rPr>
        <w:softHyphen/>
        <w:t xml:space="preserve">лось: </w:t>
      </w:r>
      <w:bookmarkStart w:id="0" w:name="_Hlk149113009"/>
      <w:r w:rsidRPr="0044524F">
        <w:rPr>
          <w:rFonts w:ascii="Times New Roman" w:hAnsi="Times New Roman"/>
          <w:color w:val="000000" w:themeColor="text1"/>
          <w:sz w:val="16"/>
          <w:szCs w:val="16"/>
        </w:rPr>
        <w:t>к осени I938 г. в германской авиапромы</w:t>
      </w:r>
      <w:r w:rsidRPr="0044524F">
        <w:rPr>
          <w:rFonts w:ascii="Times New Roman" w:hAnsi="Times New Roman"/>
          <w:color w:val="000000" w:themeColor="text1"/>
          <w:sz w:val="16"/>
          <w:szCs w:val="16"/>
        </w:rPr>
        <w:softHyphen/>
        <w:t>шленности насчитывалось более 200 000 ра</w:t>
      </w:r>
      <w:r w:rsidRPr="0044524F">
        <w:rPr>
          <w:rFonts w:ascii="Times New Roman" w:hAnsi="Times New Roman"/>
          <w:color w:val="000000" w:themeColor="text1"/>
          <w:sz w:val="16"/>
          <w:szCs w:val="16"/>
        </w:rPr>
        <w:softHyphen/>
        <w:t>ботников (24195).</w:t>
      </w:r>
    </w:p>
    <w:p w14:paraId="426078E0" w14:textId="77777777" w:rsidR="0080592A" w:rsidRPr="0044524F" w:rsidRDefault="0080592A" w:rsidP="009654CF">
      <w:pPr>
        <w:spacing w:after="0" w:line="240" w:lineRule="auto"/>
        <w:jc w:val="both"/>
        <w:rPr>
          <w:rFonts w:ascii="Times New Roman" w:hAnsi="Times New Roman"/>
          <w:color w:val="000000" w:themeColor="text1"/>
          <w:sz w:val="16"/>
          <w:szCs w:val="16"/>
        </w:rPr>
      </w:pPr>
    </w:p>
    <w:bookmarkEnd w:id="0"/>
    <w:p w14:paraId="14B649D1" w14:textId="3C41B74B" w:rsidR="00B6154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03A81A3" w14:textId="77777777" w:rsidR="00B61547" w:rsidRPr="0044524F" w:rsidRDefault="00B6154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F8C1238"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января 1933 удалось освоить - 426 млн. выделенных КВ и незавершенка была 200 - это результаты первой пятилетки в авиастроении (80,419). Отрасль имела 31 завод (5 - самолетные и 4 строились, 3 моторных и 3 строились, 16 - подсобные, ремонтные, опытные) по сравнению с 12 в 1929 (80,419).</w:t>
      </w:r>
    </w:p>
    <w:p w14:paraId="4BA3DD89"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опытное производство в ЦКБ продвигались медленнее, чем обычно, а качество разработок было низким. Однако, за время работы ЦКБ в составе ЦАГИ (около 1,5 лет - 92,409) - до марта 1933 (62, 649), кое-что удалось. Например, по штурмовикам были созданы ЛШ и ТШ-1, по истребителям - ДИ-3, по бомбардировщикам - ТБ-5, по гидросамолетам - МДР-3. Однако после летных испытаний серийные машины не получились (24,54).</w:t>
      </w:r>
    </w:p>
    <w:p w14:paraId="6876BFE3"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Считается, что слабые практические результаты работы ЦКБ, невозможность реально повлиять на их ход вероятно стали причиной подготовки С.В.Ильюшиным предложений по перестройке работы ЦКБ. Интересно, что С.В.Ильюшину пришлось проработать в старом ЦКБ меньше года для того, чтобы подготовить предложения по реорганизации ЦКБ. Предложения были представлены П.И.Баранову и тот обещал подумать. Результатом раздумий стало разукрупнение ЦКБ.</w:t>
      </w:r>
    </w:p>
    <w:p w14:paraId="2EAC4F9E"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p>
    <w:p w14:paraId="2377264F"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 объем незавершенного строительства превышал 200 млн рублей. Принятый на Х1Усъезде ВКП(б) в 1926 г. курс на индустриализацию страны дал мощный импульс развитию авиапромышленности. 16 октября 1929 г. был утвержден первый пятилетний план, в котором на капитальное строительство выделялось из госбюджета 115 млн рублей. Вскоре эта цифра увеличилась до 159 млн руб., а к концу года возросла до 642 млн руб.! Освоить эту сумму полностью не удалосьОтставание обуславливалось не только неумелым планированием, но и откровенной слабостью строй индустрии на местах, острой нехваткой квалифицированных специалистов, распылением средств но десяткам объектов и тотальным фондированием практически всех необходимых материалов. Более того, проектно-сметная документация разрабатывалась конторами на стройках и никак не увязывалась с общими планами и возможностями народного хозяйства (12037).</w:t>
      </w:r>
    </w:p>
    <w:p w14:paraId="2D056A3C"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p>
    <w:p w14:paraId="43C948DA"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официально закончилась первая пятилетка. Было 22 завода + 9 строящихся (4 самолетных + 5 самолетных строящихся; 3 моторных + 1 строящийся; 6 подсобных + 3 строящихся; 4 ремонтных; 5 опытных (1024,1).</w:t>
      </w:r>
    </w:p>
    <w:p w14:paraId="1BFCB0DC"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p>
    <w:p w14:paraId="05511413" w14:textId="77777777" w:rsidR="00A630EB" w:rsidRPr="0044524F" w:rsidRDefault="00A630E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 СОК выде</w:t>
      </w:r>
      <w:r w:rsidRPr="0044524F">
        <w:rPr>
          <w:rFonts w:ascii="Times New Roman" w:hAnsi="Times New Roman"/>
          <w:color w:val="000000" w:themeColor="text1"/>
          <w:sz w:val="16"/>
          <w:szCs w:val="16"/>
        </w:rPr>
        <w:softHyphen/>
        <w:t>лили из состава ЭАО и преобразовали в самостоятельный Отдел особых конструкций (ООК). В конце 1933 г. на тер</w:t>
      </w:r>
      <w:r w:rsidRPr="0044524F">
        <w:rPr>
          <w:rFonts w:ascii="Times New Roman" w:hAnsi="Times New Roman"/>
          <w:color w:val="000000" w:themeColor="text1"/>
          <w:sz w:val="16"/>
          <w:szCs w:val="16"/>
        </w:rPr>
        <w:softHyphen/>
        <w:t>ритории завода ЗОК образовали специальный цех винтовых аппаратов (ЦВА) для изготовления вертолетов и автожиров (20361).</w:t>
      </w:r>
    </w:p>
    <w:p w14:paraId="127BDDDE" w14:textId="77777777" w:rsidR="00A630EB" w:rsidRPr="0044524F" w:rsidRDefault="00A630EB" w:rsidP="009654CF">
      <w:pPr>
        <w:shd w:val="clear" w:color="auto" w:fill="FFFFFF"/>
        <w:spacing w:after="0" w:line="240" w:lineRule="auto"/>
        <w:jc w:val="both"/>
        <w:rPr>
          <w:rFonts w:ascii="Times New Roman" w:hAnsi="Times New Roman"/>
          <w:color w:val="000000" w:themeColor="text1"/>
          <w:sz w:val="16"/>
          <w:szCs w:val="16"/>
        </w:rPr>
      </w:pPr>
    </w:p>
    <w:p w14:paraId="48199D58"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На 1 января 1933 г. в докладе о состоянии работ по опытному моторо- и самолётостроению сказано: «Проведенные испытания в текущем году дали положительные результаты по ускорению взлёта… Со стороны ГДЛ ставится вопрос экспериментирования отдельно хвостовой части самолёта на выявление причин, вызывающих деформацию фюзеляжа от действия ракет… Самолёт находится в ремонте» </w:t>
      </w:r>
      <w:hyperlink r:id="rId6" w:history="1">
        <w:r w:rsidRPr="0044524F">
          <w:rPr>
            <w:rFonts w:ascii="Times New Roman" w:eastAsia="Times New Roman" w:hAnsi="Times New Roman"/>
            <w:color w:val="000000" w:themeColor="text1"/>
            <w:sz w:val="16"/>
            <w:szCs w:val="16"/>
            <w:lang w:eastAsia="ru-RU"/>
          </w:rPr>
          <w:t>[65]</w:t>
        </w:r>
      </w:hyperlink>
      <w:r w:rsidRPr="0044524F">
        <w:rPr>
          <w:rFonts w:ascii="Times New Roman" w:eastAsia="Times New Roman" w:hAnsi="Times New Roman"/>
          <w:color w:val="000000" w:themeColor="text1"/>
          <w:sz w:val="16"/>
          <w:szCs w:val="16"/>
          <w:lang w:eastAsia="ru-RU"/>
        </w:rPr>
        <w:t xml:space="preserve"> .</w:t>
      </w:r>
    </w:p>
    <w:p w14:paraId="19B6265E"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После успешных испытаний У-1 было решено проверить эффективность пороховых ракет при взлёте бомбардировщиков ТБ-1 с двумя моторами М-17. Самолёт для экспериментов выделил Ленинградский военный округ. Так как весил бомбардировщик почти в 10 раз больше, чем У-1, на самолёте установили шесть ускорителей: четыре под крылом и два на крыле. Включение ускорителей осуществлялось с помощью кнопки на штурвале. Воспламенение заряда происходило через гальванические трубки, входившие в сопло ракеты. Как в экспериментах с У-1, ракеты соединялись 12-мм металлическими трубками дублирующей системой огневой связи, которая заставляла все ракеты работать одинаково.</w:t>
      </w:r>
    </w:p>
    <w:p w14:paraId="7BEA9F1D"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Чтобы уменьшить воздействие реактивной струи на хвостовое оперение, в 1933 г. расположение ускорителей изменили. Теперь их установили в связках по три ракеты на верхней поверхности каждого крыла. Они крепились на дюралевых фермах, проходящих сквозь крыло и соединенных с узлами шасси. Угол установки сопел ускорителей подобрали так, чтобы струя газов проходила над горизонтальным стабилизатором и не задевала боковую обшивку фюзеляжа.</w:t>
      </w:r>
    </w:p>
    <w:p w14:paraId="72E719DD"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Испытания велись с 11 июля по 7 августа 1933 г. при различном взлётном весе ТБ-1. Самолёт пилотировал лётчик-испытатель Н.П. Благин, в качестве наблюдающих летали инженеры ГДЛ Дудаков и Ширяев. Было проведено семь взлётов, из них пять — с ускорителями. Каждый ускоритель был рассчитан на 15 шашек пироксилино-тротилового пороха. На подготовку полёта (заряжание ракет, проверка цепи зажигания и др.) уходило от часа до полутора.</w:t>
      </w:r>
    </w:p>
    <w:p w14:paraId="26D816B8"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дневнике испытаний сообщалось:</w:t>
      </w:r>
    </w:p>
    <w:p w14:paraId="4AEC45D1"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11 июля — два взлёта без запуска ускорителей.</w:t>
      </w:r>
    </w:p>
    <w:p w14:paraId="653F4CDF"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16 июля — два взлёта с 3/5 полного заряда ускорителей (9 шашек).</w:t>
      </w:r>
    </w:p>
    <w:p w14:paraId="48750112"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21, 22 июля — взлёты с полным зарядом.</w:t>
      </w:r>
    </w:p>
    <w:p w14:paraId="4BB6E542"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7 августа — взлёт с ускорителями с увеличенным до 8 т полётном весе самолёта (сверх программы, по указанию начальника ВВС Алксниса) </w:t>
      </w:r>
      <w:hyperlink r:id="rId7" w:history="1">
        <w:r w:rsidRPr="0044524F">
          <w:rPr>
            <w:rFonts w:ascii="Times New Roman" w:eastAsia="Times New Roman" w:hAnsi="Times New Roman"/>
            <w:color w:val="000000" w:themeColor="text1"/>
            <w:sz w:val="16"/>
            <w:szCs w:val="16"/>
            <w:lang w:eastAsia="ru-RU"/>
          </w:rPr>
          <w:t>[66]</w:t>
        </w:r>
      </w:hyperlink>
      <w:r w:rsidRPr="0044524F">
        <w:rPr>
          <w:rFonts w:ascii="Times New Roman" w:eastAsia="Times New Roman" w:hAnsi="Times New Roman"/>
          <w:color w:val="000000" w:themeColor="text1"/>
          <w:sz w:val="16"/>
          <w:szCs w:val="16"/>
          <w:lang w:eastAsia="ru-RU"/>
        </w:rPr>
        <w:t xml:space="preserve"> .</w:t>
      </w:r>
    </w:p>
    <w:p w14:paraId="4285E706"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Наилучший эффект достигался при включении ускорителей после короткого пробега при полной тяге винтов.</w:t>
      </w:r>
    </w:p>
    <w:p w14:paraId="25FCA70D"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октябре прошли государственные испытания ТБ-1 с ускорителями. Ведущим лётчиком был испытатель НИИ ВВС К.П. Миндер.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 (17489).</w:t>
      </w:r>
    </w:p>
    <w:p w14:paraId="68A15757"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p>
    <w:p w14:paraId="10A09899"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На 1 января 1933 г. в докладе о состоянии работ по опытному моторо- и самолётостроению сообщалось: «Работа по реактивному двигателю на жидком топливе ведётся в ГИРД ОСОАВИАХИМА… Двигатель ГИРД проходит исследовательские испытания. Срок окончания последних в настоящее время определить нельзя. В случае положительного результата двигатель будет установлен на лёгкий самолёт летающее крыло, уже построенный и испытанный» </w:t>
      </w:r>
      <w:hyperlink r:id="rId8" w:history="1">
        <w:r w:rsidRPr="0044524F">
          <w:rPr>
            <w:rFonts w:ascii="Times New Roman" w:eastAsia="Times New Roman" w:hAnsi="Times New Roman"/>
            <w:color w:val="000000" w:themeColor="text1"/>
            <w:sz w:val="16"/>
            <w:szCs w:val="16"/>
            <w:lang w:eastAsia="ru-RU"/>
          </w:rPr>
          <w:t>[262]</w:t>
        </w:r>
      </w:hyperlink>
      <w:r w:rsidRPr="0044524F">
        <w:rPr>
          <w:rFonts w:ascii="Times New Roman" w:eastAsia="Times New Roman" w:hAnsi="Times New Roman"/>
          <w:color w:val="000000" w:themeColor="text1"/>
          <w:sz w:val="16"/>
          <w:szCs w:val="16"/>
          <w:lang w:eastAsia="ru-RU"/>
        </w:rPr>
        <w:t>.</w:t>
      </w:r>
    </w:p>
    <w:p w14:paraId="7C0ADFF3"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По расчёту, при тяге двигателя 50 кгс в течение 1 минуты ракетоплан должен был развить скорость 139 км/ч, его скороподъёмность равнялась 2,2 м/с. </w:t>
      </w:r>
      <w:hyperlink r:id="rId9" w:history="1">
        <w:r w:rsidRPr="0044524F">
          <w:rPr>
            <w:rFonts w:ascii="Times New Roman" w:eastAsia="Times New Roman" w:hAnsi="Times New Roman"/>
            <w:color w:val="000000" w:themeColor="text1"/>
            <w:sz w:val="16"/>
            <w:szCs w:val="16"/>
            <w:lang w:eastAsia="ru-RU"/>
          </w:rPr>
          <w:t>[263]</w:t>
        </w:r>
      </w:hyperlink>
      <w:r w:rsidRPr="0044524F">
        <w:rPr>
          <w:rFonts w:ascii="Times New Roman" w:eastAsia="Times New Roman" w:hAnsi="Times New Roman"/>
          <w:color w:val="000000" w:themeColor="text1"/>
          <w:sz w:val="16"/>
          <w:szCs w:val="16"/>
          <w:lang w:eastAsia="ru-RU"/>
        </w:rPr>
        <w:t xml:space="preserve"> Но снять характеристики в полёте не удалось. 28 марта 1933 г. умер Ф.А. Цандер, и ОР-2 так и не удалось довести до состояния, позволяющего установить его на летательный аппарат. По указанию руководства, оба РП-1, считавшиеся секретными, были преданы огню.</w:t>
      </w:r>
    </w:p>
    <w:p w14:paraId="483E5A39"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Одновременно с опытами с РП-1, в ГИРДе проектировали ракетопланы РП-2 и РП-3. На РП-2 планировалось установить ЖРД РДА-1 тягой 100 кгс, имевший насосную систему подачи горючего и окислителя. Насосная система была выгоднее вытеснительной (баки и трубопроводы до насоса не находились под высоким давлением, что позволяло сделать их легче и безопаснее в эксплуатации), но добиться надёжной и эффективной работы насоса в то время не смогли. РП-3, проектировавшийся под руководством А.В. Чесалова, представлял собой двухместный самолёт с комбинированной силовой установкой, состоящей из ЖРД тягой 300 кгс и поршневого двигателя мощностью 250–300 л. с. Поршневой двигатель предназначался для взлёта и набора высоты 5–6 км, затем включался ракетный двигатель, с помощью которого РП-3 должен был подняться на 12-километровую высоту и развить скорость до 800 км/ч. Экипаж — пилот и инженер-экспериментатор — помещались в гермокабине. Предусматривалось, что в аварийной ситуации кабина с экипажем будет отделяться и опускаться на специальном парашюте, удар при приземлении гасился надувной резиновой камерой </w:t>
      </w:r>
      <w:hyperlink r:id="rId10" w:history="1">
        <w:r w:rsidRPr="0044524F">
          <w:rPr>
            <w:rFonts w:ascii="Times New Roman" w:eastAsia="Times New Roman" w:hAnsi="Times New Roman"/>
            <w:color w:val="000000" w:themeColor="text1"/>
            <w:sz w:val="16"/>
            <w:szCs w:val="16"/>
            <w:lang w:eastAsia="ru-RU"/>
          </w:rPr>
          <w:t>[264]</w:t>
        </w:r>
      </w:hyperlink>
      <w:r w:rsidRPr="0044524F">
        <w:rPr>
          <w:rFonts w:ascii="Times New Roman" w:eastAsia="Times New Roman" w:hAnsi="Times New Roman"/>
          <w:color w:val="000000" w:themeColor="text1"/>
          <w:sz w:val="16"/>
          <w:szCs w:val="16"/>
          <w:lang w:eastAsia="ru-RU"/>
        </w:rPr>
        <w:t xml:space="preserve"> .</w:t>
      </w:r>
    </w:p>
    <w:p w14:paraId="1B181ABF"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Тем временем произошли организационные изменения. Ещё в 1932 г. на правительственном уровне велось обсуждение организации лаборатории по ракетным двигателям для самолётов с привлечением сотрудников Института авиационного моторостроения и ГИРДа, с последующим развитием этой лаборатории в специальный институт </w:t>
      </w:r>
      <w:hyperlink r:id="rId11" w:history="1">
        <w:r w:rsidRPr="0044524F">
          <w:rPr>
            <w:rFonts w:ascii="Times New Roman" w:eastAsia="Times New Roman" w:hAnsi="Times New Roman"/>
            <w:color w:val="000000" w:themeColor="text1"/>
            <w:sz w:val="16"/>
            <w:szCs w:val="16"/>
            <w:lang w:eastAsia="ru-RU"/>
          </w:rPr>
          <w:t>[265]</w:t>
        </w:r>
      </w:hyperlink>
      <w:r w:rsidRPr="0044524F">
        <w:rPr>
          <w:rFonts w:ascii="Times New Roman" w:eastAsia="Times New Roman" w:hAnsi="Times New Roman"/>
          <w:color w:val="000000" w:themeColor="text1"/>
          <w:sz w:val="16"/>
          <w:szCs w:val="16"/>
          <w:lang w:eastAsia="ru-RU"/>
        </w:rPr>
        <w:t xml:space="preserve"> . В 1934 г. ГИРД преобразовали в Реактивный научно-исследовательский институт (РНИИ) Наркомата тяжёлой промышленности, а близкую по тематике Ленинградскую газодинамическую лабораторию (ГДЛ) перевели в Москву и влили в РНИИ. Среди прибывших из ГДЛ сотрудников был Валентин Петрович Глушко — конструктор жидкостных ракетных двигателей «ОРМ» (17489).</w:t>
      </w:r>
    </w:p>
    <w:p w14:paraId="06C6C34B" w14:textId="77777777" w:rsidR="00CB6568" w:rsidRPr="0044524F" w:rsidRDefault="00CB6568" w:rsidP="009654CF">
      <w:pPr>
        <w:spacing w:after="0" w:line="240" w:lineRule="auto"/>
        <w:jc w:val="both"/>
        <w:rPr>
          <w:rFonts w:ascii="Times New Roman" w:eastAsia="Times New Roman" w:hAnsi="Times New Roman"/>
          <w:color w:val="000000" w:themeColor="text1"/>
          <w:sz w:val="16"/>
          <w:szCs w:val="16"/>
          <w:lang w:eastAsia="ru-RU"/>
        </w:rPr>
      </w:pPr>
    </w:p>
    <w:p w14:paraId="123EC6AD"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 готовность самолета ДИП (заказ № 7091) составляла 12 процентов (9538,27).</w:t>
      </w:r>
    </w:p>
    <w:p w14:paraId="0D5897B1"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p>
    <w:p w14:paraId="1AC027A9"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января 1933 года в ЦАГИ был построен второй экземпляр Р5 с разрезными крыльями, в котором должны были быть устранены дефекты, обнаруженные на первом экземпляре. К лету 1932 года ЦАГИ установил предкрылки и закрылки на самолете Р5 М-17. Испытание этого самолета в НИИ ВВС показало, что хотя посадочная скорость самолета, благодаря установке разрезных крыльев была уменьшена на 15-20%, однако летные данные самолета ухудшились и сама конструкция разрезных крыльев обладала рядом крупных дефектов, благодаря чему построенный самолет Р5 с разрезными крыльями не мог служить образцом для серийной постройки таких самолетов (3530,91).</w:t>
      </w:r>
    </w:p>
    <w:p w14:paraId="58BE4760"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p>
    <w:p w14:paraId="16C50492" w14:textId="77777777" w:rsidR="00B61547" w:rsidRPr="0044524F" w:rsidRDefault="00B6154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января 1933 г. в ВВС было 348 И-5. В 1936 г. их уже начали снимать с вооружения. В 1938 г. в ВВС Забайкальского военного округа оставалось 6 ма</w:t>
      </w:r>
      <w:r w:rsidRPr="0044524F">
        <w:rPr>
          <w:rFonts w:ascii="Times New Roman" w:hAnsi="Times New Roman"/>
          <w:color w:val="000000" w:themeColor="text1"/>
          <w:sz w:val="16"/>
          <w:szCs w:val="16"/>
        </w:rPr>
        <w:softHyphen/>
        <w:t>шин, Киевского - 10, Закавказского - 3, Ленинградского - 8. В апреле 1940 г. в списках самолетного парка ВВС числилось 238 И-5, использовавшихся в летных школах. В ВВС ВМФ смена парка проходила медленнее: в 1935 г. в составе ВВС флота имелось 73 машины, годом позже - 152 (из них 41 - на Черном море, остальные - на Тихом океане); в январе 1940 г. 31 машина находилось в частях флота и 20 самолетов - в училищах морской авиации. И-5 летал и за пределами нашей страны. В октябре 1935 г. перед лицом японской угрозы 21-я эскадрилья из двух отрядов перелетела в Монголию, в Тамсаг-Булак, где занималась патрулированием границы (10667).</w:t>
      </w:r>
    </w:p>
    <w:p w14:paraId="1F4D0E96" w14:textId="77777777" w:rsidR="00B61547" w:rsidRPr="0044524F" w:rsidRDefault="00B6154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55726" w14:textId="77777777" w:rsidR="00B61547" w:rsidRPr="0044524F" w:rsidRDefault="00B6154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 в строю оставался один И-6 (10729).</w:t>
      </w:r>
    </w:p>
    <w:p w14:paraId="1B5D31A9" w14:textId="77777777" w:rsidR="00B61547" w:rsidRPr="0044524F" w:rsidRDefault="00B6154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46E69A"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началось производства дизель-мотора Н-5 конструкции ОКБ НКВД (2310,130).</w:t>
      </w:r>
    </w:p>
    <w:p w14:paraId="78098359"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p>
    <w:p w14:paraId="2000F2A2"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Нач. управления военных изобретений (УВИ) писал письмо в ГУАП:</w:t>
      </w:r>
    </w:p>
    <w:p w14:paraId="5F68E9B8"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Новочеркасского авианститута Левков предложил УВИ свое изобретение, представляющее большой интерес. Для демонстрации работы модели указанного изобретения Левкову необходим специальный выезд в Москву в конце января - начале февраля в зависимости от хода работ по изготовлению модели - это СВП". УВИ направило модель в ЦАГИ и отзыв подписали Г.Х.Саблин и К.А.Ушаков - выразили сомнение в практической пользе (3095,30).</w:t>
      </w:r>
    </w:p>
    <w:p w14:paraId="56DB32E0"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p>
    <w:p w14:paraId="323B9EF5"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344DDFD7"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Паспорт завода № 1 им. Авихима</w:t>
      </w:r>
    </w:p>
    <w:p w14:paraId="2A9115D8"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расположен в Москве, в черте города, на двух разделенных территориях.</w:t>
      </w:r>
    </w:p>
    <w:p w14:paraId="1AFFD809"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старой – в районе Ленинградского шоссе между 1 и 3 улицами Ямского поля и на новой – по Ленинградскому шоссе между Боткинской больницей и Ленинградским шоссе.</w:t>
      </w:r>
    </w:p>
    <w:p w14:paraId="640F9F91"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старой территории в настоящее время находятся лишь заготовительные цеха, которые останутся там до окончания постройки на новой территории гл. корпуса для инструментальных и ремонтных цехов.</w:t>
      </w:r>
    </w:p>
    <w:p w14:paraId="466976C3"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1 организован в 1918 году из существовавшего до революции завода Дукс, изготовлявшего до 1910 года велосипеды и велосипедные части.</w:t>
      </w:r>
    </w:p>
    <w:p w14:paraId="56FDDEB2"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1930 года завод был на старом месте; в 1930 году был отстроен корпус для самолетосборочного цеха на новой территории.</w:t>
      </w:r>
    </w:p>
    <w:p w14:paraId="645533EB"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1931 года из состава завода было выделено подсобное производство в самостоятельные заводы:</w:t>
      </w:r>
    </w:p>
    <w:p w14:paraId="33B5B5BC"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металлургического производства – завод № 34</w:t>
      </w:r>
    </w:p>
    <w:p w14:paraId="5D09AE55"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производства предметов вооружения – завод № 32</w:t>
      </w:r>
    </w:p>
    <w:p w14:paraId="5771E631"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расположенный частично на старой территории и продолжая строительство на новой, куда к середине 1933 года предложено перевести весь завод, таковой представляет из себя предприятие, предназначенное для изготовления самолетов типа разведчик и истребитель, смешанных и сварных конструкций.</w:t>
      </w:r>
    </w:p>
    <w:p w14:paraId="4798D48B"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Имея до 1910 года производство велосипедов и велосипедных частей, завод в 1910 году построил первый самолет системы «Фарман». В годы Империалистической войны завод развивает авиационное производство и количество рабочих на заводе доходит до 3500 человек.</w:t>
      </w:r>
    </w:p>
    <w:p w14:paraId="4D1EC42B"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1917 году производство самолетов и велосипедов прекращается, а количество рабочих падает до 150-200 человек. С 1918 года восстанавливается производство велосипедов и самолетов, постепенно увеличивается количество рабочих и развивается авиационное производство.</w:t>
      </w:r>
    </w:p>
    <w:p w14:paraId="30588023"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1926 году завод прекращает изготовление велосипедов, сосредоточив все внимание на производстве самолетов и предметов их вооружения и с этого года заводом постепенно внедряется производство и устанавливается выпуск последовательно следующих машин:</w:t>
      </w:r>
    </w:p>
    <w:p w14:paraId="4E388260"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Р-1, И2-бис, И-3, Р5, И5, И7 (9291).</w:t>
      </w:r>
    </w:p>
    <w:p w14:paraId="68EE7789" w14:textId="77777777" w:rsidR="00B61547" w:rsidRPr="0044524F" w:rsidRDefault="00B61547" w:rsidP="009654CF">
      <w:pPr>
        <w:autoSpaceDE w:val="0"/>
        <w:autoSpaceDN w:val="0"/>
        <w:adjustRightInd w:val="0"/>
        <w:spacing w:after="0" w:line="240" w:lineRule="auto"/>
        <w:jc w:val="both"/>
        <w:rPr>
          <w:rFonts w:ascii="Times New Roman" w:hAnsi="Times New Roman"/>
          <w:color w:val="000000" w:themeColor="text1"/>
          <w:sz w:val="16"/>
          <w:szCs w:val="16"/>
        </w:rPr>
      </w:pPr>
    </w:p>
    <w:p w14:paraId="1F6CBABB" w14:textId="77777777" w:rsidR="00552872" w:rsidRPr="0044524F" w:rsidRDefault="0055287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29446A5B" w14:textId="77777777" w:rsidR="00552872" w:rsidRPr="0044524F" w:rsidRDefault="0055287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Паспорт завода № 22</w:t>
      </w:r>
    </w:p>
    <w:p w14:paraId="40B0F768" w14:textId="77777777" w:rsidR="00552872" w:rsidRPr="0044524F" w:rsidRDefault="0055287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Завод № 22 им. «Десятилетия Октября» расположен на 7 км от Москвы при ст. Фили на правом берегу Москвы-реки против Ходынки. С Москвой завод соединен трамвайной линией и асфальтированной дорогой, а со ст. Фили ж/д веткой.</w:t>
      </w:r>
    </w:p>
    <w:p w14:paraId="60101C28" w14:textId="77777777" w:rsidR="00552872" w:rsidRPr="0044524F" w:rsidRDefault="0055287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в настоящее время предназначен для производства средних и тяжелых металлических самолетов, как военных, так и гражданских.</w:t>
      </w:r>
    </w:p>
    <w:p w14:paraId="65152064" w14:textId="77777777" w:rsidR="00552872" w:rsidRPr="0044524F" w:rsidRDefault="0055287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реконструирован из Русско-Балтийского автомобильного завода, построенного в 1916 году. После революции, частично в недостроенном виде, завод был передан Центральному управлению автозаводов. В 1921 году завод был передан Управлению бронесил Республики. В 1923 году завод стал Концессией Германской авиационной фирмы «Юнкерс». Проработав до середины 1925 года фирма «Юнкерс» прекратила работы по самолетостроению и существовала на бумаге 2 года, в 1927 году была ликвидирована и завод перешел в ведение Авиатреста и затем Глававиапрома.</w:t>
      </w:r>
    </w:p>
    <w:p w14:paraId="768891D0" w14:textId="77777777" w:rsidR="00552872" w:rsidRPr="0044524F" w:rsidRDefault="0055287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Официальное открытие завода № 22 состоялось 7 ноября 1927 года.</w:t>
      </w:r>
    </w:p>
    <w:p w14:paraId="704ED192" w14:textId="77777777" w:rsidR="00552872" w:rsidRPr="0044524F" w:rsidRDefault="0055287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году завод производил следующую продукцию:</w:t>
      </w:r>
    </w:p>
    <w:p w14:paraId="1ACAB55E" w14:textId="77777777" w:rsidR="00BD343D" w:rsidRPr="0044524F" w:rsidRDefault="00BD343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АНТ-9 с тремя моторами М-26. Производственный цикл изготовления этого самолета на заводе № 22 в 1932 году был 5 месяцев.</w:t>
      </w:r>
    </w:p>
    <w:p w14:paraId="6D9C9D34" w14:textId="77777777" w:rsidR="00BD343D" w:rsidRPr="0044524F" w:rsidRDefault="00BD343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Р-6 с двумя моторами М-17. Производственный цикл изготовления этого самолета на заводе № 22 в 1932 году был 5 месяцев.</w:t>
      </w:r>
    </w:p>
    <w:p w14:paraId="2C47CDBA" w14:textId="77777777" w:rsidR="00BD343D" w:rsidRPr="0044524F" w:rsidRDefault="00BD343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ТБ-3 с четырьмя моторами М-17. Производственный цикл изготовления этого самолета на заводе № 22 в 1932 году был 6 месяцев.</w:t>
      </w:r>
    </w:p>
    <w:p w14:paraId="59AC1988" w14:textId="77777777" w:rsidR="00BD343D" w:rsidRPr="0044524F" w:rsidRDefault="00BD343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году завод переходит в основном к производству машины ТБ3, заканчивая в первом полугодии выпуск машин АНТ-9 и Р6. Нужно отметить, что самолет ТБ3 по сравнению с другими машинами, выпущенными заводом до сего времени, дал резкий скачек, как в смысле мощности самой машины, так и в смысле сложности организации технологического процесса (9291)</w:t>
      </w:r>
    </w:p>
    <w:p w14:paraId="3A5C62C1" w14:textId="77777777" w:rsidR="00BD343D" w:rsidRPr="0044524F" w:rsidRDefault="00BD343D" w:rsidP="009654CF">
      <w:pPr>
        <w:autoSpaceDE w:val="0"/>
        <w:autoSpaceDN w:val="0"/>
        <w:adjustRightInd w:val="0"/>
        <w:spacing w:after="0" w:line="240" w:lineRule="auto"/>
        <w:jc w:val="both"/>
        <w:rPr>
          <w:rFonts w:ascii="Times New Roman" w:hAnsi="Times New Roman"/>
          <w:color w:val="000000" w:themeColor="text1"/>
          <w:sz w:val="16"/>
          <w:szCs w:val="16"/>
        </w:rPr>
      </w:pPr>
    </w:p>
    <w:p w14:paraId="0545529E" w14:textId="77777777" w:rsidR="00E90940" w:rsidRPr="0044524F" w:rsidRDefault="00E90940"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4F7F3C55" w14:textId="77777777" w:rsidR="00E90940" w:rsidRPr="0044524F" w:rsidRDefault="00E90940"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Паспорт завода № 23</w:t>
      </w:r>
    </w:p>
    <w:p w14:paraId="5F3A66EA" w14:textId="77777777" w:rsidR="00E90940" w:rsidRPr="0044524F" w:rsidRDefault="00E90940"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находится в Ленинграде и состоит из 2-х частей:</w:t>
      </w:r>
    </w:p>
    <w:p w14:paraId="5E8AF746" w14:textId="77777777" w:rsidR="006729A9" w:rsidRPr="0044524F" w:rsidRDefault="006729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Основная часть – на Петроградской стороне по Строгановской набережной, № 1. С южной стороны завода протекает река Большая Невка, с восточной и северной стороны – Черная речка.</w:t>
      </w:r>
    </w:p>
    <w:p w14:paraId="143D1139" w14:textId="77777777" w:rsidR="00C92D08" w:rsidRPr="0044524F" w:rsidRDefault="00C92D08" w:rsidP="009654CF">
      <w:pPr>
        <w:pStyle w:val="24"/>
        <w:widowControl/>
        <w:rPr>
          <w:color w:val="000000" w:themeColor="text1"/>
        </w:rPr>
      </w:pPr>
      <w:r w:rsidRPr="0044524F">
        <w:rPr>
          <w:color w:val="000000" w:themeColor="text1"/>
        </w:rPr>
        <w:t>Дополнительная часть завода, т.н. аэродром, расположена у Комендантского аэродрома, близь ст. Новая деревня на расстоянии около 3-х км от основного завода.</w:t>
      </w:r>
    </w:p>
    <w:p w14:paraId="05CA748D" w14:textId="77777777" w:rsidR="00C92D08" w:rsidRPr="0044524F" w:rsidRDefault="00C92D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имеет своим назначением изготовление самолетов легкого типа, гл. образом учебных, смешанной конструкции.</w:t>
      </w:r>
    </w:p>
    <w:p w14:paraId="42E60B95" w14:textId="77777777" w:rsidR="0044428B" w:rsidRPr="0044524F" w:rsidRDefault="0044428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Возникновения завода № 23 имевшего последовательно названия «Государственный авиационный завод» (ГАЗ), завод «Кр. Летчик» и наконец завод № 23, относится к 1921 году. Этот год является началом работ по восстановлению зданий бывш. Русско-Балтийского завода и сосредоточения на нем оборудования, выделенного от основных 4-х предприятий авиапромышленности Ленинграда ( в 1920 году авиационная промышленность Ленинграда насчитывала четыре авиационных завода, выросших и развившихся в период с 1911 года по 1917 год):</w:t>
      </w:r>
    </w:p>
    <w:p w14:paraId="0E571C1D" w14:textId="77777777" w:rsidR="00697A24" w:rsidRPr="0044524F" w:rsidRDefault="00697A2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Завода «Лебедь» на Комендантском аэродроме изготовлял сухопутные самолеты, первоначально копируя заграничные типы, гл. образом французские и немецкие и позже самолет своих конструкций «Лебедь XII». Имел в 1920 году в производстве самолеты: Сопвич с мотором Клерже-130 сил и истребители Ньюпор 21, Ньюпор 17 с мотором РОН-120 сил и заканчивавшем постройкой гидросамолет с двумя моторами Роллс-Ройс по 250 сил каждый.</w:t>
      </w:r>
    </w:p>
    <w:p w14:paraId="3EDE34DD" w14:textId="77777777" w:rsidR="00697A24" w:rsidRPr="0044524F" w:rsidRDefault="00697A2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Завода ГАМАЮН, расположенный на Большой Гребецкой улице, строил самолеты конструкции русского инженера Д.П. Григоровича, специализируясь на гидросамолетах. Строил в 1920 году самолеты М-9 с мотором Сальмсон – 150 сил и самолеты М-20 с мотором РО2-120 сил и сгоревший в том же году от неизвестной причины.</w:t>
      </w:r>
    </w:p>
    <w:p w14:paraId="6D9EE231" w14:textId="77777777" w:rsidR="00697A24" w:rsidRPr="0044524F" w:rsidRDefault="00697A2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Завода Русско-Балтийский – филиал Русско-Балтийского вагоностроительного завода, строившего с 1911 года до Революции самолеты конструкции Сикорского (С-5, С-10, С-16 и типа Илья Муромец); в годы Революции был законсервирован и частично эвакуирован в Сарапул.</w:t>
      </w:r>
    </w:p>
    <w:p w14:paraId="03585ED3" w14:textId="77777777" w:rsidR="00697A24" w:rsidRPr="0044524F" w:rsidRDefault="00697A2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Завода Слесаренко, строившего копии французский самолетов: к 1920 году закончил свое производство, оставив бесхозяйственно помещения и остатки незаконченной продукции.</w:t>
      </w:r>
    </w:p>
    <w:p w14:paraId="703A8337" w14:textId="77777777" w:rsidR="00D37E7B" w:rsidRPr="0044524F" w:rsidRDefault="00D37E7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восстановлению самолетного производства на территории бывш. Русско-Балтийского завода заканчиваются к 1 мая 1922 года и с этого момента фактически новое предприятие нынешний завод № 23 приступает к своей первой производственной программе.</w:t>
      </w:r>
    </w:p>
    <w:p w14:paraId="0FC8C886" w14:textId="77777777" w:rsidR="00D37E7B" w:rsidRPr="0044524F" w:rsidRDefault="00D37E7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первого года производства характеризуется разнообразием работ, работой без чертежей «по памяти». В программе – достройка гидросамолетов Телье с мотором Рено-220 сил, постройка новых гидросамолетов-лодки М-9 с мотором Сальмсон и достройка самолетов Сопвич (мотор Клерме-130 сил)</w:t>
      </w:r>
      <w:r w:rsidR="007218D2" w:rsidRPr="0044524F">
        <w:rPr>
          <w:rFonts w:ascii="Times New Roman" w:hAnsi="Times New Roman"/>
          <w:color w:val="000000" w:themeColor="text1"/>
          <w:sz w:val="16"/>
          <w:szCs w:val="16"/>
        </w:rPr>
        <w:t xml:space="preserve"> (9291)</w:t>
      </w:r>
      <w:r w:rsidRPr="0044524F">
        <w:rPr>
          <w:rFonts w:ascii="Times New Roman" w:hAnsi="Times New Roman"/>
          <w:color w:val="000000" w:themeColor="text1"/>
          <w:sz w:val="16"/>
          <w:szCs w:val="16"/>
        </w:rPr>
        <w:t>.</w:t>
      </w:r>
    </w:p>
    <w:p w14:paraId="24C173C1" w14:textId="77777777" w:rsidR="003366DD" w:rsidRPr="0044524F" w:rsidRDefault="003366DD" w:rsidP="009654C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p w14:paraId="2C8279FF"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248EFF09"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Паспорт завода № 31</w:t>
      </w:r>
    </w:p>
    <w:p w14:paraId="1CDAB61E"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расположен в Северо-Кавказском крае на берегу Азовского моря в предместье г. Карантин в 4 км от Таганрога.</w:t>
      </w:r>
    </w:p>
    <w:p w14:paraId="0D895912"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Расположение завода на самом берегу морского залива и наличие сухопутного аэродрома обеспечивают возможность массового изготовления как морских, так и сухопутных самолетов; возможности расширения территории завода имеются.</w:t>
      </w:r>
    </w:p>
    <w:p w14:paraId="692AB58B"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завод имеет своим назначением серийное производство металлических сухопутных и морских самолетов, а также самолетов – гидро и амфибий деревянных конструкций.</w:t>
      </w:r>
    </w:p>
    <w:p w14:paraId="26838391"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начал строиться примерно в 1914 году под названием «Лебедь» и до 1920 года служил преимущественно ремонтной базой морских самолетов. С 1923 года завод начал свое дальнейшее развитие и были выстроены и оборудованы механический и деревостаночный цеха. Постепенно завод переходит к освоению и постройке сухопутных самолетов типа «Де-Хэвилэнд 9», постепенно видоизменяя этот тип в Р-1; одновременно начинается постройка морского (поплавкового) варианта этого типа под названием МР1.</w:t>
      </w:r>
    </w:p>
    <w:p w14:paraId="1E5B2500"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году завод дополнительно осваивает и ставит на серийное производство сухопутный самолет Р5 и морской самолет МБР-4. В 1932 году добавляются еще новые типы самолетов: гражданский АНТ-9, Амфибия Ш-2 и металлический военный Р-6.</w:t>
      </w:r>
    </w:p>
    <w:p w14:paraId="29A723E1"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Р-6 с двумя моторами М-17. Производственный цикл изготовления этого самолета в 1932 году на заводе № 31 был 6 месяцев.</w:t>
      </w:r>
    </w:p>
    <w:p w14:paraId="0C182F08"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АНТ-9 с тремя моторами М26. Производственный цикл изготовления этого самолета в 1932 году на заводе № 31 был 6 месяцев.</w:t>
      </w:r>
    </w:p>
    <w:p w14:paraId="16D0F38A"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МБР-4 с одним мотором АССО. Производственный цикл изготовления этого гидросамолета в 1932 году на заводе № 31 был 5 месяцев.</w:t>
      </w:r>
    </w:p>
    <w:p w14:paraId="691BC05C"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Ш-2 с одним мотором М-11. Производственный цикл изготовления этого самолета в 1932 году на заводе № 31 был 3,5 месяца (9291).</w:t>
      </w:r>
    </w:p>
    <w:p w14:paraId="68AF7158" w14:textId="77777777" w:rsidR="00305638" w:rsidRPr="0044524F" w:rsidRDefault="00305638" w:rsidP="009654CF">
      <w:pPr>
        <w:autoSpaceDE w:val="0"/>
        <w:autoSpaceDN w:val="0"/>
        <w:adjustRightInd w:val="0"/>
        <w:spacing w:after="0" w:line="240" w:lineRule="auto"/>
        <w:jc w:val="both"/>
        <w:rPr>
          <w:rFonts w:ascii="Times New Roman" w:hAnsi="Times New Roman"/>
          <w:color w:val="000000" w:themeColor="text1"/>
          <w:sz w:val="16"/>
          <w:szCs w:val="16"/>
        </w:rPr>
      </w:pPr>
    </w:p>
    <w:p w14:paraId="2D9C3AB3"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5D84B6E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Паспорт завода № 39</w:t>
      </w:r>
    </w:p>
    <w:p w14:paraId="476A6A07"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расположен в Москве в Краснопресненском районе в Петровском парке. Основные здания завода расположены компактно в начале Ленинградского шоссе; только деревообделочный цех находится несколько в стороне на расстоянии 2-х км от гл. территории завода (на территории бывш. завода № 25).</w:t>
      </w:r>
    </w:p>
    <w:p w14:paraId="587276C4"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Основная территория завода замкнута со всех четырех сторон и потому является предельной и дальнейшее расширение ее невозможно.</w:t>
      </w:r>
    </w:p>
    <w:p w14:paraId="3A433072"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завод имеет своим назначением серийное производство средних и тяжелых цельнометаллических самолетов.</w:t>
      </w:r>
    </w:p>
    <w:p w14:paraId="3EA646D4"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Возникновение завода относится к 1917 году, когда он начал свое существование под названием «Ремонтная мастерская Авиапарка», которая в 1921 году была переименована в «Ремвоздухзавод № 1» с включением в Объединение «Промвоздуха». В 1922 году завод был переименован в «Авиаработник». Наконец в 1929 году завод был передан в ведение Авиатреста и получил название Государственного авиационного завода № 39.</w:t>
      </w:r>
    </w:p>
    <w:p w14:paraId="0BF7FC73"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момента своего возникновения до середины 1930 года завод занимался преимущественно ремонтом (текущим, средним и капитальным) военных самолетов и даже моторов. С середины 1930 года, когда ему была передана группа опытного самолетостроения с завода № 22, а затем в него был влит завод № 25, также занимавшийся опытным самолетостроением, завод № 39 в целом был переключен на производство опытных самолетов, чем занимался в течение 1931 года, одно время (с августа 1931 года по март 1932 года) слившись с ЦАГИ.</w:t>
      </w:r>
    </w:p>
    <w:p w14:paraId="439C7B8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период опытного самолетостроения завод № 39 изготовил 13 самолетов И-5 и 100 фюзеляжей для него для завода № 1, два самолета «ТШ», два самолета «ДИ3», 1 самолет МБР-1, 1 самолет МДР-1, 1 самолет «ШОН», 1 самолет ТБ-5, за который завод был награжден орденом Ленина, самолет «Z», введенный в серию в 1932 году, несколько разновидностей авиаэтки конструкции Яковлева «АИР».</w:t>
      </w:r>
    </w:p>
    <w:p w14:paraId="653CBDC4"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году завод производил следующую продукцию:</w:t>
      </w:r>
    </w:p>
    <w:p w14:paraId="6648F778"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«Z» с мотором М-22. Производственный цикл его изготовления к концу 1932 года был доведен до 4,5 месяцев.</w:t>
      </w:r>
    </w:p>
    <w:p w14:paraId="184AACAF"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ТБ-3 с четырьмя моторами М-17. Производственный цикл его изготовления к 1933 году будет доведен до 5 месяцев.</w:t>
      </w:r>
    </w:p>
    <w:p w14:paraId="03CF733F"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Глиссеры, изготовлявшиеся в первой половине 1932 года.</w:t>
      </w:r>
    </w:p>
    <w:p w14:paraId="4884D7C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имеет непосредственный выход на аэродром.</w:t>
      </w:r>
    </w:p>
    <w:p w14:paraId="2B57E236"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«особого» квартала 1930 года со времени возникновения завод занимался ремонтом военных самолетов (ремонт гражданских производился лишь в очень редких, исключительных случаях).</w:t>
      </w:r>
    </w:p>
    <w:p w14:paraId="658E0C6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середины 1930 года производство опытных самолетов становится основной задачей завода. Однако, это свое последнее назначение завод выполнял лишь немного более года, так как с января 1932 года заданием завода уже становится серийное самолетостроение, причем первоначально предполагалось кооперирование завода № 39 с другими заводами. Но затем эта установка была отменена и заводу было поручено совершенно самостоятельное серийное производство самолетов.</w:t>
      </w:r>
    </w:p>
    <w:p w14:paraId="157FB77F"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Номенклатура продукции завода № 39 по основному виду не велика: военные самолеты, но разновидность последних, особенно в период опытного производства, доходила почти до десятка. Из основных могут быть названы следующие типы:</w:t>
      </w:r>
    </w:p>
    <w:p w14:paraId="5FAF4D50"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(Истребитель) – эти самолеты изготовлялись в 1930 году, причем в порядке опытных их было изготовлено 3 штуки (один «16-й съезд Советов» с русским мотором М15), а затем в порядке серии 10 штук. По изготовлении этих самолетов завод № 39 был кроме того кооперирован с заводом № 1, для которого он исполнил 100 фюзеляжей с моторамами и разные детали; фюзеляж 101-й послужил основой для самолета «Менжинец», который был изготовлен средствами завода № 39 в 1931 году.</w:t>
      </w:r>
    </w:p>
    <w:p w14:paraId="6335EF85"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 (тяжелый штурмовик) – 2 экз. которого было исполнено в 1930 году.</w:t>
      </w:r>
    </w:p>
    <w:p w14:paraId="2732AC04"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ДИ3 (двухместный истребитель) – 1 экз. построен в том же году, а второй – в 1931 году в срок 30 дней.</w:t>
      </w:r>
    </w:p>
    <w:p w14:paraId="5DFDE21A"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МБР1 (морской береговой разведчик), МДР1 (морской дальний разведчик) – по 1 экз., доводка которых велась в 1930 году.</w:t>
      </w:r>
    </w:p>
    <w:p w14:paraId="6FD7F8AD"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ШОН (штурмовик особого назначения) – который в 1931 году был сконструирован и построен в 2,5 месяца.</w:t>
      </w:r>
    </w:p>
    <w:p w14:paraId="4B6C0101"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ТБ5 (тяжелый бомбовоз) – этот самолет был построен в течение 5,5 месяцев, в 1931 году за выполнение его, а равно и за качественное и досрочное выполнение других работ (ДИ3, ТШ) завод был награжден орденом Ленина.</w:t>
      </w:r>
    </w:p>
    <w:p w14:paraId="096F5C75"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«Z» , который впоследствии в 1932 году был введен в серию</w:t>
      </w:r>
    </w:p>
    <w:p w14:paraId="103AA6D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Авиэтки конструкции Яковлева АИР – несколько разновидностей основного экземпляра</w:t>
      </w:r>
    </w:p>
    <w:p w14:paraId="351FFBC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переходом на серийное производство, естественно, номенклатура самолетов была сокращена; она свелась лишь к двум наименованиям: кроме упомянутого выше «Z» еще самолеты ТБ-3.</w:t>
      </w:r>
    </w:p>
    <w:p w14:paraId="270B8B97"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 два последних и являли собой производственное задание на 1932 год; к ним еще назначены были групповые комплекты (9291).</w:t>
      </w:r>
    </w:p>
    <w:p w14:paraId="00F6E877"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p>
    <w:p w14:paraId="1B40D115"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20A1E0C8"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Паспорт завода № 125</w:t>
      </w:r>
    </w:p>
    <w:p w14:paraId="7D3928F0"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125-й завод находится от Иркутска в 8-ми км по ж/д и в 13 км по грунтовым дорогам (бывш. Сибирский тракт), в черте расположения бывш. пос. Инокентьевского (ныне пос. Ленино), занимая Северо-западную окраину этого поселка. С севера соприкасается с Ангарой.</w:t>
      </w:r>
    </w:p>
    <w:p w14:paraId="14E4844D"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Адрес: ст. Инокентьевская Забалькайской ж/д</w:t>
      </w:r>
    </w:p>
    <w:p w14:paraId="1DB438A5"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предназначен осуществлять смешанное самолетостроение, продукция его будет заключаться в выработке самолетов военно-разведывательного типа Р-5. Кроме того, в мобилизационных условиях на завод будет возложено осуществление ремонта различных типов самолетов.</w:t>
      </w:r>
    </w:p>
    <w:p w14:paraId="25EDCE09"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начал строиться по постановлению Правительства от 16 февраля 1932 года. В конце февраля 1932 года было выбрано место и начала работать дирекция завода.</w:t>
      </w:r>
    </w:p>
    <w:p w14:paraId="2F05FCA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 января 1933 года будут производиться предметы вспомогательного оборудования завода (верстаки, стапеля, инструменты и т.д.). К выработке подлинной продукции будет приступлено примерно в июне 1933 года (9291).</w:t>
      </w:r>
    </w:p>
    <w:p w14:paraId="13BB1E51"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p>
    <w:p w14:paraId="0C86B603"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2701477D"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Паспорт завода № 24 им. Фрунзе</w:t>
      </w:r>
    </w:p>
    <w:p w14:paraId="77205B4D"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Относится к типу заводов машиностроения НКТП по изготовлению авиамоторов водяного охлаждения для самолетов военно-гражданской авиации.</w:t>
      </w:r>
    </w:p>
    <w:p w14:paraId="2F5B9175"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находится в Сталинском районе Москвы и расположен на трех территориях:</w:t>
      </w:r>
    </w:p>
    <w:p w14:paraId="66E81257"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Ткацкая ул. в пригороде Благуши (территория А)</w:t>
      </w:r>
    </w:p>
    <w:p w14:paraId="70146F77"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Мейеровский проезд (территория Б)</w:t>
      </w:r>
    </w:p>
    <w:p w14:paraId="5B051C98"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Мейеровская ул. (территория В)</w:t>
      </w:r>
    </w:p>
    <w:p w14:paraId="6E26D081"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Присоединение к заводу территории В смежной с территорией Б обеспечивает завод площадью необходимой для реализации проекта реконструкции и дальнейшего расширения завода.</w:t>
      </w:r>
    </w:p>
    <w:p w14:paraId="6219C42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завода</w:t>
      </w:r>
    </w:p>
    <w:p w14:paraId="1187A7A0"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Специальность. Завода является производство авиационных моторов большой мощности.</w:t>
      </w:r>
    </w:p>
    <w:p w14:paraId="1C365E39"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Описание исторического развития завода № 24 возникшего от слияния двух заводов № 4 «Мотор» и № 2 «Икар», необходимо разделить на следующие этапы:</w:t>
      </w:r>
    </w:p>
    <w:p w14:paraId="6CC973EA"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1912-1927 гг. – существование двух параллельных заводов</w:t>
      </w:r>
    </w:p>
    <w:p w14:paraId="0770D597"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1927-1931 – слияние заводов, развитие объединенного завода</w:t>
      </w:r>
    </w:p>
    <w:p w14:paraId="0EBEC5D2"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 дальнейшее расширение завода, перспективы и реконструкция</w:t>
      </w:r>
    </w:p>
    <w:p w14:paraId="47B7B319"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1912-1927 гг. существовали два параллельных моторостроительных завода № 2 «Икар» и № 4 «Мотор».</w:t>
      </w:r>
    </w:p>
    <w:p w14:paraId="6D5EAD8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«Икар» основан в 1912 году французским АО моторов «Гном».</w:t>
      </w:r>
    </w:p>
    <w:p w14:paraId="64351AD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завода – сборка моторов, сначала системы «Гном», затем «Моносупан» и «Рон».</w:t>
      </w:r>
    </w:p>
    <w:p w14:paraId="6454A145"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Начав работы в 1912 году при штате 18 человек, завод доводит в 1918 году число работающих до 300 человек.</w:t>
      </w:r>
    </w:p>
    <w:p w14:paraId="1DBBC01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Прекратив свою деятельность в феврале 1918 года, завод снова начинает работу в апреле 1918 года при штате 120 человек, продолжая сборку моторов «Рон».</w:t>
      </w:r>
    </w:p>
    <w:p w14:paraId="46C5EF87"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1919 году завод приступает к постройке моторов типа «Испано-Сюиза» 200 НР, выпустив первый мотор в 1920 году.</w:t>
      </w:r>
    </w:p>
    <w:p w14:paraId="3282E376"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коренной перестройки завод переходит к серийному производству моторов большой мощности автомобильного типа «Либерти», получившего название М5-400 НР.</w:t>
      </w:r>
    </w:p>
    <w:p w14:paraId="625D0267"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февраля 1925 года завод входит в Государственный трест авиапромышленности ВСНХ.</w:t>
      </w:r>
    </w:p>
    <w:p w14:paraId="25320FC6"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«Мотор» эвакуирован из Риги в 1915 году. До 1920 года завод занимался почти исключительно ремонтом и постройкой моторов «РОН» 80 НР, одновременно с этим в производство внедряется мотор «РОН» НР (М-2).</w:t>
      </w:r>
    </w:p>
    <w:p w14:paraId="0C93D70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1923 году завод сливается с заводом № 6 «Амстро», расположенного за Семеновской заставой и занимавшем часть территории на которой в настоящее время расположен завод № 24 «Б» им. Фрунзе.</w:t>
      </w:r>
    </w:p>
    <w:p w14:paraId="1EADE970"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оборудование завода № 4 было переброшено на новую территорию. С момента слияния, завод № 4 получил новое название «Объединенный завод № 4 «Мотор».</w:t>
      </w:r>
    </w:p>
    <w:p w14:paraId="10E12DC1"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1924-25 гг. завод выпускает 100 моторов М2 и отремонтированных разных систем 71 мотор. Расширяются работы по опытному моторостроению: учебный 100 сильный – М-11-100 конструкции Швецова, изготовленный и испытанный, дал хорошие результаты и был сдан на массовое производство на завод № 29, «НРБ» – 100 сил конструкции НАМИ.</w:t>
      </w:r>
    </w:p>
    <w:p w14:paraId="29A50434"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1925-26 гг. завод прекращает постройку моторов М-2 и подготавливается к внедрению М-5, которых выпускает в 1926-27 гг. 50 штук.</w:t>
      </w:r>
    </w:p>
    <w:p w14:paraId="3A9F167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СТО и последующим распоряжением Авиатреста от 11 мая 1926 года решен вопрос о слиянии заводов №№ 2 и 4.</w:t>
      </w:r>
    </w:p>
    <w:p w14:paraId="042E537D"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Основными мотивами слияния послужило следующее:</w:t>
      </w:r>
    </w:p>
    <w:p w14:paraId="00459DFB"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Однородность объектов и близость обеих территорий.</w:t>
      </w:r>
    </w:p>
    <w:p w14:paraId="09CA692C"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Накопленный опыт завода № 2 и установившееся серийное производство.</w:t>
      </w:r>
    </w:p>
    <w:p w14:paraId="35317F4C"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перспектив на расширение завода № 2 ввиду ограниченности территорий.</w:t>
      </w:r>
    </w:p>
    <w:p w14:paraId="46ED654F"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завод получил название № 24.</w:t>
      </w:r>
    </w:p>
    <w:p w14:paraId="1C546912"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1927 году было положено основание опытных работ по моторостроению, которые непрерывно развиваясь имели своими объектами разные типы моторов из коих наиболее важными явились М-15 и М-26, предназначенных к внедрению в серийное производство с 4 квартала 1930 года.</w:t>
      </w:r>
    </w:p>
    <w:p w14:paraId="6D4F9FC4"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сего времени в Союзе существовало одно научное учреждение по авиамоторостроению НАМИ.</w:t>
      </w:r>
    </w:p>
    <w:p w14:paraId="22B1264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1927 году согласно решения Правительства при моторостроительных заводах стали организовываться опытно-научные работы.</w:t>
      </w:r>
    </w:p>
    <w:p w14:paraId="01173ACF"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заводе № 24 уже в 1928-29 году с организацией Экспериментальной лаборатории развернулась большая исследовательская работа процесса резания металлов.</w:t>
      </w:r>
    </w:p>
    <w:p w14:paraId="7337BAB6"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момента переоборудования заводам присвоено новое название: завод № 24, подразделяемого на литеры:</w:t>
      </w:r>
    </w:p>
    <w:p w14:paraId="3C02DC11"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 бывш. завод № 2 «Икар»</w:t>
      </w:r>
    </w:p>
    <w:p w14:paraId="54C1589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 бывш. завод № 4 «Мотор»</w:t>
      </w:r>
    </w:p>
    <w:p w14:paraId="187129BF"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1930 году с целью улучшения металлургической базы к заводу № 24 прикрепляется завод «Электросталь».</w:t>
      </w:r>
    </w:p>
    <w:p w14:paraId="485B4C65"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особого квартала 1930 года и форсирование опытных работ уже наметило в 1931 году внедрение в производство новых моторов М-15 и М-26.</w:t>
      </w:r>
    </w:p>
    <w:p w14:paraId="718E8785"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Конец 1931 года знаменуется рядом значительных работ по прокладыванию путей дальнейшего развития завода, каковыми являются:</w:t>
      </w:r>
    </w:p>
    <w:p w14:paraId="03F1E870"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Подготовка к внедрению в производство нового мощного мотора М-34 советской конструкции для мощных самолетов военного типа.</w:t>
      </w:r>
    </w:p>
    <w:p w14:paraId="726ED28C"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плана большой реконструкции завода, направленной к увеличению мощности завода к 1 января 1934 года до выпуска 15000 мощных моторов в год.</w:t>
      </w:r>
    </w:p>
    <w:p w14:paraId="2090381A"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1932 году основной задачей завода является максимальное обеспечение производства подготовительными работами к внедрению в производство М-34 и выполнение производственной программы 1932 года (по выпуску) (9301).</w:t>
      </w:r>
    </w:p>
    <w:p w14:paraId="57C4FF02"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1928-29 гг. по конструктивно-опытным работам изучение и изготовление шло по следующим объектам:</w:t>
      </w:r>
    </w:p>
    <w:p w14:paraId="3B77C718"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М-13, один мотор был изготовлен в этом же году и передан НАМИ, второй мотор собран и прошел заводскую приработку. М-13 – 400 НР – 12-цилиндровый, водяного охлаждения.</w:t>
      </w:r>
    </w:p>
    <w:p w14:paraId="7D1DB59D"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М-14 – два мотора после 5-ти часового испытания переданы в УВВС. Мотор 500 НР – 12-цилиндровый водяного охлаждения.</w:t>
      </w:r>
    </w:p>
    <w:p w14:paraId="77CD3654"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V-12 и W-18 прошли в количестве 5 штук испытание. Основными недочетами моторов были конструктивные и производственные недочеты в картерах, блоках, цилиндре.</w:t>
      </w:r>
    </w:p>
    <w:p w14:paraId="16AA1CB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М-19 (воздушного охлаждения); М-19-525НР 12-цилиндровый (водяной) мотор является развитием мотора типа 12.</w:t>
      </w:r>
    </w:p>
    <w:p w14:paraId="171D71FA"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М-26 (воздушного охлаждения) – в конструктивном отношении является модификацией М-15, с назначением для гражданской авиации.</w:t>
      </w:r>
    </w:p>
    <w:p w14:paraId="5FAA4C33"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М-27 – мотор развитие типа W-18 до 1000 НР, номинал 700 НР 18-цилиндровый W образный водяного охлаждения.</w:t>
      </w:r>
    </w:p>
    <w:p w14:paraId="233A2C34"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М-29 (воздушного охлаждения). В 1930 году был сдан в ИАМ для дальнейшего его усовершенствования.</w:t>
      </w:r>
    </w:p>
    <w:p w14:paraId="09BE7B0B"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этих основных объектов опытных работ, опытный отдел выполняет ряд работ по заказам испытания отдельных деталей.</w:t>
      </w:r>
    </w:p>
    <w:p w14:paraId="6B8318A7"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1929-30 год отмечает дальнейший рост производства. Ставится вопрос о внедрении в серийное производство нового мотора М-17-500 НР 12-цилиндровый V образный водяного охлаждения продукции завода № 26, а также расширение и форсирование опытного моторостроения, причем по наиболее важным объектам М-15 и М-26, предназначенных к внедрению в серийное производство с 4-го квартала 1930 года.</w:t>
      </w:r>
    </w:p>
    <w:p w14:paraId="1F55BFB2"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Ставится вопрос об улучшении металлургической базы производства и с этой целью к заводу № 24 прикрепляется завод «Электросталь», вырабатывающий лучшие сорта стали.</w:t>
      </w:r>
    </w:p>
    <w:p w14:paraId="37A7E169"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Опытное моторостроение приобретает новые объекты:</w:t>
      </w:r>
    </w:p>
    <w:p w14:paraId="3E7F5981"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ФЭД-24 цилиндровый мотор водяного охлаждения Х образный с максимальной мощностью в 1050 НР.</w:t>
      </w:r>
    </w:p>
    <w:p w14:paraId="369973F8"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 12-цилиндровый воздушного охлаждения, мощность 600 НР.</w:t>
      </w:r>
    </w:p>
    <w:p w14:paraId="3802BD39"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 9-цилиндровый воздушного охлаждения, мощность 600 НР.</w:t>
      </w:r>
    </w:p>
    <w:p w14:paraId="5C21FC29"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усиления опытных работ улучшается связь с научно-техническими учреждениями и завод получает ряд иноспециалистов.</w:t>
      </w:r>
    </w:p>
    <w:p w14:paraId="1ED3A38A"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год. Производство особого квартала 1930 года и форсирование опытных работ уже наметило в 1931 году внедрение в производство новых моторов М-15 и М-26.</w:t>
      </w:r>
    </w:p>
    <w:p w14:paraId="3835952A"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Производственная программа 1931 года в связи с целым рядом неполадок производственного и конструктивного порядка была значительно пересмотрена ………</w:t>
      </w:r>
    </w:p>
    <w:p w14:paraId="7AA8304A"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Только в о второй половине года завод начинает завоевывать некоторых успех по освоению воздушных моторов, но претерпевая все еще значительные неполадки по мощному мотору М-27, каковой пришлось изъять из производства и передать в работу Опытному отделу.</w:t>
      </w:r>
    </w:p>
    <w:p w14:paraId="21518464"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Конец 1931 года знаменуется рядом значительных работ по прокладыванию путей дальнейшего развития завода, каковыми являются:</w:t>
      </w:r>
    </w:p>
    <w:p w14:paraId="4F50AD65"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Подготовка к внедрению в производство нового мощного мотора М-34 советской конструкции для мощных самолетов военного типа.</w:t>
      </w:r>
    </w:p>
    <w:p w14:paraId="6518D6F4" w14:textId="77777777" w:rsidR="00CA324B" w:rsidRPr="0044524F" w:rsidRDefault="00CA324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плана большой реконструкции завода.</w:t>
      </w:r>
    </w:p>
    <w:p w14:paraId="04FB31A0"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Начало работ по подготовке к внедрению в производство 1932 г. М-34 относится к 4-му кварталу 1931 года.</w:t>
      </w:r>
    </w:p>
    <w:p w14:paraId="33AB7894"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декабря 1931 года работа по просмотру чертежей, представленных ИАМом была уже закончена.</w:t>
      </w:r>
    </w:p>
    <w:p w14:paraId="543D9B1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первого квартала 1932 года было приступлено к составлению генерального плана одевания производства инструментами и приспособлениями ……..</w:t>
      </w:r>
    </w:p>
    <w:p w14:paraId="5A7456BD"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программы во втором полугодии 1932 года характеризуется форсированием свертывания производства продукции 1931 года по воздушным машинам М-15 и М-26 и преодолением в освоении и серийном выпуске моторов М-27; в дальнейших работах по внедрению в производство М-34, освоении и изучении причин низкого качества изготовления, перестройке по ходу технологических процессов внутри производства и уточнении конструкции моторов.</w:t>
      </w:r>
    </w:p>
    <w:p w14:paraId="3C307B22"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году директор завода – Журавский</w:t>
      </w:r>
    </w:p>
    <w:p w14:paraId="2AF0A577"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году завод внедряет в производство уже новые моторы воздушного охлаждения М-15, М-26 и водяного охлаждения М-27.</w:t>
      </w:r>
    </w:p>
    <w:p w14:paraId="6D087F19"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Вследствие ряда неполадок как производственного, так и конструктивного порядка мотор М-27 в том же году был изъят из производства и сдан в работу Опытному отделу завода.</w:t>
      </w:r>
    </w:p>
    <w:p w14:paraId="7A00DD1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 же время кондиционность моторов М-15 и М-26 также не была достаточно проверена к моменту внедрения в серийное производство, что вызвало резкий перелом в производстве и благодаря этому завод от моторов установившегося нормального серийного производства 1930 года возвращается как бы в большую опытную мастерскую по освоению и изучению объектов производства.</w:t>
      </w:r>
    </w:p>
    <w:p w14:paraId="0E2F8545"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таким положением завод подошел и к 1932 году, так как перед ним была поставлена уже новая задача – свернуть производство моторов М-15 и М-26 и начать подготовку к внедрению в производство нового мощного мотора М-34 советской конструкции.</w:t>
      </w:r>
    </w:p>
    <w:p w14:paraId="5018528D"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1913 году заводом № 2 «ИКАР» был выпущен первый мотор «ГНОМ».</w:t>
      </w:r>
    </w:p>
    <w:p w14:paraId="5023C4B0"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1922 году завод входит в Гл. управление Военной промышленности (ГУВП), значительно расширяясь ……..</w:t>
      </w:r>
    </w:p>
    <w:p w14:paraId="073D6922"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Возникновение завода «Мотор» относится к 1915 году, будучи эвакуированным в Москву из Риги с начала Империалистической войны. До 1924 года этот завод помещался за Даниловской заставой на месте бывш. фабрики Алпатова. В 1924 году слит с заводом «АМСТРО» и переведен в новые помещения.</w:t>
      </w:r>
    </w:p>
    <w:p w14:paraId="59F704FB"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1923 году завод «Мотор» начинает опытные работы, спроектировав мощный мотор «РАМ» М-8 в 750 НР 12-цилиндровый водяного охлаждения и в том же году было приступлено к постройке мотора в 20 НР по конструкции Бессонова (9301).</w:t>
      </w:r>
    </w:p>
    <w:p w14:paraId="748703E5"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p>
    <w:p w14:paraId="7AAD6BE9"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6A11D66F"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Паспорт завода № 29</w:t>
      </w:r>
    </w:p>
    <w:p w14:paraId="495C45DA"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29 находится в Запорожье, расположен на Левом берегу Днепра</w:t>
      </w:r>
    </w:p>
    <w:p w14:paraId="73F09AC1"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завода</w:t>
      </w:r>
    </w:p>
    <w:p w14:paraId="706DC0CB"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авиамоторов</w:t>
      </w:r>
    </w:p>
    <w:p w14:paraId="3D8A0E21"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территории, занимаемой заводом № 29 АО «Дюфлон и Константинович» открыло отделение по постройке авиационных двигателей типа «АРГУС».</w:t>
      </w:r>
    </w:p>
    <w:p w14:paraId="744CCE7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Европейской войны в целях расширения завода в бывш. Александровске Екатерининской губернии был приобретен старый с/х завод бывш. бр. Мознаим.</w:t>
      </w:r>
    </w:p>
    <w:p w14:paraId="419AB50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1916 году было приступлено к постройке гл. корпуса Механического цеха и др.</w:t>
      </w:r>
    </w:p>
    <w:p w14:paraId="6720A889"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времена белогвардейщины вплоть до 1922 года завод встал на консервацию вплоть до 1922 года включительно.</w:t>
      </w:r>
    </w:p>
    <w:p w14:paraId="6AEE706D"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1923 году завод был восстановлен и приступлено к расширению завода.</w:t>
      </w:r>
    </w:p>
    <w:p w14:paraId="585BEB93"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времена зарождения завода, завод занимался производством авиационных двигателей типа АРГУС 100 НР. В 1916 году одновременно со строительством производились моторы типа «Мерседес» 129 НР.</w:t>
      </w:r>
    </w:p>
    <w:p w14:paraId="5969487B"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дальнейшем «Мерседес» 129 НР был заменен на «Мерседес» 168 НР, причем вся поковка, литье алюминиевое и некоторые детали доставлялись из Ленинграда.</w:t>
      </w:r>
    </w:p>
    <w:p w14:paraId="370E8DF8"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1918 году было произведено испытание первых двух двигателей «Мерседес» 168 НР.</w:t>
      </w:r>
    </w:p>
    <w:p w14:paraId="44694387"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1923 году по имеющимся материалам технологического процесса «М. Испано» 200 НР было предложено приступить к постройке «Испано-Сюиза» 300 НР.</w:t>
      </w:r>
    </w:p>
    <w:p w14:paraId="1550631E"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1924 году был изготовлен и поставлен на испытание первый мотор «Испано-Сюиза» 300 НР, серийный выпуск был приостановлен и одновременно заводу было предложено осуществить ряд опытных моторов, как М-11, М-12, М-13.</w:t>
      </w:r>
    </w:p>
    <w:p w14:paraId="47F73DE8"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1927/28 году в связи с реконструкцией завода производство было переведено на новый объект М типа «Юпитер».</w:t>
      </w:r>
    </w:p>
    <w:p w14:paraId="730EB61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Годовая производственная программа намеченная по промфинплану для завода на 1932 год выражается в изготовлении моторов 1800 штук типа М-11 и 500 моторов типа М-22.</w:t>
      </w:r>
    </w:p>
    <w:p w14:paraId="166D3F4B"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в 1932 году получил ряд заводов в Запорожье:</w:t>
      </w:r>
    </w:p>
    <w:p w14:paraId="7821E21B"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Кацена в городе, где организован литейный цех по чугуну и бронзе и др.</w:t>
      </w:r>
    </w:p>
    <w:p w14:paraId="46EC190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Дзержинского № 3</w:t>
      </w:r>
    </w:p>
    <w:p w14:paraId="6A89C948"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Дзержинского № 1</w:t>
      </w:r>
    </w:p>
    <w:p w14:paraId="42FBCCE3"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Дзержинского № 2</w:t>
      </w:r>
    </w:p>
    <w:p w14:paraId="50EFF25C"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Дзержинского № 4</w:t>
      </w:r>
    </w:p>
    <w:p w14:paraId="2031A1B8"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завод размещен на 8-ми отдельных друг от друга площадях (9301).</w:t>
      </w:r>
    </w:p>
    <w:p w14:paraId="2B15D1B5" w14:textId="77777777" w:rsidR="00CA324B" w:rsidRPr="0044524F" w:rsidRDefault="00CA324B" w:rsidP="009654CF">
      <w:pPr>
        <w:autoSpaceDE w:val="0"/>
        <w:autoSpaceDN w:val="0"/>
        <w:adjustRightInd w:val="0"/>
        <w:spacing w:after="0" w:line="240" w:lineRule="auto"/>
        <w:jc w:val="both"/>
        <w:rPr>
          <w:rFonts w:ascii="Times New Roman" w:hAnsi="Times New Roman"/>
          <w:color w:val="000000" w:themeColor="text1"/>
          <w:sz w:val="16"/>
          <w:szCs w:val="16"/>
        </w:rPr>
      </w:pPr>
    </w:p>
    <w:p w14:paraId="7F1AD9A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441BDD4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33</w:t>
      </w:r>
    </w:p>
    <w:p w14:paraId="7C04433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находится в Москве на Нижней Масловке.</w:t>
      </w:r>
    </w:p>
    <w:p w14:paraId="4A93295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Завод № 33 по проекту реконструкции, разработанному в 1931 году должен явиться центральным карбюраторным заводом, удовлетворяющим всю потребность ВФ в карбюраторах для авиамоторов.</w:t>
      </w:r>
    </w:p>
    <w:p w14:paraId="0AA697D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1933 год заводу выдано дополнительное задание на постановку производства самопусков к авиамоторам.</w:t>
      </w:r>
    </w:p>
    <w:p w14:paraId="341C291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Обзор деятельности завода за период 1922-1932 гг.</w:t>
      </w:r>
    </w:p>
    <w:p w14:paraId="376209B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1922 году с фронта возвратился поед-авто-авиа-мастерская № 11, оборудование и штат которой были использованы для устройства и эксплуатации стационарных мастерских по ремонту авиамоторов и автотранспорта.</w:t>
      </w:r>
    </w:p>
    <w:p w14:paraId="471C671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момент организации мастерские насчитывали в своем составе около 40 единиц металлообрабатывающих станков и рабочих и служащих в количестве 200 человек.</w:t>
      </w:r>
    </w:p>
    <w:p w14:paraId="27AB7F2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году исполнилось 10 лет существования означенных мастерских, переименованных в 1928 году в завод № 33.</w:t>
      </w:r>
    </w:p>
    <w:p w14:paraId="7939AB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Начальное производство – ремонт авиамоторов всех систем и ремонт автоимущества. Несколько позднее вливается мастерская по ремонту фотоимущества с оптическим цехом, организуется химический цех по переработке сгустившихся аэролаков, создается вулканизационный цех.</w:t>
      </w:r>
    </w:p>
    <w:p w14:paraId="3477E6E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1929 году мастерские почти полностью освободились от мелких ремонтных работ и оставались в этой части лишь специализированные ремонтные цеха, как-то: фото, электро-радио и авиапрриборов.</w:t>
      </w:r>
    </w:p>
    <w:p w14:paraId="76E287F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Развернуты цеха по крупносерийному производству аэрофотоаппаратов, приборов вооружений, привязных ремней, учебно-цементных бомб.</w:t>
      </w:r>
    </w:p>
    <w:p w14:paraId="6B87946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Мастерские переименовываются в завод № 33.</w:t>
      </w:r>
    </w:p>
    <w:p w14:paraId="4B54322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1930 году помимо указанной продукции завод по собственной инициативе пробует перейти на серийное изготовление динамомашин зажигания моторов и динамомашин для освещения самолетов.</w:t>
      </w:r>
    </w:p>
    <w:p w14:paraId="781568D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подошел к такому моменту, что все широко развернутые производства по изготовлению фотоаппаратов, привязных ремней, динамомашин, приборов вооружения, учебных бомб приняли такой масштаб, что параллельное их существование было совершенно нецелесообразно и явилась необходимость передать их соответствующим организациям, гражданской промышленности, по отдельным специальностям, что и было сделано по решению правительственных органов.</w:t>
      </w:r>
    </w:p>
    <w:p w14:paraId="6865174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получил задание на постановку производства авиационных карбюраторов.</w:t>
      </w:r>
    </w:p>
    <w:p w14:paraId="093A670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6 месяцев было поставлено производство.</w:t>
      </w:r>
    </w:p>
    <w:p w14:paraId="208FD49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Даны пробные партии образцовых карбюраторов.</w:t>
      </w:r>
    </w:p>
    <w:p w14:paraId="48DB2BD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Проведено испытание – дало весьма удовлетворительные результаты.</w:t>
      </w:r>
    </w:p>
    <w:p w14:paraId="1B2D135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Налажено серийное производство (9301).</w:t>
      </w:r>
    </w:p>
    <w:p w14:paraId="2B4CF58F"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427544D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27DDE5E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Паспорт завода № 20</w:t>
      </w:r>
    </w:p>
    <w:p w14:paraId="06C9E94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20 расположен в 14 км от Москвы и заключен в углу между Ленинградским шоссе и окружной ж/д вблизи ст. Братцево и Лихоборы.</w:t>
      </w:r>
    </w:p>
    <w:p w14:paraId="0B06DCC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20 имеет целью снабжать основные моторные заводы авиапромышленности отдельными агрегатами: водяными, масляными и бензиновыми помпами и мелкими деталями («нормалями»).</w:t>
      </w:r>
    </w:p>
    <w:p w14:paraId="21516B0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Первоначально завод предназначался под производство самолетного вооружения.</w:t>
      </w:r>
    </w:p>
    <w:p w14:paraId="4B84D5F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Заводу № 20 поручено произвести перепроектирование завода по заданию на 1935 год (завод увеличивается ровно в двое против запроектированного первоначально). Для расширения завода возбуждено ходатайство о присоединении к территории завода, территории занимаемой Лесопильным заводом, расположенным рядом с заводом № 20.</w:t>
      </w:r>
    </w:p>
    <w:p w14:paraId="42117BC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 является периодом развертывания производства (9301).</w:t>
      </w:r>
    </w:p>
    <w:p w14:paraId="33C6AF0E"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6836682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0A477A1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Паспорт завода № 28</w:t>
      </w:r>
    </w:p>
    <w:p w14:paraId="7324765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28 им. Орджоникидзе расположен в Москве в Краснопресненском районе на М. Грузинской улице, Столярный пер., 7.</w:t>
      </w:r>
    </w:p>
    <w:p w14:paraId="58DDA0B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в настоящее время предназначен для производства деревянных и металлических винтов и лыж для самолетов.</w:t>
      </w:r>
    </w:p>
    <w:p w14:paraId="496C02C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возник из кустарной мастерской гребных винтов, которая вскоре после революции была переведена в помещение мебельной фабрики Мюр и Мерлиз. В настоящее время завод № 28 занимает не только все помещение этой фабрики, но и значительно расширен за счет нового капитального строительства.</w:t>
      </w:r>
    </w:p>
    <w:p w14:paraId="4FB31B6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своей авиационной специальности завод № 28 является единственным в СССР.</w:t>
      </w:r>
    </w:p>
    <w:p w14:paraId="253018F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году завод производил следующую продукцию:</w:t>
      </w:r>
    </w:p>
    <w:p w14:paraId="413A729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основную – лыжи и винты для самолетов</w:t>
      </w:r>
    </w:p>
    <w:p w14:paraId="7A4A701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опытную – металлические винты для самолетов, причем опытные и малосерийные выпуски прошли дачно и производство дюралюминиевых винтов начинает внедряться в производство завода</w:t>
      </w:r>
    </w:p>
    <w:p w14:paraId="14BB9B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ширпотреб (9291).</w:t>
      </w:r>
    </w:p>
    <w:p w14:paraId="7C4BE8E8"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0733075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был подготовлен:</w:t>
      </w:r>
    </w:p>
    <w:p w14:paraId="4BAC6BC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Паспорт завода № 32</w:t>
      </w:r>
    </w:p>
    <w:p w14:paraId="30B01B8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32 расположен в Москве в начале Петровского парка между заводом № 34 и улицами Ямского поля.</w:t>
      </w:r>
    </w:p>
    <w:p w14:paraId="6F1C8FC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в настоящее время имеет своим назначением производство вооружения, радиаторов и колес для самолетов.</w:t>
      </w:r>
    </w:p>
    <w:p w14:paraId="35C5F7E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создан 1 октября 1931 года путем выделения из авиазавода № 1 так называемого специального производства. За 1932 год завод значительно увеличился путем открытия новых цехов на площадях, освободившихся после переезда завода № 1 на новую территорию.</w:t>
      </w:r>
    </w:p>
    <w:p w14:paraId="06C33A0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году завод производил следующую продукцию:</w:t>
      </w:r>
    </w:p>
    <w:p w14:paraId="0A94BB8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установки для пулеметов и пушек: турели, кольцевые прицелы, флюгер-мушки, шкворни</w:t>
      </w:r>
    </w:p>
    <w:p w14:paraId="06EA5C3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ракетницы</w:t>
      </w:r>
    </w:p>
    <w:p w14:paraId="67DFA83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бомбодержатели и бомбосбрасыватели</w:t>
      </w:r>
    </w:p>
    <w:p w14:paraId="0A44BC0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колеса</w:t>
      </w:r>
    </w:p>
    <w:p w14:paraId="09EDB93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радиаторы (9291).</w:t>
      </w:r>
    </w:p>
    <w:p w14:paraId="7FE79C64"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0AFF79FF" w14:textId="77777777" w:rsidR="00A630EB" w:rsidRPr="0044524F" w:rsidRDefault="00A630E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 дирижабль «СССР В-2» вылетел из Ленин</w:t>
      </w:r>
      <w:r w:rsidRPr="0044524F">
        <w:rPr>
          <w:rFonts w:ascii="Times New Roman" w:hAnsi="Times New Roman"/>
          <w:color w:val="000000" w:themeColor="text1"/>
          <w:sz w:val="16"/>
          <w:szCs w:val="16"/>
        </w:rPr>
        <w:softHyphen/>
        <w:t>градского дирижаблепорта (д. Сализи) в агитаци</w:t>
      </w:r>
      <w:r w:rsidRPr="0044524F">
        <w:rPr>
          <w:rFonts w:ascii="Times New Roman" w:hAnsi="Times New Roman"/>
          <w:color w:val="000000" w:themeColor="text1"/>
          <w:sz w:val="16"/>
          <w:szCs w:val="16"/>
        </w:rPr>
        <w:softHyphen/>
        <w:t>онный полёт. Через 1 ч 20 мин полёта из-за тряс</w:t>
      </w:r>
      <w:r w:rsidRPr="0044524F">
        <w:rPr>
          <w:rFonts w:ascii="Times New Roman" w:hAnsi="Times New Roman"/>
          <w:color w:val="000000" w:themeColor="text1"/>
          <w:sz w:val="16"/>
          <w:szCs w:val="16"/>
        </w:rPr>
        <w:softHyphen/>
        <w:t>ки правого мотора он пошёл на посадку, но при спуске оба мотора остановились, и дирижабль перешёл в свободный полёт. Запустить моторы не удалось. Командир трижды пытался произ</w:t>
      </w:r>
      <w:r w:rsidRPr="0044524F">
        <w:rPr>
          <w:rFonts w:ascii="Times New Roman" w:hAnsi="Times New Roman"/>
          <w:color w:val="000000" w:themeColor="text1"/>
          <w:sz w:val="16"/>
          <w:szCs w:val="16"/>
        </w:rPr>
        <w:softHyphen/>
        <w:t>вести посадку, но в первый раз этому помешала большая скорость дирижабля, а последующие попытки сорвались из-за сплошного леса внизу. Через шесть часов неуправляемого полёта дири</w:t>
      </w:r>
      <w:r w:rsidRPr="0044524F">
        <w:rPr>
          <w:rFonts w:ascii="Times New Roman" w:hAnsi="Times New Roman"/>
          <w:color w:val="000000" w:themeColor="text1"/>
          <w:sz w:val="16"/>
          <w:szCs w:val="16"/>
        </w:rPr>
        <w:softHyphen/>
        <w:t>жабль опустился, прижавшись гондолой к вер</w:t>
      </w:r>
      <w:r w:rsidRPr="0044524F">
        <w:rPr>
          <w:rFonts w:ascii="Times New Roman" w:hAnsi="Times New Roman"/>
          <w:color w:val="000000" w:themeColor="text1"/>
          <w:sz w:val="16"/>
          <w:szCs w:val="16"/>
        </w:rPr>
        <w:softHyphen/>
        <w:t>шине дерева на высоте 20 м в 3 км от д. Посад Новгородского района. При посадке «СССР В-2» получил ряд повреждений, но его не разоружили, и после устранения неполадок (моторы запусти</w:t>
      </w:r>
      <w:r w:rsidRPr="0044524F">
        <w:rPr>
          <w:rFonts w:ascii="Times New Roman" w:hAnsi="Times New Roman"/>
          <w:color w:val="000000" w:themeColor="text1"/>
          <w:sz w:val="16"/>
          <w:szCs w:val="16"/>
        </w:rPr>
        <w:softHyphen/>
        <w:t>ли, разогрев их паяльной лампой) он благополуч</w:t>
      </w:r>
      <w:r w:rsidRPr="0044524F">
        <w:rPr>
          <w:rFonts w:ascii="Times New Roman" w:hAnsi="Times New Roman"/>
          <w:color w:val="000000" w:themeColor="text1"/>
          <w:sz w:val="16"/>
          <w:szCs w:val="16"/>
        </w:rPr>
        <w:softHyphen/>
        <w:t>но возвратился на базу в д. Сализи. Относитель</w:t>
      </w:r>
      <w:r w:rsidRPr="0044524F">
        <w:rPr>
          <w:rFonts w:ascii="Times New Roman" w:hAnsi="Times New Roman"/>
          <w:color w:val="000000" w:themeColor="text1"/>
          <w:sz w:val="16"/>
          <w:szCs w:val="16"/>
        </w:rPr>
        <w:softHyphen/>
        <w:t>но причины остановки моторов марки «Титан» на малых оборотах предположили, что либо они не приспособлены для работы на малых оборо</w:t>
      </w:r>
      <w:r w:rsidRPr="0044524F">
        <w:rPr>
          <w:rFonts w:ascii="Times New Roman" w:hAnsi="Times New Roman"/>
          <w:color w:val="000000" w:themeColor="text1"/>
          <w:sz w:val="16"/>
          <w:szCs w:val="16"/>
        </w:rPr>
        <w:softHyphen/>
        <w:t>тах, либо их неправильно отрегулировали. Этот случай опроверг мнение об обязательном разо</w:t>
      </w:r>
      <w:r w:rsidRPr="0044524F">
        <w:rPr>
          <w:rFonts w:ascii="Times New Roman" w:hAnsi="Times New Roman"/>
          <w:color w:val="000000" w:themeColor="text1"/>
          <w:sz w:val="16"/>
          <w:szCs w:val="16"/>
        </w:rPr>
        <w:softHyphen/>
        <w:t>ружении дирижабля при вынужденной посадке (20120).</w:t>
      </w:r>
    </w:p>
    <w:p w14:paraId="05F7E350" w14:textId="77777777" w:rsidR="00A630EB" w:rsidRPr="0044524F" w:rsidRDefault="00A630EB" w:rsidP="009654CF">
      <w:pPr>
        <w:spacing w:after="0" w:line="240" w:lineRule="auto"/>
        <w:jc w:val="both"/>
        <w:rPr>
          <w:rFonts w:ascii="Times New Roman" w:hAnsi="Times New Roman"/>
          <w:color w:val="000000" w:themeColor="text1"/>
          <w:sz w:val="16"/>
          <w:szCs w:val="16"/>
        </w:rPr>
      </w:pPr>
    </w:p>
    <w:p w14:paraId="73679C9D"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8F02FA4"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6160831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года совпало с празднованием дня ударника (12237).</w:t>
      </w:r>
    </w:p>
    <w:p w14:paraId="4E92D5E3"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3CE2D42B" w14:textId="77777777" w:rsidR="00997E77" w:rsidRPr="0044524F" w:rsidRDefault="00997E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 в ВВС РККА числился 21 истребитель И-7 (все – в 6-й АЭ 201-й ЛБАБ) – это был самый малочисленный самолет этого класса отечественного производства (24331).</w:t>
      </w:r>
    </w:p>
    <w:p w14:paraId="64F2560D" w14:textId="77777777" w:rsidR="00997E77" w:rsidRPr="0044524F" w:rsidRDefault="00997E77" w:rsidP="009654CF">
      <w:pPr>
        <w:spacing w:after="0" w:line="240" w:lineRule="auto"/>
        <w:jc w:val="both"/>
        <w:rPr>
          <w:rFonts w:ascii="Times New Roman" w:hAnsi="Times New Roman"/>
          <w:color w:val="000000" w:themeColor="text1"/>
          <w:sz w:val="16"/>
          <w:szCs w:val="16"/>
        </w:rPr>
      </w:pPr>
    </w:p>
    <w:p w14:paraId="3FDC2829" w14:textId="77777777" w:rsidR="00997E77" w:rsidRPr="0044524F" w:rsidRDefault="00997E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 согласно «Выписке из сводной ведомости самолетного парка с 1.10.1928 г. по 1.01.1933 г.», приложенной к письму № МП/00105 врид от 07.2.33 г. в частях ВВС РККА было 249 самолетов И-3 (а также 4 Фоккер Д-VII из 50 приобретенных в Нидерландах в 1922 г., 43 Фоккер ФД-11, 53 Григорович И-2 и И-2бис, 160 Туполев И-4 и 143 И-5, также значится 19 самолетов И-6, что вероятно является ошибкой).</w:t>
      </w:r>
    </w:p>
    <w:p w14:paraId="7BFD74E6" w14:textId="77777777" w:rsidR="00997E77" w:rsidRPr="0044524F" w:rsidRDefault="00997E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 данным на 1 января 1933 г. в частях ВВС РККА и Морской Авиации РКК ВМФ было 249 самолетов И-3 (а также 43 Фоккер Д-7, что является ошибкой, поскольку их закуплено было в 1922 г. всего 50 и в предыдущие годы их оставалось менее 10, 4 Фоккер Д-11, 53 И-2 и И-2бис, 160 И-4, 143 И-5 и 1 самолет И-6) (24887).</w:t>
      </w:r>
    </w:p>
    <w:p w14:paraId="457A8AC0" w14:textId="77777777" w:rsidR="00997E77" w:rsidRPr="0044524F" w:rsidRDefault="00997E77" w:rsidP="009654CF">
      <w:pPr>
        <w:spacing w:after="0" w:line="240" w:lineRule="auto"/>
        <w:jc w:val="both"/>
        <w:rPr>
          <w:rFonts w:ascii="Times New Roman" w:hAnsi="Times New Roman"/>
          <w:color w:val="000000" w:themeColor="text1"/>
          <w:sz w:val="16"/>
          <w:szCs w:val="16"/>
        </w:rPr>
      </w:pPr>
    </w:p>
    <w:p w14:paraId="0929B082" w14:textId="77777777" w:rsidR="00997E77" w:rsidRPr="0044524F" w:rsidRDefault="00997E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 1 января 1933 г. в рядах ВВС РККА уже числились 144 ТБ-3. К кон</w:t>
      </w:r>
      <w:r w:rsidRPr="0044524F">
        <w:rPr>
          <w:rFonts w:ascii="Times New Roman" w:hAnsi="Times New Roman"/>
          <w:color w:val="000000" w:themeColor="text1"/>
          <w:sz w:val="16"/>
          <w:szCs w:val="16"/>
        </w:rPr>
        <w:softHyphen/>
        <w:t>цу года четырёхмоторных машин в строевых частях уже было больше, чем ТБ-1, но они пока лишь допол</w:t>
      </w:r>
      <w:r w:rsidRPr="0044524F">
        <w:rPr>
          <w:rFonts w:ascii="Times New Roman" w:hAnsi="Times New Roman"/>
          <w:color w:val="000000" w:themeColor="text1"/>
          <w:sz w:val="16"/>
          <w:szCs w:val="16"/>
        </w:rPr>
        <w:softHyphen/>
        <w:t>няли, а не вытесняли последние.</w:t>
      </w:r>
    </w:p>
    <w:p w14:paraId="1F652D04" w14:textId="77777777" w:rsidR="00997E77" w:rsidRPr="0044524F" w:rsidRDefault="00997E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Четырёхмоторные гиганты ока</w:t>
      </w:r>
      <w:r w:rsidRPr="0044524F">
        <w:rPr>
          <w:rFonts w:ascii="Times New Roman" w:hAnsi="Times New Roman"/>
          <w:color w:val="000000" w:themeColor="text1"/>
          <w:sz w:val="16"/>
          <w:szCs w:val="16"/>
        </w:rPr>
        <w:softHyphen/>
        <w:t>зались достаточно устойчивы в воз</w:t>
      </w:r>
      <w:r w:rsidRPr="0044524F">
        <w:rPr>
          <w:rFonts w:ascii="Times New Roman" w:hAnsi="Times New Roman"/>
          <w:color w:val="000000" w:themeColor="text1"/>
          <w:sz w:val="16"/>
          <w:szCs w:val="16"/>
        </w:rPr>
        <w:softHyphen/>
        <w:t>духе и покладисты в пилотирова</w:t>
      </w:r>
      <w:r w:rsidRPr="0044524F">
        <w:rPr>
          <w:rFonts w:ascii="Times New Roman" w:hAnsi="Times New Roman"/>
          <w:color w:val="000000" w:themeColor="text1"/>
          <w:sz w:val="16"/>
          <w:szCs w:val="16"/>
        </w:rPr>
        <w:softHyphen/>
        <w:t>нии. Вот отзывы из бригад, осваи</w:t>
      </w:r>
      <w:r w:rsidRPr="0044524F">
        <w:rPr>
          <w:rFonts w:ascii="Times New Roman" w:hAnsi="Times New Roman"/>
          <w:color w:val="000000" w:themeColor="text1"/>
          <w:sz w:val="16"/>
          <w:szCs w:val="16"/>
        </w:rPr>
        <w:softHyphen/>
        <w:t>вавших новую машину. «Конструк</w:t>
      </w:r>
      <w:r w:rsidRPr="0044524F">
        <w:rPr>
          <w:rFonts w:ascii="Times New Roman" w:hAnsi="Times New Roman"/>
          <w:color w:val="000000" w:themeColor="text1"/>
          <w:sz w:val="16"/>
          <w:szCs w:val="16"/>
        </w:rPr>
        <w:softHyphen/>
        <w:t>ция корабля ТБ-3 в основном вполне удовлетворительна, прочна и мо</w:t>
      </w:r>
      <w:r w:rsidRPr="0044524F">
        <w:rPr>
          <w:rFonts w:ascii="Times New Roman" w:hAnsi="Times New Roman"/>
          <w:color w:val="000000" w:themeColor="text1"/>
          <w:sz w:val="16"/>
          <w:szCs w:val="16"/>
        </w:rPr>
        <w:softHyphen/>
        <w:t>жет выдержать самые неблаго</w:t>
      </w:r>
      <w:r w:rsidRPr="0044524F">
        <w:rPr>
          <w:rFonts w:ascii="Times New Roman" w:hAnsi="Times New Roman"/>
          <w:color w:val="000000" w:themeColor="text1"/>
          <w:sz w:val="16"/>
          <w:szCs w:val="16"/>
        </w:rPr>
        <w:softHyphen/>
        <w:t>приятные условия эксплуатации при условии увеличения надежнос</w:t>
      </w:r>
      <w:r w:rsidRPr="0044524F">
        <w:rPr>
          <w:rFonts w:ascii="Times New Roman" w:hAnsi="Times New Roman"/>
          <w:color w:val="000000" w:themeColor="text1"/>
          <w:sz w:val="16"/>
          <w:szCs w:val="16"/>
        </w:rPr>
        <w:softHyphen/>
        <w:t>ти моторной группы». «Качество продукции завода Ns 22 в основном удовлетворительное, за исключе</w:t>
      </w:r>
      <w:r w:rsidRPr="0044524F">
        <w:rPr>
          <w:rFonts w:ascii="Times New Roman" w:hAnsi="Times New Roman"/>
          <w:color w:val="000000" w:themeColor="text1"/>
          <w:sz w:val="16"/>
          <w:szCs w:val="16"/>
        </w:rPr>
        <w:softHyphen/>
        <w:t>нием мелких дефектов».</w:t>
      </w:r>
    </w:p>
    <w:p w14:paraId="077CB85D" w14:textId="77777777" w:rsidR="00997E77" w:rsidRPr="0044524F" w:rsidRDefault="00997E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самолёты прибывали в части по железной дороге (т.е. ра</w:t>
      </w:r>
      <w:r w:rsidRPr="0044524F">
        <w:rPr>
          <w:rFonts w:ascii="Times New Roman" w:hAnsi="Times New Roman"/>
          <w:color w:val="000000" w:themeColor="text1"/>
          <w:sz w:val="16"/>
          <w:szCs w:val="16"/>
        </w:rPr>
        <w:softHyphen/>
        <w:t>зобранными), на месте их прихо</w:t>
      </w:r>
      <w:r w:rsidRPr="0044524F">
        <w:rPr>
          <w:rFonts w:ascii="Times New Roman" w:hAnsi="Times New Roman"/>
          <w:color w:val="000000" w:themeColor="text1"/>
          <w:sz w:val="16"/>
          <w:szCs w:val="16"/>
        </w:rPr>
        <w:softHyphen/>
        <w:t>дилось собирать. Делалось это до</w:t>
      </w:r>
      <w:r w:rsidRPr="0044524F">
        <w:rPr>
          <w:rFonts w:ascii="Times New Roman" w:hAnsi="Times New Roman"/>
          <w:color w:val="000000" w:themeColor="text1"/>
          <w:sz w:val="16"/>
          <w:szCs w:val="16"/>
        </w:rPr>
        <w:softHyphen/>
        <w:t>статочно примитивно: попросту копали огромную яму с профили</w:t>
      </w:r>
      <w:r w:rsidRPr="0044524F">
        <w:rPr>
          <w:rFonts w:ascii="Times New Roman" w:hAnsi="Times New Roman"/>
          <w:color w:val="000000" w:themeColor="text1"/>
          <w:sz w:val="16"/>
          <w:szCs w:val="16"/>
        </w:rPr>
        <w:softHyphen/>
        <w:t>рованными откосами, укладывали туда секции и соединяли их болта</w:t>
      </w:r>
      <w:r w:rsidRPr="0044524F">
        <w:rPr>
          <w:rFonts w:ascii="Times New Roman" w:hAnsi="Times New Roman"/>
          <w:color w:val="000000" w:themeColor="text1"/>
          <w:sz w:val="16"/>
          <w:szCs w:val="16"/>
        </w:rPr>
        <w:softHyphen/>
        <w:t>ми. Это было куда легче, чем изго</w:t>
      </w:r>
      <w:r w:rsidRPr="0044524F">
        <w:rPr>
          <w:rFonts w:ascii="Times New Roman" w:hAnsi="Times New Roman"/>
          <w:color w:val="000000" w:themeColor="text1"/>
          <w:sz w:val="16"/>
          <w:szCs w:val="16"/>
        </w:rPr>
        <w:softHyphen/>
        <w:t>товление сложной многоярусной системы козел, предписанной рег</w:t>
      </w:r>
      <w:r w:rsidRPr="0044524F">
        <w:rPr>
          <w:rFonts w:ascii="Times New Roman" w:hAnsi="Times New Roman"/>
          <w:color w:val="000000" w:themeColor="text1"/>
          <w:sz w:val="16"/>
          <w:szCs w:val="16"/>
        </w:rPr>
        <w:softHyphen/>
        <w:t>ламентом.</w:t>
      </w:r>
    </w:p>
    <w:p w14:paraId="56B98D51" w14:textId="77777777" w:rsidR="00997E77" w:rsidRPr="0044524F" w:rsidRDefault="00997E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наземному обслуживанию ТБ-3 подошли серьёзно. Для него разра</w:t>
      </w:r>
      <w:r w:rsidRPr="0044524F">
        <w:rPr>
          <w:rFonts w:ascii="Times New Roman" w:hAnsi="Times New Roman"/>
          <w:color w:val="000000" w:themeColor="text1"/>
          <w:sz w:val="16"/>
          <w:szCs w:val="16"/>
        </w:rPr>
        <w:softHyphen/>
        <w:t>батывался целый набор специали</w:t>
      </w:r>
      <w:r w:rsidRPr="0044524F">
        <w:rPr>
          <w:rFonts w:ascii="Times New Roman" w:hAnsi="Times New Roman"/>
          <w:color w:val="000000" w:themeColor="text1"/>
          <w:sz w:val="16"/>
          <w:szCs w:val="16"/>
        </w:rPr>
        <w:softHyphen/>
        <w:t>зированных автомашин и прице</w:t>
      </w:r>
      <w:r w:rsidRPr="0044524F">
        <w:rPr>
          <w:rFonts w:ascii="Times New Roman" w:hAnsi="Times New Roman"/>
          <w:color w:val="000000" w:themeColor="text1"/>
          <w:sz w:val="16"/>
          <w:szCs w:val="16"/>
        </w:rPr>
        <w:softHyphen/>
        <w:t>пов. По первому изданному регла</w:t>
      </w:r>
      <w:r w:rsidRPr="0044524F">
        <w:rPr>
          <w:rFonts w:ascii="Times New Roman" w:hAnsi="Times New Roman"/>
          <w:color w:val="000000" w:themeColor="text1"/>
          <w:sz w:val="16"/>
          <w:szCs w:val="16"/>
        </w:rPr>
        <w:softHyphen/>
        <w:t>менту в комплект средств обслужи</w:t>
      </w:r>
      <w:r w:rsidRPr="0044524F">
        <w:rPr>
          <w:rFonts w:ascii="Times New Roman" w:hAnsi="Times New Roman"/>
          <w:color w:val="000000" w:themeColor="text1"/>
          <w:sz w:val="16"/>
          <w:szCs w:val="16"/>
        </w:rPr>
        <w:softHyphen/>
        <w:t>вания ТБ-3 входили пять колёсных и гусеничных машин, в т.ч. трактор «Коммунар» для буксировки бом</w:t>
      </w:r>
      <w:r w:rsidRPr="0044524F">
        <w:rPr>
          <w:rFonts w:ascii="Times New Roman" w:hAnsi="Times New Roman"/>
          <w:color w:val="000000" w:themeColor="text1"/>
          <w:sz w:val="16"/>
          <w:szCs w:val="16"/>
        </w:rPr>
        <w:softHyphen/>
        <w:t>бардировщика по аэродрому. На практике техники не хватало. За неимением трактора обходились 40-50 красноармейцами, толкавши</w:t>
      </w:r>
      <w:r w:rsidRPr="0044524F">
        <w:rPr>
          <w:rFonts w:ascii="Times New Roman" w:hAnsi="Times New Roman"/>
          <w:color w:val="000000" w:themeColor="text1"/>
          <w:sz w:val="16"/>
          <w:szCs w:val="16"/>
        </w:rPr>
        <w:softHyphen/>
        <w:t>ми машину под руководством стар</w:t>
      </w:r>
      <w:r w:rsidRPr="0044524F">
        <w:rPr>
          <w:rFonts w:ascii="Times New Roman" w:hAnsi="Times New Roman"/>
          <w:color w:val="000000" w:themeColor="text1"/>
          <w:sz w:val="16"/>
          <w:szCs w:val="16"/>
        </w:rPr>
        <w:softHyphen/>
        <w:t>шего техника. При наличии тракто</w:t>
      </w:r>
      <w:r w:rsidRPr="0044524F">
        <w:rPr>
          <w:rFonts w:ascii="Times New Roman" w:hAnsi="Times New Roman"/>
          <w:color w:val="000000" w:themeColor="text1"/>
          <w:sz w:val="16"/>
          <w:szCs w:val="16"/>
        </w:rPr>
        <w:softHyphen/>
        <w:t>ра потребность в «живой силе» со</w:t>
      </w:r>
      <w:r w:rsidRPr="0044524F">
        <w:rPr>
          <w:rFonts w:ascii="Times New Roman" w:hAnsi="Times New Roman"/>
          <w:color w:val="000000" w:themeColor="text1"/>
          <w:sz w:val="16"/>
          <w:szCs w:val="16"/>
        </w:rPr>
        <w:softHyphen/>
        <w:t>кращалась до 10-12 человек Они за</w:t>
      </w:r>
      <w:r w:rsidRPr="0044524F">
        <w:rPr>
          <w:rFonts w:ascii="Times New Roman" w:hAnsi="Times New Roman"/>
          <w:color w:val="000000" w:themeColor="text1"/>
          <w:sz w:val="16"/>
          <w:szCs w:val="16"/>
        </w:rPr>
        <w:softHyphen/>
        <w:t>носили хвост самолёта.</w:t>
      </w:r>
    </w:p>
    <w:p w14:paraId="276F4BD9" w14:textId="77777777" w:rsidR="00997E77" w:rsidRPr="0044524F" w:rsidRDefault="00997E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земле ТБ-3 обслуживали пять механиков, которым хватало рабо</w:t>
      </w:r>
      <w:r w:rsidRPr="0044524F">
        <w:rPr>
          <w:rFonts w:ascii="Times New Roman" w:hAnsi="Times New Roman"/>
          <w:color w:val="000000" w:themeColor="text1"/>
          <w:sz w:val="16"/>
          <w:szCs w:val="16"/>
        </w:rPr>
        <w:softHyphen/>
        <w:t>ты. Заправка только одного бензо</w:t>
      </w:r>
      <w:r w:rsidRPr="0044524F">
        <w:rPr>
          <w:rFonts w:ascii="Times New Roman" w:hAnsi="Times New Roman"/>
          <w:color w:val="000000" w:themeColor="text1"/>
          <w:sz w:val="16"/>
          <w:szCs w:val="16"/>
        </w:rPr>
        <w:softHyphen/>
        <w:t>бака (с применением пневматики) занимала три с половиной часа, а баков стояло четыре - самолёт потреблял до ЗбО л топлива в час. В систему охлаждения каждого мо</w:t>
      </w:r>
      <w:r w:rsidRPr="0044524F">
        <w:rPr>
          <w:rFonts w:ascii="Times New Roman" w:hAnsi="Times New Roman"/>
          <w:color w:val="000000" w:themeColor="text1"/>
          <w:sz w:val="16"/>
          <w:szCs w:val="16"/>
        </w:rPr>
        <w:softHyphen/>
        <w:t>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дёргали человек пять. Иногда к та</w:t>
      </w:r>
      <w:r w:rsidRPr="0044524F">
        <w:rPr>
          <w:rFonts w:ascii="Times New Roman" w:hAnsi="Times New Roman"/>
          <w:color w:val="000000" w:themeColor="text1"/>
          <w:sz w:val="16"/>
          <w:szCs w:val="16"/>
        </w:rPr>
        <w:softHyphen/>
        <w:t>кому приспособлению припрягали лошадь. Храповики для автостартё</w:t>
      </w:r>
      <w:r w:rsidRPr="0044524F">
        <w:rPr>
          <w:rFonts w:ascii="Times New Roman" w:hAnsi="Times New Roman"/>
          <w:color w:val="000000" w:themeColor="text1"/>
          <w:sz w:val="16"/>
          <w:szCs w:val="16"/>
        </w:rPr>
        <w:softHyphen/>
        <w:t>ров на втулках винтов ввели значи</w:t>
      </w:r>
      <w:r w:rsidRPr="0044524F">
        <w:rPr>
          <w:rFonts w:ascii="Times New Roman" w:hAnsi="Times New Roman"/>
          <w:color w:val="000000" w:themeColor="text1"/>
          <w:sz w:val="16"/>
          <w:szCs w:val="16"/>
        </w:rPr>
        <w:softHyphen/>
        <w:t>тельно позже.</w:t>
      </w:r>
    </w:p>
    <w:p w14:paraId="73BD7B20" w14:textId="77777777" w:rsidR="00997E77" w:rsidRPr="0044524F" w:rsidRDefault="00997E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планам на 1933 год предстоя</w:t>
      </w:r>
      <w:r w:rsidRPr="0044524F">
        <w:rPr>
          <w:rFonts w:ascii="Times New Roman" w:hAnsi="Times New Roman"/>
          <w:color w:val="000000" w:themeColor="text1"/>
          <w:sz w:val="16"/>
          <w:szCs w:val="16"/>
        </w:rPr>
        <w:softHyphen/>
        <w:t>ло сформировать 22 эскадрильи, для чего требовалось 264 бомбар</w:t>
      </w:r>
      <w:r w:rsidRPr="0044524F">
        <w:rPr>
          <w:rFonts w:ascii="Times New Roman" w:hAnsi="Times New Roman"/>
          <w:color w:val="000000" w:themeColor="text1"/>
          <w:sz w:val="16"/>
          <w:szCs w:val="16"/>
        </w:rPr>
        <w:softHyphen/>
        <w:t>дировщика. На практике в 1933 г. заводы выпустили 307 ТБ-3. Это позволило насытить бомбардиров</w:t>
      </w:r>
      <w:r w:rsidRPr="0044524F">
        <w:rPr>
          <w:rFonts w:ascii="Times New Roman" w:hAnsi="Times New Roman"/>
          <w:color w:val="000000" w:themeColor="text1"/>
          <w:sz w:val="16"/>
          <w:szCs w:val="16"/>
        </w:rPr>
        <w:softHyphen/>
        <w:t>щиками ВВС, фактически впервые в мире создав крупные соединения стратегической авиации - бомбар</w:t>
      </w:r>
      <w:r w:rsidRPr="0044524F">
        <w:rPr>
          <w:rFonts w:ascii="Times New Roman" w:hAnsi="Times New Roman"/>
          <w:color w:val="000000" w:themeColor="text1"/>
          <w:sz w:val="16"/>
          <w:szCs w:val="16"/>
        </w:rPr>
        <w:softHyphen/>
        <w:t>дировочные авиакорпуса (бак). Всего сформировали пять таких корпусов по две бригады в каждом. Поначалу они имели на вооруже</w:t>
      </w:r>
      <w:r w:rsidRPr="0044524F">
        <w:rPr>
          <w:rFonts w:ascii="Times New Roman" w:hAnsi="Times New Roman"/>
          <w:color w:val="000000" w:themeColor="text1"/>
          <w:sz w:val="16"/>
          <w:szCs w:val="16"/>
        </w:rPr>
        <w:softHyphen/>
        <w:t>нии и ТБ-3, и ТБ-1, но постепенно четырёхмоторные машины вытес</w:t>
      </w:r>
      <w:r w:rsidRPr="0044524F">
        <w:rPr>
          <w:rFonts w:ascii="Times New Roman" w:hAnsi="Times New Roman"/>
          <w:color w:val="000000" w:themeColor="text1"/>
          <w:sz w:val="16"/>
          <w:szCs w:val="16"/>
        </w:rPr>
        <w:softHyphen/>
        <w:t>няли ТБ-1 на роль учебных и транс</w:t>
      </w:r>
      <w:r w:rsidRPr="0044524F">
        <w:rPr>
          <w:rFonts w:ascii="Times New Roman" w:hAnsi="Times New Roman"/>
          <w:color w:val="000000" w:themeColor="text1"/>
          <w:sz w:val="16"/>
          <w:szCs w:val="16"/>
        </w:rPr>
        <w:softHyphen/>
        <w:t>портных (23469).</w:t>
      </w:r>
    </w:p>
    <w:p w14:paraId="47297CC6" w14:textId="77777777" w:rsidR="00997E77" w:rsidRPr="0044524F" w:rsidRDefault="00997E77" w:rsidP="009654CF">
      <w:pPr>
        <w:spacing w:after="0" w:line="240" w:lineRule="auto"/>
        <w:jc w:val="both"/>
        <w:rPr>
          <w:rFonts w:ascii="Times New Roman" w:hAnsi="Times New Roman"/>
          <w:color w:val="000000" w:themeColor="text1"/>
          <w:sz w:val="16"/>
          <w:szCs w:val="16"/>
        </w:rPr>
      </w:pPr>
    </w:p>
    <w:p w14:paraId="722443F2"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 согласно проекту 120-мм полковой миномет имел конструктивную схему мнимого треугольника и схему воспламенения Стокса — Брандта. Вес миномета в боевом положении составлял 140 кг. В боекомплект входили осколочно-химическая мина весом 12,08 кг, содержавшая 2,18 кг отравляющего вещества и фугасная чугунная мина весом 9,3 кг, содержавшая 2,56 кг взрывчатого вещества. Дальность стрельбы должна была составлять 3000–3500 м. Дальность стрельбы менялась за счет изменения зарядов и угла вертикального наведения.</w:t>
      </w:r>
    </w:p>
    <w:p w14:paraId="744F9CFD"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120-мм миномета затянулись с 1934 г. по 1939 г. Было испытано несколько десятков мало отличавшихся друг от друга опытных образцов.</w:t>
      </w:r>
    </w:p>
    <w:p w14:paraId="2D467C57"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Официально 120-мм миномет был принят на вооружение постановлением Комитета Обороны от 26 февраля 1939 г. вместе с 82-мм батальонным минометом обр. 1937 г. и 107-мм горно-вьючным минометом обр. 1938 г. Полковой миномет получил название «120-мм миномет обр. 1938 г.».</w:t>
      </w:r>
    </w:p>
    <w:p w14:paraId="041CD4C6"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Серийное производство 120-мм минометов началось в 1939 г. За год было изготовлено 500 минометов. На I–III кварталы 1940 г. заводу № 7 заказали 2100 120-мм минометов по цене 29 тыс. руб. за штуку. К 1 августа 1940 г. было изготовлено 933 миномета.</w:t>
      </w:r>
    </w:p>
    <w:p w14:paraId="611B6820"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Ствол миномета гладкий. В отличие от батальонных минометов, выстрел производился с помощью стреляющего приспособления, размещенного в казеннике. Для производства выстрела достаточно было дернуть за спусковой шнур. При необходимости боек переводился в жесткое положение, и стрельба велась методом самонакалывания, как в батальонном миномете.</w:t>
      </w:r>
    </w:p>
    <w:p w14:paraId="7376764E"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Плита у 120-мм миномета отличалась от плиты батальонного миномета обр. 1937 г. и представляла собой арочную конструкцию. В этой плите верхний лист изготавливался глубокой штамповкой и опирался на приваренные к нему ребра жесткости, которые врезались в грунт и обеспечивали опору плиты на грунт большей частью нижней поверхности листа.</w:t>
      </w:r>
    </w:p>
    <w:p w14:paraId="22A570A5"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походе миномет перевозился на колесном ходу посредством механической тяги, а без колесного хода мог перевозиться в кузове грузового автомобиля в разобранном виде. Время перевода из походного положения в боевое — 2–3 минуты.</w:t>
      </w:r>
    </w:p>
    <w:p w14:paraId="3FDF2968"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Наиболее был распространен неподрессоренный колесный ход обр. 1938 г., состоявший из рамы и двух колес от автомобиля «ГАЗ-АА».</w:t>
      </w:r>
    </w:p>
    <w:p w14:paraId="6F444ED9"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Миномет обр. 1938 г. снабжался передком обр. 1938 г. Передок, являясь передней частью общей повозки миномета на походе (хотя можно возить миномет и без него), предназначался также для перевозки 20 мин. Передок состоял из рамы, двух колес от автомобиля «ГАЗ-АА» и короба. Кроме мин, в коробе помещались два лотка, а в каждом лотке — пять пар коробок с дополнительными зарядами и один запасной хвостовой патрон (для замены давшего осечку). В годы войны выпускался так называемый «упрощенный» передок.</w:t>
      </w:r>
    </w:p>
    <w:p w14:paraId="2A91D365"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Несколько модернизированный вариант миномета обр. 1938 г. получил название «120-мм миномет обр. 1941 г.».</w:t>
      </w:r>
    </w:p>
    <w:p w14:paraId="37678735"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120-мм миномет обр. 1941 года в отличие от миномета обр. 1938 г. был снабжен амортизатором упрощенной конструкции и не имел колесного хода. Для сокращения трудозатрат применялся ввинтной казенник, однако надежная обтюрация его в соединении со стволом не обеспечивалась.</w:t>
      </w:r>
    </w:p>
    <w:p w14:paraId="19BADAF7"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1943 году был принят на вооружение новый 120-мм миномет, который представлял собой модернизированный вариант образца 1938 г. В нем было усовершенствовано стреляющее приспособление, которое разбиралось без свинчивания казенника. Кроме того, миномет снабжался амортизаторами с более длинным ходом пружины и качающимся прицелом. Введение качающегося прицела упрощало механизм горизонтирования. В 1945 г. для буксирования автомобилем миномету был придан усовершенствованный подрессоренный ход. В целом миномет оказался весьма удачным образцом и выпускался промышленностью до последних дней войны.</w:t>
      </w:r>
    </w:p>
    <w:p w14:paraId="306EFFFC"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Возка 120-мм миномета осуществлялась конной или механической тягой. Конная тяга производилась с передком четверкой лошадей.</w:t>
      </w:r>
    </w:p>
    <w:p w14:paraId="2D5F409D"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Данные полковых минометов — Обр. 1938 г. — Обр. 1943 г. </w:t>
      </w:r>
    </w:p>
    <w:p w14:paraId="3A3E8740"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 мм — 120–120</w:t>
      </w:r>
    </w:p>
    <w:p w14:paraId="0BD76F48"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ВН, град — +45;+80 — +45; +80</w:t>
      </w:r>
    </w:p>
    <w:p w14:paraId="62D4C624"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ГН, град — 6–8</w:t>
      </w:r>
    </w:p>
    <w:p w14:paraId="17C23AA2"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ствола с казенником, кг — 105–100</w:t>
      </w:r>
    </w:p>
    <w:p w14:paraId="11500D61"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двуноги-лафета, кг — 75–80</w:t>
      </w:r>
    </w:p>
    <w:p w14:paraId="471E0260"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опорной плиты, кг — 95–95</w:t>
      </w:r>
    </w:p>
    <w:p w14:paraId="654E094B"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прицела, кг — 1,4–1,4</w:t>
      </w:r>
    </w:p>
    <w:p w14:paraId="7DC77C13"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миномета в боевом положении, кг — 275–275</w:t>
      </w:r>
    </w:p>
    <w:p w14:paraId="68EFF271"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колесного хода, мм — 1300–1300</w:t>
      </w:r>
    </w:p>
    <w:p w14:paraId="5834B789"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Клиренс, мм — 370–370</w:t>
      </w:r>
    </w:p>
    <w:p w14:paraId="7971DE7B"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возки, км/час: по булыжной мостовой — 18–18</w:t>
      </w:r>
    </w:p>
    <w:p w14:paraId="2070FB1D"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шоссе — 35–35</w:t>
      </w:r>
    </w:p>
    <w:p w14:paraId="295E46B4"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Скорострельность, выстр/мин: без исправления наводки — 15–15</w:t>
      </w:r>
    </w:p>
    <w:p w14:paraId="20CB1F97"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исправлением наводки — 6–6</w:t>
      </w:r>
    </w:p>
    <w:p w14:paraId="2B87A02D"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120-мм зажигательная мина ТР с комбинированным термитно-фосфорным снаряжением была принята на вооружение в начале 1943 г. Эта мина снаряжалась желтым фосфором, 36 термитными зажигательными элементами в металлических стаканчиках и небольшим разрывным зарядом. При разрыве мины горящие зажигательные элементы разлетались в радиусе до 40 м от места разрыва и создавали 36 огневых очагов с температурой более 2000 °C и временем горения около 15 с. После сгорания зажигательных элементов оставались раскаленные шлаки, способные проплавить тонкое листовое железо. 120-мм зажигательные мины ТР обеспечивали надежное поджигание деревянных сооружений.</w:t>
      </w:r>
    </w:p>
    <w:p w14:paraId="0D189A4B" w14:textId="77777777" w:rsidR="00056252" w:rsidRPr="0044524F" w:rsidRDefault="000562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Также в 1942 г. была выпущена небольшая партия 120-мм зажигательных мин БНП и БТН. 120-мм зажигательная мина БНП снаряжалась вязкой огнесмесью А. П. Ионова с добавкой волокнистого наполнителя — пакли, которая уменьшала дробление вязкой огнесмеси при взрыве мины. Мины типа БНП надежно поджигали деревянные срубы, удовлетворительно действовали при попадании в танк. Мины БТП были снаряжены вязкой огнесмесыо, термитным составом и паклей (12705).</w:t>
      </w:r>
    </w:p>
    <w:p w14:paraId="03E3EEB7" w14:textId="77777777" w:rsidR="00056252" w:rsidRPr="0044524F" w:rsidRDefault="00056252" w:rsidP="009654CF">
      <w:pPr>
        <w:spacing w:after="0" w:line="240" w:lineRule="auto"/>
        <w:jc w:val="both"/>
        <w:rPr>
          <w:rFonts w:ascii="Times New Roman" w:hAnsi="Times New Roman"/>
          <w:color w:val="000000" w:themeColor="text1"/>
          <w:sz w:val="16"/>
          <w:szCs w:val="16"/>
        </w:rPr>
      </w:pPr>
    </w:p>
    <w:p w14:paraId="5A49902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у Нач. Танкового управления НТУ УММ РККА Свиридова рассматривали вопрос о “переделках в корпусе БТ в выпущенных машинах в связи с установкой 45-мм пушки”. Интересы ХПЗ представлял Нач. Т-2К А.О.Фирсов, который доложил, что “при замене вооружения с 37-мм пушки на 45 мм пушку на выпущенных машинах БТ-2 подлежат замене следующие узлы: 1) верхний подбашенный бронелист, 2) арка над водителем, 3) укладка боеприпасов”...”указанные переделки с технической стороны затруднений не вызывают и не требуют специального оборудования.”. По требованию представителей НТУ в протоколе было записано: “указанные переделки должны проводиться, не вклиниваясь в серийное производство во избежании срыва программы выпуска танков БТ.”. На этом же совещании решили перейти и на овальную башню (3880,4).</w:t>
      </w:r>
    </w:p>
    <w:p w14:paraId="532D53A2"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0CEE51A9"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lastRenderedPageBreak/>
        <w:t xml:space="preserve">Если на 1 января 1933 г. на Комбинате существовало 389 хозрасчётных бригад, которые охватывали 4126 работников, то на 1 апреля 1933 г. их число сократилось до 345 бригад, в которых трудилось 4017 человек. Лишь форсированными усилиями администрации Комбината, направленными на реанимацию хозрасчётного движения, удалось переломить негативную тенденцию, и довести число хозрасчётных бригад к 1 июля до 398 (4607 человек). На 1 октября количество бригад сократилось до 365, но число занятых в них рабочих возросло до 5462, что составляло 62% всех рабочих завода, занятых на основных работах. К этому времени заводской и цеховой хозрасчёт отошли на вторые роли, на первый план был выдвинут хозрасчёт бригадный, однако и с последним дела не ладились. В объяснение столь неутешительных итогов заводоуправление привело следующие причины: </w:t>
      </w:r>
    </w:p>
    <w:p w14:paraId="2DBF71C6"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w:t>
      </w:r>
      <w:r w:rsidRPr="0044524F">
        <w:rPr>
          <w:rStyle w:val="ac"/>
          <w:color w:val="000000" w:themeColor="text1"/>
          <w:spacing w:val="0"/>
          <w:kern w:val="0"/>
          <w:position w:val="0"/>
          <w:sz w:val="16"/>
          <w:szCs w:val="16"/>
          <w:lang w:val="ru-RU"/>
        </w:rPr>
        <w:t>1. Организационный разброд и разные ревизионистские настроения, стремящиеся оправдать этот разброд.</w:t>
      </w:r>
    </w:p>
    <w:p w14:paraId="247C874F"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rStyle w:val="ac"/>
          <w:color w:val="000000" w:themeColor="text1"/>
          <w:spacing w:val="0"/>
          <w:kern w:val="0"/>
          <w:position w:val="0"/>
          <w:sz w:val="16"/>
          <w:szCs w:val="16"/>
          <w:lang w:val="ru-RU"/>
        </w:rPr>
        <w:t>2. Рост рабочей силы, ведущий к снижению удельного веса охваченных хозрасчётными бригадами рабочих.</w:t>
      </w:r>
    </w:p>
    <w:p w14:paraId="585F9506"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rStyle w:val="ac"/>
          <w:color w:val="000000" w:themeColor="text1"/>
          <w:spacing w:val="0"/>
          <w:kern w:val="0"/>
          <w:position w:val="0"/>
          <w:sz w:val="16"/>
          <w:szCs w:val="16"/>
          <w:lang w:val="ru-RU"/>
        </w:rPr>
        <w:t>3. Бригадный хозрасчёт застыл в тех формах, которые он принял в середине 1932 г., хотя многое в нём уже изменилось. Основное было то, что организационная структура хозрасчётных бригад была недостаточно чёткая, недостаточно рациональная с токи зрения технологического процесса. Среднее число членов в бригаде по 4 основным заводам (АТЭ, Трансформаторный, Прожекторный, Ламповый) было 10–11 человек, а в Прожекторном – 6–7 человек, а при такой численности далеко не всюду бригада могла быть организована как следует. Превалировала организация бригады по принципу обработки какой-либо операции. Пример: деталь начата обработкой в бригаде № 19, затем она идёт в бригаду № 21, оттуда возвращается в бригаду № 19, а затем – в бригаду № 27, оттуда возвращается в бригаду № 21, затем – снова в бригаду № 19, потом – в бригаду № 27 и окончательная обработка – в бригаде № 25.</w:t>
      </w:r>
    </w:p>
    <w:p w14:paraId="65E4F147"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rStyle w:val="ac"/>
          <w:color w:val="000000" w:themeColor="text1"/>
          <w:spacing w:val="0"/>
          <w:kern w:val="0"/>
          <w:position w:val="0"/>
          <w:sz w:val="16"/>
          <w:szCs w:val="16"/>
          <w:lang w:val="ru-RU"/>
        </w:rPr>
        <w:t>Если в 1932 г. велась борьба и удалось изменить существующую практику многочисленных и многосменных бригад (в 50–70 человек), не считавшихся с техническими процессами и требовавших правильного хозрасчёта, то тут мы имеем дело с другой крайностью – размельчением бригад</w:t>
      </w:r>
      <w:r w:rsidRPr="0044524F">
        <w:rPr>
          <w:i w:val="0"/>
          <w:iCs w:val="0"/>
          <w:color w:val="000000" w:themeColor="text1"/>
          <w:spacing w:val="0"/>
          <w:kern w:val="0"/>
          <w:position w:val="0"/>
          <w:sz w:val="16"/>
          <w:szCs w:val="16"/>
          <w:lang w:val="ru-RU"/>
        </w:rPr>
        <w:t>» (11564).</w:t>
      </w:r>
    </w:p>
    <w:p w14:paraId="1B09126D" w14:textId="77777777" w:rsidR="00095B9C" w:rsidRPr="0044524F" w:rsidRDefault="00095B9C" w:rsidP="009654CF">
      <w:pPr>
        <w:pStyle w:val="af2"/>
        <w:jc w:val="both"/>
        <w:rPr>
          <w:i w:val="0"/>
          <w:iCs w:val="0"/>
          <w:color w:val="000000" w:themeColor="text1"/>
          <w:spacing w:val="0"/>
          <w:kern w:val="0"/>
          <w:position w:val="0"/>
          <w:sz w:val="16"/>
          <w:szCs w:val="16"/>
          <w:lang w:val="ru-RU"/>
        </w:rPr>
      </w:pPr>
    </w:p>
    <w:p w14:paraId="32177E80"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состоянию на 1 янва</w:t>
      </w:r>
      <w:r w:rsidRPr="00142305">
        <w:rPr>
          <w:rFonts w:ascii="Times New Roman" w:hAnsi="Times New Roman"/>
          <w:color w:val="0070C0"/>
          <w:sz w:val="16"/>
          <w:szCs w:val="16"/>
        </w:rPr>
        <w:softHyphen/>
        <w:t>ря 1933 года более половины американ</w:t>
      </w:r>
      <w:r w:rsidRPr="00142305">
        <w:rPr>
          <w:rFonts w:ascii="Times New Roman" w:hAnsi="Times New Roman"/>
          <w:color w:val="0070C0"/>
          <w:sz w:val="16"/>
          <w:szCs w:val="16"/>
        </w:rPr>
        <w:softHyphen/>
        <w:t>ских «Либерти» были укомплектованы не полностью, о чем сообщал замести</w:t>
      </w:r>
      <w:r w:rsidRPr="00142305">
        <w:rPr>
          <w:rFonts w:ascii="Times New Roman" w:hAnsi="Times New Roman"/>
          <w:color w:val="0070C0"/>
          <w:sz w:val="16"/>
          <w:szCs w:val="16"/>
        </w:rPr>
        <w:softHyphen/>
        <w:t>тель наркома тяжелой промышленнос</w:t>
      </w:r>
      <w:r w:rsidRPr="00142305">
        <w:rPr>
          <w:rFonts w:ascii="Times New Roman" w:hAnsi="Times New Roman"/>
          <w:color w:val="0070C0"/>
          <w:sz w:val="16"/>
          <w:szCs w:val="16"/>
        </w:rPr>
        <w:softHyphen/>
        <w:t>ти Л. Каганович: «Электрооборудование для них ввози</w:t>
      </w:r>
      <w:r w:rsidRPr="00142305">
        <w:rPr>
          <w:rFonts w:ascii="Times New Roman" w:hAnsi="Times New Roman"/>
          <w:color w:val="0070C0"/>
          <w:sz w:val="16"/>
          <w:szCs w:val="16"/>
        </w:rPr>
        <w:softHyphen/>
        <w:t>лось лишь частично ввиду наличия ранее завезенных запасов, обеспечивавших программу 1932 года. В настоящее время 1623 мотора «Либерти» не имеют элект</w:t>
      </w:r>
      <w:r w:rsidRPr="00142305">
        <w:rPr>
          <w:rFonts w:ascii="Times New Roman" w:hAnsi="Times New Roman"/>
          <w:color w:val="0070C0"/>
          <w:sz w:val="16"/>
          <w:szCs w:val="16"/>
        </w:rPr>
        <w:softHyphen/>
        <w:t>рооборудования, требуется закупка в САСШ электроаппаратуры «Делько» (25009).</w:t>
      </w:r>
    </w:p>
    <w:p w14:paraId="4A5CC9B1" w14:textId="77777777" w:rsidR="000B01C4" w:rsidRPr="00142305" w:rsidRDefault="000B01C4" w:rsidP="000B01C4">
      <w:pPr>
        <w:spacing w:after="0" w:line="240" w:lineRule="auto"/>
        <w:jc w:val="both"/>
        <w:rPr>
          <w:rFonts w:ascii="Times New Roman" w:hAnsi="Times New Roman"/>
          <w:color w:val="0070C0"/>
          <w:sz w:val="16"/>
          <w:szCs w:val="16"/>
        </w:rPr>
      </w:pPr>
    </w:p>
    <w:p w14:paraId="4614AD1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января 1933 г. Приказом Наркомата целлюлозной была создана Центральная контрольно-аналитическая лаборатория целлюлозной и бумажной промышленности "ЦКАЛ" создана бумажной промышленности СССР от 5 декабря 1942 г. лаборатория переименована в Московский филиал Центрального научно-исследовательского института целлюлозной и бумажной промышленности "ЦНИИБ", такое же название филиал имел в 1957 - 1959 гг. В 1941 - 1943 гг. филиал находился в эвакуации в г. Краснокамске Молотовской обл. В 1950 - 1955 гг. филиал назывался Московский филиал Центрального научно-исследовательского института бумаги, в 1956 г. - Московский филиал Центрального научно-исследовательского института целлюлозы и бумаги, в 1960 - 1964 гг. - Московский филиал Всесоюзного научно-исследовательского института целлюлозной и бумажной промышленности "ВНИИБ". Приказом Госплана СССР от 10 декабря 1964 г. филиал реорганизуется в ЦНИИБ (12102). </w:t>
      </w:r>
    </w:p>
    <w:p w14:paraId="224084B3" w14:textId="77777777" w:rsidR="00460F2B" w:rsidRPr="0044524F" w:rsidRDefault="00460F2B" w:rsidP="009654CF">
      <w:pPr>
        <w:spacing w:after="0" w:line="240" w:lineRule="auto"/>
        <w:jc w:val="both"/>
        <w:rPr>
          <w:rFonts w:ascii="Times New Roman" w:hAnsi="Times New Roman"/>
          <w:iCs/>
          <w:color w:val="000000" w:themeColor="text1"/>
          <w:sz w:val="16"/>
          <w:szCs w:val="16"/>
        </w:rPr>
      </w:pPr>
    </w:p>
    <w:p w14:paraId="202F95DB" w14:textId="77777777" w:rsidR="00095B9C"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5C94A954"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4E30F340" w14:textId="77777777" w:rsidR="00095B9C" w:rsidRPr="0044524F" w:rsidRDefault="00095B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 советские Военно-Воздушные Силы имели 2703 отечествен</w:t>
      </w:r>
      <w:r w:rsidRPr="0044524F">
        <w:rPr>
          <w:rFonts w:ascii="Times New Roman" w:hAnsi="Times New Roman"/>
          <w:color w:val="000000" w:themeColor="text1"/>
          <w:sz w:val="16"/>
          <w:szCs w:val="16"/>
        </w:rPr>
        <w:softHyphen/>
        <w:t>ных самолета с современными летно-техническими данными [18, с. 32]9 (5484).</w:t>
      </w:r>
    </w:p>
    <w:p w14:paraId="46F0C221"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19EFD98C"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января 1933 г. в рядах ВВС РККА уже числились 144 ТБ-3 при всего одном неисправном. К концу года четырехмо</w:t>
      </w:r>
      <w:r w:rsidRPr="00142305">
        <w:rPr>
          <w:rFonts w:ascii="Times New Roman" w:hAnsi="Times New Roman"/>
          <w:color w:val="0070C0"/>
          <w:sz w:val="16"/>
          <w:szCs w:val="16"/>
        </w:rPr>
        <w:softHyphen/>
        <w:t>торных машин в строевых частях уже насчитывалось больше, чем ТБ-1, но они пока лишь дополняли, а не вытесняли последние.</w:t>
      </w:r>
    </w:p>
    <w:p w14:paraId="217996AB"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Четырехмоторные гиганты оказались до</w:t>
      </w:r>
      <w:r w:rsidRPr="00142305">
        <w:rPr>
          <w:rFonts w:ascii="Times New Roman" w:hAnsi="Times New Roman"/>
          <w:color w:val="0070C0"/>
          <w:sz w:val="16"/>
          <w:szCs w:val="16"/>
        </w:rPr>
        <w:softHyphen/>
        <w:t>статочно устойчивы в воздухе и покладисты в пилотировании (24938)</w:t>
      </w:r>
    </w:p>
    <w:p w14:paraId="5095EA8C" w14:textId="77777777" w:rsidR="000B01C4" w:rsidRPr="00142305" w:rsidRDefault="000B01C4" w:rsidP="000B01C4">
      <w:pPr>
        <w:spacing w:after="0" w:line="240" w:lineRule="auto"/>
        <w:jc w:val="both"/>
        <w:rPr>
          <w:rFonts w:ascii="Times New Roman" w:hAnsi="Times New Roman"/>
          <w:color w:val="0070C0"/>
          <w:sz w:val="16"/>
          <w:szCs w:val="16"/>
        </w:rPr>
      </w:pPr>
    </w:p>
    <w:p w14:paraId="2253E131"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января 1933 г. в рядах ВВС РККА уже числились 144 ТБ-3, и только один из них являлся неисправным. К концу года четырехмоторных машин в строевых частях уже было больше, чем ТБ-l, но они пока лишь дополняли, а не вы</w:t>
      </w:r>
      <w:r w:rsidRPr="00142305">
        <w:rPr>
          <w:rFonts w:ascii="Times New Roman" w:hAnsi="Times New Roman"/>
          <w:color w:val="0070C0"/>
          <w:sz w:val="16"/>
          <w:szCs w:val="16"/>
        </w:rPr>
        <w:softHyphen/>
        <w:t>тесняли последние.</w:t>
      </w:r>
    </w:p>
    <w:p w14:paraId="06F2D099"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наземному обслуживанию ТБ-3 подошли серьезно. Для него разрабатывался целый набор специализирован</w:t>
      </w:r>
      <w:r w:rsidRPr="00142305">
        <w:rPr>
          <w:rFonts w:ascii="Times New Roman" w:hAnsi="Times New Roman"/>
          <w:color w:val="0070C0"/>
          <w:sz w:val="16"/>
          <w:szCs w:val="16"/>
        </w:rPr>
        <w:softHyphen/>
        <w:t>ных автомашин и прицепов, в том числе проектировалась передвижная мастерская на шасси грузовика. По перво</w:t>
      </w:r>
      <w:r w:rsidRPr="00142305">
        <w:rPr>
          <w:rFonts w:ascii="Times New Roman" w:hAnsi="Times New Roman"/>
          <w:color w:val="0070C0"/>
          <w:sz w:val="16"/>
          <w:szCs w:val="16"/>
        </w:rPr>
        <w:softHyphen/>
        <w:t>му изданному регламенту в комплект средств обслуживания ТБ-3 входили пять колесных и гусеничных машин, в том числе гусеничный трактор «Коммунар» для буксировки бомбардировщика по аэродрому. На практике техники не хватало. При отсутствии трактора обходились 40-50 крас</w:t>
      </w:r>
      <w:r w:rsidRPr="00142305">
        <w:rPr>
          <w:rFonts w:ascii="Times New Roman" w:hAnsi="Times New Roman"/>
          <w:color w:val="0070C0"/>
          <w:sz w:val="16"/>
          <w:szCs w:val="16"/>
        </w:rPr>
        <w:softHyphen/>
        <w:t>ноармейцами, толкавшими машину под руководством стар</w:t>
      </w:r>
      <w:r w:rsidRPr="00142305">
        <w:rPr>
          <w:rFonts w:ascii="Times New Roman" w:hAnsi="Times New Roman"/>
          <w:color w:val="0070C0"/>
          <w:sz w:val="16"/>
          <w:szCs w:val="16"/>
        </w:rPr>
        <w:softHyphen/>
        <w:t>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w:t>
      </w:r>
      <w:r w:rsidRPr="00142305">
        <w:rPr>
          <w:rFonts w:ascii="Times New Roman" w:hAnsi="Times New Roman"/>
          <w:color w:val="0070C0"/>
          <w:sz w:val="16"/>
          <w:szCs w:val="16"/>
        </w:rPr>
        <w:softHyphen/>
        <w:t>щалась до 10-12 человек. Они заносили хвост самолета.</w:t>
      </w:r>
    </w:p>
    <w:p w14:paraId="2C392F1C"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земле ТБ-3 обслуживали пять механиков, которым хватало работы. Заправка только одного бензобака (с при</w:t>
      </w:r>
      <w:r w:rsidRPr="00142305">
        <w:rPr>
          <w:rFonts w:ascii="Times New Roman" w:hAnsi="Times New Roman"/>
          <w:color w:val="0070C0"/>
          <w:sz w:val="16"/>
          <w:szCs w:val="16"/>
        </w:rPr>
        <w:softHyphen/>
        <w:t>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w:t>
      </w:r>
      <w:r w:rsidRPr="00142305">
        <w:rPr>
          <w:rFonts w:ascii="Times New Roman" w:hAnsi="Times New Roman"/>
          <w:color w:val="0070C0"/>
          <w:sz w:val="16"/>
          <w:szCs w:val="16"/>
        </w:rPr>
        <w:softHyphen/>
        <w:t>ции полагалось заводить сжатым воздухом от аэродромно</w:t>
      </w:r>
      <w:r w:rsidRPr="00142305">
        <w:rPr>
          <w:rFonts w:ascii="Times New Roman" w:hAnsi="Times New Roman"/>
          <w:color w:val="0070C0"/>
          <w:sz w:val="16"/>
          <w:szCs w:val="16"/>
        </w:rPr>
        <w:softHyphen/>
        <w:t>го баллона. А если его под рукой не имелось, обходились резиновой петлей на длинной палке, которую дергали че</w:t>
      </w:r>
      <w:r w:rsidRPr="00142305">
        <w:rPr>
          <w:rFonts w:ascii="Times New Roman" w:hAnsi="Times New Roman"/>
          <w:color w:val="0070C0"/>
          <w:sz w:val="16"/>
          <w:szCs w:val="16"/>
        </w:rPr>
        <w:softHyphen/>
        <w:t>ловек пять. Иногда к такому приспособлению припряга</w:t>
      </w:r>
      <w:r w:rsidRPr="00142305">
        <w:rPr>
          <w:rFonts w:ascii="Times New Roman" w:hAnsi="Times New Roman"/>
          <w:color w:val="0070C0"/>
          <w:sz w:val="16"/>
          <w:szCs w:val="16"/>
        </w:rPr>
        <w:softHyphen/>
        <w:t>ли лошадь. Храповики для автостартеров на втулках винтов ввели значительно позже (24977).</w:t>
      </w:r>
    </w:p>
    <w:p w14:paraId="28D1217C" w14:textId="77777777" w:rsidR="000B01C4" w:rsidRPr="00142305" w:rsidRDefault="000B01C4" w:rsidP="000B01C4">
      <w:pPr>
        <w:spacing w:after="0" w:line="240" w:lineRule="auto"/>
        <w:jc w:val="both"/>
        <w:rPr>
          <w:rFonts w:ascii="Times New Roman" w:hAnsi="Times New Roman"/>
          <w:color w:val="0070C0"/>
          <w:sz w:val="16"/>
          <w:szCs w:val="16"/>
        </w:rPr>
      </w:pPr>
    </w:p>
    <w:p w14:paraId="79FE637E"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января 1933 г. наличие самолетов П-5, ЛП-5 и ПР-5 в ГВФ (без ведомственной авиации)</w:t>
      </w:r>
    </w:p>
    <w:tbl>
      <w:tblPr>
        <w:tblOverlap w:val="never"/>
        <w:tblW w:w="0" w:type="auto"/>
        <w:tblLayout w:type="fixed"/>
        <w:tblCellMar>
          <w:left w:w="10" w:type="dxa"/>
          <w:right w:w="10" w:type="dxa"/>
        </w:tblCellMar>
        <w:tblLook w:val="0000" w:firstRow="0" w:lastRow="0" w:firstColumn="0" w:lastColumn="0" w:noHBand="0" w:noVBand="0"/>
      </w:tblPr>
      <w:tblGrid>
        <w:gridCol w:w="1177"/>
        <w:gridCol w:w="1174"/>
        <w:gridCol w:w="1174"/>
        <w:gridCol w:w="1195"/>
      </w:tblGrid>
      <w:tr w:rsidR="000B01C4" w:rsidRPr="00142305" w14:paraId="7645E50A" w14:textId="77777777" w:rsidTr="00DC550A">
        <w:trPr>
          <w:trHeight w:hRule="exact" w:val="310"/>
        </w:trPr>
        <w:tc>
          <w:tcPr>
            <w:tcW w:w="1177" w:type="dxa"/>
            <w:tcBorders>
              <w:top w:val="single" w:sz="4" w:space="0" w:color="auto"/>
              <w:left w:val="single" w:sz="4" w:space="0" w:color="auto"/>
            </w:tcBorders>
            <w:shd w:val="clear" w:color="auto" w:fill="FFFFFF"/>
            <w:vAlign w:val="bottom"/>
          </w:tcPr>
          <w:p w14:paraId="2F3BC39F"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Дата</w:t>
            </w:r>
          </w:p>
        </w:tc>
        <w:tc>
          <w:tcPr>
            <w:tcW w:w="1174" w:type="dxa"/>
            <w:tcBorders>
              <w:top w:val="single" w:sz="4" w:space="0" w:color="auto"/>
              <w:left w:val="single" w:sz="4" w:space="0" w:color="auto"/>
            </w:tcBorders>
            <w:shd w:val="clear" w:color="auto" w:fill="FFFFFF"/>
            <w:vAlign w:val="bottom"/>
          </w:tcPr>
          <w:p w14:paraId="22CC8581"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П-5</w:t>
            </w:r>
          </w:p>
        </w:tc>
        <w:tc>
          <w:tcPr>
            <w:tcW w:w="1174" w:type="dxa"/>
            <w:tcBorders>
              <w:top w:val="single" w:sz="4" w:space="0" w:color="auto"/>
              <w:left w:val="single" w:sz="4" w:space="0" w:color="auto"/>
            </w:tcBorders>
            <w:shd w:val="clear" w:color="auto" w:fill="FFFFFF"/>
            <w:vAlign w:val="bottom"/>
          </w:tcPr>
          <w:p w14:paraId="1B2A5811"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ЛП-5</w:t>
            </w:r>
          </w:p>
        </w:tc>
        <w:tc>
          <w:tcPr>
            <w:tcW w:w="1195" w:type="dxa"/>
            <w:tcBorders>
              <w:top w:val="single" w:sz="4" w:space="0" w:color="auto"/>
              <w:left w:val="single" w:sz="4" w:space="0" w:color="auto"/>
              <w:right w:val="single" w:sz="4" w:space="0" w:color="auto"/>
            </w:tcBorders>
            <w:shd w:val="clear" w:color="auto" w:fill="FFFFFF"/>
            <w:vAlign w:val="bottom"/>
          </w:tcPr>
          <w:p w14:paraId="4281527A"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ПР-5</w:t>
            </w:r>
          </w:p>
        </w:tc>
      </w:tr>
      <w:tr w:rsidR="000B01C4" w:rsidRPr="00142305" w14:paraId="360398F2" w14:textId="77777777" w:rsidTr="00DC550A">
        <w:trPr>
          <w:trHeight w:hRule="exact" w:val="302"/>
        </w:trPr>
        <w:tc>
          <w:tcPr>
            <w:tcW w:w="1177" w:type="dxa"/>
            <w:tcBorders>
              <w:top w:val="single" w:sz="4" w:space="0" w:color="auto"/>
              <w:left w:val="single" w:sz="4" w:space="0" w:color="auto"/>
            </w:tcBorders>
            <w:shd w:val="clear" w:color="auto" w:fill="FFFFFF"/>
            <w:vAlign w:val="center"/>
          </w:tcPr>
          <w:p w14:paraId="72709ED9"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01.01.32</w:t>
            </w:r>
          </w:p>
        </w:tc>
        <w:tc>
          <w:tcPr>
            <w:tcW w:w="1174" w:type="dxa"/>
            <w:tcBorders>
              <w:top w:val="single" w:sz="4" w:space="0" w:color="auto"/>
              <w:left w:val="single" w:sz="4" w:space="0" w:color="auto"/>
            </w:tcBorders>
            <w:shd w:val="clear" w:color="auto" w:fill="FFFFFF"/>
            <w:vAlign w:val="center"/>
          </w:tcPr>
          <w:p w14:paraId="658AF286"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w:t>
            </w:r>
          </w:p>
        </w:tc>
        <w:tc>
          <w:tcPr>
            <w:tcW w:w="1174" w:type="dxa"/>
            <w:tcBorders>
              <w:top w:val="single" w:sz="4" w:space="0" w:color="auto"/>
              <w:left w:val="single" w:sz="4" w:space="0" w:color="auto"/>
            </w:tcBorders>
            <w:shd w:val="clear" w:color="auto" w:fill="FFFFFF"/>
            <w:vAlign w:val="center"/>
          </w:tcPr>
          <w:p w14:paraId="1E86FD16"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195" w:type="dxa"/>
            <w:tcBorders>
              <w:top w:val="single" w:sz="4" w:space="0" w:color="auto"/>
              <w:left w:val="single" w:sz="4" w:space="0" w:color="auto"/>
              <w:right w:val="single" w:sz="4" w:space="0" w:color="auto"/>
            </w:tcBorders>
            <w:shd w:val="clear" w:color="auto" w:fill="FFFFFF"/>
            <w:vAlign w:val="center"/>
          </w:tcPr>
          <w:p w14:paraId="3BA7F8E1"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0B01C4" w:rsidRPr="00142305" w14:paraId="1D329DCB" w14:textId="77777777" w:rsidTr="00DC550A">
        <w:trPr>
          <w:trHeight w:hRule="exact" w:val="302"/>
        </w:trPr>
        <w:tc>
          <w:tcPr>
            <w:tcW w:w="1177" w:type="dxa"/>
            <w:tcBorders>
              <w:top w:val="single" w:sz="4" w:space="0" w:color="auto"/>
              <w:left w:val="single" w:sz="4" w:space="0" w:color="auto"/>
            </w:tcBorders>
            <w:shd w:val="clear" w:color="auto" w:fill="FFFFFF"/>
            <w:vAlign w:val="center"/>
          </w:tcPr>
          <w:p w14:paraId="430F4126"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01.01.33</w:t>
            </w:r>
          </w:p>
        </w:tc>
        <w:tc>
          <w:tcPr>
            <w:tcW w:w="1174" w:type="dxa"/>
            <w:tcBorders>
              <w:top w:val="single" w:sz="4" w:space="0" w:color="auto"/>
              <w:left w:val="single" w:sz="4" w:space="0" w:color="auto"/>
            </w:tcBorders>
            <w:shd w:val="clear" w:color="auto" w:fill="FFFFFF"/>
            <w:vAlign w:val="center"/>
          </w:tcPr>
          <w:p w14:paraId="3B43225A"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34</w:t>
            </w:r>
          </w:p>
        </w:tc>
        <w:tc>
          <w:tcPr>
            <w:tcW w:w="1174" w:type="dxa"/>
            <w:tcBorders>
              <w:top w:val="single" w:sz="4" w:space="0" w:color="auto"/>
              <w:left w:val="single" w:sz="4" w:space="0" w:color="auto"/>
            </w:tcBorders>
            <w:shd w:val="clear" w:color="auto" w:fill="FFFFFF"/>
            <w:vAlign w:val="center"/>
          </w:tcPr>
          <w:p w14:paraId="19899E7B"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195" w:type="dxa"/>
            <w:tcBorders>
              <w:top w:val="single" w:sz="4" w:space="0" w:color="auto"/>
              <w:left w:val="single" w:sz="4" w:space="0" w:color="auto"/>
              <w:right w:val="single" w:sz="4" w:space="0" w:color="auto"/>
            </w:tcBorders>
            <w:shd w:val="clear" w:color="auto" w:fill="FFFFFF"/>
            <w:vAlign w:val="center"/>
          </w:tcPr>
          <w:p w14:paraId="4F91889C"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0B01C4" w:rsidRPr="00142305" w14:paraId="7B74252C" w14:textId="77777777" w:rsidTr="00DC550A">
        <w:trPr>
          <w:trHeight w:hRule="exact" w:val="302"/>
        </w:trPr>
        <w:tc>
          <w:tcPr>
            <w:tcW w:w="1177" w:type="dxa"/>
            <w:tcBorders>
              <w:top w:val="single" w:sz="4" w:space="0" w:color="auto"/>
              <w:left w:val="single" w:sz="4" w:space="0" w:color="auto"/>
            </w:tcBorders>
            <w:shd w:val="clear" w:color="auto" w:fill="FFFFFF"/>
            <w:vAlign w:val="center"/>
          </w:tcPr>
          <w:p w14:paraId="39DC3569"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01.01.35</w:t>
            </w:r>
          </w:p>
        </w:tc>
        <w:tc>
          <w:tcPr>
            <w:tcW w:w="1174" w:type="dxa"/>
            <w:tcBorders>
              <w:top w:val="single" w:sz="4" w:space="0" w:color="auto"/>
              <w:left w:val="single" w:sz="4" w:space="0" w:color="auto"/>
            </w:tcBorders>
            <w:shd w:val="clear" w:color="auto" w:fill="FFFFFF"/>
            <w:vAlign w:val="center"/>
          </w:tcPr>
          <w:p w14:paraId="4FF9CD9E"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156</w:t>
            </w:r>
          </w:p>
        </w:tc>
        <w:tc>
          <w:tcPr>
            <w:tcW w:w="1174" w:type="dxa"/>
            <w:tcBorders>
              <w:top w:val="single" w:sz="4" w:space="0" w:color="auto"/>
              <w:left w:val="single" w:sz="4" w:space="0" w:color="auto"/>
            </w:tcBorders>
            <w:shd w:val="clear" w:color="auto" w:fill="FFFFFF"/>
            <w:vAlign w:val="center"/>
          </w:tcPr>
          <w:p w14:paraId="3D520363"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195" w:type="dxa"/>
            <w:tcBorders>
              <w:top w:val="single" w:sz="4" w:space="0" w:color="auto"/>
              <w:left w:val="single" w:sz="4" w:space="0" w:color="auto"/>
              <w:right w:val="single" w:sz="4" w:space="0" w:color="auto"/>
            </w:tcBorders>
            <w:shd w:val="clear" w:color="auto" w:fill="FFFFFF"/>
            <w:vAlign w:val="center"/>
          </w:tcPr>
          <w:p w14:paraId="0E58B067"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r>
      <w:tr w:rsidR="000B01C4" w:rsidRPr="00142305" w14:paraId="6A680495" w14:textId="77777777" w:rsidTr="00DC550A">
        <w:trPr>
          <w:trHeight w:hRule="exact" w:val="302"/>
        </w:trPr>
        <w:tc>
          <w:tcPr>
            <w:tcW w:w="1177" w:type="dxa"/>
            <w:tcBorders>
              <w:top w:val="single" w:sz="4" w:space="0" w:color="auto"/>
              <w:left w:val="single" w:sz="4" w:space="0" w:color="auto"/>
            </w:tcBorders>
            <w:shd w:val="clear" w:color="auto" w:fill="FFFFFF"/>
            <w:vAlign w:val="bottom"/>
          </w:tcPr>
          <w:p w14:paraId="31C30D4F"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01.05.39</w:t>
            </w:r>
          </w:p>
        </w:tc>
        <w:tc>
          <w:tcPr>
            <w:tcW w:w="1174" w:type="dxa"/>
            <w:tcBorders>
              <w:top w:val="single" w:sz="4" w:space="0" w:color="auto"/>
              <w:left w:val="single" w:sz="4" w:space="0" w:color="auto"/>
            </w:tcBorders>
            <w:shd w:val="clear" w:color="auto" w:fill="FFFFFF"/>
            <w:vAlign w:val="bottom"/>
          </w:tcPr>
          <w:p w14:paraId="22E26126"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79</w:t>
            </w:r>
          </w:p>
        </w:tc>
        <w:tc>
          <w:tcPr>
            <w:tcW w:w="1174" w:type="dxa"/>
            <w:tcBorders>
              <w:top w:val="single" w:sz="4" w:space="0" w:color="auto"/>
              <w:left w:val="single" w:sz="4" w:space="0" w:color="auto"/>
            </w:tcBorders>
            <w:shd w:val="clear" w:color="auto" w:fill="FFFFFF"/>
            <w:vAlign w:val="bottom"/>
          </w:tcPr>
          <w:p w14:paraId="61B5B34A"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w:t>
            </w:r>
          </w:p>
        </w:tc>
        <w:tc>
          <w:tcPr>
            <w:tcW w:w="1195" w:type="dxa"/>
            <w:tcBorders>
              <w:top w:val="single" w:sz="4" w:space="0" w:color="auto"/>
              <w:left w:val="single" w:sz="4" w:space="0" w:color="auto"/>
              <w:right w:val="single" w:sz="4" w:space="0" w:color="auto"/>
            </w:tcBorders>
            <w:shd w:val="clear" w:color="auto" w:fill="FFFFFF"/>
            <w:vAlign w:val="bottom"/>
          </w:tcPr>
          <w:p w14:paraId="12ABF879"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69</w:t>
            </w:r>
          </w:p>
        </w:tc>
      </w:tr>
      <w:tr w:rsidR="000B01C4" w:rsidRPr="00142305" w14:paraId="25D10ADC" w14:textId="77777777" w:rsidTr="00DC550A">
        <w:trPr>
          <w:trHeight w:hRule="exact" w:val="302"/>
        </w:trPr>
        <w:tc>
          <w:tcPr>
            <w:tcW w:w="1177" w:type="dxa"/>
            <w:tcBorders>
              <w:top w:val="single" w:sz="4" w:space="0" w:color="auto"/>
              <w:left w:val="single" w:sz="4" w:space="0" w:color="auto"/>
            </w:tcBorders>
            <w:shd w:val="clear" w:color="auto" w:fill="FFFFFF"/>
            <w:vAlign w:val="bottom"/>
          </w:tcPr>
          <w:p w14:paraId="3384C509"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01.01.40</w:t>
            </w:r>
          </w:p>
        </w:tc>
        <w:tc>
          <w:tcPr>
            <w:tcW w:w="1174" w:type="dxa"/>
            <w:tcBorders>
              <w:top w:val="single" w:sz="4" w:space="0" w:color="auto"/>
              <w:left w:val="single" w:sz="4" w:space="0" w:color="auto"/>
            </w:tcBorders>
            <w:shd w:val="clear" w:color="auto" w:fill="FFFFFF"/>
            <w:vAlign w:val="bottom"/>
          </w:tcPr>
          <w:p w14:paraId="0787BC3F"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54</w:t>
            </w:r>
          </w:p>
        </w:tc>
        <w:tc>
          <w:tcPr>
            <w:tcW w:w="1174" w:type="dxa"/>
            <w:tcBorders>
              <w:top w:val="single" w:sz="4" w:space="0" w:color="auto"/>
              <w:left w:val="single" w:sz="4" w:space="0" w:color="auto"/>
            </w:tcBorders>
            <w:shd w:val="clear" w:color="auto" w:fill="FFFFFF"/>
            <w:vAlign w:val="bottom"/>
          </w:tcPr>
          <w:p w14:paraId="7D4D656B"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9</w:t>
            </w:r>
          </w:p>
        </w:tc>
        <w:tc>
          <w:tcPr>
            <w:tcW w:w="1195" w:type="dxa"/>
            <w:tcBorders>
              <w:top w:val="single" w:sz="4" w:space="0" w:color="auto"/>
              <w:left w:val="single" w:sz="4" w:space="0" w:color="auto"/>
              <w:right w:val="single" w:sz="4" w:space="0" w:color="auto"/>
            </w:tcBorders>
            <w:shd w:val="clear" w:color="auto" w:fill="FFFFFF"/>
            <w:vAlign w:val="bottom"/>
          </w:tcPr>
          <w:p w14:paraId="1D38C457"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83</w:t>
            </w:r>
          </w:p>
        </w:tc>
      </w:tr>
      <w:tr w:rsidR="000B01C4" w:rsidRPr="00142305" w14:paraId="4B867956" w14:textId="77777777" w:rsidTr="00DC550A">
        <w:trPr>
          <w:trHeight w:hRule="exact" w:val="302"/>
        </w:trPr>
        <w:tc>
          <w:tcPr>
            <w:tcW w:w="1177" w:type="dxa"/>
            <w:tcBorders>
              <w:top w:val="single" w:sz="4" w:space="0" w:color="auto"/>
              <w:left w:val="single" w:sz="4" w:space="0" w:color="auto"/>
            </w:tcBorders>
            <w:shd w:val="clear" w:color="auto" w:fill="FFFFFF"/>
            <w:vAlign w:val="bottom"/>
          </w:tcPr>
          <w:p w14:paraId="5F9A57D0"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01.12.40</w:t>
            </w:r>
          </w:p>
        </w:tc>
        <w:tc>
          <w:tcPr>
            <w:tcW w:w="1174" w:type="dxa"/>
            <w:tcBorders>
              <w:top w:val="single" w:sz="4" w:space="0" w:color="auto"/>
              <w:left w:val="single" w:sz="4" w:space="0" w:color="auto"/>
            </w:tcBorders>
            <w:shd w:val="clear" w:color="auto" w:fill="FFFFFF"/>
            <w:vAlign w:val="bottom"/>
          </w:tcPr>
          <w:p w14:paraId="3F27A1C0"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133</w:t>
            </w:r>
          </w:p>
        </w:tc>
        <w:tc>
          <w:tcPr>
            <w:tcW w:w="1174" w:type="dxa"/>
            <w:tcBorders>
              <w:top w:val="single" w:sz="4" w:space="0" w:color="auto"/>
              <w:left w:val="single" w:sz="4" w:space="0" w:color="auto"/>
            </w:tcBorders>
            <w:shd w:val="clear" w:color="auto" w:fill="FFFFFF"/>
            <w:vAlign w:val="bottom"/>
          </w:tcPr>
          <w:p w14:paraId="6E751EC2"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w:t>
            </w:r>
          </w:p>
        </w:tc>
        <w:tc>
          <w:tcPr>
            <w:tcW w:w="1195" w:type="dxa"/>
            <w:tcBorders>
              <w:top w:val="single" w:sz="4" w:space="0" w:color="auto"/>
              <w:left w:val="single" w:sz="4" w:space="0" w:color="auto"/>
              <w:right w:val="single" w:sz="4" w:space="0" w:color="auto"/>
            </w:tcBorders>
            <w:shd w:val="clear" w:color="auto" w:fill="FFFFFF"/>
            <w:vAlign w:val="bottom"/>
          </w:tcPr>
          <w:p w14:paraId="1E29FAC7"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135</w:t>
            </w:r>
          </w:p>
        </w:tc>
      </w:tr>
      <w:tr w:rsidR="000B01C4" w:rsidRPr="00142305" w14:paraId="52C4349E" w14:textId="77777777" w:rsidTr="00DC550A">
        <w:trPr>
          <w:trHeight w:hRule="exact" w:val="302"/>
        </w:trPr>
        <w:tc>
          <w:tcPr>
            <w:tcW w:w="1177" w:type="dxa"/>
            <w:tcBorders>
              <w:top w:val="single" w:sz="4" w:space="0" w:color="auto"/>
              <w:left w:val="single" w:sz="4" w:space="0" w:color="auto"/>
            </w:tcBorders>
            <w:shd w:val="clear" w:color="auto" w:fill="FFFFFF"/>
            <w:vAlign w:val="bottom"/>
          </w:tcPr>
          <w:p w14:paraId="00E9B84E"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01.04.41</w:t>
            </w:r>
          </w:p>
        </w:tc>
        <w:tc>
          <w:tcPr>
            <w:tcW w:w="1174" w:type="dxa"/>
            <w:tcBorders>
              <w:top w:val="single" w:sz="4" w:space="0" w:color="auto"/>
              <w:left w:val="single" w:sz="4" w:space="0" w:color="auto"/>
            </w:tcBorders>
            <w:shd w:val="clear" w:color="auto" w:fill="FFFFFF"/>
            <w:vAlign w:val="bottom"/>
          </w:tcPr>
          <w:p w14:paraId="21503692"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140</w:t>
            </w:r>
          </w:p>
        </w:tc>
        <w:tc>
          <w:tcPr>
            <w:tcW w:w="1174" w:type="dxa"/>
            <w:tcBorders>
              <w:top w:val="single" w:sz="4" w:space="0" w:color="auto"/>
              <w:left w:val="single" w:sz="4" w:space="0" w:color="auto"/>
            </w:tcBorders>
            <w:shd w:val="clear" w:color="auto" w:fill="FFFFFF"/>
            <w:vAlign w:val="bottom"/>
          </w:tcPr>
          <w:p w14:paraId="1D4A354A"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4</w:t>
            </w:r>
          </w:p>
        </w:tc>
        <w:tc>
          <w:tcPr>
            <w:tcW w:w="1195" w:type="dxa"/>
            <w:tcBorders>
              <w:top w:val="single" w:sz="4" w:space="0" w:color="auto"/>
              <w:left w:val="single" w:sz="4" w:space="0" w:color="auto"/>
              <w:right w:val="single" w:sz="4" w:space="0" w:color="auto"/>
            </w:tcBorders>
            <w:shd w:val="clear" w:color="auto" w:fill="FFFFFF"/>
            <w:vAlign w:val="bottom"/>
          </w:tcPr>
          <w:p w14:paraId="42EB2A57"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146</w:t>
            </w:r>
          </w:p>
        </w:tc>
      </w:tr>
      <w:tr w:rsidR="000B01C4" w:rsidRPr="00142305" w14:paraId="2F81D86A" w14:textId="77777777" w:rsidTr="00DC550A">
        <w:trPr>
          <w:trHeight w:hRule="exact" w:val="299"/>
        </w:trPr>
        <w:tc>
          <w:tcPr>
            <w:tcW w:w="1177" w:type="dxa"/>
            <w:tcBorders>
              <w:top w:val="single" w:sz="4" w:space="0" w:color="auto"/>
              <w:left w:val="single" w:sz="4" w:space="0" w:color="auto"/>
            </w:tcBorders>
            <w:shd w:val="clear" w:color="auto" w:fill="FFFFFF"/>
            <w:vAlign w:val="center"/>
          </w:tcPr>
          <w:p w14:paraId="4C236DDC"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20.12.41</w:t>
            </w:r>
          </w:p>
        </w:tc>
        <w:tc>
          <w:tcPr>
            <w:tcW w:w="1174" w:type="dxa"/>
            <w:tcBorders>
              <w:top w:val="single" w:sz="4" w:space="0" w:color="auto"/>
              <w:left w:val="single" w:sz="4" w:space="0" w:color="auto"/>
            </w:tcBorders>
            <w:shd w:val="clear" w:color="auto" w:fill="FFFFFF"/>
            <w:vAlign w:val="center"/>
          </w:tcPr>
          <w:p w14:paraId="063A704F"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124</w:t>
            </w:r>
          </w:p>
        </w:tc>
        <w:tc>
          <w:tcPr>
            <w:tcW w:w="1174" w:type="dxa"/>
            <w:tcBorders>
              <w:top w:val="single" w:sz="4" w:space="0" w:color="auto"/>
              <w:left w:val="single" w:sz="4" w:space="0" w:color="auto"/>
            </w:tcBorders>
            <w:shd w:val="clear" w:color="auto" w:fill="FFFFFF"/>
            <w:vAlign w:val="center"/>
          </w:tcPr>
          <w:p w14:paraId="0AF342F2"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195" w:type="dxa"/>
            <w:tcBorders>
              <w:top w:val="single" w:sz="4" w:space="0" w:color="auto"/>
              <w:left w:val="single" w:sz="4" w:space="0" w:color="auto"/>
              <w:right w:val="single" w:sz="4" w:space="0" w:color="auto"/>
            </w:tcBorders>
            <w:shd w:val="clear" w:color="auto" w:fill="FFFFFF"/>
            <w:vAlign w:val="center"/>
          </w:tcPr>
          <w:p w14:paraId="315BF2E4"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104</w:t>
            </w:r>
          </w:p>
        </w:tc>
      </w:tr>
      <w:tr w:rsidR="000B01C4" w:rsidRPr="00142305" w14:paraId="6881DE19" w14:textId="77777777" w:rsidTr="00DC550A">
        <w:trPr>
          <w:trHeight w:hRule="exact" w:val="306"/>
        </w:trPr>
        <w:tc>
          <w:tcPr>
            <w:tcW w:w="1177" w:type="dxa"/>
            <w:tcBorders>
              <w:top w:val="single" w:sz="4" w:space="0" w:color="auto"/>
              <w:left w:val="single" w:sz="4" w:space="0" w:color="auto"/>
            </w:tcBorders>
            <w:shd w:val="clear" w:color="auto" w:fill="FFFFFF"/>
            <w:vAlign w:val="center"/>
          </w:tcPr>
          <w:p w14:paraId="23582E34"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01.12.42</w:t>
            </w:r>
          </w:p>
        </w:tc>
        <w:tc>
          <w:tcPr>
            <w:tcW w:w="1174" w:type="dxa"/>
            <w:tcBorders>
              <w:top w:val="single" w:sz="4" w:space="0" w:color="auto"/>
              <w:left w:val="single" w:sz="4" w:space="0" w:color="auto"/>
            </w:tcBorders>
            <w:shd w:val="clear" w:color="auto" w:fill="FFFFFF"/>
            <w:vAlign w:val="center"/>
          </w:tcPr>
          <w:p w14:paraId="08F1569D"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180</w:t>
            </w:r>
          </w:p>
        </w:tc>
        <w:tc>
          <w:tcPr>
            <w:tcW w:w="1174" w:type="dxa"/>
            <w:tcBorders>
              <w:top w:val="single" w:sz="4" w:space="0" w:color="auto"/>
              <w:left w:val="single" w:sz="4" w:space="0" w:color="auto"/>
            </w:tcBorders>
            <w:shd w:val="clear" w:color="auto" w:fill="FFFFFF"/>
            <w:vAlign w:val="center"/>
          </w:tcPr>
          <w:p w14:paraId="2D9470B8"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w:t>
            </w:r>
          </w:p>
        </w:tc>
        <w:tc>
          <w:tcPr>
            <w:tcW w:w="1195" w:type="dxa"/>
            <w:tcBorders>
              <w:top w:val="single" w:sz="4" w:space="0" w:color="auto"/>
              <w:left w:val="single" w:sz="4" w:space="0" w:color="auto"/>
              <w:right w:val="single" w:sz="4" w:space="0" w:color="auto"/>
            </w:tcBorders>
            <w:shd w:val="clear" w:color="auto" w:fill="FFFFFF"/>
            <w:vAlign w:val="center"/>
          </w:tcPr>
          <w:p w14:paraId="32B518B6"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73</w:t>
            </w:r>
          </w:p>
        </w:tc>
      </w:tr>
      <w:tr w:rsidR="000B01C4" w:rsidRPr="00142305" w14:paraId="5ACE8C03" w14:textId="77777777" w:rsidTr="00DC550A">
        <w:trPr>
          <w:trHeight w:hRule="exact" w:val="299"/>
        </w:trPr>
        <w:tc>
          <w:tcPr>
            <w:tcW w:w="1177" w:type="dxa"/>
            <w:tcBorders>
              <w:top w:val="single" w:sz="4" w:space="0" w:color="auto"/>
              <w:left w:val="single" w:sz="4" w:space="0" w:color="auto"/>
            </w:tcBorders>
            <w:shd w:val="clear" w:color="auto" w:fill="FFFFFF"/>
            <w:vAlign w:val="bottom"/>
          </w:tcPr>
          <w:p w14:paraId="59325912"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01.01.44</w:t>
            </w:r>
          </w:p>
        </w:tc>
        <w:tc>
          <w:tcPr>
            <w:tcW w:w="3543" w:type="dxa"/>
            <w:gridSpan w:val="3"/>
            <w:tcBorders>
              <w:top w:val="single" w:sz="4" w:space="0" w:color="auto"/>
              <w:left w:val="single" w:sz="4" w:space="0" w:color="auto"/>
              <w:right w:val="single" w:sz="4" w:space="0" w:color="auto"/>
            </w:tcBorders>
            <w:shd w:val="clear" w:color="auto" w:fill="FFFFFF"/>
            <w:vAlign w:val="bottom"/>
          </w:tcPr>
          <w:p w14:paraId="7B8FE845"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250</w:t>
            </w:r>
          </w:p>
        </w:tc>
      </w:tr>
      <w:tr w:rsidR="000B01C4" w:rsidRPr="00142305" w14:paraId="17738F9F" w14:textId="77777777" w:rsidTr="00DC550A">
        <w:trPr>
          <w:trHeight w:hRule="exact" w:val="302"/>
        </w:trPr>
        <w:tc>
          <w:tcPr>
            <w:tcW w:w="1177" w:type="dxa"/>
            <w:tcBorders>
              <w:top w:val="single" w:sz="4" w:space="0" w:color="auto"/>
              <w:left w:val="single" w:sz="4" w:space="0" w:color="auto"/>
            </w:tcBorders>
            <w:shd w:val="clear" w:color="auto" w:fill="FFFFFF"/>
            <w:vAlign w:val="bottom"/>
          </w:tcPr>
          <w:p w14:paraId="40DE2D20"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01.06.44</w:t>
            </w:r>
          </w:p>
        </w:tc>
        <w:tc>
          <w:tcPr>
            <w:tcW w:w="3543" w:type="dxa"/>
            <w:gridSpan w:val="3"/>
            <w:tcBorders>
              <w:top w:val="single" w:sz="4" w:space="0" w:color="auto"/>
              <w:left w:val="single" w:sz="4" w:space="0" w:color="auto"/>
              <w:right w:val="single" w:sz="4" w:space="0" w:color="auto"/>
            </w:tcBorders>
            <w:shd w:val="clear" w:color="auto" w:fill="FFFFFF"/>
            <w:vAlign w:val="bottom"/>
          </w:tcPr>
          <w:p w14:paraId="2675FCE4"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221</w:t>
            </w:r>
          </w:p>
        </w:tc>
      </w:tr>
      <w:tr w:rsidR="000B01C4" w:rsidRPr="00142305" w14:paraId="2739441A" w14:textId="77777777" w:rsidTr="00DC550A">
        <w:trPr>
          <w:trHeight w:hRule="exact" w:val="302"/>
        </w:trPr>
        <w:tc>
          <w:tcPr>
            <w:tcW w:w="1177" w:type="dxa"/>
            <w:tcBorders>
              <w:top w:val="single" w:sz="4" w:space="0" w:color="auto"/>
              <w:left w:val="single" w:sz="4" w:space="0" w:color="auto"/>
            </w:tcBorders>
            <w:shd w:val="clear" w:color="auto" w:fill="FFFFFF"/>
            <w:vAlign w:val="bottom"/>
          </w:tcPr>
          <w:p w14:paraId="4759839A"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01.12.45</w:t>
            </w:r>
          </w:p>
        </w:tc>
        <w:tc>
          <w:tcPr>
            <w:tcW w:w="3543" w:type="dxa"/>
            <w:gridSpan w:val="3"/>
            <w:tcBorders>
              <w:top w:val="single" w:sz="4" w:space="0" w:color="auto"/>
              <w:left w:val="single" w:sz="4" w:space="0" w:color="auto"/>
              <w:right w:val="single" w:sz="4" w:space="0" w:color="auto"/>
            </w:tcBorders>
            <w:shd w:val="clear" w:color="auto" w:fill="FFFFFF"/>
            <w:vAlign w:val="bottom"/>
          </w:tcPr>
          <w:p w14:paraId="501A97AA"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50</w:t>
            </w:r>
          </w:p>
        </w:tc>
      </w:tr>
      <w:tr w:rsidR="000B01C4" w:rsidRPr="00142305" w14:paraId="0D5B96C9" w14:textId="77777777" w:rsidTr="00DC550A">
        <w:trPr>
          <w:trHeight w:hRule="exact" w:val="302"/>
        </w:trPr>
        <w:tc>
          <w:tcPr>
            <w:tcW w:w="1177" w:type="dxa"/>
            <w:tcBorders>
              <w:top w:val="single" w:sz="4" w:space="0" w:color="auto"/>
              <w:left w:val="single" w:sz="4" w:space="0" w:color="auto"/>
            </w:tcBorders>
            <w:shd w:val="clear" w:color="auto" w:fill="FFFFFF"/>
            <w:vAlign w:val="bottom"/>
          </w:tcPr>
          <w:p w14:paraId="5AF67023"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01.12.46</w:t>
            </w:r>
          </w:p>
        </w:tc>
        <w:tc>
          <w:tcPr>
            <w:tcW w:w="3543" w:type="dxa"/>
            <w:gridSpan w:val="3"/>
            <w:tcBorders>
              <w:top w:val="single" w:sz="4" w:space="0" w:color="auto"/>
              <w:left w:val="single" w:sz="4" w:space="0" w:color="auto"/>
              <w:right w:val="single" w:sz="4" w:space="0" w:color="auto"/>
            </w:tcBorders>
            <w:shd w:val="clear" w:color="auto" w:fill="FFFFFF"/>
            <w:vAlign w:val="bottom"/>
          </w:tcPr>
          <w:p w14:paraId="3B38CEA0"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20</w:t>
            </w:r>
          </w:p>
        </w:tc>
      </w:tr>
      <w:tr w:rsidR="000B01C4" w:rsidRPr="00142305" w14:paraId="14055185" w14:textId="77777777" w:rsidTr="00DC550A">
        <w:trPr>
          <w:trHeight w:hRule="exact" w:val="317"/>
        </w:trPr>
        <w:tc>
          <w:tcPr>
            <w:tcW w:w="1177" w:type="dxa"/>
            <w:tcBorders>
              <w:top w:val="single" w:sz="4" w:space="0" w:color="auto"/>
              <w:left w:val="single" w:sz="4" w:space="0" w:color="auto"/>
              <w:bottom w:val="single" w:sz="4" w:space="0" w:color="auto"/>
            </w:tcBorders>
            <w:shd w:val="clear" w:color="auto" w:fill="FFFFFF"/>
            <w:vAlign w:val="center"/>
          </w:tcPr>
          <w:p w14:paraId="0DB45B83"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01.12.47</w:t>
            </w:r>
          </w:p>
        </w:tc>
        <w:tc>
          <w:tcPr>
            <w:tcW w:w="3543" w:type="dxa"/>
            <w:gridSpan w:val="3"/>
            <w:tcBorders>
              <w:top w:val="single" w:sz="4" w:space="0" w:color="auto"/>
              <w:left w:val="single" w:sz="4" w:space="0" w:color="auto"/>
              <w:bottom w:val="single" w:sz="4" w:space="0" w:color="auto"/>
              <w:right w:val="single" w:sz="4" w:space="0" w:color="auto"/>
            </w:tcBorders>
            <w:shd w:val="clear" w:color="auto" w:fill="FFFFFF"/>
            <w:vAlign w:val="center"/>
          </w:tcPr>
          <w:p w14:paraId="5B2776CC" w14:textId="77777777" w:rsidR="000B01C4" w:rsidRPr="00142305" w:rsidRDefault="000B01C4" w:rsidP="00DC550A">
            <w:pPr>
              <w:pStyle w:val="afff4"/>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1</w:t>
            </w:r>
          </w:p>
        </w:tc>
      </w:tr>
    </w:tbl>
    <w:p w14:paraId="2B1513E4"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(24990).</w:t>
      </w:r>
    </w:p>
    <w:p w14:paraId="62A8CA9F" w14:textId="77777777" w:rsidR="000B01C4" w:rsidRPr="00142305" w:rsidRDefault="000B01C4" w:rsidP="000B01C4">
      <w:pPr>
        <w:spacing w:after="0" w:line="240" w:lineRule="auto"/>
        <w:jc w:val="both"/>
        <w:rPr>
          <w:rFonts w:ascii="Times New Roman" w:hAnsi="Times New Roman"/>
          <w:color w:val="0070C0"/>
          <w:sz w:val="16"/>
          <w:szCs w:val="16"/>
        </w:rPr>
      </w:pPr>
    </w:p>
    <w:p w14:paraId="1D544AB3" w14:textId="77777777" w:rsidR="004B1089" w:rsidRPr="0044524F" w:rsidRDefault="004B1089"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На 1 января 1933 г. в ВВС имелось, в общей сложности, 160 И-4, из них 135 исправных. На Черном море их сохранял 71-й отряд, к которому добавилась 24-я эскадрилья, размещенная в той же Евпатории. Она к концу года располагала полным комплектом из 31 истребителя. В 403-й бригаде в Люберцах</w:t>
      </w:r>
    </w:p>
    <w:p w14:paraId="45C27F48" w14:textId="77777777" w:rsidR="004B1089" w:rsidRPr="0044524F" w:rsidRDefault="004B1089"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118- я</w:t>
      </w:r>
      <w:r w:rsidRPr="0044524F">
        <w:rPr>
          <w:rFonts w:ascii="Times New Roman" w:hAnsi="Times New Roman" w:cs="Times New Roman"/>
          <w:color w:val="000000" w:themeColor="text1"/>
        </w:rPr>
        <w:tab/>
        <w:t>эскадрилья имела смесь И-4 и И-3 (примерно поровну тех и других). Десяток машин отправили в Витебск. В 404-й бригаде в Баку на И-4 летала</w:t>
      </w:r>
    </w:p>
    <w:p w14:paraId="5199C738" w14:textId="77777777" w:rsidR="004B1089" w:rsidRPr="0044524F" w:rsidRDefault="004B1089"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119- я</w:t>
      </w:r>
      <w:r w:rsidRPr="0044524F">
        <w:rPr>
          <w:rFonts w:ascii="Times New Roman" w:hAnsi="Times New Roman" w:cs="Times New Roman"/>
          <w:color w:val="000000" w:themeColor="text1"/>
        </w:rPr>
        <w:tab/>
        <w:t>эскадрилья. Там начинал свою карьеру известный летчик-истребитель Ибрагим Дзусов. В 1934 г. в этом же городе начали формировать новую 121-ю эскадрилью, которую собирались вооружить И-7, но на практике она тоже получила И-4.</w:t>
      </w:r>
    </w:p>
    <w:p w14:paraId="137C95EC" w14:textId="77777777" w:rsidR="004B1089" w:rsidRPr="0044524F" w:rsidRDefault="004B1089"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 xml:space="preserve">Несмотря на активное внедрение с начала 1931 г. новых истребителей И-5, превосходивших И-4 во всех отношениях, более старые машины продолжали оставаться в строю. Впрочем, это касалось и их «ровесников» - И-3 и совсем уже устаревших И-2 и И-2бис. Более того, продолжали эксплуатироваться и D.XI, купленные в </w:t>
      </w:r>
      <w:r w:rsidRPr="0044524F">
        <w:rPr>
          <w:rFonts w:ascii="Times New Roman" w:hAnsi="Times New Roman" w:cs="Times New Roman"/>
          <w:color w:val="000000" w:themeColor="text1"/>
        </w:rPr>
        <w:lastRenderedPageBreak/>
        <w:t>Нидерландах еще в середине 1920-х гг. Это объяснялось бурным ростом ВВС - новой техники на всех не хватало. Списали лишь ветхие «мартинсайды», построенные еще в конце Первой мировой войны. На 1 сентября 1933 г. первое место по численности в парке истребительной авиации занимал И-3, второе - И-4, но по количеству машин к нему уже подбирался более совершенный И-5.</w:t>
      </w:r>
    </w:p>
    <w:p w14:paraId="2D904BC3" w14:textId="77777777" w:rsidR="004B1089" w:rsidRPr="0044524F" w:rsidRDefault="004B1089"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Количество И-4 в строю постепенно уменьшалось, доля неисправных среди них - увеличивалась. Свою лепту в этот процесс вносили аварии и катастрофы. Их происходило немало. Например, только за первую половину 1933 г. имели место семь случаев по самым разным причинам (19100).</w:t>
      </w:r>
    </w:p>
    <w:p w14:paraId="13B74731" w14:textId="77777777" w:rsidR="004B1089" w:rsidRPr="0044524F" w:rsidRDefault="004B1089" w:rsidP="009654CF">
      <w:pPr>
        <w:pStyle w:val="a8"/>
        <w:jc w:val="both"/>
        <w:rPr>
          <w:rFonts w:ascii="Times New Roman" w:hAnsi="Times New Roman" w:cs="Times New Roman"/>
          <w:color w:val="000000" w:themeColor="text1"/>
        </w:rPr>
      </w:pPr>
    </w:p>
    <w:p w14:paraId="7932E3F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 в боевом составе ВВС РККА уже числились 144 ТБ-3 и только один из них являлся неисправным (7668).</w:t>
      </w:r>
    </w:p>
    <w:p w14:paraId="30613BCD"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1D3FE7B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 в рядах ВВС РККА уже числились 144 ТБ-3, и только один из них являлся неисправным. К концу года четырехмоторных машин в строевых частях уже было больше, чем ТБ-1. но они пока лишь дополняли, а не вытесняли последние.</w:t>
      </w:r>
    </w:p>
    <w:p w14:paraId="37A817F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Четырехмоторные гиганты оказались достаточно устойчивы в воздухе и покладисты в пилотировании. Вот отзывы из бригад, осваивавших новую машину.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w:t>
      </w:r>
    </w:p>
    <w:p w14:paraId="46AC2E1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наземному обслуживанию ТБ-3 подошли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том числе гусеничный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w:t>
      </w:r>
    </w:p>
    <w:p w14:paraId="56709CD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w:t>
      </w:r>
    </w:p>
    <w:p w14:paraId="393CD8D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1933 г. ВВС первоначально заказали 350 ТБ-3. затем под давлением представителей промышленности ограничились 300 машинами. По планам за год предстояло сфор- ТБ-3 в парадном мировать 22 эскадрильи, для чего требова- строю над Москвой 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авиакорпуса. Всего сформировали пять таких корпусов по две бригады в каждом. Поначалу они имели на вооружении и ТБ-3, и ТБ-1. но постепенно четырехмоторные машины вытесняли ТБ-i на роль учебных и транспортных.</w:t>
      </w:r>
    </w:p>
    <w:p w14:paraId="6E568A1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 (12024).</w:t>
      </w:r>
    </w:p>
    <w:p w14:paraId="08FB743D"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31A6F55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 в рядах ВВС РККА уже числились 144 ТБ-3, и только один из них являлся неисправным. К концу года четырехмоторных машин в строевых частях уже было больше, чем ТБ-1, но они пока лишь дополняли, а не вытесняли последние.</w:t>
      </w:r>
    </w:p>
    <w:p w14:paraId="6D1EF8B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Четырехмоторные гиганты оказались достаточно устойчивы в воздухе и покладисты в пилотировании. Вот отзывы из бригад, осваивавших новую машину.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w:t>
      </w:r>
    </w:p>
    <w:p w14:paraId="5839B80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наземному обслуживанию ТБ-3 подошли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том числе гусеничный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w:t>
      </w:r>
    </w:p>
    <w:p w14:paraId="39562CD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 </w:t>
      </w:r>
    </w:p>
    <w:p w14:paraId="3A0288A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1933 г. ВВС первоначально заказали 350 ТБ-3, затем под давлением представителей промышленности ограничились 300 машинами. По планам за год предстояло сформировать 22 эскадрильи, для чего требовалось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авиакорпуса. Всего сформировали пять таких корпусов по две бригады в каждом. Поначалу они имели на вооружении и ТБ-3, и ТБ-1, но постепенно четырехмоторные машины вытесняли ТБ-1 на роль учебных и транспортных.</w:t>
      </w:r>
    </w:p>
    <w:p w14:paraId="0E4114A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 (12036).</w:t>
      </w:r>
    </w:p>
    <w:p w14:paraId="71C24E64"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4646389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1 января 1933 г. в САВО имелось 68 машин Р-3ЛД, 39 из которых могли подняться в воздух. Примерно в таком же состоянии парк 16-й бригады пребывал и в конце года (11985). </w:t>
      </w:r>
    </w:p>
    <w:p w14:paraId="0EF669E7"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1E49835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1 января 1933 г. в строю 6-й аэ находился 21 са</w:t>
      </w:r>
      <w:r w:rsidRPr="0044524F">
        <w:rPr>
          <w:rFonts w:ascii="Times New Roman" w:hAnsi="Times New Roman"/>
          <w:color w:val="000000" w:themeColor="text1"/>
          <w:sz w:val="16"/>
          <w:szCs w:val="16"/>
        </w:rPr>
        <w:softHyphen/>
        <w:t>молет истребитель типа И-7 (12295).</w:t>
      </w:r>
    </w:p>
    <w:p w14:paraId="05411BFE"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2DDBA24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 в строю оставал</w:t>
      </w:r>
      <w:r w:rsidRPr="0044524F">
        <w:rPr>
          <w:rFonts w:ascii="Times New Roman" w:hAnsi="Times New Roman"/>
          <w:color w:val="000000" w:themeColor="text1"/>
          <w:sz w:val="16"/>
          <w:szCs w:val="16"/>
        </w:rPr>
        <w:softHyphen/>
        <w:t>ся один И-6 (12295).</w:t>
      </w:r>
    </w:p>
    <w:p w14:paraId="5DECA6A6"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5AC224F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и 1 января 1930 состояние парка ВВС:</w:t>
      </w:r>
    </w:p>
    <w:p w14:paraId="6511F352" w14:textId="77777777" w:rsidR="002E1BE7" w:rsidRPr="0044524F" w:rsidRDefault="002E1BE7" w:rsidP="009654CF">
      <w:pPr>
        <w:pStyle w:val="59"/>
        <w:shd w:val="clear" w:color="auto" w:fill="auto"/>
        <w:spacing w:line="240" w:lineRule="auto"/>
        <w:jc w:val="both"/>
        <w:rPr>
          <w:color w:val="000000" w:themeColor="text1"/>
          <w:szCs w:val="16"/>
        </w:rPr>
      </w:pPr>
      <w:r w:rsidRPr="0044524F">
        <w:rPr>
          <w:color w:val="000000" w:themeColor="text1"/>
          <w:szCs w:val="16"/>
        </w:rPr>
        <w:t>(В числителе указаны исправные самолеты, в знаменателе неисправные - общее количество суммируется)</w:t>
      </w:r>
    </w:p>
    <w:tbl>
      <w:tblPr>
        <w:tblW w:w="0" w:type="auto"/>
        <w:tblLayout w:type="fixed"/>
        <w:tblCellMar>
          <w:left w:w="10" w:type="dxa"/>
          <w:right w:w="10" w:type="dxa"/>
        </w:tblCellMar>
        <w:tblLook w:val="0000" w:firstRow="0" w:lastRow="0" w:firstColumn="0" w:lastColumn="0" w:noHBand="0" w:noVBand="0"/>
      </w:tblPr>
      <w:tblGrid>
        <w:gridCol w:w="936"/>
        <w:gridCol w:w="904"/>
        <w:gridCol w:w="976"/>
        <w:gridCol w:w="1163"/>
      </w:tblGrid>
      <w:tr w:rsidR="004E10C1" w:rsidRPr="0044524F" w14:paraId="6F184937" w14:textId="77777777" w:rsidTr="002E1BE7">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7CB082D4" w14:textId="77777777" w:rsidR="002E1BE7" w:rsidRPr="0044524F" w:rsidRDefault="002E1BE7" w:rsidP="009654CF">
            <w:pPr>
              <w:spacing w:after="0" w:line="240" w:lineRule="auto"/>
              <w:jc w:val="both"/>
              <w:rPr>
                <w:rFonts w:ascii="Times New Roman" w:hAnsi="Times New Roman"/>
                <w:color w:val="000000" w:themeColor="text1"/>
                <w:sz w:val="16"/>
                <w:szCs w:val="16"/>
              </w:rPr>
            </w:pP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1A97EA64"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1.01.31 г.</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107BD0B"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1.01.32 г.</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30EC2A1C"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1.01.33 г.</w:t>
            </w:r>
          </w:p>
        </w:tc>
      </w:tr>
      <w:tr w:rsidR="004E10C1" w:rsidRPr="0044524F" w14:paraId="4638482D"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11BDA30B"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33248B61"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257/20</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1C03CC6D"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253/23</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58C63050"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205/44</w:t>
            </w:r>
          </w:p>
        </w:tc>
      </w:tr>
      <w:tr w:rsidR="004E10C1" w:rsidRPr="0044524F" w14:paraId="36E0820D"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7835BB63"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И-4</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4062CB63"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138/12</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292169B6"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146/18</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1E12F4E"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135/25</w:t>
            </w:r>
          </w:p>
        </w:tc>
      </w:tr>
      <w:tr w:rsidR="004E10C1" w:rsidRPr="0044524F" w14:paraId="743CF5A6"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5DEA07D6"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63B88C9"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64FB845F"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58/7</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20122C5F"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128/15</w:t>
            </w:r>
          </w:p>
        </w:tc>
      </w:tr>
      <w:tr w:rsidR="004E10C1" w:rsidRPr="0044524F" w14:paraId="58DA415C"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61A8E9E6"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И-6</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2821FB7E" w14:textId="77777777" w:rsidR="002E1BE7" w:rsidRPr="0044524F" w:rsidRDefault="002E1BE7" w:rsidP="009654CF">
            <w:pPr>
              <w:pStyle w:val="290"/>
              <w:shd w:val="clear" w:color="auto" w:fill="auto"/>
              <w:spacing w:after="0" w:line="240" w:lineRule="auto"/>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3AB9C992"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476B3BE"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3015FC33"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480A4F3F"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4E8F0225" w14:textId="77777777" w:rsidR="002E1BE7" w:rsidRPr="0044524F" w:rsidRDefault="002E1BE7" w:rsidP="009654CF">
            <w:pPr>
              <w:pStyle w:val="290"/>
              <w:shd w:val="clear" w:color="auto" w:fill="auto"/>
              <w:spacing w:after="0" w:line="240" w:lineRule="auto"/>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F52329C"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6F6C7D76"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w:t>
            </w:r>
          </w:p>
        </w:tc>
      </w:tr>
      <w:tr w:rsidR="004E10C1" w:rsidRPr="0044524F" w14:paraId="5BC3F3B6" w14:textId="77777777" w:rsidTr="002E1BE7">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5678EC65"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И-2</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811BD8C"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26/8</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5BA1A269"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62E08E67"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r>
      <w:tr w:rsidR="004E10C1" w:rsidRPr="0044524F" w14:paraId="5F92566F" w14:textId="77777777" w:rsidTr="002E1BE7">
        <w:trPr>
          <w:trHeight w:val="245"/>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07697559"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И-2бис</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3C77DD8"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4733AF3F"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33/19</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24D6CD65"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31/19</w:t>
            </w:r>
          </w:p>
        </w:tc>
      </w:tr>
      <w:tr w:rsidR="004E10C1" w:rsidRPr="0044524F" w14:paraId="72EC2DBC" w14:textId="77777777" w:rsidTr="002E1BE7">
        <w:trPr>
          <w:trHeight w:val="248"/>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0C0AC9C0"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ФД-Х1</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14EA9408"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52/36</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063DC31D"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44/10</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A72D899"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26/17</w:t>
            </w:r>
          </w:p>
        </w:tc>
      </w:tr>
      <w:tr w:rsidR="004E10C1" w:rsidRPr="0044524F" w14:paraId="1060EE8D" w14:textId="77777777" w:rsidTr="002E1BE7">
        <w:trPr>
          <w:trHeight w:val="241"/>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69A3826D"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Д-УП</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40CF76A0"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7206A898"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047ED292" w14:textId="77777777" w:rsidR="002E1BE7" w:rsidRPr="0044524F" w:rsidRDefault="002E1BE7" w:rsidP="009654CF">
            <w:pPr>
              <w:pStyle w:val="1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r w:rsidR="004E10C1" w:rsidRPr="0044524F" w14:paraId="5FF01CF2" w14:textId="77777777" w:rsidTr="002E1BE7">
        <w:trPr>
          <w:trHeight w:val="443"/>
        </w:trPr>
        <w:tc>
          <w:tcPr>
            <w:tcW w:w="936" w:type="dxa"/>
            <w:tcBorders>
              <w:top w:val="single" w:sz="6" w:space="0" w:color="auto"/>
              <w:left w:val="single" w:sz="6" w:space="0" w:color="auto"/>
              <w:bottom w:val="single" w:sz="6" w:space="0" w:color="auto"/>
              <w:right w:val="single" w:sz="6" w:space="0" w:color="auto"/>
            </w:tcBorders>
            <w:shd w:val="clear" w:color="auto" w:fill="FFFFFF"/>
          </w:tcPr>
          <w:p w14:paraId="71AC63F2"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Всего</w:t>
            </w:r>
          </w:p>
        </w:tc>
        <w:tc>
          <w:tcPr>
            <w:tcW w:w="904" w:type="dxa"/>
            <w:tcBorders>
              <w:top w:val="single" w:sz="6" w:space="0" w:color="auto"/>
              <w:left w:val="single" w:sz="6" w:space="0" w:color="auto"/>
              <w:bottom w:val="single" w:sz="6" w:space="0" w:color="auto"/>
              <w:right w:val="single" w:sz="6" w:space="0" w:color="auto"/>
            </w:tcBorders>
            <w:shd w:val="clear" w:color="auto" w:fill="FFFFFF"/>
          </w:tcPr>
          <w:p w14:paraId="7D833B1D"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61/85 (647)</w:t>
            </w:r>
          </w:p>
        </w:tc>
        <w:tc>
          <w:tcPr>
            <w:tcW w:w="976" w:type="dxa"/>
            <w:tcBorders>
              <w:top w:val="single" w:sz="6" w:space="0" w:color="auto"/>
              <w:left w:val="single" w:sz="6" w:space="0" w:color="auto"/>
              <w:bottom w:val="single" w:sz="6" w:space="0" w:color="auto"/>
              <w:right w:val="single" w:sz="6" w:space="0" w:color="auto"/>
            </w:tcBorders>
            <w:shd w:val="clear" w:color="auto" w:fill="FFFFFF"/>
          </w:tcPr>
          <w:p w14:paraId="2E7FBFA6"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552/84 (636)</w:t>
            </w:r>
          </w:p>
        </w:tc>
        <w:tc>
          <w:tcPr>
            <w:tcW w:w="1163" w:type="dxa"/>
            <w:tcBorders>
              <w:top w:val="single" w:sz="6" w:space="0" w:color="auto"/>
              <w:left w:val="single" w:sz="6" w:space="0" w:color="auto"/>
              <w:bottom w:val="single" w:sz="6" w:space="0" w:color="auto"/>
              <w:right w:val="single" w:sz="6" w:space="0" w:color="auto"/>
            </w:tcBorders>
            <w:shd w:val="clear" w:color="auto" w:fill="FFFFFF"/>
          </w:tcPr>
          <w:p w14:paraId="75E7FD5F"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597/122 (719)</w:t>
            </w:r>
          </w:p>
        </w:tc>
      </w:tr>
    </w:tbl>
    <w:p w14:paraId="19935E7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(12295).</w:t>
      </w:r>
    </w:p>
    <w:p w14:paraId="459A9F17"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57D61C3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1 января 1933 г. все летающие лодки ДВ значились в составе ВВС Черного моря, числились в 506-й смешанной авиабригаде (бывшая 9-я авиабригада), базировались в севастопольской бухте Голландия. 7 лодок (одна в ремонте) принадлежали 123-й тяжелобомбардировочной эскадрилье (бывшая 60-я эскадрилья), еще 6 лодок принадлежали 124-й тяжелобомбардировочной эскадрилье (бывшая 63-я эскадрилья). Чуть позднее все ДВ сосредоточили в 124-й авиаэскадрилье. Эксплуатация в военно-морской авиации продолжалась по 1937 г. включительно. В 1938 г. 8 наиболее сохранившихся Дорнье "Валь" передали в Полярную авиацию, где они продолжили свою успешную эксплуатацию (11961).</w:t>
      </w:r>
    </w:p>
    <w:p w14:paraId="4C05EC55"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1A485E1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января 1933 года в РККА состояло 97 152-мм гаубиц Виккерса (3861).</w:t>
      </w:r>
    </w:p>
    <w:p w14:paraId="654F1ADB"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26C636B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января 1933 г. в РККА состояло 34 305-мм гаубиц обр. 1915 г (3861).</w:t>
      </w:r>
    </w:p>
    <w:p w14:paraId="1D2E3804"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1127BF0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года в ВМФ состояло только 22 зенитных автомата Максима и Виккерса (3861).</w:t>
      </w:r>
    </w:p>
    <w:p w14:paraId="3CD76321"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2E02B3B1" w14:textId="77777777" w:rsidR="004B1089" w:rsidRPr="0044524F" w:rsidRDefault="004B108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января 1933 г. в армии имелось 1125 мотоциклов разных типов, причем исправных было только 27 % парка, 2,4 % были негодными и подлежали списанию, а остальные требовали ремонта. К этому времени в качестве основного армейского мотоцикла уже рассматривался тяжелый мотоцикл с коляской А-750, в качестве производственной базы для выпуска которого был выделен новостроящийся завод ИОМЗА (19776).</w:t>
      </w:r>
    </w:p>
    <w:p w14:paraId="38B46AD0" w14:textId="77777777" w:rsidR="004B1089" w:rsidRPr="0044524F" w:rsidRDefault="004B1089" w:rsidP="009654CF">
      <w:pPr>
        <w:spacing w:after="0" w:line="240" w:lineRule="auto"/>
        <w:jc w:val="both"/>
        <w:rPr>
          <w:rFonts w:ascii="Times New Roman" w:hAnsi="Times New Roman"/>
          <w:color w:val="000000" w:themeColor="text1"/>
          <w:sz w:val="16"/>
          <w:szCs w:val="16"/>
        </w:rPr>
      </w:pPr>
    </w:p>
    <w:p w14:paraId="7C727B69" w14:textId="77777777" w:rsidR="004539AF" w:rsidRPr="0044524F" w:rsidRDefault="004539AF"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Жизнь и внутре</w:t>
      </w:r>
      <w:r w:rsidR="004B1089" w:rsidRPr="0044524F">
        <w:rPr>
          <w:rFonts w:ascii="Times New Roman" w:hAnsi="Times New Roman"/>
          <w:i/>
          <w:iCs/>
          <w:color w:val="000000" w:themeColor="text1"/>
          <w:sz w:val="16"/>
          <w:szCs w:val="16"/>
        </w:rPr>
        <w:t>н</w:t>
      </w:r>
      <w:r w:rsidRPr="0044524F">
        <w:rPr>
          <w:rFonts w:ascii="Times New Roman" w:hAnsi="Times New Roman"/>
          <w:i/>
          <w:iCs/>
          <w:color w:val="000000" w:themeColor="text1"/>
          <w:sz w:val="16"/>
          <w:szCs w:val="16"/>
        </w:rPr>
        <w:t>няя политика:</w:t>
      </w:r>
    </w:p>
    <w:p w14:paraId="4EF560C8" w14:textId="77777777" w:rsidR="004539AF" w:rsidRPr="0044524F" w:rsidRDefault="004539AF" w:rsidP="009654CF">
      <w:pPr>
        <w:spacing w:after="0" w:line="240" w:lineRule="auto"/>
        <w:jc w:val="both"/>
        <w:rPr>
          <w:rFonts w:ascii="Times New Roman" w:hAnsi="Times New Roman"/>
          <w:i/>
          <w:iCs/>
          <w:color w:val="000000" w:themeColor="text1"/>
          <w:sz w:val="16"/>
          <w:szCs w:val="16"/>
        </w:rPr>
      </w:pPr>
    </w:p>
    <w:p w14:paraId="368EB964"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закончен переход на 7-часовой рабочий день (12629).</w:t>
      </w:r>
    </w:p>
    <w:p w14:paraId="1C6AF7EA" w14:textId="77777777" w:rsidR="004539AF" w:rsidRPr="0044524F" w:rsidRDefault="004539AF" w:rsidP="009654CF">
      <w:pPr>
        <w:spacing w:after="0" w:line="240" w:lineRule="auto"/>
        <w:jc w:val="both"/>
        <w:rPr>
          <w:rFonts w:ascii="Times New Roman" w:hAnsi="Times New Roman"/>
          <w:iCs/>
          <w:color w:val="000000" w:themeColor="text1"/>
          <w:sz w:val="16"/>
          <w:szCs w:val="16"/>
        </w:rPr>
      </w:pPr>
    </w:p>
    <w:p w14:paraId="4D0F69B9" w14:textId="77777777" w:rsidR="000B01C4" w:rsidRPr="00142305" w:rsidRDefault="000B01C4" w:rsidP="000B01C4">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1 января 1933 г. Начальником ГУСМП </w:t>
      </w:r>
      <w:r w:rsidRPr="00142305">
        <w:rPr>
          <w:rStyle w:val="aff"/>
          <w:rFonts w:ascii="Times New Roman" w:hAnsi="Times New Roman" w:cs="Times New Roman"/>
          <w:color w:val="0070C0"/>
          <w:spacing w:val="0"/>
          <w:sz w:val="16"/>
          <w:szCs w:val="16"/>
          <w:lang w:val="en-US"/>
        </w:rPr>
        <w:t>O</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IO</w:t>
      </w:r>
      <w:r w:rsidRPr="00142305">
        <w:rPr>
          <w:rStyle w:val="aff"/>
          <w:rFonts w:ascii="Times New Roman" w:hAnsi="Times New Roman" w:cs="Times New Roman"/>
          <w:color w:val="0070C0"/>
          <w:spacing w:val="0"/>
          <w:sz w:val="16"/>
          <w:szCs w:val="16"/>
        </w:rPr>
        <w:t>. Шмидт подписал приказ №1:</w:t>
      </w:r>
    </w:p>
    <w:p w14:paraId="6357BCEA"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Объявляется Постановление СПК СССР от 17.12.32 г. об образовании Главного управления Северного Морского пути при СПК СССР.</w:t>
      </w:r>
    </w:p>
    <w:p w14:paraId="37F74DA0" w14:textId="77777777" w:rsidR="000B01C4" w:rsidRPr="00142305" w:rsidRDefault="000B01C4" w:rsidP="000B01C4">
      <w:pPr>
        <w:widowControl w:val="0"/>
        <w:tabs>
          <w:tab w:val="left" w:pos="789"/>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С сего числа считать ГУСМП начавшим работу.</w:t>
      </w:r>
    </w:p>
    <w:p w14:paraId="2569CD31" w14:textId="77777777" w:rsidR="000B01C4" w:rsidRPr="00142305" w:rsidRDefault="000B01C4" w:rsidP="000B01C4">
      <w:pPr>
        <w:widowControl w:val="0"/>
        <w:tabs>
          <w:tab w:val="left" w:pos="543"/>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С сего числа приступил к исполнению обязанностей на</w:t>
      </w:r>
      <w:r w:rsidRPr="00142305">
        <w:rPr>
          <w:rStyle w:val="aff"/>
          <w:rFonts w:ascii="Times New Roman" w:hAnsi="Times New Roman" w:cs="Times New Roman"/>
          <w:color w:val="0070C0"/>
          <w:spacing w:val="0"/>
          <w:sz w:val="16"/>
          <w:szCs w:val="16"/>
        </w:rPr>
        <w:softHyphen/>
        <w:t>чальника ГУСМП.</w:t>
      </w:r>
    </w:p>
    <w:p w14:paraId="66F19103" w14:textId="77777777" w:rsidR="000B01C4" w:rsidRPr="00142305" w:rsidRDefault="000B01C4" w:rsidP="000B01C4">
      <w:pPr>
        <w:widowControl w:val="0"/>
        <w:tabs>
          <w:tab w:val="left" w:pos="543"/>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4. Назначаю т.т. Шевелёва М.Н. и Ушакова Г.А. испол</w:t>
      </w:r>
      <w:r w:rsidRPr="00142305">
        <w:rPr>
          <w:rStyle w:val="aff"/>
          <w:rFonts w:ascii="Times New Roman" w:hAnsi="Times New Roman" w:cs="Times New Roman"/>
          <w:color w:val="0070C0"/>
          <w:spacing w:val="0"/>
          <w:sz w:val="16"/>
          <w:szCs w:val="16"/>
        </w:rPr>
        <w:softHyphen/>
        <w:t>няющими обязанности заместителей начальника ГУСМП.</w:t>
      </w:r>
    </w:p>
    <w:p w14:paraId="5C55137A" w14:textId="77777777" w:rsidR="000B01C4" w:rsidRPr="00142305" w:rsidRDefault="000B01C4" w:rsidP="000B01C4">
      <w:pPr>
        <w:widowControl w:val="0"/>
        <w:tabs>
          <w:tab w:val="left" w:pos="543"/>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5. На тов. Шевелёва М.И. возлагаю руководство вопросами морского и воздушного флота.</w:t>
      </w:r>
    </w:p>
    <w:p w14:paraId="46D92508"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тов. Ушакова ГА. возлагаю руководство вопросами полярных радиостанций, гидрометслужбы и научно-иссле</w:t>
      </w:r>
      <w:r w:rsidRPr="00142305">
        <w:rPr>
          <w:rStyle w:val="aff"/>
          <w:rFonts w:ascii="Times New Roman" w:hAnsi="Times New Roman" w:cs="Times New Roman"/>
          <w:color w:val="0070C0"/>
          <w:spacing w:val="0"/>
          <w:sz w:val="16"/>
          <w:szCs w:val="16"/>
        </w:rPr>
        <w:softHyphen/>
        <w:t>довательских работ» (25653).</w:t>
      </w:r>
    </w:p>
    <w:p w14:paraId="136E8B76" w14:textId="77777777" w:rsidR="000B01C4" w:rsidRPr="00142305" w:rsidRDefault="000B01C4" w:rsidP="000B01C4">
      <w:pPr>
        <w:spacing w:after="0" w:line="240" w:lineRule="auto"/>
        <w:jc w:val="both"/>
        <w:rPr>
          <w:rFonts w:ascii="Times New Roman" w:hAnsi="Times New Roman"/>
          <w:color w:val="0070C0"/>
          <w:sz w:val="16"/>
          <w:szCs w:val="16"/>
        </w:rPr>
      </w:pPr>
    </w:p>
    <w:p w14:paraId="4EB58387" w14:textId="4E33E387" w:rsidR="00EB0B16" w:rsidRPr="0044524F" w:rsidRDefault="00EB0B16"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С 1 января по 1 июля</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сократилась на 19% и не увеличивалась в последующие месяцы этого года. В каждом квартале</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экспорт превосходил импорт; дефицит в 135 млн руб. в 1932 г. уступил место активному сальдо в 148 млн руб. в</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(17281).</w:t>
      </w:r>
    </w:p>
    <w:p w14:paraId="2483C2BD" w14:textId="77777777" w:rsidR="00EB0B16" w:rsidRPr="0044524F" w:rsidRDefault="00EB0B16" w:rsidP="009654CF">
      <w:pPr>
        <w:spacing w:after="0" w:line="240" w:lineRule="auto"/>
        <w:jc w:val="both"/>
        <w:rPr>
          <w:rFonts w:ascii="Times New Roman" w:hAnsi="Times New Roman"/>
          <w:iCs/>
          <w:color w:val="000000" w:themeColor="text1"/>
          <w:sz w:val="16"/>
          <w:szCs w:val="16"/>
        </w:rPr>
      </w:pPr>
    </w:p>
    <w:p w14:paraId="6DD28754"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09E83F9"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1C39B503" w14:textId="77777777" w:rsidR="00095B9C" w:rsidRPr="0044524F" w:rsidRDefault="00095B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Япония разорвала пакт о ненападении с СССР, подписанный в июле (4962).</w:t>
      </w:r>
    </w:p>
    <w:p w14:paraId="6CE1E77D" w14:textId="77777777" w:rsidR="00095B9C" w:rsidRPr="0044524F" w:rsidRDefault="00095B9C" w:rsidP="009654CF">
      <w:pPr>
        <w:tabs>
          <w:tab w:val="left" w:pos="11199"/>
        </w:tabs>
        <w:spacing w:after="0" w:line="240" w:lineRule="auto"/>
        <w:jc w:val="both"/>
        <w:rPr>
          <w:rFonts w:ascii="Times New Roman" w:hAnsi="Times New Roman"/>
          <w:color w:val="000000" w:themeColor="text1"/>
          <w:sz w:val="16"/>
          <w:szCs w:val="16"/>
        </w:rPr>
      </w:pPr>
    </w:p>
    <w:p w14:paraId="317A977A"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71200E8"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18B9991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января 1933 года директор завода № 24 Марьямов, секретарь Парткома Ламинадзе, председатель Завкома Буланов писали письмо № 4сс секретарю ЦК ВКП(б) Сталину, секретарю ЦК и МК ВКП(б) Кагановичу, предсовнаркому Молотову, в Наркомтяжпром Орджоникидзе, наркомвоенмору Ворошилову</w:t>
      </w:r>
    </w:p>
    <w:p w14:paraId="2333459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Справка-отчет о работе завода № 24 им. Фрунзе в 1932 году по выполнению правительственного задания</w:t>
      </w:r>
    </w:p>
    <w:p w14:paraId="0101DF8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Всесоюзному дню ударника коллектив завода № 24 пришел с серьезными успехами.</w:t>
      </w:r>
    </w:p>
    <w:p w14:paraId="3FE98C9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доказывают следующие этапы работы завода за истекший год:</w:t>
      </w:r>
    </w:p>
    <w:p w14:paraId="7DC48148" w14:textId="77777777" w:rsidR="00095B9C" w:rsidRPr="0044524F" w:rsidRDefault="00095B9C" w:rsidP="009654CF">
      <w:pPr>
        <w:numPr>
          <w:ilvl w:val="0"/>
          <w:numId w:val="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февраля 1932 года завод получил все чертежи мотора М-34 от ЦИАМ.</w:t>
      </w:r>
    </w:p>
    <w:p w14:paraId="76A0A46F" w14:textId="77777777" w:rsidR="00095B9C" w:rsidRPr="0044524F" w:rsidRDefault="00095B9C" w:rsidP="009654CF">
      <w:pPr>
        <w:numPr>
          <w:ilvl w:val="0"/>
          <w:numId w:val="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1932 года были запущены в производство все детали мотора.</w:t>
      </w:r>
    </w:p>
    <w:p w14:paraId="0BD12B24" w14:textId="77777777" w:rsidR="00095B9C" w:rsidRPr="0044524F" w:rsidRDefault="00095B9C" w:rsidP="009654CF">
      <w:pPr>
        <w:numPr>
          <w:ilvl w:val="0"/>
          <w:numId w:val="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1932 года были закончены производством первые два мотора и к 1 мая прошли заводские испытания.</w:t>
      </w:r>
    </w:p>
    <w:p w14:paraId="7270BE72" w14:textId="77777777" w:rsidR="00095B9C" w:rsidRPr="0044524F" w:rsidRDefault="00095B9C" w:rsidP="009654CF">
      <w:pPr>
        <w:numPr>
          <w:ilvl w:val="0"/>
          <w:numId w:val="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мая по ноябрь 1932 года (за 6 месяцев) завод закончил программу по моторам старого производства (сдал 525 мотора воздушного охлаждения и 25 моторов М-27 для ВМС) и полностью освоил в серийном производстве мотор М34.</w:t>
      </w:r>
    </w:p>
    <w:p w14:paraId="6A47085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колоссальные трудности, вызванные необходимостью организации новых групп и цехов, освоения в производстве сложных отливок, устранения серьезных производственных и конструктивных неполадок (всего было внесено в мотор 1400 изменений) – завод с успехом вышел из затруднений.</w:t>
      </w:r>
    </w:p>
    <w:p w14:paraId="42188F7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Резкий перерыв в налаженном производстве старых типов моторов и перевод всего завода на ходу, без необходимой подготовки на производство нового мотора, неизбежно вызвали ломку всего производственного процесса. Но уже в IV квартале, одолев основные технические трудности, завод благодаря напряженным усилиям всех рабочих, ИТР, партийных и профсоюзных организаций добился настоящего производственного подъема и наладил серийный выпуск моторов.</w:t>
      </w:r>
    </w:p>
    <w:p w14:paraId="434453C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завод сдал 50 моторов, полностью выполнил программу по всем цехам и выходит на январь 1933 года с мощностью всех без исключения производственных групп комплектно на 80 моторов в месяц.</w:t>
      </w:r>
    </w:p>
    <w:p w14:paraId="2F4E855C" w14:textId="77777777" w:rsidR="00095B9C" w:rsidRPr="0044524F" w:rsidRDefault="00095B9C" w:rsidP="009654CF">
      <w:pPr>
        <w:numPr>
          <w:ilvl w:val="0"/>
          <w:numId w:val="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мотор, собранный заводом (№ 2001) был поставлен в июле на самолет Р-5. На сегодняшний день мотор наработал всего 90 часов и по заключению ЦАГИ:</w:t>
      </w:r>
    </w:p>
    <w:p w14:paraId="725ED74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сравнения результатов испытания с данными Р5М17 имеются следующие преимущества М-34 перед М-17:</w:t>
      </w:r>
    </w:p>
    <w:p w14:paraId="3B751210" w14:textId="77777777" w:rsidR="00095B9C" w:rsidRPr="0044524F" w:rsidRDefault="00095B9C" w:rsidP="009654CF">
      <w:pPr>
        <w:numPr>
          <w:ilvl w:val="0"/>
          <w:numId w:val="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у земли на 28.35 км/час выше.</w:t>
      </w:r>
    </w:p>
    <w:p w14:paraId="1542B8DF" w14:textId="77777777" w:rsidR="00095B9C" w:rsidRPr="0044524F" w:rsidRDefault="00095B9C" w:rsidP="009654CF">
      <w:pPr>
        <w:numPr>
          <w:ilvl w:val="0"/>
          <w:numId w:val="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Нормальная скорость у земли на 18 км/час выше.</w:t>
      </w:r>
    </w:p>
    <w:p w14:paraId="3BBAFA4F" w14:textId="77777777" w:rsidR="00095B9C" w:rsidRPr="0044524F" w:rsidRDefault="00095B9C" w:rsidP="009654CF">
      <w:pPr>
        <w:numPr>
          <w:ilvl w:val="0"/>
          <w:numId w:val="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3000 м на 6, 15 мин. выше.</w:t>
      </w:r>
    </w:p>
    <w:p w14:paraId="0F21847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скоростей и скороподъемности при уменьшении радиаторов и понижением этим веса и рациональным подбором взлетных скоростей могут быть улучшены.</w:t>
      </w:r>
    </w:p>
    <w:p w14:paraId="13E4767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Оценка работы мотора.</w:t>
      </w:r>
    </w:p>
    <w:p w14:paraId="3EA0AE6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мотора во время всего испытания вполне удовлетворительна.»</w:t>
      </w:r>
    </w:p>
    <w:p w14:paraId="354EBD91" w14:textId="77777777" w:rsidR="00095B9C" w:rsidRPr="0044524F" w:rsidRDefault="00095B9C" w:rsidP="009654CF">
      <w:pPr>
        <w:numPr>
          <w:ilvl w:val="0"/>
          <w:numId w:val="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Головная серия мотора М-34 принята ВВФ на эксплуатацию, сроком службы между переборками в 100 часов.</w:t>
      </w:r>
    </w:p>
    <w:p w14:paraId="28CB46F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установлены на 5-ти типах самолетов и в январе начнутся их летные испытания.</w:t>
      </w:r>
    </w:p>
    <w:p w14:paraId="196DF255" w14:textId="77777777" w:rsidR="00095B9C" w:rsidRPr="0044524F" w:rsidRDefault="00095B9C" w:rsidP="009654CF">
      <w:pPr>
        <w:numPr>
          <w:ilvl w:val="0"/>
          <w:numId w:val="1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Один из нормальных серийных моторов № 2040, по выбору Военной приемки, был поставлен на 50-ти часовое испытание на полном газу.</w:t>
      </w:r>
    </w:p>
    <w:p w14:paraId="29F66BB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заключению НИИ ВВС:</w:t>
      </w:r>
    </w:p>
    <w:p w14:paraId="6D9008B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«Такое испытание в практике советского моторостроения было проведено впервые. Из практики европейского авиамоторостроения известен лишь случай 10-ти часов работы на максимальной мощности мотора АССО-750. Для советских и заграничных моторов рекомендуется пользоваться полным газом не свыше 5 минут подряд.</w:t>
      </w:r>
    </w:p>
    <w:p w14:paraId="49ABA3F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прошел тяжелое, по условиям работы (на средней мощности 834 л.с.) испытание удовлетворительно, с сохранением полной мощности в начале и конце каждого этапа.</w:t>
      </w:r>
    </w:p>
    <w:p w14:paraId="58BDC67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деталей и износы, полученные за время испытания, дают основание рассчитывать на достижение надежной работы на самолете в течении 200 часов между переборками, путем дальнейшей работы по совершенствованию мотора в серийном производстве и повышения номинальной мощности мотора до 800-850 л.с. с соответствующим повышением максимальной мощности мотора.»</w:t>
      </w:r>
    </w:p>
    <w:p w14:paraId="0374BD79" w14:textId="77777777" w:rsidR="00095B9C" w:rsidRPr="0044524F" w:rsidRDefault="00095B9C" w:rsidP="009654CF">
      <w:pPr>
        <w:numPr>
          <w:ilvl w:val="0"/>
          <w:numId w:val="1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Оценка основных данных мотора М-34 по сравнению с другими советскими и иностранными моторами этого же класса дана в приложенном заключении НИИ ВВС.</w:t>
      </w:r>
    </w:p>
    <w:p w14:paraId="30957B7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изложенного можно сделать вывод, что хотя заводом полностью не выполнено количественное задание Правительства, нами совместно с ЦИАМ по решающему вопросу одержана крупнейшая победа, которой может по праву гордиться наша авиация, а именно:</w:t>
      </w:r>
    </w:p>
    <w:p w14:paraId="71AD3F2B" w14:textId="77777777" w:rsidR="00095B9C" w:rsidRPr="0044524F" w:rsidRDefault="00095B9C" w:rsidP="009654CF">
      <w:pPr>
        <w:numPr>
          <w:ilvl w:val="0"/>
          <w:numId w:val="1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 мощный советский мотор высоких качеств, который может стать в ряд с лучшими моторами самых передовых иностранных фирм.</w:t>
      </w:r>
    </w:p>
    <w:p w14:paraId="1E5D3967" w14:textId="77777777" w:rsidR="00095B9C" w:rsidRPr="0044524F" w:rsidRDefault="00095B9C" w:rsidP="009654CF">
      <w:pPr>
        <w:numPr>
          <w:ilvl w:val="0"/>
          <w:numId w:val="1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беспримерно рекордный срок выпущены первые моторы.</w:t>
      </w:r>
    </w:p>
    <w:p w14:paraId="796FE3BB" w14:textId="77777777" w:rsidR="00095B9C" w:rsidRPr="0044524F" w:rsidRDefault="00095B9C" w:rsidP="009654CF">
      <w:pPr>
        <w:numPr>
          <w:ilvl w:val="0"/>
          <w:numId w:val="1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рекордный срок мотор внедрен в серийное производство.</w:t>
      </w:r>
    </w:p>
    <w:p w14:paraId="5480696E" w14:textId="77777777" w:rsidR="00095B9C" w:rsidRPr="0044524F" w:rsidRDefault="00095B9C" w:rsidP="009654CF">
      <w:pPr>
        <w:numPr>
          <w:ilvl w:val="0"/>
          <w:numId w:val="1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последних испытаний мотора дают уверенность рассчитывать на дальнейшее повышение качеств мотора и полное выполнение программы завода в 1933 году и безусловное обеспечение поставленной нам задачи - достигнуть в 1933 году мирового рекорда самолета с мотором М-34 на дальний беспосадочный полет через океан на расстояние 10000 км (3530,52-55).</w:t>
      </w:r>
    </w:p>
    <w:p w14:paraId="5D597B66" w14:textId="77777777" w:rsidR="00095B9C" w:rsidRPr="0044524F" w:rsidRDefault="00095B9C" w:rsidP="009654CF">
      <w:pPr>
        <w:tabs>
          <w:tab w:val="left" w:pos="360"/>
        </w:tabs>
        <w:spacing w:after="0" w:line="240" w:lineRule="auto"/>
        <w:jc w:val="both"/>
        <w:rPr>
          <w:rFonts w:ascii="Times New Roman" w:hAnsi="Times New Roman"/>
          <w:color w:val="000000" w:themeColor="text1"/>
          <w:sz w:val="16"/>
          <w:szCs w:val="16"/>
        </w:rPr>
      </w:pPr>
    </w:p>
    <w:p w14:paraId="1BC3A802" w14:textId="77777777" w:rsidR="00EB57C4" w:rsidRPr="0044524F" w:rsidRDefault="00EB57C4"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C1116E4" w14:textId="77777777" w:rsidR="00EB57C4" w:rsidRPr="0044524F" w:rsidRDefault="00EB57C4" w:rsidP="009654CF">
      <w:pPr>
        <w:spacing w:after="0" w:line="240" w:lineRule="auto"/>
        <w:jc w:val="both"/>
        <w:rPr>
          <w:rFonts w:ascii="Times New Roman" w:hAnsi="Times New Roman"/>
          <w:iCs/>
          <w:color w:val="000000" w:themeColor="text1"/>
          <w:sz w:val="16"/>
          <w:szCs w:val="16"/>
        </w:rPr>
      </w:pPr>
    </w:p>
    <w:p w14:paraId="32D39D5A" w14:textId="77777777" w:rsidR="00EB57C4" w:rsidRPr="0044524F" w:rsidRDefault="00EB57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января 1933 опросом членов ПБ</w:t>
      </w:r>
    </w:p>
    <w:p w14:paraId="7B484C93" w14:textId="22F77446" w:rsidR="00EB57C4" w:rsidRPr="0044524F" w:rsidRDefault="00EB57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55/35.- О предложениях Фирмы "Сперри". (ПБ от 1.ХП.32 г., пр. № 124. П.1).</w:t>
      </w:r>
    </w:p>
    <w:p w14:paraId="1FAE9D2A" w14:textId="77777777" w:rsidR="00EB57C4" w:rsidRPr="0044524F" w:rsidRDefault="00EB57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Во изменение постановления ПБ от 1.ХП.32г. удовлетворить просьбу т.Баранова об освобождении от поездки в САСШ т. Ильюшина и командировании вместо него т. Енгибариан А.А.</w:t>
      </w:r>
    </w:p>
    <w:p w14:paraId="08D00E2E" w14:textId="77777777" w:rsidR="00EB57C4" w:rsidRPr="0044524F" w:rsidRDefault="00EB57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т.т.Ворошилову, Орджоникидзе, Баранову, Халепскому, Артузову</w:t>
      </w:r>
    </w:p>
    <w:p w14:paraId="30BCBDD9" w14:textId="77777777" w:rsidR="00EB57C4" w:rsidRPr="0044524F" w:rsidRDefault="00EB57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января 1933 состоялось заседание ПБ и был оформлен протокол № 128 (22978).</w:t>
      </w:r>
    </w:p>
    <w:p w14:paraId="53CBFE14" w14:textId="77777777" w:rsidR="00EB57C4" w:rsidRPr="0044524F" w:rsidRDefault="00EB57C4" w:rsidP="009654CF">
      <w:pPr>
        <w:spacing w:after="0" w:line="240" w:lineRule="auto"/>
        <w:jc w:val="both"/>
        <w:rPr>
          <w:rFonts w:ascii="Times New Roman" w:hAnsi="Times New Roman"/>
          <w:color w:val="000000" w:themeColor="text1"/>
          <w:sz w:val="16"/>
          <w:szCs w:val="16"/>
        </w:rPr>
      </w:pPr>
    </w:p>
    <w:p w14:paraId="4CDFDB1C" w14:textId="77777777" w:rsidR="00FD3DB6" w:rsidRPr="0044524F" w:rsidRDefault="00FD3DB6"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2E59FF5" w14:textId="77777777" w:rsidR="00FD3DB6" w:rsidRPr="0044524F" w:rsidRDefault="00FD3DB6" w:rsidP="009654CF">
      <w:pPr>
        <w:spacing w:after="0" w:line="240" w:lineRule="auto"/>
        <w:jc w:val="both"/>
        <w:rPr>
          <w:rFonts w:ascii="Times New Roman" w:hAnsi="Times New Roman"/>
          <w:iCs/>
          <w:color w:val="000000" w:themeColor="text1"/>
          <w:sz w:val="16"/>
          <w:szCs w:val="16"/>
        </w:rPr>
      </w:pPr>
    </w:p>
    <w:p w14:paraId="7E364B39" w14:textId="77777777" w:rsidR="00FD3DB6" w:rsidRPr="0044524F" w:rsidRDefault="00FD3DB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января 1933. Рабочие с ломами и киркой начали разбор знаменитых Ильинских ворот Китай-города под предлогом, что они "мешают уличному движению, создают хвосты автомашин, подвергают опасности пешеходов". Ильинские ворота были сооружены в 1540 году, верхнюю часть с зеленой облицовкой надстроили в 1685 году (18722).</w:t>
      </w:r>
    </w:p>
    <w:p w14:paraId="03F0C604" w14:textId="77777777" w:rsidR="00FD3DB6" w:rsidRPr="0044524F" w:rsidRDefault="00FD3DB6" w:rsidP="009654CF">
      <w:pPr>
        <w:spacing w:after="0" w:line="240" w:lineRule="auto"/>
        <w:jc w:val="both"/>
        <w:rPr>
          <w:rFonts w:ascii="Times New Roman" w:hAnsi="Times New Roman"/>
          <w:color w:val="000000" w:themeColor="text1"/>
          <w:sz w:val="16"/>
          <w:szCs w:val="16"/>
        </w:rPr>
      </w:pPr>
    </w:p>
    <w:p w14:paraId="46E9481E"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E80775E"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757F21F7" w14:textId="77777777" w:rsidR="00EB57C4" w:rsidRPr="0044524F" w:rsidRDefault="00EB57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января 1933 после внесения изменений, HMS Мужественный залез службу с Королевскими ВМС как первого в мире авианосца оснащен гидравлическим управляемым аэрофинишер (20802).</w:t>
      </w:r>
    </w:p>
    <w:p w14:paraId="29470069" w14:textId="77777777" w:rsidR="00EB57C4" w:rsidRPr="0044524F" w:rsidRDefault="00EB57C4" w:rsidP="009654CF">
      <w:pPr>
        <w:spacing w:after="0" w:line="240" w:lineRule="auto"/>
        <w:jc w:val="both"/>
        <w:rPr>
          <w:rFonts w:ascii="Times New Roman" w:hAnsi="Times New Roman"/>
          <w:color w:val="000000" w:themeColor="text1"/>
          <w:sz w:val="16"/>
          <w:szCs w:val="16"/>
        </w:rPr>
      </w:pPr>
    </w:p>
    <w:p w14:paraId="23E78367" w14:textId="77777777" w:rsidR="00EB57C4" w:rsidRPr="0044524F" w:rsidRDefault="00EB57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января 1933 во время битвы при Shanhai эскадра бомбардировщиков японской императорской армии обеспечивает непосредственную авиационную поддержку японской Квантунской армии сухопутных войск в действиях против националистической китайской Национально - революционной армии на перевале в укрепленной восточной части Великой Китайской стены (20802).</w:t>
      </w:r>
    </w:p>
    <w:p w14:paraId="03A8D64C" w14:textId="77777777" w:rsidR="00EB57C4" w:rsidRPr="0044524F" w:rsidRDefault="00EB57C4" w:rsidP="009654CF">
      <w:pPr>
        <w:spacing w:after="0" w:line="240" w:lineRule="auto"/>
        <w:jc w:val="both"/>
        <w:rPr>
          <w:rFonts w:ascii="Times New Roman" w:hAnsi="Times New Roman"/>
          <w:color w:val="000000" w:themeColor="text1"/>
          <w:sz w:val="16"/>
          <w:szCs w:val="16"/>
        </w:rPr>
      </w:pPr>
    </w:p>
    <w:p w14:paraId="2170548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января 1933 в Испании в Барселоне было восстание анархистов и синдикалистов (3907,179).</w:t>
      </w:r>
    </w:p>
    <w:p w14:paraId="6D667602"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0ECA1DD2" w14:textId="77777777" w:rsidR="00095B9C" w:rsidRPr="0044524F" w:rsidRDefault="00095B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января 1933 последние американские войска покинули Никарагуа (4962).</w:t>
      </w:r>
    </w:p>
    <w:p w14:paraId="7AE6B4C3" w14:textId="77777777" w:rsidR="00095B9C" w:rsidRPr="0044524F" w:rsidRDefault="00095B9C" w:rsidP="009654CF">
      <w:pPr>
        <w:tabs>
          <w:tab w:val="left" w:pos="11199"/>
        </w:tabs>
        <w:spacing w:after="0" w:line="240" w:lineRule="auto"/>
        <w:jc w:val="both"/>
        <w:rPr>
          <w:rFonts w:ascii="Times New Roman" w:hAnsi="Times New Roman"/>
          <w:color w:val="000000" w:themeColor="text1"/>
          <w:sz w:val="16"/>
          <w:szCs w:val="16"/>
        </w:rPr>
      </w:pPr>
    </w:p>
    <w:p w14:paraId="7FB194DF"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AA92EEA"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2779A33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января 1933 в ЦАГИ из УВВС поступили окончательные требования к АНТ-31 (И-14), когда все рабочие чертежи были уже готовы. Заложили скорость 375-400 км/час и все еще надеясь на получение М-38 или М-58 хотели с ними (4020,10).</w:t>
      </w:r>
    </w:p>
    <w:p w14:paraId="0078725F"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27C848C1" w14:textId="77777777" w:rsidR="00460F2B" w:rsidRPr="0044524F" w:rsidRDefault="00460F2B" w:rsidP="009654CF">
      <w:pPr>
        <w:tabs>
          <w:tab w:val="left" w:pos="5121"/>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января 1933 г. в ЦАГИ поступили «Технические требования к одноместному пушеч</w:t>
      </w:r>
      <w:r w:rsidRPr="0044524F">
        <w:rPr>
          <w:rFonts w:ascii="Times New Roman" w:hAnsi="Times New Roman"/>
          <w:color w:val="000000" w:themeColor="text1"/>
          <w:sz w:val="16"/>
          <w:szCs w:val="16"/>
        </w:rPr>
        <w:softHyphen/>
        <w:t>ному истребителю И-14 под мотор М-38 600 л.с. или М-58». В примечании отмеча</w:t>
      </w:r>
      <w:r w:rsidRPr="0044524F">
        <w:rPr>
          <w:rFonts w:ascii="Times New Roman" w:hAnsi="Times New Roman"/>
          <w:color w:val="000000" w:themeColor="text1"/>
          <w:sz w:val="16"/>
          <w:szCs w:val="16"/>
        </w:rPr>
        <w:softHyphen/>
        <w:t xml:space="preserve">лось, что на опытном экземпляре допускается установка мотора Бристоль-Меркур </w:t>
      </w:r>
      <w:r w:rsidRPr="0044524F">
        <w:rPr>
          <w:rFonts w:ascii="Times New Roman" w:hAnsi="Times New Roman"/>
          <w:color w:val="000000" w:themeColor="text1"/>
          <w:sz w:val="16"/>
          <w:szCs w:val="16"/>
          <w:lang w:val="en-US"/>
        </w:rPr>
        <w:t>IV</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S</w:t>
      </w:r>
      <w:r w:rsidRPr="0044524F">
        <w:rPr>
          <w:rFonts w:ascii="Times New Roman" w:hAnsi="Times New Roman"/>
          <w:color w:val="000000" w:themeColor="text1"/>
          <w:sz w:val="16"/>
          <w:szCs w:val="16"/>
        </w:rPr>
        <w:t>2. Согласно ТТ самолёт с нормальной полезной нагрузкой 248 кг (перегрузочный вариант — 520 кг) и запасом ГСМ, обеспечивая тактический радиус действия 250 км на боевой высоте 5000 м должен был обладать следующими лётными данными:</w:t>
      </w:r>
    </w:p>
    <w:p w14:paraId="499BEE54" w14:textId="77777777" w:rsidR="00460F2B" w:rsidRPr="0044524F" w:rsidRDefault="00460F2B" w:rsidP="009654CF">
      <w:pPr>
        <w:tabs>
          <w:tab w:val="left" w:pos="5121"/>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горизонтальная скорость</w:t>
      </w:r>
      <w:r w:rsidRPr="0044524F">
        <w:rPr>
          <w:rFonts w:ascii="Times New Roman" w:hAnsi="Times New Roman"/>
          <w:color w:val="000000" w:themeColor="text1"/>
          <w:sz w:val="16"/>
          <w:szCs w:val="16"/>
        </w:rPr>
        <w:tab/>
        <w:t>— 375-400 км/ч</w:t>
      </w:r>
    </w:p>
    <w:p w14:paraId="7E12E62A" w14:textId="77777777" w:rsidR="00460F2B" w:rsidRPr="0044524F" w:rsidRDefault="00460F2B" w:rsidP="009654CF">
      <w:pPr>
        <w:tabs>
          <w:tab w:val="left" w:pos="493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подъёма на Н=5000 м</w:t>
      </w:r>
      <w:r w:rsidRPr="0044524F">
        <w:rPr>
          <w:rFonts w:ascii="Times New Roman" w:hAnsi="Times New Roman"/>
          <w:color w:val="000000" w:themeColor="text1"/>
          <w:sz w:val="16"/>
          <w:szCs w:val="16"/>
        </w:rPr>
        <w:tab/>
        <w:t>— 7-8 мин</w:t>
      </w:r>
    </w:p>
    <w:p w14:paraId="3614D318" w14:textId="77777777" w:rsidR="00460F2B" w:rsidRPr="0044524F" w:rsidRDefault="00460F2B" w:rsidP="009654CF">
      <w:pPr>
        <w:tabs>
          <w:tab w:val="left" w:pos="493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w:t>
      </w:r>
      <w:r w:rsidRPr="0044524F">
        <w:rPr>
          <w:rFonts w:ascii="Times New Roman" w:hAnsi="Times New Roman"/>
          <w:color w:val="000000" w:themeColor="text1"/>
          <w:sz w:val="16"/>
          <w:szCs w:val="16"/>
        </w:rPr>
        <w:tab/>
        <w:t>— 9000-10000 м</w:t>
      </w:r>
    </w:p>
    <w:p w14:paraId="57F300AE" w14:textId="77777777" w:rsidR="00460F2B" w:rsidRPr="0044524F" w:rsidRDefault="00460F2B" w:rsidP="009654CF">
      <w:pPr>
        <w:tabs>
          <w:tab w:val="left" w:pos="493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w:t>
      </w:r>
      <w:r w:rsidRPr="0044524F">
        <w:rPr>
          <w:rFonts w:ascii="Times New Roman" w:hAnsi="Times New Roman"/>
          <w:color w:val="000000" w:themeColor="text1"/>
          <w:sz w:val="16"/>
          <w:szCs w:val="16"/>
        </w:rPr>
        <w:tab/>
        <w:t>— 90-103 км/ч</w:t>
      </w:r>
    </w:p>
    <w:p w14:paraId="206DFF8F" w14:textId="77777777" w:rsidR="00460F2B" w:rsidRPr="0044524F" w:rsidRDefault="00460F2B" w:rsidP="009654CF">
      <w:pPr>
        <w:tabs>
          <w:tab w:val="left" w:pos="4948"/>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разбега в безветрие, не более</w:t>
      </w:r>
      <w:r w:rsidRPr="0044524F">
        <w:rPr>
          <w:rFonts w:ascii="Times New Roman" w:hAnsi="Times New Roman"/>
          <w:color w:val="000000" w:themeColor="text1"/>
          <w:sz w:val="16"/>
          <w:szCs w:val="16"/>
        </w:rPr>
        <w:tab/>
        <w:t>— 40 м</w:t>
      </w:r>
    </w:p>
    <w:p w14:paraId="36F1DD74" w14:textId="77777777" w:rsidR="00460F2B" w:rsidRPr="0044524F" w:rsidRDefault="00460F2B" w:rsidP="009654CF">
      <w:pPr>
        <w:tabs>
          <w:tab w:val="left" w:pos="4953"/>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пробега в безветрие, не более</w:t>
      </w:r>
      <w:r w:rsidRPr="0044524F">
        <w:rPr>
          <w:rFonts w:ascii="Times New Roman" w:hAnsi="Times New Roman"/>
          <w:color w:val="000000" w:themeColor="text1"/>
          <w:sz w:val="16"/>
          <w:szCs w:val="16"/>
        </w:rPr>
        <w:tab/>
        <w:t>— 80 м</w:t>
      </w:r>
    </w:p>
    <w:p w14:paraId="77C97012" w14:textId="77777777" w:rsidR="00460F2B" w:rsidRPr="0044524F" w:rsidRDefault="00460F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Последовательность требований: — Скорость; — Скороподъёмность и маневренность</w:t>
      </w:r>
    </w:p>
    <w:p w14:paraId="05DD66F1" w14:textId="77777777" w:rsidR="00460F2B" w:rsidRPr="0044524F" w:rsidRDefault="00460F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Две пушки АПК-11 (калибр — 37 мм)</w:t>
      </w:r>
    </w:p>
    <w:p w14:paraId="19C2DD88" w14:textId="77777777" w:rsidR="00460F2B" w:rsidRPr="0044524F" w:rsidRDefault="00460F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Боекомплект — 50 унитарных патронов</w:t>
      </w:r>
    </w:p>
    <w:p w14:paraId="63B963CD" w14:textId="77777777" w:rsidR="00460F2B" w:rsidRPr="0044524F" w:rsidRDefault="00460F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то, что техтребования поступили со значительным опозданием, когда чер</w:t>
      </w:r>
      <w:r w:rsidRPr="0044524F">
        <w:rPr>
          <w:rFonts w:ascii="Times New Roman" w:hAnsi="Times New Roman"/>
          <w:color w:val="000000" w:themeColor="text1"/>
          <w:sz w:val="16"/>
          <w:szCs w:val="16"/>
        </w:rPr>
        <w:softHyphen/>
        <w:t>тежи уже находились в опытном производстве, реализовать заложенные в ТТ макс, ско</w:t>
      </w:r>
      <w:r w:rsidRPr="0044524F">
        <w:rPr>
          <w:rFonts w:ascii="Times New Roman" w:hAnsi="Times New Roman"/>
          <w:color w:val="000000" w:themeColor="text1"/>
          <w:sz w:val="16"/>
          <w:szCs w:val="16"/>
        </w:rPr>
        <w:softHyphen/>
        <w:t>рости было практически невозможно, к тому же отсутствовали моторы М-38 (М-58) (15823).</w:t>
      </w:r>
    </w:p>
    <w:p w14:paraId="5A368E8E" w14:textId="77777777" w:rsidR="00460F2B" w:rsidRPr="0044524F" w:rsidRDefault="00460F2B" w:rsidP="009654CF">
      <w:pPr>
        <w:spacing w:after="0" w:line="240" w:lineRule="auto"/>
        <w:jc w:val="both"/>
        <w:rPr>
          <w:rFonts w:ascii="Times New Roman" w:hAnsi="Times New Roman"/>
          <w:color w:val="000000" w:themeColor="text1"/>
          <w:sz w:val="16"/>
          <w:szCs w:val="16"/>
        </w:rPr>
      </w:pPr>
    </w:p>
    <w:p w14:paraId="7A07CAAE"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4 января 1933 года в ЦАГИ поступили «Технические требования к одноместному пушечному истребителю И-14 под мотор М-38 600 л.с. или М-58». В примечании отмечалось, что на опытном экземпляре допускается установка мотора Бристоль-Меркур IV-S2. Согласно ТТ самолет с нормальной полезной нагрузкой 248 кг (перегрузочный вариант- 520 кг) и запасом ГСМ, обеспечивая тактический радиус действия 250 км на боевой высоте 5000 м должен был обладать следующими летными данными:</w:t>
      </w:r>
    </w:p>
    <w:p w14:paraId="17F76109"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Максимальная горизонтальная скорость – 375-400 км/ч</w:t>
      </w:r>
    </w:p>
    <w:p w14:paraId="0852586F"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Время подъема на Н=5000 м – 7-8 мин</w:t>
      </w:r>
    </w:p>
    <w:p w14:paraId="5A175CB6"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Практический потолок – 9000-10000 м</w:t>
      </w:r>
    </w:p>
    <w:p w14:paraId="4D4C8968"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Посадочная скорость – 90-103 км/ч</w:t>
      </w:r>
    </w:p>
    <w:p w14:paraId="0C404C14"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Длина разбега в безветрие, не более – 40 м</w:t>
      </w:r>
    </w:p>
    <w:p w14:paraId="19B340F5"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Длина пробега в безветрие, не более – 80 м</w:t>
      </w:r>
    </w:p>
    <w:p w14:paraId="0CCFB87F"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Последовательность требований:</w:t>
      </w:r>
    </w:p>
    <w:p w14:paraId="17E58A2D"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Скорость</w:t>
      </w:r>
    </w:p>
    <w:p w14:paraId="5BF29000"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Скороподъемность и маневренность</w:t>
      </w:r>
    </w:p>
    <w:p w14:paraId="038B3DEC"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Вооружение:</w:t>
      </w:r>
    </w:p>
    <w:p w14:paraId="0FD34C1F"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2 пушки АПК-11 (калибр – 37 мм)</w:t>
      </w:r>
    </w:p>
    <w:p w14:paraId="381BFC62"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Боекомплект – 50 унитарных патронов</w:t>
      </w:r>
    </w:p>
    <w:p w14:paraId="24ADFB25"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Учитывая то, что технические требования поступили со значительным опозданием, когда чертежи уже находились в опытном производстве, реализовать заложенные в ТТ максимальные скорости было практически невозможно. К тому же отсутствовали моторы М-38 (М-58) (19177).</w:t>
      </w:r>
    </w:p>
    <w:p w14:paraId="41886F1E" w14:textId="77777777" w:rsidR="00820904" w:rsidRPr="0044524F" w:rsidRDefault="00820904" w:rsidP="009654CF">
      <w:pPr>
        <w:pStyle w:val="ae"/>
        <w:shd w:val="clear" w:color="auto" w:fill="FFFFFF"/>
        <w:spacing w:before="0" w:after="0"/>
        <w:jc w:val="both"/>
        <w:textAlignment w:val="baseline"/>
        <w:rPr>
          <w:color w:val="000000" w:themeColor="text1"/>
          <w:sz w:val="16"/>
          <w:szCs w:val="16"/>
        </w:rPr>
      </w:pPr>
    </w:p>
    <w:p w14:paraId="2A1B9FF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4-го января 1933 года были получены Технические требования на машину ДИП-2М34 - двухмоторного истребителя пушечного, вооруженного одной пушкой большого калибра (100 мм), дальность полета 600 км, тоже с перегрузкой – 1000 км. Скорость 325 км/час (3530,70-86).</w:t>
      </w:r>
    </w:p>
    <w:p w14:paraId="00D4F7A4"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052CFC70" w14:textId="77777777" w:rsidR="00460F2B" w:rsidRPr="0044524F" w:rsidRDefault="00460F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января 1933 г. ЦАГИ получил ТТТ на двухместный истребитель пушечный ДИП 2М-34 (15823)</w:t>
      </w:r>
    </w:p>
    <w:p w14:paraId="29DD0E76" w14:textId="77777777" w:rsidR="00460F2B" w:rsidRPr="0044524F" w:rsidRDefault="00460F2B" w:rsidP="009654CF">
      <w:pPr>
        <w:spacing w:after="0" w:line="240" w:lineRule="auto"/>
        <w:jc w:val="both"/>
        <w:rPr>
          <w:rFonts w:ascii="Times New Roman" w:hAnsi="Times New Roman"/>
          <w:color w:val="000000" w:themeColor="text1"/>
          <w:sz w:val="16"/>
          <w:szCs w:val="16"/>
        </w:rPr>
      </w:pPr>
    </w:p>
    <w:p w14:paraId="20808591" w14:textId="77777777" w:rsidR="00095B9C" w:rsidRPr="0044524F" w:rsidRDefault="00095B9C" w:rsidP="009654CF">
      <w:pPr>
        <w:pStyle w:val="ae"/>
        <w:widowControl/>
        <w:spacing w:before="0" w:after="0"/>
        <w:jc w:val="both"/>
        <w:rPr>
          <w:color w:val="000000" w:themeColor="text1"/>
          <w:sz w:val="16"/>
          <w:szCs w:val="16"/>
        </w:rPr>
      </w:pPr>
      <w:r w:rsidRPr="0044524F">
        <w:rPr>
          <w:color w:val="000000" w:themeColor="text1"/>
          <w:sz w:val="16"/>
          <w:szCs w:val="16"/>
        </w:rPr>
        <w:t>4 января 1933 Впервые во время полета на самолете ХАИ-1 убрано шасси (10674).</w:t>
      </w:r>
    </w:p>
    <w:p w14:paraId="7D90C4CE" w14:textId="77777777" w:rsidR="00095B9C" w:rsidRPr="0044524F" w:rsidRDefault="00095B9C" w:rsidP="009654CF">
      <w:pPr>
        <w:pStyle w:val="ae"/>
        <w:widowControl/>
        <w:spacing w:before="0" w:after="0"/>
        <w:jc w:val="both"/>
        <w:rPr>
          <w:color w:val="000000" w:themeColor="text1"/>
          <w:sz w:val="16"/>
          <w:szCs w:val="16"/>
        </w:rPr>
      </w:pPr>
    </w:p>
    <w:p w14:paraId="35DB1314" w14:textId="77777777" w:rsidR="00095B9C" w:rsidRPr="0044524F" w:rsidRDefault="001A42D5" w:rsidP="009654CF">
      <w:pPr>
        <w:pStyle w:val="ae"/>
        <w:widowControl/>
        <w:spacing w:before="0" w:after="0"/>
        <w:jc w:val="both"/>
        <w:rPr>
          <w:iCs/>
          <w:color w:val="000000" w:themeColor="text1"/>
          <w:sz w:val="16"/>
          <w:szCs w:val="16"/>
        </w:rPr>
      </w:pPr>
      <w:r w:rsidRPr="0044524F">
        <w:rPr>
          <w:i/>
          <w:iCs/>
          <w:color w:val="000000" w:themeColor="text1"/>
          <w:sz w:val="16"/>
          <w:szCs w:val="16"/>
        </w:rPr>
        <w:t>Другие оборонные отрасли:</w:t>
      </w:r>
    </w:p>
    <w:p w14:paraId="3077A847" w14:textId="77777777" w:rsidR="00095B9C" w:rsidRPr="0044524F" w:rsidRDefault="00095B9C" w:rsidP="009654CF">
      <w:pPr>
        <w:pStyle w:val="ae"/>
        <w:widowControl/>
        <w:spacing w:before="0" w:after="0"/>
        <w:jc w:val="both"/>
        <w:rPr>
          <w:iCs/>
          <w:color w:val="000000" w:themeColor="text1"/>
          <w:sz w:val="16"/>
          <w:szCs w:val="16"/>
        </w:rPr>
      </w:pPr>
    </w:p>
    <w:p w14:paraId="797F869A"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4 января 1933 г., в соответствии со справкой-докладом начальника Управления связи РККА Н.М. Синявского, представленной в КО, результаты выполнения программы 1932 года по вооружению связи РККА выглядели следующим образом:</w:t>
      </w:r>
    </w:p>
    <w:p w14:paraId="2C5BC7D8"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общее выполнение программы:</w:t>
      </w:r>
    </w:p>
    <w:p w14:paraId="580E73B9"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3аказано на 96 500 000 руб.</w:t>
      </w:r>
    </w:p>
    <w:p w14:paraId="3D7A5A45"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Принято на 58 334 000 руб.</w:t>
      </w:r>
    </w:p>
    <w:p w14:paraId="19E5EFA5"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Предъявлено к сдаче на 10 286 800 руб.</w:t>
      </w:r>
    </w:p>
    <w:p w14:paraId="252759F8"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Наибольший процент выполнения – от 72 до 100 % по различным видам продукции – пришелся на «телеграфное, телефонное и линейное имущество» (за исключением катушек для телефонного кабеля, по которым обеспеченность Красной Армии составила 25 %). Однако план по производству радиоаппаратуры оказался резко недовыполненным, а особенно плохо обстояло дело с авиационными радиостанциями для тяжелых самолетов и аэродромными радиостанциями, что, как подчеркивалось в справке-докладе, лишало «ВВС возможности производить тренировочные и опытные полеты». Значительно отставало от намеченного графика строительство новых заводов: в 1932 г. были построены только завод щелочных аккумуляторов в Саратове и кварцевая мастерская в Горьком.</w:t>
      </w:r>
    </w:p>
    <w:p w14:paraId="71B34E71"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В качестве основных причин неудовлетворительного выполнения заказов по радио и телемеханике указывались:</w:t>
      </w:r>
    </w:p>
    <w:p w14:paraId="06D52C9B"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lastRenderedPageBreak/>
        <w:t>– недостаточное планирование и кооперирование для выполнения заказов как внутри завода, так и между заводами и объединениями,</w:t>
      </w:r>
    </w:p>
    <w:p w14:paraId="3B1CEAFC"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 позднее заключение договоров с заводами других объединений на поставку полуфабрикатов,</w:t>
      </w:r>
    </w:p>
    <w:p w14:paraId="5F6F939F"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 плохое снабжение сырьем,</w:t>
      </w:r>
    </w:p>
    <w:p w14:paraId="567F1EF1"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 недостаточность рабсилы и инженерно-технических кадров, особенно на Горьковском заводе им. Ленина,</w:t>
      </w:r>
    </w:p>
    <w:p w14:paraId="65D2D7C5"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 недополучение ВЭСО оборудования и средств, которое оно должно было получить согласно постановлению СТО от 11/1-32 года.</w:t>
      </w:r>
    </w:p>
    <w:p w14:paraId="64AC80B3"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Постройкой новых и реконструкцией действовавших предприятий ВЭСО планировалось довести выпуск продукции до 500 млн руб. в 1933 г. и до 800 млн руб. – в 1934 г.; обеспечить подачу в армию 12 тыс. радиостанций в 1933 г. и 15 тыс. – в 1934 г. Планировалось также начать строительство ряда предприятий по производству средств связи и новых видов вооружения (завод по телемеханике, завод точной механики, завод «Радиолампа», мастерская кварцевых пластинок, цех радиомашин).</w:t>
      </w:r>
    </w:p>
    <w:p w14:paraId="48D22E97" w14:textId="77777777" w:rsidR="00460F2B" w:rsidRPr="0044524F" w:rsidRDefault="00460F2B" w:rsidP="009654CF">
      <w:pPr>
        <w:pStyle w:val="ae"/>
        <w:spacing w:before="0" w:after="0"/>
        <w:jc w:val="both"/>
        <w:rPr>
          <w:color w:val="000000" w:themeColor="text1"/>
          <w:sz w:val="16"/>
          <w:szCs w:val="16"/>
        </w:rPr>
      </w:pPr>
      <w:r w:rsidRPr="0044524F">
        <w:rPr>
          <w:color w:val="000000" w:themeColor="text1"/>
          <w:sz w:val="16"/>
          <w:szCs w:val="16"/>
        </w:rPr>
        <w:t>Ведущими поставщиком радиоаппаратуры для армии пока продолжал оставаться завод имени Коминтерна. В 1927 по инициативе С. Орджоникидзе принял на себя руководство программой строительства мощных радиостанций в стране А.Л. Минц. В 1930 г. руководитель А.Л. Минц настоял на объединении ЦРЛ с основным заводом-изготовителем мощных передатчиков – Радиозаводом им. Коминтерна для создания промышленной базы мощного радиостроения. В результате появился центр по разработке и выпуску мощной радиотехники, специальной техники радиосвязи, средств радионавигации для ВВС. Однако объединенная организация – ЦРЛ-3 просуществовала недолго, и в августе 1931 г. ЦРЛ и Радиозавод им. Коминтерна вновь стали самостоятельными. Эти реорганизации привели, к сожалению, к уходу из ЦРЛ ряда коллективов и специалистов, в том числе ушли в созданную Отраслевую радиолабораторию передающих устройств (ОРПУ) Минца часть специалистов, занимавшихся передатчиками KB– и УКВ-диапазонов (15736).</w:t>
      </w:r>
    </w:p>
    <w:p w14:paraId="42522F59" w14:textId="77777777" w:rsidR="00460F2B" w:rsidRPr="0044524F" w:rsidRDefault="00460F2B" w:rsidP="009654CF">
      <w:pPr>
        <w:pStyle w:val="ae"/>
        <w:spacing w:before="0" w:after="0"/>
        <w:jc w:val="both"/>
        <w:rPr>
          <w:color w:val="000000" w:themeColor="text1"/>
          <w:sz w:val="16"/>
          <w:szCs w:val="16"/>
        </w:rPr>
      </w:pPr>
    </w:p>
    <w:p w14:paraId="65EF30A9" w14:textId="77777777" w:rsidR="00095B9C" w:rsidRPr="0044524F" w:rsidRDefault="00095B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января 1933 г. вышел ПРИКАЗ УММ О ВЫРАБОТКЕ СИСТЕМЫ ИСПОЛЬЗОВАНИЯ РАЗВЕДЫВАТЕЛЬНЫХ МАТЕРИАЛОВ</w:t>
      </w:r>
    </w:p>
    <w:p w14:paraId="242AC09A" w14:textId="77777777" w:rsidR="00095B9C" w:rsidRPr="0044524F" w:rsidRDefault="00095B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172B9B6E" w14:textId="77777777" w:rsidR="00095B9C" w:rsidRPr="0044524F" w:rsidRDefault="00095B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Москва</w:t>
      </w:r>
    </w:p>
    <w:p w14:paraId="7EF6895F" w14:textId="77777777" w:rsidR="00095B9C" w:rsidRPr="0044524F" w:rsidRDefault="00095B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проверки использования разведывательных материалов, поступающих от 4 управления и других источников по вопросам техники и тактики мотомехвойск и выработки дальнейшего плана и системы использования этих материалов во всех управлениях УММ - назначаю комиссию в составе: тт. Кучинского, Ратнева и Рожкова, под руководством т. Кучинского и от 4 управления.</w:t>
      </w:r>
    </w:p>
    <w:p w14:paraId="53010D7A" w14:textId="77777777" w:rsidR="00095B9C" w:rsidRPr="0044524F" w:rsidRDefault="00095B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Комиссии закончить работу к 9 января 1933 г. и представить мне свое заключение.</w:t>
      </w:r>
    </w:p>
    <w:p w14:paraId="6A6EE6D9" w14:textId="77777777" w:rsidR="00095B9C" w:rsidRPr="0044524F" w:rsidRDefault="00095B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Поверку произвести во всех управлениях УММ.</w:t>
      </w:r>
    </w:p>
    <w:p w14:paraId="3B9AF164" w14:textId="77777777" w:rsidR="00095B9C" w:rsidRPr="0044524F" w:rsidRDefault="00095B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Заместитель начальника УММ РККА</w:t>
      </w:r>
    </w:p>
    <w:p w14:paraId="422B6C02" w14:textId="77777777" w:rsidR="00095B9C" w:rsidRPr="0044524F" w:rsidRDefault="00095B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Грязное</w:t>
      </w:r>
    </w:p>
    <w:p w14:paraId="16DB6B09"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РГВА. Ф. 31811. Оп. 4. Д. 2. Л. 6. Подлинник (11210).</w:t>
      </w:r>
    </w:p>
    <w:p w14:paraId="7AA5F7BB" w14:textId="77777777" w:rsidR="00095B9C" w:rsidRPr="0044524F" w:rsidRDefault="00095B9C" w:rsidP="009654CF">
      <w:pPr>
        <w:pStyle w:val="af2"/>
        <w:jc w:val="both"/>
        <w:rPr>
          <w:i w:val="0"/>
          <w:iCs w:val="0"/>
          <w:color w:val="000000" w:themeColor="text1"/>
          <w:spacing w:val="0"/>
          <w:kern w:val="0"/>
          <w:position w:val="0"/>
          <w:sz w:val="16"/>
          <w:szCs w:val="16"/>
          <w:lang w:val="ru-RU"/>
        </w:rPr>
      </w:pPr>
    </w:p>
    <w:p w14:paraId="4C1DBB5E"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BA9D77F"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2DBCEE8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января 1933 СССР повторно предложил Японии подписать пакт о ненападении (3186).</w:t>
      </w:r>
    </w:p>
    <w:p w14:paraId="44170D74"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436BEA44"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E07055A"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0F6D81ED" w14:textId="77777777" w:rsidR="00EB57C4" w:rsidRPr="0044524F" w:rsidRDefault="00EB57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января 1931 - Близ г. Атлантик-Сити (штат Нью-Джерси, США) состоялся полет самолета, оснащенного 12-ю небольшими ракетными ускорителями. Во время полета самолет пилотировал летчик Уильям Свен (William Swan) (22680).</w:t>
      </w:r>
    </w:p>
    <w:p w14:paraId="771E0E80" w14:textId="77777777" w:rsidR="00EB57C4" w:rsidRPr="0044524F" w:rsidRDefault="00EB57C4" w:rsidP="009654CF">
      <w:pPr>
        <w:spacing w:after="0" w:line="240" w:lineRule="auto"/>
        <w:jc w:val="both"/>
        <w:rPr>
          <w:rFonts w:ascii="Times New Roman" w:hAnsi="Times New Roman"/>
          <w:color w:val="000000" w:themeColor="text1"/>
          <w:sz w:val="16"/>
          <w:szCs w:val="16"/>
        </w:rPr>
      </w:pPr>
    </w:p>
    <w:p w14:paraId="0E650E9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января 1933 на совещании германских монополистов было принято решение о немедленном установлении в Германии фашистской диктатуры (3186).</w:t>
      </w:r>
    </w:p>
    <w:p w14:paraId="55ED4F82"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0C0FFEDA" w14:textId="77777777" w:rsidR="00460F2B" w:rsidRPr="0044524F" w:rsidRDefault="00460F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4 января</w:t>
      </w:r>
      <w:r w:rsidRPr="0044524F">
        <w:rPr>
          <w:rFonts w:ascii="Times New Roman" w:hAnsi="Times New Roman"/>
          <w:color w:val="000000" w:themeColor="text1"/>
          <w:sz w:val="16"/>
          <w:szCs w:val="16"/>
        </w:rPr>
        <w:t xml:space="preserve"> в 1933 году а загородной вилле банкира Шредера, вблизи Кельна, проводится совещание крупных германских промышленников и банкиров с участием Гитлера и бывшего канцлера фон Папена, на котором принимается решение о передаче власти лидеру нацистов (14999).</w:t>
      </w:r>
    </w:p>
    <w:p w14:paraId="5CB0B5C1" w14:textId="77777777" w:rsidR="00460F2B" w:rsidRPr="0044524F" w:rsidRDefault="00460F2B" w:rsidP="009654CF">
      <w:pPr>
        <w:spacing w:after="0" w:line="240" w:lineRule="auto"/>
        <w:jc w:val="both"/>
        <w:rPr>
          <w:rFonts w:ascii="Times New Roman" w:hAnsi="Times New Roman"/>
          <w:color w:val="000000" w:themeColor="text1"/>
          <w:sz w:val="16"/>
          <w:szCs w:val="16"/>
        </w:rPr>
      </w:pPr>
    </w:p>
    <w:p w14:paraId="02398EAD"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52322FD"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6002413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января 1933 года вышел приказ № 491/391 по Гидрометкомитету</w:t>
      </w:r>
    </w:p>
    <w:p w14:paraId="518BDA5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постановления Комитета по воздушным экспедициям и перелетам при ГУГВФ от 29 декабря 1932 года в период с 10 февраля по 25 февраля 1933 года будет проведен опытный перелет на машине П-5 по трассе Москва - Петропавловск на Камчатке – Москва.</w:t>
      </w:r>
    </w:p>
    <w:p w14:paraId="7D43A71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будет производиться в течение круглых суток.</w:t>
      </w:r>
    </w:p>
    <w:p w14:paraId="276D669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перелета:</w:t>
      </w:r>
    </w:p>
    <w:p w14:paraId="2B05448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самолета и мотора.</w:t>
      </w:r>
    </w:p>
    <w:p w14:paraId="04221C0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Готовность несменного летного состава к проведению дальних перелетов.</w:t>
      </w:r>
    </w:p>
    <w:p w14:paraId="2B99E22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Установление перелета в наикратчайший срок.</w:t>
      </w:r>
    </w:p>
    <w:p w14:paraId="4984DE8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Демонстрация советских достижений для использования их в дальнейшем в регулярной работе воздухолиний.</w:t>
      </w:r>
    </w:p>
    <w:p w14:paraId="095AF43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Плановые посадки самолетов в пунктах: Омск, Иркутск, Хабаровск, Николаевск и Петропавловск.</w:t>
      </w:r>
    </w:p>
    <w:p w14:paraId="015864F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под начальством пилота Водопьянова вылетает из Москвы 10 февраля 1933 года в 1 час утра (7737, 65-68).</w:t>
      </w:r>
    </w:p>
    <w:p w14:paraId="3724F513"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1FDAA1F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января 1933 года зам. Наркомтяжпрома и начальник Глававиапрома Баранов писал письмо в СТО Молотову</w:t>
      </w:r>
    </w:p>
    <w:p w14:paraId="21851BD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представляю количественные итоги работы авиационной промышленности за 1932 год.</w:t>
      </w:r>
    </w:p>
    <w:p w14:paraId="0A88B72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сдано потребителям в 1932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1029"/>
        <w:gridCol w:w="992"/>
      </w:tblGrid>
      <w:tr w:rsidR="004E10C1" w:rsidRPr="0044524F" w14:paraId="16D70DE2" w14:textId="77777777">
        <w:tc>
          <w:tcPr>
            <w:tcW w:w="3757" w:type="dxa"/>
          </w:tcPr>
          <w:p w14:paraId="39E83787"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029" w:type="dxa"/>
          </w:tcPr>
          <w:p w14:paraId="1CA70B6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992" w:type="dxa"/>
          </w:tcPr>
          <w:p w14:paraId="4F6CAA8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c>
      </w:tr>
      <w:tr w:rsidR="004E10C1" w:rsidRPr="0044524F" w14:paraId="34982C0D" w14:textId="77777777">
        <w:tc>
          <w:tcPr>
            <w:tcW w:w="3757" w:type="dxa"/>
          </w:tcPr>
          <w:p w14:paraId="533C4ED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Вполне кондиционных </w:t>
            </w:r>
          </w:p>
        </w:tc>
        <w:tc>
          <w:tcPr>
            <w:tcW w:w="1029" w:type="dxa"/>
          </w:tcPr>
          <w:p w14:paraId="4BA9BA1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4567</w:t>
            </w:r>
          </w:p>
        </w:tc>
        <w:tc>
          <w:tcPr>
            <w:tcW w:w="992" w:type="dxa"/>
          </w:tcPr>
          <w:p w14:paraId="4953F2D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2487</w:t>
            </w:r>
          </w:p>
        </w:tc>
      </w:tr>
      <w:tr w:rsidR="004E10C1" w:rsidRPr="0044524F" w14:paraId="7D637829" w14:textId="77777777">
        <w:tc>
          <w:tcPr>
            <w:tcW w:w="3757" w:type="dxa"/>
          </w:tcPr>
          <w:p w14:paraId="4CDEB18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пониженной кондицией</w:t>
            </w:r>
          </w:p>
        </w:tc>
        <w:tc>
          <w:tcPr>
            <w:tcW w:w="1029" w:type="dxa"/>
          </w:tcPr>
          <w:p w14:paraId="164E95B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c>
          <w:tcPr>
            <w:tcW w:w="992" w:type="dxa"/>
          </w:tcPr>
          <w:p w14:paraId="5FD1598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C5191B2" w14:textId="77777777">
        <w:tc>
          <w:tcPr>
            <w:tcW w:w="3757" w:type="dxa"/>
          </w:tcPr>
          <w:p w14:paraId="6C05B5F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Учебных и макетов (в полном снаряжении)</w:t>
            </w:r>
          </w:p>
        </w:tc>
        <w:tc>
          <w:tcPr>
            <w:tcW w:w="1029" w:type="dxa"/>
          </w:tcPr>
          <w:p w14:paraId="3223260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c>
          <w:tcPr>
            <w:tcW w:w="992" w:type="dxa"/>
          </w:tcPr>
          <w:p w14:paraId="09772E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6D87EAA" w14:textId="77777777">
        <w:tc>
          <w:tcPr>
            <w:tcW w:w="3757" w:type="dxa"/>
          </w:tcPr>
          <w:p w14:paraId="204F3CF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сдано</w:t>
            </w:r>
          </w:p>
        </w:tc>
        <w:tc>
          <w:tcPr>
            <w:tcW w:w="1029" w:type="dxa"/>
          </w:tcPr>
          <w:p w14:paraId="1AE1DD3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4918</w:t>
            </w:r>
          </w:p>
        </w:tc>
        <w:tc>
          <w:tcPr>
            <w:tcW w:w="992" w:type="dxa"/>
          </w:tcPr>
          <w:p w14:paraId="65F1586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2487</w:t>
            </w:r>
          </w:p>
        </w:tc>
      </w:tr>
      <w:tr w:rsidR="004E10C1" w:rsidRPr="0044524F" w14:paraId="3AD1BC31" w14:textId="77777777">
        <w:tc>
          <w:tcPr>
            <w:tcW w:w="3757" w:type="dxa"/>
          </w:tcPr>
          <w:p w14:paraId="6A80428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Правительственное задание</w:t>
            </w:r>
          </w:p>
        </w:tc>
        <w:tc>
          <w:tcPr>
            <w:tcW w:w="1029" w:type="dxa"/>
          </w:tcPr>
          <w:p w14:paraId="55844DB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5310</w:t>
            </w:r>
          </w:p>
        </w:tc>
        <w:tc>
          <w:tcPr>
            <w:tcW w:w="992" w:type="dxa"/>
          </w:tcPr>
          <w:p w14:paraId="4FA6532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3461</w:t>
            </w:r>
          </w:p>
        </w:tc>
      </w:tr>
      <w:tr w:rsidR="004E10C1" w:rsidRPr="0044524F" w14:paraId="7E5C0E1F" w14:textId="77777777">
        <w:tc>
          <w:tcPr>
            <w:tcW w:w="3757" w:type="dxa"/>
          </w:tcPr>
          <w:p w14:paraId="1B2D6B4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в 1931 году</w:t>
            </w:r>
          </w:p>
        </w:tc>
        <w:tc>
          <w:tcPr>
            <w:tcW w:w="1029" w:type="dxa"/>
          </w:tcPr>
          <w:p w14:paraId="38798DF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1640</w:t>
            </w:r>
          </w:p>
        </w:tc>
        <w:tc>
          <w:tcPr>
            <w:tcW w:w="992" w:type="dxa"/>
          </w:tcPr>
          <w:p w14:paraId="2A46EF6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1489</w:t>
            </w:r>
          </w:p>
        </w:tc>
      </w:tr>
      <w:tr w:rsidR="004E10C1" w:rsidRPr="0044524F" w14:paraId="3AFD6D7B" w14:textId="77777777">
        <w:tc>
          <w:tcPr>
            <w:tcW w:w="3757" w:type="dxa"/>
          </w:tcPr>
          <w:p w14:paraId="2C96C03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Рост выпуска по количеству единиц в сравнении с прошлым годом составляет</w:t>
            </w:r>
          </w:p>
        </w:tc>
        <w:tc>
          <w:tcPr>
            <w:tcW w:w="1029" w:type="dxa"/>
          </w:tcPr>
          <w:p w14:paraId="2E57ADE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992" w:type="dxa"/>
          </w:tcPr>
          <w:p w14:paraId="74B7672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w:t>
            </w:r>
          </w:p>
        </w:tc>
      </w:tr>
      <w:tr w:rsidR="004E10C1" w:rsidRPr="0044524F" w14:paraId="42F8A5D6" w14:textId="77777777">
        <w:tc>
          <w:tcPr>
            <w:tcW w:w="3757" w:type="dxa"/>
          </w:tcPr>
          <w:p w14:paraId="275DDC9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План в целом по количеству единиц исполнен на </w:t>
            </w:r>
          </w:p>
        </w:tc>
        <w:tc>
          <w:tcPr>
            <w:tcW w:w="1029" w:type="dxa"/>
          </w:tcPr>
          <w:p w14:paraId="56E3EBE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92,6%</w:t>
            </w:r>
          </w:p>
        </w:tc>
        <w:tc>
          <w:tcPr>
            <w:tcW w:w="992" w:type="dxa"/>
          </w:tcPr>
          <w:p w14:paraId="00DD404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71,9%</w:t>
            </w:r>
          </w:p>
        </w:tc>
      </w:tr>
      <w:tr w:rsidR="004E10C1" w:rsidRPr="0044524F" w14:paraId="5446BBBE" w14:textId="77777777">
        <w:tc>
          <w:tcPr>
            <w:tcW w:w="3757" w:type="dxa"/>
          </w:tcPr>
          <w:p w14:paraId="57FED0B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них по кондиционным моторам на</w:t>
            </w:r>
          </w:p>
        </w:tc>
        <w:tc>
          <w:tcPr>
            <w:tcW w:w="1029" w:type="dxa"/>
          </w:tcPr>
          <w:p w14:paraId="659AF1B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992" w:type="dxa"/>
          </w:tcPr>
          <w:p w14:paraId="0437305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bl>
    <w:p w14:paraId="389D5A1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отметить повышение трудоемкости в изготовлении выпущенных самолетов за счет утяжеления типов.</w:t>
      </w:r>
    </w:p>
    <w:p w14:paraId="0795033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Общий недодел правительственного задания составляет: по моторам – 392 единицы, почти целиком за счет М-34 и по самолетам – 974 единицы, преимущественно за счет новых типов и новых заводов.</w:t>
      </w:r>
    </w:p>
    <w:p w14:paraId="7AA8071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производя оценки вышеприведенных итогов исполнения правительственного задания по выпуску самолетов и моторов, а также достигнутого роста производства, считаю необходимым остановить Ваше внимание на отдельных важнейших моментах и главным образом затруднения в работе авиационной промышленности в истекшем году.</w:t>
      </w:r>
    </w:p>
    <w:p w14:paraId="1B245E6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моторостроению.</w:t>
      </w:r>
    </w:p>
    <w:p w14:paraId="5D46BB62" w14:textId="77777777" w:rsidR="00095B9C" w:rsidRPr="0044524F" w:rsidRDefault="00095B9C" w:rsidP="009654CF">
      <w:pPr>
        <w:numPr>
          <w:ilvl w:val="0"/>
          <w:numId w:val="1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Главнейшей задачей являлось освоение и внедрение в серийное производство на заводе № 24 нового типа мотора М-34.</w:t>
      </w:r>
    </w:p>
    <w:p w14:paraId="7D8F854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 задача полностью разрешена выпуском в истекшем декабре 45 моторов при плановом задании на этот месяц 55 единиц.</w:t>
      </w:r>
    </w:p>
    <w:p w14:paraId="05F7E29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 трудностей как конструктивного, так и технологического порядка, во многих случаях неопределенные – привели к неисполнению годового задания по выпуску этого мотора.</w:t>
      </w:r>
    </w:p>
    <w:p w14:paraId="11BD45F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внедрения мотора в производство оказалось необходимым внести свыше 1500 различных конструктивных изменений. На сегодня остается еще к разрешению ряд конструктивных и технологических вопросов (конструкция шатунов, система распределения, бензопомпа и др.), однако серийное производство возможно считать освоенным.</w:t>
      </w:r>
    </w:p>
    <w:p w14:paraId="2532505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Завод осваиваясь с весьма сложной технологией производства этого мотора постепенно выходит на комплектную работу, что должно обеспечить бесперебойность дальнейшего производства.</w:t>
      </w:r>
    </w:p>
    <w:p w14:paraId="16415FF2" w14:textId="77777777" w:rsidR="00095B9C" w:rsidRPr="0044524F" w:rsidRDefault="00095B9C" w:rsidP="009654CF">
      <w:pPr>
        <w:numPr>
          <w:ilvl w:val="0"/>
          <w:numId w:val="1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выпуска моторов М-17 на заводе № 26 почти втрое против предыдущего года потребовало значительного расширения рабочего персонала завода, что понизило среднюю степень квалификации. С другой стороны сосредоточение внимания на значительном огромном количественном росте производства ослабило роль качества в производстве.</w:t>
      </w:r>
    </w:p>
    <w:p w14:paraId="650A72D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оказалось необходимым ужесточить требования по части качества, что на некоторое время нарушило комплектность работы завода в целом и привело к прорыву на заводе в августе и сентябре. В дальнейшем работа завода выправлена и ныне вновь достигнут равномерный выпуск, при существенно повышенном качестве, о чем свидетельствуют удовлетворительные результаты произведенного на днях испытания рядового мотора на 200 часов при существующей норме в 100.</w:t>
      </w:r>
    </w:p>
    <w:p w14:paraId="5CE3CD0F" w14:textId="77777777" w:rsidR="00095B9C" w:rsidRPr="0044524F" w:rsidRDefault="00095B9C" w:rsidP="009654CF">
      <w:pPr>
        <w:numPr>
          <w:ilvl w:val="0"/>
          <w:numId w:val="1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по выпуску моторов с воздушным охлаждением (завод № 29 – М-22 и М-11 и завод № 24 – М-15 и М-26) перевыполнена.</w:t>
      </w:r>
    </w:p>
    <w:p w14:paraId="2A3EB26F" w14:textId="77777777" w:rsidR="00095B9C" w:rsidRPr="0044524F" w:rsidRDefault="00095B9C" w:rsidP="009654CF">
      <w:pPr>
        <w:pStyle w:val="a3"/>
        <w:widowControl/>
        <w:rPr>
          <w:color w:val="000000" w:themeColor="text1"/>
          <w:lang w:val="ru-RU"/>
        </w:rPr>
      </w:pPr>
      <w:r w:rsidRPr="0044524F">
        <w:rPr>
          <w:color w:val="000000" w:themeColor="text1"/>
          <w:lang w:val="ru-RU"/>
        </w:rPr>
        <w:t>Следует отметить достигнутые результаты заводом № 29 по повышению качества выпускаемых моторов. В частности, срок гарантийности работы мотора М-22 между переборками доведен с 50 до 100 часов и по М-11 с 100 до 200 часов.</w:t>
      </w:r>
    </w:p>
    <w:p w14:paraId="42501B1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самолетостроению.</w:t>
      </w:r>
    </w:p>
    <w:p w14:paraId="162B7E1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Задачи исполнения задания по выпуску самолетов были более комбинированными, чем по моторостроению, что обусловило значительную сложность разрешения их.</w:t>
      </w:r>
    </w:p>
    <w:p w14:paraId="1D904E0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числа 9 предназначенных к действию заводов, только 2 (№ 23 и ХАЗ) были свободны от внедрения новых типов или постановки заново производства. 2 завода ввиду задержек по линии капстроительства запоздали со входом в эксплуатацию (заводы №№ 18 и 21), создав недодел программы на 276 единиц, из коих И-5 – 266 самолетов и ТБ-3 – 10 самолетов.</w:t>
      </w:r>
    </w:p>
    <w:p w14:paraId="440E6C6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Основной задачей по самолетостроению в минувшем году было:</w:t>
      </w:r>
    </w:p>
    <w:p w14:paraId="7861DA5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Освоение и внедрение в производство следующих новых типов:</w:t>
      </w:r>
    </w:p>
    <w:p w14:paraId="5D0373B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Тяжелого металлического бомбовоза – ТБ-3 одновременно на заводах №№ 29, 39 и 18.</w:t>
      </w:r>
    </w:p>
    <w:p w14:paraId="687BCBA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Смешанной конструкции со сварным фюзеляжем истребителя И-7 на заводе № 1.</w:t>
      </w:r>
    </w:p>
    <w:p w14:paraId="70400B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гидросамолета (лодки) С-62 на заводе № 31 при одновременном внедрении на том же заводе легкой амфибии – АШ и снятых с производства завода № 22 металлических машин Р-6 и АНТ-9.</w:t>
      </w:r>
    </w:p>
    <w:p w14:paraId="64182E8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на заводе предстояла подготовка производства с выпуском 2-х головных машин металлического гидросамолета (лодки) МДР-3.</w:t>
      </w:r>
    </w:p>
    <w:p w14:paraId="0EBE514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Тяжелого штурмовика (ТШ) с бронированной кабиной – на заводе № 16.</w:t>
      </w:r>
    </w:p>
    <w:p w14:paraId="3641E9C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Модифицированной модели деревянного истребителя И-5 на заводе № 21.</w:t>
      </w:r>
    </w:p>
    <w:p w14:paraId="19B1C22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разрешении этих задач пришлось столкнуться со следующими трудностями.</w:t>
      </w:r>
    </w:p>
    <w:p w14:paraId="5372CDC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ТБ-3 – помимо естественных трудностей внедрения нового типа самолета весьма сложной конструкции задержки имели место по линии окончательного выбора типа и конструкций вооружения, что значительно задержало утверждение эталона для производства и привело к необходимости разных переделок и перемонтажа вооружения уже законченных машин. Завод № 22 полностью справился с освоением этой машины, однако задержки в начальном периоде производства не позволили ему достигнуть намеченных темпов (40 машин в месяц). Запоздание окончания капстроительства в свою очередь лимитирует повышение масштаба производства свыше 30 машин в месяц.</w:t>
      </w:r>
    </w:p>
    <w:p w14:paraId="764D232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31 недостаточность площадей и слабая подготовленность к производству обусловили недодел 35 машин из задания в 40.</w:t>
      </w:r>
    </w:p>
    <w:p w14:paraId="084B9E6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Запоздание ввода в эксплуатацию завода 3 18 не позволило развернуть на нем производство до стадии выпуска машин. Следует отметить трудности пускового периода на этом заводе. В настоящее время завод еще не в состоянии работать комплектно, хотя и располагает заделом для ровной работы на протяжении будущего года.</w:t>
      </w:r>
    </w:p>
    <w:p w14:paraId="58080D6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И-7 – причинами недодела по этой машине является слабость подготовки производства и задержки поставок импортных тонкостенных труб для каркаса фюзеляжа.</w:t>
      </w:r>
    </w:p>
    <w:p w14:paraId="47F75FF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ТШ – конструкция самолета не оправдала надежд, оказавшись весьма перетяжеленной. Решением Правительства самолет снят с производства.</w:t>
      </w:r>
    </w:p>
    <w:p w14:paraId="782A6DD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С-62, АШ, Р-6 и АНТ-9 – все эти типы, из которых первые 2 являются конструктивно новыми и 2 последних конструктивно освоенные, но внедряемые на заводе № 31 впервые, имеют общей причиной недодела то обстоятельство, что справиться с одновременным внедрением 4 типов оказалось непосильной задачей для одного завода. Кроме того, по С-62 запоздали чертежи, приобретенные в Италии и первые серии машин пришлось запускать в производство по образцу, летное качество которого в условиях нашей эксплуатации были недостаточно выяснены. В процессе производимых испытаний заказчиком вносились многочисленные изменения в образец, вызывавшие необходимость серьезных переделок (усиление шпангоутов уже изготовленных лодок и т.п.). Потеря времени привела к недоделу 36 самолетов из 65 заданных.</w:t>
      </w:r>
    </w:p>
    <w:p w14:paraId="0EC581E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Трудности освоения С-62 поглотили внимание завода и не позволили развернуть производства по АШ.</w:t>
      </w:r>
    </w:p>
    <w:p w14:paraId="4A15C48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основном по причине перегруженности завода типами и полного отсутствия у заводского персонала опыта по металлическому самолетостроению задержалась также и наладка производства Р6 и АНТ-9.</w:t>
      </w:r>
    </w:p>
    <w:p w14:paraId="4022273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Р-5 – выпуск этой машины увеличенный в 2,7 раза против 1931 года, однако достигнуть выпуска в пределах задания не удалось, гл. образом по причине задержки перехода завода на новую иерриторию (опоздание капстроительства) и недоукомплектованности оборудованием.</w:t>
      </w:r>
    </w:p>
    <w:p w14:paraId="7946780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К-5 – глубокий прорыв на ХАЗ, явившийся следствием конструктивных недостатков машины обусловил исполнение программы только на 48,7% (недодел 77 машин).</w:t>
      </w:r>
    </w:p>
    <w:p w14:paraId="1F78E1E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У-2 – по учебным самолетам и аэропланам задание перевыполнено совокупно на 7,5% или на 78 единиц (3530,59-64).</w:t>
      </w:r>
    </w:p>
    <w:p w14:paraId="7B7FC19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правительственного плана по моторам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14"/>
        <w:gridCol w:w="704"/>
        <w:gridCol w:w="709"/>
        <w:gridCol w:w="709"/>
        <w:gridCol w:w="708"/>
        <w:gridCol w:w="709"/>
        <w:gridCol w:w="709"/>
        <w:gridCol w:w="709"/>
        <w:gridCol w:w="708"/>
        <w:gridCol w:w="709"/>
        <w:gridCol w:w="709"/>
        <w:gridCol w:w="850"/>
      </w:tblGrid>
      <w:tr w:rsidR="004E10C1" w:rsidRPr="0044524F" w14:paraId="54669C3B" w14:textId="77777777">
        <w:tc>
          <w:tcPr>
            <w:tcW w:w="1814" w:type="dxa"/>
          </w:tcPr>
          <w:p w14:paraId="6F33D503"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704" w:type="dxa"/>
          </w:tcPr>
          <w:p w14:paraId="327FD5C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М-15</w:t>
            </w:r>
          </w:p>
        </w:tc>
        <w:tc>
          <w:tcPr>
            <w:tcW w:w="709" w:type="dxa"/>
          </w:tcPr>
          <w:p w14:paraId="6D39906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М-26</w:t>
            </w:r>
          </w:p>
        </w:tc>
        <w:tc>
          <w:tcPr>
            <w:tcW w:w="709" w:type="dxa"/>
          </w:tcPr>
          <w:p w14:paraId="5465C07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708" w:type="dxa"/>
          </w:tcPr>
          <w:p w14:paraId="5E94A72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 моторы</w:t>
            </w:r>
          </w:p>
        </w:tc>
        <w:tc>
          <w:tcPr>
            <w:tcW w:w="709" w:type="dxa"/>
          </w:tcPr>
          <w:p w14:paraId="07DDB04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моторов завода № 24</w:t>
            </w:r>
          </w:p>
        </w:tc>
        <w:tc>
          <w:tcPr>
            <w:tcW w:w="709" w:type="dxa"/>
          </w:tcPr>
          <w:p w14:paraId="5EBF77B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 (завод № 26)</w:t>
            </w:r>
          </w:p>
        </w:tc>
        <w:tc>
          <w:tcPr>
            <w:tcW w:w="709" w:type="dxa"/>
          </w:tcPr>
          <w:p w14:paraId="726099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 (завод № 29)</w:t>
            </w:r>
          </w:p>
        </w:tc>
        <w:tc>
          <w:tcPr>
            <w:tcW w:w="708" w:type="dxa"/>
          </w:tcPr>
          <w:p w14:paraId="7EFFADE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 (завод № 29)</w:t>
            </w:r>
          </w:p>
        </w:tc>
        <w:tc>
          <w:tcPr>
            <w:tcW w:w="709" w:type="dxa"/>
          </w:tcPr>
          <w:p w14:paraId="31BFB65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 моторы</w:t>
            </w:r>
          </w:p>
        </w:tc>
        <w:tc>
          <w:tcPr>
            <w:tcW w:w="709" w:type="dxa"/>
          </w:tcPr>
          <w:p w14:paraId="22C3C4D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моторов</w:t>
            </w:r>
          </w:p>
        </w:tc>
        <w:tc>
          <w:tcPr>
            <w:tcW w:w="850" w:type="dxa"/>
          </w:tcPr>
          <w:p w14:paraId="4B63F2C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моторов</w:t>
            </w:r>
          </w:p>
        </w:tc>
      </w:tr>
      <w:tr w:rsidR="004E10C1" w:rsidRPr="0044524F" w14:paraId="4A6536B4" w14:textId="77777777">
        <w:tc>
          <w:tcPr>
            <w:tcW w:w="1814" w:type="dxa"/>
          </w:tcPr>
          <w:p w14:paraId="7F8463A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Годовой план</w:t>
            </w:r>
          </w:p>
        </w:tc>
        <w:tc>
          <w:tcPr>
            <w:tcW w:w="704" w:type="dxa"/>
          </w:tcPr>
          <w:p w14:paraId="14EF6D1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211</w:t>
            </w:r>
          </w:p>
        </w:tc>
        <w:tc>
          <w:tcPr>
            <w:tcW w:w="709" w:type="dxa"/>
          </w:tcPr>
          <w:p w14:paraId="40399F9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324</w:t>
            </w:r>
          </w:p>
        </w:tc>
        <w:tc>
          <w:tcPr>
            <w:tcW w:w="709" w:type="dxa"/>
          </w:tcPr>
          <w:p w14:paraId="7DAD3F1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708" w:type="dxa"/>
          </w:tcPr>
          <w:p w14:paraId="7A598B1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583A3E2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935</w:t>
            </w:r>
          </w:p>
        </w:tc>
        <w:tc>
          <w:tcPr>
            <w:tcW w:w="709" w:type="dxa"/>
          </w:tcPr>
          <w:p w14:paraId="4D6E888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2250</w:t>
            </w:r>
          </w:p>
        </w:tc>
        <w:tc>
          <w:tcPr>
            <w:tcW w:w="709" w:type="dxa"/>
          </w:tcPr>
          <w:p w14:paraId="2478654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1755</w:t>
            </w:r>
          </w:p>
        </w:tc>
        <w:tc>
          <w:tcPr>
            <w:tcW w:w="708" w:type="dxa"/>
          </w:tcPr>
          <w:p w14:paraId="39D2448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w:t>
            </w:r>
          </w:p>
        </w:tc>
        <w:tc>
          <w:tcPr>
            <w:tcW w:w="709" w:type="dxa"/>
          </w:tcPr>
          <w:p w14:paraId="529B28C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25778C2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2125</w:t>
            </w:r>
          </w:p>
        </w:tc>
        <w:tc>
          <w:tcPr>
            <w:tcW w:w="850" w:type="dxa"/>
          </w:tcPr>
          <w:p w14:paraId="76482F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5310</w:t>
            </w:r>
          </w:p>
        </w:tc>
      </w:tr>
      <w:tr w:rsidR="004E10C1" w:rsidRPr="0044524F" w14:paraId="0B798C9F" w14:textId="77777777">
        <w:tc>
          <w:tcPr>
            <w:tcW w:w="1814" w:type="dxa"/>
          </w:tcPr>
          <w:p w14:paraId="27F069B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в I квартале</w:t>
            </w:r>
          </w:p>
        </w:tc>
        <w:tc>
          <w:tcPr>
            <w:tcW w:w="704" w:type="dxa"/>
          </w:tcPr>
          <w:p w14:paraId="4D15430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w:t>
            </w:r>
          </w:p>
        </w:tc>
        <w:tc>
          <w:tcPr>
            <w:tcW w:w="709" w:type="dxa"/>
          </w:tcPr>
          <w:p w14:paraId="43B9A62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w:t>
            </w:r>
          </w:p>
        </w:tc>
        <w:tc>
          <w:tcPr>
            <w:tcW w:w="709" w:type="dxa"/>
          </w:tcPr>
          <w:p w14:paraId="4427357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8" w:type="dxa"/>
          </w:tcPr>
          <w:p w14:paraId="2F3B5B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1343F9F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153</w:t>
            </w:r>
          </w:p>
        </w:tc>
        <w:tc>
          <w:tcPr>
            <w:tcW w:w="709" w:type="dxa"/>
          </w:tcPr>
          <w:p w14:paraId="31D9F79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485</w:t>
            </w:r>
          </w:p>
        </w:tc>
        <w:tc>
          <w:tcPr>
            <w:tcW w:w="709" w:type="dxa"/>
          </w:tcPr>
          <w:p w14:paraId="11FB1FF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388</w:t>
            </w:r>
          </w:p>
        </w:tc>
        <w:tc>
          <w:tcPr>
            <w:tcW w:w="708" w:type="dxa"/>
          </w:tcPr>
          <w:p w14:paraId="6A04FEB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w:t>
            </w:r>
          </w:p>
        </w:tc>
        <w:tc>
          <w:tcPr>
            <w:tcW w:w="709" w:type="dxa"/>
          </w:tcPr>
          <w:p w14:paraId="5CADC6F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11B5F86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461</w:t>
            </w:r>
          </w:p>
        </w:tc>
        <w:tc>
          <w:tcPr>
            <w:tcW w:w="850" w:type="dxa"/>
          </w:tcPr>
          <w:p w14:paraId="0D081E2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1099</w:t>
            </w:r>
          </w:p>
        </w:tc>
      </w:tr>
      <w:tr w:rsidR="004E10C1" w:rsidRPr="0044524F" w14:paraId="0A8C4AE7" w14:textId="77777777">
        <w:tc>
          <w:tcPr>
            <w:tcW w:w="1814" w:type="dxa"/>
          </w:tcPr>
          <w:p w14:paraId="51146A0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во II квартале</w:t>
            </w:r>
          </w:p>
        </w:tc>
        <w:tc>
          <w:tcPr>
            <w:tcW w:w="704" w:type="dxa"/>
          </w:tcPr>
          <w:p w14:paraId="1735811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w:t>
            </w:r>
          </w:p>
        </w:tc>
        <w:tc>
          <w:tcPr>
            <w:tcW w:w="709" w:type="dxa"/>
          </w:tcPr>
          <w:p w14:paraId="7AA524D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w:t>
            </w:r>
          </w:p>
        </w:tc>
        <w:tc>
          <w:tcPr>
            <w:tcW w:w="709" w:type="dxa"/>
          </w:tcPr>
          <w:p w14:paraId="2C82563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708" w:type="dxa"/>
          </w:tcPr>
          <w:p w14:paraId="1F336D2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12EF48D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288</w:t>
            </w:r>
          </w:p>
        </w:tc>
        <w:tc>
          <w:tcPr>
            <w:tcW w:w="709" w:type="dxa"/>
          </w:tcPr>
          <w:p w14:paraId="00CA012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515</w:t>
            </w:r>
          </w:p>
        </w:tc>
        <w:tc>
          <w:tcPr>
            <w:tcW w:w="709" w:type="dxa"/>
          </w:tcPr>
          <w:p w14:paraId="609AEC9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399</w:t>
            </w:r>
          </w:p>
        </w:tc>
        <w:tc>
          <w:tcPr>
            <w:tcW w:w="708" w:type="dxa"/>
          </w:tcPr>
          <w:p w14:paraId="32742CC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w:t>
            </w:r>
          </w:p>
        </w:tc>
        <w:tc>
          <w:tcPr>
            <w:tcW w:w="709" w:type="dxa"/>
          </w:tcPr>
          <w:p w14:paraId="2DE5FF1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6B7815C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495</w:t>
            </w:r>
          </w:p>
        </w:tc>
        <w:tc>
          <w:tcPr>
            <w:tcW w:w="850" w:type="dxa"/>
          </w:tcPr>
          <w:p w14:paraId="78E8803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1298</w:t>
            </w:r>
          </w:p>
        </w:tc>
      </w:tr>
      <w:tr w:rsidR="004E10C1" w:rsidRPr="0044524F" w14:paraId="443A955D" w14:textId="77777777">
        <w:tc>
          <w:tcPr>
            <w:tcW w:w="1814" w:type="dxa"/>
          </w:tcPr>
          <w:p w14:paraId="43222FF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в III квартале</w:t>
            </w:r>
          </w:p>
        </w:tc>
        <w:tc>
          <w:tcPr>
            <w:tcW w:w="704" w:type="dxa"/>
          </w:tcPr>
          <w:p w14:paraId="1196415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w:t>
            </w:r>
          </w:p>
        </w:tc>
        <w:tc>
          <w:tcPr>
            <w:tcW w:w="709" w:type="dxa"/>
          </w:tcPr>
          <w:p w14:paraId="4C54713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709" w:type="dxa"/>
          </w:tcPr>
          <w:p w14:paraId="5E87BB3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708" w:type="dxa"/>
          </w:tcPr>
          <w:p w14:paraId="1827342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3309AFD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w:t>
            </w:r>
          </w:p>
        </w:tc>
        <w:tc>
          <w:tcPr>
            <w:tcW w:w="709" w:type="dxa"/>
          </w:tcPr>
          <w:p w14:paraId="15AA960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w:t>
            </w:r>
          </w:p>
        </w:tc>
        <w:tc>
          <w:tcPr>
            <w:tcW w:w="709" w:type="dxa"/>
          </w:tcPr>
          <w:p w14:paraId="4C497D3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374</w:t>
            </w:r>
          </w:p>
        </w:tc>
        <w:tc>
          <w:tcPr>
            <w:tcW w:w="708" w:type="dxa"/>
          </w:tcPr>
          <w:p w14:paraId="3A56043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w:t>
            </w:r>
          </w:p>
        </w:tc>
        <w:tc>
          <w:tcPr>
            <w:tcW w:w="709" w:type="dxa"/>
          </w:tcPr>
          <w:p w14:paraId="10EDA72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08313FF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462</w:t>
            </w:r>
          </w:p>
        </w:tc>
        <w:tc>
          <w:tcPr>
            <w:tcW w:w="850" w:type="dxa"/>
          </w:tcPr>
          <w:p w14:paraId="6470535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765</w:t>
            </w:r>
          </w:p>
        </w:tc>
      </w:tr>
      <w:tr w:rsidR="004E10C1" w:rsidRPr="0044524F" w14:paraId="4AFFE6A1" w14:textId="77777777">
        <w:tc>
          <w:tcPr>
            <w:tcW w:w="1814" w:type="dxa"/>
          </w:tcPr>
          <w:p w14:paraId="1680D95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в IV квартале</w:t>
            </w:r>
          </w:p>
        </w:tc>
        <w:tc>
          <w:tcPr>
            <w:tcW w:w="704" w:type="dxa"/>
          </w:tcPr>
          <w:p w14:paraId="681DCBA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5A1B57C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660271E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w:t>
            </w:r>
          </w:p>
        </w:tc>
        <w:tc>
          <w:tcPr>
            <w:tcW w:w="708" w:type="dxa"/>
          </w:tcPr>
          <w:p w14:paraId="06D7E51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709" w:type="dxa"/>
          </w:tcPr>
          <w:p w14:paraId="237C4BB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w:t>
            </w:r>
          </w:p>
        </w:tc>
        <w:tc>
          <w:tcPr>
            <w:tcW w:w="709" w:type="dxa"/>
          </w:tcPr>
          <w:p w14:paraId="72728E3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681</w:t>
            </w:r>
          </w:p>
        </w:tc>
        <w:tc>
          <w:tcPr>
            <w:tcW w:w="709" w:type="dxa"/>
          </w:tcPr>
          <w:p w14:paraId="2FC5C34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511</w:t>
            </w:r>
          </w:p>
        </w:tc>
        <w:tc>
          <w:tcPr>
            <w:tcW w:w="708" w:type="dxa"/>
          </w:tcPr>
          <w:p w14:paraId="50E1F7D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w:t>
            </w:r>
          </w:p>
        </w:tc>
        <w:tc>
          <w:tcPr>
            <w:tcW w:w="709" w:type="dxa"/>
          </w:tcPr>
          <w:p w14:paraId="07ED42D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709" w:type="dxa"/>
          </w:tcPr>
          <w:p w14:paraId="342A7FE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641</w:t>
            </w:r>
          </w:p>
        </w:tc>
        <w:tc>
          <w:tcPr>
            <w:tcW w:w="850" w:type="dxa"/>
          </w:tcPr>
          <w:p w14:paraId="5D7ACC6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1403</w:t>
            </w:r>
          </w:p>
        </w:tc>
      </w:tr>
      <w:tr w:rsidR="004E10C1" w:rsidRPr="0044524F" w14:paraId="0E6E52EF" w14:textId="77777777">
        <w:tc>
          <w:tcPr>
            <w:tcW w:w="1814" w:type="dxa"/>
          </w:tcPr>
          <w:p w14:paraId="563F813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год абсолют.</w:t>
            </w:r>
          </w:p>
        </w:tc>
        <w:tc>
          <w:tcPr>
            <w:tcW w:w="704" w:type="dxa"/>
          </w:tcPr>
          <w:p w14:paraId="5D4CBC7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709" w:type="dxa"/>
          </w:tcPr>
          <w:p w14:paraId="63E74F3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709" w:type="dxa"/>
          </w:tcPr>
          <w:p w14:paraId="3BD6C1F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708" w:type="dxa"/>
          </w:tcPr>
          <w:p w14:paraId="38DC7B3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709" w:type="dxa"/>
          </w:tcPr>
          <w:p w14:paraId="7D7006A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641</w:t>
            </w:r>
          </w:p>
        </w:tc>
        <w:tc>
          <w:tcPr>
            <w:tcW w:w="709" w:type="dxa"/>
          </w:tcPr>
          <w:p w14:paraId="4DBC49C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1867</w:t>
            </w:r>
          </w:p>
        </w:tc>
        <w:tc>
          <w:tcPr>
            <w:tcW w:w="709" w:type="dxa"/>
          </w:tcPr>
          <w:p w14:paraId="4B671CC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1672</w:t>
            </w:r>
          </w:p>
        </w:tc>
        <w:tc>
          <w:tcPr>
            <w:tcW w:w="708" w:type="dxa"/>
          </w:tcPr>
          <w:p w14:paraId="4DC6DA3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385</w:t>
            </w:r>
          </w:p>
        </w:tc>
        <w:tc>
          <w:tcPr>
            <w:tcW w:w="709" w:type="dxa"/>
          </w:tcPr>
          <w:p w14:paraId="60ADB84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709" w:type="dxa"/>
          </w:tcPr>
          <w:p w14:paraId="03848A1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2059</w:t>
            </w:r>
          </w:p>
        </w:tc>
        <w:tc>
          <w:tcPr>
            <w:tcW w:w="850" w:type="dxa"/>
          </w:tcPr>
          <w:p w14:paraId="0EB3451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4567</w:t>
            </w:r>
          </w:p>
        </w:tc>
      </w:tr>
      <w:tr w:rsidR="004E10C1" w:rsidRPr="0044524F" w14:paraId="744BE232" w14:textId="77777777">
        <w:tc>
          <w:tcPr>
            <w:tcW w:w="1814" w:type="dxa"/>
          </w:tcPr>
          <w:p w14:paraId="39704A8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год в % к годовому плану</w:t>
            </w:r>
          </w:p>
        </w:tc>
        <w:tc>
          <w:tcPr>
            <w:tcW w:w="704" w:type="dxa"/>
          </w:tcPr>
          <w:p w14:paraId="23E8F81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104,2</w:t>
            </w:r>
          </w:p>
        </w:tc>
        <w:tc>
          <w:tcPr>
            <w:tcW w:w="709" w:type="dxa"/>
          </w:tcPr>
          <w:p w14:paraId="3B8331C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98,8</w:t>
            </w:r>
          </w:p>
        </w:tc>
        <w:tc>
          <w:tcPr>
            <w:tcW w:w="709" w:type="dxa"/>
          </w:tcPr>
          <w:p w14:paraId="331A40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708" w:type="dxa"/>
          </w:tcPr>
          <w:p w14:paraId="113B261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2531EC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68,5</w:t>
            </w:r>
          </w:p>
        </w:tc>
        <w:tc>
          <w:tcPr>
            <w:tcW w:w="709" w:type="dxa"/>
          </w:tcPr>
          <w:p w14:paraId="075CB60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83,0</w:t>
            </w:r>
          </w:p>
        </w:tc>
        <w:tc>
          <w:tcPr>
            <w:tcW w:w="709" w:type="dxa"/>
          </w:tcPr>
          <w:p w14:paraId="0AC096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95,3</w:t>
            </w:r>
          </w:p>
        </w:tc>
        <w:tc>
          <w:tcPr>
            <w:tcW w:w="708" w:type="dxa"/>
          </w:tcPr>
          <w:p w14:paraId="195D18F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104,0</w:t>
            </w:r>
          </w:p>
        </w:tc>
        <w:tc>
          <w:tcPr>
            <w:tcW w:w="709" w:type="dxa"/>
          </w:tcPr>
          <w:p w14:paraId="2393588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66B71D1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96,9</w:t>
            </w:r>
          </w:p>
        </w:tc>
        <w:tc>
          <w:tcPr>
            <w:tcW w:w="850" w:type="dxa"/>
          </w:tcPr>
          <w:p w14:paraId="19E4A99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86,0</w:t>
            </w:r>
          </w:p>
        </w:tc>
      </w:tr>
      <w:tr w:rsidR="004E10C1" w:rsidRPr="0044524F" w14:paraId="6671B14A" w14:textId="77777777">
        <w:tc>
          <w:tcPr>
            <w:tcW w:w="1814" w:type="dxa"/>
          </w:tcPr>
          <w:p w14:paraId="1E31832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сдано моторов с пониженной кондицией</w:t>
            </w:r>
          </w:p>
        </w:tc>
        <w:tc>
          <w:tcPr>
            <w:tcW w:w="704" w:type="dxa"/>
          </w:tcPr>
          <w:p w14:paraId="6C81A46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448D859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044BFC3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8" w:type="dxa"/>
          </w:tcPr>
          <w:p w14:paraId="72172FC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7E8FE94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71F57E3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142</w:t>
            </w:r>
          </w:p>
        </w:tc>
        <w:tc>
          <w:tcPr>
            <w:tcW w:w="709" w:type="dxa"/>
          </w:tcPr>
          <w:p w14:paraId="71F7148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w:t>
            </w:r>
          </w:p>
        </w:tc>
        <w:tc>
          <w:tcPr>
            <w:tcW w:w="708" w:type="dxa"/>
          </w:tcPr>
          <w:p w14:paraId="2EDCAE6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709" w:type="dxa"/>
          </w:tcPr>
          <w:p w14:paraId="631B9A6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34FE69D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w:t>
            </w:r>
          </w:p>
        </w:tc>
        <w:tc>
          <w:tcPr>
            <w:tcW w:w="850" w:type="dxa"/>
          </w:tcPr>
          <w:p w14:paraId="1F2EEE1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r>
      <w:tr w:rsidR="004E10C1" w:rsidRPr="0044524F" w14:paraId="3F3B7FAB" w14:textId="77777777">
        <w:tc>
          <w:tcPr>
            <w:tcW w:w="1814" w:type="dxa"/>
          </w:tcPr>
          <w:p w14:paraId="32AB4D2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сдано моторов с пониженной кондицией в %% к годовому плану</w:t>
            </w:r>
          </w:p>
        </w:tc>
        <w:tc>
          <w:tcPr>
            <w:tcW w:w="704" w:type="dxa"/>
          </w:tcPr>
          <w:p w14:paraId="70BBD93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7189CD9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4EA1820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8" w:type="dxa"/>
          </w:tcPr>
          <w:p w14:paraId="25074FB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248915C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3A14B93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w:t>
            </w:r>
          </w:p>
        </w:tc>
        <w:tc>
          <w:tcPr>
            <w:tcW w:w="709" w:type="dxa"/>
          </w:tcPr>
          <w:p w14:paraId="4812A25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708" w:type="dxa"/>
          </w:tcPr>
          <w:p w14:paraId="0DE9B26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w:t>
            </w:r>
          </w:p>
        </w:tc>
        <w:tc>
          <w:tcPr>
            <w:tcW w:w="709" w:type="dxa"/>
          </w:tcPr>
          <w:p w14:paraId="596DDD0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66C4430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c>
          <w:tcPr>
            <w:tcW w:w="850" w:type="dxa"/>
          </w:tcPr>
          <w:p w14:paraId="124D6C2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r>
      <w:tr w:rsidR="004E10C1" w:rsidRPr="0044524F" w14:paraId="389704A7" w14:textId="77777777">
        <w:tc>
          <w:tcPr>
            <w:tcW w:w="1814" w:type="dxa"/>
          </w:tcPr>
          <w:p w14:paraId="689D98F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сдано моторов учебно-неработающих и макетов</w:t>
            </w:r>
          </w:p>
        </w:tc>
        <w:tc>
          <w:tcPr>
            <w:tcW w:w="704" w:type="dxa"/>
          </w:tcPr>
          <w:p w14:paraId="010301E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6B6C7BD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3BD6E1A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8" w:type="dxa"/>
          </w:tcPr>
          <w:p w14:paraId="3D9BE29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20509EA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4FE3912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c>
          <w:tcPr>
            <w:tcW w:w="709" w:type="dxa"/>
          </w:tcPr>
          <w:p w14:paraId="6843BA1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8" w:type="dxa"/>
          </w:tcPr>
          <w:p w14:paraId="0946DE0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7EC1361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5545185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56C4023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r>
      <w:tr w:rsidR="004E10C1" w:rsidRPr="0044524F" w14:paraId="0B035F99" w14:textId="77777777">
        <w:tc>
          <w:tcPr>
            <w:tcW w:w="1814" w:type="dxa"/>
          </w:tcPr>
          <w:p w14:paraId="149A456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сдано моторов учебно-неработающих и макетов в %% к годовому</w:t>
            </w:r>
          </w:p>
        </w:tc>
        <w:tc>
          <w:tcPr>
            <w:tcW w:w="704" w:type="dxa"/>
          </w:tcPr>
          <w:p w14:paraId="7D642B0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06D3530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7425294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8" w:type="dxa"/>
          </w:tcPr>
          <w:p w14:paraId="50AC8A2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063D484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780B59A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w:t>
            </w:r>
          </w:p>
        </w:tc>
        <w:tc>
          <w:tcPr>
            <w:tcW w:w="709" w:type="dxa"/>
          </w:tcPr>
          <w:p w14:paraId="667C72C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8" w:type="dxa"/>
          </w:tcPr>
          <w:p w14:paraId="4F4B2A6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11A6BEE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44F5BB8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22289C5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r>
      <w:tr w:rsidR="004E10C1" w:rsidRPr="0044524F" w14:paraId="15A34553" w14:textId="77777777">
        <w:tc>
          <w:tcPr>
            <w:tcW w:w="1814" w:type="dxa"/>
          </w:tcPr>
          <w:p w14:paraId="1B7732D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вместе с моторами пониженной кондиции и макетами за год</w:t>
            </w:r>
          </w:p>
        </w:tc>
        <w:tc>
          <w:tcPr>
            <w:tcW w:w="704" w:type="dxa"/>
          </w:tcPr>
          <w:p w14:paraId="46E56BA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709" w:type="dxa"/>
          </w:tcPr>
          <w:p w14:paraId="6A5F6C1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709" w:type="dxa"/>
          </w:tcPr>
          <w:p w14:paraId="69C35FD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708" w:type="dxa"/>
          </w:tcPr>
          <w:p w14:paraId="074083A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709" w:type="dxa"/>
          </w:tcPr>
          <w:p w14:paraId="5106D77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641</w:t>
            </w:r>
          </w:p>
        </w:tc>
        <w:tc>
          <w:tcPr>
            <w:tcW w:w="709" w:type="dxa"/>
          </w:tcPr>
          <w:p w14:paraId="0E849C2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2120</w:t>
            </w:r>
          </w:p>
        </w:tc>
        <w:tc>
          <w:tcPr>
            <w:tcW w:w="709" w:type="dxa"/>
          </w:tcPr>
          <w:p w14:paraId="1066D57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1755</w:t>
            </w:r>
          </w:p>
        </w:tc>
        <w:tc>
          <w:tcPr>
            <w:tcW w:w="708" w:type="dxa"/>
          </w:tcPr>
          <w:p w14:paraId="5418F00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709" w:type="dxa"/>
          </w:tcPr>
          <w:p w14:paraId="5BBD31A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709" w:type="dxa"/>
          </w:tcPr>
          <w:p w14:paraId="0426D03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2157</w:t>
            </w:r>
          </w:p>
        </w:tc>
        <w:tc>
          <w:tcPr>
            <w:tcW w:w="850" w:type="dxa"/>
          </w:tcPr>
          <w:p w14:paraId="600E0A0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4918</w:t>
            </w:r>
          </w:p>
        </w:tc>
      </w:tr>
      <w:tr w:rsidR="004E10C1" w:rsidRPr="0044524F" w14:paraId="57A45611" w14:textId="77777777">
        <w:tc>
          <w:tcPr>
            <w:tcW w:w="1814" w:type="dxa"/>
          </w:tcPr>
          <w:p w14:paraId="33A73D0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Всего вместе с моторами пониженной кондиции и макетами %% к годовому плану</w:t>
            </w:r>
          </w:p>
        </w:tc>
        <w:tc>
          <w:tcPr>
            <w:tcW w:w="704" w:type="dxa"/>
          </w:tcPr>
          <w:p w14:paraId="31DCC7A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104,2</w:t>
            </w:r>
          </w:p>
        </w:tc>
        <w:tc>
          <w:tcPr>
            <w:tcW w:w="709" w:type="dxa"/>
          </w:tcPr>
          <w:p w14:paraId="7DE5100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98,8</w:t>
            </w:r>
          </w:p>
        </w:tc>
        <w:tc>
          <w:tcPr>
            <w:tcW w:w="709" w:type="dxa"/>
          </w:tcPr>
          <w:p w14:paraId="57A5217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708" w:type="dxa"/>
          </w:tcPr>
          <w:p w14:paraId="7501467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4CF92F9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68,5</w:t>
            </w:r>
          </w:p>
        </w:tc>
        <w:tc>
          <w:tcPr>
            <w:tcW w:w="709" w:type="dxa"/>
          </w:tcPr>
          <w:p w14:paraId="0EA30D6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94,2</w:t>
            </w:r>
          </w:p>
        </w:tc>
        <w:tc>
          <w:tcPr>
            <w:tcW w:w="709" w:type="dxa"/>
          </w:tcPr>
          <w:p w14:paraId="204694B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708" w:type="dxa"/>
          </w:tcPr>
          <w:p w14:paraId="4EC512D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108,1</w:t>
            </w:r>
          </w:p>
        </w:tc>
        <w:tc>
          <w:tcPr>
            <w:tcW w:w="709" w:type="dxa"/>
          </w:tcPr>
          <w:p w14:paraId="796FB4F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9" w:type="dxa"/>
          </w:tcPr>
          <w:p w14:paraId="4D7D534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101,5</w:t>
            </w:r>
          </w:p>
        </w:tc>
        <w:tc>
          <w:tcPr>
            <w:tcW w:w="850" w:type="dxa"/>
          </w:tcPr>
          <w:p w14:paraId="5BF16B0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92,6</w:t>
            </w:r>
          </w:p>
        </w:tc>
      </w:tr>
      <w:tr w:rsidR="004E10C1" w:rsidRPr="0044524F" w14:paraId="140E5768" w14:textId="77777777">
        <w:tc>
          <w:tcPr>
            <w:tcW w:w="1814" w:type="dxa"/>
          </w:tcPr>
          <w:p w14:paraId="5686B88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вместе с моторами пониженной кондиции и макетами %% к 1931 году</w:t>
            </w:r>
          </w:p>
        </w:tc>
        <w:tc>
          <w:tcPr>
            <w:tcW w:w="704" w:type="dxa"/>
          </w:tcPr>
          <w:p w14:paraId="09629BB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118,3</w:t>
            </w:r>
          </w:p>
        </w:tc>
        <w:tc>
          <w:tcPr>
            <w:tcW w:w="709" w:type="dxa"/>
          </w:tcPr>
          <w:p w14:paraId="26FB9E0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256,0</w:t>
            </w:r>
          </w:p>
        </w:tc>
        <w:tc>
          <w:tcPr>
            <w:tcW w:w="709" w:type="dxa"/>
          </w:tcPr>
          <w:p w14:paraId="1DEB673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8" w:type="dxa"/>
          </w:tcPr>
          <w:p w14:paraId="6AE4551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709" w:type="dxa"/>
          </w:tcPr>
          <w:p w14:paraId="54A0591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709" w:type="dxa"/>
          </w:tcPr>
          <w:p w14:paraId="2685F6F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312,2</w:t>
            </w:r>
          </w:p>
        </w:tc>
        <w:tc>
          <w:tcPr>
            <w:tcW w:w="709" w:type="dxa"/>
          </w:tcPr>
          <w:p w14:paraId="7C5FF2A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328,0</w:t>
            </w:r>
          </w:p>
        </w:tc>
        <w:tc>
          <w:tcPr>
            <w:tcW w:w="708" w:type="dxa"/>
          </w:tcPr>
          <w:p w14:paraId="07ED3F8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709" w:type="dxa"/>
          </w:tcPr>
          <w:p w14:paraId="33ABA4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w:t>
            </w:r>
          </w:p>
        </w:tc>
        <w:tc>
          <w:tcPr>
            <w:tcW w:w="709" w:type="dxa"/>
          </w:tcPr>
          <w:p w14:paraId="5AE4800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342,6</w:t>
            </w:r>
          </w:p>
        </w:tc>
        <w:tc>
          <w:tcPr>
            <w:tcW w:w="850" w:type="dxa"/>
          </w:tcPr>
          <w:p w14:paraId="0B1086C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299,9</w:t>
            </w:r>
          </w:p>
        </w:tc>
      </w:tr>
      <w:tr w:rsidR="004E10C1" w:rsidRPr="0044524F" w14:paraId="3522F3FF" w14:textId="77777777">
        <w:tc>
          <w:tcPr>
            <w:tcW w:w="1814" w:type="dxa"/>
          </w:tcPr>
          <w:p w14:paraId="053BFA9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моторов в 1931 году</w:t>
            </w:r>
          </w:p>
        </w:tc>
        <w:tc>
          <w:tcPr>
            <w:tcW w:w="704" w:type="dxa"/>
          </w:tcPr>
          <w:p w14:paraId="6909231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w:t>
            </w:r>
          </w:p>
        </w:tc>
        <w:tc>
          <w:tcPr>
            <w:tcW w:w="709" w:type="dxa"/>
          </w:tcPr>
          <w:p w14:paraId="1E94C21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709" w:type="dxa"/>
          </w:tcPr>
          <w:p w14:paraId="4BE79D5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08" w:type="dxa"/>
          </w:tcPr>
          <w:p w14:paraId="0F8AEA8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709" w:type="dxa"/>
          </w:tcPr>
          <w:p w14:paraId="5F54A03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332</w:t>
            </w:r>
          </w:p>
        </w:tc>
        <w:tc>
          <w:tcPr>
            <w:tcW w:w="709" w:type="dxa"/>
          </w:tcPr>
          <w:p w14:paraId="4C93A0B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679</w:t>
            </w:r>
          </w:p>
        </w:tc>
        <w:tc>
          <w:tcPr>
            <w:tcW w:w="709" w:type="dxa"/>
          </w:tcPr>
          <w:p w14:paraId="56898FE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535</w:t>
            </w:r>
          </w:p>
        </w:tc>
        <w:tc>
          <w:tcPr>
            <w:tcW w:w="708" w:type="dxa"/>
          </w:tcPr>
          <w:p w14:paraId="766281A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709" w:type="dxa"/>
          </w:tcPr>
          <w:p w14:paraId="3C15FE9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709" w:type="dxa"/>
          </w:tcPr>
          <w:p w14:paraId="32D42BB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629</w:t>
            </w:r>
          </w:p>
        </w:tc>
        <w:tc>
          <w:tcPr>
            <w:tcW w:w="850" w:type="dxa"/>
          </w:tcPr>
          <w:p w14:paraId="109EBF7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1640</w:t>
            </w:r>
          </w:p>
        </w:tc>
      </w:tr>
    </w:tbl>
    <w:p w14:paraId="18F73BF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(3530,65).</w:t>
      </w:r>
    </w:p>
    <w:p w14:paraId="5FC4C47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правительственного плана по самолетам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7"/>
        <w:gridCol w:w="846"/>
        <w:gridCol w:w="850"/>
        <w:gridCol w:w="851"/>
        <w:gridCol w:w="850"/>
        <w:gridCol w:w="851"/>
        <w:gridCol w:w="850"/>
        <w:gridCol w:w="851"/>
        <w:gridCol w:w="992"/>
        <w:gridCol w:w="992"/>
      </w:tblGrid>
      <w:tr w:rsidR="004E10C1" w:rsidRPr="0044524F" w14:paraId="51C8CE4A" w14:textId="77777777">
        <w:tc>
          <w:tcPr>
            <w:tcW w:w="1247" w:type="dxa"/>
          </w:tcPr>
          <w:p w14:paraId="1AB17FC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846" w:type="dxa"/>
          </w:tcPr>
          <w:p w14:paraId="268046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w:t>
            </w:r>
          </w:p>
        </w:tc>
        <w:tc>
          <w:tcPr>
            <w:tcW w:w="850" w:type="dxa"/>
          </w:tcPr>
          <w:p w14:paraId="22200EE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w:t>
            </w:r>
          </w:p>
          <w:p w14:paraId="42E79E4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w:t>
            </w:r>
          </w:p>
        </w:tc>
        <w:tc>
          <w:tcPr>
            <w:tcW w:w="851" w:type="dxa"/>
          </w:tcPr>
          <w:p w14:paraId="4AB03A7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w:t>
            </w:r>
          </w:p>
          <w:p w14:paraId="65C019A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квартал</w:t>
            </w:r>
          </w:p>
        </w:tc>
        <w:tc>
          <w:tcPr>
            <w:tcW w:w="850" w:type="dxa"/>
          </w:tcPr>
          <w:p w14:paraId="15A4485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Выполнение </w:t>
            </w:r>
          </w:p>
          <w:p w14:paraId="5A7858C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квартал</w:t>
            </w:r>
          </w:p>
        </w:tc>
        <w:tc>
          <w:tcPr>
            <w:tcW w:w="851" w:type="dxa"/>
          </w:tcPr>
          <w:p w14:paraId="55F2609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w:t>
            </w:r>
          </w:p>
          <w:p w14:paraId="4E71928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квартал</w:t>
            </w:r>
          </w:p>
        </w:tc>
        <w:tc>
          <w:tcPr>
            <w:tcW w:w="850" w:type="dxa"/>
          </w:tcPr>
          <w:p w14:paraId="760FD61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за весь 1932 год абсолютн.</w:t>
            </w:r>
          </w:p>
        </w:tc>
        <w:tc>
          <w:tcPr>
            <w:tcW w:w="851" w:type="dxa"/>
          </w:tcPr>
          <w:p w14:paraId="5894B9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за весь 1932 год в %% к годовому плану</w:t>
            </w:r>
          </w:p>
        </w:tc>
        <w:tc>
          <w:tcPr>
            <w:tcW w:w="992" w:type="dxa"/>
          </w:tcPr>
          <w:p w14:paraId="5C9FFD1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за весь 1932 год в %% к сдаче 1931 г.</w:t>
            </w:r>
          </w:p>
        </w:tc>
        <w:tc>
          <w:tcPr>
            <w:tcW w:w="992" w:type="dxa"/>
          </w:tcPr>
          <w:p w14:paraId="00BC45A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 весь 1931 год</w:t>
            </w:r>
          </w:p>
        </w:tc>
      </w:tr>
      <w:tr w:rsidR="004E10C1" w:rsidRPr="0044524F" w14:paraId="57A4BAB4" w14:textId="77777777">
        <w:tc>
          <w:tcPr>
            <w:tcW w:w="1247" w:type="dxa"/>
          </w:tcPr>
          <w:p w14:paraId="1F9ED6A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И5-М22</w:t>
            </w:r>
          </w:p>
        </w:tc>
        <w:tc>
          <w:tcPr>
            <w:tcW w:w="846" w:type="dxa"/>
          </w:tcPr>
          <w:p w14:paraId="2B9EC8C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850" w:type="dxa"/>
          </w:tcPr>
          <w:p w14:paraId="058A100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851" w:type="dxa"/>
          </w:tcPr>
          <w:p w14:paraId="1C96A9A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w:t>
            </w:r>
          </w:p>
        </w:tc>
        <w:tc>
          <w:tcPr>
            <w:tcW w:w="850" w:type="dxa"/>
          </w:tcPr>
          <w:p w14:paraId="5AF81B5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7B3E2CC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50" w:type="dxa"/>
          </w:tcPr>
          <w:p w14:paraId="1B499DE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851" w:type="dxa"/>
          </w:tcPr>
          <w:p w14:paraId="723B49E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102,7</w:t>
            </w:r>
          </w:p>
        </w:tc>
        <w:tc>
          <w:tcPr>
            <w:tcW w:w="992" w:type="dxa"/>
          </w:tcPr>
          <w:p w14:paraId="678F42D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115,2</w:t>
            </w:r>
          </w:p>
        </w:tc>
        <w:tc>
          <w:tcPr>
            <w:tcW w:w="992" w:type="dxa"/>
          </w:tcPr>
          <w:p w14:paraId="7E03176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r>
      <w:tr w:rsidR="004E10C1" w:rsidRPr="0044524F" w14:paraId="7E46F1E1" w14:textId="77777777">
        <w:tc>
          <w:tcPr>
            <w:tcW w:w="1247" w:type="dxa"/>
          </w:tcPr>
          <w:p w14:paraId="659B7CE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tc>
        <w:tc>
          <w:tcPr>
            <w:tcW w:w="846" w:type="dxa"/>
          </w:tcPr>
          <w:p w14:paraId="1913B13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850" w:type="dxa"/>
          </w:tcPr>
          <w:p w14:paraId="23834CA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223</w:t>
            </w:r>
          </w:p>
        </w:tc>
        <w:tc>
          <w:tcPr>
            <w:tcW w:w="851" w:type="dxa"/>
          </w:tcPr>
          <w:p w14:paraId="7F204DD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271</w:t>
            </w:r>
          </w:p>
        </w:tc>
        <w:tc>
          <w:tcPr>
            <w:tcW w:w="850" w:type="dxa"/>
          </w:tcPr>
          <w:p w14:paraId="1556897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w:t>
            </w:r>
          </w:p>
        </w:tc>
        <w:tc>
          <w:tcPr>
            <w:tcW w:w="851" w:type="dxa"/>
          </w:tcPr>
          <w:p w14:paraId="33E4972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w:t>
            </w:r>
          </w:p>
        </w:tc>
        <w:tc>
          <w:tcPr>
            <w:tcW w:w="850" w:type="dxa"/>
          </w:tcPr>
          <w:p w14:paraId="6386EBA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884</w:t>
            </w:r>
          </w:p>
        </w:tc>
        <w:tc>
          <w:tcPr>
            <w:tcW w:w="851" w:type="dxa"/>
          </w:tcPr>
          <w:p w14:paraId="4A0C8DD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73,7</w:t>
            </w:r>
          </w:p>
        </w:tc>
        <w:tc>
          <w:tcPr>
            <w:tcW w:w="992" w:type="dxa"/>
          </w:tcPr>
          <w:p w14:paraId="5EAA2ED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263,1</w:t>
            </w:r>
          </w:p>
        </w:tc>
        <w:tc>
          <w:tcPr>
            <w:tcW w:w="992" w:type="dxa"/>
          </w:tcPr>
          <w:p w14:paraId="41D4081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336</w:t>
            </w:r>
          </w:p>
        </w:tc>
      </w:tr>
      <w:tr w:rsidR="004E10C1" w:rsidRPr="0044524F" w14:paraId="69D6C2A9" w14:textId="77777777">
        <w:tc>
          <w:tcPr>
            <w:tcW w:w="1247" w:type="dxa"/>
          </w:tcPr>
          <w:p w14:paraId="02BA464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846" w:type="dxa"/>
          </w:tcPr>
          <w:p w14:paraId="3F2760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850" w:type="dxa"/>
          </w:tcPr>
          <w:p w14:paraId="64BFED0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31F400D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78D17B9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177F4C3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850" w:type="dxa"/>
          </w:tcPr>
          <w:p w14:paraId="099C87B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851" w:type="dxa"/>
          </w:tcPr>
          <w:p w14:paraId="550F633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w:t>
            </w:r>
          </w:p>
        </w:tc>
        <w:tc>
          <w:tcPr>
            <w:tcW w:w="992" w:type="dxa"/>
          </w:tcPr>
          <w:p w14:paraId="4A5E898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2250,0</w:t>
            </w:r>
          </w:p>
        </w:tc>
        <w:tc>
          <w:tcPr>
            <w:tcW w:w="992" w:type="dxa"/>
          </w:tcPr>
          <w:p w14:paraId="27CFCC2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6D236C55" w14:textId="77777777">
        <w:tc>
          <w:tcPr>
            <w:tcW w:w="1247" w:type="dxa"/>
          </w:tcPr>
          <w:p w14:paraId="6EF6C1D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 самолеты</w:t>
            </w:r>
          </w:p>
        </w:tc>
        <w:tc>
          <w:tcPr>
            <w:tcW w:w="846" w:type="dxa"/>
          </w:tcPr>
          <w:p w14:paraId="0B76EC9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6C5DFE3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6CEF779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39CD0C9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0A67EF9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50604B2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1930E1D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03544BC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53EAAE0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r>
      <w:tr w:rsidR="004E10C1" w:rsidRPr="0044524F" w14:paraId="0CE6BD31" w14:textId="77777777">
        <w:tc>
          <w:tcPr>
            <w:tcW w:w="1247" w:type="dxa"/>
          </w:tcPr>
          <w:p w14:paraId="02FFDA4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846" w:type="dxa"/>
          </w:tcPr>
          <w:p w14:paraId="2C66017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1434</w:t>
            </w:r>
          </w:p>
        </w:tc>
        <w:tc>
          <w:tcPr>
            <w:tcW w:w="850" w:type="dxa"/>
          </w:tcPr>
          <w:p w14:paraId="60529E4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243</w:t>
            </w:r>
          </w:p>
        </w:tc>
        <w:tc>
          <w:tcPr>
            <w:tcW w:w="851" w:type="dxa"/>
          </w:tcPr>
          <w:p w14:paraId="5C8FD4A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w:t>
            </w:r>
          </w:p>
        </w:tc>
        <w:tc>
          <w:tcPr>
            <w:tcW w:w="850" w:type="dxa"/>
          </w:tcPr>
          <w:p w14:paraId="14DECF7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w:t>
            </w:r>
          </w:p>
        </w:tc>
        <w:tc>
          <w:tcPr>
            <w:tcW w:w="851" w:type="dxa"/>
          </w:tcPr>
          <w:p w14:paraId="42CA8B5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241</w:t>
            </w:r>
          </w:p>
        </w:tc>
        <w:tc>
          <w:tcPr>
            <w:tcW w:w="850" w:type="dxa"/>
          </w:tcPr>
          <w:p w14:paraId="6F501A1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1005</w:t>
            </w:r>
          </w:p>
        </w:tc>
        <w:tc>
          <w:tcPr>
            <w:tcW w:w="851" w:type="dxa"/>
          </w:tcPr>
          <w:p w14:paraId="6F04BE0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70,1</w:t>
            </w:r>
          </w:p>
        </w:tc>
        <w:tc>
          <w:tcPr>
            <w:tcW w:w="992" w:type="dxa"/>
          </w:tcPr>
          <w:p w14:paraId="23FA700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219,0</w:t>
            </w:r>
          </w:p>
        </w:tc>
        <w:tc>
          <w:tcPr>
            <w:tcW w:w="992" w:type="dxa"/>
          </w:tcPr>
          <w:p w14:paraId="59A7940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459</w:t>
            </w:r>
          </w:p>
        </w:tc>
      </w:tr>
      <w:tr w:rsidR="004E10C1" w:rsidRPr="0044524F" w14:paraId="6D41C112" w14:textId="77777777">
        <w:tc>
          <w:tcPr>
            <w:tcW w:w="1247" w:type="dxa"/>
          </w:tcPr>
          <w:p w14:paraId="0AF4C2D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w:t>
            </w:r>
          </w:p>
        </w:tc>
        <w:tc>
          <w:tcPr>
            <w:tcW w:w="846" w:type="dxa"/>
          </w:tcPr>
          <w:p w14:paraId="6AE2806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850" w:type="dxa"/>
          </w:tcPr>
          <w:p w14:paraId="0E63C26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851" w:type="dxa"/>
          </w:tcPr>
          <w:p w14:paraId="2426006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850" w:type="dxa"/>
          </w:tcPr>
          <w:p w14:paraId="60EA231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11521C7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50" w:type="dxa"/>
          </w:tcPr>
          <w:p w14:paraId="161B415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c>
          <w:tcPr>
            <w:tcW w:w="851" w:type="dxa"/>
          </w:tcPr>
          <w:p w14:paraId="2EA6C2A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675,0</w:t>
            </w:r>
          </w:p>
        </w:tc>
        <w:tc>
          <w:tcPr>
            <w:tcW w:w="992" w:type="dxa"/>
          </w:tcPr>
          <w:p w14:paraId="4E8774C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81,8</w:t>
            </w:r>
          </w:p>
        </w:tc>
        <w:tc>
          <w:tcPr>
            <w:tcW w:w="992" w:type="dxa"/>
          </w:tcPr>
          <w:p w14:paraId="3D9737B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r>
      <w:tr w:rsidR="004E10C1" w:rsidRPr="0044524F" w14:paraId="36804683" w14:textId="77777777">
        <w:tc>
          <w:tcPr>
            <w:tcW w:w="1247" w:type="dxa"/>
          </w:tcPr>
          <w:p w14:paraId="0E98BBF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846" w:type="dxa"/>
          </w:tcPr>
          <w:p w14:paraId="146F9FE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850" w:type="dxa"/>
          </w:tcPr>
          <w:p w14:paraId="19569BC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851" w:type="dxa"/>
          </w:tcPr>
          <w:p w14:paraId="2AA36EA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850" w:type="dxa"/>
          </w:tcPr>
          <w:p w14:paraId="5AD9919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851" w:type="dxa"/>
          </w:tcPr>
          <w:p w14:paraId="67B3A7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w:t>
            </w:r>
          </w:p>
        </w:tc>
        <w:tc>
          <w:tcPr>
            <w:tcW w:w="850" w:type="dxa"/>
          </w:tcPr>
          <w:p w14:paraId="723FCBE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w:t>
            </w:r>
          </w:p>
        </w:tc>
        <w:tc>
          <w:tcPr>
            <w:tcW w:w="851" w:type="dxa"/>
          </w:tcPr>
          <w:p w14:paraId="147F467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62,0</w:t>
            </w:r>
          </w:p>
        </w:tc>
        <w:tc>
          <w:tcPr>
            <w:tcW w:w="992" w:type="dxa"/>
          </w:tcPr>
          <w:p w14:paraId="71BE6D4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31737C9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D5B2000" w14:textId="77777777">
        <w:tc>
          <w:tcPr>
            <w:tcW w:w="1247" w:type="dxa"/>
          </w:tcPr>
          <w:p w14:paraId="721DE14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tc>
        <w:tc>
          <w:tcPr>
            <w:tcW w:w="846" w:type="dxa"/>
          </w:tcPr>
          <w:p w14:paraId="7F57A0B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850" w:type="dxa"/>
          </w:tcPr>
          <w:p w14:paraId="5FBDF43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851" w:type="dxa"/>
          </w:tcPr>
          <w:p w14:paraId="154F749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850" w:type="dxa"/>
          </w:tcPr>
          <w:p w14:paraId="2438BA0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851" w:type="dxa"/>
          </w:tcPr>
          <w:p w14:paraId="2F46152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850" w:type="dxa"/>
          </w:tcPr>
          <w:p w14:paraId="2EA58AB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851" w:type="dxa"/>
          </w:tcPr>
          <w:p w14:paraId="1FC7BF1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992" w:type="dxa"/>
          </w:tcPr>
          <w:p w14:paraId="4CFA8DB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992" w:type="dxa"/>
          </w:tcPr>
          <w:p w14:paraId="431AFCA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328A43C3" w14:textId="77777777">
        <w:tc>
          <w:tcPr>
            <w:tcW w:w="1247" w:type="dxa"/>
          </w:tcPr>
          <w:p w14:paraId="2BE7ACF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 самолеты</w:t>
            </w:r>
          </w:p>
        </w:tc>
        <w:tc>
          <w:tcPr>
            <w:tcW w:w="846" w:type="dxa"/>
          </w:tcPr>
          <w:p w14:paraId="71E266A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1588EAF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40ABA8F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147E5A1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4E52BA9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50" w:type="dxa"/>
          </w:tcPr>
          <w:p w14:paraId="56CDCA7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51" w:type="dxa"/>
          </w:tcPr>
          <w:p w14:paraId="2FDDF2C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70B6ABA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992" w:type="dxa"/>
          </w:tcPr>
          <w:p w14:paraId="2AE51CB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158</w:t>
            </w:r>
          </w:p>
        </w:tc>
      </w:tr>
      <w:tr w:rsidR="004E10C1" w:rsidRPr="0044524F" w14:paraId="2D87BACC" w14:textId="77777777">
        <w:tc>
          <w:tcPr>
            <w:tcW w:w="1247" w:type="dxa"/>
          </w:tcPr>
          <w:p w14:paraId="7D564FA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846" w:type="dxa"/>
          </w:tcPr>
          <w:p w14:paraId="733B96C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274</w:t>
            </w:r>
          </w:p>
        </w:tc>
        <w:tc>
          <w:tcPr>
            <w:tcW w:w="850" w:type="dxa"/>
          </w:tcPr>
          <w:p w14:paraId="5013748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c>
          <w:tcPr>
            <w:tcW w:w="851" w:type="dxa"/>
          </w:tcPr>
          <w:p w14:paraId="1569659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850" w:type="dxa"/>
          </w:tcPr>
          <w:p w14:paraId="076AF47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w:t>
            </w:r>
          </w:p>
        </w:tc>
        <w:tc>
          <w:tcPr>
            <w:tcW w:w="851" w:type="dxa"/>
          </w:tcPr>
          <w:p w14:paraId="2D319CA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w:t>
            </w:r>
          </w:p>
        </w:tc>
        <w:tc>
          <w:tcPr>
            <w:tcW w:w="850" w:type="dxa"/>
          </w:tcPr>
          <w:p w14:paraId="63536C3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214</w:t>
            </w:r>
          </w:p>
        </w:tc>
        <w:tc>
          <w:tcPr>
            <w:tcW w:w="851" w:type="dxa"/>
          </w:tcPr>
          <w:p w14:paraId="126B40A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78,1</w:t>
            </w:r>
          </w:p>
        </w:tc>
        <w:tc>
          <w:tcPr>
            <w:tcW w:w="992" w:type="dxa"/>
          </w:tcPr>
          <w:p w14:paraId="379B921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103,9</w:t>
            </w:r>
          </w:p>
        </w:tc>
        <w:tc>
          <w:tcPr>
            <w:tcW w:w="992" w:type="dxa"/>
          </w:tcPr>
          <w:p w14:paraId="663F82B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206</w:t>
            </w:r>
          </w:p>
        </w:tc>
      </w:tr>
      <w:tr w:rsidR="004E10C1" w:rsidRPr="0044524F" w14:paraId="3F9F4A72" w14:textId="77777777">
        <w:tc>
          <w:tcPr>
            <w:tcW w:w="1247" w:type="dxa"/>
          </w:tcPr>
          <w:p w14:paraId="4B15DCA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tc>
        <w:tc>
          <w:tcPr>
            <w:tcW w:w="846" w:type="dxa"/>
          </w:tcPr>
          <w:p w14:paraId="20BFDE5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835</w:t>
            </w:r>
          </w:p>
        </w:tc>
        <w:tc>
          <w:tcPr>
            <w:tcW w:w="850" w:type="dxa"/>
          </w:tcPr>
          <w:p w14:paraId="7BC2B03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221</w:t>
            </w:r>
          </w:p>
        </w:tc>
        <w:tc>
          <w:tcPr>
            <w:tcW w:w="851" w:type="dxa"/>
          </w:tcPr>
          <w:p w14:paraId="76EEEF5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127</w:t>
            </w:r>
          </w:p>
        </w:tc>
        <w:tc>
          <w:tcPr>
            <w:tcW w:w="850" w:type="dxa"/>
          </w:tcPr>
          <w:p w14:paraId="475FDF4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294</w:t>
            </w:r>
          </w:p>
        </w:tc>
        <w:tc>
          <w:tcPr>
            <w:tcW w:w="851" w:type="dxa"/>
          </w:tcPr>
          <w:p w14:paraId="4404789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850" w:type="dxa"/>
          </w:tcPr>
          <w:p w14:paraId="7A92E04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942</w:t>
            </w:r>
          </w:p>
        </w:tc>
        <w:tc>
          <w:tcPr>
            <w:tcW w:w="851" w:type="dxa"/>
          </w:tcPr>
          <w:p w14:paraId="6FB27F5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112,8 </w:t>
            </w:r>
          </w:p>
        </w:tc>
        <w:tc>
          <w:tcPr>
            <w:tcW w:w="992" w:type="dxa"/>
          </w:tcPr>
          <w:p w14:paraId="2DCD444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332,9</w:t>
            </w:r>
          </w:p>
        </w:tc>
        <w:tc>
          <w:tcPr>
            <w:tcW w:w="992" w:type="dxa"/>
          </w:tcPr>
          <w:p w14:paraId="36C1B09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283</w:t>
            </w:r>
          </w:p>
        </w:tc>
      </w:tr>
      <w:tr w:rsidR="004E10C1" w:rsidRPr="0044524F" w14:paraId="1AAE53A4" w14:textId="77777777">
        <w:tc>
          <w:tcPr>
            <w:tcW w:w="1247" w:type="dxa"/>
          </w:tcPr>
          <w:p w14:paraId="5CF7D1D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АП-М11</w:t>
            </w:r>
          </w:p>
        </w:tc>
        <w:tc>
          <w:tcPr>
            <w:tcW w:w="846" w:type="dxa"/>
          </w:tcPr>
          <w:p w14:paraId="2A3A7B4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850" w:type="dxa"/>
          </w:tcPr>
          <w:p w14:paraId="2097250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851" w:type="dxa"/>
          </w:tcPr>
          <w:p w14:paraId="61749B7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w:t>
            </w:r>
          </w:p>
        </w:tc>
        <w:tc>
          <w:tcPr>
            <w:tcW w:w="850" w:type="dxa"/>
          </w:tcPr>
          <w:p w14:paraId="517E06B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6AD4816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757648D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w:t>
            </w:r>
          </w:p>
        </w:tc>
        <w:tc>
          <w:tcPr>
            <w:tcW w:w="851" w:type="dxa"/>
          </w:tcPr>
          <w:p w14:paraId="55D4CE3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85,5</w:t>
            </w:r>
          </w:p>
        </w:tc>
        <w:tc>
          <w:tcPr>
            <w:tcW w:w="992" w:type="dxa"/>
          </w:tcPr>
          <w:p w14:paraId="5FF744A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310,9</w:t>
            </w:r>
          </w:p>
        </w:tc>
        <w:tc>
          <w:tcPr>
            <w:tcW w:w="992" w:type="dxa"/>
          </w:tcPr>
          <w:p w14:paraId="2C10C6F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r>
      <w:tr w:rsidR="004E10C1" w:rsidRPr="0044524F" w14:paraId="5F3ECD9C" w14:textId="77777777">
        <w:tc>
          <w:tcPr>
            <w:tcW w:w="1247" w:type="dxa"/>
          </w:tcPr>
          <w:p w14:paraId="2CCB86D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 самолеты</w:t>
            </w:r>
          </w:p>
        </w:tc>
        <w:tc>
          <w:tcPr>
            <w:tcW w:w="846" w:type="dxa"/>
          </w:tcPr>
          <w:p w14:paraId="170155F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294B35A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455704F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3667414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323FA20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4E369AB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1FDB1C1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33D1EA5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1716C2E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w:t>
            </w:r>
          </w:p>
        </w:tc>
      </w:tr>
      <w:tr w:rsidR="004E10C1" w:rsidRPr="0044524F" w14:paraId="578617B0" w14:textId="77777777">
        <w:tc>
          <w:tcPr>
            <w:tcW w:w="1247" w:type="dxa"/>
          </w:tcPr>
          <w:p w14:paraId="0762C96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846" w:type="dxa"/>
          </w:tcPr>
          <w:p w14:paraId="73D4D47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1035</w:t>
            </w:r>
          </w:p>
        </w:tc>
        <w:tc>
          <w:tcPr>
            <w:tcW w:w="850" w:type="dxa"/>
          </w:tcPr>
          <w:p w14:paraId="46E8FDC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241</w:t>
            </w:r>
          </w:p>
        </w:tc>
        <w:tc>
          <w:tcPr>
            <w:tcW w:w="851" w:type="dxa"/>
          </w:tcPr>
          <w:p w14:paraId="735D907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278</w:t>
            </w:r>
          </w:p>
        </w:tc>
        <w:tc>
          <w:tcPr>
            <w:tcW w:w="850" w:type="dxa"/>
          </w:tcPr>
          <w:p w14:paraId="677B194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294</w:t>
            </w:r>
          </w:p>
        </w:tc>
        <w:tc>
          <w:tcPr>
            <w:tcW w:w="851" w:type="dxa"/>
          </w:tcPr>
          <w:p w14:paraId="788513D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850" w:type="dxa"/>
          </w:tcPr>
          <w:p w14:paraId="24577D5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1113</w:t>
            </w:r>
          </w:p>
        </w:tc>
        <w:tc>
          <w:tcPr>
            <w:tcW w:w="851" w:type="dxa"/>
          </w:tcPr>
          <w:p w14:paraId="4B70693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107,5</w:t>
            </w:r>
          </w:p>
        </w:tc>
        <w:tc>
          <w:tcPr>
            <w:tcW w:w="992" w:type="dxa"/>
          </w:tcPr>
          <w:p w14:paraId="3281516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232,4</w:t>
            </w:r>
          </w:p>
        </w:tc>
        <w:tc>
          <w:tcPr>
            <w:tcW w:w="992" w:type="dxa"/>
          </w:tcPr>
          <w:p w14:paraId="261D926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479</w:t>
            </w:r>
          </w:p>
        </w:tc>
      </w:tr>
      <w:tr w:rsidR="004E10C1" w:rsidRPr="0044524F" w14:paraId="07FCAADE" w14:textId="77777777">
        <w:tc>
          <w:tcPr>
            <w:tcW w:w="1247" w:type="dxa"/>
          </w:tcPr>
          <w:p w14:paraId="4E47A37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tc>
        <w:tc>
          <w:tcPr>
            <w:tcW w:w="846" w:type="dxa"/>
          </w:tcPr>
          <w:p w14:paraId="2D56CE9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850" w:type="dxa"/>
          </w:tcPr>
          <w:p w14:paraId="76415AB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4441033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0D25BA7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7B700EE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850" w:type="dxa"/>
          </w:tcPr>
          <w:p w14:paraId="14F85DF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851" w:type="dxa"/>
          </w:tcPr>
          <w:p w14:paraId="17392FB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c>
          <w:tcPr>
            <w:tcW w:w="992" w:type="dxa"/>
          </w:tcPr>
          <w:p w14:paraId="07E90DD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12C418E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7100E5A" w14:textId="77777777">
        <w:tc>
          <w:tcPr>
            <w:tcW w:w="1247" w:type="dxa"/>
          </w:tcPr>
          <w:p w14:paraId="0333C2A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w:t>
            </w:r>
          </w:p>
        </w:tc>
        <w:tc>
          <w:tcPr>
            <w:tcW w:w="846" w:type="dxa"/>
          </w:tcPr>
          <w:p w14:paraId="73BFE08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850" w:type="dxa"/>
          </w:tcPr>
          <w:p w14:paraId="2316778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2FF4AC5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5884832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6EA98C6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850" w:type="dxa"/>
          </w:tcPr>
          <w:p w14:paraId="797BF53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851" w:type="dxa"/>
          </w:tcPr>
          <w:p w14:paraId="237B99B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w:t>
            </w:r>
          </w:p>
        </w:tc>
        <w:tc>
          <w:tcPr>
            <w:tcW w:w="992" w:type="dxa"/>
          </w:tcPr>
          <w:p w14:paraId="57C4239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1A9667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9EFB240" w14:textId="77777777">
        <w:tc>
          <w:tcPr>
            <w:tcW w:w="1247" w:type="dxa"/>
          </w:tcPr>
          <w:p w14:paraId="5E03630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С-62 АССО</w:t>
            </w:r>
          </w:p>
        </w:tc>
        <w:tc>
          <w:tcPr>
            <w:tcW w:w="846" w:type="dxa"/>
          </w:tcPr>
          <w:p w14:paraId="42FA85D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850" w:type="dxa"/>
          </w:tcPr>
          <w:p w14:paraId="1FEE615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1718988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850" w:type="dxa"/>
          </w:tcPr>
          <w:p w14:paraId="25A031A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851" w:type="dxa"/>
          </w:tcPr>
          <w:p w14:paraId="0D9EDAB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850" w:type="dxa"/>
          </w:tcPr>
          <w:p w14:paraId="22399E0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851" w:type="dxa"/>
          </w:tcPr>
          <w:p w14:paraId="176F926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44,6</w:t>
            </w:r>
          </w:p>
        </w:tc>
        <w:tc>
          <w:tcPr>
            <w:tcW w:w="992" w:type="dxa"/>
          </w:tcPr>
          <w:p w14:paraId="2E509E4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65D43B3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76E3C8E" w14:textId="77777777">
        <w:tc>
          <w:tcPr>
            <w:tcW w:w="1247" w:type="dxa"/>
          </w:tcPr>
          <w:p w14:paraId="1B9606D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МДР-3</w:t>
            </w:r>
          </w:p>
        </w:tc>
        <w:tc>
          <w:tcPr>
            <w:tcW w:w="846" w:type="dxa"/>
          </w:tcPr>
          <w:p w14:paraId="6591F5F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50" w:type="dxa"/>
          </w:tcPr>
          <w:p w14:paraId="2B951E7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12BE244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238387D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07FF5C9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6A8EB3C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7F941E0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7051D87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0EEA8EA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5CD1515" w14:textId="77777777">
        <w:tc>
          <w:tcPr>
            <w:tcW w:w="1247" w:type="dxa"/>
          </w:tcPr>
          <w:p w14:paraId="3B1608C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АШ-М11</w:t>
            </w:r>
          </w:p>
        </w:tc>
        <w:tc>
          <w:tcPr>
            <w:tcW w:w="846" w:type="dxa"/>
          </w:tcPr>
          <w:p w14:paraId="575B711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850" w:type="dxa"/>
          </w:tcPr>
          <w:p w14:paraId="6A0D6A8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1FBD60B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50" w:type="dxa"/>
          </w:tcPr>
          <w:p w14:paraId="3F35115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71E833C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850" w:type="dxa"/>
          </w:tcPr>
          <w:p w14:paraId="7416C04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851" w:type="dxa"/>
          </w:tcPr>
          <w:p w14:paraId="27DAD76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992" w:type="dxa"/>
          </w:tcPr>
          <w:p w14:paraId="1187720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142D381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D4E1ED9" w14:textId="77777777">
        <w:tc>
          <w:tcPr>
            <w:tcW w:w="1247" w:type="dxa"/>
          </w:tcPr>
          <w:p w14:paraId="47AE9AD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 самолеты</w:t>
            </w:r>
          </w:p>
        </w:tc>
        <w:tc>
          <w:tcPr>
            <w:tcW w:w="846" w:type="dxa"/>
          </w:tcPr>
          <w:p w14:paraId="107756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4D501D4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15809EB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02567FF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4B790A1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50" w:type="dxa"/>
          </w:tcPr>
          <w:p w14:paraId="7D85E86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51" w:type="dxa"/>
          </w:tcPr>
          <w:p w14:paraId="1530CD0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0C36155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w:t>
            </w:r>
          </w:p>
        </w:tc>
        <w:tc>
          <w:tcPr>
            <w:tcW w:w="992" w:type="dxa"/>
          </w:tcPr>
          <w:p w14:paraId="11DE040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303</w:t>
            </w:r>
          </w:p>
        </w:tc>
      </w:tr>
      <w:tr w:rsidR="004E10C1" w:rsidRPr="0044524F" w14:paraId="521171B0" w14:textId="77777777">
        <w:tc>
          <w:tcPr>
            <w:tcW w:w="1247" w:type="dxa"/>
          </w:tcPr>
          <w:p w14:paraId="0902202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846" w:type="dxa"/>
          </w:tcPr>
          <w:p w14:paraId="31996B2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232</w:t>
            </w:r>
          </w:p>
        </w:tc>
        <w:tc>
          <w:tcPr>
            <w:tcW w:w="850" w:type="dxa"/>
          </w:tcPr>
          <w:p w14:paraId="65B0032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2C76603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850" w:type="dxa"/>
          </w:tcPr>
          <w:p w14:paraId="5455DE6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851" w:type="dxa"/>
          </w:tcPr>
          <w:p w14:paraId="7D4290C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w:t>
            </w:r>
          </w:p>
        </w:tc>
        <w:tc>
          <w:tcPr>
            <w:tcW w:w="850" w:type="dxa"/>
          </w:tcPr>
          <w:p w14:paraId="7DB9F1D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w:t>
            </w:r>
          </w:p>
        </w:tc>
        <w:tc>
          <w:tcPr>
            <w:tcW w:w="851" w:type="dxa"/>
          </w:tcPr>
          <w:p w14:paraId="617EEE1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28,9</w:t>
            </w:r>
          </w:p>
        </w:tc>
        <w:tc>
          <w:tcPr>
            <w:tcW w:w="992" w:type="dxa"/>
          </w:tcPr>
          <w:p w14:paraId="5D81ACD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22,1</w:t>
            </w:r>
          </w:p>
        </w:tc>
        <w:tc>
          <w:tcPr>
            <w:tcW w:w="992" w:type="dxa"/>
          </w:tcPr>
          <w:p w14:paraId="52D1B4C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303</w:t>
            </w:r>
          </w:p>
        </w:tc>
      </w:tr>
      <w:tr w:rsidR="004E10C1" w:rsidRPr="0044524F" w14:paraId="34047078" w14:textId="77777777">
        <w:tc>
          <w:tcPr>
            <w:tcW w:w="1247" w:type="dxa"/>
          </w:tcPr>
          <w:p w14:paraId="024351A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И5-М22</w:t>
            </w:r>
          </w:p>
        </w:tc>
        <w:tc>
          <w:tcPr>
            <w:tcW w:w="846" w:type="dxa"/>
          </w:tcPr>
          <w:p w14:paraId="6B9FDF3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276</w:t>
            </w:r>
          </w:p>
        </w:tc>
        <w:tc>
          <w:tcPr>
            <w:tcW w:w="850" w:type="dxa"/>
          </w:tcPr>
          <w:p w14:paraId="6F43044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790799F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33AA7CE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2E86CAF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850" w:type="dxa"/>
          </w:tcPr>
          <w:p w14:paraId="0424404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851" w:type="dxa"/>
          </w:tcPr>
          <w:p w14:paraId="7DC32E5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c>
          <w:tcPr>
            <w:tcW w:w="992" w:type="dxa"/>
          </w:tcPr>
          <w:p w14:paraId="43D4FF0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5D4826C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0F7D562" w14:textId="77777777">
        <w:tc>
          <w:tcPr>
            <w:tcW w:w="1247" w:type="dxa"/>
          </w:tcPr>
          <w:p w14:paraId="295B6CB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w:t>
            </w:r>
          </w:p>
        </w:tc>
        <w:tc>
          <w:tcPr>
            <w:tcW w:w="846" w:type="dxa"/>
          </w:tcPr>
          <w:p w14:paraId="33662FA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850" w:type="dxa"/>
          </w:tcPr>
          <w:p w14:paraId="723FC41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13532BD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78C647B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69B9816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0CA5610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3F88D80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7FD4A07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1B1CF53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064FAC7" w14:textId="77777777">
        <w:tc>
          <w:tcPr>
            <w:tcW w:w="1247" w:type="dxa"/>
          </w:tcPr>
          <w:p w14:paraId="7EC1F65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846" w:type="dxa"/>
          </w:tcPr>
          <w:p w14:paraId="7214CE2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850" w:type="dxa"/>
          </w:tcPr>
          <w:p w14:paraId="2335D14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62AAC7F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4CC7396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11F143D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6FC43D6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5674C8B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59454A7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5247326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F760189" w14:textId="77777777">
        <w:tc>
          <w:tcPr>
            <w:tcW w:w="1247" w:type="dxa"/>
          </w:tcPr>
          <w:p w14:paraId="0CF54C9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846" w:type="dxa"/>
          </w:tcPr>
          <w:p w14:paraId="3988A58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850" w:type="dxa"/>
          </w:tcPr>
          <w:p w14:paraId="4A4245D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6B7E2C3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6273DF8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1253F17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850" w:type="dxa"/>
          </w:tcPr>
          <w:p w14:paraId="3963933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851" w:type="dxa"/>
          </w:tcPr>
          <w:p w14:paraId="3C1359C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992" w:type="dxa"/>
          </w:tcPr>
          <w:p w14:paraId="4D690FD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5291D3C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6171569" w14:textId="77777777">
        <w:tc>
          <w:tcPr>
            <w:tcW w:w="1247" w:type="dxa"/>
          </w:tcPr>
          <w:p w14:paraId="2D25BDD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Самолетов</w:t>
            </w:r>
          </w:p>
        </w:tc>
        <w:tc>
          <w:tcPr>
            <w:tcW w:w="846" w:type="dxa"/>
          </w:tcPr>
          <w:p w14:paraId="1BF179A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3311</w:t>
            </w:r>
          </w:p>
        </w:tc>
        <w:tc>
          <w:tcPr>
            <w:tcW w:w="850" w:type="dxa"/>
          </w:tcPr>
          <w:p w14:paraId="19D43E7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517</w:t>
            </w:r>
          </w:p>
        </w:tc>
        <w:tc>
          <w:tcPr>
            <w:tcW w:w="851" w:type="dxa"/>
          </w:tcPr>
          <w:p w14:paraId="7E6CB29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628</w:t>
            </w:r>
          </w:p>
        </w:tc>
        <w:tc>
          <w:tcPr>
            <w:tcW w:w="850" w:type="dxa"/>
          </w:tcPr>
          <w:p w14:paraId="2B0D465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538</w:t>
            </w:r>
          </w:p>
        </w:tc>
        <w:tc>
          <w:tcPr>
            <w:tcW w:w="851" w:type="dxa"/>
          </w:tcPr>
          <w:p w14:paraId="37515E7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731</w:t>
            </w:r>
          </w:p>
        </w:tc>
        <w:tc>
          <w:tcPr>
            <w:tcW w:w="850" w:type="dxa"/>
          </w:tcPr>
          <w:p w14:paraId="47A0C3C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2414</w:t>
            </w:r>
          </w:p>
        </w:tc>
        <w:tc>
          <w:tcPr>
            <w:tcW w:w="851" w:type="dxa"/>
          </w:tcPr>
          <w:p w14:paraId="7D849CD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72,9</w:t>
            </w:r>
          </w:p>
        </w:tc>
        <w:tc>
          <w:tcPr>
            <w:tcW w:w="992" w:type="dxa"/>
          </w:tcPr>
          <w:p w14:paraId="63829AC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166,9</w:t>
            </w:r>
          </w:p>
        </w:tc>
        <w:tc>
          <w:tcPr>
            <w:tcW w:w="992" w:type="dxa"/>
          </w:tcPr>
          <w:p w14:paraId="2477E19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1446</w:t>
            </w:r>
          </w:p>
        </w:tc>
      </w:tr>
      <w:tr w:rsidR="004E10C1" w:rsidRPr="0044524F" w14:paraId="4E1E9FE0" w14:textId="77777777">
        <w:tc>
          <w:tcPr>
            <w:tcW w:w="1247" w:type="dxa"/>
          </w:tcPr>
          <w:p w14:paraId="5E9D1AA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w:t>
            </w:r>
          </w:p>
        </w:tc>
        <w:tc>
          <w:tcPr>
            <w:tcW w:w="846" w:type="dxa"/>
          </w:tcPr>
          <w:p w14:paraId="4C14A41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850" w:type="dxa"/>
          </w:tcPr>
          <w:p w14:paraId="4EE86A1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851" w:type="dxa"/>
          </w:tcPr>
          <w:p w14:paraId="4539C1E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850" w:type="dxa"/>
          </w:tcPr>
          <w:p w14:paraId="53CF94F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851" w:type="dxa"/>
          </w:tcPr>
          <w:p w14:paraId="5D9221A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850" w:type="dxa"/>
          </w:tcPr>
          <w:p w14:paraId="4A226C7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w:t>
            </w:r>
          </w:p>
        </w:tc>
        <w:tc>
          <w:tcPr>
            <w:tcW w:w="851" w:type="dxa"/>
          </w:tcPr>
          <w:p w14:paraId="25A81F2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48,7</w:t>
            </w:r>
          </w:p>
        </w:tc>
        <w:tc>
          <w:tcPr>
            <w:tcW w:w="992" w:type="dxa"/>
          </w:tcPr>
          <w:p w14:paraId="3DBFA95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174,0</w:t>
            </w:r>
          </w:p>
        </w:tc>
        <w:tc>
          <w:tcPr>
            <w:tcW w:w="992" w:type="dxa"/>
          </w:tcPr>
          <w:p w14:paraId="7CCFE20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r>
      <w:tr w:rsidR="004E10C1" w:rsidRPr="0044524F" w14:paraId="2E9AECCE" w14:textId="77777777">
        <w:tc>
          <w:tcPr>
            <w:tcW w:w="1247" w:type="dxa"/>
          </w:tcPr>
          <w:p w14:paraId="07E827E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Самолетов</w:t>
            </w:r>
          </w:p>
        </w:tc>
        <w:tc>
          <w:tcPr>
            <w:tcW w:w="846" w:type="dxa"/>
          </w:tcPr>
          <w:p w14:paraId="7050508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3461</w:t>
            </w:r>
          </w:p>
        </w:tc>
        <w:tc>
          <w:tcPr>
            <w:tcW w:w="850" w:type="dxa"/>
          </w:tcPr>
          <w:p w14:paraId="542DB23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521</w:t>
            </w:r>
          </w:p>
        </w:tc>
        <w:tc>
          <w:tcPr>
            <w:tcW w:w="851" w:type="dxa"/>
          </w:tcPr>
          <w:p w14:paraId="781BC9B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646</w:t>
            </w:r>
          </w:p>
        </w:tc>
        <w:tc>
          <w:tcPr>
            <w:tcW w:w="850" w:type="dxa"/>
          </w:tcPr>
          <w:p w14:paraId="5D165F7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567</w:t>
            </w:r>
          </w:p>
        </w:tc>
        <w:tc>
          <w:tcPr>
            <w:tcW w:w="851" w:type="dxa"/>
          </w:tcPr>
          <w:p w14:paraId="3E5997A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753</w:t>
            </w:r>
          </w:p>
        </w:tc>
        <w:tc>
          <w:tcPr>
            <w:tcW w:w="850" w:type="dxa"/>
          </w:tcPr>
          <w:p w14:paraId="0E1C7ED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2487</w:t>
            </w:r>
          </w:p>
        </w:tc>
        <w:tc>
          <w:tcPr>
            <w:tcW w:w="851" w:type="dxa"/>
          </w:tcPr>
          <w:p w14:paraId="763B0AB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71,9</w:t>
            </w:r>
          </w:p>
        </w:tc>
        <w:tc>
          <w:tcPr>
            <w:tcW w:w="992" w:type="dxa"/>
          </w:tcPr>
          <w:p w14:paraId="521818E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167,0</w:t>
            </w:r>
          </w:p>
        </w:tc>
        <w:tc>
          <w:tcPr>
            <w:tcW w:w="992" w:type="dxa"/>
          </w:tcPr>
          <w:p w14:paraId="018035C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1489</w:t>
            </w:r>
          </w:p>
        </w:tc>
      </w:tr>
    </w:tbl>
    <w:p w14:paraId="087B5D7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(3530,66).</w:t>
      </w:r>
    </w:p>
    <w:p w14:paraId="7FBCD61C"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76835A6E" w14:textId="77777777" w:rsidR="00DC736B" w:rsidRPr="0044524F" w:rsidRDefault="00DC736B"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8313582" w14:textId="77777777" w:rsidR="00DC736B" w:rsidRPr="0044524F" w:rsidRDefault="00DC736B" w:rsidP="009654CF">
      <w:pPr>
        <w:spacing w:after="0" w:line="240" w:lineRule="auto"/>
        <w:jc w:val="both"/>
        <w:rPr>
          <w:rFonts w:ascii="Times New Roman" w:hAnsi="Times New Roman"/>
          <w:iCs/>
          <w:color w:val="000000" w:themeColor="text1"/>
          <w:sz w:val="16"/>
          <w:szCs w:val="16"/>
        </w:rPr>
      </w:pPr>
    </w:p>
    <w:p w14:paraId="32FB105D" w14:textId="77777777" w:rsidR="00DC736B" w:rsidRPr="0044524F" w:rsidRDefault="00DC736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lang w:eastAsia="ru-RU"/>
        </w:rPr>
        <w:t xml:space="preserve">5 января 1933 г. новые установки на более реалистические подходы партийно-государственного руководства к капитальным вложениям и бюджетным расходам в целом, наметившиеся в июле 1932 г., были подкреплены правительственным решением о сокращении инвестиций в военную промышленность (Постановлением СНК СССР от 5 января 1933 г. план капиталовложений в военную промышленность на 1933 г. был утвержден в размере 560 млн руб. (план 1932 г. составлял 702 млн руб.. а фактический размер инвестиций 1932 г. - 778 млн руб.) </w:t>
      </w:r>
      <w:r w:rsidRPr="0044524F">
        <w:rPr>
          <w:rFonts w:ascii="Times New Roman" w:eastAsia="Times New Roman" w:hAnsi="Times New Roman"/>
          <w:color w:val="000000" w:themeColor="text1"/>
          <w:sz w:val="16"/>
          <w:szCs w:val="16"/>
          <w:lang w:val="en-US" w:eastAsia="ru-RU"/>
        </w:rPr>
        <w:t xml:space="preserve">(HARRISON </w:t>
      </w:r>
      <w:r w:rsidRPr="0044524F">
        <w:rPr>
          <w:rFonts w:ascii="Times New Roman" w:eastAsia="Times New Roman" w:hAnsi="Times New Roman"/>
          <w:color w:val="000000" w:themeColor="text1"/>
          <w:sz w:val="16"/>
          <w:szCs w:val="16"/>
          <w:lang w:eastAsia="ru-RU"/>
        </w:rPr>
        <w:t>М</w:t>
      </w:r>
      <w:r w:rsidRPr="0044524F">
        <w:rPr>
          <w:rFonts w:ascii="Times New Roman" w:eastAsia="Times New Roman" w:hAnsi="Times New Roman"/>
          <w:color w:val="000000" w:themeColor="text1"/>
          <w:sz w:val="16"/>
          <w:szCs w:val="16"/>
          <w:lang w:val="en-US" w:eastAsia="ru-RU"/>
        </w:rPr>
        <w:t>., DAVIKS R. W. The Soviet Military-Economic Effort During the Second Five-Year Plan (1933-1937) // Europe-Asia Studies. 1997. Vol</w:t>
      </w:r>
      <w:r w:rsidRPr="0044524F">
        <w:rPr>
          <w:rFonts w:ascii="Times New Roman" w:eastAsia="Times New Roman" w:hAnsi="Times New Roman"/>
          <w:color w:val="000000" w:themeColor="text1"/>
          <w:sz w:val="16"/>
          <w:szCs w:val="16"/>
          <w:lang w:eastAsia="ru-RU"/>
        </w:rPr>
        <w:t xml:space="preserve">. 49- № 3. </w:t>
      </w:r>
      <w:r w:rsidRPr="0044524F">
        <w:rPr>
          <w:rFonts w:ascii="Times New Roman" w:eastAsia="Times New Roman" w:hAnsi="Times New Roman"/>
          <w:color w:val="000000" w:themeColor="text1"/>
          <w:sz w:val="16"/>
          <w:szCs w:val="16"/>
          <w:lang w:val="en-US" w:eastAsia="ru-RU"/>
        </w:rPr>
        <w:t>P</w:t>
      </w:r>
      <w:r w:rsidRPr="0044524F">
        <w:rPr>
          <w:rFonts w:ascii="Times New Roman" w:eastAsia="Times New Roman" w:hAnsi="Times New Roman"/>
          <w:color w:val="000000" w:themeColor="text1"/>
          <w:sz w:val="16"/>
          <w:szCs w:val="16"/>
          <w:lang w:eastAsia="ru-RU"/>
        </w:rPr>
        <w:t xml:space="preserve">. 384).). Они отражали промежуточную фазу подготовки второго пятилетнего плана развития народного хозяйства СССР, которая была начата в январе 1932 г. амбициозными директивами ХУП партконференции и завершилась его утверждением XVII партсъездом в феврале 1934 г. (См.: </w:t>
      </w:r>
      <w:r w:rsidRPr="0044524F">
        <w:rPr>
          <w:rFonts w:ascii="Times New Roman" w:eastAsia="Times New Roman" w:hAnsi="Times New Roman"/>
          <w:color w:val="000000" w:themeColor="text1"/>
          <w:sz w:val="16"/>
          <w:szCs w:val="16"/>
          <w:lang w:val="en-US" w:eastAsia="ru-RU"/>
        </w:rPr>
        <w:t>DAYTES</w:t>
      </w:r>
      <w:r w:rsidRPr="0044524F">
        <w:rPr>
          <w:rFonts w:ascii="Times New Roman" w:eastAsia="Times New Roman" w:hAnsi="Times New Roman"/>
          <w:color w:val="000000" w:themeColor="text1"/>
          <w:sz w:val="16"/>
          <w:szCs w:val="16"/>
          <w:lang w:eastAsia="ru-RU"/>
        </w:rPr>
        <w:t xml:space="preserve"> 1С </w:t>
      </w:r>
      <w:r w:rsidRPr="0044524F">
        <w:rPr>
          <w:rFonts w:ascii="Times New Roman" w:eastAsia="Times New Roman" w:hAnsi="Times New Roman"/>
          <w:color w:val="000000" w:themeColor="text1"/>
          <w:sz w:val="16"/>
          <w:szCs w:val="16"/>
          <w:lang w:val="en-US" w:eastAsia="ru-RU"/>
        </w:rPr>
        <w:t>W</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KHLEVNH</w:t>
      </w:r>
      <w:r w:rsidRPr="0044524F">
        <w:rPr>
          <w:rFonts w:ascii="Times New Roman" w:eastAsia="Times New Roman" w:hAnsi="Times New Roman"/>
          <w:color w:val="000000" w:themeColor="text1"/>
          <w:sz w:val="16"/>
          <w:szCs w:val="16"/>
          <w:lang w:eastAsia="ru-RU"/>
        </w:rPr>
        <w:t xml:space="preserve"> к О. </w:t>
      </w:r>
      <w:r w:rsidRPr="0044524F">
        <w:rPr>
          <w:rFonts w:ascii="Times New Roman" w:eastAsia="Times New Roman" w:hAnsi="Times New Roman"/>
          <w:color w:val="000000" w:themeColor="text1"/>
          <w:sz w:val="16"/>
          <w:szCs w:val="16"/>
          <w:lang w:val="en-US" w:eastAsia="ru-RU"/>
        </w:rPr>
        <w:t>Gosplan</w:t>
      </w:r>
      <w:r w:rsidRPr="0044524F">
        <w:rPr>
          <w:rFonts w:ascii="Times New Roman" w:eastAsia="Times New Roman" w:hAnsi="Times New Roman"/>
          <w:color w:val="000000" w:themeColor="text1"/>
          <w:sz w:val="16"/>
          <w:szCs w:val="16"/>
          <w:lang w:eastAsia="ru-RU"/>
        </w:rPr>
        <w:t xml:space="preserve"> // </w:t>
      </w:r>
      <w:r w:rsidRPr="0044524F">
        <w:rPr>
          <w:rFonts w:ascii="Times New Roman" w:eastAsia="Times New Roman" w:hAnsi="Times New Roman"/>
          <w:color w:val="000000" w:themeColor="text1"/>
          <w:sz w:val="16"/>
          <w:szCs w:val="16"/>
          <w:lang w:val="en-US" w:eastAsia="ru-RU"/>
        </w:rPr>
        <w:t>Decision</w:t>
      </w:r>
      <w:r w:rsidRPr="0044524F">
        <w:rPr>
          <w:rFonts w:ascii="Times New Roman" w:eastAsia="Times New Roman" w:hAnsi="Times New Roman"/>
          <w:color w:val="000000" w:themeColor="text1"/>
          <w:sz w:val="16"/>
          <w:szCs w:val="16"/>
          <w:lang w:eastAsia="ru-RU"/>
        </w:rPr>
        <w:t>-</w:t>
      </w:r>
      <w:r w:rsidRPr="0044524F">
        <w:rPr>
          <w:rFonts w:ascii="Times New Roman" w:eastAsia="Times New Roman" w:hAnsi="Times New Roman"/>
          <w:color w:val="000000" w:themeColor="text1"/>
          <w:sz w:val="16"/>
          <w:szCs w:val="16"/>
          <w:lang w:val="en-US" w:eastAsia="ru-RU"/>
        </w:rPr>
        <w:t>Making</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in</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the</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Stalinist</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Command</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Economy</w:t>
      </w:r>
      <w:r w:rsidRPr="0044524F">
        <w:rPr>
          <w:rFonts w:ascii="Times New Roman" w:eastAsia="Times New Roman" w:hAnsi="Times New Roman"/>
          <w:color w:val="000000" w:themeColor="text1"/>
          <w:sz w:val="16"/>
          <w:szCs w:val="16"/>
          <w:lang w:eastAsia="ru-RU"/>
        </w:rPr>
        <w:t xml:space="preserve">, 1932-1937 / </w:t>
      </w:r>
      <w:r w:rsidRPr="0044524F">
        <w:rPr>
          <w:rFonts w:ascii="Times New Roman" w:eastAsia="Times New Roman" w:hAnsi="Times New Roman"/>
          <w:color w:val="000000" w:themeColor="text1"/>
          <w:sz w:val="16"/>
          <w:szCs w:val="16"/>
          <w:lang w:val="en-US" w:eastAsia="ru-RU"/>
        </w:rPr>
        <w:t>Ed</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E</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A</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Rees</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N</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Y</w:t>
      </w:r>
      <w:r w:rsidRPr="0044524F">
        <w:rPr>
          <w:rFonts w:ascii="Times New Roman" w:eastAsia="Times New Roman" w:hAnsi="Times New Roman"/>
          <w:color w:val="000000" w:themeColor="text1"/>
          <w:sz w:val="16"/>
          <w:szCs w:val="16"/>
          <w:lang w:eastAsia="ru-RU"/>
        </w:rPr>
        <w:t xml:space="preserve">., 1997. P. 10-52) Параллельно была начата разработка мобилизационных планов на 1934-1938 гг. </w:t>
      </w:r>
      <w:r w:rsidRPr="0044524F">
        <w:rPr>
          <w:rFonts w:ascii="Times New Roman" w:hAnsi="Times New Roman"/>
          <w:color w:val="000000" w:themeColor="text1"/>
          <w:sz w:val="16"/>
          <w:szCs w:val="16"/>
        </w:rPr>
        <w:t>(22725).</w:t>
      </w:r>
    </w:p>
    <w:p w14:paraId="64AF817F" w14:textId="77777777" w:rsidR="00DC736B" w:rsidRPr="0044524F" w:rsidRDefault="00DC736B" w:rsidP="009654CF">
      <w:pPr>
        <w:spacing w:after="0" w:line="240" w:lineRule="auto"/>
        <w:jc w:val="both"/>
        <w:rPr>
          <w:rFonts w:ascii="Times New Roman" w:hAnsi="Times New Roman"/>
          <w:color w:val="000000" w:themeColor="text1"/>
          <w:sz w:val="16"/>
          <w:szCs w:val="16"/>
        </w:rPr>
      </w:pPr>
    </w:p>
    <w:p w14:paraId="0A6EE3C1"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B240A73"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10B1C57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января 1933 началась паспортизация жителей столицы, работающих на двадцати промышленных предприятиях Москвы, которая к концу первой недели помогла "выявить" 3.450 "бывших белогвардейцев, бывших кулаков и других чуждых и преступных элементов" (10687).</w:t>
      </w:r>
    </w:p>
    <w:p w14:paraId="0EF1C226"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6BB1E3B3"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2793733"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1F476C0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января 1933 в Сан-Франциско началось строительство моста над проливом Золотые ворота (1280 м) (3263,16).</w:t>
      </w:r>
    </w:p>
    <w:p w14:paraId="120833D8"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5FB99D24" w14:textId="77777777" w:rsidR="00460F2B" w:rsidRPr="0044524F" w:rsidRDefault="00460F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5 января</w:t>
      </w:r>
      <w:r w:rsidRPr="0044524F">
        <w:rPr>
          <w:rFonts w:ascii="Times New Roman" w:hAnsi="Times New Roman"/>
          <w:color w:val="000000" w:themeColor="text1"/>
          <w:sz w:val="16"/>
          <w:szCs w:val="16"/>
        </w:rPr>
        <w:t xml:space="preserve"> в 1933 году в Сан-Франциско начинается строительство одного из самых известных в мире мостов над проливом Золотые ворота, самым узким входом из Тихого океана в Сан-Францисский залив. Завершено строительство будет в 1937. Мост длиной 1280 метров с шестью рядами движения и двумя пешеходными дорожками будет подвешен на двух главных канатах толщиной 93 см, закрепленных на стальных опорах высотой 227 м. Общий вес этого "легчайшего" сооружения в момент окончания строительства составлял 894500 тонн (в 1986, после замены бетонного покрытия асфальтированной сталью, он сократился до 887000 тонн). Длина каждого основного кабеля диаметром в 91,6 см составляет 2304 метра, помноженная на общее количество содержащихся в нем проводов, имеет протяженность 128 тысяч километров, что равно более чем трем виткам вокруг Земли по линии Экватора. При проектировании его конструкции не использовалась никакая </w:t>
      </w:r>
      <w:r w:rsidRPr="0044524F">
        <w:rPr>
          <w:rFonts w:ascii="Times New Roman" w:hAnsi="Times New Roman"/>
          <w:color w:val="000000" w:themeColor="text1"/>
          <w:sz w:val="16"/>
          <w:szCs w:val="16"/>
        </w:rPr>
        <w:lastRenderedPageBreak/>
        <w:t>вычислительная техника, а все расчеты производились под руководством инженера Джозефа Бермана Страуса при помощи арифмометров и логарифмических линеек. Архитектор моста И. Морроу использовал при разработке его дизайна элементы стиля арт-деко. С самого начала мост был выкрашен оранжево-красной краской, ведь в состав именно этих красителей входит свинцовый компонент, который защищает сталь от ржавчины. Жители Сан-Франциско шутят, что на мосту постоянно ведутся реставрационные работы, потому что, когда маляры доходят до конца моста, его начало уже снова нуждается в покраске. Задолго до того, как строительство было закончено, американцы прозвали это сооружение "мостом, которого не могло быть". А начиналось все с того, что шесть северо-калифорнийские графств, объединившиеся в "Округ Моста", захотели иметь прямую связь с Сан-Франциско. Проект был представлен в 1921 году и требовал 27 миллионов. 12 лет ушло на сбор средств, получение разрешения и улаживание конфликтов, в том числе с паромными компаниями, боявшимися конкуренции, и с Минобороны, которое сначала опасалось, что мост помешает движению военных судов, а потом, когда это было опровергнуто, потребовавшее, чтобы мост был выкрашен в черно-желтую полоску. Спустя четыре с половиной года после начала строительства, спустя более десяти лет после объединения шести северо-калифорнийских графств, заинтересованных в прямом сообщении с Сан-Франциско, в "Округ Моста", спустя 65 лет после рождения самой идеи соединить Сан-Франциско с северо-калифорнийскими графствами мостом через пролив Золотые Ворота. Одна из основных трудностей при строительстве была связана с необходимостью держащих основ противостоять сильным ветрам и штормам, налетающим в пролив со стороны Тихого океана. К счастью, строителям удалось найти огромные скалы из твердых пород, в которых были выдолблены ниши, заполненные затем 27 тысяч 432 куб. м бетона. Но, несмотря на все перечисленные заслуги, возможно, Страус не удостоился бы памятника у подножия своего любимого детища, если бы не его заслуги гуманиста. До строительства моста Золотые Ворота проектировщики, исходя из опыта, "закладывали" и будущие жертвы из расчета 1 смертный случай на каждый миллион долларов расходов на строительство моста. Страус изменил эту печальную статистику, настояв на введении двух принципиально новых требований к строителям. Он впервые ввел в употребление твердые строительные каски и добился обеспечения безопасной сетки, протянутой под всей площадью строительства. Сетка спасла жизни 19 человек, которые вошли в историю как "Клуб одной ногой побывавших в Аду". Несмотря на все старания Страуса, проект унес жизни 11 рабочих, находившихся в упавшей люльке строительных лесов. Тем не менее к моменту завершения воздвижение моста Золотые Ворота было признано самым безопасным - 11 смертных случаев на 35 млн. долларов расходов. Вряд ли автор проекта мог предположить, что, получив всемирное признание как одно из "чудес света", его детище вскоре обнаружит свою неожиданную сторону - особую способность привлекать самоубийц. "Здесь я, пожалуй, сойду", - ставшие знаменитыми слова человека, первым спрыгнувшего с моста Золотые Ворота уже спустя три месяца после его открытия. К настоящему времени статистика смертельных случаев, связанных со "Стражем Золотых Ворот", по официальным данным перевалила за тысячу, по неофициальным же составила значительно больше (в среднем 300 случаев в год). Психологи считают, что вплотную подошедших к смертельной грани, помимо "безболезненности и быстроты" решения проблемы (самоубийца пролетает 70 м и входит в воду со скоростью 160 км в час), влечет эстетическая, а также артистическая сторона - возможность уйти из жизни "на людях", в последний раз взглянув на одно из самых красивых мест нашей Планеты. Неслучайно многие покончившие с жизнью на мосту Золотые Ворота по пути пересекли не один из других мостов, казалось бы, предоставляющих не меньшие возможности.. (15000).</w:t>
      </w:r>
    </w:p>
    <w:p w14:paraId="6ECE4657" w14:textId="77777777" w:rsidR="00460F2B" w:rsidRPr="0044524F" w:rsidRDefault="00460F2B" w:rsidP="009654CF">
      <w:pPr>
        <w:spacing w:after="0" w:line="240" w:lineRule="auto"/>
        <w:jc w:val="both"/>
        <w:rPr>
          <w:rFonts w:ascii="Times New Roman" w:hAnsi="Times New Roman"/>
          <w:color w:val="000000" w:themeColor="text1"/>
          <w:sz w:val="16"/>
          <w:szCs w:val="16"/>
        </w:rPr>
      </w:pPr>
    </w:p>
    <w:p w14:paraId="7A6D76C1"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471D3C1"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2DD586E1" w14:textId="77777777" w:rsidR="00310B25" w:rsidRPr="0044524F" w:rsidRDefault="00310B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6 января</w:t>
      </w:r>
      <w:r w:rsidRPr="0044524F">
        <w:rPr>
          <w:rFonts w:ascii="Times New Roman" w:hAnsi="Times New Roman"/>
          <w:color w:val="000000" w:themeColor="text1"/>
          <w:sz w:val="16"/>
          <w:szCs w:val="16"/>
        </w:rPr>
        <w:t xml:space="preserve"> в 1933 году совершил свой первый полет биплан «Bleriot-SPAD» «S.510.01» (компания «Bleriot-SPAD», Франция), сконструированный в 1930 г. на основе экспериментальной модели «SPAD» «S.91» как одноместный истребитель для ВВС Франции. Прототип имел фюзеляж с овальным поперечным сечением, изготовленный из стали и дюраля, хвостовой отсек которого типа монокок был изготовлен из дюраля. Крылья одинакового размаха были цельнометаллическими, с полотняной обшивкой и имели с каждой стороны стандартные одиночные обтекаемые вертикальные стойки I-типа, характерные для Эрбемона. Стреловидность имелась только у верхнего крыла, а элероны были установлены на верхнем и нижнем крыльях. V-образный двигатель «Hispano-Suiza» «12Xbrs» получил передний радиатор. Главные стойки шасси имели обтекаемую форму, а колеса были закрыты обтекателями. Открытая кабина пилота располагалась как раз под вырезом в задней кромке верхнего крыла (15001).</w:t>
      </w:r>
    </w:p>
    <w:p w14:paraId="73A43190" w14:textId="77777777" w:rsidR="00310B25" w:rsidRPr="0044524F" w:rsidRDefault="00310B25" w:rsidP="009654CF">
      <w:pPr>
        <w:spacing w:after="0" w:line="240" w:lineRule="auto"/>
        <w:jc w:val="both"/>
        <w:rPr>
          <w:rFonts w:ascii="Times New Roman" w:hAnsi="Times New Roman"/>
          <w:color w:val="000000" w:themeColor="text1"/>
          <w:sz w:val="16"/>
          <w:szCs w:val="16"/>
        </w:rPr>
      </w:pPr>
    </w:p>
    <w:p w14:paraId="75475905" w14:textId="77777777" w:rsidR="008E26BD" w:rsidRPr="0044524F" w:rsidRDefault="008E26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января 1933 года — первый полёт истребителя Blériot-SPAD S.510. Стал последним истребителем-бипланом для французских ВВС.</w:t>
      </w:r>
    </w:p>
    <w:p w14:paraId="4D2EFF24" w14:textId="77777777" w:rsidR="008E26BD" w:rsidRPr="0044524F" w:rsidRDefault="008E26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Самолёт разработан на базе экспериментального Blériot-SPAD S.91. Пусть не удивляет выбор такой схемы. Французы тут не едины — британский Gloster Gladiator и итальянский Fiat CR.42 Falco полетели ещё позже.</w:t>
      </w:r>
    </w:p>
    <w:p w14:paraId="1EFED854" w14:textId="77777777" w:rsidR="008E26BD" w:rsidRPr="0044524F" w:rsidRDefault="008E26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S.510 внешне и был близок к поздним истребителям Первой мировой войны, но качественно это был совершенно другой самолёт — цельнометаллическая конструкция, оборудование для ночных полётов и радиосвязь.</w:t>
      </w:r>
    </w:p>
    <w:p w14:paraId="31BDD699" w14:textId="77777777" w:rsidR="008E26BD" w:rsidRPr="0044524F" w:rsidRDefault="008E26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Истребитель получился маневренным и скороподъёмным, но к моменту принятия на вооружение в 1936 году уступал истребителям-монопланам. В итоге было построено всего 60 Blériot-SPAD S.510 (22300).</w:t>
      </w:r>
    </w:p>
    <w:p w14:paraId="5ADE7B61" w14:textId="77777777" w:rsidR="008E26BD" w:rsidRPr="0044524F" w:rsidRDefault="008E26BD" w:rsidP="009654CF">
      <w:pPr>
        <w:spacing w:after="0" w:line="240" w:lineRule="auto"/>
        <w:jc w:val="both"/>
        <w:rPr>
          <w:rFonts w:ascii="Times New Roman" w:hAnsi="Times New Roman"/>
          <w:color w:val="000000" w:themeColor="text1"/>
          <w:sz w:val="16"/>
          <w:szCs w:val="16"/>
        </w:rPr>
      </w:pPr>
    </w:p>
    <w:p w14:paraId="7D0E5A9E" w14:textId="77777777" w:rsidR="00095B9C" w:rsidRPr="0044524F" w:rsidRDefault="00095B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января 1933 Муссолини амнистировал тысячи арестованных ранее фашистов (4962).</w:t>
      </w:r>
    </w:p>
    <w:p w14:paraId="2AB76299" w14:textId="77777777" w:rsidR="00095B9C" w:rsidRPr="0044524F" w:rsidRDefault="00095B9C" w:rsidP="009654CF">
      <w:pPr>
        <w:tabs>
          <w:tab w:val="left" w:pos="11199"/>
        </w:tabs>
        <w:spacing w:after="0" w:line="240" w:lineRule="auto"/>
        <w:jc w:val="both"/>
        <w:rPr>
          <w:rFonts w:ascii="Times New Roman" w:hAnsi="Times New Roman"/>
          <w:color w:val="000000" w:themeColor="text1"/>
          <w:sz w:val="16"/>
          <w:szCs w:val="16"/>
        </w:rPr>
      </w:pPr>
    </w:p>
    <w:p w14:paraId="584E6385"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24CBA49"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64935B9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января 1933 г. в НИИ попал второй Р-5 с разрезным крылом, отличавшийся наличием вооружения. Летал на ней пилот Козлов. Испытания, проходившие до 25 марта, опять показали, что посадочная скорость уменьшилась, а допустимый угол атаки - увеличился. Разбег стал короче. Но максимальная скорость полета упала, а устойчивость с выпущенными закрылками стала существенно хуже, чем без них. Пришли к выводу, что для столь тихоходного самолета, как Р-5, "разрезное" крыло существенного выигрыша не даст. Для этого самолета сделали шасси с тормозными колесами, но неизвестно, летал ли он с ним. Хотя в августе 1933 г. военные планировали постройку десяти таких машин для войсковых испытаний, в серийное производство варианте разрезным крылом внедрять не стали. Работы по доводке второго самолета как экспериментального шли до августа 1934 г. (12034).</w:t>
      </w:r>
    </w:p>
    <w:p w14:paraId="042E4864"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2DB32391"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января 1933 г. вторая машина Р-5 с разрезным крылом, отличавшаяся наличием вооружения, попала в НИИ ВВС. Летал на ней пилот Козлов. Испытания, проходившие до 25 марта, опять по</w:t>
      </w:r>
      <w:r w:rsidRPr="00142305">
        <w:rPr>
          <w:rFonts w:ascii="Times New Roman" w:hAnsi="Times New Roman"/>
          <w:color w:val="0070C0"/>
          <w:sz w:val="16"/>
          <w:szCs w:val="16"/>
        </w:rPr>
        <w:softHyphen/>
        <w:t>казали, что посадочная скорость уменьшилась, а допусти</w:t>
      </w:r>
      <w:r w:rsidRPr="00142305">
        <w:rPr>
          <w:rFonts w:ascii="Times New Roman" w:hAnsi="Times New Roman"/>
          <w:color w:val="0070C0"/>
          <w:sz w:val="16"/>
          <w:szCs w:val="16"/>
        </w:rPr>
        <w:softHyphen/>
        <w:t>мый угол атаки — увеличился. Разбег стал короче. Но мак</w:t>
      </w:r>
      <w:r w:rsidRPr="00142305">
        <w:rPr>
          <w:rFonts w:ascii="Times New Roman" w:hAnsi="Times New Roman"/>
          <w:color w:val="0070C0"/>
          <w:sz w:val="16"/>
          <w:szCs w:val="16"/>
        </w:rPr>
        <w:softHyphen/>
        <w:t>симальная скорость полета упала, а устойчивость с выпу</w:t>
      </w:r>
      <w:r w:rsidRPr="00142305">
        <w:rPr>
          <w:rFonts w:ascii="Times New Roman" w:hAnsi="Times New Roman"/>
          <w:color w:val="0070C0"/>
          <w:sz w:val="16"/>
          <w:szCs w:val="16"/>
        </w:rPr>
        <w:softHyphen/>
        <w:t>щенными закрылками стала существенно хуже, чем без них. Пришли к выводу, что для столь тихоходного само</w:t>
      </w:r>
      <w:r w:rsidRPr="00142305">
        <w:rPr>
          <w:rFonts w:ascii="Times New Roman" w:hAnsi="Times New Roman"/>
          <w:color w:val="0070C0"/>
          <w:sz w:val="16"/>
          <w:szCs w:val="16"/>
        </w:rPr>
        <w:softHyphen/>
        <w:t>лета, как Р-5, «разрезное» крыло существенного выигры</w:t>
      </w:r>
      <w:r w:rsidRPr="00142305">
        <w:rPr>
          <w:rFonts w:ascii="Times New Roman" w:hAnsi="Times New Roman"/>
          <w:color w:val="0070C0"/>
          <w:sz w:val="16"/>
          <w:szCs w:val="16"/>
        </w:rPr>
        <w:softHyphen/>
        <w:t>ша не даст. Для этого самолета сделали шасси с тормозны</w:t>
      </w:r>
      <w:r w:rsidRPr="00142305">
        <w:rPr>
          <w:rFonts w:ascii="Times New Roman" w:hAnsi="Times New Roman"/>
          <w:color w:val="0070C0"/>
          <w:sz w:val="16"/>
          <w:szCs w:val="16"/>
        </w:rPr>
        <w:softHyphen/>
        <w:t>ми колесами, но неизвестно, летал ли он с ним. Хотя в ав</w:t>
      </w:r>
      <w:r w:rsidRPr="00142305">
        <w:rPr>
          <w:rFonts w:ascii="Times New Roman" w:hAnsi="Times New Roman"/>
          <w:color w:val="0070C0"/>
          <w:sz w:val="16"/>
          <w:szCs w:val="16"/>
        </w:rPr>
        <w:softHyphen/>
        <w:t>густе I933 г. военные планировали постройку десяти таких машин для войсковых испытаний, в серийное производс</w:t>
      </w:r>
      <w:r w:rsidRPr="00142305">
        <w:rPr>
          <w:rFonts w:ascii="Times New Roman" w:hAnsi="Times New Roman"/>
          <w:color w:val="0070C0"/>
          <w:sz w:val="16"/>
          <w:szCs w:val="16"/>
        </w:rPr>
        <w:softHyphen/>
        <w:t>тво варианте разрезным крылом внедрять не стали. Работы по доводке второго самолета как экспериментального шли до августа 1934 г. (24990).</w:t>
      </w:r>
    </w:p>
    <w:p w14:paraId="4C682D2B" w14:textId="77777777" w:rsidR="000B01C4" w:rsidRPr="00142305" w:rsidRDefault="000B01C4" w:rsidP="000B01C4">
      <w:pPr>
        <w:spacing w:after="0" w:line="240" w:lineRule="auto"/>
        <w:jc w:val="both"/>
        <w:rPr>
          <w:rFonts w:ascii="Times New Roman" w:hAnsi="Times New Roman"/>
          <w:color w:val="0070C0"/>
          <w:sz w:val="16"/>
          <w:szCs w:val="16"/>
        </w:rPr>
      </w:pPr>
    </w:p>
    <w:p w14:paraId="7E9BDA33" w14:textId="77777777" w:rsidR="00820904" w:rsidRPr="0044524F" w:rsidRDefault="00820904"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C0EC75F" w14:textId="77777777" w:rsidR="00820904" w:rsidRPr="0044524F" w:rsidRDefault="00820904" w:rsidP="009654CF">
      <w:pPr>
        <w:spacing w:after="0" w:line="240" w:lineRule="auto"/>
        <w:jc w:val="both"/>
        <w:rPr>
          <w:rFonts w:ascii="Times New Roman" w:hAnsi="Times New Roman"/>
          <w:iCs/>
          <w:color w:val="000000" w:themeColor="text1"/>
          <w:sz w:val="16"/>
          <w:szCs w:val="16"/>
        </w:rPr>
      </w:pPr>
    </w:p>
    <w:p w14:paraId="1E035045" w14:textId="77777777" w:rsidR="00820904" w:rsidRPr="0044524F" w:rsidRDefault="008209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января 1933 г. Московский горком партии обсудил доклад Ротерта, постановив принять за основу строительства заключение советской экспертной комиссии и просить Центральный комитет ВКП(б) продлить срок завершения работы над объектом с 1 января на 1 декабря 1934 г. Для окончательного определения способа сооружения было принято решение провести заново геологические изыскания на каждом отдельном участке. Схема линий метро при этом оставалась неизменной{449}.</w:t>
      </w:r>
    </w:p>
    <w:p w14:paraId="002B28DC" w14:textId="77777777" w:rsidR="00820904" w:rsidRPr="0044524F" w:rsidRDefault="008209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Каганович принял решение на основе множества совещаний и технических консультаций, для участия в которых привлек в партийный комитет авторитетных геологов и других ученых{450}.Насколько позволяют судить источники, для Кагановича в первую очередь важно было определиться со способом строительства, который в минимальной мере затрагивал бы городскую жизнь, вероятно, чтобы не настроить население города против стройки. Возможно, свою роль сыграли и военные соображения: в самом начале дискуссии инженерМаковский обратил внимание Хрущева на то обстоятельство, что в случае войны тоннели глубокого залегания смогут служить надежными бомбоубежищами, чем привлек Хрущева на свою сторону{451}.По свидетельству внука одного из метростроевцев, Каганович приказал на военном полигоне проложить фрагменты метротоннелей на различной глубине и бомбардироватьих с воздуха, чтобы проверить пригодность в качестве защитных сооружений{452}.В газете «Вечерняя Москва» в начале 1933 г. появилась статья с требованием соблюдать при строительстве метро правила противовоздушной обороны и потому прокладывать тоннели глубокого залегания, оборудовав ряд станций газонепроницаемыми переборками{453} (18299).</w:t>
      </w:r>
    </w:p>
    <w:p w14:paraId="12CB1F78" w14:textId="77777777" w:rsidR="00820904" w:rsidRPr="0044524F" w:rsidRDefault="00820904" w:rsidP="009654CF">
      <w:pPr>
        <w:spacing w:after="0" w:line="240" w:lineRule="auto"/>
        <w:jc w:val="both"/>
        <w:rPr>
          <w:rFonts w:ascii="Times New Roman" w:hAnsi="Times New Roman"/>
          <w:color w:val="000000" w:themeColor="text1"/>
          <w:sz w:val="16"/>
          <w:szCs w:val="16"/>
        </w:rPr>
      </w:pPr>
    </w:p>
    <w:p w14:paraId="15830422"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E423D69"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282DDBC1" w14:textId="77777777" w:rsidR="00AD3AD2" w:rsidRPr="0044524F" w:rsidRDefault="00AD3A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января 1933 года И.В. Сталин в докладе об итогах первой пятилетки на объединенном пленуме ЦК и ЦКК ВКП(б) сказал: «У нас не было авиационной промышленности, у нас она есть теперь» (РГВА. Ф. 29. Оп. 26. Д. 206. Л. 12.) (21402).</w:t>
      </w:r>
    </w:p>
    <w:p w14:paraId="02545123" w14:textId="77777777" w:rsidR="00AD3AD2" w:rsidRPr="0044524F" w:rsidRDefault="00AD3AD2" w:rsidP="009654CF">
      <w:pPr>
        <w:spacing w:after="0" w:line="240" w:lineRule="auto"/>
        <w:jc w:val="both"/>
        <w:rPr>
          <w:rFonts w:ascii="Times New Roman" w:hAnsi="Times New Roman"/>
          <w:color w:val="000000" w:themeColor="text1"/>
          <w:sz w:val="16"/>
          <w:szCs w:val="16"/>
        </w:rPr>
      </w:pPr>
    </w:p>
    <w:p w14:paraId="2E3AC5D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января 1933 года врид начальника ВВС Наумов писал письмо № 3Н/03 начальнику ГУАПа Баранову</w:t>
      </w:r>
    </w:p>
    <w:p w14:paraId="1FC5576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предстоящему 8 января 1933 года совещанию в ГУАПе по вопросу постройки МБР2-М17 прошу учесть задания ВВС:</w:t>
      </w:r>
    </w:p>
    <w:p w14:paraId="70B5B82B" w14:textId="77777777" w:rsidR="00095B9C" w:rsidRPr="0044524F" w:rsidRDefault="00095B9C" w:rsidP="009654CF">
      <w:pPr>
        <w:numPr>
          <w:ilvl w:val="0"/>
          <w:numId w:val="1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1933 сдать в УВВС 20 гидросамолетов МБР2-М17 военного варианта по образцу опытного экземпляра с выполнением требований к эталону, представленных НИИ ВВС Самолетному тресту 15 ноября 1932 года.</w:t>
      </w:r>
    </w:p>
    <w:p w14:paraId="06672F9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Ваше предварительное решение о поставке для ВВС самолетов гражданского варианта в количестве примерно пяти экземпляров из числа строящихся для ГУГВФ не может удовлетворить нужд ВВС.</w:t>
      </w:r>
    </w:p>
    <w:p w14:paraId="3F99E2AA" w14:textId="77777777" w:rsidR="00095B9C" w:rsidRPr="0044524F" w:rsidRDefault="00095B9C" w:rsidP="009654CF">
      <w:pPr>
        <w:numPr>
          <w:ilvl w:val="0"/>
          <w:numId w:val="2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проектировании и постройке МБР2-М17 была предусмотрена установка его на колеса и лыжи.</w:t>
      </w:r>
    </w:p>
    <w:p w14:paraId="0D9964A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выполнить эту работу с расчетом предъявления амфибии на госиспытания в Севастополе к 1 июля 1933 года, а поставленный на лыжи самолет в Ленинграде к 1 ноября 1933 года.</w:t>
      </w:r>
    </w:p>
    <w:p w14:paraId="50B847A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ускорения этой работы может быть представлен имеющийся в ВВС экземпляр самолета, при условии доводки его ГУАПом как эталона (см. требования от 15 ноября 1933 года).</w:t>
      </w:r>
    </w:p>
    <w:p w14:paraId="48A1560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Считаю, что загрузка 2 бригады ЦАГИ позволяет не передвигая сроков других заданий выполнить работу.</w:t>
      </w:r>
    </w:p>
    <w:p w14:paraId="706D9F7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МБР2-М17, конкурирующий с аналогичными заграничными самолетами имеет много данных, чтобы стать основным ближним разведчиком, частью даже в сухопутной авиации.</w:t>
      </w:r>
    </w:p>
    <w:p w14:paraId="388B3AB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работы по МБР2-М17 взять под особое наблюдение (7486, 132).</w:t>
      </w:r>
    </w:p>
    <w:p w14:paraId="5057ADC8"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4EB2B9C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января 1933 года зам. Наркомтяжпрома и нач. Глававиапрома Баранов писал письмо Молотову.</w:t>
      </w:r>
    </w:p>
    <w:p w14:paraId="398F001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представляю количественные итоги работы авиапромышленности за 1932 год:</w:t>
      </w:r>
    </w:p>
    <w:p w14:paraId="3E03F7B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сдано потребителям: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4E10C1" w:rsidRPr="0044524F" w14:paraId="28135527" w14:textId="77777777">
        <w:tc>
          <w:tcPr>
            <w:tcW w:w="2254" w:type="dxa"/>
          </w:tcPr>
          <w:p w14:paraId="3942A3CF"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2254" w:type="dxa"/>
          </w:tcPr>
          <w:p w14:paraId="4C9319D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2254" w:type="dxa"/>
          </w:tcPr>
          <w:p w14:paraId="4253E8B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c>
      </w:tr>
      <w:tr w:rsidR="004E10C1" w:rsidRPr="0044524F" w14:paraId="186C971A" w14:textId="77777777">
        <w:tc>
          <w:tcPr>
            <w:tcW w:w="2254" w:type="dxa"/>
          </w:tcPr>
          <w:p w14:paraId="08B6742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вполне кондиционных</w:t>
            </w:r>
          </w:p>
        </w:tc>
        <w:tc>
          <w:tcPr>
            <w:tcW w:w="2254" w:type="dxa"/>
          </w:tcPr>
          <w:p w14:paraId="5A923AA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4567</w:t>
            </w:r>
          </w:p>
        </w:tc>
        <w:tc>
          <w:tcPr>
            <w:tcW w:w="2254" w:type="dxa"/>
          </w:tcPr>
          <w:p w14:paraId="36E2087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2487</w:t>
            </w:r>
          </w:p>
        </w:tc>
      </w:tr>
      <w:tr w:rsidR="004E10C1" w:rsidRPr="0044524F" w14:paraId="6E0D8E53" w14:textId="77777777">
        <w:tc>
          <w:tcPr>
            <w:tcW w:w="2254" w:type="dxa"/>
          </w:tcPr>
          <w:p w14:paraId="18ED854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 пониженной кондицией</w:t>
            </w:r>
          </w:p>
        </w:tc>
        <w:tc>
          <w:tcPr>
            <w:tcW w:w="2254" w:type="dxa"/>
          </w:tcPr>
          <w:p w14:paraId="6B1FD86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c>
          <w:tcPr>
            <w:tcW w:w="2254" w:type="dxa"/>
          </w:tcPr>
          <w:p w14:paraId="3FBDC3C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B06114A" w14:textId="77777777">
        <w:tc>
          <w:tcPr>
            <w:tcW w:w="2254" w:type="dxa"/>
          </w:tcPr>
          <w:p w14:paraId="1919F3D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учебных и макетов (в</w:t>
            </w:r>
          </w:p>
        </w:tc>
        <w:tc>
          <w:tcPr>
            <w:tcW w:w="2254" w:type="dxa"/>
          </w:tcPr>
          <w:p w14:paraId="13ACA2AD"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2254" w:type="dxa"/>
          </w:tcPr>
          <w:p w14:paraId="60E98E54"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r>
      <w:tr w:rsidR="004E10C1" w:rsidRPr="0044524F" w14:paraId="4568EFDD" w14:textId="77777777">
        <w:tc>
          <w:tcPr>
            <w:tcW w:w="2254" w:type="dxa"/>
          </w:tcPr>
          <w:p w14:paraId="32D24FD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полном снаряжении)</w:t>
            </w:r>
          </w:p>
        </w:tc>
        <w:tc>
          <w:tcPr>
            <w:tcW w:w="2254" w:type="dxa"/>
          </w:tcPr>
          <w:p w14:paraId="494E1D5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c>
          <w:tcPr>
            <w:tcW w:w="2254" w:type="dxa"/>
          </w:tcPr>
          <w:p w14:paraId="54C930F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1CF9A24" w14:textId="77777777">
        <w:tc>
          <w:tcPr>
            <w:tcW w:w="2254" w:type="dxa"/>
          </w:tcPr>
          <w:p w14:paraId="65C6D39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сдано:</w:t>
            </w:r>
          </w:p>
        </w:tc>
        <w:tc>
          <w:tcPr>
            <w:tcW w:w="2254" w:type="dxa"/>
          </w:tcPr>
          <w:p w14:paraId="17B02DB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4918</w:t>
            </w:r>
          </w:p>
        </w:tc>
        <w:tc>
          <w:tcPr>
            <w:tcW w:w="2254" w:type="dxa"/>
          </w:tcPr>
          <w:p w14:paraId="5CD566A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2487</w:t>
            </w:r>
          </w:p>
        </w:tc>
      </w:tr>
      <w:tr w:rsidR="004E10C1" w:rsidRPr="0044524F" w14:paraId="614B83A3" w14:textId="77777777">
        <w:tc>
          <w:tcPr>
            <w:tcW w:w="2254" w:type="dxa"/>
          </w:tcPr>
          <w:p w14:paraId="1459148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Правительственное задание</w:t>
            </w:r>
          </w:p>
        </w:tc>
        <w:tc>
          <w:tcPr>
            <w:tcW w:w="2254" w:type="dxa"/>
          </w:tcPr>
          <w:p w14:paraId="38750A1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5310</w:t>
            </w:r>
          </w:p>
        </w:tc>
        <w:tc>
          <w:tcPr>
            <w:tcW w:w="2254" w:type="dxa"/>
          </w:tcPr>
          <w:p w14:paraId="7D0FC6D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3461</w:t>
            </w:r>
          </w:p>
        </w:tc>
      </w:tr>
      <w:tr w:rsidR="004E10C1" w:rsidRPr="0044524F" w14:paraId="5646F01A" w14:textId="77777777">
        <w:tc>
          <w:tcPr>
            <w:tcW w:w="2254" w:type="dxa"/>
          </w:tcPr>
          <w:p w14:paraId="2905EF2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в 1931 году</w:t>
            </w:r>
          </w:p>
        </w:tc>
        <w:tc>
          <w:tcPr>
            <w:tcW w:w="2254" w:type="dxa"/>
          </w:tcPr>
          <w:p w14:paraId="63B3F34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1640</w:t>
            </w:r>
          </w:p>
        </w:tc>
        <w:tc>
          <w:tcPr>
            <w:tcW w:w="2254" w:type="dxa"/>
          </w:tcPr>
          <w:p w14:paraId="09888AF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1489</w:t>
            </w:r>
          </w:p>
        </w:tc>
      </w:tr>
      <w:tr w:rsidR="004E10C1" w:rsidRPr="0044524F" w14:paraId="25ED78C4" w14:textId="77777777">
        <w:tc>
          <w:tcPr>
            <w:tcW w:w="2254" w:type="dxa"/>
          </w:tcPr>
          <w:p w14:paraId="7A760A4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Рост выпуска по количеству</w:t>
            </w:r>
          </w:p>
        </w:tc>
        <w:tc>
          <w:tcPr>
            <w:tcW w:w="2254" w:type="dxa"/>
          </w:tcPr>
          <w:p w14:paraId="1D7466A3"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2254" w:type="dxa"/>
          </w:tcPr>
          <w:p w14:paraId="15923AFB"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r>
      <w:tr w:rsidR="004E10C1" w:rsidRPr="0044524F" w14:paraId="3ECC0786" w14:textId="77777777">
        <w:tc>
          <w:tcPr>
            <w:tcW w:w="2254" w:type="dxa"/>
          </w:tcPr>
          <w:p w14:paraId="223EB8E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единиц в сравнении с прошлым</w:t>
            </w:r>
          </w:p>
        </w:tc>
        <w:tc>
          <w:tcPr>
            <w:tcW w:w="2254" w:type="dxa"/>
          </w:tcPr>
          <w:p w14:paraId="5B48CE4F"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2254" w:type="dxa"/>
          </w:tcPr>
          <w:p w14:paraId="131F9CB8"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r>
      <w:tr w:rsidR="004E10C1" w:rsidRPr="0044524F" w14:paraId="6A623712" w14:textId="77777777">
        <w:tc>
          <w:tcPr>
            <w:tcW w:w="2254" w:type="dxa"/>
          </w:tcPr>
          <w:p w14:paraId="344980D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годом составляет</w:t>
            </w:r>
          </w:p>
        </w:tc>
        <w:tc>
          <w:tcPr>
            <w:tcW w:w="2254" w:type="dxa"/>
          </w:tcPr>
          <w:p w14:paraId="02E1685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2254" w:type="dxa"/>
          </w:tcPr>
          <w:p w14:paraId="1C6BB09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w:t>
            </w:r>
          </w:p>
        </w:tc>
      </w:tr>
      <w:tr w:rsidR="004E10C1" w:rsidRPr="0044524F" w14:paraId="107B9108" w14:textId="77777777">
        <w:tc>
          <w:tcPr>
            <w:tcW w:w="2254" w:type="dxa"/>
          </w:tcPr>
          <w:p w14:paraId="54E7907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в целом по количеству</w:t>
            </w:r>
          </w:p>
        </w:tc>
        <w:tc>
          <w:tcPr>
            <w:tcW w:w="2254" w:type="dxa"/>
          </w:tcPr>
          <w:p w14:paraId="529D3643"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2254" w:type="dxa"/>
          </w:tcPr>
          <w:p w14:paraId="743781CD"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r>
      <w:tr w:rsidR="004E10C1" w:rsidRPr="0044524F" w14:paraId="7AEA4342" w14:textId="77777777">
        <w:tc>
          <w:tcPr>
            <w:tcW w:w="2254" w:type="dxa"/>
          </w:tcPr>
          <w:p w14:paraId="6F77A79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единиц исполнен на</w:t>
            </w:r>
          </w:p>
        </w:tc>
        <w:tc>
          <w:tcPr>
            <w:tcW w:w="2254" w:type="dxa"/>
          </w:tcPr>
          <w:p w14:paraId="5C66055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92,6%</w:t>
            </w:r>
          </w:p>
        </w:tc>
        <w:tc>
          <w:tcPr>
            <w:tcW w:w="2254" w:type="dxa"/>
          </w:tcPr>
          <w:p w14:paraId="50E84D4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71,9%</w:t>
            </w:r>
          </w:p>
        </w:tc>
      </w:tr>
      <w:tr w:rsidR="004E10C1" w:rsidRPr="0044524F" w14:paraId="61094D92" w14:textId="77777777">
        <w:tc>
          <w:tcPr>
            <w:tcW w:w="2254" w:type="dxa"/>
          </w:tcPr>
          <w:p w14:paraId="0823355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них по кондиционным моторам</w:t>
            </w:r>
          </w:p>
        </w:tc>
        <w:tc>
          <w:tcPr>
            <w:tcW w:w="2254" w:type="dxa"/>
          </w:tcPr>
          <w:p w14:paraId="49C1EF8B"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2254" w:type="dxa"/>
          </w:tcPr>
          <w:p w14:paraId="300F9664"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r>
      <w:tr w:rsidR="004E10C1" w:rsidRPr="0044524F" w14:paraId="75654A54" w14:textId="77777777">
        <w:tc>
          <w:tcPr>
            <w:tcW w:w="2254" w:type="dxa"/>
          </w:tcPr>
          <w:p w14:paraId="3CF1D2A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p>
        </w:tc>
        <w:tc>
          <w:tcPr>
            <w:tcW w:w="2254" w:type="dxa"/>
          </w:tcPr>
          <w:p w14:paraId="242BFB4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2254" w:type="dxa"/>
          </w:tcPr>
          <w:p w14:paraId="4652E699"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r>
    </w:tbl>
    <w:p w14:paraId="49E1750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отметить повышение трудоемкости в изготовлении выпущенных самолетов за счет утяжеления типов.</w:t>
      </w:r>
    </w:p>
    <w:p w14:paraId="6954230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Общий недодел правительственного задания составляет:</w:t>
      </w:r>
    </w:p>
    <w:p w14:paraId="5BCFA87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моторам - 392 ед., почти целиком за счет М-34 и по самолетам - 974 ед., преимущественно за счет новых типов и новых заводов.</w:t>
      </w:r>
    </w:p>
    <w:p w14:paraId="487DD10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моторостроению.</w:t>
      </w:r>
    </w:p>
    <w:p w14:paraId="1DC94C3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Главнейшей задачей являлось освоение и внедрение в серийное производство на заводе N 24 нового типа мотора М-34.</w:t>
      </w:r>
    </w:p>
    <w:p w14:paraId="4E7EB7A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 задача полностью разрешена выпуском в истекшем декабре 45 моторов пи плановом задании на этот месяц 55 единиц.</w:t>
      </w:r>
    </w:p>
    <w:p w14:paraId="6E59107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целом годовое задание по выпуску этого мотора не выполнено.</w:t>
      </w:r>
    </w:p>
    <w:p w14:paraId="69D9439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Увеличение выпуска моторов М-17 на заводе N 26 ослабило роль качества в производстве. В дальнейшем положение выправлено, о чем свидетельствуют удовлетворительные результаты проведенного на днях испытания рядового мотора на 200 часов при существующей норме в 100.</w:t>
      </w:r>
    </w:p>
    <w:p w14:paraId="4F024D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Программа по выпуску моторов с воздушным охлаждением (зав. N 29 - М-22 и М-11 и зав. N 24 - М-15 и М-26) перевыполнена.</w:t>
      </w:r>
    </w:p>
    <w:p w14:paraId="26760EB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отметить достигнутые результаты заводом N 29 по повышению качества выпускаемых моторов. В частности срок гарантийности работы мотора М-22 между переборками доведен с 50 до 100 часов и по М-11 с 100 до 200 часов.</w:t>
      </w:r>
    </w:p>
    <w:p w14:paraId="1A1E6FD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самолетостроению.</w:t>
      </w:r>
    </w:p>
    <w:p w14:paraId="1CB59F9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числа 9 предназначенных к действию заводов только 2 (NN 23 и ХАЗ) были свободны от внедрения новых типов или постановки заново производства. 2 завода ввиду задержек по линии капстроительства запоздали со входом в эксплуатацию (зав. NN 18 и 21), создав недодел программы на 276 единиц, из коих И-5 - 266 самолетов и ТБ-3 - 10 самолетов.</w:t>
      </w:r>
    </w:p>
    <w:p w14:paraId="7EB9245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Основной задачей по самолетостроению в минувшем году было:</w:t>
      </w:r>
    </w:p>
    <w:p w14:paraId="1FB3594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Освоение и внедрение в производство следующих новых типов:</w:t>
      </w:r>
    </w:p>
    <w:p w14:paraId="3E74931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тяжелого металлического бомбовоза - ТБ-3 одновременно на зав. NN 22, 39 и 18;</w:t>
      </w:r>
    </w:p>
    <w:p w14:paraId="193BD03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смешанной конструкции со сварным фюзеляжем истребителя И-7 на заводе N 1;</w:t>
      </w:r>
    </w:p>
    <w:p w14:paraId="26AEC4C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гидросамолета (лодки) С-62 на заводе N 31 при одновременном внедрении на том же заводе легкой амфибии - АШ и снятых с производства завода N 22 металлических машин Р-6 и АНТ-9.</w:t>
      </w:r>
    </w:p>
    <w:p w14:paraId="19C03CD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на заводе предстояла подготовка производства с выпуском 2-х головных машин металлического гидросамолета (лодки) МДР-3;</w:t>
      </w:r>
    </w:p>
    <w:p w14:paraId="7EEA0A0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тяжелого штурмовика ТШ на заводе N 16 с бронированной кабиной;</w:t>
      </w:r>
    </w:p>
    <w:p w14:paraId="73904C5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модифицированной модели деревянного истребителя И-5 на заводе N 21.</w:t>
      </w:r>
    </w:p>
    <w:p w14:paraId="01CCB73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ТБ-3.</w:t>
      </w:r>
    </w:p>
    <w:p w14:paraId="259E63B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N 22 - задание 40 машин в месяц не достигнуто.</w:t>
      </w:r>
    </w:p>
    <w:p w14:paraId="48646B6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N 39 - недодел 35 машин из задания 40.</w:t>
      </w:r>
    </w:p>
    <w:p w14:paraId="4F792BE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N 18 - не развернуто производство до стадии выпуска машин.</w:t>
      </w:r>
    </w:p>
    <w:p w14:paraId="7697174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ТШ - конструкция самолета не оправдала надежд, оказавшись весьма перетяжеленной. Решением правительства самолет снят с производства. (с. 45-48).</w:t>
      </w:r>
    </w:p>
    <w:p w14:paraId="1D66275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правительственного задания по самолетам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tblGrid>
      <w:tr w:rsidR="004E10C1" w:rsidRPr="0044524F" w14:paraId="21F2D79F" w14:textId="77777777">
        <w:tc>
          <w:tcPr>
            <w:tcW w:w="1127" w:type="dxa"/>
          </w:tcPr>
          <w:p w14:paraId="72FFEEF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NN заводов</w:t>
            </w:r>
          </w:p>
        </w:tc>
        <w:tc>
          <w:tcPr>
            <w:tcW w:w="1127" w:type="dxa"/>
          </w:tcPr>
          <w:p w14:paraId="5F7FB36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1127" w:type="dxa"/>
          </w:tcPr>
          <w:p w14:paraId="4112547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w:t>
            </w:r>
          </w:p>
        </w:tc>
        <w:tc>
          <w:tcPr>
            <w:tcW w:w="1127" w:type="dxa"/>
          </w:tcPr>
          <w:p w14:paraId="773EBE6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за весь 1932 год</w:t>
            </w:r>
          </w:p>
        </w:tc>
        <w:tc>
          <w:tcPr>
            <w:tcW w:w="1127" w:type="dxa"/>
          </w:tcPr>
          <w:p w14:paraId="3D1B74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w:t>
            </w:r>
          </w:p>
        </w:tc>
        <w:tc>
          <w:tcPr>
            <w:tcW w:w="1127" w:type="dxa"/>
          </w:tcPr>
          <w:p w14:paraId="6153E851"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B045F1D"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21C1C6C2"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r>
      <w:tr w:rsidR="004E10C1" w:rsidRPr="0044524F" w14:paraId="0DD8E773" w14:textId="77777777">
        <w:tc>
          <w:tcPr>
            <w:tcW w:w="1127" w:type="dxa"/>
          </w:tcPr>
          <w:p w14:paraId="7C46ABC0"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E37DF68"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00827FF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изделий</w:t>
            </w:r>
          </w:p>
        </w:tc>
        <w:tc>
          <w:tcPr>
            <w:tcW w:w="1127" w:type="dxa"/>
          </w:tcPr>
          <w:p w14:paraId="2973B86A"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7768F4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Абс.</w:t>
            </w:r>
          </w:p>
        </w:tc>
        <w:tc>
          <w:tcPr>
            <w:tcW w:w="1127" w:type="dxa"/>
          </w:tcPr>
          <w:p w14:paraId="7A62804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 к</w:t>
            </w:r>
          </w:p>
        </w:tc>
        <w:tc>
          <w:tcPr>
            <w:tcW w:w="1127" w:type="dxa"/>
          </w:tcPr>
          <w:p w14:paraId="2FE0D74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 к</w:t>
            </w:r>
          </w:p>
        </w:tc>
        <w:tc>
          <w:tcPr>
            <w:tcW w:w="1127" w:type="dxa"/>
          </w:tcPr>
          <w:p w14:paraId="5FB069D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w:t>
            </w:r>
          </w:p>
        </w:tc>
      </w:tr>
      <w:tr w:rsidR="004E10C1" w:rsidRPr="0044524F" w14:paraId="3FBD646E" w14:textId="77777777">
        <w:tc>
          <w:tcPr>
            <w:tcW w:w="1127" w:type="dxa"/>
          </w:tcPr>
          <w:p w14:paraId="5533DCCD"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1AA7CE3"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485F731"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268EDC3"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E763F4F"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967A20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w:t>
            </w:r>
          </w:p>
        </w:tc>
        <w:tc>
          <w:tcPr>
            <w:tcW w:w="1127" w:type="dxa"/>
          </w:tcPr>
          <w:p w14:paraId="27BEADD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сдаче</w:t>
            </w:r>
          </w:p>
        </w:tc>
        <w:tc>
          <w:tcPr>
            <w:tcW w:w="1127" w:type="dxa"/>
          </w:tcPr>
          <w:p w14:paraId="59201B1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весь</w:t>
            </w:r>
          </w:p>
        </w:tc>
      </w:tr>
      <w:tr w:rsidR="004E10C1" w:rsidRPr="0044524F" w14:paraId="2A66ED0C" w14:textId="77777777">
        <w:tc>
          <w:tcPr>
            <w:tcW w:w="1127" w:type="dxa"/>
          </w:tcPr>
          <w:p w14:paraId="5FC2A694"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97D54B5"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8276E88"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BC83BE2"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BAE3D31"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66E76D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плану</w:t>
            </w:r>
          </w:p>
        </w:tc>
        <w:tc>
          <w:tcPr>
            <w:tcW w:w="1127" w:type="dxa"/>
          </w:tcPr>
          <w:p w14:paraId="16D0E6A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w:t>
            </w:r>
          </w:p>
        </w:tc>
        <w:tc>
          <w:tcPr>
            <w:tcW w:w="1127" w:type="dxa"/>
          </w:tcPr>
          <w:p w14:paraId="672C528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w:t>
            </w:r>
          </w:p>
        </w:tc>
      </w:tr>
      <w:tr w:rsidR="004E10C1" w:rsidRPr="0044524F" w14:paraId="5BB822A9" w14:textId="77777777">
        <w:tc>
          <w:tcPr>
            <w:tcW w:w="1127" w:type="dxa"/>
          </w:tcPr>
          <w:p w14:paraId="49A09D5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127" w:type="dxa"/>
          </w:tcPr>
          <w:p w14:paraId="31C093A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w:t>
            </w:r>
          </w:p>
        </w:tc>
        <w:tc>
          <w:tcPr>
            <w:tcW w:w="1127" w:type="dxa"/>
          </w:tcPr>
          <w:p w14:paraId="43ED5C5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М22</w:t>
            </w:r>
          </w:p>
        </w:tc>
        <w:tc>
          <w:tcPr>
            <w:tcW w:w="1127" w:type="dxa"/>
          </w:tcPr>
          <w:p w14:paraId="03FC33F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1127" w:type="dxa"/>
          </w:tcPr>
          <w:p w14:paraId="7D61A98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1127" w:type="dxa"/>
          </w:tcPr>
          <w:p w14:paraId="26B2498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102,7</w:t>
            </w:r>
          </w:p>
        </w:tc>
        <w:tc>
          <w:tcPr>
            <w:tcW w:w="1127" w:type="dxa"/>
          </w:tcPr>
          <w:p w14:paraId="20BADE9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115,2</w:t>
            </w:r>
          </w:p>
        </w:tc>
        <w:tc>
          <w:tcPr>
            <w:tcW w:w="1127" w:type="dxa"/>
          </w:tcPr>
          <w:p w14:paraId="3BF9081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r>
      <w:tr w:rsidR="004E10C1" w:rsidRPr="0044524F" w14:paraId="25971FA9" w14:textId="77777777">
        <w:tc>
          <w:tcPr>
            <w:tcW w:w="1127" w:type="dxa"/>
          </w:tcPr>
          <w:p w14:paraId="42169219"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76EFA7B7"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302012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М-17</w:t>
            </w:r>
          </w:p>
        </w:tc>
        <w:tc>
          <w:tcPr>
            <w:tcW w:w="1127" w:type="dxa"/>
          </w:tcPr>
          <w:p w14:paraId="5EF22D5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127" w:type="dxa"/>
          </w:tcPr>
          <w:p w14:paraId="0BC196E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884</w:t>
            </w:r>
          </w:p>
        </w:tc>
        <w:tc>
          <w:tcPr>
            <w:tcW w:w="1127" w:type="dxa"/>
          </w:tcPr>
          <w:p w14:paraId="1CC7F0C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73,7</w:t>
            </w:r>
          </w:p>
        </w:tc>
        <w:tc>
          <w:tcPr>
            <w:tcW w:w="1127" w:type="dxa"/>
          </w:tcPr>
          <w:p w14:paraId="3D6C73E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263.1</w:t>
            </w:r>
          </w:p>
        </w:tc>
        <w:tc>
          <w:tcPr>
            <w:tcW w:w="1127" w:type="dxa"/>
          </w:tcPr>
          <w:p w14:paraId="04A769E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336</w:t>
            </w:r>
          </w:p>
        </w:tc>
      </w:tr>
      <w:tr w:rsidR="004E10C1" w:rsidRPr="0044524F" w14:paraId="2A8671F2" w14:textId="77777777">
        <w:tc>
          <w:tcPr>
            <w:tcW w:w="1127" w:type="dxa"/>
          </w:tcPr>
          <w:p w14:paraId="31A64E38"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4137A2F"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0A432DA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 М-17</w:t>
            </w:r>
          </w:p>
        </w:tc>
        <w:tc>
          <w:tcPr>
            <w:tcW w:w="1127" w:type="dxa"/>
          </w:tcPr>
          <w:p w14:paraId="4E3A10B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1127" w:type="dxa"/>
          </w:tcPr>
          <w:p w14:paraId="24A0222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1127" w:type="dxa"/>
          </w:tcPr>
          <w:p w14:paraId="2E4B450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w:t>
            </w:r>
          </w:p>
        </w:tc>
        <w:tc>
          <w:tcPr>
            <w:tcW w:w="1127" w:type="dxa"/>
          </w:tcPr>
          <w:p w14:paraId="18A3F7F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2250,0</w:t>
            </w:r>
          </w:p>
        </w:tc>
        <w:tc>
          <w:tcPr>
            <w:tcW w:w="1127" w:type="dxa"/>
          </w:tcPr>
          <w:p w14:paraId="656D3B3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42C68155" w14:textId="77777777">
        <w:tc>
          <w:tcPr>
            <w:tcW w:w="1127" w:type="dxa"/>
          </w:tcPr>
          <w:p w14:paraId="02CE2224"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9006EA9"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0A209F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127" w:type="dxa"/>
          </w:tcPr>
          <w:p w14:paraId="4365E90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7AA962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64E33E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128E19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862D65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r>
      <w:tr w:rsidR="004E10C1" w:rsidRPr="0044524F" w14:paraId="17F74D3D" w14:textId="77777777">
        <w:tc>
          <w:tcPr>
            <w:tcW w:w="1127" w:type="dxa"/>
          </w:tcPr>
          <w:p w14:paraId="545C61A9"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771B6AA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127" w:type="dxa"/>
          </w:tcPr>
          <w:p w14:paraId="71D890B1"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1C33BD5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1434</w:t>
            </w:r>
          </w:p>
        </w:tc>
        <w:tc>
          <w:tcPr>
            <w:tcW w:w="1127" w:type="dxa"/>
          </w:tcPr>
          <w:p w14:paraId="07F3101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1005</w:t>
            </w:r>
          </w:p>
        </w:tc>
        <w:tc>
          <w:tcPr>
            <w:tcW w:w="1127" w:type="dxa"/>
          </w:tcPr>
          <w:p w14:paraId="12BC19C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70,1</w:t>
            </w:r>
          </w:p>
        </w:tc>
        <w:tc>
          <w:tcPr>
            <w:tcW w:w="1127" w:type="dxa"/>
          </w:tcPr>
          <w:p w14:paraId="553559E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219,0</w:t>
            </w:r>
          </w:p>
        </w:tc>
        <w:tc>
          <w:tcPr>
            <w:tcW w:w="1127" w:type="dxa"/>
          </w:tcPr>
          <w:p w14:paraId="7AC5F93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459</w:t>
            </w:r>
          </w:p>
        </w:tc>
      </w:tr>
      <w:tr w:rsidR="004E10C1" w:rsidRPr="0044524F" w14:paraId="5B68A5A6" w14:textId="77777777">
        <w:tc>
          <w:tcPr>
            <w:tcW w:w="1127" w:type="dxa"/>
          </w:tcPr>
          <w:p w14:paraId="055AD9E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Сам.</w:t>
            </w:r>
          </w:p>
        </w:tc>
        <w:tc>
          <w:tcPr>
            <w:tcW w:w="1127" w:type="dxa"/>
          </w:tcPr>
          <w:p w14:paraId="09673EDB"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8E2FE4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w:t>
            </w:r>
          </w:p>
        </w:tc>
        <w:tc>
          <w:tcPr>
            <w:tcW w:w="1127" w:type="dxa"/>
          </w:tcPr>
          <w:p w14:paraId="17427FE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127" w:type="dxa"/>
          </w:tcPr>
          <w:p w14:paraId="6D328A8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c>
          <w:tcPr>
            <w:tcW w:w="1127" w:type="dxa"/>
          </w:tcPr>
          <w:p w14:paraId="46F9384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675,0</w:t>
            </w:r>
          </w:p>
        </w:tc>
        <w:tc>
          <w:tcPr>
            <w:tcW w:w="1127" w:type="dxa"/>
          </w:tcPr>
          <w:p w14:paraId="61F1EB7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81,8</w:t>
            </w:r>
          </w:p>
        </w:tc>
        <w:tc>
          <w:tcPr>
            <w:tcW w:w="1127" w:type="dxa"/>
          </w:tcPr>
          <w:p w14:paraId="18E319F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r>
      <w:tr w:rsidR="004E10C1" w:rsidRPr="0044524F" w14:paraId="29B92DF0" w14:textId="77777777">
        <w:tc>
          <w:tcPr>
            <w:tcW w:w="1127" w:type="dxa"/>
          </w:tcPr>
          <w:p w14:paraId="58A7A79F"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2D66231"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581CD1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127" w:type="dxa"/>
          </w:tcPr>
          <w:p w14:paraId="3FA4C1C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127" w:type="dxa"/>
          </w:tcPr>
          <w:p w14:paraId="2EAB609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w:t>
            </w:r>
          </w:p>
        </w:tc>
        <w:tc>
          <w:tcPr>
            <w:tcW w:w="1127" w:type="dxa"/>
          </w:tcPr>
          <w:p w14:paraId="7FA449A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62,0</w:t>
            </w:r>
          </w:p>
        </w:tc>
        <w:tc>
          <w:tcPr>
            <w:tcW w:w="1127" w:type="dxa"/>
          </w:tcPr>
          <w:p w14:paraId="5CAA879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1520E33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FE3FEA9" w14:textId="77777777">
        <w:tc>
          <w:tcPr>
            <w:tcW w:w="1127" w:type="dxa"/>
          </w:tcPr>
          <w:p w14:paraId="4024272E"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5FFE521"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0505FF8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2М-17</w:t>
            </w:r>
          </w:p>
        </w:tc>
        <w:tc>
          <w:tcPr>
            <w:tcW w:w="1127" w:type="dxa"/>
          </w:tcPr>
          <w:p w14:paraId="52289E0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127" w:type="dxa"/>
          </w:tcPr>
          <w:p w14:paraId="7B43776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127" w:type="dxa"/>
          </w:tcPr>
          <w:p w14:paraId="6648130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127" w:type="dxa"/>
          </w:tcPr>
          <w:p w14:paraId="760F4D0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127" w:type="dxa"/>
          </w:tcPr>
          <w:p w14:paraId="440C1DE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07525D77" w14:textId="77777777">
        <w:tc>
          <w:tcPr>
            <w:tcW w:w="1127" w:type="dxa"/>
          </w:tcPr>
          <w:p w14:paraId="08AD67C6"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7F72CA41"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71C609B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127" w:type="dxa"/>
          </w:tcPr>
          <w:p w14:paraId="556F6CB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EABCF4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127" w:type="dxa"/>
          </w:tcPr>
          <w:p w14:paraId="103C96B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7F6F9B5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1127" w:type="dxa"/>
          </w:tcPr>
          <w:p w14:paraId="77A81C4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158</w:t>
            </w:r>
          </w:p>
        </w:tc>
      </w:tr>
      <w:tr w:rsidR="004E10C1" w:rsidRPr="0044524F" w14:paraId="56B5F6C6" w14:textId="77777777">
        <w:tc>
          <w:tcPr>
            <w:tcW w:w="1127" w:type="dxa"/>
          </w:tcPr>
          <w:p w14:paraId="7DD84736"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D30F08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127" w:type="dxa"/>
          </w:tcPr>
          <w:p w14:paraId="09886C73"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1B51F9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274</w:t>
            </w:r>
          </w:p>
        </w:tc>
        <w:tc>
          <w:tcPr>
            <w:tcW w:w="1127" w:type="dxa"/>
          </w:tcPr>
          <w:p w14:paraId="2C88C27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214</w:t>
            </w:r>
          </w:p>
        </w:tc>
        <w:tc>
          <w:tcPr>
            <w:tcW w:w="1127" w:type="dxa"/>
          </w:tcPr>
          <w:p w14:paraId="1598F8F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78,1</w:t>
            </w:r>
          </w:p>
        </w:tc>
        <w:tc>
          <w:tcPr>
            <w:tcW w:w="1127" w:type="dxa"/>
          </w:tcPr>
          <w:p w14:paraId="2893FC3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103,9</w:t>
            </w:r>
          </w:p>
        </w:tc>
        <w:tc>
          <w:tcPr>
            <w:tcW w:w="1127" w:type="dxa"/>
          </w:tcPr>
          <w:p w14:paraId="5040883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206</w:t>
            </w:r>
          </w:p>
        </w:tc>
      </w:tr>
      <w:tr w:rsidR="004E10C1" w:rsidRPr="0044524F" w14:paraId="4D498CB0" w14:textId="77777777">
        <w:tc>
          <w:tcPr>
            <w:tcW w:w="1127" w:type="dxa"/>
          </w:tcPr>
          <w:p w14:paraId="1DC8F98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23 Сам.</w:t>
            </w:r>
          </w:p>
        </w:tc>
        <w:tc>
          <w:tcPr>
            <w:tcW w:w="1127" w:type="dxa"/>
          </w:tcPr>
          <w:p w14:paraId="421868BC"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D76C7D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 М-11</w:t>
            </w:r>
          </w:p>
        </w:tc>
        <w:tc>
          <w:tcPr>
            <w:tcW w:w="1127" w:type="dxa"/>
          </w:tcPr>
          <w:p w14:paraId="10DD714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835</w:t>
            </w:r>
          </w:p>
        </w:tc>
        <w:tc>
          <w:tcPr>
            <w:tcW w:w="1127" w:type="dxa"/>
          </w:tcPr>
          <w:p w14:paraId="1A4E7E8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942</w:t>
            </w:r>
          </w:p>
        </w:tc>
        <w:tc>
          <w:tcPr>
            <w:tcW w:w="1127" w:type="dxa"/>
          </w:tcPr>
          <w:p w14:paraId="5059494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112,8</w:t>
            </w:r>
          </w:p>
        </w:tc>
        <w:tc>
          <w:tcPr>
            <w:tcW w:w="1127" w:type="dxa"/>
          </w:tcPr>
          <w:p w14:paraId="0C5C034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332,9</w:t>
            </w:r>
          </w:p>
        </w:tc>
        <w:tc>
          <w:tcPr>
            <w:tcW w:w="1127" w:type="dxa"/>
          </w:tcPr>
          <w:p w14:paraId="40F68B4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283</w:t>
            </w:r>
          </w:p>
        </w:tc>
      </w:tr>
      <w:tr w:rsidR="004E10C1" w:rsidRPr="0044524F" w14:paraId="7AF99183" w14:textId="77777777">
        <w:tc>
          <w:tcPr>
            <w:tcW w:w="1127" w:type="dxa"/>
          </w:tcPr>
          <w:p w14:paraId="19A725BD"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C5F896B"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827ABD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М-11</w:t>
            </w:r>
          </w:p>
        </w:tc>
        <w:tc>
          <w:tcPr>
            <w:tcW w:w="1127" w:type="dxa"/>
          </w:tcPr>
          <w:p w14:paraId="64F7DBA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127" w:type="dxa"/>
          </w:tcPr>
          <w:p w14:paraId="13B358C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w:t>
            </w:r>
          </w:p>
        </w:tc>
        <w:tc>
          <w:tcPr>
            <w:tcW w:w="1127" w:type="dxa"/>
          </w:tcPr>
          <w:p w14:paraId="6260ED4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85,5</w:t>
            </w:r>
          </w:p>
        </w:tc>
        <w:tc>
          <w:tcPr>
            <w:tcW w:w="1127" w:type="dxa"/>
          </w:tcPr>
          <w:p w14:paraId="3B7CB99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310,9</w:t>
            </w:r>
          </w:p>
        </w:tc>
        <w:tc>
          <w:tcPr>
            <w:tcW w:w="1127" w:type="dxa"/>
          </w:tcPr>
          <w:p w14:paraId="3AE8405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r>
      <w:tr w:rsidR="004E10C1" w:rsidRPr="0044524F" w14:paraId="338A56A4" w14:textId="77777777">
        <w:tc>
          <w:tcPr>
            <w:tcW w:w="1127" w:type="dxa"/>
          </w:tcPr>
          <w:p w14:paraId="5350401B"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8B82CD7"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C9D168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127" w:type="dxa"/>
          </w:tcPr>
          <w:p w14:paraId="11775FB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B9FBB4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9E198A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4EA9CEB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636BA44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w:t>
            </w:r>
          </w:p>
        </w:tc>
      </w:tr>
      <w:tr w:rsidR="004E10C1" w:rsidRPr="0044524F" w14:paraId="623CA293" w14:textId="77777777">
        <w:tc>
          <w:tcPr>
            <w:tcW w:w="1127" w:type="dxa"/>
          </w:tcPr>
          <w:p w14:paraId="5D2AAE6A"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971F45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127" w:type="dxa"/>
          </w:tcPr>
          <w:p w14:paraId="33B8AE83"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F0BB4C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1035</w:t>
            </w:r>
          </w:p>
        </w:tc>
        <w:tc>
          <w:tcPr>
            <w:tcW w:w="1127" w:type="dxa"/>
          </w:tcPr>
          <w:p w14:paraId="0F23F4D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1113</w:t>
            </w:r>
          </w:p>
        </w:tc>
        <w:tc>
          <w:tcPr>
            <w:tcW w:w="1127" w:type="dxa"/>
          </w:tcPr>
          <w:p w14:paraId="7173AF5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107,5</w:t>
            </w:r>
          </w:p>
        </w:tc>
        <w:tc>
          <w:tcPr>
            <w:tcW w:w="1127" w:type="dxa"/>
          </w:tcPr>
          <w:p w14:paraId="7E19BBD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232,4</w:t>
            </w:r>
          </w:p>
        </w:tc>
        <w:tc>
          <w:tcPr>
            <w:tcW w:w="1127" w:type="dxa"/>
          </w:tcPr>
          <w:p w14:paraId="3C49472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479</w:t>
            </w:r>
          </w:p>
        </w:tc>
      </w:tr>
      <w:tr w:rsidR="004E10C1" w:rsidRPr="0044524F" w14:paraId="57ECFD4F" w14:textId="77777777">
        <w:tc>
          <w:tcPr>
            <w:tcW w:w="1127" w:type="dxa"/>
          </w:tcPr>
          <w:p w14:paraId="4B35CCB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Сам.</w:t>
            </w:r>
          </w:p>
        </w:tc>
        <w:tc>
          <w:tcPr>
            <w:tcW w:w="1127" w:type="dxa"/>
          </w:tcPr>
          <w:p w14:paraId="69FACD0F"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599B71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2М-17</w:t>
            </w:r>
          </w:p>
        </w:tc>
        <w:tc>
          <w:tcPr>
            <w:tcW w:w="1127" w:type="dxa"/>
          </w:tcPr>
          <w:p w14:paraId="0511530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127" w:type="dxa"/>
          </w:tcPr>
          <w:p w14:paraId="04AC234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127" w:type="dxa"/>
          </w:tcPr>
          <w:p w14:paraId="5AD2BA9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c>
          <w:tcPr>
            <w:tcW w:w="1127" w:type="dxa"/>
          </w:tcPr>
          <w:p w14:paraId="614D954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78650E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0E26463" w14:textId="77777777">
        <w:tc>
          <w:tcPr>
            <w:tcW w:w="1127" w:type="dxa"/>
          </w:tcPr>
          <w:p w14:paraId="39BEACB8"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2F4F3B2"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A35E03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w:t>
            </w:r>
          </w:p>
        </w:tc>
        <w:tc>
          <w:tcPr>
            <w:tcW w:w="1127" w:type="dxa"/>
          </w:tcPr>
          <w:p w14:paraId="2FE83F3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1127" w:type="dxa"/>
          </w:tcPr>
          <w:p w14:paraId="7BCD8CD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127" w:type="dxa"/>
          </w:tcPr>
          <w:p w14:paraId="17A059D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w:t>
            </w:r>
          </w:p>
        </w:tc>
        <w:tc>
          <w:tcPr>
            <w:tcW w:w="1127" w:type="dxa"/>
          </w:tcPr>
          <w:p w14:paraId="7DA24E6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56A707C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1DBDF6D" w14:textId="77777777">
        <w:tc>
          <w:tcPr>
            <w:tcW w:w="1127" w:type="dxa"/>
          </w:tcPr>
          <w:p w14:paraId="683216E9"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4A5C687"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6BE19B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С-62 Ассо</w:t>
            </w:r>
          </w:p>
        </w:tc>
        <w:tc>
          <w:tcPr>
            <w:tcW w:w="1127" w:type="dxa"/>
          </w:tcPr>
          <w:p w14:paraId="05EE225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1127" w:type="dxa"/>
          </w:tcPr>
          <w:p w14:paraId="1BA7D2F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127" w:type="dxa"/>
          </w:tcPr>
          <w:p w14:paraId="105567D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44,6</w:t>
            </w:r>
          </w:p>
        </w:tc>
        <w:tc>
          <w:tcPr>
            <w:tcW w:w="1127" w:type="dxa"/>
          </w:tcPr>
          <w:p w14:paraId="377E2EC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7ED44EB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BE689CD" w14:textId="77777777">
        <w:tc>
          <w:tcPr>
            <w:tcW w:w="1127" w:type="dxa"/>
          </w:tcPr>
          <w:p w14:paraId="5B172DA4"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233ECCA3"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B3D5DC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МДР-3</w:t>
            </w:r>
          </w:p>
        </w:tc>
        <w:tc>
          <w:tcPr>
            <w:tcW w:w="1127" w:type="dxa"/>
          </w:tcPr>
          <w:p w14:paraId="3C44AAD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127" w:type="dxa"/>
          </w:tcPr>
          <w:p w14:paraId="3159B48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596F2CA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1911EB4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5F7CA58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FCDB0D2" w14:textId="77777777">
        <w:tc>
          <w:tcPr>
            <w:tcW w:w="1127" w:type="dxa"/>
          </w:tcPr>
          <w:p w14:paraId="664156EF"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73B10A61"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9E8193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 М-11</w:t>
            </w:r>
          </w:p>
        </w:tc>
        <w:tc>
          <w:tcPr>
            <w:tcW w:w="1127" w:type="dxa"/>
          </w:tcPr>
          <w:p w14:paraId="081CDF2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127" w:type="dxa"/>
          </w:tcPr>
          <w:p w14:paraId="56A9922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127" w:type="dxa"/>
          </w:tcPr>
          <w:p w14:paraId="42593B8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127" w:type="dxa"/>
          </w:tcPr>
          <w:p w14:paraId="744DCE4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67EFA65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7CA5B62" w14:textId="77777777">
        <w:tc>
          <w:tcPr>
            <w:tcW w:w="1127" w:type="dxa"/>
          </w:tcPr>
          <w:p w14:paraId="4105583B"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0516B7AA"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3909B4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127" w:type="dxa"/>
          </w:tcPr>
          <w:p w14:paraId="6DA18DD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69CB60E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127" w:type="dxa"/>
          </w:tcPr>
          <w:p w14:paraId="3A5131B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57EC40D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w:t>
            </w:r>
          </w:p>
        </w:tc>
        <w:tc>
          <w:tcPr>
            <w:tcW w:w="1127" w:type="dxa"/>
          </w:tcPr>
          <w:p w14:paraId="1D808DB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303</w:t>
            </w:r>
          </w:p>
        </w:tc>
      </w:tr>
      <w:tr w:rsidR="004E10C1" w:rsidRPr="0044524F" w14:paraId="1BCD0FFF" w14:textId="77777777">
        <w:tc>
          <w:tcPr>
            <w:tcW w:w="1127" w:type="dxa"/>
          </w:tcPr>
          <w:p w14:paraId="5920A2A1"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40BE72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127" w:type="dxa"/>
          </w:tcPr>
          <w:p w14:paraId="67AEEBB9"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C96196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232</w:t>
            </w:r>
          </w:p>
        </w:tc>
        <w:tc>
          <w:tcPr>
            <w:tcW w:w="1127" w:type="dxa"/>
          </w:tcPr>
          <w:p w14:paraId="6558A42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w:t>
            </w:r>
          </w:p>
        </w:tc>
        <w:tc>
          <w:tcPr>
            <w:tcW w:w="1127" w:type="dxa"/>
          </w:tcPr>
          <w:p w14:paraId="149D9CE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28,9</w:t>
            </w:r>
          </w:p>
        </w:tc>
        <w:tc>
          <w:tcPr>
            <w:tcW w:w="1127" w:type="dxa"/>
          </w:tcPr>
          <w:p w14:paraId="7D98D04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22,1</w:t>
            </w:r>
          </w:p>
        </w:tc>
        <w:tc>
          <w:tcPr>
            <w:tcW w:w="1127" w:type="dxa"/>
          </w:tcPr>
          <w:p w14:paraId="6A7B6B3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303</w:t>
            </w:r>
          </w:p>
        </w:tc>
      </w:tr>
      <w:tr w:rsidR="004E10C1" w:rsidRPr="0044524F" w14:paraId="055A8970" w14:textId="77777777">
        <w:tc>
          <w:tcPr>
            <w:tcW w:w="1127" w:type="dxa"/>
          </w:tcPr>
          <w:p w14:paraId="24EB7C8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Сам.</w:t>
            </w:r>
          </w:p>
        </w:tc>
        <w:tc>
          <w:tcPr>
            <w:tcW w:w="1127" w:type="dxa"/>
          </w:tcPr>
          <w:p w14:paraId="79145D04"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1D4161D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М-22</w:t>
            </w:r>
          </w:p>
        </w:tc>
        <w:tc>
          <w:tcPr>
            <w:tcW w:w="1127" w:type="dxa"/>
          </w:tcPr>
          <w:p w14:paraId="7052FA2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276</w:t>
            </w:r>
          </w:p>
        </w:tc>
        <w:tc>
          <w:tcPr>
            <w:tcW w:w="1127" w:type="dxa"/>
          </w:tcPr>
          <w:p w14:paraId="3A527DF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127" w:type="dxa"/>
          </w:tcPr>
          <w:p w14:paraId="09B7F6C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c>
          <w:tcPr>
            <w:tcW w:w="1127" w:type="dxa"/>
          </w:tcPr>
          <w:p w14:paraId="7183F08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6DAF9E5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DD1C502" w14:textId="77777777">
        <w:tc>
          <w:tcPr>
            <w:tcW w:w="1127" w:type="dxa"/>
          </w:tcPr>
          <w:p w14:paraId="7D573DB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Сам.</w:t>
            </w:r>
          </w:p>
        </w:tc>
        <w:tc>
          <w:tcPr>
            <w:tcW w:w="1127" w:type="dxa"/>
          </w:tcPr>
          <w:p w14:paraId="16E77FE2"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A21B1E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w:t>
            </w:r>
          </w:p>
        </w:tc>
        <w:tc>
          <w:tcPr>
            <w:tcW w:w="1127" w:type="dxa"/>
          </w:tcPr>
          <w:p w14:paraId="09B1E81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127" w:type="dxa"/>
          </w:tcPr>
          <w:p w14:paraId="0921B50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6D2A1B3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0361FE3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6163697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83005E7" w14:textId="77777777">
        <w:tc>
          <w:tcPr>
            <w:tcW w:w="1127" w:type="dxa"/>
          </w:tcPr>
          <w:p w14:paraId="337FC23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Сам.</w:t>
            </w:r>
          </w:p>
        </w:tc>
        <w:tc>
          <w:tcPr>
            <w:tcW w:w="1127" w:type="dxa"/>
          </w:tcPr>
          <w:p w14:paraId="474A34FC"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04DF773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127" w:type="dxa"/>
          </w:tcPr>
          <w:p w14:paraId="0BEC963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127" w:type="dxa"/>
          </w:tcPr>
          <w:p w14:paraId="0E4BF97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13AE7EF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8495B5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141E66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436F79B" w14:textId="77777777">
        <w:tc>
          <w:tcPr>
            <w:tcW w:w="1127" w:type="dxa"/>
          </w:tcPr>
          <w:p w14:paraId="655F79F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 Сам.</w:t>
            </w:r>
          </w:p>
        </w:tc>
        <w:tc>
          <w:tcPr>
            <w:tcW w:w="1127" w:type="dxa"/>
          </w:tcPr>
          <w:p w14:paraId="1AD7972F"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BCFA95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127" w:type="dxa"/>
          </w:tcPr>
          <w:p w14:paraId="48A10C9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1127" w:type="dxa"/>
          </w:tcPr>
          <w:p w14:paraId="656D7C8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127" w:type="dxa"/>
          </w:tcPr>
          <w:p w14:paraId="344E7E2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1127" w:type="dxa"/>
          </w:tcPr>
          <w:p w14:paraId="4249E8A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86FCDC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D5749B5" w14:textId="77777777">
        <w:tc>
          <w:tcPr>
            <w:tcW w:w="1127" w:type="dxa"/>
          </w:tcPr>
          <w:p w14:paraId="2BC5CFC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по Тресту самолетов:</w:t>
            </w:r>
          </w:p>
        </w:tc>
        <w:tc>
          <w:tcPr>
            <w:tcW w:w="1127" w:type="dxa"/>
          </w:tcPr>
          <w:p w14:paraId="5EBFB571"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7BA08ED5"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99478F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3311</w:t>
            </w:r>
          </w:p>
        </w:tc>
        <w:tc>
          <w:tcPr>
            <w:tcW w:w="1127" w:type="dxa"/>
          </w:tcPr>
          <w:p w14:paraId="2FF171A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2414</w:t>
            </w:r>
          </w:p>
        </w:tc>
        <w:tc>
          <w:tcPr>
            <w:tcW w:w="1127" w:type="dxa"/>
          </w:tcPr>
          <w:p w14:paraId="5CA2BA6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72,9</w:t>
            </w:r>
          </w:p>
        </w:tc>
        <w:tc>
          <w:tcPr>
            <w:tcW w:w="1127" w:type="dxa"/>
          </w:tcPr>
          <w:p w14:paraId="69D7243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166,9</w:t>
            </w:r>
          </w:p>
        </w:tc>
        <w:tc>
          <w:tcPr>
            <w:tcW w:w="1127" w:type="dxa"/>
          </w:tcPr>
          <w:p w14:paraId="7D944CE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1447</w:t>
            </w:r>
          </w:p>
        </w:tc>
      </w:tr>
      <w:tr w:rsidR="004E10C1" w:rsidRPr="0044524F" w14:paraId="5B6CD34B" w14:textId="77777777">
        <w:tc>
          <w:tcPr>
            <w:tcW w:w="1127" w:type="dxa"/>
          </w:tcPr>
          <w:p w14:paraId="58B36E1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 Сам.</w:t>
            </w:r>
          </w:p>
        </w:tc>
        <w:tc>
          <w:tcPr>
            <w:tcW w:w="1127" w:type="dxa"/>
          </w:tcPr>
          <w:p w14:paraId="7693FB57"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261E2A4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w:t>
            </w:r>
          </w:p>
        </w:tc>
        <w:tc>
          <w:tcPr>
            <w:tcW w:w="1127" w:type="dxa"/>
          </w:tcPr>
          <w:p w14:paraId="6E48880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127" w:type="dxa"/>
          </w:tcPr>
          <w:p w14:paraId="6F979B7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w:t>
            </w:r>
          </w:p>
        </w:tc>
        <w:tc>
          <w:tcPr>
            <w:tcW w:w="1127" w:type="dxa"/>
          </w:tcPr>
          <w:p w14:paraId="2634B23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48,7</w:t>
            </w:r>
          </w:p>
        </w:tc>
        <w:tc>
          <w:tcPr>
            <w:tcW w:w="1127" w:type="dxa"/>
          </w:tcPr>
          <w:p w14:paraId="4EA5136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174,0</w:t>
            </w:r>
          </w:p>
        </w:tc>
        <w:tc>
          <w:tcPr>
            <w:tcW w:w="1127" w:type="dxa"/>
          </w:tcPr>
          <w:p w14:paraId="2DE5940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r>
      <w:tr w:rsidR="004E10C1" w:rsidRPr="0044524F" w14:paraId="3AEC9242" w14:textId="77777777">
        <w:tc>
          <w:tcPr>
            <w:tcW w:w="1127" w:type="dxa"/>
          </w:tcPr>
          <w:p w14:paraId="78F2BCA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самолетов:</w:t>
            </w:r>
          </w:p>
        </w:tc>
        <w:tc>
          <w:tcPr>
            <w:tcW w:w="1127" w:type="dxa"/>
          </w:tcPr>
          <w:p w14:paraId="133C8620"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13F22E4D"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4CE70E0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3461</w:t>
            </w:r>
          </w:p>
        </w:tc>
        <w:tc>
          <w:tcPr>
            <w:tcW w:w="1127" w:type="dxa"/>
          </w:tcPr>
          <w:p w14:paraId="5712C68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2487</w:t>
            </w:r>
          </w:p>
        </w:tc>
        <w:tc>
          <w:tcPr>
            <w:tcW w:w="1127" w:type="dxa"/>
          </w:tcPr>
          <w:p w14:paraId="0657705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71,9</w:t>
            </w:r>
          </w:p>
        </w:tc>
        <w:tc>
          <w:tcPr>
            <w:tcW w:w="1127" w:type="dxa"/>
          </w:tcPr>
          <w:p w14:paraId="637E0CD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167,0</w:t>
            </w:r>
          </w:p>
        </w:tc>
        <w:tc>
          <w:tcPr>
            <w:tcW w:w="1127" w:type="dxa"/>
          </w:tcPr>
          <w:p w14:paraId="75BEFC9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1489</w:t>
            </w:r>
          </w:p>
        </w:tc>
      </w:tr>
    </w:tbl>
    <w:p w14:paraId="20B3B56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правительственного плана по моторам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4E10C1" w:rsidRPr="0044524F" w14:paraId="4641EB8F" w14:textId="77777777">
        <w:tc>
          <w:tcPr>
            <w:tcW w:w="1127" w:type="dxa"/>
          </w:tcPr>
          <w:p w14:paraId="29424E6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Заводы</w:t>
            </w:r>
          </w:p>
        </w:tc>
        <w:tc>
          <w:tcPr>
            <w:tcW w:w="1127" w:type="dxa"/>
          </w:tcPr>
          <w:p w14:paraId="6FC6FBD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1127" w:type="dxa"/>
          </w:tcPr>
          <w:p w14:paraId="3FB958C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Годовой</w:t>
            </w:r>
          </w:p>
        </w:tc>
        <w:tc>
          <w:tcPr>
            <w:tcW w:w="1127" w:type="dxa"/>
          </w:tcPr>
          <w:p w14:paraId="449092B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w:t>
            </w:r>
          </w:p>
        </w:tc>
        <w:tc>
          <w:tcPr>
            <w:tcW w:w="1127" w:type="dxa"/>
          </w:tcPr>
          <w:p w14:paraId="7958E23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пониж.</w:t>
            </w:r>
          </w:p>
        </w:tc>
        <w:tc>
          <w:tcPr>
            <w:tcW w:w="1127" w:type="dxa"/>
          </w:tcPr>
          <w:p w14:paraId="61EC897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127" w:type="dxa"/>
          </w:tcPr>
          <w:p w14:paraId="4A6185F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к </w:t>
            </w:r>
          </w:p>
        </w:tc>
        <w:tc>
          <w:tcPr>
            <w:tcW w:w="1127" w:type="dxa"/>
          </w:tcPr>
          <w:p w14:paraId="1A5C833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1931 г.</w:t>
            </w:r>
          </w:p>
        </w:tc>
        <w:tc>
          <w:tcPr>
            <w:tcW w:w="1127" w:type="dxa"/>
          </w:tcPr>
          <w:p w14:paraId="6A22707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Сдано </w:t>
            </w:r>
          </w:p>
        </w:tc>
      </w:tr>
      <w:tr w:rsidR="004E10C1" w:rsidRPr="0044524F" w14:paraId="2F19FCFA" w14:textId="77777777">
        <w:tc>
          <w:tcPr>
            <w:tcW w:w="1127" w:type="dxa"/>
          </w:tcPr>
          <w:p w14:paraId="69F6B4B9"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8800D00"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237F932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w:t>
            </w:r>
          </w:p>
        </w:tc>
        <w:tc>
          <w:tcPr>
            <w:tcW w:w="1127" w:type="dxa"/>
          </w:tcPr>
          <w:p w14:paraId="703C934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год</w:t>
            </w:r>
          </w:p>
        </w:tc>
        <w:tc>
          <w:tcPr>
            <w:tcW w:w="1127" w:type="dxa"/>
          </w:tcPr>
          <w:p w14:paraId="5EEA3A3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кондиц.</w:t>
            </w:r>
          </w:p>
        </w:tc>
        <w:tc>
          <w:tcPr>
            <w:tcW w:w="1127" w:type="dxa"/>
          </w:tcPr>
          <w:p w14:paraId="5AC952AF"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7875EE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год</w:t>
            </w:r>
          </w:p>
        </w:tc>
        <w:tc>
          <w:tcPr>
            <w:tcW w:w="1127" w:type="dxa"/>
          </w:tcPr>
          <w:p w14:paraId="5F4E3F9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w:t>
            </w:r>
          </w:p>
        </w:tc>
        <w:tc>
          <w:tcPr>
            <w:tcW w:w="1127" w:type="dxa"/>
          </w:tcPr>
          <w:p w14:paraId="57E9602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моторов</w:t>
            </w:r>
          </w:p>
        </w:tc>
      </w:tr>
      <w:tr w:rsidR="004E10C1" w:rsidRPr="0044524F" w14:paraId="745E8A70" w14:textId="77777777">
        <w:tc>
          <w:tcPr>
            <w:tcW w:w="1127" w:type="dxa"/>
          </w:tcPr>
          <w:p w14:paraId="130AC9A1"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1FE5F1EB"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37E8256"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75AFF66"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904C3F2"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06DDF73B"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0C623D85"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2FDEDBC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плану</w:t>
            </w:r>
          </w:p>
        </w:tc>
        <w:tc>
          <w:tcPr>
            <w:tcW w:w="1127" w:type="dxa"/>
          </w:tcPr>
          <w:p w14:paraId="13A3221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w:t>
            </w:r>
          </w:p>
        </w:tc>
      </w:tr>
      <w:tr w:rsidR="004E10C1" w:rsidRPr="0044524F" w14:paraId="0D3A515B" w14:textId="77777777">
        <w:tc>
          <w:tcPr>
            <w:tcW w:w="1127" w:type="dxa"/>
          </w:tcPr>
          <w:p w14:paraId="69F1E79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127" w:type="dxa"/>
          </w:tcPr>
          <w:p w14:paraId="004E844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М-15</w:t>
            </w:r>
          </w:p>
        </w:tc>
        <w:tc>
          <w:tcPr>
            <w:tcW w:w="1127" w:type="dxa"/>
          </w:tcPr>
          <w:p w14:paraId="5F34FA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211</w:t>
            </w:r>
          </w:p>
        </w:tc>
        <w:tc>
          <w:tcPr>
            <w:tcW w:w="1127" w:type="dxa"/>
          </w:tcPr>
          <w:p w14:paraId="0E7D930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1127" w:type="dxa"/>
          </w:tcPr>
          <w:p w14:paraId="027E293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CFF18B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1127" w:type="dxa"/>
          </w:tcPr>
          <w:p w14:paraId="2164DFA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104,2</w:t>
            </w:r>
          </w:p>
        </w:tc>
        <w:tc>
          <w:tcPr>
            <w:tcW w:w="1127" w:type="dxa"/>
          </w:tcPr>
          <w:p w14:paraId="35E4139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118,3</w:t>
            </w:r>
          </w:p>
        </w:tc>
        <w:tc>
          <w:tcPr>
            <w:tcW w:w="1127" w:type="dxa"/>
          </w:tcPr>
          <w:p w14:paraId="09D00AC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w:t>
            </w:r>
          </w:p>
        </w:tc>
      </w:tr>
      <w:tr w:rsidR="004E10C1" w:rsidRPr="0044524F" w14:paraId="6987900B" w14:textId="77777777">
        <w:tc>
          <w:tcPr>
            <w:tcW w:w="1127" w:type="dxa"/>
          </w:tcPr>
          <w:p w14:paraId="114FDA77"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3F7CC8D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М-26</w:t>
            </w:r>
          </w:p>
        </w:tc>
        <w:tc>
          <w:tcPr>
            <w:tcW w:w="1127" w:type="dxa"/>
          </w:tcPr>
          <w:p w14:paraId="3132CAF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324</w:t>
            </w:r>
          </w:p>
        </w:tc>
        <w:tc>
          <w:tcPr>
            <w:tcW w:w="1127" w:type="dxa"/>
          </w:tcPr>
          <w:p w14:paraId="04A1F35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1127" w:type="dxa"/>
          </w:tcPr>
          <w:p w14:paraId="54007F7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226903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1127" w:type="dxa"/>
          </w:tcPr>
          <w:p w14:paraId="0C771FE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98,8</w:t>
            </w:r>
          </w:p>
        </w:tc>
        <w:tc>
          <w:tcPr>
            <w:tcW w:w="1127" w:type="dxa"/>
          </w:tcPr>
          <w:p w14:paraId="510F311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256,0</w:t>
            </w:r>
          </w:p>
        </w:tc>
        <w:tc>
          <w:tcPr>
            <w:tcW w:w="1127" w:type="dxa"/>
          </w:tcPr>
          <w:p w14:paraId="4EDC03B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r>
      <w:tr w:rsidR="004E10C1" w:rsidRPr="0044524F" w14:paraId="4F4C88C8" w14:textId="77777777">
        <w:tc>
          <w:tcPr>
            <w:tcW w:w="1127" w:type="dxa"/>
          </w:tcPr>
          <w:p w14:paraId="10ADECE9"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7B66643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127" w:type="dxa"/>
          </w:tcPr>
          <w:p w14:paraId="2220377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127" w:type="dxa"/>
          </w:tcPr>
          <w:p w14:paraId="48FD098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127" w:type="dxa"/>
          </w:tcPr>
          <w:p w14:paraId="2E63617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59E57B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127" w:type="dxa"/>
          </w:tcPr>
          <w:p w14:paraId="1697C04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127" w:type="dxa"/>
          </w:tcPr>
          <w:p w14:paraId="56B8317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734F967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3B73936" w14:textId="77777777">
        <w:tc>
          <w:tcPr>
            <w:tcW w:w="1127" w:type="dxa"/>
          </w:tcPr>
          <w:p w14:paraId="46283EFE"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1105640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127" w:type="dxa"/>
          </w:tcPr>
          <w:p w14:paraId="16DC0F0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1339644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127" w:type="dxa"/>
          </w:tcPr>
          <w:p w14:paraId="1BC7A38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54D90EF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127" w:type="dxa"/>
          </w:tcPr>
          <w:p w14:paraId="261FF7E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376B23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127" w:type="dxa"/>
          </w:tcPr>
          <w:p w14:paraId="6B9F922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r>
      <w:tr w:rsidR="004E10C1" w:rsidRPr="0044524F" w14:paraId="6E1DDFDE" w14:textId="77777777">
        <w:tc>
          <w:tcPr>
            <w:tcW w:w="1127" w:type="dxa"/>
          </w:tcPr>
          <w:p w14:paraId="071AB273"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263C937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моторов:</w:t>
            </w:r>
          </w:p>
        </w:tc>
        <w:tc>
          <w:tcPr>
            <w:tcW w:w="1127" w:type="dxa"/>
          </w:tcPr>
          <w:p w14:paraId="7CF2CE3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935</w:t>
            </w:r>
          </w:p>
        </w:tc>
        <w:tc>
          <w:tcPr>
            <w:tcW w:w="1127" w:type="dxa"/>
          </w:tcPr>
          <w:p w14:paraId="09DF045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641</w:t>
            </w:r>
          </w:p>
        </w:tc>
        <w:tc>
          <w:tcPr>
            <w:tcW w:w="1127" w:type="dxa"/>
          </w:tcPr>
          <w:p w14:paraId="4BB5E24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1BB5CC5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641</w:t>
            </w:r>
          </w:p>
        </w:tc>
        <w:tc>
          <w:tcPr>
            <w:tcW w:w="1127" w:type="dxa"/>
          </w:tcPr>
          <w:p w14:paraId="286D726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68,5</w:t>
            </w:r>
          </w:p>
        </w:tc>
        <w:tc>
          <w:tcPr>
            <w:tcW w:w="1127" w:type="dxa"/>
          </w:tcPr>
          <w:p w14:paraId="09CA03B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1127" w:type="dxa"/>
          </w:tcPr>
          <w:p w14:paraId="25FCCBA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332</w:t>
            </w:r>
          </w:p>
        </w:tc>
      </w:tr>
      <w:tr w:rsidR="004E10C1" w:rsidRPr="0044524F" w14:paraId="68DF1436" w14:textId="77777777">
        <w:tc>
          <w:tcPr>
            <w:tcW w:w="1127" w:type="dxa"/>
          </w:tcPr>
          <w:p w14:paraId="0B2240D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127" w:type="dxa"/>
          </w:tcPr>
          <w:p w14:paraId="3C1D141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127" w:type="dxa"/>
          </w:tcPr>
          <w:p w14:paraId="4298E73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2250</w:t>
            </w:r>
          </w:p>
        </w:tc>
        <w:tc>
          <w:tcPr>
            <w:tcW w:w="1127" w:type="dxa"/>
          </w:tcPr>
          <w:p w14:paraId="7EE9E9A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1867</w:t>
            </w:r>
          </w:p>
        </w:tc>
        <w:tc>
          <w:tcPr>
            <w:tcW w:w="1127" w:type="dxa"/>
          </w:tcPr>
          <w:p w14:paraId="6EB6E93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142</w:t>
            </w:r>
          </w:p>
        </w:tc>
        <w:tc>
          <w:tcPr>
            <w:tcW w:w="1127" w:type="dxa"/>
          </w:tcPr>
          <w:p w14:paraId="7A1CD82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2120</w:t>
            </w:r>
          </w:p>
        </w:tc>
        <w:tc>
          <w:tcPr>
            <w:tcW w:w="1127" w:type="dxa"/>
          </w:tcPr>
          <w:p w14:paraId="3F9CA0B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94,2</w:t>
            </w:r>
          </w:p>
        </w:tc>
        <w:tc>
          <w:tcPr>
            <w:tcW w:w="1127" w:type="dxa"/>
          </w:tcPr>
          <w:p w14:paraId="76CF4D6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312,2</w:t>
            </w:r>
          </w:p>
        </w:tc>
        <w:tc>
          <w:tcPr>
            <w:tcW w:w="1127" w:type="dxa"/>
          </w:tcPr>
          <w:p w14:paraId="09D91AA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679</w:t>
            </w:r>
          </w:p>
        </w:tc>
      </w:tr>
      <w:tr w:rsidR="004E10C1" w:rsidRPr="0044524F" w14:paraId="30FBDC5A" w14:textId="77777777">
        <w:tc>
          <w:tcPr>
            <w:tcW w:w="1127" w:type="dxa"/>
          </w:tcPr>
          <w:p w14:paraId="51173C4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127" w:type="dxa"/>
          </w:tcPr>
          <w:p w14:paraId="03702F6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127" w:type="dxa"/>
          </w:tcPr>
          <w:p w14:paraId="01D78AC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1755</w:t>
            </w:r>
          </w:p>
        </w:tc>
        <w:tc>
          <w:tcPr>
            <w:tcW w:w="1127" w:type="dxa"/>
          </w:tcPr>
          <w:p w14:paraId="44F4315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1672</w:t>
            </w:r>
          </w:p>
        </w:tc>
        <w:tc>
          <w:tcPr>
            <w:tcW w:w="1127" w:type="dxa"/>
          </w:tcPr>
          <w:p w14:paraId="671594C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w:t>
            </w:r>
          </w:p>
        </w:tc>
        <w:tc>
          <w:tcPr>
            <w:tcW w:w="1127" w:type="dxa"/>
          </w:tcPr>
          <w:p w14:paraId="41FA3DC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1755</w:t>
            </w:r>
          </w:p>
        </w:tc>
        <w:tc>
          <w:tcPr>
            <w:tcW w:w="1127" w:type="dxa"/>
          </w:tcPr>
          <w:p w14:paraId="3822170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127" w:type="dxa"/>
          </w:tcPr>
          <w:p w14:paraId="0EDA1F7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328,0</w:t>
            </w:r>
          </w:p>
        </w:tc>
        <w:tc>
          <w:tcPr>
            <w:tcW w:w="1127" w:type="dxa"/>
          </w:tcPr>
          <w:p w14:paraId="60F4F8D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535</w:t>
            </w:r>
          </w:p>
        </w:tc>
      </w:tr>
      <w:tr w:rsidR="004E10C1" w:rsidRPr="0044524F" w14:paraId="6153A91F" w14:textId="77777777">
        <w:tc>
          <w:tcPr>
            <w:tcW w:w="1127" w:type="dxa"/>
          </w:tcPr>
          <w:p w14:paraId="494126A9"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375038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27" w:type="dxa"/>
          </w:tcPr>
          <w:p w14:paraId="1B16101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w:t>
            </w:r>
          </w:p>
        </w:tc>
        <w:tc>
          <w:tcPr>
            <w:tcW w:w="1127" w:type="dxa"/>
          </w:tcPr>
          <w:p w14:paraId="387504D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385</w:t>
            </w:r>
          </w:p>
        </w:tc>
        <w:tc>
          <w:tcPr>
            <w:tcW w:w="1127" w:type="dxa"/>
          </w:tcPr>
          <w:p w14:paraId="7C47CA4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127" w:type="dxa"/>
          </w:tcPr>
          <w:p w14:paraId="6927F0A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127" w:type="dxa"/>
          </w:tcPr>
          <w:p w14:paraId="3C479E5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108,1</w:t>
            </w:r>
          </w:p>
        </w:tc>
        <w:tc>
          <w:tcPr>
            <w:tcW w:w="1127" w:type="dxa"/>
          </w:tcPr>
          <w:p w14:paraId="229161F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127" w:type="dxa"/>
          </w:tcPr>
          <w:p w14:paraId="3E691B9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r>
      <w:tr w:rsidR="004E10C1" w:rsidRPr="0044524F" w14:paraId="1149D094" w14:textId="77777777">
        <w:tc>
          <w:tcPr>
            <w:tcW w:w="1127" w:type="dxa"/>
          </w:tcPr>
          <w:p w14:paraId="618BF87B"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51C867F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моторов:</w:t>
            </w:r>
          </w:p>
        </w:tc>
        <w:tc>
          <w:tcPr>
            <w:tcW w:w="1127" w:type="dxa"/>
          </w:tcPr>
          <w:p w14:paraId="1048598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2125</w:t>
            </w:r>
          </w:p>
        </w:tc>
        <w:tc>
          <w:tcPr>
            <w:tcW w:w="1127" w:type="dxa"/>
          </w:tcPr>
          <w:p w14:paraId="42A0374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2059</w:t>
            </w:r>
          </w:p>
        </w:tc>
        <w:tc>
          <w:tcPr>
            <w:tcW w:w="1127" w:type="dxa"/>
          </w:tcPr>
          <w:p w14:paraId="1774D24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w:t>
            </w:r>
          </w:p>
        </w:tc>
        <w:tc>
          <w:tcPr>
            <w:tcW w:w="1127" w:type="dxa"/>
          </w:tcPr>
          <w:p w14:paraId="77B44FA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2157</w:t>
            </w:r>
          </w:p>
        </w:tc>
        <w:tc>
          <w:tcPr>
            <w:tcW w:w="1127" w:type="dxa"/>
          </w:tcPr>
          <w:p w14:paraId="5B5F98C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101,5</w:t>
            </w:r>
          </w:p>
        </w:tc>
        <w:tc>
          <w:tcPr>
            <w:tcW w:w="1127" w:type="dxa"/>
          </w:tcPr>
          <w:p w14:paraId="7D75A4B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342,6</w:t>
            </w:r>
          </w:p>
        </w:tc>
        <w:tc>
          <w:tcPr>
            <w:tcW w:w="1127" w:type="dxa"/>
          </w:tcPr>
          <w:p w14:paraId="253C31A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629</w:t>
            </w:r>
          </w:p>
        </w:tc>
      </w:tr>
      <w:tr w:rsidR="004E10C1" w:rsidRPr="0044524F" w14:paraId="009C9209" w14:textId="77777777">
        <w:tc>
          <w:tcPr>
            <w:tcW w:w="1127" w:type="dxa"/>
          </w:tcPr>
          <w:p w14:paraId="57D3695F"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127" w:type="dxa"/>
          </w:tcPr>
          <w:p w14:paraId="647E56C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моторов:</w:t>
            </w:r>
          </w:p>
        </w:tc>
        <w:tc>
          <w:tcPr>
            <w:tcW w:w="1127" w:type="dxa"/>
          </w:tcPr>
          <w:p w14:paraId="5DD3CE0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5310</w:t>
            </w:r>
          </w:p>
        </w:tc>
        <w:tc>
          <w:tcPr>
            <w:tcW w:w="1127" w:type="dxa"/>
          </w:tcPr>
          <w:p w14:paraId="2193FC8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4567</w:t>
            </w:r>
          </w:p>
        </w:tc>
        <w:tc>
          <w:tcPr>
            <w:tcW w:w="1127" w:type="dxa"/>
          </w:tcPr>
          <w:p w14:paraId="454B5E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c>
          <w:tcPr>
            <w:tcW w:w="1127" w:type="dxa"/>
          </w:tcPr>
          <w:p w14:paraId="7777E239"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4918</w:t>
            </w:r>
          </w:p>
        </w:tc>
        <w:tc>
          <w:tcPr>
            <w:tcW w:w="1127" w:type="dxa"/>
          </w:tcPr>
          <w:p w14:paraId="4D2EA71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92,6</w:t>
            </w:r>
          </w:p>
        </w:tc>
        <w:tc>
          <w:tcPr>
            <w:tcW w:w="1127" w:type="dxa"/>
          </w:tcPr>
          <w:p w14:paraId="11CCAC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299,9</w:t>
            </w:r>
          </w:p>
        </w:tc>
        <w:tc>
          <w:tcPr>
            <w:tcW w:w="1127" w:type="dxa"/>
          </w:tcPr>
          <w:p w14:paraId="74050BA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1640 (3082,49-50).</w:t>
            </w:r>
          </w:p>
        </w:tc>
      </w:tr>
    </w:tbl>
    <w:p w14:paraId="119B15B3"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059C30E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января 1933 года Базилевич подготовил справку:</w:t>
      </w:r>
    </w:p>
    <w:p w14:paraId="540BACD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Итоги работ авиапромышленности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1596"/>
        <w:gridCol w:w="1559"/>
      </w:tblGrid>
      <w:tr w:rsidR="004E10C1" w:rsidRPr="0044524F" w14:paraId="72D9DCEE" w14:textId="77777777">
        <w:tc>
          <w:tcPr>
            <w:tcW w:w="3757" w:type="dxa"/>
          </w:tcPr>
          <w:p w14:paraId="5EF3BEA4"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596" w:type="dxa"/>
          </w:tcPr>
          <w:p w14:paraId="47E570A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1559" w:type="dxa"/>
          </w:tcPr>
          <w:p w14:paraId="481F465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c>
      </w:tr>
      <w:tr w:rsidR="004E10C1" w:rsidRPr="0044524F" w14:paraId="7DDFE1DE" w14:textId="77777777">
        <w:tc>
          <w:tcPr>
            <w:tcW w:w="3757" w:type="dxa"/>
          </w:tcPr>
          <w:p w14:paraId="2AFD7D3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сдано потребителям в 1932 году</w:t>
            </w:r>
          </w:p>
        </w:tc>
        <w:tc>
          <w:tcPr>
            <w:tcW w:w="1596" w:type="dxa"/>
          </w:tcPr>
          <w:p w14:paraId="59B87579"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c>
          <w:tcPr>
            <w:tcW w:w="1559" w:type="dxa"/>
          </w:tcPr>
          <w:p w14:paraId="147F9766" w14:textId="77777777" w:rsidR="00095B9C" w:rsidRPr="0044524F" w:rsidRDefault="00095B9C" w:rsidP="009654CF">
            <w:pPr>
              <w:spacing w:after="0" w:line="240" w:lineRule="auto"/>
              <w:jc w:val="both"/>
              <w:rPr>
                <w:rFonts w:ascii="Times New Roman" w:hAnsi="Times New Roman"/>
                <w:color w:val="000000" w:themeColor="text1"/>
                <w:sz w:val="16"/>
                <w:szCs w:val="16"/>
              </w:rPr>
            </w:pPr>
          </w:p>
        </w:tc>
      </w:tr>
      <w:tr w:rsidR="004E10C1" w:rsidRPr="0044524F" w14:paraId="7B7F15A6" w14:textId="77777777">
        <w:tc>
          <w:tcPr>
            <w:tcW w:w="3757" w:type="dxa"/>
          </w:tcPr>
          <w:p w14:paraId="10E8FC3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Вполне кондиционных </w:t>
            </w:r>
          </w:p>
        </w:tc>
        <w:tc>
          <w:tcPr>
            <w:tcW w:w="1596" w:type="dxa"/>
          </w:tcPr>
          <w:p w14:paraId="5521439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4567</w:t>
            </w:r>
          </w:p>
        </w:tc>
        <w:tc>
          <w:tcPr>
            <w:tcW w:w="1559" w:type="dxa"/>
          </w:tcPr>
          <w:p w14:paraId="7829ED3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2487</w:t>
            </w:r>
          </w:p>
        </w:tc>
      </w:tr>
      <w:tr w:rsidR="004E10C1" w:rsidRPr="0044524F" w14:paraId="6F9AAB26" w14:textId="77777777">
        <w:tc>
          <w:tcPr>
            <w:tcW w:w="3757" w:type="dxa"/>
          </w:tcPr>
          <w:p w14:paraId="556E6F1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пониженной кондицией</w:t>
            </w:r>
          </w:p>
        </w:tc>
        <w:tc>
          <w:tcPr>
            <w:tcW w:w="1596" w:type="dxa"/>
          </w:tcPr>
          <w:p w14:paraId="08A809C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c>
          <w:tcPr>
            <w:tcW w:w="1559" w:type="dxa"/>
          </w:tcPr>
          <w:p w14:paraId="318C54B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F8953EC" w14:textId="77777777">
        <w:tc>
          <w:tcPr>
            <w:tcW w:w="3757" w:type="dxa"/>
          </w:tcPr>
          <w:p w14:paraId="1BA4B34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Учебных и макетов (в полном снаряжении)</w:t>
            </w:r>
          </w:p>
        </w:tc>
        <w:tc>
          <w:tcPr>
            <w:tcW w:w="1596" w:type="dxa"/>
          </w:tcPr>
          <w:p w14:paraId="187DDEE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c>
          <w:tcPr>
            <w:tcW w:w="1559" w:type="dxa"/>
          </w:tcPr>
          <w:p w14:paraId="2FDCAA9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CCF4668" w14:textId="77777777">
        <w:tc>
          <w:tcPr>
            <w:tcW w:w="3757" w:type="dxa"/>
          </w:tcPr>
          <w:p w14:paraId="1265623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сдано</w:t>
            </w:r>
          </w:p>
        </w:tc>
        <w:tc>
          <w:tcPr>
            <w:tcW w:w="1596" w:type="dxa"/>
          </w:tcPr>
          <w:p w14:paraId="5676D8B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4918</w:t>
            </w:r>
          </w:p>
        </w:tc>
        <w:tc>
          <w:tcPr>
            <w:tcW w:w="1559" w:type="dxa"/>
          </w:tcPr>
          <w:p w14:paraId="286599F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2487</w:t>
            </w:r>
          </w:p>
        </w:tc>
      </w:tr>
      <w:tr w:rsidR="004E10C1" w:rsidRPr="0044524F" w14:paraId="56F065B2" w14:textId="77777777">
        <w:tc>
          <w:tcPr>
            <w:tcW w:w="3757" w:type="dxa"/>
          </w:tcPr>
          <w:p w14:paraId="16CCE2C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Правительственное задание</w:t>
            </w:r>
          </w:p>
        </w:tc>
        <w:tc>
          <w:tcPr>
            <w:tcW w:w="1596" w:type="dxa"/>
          </w:tcPr>
          <w:p w14:paraId="4D25458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5310</w:t>
            </w:r>
          </w:p>
        </w:tc>
        <w:tc>
          <w:tcPr>
            <w:tcW w:w="1559" w:type="dxa"/>
          </w:tcPr>
          <w:p w14:paraId="29E87C2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3461</w:t>
            </w:r>
          </w:p>
        </w:tc>
      </w:tr>
      <w:tr w:rsidR="004E10C1" w:rsidRPr="0044524F" w14:paraId="72DC084A" w14:textId="77777777">
        <w:tc>
          <w:tcPr>
            <w:tcW w:w="3757" w:type="dxa"/>
          </w:tcPr>
          <w:p w14:paraId="5F7A42F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в 1931 году</w:t>
            </w:r>
          </w:p>
        </w:tc>
        <w:tc>
          <w:tcPr>
            <w:tcW w:w="1596" w:type="dxa"/>
          </w:tcPr>
          <w:p w14:paraId="7067EDB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1640</w:t>
            </w:r>
          </w:p>
        </w:tc>
        <w:tc>
          <w:tcPr>
            <w:tcW w:w="1559" w:type="dxa"/>
          </w:tcPr>
          <w:p w14:paraId="5E18A76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1489</w:t>
            </w:r>
          </w:p>
        </w:tc>
      </w:tr>
      <w:tr w:rsidR="004E10C1" w:rsidRPr="0044524F" w14:paraId="15C7459E" w14:textId="77777777">
        <w:tc>
          <w:tcPr>
            <w:tcW w:w="3757" w:type="dxa"/>
          </w:tcPr>
          <w:p w14:paraId="7E36FD3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Рост выпуска по количеству единиц в сравнении с прошлым годом составляет</w:t>
            </w:r>
          </w:p>
        </w:tc>
        <w:tc>
          <w:tcPr>
            <w:tcW w:w="1596" w:type="dxa"/>
          </w:tcPr>
          <w:p w14:paraId="1E9CE40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559" w:type="dxa"/>
          </w:tcPr>
          <w:p w14:paraId="03E57BB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w:t>
            </w:r>
          </w:p>
        </w:tc>
      </w:tr>
      <w:tr w:rsidR="004E10C1" w:rsidRPr="0044524F" w14:paraId="2832C45A" w14:textId="77777777">
        <w:tc>
          <w:tcPr>
            <w:tcW w:w="3757" w:type="dxa"/>
          </w:tcPr>
          <w:p w14:paraId="18C66BBC"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План в целом по количеству единиц исполнен на </w:t>
            </w:r>
          </w:p>
        </w:tc>
        <w:tc>
          <w:tcPr>
            <w:tcW w:w="1596" w:type="dxa"/>
          </w:tcPr>
          <w:p w14:paraId="0F1FBAA8"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92,6%</w:t>
            </w:r>
          </w:p>
        </w:tc>
        <w:tc>
          <w:tcPr>
            <w:tcW w:w="1559" w:type="dxa"/>
          </w:tcPr>
          <w:p w14:paraId="4F486AB7"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71,9%</w:t>
            </w:r>
          </w:p>
        </w:tc>
      </w:tr>
      <w:tr w:rsidR="004E10C1" w:rsidRPr="0044524F" w14:paraId="64564116" w14:textId="77777777">
        <w:tc>
          <w:tcPr>
            <w:tcW w:w="3757" w:type="dxa"/>
          </w:tcPr>
          <w:p w14:paraId="3EA36A5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них по кондиционным моторам на</w:t>
            </w:r>
          </w:p>
        </w:tc>
        <w:tc>
          <w:tcPr>
            <w:tcW w:w="1596" w:type="dxa"/>
          </w:tcPr>
          <w:p w14:paraId="1E32730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1559" w:type="dxa"/>
          </w:tcPr>
          <w:p w14:paraId="10749A7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bl>
    <w:p w14:paraId="5C0BC6E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моторам.</w:t>
      </w:r>
    </w:p>
    <w:p w14:paraId="4AD9701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Важнейшим достижением является освоение производства мотора М-34, нового (кроме опытных) мотора, который постепенно должен заменить существующий М-17 и стать основным мотором как на вооружении РККА, так и в гражданской авиации.</w:t>
      </w:r>
    </w:p>
    <w:p w14:paraId="12AD1D3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выпущено 45 моторов при плановом задании – 55.</w:t>
      </w:r>
    </w:p>
    <w:p w14:paraId="16465CB6"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Преимущество мотора М-34.</w:t>
      </w:r>
    </w:p>
    <w:p w14:paraId="245F7F85" w14:textId="77777777" w:rsidR="00095B9C" w:rsidRPr="0044524F" w:rsidRDefault="00095B9C" w:rsidP="009654CF">
      <w:pPr>
        <w:numPr>
          <w:ilvl w:val="0"/>
          <w:numId w:val="2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Малый удельный вес. В этом отношении мотор не только превосходит М-17, но и лучше ряда заграничных образцов.</w:t>
      </w:r>
    </w:p>
    <w:p w14:paraId="7EABDD24" w14:textId="77777777" w:rsidR="00095B9C" w:rsidRPr="0044524F" w:rsidRDefault="00095B9C" w:rsidP="009654CF">
      <w:pPr>
        <w:numPr>
          <w:ilvl w:val="0"/>
          <w:numId w:val="2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Исключительно низкий расход топлива. Ни один из существующих моторов как у нас, так и за границей (по справке ГУАП и НКВМ) не имеет столь малых расходов.</w:t>
      </w:r>
    </w:p>
    <w:p w14:paraId="224FA764" w14:textId="77777777" w:rsidR="00095B9C" w:rsidRPr="0044524F" w:rsidRDefault="00095B9C" w:rsidP="009654CF">
      <w:pPr>
        <w:numPr>
          <w:ilvl w:val="0"/>
          <w:numId w:val="2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Горючее – чистый Бакинский бензин. Мотор не требует примеси бензола (чрезвычайно дефицитного) или специальных антидетонаторов.</w:t>
      </w:r>
    </w:p>
    <w:p w14:paraId="64D55DCD" w14:textId="77777777" w:rsidR="00095B9C" w:rsidRPr="0044524F" w:rsidRDefault="00095B9C" w:rsidP="009654CF">
      <w:pPr>
        <w:numPr>
          <w:ilvl w:val="0"/>
          <w:numId w:val="2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дало вполне благополучные результаты. Мотор принят УВВС.</w:t>
      </w:r>
    </w:p>
    <w:p w14:paraId="687C5D5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обеспечено полное выполнение программы (доклад ГУАП).</w:t>
      </w:r>
    </w:p>
    <w:p w14:paraId="06157A3F"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самолетам. Внедрен в производство ряд новых типов самолетов:</w:t>
      </w:r>
    </w:p>
    <w:p w14:paraId="00FF79BD"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Тяжелый металлический бомбовоз ТБ-3 впервые освоенный в производстве этого года. Несмотря на большие трудности программа выполнена на 62% из 250 по программе сдано 155.</w:t>
      </w:r>
    </w:p>
    <w:p w14:paraId="63EDF9A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Истребителя нового усовершенствованного типа И7. Из 160 сдано 45; производство освоено.</w:t>
      </w:r>
    </w:p>
    <w:p w14:paraId="3B8EC1FA"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Гидросамолета С-62 АССО; из 65 сдано 29 (3530,68).</w:t>
      </w:r>
    </w:p>
    <w:p w14:paraId="6EB45801"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17A1037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января 1933 года Базилевич писал письмо № 28/ко во Всеукраинскую академию наук Богомольцу</w:t>
      </w:r>
    </w:p>
    <w:p w14:paraId="170DE13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справке зам. НКТяжпрома Баранова, ЦИАМ не настаивает на откомандировании в его распоряжение Серенсена С. (3530,50).</w:t>
      </w:r>
    </w:p>
    <w:p w14:paraId="0A86BD2D"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6E141CEB"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января 1933 года начальник Управления военных изобретений (УВИ) Новиков нашел, как ему казалось, вполне подходящий военный склад, но никак не мог сообразить, куда его выселить. Письмо его Тухачевскому заканчивалось трафаретно: "Прошу ваших указаний". Вместо указаний он получил разносную резолюцию:</w:t>
      </w:r>
    </w:p>
    <w:p w14:paraId="14A65EB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 Новикову. Я Вам 100 раз приказывал найти институт в Москве на предмет внесения предложения о его выселении. Полгода вы ничего по этому поводу не делаете. Безобразная неисполнительность. Предлагаю 13/1 представить предложения.</w:t>
      </w:r>
    </w:p>
    <w:p w14:paraId="4D8BF8A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Тухачевский,11/I" (11143).</w:t>
      </w:r>
    </w:p>
    <w:p w14:paraId="0DCE1F25"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3D409A81" w14:textId="77777777" w:rsidR="00956BB9" w:rsidRPr="0044524F" w:rsidRDefault="00956BB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7 января 1933 г. Объединенный пленум ЦК и ЦКК ВКП/б/, подводя итоги выполнснпя первой пятилетки, констатировал наличие у нас своей авиационной промышленности, созданной фактически на пустом месте, поскольку промышленность царской России в годы революций и гражданской войны полностью развалились. В годы реконструкции авиапромышленность создавалась на новой технической основе с учетом всех достижений мировой авиационной техники. Это оказалось возможным в результате общего подъема промышленности, в частности тяжелой промышленности, и в результате .небывалого героизма трудящихся, взявшихся за создание своего воздушного флота.</w:t>
      </w:r>
    </w:p>
    <w:p w14:paraId="72741AA1" w14:textId="77777777" w:rsidR="00956BB9" w:rsidRPr="0044524F" w:rsidRDefault="00956BB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/Материалы пленума в центральных газетах за январь 1933 г./ (23370).</w:t>
      </w:r>
    </w:p>
    <w:p w14:paraId="6B2E9589" w14:textId="77777777" w:rsidR="00956BB9" w:rsidRPr="0044524F" w:rsidRDefault="00956BB9" w:rsidP="009654CF">
      <w:pPr>
        <w:spacing w:after="0" w:line="240" w:lineRule="auto"/>
        <w:jc w:val="both"/>
        <w:rPr>
          <w:rFonts w:ascii="Times New Roman" w:hAnsi="Times New Roman"/>
          <w:color w:val="000000" w:themeColor="text1"/>
          <w:sz w:val="16"/>
          <w:szCs w:val="16"/>
        </w:rPr>
      </w:pPr>
    </w:p>
    <w:p w14:paraId="378D7C13" w14:textId="77777777" w:rsidR="004539AF" w:rsidRPr="0044524F" w:rsidRDefault="004539AF" w:rsidP="009654CF">
      <w:pPr>
        <w:pStyle w:val="a3"/>
        <w:rPr>
          <w:color w:val="000000" w:themeColor="text1"/>
          <w:lang w:val="ru-RU"/>
        </w:rPr>
      </w:pPr>
      <w:r w:rsidRPr="0044524F">
        <w:rPr>
          <w:color w:val="000000" w:themeColor="text1"/>
          <w:lang w:val="ru-RU"/>
        </w:rPr>
        <w:t>7 января 1933 г. вышло совместное Постановление Президиума ЦК ВКП(б) и Коллегии НКРКИ СССР «Об обследовании НИК «Дирижабле</w:t>
      </w:r>
      <w:r w:rsidRPr="0044524F">
        <w:rPr>
          <w:color w:val="000000" w:themeColor="text1"/>
          <w:lang w:val="ru-RU"/>
        </w:rPr>
        <w:softHyphen/>
        <w:t>строй», выводы которого сменивший П.М. Пурмаля новый начальникИ.А. Фельдман, признал справедли</w:t>
      </w:r>
      <w:r w:rsidRPr="0044524F">
        <w:rPr>
          <w:color w:val="000000" w:themeColor="text1"/>
          <w:lang w:val="ru-RU"/>
        </w:rPr>
        <w:softHyphen/>
        <w:t>выми:</w:t>
      </w:r>
    </w:p>
    <w:p w14:paraId="49DDB021" w14:textId="77777777" w:rsidR="004539AF" w:rsidRPr="0044524F" w:rsidRDefault="004539AF" w:rsidP="009654CF">
      <w:pPr>
        <w:pStyle w:val="a3"/>
        <w:widowControl/>
        <w:tabs>
          <w:tab w:val="left" w:pos="418"/>
        </w:tabs>
        <w:autoSpaceDE/>
        <w:autoSpaceDN/>
        <w:adjustRightInd/>
        <w:rPr>
          <w:color w:val="000000" w:themeColor="text1"/>
          <w:lang w:val="ru-RU"/>
        </w:rPr>
      </w:pPr>
      <w:r w:rsidRPr="0044524F">
        <w:rPr>
          <w:color w:val="000000" w:themeColor="text1"/>
          <w:lang w:val="ru-RU"/>
        </w:rPr>
        <w:t>- дирижаблестроение не получило до сих пор точных и определенных перспектив своего развития;</w:t>
      </w:r>
    </w:p>
    <w:p w14:paraId="58BAC9EA" w14:textId="77777777" w:rsidR="004539AF" w:rsidRPr="0044524F" w:rsidRDefault="004539AF" w:rsidP="009654CF">
      <w:pPr>
        <w:pStyle w:val="a3"/>
        <w:widowControl/>
        <w:tabs>
          <w:tab w:val="left" w:pos="428"/>
        </w:tabs>
        <w:autoSpaceDE/>
        <w:autoSpaceDN/>
        <w:adjustRightInd/>
        <w:rPr>
          <w:color w:val="000000" w:themeColor="text1"/>
          <w:lang w:val="ru-RU"/>
        </w:rPr>
      </w:pPr>
      <w:r w:rsidRPr="0044524F">
        <w:rPr>
          <w:color w:val="000000" w:themeColor="text1"/>
          <w:lang w:val="ru-RU"/>
        </w:rPr>
        <w:t>- строительство двумя трестами базы дирижаблей у платформы «Долгопрудная» сорвано по срокам и качеству работ;</w:t>
      </w:r>
    </w:p>
    <w:p w14:paraId="10E0ED61" w14:textId="77777777" w:rsidR="004539AF" w:rsidRPr="0044524F" w:rsidRDefault="004539AF" w:rsidP="009654CF">
      <w:pPr>
        <w:pStyle w:val="a3"/>
        <w:widowControl/>
        <w:tabs>
          <w:tab w:val="left" w:pos="418"/>
        </w:tabs>
        <w:autoSpaceDE/>
        <w:autoSpaceDN/>
        <w:adjustRightInd/>
        <w:rPr>
          <w:color w:val="000000" w:themeColor="text1"/>
          <w:lang w:val="ru-RU"/>
        </w:rPr>
      </w:pPr>
      <w:r w:rsidRPr="0044524F">
        <w:rPr>
          <w:color w:val="000000" w:themeColor="text1"/>
          <w:lang w:val="ru-RU"/>
        </w:rPr>
        <w:t>- выпуск четырех учебных кораблей не соответствует размеру истраченных на них средств;</w:t>
      </w:r>
    </w:p>
    <w:p w14:paraId="1FFF4DC6" w14:textId="77777777" w:rsidR="004539AF" w:rsidRPr="0044524F" w:rsidRDefault="004539AF" w:rsidP="009654CF">
      <w:pPr>
        <w:pStyle w:val="a3"/>
        <w:widowControl/>
        <w:tabs>
          <w:tab w:val="left" w:pos="423"/>
        </w:tabs>
        <w:autoSpaceDE/>
        <w:autoSpaceDN/>
        <w:adjustRightInd/>
        <w:rPr>
          <w:color w:val="000000" w:themeColor="text1"/>
          <w:lang w:val="ru-RU"/>
        </w:rPr>
      </w:pPr>
      <w:r w:rsidRPr="0044524F">
        <w:rPr>
          <w:color w:val="000000" w:themeColor="text1"/>
          <w:lang w:val="ru-RU"/>
        </w:rPr>
        <w:t>- контроль «Аэрофлота» за деятельно</w:t>
      </w:r>
      <w:r w:rsidRPr="0044524F">
        <w:rPr>
          <w:color w:val="000000" w:themeColor="text1"/>
          <w:lang w:val="ru-RU"/>
        </w:rPr>
        <w:softHyphen/>
        <w:t>стью Комбината неудовлетворительный (12732).</w:t>
      </w:r>
    </w:p>
    <w:p w14:paraId="20576CDD" w14:textId="77777777" w:rsidR="004539AF" w:rsidRPr="0044524F" w:rsidRDefault="004539AF" w:rsidP="009654CF">
      <w:pPr>
        <w:spacing w:after="0" w:line="240" w:lineRule="auto"/>
        <w:jc w:val="both"/>
        <w:rPr>
          <w:rFonts w:ascii="Times New Roman" w:hAnsi="Times New Roman"/>
          <w:iCs/>
          <w:color w:val="000000" w:themeColor="text1"/>
          <w:sz w:val="16"/>
          <w:szCs w:val="16"/>
        </w:rPr>
      </w:pPr>
    </w:p>
    <w:p w14:paraId="54F81C25" w14:textId="77777777" w:rsidR="00310B25" w:rsidRPr="0044524F" w:rsidRDefault="00310B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января 1933 в Постановлении № 95-47 Центральная контрольная комиссия ВКП(б) (ЦКК ВКП(б)) и Народный комиссариат Рабоче-крестьянской инспекции (НК РКИ) по результатам обследовании Дирижаблестроя военно-морской инспекцией сделала вывод, что: «Отдельные успехи в работе, достигнутые Дирижаблестроем (выпуск 3-х мягких кораблей) не соответствуют размерам затраченных средств» [4, л.4] (15797).</w:t>
      </w:r>
    </w:p>
    <w:p w14:paraId="4D5CAAAE" w14:textId="77777777" w:rsidR="00310B25" w:rsidRPr="0044524F" w:rsidRDefault="00310B25" w:rsidP="009654CF">
      <w:pPr>
        <w:spacing w:after="0" w:line="240" w:lineRule="auto"/>
        <w:jc w:val="both"/>
        <w:rPr>
          <w:rFonts w:ascii="Times New Roman" w:hAnsi="Times New Roman"/>
          <w:color w:val="000000" w:themeColor="text1"/>
          <w:sz w:val="16"/>
          <w:szCs w:val="16"/>
        </w:rPr>
      </w:pPr>
    </w:p>
    <w:p w14:paraId="24761BFF" w14:textId="77777777" w:rsidR="00AD3AD2" w:rsidRPr="0044524F" w:rsidRDefault="00AD3AD2"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21CC972" w14:textId="77777777" w:rsidR="00AD3AD2" w:rsidRPr="0044524F" w:rsidRDefault="00AD3AD2" w:rsidP="009654CF">
      <w:pPr>
        <w:spacing w:after="0" w:line="240" w:lineRule="auto"/>
        <w:jc w:val="both"/>
        <w:rPr>
          <w:rFonts w:ascii="Times New Roman" w:hAnsi="Times New Roman"/>
          <w:iCs/>
          <w:color w:val="000000" w:themeColor="text1"/>
          <w:sz w:val="16"/>
          <w:szCs w:val="16"/>
        </w:rPr>
      </w:pPr>
    </w:p>
    <w:p w14:paraId="1119A11B" w14:textId="77777777" w:rsidR="00AD3AD2" w:rsidRPr="0044524F" w:rsidRDefault="00AD3AD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7 января 1933 Ворошилов поведал: в танк Т-28 "т. Сталин "влюблен"". (Объединенный Пленум ЦК и ЦKK ВКП(б), 7-12.01.1933 (правленая стенограмма) // РГА СПИ. Ф. 17. Оп. 2. Д. 5**07. Л. 692 (22725).</w:t>
      </w:r>
    </w:p>
    <w:p w14:paraId="1F464641" w14:textId="77777777" w:rsidR="00AD3AD2" w:rsidRPr="0044524F" w:rsidRDefault="00AD3AD2" w:rsidP="009654CF">
      <w:pPr>
        <w:spacing w:after="0" w:line="240" w:lineRule="auto"/>
        <w:jc w:val="both"/>
        <w:rPr>
          <w:rFonts w:ascii="Times New Roman" w:hAnsi="Times New Roman"/>
          <w:color w:val="000000" w:themeColor="text1"/>
          <w:sz w:val="16"/>
          <w:szCs w:val="16"/>
        </w:rPr>
      </w:pPr>
    </w:p>
    <w:p w14:paraId="770CBCFC"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EBAFF57"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26E286BF" w14:textId="77777777" w:rsidR="00095B9C" w:rsidRPr="0044524F" w:rsidRDefault="00095B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января 1933 (07 - 12 янв.) На пленуме ЦК партии принято решение проводить политзанятия в МТС для повышения политической грамотности колхозников (4962).</w:t>
      </w:r>
    </w:p>
    <w:p w14:paraId="5B581491" w14:textId="77777777" w:rsidR="00095B9C" w:rsidRPr="0044524F" w:rsidRDefault="00095B9C" w:rsidP="009654CF">
      <w:pPr>
        <w:tabs>
          <w:tab w:val="left" w:pos="11199"/>
        </w:tabs>
        <w:spacing w:after="0" w:line="240" w:lineRule="auto"/>
        <w:jc w:val="both"/>
        <w:rPr>
          <w:rFonts w:ascii="Times New Roman" w:hAnsi="Times New Roman"/>
          <w:color w:val="000000" w:themeColor="text1"/>
          <w:sz w:val="16"/>
          <w:szCs w:val="16"/>
        </w:rPr>
      </w:pPr>
    </w:p>
    <w:p w14:paraId="5D19EDF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7-12 января 1933 был объединенный пленум ЦК и ЦКК ВКП(б) по итогам первой пятилетки (4 года, 3 месяца) (24,57) и в этот день И.В.Сталин сказал свое знаменитое выражение "У нас не было АП. У нас она есть теперь" (66,149) (24,57). Решили проводить политзанятия для колхозников на базе МТС (3908,339).</w:t>
      </w:r>
    </w:p>
    <w:p w14:paraId="46CA2CA3"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40619D95" w14:textId="77777777" w:rsidR="00AD3AD2" w:rsidRPr="0044524F" w:rsidRDefault="00AD3AD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7-12 января 1933 г. на объединенном Пленуме ЦК и ЦКК ВКП(б) советское руководство подвело итоги выполнения пятилетки в четыре года. Впервые за полтора года Генеральный секретарь ЦК ВКП(б) взошел на трибуну. "Из страны слабой и не подготовленной к обороне Советский Союз превратился в страну могучую в смысле обороноспособности", - заявил он Объединенному пленуму ЦК и ЦКК ВКП(б). "Мы восполнили целиком и полностью пробелы в деле обороноспособности страны"; "в результате успешного выполнения пятилетки нам удалось уже поднять oбopoноспособность страны на должную высоту". "Стоит ли после этого подхлестывать и подгонять страну? Ясно, что теперь нет в этом необходимости" (СТАЛИН И. Итоги первой пятилетки: Доклад на объединенном Пленуме ЦК и ЦКК ВКП(б),7-12 января 1933 г./Там же. Соч. Т. 13. М, 1953. С 180,185) (22725).</w:t>
      </w:r>
    </w:p>
    <w:p w14:paraId="7BE735FE" w14:textId="77777777" w:rsidR="00AD3AD2" w:rsidRPr="0044524F" w:rsidRDefault="00AD3AD2" w:rsidP="009654CF">
      <w:pPr>
        <w:spacing w:after="0" w:line="240" w:lineRule="auto"/>
        <w:jc w:val="both"/>
        <w:rPr>
          <w:rFonts w:ascii="Times New Roman" w:hAnsi="Times New Roman"/>
          <w:color w:val="000000" w:themeColor="text1"/>
          <w:sz w:val="16"/>
          <w:szCs w:val="16"/>
        </w:rPr>
      </w:pPr>
    </w:p>
    <w:p w14:paraId="551F4D3E" w14:textId="77777777" w:rsidR="003628CD" w:rsidRPr="0044524F" w:rsidRDefault="003628CD"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7 января 1933 г. Итоги первой пятилетки: Доклад на объединенном пленуме ЦК и ЦКК ВКП(б)</w:t>
      </w:r>
    </w:p>
    <w:p w14:paraId="2CE3302C" w14:textId="77777777" w:rsidR="003628CD" w:rsidRPr="0044524F" w:rsidRDefault="003628CD"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II. Основная задача пятилетнего плана и путь ее осуществления</w:t>
      </w:r>
    </w:p>
    <w:p w14:paraId="22BBCA00"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Перейдем к вопросу о пятилетнем плане по существу.</w:t>
      </w:r>
    </w:p>
    <w:p w14:paraId="19411674"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Что такое пятилетний план?</w:t>
      </w:r>
    </w:p>
    <w:p w14:paraId="7107194F"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В чем состояла основная задача пятилетнего плана?</w:t>
      </w:r>
    </w:p>
    <w:p w14:paraId="3862DC3E"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Основная задача пятилетки состояла в том, чтобы перевести нашу страну с ее отсталой, подчас средневековой техникой – на рельсы новой, современной техники.</w:t>
      </w:r>
    </w:p>
    <w:p w14:paraId="43A809C5"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Основная задача пятилетки состояла в том, чтобы превратить СССР из страны аграрной и немощной, зависимой от капризов капиталистических стран, – в страну индустриальную и могучую, вполне самостоятельную и независимую от капризов мирового капитализма.</w:t>
      </w:r>
    </w:p>
    <w:p w14:paraId="208B9CD7"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Основная задача пятилетки состояла в том, чтобы, превращая СССР в страну индустриальную, – вытеснить до конца капиталистические элементы, расширить фронт социалистических форм хозяйства и создать экономическую базу для уничтожения классов в СССР, для построения социалистического общества.</w:t>
      </w:r>
    </w:p>
    <w:p w14:paraId="270CA884"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Основная задача пятилетки состояла в том, чтобы создать в нашей стране такую индустрию, которая была бы способна перевооружить и реорганизовать не только промышленность в целом, но и транспорт, но и сельское хозяйство – на базе социализма.</w:t>
      </w:r>
    </w:p>
    <w:p w14:paraId="2BA9A393"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Основная задача пятилетки состояла в том, чтобы перевести мелкое и раздробленное сельское хозяйство на рельсы крупного коллективного хозяйства, обеспечить тем самым экономическую базу социализма в деревне и ликвидировать таким образом возможность восстановления капитализма в СССР.</w:t>
      </w:r>
    </w:p>
    <w:p w14:paraId="25F50D27"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Наконец, задача пятилетнего плана состояла в том, чтобы создать в стране все необходимые технические и экономические предпосылки для максимального поднятия обороноспособности страны, дающей возможность организовать решительный отпор всем и всяким попыткам военной интервенции извне, всем и всяким попыткам военного нападения извне.</w:t>
      </w:r>
    </w:p>
    <w:p w14:paraId="45066756"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Чем диктовалась эта основная задача пятилетки, чем она обосновывалась?</w:t>
      </w:r>
    </w:p>
    <w:p w14:paraId="21B723BD"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Необходимостью ликвидации технико-экономической отсталости Советского Союза, обрекающей его на незавидное существование, необходимостью создать в стране такие предпосылки, которые дали бы ей возможность не только догнать, но со временем и перегнать в технико-экономическом отношении передовые капиталистические страны.</w:t>
      </w:r>
    </w:p>
    <w:p w14:paraId="09E2C6CE"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Соображением о том, что Советская власть не может долго держаться на базе отсталой промышленности, что только современная крупная промышленность, не только не уступающая, но могущая со временем превзойти промышленность капиталистических стран, – может служить действительным и надежным фундаментом для Советской власти.</w:t>
      </w:r>
    </w:p>
    <w:p w14:paraId="5BF188B4"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 xml:space="preserve">Соображением о том, что Советская власть не может долго базироваться на двух противоположных основах, на крупной социалистической промышленности, которая </w:t>
      </w:r>
      <w:r w:rsidRPr="0044524F">
        <w:rPr>
          <w:rStyle w:val="af0"/>
          <w:i w:val="0"/>
          <w:color w:val="000000" w:themeColor="text1"/>
          <w:sz w:val="16"/>
          <w:szCs w:val="16"/>
        </w:rPr>
        <w:t>уничтожает</w:t>
      </w:r>
      <w:r w:rsidRPr="0044524F">
        <w:rPr>
          <w:color w:val="000000" w:themeColor="text1"/>
          <w:sz w:val="16"/>
          <w:szCs w:val="16"/>
        </w:rPr>
        <w:t xml:space="preserve"> капиталистические элементы, и на мелком единоличном крестьянском хозяйстве, которое </w:t>
      </w:r>
      <w:r w:rsidRPr="0044524F">
        <w:rPr>
          <w:rStyle w:val="af0"/>
          <w:i w:val="0"/>
          <w:color w:val="000000" w:themeColor="text1"/>
          <w:sz w:val="16"/>
          <w:szCs w:val="16"/>
        </w:rPr>
        <w:t>порождает</w:t>
      </w:r>
      <w:r w:rsidRPr="0044524F">
        <w:rPr>
          <w:color w:val="000000" w:themeColor="text1"/>
          <w:sz w:val="16"/>
          <w:szCs w:val="16"/>
        </w:rPr>
        <w:t xml:space="preserve"> капиталистические элементы.</w:t>
      </w:r>
    </w:p>
    <w:p w14:paraId="5C164040"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Соображением о том, что пока не подведена под сельское хозяйство база крупного производства, пока не объединены мелкие крестьянские хозяйства в крупные коллективные хозяйства, – опасность восстановления капитализма в СССР является самой реальной опасностью из всех возможных опасностей.</w:t>
      </w:r>
    </w:p>
    <w:p w14:paraId="5CABAF70"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Ленин говорил:</w:t>
      </w:r>
    </w:p>
    <w:p w14:paraId="417653DF"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“Революция сделала то, что в несколько месяцев Россия по своему политическому строю догнала передовые страны.</w:t>
      </w:r>
    </w:p>
    <w:p w14:paraId="737C7956"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 xml:space="preserve">Но этого мало. Война неумолима, она ставит вопрос с беспощадной резкостью: либо погибнуть, либо догнать передовые страны и перегнать их также и </w:t>
      </w:r>
      <w:r w:rsidRPr="0044524F">
        <w:rPr>
          <w:rStyle w:val="af0"/>
          <w:i w:val="0"/>
          <w:color w:val="000000" w:themeColor="text1"/>
          <w:sz w:val="16"/>
          <w:szCs w:val="16"/>
        </w:rPr>
        <w:t>экономически…</w:t>
      </w:r>
      <w:r w:rsidRPr="0044524F">
        <w:rPr>
          <w:color w:val="000000" w:themeColor="text1"/>
          <w:sz w:val="16"/>
          <w:szCs w:val="16"/>
        </w:rPr>
        <w:t xml:space="preserve"> Погибнуть или на всех парах устремиться вперед. Так поставлен вопрос историей” (см. т. XXI, стр. 191</w:t>
      </w:r>
      <w:hyperlink r:id="rId12" w:anchor="n50" w:history="1">
        <w:r w:rsidRPr="0044524F">
          <w:rPr>
            <w:rStyle w:val="a5"/>
            <w:color w:val="000000" w:themeColor="text1"/>
            <w:sz w:val="16"/>
            <w:szCs w:val="16"/>
            <w:vertAlign w:val="superscript"/>
          </w:rPr>
          <w:t>[50]</w:t>
        </w:r>
      </w:hyperlink>
      <w:r w:rsidRPr="0044524F">
        <w:rPr>
          <w:color w:val="000000" w:themeColor="text1"/>
          <w:sz w:val="16"/>
          <w:szCs w:val="16"/>
        </w:rPr>
        <w:t>).</w:t>
      </w:r>
    </w:p>
    <w:p w14:paraId="0947C498"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Ленин говорил:</w:t>
      </w:r>
    </w:p>
    <w:p w14:paraId="214DA182"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“Пока мы живем в мелкокрестьянской стране, для капитализма в России есть более прочная экономическая база, чем для коммунизма. Это необходимо запомнить. Каждый, внимательно наблюдавший за жизнью деревни, в сравнении с жизнью города, знает, что мы корней капитализма не вырвали и фундамент, основу у внутреннего врага не подорвали. Последний держится на мелком хозяйстве, и чтобы подорвать его, есть одно средство – перевести хозяйство страны, в том числе и земледелие, на новую техническую базу, на техническую базу современного крупного производства... Только тогда, когда страна будет электрифицирована, когда под промышленность, сельское хозяйство и транспорт будет подведена техническая база современной крупной промышленности, только тогда мы победим окончательно” (см. т. XXVI, стр. 46–47</w:t>
      </w:r>
      <w:hyperlink r:id="rId13" w:anchor="n51" w:history="1">
        <w:r w:rsidRPr="0044524F">
          <w:rPr>
            <w:rStyle w:val="a5"/>
            <w:color w:val="000000" w:themeColor="text1"/>
            <w:sz w:val="16"/>
            <w:szCs w:val="16"/>
            <w:vertAlign w:val="superscript"/>
          </w:rPr>
          <w:t>[51]</w:t>
        </w:r>
      </w:hyperlink>
      <w:r w:rsidRPr="0044524F">
        <w:rPr>
          <w:color w:val="000000" w:themeColor="text1"/>
          <w:sz w:val="16"/>
          <w:szCs w:val="16"/>
        </w:rPr>
        <w:t>).</w:t>
      </w:r>
    </w:p>
    <w:p w14:paraId="3A39CB19"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Эти положения и легли в основу тех соображений партии, которые привели к выработке пятилетнего плана, которые привели к определению основной задачи пятилетнего плана.</w:t>
      </w:r>
    </w:p>
    <w:p w14:paraId="563153E0"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Так обстоит дело с основной задачей пятилетки.</w:t>
      </w:r>
    </w:p>
    <w:p w14:paraId="3D6B9164"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Но осуществление такого грандиозного плана нельзя начинать вразброс, с чего попало. Чтобы осуществить такой план, нужно, прежде всего, найти основное звено плана, ибо только найдя основное звено и ухватившись за него, – можно было вытянуть все остальные звенья плана.</w:t>
      </w:r>
    </w:p>
    <w:p w14:paraId="62B57B13"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В чем состояло основное звено пятилетнего плана?</w:t>
      </w:r>
    </w:p>
    <w:p w14:paraId="673F6842"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Основное звено пятилетнего плана состояло в тяжелой промышленности с ее сердцевиной – машиностроением. Ибо только тяжелая промышленность способна реконструировать и поставить на ноги и промышленность в целом, и транспорт, и сельское хозяйство. С нее и надо было начать осуществление пятилетки. Стало быть, восстановление тяжелой промышленности нужно было положить в основу осуществления пятилетнего плана.</w:t>
      </w:r>
    </w:p>
    <w:p w14:paraId="068F9C73"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lastRenderedPageBreak/>
        <w:t>Мы имеем указания Ленина и на этот предмет:</w:t>
      </w:r>
    </w:p>
    <w:p w14:paraId="4E718D8A"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“Спасением для России является не только хороший урожай в крестьянском хозяйстве – этого еще мало, – и не только хорошее состояние легкой промышленности, поставляющей крестьянству предметы потребления, – этого тоже еще мало, – нам необходима также тяжелая индустрия… Без спасения тяжелой промышленности, без ее восстановления мы не сможем построить никакой промышленности, а без нее мы вообще погибнем, как самостоятельная страна… Тяжелая индустрия нуждается в государственных субсидиях. Если мы их не найдем, то мы, как цивилизованное государство, – я уже не говорю, как социалистическое, – погибли” (см. т. XXVII, стр. 349).</w:t>
      </w:r>
    </w:p>
    <w:p w14:paraId="754FD5F3"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Но восстановление и развитие тяжелой индустрии, особенно в такой отсталой и небогатой стране, какой была наша страна в начале пятилетки, является самым трудным делом, ибо тяжелая индустрия требует, как известно, громадных финансовых затрат и наличия известного минимума опытных технических сил, без чего, вообще говоря, невозможно восстановление тяжелой индустрии. Знала ли об этом партия и отдавала ли себе в этом отчет? Да, знала. И не только знала, но заявляла об атом во всеуслышание. Партия знала, каким путем была построена тяжелая индустрия в Англии, Германии, Америке. Она знала, что тяжелая индустрия была построена в этих странах либо при помощи крупных займов, либо путем ограбления других стран, либо же и тем и другим путем одновременно. Партия знала, что эти пути закрыты для нашей страны. На что же она рассчитывала? Она рассчитывала на собственные силы нашей страны. Она рассчитывала на то, что, имея Советскую власть и опираясь на национализацию земли, промышленности, транспорта, банков, торговли, мы можем проводить строжайший режим экономии для того, чтобы накоплять достаточные средства, необходимые для восстановления и развития тяжелой индустрии. Партия прямо говорила, что это дело потребует серьезных жертв и что мы должны пойти на эти жертвы открыто и сознательно, если хотим добиться цели. Партия рассчитывала поднять это дело внутренними силами нашей страны без кабальных кредитов и займов извне.</w:t>
      </w:r>
    </w:p>
    <w:p w14:paraId="12CFBDEC"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Вот что говорил Ленин на этот счет:</w:t>
      </w:r>
    </w:p>
    <w:p w14:paraId="46B5B6EA"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“Мы должны постараться построить государство, в котором рабочие сохранили бы свое руководство над крестьянами, доверие крестьян по отношению к себе и с величайшей экономией изгнали бы из своих общественных отношений всякие следы каких бы то ни было излишеств.</w:t>
      </w:r>
    </w:p>
    <w:p w14:paraId="443700FB"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Мы должны свести наш госаппарат до максимальной экономии. Мы должны изгнать из него все следы излишеств, которых в нем осталось так много от царской России, от ее бюрократическо-капиталистического аппарата.</w:t>
      </w:r>
    </w:p>
    <w:p w14:paraId="0D2D6C16"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Не будет ли это царством крестьянской ограниченности?</w:t>
      </w:r>
    </w:p>
    <w:p w14:paraId="229845BC"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Нет. Если мы сохраним за рабочим классом руководство над крестьянством, то мы получим возможность ценой величайшей и величайшей экономии хозяйства в нашем государстве добиться того, чтобы всякое малейшее сбережение сохранить для развития нашей крупной машинной индустрии, для развития электрификации, гидроторфа, для достройки Волховстроя и прочее.</w:t>
      </w:r>
    </w:p>
    <w:p w14:paraId="46B80A8C"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В этом и только в этом будет наша надежда. Только тогда мы в состоянии будем пересесть, выражаясь фигурально, с одной лошади на другую, именно, с лошади крестьянской, мужицкой, обнищалой, с лошади экономии, рассчитанных на разоренную Крестьянскую страну, – на лошадь, которую ищет и не может не искать для себя пролетариат, на лошадь крупной машинной индустрии, электрификации, Волховстроя и т.д.” (см. т. XXVII, стр. 417).</w:t>
      </w:r>
    </w:p>
    <w:p w14:paraId="1D79811E"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Пересесть с обнищалой мужицкой лошади на лошадь крупной машинной индустрии, – вот какую цель преследовала партия, вырабатывая пятилетний план и добиваясь его осуществления.</w:t>
      </w:r>
    </w:p>
    <w:p w14:paraId="595B10B9"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Установить строжайший режим экономии и накоплять средства, необходимые для финансирования индустриализации нашей страны, – вот на какой путь надо было стать, чтобы добиться создания тяжелой индустрии и осуществления пятилетнего плана.</w:t>
      </w:r>
    </w:p>
    <w:p w14:paraId="159D6539"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Смелая задача? Трудный путь? Но наша партия потому и называется ленинской партией, что она не имеет права бояться трудностей.</w:t>
      </w:r>
    </w:p>
    <w:p w14:paraId="5240F148"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Более того. Уверенность партии в осуществимости пятилетки и вера в силы рабочего класса были до того сильны, что партия нашла возможным поставить себе задачу осуществить это трудное дело не в пять лет, как этого требовал пятилетний план, а в четыре года, собственно – четыре года и три месяца, если прибавить особый квартал.</w:t>
      </w:r>
    </w:p>
    <w:p w14:paraId="20752C21"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На этой основе и родился знаменитый лозунг: “Пятилетка в четыре года”.</w:t>
      </w:r>
    </w:p>
    <w:p w14:paraId="4A2AA0B7"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И что же?</w:t>
      </w:r>
    </w:p>
    <w:p w14:paraId="60646532"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Факты показали впоследствии, что партия была права.</w:t>
      </w:r>
    </w:p>
    <w:p w14:paraId="068B0B68"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Факты показали, что без этой смелости и веры в силы рабочего класса партия не могла бы добиться той победы, которой гордимся мы теперь по праву.</w:t>
      </w:r>
    </w:p>
    <w:p w14:paraId="1F4138E6"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III. Итоги пятилетки в четыре года в области промышленности</w:t>
      </w:r>
    </w:p>
    <w:p w14:paraId="2430982A"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Перейдем теперь к вопросу об итогах осуществления пятилетнего плана.</w:t>
      </w:r>
    </w:p>
    <w:p w14:paraId="774A371B"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 xml:space="preserve">Каковы итоги пятилетки в четыре года в области </w:t>
      </w:r>
      <w:r w:rsidRPr="0044524F">
        <w:rPr>
          <w:rStyle w:val="af0"/>
          <w:i w:val="0"/>
          <w:color w:val="000000" w:themeColor="text1"/>
          <w:sz w:val="16"/>
          <w:szCs w:val="16"/>
        </w:rPr>
        <w:t>промышленности</w:t>
      </w:r>
      <w:r w:rsidRPr="0044524F">
        <w:rPr>
          <w:color w:val="000000" w:themeColor="text1"/>
          <w:sz w:val="16"/>
          <w:szCs w:val="16"/>
        </w:rPr>
        <w:t>?</w:t>
      </w:r>
    </w:p>
    <w:p w14:paraId="7530FB52"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Добились ли мы победы в этой области?</w:t>
      </w:r>
    </w:p>
    <w:p w14:paraId="73266402"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Да, добились. И не только добились, а сделали больше, чем мы сами ожидали, чем могли ожидать самые горячие головы в нашей партии. Этого не отрицают теперь даже враги. Тем более не могут этого отрицать наши друзья.</w:t>
      </w:r>
    </w:p>
    <w:p w14:paraId="22D79E3C"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У нас не было черной металлургии, основы индустриализации страны. У нас она есть теперь.</w:t>
      </w:r>
    </w:p>
    <w:p w14:paraId="44DE20DD"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У нас не было тракторной промышленности. У нас она есть теперь.</w:t>
      </w:r>
    </w:p>
    <w:p w14:paraId="189F998D"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У нас не было автомобильной промышленности. У нас она есть теперь.</w:t>
      </w:r>
    </w:p>
    <w:p w14:paraId="3DD272D7"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У нас не было станкостроения. У нас оно есть теперь.</w:t>
      </w:r>
    </w:p>
    <w:p w14:paraId="4D8C79EC"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У нас не было серьезной и современной химической промышленности. У нас она есть теперь.</w:t>
      </w:r>
    </w:p>
    <w:p w14:paraId="212E2814"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У нас не было действительной и серьезной промышленности по производству современных сельскохозяйственных машин. У нас она есть теперь.</w:t>
      </w:r>
    </w:p>
    <w:p w14:paraId="02C45CD6"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У нас не было авиационной промышленности. У нас она есть теперь.</w:t>
      </w:r>
    </w:p>
    <w:p w14:paraId="422A41DA"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В смысле производства электрической энергии мы стояли на самом последнем месте. Теперь мы выдвинулись на одно из первых мест.</w:t>
      </w:r>
    </w:p>
    <w:p w14:paraId="6A2D264E"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В смысле производства нефтяных продуктов и угля мы стояли на последнем месте. Теперь мы выдвинулись на одно из первых мест.</w:t>
      </w:r>
    </w:p>
    <w:p w14:paraId="61237492"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У нас была лишь одна единственная угольно-металлургическая база – на Украине, с которой мы с трудом справлялись. Мы добились того, что не только подняли эту базу, но создали еще новую угольно-металлургическую базу – на Востоке, составляющую гордость нашей страны.</w:t>
      </w:r>
    </w:p>
    <w:p w14:paraId="283BF702"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Мы имели лишь одну единственную базу текстильной промышленности – на Севере нашей страны. Мы добились того, что будем иметь в ближайшее время две новых базы текстильной промышленности – в Средней Азии и Западной Сибири.</w:t>
      </w:r>
    </w:p>
    <w:p w14:paraId="1F7FC5C5"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И мы не только создали эти новые громадные отрасли промышленности, но мы их создали в таком масштабе и в таких размерах, перед которыми бледнеют масштабы и размеры европейской индустрии.</w:t>
      </w:r>
    </w:p>
    <w:p w14:paraId="03D2D955"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А все это привело к тому, что капиталистические элементы вытеснены из промышленности окончательно и бесповоротно, а социалистическая промышленность стала единственной формой индустрии в СССР.</w:t>
      </w:r>
    </w:p>
    <w:p w14:paraId="4AE83F49"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А все это привело к тому, что страна наша из аграрной стала индустриальной, ибо удельный вес промышленной продукции в отношении сельскохозяйственной поднялся с 48% в начале пятилетки (1928 г.) до 70% к концу четвертого года пятилетки (1932 г.).</w:t>
      </w:r>
    </w:p>
    <w:p w14:paraId="4AD0B035"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 xml:space="preserve">А все это привело к тому, что к концу четвертого года пятилетки нам удалось выполнить программу общего промышленного производства, рассчитанную на пять лет, – на 93,7%, подняв объем промышленной продукции более чем втрое в сравнении с довоенным уровнем и более чем </w:t>
      </w:r>
      <w:r w:rsidRPr="0044524F">
        <w:rPr>
          <w:rStyle w:val="af0"/>
          <w:i w:val="0"/>
          <w:color w:val="000000" w:themeColor="text1"/>
          <w:sz w:val="16"/>
          <w:szCs w:val="16"/>
        </w:rPr>
        <w:t>вдвое</w:t>
      </w:r>
      <w:r w:rsidRPr="0044524F">
        <w:rPr>
          <w:color w:val="000000" w:themeColor="text1"/>
          <w:sz w:val="16"/>
          <w:szCs w:val="16"/>
        </w:rPr>
        <w:t xml:space="preserve"> в сравнении с уровнем 1928 года. Что же касается программы производства по тяжелой промышленности, то мы выполнили пятилетний план на 108%.</w:t>
      </w:r>
    </w:p>
    <w:p w14:paraId="4304AF2E"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Правда, мы недовыполнили общую программу пятилетки на 6%. Но это объясняется тем, что, ввиду отказа соседних стран подписать с нами пакты о ненападении и осложнений на Дальнем Востоке, нам пришлось наскоро переключить ряд заводов в целях усиления обороны на производство современных орудий обороны. Ну, а переключение это, ввиду необходимости пройти некий подготовительный период, привело к тому, что заводы эти прекратили производство продукции в продолжение четырех месяцев, что не могло не отразиться на выполнении общей программы производства по пятилетнему плану в течение 1932 года. Операция эта привела к тому, что мы восполнили целиком и полностью пробелы в деле обороноспособности страны. Но она не могла не отразиться отрицательно на выполнении программы производства по пятилетнему плану. Не может быть никакого сомнения, что без этого привходящего обстоятельства мы не только выполнили бы, но наверняка перевыполнили бы общепроизводственную цифровую часть пятилетнего плана.</w:t>
      </w:r>
    </w:p>
    <w:p w14:paraId="25C14DF5"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Наконец, все это привело к тому, что из страны слабой и не подготовленной к обороне Советский Союз превратился в страну могучую в смысле обороноспособности, в страну, готовую ко всяким случайностям, в страну, способную производить в массовом масштабе все современные орудия обороны и снабдить ими свою армию в случае нападения извне.</w:t>
      </w:r>
    </w:p>
    <w:p w14:paraId="03D8661B"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Таковы в общем итоги пятилетки в четыре года в области промышленности.</w:t>
      </w:r>
    </w:p>
    <w:p w14:paraId="1FD1D2D5"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Теперь судите сами, чего стоит после всего этого болтовня буржуазной печати о “провале” пятилетки в области промышленности.</w:t>
      </w:r>
    </w:p>
    <w:p w14:paraId="4F91F19F"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 xml:space="preserve">А как обстоит дело с </w:t>
      </w:r>
      <w:r w:rsidRPr="0044524F">
        <w:rPr>
          <w:rStyle w:val="af0"/>
          <w:i w:val="0"/>
          <w:color w:val="000000" w:themeColor="text1"/>
          <w:sz w:val="16"/>
          <w:szCs w:val="16"/>
        </w:rPr>
        <w:t>капиталистическими</w:t>
      </w:r>
      <w:r w:rsidRPr="0044524F">
        <w:rPr>
          <w:color w:val="000000" w:themeColor="text1"/>
          <w:sz w:val="16"/>
          <w:szCs w:val="16"/>
        </w:rPr>
        <w:t xml:space="preserve"> странами, переживающими ныне жестокий кризис, в смысле роста их промышленной продукции?</w:t>
      </w:r>
    </w:p>
    <w:p w14:paraId="2CEF3C1A"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Вот всем известные официальные данные.</w:t>
      </w:r>
    </w:p>
    <w:p w14:paraId="70E17507"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 xml:space="preserve">В то время как объем промышленной продукции СССР к концу 1932 года </w:t>
      </w:r>
      <w:r w:rsidRPr="0044524F">
        <w:rPr>
          <w:rStyle w:val="af0"/>
          <w:i w:val="0"/>
          <w:color w:val="000000" w:themeColor="text1"/>
          <w:sz w:val="16"/>
          <w:szCs w:val="16"/>
        </w:rPr>
        <w:t>вырос</w:t>
      </w:r>
      <w:r w:rsidRPr="0044524F">
        <w:rPr>
          <w:color w:val="000000" w:themeColor="text1"/>
          <w:sz w:val="16"/>
          <w:szCs w:val="16"/>
        </w:rPr>
        <w:t xml:space="preserve"> в сравнении с </w:t>
      </w:r>
      <w:r w:rsidRPr="0044524F">
        <w:rPr>
          <w:rStyle w:val="af0"/>
          <w:i w:val="0"/>
          <w:color w:val="000000" w:themeColor="text1"/>
          <w:sz w:val="16"/>
          <w:szCs w:val="16"/>
        </w:rPr>
        <w:t>довоенным</w:t>
      </w:r>
      <w:r w:rsidRPr="0044524F">
        <w:rPr>
          <w:color w:val="000000" w:themeColor="text1"/>
          <w:sz w:val="16"/>
          <w:szCs w:val="16"/>
        </w:rPr>
        <w:t xml:space="preserve"> уровнем до 334%, объем промышленной продукции САСШ </w:t>
      </w:r>
      <w:r w:rsidRPr="0044524F">
        <w:rPr>
          <w:rStyle w:val="af0"/>
          <w:i w:val="0"/>
          <w:color w:val="000000" w:themeColor="text1"/>
          <w:sz w:val="16"/>
          <w:szCs w:val="16"/>
        </w:rPr>
        <w:t>снизился</w:t>
      </w:r>
      <w:r w:rsidRPr="0044524F">
        <w:rPr>
          <w:color w:val="000000" w:themeColor="text1"/>
          <w:sz w:val="16"/>
          <w:szCs w:val="16"/>
        </w:rPr>
        <w:t xml:space="preserve"> за тот же период до 84% довоенного уровня, Англии – до 75%, Германии – до 62%.</w:t>
      </w:r>
    </w:p>
    <w:p w14:paraId="1453879B"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 xml:space="preserve">В то время как объем промышленной продукции СССР </w:t>
      </w:r>
      <w:r w:rsidRPr="0044524F">
        <w:rPr>
          <w:rStyle w:val="af0"/>
          <w:i w:val="0"/>
          <w:color w:val="000000" w:themeColor="text1"/>
          <w:sz w:val="16"/>
          <w:szCs w:val="16"/>
        </w:rPr>
        <w:t>вырос</w:t>
      </w:r>
      <w:r w:rsidRPr="0044524F">
        <w:rPr>
          <w:color w:val="000000" w:themeColor="text1"/>
          <w:sz w:val="16"/>
          <w:szCs w:val="16"/>
        </w:rPr>
        <w:t xml:space="preserve"> к концу 1932 года в сравнении с </w:t>
      </w:r>
      <w:r w:rsidRPr="0044524F">
        <w:rPr>
          <w:rStyle w:val="af0"/>
          <w:i w:val="0"/>
          <w:color w:val="000000" w:themeColor="text1"/>
          <w:sz w:val="16"/>
          <w:szCs w:val="16"/>
        </w:rPr>
        <w:t>уровнем1928 года</w:t>
      </w:r>
      <w:r w:rsidRPr="0044524F">
        <w:rPr>
          <w:color w:val="000000" w:themeColor="text1"/>
          <w:sz w:val="16"/>
          <w:szCs w:val="16"/>
        </w:rPr>
        <w:t xml:space="preserve"> до 219%, объем промышленной продукции САСШ </w:t>
      </w:r>
      <w:r w:rsidRPr="0044524F">
        <w:rPr>
          <w:color w:val="000000" w:themeColor="text1"/>
          <w:sz w:val="16"/>
          <w:szCs w:val="16"/>
        </w:rPr>
        <w:lastRenderedPageBreak/>
        <w:t>снизился за тот же период до 56%, Англии – до 80%, Германии – до 55%, Польши – до 54%.</w:t>
      </w:r>
    </w:p>
    <w:p w14:paraId="6385F4BD"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О чем говорят эти данные, как не о том, что капиталистическая система промышленности не выдержала экзамена в тяжбе с советской системой, что советская система промышленности имеет все преимущества перед системой капиталистической.</w:t>
      </w:r>
    </w:p>
    <w:p w14:paraId="250ACFAD"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Нам говорят, что все это хорошо, построено много новых заводов, заложены основы индустриализации. Но было бы гораздо лучше отказаться от политики индустриализации, от политики расширения производства средств производства, или по крайней мере отложить это дело на задний план с тем, чтобы производить [c.181] больше ситца, обуви, одежды и прочих предметов широкого потребления.</w:t>
      </w:r>
    </w:p>
    <w:p w14:paraId="2ACDF199"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Предметов широкого потребления действительно произведено меньше, чем нужно, и это создает известные затруднения. Но тогда надо знать и надо отдать себе отчет, к чему привела бы нас подобная политика отодвигания на задний план задач индустриализации. Конечно, мы могли бы из полутора миллиардов рублей валюты, истраченных за этот период на оборудование нашей тяжелой промышленности, отложить половину на импорт хлопка, кожи, шерсти, каучука и т.д. У нас было бы тогда больше ситца, обуви, одежды. Но у нас не было бы тогда ни тракторной, ни автомобильной промышленности, не было бы сколько-нибудь серьезной черной металлургии, не было бы металла для производства машин, – и мы были бы безоружны перед лицом вооруженного новой техникой капиталистического окружения.</w:t>
      </w:r>
    </w:p>
    <w:p w14:paraId="39BA3494"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Мы лишили бы себя тогда возможности снабжать сельское хозяйство тракторами и сельхозмашинами, – стало быть, мы сидели бы без хлеба.</w:t>
      </w:r>
    </w:p>
    <w:p w14:paraId="377FDBDF"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Мы лишили бы себя возможности одержать победу над капиталистическими элементами в стране, – стало быть, мы неимоверно повысили бы шансы на реставрацию капитализма.</w:t>
      </w:r>
    </w:p>
    <w:p w14:paraId="3F22C624"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Мы не имели бы тогда всех тех современных средств обороны, без которых невозможна государственная независимость страны, без которых страна превращается в объект военных операций внешних врагов. Наше положение было бы тогда более или менее аналогично положению нынешнего Китая, который не имеет своей тяжелой промышленности, не имеет своей военной промышленности, и который клюют теперь все, кому только не лень.</w:t>
      </w:r>
    </w:p>
    <w:p w14:paraId="34181B89"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Одним словом мы имели бы в таком случае военную интервенцию, не пакты о ненападении, а войну, войну опасную и смертельную, войну кровавую и неравную, ибо в этой войне мы были бы почти что безоружны перед врагами, имеющими в своем распоряжении все современные средства нападения.</w:t>
      </w:r>
    </w:p>
    <w:p w14:paraId="1BE5230D"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Вот как оборачивается дело, товарищи.</w:t>
      </w:r>
    </w:p>
    <w:p w14:paraId="407E59C1"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Ясно, что уважающая себя государственная власть, уважающая себя партия не могла стать на такую гибельную точку зрения.</w:t>
      </w:r>
    </w:p>
    <w:p w14:paraId="4A460526"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И именно потому, что партия отвергла такую антиреволюционную установку, – именно поэтому она добилась решающей победы в деле выполнения пятилетнего плана в области промышленности.</w:t>
      </w:r>
    </w:p>
    <w:p w14:paraId="7B4059F1"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Осуществляя пятилетку и организуя победу в области промышленного строительства, партия проводила политику наиболее ускоренных темпов развития промышленности. Партия как бы подхлестывала страну, ускоряя ее бег вперед.</w:t>
      </w:r>
    </w:p>
    <w:p w14:paraId="6EC77C44"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Правильно ли поступала партия, проводя политику наиболее ускоренных темпов?</w:t>
      </w:r>
    </w:p>
    <w:p w14:paraId="75F73782"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Да, безусловно правильно.</w:t>
      </w:r>
    </w:p>
    <w:p w14:paraId="28196B57"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Нельзя не подгонять страну, которая отстала на сто лет и которой угрожает из-за ее отсталости смертельная опасность. Только таким образом можно было дать стране возможность наскоро перевооружиться на базе новой техники и выйти, наконец, на широкую дорогу.</w:t>
      </w:r>
    </w:p>
    <w:p w14:paraId="7237BED8"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Далее, мы не могли знать, в какой день нападут на СССР империалисты и прервут наше строительство, а что они могли напасть в любой момент, пользуясь [c.183] технико-экономической слабостью нашей страны, – в этом не могло быть сомнения. Поэтому партия была вынуждена подхлестывать страну, чтобы не упустить времени, использовать до дна передышку и успеть создать в СССР основы индустриализации, представляющие базу его могущества. Партия не имела возможности ждать и маневрировать, и она должна была проводить политику наиболее ускоренных темпов.</w:t>
      </w:r>
    </w:p>
    <w:p w14:paraId="5FA1674B"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Наконец, партия должна была покончить в возможно короткий срок со слабостью страны в области обороны. Условия момента, рост вооружений в капиталистических странах, провал идеи разоружения, ненависть международной буржуазии к СССР, – все это толкало партию на то, чтобы форсировать дело усиления обороноспособности страны, основы ее независимости.</w:t>
      </w:r>
    </w:p>
    <w:p w14:paraId="4E0487C7"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Но имела ли партия реальную возможность осуществлять политику наиболее ускоренных темпов? Да, имела. Она имела эту возможность не только потому, что она успела вовремя раскачать страну в духе быстрого продвижения вперед, но прежде всего потому, что она могла опереться в деле широкого нового строительства на старые или обновленные заводы и фабрики, которые были уже освоены рабочими и инженерно-техническим персоналом и которые давали ввиду этого возможность осуществлять наиболее ускоренные темпы развития.</w:t>
      </w:r>
    </w:p>
    <w:p w14:paraId="1ED9CDD6"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Вот на какой основе выросли у нас в период первой пятилетки быстрый подъем нового строительства, пафос развернутого строительства, герои и ударники новостроек, практика бурных темпов развития.</w:t>
      </w:r>
    </w:p>
    <w:p w14:paraId="24BA5DD7"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Можно ли сказать, что во второй пятилетке придется проводить такую же точно политику наиболее ускоренных темпов?</w:t>
      </w:r>
    </w:p>
    <w:p w14:paraId="1CAEC571"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Нет, нельзя этого сказать.</w:t>
      </w:r>
    </w:p>
    <w:p w14:paraId="77D94CB3"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 xml:space="preserve">Во-первых, в результате успешного проведения пятилетки мы </w:t>
      </w:r>
      <w:r w:rsidRPr="0044524F">
        <w:rPr>
          <w:rStyle w:val="af0"/>
          <w:i w:val="0"/>
          <w:color w:val="000000" w:themeColor="text1"/>
          <w:sz w:val="16"/>
          <w:szCs w:val="16"/>
        </w:rPr>
        <w:t>уже выполнили</w:t>
      </w:r>
      <w:r w:rsidRPr="0044524F">
        <w:rPr>
          <w:color w:val="000000" w:themeColor="text1"/>
          <w:sz w:val="16"/>
          <w:szCs w:val="16"/>
        </w:rPr>
        <w:t xml:space="preserve"> в основном ее главную задачу – подведение базы новой современной техники под промышленность, транспорт, сельское хозяйство. Стоит ли после этого подхлестывать и подгонять страну? Ясно, что нет в этом теперь необходимости.</w:t>
      </w:r>
    </w:p>
    <w:p w14:paraId="66606842"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Во-вторых, в результате успешного выполнения пятилетки нам удалось уже поднять обороноспособность страны на должную высоту. Стоит ли после этого подхлестывать и подгонять страну? Ясно, что теперь нет в этом необходимости.</w:t>
      </w:r>
    </w:p>
    <w:p w14:paraId="1B8CA849"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Наконец, в результате успешного выполнения пятилетки нам удалось построить десятки и сотни новых больших заводов и комбинатов, имеющих новую сложную технику. Это значит, что в объеме промышленной продукции во второй пятилетке основную роль будут играть уже не старые заводы, техника которых уже освоена, как это имело место в период первой пятилетки, а новые заводы, техника которых еще не освоена и которую надо освоить. Но освоение новых предприятий и новой техники представляет гораздо больше трудностей, чем использование старых или обновленных заводов и фабрик, техника которых уже освоена. Оно требует больше времени для того, чтобы поднять квалификацию рабочих и инженерно-технического персонала и приобрести новые навыки для полного использования новой техники. Не ясно ли после всего этого, что если бы даже хотели, мы не могли бы осуществить в период второй пятилетки, особенно в первые два-три года второй пятилетки, политику наиболее ускоренных темпов развития.</w:t>
      </w:r>
    </w:p>
    <w:p w14:paraId="7E20B91B"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 xml:space="preserve">Вот почему я думаю, что для второй пятилетки нам придется ваять менее ускоренные темпы роста промышленной продукции. В период первой пятилетки ежегодный прирост промышленной продукции составлял в среднем 22%. Я думаю, что для второй пятилетки придется взять 13–14% ежегодного прироста промышленной продукции в среднем, как минимум. Для капиталистических стран такой темп прироста промышленной продукции составляет недосягаемый идеал. И не только такой темп прироста промышленной продукции, – даже 5% ежегодного среднего прироста составляет для них теперь недосягаемый идеал. Но на то они и капиталистические страны. Другое дело – Советская страна с советской системой хозяйства. При нашей системе хозяйства мы имеем полную возможность и мы должны осуществить 13–14% ежегодного прироста продукции, как </w:t>
      </w:r>
      <w:r w:rsidRPr="0044524F">
        <w:rPr>
          <w:rStyle w:val="af0"/>
          <w:i w:val="0"/>
          <w:color w:val="000000" w:themeColor="text1"/>
          <w:sz w:val="16"/>
          <w:szCs w:val="16"/>
        </w:rPr>
        <w:t>минимум</w:t>
      </w:r>
      <w:r w:rsidRPr="0044524F">
        <w:rPr>
          <w:color w:val="000000" w:themeColor="text1"/>
          <w:sz w:val="16"/>
          <w:szCs w:val="16"/>
        </w:rPr>
        <w:t>.</w:t>
      </w:r>
    </w:p>
    <w:p w14:paraId="486A30AD"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 xml:space="preserve">В период первой пятилетки мы сумели организовать энтузиазм, пафос </w:t>
      </w:r>
      <w:r w:rsidRPr="0044524F">
        <w:rPr>
          <w:rStyle w:val="af0"/>
          <w:i w:val="0"/>
          <w:color w:val="000000" w:themeColor="text1"/>
          <w:sz w:val="16"/>
          <w:szCs w:val="16"/>
        </w:rPr>
        <w:t>нового строительства</w:t>
      </w:r>
      <w:r w:rsidRPr="0044524F">
        <w:rPr>
          <w:color w:val="000000" w:themeColor="text1"/>
          <w:sz w:val="16"/>
          <w:szCs w:val="16"/>
        </w:rPr>
        <w:t xml:space="preserve"> и добились решающих успехов. Это очень хорошо. Но теперь этого недостаточно. Теперь это дело должны мы дополнить энтузиазмом, пафосом </w:t>
      </w:r>
      <w:r w:rsidRPr="0044524F">
        <w:rPr>
          <w:rStyle w:val="af0"/>
          <w:i w:val="0"/>
          <w:color w:val="000000" w:themeColor="text1"/>
          <w:sz w:val="16"/>
          <w:szCs w:val="16"/>
        </w:rPr>
        <w:t>освоения</w:t>
      </w:r>
      <w:r w:rsidRPr="0044524F">
        <w:rPr>
          <w:color w:val="000000" w:themeColor="text1"/>
          <w:sz w:val="16"/>
          <w:szCs w:val="16"/>
        </w:rPr>
        <w:t xml:space="preserve"> новых заводов и новой техники, серьезным поднятием производительности труда, серьезным сокращением себестоимости.</w:t>
      </w:r>
    </w:p>
    <w:p w14:paraId="2CDA3E08" w14:textId="77777777" w:rsidR="003628CD" w:rsidRPr="0044524F" w:rsidRDefault="003628CD" w:rsidP="009654CF">
      <w:pPr>
        <w:pStyle w:val="ae"/>
        <w:spacing w:before="0" w:after="0"/>
        <w:jc w:val="both"/>
        <w:rPr>
          <w:color w:val="000000" w:themeColor="text1"/>
          <w:sz w:val="16"/>
          <w:szCs w:val="16"/>
        </w:rPr>
      </w:pPr>
      <w:r w:rsidRPr="0044524F">
        <w:rPr>
          <w:rStyle w:val="af0"/>
          <w:i w:val="0"/>
          <w:color w:val="000000" w:themeColor="text1"/>
          <w:sz w:val="16"/>
          <w:szCs w:val="16"/>
        </w:rPr>
        <w:t>В этом теперь главное.</w:t>
      </w:r>
    </w:p>
    <w:p w14:paraId="4B8A82EF"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Ибо только на этой базе мы можем добиться того, чтобы, скажем, ко второй половине второй пятилетки взять новый мощный разбег как в области строительства, так и в области прироста промышленной продукции.</w:t>
      </w:r>
    </w:p>
    <w:p w14:paraId="1BCDF659" w14:textId="7405F1AC"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Наконец, несколько слов о самих темпах развития и процентах ежегодного прироста продукции. Наши промышленники мало занимаются этим вопросом. А между</w:t>
      </w:r>
      <w:r w:rsidR="0088747B">
        <w:rPr>
          <w:color w:val="000000" w:themeColor="text1"/>
          <w:sz w:val="16"/>
          <w:szCs w:val="16"/>
        </w:rPr>
        <w:t xml:space="preserve"> </w:t>
      </w:r>
      <w:r w:rsidRPr="0044524F">
        <w:rPr>
          <w:color w:val="000000" w:themeColor="text1"/>
          <w:sz w:val="16"/>
          <w:szCs w:val="16"/>
        </w:rPr>
        <w:t>тем это очень интересный вопрос. Что такое проценты прироста продукции и что собственно кроется за каждым процентом прироста? Возьмем, например, 1925 год, период восстановительный. Годовой прирост продукции был тогда 66%. Валовая продукция промышленности составляла 7.700 миллионов рублей. 66% прироста составляло тогда в абсолютных цифрах 3 миллиарда с лишним. Стало быть, каждый процент прироста равнялся тогда 45 миллионам рублей. Возьмем теперь 1928 год. Он дал 26% прироста, т.е. почти втрое меньше в процентном отношении, чем 1925 год. Валовая продукция промышленности составляла тогда 15.500 миллионов рублей. Весь прирост на год составил в абсолютных цифрах 3.280 миллионов рублей. Стало быть, каждый процент прироста равнялся тогда 126 миллионам рублей, т.е. составлял почти втрое большую сумму, чем в 1925 году, когда мы имели 66% прироста. Возьмем, наконец, 1931 год. Он дал 22% прироста, т.е. втрое меньше, чем в 1925 году. Валовая продукция промышленности составляла тогда 30.800 миллионов рублей. Весь прирост дал в абсолютных цифрах 5.600 миллионов с лишним. Стало быть, каждый процент прироста составил свыше 250 миллионов рублей, т.е. в шесть раз больше, чем в 1925 году, когда мы имели 66% прироста, и вдвое больше, чем в 1928 году, когда мы имели 26 с лишним процентов прироста.</w:t>
      </w:r>
    </w:p>
    <w:p w14:paraId="477080E9"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О чем все это говорит? О том, что при изучении темпов прироста продукции нельзя ограничиваться рассмотрением одной лишь общей суммы процентов прироста, – надо еще знать, что скрывается за каждым процентом прироста и какова общая сумма годового прироста продукции. Мы берем, например, для 1933 года 16% прироста, т.е. в четыре раза меньше, чем в 1925 году. Но это еще не значит, что прирост продукции за этот год будет также в четыре раза меньше. Прирост продукции в 1925 году в абсолютных цифрах составил 3 миллиарда с лишним, а каждый процент равнялся 45 миллионам рублей. Нет оснований сомневаться в том, что прирост продукции в 1933 году в абсолютных цифрах при норме 16% прироста составит не менее 5 миллиардов рублей, т.е. почти вдвое больше, чем в 1925 году, а каждый процент прироста будет равняться по крайней мере 320–340 миллионам рублей, т.е. будет составлять по крайней мере в семь раз большую сумму, чем каждый процент прироста в 1925 году.</w:t>
      </w:r>
    </w:p>
    <w:p w14:paraId="420E368C"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t>Вот как оборачивается дело, товарищи, если рассматривать вопрос о темпах и процентах прироста конкретно.</w:t>
      </w:r>
    </w:p>
    <w:p w14:paraId="364F72C6" w14:textId="77777777" w:rsidR="003628CD" w:rsidRPr="0044524F" w:rsidRDefault="003628CD" w:rsidP="009654CF">
      <w:pPr>
        <w:pStyle w:val="ae"/>
        <w:spacing w:before="0" w:after="0"/>
        <w:jc w:val="both"/>
        <w:rPr>
          <w:color w:val="000000" w:themeColor="text1"/>
          <w:sz w:val="16"/>
          <w:szCs w:val="16"/>
        </w:rPr>
      </w:pPr>
      <w:r w:rsidRPr="0044524F">
        <w:rPr>
          <w:color w:val="000000" w:themeColor="text1"/>
          <w:sz w:val="16"/>
          <w:szCs w:val="16"/>
        </w:rPr>
        <w:lastRenderedPageBreak/>
        <w:t>Так обстоит дело с итогами пятилетки в четыре года в области промышленности (17277).</w:t>
      </w:r>
    </w:p>
    <w:p w14:paraId="20F2EE92" w14:textId="72D9E6D7" w:rsidR="003628CD" w:rsidRPr="0044524F" w:rsidRDefault="003628CD" w:rsidP="009654CF">
      <w:pPr>
        <w:spacing w:after="0" w:line="240" w:lineRule="auto"/>
        <w:jc w:val="both"/>
        <w:rPr>
          <w:rFonts w:ascii="Times New Roman" w:hAnsi="Times New Roman"/>
          <w:iCs/>
          <w:color w:val="000000" w:themeColor="text1"/>
          <w:sz w:val="16"/>
          <w:szCs w:val="16"/>
        </w:rPr>
      </w:pPr>
    </w:p>
    <w:p w14:paraId="36E3ACC1" w14:textId="06B0FCE3" w:rsidR="000B01C4" w:rsidRPr="0044524F" w:rsidRDefault="000B01C4" w:rsidP="000B01C4">
      <w:pPr>
        <w:spacing w:after="0" w:line="240" w:lineRule="auto"/>
        <w:jc w:val="both"/>
        <w:rPr>
          <w:rFonts w:ascii="Times New Roman" w:hAnsi="Times New Roman"/>
          <w:i/>
          <w:color w:val="000000" w:themeColor="text1"/>
          <w:sz w:val="16"/>
          <w:szCs w:val="16"/>
        </w:rPr>
      </w:pPr>
      <w:r>
        <w:rPr>
          <w:rFonts w:ascii="Times New Roman" w:hAnsi="Times New Roman"/>
          <w:i/>
          <w:color w:val="000000" w:themeColor="text1"/>
          <w:sz w:val="16"/>
          <w:szCs w:val="16"/>
        </w:rPr>
        <w:t>Внешняя политика</w:t>
      </w:r>
      <w:r w:rsidRPr="0044524F">
        <w:rPr>
          <w:rFonts w:ascii="Times New Roman" w:hAnsi="Times New Roman"/>
          <w:i/>
          <w:color w:val="000000" w:themeColor="text1"/>
          <w:sz w:val="16"/>
          <w:szCs w:val="16"/>
        </w:rPr>
        <w:t>:</w:t>
      </w:r>
    </w:p>
    <w:p w14:paraId="57672C99" w14:textId="77777777" w:rsidR="000B01C4" w:rsidRPr="0044524F" w:rsidRDefault="000B01C4" w:rsidP="000B01C4">
      <w:pPr>
        <w:spacing w:after="0" w:line="240" w:lineRule="auto"/>
        <w:jc w:val="both"/>
        <w:rPr>
          <w:rFonts w:ascii="Times New Roman" w:hAnsi="Times New Roman"/>
          <w:i/>
          <w:color w:val="000000" w:themeColor="text1"/>
          <w:sz w:val="16"/>
          <w:szCs w:val="16"/>
        </w:rPr>
      </w:pPr>
    </w:p>
    <w:p w14:paraId="68368048"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января 1933 г. из письма руководителя НИО УВВС начальнику ВВС РККА: «Помощник на</w:t>
      </w:r>
      <w:r w:rsidRPr="00142305">
        <w:rPr>
          <w:rFonts w:ascii="Times New Roman" w:hAnsi="Times New Roman"/>
          <w:color w:val="0070C0"/>
          <w:sz w:val="16"/>
          <w:szCs w:val="16"/>
        </w:rPr>
        <w:softHyphen/>
        <w:t>чальника IV Отдела IV Управления Штаба РККА т. Шротт сегодня сообщил мне, что немецкий военный атташе полковник Кестеринг заявил им о том, что липецкая станция «друзей» работает только до осени 1933 г. После этого все переводится Германию, где будут ор</w:t>
      </w:r>
      <w:r w:rsidRPr="00142305">
        <w:rPr>
          <w:rFonts w:ascii="Times New Roman" w:hAnsi="Times New Roman"/>
          <w:color w:val="0070C0"/>
          <w:sz w:val="16"/>
          <w:szCs w:val="16"/>
        </w:rPr>
        <w:softHyphen/>
        <w:t>ганизованы станции, подобные липецкой, в трех местах. Опытная группа в Липецке летом текущего года работать не будет»</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w:t>
      </w:r>
    </w:p>
    <w:p w14:paraId="0DE446D7"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Официальной причиной закрытия школы Германия называла необходимость экономии средств. Действительно, ее содержание обходилось рейхсверу недешево, даже несмотря на то, что совет</w:t>
      </w:r>
      <w:r w:rsidRPr="00142305">
        <w:rPr>
          <w:rFonts w:ascii="Times New Roman" w:hAnsi="Times New Roman"/>
          <w:color w:val="0070C0"/>
          <w:sz w:val="16"/>
          <w:szCs w:val="16"/>
        </w:rPr>
        <w:softHyphen/>
        <w:t>ское правительство не брало денег за пользование аэродромом и прилегающими постройками. Ежегодные расходы на жилищное строительство, транспортировку самолетов и оборудования, приоб</w:t>
      </w:r>
      <w:r w:rsidRPr="00142305">
        <w:rPr>
          <w:rFonts w:ascii="Times New Roman" w:hAnsi="Times New Roman"/>
          <w:color w:val="0070C0"/>
          <w:sz w:val="16"/>
          <w:szCs w:val="16"/>
        </w:rPr>
        <w:softHyphen/>
        <w:t>ретение горючего, оплату советскому персоналу и т. д. составляли несколько миллионов марок в год. Положение обострялось эконо</w:t>
      </w:r>
      <w:r w:rsidRPr="00142305">
        <w:rPr>
          <w:rFonts w:ascii="Times New Roman" w:hAnsi="Times New Roman"/>
          <w:color w:val="0070C0"/>
          <w:sz w:val="16"/>
          <w:szCs w:val="16"/>
        </w:rPr>
        <w:softHyphen/>
        <w:t>мическим кризисом в Германии в начале 1930-х гг.</w:t>
      </w:r>
    </w:p>
    <w:p w14:paraId="097E632D"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главная причина, на наш взгляд, состояла в другом. Пользуясь благосклонностью Запада, Германия все более открыто развивала вооруженные силы внутри страны, а в конце 1932 г. на конференции в Женеве немцы добились разрешения на «равенство прав» в вооружениях, т. е. отмены версальских ограничений. В ре</w:t>
      </w:r>
      <w:r w:rsidRPr="00142305">
        <w:rPr>
          <w:rFonts w:ascii="Times New Roman" w:hAnsi="Times New Roman"/>
          <w:color w:val="0070C0"/>
          <w:sz w:val="16"/>
          <w:szCs w:val="16"/>
        </w:rPr>
        <w:softHyphen/>
        <w:t>зультате отпала необходимость содержания объектов рейхсвера за рубежом. Уже в начале 1930-х гг. в летных школах Германии еже</w:t>
      </w:r>
      <w:r w:rsidRPr="00142305">
        <w:rPr>
          <w:rFonts w:ascii="Times New Roman" w:hAnsi="Times New Roman"/>
          <w:color w:val="0070C0"/>
          <w:sz w:val="16"/>
          <w:szCs w:val="16"/>
        </w:rPr>
        <w:softHyphen/>
        <w:t>годно готовили от 300 до 500 летчиков — больше, чем за все время существования «русской авиашколы». Испытания военной авиа</w:t>
      </w:r>
      <w:r w:rsidRPr="00142305">
        <w:rPr>
          <w:rFonts w:ascii="Times New Roman" w:hAnsi="Times New Roman"/>
          <w:color w:val="0070C0"/>
          <w:sz w:val="16"/>
          <w:szCs w:val="16"/>
        </w:rPr>
        <w:softHyphen/>
        <w:t>техники также уже в открытую осуществляли внутри страны (25025).</w:t>
      </w:r>
    </w:p>
    <w:p w14:paraId="50AF6A3F" w14:textId="77777777" w:rsidR="000B01C4" w:rsidRPr="00142305" w:rsidRDefault="000B01C4" w:rsidP="000B01C4">
      <w:pPr>
        <w:spacing w:after="0" w:line="240" w:lineRule="auto"/>
        <w:jc w:val="both"/>
        <w:rPr>
          <w:rFonts w:ascii="Times New Roman" w:hAnsi="Times New Roman"/>
          <w:color w:val="0070C0"/>
          <w:sz w:val="16"/>
          <w:szCs w:val="16"/>
        </w:rPr>
      </w:pPr>
    </w:p>
    <w:p w14:paraId="2C79CD0E" w14:textId="597BE45E" w:rsidR="00AF2EC7" w:rsidRPr="0044524F" w:rsidRDefault="00AF2EC7" w:rsidP="009654CF">
      <w:pPr>
        <w:spacing w:after="0" w:line="240" w:lineRule="auto"/>
        <w:jc w:val="both"/>
        <w:rPr>
          <w:rFonts w:ascii="Times New Roman" w:hAnsi="Times New Roman"/>
          <w:i/>
          <w:color w:val="000000" w:themeColor="text1"/>
          <w:sz w:val="16"/>
          <w:szCs w:val="16"/>
        </w:rPr>
      </w:pPr>
      <w:r w:rsidRPr="0044524F">
        <w:rPr>
          <w:rFonts w:ascii="Times New Roman" w:hAnsi="Times New Roman"/>
          <w:i/>
          <w:color w:val="000000" w:themeColor="text1"/>
          <w:sz w:val="16"/>
          <w:szCs w:val="16"/>
        </w:rPr>
        <w:t>За рубежом:</w:t>
      </w:r>
    </w:p>
    <w:p w14:paraId="6D8EADEE" w14:textId="77777777" w:rsidR="00AF2EC7" w:rsidRPr="0044524F" w:rsidRDefault="00AF2EC7" w:rsidP="009654CF">
      <w:pPr>
        <w:spacing w:after="0" w:line="240" w:lineRule="auto"/>
        <w:jc w:val="both"/>
        <w:rPr>
          <w:rFonts w:ascii="Times New Roman" w:hAnsi="Times New Roman"/>
          <w:i/>
          <w:color w:val="000000" w:themeColor="text1"/>
          <w:sz w:val="16"/>
          <w:szCs w:val="16"/>
        </w:rPr>
      </w:pPr>
    </w:p>
    <w:p w14:paraId="508AFAE9" w14:textId="77777777" w:rsidR="00AF2EC7" w:rsidRPr="0044524F" w:rsidRDefault="00AF2EC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января 1933 Bert Хинклер погибает в аварии его де Havilland Puss Moth на северном склоне Пратомаего в Италии в Апеннинах на первом этапе его попытки побить рекорд для полета из Соединенного Королевства в Австралию. Его тело не нашли до 27 апреля (20802).</w:t>
      </w:r>
    </w:p>
    <w:p w14:paraId="7EC8A7CA" w14:textId="77777777" w:rsidR="00AF2EC7" w:rsidRPr="0044524F" w:rsidRDefault="00AF2EC7" w:rsidP="009654CF">
      <w:pPr>
        <w:spacing w:after="0" w:line="240" w:lineRule="auto"/>
        <w:jc w:val="both"/>
        <w:rPr>
          <w:rFonts w:ascii="Times New Roman" w:hAnsi="Times New Roman"/>
          <w:color w:val="000000" w:themeColor="text1"/>
          <w:sz w:val="16"/>
          <w:szCs w:val="16"/>
        </w:rPr>
      </w:pPr>
    </w:p>
    <w:p w14:paraId="22B72C4F"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82BA14C"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6CD7CF3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января 1933 состоялось рассмотрение эскизного проекта ДИП (АНТ-29), но ЦАГИ убедить ВВС не смог, так как на тяжелой машине не обеспечивали посадочную в 90 км/час (1454,23).</w:t>
      </w:r>
    </w:p>
    <w:p w14:paraId="2E34DBA1"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3CDA6BF5"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января 1933 г. возник еще один вариант - проект ДИПа под два мотора М-34, отвечающий самым последним требованиям УВВС.</w:t>
      </w:r>
    </w:p>
    <w:p w14:paraId="226C5FE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Конструкторы возражали против этих ТТТ, поскольку летные характеристики истребителя ухудшались: скорость посадочная - 110 км/ч вместо 90, разбег- 180 м вместо 140, пробег (с тормозами) - 140 м вместо 80, пикирование под углом 75° по вертикали на протяжении 600м-вместо 500.</w:t>
      </w:r>
    </w:p>
    <w:p w14:paraId="32A73EB0"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Первоначально постройку истребителя хотели завершить к 1 декабря 1933 г. Но большое количество конструктивных изменений, вызванное частыми изменениями требований УВВС, а также передача на самолет МИ-Збис изготовленного оперения снизили готовность ДИПа до 6,5 процентов.</w:t>
      </w:r>
    </w:p>
    <w:p w14:paraId="551CBAC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работы по постройке истребителя развернулись в сентябре 1934 г. и продолжались пять месяцев. Ведущим по этим работам был старший инженер Д.Ромейко-Гурко (9538,27).</w:t>
      </w:r>
    </w:p>
    <w:p w14:paraId="4A356FA1"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7F085471" w14:textId="77777777" w:rsidR="00310B25" w:rsidRPr="0044524F" w:rsidRDefault="00310B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января 1933 г. Технический совет ЦАГИ рассмотрел вопрос «О проекте ДИП». С со</w:t>
      </w:r>
      <w:r w:rsidRPr="0044524F">
        <w:rPr>
          <w:rFonts w:ascii="Times New Roman" w:hAnsi="Times New Roman"/>
          <w:color w:val="000000" w:themeColor="text1"/>
          <w:sz w:val="16"/>
          <w:szCs w:val="16"/>
        </w:rPr>
        <w:softHyphen/>
        <w:t>общениями выступили: помощник начальника КОСОС А.В. Надашкевич и начальник бригады № 3 КОСОС П.О. Сухой.</w:t>
      </w:r>
    </w:p>
    <w:p w14:paraId="7D9C74E6" w14:textId="77777777" w:rsidR="00310B25" w:rsidRPr="0044524F" w:rsidRDefault="00310B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 Надашкевич остановился на тактическом значении самолёта и кратко охаракте</w:t>
      </w:r>
      <w:r w:rsidRPr="0044524F">
        <w:rPr>
          <w:rFonts w:ascii="Times New Roman" w:hAnsi="Times New Roman"/>
          <w:color w:val="000000" w:themeColor="text1"/>
          <w:sz w:val="16"/>
          <w:szCs w:val="16"/>
        </w:rPr>
        <w:softHyphen/>
        <w:t>ризовал его вооружение.</w:t>
      </w:r>
    </w:p>
    <w:p w14:paraId="763D9383" w14:textId="77777777" w:rsidR="00310B25" w:rsidRPr="0044524F" w:rsidRDefault="00310B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пушечное —АПК-8 100-мм, располагалась по всей длине нижней час</w:t>
      </w:r>
      <w:r w:rsidRPr="0044524F">
        <w:rPr>
          <w:rFonts w:ascii="Times New Roman" w:hAnsi="Times New Roman"/>
          <w:color w:val="000000" w:themeColor="text1"/>
          <w:sz w:val="16"/>
          <w:szCs w:val="16"/>
        </w:rPr>
        <w:softHyphen/>
        <w:t>ти фюзеляжа. Одна точка крепления АПК была неподвижной, остальные три позволя</w:t>
      </w:r>
      <w:r w:rsidRPr="0044524F">
        <w:rPr>
          <w:rFonts w:ascii="Times New Roman" w:hAnsi="Times New Roman"/>
          <w:color w:val="000000" w:themeColor="text1"/>
          <w:sz w:val="16"/>
          <w:szCs w:val="16"/>
        </w:rPr>
        <w:softHyphen/>
        <w:t>ли регулировать угол установки при монтаже. Боезапас состоял из 6 снарядов, размещённых в трубчатом магазине и 10 — в дополнительной кассете. Стрелковое во</w:t>
      </w:r>
      <w:r w:rsidRPr="0044524F">
        <w:rPr>
          <w:rFonts w:ascii="Times New Roman" w:hAnsi="Times New Roman"/>
          <w:color w:val="000000" w:themeColor="text1"/>
          <w:sz w:val="16"/>
          <w:szCs w:val="16"/>
        </w:rPr>
        <w:softHyphen/>
        <w:t xml:space="preserve">оружение — 2 неподвижных пулемёта </w:t>
      </w:r>
      <w:r w:rsidR="00FA4B7D" w:rsidRPr="0044524F">
        <w:rPr>
          <w:rFonts w:ascii="Times New Roman" w:hAnsi="Times New Roman"/>
          <w:color w:val="000000" w:themeColor="text1"/>
          <w:sz w:val="16"/>
          <w:szCs w:val="16"/>
        </w:rPr>
        <w:t>Ш</w:t>
      </w:r>
      <w:r w:rsidRPr="0044524F">
        <w:rPr>
          <w:rFonts w:ascii="Times New Roman" w:hAnsi="Times New Roman"/>
          <w:color w:val="000000" w:themeColor="text1"/>
          <w:sz w:val="16"/>
          <w:szCs w:val="16"/>
          <w:lang w:val="en-US"/>
        </w:rPr>
        <w:t>KAC</w:t>
      </w:r>
      <w:r w:rsidRPr="0044524F">
        <w:rPr>
          <w:rFonts w:ascii="Times New Roman" w:hAnsi="Times New Roman"/>
          <w:color w:val="000000" w:themeColor="text1"/>
          <w:sz w:val="16"/>
          <w:szCs w:val="16"/>
        </w:rPr>
        <w:t xml:space="preserve"> с боезапасом 2x1000 патронов устанав</w:t>
      </w:r>
      <w:r w:rsidRPr="0044524F">
        <w:rPr>
          <w:rFonts w:ascii="Times New Roman" w:hAnsi="Times New Roman"/>
          <w:color w:val="000000" w:themeColor="text1"/>
          <w:sz w:val="16"/>
          <w:szCs w:val="16"/>
        </w:rPr>
        <w:softHyphen/>
        <w:t xml:space="preserve">ливались в центроплане крыла вне зоны вращения винта и один пулемёт </w:t>
      </w:r>
      <w:r w:rsidRPr="0044524F">
        <w:rPr>
          <w:rFonts w:ascii="Times New Roman" w:hAnsi="Times New Roman"/>
          <w:color w:val="000000" w:themeColor="text1"/>
          <w:sz w:val="16"/>
          <w:szCs w:val="16"/>
          <w:lang w:val="en-US"/>
        </w:rPr>
        <w:t>LUKAC</w:t>
      </w:r>
      <w:r w:rsidRPr="0044524F">
        <w:rPr>
          <w:rFonts w:ascii="Times New Roman" w:hAnsi="Times New Roman"/>
          <w:color w:val="000000" w:themeColor="text1"/>
          <w:sz w:val="16"/>
          <w:szCs w:val="16"/>
        </w:rPr>
        <w:t xml:space="preserve"> на турели Тур-9, в кабине стрелка-радиста.</w:t>
      </w:r>
    </w:p>
    <w:p w14:paraId="33510173" w14:textId="77777777" w:rsidR="00310B25" w:rsidRPr="0044524F" w:rsidRDefault="00310B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прениях выступил начальник отдела КОСОС А.Н. Туполев, отметивший, что «такой пушки нет ни у кого в мире. За границей, там всего 20 мм.</w:t>
      </w:r>
    </w:p>
    <w:p w14:paraId="45B1722B" w14:textId="77777777" w:rsidR="00310B25" w:rsidRPr="0044524F" w:rsidRDefault="00310B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Идёт эта машина и идёт неприятельская машина, порядка ТБ-3, ТБ-4. С этой дистан</w:t>
      </w:r>
      <w:r w:rsidRPr="0044524F">
        <w:rPr>
          <w:rFonts w:ascii="Times New Roman" w:hAnsi="Times New Roman"/>
          <w:color w:val="000000" w:themeColor="text1"/>
          <w:sz w:val="16"/>
          <w:szCs w:val="16"/>
        </w:rPr>
        <w:softHyphen/>
        <w:t>ции (показывает на диаграмме) начинается стрельба. Снаряд разрывается и образует пучок. Если неприятельский самолёт попадает в этот пучок, то получается такое положе</w:t>
      </w:r>
      <w:r w:rsidRPr="0044524F">
        <w:rPr>
          <w:rFonts w:ascii="Times New Roman" w:hAnsi="Times New Roman"/>
          <w:color w:val="000000" w:themeColor="text1"/>
          <w:sz w:val="16"/>
          <w:szCs w:val="16"/>
        </w:rPr>
        <w:softHyphen/>
        <w:t>ние, что как бы мы ведем стрельбу дробью по уткам. Эта одна из особенностей данной машины. Поэтому понятно то внимание, которое уделяется этой машине со стороны РВС. Это есть вещь модная и тактически новая.</w:t>
      </w:r>
    </w:p>
    <w:p w14:paraId="4375A9D9" w14:textId="77777777" w:rsidR="00310B25" w:rsidRPr="0044524F" w:rsidRDefault="00310B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Мало иметь машину, которая бы хорошо увязала систему вооружения, нужно, чтобы ма</w:t>
      </w:r>
      <w:r w:rsidRPr="0044524F">
        <w:rPr>
          <w:rFonts w:ascii="Times New Roman" w:hAnsi="Times New Roman"/>
          <w:color w:val="000000" w:themeColor="text1"/>
          <w:sz w:val="16"/>
          <w:szCs w:val="16"/>
        </w:rPr>
        <w:softHyphen/>
        <w:t>шина была увязана в системе промышленности.</w:t>
      </w:r>
    </w:p>
    <w:p w14:paraId="1401B596" w14:textId="77777777" w:rsidR="00310B25" w:rsidRPr="0044524F" w:rsidRDefault="00310B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 машина конструировалась, параллельно с МИ-3, чтобы сохранить по возможности больше элементов. Она увязана таким образом: Отъёмная часть крыла заменена, и все машины МИ-3 идут с измененным концом крыла. Это усовершенствование сделано во время разработки. Всё крыло, начиная с фюзеляжа и включая сюда пулемётную установ</w:t>
      </w:r>
      <w:r w:rsidRPr="0044524F">
        <w:rPr>
          <w:rFonts w:ascii="Times New Roman" w:hAnsi="Times New Roman"/>
          <w:color w:val="000000" w:themeColor="text1"/>
          <w:sz w:val="16"/>
          <w:szCs w:val="16"/>
        </w:rPr>
        <w:softHyphen/>
        <w:t>ку, которая также имеется на МИ-3, моторное хозяйство и убирающиеся шасси — одина</w:t>
      </w:r>
      <w:r w:rsidRPr="0044524F">
        <w:rPr>
          <w:rFonts w:ascii="Times New Roman" w:hAnsi="Times New Roman"/>
          <w:color w:val="000000" w:themeColor="text1"/>
          <w:sz w:val="16"/>
          <w:szCs w:val="16"/>
        </w:rPr>
        <w:softHyphen/>
        <w:t>ково. — Фюзеляж мы хотели сохранить, но по мере того, как мы начиняли его хозяйством, мы увидели, что всё больше и больше элементов выпадает, и поэтому стало ясно, что фю</w:t>
      </w:r>
      <w:r w:rsidRPr="0044524F">
        <w:rPr>
          <w:rFonts w:ascii="Times New Roman" w:hAnsi="Times New Roman"/>
          <w:color w:val="000000" w:themeColor="text1"/>
          <w:sz w:val="16"/>
          <w:szCs w:val="16"/>
        </w:rPr>
        <w:softHyphen/>
        <w:t>зеляж надо делать не</w:t>
      </w:r>
      <w:r w:rsidRPr="0044524F">
        <w:rPr>
          <w:rFonts w:ascii="Times New Roman" w:hAnsi="Times New Roman"/>
          <w:color w:val="000000" w:themeColor="text1"/>
          <w:sz w:val="16"/>
          <w:szCs w:val="16"/>
        </w:rPr>
        <w:softHyphen/>
        <w:t>сколько изменённой конструкции, как это и определялось самим на</w:t>
      </w:r>
      <w:r w:rsidRPr="0044524F">
        <w:rPr>
          <w:rFonts w:ascii="Times New Roman" w:hAnsi="Times New Roman"/>
          <w:color w:val="000000" w:themeColor="text1"/>
          <w:sz w:val="16"/>
          <w:szCs w:val="16"/>
        </w:rPr>
        <w:softHyphen/>
        <w:t>чертанием и специфи</w:t>
      </w:r>
      <w:r w:rsidRPr="0044524F">
        <w:rPr>
          <w:rFonts w:ascii="Times New Roman" w:hAnsi="Times New Roman"/>
          <w:color w:val="000000" w:themeColor="text1"/>
          <w:sz w:val="16"/>
          <w:szCs w:val="16"/>
        </w:rPr>
        <w:softHyphen/>
        <w:t>ческой начинкой. Эта машина близкого буду</w:t>
      </w:r>
      <w:r w:rsidRPr="0044524F">
        <w:rPr>
          <w:rFonts w:ascii="Times New Roman" w:hAnsi="Times New Roman"/>
          <w:color w:val="000000" w:themeColor="text1"/>
          <w:sz w:val="16"/>
          <w:szCs w:val="16"/>
        </w:rPr>
        <w:softHyphen/>
        <w:t>щего. Система находит</w:t>
      </w:r>
      <w:r w:rsidRPr="0044524F">
        <w:rPr>
          <w:rFonts w:ascii="Times New Roman" w:hAnsi="Times New Roman"/>
          <w:color w:val="000000" w:themeColor="text1"/>
          <w:sz w:val="16"/>
          <w:szCs w:val="16"/>
        </w:rPr>
        <w:softHyphen/>
        <w:t>ся в производстве и ско</w:t>
      </w:r>
      <w:r w:rsidRPr="0044524F">
        <w:rPr>
          <w:rFonts w:ascii="Times New Roman" w:hAnsi="Times New Roman"/>
          <w:color w:val="000000" w:themeColor="text1"/>
          <w:sz w:val="16"/>
          <w:szCs w:val="16"/>
        </w:rPr>
        <w:softHyphen/>
        <w:t>ро будет нам дана. В технических требованиях имеется целый ряд вза</w:t>
      </w:r>
      <w:r w:rsidRPr="0044524F">
        <w:rPr>
          <w:rFonts w:ascii="Times New Roman" w:hAnsi="Times New Roman"/>
          <w:color w:val="000000" w:themeColor="text1"/>
          <w:sz w:val="16"/>
          <w:szCs w:val="16"/>
        </w:rPr>
        <w:softHyphen/>
        <w:t>имных противоречий» (15823).</w:t>
      </w:r>
    </w:p>
    <w:p w14:paraId="20A00779" w14:textId="77777777" w:rsidR="00310B25" w:rsidRPr="0044524F" w:rsidRDefault="00310B25" w:rsidP="009654CF">
      <w:pPr>
        <w:spacing w:after="0" w:line="240" w:lineRule="auto"/>
        <w:jc w:val="both"/>
        <w:rPr>
          <w:rFonts w:ascii="Times New Roman" w:hAnsi="Times New Roman"/>
          <w:color w:val="000000" w:themeColor="text1"/>
          <w:sz w:val="16"/>
          <w:szCs w:val="16"/>
        </w:rPr>
      </w:pPr>
    </w:p>
    <w:p w14:paraId="364B677A"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8 января 1933 года Технический совет ЦАГИ рассмотрел вопрос «О проекте ДИП». С сообщениями выступили: помощник начальника КОСОС А. В. Надашкевич и начальник бригады №3 КОСОС П. О. Сухой.</w:t>
      </w:r>
    </w:p>
    <w:p w14:paraId="05CD87D8"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А. В. Надашкевич остановился на тактическом значении самолета и кратко охарактеризовал его вооружение.</w:t>
      </w:r>
    </w:p>
    <w:p w14:paraId="38E118C0"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Павел Осипович в своем выступлении отметил, что:</w:t>
      </w:r>
    </w:p>
    <w:p w14:paraId="2E7F48D4"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 Самолет имеет полезную нагрузку 1180 кг и запас горючего, обеспечивающий радиус действия в 300 км при 5000 метров высоты. Максимальная скорость 325 км/ч. Время подъема (на 5000 м – примеч. автора) при нормальном пользовании газом 15-18 минут. Практический потолок – 8000 метров и посадочная скорость 90 км/ч. Тактические свойства самолета требуют, чтобы при выполнении летных данных учитывалась нижеследующая по важности их последовательность: скорость, скороподъемность, потолок и маневренность.</w:t>
      </w:r>
    </w:p>
    <w:p w14:paraId="6419C701"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Прежде всего, требуется большая скорость. Она определяет схему машины. Большую летную скорость мы можем достигнуть при наличии моноплана. Поэтому схема данного типа самолета была утверждена монопланная. Поскольку самолет делается на высочайшие требования, постольку это определяет и количество моторов, которые должен иметь самолет. Поэтому, в конечном счете, мы получаем монопланное крыло с фюзеляжем по середине и с двумя моторами по сторонам фюзеляжа. Сама пушка располагается внутри фюзеляжа таким образом, что снаряды вылетают впереди, а отходящий газ выходит сзади.</w:t>
      </w:r>
    </w:p>
    <w:p w14:paraId="4BF450F9"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Эта система связывает нас и в дальнейшем ходе проектирования, отражающемся на оперении и общем размещении. Крыло машины трехлонжеронное, типа МИ-3. Несущая поверхность его имеет – 58,3 м². По всем прикидкам и по тем полезным нагрузкам, которые были заданы, мы получаем вес машины в 4900 кг. Таким образом, при этой несущей поверхности получается, что нагрузка на м² равна 84 кг. Машина с мотором без импеллера (как это, вероятно, будет с первой машиной) будет легче на 100 кг. Таким образом, вес будет 4800 кг, нагрузка – 82,5 кг.</w:t>
      </w:r>
    </w:p>
    <w:p w14:paraId="76D3319A"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Что получается с точки зрения летных характеристик, если мы посмотрим те требования, которые даны правительством. При сравнении машины с моторами без импеллеров мы технические требования не выполним, и для выполнения их должны иметь мотор М-34 с импеллером. При этом моторе данные, которые мы будем иметь – расчетные данные – будут такого рода: на 5000 м мы будем иметь скорость порядка 330 км/ч, т.е. примерно у нас имеется некоторое превышение по сравнению с теми требованиями, которые нам даны. Время подъема на 5000 м выдерживается при моторе с импеллером. При тех данных, которые нам гарантирует ЦИАМ, может быть снижение до 10 минут. Но, повторяю, мы имеем пока только расчетные данные.</w:t>
      </w:r>
    </w:p>
    <w:p w14:paraId="1F22D649"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Потолок для мотора с импеллером выдерживается порядка 8500 м. Несколько хуже дело с посадочной скоростью. Посадочная скорость будет порядка 110 км/ч, вместо 90 км/ч, которые даны в технических требованиях. Для уменьшения посадочной скорости, казалось бы, можно было идти по пути уменьшения нагрузки на один квадратный метр, но это не желательно в связи с развитием площади и размера машины, а следовательно и понижения максимальной скорости.</w:t>
      </w:r>
    </w:p>
    <w:p w14:paraId="16837362"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Если дальше просматривать требования в смысле полетных качеств, то мы должны отметить, прежде всего, то, что с нас требуют, чтобы самолет допускал пикирование под углом 75°. Требование довольно тяжелое. Затем требуют, чтобы при установке стабилизатора на угол, соответствующий эксплуатационной скорости на боевой высоте, переход на любой режим, включая посадку, не должен вызывать давление на ручку более 5 кг. Надо сказать, что для машины такой размерности чрезвычайно трудно получить это давление даже при самой хорошей компенсации.</w:t>
      </w:r>
    </w:p>
    <w:p w14:paraId="4BEE274E"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С нас требуют чрезвычайно малого давления на ручку до 2 кг при всех фигурах и небольшое давление на ногу – до 5 кг.</w:t>
      </w:r>
    </w:p>
    <w:p w14:paraId="0A66B7BA"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Что касается остальных требований, то в основном они не вызывают сомнений. Если нужно будет, то я отвечу на это в ответах на вопросы, а сейчас останавливаться не буду.</w:t>
      </w:r>
    </w:p>
    <w:p w14:paraId="21A30CA0"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lastRenderedPageBreak/>
        <w:t>Обращаясь к конструкции, нужно отметить следующее: крыло металлическое трехлонжеронное, фюзеляж типа монокок, в котором размещаются два человека. Летчик снабжен прицелом и неподвижными пулеметами, расположенными в крыле.</w:t>
      </w:r>
    </w:p>
    <w:p w14:paraId="0728167E"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Что касается обстрела задней и нижней полусферы, то они полностью не достигаются. Имеется мертвое пространство, полученное от самого фюзеляжа. Сравнительно небольшой величины, потому что пулеметы могут быть установлены отвесно вниз. Конструкция фюзеляжа дает достаточно пространства для работы наблюдателя, но размещение самой системы как раз у него между ногами, вызывает известное неудобство. Могут возникнуть разговоры относительно расположения системы в фюзеляже. Дело в том, что самый калибр обуславливал необходимость размещения орудия таким образом, чтобы отходящие газы не проходили мимо каких-либо частей самолета, т.к. до сих пор опыты показали, что, несмотря на достаточную толщину обшивки, она разрушалась. Поэтому наиболее рациональным размещением данного орудия является помещение его внутри фюзеляжа, с отводом газов за оперение.</w:t>
      </w:r>
    </w:p>
    <w:p w14:paraId="27F39460"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Оперение мы вынуждены были из-за отходящих газов поднять выше фюзеляжа. … Это сделано с таким расчетом, чтобы вынести его за пределы влияния крыла. …»</w:t>
      </w:r>
    </w:p>
    <w:p w14:paraId="468FEDFB"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Далее последовали ответы вопросы присутствующих. Отвечая на вопрос, как использовалась схема самолета МИ-3, Павел Осипович подчеркнул что:</w:t>
      </w:r>
    </w:p>
    <w:p w14:paraId="1AA99E7D"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«От МИ-3 взято крыло, но за счет наращивания концевых обтекателей увеличены его несущая поверхность и размах. Фюзеляж и центральная часть крыла, примыкающая к нему изменены.</w:t>
      </w:r>
    </w:p>
    <w:p w14:paraId="7831CEE3"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 Как и на МИ-3 имеется шасси, убирающееся назад, таким образом, что колесо до половины прячется между лонжеронами крыла, причем остальная половина колеса хорошо закрываются капотом радиатора. Выступают только небольшие части покрышки. Колеса тормозные».</w:t>
      </w:r>
    </w:p>
    <w:p w14:paraId="29DAE47C"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В прениях выступил начальник отдела КОСОС А. Н. Туполев, он отметил, что:</w:t>
      </w:r>
    </w:p>
    <w:p w14:paraId="4D7C3300"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«Такой пушки нет ни у кого в мире. За границей, там всего 20 мм.</w:t>
      </w:r>
    </w:p>
    <w:p w14:paraId="30BD6B8E"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Идет эта машина и идет неприятельская машина, порядка ТБ-3, ТБ-4. С этой дистанции </w:t>
      </w:r>
      <w:r w:rsidRPr="0044524F">
        <w:rPr>
          <w:color w:val="000000" w:themeColor="text1"/>
          <w:sz w:val="16"/>
          <w:szCs w:val="16"/>
          <w:bdr w:val="none" w:sz="0" w:space="0" w:color="auto" w:frame="1"/>
        </w:rPr>
        <w:t>(показывает на диаграмме)</w:t>
      </w:r>
      <w:r w:rsidRPr="0044524F">
        <w:rPr>
          <w:rStyle w:val="af0"/>
          <w:i w:val="0"/>
          <w:color w:val="000000" w:themeColor="text1"/>
          <w:sz w:val="16"/>
          <w:szCs w:val="16"/>
          <w:bdr w:val="none" w:sz="0" w:space="0" w:color="auto" w:frame="1"/>
        </w:rPr>
        <w:t> начинается стрельба. Снаряд разрывается и образует пучок. Если неприятельский самолет попадает в этот пучок, то получается такое положение, что как бы мы ведем стрельбу дробью по уткам. Эта одна из особенностей данной машины.</w:t>
      </w:r>
    </w:p>
    <w:p w14:paraId="6DD3F748"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Поэтому понятно то внимание, которое уделяется этой машине со стороны РВС. Это есть вещь модная и тактически новая.</w:t>
      </w:r>
    </w:p>
    <w:p w14:paraId="77C2770B"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Мало иметь машину, которая бы хорошо увязала систему вооружения, нужно, чтобы машина была увязана в системе промышленности.</w:t>
      </w:r>
    </w:p>
    <w:p w14:paraId="7A5DE4CB"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Эта машина конструировалась параллельно с МИ-3, чтобы сохранить по возможности больше элементов. Она увязана таким образом: Отъемная часть крыла заменена, и все машины МИ-3 идут с измененным концом крыла. Это усовершенствование сделано во время разработки. Все крыло, начиная с фюзеляжа и включая сюда пулеметную установку, которая также имеется на МИ-3, моторное хозяйство и убирающиеся шасси – одинаково. … Фюзеляж мы хотели сохранить, но по мере того, как мы начиняли его хозяйством, мы увидели, что все больше и больше элементов выпадает, и поэтому стало ясно, что фюзеляж надо делать несколько измененной конструкции, как это и определялось самим начертанием и специфической начинкой.</w:t>
      </w:r>
    </w:p>
    <w:p w14:paraId="7F1F2D10"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Эта машина близкого будущего. Система находится в производстве и скоро будет нам дана.</w:t>
      </w:r>
    </w:p>
    <w:p w14:paraId="6A10BF9D"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В технических требованиях имеется целый ряд взаимных противоречий. …» (19175).</w:t>
      </w:r>
    </w:p>
    <w:p w14:paraId="1F93CD2B" w14:textId="77777777" w:rsidR="0072397D" w:rsidRPr="0044524F" w:rsidRDefault="0072397D" w:rsidP="009654CF">
      <w:pPr>
        <w:pStyle w:val="ae"/>
        <w:shd w:val="clear" w:color="auto" w:fill="FFFFFF"/>
        <w:spacing w:before="0" w:after="0"/>
        <w:jc w:val="both"/>
        <w:textAlignment w:val="baseline"/>
        <w:rPr>
          <w:color w:val="000000" w:themeColor="text1"/>
          <w:sz w:val="16"/>
          <w:szCs w:val="16"/>
        </w:rPr>
      </w:pPr>
    </w:p>
    <w:p w14:paraId="3B2962D9" w14:textId="77777777" w:rsidR="00640C94" w:rsidRPr="0044524F" w:rsidRDefault="006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января 1933 г. у начальника ЦАГИ Н.М. Харламова состоялось совещание по проекту самолета ДИП (АНТ-29) и техническим условиям на него. Первым с объяснением технического «лица» машины выступил помощник начальника КОСОС А.В. Надашкевич: «Самолет предназначается для зашиты городов и важных стратегических объектов от вражеских бомбардировщиков. Поэтому его основными характеристиками должны стать скорость и скороподъем</w:t>
      </w:r>
      <w:r w:rsidRPr="0044524F">
        <w:rPr>
          <w:rFonts w:ascii="Times New Roman" w:hAnsi="Times New Roman"/>
          <w:color w:val="000000" w:themeColor="text1"/>
          <w:sz w:val="16"/>
          <w:szCs w:val="16"/>
        </w:rPr>
        <w:softHyphen/>
        <w:t>ность. Во время боя машину с тыла будут защищать одноместные истребители». Основным наступательным оружием должна была стать динамо-реактивная пушка (ДРП) калибра 100 мм. Располо</w:t>
      </w:r>
      <w:r w:rsidRPr="0044524F">
        <w:rPr>
          <w:rFonts w:ascii="Times New Roman" w:hAnsi="Times New Roman"/>
          <w:color w:val="000000" w:themeColor="text1"/>
          <w:sz w:val="16"/>
          <w:szCs w:val="16"/>
        </w:rPr>
        <w:softHyphen/>
        <w:t>жили ее внутри самолета, по всей длине фюзеляжа. Отвод пороховых газов осу</w:t>
      </w:r>
      <w:r w:rsidRPr="0044524F">
        <w:rPr>
          <w:rFonts w:ascii="Times New Roman" w:hAnsi="Times New Roman"/>
          <w:color w:val="000000" w:themeColor="text1"/>
          <w:sz w:val="16"/>
          <w:szCs w:val="16"/>
        </w:rPr>
        <w:softHyphen/>
        <w:t>ществлялся через трубу, выступавшую за Модель истребителя киль. Впереди дульного среза ствола установили предохранительную трубу, удли</w:t>
      </w:r>
      <w:r w:rsidRPr="0044524F">
        <w:rPr>
          <w:rFonts w:ascii="Times New Roman" w:hAnsi="Times New Roman"/>
          <w:color w:val="000000" w:themeColor="text1"/>
          <w:sz w:val="16"/>
          <w:szCs w:val="16"/>
        </w:rPr>
        <w:softHyphen/>
        <w:t>нявшую ствол и выходившую из носовой части фюзеляжа. Она служила и для заря</w:t>
      </w:r>
      <w:r w:rsidRPr="0044524F">
        <w:rPr>
          <w:rFonts w:ascii="Times New Roman" w:hAnsi="Times New Roman"/>
          <w:color w:val="000000" w:themeColor="text1"/>
          <w:sz w:val="16"/>
          <w:szCs w:val="16"/>
        </w:rPr>
        <w:softHyphen/>
        <w:t>жания пушки и для отвода части газов при выстреле. Питание пушки произво</w:t>
      </w:r>
      <w:r w:rsidRPr="0044524F">
        <w:rPr>
          <w:rFonts w:ascii="Times New Roman" w:hAnsi="Times New Roman"/>
          <w:color w:val="000000" w:themeColor="text1"/>
          <w:sz w:val="16"/>
          <w:szCs w:val="16"/>
        </w:rPr>
        <w:softHyphen/>
        <w:t>дилось из трубчатого магазина, располо</w:t>
      </w:r>
      <w:r w:rsidRPr="0044524F">
        <w:rPr>
          <w:rFonts w:ascii="Times New Roman" w:hAnsi="Times New Roman"/>
          <w:color w:val="000000" w:themeColor="text1"/>
          <w:sz w:val="16"/>
          <w:szCs w:val="16"/>
        </w:rPr>
        <w:softHyphen/>
        <w:t>женного над стволом, а сам кассетный магазин со снарядами размещался между пилотом и наблюдателем. В минуту пуш</w:t>
      </w:r>
      <w:r w:rsidRPr="0044524F">
        <w:rPr>
          <w:rFonts w:ascii="Times New Roman" w:hAnsi="Times New Roman"/>
          <w:color w:val="000000" w:themeColor="text1"/>
          <w:sz w:val="16"/>
          <w:szCs w:val="16"/>
        </w:rPr>
        <w:softHyphen/>
        <w:t>ка могла выпускать до 20 снарядов на дальность около 2000 м. Для выстрела пи</w:t>
      </w:r>
      <w:r w:rsidRPr="0044524F">
        <w:rPr>
          <w:rFonts w:ascii="Times New Roman" w:hAnsi="Times New Roman"/>
          <w:color w:val="000000" w:themeColor="text1"/>
          <w:sz w:val="16"/>
          <w:szCs w:val="16"/>
        </w:rPr>
        <w:softHyphen/>
        <w:t>лоту нужно было только нажать гашетку, перезарядка осуществлялась автоматичес</w:t>
      </w:r>
      <w:r w:rsidRPr="0044524F">
        <w:rPr>
          <w:rFonts w:ascii="Times New Roman" w:hAnsi="Times New Roman"/>
          <w:color w:val="000000" w:themeColor="text1"/>
          <w:sz w:val="16"/>
          <w:szCs w:val="16"/>
        </w:rPr>
        <w:softHyphen/>
        <w:t>ки. Прицел ко времени проведения сове</w:t>
      </w:r>
      <w:r w:rsidRPr="0044524F">
        <w:rPr>
          <w:rFonts w:ascii="Times New Roman" w:hAnsi="Times New Roman"/>
          <w:color w:val="000000" w:themeColor="text1"/>
          <w:sz w:val="16"/>
          <w:szCs w:val="16"/>
        </w:rPr>
        <w:softHyphen/>
        <w:t>щания еще не разработали, но эта задача уже стояла в планах УВП. До появления прицела определением параметров цели должен был заниматься наблюдатель. Подобные пушки уже ставили на самоле</w:t>
      </w:r>
      <w:r w:rsidRPr="0044524F">
        <w:rPr>
          <w:rFonts w:ascii="Times New Roman" w:hAnsi="Times New Roman"/>
          <w:color w:val="000000" w:themeColor="text1"/>
          <w:sz w:val="16"/>
          <w:szCs w:val="16"/>
        </w:rPr>
        <w:softHyphen/>
        <w:t>тах, но опыта размещения их в фюзеляже еще не было.</w:t>
      </w:r>
    </w:p>
    <w:p w14:paraId="3DC1E2CB" w14:textId="77777777" w:rsidR="00640C94" w:rsidRPr="0044524F" w:rsidRDefault="006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собравшихся на совещание возникло много вопросов по поводу эффективности такого вооружения. На них отвечал А.Н. Туполев: «В чем, по сути дела, такти</w:t>
      </w:r>
      <w:r w:rsidRPr="0044524F">
        <w:rPr>
          <w:rFonts w:ascii="Times New Roman" w:hAnsi="Times New Roman"/>
          <w:color w:val="000000" w:themeColor="text1"/>
          <w:sz w:val="16"/>
          <w:szCs w:val="16"/>
        </w:rPr>
        <w:softHyphen/>
        <w:t>ческий смысл машины, в чем ее изюминка? Почему РВС и ВВС так настаивали на со</w:t>
      </w:r>
      <w:r w:rsidRPr="0044524F">
        <w:rPr>
          <w:rFonts w:ascii="Times New Roman" w:hAnsi="Times New Roman"/>
          <w:color w:val="000000" w:themeColor="text1"/>
          <w:sz w:val="16"/>
          <w:szCs w:val="16"/>
        </w:rPr>
        <w:softHyphen/>
        <w:t>здании подобного самолета и какие пре</w:t>
      </w:r>
      <w:r w:rsidRPr="0044524F">
        <w:rPr>
          <w:rFonts w:ascii="Times New Roman" w:hAnsi="Times New Roman"/>
          <w:color w:val="000000" w:themeColor="text1"/>
          <w:sz w:val="16"/>
          <w:szCs w:val="16"/>
        </w:rPr>
        <w:softHyphen/>
        <w:t>имущества он мог бы иметь перед своими соперниками? ...Дело в том, что самолет снабжен такой пушкой, которой не име</w:t>
      </w:r>
      <w:r w:rsidRPr="0044524F">
        <w:rPr>
          <w:rFonts w:ascii="Times New Roman" w:hAnsi="Times New Roman"/>
          <w:color w:val="000000" w:themeColor="text1"/>
          <w:sz w:val="16"/>
          <w:szCs w:val="16"/>
        </w:rPr>
        <w:softHyphen/>
        <w:t>ется ни на одной машине в мире. Пушка поставлена 100-миллиметровая, а загра</w:t>
      </w:r>
      <w:r w:rsidRPr="0044524F">
        <w:rPr>
          <w:rFonts w:ascii="Times New Roman" w:hAnsi="Times New Roman"/>
          <w:color w:val="000000" w:themeColor="text1"/>
          <w:sz w:val="16"/>
          <w:szCs w:val="16"/>
        </w:rPr>
        <w:softHyphen/>
        <w:t>ничные машины имеют всего 20-милли- метровые. Эта размерность представляет большие преимущества по сравнению с дру</w:t>
      </w:r>
      <w:r w:rsidRPr="0044524F">
        <w:rPr>
          <w:rFonts w:ascii="Times New Roman" w:hAnsi="Times New Roman"/>
          <w:color w:val="000000" w:themeColor="text1"/>
          <w:sz w:val="16"/>
          <w:szCs w:val="16"/>
        </w:rPr>
        <w:softHyphen/>
        <w:t>гими, потому что убойность снарядов из</w:t>
      </w:r>
      <w:r w:rsidRPr="0044524F">
        <w:rPr>
          <w:rFonts w:ascii="Times New Roman" w:hAnsi="Times New Roman"/>
          <w:color w:val="000000" w:themeColor="text1"/>
          <w:sz w:val="16"/>
          <w:szCs w:val="16"/>
        </w:rPr>
        <w:softHyphen/>
        <w:t>меняется по кубу. Как представляется бой этой машины? Идет эта машина и идет неприятельская машина порядка ТБ—3 или ТБ—4. С этой дистанции (А.Н. Туполев показывает на диаграмме) начинается стрельба. Разорвавшись на этом расстоя</w:t>
      </w:r>
      <w:r w:rsidRPr="0044524F">
        <w:rPr>
          <w:rFonts w:ascii="Times New Roman" w:hAnsi="Times New Roman"/>
          <w:color w:val="000000" w:themeColor="text1"/>
          <w:sz w:val="16"/>
          <w:szCs w:val="16"/>
        </w:rPr>
        <w:softHyphen/>
        <w:t>нии (снова диаграмма), он (вероятно, сна</w:t>
      </w:r>
      <w:r w:rsidRPr="0044524F">
        <w:rPr>
          <w:rFonts w:ascii="Times New Roman" w:hAnsi="Times New Roman"/>
          <w:color w:val="000000" w:themeColor="text1"/>
          <w:sz w:val="16"/>
          <w:szCs w:val="16"/>
        </w:rPr>
        <w:softHyphen/>
        <w:t>ряд) образует пучок. Если неприятельский самолет попадет на этот пучок, то полу</w:t>
      </w:r>
      <w:r w:rsidRPr="0044524F">
        <w:rPr>
          <w:rFonts w:ascii="Times New Roman" w:hAnsi="Times New Roman"/>
          <w:color w:val="000000" w:themeColor="text1"/>
          <w:sz w:val="16"/>
          <w:szCs w:val="16"/>
        </w:rPr>
        <w:softHyphen/>
        <w:t>чается такое положение, что как бы мы имеем стрельбу дробью по уткам. Такая стрельба и является одной из основных осо</w:t>
      </w:r>
      <w:r w:rsidRPr="0044524F">
        <w:rPr>
          <w:rFonts w:ascii="Times New Roman" w:hAnsi="Times New Roman"/>
          <w:color w:val="000000" w:themeColor="text1"/>
          <w:sz w:val="16"/>
          <w:szCs w:val="16"/>
        </w:rPr>
        <w:softHyphen/>
        <w:t>бенностей этой машины. Вот в чем заклю</w:t>
      </w:r>
      <w:r w:rsidRPr="0044524F">
        <w:rPr>
          <w:rFonts w:ascii="Times New Roman" w:hAnsi="Times New Roman"/>
          <w:color w:val="000000" w:themeColor="text1"/>
          <w:sz w:val="16"/>
          <w:szCs w:val="16"/>
        </w:rPr>
        <w:softHyphen/>
        <w:t>чается преимущество этой машины по сравнению с другого рода машинами и их во</w:t>
      </w:r>
      <w:r w:rsidRPr="0044524F">
        <w:rPr>
          <w:rFonts w:ascii="Times New Roman" w:hAnsi="Times New Roman"/>
          <w:color w:val="000000" w:themeColor="text1"/>
          <w:sz w:val="16"/>
          <w:szCs w:val="16"/>
        </w:rPr>
        <w:softHyphen/>
        <w:t>оружением. Поэтому понятно то внима</w:t>
      </w:r>
      <w:r w:rsidRPr="0044524F">
        <w:rPr>
          <w:rFonts w:ascii="Times New Roman" w:hAnsi="Times New Roman"/>
          <w:color w:val="000000" w:themeColor="text1"/>
          <w:sz w:val="16"/>
          <w:szCs w:val="16"/>
        </w:rPr>
        <w:softHyphen/>
        <w:t>ние, которое уделяется этой машине со стороны РВС».</w:t>
      </w:r>
    </w:p>
    <w:p w14:paraId="522655EB" w14:textId="77777777" w:rsidR="00640C94" w:rsidRPr="0044524F" w:rsidRDefault="006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соображениями о конструкции са</w:t>
      </w:r>
      <w:r w:rsidRPr="0044524F">
        <w:rPr>
          <w:rFonts w:ascii="Times New Roman" w:hAnsi="Times New Roman"/>
          <w:color w:val="000000" w:themeColor="text1"/>
          <w:sz w:val="16"/>
          <w:szCs w:val="16"/>
        </w:rPr>
        <w:softHyphen/>
        <w:t>молета выступил П.О. Сухой. Заданные ТТТ, ориентированные в первую очередь на достижение большой скорости полета при достаточно большой массе машины, определили выбор схемы — двухмотор</w:t>
      </w:r>
      <w:r w:rsidRPr="0044524F">
        <w:rPr>
          <w:rFonts w:ascii="Times New Roman" w:hAnsi="Times New Roman"/>
          <w:color w:val="000000" w:themeColor="text1"/>
          <w:sz w:val="16"/>
          <w:szCs w:val="16"/>
        </w:rPr>
        <w:softHyphen/>
        <w:t>ный свободнонесущий моноплан. При этом КБ стремилось использовать преды</w:t>
      </w:r>
      <w:r w:rsidRPr="0044524F">
        <w:rPr>
          <w:rFonts w:ascii="Times New Roman" w:hAnsi="Times New Roman"/>
          <w:color w:val="000000" w:themeColor="text1"/>
          <w:sz w:val="16"/>
          <w:szCs w:val="16"/>
        </w:rPr>
        <w:softHyphen/>
        <w:t>дущие наработки. Так, от МИ-3 решили использовать шасси и крыло (несколько увеличив его по размаху за счет концевых обтекателей).</w:t>
      </w:r>
    </w:p>
    <w:p w14:paraId="23BAFFD9" w14:textId="77777777" w:rsidR="00640C94" w:rsidRPr="0044524F" w:rsidRDefault="006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закончилось выводом: «...проект не вызывает возражений». Не</w:t>
      </w:r>
      <w:r w:rsidRPr="0044524F">
        <w:rPr>
          <w:rFonts w:ascii="Times New Roman" w:hAnsi="Times New Roman"/>
          <w:color w:val="000000" w:themeColor="text1"/>
          <w:sz w:val="16"/>
          <w:szCs w:val="16"/>
        </w:rPr>
        <w:softHyphen/>
        <w:t>обходима его дальнейшая детальная про</w:t>
      </w:r>
      <w:r w:rsidRPr="0044524F">
        <w:rPr>
          <w:rFonts w:ascii="Times New Roman" w:hAnsi="Times New Roman"/>
          <w:color w:val="000000" w:themeColor="text1"/>
          <w:sz w:val="16"/>
          <w:szCs w:val="16"/>
        </w:rPr>
        <w:softHyphen/>
        <w:t>работка.</w:t>
      </w:r>
    </w:p>
    <w:p w14:paraId="57F5FBC0" w14:textId="77777777" w:rsidR="00640C94" w:rsidRPr="0044524F" w:rsidRDefault="006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Машину планировали построить в 1933 г. Но этого сделать не удалось. В про</w:t>
      </w:r>
      <w:r w:rsidRPr="0044524F">
        <w:rPr>
          <w:rFonts w:ascii="Times New Roman" w:hAnsi="Times New Roman"/>
          <w:color w:val="000000" w:themeColor="text1"/>
          <w:sz w:val="16"/>
          <w:szCs w:val="16"/>
        </w:rPr>
        <w:softHyphen/>
        <w:t>цессе работы конструкция самолета претерпела ряд изменений: менялись кры</w:t>
      </w:r>
      <w:r w:rsidRPr="0044524F">
        <w:rPr>
          <w:rFonts w:ascii="Times New Roman" w:hAnsi="Times New Roman"/>
          <w:color w:val="000000" w:themeColor="text1"/>
          <w:sz w:val="16"/>
          <w:szCs w:val="16"/>
        </w:rPr>
        <w:softHyphen/>
        <w:t>ло, оперение, хвостовая часть фюзеляжа. Были задержки и по другими причинам. Например, уже готовое оперение пришлось передать на истребитель МИ—3бис. Все это привело к тому, что настоящая рабо</w:t>
      </w:r>
      <w:r w:rsidRPr="0044524F">
        <w:rPr>
          <w:rFonts w:ascii="Times New Roman" w:hAnsi="Times New Roman"/>
          <w:color w:val="000000" w:themeColor="text1"/>
          <w:sz w:val="16"/>
          <w:szCs w:val="16"/>
        </w:rPr>
        <w:softHyphen/>
        <w:t>та началась только в сентябре 1934 г</w:t>
      </w:r>
    </w:p>
    <w:p w14:paraId="12C7DF60" w14:textId="77777777" w:rsidR="00640C94" w:rsidRPr="0044524F" w:rsidRDefault="006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машины вела бригада П.О. Сухого.</w:t>
      </w:r>
    </w:p>
    <w:p w14:paraId="18D12B90" w14:textId="77777777" w:rsidR="00640C94" w:rsidRPr="0044524F" w:rsidRDefault="006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полет опытной машины состоялся зимой 1935 года. Построен единственный опытный экземпляр.</w:t>
      </w:r>
    </w:p>
    <w:p w14:paraId="2B80E3F1" w14:textId="77777777" w:rsidR="00640C94" w:rsidRPr="0044524F" w:rsidRDefault="006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1936 г. работы по самолету АНТ—29 были прекращены (23474).</w:t>
      </w:r>
    </w:p>
    <w:p w14:paraId="0AB569F9" w14:textId="77777777" w:rsidR="00640C94" w:rsidRPr="0044524F" w:rsidRDefault="00640C94" w:rsidP="009654CF">
      <w:pPr>
        <w:spacing w:after="0" w:line="240" w:lineRule="auto"/>
        <w:jc w:val="both"/>
        <w:rPr>
          <w:rFonts w:ascii="Times New Roman" w:hAnsi="Times New Roman"/>
          <w:color w:val="000000" w:themeColor="text1"/>
          <w:sz w:val="16"/>
          <w:szCs w:val="16"/>
        </w:rPr>
      </w:pPr>
    </w:p>
    <w:p w14:paraId="0432AA0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января 1933 года и.о. начальника Осконпробюро Бицкий писал письмо № 6с начальнику ВВС</w:t>
      </w:r>
    </w:p>
    <w:p w14:paraId="26B10231"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Доношу, что сего числа начальник ОКПБ Гроховский заболел нервным расстройством и я вступил во временное исполнение его обязанностей.</w:t>
      </w:r>
    </w:p>
    <w:p w14:paraId="6FADE81E"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для дальнейшего существования ОКПБ до сих пор отсутствует план работы на 1933 год и утверждение его затягивается, отсутствуют средства на уплату жалования инженерно-техническому составу Бюро и рабочим Экспериментального завода, так как последний находится в состоянии простоя, так как 1933 год уже наступил, а завод задачи не имеет, прием же заказов со стороны связан с жесткими сроками исполнения с последующими неустойками в случае переключения производства по прямому назначению. Ввиду отсутствия квартир летно-технический состав живет в канцеляриях Бюро, что нарушает секретность, а также не дает возможности сдачи помещения по окончании работ под охрану караула. Военный квартирный отдел в помещениях отказал.</w:t>
      </w:r>
    </w:p>
    <w:p w14:paraId="7DAEAA53"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Вашего немедленного указания:</w:t>
      </w:r>
    </w:p>
    <w:p w14:paraId="30C933DB" w14:textId="77777777" w:rsidR="00095B9C" w:rsidRPr="0044524F" w:rsidRDefault="00095B9C" w:rsidP="009654CF">
      <w:pPr>
        <w:numPr>
          <w:ilvl w:val="0"/>
          <w:numId w:val="2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Производить ли выплату зарплаты вольнонаемному инженерно-техническому составу Бюро за январь 1933 года или произвести увольнение их.</w:t>
      </w:r>
    </w:p>
    <w:p w14:paraId="31D71C38" w14:textId="77777777" w:rsidR="00095B9C" w:rsidRPr="0044524F" w:rsidRDefault="00095B9C" w:rsidP="009654CF">
      <w:pPr>
        <w:numPr>
          <w:ilvl w:val="0"/>
          <w:numId w:val="2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какой срок переключить производство экспериментального завода на частные заказы.</w:t>
      </w:r>
    </w:p>
    <w:p w14:paraId="24626B02" w14:textId="77777777" w:rsidR="00095B9C" w:rsidRPr="0044524F" w:rsidRDefault="00095B9C" w:rsidP="009654CF">
      <w:pPr>
        <w:numPr>
          <w:ilvl w:val="0"/>
          <w:numId w:val="2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Куда разместить, проживающий в канцеляриях летно-технический состав в количестве 8 человек (7486, 49).</w:t>
      </w:r>
    </w:p>
    <w:p w14:paraId="6EAFFD52" w14:textId="77777777" w:rsidR="00095B9C" w:rsidRPr="0044524F" w:rsidRDefault="00095B9C" w:rsidP="009654CF">
      <w:pPr>
        <w:tabs>
          <w:tab w:val="left" w:pos="360"/>
        </w:tabs>
        <w:spacing w:after="0" w:line="240" w:lineRule="auto"/>
        <w:jc w:val="both"/>
        <w:rPr>
          <w:rFonts w:ascii="Times New Roman" w:hAnsi="Times New Roman"/>
          <w:color w:val="000000" w:themeColor="text1"/>
          <w:sz w:val="16"/>
          <w:szCs w:val="16"/>
        </w:rPr>
      </w:pPr>
    </w:p>
    <w:p w14:paraId="39A1A502" w14:textId="032D04CA" w:rsidR="00956BB9" w:rsidRPr="0044524F" w:rsidRDefault="00956BB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января 1933 г. в Москве состоялась конференция писателей, созванная по инициативе и при содействии ВВС с целью привлечения писателей к работе над авиационной тематикой. По инициативе начальника Глав</w:t>
      </w:r>
      <w:r w:rsidRPr="0044524F">
        <w:rPr>
          <w:rFonts w:ascii="Times New Roman" w:hAnsi="Times New Roman"/>
          <w:color w:val="000000" w:themeColor="text1"/>
          <w:sz w:val="16"/>
          <w:szCs w:val="16"/>
        </w:rPr>
        <w:softHyphen/>
        <w:t>ного управления авиапромышленности П.И.Баранова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были созданы писательские бригады для работы над созданием произведений, показывающих людей и жизнь авиапромышленных предприятий. Результатом конференции явился приток в художественную литературу авиационных специалистов, а некоторые уже известные, писатели серьезно занялись авиационной тематикой. В конце рода уже появились первые художественные произведения в виде альманахов и отдельных рассказов на авиационные темы.</w:t>
      </w:r>
    </w:p>
    <w:p w14:paraId="09440B22" w14:textId="77777777" w:rsidR="00956BB9" w:rsidRPr="0044524F" w:rsidRDefault="00956BB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1934 № 1/ (23370).</w:t>
      </w:r>
    </w:p>
    <w:p w14:paraId="126BBCD2" w14:textId="77777777" w:rsidR="00956BB9" w:rsidRPr="0044524F" w:rsidRDefault="00956BB9" w:rsidP="009654CF">
      <w:pPr>
        <w:spacing w:after="0" w:line="240" w:lineRule="auto"/>
        <w:jc w:val="both"/>
        <w:rPr>
          <w:rFonts w:ascii="Times New Roman" w:hAnsi="Times New Roman"/>
          <w:color w:val="000000" w:themeColor="text1"/>
          <w:sz w:val="16"/>
          <w:szCs w:val="16"/>
        </w:rPr>
      </w:pPr>
    </w:p>
    <w:p w14:paraId="70962B92"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января 1933 С.П.К. предложил на заседании Президиума ЦС ОХА издавать ежемесячный журнал "Советская ракета" объемом 2,5-3 печ.л. и тиражом 5 тыс. экз. Предложение было принято. Выделены 28 тыс.р. Утверждена редколлегия, в состав которой вошел СПК. Издание осуществлено не было (ЦГАОР, ф. 8355, № 75(1), л. 21) (10676).</w:t>
      </w:r>
    </w:p>
    <w:p w14:paraId="4C1278C0"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7BAF2933" w14:textId="77777777" w:rsidR="00095B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9CC865D" w14:textId="77777777" w:rsidR="00095B9C" w:rsidRPr="0044524F" w:rsidRDefault="00095B9C" w:rsidP="009654CF">
      <w:pPr>
        <w:spacing w:after="0" w:line="240" w:lineRule="auto"/>
        <w:jc w:val="both"/>
        <w:rPr>
          <w:rFonts w:ascii="Times New Roman" w:hAnsi="Times New Roman"/>
          <w:iCs/>
          <w:color w:val="000000" w:themeColor="text1"/>
          <w:sz w:val="16"/>
          <w:szCs w:val="16"/>
        </w:rPr>
      </w:pPr>
    </w:p>
    <w:p w14:paraId="064B4294" w14:textId="77777777" w:rsidR="00095B9C" w:rsidRPr="0044524F" w:rsidRDefault="00095B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8 января 1933 5 танков ТТ-18 (телеуправляемый танк - индекс, присвоенный в 1934) были переданы на испытания в специальный отряд N 4 ЛВО вместе с телеуправляемыми ТТ-26 и ТТ-27. Выбирали для дальнейшего серийного производства. Испытания продолжались 8 дней и были повторены в октябре 1933. ТТ-18, на котором стояла 16 командная аппаратура системы Остехбюро 1932 дальностью до 1.5 км (реально 500-1000 в хорошую погоду), не прошел (4243,25).</w:t>
      </w:r>
    </w:p>
    <w:p w14:paraId="1045E25D" w14:textId="77777777" w:rsidR="00095B9C" w:rsidRPr="0044524F" w:rsidRDefault="00095B9C" w:rsidP="009654CF">
      <w:pPr>
        <w:spacing w:after="0" w:line="240" w:lineRule="auto"/>
        <w:jc w:val="both"/>
        <w:rPr>
          <w:rFonts w:ascii="Times New Roman" w:hAnsi="Times New Roman"/>
          <w:color w:val="000000" w:themeColor="text1"/>
          <w:sz w:val="16"/>
          <w:szCs w:val="16"/>
        </w:rPr>
      </w:pPr>
    </w:p>
    <w:p w14:paraId="6409BEE8"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8 января 1933 г. состоялось выступление по докладу И.В.Сталина «Итоги первой пятилетки и народнохозяйственный план 1933 г.»</w:t>
      </w:r>
    </w:p>
    <w:p w14:paraId="64EDC22A"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Из стенограммы объединенного пленума ЦК и ЦКК ВКП(б) 7-12 января 1933 г.</w:t>
      </w:r>
    </w:p>
    <w:p w14:paraId="103EB714"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Мы имеем величайшие политические и хозяйственные достижения в итоге победоносного выполнения первой пятилетки. В области топлива, в частности, в ценностном выражении, выполнение плана первой пятилетки по всем видам топлива достигает 99%. Если же мы переведем все виды топлива в условное топливо, то пятилетка по топливу выполнена на 97%. Достижения грандиозные. Это выполнение плана доказывает, насколько были неверны часто повторявшиеся и в наше время установки буржуазных экономистов о том, что наша страна имеет органический дефицит в топливном балансе и что мы и на будущее время от этого органического дефицитного топливного баланса не избавимся.</w:t>
      </w:r>
    </w:p>
    <w:p w14:paraId="51022A5E"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Однако, выполнив пятилетку по топливу, мы сейчас должны обратить большое внимание на ряд опасных симптомов в каменноугольной и нефтяной промышленности. Необходимо не только отмечать величайшие успехи, которых мы достигли, выполнив первую пятилетку, но нужно вскрывать и те дефекты, которые выявились при выполнении плана и по углю и по нефти. По нефти пятилетка выполнена в 2,5 года. Это блестящая победа! Но, выполнив пятилетку в 2,5 года, мы в остальные 1 г. и 9 месяцев дали прирост по нефтяной промышленности всего на 2,5 процента. </w:t>
      </w:r>
    </w:p>
    <w:p w14:paraId="5B204983"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Вы понимаете, насколько опасна такая стабилизация добычи, когда у нас необычайно быстро растет тракторный парк, когда авто- и танкостроение идет бурными темпами, развивается экспорт. Необходимо обратить самое серьезное внимание на положение нефтяной промышленности</w:t>
      </w:r>
    </w:p>
    <w:p w14:paraId="00B11FFA"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Если обратимся к нашему каменноугольному фронту, то здесь имеются грандиозные достижения. Так же, как и в нефтяной промышленности, проведена реконструкция, применяются последние новейшие технические методы. Несоменно, здесь имеются такие грандиозные сдвиги, которыми не может похвастаться ни одна капиталистическая страна за такой короткий период. Но каменноугольная промышленность полностью плана пятилетки в 4 года не выполнила. Рассматривая работу Донбасса, мы должны будем обратить внимание на то, что за последние 3 года средний годовой прирост по Донбассу выражался количественно в 4 млн. тонн добычи в год. Для выполнения предварительной наметки добычи во второй пятилетке по Донбассу в пределах 85 миллионов тонн, этот прирост в 4 млн. тонн нас никак не может удовлетворить. Тем более он никак не может нас удовлетворить потому, что мы уже сейчас вложили в Донецкий бассейн около 900 млн. рублей в капитальное строительство против плана первой пятилетки в 700 млн. рублей, т.е. значительно перевыполнили этот план. Мы сейчас можем требовать от Донбасса, чтобы он дал нам такие темпы, которые обеспечивали бы возможность во второй пятилетке полностью ликвидировать дефицит в нашем топливном балансе.</w:t>
      </w:r>
    </w:p>
    <w:p w14:paraId="26247730"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Общее количество новых шахт, без реконструируемых, находившихся в стройке, по данным Главтопа, составляет 319, мощностью около 220 млн. тонн. Если мы введем всю их мощность, то с лихвой покроем все задания по второй пятилетке. Однако, если присмотреться к тому, как пускаются в действие эти новые шахты, то необходимо отметить ряд вопиющих явлений, которых не должно быть у нас. Прежде всего надо отметить, что ряд шахт, которые мы считаем пущенными, на самом деле дают всего процентов 20-60 их проектной мощности, и почти ни одна из крупных пущенных шахт в Донбассе и Кузбассе не дает добычи, близкой к проектной мощности. Пусковой период длится течение полутора-двух лет, и все же до этой проектной мощности так и не дошли.</w:t>
      </w:r>
    </w:p>
    <w:p w14:paraId="5FFD3D36"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Приведу пример. Возьмем такую крупную шахту Рутченковского района, как шахта 17-бис. Она уже в прошлом году считалась пущенной. Между тем эта шахта при проектной суточной добыче в 4 тыс. тонн дает лишь около 350 тонн. Шахта «Карл» пущена в эксплуатацию 1,5 года тому назад, дает сейчас лишь 20% проектной мощности. Шахта «Американка» в Донбассе 3 года не выходит из положения новостройки. Шахта № 8-А в Горловке - громадная шахта - дает несколько процентов от проектной мощности. </w:t>
      </w:r>
    </w:p>
    <w:p w14:paraId="11221E9E"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Каково положение в Кузбассе? Возьмем в Кузбассе такую шахту, как шахта № 5-6 мощностью в 1,5 млн. тонн. Глубина шахты 80 метров, она должна быть законченной в 1,5 года. Сейчас прошло 3 года, шахта пущена в эксплуатацию, но вместо суточной добычи в 5 тыс. тонн она дает 1 тыс. тонн. Эти шахты пущены в эксплуатацию. Но у нас громадное большинство шахт строится, причем строится по 5-7 лет - это чрезвычайно, скорее, невероятно длительный срок. В практике нашей каменноугольной промышленности установился такой порядок, что для того, чтобы довести новые шахты-новостройки до пускового периода, а потом после пускового периода до близких к проекту цифр добычи, нужно чуть не 10 лет. Это совершенно невозможное положение. С ним нужно во что бы то ни стало покончить. Прежде в Донбассе крупными шахтами считались шахты в 200-300 тыс. тонн годовой добычи. Теперь мы переходим на тип гораздо более крупных шахт - часто свыше миллиона тонн, примеров которых в прежней практике Донбасса и других районов не было. </w:t>
      </w:r>
    </w:p>
    <w:p w14:paraId="64FD5509"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Однако строительство этих гигантов протекает таким образом, что освоить эти шахты в небольшой промежуток времени после пуска мы не могли и не можем. Из 319 новостроек - шахт с добычей свыше 1 миллиона тонн проектной мощности каждая - 73 шахты. Каждый район хочет обязательно строить шахты-гиганты, и не одну, а сразу целую пачку, и в результате они не могут быть вовремя освоены, строительство растягивается на долгие годы, часто проекты не считаются с возможностью нашего машиностроения. Такие случаи имеются в Кузбассе, где ряд шахт-гигантов по 1,5 млн. тонн рассчитаны на такой тип скипового подъема, который наши заводы никогда не изготовляли и пока не могут изготовить (шахты № 5-6, 105, № 7, 8, 9 на Прокопьевском руднике Кузбасса), в результате одни из них идут на временных клетях и дают 20% мощности, на других, которые вступают в строй, также приходится устанавливать временный клетевой подъем. В этом отношении мы имеем ряд разрывов, которых нам нужно во что бы то ни стало избежать во второй пятилетке. Нужно уже в 1938 году сосредоточить все внимание на основных пусковых крупных объектах, направляя на них главную массу материально-технического снабжения, людей и т.д. </w:t>
      </w:r>
    </w:p>
    <w:p w14:paraId="65B4189A"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Возьмем пример из другого, мощного района - Урала. Там заложена 6 лет тому назад шахта № 1, тоже шахта-гигант. Теперь, когда с величайшими затруднениями в течение 5-6 лет прошли шахту до пласта, обнаружилось, что одно крыло этой шахты расположено под жел.-дор. магистралью, в результате приходится это крыло отсекать - это на Урале, где нам дорога каждая тонна угля.</w:t>
      </w:r>
    </w:p>
    <w:p w14:paraId="4920C015"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Перехожу к вопросу о производительности труда в каменноугольной промышленности. В прежнее время, в 1913 году, производительность на одного трудящегося вместе со служащим и рабочим равнялась 13,7%, а в 1932 г. мы имеем те же 13% с небольшим, т.е. фактически производительность труда в каменноугольной промышленности, несмотря на гигантские вложения, несмотря на механизацию, осталась на уровне 1913 г., на уровне недопустимо низком. Поэтому упор тезисов на необходимость во что бы то ни стало в ближайшиц 1933 г. и во всей второй пятилетке сдвинуть вопрос производительности труда с мертвой точки, как никогда и нигде, актуален.</w:t>
      </w:r>
    </w:p>
    <w:p w14:paraId="0875D44D"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Мы добились гигантских успехов в области механизации, главным образом механизации подрубки, но механизация всего комплекса работ, о чем говорила комиссия тов. Молотова, отстает неимоверно. За какое основное звено надо еще ухватиться? Это, в первую очередь, подземный транспорт. Ведь протяжение всех подземных дорог в шахтах Донбасса большее, чем расстояние от Москвы до Ленинграда. Пока еще мы тащимся на лошадином транспорте, откатка механизирована всего на несколько процентов.</w:t>
      </w:r>
    </w:p>
    <w:p w14:paraId="2B5E4C51"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Перехожу к вопросу о нефти. Вы знаете, что в последний год добыча стабилизировалась. К чему это приводит? В результате этого на будущий 1933 г. против добычи этого года, против 22 с небольшим млн. тонн, мы имеем программу в 24,5 млн. тонн. При этих условиях невозможно сверстать без дефицита баланс в области нефтетоплива. Если мы не примем каких-то героических решений в этой области, мы будем иметь дефицит нефтетоплива в 1933 г. в 2 млн. тонн. Прогресс в области переработки идет: у нас с каждым годом происходит более глубокий отбор нефтепродуктов, мы больше отбираем от каждой тонны бензина, керосина и других светлых продуктов и меньше остается мазута. И поэтому на 1933 г. у нас дефицит мазута - 2 млн. тонн, если добыча останется в 24 млн. тонн. Особенно тяжела будет зима 1933-1934 гг. Не лучше и по керосину. Керосин - это наше главное топливо для тракторов. Дефицит по керосину на 1933 г. достигает около 900 тыс. тонн. Это или отразится на экспорте, или на внутреннем рынке, или, наконец, на тракторном парке. Вы прекрасно понимаете, насколько тяжелы эти цифры. И нам нужно во что бы то ни стало найти возможность для увеличения программы, для увеличения добычи, для того, чтобы уже в 1933 г. справиться с этим. </w:t>
      </w:r>
    </w:p>
    <w:p w14:paraId="5BA277B2"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Уже теперь мы должны поставить,себе ясно задачу в области нефтедобычи на 1934 г. Мы не можем выйти с программой по нефтетопливу меньше, чем в 30 млн.тонн. К этому надо во что бы то ни стало подготовиться. Если мы выйдем с меньшей программой, мы будем испытывать большие затруднения. Почему мы испытываем такие затруднения с нефтью? Основное, это невыполнение программы по бурению: в 1931 г. было пробурено 132 тыс. метров, а в 1932 г. - всего 140 тыс. метров. За последние годы нефтяная промышленность неудовлетворительно снабжалась оборудованием. В 1930 г. нефть получила оборудования на 154 млн. руб., в 1931 г. - на 138 млн. руб., а в 1932 г. - всего на 107 млн. руб. Из года в года дается все меньше, а в это время дебет скважин падает и процент фонтанной добычи уменьшается. И в области каменноугольной промышленности и в области нефтепромышленности мы должны учитывать те трудности, с которыми мы встретились в первой пятилетке. Мы их преодолеем, но преодолеем в том случае, если вся партия обратит свое величайшее внимание на те дефекты, которые выявились в процессе исполнения первой пятилетки. </w:t>
      </w:r>
    </w:p>
    <w:p w14:paraId="02D6D151" w14:textId="77777777" w:rsidR="00095B9C" w:rsidRPr="0044524F" w:rsidRDefault="00095B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Мы разбили в пух и прах теорию буржуазных экономистов об органическом дефиците в балансе топлива в нашей стране. Мы имеем возможность, опираясь не на одну базу, а на ряд баз в разных концах нашей страны, увеличить добычу гигантски. Ресурсов у нас вполне достаточно. Во вторую пятилетку мы должны покончить со всеми затруднениями в области топливоснабжения. А для этого уже в 1933 г. нам придется выправить некоторые наметки, в частности по нефти, а для 1934 г. их увеличить до 80 млн. тонн, ибо иначе мы не удовлетворим потребности нашего сельского хозяйства, экспорта, растущей авиации и внутреннего рынка. Необходим величайший нажим нашей партии и мобилизация внимания к вопросам нашей каменноугольной и нефтяной промышленности (11551).</w:t>
      </w:r>
    </w:p>
    <w:p w14:paraId="0628C840" w14:textId="77777777" w:rsidR="00095B9C" w:rsidRPr="0044524F" w:rsidRDefault="00095B9C" w:rsidP="009654CF">
      <w:pPr>
        <w:pStyle w:val="af2"/>
        <w:jc w:val="both"/>
        <w:rPr>
          <w:i w:val="0"/>
          <w:iCs w:val="0"/>
          <w:color w:val="000000" w:themeColor="text1"/>
          <w:spacing w:val="0"/>
          <w:kern w:val="0"/>
          <w:position w:val="0"/>
          <w:sz w:val="16"/>
          <w:szCs w:val="16"/>
          <w:lang w:val="ru-RU"/>
        </w:rPr>
      </w:pPr>
    </w:p>
    <w:p w14:paraId="6596FF17" w14:textId="77777777" w:rsidR="00D858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CC4FCE5" w14:textId="77777777" w:rsidR="00D8588A" w:rsidRPr="0044524F" w:rsidRDefault="00D858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C26CF2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9 января 1933 года начальник Штаба ВВС Меженинов писал письмо № НИ/04 начальнику ГУАП Баранову, ЦАГИ Харламову</w:t>
      </w:r>
    </w:p>
    <w:p w14:paraId="57E6160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программу работ 1933 года по линии отдела винтовых аппаратов, прошу включить как первоочередное проектировочное задание, разработку проекта и постройку машины типа "летающего автомобиля" – представляющего из себя вертолет (автожир) с управляемым ротором с передачей (или без нее) на ведущие колеса, обтекаемым кузовом и трехколесным шасси.</w:t>
      </w:r>
    </w:p>
    <w:p w14:paraId="30E73AD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31C859F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предполагается М-48 или лучше М-23 модернизированный на мощность 90 НР (вес примерно 100 кг) (7505, 3).</w:t>
      </w:r>
    </w:p>
    <w:p w14:paraId="6E2F293F"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224E46A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января 1933 года за № 2/051с была получена Справка (6778)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418"/>
        <w:gridCol w:w="1417"/>
        <w:gridCol w:w="1276"/>
        <w:gridCol w:w="1418"/>
        <w:gridCol w:w="991"/>
      </w:tblGrid>
      <w:tr w:rsidR="004E10C1" w:rsidRPr="0044524F" w14:paraId="25E5F04A" w14:textId="77777777">
        <w:tc>
          <w:tcPr>
            <w:tcW w:w="4077" w:type="dxa"/>
          </w:tcPr>
          <w:p w14:paraId="2FF95CB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работ</w:t>
            </w:r>
          </w:p>
        </w:tc>
        <w:tc>
          <w:tcPr>
            <w:tcW w:w="1418" w:type="dxa"/>
          </w:tcPr>
          <w:p w14:paraId="0C67CA5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Намеченные сроки начала работ</w:t>
            </w:r>
          </w:p>
        </w:tc>
        <w:tc>
          <w:tcPr>
            <w:tcW w:w="1417" w:type="dxa"/>
          </w:tcPr>
          <w:p w14:paraId="04C9C22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Намеченные сроки окончания работ</w:t>
            </w:r>
          </w:p>
        </w:tc>
        <w:tc>
          <w:tcPr>
            <w:tcW w:w="1276" w:type="dxa"/>
          </w:tcPr>
          <w:p w14:paraId="4B2ADAA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Действит. сроки начала работ</w:t>
            </w:r>
          </w:p>
        </w:tc>
        <w:tc>
          <w:tcPr>
            <w:tcW w:w="1418" w:type="dxa"/>
          </w:tcPr>
          <w:p w14:paraId="46138CF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Действит. Сроки окончания работ</w:t>
            </w:r>
          </w:p>
        </w:tc>
        <w:tc>
          <w:tcPr>
            <w:tcW w:w="991" w:type="dxa"/>
          </w:tcPr>
          <w:p w14:paraId="7712C39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w:t>
            </w:r>
          </w:p>
        </w:tc>
      </w:tr>
      <w:tr w:rsidR="004E10C1" w:rsidRPr="0044524F" w14:paraId="0330A998" w14:textId="77777777">
        <w:tc>
          <w:tcPr>
            <w:tcW w:w="4077" w:type="dxa"/>
          </w:tcPr>
          <w:p w14:paraId="0140138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И5, эталон 1932 года</w:t>
            </w:r>
          </w:p>
        </w:tc>
        <w:tc>
          <w:tcPr>
            <w:tcW w:w="1418" w:type="dxa"/>
          </w:tcPr>
          <w:p w14:paraId="123A41A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января</w:t>
            </w:r>
          </w:p>
          <w:p w14:paraId="5FF5065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56024F0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1932 года</w:t>
            </w:r>
          </w:p>
        </w:tc>
        <w:tc>
          <w:tcPr>
            <w:tcW w:w="1276" w:type="dxa"/>
          </w:tcPr>
          <w:p w14:paraId="319E9FE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января</w:t>
            </w:r>
          </w:p>
          <w:p w14:paraId="2D692B0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8" w:type="dxa"/>
          </w:tcPr>
          <w:p w14:paraId="36A4514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марта</w:t>
            </w:r>
          </w:p>
          <w:p w14:paraId="58D00C2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991" w:type="dxa"/>
          </w:tcPr>
          <w:p w14:paraId="406F26C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5218B908" w14:textId="77777777">
        <w:tc>
          <w:tcPr>
            <w:tcW w:w="4077" w:type="dxa"/>
          </w:tcPr>
          <w:p w14:paraId="7CE6F04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ТБ3 4М17 (опытный)</w:t>
            </w:r>
          </w:p>
        </w:tc>
        <w:tc>
          <w:tcPr>
            <w:tcW w:w="1418" w:type="dxa"/>
          </w:tcPr>
          <w:p w14:paraId="429BC4C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w:t>
            </w:r>
          </w:p>
          <w:p w14:paraId="6CD81A7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397C5F3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1932 года</w:t>
            </w:r>
          </w:p>
        </w:tc>
        <w:tc>
          <w:tcPr>
            <w:tcW w:w="1276" w:type="dxa"/>
          </w:tcPr>
          <w:p w14:paraId="735C75F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D27B55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765A93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578F106F" w14:textId="77777777">
        <w:tc>
          <w:tcPr>
            <w:tcW w:w="4077" w:type="dxa"/>
          </w:tcPr>
          <w:p w14:paraId="197F47E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Составление инструкции по эксплуатации самолета ТБ3-4М17</w:t>
            </w:r>
          </w:p>
        </w:tc>
        <w:tc>
          <w:tcPr>
            <w:tcW w:w="1418" w:type="dxa"/>
          </w:tcPr>
          <w:p w14:paraId="42F5C37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1932 года</w:t>
            </w:r>
          </w:p>
        </w:tc>
        <w:tc>
          <w:tcPr>
            <w:tcW w:w="1417" w:type="dxa"/>
          </w:tcPr>
          <w:p w14:paraId="695819D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февраля 1932 года</w:t>
            </w:r>
          </w:p>
        </w:tc>
        <w:tc>
          <w:tcPr>
            <w:tcW w:w="1276" w:type="dxa"/>
          </w:tcPr>
          <w:p w14:paraId="73E56CF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391D0E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C07853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69D1EA3C" w14:textId="77777777">
        <w:tc>
          <w:tcPr>
            <w:tcW w:w="4077" w:type="dxa"/>
          </w:tcPr>
          <w:p w14:paraId="267650A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И5 М-15</w:t>
            </w:r>
          </w:p>
        </w:tc>
        <w:tc>
          <w:tcPr>
            <w:tcW w:w="1418" w:type="dxa"/>
          </w:tcPr>
          <w:p w14:paraId="2401312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января</w:t>
            </w:r>
          </w:p>
          <w:p w14:paraId="5CC82D4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067E549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1932 года</w:t>
            </w:r>
          </w:p>
        </w:tc>
        <w:tc>
          <w:tcPr>
            <w:tcW w:w="1276" w:type="dxa"/>
          </w:tcPr>
          <w:p w14:paraId="377FDD2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F52FE4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DF1A19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04FC6AF2" w14:textId="77777777">
        <w:tc>
          <w:tcPr>
            <w:tcW w:w="4077" w:type="dxa"/>
          </w:tcPr>
          <w:p w14:paraId="3513F6B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И-IV с деревянным разрезным крылом</w:t>
            </w:r>
          </w:p>
        </w:tc>
        <w:tc>
          <w:tcPr>
            <w:tcW w:w="1418" w:type="dxa"/>
          </w:tcPr>
          <w:p w14:paraId="59EC61B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w:t>
            </w:r>
          </w:p>
          <w:p w14:paraId="5C6D426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669A627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20 апреля 1932 года </w:t>
            </w:r>
          </w:p>
        </w:tc>
        <w:tc>
          <w:tcPr>
            <w:tcW w:w="1276" w:type="dxa"/>
          </w:tcPr>
          <w:p w14:paraId="4BBFFCF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поступил от пром-ти</w:t>
            </w:r>
          </w:p>
        </w:tc>
        <w:tc>
          <w:tcPr>
            <w:tcW w:w="1418" w:type="dxa"/>
          </w:tcPr>
          <w:p w14:paraId="1F578C9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7CB9F51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0C9248A7" w14:textId="77777777">
        <w:tc>
          <w:tcPr>
            <w:tcW w:w="4077" w:type="dxa"/>
          </w:tcPr>
          <w:p w14:paraId="629F757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Войсковые испытания И7 М-17</w:t>
            </w:r>
          </w:p>
        </w:tc>
        <w:tc>
          <w:tcPr>
            <w:tcW w:w="1418" w:type="dxa"/>
          </w:tcPr>
          <w:p w14:paraId="1A6B49B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w:t>
            </w:r>
          </w:p>
          <w:p w14:paraId="20F82E1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6C0C700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1932 года</w:t>
            </w:r>
          </w:p>
        </w:tc>
        <w:tc>
          <w:tcPr>
            <w:tcW w:w="1276" w:type="dxa"/>
          </w:tcPr>
          <w:p w14:paraId="3431E62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поступил от пром-ти</w:t>
            </w:r>
          </w:p>
        </w:tc>
        <w:tc>
          <w:tcPr>
            <w:tcW w:w="1418" w:type="dxa"/>
          </w:tcPr>
          <w:p w14:paraId="79572F8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0C6FAD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62F7BFE6" w14:textId="77777777">
        <w:tc>
          <w:tcPr>
            <w:tcW w:w="4077" w:type="dxa"/>
          </w:tcPr>
          <w:p w14:paraId="62F9DEC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И-8 к-к</w:t>
            </w:r>
          </w:p>
        </w:tc>
        <w:tc>
          <w:tcPr>
            <w:tcW w:w="1418" w:type="dxa"/>
          </w:tcPr>
          <w:p w14:paraId="26E41CE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w:t>
            </w:r>
          </w:p>
          <w:p w14:paraId="1836CFD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09D0753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апреля 1932 года</w:t>
            </w:r>
          </w:p>
        </w:tc>
        <w:tc>
          <w:tcPr>
            <w:tcW w:w="1276" w:type="dxa"/>
          </w:tcPr>
          <w:p w14:paraId="1D2CF64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поступил от пром-ти</w:t>
            </w:r>
          </w:p>
        </w:tc>
        <w:tc>
          <w:tcPr>
            <w:tcW w:w="1418" w:type="dxa"/>
          </w:tcPr>
          <w:p w14:paraId="60F1BA7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48B66E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74207CB0" w14:textId="77777777">
        <w:tc>
          <w:tcPr>
            <w:tcW w:w="4077" w:type="dxa"/>
          </w:tcPr>
          <w:p w14:paraId="5589D0C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в серию эталона И5 М22 1932 года</w:t>
            </w:r>
          </w:p>
        </w:tc>
        <w:tc>
          <w:tcPr>
            <w:tcW w:w="1418" w:type="dxa"/>
          </w:tcPr>
          <w:p w14:paraId="231BC75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w:t>
            </w:r>
          </w:p>
          <w:p w14:paraId="7BBB85B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6406666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31марта</w:t>
            </w:r>
          </w:p>
          <w:p w14:paraId="6494111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1932 года </w:t>
            </w:r>
          </w:p>
        </w:tc>
        <w:tc>
          <w:tcPr>
            <w:tcW w:w="1276" w:type="dxa"/>
          </w:tcPr>
          <w:p w14:paraId="1F600FE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34F9A8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FE876C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54CE211" w14:textId="77777777">
        <w:tc>
          <w:tcPr>
            <w:tcW w:w="4077" w:type="dxa"/>
          </w:tcPr>
          <w:p w14:paraId="1D5C5D1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Составление инструкции по эксплуатации И-7</w:t>
            </w:r>
          </w:p>
        </w:tc>
        <w:tc>
          <w:tcPr>
            <w:tcW w:w="1418" w:type="dxa"/>
          </w:tcPr>
          <w:p w14:paraId="7B6BACE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1932 года</w:t>
            </w:r>
          </w:p>
        </w:tc>
        <w:tc>
          <w:tcPr>
            <w:tcW w:w="1417" w:type="dxa"/>
          </w:tcPr>
          <w:p w14:paraId="6CD4A4D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w:t>
            </w:r>
          </w:p>
          <w:p w14:paraId="34C5537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11205B2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1555C8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2CB88D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0B1AF955" w14:textId="77777777">
        <w:tc>
          <w:tcPr>
            <w:tcW w:w="4077" w:type="dxa"/>
          </w:tcPr>
          <w:p w14:paraId="618970B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Р5 М17 эталон 1932 года</w:t>
            </w:r>
          </w:p>
        </w:tc>
        <w:tc>
          <w:tcPr>
            <w:tcW w:w="1418" w:type="dxa"/>
          </w:tcPr>
          <w:p w14:paraId="70B6858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52CA25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1932 года</w:t>
            </w:r>
          </w:p>
        </w:tc>
        <w:tc>
          <w:tcPr>
            <w:tcW w:w="1276" w:type="dxa"/>
          </w:tcPr>
          <w:p w14:paraId="3C5BF26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1931 года</w:t>
            </w:r>
          </w:p>
        </w:tc>
        <w:tc>
          <w:tcPr>
            <w:tcW w:w="1418" w:type="dxa"/>
          </w:tcPr>
          <w:p w14:paraId="2E6EAE8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февраля 1932 года</w:t>
            </w:r>
          </w:p>
        </w:tc>
        <w:tc>
          <w:tcPr>
            <w:tcW w:w="991" w:type="dxa"/>
          </w:tcPr>
          <w:p w14:paraId="672B81A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AB2E40B" w14:textId="77777777">
        <w:tc>
          <w:tcPr>
            <w:tcW w:w="4077" w:type="dxa"/>
          </w:tcPr>
          <w:p w14:paraId="24DBF4C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Р5 М17 с разрезным крылом</w:t>
            </w:r>
          </w:p>
        </w:tc>
        <w:tc>
          <w:tcPr>
            <w:tcW w:w="1418" w:type="dxa"/>
          </w:tcPr>
          <w:p w14:paraId="254ACB1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января</w:t>
            </w:r>
          </w:p>
          <w:p w14:paraId="415E05C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4F11582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февраля 1932 года</w:t>
            </w:r>
          </w:p>
        </w:tc>
        <w:tc>
          <w:tcPr>
            <w:tcW w:w="1276" w:type="dxa"/>
          </w:tcPr>
          <w:p w14:paraId="676F790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w:t>
            </w:r>
          </w:p>
          <w:p w14:paraId="3A81F4F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8" w:type="dxa"/>
          </w:tcPr>
          <w:p w14:paraId="269FFDF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июля</w:t>
            </w:r>
          </w:p>
          <w:p w14:paraId="62DE390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991" w:type="dxa"/>
          </w:tcPr>
          <w:p w14:paraId="023EB50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637BF3A0" w14:textId="77777777">
        <w:tc>
          <w:tcPr>
            <w:tcW w:w="4077" w:type="dxa"/>
          </w:tcPr>
          <w:p w14:paraId="7BE35D6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ТШ2 М17</w:t>
            </w:r>
          </w:p>
        </w:tc>
        <w:tc>
          <w:tcPr>
            <w:tcW w:w="1418" w:type="dxa"/>
          </w:tcPr>
          <w:p w14:paraId="5C8410D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w:t>
            </w:r>
          </w:p>
          <w:p w14:paraId="5187C84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611B050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w:t>
            </w:r>
          </w:p>
          <w:p w14:paraId="649D21C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7B25C4A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2F53F8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Испыт. Прерваны ввиду неисправн. Винтомоторн. Группы </w:t>
            </w:r>
          </w:p>
        </w:tc>
        <w:tc>
          <w:tcPr>
            <w:tcW w:w="991" w:type="dxa"/>
          </w:tcPr>
          <w:p w14:paraId="4594408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r>
      <w:tr w:rsidR="004E10C1" w:rsidRPr="0044524F" w14:paraId="4D127F5E" w14:textId="77777777">
        <w:tc>
          <w:tcPr>
            <w:tcW w:w="4077" w:type="dxa"/>
          </w:tcPr>
          <w:p w14:paraId="253E1BA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АНТ9 М26 вооружен. вариант</w:t>
            </w:r>
          </w:p>
        </w:tc>
        <w:tc>
          <w:tcPr>
            <w:tcW w:w="1418" w:type="dxa"/>
          </w:tcPr>
          <w:p w14:paraId="5AB7263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w:t>
            </w:r>
          </w:p>
          <w:p w14:paraId="3F42CCD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00B88C4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w:t>
            </w:r>
          </w:p>
          <w:p w14:paraId="42E945A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0A22A9D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EDA273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21F7D3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1425A729" w14:textId="77777777">
        <w:tc>
          <w:tcPr>
            <w:tcW w:w="4077" w:type="dxa"/>
          </w:tcPr>
          <w:p w14:paraId="59AD065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К5 М15 вооружен. вариант</w:t>
            </w:r>
          </w:p>
        </w:tc>
        <w:tc>
          <w:tcPr>
            <w:tcW w:w="1418" w:type="dxa"/>
          </w:tcPr>
          <w:p w14:paraId="5DD87B7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1932 года</w:t>
            </w:r>
          </w:p>
        </w:tc>
        <w:tc>
          <w:tcPr>
            <w:tcW w:w="1417" w:type="dxa"/>
          </w:tcPr>
          <w:p w14:paraId="550456F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w:t>
            </w:r>
          </w:p>
          <w:p w14:paraId="228A504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2F366CE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5FC2A0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5E598D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6BA02903" w14:textId="77777777">
        <w:tc>
          <w:tcPr>
            <w:tcW w:w="4077" w:type="dxa"/>
          </w:tcPr>
          <w:p w14:paraId="038A79B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Составление инструкции по эксплуатации Р5 М17</w:t>
            </w:r>
          </w:p>
        </w:tc>
        <w:tc>
          <w:tcPr>
            <w:tcW w:w="1418" w:type="dxa"/>
          </w:tcPr>
          <w:p w14:paraId="726BD5D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w:t>
            </w:r>
          </w:p>
          <w:p w14:paraId="2DF8799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305C9A4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w:t>
            </w:r>
          </w:p>
          <w:p w14:paraId="6B9841A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4B1BA10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DFD38A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w:t>
            </w:r>
          </w:p>
          <w:p w14:paraId="767401F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991" w:type="dxa"/>
          </w:tcPr>
          <w:p w14:paraId="5B7D292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27A59E0D" w14:textId="77777777">
        <w:tc>
          <w:tcPr>
            <w:tcW w:w="4077" w:type="dxa"/>
          </w:tcPr>
          <w:p w14:paraId="7A52373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Р6 2М17 эталон 1932 года</w:t>
            </w:r>
          </w:p>
        </w:tc>
        <w:tc>
          <w:tcPr>
            <w:tcW w:w="1418" w:type="dxa"/>
          </w:tcPr>
          <w:p w14:paraId="3F1E601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w:t>
            </w:r>
          </w:p>
          <w:p w14:paraId="0B5994C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06AE174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1932 года</w:t>
            </w:r>
          </w:p>
        </w:tc>
        <w:tc>
          <w:tcPr>
            <w:tcW w:w="1276" w:type="dxa"/>
          </w:tcPr>
          <w:p w14:paraId="5FC0997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января</w:t>
            </w:r>
          </w:p>
          <w:p w14:paraId="7ACD83A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8" w:type="dxa"/>
          </w:tcPr>
          <w:p w14:paraId="393FF0A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апрель</w:t>
            </w:r>
          </w:p>
          <w:p w14:paraId="64FF70C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991" w:type="dxa"/>
          </w:tcPr>
          <w:p w14:paraId="3695B09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1CE43511" w14:textId="77777777">
        <w:tc>
          <w:tcPr>
            <w:tcW w:w="4077" w:type="dxa"/>
          </w:tcPr>
          <w:p w14:paraId="17AD2DD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постройка самолета «Звено»</w:t>
            </w:r>
          </w:p>
        </w:tc>
        <w:tc>
          <w:tcPr>
            <w:tcW w:w="1418" w:type="dxa"/>
          </w:tcPr>
          <w:p w14:paraId="69C4782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14180D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марта</w:t>
            </w:r>
          </w:p>
          <w:p w14:paraId="38F7FBA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1C7D860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68B0D3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F86AE9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4F24A2F3" w14:textId="77777777">
        <w:tc>
          <w:tcPr>
            <w:tcW w:w="4077" w:type="dxa"/>
          </w:tcPr>
          <w:p w14:paraId="79D483C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Войсковые испытания Р6-2М17</w:t>
            </w:r>
          </w:p>
        </w:tc>
        <w:tc>
          <w:tcPr>
            <w:tcW w:w="1418" w:type="dxa"/>
          </w:tcPr>
          <w:p w14:paraId="68D112E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февраля 1932 года</w:t>
            </w:r>
          </w:p>
        </w:tc>
        <w:tc>
          <w:tcPr>
            <w:tcW w:w="1417" w:type="dxa"/>
          </w:tcPr>
          <w:p w14:paraId="37CF3A6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w:t>
            </w:r>
          </w:p>
          <w:p w14:paraId="24005F6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3D57DD8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отменены начальником ВВС</w:t>
            </w:r>
          </w:p>
        </w:tc>
        <w:tc>
          <w:tcPr>
            <w:tcW w:w="1418" w:type="dxa"/>
          </w:tcPr>
          <w:p w14:paraId="6EDAADA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645CF0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147B7FE0" w14:textId="77777777">
        <w:tc>
          <w:tcPr>
            <w:tcW w:w="4077" w:type="dxa"/>
          </w:tcPr>
          <w:p w14:paraId="4B8C28D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Составление инструкции по эксплуатации Р6-М17</w:t>
            </w:r>
          </w:p>
        </w:tc>
        <w:tc>
          <w:tcPr>
            <w:tcW w:w="1418" w:type="dxa"/>
          </w:tcPr>
          <w:p w14:paraId="5B07441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w:t>
            </w:r>
          </w:p>
          <w:p w14:paraId="40CB7EC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59CC0F2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февраля 1932 года</w:t>
            </w:r>
          </w:p>
        </w:tc>
        <w:tc>
          <w:tcPr>
            <w:tcW w:w="1276" w:type="dxa"/>
          </w:tcPr>
          <w:p w14:paraId="046F44F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BB53E6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327AF4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6A83E72C" w14:textId="77777777">
        <w:tc>
          <w:tcPr>
            <w:tcW w:w="4077" w:type="dxa"/>
          </w:tcPr>
          <w:p w14:paraId="60E5626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Совместные испытания АНТ-14</w:t>
            </w:r>
          </w:p>
        </w:tc>
        <w:tc>
          <w:tcPr>
            <w:tcW w:w="1418" w:type="dxa"/>
          </w:tcPr>
          <w:p w14:paraId="5AFC114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Январь</w:t>
            </w:r>
          </w:p>
          <w:p w14:paraId="1330D70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53B5B40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Март</w:t>
            </w:r>
          </w:p>
          <w:p w14:paraId="7CC963B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55041DA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9F2815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75888C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CBC5B0B" w14:textId="77777777">
        <w:tc>
          <w:tcPr>
            <w:tcW w:w="4077" w:type="dxa"/>
          </w:tcPr>
          <w:p w14:paraId="61487B9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самолета И12</w:t>
            </w:r>
          </w:p>
        </w:tc>
        <w:tc>
          <w:tcPr>
            <w:tcW w:w="1418" w:type="dxa"/>
          </w:tcPr>
          <w:p w14:paraId="34BB472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1932 года</w:t>
            </w:r>
          </w:p>
        </w:tc>
        <w:tc>
          <w:tcPr>
            <w:tcW w:w="1417" w:type="dxa"/>
          </w:tcPr>
          <w:p w14:paraId="0FA6369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w:t>
            </w:r>
          </w:p>
          <w:p w14:paraId="7689A70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19DAC09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81C430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вышел из строя</w:t>
            </w:r>
          </w:p>
        </w:tc>
        <w:tc>
          <w:tcPr>
            <w:tcW w:w="991" w:type="dxa"/>
          </w:tcPr>
          <w:p w14:paraId="6F44C81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47A729C6" w14:textId="77777777">
        <w:tc>
          <w:tcPr>
            <w:tcW w:w="4077" w:type="dxa"/>
          </w:tcPr>
          <w:p w14:paraId="20FD7C4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самолета ДИ4-КК</w:t>
            </w:r>
          </w:p>
        </w:tc>
        <w:tc>
          <w:tcPr>
            <w:tcW w:w="1418" w:type="dxa"/>
          </w:tcPr>
          <w:p w14:paraId="3794997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января</w:t>
            </w:r>
          </w:p>
          <w:p w14:paraId="5AD11C0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232C837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1932 года</w:t>
            </w:r>
          </w:p>
        </w:tc>
        <w:tc>
          <w:tcPr>
            <w:tcW w:w="1276" w:type="dxa"/>
          </w:tcPr>
          <w:p w14:paraId="7DBD61E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561885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поступил от пром-ти провод. Совместно</w:t>
            </w:r>
          </w:p>
        </w:tc>
        <w:tc>
          <w:tcPr>
            <w:tcW w:w="991" w:type="dxa"/>
          </w:tcPr>
          <w:p w14:paraId="69B7B4F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7EC598EE" w14:textId="77777777">
        <w:tc>
          <w:tcPr>
            <w:tcW w:w="4077" w:type="dxa"/>
          </w:tcPr>
          <w:p w14:paraId="72FA5EE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головного серийного ТБ-3-4М17</w:t>
            </w:r>
          </w:p>
        </w:tc>
        <w:tc>
          <w:tcPr>
            <w:tcW w:w="1418" w:type="dxa"/>
          </w:tcPr>
          <w:p w14:paraId="0A18ADA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CB77D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апреля</w:t>
            </w:r>
          </w:p>
          <w:p w14:paraId="6BC0B96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5B95D06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D67EDF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апреля</w:t>
            </w:r>
          </w:p>
          <w:p w14:paraId="3721A0B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p w14:paraId="20200B0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прервано катастрофой</w:t>
            </w:r>
          </w:p>
        </w:tc>
        <w:tc>
          <w:tcPr>
            <w:tcW w:w="991" w:type="dxa"/>
          </w:tcPr>
          <w:p w14:paraId="08534D3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r>
      <w:tr w:rsidR="004E10C1" w:rsidRPr="0044524F" w14:paraId="76087912" w14:textId="77777777">
        <w:tc>
          <w:tcPr>
            <w:tcW w:w="4077" w:type="dxa"/>
          </w:tcPr>
          <w:p w14:paraId="7D88E8E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самолета И-Z</w:t>
            </w:r>
          </w:p>
        </w:tc>
        <w:tc>
          <w:tcPr>
            <w:tcW w:w="1418" w:type="dxa"/>
          </w:tcPr>
          <w:p w14:paraId="085AFAD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5561B1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w:t>
            </w:r>
          </w:p>
          <w:p w14:paraId="735A2D6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658C9F6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ECC54A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FD7D4B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24966AD1" w14:textId="77777777">
        <w:tc>
          <w:tcPr>
            <w:tcW w:w="4077" w:type="dxa"/>
          </w:tcPr>
          <w:p w14:paraId="3E19ACC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в серию эталона Р5-М17</w:t>
            </w:r>
          </w:p>
        </w:tc>
        <w:tc>
          <w:tcPr>
            <w:tcW w:w="1418" w:type="dxa"/>
          </w:tcPr>
          <w:p w14:paraId="7A058D2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апрель</w:t>
            </w:r>
          </w:p>
          <w:p w14:paraId="4205FD7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7AD9C3D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июнь</w:t>
            </w:r>
          </w:p>
          <w:p w14:paraId="0F3A70B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5001CD4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02DFA1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Ноябрь</w:t>
            </w:r>
          </w:p>
          <w:p w14:paraId="2EE0D6A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991" w:type="dxa"/>
          </w:tcPr>
          <w:p w14:paraId="0298378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16D90A2B" w14:textId="77777777">
        <w:tc>
          <w:tcPr>
            <w:tcW w:w="4077" w:type="dxa"/>
          </w:tcPr>
          <w:p w14:paraId="398C9FA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в серию эталона И-Z</w:t>
            </w:r>
          </w:p>
        </w:tc>
        <w:tc>
          <w:tcPr>
            <w:tcW w:w="1418" w:type="dxa"/>
          </w:tcPr>
          <w:p w14:paraId="62D6B93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8B649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89FD6B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6FE0C9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Декабрь</w:t>
            </w:r>
          </w:p>
          <w:p w14:paraId="1B35E75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p w14:paraId="7DF85F9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Незакончена отладка вооружения</w:t>
            </w:r>
          </w:p>
        </w:tc>
        <w:tc>
          <w:tcPr>
            <w:tcW w:w="991" w:type="dxa"/>
          </w:tcPr>
          <w:p w14:paraId="3C795C5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r>
      <w:tr w:rsidR="004E10C1" w:rsidRPr="0044524F" w14:paraId="7BC33775" w14:textId="77777777">
        <w:tc>
          <w:tcPr>
            <w:tcW w:w="4077" w:type="dxa"/>
          </w:tcPr>
          <w:p w14:paraId="1F67D7C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 дальность Р5-М17</w:t>
            </w:r>
          </w:p>
        </w:tc>
        <w:tc>
          <w:tcPr>
            <w:tcW w:w="1418" w:type="dxa"/>
          </w:tcPr>
          <w:p w14:paraId="6DCEDEE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апрель</w:t>
            </w:r>
          </w:p>
          <w:p w14:paraId="344A921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2BD4844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май</w:t>
            </w:r>
          </w:p>
          <w:p w14:paraId="12E4846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63B7EB4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мая</w:t>
            </w:r>
          </w:p>
          <w:p w14:paraId="21CA2C2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8" w:type="dxa"/>
          </w:tcPr>
          <w:p w14:paraId="640BDB4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июня</w:t>
            </w:r>
          </w:p>
          <w:p w14:paraId="35E9401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991" w:type="dxa"/>
          </w:tcPr>
          <w:p w14:paraId="504B81E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5E93254B" w14:textId="77777777">
        <w:tc>
          <w:tcPr>
            <w:tcW w:w="4077" w:type="dxa"/>
          </w:tcPr>
          <w:p w14:paraId="0B337AB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в серию ТШ3 М17</w:t>
            </w:r>
          </w:p>
        </w:tc>
        <w:tc>
          <w:tcPr>
            <w:tcW w:w="1418" w:type="dxa"/>
          </w:tcPr>
          <w:p w14:paraId="50F7980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8FD3F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9C407B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068046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поступил от пром-ти</w:t>
            </w:r>
          </w:p>
        </w:tc>
        <w:tc>
          <w:tcPr>
            <w:tcW w:w="991" w:type="dxa"/>
          </w:tcPr>
          <w:p w14:paraId="217D4A2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325DB178" w14:textId="77777777">
        <w:tc>
          <w:tcPr>
            <w:tcW w:w="4077" w:type="dxa"/>
          </w:tcPr>
          <w:p w14:paraId="4E0A87A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Составление инструкции по ТШ2</w:t>
            </w:r>
          </w:p>
        </w:tc>
        <w:tc>
          <w:tcPr>
            <w:tcW w:w="1418" w:type="dxa"/>
          </w:tcPr>
          <w:p w14:paraId="0502467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35528C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50B32D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9A9367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поступил от пром-ти</w:t>
            </w:r>
          </w:p>
        </w:tc>
        <w:tc>
          <w:tcPr>
            <w:tcW w:w="991" w:type="dxa"/>
          </w:tcPr>
          <w:p w14:paraId="3B9A87E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0DB70ED4" w14:textId="77777777">
        <w:tc>
          <w:tcPr>
            <w:tcW w:w="4077" w:type="dxa"/>
          </w:tcPr>
          <w:p w14:paraId="4F6E13A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Внедрение в серию эталона Р6</w:t>
            </w:r>
          </w:p>
        </w:tc>
        <w:tc>
          <w:tcPr>
            <w:tcW w:w="1418" w:type="dxa"/>
          </w:tcPr>
          <w:p w14:paraId="4CF5877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25B0C9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FDE7D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CB358A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переброшена на завод № 31</w:t>
            </w:r>
          </w:p>
        </w:tc>
        <w:tc>
          <w:tcPr>
            <w:tcW w:w="991" w:type="dxa"/>
          </w:tcPr>
          <w:p w14:paraId="275BF44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r>
      <w:tr w:rsidR="004E10C1" w:rsidRPr="0044524F" w14:paraId="2B44B233" w14:textId="77777777">
        <w:tc>
          <w:tcPr>
            <w:tcW w:w="4077" w:type="dxa"/>
          </w:tcPr>
          <w:p w14:paraId="42C095F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в серию эталона ТБ3 4М17</w:t>
            </w:r>
          </w:p>
        </w:tc>
        <w:tc>
          <w:tcPr>
            <w:tcW w:w="1418" w:type="dxa"/>
          </w:tcPr>
          <w:p w14:paraId="7146BC8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BAD0D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6EBC86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E74565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020F43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153EE35B" w14:textId="77777777">
        <w:tc>
          <w:tcPr>
            <w:tcW w:w="4077" w:type="dxa"/>
          </w:tcPr>
          <w:p w14:paraId="0575236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самолета «Звено»</w:t>
            </w:r>
          </w:p>
        </w:tc>
        <w:tc>
          <w:tcPr>
            <w:tcW w:w="1418" w:type="dxa"/>
          </w:tcPr>
          <w:p w14:paraId="79DCB85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w:t>
            </w:r>
          </w:p>
          <w:p w14:paraId="239957E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7" w:type="dxa"/>
          </w:tcPr>
          <w:p w14:paraId="4CCDC82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w:t>
            </w:r>
          </w:p>
          <w:p w14:paraId="0D836EF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0644861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DD91F7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w:t>
            </w:r>
          </w:p>
          <w:p w14:paraId="5D97C18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991" w:type="dxa"/>
          </w:tcPr>
          <w:p w14:paraId="21E97BC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7B0B169" w14:textId="77777777">
        <w:tc>
          <w:tcPr>
            <w:tcW w:w="4077" w:type="dxa"/>
          </w:tcPr>
          <w:p w14:paraId="28A4CDE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ракет. взлета ТБ1</w:t>
            </w:r>
          </w:p>
        </w:tc>
        <w:tc>
          <w:tcPr>
            <w:tcW w:w="1418" w:type="dxa"/>
          </w:tcPr>
          <w:p w14:paraId="557C31C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17" w:type="dxa"/>
          </w:tcPr>
          <w:p w14:paraId="188F23E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апрель</w:t>
            </w:r>
          </w:p>
          <w:p w14:paraId="4660D84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276" w:type="dxa"/>
          </w:tcPr>
          <w:p w14:paraId="0C566F6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AFC275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67F2B6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2D86AACB" w14:textId="77777777">
        <w:tc>
          <w:tcPr>
            <w:tcW w:w="4077" w:type="dxa"/>
          </w:tcPr>
          <w:p w14:paraId="1092DC5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 дальность ТБ1</w:t>
            </w:r>
          </w:p>
        </w:tc>
        <w:tc>
          <w:tcPr>
            <w:tcW w:w="1418" w:type="dxa"/>
          </w:tcPr>
          <w:p w14:paraId="6D1ADAB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A46007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A8CA87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июня</w:t>
            </w:r>
          </w:p>
          <w:p w14:paraId="7128229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8" w:type="dxa"/>
          </w:tcPr>
          <w:p w14:paraId="2BC3E5A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июня</w:t>
            </w:r>
          </w:p>
          <w:p w14:paraId="154D253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991" w:type="dxa"/>
          </w:tcPr>
          <w:p w14:paraId="4B9851C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79C09D85" w14:textId="77777777">
        <w:tc>
          <w:tcPr>
            <w:tcW w:w="4077" w:type="dxa"/>
          </w:tcPr>
          <w:p w14:paraId="2253039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И5 на штопор</w:t>
            </w:r>
          </w:p>
        </w:tc>
        <w:tc>
          <w:tcPr>
            <w:tcW w:w="1418" w:type="dxa"/>
          </w:tcPr>
          <w:p w14:paraId="65BE7E0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7F5537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8EF6C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9E439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E9448F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7B03ED9D" w14:textId="77777777">
        <w:tc>
          <w:tcPr>
            <w:tcW w:w="4077" w:type="dxa"/>
          </w:tcPr>
          <w:p w14:paraId="6D67FD7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 пикирование и составление инструкции на Р-5</w:t>
            </w:r>
          </w:p>
        </w:tc>
        <w:tc>
          <w:tcPr>
            <w:tcW w:w="1418" w:type="dxa"/>
          </w:tcPr>
          <w:p w14:paraId="497290E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B2E827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2506CD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26D65B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9E46BA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24F310D6" w14:textId="77777777">
        <w:tc>
          <w:tcPr>
            <w:tcW w:w="4077" w:type="dxa"/>
          </w:tcPr>
          <w:p w14:paraId="60BFA67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 пикирование и составление инструкции на Р-1</w:t>
            </w:r>
          </w:p>
        </w:tc>
        <w:tc>
          <w:tcPr>
            <w:tcW w:w="1418" w:type="dxa"/>
          </w:tcPr>
          <w:p w14:paraId="3361AB4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4F37A6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BACD96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11D1F8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54F797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553BDEFC" w14:textId="77777777">
        <w:tc>
          <w:tcPr>
            <w:tcW w:w="4077" w:type="dxa"/>
          </w:tcPr>
          <w:p w14:paraId="1BD9B65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 пикирование и составление инструкции на Р-6</w:t>
            </w:r>
          </w:p>
        </w:tc>
        <w:tc>
          <w:tcPr>
            <w:tcW w:w="1418" w:type="dxa"/>
          </w:tcPr>
          <w:p w14:paraId="0A34DDD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92FE18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CEB5F5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CB4828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3FFBE8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2B82383" w14:textId="77777777">
        <w:tc>
          <w:tcPr>
            <w:tcW w:w="4077" w:type="dxa"/>
          </w:tcPr>
          <w:p w14:paraId="74E6430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 пикирование и составление инструкции на И-3</w:t>
            </w:r>
          </w:p>
        </w:tc>
        <w:tc>
          <w:tcPr>
            <w:tcW w:w="1418" w:type="dxa"/>
          </w:tcPr>
          <w:p w14:paraId="40A59F4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CDC7B3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170336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8705C9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99C0D5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987F6DF" w14:textId="77777777">
        <w:tc>
          <w:tcPr>
            <w:tcW w:w="4077" w:type="dxa"/>
          </w:tcPr>
          <w:p w14:paraId="5D3723D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 пикирование и составление инструкции на И-4</w:t>
            </w:r>
          </w:p>
        </w:tc>
        <w:tc>
          <w:tcPr>
            <w:tcW w:w="1418" w:type="dxa"/>
          </w:tcPr>
          <w:p w14:paraId="2765F0D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D5B29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D30103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7EAAF8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15D761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5C7BAD62" w14:textId="77777777">
        <w:tc>
          <w:tcPr>
            <w:tcW w:w="4077" w:type="dxa"/>
          </w:tcPr>
          <w:p w14:paraId="30168A6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 пикирование и составление инструкции на И-5</w:t>
            </w:r>
          </w:p>
        </w:tc>
        <w:tc>
          <w:tcPr>
            <w:tcW w:w="1418" w:type="dxa"/>
          </w:tcPr>
          <w:p w14:paraId="6BC9410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2D083A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45897D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5C5964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822073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79F874A8" w14:textId="77777777">
        <w:tc>
          <w:tcPr>
            <w:tcW w:w="4077" w:type="dxa"/>
          </w:tcPr>
          <w:p w14:paraId="0FB771B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Р5 на штопор при разных центровках</w:t>
            </w:r>
          </w:p>
        </w:tc>
        <w:tc>
          <w:tcPr>
            <w:tcW w:w="1418" w:type="dxa"/>
          </w:tcPr>
          <w:p w14:paraId="0B92C05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7E9A64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99D592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472C33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61B8649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75D3CF9E" w14:textId="77777777">
        <w:tc>
          <w:tcPr>
            <w:tcW w:w="4077" w:type="dxa"/>
          </w:tcPr>
          <w:p w14:paraId="4BA055E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санитарного самолета У2</w:t>
            </w:r>
          </w:p>
        </w:tc>
        <w:tc>
          <w:tcPr>
            <w:tcW w:w="1418" w:type="dxa"/>
          </w:tcPr>
          <w:p w14:paraId="610B748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82261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EFB883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w:t>
            </w:r>
          </w:p>
          <w:p w14:paraId="62A63DC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1418" w:type="dxa"/>
          </w:tcPr>
          <w:p w14:paraId="1E9C451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октября</w:t>
            </w:r>
          </w:p>
          <w:p w14:paraId="6C14839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года</w:t>
            </w:r>
          </w:p>
        </w:tc>
        <w:tc>
          <w:tcPr>
            <w:tcW w:w="991" w:type="dxa"/>
          </w:tcPr>
          <w:p w14:paraId="6A08FCB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2FCFF0B7" w14:textId="77777777">
        <w:tc>
          <w:tcPr>
            <w:tcW w:w="4077" w:type="dxa"/>
          </w:tcPr>
          <w:p w14:paraId="59D0EA1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ТБ1 с одним мотором и составление инструкций</w:t>
            </w:r>
          </w:p>
        </w:tc>
        <w:tc>
          <w:tcPr>
            <w:tcW w:w="1418" w:type="dxa"/>
          </w:tcPr>
          <w:p w14:paraId="3EB2555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80DFA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D108C2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EDD1AB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355DB6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24626FC7" w14:textId="77777777">
        <w:tc>
          <w:tcPr>
            <w:tcW w:w="4077" w:type="dxa"/>
          </w:tcPr>
          <w:p w14:paraId="5752699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буксировки планера У2 самолетом У2</w:t>
            </w:r>
          </w:p>
        </w:tc>
        <w:tc>
          <w:tcPr>
            <w:tcW w:w="1418" w:type="dxa"/>
          </w:tcPr>
          <w:p w14:paraId="0FA94F7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D59ABD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42258B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4B2E11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Испытание прекращено по технич. нецелесообр. </w:t>
            </w:r>
          </w:p>
        </w:tc>
        <w:tc>
          <w:tcPr>
            <w:tcW w:w="991" w:type="dxa"/>
          </w:tcPr>
          <w:p w14:paraId="6D71089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431D0B76" w14:textId="77777777">
        <w:tc>
          <w:tcPr>
            <w:tcW w:w="4077" w:type="dxa"/>
          </w:tcPr>
          <w:p w14:paraId="6F66FBA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Р6 на дальность</w:t>
            </w:r>
          </w:p>
        </w:tc>
        <w:tc>
          <w:tcPr>
            <w:tcW w:w="1418" w:type="dxa"/>
          </w:tcPr>
          <w:p w14:paraId="5CD252F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BC5F19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3D25DF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86A947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BCF19C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r>
      <w:tr w:rsidR="004E10C1" w:rsidRPr="0044524F" w14:paraId="1AA396EA" w14:textId="77777777">
        <w:tc>
          <w:tcPr>
            <w:tcW w:w="4077" w:type="dxa"/>
          </w:tcPr>
          <w:p w14:paraId="4C4D86B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выработке эталона на 1-ю половину 1933 года на самолете Р5</w:t>
            </w:r>
          </w:p>
        </w:tc>
        <w:tc>
          <w:tcPr>
            <w:tcW w:w="1418" w:type="dxa"/>
          </w:tcPr>
          <w:p w14:paraId="55369E1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B5C5A6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105378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102EFCA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75A01DC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0CA187D9" w14:textId="77777777">
        <w:tc>
          <w:tcPr>
            <w:tcW w:w="4077" w:type="dxa"/>
          </w:tcPr>
          <w:p w14:paraId="10E1624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выработке эталона на 1-ю половину 1933 года на самолете И5</w:t>
            </w:r>
          </w:p>
        </w:tc>
        <w:tc>
          <w:tcPr>
            <w:tcW w:w="1418" w:type="dxa"/>
          </w:tcPr>
          <w:p w14:paraId="318329E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FEAADE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91D3DF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1E02E6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060622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7ABCEA88" w14:textId="77777777">
        <w:tc>
          <w:tcPr>
            <w:tcW w:w="4077" w:type="dxa"/>
          </w:tcPr>
          <w:p w14:paraId="2BE54CF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выработке эталона на 1-ю половину 1933 года на самолете И7</w:t>
            </w:r>
          </w:p>
        </w:tc>
        <w:tc>
          <w:tcPr>
            <w:tcW w:w="1418" w:type="dxa"/>
          </w:tcPr>
          <w:p w14:paraId="16C6DD1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1B9FF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CD5A80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B9CFBE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078861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5845F74D" w14:textId="77777777">
        <w:tc>
          <w:tcPr>
            <w:tcW w:w="4077" w:type="dxa"/>
          </w:tcPr>
          <w:p w14:paraId="3C7E5CD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выработке эталона на 1-ю половину 1933 года на самолете ТБ3</w:t>
            </w:r>
          </w:p>
        </w:tc>
        <w:tc>
          <w:tcPr>
            <w:tcW w:w="1418" w:type="dxa"/>
          </w:tcPr>
          <w:p w14:paraId="56BD750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D40941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17D454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DD7FE0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23A0E5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F07593B" w14:textId="77777777">
        <w:tc>
          <w:tcPr>
            <w:tcW w:w="4077" w:type="dxa"/>
          </w:tcPr>
          <w:p w14:paraId="0F2D25E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выработке эталона на 1-ю половину 1933 года на самолете Р6</w:t>
            </w:r>
          </w:p>
        </w:tc>
        <w:tc>
          <w:tcPr>
            <w:tcW w:w="1418" w:type="dxa"/>
          </w:tcPr>
          <w:p w14:paraId="5214F6F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95299C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0E318ED"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340129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C150FA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2AB23383" w14:textId="77777777">
        <w:tc>
          <w:tcPr>
            <w:tcW w:w="4077" w:type="dxa"/>
          </w:tcPr>
          <w:p w14:paraId="17F7102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выработке эталона на 1-ю половину 1933 года на самолете У2</w:t>
            </w:r>
          </w:p>
        </w:tc>
        <w:tc>
          <w:tcPr>
            <w:tcW w:w="1418" w:type="dxa"/>
          </w:tcPr>
          <w:p w14:paraId="7C33EC0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EF2C16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1F265C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B38847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23FF54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1642B11" w14:textId="77777777">
        <w:tc>
          <w:tcPr>
            <w:tcW w:w="4077" w:type="dxa"/>
          </w:tcPr>
          <w:p w14:paraId="116EE65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эталона У2 на 1933 год</w:t>
            </w:r>
          </w:p>
        </w:tc>
        <w:tc>
          <w:tcPr>
            <w:tcW w:w="1418" w:type="dxa"/>
          </w:tcPr>
          <w:p w14:paraId="6687182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7B58E3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B1EBBB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514112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DE1FAE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078517E0" w14:textId="77777777">
        <w:tc>
          <w:tcPr>
            <w:tcW w:w="4077" w:type="dxa"/>
          </w:tcPr>
          <w:p w14:paraId="6AD5044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Р5 М34</w:t>
            </w:r>
          </w:p>
        </w:tc>
        <w:tc>
          <w:tcPr>
            <w:tcW w:w="1418" w:type="dxa"/>
          </w:tcPr>
          <w:p w14:paraId="09117D6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F054E1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99252A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D79996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поступил от пром-ти</w:t>
            </w:r>
          </w:p>
        </w:tc>
        <w:tc>
          <w:tcPr>
            <w:tcW w:w="991" w:type="dxa"/>
          </w:tcPr>
          <w:p w14:paraId="4CFFAC6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7717A9D5" w14:textId="77777777">
        <w:tc>
          <w:tcPr>
            <w:tcW w:w="4077" w:type="dxa"/>
          </w:tcPr>
          <w:p w14:paraId="17F1B1E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Совместно с НИИ ГУГВФ испытания АНТ-9 2М17</w:t>
            </w:r>
          </w:p>
        </w:tc>
        <w:tc>
          <w:tcPr>
            <w:tcW w:w="1418" w:type="dxa"/>
          </w:tcPr>
          <w:p w14:paraId="2E4300B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B7EB0B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64D2BB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993459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21E2064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r>
      <w:tr w:rsidR="004E10C1" w:rsidRPr="0044524F" w14:paraId="372C8F5B" w14:textId="77777777">
        <w:tc>
          <w:tcPr>
            <w:tcW w:w="4077" w:type="dxa"/>
          </w:tcPr>
          <w:p w14:paraId="61DB3AA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легкого самолета НИАИ-1</w:t>
            </w:r>
          </w:p>
        </w:tc>
        <w:tc>
          <w:tcPr>
            <w:tcW w:w="1418" w:type="dxa"/>
          </w:tcPr>
          <w:p w14:paraId="3264FBD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71E60A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36E3EE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76F2CA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4F10161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47FF0967" w14:textId="77777777">
        <w:tc>
          <w:tcPr>
            <w:tcW w:w="4077" w:type="dxa"/>
          </w:tcPr>
          <w:p w14:paraId="43845A7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буксир. планера ТБ3 самолета Р5</w:t>
            </w:r>
          </w:p>
        </w:tc>
        <w:tc>
          <w:tcPr>
            <w:tcW w:w="1418" w:type="dxa"/>
          </w:tcPr>
          <w:p w14:paraId="478F8137"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75CE9B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27F811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08897F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3339B5C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55118EB1" w14:textId="77777777">
        <w:tc>
          <w:tcPr>
            <w:tcW w:w="4077" w:type="dxa"/>
          </w:tcPr>
          <w:p w14:paraId="1E188F2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ТБ3-4М17 головного серийного завода № 39</w:t>
            </w:r>
          </w:p>
        </w:tc>
        <w:tc>
          <w:tcPr>
            <w:tcW w:w="1418" w:type="dxa"/>
          </w:tcPr>
          <w:p w14:paraId="2F38CA1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0ADEF6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BC5555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671901"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1A3742F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4B7ECA72" w14:textId="77777777">
        <w:tc>
          <w:tcPr>
            <w:tcW w:w="4077" w:type="dxa"/>
          </w:tcPr>
          <w:p w14:paraId="1D9C11A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автожира с титан.</w:t>
            </w:r>
          </w:p>
        </w:tc>
        <w:tc>
          <w:tcPr>
            <w:tcW w:w="1418" w:type="dxa"/>
          </w:tcPr>
          <w:p w14:paraId="075D854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9CF310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C9824B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43C57E8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0A932F0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r>
      <w:tr w:rsidR="004E10C1" w:rsidRPr="0044524F" w14:paraId="63EA319C" w14:textId="77777777">
        <w:tc>
          <w:tcPr>
            <w:tcW w:w="4077" w:type="dxa"/>
          </w:tcPr>
          <w:p w14:paraId="5A296123"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автожира с М26</w:t>
            </w:r>
          </w:p>
        </w:tc>
        <w:tc>
          <w:tcPr>
            <w:tcW w:w="1418" w:type="dxa"/>
          </w:tcPr>
          <w:p w14:paraId="008060D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1106BA"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03C04D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9933175"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EDD1E8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0366B80F" w14:textId="77777777">
        <w:tc>
          <w:tcPr>
            <w:tcW w:w="4077" w:type="dxa"/>
          </w:tcPr>
          <w:p w14:paraId="2A7E097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параболы</w:t>
            </w:r>
          </w:p>
        </w:tc>
        <w:tc>
          <w:tcPr>
            <w:tcW w:w="1418" w:type="dxa"/>
          </w:tcPr>
          <w:p w14:paraId="403DBAE6"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B37EAE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B3ADE6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C74053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79F9E8D9"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r w:rsidR="004E10C1" w:rsidRPr="0044524F" w14:paraId="23A71DED" w14:textId="77777777">
        <w:tc>
          <w:tcPr>
            <w:tcW w:w="4077" w:type="dxa"/>
          </w:tcPr>
          <w:p w14:paraId="16AFC83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геликоптера ВГ1</w:t>
            </w:r>
          </w:p>
        </w:tc>
        <w:tc>
          <w:tcPr>
            <w:tcW w:w="1418" w:type="dxa"/>
          </w:tcPr>
          <w:p w14:paraId="70A13C6C"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497F5E4"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4C11302"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E02EBD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991" w:type="dxa"/>
          </w:tcPr>
          <w:p w14:paraId="511EBF8B"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bl>
    <w:p w14:paraId="5D33CC30"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(6778).</w:t>
      </w:r>
    </w:p>
    <w:p w14:paraId="272D2508"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F26459" w14:textId="77777777" w:rsidR="00D858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30065E7" w14:textId="77777777" w:rsidR="00D8588A" w:rsidRPr="0044524F" w:rsidRDefault="00D858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15211E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января 1933 года РВС СССР приказом № 02 за подписью М.Н.Тухачевского преобразовал лабораторию ВВСЛ в Военный научно-медицинский институт РККА (ВМИ) с подчинением его ВСУ. В основном институт был ориентирован на решение оборонительных задач биологической войны: 1) разработку научных вопросов создания средств защиты от бактериологического нападения; 2) разработку и организацию производства сывороток и вакцин, необходимых для профилактических работ в РККА). </w:t>
      </w:r>
    </w:p>
    <w:p w14:paraId="3485B39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Следует подчеркнуть, что конкурентные отношения двух военных ведомств (ВОХИМУ и ВСУ) за лидерское место в военно-биологической области отражали объективную реальность. Фактически речь шла о том, что именно закладывать в фундамент работ - наступательную или оборонительную составляющую биологической войны. На том этапе "победили химики", изначально выступавшие за наступательную ориентацию работ и уже добившиеся серьезных результатов в создании рецептур биологического оружия. </w:t>
      </w:r>
    </w:p>
    <w:p w14:paraId="08479E8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3E9A098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366D0B8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1060722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конце лета 1934 года решением наркома К.Е.Ворошилова ВМИ РККА был передан из ВСУ в ведение ВОХИМУ с переориентацией главным образом на решение наступательных задач биологической войны. Осенью 1934 года эта организация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5F07B41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5945DC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67DE4E1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Осенью 1934 года ВМИ уже под названием Биохимического института РККА (БИХИ; в переписке - в/ч 1094) получила более четкие задачи - разработку биологического оружия с параллельным созданием соответствующих средств защиты Красной Армии от оружия "вероятного противника". Начальником института остался И.М.Великанов. </w:t>
      </w:r>
    </w:p>
    <w:p w14:paraId="5666CE6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Изменение профиля потребовало специального образования работников БИХИ. Оно проходило параллельно с их работой - на организованных в декабре 1934 года шестимесячных курсах в Военно-химической академии. </w:t>
      </w:r>
    </w:p>
    <w:p w14:paraId="41091D89"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реорганизации была проведена серьезная смена кадров института. В частности, именно тогда состоялся перевод во Власиху из Суздаля большой группы специалистов по созданию новых форм биологического оружия, а ее руководитель Е.И.Демиховский стал заместителем начальника БИХИ (11776).</w:t>
      </w:r>
    </w:p>
    <w:p w14:paraId="15BEDBA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10 марта 1937 приказом наркома обороны К.Е.Ворошилова № 0012 военно-биологический институт (к этому времени он обрел новое название - БИТИ, то есть Биотехнический институт) был изъят из ведения ХИМУ РККА и подчинен непосредственно начальнику вооружений. </w:t>
      </w:r>
    </w:p>
    <w:p w14:paraId="55FC4E3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тому времени в БИТИ уже было создано несколько эффективных образцов биологического оружия. </w:t>
      </w:r>
    </w:p>
    <w:p w14:paraId="4B51333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Остается добавить, что в 1937 году в силу известных обстоятельств с горизонта исчезли и все руководители, боровшиеся между собой за лидерство в разработках биологического оружия, - глава БИТИ И.М.Великанов, а также главы ХИМУ и ВСУ РККА Я.М.Фишман и М.И.Баранов (1888-1943). </w:t>
      </w:r>
    </w:p>
    <w:p w14:paraId="05270819"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Начальник ХИМУ Я.М.Фишман вплоть до самого ареста не терял надежду на возвращение контроля за военно-биологическими работами. Во всяком случае в одном из последних рукописных документов, который был подготовлен им 25 апреля 1937 года, однако так и не попал в руки машинистки для перепечатки (как раз в ту ночь его "взяли"), обе военно-биологических организации (и БИТИ, и III-я испытательная лаборатория) еще рассматривались им как учреждения ХИМУ. Однако после ареста Я.М.Фишмана новый руководитель М.И.Степанов уже не очень активно боролся за контроль над военно-биологической проблематикой. В самом начале 1938 года БИТИ полностью утратил связи с ХИМУ РККА. </w:t>
      </w:r>
    </w:p>
    <w:p w14:paraId="456E5A4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И.М.Великанов был арестован 5 июля 1937 года как "японский шпион" (предлог был - осенью 1934 года в качестве начальника БИХИ он в составе делегации из трех человек действительно побывал на международной конференции Красного Креста в Токио, руководителем той делегации был известный советский дипломат Раковский) и через 9 месяцев расстрелян в Бутырской тюрьме.</w:t>
      </w:r>
    </w:p>
    <w:p w14:paraId="3589722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БИТИ возглавил микробиолог Л.М.Хатеневер (1896-1948) (11776).</w:t>
      </w:r>
    </w:p>
    <w:p w14:paraId="74EC9296" w14:textId="77777777" w:rsidR="00D8588A" w:rsidRPr="0044524F" w:rsidRDefault="00D858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FFB326"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января 1933 г. приказом Реввоенсовета СССР № 02 за подписью М. Н. Тухачевского</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на базе Военной вакцинно-сывороточной лаборатории был создан Военный научный медицинский институт.</w:t>
      </w:r>
    </w:p>
    <w:p w14:paraId="5588A81C"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1934 г. институт переименовывают в Биохимический институт (БИХИ), а в 1937 г. – в Биотехнический институт (БИТИ).</w:t>
      </w:r>
    </w:p>
    <w:p w14:paraId="76A62099"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Руководил Военным институтом профессор И. М. Великанов. В 1934 г. он «по линии Красного Креста» ездил в командировку в Японию. В ночь на 6 июля 1937 г. Великанова арестовали и 8 апреля следующего года расстреляли. Ему инкриминировали шпионаж в пользу Японии.</w:t>
      </w:r>
    </w:p>
    <w:p w14:paraId="5E3D7309"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1937 г. институт переводят на остров Городомля где с 1935 г. работалалаборатория Противочумного института, в свою очередь созданная на острове Городомля в 1931 г. как Противоящурный институт. (25184).</w:t>
      </w:r>
    </w:p>
    <w:p w14:paraId="7672F802" w14:textId="77777777" w:rsidR="000B01C4" w:rsidRPr="00142305" w:rsidRDefault="000B01C4" w:rsidP="000B01C4">
      <w:pPr>
        <w:spacing w:after="0" w:line="240" w:lineRule="auto"/>
        <w:jc w:val="both"/>
        <w:rPr>
          <w:rFonts w:ascii="Times New Roman" w:hAnsi="Times New Roman"/>
          <w:color w:val="0070C0"/>
          <w:sz w:val="16"/>
          <w:szCs w:val="16"/>
        </w:rPr>
      </w:pPr>
    </w:p>
    <w:p w14:paraId="32C07795" w14:textId="77777777" w:rsidR="00D858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CB868F8" w14:textId="77777777" w:rsidR="00D8588A" w:rsidRPr="0044524F" w:rsidRDefault="00D858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99FC3C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января 1933 года в парижской газете "Возрождение" вспоминал невозвращенец, чиновник Госбанка СССР Янишевский:</w:t>
      </w:r>
    </w:p>
    <w:p w14:paraId="31260F9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Ленине всего раз 5-6 мы отправляли транспорты золота довольно крупными партиями. Один раз Красину было послано золота на 2 миллиона английских фунтов. Операции с золотом проводились по отдельной секретной книжке, лежавшей в несгораемом шкафу центральной кассы. Туда заносились на одной стороне продажа в кредит, примерно, "лондонскому Аркосу", берлинскому торгпредству, стокгольмскому торгпредству, а в дебет - "поступление от центральной кассы Госбанка".</w:t>
      </w:r>
    </w:p>
    <w:p w14:paraId="1C31087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1924 г. началась более или менее нормальная добыча золота на советских приисках, также и на концессии "Лена". Цифры добычи старались держать в секрете, но было известно, что едва удаётся добыть 30% против довоенной нормы. С этого же года начались усиленные отправки золота за границу. Особенно много шло в Германию.</w:t>
      </w:r>
    </w:p>
    <w:p w14:paraId="201DC92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 автоматически записывали по запискам, не принимая никакого участия в проверке прихода-расхода металла. Мы видели только, что золото тает. Бухгалтера по заказу политбюро составляли балансы; чем больше выпускалось бумажных червонцев из типографии, тем больше прибавлялось золота в обеспечительном фонде.</w:t>
      </w:r>
    </w:p>
    <w:p w14:paraId="31BB4299"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Балансы переводились на иностранные языки и рассылались заграничным корреспондентам, а те, конечно, верили каждой цифре. Некоторые корреспонденты, как английские, так и американские банкиры, наивно спрашивали, не найдёт ли Госбанк более целесообразным для укрепления своей валюты послать часть золотого запаса для хранения за границей. Мы отписывались как могли, а в душе смеялись над наивностью иностранных банкиров. </w:t>
      </w:r>
    </w:p>
    <w:p w14:paraId="77F6C87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1926 г. Шейнман уверял Сталина, что ему удастся провести котировку червонца на европейских и американских биржах, но настаивал на отправке золота в Нью-Йорк и Лондон хотя бы на 100 млн. руб. Сталин, как мне передавал член правления Госбанка Каценеленбаум Захар С., только иронизировал над Шенманом.</w:t>
      </w:r>
    </w:p>
    <w:p w14:paraId="517551C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три года - 1927, 1928 и 1929 - отправлено за границу на 390 млн. руб. золота.</w:t>
      </w:r>
    </w:p>
    <w:p w14:paraId="1CCE086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эти годы 90% золота отправлялось в адрес Рейхсбанка. Почти каждые две недели уходили огромные транспорты с золотом. Обычно эти операции проделывались по ночам, чтобы публика не видела, что российское золото везут за границу. Тут все чиновники поняли, что Сталин разматывает последние остатки российского золотого запаса.</w:t>
      </w:r>
    </w:p>
    <w:p w14:paraId="2724D5C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Однажды Каценеленбаум Захар С., проверявший расчёты с Рейхсбанком, сказал мне: "Вот, оказывается, мы нашим золотом спасаем немецкую валюту. Какое же ещё другое государство будет платить золотом за машины и другие изделия, которые все покупают в долгосрочный кредит. А эти проклятые немцы высасывают из нас всё золото". Я промолчал, опасаясь провокации, хотя и не сомневался в искренности Каценеленбаума Захара С., кстати сказать, весьма близкого к Сталину человека. Его часто вызывают на тайные совещания с диктатором.</w:t>
      </w:r>
    </w:p>
    <w:p w14:paraId="4B29C08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книгам Госбанка за 9 лет, с 1923 по 1930-31 гг., Рейхсбанк получил от нас золота свыше 1 миллиарда марок, английские банки - на 600 млн. мар., скандинавские и американские - на 650 млн. марок. </w:t>
      </w:r>
    </w:p>
    <w:p w14:paraId="1BCCE73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считаю, что не только весь золотой запас, но и значительная часть добычи золота за последние 8 лет, как и золота, захваченного в церквах и у частных лиц, - распродано за границей. </w:t>
      </w:r>
    </w:p>
    <w:p w14:paraId="1ECE3A5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ведь я привожу итоги только по тем транспортам, которые шли за границу через Госбанк. Но кроме того, золото посылалось непосредственно полпредам и другим агентам для различных политических и пропагандистских целей. Этого учесть нельзя вовсе.</w:t>
      </w:r>
    </w:p>
    <w:p w14:paraId="689FDE09"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вопрос: сколько же осталось у советского правительства золота, я могу по совести сказать - максимум на 50-60 млн. золотых рублей. А валюты в Госбанке вряд ли наберётся на 1-2 миллиона долларов. </w:t>
      </w:r>
    </w:p>
    <w:p w14:paraId="5815EA5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только собирается на несколько сот тысяч долларов, так её экстренным порядком, часто на самолёте, посылают в Берлин на платежи по векселям. Официальные же балансы Госбанка представляют сплошной подлог (11552).</w:t>
      </w:r>
    </w:p>
    <w:p w14:paraId="5BCBFB19"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14493ABC" w14:textId="77777777" w:rsidR="00AF2EC7" w:rsidRPr="0044524F" w:rsidRDefault="00AF2EC7"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85EF1C5" w14:textId="77777777" w:rsidR="00AF2EC7" w:rsidRPr="0044524F" w:rsidRDefault="00AF2EC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585685D" w14:textId="77777777" w:rsidR="00AF2EC7" w:rsidRPr="0044524F" w:rsidRDefault="00AF2EC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января 1933 г. П.И.Баранов издал приказ о формировании на заводе № 39 нового ЦКБ «для организации замкнутого цикла проектирования и производства лёгких самолётов» (т.е. конструкторские отделы ЦАГИ, занимавшиеся тяжёлыми самолётами, были вновь изъяты из состава ЦКБ). В ЦКБ создаётся 6 бригад, в т.ч. бригада №3 Чижевского для продолжения работ над самолётом СС (в документах он также именуется ЦКБ-2). Вероятно, тогда же принимается решение о слиянии БНК сначала с ЦАГИ, а затем о переводе БНК в состав ЦКБ на завод № 39. Лавочкин становится сотрудником этого завода. В результате всего этого оба проекта стратосферных самолётов оказались в подчинении у С.В.Ильюшина как руководителя ЦКБ завода № 39. У Ильюшина возникло сомнение в целесообразности продолжения работ по проекту БНК-4, параллельно с работами по самолёту СС, которому он отдавал предпочтение (19876).</w:t>
      </w:r>
    </w:p>
    <w:p w14:paraId="4A01B7B0" w14:textId="77777777" w:rsidR="00AF2EC7" w:rsidRPr="0044524F" w:rsidRDefault="00AF2EC7" w:rsidP="009654CF">
      <w:pPr>
        <w:spacing w:after="0" w:line="240" w:lineRule="auto"/>
        <w:jc w:val="both"/>
        <w:rPr>
          <w:rFonts w:ascii="Times New Roman" w:hAnsi="Times New Roman"/>
          <w:color w:val="000000" w:themeColor="text1"/>
          <w:sz w:val="16"/>
          <w:szCs w:val="16"/>
        </w:rPr>
      </w:pPr>
    </w:p>
    <w:p w14:paraId="3B6CD2B6" w14:textId="77777777" w:rsidR="00D8588A"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58DC67C8" w14:textId="77777777" w:rsidR="00D8588A" w:rsidRPr="0044524F" w:rsidRDefault="00D858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A86516E" w14:textId="77777777" w:rsidR="002E1BE7" w:rsidRPr="0044524F" w:rsidRDefault="002E1BE7" w:rsidP="009654CF">
      <w:pPr>
        <w:pStyle w:val="rtejustify"/>
        <w:spacing w:before="0" w:after="0"/>
        <w:rPr>
          <w:color w:val="000000" w:themeColor="text1"/>
          <w:sz w:val="16"/>
          <w:szCs w:val="16"/>
        </w:rPr>
      </w:pPr>
      <w:r w:rsidRPr="0044524F">
        <w:rPr>
          <w:color w:val="000000" w:themeColor="text1"/>
          <w:sz w:val="16"/>
          <w:szCs w:val="16"/>
        </w:rPr>
        <w:t>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2DEEA069"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368C9F8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января 1933 п Кестеринг проинформировал нач. штаба РККА А.И.Егорова за 19 дней до прихода А.Г. к власти о скором закрытии школы в Липецке (1795,39).</w:t>
      </w:r>
    </w:p>
    <w:p w14:paraId="4BCFFD0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052A648A" w14:textId="77777777" w:rsidR="00D858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65FACB1" w14:textId="77777777" w:rsidR="00D8588A" w:rsidRPr="0044524F" w:rsidRDefault="00D858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F70E2BB" w14:textId="77777777" w:rsidR="00804D55" w:rsidRPr="0044524F" w:rsidRDefault="00804D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января 1933. Первыми получили паспорта рабочие и служащие десяти предприятий столицы - по одному в каждом районе Москвы. На предприятиях и в домоуправлениях организовали комиссии содействия паспортному отделу. По мере выдачи паспортов отделения милиции приступили к прописке москвичей (18722).</w:t>
      </w:r>
    </w:p>
    <w:p w14:paraId="08B7175F" w14:textId="77777777" w:rsidR="00804D55" w:rsidRPr="0044524F" w:rsidRDefault="00804D55" w:rsidP="009654CF">
      <w:pPr>
        <w:spacing w:after="0" w:line="240" w:lineRule="auto"/>
        <w:jc w:val="both"/>
        <w:rPr>
          <w:rFonts w:ascii="Times New Roman" w:hAnsi="Times New Roman"/>
          <w:color w:val="000000" w:themeColor="text1"/>
          <w:sz w:val="16"/>
          <w:szCs w:val="16"/>
        </w:rPr>
      </w:pPr>
    </w:p>
    <w:p w14:paraId="73085F8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января 1933 вышло Постановление Пленума ЦК и ЦКК ВКП(б) о создании политотделов в совхозах и МТС (10687).</w:t>
      </w:r>
    </w:p>
    <w:p w14:paraId="23453A2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31D48C90" w14:textId="77777777" w:rsidR="00FA4B7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221321A" w14:textId="77777777" w:rsidR="00FA4B7D" w:rsidRPr="0044524F" w:rsidRDefault="00FA4B7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8BD55B" w14:textId="77777777" w:rsidR="00FA4B7D" w:rsidRPr="0044524F" w:rsidRDefault="00FA4B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11 января</w:t>
      </w:r>
      <w:r w:rsidRPr="0044524F">
        <w:rPr>
          <w:rFonts w:ascii="Times New Roman" w:hAnsi="Times New Roman"/>
          <w:color w:val="000000" w:themeColor="text1"/>
          <w:sz w:val="16"/>
          <w:szCs w:val="16"/>
        </w:rPr>
        <w:t xml:space="preserve"> в 1933 году первый полёт первого опытного бомбардировщика-торпедоносца «Vickers» «Type 207» («S1461») (компания «Vickers», Великобритания). Самолет представлял собой двухместный одностоечный биплан смешанной конструкции, со складывающимися крыльями, оборудованный двенадцатицилиндровым двигателем «Rolls-Royce» «Buzzard IIIMS» мощностью 825 л.с. Вооружение самолета состояло из переднего синхронизированного 7.7-мм пулемета «Vickers», 7.7-мм пулемета Lewis установленного в задней кабине и четырех 250 килограммовых бомб (или одной торпеды «Mk.VIII» массой 862 кг).Уже после первых полетов стало ясно, что самолет не может удовлетворить требованиям спецификации, и его в ходе заводских испытаний постоянно дорабатывали. В ноябре 1933 года, во время проведения испытании по сбросу торпеды самолет потерпел аварию и больше не восстанавливался (15006).</w:t>
      </w:r>
    </w:p>
    <w:p w14:paraId="2584C998" w14:textId="77777777" w:rsidR="00FA4B7D" w:rsidRPr="0044524F" w:rsidRDefault="00FA4B7D" w:rsidP="009654CF">
      <w:pPr>
        <w:spacing w:after="0" w:line="240" w:lineRule="auto"/>
        <w:jc w:val="both"/>
        <w:rPr>
          <w:rFonts w:ascii="Times New Roman" w:hAnsi="Times New Roman"/>
          <w:color w:val="000000" w:themeColor="text1"/>
          <w:sz w:val="16"/>
          <w:szCs w:val="16"/>
        </w:rPr>
      </w:pPr>
    </w:p>
    <w:p w14:paraId="72369545" w14:textId="77777777" w:rsidR="00D858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3097C17" w14:textId="77777777" w:rsidR="00D8588A" w:rsidRPr="0044524F" w:rsidRDefault="00D858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DEA5A4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января 1933 Нач. ЦАГИ Харламов и Нач. КОСОС А.Н.Т. писали письмо Нач. ВВС РККА Алкснису:</w:t>
      </w:r>
    </w:p>
    <w:p w14:paraId="7296C43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опытного строительства был утвержден Правительством 4-го июля 1932 г. и несмотря на неоднократные с нашей стороны просьбы, лицо ряда самолетов совершенно не выяснено, а это не дает возможности развернуть конструкторские работы полностью.</w:t>
      </w:r>
    </w:p>
    <w:p w14:paraId="1CF24B1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До сего времени управление Воздушных Сил не могло нам указать лицо машины ДИ-6 и дать на нее технические требования, несмотря на то, что срок выхода машины установлен 1/VI-33 г. Срок изготовления намечается 10 мес. по получении технических требований.</w:t>
      </w:r>
    </w:p>
    <w:p w14:paraId="1636CA5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Неясность лица машины СК1, большой объем работы и близость сроков его выпуска (на Гос. испытание 1/X-33 г.) заставило ЦАГИ развернуть работу на основании требований, имеющихся в правительственном плане. Со стороны же УВВС нет указаний каковым должно быть лицо этой машины. Если проводимая нами работа окажется несоответствующей тому лицу машины, какое предъявит ЦАГИ УВВС вместе с техническими требованиями, работа будет сорвана (а вместе с ней и сроки.</w:t>
      </w:r>
    </w:p>
    <w:p w14:paraId="4EFCDBB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 самолету ТШ-3 - М34 объем поставленного Правительством задания имеет всего лишь установку М-34 на ТШ-2-М17. Имея в виду, что самолет ТШ-2 в настоящее время к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w:t>
      </w:r>
    </w:p>
    <w:p w14:paraId="55860E9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данного типа машина требуется ВВС в срочном порядке, то ЦАГИ просит в таком порядке определить лицо машины и прислать ему технические требования, имея в виду, что со дня согласования технических требований на проектирование и постройку машины потребуется минимально 9 - 12 месяцев (в зависимости от нагрузки соответственной конструкторской бригады).</w:t>
      </w:r>
    </w:p>
    <w:p w14:paraId="12E999A9"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программе опытного строительства поставлен гидросамолет МДР4-3М34.</w:t>
      </w:r>
    </w:p>
    <w:p w14:paraId="26B898B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 технические требования к нему определяются по согласованию с Вами.</w:t>
      </w:r>
    </w:p>
    <w:p w14:paraId="12C7D11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Машина достаточно сложная и требует полной проработки всего проекта заново.</w:t>
      </w:r>
    </w:p>
    <w:p w14:paraId="16AE328F"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Точно также и по этой машине требуется получить от Вас в срочном порядке технические требования, имея в виду, что проектирование и постройка потребует времени минимально 10 месяцев со дня согласования, с Вами технических требований.</w:t>
      </w:r>
    </w:p>
    <w:p w14:paraId="33D6567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 числе экспериментальных самолетов имеется парабола с 2М11 со сроком постройки 1/X-33 г.</w:t>
      </w:r>
    </w:p>
    <w:p w14:paraId="40BEF34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полученный опыт с одномоторной параболой, ЦАГИ полагает возможным и более целесообразным взамен экспериментальной переходной машины параболы с 2М11 строить уже не переходную машину, а экспериментальную с 2-мя моторами по 400-600 НР, которая могла бы иметь эксплуатационное значение.</w:t>
      </w:r>
    </w:p>
    <w:p w14:paraId="78870C6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этим увеличивается масштаб машины, а следовательно и объем конструкторских производственных работ.</w:t>
      </w:r>
    </w:p>
    <w:p w14:paraId="6FF2EA8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приведенных соображений ЦАГИ просит утвердить новый срок выхода на аэродром ЛК2М (400 - 600) на 1-ое мая 1934 года.</w:t>
      </w:r>
    </w:p>
    <w:p w14:paraId="551C690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Согласно постановления совещания, состоявшегося в ЦАГИ 6/XII-32 г. Вами было решено, что НИИ должен в 3-х дневный срок представить в ЦАГИ технические требования на самолет И-14. Техтребования на И-14 получено только 4/I-33 г. между тем как проект машины закончен и все чертежи переданы на производство.</w:t>
      </w:r>
    </w:p>
    <w:p w14:paraId="3DF5201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Согласно того же совещания по самолету ДИП Вами решение было предложить НИИ в 10 дневный срок представить ЦАГИ технические требования, но таковые получены только 4/I-33 г. Работа по этой машине Институтом развернута по проектированию и производству, полностью.</w:t>
      </w:r>
    </w:p>
    <w:p w14:paraId="7FDD965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По самолету И-13 срок его выхода на испытание назначен 1/VI-33 г. Лицо машины определено только лишь 30 декабря 32 г. По получении требований на И-13-М32 ЦАГИ должен начать проектировать новый самолет так как вся работа проводилась им за 6 месяцев до этого по самолету И-13 (вариант развития И-8). Срок изготовления И-13-М-32 по техтребованиям будет 1/XII-33 г.</w:t>
      </w:r>
    </w:p>
    <w:p w14:paraId="72DE062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По ЛР в виду краткости срока, как Вам известно, машина была начата проектированием до получения от Вас желательного лица машины, 8 декабря в совещании под вашим председательством, задний стрелок в нашем проекте заменен стрелком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определяется.</w:t>
      </w:r>
    </w:p>
    <w:p w14:paraId="4A9E47E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 технических требованиях УВВС эту машину радиус действия устанавливаемый в требованиях правительственного плана повышен УВВС на 20% без всякого согласования с ЦАГИ. Это новое требование ВВС заставляет ЦАГИ снова пересматривать проект, что отдаляет срок выхода самолета.</w:t>
      </w:r>
    </w:p>
    <w:p w14:paraId="3539450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настоящий момент эти новые обстоятельства заставляют ЦАГИ пересмотреть срок выхода самолетов на испытание и сообщить Вам дополнительно." (2305,3).</w:t>
      </w:r>
    </w:p>
    <w:p w14:paraId="71191A4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6B1199E9" w14:textId="77777777" w:rsidR="002E1BE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D4A7F8D" w14:textId="77777777" w:rsidR="002E1BE7" w:rsidRPr="0044524F" w:rsidRDefault="002E1BE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E0BFA1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января 1933 г. — Сводка Главного военно-мобилизационного управления Наркомата тяжелой промышленности СССР о выполнении промышленностью текущих военных заказов Наркомата по военным и морским делам СССР за 1932 г.</w:t>
      </w:r>
    </w:p>
    <w:p w14:paraId="3C865B9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секретно.</w:t>
      </w:r>
    </w:p>
    <w:p w14:paraId="09736BE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главным номенклатурам)</w:t>
      </w:r>
    </w:p>
    <w:tbl>
      <w:tblPr>
        <w:tblpPr w:leftFromText="45" w:rightFromText="45" w:vertAnchor="text"/>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33"/>
        <w:gridCol w:w="1256"/>
        <w:gridCol w:w="825"/>
        <w:gridCol w:w="997"/>
        <w:gridCol w:w="655"/>
        <w:gridCol w:w="655"/>
        <w:gridCol w:w="655"/>
        <w:gridCol w:w="1614"/>
        <w:gridCol w:w="1262"/>
        <w:gridCol w:w="1270"/>
      </w:tblGrid>
      <w:tr w:rsidR="004E10C1" w:rsidRPr="0044524F" w14:paraId="295DEC9A" w14:textId="77777777" w:rsidTr="002E1BE7">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BFFF09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Номенклатура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BD78A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заказа НКВМ в 1931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3CA16B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Годовой заказ на 1932 г.</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AD6ADA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за 1932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8D159A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Годовой заказ на 1933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2684D8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изготов</w:t>
            </w:r>
            <w:r w:rsidRPr="0044524F">
              <w:rPr>
                <w:rFonts w:ascii="Times New Roman" w:hAnsi="Times New Roman"/>
                <w:color w:val="000000" w:themeColor="text1"/>
                <w:sz w:val="16"/>
                <w:szCs w:val="16"/>
              </w:rPr>
              <w:softHyphen/>
              <w:t>ления к годовому заказу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6731E4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предъяв</w:t>
            </w:r>
            <w:r w:rsidRPr="0044524F">
              <w:rPr>
                <w:rFonts w:ascii="Times New Roman" w:hAnsi="Times New Roman"/>
                <w:color w:val="000000" w:themeColor="text1"/>
                <w:sz w:val="16"/>
                <w:szCs w:val="16"/>
              </w:rPr>
              <w:softHyphen/>
              <w:t>ления к годовому заказу</w:t>
            </w:r>
          </w:p>
        </w:tc>
      </w:tr>
      <w:tr w:rsidR="004E10C1" w:rsidRPr="0044524F" w14:paraId="187FBB6B" w14:textId="77777777" w:rsidTr="002E1BE7">
        <w:tc>
          <w:tcPr>
            <w:tcW w:w="0" w:type="auto"/>
            <w:vMerge/>
            <w:tcBorders>
              <w:top w:val="outset" w:sz="6" w:space="0" w:color="auto"/>
              <w:left w:val="outset" w:sz="6" w:space="0" w:color="auto"/>
              <w:bottom w:val="outset" w:sz="6" w:space="0" w:color="auto"/>
              <w:right w:val="outset" w:sz="6" w:space="0" w:color="auto"/>
            </w:tcBorders>
            <w:vAlign w:val="center"/>
            <w:hideMark/>
          </w:tcPr>
          <w:p w14:paraId="134AA31E" w14:textId="77777777" w:rsidR="002E1BE7" w:rsidRPr="0044524F" w:rsidRDefault="002E1BE7"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60813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данным производ</w:t>
            </w:r>
            <w:r w:rsidRPr="0044524F">
              <w:rPr>
                <w:rFonts w:ascii="Times New Roman" w:hAnsi="Times New Roman"/>
                <w:color w:val="000000" w:themeColor="text1"/>
                <w:sz w:val="16"/>
                <w:szCs w:val="16"/>
              </w:rPr>
              <w:softHyphen/>
              <w:t>ственного сектора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E49706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данным завода</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26AB27B" w14:textId="77777777" w:rsidR="002E1BE7" w:rsidRPr="0044524F" w:rsidRDefault="002E1BE7"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24DEAF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w:t>
            </w:r>
          </w:p>
          <w:p w14:paraId="523B7D6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71F2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w:t>
            </w:r>
          </w:p>
          <w:p w14:paraId="768203B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4D63FD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A5B7DA8" w14:textId="77777777" w:rsidR="002E1BE7" w:rsidRPr="0044524F" w:rsidRDefault="002E1BE7" w:rsidP="009654C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2F0878D" w14:textId="77777777" w:rsidR="002E1BE7" w:rsidRPr="0044524F" w:rsidRDefault="002E1BE7" w:rsidP="009654C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08CE6D1" w14:textId="77777777" w:rsidR="002E1BE7" w:rsidRPr="0044524F" w:rsidRDefault="002E1BE7" w:rsidP="009654CF">
            <w:pPr>
              <w:spacing w:after="0" w:line="240" w:lineRule="auto"/>
              <w:jc w:val="both"/>
              <w:rPr>
                <w:rFonts w:ascii="Times New Roman" w:hAnsi="Times New Roman"/>
                <w:color w:val="000000" w:themeColor="text1"/>
                <w:sz w:val="16"/>
                <w:szCs w:val="16"/>
              </w:rPr>
            </w:pPr>
          </w:p>
        </w:tc>
      </w:tr>
      <w:tr w:rsidR="004E10C1" w:rsidRPr="0044524F" w14:paraId="48FEADA8"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7745BA0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rPr>
              <w:t>Танки</w:t>
            </w:r>
          </w:p>
        </w:tc>
      </w:tr>
      <w:tr w:rsidR="004E10C1" w:rsidRPr="0044524F" w14:paraId="1E7B233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D58DD7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543D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77B99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88C3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7B4B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1410</w:t>
            </w:r>
          </w:p>
          <w:p w14:paraId="1F6D3DE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1396¹*</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D9EB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1361</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DADD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CEA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BAE9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88,1</w:t>
            </w:r>
          </w:p>
          <w:p w14:paraId="7AB4CF9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D72D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85,1</w:t>
            </w:r>
          </w:p>
        </w:tc>
      </w:tr>
      <w:tr w:rsidR="004E10C1" w:rsidRPr="0044524F" w14:paraId="5C515193"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5035DB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EC95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EEC75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1A84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064B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1703</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45C3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7218A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1694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959F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 в т. ч.</w:t>
            </w:r>
          </w:p>
          <w:p w14:paraId="2F6D76F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 УММ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A46A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EF4B1A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80,7</w:t>
            </w:r>
          </w:p>
        </w:tc>
      </w:tr>
      <w:tr w:rsidR="004E10C1" w:rsidRPr="0044524F" w14:paraId="3DB49BD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6B36DC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79BC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6EE58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182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44FA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0F40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3E0D5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21B1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7324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19D1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19225B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4CBD6E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БТ-«Кристи»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F6A0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364C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E4F7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C011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1CBC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392F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B043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p w14:paraId="290DD26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Т-35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D8F2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903C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72,3</w:t>
            </w:r>
          </w:p>
        </w:tc>
      </w:tr>
      <w:tr w:rsidR="004E10C1" w:rsidRPr="0044524F" w14:paraId="59109A28"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EBD70B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9AD05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8412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72B1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CC94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B1896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F1C0A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78F7B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4565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3205A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7D1FDD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CF6E85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C3C7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808E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9784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916A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3713</w:t>
            </w:r>
          </w:p>
          <w:p w14:paraId="4C663DE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3699</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2E80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CCF4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7C19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B651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86,3</w:t>
            </w:r>
          </w:p>
          <w:p w14:paraId="525156D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DD7F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81,1</w:t>
            </w:r>
          </w:p>
        </w:tc>
      </w:tr>
      <w:tr w:rsidR="004E10C1" w:rsidRPr="0044524F" w14:paraId="46977B59"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E04BB6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rPr>
              <w:t>Материальная часть артиллерии</w:t>
            </w:r>
          </w:p>
        </w:tc>
      </w:tr>
      <w:tr w:rsidR="004E10C1" w:rsidRPr="0044524F" w14:paraId="3AF8C3F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C63E01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r w:rsidRPr="0044524F">
              <w:rPr>
                <w:rFonts w:ascii="Times New Roman" w:hAnsi="Times New Roman"/>
                <w:color w:val="000000" w:themeColor="text1"/>
                <w:sz w:val="16"/>
                <w:szCs w:val="16"/>
              </w:rPr>
              <w:noBreakHyphen/>
              <w:t>мм автоматическая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7EB1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3391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2B9E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24E0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9039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C956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З²*</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C2B1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E04A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99602D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r>
      <w:tr w:rsidR="004E10C1" w:rsidRPr="0044524F" w14:paraId="69AFAB6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482688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w:t>
            </w:r>
            <w:r w:rsidRPr="0044524F">
              <w:rPr>
                <w:rFonts w:ascii="Times New Roman" w:hAnsi="Times New Roman"/>
                <w:color w:val="000000" w:themeColor="text1"/>
                <w:sz w:val="16"/>
                <w:szCs w:val="16"/>
              </w:rPr>
              <w:noBreakHyphen/>
              <w:t>мм Гочкиса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079F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468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3B48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0FA4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D625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2451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1B16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20078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CE701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102,5</w:t>
            </w:r>
          </w:p>
        </w:tc>
      </w:tr>
      <w:tr w:rsidR="004E10C1" w:rsidRPr="0044524F" w14:paraId="603A5D5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34E6D8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w:t>
            </w:r>
            <w:r w:rsidRPr="0044524F">
              <w:rPr>
                <w:rFonts w:ascii="Times New Roman" w:hAnsi="Times New Roman"/>
                <w:color w:val="000000" w:themeColor="text1"/>
                <w:sz w:val="16"/>
                <w:szCs w:val="16"/>
              </w:rPr>
              <w:noBreakHyphen/>
              <w:t>мм противотанковая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D6E5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01C8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38E6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C09E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5752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C51E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DF01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17E6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ADE2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101,6</w:t>
            </w:r>
          </w:p>
        </w:tc>
      </w:tr>
      <w:tr w:rsidR="004E10C1" w:rsidRPr="0044524F" w14:paraId="3C98D3F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A1C536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w:t>
            </w:r>
            <w:r w:rsidRPr="0044524F">
              <w:rPr>
                <w:rFonts w:ascii="Times New Roman" w:hAnsi="Times New Roman"/>
                <w:color w:val="000000" w:themeColor="text1"/>
                <w:sz w:val="16"/>
                <w:szCs w:val="16"/>
              </w:rPr>
              <w:noBreakHyphen/>
              <w:t>мм Б-3 танковая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7C2F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EB0C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0ADA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A6337C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5F07F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227B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A50C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AA0A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26BA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9B5916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E086C9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r w:rsidRPr="0044524F">
              <w:rPr>
                <w:rFonts w:ascii="Times New Roman" w:hAnsi="Times New Roman"/>
                <w:color w:val="000000" w:themeColor="text1"/>
                <w:sz w:val="16"/>
                <w:szCs w:val="16"/>
              </w:rPr>
              <w:noBreakHyphen/>
              <w:t>мм противотанковая]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AD01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E107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BA19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211D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2461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8749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D022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85A8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EF5E09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r>
      <w:tr w:rsidR="004E10C1" w:rsidRPr="0044524F" w14:paraId="13657903"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5986EE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45</w:t>
            </w:r>
            <w:r w:rsidRPr="0044524F">
              <w:rPr>
                <w:rFonts w:ascii="Times New Roman" w:hAnsi="Times New Roman"/>
                <w:color w:val="000000" w:themeColor="text1"/>
                <w:sz w:val="16"/>
                <w:szCs w:val="16"/>
              </w:rPr>
              <w:noBreakHyphen/>
              <w:t>мм танковая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3036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0794A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F015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360D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E5EF4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19E10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A4F4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1896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0157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26,2</w:t>
            </w:r>
          </w:p>
        </w:tc>
      </w:tr>
      <w:tr w:rsidR="004E10C1" w:rsidRPr="0044524F" w14:paraId="6293907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6E033B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r w:rsidRPr="0044524F">
              <w:rPr>
                <w:rFonts w:ascii="Times New Roman" w:hAnsi="Times New Roman"/>
                <w:color w:val="000000" w:themeColor="text1"/>
                <w:sz w:val="16"/>
                <w:szCs w:val="16"/>
              </w:rPr>
              <w:noBreakHyphen/>
              <w:t>мм батальонная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BF1B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E46F8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6EEB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510C0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D47DDD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70EE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450F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22C4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8997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4A654BC"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21A0E3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малокалиберной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C9FCD1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BA9E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28FE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7BAE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7AB1BD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8102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0641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3565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D6C0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5101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27,1</w:t>
            </w:r>
          </w:p>
        </w:tc>
      </w:tr>
      <w:tr w:rsidR="004E10C1" w:rsidRPr="0044524F" w14:paraId="13085BF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C0D941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пушка ДРП</w:t>
            </w:r>
          </w:p>
        </w:tc>
        <w:tc>
          <w:tcPr>
            <w:tcW w:w="0" w:type="auto"/>
            <w:tcBorders>
              <w:top w:val="outset" w:sz="6" w:space="0" w:color="auto"/>
              <w:left w:val="outset" w:sz="6" w:space="0" w:color="auto"/>
              <w:bottom w:val="outset" w:sz="6" w:space="0" w:color="auto"/>
              <w:right w:val="outset" w:sz="6" w:space="0" w:color="auto"/>
            </w:tcBorders>
            <w:vAlign w:val="center"/>
            <w:hideMark/>
          </w:tcPr>
          <w:p w14:paraId="6FF7812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3DCD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AF16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BCE1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E21B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16A9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3D4C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 в т. ч.</w:t>
            </w:r>
          </w:p>
          <w:p w14:paraId="1B57155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r w:rsidRPr="0044524F">
              <w:rPr>
                <w:rFonts w:ascii="Times New Roman" w:hAnsi="Times New Roman"/>
                <w:color w:val="000000" w:themeColor="text1"/>
                <w:sz w:val="16"/>
                <w:szCs w:val="16"/>
              </w:rPr>
              <w:noBreakHyphen/>
              <w:t>ВПК,</w:t>
            </w:r>
          </w:p>
          <w:p w14:paraId="76DB4B4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r w:rsidRPr="0044524F">
              <w:rPr>
                <w:rFonts w:ascii="Times New Roman" w:hAnsi="Times New Roman"/>
                <w:color w:val="000000" w:themeColor="text1"/>
                <w:sz w:val="16"/>
                <w:szCs w:val="16"/>
              </w:rPr>
              <w:noBreakHyphen/>
              <w:t>СНК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4C3D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A7E3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35,7</w:t>
            </w:r>
          </w:p>
        </w:tc>
      </w:tr>
      <w:tr w:rsidR="004E10C1" w:rsidRPr="0044524F" w14:paraId="7A6FA0B3"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2BD131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АПК-4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1EC3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0B14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EF2A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09BB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245D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D65D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8360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CA30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73,3</w:t>
            </w:r>
          </w:p>
        </w:tc>
        <w:tc>
          <w:tcPr>
            <w:tcW w:w="0" w:type="auto"/>
            <w:tcBorders>
              <w:top w:val="outset" w:sz="6" w:space="0" w:color="auto"/>
              <w:left w:val="outset" w:sz="6" w:space="0" w:color="auto"/>
              <w:bottom w:val="outset" w:sz="6" w:space="0" w:color="auto"/>
              <w:right w:val="outset" w:sz="6" w:space="0" w:color="auto"/>
            </w:tcBorders>
            <w:vAlign w:val="center"/>
            <w:hideMark/>
          </w:tcPr>
          <w:p w14:paraId="2155FA4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73,3</w:t>
            </w:r>
          </w:p>
        </w:tc>
      </w:tr>
      <w:tr w:rsidR="004E10C1" w:rsidRPr="0044524F" w14:paraId="6A9C6D0C"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774FF9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МПК-4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E3AC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1552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CC53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66EC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E43963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1E5927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1CA8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4A12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7EAE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w:t>
            </w:r>
          </w:p>
        </w:tc>
      </w:tr>
      <w:tr w:rsidR="004E10C1" w:rsidRPr="0044524F" w14:paraId="14C1E4E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E10553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систем Курчевского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28A2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D9BE71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C67A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0F11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D07F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88DF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C004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33D5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25307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41,2</w:t>
            </w:r>
          </w:p>
        </w:tc>
      </w:tr>
      <w:tr w:rsidR="004E10C1" w:rsidRPr="0044524F" w14:paraId="3263B22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D7671C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зенитная пушка 1915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83B5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9FE5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EC87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p w14:paraId="240E337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802D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2B47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01634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ADA9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B16C8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226,7</w:t>
            </w:r>
          </w:p>
          <w:p w14:paraId="199CAF4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C76B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24385E3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5B69AA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зенитная пушка 1928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79E4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0110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A812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p w14:paraId="2FB98AD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F18A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1259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A7B0B5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FA08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E98F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313,3</w:t>
            </w:r>
          </w:p>
          <w:p w14:paraId="13EFE6F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D8A3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313,3</w:t>
            </w:r>
          </w:p>
          <w:p w14:paraId="6C2D62E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102,2</w:t>
            </w:r>
          </w:p>
        </w:tc>
      </w:tr>
      <w:tr w:rsidR="004E10C1" w:rsidRPr="0044524F" w14:paraId="542CBE7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1820D5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зенитная пушка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5808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11D1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648A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p w14:paraId="643E498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844B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11DE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5500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C1B5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0FF8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w:t>
            </w:r>
          </w:p>
          <w:p w14:paraId="7B1745E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20F7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w:t>
            </w:r>
          </w:p>
          <w:p w14:paraId="6978A3B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r>
      <w:tr w:rsidR="004E10C1" w:rsidRPr="0044524F" w14:paraId="2B233B2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3942DD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по зенитным пушкам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6AFF4B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4CC9C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E4DBE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p w14:paraId="61D4671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385B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EA03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444D4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619C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6BCF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46,3</w:t>
            </w:r>
          </w:p>
          <w:p w14:paraId="5C2CC81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060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46,3</w:t>
            </w:r>
          </w:p>
        </w:tc>
      </w:tr>
      <w:tr w:rsidR="004E10C1" w:rsidRPr="0044524F" w14:paraId="6E18997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1A1088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полковая пушка 1902/30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025B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2AF3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809D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AE31D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B739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EBB0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8E9F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4389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CCC5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223F34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0C5803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полковая пушка 1927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D3B6B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6297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413B5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EE15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675A7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63FF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03A6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5C3A5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36B75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64A5C01E"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839861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полковая част, для установки на самоходку</w:t>
            </w:r>
          </w:p>
        </w:tc>
        <w:tc>
          <w:tcPr>
            <w:tcW w:w="0" w:type="auto"/>
            <w:tcBorders>
              <w:top w:val="outset" w:sz="6" w:space="0" w:color="auto"/>
              <w:left w:val="outset" w:sz="6" w:space="0" w:color="auto"/>
              <w:bottom w:val="outset" w:sz="6" w:space="0" w:color="auto"/>
              <w:right w:val="outset" w:sz="6" w:space="0" w:color="auto"/>
            </w:tcBorders>
            <w:vAlign w:val="center"/>
            <w:hideMark/>
          </w:tcPr>
          <w:p w14:paraId="01DA3EA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A36BA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4F83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29EE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E7171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D2A3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95E0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9A07A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47B9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5F1014F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5C839B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горная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AA36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C822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A388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36B65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FEA6E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5268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427F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E128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C9E98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8EC345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701219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76</w:t>
            </w:r>
            <w:r w:rsidRPr="0044524F">
              <w:rPr>
                <w:rFonts w:ascii="Times New Roman" w:hAnsi="Times New Roman"/>
                <w:color w:val="000000" w:themeColor="text1"/>
                <w:sz w:val="16"/>
                <w:szCs w:val="16"/>
              </w:rPr>
              <w:noBreakHyphen/>
              <w:t>мм систем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171AFB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EB28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C2F37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274E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4B412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0FEFA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69BC1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2E50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F9097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81,4</w:t>
            </w:r>
          </w:p>
        </w:tc>
      </w:tr>
      <w:tr w:rsidR="004E10C1" w:rsidRPr="0044524F" w14:paraId="788C4A4B"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8A0618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w:t>
            </w:r>
            <w:r w:rsidRPr="0044524F">
              <w:rPr>
                <w:rFonts w:ascii="Times New Roman" w:hAnsi="Times New Roman"/>
                <w:color w:val="000000" w:themeColor="text1"/>
                <w:sz w:val="16"/>
                <w:szCs w:val="16"/>
              </w:rPr>
              <w:noBreakHyphen/>
              <w:t>мм гаубица 1910/30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AE1F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286</w:t>
            </w:r>
          </w:p>
        </w:tc>
        <w:tc>
          <w:tcPr>
            <w:tcW w:w="0" w:type="auto"/>
            <w:tcBorders>
              <w:top w:val="outset" w:sz="6" w:space="0" w:color="auto"/>
              <w:left w:val="outset" w:sz="6" w:space="0" w:color="auto"/>
              <w:bottom w:val="outset" w:sz="6" w:space="0" w:color="auto"/>
              <w:right w:val="outset" w:sz="6" w:space="0" w:color="auto"/>
            </w:tcBorders>
            <w:vAlign w:val="center"/>
            <w:hideMark/>
          </w:tcPr>
          <w:p w14:paraId="014BC41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E1D1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9DDAE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4EC3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81C9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E397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FEEF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30287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88,1</w:t>
            </w:r>
          </w:p>
        </w:tc>
      </w:tr>
      <w:tr w:rsidR="004E10C1" w:rsidRPr="0044524F" w14:paraId="39BBBC7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90B17E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w:t>
            </w:r>
            <w:r w:rsidRPr="0044524F">
              <w:rPr>
                <w:rFonts w:ascii="Times New Roman" w:hAnsi="Times New Roman"/>
                <w:color w:val="000000" w:themeColor="text1"/>
                <w:sz w:val="16"/>
                <w:szCs w:val="16"/>
              </w:rPr>
              <w:noBreakHyphen/>
              <w:t>мм гаубица 1909/31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FFDA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31DF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0E04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19A87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0A37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6AF81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C50F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79E51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5D43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68278CE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23A03A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w:t>
            </w:r>
            <w:r w:rsidRPr="0044524F">
              <w:rPr>
                <w:rFonts w:ascii="Times New Roman" w:hAnsi="Times New Roman"/>
                <w:color w:val="000000" w:themeColor="text1"/>
                <w:sz w:val="16"/>
                <w:szCs w:val="16"/>
              </w:rPr>
              <w:noBreakHyphen/>
              <w:t>мм гаубица нового образца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C445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6898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0961A2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75AFB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2FB1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8562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D450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DB58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98DF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74E68E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0563E4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w:t>
            </w:r>
            <w:r w:rsidRPr="0044524F">
              <w:rPr>
                <w:rFonts w:ascii="Times New Roman" w:hAnsi="Times New Roman"/>
                <w:color w:val="000000" w:themeColor="text1"/>
                <w:sz w:val="16"/>
                <w:szCs w:val="16"/>
              </w:rPr>
              <w:noBreakHyphen/>
              <w:t>мм мортира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7A0365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237F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A090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79F73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CC08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20D6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09CC0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5735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7F85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r>
      <w:tr w:rsidR="004E10C1" w:rsidRPr="0044524F" w14:paraId="26E8C93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61A930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по гаубичной артиллерии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8116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027F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9BAC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DFE0F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C5B70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A43F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437</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ECAE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9D34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B5E2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79,6</w:t>
            </w:r>
          </w:p>
        </w:tc>
      </w:tr>
      <w:tr w:rsidR="004E10C1" w:rsidRPr="0044524F" w14:paraId="09F351EE"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B7B961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w:t>
            </w:r>
            <w:r w:rsidRPr="0044524F">
              <w:rPr>
                <w:rFonts w:ascii="Times New Roman" w:hAnsi="Times New Roman"/>
                <w:color w:val="000000" w:themeColor="text1"/>
                <w:sz w:val="16"/>
                <w:szCs w:val="16"/>
              </w:rPr>
              <w:noBreakHyphen/>
              <w:t>мм полковая пушка 10/30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A1E7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0805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88F2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D7B2B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EF1A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8E30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EAD4E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61BF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CF86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40,2</w:t>
            </w:r>
          </w:p>
        </w:tc>
      </w:tr>
      <w:tr w:rsidR="004E10C1" w:rsidRPr="0044524F" w14:paraId="3C65F4C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69AD35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w:t>
            </w:r>
            <w:r w:rsidRPr="0044524F">
              <w:rPr>
                <w:rFonts w:ascii="Times New Roman" w:hAnsi="Times New Roman"/>
                <w:color w:val="000000" w:themeColor="text1"/>
                <w:sz w:val="16"/>
                <w:szCs w:val="16"/>
              </w:rPr>
              <w:noBreakHyphen/>
              <w:t>мм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A1C6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0F671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AF1C8F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8C5F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F5AC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ACAD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4F45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FBEF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4F185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630490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E6B9C0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w:t>
            </w:r>
            <w:r w:rsidRPr="0044524F">
              <w:rPr>
                <w:rFonts w:ascii="Times New Roman" w:hAnsi="Times New Roman"/>
                <w:color w:val="000000" w:themeColor="text1"/>
                <w:sz w:val="16"/>
                <w:szCs w:val="16"/>
              </w:rPr>
              <w:noBreakHyphen/>
              <w:t>мм 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CB0E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C306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A34E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DBD54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13B4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C587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A3A6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DA02AB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43E8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46,5</w:t>
            </w:r>
          </w:p>
        </w:tc>
      </w:tr>
      <w:tr w:rsidR="004E10C1" w:rsidRPr="0044524F" w14:paraId="7BBC1158"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56DF53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по АРГК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54C3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9E93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89</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D4C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FB2C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C1B2F4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9F1713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1FEB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565E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8259C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r w:rsidR="004E10C1" w:rsidRPr="0044524F" w14:paraId="10E63BF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8F2512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r w:rsidRPr="0044524F">
              <w:rPr>
                <w:rFonts w:ascii="Times New Roman" w:hAnsi="Times New Roman"/>
                <w:color w:val="000000" w:themeColor="text1"/>
                <w:sz w:val="16"/>
                <w:szCs w:val="16"/>
              </w:rPr>
              <w:noBreakHyphen/>
              <w:t>мм морская 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1476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DE1D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E96C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B49A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6559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DDF8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583A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790E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DD5F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433E3247"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B980D2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rPr>
              <w:t>Снаряды</w:t>
            </w:r>
          </w:p>
        </w:tc>
      </w:tr>
      <w:tr w:rsidR="004E10C1" w:rsidRPr="0044524F" w14:paraId="3974B02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41BB59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r w:rsidRPr="0044524F">
              <w:rPr>
                <w:rFonts w:ascii="Times New Roman" w:hAnsi="Times New Roman"/>
                <w:color w:val="000000" w:themeColor="text1"/>
                <w:sz w:val="16"/>
                <w:szCs w:val="16"/>
              </w:rPr>
              <w:noBreakHyphen/>
              <w:t>мм, 37</w:t>
            </w:r>
            <w:r w:rsidRPr="0044524F">
              <w:rPr>
                <w:rFonts w:ascii="Times New Roman" w:hAnsi="Times New Roman"/>
                <w:color w:val="000000" w:themeColor="text1"/>
                <w:sz w:val="16"/>
                <w:szCs w:val="16"/>
              </w:rPr>
              <w:noBreakHyphen/>
              <w:t>мм, 45</w:t>
            </w:r>
            <w:r w:rsidRPr="0044524F">
              <w:rPr>
                <w:rFonts w:ascii="Times New Roman" w:hAnsi="Times New Roman"/>
                <w:color w:val="000000" w:themeColor="text1"/>
                <w:sz w:val="16"/>
                <w:szCs w:val="16"/>
              </w:rPr>
              <w:noBreakHyphen/>
              <w:t>мм снаряды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6116B7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188 900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4B4B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422 869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A6578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5 319 500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9B27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1 332 275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C0249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1 270 627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9B3B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1 080 496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13A8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2 110 000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FBB0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65E1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23,9</w:t>
            </w:r>
          </w:p>
        </w:tc>
      </w:tr>
      <w:tr w:rsidR="004E10C1" w:rsidRPr="0044524F" w14:paraId="1214C6C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C96FA6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107</w:t>
            </w:r>
            <w:r w:rsidRPr="0044524F">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1DFC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3516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466 161</w:t>
            </w:r>
          </w:p>
        </w:tc>
        <w:tc>
          <w:tcPr>
            <w:tcW w:w="0" w:type="auto"/>
            <w:tcBorders>
              <w:top w:val="outset" w:sz="6" w:space="0" w:color="auto"/>
              <w:left w:val="outset" w:sz="6" w:space="0" w:color="auto"/>
              <w:bottom w:val="outset" w:sz="6" w:space="0" w:color="auto"/>
              <w:right w:val="outset" w:sz="6" w:space="0" w:color="auto"/>
            </w:tcBorders>
            <w:vAlign w:val="center"/>
            <w:hideMark/>
          </w:tcPr>
          <w:p w14:paraId="5717A4E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1 734 600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1E17B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909 108</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1CE7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898 230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A30B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862 118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B26D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D912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9520B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51,8</w:t>
            </w:r>
          </w:p>
        </w:tc>
      </w:tr>
      <w:tr w:rsidR="004E10C1" w:rsidRPr="0044524F" w14:paraId="3248151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21A7FE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w:t>
            </w:r>
            <w:r w:rsidRPr="0044524F">
              <w:rPr>
                <w:rFonts w:ascii="Times New Roman" w:hAnsi="Times New Roman"/>
                <w:color w:val="000000" w:themeColor="text1"/>
                <w:sz w:val="16"/>
                <w:szCs w:val="16"/>
              </w:rPr>
              <w:noBreakHyphen/>
              <w:t>мм, 152</w:t>
            </w:r>
            <w:r w:rsidRPr="0044524F">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C94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562 370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9BE5D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631 381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D274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914 300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95F4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646 460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A253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647 871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F2FF8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628 551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0E51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24D9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6B12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70,9</w:t>
            </w:r>
          </w:p>
        </w:tc>
      </w:tr>
      <w:tr w:rsidR="004E10C1" w:rsidRPr="0044524F" w14:paraId="63FC3D0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25D017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r w:rsidRPr="0044524F">
              <w:rPr>
                <w:rFonts w:ascii="Times New Roman" w:hAnsi="Times New Roman"/>
                <w:color w:val="000000" w:themeColor="text1"/>
                <w:sz w:val="16"/>
                <w:szCs w:val="16"/>
              </w:rPr>
              <w:noBreakHyphen/>
              <w:t>мм, 203</w:t>
            </w:r>
            <w:r w:rsidRPr="0044524F">
              <w:rPr>
                <w:rFonts w:ascii="Times New Roman" w:hAnsi="Times New Roman"/>
                <w:color w:val="000000" w:themeColor="text1"/>
                <w:sz w:val="16"/>
                <w:szCs w:val="16"/>
              </w:rPr>
              <w:noBreakHyphen/>
              <w:t>мм 305</w:t>
            </w:r>
            <w:r w:rsidRPr="0044524F">
              <w:rPr>
                <w:rFonts w:ascii="Times New Roman" w:hAnsi="Times New Roman"/>
                <w:color w:val="000000" w:themeColor="text1"/>
                <w:sz w:val="16"/>
                <w:szCs w:val="16"/>
              </w:rPr>
              <w:noBreakHyphen/>
              <w:t>мм, 356</w:t>
            </w:r>
            <w:r w:rsidRPr="0044524F">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E3FB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AE671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B64FA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B63A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B0CA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06C3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4006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18 950 +100+700 доделанная, модернизи</w:t>
            </w:r>
            <w:r w:rsidRPr="0044524F">
              <w:rPr>
                <w:rFonts w:ascii="Times New Roman" w:hAnsi="Times New Roman"/>
                <w:color w:val="000000" w:themeColor="text1"/>
                <w:sz w:val="16"/>
                <w:szCs w:val="16"/>
              </w:rPr>
              <w:softHyphen/>
              <w:t>рованная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120E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8067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36,1</w:t>
            </w:r>
          </w:p>
        </w:tc>
      </w:tr>
      <w:tr w:rsidR="004E10C1" w:rsidRPr="0044524F" w14:paraId="1AA0D84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EBDE18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r w:rsidRPr="0044524F">
              <w:rPr>
                <w:rFonts w:ascii="Times New Roman" w:hAnsi="Times New Roman"/>
                <w:color w:val="000000" w:themeColor="text1"/>
                <w:sz w:val="16"/>
                <w:szCs w:val="16"/>
              </w:rPr>
              <w:noBreakHyphen/>
              <w:t>мм, 102</w:t>
            </w:r>
            <w:r w:rsidRPr="0044524F">
              <w:rPr>
                <w:rFonts w:ascii="Times New Roman" w:hAnsi="Times New Roman"/>
                <w:color w:val="000000" w:themeColor="text1"/>
                <w:sz w:val="16"/>
                <w:szCs w:val="16"/>
              </w:rPr>
              <w:noBreakHyphen/>
              <w:t>мм 120</w:t>
            </w:r>
            <w:r w:rsidRPr="0044524F">
              <w:rPr>
                <w:rFonts w:ascii="Times New Roman" w:hAnsi="Times New Roman"/>
                <w:color w:val="000000" w:themeColor="text1"/>
                <w:sz w:val="16"/>
                <w:szCs w:val="16"/>
              </w:rPr>
              <w:noBreakHyphen/>
              <w:t>мм, 130</w:t>
            </w:r>
            <w:r w:rsidRPr="0044524F">
              <w:rPr>
                <w:rFonts w:ascii="Times New Roman" w:hAnsi="Times New Roman"/>
                <w:color w:val="000000" w:themeColor="text1"/>
                <w:sz w:val="16"/>
                <w:szCs w:val="16"/>
              </w:rPr>
              <w:noBreakHyphen/>
              <w:t>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1C36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2D5B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3E5C6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6C6DE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037F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15 271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0CA4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CD498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35000+2000 пере</w:t>
            </w:r>
            <w:r w:rsidRPr="0044524F">
              <w:rPr>
                <w:rFonts w:ascii="Times New Roman" w:hAnsi="Times New Roman"/>
                <w:color w:val="000000" w:themeColor="text1"/>
                <w:sz w:val="16"/>
                <w:szCs w:val="16"/>
              </w:rPr>
              <w:softHyphen/>
              <w:t>деланная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9C4C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74,5</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F349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61,1</w:t>
            </w:r>
          </w:p>
        </w:tc>
      </w:tr>
      <w:tr w:rsidR="004E10C1" w:rsidRPr="0044524F" w14:paraId="37F93DF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795CC5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8CD40C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1 251 020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B195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1 621 341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746F80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8 015 200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A679A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2 914 589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95528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2 839 871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C0FF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2 590 889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D211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2 821 450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A54B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05AD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35,4</w:t>
            </w:r>
          </w:p>
        </w:tc>
      </w:tr>
      <w:tr w:rsidR="004E10C1" w:rsidRPr="0044524F" w14:paraId="4B7F2B3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FCB53D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Снаряжение снарядов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B7B6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98F4D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F64D6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3313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8406E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0A031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681D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2 131 350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FA81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0B5E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49478FC"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68A8F38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rPr>
              <w:t>Взрыватели</w:t>
            </w:r>
          </w:p>
        </w:tc>
      </w:tr>
      <w:tr w:rsidR="004E10C1" w:rsidRPr="0044524F" w14:paraId="448DBC09"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EF232B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мелким калибрам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C8F6D4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0AA8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7B574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3 800 000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1501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1 417 072</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B16E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1 210 863</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AF98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364 134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734A1A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1 032 500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2AD1F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50CE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31,9</w:t>
            </w:r>
          </w:p>
        </w:tc>
      </w:tr>
      <w:tr w:rsidR="004E10C1" w:rsidRPr="0044524F" w14:paraId="224627A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C737A3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средним калибрам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5254F4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1 050 000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E22F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769 704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039F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4 799 200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CA99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3 082 233</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2350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3 043 750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3A867F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269 534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856B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1 560 000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12FC2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64,2</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11A9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63,4</w:t>
            </w:r>
          </w:p>
        </w:tc>
      </w:tr>
      <w:tr w:rsidR="004E10C1" w:rsidRPr="0044524F" w14:paraId="0D5588B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86C748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крупным калибрам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0569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C67AA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C417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150 356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95D0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102 952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82E91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101 610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470B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70 060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D41AA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E74A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DB5D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67,6</w:t>
            </w:r>
          </w:p>
        </w:tc>
      </w:tr>
      <w:tr w:rsidR="004E10C1" w:rsidRPr="0044524F" w14:paraId="08E99D1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569BFC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Авиационные взрыватели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DED3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2F16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460 443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32D9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1 455 900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58F6C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1 256 888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FF68D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1 209 631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64C27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1 184 300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50CF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F79B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CF90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83,1</w:t>
            </w:r>
          </w:p>
        </w:tc>
      </w:tr>
      <w:tr w:rsidR="004E10C1" w:rsidRPr="0044524F" w14:paraId="38325CA7"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53B58C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взрывателей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9048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1 585 430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FD17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1 258 146</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7A7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10 205 456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AB05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5 859 145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FD0C7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5 565 854</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531C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1 888 028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2E69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3 282 500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B45BF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57,4</w:t>
            </w:r>
          </w:p>
        </w:tc>
        <w:tc>
          <w:tcPr>
            <w:tcW w:w="0" w:type="auto"/>
            <w:tcBorders>
              <w:top w:val="outset" w:sz="6" w:space="0" w:color="auto"/>
              <w:left w:val="outset" w:sz="6" w:space="0" w:color="auto"/>
              <w:bottom w:val="outset" w:sz="6" w:space="0" w:color="auto"/>
              <w:right w:val="outset" w:sz="6" w:space="0" w:color="auto"/>
            </w:tcBorders>
            <w:vAlign w:val="center"/>
            <w:hideMark/>
          </w:tcPr>
          <w:p w14:paraId="5839B06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54,5</w:t>
            </w:r>
          </w:p>
        </w:tc>
      </w:tr>
      <w:tr w:rsidR="004E10C1" w:rsidRPr="0044524F" w14:paraId="0FD5589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F1953B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Дистанционные трубки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CDC7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1 838 000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34E9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2 134 993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B1D5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2 678 800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1AA0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2 465 378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44F8D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2 425 378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BBE7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2 017 650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63A4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5F92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750F3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90,5</w:t>
            </w:r>
          </w:p>
        </w:tc>
      </w:tr>
      <w:tr w:rsidR="004E10C1" w:rsidRPr="0044524F" w14:paraId="625D0D0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6B582B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Капсульные втулки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C6352E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5 893 383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F83B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4 680 810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1DC93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6 960 000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BC4D5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6 642 726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EFFC1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6 460 525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5DC8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6 236 125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095A3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2 255 000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D7CF6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3C2B7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92,8</w:t>
            </w:r>
          </w:p>
        </w:tc>
      </w:tr>
      <w:tr w:rsidR="004E10C1" w:rsidRPr="0044524F" w14:paraId="527B7E4E"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26CAF09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rPr>
              <w:t>Гильзы латунные</w:t>
            </w:r>
          </w:p>
        </w:tc>
      </w:tr>
      <w:tr w:rsidR="004E10C1" w:rsidRPr="0044524F" w14:paraId="1007B7E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6A966C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мм, 37 мм, 45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BD9B8F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99A43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405 144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C91B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5 030 000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AEEFE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1 317 051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5286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1 317 051</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C1B4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1 309 141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8FA2D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83FD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26,2</w:t>
            </w:r>
          </w:p>
        </w:tc>
        <w:tc>
          <w:tcPr>
            <w:tcW w:w="0" w:type="auto"/>
            <w:tcBorders>
              <w:top w:val="outset" w:sz="6" w:space="0" w:color="auto"/>
              <w:left w:val="outset" w:sz="6" w:space="0" w:color="auto"/>
              <w:bottom w:val="outset" w:sz="6" w:space="0" w:color="auto"/>
              <w:right w:val="outset" w:sz="6" w:space="0" w:color="auto"/>
            </w:tcBorders>
            <w:vAlign w:val="center"/>
            <w:hideMark/>
          </w:tcPr>
          <w:p w14:paraId="3C6529F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26,2</w:t>
            </w:r>
          </w:p>
        </w:tc>
      </w:tr>
      <w:tr w:rsidR="004E10C1" w:rsidRPr="0044524F" w14:paraId="4BA3669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327FF1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 мм, 102 мм, 107 мм, 122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0715F0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79BA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2 439 643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B6F7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13CF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851 519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C4EC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851 519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726347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851 519</w:t>
            </w:r>
          </w:p>
        </w:tc>
        <w:tc>
          <w:tcPr>
            <w:tcW w:w="0" w:type="auto"/>
            <w:tcBorders>
              <w:top w:val="outset" w:sz="6" w:space="0" w:color="auto"/>
              <w:left w:val="outset" w:sz="6" w:space="0" w:color="auto"/>
              <w:bottom w:val="outset" w:sz="6" w:space="0" w:color="auto"/>
              <w:right w:val="outset" w:sz="6" w:space="0" w:color="auto"/>
            </w:tcBorders>
            <w:vAlign w:val="center"/>
            <w:hideMark/>
          </w:tcPr>
          <w:p w14:paraId="4FB7270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0E5B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058D9A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99,4</w:t>
            </w:r>
          </w:p>
        </w:tc>
      </w:tr>
      <w:tr w:rsidR="004E10C1" w:rsidRPr="0044524F" w14:paraId="07B004D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6A27C4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287759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6A64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5C0C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10A4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440EE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FD585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233BF7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48C8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0B4A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9C0457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6B6D4E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 мм, 180 мм, 203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31E4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7D5AA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326 984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0B1F0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288 700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2BE3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299 883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7256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299 883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EA3DFA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299 883</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8CD3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5508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F490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103,9</w:t>
            </w:r>
          </w:p>
        </w:tc>
      </w:tr>
      <w:tr w:rsidR="004E10C1" w:rsidRPr="0044524F" w14:paraId="320E85C0"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7034BB9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rPr>
              <w:t>Гильзы железные</w:t>
            </w:r>
          </w:p>
        </w:tc>
      </w:tr>
      <w:tr w:rsidR="004E10C1" w:rsidRPr="0044524F" w14:paraId="7B1D6FF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22DD93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 мм, 107 мм, 122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3F2CAE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45DE0B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1E70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8D3C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316A2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0C1895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DE91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22 000, в т. ч. 10 000 сверт.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3796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48BA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5BBFBCC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335D0D8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3DBDF5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C48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B097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64B7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A8B4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DAAF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4717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2A54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A3DB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r>
      <w:tr w:rsidR="004E10C1" w:rsidRPr="0044524F" w14:paraId="0327185E"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65B8EF0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70B9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4086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336E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D2FF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571C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14 612,1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B3D8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14 391,8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45A8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12 049,2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0E77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2BDF6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39,5</w:t>
            </w:r>
          </w:p>
        </w:tc>
      </w:tr>
      <w:tr w:rsidR="004E10C1" w:rsidRPr="0044524F" w14:paraId="29AFE4DD"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0DDE715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rPr>
              <w:t>Ручное оружие</w:t>
            </w:r>
          </w:p>
        </w:tc>
      </w:tr>
      <w:tr w:rsidR="004E10C1" w:rsidRPr="0044524F" w14:paraId="758F1546"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BEBC83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Винтовка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D400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125 771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D3DEFB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184 353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0EDC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DF58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287 660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D0416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287 660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93F8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285 667</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7836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200 000,</w:t>
            </w:r>
          </w:p>
          <w:p w14:paraId="5E38B9F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 т. ч. для ГАУ 120 000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337B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DFC9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74,7</w:t>
            </w:r>
          </w:p>
        </w:tc>
      </w:tr>
      <w:tr w:rsidR="004E10C1" w:rsidRPr="0044524F" w14:paraId="02BE6692"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D300D0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Максима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707CE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4FFC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12 721</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4C51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ACB3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A3E97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4066E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19 410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9483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9100, в т. ч. для ГАУ 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3858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79,1</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72E7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79,1</w:t>
            </w:r>
          </w:p>
        </w:tc>
      </w:tr>
      <w:tr w:rsidR="004E10C1" w:rsidRPr="0044524F" w14:paraId="30D8C5CF"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D71B2A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Дегтярева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DDE8ED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35 416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9D34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36 139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BEFB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42 306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70E0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43 497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2DDC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43 497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22884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43 497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246F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24 800, в т. ч. для ГАУ 21 000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81B7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415EA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102,1</w:t>
            </w:r>
          </w:p>
        </w:tc>
      </w:tr>
      <w:tr w:rsidR="004E10C1" w:rsidRPr="0044524F" w14:paraId="61F3949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7295A8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Револьверы «Наган»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3066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81 082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A301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84 698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4519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B59F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82 367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7041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82 367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D5ACE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82 367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256977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30 000, в т. ч. для ГАУ 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CCA7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74,9</w:t>
            </w:r>
          </w:p>
        </w:tc>
        <w:tc>
          <w:tcPr>
            <w:tcW w:w="0" w:type="auto"/>
            <w:tcBorders>
              <w:top w:val="outset" w:sz="6" w:space="0" w:color="auto"/>
              <w:left w:val="outset" w:sz="6" w:space="0" w:color="auto"/>
              <w:bottom w:val="outset" w:sz="6" w:space="0" w:color="auto"/>
              <w:right w:val="outset" w:sz="6" w:space="0" w:color="auto"/>
            </w:tcBorders>
            <w:vAlign w:val="center"/>
            <w:hideMark/>
          </w:tcPr>
          <w:p w14:paraId="02F090E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74,9</w:t>
            </w:r>
          </w:p>
        </w:tc>
      </w:tr>
      <w:tr w:rsidR="004E10C1" w:rsidRPr="0044524F" w14:paraId="71657AA5"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897E77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Винтпатроны, 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9831E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275 871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BE303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230 354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BD57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668 613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A08C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380 375,3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13EC6F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380 375,3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4501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378 445,2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26CE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9E51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D67C2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56,9</w:t>
            </w:r>
          </w:p>
        </w:tc>
      </w:tr>
      <w:tr w:rsidR="004E10C1" w:rsidRPr="0044524F" w14:paraId="08365AD1"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5D1EF8A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rPr>
              <w:t>Оптика</w:t>
            </w:r>
          </w:p>
        </w:tc>
      </w:tr>
      <w:tr w:rsidR="004E10C1" w:rsidRPr="0044524F" w14:paraId="5232C48D"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2846BB3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Панорамы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9557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1885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1B02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4F042F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562A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7977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A531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1C52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4A34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8092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96,7</w:t>
            </w:r>
          </w:p>
        </w:tc>
      </w:tr>
      <w:tr w:rsidR="004E10C1" w:rsidRPr="0044524F" w14:paraId="68CAEF36"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0AB2A5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Стереотрубы</w:t>
            </w:r>
          </w:p>
        </w:tc>
        <w:tc>
          <w:tcPr>
            <w:tcW w:w="0" w:type="auto"/>
            <w:tcBorders>
              <w:top w:val="outset" w:sz="6" w:space="0" w:color="auto"/>
              <w:left w:val="outset" w:sz="6" w:space="0" w:color="auto"/>
              <w:bottom w:val="outset" w:sz="6" w:space="0" w:color="auto"/>
              <w:right w:val="outset" w:sz="6" w:space="0" w:color="auto"/>
            </w:tcBorders>
            <w:vAlign w:val="center"/>
            <w:hideMark/>
          </w:tcPr>
          <w:p w14:paraId="418432A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97415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1F59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1630</w:t>
            </w:r>
          </w:p>
          <w:p w14:paraId="5627F6B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3118F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8461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C6230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3A4CE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5552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92,9</w:t>
            </w:r>
          </w:p>
          <w:p w14:paraId="38C13A3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E464B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92,4</w:t>
            </w:r>
          </w:p>
          <w:p w14:paraId="3FF9AF6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128,2</w:t>
            </w:r>
          </w:p>
        </w:tc>
      </w:tr>
      <w:tr w:rsidR="004E10C1" w:rsidRPr="0044524F" w14:paraId="779422F8"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4C47E0E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Пороха свежие, в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C8CDD0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3993,9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85C3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5870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9554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A7BA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5205,9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6D29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4964,1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8EC2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8682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0DE7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43,9</w:t>
            </w:r>
          </w:p>
        </w:tc>
      </w:tr>
      <w:tr w:rsidR="004E10C1" w:rsidRPr="0044524F" w14:paraId="7664D1C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90E81D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Отравляющие вещества, завод № 1</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74DB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CA1E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BAE2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5C1F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F4E3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57746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1519,6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8B17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DD2B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A7DB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100,7</w:t>
            </w:r>
          </w:p>
        </w:tc>
      </w:tr>
      <w:tr w:rsidR="004E10C1" w:rsidRPr="0044524F" w14:paraId="02F39FA5" w14:textId="77777777" w:rsidTr="002E1BE7">
        <w:tc>
          <w:tcPr>
            <w:tcW w:w="0" w:type="auto"/>
            <w:gridSpan w:val="10"/>
            <w:tcBorders>
              <w:top w:val="outset" w:sz="6" w:space="0" w:color="auto"/>
              <w:left w:val="outset" w:sz="6" w:space="0" w:color="auto"/>
              <w:bottom w:val="outset" w:sz="6" w:space="0" w:color="auto"/>
              <w:right w:val="outset" w:sz="6" w:space="0" w:color="auto"/>
            </w:tcBorders>
            <w:vAlign w:val="center"/>
            <w:hideMark/>
          </w:tcPr>
          <w:p w14:paraId="14CFCCE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rPr>
              <w:t>Авиация</w:t>
            </w:r>
          </w:p>
        </w:tc>
      </w:tr>
      <w:tr w:rsidR="004E10C1" w:rsidRPr="0044524F" w14:paraId="2F0FA4D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5740307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12A6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510C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318E3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F28B6D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FBCD3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CB92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57146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2B5D4E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6ACC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EC51C04"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6329AD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5E6A73A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2E5A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A67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ABF8C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7494B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7AB5F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4352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98D4C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273FB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7BE09C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AD07D9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Радиостанции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4C1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6ADAF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EF4E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9054</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5D3C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F94F6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3495</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9114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BC8438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38C7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F68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38,6</w:t>
            </w:r>
          </w:p>
        </w:tc>
      </w:tr>
      <w:tr w:rsidR="004E10C1" w:rsidRPr="0044524F" w14:paraId="3F2F52E0"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00892F3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Прожекторные станции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545B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B07D8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CC00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EED69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BD5E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9871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0291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61A6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E8A6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2346291"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158B389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Прожектора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6AAD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48D2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3756C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9BD3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336</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C5FB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DE0B19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08E97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F108F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2C9C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43,4</w:t>
            </w:r>
          </w:p>
        </w:tc>
      </w:tr>
      <w:tr w:rsidR="004E10C1" w:rsidRPr="0044524F" w14:paraId="53EE2B56"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EB604C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Телеграфный кабель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237A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E217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7A31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935D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5452,5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2B29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A745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CE28D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2786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BD20A9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w:t>
            </w:r>
          </w:p>
        </w:tc>
      </w:tr>
      <w:tr w:rsidR="004E10C1" w:rsidRPr="0044524F" w14:paraId="26654ADA" w14:textId="77777777" w:rsidTr="002E1BE7">
        <w:tc>
          <w:tcPr>
            <w:tcW w:w="0" w:type="auto"/>
            <w:tcBorders>
              <w:top w:val="outset" w:sz="6" w:space="0" w:color="auto"/>
              <w:left w:val="outset" w:sz="6" w:space="0" w:color="auto"/>
              <w:bottom w:val="outset" w:sz="6" w:space="0" w:color="auto"/>
              <w:right w:val="outset" w:sz="6" w:space="0" w:color="auto"/>
            </w:tcBorders>
            <w:vAlign w:val="center"/>
            <w:hideMark/>
          </w:tcPr>
          <w:p w14:paraId="7301573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Телефонный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B8BB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B778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84 956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015F2B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120 543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CA9B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125 438,1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8F3B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131 988,9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B23A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130 142,9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562910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2CCE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5C84F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109,5</w:t>
            </w:r>
          </w:p>
        </w:tc>
      </w:tr>
    </w:tbl>
    <w:p w14:paraId="16F5483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Примечания:</w:t>
      </w:r>
    </w:p>
    <w:p w14:paraId="5AE12B1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Числительное — собрано, знаменатель — принято ОТК (Прим. док.).</w:t>
      </w:r>
    </w:p>
    <w:p w14:paraId="0B3F16E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 сведениям завода 3 шт., а по сведениям объединения 44 шт. (Прим. док.).</w:t>
      </w:r>
    </w:p>
    <w:p w14:paraId="0E5D837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РГАЭ. Ф. 7297. Оп. 41. Д. 29. Л. 1—6. Копия.</w:t>
      </w:r>
    </w:p>
    <w:p w14:paraId="3488476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РГАЭ. Ф. 7297. Оп. 41. Д. 29. Л. 1—6. Копия. </w:t>
      </w:r>
    </w:p>
    <w:p w14:paraId="6B2789C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Становление оборонно-промышленного комплекса СССР (1927-1932). М. 2008, стр. 756-761 (12576).</w:t>
      </w:r>
    </w:p>
    <w:p w14:paraId="66DDE8A4"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6A32C8E5" w14:textId="77777777" w:rsidR="00D858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951F9EB" w14:textId="77777777" w:rsidR="00D8588A" w:rsidRPr="0044524F" w:rsidRDefault="00D858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ED887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января 1933 вышло решение ЦК о чистке партии (800 тыс. исключили в 1933, 340 тыс. в 1934) и общая численность снизилась с 3.5 млн. на 1 января 1933 до 2.350 на 1 января 1935 (3908,339).</w:t>
      </w:r>
    </w:p>
    <w:p w14:paraId="6B98D36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60F333FE"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января 1933 вышло Решение ЦК ВКП (б) о проведении чистки партии (800 тыс. исключенных в 1933, 340 тыс. - в 1934). Общая численность партии (членов и кандидатов в члены) снижается с 3 млн. 500 тыс. по состоянию на 1 янв. 1933 до 2 млн. 350 тыс. на 1 янв. 1935 (4962).</w:t>
      </w:r>
    </w:p>
    <w:p w14:paraId="6D1E70CF" w14:textId="77777777" w:rsidR="00D8588A" w:rsidRPr="0044524F" w:rsidRDefault="00D858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3DAB7B9" w14:textId="77777777" w:rsidR="00791F8F" w:rsidRPr="0044524F" w:rsidRDefault="00791F8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12 января</w:t>
      </w:r>
      <w:r w:rsidRPr="0044524F">
        <w:rPr>
          <w:rFonts w:ascii="Times New Roman" w:hAnsi="Times New Roman"/>
          <w:color w:val="000000" w:themeColor="text1"/>
          <w:sz w:val="16"/>
          <w:szCs w:val="16"/>
        </w:rPr>
        <w:t xml:space="preserve"> в 1933 году ЦК ВКП(б) принял решение о проведении чистки партии, в ходе которой партийных билетов лишились 1 млн. 140 тысяч человек. Чистка стала преддверием "Большого террора" 1937-1938 годов, в ходе которого многие вычищенные из партии были репрессированы (15007).</w:t>
      </w:r>
    </w:p>
    <w:p w14:paraId="38C71E3B" w14:textId="77777777" w:rsidR="00791F8F" w:rsidRPr="0044524F" w:rsidRDefault="00791F8F" w:rsidP="009654CF">
      <w:pPr>
        <w:spacing w:after="0" w:line="240" w:lineRule="auto"/>
        <w:jc w:val="both"/>
        <w:rPr>
          <w:rFonts w:ascii="Times New Roman" w:hAnsi="Times New Roman"/>
          <w:color w:val="000000" w:themeColor="text1"/>
          <w:sz w:val="16"/>
          <w:szCs w:val="16"/>
        </w:rPr>
      </w:pPr>
    </w:p>
    <w:p w14:paraId="49DF9819" w14:textId="77777777" w:rsidR="00804D55" w:rsidRPr="0044524F" w:rsidRDefault="00804D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января 1933. Постановление ЦК ВКП(б) о проведении очередной чистки партии. Определялось, какие категории членов партии подлежат исключению: классово чуждые и враждебные элементы; "двурушники" кто на словах за генеральную линию партии, а на деле против нее; открытые и скрытые нарушители железной партийной дисциплины; те, кто болтает о нереальности установленных партией планов; карьеристы, шкурники; морально разложившиеся и политически малограмотные. В ходе чистки из 3 миллионов 500 тысяч членов партии исключили 1 миллион 140 тысяч человек (18722).</w:t>
      </w:r>
    </w:p>
    <w:p w14:paraId="21DAC8AE" w14:textId="77777777" w:rsidR="00804D55" w:rsidRPr="0044524F" w:rsidRDefault="00804D55" w:rsidP="009654CF">
      <w:pPr>
        <w:spacing w:after="0" w:line="240" w:lineRule="auto"/>
        <w:jc w:val="both"/>
        <w:rPr>
          <w:rFonts w:ascii="Times New Roman" w:hAnsi="Times New Roman"/>
          <w:color w:val="000000" w:themeColor="text1"/>
          <w:sz w:val="16"/>
          <w:szCs w:val="16"/>
        </w:rPr>
      </w:pPr>
    </w:p>
    <w:p w14:paraId="61518DA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января 1933 Завершил работу Объединенный пленум ЦК и ЦКК ВКП(б). В резолюциях пленума отмечено, что в ходе коллективизации "разгромлено кулачество, подорваны корни капитализма в сельском хозяйстве..., решена историческая задача перевода мелкого, индивидуального раздробленного хозяйства на рельсы крупного земледелия, и СССР из страны мелкокрестьянской превратился в страну самого крупного земледелия" (10687).</w:t>
      </w:r>
    </w:p>
    <w:p w14:paraId="10B3523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4A6539E8"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января 1933 закончился Объединённый пленум ЦК и ЦКК ВКП(б), который принял решение о чистке партии и прекращении приёма в неё в 1933 году. Принял решение об «антипартийной группировке» Эйсмонта, Толмачева, Смирнова и пр. (12629).</w:t>
      </w:r>
    </w:p>
    <w:p w14:paraId="286B48C8"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выступления Сталина на объединенном пленуме:</w:t>
      </w:r>
    </w:p>
    <w:p w14:paraId="36D3EFC8"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нас не было черной металлургии, основы индустриализации страны. У нас она есть теперь.</w:t>
      </w:r>
    </w:p>
    <w:p w14:paraId="7BA29E4D"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нас не было тракторной промышленности. У нас она есть теперь.</w:t>
      </w:r>
    </w:p>
    <w:p w14:paraId="289FD73A"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нас не было автомобильной промышленности. У нас она есть теперь.</w:t>
      </w:r>
    </w:p>
    <w:p w14:paraId="17108B3D"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нас не было станкостроения. У нас оно есть теперь.</w:t>
      </w:r>
    </w:p>
    <w:p w14:paraId="70BA5B5B"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нас не было серьезной и современной химической промышленности. У нас она есть теперь.</w:t>
      </w:r>
    </w:p>
    <w:p w14:paraId="384F94BD"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нас не было действительной и серьезной промышленности по производству современных сельскохозяйственных машин. У нас она есть теперь.</w:t>
      </w:r>
    </w:p>
    <w:p w14:paraId="6009F90A"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нас не было авиационной промышленности. У нас она есть теперь.</w:t>
      </w:r>
    </w:p>
    <w:p w14:paraId="79A3E16D"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смысле производства электрической энергии мы стояли на самом последней месте. Теперь мы выдвинулись на одно из первых мест.</w:t>
      </w:r>
    </w:p>
    <w:p w14:paraId="1F0C08E9"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смысле производства нефтяных продуктов и угля мы стояли на последнем месте. Теперь мы выдвинулись на одно из первых мест.</w:t>
      </w:r>
    </w:p>
    <w:p w14:paraId="2BBEA54B"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нас была лишь одна</w:t>
      </w:r>
      <w:r w:rsidRPr="0044524F">
        <w:rPr>
          <w:rFonts w:ascii="Times New Roman" w:hAnsi="Times New Roman"/>
          <w:color w:val="000000" w:themeColor="text1"/>
          <w:sz w:val="16"/>
          <w:szCs w:val="16"/>
        </w:rPr>
        <w:noBreakHyphen/>
        <w:t>единственная угольно</w:t>
      </w:r>
      <w:r w:rsidRPr="0044524F">
        <w:rPr>
          <w:rFonts w:ascii="Times New Roman" w:hAnsi="Times New Roman"/>
          <w:color w:val="000000" w:themeColor="text1"/>
          <w:sz w:val="16"/>
          <w:szCs w:val="16"/>
        </w:rPr>
        <w:noBreakHyphen/>
        <w:t>металлургическая база – на Украине, с которой мы с трудом справлялись. Мы добились того, что не только подняли эту базу, но создали еще новую угольно</w:t>
      </w:r>
      <w:r w:rsidRPr="0044524F">
        <w:rPr>
          <w:rFonts w:ascii="Times New Roman" w:hAnsi="Times New Roman"/>
          <w:color w:val="000000" w:themeColor="text1"/>
          <w:sz w:val="16"/>
          <w:szCs w:val="16"/>
        </w:rPr>
        <w:noBreakHyphen/>
        <w:t>металлургическую базу – на Востоке, составляющую гордость нашей страны.</w:t>
      </w:r>
    </w:p>
    <w:p w14:paraId="4BD7EF22"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 имели лишь одну</w:t>
      </w:r>
      <w:r w:rsidRPr="0044524F">
        <w:rPr>
          <w:rFonts w:ascii="Times New Roman" w:hAnsi="Times New Roman"/>
          <w:color w:val="000000" w:themeColor="text1"/>
          <w:sz w:val="16"/>
          <w:szCs w:val="16"/>
        </w:rPr>
        <w:noBreakHyphen/>
        <w:t>единственную базу текстильной промышленности – на Севере нашей страны. Мы добились того, что будем иметь в ближайшее время две новые базы текстильной промышленности – в Средней Азии и в Западной Сибири.</w:t>
      </w:r>
    </w:p>
    <w:p w14:paraId="35FDD0BB" w14:textId="56BD87AD"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мы не только создали эти новые громадные отрасли промышленности, но мы их создали в таком масштабе и в таких размерах, перед которыми бледнеют масштабы и размеры европейской индустрии». Запад начал на нас смотреть с завистью и опаской. Еще бы. За 3 последних года промышленность в СССР выросла в 2 раза. А у буржуинов кризис. За это же время в США промышленность упала до 65 процентов от 1929 года, промышленность Англии -- до</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86 процентов, промышленность Германии -- до 66</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процентов, промышленность Франции -- до 77 процентов. И у них 25 млн. безработных. У нас безработных нет (12629).</w:t>
      </w:r>
    </w:p>
    <w:p w14:paraId="653D668E" w14:textId="21B4DEEE" w:rsidR="004539AF" w:rsidRPr="0044524F" w:rsidRDefault="004539A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2D915D8" w14:textId="513AE925" w:rsidR="00AF2EC7" w:rsidRPr="0044524F" w:rsidRDefault="00AF2EC7" w:rsidP="009654CF">
      <w:pPr>
        <w:autoSpaceDE w:val="0"/>
        <w:autoSpaceDN w:val="0"/>
        <w:adjustRightInd w:val="0"/>
        <w:spacing w:after="0" w:line="240" w:lineRule="auto"/>
        <w:jc w:val="both"/>
        <w:rPr>
          <w:rFonts w:ascii="Times New Roman" w:hAnsi="Times New Roman"/>
          <w:i/>
          <w:color w:val="000000" w:themeColor="text1"/>
          <w:sz w:val="16"/>
          <w:szCs w:val="16"/>
        </w:rPr>
      </w:pPr>
      <w:r w:rsidRPr="0044524F">
        <w:rPr>
          <w:rFonts w:ascii="Times New Roman" w:hAnsi="Times New Roman"/>
          <w:i/>
          <w:color w:val="000000" w:themeColor="text1"/>
          <w:sz w:val="16"/>
          <w:szCs w:val="16"/>
        </w:rPr>
        <w:t>За рубежом:</w:t>
      </w:r>
    </w:p>
    <w:p w14:paraId="0DEDB02F" w14:textId="77777777" w:rsidR="00AF2EC7" w:rsidRPr="0044524F" w:rsidRDefault="00AF2EC7" w:rsidP="009654CF">
      <w:pPr>
        <w:autoSpaceDE w:val="0"/>
        <w:autoSpaceDN w:val="0"/>
        <w:adjustRightInd w:val="0"/>
        <w:spacing w:after="0" w:line="240" w:lineRule="auto"/>
        <w:jc w:val="both"/>
        <w:rPr>
          <w:rFonts w:ascii="Times New Roman" w:hAnsi="Times New Roman"/>
          <w:i/>
          <w:color w:val="000000" w:themeColor="text1"/>
          <w:sz w:val="16"/>
          <w:szCs w:val="16"/>
        </w:rPr>
      </w:pPr>
    </w:p>
    <w:p w14:paraId="7F0A8B2E" w14:textId="77777777" w:rsidR="00AF2EC7" w:rsidRPr="0044524F" w:rsidRDefault="00AF2EC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января 1933 Марсель Лалуэт и Жан де Пермангл летят на самолете Farman F.231 из Истра, Франция, до Виллы Сиснерос, Французская Западная Африка, за 22 часа, установив новый рекорд дальности, пролетев 2700 километров (1677 миль) (20802).</w:t>
      </w:r>
    </w:p>
    <w:p w14:paraId="528A60EA" w14:textId="77777777" w:rsidR="00AF2EC7" w:rsidRPr="0044524F" w:rsidRDefault="00AF2EC7" w:rsidP="009654CF">
      <w:pPr>
        <w:spacing w:after="0" w:line="240" w:lineRule="auto"/>
        <w:jc w:val="both"/>
        <w:rPr>
          <w:rFonts w:ascii="Times New Roman" w:hAnsi="Times New Roman"/>
          <w:color w:val="000000" w:themeColor="text1"/>
          <w:sz w:val="16"/>
          <w:szCs w:val="16"/>
        </w:rPr>
      </w:pPr>
    </w:p>
    <w:p w14:paraId="7F944081" w14:textId="77777777" w:rsidR="00D858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57B9CC8" w14:textId="77777777" w:rsidR="00D8588A" w:rsidRPr="0044524F" w:rsidRDefault="00D858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23A91A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были представлены техтребования к ТШ-3-М34 (7415, 16).</w:t>
      </w:r>
    </w:p>
    <w:p w14:paraId="3BF37EC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07536579"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были представлены техтребования к ДИ6-М32 (М38) (7415, 16).</w:t>
      </w:r>
    </w:p>
    <w:p w14:paraId="256889E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367E5C0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был рассмотрен макет самолета И-14 М-38 (7415, 16).</w:t>
      </w:r>
    </w:p>
    <w:p w14:paraId="289E140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5371FD1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началась деятельность ОКБ С.В.И. (2989).</w:t>
      </w:r>
    </w:p>
    <w:p w14:paraId="57076B4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52ABF37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года начальник ЦАГИ Харламов писал письмо начальнику ВВС Алкснису Я.И.</w:t>
      </w:r>
    </w:p>
    <w:p w14:paraId="29A7E03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опытного строительства был утвержден Правительством 4-го июля 1932 года и несмотря на неоднократные с нашей стороны просьбы, лицо ряда самолетов совершенно не выяснено, а это не дает возможности развернуть конструкторские работы полностью.</w:t>
      </w:r>
    </w:p>
    <w:p w14:paraId="285087F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До сего времени Управление ВВС не могло нам указать лицо машины ДИ-6 и дать на нее технические требования, несмотря на то, что срок выхода машины установлен 1/IV-33 г. Срок изготовления намечается 10 мес. по получении технических требований.</w:t>
      </w:r>
    </w:p>
    <w:p w14:paraId="347D42EF"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Неясность лица машины СК1, большой объем работы и близость сроков его выпуска (на Гос. испытание 1/Х-33 г.) заставило ЦАГИ развернуть работу на основании требований, имеющихся в правительственном плане. Со стороны же УВВС нет указаний каковым должно быть лицо этой машины. Если проводимая нами работа окажется несоответствующей тому лицу машины, какое предъявит ЦАГИ УВВС вместе с техническими требованиями, работа будет сорвана) а вместе с ней и сроки.</w:t>
      </w:r>
    </w:p>
    <w:p w14:paraId="447D9EB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 По самолету ТШ-3 - М34 объем поставленного Правительством задания имеет всего лишь установку М-34 на ТШ-2-М17. имея в виду, что самолет ТШ-2 в настоящее время к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w:t>
      </w:r>
    </w:p>
    <w:p w14:paraId="223FC9A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данного типа машина требуется ВВС в срочном порядке, то ЦАГИ просит в таком порядке определить лицо машины и прислать ему технические требования, имея в виду, что со дня согласования технических требований на проектирование и постройку машины потребуется минимально 9-12 месяцев (в зависимости от нагрузки соответственной конструкторской бригады).</w:t>
      </w:r>
    </w:p>
    <w:p w14:paraId="0427AAF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программе опытного строительства поставлен гидросамолет МДР4-3М34.</w:t>
      </w:r>
    </w:p>
    <w:p w14:paraId="00D782E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 технические требования к нему определяются по согласованию с Вами.</w:t>
      </w:r>
    </w:p>
    <w:p w14:paraId="66C5AD5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Машина достаточно сложная и требует полной проработки всего проекта заново.</w:t>
      </w:r>
    </w:p>
    <w:p w14:paraId="489798C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Точно так же и по этой машине требуется получить от Вас в срочном порядке технические требования, имея в виду, что проектирование и постройка потребует времени минимально 10 месяцев со дня согласования, с Вами технических требований.</w:t>
      </w:r>
    </w:p>
    <w:p w14:paraId="7ACCFC1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 числе экспериментальных самолетов имеется парабола с 2М11 со сроком постройки 1 октября 1933.</w:t>
      </w:r>
    </w:p>
    <w:p w14:paraId="24F094A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полученный опыт с одномоторной параболой, ЦАГИ полагает возможным и более целесообразным взамен экспериментальной переходной машины параболы с 2М11 строить уже не переходную машину, а экспериментальную с двумя моторами по 400-600 НР, которая могла бы иметь эксплуатационное значение.</w:t>
      </w:r>
    </w:p>
    <w:p w14:paraId="3C8322B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этим увеличивается масштаб машины, а следовательно и объем конструкторских производственных работ.</w:t>
      </w:r>
    </w:p>
    <w:p w14:paraId="0DD840E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приведенных соображений ЦАГИ просит утвердить новый срок выхода на аэродром ЛК2М (400-600) на 1-ое мая 1943 года.</w:t>
      </w:r>
    </w:p>
    <w:p w14:paraId="3C3E465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Согласно постановления совещания, состоявшегося в ЦАГИ 8/XII-32 г. Вами было решено, что НИИ должен в 3-х дневный срок представить в ЦАГИ технические требования на самолет И-14. Техтребования на И-14 получено только 4/I-33 г. между тем как проект машины закончен и все чертежи переданы на производство.</w:t>
      </w:r>
    </w:p>
    <w:p w14:paraId="3C1C62F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Согласно того же совещания по самолету ДИП Вами решено было предложить НИИ в 10 дневный срок представить ЦАГИ технические требования, но таковые получены только 4/I-33 г. Работа по этой машине Институтом развернута по проектированию и производству, полностью по требованиям правительственного плана, несколько отличающихся....</w:t>
      </w:r>
    </w:p>
    <w:p w14:paraId="280CCFB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По самолету И-13 срок его выхода на испытание назначен 1/VI-33 г. Лицо машины определено только лишь 30 декабря 32 г. По получении требований на И-13-М32 ЦАГИ должен начать проектировать новый самолет так как вся работа проводилась им за 6 месяцев до этого по самолету И-13 (вариант развития И-8). Срок изготовления И-13-М-32 по Вашим техтребованиям будет 1/XII-33 г.</w:t>
      </w:r>
    </w:p>
    <w:p w14:paraId="0E8A0F6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По ЛР в виду краткости срока, как Вам известно, машина была начата проектированием до получения от Вас желательного лица машины, что последовало 8 декабря в совещании под Вашим председательством, задний стрелок в нашем проекте заменен стрелком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определяется.</w:t>
      </w:r>
    </w:p>
    <w:p w14:paraId="617DAD6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 технических требованиях УВВС эту машину радиус действия устанавливаемый в требованиях правительственного плана повышен УВВС на 20% без всякого согласования с ЦАГИ. Это новое требование ВВС заставляет ЦАГИ снова пересматривать проект, что отдаляет срок выхода самолета.</w:t>
      </w:r>
    </w:p>
    <w:p w14:paraId="2D72DB4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настоящий момент эти новые обстоятельства заставляют ЦАГИ пересмотреть срок выхода самолетов на испытание и сообщить Вам дополнительно (2305,3).</w:t>
      </w:r>
    </w:p>
    <w:p w14:paraId="2A52305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2E1570B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был издан приказ начальника ГУАП П.И.Баранова N 2/24 (2289,3) об организации на заводе имени Менжинского (п/я 411) (часто пишут 39) КБ опытного самолетостроения легких самолетов войсковых серий (61,130).</w:t>
      </w:r>
    </w:p>
    <w:p w14:paraId="0792FB8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 звучал "...Для организации замкнутого цикла проектирования и производства легких самолетов организовать Центральное конструкторское бюро на заводе им. В.Р.Менжинского..." (24,60).</w:t>
      </w:r>
    </w:p>
    <w:p w14:paraId="2CC7F6A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Точнее:</w:t>
      </w:r>
    </w:p>
    <w:p w14:paraId="0E4D6C1D"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 целях создания соответствующей базы для легкого опытного самолетостроения, обеспечивающей необходимый масштаб и темпы для работы в этой области - организовать в системе завода 39 замкнутый цикл опытного самолетостроения по легким машинам.</w:t>
      </w:r>
    </w:p>
    <w:p w14:paraId="4B393E0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Из ЦАГИ на завод 39 передаются следующие объекты плана опытного строительства: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4E10C1" w:rsidRPr="0044524F" w14:paraId="6E616A11" w14:textId="77777777">
        <w:tc>
          <w:tcPr>
            <w:tcW w:w="2818" w:type="dxa"/>
          </w:tcPr>
          <w:p w14:paraId="6E0E1DF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2818" w:type="dxa"/>
          </w:tcPr>
          <w:p w14:paraId="2EA04AC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w:t>
            </w:r>
          </w:p>
        </w:tc>
        <w:tc>
          <w:tcPr>
            <w:tcW w:w="2818" w:type="dxa"/>
          </w:tcPr>
          <w:p w14:paraId="566150B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работ</w:t>
            </w:r>
          </w:p>
        </w:tc>
      </w:tr>
      <w:tr w:rsidR="004E10C1" w:rsidRPr="0044524F" w14:paraId="3DE19D17" w14:textId="77777777">
        <w:tc>
          <w:tcPr>
            <w:tcW w:w="2818" w:type="dxa"/>
          </w:tcPr>
          <w:p w14:paraId="2A2F113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AB4AC1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госисп.</w:t>
            </w:r>
          </w:p>
        </w:tc>
        <w:tc>
          <w:tcPr>
            <w:tcW w:w="2818" w:type="dxa"/>
          </w:tcPr>
          <w:p w14:paraId="303A0BC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E24B599" w14:textId="77777777">
        <w:tc>
          <w:tcPr>
            <w:tcW w:w="2818" w:type="dxa"/>
          </w:tcPr>
          <w:p w14:paraId="13545B1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ЛР</w:t>
            </w:r>
          </w:p>
        </w:tc>
        <w:tc>
          <w:tcPr>
            <w:tcW w:w="2818" w:type="dxa"/>
          </w:tcPr>
          <w:p w14:paraId="2638469F"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01.03.33</w:t>
            </w:r>
          </w:p>
        </w:tc>
        <w:tc>
          <w:tcPr>
            <w:tcW w:w="2818" w:type="dxa"/>
          </w:tcPr>
          <w:p w14:paraId="57FA087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Проектируется. исполнение проекта 40%</w:t>
            </w:r>
          </w:p>
        </w:tc>
      </w:tr>
      <w:tr w:rsidR="004E10C1" w:rsidRPr="0044524F" w14:paraId="3AFBF56F" w14:textId="77777777">
        <w:tc>
          <w:tcPr>
            <w:tcW w:w="2818" w:type="dxa"/>
          </w:tcPr>
          <w:p w14:paraId="515770A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ТШ-3</w:t>
            </w:r>
          </w:p>
        </w:tc>
        <w:tc>
          <w:tcPr>
            <w:tcW w:w="2818" w:type="dxa"/>
          </w:tcPr>
          <w:p w14:paraId="228A31E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c>
          <w:tcPr>
            <w:tcW w:w="2818" w:type="dxa"/>
          </w:tcPr>
          <w:p w14:paraId="2AA9465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не начато</w:t>
            </w:r>
          </w:p>
        </w:tc>
      </w:tr>
      <w:tr w:rsidR="004E10C1" w:rsidRPr="0044524F" w14:paraId="18D17197" w14:textId="77777777">
        <w:tc>
          <w:tcPr>
            <w:tcW w:w="2818" w:type="dxa"/>
          </w:tcPr>
          <w:p w14:paraId="6F0372E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ДИ-6</w:t>
            </w:r>
          </w:p>
        </w:tc>
        <w:tc>
          <w:tcPr>
            <w:tcW w:w="2818" w:type="dxa"/>
          </w:tcPr>
          <w:p w14:paraId="725BB7A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01.06.33</w:t>
            </w:r>
          </w:p>
        </w:tc>
        <w:tc>
          <w:tcPr>
            <w:tcW w:w="2818" w:type="dxa"/>
          </w:tcPr>
          <w:p w14:paraId="43A129E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не начато</w:t>
            </w:r>
          </w:p>
        </w:tc>
      </w:tr>
      <w:tr w:rsidR="004E10C1" w:rsidRPr="0044524F" w14:paraId="7B7CF7A8" w14:textId="77777777">
        <w:tc>
          <w:tcPr>
            <w:tcW w:w="2818" w:type="dxa"/>
          </w:tcPr>
          <w:p w14:paraId="35FF6C3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И-15</w:t>
            </w:r>
          </w:p>
        </w:tc>
        <w:tc>
          <w:tcPr>
            <w:tcW w:w="2818" w:type="dxa"/>
          </w:tcPr>
          <w:p w14:paraId="22E698CD"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w:t>
            </w:r>
          </w:p>
        </w:tc>
        <w:tc>
          <w:tcPr>
            <w:tcW w:w="2818" w:type="dxa"/>
          </w:tcPr>
          <w:p w14:paraId="0380B3C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Начато проектирование</w:t>
            </w:r>
          </w:p>
        </w:tc>
      </w:tr>
      <w:tr w:rsidR="004E10C1" w:rsidRPr="0044524F" w14:paraId="624D563A" w14:textId="77777777">
        <w:tc>
          <w:tcPr>
            <w:tcW w:w="2818" w:type="dxa"/>
          </w:tcPr>
          <w:p w14:paraId="0435F49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Р-5</w:t>
            </w:r>
          </w:p>
        </w:tc>
        <w:tc>
          <w:tcPr>
            <w:tcW w:w="2818" w:type="dxa"/>
          </w:tcPr>
          <w:p w14:paraId="24F5622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4C26FF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Модификация</w:t>
            </w:r>
          </w:p>
        </w:tc>
      </w:tr>
      <w:tr w:rsidR="004E10C1" w:rsidRPr="0044524F" w14:paraId="736D82D7" w14:textId="77777777">
        <w:tc>
          <w:tcPr>
            <w:tcW w:w="2818" w:type="dxa"/>
          </w:tcPr>
          <w:p w14:paraId="4BF1DBA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ТШ-2</w:t>
            </w:r>
          </w:p>
        </w:tc>
        <w:tc>
          <w:tcPr>
            <w:tcW w:w="2818" w:type="dxa"/>
          </w:tcPr>
          <w:p w14:paraId="188403FD"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B99B97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на летных испытаниях</w:t>
            </w:r>
          </w:p>
        </w:tc>
      </w:tr>
      <w:tr w:rsidR="004E10C1" w:rsidRPr="0044524F" w14:paraId="32DAD830" w14:textId="77777777">
        <w:tc>
          <w:tcPr>
            <w:tcW w:w="2818" w:type="dxa"/>
          </w:tcPr>
          <w:p w14:paraId="4B41662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Парабола</w:t>
            </w:r>
          </w:p>
        </w:tc>
        <w:tc>
          <w:tcPr>
            <w:tcW w:w="2818" w:type="dxa"/>
          </w:tcPr>
          <w:p w14:paraId="26F9676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9007D7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на летных испытаниях</w:t>
            </w:r>
          </w:p>
        </w:tc>
      </w:tr>
      <w:tr w:rsidR="004E10C1" w:rsidRPr="0044524F" w14:paraId="023E4181" w14:textId="77777777">
        <w:tc>
          <w:tcPr>
            <w:tcW w:w="2818" w:type="dxa"/>
          </w:tcPr>
          <w:p w14:paraId="10A4709F"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Самолет Кричевского</w:t>
            </w:r>
          </w:p>
        </w:tc>
        <w:tc>
          <w:tcPr>
            <w:tcW w:w="2818" w:type="dxa"/>
          </w:tcPr>
          <w:p w14:paraId="0F814CA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E670BD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 постройкой на ЗОК</w:t>
            </w:r>
          </w:p>
        </w:tc>
      </w:tr>
      <w:tr w:rsidR="004E10C1" w:rsidRPr="0044524F" w14:paraId="02F171E2" w14:textId="77777777">
        <w:tc>
          <w:tcPr>
            <w:tcW w:w="2818" w:type="dxa"/>
          </w:tcPr>
          <w:p w14:paraId="296391D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Стратосферный самолет</w:t>
            </w:r>
          </w:p>
        </w:tc>
        <w:tc>
          <w:tcPr>
            <w:tcW w:w="2818" w:type="dxa"/>
          </w:tcPr>
          <w:p w14:paraId="6BDF6DE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588249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Проектируется. Приспособляется РД</w:t>
            </w:r>
          </w:p>
        </w:tc>
      </w:tr>
      <w:tr w:rsidR="004E10C1" w:rsidRPr="0044524F" w14:paraId="37179F4D" w14:textId="77777777">
        <w:tc>
          <w:tcPr>
            <w:tcW w:w="2818" w:type="dxa"/>
          </w:tcPr>
          <w:p w14:paraId="03AA8C4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Парабола</w:t>
            </w:r>
          </w:p>
        </w:tc>
        <w:tc>
          <w:tcPr>
            <w:tcW w:w="2818" w:type="dxa"/>
          </w:tcPr>
          <w:p w14:paraId="40D504FF"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w:t>
            </w:r>
          </w:p>
        </w:tc>
        <w:tc>
          <w:tcPr>
            <w:tcW w:w="2818" w:type="dxa"/>
          </w:tcPr>
          <w:p w14:paraId="472D7CC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204726BD"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НКТП П.И.Б. (2289,2).</w:t>
      </w:r>
    </w:p>
    <w:p w14:paraId="64A5EB5D"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Н.М.Харламова, начальника ЦАГИ, от того же дня С.В.И. был освобожден от обязанностей Зам. начальника ЦАГИ ввиду назначения его Зам. директора и Начальника КБ опытного самолетостроения на заводе п/я 411 (61,130).</w:t>
      </w:r>
    </w:p>
    <w:p w14:paraId="4C432C4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этому приказу ГУАП с учетом того, что ЦКБ стал специализированным на легких самолетах (24,60), по-видимому имел в виду, что тяжелые различного назначения поручалось бригадам, оставленным в составе конструкторского отдела (КОСОС) ЦАГИ и работавшим там под общим руководством А.Н.Туполева (5,7). На практике эта специализация так и не реализовалась, так как трудно считать бомбардировщик ДБ-3 (ЦКБ-26) - легким самолетом.</w:t>
      </w:r>
    </w:p>
    <w:p w14:paraId="48072D7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создания нового ЦКБ - 1 месяц (24,60) и оно было создано к середине февраля 1933 г.</w:t>
      </w:r>
    </w:p>
    <w:p w14:paraId="5667D72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Глававиапром издал приказ 25 января и группа Н.Н.П. приступила к работе в новом ЦКБ 9 февраля 1933 (67,108). Якобы в это время Н.Н.П. задумал связку "биплан (маневренность) - моноплан (скорость)"</w:t>
      </w:r>
    </w:p>
    <w:p w14:paraId="68B560A9"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 же решением Глававиапрома новое КБ получило несколько бригад, занимавшихся проектированием легких самолетов в конструкторском отделе (КОСОС) ЦАГИ (5,7) или СОС ЦАГИ (61,649). В полном составе бригады самолетов-разведчиков и морских самолетов, часть БОК, 18 чел. бригады истребителей во главе с Н.Н.Поликарповым, часть бригады вооружения во главе с Я.И.Мальцевым (24,60), небольшие группы по 3-5 человек из других бригад.</w:t>
      </w:r>
    </w:p>
    <w:p w14:paraId="114A126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третьим данным создание нового ЦКБ на 39 и 1 заводах началось еще в декабре 1932 и команды С.В.Ильюшина, С.А.Кочеригина, Г.М.Бериева, Н.Н.Поликарпова перебазировались из ЦАГИ на заводы 39 им. Менжинского и N 1 (92).</w:t>
      </w:r>
    </w:p>
    <w:p w14:paraId="61B0DF8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А.Н.Т. КО ЦАГИ в 1932 вырос с 214 до 854 чел. Потом выделилось бюро внедрения, куда выделили 300 и 39 завод куда выделили 110 и в бюро легких морских самолетов - 40 чел. (299,2).</w:t>
      </w:r>
    </w:p>
    <w:p w14:paraId="597CC77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22FBFBC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 заместитель наркома тяжелой промышленности СССР и начальник Главного управления авиационной промышленности (ГУАП) П.И.Баранов издает приказ о формировании на заводе № 39 им. В.Р.Менжинского нового ЦКБ «для организации замкнутого цикла проектирования и производства легких самолетов» (9536,4).</w:t>
      </w:r>
    </w:p>
    <w:p w14:paraId="37F64D2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ЦКБ С.В.Ильюшин разделил коллектив на шесть бригад. Бригадой № 1, где проектировали штурмовики и самолеты-разведчики, руководил С.А.-Кочеригин.</w:t>
      </w:r>
    </w:p>
    <w:p w14:paraId="7EFA4E1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Бригаду № 2 возглавил Н.Н.Поликарпов, и основным направлением ее деятельности стали истребители.</w:t>
      </w:r>
    </w:p>
    <w:p w14:paraId="6392DDC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Бригада № 3 первоначально занималась разработкой экспериментальных конструкций. Ее работой руководил В.А.Чижевский. Через некоторое время группу Чижевского перевели на Смоленский авиазавод, а реформированная бригада под руководством Ильюшина занялась дальними бомбардировщиками.</w:t>
      </w:r>
    </w:p>
    <w:p w14:paraId="1452632D"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Бригада № 4 во главе с Я.И.Мальцевым проектировала вооружение. Бригада № 5 создавала морские самолеты под руководством Г.М.Бериева. Бригада № 6, возглавляемая П.М.Крейсоном, занималась статическими испытаниями (9536,4).</w:t>
      </w:r>
    </w:p>
    <w:p w14:paraId="37B366F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3DBA72D3" w14:textId="77777777" w:rsidR="004414F9" w:rsidRPr="0044524F" w:rsidRDefault="004414F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 Начальник Главного управления авиа</w:t>
      </w:r>
      <w:r w:rsidRPr="0044524F">
        <w:rPr>
          <w:rFonts w:ascii="Times New Roman" w:hAnsi="Times New Roman"/>
          <w:color w:val="000000" w:themeColor="text1"/>
          <w:sz w:val="16"/>
          <w:szCs w:val="16"/>
        </w:rPr>
        <w:softHyphen/>
        <w:t>промышленности П.И. Баранов подписал приказ об орга</w:t>
      </w:r>
      <w:r w:rsidRPr="0044524F">
        <w:rPr>
          <w:rFonts w:ascii="Times New Roman" w:hAnsi="Times New Roman"/>
          <w:color w:val="000000" w:themeColor="text1"/>
          <w:sz w:val="16"/>
          <w:szCs w:val="16"/>
        </w:rPr>
        <w:softHyphen/>
        <w:t>низации нового Центрального Конструкторского Бюро на базе авиазавода №39. В новом качестве ЦАГИ предстоя</w:t>
      </w:r>
      <w:r w:rsidRPr="0044524F">
        <w:rPr>
          <w:rFonts w:ascii="Times New Roman" w:hAnsi="Times New Roman"/>
          <w:color w:val="000000" w:themeColor="text1"/>
          <w:sz w:val="16"/>
          <w:szCs w:val="16"/>
        </w:rPr>
        <w:softHyphen/>
        <w:t>ло специализироваться на тяжелых самолетах, а новому ЦКБ на так называемых легких самолетах.</w:t>
      </w:r>
    </w:p>
    <w:p w14:paraId="34D3D741" w14:textId="77777777" w:rsidR="004414F9" w:rsidRPr="0044524F" w:rsidRDefault="004414F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ЦКБ, насчитывающем шесть проектных бригад, назначили С.В. Ильюшина. Расклад и специализа</w:t>
      </w:r>
      <w:r w:rsidRPr="0044524F">
        <w:rPr>
          <w:rFonts w:ascii="Times New Roman" w:hAnsi="Times New Roman"/>
          <w:color w:val="000000" w:themeColor="text1"/>
          <w:sz w:val="16"/>
          <w:szCs w:val="16"/>
        </w:rPr>
        <w:softHyphen/>
        <w:t>ция бригад были таковы:</w:t>
      </w:r>
    </w:p>
    <w:p w14:paraId="3DF5A0D8" w14:textId="77777777" w:rsidR="004414F9" w:rsidRPr="0044524F" w:rsidRDefault="004414F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Бригада №1 С.А. Кочеригина - разведчики и штурмовики.</w:t>
      </w:r>
    </w:p>
    <w:p w14:paraId="13285C35" w14:textId="77777777" w:rsidR="004414F9" w:rsidRPr="0044524F" w:rsidRDefault="004414F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Бригада №2 Н.Н. Поликарпова - истребители.</w:t>
      </w:r>
    </w:p>
    <w:p w14:paraId="0E6619A6" w14:textId="77777777" w:rsidR="004414F9" w:rsidRPr="0044524F" w:rsidRDefault="004414F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Бригада №3 В.А. Чижевского - экспериментальные ра</w:t>
      </w:r>
      <w:r w:rsidRPr="0044524F">
        <w:rPr>
          <w:rFonts w:ascii="Times New Roman" w:hAnsi="Times New Roman"/>
          <w:color w:val="000000" w:themeColor="text1"/>
          <w:sz w:val="16"/>
          <w:szCs w:val="16"/>
        </w:rPr>
        <w:softHyphen/>
        <w:t>боты. Подразделение, которым руководил Чижевский бы</w:t>
      </w:r>
      <w:r w:rsidRPr="0044524F">
        <w:rPr>
          <w:rFonts w:ascii="Times New Roman" w:hAnsi="Times New Roman"/>
          <w:color w:val="000000" w:themeColor="text1"/>
          <w:sz w:val="16"/>
          <w:szCs w:val="16"/>
        </w:rPr>
        <w:softHyphen/>
        <w:t>ло образовано в 1931 г. специально для создания страто</w:t>
      </w:r>
      <w:r w:rsidRPr="0044524F">
        <w:rPr>
          <w:rFonts w:ascii="Times New Roman" w:hAnsi="Times New Roman"/>
          <w:color w:val="000000" w:themeColor="text1"/>
          <w:sz w:val="16"/>
          <w:szCs w:val="16"/>
        </w:rPr>
        <w:softHyphen/>
        <w:t>сферного самолета и поначалу базировалось на ЦАГИ. С фе</w:t>
      </w:r>
      <w:r w:rsidRPr="0044524F">
        <w:rPr>
          <w:rFonts w:ascii="Times New Roman" w:hAnsi="Times New Roman"/>
          <w:color w:val="000000" w:themeColor="text1"/>
          <w:sz w:val="16"/>
          <w:szCs w:val="16"/>
        </w:rPr>
        <w:softHyphen/>
        <w:t>враля 1933 г. БОК перевели на завод №39, где подразделение получило наименование бригады №3. Летом 1934 г. БОК перевели на авиазавод №35 в Смоленск, где и продолжилась достройка самолета БОК-1. Бригада №3 в обновленном составе перешла под личное управление Начальника ЦКБ С.В. Ильюшина. Именно в ней в 1934 г. спроектировали прототип дальнего бомбардировщика ЦКБ-26.</w:t>
      </w:r>
    </w:p>
    <w:p w14:paraId="7DF2B836" w14:textId="77777777" w:rsidR="004414F9" w:rsidRPr="0044524F" w:rsidRDefault="004414F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Бригада №4 Я.И. Мальцева - разработка вооружения.</w:t>
      </w:r>
    </w:p>
    <w:p w14:paraId="6391F7AF" w14:textId="77777777" w:rsidR="004414F9" w:rsidRPr="0044524F" w:rsidRDefault="004414F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Бригада №5 Г.М. Бериева - морские самолеты.</w:t>
      </w:r>
    </w:p>
    <w:p w14:paraId="71D7EF61" w14:textId="77777777" w:rsidR="004414F9" w:rsidRPr="0044524F" w:rsidRDefault="004414F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Бригада №6 П.М. Крейсона - весовые расчеты, взвеши</w:t>
      </w:r>
      <w:r w:rsidRPr="0044524F">
        <w:rPr>
          <w:rFonts w:ascii="Times New Roman" w:hAnsi="Times New Roman"/>
          <w:color w:val="000000" w:themeColor="text1"/>
          <w:sz w:val="16"/>
          <w:szCs w:val="16"/>
        </w:rPr>
        <w:softHyphen/>
        <w:t>вание, статические испытания.</w:t>
      </w:r>
    </w:p>
    <w:p w14:paraId="04075148" w14:textId="77777777" w:rsidR="004414F9" w:rsidRPr="0044524F" w:rsidRDefault="004414F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Задание на сухопутный армейский самолет-разведчик и легкий бомбардировщик для замены разведчика Р-5 по</w:t>
      </w:r>
      <w:r w:rsidRPr="0044524F">
        <w:rPr>
          <w:rFonts w:ascii="Times New Roman" w:hAnsi="Times New Roman"/>
          <w:color w:val="000000" w:themeColor="text1"/>
          <w:sz w:val="16"/>
          <w:szCs w:val="16"/>
        </w:rPr>
        <w:softHyphen/>
        <w:t>явилось в начале 1932 г. Разработка началась еще в бри</w:t>
      </w:r>
      <w:r w:rsidRPr="0044524F">
        <w:rPr>
          <w:rFonts w:ascii="Times New Roman" w:hAnsi="Times New Roman"/>
          <w:color w:val="000000" w:themeColor="text1"/>
          <w:sz w:val="16"/>
          <w:szCs w:val="16"/>
        </w:rPr>
        <w:softHyphen/>
        <w:t>гаде №5 ЦКБ-ЦАГИ, которой руководил С.А. Кочеригин, его заместителем в этот период являлся А.А. Дубровин. Основ</w:t>
      </w:r>
      <w:r w:rsidRPr="0044524F">
        <w:rPr>
          <w:rFonts w:ascii="Times New Roman" w:hAnsi="Times New Roman"/>
          <w:color w:val="000000" w:themeColor="text1"/>
          <w:sz w:val="16"/>
          <w:szCs w:val="16"/>
        </w:rPr>
        <w:softHyphen/>
        <w:t>ная надежда была на двигатель М-34, с которым надеялись добиться значительного повышения всех боевых и летных данных (20362).</w:t>
      </w:r>
    </w:p>
    <w:p w14:paraId="27C5E025" w14:textId="77777777" w:rsidR="004414F9" w:rsidRPr="0044524F" w:rsidRDefault="004414F9" w:rsidP="009654CF">
      <w:pPr>
        <w:shd w:val="clear" w:color="auto" w:fill="FFFFFF"/>
        <w:spacing w:after="0" w:line="240" w:lineRule="auto"/>
        <w:jc w:val="both"/>
        <w:rPr>
          <w:rFonts w:ascii="Times New Roman" w:hAnsi="Times New Roman"/>
          <w:color w:val="000000" w:themeColor="text1"/>
          <w:sz w:val="16"/>
          <w:szCs w:val="16"/>
        </w:rPr>
      </w:pPr>
    </w:p>
    <w:p w14:paraId="78815B8E" w14:textId="7D7F378D"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 по приказу ГУАП ЦКБ снова отделено от ЦАГИ, вернулось на завод № 39 и получило название ЦКБ-39. При разделении в состав ЦКБ перешли в полном составе бригады разведчиков и морских самолетов, часть БОК, 18 чел. из бригады истребителей во главе с Поликарповым, часть бригады вооружения во главе с Мальцевым, небольшие группы по 3-5 чел. из других бригад. К 15.02.1933 г. формирование ЦКБ было завершено, работало 6 бригад. Разместилось ЦКБ на третьем, последнем, этаже одного из цехов завода (сейчас это здание на территории МАПО). С 1932 г. В составе ЦКБ работала конструкторская группа под руководством А.С. Яковлева, создан самолет АИР-6 (первый полет 2.05.1932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 1934 г. переведена на завод № 115.</w:t>
      </w:r>
    </w:p>
    <w:p w14:paraId="15A24A4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 г. начато выделение бригад из состава ЦКБ в самостоятельные КБ, в этом же году большинство бригад переведены на серийные заводы. В 1936 г. с образованием ОКБ-39 гл. конструктора С.В. Ильюшина ЦКБ расформировано.</w:t>
      </w:r>
    </w:p>
    <w:p w14:paraId="0E084AA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(1931 г.)- около 500 чел.</w:t>
      </w:r>
    </w:p>
    <w:p w14:paraId="6F24BFB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(1926-28 г.-)- Б.Ф. Гончаров (арестован), (27.08.1931-ЗЗ г.)- С.В. Ильюшин.</w:t>
      </w:r>
    </w:p>
    <w:p w14:paraId="6FDC6BA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(1931 г.-)- А.Н. Туполев, (1933 г.-)- С.А. Кочеригин.</w:t>
      </w:r>
    </w:p>
    <w:p w14:paraId="761BF11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(06.1931 г.-)- Д.П. Григорович, (1933 г.-)- С.В. Ильюшин.</w:t>
      </w:r>
    </w:p>
    <w:p w14:paraId="28FBE09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бригад (1934 г.)- А.А. Дубровин, В.К. Таиров, В.П. Яценко.</w:t>
      </w:r>
    </w:p>
    <w:p w14:paraId="61E3920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бригады (1935 г.-)- А.А. Сеньков.</w:t>
      </w:r>
    </w:p>
    <w:p w14:paraId="72656DC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Летчики-испытатели: (1935 г.)- В.К. Коккинаки (11092).</w:t>
      </w:r>
    </w:p>
    <w:p w14:paraId="383172B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5C09AC78" w14:textId="25E6AC95"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 ЦКБ с работами по легким самолетам снова отделено от ЦАГИ. Из КОСОС в ЦКБ передано несколько бригад по легким самолетам. Работы по тяжелым самолетам остались в КОСОС ЦАГИ (ОКБ-156 МАП, ГКАТ, ОКБ-166 НКАП, Авиационный научно-технический комплекс (АНТК) им. А.Н. Туполева, АООТ, ОАО «АНТК им. А.Н. Туполева», ОАО «Туполев» / г. Москва, 66 ул. Салтыковская, 3/ /111250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Москва, наб. Академика Туполева, 15 тел. 267-24-44/ /ОАО «Туполев»: 113054</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Москва ул. Бахрушина, 23 стр. 1 тел. 238-34-13/), начальником которого стал А.Н. Туполев, помощник- А.В. Надашкевич.</w:t>
      </w:r>
    </w:p>
    <w:p w14:paraId="7A2A4BF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Структурно КОСОС в это время состоял из бригад: № 1 по тяжелым самолетам; № 2 по гидросамолетам; № 4 по истребителям (в 05.1932 г. бригады № 3 и № 4 слились в единую бригаду № 3); № 5 по скоростным самолетам; № 6 по экспериментальным самолетам; № 7 по в/винтам; № 8 по силовым установкам; № 9 по шасси; № 10 по торпедным катерам; № 12 по артиллерийско-стрелковым установкам пулеметно-пушечного вооружения (1111В); № 13 по бомбардировочному и минно-торпедному вооружению (БМТВ); № 14 по химическому вооружению. Бригады № 12, 13, 14 входили в состав Отдела вооружения, созданного в 1931 г. Кроме того, в состав отдела входили: бригада испытаний вооружения, опытно-экспериментальная лаборатория (ОЭЛ), цех при ЗОК. Далее бригады преобразованы в КБ с сохранением нумерации.</w:t>
      </w:r>
    </w:p>
    <w:p w14:paraId="43B10A7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1935 г. бригада № 1 преобразована в самостоятельное КБ-1 при заводе. В начале 1936 г. КБ-5 А.А. Архангельского выделено из состава ОКБ в самостоятельное ОКБ завода № 22, вскоре из состава ОКБ выделилось КБ-6 В.М. Мясшцева и переведено на серийный завод. В середине 1936 г. бригады № 12 и № 13 переведены на завод № 32. Бригада № 14 в 1936 г. переведена на завод № 145.</w:t>
      </w:r>
    </w:p>
    <w:p w14:paraId="79EA3E1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1930 г. начата разработка истребителя АНТ-23 под две 76-мм ДРП АПК-5; 26.07.1930 г. выдано задание на разработку двухместного истребителя ДИП под 100-мм АПК-8.</w:t>
      </w:r>
    </w:p>
    <w:p w14:paraId="2A5C8BD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27.12.1936 г. вышло Постановление СТО № ОК-255сс «О постройке скоростного дальнего штурмовика- разведчика» (шифр «Иванов»). В соответствии с ним под руководством П.О. Сухова был спроектирован ББ-1. В 06.1939 г. КО № 15 П.О. Сухого в количестве 63 чел. переведен на завод № 135 для внедрения самолета в серию.</w:t>
      </w:r>
    </w:p>
    <w:p w14:paraId="3B6D734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21.10.1937 г. А.Н. Туполев, как и ряд других конструкторов, был арестован. Работа ОКБ приостановлена и практически не велась около двух лет. Около года Туполев провел в Бутырской тюрьме, затем работает, будучи заключенным, в специальном ЦКБ-29 НКВД в дер. Болшево. В 1939 г. ЦКБ переведено в Москву и размещено в здании бывшего КОСОС. По приказу № 385с от 26.11.1939 г. ОКБ завода № 156 передано в 11ГУ НКАП.</w:t>
      </w:r>
    </w:p>
    <w:p w14:paraId="70EC18C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 172с от 21.05.1938 г. для внедрения в серию самолета АНТ-42 на заводе № 124 туда переданы чертежи и спецификации самолета; направлена конструкторская группа во главе с И.Ф. Незвалем, которая вошла в состав единого КО завода.</w:t>
      </w:r>
    </w:p>
    <w:p w14:paraId="2C80382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Правительства № 237сс от 29.07.1939 г. и приказом № 248сс от 7.08.1939 г. П.О. Сухой возглавил самостоятельное ОКБ на заводе № 135.</w:t>
      </w:r>
    </w:p>
    <w:p w14:paraId="4DF8101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 ГКО № 175 от 17.07.1941 г. самолет ЮЗУ (Ту-2) запущен в серию.</w:t>
      </w:r>
    </w:p>
    <w:p w14:paraId="408EBC0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1941 г. ОКБ А.Н. Туполева эвакуировано в Омск на завод № 166 НКАП, сюда же в 07-08.1941 г. эвакуировано ЦКБ-29. Вскоре на их базе организовано ОКБ-166 НКАП под руководством А.Н. Туполева. Сюда же эвакуировано КБ А.А. Архангельского и влито в состав ОКБ-166.</w:t>
      </w:r>
    </w:p>
    <w:p w14:paraId="3ECFC7F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месте ОКБ-156 НКАП по приказу № 297с от 15.05.1943 г. был организован завод № 225 НКАП.</w:t>
      </w:r>
    </w:p>
    <w:p w14:paraId="4437E2E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 233с от 14/19.04.1943 г. Туполев назначен гл. конструктором/ ответственным руководителем завода № 156. Осенью 1943 г. КБ вернулось из Омска на площадку завода № 156 и действовало как ОКБ-156 НКАП.</w:t>
      </w:r>
    </w:p>
    <w:p w14:paraId="2F09191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вновь организованном заводе № 156 созданы отделы: вооружения, в который входили бригады Д.А. Горского, С.И. Савельева; специальных конструкций (средства спасения, высотное и бытовое оборудование).</w:t>
      </w:r>
    </w:p>
    <w:p w14:paraId="0B13E79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 время ВОВ в состав ОКБ-156 вошло КБ Голубкова, занимавшееся до этого внедрением в серию самолетов В-25, </w:t>
      </w:r>
      <w:r w:rsidRPr="0044524F">
        <w:rPr>
          <w:rFonts w:ascii="Times New Roman" w:hAnsi="Times New Roman"/>
          <w:color w:val="000000" w:themeColor="text1"/>
          <w:sz w:val="16"/>
          <w:szCs w:val="16"/>
          <w:lang w:val="en-US"/>
        </w:rPr>
        <w:t>DC</w:t>
      </w:r>
      <w:r w:rsidRPr="0044524F">
        <w:rPr>
          <w:rFonts w:ascii="Times New Roman" w:hAnsi="Times New Roman"/>
          <w:color w:val="000000" w:themeColor="text1"/>
          <w:sz w:val="16"/>
          <w:szCs w:val="16"/>
        </w:rPr>
        <w:t>-3. Затем Голубков работал самостоятельно. В 1954 г. в состав ОКБ-156 вновь влился штат ликвидированного ОКБ-ЗО МАП гл. конструктора А.П. Голубкова, который стал замом Туполева по гражданским самолетам.</w:t>
      </w:r>
    </w:p>
    <w:p w14:paraId="15A83EB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возвращения коллектива в Москву продолжены работы по модификациям Ту-2. В соответствии с пост. ГКО № 5947 от 22.05.1944 г. создан опытный СДБ («63»), По пр. № 444 от 20.07.1944 г. создан опытный Ту-2М с АШ-83ФН. В соответствии с ПСМ № 472-191 от 26.02.1946 г. разрабатывались варианты Ту-2 с двигателями М- 250 и с М-93 (Ту-6), пост. № 2548-1065 от 30.11.1946 г. и № 493-192 от 11.03.1947 г., соответственно, работы прекращены. Создан фоторазведчик Ту-2Ф, пост. СМ СССР № 2941-957 от 22.08.1947 г. он пнв под обозначением Ту-6. В 1946 г. создан опытный Ту-2Д («65»), по пр. № 766 от 4.12.1946 г. работы по нему прекращены. В 1947 г. выпущена малая серия Ту-10 - последнего отечественного бомбардировщика с поршневыми двигателями. В соответствии с ПСМ № 760-288 от 22.02.1949 г. проводились работы по буксировке за Ту-2 истребителя Як-23 с возможностью отцепки и повторной сцепки в воздухе.</w:t>
      </w:r>
    </w:p>
    <w:p w14:paraId="727B729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1944 г.- разработка проекта тяжелого бомбардировщика «64», приказом № 223 от 16.04.1947 г. работы прекращены.</w:t>
      </w:r>
    </w:p>
    <w:p w14:paraId="04E7B87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началом масштабных работ по Б-4 (Ту-4) в соответствии с пост. ГКО № 8934 от 6.06.1945 г., по приказу № 263сс от 22.06.1945 г. образован филиал ОКБ на заводе № 22. Для этого в подчинение ОКБ-156 передано ОКБ-22 гл. конструктора И.Ф. Незваля с остатками коллектива гл. конструктора В.М. Мясищева. Далее по приказам № 341с от 14.08.1945 г. и № 371с от 8.09.1945 г. в распоряжение ОКБ-156 в качестве филиала передан филиал завода № 301 (переведен из 1ГУ в 7ГУ), включивший также в свой состав штат и оборудование филиала завода № 134 НКАП. В 1948 г. ОКБ-22 переведено в состав завода № 22. В 1957 г. вновь действовал филиал ОКБ- 156 на заводе № 22.</w:t>
      </w:r>
    </w:p>
    <w:p w14:paraId="489D5EB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1949-51 г. сформирована Летно-доводочная база (ДЦБ, затем- ЛИиДБ) ОКБ в Жуковском. Там имелись административно-бытовое здание, ангарный комплекс, ангар-навес.</w:t>
      </w:r>
    </w:p>
    <w:p w14:paraId="58475B0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1954 г. образован филиал в Томилино. Работы по Ту-4, Ту-16, Ту-95ЛАЛ, Ту-124, БПЛА Ту-123.</w:t>
      </w:r>
    </w:p>
    <w:p w14:paraId="447B555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03.1956 г. создан филиал ОКБ-156 на заводе № 18. Проектировались Ту-115, Ту-126. Работы по Ту-95, Ту- 142, Ту-154.</w:t>
      </w:r>
    </w:p>
    <w:p w14:paraId="4A85968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1956-57 г. в ОКБ создан отдел «К» по разработке БПЛА, который возглавил А.А. Туполев.</w:t>
      </w:r>
    </w:p>
    <w:p w14:paraId="01EC0A5E" w14:textId="1019FF4A"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проекты самолетов в ОКБ имели нумерацию: «471» - 1-й проект 1947 г.; «485» - 5-й проект 1948 г.</w:t>
      </w:r>
      <w:r w:rsidRPr="0044524F">
        <w:rPr>
          <w:rFonts w:ascii="Times New Roman" w:hAnsi="Times New Roman"/>
          <w:color w:val="000000" w:themeColor="text1"/>
          <w:sz w:val="16"/>
          <w:szCs w:val="16"/>
          <w:vertAlign w:val="superscript"/>
        </w:rPr>
        <w:t>30</w:t>
      </w:r>
    </w:p>
    <w:p w14:paraId="5756656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ПСМ № 472-191 от 02.1946 г. начата разработка пассажирского варианта Ту-4 - самолета Ту- 70 («70», Ту-12). В соответствии с ПСМ № 3140-1028 от 8.09.1947 г. начата разработка Ту-4К в составе РК «Комета», в 1953 г. он пнв. В соответствии с ПСМ № 3159-1317 от 14.07.1950 г. велось создание системы «Бурлаки»: буксировке за Ту-4 истребителя МиГ-15бис. Пост, правительства № 3193-1214 от 10.07.1952 г. серийный выпуск Ту-4 прекращен.</w:t>
      </w:r>
    </w:p>
    <w:p w14:paraId="287D1589"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начале 1947 г. разработан проект фронтового бомбардировщика «73». Пост, правительства № 493-192 от 11.03.1947 г. утверждена его постройка, а также начата разработка дальнего бомбардировщика «69» (Ту-8). Пост. № 2941-957 от 22.08.1947 г. определена разработка «73» в варианте разведчика. Была начата подготовка к серийному выпуску самолета на заводе № 23, но пост. № 1890-700 от 14.05.1949 г. работы прекращены.</w:t>
      </w:r>
    </w:p>
    <w:p w14:paraId="61AFEF9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ПСМ № 2052-804 от 12.06.1948 г. начата разработка тяжелого бомбардировщика Ту-80 со сроком предъявления на испытания в середине 1949 г. Пост. № 3929-1608 от 16.09.1949 г. опытный самолет был передан для проведения летных исследований; этим же постановлением задана разработка бомбардировщика Ту- 85. В соответствии с ПСМ № 4764-2062 от 28.11.1950 г. и приказом МАП № 240 начата подготовка к серийному выпуску самолета на заводах № 18, 22 и 23, но самолет не строился. Ту-85 стал последним построенным отечественным бомбардировщиком с поршневыми двигателями; его взлетная масса впервые в СССР превысила 100 т.</w:t>
      </w:r>
    </w:p>
    <w:p w14:paraId="3586CD3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ПСМ № 2474-974 от 10.06.1950 г. на базе проектов 1949 г. «494» и «495» начата разработка дальнего бомбардировщика «88» с 2 двигателями АМ-3. 1-й опытный экземпляр взлетел 27.04.1952 г. Пост. № 3193-1214 от 10.07.1952 г. Ту-16 запущен в серию на заводе № 22. В соответствии с ПСМ № 1034-443 от 28.05.1954 г. Ту-16 пнв. В соответствии с ПСМ № 1659-657 от 3.07.1953 г. создан разведчик Ту-16Р («92»), пост. № 1545-777 от 3.12.1956 г. Ту-16Р пнв. В соответствии с ПСМ № 788-437 от 11.06.1956 г. разработан Ту-16Р-1 с новым комплексом оборудования. По пр. № 44 от 17.09.1953 г. создан заправщик Ту-163, по постановлению от 24.05.1954 г. создан опытный заправщик Ту-16Н для дозаправки двух МиГ-19. В соответствии с ПСМ № 2253- 1069 от 3.11.1954 г. был испытан опытный Ту-16 с кормовой оборонительной установкой, стреляющей реактивными ТРС. По распоряжению от 12.07.1954 г. создан торпедоносец Ту-16Т. В соответствии с ПСМ № 163- 97сс от 2.02.1955 г. Ту-16Т пнв. В соответствии с пост.ениями правительства № 178-110 от 3.02.1955 г. и № 1946- 1045 от 16.11.1955 г. начата разработка носителя Ту-16К-10 ПКР К-10С комплекса «Комета-10». Решением от 31.12.1958 г. самолет запущен в серию на заводе № 22, пост. № 742-315 от 12.08.1961 г. он пнв. По постановлению от 26.11.1955 г. велись работы (шифр «Архангельск») по размещению на Ту-16 радиоуправляемой спасательной лодки. В соответствии с ПСМ № 424-261сс от 28.03.1956 г. построен опытный Ту-16Б с двигателями М16-15. В соответствии с ПСМ № 1528-768 от 23.11.1956 г. начата разработка радиоуправляемой мишени М-16 на базе Ту- 16. Пост, от 4.02.1961 г. начаты работы по Ту-16КСР-2 комплекса К-16 с предъявлением на испытания к 15.04.1961 г., пост. № 1184-514 от 30.12.1961 г. он пнв. Пост. № 314-157 от 13.04.1962 г. пнв Ту-16КСР-2-11 комплекса К-11. В соответствии с ПСМ № 838-357 от 11.08.1962 г. начата отработка Ту-16К-26 комплекса К-26, пост. № 882-315 от 12.11.1969 г. он пнв. Пост. № 123-43 от 7.02.1964 г. задана разработка Ту-16К-26П, носителя КСР-5П с пассивной ГСН, пост. № 643-205 от 4.09.1973 г. он пнв. Пост. № 552-229 от 23.06.1964 г. задана разработка Ту-16К-10-26 комплекса К-34, пост. № 882-315 от 12.11.1969 г. и пр. МО от 4.12.1969 г. он пнв. В соответствии с ПСМ № 1081-370 от 22.11.1967 г. создан радиационный разведчик Ту-16РР.</w:t>
      </w:r>
    </w:p>
    <w:p w14:paraId="0F7AB52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1950 г. разработан проект палубного торпедоносца «507». В соответствии с ПСМ от 04.1951 г. на его базе в 1954 г. построен опытный пикирующий бомбардировщик-торпедоносец Ту-91 (в ОКБ неофициально именовался «Чиж-Пин-Бог-15Ш»).</w:t>
      </w:r>
    </w:p>
    <w:p w14:paraId="7183952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соответствии с ПСМ № 2396-1137 от 11.07.1951 г. начата разработка скоростного тяжелого бомбардировщика Ту-95. В соответствии с ПСМ № 1551-544 от 29.03.1952 г. создан высотный Ту-96, в 03.1956 г. работы прекращены. Пост, от 11.03.1954 г. задана разработка Ту-95К комплекса К-20 с УР Х-20, 9.09.1960 г. он пнв. В соответствии с пост.ениями от 2.07.1959 г. и от 20.05.1960 г. разработан Ту-95КД с системой дозаправки. Пост. № 1606-727 от 30.07.1954 г. была задана разработка летающей лаборатории на базе Ту-95 для испытаний самолета «100». Пост. № 710-338 от 2.07.1958 г. задана разработка Ту-95К-10 - ностиеля УР К-10С. В соответствии с ПСМ от 12.08.1955 г. на базе Ту-95 начата разработка пассажирского Ту-114. В соответствии с ПСМ от 31.07.1958 г. разрабатывался Ту-95С - носитель стратегической КР С-30, в 02.1960 г. тема закрыта. В соответствии с ПСМ от 21.07.1959 г. начата разработка самолета </w:t>
      </w:r>
      <w:r w:rsidRPr="0044524F">
        <w:rPr>
          <w:rFonts w:ascii="Times New Roman" w:hAnsi="Times New Roman"/>
          <w:color w:val="000000" w:themeColor="text1"/>
          <w:sz w:val="16"/>
          <w:szCs w:val="16"/>
          <w:lang w:val="en-US"/>
        </w:rPr>
        <w:t>PJI</w:t>
      </w:r>
      <w:r w:rsidRPr="0044524F">
        <w:rPr>
          <w:rFonts w:ascii="Times New Roman" w:hAnsi="Times New Roman"/>
          <w:color w:val="000000" w:themeColor="text1"/>
          <w:sz w:val="16"/>
          <w:szCs w:val="16"/>
        </w:rPr>
        <w:t>, радиотехнической и фоторазведки Ту-95РЦ, пост, от 30.05.1966 г. самолет пнв. В соответствии с ПСМ от 20.05.1960 г. начата разработка разведчика Ту-95Р, распоряжением № 65 от 9.01.1962 г. серийный Ту-95М переоборудован в Ту-95Р. Пост. СМ № 358-128 от 30.04.1965 г. задана разработка и постройка дальнего противолодочного самолета Ту-142. В соответствии с ПСМ № 104-36 от 13.02.1973 г. Ту-95 был переоборудован в Ту-95М-5 - носитель УР КСР-5, в 05.1977 г. работы прекращены; в соответствии с тем же пост. Ту-95К переоборудовались в Ту-95К-22 - носители Х-22. В соответствии с ПСМ от 9.12.1976 г. разрабатывался Ту-95МА - носитель ракет «Метеорит-А», в 1984 г. работы прекращены.</w:t>
      </w:r>
    </w:p>
    <w:p w14:paraId="5FFD845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1953 г. велись работы по подвесному бомбардировщику «100» - носителю ядерной бомбы в составе стратегической системы «108». Официально создание самолета задано пост. № 1606-727 от 30.07.1954 г. Работы прекращены в 1958 г.</w:t>
      </w:r>
    </w:p>
    <w:p w14:paraId="1BCA8D4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12.04.1954 г. вышло постановление СМ СССР № 683-301сс «О постройке фронтового бомбардировщика со сверхзвуковыми скоростями конструкции Туполева» с предъявлением на Госиспытания в 12.1956 г. Пост. № 1013-482 от 02.1958 г. работы по Ту-98 прекращены.</w:t>
      </w:r>
    </w:p>
    <w:p w14:paraId="449A421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соответствии с ПСМ № 1605-726 от 30.07.1954 г. начата разработка дальних бомбардировщиков: «105» с двигателями ВД-5Ф и «106» с </w:t>
      </w:r>
      <w:r w:rsidRPr="0044524F">
        <w:rPr>
          <w:rFonts w:ascii="Times New Roman" w:hAnsi="Times New Roman"/>
          <w:color w:val="000000" w:themeColor="text1"/>
          <w:sz w:val="16"/>
          <w:szCs w:val="16"/>
          <w:lang w:val="en-US"/>
        </w:rPr>
        <w:t>AM</w:t>
      </w:r>
      <w:r w:rsidRPr="0044524F">
        <w:rPr>
          <w:rFonts w:ascii="Times New Roman" w:hAnsi="Times New Roman"/>
          <w:color w:val="000000" w:themeColor="text1"/>
          <w:sz w:val="16"/>
          <w:szCs w:val="16"/>
        </w:rPr>
        <w:t>-19 или ВД-9. Пост. № 1317-752 уже ставилась задача создания бомбардировщика с двигателями НК-6, которые должны были быть представлены на Госиспытания в 4-м квартале 1957 г. Пост. № 426-201 от 17.04.1958 г. ОКБ поручена разработка Ту-22 на базе проектов «105» и «106». 23.02.1960 г. вышло постановление СМ СССР № 219-82 «О создании дальнего сверхзвукового самолета- разведчика ТУ-22Р». 23.04.1960 г. - постановление № 440-177 «О дальнейшем производстве самолетов Ту-22». В соответствии с решением ВПК от 01.1974 г. и ПСМ № 534-187 от 26.06.1974 г. начата разработка Ту-22МЗ с двигателями НК-25.</w:t>
      </w:r>
    </w:p>
    <w:p w14:paraId="6CE75F9F"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соответствии с ПСМ № 1561-868 от 12.08.1955 г. ОКБ поручено создание первого отечественного самолета с ЯСУ, выполнена комплексная НИР. В соответствии с ПСМ от 26.03.1956 г. начато проектирование </w:t>
      </w:r>
      <w:r w:rsidRPr="0044524F">
        <w:rPr>
          <w:rFonts w:ascii="Times New Roman" w:hAnsi="Times New Roman"/>
          <w:color w:val="000000" w:themeColor="text1"/>
          <w:sz w:val="16"/>
          <w:szCs w:val="16"/>
          <w:lang w:val="en-US"/>
        </w:rPr>
        <w:t>Ty</w:t>
      </w:r>
      <w:r w:rsidRPr="0044524F">
        <w:rPr>
          <w:rFonts w:ascii="Times New Roman" w:hAnsi="Times New Roman"/>
          <w:color w:val="000000" w:themeColor="text1"/>
          <w:sz w:val="16"/>
          <w:szCs w:val="16"/>
        </w:rPr>
        <w:t>-95</w:t>
      </w:r>
      <w:r w:rsidRPr="0044524F">
        <w:rPr>
          <w:rFonts w:ascii="Times New Roman" w:hAnsi="Times New Roman"/>
          <w:color w:val="000000" w:themeColor="text1"/>
          <w:sz w:val="16"/>
          <w:szCs w:val="16"/>
          <w:lang w:val="en-US"/>
        </w:rPr>
        <w:t>JIAJI</w:t>
      </w:r>
      <w:r w:rsidRPr="0044524F">
        <w:rPr>
          <w:rFonts w:ascii="Times New Roman" w:hAnsi="Times New Roman"/>
          <w:color w:val="000000" w:themeColor="text1"/>
          <w:sz w:val="16"/>
          <w:szCs w:val="16"/>
        </w:rPr>
        <w:t>. В 05-08.1961 г. выполнено 34 полета, в т.ч. с работающим реактором. Дальнейшее развитие - «119».</w:t>
      </w:r>
    </w:p>
    <w:p w14:paraId="034C581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соответствии с пост. СМ СССР № 1172-516сс от 11.06.1954 г. начато создание Ту-104. 11.04.1958 г. вышло распоряжение правительства № 1144-рс о доработке Ту-104 под десантное и санитарное оборудование; 18.07.1958 г. - распоряжение № 2314-рс о выпуске Ту-104А, приспособленных под санитарное оборудование. 27.12.1958 г. вышло постановление правительства № 1408-688 «О катастрофах самолётов Ту-104 и мерах повышения безопасности полётов на этих самолётах». В 11.1960 г. на базе Ту-104 создана </w:t>
      </w:r>
      <w:r w:rsidRPr="0044524F">
        <w:rPr>
          <w:rFonts w:ascii="Times New Roman" w:hAnsi="Times New Roman"/>
          <w:color w:val="000000" w:themeColor="text1"/>
          <w:sz w:val="16"/>
          <w:szCs w:val="16"/>
          <w:lang w:val="en-US"/>
        </w:rPr>
        <w:t>JIJI</w:t>
      </w:r>
      <w:r w:rsidRPr="0044524F">
        <w:rPr>
          <w:rFonts w:ascii="Times New Roman" w:hAnsi="Times New Roman"/>
          <w:color w:val="000000" w:themeColor="text1"/>
          <w:sz w:val="16"/>
          <w:szCs w:val="16"/>
        </w:rPr>
        <w:t xml:space="preserve"> для подготовки космонавтов в невесомости.</w:t>
      </w:r>
    </w:p>
    <w:p w14:paraId="22DC319D"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СМ № 1145-519 от 23.09.1957 г. началась разработка изд. «С» («121»), в 1959 г.- бросковые пуски. Пост. СМ от 1960 г. работы по Ту-121 прекращены. В соответствии с пост. СМ № 900-376 от 16.08.1960 г. на базе «С» начались работы по системе дальней беспилотной разведки ДБР-1 «Ястреб» с Ту-123. Пост. СМ от 23.05.1964 г. он принят на вооружение. На вооружении- до 1979 г. В соответствии с пост.ениями правительства от 08.1968 г. и от 09.1975 г. создан оперативно-тактический разведчик «123П». В соответствии с пост. Правительства от 03.1981 г. создан разведчик «243» («Рейс-Д»), строился серийно с 1999 г. С 1983 г. разрабатывался многоцелевой Ту-300 «Коршун».</w:t>
      </w:r>
    </w:p>
    <w:p w14:paraId="746823E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18.07.1958 г. вышло постановление СМ СССР о создании Ту-124.</w:t>
      </w:r>
    </w:p>
    <w:p w14:paraId="5A36844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ПСМ № 867-408 от 31.07.1958 г. начато проектирование низковысотного дальнего бомбардировщика «132», эскизный проект создан в 1960 г.</w:t>
      </w:r>
    </w:p>
    <w:p w14:paraId="787C669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30.05.1960 г. вышло постановление СМ СССР № 567-230 «О мероприятиях по обеспечению разработки самолета радиолокационного дозора Ту-126». Пост. СМ № 363-133 от 30.04.1965 г. Ту-126 пнв.</w:t>
      </w:r>
    </w:p>
    <w:p w14:paraId="5778727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правительства № 826-341 от 1.08.1960 г. началась разработка Ту-124А (Ту-134).</w:t>
      </w:r>
    </w:p>
    <w:p w14:paraId="42CB2CE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ПСМ№ 1084-444 от 12.10.1960 г. начата разработка самолета Ту-110Д.</w:t>
      </w:r>
    </w:p>
    <w:p w14:paraId="078630D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1963 г. было принято постановление СМ СССР о создании сверхзвукового пассажирского самолета Ту- 144 («044»),</w:t>
      </w:r>
    </w:p>
    <w:p w14:paraId="420CBEA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ПСМ № 362-132 от 30.04.1965 г. комплекс перехвата Ту-28-80 пнв.</w:t>
      </w:r>
    </w:p>
    <w:p w14:paraId="7DFA49D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ПСМ № 1098-378 от 8.11.1967 г. начата разработка Ту-22М с изменяемой геометрией крыла.</w:t>
      </w:r>
    </w:p>
    <w:p w14:paraId="05EF4953" w14:textId="4640C1AE"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созданы, строились серийно аэросани 2-го поколения А-3. В 2000-е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созданы аэросани-амфибия АС-2.</w:t>
      </w:r>
    </w:p>
    <w:p w14:paraId="47DC99A4" w14:textId="33C13CE6"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ОКБ-156 имело испытательную базу во Владимировке ( г. Ахтубинск), в 08.1959 г. здесь испытан Ту-121; экспериментальную базу Половинка в районе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Семипалатинска (здесь в 1961 г. испытывался Ту-95ЛАЛ).</w:t>
      </w:r>
    </w:p>
    <w:p w14:paraId="74FF140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Имелся Томилинский филиал (1957 г.), здесь велись работы по поисково-спасательному Ту-16С с катером «Фрегат».</w:t>
      </w:r>
    </w:p>
    <w:p w14:paraId="78B0162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1961 г. образован филиал ОКБ на заводе № 64 МАП ( г. Воронеж). Работы по сопровождению серии Ту-16, Ту-128, Ту-144. Действовал в 2006 г. (серийный выпуск аэросаней АС-2).</w:t>
      </w:r>
    </w:p>
    <w:p w14:paraId="164EA64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1978 г. в качестве филиала в ОКБ-156 вошел Закарпатский машиностроительный завод, далее- ЗВПО.</w:t>
      </w:r>
    </w:p>
    <w:p w14:paraId="624D5F49"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СМ СССР № 127-39 от 28.01.1981 г. на базе Ту-134А создан Ту-134СХ.</w:t>
      </w:r>
    </w:p>
    <w:p w14:paraId="4D4D5287"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1988 г. образован филиал ОКБ на УАПК (Ульяновск) по внедрению в производство Ту-204.</w:t>
      </w:r>
    </w:p>
    <w:p w14:paraId="2A63EB2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ОКБ принимало участие в программе создания ОК «Буран».</w:t>
      </w:r>
    </w:p>
    <w:p w14:paraId="5641C09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 ОКБ входили: здание ЛИК с лабораторией статических испытаний; лабораторно-производственный корпус № 9 (фасад выходит на набережную Яузы).</w:t>
      </w:r>
    </w:p>
    <w:p w14:paraId="33853C6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08.1957 г. - в ведении 1ГУ МАП. ОКБ-156 ГКАТ в 1966 г. переименовано в Московский машиностроительный завод (ММЗ) «Опыт», с 1973 г. - ММЗ «Опыт» им. А.Н. Туполева МАП. В 1989 г. преобразовано в АНТК им. А.Н. Туполева. С 1993 г. - АООТ «АНТК им. А.Н. Туполева». В соответствии с пост. Правительства № 720 от 30.06.1999 г. образовано ОАО «Туполев», в которое вошли «АНТК им. Туполева» со всеми конструкторскими мощностями и АО «Авиастар». По решению правительства № 22-р от 9.01.2004 г. и Указу Президента РФ № 1009 от 4.08.2004 г. ОАО «Туполев» вошло в число стратегических оборонных предприятий. По Указу Президента РФ от 20.02.2006 г. вошло в ОАО </w:t>
      </w:r>
      <w:r w:rsidRPr="0044524F">
        <w:rPr>
          <w:rFonts w:ascii="Times New Roman" w:hAnsi="Times New Roman"/>
          <w:color w:val="000000" w:themeColor="text1"/>
          <w:sz w:val="16"/>
          <w:szCs w:val="16"/>
          <w:lang w:val="en-US"/>
        </w:rPr>
        <w:t>OAK</w:t>
      </w:r>
      <w:r w:rsidRPr="0044524F">
        <w:rPr>
          <w:rFonts w:ascii="Times New Roman" w:hAnsi="Times New Roman"/>
          <w:color w:val="000000" w:themeColor="text1"/>
          <w:sz w:val="16"/>
          <w:szCs w:val="16"/>
        </w:rPr>
        <w:t>.</w:t>
      </w:r>
    </w:p>
    <w:p w14:paraId="196A8745" w14:textId="0F7F1293"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1990-х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на КАПО действовало АО «Казанское КБ «АНТК им. А.Н. Туполева» (начальник- Э.М. Соркин). Действовали филиалы в Воронеже, Ульяновске, Самаре, Томилино; представительства- в Киеве и Таганроге.</w:t>
      </w:r>
    </w:p>
    <w:p w14:paraId="26D42BB9" w14:textId="0AF25553"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2000-м</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за время существования ОКБ было разработано более 300 проектов ЛА, аэросаней и катеров. Более 80 проектов реализованы в металле, 35- строились серийно.</w:t>
      </w:r>
    </w:p>
    <w:p w14:paraId="349E20E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Работы (2002 г.): по пассажирским самолетам Ту-334, Ту-324, Ту-234, Ту-214, грузовьм Ту-330, Ту-230, Ту- 130, сельскохозяйственному Ту-54, легкому многоцелевому Ту-34, ВКС Ту-2000. (2006 г.): модернизация Ту- 142МЭ в </w:t>
      </w:r>
      <w:r w:rsidRPr="0044524F">
        <w:rPr>
          <w:rFonts w:ascii="Times New Roman" w:hAnsi="Times New Roman"/>
          <w:color w:val="000000" w:themeColor="text1"/>
          <w:sz w:val="16"/>
          <w:szCs w:val="16"/>
          <w:lang w:val="en-US"/>
        </w:rPr>
        <w:t>Ty</w:t>
      </w:r>
      <w:r w:rsidRPr="0044524F">
        <w:rPr>
          <w:rFonts w:ascii="Times New Roman" w:hAnsi="Times New Roman"/>
          <w:color w:val="000000" w:themeColor="text1"/>
          <w:sz w:val="16"/>
          <w:szCs w:val="16"/>
        </w:rPr>
        <w:t>-142</w:t>
      </w:r>
      <w:r w:rsidRPr="0044524F">
        <w:rPr>
          <w:rFonts w:ascii="Times New Roman" w:hAnsi="Times New Roman"/>
          <w:color w:val="000000" w:themeColor="text1"/>
          <w:sz w:val="16"/>
          <w:szCs w:val="16"/>
          <w:lang w:val="en-US"/>
        </w:rPr>
        <w:t>MSD</w:t>
      </w:r>
      <w:r w:rsidRPr="0044524F">
        <w:rPr>
          <w:rFonts w:ascii="Times New Roman" w:hAnsi="Times New Roman"/>
          <w:color w:val="000000" w:themeColor="text1"/>
          <w:sz w:val="16"/>
          <w:szCs w:val="16"/>
        </w:rPr>
        <w:t xml:space="preserve"> для Индии. (2008 г.): правительственные Ту-214СР, Ту-214ПУ и Ту-214СУС.</w:t>
      </w:r>
    </w:p>
    <w:p w14:paraId="316085A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 АНТК входили (2002 г.): ЦКБ ( г. Москва), Экспериментальный завод ( г. Москва), Жуковская ЛИиДБ, Томилинский филиал, Казанское КБ, Воронежское КБ, Самарское КБ, Ульяновский филиал, Таганрогское представительство, Украинское отделение ( г. Киев).</w:t>
      </w:r>
      <w:r w:rsidRPr="0044524F">
        <w:rPr>
          <w:rFonts w:ascii="Times New Roman" w:hAnsi="Times New Roman"/>
          <w:color w:val="000000" w:themeColor="text1"/>
          <w:sz w:val="16"/>
          <w:szCs w:val="16"/>
          <w:vertAlign w:val="superscript"/>
        </w:rPr>
        <w:t>69</w:t>
      </w:r>
    </w:p>
    <w:p w14:paraId="5EF3FB5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территории (наб. Академика Туполева, 2009 г.)- 7 га.</w:t>
      </w:r>
    </w:p>
    <w:p w14:paraId="50FDD76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(19.04.1943-56 г.)- А.Н. Туполев. Ген. конструктор (12.1956-72 г.)- г-п академик (1953 г.) А.Н. Туполев {29.10.1888-22.12.1972}, (1973-12.1992 г.)- академик (1984 г.) А.А. Туполев {20.05.1925-12.05.2001}, (12Л992 г.-&gt; В.Т. Климов, (2001-07 г.-)- И.С. Шевчук {30.01.1953-}.</w:t>
      </w:r>
    </w:p>
    <w:p w14:paraId="353D56FF" w14:textId="18B27ADB"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зам. ген. конструктора (1947 г.-)- А.А. Архангельский, (начало 1970-х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г.)- Н.И. Базенков, (2005 г.)- О. Алашеев. Помощник гл. конструктора по вооружению (1931 г.-)- А.В. Надашкевич. Зам. гл., Ген. конструктора (1945-; 1960-е)- И.Ф. Незваль, (1930-е; 11.1949-53 г.)- П.О. Сухой, (1953 г.-)- </w:t>
      </w:r>
      <w:r w:rsidRPr="0044524F">
        <w:rPr>
          <w:rFonts w:ascii="Times New Roman" w:hAnsi="Times New Roman"/>
          <w:color w:val="000000" w:themeColor="text1"/>
          <w:sz w:val="16"/>
          <w:szCs w:val="16"/>
          <w:lang w:val="en-US"/>
        </w:rPr>
        <w:t>A</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w:t>
      </w:r>
      <w:r w:rsidRPr="0044524F">
        <w:rPr>
          <w:rFonts w:ascii="Times New Roman" w:hAnsi="Times New Roman"/>
          <w:color w:val="000000" w:themeColor="text1"/>
          <w:sz w:val="16"/>
          <w:szCs w:val="16"/>
        </w:rPr>
        <w:t>. Черемухин, (1962 г.-)- Л.Л. Селяков, (1941-66 г.-)- А.А. Архангельский, (1970-е)- С.М. Егер, (1963-73 г.)- А.А. Туполев, (1990-е)- А.И. Кандалов; по пассажирским и транспортным самолетам (1954 г.-)- А.П. Голубков; по Ту-204- О.Ю. Алашеев; (2005 г.)- С. Ильюшенко, (2008 г.)- В. Солозобов.</w:t>
      </w:r>
    </w:p>
    <w:p w14:paraId="0D3F408B"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(1924-31 г.; 01.1933 г.-)- А.Н. Туполев. Ответственный руководитель (19.04.1943 г.-)- А.Н. Туполев, (1973 г.-)- А.А. Туполев. Гендиректор (-1992 г.)- А.А. Туполев, (12.1992-97 г.)- В.Т. Климов, (1997 г.-)- И.С. Шевчук, (1998-2002 г.-)- В.Е. Александров.</w:t>
      </w:r>
    </w:p>
    <w:p w14:paraId="4E9BC80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Помощник начальника (1932 г.)- А.В. Надашкевич. Зам. начальника (1933 г.)- И.И. Погосский, (1930-е)- В.М. Петляков.</w:t>
      </w:r>
    </w:p>
    <w:p w14:paraId="49564D0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ЦКБ (2008 г.)- В. Солозобов; военных программ (2006 г.)- В. Бендеров; центра ВЭД и информации (2002 г.)- С.М. Раевский.</w:t>
      </w:r>
    </w:p>
    <w:p w14:paraId="0ED4CE4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Жуковской ЛИиДБ (1953 г.)- П.О. Сухой, (1960-е)- А.С. Благовещенский, (1980-е)- В.Т. Климов; филиала на заводе № 22 (1945-48 г.-)- И.Ф. Незваль; филиала на заводе № 18 (1956 г.-)- А.И. Путилов; Томилинского филиала (1957 г.-)- И.Ф. Незваль; Воронежского филиала (1961 г.-)- А.И. Путилов. Гл. инженер ЛДБ (1949-53 г.)~ Е.А. Иванов.</w:t>
      </w:r>
    </w:p>
    <w:p w14:paraId="14F9FBAB" w14:textId="6B8BFA4D"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конструкторы: (1936 г.-)- П.О. Сухой («Иванов»), (1938 г.)- И.Ф. Незваль (АНТ-42), (1944-92 г.)- Д.С. Марков («64», «106», «145», Ту-4, -80, -16, -16КС, -16К-10, -16К-26, -98, -22, -22Б, -22М, -22М2), (-1952-74 Г.-)- Н.И. Базенков (Ту-95, -95М, -95М-5, -95К, -95К-22, -96, -116, -119, -142), (1953 г.)- В.А. Чижевский (Ту-91), (1960-е)-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Г.А. Озеров (Ту-119), (1963-73 г.)- А.А. Туполев (Ту-144), (-1958-73 г.)- С.М. Егер («105», «106», Ту-154; уволен после катастрофы Ту-144), (1974 г.-)- Н.В. Кирсанов (Ту-95К, -95К-22, -95МС), (1981-88 г.-)- Д.А. Антонов (Ту-95К, -95К-22, -95МС, -142М), (1976 г.-)- Л.Л. Селяков (Ту-134), А.С. Шенгардт, (1980-е)- В.И. Близнюк (Ту-160), (1992 г.-)- Б.Е. Леванович (Ту-16, -22, -22М, -22М2),</w:t>
      </w:r>
    </w:p>
    <w:p w14:paraId="5538975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(-1985-96 г.-)- А.Л. Пухов (Ту-260, -334, -360, -144ЛЛ), (2003 г.)- И.С. Калыгин (Ту-334), (2008 г.)- Л.А. Лановский (Ту-204), Ю.В. Воробьев (Ту-214).</w:t>
      </w:r>
    </w:p>
    <w:p w14:paraId="7713356D"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гл. конструкторов: (1947 г.-)- Д.С. Марков (Ту-4), (-1963 г.)- А.А. Туполев, (1968 г.-)- Н.В. Кирсанов (Ту- 95), (1981 г.-)- Д.А. Антонов (Ту-95), Ю. Попов (Ту-144), В.И. Близнюк (Ту-144), (-1992 г.)- Б.Е. Леванович (Ту-16, Ту-22, Ту-22М).</w:t>
      </w:r>
    </w:p>
    <w:p w14:paraId="36F59FB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конструкторской частью (1925 г.)- А.И. Путилов.</w:t>
      </w:r>
    </w:p>
    <w:p w14:paraId="07FD18E9" w14:textId="0CD88ACC"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вооружения (1931-37 г.; 1943-64 г.-)- А.В. Надашкевич; КО № 15 (1936-06.1939 г.)- П.О. Сухой; технических проектов (1943-58 г.-)- С.М. Егер («125», «127»); спецконструкций (1943-68 г.-)- Н.В. Кирсанов; «К» (1957 г.-)- А.А. Туполев, (1960-е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Г.М. Гофбауэр, (1990-е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Л.Т. Куликов; экспортного (1990- е)- А.И. Автоманов; В.И. Близнюк.</w:t>
      </w:r>
    </w:p>
    <w:p w14:paraId="13B14590" w14:textId="533B91EB"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отдела: (-1939 г.)- С.Я. Горбунов. Зам. начальника испытательной базы- Э. Крупянский. Начальники бригад: № 1 (10.1931-35 г.)- В.М. Петляков; № 2 (-21.04.1934 г.)- И.И. Погосский (погиб в катастрофе МДР-4), (1934 г.-)- А.П. Голубков; № 3 (1930-32 г.-&gt; П.О. Сухой; № 4 (09.1930-32 г.)- П.О. Сухой; № 5 (1932-36 г.)- А.А. Архангельский; № 6 (1934-37 г.)- В.М. Мясищев; № 7- В.Л. Александров; № 8- Е.И. Погосский; № 9- М.Н. Петров; № 10 (-1931-37 г.)- Н.С. Некрасов (репрессирован); № 12- (1931 г.-)- А.А. Рапп, (1934-36 г.)- И.П. Шебанов; № 13 (-1936 г.)- А.И. Шульгин; № 14 (-1936 г.)- М.Н. Родионов; испытаний вооружения (1931 г.)- Б.С. Вахмистров; двигательных установок (1950 г.)- П. Г. Климков; по АНТ-42 (1930-е)- В.М. Петляков; (1924- 32 г.)- А.А. Архангельский, (-1939 г.)- В.А. Алыбин, (-1939 г.)- А.С. Воскресенский, (1943 г.)- Д.А. Горский, (- 1939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Г.С. Еленевский, (-1939 г.)- Л.С. Каменомостский, (1948 г.)- Б.М. Кондорский («487»), (-1939 г.)- Н.П. Поленов, (-1939 г.)- Д.А. Ромейко-Гурко, (1943 г.)- С.И. Савельев, (-1939 г.)- Е.С. Фельснер, (-1939 г.)- Н.А. Фомин.</w:t>
      </w:r>
    </w:p>
    <w:p w14:paraId="12C67185" w14:textId="212DABEE"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бригады: № 2 (-1934 г.)- А.П. Голубков; № 3 (07-11.1932 г.)- Н.Н. Поликарпов, (11.1932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 Бертош; (-1939 г.)- В.П. Балуев, (-1939 г.)- Н.С. Дубинин, (-1939 г.)- М.М. Зуев, (-1939 г.)- В.А. Иванов, (-1939 г.)- М.И. Козлов, (-1939 г.)- Е.М. Мен, (-1939 г.)- Я.Б. Нодельман, (-1939 г.)- С.Н. Строгачев, (- 1939 г.)- А.Н. Титов, (-1939 г.)- Н.И. Щербинин.</w:t>
      </w:r>
    </w:p>
    <w:p w14:paraId="61FDA460" w14:textId="03CA47EE"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Ведущие конструкторы: (1980-е)- В.А. Андреев (Ту-360), (1930-е-49 г.-)- А.А. Архангельский (АНТ-40, «73», «81», «82»), (-1960-69 г.-)- С.М. Егер («132», Ту-128Б), (1980-е-98 г.)- Н.В. Кирсанов, Б.Е. Леванович, (1950-е)- А.В. Надашкевич (Ту-4К), (1960-е)- И.Ф. Незваль (Ту-148), (1956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Г.А. Озеров (Ту-95ЛАЛ), (1949-63 г.)- А.А. Туполев, (1985 г.)- Ю.А. Фазылов (Ту-260).</w:t>
      </w:r>
    </w:p>
    <w:p w14:paraId="5A97E56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Руководители групп: прочности и аэродинамики (1932 г.)- В.Н. Беляев.</w:t>
      </w:r>
    </w:p>
    <w:p w14:paraId="10482A76" w14:textId="743D404E"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Ведущие инженеры: по испытаниям: (1935 г.)- Е.К. Стоман (АНТ-25), О. Купцов (Ту-144), (-1973 г.)- Б. Первухин (погиб на Ту-144); по прочности Ту-2 (1940-е)-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Г.А. Озеров. Летчики-испытатели: А.Д. Калина.</w:t>
      </w:r>
    </w:p>
    <w:p w14:paraId="3B91B16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самолеты: АНТ-1 (21.10.1923 г.), АНТ-2 (26.05.1924 г.), пассажирский АНТ-9 (5.05.1929 г.), АНТ-10 (Р-7, 31.01.1930 г.), АНТ-20 «Максим Горький» (17.06.1934 г.), морской крейсер АНТ-22 (МК-1, 8.08.1934 г.), АНТ- 25 («РД», 22.06.1933 г.), многоцелевой АНТ-51 («Иванов», 25.08.1937 г.); разведчики: АНТ-3 (10.07.1925 г.), АНТ-7 (Р-6, 11.09.1929 г.), морской дальний АНТ-8 (МДР-2, 30.01.1931 г.); истребители: И-4 (АНТ-5, 10.08.1927 г.), И-8 «Жокей» (АНТ-13, 12.12.1930 г.), многоместный МИ-3 (АНТ-21, 23.05.1933 г.), двухместный пушечный ДИП (14.02.1935 г.), И-12 (АНТ-23, 29.08.1931 г.), И-12бис (1931, не реализован), И-14 (АНТ-31, 27.05.1931 г.), ДИ-8 (АНТ-46, 1.08.1935 г.); бомбардировщики: скоростной СБ (АНТ-40, 7.10.1934 г.), торпедоносец Т-1 (АНТ-41, 2.06.1936 г.); тяжелые: ТБ-1 (АНТ-4, 26.11.1925 г.), ТБ-3 (АНТ-6, 22.12.1930 г.), ТБ-7 (АНТ-42, 27.12.1936 г.), морской МТБ-2 (АНТ-44,19.04.1937 г.), Ту-4 (19.05.1947 г., пнв в 1947 г.), Ту-4К (пнв в 1953 г.), Ту-80 (1.12.1949 г.), Ту-85 («85», 9.01.1951 г.), Ту-95 (12.11.1952 г.), Ту-95М (22.02.1957 г., пнв 26.09.1957 г.), Ту-95К (пнв 9.09.1960 г.), целеуказатель Ту-95РЦ (пнв в 1965 г.), Ту-95М-5 (1976), Ту-95К-22 (пнв в 1987 г.), Ту-95МС (09.1979 г., пнв в 1981(3) г.), Ту-160 («К», «70», 18.12.1981 г.), высотный Ту-96 («96», 1955); дальние: ДБ-2 (АНТ-37, 16.06.1935 г.), ДБ-2Б (АНТ-37бис, 25.02.1936 г.), Ту-2Д («62», 12.07.1944), высотный «65» (1.07.1946 г.), «67» (12.02.1946 г.), Ту- 10 («68», Ту-4, 19.5.1945 г.), Ту-8 («69», 24.05.1947 г.), Ту-16 («88», 27.04.1952 г., пнв 28.05.1954 г.), Ту-16А (пнв в 1955 г.), Ту-16Б, -В (1955-57), Ту-16КС (пнв в 1955 г.), Ту-16К-10 («НК-10», пнв 12.08.1961 г.), Ту-16К-10-26, Ту- 16КСР-2 (Ту-16К-16, «НК-3», пнв 30.12.1961 г.), Ту-16КСР-2-11 («НК-2», пнв 13.04.1962 г.), Ту-16К-26 («НК-4», пнв 12.11.1969 г.), Ту-16К-26П («НК-26П», пнв 4.09.1973 г.), Ту-16К-10-26 («НК-6», пнв 12.11.1969 г.), разведчики Ту-16Р, -РМ-1, -РМ-2 (1960-е), целеуказатель Ту-16РЦ (пнв в 1965 г.), «105» (21.07.1958 г.), Ту-22 («105А», «Ю», 7.09.1959 г.), Ту-22Б («Ю»), Ту-22К (пнв в 1967 г.), Ту-22М0 («АМ», изд. 45-00, 30.08.1969 г.), Ту-22М1 (изд. 45-01, 28.07.1971 г.), Ту-22М2 (изд. 45-02, 7.05.1973 г., пнв в 08.1976 г.), Ту-22МЗ (изд. 45-03, 20.06.1977 г., пнв в 03.1989 г.), противолодочные Ту-142 (18.06.1968 г.), Ту-142МЗ (пнв в 1993 г.); фронтовые: скоростной дневной С ДБ («63», АНТ-63, 21.05.1944 г.), перехватчик «104» (1944), Ту-2М (18.05.1945 г.), фоторазведчик Ту-6 (Ту-2Ф, пнв 22.08.1947 г.), Ту-14 («73», 20.12.1947 г.), Ту-12 («77», 27.07.1947 г.), разведчик «78» («73Р», 1948), Ту-14 («81», 13.10.1949 г.), «82» (Ту-22, Ту-82, 24.03.1949 г.), Ту-14Р («89»), Ту-98 («98», 1956), перехватчик Ту-28 (пнв 30.04.1965 г.), дальний перехватчик Ту-128 («128», 18.03.1961); торпедоносцы: Ту-2Т («К», 1944), «62Т» (2.08.1946 г.), Ту-14Т («81Т», 13.10.1949 г., пнв в 07.1951 г.), Ту-91 «Бычок» («194», 2.09.1954 г.); ДРЛО Ту-126 (23.01.1962 г., пнв 30.04.1965 г.); военно-транспортные: Ту-75 («75», 22.01.1950г,), Ту-107 («107»); пассажирские: АНТ-14 «Правда» (14.08.1931 г.), ПС-35 (АНТ-35, 20.08.1936 г.), Ту-70 («70», 27.11.1946 г.), Ту-104 (17.07.1955 г.), Ту-110 (11.03.1957 г.), Ту-114 (15.11.1957 г.), Ту-116 (Ту-114Д, 1958), Ту-124 (24.03.1960 г.), Ту-134 (Ту-124А, 29.07.1963 г.), сверхзвуковой Ту-144 (31.12.1968 г.), Ту-144Д (30.11.1974 г.), Ту-154 (3.10.1968 г.), Ту-154М (Ту-164, 11.06.1980 г.), Ту-204 (2.01.1989 г.), Ту-214 (Ту-204-200, 21.03.1996 г.), Ту-334 (8.02.1999 г.); экспериментальные: с ЯСУ Ту-95ЛАЛ (1961), на криогенном топливе Ту-155 (15.04.1988 г.); проекты самолетов: бомбардировщиков: тяжелых: «64» (1944), «471», «473», «474» (1947), стратегических: «485», «487», «489» (1948), высотного «99», летающей лодки «504» (1950), «108» (1956), «109» (1950-е); дальних: пикирующего «57» (ПБ, 1939), «61» (Ту-2Д, АНТ-61, 1941), среднего «72» (1946), «76» (Ту-32, 1947), «86» и «87» (1951), «90» (1954), «97» (1950-е), «103» (1950-е), «106» (1050-е-60-е), с ЯСУ «120» (1960-е), «124» (1957), «125» (1960-е), «132» (1960), «135» (1960-е), «137» (1960-е), «145» («ЮМ», 1967); фронтовых: Ту-6 (Ту-2 с М-93, 1946), «71» (1946), «76» (Ту-32, 1948), «81» (Ту-18), «83» (1949), «112» (1950-е), «122» (1950-е), «127» (1958), Ту-128Б (1969), «129»; «98А» (Ту-24, 1950-е), «100» (1954); многоцелевого Ту-148 (1960-е); гиперзвуковых ударных «230» (Ту-260, 1985), «360» (Ту-360, 1980- е), воздушно-космического «2000» (Ту-2000, 1990-е); разведчиков: «74» и «79» (1949), «84»; торпедоносцев: палубного «509» (1950), «93» (1952); военно-транспортного Ту-115, «117» (1950-е); экспериментального с ЯСУ «119» (Ту-119,1960-е); пассажирского «118» (1950-е), административного Ту-334 на базе Ту-22МЗ (1990-е);</w:t>
      </w:r>
      <w:r w:rsidRPr="0044524F">
        <w:rPr>
          <w:rFonts w:ascii="Times New Roman" w:hAnsi="Times New Roman"/>
          <w:color w:val="000000" w:themeColor="text1"/>
          <w:sz w:val="16"/>
          <w:szCs w:val="16"/>
          <w:vertAlign w:val="superscript"/>
        </w:rPr>
        <w:t>31</w:t>
      </w:r>
    </w:p>
    <w:p w14:paraId="5F4EBF2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самолеты-снаряды: Ту-121 («С», 25.08.1959), Ту-130 («ДП»), Ту-140 («140»); ЗУР Ту-131 («3», 1959, не реализован); БПЛА: разведчики: Ту-123 (ДБР-1 «Ястреб-1»), Ту-133 («СД»), «136» (1960), Ту-139 (ДБР-2 «Ястреб-2», 1964), Ту-141 (123П», ВР-2 «Стриж»), тактический Ту-143 (ВР-3 «Рейс», пнв в 1976 г.), «243» («Рейс- Д»), «Орел», Ту-300 «Коршун» (1983), «Коршун-У»; ударный с ЯСУ Ту-123 (не реализован); мишени: «123М» (Ту-123М, не реализован), «143МВ» (ВР-ЗМВ, 1983), М-243; воздушно-космический Ту-136 «Звезда» (не реализован);</w:t>
      </w:r>
    </w:p>
    <w:p w14:paraId="6B0786F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катапультные кресла: для Ту-16, КТ-1 для Ту-128, КТ-1М для Ту-22М (11982).</w:t>
      </w:r>
    </w:p>
    <w:p w14:paraId="1AD0B49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23E35BC6"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 начальник Главного управления авиационной промышленности П.И. Баранов подписал приказ об организации нового Центрального конструк</w:t>
      </w:r>
      <w:r w:rsidRPr="0044524F">
        <w:rPr>
          <w:rFonts w:ascii="Times New Roman" w:hAnsi="Times New Roman"/>
          <w:color w:val="000000" w:themeColor="text1"/>
          <w:sz w:val="16"/>
          <w:szCs w:val="16"/>
        </w:rPr>
        <w:softHyphen/>
        <w:t>торского бюро на заводе им. Мен</w:t>
      </w:r>
      <w:r w:rsidRPr="0044524F">
        <w:rPr>
          <w:rFonts w:ascii="Times New Roman" w:hAnsi="Times New Roman"/>
          <w:color w:val="000000" w:themeColor="text1"/>
          <w:sz w:val="16"/>
          <w:szCs w:val="16"/>
        </w:rPr>
        <w:softHyphen/>
        <w:t>жинского, специализирующегося на проектировании истребителей, разведчиков, штурмовиков и дру</w:t>
      </w:r>
      <w:r w:rsidRPr="0044524F">
        <w:rPr>
          <w:rFonts w:ascii="Times New Roman" w:hAnsi="Times New Roman"/>
          <w:color w:val="000000" w:themeColor="text1"/>
          <w:sz w:val="16"/>
          <w:szCs w:val="16"/>
        </w:rPr>
        <w:softHyphen/>
        <w:t>гих боевых самолетов. В новое ЦКБ были переведены в полном составе бригады самолетов-раз</w:t>
      </w:r>
      <w:r w:rsidRPr="0044524F">
        <w:rPr>
          <w:rFonts w:ascii="Times New Roman" w:hAnsi="Times New Roman"/>
          <w:color w:val="000000" w:themeColor="text1"/>
          <w:sz w:val="16"/>
          <w:szCs w:val="16"/>
        </w:rPr>
        <w:softHyphen/>
        <w:t>ведчиков, морских самолетов, часть бригады Бюро особых кон</w:t>
      </w:r>
      <w:r w:rsidRPr="0044524F">
        <w:rPr>
          <w:rFonts w:ascii="Times New Roman" w:hAnsi="Times New Roman"/>
          <w:color w:val="000000" w:themeColor="text1"/>
          <w:sz w:val="16"/>
          <w:szCs w:val="16"/>
        </w:rPr>
        <w:softHyphen/>
        <w:t>струкций, бригада №5 Н.Н. Поли</w:t>
      </w:r>
      <w:r w:rsidRPr="0044524F">
        <w:rPr>
          <w:rFonts w:ascii="Times New Roman" w:hAnsi="Times New Roman"/>
          <w:color w:val="000000" w:themeColor="text1"/>
          <w:sz w:val="16"/>
          <w:szCs w:val="16"/>
        </w:rPr>
        <w:softHyphen/>
      </w:r>
      <w:r w:rsidRPr="0044524F">
        <w:rPr>
          <w:rFonts w:ascii="Times New Roman" w:hAnsi="Times New Roman"/>
          <w:color w:val="000000" w:themeColor="text1"/>
          <w:sz w:val="16"/>
          <w:szCs w:val="16"/>
        </w:rPr>
        <w:lastRenderedPageBreak/>
        <w:t>карпова, часть бригады вооруже</w:t>
      </w:r>
      <w:r w:rsidRPr="0044524F">
        <w:rPr>
          <w:rFonts w:ascii="Times New Roman" w:hAnsi="Times New Roman"/>
          <w:color w:val="000000" w:themeColor="text1"/>
          <w:sz w:val="16"/>
          <w:szCs w:val="16"/>
        </w:rPr>
        <w:softHyphen/>
        <w:t>ния, отдельные группы конструк</w:t>
      </w:r>
      <w:r w:rsidRPr="0044524F">
        <w:rPr>
          <w:rFonts w:ascii="Times New Roman" w:hAnsi="Times New Roman"/>
          <w:color w:val="000000" w:themeColor="text1"/>
          <w:sz w:val="16"/>
          <w:szCs w:val="16"/>
        </w:rPr>
        <w:softHyphen/>
        <w:t>торов, инженеров, чертежников. Начальником ЦКБ и заместителем директора завода был назначен С.В. Ильюшин. Так Поликарпов снова оказался на заводе №39 (23406).</w:t>
      </w:r>
    </w:p>
    <w:p w14:paraId="64447F26" w14:textId="77777777" w:rsidR="00D055A2" w:rsidRPr="0044524F" w:rsidRDefault="00D055A2" w:rsidP="009654CF">
      <w:pPr>
        <w:spacing w:after="0" w:line="240" w:lineRule="auto"/>
        <w:jc w:val="both"/>
        <w:rPr>
          <w:rFonts w:ascii="Times New Roman" w:hAnsi="Times New Roman"/>
          <w:color w:val="000000" w:themeColor="text1"/>
          <w:sz w:val="16"/>
          <w:szCs w:val="16"/>
        </w:rPr>
      </w:pPr>
    </w:p>
    <w:p w14:paraId="32CED08D"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 начальник Глававиапрома П.И. Баранов по инициативе С.В. Ильюшина издал приказ №2/24, согласно которому ЦКБ-39 отделено от ЦАГИ, ему поручено проектирование легких самолетов, а централизованное проектирование по постадийному принципу было заменено системой «сквозных» бригад, работавших по объектовому принципу, т.е. ведших свои проекты от начала и до конца, а не занимаясь только определенными их этапами. При этом все бригады кроме КОСОС формально переводились с Завода опытных конструкций ЦАГИ (далее завод №156) на завод №39, хотя по факту они там и были, а на ЗОК только числились.</w:t>
      </w:r>
    </w:p>
    <w:p w14:paraId="4323770E"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приказном порядке начальником ЦКБ-39 (как и ранее) и заместителем директора завода №39 назначен С.В. Ильюшин. Однако сам он уже видел громоздкость получившейся структуры и другие ее недостатки, указав на следующие:</w:t>
      </w:r>
    </w:p>
    <w:p w14:paraId="429B3904"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нехватка собственной научной и экспериментальной вынуждала постоянно обращаться за помощью к ЦАГИ, а его мощности в первую очередь предоставлялись КОСОС, что задерживало плановые работы ЦКБ;</w:t>
      </w:r>
    </w:p>
    <w:p w14:paraId="57E71BA1"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 свою очередь нахождение в составе ЦКБ подразделений, занимающихся комплектующими для самолетов всех разработчиков (воздушные винты, колеса, лыжи, вооружение, нормали) задерживало работу КОСОС, усложнение самих этих комплектующих и расширение номенклатуры (особенно, по нормалям) требовало выделения их разработчиков в самостоятельные организации;</w:t>
      </w:r>
    </w:p>
    <w:p w14:paraId="581BCCC6"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необходимость выведения бригад по морским и высотным самолетам в самостоятельные организации в силу их специфики;</w:t>
      </w:r>
    </w:p>
    <w:p w14:paraId="3D8BA73D"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сосредоточение всех конструкторских организаций в одном месте вокруг Центрального аэродрома в Москве (в то время единственное крупное КБ по самолетостроению кроме ЦКБ-39 и КОСОС ЦАГИ находилось на заводе №135 в Харькове) определяло крайнюю уязвимость этого важнейшего звена авиапромышленности в случае войны и налетов авиации противника на Москву, что не исключалось.</w:t>
      </w:r>
    </w:p>
    <w:p w14:paraId="319BAACC"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Соединения ЦКБ-39 и ЦАГИ на деле так и не произошло и все ограничилось выпуском приказов, работали они по-прежнему отдельно, а юридическая их связь только мешала делу. Это неизбежно вело к их разделению, что и произошло в т.ч. под влиянием начальника ЦКБ С.В. Ильюшина.</w:t>
      </w:r>
    </w:p>
    <w:p w14:paraId="3BF43392"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Также Ильюшин добивался постепенного ослабления контроля над ЦКБ-39 со стороны ОГПУ, что тоже, в конце концов, и было сделано.</w:t>
      </w:r>
    </w:p>
    <w:p w14:paraId="226B2B40"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ЦКБ-39 по-прежнему не было единого Главного конструктора и, по сути, оно являлось объединением разрозненных специализированных ОКБ лишь под общим административным руководством, каждое из которых работало над несколькими объектами одновременно и только бригады Мальцева и Крейсона работали по всем темам ЦКБ.</w:t>
      </w:r>
    </w:p>
    <w:p w14:paraId="04670D78"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 система сохраняла недостатки, устранения которых прежний начальник ЦКБ-ЦАГИ Пауфлер требовал от бывшего в то время его замом и начальником ЦКБ-39 Ильюшина еще в приказе №229 по ЦКБ-ЦАГИ от 20.11.31 г. (23554).</w:t>
      </w:r>
    </w:p>
    <w:p w14:paraId="007C788F" w14:textId="77777777" w:rsidR="00D055A2" w:rsidRPr="0044524F" w:rsidRDefault="00D055A2" w:rsidP="009654CF">
      <w:pPr>
        <w:spacing w:after="0" w:line="240" w:lineRule="auto"/>
        <w:jc w:val="both"/>
        <w:rPr>
          <w:rFonts w:ascii="Times New Roman" w:hAnsi="Times New Roman"/>
          <w:color w:val="000000" w:themeColor="text1"/>
          <w:sz w:val="16"/>
          <w:szCs w:val="16"/>
        </w:rPr>
      </w:pPr>
    </w:p>
    <w:p w14:paraId="4229AFC2"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 начальник ГУАП П.И. Баранов по инициативе начальника ЦКБ-39 и заместителя начальника ЦКБ-ЦАГИ С.В. Ильюшина издал приказ №2/24, согласно которому ЦКБ-39 отделено от ЦАГИ, ЦКБ-39 поручено проектирование легких самолетов, а централизованное проектирование по постадийному принципу было заменено системой «сквозных» бригад, работавших по объектовому принципу, т.е. ведших свои проекты от начала и до конца, а не занимаясь только определенными их этапами. При этом все бригады кроме КОСОС формально переводились с Завода опытных конструкций ЦАГИ (ЗОК далее завод №156) на завод №39, хотя по факту они там и были, а на ЗОК только числились. Разработка тяжелых самолетов поручалась КОСОС, который оставался в составе ЦАГИ и имел в качестве опытной производственной базы ЗОК. Однако не была завершена «утряска штатов» самого ЦКБ, что влияет на ход выполнения всех проектов и на составление планов.</w:t>
      </w:r>
    </w:p>
    <w:p w14:paraId="54488CF4"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ЦКБ остается С.В. Ильюшин и ему передаются полномочия на планирование деятельности бригад, включая определение плановых заданий. Хотя эта должность остается административной, роль главного консультанта ЦКБ как его главного конструктора принижается, а полномочия начальников бригад наоборот увеличиваются. Это позволяет Поликарпову, как начальнику бригады истребительной авиации подключить к проектированию самолета ЦКБ-12 достаточное число своих сотрудников и обращаться за получением услуг (продувки в аэродинамических трубах, прочностные испытания, для чего на заводе №39 не было оборудования) в сторонние организации.</w:t>
      </w:r>
    </w:p>
    <w:p w14:paraId="7E544C05" w14:textId="77777777" w:rsidR="00D055A2" w:rsidRPr="0044524F" w:rsidRDefault="00D055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был выполнен предварительный эскизный проект самолета, включающий «боевую схему» (чертеж общего вида с размерами и указанием состава и размещения вооружения), расчет веса в нулевом приближении, компоновку, конструктивно-силовую схему всех агрегатов и расчет их прочности, кинематические схемы систем, расчет аэродинамических и летных характеристик (24115).</w:t>
      </w:r>
    </w:p>
    <w:p w14:paraId="02F564CA" w14:textId="77777777" w:rsidR="00D055A2" w:rsidRPr="0044524F" w:rsidRDefault="00D055A2" w:rsidP="009654CF">
      <w:pPr>
        <w:spacing w:after="0" w:line="240" w:lineRule="auto"/>
        <w:jc w:val="both"/>
        <w:rPr>
          <w:rFonts w:ascii="Times New Roman" w:hAnsi="Times New Roman"/>
          <w:color w:val="000000" w:themeColor="text1"/>
          <w:sz w:val="16"/>
          <w:szCs w:val="16"/>
        </w:rPr>
      </w:pPr>
    </w:p>
    <w:p w14:paraId="53AD44E5"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 По приказу ГУАП БОК, созданное в 1930 при ЦАГИ, было передано в ЦКБ, действовало в качестве бригады № 3 ЦКБ, в 1934-38 г. - на заводе № 35 в Смоленске. С 1938 г. БОК- в составе КБ- 29. С 9.02.1938 г. по 30.01.1939 г. Чижевский возглавлял КБ-29, затем арестован, по 1941 г. работал в СТО у Туполева, затем- в его ОКБ.</w:t>
      </w:r>
    </w:p>
    <w:p w14:paraId="3938F3F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1940 г. в БОК влилась конструкторская группа А .Я. Щербакова. В 1940 г. работники БОК вошли в состав ОКБ П.О. Сухого на заводе № 289.</w:t>
      </w:r>
    </w:p>
    <w:p w14:paraId="58F3037F"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разное время в БОК работали: Н.И. Камов (при ЦАГИ), С.М. Лавочкин, Б.И. Черановский {13.07.1896- 17.12.1960} (работал и в 1946 г.), АЛ. Щербаков.</w:t>
      </w:r>
    </w:p>
    <w:p w14:paraId="7DD9F9A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(1931-39 г.)- В.А. Чижевский (репрессирован), (1939 г.-)- Н.Н. Каштанов.</w:t>
      </w:r>
    </w:p>
    <w:p w14:paraId="2E4B3F54"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(1933 г.)- Н.Н. Каштанов.</w:t>
      </w:r>
    </w:p>
    <w:p w14:paraId="17C95442"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экспериментальные и рекордные самолеты: первый советский стратосферный БОК-1 (13.12.1935 г.), БОК-2, БОК-5, БОК-7, БОК-8, БОК-11 (1940), стратосферный БОК-15 (12.03.1940 г.), БОК-17 (1939), изд. «32», «34», стратосферный планер СП-1;</w:t>
      </w:r>
    </w:p>
    <w:p w14:paraId="21B21A2E"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герметичная гондола БОК-9 для стратостата «СССР-1», стратостаты «СССР-2», «СССР-3» (1934-35) (11982).</w:t>
      </w:r>
    </w:p>
    <w:p w14:paraId="48A3250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35CFB6D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 Начальник Главного управления авиапромышленности П.И. Баранов подписал приказ об организации нового Центрального Конструкторского Бюро на базе авиазавода № 39. Начальником ЦКБ, насчитывающем шесть проектных бригад, назначили С.В.Ильюшина. Поликарповская бригада, в задачу которой входила разработка истребителей, получила порядковый №2. В новом качестве конструкторский коллектив продолжил работу над И-15, получившем рабочее обозначение ЦКБ-3 (6593).</w:t>
      </w:r>
    </w:p>
    <w:p w14:paraId="7CA5116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30D79318"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января 1933 г. начальник Главного управления авиационной промышленности П. И. Баранов подписал приказ об организации нового Центрального конструкторского бюро на заводе им. Менжинского, специализирующегося на проектировании истребителей, разведчиков, штурмовиков и других боевых самолетов. В новое ЦКБ были переведены в полном составе бригады самолетов-разведчиков, морских самолетов, часть бригады Бюро особых конструкций, бригада № 5 Н. Н. Поликарпова, часть бригады вооружения, отдельные группы конструкторов, инженеров, чертежников. Начальником ЦКБ и заместителем директора завода был назначен С. В. Ильюшин.</w:t>
      </w:r>
    </w:p>
    <w:p w14:paraId="5932BB49"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издания приказа об образовании нового Центрального конструкторского бюро на заводе № 39 началась работа по подготовке и оснащению помещений, решению кадровых вопросов. П. И. Баранов всего один месяц на организацию нового ЦКБ. Его начальником был назначен С. В. Ильюшин, на плечи которого легла основная тяжесть оформления и становления конструкторской организации. Н. Н. Поликарпов и другие начальники бригад, решившие связать свою судьбу с ЦКБ, занимались подбором сотрудников, составлением первых предварительных планов деятельности своих коллективов (25035).</w:t>
      </w:r>
    </w:p>
    <w:p w14:paraId="0A47C8DF" w14:textId="77777777" w:rsidR="000B01C4" w:rsidRPr="00142305" w:rsidRDefault="000B01C4" w:rsidP="000B01C4">
      <w:pPr>
        <w:spacing w:after="0" w:line="240" w:lineRule="auto"/>
        <w:jc w:val="both"/>
        <w:rPr>
          <w:rFonts w:ascii="Times New Roman" w:hAnsi="Times New Roman"/>
          <w:color w:val="0070C0"/>
          <w:sz w:val="16"/>
          <w:szCs w:val="16"/>
        </w:rPr>
      </w:pPr>
    </w:p>
    <w:p w14:paraId="639A1720" w14:textId="77777777" w:rsidR="00791F8F" w:rsidRPr="0044524F" w:rsidRDefault="00791F8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13 января</w:t>
      </w:r>
      <w:r w:rsidRPr="0044524F">
        <w:rPr>
          <w:rFonts w:ascii="Times New Roman" w:hAnsi="Times New Roman"/>
          <w:color w:val="000000" w:themeColor="text1"/>
          <w:sz w:val="16"/>
          <w:szCs w:val="16"/>
        </w:rPr>
        <w:t xml:space="preserve"> в 1933 году образовано ОАО "Авиационный комплекс имени С.В.Ильюшина". Официальной датой основания ОАО "Авиационный комплекс имени С.В.Ильюшина" считается 13 января 1933 г., когда при Московском авиазаводе №39 имени В.Р.Менжинского было создано Центральное конструкторское бюро, а в нем - бригада по разработке дальнего бомбардировщика под руководством С.В.Ильюшина. В 1935 г. бригада получила статус ОКБ. В 1941 г. ОКБ было эвакуировано в Куйбышев на завод №18. В 1942 г. оно было возвращено в Москву на территорию завода №240. В 1946 г. к предприятию был присоединён завод №482, где раньше находилось ОКБ В.М.Мясищева. ОКБ специализировалось по четырем основным направлениям: создание бомбардировщиков, штурмовиков, пассажирских и транспортных (грузовых) самолетов. Опытный экземпляр дальнего бомбардировщика ЦКБ-26 был модифицирован в ЦКБ-30 и запущен (как «ДБ-3») в производство в 1936 г. В 1942 г. последняя модификация самолета получила название «Ил-4». Эта машина стала основным дальним бомбардировщиком Великой Отечественной Войны. Штурмовики Ильюшина во время Великой Отечественной войны составили основу советской штурмовой авиации. Один из массовых самолётов военного периода – «Ил-2». При его создании удалось решить многие научно-технические проблемы, в том числе использовать броню в качестве силовой конструкции самолёта, разработать технологию изготовления броневого корпуса с большой кривизной обводов и др. Проектирование пассажирского самолета началось в последние годы войны и ставило целью создание массового гражданского самолета. «Ил-12» - пассажирский самолет с двумя ПД. С его созданием началось новое направление в деятельности ОКБ, а в масштабах страны - организация массовых воздушно-транспортных перевозок. Разработка транспортных (грузовых) самолетов началась с десантного «Ил-12Д» и транспортных «Ил-12Т» и «Ил-14Т», являющихся модификациями пассажирских самолетов «Ил-12» и «Ил-14». С 1977 г. завод стал именоваться Московским машиностроительным заводом имени С.В.Ильюшина, а затем ОАО "Авиационный комплекс имени С.В.Ильюшина". Предприятие награждено орденами Ленина (1942 г.), Красного Знамени (1944 г.), Трудового Красного Знамени (1969 г.), Октябрьской Революции (1983 г.). Сейчас на предприятии производятся военно-транспортные самолеты «Ил-76МД» и гражданские самолеты «Ил-18», «Ил-62», «Ил-76», «Ил-86», «Ил-96-300», «Ил-96Т», «Ил-96М», «Ил-</w:t>
      </w:r>
      <w:r w:rsidRPr="0044524F">
        <w:rPr>
          <w:rFonts w:ascii="Times New Roman" w:hAnsi="Times New Roman"/>
          <w:color w:val="000000" w:themeColor="text1"/>
          <w:sz w:val="16"/>
          <w:szCs w:val="16"/>
        </w:rPr>
        <w:lastRenderedPageBreak/>
        <w:t>14», «Ил-114-100», «Ил-114Т», «Ил-103», а также небольшие (от 5 до 27 мест) пассажирские самолеты. Около 1500 самолетов марки "Ильюшин" эксплуатируются в России и за рубежом. ОАО "Авиационный комплекс имени С.В.Ильюшина" входит в число лучших предприятий России (15008).</w:t>
      </w:r>
    </w:p>
    <w:p w14:paraId="29761E23" w14:textId="77777777" w:rsidR="00791F8F" w:rsidRPr="0044524F" w:rsidRDefault="00791F8F" w:rsidP="009654CF">
      <w:pPr>
        <w:spacing w:after="0" w:line="240" w:lineRule="auto"/>
        <w:jc w:val="both"/>
        <w:rPr>
          <w:rFonts w:ascii="Times New Roman" w:hAnsi="Times New Roman"/>
          <w:color w:val="000000" w:themeColor="text1"/>
          <w:sz w:val="16"/>
          <w:szCs w:val="16"/>
        </w:rPr>
      </w:pPr>
    </w:p>
    <w:p w14:paraId="336EF3B1"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 начальник Главного управления авиационной промышленности П.И.Баранов подписал приказ об организации нового Центрального конст</w:t>
      </w:r>
      <w:r w:rsidRPr="0044524F">
        <w:rPr>
          <w:rFonts w:ascii="Times New Roman" w:hAnsi="Times New Roman"/>
          <w:color w:val="000000" w:themeColor="text1"/>
          <w:sz w:val="16"/>
          <w:szCs w:val="16"/>
        </w:rPr>
        <w:softHyphen/>
        <w:t>рукторского бюро на заводе им. Менжинского, специа</w:t>
      </w:r>
      <w:r w:rsidRPr="0044524F">
        <w:rPr>
          <w:rFonts w:ascii="Times New Roman" w:hAnsi="Times New Roman"/>
          <w:color w:val="000000" w:themeColor="text1"/>
          <w:sz w:val="16"/>
          <w:szCs w:val="16"/>
        </w:rPr>
        <w:softHyphen/>
        <w:t>лизирующегося на проектировании истребителей, разведчиков, штурмовиков и других боевых самоле</w:t>
      </w:r>
      <w:r w:rsidRPr="0044524F">
        <w:rPr>
          <w:rFonts w:ascii="Times New Roman" w:hAnsi="Times New Roman"/>
          <w:color w:val="000000" w:themeColor="text1"/>
          <w:sz w:val="16"/>
          <w:szCs w:val="16"/>
        </w:rPr>
        <w:softHyphen/>
        <w:t>тов. В новое ЦКБ были переведены в полном составе бригады самолетов-разведчиков, морских самолетов, часть бригады Бюро особых конструкций, бригада № 5 Н.Н.Поликарпова, часть бригады вооружения, отдель</w:t>
      </w:r>
      <w:r w:rsidRPr="0044524F">
        <w:rPr>
          <w:rFonts w:ascii="Times New Roman" w:hAnsi="Times New Roman"/>
          <w:color w:val="000000" w:themeColor="text1"/>
          <w:sz w:val="16"/>
          <w:szCs w:val="16"/>
        </w:rPr>
        <w:softHyphen/>
        <w:t>ные группы конструкторов, инженеров, чертежников. Начальником ЦКБ и заместителем директора завода был назначен С.В.Ильюшин (10667).</w:t>
      </w:r>
    </w:p>
    <w:p w14:paraId="42879203"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65F94638"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г. Начальник Главного управления авиапромышленности П.И. Баранов (должность начальника ВВС с 1931 г. занял Я.И.Алкснис) подписал приказ об организации Центрального Конструкторского Бюро на базе авиазавода №39. Начальником ЦКБ, состоящего из шести проектных бригад, назначили С.В.Ильюшина. Группа Поликарпова стала именоваться бригадой №2, главной задачей которой являлось проектирование истребителей.</w:t>
      </w:r>
    </w:p>
    <w:p w14:paraId="2707B6F9"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новом качестве конструкторский коллектив продолжил работу над И-15, получившем рабочее обозначение ЦКБ-3. Постройка самолета, развернувшаяся летом 1933-го, шла без особых затруднений. По су ти, технология ЦКБ-3 во многом напоминала методы, используемые при изготовлении истребителя И-5. Такие же деревянные крылья с полотняной обшивкой, дюралевое оперение и ферменный стальной фюзеляж (12014).</w:t>
      </w:r>
    </w:p>
    <w:p w14:paraId="6E03461F"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0EA60109" w14:textId="77777777" w:rsidR="00A4146F"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1826DCB" w14:textId="77777777" w:rsidR="00A4146F" w:rsidRPr="0044524F" w:rsidRDefault="00A4146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3BACF13" w14:textId="77777777" w:rsidR="00A4146F" w:rsidRPr="0044524F" w:rsidRDefault="00A4146F" w:rsidP="009654CF">
      <w:pPr>
        <w:pStyle w:val="rtejustify"/>
        <w:spacing w:before="0" w:after="0"/>
        <w:rPr>
          <w:color w:val="000000" w:themeColor="text1"/>
          <w:sz w:val="16"/>
          <w:szCs w:val="16"/>
        </w:rPr>
      </w:pPr>
      <w:r w:rsidRPr="0044524F">
        <w:rPr>
          <w:rStyle w:val="af0"/>
          <w:bCs/>
          <w:i w:val="0"/>
          <w:color w:val="000000" w:themeColor="text1"/>
          <w:sz w:val="16"/>
          <w:szCs w:val="16"/>
        </w:rPr>
        <w:t>13 января</w:t>
      </w:r>
      <w:r w:rsidRPr="0044524F">
        <w:rPr>
          <w:color w:val="000000" w:themeColor="text1"/>
          <w:sz w:val="16"/>
          <w:szCs w:val="16"/>
        </w:rPr>
        <w:t xml:space="preserve"> 1933 вышел приказ РВСС № 1. 4. — 2) О строительстве укрепленных районов и береговой обороны за 1932 г. и план на 1933 г. (Петин). 9. О передаче ГАРОЗа № 1 промышленности и об ассигновании 900 000 руб. на расширение производственной мощности ГАРОЗа. (Тухачевский). (РГВА. Ф. 4. Оп. 18. Д. 23. Л. 3</w:t>
      </w:r>
      <w:r w:rsidRPr="0044524F">
        <w:rPr>
          <w:color w:val="000000" w:themeColor="text1"/>
          <w:sz w:val="16"/>
          <w:szCs w:val="16"/>
        </w:rPr>
        <w:noBreakHyphen/>
        <w:t>4) (15461).</w:t>
      </w:r>
    </w:p>
    <w:p w14:paraId="40A6ECEF" w14:textId="77777777" w:rsidR="00A4146F" w:rsidRPr="0044524F" w:rsidRDefault="00A4146F" w:rsidP="009654CF">
      <w:pPr>
        <w:pStyle w:val="rtejustify"/>
        <w:spacing w:before="0" w:after="0"/>
        <w:rPr>
          <w:rStyle w:val="af0"/>
          <w:bCs/>
          <w:i w:val="0"/>
          <w:color w:val="000000" w:themeColor="text1"/>
          <w:sz w:val="16"/>
          <w:szCs w:val="16"/>
        </w:rPr>
      </w:pPr>
    </w:p>
    <w:p w14:paraId="5EDC6F47" w14:textId="77777777" w:rsidR="00D858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9A5EA8F" w14:textId="77777777" w:rsidR="00D8588A" w:rsidRPr="0044524F" w:rsidRDefault="00D858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243BC6"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вышло решение ЦК о проведении чистки партии и сократили на 1 млн. 150 тыс. (1348,119).</w:t>
      </w:r>
    </w:p>
    <w:p w14:paraId="7216143C"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541344FF" w14:textId="77777777" w:rsidR="00D858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24AC694" w14:textId="77777777" w:rsidR="00D8588A" w:rsidRPr="0044524F" w:rsidRDefault="00D858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9B0CA60"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 Конгресс США проголосовал за предоставление Филиппинам независимости после переходного периода, но Президент Гувер наложил вето на это решение и 17 января Конгресс преодолел это вето. Предложение было отвергнуто правительством Филиппин (3907,179).</w:t>
      </w:r>
    </w:p>
    <w:p w14:paraId="5E50779A" w14:textId="77777777" w:rsidR="00D8588A" w:rsidRPr="0044524F" w:rsidRDefault="00D8588A" w:rsidP="009654CF">
      <w:pPr>
        <w:autoSpaceDE w:val="0"/>
        <w:autoSpaceDN w:val="0"/>
        <w:adjustRightInd w:val="0"/>
        <w:spacing w:after="0" w:line="240" w:lineRule="auto"/>
        <w:jc w:val="both"/>
        <w:rPr>
          <w:rFonts w:ascii="Times New Roman" w:hAnsi="Times New Roman"/>
          <w:color w:val="000000" w:themeColor="text1"/>
          <w:sz w:val="16"/>
          <w:szCs w:val="16"/>
        </w:rPr>
      </w:pPr>
    </w:p>
    <w:p w14:paraId="50093EA7"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DB576EB"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9FDE94"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января 1933 года ЦАГИ были получены Технические требования на самолет ДИ6-М34, М38 или М-32 - двухместного истребителя, скорость 350-375 км/час, вооружен двумя пулеметами легкими и двумя пулеметами тяжелыми (3530,70-86).</w:t>
      </w:r>
    </w:p>
    <w:p w14:paraId="612A98FF"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3A3C688C"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14 января по 24 марта 1933 продолжался второй этап госиспытаний второго ЦКБ-3. Испытания подтвердили высокие летные характеристики машины. Поэтому еще до их завершения, 2 февраля 1934 г., отмечая вклад кол</w:t>
      </w:r>
      <w:r w:rsidRPr="0044524F">
        <w:rPr>
          <w:rFonts w:ascii="Times New Roman" w:hAnsi="Times New Roman"/>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A838AA4"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636A8FDD"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января 1933 г. комиссии Филипповича поступила новая инструкция из Москвы, которая потребовала уже «арктических» доработок конструкции. От лодки Савойя S.55 хотели получить возможность летать «при -60°С над торосистыми льдами». Абсурдность такого требования была ясна даже советским приемщикам. В ответе из Италии сообщалось, что S.55 предназначен для теплого климата, а не для суровых северных широт. При этом указывалось, что итальянские конструкторы никогда не думали о применении S.55 в столь экстремальных условиях. Филиппович писал в Москву: «Эта тенденция не соответствует техническому существу данного самолета и, во всяком случае, должна быть сформулирована (в силу принципиальности вопроса) - не к концу нашей работы, а к его началу...». Чтобы «Савойя» могла летать и летом, и зимой, итальянцев попросили разработать «ложный» съемный зимний редан (для защиты днищ) и лыжное шасси повышенной прочности. Такое шасси фирма спроектировала. Оно состояло из пяти лыж - четырех основных (по две по бокам каждого фюзеляжа) и хвостовой (меньшего размера). Но, по-видимому, ограничились только проектом - ни один самолет советского заказа лыжами не комплектовался. Реально «арктические» доработки вылились лишь в оборудование одного самолета глухими утепленными капотами моторов. Примерно в это же время к Филипповичу поступили сводки о результатах эксплуатации в Сибири и на Дальнем Востоке военных летающих лодок S.62bis (у нас С-62Б) той же фирмы. Они имели подобную деревянную конструкцию и те же моторы ASSO. Это привело к требованиям об усилении днищ и доработке некоторых моторных агрегатов (5486,3).</w:t>
      </w:r>
    </w:p>
    <w:p w14:paraId="0A1E0CC5"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5472A45B"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января 1933 г. на голову комиссии Филипповича по наблюдения за постройкой машин S.55 для СССР свалилась новая инструкция из Москвы, которая потребовала уже «арктических» доработок конструкции. Дело в том, что на одну из летающих лодок претендо</w:t>
      </w:r>
      <w:r w:rsidRPr="00142305">
        <w:rPr>
          <w:rFonts w:ascii="Times New Roman" w:hAnsi="Times New Roman"/>
          <w:color w:val="0070C0"/>
          <w:sz w:val="16"/>
          <w:szCs w:val="16"/>
        </w:rPr>
        <w:softHyphen/>
        <w:t>вало Управление воздушной службы ГУСМП. От нее теперь хотели получить возможность летать «при - 60° над торо</w:t>
      </w:r>
      <w:r w:rsidRPr="00142305">
        <w:rPr>
          <w:rFonts w:ascii="Times New Roman" w:hAnsi="Times New Roman"/>
          <w:color w:val="0070C0"/>
          <w:sz w:val="16"/>
          <w:szCs w:val="16"/>
        </w:rPr>
        <w:softHyphen/>
        <w:t>систыми льдами». Абсурдность такого требования выглядела очевидной даже для советских приемщиков. В ответе из Италии сообщалось, что S.55 предна</w:t>
      </w:r>
      <w:r w:rsidRPr="00142305">
        <w:rPr>
          <w:rFonts w:ascii="Times New Roman" w:hAnsi="Times New Roman"/>
          <w:color w:val="0070C0"/>
          <w:sz w:val="16"/>
          <w:szCs w:val="16"/>
        </w:rPr>
        <w:softHyphen/>
        <w:t>значен для теплого климата, а не для суровых северных широт. Указывалось, что итальянские конструкторы никогда и не думали о применении своего детища в столь экстремальных условиях. Филип</w:t>
      </w:r>
      <w:r w:rsidRPr="00142305">
        <w:rPr>
          <w:rFonts w:ascii="Times New Roman" w:hAnsi="Times New Roman"/>
          <w:color w:val="0070C0"/>
          <w:sz w:val="16"/>
          <w:szCs w:val="16"/>
        </w:rPr>
        <w:softHyphen/>
        <w:t>пович написал в Москву: «Эта тенденция не соответствует техническому существу данного самолета и, во всяком случае, должна быть сформулирована (в силу принципиальности вопроса)- не к концу нашей работы, а к ее началу...»</w:t>
      </w:r>
    </w:p>
    <w:p w14:paraId="4D180D4D"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Чтобы «савойя» могла летать и летом, и зимой, итальянцев попросили разрабо</w:t>
      </w:r>
      <w:r w:rsidRPr="00142305">
        <w:rPr>
          <w:rFonts w:ascii="Times New Roman" w:hAnsi="Times New Roman"/>
          <w:color w:val="0070C0"/>
          <w:sz w:val="16"/>
          <w:szCs w:val="16"/>
        </w:rPr>
        <w:softHyphen/>
        <w:t>тать «ложный» съемный зимний редан (для защиты днищ) и лыжное шасси по</w:t>
      </w:r>
      <w:r w:rsidRPr="00142305">
        <w:rPr>
          <w:rFonts w:ascii="Times New Roman" w:hAnsi="Times New Roman"/>
          <w:color w:val="0070C0"/>
          <w:sz w:val="16"/>
          <w:szCs w:val="16"/>
        </w:rPr>
        <w:softHyphen/>
        <w:t>вышенной прочности. Такое шасси фир</w:t>
      </w:r>
      <w:r w:rsidRPr="00142305">
        <w:rPr>
          <w:rFonts w:ascii="Times New Roman" w:hAnsi="Times New Roman"/>
          <w:color w:val="0070C0"/>
          <w:sz w:val="16"/>
          <w:szCs w:val="16"/>
        </w:rPr>
        <w:softHyphen/>
        <w:t>ма спроектировала. Оно состояло из пяти лыж: четырех основных (по две по бокам каждого фюзеляжа) и хвостовой (мень</w:t>
      </w:r>
      <w:r w:rsidRPr="00142305">
        <w:rPr>
          <w:rFonts w:ascii="Times New Roman" w:hAnsi="Times New Roman"/>
          <w:color w:val="0070C0"/>
          <w:sz w:val="16"/>
          <w:szCs w:val="16"/>
        </w:rPr>
        <w:softHyphen/>
        <w:t>шего размера). Но ограничились только проектом - ни один самолет лыжами не комплектовался. Реально «арктические» доработки вылились лишь в оснащение одного самолета глухими утепленными капотами моторов.</w:t>
      </w:r>
    </w:p>
    <w:p w14:paraId="2EC31F6F"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Примерно в это же время к Филип</w:t>
      </w:r>
      <w:r w:rsidRPr="00142305">
        <w:rPr>
          <w:rFonts w:ascii="Times New Roman" w:hAnsi="Times New Roman"/>
          <w:color w:val="0070C0"/>
          <w:sz w:val="16"/>
          <w:szCs w:val="16"/>
        </w:rPr>
        <w:softHyphen/>
        <w:t>повичу поступили сводки о результатах эксплуатации в Сибири и на Дальнем Востоке упоминавшихся ранее самоле</w:t>
      </w:r>
      <w:r w:rsidRPr="00142305">
        <w:rPr>
          <w:rFonts w:ascii="Times New Roman" w:hAnsi="Times New Roman"/>
          <w:color w:val="0070C0"/>
          <w:sz w:val="16"/>
          <w:szCs w:val="16"/>
        </w:rPr>
        <w:softHyphen/>
        <w:t>тов С-62Б той же фирмы SIAI. Они име</w:t>
      </w:r>
      <w:r w:rsidRPr="00142305">
        <w:rPr>
          <w:rFonts w:ascii="Times New Roman" w:hAnsi="Times New Roman"/>
          <w:color w:val="0070C0"/>
          <w:sz w:val="16"/>
          <w:szCs w:val="16"/>
        </w:rPr>
        <w:softHyphen/>
        <w:t>ли подобную деревянную конструкцию и те же самые двигатели. Это привело к предъявлению требований по усилению днищ лодок и доработке некоторых мо</w:t>
      </w:r>
      <w:r w:rsidRPr="00142305">
        <w:rPr>
          <w:rFonts w:ascii="Times New Roman" w:hAnsi="Times New Roman"/>
          <w:color w:val="0070C0"/>
          <w:sz w:val="16"/>
          <w:szCs w:val="16"/>
        </w:rPr>
        <w:softHyphen/>
        <w:t>торных агрегатов (24944).</w:t>
      </w:r>
    </w:p>
    <w:p w14:paraId="0E99C4B6" w14:textId="77777777" w:rsidR="000B01C4" w:rsidRPr="00142305" w:rsidRDefault="000B01C4" w:rsidP="000B01C4">
      <w:pPr>
        <w:spacing w:after="0" w:line="240" w:lineRule="auto"/>
        <w:jc w:val="both"/>
        <w:rPr>
          <w:rFonts w:ascii="Times New Roman" w:hAnsi="Times New Roman"/>
          <w:color w:val="0070C0"/>
          <w:sz w:val="16"/>
          <w:szCs w:val="16"/>
        </w:rPr>
      </w:pPr>
    </w:p>
    <w:p w14:paraId="3DDCA23B"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44881E8"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CAC7E44"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января 1933 вышел приказ № 001 нач. ВОХИМУ РККА Я.М.Фишмана по результатам инспектирования ЦВХП в пос. Шиханы и путям улучшения работ. П. 5 “усовершенствовать методику полевых испытаний. Особенно тщательно должны быть поставлены опыты, в которых действие ОВ проверяется на людях” (6246).</w:t>
      </w:r>
    </w:p>
    <w:p w14:paraId="0074E082"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D57AA0" w14:textId="77777777" w:rsidR="00A4146F" w:rsidRPr="0044524F" w:rsidRDefault="00A4146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14 января 1933 г.</w:t>
      </w:r>
      <w:r w:rsidRPr="0044524F">
        <w:rPr>
          <w:rFonts w:ascii="Times New Roman" w:hAnsi="Times New Roman"/>
          <w:color w:val="000000" w:themeColor="text1"/>
          <w:sz w:val="16"/>
          <w:szCs w:val="16"/>
        </w:rPr>
        <w:t xml:space="preserve"> Приказ начальника ВОХИМУ и химических войск РККА Я.М.Фишмана, посвященный результатам инспектирования военно-химического полигона Шиханы (Саратовская область). Пункт 5 требует «</w:t>
      </w:r>
      <w:r w:rsidRPr="0044524F">
        <w:rPr>
          <w:rFonts w:ascii="Times New Roman" w:hAnsi="Times New Roman"/>
          <w:iCs/>
          <w:color w:val="000000" w:themeColor="text1"/>
          <w:sz w:val="16"/>
          <w:szCs w:val="16"/>
        </w:rPr>
        <w:t>Усовершенствовать методику полевых испытаний. Особенно тщательно должны быть поставлены опыты, в которых действие ОВ проверяется на людях</w:t>
      </w:r>
      <w:r w:rsidRPr="0044524F">
        <w:rPr>
          <w:rFonts w:ascii="Times New Roman" w:hAnsi="Times New Roman"/>
          <w:color w:val="000000" w:themeColor="text1"/>
          <w:sz w:val="16"/>
          <w:szCs w:val="16"/>
        </w:rPr>
        <w:t>» (17133).</w:t>
      </w:r>
    </w:p>
    <w:p w14:paraId="7ECE03B8" w14:textId="77777777" w:rsidR="00A4146F" w:rsidRPr="0044524F" w:rsidRDefault="00A4146F" w:rsidP="009654CF">
      <w:pPr>
        <w:shd w:val="clear" w:color="auto" w:fill="FFFFFF"/>
        <w:spacing w:after="0" w:line="240" w:lineRule="auto"/>
        <w:jc w:val="both"/>
        <w:rPr>
          <w:rFonts w:ascii="Times New Roman" w:hAnsi="Times New Roman"/>
          <w:color w:val="000000" w:themeColor="text1"/>
          <w:sz w:val="16"/>
          <w:szCs w:val="16"/>
        </w:rPr>
      </w:pPr>
    </w:p>
    <w:p w14:paraId="4071AD02"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406EB09"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7392C8"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января 1933 года постановление Совнаркома СССР № 43 утверждило “Инструкцию о выдаче паспортов”, которая имела два раздела — общий и секретный.</w:t>
      </w:r>
    </w:p>
    <w:p w14:paraId="04D2ECAF"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Первоначально предписывалось проведение паспортизации с обязательной пропиской в Москве, Ленинграде (включая стокилометровую полосу вокруг них), Харькове (включая пятидесятикилометровую полосу) в течение января — июня 1933 года. В том же году предполагалось закончить работу в остальных регионах страны, подпадавших под паспортизацию. Территории трех вышеназванных городов со сто-пятидесятикилометровыми полосами вокруг объявлялись режимными. Секретный раздел вышеназванной инструкции 1933 года устанавливал ограничения на выдачу паспортов и прописку в режимных местностях для следующих групп граждан: “не занятых общественно-полезным трудом” на производстве, в учреждениях, школах (за исключением инвалидов и пенсионеров); убежавших из деревень (“сбежавших”, по советской терминологии) “ кулаков” и “раскулаченных”, хотя бы они и “работали на предприятиях или состояли на службе в советских </w:t>
      </w:r>
      <w:r w:rsidRPr="0044524F">
        <w:rPr>
          <w:rFonts w:ascii="Times New Roman" w:hAnsi="Times New Roman"/>
          <w:color w:val="000000" w:themeColor="text1"/>
          <w:sz w:val="16"/>
          <w:szCs w:val="16"/>
        </w:rPr>
        <w:lastRenderedPageBreak/>
        <w:t>учреждениях”; “перебежчиков из-за границы”, то есть самовольно перешедших границу СССР (кроме политэмигрантов, имеющих соответствующую справку от ЦК МОПРа); прибывших из других городов и сел страны после 1 января 1931 года “без приглашения на работу учреждением или предприятием, если они не имеют в настоящее время определенных занятий, или хотя и работают в учреждениях или предприятиях, но являются явными летунами, или подвергались увольнению за дезорганизацию производства”, то есть опять-таки тех, кто бежал из деревни до начала развертывания “сплошной коллективизации”; “лишенцев” — людей, лишенных советским законом избирательных прав, — тех же “кулаков”, “использующих наемный труд”, частных торговцев, священнослужителей; бывших заключенных и ссыльных, в том числе судимых даже за незначительные преступления (в постановлении от 14 января 1933 года приводился “не подлежащий оглашению” специальный перечень этих лиц); членов семей всех вышеперечисленных групп граждан. Поскольку советское народное хозяйство не могло обойтись без специалистов, для последних делались исключения: им выдавались паспорта, если они могли представить “от этих предприятий и учреждений свидетельство об их полезной работе”. Такие же исключения делались для “лишенцев”, если они находились на иждивении у своих родственников, которые служили в Красной Армии (этих стариков и старух советская власть считала уже неопасными; кроме того, они представляли собой заложников на случай “нелояльного поведения” военнослужащих), а также для священнослужителей, “исполняющих функции по обслуживанию действующих храмов”, иными словами, находящихся под полным контролем ОГПУ. Первоначально исключения допускались и по отношению к тем не занятым “общественно-полезным трудом” и лишенным избирательных прав лицам, которые были уроженцами режимных местностей и постоянно там жили (это послабление было отменено Постановление Совнаркома СССР № 440 от 16 марта 1935 года). Вновь прибывающим в режимные местности следовало для прописки кроме паспорта представлять справку о наличии жилплощади и документы, удостоверяющие цель приезда (приглашение на работу, договор о вербовке, справку правления колхоза об отпуске “в отход” и т. д.). Если размер площади, на которую собирался прописаться приезжающий, был меньше установленной санитарной нормы (в Москве, например, санитарная норма составляла 4 — 6 кв. м в общежитиях и 9 кв. м в государственных домах), то в прописке ему отказывали. К 1953 году режим распространился уже на 340 городов, местностей и железнодорожных узлов, на пограничную зону вдоль всей границы страны шириной от 15 до 200 километров, а на Дальнем Востоке — до 500 километров. При этом Закарпатская, Калининградская, Сахалинская области, Приморский и Хабаровский края, в том числе Камчатка, были полностью объявлены режимными местностями (9985).</w:t>
      </w:r>
    </w:p>
    <w:p w14:paraId="2ACEA9F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555AA7D7"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1E5D7C6"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993734A"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января 1933 в ХПЗ был проведен испытательный 300-км пробег на гусеницах окончательно собранного первого опытного БТ-5. Оказался не совсем удачным, т.к. на 220 километре вышел из строя вентилятор системы охлаждения. Это отодвинуло серию на месяц (3880,4).</w:t>
      </w:r>
    </w:p>
    <w:p w14:paraId="68BAA5BD"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5B7524EA"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8161C5F"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34B298D"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января 1933 года от УВВС были получены Технические требования на К1-2М32 (2М34) - Крейсер сухопутный, он же средний бомбардировщик и дальний разведчик, вооруженный тяжелыми и легкими пулеметами, дальность полета при нормальной нагрузке 1200 км, при перегрузке 2000 км (3530,70-86).</w:t>
      </w:r>
    </w:p>
    <w:p w14:paraId="3585D32D"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6A032DBA" w14:textId="77777777" w:rsidR="00A4146F" w:rsidRPr="0044524F" w:rsidRDefault="00A4146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15 января 1933 г. выполнили все чертежи и необходимый комплекс расчетов, завершили изготовление демонстрационной модели </w:t>
      </w:r>
      <w:hyperlink r:id="rId14"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в 1/5 натуральной величины и сделали экспериментальный образец трака из дюралюминия. С известной долей иронии это можно назвать начальным этапом изготовления опытного образца. В ходе выполнения технического проекта выяснилось, что </w:t>
      </w:r>
      <w:hyperlink r:id="rId15"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 стремительно набирает в весе. К этому времени его масса уже составляла 5176 кг. Авиаконструкторы посчитали, что это не могло положительно сказаться на получении необходимых ТТХ, а потому проект отослали в НИИ ВВС для получения оценки (15632).</w:t>
      </w:r>
    </w:p>
    <w:p w14:paraId="16FE243F" w14:textId="77777777" w:rsidR="00A4146F" w:rsidRPr="0044524F" w:rsidRDefault="00A4146F" w:rsidP="009654CF">
      <w:pPr>
        <w:spacing w:after="0" w:line="240" w:lineRule="auto"/>
        <w:jc w:val="both"/>
        <w:rPr>
          <w:rFonts w:ascii="Times New Roman" w:hAnsi="Times New Roman"/>
          <w:color w:val="000000" w:themeColor="text1"/>
          <w:sz w:val="16"/>
          <w:szCs w:val="16"/>
        </w:rPr>
      </w:pPr>
    </w:p>
    <w:p w14:paraId="2EC1390A" w14:textId="77777777" w:rsidR="00804D55" w:rsidRPr="0044524F" w:rsidRDefault="00804D5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 15 января 1933 г. были изготовлены вся проектная документация и макет в масштабе 1:5 из дюраля летающего танка Рафаэлянца.</w:t>
      </w:r>
    </w:p>
    <w:p w14:paraId="45B5F84B" w14:textId="77777777" w:rsidR="00804D55" w:rsidRPr="0044524F" w:rsidRDefault="00804D5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Но в процессе работы конструкторы столкнулись с тем, что танк начал стремительно «полнеть». Масса возросла до 5176 кг. Входившие в группу авиаконструкторы посчитали, что это сильно перетяжелённая машина и отправили материалы по проекту в НИИ ВВС для проведения детальной оценки (19529).</w:t>
      </w:r>
    </w:p>
    <w:p w14:paraId="71032FE8" w14:textId="77777777" w:rsidR="00804D55" w:rsidRPr="0044524F" w:rsidRDefault="00804D55" w:rsidP="009654CF">
      <w:pPr>
        <w:spacing w:after="0" w:line="240" w:lineRule="auto"/>
        <w:jc w:val="both"/>
        <w:rPr>
          <w:rFonts w:ascii="Times New Roman" w:eastAsia="Times New Roman" w:hAnsi="Times New Roman"/>
          <w:color w:val="000000" w:themeColor="text1"/>
          <w:sz w:val="16"/>
          <w:szCs w:val="16"/>
          <w:lang w:eastAsia="ru-RU"/>
        </w:rPr>
      </w:pPr>
    </w:p>
    <w:p w14:paraId="2251CF3E" w14:textId="77777777" w:rsidR="00804D55" w:rsidRPr="0044524F" w:rsidRDefault="00804D55" w:rsidP="009654CF">
      <w:pPr>
        <w:pStyle w:val="ae"/>
        <w:shd w:val="clear" w:color="auto" w:fill="FFFFFF"/>
        <w:spacing w:before="0" w:after="0"/>
        <w:jc w:val="both"/>
        <w:rPr>
          <w:color w:val="000000" w:themeColor="text1"/>
          <w:sz w:val="16"/>
          <w:szCs w:val="16"/>
        </w:rPr>
      </w:pPr>
      <w:r w:rsidRPr="0044524F">
        <w:rPr>
          <w:color w:val="000000" w:themeColor="text1"/>
          <w:sz w:val="16"/>
          <w:szCs w:val="16"/>
        </w:rPr>
        <w:t>К 15 января 1933 г. выполнили все чертежи и необходимый комплекс расчетов летающего танка Рафаэлянца, завершили изготовление демонстрационной модели танка в 1/5 натуральной величины и сделали экспериментальный образец трака из дюралюминия. С известной долей иронии это можно назвать начальным этапом изготовления опытного образца. В ходе выполнения технического проекта выяснилось, что танк стремительно набирает в весе. К этому времени его масса уже составляла 5176 кг. Авиаконструкторы посчитали, что это не могло положительно сказаться на получении необходимых ТТХ, а потому проект отослали в НИИ ВВС для получения оценки (19530).</w:t>
      </w:r>
    </w:p>
    <w:p w14:paraId="37885005" w14:textId="77777777" w:rsidR="00804D55" w:rsidRPr="0044524F" w:rsidRDefault="00804D55" w:rsidP="009654CF">
      <w:pPr>
        <w:shd w:val="clear" w:color="auto" w:fill="FFFFFF"/>
        <w:spacing w:after="0" w:line="240" w:lineRule="auto"/>
        <w:jc w:val="both"/>
        <w:rPr>
          <w:rFonts w:ascii="Times New Roman" w:hAnsi="Times New Roman"/>
          <w:color w:val="000000" w:themeColor="text1"/>
          <w:sz w:val="16"/>
          <w:szCs w:val="16"/>
        </w:rPr>
      </w:pPr>
    </w:p>
    <w:p w14:paraId="21D93415" w14:textId="77777777" w:rsidR="00C2228D" w:rsidRPr="0044524F" w:rsidRDefault="00C222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15 января 1933 г. группа Рафаэляннца выполнила все чертежи и необходимый комплекс расчетов, завершили изготовление демонстрационной модели танка в 1/5 натуральной величины и сделали экспериментальный образец трака из дюралюминия. С известной долей иронии это можно назвать начальным этапом изготовления опытного образца. В ходе выполнения технического проекта выяснилось, что танк стремительно набирает в весе. К этому времени его масса уже составляла 5176 кг. Авиаконструкторы посчитали, что это не могло положительно сказаться на получении необходимых ТТХ, а потому проект отослали в НИИ ВВС для получения оценки (24266).</w:t>
      </w:r>
    </w:p>
    <w:p w14:paraId="24AFD948" w14:textId="77777777" w:rsidR="00C2228D" w:rsidRPr="0044524F" w:rsidRDefault="00C2228D" w:rsidP="009654CF">
      <w:pPr>
        <w:spacing w:after="0" w:line="240" w:lineRule="auto"/>
        <w:jc w:val="both"/>
        <w:rPr>
          <w:rFonts w:ascii="Times New Roman" w:hAnsi="Times New Roman"/>
          <w:color w:val="000000" w:themeColor="text1"/>
          <w:sz w:val="16"/>
          <w:szCs w:val="16"/>
        </w:rPr>
      </w:pPr>
    </w:p>
    <w:p w14:paraId="0372A92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15/19 января 1933 года врид начальника ВВС Наумов писал письмо № 3Н/009 зам. председателя РВС Тухачевскому</w:t>
      </w:r>
    </w:p>
    <w:p w14:paraId="60CF449B"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необходимости образования новых КБ по самолетам и моторам.</w:t>
      </w:r>
    </w:p>
    <w:p w14:paraId="0A87E48D"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проектирование и постройка опытных самолетов и моторов производится единственными в Союзе конструкторскими бюро: по самолетам – ЦАГИ, по моторам – ЦИАМ.</w:t>
      </w:r>
    </w:p>
    <w:p w14:paraId="1A579A77"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 этих мощных, но монопольных конструкторских организаций показывает, что они хорошо справляются с отдельными отраслями самолето- и моторостроения, но далеко не охватывают всех направлений развития авиатехники. Так, в стороне от ЦАГИ проходит стальное самолетостроение, а развитие тяжелых и сверхтяжелых самолетов, по которым ЦАГИ имеет наибольшие достижения, задерживается из-за перегрузки этих конструкторских бюро заданиями по легким самолетам. Аналогично, в стороне от ЦИАМа развиваются такие большие отрасли авиационных двигателей, как двигатели на тяжелом топливе (дизеля) и паровые турбины.</w:t>
      </w:r>
    </w:p>
    <w:p w14:paraId="2DCD8546"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Проведенное в 1930 году слияние всех существовавших до того времени разрозненно конструкторских бюро в ЦАГИ и ЦИАМ имело целью создание мощного конструкторского кулака как по самолетам, так и по моторам, способного в короткие сроки выполнить проектирование и постройку опытных самолетов и моторов. В настоящее время оба этих бюро достаточно мощные и дальнейшее их расширение приводит к монополизации всей конструкторской мысли, не давая развиваться новым отраслям и направлениям авиатехники.</w:t>
      </w:r>
    </w:p>
    <w:p w14:paraId="407E913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Авиатехника уже настолько развилась, что объединить все руководство в одном конструкторском бюро нецелесообразно как по вышеизложенным причинам монополии, так и из-за громоздкости самого конструкторского учреждения.</w:t>
      </w:r>
    </w:p>
    <w:p w14:paraId="5294D892"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Считаю, что для оживления опытной работы и ее интенсификации с целью поднятия темпов всего опытного строительства моторов и самолетов необходимо немедленно приступить к образованию следующих конструкторских организаций:</w:t>
      </w:r>
    </w:p>
    <w:p w14:paraId="334535BA" w14:textId="77777777" w:rsidR="00DF28E3" w:rsidRPr="0044524F" w:rsidRDefault="00DF28E3" w:rsidP="009654C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самолетам.</w:t>
      </w:r>
    </w:p>
    <w:p w14:paraId="012AEE80" w14:textId="77777777" w:rsidR="00DF28E3" w:rsidRPr="0044524F" w:rsidRDefault="00DF28E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Конструкторского бюро по легким самолетам (истребители, разведчики, легкие бомбардировщики) деревянной и смешанной конструкций. Это КБ развить на базе завода № 39. Для руководства выделить из ЦАГИ инженеров Ильюшина, Кочергина с его бригадой, ранее работавшей на заводе № 39 и Поликарпова.</w:t>
      </w:r>
    </w:p>
    <w:p w14:paraId="670C5461" w14:textId="77777777" w:rsidR="00DF28E3" w:rsidRPr="0044524F" w:rsidRDefault="00DF28E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Конструкторское бюро ЦАГИ во главе с Туполевым должно специализироваться на постройке тяжелых самолетов и легких самолетов дюралюминиевой и стальной конструкций.</w:t>
      </w:r>
    </w:p>
    <w:p w14:paraId="5F0DE9B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Гидросамолетостроение должно остаться в ЦАГИ на правах отдела.</w:t>
      </w:r>
    </w:p>
    <w:p w14:paraId="33CB62E0" w14:textId="77777777" w:rsidR="00DF28E3" w:rsidRPr="0044524F" w:rsidRDefault="00DF28E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Конструкторское бюро Калинина (Харьков) специализировать по тяжелым самолетам.</w:t>
      </w:r>
    </w:p>
    <w:p w14:paraId="1C9D05F7" w14:textId="77777777" w:rsidR="00DF28E3" w:rsidRPr="0044524F" w:rsidRDefault="00DF28E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Конструкторское бюро ГУГВФ под руководством Путилова должно объединить все мелкие разрозненные конструкторские группы ГУГВФа (инж. Бартини, Четверикова). Специализация – по применению в самолетостроении нержавеющей стали.</w:t>
      </w:r>
    </w:p>
    <w:p w14:paraId="4EFA9F5C"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этих основных конструкторских организаций необходимо:</w:t>
      </w:r>
    </w:p>
    <w:p w14:paraId="7FC062F6" w14:textId="77777777" w:rsidR="00DF28E3" w:rsidRPr="0044524F" w:rsidRDefault="00DF28E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Создать небольшое конструкторское бюро в Ленинграде из имеющихся там и ныне используемых инженерно-технических сил. Основной кадр работников – НИАИ ГУГВФа. Специализация – легкие сухопутные и морские самолеты.</w:t>
      </w:r>
    </w:p>
    <w:p w14:paraId="12A16FB5" w14:textId="77777777" w:rsidR="00DF28E3" w:rsidRPr="0044524F" w:rsidRDefault="00DF28E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ныне существующее (проектирует десантный самолет Д-У) конструкторское бюро ВВА как постоянное конструкторское бюро, выполняющее задания по новым, не вошедшим в план опытного строительства объектам.</w:t>
      </w:r>
    </w:p>
    <w:p w14:paraId="56471B70" w14:textId="77777777" w:rsidR="00DF28E3" w:rsidRPr="0044524F" w:rsidRDefault="00DF28E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целью использования преподавательского состава авиационных ВТУЗов при каждом из них иметь небольшое конструкторское бюро для выполнения наиболее легких объектов опытного строительства.</w:t>
      </w:r>
    </w:p>
    <w:p w14:paraId="00F489BC"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 важной считаю задачу по созданию небольших конструкторских бюро на всех серийных заводах для усовершенствования строящихся на этих заводах самолетов.</w:t>
      </w:r>
    </w:p>
    <w:p w14:paraId="40548FF1" w14:textId="77777777" w:rsidR="00DF28E3" w:rsidRPr="0044524F" w:rsidRDefault="00DF28E3" w:rsidP="009654C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 моторам.</w:t>
      </w:r>
    </w:p>
    <w:p w14:paraId="0722F58F" w14:textId="77777777" w:rsidR="00DF28E3" w:rsidRPr="0044524F" w:rsidRDefault="00DF28E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 оставить основным и центральным конструкторским бюро по бензиновым авиамоторам.</w:t>
      </w:r>
    </w:p>
    <w:p w14:paraId="63332831" w14:textId="77777777" w:rsidR="00DF28E3" w:rsidRPr="0044524F" w:rsidRDefault="00DF28E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Выделить ОКБ (авиационное) ОГПУ в самостоятельный Институт с опытным заводом и конструкторским бюро со специализацией по авиадвигателям тяжелого топлива (дизелям) и турбинам. В нем объединить всех работающих ныне в Москве и Ленинграде по авиадизелям инженеров.</w:t>
      </w:r>
    </w:p>
    <w:p w14:paraId="3C99D750" w14:textId="77777777" w:rsidR="00DF28E3" w:rsidRPr="0044524F" w:rsidRDefault="00DF28E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Выделить из НИИ ГВФ филиал его – Украинский институт по двигателям внутреннего сгорания – в самостоятельный Институт по авиадизелям, передав в этот институт секцию высотных агрегатов Харьковского института промышленной энергетики (группа академика Проскура). Этим мы создаем на Украине центр по конструированию и постройке авиадизелей с большой высотностью.</w:t>
      </w:r>
    </w:p>
    <w:p w14:paraId="74E5E709" w14:textId="77777777" w:rsidR="00DF28E3" w:rsidRPr="0044524F" w:rsidRDefault="00DF28E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Образовать на всех серийных моторных заводах небольшие конструкторские бюро по усовершенствованию строящихся на этих заводах моторов.</w:t>
      </w:r>
    </w:p>
    <w:p w14:paraId="32DD2F58"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Такая организация разгрузит ЦАГИ и ЦИАМ от большого количества объектов опытного строительства и позволит провести специализацию конструкторского бюро по уже назревшим наиболее крупным отраслям авиационной техники, что значительно оживит их работу и увеличит темпы нашего строительства (7439, 12-13).</w:t>
      </w:r>
    </w:p>
    <w:p w14:paraId="6A6E0C2C"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1AD5DF96"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9EF2AAD"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744F6A2"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января 1933 проходили совместные испытания тормозных колес размером 1350х300 на самолете ТБ3-4М17.</w:t>
      </w:r>
    </w:p>
    <w:p w14:paraId="7BB658C6"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1D789F6A"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инженер-летчик от НИИ ВВС –Филин</w:t>
      </w:r>
    </w:p>
    <w:p w14:paraId="3788662C"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от ЦАГИ – Громов</w:t>
      </w:r>
    </w:p>
    <w:p w14:paraId="06C47676"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3A01437E"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тормозных колес, удобство расположения управления тормозами, эффективность действия тормозов и эксплуатационные данные колес.</w:t>
      </w:r>
    </w:p>
    <w:p w14:paraId="5D86FC35"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E866961" w14:textId="77777777" w:rsidR="00DF28E3" w:rsidRPr="0044524F" w:rsidRDefault="00DF28E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колес к самолету ТБ-3 4М-17 размером 1350х300 с цельными тормозными стаканами утверждается.</w:t>
      </w:r>
    </w:p>
    <w:p w14:paraId="258565D6"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колес со сварными тормозными стаканами:</w:t>
      </w:r>
    </w:p>
    <w:p w14:paraId="09A0940B"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Начаты – 16 января 1933 года</w:t>
      </w:r>
    </w:p>
    <w:p w14:paraId="705C208B"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Окончены 16 января 1933 года</w:t>
      </w:r>
    </w:p>
    <w:p w14:paraId="19595754"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Сделано 17 посадок</w:t>
      </w:r>
    </w:p>
    <w:p w14:paraId="1377FB79"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Получение новых колес и ремонт самолета с 17 января по 9 февраля 1933 года</w:t>
      </w:r>
    </w:p>
    <w:p w14:paraId="7CF70F25"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колес с цельными тормозными стаканами:</w:t>
      </w:r>
    </w:p>
    <w:p w14:paraId="2D0CF581"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Начато 9 февраля 1933 года</w:t>
      </w:r>
    </w:p>
    <w:p w14:paraId="65332177"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Окончено 21 февраля 1933 года</w:t>
      </w:r>
    </w:p>
    <w:p w14:paraId="7597B6A2"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Летных дней – 2 (6634).</w:t>
      </w:r>
    </w:p>
    <w:p w14:paraId="58464DFA" w14:textId="77777777" w:rsidR="00DF28E3" w:rsidRPr="0044524F" w:rsidRDefault="00DF28E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2A43AB" w14:textId="77777777" w:rsidR="00A4146F"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C72B46A" w14:textId="77777777" w:rsidR="00A4146F" w:rsidRPr="0044524F" w:rsidRDefault="00A4146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780104F" w14:textId="77777777" w:rsidR="00A4146F" w:rsidRPr="0044524F" w:rsidRDefault="00A4146F" w:rsidP="009654CF">
      <w:pPr>
        <w:pStyle w:val="rtejustify"/>
        <w:spacing w:before="0" w:after="0"/>
        <w:rPr>
          <w:color w:val="000000" w:themeColor="text1"/>
          <w:sz w:val="16"/>
          <w:szCs w:val="16"/>
        </w:rPr>
      </w:pPr>
      <w:r w:rsidRPr="0044524F">
        <w:rPr>
          <w:rStyle w:val="af0"/>
          <w:bCs/>
          <w:i w:val="0"/>
          <w:color w:val="000000" w:themeColor="text1"/>
          <w:sz w:val="16"/>
          <w:szCs w:val="16"/>
        </w:rPr>
        <w:t>16/17 января 1933 вышел приказ НКТП № 8с.</w:t>
      </w:r>
      <w:r w:rsidRPr="0044524F">
        <w:rPr>
          <w:color w:val="000000" w:themeColor="text1"/>
          <w:sz w:val="16"/>
          <w:szCs w:val="16"/>
        </w:rPr>
        <w:t xml:space="preserve"> Об изменении структуры управления Тульским заводом № 1. (РГАЭ. Ф. 7297. Оп. 38. Д. 38. Л. 8</w:t>
      </w:r>
      <w:r w:rsidRPr="0044524F">
        <w:rPr>
          <w:color w:val="000000" w:themeColor="text1"/>
          <w:sz w:val="16"/>
          <w:szCs w:val="16"/>
        </w:rPr>
        <w:noBreakHyphen/>
        <w:t>6) (15246).</w:t>
      </w:r>
    </w:p>
    <w:p w14:paraId="06FEA3AF" w14:textId="77777777" w:rsidR="00A4146F" w:rsidRPr="0044524F" w:rsidRDefault="00A4146F" w:rsidP="009654CF">
      <w:pPr>
        <w:pStyle w:val="rtejustify"/>
        <w:spacing w:before="0" w:after="0"/>
        <w:rPr>
          <w:color w:val="000000" w:themeColor="text1"/>
          <w:sz w:val="16"/>
          <w:szCs w:val="16"/>
        </w:rPr>
      </w:pPr>
    </w:p>
    <w:p w14:paraId="2CAFCBD6" w14:textId="77777777" w:rsidR="00226F9C" w:rsidRPr="0044524F" w:rsidRDefault="00226F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января 1933 состоялось заседание ПБ и был оформлен протокол № 128</w:t>
      </w:r>
    </w:p>
    <w:p w14:paraId="6F2B8FFB" w14:textId="77777777" w:rsidR="00226F9C" w:rsidRPr="0044524F" w:rsidRDefault="00226F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января 1933 опросом членов ПБ</w:t>
      </w:r>
    </w:p>
    <w:p w14:paraId="753F75B5" w14:textId="77777777" w:rsidR="00226F9C" w:rsidRPr="0044524F" w:rsidRDefault="00226F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55/35.- О предложениях Фирмы "Сперри". (ПБ от 1.ХП.32Г.,пр. № 124. П.1).</w:t>
      </w:r>
    </w:p>
    <w:p w14:paraId="1E93A5C1" w14:textId="77777777" w:rsidR="00226F9C" w:rsidRPr="0044524F" w:rsidRDefault="00226F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изменение постановления ПБ от 1.ХП.32г. удовлетворить просьбу т.Баранова об освобождении от поездки в САСШ т. Ильюшина и командировании вместо него т. Енгибариан А.А.</w:t>
      </w:r>
    </w:p>
    <w:p w14:paraId="214AA07A" w14:textId="77777777" w:rsidR="00226F9C" w:rsidRPr="0044524F" w:rsidRDefault="00226F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т.т.Ворошилову, Орджоникидзе, Баранову, Халепскому, Артузову (22978).</w:t>
      </w:r>
    </w:p>
    <w:p w14:paraId="46FB271C" w14:textId="77777777" w:rsidR="00226F9C" w:rsidRPr="0044524F" w:rsidRDefault="00226F9C" w:rsidP="009654CF">
      <w:pPr>
        <w:spacing w:after="0" w:line="240" w:lineRule="auto"/>
        <w:jc w:val="both"/>
        <w:rPr>
          <w:rFonts w:ascii="Times New Roman" w:hAnsi="Times New Roman"/>
          <w:color w:val="000000" w:themeColor="text1"/>
          <w:sz w:val="16"/>
          <w:szCs w:val="16"/>
        </w:rPr>
      </w:pPr>
    </w:p>
    <w:p w14:paraId="71DA2326" w14:textId="77777777" w:rsidR="00A4146F" w:rsidRPr="0044524F" w:rsidRDefault="00A4146F" w:rsidP="009654CF">
      <w:pPr>
        <w:pStyle w:val="rtejustify"/>
        <w:spacing w:before="0" w:after="0"/>
        <w:rPr>
          <w:color w:val="000000" w:themeColor="text1"/>
          <w:sz w:val="16"/>
          <w:szCs w:val="16"/>
        </w:rPr>
      </w:pPr>
      <w:r w:rsidRPr="0044524F">
        <w:rPr>
          <w:rStyle w:val="af0"/>
          <w:bCs/>
          <w:i w:val="0"/>
          <w:color w:val="000000" w:themeColor="text1"/>
          <w:sz w:val="16"/>
          <w:szCs w:val="16"/>
        </w:rPr>
        <w:t xml:space="preserve">16 января </w:t>
      </w:r>
      <w:r w:rsidRPr="0044524F">
        <w:rPr>
          <w:color w:val="000000" w:themeColor="text1"/>
          <w:sz w:val="16"/>
          <w:szCs w:val="16"/>
        </w:rPr>
        <w:t xml:space="preserve">1933. Протокол заседания Политбюро ЦК ВКП (б) № 128. </w:t>
      </w:r>
      <w:hyperlink r:id="rId16" w:anchor="showunit&amp;id=85447" w:history="1">
        <w:r w:rsidRPr="0044524F">
          <w:rPr>
            <w:rStyle w:val="a5"/>
            <w:color w:val="000000" w:themeColor="text1"/>
            <w:sz w:val="16"/>
            <w:szCs w:val="16"/>
            <w:u w:val="none"/>
          </w:rPr>
          <w:t>8. О договоре техпомощи с фирмой «Монтекатини»</w:t>
        </w:r>
      </w:hyperlink>
      <w:r w:rsidRPr="0044524F">
        <w:rPr>
          <w:color w:val="000000" w:themeColor="text1"/>
          <w:sz w:val="16"/>
          <w:szCs w:val="16"/>
        </w:rPr>
        <w:t xml:space="preserve"> (ПБ от 22 декабря 1932 г., пр. № 127, п. 41/23) (Рудзутак, Орджоникидзе, Розенгольц). — ОП. Решено позволить Наркомату тяжелой промышленности начать переговоры, не беря на себя никаких обязательств о размерах платежей. </w:t>
      </w:r>
      <w:hyperlink r:id="rId17" w:anchor="showunit&amp;id=85420" w:history="1">
        <w:r w:rsidRPr="0044524F">
          <w:rPr>
            <w:rStyle w:val="a5"/>
            <w:color w:val="000000" w:themeColor="text1"/>
            <w:sz w:val="16"/>
            <w:szCs w:val="16"/>
            <w:u w:val="none"/>
          </w:rPr>
          <w:t>55/35. О предложениях фирмы «Сперри»</w:t>
        </w:r>
      </w:hyperlink>
      <w:r w:rsidRPr="0044524F">
        <w:rPr>
          <w:color w:val="000000" w:themeColor="text1"/>
          <w:sz w:val="16"/>
          <w:szCs w:val="16"/>
        </w:rPr>
        <w:t xml:space="preserve"> (ПБ от 1 декабря 1932 г., пр. № 124, п. 1). — ОП. Решено во изменение постановления Политбюро от 1</w:t>
      </w:r>
      <w:r w:rsidRPr="0044524F">
        <w:rPr>
          <w:color w:val="000000" w:themeColor="text1"/>
          <w:sz w:val="16"/>
          <w:szCs w:val="16"/>
        </w:rPr>
        <w:noBreakHyphen/>
        <w:t>12</w:t>
      </w:r>
      <w:r w:rsidRPr="0044524F">
        <w:rPr>
          <w:color w:val="000000" w:themeColor="text1"/>
          <w:sz w:val="16"/>
          <w:szCs w:val="16"/>
        </w:rPr>
        <w:noBreakHyphen/>
        <w:t xml:space="preserve">1932 г. удовлетворить просьбу Баранова об освобождении Ильюшина от поездки в США (САСШ) и командировании вместо него Енгибариана (Енгибарьяна) А. А. </w:t>
      </w:r>
      <w:hyperlink r:id="rId18" w:anchor="showunit&amp;id=85456" w:history="1">
        <w:r w:rsidRPr="0044524F">
          <w:rPr>
            <w:rStyle w:val="a5"/>
            <w:color w:val="000000" w:themeColor="text1"/>
            <w:sz w:val="16"/>
            <w:szCs w:val="16"/>
            <w:u w:val="none"/>
          </w:rPr>
          <w:t>88/68. Об обеспечении судоремонта в ДВК (записка Бергавинова)</w:t>
        </w:r>
      </w:hyperlink>
      <w:r w:rsidRPr="0044524F">
        <w:rPr>
          <w:color w:val="000000" w:themeColor="text1"/>
          <w:sz w:val="16"/>
          <w:szCs w:val="16"/>
        </w:rPr>
        <w:t xml:space="preserve"> (ПБ от 15 января 1933 г.). Решено передать вопрос на разрешение в СТО. </w:t>
      </w:r>
      <w:hyperlink r:id="rId19" w:anchor="showunit&amp;id=85463" w:history="1">
        <w:r w:rsidRPr="0044524F">
          <w:rPr>
            <w:rStyle w:val="a5"/>
            <w:color w:val="000000" w:themeColor="text1"/>
            <w:sz w:val="16"/>
            <w:szCs w:val="16"/>
            <w:u w:val="none"/>
          </w:rPr>
          <w:t>94/74. О выпуске недоброкачественных двигателей заводом «Победа»</w:t>
        </w:r>
      </w:hyperlink>
      <w:r w:rsidRPr="0044524F">
        <w:rPr>
          <w:color w:val="000000" w:themeColor="text1"/>
          <w:sz w:val="16"/>
          <w:szCs w:val="16"/>
        </w:rPr>
        <w:t xml:space="preserve"> (ПБ от 15 января 1933 г.). Решено передать вопрос на разрешение в СНК СССР. </w:t>
      </w:r>
      <w:hyperlink r:id="rId20" w:anchor="showunit&amp;id=85465" w:history="1">
        <w:r w:rsidRPr="0044524F">
          <w:rPr>
            <w:rStyle w:val="a5"/>
            <w:color w:val="000000" w:themeColor="text1"/>
            <w:sz w:val="16"/>
            <w:szCs w:val="16"/>
            <w:u w:val="none"/>
          </w:rPr>
          <w:t>96/76. Об освоении технологического процесса производства синтетического каучука (записка Варейкиса)</w:t>
        </w:r>
      </w:hyperlink>
      <w:r w:rsidRPr="0044524F">
        <w:rPr>
          <w:color w:val="000000" w:themeColor="text1"/>
          <w:sz w:val="16"/>
          <w:szCs w:val="16"/>
        </w:rPr>
        <w:t xml:space="preserve"> (ПБ от 15 января 1937 г.). Решено передать вопрос на разрешение в комиссию Молотова при СТО по каучуку. </w:t>
      </w:r>
      <w:hyperlink r:id="rId21" w:anchor="showunit&amp;id=85469" w:history="1">
        <w:r w:rsidRPr="0044524F">
          <w:rPr>
            <w:rStyle w:val="a5"/>
            <w:color w:val="000000" w:themeColor="text1"/>
            <w:sz w:val="16"/>
            <w:szCs w:val="16"/>
            <w:u w:val="none"/>
          </w:rPr>
          <w:t>106/86. а) Экспортно-импортный и валютный план на 1 квартал 1933 г.)</w:t>
        </w:r>
      </w:hyperlink>
      <w:r w:rsidRPr="0044524F">
        <w:rPr>
          <w:color w:val="000000" w:themeColor="text1"/>
          <w:sz w:val="16"/>
          <w:szCs w:val="16"/>
        </w:rPr>
        <w:t xml:space="preserve"> Решено передать вопрос на рассмотрение комиссии Молотова по внешнеторговым вопросам.; </w:t>
      </w:r>
      <w:hyperlink r:id="rId22" w:anchor="showunit&amp;id=85470" w:history="1">
        <w:r w:rsidRPr="0044524F">
          <w:rPr>
            <w:rStyle w:val="a5"/>
            <w:color w:val="000000" w:themeColor="text1"/>
            <w:sz w:val="16"/>
            <w:szCs w:val="16"/>
            <w:u w:val="none"/>
          </w:rPr>
          <w:t>б) о торговых переговорах с Италией (записка Розенгольца)</w:t>
        </w:r>
      </w:hyperlink>
      <w:r w:rsidRPr="0044524F">
        <w:rPr>
          <w:color w:val="000000" w:themeColor="text1"/>
          <w:sz w:val="16"/>
          <w:szCs w:val="16"/>
        </w:rPr>
        <w:t xml:space="preserve"> Решено передать вопрос на рассмотрение комиссии Молотова по внешнеторговым вопросам. (ПБ от 15 января 1933 г.). </w:t>
      </w:r>
      <w:hyperlink r:id="rId23" w:anchor="showunit&amp;id=85359" w:history="1">
        <w:r w:rsidRPr="0044524F">
          <w:rPr>
            <w:rStyle w:val="a5"/>
            <w:color w:val="000000" w:themeColor="text1"/>
            <w:sz w:val="16"/>
            <w:szCs w:val="16"/>
            <w:u w:val="none"/>
          </w:rPr>
          <w:t>108/88. Вопросы НКТП (кадры)</w:t>
        </w:r>
      </w:hyperlink>
      <w:r w:rsidRPr="0044524F">
        <w:rPr>
          <w:color w:val="000000" w:themeColor="text1"/>
          <w:sz w:val="16"/>
          <w:szCs w:val="16"/>
        </w:rPr>
        <w:t xml:space="preserve"> (ПБ от 15 января 1933 г.). Решено в целях усиления руководства металлургическими заводами утвердить следующие перемещения: 1) Начальника ГУМП Гуревича временно направить в Харьков для руководства объединениями Сталь и Днепросталь. 2) Управляющего объединением Сталь временно направить директором Сталинского завода, оставив его заместителем Смокина (директора Сталинского завода). 3) Управляющего Днепростали Манаенко временно направить директором Макеевского завода, оставив Марапулица его заместителем. 4) Гугеля освободить от должности начальника Магнитогорского металлургического комбината имени Сталина, назначив его директором Ворошиловского металлургического завода, с оставлением Соловьева его заместителем. 5) Начальником Магнитогорского металлургического комбината имени Сталина назначить члена коллегии НКТП Мышкова, освободив его от должности заместителя начальника по капитальному строительству ГУМП (15462).</w:t>
      </w:r>
    </w:p>
    <w:p w14:paraId="588359F2" w14:textId="77777777" w:rsidR="00A4146F" w:rsidRPr="0044524F" w:rsidRDefault="00A4146F" w:rsidP="009654CF">
      <w:pPr>
        <w:pStyle w:val="rtejustify"/>
        <w:spacing w:before="0" w:after="0"/>
        <w:rPr>
          <w:color w:val="000000" w:themeColor="text1"/>
          <w:sz w:val="16"/>
          <w:szCs w:val="16"/>
        </w:rPr>
      </w:pPr>
    </w:p>
    <w:p w14:paraId="421E7D8B" w14:textId="77777777" w:rsidR="00254098" w:rsidRPr="0044524F" w:rsidRDefault="0025409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января 1933 г. завершение войсковых испытаний торпедных катеров волнового управления системы Остехбюро (18667).</w:t>
      </w:r>
    </w:p>
    <w:p w14:paraId="26C3152A" w14:textId="77777777" w:rsidR="00254098" w:rsidRPr="0044524F" w:rsidRDefault="00254098" w:rsidP="009654CF">
      <w:pPr>
        <w:spacing w:after="0" w:line="240" w:lineRule="auto"/>
        <w:jc w:val="both"/>
        <w:rPr>
          <w:rFonts w:ascii="Times New Roman" w:hAnsi="Times New Roman"/>
          <w:color w:val="000000" w:themeColor="text1"/>
          <w:sz w:val="16"/>
          <w:szCs w:val="16"/>
        </w:rPr>
      </w:pPr>
    </w:p>
    <w:p w14:paraId="250FB3AB"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66C5E91"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25C6888"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января 1933 с производителем самолетов Рене Кузине на борту, Жан Мермоз и команда совершают беспосадочный перелет через Южный Атлантический океан из Сен-Луи, Сенегал, в Натал, Бразилия, за 17 часов 27 минут на Couzinet 70 Arc-en. -ciel III (20802).</w:t>
      </w:r>
    </w:p>
    <w:p w14:paraId="2E22EB32" w14:textId="77777777" w:rsidR="00373B27" w:rsidRPr="0044524F" w:rsidRDefault="00373B27" w:rsidP="009654CF">
      <w:pPr>
        <w:spacing w:after="0" w:line="240" w:lineRule="auto"/>
        <w:jc w:val="both"/>
        <w:rPr>
          <w:rFonts w:ascii="Times New Roman" w:hAnsi="Times New Roman"/>
          <w:color w:val="000000" w:themeColor="text1"/>
          <w:sz w:val="16"/>
          <w:szCs w:val="16"/>
        </w:rPr>
      </w:pPr>
    </w:p>
    <w:p w14:paraId="49C1A663"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января 1933 года в 4 часа 50 минут утра с грузом почты «Радуга» Кузине вылетела из Сен-Луи-дю-Сенегал. После прохождения над Дакаром в 05:35, самолет взял курс на Наталь. Путевая скорость составляла 220-260 км/ч. В экваториальной зоне встре</w:t>
      </w:r>
      <w:r w:rsidRPr="00142305">
        <w:rPr>
          <w:rFonts w:ascii="Times New Roman" w:hAnsi="Times New Roman"/>
          <w:color w:val="0070C0"/>
          <w:sz w:val="16"/>
          <w:szCs w:val="16"/>
        </w:rPr>
        <w:softHyphen/>
        <w:t>тилась обычная для «нулевых» широт мощ</w:t>
      </w:r>
      <w:r w:rsidRPr="00142305">
        <w:rPr>
          <w:rFonts w:ascii="Times New Roman" w:hAnsi="Times New Roman"/>
          <w:color w:val="0070C0"/>
          <w:sz w:val="16"/>
          <w:szCs w:val="16"/>
        </w:rPr>
        <w:softHyphen/>
        <w:t>ная облачность с сильными восходящими потоками воздуха - пришлось снижать высоту, где машину ожидал тропический ливень. На протяжении 250 км видимость была практически нулевой, и полет прохо</w:t>
      </w:r>
      <w:r w:rsidRPr="00142305">
        <w:rPr>
          <w:rFonts w:ascii="Times New Roman" w:hAnsi="Times New Roman"/>
          <w:color w:val="0070C0"/>
          <w:sz w:val="16"/>
          <w:szCs w:val="16"/>
        </w:rPr>
        <w:softHyphen/>
        <w:t>дил на высоте 50-100 м - почти на уровне волн. В остальном все было спокойно, и в 19:20, через 14 часов 30 минут с момента вылета, «Радуга» приземлилась в Натале на аэродроме компании Aeropostale. Афри</w:t>
      </w:r>
      <w:r w:rsidRPr="00142305">
        <w:rPr>
          <w:rFonts w:ascii="Times New Roman" w:hAnsi="Times New Roman"/>
          <w:color w:val="0070C0"/>
          <w:sz w:val="16"/>
          <w:szCs w:val="16"/>
        </w:rPr>
        <w:softHyphen/>
        <w:t>ка и Южная Америка были впервые соеди</w:t>
      </w:r>
      <w:r w:rsidRPr="00142305">
        <w:rPr>
          <w:rFonts w:ascii="Times New Roman" w:hAnsi="Times New Roman"/>
          <w:color w:val="0070C0"/>
          <w:sz w:val="16"/>
          <w:szCs w:val="16"/>
        </w:rPr>
        <w:softHyphen/>
        <w:t>нены грузовым рейсом, коммерческий сбор с которого превышал стоимость перелета.</w:t>
      </w:r>
    </w:p>
    <w:p w14:paraId="25190FF0"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трансатлантического перелета «Радуга» триумфально посетила с грузом почты Рио-де-Жанейро, Буэнос-Айрес и Монтевидео. Время доставки корреспон</w:t>
      </w:r>
      <w:r w:rsidRPr="00142305">
        <w:rPr>
          <w:rFonts w:ascii="Times New Roman" w:hAnsi="Times New Roman"/>
          <w:color w:val="0070C0"/>
          <w:sz w:val="16"/>
          <w:szCs w:val="16"/>
        </w:rPr>
        <w:softHyphen/>
        <w:t>денции из Парижа до Буэнос-Айреса со</w:t>
      </w:r>
      <w:r w:rsidRPr="00142305">
        <w:rPr>
          <w:rFonts w:ascii="Times New Roman" w:hAnsi="Times New Roman"/>
          <w:color w:val="0070C0"/>
          <w:sz w:val="16"/>
          <w:szCs w:val="16"/>
        </w:rPr>
        <w:softHyphen/>
        <w:t>кратилось с 2-3 недель до восьми дней. Ко времени прилета в Буэнос-Айрес «Радуга» преодолела 12 000 км, что соответствовало наработке двигателей более 50 часов. По действовавшему тогда регламенту, перед обратным перелетом моторы должны были быть перебраны для устранения нагара с поршней и головок цилиндров, замены све</w:t>
      </w:r>
      <w:r w:rsidRPr="00142305">
        <w:rPr>
          <w:rFonts w:ascii="Times New Roman" w:hAnsi="Times New Roman"/>
          <w:color w:val="0070C0"/>
          <w:sz w:val="16"/>
          <w:szCs w:val="16"/>
        </w:rPr>
        <w:softHyphen/>
        <w:t>чей и фильтров. При разборке выяснилось, что износ подшипников коленчатого вала всех трех моторов достиг критического. Это произошло из-за того, что в Сен-Луи бортмеханик по ошибке открыл кран маслобака только после взлета самолета, и агрегаты работали на взлетном режиме в условиях масляного голодания. Следовало вернуть двигатели на завод-изготовитель для капи</w:t>
      </w:r>
      <w:r w:rsidRPr="00142305">
        <w:rPr>
          <w:rFonts w:ascii="Times New Roman" w:hAnsi="Times New Roman"/>
          <w:color w:val="0070C0"/>
          <w:sz w:val="16"/>
          <w:szCs w:val="16"/>
        </w:rPr>
        <w:softHyphen/>
        <w:t>тального ремонта, но это задержало бы об</w:t>
      </w:r>
      <w:r w:rsidRPr="00142305">
        <w:rPr>
          <w:rFonts w:ascii="Times New Roman" w:hAnsi="Times New Roman"/>
          <w:color w:val="0070C0"/>
          <w:sz w:val="16"/>
          <w:szCs w:val="16"/>
        </w:rPr>
        <w:softHyphen/>
        <w:t>ратный перелет через Атлантику не менее чем на два месяца. В итоге, в одной из ав</w:t>
      </w:r>
      <w:r w:rsidRPr="00142305">
        <w:rPr>
          <w:rFonts w:ascii="Times New Roman" w:hAnsi="Times New Roman"/>
          <w:color w:val="0070C0"/>
          <w:sz w:val="16"/>
          <w:szCs w:val="16"/>
        </w:rPr>
        <w:softHyphen/>
        <w:t>томастерских Буэнос-Айреса был наплавлен баббит в подшипники и давление масла в моторах. восстановилось. Самолет был го</w:t>
      </w:r>
      <w:r w:rsidRPr="00142305">
        <w:rPr>
          <w:rFonts w:ascii="Times New Roman" w:hAnsi="Times New Roman"/>
          <w:color w:val="0070C0"/>
          <w:sz w:val="16"/>
          <w:szCs w:val="16"/>
        </w:rPr>
        <w:softHyphen/>
        <w:t>тов к обратному маршруту в мае 1933 года.</w:t>
      </w:r>
    </w:p>
    <w:p w14:paraId="4D853A36"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Вылет из Наталя состоялся 15 мая в 3 часа утра. Бортмеханика Жусса заменил старый друг Мермоза Александр Коплено, пассажиром взяли журналиста Поля Бренгье (Paul Bringuier). Путешествие началось без происшествий, но к вечеру (около 16 ча</w:t>
      </w:r>
      <w:r w:rsidRPr="00142305">
        <w:rPr>
          <w:rFonts w:ascii="Times New Roman" w:hAnsi="Times New Roman"/>
          <w:color w:val="0070C0"/>
          <w:sz w:val="16"/>
          <w:szCs w:val="16"/>
        </w:rPr>
        <w:softHyphen/>
        <w:t>сов), Мермоз заметил, что левый двигатель стал перегреваться. Коплено через лаз добрался до него и обнаружил, что водя</w:t>
      </w:r>
      <w:r w:rsidRPr="00142305">
        <w:rPr>
          <w:rFonts w:ascii="Times New Roman" w:hAnsi="Times New Roman"/>
          <w:color w:val="0070C0"/>
          <w:sz w:val="16"/>
          <w:szCs w:val="16"/>
        </w:rPr>
        <w:softHyphen/>
        <w:t>ной радиатор «украшает» трещина длиной около 10 см. В этот момент «Радуга» нахо</w:t>
      </w:r>
      <w:r w:rsidRPr="00142305">
        <w:rPr>
          <w:rFonts w:ascii="Times New Roman" w:hAnsi="Times New Roman"/>
          <w:color w:val="0070C0"/>
          <w:sz w:val="16"/>
          <w:szCs w:val="16"/>
        </w:rPr>
        <w:softHyphen/>
        <w:t>дилась в 700 км от побережья Африки. Ме</w:t>
      </w:r>
      <w:r w:rsidRPr="00142305">
        <w:rPr>
          <w:rFonts w:ascii="Times New Roman" w:hAnsi="Times New Roman"/>
          <w:color w:val="0070C0"/>
          <w:sz w:val="16"/>
          <w:szCs w:val="16"/>
        </w:rPr>
        <w:softHyphen/>
        <w:t>ханик попытался заделать щель тряпками, но это не принесло результата. Все имев</w:t>
      </w:r>
      <w:r w:rsidRPr="00142305">
        <w:rPr>
          <w:rFonts w:ascii="Times New Roman" w:hAnsi="Times New Roman"/>
          <w:color w:val="0070C0"/>
          <w:sz w:val="16"/>
          <w:szCs w:val="16"/>
        </w:rPr>
        <w:softHyphen/>
        <w:t>шиеся на борту жидкости были перекачены в поврежденный радиатор с целью дать мотору еще немного поработать в относи</w:t>
      </w:r>
      <w:r w:rsidRPr="00142305">
        <w:rPr>
          <w:rFonts w:ascii="Times New Roman" w:hAnsi="Times New Roman"/>
          <w:color w:val="0070C0"/>
          <w:sz w:val="16"/>
          <w:szCs w:val="16"/>
        </w:rPr>
        <w:softHyphen/>
        <w:t xml:space="preserve">тельно нормальных условиях. Было решено оставить его работающим на холостом ходу и не останавливать на тот </w:t>
      </w:r>
      <w:r w:rsidRPr="00142305">
        <w:rPr>
          <w:rFonts w:ascii="Times New Roman" w:hAnsi="Times New Roman"/>
          <w:color w:val="0070C0"/>
          <w:sz w:val="16"/>
          <w:szCs w:val="16"/>
        </w:rPr>
        <w:lastRenderedPageBreak/>
        <w:t>случай, если его мощность будет временно необходима. На двух двигателях скорость «Радуги» упала до 130-140 км/ч, высота полета также умень</w:t>
      </w:r>
      <w:r w:rsidRPr="00142305">
        <w:rPr>
          <w:rFonts w:ascii="Times New Roman" w:hAnsi="Times New Roman"/>
          <w:color w:val="0070C0"/>
          <w:sz w:val="16"/>
          <w:szCs w:val="16"/>
        </w:rPr>
        <w:softHyphen/>
        <w:t>шилась. Наконец Мермоз заметил огни и вскоре в поле зрения появился аэродром Дакара. Обратный перелет через океан длился 17 часов 10 минут. При возвращении во Францию, после взлете с одного из пу</w:t>
      </w:r>
      <w:r w:rsidRPr="00142305">
        <w:rPr>
          <w:rFonts w:ascii="Times New Roman" w:hAnsi="Times New Roman"/>
          <w:color w:val="0070C0"/>
          <w:sz w:val="16"/>
          <w:szCs w:val="16"/>
        </w:rPr>
        <w:softHyphen/>
        <w:t>стынных аэродромов Aeropostale, внезапно остановился центральный мотор. Тем не менее, «Радуга», хоть и медленно, продол</w:t>
      </w:r>
      <w:r w:rsidRPr="00142305">
        <w:rPr>
          <w:rFonts w:ascii="Times New Roman" w:hAnsi="Times New Roman"/>
          <w:color w:val="0070C0"/>
          <w:sz w:val="16"/>
          <w:szCs w:val="16"/>
        </w:rPr>
        <w:softHyphen/>
        <w:t>жала набирать высоту. Трехмоторная схема доказала свою безопасность.</w:t>
      </w:r>
    </w:p>
    <w:p w14:paraId="0B170329"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успешного двойного перелета «Радуга» подверглась существенной мо</w:t>
      </w:r>
      <w:r w:rsidRPr="00142305">
        <w:rPr>
          <w:rFonts w:ascii="Times New Roman" w:hAnsi="Times New Roman"/>
          <w:color w:val="0070C0"/>
          <w:sz w:val="16"/>
          <w:szCs w:val="16"/>
        </w:rPr>
        <w:softHyphen/>
        <w:t>дернизации. Двигатели были переданы Hispano-Sulza для установки редукторов с передаточным числом 0,5. Моторы полу</w:t>
      </w:r>
      <w:r w:rsidRPr="00142305">
        <w:rPr>
          <w:rFonts w:ascii="Times New Roman" w:hAnsi="Times New Roman"/>
          <w:color w:val="0070C0"/>
          <w:sz w:val="16"/>
          <w:szCs w:val="16"/>
        </w:rPr>
        <w:softHyphen/>
        <w:t>чили новое обозначение 12Nbr, винты стали четырехлопастными. Для улучшения про</w:t>
      </w:r>
      <w:r w:rsidRPr="00142305">
        <w:rPr>
          <w:rFonts w:ascii="Times New Roman" w:hAnsi="Times New Roman"/>
          <w:color w:val="0070C0"/>
          <w:sz w:val="16"/>
          <w:szCs w:val="16"/>
        </w:rPr>
        <w:softHyphen/>
        <w:t>дольной устойчивости фюзеляж самолета удлинили с 16,13 м до 21,45 м, а затем (по результатам испытаний) укоротили - до 21,18 м. В удлиненной носовой части фюзе</w:t>
      </w:r>
      <w:r w:rsidRPr="00142305">
        <w:rPr>
          <w:rFonts w:ascii="Times New Roman" w:hAnsi="Times New Roman"/>
          <w:color w:val="0070C0"/>
          <w:sz w:val="16"/>
          <w:szCs w:val="16"/>
        </w:rPr>
        <w:softHyphen/>
        <w:t>ляжа, между двигателем и кабиной пилотов, оборудовали отдельную кабину бортмехани</w:t>
      </w:r>
      <w:r w:rsidRPr="00142305">
        <w:rPr>
          <w:rFonts w:ascii="Times New Roman" w:hAnsi="Times New Roman"/>
          <w:color w:val="0070C0"/>
          <w:sz w:val="16"/>
          <w:szCs w:val="16"/>
        </w:rPr>
        <w:softHyphen/>
        <w:t>ка с приборами контроля силовой установки и тремя иллюминаторами. Обновленный самолет получил обозначение Couzinet 71 (24916).</w:t>
      </w:r>
    </w:p>
    <w:p w14:paraId="0CE0F1B2" w14:textId="77777777" w:rsidR="000B01C4" w:rsidRPr="00142305" w:rsidRDefault="000B01C4" w:rsidP="000B01C4">
      <w:pPr>
        <w:spacing w:after="0" w:line="240" w:lineRule="auto"/>
        <w:jc w:val="both"/>
        <w:rPr>
          <w:rFonts w:ascii="Times New Roman" w:hAnsi="Times New Roman"/>
          <w:color w:val="0070C0"/>
          <w:sz w:val="16"/>
          <w:szCs w:val="16"/>
        </w:rPr>
      </w:pPr>
    </w:p>
    <w:p w14:paraId="6674CA66"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января 1933 Э.Венизелос вновь стал премьер-министром Греции и занимал этот пост до 10 марта (3907,179).</w:t>
      </w:r>
    </w:p>
    <w:p w14:paraId="29859036"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03FA2357"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E2A6B2B"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C5E0AB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 января 1933 г. комитет по постройке "Максима Горького" своим письмом выдал ЦАГИ заказ на проектирование и постройку одного экземпляра АНТ-20. Позже в разных бумагах эта машина именовалась обычно просто МГ. Срок сдачи заказчику ставился 1 мая 1934 г. - очевидно, с расчетом вывести его на традиционный парад над Красной площадью. Договор после угряски финансовых вопросов подписали 10 марта. ЦАГИ получил полмиллиона рублей аванса. </w:t>
      </w:r>
    </w:p>
    <w:p w14:paraId="2ECCF960"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Сотрудники института взяли на себя обязательство отработать при создании самолета по 18 часов бесплатно.</w:t>
      </w:r>
    </w:p>
    <w:p w14:paraId="08879FE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Интересно, что по калькуляции гигант должен был быть шестимоторным. То ли Туполев на этом этапе недооценил рост веса машины, толи серьезно рассчитывал заполучить более мощные двигатели; может быть, упомянутые ранее включенные в планы, но так и не созданные вовремя М-34ФРН.</w:t>
      </w:r>
    </w:p>
    <w:p w14:paraId="560D69EE"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Над проектом "Максима Горького" работал большой коллектив. Общее руководство работами осуществлял А.Н. Туполев. Компоновку самолета проработал Б.М. Кондор- ский. Конструированием планера руководили А.А. Архангельский и В.М. Петляков, оперения - П.О. Сухой и И.П. Толстых, мотоустановками занимался Е.И. Погосский, оборудованием - А.А. Енгибарян, шасси - М.Н. Петров.</w:t>
      </w:r>
    </w:p>
    <w:p w14:paraId="5BA5BE94"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АНТ-20 являлся таким же огромным тихоходным гофрированным монопланом, как и АНТ-16, и полностью повторял его аэродинамическую схему. Такой же плоскобортный фюзеляж, такое же крыло толстого профиля, такое же высокое неубирающееся шасси.</w:t>
      </w:r>
    </w:p>
    <w:p w14:paraId="008D1BEC"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своей основе ТБ-4 и М Г были конструктивно одинаковы. Как и в проекте АНТ-20 - бомбардировщика, размах увеличили до 63 м. Аэродинамический профиль использовали старый - ЦАГИ-6. Прирост размаха при неизменной хорде в корневой части обеспечил увеличение удлинения крыла до 8,2, что должно было положительно сказаться на аэродинамике и дать повышение дальности полета. Крыло конструктивно членилось на три части: центроплан, изготовлявшийся совместно со средней частью фюзеляжа, и две консоли. Консоли крепились к центроплану по поясам лонжеронов болтами. Для повышения устойчивости консоли устанавливались с небольшим поперечным V - 6,67 градуса.</w:t>
      </w:r>
    </w:p>
    <w:p w14:paraId="4074CC48"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Основу набора крыла составляли три ферменных лонжерона из дюралюминиевых труб. В их полках предусмотрели использован ие толстостен н ых труб диаметром 160 м м, но таких отечественная промышленность не выпускала. Пришлось наладить их производство специально для МГ прямо на Заводе опытных конструкций. Трубы вставлялись друг в друга телескопически. В центроплане высота лонжероновбыла постоянной, в консолях они сужались к законцовкам. Максимальная высота профиля крыла равнялась 2,15 м; в межлонжеронном пространстве человек мог ходить, не сгибаясь. Нервюры тоже выполнялись ферменными из труб и профилей, усиленных мембранами и косынками из листа; они шли через два - гри метра. Такой простор позволил эффективно использовать центроплан для размещения пассажирских кают и служебных помещений. На сохранившихся чертежах видны названия, ассоциирующиеся больше с морем и железной дорогой, нежели с авиацией: "рубка главного механика", "кабина машиниста".</w:t>
      </w:r>
    </w:p>
    <w:p w14:paraId="5BCDABB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Поперек фюзеляжа по центроплану шел коридор, из которого двери вели в различные помещения. Каюты напоминали корабельные или железнодорожные купе со спальными местами. Там размещались обычные и подвесные койки и небольшие столики. Стены и потолок обтягивались тканью. На полу собирались постелить коврики. Интересно, что у некоторых кают имелись окна в потолке, а у некоторых - еще и в полу. В центроплане разместили также гардероб, туалет, комнату отдыха (на старых схемах она значится "кабиной культобслуживания"), два багажника, кладовую ("склад"), типографию и "центральную электростанцию", а также помещения для механиков.</w:t>
      </w:r>
    </w:p>
    <w:p w14:paraId="7C4079D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Силовой набор крыла дополнялся шедшими вдоль крыла стрингерами. А уже на них укладывалась гофрированная обшивка. Чтобы сделать лист и легким, и жестким одновременно, применили крупный гофр с шагом 50 мм и высотой 16 мм. А вот толщина его была меньше миллиметра, причем по размаху крыла она менялась от 0,8 мм у корня до 0,3 мм у законцовок.</w:t>
      </w:r>
    </w:p>
    <w:p w14:paraId="508E42EE"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консолях места тоже было немало. Там между лонжеронами расположили кабины для бортмехаников и топливные баки. Над рабочими местами механиков сделали смотровые фонари - размером с кабину иного самолета. Рядом с ними предусмотрели люки для вылезания на крыло. Считалось, что это будут делать при стоянке на земле, но на ТБ-3 при примерно таких же скоростях полета на крыло иногда выходили и в воздухе. Механики могли также выйти из своих кабин и перемещаться внутри вдоль носка крыла для осмотра двигателей и их мелкого ремонта.</w:t>
      </w:r>
    </w:p>
    <w:p w14:paraId="7CAA95F9"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конструкции АНТ-20 учли ряд недостатков, выявленных на ТБ-4. Там деформация крыла в полете приводила к тугому ходу элеронов. У "Максима Горького" прогиб крыла в полете, по расчетам, должен был доходить до полуметра. Щелевой элерон большого размаха пришлось разбить на четыре секции, что сохраняло их работоспособность в условиях деформации крыла.</w:t>
      </w:r>
    </w:p>
    <w:p w14:paraId="374878C7"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Крыло гиганта рассчитывалось на перевозку по железной дороге. Чтобы уложиться в габарит, его делили на узлы и вдоль и поперек, как у ТБ-3. Всего таких частей получилось десять. Обосновывали это так: М Г предстояло летать вглубь страны, в случае поломки туда требовалось доставить запасные части. Поскольку в дальнейшем намеревались строить серию таких машин, то наличие агрегатов на замену на заводе-изготовителе считалось само собой разумеющимся.</w:t>
      </w:r>
    </w:p>
    <w:p w14:paraId="724E45ED"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 "Максима Горького" имел прямоугольное сечение с немного округлым верхом и низом. По углам прямоугольника проходил и трубы лонжеронов. Попереч ную жесткость обеспечивали шпангоуты: в передней части - рамные, в задней - ферменные. Фюзеляж тоже собирался из четырех частей, соединяемых болтами по лонжеронам. Первый, носовой, отсек занимал салон с местом штурмана впереди, ничем от пассажиров не отгороженным. По всей носовой части шла сплошная лента прямоугольных окон. Салон должен был выполнять функции обзорной палубы на морском лайнере. Во втором отсеке находились полностью закрытая кабина пилотов и кабина радиста, а также первая пассажирская кабина. Третий отсек располагался между лонжеронами центроплана. По его оси шел проход, по бокам которого стояли колонны. На самом деле эта "колоннада" представляла собой опоры верхней тандем- ной мотоустановки. В задней части отсека, за второй пассажирской кабиной, находился буфет, называемый в некоторых документах рестораном. Он действительно немного напоминал железнодорожный вагон-ресто- ран. Там пассажиров собирались кормить горячей пищей. За рестораном находилась третья пассажирская кабина. Хвостовой отсек был почти пуст по соображениям центровки. По первоначальным схемам там хотели разместить два туалета и еще один гардероб. Уже на стадии макета расположение помещений немного изменили. Заканчивался фюзеляж съемным обтекателем с вырезом для хвостового колеса.</w:t>
      </w:r>
    </w:p>
    <w:p w14:paraId="3FDD9AEC"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пассажирских салонов разработали несколько типов кресел. На сохранившихся фотографиях присутствуют, по крайней мере, три варианта. Первое кресло более массивное, с объемистыми подлокотниками и жестким низом, обтянутым тканью. Его спинка имела несколько положений. На снимках макета "Максима Горького" видна более простая конструкция на металлических ножках и с подлокотниками из гнутых труб, напоминающая шезлонг. Такое кресло явно было и легче, и дешевле. Реально в салонах потом смонтировали кресла третьего типа, с каркасом по типу второго, но более простой спинкой без развитых заголовников.</w:t>
      </w:r>
    </w:p>
    <w:p w14:paraId="338D1319"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Хвостовое оперение нового гиганта по сравнению с ТБ-4 сильно изменили. Поскольку усилия на рулях по расчетам получались очень большими, конструкторы навесили на них серворули - триммеры с электроприводом. Серворули ранее опробовали на ТБ-3 и ТБ-4. Огромный стабилизатор, который мог бы послужить крылом самолету поменьше, мог в полете менять угол установки. Это делал электромотор, но для страховки предусмотрели и приведение его в действие вручную тросовым механизмом. Сначала спроектировали руль высоты большей площади, но усилия от него на штурвале оказались совершенно неприемлемыми. Пришлось руль урезать. Позже на испытаниях выяснилось, что такой площади на некоторых режимах недостаточно и использование перестановки стабилизатора совершенно необходимо.</w:t>
      </w:r>
    </w:p>
    <w:p w14:paraId="462264DF"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Неубирающееся шасси сильно напоминало ТБ-4. На каждой основной стойке монтировалось по два колеса двухметрового диаметра и почти полуметровой ширины. Им при посадке предстояло выдержать нагрузку в 30 т. Колесо сделали таким широким именно потому, что машине предстояло садиться не на бетонные полосы, которых в стране тогда практически не имелось, а на грунтовые аэродромы. Стойки и колеса изготавливались из легированной стали ХМА - единственной из выпускавшихся в СССР без импортных присадок. В стойку вмонтировали масляно-пневматический амортизатор. В колесах были упрятаны барабаны с колодочными тормозами. Они включались сжатым воздухом. Позднее пары колес намеревались для улучшения аэродинамики закрыть большими каплевидными обтекателями (что и сделали).</w:t>
      </w:r>
    </w:p>
    <w:p w14:paraId="3084A118"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Хвостовое колесо было тоже немаленьким - почти метр в диаметре. Его сделали свободно ориентирующимся, вращающимся на все 360 градусов. Для улучшения аэродинамики хвостовое колесо примерно на треть было утоплено в специальную нишу в фюзеляже.</w:t>
      </w:r>
    </w:p>
    <w:p w14:paraId="6B24E6A4"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Как уже говорилось, первоначально Туполев рассчитывал обойтись на "Максиме Горьком" шестью моторами, которые должны были дать в сумме около 7000 л.с. Очевидно, он верил в успех проектировавшегося тогда двигателя М-34ФРН, который должен был иметь максимальную мощность 1200 л.с. Шесть раз по 1200 - 7200. Но на практике этот мотор не дошел даже до испытаний на станке. Тогда ставку сделали на М-34РН, тоже с редуктором и нагнетателем, но без форсирования по </w:t>
      </w:r>
      <w:r w:rsidRPr="0044524F">
        <w:rPr>
          <w:rFonts w:ascii="Times New Roman" w:hAnsi="Times New Roman"/>
          <w:color w:val="000000" w:themeColor="text1"/>
          <w:sz w:val="16"/>
          <w:szCs w:val="16"/>
        </w:rPr>
        <w:lastRenderedPageBreak/>
        <w:t>оборотам. Максимальная мощность у него равнялась 820 л.с. По плану М-34РН требовалось выставить на испытания к 1 апреля 1932 г. Но и он запоздал более чем на два года. Осталось рассчитывать на уже существовавший М-34Р с редуктором, но без нагнетателя. Впрочем, последнее для машины, не способной летать высоко, большого значения не имело. Но максимальная мощность М-34Р составляла всего 800 л.с. Но шести моторов в этом случае уже не хватало: шесть раз по 800 - только 4800. Тогда Туполев вновь, как на ТБ-4, решил использовать верхнюю тандем- ную установку. Если бы случилось чудо, и он получил двигатели искомой мощности, ее запросто можно было бы снять. Но и восемь М-34Р в сумме до желаемых 7000 л.с. немного не дотягивали. Но и при этом, по прикидкам, самолет мог лететь без снижения при отказе любых двух моторов.</w:t>
      </w:r>
    </w:p>
    <w:p w14:paraId="01B10204"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Итак, "Максим Горький" стал восьмимоторным. Шесть двигателей стояли на передней кромке крыла: два на центроплане и четыре на консолях. Два монтировались в специальной гондоле, поднятой над фюзеляжем на ферме из труб, закрытых обтекателями. У моторов на крыле радиаторы водяного охлаждения располагались в нижних частях их гондол, под передней кромкой крыла. У двигателей тандемной установки радиатор был один, общий, стоявший над центральной частью гондолы и закрытый обтекателем. Охлаждение регулировалось поворотными жалюзи перед радиаторами, управлявшимися с помощью электромоторов.</w:t>
      </w:r>
    </w:p>
    <w:p w14:paraId="7EA6FE3C"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заданию воздушные винты должны были быть металлическими. В ЦАГИ спроектировали, изготовили и испытали несколько типов пропеллеров, причем не только с металлическими, но и с деревянными лопастями. Парадоксально, но лучшим в итоге признали старомодный деревянный двухлопастный винт постоянного шага диаметром 4 м. Их и решили поставить на самолет.</w:t>
      </w:r>
    </w:p>
    <w:p w14:paraId="6774392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Работу мотоустановки контролировали три механика. Два отвечали за моторы на крыле и в нем же располагались, третий сидел в кабине в фюзеляже под тандемной установкой. В его кабине тоже был остекленный фонарь, через который он мог наблюдать за мотогондолой, но непосредственного доступа к ней в полете не имел. Механик, сидевший в фюзеляже, считался старшим. Он также регулировал подачу бензина к моторам.</w:t>
      </w:r>
    </w:p>
    <w:p w14:paraId="70C0CF80"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осуществлялся пневмопусками от бортовых или аэродромных баллонов. Запас сжатого воздуха в бортовых баллонах пополнялся компрессором.</w:t>
      </w:r>
    </w:p>
    <w:p w14:paraId="2FE54EE6"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Топливо хранилось в большом количестве бензобаков, размешенных в консолях крыла между лонжеронами. С каждой стороны их имелось по 14 штук, сгруппированных в три группы: два, четыре и восемь баков. На каждую группу имелась одна заправочная горловина на верхней поверхности крыла. Баки цилиндрической формы клепали из алюми- </w:t>
      </w:r>
    </w:p>
    <w:p w14:paraId="0B108887"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ниевого листа. Бензин к моторам должны были подавать электрические насосы, но, памятуя печальный опыт ТБ-4, предусмотрели про запас и ручные.</w:t>
      </w:r>
    </w:p>
    <w:p w14:paraId="145254A6"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каждого мотора был свой маслобак, а у двух верхних - даже по два. Они тоже были алюминиевые клепаные.</w:t>
      </w:r>
    </w:p>
    <w:p w14:paraId="35862139"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самолетом выполнили двойным. Два летчика сидели в закрытой остекленной кабине бок о бок, командир корабля слева, второй пилот - справа, разделенные проходом. У обоих монтировались штурвалы и педали. Оба штурвала связывались тросовой проводкой. Правый штурвал можно было отключить. Интересно, что управление рулями на такой большой машине сделали по жесткой схеме - трубчатыми тягами и качалками. При этом рассчитывали выиграть в уменьшении трения, что должно было уменьшить нагрузку на летчиков. Жесткая схема обеспечивала и более быструю реакцию при большой длине за счет отсутствия люфтов и минимальной деформации. А вот управление элеронами выполнили смешанным - в фюзеляже и центроплане мягкое, тросами, в консолях - жесткое, тягами. В состав оборудования самолета включили автопилот, причем отечественного производства.</w:t>
      </w:r>
    </w:p>
    <w:p w14:paraId="75B55508"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Электрических сетей на самолете было две - постоянного и переменного тока. Последнюю, являвшуюся новинкой, предварительно испытали на специально выделенном бомбардировщике ТБ-3. Электричеством МГ обеспечивала станция мощностью 11,5 кВт. Крутивший генератор мотор в 30 л. с. одновременно приводил в действие компрессор, снабжавший пнев- мосистему сжатым воздухом. У этой станции имелся дублер - аварийный генератор мощностью 7,5 кВт с двигателем в 10 л.с.</w:t>
      </w:r>
    </w:p>
    <w:p w14:paraId="488BFF2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Потребителей электрического тока на гигантской машине было множество. Самолет имел развитую систему внутреннего освещения. Интересно, что кроме традиционных плафонов, на борту имелись и другие осветительные приборы, напоминающие по виду настенные бра.</w:t>
      </w:r>
    </w:p>
    <w:p w14:paraId="3DC76C2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положено, самолет нес аэронавигационные огни и кодовые огни для сигнализации самолетам в воздухе. При посадке ночью могли использовать две мощные фары, вмонтированные в носок центроплана. В дополнение к ним имелись четыре пиротехнических факела ("ракеты Хольта") с электрозапалом. Предварительно летчики могли осмотреть место посадки, сбросив одну или две парашютные ракеты. Для этой же цели служил мощный "прожектор-искатель", находившийся на нижней поверхности фюзеляжа. Писали даже, что им можно было в полете подсвечивать местность внизу на километр вперед.</w:t>
      </w:r>
    </w:p>
    <w:p w14:paraId="268C1158"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имел две радиостанции, работавшие в разных диапазонах волн в телефонном и телефафном режиме. Интересно, что приемники и передатчики разместили в разных частях машины. Отдельный приемник предназначался для получения метеорологической информации. Два радиста, сидевшие в хвостовом отсеке вместе с приемниками, могли управлять передатчиками в центроплане.</w:t>
      </w:r>
    </w:p>
    <w:p w14:paraId="6682314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и требовалось заданием, на борту находилась автоматическая телефонная станция на 16 номеров, сконструированная и изготовленная на заводе "Красная заря". Она же могла использоваться для передачи сообщений командира корабля, который в определенных ситуациях нажатием одной кнопки мог прекратить разговоры и сделать связь односторонней. На случай отказа телефон дублировали лампочки трехцветной сигнализации. Определенное сочетание цветов содержало закодированное сообщение. Кроме того, пневмопочта соединяла пилотов со штурманом, радистами и подразделениями агитационных служб.</w:t>
      </w:r>
    </w:p>
    <w:p w14:paraId="2BA8BE7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Агитационное назначение машины выразилось в размещении на борту типофафии и киноустановки, фотолаборатории, склада кинофильмов и целого штата специфических специалистов. Например, предусматривались целых две редколлегии для оперативного выпуска листовок, брошюр и газет. Печатать их собирались прямо на борту "Максима Горького". Типофафия располагалась в левой части центроплана. Офсетный типографский станок для МГ специально спроектировали и изготовили в Рыбинске. Но на самолет его допустили только после того, как заменили тяжеленную чугунную станину алюминиевой. Машина могла давать до 12 000 оттисков в час. Для подготовки материалов редакции могли использовать светокопировальное устройство и фотолабораторию.</w:t>
      </w:r>
    </w:p>
    <w:p w14:paraId="039ECC7F"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самолете имелся мощный громкоговоритель "Голос с неба", способный "накрыть" сверху звуком более 10 км2. Он монтировался на нижней поверхности фюзеляжа. На земле, убавив громкость, громкоговоритель использовали для звукового сопровождения кино. Можно было для этого обойтись и двумя рупорами, входившими в комплект киноустановки "Вомит". К ней также придавался большой экран, в свернутом виде размещавшийся в левом крыле. Коробки с кинолентой хранились в "фильмостате" - термостатированном шкафу. Кино можно было не только показывать, но и снимать - в комплект оснащения агитсамолета входил киноаппарат и запас пленки.</w:t>
      </w:r>
    </w:p>
    <w:p w14:paraId="7E17D6A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Предлагалось оснастить "Максима Горького" и "агитационными огнями". Это были панели со светящимися буквами. Всего под крылом АНТ-20 умещалось 18 щитов размером метр на два, позволявших написать какой-нибудь короткий лозунг. Но до конца эту работу не довели. Придумывали и не такое. Предлагали проецировать на облака или дымовую завесу изображения и лозунги, вести с борта "Горького" радио- или даже телевизионные передачи и устраивать фейерверки.</w:t>
      </w:r>
    </w:p>
    <w:p w14:paraId="7392156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в штате М Г насчитывался 21 человек. В это число входили два пилота, три бортмеханика и три радиста. А вот без штурмана решили обойтись - в то время в гражданской авиации это считалось нормой. Однако место для него предусматривалось - в передней части так называемого "салона" (это было что-то вроде обзорной палубы на пассажирском судне). Остальные 13 человек должны были обеспечивать "агитационную работу среди населения".</w:t>
      </w:r>
    </w:p>
    <w:p w14:paraId="464B5FA4"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в ходе работы над макетом МГ Туполев добавил интересную деталь. По проекту вход в фюзеляж осуществлялся через дверь на правом борту. Она была довольно тесной, да к тому же не прямоугольной: из-за мешавших подкосов каркаса фюзеляжа она выглядела скорее треугольной с вершиной внизу. В то же время в фюзеляже за крылом имелся отсек, не использовавшийся по соображениям центровки. Туполев предложил сделать там трап-лестницу, опускавшуюся тросами вниз. Поднявшись по ней, пассажиры попадали в "вестибюль", откуда расходились по своим местам (12024).</w:t>
      </w:r>
    </w:p>
    <w:p w14:paraId="54A0E6FA"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3BC9DAD7"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января 1933 г. комитет по постройке "Максима Горького" своим письмом выдал ЦАГИ заказ на проектирование и постройку одного экземпляра АНТ-20. Позже в разных бумагах эта машина именовалась обычно просто МГ. Срок сдачи заказчику ставился 1 мая 1934 г. - очевидно, с расчетом вывести его на традиционный парад над Красной площадью. Договор после утряски финансовых вопросов подписали 10 марта. ЦАГИ получил полмиллиона рублей аванса. Сотрудники института взяли на себя обязательство отработать при создании самолета по 18 часов бесплатно.</w:t>
      </w:r>
    </w:p>
    <w:p w14:paraId="49DD31A9"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АНТ-20 являлся таким же огромным тихоходным гофрированным монопланом, как и АНТ-16, и полностью повторял его аэродинамическую схему. Такой же плоскобортный фюзеляж, такое же крыло толстого профиля, такое же высокое неубирающееся шасси.</w:t>
      </w:r>
    </w:p>
    <w:p w14:paraId="45C70C24"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хотя в своей основе ТБ-4 и МГ были конструктивно одинаковы, изменение размеров вынудило внести целый ряд изменений. Кроме того, учли ряд недостатков, выявленных на ТБ-4. Например, щелевой элерон большого размаха пришлось разбить на четыре секции, что сохраняло их работоспособность в условиях деформации крыла. Высота крыла позволила разместить в нем пассажирские кабины- купе. Интересно, что у некоторых из них имелись окна в потолке, а у некоторых - еще и в полу. Сверху на крыле предусмотрели обзорные фонари для бортмехаников; рядом с ними сделали люки для выхода на крыло. Само крыло рассчитывалось на перевозку по железной дороге. Чтобы уложиться в габарит, его делили на узлы и вдоль и поперек, как у ТБ-3. Обосновывали это так: МГ предстояло летать вглубь страны, в случае поломки туда требовалось доставить запасные части. Поскольку в дальнейшем намеревались строить серию таких машин, то наличие агрегатов на замену на за- воде-изготовителе считалось само собой разумеющимся. Фюзеляж тоже собирался из четырех частей. Пилотскую кабину сделали полностью закрытой. На сохранившихся чертежах видны названия, ассоциирующиеся больше с морем и железной дорогой, нежели с авиацией: "рубка главного механика", "кабина машиниста".</w:t>
      </w:r>
    </w:p>
    <w:p w14:paraId="0029A290"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Неубирающееся шасси сильно напоминало ТБ-4. На каждой основной стойке монтировалось по два колеса двухметрового диаметра и почти полуметровой ширины. Им при посадке предстояло выдержать нагрузку в 30 т. В колесах были упрятаны барабаны с колодочными тормозами. Они включались сжатым воздухом. Позднее пары колес намеревались для улучшения аэродинамики закрыть большими каплевидными обтекателями (что и сделали).</w:t>
      </w:r>
    </w:p>
    <w:p w14:paraId="584E2DDA"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Хвостовое оперение по сравнению с ТБ-4 очень сильно изменили. Поскольку усилия на рулях по расчетам получались очень большими, конструкторы навесили на них серворули - триммеры с электроприводом. Огромный стабилизатор, который мог бы послужить крылом самолету поменьше, мог в полете менять угол установки. Это делал электромотор, но для страховки предусмотрели и приведение его в действие вручную тросовым механизмом. Сначала спроектировали руль высоты большей площади, но усилия от него на штурвале оказались совершенно неприемлемыми. Пришлось руль урезать. Позже на испытаниях выяснилось, что такой площади на некоторых режимах недостаточно и использование перестановки стабилизатора совершенно необходимо.</w:t>
      </w:r>
    </w:p>
    <w:p w14:paraId="4A41DF3C"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 оборудования самолета включили автопилот, причем отечественного производства. Предусмотрен был электропривод жалюзи водяных радиаторов.</w:t>
      </w:r>
    </w:p>
    <w:p w14:paraId="5C1DDD42"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Электрических сетей на самолете было две - постоянного и переменного тока. Последнюю предварительно испытали на специально выделенном бомбардировщике ТБ-3. Электричеством МГ обеспечивала станция мощностью 11,5 квт. Крутивший генератор мотор в 30 л. с. одновременно приводил в действие компрессор, снабжавший пневмосис- тему сжатым воздухом. У этой станции имелся дублер - аварийный генератор мощностью 7,5 квт с двигателем в 10 л.с.</w:t>
      </w:r>
    </w:p>
    <w:p w14:paraId="00BE0C5D"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Агитационное назначение машины выразилось в размещении на борту типографии и киноустановки, фотолаборатории, склада кинофильмов и целого штата специфических специалистов, в том числе двух редколлегий для оперативного выпуска листовок и брошюр. Всего в штате насчитывался 21 человек. В это число входили два пилота, три бортмеханика и три радиста. А вот без штурмана решили обойтись - в то время в гражданской авиации это считалось нормой. Однако место для него предусматривалось - в передней части так называемого "салона" (это было что-то вроде обзорной палубы на пассажирском судне). Остальные 13 человек должны были обеспечивать "агитационную работу среди населения".</w:t>
      </w:r>
    </w:p>
    <w:p w14:paraId="15ED0808"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и требовалось заданием, на борту находилась автоматическая телефонная станция на 16 номеров. Ее дублировали лампочки трехцветной сигнализации. Определенное сочетание цветов содержало закодированное сообщение.</w:t>
      </w:r>
    </w:p>
    <w:p w14:paraId="4159CFE2"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самолете имелся мощный громкоговоритель, способный "накрыть" сверху звуком более 10 км2. На земле, убавив громкость, его использовали для звукового сопровождения кино. Можно было для этого обойтись и двумя рупорами, входившими в комплект киноустановки. К ней также придавался большой экран, в свернутом виде размещавшийся в левом крыле.</w:t>
      </w:r>
    </w:p>
    <w:p w14:paraId="2D88E03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Типографский станок для МГ специально спроектировали и изготовили в Рыбинске. Но на самолет его допустили только после того, как заменили чугунную станину алюминиевой. Предлагалось оснастить машину и "агитационными огнями". Это были панели со светящимися буквами. Всего под крылом АНТ-20 умещалось 18 щитов размером метр на два, позволявших написать какой-нибудь короткий лозунг. Но до конца эту работу не довели. Придумывали и не такое. Предлагали проецировать на облака или дымовую завесу изображения и лозунги, вести с борта "Горького" ра- дио- или даже телевизионные передачи.</w:t>
      </w:r>
    </w:p>
    <w:p w14:paraId="770D73BE"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в ходе работы над макетом М Г Туполев добавил интересную деталь. По проекту вход в фюзеляж осуществлялся через дверь на правом борту. Она была довольно тесной, да к тому же не прямоугольной: из-за мешавших подкосов каркаса фюзеляжа она выглядела скорее треугольной с вершиной внизу. В то же время в фюзеляже за крылом имелся отсек, не использовавшийся по соображениям центровки. Туполев предложил сделать там трап-лестницу, опускавшуюся тросами вниз. Поднявшись по ней, пассажиры попадали в "вестибюль", откуда расходились по своим местам (12036).</w:t>
      </w:r>
    </w:p>
    <w:p w14:paraId="5A1E25DA"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58067DB1"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января 1933 г. комитет по постройке «Максима Горь</w:t>
      </w:r>
      <w:r w:rsidRPr="00142305">
        <w:rPr>
          <w:rFonts w:ascii="Times New Roman" w:hAnsi="Times New Roman"/>
          <w:color w:val="0070C0"/>
          <w:sz w:val="16"/>
          <w:szCs w:val="16"/>
        </w:rPr>
        <w:softHyphen/>
        <w:t>кого» своим письмом выдал ЦАГИ заказ на проектирова</w:t>
      </w:r>
      <w:r w:rsidRPr="00142305">
        <w:rPr>
          <w:rFonts w:ascii="Times New Roman" w:hAnsi="Times New Roman"/>
          <w:color w:val="0070C0"/>
          <w:sz w:val="16"/>
          <w:szCs w:val="16"/>
        </w:rPr>
        <w:softHyphen/>
        <w:t>ние и постройку одного экземпляра АНТ-20. Позже в раз</w:t>
      </w:r>
      <w:r w:rsidRPr="00142305">
        <w:rPr>
          <w:rFonts w:ascii="Times New Roman" w:hAnsi="Times New Roman"/>
          <w:color w:val="0070C0"/>
          <w:sz w:val="16"/>
          <w:szCs w:val="16"/>
        </w:rPr>
        <w:softHyphen/>
        <w:t>ных бумагах эта машина именовалась обычно просто МГ. Срок сдачи заказчику ставился 1 мая 1934 г. — очевидно, с расчетом вывести его на традиционный парад над Красной площадью. Договор после утряски финансовых вопросов подписали 10 марта. ЦАГИ получил полмиллиона рублей аванса. Сотрудники института взяли на себя обязательство отработать при создании самолета по 18 часов бесплатно.</w:t>
      </w:r>
    </w:p>
    <w:p w14:paraId="0C10C912"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АНТ -20 являлся таким же огромным тихоходным гоф</w:t>
      </w:r>
      <w:r w:rsidRPr="00142305">
        <w:rPr>
          <w:rFonts w:ascii="Times New Roman" w:hAnsi="Times New Roman"/>
          <w:color w:val="0070C0"/>
          <w:sz w:val="16"/>
          <w:szCs w:val="16"/>
        </w:rPr>
        <w:softHyphen/>
        <w:t>рированным монопланом, как и АНТ-16, и полностью пов</w:t>
      </w:r>
      <w:r w:rsidRPr="00142305">
        <w:rPr>
          <w:rFonts w:ascii="Times New Roman" w:hAnsi="Times New Roman"/>
          <w:color w:val="0070C0"/>
          <w:sz w:val="16"/>
          <w:szCs w:val="16"/>
        </w:rPr>
        <w:softHyphen/>
        <w:t>торял его аэродинамическую схему. Такой же плоскоборт</w:t>
      </w:r>
      <w:r w:rsidRPr="00142305">
        <w:rPr>
          <w:rFonts w:ascii="Times New Roman" w:hAnsi="Times New Roman"/>
          <w:color w:val="0070C0"/>
          <w:sz w:val="16"/>
          <w:szCs w:val="16"/>
        </w:rPr>
        <w:softHyphen/>
        <w:t>ный фюзеляж, такое же крыло толстого профиля, такое же высокое неубирающееся шасси.</w:t>
      </w:r>
    </w:p>
    <w:p w14:paraId="7AFE5BE0"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хотя в своей основе ТБ-4 и МГ были конструктив</w:t>
      </w:r>
      <w:r w:rsidRPr="00142305">
        <w:rPr>
          <w:rFonts w:ascii="Times New Roman" w:hAnsi="Times New Roman"/>
          <w:color w:val="0070C0"/>
          <w:sz w:val="16"/>
          <w:szCs w:val="16"/>
        </w:rPr>
        <w:softHyphen/>
        <w:t>но одинаковы, изменение размеров вынудило внести целый ряд изменений. Кроме того, учли ряд недостатков, выяв</w:t>
      </w:r>
      <w:r w:rsidRPr="00142305">
        <w:rPr>
          <w:rFonts w:ascii="Times New Roman" w:hAnsi="Times New Roman"/>
          <w:color w:val="0070C0"/>
          <w:sz w:val="16"/>
          <w:szCs w:val="16"/>
        </w:rPr>
        <w:softHyphen/>
        <w:t>ленных на ТБ-4. Например, щелевой элерон большого раз</w:t>
      </w:r>
      <w:r w:rsidRPr="00142305">
        <w:rPr>
          <w:rFonts w:ascii="Times New Roman" w:hAnsi="Times New Roman"/>
          <w:color w:val="0070C0"/>
          <w:sz w:val="16"/>
          <w:szCs w:val="16"/>
        </w:rPr>
        <w:softHyphen/>
        <w:t>маха пришлось разбить на четыре секции, что сохраняло их работоспособность в условиях деформации крыла. Высота крыла позволила разместить в нем пассажирские кабины- купе. Интересно, что у некоторых из них имелись окна в по</w:t>
      </w:r>
      <w:r w:rsidRPr="00142305">
        <w:rPr>
          <w:rFonts w:ascii="Times New Roman" w:hAnsi="Times New Roman"/>
          <w:color w:val="0070C0"/>
          <w:sz w:val="16"/>
          <w:szCs w:val="16"/>
        </w:rPr>
        <w:softHyphen/>
        <w:t>толке, а у некоторых - еще и в полу. Сверху на крыле пре</w:t>
      </w:r>
      <w:r w:rsidRPr="00142305">
        <w:rPr>
          <w:rFonts w:ascii="Times New Roman" w:hAnsi="Times New Roman"/>
          <w:color w:val="0070C0"/>
          <w:sz w:val="16"/>
          <w:szCs w:val="16"/>
        </w:rPr>
        <w:softHyphen/>
        <w:t>дусмотрели обзорные фонари для бортмехаников; рядом с ними сделали люки для выхода на крыло. Само крыло рас</w:t>
      </w:r>
      <w:r w:rsidRPr="00142305">
        <w:rPr>
          <w:rFonts w:ascii="Times New Roman" w:hAnsi="Times New Roman"/>
          <w:color w:val="0070C0"/>
          <w:sz w:val="16"/>
          <w:szCs w:val="16"/>
        </w:rPr>
        <w:softHyphen/>
        <w:t>считывалось на перевозку по железной дороге. Чтобы уло</w:t>
      </w:r>
      <w:r w:rsidRPr="00142305">
        <w:rPr>
          <w:rFonts w:ascii="Times New Roman" w:hAnsi="Times New Roman"/>
          <w:color w:val="0070C0"/>
          <w:sz w:val="16"/>
          <w:szCs w:val="16"/>
        </w:rPr>
        <w:softHyphen/>
        <w:t>житься в габарит, его делили на узлы и вдоль и поперек, как у ТБ-3. Обосновывали это так: МГ предстояло летать вглубь страны, в случае поломки туда требовалось доставить запас</w:t>
      </w:r>
      <w:r w:rsidRPr="00142305">
        <w:rPr>
          <w:rFonts w:ascii="Times New Roman" w:hAnsi="Times New Roman"/>
          <w:color w:val="0070C0"/>
          <w:sz w:val="16"/>
          <w:szCs w:val="16"/>
        </w:rPr>
        <w:softHyphen/>
        <w:t>ные части. Поскольку в дальнейшем намеревались строить серию таких машин, то наличие агрегатов на замену на за</w:t>
      </w:r>
      <w:r w:rsidRPr="00142305">
        <w:rPr>
          <w:rFonts w:ascii="Times New Roman" w:hAnsi="Times New Roman"/>
          <w:color w:val="0070C0"/>
          <w:sz w:val="16"/>
          <w:szCs w:val="16"/>
        </w:rPr>
        <w:softHyphen/>
        <w:t>воде-изготовителе считалось само собой разумеющимся. Фюзеляж тоже собирался из четырех частей. Пилотскую ка</w:t>
      </w:r>
      <w:r w:rsidRPr="00142305">
        <w:rPr>
          <w:rFonts w:ascii="Times New Roman" w:hAnsi="Times New Roman"/>
          <w:color w:val="0070C0"/>
          <w:sz w:val="16"/>
          <w:szCs w:val="16"/>
        </w:rPr>
        <w:softHyphen/>
        <w:t>бину сделали полностью закрытой. На сохранившихся чер</w:t>
      </w:r>
      <w:r w:rsidRPr="00142305">
        <w:rPr>
          <w:rFonts w:ascii="Times New Roman" w:hAnsi="Times New Roman"/>
          <w:color w:val="0070C0"/>
          <w:sz w:val="16"/>
          <w:szCs w:val="16"/>
        </w:rPr>
        <w:softHyphen/>
        <w:t>тежах видны названия, ассоциирующиеся больше с морем и железной дорогой, нежели с авиацией: «рубка главного ме</w:t>
      </w:r>
      <w:r w:rsidRPr="00142305">
        <w:rPr>
          <w:rFonts w:ascii="Times New Roman" w:hAnsi="Times New Roman"/>
          <w:color w:val="0070C0"/>
          <w:sz w:val="16"/>
          <w:szCs w:val="16"/>
        </w:rPr>
        <w:softHyphen/>
        <w:t>ханика», «кабина машиниста».</w:t>
      </w:r>
    </w:p>
    <w:p w14:paraId="0B17A441"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Неубирающееся шасси сильно напоминало ТБ-4. На каждой основной стойке монтировал ось подва колеса двух</w:t>
      </w:r>
      <w:r w:rsidRPr="00142305">
        <w:rPr>
          <w:rFonts w:ascii="Times New Roman" w:hAnsi="Times New Roman"/>
          <w:color w:val="0070C0"/>
          <w:sz w:val="16"/>
          <w:szCs w:val="16"/>
        </w:rPr>
        <w:softHyphen/>
        <w:t>метрового диаметра и почти полуметровой ширины. Им при посадке предстояло выдержать нагрузку в 30 т. В ко</w:t>
      </w:r>
      <w:r w:rsidRPr="00142305">
        <w:rPr>
          <w:rFonts w:ascii="Times New Roman" w:hAnsi="Times New Roman"/>
          <w:color w:val="0070C0"/>
          <w:sz w:val="16"/>
          <w:szCs w:val="16"/>
        </w:rPr>
        <w:softHyphen/>
        <w:t>лесах были упрятаны барабаны с колодочными тормозами. Они включались сжатым воздухом. Позднее пары колес на</w:t>
      </w:r>
      <w:r w:rsidRPr="00142305">
        <w:rPr>
          <w:rFonts w:ascii="Times New Roman" w:hAnsi="Times New Roman"/>
          <w:color w:val="0070C0"/>
          <w:sz w:val="16"/>
          <w:szCs w:val="16"/>
        </w:rPr>
        <w:softHyphen/>
        <w:t>меревались для улучшения аэродинамики закрыть больши</w:t>
      </w:r>
      <w:r w:rsidRPr="00142305">
        <w:rPr>
          <w:rFonts w:ascii="Times New Roman" w:hAnsi="Times New Roman"/>
          <w:color w:val="0070C0"/>
          <w:sz w:val="16"/>
          <w:szCs w:val="16"/>
        </w:rPr>
        <w:softHyphen/>
        <w:t>ми каплевидными обтекателями (что и сделали).</w:t>
      </w:r>
    </w:p>
    <w:p w14:paraId="2504F91A"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Хвостовое оперение по сравнению с ТБ-4 очень силь</w:t>
      </w:r>
      <w:r w:rsidRPr="00142305">
        <w:rPr>
          <w:rFonts w:ascii="Times New Roman" w:hAnsi="Times New Roman"/>
          <w:color w:val="0070C0"/>
          <w:sz w:val="16"/>
          <w:szCs w:val="16"/>
        </w:rPr>
        <w:softHyphen/>
        <w:t>но изменили. Поскольку усилия на рулях по расчетам по</w:t>
      </w:r>
      <w:r w:rsidRPr="00142305">
        <w:rPr>
          <w:rFonts w:ascii="Times New Roman" w:hAnsi="Times New Roman"/>
          <w:color w:val="0070C0"/>
          <w:sz w:val="16"/>
          <w:szCs w:val="16"/>
        </w:rPr>
        <w:softHyphen/>
        <w:t>лучались очень большими, конструкторы навесили на них серворули - триммеры с электроприводом. Огромный ста</w:t>
      </w:r>
      <w:r w:rsidRPr="00142305">
        <w:rPr>
          <w:rFonts w:ascii="Times New Roman" w:hAnsi="Times New Roman"/>
          <w:color w:val="0070C0"/>
          <w:sz w:val="16"/>
          <w:szCs w:val="16"/>
        </w:rPr>
        <w:softHyphen/>
        <w:t>билизатор, который мог бы послужить крылом самолету поменьше, мог в полете менять угол установки. Это делал электромотор,..- но для страховки предусмотрели и приве</w:t>
      </w:r>
      <w:r w:rsidRPr="00142305">
        <w:rPr>
          <w:rFonts w:ascii="Times New Roman" w:hAnsi="Times New Roman"/>
          <w:color w:val="0070C0"/>
          <w:sz w:val="16"/>
          <w:szCs w:val="16"/>
        </w:rPr>
        <w:softHyphen/>
        <w:t>дение его в действие вручную тросовым механизмом. Сна</w:t>
      </w:r>
      <w:r w:rsidRPr="00142305">
        <w:rPr>
          <w:rFonts w:ascii="Times New Roman" w:hAnsi="Times New Roman"/>
          <w:color w:val="0070C0"/>
          <w:sz w:val="16"/>
          <w:szCs w:val="16"/>
        </w:rPr>
        <w:softHyphen/>
        <w:t>чала спроектировали руль высоты большей площади, но усилия от него на штурвале оказались совершенно непри</w:t>
      </w:r>
      <w:r w:rsidRPr="00142305">
        <w:rPr>
          <w:rFonts w:ascii="Times New Roman" w:hAnsi="Times New Roman"/>
          <w:color w:val="0070C0"/>
          <w:sz w:val="16"/>
          <w:szCs w:val="16"/>
        </w:rPr>
        <w:softHyphen/>
        <w:t>емлемыми. Пришлось руль урезать. Позже на испытаниях выяснилось, что такой площади на некоторых режимах не</w:t>
      </w:r>
      <w:r w:rsidRPr="00142305">
        <w:rPr>
          <w:rFonts w:ascii="Times New Roman" w:hAnsi="Times New Roman"/>
          <w:color w:val="0070C0"/>
          <w:sz w:val="16"/>
          <w:szCs w:val="16"/>
        </w:rPr>
        <w:softHyphen/>
        <w:t>достаточно и использование перестановки стабилизатора совершенно необходимо.</w:t>
      </w:r>
    </w:p>
    <w:p w14:paraId="4AD529B8"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состав оборудования самолета включили автопилот, причем отечественного производства. Предусмотрен был электропривод жалюзи водяных радиаторов.</w:t>
      </w:r>
    </w:p>
    <w:p w14:paraId="6EAE586C"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Электрических сетей на самолете было две - постоянно</w:t>
      </w:r>
      <w:r w:rsidRPr="00142305">
        <w:rPr>
          <w:rFonts w:ascii="Times New Roman" w:hAnsi="Times New Roman"/>
          <w:color w:val="0070C0"/>
          <w:sz w:val="16"/>
          <w:szCs w:val="16"/>
        </w:rPr>
        <w:softHyphen/>
        <w:t>го и переменного тока. Последнюю предварительно испы</w:t>
      </w:r>
      <w:r w:rsidRPr="00142305">
        <w:rPr>
          <w:rFonts w:ascii="Times New Roman" w:hAnsi="Times New Roman"/>
          <w:color w:val="0070C0"/>
          <w:sz w:val="16"/>
          <w:szCs w:val="16"/>
        </w:rPr>
        <w:softHyphen/>
        <w:t>тали на специально выделенном бомбардировщике ТБ-3. Электричеством МГ обеспечивала станция мощностью 11,5 квт. Крутивший генератор мотор в 30 л. с. одновременно приводил в действие компрессор, снабжавший пневмосис</w:t>
      </w:r>
      <w:r w:rsidRPr="00142305">
        <w:rPr>
          <w:rFonts w:ascii="Times New Roman" w:hAnsi="Times New Roman"/>
          <w:color w:val="0070C0"/>
          <w:sz w:val="16"/>
          <w:szCs w:val="16"/>
        </w:rPr>
        <w:softHyphen/>
        <w:t>тему сжатым воздухом. У этой станции имелся дублер — ава</w:t>
      </w:r>
      <w:r w:rsidRPr="00142305">
        <w:rPr>
          <w:rFonts w:ascii="Times New Roman" w:hAnsi="Times New Roman"/>
          <w:color w:val="0070C0"/>
          <w:sz w:val="16"/>
          <w:szCs w:val="16"/>
        </w:rPr>
        <w:softHyphen/>
        <w:t>рийный генератор мощностью 7,5 квт с двигателем в 10 л.с.</w:t>
      </w:r>
    </w:p>
    <w:p w14:paraId="31832C9C"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Агитационное назначение машины выразилось в раз</w:t>
      </w:r>
      <w:r w:rsidRPr="00142305">
        <w:rPr>
          <w:rFonts w:ascii="Times New Roman" w:hAnsi="Times New Roman"/>
          <w:color w:val="0070C0"/>
          <w:sz w:val="16"/>
          <w:szCs w:val="16"/>
        </w:rPr>
        <w:softHyphen/>
        <w:t>мещении на борту типографии и киноустановки, фотола</w:t>
      </w:r>
      <w:r w:rsidRPr="00142305">
        <w:rPr>
          <w:rFonts w:ascii="Times New Roman" w:hAnsi="Times New Roman"/>
          <w:color w:val="0070C0"/>
          <w:sz w:val="16"/>
          <w:szCs w:val="16"/>
        </w:rPr>
        <w:softHyphen/>
        <w:t>боратории, склада кинофильмов и целого штата специ</w:t>
      </w:r>
      <w:r w:rsidRPr="00142305">
        <w:rPr>
          <w:rFonts w:ascii="Times New Roman" w:hAnsi="Times New Roman"/>
          <w:color w:val="0070C0"/>
          <w:sz w:val="16"/>
          <w:szCs w:val="16"/>
        </w:rPr>
        <w:softHyphen/>
        <w:t>фических специалистов, в том числе двух редколлегий для оперативного выпуска листовок и брошюр. Всего в штате насчитывался 21 человек. В это число входили два пилота, три бортмеханика и три радиста. А вот без штурмана реши</w:t>
      </w:r>
      <w:r w:rsidRPr="00142305">
        <w:rPr>
          <w:rFonts w:ascii="Times New Roman" w:hAnsi="Times New Roman"/>
          <w:color w:val="0070C0"/>
          <w:sz w:val="16"/>
          <w:szCs w:val="16"/>
        </w:rPr>
        <w:softHyphen/>
        <w:t>ли обойтись — в то время в гражданской авиации это счита</w:t>
      </w:r>
      <w:r w:rsidRPr="00142305">
        <w:rPr>
          <w:rFonts w:ascii="Times New Roman" w:hAnsi="Times New Roman"/>
          <w:color w:val="0070C0"/>
          <w:sz w:val="16"/>
          <w:szCs w:val="16"/>
        </w:rPr>
        <w:softHyphen/>
        <w:t>лось нормой. Однако место для него предусматривалось — в передней части так называемого «салона» (это бьшо что-то вроде обзорной палубы на пассажирском судне). Остальные 13 человек должны были обеспечивать «агитационную ра</w:t>
      </w:r>
      <w:r w:rsidRPr="00142305">
        <w:rPr>
          <w:rFonts w:ascii="Times New Roman" w:hAnsi="Times New Roman"/>
          <w:color w:val="0070C0"/>
          <w:sz w:val="16"/>
          <w:szCs w:val="16"/>
        </w:rPr>
        <w:softHyphen/>
        <w:t>боту среди населения».</w:t>
      </w:r>
    </w:p>
    <w:p w14:paraId="10531C70"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Как и требовалось заданием, на борту находилась авто</w:t>
      </w:r>
      <w:r w:rsidRPr="00142305">
        <w:rPr>
          <w:rFonts w:ascii="Times New Roman" w:hAnsi="Times New Roman"/>
          <w:color w:val="0070C0"/>
          <w:sz w:val="16"/>
          <w:szCs w:val="16"/>
        </w:rPr>
        <w:softHyphen/>
        <w:t>матическая телефонная станция на 16 номеров. Ее дублиро</w:t>
      </w:r>
      <w:r w:rsidRPr="00142305">
        <w:rPr>
          <w:rFonts w:ascii="Times New Roman" w:hAnsi="Times New Roman"/>
          <w:color w:val="0070C0"/>
          <w:sz w:val="16"/>
          <w:szCs w:val="16"/>
        </w:rPr>
        <w:softHyphen/>
        <w:t>вали лампочки трехцветной сигнализации. Определенное сочетание цветов содержало закодированное сообщение.</w:t>
      </w:r>
    </w:p>
    <w:p w14:paraId="5F76BE44"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самолете имелся мощный громкоговоритель, способ</w:t>
      </w:r>
      <w:r w:rsidRPr="00142305">
        <w:rPr>
          <w:rFonts w:ascii="Times New Roman" w:hAnsi="Times New Roman"/>
          <w:color w:val="0070C0"/>
          <w:sz w:val="16"/>
          <w:szCs w:val="16"/>
        </w:rPr>
        <w:softHyphen/>
        <w:t>ный «накрыть» сверху звуком более 10 км2. На земле, убавив громкость, его использовали для звукового сопровождения кино. Можно было для этого обойтись и двумя рупорами, входившими в комплект киноустановки. К ней также придавался большой экран, в свернутом виде размещавшийся в левом крыле.</w:t>
      </w:r>
    </w:p>
    <w:p w14:paraId="696E1EC7"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Типографский станок для МГ специально спроектиро</w:t>
      </w:r>
      <w:r w:rsidRPr="00142305">
        <w:rPr>
          <w:rFonts w:ascii="Times New Roman" w:hAnsi="Times New Roman"/>
          <w:color w:val="0070C0"/>
          <w:sz w:val="16"/>
          <w:szCs w:val="16"/>
        </w:rPr>
        <w:softHyphen/>
        <w:t>вали и изготовили в Рыбинске. Но на самолет его допустили только после того, как заменили чугунную станину алюми</w:t>
      </w:r>
      <w:r w:rsidRPr="00142305">
        <w:rPr>
          <w:rFonts w:ascii="Times New Roman" w:hAnsi="Times New Roman"/>
          <w:color w:val="0070C0"/>
          <w:sz w:val="16"/>
          <w:szCs w:val="16"/>
        </w:rPr>
        <w:softHyphen/>
        <w:t>ниевой. Предлагалось оснастить машину и «агитационны</w:t>
      </w:r>
      <w:r w:rsidRPr="00142305">
        <w:rPr>
          <w:rFonts w:ascii="Times New Roman" w:hAnsi="Times New Roman"/>
          <w:color w:val="0070C0"/>
          <w:sz w:val="16"/>
          <w:szCs w:val="16"/>
        </w:rPr>
        <w:softHyphen/>
        <w:t>ми огнями». Это большие панели со светящимися буквами. Всего под крылом АНТ-20 умещалось 18 щитов размером метр на два, позволявших написать какой-нибудь короткий лозунг. Но до конца эту работу не довели. Придумывали и не такое. Предлагали проецировать на облака или дымовую завесу изображения и лозунги, вести с борта «Горького» ра</w:t>
      </w:r>
      <w:r w:rsidRPr="00142305">
        <w:rPr>
          <w:rFonts w:ascii="Times New Roman" w:hAnsi="Times New Roman"/>
          <w:color w:val="0070C0"/>
          <w:sz w:val="16"/>
          <w:szCs w:val="16"/>
        </w:rPr>
        <w:softHyphen/>
        <w:t>дио- или даже телевизионные передачи.</w:t>
      </w:r>
    </w:p>
    <w:p w14:paraId="409F9D99" w14:textId="77777777" w:rsidR="000B01C4" w:rsidRPr="00142305" w:rsidRDefault="000B01C4" w:rsidP="000B01C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Уже в ходе работы над макетом МГ Туполев добавил ин</w:t>
      </w:r>
      <w:r w:rsidRPr="00142305">
        <w:rPr>
          <w:rFonts w:ascii="Times New Roman" w:hAnsi="Times New Roman"/>
          <w:color w:val="0070C0"/>
          <w:sz w:val="16"/>
          <w:szCs w:val="16"/>
        </w:rPr>
        <w:softHyphen/>
        <w:t>тересную деталь. По проекту вход в фюзеляж осуществлял</w:t>
      </w:r>
      <w:r w:rsidRPr="00142305">
        <w:rPr>
          <w:rFonts w:ascii="Times New Roman" w:hAnsi="Times New Roman"/>
          <w:color w:val="0070C0"/>
          <w:sz w:val="16"/>
          <w:szCs w:val="16"/>
        </w:rPr>
        <w:softHyphen/>
        <w:t>ся через дверь на правом борту. Она был довольно тесной, да к тому же не прямоугольной: из-за мешавших подкосов каркаса фюзеляжа она выглядела скорее треугольной с вершиной внизу. В то же время в фюзеляже за крылом имелся отсек, не использовавшийся по соображениям центровки. Туполев предложил сделать там трап-лестницу, опускавшу</w:t>
      </w:r>
      <w:r w:rsidRPr="00142305">
        <w:rPr>
          <w:rFonts w:ascii="Times New Roman" w:hAnsi="Times New Roman"/>
          <w:color w:val="0070C0"/>
          <w:sz w:val="16"/>
          <w:szCs w:val="16"/>
        </w:rPr>
        <w:softHyphen/>
        <w:t>юся тросами вниз. Поднявшись по ней, пассажиры попада</w:t>
      </w:r>
      <w:r w:rsidRPr="00142305">
        <w:rPr>
          <w:rFonts w:ascii="Times New Roman" w:hAnsi="Times New Roman"/>
          <w:color w:val="0070C0"/>
          <w:sz w:val="16"/>
          <w:szCs w:val="16"/>
        </w:rPr>
        <w:softHyphen/>
        <w:t>ли в «вестибюль», откуда расходились по своим местам (24977).</w:t>
      </w:r>
    </w:p>
    <w:p w14:paraId="466DC03D" w14:textId="77777777" w:rsidR="000B01C4" w:rsidRPr="00142305" w:rsidRDefault="000B01C4" w:rsidP="000B01C4">
      <w:pPr>
        <w:spacing w:after="0" w:line="240" w:lineRule="auto"/>
        <w:jc w:val="both"/>
        <w:rPr>
          <w:rFonts w:ascii="Times New Roman" w:hAnsi="Times New Roman"/>
          <w:color w:val="0070C0"/>
          <w:sz w:val="16"/>
          <w:szCs w:val="16"/>
        </w:rPr>
      </w:pPr>
    </w:p>
    <w:p w14:paraId="74F2BDCA"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января 1933 г. председатель Техни</w:t>
      </w:r>
      <w:r w:rsidRPr="0044524F">
        <w:rPr>
          <w:rFonts w:ascii="Times New Roman" w:hAnsi="Times New Roman"/>
          <w:color w:val="000000" w:themeColor="text1"/>
          <w:sz w:val="16"/>
          <w:szCs w:val="16"/>
        </w:rPr>
        <w:softHyphen/>
        <w:t>ческого совета Комитета (и одновремен</w:t>
      </w:r>
      <w:r w:rsidRPr="0044524F">
        <w:rPr>
          <w:rFonts w:ascii="Times New Roman" w:hAnsi="Times New Roman"/>
          <w:color w:val="000000" w:themeColor="text1"/>
          <w:sz w:val="16"/>
          <w:szCs w:val="16"/>
        </w:rPr>
        <w:softHyphen/>
        <w:t>но начальник ЦАГИ) направил в ЦАГИ и ЗОК (завод опытных конструкций) сле</w:t>
      </w:r>
      <w:r w:rsidRPr="0044524F">
        <w:rPr>
          <w:rFonts w:ascii="Times New Roman" w:hAnsi="Times New Roman"/>
          <w:color w:val="000000" w:themeColor="text1"/>
          <w:sz w:val="16"/>
          <w:szCs w:val="16"/>
        </w:rPr>
        <w:softHyphen/>
        <w:t>дующий документ:</w:t>
      </w:r>
    </w:p>
    <w:p w14:paraId="1F67E346"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НЕКРАСОВУ. ТУПОЛЕВУ. БЛИНКИНУ. ПУРБИНУ</w:t>
      </w:r>
    </w:p>
    <w:p w14:paraId="6F86B5B1"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 ЗОК т.ОСИПОВУ, ПЭО UAEH</w:t>
      </w:r>
    </w:p>
    <w:p w14:paraId="1DF52929"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Копия: СПКП</w:t>
      </w:r>
    </w:p>
    <w:p w14:paraId="6138C60F"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17января Комитет по постройке Само</w:t>
      </w:r>
      <w:r w:rsidRPr="0044524F">
        <w:rPr>
          <w:rFonts w:ascii="Times New Roman" w:hAnsi="Times New Roman"/>
          <w:color w:val="000000" w:themeColor="text1"/>
          <w:sz w:val="16"/>
          <w:szCs w:val="16"/>
        </w:rPr>
        <w:softHyphen/>
        <w:t>лета «Максим Горький» принял постанов</w:t>
      </w:r>
      <w:r w:rsidRPr="0044524F">
        <w:rPr>
          <w:rFonts w:ascii="Times New Roman" w:hAnsi="Times New Roman"/>
          <w:color w:val="000000" w:themeColor="text1"/>
          <w:sz w:val="16"/>
          <w:szCs w:val="16"/>
        </w:rPr>
        <w:softHyphen/>
        <w:t>ление о выдаче заказа НАГИ на проектиро</w:t>
      </w:r>
      <w:r w:rsidRPr="0044524F">
        <w:rPr>
          <w:rFonts w:ascii="Times New Roman" w:hAnsi="Times New Roman"/>
          <w:color w:val="000000" w:themeColor="text1"/>
          <w:sz w:val="16"/>
          <w:szCs w:val="16"/>
        </w:rPr>
        <w:softHyphen/>
        <w:t>вание и постройку самолета «Максим Горький» и предложил Строительной сек</w:t>
      </w:r>
      <w:r w:rsidRPr="0044524F">
        <w:rPr>
          <w:rFonts w:ascii="Times New Roman" w:hAnsi="Times New Roman"/>
          <w:color w:val="000000" w:themeColor="text1"/>
          <w:sz w:val="16"/>
          <w:szCs w:val="16"/>
        </w:rPr>
        <w:softHyphen/>
        <w:t>ции проработать договор, установив срок предъявления самолета на заводские испы</w:t>
      </w:r>
      <w:r w:rsidRPr="0044524F">
        <w:rPr>
          <w:rFonts w:ascii="Times New Roman" w:hAnsi="Times New Roman"/>
          <w:color w:val="000000" w:themeColor="text1"/>
          <w:sz w:val="16"/>
          <w:szCs w:val="16"/>
        </w:rPr>
        <w:softHyphen/>
        <w:t>тания 1 мая 1934 г.</w:t>
      </w:r>
    </w:p>
    <w:p w14:paraId="5A13282E"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Предлагаю:</w:t>
      </w:r>
    </w:p>
    <w:p w14:paraId="2BF95AC8"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Включить в план работ Конструк</w:t>
      </w:r>
      <w:r w:rsidRPr="0044524F">
        <w:rPr>
          <w:rFonts w:ascii="Times New Roman" w:hAnsi="Times New Roman"/>
          <w:color w:val="000000" w:themeColor="text1"/>
          <w:sz w:val="16"/>
          <w:szCs w:val="16"/>
        </w:rPr>
        <w:softHyphen/>
        <w:t>торского Отдела и ЗОКа проектирование по техническим требованиям, утверж</w:t>
      </w:r>
      <w:r w:rsidRPr="0044524F">
        <w:rPr>
          <w:rFonts w:ascii="Times New Roman" w:hAnsi="Times New Roman"/>
          <w:color w:val="000000" w:themeColor="text1"/>
          <w:sz w:val="16"/>
          <w:szCs w:val="16"/>
        </w:rPr>
        <w:softHyphen/>
        <w:t>денным Комитетом, и постройку самоле</w:t>
      </w:r>
      <w:r w:rsidRPr="0044524F">
        <w:rPr>
          <w:rFonts w:ascii="Times New Roman" w:hAnsi="Times New Roman"/>
          <w:color w:val="000000" w:themeColor="text1"/>
          <w:sz w:val="16"/>
          <w:szCs w:val="16"/>
        </w:rPr>
        <w:softHyphen/>
        <w:t>та «Максим Горький» со сроком выхода на аэродром 1 мая 1934 г.</w:t>
      </w:r>
    </w:p>
    <w:p w14:paraId="181C7DFB"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ПЭО ЦАРИ совместно с КО и 30К проработать договор на постройку самоле</w:t>
      </w:r>
      <w:r w:rsidRPr="0044524F">
        <w:rPr>
          <w:rFonts w:ascii="Times New Roman" w:hAnsi="Times New Roman"/>
          <w:color w:val="000000" w:themeColor="text1"/>
          <w:sz w:val="16"/>
          <w:szCs w:val="16"/>
        </w:rPr>
        <w:softHyphen/>
        <w:t>та, для чего непосредственно связаться со Строительной комиссией Комитета по постройке самолета «Максим Горький» (Председатель тов. Горяное).</w:t>
      </w:r>
    </w:p>
    <w:p w14:paraId="1819B910"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ПЭО получить необходимые поста</w:t>
      </w:r>
      <w:r w:rsidRPr="0044524F">
        <w:rPr>
          <w:rFonts w:ascii="Times New Roman" w:hAnsi="Times New Roman"/>
          <w:color w:val="000000" w:themeColor="text1"/>
          <w:sz w:val="16"/>
          <w:szCs w:val="16"/>
        </w:rPr>
        <w:softHyphen/>
        <w:t>новления Комитета и выяснить стои</w:t>
      </w:r>
      <w:r w:rsidRPr="0044524F">
        <w:rPr>
          <w:rFonts w:ascii="Times New Roman" w:hAnsi="Times New Roman"/>
          <w:color w:val="000000" w:themeColor="text1"/>
          <w:sz w:val="16"/>
          <w:szCs w:val="16"/>
        </w:rPr>
        <w:softHyphen/>
        <w:t>мость проектирования и постройки само</w:t>
      </w:r>
      <w:r w:rsidRPr="0044524F">
        <w:rPr>
          <w:rFonts w:ascii="Times New Roman" w:hAnsi="Times New Roman"/>
          <w:color w:val="000000" w:themeColor="text1"/>
          <w:sz w:val="16"/>
          <w:szCs w:val="16"/>
        </w:rPr>
        <w:softHyphen/>
        <w:t>лета, сроки поставки в ЦАРИ необходимо</w:t>
      </w:r>
      <w:r w:rsidRPr="0044524F">
        <w:rPr>
          <w:rFonts w:ascii="Times New Roman" w:hAnsi="Times New Roman"/>
          <w:color w:val="000000" w:themeColor="text1"/>
          <w:sz w:val="16"/>
          <w:szCs w:val="16"/>
        </w:rPr>
        <w:softHyphen/>
        <w:t>го оборудования и условия финансирования и оказания помощи Комитетом при пост</w:t>
      </w:r>
      <w:r w:rsidRPr="0044524F">
        <w:rPr>
          <w:rFonts w:ascii="Times New Roman" w:hAnsi="Times New Roman"/>
          <w:color w:val="000000" w:themeColor="text1"/>
          <w:sz w:val="16"/>
          <w:szCs w:val="16"/>
        </w:rPr>
        <w:softHyphen/>
        <w:t>ройке самолета.</w:t>
      </w:r>
    </w:p>
    <w:p w14:paraId="2DDD5B1A"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Договор должен быть проработан и за</w:t>
      </w:r>
      <w:r w:rsidRPr="0044524F">
        <w:rPr>
          <w:rFonts w:ascii="Times New Roman" w:hAnsi="Times New Roman"/>
          <w:color w:val="000000" w:themeColor="text1"/>
          <w:sz w:val="16"/>
          <w:szCs w:val="16"/>
        </w:rPr>
        <w:softHyphen/>
        <w:t>ключен к 1 февраля с.г.</w:t>
      </w:r>
    </w:p>
    <w:p w14:paraId="1FFCC871"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Согласие начальника ГУА Па на включе</w:t>
      </w:r>
      <w:r w:rsidRPr="0044524F">
        <w:rPr>
          <w:rFonts w:ascii="Times New Roman" w:hAnsi="Times New Roman"/>
          <w:color w:val="000000" w:themeColor="text1"/>
          <w:sz w:val="16"/>
          <w:szCs w:val="16"/>
        </w:rPr>
        <w:softHyphen/>
        <w:t>ние постройки самолета в план работ НАГИ имеется.</w:t>
      </w:r>
    </w:p>
    <w:p w14:paraId="3FA26247"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ЦАРИ ХАРЛАМОВ» (21240).</w:t>
      </w:r>
    </w:p>
    <w:p w14:paraId="53A125B8" w14:textId="77777777" w:rsidR="00373B27" w:rsidRPr="0044524F" w:rsidRDefault="00373B27" w:rsidP="009654CF">
      <w:pPr>
        <w:spacing w:after="0" w:line="240" w:lineRule="auto"/>
        <w:jc w:val="both"/>
        <w:rPr>
          <w:rFonts w:ascii="Times New Roman" w:hAnsi="Times New Roman"/>
          <w:color w:val="000000" w:themeColor="text1"/>
          <w:sz w:val="16"/>
          <w:szCs w:val="16"/>
        </w:rPr>
      </w:pPr>
    </w:p>
    <w:p w14:paraId="519EF057"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января 1933 Зарзаром от Госплана в СТО был представлен доклад по вопросу об изучении стратосферы (2304,4).</w:t>
      </w:r>
    </w:p>
    <w:p w14:paraId="597712C5"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4817EF40" w14:textId="77777777" w:rsidR="00A4146F" w:rsidRPr="0044524F" w:rsidRDefault="00A4146F" w:rsidP="009654CF">
      <w:pPr>
        <w:pStyle w:val="rtejustify"/>
        <w:spacing w:before="0" w:after="0"/>
        <w:rPr>
          <w:color w:val="000000" w:themeColor="text1"/>
          <w:sz w:val="16"/>
          <w:szCs w:val="16"/>
        </w:rPr>
      </w:pPr>
      <w:r w:rsidRPr="0044524F">
        <w:rPr>
          <w:color w:val="000000" w:themeColor="text1"/>
          <w:sz w:val="16"/>
          <w:szCs w:val="16"/>
        </w:rPr>
        <w:t>17 января 1933 г. в докладной записке И. С. Уншлихта в СТО СССР говорилось: «Супервысотная авиация, над созданием которой усиленно работают передовые капиталистические страны, имеет большое оборонное значение для СССР. Возможность получения больших скоростей полета в условиях наиболее благоприятных с метеорологической точки зрения, недосягаемость для зенитной артиллерии и скрытность самого полета, возможность открытия нового этапа в технике авиации — все это обуславливает необходимость максимального форсирования развития этого дела в нашей стране». Подчеркивалось, что для решения проблем «суперавиации», необходимо решать две задачи: изучение стратосферы и строительство самих летательных аппаратов. Предлагалось руководство работой возложить на специальную организацию, способную обеспечить форсированный темп проведения работ и выделить 2,5 млн. руб. для финансирования в плановом порядке. (РГАЭ. Ф. 4372. Оп. 91. Д. 1076. Л. 134</w:t>
      </w:r>
      <w:r w:rsidRPr="0044524F">
        <w:rPr>
          <w:color w:val="000000" w:themeColor="text1"/>
          <w:sz w:val="16"/>
          <w:szCs w:val="16"/>
        </w:rPr>
        <w:noBreakHyphen/>
        <w:t>132; Л. 147</w:t>
      </w:r>
      <w:r w:rsidRPr="0044524F">
        <w:rPr>
          <w:color w:val="000000" w:themeColor="text1"/>
          <w:sz w:val="16"/>
          <w:szCs w:val="16"/>
        </w:rPr>
        <w:noBreakHyphen/>
        <w:t>146) (15266).</w:t>
      </w:r>
    </w:p>
    <w:p w14:paraId="5942425D" w14:textId="77777777" w:rsidR="00A4146F" w:rsidRPr="0044524F" w:rsidRDefault="00A4146F" w:rsidP="009654CF">
      <w:pPr>
        <w:autoSpaceDE w:val="0"/>
        <w:autoSpaceDN w:val="0"/>
        <w:adjustRightInd w:val="0"/>
        <w:spacing w:after="0" w:line="240" w:lineRule="auto"/>
        <w:jc w:val="both"/>
        <w:rPr>
          <w:rFonts w:ascii="Times New Roman" w:hAnsi="Times New Roman"/>
          <w:color w:val="000000" w:themeColor="text1"/>
          <w:sz w:val="16"/>
          <w:szCs w:val="16"/>
        </w:rPr>
      </w:pPr>
    </w:p>
    <w:p w14:paraId="5DF8DB00"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января 1933 года зам. пред. Госплана И.С. Уншлихт писал письмо N 66/2100с в СТО.</w:t>
      </w:r>
    </w:p>
    <w:p w14:paraId="2EF67A7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Состояние работ по сверхвысотным аппаратам.</w:t>
      </w:r>
    </w:p>
    <w:p w14:paraId="40C4536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сверхвысотным летательным аппаратам проходит как по линии высотного самолето- и моторостроения, так и по линии пректирования ракетоплана.</w:t>
      </w:r>
    </w:p>
    <w:p w14:paraId="46BFCCFD"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первой части необходимо отметить следующие работы):</w:t>
      </w:r>
    </w:p>
    <w:p w14:paraId="4727DF7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ЦАГИ спроектировал и частично сдал в производство самолет цельнометаллической конструкции, моноплан с низко расположенным крылом, размах 30 м, площадь крыла 75 кв. м, с мотором М-34 с редуктором и одноступенчатым или двухступенчатым нагнетателем. С одноступенчатым импеллером самолет должен дать потолок 11-12 км со скоростью на этой высоте около 185 км; с двухступенчатым импеллером - потолок - 15-16 км и скорость около 300 км; полетный вес - 3280 и 3875 кг, а время подъема на указанные высоты - 1 час и 1 час 10 мин.</w:t>
      </w:r>
    </w:p>
    <w:p w14:paraId="5FB41AF0"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самолет выполняется под мотор М-34 с одноступенчатым импеллером, причем находятся в производстве отъемные части крыла, хвостовая часть фюзеляжа, опытная кабина; заканчиваются проектированием и будут сданы в производство в феврале - центроплан и центральная часть фюзеляжа, в марте-апреле - остальные части самолета. Принимая срок поставки мотора - 1 мая, институт выражает готовность предъявить к испытанию в полете вполне законченный самолет 1 сентября.</w:t>
      </w:r>
    </w:p>
    <w:p w14:paraId="1B7A5310"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же самолет может быть применен и с мотором М-34 с двухступенчатым импеллером, что потребует изготовления лишь новой моторной установки и винта с поворотными лопастями; срок - до 3-х месяцев.</w:t>
      </w:r>
    </w:p>
    <w:p w14:paraId="3ED1598A"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БНК проектирует цельнометаллический моноплан с одним толкающим мотором М-34 с двухступенчатым центробежным компрессором, приводимым паровой турбиной, питаемой паром, производящимся от охлаждения мотора и выхлопными газами; вторая ступень включается на высоте 6500 м и приводится в движение газовой турбины, работающей на газу, отходящем от котла (при работе первой ступени газы не используются). Общий полетный вес машины 2300 кг, теоретический потолок - 14500 км, скорость на высоте 12 км - 400 км. Данная конструкция выгодно отличается от других удачным устройством кабины, обеспечивающим хороший обзор, возможность смены кабины и использования спуска на парашюте всей кабины, возможность удобного расположения вооружения и обстрела вперед.</w:t>
      </w:r>
    </w:p>
    <w:p w14:paraId="0064DCFA"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на сегодняшний день находится в основном в стадии проектирования. Учитывая сроки готовности М-34 с редуктором и нагнетателем, срок вывода машины на аэродром - декабрь 1933 года. Но с 1 февраля можно уже приступить к передаче чертежей в мастерские.</w:t>
      </w:r>
    </w:p>
    <w:p w14:paraId="387E0E2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ВВА, концентрируя свое внимание на проблеме высотного мотора, винта с переменным шагом, герметической кабины и навигационных и контрольных высотных приборов, останавливается на конструировании двухмоторного самолета с полетным весом 5500 кг с достижением 17-18 км высоты. Первый мотор работает на винт, второй - на центробежный трехступенчатый нагнетатель, питая сжатым воздухом оба мотора.</w:t>
      </w:r>
    </w:p>
    <w:p w14:paraId="56F0E16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Академии находится в стадии исследования и проектирования и задерживается из-за отсутствия средств.</w:t>
      </w:r>
    </w:p>
    <w:p w14:paraId="720322D9"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Ленинградский НИИ ГВФ проектирует также двухмоторную машину под М-22 (тандем) с высотным нагнетателем; моноплан с полетным весом 3000 кг; потолок 16-17 км и скорость 400-430 км. Работа находится в стадии проектирования.</w:t>
      </w:r>
    </w:p>
    <w:p w14:paraId="7D5CCC26"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ЦИАМ проводит работу по обеспечению мотора М-34 одноступенчатыми и двухступенчатыми импеллерами, причем одноступенчатый импеллер построен, но вследствие обнаруженных при испытании недочетов, поступил в дальнейшую работу и может быть предъявлен на гос. испытания с расчетом выпуска мотора в полной готовности 1 мая. По двухступенчатому импеллеру работа находится в стадии проектирования и ведется крайне медленно.</w:t>
      </w:r>
    </w:p>
    <w:p w14:paraId="6C10CE9B"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ГИРД Осоавиахима ведет работы по проектированию ракеты и ракетоплана с реактивным двигателем, но эта работа находится в самом зачатке (3533,6-7).</w:t>
      </w:r>
    </w:p>
    <w:p w14:paraId="5BD2F370"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46D1F584" w14:textId="77777777" w:rsidR="00A4146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FC49D05" w14:textId="77777777" w:rsidR="00A4146F" w:rsidRPr="0044524F" w:rsidRDefault="00A4146F" w:rsidP="009654CF">
      <w:pPr>
        <w:spacing w:after="0" w:line="240" w:lineRule="auto"/>
        <w:jc w:val="both"/>
        <w:rPr>
          <w:rFonts w:ascii="Times New Roman" w:hAnsi="Times New Roman"/>
          <w:iCs/>
          <w:color w:val="000000" w:themeColor="text1"/>
          <w:sz w:val="16"/>
          <w:szCs w:val="16"/>
        </w:rPr>
      </w:pPr>
    </w:p>
    <w:p w14:paraId="34C8C161" w14:textId="77777777" w:rsidR="00A4146F" w:rsidRPr="0044524F" w:rsidRDefault="00A4146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17 января</w:t>
      </w:r>
      <w:r w:rsidRPr="0044524F">
        <w:rPr>
          <w:rFonts w:ascii="Times New Roman" w:hAnsi="Times New Roman"/>
          <w:color w:val="000000" w:themeColor="text1"/>
          <w:sz w:val="16"/>
          <w:szCs w:val="16"/>
        </w:rPr>
        <w:t xml:space="preserve"> в 1933 году ВВС США заказали серию (48) цельнометаллических бомбардировщиков </w:t>
      </w:r>
      <w:hyperlink r:id="rId24" w:tgtFrame="_blank" w:history="1">
        <w:r w:rsidRPr="0044524F">
          <w:rPr>
            <w:rFonts w:ascii="Times New Roman" w:hAnsi="Times New Roman"/>
            <w:color w:val="000000" w:themeColor="text1"/>
            <w:sz w:val="16"/>
            <w:szCs w:val="16"/>
          </w:rPr>
          <w:t>«Martin» «B-10».</w:t>
        </w:r>
      </w:hyperlink>
      <w:r w:rsidRPr="0044524F">
        <w:rPr>
          <w:rFonts w:ascii="Times New Roman" w:hAnsi="Times New Roman"/>
          <w:color w:val="000000" w:themeColor="text1"/>
          <w:sz w:val="16"/>
          <w:szCs w:val="16"/>
        </w:rPr>
        <w:t xml:space="preserve"> В январе 1932-го самолет, названный "Мартин 123", впервые поднялся в воздух. Он являлся свободнонесущим цельнометаллическим монопланом. В новой машине собрали все новинки тогдашнего самолетостроения. Каплевидный фюзеляж овального сечения, убирающиеся в мотогондолы основные стойки шасси. Уборка стоек производилась по очень своеобразной схеме: задний подкос не ломался и телескопически не складывался, а уходил назад по направляющему рельсу и в сложенном положении выступал за заднюю кромку крыла. Гофрированные панели применялись только для обшивки верхней и нижней частей фюзеляжа; борта, крыло и оперение были покрыты гладкими листами "алкледа" - алюминиевого сплава, обладающего повышенной коррозийной устойчивостью. Вся обшивка являлась несущей. Крыло, правда, имело довольно толстый профиль "Геттинген-388", но он вполне соответствовал расчетному диапазону скоростей. Рули и элероны обладали статической и динамической балансировкой и были оснащены триммерами. На опытной машине стояли два мотора "Райт" «SR-1820E» по 600 л.с., укрытые лобовыми капотами и узкими кольцами Тауненда. Все члены экипажа (их было трое) поначалу размещались в открытых сверху кабинах. Стрелкового вооружения не устанавливали, но проектом предусматривалось три пулемета винтовочного калибра - в носовой и задней кабинах, а также в люке внизу в хвостовой части самолета. Бомбы размещались в емком фюзеляжном бомбоотсеке. Первые же полеты наглядно продемонстрировали потенциал нового бомбардировщика. Самолет показал максимальную скорость свыше 300 км/ч, а лучший американский истребитель того времени, «Р-6Е», выдавал 316 (15012).</w:t>
      </w:r>
    </w:p>
    <w:p w14:paraId="14AF63C2" w14:textId="77777777" w:rsidR="00A4146F" w:rsidRPr="0044524F" w:rsidRDefault="00A4146F" w:rsidP="009654CF">
      <w:pPr>
        <w:spacing w:after="0" w:line="240" w:lineRule="auto"/>
        <w:jc w:val="both"/>
        <w:rPr>
          <w:rFonts w:ascii="Times New Roman" w:hAnsi="Times New Roman"/>
          <w:color w:val="000000" w:themeColor="text1"/>
          <w:sz w:val="16"/>
          <w:szCs w:val="16"/>
        </w:rPr>
      </w:pPr>
    </w:p>
    <w:p w14:paraId="2792C1D3" w14:textId="77777777" w:rsidR="003E25C3" w:rsidRPr="0044524F" w:rsidRDefault="003E25C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17 января 1933 г. Китай: коммунисты Китая предлагают Чан Кайши совместно </w:t>
      </w:r>
      <w:r w:rsidRPr="0044524F">
        <w:rPr>
          <w:rFonts w:ascii="Times New Roman" w:eastAsia="Times New Roman" w:hAnsi="Times New Roman"/>
          <w:iCs/>
          <w:color w:val="000000" w:themeColor="text1"/>
          <w:sz w:val="16"/>
          <w:szCs w:val="16"/>
          <w:lang w:eastAsia="ru-RU"/>
        </w:rPr>
        <w:t>бороться</w:t>
      </w:r>
      <w:r w:rsidRPr="0044524F">
        <w:rPr>
          <w:rFonts w:ascii="Times New Roman" w:eastAsia="Times New Roman" w:hAnsi="Times New Roman"/>
          <w:color w:val="000000" w:themeColor="text1"/>
          <w:sz w:val="16"/>
          <w:szCs w:val="16"/>
          <w:lang w:eastAsia="ru-RU"/>
        </w:rPr>
        <w:t xml:space="preserve"> с японцами, но он борется только с самими коммунистами. </w:t>
      </w:r>
      <w:r w:rsidRPr="0044524F">
        <w:rPr>
          <w:rFonts w:ascii="Times New Roman" w:eastAsia="Times New Roman" w:hAnsi="Times New Roman"/>
          <w:bCs/>
          <w:iCs/>
          <w:color w:val="000000" w:themeColor="text1"/>
          <w:sz w:val="16"/>
          <w:szCs w:val="16"/>
          <w:lang w:eastAsia="ru-RU"/>
        </w:rPr>
        <w:t>Чэнь Бо-Да «Чан Кай-Ши — враг китайского народа», М., ИИЛ, 1950:</w:t>
      </w:r>
    </w:p>
    <w:p w14:paraId="442285E8" w14:textId="77777777" w:rsidR="003E25C3" w:rsidRPr="0044524F" w:rsidRDefault="003E25C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w:t>
      </w:r>
      <w:r w:rsidRPr="0044524F">
        <w:rPr>
          <w:rFonts w:ascii="Times New Roman" w:eastAsia="Times New Roman" w:hAnsi="Times New Roman"/>
          <w:color w:val="000000" w:themeColor="text1"/>
          <w:sz w:val="16"/>
          <w:szCs w:val="16"/>
          <w:lang w:eastAsia="ru-RU"/>
        </w:rPr>
        <w:t>17 января (1933)</w:t>
      </w:r>
      <w:r w:rsidRPr="0044524F">
        <w:rPr>
          <w:rFonts w:ascii="Times New Roman" w:eastAsia="Times New Roman" w:hAnsi="Times New Roman"/>
          <w:bCs/>
          <w:color w:val="000000" w:themeColor="text1"/>
          <w:sz w:val="16"/>
          <w:szCs w:val="16"/>
          <w:lang w:eastAsia="ru-RU"/>
        </w:rPr>
        <w:t xml:space="preserve"> Мао Цзе-дун и Чжу Дэ опубликовали декларацию, в которой выразили желание сообща со всеми войсками страны выступить для отпора японским захватчикам.» (17325)</w:t>
      </w:r>
    </w:p>
    <w:p w14:paraId="7B77EF57" w14:textId="77777777" w:rsidR="003E25C3" w:rsidRPr="0044524F" w:rsidRDefault="003E25C3" w:rsidP="009654CF">
      <w:pPr>
        <w:spacing w:after="0" w:line="240" w:lineRule="auto"/>
        <w:jc w:val="both"/>
        <w:rPr>
          <w:rFonts w:ascii="Times New Roman" w:hAnsi="Times New Roman"/>
          <w:color w:val="000000" w:themeColor="text1"/>
          <w:sz w:val="16"/>
          <w:szCs w:val="16"/>
        </w:rPr>
      </w:pPr>
    </w:p>
    <w:p w14:paraId="4325E98C" w14:textId="77777777" w:rsidR="003E25C3" w:rsidRPr="0044524F" w:rsidRDefault="003E25C3"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color w:val="000000" w:themeColor="text1"/>
          <w:sz w:val="16"/>
          <w:szCs w:val="16"/>
        </w:rPr>
        <w:t>17 января (1933)</w:t>
      </w:r>
      <w:r w:rsidRPr="0044524F">
        <w:rPr>
          <w:rFonts w:ascii="Times New Roman" w:hAnsi="Times New Roman"/>
          <w:bCs/>
          <w:color w:val="000000" w:themeColor="text1"/>
          <w:sz w:val="16"/>
          <w:szCs w:val="16"/>
        </w:rPr>
        <w:t xml:space="preserve"> Гитлер разместил в берлинском отеле «Кайзерхоф» свою штаб-квартиру со всем эскортом и советниками. Но только приближенные знали, с кем именно ведутся переговоры, какие решения принимаются и кто поддерживает его претензии на пост канцлера. Геббельса же отправили в Мюнхен для подготовки к работе нового ведомства — министерства пропаганды, и он записал в дневнике: «От волнения не нахожу себе места, ибо в Берлине события развиваются быстро и неотвратимо». А в субботу, 28 января, сотрудники «коричневого дома» узнали, что канцлер Шлейхер ушел в отставку. Кто займет его место? Утром в понедельник, 30 января, Гитлер прибыл в президентский дворец в сопровождении Папена, Гугенберга, друзей-партийцев Флика и Геринга и прочих деятелей — словом, со свитой потенциальных министров. Сотрудники «коричневого дома» сидели в кабинетах без дела, не в силах заниматься повседневной работой. Партия никогда не была так близка к власти. Пытаясь погасить нервное напряжение, они выглядывали в окна и видели все тот же противный пасмурный зимний день и понурых прохожих, не задумывавшихся, что в эти часы решались их судьбы. Ровно в полдень раздался звонок из Берлина, положивший конец волнениям: Гитлер стал канцлером. По зданию загромыхали сапоги, захлопали двери, весть разносилась по «коричневому дому», вздымая шквал ликования, радостного смеха, объятий, рукопожатий, заставляя забыть о соперничестве и вражде. Они победили! Пора браться за дело!»(17325).</w:t>
      </w:r>
    </w:p>
    <w:p w14:paraId="207D6CF6" w14:textId="77777777" w:rsidR="003E25C3" w:rsidRPr="0044524F" w:rsidRDefault="003E25C3" w:rsidP="009654CF">
      <w:pPr>
        <w:spacing w:after="0" w:line="240" w:lineRule="auto"/>
        <w:jc w:val="both"/>
        <w:rPr>
          <w:rFonts w:ascii="Times New Roman" w:hAnsi="Times New Roman"/>
          <w:color w:val="000000" w:themeColor="text1"/>
          <w:sz w:val="16"/>
          <w:szCs w:val="16"/>
        </w:rPr>
      </w:pPr>
    </w:p>
    <w:p w14:paraId="06C9EFB0"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BFCF002"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19031A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18-20 января 1933г Вторичное посещение ГДЛ руководством и специалистами ГИРД из Москвы (11330).</w:t>
      </w:r>
    </w:p>
    <w:p w14:paraId="13CCAA1C"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2DA6A5A1"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Авиапромышленность:</w:t>
      </w:r>
    </w:p>
    <w:p w14:paraId="6D2CCBF8"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A99CD4F"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января 1933 Зам. НКВМ Тухачевский писал Нач. ГУАП П.И.Б. письмо N 157178:</w:t>
      </w:r>
    </w:p>
    <w:p w14:paraId="29663AA0"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 ЦАГИ и Камов разработал эскизный проект "Летающего танка Вертолета". Это предложение представляет большой интерес с военной точки зрения, т.к. решает проблему о летающем танке с исключительной полнотой.</w:t>
      </w:r>
    </w:p>
    <w:p w14:paraId="51E3C75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наиболее сложный и большой объем работ падает на авиационную часть, то реализацию этого предложения (в части разработки общего проекта) целесообразнее провести в ЦАГИ.</w:t>
      </w:r>
    </w:p>
    <w:p w14:paraId="2A625B4C"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дать распоряжение Нач. ЦАГИ о создании спец. КГ 6-8 чел. под руководством т. Камова для разработки проекта.</w:t>
      </w:r>
    </w:p>
    <w:p w14:paraId="1A554987"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своей стороны, УММ обеспечивает необходимую консультацию по конструкции танка. Все расходы по выполнению указанной работы оплачиваются Управлением Механизации и Моторизации РККА." (2305,16).</w:t>
      </w:r>
    </w:p>
    <w:p w14:paraId="54F28E7E"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7851586E"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января 1933 УММ выдало задание КБ под руководством Рафаэлянца на разработку проекта летающего танка. За месяц разработали силами 9 конструкторов ЦАГИ и завода 9. Проект заключался в подвеске БТ к безмоторному самолету. При посадке танк с экипажем отделялся от крыльев. При разработке рассмотрели еще два варианта: Добровольского и Самсонова и Камова. Самсонов и Добровольский предусмотрели гидравлическую передачу на винт, а Камов предложил автожир (3879,36).</w:t>
      </w:r>
    </w:p>
    <w:p w14:paraId="63BA59F0"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7F192E44" w14:textId="77777777" w:rsidR="00254098" w:rsidRPr="0044524F" w:rsidRDefault="0025409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января 1933 года конструкторскому бюро под руководством А.Н. Рафаэлянца было выдано задание на разработку проекта полноценного летающего танка. Спустя месяц проект был готов». Если это не ошибка в дате, то речь, видимо, может идти о задании на доработанный проект. До постройки аппарата Рафаэлянца и Никитина дело не дошло (19165).</w:t>
      </w:r>
    </w:p>
    <w:p w14:paraId="0410DDFE" w14:textId="77777777" w:rsidR="00254098" w:rsidRPr="0044524F" w:rsidRDefault="00254098" w:rsidP="009654CF">
      <w:pPr>
        <w:spacing w:after="0" w:line="240" w:lineRule="auto"/>
        <w:jc w:val="both"/>
        <w:rPr>
          <w:rFonts w:ascii="Times New Roman" w:hAnsi="Times New Roman"/>
          <w:color w:val="000000" w:themeColor="text1"/>
          <w:sz w:val="16"/>
          <w:szCs w:val="16"/>
        </w:rPr>
      </w:pPr>
    </w:p>
    <w:p w14:paraId="16211359"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19 января по 29 ноября 1933 прошли гос. испытания АПК-4 с перезаряжанием системы Легчакова, установленных парой на самолете "Z" N 39004.</w:t>
      </w:r>
    </w:p>
    <w:p w14:paraId="0DEFE80B"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 испытаний - Щелковский аэродром и Ногинский полигон (стрельба). В ходе испытаний представилась возможность производить стрельбу над Щелковским аэродромом.</w:t>
      </w:r>
    </w:p>
    <w:p w14:paraId="47A5B60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Лагутин.</w:t>
      </w:r>
    </w:p>
    <w:p w14:paraId="3B440D32"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3CBAFFEC"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Выявить эксплуатационные особенности АПК-4 с перезаряжанием сист. Легчакова при стрельбе в воздухе.</w:t>
      </w:r>
    </w:p>
    <w:p w14:paraId="6CF8C285"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Установить работу автоматики системы при различных эволюциях самолета.</w:t>
      </w:r>
    </w:p>
    <w:p w14:paraId="1E4B5497"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Определить влияние стрельбы на мат. часть самолета.</w:t>
      </w:r>
    </w:p>
    <w:p w14:paraId="4AF8EA77"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Выявить преимущества в системе перезаряжания Легчакова перед другими самолетами.</w:t>
      </w:r>
    </w:p>
    <w:p w14:paraId="4A47A74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Испытания проводились в основном по той же программе, что и система Курчевского в целях сравнения этих систем.</w:t>
      </w:r>
    </w:p>
    <w:p w14:paraId="39E84227"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E3EAE55"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отработки система может быть передана на войсковые испытания (3083).</w:t>
      </w:r>
    </w:p>
    <w:p w14:paraId="65B2B66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140BE70F"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7ABDDED"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C45EFAC" w14:textId="77777777" w:rsidR="005A53A8" w:rsidRPr="0044524F" w:rsidRDefault="005A53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января 1933 г. состоялось следующее совместное техническое совещание специалистов Дизельного и Танкового отделов ХПЗ по вопросу «Об установке мотора БД-2 и испытании его на машине БТ» под председательством К.Ф. Челпана.</w:t>
      </w:r>
    </w:p>
    <w:p w14:paraId="12085EA5" w14:textId="77777777" w:rsidR="005A53A8" w:rsidRPr="0044524F" w:rsidRDefault="005A53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докладами выступили Я.П. Нифонтов и Я.Е. Вихман. На этом совещании было определено в каком виде Дизельный отдел должен передать Танковому отделу дизель БД-2, предназначенный для установки в танк БТ, а также уточнен ряд вопросов, касавшихся регламента проведения испытаний дизеля в танке.</w:t>
      </w:r>
    </w:p>
    <w:p w14:paraId="6623AC84" w14:textId="77777777" w:rsidR="005A53A8" w:rsidRPr="0044524F" w:rsidRDefault="005A53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Копии Протоколов указанных выше технических совещаний, а также копии Ориентировочной программы и Ориентировочного плана работы секции нового проектирования конструкторского бюро Т2К на 1933 г. были отправлены И.Л. Кинсбургским начальнику НТУ УММ РККА И.А. Лебедеву в виде приложений к сводке о состоянии опытно-конструкторских работ на 28 января 1833 г. </w:t>
      </w:r>
    </w:p>
    <w:p w14:paraId="019E3639" w14:textId="77777777" w:rsidR="005A53A8" w:rsidRPr="0044524F" w:rsidRDefault="005A53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Отметим, что в Ориентировочной программе работ секции нового проектирования конструкторского бюро Т2К на 1933 г. работа по оснащению танков БТ дизелем по очередности стояла на четвертом месте. В соответствии с этим документом разработку комплекта чертежей для выпуска в серийное производство машины БТ-5 с двигателем дизеля БД-2 планировалось завершить к 20 марта 1933 г., а изготовление опытного образца танка БТ-5 с дизелем БД-2 – к 1 мая 1933 г. (24856)</w:t>
      </w:r>
    </w:p>
    <w:p w14:paraId="2D92DC42" w14:textId="77777777" w:rsidR="005A53A8" w:rsidRPr="0044524F" w:rsidRDefault="005A53A8" w:rsidP="009654CF">
      <w:pPr>
        <w:spacing w:after="0" w:line="240" w:lineRule="auto"/>
        <w:jc w:val="both"/>
        <w:rPr>
          <w:rFonts w:ascii="Times New Roman" w:hAnsi="Times New Roman"/>
          <w:color w:val="000000" w:themeColor="text1"/>
          <w:sz w:val="16"/>
          <w:szCs w:val="16"/>
        </w:rPr>
      </w:pPr>
    </w:p>
    <w:p w14:paraId="604E9DA4" w14:textId="77777777" w:rsidR="00CD7A42" w:rsidRPr="00142305" w:rsidRDefault="00CD7A42" w:rsidP="00CD7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января 1933 г. на ХПЗ состоялось второе техническое совещание специалистов Дизельного и Танкового отделов ХПЗ по вопросу «Об установке мотора БД-2 и испытании его на машине БТ» (25046),</w:t>
      </w:r>
    </w:p>
    <w:p w14:paraId="43028DCB" w14:textId="77777777" w:rsidR="00CD7A42" w:rsidRPr="00142305" w:rsidRDefault="00CD7A42" w:rsidP="00CD7A42">
      <w:pPr>
        <w:spacing w:after="0" w:line="240" w:lineRule="auto"/>
        <w:jc w:val="both"/>
        <w:rPr>
          <w:rFonts w:ascii="Times New Roman" w:hAnsi="Times New Roman"/>
          <w:color w:val="0070C0"/>
          <w:sz w:val="16"/>
          <w:szCs w:val="16"/>
        </w:rPr>
      </w:pPr>
    </w:p>
    <w:p w14:paraId="076D9EC6"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января 1933 закончились испытания телеуправляемых танков ТТ-18 (телеуправляемый танк - индекс, присвоенный в 1934), ТТ-26 и ТТ-27 в специальном отряде N 4 ЛВО. Выбирали для дальнейшего серийного производства. Испытания продолжались 8 дней и были повторены в октябре 1933. ТТ-18, на котором стояла 16 командная аппаратура системы Остехбюро 1932 дальностью до 1.5 км (реально 500-1000 в хорошую погоду), не прошел (4243,25).</w:t>
      </w:r>
    </w:p>
    <w:p w14:paraId="1370C4F5"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6840B93A"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января 1933 совещание ГАУ решило повысить огневую и ударную мощь моторизованных и танковых частей за счет самоходной артиллерии (1073,217).</w:t>
      </w:r>
    </w:p>
    <w:p w14:paraId="160ED830"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5288756A" w14:textId="77777777" w:rsidR="00DF28E3"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580D4464"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00584DA"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 января 1933 г. командующий войсками Среднеазиатского округа докладывал председателю Реввоенсовета: "Состояние самолетов Р-3 с моторами "Лорен Дитрих", находящихся на вооружении в авиачастях вверенного мне округа, в силу изношенности таково, что может обеспечить боевую подготовку... только на 1933 г.". Р-ЗЛД постепенно списывались, но старые самолеты еще принимали участие в операциях. На 1 января 1933 г. в САВО имелось 68 машин, 39 из которых могли подняться в воздух. Примерно в таком же состоянии парк 16-й бригады пребывал и в конце года (11985). </w:t>
      </w:r>
    </w:p>
    <w:p w14:paraId="3EC64E7A"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58BD6966" w14:textId="77777777" w:rsidR="00DF28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581480A" w14:textId="77777777" w:rsidR="00DF28E3" w:rsidRPr="0044524F" w:rsidRDefault="00DF28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BB5AD9A"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января 1933 был осуществлен возврат к системе обязательных поставок колхозами зерна государству по ценам и в объемах, установленных планом (1348,200).</w:t>
      </w:r>
    </w:p>
    <w:p w14:paraId="03D1E476"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26362B8E"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января 1933 вышло Постановление СНК СССР и ЦК ВКП(б) "Об обязательной поставке зерна государству колхозами и единоличными хозяйствами" (10687).</w:t>
      </w:r>
    </w:p>
    <w:p w14:paraId="0731B244"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18909FB7"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января 1933 года Г. Г. ЯГОДА подписал приказ ОГПУ № 7:</w:t>
      </w:r>
    </w:p>
    <w:p w14:paraId="7F4BEE1E"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Правительства на ОГПУ возложено строительство Байкало-Амурской железной дороги, имеющей большое хозяйственное и оборонное значение.</w:t>
      </w:r>
    </w:p>
    <w:p w14:paraId="1EFAEF69"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Одним из важнейших условий успешного выполнения этой ответственной и трудной задачи является укрепление руководящего состава Байкало-Амурского лагеря ОГПУ чекистскими кадрами.</w:t>
      </w:r>
    </w:p>
    <w:p w14:paraId="1BBF4206"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Чекисты не раз показали себя энтузиастами в тяжелых условиях работы отдаленных лагерей ОГПУ.</w:t>
      </w:r>
    </w:p>
    <w:p w14:paraId="1354A079"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лагерь под руководством чекистов, так же как и другие лагеря, должен полностью и в установленный срок выполнить данное ему задание, несмотря на все трудности и суровую обстановку строительства.</w:t>
      </w:r>
    </w:p>
    <w:p w14:paraId="309CEF97"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этого требуются работники, добровольно желающие работать в Бамлаге.</w:t>
      </w:r>
    </w:p>
    <w:p w14:paraId="0FA03F16"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Приказываю:</w:t>
      </w:r>
    </w:p>
    <w:p w14:paraId="11A0F08F"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Открыть запись добровольцев из числа оперативных работников для ответственной работы в Бамлаге ОГПУ.</w:t>
      </w:r>
    </w:p>
    <w:p w14:paraId="66394EF3"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Из числа добровольно записавшихся, ОК [Отделу кадров] ОГПУ произвести тщательный отбор кандидатов в Бамлаг, морально устойчивых, дисциплинированных и годных по состоянию здоровья для работы в особоотдаленных местностях.</w:t>
      </w:r>
    </w:p>
    <w:p w14:paraId="3F96B88A"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ОК ПП [отделам кадров полномочных представительств] всю работу по вербовке добровольцев закончить к 15.02.33, не позднее 20.02.33 представить в ОК ОГПУ на всех добровольцев личные дела, достаточные аттестации и мед. акты.</w:t>
      </w:r>
    </w:p>
    <w:p w14:paraId="14324E1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Порядок и сроки направления добровольцев установить ОК ОГПУ по рассмотрении и утверждении кандидатов.</w:t>
      </w:r>
    </w:p>
    <w:p w14:paraId="68E9A409"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пред. ОГПУ</w:t>
      </w:r>
    </w:p>
    <w:p w14:paraId="6646E082"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Ягода» (7560).</w:t>
      </w:r>
    </w:p>
    <w:p w14:paraId="481FC301" w14:textId="77777777" w:rsidR="00DF28E3" w:rsidRPr="0044524F" w:rsidRDefault="00DF28E3" w:rsidP="009654CF">
      <w:pPr>
        <w:autoSpaceDE w:val="0"/>
        <w:autoSpaceDN w:val="0"/>
        <w:adjustRightInd w:val="0"/>
        <w:spacing w:after="0" w:line="240" w:lineRule="auto"/>
        <w:jc w:val="both"/>
        <w:rPr>
          <w:rFonts w:ascii="Times New Roman" w:hAnsi="Times New Roman"/>
          <w:color w:val="000000" w:themeColor="text1"/>
          <w:sz w:val="16"/>
          <w:szCs w:val="16"/>
        </w:rPr>
      </w:pPr>
    </w:p>
    <w:p w14:paraId="0AB8F155"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января 1933 года газета «Вечерняя Москва» сообщила о первых бытовых солнечных батареях, установленных в СССР в Ташкенте, «в первом в Союзе Доме Солнца».</w:t>
      </w:r>
    </w:p>
    <w:p w14:paraId="740EF064" w14:textId="77777777" w:rsidR="00373B27" w:rsidRPr="0044524F" w:rsidRDefault="00373B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«Стоит этот дом в Ташкенте, на окраине города, в зелени фруктовых деревьев. В первом в Союзе Доме Солнца — два первых жильца, товарищи Трофимов и Фаздев, молодые советские ученые. В 1928 году Ташкентская геофизическая лаборатория приступила к испытанию солнечной энергии. &lt;…&gt; Тов. Фаздев говорит, что для семьи в 5 – 6 человек достаточно установить раму в 1 квадратный метр. Это будет стоить 20 – 30 рублей. 18-ведерная рама три года назад составляла всю актинометрическую (от слова актис – луч) лабораторию молодых ученых и была единственной в Союзе. Сейчас по городам Союза уже 8 таких рам. &lt;…&gt; Достижения гелиотехников могут стать достоянием масс. Мы должны сделаться, если можно так сказать, солнцелюбителями». (21175).</w:t>
      </w:r>
    </w:p>
    <w:p w14:paraId="7C29141A" w14:textId="77777777" w:rsidR="00373B27" w:rsidRPr="0044524F" w:rsidRDefault="00373B27" w:rsidP="009654CF">
      <w:pPr>
        <w:spacing w:after="0" w:line="240" w:lineRule="auto"/>
        <w:jc w:val="both"/>
        <w:rPr>
          <w:rFonts w:ascii="Times New Roman" w:hAnsi="Times New Roman"/>
          <w:color w:val="000000" w:themeColor="text1"/>
          <w:sz w:val="16"/>
          <w:szCs w:val="16"/>
        </w:rPr>
      </w:pPr>
    </w:p>
    <w:p w14:paraId="0588C6CC"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B3F33E2"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72B652A5" w14:textId="77777777" w:rsidR="00254098" w:rsidRPr="0044524F" w:rsidRDefault="0025409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января 1933 г. осуществлен первый опытный полет самолета АНТ-6 (ТБ-3) с подвешенной танкеткой Т-27. Экипаж самолета – летчики Ф.Е. Болотов, А.А. Фердоров, старший бортмеханик С.П. Чернокожий и начальник Остехбюро В.И. Бекаури (18667).</w:t>
      </w:r>
    </w:p>
    <w:p w14:paraId="578D735C" w14:textId="77777777" w:rsidR="00254098" w:rsidRPr="0044524F" w:rsidRDefault="00254098" w:rsidP="009654CF">
      <w:pPr>
        <w:spacing w:after="0" w:line="240" w:lineRule="auto"/>
        <w:jc w:val="both"/>
        <w:rPr>
          <w:rFonts w:ascii="Times New Roman" w:hAnsi="Times New Roman"/>
          <w:color w:val="000000" w:themeColor="text1"/>
          <w:sz w:val="16"/>
          <w:szCs w:val="16"/>
        </w:rPr>
      </w:pPr>
    </w:p>
    <w:p w14:paraId="688F6E2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января 1933 года начальник 7 сектора НИИ ВВС Горощенко писал письмо N 2/092c начальнику штаба ВВС, начальнику вооружения ВВС, директору завода N 39.</w:t>
      </w:r>
    </w:p>
    <w:p w14:paraId="6181D74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 по испытанию головного серийного самолета ТБ3 N 3901 с 4 моторами М-17, Е=7,3 постройки завода N 39</w:t>
      </w:r>
    </w:p>
    <w:p w14:paraId="4D2CF4C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50B7F17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 испытания - Рязанов</w:t>
      </w:r>
    </w:p>
    <w:p w14:paraId="3BB6C39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Стефановский</w:t>
      </w:r>
    </w:p>
    <w:p w14:paraId="6D7A202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0130E0D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в какой мере головной серийный самолет постройки завода N 39 удовлетворяет техническим условиям на поставку самолетов ТБ3.</w:t>
      </w:r>
    </w:p>
    <w:p w14:paraId="4B2DB1F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311ADE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Головной самолет ТБ3 4М17 первой серии постройки завода N 39 по своему конструктивному и производственному выполнению, по состоянию вооружения и оборудования, по своим летным и эксплуатационным данным техническим условиям на постройку самолетов ТБ3 вполне удовлетворяет.</w:t>
      </w:r>
    </w:p>
    <w:p w14:paraId="4849FD7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получен от военной приемки 39 завода 5 декабря 1932 года</w:t>
      </w:r>
    </w:p>
    <w:p w14:paraId="598DAA0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начато 7 декабря 1932 года</w:t>
      </w:r>
    </w:p>
    <w:p w14:paraId="2AC19D2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закончено 23 декабря 1932 года</w:t>
      </w:r>
    </w:p>
    <w:p w14:paraId="60B782C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испытание проведено в 17 календарных дней, летных дней 5.</w:t>
      </w:r>
    </w:p>
    <w:p w14:paraId="7B20749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налетал за 5 дней 12 час. 15 мин. (3899,1-38).</w:t>
      </w:r>
    </w:p>
    <w:p w14:paraId="27269BF4"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77939AB0" w14:textId="77777777" w:rsidR="00F8249C" w:rsidRPr="0044524F" w:rsidRDefault="00F824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января 1933 г. осуществлен первый опытный полет самолета АНТ-6 (ТБ-3) с подвешенной танкеткой Т-27. Экипаж самолета – летчики Ф.Е. Болотов, А.А. Фердоров, старший бортмеханик С.П. Чернокожий и начальник Остехбюро В.И. Бекаури (22288).</w:t>
      </w:r>
    </w:p>
    <w:p w14:paraId="74A250F0" w14:textId="77777777" w:rsidR="00F8249C" w:rsidRPr="0044524F" w:rsidRDefault="00F8249C" w:rsidP="009654CF">
      <w:pPr>
        <w:spacing w:after="0" w:line="240" w:lineRule="auto"/>
        <w:jc w:val="both"/>
        <w:rPr>
          <w:rFonts w:ascii="Times New Roman" w:hAnsi="Times New Roman"/>
          <w:color w:val="000000" w:themeColor="text1"/>
          <w:sz w:val="16"/>
          <w:szCs w:val="16"/>
        </w:rPr>
      </w:pPr>
    </w:p>
    <w:p w14:paraId="0F39AF4B"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30686F2"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4E675B2F" w14:textId="77777777" w:rsidR="00F8249C" w:rsidRPr="0044524F" w:rsidRDefault="00F824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января 1933 - Первый полет истребителя Boeing P-29. Этот самолет был попыткой создать более продвинутую версию успешного P-26. Хотя в ходе работ были достигнуты некоторые успехи Авиационный корпус Армии США не стал заказывать самолет (22652).</w:t>
      </w:r>
    </w:p>
    <w:p w14:paraId="6E21FD6D" w14:textId="77777777" w:rsidR="00F8249C" w:rsidRPr="0044524F" w:rsidRDefault="00F8249C" w:rsidP="009654CF">
      <w:pPr>
        <w:spacing w:after="0" w:line="240" w:lineRule="auto"/>
        <w:jc w:val="both"/>
        <w:rPr>
          <w:rFonts w:ascii="Times New Roman" w:hAnsi="Times New Roman"/>
          <w:color w:val="000000" w:themeColor="text1"/>
          <w:sz w:val="16"/>
          <w:szCs w:val="16"/>
        </w:rPr>
      </w:pPr>
    </w:p>
    <w:p w14:paraId="1C73BC5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января 1933 Руководитель "Хеймвера" Штаремберг, выступая в Венском Концерт-хаузе заявил, что "Хеймвер готов поддержать любое правительство, которое разгонит парламент" (7444).</w:t>
      </w:r>
    </w:p>
    <w:p w14:paraId="1F0C576E"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3782CEEF"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049749A"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0D0B004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января 1933 на ХАИ-1 была отмечена скорость 292 км/ч (1076,625).</w:t>
      </w:r>
    </w:p>
    <w:p w14:paraId="7A157BF3"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25411E4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января 1933 года начальник ВВС Наумов писал письмо председателю РВС</w:t>
      </w:r>
    </w:p>
    <w:p w14:paraId="4E334D2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состоянии работ по реализации изобретения инженера Вахмистрова "Самолет Звено".</w:t>
      </w:r>
    </w:p>
    <w:p w14:paraId="2123B65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Госиспытания самолета "ЗВЕНО" инженера Вахмистрова (установка на самолет ТБ1-2М17 двух самолетов И4-М22) показали, что использование двух истребителей на крыльях бомбовоза повышает грузоподъемность последнего, радиус его действия и потолок. Параллельно бомбовоз получает в тылу у противника защиту в виде своих одноместных истребителей, радиус действия которых удваивается.</w:t>
      </w:r>
    </w:p>
    <w:p w14:paraId="721649D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Вышеуказанные преимущества, открывающие широкие перспективы по усилению боевой эффективности бомбардировщиков, потребовали развития изобретения Вахмистрова путем поведения ряда новых работ. Состояние последних в настоящее время нижеследующее:</w:t>
      </w:r>
    </w:p>
    <w:p w14:paraId="5C1CC0EF" w14:textId="77777777" w:rsidR="00E37239" w:rsidRPr="0044524F" w:rsidRDefault="00E37239" w:rsidP="009654CF">
      <w:pPr>
        <w:numPr>
          <w:ilvl w:val="0"/>
          <w:numId w:val="2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в постройке (в ЦАГИ) оборудование для пяти самолетов Звено 1 (соединен. ТБ1 с двумя И4). Срок готовности начало апреля 1933 года.</w:t>
      </w:r>
    </w:p>
    <w:p w14:paraId="56227142" w14:textId="77777777" w:rsidR="00E37239" w:rsidRPr="0044524F" w:rsidRDefault="00E37239" w:rsidP="009654CF">
      <w:pPr>
        <w:numPr>
          <w:ilvl w:val="0"/>
          <w:numId w:val="2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Спроектировано и находится в постройке оборудование для самолета Звено 2 (соединен. самолета ТБ3-4М17 с тремя самолетами И5-М22). Срок готовности апрель 1933 года.</w:t>
      </w:r>
    </w:p>
    <w:p w14:paraId="025FC20E" w14:textId="77777777" w:rsidR="00E37239" w:rsidRPr="0044524F" w:rsidRDefault="00E37239" w:rsidP="009654CF">
      <w:pPr>
        <w:numPr>
          <w:ilvl w:val="0"/>
          <w:numId w:val="3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Заканчивается проектирование оборудования для самолета Звено 3 (соединение самолета ТБ3-4М17 с пятью истребителями, тремя И5-М22, расположенных на крвыльях и двумя И-ЗЕТ, расположенными под крыльями). Срок выхода из производства – май 1933 года.</w:t>
      </w:r>
    </w:p>
    <w:p w14:paraId="2EA434BB" w14:textId="77777777" w:rsidR="00E37239" w:rsidRPr="0044524F" w:rsidRDefault="00E37239" w:rsidP="009654CF">
      <w:pPr>
        <w:numPr>
          <w:ilvl w:val="0"/>
          <w:numId w:val="3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Разработана методика и находится в проектировании приспособление для посадки в воздухе самолета И5-М22 на самолет ТБ3-4М17. Срок выхода из производства май 1933 года.</w:t>
      </w:r>
    </w:p>
    <w:p w14:paraId="6C87B2C4" w14:textId="77777777" w:rsidR="00E37239" w:rsidRPr="0044524F" w:rsidRDefault="00E37239" w:rsidP="009654CF">
      <w:pPr>
        <w:numPr>
          <w:ilvl w:val="0"/>
          <w:numId w:val="3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Ведется предварительная разработка вопроса о создании специальных самолетов, вытекающих из принципа и соединения самолетов в воздухе, а именно самолета тягача, сверхскоростного истребителя и воздушной авиаматки.</w:t>
      </w:r>
    </w:p>
    <w:p w14:paraId="2CE1E8F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перечисленные работы производятся под руководством инженера НИИ ВВС Вахмистрова в специальной группе выделенной ЦАГИ.</w:t>
      </w:r>
    </w:p>
    <w:p w14:paraId="71B3049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Достигнутые уже в настоящее время результаты и проведенное разворачивание работ дает уверенность в том, что летом 1933 года будет получен ряд новых достижений в области применения идеи самолета "ЗВЕНА" особенно ценной тем, что за границей она совершенно не использована (7486, 90).</w:t>
      </w:r>
    </w:p>
    <w:p w14:paraId="7BC45C9C"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3721D6C4" w14:textId="77777777" w:rsidR="00296374" w:rsidRPr="0044524F" w:rsidRDefault="0029637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21 января 1933 в письме начальника ВВС «О состоянии работ по реализации изобретения инженера Вахмистрова» в правительство сообщалось:</w:t>
      </w:r>
    </w:p>
    <w:p w14:paraId="2838EE0D" w14:textId="77777777" w:rsidR="00296374" w:rsidRPr="0044524F" w:rsidRDefault="0029637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 Находится в постройке (в ЦАГИ) оборудование для пяти самолётов Звено 1 (соединение ТБ1 с двумя И4). Срок готовности — начало апреля 1933 года.</w:t>
      </w:r>
    </w:p>
    <w:p w14:paraId="2B114230" w14:textId="77777777" w:rsidR="00296374" w:rsidRPr="0044524F" w:rsidRDefault="0029637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 Спроектировано и находится в постройке оборудование для самолёта Звено 2 (соединение самолёта ТБЗ-4М17 с тремя самолётами И5-М22). Срок готовности — апрель 1933 года.</w:t>
      </w:r>
    </w:p>
    <w:p w14:paraId="502500A1" w14:textId="77777777" w:rsidR="00296374" w:rsidRPr="0044524F" w:rsidRDefault="0029637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3. Заканчивается проектирование оборудования для самолёта Звено 3 (соединение самолёта ТБЗ-4М17 с пятью истребителями: тремя И5-М22, расположенными на крыльях, и двумя И-ЗЕТ, расположенными под крыльями). Срок выхода из производства — май 1933 года.</w:t>
      </w:r>
    </w:p>
    <w:p w14:paraId="36960E7C" w14:textId="77777777" w:rsidR="00296374" w:rsidRPr="0044524F" w:rsidRDefault="0029637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4. Разработана методика и находится в проектировании приспособление для посадки в воздухе самолёта И5-М22 на самолёт ТБЗ-4М17. Срок выхода из производства — май 1933 года.</w:t>
      </w:r>
    </w:p>
    <w:p w14:paraId="35B67766" w14:textId="77777777" w:rsidR="00296374" w:rsidRPr="0044524F" w:rsidRDefault="0029637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5. Ведётся предварительная разработка вопроса о создании специальных самолётов, вытекающая из принципа соединения самолётов в воздухе, а именно самолёта-тягача, сверхскоростного истребителя и воздушной авиаматки.</w:t>
      </w:r>
    </w:p>
    <w:p w14:paraId="340F616B" w14:textId="77777777" w:rsidR="00296374" w:rsidRPr="0044524F" w:rsidRDefault="0029637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Все перечисленные работы производятся под руководством инженера НИИ ВВС Вахмистрова в специальной группе, выделенной ЦАГИ» </w:t>
      </w:r>
      <w:hyperlink r:id="rId25" w:history="1">
        <w:r w:rsidRPr="0044524F">
          <w:rPr>
            <w:rFonts w:ascii="Times New Roman" w:eastAsia="Times New Roman" w:hAnsi="Times New Roman"/>
            <w:color w:val="000000" w:themeColor="text1"/>
            <w:sz w:val="16"/>
            <w:szCs w:val="16"/>
            <w:lang w:eastAsia="ru-RU"/>
          </w:rPr>
          <w:t>[80]</w:t>
        </w:r>
      </w:hyperlink>
      <w:r w:rsidRPr="0044524F">
        <w:rPr>
          <w:rFonts w:ascii="Times New Roman" w:eastAsia="Times New Roman" w:hAnsi="Times New Roman"/>
          <w:color w:val="000000" w:themeColor="text1"/>
          <w:sz w:val="16"/>
          <w:szCs w:val="16"/>
          <w:lang w:eastAsia="ru-RU"/>
        </w:rPr>
        <w:t xml:space="preserve"> (17489).</w:t>
      </w:r>
    </w:p>
    <w:p w14:paraId="4D1905C9" w14:textId="77777777" w:rsidR="00296374" w:rsidRPr="0044524F" w:rsidRDefault="00296374" w:rsidP="009654CF">
      <w:pPr>
        <w:spacing w:after="0" w:line="240" w:lineRule="auto"/>
        <w:jc w:val="both"/>
        <w:rPr>
          <w:rFonts w:ascii="Times New Roman" w:eastAsia="Times New Roman" w:hAnsi="Times New Roman"/>
          <w:color w:val="000000" w:themeColor="text1"/>
          <w:sz w:val="16"/>
          <w:szCs w:val="16"/>
          <w:lang w:eastAsia="ru-RU"/>
        </w:rPr>
      </w:pPr>
    </w:p>
    <w:p w14:paraId="53FFC78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21 января 1933 г. на заседании Ц. С. Осоавиахима была одобрена зародившаяся в 1930 г. у группы инженеров-общественников Ленинградского Осоавиахима (Чертовской, Федосеенко) постройки стратостата и было решено построить стратостат и совершить полет в стратосферу в 1933 г. </w:t>
      </w:r>
    </w:p>
    <w:p w14:paraId="1696B29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Никаких четких организационных указаний и степени ответственности лиц за это большое дело решением этим не определяется, а только указывается пунктом 6-м «просить шефскую комиссию по дирижаблестроению принять шефство над созданием аэростата и организации полета». </w:t>
      </w:r>
    </w:p>
    <w:p w14:paraId="2E4EA40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Руководитель шефской комиссии т. Ильин, на которого позднее приказами Ц. С. возлагалось руководство, сейчас пытается свести свою роль к роли «шефа» (заявление т. Ильина комиссии) и поэтому до сегодняшнего дня ответственным себя за недочеты не считает, хотя фактически является руководителем, видел все недочеты, но не добивался выполнения своих указаний, ограничиваясь формальной постановкой вопроса. </w:t>
      </w:r>
    </w:p>
    <w:p w14:paraId="19F6569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Отсутствие четких указаний при утверждении постройки и полета повело и в дальнейшем к отсутствию конкретного руководства, четкости и ответственности в процессе всего строительства. </w:t>
      </w:r>
    </w:p>
    <w:p w14:paraId="1A658AD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Дело постройки продолжал вести Ленинградский Облсовет Осоавиахима, создав у себя комитет по постройке и научно-консультационный совет. </w:t>
      </w:r>
    </w:p>
    <w:p w14:paraId="448D4B9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Вся работа велась обезличенно. Заседания этого совета велись эпизодически. Между заседаниями никто, кроме непосредственно заинтересованных в этом деле лиц (Чертовской — производитель работ и Федосеенко — начальник бригады по организации полета), проектов не утверждал и не визировал. </w:t>
      </w:r>
    </w:p>
    <w:p w14:paraId="7B9939F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Примерно в июне 1933 г., после выезда в Ленинград комиссии т. Ильина (обнаружившей обезличку в ходе постройки стратостата), решением президиума Леноблсовета наблюдение было возложено на Зам. пред. Лен. Осоавиахима т. Барандохина;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потом 22.000, а впоследствии 24.940 м</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xml:space="preserve">. </w:t>
      </w:r>
    </w:p>
    <w:p w14:paraId="4050AFD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Опыт конструкции стратостата СССР Ленинградской группой не использовался, а всякое указание явно игнорировалось. </w:t>
      </w:r>
    </w:p>
    <w:p w14:paraId="7276842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этой части надлежащего конкретного организационного руководства со стороны руководящих лиц Осоавиахима (Ильин, Барандохин) не было, и их утверждение, что все проводится без проверки, по существу только прикрывало самотек и самостийность действий конструкторов (11611).</w:t>
      </w:r>
    </w:p>
    <w:p w14:paraId="47B7A23B" w14:textId="77777777" w:rsidR="00E37239" w:rsidRPr="0044524F" w:rsidRDefault="00E37239" w:rsidP="009654CF">
      <w:pPr>
        <w:shd w:val="clear" w:color="auto" w:fill="FFFFFF"/>
        <w:spacing w:after="0" w:line="240" w:lineRule="auto"/>
        <w:jc w:val="both"/>
        <w:rPr>
          <w:rFonts w:ascii="Times New Roman" w:hAnsi="Times New Roman"/>
          <w:color w:val="000000" w:themeColor="text1"/>
          <w:sz w:val="16"/>
          <w:szCs w:val="16"/>
        </w:rPr>
      </w:pPr>
    </w:p>
    <w:p w14:paraId="6B573A4D"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янва</w:t>
      </w:r>
      <w:r w:rsidRPr="0044524F">
        <w:rPr>
          <w:rFonts w:ascii="Times New Roman" w:hAnsi="Times New Roman"/>
          <w:color w:val="000000" w:themeColor="text1"/>
          <w:sz w:val="16"/>
          <w:szCs w:val="16"/>
        </w:rPr>
        <w:softHyphen/>
        <w:t>ря 1933 г. ЦС Осоавиахима одобрил инициативу ле</w:t>
      </w:r>
      <w:r w:rsidRPr="0044524F">
        <w:rPr>
          <w:rFonts w:ascii="Times New Roman" w:hAnsi="Times New Roman"/>
          <w:color w:val="000000" w:themeColor="text1"/>
          <w:sz w:val="16"/>
          <w:szCs w:val="16"/>
        </w:rPr>
        <w:softHyphen/>
        <w:t>нинградцев, и на заседании президиума принял решение построить стратостат «Осоавиахим-1» («ОАХ-1») для полёта в течение года. Было создано Бюро по постройке стратостата, преобразованное в мае 1933 г. в бригаду по строительству и эксплу</w:t>
      </w:r>
      <w:r w:rsidRPr="0044524F">
        <w:rPr>
          <w:rFonts w:ascii="Times New Roman" w:hAnsi="Times New Roman"/>
          <w:color w:val="000000" w:themeColor="text1"/>
          <w:sz w:val="16"/>
          <w:szCs w:val="16"/>
        </w:rPr>
        <w:softHyphen/>
        <w:t>атации стратостата, которую возглавил инже</w:t>
      </w:r>
      <w:r w:rsidRPr="0044524F">
        <w:rPr>
          <w:rFonts w:ascii="Times New Roman" w:hAnsi="Times New Roman"/>
          <w:color w:val="000000" w:themeColor="text1"/>
          <w:sz w:val="16"/>
          <w:szCs w:val="16"/>
        </w:rPr>
        <w:softHyphen/>
        <w:t>нер-пилот П.Ф. Федосеенко. В бригаду вошли: начальник работ — инженер Е.Е. Чертовской, старший инженер — А.Б. Васенко; руководи</w:t>
      </w:r>
      <w:r w:rsidRPr="0044524F">
        <w:rPr>
          <w:rFonts w:ascii="Times New Roman" w:hAnsi="Times New Roman"/>
          <w:color w:val="000000" w:themeColor="text1"/>
          <w:sz w:val="16"/>
          <w:szCs w:val="16"/>
        </w:rPr>
        <w:softHyphen/>
        <w:t>тель по внутреннему оборудованию — инженер Ю.К. Юцевич; руководитель по испытаниям — инженер К.С. Кирпичников; руководитель груп</w:t>
      </w:r>
      <w:r w:rsidRPr="0044524F">
        <w:rPr>
          <w:rFonts w:ascii="Times New Roman" w:hAnsi="Times New Roman"/>
          <w:color w:val="000000" w:themeColor="text1"/>
          <w:sz w:val="16"/>
          <w:szCs w:val="16"/>
        </w:rPr>
        <w:softHyphen/>
        <w:t>пы научно-полётной и аэронавигационной — В.Ю. Веспе; руководитель эксплуатационно-тех</w:t>
      </w:r>
      <w:r w:rsidRPr="0044524F">
        <w:rPr>
          <w:rFonts w:ascii="Times New Roman" w:hAnsi="Times New Roman"/>
          <w:color w:val="000000" w:themeColor="text1"/>
          <w:sz w:val="16"/>
          <w:szCs w:val="16"/>
        </w:rPr>
        <w:softHyphen/>
        <w:t>нической группы — Н.С. Дмитриев. Метеороло</w:t>
      </w:r>
      <w:r w:rsidRPr="0044524F">
        <w:rPr>
          <w:rFonts w:ascii="Times New Roman" w:hAnsi="Times New Roman"/>
          <w:color w:val="000000" w:themeColor="text1"/>
          <w:sz w:val="16"/>
          <w:szCs w:val="16"/>
        </w:rPr>
        <w:softHyphen/>
        <w:t>гическое обеспечение возлагалось на профессора П.А. Молчанова. Руководство научной програм</w:t>
      </w:r>
      <w:r w:rsidRPr="0044524F">
        <w:rPr>
          <w:rFonts w:ascii="Times New Roman" w:hAnsi="Times New Roman"/>
          <w:color w:val="000000" w:themeColor="text1"/>
          <w:sz w:val="16"/>
          <w:szCs w:val="16"/>
        </w:rPr>
        <w:softHyphen/>
        <w:t>мой полёта осуществлял академик А.Ф. Иоффе.</w:t>
      </w:r>
    </w:p>
    <w:p w14:paraId="0C6499DB"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Тренировка экипажа и медицинская под</w:t>
      </w:r>
      <w:r w:rsidRPr="0044524F">
        <w:rPr>
          <w:rFonts w:ascii="Times New Roman" w:hAnsi="Times New Roman"/>
          <w:color w:val="000000" w:themeColor="text1"/>
          <w:sz w:val="16"/>
          <w:szCs w:val="16"/>
        </w:rPr>
        <w:softHyphen/>
        <w:t>готовка к полёту велась группой врачей Воен</w:t>
      </w:r>
      <w:r w:rsidRPr="0044524F">
        <w:rPr>
          <w:rFonts w:ascii="Times New Roman" w:hAnsi="Times New Roman"/>
          <w:color w:val="000000" w:themeColor="text1"/>
          <w:sz w:val="16"/>
          <w:szCs w:val="16"/>
        </w:rPr>
        <w:softHyphen/>
        <w:t>но-медицинской академии под руководством начальника кафедры физиологии академика Л.А. Орбели. Основные вопросы, связанные со строительством и подготовкой к полёту, реша</w:t>
      </w:r>
      <w:r w:rsidRPr="0044524F">
        <w:rPr>
          <w:rFonts w:ascii="Times New Roman" w:hAnsi="Times New Roman"/>
          <w:color w:val="000000" w:themeColor="text1"/>
          <w:sz w:val="16"/>
          <w:szCs w:val="16"/>
        </w:rPr>
        <w:softHyphen/>
        <w:t>лись Консультационным советом, составленным из представителей научных и инженерно-техни</w:t>
      </w:r>
      <w:r w:rsidRPr="0044524F">
        <w:rPr>
          <w:rFonts w:ascii="Times New Roman" w:hAnsi="Times New Roman"/>
          <w:color w:val="000000" w:themeColor="text1"/>
          <w:sz w:val="16"/>
          <w:szCs w:val="16"/>
        </w:rPr>
        <w:softHyphen/>
        <w:t>ческих сил Ленинграда.</w:t>
      </w:r>
    </w:p>
    <w:p w14:paraId="0A6F2008"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Главными задачами первого полёта были из</w:t>
      </w:r>
      <w:r w:rsidRPr="0044524F">
        <w:rPr>
          <w:rFonts w:ascii="Times New Roman" w:hAnsi="Times New Roman"/>
          <w:color w:val="000000" w:themeColor="text1"/>
          <w:sz w:val="16"/>
          <w:szCs w:val="16"/>
        </w:rPr>
        <w:softHyphen/>
        <w:t>учение космических лучей и фотосъёмка с боль</w:t>
      </w:r>
      <w:r w:rsidRPr="0044524F">
        <w:rPr>
          <w:rFonts w:ascii="Times New Roman" w:hAnsi="Times New Roman"/>
          <w:color w:val="000000" w:themeColor="text1"/>
          <w:sz w:val="16"/>
          <w:szCs w:val="16"/>
        </w:rPr>
        <w:softHyphen/>
        <w:t>ших высот. Планировалось также провести ис</w:t>
      </w:r>
      <w:r w:rsidRPr="0044524F">
        <w:rPr>
          <w:rFonts w:ascii="Times New Roman" w:hAnsi="Times New Roman"/>
          <w:color w:val="000000" w:themeColor="text1"/>
          <w:sz w:val="16"/>
          <w:szCs w:val="16"/>
        </w:rPr>
        <w:softHyphen/>
        <w:t>следование напряжённости магнитного поля и отбор проб воздуха на разных высотах.</w:t>
      </w:r>
    </w:p>
    <w:p w14:paraId="642C9298"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Оболочка стратостата объёмом 24 920 м3 и ди</w:t>
      </w:r>
      <w:r w:rsidRPr="0044524F">
        <w:rPr>
          <w:rFonts w:ascii="Times New Roman" w:hAnsi="Times New Roman"/>
          <w:color w:val="000000" w:themeColor="text1"/>
          <w:sz w:val="16"/>
          <w:szCs w:val="16"/>
        </w:rPr>
        <w:softHyphen/>
        <w:t>аметром 36,24 м состояла из 25 сегментов трапе</w:t>
      </w:r>
      <w:r w:rsidRPr="0044524F">
        <w:rPr>
          <w:rFonts w:ascii="Times New Roman" w:hAnsi="Times New Roman"/>
          <w:color w:val="000000" w:themeColor="text1"/>
          <w:sz w:val="16"/>
          <w:szCs w:val="16"/>
        </w:rPr>
        <w:softHyphen/>
        <w:t>цеидального раскроя, причём трапеции соседних сегментов располагались в шахматном порядке. Верхнюю часть оболочки, включая места крепле</w:t>
      </w:r>
      <w:r w:rsidRPr="0044524F">
        <w:rPr>
          <w:rFonts w:ascii="Times New Roman" w:hAnsi="Times New Roman"/>
          <w:color w:val="000000" w:themeColor="text1"/>
          <w:sz w:val="16"/>
          <w:szCs w:val="16"/>
        </w:rPr>
        <w:softHyphen/>
        <w:t>ния поясных лап, изготовили из двухслойного прорезиненного перкаля. Из него же выполнили пояс. Нижнюю часть оболочки сшили из одно</w:t>
      </w:r>
      <w:r w:rsidRPr="0044524F">
        <w:rPr>
          <w:rFonts w:ascii="Times New Roman" w:hAnsi="Times New Roman"/>
          <w:color w:val="000000" w:themeColor="text1"/>
          <w:sz w:val="16"/>
          <w:szCs w:val="16"/>
        </w:rPr>
        <w:softHyphen/>
        <w:t>слойного прорезиненного перкаля. Полный вес оболочки с аппендиксом, клапаном и разрывны</w:t>
      </w:r>
      <w:r w:rsidRPr="0044524F">
        <w:rPr>
          <w:rFonts w:ascii="Times New Roman" w:hAnsi="Times New Roman"/>
          <w:color w:val="000000" w:themeColor="text1"/>
          <w:sz w:val="16"/>
          <w:szCs w:val="16"/>
        </w:rPr>
        <w:softHyphen/>
        <w:t>ми лентами составлял 950 кг.</w:t>
      </w:r>
    </w:p>
    <w:p w14:paraId="1D00BA32"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Оболочка имела пять аппендиксов: большой в нижнем полюсе — для выхода газа при расши</w:t>
      </w:r>
      <w:r w:rsidRPr="0044524F">
        <w:rPr>
          <w:rFonts w:ascii="Times New Roman" w:hAnsi="Times New Roman"/>
          <w:color w:val="000000" w:themeColor="text1"/>
          <w:sz w:val="16"/>
          <w:szCs w:val="16"/>
        </w:rPr>
        <w:softHyphen/>
        <w:t>рении, два малых боковых — для пропуска кла</w:t>
      </w:r>
      <w:r w:rsidRPr="0044524F">
        <w:rPr>
          <w:rFonts w:ascii="Times New Roman" w:hAnsi="Times New Roman"/>
          <w:color w:val="000000" w:themeColor="text1"/>
          <w:sz w:val="16"/>
          <w:szCs w:val="16"/>
        </w:rPr>
        <w:softHyphen/>
        <w:t>панной верёвки и разрывной вожжи, два малых (между экватором и поясными лапами) — для наполнения оболочки водородом.</w:t>
      </w:r>
    </w:p>
    <w:p w14:paraId="3FF3D5FF"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верхней части оболочки, в области двух</w:t>
      </w:r>
      <w:r w:rsidRPr="0044524F">
        <w:rPr>
          <w:rFonts w:ascii="Times New Roman" w:hAnsi="Times New Roman"/>
          <w:color w:val="000000" w:themeColor="text1"/>
          <w:sz w:val="16"/>
          <w:szCs w:val="16"/>
        </w:rPr>
        <w:softHyphen/>
        <w:t>слойного прорезиненного перкаля были вклеены два разрывных полотнища в виде треугольника, направленного вершиной вверх, позволявшие в течение пяти минут выпустить газ из оболочки.</w:t>
      </w:r>
    </w:p>
    <w:p w14:paraId="08657C92"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Гондола, оплетённая сеткой, подвешивалась на 8 стропах. Хотя каждая стропа одна выдержи</w:t>
      </w:r>
      <w:r w:rsidRPr="0044524F">
        <w:rPr>
          <w:rFonts w:ascii="Times New Roman" w:hAnsi="Times New Roman"/>
          <w:color w:val="000000" w:themeColor="text1"/>
          <w:sz w:val="16"/>
          <w:szCs w:val="16"/>
        </w:rPr>
        <w:softHyphen/>
        <w:t>вала вес гондолы, крепление не гарантировало гондолу от произвольного поворота в сетке под действием местных нагрузок.</w:t>
      </w:r>
    </w:p>
    <w:p w14:paraId="386893DA"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Гондола имела форму шара диаметром 2,4 м и весом около 160 кг и состояла из труб</w:t>
      </w:r>
      <w:r w:rsidRPr="0044524F">
        <w:rPr>
          <w:rFonts w:ascii="Times New Roman" w:hAnsi="Times New Roman"/>
          <w:color w:val="000000" w:themeColor="text1"/>
          <w:sz w:val="16"/>
          <w:szCs w:val="16"/>
        </w:rPr>
        <w:softHyphen/>
        <w:t>чатого каркаса и оболочки. Каркас из стальных трубок включал 10 стрингеров и 6 горизонталь</w:t>
      </w:r>
      <w:r w:rsidRPr="0044524F">
        <w:rPr>
          <w:rFonts w:ascii="Times New Roman" w:hAnsi="Times New Roman"/>
          <w:color w:val="000000" w:themeColor="text1"/>
          <w:sz w:val="16"/>
          <w:szCs w:val="16"/>
        </w:rPr>
        <w:softHyphen/>
        <w:t>ных шпангоутов. К каркасу сваркой крепилась оболочка из листовой стали толщиной 0,8 мм. Обшивка гондолы, помимо избыточного давле</w:t>
      </w:r>
      <w:r w:rsidRPr="0044524F">
        <w:rPr>
          <w:rFonts w:ascii="Times New Roman" w:hAnsi="Times New Roman"/>
          <w:color w:val="000000" w:themeColor="text1"/>
          <w:sz w:val="16"/>
          <w:szCs w:val="16"/>
        </w:rPr>
        <w:softHyphen/>
        <w:t>ния изнутри, воспринимала также все местные нагрузки от массы балласта, оборудования и эки</w:t>
      </w:r>
      <w:r w:rsidRPr="0044524F">
        <w:rPr>
          <w:rFonts w:ascii="Times New Roman" w:hAnsi="Times New Roman"/>
          <w:color w:val="000000" w:themeColor="text1"/>
          <w:sz w:val="16"/>
          <w:szCs w:val="16"/>
        </w:rPr>
        <w:softHyphen/>
        <w:t>пажа, что вызвало местные деформации.</w:t>
      </w:r>
    </w:p>
    <w:p w14:paraId="1EFCEF7C"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верхнем полюсе гондолы имелся лаз диаме</w:t>
      </w:r>
      <w:r w:rsidRPr="0044524F">
        <w:rPr>
          <w:rFonts w:ascii="Times New Roman" w:hAnsi="Times New Roman"/>
          <w:color w:val="000000" w:themeColor="text1"/>
          <w:sz w:val="16"/>
          <w:szCs w:val="16"/>
        </w:rPr>
        <w:softHyphen/>
        <w:t>тром 800 мм, закрывавшийся изнутри люком. Вы</w:t>
      </w:r>
      <w:r w:rsidRPr="0044524F">
        <w:rPr>
          <w:rFonts w:ascii="Times New Roman" w:hAnsi="Times New Roman"/>
          <w:color w:val="000000" w:themeColor="text1"/>
          <w:sz w:val="16"/>
          <w:szCs w:val="16"/>
        </w:rPr>
        <w:softHyphen/>
        <w:t>ход в него осуществлялся по верёвочной лестни</w:t>
      </w:r>
      <w:r w:rsidRPr="0044524F">
        <w:rPr>
          <w:rFonts w:ascii="Times New Roman" w:hAnsi="Times New Roman"/>
          <w:color w:val="000000" w:themeColor="text1"/>
          <w:sz w:val="16"/>
          <w:szCs w:val="16"/>
        </w:rPr>
        <w:softHyphen/>
        <w:t>це. В целях экономии веса крышка люка не имела специального затворного механизма, а затягива</w:t>
      </w:r>
      <w:r w:rsidRPr="0044524F">
        <w:rPr>
          <w:rFonts w:ascii="Times New Roman" w:hAnsi="Times New Roman"/>
          <w:color w:val="000000" w:themeColor="text1"/>
          <w:sz w:val="16"/>
          <w:szCs w:val="16"/>
        </w:rPr>
        <w:softHyphen/>
        <w:t>лась на винтах, укреплённых в ободе люка гондо</w:t>
      </w:r>
      <w:r w:rsidRPr="0044524F">
        <w:rPr>
          <w:rFonts w:ascii="Times New Roman" w:hAnsi="Times New Roman"/>
          <w:color w:val="000000" w:themeColor="text1"/>
          <w:sz w:val="16"/>
          <w:szCs w:val="16"/>
        </w:rPr>
        <w:softHyphen/>
        <w:t>лы, 12 барашками. Уплотнителем для герметич</w:t>
      </w:r>
      <w:r w:rsidRPr="0044524F">
        <w:rPr>
          <w:rFonts w:ascii="Times New Roman" w:hAnsi="Times New Roman"/>
          <w:color w:val="000000" w:themeColor="text1"/>
          <w:sz w:val="16"/>
          <w:szCs w:val="16"/>
        </w:rPr>
        <w:softHyphen/>
        <w:t>ности служила резиновая прокладка в пазу обода люка. Для открытия люка требовалось отвернуть все барашки и затем снять крышку, на что даже в наземных условиях уходило несколько минут.</w:t>
      </w:r>
    </w:p>
    <w:p w14:paraId="687C20FE"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Имелось шесть иллюминаторов диаметром 150 мм: четыре — в верхней полусфере гондолы, один — в нижней полусфере и один в нижнем полюсе (для наблюдений и фотосъёмки). В ил</w:t>
      </w:r>
      <w:r w:rsidRPr="0044524F">
        <w:rPr>
          <w:rFonts w:ascii="Times New Roman" w:hAnsi="Times New Roman"/>
          <w:color w:val="000000" w:themeColor="text1"/>
          <w:sz w:val="16"/>
          <w:szCs w:val="16"/>
        </w:rPr>
        <w:softHyphen/>
        <w:t>люминаторах использовались зеркальные стёкла толщиной 14 мм.</w:t>
      </w:r>
    </w:p>
    <w:p w14:paraId="7D0A8BE8"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Балласт (0,4 т свинцовой дроби) помещался внутри гондолы. Для сбрасывания его в гондоле имелись воронка и карман с трубой, выходившей через обшивку наружу. Дробь зачерпывали сов</w:t>
      </w:r>
      <w:r w:rsidRPr="0044524F">
        <w:rPr>
          <w:rFonts w:ascii="Times New Roman" w:hAnsi="Times New Roman"/>
          <w:color w:val="000000" w:themeColor="text1"/>
          <w:sz w:val="16"/>
          <w:szCs w:val="16"/>
        </w:rPr>
        <w:softHyphen/>
        <w:t>ком и засыпали в воронку, из которой она пере</w:t>
      </w:r>
      <w:r w:rsidRPr="0044524F">
        <w:rPr>
          <w:rFonts w:ascii="Times New Roman" w:hAnsi="Times New Roman"/>
          <w:color w:val="000000" w:themeColor="text1"/>
          <w:sz w:val="16"/>
          <w:szCs w:val="16"/>
        </w:rPr>
        <w:softHyphen/>
        <w:t>сыпалась в расположенный ниже карман. Затем кран между воронкой и карманом закрывался, и открывался кран между карманом и трубкой, так что дробь через трубку высыпалась наружу, не нарушая герметичность гондолы. Скорость сбро</w:t>
      </w:r>
      <w:r w:rsidRPr="0044524F">
        <w:rPr>
          <w:rFonts w:ascii="Times New Roman" w:hAnsi="Times New Roman"/>
          <w:color w:val="000000" w:themeColor="text1"/>
          <w:sz w:val="16"/>
          <w:szCs w:val="16"/>
        </w:rPr>
        <w:softHyphen/>
        <w:t>са балласта при наземных испытаниях составля</w:t>
      </w:r>
      <w:r w:rsidRPr="0044524F">
        <w:rPr>
          <w:rFonts w:ascii="Times New Roman" w:hAnsi="Times New Roman"/>
          <w:color w:val="000000" w:themeColor="text1"/>
          <w:sz w:val="16"/>
          <w:szCs w:val="16"/>
        </w:rPr>
        <w:softHyphen/>
        <w:t>ла 1 кг/с, что при опасном возрастании скорости спуска не позволяло быстро (менее чем за 7 ми</w:t>
      </w:r>
      <w:r w:rsidRPr="0044524F">
        <w:rPr>
          <w:rFonts w:ascii="Times New Roman" w:hAnsi="Times New Roman"/>
          <w:color w:val="000000" w:themeColor="text1"/>
          <w:sz w:val="16"/>
          <w:szCs w:val="16"/>
        </w:rPr>
        <w:softHyphen/>
        <w:t>нут) освободиться от всего балласта. Амортизато</w:t>
      </w:r>
      <w:r w:rsidRPr="0044524F">
        <w:rPr>
          <w:rFonts w:ascii="Times New Roman" w:hAnsi="Times New Roman"/>
          <w:color w:val="000000" w:themeColor="text1"/>
          <w:sz w:val="16"/>
          <w:szCs w:val="16"/>
        </w:rPr>
        <w:softHyphen/>
        <w:t>ром при посадке служила резиновая камера, кре</w:t>
      </w:r>
      <w:r w:rsidRPr="0044524F">
        <w:rPr>
          <w:rFonts w:ascii="Times New Roman" w:hAnsi="Times New Roman"/>
          <w:color w:val="000000" w:themeColor="text1"/>
          <w:sz w:val="16"/>
          <w:szCs w:val="16"/>
        </w:rPr>
        <w:softHyphen/>
        <w:t>пившаяся снизу к сетке, охватывавшей гондолу.</w:t>
      </w:r>
    </w:p>
    <w:p w14:paraId="18A6491B"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работы экипажа в гондо</w:t>
      </w:r>
      <w:r w:rsidRPr="0044524F">
        <w:rPr>
          <w:rFonts w:ascii="Times New Roman" w:hAnsi="Times New Roman"/>
          <w:color w:val="000000" w:themeColor="text1"/>
          <w:sz w:val="16"/>
          <w:szCs w:val="16"/>
        </w:rPr>
        <w:softHyphen/>
        <w:t>ле предусматривался запас сжатого кислорода в 15-20 баллонах ёмкостью 0,8 л. В полу гондо</w:t>
      </w:r>
      <w:r w:rsidRPr="0044524F">
        <w:rPr>
          <w:rFonts w:ascii="Times New Roman" w:hAnsi="Times New Roman"/>
          <w:color w:val="000000" w:themeColor="text1"/>
          <w:sz w:val="16"/>
          <w:szCs w:val="16"/>
        </w:rPr>
        <w:softHyphen/>
        <w:t>лы размещалась система поглощения углекисло</w:t>
      </w:r>
      <w:r w:rsidRPr="0044524F">
        <w:rPr>
          <w:rFonts w:ascii="Times New Roman" w:hAnsi="Times New Roman"/>
          <w:color w:val="000000" w:themeColor="text1"/>
          <w:sz w:val="16"/>
          <w:szCs w:val="16"/>
        </w:rPr>
        <w:softHyphen/>
        <w:t>ты, через которую электрическим вентилятором прокачивался воздух.</w:t>
      </w:r>
    </w:p>
    <w:p w14:paraId="3E4F542B"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стратостате находилось разнообразное научное оборудование. Для исследования кос</w:t>
      </w:r>
      <w:r w:rsidRPr="0044524F">
        <w:rPr>
          <w:rFonts w:ascii="Times New Roman" w:hAnsi="Times New Roman"/>
          <w:color w:val="000000" w:themeColor="text1"/>
          <w:sz w:val="16"/>
          <w:szCs w:val="16"/>
        </w:rPr>
        <w:softHyphen/>
        <w:t>мических лучей предназначались камера Виль</w:t>
      </w:r>
      <w:r w:rsidRPr="0044524F">
        <w:rPr>
          <w:rFonts w:ascii="Times New Roman" w:hAnsi="Times New Roman"/>
          <w:color w:val="000000" w:themeColor="text1"/>
          <w:sz w:val="16"/>
          <w:szCs w:val="16"/>
        </w:rPr>
        <w:softHyphen/>
        <w:t>сона и два электрометра Гесса. Для исследования напряжённости магнитного поля Земли имел</w:t>
      </w:r>
      <w:r w:rsidRPr="0044524F">
        <w:rPr>
          <w:rFonts w:ascii="Times New Roman" w:hAnsi="Times New Roman"/>
          <w:color w:val="000000" w:themeColor="text1"/>
          <w:sz w:val="16"/>
          <w:szCs w:val="16"/>
        </w:rPr>
        <w:softHyphen/>
        <w:t>ся магнетрон профессора Яновского. Оборудо</w:t>
      </w:r>
      <w:r w:rsidRPr="0044524F">
        <w:rPr>
          <w:rFonts w:ascii="Times New Roman" w:hAnsi="Times New Roman"/>
          <w:color w:val="000000" w:themeColor="text1"/>
          <w:sz w:val="16"/>
          <w:szCs w:val="16"/>
        </w:rPr>
        <w:softHyphen/>
        <w:t>вание для фотосъёмки включало обычный и ши</w:t>
      </w:r>
      <w:r w:rsidRPr="0044524F">
        <w:rPr>
          <w:rFonts w:ascii="Times New Roman" w:hAnsi="Times New Roman"/>
          <w:color w:val="000000" w:themeColor="text1"/>
          <w:sz w:val="16"/>
          <w:szCs w:val="16"/>
        </w:rPr>
        <w:softHyphen/>
        <w:t>рокоформатный фотоаппараты. Имелся также фотометр для измерения прозрачности атмосфе</w:t>
      </w:r>
      <w:r w:rsidRPr="0044524F">
        <w:rPr>
          <w:rFonts w:ascii="Times New Roman" w:hAnsi="Times New Roman"/>
          <w:color w:val="000000" w:themeColor="text1"/>
          <w:sz w:val="16"/>
          <w:szCs w:val="16"/>
        </w:rPr>
        <w:softHyphen/>
        <w:t>ры и для оптических наблюдений. Для исследо</w:t>
      </w:r>
      <w:r w:rsidRPr="0044524F">
        <w:rPr>
          <w:rFonts w:ascii="Times New Roman" w:hAnsi="Times New Roman"/>
          <w:color w:val="000000" w:themeColor="text1"/>
          <w:sz w:val="16"/>
          <w:szCs w:val="16"/>
        </w:rPr>
        <w:softHyphen/>
        <w:t>вания химического состава атмосферы инженер М.В. Беженцев (ЛХТИ) разработал прибор для отбора проб воздуха, аналогичный установлен</w:t>
      </w:r>
      <w:r w:rsidRPr="0044524F">
        <w:rPr>
          <w:rFonts w:ascii="Times New Roman" w:hAnsi="Times New Roman"/>
          <w:color w:val="000000" w:themeColor="text1"/>
          <w:sz w:val="16"/>
          <w:szCs w:val="16"/>
        </w:rPr>
        <w:softHyphen/>
        <w:t>ному на «СССР-1». Гондолу оборудовали ртут</w:t>
      </w:r>
      <w:r w:rsidRPr="0044524F">
        <w:rPr>
          <w:rFonts w:ascii="Times New Roman" w:hAnsi="Times New Roman"/>
          <w:color w:val="000000" w:themeColor="text1"/>
          <w:sz w:val="16"/>
          <w:szCs w:val="16"/>
        </w:rPr>
        <w:softHyphen/>
        <w:t>ным чашечным барометром и микробарометра</w:t>
      </w:r>
      <w:r w:rsidRPr="0044524F">
        <w:rPr>
          <w:rFonts w:ascii="Times New Roman" w:hAnsi="Times New Roman"/>
          <w:color w:val="000000" w:themeColor="text1"/>
          <w:sz w:val="16"/>
          <w:szCs w:val="16"/>
        </w:rPr>
        <w:softHyphen/>
        <w:t>ми для измерения малых давлений на высоте. Два метеорографа для записи давления, темпера</w:t>
      </w:r>
      <w:r w:rsidRPr="0044524F">
        <w:rPr>
          <w:rFonts w:ascii="Times New Roman" w:hAnsi="Times New Roman"/>
          <w:color w:val="000000" w:themeColor="text1"/>
          <w:sz w:val="16"/>
          <w:szCs w:val="16"/>
        </w:rPr>
        <w:softHyphen/>
        <w:t>туры и влажности наружного воздуха поместили вне гондолы — на стропах между ней и оболоч</w:t>
      </w:r>
      <w:r w:rsidRPr="0044524F">
        <w:rPr>
          <w:rFonts w:ascii="Times New Roman" w:hAnsi="Times New Roman"/>
          <w:color w:val="000000" w:themeColor="text1"/>
          <w:sz w:val="16"/>
          <w:szCs w:val="16"/>
        </w:rPr>
        <w:softHyphen/>
        <w:t>кой. Вне гондолы были и два термографа: один — вблизи клапана, другой — вблизи аппендикса.</w:t>
      </w:r>
    </w:p>
    <w:p w14:paraId="045CDAC7"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Параллельно со строительством стратоста</w:t>
      </w:r>
      <w:r w:rsidRPr="0044524F">
        <w:rPr>
          <w:rFonts w:ascii="Times New Roman" w:hAnsi="Times New Roman"/>
          <w:color w:val="000000" w:themeColor="text1"/>
          <w:sz w:val="16"/>
          <w:szCs w:val="16"/>
        </w:rPr>
        <w:softHyphen/>
        <w:t>та шла подготовка и самих пилотов. 28 июля 1933 г. аэронавты поднялись с Волкова поля на сферическом аэростате, пилотируемом П.Ф. Федосеенко, с целью испытания приборов. Для А.Б. Васенко и И.Д. Усыскина это был пер</w:t>
      </w:r>
      <w:r w:rsidRPr="0044524F">
        <w:rPr>
          <w:rFonts w:ascii="Times New Roman" w:hAnsi="Times New Roman"/>
          <w:color w:val="000000" w:themeColor="text1"/>
          <w:sz w:val="16"/>
          <w:szCs w:val="16"/>
        </w:rPr>
        <w:softHyphen/>
        <w:t>вый свободный полёт.</w:t>
      </w:r>
    </w:p>
    <w:p w14:paraId="7941C002"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на заседании научно-экспертного консультационного совета обсуждался вопрос о замене люка с отдельными болтами на крепле</w:t>
      </w:r>
      <w:r w:rsidRPr="0044524F">
        <w:rPr>
          <w:rFonts w:ascii="Times New Roman" w:hAnsi="Times New Roman"/>
          <w:color w:val="000000" w:themeColor="text1"/>
          <w:sz w:val="16"/>
          <w:szCs w:val="16"/>
        </w:rPr>
        <w:softHyphen/>
        <w:t>ние с заклинением. П.Ф. Федосеенко возражал против новой конструкции, так как это означало бы постройку новой гондолы. Он рассчитывал на то, что при аварийном спуске оболочка страто</w:t>
      </w:r>
      <w:r w:rsidRPr="0044524F">
        <w:rPr>
          <w:rFonts w:ascii="Times New Roman" w:hAnsi="Times New Roman"/>
          <w:color w:val="000000" w:themeColor="text1"/>
          <w:sz w:val="16"/>
          <w:szCs w:val="16"/>
        </w:rPr>
        <w:softHyphen/>
        <w:t>стата превратится в парашют.</w:t>
      </w:r>
    </w:p>
    <w:p w14:paraId="6A700403"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следующий день комиссия в составе П.Ф. Федосеенко, Е.Е. Чертовского и К.С. Кир- пичникова провела успешные испытания гондо</w:t>
      </w:r>
      <w:r w:rsidRPr="0044524F">
        <w:rPr>
          <w:rFonts w:ascii="Times New Roman" w:hAnsi="Times New Roman"/>
          <w:color w:val="000000" w:themeColor="text1"/>
          <w:sz w:val="16"/>
          <w:szCs w:val="16"/>
        </w:rPr>
        <w:softHyphen/>
        <w:t>лы на прочность и воздухонепроницаемость на заводе им. Сталина. Разрушение стёкол произо</w:t>
      </w:r>
      <w:r w:rsidRPr="0044524F">
        <w:rPr>
          <w:rFonts w:ascii="Times New Roman" w:hAnsi="Times New Roman"/>
          <w:color w:val="000000" w:themeColor="text1"/>
          <w:sz w:val="16"/>
          <w:szCs w:val="16"/>
        </w:rPr>
        <w:softHyphen/>
        <w:t>шло при давлении 0,46 МПа (при нормальном сверхдавлении 0,07 МПа). Одновременно прове</w:t>
      </w:r>
      <w:r w:rsidRPr="0044524F">
        <w:rPr>
          <w:rFonts w:ascii="Times New Roman" w:hAnsi="Times New Roman"/>
          <w:color w:val="000000" w:themeColor="text1"/>
          <w:sz w:val="16"/>
          <w:szCs w:val="16"/>
        </w:rPr>
        <w:softHyphen/>
        <w:t>ли продувку оболочки вентилятором (20120).</w:t>
      </w:r>
    </w:p>
    <w:p w14:paraId="6656C785" w14:textId="77777777" w:rsidR="00224D80" w:rsidRPr="0044524F" w:rsidRDefault="00224D80" w:rsidP="009654CF">
      <w:pPr>
        <w:spacing w:after="0" w:line="240" w:lineRule="auto"/>
        <w:jc w:val="both"/>
        <w:rPr>
          <w:rFonts w:ascii="Times New Roman" w:hAnsi="Times New Roman"/>
          <w:color w:val="000000" w:themeColor="text1"/>
          <w:sz w:val="16"/>
          <w:szCs w:val="16"/>
        </w:rPr>
      </w:pPr>
    </w:p>
    <w:p w14:paraId="6AD78CC5" w14:textId="77777777" w:rsidR="00A4146F"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A404B83" w14:textId="77777777" w:rsidR="00A4146F" w:rsidRPr="0044524F" w:rsidRDefault="00A4146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F9DDACC" w14:textId="77777777" w:rsidR="00A4146F" w:rsidRPr="0044524F" w:rsidRDefault="00A4146F" w:rsidP="009654CF">
      <w:pPr>
        <w:pStyle w:val="rtejustify"/>
        <w:spacing w:before="0" w:after="0"/>
        <w:rPr>
          <w:color w:val="000000" w:themeColor="text1"/>
          <w:sz w:val="16"/>
          <w:szCs w:val="16"/>
        </w:rPr>
      </w:pPr>
      <w:r w:rsidRPr="0044524F">
        <w:rPr>
          <w:rStyle w:val="af0"/>
          <w:bCs/>
          <w:i w:val="0"/>
          <w:color w:val="000000" w:themeColor="text1"/>
          <w:sz w:val="16"/>
          <w:szCs w:val="16"/>
        </w:rPr>
        <w:t>21 января</w:t>
      </w:r>
      <w:r w:rsidRPr="0044524F">
        <w:rPr>
          <w:color w:val="000000" w:themeColor="text1"/>
          <w:sz w:val="16"/>
          <w:szCs w:val="16"/>
        </w:rPr>
        <w:t xml:space="preserve"> 1933. Постановление СТО СССР № 61 «О порядке финансирования капитального строительства по республиканским и местным бюджетам». (</w:t>
      </w:r>
      <w:hyperlink r:id="rId26" w:history="1">
        <w:r w:rsidRPr="0044524F">
          <w:rPr>
            <w:rStyle w:val="a5"/>
            <w:color w:val="000000" w:themeColor="text1"/>
            <w:sz w:val="16"/>
            <w:szCs w:val="16"/>
          </w:rPr>
          <w:t>СЗ. 1933 № 5. Ст. 36</w:t>
        </w:r>
      </w:hyperlink>
      <w:r w:rsidRPr="0044524F">
        <w:rPr>
          <w:color w:val="000000" w:themeColor="text1"/>
          <w:sz w:val="16"/>
          <w:szCs w:val="16"/>
        </w:rPr>
        <w:t>) (15460).</w:t>
      </w:r>
    </w:p>
    <w:p w14:paraId="25DFA7C4" w14:textId="77777777" w:rsidR="00A4146F" w:rsidRPr="0044524F" w:rsidRDefault="00A4146F" w:rsidP="009654CF">
      <w:pPr>
        <w:pStyle w:val="rtejustify"/>
        <w:spacing w:before="0" w:after="0"/>
        <w:rPr>
          <w:color w:val="000000" w:themeColor="text1"/>
          <w:sz w:val="16"/>
          <w:szCs w:val="16"/>
        </w:rPr>
      </w:pPr>
    </w:p>
    <w:p w14:paraId="1033D403" w14:textId="77777777" w:rsidR="00E37239" w:rsidRPr="0044524F" w:rsidRDefault="00E37239"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Cs/>
          <w:color w:val="000000" w:themeColor="text1"/>
          <w:sz w:val="16"/>
          <w:szCs w:val="16"/>
        </w:rPr>
        <w:t>Жизнь и внутреняя политика:</w:t>
      </w:r>
    </w:p>
    <w:p w14:paraId="2F592758"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0A4733E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21 и 27 января 1933. Из протокола заседания Политбюро N 128 1933 г.</w:t>
      </w:r>
    </w:p>
    <w:p w14:paraId="689F3C6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передаче радиовещания из ведения НКСвязи в ведение специального комитета по радиовещанию при ЦИК СССР </w:t>
      </w:r>
    </w:p>
    <w:p w14:paraId="3FDDDFB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радио приобретает исключительно важное значение для всей хозяйственной и политической жизни, признать необходимым создание при СНК СССР Всесоюзного комитета по радиофикации и радиовещанию... (11652).</w:t>
      </w:r>
    </w:p>
    <w:p w14:paraId="3DDC3936"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448B9C44"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AF6B9C4"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26415E9C" w14:textId="77777777" w:rsidR="00A4146F" w:rsidRPr="0044524F" w:rsidRDefault="00A4146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21 января</w:t>
      </w:r>
      <w:r w:rsidRPr="0044524F">
        <w:rPr>
          <w:rFonts w:ascii="Times New Roman" w:hAnsi="Times New Roman"/>
          <w:color w:val="000000" w:themeColor="text1"/>
          <w:sz w:val="16"/>
          <w:szCs w:val="16"/>
        </w:rPr>
        <w:t xml:space="preserve"> в 1933 году первый полёт многоцелевого самолета </w:t>
      </w:r>
      <w:hyperlink r:id="rId27" w:tgtFrame="_blank" w:history="1">
        <w:r w:rsidRPr="0044524F">
          <w:rPr>
            <w:rFonts w:ascii="Times New Roman" w:hAnsi="Times New Roman"/>
            <w:color w:val="000000" w:themeColor="text1"/>
            <w:sz w:val="16"/>
            <w:szCs w:val="16"/>
          </w:rPr>
          <w:t xml:space="preserve">«Westland PV-3». </w:t>
        </w:r>
      </w:hyperlink>
      <w:r w:rsidRPr="0044524F">
        <w:rPr>
          <w:rFonts w:ascii="Times New Roman" w:hAnsi="Times New Roman"/>
          <w:color w:val="000000" w:themeColor="text1"/>
          <w:sz w:val="16"/>
          <w:szCs w:val="16"/>
        </w:rPr>
        <w:t xml:space="preserve">Самолет представлял собой двухместный двухстоечный биплан цельнометаллической конструкции, оснащенный девятицилиндровым двигателем воздушного охлаждения «Bristol Jupiter XFA» мощностью 575 л.с. Вооружение самолета состояло из одного переднего синхронизированного пулемета «Vickers» и одного 7.7-мм пулемета «Lewis», установленного в задней кабине на турели No.7 Scarff. Первый полет прототипа самолета («P3»), пилотируемого Луи Падже (Louis Paget), состоялся в феврале 1931 года. В течение нескольких месяцев «Р3» просто стоял в ангаре завода, пока в ноябре 1932 года поступило необычное предложение от Географического общества Великобритании, предложившего фирме «Westland» использовать самолет </w:t>
      </w:r>
      <w:r w:rsidRPr="0044524F">
        <w:rPr>
          <w:rFonts w:ascii="Times New Roman" w:hAnsi="Times New Roman"/>
          <w:color w:val="000000" w:themeColor="text1"/>
          <w:sz w:val="16"/>
          <w:szCs w:val="16"/>
        </w:rPr>
        <w:lastRenderedPageBreak/>
        <w:t>«PV.3» (совестно с еще одним опытным – «PV.6») для экспедиции на Эверест. Для этой цели самолет модернизировали - установив двигатель «Pegasus» «IS3» мощностью 630 л.с. и сделав заднюю кабину закрытой. Проведенные 21 января 1933 года испытания показали, что «PV-3» обладает неплохими летными характеристиками, однако заказов от Авиационного Министерства Великобритании по-прежнему не последовало. При этом «PV.3» был выдан гражданский регистрационный номер G-ACAZ. Эта экспедиция, финансированная леди Хьюстон, была успешно завершена 3 апреля 1933 года (15016).</w:t>
      </w:r>
    </w:p>
    <w:p w14:paraId="34D7484F" w14:textId="77777777" w:rsidR="00A4146F" w:rsidRPr="0044524F" w:rsidRDefault="00A4146F" w:rsidP="009654CF">
      <w:pPr>
        <w:spacing w:after="0" w:line="240" w:lineRule="auto"/>
        <w:jc w:val="both"/>
        <w:rPr>
          <w:rFonts w:ascii="Times New Roman" w:hAnsi="Times New Roman"/>
          <w:color w:val="000000" w:themeColor="text1"/>
          <w:sz w:val="16"/>
          <w:szCs w:val="16"/>
        </w:rPr>
      </w:pPr>
    </w:p>
    <w:p w14:paraId="41FDDD0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января 1933 Лига наций отклонила японские предложения об урегулировании в Китае (2100).</w:t>
      </w:r>
    </w:p>
    <w:p w14:paraId="4315700C"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287844AB"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8EF1277"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76A4178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января 1933 вышел Циркуляр Политбюро ЦК ВКП(б), подписанный И.Сталиным и В.Молотовым, предписывающий местным властям и, в частности, ОГПУ запретить "всеми возможными средствами массовое отправление крестьянства Украины и Северного Кавказа в города", так как "Центральный комитет и правительство имеют доказательства, что массовый исход крестьян организован врагами советской власти, контрреволюционерами и польскими агентами с целью антиколхозной пропаганды, в частности, и против советской власти вообще" (10687).</w:t>
      </w:r>
    </w:p>
    <w:p w14:paraId="10267327"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2E1C5724" w14:textId="77777777" w:rsidR="00150BD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047CDDB" w14:textId="77777777" w:rsidR="00150BD8" w:rsidRPr="0044524F" w:rsidRDefault="00150BD8" w:rsidP="009654CF">
      <w:pPr>
        <w:spacing w:after="0" w:line="240" w:lineRule="auto"/>
        <w:jc w:val="both"/>
        <w:rPr>
          <w:rFonts w:ascii="Times New Roman" w:hAnsi="Times New Roman"/>
          <w:iCs/>
          <w:color w:val="000000" w:themeColor="text1"/>
          <w:sz w:val="16"/>
          <w:szCs w:val="16"/>
        </w:rPr>
      </w:pPr>
    </w:p>
    <w:p w14:paraId="6AFE8217" w14:textId="77777777" w:rsidR="00224D80" w:rsidRPr="0044524F" w:rsidRDefault="00224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января 1933 - Первый полёт легкого спортивного самолета LKL-5 (компания LKL, Польша) (22650).</w:t>
      </w:r>
    </w:p>
    <w:p w14:paraId="40D19B79" w14:textId="77777777" w:rsidR="00224D80" w:rsidRPr="0044524F" w:rsidRDefault="00224D80" w:rsidP="009654CF">
      <w:pPr>
        <w:spacing w:after="0" w:line="240" w:lineRule="auto"/>
        <w:jc w:val="both"/>
        <w:rPr>
          <w:rFonts w:ascii="Times New Roman" w:hAnsi="Times New Roman"/>
          <w:color w:val="000000" w:themeColor="text1"/>
          <w:sz w:val="16"/>
          <w:szCs w:val="16"/>
        </w:rPr>
      </w:pPr>
    </w:p>
    <w:p w14:paraId="2DB112DE" w14:textId="2508A5BD" w:rsidR="00150BD8" w:rsidRPr="0044524F" w:rsidRDefault="00150BD8" w:rsidP="009654CF">
      <w:pPr>
        <w:pStyle w:val="ae"/>
        <w:spacing w:before="0" w:after="0"/>
        <w:jc w:val="both"/>
        <w:rPr>
          <w:color w:val="000000" w:themeColor="text1"/>
          <w:sz w:val="16"/>
          <w:szCs w:val="16"/>
        </w:rPr>
      </w:pPr>
      <w:r w:rsidRPr="0044524F">
        <w:rPr>
          <w:color w:val="000000" w:themeColor="text1"/>
          <w:sz w:val="16"/>
          <w:szCs w:val="16"/>
        </w:rPr>
        <w:t>22</w:t>
      </w:r>
      <w:r w:rsidR="0088747B">
        <w:rPr>
          <w:color w:val="000000" w:themeColor="text1"/>
          <w:sz w:val="16"/>
          <w:szCs w:val="16"/>
        </w:rPr>
        <w:t xml:space="preserve"> </w:t>
      </w:r>
      <w:r w:rsidRPr="0044524F">
        <w:rPr>
          <w:rStyle w:val="highlight1"/>
          <w:b w:val="0"/>
          <w:color w:val="000000" w:themeColor="text1"/>
          <w:sz w:val="16"/>
          <w:szCs w:val="16"/>
        </w:rPr>
        <w:t>января</w:t>
      </w:r>
      <w:r w:rsidR="0088747B">
        <w:rPr>
          <w:rStyle w:val="highlight1"/>
          <w:b w:val="0"/>
          <w:color w:val="000000" w:themeColor="text1"/>
          <w:sz w:val="16"/>
          <w:szCs w:val="16"/>
        </w:rPr>
        <w:t xml:space="preserve"> </w:t>
      </w:r>
      <w:r w:rsidRPr="0044524F">
        <w:rPr>
          <w:rStyle w:val="highlight1"/>
          <w:b w:val="0"/>
          <w:color w:val="000000" w:themeColor="text1"/>
          <w:sz w:val="16"/>
          <w:szCs w:val="16"/>
        </w:rPr>
        <w:t>1933</w:t>
      </w:r>
      <w:r w:rsidR="0088747B">
        <w:rPr>
          <w:rStyle w:val="highlight1"/>
          <w:b w:val="0"/>
          <w:color w:val="000000" w:themeColor="text1"/>
          <w:sz w:val="16"/>
          <w:szCs w:val="16"/>
        </w:rPr>
        <w:t xml:space="preserve"> </w:t>
      </w:r>
      <w:r w:rsidRPr="0044524F">
        <w:rPr>
          <w:color w:val="000000" w:themeColor="text1"/>
          <w:sz w:val="16"/>
          <w:szCs w:val="16"/>
        </w:rPr>
        <w:t xml:space="preserve">года состоялась двухчасовая встреча с глазу на глаз Оскара фон Гинденбурга с Гитлером. После этой встречи Оскар сказал сопровождавшему его чиновнику: «Теперь нет никакой возможности, кроме как Гитлера поставить канцлером». Предполагается, что Гитлер в ходе этой беседы угрожал Оскару дальнейшими разоблачениями, а в случае, если президент пойдёт ему навстречу, он, Гитлер, немедленно прекратит расследование по «делу Гинденбурга». Таким образом, </w:t>
      </w:r>
      <w:hyperlink r:id="rId28" w:tooltip="30 января" w:history="1">
        <w:r w:rsidRPr="0044524F">
          <w:rPr>
            <w:rStyle w:val="a5"/>
            <w:color w:val="000000" w:themeColor="text1"/>
            <w:sz w:val="16"/>
            <w:szCs w:val="16"/>
            <w:u w:val="none"/>
          </w:rPr>
          <w:t xml:space="preserve">30 </w:t>
        </w:r>
      </w:hyperlink>
      <w:hyperlink r:id="rId29" w:tooltip="30 января" w:history="1">
        <w:r w:rsidRPr="0044524F">
          <w:rPr>
            <w:rStyle w:val="highlight1"/>
            <w:b w:val="0"/>
            <w:color w:val="000000" w:themeColor="text1"/>
            <w:sz w:val="16"/>
            <w:szCs w:val="16"/>
          </w:rPr>
          <w:t> января </w:t>
        </w:r>
      </w:hyperlink>
      <w:hyperlink r:id="rId30" w:tooltip="1933" w:history="1">
        <w:r w:rsidRPr="0044524F">
          <w:rPr>
            <w:rStyle w:val="highlight1"/>
            <w:b w:val="0"/>
            <w:color w:val="000000" w:themeColor="text1"/>
            <w:sz w:val="16"/>
            <w:szCs w:val="16"/>
          </w:rPr>
          <w:t> 1933 </w:t>
        </w:r>
      </w:hyperlink>
      <w:r w:rsidRPr="0044524F">
        <w:rPr>
          <w:color w:val="000000" w:themeColor="text1"/>
          <w:sz w:val="16"/>
          <w:szCs w:val="16"/>
        </w:rPr>
        <w:t xml:space="preserve"> Пауль фон Гинденбург назначил </w:t>
      </w:r>
      <w:hyperlink r:id="rId31" w:tooltip="Гитлер, Адольф" w:history="1">
        <w:r w:rsidRPr="0044524F">
          <w:rPr>
            <w:rStyle w:val="a5"/>
            <w:color w:val="000000" w:themeColor="text1"/>
            <w:sz w:val="16"/>
            <w:szCs w:val="16"/>
            <w:u w:val="none"/>
          </w:rPr>
          <w:t>Адольфа Гитлера</w:t>
        </w:r>
      </w:hyperlink>
      <w:hyperlink r:id="rId32" w:tooltip="Рейхсканцлер" w:history="1">
        <w:r w:rsidRPr="0044524F">
          <w:rPr>
            <w:rStyle w:val="a5"/>
            <w:color w:val="000000" w:themeColor="text1"/>
            <w:sz w:val="16"/>
            <w:szCs w:val="16"/>
            <w:u w:val="none"/>
          </w:rPr>
          <w:t>рейхсканцлером</w:t>
        </w:r>
      </w:hyperlink>
      <w:r w:rsidRPr="0044524F">
        <w:rPr>
          <w:color w:val="000000" w:themeColor="text1"/>
          <w:sz w:val="16"/>
          <w:szCs w:val="16"/>
        </w:rPr>
        <w:t>.</w:t>
      </w:r>
    </w:p>
    <w:p w14:paraId="7D2D8CFC" w14:textId="77777777" w:rsidR="00150BD8" w:rsidRPr="0044524F" w:rsidRDefault="00150BD8" w:rsidP="009654CF">
      <w:pPr>
        <w:pStyle w:val="ae"/>
        <w:spacing w:before="0" w:after="0"/>
        <w:jc w:val="both"/>
        <w:rPr>
          <w:color w:val="000000" w:themeColor="text1"/>
          <w:sz w:val="16"/>
          <w:szCs w:val="16"/>
        </w:rPr>
      </w:pPr>
      <w:r w:rsidRPr="0044524F">
        <w:rPr>
          <w:color w:val="000000" w:themeColor="text1"/>
          <w:sz w:val="16"/>
          <w:szCs w:val="16"/>
        </w:rPr>
        <w:t xml:space="preserve">Для полной победы первым делом нужно было убрать главных врагов в парламенте — компартию. 27 февраля Геринг с подручными из СА и СС организовал </w:t>
      </w:r>
      <w:hyperlink r:id="rId33" w:tooltip="Поджог Рейхстага" w:history="1">
        <w:r w:rsidRPr="0044524F">
          <w:rPr>
            <w:rStyle w:val="a5"/>
            <w:color w:val="000000" w:themeColor="text1"/>
            <w:sz w:val="16"/>
            <w:szCs w:val="16"/>
            <w:u w:val="none"/>
          </w:rPr>
          <w:t>поджог здания рейхстага</w:t>
        </w:r>
      </w:hyperlink>
      <w:r w:rsidRPr="0044524F">
        <w:rPr>
          <w:color w:val="000000" w:themeColor="text1"/>
          <w:sz w:val="16"/>
          <w:szCs w:val="16"/>
        </w:rPr>
        <w:t>. Предполагаемые участники поджога: штурмовики Виллен, Эггерт, Ралль, Штейнле, эсэсовцы Гильдиш, Войте, Гепке, Зандер, Тойфль. С собой они взяли 60 кг фосфора и пропитанный им же шнур длиной 100 метров.</w:t>
      </w:r>
    </w:p>
    <w:p w14:paraId="5786A48B" w14:textId="77777777" w:rsidR="00150BD8" w:rsidRPr="0044524F" w:rsidRDefault="00150BD8" w:rsidP="009654CF">
      <w:pPr>
        <w:pStyle w:val="ae"/>
        <w:spacing w:before="0" w:after="0"/>
        <w:jc w:val="both"/>
        <w:rPr>
          <w:color w:val="000000" w:themeColor="text1"/>
          <w:sz w:val="16"/>
          <w:szCs w:val="16"/>
        </w:rPr>
      </w:pPr>
      <w:r w:rsidRPr="0044524F">
        <w:rPr>
          <w:color w:val="000000" w:themeColor="text1"/>
          <w:sz w:val="16"/>
          <w:szCs w:val="16"/>
        </w:rPr>
        <w:t xml:space="preserve">Вину за поджог попытались свалить на пятерых человек: </w:t>
      </w:r>
      <w:hyperlink r:id="rId34" w:tooltip="Ван дер Люббе, Маринус" w:history="1">
        <w:r w:rsidRPr="0044524F">
          <w:rPr>
            <w:rStyle w:val="a5"/>
            <w:color w:val="000000" w:themeColor="text1"/>
            <w:sz w:val="16"/>
            <w:szCs w:val="16"/>
            <w:u w:val="none"/>
          </w:rPr>
          <w:t>Ван дер Люббе</w:t>
        </w:r>
      </w:hyperlink>
      <w:r w:rsidRPr="0044524F">
        <w:rPr>
          <w:color w:val="000000" w:themeColor="text1"/>
          <w:sz w:val="16"/>
          <w:szCs w:val="16"/>
        </w:rPr>
        <w:t xml:space="preserve"> (имевшего 25 % зрения), лидера парламентской фракции компартии Германии </w:t>
      </w:r>
      <w:hyperlink r:id="rId35" w:tooltip="Торглер, Эрнст" w:history="1">
        <w:r w:rsidRPr="0044524F">
          <w:rPr>
            <w:rStyle w:val="a5"/>
            <w:color w:val="000000" w:themeColor="text1"/>
            <w:sz w:val="16"/>
            <w:szCs w:val="16"/>
            <w:u w:val="none"/>
          </w:rPr>
          <w:t>Эрнста Торглера</w:t>
        </w:r>
      </w:hyperlink>
      <w:r w:rsidRPr="0044524F">
        <w:rPr>
          <w:color w:val="000000" w:themeColor="text1"/>
          <w:sz w:val="16"/>
          <w:szCs w:val="16"/>
        </w:rPr>
        <w:t xml:space="preserve"> и троих болгарских коммунистов — </w:t>
      </w:r>
      <w:hyperlink r:id="rId36" w:tooltip="Димитров, Георгий Михайлович" w:history="1">
        <w:r w:rsidRPr="0044524F">
          <w:rPr>
            <w:rStyle w:val="a5"/>
            <w:color w:val="000000" w:themeColor="text1"/>
            <w:sz w:val="16"/>
            <w:szCs w:val="16"/>
            <w:u w:val="none"/>
          </w:rPr>
          <w:t>Георгия Димитрова</w:t>
        </w:r>
      </w:hyperlink>
      <w:r w:rsidRPr="0044524F">
        <w:rPr>
          <w:color w:val="000000" w:themeColor="text1"/>
          <w:sz w:val="16"/>
          <w:szCs w:val="16"/>
        </w:rPr>
        <w:t xml:space="preserve">, </w:t>
      </w:r>
      <w:hyperlink r:id="rId37" w:tooltip="Танев, Васил" w:history="1">
        <w:r w:rsidRPr="0044524F">
          <w:rPr>
            <w:rStyle w:val="a5"/>
            <w:color w:val="000000" w:themeColor="text1"/>
            <w:sz w:val="16"/>
            <w:szCs w:val="16"/>
            <w:u w:val="none"/>
          </w:rPr>
          <w:t>Васила Танева</w:t>
        </w:r>
      </w:hyperlink>
      <w:r w:rsidRPr="0044524F">
        <w:rPr>
          <w:color w:val="000000" w:themeColor="text1"/>
          <w:sz w:val="16"/>
          <w:szCs w:val="16"/>
        </w:rPr>
        <w:t xml:space="preserve"> и </w:t>
      </w:r>
      <w:hyperlink r:id="rId38" w:tooltip="Попов, Благой" w:history="1">
        <w:r w:rsidRPr="0044524F">
          <w:rPr>
            <w:rStyle w:val="a5"/>
            <w:color w:val="000000" w:themeColor="text1"/>
            <w:sz w:val="16"/>
            <w:szCs w:val="16"/>
            <w:u w:val="none"/>
          </w:rPr>
          <w:t>Благоя Попова</w:t>
        </w:r>
      </w:hyperlink>
      <w:r w:rsidRPr="0044524F">
        <w:rPr>
          <w:color w:val="000000" w:themeColor="text1"/>
          <w:sz w:val="16"/>
          <w:szCs w:val="16"/>
        </w:rPr>
        <w:t>. На нацистском Лейпцигском процессе четыре из пяти были оправданы. Был осужден к смертной казни Ван дер Люббе (в настоящее время реабилитирован). Поджог рейхстага наиболее выгоден был нацистам, они мгновенно объявили КПГ вне закона, 28 февраля было объявлено чрезвычайное положение, действовавшее до конца гитлеровского режима.</w:t>
      </w:r>
    </w:p>
    <w:p w14:paraId="63635238" w14:textId="77777777" w:rsidR="00150BD8" w:rsidRPr="0044524F" w:rsidRDefault="00150BD8" w:rsidP="009654CF">
      <w:pPr>
        <w:pStyle w:val="ae"/>
        <w:spacing w:before="0" w:after="0"/>
        <w:jc w:val="both"/>
        <w:rPr>
          <w:color w:val="000000" w:themeColor="text1"/>
          <w:sz w:val="16"/>
          <w:szCs w:val="16"/>
        </w:rPr>
      </w:pPr>
      <w:r w:rsidRPr="0044524F">
        <w:rPr>
          <w:color w:val="000000" w:themeColor="text1"/>
          <w:sz w:val="16"/>
          <w:szCs w:val="16"/>
        </w:rPr>
        <w:t xml:space="preserve">Но даже в таких «тепличных» условиях на </w:t>
      </w:r>
      <w:hyperlink r:id="rId39" w:tooltip="Парламентские выборы в Германии (1933, март)" w:history="1">
        <w:r w:rsidRPr="0044524F">
          <w:rPr>
            <w:rStyle w:val="a5"/>
            <w:color w:val="000000" w:themeColor="text1"/>
            <w:sz w:val="16"/>
            <w:szCs w:val="16"/>
            <w:u w:val="none"/>
          </w:rPr>
          <w:t>выборах в рейхстаг</w:t>
        </w:r>
      </w:hyperlink>
      <w:hyperlink r:id="rId40" w:tooltip="5 марта" w:history="1">
        <w:r w:rsidRPr="0044524F">
          <w:rPr>
            <w:rStyle w:val="a5"/>
            <w:color w:val="000000" w:themeColor="text1"/>
            <w:sz w:val="16"/>
            <w:szCs w:val="16"/>
            <w:u w:val="none"/>
          </w:rPr>
          <w:t>5 марта</w:t>
        </w:r>
      </w:hyperlink>
      <w:hyperlink r:id="rId41" w:tooltip="1933 год" w:history="1">
        <w:r w:rsidRPr="0044524F">
          <w:rPr>
            <w:rStyle w:val="highlight1"/>
            <w:b w:val="0"/>
            <w:color w:val="000000" w:themeColor="text1"/>
            <w:sz w:val="16"/>
            <w:szCs w:val="16"/>
          </w:rPr>
          <w:t> 1933 </w:t>
        </w:r>
      </w:hyperlink>
      <w:r w:rsidRPr="0044524F">
        <w:rPr>
          <w:color w:val="000000" w:themeColor="text1"/>
          <w:sz w:val="16"/>
          <w:szCs w:val="16"/>
        </w:rPr>
        <w:t xml:space="preserve"> года, НСДАП по официальным данным набрала 17,3 миллиона голосов — примерно на 3 миллиона меньше, чем требовалось, чтобы иметь в рейхстаге 50 % голосов (17274).</w:t>
      </w:r>
    </w:p>
    <w:p w14:paraId="7456137E" w14:textId="77777777" w:rsidR="00150BD8" w:rsidRPr="0044524F" w:rsidRDefault="00150BD8" w:rsidP="009654CF">
      <w:pPr>
        <w:spacing w:after="0" w:line="240" w:lineRule="auto"/>
        <w:jc w:val="both"/>
        <w:rPr>
          <w:rFonts w:ascii="Times New Roman" w:hAnsi="Times New Roman"/>
          <w:color w:val="000000" w:themeColor="text1"/>
          <w:sz w:val="16"/>
          <w:szCs w:val="16"/>
        </w:rPr>
      </w:pPr>
    </w:p>
    <w:p w14:paraId="2536D138"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3052257"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37034B0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января 1933 началось испытание передач двигателей для самолета Д1-10М34 (тяжелый десантный) на 2-х электромоторах постоянного тока. Испытание передач продолжалось с 16 марта на 2-х моторах М27, и к 1 апреля было наработано общей сложностью 2,5 часа (3516).</w:t>
      </w:r>
    </w:p>
    <w:p w14:paraId="146158AE"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7593D39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23 января 1933 г. начались испытания опытного образца мотоустановки для Д-1 или Г-1 - два спаренных М-27 (по фамилии конструктора основной редуктор в документах иногда именовали "агрегат т. Дзюбе"). После многократных поломок 9 апреля запуски прекратили. Вместо двух М-27 поставили пару М-17 меньшей мощности. С ними до 20 июня "агрегат" наработал 58 ч.</w:t>
      </w:r>
    </w:p>
    <w:p w14:paraId="4329338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1EAA9CA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1247BD7C"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00EC6C6B" w14:textId="77777777" w:rsidR="00CD7A42" w:rsidRPr="00142305" w:rsidRDefault="00CD7A42" w:rsidP="00CD7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23 января 1933 г. начались испытания модельной мотоустановки для Г-1 из двух двигателей М-27. Но после многократных поломок 9 апреля запуски пре</w:t>
      </w:r>
      <w:r w:rsidRPr="00142305">
        <w:rPr>
          <w:rFonts w:ascii="Times New Roman" w:hAnsi="Times New Roman"/>
          <w:color w:val="0070C0"/>
          <w:sz w:val="16"/>
          <w:szCs w:val="16"/>
        </w:rPr>
        <w:softHyphen/>
        <w:t>кратили. Вместо двух М-27 поставили пару М-17 меньшей мощности. С ними до 20 июня «агрегат» наработал 58 ч. (24977).</w:t>
      </w:r>
    </w:p>
    <w:p w14:paraId="0907E731" w14:textId="77777777" w:rsidR="00CD7A42" w:rsidRPr="00142305" w:rsidRDefault="00CD7A42" w:rsidP="00CD7A42">
      <w:pPr>
        <w:spacing w:after="0" w:line="240" w:lineRule="auto"/>
        <w:jc w:val="both"/>
        <w:rPr>
          <w:rFonts w:ascii="Times New Roman" w:hAnsi="Times New Roman"/>
          <w:color w:val="0070C0"/>
          <w:sz w:val="16"/>
          <w:szCs w:val="16"/>
        </w:rPr>
      </w:pPr>
    </w:p>
    <w:p w14:paraId="653CEE39" w14:textId="77777777" w:rsidR="00B06AD3" w:rsidRPr="0044524F" w:rsidRDefault="00B06A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января 1933 г. на пла</w:t>
      </w:r>
      <w:r w:rsidRPr="0044524F">
        <w:rPr>
          <w:rFonts w:ascii="Times New Roman" w:hAnsi="Times New Roman"/>
          <w:color w:val="000000" w:themeColor="text1"/>
          <w:sz w:val="16"/>
          <w:szCs w:val="16"/>
        </w:rPr>
        <w:softHyphen/>
        <w:t>нерной станции «Первомайская» вблизи одноименной железнодорожной стан</w:t>
      </w:r>
      <w:r w:rsidRPr="0044524F">
        <w:rPr>
          <w:rFonts w:ascii="Times New Roman" w:hAnsi="Times New Roman"/>
          <w:color w:val="000000" w:themeColor="text1"/>
          <w:sz w:val="16"/>
          <w:szCs w:val="16"/>
        </w:rPr>
        <w:softHyphen/>
        <w:t>ции под Москвой состоялись испытания БИЧ-12. По</w:t>
      </w:r>
      <w:r w:rsidRPr="0044524F">
        <w:rPr>
          <w:rFonts w:ascii="Times New Roman" w:hAnsi="Times New Roman"/>
          <w:color w:val="000000" w:themeColor="text1"/>
          <w:sz w:val="16"/>
          <w:szCs w:val="16"/>
        </w:rPr>
        <w:softHyphen/>
        <w:t>леты осуществлялись на пологом склоне при помощи резинового амортизатора. Пилоты Молчанов, Подрезков, Романов отмечали, что БИЧ-12 устойчив и прия</w:t>
      </w:r>
      <w:r w:rsidRPr="0044524F">
        <w:rPr>
          <w:rFonts w:ascii="Times New Roman" w:hAnsi="Times New Roman"/>
          <w:color w:val="000000" w:themeColor="text1"/>
          <w:sz w:val="16"/>
          <w:szCs w:val="16"/>
        </w:rPr>
        <w:softHyphen/>
        <w:t>тен в полете. Особенно важным счита лось, что предположения конструктора оправдались, планер отлично управлял</w:t>
      </w:r>
      <w:r w:rsidRPr="0044524F">
        <w:rPr>
          <w:rFonts w:ascii="Times New Roman" w:hAnsi="Times New Roman"/>
          <w:color w:val="000000" w:themeColor="text1"/>
          <w:sz w:val="16"/>
          <w:szCs w:val="16"/>
        </w:rPr>
        <w:softHyphen/>
        <w:t>ся по курсу без вертикального оперения при помощи элеронов (17473).</w:t>
      </w:r>
    </w:p>
    <w:p w14:paraId="6D8BF90A" w14:textId="77777777" w:rsidR="00B06AD3" w:rsidRPr="0044524F" w:rsidRDefault="00B06AD3" w:rsidP="009654CF">
      <w:pPr>
        <w:spacing w:after="0" w:line="240" w:lineRule="auto"/>
        <w:jc w:val="both"/>
        <w:rPr>
          <w:rFonts w:ascii="Times New Roman" w:hAnsi="Times New Roman"/>
          <w:color w:val="000000" w:themeColor="text1"/>
          <w:sz w:val="16"/>
          <w:szCs w:val="16"/>
        </w:rPr>
      </w:pPr>
    </w:p>
    <w:p w14:paraId="2DDDE9E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января 1933 был подготовлен Доклад Пред. РВС О срыве поставки авиационных раций за 1932 г. с проектом в Политбюро ЦК ВКП(б) (3082).</w:t>
      </w:r>
    </w:p>
    <w:p w14:paraId="3562DA5F"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2C6042BC"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3ECE012"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315CC7BD" w14:textId="77777777" w:rsidR="00E37239" w:rsidRPr="0044524F" w:rsidRDefault="00E372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января 1933 К. Станиславский в письме к гардеробщикам МХАТа заявил: «Театр начинается с вешалки» (4962).</w:t>
      </w:r>
    </w:p>
    <w:p w14:paraId="4F677626" w14:textId="77777777" w:rsidR="00E37239" w:rsidRPr="0044524F" w:rsidRDefault="00E37239" w:rsidP="009654CF">
      <w:pPr>
        <w:tabs>
          <w:tab w:val="left" w:pos="11199"/>
        </w:tabs>
        <w:spacing w:after="0" w:line="240" w:lineRule="auto"/>
        <w:jc w:val="both"/>
        <w:rPr>
          <w:rFonts w:ascii="Times New Roman" w:hAnsi="Times New Roman"/>
          <w:color w:val="000000" w:themeColor="text1"/>
          <w:sz w:val="16"/>
          <w:szCs w:val="16"/>
        </w:rPr>
      </w:pPr>
    </w:p>
    <w:p w14:paraId="4F2C7D80"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8D76E57"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7BB0ED7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января 1933 г. всего за неделю до смены власти в Германии Председатель СНК СССР В. М. Молотов в докладе на очередной сессии ЦИК СССР заявил: «Наши отношения с другими государствами, как правило, развивались вполне нормально, несмотря на происходившие смены в правительствах отдельных стран. Поскольку наши отношения с иностранными державами определяются прежде всего нашим внутренним ростом, ростом сил Советской власти, эти отношения крепли в силу самой логики вещей. Особое место в этих взаимоотношениях принадлежит Германии. Из всех стран, имеющих с нами дипломатические отношения, с Германией мы имели и имеем наиболее крепкие хозяйственные связи. И это не случайно. Это вытекает из интересов обеих стран» (III сессия ЦИК Союза ССР 6-го созыва. Стенографический отчет. 23-30 января 1933 г. Бюллетень № 1. М., 1933, с. 37-38) (11784).</w:t>
      </w:r>
    </w:p>
    <w:p w14:paraId="4D9239B5"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7DBCA200" w14:textId="77777777" w:rsidR="00254098" w:rsidRPr="0044524F" w:rsidRDefault="0025409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января 1933 г. всего за неделю до смены власти в Германии Председатель СНК СССР В. М. Молотов в докладе на очередной сессии ЦИК СССР заявил:</w:t>
      </w:r>
    </w:p>
    <w:p w14:paraId="489FE49E" w14:textId="77777777" w:rsidR="00254098" w:rsidRPr="0044524F" w:rsidRDefault="0025409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«Наши отношения с другими государствами, как правило, развивались вполне нормально, несмотря на происходившие смены в правительствах отдельных стран. Поскольку наши отношения с иностранными державами определяются прежде всего нашим внутренним ростом, ростом сил Советской власти, эти отношения крепли в силу самой логики вещей. Особое место в этих взаимоотношениях принадлежит Германии. Из всех стран, имеющих с нами дипломатические отношения, с Германией мы имели и имеем наиболее крепкие хозяйственные связи. И это не случайно. Это вытекает из интересов обеих стран» (18265).</w:t>
      </w:r>
    </w:p>
    <w:p w14:paraId="39125CBD" w14:textId="77777777" w:rsidR="00254098" w:rsidRPr="0044524F" w:rsidRDefault="00254098" w:rsidP="009654CF">
      <w:pPr>
        <w:spacing w:after="0" w:line="240" w:lineRule="auto"/>
        <w:jc w:val="both"/>
        <w:rPr>
          <w:rFonts w:ascii="Times New Roman" w:hAnsi="Times New Roman"/>
          <w:color w:val="000000" w:themeColor="text1"/>
          <w:sz w:val="16"/>
          <w:szCs w:val="16"/>
        </w:rPr>
      </w:pPr>
    </w:p>
    <w:p w14:paraId="107C8240"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39D7E96"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1C0DEFD9"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января 1933 в НТК состоялось расширенное совещание по вопросу О летающем танке Кристи, на котором докладывал Зам. Нач. Управления ВВС Наумов:</w:t>
      </w:r>
    </w:p>
    <w:p w14:paraId="5DB729E1" w14:textId="6D911328" w:rsidR="00991BE3" w:rsidRPr="0044524F" w:rsidRDefault="004125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w:t>
      </w:r>
      <w:r w:rsidR="00991BE3" w:rsidRPr="0044524F">
        <w:rPr>
          <w:rFonts w:ascii="Times New Roman" w:hAnsi="Times New Roman"/>
          <w:color w:val="000000" w:themeColor="text1"/>
          <w:sz w:val="16"/>
          <w:szCs w:val="16"/>
        </w:rPr>
        <w:t>У Кристи имеется только идея летающего танка, не выполненная даже в чертежах</w:t>
      </w:r>
    </w:p>
    <w:p w14:paraId="56CE729B"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Учитывая финансовые затруднения Кристи и его желание приехать в СССР для работы - считать целесообразным пригласить его к нам и просить Зам. Пред. Тухачевского поручить ведение переговоров с Кристи Халепскому (3879,36).</w:t>
      </w:r>
    </w:p>
    <w:p w14:paraId="490F844B"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поддержали</w:t>
      </w:r>
    </w:p>
    <w:p w14:paraId="7352FEDE" w14:textId="77777777" w:rsidR="00991BE3" w:rsidRPr="0044524F" w:rsidRDefault="00991BE3" w:rsidP="009654CF">
      <w:pPr>
        <w:spacing w:after="0" w:line="240" w:lineRule="auto"/>
        <w:jc w:val="both"/>
        <w:rPr>
          <w:rFonts w:ascii="Times New Roman" w:hAnsi="Times New Roman"/>
          <w:iCs/>
          <w:color w:val="000000" w:themeColor="text1"/>
          <w:sz w:val="16"/>
          <w:szCs w:val="16"/>
        </w:rPr>
      </w:pPr>
    </w:p>
    <w:p w14:paraId="520891BE"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24 января 1933 г. по получении из НИИ ВВС заключения на технический проект </w:t>
      </w:r>
      <w:hyperlink r:id="rId42"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Рафаэлянца, прошло совещание с участием зам. начальника РККА Наумова, начальника 4-го управления штаба РККА Берзина, пом. начальника УММ РККА Бокиса, начальника НТУ УММ Лебедева.</w:t>
      </w:r>
    </w:p>
    <w:p w14:paraId="2DCC130C"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На рассмотрение совещания были также представлены материалы, полученные из 4-го управления по летающему </w:t>
      </w:r>
      <w:hyperlink r:id="rId43"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у Кристи, заключение 4-го управления по этим материалам.</w:t>
      </w:r>
    </w:p>
    <w:p w14:paraId="090371DA"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Совещание приняло постановление:</w:t>
      </w:r>
    </w:p>
    <w:p w14:paraId="64337E67"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По полученным 4-м управлением штаба РККА материалам можно совершенно точно установить, что у Кристи имеется только идея летающего </w:t>
      </w:r>
      <w:hyperlink r:id="rId44"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невьтолненная даже в чертежах, а представленные материалы ни в технической, ни в расчетной части не обоснованы, совершенно не разработана летная часть конструкции </w:t>
      </w:r>
      <w:hyperlink r:id="rId45"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и не обоснована мощность мотора, что показали ориентировочные подсчеты НИИ ВВС и опыт проектирования и разработки чертежей летающего </w:t>
      </w:r>
      <w:hyperlink r:id="rId46"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выполненный нашим конструктором т. Рафаэлянц.</w:t>
      </w:r>
    </w:p>
    <w:p w14:paraId="268516D4"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Напечатанные в мировой прессе сообщения о летающем </w:t>
      </w:r>
      <w:hyperlink r:id="rId47"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е Кристи являются не более и не менее как рекламой, и в настоящее время Кристи имеет улучшенный образец </w:t>
      </w:r>
      <w:hyperlink r:id="rId48"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1932 г., который не прыгает и не летает.</w:t>
      </w:r>
    </w:p>
    <w:p w14:paraId="5AC97B96"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Просить заместителя председателя РВС СССР тов. Тухачевского поручить начальнику УММ тов. Халепскому на месте уточнить вопрос о летающем </w:t>
      </w:r>
      <w:hyperlink r:id="rId49"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е и только после его доклада принять решение.</w:t>
      </w:r>
    </w:p>
    <w:p w14:paraId="7E9708A6"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Учитывая финансовые затруднения Кристи и его желание приехать к нам в Союз для работы — считать целесообразным приглашение к нам и просить зампреда т. Тухачевского поручить ведение переговоров с Кристи т. Халепскому» (15632).</w:t>
      </w:r>
    </w:p>
    <w:p w14:paraId="0333BC5F" w14:textId="77777777" w:rsidR="00991BE3" w:rsidRPr="0044524F" w:rsidRDefault="00991BE3" w:rsidP="009654CF">
      <w:pPr>
        <w:spacing w:after="0" w:line="240" w:lineRule="auto"/>
        <w:jc w:val="both"/>
        <w:rPr>
          <w:rFonts w:ascii="Times New Roman" w:hAnsi="Times New Roman"/>
          <w:color w:val="000000" w:themeColor="text1"/>
          <w:sz w:val="16"/>
          <w:szCs w:val="16"/>
        </w:rPr>
      </w:pPr>
    </w:p>
    <w:p w14:paraId="72CE49EC" w14:textId="77777777" w:rsidR="00254098" w:rsidRPr="0044524F" w:rsidRDefault="0025409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24 января 1933 определила комиссия в составе руководителей УММ РККА и представителей КБ Рафаэлянца дальнейшую судьбу проекта летающего танка.</w:t>
      </w:r>
    </w:p>
    <w:p w14:paraId="6EF6D287" w14:textId="77777777" w:rsidR="00254098" w:rsidRPr="0044524F" w:rsidRDefault="0025409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Выводы были следующие:</w:t>
      </w:r>
    </w:p>
    <w:p w14:paraId="0DF77643" w14:textId="77777777" w:rsidR="00254098" w:rsidRPr="0044524F" w:rsidRDefault="0025409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Версия о том, что М.1933 может летать абсолютно не проработана. Отсутствуют какие-либо расчёты и чертежи, кроме утверждений Кристи;</w:t>
      </w:r>
    </w:p>
    <w:p w14:paraId="6980AD7F" w14:textId="77777777" w:rsidR="00254098" w:rsidRPr="0044524F" w:rsidRDefault="0025409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Появившиеся в мировой СМИ статьи о летающем танке Кристи это исключительно материалы рекламного характера;</w:t>
      </w:r>
    </w:p>
    <w:p w14:paraId="088CD415" w14:textId="77777777" w:rsidR="00254098" w:rsidRPr="0044524F" w:rsidRDefault="0025409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Поручить Халепскому (в то время находился в США) на месте уточнить этот вопрос более детально и доложить. Принимать окончательное решение после поступления данной информации;</w:t>
      </w:r>
    </w:p>
    <w:p w14:paraId="1DB0CF2C" w14:textId="77777777" w:rsidR="00254098" w:rsidRPr="0044524F" w:rsidRDefault="0025409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Пригласить Кристи для работы в СССР, учитывая его сложное материальное положение (19529).</w:t>
      </w:r>
    </w:p>
    <w:p w14:paraId="23087E8A" w14:textId="77777777" w:rsidR="00254098" w:rsidRPr="0044524F" w:rsidRDefault="00254098" w:rsidP="009654CF">
      <w:pPr>
        <w:spacing w:after="0" w:line="240" w:lineRule="auto"/>
        <w:jc w:val="both"/>
        <w:rPr>
          <w:rFonts w:ascii="Times New Roman" w:eastAsia="Times New Roman" w:hAnsi="Times New Roman"/>
          <w:color w:val="000000" w:themeColor="text1"/>
          <w:sz w:val="16"/>
          <w:szCs w:val="16"/>
          <w:lang w:eastAsia="ru-RU"/>
        </w:rPr>
      </w:pPr>
    </w:p>
    <w:p w14:paraId="17EB266A" w14:textId="77777777" w:rsidR="00254098" w:rsidRPr="0044524F" w:rsidRDefault="00254098" w:rsidP="009654CF">
      <w:pPr>
        <w:pStyle w:val="ae"/>
        <w:shd w:val="clear" w:color="auto" w:fill="FFFFFF"/>
        <w:spacing w:before="0" w:after="0"/>
        <w:jc w:val="both"/>
        <w:rPr>
          <w:color w:val="000000" w:themeColor="text1"/>
          <w:sz w:val="16"/>
          <w:szCs w:val="16"/>
        </w:rPr>
      </w:pPr>
      <w:r w:rsidRPr="0044524F">
        <w:rPr>
          <w:color w:val="000000" w:themeColor="text1"/>
          <w:sz w:val="16"/>
          <w:szCs w:val="16"/>
        </w:rPr>
        <w:t>24 января 1933 г. по получении из НИИ ВВС заключения на технический проект танка Рафаэлянца, прошло совещание с участием зам. начальника РККА Наумова, начальника 4-го управления штаба РККА Берзина, пом. начальника УММ РККА Бокиса, начальника НТУ УММ Лебедева.</w:t>
      </w:r>
    </w:p>
    <w:p w14:paraId="332D5F6A" w14:textId="77777777" w:rsidR="00254098" w:rsidRPr="0044524F" w:rsidRDefault="00254098" w:rsidP="009654CF">
      <w:pPr>
        <w:pStyle w:val="ae"/>
        <w:shd w:val="clear" w:color="auto" w:fill="FFFFFF"/>
        <w:spacing w:before="0" w:after="0"/>
        <w:jc w:val="both"/>
        <w:rPr>
          <w:color w:val="000000" w:themeColor="text1"/>
          <w:sz w:val="16"/>
          <w:szCs w:val="16"/>
        </w:rPr>
      </w:pPr>
      <w:r w:rsidRPr="0044524F">
        <w:rPr>
          <w:color w:val="000000" w:themeColor="text1"/>
          <w:sz w:val="16"/>
          <w:szCs w:val="16"/>
        </w:rPr>
        <w:t>На рассмотрение совещания были также представлены материалы, полученные из 4-го управления по летающему танку Кристи, заключение 4-го управления по этим материалам.</w:t>
      </w:r>
    </w:p>
    <w:p w14:paraId="6EB2341B" w14:textId="77777777" w:rsidR="00254098" w:rsidRPr="0044524F" w:rsidRDefault="00254098" w:rsidP="009654CF">
      <w:pPr>
        <w:pStyle w:val="ae"/>
        <w:shd w:val="clear" w:color="auto" w:fill="FFFFFF"/>
        <w:spacing w:before="0" w:after="0"/>
        <w:jc w:val="both"/>
        <w:rPr>
          <w:color w:val="000000" w:themeColor="text1"/>
          <w:sz w:val="16"/>
          <w:szCs w:val="16"/>
        </w:rPr>
      </w:pPr>
      <w:r w:rsidRPr="0044524F">
        <w:rPr>
          <w:color w:val="000000" w:themeColor="text1"/>
          <w:sz w:val="16"/>
          <w:szCs w:val="16"/>
        </w:rPr>
        <w:t>Совещание приняло постановление:</w:t>
      </w:r>
    </w:p>
    <w:p w14:paraId="4585DE67" w14:textId="77777777" w:rsidR="00254098" w:rsidRPr="0044524F" w:rsidRDefault="00254098" w:rsidP="009654CF">
      <w:pPr>
        <w:pStyle w:val="ae"/>
        <w:shd w:val="clear" w:color="auto" w:fill="FFFFFF"/>
        <w:spacing w:before="0" w:after="0"/>
        <w:jc w:val="both"/>
        <w:rPr>
          <w:iCs/>
          <w:color w:val="000000" w:themeColor="text1"/>
          <w:sz w:val="16"/>
          <w:szCs w:val="16"/>
        </w:rPr>
      </w:pPr>
      <w:r w:rsidRPr="0044524F">
        <w:rPr>
          <w:iCs/>
          <w:color w:val="000000" w:themeColor="text1"/>
          <w:sz w:val="16"/>
          <w:szCs w:val="16"/>
        </w:rPr>
        <w:t>«1. По полученным 4-м управлением штаба РККА материалам можно совершенно точно установить, что у Кристи имеется только идея летающего танка, невьтолненная даже в чертежах, а представленные материалы ни в технической, ни в расчетной части не обоснованы, совершенно не разработана летная часть конструкции танка и не обоснована мощность мотора, что показали ориентировочные подсчеты НИИ ВВС и опыт проектирования и разработки чертежей летающего танка, выполненный нашим конструктором т. Рафаэлянц.</w:t>
      </w:r>
    </w:p>
    <w:p w14:paraId="3BB1F327" w14:textId="77777777" w:rsidR="00254098" w:rsidRPr="0044524F" w:rsidRDefault="00254098" w:rsidP="009654CF">
      <w:pPr>
        <w:pStyle w:val="ae"/>
        <w:shd w:val="clear" w:color="auto" w:fill="FFFFFF"/>
        <w:spacing w:before="0" w:after="0"/>
        <w:jc w:val="both"/>
        <w:rPr>
          <w:iCs/>
          <w:color w:val="000000" w:themeColor="text1"/>
          <w:sz w:val="16"/>
          <w:szCs w:val="16"/>
        </w:rPr>
      </w:pPr>
      <w:r w:rsidRPr="0044524F">
        <w:rPr>
          <w:iCs/>
          <w:color w:val="000000" w:themeColor="text1"/>
          <w:sz w:val="16"/>
          <w:szCs w:val="16"/>
        </w:rPr>
        <w:t>2. Напечатанные в мировой прессе сообщения о летающем танке Кристи являются не более и не менее как рекламой, и в настоящее время Кристи имеет улучшенный образец танка 1932 г., который не прыгает и не летает.</w:t>
      </w:r>
    </w:p>
    <w:p w14:paraId="34CA01ED" w14:textId="77777777" w:rsidR="00254098" w:rsidRPr="0044524F" w:rsidRDefault="00254098" w:rsidP="009654CF">
      <w:pPr>
        <w:pStyle w:val="ae"/>
        <w:shd w:val="clear" w:color="auto" w:fill="FFFFFF"/>
        <w:spacing w:before="0" w:after="0"/>
        <w:jc w:val="both"/>
        <w:rPr>
          <w:iCs/>
          <w:color w:val="000000" w:themeColor="text1"/>
          <w:sz w:val="16"/>
          <w:szCs w:val="16"/>
        </w:rPr>
      </w:pPr>
      <w:r w:rsidRPr="0044524F">
        <w:rPr>
          <w:iCs/>
          <w:color w:val="000000" w:themeColor="text1"/>
          <w:sz w:val="16"/>
          <w:szCs w:val="16"/>
        </w:rPr>
        <w:t>3. Просить заместителя председателя РВС СССР тов. Тухачевского поручить начальнику УММ тов. Халепскому на месте уточнить вопрос о летающем танке и только после его доклада принять решение.</w:t>
      </w:r>
    </w:p>
    <w:p w14:paraId="44B8A402" w14:textId="77777777" w:rsidR="00254098" w:rsidRPr="0044524F" w:rsidRDefault="00254098" w:rsidP="009654CF">
      <w:pPr>
        <w:pStyle w:val="ae"/>
        <w:shd w:val="clear" w:color="auto" w:fill="FFFFFF"/>
        <w:spacing w:before="0" w:after="0"/>
        <w:jc w:val="both"/>
        <w:rPr>
          <w:iCs/>
          <w:color w:val="000000" w:themeColor="text1"/>
          <w:sz w:val="16"/>
          <w:szCs w:val="16"/>
        </w:rPr>
      </w:pPr>
      <w:r w:rsidRPr="0044524F">
        <w:rPr>
          <w:iCs/>
          <w:color w:val="000000" w:themeColor="text1"/>
          <w:sz w:val="16"/>
          <w:szCs w:val="16"/>
        </w:rPr>
        <w:t>4. Учитывая финансовые затруднения Кристи и его желание приехать к нам в Союз для работы — считать целесообразным приглашение к нам и просить зампреда т. Тухачевского поручить ведение переговоров с Кристи т. Халепскому» (19530).</w:t>
      </w:r>
    </w:p>
    <w:p w14:paraId="7A78C26E" w14:textId="77777777" w:rsidR="00254098" w:rsidRPr="0044524F" w:rsidRDefault="00254098" w:rsidP="009654CF">
      <w:pPr>
        <w:pStyle w:val="ae"/>
        <w:shd w:val="clear" w:color="auto" w:fill="FFFFFF"/>
        <w:spacing w:before="0" w:after="0"/>
        <w:jc w:val="both"/>
        <w:rPr>
          <w:color w:val="000000" w:themeColor="text1"/>
          <w:sz w:val="16"/>
          <w:szCs w:val="16"/>
        </w:rPr>
      </w:pPr>
    </w:p>
    <w:p w14:paraId="4DC315D6" w14:textId="77777777" w:rsidR="00015723" w:rsidRPr="0044524F" w:rsidRDefault="000157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января 1933 г. по получении из НИИ ВВС заключения на технический проект танка Рафаэлянца, прошло совещание с участием зам. начальника РККА Наумова, начальника 4-го управления штаба РККА Берзина, пом. начальника УММ РККА Бокиса, начальника НТУ УММ Лебедева.</w:t>
      </w:r>
    </w:p>
    <w:p w14:paraId="50299DD0" w14:textId="77777777" w:rsidR="00015723" w:rsidRPr="0044524F" w:rsidRDefault="000157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рассмотрение совещания были также представлены материалы, полученные из 4-го управления по летающему танку Кристи, заключение 4-го управления по этим материалам.</w:t>
      </w:r>
    </w:p>
    <w:p w14:paraId="6798240E" w14:textId="77777777" w:rsidR="00015723" w:rsidRPr="0044524F" w:rsidRDefault="000157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Совещание приняло постановление:</w:t>
      </w:r>
    </w:p>
    <w:p w14:paraId="52AC11B7" w14:textId="77777777" w:rsidR="00015723" w:rsidRPr="0044524F" w:rsidRDefault="000157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полученным 4-м управлением штаба РККА материалам можно совершенно точно установить, что у Кристи имеется только идея летающего танка, невыполненная даже в чертежах, а представленные материалы ни в технической, ни в расчетной части не обоснованы, совершенно не разработана летная часть конструкции танка и не обоснована мощность мотора, что показали ориентировочные подсчеты НИИ ВВС и опыт проектирования и разработки чертежей летающего танка, выполненный нашим конструктором т. Рафаэлянц.</w:t>
      </w:r>
    </w:p>
    <w:p w14:paraId="2E307126" w14:textId="77777777" w:rsidR="00015723" w:rsidRPr="0044524F" w:rsidRDefault="000157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Напечатанные в мировой прессе сообщения о летающем танке Кристи являются не более и не менее как рекламой, и в настоящее время Кристи имеет улучшенный образец танка 1932 г., который не прыгает и не летает.</w:t>
      </w:r>
    </w:p>
    <w:p w14:paraId="13718637" w14:textId="77777777" w:rsidR="00015723" w:rsidRPr="0044524F" w:rsidRDefault="000157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Просить заместителя председателя РВС СССР тов. Тухачевского поручить начальнику УММ тов. Халепскому на месте уточнить вопрос о летающем танке и только после его доклада принять решение.</w:t>
      </w:r>
    </w:p>
    <w:p w14:paraId="0536A36E" w14:textId="77777777" w:rsidR="00015723" w:rsidRPr="0044524F" w:rsidRDefault="000157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Учитывая финансовые затруднения Кристи и его желание приехать к нам в Союз для работы — считать целесообразным приглашение к нам и просить зампреда т. Тухачевского поручить ведение переговоров с Кристи т. Халепскому» (24266).</w:t>
      </w:r>
    </w:p>
    <w:p w14:paraId="1C287653" w14:textId="77777777" w:rsidR="00015723" w:rsidRPr="0044524F" w:rsidRDefault="000157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г. о ходе работ по летающему танку проинформировали Первого Красного Офицера Ворошилова, при этом отмечалось, что «проблема летающего танка в настоящее время оформилась в виде 3-х предложений», каковые имели следующие ТТХ (представлены в таблице 1).</w:t>
      </w:r>
    </w:p>
    <w:p w14:paraId="57500CF1" w14:textId="77777777" w:rsidR="00015723" w:rsidRPr="0044524F" w:rsidRDefault="000157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Товарищ Ворошилов, ознакомившись с присланными материалами, и, в частности, с особым мнением начальника 7-го сектора НИИ ВВС Горощенко, что «летающий танк технически осуществим, но требует очень длительного времени для получения положительных результатов работы его», пришел к выводу о том, что проще подвешивать танк под многомоторный бомбовоз, нежели делать «самолетающий».</w:t>
      </w:r>
    </w:p>
    <w:p w14:paraId="350D5BA2" w14:textId="77777777" w:rsidR="00015723" w:rsidRPr="0044524F" w:rsidRDefault="000157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к лету 1933 г. все работы по летающим танкам Рафаэлянца, Камова и Самсонова-Добровольского были прекращены (24266).</w:t>
      </w:r>
    </w:p>
    <w:p w14:paraId="5C8126C6" w14:textId="77777777" w:rsidR="00015723" w:rsidRPr="0044524F" w:rsidRDefault="00015723" w:rsidP="009654CF">
      <w:pPr>
        <w:spacing w:after="0" w:line="240" w:lineRule="auto"/>
        <w:jc w:val="both"/>
        <w:rPr>
          <w:rFonts w:ascii="Times New Roman" w:hAnsi="Times New Roman"/>
          <w:color w:val="000000" w:themeColor="text1"/>
          <w:sz w:val="16"/>
          <w:szCs w:val="16"/>
        </w:rPr>
      </w:pPr>
    </w:p>
    <w:p w14:paraId="2C9E8CBE" w14:textId="77777777" w:rsidR="004125F7" w:rsidRPr="0044524F" w:rsidRDefault="004125F7" w:rsidP="009654CF">
      <w:pPr>
        <w:pStyle w:val="521"/>
        <w:shd w:val="clear" w:color="auto" w:fill="auto"/>
        <w:spacing w:line="240" w:lineRule="auto"/>
        <w:rPr>
          <w:rFonts w:ascii="Times New Roman" w:hAnsi="Times New Roman" w:cs="Times New Roman"/>
          <w:color w:val="000000" w:themeColor="text1"/>
          <w:sz w:val="16"/>
          <w:szCs w:val="16"/>
        </w:rPr>
      </w:pPr>
      <w:r w:rsidRPr="0044524F">
        <w:rPr>
          <w:rStyle w:val="aff"/>
          <w:rFonts w:ascii="Times New Roman" w:hAnsi="Times New Roman" w:cs="Times New Roman"/>
          <w:color w:val="000000" w:themeColor="text1"/>
          <w:spacing w:val="0"/>
          <w:sz w:val="16"/>
          <w:szCs w:val="16"/>
        </w:rPr>
        <w:t>24 янва</w:t>
      </w:r>
      <w:r w:rsidRPr="0044524F">
        <w:rPr>
          <w:rStyle w:val="aff"/>
          <w:rFonts w:ascii="Times New Roman" w:hAnsi="Times New Roman" w:cs="Times New Roman"/>
          <w:color w:val="000000" w:themeColor="text1"/>
          <w:spacing w:val="0"/>
          <w:sz w:val="16"/>
          <w:szCs w:val="16"/>
        </w:rPr>
        <w:softHyphen/>
        <w:t xml:space="preserve">ря 1933 года Петр Ионович Баранов </w:t>
      </w:r>
      <w:r w:rsidRPr="0044524F">
        <w:rPr>
          <w:rStyle w:val="aff"/>
          <w:rFonts w:ascii="Times New Roman" w:hAnsi="Times New Roman" w:cs="Times New Roman"/>
          <w:color w:val="000000" w:themeColor="text1"/>
          <w:spacing w:val="0"/>
          <w:sz w:val="16"/>
          <w:szCs w:val="16"/>
          <w:lang w:val="ru-RU"/>
        </w:rPr>
        <w:t xml:space="preserve">подписал </w:t>
      </w:r>
      <w:r w:rsidRPr="0044524F">
        <w:rPr>
          <w:rStyle w:val="aff"/>
          <w:rFonts w:ascii="Times New Roman" w:hAnsi="Times New Roman" w:cs="Times New Roman"/>
          <w:color w:val="000000" w:themeColor="text1"/>
          <w:spacing w:val="0"/>
          <w:sz w:val="16"/>
          <w:szCs w:val="16"/>
        </w:rPr>
        <w:t>отчете по опытному строительству моторов и самолетов за 1932 год</w:t>
      </w:r>
      <w:r w:rsidRPr="0044524F">
        <w:rPr>
          <w:rStyle w:val="aff"/>
          <w:rFonts w:ascii="Times New Roman" w:hAnsi="Times New Roman" w:cs="Times New Roman"/>
          <w:color w:val="000000" w:themeColor="text1"/>
          <w:spacing w:val="0"/>
          <w:sz w:val="16"/>
          <w:szCs w:val="16"/>
          <w:lang w:val="ru-RU"/>
        </w:rPr>
        <w:t>. В отношении автожира Камова говорилось</w:t>
      </w:r>
      <w:r w:rsidRPr="0044524F">
        <w:rPr>
          <w:rStyle w:val="aff"/>
          <w:rFonts w:ascii="Times New Roman" w:hAnsi="Times New Roman" w:cs="Times New Roman"/>
          <w:color w:val="000000" w:themeColor="text1"/>
          <w:spacing w:val="0"/>
          <w:sz w:val="16"/>
          <w:szCs w:val="16"/>
        </w:rPr>
        <w:t>: «Проекти</w:t>
      </w:r>
      <w:r w:rsidRPr="0044524F">
        <w:rPr>
          <w:rStyle w:val="aff"/>
          <w:rFonts w:ascii="Times New Roman" w:hAnsi="Times New Roman" w:cs="Times New Roman"/>
          <w:color w:val="000000" w:themeColor="text1"/>
          <w:spacing w:val="0"/>
          <w:sz w:val="16"/>
          <w:szCs w:val="16"/>
        </w:rPr>
        <w:softHyphen/>
        <w:t>рование машины в основном закончено, и основные элементы этого аппарата находят</w:t>
      </w:r>
      <w:r w:rsidRPr="0044524F">
        <w:rPr>
          <w:rStyle w:val="aff"/>
          <w:rFonts w:ascii="Times New Roman" w:hAnsi="Times New Roman" w:cs="Times New Roman"/>
          <w:color w:val="000000" w:themeColor="text1"/>
          <w:spacing w:val="0"/>
          <w:sz w:val="16"/>
          <w:szCs w:val="16"/>
        </w:rPr>
        <w:softHyphen/>
        <w:t>ся в постройке. Срок выпуска машины ориен</w:t>
      </w:r>
      <w:r w:rsidRPr="0044524F">
        <w:rPr>
          <w:rStyle w:val="aff"/>
          <w:rFonts w:ascii="Times New Roman" w:hAnsi="Times New Roman" w:cs="Times New Roman"/>
          <w:color w:val="000000" w:themeColor="text1"/>
          <w:spacing w:val="0"/>
          <w:sz w:val="16"/>
          <w:szCs w:val="16"/>
        </w:rPr>
        <w:softHyphen/>
        <w:t>тировочно намечается на 1 мая 1933 года. Задержка при проектировании произошла из-за невозможности своевременно подо</w:t>
      </w:r>
      <w:r w:rsidRPr="0044524F">
        <w:rPr>
          <w:rStyle w:val="aff"/>
          <w:rFonts w:ascii="Times New Roman" w:hAnsi="Times New Roman" w:cs="Times New Roman"/>
          <w:color w:val="000000" w:themeColor="text1"/>
          <w:spacing w:val="0"/>
          <w:sz w:val="16"/>
          <w:szCs w:val="16"/>
        </w:rPr>
        <w:softHyphen/>
        <w:t>брать конструкторские кадры и из-за целого ряда трудностей, возникших при проектиро</w:t>
      </w:r>
      <w:r w:rsidRPr="0044524F">
        <w:rPr>
          <w:rStyle w:val="aff"/>
          <w:rFonts w:ascii="Times New Roman" w:hAnsi="Times New Roman" w:cs="Times New Roman"/>
          <w:color w:val="000000" w:themeColor="text1"/>
          <w:spacing w:val="0"/>
          <w:sz w:val="16"/>
          <w:szCs w:val="16"/>
        </w:rPr>
        <w:softHyphen/>
        <w:t>вании этой машины»</w:t>
      </w:r>
      <w:r w:rsidRPr="0044524F">
        <w:rPr>
          <w:rStyle w:val="aff"/>
          <w:rFonts w:ascii="Times New Roman" w:hAnsi="Times New Roman" w:cs="Times New Roman"/>
          <w:color w:val="000000" w:themeColor="text1"/>
          <w:spacing w:val="0"/>
          <w:sz w:val="16"/>
          <w:szCs w:val="16"/>
          <w:lang w:val="ru-RU"/>
        </w:rPr>
        <w:t xml:space="preserve"> (19868)</w:t>
      </w:r>
      <w:r w:rsidRPr="0044524F">
        <w:rPr>
          <w:rStyle w:val="aff"/>
          <w:rFonts w:ascii="Times New Roman" w:hAnsi="Times New Roman" w:cs="Times New Roman"/>
          <w:color w:val="000000" w:themeColor="text1"/>
          <w:spacing w:val="0"/>
          <w:sz w:val="16"/>
          <w:szCs w:val="16"/>
        </w:rPr>
        <w:t>.</w:t>
      </w:r>
    </w:p>
    <w:p w14:paraId="598A1A55" w14:textId="77777777" w:rsidR="004125F7" w:rsidRPr="0044524F" w:rsidRDefault="004125F7" w:rsidP="009654CF">
      <w:pPr>
        <w:spacing w:after="0" w:line="240" w:lineRule="auto"/>
        <w:jc w:val="both"/>
        <w:rPr>
          <w:rFonts w:ascii="Times New Roman" w:hAnsi="Times New Roman"/>
          <w:color w:val="000000" w:themeColor="text1"/>
          <w:sz w:val="16"/>
          <w:szCs w:val="16"/>
          <w:lang w:val="ru"/>
        </w:rPr>
      </w:pPr>
    </w:p>
    <w:p w14:paraId="05C7F0C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января 1933 года зам. наркомтяжпрома Баранов</w:t>
      </w:r>
    </w:p>
    <w:p w14:paraId="626C845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 по опытному строительству моторов и самолетов за 1932 год</w:t>
      </w:r>
    </w:p>
    <w:p w14:paraId="781CED9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Основная задача работ по опытному строительству в 1932 году заключалась в удовлетворении нужд ВВФ опытными боевыми экземплярами и подготовка их к внедрению в серийное производство. Параллельною задачею стояло улучшение и доводка объектов принятых уже на вооружение.</w:t>
      </w:r>
    </w:p>
    <w:p w14:paraId="08D3B5B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Разрешение этих задач должно было вылиться в повышение максимальных скоростей, скороподъемностей, увеличении, грузоподъемностей, лучшей вооруженности, увеличений мощности моторов, в снабжении их редукторами и нагнетателями, в уменьшении веса конструкции.</w:t>
      </w:r>
    </w:p>
    <w:p w14:paraId="3CEEEAB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из указанного, Правительством были поставлены первоочередными задачами:</w:t>
      </w:r>
    </w:p>
    <w:p w14:paraId="34AE97D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моторостроению:</w:t>
      </w:r>
    </w:p>
    <w:p w14:paraId="2904D40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доводки и развитие М-34 (редуктор, нагнетатель, реверс, однорядный, облегченный);</w:t>
      </w:r>
    </w:p>
    <w:p w14:paraId="3946C2B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создание типов истребительных моторов М-38 воздушного охлаждения, и особенно М-32 – водяного охлаждения;</w:t>
      </w:r>
    </w:p>
    <w:p w14:paraId="6AA9E7A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постройка мощного бензинового двигателя М-44, сосредоточив на этом все основные силы по мощным бензиновым двигателям.</w:t>
      </w:r>
    </w:p>
    <w:p w14:paraId="132A1DA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самолетостроению.</w:t>
      </w:r>
    </w:p>
    <w:p w14:paraId="51C0A44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666A0C8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форсирование работ по постройке образцов тяжелого бомбардировщика (ТБ-4);</w:t>
      </w:r>
    </w:p>
    <w:p w14:paraId="0D6EA83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создание типов морских лодочных самолетов (МК1, МДР3 и др.).</w:t>
      </w:r>
    </w:p>
    <w:p w14:paraId="69387A1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образцы должны отвечать современным техническим требованиям и по своим качествам стоять не ниже первоклассных заграничных моторов и самолетов; кроме того, моторы должны быть снабжены новейшими типами агрегатов и приспособлений, а самолеты – стрелкового, бомбардировочного и химического вооружения.</w:t>
      </w:r>
    </w:p>
    <w:p w14:paraId="36B1512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изложенного в 1932 году производились следующие опытные работы:</w:t>
      </w:r>
    </w:p>
    <w:p w14:paraId="4B82010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88"/>
        <w:gridCol w:w="7326"/>
      </w:tblGrid>
      <w:tr w:rsidR="004E10C1" w:rsidRPr="0044524F" w14:paraId="39C490AE" w14:textId="77777777">
        <w:tc>
          <w:tcPr>
            <w:tcW w:w="2988" w:type="dxa"/>
          </w:tcPr>
          <w:p w14:paraId="556D6F0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Бензиновые двигатели водяного охлаждения</w:t>
            </w:r>
          </w:p>
        </w:tc>
        <w:tc>
          <w:tcPr>
            <w:tcW w:w="7326" w:type="dxa"/>
          </w:tcPr>
          <w:p w14:paraId="624986C8" w14:textId="77777777" w:rsidR="00E37239" w:rsidRPr="0044524F" w:rsidRDefault="00E37239" w:rsidP="009654CF">
            <w:pPr>
              <w:spacing w:after="0" w:line="240" w:lineRule="auto"/>
              <w:jc w:val="both"/>
              <w:rPr>
                <w:rFonts w:ascii="Times New Roman" w:hAnsi="Times New Roman"/>
                <w:color w:val="000000" w:themeColor="text1"/>
                <w:sz w:val="16"/>
                <w:szCs w:val="16"/>
              </w:rPr>
            </w:pPr>
          </w:p>
        </w:tc>
      </w:tr>
      <w:tr w:rsidR="004E10C1" w:rsidRPr="0044524F" w14:paraId="61F5DD4A" w14:textId="77777777">
        <w:tc>
          <w:tcPr>
            <w:tcW w:w="2988" w:type="dxa"/>
          </w:tcPr>
          <w:p w14:paraId="44EF3DE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p w14:paraId="29258BF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750 л.с.</w:t>
            </w:r>
          </w:p>
          <w:p w14:paraId="2077A1E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600 кг</w:t>
            </w:r>
          </w:p>
          <w:p w14:paraId="288A071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Госиспытания прошел в ноябре 1931 года</w:t>
            </w:r>
          </w:p>
          <w:p w14:paraId="523EA25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 и завод № 24</w:t>
            </w:r>
          </w:p>
        </w:tc>
        <w:tc>
          <w:tcPr>
            <w:tcW w:w="7326" w:type="dxa"/>
          </w:tcPr>
          <w:p w14:paraId="47E7E60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 в серийное производство на заводе № 24 с мая 1932 года.</w:t>
            </w:r>
          </w:p>
          <w:p w14:paraId="266FD03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целью определения надежности выдержал дополнительно 50 часовое испытание на полном газу, каковое закончилось 26 ноября 1932 года, причем показал мощность 830-840 л.с. Задержками в выпуске серии служили: выкрашивание баббита в подшипниках, увеличенный расход масла, повышенный износ трущихся деталей.</w:t>
            </w:r>
          </w:p>
          <w:p w14:paraId="2A93A0A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совместной работой ЦИАМа и завода № 24 эти дефекты в основном изжиты. Дальнейшие опытные работы (по ЦИАМу и заводу № 24) сводятся к:</w:t>
            </w:r>
          </w:p>
          <w:p w14:paraId="7C86015F" w14:textId="77777777" w:rsidR="00E37239" w:rsidRPr="0044524F" w:rsidRDefault="00E37239"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Увеличению надежности мотора с доводкой работы без переборки до 200 часов.</w:t>
            </w:r>
          </w:p>
          <w:p w14:paraId="3BEFA541" w14:textId="77777777" w:rsidR="00E37239" w:rsidRPr="0044524F" w:rsidRDefault="00E37239"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Снижению расхода масла.</w:t>
            </w:r>
          </w:p>
          <w:p w14:paraId="73A37F4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мотору ЦИАМом спроектирован и изготовлен карбюратор (К-34), который прошел длительные испытания и показал хорошие результаты.</w:t>
            </w:r>
          </w:p>
          <w:p w14:paraId="6257EB9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производстве карбюратор значительно проще заграничных. В настоящее время внедряется в серийное производство на заводе № 33, что освобождает нас от импорта карбюраторов к мотору М34.</w:t>
            </w:r>
          </w:p>
        </w:tc>
      </w:tr>
      <w:tr w:rsidR="004E10C1" w:rsidRPr="0044524F" w14:paraId="2B51A67C" w14:textId="77777777">
        <w:tc>
          <w:tcPr>
            <w:tcW w:w="2988" w:type="dxa"/>
          </w:tcPr>
          <w:p w14:paraId="30374D2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 (с редуктором)</w:t>
            </w:r>
          </w:p>
          <w:p w14:paraId="5496BE6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750 л.с.</w:t>
            </w:r>
          </w:p>
          <w:p w14:paraId="361295C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610 кг</w:t>
            </w:r>
          </w:p>
          <w:p w14:paraId="020A08B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Плановый срок госиспытаний 15 ноября 1932 года</w:t>
            </w:r>
          </w:p>
          <w:p w14:paraId="55FDC24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0313F20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закончен производством 6 ноября 1932 года и поступил на заводские испытания, на которых в течение 46 часов определен режим работы мотора:</w:t>
            </w:r>
          </w:p>
          <w:p w14:paraId="2F397A5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860 л.с. при оборот. = 1900</w:t>
            </w:r>
          </w:p>
          <w:p w14:paraId="4B166BF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800 л.с. при оборот. = 1850</w:t>
            </w:r>
          </w:p>
          <w:p w14:paraId="3638BAD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725 л.с. при оборот. = 1785</w:t>
            </w:r>
          </w:p>
          <w:p w14:paraId="3964E1B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время испытаний редуктор показал хорошие результаты.</w:t>
            </w:r>
          </w:p>
          <w:p w14:paraId="6E32E20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готовится на 50-часовое испытание без разборки.</w:t>
            </w:r>
          </w:p>
          <w:p w14:paraId="3115C5C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марта 1933 года будет предъявлен.</w:t>
            </w:r>
          </w:p>
        </w:tc>
      </w:tr>
      <w:tr w:rsidR="004E10C1" w:rsidRPr="0044524F" w14:paraId="1ACB9F5F" w14:textId="77777777">
        <w:tc>
          <w:tcPr>
            <w:tcW w:w="2988" w:type="dxa"/>
          </w:tcPr>
          <w:p w14:paraId="766C9D3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с реверсом</w:t>
            </w:r>
          </w:p>
          <w:p w14:paraId="3FD738D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750 л.с.</w:t>
            </w:r>
          </w:p>
          <w:p w14:paraId="3EAC7A6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 цилиндровый</w:t>
            </w:r>
          </w:p>
          <w:p w14:paraId="79E19E2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980 кг</w:t>
            </w:r>
          </w:p>
          <w:p w14:paraId="5F7C65D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Плановый срок госиспытаний – октябрь 1932 года</w:t>
            </w:r>
          </w:p>
          <w:p w14:paraId="425B4A0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4333205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Предварительными работами послужило изготовление 2-х реверсов под мотор АССО, которые прошли госиспытания в августе 1932 года и тогда же были сданы УВМС.</w:t>
            </w:r>
          </w:p>
          <w:p w14:paraId="1B6BAB5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ГМ-34 представляет модификацию М-34 с целью применения его на морских быстроходных катерах, для чего требовалось снабдить его механизмом, обеспечивающим возможность перемены направления вращения винта.</w:t>
            </w:r>
          </w:p>
          <w:p w14:paraId="0C99731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 должен был изготовлять детали для 3-х экземпляров моторов, отличные от мотора М-34, все же идентичные детали доставлялись заводом № 24.</w:t>
            </w:r>
          </w:p>
          <w:p w14:paraId="75DFFEB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экземпляр, законченный 3 ноября 1932 года находится на испытаниях, наработал 20 часов. Состояние деталей удовлетворительное.</w:t>
            </w:r>
          </w:p>
          <w:p w14:paraId="2D3B540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готовится на длительные заводские испытания и 15 марта 1933 года будет предъявлен на госиспытания.</w:t>
            </w:r>
          </w:p>
          <w:p w14:paraId="5814389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Задержкой послужили разрушение фрикционных дисков и, гл. образом, необходимость устранения дефектов в основном моторе М-34, который закончил свою доводку к декабрю 1932 года.</w:t>
            </w:r>
          </w:p>
        </w:tc>
      </w:tr>
      <w:tr w:rsidR="004E10C1" w:rsidRPr="0044524F" w14:paraId="78954A66" w14:textId="77777777">
        <w:tc>
          <w:tcPr>
            <w:tcW w:w="2988" w:type="dxa"/>
          </w:tcPr>
          <w:p w14:paraId="10ADC0E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М-54Н (форсированный М34)</w:t>
            </w:r>
          </w:p>
          <w:p w14:paraId="74CF0D8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900 л.с.</w:t>
            </w:r>
          </w:p>
          <w:p w14:paraId="4646CE2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 цилиндровый</w:t>
            </w:r>
          </w:p>
          <w:p w14:paraId="2560A85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600 кг</w:t>
            </w:r>
          </w:p>
          <w:p w14:paraId="082694C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Н=5000</w:t>
            </w:r>
          </w:p>
          <w:p w14:paraId="4B257BB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Плановый срок госиспытаний – май 1933 года</w:t>
            </w:r>
          </w:p>
          <w:p w14:paraId="7807FFE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65F06A3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намечен как развитие М-34 путем форсирования его до мощности допускаемой конструкцией мотора.</w:t>
            </w:r>
          </w:p>
          <w:p w14:paraId="532806E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ЦИАМом в 1932 году проведены испытания:</w:t>
            </w:r>
          </w:p>
          <w:p w14:paraId="419E22A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установлению методов форсировки мотора М-34;</w:t>
            </w:r>
          </w:p>
          <w:p w14:paraId="6AA49D8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работы мотора на повышенном режиме.</w:t>
            </w:r>
          </w:p>
          <w:p w14:paraId="483D73E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Изготовлена экспериментальная установка с одним блоком мотора М34 и начаты испытания на ней. Работы идут по плану.</w:t>
            </w:r>
          </w:p>
        </w:tc>
      </w:tr>
      <w:tr w:rsidR="004E10C1" w:rsidRPr="0044524F" w14:paraId="78AD6087" w14:textId="77777777">
        <w:tc>
          <w:tcPr>
            <w:tcW w:w="2988" w:type="dxa"/>
          </w:tcPr>
          <w:p w14:paraId="12541C3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М-55Н. Перевернутый М-34.</w:t>
            </w:r>
          </w:p>
          <w:p w14:paraId="3FCA8EC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750 л.с.</w:t>
            </w:r>
          </w:p>
          <w:p w14:paraId="58D4D96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 цилиндровый</w:t>
            </w:r>
          </w:p>
          <w:p w14:paraId="78A57EE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600 кг</w:t>
            </w:r>
          </w:p>
          <w:p w14:paraId="0002B4D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Н=5000</w:t>
            </w:r>
          </w:p>
          <w:p w14:paraId="02DF9FA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Срок госиспытаний – 1 августа 1933 года </w:t>
            </w:r>
          </w:p>
          <w:p w14:paraId="57FC887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0E0BE06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должен был представлять собой модификацию М-34 (перевернутый мотор). Цель модификации дать улучшение обзора с самолета, имеющего одномоторную установку (разведчик). Эту работу ЦИАМ не форсировал, имея более актуальные задачи и на основании имеющихся за границей экспериментальных работ, результат которых не получил широкого применения, ЦИАМ пришел к выводам, что такой мотор даст не вполне целесообразное и надежное решение поставленной задачи, а потому считаю необходимым просить о снятии этого мотора с программы 1933 года.</w:t>
            </w:r>
          </w:p>
        </w:tc>
      </w:tr>
      <w:tr w:rsidR="004E10C1" w:rsidRPr="0044524F" w14:paraId="14A446CD" w14:textId="77777777">
        <w:tc>
          <w:tcPr>
            <w:tcW w:w="2988" w:type="dxa"/>
          </w:tcPr>
          <w:p w14:paraId="2E5D1E5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М-35РН</w:t>
            </w:r>
          </w:p>
          <w:p w14:paraId="4560EC4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1500 л.с.</w:t>
            </w:r>
          </w:p>
          <w:p w14:paraId="325469D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1300 кг</w:t>
            </w:r>
          </w:p>
          <w:p w14:paraId="6B6DD42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Х-обр. 24 цилиндровый</w:t>
            </w:r>
          </w:p>
          <w:p w14:paraId="6F70644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Н=5000</w:t>
            </w:r>
          </w:p>
          <w:p w14:paraId="45C3297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Госиспытания – 1 апреля 1933 года</w:t>
            </w:r>
          </w:p>
          <w:p w14:paraId="6B1BA7C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1F016C4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предполагался как дельнейшее развитие М-34 путем удвоения числа цилиндров и предназначался для тяжелых самолетов. ЦИАМом проведена разработка проекта и подвергнута обсуждению совместно с представителями ЦАГИ И УВВС. В результате имевших место совещаний Институт пришел к заключению, что уже выполненные типы опытных моторов сумеют удовлетворить все основные типы самолетов (истребительных, разведывательных, бомбовозов) и что насущной потребности в данном моторе не имеется. Кроме того, по мнению ряда специалистов ЦИАМ, ЦАГИ и УВВС, разработанный проект мотора даст не вполне целесообразное решение поставленной задачи. Исходя из этих соображений, считаю необходимым просить, также как и М-55Н, о снятии этого мотора с производства 1933 года.</w:t>
            </w:r>
          </w:p>
        </w:tc>
      </w:tr>
      <w:tr w:rsidR="004E10C1" w:rsidRPr="0044524F" w14:paraId="0BEBE54D" w14:textId="77777777">
        <w:tc>
          <w:tcPr>
            <w:tcW w:w="2988" w:type="dxa"/>
          </w:tcPr>
          <w:p w14:paraId="7D3CD9D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М-52</w:t>
            </w:r>
          </w:p>
          <w:p w14:paraId="227F311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400 л.с.</w:t>
            </w:r>
          </w:p>
          <w:p w14:paraId="048AA9D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6 цилиндровый</w:t>
            </w:r>
          </w:p>
          <w:p w14:paraId="56A2E50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300 кг</w:t>
            </w:r>
          </w:p>
          <w:p w14:paraId="4238959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1 октября 1932 года</w:t>
            </w:r>
          </w:p>
          <w:p w14:paraId="0FD03C4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42A4D83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предназначается для переходных типов самолетов (от учебного к боевому) в частях ВВС и для целой серии самолетов ГВФ. Создание этого мотора намечалось как модификация мотора М-34, путем уменьшения вдвое числа цилиндров мотора. ЦИАМ должен был изготовить 4 экземпляра мотора, из которых 2 экземпляра должны были быть установлены на самолеты. Части идентичные с мотором М-34 поставлялись заводом № 24, все же остальные изготовлялись в ЦИАМе.</w:t>
            </w:r>
          </w:p>
          <w:p w14:paraId="4906A15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закончен производством и поступил на испытания в начале ноября 1932 года, на которых дал мощность 480 л.с. при 1960 об/мин.</w:t>
            </w:r>
          </w:p>
          <w:p w14:paraId="1E67B89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аварии нижней половины картера, мотор находится на исправлении, после чего пройдет 50-часовое режимное испытание без переборки.</w:t>
            </w:r>
          </w:p>
          <w:p w14:paraId="0C21E8C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предъявлен на госиспытания 15 марта 1933 года.</w:t>
            </w:r>
          </w:p>
        </w:tc>
      </w:tr>
      <w:tr w:rsidR="004E10C1" w:rsidRPr="0044524F" w14:paraId="116123DF" w14:textId="77777777">
        <w:tc>
          <w:tcPr>
            <w:tcW w:w="2988" w:type="dxa"/>
          </w:tcPr>
          <w:p w14:paraId="73C867A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М-32РН</w:t>
            </w:r>
          </w:p>
          <w:p w14:paraId="6A3C6F3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600 л.с.</w:t>
            </w:r>
          </w:p>
          <w:p w14:paraId="2B83883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16 цилиндровый</w:t>
            </w:r>
          </w:p>
          <w:p w14:paraId="700C994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400 кг</w:t>
            </w:r>
          </w:p>
          <w:p w14:paraId="2E609AE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ноябрь 1932 года</w:t>
            </w:r>
          </w:p>
          <w:p w14:paraId="4B23314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2025AAA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мотор предназначается для быстроходных самолетов и для некоторых категорий разведывательных машин.</w:t>
            </w:r>
          </w:p>
          <w:p w14:paraId="6010EEA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мотора закончено в ноябре 1932 года.</w:t>
            </w:r>
          </w:p>
          <w:p w14:paraId="049FA38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Задержка произошла в силу большого литейного брака. На заводских испытаниях обнаружен ряд дефектов: недостаточная жесткость водяной рубашки (при затяжке болтов деформируется и пропускает воду), трещины и выдавливание баббита на всех вкладышах шатунных и коренных подшипников. Мотор не держит полного газа.</w:t>
            </w:r>
          </w:p>
          <w:p w14:paraId="7B505FD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неполадки устранены. Поставлены усиленные блоки и мотор продолжает испытываться.</w:t>
            </w:r>
          </w:p>
          <w:p w14:paraId="557A462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проработал вполне удовлетворительно 50 часов и дал мощность 606 л.с.</w:t>
            </w:r>
          </w:p>
          <w:p w14:paraId="4EE207B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Заканчиваются производством еще 2 экземпляра.</w:t>
            </w:r>
          </w:p>
          <w:p w14:paraId="504F684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Предъявление на госиспытания намечено на 15 марта 1933 года.</w:t>
            </w:r>
          </w:p>
        </w:tc>
      </w:tr>
      <w:tr w:rsidR="004E10C1" w:rsidRPr="0044524F" w14:paraId="131F5FF1" w14:textId="77777777">
        <w:tc>
          <w:tcPr>
            <w:tcW w:w="2988" w:type="dxa"/>
          </w:tcPr>
          <w:p w14:paraId="56A9E9F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М-44Н</w:t>
            </w:r>
          </w:p>
          <w:p w14:paraId="4F80AAC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2000 л.с.</w:t>
            </w:r>
          </w:p>
          <w:p w14:paraId="1624612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 цилиндровый</w:t>
            </w:r>
          </w:p>
          <w:p w14:paraId="0CB0966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Вес – 1500 кг</w:t>
            </w:r>
          </w:p>
          <w:p w14:paraId="6D86907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Н=3500</w:t>
            </w:r>
          </w:p>
          <w:p w14:paraId="5E61BF2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июль 1933 года</w:t>
            </w:r>
          </w:p>
          <w:p w14:paraId="66F05BB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2DFA8B8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Мотор предназначается для тяжелых многомоторных самолетов.</w:t>
            </w:r>
          </w:p>
          <w:p w14:paraId="7FC7F8B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Полностью закончена конструктивная разработка.</w:t>
            </w:r>
          </w:p>
          <w:p w14:paraId="359E28B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Изготовление деталей моторов выполнено на 50%. Изготовлена экспериментальная установка с одним цилиндром и на ней заканчивается цикл исследовательских испытаний в лаборатории.</w:t>
            </w:r>
          </w:p>
          <w:p w14:paraId="0F8C442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идут по плану.</w:t>
            </w:r>
          </w:p>
        </w:tc>
      </w:tr>
      <w:tr w:rsidR="004E10C1" w:rsidRPr="0044524F" w14:paraId="5DFC6937" w14:textId="77777777">
        <w:tc>
          <w:tcPr>
            <w:tcW w:w="2988" w:type="dxa"/>
          </w:tcPr>
          <w:p w14:paraId="35B056E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Звездообразные бензиновые моторы воздушного охлаждения</w:t>
            </w:r>
          </w:p>
        </w:tc>
        <w:tc>
          <w:tcPr>
            <w:tcW w:w="7326" w:type="dxa"/>
          </w:tcPr>
          <w:p w14:paraId="49019D4D" w14:textId="77777777" w:rsidR="00E37239" w:rsidRPr="0044524F" w:rsidRDefault="00E37239" w:rsidP="009654CF">
            <w:pPr>
              <w:spacing w:after="0" w:line="240" w:lineRule="auto"/>
              <w:jc w:val="both"/>
              <w:rPr>
                <w:rFonts w:ascii="Times New Roman" w:hAnsi="Times New Roman"/>
                <w:color w:val="000000" w:themeColor="text1"/>
                <w:sz w:val="16"/>
                <w:szCs w:val="16"/>
              </w:rPr>
            </w:pPr>
          </w:p>
        </w:tc>
      </w:tr>
      <w:tr w:rsidR="004E10C1" w:rsidRPr="0044524F" w14:paraId="2FF5756D" w14:textId="77777777">
        <w:tc>
          <w:tcPr>
            <w:tcW w:w="2988" w:type="dxa"/>
          </w:tcPr>
          <w:p w14:paraId="375D3F7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М-38Н</w:t>
            </w:r>
          </w:p>
          <w:p w14:paraId="0F57B17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600 л.с.</w:t>
            </w:r>
          </w:p>
          <w:p w14:paraId="323ED1E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400 кг</w:t>
            </w:r>
          </w:p>
          <w:p w14:paraId="2F0872C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август 1932 года</w:t>
            </w:r>
          </w:p>
          <w:p w14:paraId="7228E60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260EA12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предназначается для истребительных самолетов. Кроме моторов, необходимых для заводских и государственных испытаний, ЦИАМ должен быть изготовить еще 2 мотора для установки на опытные самолеты. Был закончен производством к 1 мая 1932 года, в течение всего остального времени мотор находился на испытаниях, в результате которых был устранен целый ряд обнаруженных дефектов и было выяснено, что конструкция цилиндров, поршней и распределения является неудачной.</w:t>
            </w:r>
          </w:p>
          <w:p w14:paraId="1A48DE3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другой стороны испытания показали, что в отношении развиваемой мощности, надежности работы отдельных деталей (кривошипно-шатунный механизм, картер и пр.) проектные данные вполне подтвердились. Измененная конструкция цилиндров и других деталей запущена в производство с ноября 1932 года.</w:t>
            </w:r>
          </w:p>
          <w:p w14:paraId="78827CC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Суммарно мотор проработал около 200 часов, из них режимных около 80 часов.</w:t>
            </w:r>
          </w:p>
          <w:p w14:paraId="40FB094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Смонтирована одноцилиндровая установка, на которой будут вестись все дополнительные исследования.</w:t>
            </w:r>
          </w:p>
          <w:p w14:paraId="79A0FC2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Предполагаемый срок предъявления на госиспытания 1 мая 1933 года.</w:t>
            </w:r>
          </w:p>
        </w:tc>
      </w:tr>
      <w:tr w:rsidR="004E10C1" w:rsidRPr="0044524F" w14:paraId="662CC36A" w14:textId="77777777">
        <w:tc>
          <w:tcPr>
            <w:tcW w:w="2988" w:type="dxa"/>
          </w:tcPr>
          <w:p w14:paraId="76A69EC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М-38РН</w:t>
            </w:r>
          </w:p>
          <w:p w14:paraId="712528E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600 л.с.</w:t>
            </w:r>
          </w:p>
          <w:p w14:paraId="399E26C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430 кг</w:t>
            </w:r>
          </w:p>
          <w:p w14:paraId="0341FDC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Н=5000</w:t>
            </w:r>
          </w:p>
          <w:p w14:paraId="15B092B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май 1933 года</w:t>
            </w:r>
          </w:p>
          <w:p w14:paraId="31F8E91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351234A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должен явиться модификацией М-38Н, которая заключается в применении на моторе редуктора, уменьшающего число оборотов винта, с целью сделать возможным применение мотора на многомоторных самолетах и улучшить отдачу мощности.</w:t>
            </w:r>
          </w:p>
          <w:p w14:paraId="167BA23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году полностью закончена конструктивная разработка мотора и начата подготовка к его производству.</w:t>
            </w:r>
          </w:p>
          <w:p w14:paraId="200B223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идет по плану.</w:t>
            </w:r>
          </w:p>
        </w:tc>
      </w:tr>
      <w:tr w:rsidR="004E10C1" w:rsidRPr="0044524F" w14:paraId="4B53ACD8" w14:textId="77777777">
        <w:tc>
          <w:tcPr>
            <w:tcW w:w="2988" w:type="dxa"/>
          </w:tcPr>
          <w:p w14:paraId="5E51AA2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М-51</w:t>
            </w:r>
          </w:p>
          <w:p w14:paraId="7DF867A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100 л.с.</w:t>
            </w:r>
          </w:p>
          <w:p w14:paraId="3DAEB18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155 кг</w:t>
            </w:r>
          </w:p>
          <w:p w14:paraId="71DCE20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Госиспытания – январь 1932 года</w:t>
            </w:r>
          </w:p>
          <w:p w14:paraId="41D9096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29</w:t>
            </w:r>
          </w:p>
        </w:tc>
        <w:tc>
          <w:tcPr>
            <w:tcW w:w="7326" w:type="dxa"/>
          </w:tcPr>
          <w:p w14:paraId="3E4A97D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предназначается для замены М-11 на маломощных самолетах.</w:t>
            </w:r>
          </w:p>
          <w:p w14:paraId="4EB03B1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конструкции мотора проведена задача простоты, надежности и эксплуатации и удобства в производстве.</w:t>
            </w:r>
          </w:p>
          <w:p w14:paraId="59D7EAB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удовлетворительно пройденных заводских испытаниях мотор проработал 86 часов, после чего устранен ряд небольших неполадок и был затем предъявлен на госиспытания, каковые успешно закончил 16 октября 1932 года.</w:t>
            </w:r>
          </w:p>
        </w:tc>
      </w:tr>
      <w:tr w:rsidR="004E10C1" w:rsidRPr="0044524F" w14:paraId="0F6FFAC1" w14:textId="77777777">
        <w:tc>
          <w:tcPr>
            <w:tcW w:w="2988" w:type="dxa"/>
          </w:tcPr>
          <w:p w14:paraId="641AAFC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w:t>
            </w:r>
          </w:p>
          <w:p w14:paraId="6ED7942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165 л.с.</w:t>
            </w:r>
          </w:p>
          <w:p w14:paraId="5F5AA07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180 кг</w:t>
            </w:r>
          </w:p>
          <w:p w14:paraId="32CAAD0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август 1932 года</w:t>
            </w:r>
          </w:p>
          <w:p w14:paraId="245DB1E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29</w:t>
            </w:r>
          </w:p>
        </w:tc>
        <w:tc>
          <w:tcPr>
            <w:tcW w:w="7326" w:type="dxa"/>
          </w:tcPr>
          <w:p w14:paraId="397FA1A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является модификацией М-51 и как 7-ми цилиндровое развитие его отличается , главным образом, задней частью картера, где устроен приводной импеллер для лучшего перемешивания смеси.</w:t>
            </w:r>
          </w:p>
          <w:p w14:paraId="70691AE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 производством в июле 1932 года и поставлен на заводские испытания. Всего до конца 1932 года прошел 65 часов. Основные неполадки с всасывающими трубами, с фрикционной передачей к импеллеру.</w:t>
            </w:r>
          </w:p>
          <w:p w14:paraId="0B39A8D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Дефекты устранены. Испытания продолжаются. Получена мощность 195 л.с.</w:t>
            </w:r>
          </w:p>
          <w:p w14:paraId="3E10393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предъявлен на госиспытания 1 февраля 1933 года.</w:t>
            </w:r>
          </w:p>
        </w:tc>
      </w:tr>
      <w:tr w:rsidR="004E10C1" w:rsidRPr="0044524F" w14:paraId="69262AB2" w14:textId="77777777">
        <w:tc>
          <w:tcPr>
            <w:tcW w:w="2988" w:type="dxa"/>
          </w:tcPr>
          <w:p w14:paraId="55F376A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3М-11 (внеплановый)</w:t>
            </w:r>
          </w:p>
          <w:p w14:paraId="781CF6B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65 л.с.</w:t>
            </w:r>
          </w:p>
          <w:p w14:paraId="0A32580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100 кг</w:t>
            </w:r>
          </w:p>
          <w:p w14:paraId="4866B96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29</w:t>
            </w:r>
          </w:p>
        </w:tc>
        <w:tc>
          <w:tcPr>
            <w:tcW w:w="7326" w:type="dxa"/>
          </w:tcPr>
          <w:p w14:paraId="27E3E0F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успешно закончил 28 декабря 1932 года. 100 часовое госиспытание.</w:t>
            </w:r>
          </w:p>
          <w:p w14:paraId="6C39315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Заканчиваются изготовлением еще 2 мотора.</w:t>
            </w:r>
          </w:p>
        </w:tc>
      </w:tr>
      <w:tr w:rsidR="004E10C1" w:rsidRPr="0044524F" w14:paraId="32E0FE8B" w14:textId="77777777">
        <w:tc>
          <w:tcPr>
            <w:tcW w:w="2988" w:type="dxa"/>
          </w:tcPr>
          <w:p w14:paraId="7840DE1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(22У) (внеплановый)</w:t>
            </w:r>
          </w:p>
          <w:p w14:paraId="6B94A94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630 л.с.</w:t>
            </w:r>
          </w:p>
          <w:p w14:paraId="412F57D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420 кг</w:t>
            </w:r>
          </w:p>
          <w:p w14:paraId="5048E85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Н=5000</w:t>
            </w:r>
          </w:p>
          <w:p w14:paraId="1805E4F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29</w:t>
            </w:r>
          </w:p>
        </w:tc>
        <w:tc>
          <w:tcPr>
            <w:tcW w:w="7326" w:type="dxa"/>
          </w:tcPr>
          <w:p w14:paraId="352C9FC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Мощный звездообразный двигатель для истребителей. Проект мотора закончен к 15 мая 1932 года. Обращено особое внимание на простоту конструкции и несмотря на наличие нагнетателя число деталей сведено до минимума. Мотор изготовлен в 3 экз. в октябре 1932 года.</w:t>
            </w:r>
          </w:p>
          <w:p w14:paraId="0BFA984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октября 1932 года поставлен на заводские испытания и наработал 20 часов. Основные дефекты: поломка роликов толкателя, недостаточная смазка шатунного механизма, неудовлетворительное уплотнение валика импеллера, поломка задней крышки.</w:t>
            </w:r>
          </w:p>
          <w:p w14:paraId="27B0560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Дефекты устраняются. Испытания продолжаются. Готовят мотор к прохождению длительного этапа, после чего намечено предъявить на госиспытания к 1 марта 1933 года.</w:t>
            </w:r>
          </w:p>
        </w:tc>
      </w:tr>
      <w:tr w:rsidR="004E10C1" w:rsidRPr="0044524F" w14:paraId="4C3B4B1E" w14:textId="77777777">
        <w:tc>
          <w:tcPr>
            <w:tcW w:w="2988" w:type="dxa"/>
          </w:tcPr>
          <w:p w14:paraId="7C91F69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Нефтяные моторы (авиадизеля)</w:t>
            </w:r>
          </w:p>
        </w:tc>
        <w:tc>
          <w:tcPr>
            <w:tcW w:w="7326" w:type="dxa"/>
          </w:tcPr>
          <w:p w14:paraId="06AD950A" w14:textId="77777777" w:rsidR="00E37239" w:rsidRPr="0044524F" w:rsidRDefault="00E37239" w:rsidP="009654CF">
            <w:pPr>
              <w:spacing w:after="0" w:line="240" w:lineRule="auto"/>
              <w:jc w:val="both"/>
              <w:rPr>
                <w:rFonts w:ascii="Times New Roman" w:hAnsi="Times New Roman"/>
                <w:color w:val="000000" w:themeColor="text1"/>
                <w:sz w:val="16"/>
                <w:szCs w:val="16"/>
              </w:rPr>
            </w:pPr>
          </w:p>
        </w:tc>
      </w:tr>
      <w:tr w:rsidR="004E10C1" w:rsidRPr="0044524F" w14:paraId="51A63153" w14:textId="77777777">
        <w:tc>
          <w:tcPr>
            <w:tcW w:w="2988" w:type="dxa"/>
          </w:tcPr>
          <w:p w14:paraId="19BD975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АН-1</w:t>
            </w:r>
          </w:p>
          <w:p w14:paraId="19649FF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600 л.с.</w:t>
            </w:r>
          </w:p>
          <w:p w14:paraId="445A27D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 цилиндровый</w:t>
            </w:r>
          </w:p>
          <w:p w14:paraId="51B6494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840 кг</w:t>
            </w:r>
          </w:p>
          <w:p w14:paraId="5926062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Госиспытания – 1 марта 1933 года</w:t>
            </w:r>
          </w:p>
          <w:p w14:paraId="22C6EC7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4469A8E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должен явиться одним из первых авиационных двигателей, работающих на тяжелом топливе.</w:t>
            </w:r>
          </w:p>
          <w:p w14:paraId="2482924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Полностью закончена конструктивная разработка, начато производство 3 экземпляров моторов, закончено изготовление экспериментальной установки с одним цилиндром мотора и успешно проводятся большие экспериментальные испытания.</w:t>
            </w:r>
          </w:p>
          <w:p w14:paraId="40332D4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Одноцилиндровая установка наработала 100 часов и дала мощность 68 л.с.</w:t>
            </w:r>
          </w:p>
          <w:p w14:paraId="065DA59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новизны дела и отсутствия опыта не только у нас, но и за границей, а также большая сложность производства как ряда крупных деталей так и, главным образом, насосов для подачи горючего, а также несовременная подача поковок с заводов-поставщиков, срок предъявления на заводские испытания определен 15 мая 1933 года.</w:t>
            </w:r>
          </w:p>
        </w:tc>
      </w:tr>
      <w:tr w:rsidR="004E10C1" w:rsidRPr="0044524F" w14:paraId="050E5847" w14:textId="77777777">
        <w:tc>
          <w:tcPr>
            <w:tcW w:w="2988" w:type="dxa"/>
          </w:tcPr>
          <w:p w14:paraId="6FBF221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 работы</w:t>
            </w:r>
          </w:p>
        </w:tc>
        <w:tc>
          <w:tcPr>
            <w:tcW w:w="7326" w:type="dxa"/>
          </w:tcPr>
          <w:p w14:paraId="128B4CCF" w14:textId="77777777" w:rsidR="00E37239" w:rsidRPr="0044524F" w:rsidRDefault="00E37239" w:rsidP="009654CF">
            <w:pPr>
              <w:spacing w:after="0" w:line="240" w:lineRule="auto"/>
              <w:jc w:val="both"/>
              <w:rPr>
                <w:rFonts w:ascii="Times New Roman" w:hAnsi="Times New Roman"/>
                <w:color w:val="000000" w:themeColor="text1"/>
                <w:sz w:val="16"/>
                <w:szCs w:val="16"/>
              </w:rPr>
            </w:pPr>
          </w:p>
        </w:tc>
      </w:tr>
      <w:tr w:rsidR="004E10C1" w:rsidRPr="0044524F" w14:paraId="4EAEEEE8" w14:textId="77777777">
        <w:tc>
          <w:tcPr>
            <w:tcW w:w="2988" w:type="dxa"/>
          </w:tcPr>
          <w:p w14:paraId="125D3C5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……..ВПШ</w:t>
            </w:r>
          </w:p>
          <w:p w14:paraId="1DDF9C7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1 сентября 1932 года</w:t>
            </w:r>
          </w:p>
          <w:p w14:paraId="268214B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67616CA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 переменного шага необходим для сохранения тяги винта до большой высоты. При наличии ВПШ использование мощности мотора более выгодно и самолет получает лучшие летные данные при полете на высоте.</w:t>
            </w:r>
          </w:p>
          <w:p w14:paraId="1F91F0A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течение 1932 года были закончены конструктивные разработки по двум различным схемам: одной с гидравлическим механизмом поворота лопастей винта, а другой с электрическим приводом поворотного механизма. Пуск в производство указанных винтов был задержан до получения результатов испытаний экспериментального винта, изготовленного в 1931 году. Испытания экспериментального винта до мая 1932 года проводились в лаборатории, а с мая перенесены на аэродром для проверки работы винта в полете</w:t>
            </w:r>
          </w:p>
          <w:p w14:paraId="3CCAE48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Проводимые испытания винта на самолете в воздухе дают удовлетворительные результаты.</w:t>
            </w:r>
          </w:p>
        </w:tc>
      </w:tr>
    </w:tbl>
    <w:p w14:paraId="2810138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Правительственной программы 1932 года были проведены следующие работы:</w:t>
      </w:r>
    </w:p>
    <w:p w14:paraId="0BC9BBF9" w14:textId="77777777" w:rsidR="00E37239" w:rsidRPr="0044524F" w:rsidRDefault="00E37239" w:rsidP="009654CF">
      <w:pPr>
        <w:numPr>
          <w:ilvl w:val="0"/>
          <w:numId w:val="3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Доводка и увеличение надежности работы серийного мотора М-17 без переборки до 200 часов.</w:t>
      </w:r>
    </w:p>
    <w:p w14:paraId="553CED16" w14:textId="77777777" w:rsidR="00E37239" w:rsidRPr="0044524F" w:rsidRDefault="00E37239" w:rsidP="009654CF">
      <w:pPr>
        <w:numPr>
          <w:ilvl w:val="0"/>
          <w:numId w:val="3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 2-х опытных бензиновых одноцилиндровых установок и 5-ти нефтяных установок, на которых проведены большие экспериментально-исследовательские работы.</w:t>
      </w:r>
    </w:p>
    <w:p w14:paraId="1D60569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по моторам, которые должны были выйти на госиспытания в 1932 году Институт шел с опозданием в части их изготовления.</w:t>
      </w:r>
    </w:p>
    <w:p w14:paraId="13E67A0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Такое опоздание с производством объясняется следующими причинами:</w:t>
      </w:r>
    </w:p>
    <w:p w14:paraId="0BE54275" w14:textId="77777777" w:rsidR="00E37239" w:rsidRPr="0044524F" w:rsidRDefault="00E37239" w:rsidP="009654CF">
      <w:pPr>
        <w:numPr>
          <w:ilvl w:val="0"/>
          <w:numId w:val="3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недостаточной пропускной способностью основных цехов завода – механического и инструментального.</w:t>
      </w:r>
    </w:p>
    <w:p w14:paraId="75332E09" w14:textId="77777777" w:rsidR="00E37239" w:rsidRPr="0044524F" w:rsidRDefault="00E37239" w:rsidP="009654CF">
      <w:pPr>
        <w:numPr>
          <w:ilvl w:val="0"/>
          <w:numId w:val="3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Крайне высоким браком производства (до 40%), вызвавшим дополнительную, крайне тяжелую, загрузку цехов.</w:t>
      </w:r>
    </w:p>
    <w:p w14:paraId="4779FD90" w14:textId="77777777" w:rsidR="00E37239" w:rsidRPr="0044524F" w:rsidRDefault="00E37239" w:rsidP="009654CF">
      <w:pPr>
        <w:numPr>
          <w:ilvl w:val="0"/>
          <w:numId w:val="3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Слабую квалификацию, как инженерно-технического персонала, не всегда имеющего возможность найти быстрое и правильное решение встретившихся дефектов и затруднений и недостаточная квалификация рабочих.</w:t>
      </w:r>
    </w:p>
    <w:p w14:paraId="2E01658A" w14:textId="77777777" w:rsidR="00E37239" w:rsidRPr="0044524F" w:rsidRDefault="00E37239" w:rsidP="009654CF">
      <w:pPr>
        <w:numPr>
          <w:ilvl w:val="0"/>
          <w:numId w:val="3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Быстрый рост Института создал ряд трудностей, еще не преодоленных до сего времени в части организации производства, организации повседневного технического руководства. В части наладки правильного учета и оперативного планирования.</w:t>
      </w:r>
    </w:p>
    <w:p w14:paraId="06A12C0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Специфичность работы Института (разнотипность производства, новизна изготовляемых объектов, крайне разнообразный характер работ, не имеющих еще проверенных методов нормирования, учета и т.п.).</w:t>
      </w:r>
    </w:p>
    <w:p w14:paraId="7022308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Глававиапромом и руководством ЦИАМа принимаются все меры к устранению различных неувязок и производственных неполадок, тормозящих работу, для успешного выполнения Правительственного плана опытного моторостроения.</w:t>
      </w:r>
    </w:p>
    <w:p w14:paraId="6AAB8E4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работ института по специальным моторам на 1933 год предусматривает:</w:t>
      </w:r>
    </w:p>
    <w:p w14:paraId="527EAD62" w14:textId="77777777" w:rsidR="00E37239" w:rsidRPr="0044524F" w:rsidRDefault="00E37239" w:rsidP="009654CF">
      <w:pPr>
        <w:numPr>
          <w:ilvl w:val="0"/>
          <w:numId w:val="3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Доводку и предъявление на госиспытания моторов: М-34Н, М-34Р, М-38Н, ГМ-34, М-32РН и М-52.</w:t>
      </w:r>
    </w:p>
    <w:p w14:paraId="60CE7625" w14:textId="77777777" w:rsidR="00E37239" w:rsidRPr="0044524F" w:rsidRDefault="00E37239" w:rsidP="009654CF">
      <w:pPr>
        <w:numPr>
          <w:ilvl w:val="0"/>
          <w:numId w:val="4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Окончание изготовления всех остальных экземпляров указанных моторов, т.е. еще</w:t>
      </w:r>
    </w:p>
    <w:p w14:paraId="6B9758B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М-44Н – 2 экземпляра</w:t>
      </w:r>
    </w:p>
    <w:p w14:paraId="28330DD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 – 5 экземпляров</w:t>
      </w:r>
    </w:p>
    <w:p w14:paraId="49A6D52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М-34РН - 2 экземпляра</w:t>
      </w:r>
    </w:p>
    <w:p w14:paraId="204B660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М-38Н – 2 экземпляра</w:t>
      </w:r>
    </w:p>
    <w:p w14:paraId="0794D00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 2 экземпляра</w:t>
      </w:r>
    </w:p>
    <w:p w14:paraId="72FCDDE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М-32РН – 2 экземпляра</w:t>
      </w:r>
    </w:p>
    <w:p w14:paraId="69D9C67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М-52 – 3 экземпляра</w:t>
      </w:r>
    </w:p>
    <w:p w14:paraId="629F1A65" w14:textId="77777777" w:rsidR="00E37239" w:rsidRPr="0044524F" w:rsidRDefault="00E37239" w:rsidP="009654CF">
      <w:pPr>
        <w:pStyle w:val="a3"/>
        <w:widowControl/>
        <w:numPr>
          <w:ilvl w:val="0"/>
          <w:numId w:val="41"/>
        </w:numPr>
        <w:tabs>
          <w:tab w:val="left" w:pos="360"/>
        </w:tabs>
        <w:ind w:left="0" w:firstLine="0"/>
        <w:rPr>
          <w:color w:val="000000" w:themeColor="text1"/>
          <w:lang w:val="ru-RU"/>
        </w:rPr>
      </w:pPr>
      <w:r w:rsidRPr="0044524F">
        <w:rPr>
          <w:color w:val="000000" w:themeColor="text1"/>
          <w:lang w:val="ru-RU"/>
        </w:rPr>
        <w:t>Изготовление моторов, предъявляемых на госиспытание в 1933 году, т.е. моторов:</w:t>
      </w:r>
    </w:p>
    <w:p w14:paraId="0CC46EC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М-44Н – 2 экземпляра</w:t>
      </w:r>
    </w:p>
    <w:p w14:paraId="66D9C8B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АН-1 – 3 экземпляра</w:t>
      </w:r>
    </w:p>
    <w:p w14:paraId="4BF4FB5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ВПШ – 10 экземпляров</w:t>
      </w:r>
    </w:p>
    <w:p w14:paraId="105A94D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М-38Н – 2 экземпляра</w:t>
      </w:r>
    </w:p>
    <w:p w14:paraId="7E0DC9D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М-54Е – 4 экземпляра</w:t>
      </w:r>
    </w:p>
    <w:p w14:paraId="7204F1A1" w14:textId="77777777" w:rsidR="00E37239" w:rsidRPr="0044524F" w:rsidRDefault="00E37239" w:rsidP="009654CF">
      <w:pPr>
        <w:numPr>
          <w:ilvl w:val="0"/>
          <w:numId w:val="4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 (в деталях) моторов, переданных на производство в УИАМ приказом НКТП</w:t>
      </w:r>
    </w:p>
    <w:p w14:paraId="42B6941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двигателя Мартенса – 3 экземпляра</w:t>
      </w:r>
    </w:p>
    <w:p w14:paraId="715B1D4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двигателя ФЭД-8 – 3 экземпляра</w:t>
      </w:r>
    </w:p>
    <w:p w14:paraId="4F7F031C" w14:textId="77777777" w:rsidR="00E37239" w:rsidRPr="0044524F" w:rsidRDefault="00E37239" w:rsidP="009654CF">
      <w:pPr>
        <w:numPr>
          <w:ilvl w:val="0"/>
          <w:numId w:val="4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Начало изготовления особо мощного мотора воздушного охлаждения для истребительной авиации – мотора М-56А мощностью в 700 л.с.</w:t>
      </w:r>
    </w:p>
    <w:p w14:paraId="56A72C9A" w14:textId="77777777" w:rsidR="00E37239" w:rsidRPr="0044524F" w:rsidRDefault="00E37239" w:rsidP="009654CF">
      <w:pPr>
        <w:numPr>
          <w:ilvl w:val="0"/>
          <w:numId w:val="4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Изготовлением агрегатов, приспосабливающих мотор М-34 для стратосферного полета.</w:t>
      </w:r>
    </w:p>
    <w:p w14:paraId="6666EB35" w14:textId="77777777" w:rsidR="00E37239" w:rsidRPr="0044524F" w:rsidRDefault="00E37239" w:rsidP="009654CF">
      <w:pPr>
        <w:numPr>
          <w:ilvl w:val="0"/>
          <w:numId w:val="4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Целый ряд научно-исследовательских и экспериментальных работ, как-то: создание экспериментальных авиационных двигателей с непосредственным впрыском топлива и ряд других проблем.</w:t>
      </w:r>
    </w:p>
    <w:p w14:paraId="155A333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28"/>
        <w:gridCol w:w="6361"/>
      </w:tblGrid>
      <w:tr w:rsidR="004E10C1" w:rsidRPr="0044524F" w14:paraId="16CB71FF" w14:textId="77777777">
        <w:tc>
          <w:tcPr>
            <w:tcW w:w="3528" w:type="dxa"/>
          </w:tcPr>
          <w:p w14:paraId="406C5C9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 М-44 или нефтяной</w:t>
            </w:r>
          </w:p>
          <w:p w14:paraId="1829C86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бомбардировщик, он же пассажирский, грузовой; из стали, вооружен тяжелыми пулеметами и пушками. Дальность полета – 3000 км при перегрузке 4000 км, нома сбрасываемого груза 15000 кг.</w:t>
            </w:r>
          </w:p>
          <w:p w14:paraId="15F906C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аэродром – 1 декабря 1934 года</w:t>
            </w:r>
          </w:p>
        </w:tc>
        <w:tc>
          <w:tcPr>
            <w:tcW w:w="6361" w:type="dxa"/>
          </w:tcPr>
          <w:p w14:paraId="0D86F75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технических требованиях предельный сбрасываемый груз уточнен до 10000 кг.</w:t>
            </w:r>
          </w:p>
          <w:p w14:paraId="0DCA6FD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Подготовительные работы к проектированию самолета закончены, а также и предварительные расчеты. Ведутся работы по выяснению стальных конструкций, каковые Институтом впервые намечаются осуществить в данном самолете.</w:t>
            </w:r>
          </w:p>
          <w:p w14:paraId="2A30376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идут по плану.</w:t>
            </w:r>
          </w:p>
        </w:tc>
      </w:tr>
      <w:tr w:rsidR="004E10C1" w:rsidRPr="0044524F" w14:paraId="19799E5D" w14:textId="77777777">
        <w:tc>
          <w:tcPr>
            <w:tcW w:w="3528" w:type="dxa"/>
          </w:tcPr>
          <w:p w14:paraId="15E100D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6М-34. Опытный.</w:t>
            </w:r>
          </w:p>
          <w:p w14:paraId="73EA946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опытный, из дюраля, вооруженный 10 пулеметами и 2 пушками. Дальность полета – 1000 км, при перегрузке 2000 км. Срок выхода на аэродром 1 ноября 1932 года.</w:t>
            </w:r>
          </w:p>
        </w:tc>
        <w:tc>
          <w:tcPr>
            <w:tcW w:w="6361" w:type="dxa"/>
          </w:tcPr>
          <w:p w14:paraId="094BC16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проектированием и постройкой закончен.</w:t>
            </w:r>
          </w:p>
          <w:p w14:paraId="3A48719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настоящий момент производится монтаж моторов М-34.</w:t>
            </w:r>
          </w:p>
          <w:p w14:paraId="083AF63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Задержка в выходе на аэродром произошла вследствие несвоевременного получения моторов, а именно: моторы вместо 1 августа 1932 года, намеченного по плану срока, получены 10 декабря 1932 года.</w:t>
            </w:r>
          </w:p>
          <w:p w14:paraId="59046A9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самолета на аэродром намечен в марте 1933 года.</w:t>
            </w:r>
          </w:p>
        </w:tc>
      </w:tr>
      <w:tr w:rsidR="004E10C1" w:rsidRPr="0044524F" w14:paraId="1F4ACB98" w14:textId="77777777">
        <w:tc>
          <w:tcPr>
            <w:tcW w:w="3528" w:type="dxa"/>
          </w:tcPr>
          <w:p w14:paraId="69BD0D2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 Головной.</w:t>
            </w:r>
          </w:p>
          <w:p w14:paraId="14AE9A4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 же требования как к опытному, но в отличие от него головной самолет имеет расширенный фюзеляж, дающий возможность поместить внутри его тяжелые бомбы и перевозить тяжелые грузы (танки, пушки и т.д.), кроме того предусмотрено легкое обращение машины в пассажирский тип и легкая военизация пассажирских самолетов.</w:t>
            </w:r>
          </w:p>
          <w:p w14:paraId="0961CBC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госиспытания 1 июня 1933 года.</w:t>
            </w:r>
          </w:p>
        </w:tc>
        <w:tc>
          <w:tcPr>
            <w:tcW w:w="6361" w:type="dxa"/>
          </w:tcPr>
          <w:p w14:paraId="07D40C7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машины закончено на 80%.</w:t>
            </w:r>
          </w:p>
          <w:p w14:paraId="6CEE929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ведется параллельно с проектированием машины и готовность постройки определяется в 35%.</w:t>
            </w:r>
          </w:p>
          <w:p w14:paraId="177A532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для самолетов должны быть с редукторами и срок получения их по плану намечен с августа по декабрь 1932 года, но он не выдерживается – моторов нет.</w:t>
            </w:r>
          </w:p>
          <w:p w14:paraId="4AD567F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своевременного срочного выпуска серийных самолетов ЦАГИ параллельно с изготовлением проекта сдает конструктивные чертежи в согласованные с заводом № 22 сроки, т.е. 1 апреля 1933 года по самолетам и 1 мая 1933 года по вооружению.</w:t>
            </w:r>
          </w:p>
          <w:p w14:paraId="78027CA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 проектированием военной машины, ЦАГИ ведет разработки проектов пассажирского варианта тоже с одновременной сдачей чертежей заводу № 22.</w:t>
            </w:r>
          </w:p>
          <w:p w14:paraId="1274A0D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Военный вариант самолета ТБ-4 головного после получения моторов будет выпущен на совместные испытания через 4 месяца.</w:t>
            </w:r>
          </w:p>
        </w:tc>
      </w:tr>
      <w:tr w:rsidR="004E10C1" w:rsidRPr="0044524F" w14:paraId="394D09D2" w14:textId="77777777">
        <w:tc>
          <w:tcPr>
            <w:tcW w:w="3528" w:type="dxa"/>
          </w:tcPr>
          <w:p w14:paraId="1371534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К1-2М32 (2М34)</w:t>
            </w:r>
          </w:p>
          <w:p w14:paraId="7D93673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 сухопутный, он же средний бомбардировщик и дальний разведчик, вооруженный тяжелыми и легкими пулеметами, дальность полета при нормальной нагрузке 1200 км, при перегрузке 2000 км.</w:t>
            </w:r>
          </w:p>
          <w:p w14:paraId="1AEC505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госиспытания 1 октября 1933 года.</w:t>
            </w:r>
          </w:p>
        </w:tc>
        <w:tc>
          <w:tcPr>
            <w:tcW w:w="6361" w:type="dxa"/>
          </w:tcPr>
          <w:p w14:paraId="76D3415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предварительных просчетах установлено, что с моторами М-32 самолет даст лучшие качества, как весовые, так и тактические, чем с моторами М-34. Технические требования от УВВС получены только 15 января 1933 года.</w:t>
            </w:r>
          </w:p>
          <w:p w14:paraId="217FA79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Ведется увязка их с проектами. Если при увязке не встретится противоречий с проектом и не придется перепроектировать машины, то после получения моторов самолет будет выпущен через 7 месяцев.</w:t>
            </w:r>
          </w:p>
        </w:tc>
      </w:tr>
      <w:tr w:rsidR="004E10C1" w:rsidRPr="0044524F" w14:paraId="5141BC94" w14:textId="77777777">
        <w:tc>
          <w:tcPr>
            <w:tcW w:w="3528" w:type="dxa"/>
          </w:tcPr>
          <w:p w14:paraId="5B7E9F7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2М-34</w:t>
            </w:r>
          </w:p>
          <w:p w14:paraId="23B7B04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Многоместный истребитель, вооруженный 6 пулеметами и 1 авт. пушкой. Дальность полета – 1000 км. Скорость – 300 км/час.</w:t>
            </w:r>
          </w:p>
          <w:p w14:paraId="58F37CA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аэродром – 1 января 1933 года.</w:t>
            </w:r>
          </w:p>
        </w:tc>
        <w:tc>
          <w:tcPr>
            <w:tcW w:w="6361" w:type="dxa"/>
          </w:tcPr>
          <w:p w14:paraId="1001BDC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проектированием и постройкой закончен.</w:t>
            </w:r>
          </w:p>
          <w:p w14:paraId="2DD9599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настоящий момент заканчиваются работы по монтажу моторов, которые вместо 1 сентября 1932 года, намеченного по плану срока, были получены 22 декабря 1932 года.</w:t>
            </w:r>
          </w:p>
          <w:p w14:paraId="064F1D2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Параллельно с проектированием и постройкой 1-й опытной машины ЦАГИ ведет проектирование и постройку головной, в которую вносятся соответствующие усовершенствования.</w:t>
            </w:r>
          </w:p>
          <w:p w14:paraId="241EEB9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опытный самолет выйдет на аэродром в феврале 1933 года.</w:t>
            </w:r>
          </w:p>
        </w:tc>
      </w:tr>
      <w:tr w:rsidR="004E10C1" w:rsidRPr="0044524F" w14:paraId="37D9522A" w14:textId="77777777">
        <w:tc>
          <w:tcPr>
            <w:tcW w:w="3528" w:type="dxa"/>
          </w:tcPr>
          <w:p w14:paraId="61EC4BB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ДИП-2М34</w:t>
            </w:r>
          </w:p>
          <w:p w14:paraId="4122608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Двухмоторный истребитель пушечный, вооруженный одной пушкой большого калибра (100 мм), дальность полета 600 км, тоже с перегрузкой – 1000 км. Скорость 325 км/час.</w:t>
            </w:r>
          </w:p>
          <w:p w14:paraId="5EDF320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готовности на госиспытание – 1 октября 1933 года.</w:t>
            </w:r>
          </w:p>
          <w:p w14:paraId="3390105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Машина предназначается д/нападения на бомбардировщиков, перешедших нашу границу.</w:t>
            </w:r>
          </w:p>
        </w:tc>
        <w:tc>
          <w:tcPr>
            <w:tcW w:w="6361" w:type="dxa"/>
          </w:tcPr>
          <w:p w14:paraId="38CF977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Технические требования на машину получены лишь 4-го января 1933 года.</w:t>
            </w:r>
          </w:p>
          <w:p w14:paraId="0EF3BE5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Идет увязка технических требований с проектом и если не будет разногласия с проектом, то срок, намеченный по плану выхода на госиспытания будет выдержан.</w:t>
            </w:r>
          </w:p>
        </w:tc>
      </w:tr>
      <w:tr w:rsidR="004E10C1" w:rsidRPr="0044524F" w14:paraId="1959FC88" w14:textId="77777777">
        <w:tc>
          <w:tcPr>
            <w:tcW w:w="3528" w:type="dxa"/>
          </w:tcPr>
          <w:p w14:paraId="2731F13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ЛР-34</w:t>
            </w:r>
          </w:p>
          <w:p w14:paraId="41FEE02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разведчик, дальность полета – 800 км.</w:t>
            </w:r>
          </w:p>
          <w:p w14:paraId="69E9517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300-310 км/час. Срок выхода на аэродром 1 марта 1933 года.</w:t>
            </w:r>
          </w:p>
        </w:tc>
        <w:tc>
          <w:tcPr>
            <w:tcW w:w="6361" w:type="dxa"/>
          </w:tcPr>
          <w:p w14:paraId="36E634C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краткости срока выхода машины, она была начата проектированием до получения из УВВС детальных технических требований и определения лица машины. То и другое последовало лишь 8 декабря 1932 года, тогда же было начальником ВВС решено заменить заднего стрелка (стоячего) нашего проекта стрелком,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отдаляется.</w:t>
            </w:r>
          </w:p>
          <w:p w14:paraId="38831F7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Новый проект самолета будет закончен 20 февраля 1933 года и самолет из постройки выйдет 1 июня 1933 года.</w:t>
            </w:r>
          </w:p>
        </w:tc>
      </w:tr>
      <w:tr w:rsidR="004E10C1" w:rsidRPr="0044524F" w14:paraId="0D544933" w14:textId="77777777">
        <w:tc>
          <w:tcPr>
            <w:tcW w:w="3528" w:type="dxa"/>
          </w:tcPr>
          <w:p w14:paraId="2C39B60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ДИ6-М34, М38 или М-32</w:t>
            </w:r>
          </w:p>
          <w:p w14:paraId="3D086B4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Двухместный истребитель, скорость 350-375 км/час, вооружен двумя пулеметами легкими и двумя пулеметами тяжелыми. Срок выхода на госиспытания 1 июня 1933 года.</w:t>
            </w:r>
          </w:p>
        </w:tc>
        <w:tc>
          <w:tcPr>
            <w:tcW w:w="6361" w:type="dxa"/>
          </w:tcPr>
          <w:p w14:paraId="07095D7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Технические требования на самолет получены лишь 14 января 1933 года. Проектирование и постройка самолета будет произведено в течение 10 месяцев со дня получения технических требований и самолет выйдет на аэродром к 15 ноября 1933 года.</w:t>
            </w:r>
          </w:p>
        </w:tc>
      </w:tr>
      <w:tr w:rsidR="004E10C1" w:rsidRPr="0044524F" w14:paraId="00EEC58D" w14:textId="77777777">
        <w:tc>
          <w:tcPr>
            <w:tcW w:w="3528" w:type="dxa"/>
          </w:tcPr>
          <w:p w14:paraId="7588D34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И13-М32</w:t>
            </w:r>
          </w:p>
          <w:p w14:paraId="1D1D91D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 вооруженный легкими пулеметами, имеющий дальность полета 500 км при скорости 350-400 км/час. Срок выхода на госиспытания 1 июня 1933 года.</w:t>
            </w:r>
          </w:p>
        </w:tc>
        <w:tc>
          <w:tcPr>
            <w:tcW w:w="6361" w:type="dxa"/>
          </w:tcPr>
          <w:p w14:paraId="127109E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Технические требования и лицо машины со стороны УВВС определены только лишь 30 декабря 1932 года, по получении чего ЦАГИ должен начать проектированием новый самолет, так как работа, проводимая им до этого времени (вариант развития И-8), не может быть использована по прямому назначению.</w:t>
            </w:r>
          </w:p>
          <w:p w14:paraId="15949A4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постройка самолета займет 11 месяцев и после получения мотора самолет выйдет на аэродром через 9 месяцев.</w:t>
            </w:r>
          </w:p>
        </w:tc>
      </w:tr>
      <w:tr w:rsidR="004E10C1" w:rsidRPr="0044524F" w14:paraId="42380100" w14:textId="77777777">
        <w:tc>
          <w:tcPr>
            <w:tcW w:w="3528" w:type="dxa"/>
          </w:tcPr>
          <w:p w14:paraId="631D511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М-38</w:t>
            </w:r>
          </w:p>
          <w:p w14:paraId="76BCD94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 Дальность полета – 500 км, вооруженный легкими пулеметами.</w:t>
            </w:r>
          </w:p>
          <w:p w14:paraId="45E7D8F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15 марта 1933 года.</w:t>
            </w:r>
          </w:p>
        </w:tc>
        <w:tc>
          <w:tcPr>
            <w:tcW w:w="6361" w:type="dxa"/>
          </w:tcPr>
          <w:p w14:paraId="6A7AB49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 И-14 строится в ЦАГИ в 2-х разновидностях:</w:t>
            </w:r>
          </w:p>
          <w:p w14:paraId="00702982" w14:textId="77777777" w:rsidR="00E37239" w:rsidRPr="0044524F" w:rsidRDefault="00E37239"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Пушечной машины под 2 пушки ДРП 37 мм, автоматические. Скорость полета 360 км/час.</w:t>
            </w:r>
          </w:p>
          <w:p w14:paraId="69F5095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самолета – уничтожение неприятельских тяжелых самолетов и соединений самолетов.</w:t>
            </w:r>
          </w:p>
          <w:p w14:paraId="787503E8" w14:textId="77777777" w:rsidR="00E37239" w:rsidRPr="0044524F" w:rsidRDefault="00E37239"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Легкая маневренная машина, лицо которой было согласовано с начальником ВВС Алкснисом 8 декабря 1932 года переименована в дальнейшем в И-15.</w:t>
            </w:r>
          </w:p>
          <w:p w14:paraId="3C23DFC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развернут постройкой полностью. Мотор на 1-й машине будет поставлен заграничный «Меркур-Бристоль».</w:t>
            </w:r>
          </w:p>
          <w:p w14:paraId="474BCE5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машины предполагается к 1 мая 1933 года.</w:t>
            </w:r>
          </w:p>
        </w:tc>
      </w:tr>
      <w:tr w:rsidR="004E10C1" w:rsidRPr="0044524F" w14:paraId="2EDA01ED" w14:textId="77777777">
        <w:tc>
          <w:tcPr>
            <w:tcW w:w="3528" w:type="dxa"/>
          </w:tcPr>
          <w:p w14:paraId="798B409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 2М-52</w:t>
            </w:r>
          </w:p>
          <w:p w14:paraId="6E3956F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Войсковой самолет, он же химический легкий боевик, вооруженный легкими пулеметами.</w:t>
            </w:r>
          </w:p>
          <w:p w14:paraId="28CA1C7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горизонтальной скоростью на высоте 3000 м – 350 км/час.</w:t>
            </w:r>
          </w:p>
          <w:p w14:paraId="6CB3003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аэродром – июль 1933 года.</w:t>
            </w:r>
          </w:p>
        </w:tc>
        <w:tc>
          <w:tcPr>
            <w:tcW w:w="6361" w:type="dxa"/>
          </w:tcPr>
          <w:p w14:paraId="2A1CD31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постройка ведется ХАЗОССом (Калининым). Ввиду перегрузки завода проектными опытными и исследовательскими работами (по сварке хромомолибденовых труб), самолета К-7, а также серийными работами по самолету К-5, работы по самолету ВС не могут быть пущены надлежащими темпами. В настоящее время ведется предварительное проектирование. Намечается конструкция из сварных хромомолибденовых труб. В случае подачи моторов в июне 1933 года (практически возможный срок) самолет может выйти на аэродром в сентябре 1933 года.</w:t>
            </w:r>
          </w:p>
        </w:tc>
      </w:tr>
      <w:tr w:rsidR="004E10C1" w:rsidRPr="0044524F" w14:paraId="153DBCC5" w14:textId="77777777">
        <w:tc>
          <w:tcPr>
            <w:tcW w:w="3528" w:type="dxa"/>
          </w:tcPr>
          <w:p w14:paraId="7C88B74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У3-М48 (Модификация У2-М11)</w:t>
            </w:r>
          </w:p>
          <w:p w14:paraId="23EB813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самолет, он же связи и сопровождения (для туризма, спорта, легкой санитарии, местной авиации).</w:t>
            </w:r>
          </w:p>
          <w:p w14:paraId="1CC83EBF"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491BE83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1 марта 1933 года.</w:t>
            </w:r>
          </w:p>
        </w:tc>
        <w:tc>
          <w:tcPr>
            <w:tcW w:w="6361" w:type="dxa"/>
          </w:tcPr>
          <w:p w14:paraId="4EA8AD7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поручена ВТУЗу ГУАП (ХАИ). Ввиду многообразного назначения и установки более мощного мотора, связанного с увеличением объема горючего, модифицирование осложняется. Необходимость иметь готовый самолет У2 и отсутствие производственных возможностей во ВТУЗе делает целесообразным передачу работы на завод № 23 с использованием им всех проработанных материалов ХАИ.</w:t>
            </w:r>
          </w:p>
          <w:p w14:paraId="3812C6F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сдвинется, ввиду неготовности моторов М-48.</w:t>
            </w:r>
          </w:p>
          <w:p w14:paraId="4368597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подачи моторов самолет может быть выпущен через 3 месяца.</w:t>
            </w:r>
          </w:p>
        </w:tc>
      </w:tr>
      <w:tr w:rsidR="004E10C1" w:rsidRPr="0044524F" w14:paraId="294901D4" w14:textId="77777777">
        <w:tc>
          <w:tcPr>
            <w:tcW w:w="3528" w:type="dxa"/>
          </w:tcPr>
          <w:p w14:paraId="7C7F996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МК-1-6М34РН</w:t>
            </w:r>
          </w:p>
          <w:p w14:paraId="462DA57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крейсер, он же морской бомбардировщик торпедоносец с минным снаряжением в 1850 кг, при перегрузке в 2230 кг, с бомбами до 1000 кг и торпедой 800 кг. Скорость – 215-230 км/час на 4000 м.</w:t>
            </w:r>
          </w:p>
          <w:p w14:paraId="6032A3E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1 декабря 1933 года.</w:t>
            </w:r>
          </w:p>
        </w:tc>
        <w:tc>
          <w:tcPr>
            <w:tcW w:w="6361" w:type="dxa"/>
          </w:tcPr>
          <w:p w14:paraId="11C763B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доведено до 80%. Идет постройка отдельных частей – крыло, лодка и проч. Общая готовность около 40%. Несмотря на ряд трудностей, так как ЦАГИ впервые осуществляет гидросамолет-гигант, а морской самолет до этого построил лишь только один, плановый срок должен быть выдержан.</w:t>
            </w:r>
          </w:p>
        </w:tc>
      </w:tr>
      <w:tr w:rsidR="004E10C1" w:rsidRPr="0044524F" w14:paraId="59E1058E" w14:textId="77777777">
        <w:tc>
          <w:tcPr>
            <w:tcW w:w="3528" w:type="dxa"/>
          </w:tcPr>
          <w:p w14:paraId="70D7EB2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МДР-3 бис 3М34</w:t>
            </w:r>
          </w:p>
          <w:p w14:paraId="2664CF1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машины устанавливаются Реввренсоветом и согласовываются Глававиапромом</w:t>
            </w:r>
          </w:p>
        </w:tc>
        <w:tc>
          <w:tcPr>
            <w:tcW w:w="6361" w:type="dxa"/>
          </w:tcPr>
          <w:p w14:paraId="0468BD4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Машина МДР-3 при испытании была забракована УВВС из-за неудовлетворительных летных качеств, вибраций хвостового оперения, вибраций моторных установок, недостаточной прочности хвостовой части лодки и проч.</w:t>
            </w:r>
          </w:p>
          <w:p w14:paraId="4132418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Институтом предпринята полная переработка всей машины заново.</w:t>
            </w:r>
          </w:p>
          <w:p w14:paraId="4008D81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УВВС в дальнейшем машина переименована в МДР-4 3М34.</w:t>
            </w:r>
          </w:p>
          <w:p w14:paraId="2E56FAD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Технические требования на нее получены в конце декабря. Ведется согласование их с проектом машины. Проектирование машины развернуто. Срок выпуска машины может быть установлен 11-12 месяцев с момента получения технических требований, т.е. к ноябрю-декабрю 1933 года.</w:t>
            </w:r>
          </w:p>
        </w:tc>
      </w:tr>
      <w:tr w:rsidR="004E10C1" w:rsidRPr="0044524F" w14:paraId="483D2073" w14:textId="77777777">
        <w:tc>
          <w:tcPr>
            <w:tcW w:w="3528" w:type="dxa"/>
          </w:tcPr>
          <w:p w14:paraId="289F0C6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 7М-34</w:t>
            </w:r>
          </w:p>
          <w:p w14:paraId="78AC846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вооруженный …… пулеметами ДА, 3-мя автоматическими пушками (20 мм) и ……… кг бомбами (хромомолибден.), конструкции, моноплан с двуххвостовой осуществляет идею размещения грузов преимущественно в крыле. 4-х колесное шасси с управляемыми передними колесами должно обеспечить хорошую маневренность на земле.</w:t>
            </w:r>
          </w:p>
          <w:p w14:paraId="0D5FE58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Срок выхода на аэродром - </w:t>
            </w:r>
          </w:p>
        </w:tc>
        <w:tc>
          <w:tcPr>
            <w:tcW w:w="6361" w:type="dxa"/>
          </w:tcPr>
          <w:p w14:paraId="32F4D61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ХАЗОССом закончено к октябрю 1932 года. В настоящее время ведется постройка отдельных частей с параллельными работами по статическим испытаниям. Готовность самолета в целом может быть выражена в 13%.</w:t>
            </w:r>
          </w:p>
          <w:p w14:paraId="75C601B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завод впервые выполняет постройку большой машины без предварительного выпуска промежуточных машин и необходимости освоения технологического процесса новых материалов, работа идет с замедлением против намеченных сроков, а потому срок выхода машины сдвинется на август 1933 года.</w:t>
            </w:r>
          </w:p>
        </w:tc>
      </w:tr>
      <w:tr w:rsidR="004E10C1" w:rsidRPr="0044524F" w14:paraId="05A418B7" w14:textId="77777777">
        <w:tc>
          <w:tcPr>
            <w:tcW w:w="3528" w:type="dxa"/>
          </w:tcPr>
          <w:p w14:paraId="6C12BA8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w:t>
            </w:r>
          </w:p>
        </w:tc>
        <w:tc>
          <w:tcPr>
            <w:tcW w:w="6361" w:type="dxa"/>
          </w:tcPr>
          <w:p w14:paraId="258BF789" w14:textId="77777777" w:rsidR="00E37239" w:rsidRPr="0044524F" w:rsidRDefault="00E37239" w:rsidP="009654CF">
            <w:pPr>
              <w:spacing w:after="0" w:line="240" w:lineRule="auto"/>
              <w:jc w:val="both"/>
              <w:rPr>
                <w:rFonts w:ascii="Times New Roman" w:hAnsi="Times New Roman"/>
                <w:color w:val="000000" w:themeColor="text1"/>
                <w:sz w:val="16"/>
                <w:szCs w:val="16"/>
              </w:rPr>
            </w:pPr>
          </w:p>
        </w:tc>
      </w:tr>
      <w:tr w:rsidR="004E10C1" w:rsidRPr="0044524F" w14:paraId="7804C275" w14:textId="77777777">
        <w:tc>
          <w:tcPr>
            <w:tcW w:w="3528" w:type="dxa"/>
          </w:tcPr>
          <w:p w14:paraId="0354E51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Высотный самолет, он же рекордный на высоту. Срок окончания постройки 1 апреля 1933 года.</w:t>
            </w:r>
          </w:p>
        </w:tc>
        <w:tc>
          <w:tcPr>
            <w:tcW w:w="6361" w:type="dxa"/>
          </w:tcPr>
          <w:p w14:paraId="6AE4AD0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Проектированием машина закончена на 75% и находится в производстве.</w:t>
            </w:r>
          </w:p>
          <w:p w14:paraId="61CF601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машины требуется специальный высотный мотор, изготовляемый ЦИАМом, срок готовности которого сейчас определяется в первой половине 1934 года.</w:t>
            </w:r>
          </w:p>
          <w:p w14:paraId="6BA6C5F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ускорения выпуска машины считаем правильным поставить мотор с меньшей высотностью для изучения условий полета на столь больших высотах, а именно: мотор М-34 с редуктором и наддувом до 5000 м. При условии получения мотора к 1 июля 1933 года машина может быть представлена для начала предварительных с ней испытаний в четвертом квартале 1933 года.</w:t>
            </w:r>
          </w:p>
        </w:tc>
      </w:tr>
      <w:tr w:rsidR="004E10C1" w:rsidRPr="0044524F" w14:paraId="50031CA2" w14:textId="77777777">
        <w:tc>
          <w:tcPr>
            <w:tcW w:w="3528" w:type="dxa"/>
          </w:tcPr>
          <w:p w14:paraId="69A4F1E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РД-М34</w:t>
            </w:r>
          </w:p>
          <w:p w14:paraId="77E1C87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Рекордный самолет на дальность (9000-10000 км). Срок выхода на аэродром -август 132 года.</w:t>
            </w:r>
          </w:p>
        </w:tc>
        <w:tc>
          <w:tcPr>
            <w:tcW w:w="6361" w:type="dxa"/>
          </w:tcPr>
          <w:p w14:paraId="2BD4865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находится в постройке и будет готов для предварительных полетов в мае 1933 года. Для проведения рекорда необходима значительная подготовка самолета, мотора (тщательно отработать из специально изготовленных деталей 10 моторов и подобрать наиболее экономичную регулировку расхода горючего, экипажа, маршрута) выбрать маршрут и изучить метеорологические условия, взлетной площадки (бетонированную дорожку).</w:t>
            </w:r>
          </w:p>
          <w:p w14:paraId="1332EDC2"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23D7F4C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проведения указанного потребуются отдельные денежные средства и материальная часть.</w:t>
            </w:r>
          </w:p>
          <w:p w14:paraId="2ED582A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При обеспечении всем необходимым и получения положительных результатов испытания и полета на продолжительность, полет на дальность может быть совершен в сентябре 1933 года.</w:t>
            </w:r>
          </w:p>
        </w:tc>
      </w:tr>
      <w:tr w:rsidR="004E10C1" w:rsidRPr="0044524F" w14:paraId="494733EA" w14:textId="77777777">
        <w:tc>
          <w:tcPr>
            <w:tcW w:w="3528" w:type="dxa"/>
          </w:tcPr>
          <w:p w14:paraId="226E615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Парабола</w:t>
            </w:r>
          </w:p>
          <w:p w14:paraId="7F9A504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 летающее крыло (Парабола Черановского.</w:t>
            </w:r>
          </w:p>
          <w:p w14:paraId="5E069AA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Срок выхода на госиспытание - </w:t>
            </w:r>
          </w:p>
        </w:tc>
        <w:tc>
          <w:tcPr>
            <w:tcW w:w="6361" w:type="dxa"/>
          </w:tcPr>
          <w:p w14:paraId="3E687B1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течение 1932 года ЦАГИ провел работу по постройке и испытанию одномоторного самолета Летающее крыло Параболы. Испытания показали удовлетворительные летные данные и устойчивость полета машины. Учитывая полученный опыт одномоторной Параболы, ЦАГИ полагает возможным и более целесообразным взамен экспериментальной переходной машины Параболы с 2-мя М11, строить уже не переходную машину, а экспериментальную с двумя моторами по 400-600 НР, которая могла бы иметь эксплуатационное значение. В связи с этим увеличивается масштаб машины, а следовательно и объем конструкторских и производственных работ. На основании приведенных соображений, срок выхода на аэродром ЛК2М (400-600 НР) сдвинется на 1 мая 1933 года.</w:t>
            </w:r>
          </w:p>
        </w:tc>
      </w:tr>
      <w:tr w:rsidR="004E10C1" w:rsidRPr="0044524F" w14:paraId="58EB1278" w14:textId="77777777">
        <w:tc>
          <w:tcPr>
            <w:tcW w:w="3528" w:type="dxa"/>
          </w:tcPr>
          <w:p w14:paraId="4B9F7CF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особым типом разрезных крыльев конструкции Кричевского.</w:t>
            </w:r>
          </w:p>
          <w:p w14:paraId="4088D05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госиспытание – 1 декабря 1932 года.</w:t>
            </w:r>
          </w:p>
        </w:tc>
        <w:tc>
          <w:tcPr>
            <w:tcW w:w="6361" w:type="dxa"/>
          </w:tcPr>
          <w:p w14:paraId="5BAE5D1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самолета был окончен в октябре 1932 года, но вследствие произведенной исследовательской работы по крылу «Моноспар» (статиспытания) выяснилась непригодность данной конструкции крыла.</w:t>
            </w:r>
          </w:p>
          <w:p w14:paraId="4B355AD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переделывается и окончательно будет готов 1 февраля 1933 года.</w:t>
            </w:r>
          </w:p>
        </w:tc>
      </w:tr>
      <w:tr w:rsidR="004E10C1" w:rsidRPr="0044524F" w14:paraId="19B6F9FF" w14:textId="77777777">
        <w:tc>
          <w:tcPr>
            <w:tcW w:w="3528" w:type="dxa"/>
          </w:tcPr>
          <w:p w14:paraId="4D30650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 (3 ЕА)</w:t>
            </w:r>
          </w:p>
          <w:p w14:paraId="54A18D4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экземпляр построенного ранее геликоптера. Срок окончания постройки – июль 1932 года.</w:t>
            </w:r>
          </w:p>
        </w:tc>
        <w:tc>
          <w:tcPr>
            <w:tcW w:w="6361" w:type="dxa"/>
          </w:tcPr>
          <w:p w14:paraId="54B673D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Проведены в основном летные испытания геликоптера 1 ЕА, выявившие чрезвычайно успешные результаты, превосходящие все то, что имеется за границей в части подобных аппаратов.</w:t>
            </w:r>
          </w:p>
          <w:p w14:paraId="76864FF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ВГ (3 ЕА) – постройкой к настоящему времени закончен и в ближайшее время будет приступлено к его испытанию.</w:t>
            </w:r>
          </w:p>
        </w:tc>
      </w:tr>
      <w:tr w:rsidR="004E10C1" w:rsidRPr="0044524F" w14:paraId="1263647B" w14:textId="77777777">
        <w:tc>
          <w:tcPr>
            <w:tcW w:w="3528" w:type="dxa"/>
          </w:tcPr>
          <w:p w14:paraId="1BA16CE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М11</w:t>
            </w:r>
          </w:p>
          <w:p w14:paraId="1ADB956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постройки – ноябрь 1932 года.</w:t>
            </w:r>
          </w:p>
        </w:tc>
        <w:tc>
          <w:tcPr>
            <w:tcW w:w="6361" w:type="dxa"/>
          </w:tcPr>
          <w:p w14:paraId="74FFBF8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постройка этого аппарата почти закончена и примерно к 1 февраля 1933 года он поступит на испытания.</w:t>
            </w:r>
          </w:p>
        </w:tc>
      </w:tr>
      <w:tr w:rsidR="004E10C1" w:rsidRPr="0044524F" w14:paraId="0DA51869" w14:textId="77777777">
        <w:tc>
          <w:tcPr>
            <w:tcW w:w="3528" w:type="dxa"/>
          </w:tcPr>
          <w:p w14:paraId="0A126C4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М22</w:t>
            </w:r>
          </w:p>
          <w:p w14:paraId="7FD065A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постройки – январь 1933 года</w:t>
            </w:r>
          </w:p>
        </w:tc>
        <w:tc>
          <w:tcPr>
            <w:tcW w:w="6361" w:type="dxa"/>
          </w:tcPr>
          <w:p w14:paraId="78D7FE7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машины в основном закончено и основные элементы этого аппарата находятся в постройке.</w:t>
            </w:r>
          </w:p>
          <w:p w14:paraId="114B37B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машины ориентировочно намечается на 1 мая 1933 года. Задержка при проектировании произошла из-за невозможности своевременно подобрать конструкторские кадры и из-за целого ряда трудностей, возникших при проектировании этой машины.</w:t>
            </w:r>
          </w:p>
        </w:tc>
      </w:tr>
    </w:tbl>
    <w:p w14:paraId="11A63F1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части винтовых аппаратов, помимо указанных объектов, была проделана следующая работа:</w:t>
      </w:r>
    </w:p>
    <w:p w14:paraId="31CE87F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5B42837D" w14:textId="77777777" w:rsidR="00E37239" w:rsidRPr="0044524F" w:rsidRDefault="00E37239" w:rsidP="009654CF">
      <w:pPr>
        <w:pStyle w:val="a3"/>
        <w:widowControl/>
        <w:rPr>
          <w:color w:val="000000" w:themeColor="text1"/>
          <w:lang w:val="ru-RU"/>
        </w:rPr>
      </w:pPr>
      <w:r w:rsidRPr="0044524F">
        <w:rPr>
          <w:color w:val="000000" w:themeColor="text1"/>
          <w:lang w:val="ru-RU"/>
        </w:rPr>
        <w:t>2. Автожир 2ЭА с мотором Титан 230 л.с. перепроектирован в другую машину 4ЭА, под советский мотор М-26 300 л.с. Эта машина была построена в единичном экземпляре в ЦАГИ и на ней совершены были первые полеты.</w:t>
      </w:r>
    </w:p>
    <w:p w14:paraId="21BB492C" w14:textId="77777777" w:rsidR="00E37239" w:rsidRPr="0044524F" w:rsidRDefault="00E37239" w:rsidP="009654CF">
      <w:pPr>
        <w:numPr>
          <w:ilvl w:val="0"/>
          <w:numId w:val="4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 же машина была подготовлена к серийной постройке и была внедрена в серийное производство на Киевском заводе № 43, причем 30 ноября была выпущена первая серийная машина.</w:t>
      </w:r>
    </w:p>
    <w:p w14:paraId="28F2F30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выпуска первой серийной машины процент готовности серии в 9 экземпляров можно сейчас оценить примерно 60-65%.</w:t>
      </w:r>
    </w:p>
    <w:p w14:paraId="0B6134EC" w14:textId="77777777" w:rsidR="00E37239" w:rsidRPr="0044524F" w:rsidRDefault="00E37239" w:rsidP="009654CF">
      <w:pPr>
        <w:pStyle w:val="a3"/>
        <w:widowControl/>
        <w:numPr>
          <w:ilvl w:val="0"/>
          <w:numId w:val="47"/>
        </w:numPr>
        <w:tabs>
          <w:tab w:val="left" w:pos="360"/>
        </w:tabs>
        <w:ind w:left="0" w:firstLine="0"/>
        <w:rPr>
          <w:color w:val="000000" w:themeColor="text1"/>
          <w:lang w:val="ru-RU"/>
        </w:rPr>
      </w:pPr>
      <w:r w:rsidRPr="0044524F">
        <w:rPr>
          <w:color w:val="000000" w:themeColor="text1"/>
          <w:lang w:val="ru-RU"/>
        </w:rPr>
        <w:t>Было проведено полное летное испытание первого Цаговского автожира 2ЭА, давшего летные результаты, не уступающие аналогичным заграничным машинам.</w:t>
      </w:r>
    </w:p>
    <w:p w14:paraId="2B38071F" w14:textId="77777777" w:rsidR="00E37239" w:rsidRPr="0044524F" w:rsidRDefault="00E37239" w:rsidP="009654CF">
      <w:pPr>
        <w:pStyle w:val="a3"/>
        <w:widowControl/>
        <w:numPr>
          <w:ilvl w:val="0"/>
          <w:numId w:val="48"/>
        </w:numPr>
        <w:tabs>
          <w:tab w:val="left" w:pos="360"/>
        </w:tabs>
        <w:ind w:left="0" w:firstLine="0"/>
        <w:rPr>
          <w:color w:val="000000" w:themeColor="text1"/>
          <w:lang w:val="ru-RU"/>
        </w:rPr>
      </w:pPr>
      <w:r w:rsidRPr="0044524F">
        <w:rPr>
          <w:color w:val="000000" w:themeColor="text1"/>
          <w:lang w:val="ru-RU"/>
        </w:rPr>
        <w:t>Проведена большая экспериментально-теоретическая работа по разработке и овладению теории винтовых аппаратов и методики их расчетов.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8"/>
        <w:gridCol w:w="6966"/>
      </w:tblGrid>
      <w:tr w:rsidR="004E10C1" w:rsidRPr="0044524F" w14:paraId="706A16A2" w14:textId="77777777">
        <w:tc>
          <w:tcPr>
            <w:tcW w:w="3348" w:type="dxa"/>
          </w:tcPr>
          <w:p w14:paraId="1F75EB6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p w14:paraId="09D3CE2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моторов М-34. Срок выхода на аэродром – декабрь 1932 года.</w:t>
            </w:r>
          </w:p>
        </w:tc>
        <w:tc>
          <w:tcPr>
            <w:tcW w:w="6966" w:type="dxa"/>
          </w:tcPr>
          <w:p w14:paraId="1D98161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установка моторов закончены.</w:t>
            </w:r>
          </w:p>
          <w:p w14:paraId="6E954AF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в декабре 1932 года был выведен на аэродром. В настоящее время готовится к полету (пробуются моторы, смазка, радиаторы и т.п.). Полет предполагается начать 20-25 января 1933 года.</w:t>
            </w:r>
          </w:p>
        </w:tc>
      </w:tr>
      <w:tr w:rsidR="004E10C1" w:rsidRPr="0044524F" w14:paraId="6BDEAB41" w14:textId="77777777">
        <w:tc>
          <w:tcPr>
            <w:tcW w:w="3348" w:type="dxa"/>
          </w:tcPr>
          <w:p w14:paraId="30F33F8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w:t>
            </w:r>
          </w:p>
          <w:p w14:paraId="7ED8456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М34. Срок выхода на испытания – 1 июля 1933 года.</w:t>
            </w:r>
          </w:p>
          <w:p w14:paraId="49EB5ED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данные и срок предложено уточнить с УВВС.</w:t>
            </w:r>
          </w:p>
        </w:tc>
        <w:tc>
          <w:tcPr>
            <w:tcW w:w="6966" w:type="dxa"/>
          </w:tcPr>
          <w:p w14:paraId="65A1BFC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плану предполагалось произвести только установку мотора М34 на имеющуюся машину ТШ2 взамен М17.</w:t>
            </w:r>
          </w:p>
          <w:p w14:paraId="0946600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Имея в виду, что самолет ТШ2 в настоящее время к серийному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 Срок выполнения проектов и постройки намечается через 9-12 месяцев после выявления лица машины со стороны УВВС и согласования с ним технических требований, каковые от УВВС только что получены.</w:t>
            </w:r>
          </w:p>
        </w:tc>
      </w:tr>
      <w:tr w:rsidR="004E10C1" w:rsidRPr="0044524F" w14:paraId="2C50B96B" w14:textId="77777777">
        <w:tc>
          <w:tcPr>
            <w:tcW w:w="3348" w:type="dxa"/>
          </w:tcPr>
          <w:p w14:paraId="585CDE1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Р5-М34</w:t>
            </w:r>
          </w:p>
          <w:p w14:paraId="7DC0ED6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М34.</w:t>
            </w:r>
          </w:p>
          <w:p w14:paraId="6D60421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 июля 1932 года</w:t>
            </w:r>
          </w:p>
        </w:tc>
        <w:tc>
          <w:tcPr>
            <w:tcW w:w="6966" w:type="dxa"/>
          </w:tcPr>
          <w:p w14:paraId="20D5274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перестановка мотора закончены в срок. Машина проходит заводские испытания и доводку моторной части.</w:t>
            </w:r>
          </w:p>
        </w:tc>
      </w:tr>
      <w:tr w:rsidR="004E10C1" w:rsidRPr="0044524F" w14:paraId="39759606" w14:textId="77777777">
        <w:tc>
          <w:tcPr>
            <w:tcW w:w="3348" w:type="dxa"/>
          </w:tcPr>
          <w:p w14:paraId="2FE6038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p w14:paraId="2623359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тормозного шасси и тормозных колес.</w:t>
            </w:r>
          </w:p>
          <w:p w14:paraId="2FCB442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15 августа 1932 года</w:t>
            </w:r>
          </w:p>
        </w:tc>
        <w:tc>
          <w:tcPr>
            <w:tcW w:w="6966" w:type="dxa"/>
          </w:tcPr>
          <w:p w14:paraId="24039B9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исполнена в срок. Прошла заводские и государственные испытания и принята на снабжение.</w:t>
            </w:r>
          </w:p>
        </w:tc>
      </w:tr>
      <w:tr w:rsidR="004E10C1" w:rsidRPr="0044524F" w14:paraId="54E81CA8" w14:textId="77777777">
        <w:tc>
          <w:tcPr>
            <w:tcW w:w="3348" w:type="dxa"/>
          </w:tcPr>
          <w:p w14:paraId="6F0942A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С-62 бис</w:t>
            </w:r>
          </w:p>
          <w:p w14:paraId="514F4F7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М34.</w:t>
            </w:r>
          </w:p>
          <w:p w14:paraId="6AA8950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 января 1933 года.</w:t>
            </w:r>
          </w:p>
        </w:tc>
        <w:tc>
          <w:tcPr>
            <w:tcW w:w="6966" w:type="dxa"/>
          </w:tcPr>
          <w:p w14:paraId="6069C64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установка мотора закончены в срок. В настоящее время проводится доводка моторного хозяйства.</w:t>
            </w:r>
          </w:p>
        </w:tc>
      </w:tr>
      <w:tr w:rsidR="004E10C1" w:rsidRPr="0044524F" w14:paraId="5CA71A97" w14:textId="77777777">
        <w:tc>
          <w:tcPr>
            <w:tcW w:w="3348" w:type="dxa"/>
          </w:tcPr>
          <w:p w14:paraId="67A03FD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И12-2М22</w:t>
            </w:r>
          </w:p>
          <w:p w14:paraId="09BDB05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второго модифицированного экземпляра.</w:t>
            </w:r>
          </w:p>
          <w:p w14:paraId="4D21B00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 ноября 1932 года.</w:t>
            </w:r>
          </w:p>
        </w:tc>
        <w:tc>
          <w:tcPr>
            <w:tcW w:w="6966" w:type="dxa"/>
          </w:tcPr>
          <w:p w14:paraId="206BA50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машины закончено. В постройке самолет выполнен на 80%. Дальнейшая работа задерживается получением специальных труб для пушек ДРП, изготовляемых на заводе № 8.</w:t>
            </w:r>
          </w:p>
        </w:tc>
      </w:tr>
      <w:tr w:rsidR="004E10C1" w:rsidRPr="0044524F" w14:paraId="1EE9C1D0" w14:textId="77777777">
        <w:tc>
          <w:tcPr>
            <w:tcW w:w="3348" w:type="dxa"/>
          </w:tcPr>
          <w:p w14:paraId="11B4084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p w14:paraId="42AE0AB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емкости баков.</w:t>
            </w:r>
          </w:p>
          <w:p w14:paraId="29DF066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15 мая 1932 года.</w:t>
            </w:r>
          </w:p>
        </w:tc>
        <w:tc>
          <w:tcPr>
            <w:tcW w:w="6966" w:type="dxa"/>
          </w:tcPr>
          <w:p w14:paraId="6C0535B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закончена в срок.</w:t>
            </w:r>
          </w:p>
        </w:tc>
      </w:tr>
      <w:tr w:rsidR="004E10C1" w:rsidRPr="0044524F" w14:paraId="0D3F5DEA" w14:textId="77777777">
        <w:tc>
          <w:tcPr>
            <w:tcW w:w="3348" w:type="dxa"/>
          </w:tcPr>
          <w:p w14:paraId="08BCFB7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ТБ1-2М17</w:t>
            </w:r>
          </w:p>
          <w:p w14:paraId="5506DE5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емкости баков.</w:t>
            </w:r>
          </w:p>
          <w:p w14:paraId="038C839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15 мая 1932 года.</w:t>
            </w:r>
          </w:p>
        </w:tc>
        <w:tc>
          <w:tcPr>
            <w:tcW w:w="6966" w:type="dxa"/>
          </w:tcPr>
          <w:p w14:paraId="40A1762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закончена в срок.</w:t>
            </w:r>
          </w:p>
        </w:tc>
      </w:tr>
      <w:tr w:rsidR="004E10C1" w:rsidRPr="0044524F" w14:paraId="1F1AF1C2" w14:textId="77777777">
        <w:tc>
          <w:tcPr>
            <w:tcW w:w="3348" w:type="dxa"/>
          </w:tcPr>
          <w:p w14:paraId="53028B0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ТБ1-2М17</w:t>
            </w:r>
          </w:p>
          <w:p w14:paraId="239BC3F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Приспособление для химических целей.</w:t>
            </w:r>
          </w:p>
          <w:p w14:paraId="29BA88D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15 августа 1932 года.</w:t>
            </w:r>
          </w:p>
        </w:tc>
        <w:tc>
          <w:tcPr>
            <w:tcW w:w="6966" w:type="dxa"/>
          </w:tcPr>
          <w:p w14:paraId="7420885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вариант схемы приспособлений закончен в срок. В настоящий момент вводятся усовершенствования.</w:t>
            </w:r>
          </w:p>
        </w:tc>
      </w:tr>
      <w:tr w:rsidR="004E10C1" w:rsidRPr="0044524F" w14:paraId="7DCA134D" w14:textId="77777777">
        <w:tc>
          <w:tcPr>
            <w:tcW w:w="3348" w:type="dxa"/>
          </w:tcPr>
          <w:p w14:paraId="67B9610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p w14:paraId="4DCC940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на поплавки.</w:t>
            </w:r>
          </w:p>
          <w:p w14:paraId="3C5695E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 сентября 1932 года.</w:t>
            </w:r>
          </w:p>
        </w:tc>
        <w:tc>
          <w:tcPr>
            <w:tcW w:w="6966" w:type="dxa"/>
          </w:tcPr>
          <w:p w14:paraId="60C1607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Проектированием и производством работа закончена в срок. Произведены полетные испытания и получены хорошие результаты, а именно: скорость – 240 км/час при общем весе машины в 7,5 тонны.</w:t>
            </w:r>
          </w:p>
          <w:p w14:paraId="759F5D4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докладу А.Н. Туполева начальником ВС даны указания о постройке серии.</w:t>
            </w:r>
          </w:p>
        </w:tc>
      </w:tr>
    </w:tbl>
    <w:p w14:paraId="4C537F4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в результате работы ЦАГИ за 1932 год:</w:t>
      </w:r>
    </w:p>
    <w:p w14:paraId="3A4604C8" w14:textId="77777777" w:rsidR="00E37239" w:rsidRPr="0044524F" w:rsidRDefault="00E37239" w:rsidP="009654CF">
      <w:pPr>
        <w:numPr>
          <w:ilvl w:val="0"/>
          <w:numId w:val="4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Производится передача чертежей в серию по следующим машинам:</w:t>
      </w:r>
    </w:p>
    <w:p w14:paraId="2B32458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 головной – заводу № 22</w:t>
      </w:r>
    </w:p>
    <w:p w14:paraId="42A1E97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 – заводу № 22</w:t>
      </w:r>
    </w:p>
    <w:p w14:paraId="5887490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 заводу № 22</w:t>
      </w:r>
    </w:p>
    <w:p w14:paraId="5908C17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АНТ-20-6Н34 (в пассажирском исполнении) – заводу № 22</w:t>
      </w:r>
    </w:p>
    <w:p w14:paraId="3FF2059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МБР-2 - заводу № 45</w:t>
      </w:r>
    </w:p>
    <w:p w14:paraId="42CD16C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Р6-М17 на поплавках – заводу № 31</w:t>
      </w:r>
    </w:p>
    <w:p w14:paraId="50F058A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С-62 с М-34 (установка мотора) – заводу № 31</w:t>
      </w:r>
    </w:p>
    <w:p w14:paraId="2F855ED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 тормоз. шасси – заводу № 1</w:t>
      </w:r>
    </w:p>
    <w:p w14:paraId="2A9396E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 и Р6 (модификация для увеличения дальности полета) – сдаются УВВС для производства работ на их ремонтных базах</w:t>
      </w:r>
    </w:p>
    <w:p w14:paraId="7B11C68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Подготовлялись для серии чертежи самолета МДР2.</w:t>
      </w:r>
    </w:p>
    <w:p w14:paraId="73F93CD8" w14:textId="77777777" w:rsidR="00E37239" w:rsidRPr="0044524F" w:rsidRDefault="00E37239" w:rsidP="009654CF">
      <w:pPr>
        <w:numPr>
          <w:ilvl w:val="0"/>
          <w:numId w:val="5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Разработаны чертежи для серийного производства тормозных колес для самолетов Р5, И5, ТБ3, Р6, ТБ4 и МИ3.</w:t>
      </w:r>
    </w:p>
    <w:p w14:paraId="3BA01F95" w14:textId="77777777" w:rsidR="00E37239" w:rsidRPr="0044524F" w:rsidRDefault="00E37239" w:rsidP="009654CF">
      <w:pPr>
        <w:numPr>
          <w:ilvl w:val="0"/>
          <w:numId w:val="5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Разработаны и передаются в серийное производство чертежи масляных амортизаторов для самолетов ТБ4 и МИ3.</w:t>
      </w:r>
    </w:p>
    <w:p w14:paraId="08E86D60" w14:textId="77777777" w:rsidR="00E37239" w:rsidRPr="0044524F" w:rsidRDefault="00E37239" w:rsidP="009654CF">
      <w:pPr>
        <w:numPr>
          <w:ilvl w:val="0"/>
          <w:numId w:val="5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Разработаны и передаются в серии чертежи винтов металлической конструкции. Первые винты уже вышли из производства на заводах № 45 (Союзалюминий) и № 28.</w:t>
      </w:r>
    </w:p>
    <w:p w14:paraId="57B8B1F9" w14:textId="77777777" w:rsidR="00E37239" w:rsidRPr="0044524F" w:rsidRDefault="00E37239" w:rsidP="009654CF">
      <w:pPr>
        <w:numPr>
          <w:ilvl w:val="0"/>
          <w:numId w:val="5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Р5 – первый вариант с разрезным крылом спроектирован, построен и испытан.</w:t>
      </w:r>
    </w:p>
    <w:p w14:paraId="63907CD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вариант спроектирован. Построен и находится на испытании.</w:t>
      </w:r>
    </w:p>
    <w:p w14:paraId="391226B6" w14:textId="77777777" w:rsidR="00E37239" w:rsidRPr="0044524F" w:rsidRDefault="00E37239" w:rsidP="009654CF">
      <w:pPr>
        <w:numPr>
          <w:ilvl w:val="0"/>
          <w:numId w:val="5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Изготовлены и сданы чертежи по вооружению серийным заводам №№ 22 и 32.</w:t>
      </w:r>
    </w:p>
    <w:p w14:paraId="0863EF7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стрелковому вооружению:</w:t>
      </w:r>
    </w:p>
    <w:p w14:paraId="7CE61F16" w14:textId="77777777" w:rsidR="00E37239" w:rsidRPr="0044524F" w:rsidRDefault="00E37239" w:rsidP="009654CF">
      <w:pPr>
        <w:numPr>
          <w:ilvl w:val="0"/>
          <w:numId w:val="5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Носовая пушечная установка.</w:t>
      </w:r>
    </w:p>
    <w:p w14:paraId="2343890D" w14:textId="77777777" w:rsidR="00E37239" w:rsidRPr="0044524F" w:rsidRDefault="00E37239" w:rsidP="009654CF">
      <w:pPr>
        <w:numPr>
          <w:ilvl w:val="0"/>
          <w:numId w:val="5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Реданная пулеметная установка.</w:t>
      </w:r>
    </w:p>
    <w:p w14:paraId="70ED8D83" w14:textId="77777777" w:rsidR="00E37239" w:rsidRPr="0044524F" w:rsidRDefault="00E37239" w:rsidP="009654CF">
      <w:pPr>
        <w:numPr>
          <w:ilvl w:val="0"/>
          <w:numId w:val="5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Люковая пулеметная установка.</w:t>
      </w:r>
    </w:p>
    <w:p w14:paraId="645AD9F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самолета МИ3, для самолета ТБ4)</w:t>
      </w:r>
    </w:p>
    <w:p w14:paraId="0C68D0D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бомбардировочному вооружению:</w:t>
      </w:r>
    </w:p>
    <w:p w14:paraId="2C20A877" w14:textId="77777777" w:rsidR="00E37239" w:rsidRPr="0044524F" w:rsidRDefault="00E37239" w:rsidP="009654CF">
      <w:pPr>
        <w:numPr>
          <w:ilvl w:val="0"/>
          <w:numId w:val="5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Укороченные балки ДР25 и ДР26.</w:t>
      </w:r>
    </w:p>
    <w:p w14:paraId="7BEBA755" w14:textId="77777777" w:rsidR="00E37239" w:rsidRPr="0044524F" w:rsidRDefault="00E37239" w:rsidP="009654CF">
      <w:pPr>
        <w:numPr>
          <w:ilvl w:val="0"/>
          <w:numId w:val="5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Лебедки для этих балок.</w:t>
      </w:r>
    </w:p>
    <w:p w14:paraId="1A7F5A5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самолета ТБ3)</w:t>
      </w:r>
    </w:p>
    <w:p w14:paraId="22BAB6F8" w14:textId="77777777" w:rsidR="00E37239" w:rsidRPr="0044524F" w:rsidRDefault="00E37239" w:rsidP="009654CF">
      <w:pPr>
        <w:numPr>
          <w:ilvl w:val="0"/>
          <w:numId w:val="6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Замок кассетного бомбодержателя КАДОТ для 1000 кг бомб – самолет ТБ4.</w:t>
      </w:r>
    </w:p>
    <w:p w14:paraId="700A145E" w14:textId="77777777" w:rsidR="00E37239" w:rsidRPr="0044524F" w:rsidRDefault="00E37239" w:rsidP="009654CF">
      <w:pPr>
        <w:numPr>
          <w:ilvl w:val="0"/>
          <w:numId w:val="6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Кассетный бомбодержатель КД3 для 250-500 кг бомб – для самолета ТБ4.</w:t>
      </w:r>
    </w:p>
    <w:p w14:paraId="4DBC56E7" w14:textId="77777777" w:rsidR="00E37239" w:rsidRPr="0044524F" w:rsidRDefault="00E37239" w:rsidP="009654CF">
      <w:pPr>
        <w:numPr>
          <w:ilvl w:val="0"/>
          <w:numId w:val="6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Сдаются бомбодержатели КБ2 для самолетов ТБ3 и ТБ4.</w:t>
      </w:r>
    </w:p>
    <w:p w14:paraId="4D5EC664" w14:textId="77777777" w:rsidR="00E37239" w:rsidRPr="0044524F" w:rsidRDefault="00E37239" w:rsidP="009654CF">
      <w:pPr>
        <w:numPr>
          <w:ilvl w:val="0"/>
          <w:numId w:val="6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СР-электросбрасыватель для разведчиков.</w:t>
      </w:r>
    </w:p>
    <w:p w14:paraId="47EDC870" w14:textId="77777777" w:rsidR="00E37239" w:rsidRPr="0044524F" w:rsidRDefault="00E37239" w:rsidP="009654CF">
      <w:pPr>
        <w:numPr>
          <w:ilvl w:val="0"/>
          <w:numId w:val="6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СИ-электросбрасыватель для истребителя.</w:t>
      </w:r>
    </w:p>
    <w:p w14:paraId="082F4FED" w14:textId="77777777" w:rsidR="00E37239" w:rsidRPr="0044524F" w:rsidRDefault="00E37239" w:rsidP="009654CF">
      <w:pPr>
        <w:numPr>
          <w:ilvl w:val="0"/>
          <w:numId w:val="6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ДО1 – бомбодержатель для бомб от 25 до 500 кг.</w:t>
      </w:r>
    </w:p>
    <w:p w14:paraId="1A19E568" w14:textId="77777777" w:rsidR="00E37239" w:rsidRPr="0044524F" w:rsidRDefault="00E37239" w:rsidP="009654CF">
      <w:pPr>
        <w:numPr>
          <w:ilvl w:val="0"/>
          <w:numId w:val="6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Лебедка ДО1.</w:t>
      </w:r>
    </w:p>
    <w:p w14:paraId="6E8283FF" w14:textId="77777777" w:rsidR="00E37239" w:rsidRPr="0044524F" w:rsidRDefault="00E37239" w:rsidP="009654CF">
      <w:pPr>
        <w:numPr>
          <w:ilvl w:val="0"/>
          <w:numId w:val="6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Лебедка КБ2.</w:t>
      </w:r>
    </w:p>
    <w:p w14:paraId="200EB6D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химическому вооружению:</w:t>
      </w:r>
    </w:p>
    <w:p w14:paraId="6F890A7A" w14:textId="77777777" w:rsidR="00E37239" w:rsidRPr="0044524F" w:rsidRDefault="00E37239" w:rsidP="009654CF">
      <w:pPr>
        <w:numPr>
          <w:ilvl w:val="0"/>
          <w:numId w:val="6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ДАП на Дорневаль.</w:t>
      </w:r>
    </w:p>
    <w:p w14:paraId="7763E93F" w14:textId="77777777" w:rsidR="00E37239" w:rsidRPr="0044524F" w:rsidRDefault="00E37239" w:rsidP="009654CF">
      <w:pPr>
        <w:numPr>
          <w:ilvl w:val="0"/>
          <w:numId w:val="6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ДАП и ВАП на С-62 и МБР4.</w:t>
      </w:r>
    </w:p>
    <w:p w14:paraId="4EF80AB3" w14:textId="77777777" w:rsidR="00E37239" w:rsidRPr="0044524F" w:rsidRDefault="00E37239" w:rsidP="009654CF">
      <w:pPr>
        <w:numPr>
          <w:ilvl w:val="0"/>
          <w:numId w:val="7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ДАП для ТБ1.</w:t>
      </w:r>
    </w:p>
    <w:p w14:paraId="1CBF55C3" w14:textId="77777777" w:rsidR="00E37239" w:rsidRPr="0044524F" w:rsidRDefault="00E37239" w:rsidP="009654CF">
      <w:pPr>
        <w:numPr>
          <w:ilvl w:val="0"/>
          <w:numId w:val="7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ДАП для Р5.</w:t>
      </w:r>
    </w:p>
    <w:p w14:paraId="7349E06B" w14:textId="77777777" w:rsidR="00E37239" w:rsidRPr="0044524F" w:rsidRDefault="00E37239" w:rsidP="009654CF">
      <w:pPr>
        <w:numPr>
          <w:ilvl w:val="0"/>
          <w:numId w:val="7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ВАП для Р5.</w:t>
      </w:r>
    </w:p>
    <w:p w14:paraId="74336D1E" w14:textId="77777777" w:rsidR="00E37239" w:rsidRPr="0044524F" w:rsidRDefault="00E37239" w:rsidP="009654CF">
      <w:pPr>
        <w:pStyle w:val="a3"/>
        <w:widowControl/>
        <w:rPr>
          <w:color w:val="000000" w:themeColor="text1"/>
          <w:lang w:val="ru-RU"/>
        </w:rPr>
      </w:pPr>
      <w:r w:rsidRPr="0044524F">
        <w:rPr>
          <w:color w:val="000000" w:themeColor="text1"/>
          <w:lang w:val="ru-RU"/>
        </w:rPr>
        <w:t>7. а) Разработаны рабочие чертежи и карты технологических процессов для серийного завода № 21 по самолету И5.</w:t>
      </w:r>
    </w:p>
    <w:p w14:paraId="73EE08A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Разработаны рабочие чертежи и карты технологических процессов по самолету ТШ2-М17 для завода № 16.</w:t>
      </w:r>
    </w:p>
    <w:p w14:paraId="0DCF49D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числе внеплановых работ ЦАГИ исполнил в 1932 году.</w:t>
      </w:r>
    </w:p>
    <w:p w14:paraId="645055C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32 узла для завода № 22 к самолету ТБ3;</w:t>
      </w:r>
    </w:p>
    <w:p w14:paraId="78F6C41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стапели для оперения, фюзеляжа и других деталей;</w:t>
      </w:r>
    </w:p>
    <w:p w14:paraId="2DCDDE0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комплекты арматуры самолета ТБ3;</w:t>
      </w:r>
    </w:p>
    <w:p w14:paraId="4DCAADF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балки к бомбодержателям для самолета ТБ3;</w:t>
      </w:r>
    </w:p>
    <w:p w14:paraId="7381DD1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гондолы двух дирижаблей;</w:t>
      </w:r>
    </w:p>
    <w:p w14:paraId="580C745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хвостовое оперение и стабилизаторы дирижаблей;</w:t>
      </w:r>
    </w:p>
    <w:p w14:paraId="70D7AFC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электронные отливки для тормозных колес и пр. (3530,70-86).</w:t>
      </w:r>
    </w:p>
    <w:p w14:paraId="1D7F4966"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372F9B4E"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865E397"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37D8F30B" w14:textId="77777777" w:rsidR="00E37239" w:rsidRPr="0044524F" w:rsidRDefault="00E372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января 1933 ЦК ВКП(б) осудил руководство компартии Украины за срыв заготовок зерна (4962).</w:t>
      </w:r>
    </w:p>
    <w:p w14:paraId="18F0C903" w14:textId="77777777" w:rsidR="00E37239" w:rsidRPr="0044524F" w:rsidRDefault="00E37239" w:rsidP="009654CF">
      <w:pPr>
        <w:tabs>
          <w:tab w:val="left" w:pos="11199"/>
        </w:tabs>
        <w:spacing w:after="0" w:line="240" w:lineRule="auto"/>
        <w:jc w:val="both"/>
        <w:rPr>
          <w:rFonts w:ascii="Times New Roman" w:hAnsi="Times New Roman"/>
          <w:color w:val="000000" w:themeColor="text1"/>
          <w:sz w:val="16"/>
          <w:szCs w:val="16"/>
        </w:rPr>
      </w:pPr>
    </w:p>
    <w:p w14:paraId="685C2DA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января 1933 - ЦК ВКП(б) вынес специальную резолюцию по Украине, говорящую о потере бдительности. Исправлять положение должны были С.Косиор - 1 секретарь КПУ и П.Постышев. Изымали хлеб вместе с В.М.Молотовым пред. ЧК по хлебозаготовкам (70,220).</w:t>
      </w:r>
    </w:p>
    <w:p w14:paraId="3350A7BA"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383F63A9" w14:textId="7BE97780"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января 1933 Секретарь ЦК Постышев прибыл на Украину. Он вместе с первым секретарем</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ЦК КП(б)У С. В. Косиором и начальником ОГПУ Украины В. А. Балицким</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сместил 237 секретарей райкомов, 249 председателей райисполкомов, свыше половины председателей колхозов. За то, что завалили хлебозаготовки и допустили голод. А еще Пленум ЦК принял решение проводить политинформации в МТС для повышения политической грамотности колхозников (12629).</w:t>
      </w:r>
    </w:p>
    <w:p w14:paraId="72DF231B" w14:textId="77777777" w:rsidR="004539AF" w:rsidRPr="0044524F" w:rsidRDefault="004539AF" w:rsidP="009654CF">
      <w:pPr>
        <w:spacing w:after="0" w:line="240" w:lineRule="auto"/>
        <w:jc w:val="both"/>
        <w:rPr>
          <w:rFonts w:ascii="Times New Roman" w:hAnsi="Times New Roman"/>
          <w:iCs/>
          <w:color w:val="000000" w:themeColor="text1"/>
          <w:sz w:val="16"/>
          <w:szCs w:val="16"/>
        </w:rPr>
      </w:pPr>
    </w:p>
    <w:p w14:paraId="7552C568"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36C17B4"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64D5FDA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января 1933 был получен мотор Меркур для И-15 М-58 (М38) (7415, 16).</w:t>
      </w:r>
    </w:p>
    <w:p w14:paraId="0071B2EA"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24E95F0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января 1933 был получен мотор Меркур для самолета И-14 М-38 (7415, 16).</w:t>
      </w:r>
    </w:p>
    <w:p w14:paraId="27F0375D"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4588AE4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января 1933 г. был получен мотор для И-14; консоли крыла сдали 25 апреля 1933 г.; центроплан - 16 апреля 1933 г.; 10 марта был полностью собран фюзеляж; 21 апреля установили шасси (правда, без подъемного механизма - его не успели довести в срок). Установка мотора на самолет состоялась 28 марта 1933 г. (12037).</w:t>
      </w:r>
    </w:p>
    <w:p w14:paraId="2791F667"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7BC5F576" w14:textId="77777777" w:rsidR="007E2B8A" w:rsidRPr="0044524F" w:rsidRDefault="007E2B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января 1933 г. Комитет утвердил технические требования к самолету, раз</w:t>
      </w:r>
      <w:r w:rsidRPr="0044524F">
        <w:rPr>
          <w:rFonts w:ascii="Times New Roman" w:hAnsi="Times New Roman"/>
          <w:color w:val="000000" w:themeColor="text1"/>
          <w:sz w:val="16"/>
          <w:szCs w:val="16"/>
        </w:rPr>
        <w:softHyphen/>
        <w:t>работанные Техническим советом.</w:t>
      </w:r>
    </w:p>
    <w:p w14:paraId="74669FCF" w14:textId="77777777" w:rsidR="007E2B8A" w:rsidRPr="0044524F" w:rsidRDefault="007E2B8A"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Техсовет комитета по постройке МГ после двух заседаний пришел к ряду выводов:</w:t>
      </w:r>
    </w:p>
    <w:p w14:paraId="200DB06D" w14:textId="77777777" w:rsidR="007E2B8A" w:rsidRPr="0044524F" w:rsidRDefault="007E2B8A"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1. Основное назначение самолета — служить целям агитации.</w:t>
      </w:r>
    </w:p>
    <w:p w14:paraId="4836128D" w14:textId="77777777" w:rsidR="007E2B8A" w:rsidRPr="0044524F" w:rsidRDefault="007E2B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 Исходя из этого при его оборудова</w:t>
      </w:r>
      <w:r w:rsidRPr="0044524F">
        <w:rPr>
          <w:rFonts w:ascii="Times New Roman" w:hAnsi="Times New Roman"/>
          <w:color w:val="000000" w:themeColor="text1"/>
          <w:sz w:val="16"/>
          <w:szCs w:val="16"/>
          <w:lang w:eastAsia="ru-RU" w:bidi="ru-RU"/>
        </w:rPr>
        <w:softHyphen/>
        <w:t>нии необходимо использовать самые со</w:t>
      </w:r>
      <w:r w:rsidRPr="0044524F">
        <w:rPr>
          <w:rFonts w:ascii="Times New Roman" w:hAnsi="Times New Roman"/>
          <w:color w:val="000000" w:themeColor="text1"/>
          <w:sz w:val="16"/>
          <w:szCs w:val="16"/>
          <w:lang w:eastAsia="ru-RU" w:bidi="ru-RU"/>
        </w:rPr>
        <w:softHyphen/>
        <w:t>временные достижения в области поли</w:t>
      </w:r>
      <w:r w:rsidRPr="0044524F">
        <w:rPr>
          <w:rFonts w:ascii="Times New Roman" w:hAnsi="Times New Roman"/>
          <w:color w:val="000000" w:themeColor="text1"/>
          <w:sz w:val="16"/>
          <w:szCs w:val="16"/>
          <w:lang w:eastAsia="ru-RU" w:bidi="ru-RU"/>
        </w:rPr>
        <w:softHyphen/>
        <w:t>графии. радио-, свето-. фото- и кинотех</w:t>
      </w:r>
      <w:r w:rsidRPr="0044524F">
        <w:rPr>
          <w:rFonts w:ascii="Times New Roman" w:hAnsi="Times New Roman"/>
          <w:color w:val="000000" w:themeColor="text1"/>
          <w:sz w:val="16"/>
          <w:szCs w:val="16"/>
          <w:lang w:eastAsia="ru-RU" w:bidi="ru-RU"/>
        </w:rPr>
        <w:softHyphen/>
        <w:t>ники.</w:t>
      </w:r>
    </w:p>
    <w:p w14:paraId="5D72739A" w14:textId="77777777" w:rsidR="007E2B8A" w:rsidRPr="0044524F" w:rsidRDefault="007E2B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3. Самолет должен иметь возможность быстро появляться в районе своего назна</w:t>
      </w:r>
      <w:r w:rsidRPr="0044524F">
        <w:rPr>
          <w:rFonts w:ascii="Times New Roman" w:hAnsi="Times New Roman"/>
          <w:color w:val="000000" w:themeColor="text1"/>
          <w:sz w:val="16"/>
          <w:szCs w:val="16"/>
          <w:lang w:eastAsia="ru-RU" w:bidi="ru-RU"/>
        </w:rPr>
        <w:softHyphen/>
        <w:t>чения и так же быстро выполнять постав</w:t>
      </w:r>
      <w:r w:rsidRPr="0044524F">
        <w:rPr>
          <w:rFonts w:ascii="Times New Roman" w:hAnsi="Times New Roman"/>
          <w:color w:val="000000" w:themeColor="text1"/>
          <w:sz w:val="16"/>
          <w:szCs w:val="16"/>
          <w:lang w:eastAsia="ru-RU" w:bidi="ru-RU"/>
        </w:rPr>
        <w:softHyphen/>
        <w:t>ленные перед ним задачи. Поэтому необ</w:t>
      </w:r>
      <w:r w:rsidRPr="0044524F">
        <w:rPr>
          <w:rFonts w:ascii="Times New Roman" w:hAnsi="Times New Roman"/>
          <w:color w:val="000000" w:themeColor="text1"/>
          <w:sz w:val="16"/>
          <w:szCs w:val="16"/>
          <w:lang w:eastAsia="ru-RU" w:bidi="ru-RU"/>
        </w:rPr>
        <w:softHyphen/>
        <w:t>ходимо спроектировать машину так. что</w:t>
      </w:r>
      <w:r w:rsidRPr="0044524F">
        <w:rPr>
          <w:rFonts w:ascii="Times New Roman" w:hAnsi="Times New Roman"/>
          <w:color w:val="000000" w:themeColor="text1"/>
          <w:sz w:val="16"/>
          <w:szCs w:val="16"/>
          <w:lang w:eastAsia="ru-RU" w:bidi="ru-RU"/>
        </w:rPr>
        <w:softHyphen/>
        <w:t>бы требовалось минимальное количество времени для приведения в действие всех находящихся на ней среде! в агитации.</w:t>
      </w:r>
    </w:p>
    <w:p w14:paraId="0AC9C69F" w14:textId="77777777" w:rsidR="007E2B8A" w:rsidRPr="0044524F" w:rsidRDefault="007E2B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Основные предварительные техниче</w:t>
      </w:r>
      <w:r w:rsidRPr="0044524F">
        <w:rPr>
          <w:rFonts w:ascii="Times New Roman" w:hAnsi="Times New Roman"/>
          <w:color w:val="000000" w:themeColor="text1"/>
          <w:sz w:val="16"/>
          <w:szCs w:val="16"/>
          <w:lang w:eastAsia="ru-RU" w:bidi="ru-RU"/>
        </w:rPr>
        <w:softHyphen/>
        <w:t>ские требования к самолету сводились к следующему:</w:t>
      </w:r>
    </w:p>
    <w:p w14:paraId="79D575E9" w14:textId="77777777" w:rsidR="007E2B8A" w:rsidRPr="0044524F" w:rsidRDefault="007E2B8A" w:rsidP="009654CF">
      <w:pPr>
        <w:widowControl w:val="0"/>
        <w:tabs>
          <w:tab w:val="left" w:pos="50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 Самолет должен строиться из со</w:t>
      </w:r>
      <w:r w:rsidRPr="0044524F">
        <w:rPr>
          <w:rFonts w:ascii="Times New Roman" w:hAnsi="Times New Roman"/>
          <w:color w:val="000000" w:themeColor="text1"/>
          <w:sz w:val="16"/>
          <w:szCs w:val="16"/>
          <w:lang w:eastAsia="ru-RU" w:bidi="ru-RU"/>
        </w:rPr>
        <w:softHyphen/>
        <w:t>ветских материалов с мотором советской конструкции и специальным оборудова</w:t>
      </w:r>
      <w:r w:rsidRPr="0044524F">
        <w:rPr>
          <w:rFonts w:ascii="Times New Roman" w:hAnsi="Times New Roman"/>
          <w:color w:val="000000" w:themeColor="text1"/>
          <w:sz w:val="16"/>
          <w:szCs w:val="16"/>
          <w:lang w:eastAsia="ru-RU" w:bidi="ru-RU"/>
        </w:rPr>
        <w:softHyphen/>
        <w:t>нием. изготовленным советской про</w:t>
      </w:r>
      <w:r w:rsidRPr="0044524F">
        <w:rPr>
          <w:rFonts w:ascii="Times New Roman" w:hAnsi="Times New Roman"/>
          <w:color w:val="000000" w:themeColor="text1"/>
          <w:sz w:val="16"/>
          <w:szCs w:val="16"/>
          <w:lang w:eastAsia="ru-RU" w:bidi="ru-RU"/>
        </w:rPr>
        <w:softHyphen/>
        <w:t>мышленностью.</w:t>
      </w:r>
    </w:p>
    <w:p w14:paraId="0D1955AC" w14:textId="77777777" w:rsidR="007E2B8A" w:rsidRPr="0044524F" w:rsidRDefault="007E2B8A" w:rsidP="009654CF">
      <w:pPr>
        <w:widowControl w:val="0"/>
        <w:tabs>
          <w:tab w:val="left" w:pos="50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 Самолет должен отвечать совре</w:t>
      </w:r>
      <w:r w:rsidRPr="0044524F">
        <w:rPr>
          <w:rFonts w:ascii="Times New Roman" w:hAnsi="Times New Roman"/>
          <w:color w:val="000000" w:themeColor="text1"/>
          <w:sz w:val="16"/>
          <w:szCs w:val="16"/>
          <w:lang w:eastAsia="ru-RU" w:bidi="ru-RU"/>
        </w:rPr>
        <w:softHyphen/>
        <w:t>менным требованиям безопасности по</w:t>
      </w:r>
      <w:r w:rsidRPr="0044524F">
        <w:rPr>
          <w:rFonts w:ascii="Times New Roman" w:hAnsi="Times New Roman"/>
          <w:color w:val="000000" w:themeColor="text1"/>
          <w:sz w:val="16"/>
          <w:szCs w:val="16"/>
          <w:lang w:eastAsia="ru-RU" w:bidi="ru-RU"/>
        </w:rPr>
        <w:softHyphen/>
        <w:t>летов. а также быть приспособленным к условиям эксплуатации в различных час</w:t>
      </w:r>
      <w:r w:rsidRPr="0044524F">
        <w:rPr>
          <w:rFonts w:ascii="Times New Roman" w:hAnsi="Times New Roman"/>
          <w:color w:val="000000" w:themeColor="text1"/>
          <w:sz w:val="16"/>
          <w:szCs w:val="16"/>
          <w:lang w:eastAsia="ru-RU" w:bidi="ru-RU"/>
        </w:rPr>
        <w:softHyphen/>
        <w:t>тях СССР и при различных температурах. Он должен работать как на колесном, так и на лыжном шасси.</w:t>
      </w:r>
    </w:p>
    <w:p w14:paraId="1FF85BDD" w14:textId="77777777" w:rsidR="007E2B8A" w:rsidRPr="0044524F" w:rsidRDefault="007E2B8A" w:rsidP="009654CF">
      <w:pPr>
        <w:widowControl w:val="0"/>
        <w:tabs>
          <w:tab w:val="left" w:pos="50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3. Конструкция самолета должна быть такой, чтобы он мог обходиться без ангара и противостоять атмосферным условиям. (В дальнейшем этот пункт сняли, для машины планировалось по</w:t>
      </w:r>
      <w:r w:rsidRPr="0044524F">
        <w:rPr>
          <w:rFonts w:ascii="Times New Roman" w:hAnsi="Times New Roman"/>
          <w:color w:val="000000" w:themeColor="text1"/>
          <w:sz w:val="16"/>
          <w:szCs w:val="16"/>
          <w:lang w:eastAsia="ru-RU" w:bidi="ru-RU"/>
        </w:rPr>
        <w:softHyphen/>
        <w:t>строить ангар.)</w:t>
      </w:r>
    </w:p>
    <w:p w14:paraId="15E8DF7D" w14:textId="77777777" w:rsidR="007E2B8A" w:rsidRPr="0044524F" w:rsidRDefault="007E2B8A" w:rsidP="009654CF">
      <w:pPr>
        <w:widowControl w:val="0"/>
        <w:tabs>
          <w:tab w:val="left" w:pos="50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4. Помимо оборудования для связи с внешним миром на нем необходимо иметь различные средства внутренней связи - телефон, пневматическую почту, световую сигнализацию.</w:t>
      </w:r>
    </w:p>
    <w:p w14:paraId="21D28CB6" w14:textId="77777777" w:rsidR="007E2B8A" w:rsidRPr="0044524F" w:rsidRDefault="007E2B8A" w:rsidP="009654CF">
      <w:pPr>
        <w:widowControl w:val="0"/>
        <w:tabs>
          <w:tab w:val="left" w:pos="50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5. Самолет должен иметь хорошее отопление, освещение, вентиляцию и бытовые устройства, удовлетворяющие обслуживающий персонал в длительных полетах.</w:t>
      </w:r>
    </w:p>
    <w:p w14:paraId="256CF4D7" w14:textId="77777777" w:rsidR="007E2B8A" w:rsidRPr="0044524F" w:rsidRDefault="007E2B8A" w:rsidP="009654CF">
      <w:pPr>
        <w:widowControl w:val="0"/>
        <w:tabs>
          <w:tab w:val="left" w:pos="50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6. На самолете предполагалось уста</w:t>
      </w:r>
      <w:r w:rsidRPr="0044524F">
        <w:rPr>
          <w:rFonts w:ascii="Times New Roman" w:hAnsi="Times New Roman"/>
          <w:color w:val="000000" w:themeColor="text1"/>
          <w:sz w:val="16"/>
          <w:szCs w:val="16"/>
          <w:lang w:eastAsia="ru-RU" w:bidi="ru-RU"/>
        </w:rPr>
        <w:softHyphen/>
        <w:t>новить центральную электростанцию для питания осветительных приборов, радио</w:t>
      </w:r>
      <w:r w:rsidRPr="0044524F">
        <w:rPr>
          <w:rFonts w:ascii="Times New Roman" w:hAnsi="Times New Roman"/>
          <w:color w:val="000000" w:themeColor="text1"/>
          <w:sz w:val="16"/>
          <w:szCs w:val="16"/>
          <w:lang w:eastAsia="ru-RU" w:bidi="ru-RU"/>
        </w:rPr>
        <w:softHyphen/>
        <w:t>приборов. кинотехники и проч.</w:t>
      </w:r>
    </w:p>
    <w:p w14:paraId="5FF9A3F6" w14:textId="77777777" w:rsidR="007E2B8A" w:rsidRPr="0044524F" w:rsidRDefault="007E2B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lastRenderedPageBreak/>
        <w:t>Технический совет считал, что мото</w:t>
      </w:r>
      <w:r w:rsidRPr="0044524F">
        <w:rPr>
          <w:rFonts w:ascii="Times New Roman" w:hAnsi="Times New Roman"/>
          <w:color w:val="000000" w:themeColor="text1"/>
          <w:sz w:val="16"/>
          <w:szCs w:val="16"/>
          <w:lang w:eastAsia="ru-RU" w:bidi="ru-RU"/>
        </w:rPr>
        <w:softHyphen/>
        <w:t>ры самолета должны быть бензиновые, винты - металлические, колеса - с тор</w:t>
      </w:r>
      <w:r w:rsidRPr="0044524F">
        <w:rPr>
          <w:rFonts w:ascii="Times New Roman" w:hAnsi="Times New Roman"/>
          <w:color w:val="000000" w:themeColor="text1"/>
          <w:sz w:val="16"/>
          <w:szCs w:val="16"/>
          <w:lang w:eastAsia="ru-RU" w:bidi="ru-RU"/>
        </w:rPr>
        <w:softHyphen/>
        <w:t>мозами, амортизация шасси — масляная. Полезная нагрузка самолета вместе с экипажем должна составлять 6-7 тонн, не считая горючего и масла. Это, в свою очередь, требовало обшей мощности мо</w:t>
      </w:r>
      <w:r w:rsidRPr="0044524F">
        <w:rPr>
          <w:rFonts w:ascii="Times New Roman" w:hAnsi="Times New Roman"/>
          <w:color w:val="000000" w:themeColor="text1"/>
          <w:sz w:val="16"/>
          <w:szCs w:val="16"/>
          <w:lang w:eastAsia="ru-RU" w:bidi="ru-RU"/>
        </w:rPr>
        <w:softHyphen/>
        <w:t>торной группы в 5500 л.с. Дальность по</w:t>
      </w:r>
      <w:r w:rsidRPr="0044524F">
        <w:rPr>
          <w:rFonts w:ascii="Times New Roman" w:hAnsi="Times New Roman"/>
          <w:color w:val="000000" w:themeColor="text1"/>
          <w:sz w:val="16"/>
          <w:szCs w:val="16"/>
          <w:lang w:eastAsia="ru-RU" w:bidi="ru-RU"/>
        </w:rPr>
        <w:softHyphen/>
        <w:t>лета на крейсерской скорости должна быть не менее 1000 км. а объем баков — обеспечивать размещение запаса горю</w:t>
      </w:r>
      <w:r w:rsidRPr="0044524F">
        <w:rPr>
          <w:rFonts w:ascii="Times New Roman" w:hAnsi="Times New Roman"/>
          <w:color w:val="000000" w:themeColor="text1"/>
          <w:sz w:val="16"/>
          <w:szCs w:val="16"/>
          <w:lang w:eastAsia="ru-RU" w:bidi="ru-RU"/>
        </w:rPr>
        <w:softHyphen/>
        <w:t>чего для дальнего полета на 2000 км. Максимальная проектная скорость са</w:t>
      </w:r>
      <w:r w:rsidRPr="0044524F">
        <w:rPr>
          <w:rFonts w:ascii="Times New Roman" w:hAnsi="Times New Roman"/>
          <w:color w:val="000000" w:themeColor="text1"/>
          <w:sz w:val="16"/>
          <w:szCs w:val="16"/>
          <w:lang w:eastAsia="ru-RU" w:bidi="ru-RU"/>
        </w:rPr>
        <w:softHyphen/>
        <w:t>молета — 220—240 км/час.</w:t>
      </w:r>
    </w:p>
    <w:p w14:paraId="0713F5A1" w14:textId="77777777" w:rsidR="007E2B8A" w:rsidRPr="0044524F" w:rsidRDefault="007E2B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что такие самолеты, как «Максим Горький», будут в дальнейшем выпускаться серийно. Технический совет считал, что конструкция машины должна быть достаточно простой и дешевой.</w:t>
      </w:r>
    </w:p>
    <w:p w14:paraId="23C2CC20" w14:textId="77777777" w:rsidR="007E2B8A" w:rsidRPr="0044524F" w:rsidRDefault="007E2B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своего основного назначе</w:t>
      </w:r>
      <w:r w:rsidRPr="0044524F">
        <w:rPr>
          <w:rFonts w:ascii="Times New Roman" w:hAnsi="Times New Roman"/>
          <w:color w:val="000000" w:themeColor="text1"/>
          <w:sz w:val="16"/>
          <w:szCs w:val="16"/>
        </w:rPr>
        <w:softHyphen/>
        <w:t>ния - агитационного — конструкция Максима Горького» должна была допус</w:t>
      </w:r>
      <w:r w:rsidRPr="0044524F">
        <w:rPr>
          <w:rFonts w:ascii="Times New Roman" w:hAnsi="Times New Roman"/>
          <w:color w:val="000000" w:themeColor="text1"/>
          <w:sz w:val="16"/>
          <w:szCs w:val="16"/>
        </w:rPr>
        <w:softHyphen/>
        <w:t>кать возможность использования его в качестве пассажирского самолета для об</w:t>
      </w:r>
      <w:r w:rsidRPr="0044524F">
        <w:rPr>
          <w:rFonts w:ascii="Times New Roman" w:hAnsi="Times New Roman"/>
          <w:color w:val="000000" w:themeColor="text1"/>
          <w:sz w:val="16"/>
          <w:szCs w:val="16"/>
        </w:rPr>
        <w:softHyphen/>
        <w:t>служивания трансконтинентальных ли</w:t>
      </w:r>
      <w:r w:rsidRPr="0044524F">
        <w:rPr>
          <w:rFonts w:ascii="Times New Roman" w:hAnsi="Times New Roman"/>
          <w:color w:val="000000" w:themeColor="text1"/>
          <w:sz w:val="16"/>
          <w:szCs w:val="16"/>
        </w:rPr>
        <w:softHyphen/>
        <w:t>ний с большим пассажирским потоком. Для этой цели самолет предполагалось оснастить соответствующим оборудова</w:t>
      </w:r>
      <w:r w:rsidRPr="0044524F">
        <w:rPr>
          <w:rFonts w:ascii="Times New Roman" w:hAnsi="Times New Roman"/>
          <w:color w:val="000000" w:themeColor="text1"/>
          <w:sz w:val="16"/>
          <w:szCs w:val="16"/>
        </w:rPr>
        <w:softHyphen/>
        <w:t>нием для перевозки 60—70 пассажиров, обеспечив им соответствующий комфорт.</w:t>
      </w:r>
    </w:p>
    <w:p w14:paraId="031DA8AB" w14:textId="77777777" w:rsidR="007E2B8A" w:rsidRPr="0044524F" w:rsidRDefault="007E2B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Еще одно назначение самолета «МГ» - быстрая доставка «ответственных ру</w:t>
      </w:r>
      <w:r w:rsidRPr="0044524F">
        <w:rPr>
          <w:rFonts w:ascii="Times New Roman" w:hAnsi="Times New Roman"/>
          <w:color w:val="000000" w:themeColor="text1"/>
          <w:sz w:val="16"/>
          <w:szCs w:val="16"/>
        </w:rPr>
        <w:softHyphen/>
        <w:t>ководящих политических и общественных работников или группы работников в от</w:t>
      </w:r>
      <w:r w:rsidRPr="0044524F">
        <w:rPr>
          <w:rFonts w:ascii="Times New Roman" w:hAnsi="Times New Roman"/>
          <w:color w:val="000000" w:themeColor="text1"/>
          <w:sz w:val="16"/>
          <w:szCs w:val="16"/>
        </w:rPr>
        <w:softHyphen/>
        <w:t>деленные районы страны для проведения кампаний на местах».</w:t>
      </w:r>
    </w:p>
    <w:p w14:paraId="23DC4EB6" w14:textId="77777777" w:rsidR="007E2B8A" w:rsidRPr="0044524F" w:rsidRDefault="007E2B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предусматривался и гру</w:t>
      </w:r>
      <w:r w:rsidRPr="0044524F">
        <w:rPr>
          <w:rFonts w:ascii="Times New Roman" w:hAnsi="Times New Roman"/>
          <w:color w:val="000000" w:themeColor="text1"/>
          <w:sz w:val="16"/>
          <w:szCs w:val="16"/>
        </w:rPr>
        <w:softHyphen/>
        <w:t>зовой вариант самолета — для перевозки особо ценных хозяйственных грузов, на</w:t>
      </w:r>
      <w:r w:rsidRPr="0044524F">
        <w:rPr>
          <w:rFonts w:ascii="Times New Roman" w:hAnsi="Times New Roman"/>
          <w:color w:val="000000" w:themeColor="text1"/>
          <w:sz w:val="16"/>
          <w:szCs w:val="16"/>
        </w:rPr>
        <w:softHyphen/>
        <w:t>пример пушнины или золота, из отдален</w:t>
      </w:r>
      <w:r w:rsidRPr="0044524F">
        <w:rPr>
          <w:rFonts w:ascii="Times New Roman" w:hAnsi="Times New Roman"/>
          <w:color w:val="000000" w:themeColor="text1"/>
          <w:sz w:val="16"/>
          <w:szCs w:val="16"/>
        </w:rPr>
        <w:softHyphen/>
        <w:t>ных районов, не имевших иных транс</w:t>
      </w:r>
      <w:r w:rsidRPr="0044524F">
        <w:rPr>
          <w:rFonts w:ascii="Times New Roman" w:hAnsi="Times New Roman"/>
          <w:color w:val="000000" w:themeColor="text1"/>
          <w:sz w:val="16"/>
          <w:szCs w:val="16"/>
        </w:rPr>
        <w:softHyphen/>
        <w:t>портных связей с центром страны.</w:t>
      </w:r>
    </w:p>
    <w:p w14:paraId="55C46480" w14:textId="77777777" w:rsidR="007E2B8A" w:rsidRPr="0044524F" w:rsidRDefault="007E2B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Мало того, планировалось, что пере</w:t>
      </w:r>
      <w:r w:rsidRPr="0044524F">
        <w:rPr>
          <w:rFonts w:ascii="Times New Roman" w:hAnsi="Times New Roman"/>
          <w:color w:val="000000" w:themeColor="text1"/>
          <w:sz w:val="16"/>
          <w:szCs w:val="16"/>
        </w:rPr>
        <w:softHyphen/>
        <w:t>оборудование самолета из одного вариан</w:t>
      </w:r>
      <w:r w:rsidRPr="0044524F">
        <w:rPr>
          <w:rFonts w:ascii="Times New Roman" w:hAnsi="Times New Roman"/>
          <w:color w:val="000000" w:themeColor="text1"/>
          <w:sz w:val="16"/>
          <w:szCs w:val="16"/>
        </w:rPr>
        <w:softHyphen/>
        <w:t>та в другой будет выполняться в аэро</w:t>
      </w:r>
      <w:r w:rsidRPr="0044524F">
        <w:rPr>
          <w:rFonts w:ascii="Times New Roman" w:hAnsi="Times New Roman"/>
          <w:color w:val="000000" w:themeColor="text1"/>
          <w:sz w:val="16"/>
          <w:szCs w:val="16"/>
        </w:rPr>
        <w:softHyphen/>
        <w:t>дромных условиях с помощью несложно</w:t>
      </w:r>
      <w:r w:rsidRPr="0044524F">
        <w:rPr>
          <w:rFonts w:ascii="Times New Roman" w:hAnsi="Times New Roman"/>
          <w:color w:val="000000" w:themeColor="text1"/>
          <w:sz w:val="16"/>
          <w:szCs w:val="16"/>
        </w:rPr>
        <w:softHyphen/>
        <w:t>го инструмента (21240).</w:t>
      </w:r>
    </w:p>
    <w:p w14:paraId="6A505ECF" w14:textId="77777777" w:rsidR="007E2B8A" w:rsidRPr="0044524F" w:rsidRDefault="007E2B8A" w:rsidP="009654CF">
      <w:pPr>
        <w:shd w:val="clear" w:color="auto" w:fill="FFFFFF"/>
        <w:spacing w:after="0" w:line="240" w:lineRule="auto"/>
        <w:jc w:val="both"/>
        <w:rPr>
          <w:rFonts w:ascii="Times New Roman" w:hAnsi="Times New Roman"/>
          <w:color w:val="000000" w:themeColor="text1"/>
          <w:sz w:val="16"/>
          <w:szCs w:val="16"/>
        </w:rPr>
      </w:pPr>
    </w:p>
    <w:p w14:paraId="64FD2C9D"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января 1933 г. Всесоюзный комитет по строительству самолета-гиганта утвердил представленные Техническим советом, который поручил проектирование и строительство гиганта ЦАГИ, технические требования к самолету, в апреле Техсовет рассмотрел эскизный проект. Он опирался на расчеты и кон</w:t>
      </w:r>
      <w:r w:rsidRPr="0044524F">
        <w:rPr>
          <w:rFonts w:ascii="Times New Roman" w:hAnsi="Times New Roman"/>
          <w:color w:val="000000" w:themeColor="text1"/>
          <w:sz w:val="16"/>
          <w:szCs w:val="16"/>
        </w:rPr>
        <w:softHyphen/>
        <w:t>структивные решения, принятые для «старого» АНТ—20. Будучи его дальнейшим развитием, «МГ» отличался увеличен</w:t>
      </w:r>
      <w:r w:rsidRPr="0044524F">
        <w:rPr>
          <w:rFonts w:ascii="Times New Roman" w:hAnsi="Times New Roman"/>
          <w:color w:val="000000" w:themeColor="text1"/>
          <w:sz w:val="16"/>
          <w:szCs w:val="16"/>
        </w:rPr>
        <w:softHyphen/>
        <w:t>ным на 10—12 м размахом крыла, коли</w:t>
      </w:r>
      <w:r w:rsidRPr="0044524F">
        <w:rPr>
          <w:rFonts w:ascii="Times New Roman" w:hAnsi="Times New Roman"/>
          <w:color w:val="000000" w:themeColor="text1"/>
          <w:sz w:val="16"/>
          <w:szCs w:val="16"/>
        </w:rPr>
        <w:softHyphen/>
        <w:t>чеством двигателей, новым вертикальным оперением. В проекте предусматрива</w:t>
      </w:r>
      <w:r w:rsidRPr="0044524F">
        <w:rPr>
          <w:rFonts w:ascii="Times New Roman" w:hAnsi="Times New Roman"/>
          <w:color w:val="000000" w:themeColor="text1"/>
          <w:sz w:val="16"/>
          <w:szCs w:val="16"/>
        </w:rPr>
        <w:softHyphen/>
        <w:t>лась возможность использования само</w:t>
      </w:r>
      <w:r w:rsidRPr="0044524F">
        <w:rPr>
          <w:rFonts w:ascii="Times New Roman" w:hAnsi="Times New Roman"/>
          <w:color w:val="000000" w:themeColor="text1"/>
          <w:sz w:val="16"/>
          <w:szCs w:val="16"/>
        </w:rPr>
        <w:softHyphen/>
        <w:t>лета в качестве агитационного, пасса</w:t>
      </w:r>
      <w:r w:rsidRPr="0044524F">
        <w:rPr>
          <w:rFonts w:ascii="Times New Roman" w:hAnsi="Times New Roman"/>
          <w:color w:val="000000" w:themeColor="text1"/>
          <w:sz w:val="16"/>
          <w:szCs w:val="16"/>
        </w:rPr>
        <w:softHyphen/>
        <w:t>жирского, транспортного, бомбовоза, он мог служить передвижным штабом для высших военных и политических структур власти.</w:t>
      </w:r>
    </w:p>
    <w:p w14:paraId="5FA55CCD"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расчетам КБ основные варианты «МГ» могли иметь неплохие данные:</w:t>
      </w:r>
    </w:p>
    <w:tbl>
      <w:tblPr>
        <w:tblOverlap w:val="never"/>
        <w:tblW w:w="0" w:type="auto"/>
        <w:tblLayout w:type="fixed"/>
        <w:tblCellMar>
          <w:left w:w="10" w:type="dxa"/>
          <w:right w:w="10" w:type="dxa"/>
        </w:tblCellMar>
        <w:tblLook w:val="04A0" w:firstRow="1" w:lastRow="0" w:firstColumn="1" w:lastColumn="0" w:noHBand="0" w:noVBand="1"/>
      </w:tblPr>
      <w:tblGrid>
        <w:gridCol w:w="1656"/>
        <w:gridCol w:w="1080"/>
        <w:gridCol w:w="648"/>
      </w:tblGrid>
      <w:tr w:rsidR="00383A71" w:rsidRPr="0044524F" w14:paraId="38969874" w14:textId="77777777" w:rsidTr="00E9136F">
        <w:trPr>
          <w:trHeight w:val="274"/>
        </w:trPr>
        <w:tc>
          <w:tcPr>
            <w:tcW w:w="1656" w:type="dxa"/>
            <w:tcBorders>
              <w:top w:val="single" w:sz="4" w:space="0" w:color="auto"/>
              <w:left w:val="single" w:sz="4" w:space="0" w:color="auto"/>
            </w:tcBorders>
            <w:vAlign w:val="center"/>
          </w:tcPr>
          <w:p w14:paraId="65E6062D"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tc>
        <w:tc>
          <w:tcPr>
            <w:tcW w:w="1080" w:type="dxa"/>
            <w:tcBorders>
              <w:top w:val="single" w:sz="4" w:space="0" w:color="auto"/>
              <w:left w:val="single" w:sz="4" w:space="0" w:color="auto"/>
            </w:tcBorders>
            <w:vAlign w:val="center"/>
          </w:tcPr>
          <w:p w14:paraId="4487E728"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агитационный</w:t>
            </w:r>
          </w:p>
        </w:tc>
        <w:tc>
          <w:tcPr>
            <w:tcW w:w="648" w:type="dxa"/>
            <w:tcBorders>
              <w:top w:val="single" w:sz="4" w:space="0" w:color="auto"/>
              <w:left w:val="single" w:sz="4" w:space="0" w:color="auto"/>
              <w:right w:val="single" w:sz="4" w:space="0" w:color="auto"/>
            </w:tcBorders>
            <w:vAlign w:val="center"/>
          </w:tcPr>
          <w:p w14:paraId="2CBBB835"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Военный</w:t>
            </w:r>
          </w:p>
        </w:tc>
      </w:tr>
      <w:tr w:rsidR="00383A71" w:rsidRPr="0044524F" w14:paraId="70B6A70B" w14:textId="77777777" w:rsidTr="00E9136F">
        <w:trPr>
          <w:trHeight w:val="250"/>
        </w:trPr>
        <w:tc>
          <w:tcPr>
            <w:tcW w:w="1656" w:type="dxa"/>
            <w:tcBorders>
              <w:top w:val="single" w:sz="4" w:space="0" w:color="auto"/>
              <w:left w:val="single" w:sz="4" w:space="0" w:color="auto"/>
            </w:tcBorders>
          </w:tcPr>
          <w:p w14:paraId="046373C2"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 моторов, м</w:t>
            </w:r>
          </w:p>
        </w:tc>
        <w:tc>
          <w:tcPr>
            <w:tcW w:w="1080" w:type="dxa"/>
            <w:tcBorders>
              <w:top w:val="single" w:sz="4" w:space="0" w:color="auto"/>
              <w:left w:val="single" w:sz="4" w:space="0" w:color="auto"/>
            </w:tcBorders>
          </w:tcPr>
          <w:p w14:paraId="765C963E"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648" w:type="dxa"/>
            <w:tcBorders>
              <w:top w:val="single" w:sz="4" w:space="0" w:color="auto"/>
              <w:left w:val="single" w:sz="4" w:space="0" w:color="auto"/>
              <w:right w:val="single" w:sz="4" w:space="0" w:color="auto"/>
            </w:tcBorders>
          </w:tcPr>
          <w:p w14:paraId="58FCAE46"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r>
      <w:tr w:rsidR="00383A71" w:rsidRPr="0044524F" w14:paraId="2002A1BF" w14:textId="77777777" w:rsidTr="00E9136F">
        <w:trPr>
          <w:trHeight w:val="245"/>
        </w:trPr>
        <w:tc>
          <w:tcPr>
            <w:tcW w:w="1656" w:type="dxa"/>
            <w:tcBorders>
              <w:top w:val="single" w:sz="4" w:space="0" w:color="auto"/>
              <w:left w:val="single" w:sz="4" w:space="0" w:color="auto"/>
            </w:tcBorders>
          </w:tcPr>
          <w:p w14:paraId="2A333540"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м</w:t>
            </w:r>
          </w:p>
        </w:tc>
        <w:tc>
          <w:tcPr>
            <w:tcW w:w="1080" w:type="dxa"/>
            <w:tcBorders>
              <w:top w:val="single" w:sz="4" w:space="0" w:color="auto"/>
              <w:left w:val="single" w:sz="4" w:space="0" w:color="auto"/>
            </w:tcBorders>
          </w:tcPr>
          <w:p w14:paraId="098EB397"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6500</w:t>
            </w:r>
          </w:p>
        </w:tc>
        <w:tc>
          <w:tcPr>
            <w:tcW w:w="648" w:type="dxa"/>
            <w:tcBorders>
              <w:top w:val="single" w:sz="4" w:space="0" w:color="auto"/>
              <w:left w:val="single" w:sz="4" w:space="0" w:color="auto"/>
              <w:right w:val="single" w:sz="4" w:space="0" w:color="auto"/>
            </w:tcBorders>
          </w:tcPr>
          <w:p w14:paraId="428C6B71"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6300</w:t>
            </w:r>
          </w:p>
        </w:tc>
      </w:tr>
      <w:tr w:rsidR="00383A71" w:rsidRPr="0044524F" w14:paraId="03071F96" w14:textId="77777777" w:rsidTr="00E9136F">
        <w:trPr>
          <w:trHeight w:val="259"/>
        </w:trPr>
        <w:tc>
          <w:tcPr>
            <w:tcW w:w="1656" w:type="dxa"/>
            <w:tcBorders>
              <w:top w:val="single" w:sz="4" w:space="0" w:color="auto"/>
              <w:left w:val="single" w:sz="4" w:space="0" w:color="auto"/>
              <w:bottom w:val="single" w:sz="4" w:space="0" w:color="auto"/>
            </w:tcBorders>
          </w:tcPr>
          <w:p w14:paraId="2003F21B"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 км/ч</w:t>
            </w:r>
          </w:p>
        </w:tc>
        <w:tc>
          <w:tcPr>
            <w:tcW w:w="1080" w:type="dxa"/>
            <w:tcBorders>
              <w:top w:val="single" w:sz="4" w:space="0" w:color="auto"/>
              <w:left w:val="single" w:sz="4" w:space="0" w:color="auto"/>
              <w:bottom w:val="single" w:sz="4" w:space="0" w:color="auto"/>
            </w:tcBorders>
          </w:tcPr>
          <w:p w14:paraId="526BC7DB"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w:t>
            </w:r>
          </w:p>
        </w:tc>
        <w:tc>
          <w:tcPr>
            <w:tcW w:w="648" w:type="dxa"/>
            <w:tcBorders>
              <w:top w:val="single" w:sz="4" w:space="0" w:color="auto"/>
              <w:left w:val="single" w:sz="4" w:space="0" w:color="auto"/>
              <w:bottom w:val="single" w:sz="4" w:space="0" w:color="auto"/>
              <w:right w:val="single" w:sz="4" w:space="0" w:color="auto"/>
            </w:tcBorders>
          </w:tcPr>
          <w:p w14:paraId="0BDEF26E"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224</w:t>
            </w:r>
          </w:p>
        </w:tc>
      </w:tr>
    </w:tbl>
    <w:p w14:paraId="435364C1" w14:textId="77777777" w:rsidR="00383A71" w:rsidRPr="0044524F" w:rsidRDefault="00383A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пассажирского самолет мог перевозить 72 человека (23474).</w:t>
      </w:r>
    </w:p>
    <w:p w14:paraId="714D20D8" w14:textId="77777777" w:rsidR="00383A71" w:rsidRPr="0044524F" w:rsidRDefault="00383A71" w:rsidP="009654CF">
      <w:pPr>
        <w:spacing w:after="0" w:line="240" w:lineRule="auto"/>
        <w:jc w:val="both"/>
        <w:rPr>
          <w:rFonts w:ascii="Times New Roman" w:hAnsi="Times New Roman"/>
          <w:color w:val="000000" w:themeColor="text1"/>
          <w:sz w:val="16"/>
          <w:szCs w:val="16"/>
        </w:rPr>
      </w:pPr>
    </w:p>
    <w:p w14:paraId="25A6961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января 1933 И.И.Погосский был назначен нач. бригады тяжелых морских самолетов КОСОС ЦАГИ (273,299).</w:t>
      </w:r>
    </w:p>
    <w:p w14:paraId="02D91E45"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5E6AE0B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января 1933 года помощник начальника ГУАП Алмазов писал письмо № оп261/30 в СТО Базилевичу</w:t>
      </w:r>
    </w:p>
    <w:p w14:paraId="453C517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Представляя при сем, по распоряжению замнаркомтяжпрома Баранова отчет за 1932 год по опытному строительству моторов и самолетов, ставлю Вас в известность, что материал является предварительным, включающим в себе лишь состояние законченных и прорабатываемых объектов.</w:t>
      </w:r>
    </w:p>
    <w:p w14:paraId="360DD91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Анализ проведенных работ в 1932 году, а также перспективы на последующие года будет представлен Барановым в ближайшее время.</w:t>
      </w:r>
    </w:p>
    <w:p w14:paraId="4C4DE3D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1 папка на 17-ти листах (3530,69).</w:t>
      </w:r>
    </w:p>
    <w:p w14:paraId="632A16C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января 1933 года зам. наркомтяжпрома Баранов</w:t>
      </w:r>
    </w:p>
    <w:p w14:paraId="60B7C2A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 по опытному строительству моторов и самолетов за 1932 год</w:t>
      </w:r>
    </w:p>
    <w:p w14:paraId="04B45B8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Основная задача работ по опытному строительству в 1932 году заключалась в удовлетворении нужд ВВФ опытными боевыми экземплярами и подготовка их к внедрению в серийное производство. Параллельною задачею стояло улучшение и доводка объектов принятых уже на вооружение.</w:t>
      </w:r>
    </w:p>
    <w:p w14:paraId="1627835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Разрешение этих задач должно было вылиться в повышение максимальных скоростей, скороподъемностей, увеличении, грузоподъемностей, лучшей вооруженности, увеличений мощности моторов, в снабжении их редукторами и нагнетателями, в уменьшении веса конструкции.</w:t>
      </w:r>
    </w:p>
    <w:p w14:paraId="04E55BE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из указанного, Правительством были поставлены первоочередными задачами:</w:t>
      </w:r>
    </w:p>
    <w:p w14:paraId="6E0427A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моторостроению:</w:t>
      </w:r>
    </w:p>
    <w:p w14:paraId="30711C7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доводки и развитие М-34 (редуктор, нагнетатель, реверс, однорядный, облегченный);</w:t>
      </w:r>
    </w:p>
    <w:p w14:paraId="7E5EA88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создание типов истребительных моторов М-38 воздушного охлаждения, и особенно М-32 – водяного охлаждения;</w:t>
      </w:r>
    </w:p>
    <w:p w14:paraId="1073F09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постройка мощного бензинового двигателя М-44, сосредоточив на этом все основные силы по мощным бензиновым двигателям.</w:t>
      </w:r>
    </w:p>
    <w:p w14:paraId="4AE2083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самолетостроению.</w:t>
      </w:r>
    </w:p>
    <w:p w14:paraId="5C619EF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281B342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форсирование работ по постройке образцов тяжелого бомбардировщика (ТБ-4);</w:t>
      </w:r>
    </w:p>
    <w:p w14:paraId="36AD9E2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создание типов морских лодочных самолетов (МК1, МДР3 и др.).</w:t>
      </w:r>
    </w:p>
    <w:p w14:paraId="3D98348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образцы должны отвечать современным техническим требованиям и по своим качествам стоять не ниже первоклассных заграничных моторов и самолетов; кроме того, моторы должны быть снабжены новейшими типами агрегатов и приспособлений, а самолеты – стрелкового, бомбардировочного и химического вооружения.</w:t>
      </w:r>
    </w:p>
    <w:p w14:paraId="1323DF0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изложенного в 1932 году производились следующие опытные работы:</w:t>
      </w:r>
    </w:p>
    <w:p w14:paraId="6230146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988"/>
        <w:gridCol w:w="7326"/>
      </w:tblGrid>
      <w:tr w:rsidR="004E10C1" w:rsidRPr="0044524F" w14:paraId="08532EE8" w14:textId="77777777">
        <w:tc>
          <w:tcPr>
            <w:tcW w:w="2988" w:type="dxa"/>
          </w:tcPr>
          <w:p w14:paraId="698B1C0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Бензиновые двигатели водяного охлаждения</w:t>
            </w:r>
          </w:p>
        </w:tc>
        <w:tc>
          <w:tcPr>
            <w:tcW w:w="7326" w:type="dxa"/>
          </w:tcPr>
          <w:p w14:paraId="18BF9210" w14:textId="77777777" w:rsidR="00E37239" w:rsidRPr="0044524F" w:rsidRDefault="00E37239" w:rsidP="009654CF">
            <w:pPr>
              <w:spacing w:after="0" w:line="240" w:lineRule="auto"/>
              <w:jc w:val="both"/>
              <w:rPr>
                <w:rFonts w:ascii="Times New Roman" w:hAnsi="Times New Roman"/>
                <w:color w:val="000000" w:themeColor="text1"/>
                <w:sz w:val="16"/>
                <w:szCs w:val="16"/>
              </w:rPr>
            </w:pPr>
          </w:p>
        </w:tc>
      </w:tr>
      <w:tr w:rsidR="004E10C1" w:rsidRPr="0044524F" w14:paraId="7165D9ED" w14:textId="77777777">
        <w:tc>
          <w:tcPr>
            <w:tcW w:w="2988" w:type="dxa"/>
          </w:tcPr>
          <w:p w14:paraId="7A3B2B8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p w14:paraId="4B01010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750 л.с.</w:t>
            </w:r>
          </w:p>
          <w:p w14:paraId="00914B7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600 кг</w:t>
            </w:r>
          </w:p>
          <w:p w14:paraId="61094A4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Госиспытания прошел в ноябре 1931 года</w:t>
            </w:r>
          </w:p>
          <w:p w14:paraId="3C747B0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 и завод № 24</w:t>
            </w:r>
          </w:p>
        </w:tc>
        <w:tc>
          <w:tcPr>
            <w:tcW w:w="7326" w:type="dxa"/>
          </w:tcPr>
          <w:p w14:paraId="5B9FFDE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 в серийное производство на заводе № 24 с мая 1932 года.</w:t>
            </w:r>
          </w:p>
          <w:p w14:paraId="23DB67C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целью определения надежности выдержал дополнительно 50 часовое испытание на полном газу, каковое закончилось 26 ноября 1932 года, причем показал мощность 830-840 л.с. Задержками в выпуске серии служили: выкрашивание баббита в подшипниках, увеличенный расход масла, повышенный износ трущихся деталей.</w:t>
            </w:r>
          </w:p>
          <w:p w14:paraId="3328D1E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совместной работой ЦИАМа и завода № 24 эти дефекты в основном изжиты. Дальнейшие опытные работы (по ЦИАМу и заводу № 24) сводятся к:</w:t>
            </w:r>
          </w:p>
          <w:p w14:paraId="40093C85" w14:textId="77777777" w:rsidR="00E37239" w:rsidRPr="0044524F" w:rsidRDefault="00E37239"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Увеличению надежности мотора с доводкой работы без переборки до 200 часов.</w:t>
            </w:r>
          </w:p>
          <w:p w14:paraId="3D639D99" w14:textId="77777777" w:rsidR="00E37239" w:rsidRPr="0044524F" w:rsidRDefault="00E37239"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Снижению расхода масла.</w:t>
            </w:r>
          </w:p>
          <w:p w14:paraId="31A1C3E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мотору ЦИАМом спроектирован и изготовлен карбюратор (К-34), который прошел длительные испытания и показал хорошие результаты.</w:t>
            </w:r>
          </w:p>
          <w:p w14:paraId="25E5868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производстве карбюратор значительно проще заграничных. В настоящее время внедряется в серийное производство на заводе № 33, что освобождает нас от импорта карбюраторов к мотору М34.</w:t>
            </w:r>
          </w:p>
        </w:tc>
      </w:tr>
      <w:tr w:rsidR="004E10C1" w:rsidRPr="0044524F" w14:paraId="7F307F6D" w14:textId="77777777">
        <w:tc>
          <w:tcPr>
            <w:tcW w:w="2988" w:type="dxa"/>
          </w:tcPr>
          <w:p w14:paraId="6B665BD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 (с редуктором)</w:t>
            </w:r>
          </w:p>
          <w:p w14:paraId="50DE6C5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750 л.с.</w:t>
            </w:r>
          </w:p>
          <w:p w14:paraId="7FEE738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610 кг</w:t>
            </w:r>
          </w:p>
          <w:p w14:paraId="79D412C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Плановый срок госиспытаний 15 ноября 1932 года</w:t>
            </w:r>
          </w:p>
          <w:p w14:paraId="57E0863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5B8937C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закончен производством 6 ноября 1932 года и поступил на заводские испытания, на которых в течение 46 часов определен режим работы мотора:</w:t>
            </w:r>
          </w:p>
          <w:p w14:paraId="3A2CD02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860 л.с. при оборот. = 1900</w:t>
            </w:r>
          </w:p>
          <w:p w14:paraId="643AA80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800 л.с. при оборот. = 1850</w:t>
            </w:r>
          </w:p>
          <w:p w14:paraId="394E284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725 л.с. при оборот. = 1785</w:t>
            </w:r>
          </w:p>
          <w:p w14:paraId="066B398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время испытаний редуктор показал хорошие результаты.</w:t>
            </w:r>
          </w:p>
          <w:p w14:paraId="5A8AC9C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готовится на 50-часовое испытание без разборки.</w:t>
            </w:r>
          </w:p>
          <w:p w14:paraId="196CD4E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марта 1933 года будет предъявлен.</w:t>
            </w:r>
          </w:p>
        </w:tc>
      </w:tr>
      <w:tr w:rsidR="004E10C1" w:rsidRPr="0044524F" w14:paraId="77B30A48" w14:textId="77777777">
        <w:tc>
          <w:tcPr>
            <w:tcW w:w="2988" w:type="dxa"/>
          </w:tcPr>
          <w:p w14:paraId="02956CD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с реверсом</w:t>
            </w:r>
          </w:p>
          <w:p w14:paraId="397C36E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750 л.с.</w:t>
            </w:r>
          </w:p>
          <w:p w14:paraId="6D53703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 цилиндровый</w:t>
            </w:r>
          </w:p>
          <w:p w14:paraId="3504200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980 кг</w:t>
            </w:r>
          </w:p>
          <w:p w14:paraId="7A4E968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Плановый срок госиспытаний – октябрь 1932 года</w:t>
            </w:r>
          </w:p>
          <w:p w14:paraId="33F1599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ЦИАМ</w:t>
            </w:r>
          </w:p>
        </w:tc>
        <w:tc>
          <w:tcPr>
            <w:tcW w:w="7326" w:type="dxa"/>
          </w:tcPr>
          <w:p w14:paraId="4D05BCD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Предварительными работами послужило изготовление 2-х реверсов под мотор АССО, которые прошли госиспытания в августе 1932 года и тогда же были сданы УВМС.</w:t>
            </w:r>
          </w:p>
          <w:p w14:paraId="702B0BB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ГМ-34 представляет модификацию М-34 с целью применения его на морских быстроходных катерах, для чего требовалось снабдить его механизмом, обеспечивающим возможность перемены направления вращения винта.</w:t>
            </w:r>
          </w:p>
          <w:p w14:paraId="3E6CD2A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ЦИАМ должен был изготовлять детали для 3-х экземпляров моторов, отличные от мотора М-34, все же идентичные детали доставлялись заводом № 24.</w:t>
            </w:r>
          </w:p>
          <w:p w14:paraId="6FDB326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экземпляр, законченный 3 ноября 1932 года находится на испытаниях, наработал 20 часов. Состояние деталей удовлетворительное.</w:t>
            </w:r>
          </w:p>
          <w:p w14:paraId="4729876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готовится на длительные заводские испытания и 15 марта 1933 года будет предъявлен на госиспытания.</w:t>
            </w:r>
          </w:p>
          <w:p w14:paraId="1F3CB9D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Задержкой послужили разрушение фрикционных дисков и, гл. образом, необходимость устранения дефектов в основном моторе М-34, который закончил свою доводку к декабрю 1932 года.</w:t>
            </w:r>
          </w:p>
        </w:tc>
      </w:tr>
      <w:tr w:rsidR="004E10C1" w:rsidRPr="0044524F" w14:paraId="56356DFA" w14:textId="77777777">
        <w:tc>
          <w:tcPr>
            <w:tcW w:w="2988" w:type="dxa"/>
          </w:tcPr>
          <w:p w14:paraId="2A9E526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М-54Н (форсированный М34)</w:t>
            </w:r>
          </w:p>
          <w:p w14:paraId="16CD43E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900 л.с.</w:t>
            </w:r>
          </w:p>
          <w:p w14:paraId="5BB34EC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 цилиндровый</w:t>
            </w:r>
          </w:p>
          <w:p w14:paraId="08E33D2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600 кг</w:t>
            </w:r>
          </w:p>
          <w:p w14:paraId="10AD045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Н=5000</w:t>
            </w:r>
          </w:p>
          <w:p w14:paraId="588C3FE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Плановый срок госиспытаний – май 1933 года</w:t>
            </w:r>
          </w:p>
          <w:p w14:paraId="177CEAB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2E447DB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намечен как развитие М-34 путем форсирования его до мощности допускаемой конструкцией мотора.</w:t>
            </w:r>
          </w:p>
          <w:p w14:paraId="1497A12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ЦИАМом в 1932 году проведены испытания:</w:t>
            </w:r>
          </w:p>
          <w:p w14:paraId="180E66E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установлению методов форсировки мотора М-34;</w:t>
            </w:r>
          </w:p>
          <w:p w14:paraId="7B8E90E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работы мотора на повышенном режиме.</w:t>
            </w:r>
          </w:p>
          <w:p w14:paraId="275A81E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Изготовлена экспериментальная установка с одним блоком мотора М34 и начаты испытания на ней. Работы идут по плану.</w:t>
            </w:r>
          </w:p>
        </w:tc>
      </w:tr>
      <w:tr w:rsidR="004E10C1" w:rsidRPr="0044524F" w14:paraId="045ACF24" w14:textId="77777777">
        <w:tc>
          <w:tcPr>
            <w:tcW w:w="2988" w:type="dxa"/>
          </w:tcPr>
          <w:p w14:paraId="5AC8F67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М-55Н. Перевернутый М-34.</w:t>
            </w:r>
          </w:p>
          <w:p w14:paraId="6AA453F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750 л.с.</w:t>
            </w:r>
          </w:p>
          <w:p w14:paraId="3D3582D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 цилиндровый</w:t>
            </w:r>
          </w:p>
          <w:p w14:paraId="48EA669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600 кг</w:t>
            </w:r>
          </w:p>
          <w:p w14:paraId="636DECC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Н=5000</w:t>
            </w:r>
          </w:p>
          <w:p w14:paraId="0B21137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Срок госиспытаний – 1 августа 1933 года </w:t>
            </w:r>
          </w:p>
          <w:p w14:paraId="0EF4842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557F011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должен был представлять собой модификацию М-34 (перевернутый мотор). Цель модификации дать улучшение обзора с самолета, имеющего одномоторную установку (разведчик). Эту работу ЦИАМ не форсировал, имея более актуальные задачи и на основании имеющихся за границей экспериментальных работ, результат которых не получил широкого применения, ЦИАМ пришел к выводам, что такой мотор даст не вполне целесообразное и надежное решение поставленной задачи, а потому считаю необходимым просить о снятии этого мотора с программы 1933 года.</w:t>
            </w:r>
          </w:p>
        </w:tc>
      </w:tr>
      <w:tr w:rsidR="004E10C1" w:rsidRPr="0044524F" w14:paraId="58400F20" w14:textId="77777777">
        <w:tc>
          <w:tcPr>
            <w:tcW w:w="2988" w:type="dxa"/>
          </w:tcPr>
          <w:p w14:paraId="2AC9597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М-35РН</w:t>
            </w:r>
          </w:p>
          <w:p w14:paraId="097B003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1500 л.с.</w:t>
            </w:r>
          </w:p>
          <w:p w14:paraId="4EC3A50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1300 кг</w:t>
            </w:r>
          </w:p>
          <w:p w14:paraId="429EEB1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Х-обр. 24 цилиндровый</w:t>
            </w:r>
          </w:p>
          <w:p w14:paraId="65AD9A4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Н=5000</w:t>
            </w:r>
          </w:p>
          <w:p w14:paraId="5003CC1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Госиспытания – 1 апреля 1933 года</w:t>
            </w:r>
          </w:p>
          <w:p w14:paraId="3CB865D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0927D5C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предполагался как дельнейшее развитие М-34 путем удвоения числа цилиндров и предназначался для тяжелых самолетов. ЦИАМом проведена разработка проекта и подвергнута обсуждению совместно с представителями ЦАГИ И УВВС. В результате имевших место совещаний Институт пришел к заключению, что уже выполненные типы опытных моторов сумеют удовлетворить все основные типы самолетов (истребительных, разведывательных, бомбовозов) и что насущной потребности в данном моторе не имеется. Кроме того, по мнению ряда специалистов ЦИАМ, ЦАГИ и УВВС, разработанный проект мотора даст не вполне целесообразное решение поставленной задачи. Исходя из этих соображений, считаю необходимым просить, также как и М-55Н, о снятии этого мотора с производства 1933 года.</w:t>
            </w:r>
          </w:p>
        </w:tc>
      </w:tr>
      <w:tr w:rsidR="004E10C1" w:rsidRPr="0044524F" w14:paraId="73A2CDB9" w14:textId="77777777">
        <w:tc>
          <w:tcPr>
            <w:tcW w:w="2988" w:type="dxa"/>
          </w:tcPr>
          <w:p w14:paraId="2C91197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М-52</w:t>
            </w:r>
          </w:p>
          <w:p w14:paraId="5589BD3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400 л.с.</w:t>
            </w:r>
          </w:p>
          <w:p w14:paraId="202CFDE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6 цилиндровый</w:t>
            </w:r>
          </w:p>
          <w:p w14:paraId="7914C08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300 кг</w:t>
            </w:r>
          </w:p>
          <w:p w14:paraId="2C2C18A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1 октября 1932 года</w:t>
            </w:r>
          </w:p>
          <w:p w14:paraId="32BA64F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33BFDDE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предназначается для переходных типов самолетов (от учебного к боевому) в частях ВВС и для целой серии самолетов ГВФ. Создание этого мотора намечалось как модификация мотора М-34, путем уменьшения вдвое числа цилиндров мотора. ЦИАМ должен был изготовить 4 экземпляра мотора, из которых 2 экземпляра должны были быть установлены на самолеты. Части идентичные с мотором М-34 поставлялись заводом № 24, все же остальные изготовлялись в ЦИАМе.</w:t>
            </w:r>
          </w:p>
          <w:p w14:paraId="62AFB02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закончен производством и поступил на испытания в начале ноября 1932 года, на которых дал мощность 480 л.с. при 1960 об/мин.</w:t>
            </w:r>
          </w:p>
          <w:p w14:paraId="09063AA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аварии нижней половины картера, мотор находится на исправлении, после чего пройдет 50-часовое режимное испытание без переборки.</w:t>
            </w:r>
          </w:p>
          <w:p w14:paraId="4F0450F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предъявлен на госиспытания 15 марта 1933 года.</w:t>
            </w:r>
          </w:p>
        </w:tc>
      </w:tr>
      <w:tr w:rsidR="004E10C1" w:rsidRPr="0044524F" w14:paraId="3D35244D" w14:textId="77777777">
        <w:tc>
          <w:tcPr>
            <w:tcW w:w="2988" w:type="dxa"/>
          </w:tcPr>
          <w:p w14:paraId="47BB22A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М-32РН</w:t>
            </w:r>
          </w:p>
          <w:p w14:paraId="712E130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600 л.с.</w:t>
            </w:r>
          </w:p>
          <w:p w14:paraId="0F9DA92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16 цилиндровый</w:t>
            </w:r>
          </w:p>
          <w:p w14:paraId="2E6EDEF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400 кг</w:t>
            </w:r>
          </w:p>
          <w:p w14:paraId="6E6C5A2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ноябрь 1932 года</w:t>
            </w:r>
          </w:p>
          <w:p w14:paraId="4DCAB13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73FDE70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мотор предназначается для быстроходных самолетов и для некоторых категорий разведывательных машин.</w:t>
            </w:r>
          </w:p>
          <w:p w14:paraId="6E957D3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мотора закончено в ноябре 1932 года.</w:t>
            </w:r>
          </w:p>
          <w:p w14:paraId="77F0A5B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Задержка произошла в силу большого литейного брака. На заводских испытаниях обнаружен ряд дефектов: недостаточная жесткость водяной рубашки (при затяжке болтов деформируется и пропускает воду), трещины и выдавливание баббита на всех вкладышах шатунных и коренных подшипников. Мотор не держит полного газа.</w:t>
            </w:r>
          </w:p>
          <w:p w14:paraId="6612C42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неполадки устранены. Поставлены усиленные блоки и мотор продолжает испытываться.</w:t>
            </w:r>
          </w:p>
          <w:p w14:paraId="78FD236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проработал вполне удовлетворительно 50 часов и дал мощность 606 л.с.</w:t>
            </w:r>
          </w:p>
          <w:p w14:paraId="2244089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Заканчиваются производством еще 2 экземпляра.</w:t>
            </w:r>
          </w:p>
          <w:p w14:paraId="2709C77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Предъявление на госиспытания намечено на 15 марта 1933 года.</w:t>
            </w:r>
          </w:p>
        </w:tc>
      </w:tr>
      <w:tr w:rsidR="004E10C1" w:rsidRPr="0044524F" w14:paraId="5EFE6C8C" w14:textId="77777777">
        <w:tc>
          <w:tcPr>
            <w:tcW w:w="2988" w:type="dxa"/>
          </w:tcPr>
          <w:p w14:paraId="3ABE672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М-44Н</w:t>
            </w:r>
          </w:p>
          <w:p w14:paraId="358914F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2000 л.с.</w:t>
            </w:r>
          </w:p>
          <w:p w14:paraId="66F55B7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 цилиндровый</w:t>
            </w:r>
          </w:p>
          <w:p w14:paraId="6DC285A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1500 кг</w:t>
            </w:r>
          </w:p>
          <w:p w14:paraId="5A8E0B9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Н=3500</w:t>
            </w:r>
          </w:p>
          <w:p w14:paraId="165F9B6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июль 1933 года</w:t>
            </w:r>
          </w:p>
          <w:p w14:paraId="6CD9F92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0137A66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предназначается для тяжелых многомоторных самолетов.</w:t>
            </w:r>
          </w:p>
          <w:p w14:paraId="4EF8A76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Полностью закончена конструктивная разработка.</w:t>
            </w:r>
          </w:p>
          <w:p w14:paraId="343ABAF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 деталей моторов выполнено на 50%. Изготовлена экспериментальная установка с одним цилиндром и на ней заканчивается цикл исследовательских испытаний в лаборатории.</w:t>
            </w:r>
          </w:p>
          <w:p w14:paraId="4C22680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идут по плану.</w:t>
            </w:r>
          </w:p>
        </w:tc>
      </w:tr>
      <w:tr w:rsidR="004E10C1" w:rsidRPr="0044524F" w14:paraId="66B75622" w14:textId="77777777">
        <w:tc>
          <w:tcPr>
            <w:tcW w:w="2988" w:type="dxa"/>
          </w:tcPr>
          <w:p w14:paraId="61972F0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Звездообразные бензиновые моторы воздушного охлаждения</w:t>
            </w:r>
          </w:p>
        </w:tc>
        <w:tc>
          <w:tcPr>
            <w:tcW w:w="7326" w:type="dxa"/>
          </w:tcPr>
          <w:p w14:paraId="7FF4A052" w14:textId="77777777" w:rsidR="00E37239" w:rsidRPr="0044524F" w:rsidRDefault="00E37239" w:rsidP="009654CF">
            <w:pPr>
              <w:spacing w:after="0" w:line="240" w:lineRule="auto"/>
              <w:jc w:val="both"/>
              <w:rPr>
                <w:rFonts w:ascii="Times New Roman" w:hAnsi="Times New Roman"/>
                <w:color w:val="000000" w:themeColor="text1"/>
                <w:sz w:val="16"/>
                <w:szCs w:val="16"/>
              </w:rPr>
            </w:pPr>
          </w:p>
        </w:tc>
      </w:tr>
      <w:tr w:rsidR="004E10C1" w:rsidRPr="0044524F" w14:paraId="08031B75" w14:textId="77777777">
        <w:tc>
          <w:tcPr>
            <w:tcW w:w="2988" w:type="dxa"/>
          </w:tcPr>
          <w:p w14:paraId="2270495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М-38Н</w:t>
            </w:r>
          </w:p>
          <w:p w14:paraId="48BB6E0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600 л.с.</w:t>
            </w:r>
          </w:p>
          <w:p w14:paraId="59788B9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400 кг</w:t>
            </w:r>
          </w:p>
          <w:p w14:paraId="0090B8B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август 1932 года</w:t>
            </w:r>
          </w:p>
          <w:p w14:paraId="4B0A09A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5B225EE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предназначается для истребительных самолетов. Кроме моторов, необходимых для заводских и государственных испытаний, ЦИАМ должен быть изготовить еще 2 мотора для установки на опытные самолеты. Был закончен производством к 1 мая 1932 года, в течение всего остального времени мотор находился на испытаниях, в результате которых был устранен целый ряд обнаруженных дефектов и было выяснено, что конструкция цилиндров, поршней и распределения является неудачной.</w:t>
            </w:r>
          </w:p>
          <w:p w14:paraId="50A0CC6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другой стороны испытания показали, что в отношении развиваемой мощности, надежности работы отдельных деталей (кривошипно-шатунный механизм, картер и пр.) проектные данные вполне подтвердились. Измененная конструкция цилиндров и других деталей запущена в производство с ноября 1932 года.</w:t>
            </w:r>
          </w:p>
          <w:p w14:paraId="43CE02C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Суммарно мотор проработал около 200 часов, из них режимных около 80 часов.</w:t>
            </w:r>
          </w:p>
          <w:p w14:paraId="514E509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Смонтирована одноцилиндровая установка, на которой будут вестись все дополнительные исследования.</w:t>
            </w:r>
          </w:p>
          <w:p w14:paraId="4476435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Предполагаемый срок предъявления на госиспытания 1 мая 1933 года.</w:t>
            </w:r>
          </w:p>
        </w:tc>
      </w:tr>
      <w:tr w:rsidR="004E10C1" w:rsidRPr="0044524F" w14:paraId="5CD914D9" w14:textId="77777777">
        <w:tc>
          <w:tcPr>
            <w:tcW w:w="2988" w:type="dxa"/>
          </w:tcPr>
          <w:p w14:paraId="7A4114B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М-38РН</w:t>
            </w:r>
          </w:p>
          <w:p w14:paraId="2DC4C00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600 л.с.</w:t>
            </w:r>
          </w:p>
          <w:p w14:paraId="700840B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430 кг</w:t>
            </w:r>
          </w:p>
          <w:p w14:paraId="07A844D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Н=5000</w:t>
            </w:r>
          </w:p>
          <w:p w14:paraId="5D66A0B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май 1933 года</w:t>
            </w:r>
          </w:p>
          <w:p w14:paraId="45312CF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0A96729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должен явиться модификацией М-38Н, которая заключается в применении на моторе редуктора, уменьшающего число оборотов винта, с целью сделать возможным применение мотора на многомоторных самолетах и улучшить отдачу мощности.</w:t>
            </w:r>
          </w:p>
          <w:p w14:paraId="48B7F96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году полностью закончена конструктивная разработка мотора и начата подготовка к его производству.</w:t>
            </w:r>
          </w:p>
          <w:p w14:paraId="54E7D4B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идет по плану.</w:t>
            </w:r>
          </w:p>
        </w:tc>
      </w:tr>
      <w:tr w:rsidR="004E10C1" w:rsidRPr="0044524F" w14:paraId="3EA8279F" w14:textId="77777777">
        <w:tc>
          <w:tcPr>
            <w:tcW w:w="2988" w:type="dxa"/>
          </w:tcPr>
          <w:p w14:paraId="0F01BFE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М-51</w:t>
            </w:r>
          </w:p>
          <w:p w14:paraId="512B7FB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100 л.с.</w:t>
            </w:r>
          </w:p>
          <w:p w14:paraId="0CCF934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155 кг</w:t>
            </w:r>
          </w:p>
          <w:p w14:paraId="1251F80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Госиспытания – январь 1932 года</w:t>
            </w:r>
          </w:p>
          <w:p w14:paraId="6DA56B0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29</w:t>
            </w:r>
          </w:p>
        </w:tc>
        <w:tc>
          <w:tcPr>
            <w:tcW w:w="7326" w:type="dxa"/>
          </w:tcPr>
          <w:p w14:paraId="7E07CBB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Мотор предназначается для замены М-11 на маломощных самолетах.</w:t>
            </w:r>
          </w:p>
          <w:p w14:paraId="0C20674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конструкции мотора проведена задача простоты, надежности и эксплуатации и удобства в производстве.</w:t>
            </w:r>
          </w:p>
          <w:p w14:paraId="5227099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 удовлетворительно пройденных заводских испытаниях мотор проработал 86 часов, после чего устранен ряд небольших неполадок и был затем предъявлен на госиспытания, каковые успешно закончил 16 октября 1932 года.</w:t>
            </w:r>
          </w:p>
        </w:tc>
      </w:tr>
      <w:tr w:rsidR="004E10C1" w:rsidRPr="0044524F" w14:paraId="3D4A1C5D" w14:textId="77777777">
        <w:tc>
          <w:tcPr>
            <w:tcW w:w="2988" w:type="dxa"/>
          </w:tcPr>
          <w:p w14:paraId="5404CDF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М-48</w:t>
            </w:r>
          </w:p>
          <w:p w14:paraId="575E2FF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165 л.с.</w:t>
            </w:r>
          </w:p>
          <w:p w14:paraId="5363935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180 кг</w:t>
            </w:r>
          </w:p>
          <w:p w14:paraId="2E1749D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август 1932 года</w:t>
            </w:r>
          </w:p>
          <w:p w14:paraId="4E77A40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29</w:t>
            </w:r>
          </w:p>
        </w:tc>
        <w:tc>
          <w:tcPr>
            <w:tcW w:w="7326" w:type="dxa"/>
          </w:tcPr>
          <w:p w14:paraId="5EDC76D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является модификацией М-51 и как 7-ми цилиндровое развитие его отличается , главным образом, задней частью картера, где устроен приводной импеллер для лучшего перемешивания смеси.</w:t>
            </w:r>
          </w:p>
          <w:p w14:paraId="4AC8B95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 производством в июле 1932 года и поставлен на заводские испытания. Всего до конца 1932 года прошел 65 часов. Основные неполадки с всасывающими трубами, с фрикционной передачей к импеллеру.</w:t>
            </w:r>
          </w:p>
          <w:p w14:paraId="117B8CF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Дефекты устранены. Испытания продолжаются. Получена мощность 195 л.с.</w:t>
            </w:r>
          </w:p>
          <w:p w14:paraId="4BDB75F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предъявлен на госиспытания 1 февраля 1933 года.</w:t>
            </w:r>
          </w:p>
        </w:tc>
      </w:tr>
      <w:tr w:rsidR="004E10C1" w:rsidRPr="0044524F" w14:paraId="623DFB9A" w14:textId="77777777">
        <w:tc>
          <w:tcPr>
            <w:tcW w:w="2988" w:type="dxa"/>
          </w:tcPr>
          <w:p w14:paraId="5F2EF12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3М-11 (внеплановый)</w:t>
            </w:r>
          </w:p>
          <w:p w14:paraId="26E5548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65 л.с.</w:t>
            </w:r>
          </w:p>
          <w:p w14:paraId="46E9B60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100 кг</w:t>
            </w:r>
          </w:p>
          <w:p w14:paraId="0EFA3B9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29</w:t>
            </w:r>
          </w:p>
        </w:tc>
        <w:tc>
          <w:tcPr>
            <w:tcW w:w="7326" w:type="dxa"/>
          </w:tcPr>
          <w:p w14:paraId="30CBBC2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успешно закончил 28 декабря 1932 года. 100 часовое госиспытание.</w:t>
            </w:r>
          </w:p>
          <w:p w14:paraId="12FF2BB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Заканчиваются изготовлением еще 2 мотора.</w:t>
            </w:r>
          </w:p>
        </w:tc>
      </w:tr>
      <w:tr w:rsidR="004E10C1" w:rsidRPr="0044524F" w14:paraId="0217F450" w14:textId="77777777">
        <w:tc>
          <w:tcPr>
            <w:tcW w:w="2988" w:type="dxa"/>
          </w:tcPr>
          <w:p w14:paraId="7EEA2C2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(22У) (внеплановый)</w:t>
            </w:r>
          </w:p>
          <w:p w14:paraId="78AC622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630 л.с.</w:t>
            </w:r>
          </w:p>
          <w:p w14:paraId="083F575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420 кг</w:t>
            </w:r>
          </w:p>
          <w:p w14:paraId="0106ED0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Н=5000</w:t>
            </w:r>
          </w:p>
          <w:p w14:paraId="01C06E3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29</w:t>
            </w:r>
          </w:p>
        </w:tc>
        <w:tc>
          <w:tcPr>
            <w:tcW w:w="7326" w:type="dxa"/>
          </w:tcPr>
          <w:p w14:paraId="4E50850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Мощный звездообразный двигатель для истребителей. Проект мотора закончен к 15 мая 1932 года. Обращено особое внимание на простоту конструкции и несмотря на наличие нагнетателя число деталей сведено до минимума. Мотор изготовлен в 3 экз. в октябре 1932 года.</w:t>
            </w:r>
          </w:p>
          <w:p w14:paraId="020B3A9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октября 1932 года поставлен на заводские испытания и наработал 20 часов. Основные дефекты: поломка роликов толкателя, недостаточная смазка шатунного механизма, неудовлетворительное уплотнение валика импеллера, поломка задней крышки.</w:t>
            </w:r>
          </w:p>
          <w:p w14:paraId="03D4499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Дефекты устраняются. Испытания продолжаются. Готовят мотор к прохождению длительного этапа, после чего намечено предъявить на госиспытания к 1 марта 1933 года.</w:t>
            </w:r>
          </w:p>
        </w:tc>
      </w:tr>
      <w:tr w:rsidR="004E10C1" w:rsidRPr="0044524F" w14:paraId="7376F177" w14:textId="77777777">
        <w:tc>
          <w:tcPr>
            <w:tcW w:w="2988" w:type="dxa"/>
          </w:tcPr>
          <w:p w14:paraId="6C044BF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Нефтяные моторы (авиадизеля)</w:t>
            </w:r>
          </w:p>
        </w:tc>
        <w:tc>
          <w:tcPr>
            <w:tcW w:w="7326" w:type="dxa"/>
          </w:tcPr>
          <w:p w14:paraId="7BE3F690" w14:textId="77777777" w:rsidR="00E37239" w:rsidRPr="0044524F" w:rsidRDefault="00E37239" w:rsidP="009654CF">
            <w:pPr>
              <w:spacing w:after="0" w:line="240" w:lineRule="auto"/>
              <w:jc w:val="both"/>
              <w:rPr>
                <w:rFonts w:ascii="Times New Roman" w:hAnsi="Times New Roman"/>
                <w:color w:val="000000" w:themeColor="text1"/>
                <w:sz w:val="16"/>
                <w:szCs w:val="16"/>
              </w:rPr>
            </w:pPr>
          </w:p>
        </w:tc>
      </w:tr>
      <w:tr w:rsidR="004E10C1" w:rsidRPr="0044524F" w14:paraId="033C9F79" w14:textId="77777777">
        <w:tc>
          <w:tcPr>
            <w:tcW w:w="2988" w:type="dxa"/>
          </w:tcPr>
          <w:p w14:paraId="351A458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АН-1</w:t>
            </w:r>
          </w:p>
          <w:p w14:paraId="4BE97FF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600 л.с.</w:t>
            </w:r>
          </w:p>
          <w:p w14:paraId="57DFFF1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 цилиндровый</w:t>
            </w:r>
          </w:p>
          <w:p w14:paraId="474A5B6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840 кг</w:t>
            </w:r>
          </w:p>
          <w:p w14:paraId="0AA0E81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Госиспытания – 1 марта 1933 года</w:t>
            </w:r>
          </w:p>
          <w:p w14:paraId="59F48F3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16285C6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должен явиться одним из первых авиационных двигателей, работающих на тяжелом топливе.</w:t>
            </w:r>
          </w:p>
          <w:p w14:paraId="256C855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Полностью закончена конструктивная разработка, начато производство 3 экземпляров моторов, закончено изготовление экспериментальной установки с одним цилиндром мотора и успешно проводятся большие экспериментальные испытания.</w:t>
            </w:r>
          </w:p>
          <w:p w14:paraId="4F44833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Одноцилиндровая установка наработала 100 часов и дала мощность 68 л.с.</w:t>
            </w:r>
          </w:p>
          <w:p w14:paraId="1269E32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новизны дела и отсутствия опыта не только у нас, но и за границей, а также большая сложность производства как ряда крупных деталей так и, главным образом, насосов для подачи горючего, а также несовременная подача поковок с заводов-поставщиков, срок предъявления на заводские испытания определен 15 мая 1933 года.</w:t>
            </w:r>
          </w:p>
        </w:tc>
      </w:tr>
      <w:tr w:rsidR="004E10C1" w:rsidRPr="0044524F" w14:paraId="29550038" w14:textId="77777777">
        <w:tc>
          <w:tcPr>
            <w:tcW w:w="2988" w:type="dxa"/>
          </w:tcPr>
          <w:p w14:paraId="47BE96E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 работы</w:t>
            </w:r>
          </w:p>
        </w:tc>
        <w:tc>
          <w:tcPr>
            <w:tcW w:w="7326" w:type="dxa"/>
          </w:tcPr>
          <w:p w14:paraId="75B12E95" w14:textId="77777777" w:rsidR="00E37239" w:rsidRPr="0044524F" w:rsidRDefault="00E37239" w:rsidP="009654CF">
            <w:pPr>
              <w:spacing w:after="0" w:line="240" w:lineRule="auto"/>
              <w:jc w:val="both"/>
              <w:rPr>
                <w:rFonts w:ascii="Times New Roman" w:hAnsi="Times New Roman"/>
                <w:color w:val="000000" w:themeColor="text1"/>
                <w:sz w:val="16"/>
                <w:szCs w:val="16"/>
              </w:rPr>
            </w:pPr>
          </w:p>
        </w:tc>
      </w:tr>
      <w:tr w:rsidR="004E10C1" w:rsidRPr="0044524F" w14:paraId="2E5610C3" w14:textId="77777777">
        <w:tc>
          <w:tcPr>
            <w:tcW w:w="2988" w:type="dxa"/>
          </w:tcPr>
          <w:p w14:paraId="3CF6220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……..ВПШ</w:t>
            </w:r>
          </w:p>
          <w:p w14:paraId="4983935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1 сентября 1932 года</w:t>
            </w:r>
          </w:p>
          <w:p w14:paraId="57B98BE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7326" w:type="dxa"/>
          </w:tcPr>
          <w:p w14:paraId="04385E4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 переменного шага необходим для сохранения тяги винта до большой высоты. При наличии ВПШ использование мощности мотора более выгодно и самолет получает лучшие летные данные при полете на высоте.</w:t>
            </w:r>
          </w:p>
          <w:p w14:paraId="0185A95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течение 1932 года были закончены конструктивные разработки по двум различным схемам: одной с гидравлическим механизмом поворота лопастей винта, а другой с электрическим приводом поворотного механизма. Пуск в производство указанных винтов был задержан до получения результатов испытаний экспериментального винта, изготовленного в 1931 году. Испытания экспериментального винта до мая 1932 года проводились в лаборатории, а с мая перенесены на аэродром для проверки работы винта в полете</w:t>
            </w:r>
          </w:p>
          <w:p w14:paraId="7FBDC5B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Проводимые испытания винта на самолете в воздухе дают удовлетворительные результаты.</w:t>
            </w:r>
          </w:p>
        </w:tc>
      </w:tr>
    </w:tbl>
    <w:p w14:paraId="36CDD8C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Правительственной программы 1932 года были проведены следующие работы:</w:t>
      </w:r>
    </w:p>
    <w:p w14:paraId="12028FF5" w14:textId="77777777" w:rsidR="00E37239" w:rsidRPr="0044524F" w:rsidRDefault="00E37239" w:rsidP="009654CF">
      <w:pPr>
        <w:numPr>
          <w:ilvl w:val="0"/>
          <w:numId w:val="7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Доводка и увеличение надежности работы серийного мотора М-17 без переборки до 200 часов.</w:t>
      </w:r>
    </w:p>
    <w:p w14:paraId="075963ED" w14:textId="77777777" w:rsidR="00E37239" w:rsidRPr="0044524F" w:rsidRDefault="00E37239" w:rsidP="009654CF">
      <w:pPr>
        <w:numPr>
          <w:ilvl w:val="0"/>
          <w:numId w:val="7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 2-х опытных бензиновых одноцилиндровых установок и 5-ти нефтяных установок, на которых проведены большие экспериментально-исследовательские работы.</w:t>
      </w:r>
    </w:p>
    <w:p w14:paraId="0B5B3E3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по моторам, которые должны были выйти на госиспытания в 1932 году Институт шел с опозданием в части их изготовления.</w:t>
      </w:r>
    </w:p>
    <w:p w14:paraId="466F540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Такое опоздание с производством объясняется следующими причинами:</w:t>
      </w:r>
    </w:p>
    <w:p w14:paraId="37F81871" w14:textId="77777777" w:rsidR="00E37239" w:rsidRPr="0044524F" w:rsidRDefault="00E37239" w:rsidP="009654CF">
      <w:pPr>
        <w:numPr>
          <w:ilvl w:val="0"/>
          <w:numId w:val="7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недостаточной пропускной способностью основных цехов завода – механического и инструментального.</w:t>
      </w:r>
    </w:p>
    <w:p w14:paraId="43CE76D9" w14:textId="77777777" w:rsidR="00E37239" w:rsidRPr="0044524F" w:rsidRDefault="00E37239" w:rsidP="009654CF">
      <w:pPr>
        <w:numPr>
          <w:ilvl w:val="0"/>
          <w:numId w:val="7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Крайне высоким браком производства (до 40%), вызвавшим дополнительную, крайне тяжелую, загрузку цехов.</w:t>
      </w:r>
    </w:p>
    <w:p w14:paraId="62B24DD4" w14:textId="77777777" w:rsidR="00E37239" w:rsidRPr="0044524F" w:rsidRDefault="00E37239" w:rsidP="009654CF">
      <w:pPr>
        <w:numPr>
          <w:ilvl w:val="0"/>
          <w:numId w:val="7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Слабую квалификацию, как инженерно-технического персонала, не всегда имеющего возможность найти быстрое и правильное решение встретившихся дефектов и затруднений и недостаточная квалификация рабочих.</w:t>
      </w:r>
    </w:p>
    <w:p w14:paraId="6D60A68A" w14:textId="77777777" w:rsidR="00E37239" w:rsidRPr="0044524F" w:rsidRDefault="00E37239" w:rsidP="009654CF">
      <w:pPr>
        <w:numPr>
          <w:ilvl w:val="0"/>
          <w:numId w:val="7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Быстрый рост Института создал ряд трудностей, еще не преодоленных до сего времени в части организации производства, организации повседневного технического руководства. В части наладки правильного учета и оперативного планирования.</w:t>
      </w:r>
    </w:p>
    <w:p w14:paraId="2FE1E4E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Специфичность работы Института (разнотипность производства, новизна изготовляемых объектов, крайне разнообразный характер работ, не имеющих еще проверенных методов нормирования, учета и т.п.).</w:t>
      </w:r>
    </w:p>
    <w:p w14:paraId="0816898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Глававиапромом и руководством ЦИАМа принимаются все меры к устранению различных неувязок и производственных неполадок, тормозящих работу, для успешного выполнения Правительственного плана опытного моторостроения.</w:t>
      </w:r>
    </w:p>
    <w:p w14:paraId="63A7725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работ института по специальным моторам на 1933 год предусматривает:</w:t>
      </w:r>
    </w:p>
    <w:p w14:paraId="29DB1D99" w14:textId="77777777" w:rsidR="00E37239" w:rsidRPr="0044524F" w:rsidRDefault="00E37239" w:rsidP="009654CF">
      <w:pPr>
        <w:numPr>
          <w:ilvl w:val="0"/>
          <w:numId w:val="8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Доводку и предъявление на госиспытания моторов: М-34Н, М-34Р, М-38Н, ГМ-34, М-32РН и М-52.</w:t>
      </w:r>
    </w:p>
    <w:p w14:paraId="560B38D1" w14:textId="77777777" w:rsidR="00E37239" w:rsidRPr="0044524F" w:rsidRDefault="00E37239" w:rsidP="009654CF">
      <w:pPr>
        <w:numPr>
          <w:ilvl w:val="0"/>
          <w:numId w:val="8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Окончание изготовления всех остальных экземпляров указанных моторов, т.е. еще</w:t>
      </w:r>
    </w:p>
    <w:p w14:paraId="078F99A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М-44Н – 2 экземпляра</w:t>
      </w:r>
    </w:p>
    <w:p w14:paraId="2B06221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 – 5 экземпляров</w:t>
      </w:r>
    </w:p>
    <w:p w14:paraId="25577DD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М-34РН - 2 экземпляра</w:t>
      </w:r>
    </w:p>
    <w:p w14:paraId="288369A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М-38Н – 2 экземпляра</w:t>
      </w:r>
    </w:p>
    <w:p w14:paraId="5478657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 2 экземпляра</w:t>
      </w:r>
    </w:p>
    <w:p w14:paraId="29D9322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М-32РН – 2 экземпляра</w:t>
      </w:r>
    </w:p>
    <w:p w14:paraId="0C65537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М-52 – 3 экземпляра</w:t>
      </w:r>
    </w:p>
    <w:p w14:paraId="2640B608" w14:textId="77777777" w:rsidR="00E37239" w:rsidRPr="0044524F" w:rsidRDefault="00E37239" w:rsidP="009654CF">
      <w:pPr>
        <w:pStyle w:val="a3"/>
        <w:widowControl/>
        <w:numPr>
          <w:ilvl w:val="0"/>
          <w:numId w:val="82"/>
        </w:numPr>
        <w:tabs>
          <w:tab w:val="left" w:pos="360"/>
        </w:tabs>
        <w:ind w:left="0" w:firstLine="0"/>
        <w:rPr>
          <w:color w:val="000000" w:themeColor="text1"/>
          <w:lang w:val="ru-RU"/>
        </w:rPr>
      </w:pPr>
      <w:r w:rsidRPr="0044524F">
        <w:rPr>
          <w:color w:val="000000" w:themeColor="text1"/>
          <w:lang w:val="ru-RU"/>
        </w:rPr>
        <w:t>Изготовление моторов, предъявляемых на госиспытание в 1933 году, т.е. моторов:</w:t>
      </w:r>
    </w:p>
    <w:p w14:paraId="1B941FA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М-44Н – 2 экземпляра</w:t>
      </w:r>
    </w:p>
    <w:p w14:paraId="1C8F463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АН-1 – 3 экземпляра</w:t>
      </w:r>
    </w:p>
    <w:p w14:paraId="3F84E80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ВПШ – 10 экземпляров</w:t>
      </w:r>
    </w:p>
    <w:p w14:paraId="68C5EB5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М-38Н – 2 экземпляра</w:t>
      </w:r>
    </w:p>
    <w:p w14:paraId="0BE18B0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М-54Е – 4 экземпляра</w:t>
      </w:r>
    </w:p>
    <w:p w14:paraId="669F1DAC" w14:textId="77777777" w:rsidR="00E37239" w:rsidRPr="0044524F" w:rsidRDefault="00E37239" w:rsidP="009654CF">
      <w:pPr>
        <w:numPr>
          <w:ilvl w:val="0"/>
          <w:numId w:val="8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 (в деталях) моторов, переданных на производство в УИАМ приказом НКТП</w:t>
      </w:r>
    </w:p>
    <w:p w14:paraId="01424E0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двигателя Мартенса – 3 экземпляра</w:t>
      </w:r>
    </w:p>
    <w:p w14:paraId="67B8A77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двигателя ФЭД-8 – 3 экземпляра</w:t>
      </w:r>
    </w:p>
    <w:p w14:paraId="31FCF478" w14:textId="77777777" w:rsidR="00E37239" w:rsidRPr="0044524F" w:rsidRDefault="00E37239" w:rsidP="009654CF">
      <w:pPr>
        <w:numPr>
          <w:ilvl w:val="0"/>
          <w:numId w:val="8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Начало изготовления особо мощного мотора воздушного охлаждения для истребительной авиации – мотора М-56А мощностью в 700 л.с.</w:t>
      </w:r>
    </w:p>
    <w:p w14:paraId="503B710A" w14:textId="77777777" w:rsidR="00E37239" w:rsidRPr="0044524F" w:rsidRDefault="00E37239" w:rsidP="009654CF">
      <w:pPr>
        <w:numPr>
          <w:ilvl w:val="0"/>
          <w:numId w:val="8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Изготовлением агрегатов, приспосабливающих мотор М-34 для стратосферного полета.</w:t>
      </w:r>
    </w:p>
    <w:p w14:paraId="136C777C" w14:textId="77777777" w:rsidR="00E37239" w:rsidRPr="0044524F" w:rsidRDefault="00E37239" w:rsidP="009654CF">
      <w:pPr>
        <w:numPr>
          <w:ilvl w:val="0"/>
          <w:numId w:val="8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Целый ряд научно-исследовательских и экспериментальных работ, как-то: создание экспериментальных авиационных двигателей с непосредственным впрыском топлива и ряд других проблем.</w:t>
      </w:r>
    </w:p>
    <w:p w14:paraId="4330844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28"/>
        <w:gridCol w:w="6361"/>
      </w:tblGrid>
      <w:tr w:rsidR="004E10C1" w:rsidRPr="0044524F" w14:paraId="03B6B31D" w14:textId="77777777">
        <w:tc>
          <w:tcPr>
            <w:tcW w:w="3528" w:type="dxa"/>
          </w:tcPr>
          <w:p w14:paraId="374F3C0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 М-44 или нефтяной</w:t>
            </w:r>
          </w:p>
          <w:p w14:paraId="75BFE1F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Тяжелый бомбардировщик, он же пассажирский, грузовой; из стали, вооружен тяжелыми пулеметами и пушками. Дальность полета – 3000 км при перегрузке 4000 км, нома сбрасываемого груза 15000 кг.</w:t>
            </w:r>
          </w:p>
          <w:p w14:paraId="5D4D9F3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аэродром – 1 декабря 1934 года</w:t>
            </w:r>
          </w:p>
        </w:tc>
        <w:tc>
          <w:tcPr>
            <w:tcW w:w="6361" w:type="dxa"/>
          </w:tcPr>
          <w:p w14:paraId="05E302F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технических требованиях предельный сбрасываемый груз уточнен до 10000 кг.</w:t>
            </w:r>
          </w:p>
          <w:p w14:paraId="70F47CD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Подготовительные работы к проектированию самолета закончены, а также и предварительные расчеты. Ведутся работы по выяснению стальных конструкций, каковые Институтом впервые намечаются осуществить в данном самолете.</w:t>
            </w:r>
          </w:p>
          <w:p w14:paraId="6E6715A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идут по плану.</w:t>
            </w:r>
          </w:p>
        </w:tc>
      </w:tr>
      <w:tr w:rsidR="004E10C1" w:rsidRPr="0044524F" w14:paraId="227DD652" w14:textId="77777777">
        <w:tc>
          <w:tcPr>
            <w:tcW w:w="3528" w:type="dxa"/>
          </w:tcPr>
          <w:p w14:paraId="1302145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ТБ-4 6М-34. Опытный.</w:t>
            </w:r>
          </w:p>
          <w:p w14:paraId="51D3E96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опытный, из дюраля, вооруженный 10 пулеметами и 2 пушками. Дальность полета – 1000 км, при перегрузке 2000 км. Срок выхода на аэродром 1 ноября 1932 года.</w:t>
            </w:r>
          </w:p>
        </w:tc>
        <w:tc>
          <w:tcPr>
            <w:tcW w:w="6361" w:type="dxa"/>
          </w:tcPr>
          <w:p w14:paraId="49AF234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проектированием и постройкой закончен.</w:t>
            </w:r>
          </w:p>
          <w:p w14:paraId="5EE8964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настоящий момент производится монтаж моторов М-34.</w:t>
            </w:r>
          </w:p>
          <w:p w14:paraId="1BDB2DC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Задержка в выходе на аэродром произошла вследствие несвоевременного получения моторов, а именно: моторы вместо 1 августа 1932 года, намеченного по плану срока, получены 10 декабря 1932 года.</w:t>
            </w:r>
          </w:p>
          <w:p w14:paraId="4278771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самолета на аэродром намечен в марте 1933 года.</w:t>
            </w:r>
          </w:p>
        </w:tc>
      </w:tr>
      <w:tr w:rsidR="004E10C1" w:rsidRPr="0044524F" w14:paraId="29599DBD" w14:textId="77777777">
        <w:tc>
          <w:tcPr>
            <w:tcW w:w="3528" w:type="dxa"/>
          </w:tcPr>
          <w:p w14:paraId="5093D24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 Головной.</w:t>
            </w:r>
          </w:p>
          <w:p w14:paraId="51F669A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 же требования как к опытному, но в отличие от него головной самолет имеет расширенный фюзеляж, дающий возможность поместить внутри его тяжелые бомбы и перевозить тяжелые грузы (танки, пушки и т.д.), кроме того предусмотрено легкое обращение машины в пассажирский тип и легкая военизация пассажирских самолетов.</w:t>
            </w:r>
          </w:p>
          <w:p w14:paraId="7540C5B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госиспытания 1 июня 1933 года.</w:t>
            </w:r>
          </w:p>
        </w:tc>
        <w:tc>
          <w:tcPr>
            <w:tcW w:w="6361" w:type="dxa"/>
          </w:tcPr>
          <w:p w14:paraId="50ED322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машины закончено на 80%.</w:t>
            </w:r>
          </w:p>
          <w:p w14:paraId="36AAD39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ведется параллельно с проектированием машины и готовность постройки определяется в 35%.</w:t>
            </w:r>
          </w:p>
          <w:p w14:paraId="52835F1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для самолетов должны быть с редукторами и срок получения их по плану намечен с августа по декабрь 1932 года, но он не выдерживается – моторов нет.</w:t>
            </w:r>
          </w:p>
          <w:p w14:paraId="14E46B3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своевременного срочного выпуска серийных самолетов ЦАГИ параллельно с изготовлением проекта сдает конструктивные чертежи в согласованные с заводом № 22 сроки, т.е. 1 апреля 1933 года по самолетам и 1 мая 1933 года по вооружению.</w:t>
            </w:r>
          </w:p>
          <w:p w14:paraId="19F1359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 проектированием военной машины, ЦАГИ ведет разработки проектов пассажирского варианта тоже с одновременной сдачей чертежей заводу № 22.</w:t>
            </w:r>
          </w:p>
          <w:p w14:paraId="55A1557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Военный вариант самолета ТБ-4 головного после получения моторов будет выпущен на совместные испытания через 4 месяца.</w:t>
            </w:r>
          </w:p>
        </w:tc>
      </w:tr>
      <w:tr w:rsidR="004E10C1" w:rsidRPr="0044524F" w14:paraId="349B25F8" w14:textId="77777777">
        <w:tc>
          <w:tcPr>
            <w:tcW w:w="3528" w:type="dxa"/>
          </w:tcPr>
          <w:p w14:paraId="6E0522C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К1-2М32 (2М34)</w:t>
            </w:r>
          </w:p>
          <w:p w14:paraId="5613A18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 сухопутный, он же средний бомбардировщик и дальний разведчик, вооруженный тяжелыми и легкими пулеметами, дальность полета при нормальной нагрузке 1200 км, при перегрузке 2000 км.</w:t>
            </w:r>
          </w:p>
          <w:p w14:paraId="4A27A5B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госиспытания 1 октября 1933 года.</w:t>
            </w:r>
          </w:p>
        </w:tc>
        <w:tc>
          <w:tcPr>
            <w:tcW w:w="6361" w:type="dxa"/>
          </w:tcPr>
          <w:p w14:paraId="6E0CF46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предварительных просчетах установлено, что с моторами М-32 самолет даст лучшие качества, как весовые, так и тактические, чем с моторами М-34. Технические требования от УВВС получены только 15 января 1933 года.</w:t>
            </w:r>
          </w:p>
          <w:p w14:paraId="020929F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Ведется увязка их с проектами. Если при увязке не встретится противоречий с проектом и не придется перепроектировать машины, то после получения моторов самолет будет выпущен через 7 месяцев.</w:t>
            </w:r>
          </w:p>
        </w:tc>
      </w:tr>
      <w:tr w:rsidR="004E10C1" w:rsidRPr="0044524F" w14:paraId="7663AC33" w14:textId="77777777">
        <w:tc>
          <w:tcPr>
            <w:tcW w:w="3528" w:type="dxa"/>
          </w:tcPr>
          <w:p w14:paraId="3F0C7B0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2М-34</w:t>
            </w:r>
          </w:p>
          <w:p w14:paraId="5CD7B30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Многоместный истребитель, вооруженный 6 пулеметами и 1 авт. пушкой. Дальность полета – 1000 км. Скорость – 300 км/час.</w:t>
            </w:r>
          </w:p>
          <w:p w14:paraId="59FBC8F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аэродром – 1 января 1933 года.</w:t>
            </w:r>
          </w:p>
        </w:tc>
        <w:tc>
          <w:tcPr>
            <w:tcW w:w="6361" w:type="dxa"/>
          </w:tcPr>
          <w:p w14:paraId="2B59992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проектированием и постройкой закончен.</w:t>
            </w:r>
          </w:p>
          <w:p w14:paraId="275441F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настоящий момент заканчиваются работы по монтажу моторов, которые вместо 1 сентября 1932 года, намеченного по плану срока, были получены 22 декабря 1932 года.</w:t>
            </w:r>
          </w:p>
          <w:p w14:paraId="66732BF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Параллельно с проектированием и постройкой 1-й опытной машины ЦАГИ ведет проектирование и постройку головной, в которую вносятся соответствующие усовершенствования.</w:t>
            </w:r>
          </w:p>
          <w:p w14:paraId="6B6AAC5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опытный самолет выйдет на аэродром в феврале 1933 года.</w:t>
            </w:r>
          </w:p>
        </w:tc>
      </w:tr>
      <w:tr w:rsidR="004E10C1" w:rsidRPr="0044524F" w14:paraId="51CB423D" w14:textId="77777777">
        <w:tc>
          <w:tcPr>
            <w:tcW w:w="3528" w:type="dxa"/>
          </w:tcPr>
          <w:p w14:paraId="68D20BB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ДИП-2М34</w:t>
            </w:r>
          </w:p>
          <w:p w14:paraId="5D199BE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Двухмоторный истребитель пушечный, вооруженный одной пушкой большого калибра (100 мм), дальность полета 600 км, тоже с перегрузкой – 1000 км. Скорость 325 км/час.</w:t>
            </w:r>
          </w:p>
          <w:p w14:paraId="3A7E5D2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готовности на госиспытание – 1 октября 1933 года.</w:t>
            </w:r>
          </w:p>
          <w:p w14:paraId="1CC9A85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Машина предназначается д/нападения на бомбардировщиков, перешедших нашу границу.</w:t>
            </w:r>
          </w:p>
        </w:tc>
        <w:tc>
          <w:tcPr>
            <w:tcW w:w="6361" w:type="dxa"/>
          </w:tcPr>
          <w:p w14:paraId="7F4D053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Технические требования на машину получены лишь 4-го января 1933 года.</w:t>
            </w:r>
          </w:p>
          <w:p w14:paraId="48CF3FB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Идет увязка технических требований с проектом и если не будет разногласия с проектом, то срок, намеченный по плану выхода на госиспытания будет выдержан.</w:t>
            </w:r>
          </w:p>
        </w:tc>
      </w:tr>
      <w:tr w:rsidR="004E10C1" w:rsidRPr="0044524F" w14:paraId="1F41251D" w14:textId="77777777">
        <w:tc>
          <w:tcPr>
            <w:tcW w:w="3528" w:type="dxa"/>
          </w:tcPr>
          <w:p w14:paraId="7DB90F4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ЛР-34</w:t>
            </w:r>
          </w:p>
          <w:p w14:paraId="3F8CE17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разведчик, дальность полета – 800 км.</w:t>
            </w:r>
          </w:p>
          <w:p w14:paraId="1AB1E8F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300-310 км/час. Срок выхода на аэродром 1 марта 1933 года.</w:t>
            </w:r>
          </w:p>
        </w:tc>
        <w:tc>
          <w:tcPr>
            <w:tcW w:w="6361" w:type="dxa"/>
          </w:tcPr>
          <w:p w14:paraId="3642628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краткости срока выхода машины, она была начата проектированием до получения из УВВС детальных технических требований и определения лица машины. То и другое последовало лишь 8 декабря 1932 года, тогда же было начальником ВВС решено заменить заднего стрелка (стоячего) нашего проекта стрелком, стреляющим сидя, что заставило выбросить вполне готовый комплект чертежей и начать проектирование машины снова, чем срок окончания машины соответственно отдаляется.</w:t>
            </w:r>
          </w:p>
          <w:p w14:paraId="2BCAD45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проект самолета будет закончен 20 февраля 1933 года и самолет из постройки выйдет 1 июня 1933 года.</w:t>
            </w:r>
          </w:p>
        </w:tc>
      </w:tr>
      <w:tr w:rsidR="004E10C1" w:rsidRPr="0044524F" w14:paraId="67C48173" w14:textId="77777777">
        <w:tc>
          <w:tcPr>
            <w:tcW w:w="3528" w:type="dxa"/>
          </w:tcPr>
          <w:p w14:paraId="213987A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ДИ6-М34, М38 или М-32</w:t>
            </w:r>
          </w:p>
          <w:p w14:paraId="3715DB6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Двухместный истребитель, скорость 350-375 км/час, вооружен двумя пулеметами легкими и двумя пулеметами тяжелыми. Срок выхода на госиспытания 1 июня 1933 года.</w:t>
            </w:r>
          </w:p>
        </w:tc>
        <w:tc>
          <w:tcPr>
            <w:tcW w:w="6361" w:type="dxa"/>
          </w:tcPr>
          <w:p w14:paraId="5C8EA7B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Технические требования на самолет получены лишь 14 января 1933 года. Проектирование и постройка самолета будет произведено в течение 10 месяцев со дня получения технических требований и самолет выйдет на аэродром к 15 ноября 1933 года.</w:t>
            </w:r>
          </w:p>
        </w:tc>
      </w:tr>
      <w:tr w:rsidR="004E10C1" w:rsidRPr="0044524F" w14:paraId="2B3F629B" w14:textId="77777777">
        <w:tc>
          <w:tcPr>
            <w:tcW w:w="3528" w:type="dxa"/>
          </w:tcPr>
          <w:p w14:paraId="78A7098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И13-М32</w:t>
            </w:r>
          </w:p>
          <w:p w14:paraId="3B26017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 вооруженный легкими пулеметами, имеющий дальность полета 500 км при скорости 350-400 км/час. Срок выхода на госиспытания 1 июня 1933 года.</w:t>
            </w:r>
          </w:p>
        </w:tc>
        <w:tc>
          <w:tcPr>
            <w:tcW w:w="6361" w:type="dxa"/>
          </w:tcPr>
          <w:p w14:paraId="3C14437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Технические требования и лицо машины со стороны УВВС определены только лишь 30 декабря 1932 года, по получении чего ЦАГИ должен начать проектированием новый самолет, так как работа, проводимая им до этого времени (вариант развития И-8), не может быть использована по прямому назначению.</w:t>
            </w:r>
          </w:p>
          <w:p w14:paraId="706D46B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постройка самолета займет 11 месяцев и после получения мотора самолет выйдет на аэродром через 9 месяцев.</w:t>
            </w:r>
          </w:p>
        </w:tc>
      </w:tr>
      <w:tr w:rsidR="004E10C1" w:rsidRPr="0044524F" w14:paraId="0BE20120" w14:textId="77777777">
        <w:tc>
          <w:tcPr>
            <w:tcW w:w="3528" w:type="dxa"/>
          </w:tcPr>
          <w:p w14:paraId="39B692B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М-38</w:t>
            </w:r>
          </w:p>
          <w:p w14:paraId="2C27A8D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 Дальность полета – 500 км, вооруженный легкими пулеметами.</w:t>
            </w:r>
          </w:p>
          <w:p w14:paraId="0883F2B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15 марта 1933 года.</w:t>
            </w:r>
          </w:p>
        </w:tc>
        <w:tc>
          <w:tcPr>
            <w:tcW w:w="6361" w:type="dxa"/>
          </w:tcPr>
          <w:p w14:paraId="4903A82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 И-14 строится в ЦАГИ в 2-х разновидностях:</w:t>
            </w:r>
          </w:p>
          <w:p w14:paraId="2C55DCAC" w14:textId="77777777" w:rsidR="00E37239" w:rsidRPr="0044524F" w:rsidRDefault="00E37239"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Пушечной машины под 2 пушки ДРП 37 мм, автоматические. Скорость полета 360 км/час.</w:t>
            </w:r>
          </w:p>
          <w:p w14:paraId="74FF6E6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самолета – уничтожение неприятельских тяжелых самолетов и соединений самолетов.</w:t>
            </w:r>
          </w:p>
          <w:p w14:paraId="063C316E" w14:textId="77777777" w:rsidR="00E37239" w:rsidRPr="0044524F" w:rsidRDefault="00E37239"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Легкая маневренная машина, лицо которой было согласовано с начальником ВВС Алкснисом 8 декабря 1932 года переименована в дальнейшем в И-15.</w:t>
            </w:r>
          </w:p>
          <w:p w14:paraId="4E40F6B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развернут постройкой полностью. Мотор на 1-й машине будет поставлен заграничный «Меркур-Бристоль».</w:t>
            </w:r>
          </w:p>
          <w:p w14:paraId="2D46B03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машины предполагается к 1 мая 1933 года.</w:t>
            </w:r>
          </w:p>
        </w:tc>
      </w:tr>
      <w:tr w:rsidR="004E10C1" w:rsidRPr="0044524F" w14:paraId="02D68879" w14:textId="77777777">
        <w:tc>
          <w:tcPr>
            <w:tcW w:w="3528" w:type="dxa"/>
          </w:tcPr>
          <w:p w14:paraId="7851DA6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 2М-52</w:t>
            </w:r>
          </w:p>
          <w:p w14:paraId="7733861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Войсковой самолет, он же химический легкий боевик, вооруженный легкими пулеметами.</w:t>
            </w:r>
          </w:p>
          <w:p w14:paraId="0EAC0BE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горизонтальной скоростью на высоте 3000 м – 350 км/час.</w:t>
            </w:r>
          </w:p>
          <w:p w14:paraId="7950836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аэродром – июль 1933 года.</w:t>
            </w:r>
          </w:p>
        </w:tc>
        <w:tc>
          <w:tcPr>
            <w:tcW w:w="6361" w:type="dxa"/>
          </w:tcPr>
          <w:p w14:paraId="20CD663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Проектирование и постройка ведется ХАЗОССом (Калининым). Ввиду перегрузки завода проектными опытными и исследовательскими работами (по сварке хромомолибденовых труб), самолета К-7, а также серийными работами по самолету К-5, работы по самолету ВС не могут быть пущены надлежащими темпами. В настоящее время ведется предварительное проектирование. Намечается конструкция из сварных </w:t>
            </w:r>
            <w:r w:rsidRPr="0044524F">
              <w:rPr>
                <w:rFonts w:ascii="Times New Roman" w:hAnsi="Times New Roman"/>
                <w:color w:val="000000" w:themeColor="text1"/>
                <w:sz w:val="16"/>
                <w:szCs w:val="16"/>
              </w:rPr>
              <w:lastRenderedPageBreak/>
              <w:t>хромомолибденовых труб. В случае подачи моторов в июне 1933 года (практически возможный срок) самолет может выйти на аэродром в сентябре 1933 года.</w:t>
            </w:r>
          </w:p>
        </w:tc>
      </w:tr>
      <w:tr w:rsidR="004E10C1" w:rsidRPr="0044524F" w14:paraId="40B8F4A1" w14:textId="77777777">
        <w:tc>
          <w:tcPr>
            <w:tcW w:w="3528" w:type="dxa"/>
          </w:tcPr>
          <w:p w14:paraId="7B3E4A8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У3-М48 (Модификация У2-М11)</w:t>
            </w:r>
          </w:p>
          <w:p w14:paraId="1FBEA65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самолет, он же связи и сопровождения (для туризма, спорта, легкой санитарии, местной авиации).</w:t>
            </w:r>
          </w:p>
          <w:p w14:paraId="700135E5"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797D728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1 марта 1933 года.</w:t>
            </w:r>
          </w:p>
        </w:tc>
        <w:tc>
          <w:tcPr>
            <w:tcW w:w="6361" w:type="dxa"/>
          </w:tcPr>
          <w:p w14:paraId="5CA0557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поручена ВТУЗу ГУАП (ХАИ). Ввиду многообразного назначения и установки более мощного мотора, связанного с увеличением объема горючего, модифицирование осложняется. Необходимость иметь готовый самолет У2 и отсутствие производственных возможностей во ВТУЗе делает целесообразным передачу работы на завод № 23 с использованием им всех проработанных материалов ХАИ.</w:t>
            </w:r>
          </w:p>
          <w:p w14:paraId="0DFC037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сдвинется, ввиду неготовности моторов М-48.</w:t>
            </w:r>
          </w:p>
          <w:p w14:paraId="181D8D0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подачи моторов самолет может быть выпущен через 3 месяца.</w:t>
            </w:r>
          </w:p>
        </w:tc>
      </w:tr>
      <w:tr w:rsidR="004E10C1" w:rsidRPr="0044524F" w14:paraId="1654CA77" w14:textId="77777777">
        <w:tc>
          <w:tcPr>
            <w:tcW w:w="3528" w:type="dxa"/>
          </w:tcPr>
          <w:p w14:paraId="128D943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МК-1-6М34РН</w:t>
            </w:r>
          </w:p>
          <w:p w14:paraId="5C7BBFA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крейсер, он же морской бомбардировщик торпедоносец с минным снаряжением в 1850 кг, при перегрузке в 2230 кг, с бомбами до 1000 кг и торпедой 800 кг. Скорость – 215-230 км/час на 4000 м.</w:t>
            </w:r>
          </w:p>
          <w:p w14:paraId="1274099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госиспытаний – 1 декабря 1933 года.</w:t>
            </w:r>
          </w:p>
        </w:tc>
        <w:tc>
          <w:tcPr>
            <w:tcW w:w="6361" w:type="dxa"/>
          </w:tcPr>
          <w:p w14:paraId="08A0A7D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доведено до 80%. Идет постройка отдельных частей – крыло, лодка и проч. Общая готовность около 40%. Несмотря на ряд трудностей, так как ЦАГИ впервые осуществляет гидросамолет-гигант, а морской самолет до этого построил лишь только один, плановый срок должен быть выдержан.</w:t>
            </w:r>
          </w:p>
        </w:tc>
      </w:tr>
      <w:tr w:rsidR="004E10C1" w:rsidRPr="0044524F" w14:paraId="6C60EF87" w14:textId="77777777">
        <w:tc>
          <w:tcPr>
            <w:tcW w:w="3528" w:type="dxa"/>
          </w:tcPr>
          <w:p w14:paraId="4DE7F06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МДР-3 бис 3М34</w:t>
            </w:r>
          </w:p>
          <w:p w14:paraId="55FE699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машины устанавливаются Реввренсоветом и согласовываются Глававиапромом</w:t>
            </w:r>
          </w:p>
        </w:tc>
        <w:tc>
          <w:tcPr>
            <w:tcW w:w="6361" w:type="dxa"/>
          </w:tcPr>
          <w:p w14:paraId="1C25E5A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Машина МДР-3 при испытании была забракована УВВС из-за неудовлетворительных летных качеств, вибраций хвостового оперения, вибраций моторных установок, недостаточной прочности хвостовой части лодки и проч.</w:t>
            </w:r>
          </w:p>
          <w:p w14:paraId="74E9088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Институтом предпринята полная переработка всей машины заново.</w:t>
            </w:r>
          </w:p>
          <w:p w14:paraId="2AF9AF8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УВВС в дальнейшем машина переименована в МДР-4 3М34.</w:t>
            </w:r>
          </w:p>
          <w:p w14:paraId="47CF078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Технические требования на нее получены в конце декабря. Ведется согласование их с проектом машины. Проектирование машины развернуто. Срок выпуска машины может быть установлен 11-12 месяцев с момента получения технических требований, т.е. к ноябрю-декабрю 1933 года.</w:t>
            </w:r>
          </w:p>
        </w:tc>
      </w:tr>
      <w:tr w:rsidR="004E10C1" w:rsidRPr="0044524F" w14:paraId="055F17DF" w14:textId="77777777">
        <w:tc>
          <w:tcPr>
            <w:tcW w:w="3528" w:type="dxa"/>
          </w:tcPr>
          <w:p w14:paraId="5DD2094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 7М-34</w:t>
            </w:r>
          </w:p>
          <w:p w14:paraId="5DBBA12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вооруженный …… пулеметами ДА, 3-мя автоматическими пушками (20 мм) и ……… кг бомбами (хромомолибден.), конструкции, моноплан с двуххвостовой осуществляет идею размещения грузов преимущественно в крыле. 4-х колесное шасси с управляемыми передними колесами должно обеспечить хорошую маневренность на земле.</w:t>
            </w:r>
          </w:p>
          <w:p w14:paraId="0222D26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Срок выхода на аэродром - </w:t>
            </w:r>
          </w:p>
        </w:tc>
        <w:tc>
          <w:tcPr>
            <w:tcW w:w="6361" w:type="dxa"/>
          </w:tcPr>
          <w:p w14:paraId="0CEF775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ХАЗОССом закончено к октябрю 1932 года. В настоящее время ведется постройка отдельных частей с параллельными работами по статическим испытаниям. Готовность самолета в целом может быть выражена в 13%.</w:t>
            </w:r>
          </w:p>
          <w:p w14:paraId="59C212F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завод впервые выполняет постройку большой машины без предварительного выпуска промежуточных машин и необходимости освоения технологического процесса новых материалов, работа идет с замедлением против намеченных сроков, а потому срок выхода машины сдвинется на август 1933 года.</w:t>
            </w:r>
          </w:p>
        </w:tc>
      </w:tr>
      <w:tr w:rsidR="004E10C1" w:rsidRPr="0044524F" w14:paraId="3DEE8CD4" w14:textId="77777777">
        <w:tc>
          <w:tcPr>
            <w:tcW w:w="3528" w:type="dxa"/>
          </w:tcPr>
          <w:p w14:paraId="2C23716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w:t>
            </w:r>
          </w:p>
        </w:tc>
        <w:tc>
          <w:tcPr>
            <w:tcW w:w="6361" w:type="dxa"/>
          </w:tcPr>
          <w:p w14:paraId="66C2100C" w14:textId="77777777" w:rsidR="00E37239" w:rsidRPr="0044524F" w:rsidRDefault="00E37239" w:rsidP="009654CF">
            <w:pPr>
              <w:spacing w:after="0" w:line="240" w:lineRule="auto"/>
              <w:jc w:val="both"/>
              <w:rPr>
                <w:rFonts w:ascii="Times New Roman" w:hAnsi="Times New Roman"/>
                <w:color w:val="000000" w:themeColor="text1"/>
                <w:sz w:val="16"/>
                <w:szCs w:val="16"/>
              </w:rPr>
            </w:pPr>
          </w:p>
        </w:tc>
      </w:tr>
      <w:tr w:rsidR="004E10C1" w:rsidRPr="0044524F" w14:paraId="0439C3F8" w14:textId="77777777">
        <w:tc>
          <w:tcPr>
            <w:tcW w:w="3528" w:type="dxa"/>
          </w:tcPr>
          <w:p w14:paraId="039D6D2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Высотный самолет, он же рекордный на высоту. Срок окончания постройки 1 апреля 1933 года.</w:t>
            </w:r>
          </w:p>
        </w:tc>
        <w:tc>
          <w:tcPr>
            <w:tcW w:w="6361" w:type="dxa"/>
          </w:tcPr>
          <w:p w14:paraId="4970ECE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Проектированием машина закончена на 75% и находится в производстве.</w:t>
            </w:r>
          </w:p>
          <w:p w14:paraId="0C3CFFD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машины требуется специальный высотный мотор, изготовляемый ЦИАМом, срок готовности которого сейчас определяется в первой половине 1934 года.</w:t>
            </w:r>
          </w:p>
          <w:p w14:paraId="1B2F64C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ускорения выпуска машины считаем правильным поставить мотор с меньшей высотностью для изучения условий полета на столь больших высотах, а именно: мотор М-34 с редуктором и наддувом до 5000 м. При условии получения мотора к 1 июля 1933 года машина может быть представлена для начала предварительных с ней испытаний в четвертом квартале 1933 года.</w:t>
            </w:r>
          </w:p>
        </w:tc>
      </w:tr>
      <w:tr w:rsidR="004E10C1" w:rsidRPr="0044524F" w14:paraId="29914518" w14:textId="77777777">
        <w:tc>
          <w:tcPr>
            <w:tcW w:w="3528" w:type="dxa"/>
          </w:tcPr>
          <w:p w14:paraId="371FB1D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РД-М34</w:t>
            </w:r>
          </w:p>
          <w:p w14:paraId="55F79B5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Рекордный самолет на дальность (9000-10000 км). Срок выхода на аэродром -август 132 года.</w:t>
            </w:r>
          </w:p>
        </w:tc>
        <w:tc>
          <w:tcPr>
            <w:tcW w:w="6361" w:type="dxa"/>
          </w:tcPr>
          <w:p w14:paraId="1710397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находится в постройке и будет готов для предварительных полетов в мае 1933 года. Для проведения рекорда необходима значительная подготовка самолета, мотора (тщательно отработать из специально изготовленных деталей 10 моторов и подобрать наиболее экономичную регулировку расхода горючего, экипажа, маршрута) выбрать маршрут и изучить метеорологические условия, взлетной площадки (бетонированную дорожку).</w:t>
            </w:r>
          </w:p>
          <w:p w14:paraId="64788B26"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7F7F2E9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проведения указанного потребуются отдельные денежные средства и материальная часть.</w:t>
            </w:r>
          </w:p>
          <w:p w14:paraId="4D2BEF8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обеспечении всем необходимым и получения положительных результатов испытания и полета на продолжительность, полет на дальность может быть совершен в сентябре 1933 года.</w:t>
            </w:r>
          </w:p>
        </w:tc>
      </w:tr>
      <w:tr w:rsidR="004E10C1" w:rsidRPr="0044524F" w14:paraId="1155B8D9" w14:textId="77777777">
        <w:tc>
          <w:tcPr>
            <w:tcW w:w="3528" w:type="dxa"/>
          </w:tcPr>
          <w:p w14:paraId="451479E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Парабола</w:t>
            </w:r>
          </w:p>
          <w:p w14:paraId="3D95074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 летающее крыло (Парабола Черановского.</w:t>
            </w:r>
          </w:p>
          <w:p w14:paraId="19460F4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Срок выхода на госиспытание - </w:t>
            </w:r>
          </w:p>
        </w:tc>
        <w:tc>
          <w:tcPr>
            <w:tcW w:w="6361" w:type="dxa"/>
          </w:tcPr>
          <w:p w14:paraId="2FC41B3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течение 1932 года ЦАГИ провел работу по постройке и испытанию одномоторного самолета Летающее крыло Параболы. Испытания показали удовлетворительные летные данные и устойчивость полета машины. Учитывая полученный опыт одномоторной Параболы, ЦАГИ полагает возможным и более целесообразным взамен экспериментальной переходной машины Параболы с 2-мя М11, строить уже не переходную машину, а экспериментальную с двумя моторами по 400-600 НР, которая могла бы иметь эксплуатационное значение. В связи с этим увеличивается масштаб машины, а следовательно и объем конструкторских и производственных работ. На основании приведенных соображений, срок выхода на аэродром ЛК2М (400-600 НР) сдвинется на 1 мая 1933 года.</w:t>
            </w:r>
          </w:p>
        </w:tc>
      </w:tr>
      <w:tr w:rsidR="004E10C1" w:rsidRPr="0044524F" w14:paraId="2EE2702C" w14:textId="77777777">
        <w:tc>
          <w:tcPr>
            <w:tcW w:w="3528" w:type="dxa"/>
          </w:tcPr>
          <w:p w14:paraId="20A10D7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особым типом разрезных крыльев конструкции Кричевского.</w:t>
            </w:r>
          </w:p>
          <w:p w14:paraId="5D8E3D4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госиспытание – 1 декабря 1932 года.</w:t>
            </w:r>
          </w:p>
        </w:tc>
        <w:tc>
          <w:tcPr>
            <w:tcW w:w="6361" w:type="dxa"/>
          </w:tcPr>
          <w:p w14:paraId="34D1F60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самолета был окончен в октябре 1932 года, но вследствие произведенной исследовательской работы по крылу «Моноспар» (статиспытания) выяснилась непригодность данной конструкции крыла.</w:t>
            </w:r>
          </w:p>
          <w:p w14:paraId="75D95D6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переделывается и окончательно будет готов 1 февраля 1933 года.</w:t>
            </w:r>
          </w:p>
        </w:tc>
      </w:tr>
      <w:tr w:rsidR="004E10C1" w:rsidRPr="0044524F" w14:paraId="7817B08D" w14:textId="77777777">
        <w:tc>
          <w:tcPr>
            <w:tcW w:w="3528" w:type="dxa"/>
          </w:tcPr>
          <w:p w14:paraId="3FF623C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 (3 ЕА)</w:t>
            </w:r>
          </w:p>
          <w:p w14:paraId="60C729F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экземпляр построенного ранее геликоптера. Срок окончания постройки – июль 1932 года.</w:t>
            </w:r>
          </w:p>
        </w:tc>
        <w:tc>
          <w:tcPr>
            <w:tcW w:w="6361" w:type="dxa"/>
          </w:tcPr>
          <w:p w14:paraId="53A1A3B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Проведены в основном летные испытания геликоптера 1 ЕА, выявившие чрезвычайно успешные результаты, превосходящие все то, что имеется за границей в части подобных аппаратов.</w:t>
            </w:r>
          </w:p>
          <w:p w14:paraId="7B11E1F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ВГ (3 ЕА) – постройкой к настоящему времени закончен и в ближайшее время будет приступлено к его испытанию.</w:t>
            </w:r>
          </w:p>
        </w:tc>
      </w:tr>
      <w:tr w:rsidR="004E10C1" w:rsidRPr="0044524F" w14:paraId="0EBD22F7" w14:textId="77777777">
        <w:tc>
          <w:tcPr>
            <w:tcW w:w="3528" w:type="dxa"/>
          </w:tcPr>
          <w:p w14:paraId="3FDD04F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М11</w:t>
            </w:r>
          </w:p>
          <w:p w14:paraId="1D1529D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постройки – ноябрь 1932 года.</w:t>
            </w:r>
          </w:p>
        </w:tc>
        <w:tc>
          <w:tcPr>
            <w:tcW w:w="6361" w:type="dxa"/>
          </w:tcPr>
          <w:p w14:paraId="4FF1EA7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постройка этого аппарата почти закончена и примерно к 1 февраля 1933 года он поступит на испытания.</w:t>
            </w:r>
          </w:p>
        </w:tc>
      </w:tr>
      <w:tr w:rsidR="004E10C1" w:rsidRPr="0044524F" w14:paraId="5F7E5C75" w14:textId="77777777">
        <w:tc>
          <w:tcPr>
            <w:tcW w:w="3528" w:type="dxa"/>
          </w:tcPr>
          <w:p w14:paraId="08F30CA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М22</w:t>
            </w:r>
          </w:p>
          <w:p w14:paraId="6F3897D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постройки – январь 1933 года</w:t>
            </w:r>
          </w:p>
        </w:tc>
        <w:tc>
          <w:tcPr>
            <w:tcW w:w="6361" w:type="dxa"/>
          </w:tcPr>
          <w:p w14:paraId="6924F52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машины в основном закончено и основные элементы этого аппарата находятся в постройке.</w:t>
            </w:r>
          </w:p>
          <w:p w14:paraId="49DDDD4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машины ориентировочно намечается на 1 мая 1933 года. Задержка при проектировании произошла из-за невозможности своевременно подобрать конструкторские кадры и из-за целого ряда трудностей, возникших при проектировании этой машины.</w:t>
            </w:r>
          </w:p>
        </w:tc>
      </w:tr>
    </w:tbl>
    <w:p w14:paraId="0DADDDC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части винтовых аппаратов, помимо указанных объектов, была проделана следующая работа:</w:t>
      </w:r>
    </w:p>
    <w:p w14:paraId="6221FCF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4CF3BD72" w14:textId="77777777" w:rsidR="00E37239" w:rsidRPr="0044524F" w:rsidRDefault="00E37239" w:rsidP="009654CF">
      <w:pPr>
        <w:pStyle w:val="a3"/>
        <w:widowControl/>
        <w:rPr>
          <w:color w:val="000000" w:themeColor="text1"/>
          <w:lang w:val="ru-RU"/>
        </w:rPr>
      </w:pPr>
      <w:r w:rsidRPr="0044524F">
        <w:rPr>
          <w:color w:val="000000" w:themeColor="text1"/>
          <w:lang w:val="ru-RU"/>
        </w:rPr>
        <w:t>2. Автожир 2ЭА с мотором Титан 230 л.с. перепроектирован в другую машину 4ЭА, под советский мотор М-26 300 л.с. Эта машина была построена в единичном экземпляре в ЦАГИ и на ней совершены были первые полеты.</w:t>
      </w:r>
    </w:p>
    <w:p w14:paraId="3DB78D17" w14:textId="77777777" w:rsidR="00E37239" w:rsidRPr="0044524F" w:rsidRDefault="00E37239" w:rsidP="009654CF">
      <w:pPr>
        <w:numPr>
          <w:ilvl w:val="0"/>
          <w:numId w:val="8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 же машина была подготовлена к серийной постройке и была внедрена в серийное производство на Киевском заводе № 43, причем 30 ноября была выпущена первая серийная машина.</w:t>
      </w:r>
    </w:p>
    <w:p w14:paraId="45AC7A8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выпуска первой серийной машины процент готовности серии в 9 экземпляров можно сейчас оценить примерно 60-65%.</w:t>
      </w:r>
    </w:p>
    <w:p w14:paraId="04E67334" w14:textId="77777777" w:rsidR="00E37239" w:rsidRPr="0044524F" w:rsidRDefault="00E37239" w:rsidP="009654CF">
      <w:pPr>
        <w:pStyle w:val="a3"/>
        <w:widowControl/>
        <w:numPr>
          <w:ilvl w:val="0"/>
          <w:numId w:val="88"/>
        </w:numPr>
        <w:tabs>
          <w:tab w:val="left" w:pos="360"/>
        </w:tabs>
        <w:ind w:left="0" w:firstLine="0"/>
        <w:rPr>
          <w:color w:val="000000" w:themeColor="text1"/>
          <w:lang w:val="ru-RU"/>
        </w:rPr>
      </w:pPr>
      <w:r w:rsidRPr="0044524F">
        <w:rPr>
          <w:color w:val="000000" w:themeColor="text1"/>
          <w:lang w:val="ru-RU"/>
        </w:rPr>
        <w:t>Было проведено полное летное испытание первого Цаговского автожира 2ЭА, давшего летные результаты, не уступающие аналогичным заграничным машинам.</w:t>
      </w:r>
    </w:p>
    <w:p w14:paraId="17DE4EA9" w14:textId="77777777" w:rsidR="00E37239" w:rsidRPr="0044524F" w:rsidRDefault="00E37239" w:rsidP="009654CF">
      <w:pPr>
        <w:pStyle w:val="a3"/>
        <w:widowControl/>
        <w:numPr>
          <w:ilvl w:val="0"/>
          <w:numId w:val="89"/>
        </w:numPr>
        <w:tabs>
          <w:tab w:val="left" w:pos="360"/>
        </w:tabs>
        <w:ind w:left="0" w:firstLine="0"/>
        <w:rPr>
          <w:color w:val="000000" w:themeColor="text1"/>
          <w:lang w:val="ru-RU"/>
        </w:rPr>
      </w:pPr>
      <w:r w:rsidRPr="0044524F">
        <w:rPr>
          <w:color w:val="000000" w:themeColor="text1"/>
          <w:lang w:val="ru-RU"/>
        </w:rPr>
        <w:t>Проведена большая экспериментально-теоретическая работа по разработке и овладению теории винтовых аппаратов и методики их расчетов.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48"/>
        <w:gridCol w:w="6966"/>
      </w:tblGrid>
      <w:tr w:rsidR="004E10C1" w:rsidRPr="0044524F" w14:paraId="467F9D6D" w14:textId="77777777">
        <w:tc>
          <w:tcPr>
            <w:tcW w:w="3348" w:type="dxa"/>
          </w:tcPr>
          <w:p w14:paraId="467C68C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p w14:paraId="2DCCB41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моторов М-34. Срок выхода на аэродром – декабрь 1932 года.</w:t>
            </w:r>
          </w:p>
        </w:tc>
        <w:tc>
          <w:tcPr>
            <w:tcW w:w="6966" w:type="dxa"/>
          </w:tcPr>
          <w:p w14:paraId="2126DF9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установка моторов закончены.</w:t>
            </w:r>
          </w:p>
          <w:p w14:paraId="6B5C143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в декабре 1932 года был выведен на аэродром. В настоящее время готовится к полету (пробуются моторы, смазка, радиаторы и т.п.). Полет предполагается начать 20-25 января 1933 года.</w:t>
            </w:r>
          </w:p>
        </w:tc>
      </w:tr>
      <w:tr w:rsidR="004E10C1" w:rsidRPr="0044524F" w14:paraId="372C46FB" w14:textId="77777777">
        <w:tc>
          <w:tcPr>
            <w:tcW w:w="3348" w:type="dxa"/>
          </w:tcPr>
          <w:p w14:paraId="28C741B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w:t>
            </w:r>
          </w:p>
          <w:p w14:paraId="7F31625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М34. Срок выхода на испытания – 1 июля 1933 года.</w:t>
            </w:r>
          </w:p>
          <w:p w14:paraId="2495D74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данные и срок предложено уточнить с УВВС.</w:t>
            </w:r>
          </w:p>
        </w:tc>
        <w:tc>
          <w:tcPr>
            <w:tcW w:w="6966" w:type="dxa"/>
          </w:tcPr>
          <w:p w14:paraId="236FAF0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плану предполагалось произвести только установку мотора М34 на имеющуюся машину ТШ2 взамен М17.</w:t>
            </w:r>
          </w:p>
          <w:p w14:paraId="0E99A3C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Имея в виду, что самолет ТШ2 в настоящее время к серийному производству не намечается, а этим самым ставится вопрос о проектировании и постройке новой машины ТШ3-М34, т.е. выполнение ЦАГИ работы намечается несравненно в большем объеме, чем предполагалось. Срок выполнения проектов и постройки намечается через 9-12 месяцев после выявления лица машины со стороны УВВС и согласования с ним технических требований, каковые от УВВС только что получены.</w:t>
            </w:r>
          </w:p>
        </w:tc>
      </w:tr>
      <w:tr w:rsidR="004E10C1" w:rsidRPr="0044524F" w14:paraId="0B5A8A8A" w14:textId="77777777">
        <w:tc>
          <w:tcPr>
            <w:tcW w:w="3348" w:type="dxa"/>
          </w:tcPr>
          <w:p w14:paraId="38ABEE8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Р5-М34</w:t>
            </w:r>
          </w:p>
          <w:p w14:paraId="36EAF86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М34.</w:t>
            </w:r>
          </w:p>
          <w:p w14:paraId="6F4954B2"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 июля 1932 года</w:t>
            </w:r>
          </w:p>
        </w:tc>
        <w:tc>
          <w:tcPr>
            <w:tcW w:w="6966" w:type="dxa"/>
          </w:tcPr>
          <w:p w14:paraId="6B432E7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перестановка мотора закончены в срок. Машина проходит заводские испытания и доводку моторной части.</w:t>
            </w:r>
          </w:p>
        </w:tc>
      </w:tr>
      <w:tr w:rsidR="004E10C1" w:rsidRPr="0044524F" w14:paraId="74DC4341" w14:textId="77777777">
        <w:tc>
          <w:tcPr>
            <w:tcW w:w="3348" w:type="dxa"/>
          </w:tcPr>
          <w:p w14:paraId="2B8174A0"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p w14:paraId="2063E33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тормозного шасси и тормозных колес.</w:t>
            </w:r>
          </w:p>
          <w:p w14:paraId="3310543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15 августа 1932 года</w:t>
            </w:r>
          </w:p>
        </w:tc>
        <w:tc>
          <w:tcPr>
            <w:tcW w:w="6966" w:type="dxa"/>
          </w:tcPr>
          <w:p w14:paraId="147C051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исполнена в срок. Прошла заводские и государственные испытания и принята на снабжение.</w:t>
            </w:r>
          </w:p>
        </w:tc>
      </w:tr>
      <w:tr w:rsidR="004E10C1" w:rsidRPr="0044524F" w14:paraId="6E15192B" w14:textId="77777777">
        <w:tc>
          <w:tcPr>
            <w:tcW w:w="3348" w:type="dxa"/>
          </w:tcPr>
          <w:p w14:paraId="410D172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С-62 бис</w:t>
            </w:r>
          </w:p>
          <w:p w14:paraId="2E3D83B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М34.</w:t>
            </w:r>
          </w:p>
          <w:p w14:paraId="08F3C45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 января 1933 года.</w:t>
            </w:r>
          </w:p>
        </w:tc>
        <w:tc>
          <w:tcPr>
            <w:tcW w:w="6966" w:type="dxa"/>
          </w:tcPr>
          <w:p w14:paraId="0ABF75C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установка мотора закончены в срок. В настоящее время проводится доводка моторного хозяйства.</w:t>
            </w:r>
          </w:p>
        </w:tc>
      </w:tr>
      <w:tr w:rsidR="004E10C1" w:rsidRPr="0044524F" w14:paraId="4C423501" w14:textId="77777777">
        <w:tc>
          <w:tcPr>
            <w:tcW w:w="3348" w:type="dxa"/>
          </w:tcPr>
          <w:p w14:paraId="3A737F5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И12-2М22</w:t>
            </w:r>
          </w:p>
          <w:p w14:paraId="7BE8AB5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второго модифицированного экземпляра.</w:t>
            </w:r>
          </w:p>
          <w:p w14:paraId="2801B25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 ноября 1932 года.</w:t>
            </w:r>
          </w:p>
        </w:tc>
        <w:tc>
          <w:tcPr>
            <w:tcW w:w="6966" w:type="dxa"/>
          </w:tcPr>
          <w:p w14:paraId="6423CB7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машины закончено. В постройке самолет выполнен на 80%. Дальнейшая работа задерживается получением специальных труб для пушек ДРП, изготовляемых на заводе № 8.</w:t>
            </w:r>
          </w:p>
        </w:tc>
      </w:tr>
      <w:tr w:rsidR="004E10C1" w:rsidRPr="0044524F" w14:paraId="418FF845" w14:textId="77777777">
        <w:tc>
          <w:tcPr>
            <w:tcW w:w="3348" w:type="dxa"/>
          </w:tcPr>
          <w:p w14:paraId="22F842D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p w14:paraId="292976B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емкости баков.</w:t>
            </w:r>
          </w:p>
          <w:p w14:paraId="36BC3C4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15 мая 1932 года.</w:t>
            </w:r>
          </w:p>
        </w:tc>
        <w:tc>
          <w:tcPr>
            <w:tcW w:w="6966" w:type="dxa"/>
          </w:tcPr>
          <w:p w14:paraId="6E62061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закончена в срок.</w:t>
            </w:r>
          </w:p>
        </w:tc>
      </w:tr>
      <w:tr w:rsidR="004E10C1" w:rsidRPr="0044524F" w14:paraId="0BCD74E6" w14:textId="77777777">
        <w:tc>
          <w:tcPr>
            <w:tcW w:w="3348" w:type="dxa"/>
          </w:tcPr>
          <w:p w14:paraId="4B34422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ТБ1-2М17</w:t>
            </w:r>
          </w:p>
          <w:p w14:paraId="2EDB099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емкости баков.</w:t>
            </w:r>
          </w:p>
          <w:p w14:paraId="240BD8D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15 мая 1932 года.</w:t>
            </w:r>
          </w:p>
        </w:tc>
        <w:tc>
          <w:tcPr>
            <w:tcW w:w="6966" w:type="dxa"/>
          </w:tcPr>
          <w:p w14:paraId="758BB5E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закончена в срок.</w:t>
            </w:r>
          </w:p>
        </w:tc>
      </w:tr>
      <w:tr w:rsidR="004E10C1" w:rsidRPr="0044524F" w14:paraId="55458269" w14:textId="77777777">
        <w:tc>
          <w:tcPr>
            <w:tcW w:w="3348" w:type="dxa"/>
          </w:tcPr>
          <w:p w14:paraId="640A4E4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ТБ1-2М17</w:t>
            </w:r>
          </w:p>
          <w:p w14:paraId="7A69F8D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Приспособление для химических целей.</w:t>
            </w:r>
          </w:p>
          <w:p w14:paraId="4E7D5F3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15 августа 1932 года.</w:t>
            </w:r>
          </w:p>
        </w:tc>
        <w:tc>
          <w:tcPr>
            <w:tcW w:w="6966" w:type="dxa"/>
          </w:tcPr>
          <w:p w14:paraId="3ABBE4C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вариант схемы приспособлений закончен в срок. В настоящий момент вводятся усовершенствования.</w:t>
            </w:r>
          </w:p>
        </w:tc>
      </w:tr>
      <w:tr w:rsidR="004E10C1" w:rsidRPr="0044524F" w14:paraId="03F6E9E0" w14:textId="77777777">
        <w:tc>
          <w:tcPr>
            <w:tcW w:w="3348" w:type="dxa"/>
          </w:tcPr>
          <w:p w14:paraId="66A8CC3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p w14:paraId="74B00EA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на поплавки.</w:t>
            </w:r>
          </w:p>
          <w:p w14:paraId="2130373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 сентября 1932 года.</w:t>
            </w:r>
          </w:p>
        </w:tc>
        <w:tc>
          <w:tcPr>
            <w:tcW w:w="6966" w:type="dxa"/>
          </w:tcPr>
          <w:p w14:paraId="51C2817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Проектированием и производством работа закончена в срок. Произведены полетные испытания и получены хорошие результаты, а именно: скорость – 240 км/час при общем весе машины в 7,5 тонны.</w:t>
            </w:r>
          </w:p>
          <w:p w14:paraId="2DED4ED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докладу А.Н. Туполева начальником ВС даны указания о постройке серии.</w:t>
            </w:r>
          </w:p>
        </w:tc>
      </w:tr>
    </w:tbl>
    <w:p w14:paraId="3276E05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в результате работы ЦАГИ за 1932 год:</w:t>
      </w:r>
    </w:p>
    <w:p w14:paraId="1589124B" w14:textId="77777777" w:rsidR="00E37239" w:rsidRPr="0044524F" w:rsidRDefault="00E37239" w:rsidP="009654CF">
      <w:pPr>
        <w:numPr>
          <w:ilvl w:val="0"/>
          <w:numId w:val="9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Производится передача чертежей в серию по следующим машинам:</w:t>
      </w:r>
    </w:p>
    <w:p w14:paraId="468F92E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 головной – заводу № 22</w:t>
      </w:r>
    </w:p>
    <w:p w14:paraId="0D04531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 – заводу № 22</w:t>
      </w:r>
    </w:p>
    <w:p w14:paraId="79F517C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 заводу № 22</w:t>
      </w:r>
    </w:p>
    <w:p w14:paraId="4A9F5AB5"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АНТ-20-6Н34 (в пассажирском исполнении) – заводу № 22</w:t>
      </w:r>
    </w:p>
    <w:p w14:paraId="5E67AAF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МБР-2 - заводу № 45</w:t>
      </w:r>
    </w:p>
    <w:p w14:paraId="4A17B8E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Р6-М17 на поплавках – заводу № 31</w:t>
      </w:r>
    </w:p>
    <w:p w14:paraId="0B1E301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С-62 с М-34 (установка мотора) – заводу № 31</w:t>
      </w:r>
    </w:p>
    <w:p w14:paraId="2027D3F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 тормоз. шасси – заводу № 1</w:t>
      </w:r>
    </w:p>
    <w:p w14:paraId="32FAD2D7"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 и Р6 (модификация для увеличения дальности полета) – сдаются УВВС для производства работ на их ремонтных базах</w:t>
      </w:r>
    </w:p>
    <w:p w14:paraId="5B77597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Подготовлялись для серии чертежи самолета МДР2.</w:t>
      </w:r>
    </w:p>
    <w:p w14:paraId="0CB048DB" w14:textId="77777777" w:rsidR="00E37239" w:rsidRPr="0044524F" w:rsidRDefault="00E37239" w:rsidP="009654CF">
      <w:pPr>
        <w:numPr>
          <w:ilvl w:val="0"/>
          <w:numId w:val="9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Разработаны чертежи для серийного производства тормозных колес для самолетов Р5, И5, ТБ3, Р6, ТБ4 и МИ3.</w:t>
      </w:r>
    </w:p>
    <w:p w14:paraId="61E7C17D" w14:textId="77777777" w:rsidR="00E37239" w:rsidRPr="0044524F" w:rsidRDefault="00E37239" w:rsidP="009654CF">
      <w:pPr>
        <w:numPr>
          <w:ilvl w:val="0"/>
          <w:numId w:val="9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Разработаны и передаются в серийное производство чертежи масляных амортизаторов для самолетов ТБ4 и МИ3.</w:t>
      </w:r>
    </w:p>
    <w:p w14:paraId="12F6C0A3" w14:textId="77777777" w:rsidR="00E37239" w:rsidRPr="0044524F" w:rsidRDefault="00E37239" w:rsidP="009654CF">
      <w:pPr>
        <w:numPr>
          <w:ilvl w:val="0"/>
          <w:numId w:val="9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Разработаны и передаются в серии чертежи винтов металлической конструкции. Первые винты уже вышли из производства на заводах № 45 (Союзалюминий) и № 28.</w:t>
      </w:r>
    </w:p>
    <w:p w14:paraId="1F48FA18" w14:textId="77777777" w:rsidR="00E37239" w:rsidRPr="0044524F" w:rsidRDefault="00E37239" w:rsidP="009654CF">
      <w:pPr>
        <w:numPr>
          <w:ilvl w:val="0"/>
          <w:numId w:val="9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Р5 – первый вариант с разрезным крылом спроектирован, построен и испытан.</w:t>
      </w:r>
    </w:p>
    <w:p w14:paraId="4DAF2C2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вариант спроектирован. Построен и находится на испытании.</w:t>
      </w:r>
    </w:p>
    <w:p w14:paraId="543CDDC8" w14:textId="77777777" w:rsidR="00E37239" w:rsidRPr="0044524F" w:rsidRDefault="00E37239" w:rsidP="009654CF">
      <w:pPr>
        <w:numPr>
          <w:ilvl w:val="0"/>
          <w:numId w:val="9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Изготовлены и сданы чертежи по вооружению серийным заводам №№ 22 и 32.</w:t>
      </w:r>
    </w:p>
    <w:p w14:paraId="3E151BCC"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стрелковому вооружению:</w:t>
      </w:r>
    </w:p>
    <w:p w14:paraId="4AD8284A" w14:textId="77777777" w:rsidR="00E37239" w:rsidRPr="0044524F" w:rsidRDefault="00E37239" w:rsidP="009654CF">
      <w:pPr>
        <w:numPr>
          <w:ilvl w:val="0"/>
          <w:numId w:val="9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Носовая пушечная установка.</w:t>
      </w:r>
    </w:p>
    <w:p w14:paraId="618E8E26" w14:textId="77777777" w:rsidR="00E37239" w:rsidRPr="0044524F" w:rsidRDefault="00E37239" w:rsidP="009654CF">
      <w:pPr>
        <w:numPr>
          <w:ilvl w:val="0"/>
          <w:numId w:val="9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Реданная пулеметная установка.</w:t>
      </w:r>
    </w:p>
    <w:p w14:paraId="34F03DE5" w14:textId="77777777" w:rsidR="00E37239" w:rsidRPr="0044524F" w:rsidRDefault="00E37239" w:rsidP="009654CF">
      <w:pPr>
        <w:numPr>
          <w:ilvl w:val="0"/>
          <w:numId w:val="9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Люковая пулеметная установка.</w:t>
      </w:r>
    </w:p>
    <w:p w14:paraId="7F8337DB"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самолета МИ3, для самолета ТБ4)</w:t>
      </w:r>
    </w:p>
    <w:p w14:paraId="6802B93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бомбардировочному вооружению:</w:t>
      </w:r>
    </w:p>
    <w:p w14:paraId="4B87E86A" w14:textId="77777777" w:rsidR="00E37239" w:rsidRPr="0044524F" w:rsidRDefault="00E37239" w:rsidP="009654CF">
      <w:pPr>
        <w:numPr>
          <w:ilvl w:val="0"/>
          <w:numId w:val="9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Укороченные балки ДР25 и ДР26.</w:t>
      </w:r>
    </w:p>
    <w:p w14:paraId="37EC1342" w14:textId="77777777" w:rsidR="00E37239" w:rsidRPr="0044524F" w:rsidRDefault="00E37239" w:rsidP="009654CF">
      <w:pPr>
        <w:numPr>
          <w:ilvl w:val="0"/>
          <w:numId w:val="10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Лебедки для этих балок.</w:t>
      </w:r>
    </w:p>
    <w:p w14:paraId="76ABA24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самолета ТБ3)</w:t>
      </w:r>
    </w:p>
    <w:p w14:paraId="317CFBFF" w14:textId="77777777" w:rsidR="00E37239" w:rsidRPr="0044524F" w:rsidRDefault="00E37239" w:rsidP="009654CF">
      <w:pPr>
        <w:numPr>
          <w:ilvl w:val="0"/>
          <w:numId w:val="10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Замок кассетного бомбодержателя КАДОТ для 1000 кг бомб – самолет ТБ4.</w:t>
      </w:r>
    </w:p>
    <w:p w14:paraId="22DC31B1" w14:textId="77777777" w:rsidR="00E37239" w:rsidRPr="0044524F" w:rsidRDefault="00E37239" w:rsidP="009654CF">
      <w:pPr>
        <w:numPr>
          <w:ilvl w:val="0"/>
          <w:numId w:val="10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Кассетный бомбодержатель КД3 для 250-500 кг бомб – для самолета ТБ4.</w:t>
      </w:r>
    </w:p>
    <w:p w14:paraId="746B14C9" w14:textId="77777777" w:rsidR="00E37239" w:rsidRPr="0044524F" w:rsidRDefault="00E37239" w:rsidP="009654CF">
      <w:pPr>
        <w:numPr>
          <w:ilvl w:val="0"/>
          <w:numId w:val="10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Сдаются бомбодержатели КБ2 для самолетов ТБ3 и ТБ4.</w:t>
      </w:r>
    </w:p>
    <w:p w14:paraId="4B0959C8" w14:textId="77777777" w:rsidR="00E37239" w:rsidRPr="0044524F" w:rsidRDefault="00E37239" w:rsidP="009654CF">
      <w:pPr>
        <w:numPr>
          <w:ilvl w:val="0"/>
          <w:numId w:val="10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СР-электросбрасыватель для разведчиков.</w:t>
      </w:r>
    </w:p>
    <w:p w14:paraId="40C623C0" w14:textId="77777777" w:rsidR="00E37239" w:rsidRPr="0044524F" w:rsidRDefault="00E37239" w:rsidP="009654CF">
      <w:pPr>
        <w:numPr>
          <w:ilvl w:val="0"/>
          <w:numId w:val="10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СИ-электросбрасыватель для истребителя.</w:t>
      </w:r>
    </w:p>
    <w:p w14:paraId="0C564B47" w14:textId="77777777" w:rsidR="00E37239" w:rsidRPr="0044524F" w:rsidRDefault="00E37239" w:rsidP="009654CF">
      <w:pPr>
        <w:numPr>
          <w:ilvl w:val="0"/>
          <w:numId w:val="10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ДО1 – бомбодержатель для бомб от 25 до 500 кг.</w:t>
      </w:r>
    </w:p>
    <w:p w14:paraId="6592A40E" w14:textId="77777777" w:rsidR="00E37239" w:rsidRPr="0044524F" w:rsidRDefault="00E37239" w:rsidP="009654CF">
      <w:pPr>
        <w:numPr>
          <w:ilvl w:val="0"/>
          <w:numId w:val="10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Лебедка ДО1.</w:t>
      </w:r>
    </w:p>
    <w:p w14:paraId="45AC8EF1" w14:textId="77777777" w:rsidR="00E37239" w:rsidRPr="0044524F" w:rsidRDefault="00E37239" w:rsidP="009654CF">
      <w:pPr>
        <w:numPr>
          <w:ilvl w:val="0"/>
          <w:numId w:val="10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Лебедка КБ2.</w:t>
      </w:r>
    </w:p>
    <w:p w14:paraId="07F495EF"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химическому вооружению:</w:t>
      </w:r>
    </w:p>
    <w:p w14:paraId="4D28B842" w14:textId="77777777" w:rsidR="00E37239" w:rsidRPr="0044524F" w:rsidRDefault="00E37239" w:rsidP="009654CF">
      <w:pPr>
        <w:numPr>
          <w:ilvl w:val="0"/>
          <w:numId w:val="10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Установка ДАП на Дорневаль.</w:t>
      </w:r>
    </w:p>
    <w:p w14:paraId="2E318BED" w14:textId="77777777" w:rsidR="00E37239" w:rsidRPr="0044524F" w:rsidRDefault="00E37239" w:rsidP="009654CF">
      <w:pPr>
        <w:numPr>
          <w:ilvl w:val="0"/>
          <w:numId w:val="11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ДАП и ВАП на С-62 и МБР4.</w:t>
      </w:r>
    </w:p>
    <w:p w14:paraId="3DD1D5AB" w14:textId="77777777" w:rsidR="00E37239" w:rsidRPr="0044524F" w:rsidRDefault="00E37239" w:rsidP="009654CF">
      <w:pPr>
        <w:numPr>
          <w:ilvl w:val="0"/>
          <w:numId w:val="11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ДАП для ТБ1.</w:t>
      </w:r>
    </w:p>
    <w:p w14:paraId="35FEE168" w14:textId="77777777" w:rsidR="00E37239" w:rsidRPr="0044524F" w:rsidRDefault="00E37239" w:rsidP="009654CF">
      <w:pPr>
        <w:numPr>
          <w:ilvl w:val="0"/>
          <w:numId w:val="11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ДАП для Р5.</w:t>
      </w:r>
    </w:p>
    <w:p w14:paraId="0E1A15EC" w14:textId="77777777" w:rsidR="00E37239" w:rsidRPr="0044524F" w:rsidRDefault="00E37239" w:rsidP="009654CF">
      <w:pPr>
        <w:numPr>
          <w:ilvl w:val="0"/>
          <w:numId w:val="11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ВАП для Р5.</w:t>
      </w:r>
    </w:p>
    <w:p w14:paraId="19C7A89F" w14:textId="77777777" w:rsidR="00E37239" w:rsidRPr="0044524F" w:rsidRDefault="00E37239" w:rsidP="009654CF">
      <w:pPr>
        <w:pStyle w:val="a3"/>
        <w:widowControl/>
        <w:rPr>
          <w:color w:val="000000" w:themeColor="text1"/>
          <w:lang w:val="ru-RU"/>
        </w:rPr>
      </w:pPr>
      <w:r w:rsidRPr="0044524F">
        <w:rPr>
          <w:color w:val="000000" w:themeColor="text1"/>
          <w:lang w:val="ru-RU"/>
        </w:rPr>
        <w:t>7. а) Разработаны рабочие чертежи и карты технологических процессов для серийного завода № 21 по самолету И5.</w:t>
      </w:r>
    </w:p>
    <w:p w14:paraId="1B9CA3D8"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Разработаны рабочие чертежи и карты технологических процессов по самолету ТШ2-М17 для завода № 16.</w:t>
      </w:r>
    </w:p>
    <w:p w14:paraId="6346654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числе внеплановых работ ЦАГИ исполнил в 1932 году.</w:t>
      </w:r>
    </w:p>
    <w:p w14:paraId="1EA7CCB4"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32 узла для завода № 22 к самолету ТБ3;</w:t>
      </w:r>
    </w:p>
    <w:p w14:paraId="2664D78E"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стапели для оперения, фюзеляжа и других деталей;</w:t>
      </w:r>
    </w:p>
    <w:p w14:paraId="05AE24FA"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комплекты арматуры самолета ТБ3;</w:t>
      </w:r>
    </w:p>
    <w:p w14:paraId="04CD3BC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балки к бомбодержателям для самолета ТБ3;</w:t>
      </w:r>
    </w:p>
    <w:p w14:paraId="5079FFAD"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гондолы двух дирижаблей;</w:t>
      </w:r>
    </w:p>
    <w:p w14:paraId="7352824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хвостовое оперение и стабилизаторы дирижаблей;</w:t>
      </w:r>
    </w:p>
    <w:p w14:paraId="3F5C2C31"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электронные отливки для тормозных колес и пр. (3530,70-86).</w:t>
      </w:r>
    </w:p>
    <w:p w14:paraId="4E182459"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0F374E4A" w14:textId="77777777" w:rsidR="004539AF" w:rsidRPr="0044524F" w:rsidRDefault="004539AF" w:rsidP="009654CF">
      <w:pPr>
        <w:pStyle w:val="a3"/>
        <w:rPr>
          <w:color w:val="000000" w:themeColor="text1"/>
          <w:lang w:val="ru-RU"/>
        </w:rPr>
      </w:pPr>
      <w:r w:rsidRPr="0044524F">
        <w:rPr>
          <w:color w:val="000000" w:themeColor="text1"/>
          <w:lang w:val="ru-RU"/>
        </w:rPr>
        <w:t>25 января 1933 при обсуждении проекта более мощного корабля полужесткой конструкции СССР В-6 (объем - 18500 м</w:t>
      </w:r>
      <w:r w:rsidRPr="0044524F">
        <w:rPr>
          <w:color w:val="000000" w:themeColor="text1"/>
          <w:vertAlign w:val="superscript"/>
          <w:lang w:val="ru-RU"/>
        </w:rPr>
        <w:t>3</w:t>
      </w:r>
      <w:r w:rsidRPr="0044524F">
        <w:rPr>
          <w:color w:val="000000" w:themeColor="text1"/>
          <w:lang w:val="ru-RU"/>
        </w:rPr>
        <w:t>) по типу «Италии» на со</w:t>
      </w:r>
      <w:r w:rsidRPr="0044524F">
        <w:rPr>
          <w:color w:val="000000" w:themeColor="text1"/>
          <w:lang w:val="ru-RU"/>
        </w:rPr>
        <w:softHyphen/>
        <w:t>вместном заседании коллегии «Аэрофлота» и Технического совета «Дирижаблестроя» Нобиле ожидал «сюрприз» - жесткий отзыв НИИ ВВС РККА о непригодности использо</w:t>
      </w:r>
      <w:r w:rsidRPr="0044524F">
        <w:rPr>
          <w:color w:val="000000" w:themeColor="text1"/>
          <w:lang w:val="ru-RU"/>
        </w:rPr>
        <w:softHyphen/>
        <w:t>вания В-6 в военных целях в полном объеме:</w:t>
      </w:r>
    </w:p>
    <w:p w14:paraId="57C32C32" w14:textId="77777777" w:rsidR="004539AF" w:rsidRPr="0044524F" w:rsidRDefault="004539AF" w:rsidP="009654CF">
      <w:pPr>
        <w:pStyle w:val="a3"/>
        <w:tabs>
          <w:tab w:val="left" w:pos="423"/>
        </w:tabs>
        <w:autoSpaceDE/>
        <w:autoSpaceDN/>
        <w:adjustRightInd/>
        <w:rPr>
          <w:color w:val="000000" w:themeColor="text1"/>
          <w:lang w:val="ru-RU"/>
        </w:rPr>
      </w:pPr>
      <w:r w:rsidRPr="0044524F">
        <w:rPr>
          <w:color w:val="000000" w:themeColor="text1"/>
          <w:lang w:val="ru-RU"/>
        </w:rPr>
        <w:t>- малая высота полета (до 4500 м при необходимых 6000-8000 м);</w:t>
      </w:r>
    </w:p>
    <w:p w14:paraId="758366A8" w14:textId="77777777" w:rsidR="004539AF" w:rsidRPr="0044524F" w:rsidRDefault="004539AF" w:rsidP="009654CF">
      <w:pPr>
        <w:pStyle w:val="a3"/>
        <w:tabs>
          <w:tab w:val="left" w:pos="418"/>
        </w:tabs>
        <w:autoSpaceDE/>
        <w:autoSpaceDN/>
        <w:adjustRightInd/>
        <w:rPr>
          <w:color w:val="000000" w:themeColor="text1"/>
          <w:lang w:val="ru-RU"/>
        </w:rPr>
      </w:pPr>
      <w:r w:rsidRPr="0044524F">
        <w:rPr>
          <w:color w:val="000000" w:themeColor="text1"/>
          <w:lang w:val="ru-RU"/>
        </w:rPr>
        <w:t>- отсутствие пулеметного вооружения (их схем), подвесок для бомбовых (до 3 т) и военных (до 5 т) грузов;</w:t>
      </w:r>
    </w:p>
    <w:p w14:paraId="4D063BD5" w14:textId="77777777" w:rsidR="004539AF" w:rsidRPr="0044524F" w:rsidRDefault="004539AF" w:rsidP="009654CF">
      <w:pPr>
        <w:pStyle w:val="a3"/>
        <w:tabs>
          <w:tab w:val="left" w:pos="423"/>
        </w:tabs>
        <w:autoSpaceDE/>
        <w:autoSpaceDN/>
        <w:adjustRightInd/>
        <w:rPr>
          <w:color w:val="000000" w:themeColor="text1"/>
          <w:lang w:val="ru-RU"/>
        </w:rPr>
      </w:pPr>
      <w:r w:rsidRPr="0044524F">
        <w:rPr>
          <w:color w:val="000000" w:themeColor="text1"/>
          <w:lang w:val="ru-RU"/>
        </w:rPr>
        <w:t>- не решен вопрос с размещением на корабле воинской команды (до 50 бойцов);</w:t>
      </w:r>
    </w:p>
    <w:p w14:paraId="03323D83" w14:textId="77777777" w:rsidR="004539AF" w:rsidRPr="0044524F" w:rsidRDefault="004539AF" w:rsidP="009654CF">
      <w:pPr>
        <w:pStyle w:val="a3"/>
        <w:tabs>
          <w:tab w:val="left" w:pos="394"/>
        </w:tabs>
        <w:autoSpaceDE/>
        <w:autoSpaceDN/>
        <w:adjustRightInd/>
        <w:rPr>
          <w:color w:val="000000" w:themeColor="text1"/>
          <w:lang w:val="ru-RU"/>
        </w:rPr>
      </w:pPr>
      <w:r w:rsidRPr="0044524F">
        <w:rPr>
          <w:color w:val="000000" w:themeColor="text1"/>
          <w:lang w:val="ru-RU"/>
        </w:rPr>
        <w:t>- не допускалось и применение моторов иностранного производства (12732).</w:t>
      </w:r>
    </w:p>
    <w:p w14:paraId="396E89FB" w14:textId="77777777" w:rsidR="004539AF" w:rsidRPr="0044524F" w:rsidRDefault="004539AF" w:rsidP="009654CF">
      <w:pPr>
        <w:spacing w:after="0" w:line="240" w:lineRule="auto"/>
        <w:jc w:val="both"/>
        <w:rPr>
          <w:rFonts w:ascii="Times New Roman" w:hAnsi="Times New Roman"/>
          <w:color w:val="000000" w:themeColor="text1"/>
          <w:sz w:val="16"/>
          <w:szCs w:val="16"/>
        </w:rPr>
      </w:pPr>
    </w:p>
    <w:p w14:paraId="60B02F49"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25 января по 19 марта 1933 Н.М.Харламов ездил в Германию и Францию (273,299).</w:t>
      </w:r>
    </w:p>
    <w:p w14:paraId="6212F0D7"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0BAE4279"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738D1AE"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19D0E31E"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25 по 29 января 1933 года на Научно-испытательном артиллерийском полигоне (НИАП) прошли испытания стрельбой мотоброневагона Д-6 Дыренкова в объеме 101 выстрел - первое орудие 65, второе 36. В выводах отмечалось:</w:t>
      </w:r>
    </w:p>
    <w:p w14:paraId="7DA5C6BE"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Мотоброневагон при стрельбе устойчив, и никакого видимого влияния на корпус стрельба не оказала. Нахождение личного состава в вагоне во время артиллерийской стрельбы никаких опасений не вызывает.</w:t>
      </w:r>
    </w:p>
    <w:p w14:paraId="5BC666DA"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Обслуживание орудий при стрельбе крайне неудобно» (15624).</w:t>
      </w:r>
    </w:p>
    <w:p w14:paraId="65648E89" w14:textId="77777777" w:rsidR="00991BE3" w:rsidRPr="0044524F" w:rsidRDefault="00991BE3" w:rsidP="009654CF">
      <w:pPr>
        <w:spacing w:after="0" w:line="240" w:lineRule="auto"/>
        <w:jc w:val="both"/>
        <w:rPr>
          <w:rFonts w:ascii="Times New Roman" w:hAnsi="Times New Roman"/>
          <w:color w:val="000000" w:themeColor="text1"/>
          <w:sz w:val="16"/>
          <w:szCs w:val="16"/>
        </w:rPr>
      </w:pPr>
    </w:p>
    <w:p w14:paraId="5DBD19B3" w14:textId="77777777" w:rsidR="00342052" w:rsidRPr="0044524F" w:rsidRDefault="003420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25 по 29 января 1933 года на Научноиспытательном артиллерийском полигоне (НИАП) прошли испытания мотоброневагона Д-6 стрельбой в объеме 101 выстрел - первое орудие 65, второе 36. В выводах отмечалось:</w:t>
      </w:r>
    </w:p>
    <w:p w14:paraId="3A8FD280" w14:textId="77777777" w:rsidR="00342052" w:rsidRPr="0044524F" w:rsidRDefault="003420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Мото-броневагон при стрельбе устойчив, и никакого видимого влияния на корпус стрельба не оказала. Нахождение личного состава в вагоне во время артиллерийской стрельбы никаких опасений не вызывает. </w:t>
      </w:r>
    </w:p>
    <w:p w14:paraId="3A8B569C" w14:textId="77777777" w:rsidR="00342052" w:rsidRPr="0044524F" w:rsidRDefault="003420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Обслуживание орудий при стрельбе крайне неудобно» (18626). </w:t>
      </w:r>
    </w:p>
    <w:p w14:paraId="0E867DE9" w14:textId="77777777" w:rsidR="00342052" w:rsidRPr="0044524F" w:rsidRDefault="00342052" w:rsidP="009654CF">
      <w:pPr>
        <w:spacing w:after="0" w:line="240" w:lineRule="auto"/>
        <w:jc w:val="both"/>
        <w:rPr>
          <w:rFonts w:ascii="Times New Roman" w:hAnsi="Times New Roman"/>
          <w:color w:val="000000" w:themeColor="text1"/>
          <w:sz w:val="16"/>
          <w:szCs w:val="16"/>
        </w:rPr>
      </w:pPr>
    </w:p>
    <w:p w14:paraId="2A63C23A" w14:textId="77777777" w:rsidR="00CD7A42" w:rsidRPr="00142305" w:rsidRDefault="00CD7A42" w:rsidP="00CD7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25 по 29 января 1933 года на Научно-испытательном артиллерийском полигоне (НИАП) прошли испытания мотоброневагона Д-6 Дыренкова с двумя 76 мм пушками стрельбой в объеме 101 выстрел — первое орудие 65, второе 36. В выводах отмечалось: </w:t>
      </w:r>
    </w:p>
    <w:p w14:paraId="501EF1BA" w14:textId="77777777" w:rsidR="00CD7A42" w:rsidRPr="00142305" w:rsidRDefault="00CD7A42" w:rsidP="00CD7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Мотоброневагон при стрельбе устойчив, и никакого видимого влияния на корпус стрельба не оказала. Нахождение личного состава в вагоне во время артиллерийской стрельбы никаких опасений не вызывает.</w:t>
      </w:r>
    </w:p>
    <w:p w14:paraId="4E2C516C" w14:textId="77777777" w:rsidR="00CD7A42" w:rsidRPr="00142305" w:rsidRDefault="00CD7A42" w:rsidP="00CD7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Обслуживание орудий при стрельбе крайне неудобно» (25568).</w:t>
      </w:r>
    </w:p>
    <w:p w14:paraId="153C88CF" w14:textId="77777777" w:rsidR="00CD7A42" w:rsidRPr="00142305" w:rsidRDefault="00CD7A42" w:rsidP="00CD7A42">
      <w:pPr>
        <w:spacing w:after="0" w:line="240" w:lineRule="auto"/>
        <w:jc w:val="both"/>
        <w:rPr>
          <w:rFonts w:ascii="Times New Roman" w:hAnsi="Times New Roman"/>
          <w:color w:val="0070C0"/>
          <w:sz w:val="16"/>
          <w:szCs w:val="16"/>
        </w:rPr>
      </w:pPr>
    </w:p>
    <w:p w14:paraId="589901F3" w14:textId="77777777" w:rsidR="00991BE3" w:rsidRPr="0044524F" w:rsidRDefault="00991BE3" w:rsidP="009654CF">
      <w:pPr>
        <w:pStyle w:val="rtejustify"/>
        <w:spacing w:before="0" w:after="0"/>
        <w:rPr>
          <w:color w:val="000000" w:themeColor="text1"/>
          <w:sz w:val="16"/>
          <w:szCs w:val="16"/>
        </w:rPr>
      </w:pPr>
      <w:r w:rsidRPr="0044524F">
        <w:rPr>
          <w:rStyle w:val="af0"/>
          <w:bCs/>
          <w:i w:val="0"/>
          <w:color w:val="000000" w:themeColor="text1"/>
          <w:sz w:val="16"/>
          <w:szCs w:val="16"/>
        </w:rPr>
        <w:t>25 января</w:t>
      </w:r>
      <w:r w:rsidRPr="0044524F">
        <w:rPr>
          <w:color w:val="000000" w:themeColor="text1"/>
          <w:sz w:val="16"/>
          <w:szCs w:val="16"/>
        </w:rPr>
        <w:t xml:space="preserve"> 1933 вышел приказ РВСС № 2. 5. Утверждение общего проекта подлодки «Щука Б» (Малинин). 12. О ходе договорной кампании в НКВМ (Хрулев). (РГВА. Ф. 4. Оп. 18. Д. 23. Л. 23, 25) (15461).</w:t>
      </w:r>
    </w:p>
    <w:p w14:paraId="00ECAADC" w14:textId="77777777" w:rsidR="00991BE3" w:rsidRPr="0044524F" w:rsidRDefault="00991BE3" w:rsidP="009654CF">
      <w:pPr>
        <w:pStyle w:val="rtejustify"/>
        <w:spacing w:before="0" w:after="0"/>
        <w:rPr>
          <w:rStyle w:val="af0"/>
          <w:bCs/>
          <w:i w:val="0"/>
          <w:color w:val="000000" w:themeColor="text1"/>
          <w:sz w:val="16"/>
          <w:szCs w:val="16"/>
        </w:rPr>
      </w:pPr>
    </w:p>
    <w:p w14:paraId="12637CC3"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января 1933 г. Эскизный проект ЩБ был утвержден Реввоенсоветом СССР. ЦКБС-2 (так стало называться Техбюро № 4) под руководством К. К. Перцева одновременно с разработкой общего проекта Убис серии разработало улучшенный проект средней лодки VIII серии — по заданию на "Щуку-Б" (ЩБ). Назначение ее, наряду с самостоятельными действиями на позиции, включало совмест</w:t>
      </w:r>
      <w:r w:rsidRPr="0044524F">
        <w:rPr>
          <w:rFonts w:ascii="Times New Roman" w:hAnsi="Times New Roman"/>
          <w:color w:val="000000" w:themeColor="text1"/>
          <w:sz w:val="16"/>
          <w:szCs w:val="16"/>
        </w:rPr>
        <w:softHyphen/>
        <w:t>ные действия с надводными кораблями против "боевых и торговых судов", а также постановку мин у баз и на коммуникациях против</w:t>
      </w:r>
      <w:r w:rsidRPr="0044524F">
        <w:rPr>
          <w:rFonts w:ascii="Times New Roman" w:hAnsi="Times New Roman"/>
          <w:color w:val="000000" w:themeColor="text1"/>
          <w:sz w:val="16"/>
          <w:szCs w:val="16"/>
        </w:rPr>
        <w:softHyphen/>
        <w:t>ника. Проект новой лодки при надводном водоизмещении 640 т и аналогичном "Щуке" торпедном вооружении предусматривал мин</w:t>
      </w:r>
      <w:r w:rsidRPr="0044524F">
        <w:rPr>
          <w:rFonts w:ascii="Times New Roman" w:hAnsi="Times New Roman"/>
          <w:color w:val="000000" w:themeColor="text1"/>
          <w:sz w:val="16"/>
          <w:szCs w:val="16"/>
        </w:rPr>
        <w:softHyphen/>
        <w:t>ное вооружение из 10 мин и более сильную артиллерию. Достиже</w:t>
      </w:r>
      <w:r w:rsidRPr="0044524F">
        <w:rPr>
          <w:rFonts w:ascii="Times New Roman" w:hAnsi="Times New Roman"/>
          <w:color w:val="000000" w:themeColor="text1"/>
          <w:sz w:val="16"/>
          <w:szCs w:val="16"/>
        </w:rPr>
        <w:softHyphen/>
        <w:t>ние 17,5-уз надводной скорости обеспечивалось установкой трех дизелей типа 38-К-8. Предполагалось выполнить прочный корпус клепаным, а легкий с булевыми обводами — полностью сварным. "Щука-Б" имела несомненные преимущества перед лодками серий III и V, а вооружение ее минами отвечало насущным требо</w:t>
      </w:r>
      <w:r w:rsidRPr="0044524F">
        <w:rPr>
          <w:rFonts w:ascii="Times New Roman" w:hAnsi="Times New Roman"/>
          <w:color w:val="000000" w:themeColor="text1"/>
          <w:sz w:val="16"/>
          <w:szCs w:val="16"/>
        </w:rPr>
        <w:softHyphen/>
        <w:t>ваниям не только Балтийского, но и других флотов. Тем не менее, реализация проекта встретила возражения промышленности, по</w:t>
      </w:r>
      <w:r w:rsidRPr="0044524F">
        <w:rPr>
          <w:rFonts w:ascii="Times New Roman" w:hAnsi="Times New Roman"/>
          <w:color w:val="000000" w:themeColor="text1"/>
          <w:sz w:val="16"/>
          <w:szCs w:val="16"/>
        </w:rPr>
        <w:softHyphen/>
        <w:t>ставившей к этому времени строительство "Щук" на шести заводах. Переход к новому типу грозил увеличением сроков постройки оче</w:t>
      </w:r>
      <w:r w:rsidRPr="0044524F">
        <w:rPr>
          <w:rFonts w:ascii="Times New Roman" w:hAnsi="Times New Roman"/>
          <w:color w:val="000000" w:themeColor="text1"/>
          <w:sz w:val="16"/>
          <w:szCs w:val="16"/>
        </w:rPr>
        <w:softHyphen/>
        <w:t>редной серии. Кроме того, руководство УВМС параллельно вело пе</w:t>
      </w:r>
      <w:r w:rsidRPr="0044524F">
        <w:rPr>
          <w:rFonts w:ascii="Times New Roman" w:hAnsi="Times New Roman"/>
          <w:color w:val="000000" w:themeColor="text1"/>
          <w:sz w:val="16"/>
          <w:szCs w:val="16"/>
        </w:rPr>
        <w:softHyphen/>
        <w:t>реговоры с иностранными фирмами ("Дешимаг") о приобретении качественно нового проекта средней лодки для серийной построй</w:t>
      </w:r>
      <w:r w:rsidRPr="0044524F">
        <w:rPr>
          <w:rFonts w:ascii="Times New Roman" w:hAnsi="Times New Roman"/>
          <w:color w:val="000000" w:themeColor="text1"/>
          <w:sz w:val="16"/>
          <w:szCs w:val="16"/>
        </w:rPr>
        <w:softHyphen/>
        <w:t>ки. Поэтому наморси Орлов согласился на строительство 13 под</w:t>
      </w:r>
      <w:r w:rsidRPr="0044524F">
        <w:rPr>
          <w:rFonts w:ascii="Times New Roman" w:hAnsi="Times New Roman"/>
          <w:color w:val="000000" w:themeColor="text1"/>
          <w:sz w:val="16"/>
          <w:szCs w:val="16"/>
        </w:rPr>
        <w:softHyphen/>
        <w:t>водных лодок по улучшенному в очередной раз проекту "Щуки", от</w:t>
      </w:r>
      <w:r w:rsidRPr="0044524F">
        <w:rPr>
          <w:rFonts w:ascii="Times New Roman" w:hAnsi="Times New Roman"/>
          <w:color w:val="000000" w:themeColor="text1"/>
          <w:sz w:val="16"/>
          <w:szCs w:val="16"/>
        </w:rPr>
        <w:softHyphen/>
        <w:t>несенным к Убис — II серии (3898).</w:t>
      </w:r>
    </w:p>
    <w:p w14:paraId="0DB5F938"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1926970D" w14:textId="77777777" w:rsidR="00E372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87D844E" w14:textId="77777777" w:rsidR="00E37239" w:rsidRPr="0044524F" w:rsidRDefault="00E37239" w:rsidP="009654CF">
      <w:pPr>
        <w:spacing w:after="0" w:line="240" w:lineRule="auto"/>
        <w:jc w:val="both"/>
        <w:rPr>
          <w:rFonts w:ascii="Times New Roman" w:hAnsi="Times New Roman"/>
          <w:iCs/>
          <w:color w:val="000000" w:themeColor="text1"/>
          <w:sz w:val="16"/>
          <w:szCs w:val="16"/>
        </w:rPr>
      </w:pPr>
    </w:p>
    <w:p w14:paraId="02499DD6" w14:textId="77777777" w:rsidR="00E37239" w:rsidRPr="0044524F" w:rsidRDefault="00E372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января 1933 в Германии была антифашистская рабочая демонстрация (3186).</w:t>
      </w:r>
    </w:p>
    <w:p w14:paraId="5D38CF6A" w14:textId="77777777" w:rsidR="00E37239" w:rsidRPr="0044524F" w:rsidRDefault="00E37239" w:rsidP="009654CF">
      <w:pPr>
        <w:spacing w:after="0" w:line="240" w:lineRule="auto"/>
        <w:jc w:val="both"/>
        <w:rPr>
          <w:rFonts w:ascii="Times New Roman" w:hAnsi="Times New Roman"/>
          <w:color w:val="000000" w:themeColor="text1"/>
          <w:sz w:val="16"/>
          <w:szCs w:val="16"/>
        </w:rPr>
      </w:pPr>
    </w:p>
    <w:p w14:paraId="677A09F2"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FDC8418"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9C47E3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января 1933 были представлены техтребования к самолету Х1-2М34 (7415, 16).</w:t>
      </w:r>
    </w:p>
    <w:p w14:paraId="622BA4C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3F5C5B9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января 1933 был подготовлен Доклад пред. КОС проектом постановления О срыве поставок самолетных радиостанций за 1932 год и о сроках поставки на 1933 год (3082).</w:t>
      </w:r>
    </w:p>
    <w:p w14:paraId="5532F47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1ED96B0D"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5EC81D4"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D3D6D0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января 1933 г. в ходе стрельб из переделанной экстрадальней пушки № 281, которая к началу 30-х годов была совершенно расстреляна (гладкая часть канала длиной 30 калибров была убрана, а в ствол вставлена внутренняя труба с полигональной нарезкой. В сечении канал этой пушки представлял правильный многоугольник с диаметром описанной окружности 90 мм, и вписанной 78 мм), полигональный снаряд весом 7,75 кг и длиной 5,3 калибров имел начальную скорость 1120 м/с, давление в канале было около 3500 атм. Причем впервые был отмечен правильный полет снаряда, до этого полигональные снаряды кувыркались (3861).</w:t>
      </w:r>
    </w:p>
    <w:p w14:paraId="288C2BD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247A9479" w14:textId="77777777" w:rsidR="00991BE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D9EB6BC" w14:textId="77777777" w:rsidR="00991BE3" w:rsidRPr="0044524F" w:rsidRDefault="00991BE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CD4F66F"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26 января</w:t>
      </w:r>
      <w:r w:rsidRPr="0044524F">
        <w:rPr>
          <w:rFonts w:ascii="Times New Roman" w:hAnsi="Times New Roman"/>
          <w:color w:val="000000" w:themeColor="text1"/>
          <w:sz w:val="16"/>
          <w:szCs w:val="16"/>
        </w:rPr>
        <w:t xml:space="preserve"> в 1933 году самолет </w:t>
      </w:r>
      <w:hyperlink r:id="rId50" w:tgtFrame="_blank" w:history="1">
        <w:r w:rsidRPr="0044524F">
          <w:rPr>
            <w:rFonts w:ascii="Times New Roman" w:hAnsi="Times New Roman"/>
            <w:color w:val="000000" w:themeColor="text1"/>
            <w:sz w:val="16"/>
            <w:szCs w:val="16"/>
          </w:rPr>
          <w:t xml:space="preserve">«Liore-et-Olivier LeO» «H-255» </w:t>
        </w:r>
      </w:hyperlink>
      <w:r w:rsidRPr="0044524F">
        <w:rPr>
          <w:rFonts w:ascii="Times New Roman" w:hAnsi="Times New Roman"/>
          <w:color w:val="000000" w:themeColor="text1"/>
          <w:sz w:val="16"/>
          <w:szCs w:val="16"/>
        </w:rPr>
        <w:t>поднял груз в 500 кг на 9532 метров (15021).</w:t>
      </w:r>
    </w:p>
    <w:p w14:paraId="30FEB347" w14:textId="77777777" w:rsidR="00991BE3" w:rsidRPr="0044524F" w:rsidRDefault="00991BE3" w:rsidP="009654CF">
      <w:pPr>
        <w:spacing w:after="0" w:line="240" w:lineRule="auto"/>
        <w:jc w:val="both"/>
        <w:rPr>
          <w:rFonts w:ascii="Times New Roman" w:hAnsi="Times New Roman"/>
          <w:color w:val="000000" w:themeColor="text1"/>
          <w:sz w:val="16"/>
          <w:szCs w:val="16"/>
        </w:rPr>
      </w:pPr>
    </w:p>
    <w:p w14:paraId="29D83449" w14:textId="77777777" w:rsidR="00E371D8" w:rsidRPr="0044524F" w:rsidRDefault="00E371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января 1933 - Установлен мировой рекорд: самолет Liore-et-Olivier LeO H-255 поднял груз в 500 кг на 9532 метров (22643).</w:t>
      </w:r>
    </w:p>
    <w:p w14:paraId="665A95C8" w14:textId="77777777" w:rsidR="00E371D8" w:rsidRPr="0044524F" w:rsidRDefault="00E371D8" w:rsidP="009654CF">
      <w:pPr>
        <w:shd w:val="clear" w:color="auto" w:fill="FFFFFF"/>
        <w:spacing w:after="0" w:line="240" w:lineRule="auto"/>
        <w:jc w:val="both"/>
        <w:rPr>
          <w:rFonts w:ascii="Times New Roman" w:hAnsi="Times New Roman"/>
          <w:color w:val="000000" w:themeColor="text1"/>
          <w:sz w:val="16"/>
          <w:szCs w:val="16"/>
        </w:rPr>
      </w:pPr>
    </w:p>
    <w:p w14:paraId="3630720D"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Авиапромышленность:</w:t>
      </w:r>
    </w:p>
    <w:p w14:paraId="7B942C98"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7FB52E"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27 января 1933 г. 3-я серия («В») М-34 из 100 штук бла</w:t>
      </w:r>
      <w:r w:rsidRPr="0044524F">
        <w:rPr>
          <w:rFonts w:ascii="Times New Roman" w:hAnsi="Times New Roman"/>
          <w:color w:val="000000" w:themeColor="text1"/>
          <w:sz w:val="16"/>
          <w:szCs w:val="16"/>
        </w:rPr>
        <w:softHyphen/>
        <w:t>гополучно прошла военную прием</w:t>
      </w:r>
      <w:r w:rsidRPr="0044524F">
        <w:rPr>
          <w:rFonts w:ascii="Times New Roman" w:hAnsi="Times New Roman"/>
          <w:color w:val="000000" w:themeColor="text1"/>
          <w:sz w:val="16"/>
          <w:szCs w:val="16"/>
        </w:rPr>
        <w:softHyphen/>
        <w:t>ку. Зато в том же месяце М-34 в третий раз провалил госиспытания на стенде - на 35-м часу оборвался шатун. Вскрытие показало, что причиной оказалось выкрашивание баббита в шатунном вкладыше (11848).</w:t>
      </w:r>
    </w:p>
    <w:p w14:paraId="0456B08F"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D96428" w14:textId="77777777" w:rsidR="00CD7A42" w:rsidRPr="0044524F" w:rsidRDefault="00CD7A42" w:rsidP="00CD7A42">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8E44C84" w14:textId="77777777" w:rsidR="00CD7A42" w:rsidRPr="0044524F" w:rsidRDefault="00CD7A42" w:rsidP="00CD7A42">
      <w:pPr>
        <w:autoSpaceDE w:val="0"/>
        <w:autoSpaceDN w:val="0"/>
        <w:adjustRightInd w:val="0"/>
        <w:spacing w:after="0" w:line="240" w:lineRule="auto"/>
        <w:jc w:val="both"/>
        <w:rPr>
          <w:rFonts w:ascii="Times New Roman" w:hAnsi="Times New Roman"/>
          <w:iCs/>
          <w:color w:val="000000" w:themeColor="text1"/>
          <w:sz w:val="16"/>
          <w:szCs w:val="16"/>
        </w:rPr>
      </w:pPr>
    </w:p>
    <w:p w14:paraId="77ACD464" w14:textId="77777777" w:rsidR="00CD7A42" w:rsidRPr="00142305" w:rsidRDefault="00CD7A42" w:rsidP="00CD7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января 1933 г., согласно плана опытно-конструкторских работ, в 1933 году предполагалось сделать сле</w:t>
      </w:r>
      <w:r w:rsidRPr="00142305">
        <w:rPr>
          <w:rFonts w:ascii="Times New Roman" w:hAnsi="Times New Roman"/>
          <w:color w:val="0070C0"/>
          <w:sz w:val="16"/>
          <w:szCs w:val="16"/>
        </w:rPr>
        <w:softHyphen/>
        <w:t>дующее:</w:t>
      </w:r>
    </w:p>
    <w:p w14:paraId="3C5CEE53" w14:textId="77777777" w:rsidR="00CD7A42" w:rsidRPr="00142305" w:rsidRDefault="00CD7A42" w:rsidP="00CD7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«Программа работ секции нового про</w:t>
      </w:r>
      <w:r w:rsidRPr="00142305">
        <w:rPr>
          <w:rFonts w:ascii="Times New Roman" w:hAnsi="Times New Roman"/>
          <w:color w:val="0070C0"/>
          <w:sz w:val="16"/>
          <w:szCs w:val="16"/>
        </w:rPr>
        <w:softHyphen/>
        <w:t>ектирования Т-2К в 1933 году. Согласо</w:t>
      </w:r>
      <w:r w:rsidRPr="00142305">
        <w:rPr>
          <w:rFonts w:ascii="Times New Roman" w:hAnsi="Times New Roman"/>
          <w:color w:val="0070C0"/>
          <w:sz w:val="16"/>
          <w:szCs w:val="16"/>
        </w:rPr>
        <w:softHyphen/>
        <w:t>вано с начальником Т-2К В.В.Фокиным.</w:t>
      </w:r>
    </w:p>
    <w:p w14:paraId="542FB281" w14:textId="77777777" w:rsidR="00CD7A42" w:rsidRPr="00142305" w:rsidRDefault="00CD7A42" w:rsidP="00CD7A42">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БТ-5-М5 — выпуск в серийное про</w:t>
      </w:r>
      <w:r w:rsidRPr="00142305">
        <w:rPr>
          <w:rFonts w:ascii="Times New Roman" w:hAnsi="Times New Roman"/>
          <w:color w:val="0070C0"/>
          <w:sz w:val="16"/>
          <w:szCs w:val="16"/>
        </w:rPr>
        <w:softHyphen/>
        <w:t>изводство всех устройств машины БТ-5 с 45-мм установкой — в чертежах.</w:t>
      </w:r>
    </w:p>
    <w:p w14:paraId="44DFDC39" w14:textId="77777777" w:rsidR="00CD7A42" w:rsidRPr="00142305" w:rsidRDefault="00CD7A42" w:rsidP="00CD7A42">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БТ-3 — выпуск в серийное произ</w:t>
      </w:r>
      <w:r w:rsidRPr="00142305">
        <w:rPr>
          <w:rFonts w:ascii="Times New Roman" w:hAnsi="Times New Roman"/>
          <w:color w:val="0070C0"/>
          <w:sz w:val="16"/>
          <w:szCs w:val="16"/>
        </w:rPr>
        <w:softHyphen/>
        <w:t>водство чертежей с метрическими резь</w:t>
      </w:r>
      <w:r w:rsidRPr="00142305">
        <w:rPr>
          <w:rFonts w:ascii="Times New Roman" w:hAnsi="Times New Roman"/>
          <w:color w:val="0070C0"/>
          <w:sz w:val="16"/>
          <w:szCs w:val="16"/>
        </w:rPr>
        <w:softHyphen/>
        <w:t>бами, полностью во всем согласованны</w:t>
      </w:r>
      <w:r w:rsidRPr="00142305">
        <w:rPr>
          <w:rFonts w:ascii="Times New Roman" w:hAnsi="Times New Roman"/>
          <w:color w:val="0070C0"/>
          <w:sz w:val="16"/>
          <w:szCs w:val="16"/>
        </w:rPr>
        <w:softHyphen/>
        <w:t>ми со всеми особенностями производст</w:t>
      </w:r>
      <w:r w:rsidRPr="00142305">
        <w:rPr>
          <w:rFonts w:ascii="Times New Roman" w:hAnsi="Times New Roman"/>
          <w:color w:val="0070C0"/>
          <w:sz w:val="16"/>
          <w:szCs w:val="16"/>
        </w:rPr>
        <w:softHyphen/>
        <w:t>ва БТ-2.</w:t>
      </w:r>
    </w:p>
    <w:p w14:paraId="5B105CFC" w14:textId="77777777" w:rsidR="00CD7A42" w:rsidRPr="00142305" w:rsidRDefault="00CD7A42" w:rsidP="00CD7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БТ-5-М17 — разработка проекта, изготовление рабочих чертежей для выпуска в серийное производство машины БТ-5 (45 мм) с М17.</w:t>
      </w:r>
    </w:p>
    <w:p w14:paraId="1DCC0711" w14:textId="77777777" w:rsidR="00CD7A42" w:rsidRPr="00142305" w:rsidRDefault="00CD7A42" w:rsidP="00CD7A42">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БТ-5-БД-2 — предварительные эс</w:t>
      </w:r>
      <w:r w:rsidRPr="00142305">
        <w:rPr>
          <w:rFonts w:ascii="Times New Roman" w:hAnsi="Times New Roman"/>
          <w:color w:val="0070C0"/>
          <w:sz w:val="16"/>
          <w:szCs w:val="16"/>
        </w:rPr>
        <w:softHyphen/>
        <w:t>кизные проекты и изготовление рабочих чертежей для выпуска в серийное произ</w:t>
      </w:r>
      <w:r w:rsidRPr="00142305">
        <w:rPr>
          <w:rFonts w:ascii="Times New Roman" w:hAnsi="Times New Roman"/>
          <w:color w:val="0070C0"/>
          <w:sz w:val="16"/>
          <w:szCs w:val="16"/>
        </w:rPr>
        <w:softHyphen/>
        <w:t>водство БТ-5 (45 мм) с двигателем дизе</w:t>
      </w:r>
      <w:r w:rsidRPr="00142305">
        <w:rPr>
          <w:rFonts w:ascii="Times New Roman" w:hAnsi="Times New Roman"/>
          <w:color w:val="0070C0"/>
          <w:sz w:val="16"/>
          <w:szCs w:val="16"/>
        </w:rPr>
        <w:softHyphen/>
        <w:t>ля БД-2.</w:t>
      </w:r>
    </w:p>
    <w:p w14:paraId="3737D0A6" w14:textId="77777777" w:rsidR="00CD7A42" w:rsidRPr="00142305" w:rsidRDefault="00CD7A42" w:rsidP="00CD7A42">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БТ-6 — завершение сборочных чер</w:t>
      </w:r>
      <w:r w:rsidRPr="00142305">
        <w:rPr>
          <w:rFonts w:ascii="Times New Roman" w:hAnsi="Times New Roman"/>
          <w:color w:val="0070C0"/>
          <w:sz w:val="16"/>
          <w:szCs w:val="16"/>
        </w:rPr>
        <w:softHyphen/>
        <w:t>тежей машины, полностью электросвар</w:t>
      </w:r>
      <w:r w:rsidRPr="00142305">
        <w:rPr>
          <w:rFonts w:ascii="Times New Roman" w:hAnsi="Times New Roman"/>
          <w:color w:val="0070C0"/>
          <w:sz w:val="16"/>
          <w:szCs w:val="16"/>
        </w:rPr>
        <w:softHyphen/>
        <w:t>ной в своем корпусе и его устройствах с упрятанными от цементационного слоя брони электрошвами, с учетом ре</w:t>
      </w:r>
      <w:r w:rsidRPr="00142305">
        <w:rPr>
          <w:rFonts w:ascii="Times New Roman" w:hAnsi="Times New Roman"/>
          <w:color w:val="0070C0"/>
          <w:sz w:val="16"/>
          <w:szCs w:val="16"/>
        </w:rPr>
        <w:softHyphen/>
        <w:t>зультатов испытаний БТ летом 1932 г., устроенной как БТ-5 с 45 мм. Выпуск в производство рабочих чертежей для из</w:t>
      </w:r>
      <w:r w:rsidRPr="00142305">
        <w:rPr>
          <w:rFonts w:ascii="Times New Roman" w:hAnsi="Times New Roman"/>
          <w:color w:val="0070C0"/>
          <w:sz w:val="16"/>
          <w:szCs w:val="16"/>
        </w:rPr>
        <w:softHyphen/>
        <w:t>готовления опытных образцов этой ма</w:t>
      </w:r>
      <w:r w:rsidRPr="00142305">
        <w:rPr>
          <w:rFonts w:ascii="Times New Roman" w:hAnsi="Times New Roman"/>
          <w:color w:val="0070C0"/>
          <w:sz w:val="16"/>
          <w:szCs w:val="16"/>
        </w:rPr>
        <w:softHyphen/>
        <w:t>шины.</w:t>
      </w:r>
    </w:p>
    <w:p w14:paraId="734C2FFE" w14:textId="77777777" w:rsidR="00CD7A42" w:rsidRPr="00142305" w:rsidRDefault="00CD7A42" w:rsidP="00CD7A42">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БТ-76-М5 — предварительные эс</w:t>
      </w:r>
      <w:r w:rsidRPr="00142305">
        <w:rPr>
          <w:rFonts w:ascii="Times New Roman" w:hAnsi="Times New Roman"/>
          <w:color w:val="0070C0"/>
          <w:sz w:val="16"/>
          <w:szCs w:val="16"/>
        </w:rPr>
        <w:softHyphen/>
        <w:t>кизные чертежи, а вслед разработка про</w:t>
      </w:r>
      <w:r w:rsidRPr="00142305">
        <w:rPr>
          <w:rFonts w:ascii="Times New Roman" w:hAnsi="Times New Roman"/>
          <w:color w:val="0070C0"/>
          <w:sz w:val="16"/>
          <w:szCs w:val="16"/>
        </w:rPr>
        <w:softHyphen/>
        <w:t>екта и рабочих чертежей для выпуска в серийное производство машины на ос</w:t>
      </w:r>
      <w:r w:rsidRPr="00142305">
        <w:rPr>
          <w:rFonts w:ascii="Times New Roman" w:hAnsi="Times New Roman"/>
          <w:color w:val="0070C0"/>
          <w:sz w:val="16"/>
          <w:szCs w:val="16"/>
        </w:rPr>
        <w:softHyphen/>
        <w:t>нове БТ-3 с установкой 76 мм и М5.</w:t>
      </w:r>
    </w:p>
    <w:p w14:paraId="4CDA0C3F" w14:textId="77777777" w:rsidR="00CD7A42" w:rsidRPr="00142305" w:rsidRDefault="00CD7A42" w:rsidP="00CD7A42">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БТ — эскизный проект с наимень</w:t>
      </w:r>
      <w:r w:rsidRPr="00142305">
        <w:rPr>
          <w:rFonts w:ascii="Times New Roman" w:hAnsi="Times New Roman"/>
          <w:color w:val="0070C0"/>
          <w:sz w:val="16"/>
          <w:szCs w:val="16"/>
        </w:rPr>
        <w:softHyphen/>
        <w:t>шим весом, наивысшими скоростями, в особенности на гусеницах, при наи</w:t>
      </w:r>
      <w:r w:rsidRPr="00142305">
        <w:rPr>
          <w:rFonts w:ascii="Times New Roman" w:hAnsi="Times New Roman"/>
          <w:color w:val="0070C0"/>
          <w:sz w:val="16"/>
          <w:szCs w:val="16"/>
        </w:rPr>
        <w:softHyphen/>
        <w:t>большем вооружении.</w:t>
      </w:r>
    </w:p>
    <w:p w14:paraId="6414B928" w14:textId="77777777" w:rsidR="00CD7A42" w:rsidRPr="00142305" w:rsidRDefault="00CD7A42" w:rsidP="00CD7A4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27.01.1933 года» (25009).</w:t>
      </w:r>
    </w:p>
    <w:p w14:paraId="0A101F6E" w14:textId="77777777" w:rsidR="00CD7A42" w:rsidRPr="00142305" w:rsidRDefault="00CD7A42" w:rsidP="00CD7A42">
      <w:pPr>
        <w:spacing w:after="0" w:line="240" w:lineRule="auto"/>
        <w:jc w:val="both"/>
        <w:rPr>
          <w:rFonts w:ascii="Times New Roman" w:hAnsi="Times New Roman"/>
          <w:color w:val="0070C0"/>
          <w:sz w:val="16"/>
          <w:szCs w:val="16"/>
        </w:rPr>
      </w:pPr>
    </w:p>
    <w:p w14:paraId="4EDF5C79" w14:textId="0F44CDC7" w:rsidR="003E67DC" w:rsidRPr="0044524F" w:rsidRDefault="003E67DC"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0821E177" w14:textId="77777777" w:rsidR="003E67DC" w:rsidRPr="0044524F" w:rsidRDefault="003E67DC"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16D342C9" w14:textId="3F86B404" w:rsidR="003E67DC" w:rsidRPr="0044524F" w:rsidRDefault="003E67D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января 1933</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Р. Небель 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город Магдебург подписали договор о строительстве пассажирской ракеты. Курт Хайниш предложил себя в качестве пассажира ракеты и немедленно стал посещать курсы парашютистов-любителей. Правда, при первом же прыжке он вывихнул ногу, но «камрады» назвали этот инцидент «хорошей приметой». Работу по созданию новой ракеты «дураки из Тегеля» начали уже в октябре 1932 г., сразу после возвращения Небеля из Магдебурга, не дожидаясь подписания договора (23372).</w:t>
      </w:r>
    </w:p>
    <w:p w14:paraId="41B5E778" w14:textId="77777777" w:rsidR="003E67DC" w:rsidRPr="0044524F" w:rsidRDefault="003E67DC" w:rsidP="009654CF">
      <w:pPr>
        <w:spacing w:after="0" w:line="240" w:lineRule="auto"/>
        <w:jc w:val="both"/>
        <w:rPr>
          <w:rFonts w:ascii="Times New Roman" w:hAnsi="Times New Roman"/>
          <w:color w:val="000000" w:themeColor="text1"/>
          <w:sz w:val="16"/>
          <w:szCs w:val="16"/>
        </w:rPr>
      </w:pPr>
    </w:p>
    <w:p w14:paraId="0CC00165" w14:textId="69EB6F83"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D022FF2"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7F62FD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января 1933 датирован эскизный чертеж планера-парителя СК-7 (105,77).</w:t>
      </w:r>
    </w:p>
    <w:p w14:paraId="5A96AF5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61D15AB8"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января 1933 был завершен предварительный проект варианта планера-парителя СК-7 (см. Приложение 1) (АМЖ, ф. 5300, № 11) (10676).</w:t>
      </w:r>
    </w:p>
    <w:p w14:paraId="379234F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7F05AAD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28 января 1933 г. С.П. Королев закончил эскизную проработку планера СК-7 — одного из предварительных вариантов планерлета с тем же индексом. Он имел двухбалочную схему и следующие конструктивные данные: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940"/>
        <w:gridCol w:w="2656"/>
        <w:gridCol w:w="994"/>
      </w:tblGrid>
      <w:tr w:rsidR="004E10C1" w:rsidRPr="0044524F" w14:paraId="5D876915" w14:textId="77777777">
        <w:tc>
          <w:tcPr>
            <w:tcW w:w="2520" w:type="dxa"/>
            <w:tcBorders>
              <w:top w:val="single" w:sz="12" w:space="0" w:color="auto"/>
              <w:bottom w:val="single" w:sz="12" w:space="0" w:color="auto"/>
            </w:tcBorders>
          </w:tcPr>
          <w:p w14:paraId="1777B0C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м</w:t>
            </w:r>
          </w:p>
          <w:p w14:paraId="65C6996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4524F">
              <w:rPr>
                <w:rFonts w:ascii="Times New Roman" w:hAnsi="Times New Roman"/>
                <w:color w:val="000000" w:themeColor="text1"/>
                <w:sz w:val="16"/>
                <w:szCs w:val="16"/>
              </w:rPr>
              <w:t>Несущая поверхность, м</w:t>
            </w:r>
            <w:r w:rsidRPr="0044524F">
              <w:rPr>
                <w:rFonts w:ascii="Times New Roman" w:hAnsi="Times New Roman"/>
                <w:color w:val="000000" w:themeColor="text1"/>
                <w:sz w:val="16"/>
                <w:szCs w:val="16"/>
                <w:vertAlign w:val="superscript"/>
              </w:rPr>
              <w:t>2</w:t>
            </w:r>
          </w:p>
          <w:p w14:paraId="0EF760E8"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Удлинение</w:t>
            </w:r>
          </w:p>
          <w:p w14:paraId="434D540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Вес, кг </w:t>
            </w:r>
          </w:p>
          <w:p w14:paraId="089CC59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полете </w:t>
            </w:r>
          </w:p>
          <w:p w14:paraId="0155FFA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w:t>
            </w:r>
            <w:r w:rsidRPr="0044524F">
              <w:rPr>
                <w:rFonts w:ascii="Times New Roman" w:hAnsi="Times New Roman"/>
                <w:color w:val="000000" w:themeColor="text1"/>
                <w:sz w:val="16"/>
                <w:szCs w:val="16"/>
              </w:rPr>
              <w:br/>
              <w:t>Нагрузка на крыло, кг</w:t>
            </w:r>
          </w:p>
        </w:tc>
        <w:tc>
          <w:tcPr>
            <w:tcW w:w="940" w:type="dxa"/>
            <w:tcBorders>
              <w:top w:val="single" w:sz="12" w:space="0" w:color="auto"/>
              <w:bottom w:val="single" w:sz="12" w:space="0" w:color="auto"/>
            </w:tcBorders>
          </w:tcPr>
          <w:p w14:paraId="5B3DD84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26,8 </w:t>
            </w:r>
          </w:p>
          <w:p w14:paraId="6E9DF1A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35,2</w:t>
            </w:r>
          </w:p>
          <w:p w14:paraId="3C4BA5C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3D227EC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6F65A14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440 </w:t>
            </w:r>
          </w:p>
          <w:p w14:paraId="28EA1C7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360 </w:t>
            </w:r>
          </w:p>
          <w:p w14:paraId="3852765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2656" w:type="dxa"/>
            <w:tcBorders>
              <w:top w:val="single" w:sz="12" w:space="0" w:color="auto"/>
              <w:bottom w:val="single" w:sz="12" w:space="0" w:color="auto"/>
            </w:tcBorders>
          </w:tcPr>
          <w:p w14:paraId="4E93C10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Показатель летучести</w:t>
            </w:r>
          </w:p>
          <w:p w14:paraId="1560EAF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Максимальное качество</w:t>
            </w:r>
          </w:p>
          <w:p w14:paraId="4222826F"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Минимальная скорость снижения, м/с</w:t>
            </w:r>
          </w:p>
          <w:p w14:paraId="40F2B67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м/с</w:t>
            </w:r>
          </w:p>
          <w:p w14:paraId="3A4EBA6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полета </w:t>
            </w:r>
          </w:p>
          <w:p w14:paraId="79523D6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w:t>
            </w:r>
          </w:p>
        </w:tc>
        <w:tc>
          <w:tcPr>
            <w:tcW w:w="994" w:type="dxa"/>
            <w:tcBorders>
              <w:top w:val="single" w:sz="12" w:space="0" w:color="auto"/>
              <w:bottom w:val="single" w:sz="12" w:space="0" w:color="auto"/>
            </w:tcBorders>
          </w:tcPr>
          <w:p w14:paraId="630ADB3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0,625 </w:t>
            </w:r>
          </w:p>
          <w:p w14:paraId="32894A7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27,8 </w:t>
            </w:r>
          </w:p>
          <w:p w14:paraId="57FA7D8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0,48</w:t>
            </w:r>
          </w:p>
          <w:p w14:paraId="3FADF2F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0F4EC88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17,7 </w:t>
            </w:r>
          </w:p>
          <w:p w14:paraId="5C705C0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r>
    </w:tbl>
    <w:p w14:paraId="2ED7441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Определенную связь этого планера с разработкой планерлета СК-7 можно установить, сравнив его с проектом планера-парителя "типа 7", завершенного 27 мая 1933 г. Майский вариант имел вполне конкретные "планерлетные" черты: предусматривалась установка маломощного мотора — 38 л.с., с толкающим винтом. Похожими январский и майский варианты делает двухбалочная схема, однако в майском варианте предлагаются два фюзеляжа, для которых хвостовые балки служат силовыми элементами. Конструктивные характеристики майского и январского вариантов существенно различались. С.П. Королев принял для майского варианта не только размах, но и удлинение крыла, как у "Коктебеля". Видимо, он хотел воспользоваться опробованной конструкцией крыла для нового варианта планера.</w:t>
      </w:r>
    </w:p>
    <w:p w14:paraId="135BEAB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Конструктивные данные планера "типа 7" (майский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520"/>
        <w:gridCol w:w="924"/>
        <w:gridCol w:w="2676"/>
        <w:gridCol w:w="990"/>
      </w:tblGrid>
      <w:tr w:rsidR="004E10C1" w:rsidRPr="0044524F" w14:paraId="3ECB3B3A" w14:textId="77777777">
        <w:tc>
          <w:tcPr>
            <w:tcW w:w="2520" w:type="dxa"/>
            <w:tcBorders>
              <w:top w:val="single" w:sz="12" w:space="0" w:color="auto"/>
              <w:bottom w:val="single" w:sz="12" w:space="0" w:color="auto"/>
            </w:tcBorders>
          </w:tcPr>
          <w:p w14:paraId="484754F4"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Максимальное качество</w:t>
            </w:r>
          </w:p>
          <w:p w14:paraId="7392E78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Скорость, м/с </w:t>
            </w:r>
          </w:p>
          <w:p w14:paraId="65C8626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снижения </w:t>
            </w:r>
          </w:p>
          <w:p w14:paraId="537322B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полета </w:t>
            </w:r>
          </w:p>
          <w:p w14:paraId="0306B90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w:t>
            </w:r>
          </w:p>
        </w:tc>
        <w:tc>
          <w:tcPr>
            <w:tcW w:w="924" w:type="dxa"/>
            <w:tcBorders>
              <w:top w:val="single" w:sz="12" w:space="0" w:color="auto"/>
              <w:bottom w:val="single" w:sz="12" w:space="0" w:color="auto"/>
            </w:tcBorders>
          </w:tcPr>
          <w:p w14:paraId="33F4AAB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p w14:paraId="4C4512C8"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10EE624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0,66 </w:t>
            </w:r>
          </w:p>
          <w:p w14:paraId="243C9BD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 </w:t>
            </w:r>
          </w:p>
          <w:p w14:paraId="4433C92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2676" w:type="dxa"/>
            <w:tcBorders>
              <w:top w:val="single" w:sz="12" w:space="0" w:color="auto"/>
              <w:bottom w:val="single" w:sz="12" w:space="0" w:color="auto"/>
            </w:tcBorders>
          </w:tcPr>
          <w:p w14:paraId="11B961B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Вес в полете, кг </w:t>
            </w:r>
          </w:p>
          <w:p w14:paraId="0FE5B2C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крыло, кг/м</w:t>
            </w:r>
            <w:r w:rsidRPr="0044524F">
              <w:rPr>
                <w:rFonts w:ascii="Times New Roman" w:hAnsi="Times New Roman"/>
                <w:color w:val="000000" w:themeColor="text1"/>
                <w:sz w:val="16"/>
                <w:szCs w:val="16"/>
                <w:vertAlign w:val="superscript"/>
              </w:rPr>
              <w:t>2</w:t>
            </w:r>
          </w:p>
          <w:p w14:paraId="7A08FA5F"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Удлинение</w:t>
            </w:r>
          </w:p>
        </w:tc>
        <w:tc>
          <w:tcPr>
            <w:tcW w:w="990" w:type="dxa"/>
            <w:tcBorders>
              <w:top w:val="single" w:sz="12" w:space="0" w:color="auto"/>
              <w:bottom w:val="single" w:sz="12" w:space="0" w:color="auto"/>
            </w:tcBorders>
          </w:tcPr>
          <w:p w14:paraId="457A0C8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340 </w:t>
            </w:r>
          </w:p>
          <w:p w14:paraId="763FF80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0F1BF67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w:t>
            </w:r>
          </w:p>
        </w:tc>
      </w:tr>
    </w:tbl>
    <w:p w14:paraId="15ABED8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Конструктивные данные планера "типа 7" с мотором "Черуб-IIIА":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400"/>
        <w:gridCol w:w="640"/>
      </w:tblGrid>
      <w:tr w:rsidR="004E10C1" w:rsidRPr="0044524F" w14:paraId="0F306B52" w14:textId="77777777">
        <w:tc>
          <w:tcPr>
            <w:tcW w:w="2400" w:type="dxa"/>
            <w:tcBorders>
              <w:top w:val="single" w:sz="12" w:space="0" w:color="auto"/>
              <w:bottom w:val="single" w:sz="12" w:space="0" w:color="auto"/>
            </w:tcBorders>
          </w:tcPr>
          <w:p w14:paraId="7FC4E6A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Скорость, км/ч </w:t>
            </w:r>
          </w:p>
          <w:p w14:paraId="3FD189D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полета </w:t>
            </w:r>
          </w:p>
          <w:p w14:paraId="64A273B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посадки</w:t>
            </w:r>
            <w:r w:rsidRPr="0044524F">
              <w:rPr>
                <w:rFonts w:ascii="Times New Roman" w:hAnsi="Times New Roman"/>
                <w:color w:val="000000" w:themeColor="text1"/>
                <w:sz w:val="16"/>
                <w:szCs w:val="16"/>
              </w:rPr>
              <w:br/>
              <w:t>Потолок, м</w:t>
            </w:r>
          </w:p>
        </w:tc>
        <w:tc>
          <w:tcPr>
            <w:tcW w:w="640" w:type="dxa"/>
            <w:tcBorders>
              <w:top w:val="single" w:sz="12" w:space="0" w:color="auto"/>
              <w:bottom w:val="single" w:sz="12" w:space="0" w:color="auto"/>
            </w:tcBorders>
          </w:tcPr>
          <w:p w14:paraId="473D450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148E4E2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p w14:paraId="3258E684"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50 </w:t>
            </w:r>
          </w:p>
          <w:p w14:paraId="1790203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bl>
    <w:p w14:paraId="4F91E90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(10676).</w:t>
      </w:r>
    </w:p>
    <w:p w14:paraId="2BA49864"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647703AD"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4D4EB66"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75782F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января 1933 между УММ РККА и ХПЗ был подписан договор на проектирование и изготовление БТ с 76-мм пушкой и новой конструкцией передней части машины (3881,3).</w:t>
      </w:r>
    </w:p>
    <w:p w14:paraId="33473E0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4F246525"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января 1933 г. УММ РККА и ХПЗ подписали до</w:t>
      </w:r>
      <w:r w:rsidRPr="0044524F">
        <w:rPr>
          <w:rFonts w:ascii="Times New Roman" w:hAnsi="Times New Roman"/>
          <w:color w:val="000000" w:themeColor="text1"/>
          <w:sz w:val="16"/>
          <w:szCs w:val="16"/>
        </w:rPr>
        <w:softHyphen/>
        <w:t>говор на проектирование и изготовление танка БТ с уси</w:t>
      </w:r>
      <w:r w:rsidRPr="0044524F">
        <w:rPr>
          <w:rFonts w:ascii="Times New Roman" w:hAnsi="Times New Roman"/>
          <w:color w:val="000000" w:themeColor="text1"/>
          <w:sz w:val="16"/>
          <w:szCs w:val="16"/>
        </w:rPr>
        <w:softHyphen/>
        <w:t>ленным до 76,2-мм артиллерийским вооружением, увели</w:t>
      </w:r>
      <w:r w:rsidRPr="0044524F">
        <w:rPr>
          <w:rFonts w:ascii="Times New Roman" w:hAnsi="Times New Roman"/>
          <w:color w:val="000000" w:themeColor="text1"/>
          <w:sz w:val="16"/>
          <w:szCs w:val="16"/>
        </w:rPr>
        <w:softHyphen/>
        <w:t>ченной башней и измененной конструкцией только носо</w:t>
      </w:r>
      <w:r w:rsidRPr="0044524F">
        <w:rPr>
          <w:rFonts w:ascii="Times New Roman" w:hAnsi="Times New Roman"/>
          <w:color w:val="000000" w:themeColor="text1"/>
          <w:sz w:val="16"/>
          <w:szCs w:val="16"/>
        </w:rPr>
        <w:softHyphen/>
        <w:t>вой части машины (10733,339).</w:t>
      </w:r>
    </w:p>
    <w:p w14:paraId="42490FE9"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F444D3" w14:textId="77777777" w:rsidR="00BB620E" w:rsidRPr="0044524F" w:rsidRDefault="00BB6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28 января по 5 февраля 1933 года прошли испытания бронедрезины Ук в объеме 64 км пробега (по маршруту Брянск - станция Б. Береча), 59 выстрелов из пушки и 150 из пулеметов. </w:t>
      </w:r>
    </w:p>
    <w:p w14:paraId="41010AB3" w14:textId="77777777" w:rsidR="00BB620E" w:rsidRPr="0044524F" w:rsidRDefault="00BB6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ходе испытаний Ук выявилось неудовлетворительное охлаждение двигателя (часто рвался ремень вентилятора, вода в радиаторе закипала через 2-3 км движения), недостаточные углы обстрела зенитной установки, тугое вращение подъемного механизма орудия и конструктивная недоработка механизма для перехода на параллельный железнодорожный путь. Несмотря на это, бронедрезина Ук понравилась представителям УММ РККА. В выводах по результатам испытаний они отмечали: </w:t>
      </w:r>
    </w:p>
    <w:p w14:paraId="600449C5" w14:textId="77777777" w:rsidR="00BB620E" w:rsidRPr="0044524F" w:rsidRDefault="00BB6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Бронедрезина Ук как средство разведки бронепоездов и мотоброневагонов в основном сконструирована удовлетворительно. Особо ценным является возможное размещение в Ук сверх команды еще 5-6 человек. Ориентировочно боевой расчет бронедрезины должен быть 10 человек командир, водитель, командир орудия, замковый, заряжающий, пять пулеметчиков. </w:t>
      </w:r>
    </w:p>
    <w:p w14:paraId="1F8EF51E" w14:textId="77777777" w:rsidR="00BB620E" w:rsidRPr="0044524F" w:rsidRDefault="00BB6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Необходимо на бронедрезине уравновесить центр тяжести. </w:t>
      </w:r>
    </w:p>
    <w:p w14:paraId="4A5E3E9D" w14:textId="77777777" w:rsidR="00BB620E" w:rsidRPr="0044524F" w:rsidRDefault="00BB6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 пулеметным установкам принять шаровые, зенитную установку сделать более выдвижной. </w:t>
      </w:r>
    </w:p>
    <w:p w14:paraId="1C94E827" w14:textId="77777777" w:rsidR="00BB620E" w:rsidRPr="0044524F" w:rsidRDefault="00BB6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дальнейших образцах необходимо: увеличение длины на 50 см без увеличения веса для размещения отделения управления, замена зенитных Максимов 20-мм пулеметом. </w:t>
      </w:r>
    </w:p>
    <w:p w14:paraId="179ACEDA" w14:textId="77777777" w:rsidR="00BB620E" w:rsidRPr="0044524F" w:rsidRDefault="00BB6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Одновременно необходимо разработать вопрос по конструированию съемного сварного корпуса и съемных приспособлений для прикрытия ходовых частей. При этом необходимо сохранить пулеметное вооружение существующего образца, и заменить 76-мм пушку на 45-мм танковую. По окончании работ по переконструированию изготовить новый образец». </w:t>
      </w:r>
    </w:p>
    <w:p w14:paraId="28FE3AE4" w14:textId="77777777" w:rsidR="00BB620E" w:rsidRPr="0044524F" w:rsidRDefault="00BB6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Бронедрезина Ук использовалась как учебная машина до конца 1938 года, после чего ее сняли с вооружения (18626).</w:t>
      </w:r>
    </w:p>
    <w:p w14:paraId="3C26116C" w14:textId="77777777" w:rsidR="00BB620E" w:rsidRPr="0044524F" w:rsidRDefault="00BB620E" w:rsidP="009654CF">
      <w:pPr>
        <w:spacing w:after="0" w:line="240" w:lineRule="auto"/>
        <w:jc w:val="both"/>
        <w:rPr>
          <w:rFonts w:ascii="Times New Roman" w:hAnsi="Times New Roman"/>
          <w:color w:val="000000" w:themeColor="text1"/>
          <w:sz w:val="16"/>
          <w:szCs w:val="16"/>
        </w:rPr>
      </w:pPr>
    </w:p>
    <w:p w14:paraId="1B7738D9"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7CCA3CA"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0B456C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28 января и 3 февраля 1933. Из директивы ЦК ВКП(б) и СНК СССР, 1933 г.</w:t>
      </w:r>
    </w:p>
    <w:p w14:paraId="7170B97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массовых выездах крестьян </w:t>
      </w:r>
    </w:p>
    <w:p w14:paraId="0C8839D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 ЦК ВКП и Совнаркома дошли сведения, что на Кубани и Украине начался массовый выезд крестьян "за хлебом" в Центрально-Черноземную область, на Волгу, Московскую обл., Западную обл., Белоруссию (районы, охваченные голодом.— "Власть"). ЦК ВКП и Совнарком СССР не сомневаются, что этот выезд крестьян, как и выезд из Украины в прошлом году, организован врагами Советской власти, эсерами и агентами Польши с целью агитации "через крестьян" против колхозов и вообще против Советской власти. В прошлом году партийные, советские и чекистские органы Украины прозевали эту контрреволюционную затею врагов Советской власти. В этом году не может быть допущено повторение прошлогодней ошибки. </w:t>
      </w:r>
    </w:p>
    <w:p w14:paraId="6120A42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Первое. ЦК ВКП и Совнарком СССР предписывают крайкому, крайисполкому и ПП ОГПУ Северного Кавказа не допускать массовый выезд крестьян из Северного Кавказа... </w:t>
      </w:r>
    </w:p>
    <w:p w14:paraId="3C4585D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Второе. ЦК ВКП и Совнарком предписывают ЦК КП(б)У, Укрсовнаркому, Балицкому и Реденсу не допускать массовый выезд крестьян из Украины... </w:t>
      </w:r>
    </w:p>
    <w:p w14:paraId="522B781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Третье. ЦК ВКП и Совнарком предписывают ПП ОГПУ Московской обл., ЦЧО, Западной обл., Белоруссии, Нижней Волги и Средней Волги арестовывать пробравшихся на север "крестьян" Украины и Северного Кавказа и после того, как будут отобраны контрреволюционные элементы, водворять остальных в места их жительства (11652).</w:t>
      </w:r>
    </w:p>
    <w:p w14:paraId="68AC04E4"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2A44918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28 января и 3 февраля 1933. Из протокола заседания Политбюро N 128, 1933 г.</w:t>
      </w:r>
    </w:p>
    <w:p w14:paraId="23905ED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порядке выдачи мяса в Донбассе </w:t>
      </w:r>
    </w:p>
    <w:p w14:paraId="7493DDD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Предложение о выдаче мяса 3 раза в месяц отклонить, оставив старый порядок выдачи один раз в месяц (11652).</w:t>
      </w:r>
    </w:p>
    <w:p w14:paraId="67B2324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3A3EEDCF"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28 января и 3 февраля 1933. Из протокола заседания Политбюро N 129, 1933 г.</w:t>
      </w:r>
    </w:p>
    <w:p w14:paraId="1B36044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Телеграмма тов. Шеболдаева </w:t>
      </w:r>
    </w:p>
    <w:p w14:paraId="024DF43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Отклонить предложение об организации временного концлагеря на территории Сев. Кавказского края. </w:t>
      </w:r>
    </w:p>
    <w:p w14:paraId="039F1AE8"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Поручить ОГПУ в месячный срок вывезти 30 тыс. осужденных в концлагеря из Сев. Кавказа, предложив в СТО (Комитет Фондов) помочь ОГПУ обмундированием и продовольствием. </w:t>
      </w:r>
    </w:p>
    <w:p w14:paraId="09D7F4D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Согласиться с вселением в станицы, откуда высланы кулацкие семьи, до 3 тысяч демобилизуемых добровольцев-красноармейцев. </w:t>
      </w:r>
    </w:p>
    <w:p w14:paraId="3CD90D0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Поручить ПУРу и ОГПУ (тт. Ягоде и Булину) набрать указанное количество добровольцев и обеспечить их переселение (11652).</w:t>
      </w:r>
    </w:p>
    <w:p w14:paraId="6DD4A45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11B0E99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28 января и 3 февраля 1933. Из протокола заседания Политбюро N 129, 1933 г.</w:t>
      </w:r>
    </w:p>
    <w:p w14:paraId="4AFEB70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Севкавкрайкома </w:t>
      </w:r>
    </w:p>
    <w:p w14:paraId="28C13C1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находящейся в Северо-Кавказском крае сессии Верхсуда окончательно утверждать приговора не только по хищениям, как это предоставлено ей в настоящее время, но и по делам терактов и контрреволюционного саботажа (ст. 58-8 и 58-14) (11652).</w:t>
      </w:r>
    </w:p>
    <w:p w14:paraId="182B64C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53C5C3AA"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4F03263"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DC9F3C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января 1933 в Германии правительство К. фон Шлейхера ушло в отставку, не сумев примирить центристов и левых (3907,179).</w:t>
      </w:r>
    </w:p>
    <w:p w14:paraId="779AF8A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0F412DC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января 1933 г. Шляйхер подал в отставку. 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528502E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53CE38AE"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9614B58"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4944A8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января 1933 УММ РККА подписало договор N 157430 с московским ремонтным литейно-механическим заводом Можерез о восстановлении двух закупленных в США танков Кристи, именуемых как Оригинал-1 и Оригинал-2. Но завод работал медленно и заказ отменили (3879,15).</w:t>
      </w:r>
    </w:p>
    <w:p w14:paraId="17FC1BE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3DC70DE3" w14:textId="77777777" w:rsidR="009C00B3" w:rsidRPr="0044524F" w:rsidRDefault="009C00B3"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86C944F" w14:textId="77777777" w:rsidR="009C00B3" w:rsidRPr="0044524F" w:rsidRDefault="009C00B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82622F"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20-х числах января 1933 КБ ХПЗ на основании распоряжения УММ РККА получило с завода им. Ворошилова чертежи эллиптической башни (от Т-26), которые были творчески переработаны под установку на БТ-5. Мариупольский завод встретил значительные сложности при внедрении. 30 башен изготовили из конструкционной стали (3880,5).</w:t>
      </w:r>
    </w:p>
    <w:p w14:paraId="5CFD637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440382E2" w14:textId="77777777" w:rsidR="005258EA" w:rsidRPr="0044524F" w:rsidRDefault="005258E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5C0F264" w14:textId="77777777" w:rsidR="005258EA" w:rsidRPr="0044524F" w:rsidRDefault="005258E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D172B4C"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января 1933 ш.</w:t>
      </w:r>
    </w:p>
    <w:p w14:paraId="1CE4BF01"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РГВА Фонд 31811 Опись 3 Дело 186 лист 119а с об. </w:t>
      </w:r>
    </w:p>
    <w:p w14:paraId="0E804C47"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Секретно лит. "А" </w:t>
      </w:r>
    </w:p>
    <w:p w14:paraId="6AFAFB22"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Экз. № 1</w:t>
      </w:r>
    </w:p>
    <w:p w14:paraId="39814229"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02198 </w:t>
      </w:r>
    </w:p>
    <w:p w14:paraId="2ED3EDA5"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апреля 1933 г.</w:t>
      </w:r>
    </w:p>
    <w:p w14:paraId="1350A91D"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Н-КУ НТУ УММ РККА т. ЛЕБЕДЕВУ</w:t>
      </w:r>
    </w:p>
    <w:p w14:paraId="18746CAB"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СВОДКА </w:t>
      </w:r>
    </w:p>
    <w:p w14:paraId="45799943"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СОСТОЯНИИ ОПЫТНО-КОНСТР. РАБОТ НА ХПЗ на 30-е апреля 1933 года.</w:t>
      </w:r>
    </w:p>
    <w:p w14:paraId="64F98192"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1. По установке мотора М17 на танке БТ-5. </w:t>
      </w:r>
    </w:p>
    <w:p w14:paraId="52EC9CE6"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Проектные сборочные чертежи (продольный и поперечный разрезы) вышли из светокопии, Пояснительная записка с письмом готовы. Указанные материалы находятся у главного инженера и будут направлены в НТУ для представления Вам на утверждение в первых числах мая с/г. </w:t>
      </w:r>
    </w:p>
    <w:p w14:paraId="5A4BFBBE"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По установке 76 мм. пушки на БТ. </w:t>
      </w:r>
    </w:p>
    <w:p w14:paraId="3005A036"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общему карандашному проекту башни (см. сводку от 22 апреля) добавилась отдельная разработка укладки в башне. 18 патронов укладываются в особом вращающемся на оси барабане. При движении танка снаряды лишены всякой возможности выпадать от каких бы то ни было усилий. Выем же снарядов сопровождается обязательным поворотом барабана на 30° и приложением усилия. Расположение снарядов в смысле скорости заряжания пушки и удобства обслуживания удачно. По приблизительному подсчету для выема снарядов приходится прикладывать следующие максимальные усилия в начале поворота барабана: </w:t>
      </w:r>
    </w:p>
    <w:p w14:paraId="62DFF894"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1-й снаряд с места без усилий </w:t>
      </w:r>
    </w:p>
    <w:p w14:paraId="4550321D"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2-й и 3-й снаряд с усилием в 3 клг. </w:t>
      </w:r>
    </w:p>
    <w:p w14:paraId="309F4F0A"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4-й снаряд с усилием в 7 клг. </w:t>
      </w:r>
    </w:p>
    <w:p w14:paraId="6AA7F791"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5-й и 6-й снаряд с усилием в 12 клг. </w:t>
      </w:r>
    </w:p>
    <w:p w14:paraId="48D153B6"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7-й снаряд с усилием в 19 клг. </w:t>
      </w:r>
    </w:p>
    <w:p w14:paraId="21854563"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8-й и 9-й снаряд с усилием в 22 клг. </w:t>
      </w:r>
    </w:p>
    <w:p w14:paraId="10C39965"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10-й снаряд с усилием в 36 клг. </w:t>
      </w:r>
    </w:p>
    <w:p w14:paraId="3AE07489"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11-й и 12-й снаряд с усилием в 20 клг. </w:t>
      </w:r>
    </w:p>
    <w:p w14:paraId="4FE37220"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13-й снаряд с усилием в 18 клг. </w:t>
      </w:r>
    </w:p>
    <w:p w14:paraId="639E24F7"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14-й и 15-й снаряд с усилием в 11 клг. </w:t>
      </w:r>
    </w:p>
    <w:p w14:paraId="44FD14C9"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16-й снаряд с усилием в 5 клг. </w:t>
      </w:r>
    </w:p>
    <w:p w14:paraId="3C1342EE"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17-й и 18-й снаряд с усилием от 0 до 5 клг. </w:t>
      </w:r>
    </w:p>
    <w:p w14:paraId="49FB6B1E"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отношении корпуса за последнюю декаду конструктивных разработок не увеличилось. Все работы сводятся ко всяким переделкам макетов носа машины с целью: </w:t>
      </w:r>
    </w:p>
    <w:p w14:paraId="4D4942C0"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увеличения боевого помещения, </w:t>
      </w:r>
    </w:p>
    <w:p w14:paraId="0E92AC53"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улучшения удобства обслуживания (вождения), </w:t>
      </w:r>
    </w:p>
    <w:p w14:paraId="2BE9A733"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улучшения видимости из танка, </w:t>
      </w:r>
    </w:p>
    <w:p w14:paraId="3DC00819"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 улучшения формы носа. </w:t>
      </w:r>
    </w:p>
    <w:p w14:paraId="0B03863F"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По 71ТК и 72ТК. </w:t>
      </w:r>
    </w:p>
    <w:p w14:paraId="2141C63A"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Состояние работ в сравнении с положением, указанным в сводке от 22-го апреля почти не изменилось. Работы проходят крайне медленно. Отношение администрации к этим работам прежнее. Считал бы необходимым ускорить пожелание, выраженное мною в письме от 5-го апреля № 02194-к. </w:t>
      </w:r>
    </w:p>
    <w:p w14:paraId="735E6068"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По разработке опытного заказа № 157484 от 10-го февраля 1933 г. </w:t>
      </w:r>
    </w:p>
    <w:p w14:paraId="06A55E9C"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Первый опытный образец дизель-мотора БД-2, после окончательной сборки и установки на станде, был в ночь с 28-го на 29-е апреля подвергнут началу обкатки от постороннего двигателя (тихоходный дизель RK-30) через бортовой фрикцион и коробку скоростей машины БТ. В течение 4-х смен по 30-е апреля БД-2 был подвергнут обкатке без компрессии и с компрессией общей продолжительностью около 11-и часов при оборотах БД-2 – 500 в минуту за 25 пусков и наибольшей продолжительностью одного пуска – 2,5 часа. </w:t>
      </w:r>
    </w:p>
    <w:p w14:paraId="112B3EA6"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настоящее время сняты головки двигателя, производится общий осмотр и устранение имеющихся отдельных дефектов (течь воды, пропуск воздуха и т.п.). </w:t>
      </w:r>
    </w:p>
    <w:p w14:paraId="430F0DB8"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К разработке опытного заказа № 157248 об изготовлении мелкозвенчатой гусеницы для танка БТ не приступлено. </w:t>
      </w:r>
    </w:p>
    <w:p w14:paraId="338E1427"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Копия основных данных БД-2 на 4-х листах.</w:t>
      </w:r>
    </w:p>
    <w:p w14:paraId="6CA7DA82"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военпред по опытно-констр. работам подпись (Кинсбургский)</w:t>
      </w:r>
    </w:p>
    <w:p w14:paraId="7E768BDC"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Отп. в 2-х экз. </w:t>
      </w:r>
    </w:p>
    <w:p w14:paraId="24E060A6"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РГВА Фонд 31811 Опись 3 Дело 186 лист 120а – 123а </w:t>
      </w:r>
    </w:p>
    <w:p w14:paraId="4EE87F2B"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Секретно </w:t>
      </w:r>
    </w:p>
    <w:p w14:paraId="48637DAC"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Копия</w:t>
      </w:r>
    </w:p>
    <w:p w14:paraId="2BD8FC4A"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Основные данные двигателя БД-2 </w:t>
      </w:r>
    </w:p>
    <w:p w14:paraId="3E535D54" w14:textId="77777777" w:rsidR="005258EA" w:rsidRPr="0044524F" w:rsidRDefault="005258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военпред по опытно-констр. работам подпись (Кинсбургский) (24882).</w:t>
      </w:r>
    </w:p>
    <w:p w14:paraId="1F302D12" w14:textId="77777777" w:rsidR="005258EA" w:rsidRPr="0044524F" w:rsidRDefault="005258EA" w:rsidP="009654CF">
      <w:pPr>
        <w:spacing w:after="0" w:line="240" w:lineRule="auto"/>
        <w:jc w:val="both"/>
        <w:rPr>
          <w:rFonts w:ascii="Times New Roman" w:hAnsi="Times New Roman"/>
          <w:color w:val="000000" w:themeColor="text1"/>
          <w:sz w:val="16"/>
          <w:szCs w:val="16"/>
        </w:rPr>
      </w:pPr>
    </w:p>
    <w:p w14:paraId="7FDE9802"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97A909F"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0ADC0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30 января по 4 марта 1933 японские войска захватили китайскую провинцию Жэхэ (3186).</w:t>
      </w:r>
    </w:p>
    <w:p w14:paraId="51A8088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365D0DC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января 1933 г. президент Германии фельдмаршал Пауль фон Гинденбург поручил Гитлеру сформировать коалиционное правительство. Численное большинство в нем принадлежало умеренным националистам, но нацисты получили легальный доступ к пропаганде и контроль над репрессивными органами (3871).</w:t>
      </w:r>
    </w:p>
    <w:p w14:paraId="2AE624C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кабинете было только два представителя нацистов: министр без портфеля Г.Геринг и МВД В.Фрик. фон Паппен стал вице-канцлером (3907,179).</w:t>
      </w:r>
    </w:p>
    <w:p w14:paraId="5A1D6A1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357CBE7E" w14:textId="77777777" w:rsidR="003E25C3" w:rsidRPr="0044524F" w:rsidRDefault="003E25C3"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bCs/>
          <w:color w:val="000000" w:themeColor="text1"/>
          <w:sz w:val="16"/>
          <w:szCs w:val="16"/>
        </w:rPr>
        <w:t>Утром в понедельник, 30 января 1933, Гитлер прибыл в президентский дворец в сопровождении Папена, Гугенберга, друзей-партийцев Флика и Геринга и прочих деятелей — словом, со свитой потенциальных министров. Сотрудники «коричневого дома» сидели в кабинетах без дела, не в силах заниматься повседневной работой. Партия никогда не была так близка к власти. Пытаясь погасить нервное напряжение, они выглядывали в окна и видели все тот же противный пасмурный зимний день и понурых прохожих, не задумывавшихся, что в эти часы решались их судьбы. Ровно в полдень раздался звонок из Берлина, положивший конец волнениям: Гитлер стал канцлером. По зданию загромыхали сапоги, захлопали двери, весть разносилась по «коричневому дому», вздымая шквал ликования, радостного смеха, объятий, рукопожатий, заставляя забыть о соперничестве и вражде. Они победили! Пора браться за дело!»(17325).</w:t>
      </w:r>
    </w:p>
    <w:p w14:paraId="0DA4A717" w14:textId="77777777" w:rsidR="003E25C3" w:rsidRPr="0044524F" w:rsidRDefault="003E25C3" w:rsidP="009654CF">
      <w:pPr>
        <w:spacing w:after="0" w:line="240" w:lineRule="auto"/>
        <w:jc w:val="both"/>
        <w:rPr>
          <w:rFonts w:ascii="Times New Roman" w:hAnsi="Times New Roman"/>
          <w:color w:val="000000" w:themeColor="text1"/>
          <w:sz w:val="16"/>
          <w:szCs w:val="16"/>
        </w:rPr>
      </w:pPr>
    </w:p>
    <w:p w14:paraId="00AAE37E"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6E60CD9"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287C3E4"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января 1933 вышло Постановление ЦИК СССР "Об укреплении колхозов" (10687).</w:t>
      </w:r>
    </w:p>
    <w:p w14:paraId="1D72C5B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5717C6AF"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62E132C"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0A25287"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30 января</w:t>
      </w:r>
      <w:r w:rsidRPr="0044524F">
        <w:rPr>
          <w:rFonts w:ascii="Times New Roman" w:hAnsi="Times New Roman"/>
          <w:color w:val="000000" w:themeColor="text1"/>
          <w:sz w:val="16"/>
          <w:szCs w:val="16"/>
        </w:rPr>
        <w:t xml:space="preserve"> в 1933 году впервые поднялся в воздух прототипсреднего транспортного самолета </w:t>
      </w:r>
      <w:hyperlink r:id="rId51" w:tgtFrame="_blank" w:history="1">
        <w:r w:rsidRPr="0044524F">
          <w:rPr>
            <w:rFonts w:ascii="Times New Roman" w:hAnsi="Times New Roman"/>
            <w:color w:val="000000" w:themeColor="text1"/>
            <w:sz w:val="16"/>
            <w:szCs w:val="16"/>
          </w:rPr>
          <w:t xml:space="preserve">«Curtiss» «Т-32», </w:t>
        </w:r>
      </w:hyperlink>
      <w:r w:rsidRPr="0044524F">
        <w:rPr>
          <w:rFonts w:ascii="Times New Roman" w:hAnsi="Times New Roman"/>
          <w:color w:val="000000" w:themeColor="text1"/>
          <w:sz w:val="16"/>
          <w:szCs w:val="16"/>
        </w:rPr>
        <w:t>позже ставшей известной как "Condor II". Фирма «Curtiss» под руководством конструктора Джорджа Пейджа (George Page) взяв за основу схему «Curtiss CO», создав новое крыло, облагородив аэродинамику фюзеляжа, улучшив звукоизоляцию пассажирского салона, сделав шасси убираемым, заменив жидкостные двигатели «Curtiss Conqueror» на звёздообразные» Wright Cyclone» создали «Curtiss» «Т-32» "Condor II". Все доработки позволили, несмотря на бипланную схему, существенно увеличить скорость новой машины. 23 марта 1933 года машина была передана заказчику, всего был изготовлен 21 самолёт модификации «T-32» (15025).</w:t>
      </w:r>
    </w:p>
    <w:p w14:paraId="1E44F331" w14:textId="77777777" w:rsidR="00991BE3" w:rsidRPr="0044524F" w:rsidRDefault="00991BE3" w:rsidP="009654CF">
      <w:pPr>
        <w:spacing w:after="0" w:line="240" w:lineRule="auto"/>
        <w:jc w:val="both"/>
        <w:rPr>
          <w:rFonts w:ascii="Times New Roman" w:hAnsi="Times New Roman"/>
          <w:color w:val="000000" w:themeColor="text1"/>
          <w:sz w:val="16"/>
          <w:szCs w:val="16"/>
        </w:rPr>
      </w:pPr>
    </w:p>
    <w:p w14:paraId="7A37C0E3" w14:textId="77777777" w:rsidR="00E371D8" w:rsidRPr="0044524F" w:rsidRDefault="00E371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января 1933 состоялся первый полет Curtiss T-32 Condor II (20802).</w:t>
      </w:r>
    </w:p>
    <w:p w14:paraId="47EFBAC7" w14:textId="77777777" w:rsidR="00E371D8" w:rsidRPr="0044524F" w:rsidRDefault="00E371D8" w:rsidP="009654CF">
      <w:pPr>
        <w:spacing w:after="0" w:line="240" w:lineRule="auto"/>
        <w:jc w:val="both"/>
        <w:rPr>
          <w:rFonts w:ascii="Times New Roman" w:hAnsi="Times New Roman"/>
          <w:color w:val="000000" w:themeColor="text1"/>
          <w:sz w:val="16"/>
          <w:szCs w:val="16"/>
        </w:rPr>
      </w:pPr>
    </w:p>
    <w:p w14:paraId="563252E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января 1933 - А.Гитлер стал рейхсканцлером. 4 февраля - встретился с руководителями армии и флота (78,50). Назначил президент Гинденбург (2242,1).</w:t>
      </w:r>
    </w:p>
    <w:p w14:paraId="63A23E6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6241E0BE" w14:textId="77777777" w:rsidR="009C00B3" w:rsidRPr="0044524F" w:rsidRDefault="009C00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(18265).</w:t>
      </w:r>
    </w:p>
    <w:p w14:paraId="1457D09D" w14:textId="77777777" w:rsidR="009C00B3" w:rsidRPr="0044524F" w:rsidRDefault="009C00B3" w:rsidP="009654CF">
      <w:pPr>
        <w:spacing w:after="0" w:line="240" w:lineRule="auto"/>
        <w:jc w:val="both"/>
        <w:rPr>
          <w:rFonts w:ascii="Times New Roman" w:hAnsi="Times New Roman"/>
          <w:color w:val="000000" w:themeColor="text1"/>
          <w:sz w:val="16"/>
          <w:szCs w:val="16"/>
        </w:rPr>
      </w:pPr>
    </w:p>
    <w:p w14:paraId="07EAC69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30 января 1933 г. Гинденбург в конце концов поручил сформировать правительство Гитлеру. Пост вице-канцлера в правительстве «национальной концентрации» получил Папен, одно из доверенных лиц 85-летнего президента Гинденбурга; военным министром был назначен Бломберг. Казалось, откровенно антисоветский настрой правительств Брюнинга и Папена должны были заставить Сталина, Молотова, Ворошилова, Рыкова и других в Москве коренным образом пересмотреть вопрос о продолжении военного сотрудничества с Германией, заблаговременно заняться поиском альтернативных вариантов повышения потенциала РККА и начать постепенный отход от односторонней ориентации на Германию в вопросах военного, военно-промышленного и сугубо экономического строительства. Однако, по сути, этого не произошло. И хотя, как заявлял в свое время Радек, Москва не намеревалась отдавать военную промышленность под контроль Германии и советские оборонщики в поисках лучших образцов вооружения колесили тогда по всей Европе и Америке, тем не менее Германия продолжала оставаться приоритетным </w:t>
      </w:r>
      <w:r w:rsidRPr="0044524F">
        <w:rPr>
          <w:rFonts w:ascii="Times New Roman" w:hAnsi="Times New Roman"/>
          <w:color w:val="000000" w:themeColor="text1"/>
          <w:sz w:val="16"/>
          <w:szCs w:val="16"/>
        </w:rPr>
        <w:lastRenderedPageBreak/>
        <w:t>партнером в стратегических расчетах Москвы. Об этом свидетельствуют как довольно стабильное сотрудничество по всем направлениям, так и такой, несколько необычный факт, как интервью Сталина германскому писателю Эмилю Людвигу 13 декабря 1931 г., когда, отвечая на вопрос о «преклонении перед всем американским» в СССР, Сталин сказал: «&lt;„. &gt; если уж говорить о наших симпатиях к какой-либо нации, или вернее к большинству какой-либо нации, то, конечно, надо говорить о наших симпатиях к немцам. С этими симпатиями не сравнить наших чувств к американцам». И чуть дальше, на вопрос, не будет ли политика традиционной дружбы СССР и Германии оттеснена на задний план в связи с переговорами СССР с Польшей, Сталин четко и однозначно заявил: «Наши дружественные отношения к Германии остаются такими же, какими они были до сих пор. Таково мое твердое убеждение» (Сталин И.В. Соч. T. 13. M., 1951. C. 114-117.). Причиной этого служило как стойкое германофильство политического и военного руководства СССР (Сталин, Молотов, Рыков, Радек, Ворошилов, Егоров, Уборевич, Тухачевский, Крестинский), так и наличие мощного просоветского (вернее было бы сказать, прорусского) лобби в германском генералитете, оказывавшего в этом вопросе сильное влияние на президента Германии фельдмаршала Гинденбурга, посвященного во все детали двустороннего военного сотрудничества. Кроме того, в правительстве Папена (4 июня — 17 ноября 1932 г. ) военным министром стал генерал Шляйхер, сменив на этом посту Гренера, у которого он считался незаменимым советником по политическим вопросам. Пожалуй, именно Шляйхер, являвшийся наиболее колоритной фигурой в руководящих кругах райхсвера после отставки Зекта и, как и Зект, имевший непосредственный доступ к Гинденбургу, виделся в Москве как достаточный и стабильный гарант прочных военных и военно-политических связей Германии и СССР (1784).</w:t>
      </w:r>
    </w:p>
    <w:p w14:paraId="54D25BF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251FC26B" w14:textId="77777777" w:rsidR="00991BE3" w:rsidRPr="0044524F" w:rsidRDefault="00991B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30 января</w:t>
      </w:r>
      <w:r w:rsidRPr="0044524F">
        <w:rPr>
          <w:rFonts w:ascii="Times New Roman" w:hAnsi="Times New Roman"/>
          <w:color w:val="000000" w:themeColor="text1"/>
          <w:sz w:val="16"/>
          <w:szCs w:val="16"/>
        </w:rPr>
        <w:t xml:space="preserve"> в 1933 году Адольф Гитлер провозглашен рейхсканцлером. Президент Гинденбург поручил Гитлеру формирование правительства. Это событие было отмечено факельным шествием СА через Бранденбургские ворота. Гитлер - главный нацистский военный преступник, главарь германского фашизма. Во время первой мировой войны ефрейтор кайзеровской армии. В 1919 году вступил в Германскую рабочую партию, а затем изгнал старое руководство и переименовал ее в Национал-Социалистскую Рабочую Партию Германии (НСДАП). В ноябре 1923 года попытался вооруженным путем захватить власть в Баварии, но после провала путча оказался в тюрьме. Написал при содействии своего помощника Гесса книгу «Майн кампф» («Моя борьба»), в которой проповедовал антикоммунизм, расизм и милитаризм, излагал программу германского фашизма: война за «жизненное пространство» на Востоке и установление мирового господства германского империализма. 30 января 1933 года при поддержке монополистической буржуазии и реакционной военщины стал рейхсканцлером. Установил в Германии режим открытой нацистской диктатуры, развернул кровавый террор против антифашистов. 1 августа 1934 года объединил в качестве «фюрера и рейхсканцлера» посты президента и рейхсканцлера, сосредоточив в своих руках всю законодательную, исполнительную и судебную власть. Разжигая реваншизм, пропагандируя теорию расового превосходства немцев, Гитлер превратил Германию в военный лагерь, создал массовую армию. Осуществил фактически вооруженную интервенцию против Испанской республики (1936-1939), захватил Австрию (1938), а в 1938-1939 годах - Чехословакию. Создав блок стран-агрессоров (Германия, Япония, Италия), Гитлер развязал вторую мировую войну и оккупировал почти всю Западную Европу. 25 мая 1940 года Гитлер утвердил генеральный план «Ост», предусматривающий уничтожение десятков миллионов людей на территориях Восточной Европы и Советского Союза. В марте 1941 года определил главными задачами в войне против СССР уничтожение Советского государства, порабощение советского народа; предписал бесчеловечные методы ведения этой войны. 22 июня 1941 года по приказу Гитлера фашистские войска вероломно напали на СССР. После провала планов «молниеносной войны» стал главнокомандующим германской сухопутной армии в декабре 1941 года. В 1945 году, в условиях разгрома фашистской Германии, развала фашистского государства и вступления советских войск в Берлин, покончил жизнь самоубийством в подземелье берлинской имперской канцелярии (15025).</w:t>
      </w:r>
    </w:p>
    <w:p w14:paraId="4E723D9D" w14:textId="77777777" w:rsidR="00991BE3" w:rsidRPr="0044524F" w:rsidRDefault="00991BE3" w:rsidP="009654CF">
      <w:pPr>
        <w:spacing w:after="0" w:line="240" w:lineRule="auto"/>
        <w:jc w:val="both"/>
        <w:rPr>
          <w:rFonts w:ascii="Times New Roman" w:hAnsi="Times New Roman"/>
          <w:color w:val="000000" w:themeColor="text1"/>
          <w:sz w:val="16"/>
          <w:szCs w:val="16"/>
        </w:rPr>
      </w:pPr>
    </w:p>
    <w:p w14:paraId="0FB29976" w14:textId="77777777" w:rsidR="000D4A20"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1B60D25" w14:textId="77777777" w:rsidR="000D4A20" w:rsidRPr="0044524F" w:rsidRDefault="000D4A20"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DD55403" w14:textId="77777777" w:rsidR="007E4B5E" w:rsidRPr="0044524F" w:rsidRDefault="007E4B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января 1933 года Всесоюзный комитет по радиовещанию был выделен из НКПТ СССР как Всесоюзный комитет по радиофикации и радиовещанию при Совете Народных Комиссаров СССР (впоследствии многократно переименовывался, который в этом же году начал производство собственных передач, что означало появление первого в СССР радиоканала — Всесоюзное радио.</w:t>
      </w:r>
    </w:p>
    <w:p w14:paraId="4C04BAAD" w14:textId="77777777" w:rsidR="007E4B5E" w:rsidRPr="0044524F" w:rsidRDefault="007E4B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Всесоюзное радио начало вещание на длинных (ДВ) и средних волнах (СВ), во всех областях (кроме Московской, в которой совместно с Москвой действовала Главная редакция программ для Москвы и Московской области, и Ленинградской), краях и союзных республиках.</w:t>
      </w:r>
    </w:p>
    <w:p w14:paraId="6C7A528A" w14:textId="77777777" w:rsidR="007E4B5E" w:rsidRPr="0044524F" w:rsidRDefault="007E4B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Ленинграде (совместно с Ленинградской областью) были созданы областные комитеты по радиофикации и радиовещанию (с 1957 года — комитеты по радиовещанию и телевидению при исполнительных комитетах областных (краевых, в Ленинграде — городского) советах депутатов трудящихся), вещавших в «региональных окнах» Всесоюзного радио.</w:t>
      </w:r>
    </w:p>
    <w:p w14:paraId="2BBD7437" w14:textId="77777777" w:rsidR="007E4B5E" w:rsidRPr="0044524F" w:rsidRDefault="007E4B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этот период Всесоюзное радио было единственным в России внутринациональным радиоканалом, наряду с которым в России вещали только иновещательные радиоканалы иностранных государственных радиокомпаний, доступных на коротких волнах.</w:t>
      </w:r>
    </w:p>
    <w:p w14:paraId="1E203408" w14:textId="77777777" w:rsidR="007E4B5E" w:rsidRPr="0044524F" w:rsidRDefault="007E4B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Вещание шло через стационарные двух- или трёх диапазонные радиоприёмники (СВ и ДВ или СВ, ДВ и КВ) или через громкоговорители местной радиотрансляционной сети.</w:t>
      </w:r>
    </w:p>
    <w:p w14:paraId="5478C669" w14:textId="77777777" w:rsidR="007E4B5E" w:rsidRPr="0044524F" w:rsidRDefault="007E4B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Запущен радиопередатчик мощностью 500 кВт — самый мощный в мире (23318).</w:t>
      </w:r>
    </w:p>
    <w:p w14:paraId="38608A21" w14:textId="77777777" w:rsidR="007E4B5E" w:rsidRPr="0044524F" w:rsidRDefault="007E4B5E" w:rsidP="009654CF">
      <w:pPr>
        <w:spacing w:after="0" w:line="240" w:lineRule="auto"/>
        <w:jc w:val="both"/>
        <w:rPr>
          <w:rFonts w:ascii="Times New Roman" w:hAnsi="Times New Roman"/>
          <w:color w:val="000000" w:themeColor="text1"/>
          <w:sz w:val="16"/>
          <w:szCs w:val="16"/>
        </w:rPr>
      </w:pPr>
    </w:p>
    <w:p w14:paraId="50233702" w14:textId="77777777" w:rsidR="000D4A20" w:rsidRPr="0044524F" w:rsidRDefault="000D4A20" w:rsidP="009654CF">
      <w:pPr>
        <w:pStyle w:val="rtejustify"/>
        <w:spacing w:before="0" w:after="0"/>
        <w:rPr>
          <w:color w:val="000000" w:themeColor="text1"/>
          <w:sz w:val="16"/>
          <w:szCs w:val="16"/>
        </w:rPr>
      </w:pPr>
      <w:r w:rsidRPr="0044524F">
        <w:rPr>
          <w:rStyle w:val="af0"/>
          <w:bCs/>
          <w:i w:val="0"/>
          <w:color w:val="000000" w:themeColor="text1"/>
          <w:sz w:val="16"/>
          <w:szCs w:val="16"/>
        </w:rPr>
        <w:t>31 января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«Об утверждении проекта подводной лодки «Щука Б»». (РГВА. Ф. 4. Оп. 18. Д. 23. Л. 29</w:t>
      </w:r>
      <w:r w:rsidRPr="0044524F">
        <w:rPr>
          <w:color w:val="000000" w:themeColor="text1"/>
          <w:sz w:val="16"/>
          <w:szCs w:val="16"/>
        </w:rPr>
        <w:noBreakHyphen/>
        <w:t>30) (15461).</w:t>
      </w:r>
    </w:p>
    <w:p w14:paraId="72021726" w14:textId="77777777" w:rsidR="000D4A20" w:rsidRPr="0044524F" w:rsidRDefault="000D4A20" w:rsidP="009654CF">
      <w:pPr>
        <w:pStyle w:val="rtejustify"/>
        <w:spacing w:before="0" w:after="0"/>
        <w:rPr>
          <w:rStyle w:val="af0"/>
          <w:bCs/>
          <w:i w:val="0"/>
          <w:color w:val="000000" w:themeColor="text1"/>
          <w:sz w:val="16"/>
          <w:szCs w:val="16"/>
        </w:rPr>
      </w:pPr>
    </w:p>
    <w:p w14:paraId="553EFB53"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C3C75FE"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6877F1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января 1933 во Франции после падения кабинета Жозефа Поль-Бонкура премьер-министром стал Эдуард Деладье (3186).</w:t>
      </w:r>
    </w:p>
    <w:p w14:paraId="772486D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4F554031" w14:textId="77777777" w:rsidR="007C00E8" w:rsidRPr="0044524F" w:rsidRDefault="007C00E8"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31 января 1933 года, на следующий после назначения Гитлера канцлером день, Геббельс записал в своем дневнике: "На совещании у фюрера мы разработали план борьбы с красным террором. В данный момент мы воздержимся от прямых контрмер. Из попытки большевистской революции сначала должно возгореться пламя. В нужный момент мы нанесем удар" (17283).</w:t>
      </w:r>
    </w:p>
    <w:p w14:paraId="148C753D" w14:textId="77777777" w:rsidR="007C00E8" w:rsidRPr="0044524F" w:rsidRDefault="007C00E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B7A6C0A"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28FB564"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E2E9D9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января 1933 после обращения к П.И.Баранову С.В.Ильюшин и сам стал начальником бригады, в которой было всего 7, а по (8,8) - 6 специалистов (С.М.Егер, В.В.Никитин, В.В.Калинин - тот самый, что делал АК-1 по заказу Наркомтяжпрома с В.Л.Александровым, С.Н.Черников, З.З.Жевагина, А.Я.Левин, А.А.Сеньков) (24,61).</w:t>
      </w:r>
    </w:p>
    <w:p w14:paraId="0D61532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Конструкторский и директорский почерк С.В.Ильюшина был еще тот: комсомольско-молодежные бригады, статьи в стенгазете и т.п., многотиражка "Менжинец" (24,80).</w:t>
      </w:r>
    </w:p>
    <w:p w14:paraId="69C08F3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1B43B8E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января 1933 года в качестве макета на лодке самолета С62 бис была выполнена установка макета нового двигателя, что показало необходимость конструктивных переделок (установка направлена на завод № 31 для осуществления на готовом самолете) (3530,91).</w:t>
      </w:r>
    </w:p>
    <w:p w14:paraId="10185F8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1215F5C5" w14:textId="77777777" w:rsidR="002E2835" w:rsidRPr="0044524F" w:rsidRDefault="002E2835"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В конце января 1933 года руководство ГУАП и ЦАГИ обратилось с письмом к Начальнику ВВС РККА Я. И. Алкснису, в котором отмечалось, что:</w:t>
      </w:r>
    </w:p>
    <w:p w14:paraId="6F8248BA" w14:textId="77777777" w:rsidR="002E2835" w:rsidRPr="0044524F" w:rsidRDefault="002E2835"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С момента утверждения Правительством плана опытного строительства (c 4.07.32) прошло полгода и несмотря на неоднократные с нашей стороны просьбы, лицо ряда самолетов совершенно не выяснено, а это не дает возможность развернуть конструкторские работы полностью. …</w:t>
      </w:r>
    </w:p>
    <w:p w14:paraId="742CF051" w14:textId="77777777" w:rsidR="002E2835" w:rsidRPr="0044524F" w:rsidRDefault="002E2835"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…8. По самолету И-13 срок его выхода на испытание назначен на 1.06.33. Лицо машины определено только лишь 30 декабря 1932 года. По полученным техническим требованиям, ЦАГИ должен начать проектировать новый самолет, т.к. вся работа, проводимая им по этому самолету (вариант развития И-8) не может быть использована по прямому назначению.</w:t>
      </w:r>
    </w:p>
    <w:p w14:paraId="7B0C513A" w14:textId="77777777" w:rsidR="002E2835" w:rsidRPr="0044524F" w:rsidRDefault="002E2835"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Срок изготовления И-13 М-32 по Вашим техтребованиям будет 1.12.33. …» (19177).</w:t>
      </w:r>
    </w:p>
    <w:p w14:paraId="22951D60" w14:textId="77777777" w:rsidR="002E2835" w:rsidRPr="0044524F" w:rsidRDefault="002E2835" w:rsidP="009654CF">
      <w:pPr>
        <w:pStyle w:val="ae"/>
        <w:shd w:val="clear" w:color="auto" w:fill="FFFFFF"/>
        <w:spacing w:before="0" w:after="0"/>
        <w:jc w:val="both"/>
        <w:textAlignment w:val="baseline"/>
        <w:rPr>
          <w:color w:val="000000" w:themeColor="text1"/>
          <w:sz w:val="16"/>
          <w:szCs w:val="16"/>
        </w:rPr>
      </w:pPr>
    </w:p>
    <w:p w14:paraId="4D94B6BA"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D32E904"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240811E" w14:textId="77777777" w:rsidR="00553C91" w:rsidRPr="00142305" w:rsidRDefault="00553C91" w:rsidP="00553C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 в НИИ ВВС предприняли попытку улучшить летно-технические данные бомбардировщика ТБ-3. Прежде всего обратили внимание на силовую установку. Увеличили опе</w:t>
      </w:r>
      <w:r w:rsidRPr="00142305">
        <w:rPr>
          <w:rFonts w:ascii="Times New Roman" w:hAnsi="Times New Roman"/>
          <w:color w:val="0070C0"/>
          <w:sz w:val="16"/>
          <w:szCs w:val="16"/>
        </w:rPr>
        <w:softHyphen/>
        <w:t>режение зажигания и уточнили инструкцию по пользованию высотным корректором двига</w:t>
      </w:r>
      <w:r w:rsidRPr="00142305">
        <w:rPr>
          <w:rFonts w:ascii="Times New Roman" w:hAnsi="Times New Roman"/>
          <w:color w:val="0070C0"/>
          <w:sz w:val="16"/>
          <w:szCs w:val="16"/>
        </w:rPr>
        <w:softHyphen/>
        <w:t>телей М-17. Уменьшили с 460 до 300 кг запас масла и на 518 кг вес пустого, а полетный вес довели до 20 000 кг. При этом бомбовая нагрузка возросла до 3600 кг вместо расчетных 1000 кг Это стало возможным благодаря установке дополнительных держателей Дер-9. 6 августа 1933 года доработанный самолет совершил беспосадочный перелет по маршруту Щелково (ныне аэродром Чкаловская) - Евпатория - Щелково за 15,5 часа. На полигоне в Евпатории сбросили 2500 кг бомб. По остатку горючего сделали вывод: «Самолет допускает при безветрии бомбовую нагрузку 3200 кг при полете на радиус 1200 км и 2000 кг при полете на радиус 1500 км» (24991).</w:t>
      </w:r>
    </w:p>
    <w:p w14:paraId="5FA64AA4" w14:textId="77777777" w:rsidR="00553C91" w:rsidRPr="00142305" w:rsidRDefault="00553C91" w:rsidP="00553C91">
      <w:pPr>
        <w:spacing w:after="0" w:line="240" w:lineRule="auto"/>
        <w:jc w:val="both"/>
        <w:rPr>
          <w:rFonts w:ascii="Times New Roman" w:hAnsi="Times New Roman"/>
          <w:color w:val="0070C0"/>
          <w:sz w:val="16"/>
          <w:szCs w:val="16"/>
        </w:rPr>
      </w:pPr>
    </w:p>
    <w:p w14:paraId="03DBE83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были утверждены ТТТ к АНТ-20 (2072,66).</w:t>
      </w:r>
    </w:p>
    <w:p w14:paraId="2668C5C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24EB2676" w14:textId="77777777" w:rsidR="008E51C3" w:rsidRPr="0044524F" w:rsidRDefault="008E51C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январе 1933 г. Всесоюз</w:t>
      </w:r>
      <w:r w:rsidRPr="0044524F">
        <w:rPr>
          <w:rFonts w:ascii="Times New Roman" w:hAnsi="Times New Roman"/>
          <w:color w:val="000000" w:themeColor="text1"/>
          <w:sz w:val="16"/>
          <w:szCs w:val="16"/>
          <w:lang w:eastAsia="ru-RU" w:bidi="ru-RU"/>
        </w:rPr>
        <w:softHyphen/>
        <w:t>ный комитет по постройке агитсамолета «Максим Горький» организовал в своем составе Технический совет под председательством начальника Центрального аэрогидродннамического института (ЦАГИ) Н.М. Харламова. Тех</w:t>
      </w:r>
      <w:r w:rsidRPr="0044524F">
        <w:rPr>
          <w:rFonts w:ascii="Times New Roman" w:hAnsi="Times New Roman"/>
          <w:color w:val="000000" w:themeColor="text1"/>
          <w:sz w:val="16"/>
          <w:szCs w:val="16"/>
          <w:lang w:eastAsia="ru-RU" w:bidi="ru-RU"/>
        </w:rPr>
        <w:softHyphen/>
        <w:t>ническому совету предстояло определить «лицо» будущего самолета и разработать технические требования к нему исходя из тех основных задач, которые ему предстояло выполнять в свете решений Комитета, утвержденных 25 января 1933 г. Техсовету также поручили провести кон</w:t>
      </w:r>
      <w:r w:rsidRPr="0044524F">
        <w:rPr>
          <w:rFonts w:ascii="Times New Roman" w:hAnsi="Times New Roman"/>
          <w:color w:val="000000" w:themeColor="text1"/>
          <w:sz w:val="16"/>
          <w:szCs w:val="16"/>
          <w:lang w:eastAsia="ru-RU" w:bidi="ru-RU"/>
        </w:rPr>
        <w:softHyphen/>
        <w:t>курс на лучший проект самолета. В рабо</w:t>
      </w:r>
      <w:r w:rsidRPr="0044524F">
        <w:rPr>
          <w:rFonts w:ascii="Times New Roman" w:hAnsi="Times New Roman"/>
          <w:color w:val="000000" w:themeColor="text1"/>
          <w:sz w:val="16"/>
          <w:szCs w:val="16"/>
          <w:lang w:eastAsia="ru-RU" w:bidi="ru-RU"/>
        </w:rPr>
        <w:softHyphen/>
        <w:t>тах Техсовета приняли участие: ЦАГИ. Центральный институт авиационного моторост роения (ЦИАМ). институт по</w:t>
      </w:r>
      <w:r w:rsidRPr="0044524F">
        <w:rPr>
          <w:rFonts w:ascii="Times New Roman" w:hAnsi="Times New Roman"/>
          <w:color w:val="000000" w:themeColor="text1"/>
          <w:sz w:val="16"/>
          <w:szCs w:val="16"/>
          <w:lang w:eastAsia="ru-RU" w:bidi="ru-RU"/>
        </w:rPr>
        <w:softHyphen/>
        <w:t>лиграфической промышленности, фото- кин о и н с т и тут, н ау ч н о - и с с л едо вате л ь- ский институт ВВС, известные инженеры и конструкторы.</w:t>
      </w:r>
    </w:p>
    <w:p w14:paraId="6C2F392F" w14:textId="77777777" w:rsidR="008E51C3" w:rsidRPr="0044524F" w:rsidRDefault="008E51C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К этому времени стало очевидным, что одному самолету, пусть и такому ог</w:t>
      </w:r>
      <w:r w:rsidRPr="0044524F">
        <w:rPr>
          <w:rFonts w:ascii="Times New Roman" w:hAnsi="Times New Roman"/>
          <w:color w:val="000000" w:themeColor="text1"/>
          <w:sz w:val="16"/>
          <w:szCs w:val="16"/>
          <w:lang w:eastAsia="ru-RU" w:bidi="ru-RU"/>
        </w:rPr>
        <w:softHyphen/>
        <w:t>ромному, со всеми агитационными дела</w:t>
      </w:r>
      <w:r w:rsidRPr="0044524F">
        <w:rPr>
          <w:rFonts w:ascii="Times New Roman" w:hAnsi="Times New Roman"/>
          <w:color w:val="000000" w:themeColor="text1"/>
          <w:sz w:val="16"/>
          <w:szCs w:val="16"/>
          <w:lang w:eastAsia="ru-RU" w:bidi="ru-RU"/>
        </w:rPr>
        <w:softHyphen/>
        <w:t>ми не справиться. Поэтому Всесоюзный комитет поддержал инициативу журна</w:t>
      </w:r>
      <w:r w:rsidRPr="0044524F">
        <w:rPr>
          <w:rFonts w:ascii="Times New Roman" w:hAnsi="Times New Roman"/>
          <w:color w:val="000000" w:themeColor="text1"/>
          <w:sz w:val="16"/>
          <w:szCs w:val="16"/>
          <w:lang w:eastAsia="ru-RU" w:bidi="ru-RU"/>
        </w:rPr>
        <w:softHyphen/>
        <w:t>листов о создании специальной агитэс- кадрильи имени Максима Горького. Днем рождения эскадрильи считают 17 марта 1933 г. —день, когда вышел при</w:t>
      </w:r>
      <w:r w:rsidRPr="0044524F">
        <w:rPr>
          <w:rFonts w:ascii="Times New Roman" w:hAnsi="Times New Roman"/>
          <w:color w:val="000000" w:themeColor="text1"/>
          <w:sz w:val="16"/>
          <w:szCs w:val="16"/>
          <w:lang w:eastAsia="ru-RU" w:bidi="ru-RU"/>
        </w:rPr>
        <w:softHyphen/>
        <w:t>каз по Гражданскому Воздушному Флоту (21240).</w:t>
      </w:r>
    </w:p>
    <w:p w14:paraId="6AB1A261" w14:textId="77777777" w:rsidR="008E51C3" w:rsidRPr="0044524F" w:rsidRDefault="008E51C3" w:rsidP="009654CF">
      <w:pPr>
        <w:spacing w:after="0" w:line="240" w:lineRule="auto"/>
        <w:jc w:val="both"/>
        <w:rPr>
          <w:rFonts w:ascii="Times New Roman" w:hAnsi="Times New Roman"/>
          <w:color w:val="000000" w:themeColor="text1"/>
          <w:sz w:val="16"/>
          <w:szCs w:val="16"/>
        </w:rPr>
      </w:pPr>
    </w:p>
    <w:p w14:paraId="71EE9A0B"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 приступили к выработке технических тре</w:t>
      </w:r>
      <w:r w:rsidRPr="00142305">
        <w:rPr>
          <w:rFonts w:ascii="Times New Roman" w:hAnsi="Times New Roman"/>
          <w:color w:val="0070C0"/>
          <w:sz w:val="16"/>
          <w:szCs w:val="16"/>
        </w:rPr>
        <w:softHyphen/>
        <w:t>бований к агитационному самолету МГ. От машины требовалась скорость 220 — 240 км/ч, полезная нагрузку 5000 — 7000 кг, дальность полета не менее 1000 км. Предусматривались сменное шасси (летом — колеса, зимой—лыжи), металлические (а не деревянные) воздушные винты, внутренняя телефонная связь, пневмопочта, отопление кабин, «центральная элект</w:t>
      </w:r>
      <w:r w:rsidRPr="00142305">
        <w:rPr>
          <w:rFonts w:ascii="Times New Roman" w:hAnsi="Times New Roman"/>
          <w:color w:val="0070C0"/>
          <w:sz w:val="16"/>
          <w:szCs w:val="16"/>
        </w:rPr>
        <w:softHyphen/>
        <w:t>ростанция», позволяющая иметь ток при стоянке самолета. Особо оговаривалось применение материалов и оборудова</w:t>
      </w:r>
      <w:r w:rsidRPr="00142305">
        <w:rPr>
          <w:rFonts w:ascii="Times New Roman" w:hAnsi="Times New Roman"/>
          <w:color w:val="0070C0"/>
          <w:sz w:val="16"/>
          <w:szCs w:val="16"/>
        </w:rPr>
        <w:softHyphen/>
        <w:t>ния только отечественного производства. Это было обуслов</w:t>
      </w:r>
      <w:r w:rsidRPr="00142305">
        <w:rPr>
          <w:rFonts w:ascii="Times New Roman" w:hAnsi="Times New Roman"/>
          <w:color w:val="0070C0"/>
          <w:sz w:val="16"/>
          <w:szCs w:val="16"/>
        </w:rPr>
        <w:softHyphen/>
        <w:t>лено пропагандистским назначением АНТ-20. Задание пер</w:t>
      </w:r>
      <w:r w:rsidRPr="00142305">
        <w:rPr>
          <w:rFonts w:ascii="Times New Roman" w:hAnsi="Times New Roman"/>
          <w:color w:val="0070C0"/>
          <w:sz w:val="16"/>
          <w:szCs w:val="16"/>
        </w:rPr>
        <w:softHyphen/>
        <w:t>воначально предусматривало безангарное хранение машины, позже этот пункт из документа изъяли (24977).</w:t>
      </w:r>
    </w:p>
    <w:p w14:paraId="69989C8B" w14:textId="77777777" w:rsidR="008C6458" w:rsidRPr="00142305" w:rsidRDefault="008C6458" w:rsidP="008C6458">
      <w:pPr>
        <w:spacing w:after="0" w:line="240" w:lineRule="auto"/>
        <w:jc w:val="both"/>
        <w:rPr>
          <w:rFonts w:ascii="Times New Roman" w:hAnsi="Times New Roman"/>
          <w:color w:val="0070C0"/>
          <w:sz w:val="16"/>
          <w:szCs w:val="16"/>
        </w:rPr>
      </w:pPr>
    </w:p>
    <w:p w14:paraId="7BDF8EAA"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в связи с организацией на заводе № 39 имени В.Р. Менжинского конструкторского бюро (ЦКБ) под руководством С.В. Ильюши</w:t>
      </w:r>
      <w:r w:rsidRPr="0044524F">
        <w:rPr>
          <w:rFonts w:ascii="Times New Roman" w:hAnsi="Times New Roman"/>
          <w:color w:val="000000" w:themeColor="text1"/>
          <w:sz w:val="16"/>
          <w:szCs w:val="16"/>
        </w:rPr>
        <w:softHyphen/>
        <w:t>на, в него из КОСОС перевели несколько бригад, в том числе и бригаду № 5 Поликарпова, образованную для проектирования и постройки истребителя И-15 в КОСОС ЦАГИ (15823).</w:t>
      </w:r>
    </w:p>
    <w:p w14:paraId="4A710459" w14:textId="77777777" w:rsidR="000D4A20" w:rsidRPr="0044524F" w:rsidRDefault="000D4A20" w:rsidP="009654CF">
      <w:pPr>
        <w:spacing w:after="0" w:line="240" w:lineRule="auto"/>
        <w:jc w:val="both"/>
        <w:rPr>
          <w:rFonts w:ascii="Times New Roman" w:hAnsi="Times New Roman"/>
          <w:color w:val="000000" w:themeColor="text1"/>
          <w:sz w:val="16"/>
          <w:szCs w:val="16"/>
        </w:rPr>
      </w:pPr>
    </w:p>
    <w:p w14:paraId="6CC09615" w14:textId="77777777" w:rsidR="002E2835" w:rsidRPr="0044524F" w:rsidRDefault="002E2835"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В январе 1933 года, в связи с организацией на заводе №39 имени В. Р. Менжинского конструкторского бюро (ЦКБ) под руководством С. В. Ильюшина, в него из КОСОС перевели несколько бригад, в том числе и бригаду Н. Н. Поликарпова (19177).</w:t>
      </w:r>
    </w:p>
    <w:p w14:paraId="334A95F8" w14:textId="77777777" w:rsidR="002E2835" w:rsidRPr="0044524F" w:rsidRDefault="002E2835" w:rsidP="009654CF">
      <w:pPr>
        <w:pStyle w:val="ae"/>
        <w:shd w:val="clear" w:color="auto" w:fill="FFFFFF"/>
        <w:spacing w:before="0" w:after="0"/>
        <w:jc w:val="both"/>
        <w:textAlignment w:val="baseline"/>
        <w:rPr>
          <w:color w:val="000000" w:themeColor="text1"/>
          <w:sz w:val="16"/>
          <w:szCs w:val="16"/>
        </w:rPr>
      </w:pPr>
    </w:p>
    <w:p w14:paraId="4F682C20" w14:textId="77777777" w:rsidR="002E2835" w:rsidRPr="0044524F" w:rsidRDefault="002E28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вышел приказ начальника ГУАП П. И. Баранова о восстановлении имевшегося ранее положения, А. Н. Туполев снова возглавил коллектив АГОС (19727).</w:t>
      </w:r>
    </w:p>
    <w:p w14:paraId="6A71AA14" w14:textId="77777777" w:rsidR="002E2835" w:rsidRPr="0044524F" w:rsidRDefault="002E2835" w:rsidP="009654CF">
      <w:pPr>
        <w:spacing w:after="0" w:line="240" w:lineRule="auto"/>
        <w:jc w:val="both"/>
        <w:rPr>
          <w:rFonts w:ascii="Times New Roman" w:hAnsi="Times New Roman"/>
          <w:color w:val="000000" w:themeColor="text1"/>
          <w:sz w:val="16"/>
          <w:szCs w:val="16"/>
        </w:rPr>
      </w:pPr>
    </w:p>
    <w:p w14:paraId="2596B508"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к моменту переезда ЦКБ из ЦАГИ на завод № 39 в со</w:t>
      </w:r>
      <w:r w:rsidRPr="0044524F">
        <w:rPr>
          <w:rFonts w:ascii="Times New Roman" w:hAnsi="Times New Roman"/>
          <w:color w:val="000000" w:themeColor="text1"/>
          <w:sz w:val="16"/>
          <w:szCs w:val="16"/>
        </w:rPr>
        <w:softHyphen/>
        <w:t>ставе бригады Н.Н.П. было 13 человек. Это, фактически, было второе КБ, сформированное Н.Н. Первое, располагавшееся к 1929 г. на заводе № 25, после его ареста растворилось. К концу жизни Н.Н. в составе его КБ было порядка 200 конструкторов.</w:t>
      </w:r>
    </w:p>
    <w:p w14:paraId="21ABBFBC"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рассматриваемый период КБ меняло производственную базу в 1936, 1938, 1939 и 1940 годах, базируясь преимущественно на серийных заводах, имевших небольшие опыт</w:t>
      </w:r>
      <w:r w:rsidRPr="0044524F">
        <w:rPr>
          <w:rFonts w:ascii="Times New Roman" w:hAnsi="Times New Roman"/>
          <w:color w:val="000000" w:themeColor="text1"/>
          <w:sz w:val="16"/>
          <w:szCs w:val="16"/>
        </w:rPr>
        <w:softHyphen/>
        <w:t>ные производства. Несколько в стороне, но в том же ряду стоит эвакуация в Новоси</w:t>
      </w:r>
      <w:r w:rsidRPr="0044524F">
        <w:rPr>
          <w:rFonts w:ascii="Times New Roman" w:hAnsi="Times New Roman"/>
          <w:color w:val="000000" w:themeColor="text1"/>
          <w:sz w:val="16"/>
          <w:szCs w:val="16"/>
        </w:rPr>
        <w:softHyphen/>
        <w:t>бирск и реэвакуация в Москву. Одновременно с этим большие бригады конструкторов ОКБ работали на серийных заводах, отношения с которыми были достаточно сложными.</w:t>
      </w:r>
    </w:p>
    <w:p w14:paraId="54E7623E"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Итак, с января 1933 г. по июль 1936 г. Н.Н. являлся начальником истребительной бригады (№ 2) ЦКБ на заводе № 39 им. Менжинского.</w:t>
      </w:r>
    </w:p>
    <w:p w14:paraId="4BB0C149"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представлял собой в этот период завод № 39? Бывший ремонтный завод «Авиа</w:t>
      </w:r>
      <w:r w:rsidRPr="0044524F">
        <w:rPr>
          <w:rFonts w:ascii="Times New Roman" w:hAnsi="Times New Roman"/>
          <w:color w:val="000000" w:themeColor="text1"/>
          <w:sz w:val="16"/>
          <w:szCs w:val="16"/>
        </w:rPr>
        <w:softHyphen/>
        <w:t>работник», образованный в 1921 г. и входивший в трест «Промвоздух», в начале 1930 г. был включен в авиапромышленность и поглотил завод № 25, ставший второй террито</w:t>
      </w:r>
      <w:r w:rsidRPr="0044524F">
        <w:rPr>
          <w:rFonts w:ascii="Times New Roman" w:hAnsi="Times New Roman"/>
          <w:color w:val="000000" w:themeColor="text1"/>
          <w:sz w:val="16"/>
          <w:szCs w:val="16"/>
        </w:rPr>
        <w:softHyphen/>
        <w:t>рией завода. В 1930-1931 гг. на заводе № 39 размещалось ЦКБ-39 ОГПУ, в котором, находясь в заключении, работал и Н.Н. Поликарпов.</w:t>
      </w:r>
    </w:p>
    <w:p w14:paraId="56F3E26A"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 опытного самолётостроения лёгких самолётов и войсковых серий во главе с С.В.Ильюшиным, переехавшее в январе 1933 г. с завода ЦАГИ на завод № 39, находи</w:t>
      </w:r>
      <w:r w:rsidRPr="0044524F">
        <w:rPr>
          <w:rFonts w:ascii="Times New Roman" w:hAnsi="Times New Roman"/>
          <w:color w:val="000000" w:themeColor="text1"/>
          <w:sz w:val="16"/>
          <w:szCs w:val="16"/>
        </w:rPr>
        <w:softHyphen/>
        <w:t>лось при заводе № 39, а не наоборот. Официально должность С.В. Ильюшина на заво</w:t>
      </w:r>
      <w:r w:rsidRPr="0044524F">
        <w:rPr>
          <w:rFonts w:ascii="Times New Roman" w:hAnsi="Times New Roman"/>
          <w:color w:val="000000" w:themeColor="text1"/>
          <w:sz w:val="16"/>
          <w:szCs w:val="16"/>
        </w:rPr>
        <w:softHyphen/>
        <w:t>де значилась — заместитель директора завода № 39 по конструкторской части.</w:t>
      </w:r>
    </w:p>
    <w:p w14:paraId="6541CEA1"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этот период шёл численный рост бригады № 2 с 13 (по другим данным — 17) че</w:t>
      </w:r>
      <w:r w:rsidRPr="0044524F">
        <w:rPr>
          <w:rFonts w:ascii="Times New Roman" w:hAnsi="Times New Roman"/>
          <w:color w:val="000000" w:themeColor="text1"/>
          <w:sz w:val="16"/>
          <w:szCs w:val="16"/>
        </w:rPr>
        <w:softHyphen/>
        <w:t>ловек в январе до 60-65 человек к концу 1933 г. Средний возраст членов бригады — 26-27 лет, стаж работы составлял 3-4 года. Как отмечал в своих заметках Н.Н. — «Про</w:t>
      </w:r>
      <w:r w:rsidRPr="0044524F">
        <w:rPr>
          <w:rFonts w:ascii="Times New Roman" w:hAnsi="Times New Roman"/>
          <w:color w:val="000000" w:themeColor="text1"/>
          <w:sz w:val="16"/>
          <w:szCs w:val="16"/>
        </w:rPr>
        <w:softHyphen/>
        <w:t>изводства смешанных конструкций не знали».</w:t>
      </w:r>
    </w:p>
    <w:p w14:paraId="28A0D354"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Положение дел на заводе № 39 как в зеркале отражало состояние всей нашей авиа</w:t>
      </w:r>
      <w:r w:rsidRPr="0044524F">
        <w:rPr>
          <w:rFonts w:ascii="Times New Roman" w:hAnsi="Times New Roman"/>
          <w:color w:val="000000" w:themeColor="text1"/>
          <w:sz w:val="16"/>
          <w:szCs w:val="16"/>
        </w:rPr>
        <w:softHyphen/>
        <w:t>ционной промышленности того периода, характерными чертами которой являлись:</w:t>
      </w:r>
    </w:p>
    <w:p w14:paraId="3CD7F304"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низкое качество производства вследствие как слабой производственной базы, так и отсутствия достаточного количества квалифицированных ИТР и рабочих;</w:t>
      </w:r>
    </w:p>
    <w:p w14:paraId="4392AE74" w14:textId="77777777" w:rsidR="000D4A20" w:rsidRPr="0044524F" w:rsidRDefault="000D4A20" w:rsidP="009654CF">
      <w:pPr>
        <w:tabs>
          <w:tab w:val="left" w:pos="425"/>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недостаточные производственные мощности;</w:t>
      </w:r>
    </w:p>
    <w:p w14:paraId="6D3B7559" w14:textId="77777777" w:rsidR="000D4A20" w:rsidRPr="0044524F" w:rsidRDefault="000D4A20" w:rsidP="009654CF">
      <w:pPr>
        <w:tabs>
          <w:tab w:val="left" w:pos="40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избыточность количества конструкторских организаций по сравнению с производ</w:t>
      </w:r>
      <w:r w:rsidRPr="0044524F">
        <w:rPr>
          <w:rFonts w:ascii="Times New Roman" w:hAnsi="Times New Roman"/>
          <w:color w:val="000000" w:themeColor="text1"/>
          <w:sz w:val="16"/>
          <w:szCs w:val="16"/>
        </w:rPr>
        <w:softHyphen/>
        <w:t>ственными (по крайней мере, для московского региона).</w:t>
      </w:r>
    </w:p>
    <w:p w14:paraId="1D11D60A"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в этот, относительно спокойный период, выявились все основные особенности условий работы, преследовавшие Н.Н. практически до самой смерти:</w:t>
      </w:r>
    </w:p>
    <w:p w14:paraId="504CF71A" w14:textId="77777777" w:rsidR="000D4A20" w:rsidRPr="0044524F" w:rsidRDefault="000D4A20" w:rsidP="009654CF">
      <w:pPr>
        <w:tabs>
          <w:tab w:val="left" w:pos="438"/>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нехватка производственных мощностей и неподчинение производства ему как главному конструктору;</w:t>
      </w:r>
    </w:p>
    <w:p w14:paraId="33B08680" w14:textId="77777777" w:rsidR="000D4A20" w:rsidRPr="0044524F" w:rsidRDefault="000D4A20" w:rsidP="009654CF">
      <w:pPr>
        <w:tabs>
          <w:tab w:val="left" w:pos="40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неспособность производства качественно и в срок выполнять задания конструктор</w:t>
      </w:r>
      <w:r w:rsidRPr="0044524F">
        <w:rPr>
          <w:rFonts w:ascii="Times New Roman" w:hAnsi="Times New Roman"/>
          <w:color w:val="000000" w:themeColor="text1"/>
          <w:sz w:val="16"/>
          <w:szCs w:val="16"/>
        </w:rPr>
        <w:softHyphen/>
        <w:t>ского бюро;</w:t>
      </w:r>
    </w:p>
    <w:p w14:paraId="16249F1D" w14:textId="77777777" w:rsidR="000D4A20" w:rsidRPr="0044524F" w:rsidRDefault="000D4A20" w:rsidP="009654CF">
      <w:pPr>
        <w:tabs>
          <w:tab w:val="left" w:pos="40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стремление руководства заводов, на которых базировалось КБ, играть на несов</w:t>
      </w:r>
      <w:r w:rsidRPr="0044524F">
        <w:rPr>
          <w:rFonts w:ascii="Times New Roman" w:hAnsi="Times New Roman"/>
          <w:color w:val="000000" w:themeColor="text1"/>
          <w:sz w:val="16"/>
          <w:szCs w:val="16"/>
        </w:rPr>
        <w:softHyphen/>
        <w:t>падении интересов опытного и серийного производств (15804).</w:t>
      </w:r>
    </w:p>
    <w:p w14:paraId="15F8E15F" w14:textId="77777777" w:rsidR="000D4A20" w:rsidRPr="0044524F" w:rsidRDefault="000D4A20" w:rsidP="009654CF">
      <w:pPr>
        <w:tabs>
          <w:tab w:val="left" w:pos="409"/>
        </w:tabs>
        <w:spacing w:after="0" w:line="240" w:lineRule="auto"/>
        <w:jc w:val="both"/>
        <w:rPr>
          <w:rFonts w:ascii="Times New Roman" w:hAnsi="Times New Roman"/>
          <w:color w:val="000000" w:themeColor="text1"/>
          <w:sz w:val="16"/>
          <w:szCs w:val="16"/>
        </w:rPr>
      </w:pPr>
    </w:p>
    <w:p w14:paraId="07EAB81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сформировали Технический совет под председательством начальника ЦАГИ Н.М. Харламова. Он должен был определить основные требования к будущему агитационному гиганту.</w:t>
      </w:r>
    </w:p>
    <w:p w14:paraId="52A4A47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них заложили скорость 220 - 240 км/ч., полезную нагрузку 6000 - 7000 кг, дальность полета не менее 1000 км. Маневренности от многотонного гиганта требовать былотрудно. Он должен был лишь планировать под углом не более 25 градусов и выполнять развороты с небольшим креном. В связи со спецификой применения машины в задание заложили возможность взлета и посадки на сравнительно небольших аэродромах. Разбег на взлете должен был составлять всего 350-400 м, то есть примерно половину от реального разбега ТБ-4. Но вес машины был таков, что не всякий грунт мог ее выдержать. Предусматривались традиционное для того времени сменное шасси (летом - колеса, зимой - лыжи), современные металлические (а не деревянные, как на ТБ-4) воздушные винты, внутренняя телефонная связь, пневмопочта, отопление кабин, "центральная электростанция", позволяющая иметь ток при стоянке самолета. Особо оговаривалось применение материалов и оборудования только отечественного производства. Это было обусловлено пропагандистским назначением АНТ-20.</w:t>
      </w:r>
    </w:p>
    <w:p w14:paraId="1145605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военное время агитсамолет предполагали использовать как транспортный или в качестве летающего штаба для высшего командования.</w:t>
      </w:r>
    </w:p>
    <w:p w14:paraId="2D8DA28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Задание первоначально предусматривало безангарное хранение машины, позже этот пункт из документа изъяли. Дело в том, что к этому времени уже имелся печальный опыт безангарного хранения бомбардировщиков ТБ-3. Уровень технологической культуры в то время был таков, что в щели между частями машины можно было местами засунуть палец. Зимой туда попадал снег, летом - дождь. Металл подвергался коррозии. Надежных защитных покрытий тогда еше не существовало. Низкокачественная эмаль плохо держалась на алюминиевых сплавах, быстро выцветала, ее разрушали потеки бензина и брызги горячего масла. Самолеты даже запрещали мыть щетками - при этом краска слезала лохмотьями.</w:t>
      </w:r>
    </w:p>
    <w:p w14:paraId="2DA1D6D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альтернативы сотрудники ЦАГИ выдвинули встречную инициативу: собрать деньги еще и на гигантский ангар для огромного самолета. Ангар, правда, так и не построили. А если бы построили, то он остался бы в Москве; но ведь агитсамолет должен был летать по всей стране.</w:t>
      </w:r>
    </w:p>
    <w:p w14:paraId="34BC956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Предусматривался конкурс на лучший проект агитсамолета, но реально его не проводили. Учитывая, что в составе комитета присутствовали Харламов и Туполев, исход его был бы заранее предопределен. Нет вообще никаких сведений, представлялись ли на рассмотрение конкурирующие проекты (12024).</w:t>
      </w:r>
    </w:p>
    <w:p w14:paraId="41BB93D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542269C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приступили к выработке технических требований к агитационному самолету. От машины требовали скорость 220 - 240 км/ч, полезную нагрузку 6000 - 7000 кг, дальность полета не менее 1000 км. Предусматривались сменное шасси (летом - колеса, зимой - лыжи), металлические (а не деревянные) воздушные винты, внутренняя телефонная связь, пневмопочта, отопление кабин, "центральная электростанция", позволяющая иметь ток при стоянке самолета. Особо оговаривалось применение материалов и оборудования только отечественного производства. Это было обусловлено пропагандистским назначением АНТ-20. Задание первоначально предусматривало безангарное хранение машины, позже этот пункт из документа изъяли (12036).</w:t>
      </w:r>
    </w:p>
    <w:p w14:paraId="4740E19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7EDEFD65"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 в ГУАП подготовили до</w:t>
      </w:r>
      <w:r w:rsidRPr="00142305">
        <w:rPr>
          <w:rFonts w:ascii="Times New Roman" w:hAnsi="Times New Roman"/>
          <w:color w:val="0070C0"/>
          <w:sz w:val="16"/>
          <w:szCs w:val="16"/>
        </w:rPr>
        <w:softHyphen/>
        <w:t>клад наркому тяжелой промышленности ГК. Орджоникидзе, в котором говорилось</w:t>
      </w:r>
      <w:r>
        <w:rPr>
          <w:rFonts w:ascii="Times New Roman" w:hAnsi="Times New Roman"/>
          <w:color w:val="0070C0"/>
          <w:sz w:val="16"/>
          <w:szCs w:val="16"/>
        </w:rPr>
        <w:t>,</w:t>
      </w:r>
      <w:r w:rsidRPr="00142305">
        <w:rPr>
          <w:rFonts w:ascii="Times New Roman" w:hAnsi="Times New Roman"/>
          <w:color w:val="0070C0"/>
          <w:sz w:val="16"/>
          <w:szCs w:val="16"/>
        </w:rPr>
        <w:t xml:space="preserve"> что «Самолет... находится в построй</w:t>
      </w:r>
      <w:r w:rsidRPr="00142305">
        <w:rPr>
          <w:rFonts w:ascii="Times New Roman" w:hAnsi="Times New Roman"/>
          <w:color w:val="0070C0"/>
          <w:sz w:val="16"/>
          <w:szCs w:val="16"/>
        </w:rPr>
        <w:softHyphen/>
        <w:t>ке и будет готов для предварительных испытаний в мае 1933 г., а для полетов на продолжительность и дальность - к сентябрю 1933 г.».</w:t>
      </w:r>
    </w:p>
    <w:p w14:paraId="4BAC0CCB"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том же документе перечислялись ме</w:t>
      </w:r>
      <w:r w:rsidRPr="00142305">
        <w:rPr>
          <w:rFonts w:ascii="Times New Roman" w:hAnsi="Times New Roman"/>
          <w:color w:val="0070C0"/>
          <w:sz w:val="16"/>
          <w:szCs w:val="16"/>
        </w:rPr>
        <w:softHyphen/>
        <w:t>роприятия, необходимые для подготовки перелета. Предлагалось подобрать два экипажа (основной и резервный), в каж</w:t>
      </w:r>
      <w:r w:rsidRPr="00142305">
        <w:rPr>
          <w:rFonts w:ascii="Times New Roman" w:hAnsi="Times New Roman"/>
          <w:color w:val="0070C0"/>
          <w:sz w:val="16"/>
          <w:szCs w:val="16"/>
        </w:rPr>
        <w:softHyphen/>
        <w:t>дый входили два пилота и штурман («аэ</w:t>
      </w:r>
      <w:r w:rsidRPr="00142305">
        <w:rPr>
          <w:rFonts w:ascii="Times New Roman" w:hAnsi="Times New Roman"/>
          <w:color w:val="0070C0"/>
          <w:sz w:val="16"/>
          <w:szCs w:val="16"/>
        </w:rPr>
        <w:softHyphen/>
        <w:t>ронавигатор»). Их собирались полгода тренировать слепым полетам в темноте и тумане. Для учебных и вспомогатель</w:t>
      </w:r>
      <w:r w:rsidRPr="00142305">
        <w:rPr>
          <w:rFonts w:ascii="Times New Roman" w:hAnsi="Times New Roman"/>
          <w:color w:val="0070C0"/>
          <w:sz w:val="16"/>
          <w:szCs w:val="16"/>
        </w:rPr>
        <w:softHyphen/>
        <w:t>ных целей намеревались выделить пять самолетов Р-5 и один К-5. Обслуживать их должны были 20 человек, которым придавали два грузовых и два легковых автомобиля. Самолеты размещались в отдельном ангаре. Предусматривалось обеспечение запасом высококачествен</w:t>
      </w:r>
      <w:r w:rsidRPr="00142305">
        <w:rPr>
          <w:rFonts w:ascii="Times New Roman" w:hAnsi="Times New Roman"/>
          <w:color w:val="0070C0"/>
          <w:sz w:val="16"/>
          <w:szCs w:val="16"/>
        </w:rPr>
        <w:softHyphen/>
        <w:t>ного бензина и масла. Для экипажей орга</w:t>
      </w:r>
      <w:r w:rsidRPr="00142305">
        <w:rPr>
          <w:rFonts w:ascii="Times New Roman" w:hAnsi="Times New Roman"/>
          <w:color w:val="0070C0"/>
          <w:sz w:val="16"/>
          <w:szCs w:val="16"/>
        </w:rPr>
        <w:softHyphen/>
        <w:t>низовывались специальное питание и ме</w:t>
      </w:r>
      <w:r w:rsidRPr="00142305">
        <w:rPr>
          <w:rFonts w:ascii="Times New Roman" w:hAnsi="Times New Roman"/>
          <w:color w:val="0070C0"/>
          <w:sz w:val="16"/>
          <w:szCs w:val="16"/>
        </w:rPr>
        <w:softHyphen/>
        <w:t>дицинское наблюдение. Планировалось и метеорологическое обеспечение, причем с привлечением иностранных служб.</w:t>
      </w:r>
    </w:p>
    <w:p w14:paraId="2273A063"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связи с большим взлетным весом, рекордный самолет мог взлететь только с бетонированной полосы. Ее длину опре</w:t>
      </w:r>
      <w:r w:rsidRPr="00142305">
        <w:rPr>
          <w:rFonts w:ascii="Times New Roman" w:hAnsi="Times New Roman"/>
          <w:color w:val="0070C0"/>
          <w:sz w:val="16"/>
          <w:szCs w:val="16"/>
        </w:rPr>
        <w:softHyphen/>
        <w:t>деляли в 2000 м, а ширину - в 70 м.</w:t>
      </w:r>
    </w:p>
    <w:p w14:paraId="48DCCB3C"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Подумали и о возможных маршрутах перелета. При этом учитывали не толь</w:t>
      </w:r>
      <w:r w:rsidRPr="00142305">
        <w:rPr>
          <w:rFonts w:ascii="Times New Roman" w:hAnsi="Times New Roman"/>
          <w:color w:val="0070C0"/>
          <w:sz w:val="16"/>
          <w:szCs w:val="16"/>
        </w:rPr>
        <w:softHyphen/>
        <w:t>ко технические, но и политические сооб</w:t>
      </w:r>
      <w:r w:rsidRPr="00142305">
        <w:rPr>
          <w:rFonts w:ascii="Times New Roman" w:hAnsi="Times New Roman"/>
          <w:color w:val="0070C0"/>
          <w:sz w:val="16"/>
          <w:szCs w:val="16"/>
        </w:rPr>
        <w:softHyphen/>
        <w:t>ражения. Собирались лететь в Южную Африку, Латинскую Америку или в Нью- Йорк. О возможности полета через Север</w:t>
      </w:r>
      <w:r w:rsidRPr="00142305">
        <w:rPr>
          <w:rFonts w:ascii="Times New Roman" w:hAnsi="Times New Roman"/>
          <w:color w:val="0070C0"/>
          <w:sz w:val="16"/>
          <w:szCs w:val="16"/>
        </w:rPr>
        <w:softHyphen/>
        <w:t>ный полюс не упоминалось. Внутри стра</w:t>
      </w:r>
      <w:r w:rsidRPr="00142305">
        <w:rPr>
          <w:rFonts w:ascii="Times New Roman" w:hAnsi="Times New Roman"/>
          <w:color w:val="0070C0"/>
          <w:sz w:val="16"/>
          <w:szCs w:val="16"/>
        </w:rPr>
        <w:softHyphen/>
        <w:t>ны рассматривался только один вариант: Москва - Владивосток. Но расстояние в 8000 км являлось недостаточным для установления международного рекорда, а в осеннее время такая трасса считалась трудной для перелета.</w:t>
      </w:r>
    </w:p>
    <w:p w14:paraId="596D8B65"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Отдельным пунктом оговаривалось: «Для получения официального призна</w:t>
      </w:r>
      <w:r w:rsidRPr="00142305">
        <w:rPr>
          <w:rFonts w:ascii="Times New Roman" w:hAnsi="Times New Roman"/>
          <w:color w:val="0070C0"/>
          <w:sz w:val="16"/>
          <w:szCs w:val="16"/>
        </w:rPr>
        <w:softHyphen/>
        <w:t>ния рекорда следует установить связь и получить в СССР специального предста</w:t>
      </w:r>
      <w:r w:rsidRPr="00142305">
        <w:rPr>
          <w:rFonts w:ascii="Times New Roman" w:hAnsi="Times New Roman"/>
          <w:color w:val="0070C0"/>
          <w:sz w:val="16"/>
          <w:szCs w:val="16"/>
        </w:rPr>
        <w:softHyphen/>
        <w:t>вителя ФАИ, без визы которого никакой рекорд по международному кодексу не признается» (24946).</w:t>
      </w:r>
    </w:p>
    <w:p w14:paraId="5A899049" w14:textId="77777777" w:rsidR="008C6458" w:rsidRPr="00142305" w:rsidRDefault="008C6458" w:rsidP="008C6458">
      <w:pPr>
        <w:spacing w:after="0" w:line="240" w:lineRule="auto"/>
        <w:jc w:val="both"/>
        <w:rPr>
          <w:rFonts w:ascii="Times New Roman" w:hAnsi="Times New Roman"/>
          <w:color w:val="0070C0"/>
          <w:sz w:val="16"/>
          <w:szCs w:val="16"/>
        </w:rPr>
      </w:pPr>
    </w:p>
    <w:p w14:paraId="1F1C3A9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приняли решение включить Р-5 с М-34 в план серийного производства. К 1 января 1934 г. намечалось иметь в строю 3226 Р-5 с М-17 и 253 Р-5 с М-34. За март-апрель 1933 г. завод № 1 построил эталон для серии, и на этом работа остановилась: мото</w:t>
      </w:r>
      <w:r w:rsidRPr="0044524F">
        <w:rPr>
          <w:rFonts w:ascii="Times New Roman" w:hAnsi="Times New Roman"/>
          <w:color w:val="000000" w:themeColor="text1"/>
          <w:sz w:val="16"/>
          <w:szCs w:val="16"/>
        </w:rPr>
        <w:softHyphen/>
        <w:t>ров М-34 тогда не хватало для обеспечения серийного производства тяжелых бомбардировщиков ТБ-3. По</w:t>
      </w:r>
      <w:r w:rsidRPr="0044524F">
        <w:rPr>
          <w:rFonts w:ascii="Times New Roman" w:hAnsi="Times New Roman"/>
          <w:color w:val="000000" w:themeColor="text1"/>
          <w:sz w:val="16"/>
          <w:szCs w:val="16"/>
        </w:rPr>
        <w:softHyphen/>
        <w:t>этому на Р-5 решили ставить форсированные моторы М-17Ф, максимальная мощность которых была доведе</w:t>
      </w:r>
      <w:r w:rsidRPr="0044524F">
        <w:rPr>
          <w:rFonts w:ascii="Times New Roman" w:hAnsi="Times New Roman"/>
          <w:color w:val="000000" w:themeColor="text1"/>
          <w:sz w:val="16"/>
          <w:szCs w:val="16"/>
        </w:rPr>
        <w:softHyphen/>
        <w:t>на до 730 л.с., и рассмотреть вопрос об улучшении аэро</w:t>
      </w:r>
      <w:r w:rsidRPr="0044524F">
        <w:rPr>
          <w:rFonts w:ascii="Times New Roman" w:hAnsi="Times New Roman"/>
          <w:color w:val="000000" w:themeColor="text1"/>
          <w:sz w:val="16"/>
          <w:szCs w:val="16"/>
        </w:rPr>
        <w:softHyphen/>
        <w:t>динамики самолета (10667).</w:t>
      </w:r>
    </w:p>
    <w:p w14:paraId="18FFDA8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0D19B029"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 было принято решение включить в план серийного производства Р-5 с М-34. К 1 января 1934 г. планировалось иметь в строю 3226 Р-5 с М-17 и 253 Р-5 с М-34. За март-апрель 1933 г. завод № 1 построил эталон для серии. И на этом работа остановилась. Моторов М-34 тогда не хватало для обеспечения серийного производства тяжелых бомбардировщиков ТБ-3. Поэтому на Р-5 решили ставить форсированные моторы М-17Ф, максимальная мощность которых была доведена до 730 л с., и рассмотреть вопрос об улучшении аэродинамики самолета (25035).</w:t>
      </w:r>
    </w:p>
    <w:p w14:paraId="2D87C467" w14:textId="77777777" w:rsidR="008C6458" w:rsidRPr="00142305" w:rsidRDefault="008C6458" w:rsidP="008C6458">
      <w:pPr>
        <w:spacing w:after="0" w:line="240" w:lineRule="auto"/>
        <w:jc w:val="both"/>
        <w:rPr>
          <w:rFonts w:ascii="Times New Roman" w:hAnsi="Times New Roman"/>
          <w:color w:val="0070C0"/>
          <w:sz w:val="16"/>
          <w:szCs w:val="16"/>
        </w:rPr>
      </w:pPr>
    </w:p>
    <w:p w14:paraId="2A55A5B6" w14:textId="77777777" w:rsidR="007E4B5E" w:rsidRPr="0044524F" w:rsidRDefault="007E4B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впервые была опробована уборка шасси ХАИ-1 в полёте. С убранным шасси скорость достигла 292 км/час. 17 февраля 1933 Кудрин перегнал ХАИ-1 в Москву за рекордное время 2 часа 54 минут. Испытания продолжались на московском Центральном аэродроме. 26 марта 1933 самолёт впервые полетел со штатным двигателем М-22.</w:t>
      </w:r>
    </w:p>
    <w:p w14:paraId="32C31155" w14:textId="77777777" w:rsidR="007E4B5E" w:rsidRPr="0044524F" w:rsidRDefault="007E4B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испытаний выявились серьёзные проблемы с механизмом уборки шасси. Лётчику приходилось прилагать огромные физические усилия для вращения рукоятки привода. Перед каждым полётом приходилось тратить много времени на проверку правильности укладки тросов в канавках шкива. Происходили отказы замков фиксации стоек шасси. По этой причине 16 июня 1933 прототип потерпел аварию - при разбеге стойки сложились. Также выявилась недостаточная прочность ряда элементов конструкции. Потребовали длительные доработки. Кроме устранения этих недостатков они заключались в увеличении руля направления, улучшения звукоизоляции салона, также появился туалет, увеличено багажное отделение. Государственные испытания доработанного самолёта проводились в ноябре 1934, в НИИ ГУ ГВФ (пилот С.И. Таборовский). (24249).</w:t>
      </w:r>
    </w:p>
    <w:p w14:paraId="007CB809" w14:textId="77777777" w:rsidR="007E4B5E" w:rsidRPr="0044524F" w:rsidRDefault="007E4B5E" w:rsidP="009654CF">
      <w:pPr>
        <w:spacing w:after="0" w:line="240" w:lineRule="auto"/>
        <w:jc w:val="both"/>
        <w:rPr>
          <w:rFonts w:ascii="Times New Roman" w:hAnsi="Times New Roman"/>
          <w:color w:val="000000" w:themeColor="text1"/>
          <w:sz w:val="16"/>
          <w:szCs w:val="16"/>
        </w:rPr>
      </w:pPr>
    </w:p>
    <w:p w14:paraId="0A08269E" w14:textId="77777777" w:rsidR="008C6458" w:rsidRPr="0044524F" w:rsidRDefault="008C6458" w:rsidP="008C6458">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испытали уборку шасси на ХАИ-1 (143,22).</w:t>
      </w:r>
    </w:p>
    <w:p w14:paraId="75BE22E2" w14:textId="77777777" w:rsidR="008C6458" w:rsidRPr="0044524F" w:rsidRDefault="008C6458" w:rsidP="008C6458">
      <w:pPr>
        <w:autoSpaceDE w:val="0"/>
        <w:autoSpaceDN w:val="0"/>
        <w:adjustRightInd w:val="0"/>
        <w:spacing w:after="0" w:line="240" w:lineRule="auto"/>
        <w:jc w:val="both"/>
        <w:rPr>
          <w:rFonts w:ascii="Times New Roman" w:hAnsi="Times New Roman"/>
          <w:color w:val="000000" w:themeColor="text1"/>
          <w:sz w:val="16"/>
          <w:szCs w:val="16"/>
        </w:rPr>
      </w:pPr>
    </w:p>
    <w:p w14:paraId="1A4D2DBE" w14:textId="77777777" w:rsidR="008C6458" w:rsidRPr="0044524F" w:rsidRDefault="008C6458" w:rsidP="008C6458">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П.Г.Беннинг - одного из к К.А.К. - начал разработку чертежей экспериментального самолета типа ЛК и потом для отработки схемы построили планер Осоавиахимовец</w:t>
      </w:r>
      <w:r>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ХАИ (553,152).</w:t>
      </w:r>
    </w:p>
    <w:p w14:paraId="1DE08C65" w14:textId="77777777" w:rsidR="008C6458" w:rsidRPr="0044524F" w:rsidRDefault="008C6458" w:rsidP="008C6458">
      <w:pPr>
        <w:autoSpaceDE w:val="0"/>
        <w:autoSpaceDN w:val="0"/>
        <w:adjustRightInd w:val="0"/>
        <w:spacing w:after="0" w:line="240" w:lineRule="auto"/>
        <w:jc w:val="both"/>
        <w:rPr>
          <w:rFonts w:ascii="Times New Roman" w:hAnsi="Times New Roman"/>
          <w:color w:val="000000" w:themeColor="text1"/>
          <w:sz w:val="16"/>
          <w:szCs w:val="16"/>
        </w:rPr>
      </w:pPr>
    </w:p>
    <w:p w14:paraId="2C04A66E" w14:textId="77777777" w:rsidR="00B8018B" w:rsidRPr="0044524F" w:rsidRDefault="00B8018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двухместный истребитель ДИ-4 вышел на испытания. Самолёт не оправдал надежд, и его разработка была прекращена (19876).</w:t>
      </w:r>
    </w:p>
    <w:p w14:paraId="4971A2AD" w14:textId="77777777" w:rsidR="00B8018B" w:rsidRPr="0044524F" w:rsidRDefault="00B8018B" w:rsidP="009654CF">
      <w:pPr>
        <w:shd w:val="clear" w:color="auto" w:fill="FFFFFF"/>
        <w:spacing w:after="0" w:line="240" w:lineRule="auto"/>
        <w:jc w:val="both"/>
        <w:rPr>
          <w:rFonts w:ascii="Times New Roman" w:hAnsi="Times New Roman"/>
          <w:color w:val="000000" w:themeColor="text1"/>
          <w:sz w:val="16"/>
          <w:szCs w:val="16"/>
        </w:rPr>
      </w:pPr>
    </w:p>
    <w:p w14:paraId="628B97B6" w14:textId="77777777" w:rsidR="007E4B5E" w:rsidRPr="0044524F" w:rsidRDefault="007E4B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года начались летные испытания опытного экземпляра ДИ</w:t>
      </w:r>
      <w:r w:rsidRPr="0044524F">
        <w:rPr>
          <w:rFonts w:ascii="Times New Roman" w:hAnsi="Times New Roman"/>
          <w:color w:val="000000" w:themeColor="text1"/>
          <w:sz w:val="16"/>
          <w:szCs w:val="16"/>
        </w:rPr>
        <w:noBreakHyphen/>
        <w:t>4 БНК Лавиля. Он представлял собой однодвигательный подкосный высокоплан с крылом типа «чайка» и разнесенным вертикальным оперением. Такая схема оперения была специально выбрана в целях предоставления воздушному стрелку, располагавшемуся позади летчика, возможности вести эффективный огонь назад. Основным материалом конструкции самолета был дюралюминий, что и позволило получить весьма небольшую для двухместного истребителя взлетную массу – менее 2 т.</w:t>
      </w:r>
    </w:p>
    <w:p w14:paraId="20481628" w14:textId="77777777" w:rsidR="007E4B5E" w:rsidRPr="0044524F" w:rsidRDefault="007E4B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 не менее, несмотря на все старания работников БНК, летные качества их истребителя оказались заметно ниже, чем ожидалось. Так, максимальная скорость ДИ</w:t>
      </w:r>
      <w:r w:rsidRPr="0044524F">
        <w:rPr>
          <w:rFonts w:ascii="Times New Roman" w:hAnsi="Times New Roman"/>
          <w:color w:val="000000" w:themeColor="text1"/>
          <w:sz w:val="16"/>
          <w:szCs w:val="16"/>
        </w:rPr>
        <w:noBreakHyphen/>
        <w:t>4 у земли составляла 266 км/ч (вместо заявленных трехсот). К тому же и лицензия на производство в Советском Союзе двигателя «Кертис</w:t>
      </w:r>
      <w:r w:rsidRPr="0044524F">
        <w:rPr>
          <w:rFonts w:ascii="Times New Roman" w:hAnsi="Times New Roman"/>
          <w:color w:val="000000" w:themeColor="text1"/>
          <w:sz w:val="16"/>
          <w:szCs w:val="16"/>
        </w:rPr>
        <w:noBreakHyphen/>
        <w:t>Конкверор» мощностью 600 л. с, на который ориентировались разработчики нового истребителя, так и не была закуплена. В результате, после прохождения ДИ</w:t>
      </w:r>
      <w:r w:rsidRPr="0044524F">
        <w:rPr>
          <w:rFonts w:ascii="Times New Roman" w:hAnsi="Times New Roman"/>
          <w:color w:val="000000" w:themeColor="text1"/>
          <w:sz w:val="16"/>
          <w:szCs w:val="16"/>
        </w:rPr>
        <w:noBreakHyphen/>
        <w:t>4 всех полагавшихся испытаний, летом 1933 года работы над ним прекратили.</w:t>
      </w:r>
    </w:p>
    <w:p w14:paraId="0886CBBC" w14:textId="77777777" w:rsidR="007E4B5E" w:rsidRPr="0044524F" w:rsidRDefault="007E4B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стало одной из причин того, что БНК закрыли, а его работников (в число которых входил и Грушин) приказом начальника ВВС РККА П. И. Баранова перевели на московский завод № 39, в Центральное конструкторское бюро (ЦКБ), которое возглавлял Сергей Владимирович Ильюшин (24213).</w:t>
      </w:r>
    </w:p>
    <w:p w14:paraId="36429E8C" w14:textId="77777777" w:rsidR="007E4B5E" w:rsidRPr="0044524F" w:rsidRDefault="007E4B5E" w:rsidP="009654CF">
      <w:pPr>
        <w:spacing w:after="0" w:line="240" w:lineRule="auto"/>
        <w:jc w:val="both"/>
        <w:rPr>
          <w:rFonts w:ascii="Times New Roman" w:hAnsi="Times New Roman"/>
          <w:color w:val="000000" w:themeColor="text1"/>
          <w:sz w:val="16"/>
          <w:szCs w:val="16"/>
        </w:rPr>
      </w:pPr>
    </w:p>
    <w:p w14:paraId="2A6ECDE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января 1933 испытывали МБР-4 (итальянская С-62, сделанная на 31 заводе) переделанный под М-34, но предпочтение потом отдали МБР-2 Г.М.Б. (2446,41).</w:t>
      </w:r>
    </w:p>
    <w:p w14:paraId="77DCCEA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797AC906" w14:textId="77777777" w:rsidR="00F349E3" w:rsidRPr="0044524F" w:rsidRDefault="00F349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опытный самолет МБР-4 доставили для испытаний в Таганрог (21410).</w:t>
      </w:r>
    </w:p>
    <w:p w14:paraId="767EF379" w14:textId="77777777" w:rsidR="00F349E3" w:rsidRPr="0044524F" w:rsidRDefault="00F349E3" w:rsidP="009654CF">
      <w:pPr>
        <w:spacing w:after="0" w:line="240" w:lineRule="auto"/>
        <w:jc w:val="both"/>
        <w:rPr>
          <w:rFonts w:ascii="Times New Roman" w:hAnsi="Times New Roman"/>
          <w:color w:val="000000" w:themeColor="text1"/>
          <w:sz w:val="16"/>
          <w:szCs w:val="16"/>
        </w:rPr>
      </w:pPr>
    </w:p>
    <w:p w14:paraId="7F4F5261" w14:textId="77777777" w:rsidR="00F349E3" w:rsidRPr="0044524F" w:rsidRDefault="00F349E3"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 xml:space="preserve">В начале 1933 г. на заводе № 31 построили МБР-4 с М-34. Запланированные к установке на МБР-4 моторы М-27 так в серию и не пошли (20325). </w:t>
      </w:r>
    </w:p>
    <w:p w14:paraId="211842F5" w14:textId="77777777" w:rsidR="00F349E3" w:rsidRPr="0044524F" w:rsidRDefault="00F349E3" w:rsidP="009654CF">
      <w:pPr>
        <w:spacing w:after="0" w:line="240" w:lineRule="auto"/>
        <w:jc w:val="both"/>
        <w:rPr>
          <w:rFonts w:ascii="Times New Roman" w:hAnsi="Times New Roman"/>
          <w:color w:val="000000" w:themeColor="text1"/>
          <w:sz w:val="16"/>
          <w:szCs w:val="16"/>
          <w:lang w:eastAsia="ru-RU" w:bidi="ru-RU"/>
        </w:rPr>
      </w:pPr>
    </w:p>
    <w:p w14:paraId="0E817EB9" w14:textId="77777777" w:rsidR="008C6458" w:rsidRPr="0044524F" w:rsidRDefault="008C6458" w:rsidP="008C6458">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года опытная установка мотора М34 на МБР4-М34 ЦАГИ была выполнена и передана заводу N 1 (3516).</w:t>
      </w:r>
    </w:p>
    <w:p w14:paraId="18E72B1E" w14:textId="77777777" w:rsidR="008C6458" w:rsidRPr="0044524F" w:rsidRDefault="008C6458" w:rsidP="008C6458">
      <w:pPr>
        <w:autoSpaceDE w:val="0"/>
        <w:autoSpaceDN w:val="0"/>
        <w:adjustRightInd w:val="0"/>
        <w:spacing w:after="0" w:line="240" w:lineRule="auto"/>
        <w:jc w:val="both"/>
        <w:rPr>
          <w:rFonts w:ascii="Times New Roman" w:hAnsi="Times New Roman"/>
          <w:color w:val="000000" w:themeColor="text1"/>
          <w:sz w:val="16"/>
          <w:szCs w:val="16"/>
        </w:rPr>
      </w:pPr>
    </w:p>
    <w:p w14:paraId="08A872BA"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 опытный самолет МБР-4 доставили для испытаний в Таганрог. Этой работе первоначально придавали большое значение. В марте на заводе № 31 уже приступили к подготовке се</w:t>
      </w:r>
      <w:r w:rsidRPr="00142305">
        <w:rPr>
          <w:rFonts w:ascii="Times New Roman" w:hAnsi="Times New Roman"/>
          <w:color w:val="0070C0"/>
          <w:sz w:val="16"/>
          <w:szCs w:val="16"/>
        </w:rPr>
        <w:softHyphen/>
        <w:t>рийного производства новой модифи</w:t>
      </w:r>
      <w:r w:rsidRPr="00142305">
        <w:rPr>
          <w:rFonts w:ascii="Times New Roman" w:hAnsi="Times New Roman"/>
          <w:color w:val="0070C0"/>
          <w:sz w:val="16"/>
          <w:szCs w:val="16"/>
        </w:rPr>
        <w:softHyphen/>
        <w:t>кации, используя чертежи, присланные из ЦАГИ (24948).</w:t>
      </w:r>
    </w:p>
    <w:p w14:paraId="4145F58E" w14:textId="77777777" w:rsidR="008C6458" w:rsidRPr="00142305" w:rsidRDefault="008C6458" w:rsidP="008C6458">
      <w:pPr>
        <w:spacing w:after="0" w:line="240" w:lineRule="auto"/>
        <w:jc w:val="both"/>
        <w:rPr>
          <w:rFonts w:ascii="Times New Roman" w:hAnsi="Times New Roman"/>
          <w:color w:val="0070C0"/>
          <w:sz w:val="16"/>
          <w:szCs w:val="16"/>
        </w:rPr>
      </w:pPr>
    </w:p>
    <w:p w14:paraId="7097E65E" w14:textId="77777777" w:rsidR="004A1358" w:rsidRPr="0044524F" w:rsidRDefault="004A13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в штат летно-испытательной службы ЦКБ-39 из состава НОА (НИИ ВВС) на должность летчика-испытателя переведен Валерий Павлович Чкалов. В дальнейшем он сыграл значительную роль не только в испытаниях новых самолетов ЦКБ (прежде всего – истребителей), но и в их разработке как консультант, и в представлении Заказчику (23554).</w:t>
      </w:r>
    </w:p>
    <w:p w14:paraId="0E6D90DF" w14:textId="77777777" w:rsidR="004A1358" w:rsidRPr="0044524F" w:rsidRDefault="004A1358" w:rsidP="009654CF">
      <w:pPr>
        <w:spacing w:after="0" w:line="240" w:lineRule="auto"/>
        <w:jc w:val="both"/>
        <w:rPr>
          <w:rFonts w:ascii="Times New Roman" w:hAnsi="Times New Roman"/>
          <w:color w:val="000000" w:themeColor="text1"/>
          <w:sz w:val="16"/>
          <w:szCs w:val="16"/>
        </w:rPr>
      </w:pPr>
    </w:p>
    <w:p w14:paraId="6CF008E5" w14:textId="77777777" w:rsidR="002E2835" w:rsidRPr="0044524F" w:rsidRDefault="002E28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секцию особых конструкций ЭАО выделили в самостоятельный отдел особых конструкций (ООК). Конструкторские бригады возглавляли И. П. Брату - хин, М. Л. Миль, Н. И. Камов и др. (19727)</w:t>
      </w:r>
    </w:p>
    <w:p w14:paraId="4F9236B2" w14:textId="77777777" w:rsidR="002E2835" w:rsidRPr="0044524F" w:rsidRDefault="002E2835" w:rsidP="009654CF">
      <w:pPr>
        <w:spacing w:after="0" w:line="240" w:lineRule="auto"/>
        <w:jc w:val="both"/>
        <w:rPr>
          <w:rFonts w:ascii="Times New Roman" w:hAnsi="Times New Roman"/>
          <w:color w:val="000000" w:themeColor="text1"/>
          <w:sz w:val="16"/>
          <w:szCs w:val="16"/>
        </w:rPr>
      </w:pPr>
    </w:p>
    <w:p w14:paraId="79EC57E9" w14:textId="77777777" w:rsidR="00703F7E" w:rsidRPr="0044524F" w:rsidRDefault="00703F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СОК была выделена из ЗАО и пре</w:t>
      </w:r>
      <w:r w:rsidRPr="0044524F">
        <w:rPr>
          <w:rFonts w:ascii="Times New Roman" w:hAnsi="Times New Roman"/>
          <w:color w:val="000000" w:themeColor="text1"/>
          <w:sz w:val="16"/>
          <w:szCs w:val="16"/>
        </w:rPr>
        <w:softHyphen/>
        <w:t xml:space="preserve">образована в самостоятельный отдел особых конструкций ЦАГИ (ООК) во главе с </w:t>
      </w:r>
      <w:r w:rsidRPr="0044524F">
        <w:rPr>
          <w:rFonts w:ascii="Times New Roman" w:hAnsi="Times New Roman"/>
          <w:color w:val="000000" w:themeColor="text1"/>
          <w:sz w:val="16"/>
          <w:szCs w:val="16"/>
          <w:lang w:val="en-US"/>
        </w:rPr>
        <w:t>A</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w:t>
      </w:r>
      <w:r w:rsidRPr="0044524F">
        <w:rPr>
          <w:rFonts w:ascii="Times New Roman" w:hAnsi="Times New Roman"/>
          <w:color w:val="000000" w:themeColor="text1"/>
          <w:sz w:val="16"/>
          <w:szCs w:val="16"/>
        </w:rPr>
        <w:t>. Изаксоном. В ООК было две чисто вертолет</w:t>
      </w:r>
      <w:r w:rsidRPr="0044524F">
        <w:rPr>
          <w:rFonts w:ascii="Times New Roman" w:hAnsi="Times New Roman"/>
          <w:color w:val="000000" w:themeColor="text1"/>
          <w:sz w:val="16"/>
          <w:szCs w:val="16"/>
        </w:rPr>
        <w:softHyphen/>
        <w:t>ных бригады: В.П. Лаписова - эксперимен</w:t>
      </w:r>
      <w:r w:rsidRPr="0044524F">
        <w:rPr>
          <w:rFonts w:ascii="Times New Roman" w:hAnsi="Times New Roman"/>
          <w:color w:val="000000" w:themeColor="text1"/>
          <w:sz w:val="16"/>
          <w:szCs w:val="16"/>
        </w:rPr>
        <w:softHyphen/>
        <w:t>тальных исследований и летных испытаний и конструкторская И.П. Братухина, четыре автожирные бригады (М.Л. Миль, В.А. Кузне</w:t>
      </w:r>
      <w:r w:rsidRPr="0044524F">
        <w:rPr>
          <w:rFonts w:ascii="Times New Roman" w:hAnsi="Times New Roman"/>
          <w:color w:val="000000" w:themeColor="text1"/>
          <w:sz w:val="16"/>
          <w:szCs w:val="16"/>
        </w:rPr>
        <w:softHyphen/>
        <w:t>цов, Н.И. Камов, Н.К. Скржинский) и две вспомогательных (19868).</w:t>
      </w:r>
    </w:p>
    <w:p w14:paraId="7AF56FBD" w14:textId="77777777" w:rsidR="00703F7E" w:rsidRPr="0044524F" w:rsidRDefault="00703F7E" w:rsidP="009654CF">
      <w:pPr>
        <w:shd w:val="clear" w:color="auto" w:fill="FFFFFF"/>
        <w:spacing w:after="0" w:line="240" w:lineRule="auto"/>
        <w:jc w:val="both"/>
        <w:rPr>
          <w:rFonts w:ascii="Times New Roman" w:hAnsi="Times New Roman"/>
          <w:color w:val="000000" w:themeColor="text1"/>
          <w:sz w:val="16"/>
          <w:szCs w:val="16"/>
        </w:rPr>
      </w:pPr>
    </w:p>
    <w:p w14:paraId="504FE41F" w14:textId="77777777" w:rsidR="00B8018B" w:rsidRPr="0044524F" w:rsidRDefault="00B8018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СОК была выделена из ЭАО и преобразована в самостоятельный отдел особых конструкций ЦАГИ (ООК), начальник и зам. - остались (64,19). В ООК было две чисто вертолетных бригады - В.П.Лаписова - экспериментальные исследования и летные испытания и И.П.Братухин - конструкторская, 4 автожирные бригада (М.Л.Миль, В.А.Кузнецов, Н.И.Камов, Н.К.Скржинский) и 2 вспомогательных (64,19).</w:t>
      </w:r>
    </w:p>
    <w:p w14:paraId="23EF622A" w14:textId="77777777" w:rsidR="00B8018B" w:rsidRPr="0044524F" w:rsidRDefault="00B8018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Считается, что бригада И.И.Погосского начала проектирование МК-1 (АНТ-22) в январе 1931 г., а задание пришло в декабре 1932 (44,99).</w:t>
      </w:r>
    </w:p>
    <w:p w14:paraId="3195A420" w14:textId="77777777" w:rsidR="00B8018B" w:rsidRPr="0044524F" w:rsidRDefault="00B8018B" w:rsidP="009654CF">
      <w:pPr>
        <w:autoSpaceDE w:val="0"/>
        <w:autoSpaceDN w:val="0"/>
        <w:adjustRightInd w:val="0"/>
        <w:spacing w:after="0" w:line="240" w:lineRule="auto"/>
        <w:jc w:val="both"/>
        <w:rPr>
          <w:rFonts w:ascii="Times New Roman" w:hAnsi="Times New Roman"/>
          <w:color w:val="000000" w:themeColor="text1"/>
          <w:sz w:val="16"/>
          <w:szCs w:val="16"/>
        </w:rPr>
      </w:pPr>
    </w:p>
    <w:p w14:paraId="54C6224F" w14:textId="77777777" w:rsidR="00B8018B" w:rsidRPr="0044524F" w:rsidRDefault="00B8018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СОК послужила основной для создания Отдела опытных конструкций (ООК) ЦАГИ во главе с А.М.Изаксоном. В состав ООК входили четыре конструкторские бригады под руководством И.П.Братухина, В.А.Кузнецова, Н.И.Камова и Н.К.Скржинского. М.Л.Миль возглавил бригаду аэродинамических расчетов, а В.П.Лаписов — бригаду летных испытаний. С именами этих людей неразрывно связана вся история зарождения отечественного вертолетостроения. Все они, за исключением Скржинского, впоследствии трудились на московском вертолетном заводе и много сделали для его становления и развития. Основным направлением работ ООК ЦАГИ в 30-е годы было проектирование и строительство автожиров, т.е. винтокрылых летательных аппаратов, несущий винт (ротор) которых приводился во вращение не механической трансмиссией от двигателя, а встречным потоком воздуха. Летательный аппарат такого типа был впервые построен испанским инженером X. де ла Сьерва в 1920 г. и послужил прототипом для ряда аналогичных машин, появившихся в разных странах мира. Внешне классический автожир первоначально походил на биплан, у которого сохранено нижнее крыло, а вместо верхнего крыла установлен ротор. Ось ротора свободно крепилась на вершине возвышающейся над фюзеляжем мачты — кабана. Управление первыми автожирами осуществлялось, как на самолетах, элеронами и рулями высоты и направления. Взлетал автожир с разбега, длина которого была значительно меньше, чем у самолета. Чтобы разбег сократить еще больше, автожиры оснащались различными стартерами — средствами предварительной раскрутки ротора. Самым эффективным стартером был механический. Ротор стоящего на тормозах автожира раскручивался от мотора и отключался, когда автожир начинал разбег (10752).</w:t>
      </w:r>
    </w:p>
    <w:p w14:paraId="501F23DD" w14:textId="77777777" w:rsidR="00B8018B" w:rsidRPr="0044524F" w:rsidRDefault="00B8018B" w:rsidP="009654CF">
      <w:pPr>
        <w:autoSpaceDE w:val="0"/>
        <w:autoSpaceDN w:val="0"/>
        <w:adjustRightInd w:val="0"/>
        <w:spacing w:after="0" w:line="240" w:lineRule="auto"/>
        <w:jc w:val="both"/>
        <w:rPr>
          <w:rFonts w:ascii="Times New Roman" w:hAnsi="Times New Roman"/>
          <w:color w:val="000000" w:themeColor="text1"/>
          <w:sz w:val="16"/>
          <w:szCs w:val="16"/>
        </w:rPr>
      </w:pPr>
    </w:p>
    <w:p w14:paraId="37492E18" w14:textId="77777777" w:rsidR="00B96AA7" w:rsidRPr="0044524F" w:rsidRDefault="00B96AA7" w:rsidP="009654CF">
      <w:pPr>
        <w:pStyle w:val="afff2"/>
        <w:shd w:val="clear" w:color="auto" w:fill="FFFFFF"/>
        <w:spacing w:before="0" w:beforeAutospacing="0" w:after="0" w:afterAutospacing="0"/>
        <w:jc w:val="both"/>
        <w:rPr>
          <w:color w:val="000000" w:themeColor="text1"/>
          <w:sz w:val="16"/>
          <w:szCs w:val="16"/>
        </w:rPr>
      </w:pPr>
      <w:r w:rsidRPr="0044524F">
        <w:rPr>
          <w:color w:val="000000" w:themeColor="text1"/>
          <w:sz w:val="16"/>
          <w:szCs w:val="16"/>
        </w:rPr>
        <w:lastRenderedPageBreak/>
        <w:t>В январе 1933 года на заводе № 18 пущены в эксплуатацию цеха: дюралевый, механический, слесарно-сварочный, заготовительный, жестяночный, фюзеляжный, плоскостной и предварительной сборки (19822).</w:t>
      </w:r>
    </w:p>
    <w:p w14:paraId="0D7A29FC" w14:textId="77777777" w:rsidR="00B96AA7" w:rsidRPr="0044524F" w:rsidRDefault="00B96AA7" w:rsidP="009654CF">
      <w:pPr>
        <w:pStyle w:val="afff2"/>
        <w:shd w:val="clear" w:color="auto" w:fill="FFFFFF"/>
        <w:spacing w:before="0" w:beforeAutospacing="0" w:after="0" w:afterAutospacing="0"/>
        <w:jc w:val="both"/>
        <w:rPr>
          <w:color w:val="000000" w:themeColor="text1"/>
          <w:sz w:val="16"/>
          <w:szCs w:val="16"/>
        </w:rPr>
      </w:pPr>
    </w:p>
    <w:p w14:paraId="69C6B23E"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М-34 (почему-то из 1-й серии, как уже го</w:t>
      </w:r>
      <w:r w:rsidRPr="0044524F">
        <w:rPr>
          <w:rFonts w:ascii="Times New Roman" w:hAnsi="Times New Roman"/>
          <w:color w:val="000000" w:themeColor="text1"/>
          <w:sz w:val="16"/>
          <w:szCs w:val="16"/>
        </w:rPr>
        <w:softHyphen/>
        <w:t>ворилось, считавшейся полностью забракованной) начали испытывать на тяжелом бомбардировщике ТБ-3. Два месяца самолет стоял на земле: доводили мотоустановку. Претензии: плохая приемистость, недобор обо</w:t>
      </w:r>
      <w:r w:rsidRPr="0044524F">
        <w:rPr>
          <w:rFonts w:ascii="Times New Roman" w:hAnsi="Times New Roman"/>
          <w:color w:val="000000" w:themeColor="text1"/>
          <w:sz w:val="16"/>
          <w:szCs w:val="16"/>
        </w:rPr>
        <w:softHyphen/>
        <w:t>ротов, перегрев. С 8 марта начали летать. Столкнулись с заклиниванием распределительных валов, те</w:t>
      </w:r>
      <w:r w:rsidRPr="0044524F">
        <w:rPr>
          <w:rFonts w:ascii="Times New Roman" w:hAnsi="Times New Roman"/>
          <w:color w:val="000000" w:themeColor="text1"/>
          <w:sz w:val="16"/>
          <w:szCs w:val="16"/>
        </w:rPr>
        <w:softHyphen/>
        <w:t>чью масла и отказами бензонасо</w:t>
      </w:r>
      <w:r w:rsidRPr="0044524F">
        <w:rPr>
          <w:rFonts w:ascii="Times New Roman" w:hAnsi="Times New Roman"/>
          <w:color w:val="000000" w:themeColor="text1"/>
          <w:sz w:val="16"/>
          <w:szCs w:val="16"/>
        </w:rPr>
        <w:softHyphen/>
        <w:t>сов (11848).</w:t>
      </w:r>
    </w:p>
    <w:p w14:paraId="06B0F075"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057C9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на ТБ-3 № 2221 поставили М-34, выпуск которых начался на заводе № 24 (9086).</w:t>
      </w:r>
    </w:p>
    <w:p w14:paraId="668A712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48159F34"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года завод № 22 продолжал сдавать некоторые самолеты ТБ-3 с моторамами под М-34, хотя стояли на них М-17. Фактически серийный выпуск развернулся с бомбарди</w:t>
      </w:r>
      <w:r w:rsidRPr="00142305">
        <w:rPr>
          <w:rFonts w:ascii="Times New Roman" w:hAnsi="Times New Roman"/>
          <w:color w:val="0070C0"/>
          <w:sz w:val="16"/>
          <w:szCs w:val="16"/>
        </w:rPr>
        <w:softHyphen/>
        <w:t>ровщика № 22281 (24937).</w:t>
      </w:r>
    </w:p>
    <w:p w14:paraId="00895B85" w14:textId="77777777" w:rsidR="008C6458" w:rsidRPr="00142305" w:rsidRDefault="008C6458" w:rsidP="008C6458">
      <w:pPr>
        <w:spacing w:after="0" w:line="240" w:lineRule="auto"/>
        <w:jc w:val="both"/>
        <w:rPr>
          <w:rFonts w:ascii="Times New Roman" w:hAnsi="Times New Roman"/>
          <w:color w:val="0070C0"/>
          <w:sz w:val="16"/>
          <w:szCs w:val="16"/>
        </w:rPr>
      </w:pPr>
    </w:p>
    <w:p w14:paraId="682377AC"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в третий раз велись госиспытания М-34 на стенде и опять неудачно — двигатель разрушился. В октябре того же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44524F">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44524F">
        <w:rPr>
          <w:rFonts w:ascii="Times New Roman" w:hAnsi="Times New Roman"/>
          <w:color w:val="000000" w:themeColor="text1"/>
          <w:sz w:val="16"/>
          <w:szCs w:val="16"/>
        </w:rPr>
        <w:softHyphen/>
        <w:t>кратно пытались восстановить вплоть до 1946 г., но этому мешала боль</w:t>
      </w:r>
      <w:r w:rsidRPr="0044524F">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гак и новым обозначением. Специальные модификации двигателя М-34 применялись на танках, са</w:t>
      </w:r>
      <w:r w:rsidRPr="0044524F">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44524F">
        <w:rPr>
          <w:rFonts w:ascii="Times New Roman" w:hAnsi="Times New Roman"/>
          <w:color w:val="000000" w:themeColor="text1"/>
          <w:sz w:val="16"/>
          <w:szCs w:val="16"/>
        </w:rPr>
        <w:softHyphen/>
        <w:t>катерах.</w:t>
      </w:r>
    </w:p>
    <w:p w14:paraId="33B2FC85"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748E3788"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12-цилиндровый, рядный У-образный, четырехтактный, водяного охлаждения;</w:t>
      </w:r>
    </w:p>
    <w:p w14:paraId="0EF5459C"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и вес в зависимости от модификации;</w:t>
      </w:r>
    </w:p>
    <w:p w14:paraId="727C260B"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6,0 (у всех массовых модификаций);</w:t>
      </w:r>
    </w:p>
    <w:p w14:paraId="1FCC72ED"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0161BC8D"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полный рабочий объем у ранних модификаций 45,82 л, начиная с</w:t>
      </w:r>
    </w:p>
    <w:p w14:paraId="1D8B2785"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ФРН — 46,66 л. М-34 выпускался в следующих модификациях:</w:t>
      </w:r>
    </w:p>
    <w:p w14:paraId="7E77D8EE"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44524F">
        <w:rPr>
          <w:rFonts w:ascii="Times New Roman" w:hAnsi="Times New Roman"/>
          <w:color w:val="000000" w:themeColor="text1"/>
          <w:sz w:val="16"/>
          <w:szCs w:val="16"/>
        </w:rPr>
        <w:softHyphen/>
        <w:t>фикация выпускалась до конца 1939 г.</w:t>
      </w:r>
    </w:p>
    <w:p w14:paraId="56CA0FF8"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20D375BC"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М-34Ф, малая серия М-34 с форсированием по оборотам без вне</w:t>
      </w:r>
      <w:r w:rsidRPr="0044524F">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6B58829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М-34Р. редукторный вариант, вес 677 кг, 750/800 л.с. Опытный об</w:t>
      </w:r>
      <w:r w:rsidRPr="0044524F">
        <w:rPr>
          <w:rFonts w:ascii="Times New Roman" w:hAnsi="Times New Roman"/>
          <w:color w:val="000000" w:themeColor="text1"/>
          <w:sz w:val="16"/>
          <w:szCs w:val="16"/>
        </w:rPr>
        <w:softHyphen/>
        <w:t>разец сделали в ноябре 1932 г. Государственные испытания успешно</w:t>
      </w:r>
    </w:p>
    <w:p w14:paraId="3D95C347"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3571431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М-34РД (он же М-34РСп), двигатель типа М-34Р специального за</w:t>
      </w:r>
      <w:r w:rsidRPr="0044524F">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44524F">
        <w:rPr>
          <w:rFonts w:ascii="Times New Roman" w:hAnsi="Times New Roman"/>
          <w:color w:val="000000" w:themeColor="text1"/>
          <w:sz w:val="16"/>
          <w:szCs w:val="16"/>
        </w:rPr>
        <w:softHyphen/>
        <w:t>ляными и водяными насосами, распредвалами, конструкцией хво</w:t>
      </w:r>
      <w:r w:rsidRPr="0044524F">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44524F">
        <w:rPr>
          <w:rFonts w:ascii="Times New Roman" w:hAnsi="Times New Roman"/>
          <w:color w:val="000000" w:themeColor="text1"/>
          <w:sz w:val="16"/>
          <w:szCs w:val="16"/>
        </w:rPr>
        <w:softHyphen/>
        <w:t>шими допусками, 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44524F">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44524F">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44524F">
        <w:rPr>
          <w:rFonts w:ascii="Times New Roman" w:hAnsi="Times New Roman"/>
          <w:color w:val="000000" w:themeColor="text1"/>
          <w:sz w:val="16"/>
          <w:szCs w:val="16"/>
        </w:rPr>
        <w:softHyphen/>
        <w:t>дарств.</w:t>
      </w:r>
    </w:p>
    <w:p w14:paraId="5527FAC9"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44524F">
        <w:rPr>
          <w:rFonts w:ascii="Times New Roman" w:hAnsi="Times New Roman"/>
          <w:color w:val="000000" w:themeColor="text1"/>
          <w:sz w:val="16"/>
          <w:szCs w:val="16"/>
        </w:rPr>
        <w:softHyphen/>
        <w:t>рованный П.И. Орловым, А.А. Микулиным и А.Н. Данилевским, ока</w:t>
      </w:r>
      <w:r w:rsidRPr="0044524F">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44524F">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79CCCFA7"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М-34Н с паротурбинным нагнетателем ПТК; нагнетатель ПТК спро</w:t>
      </w:r>
      <w:r w:rsidRPr="0044524F">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41472351"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М-34Н с нагнетателем</w:t>
      </w:r>
    </w:p>
    <w:p w14:paraId="6122B8C2"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44524F">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0C16DE9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М-34РНА, редукторный с ПЦН, включал все мелкие усовер</w:t>
      </w:r>
      <w:r w:rsidRPr="0044524F">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64671BB4"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44524F">
        <w:rPr>
          <w:rFonts w:ascii="Times New Roman" w:hAnsi="Times New Roman"/>
          <w:color w:val="000000" w:themeColor="text1"/>
          <w:sz w:val="16"/>
          <w:szCs w:val="16"/>
        </w:rPr>
        <w:softHyphen/>
        <w:t>танным ПЦН, 750/820 л.с., вес 638 кг.</w:t>
      </w:r>
    </w:p>
    <w:p w14:paraId="629EAD18"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44524F">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44524F">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44524F">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44524F">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44524F">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44524F">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44524F">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44524F">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44524F">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44524F">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7C63505A"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 для привода агрегата центрального наддува АЦН-1, сконструи</w:t>
      </w:r>
      <w:r w:rsidRPr="0044524F">
        <w:rPr>
          <w:rFonts w:ascii="Times New Roman" w:hAnsi="Times New Roman"/>
          <w:color w:val="000000" w:themeColor="text1"/>
          <w:sz w:val="16"/>
          <w:szCs w:val="16"/>
        </w:rPr>
        <w:softHyphen/>
        <w:t>рованного под руководством С.А. Трескина в 1935 г. Проходил лет</w:t>
      </w:r>
      <w:r w:rsidRPr="0044524F">
        <w:rPr>
          <w:rFonts w:ascii="Times New Roman" w:hAnsi="Times New Roman"/>
          <w:color w:val="000000" w:themeColor="text1"/>
          <w:sz w:val="16"/>
          <w:szCs w:val="16"/>
        </w:rPr>
        <w:softHyphen/>
        <w:t>ные испытания на ТБ-3.</w:t>
      </w:r>
    </w:p>
    <w:p w14:paraId="090E7659"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44524F">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44524F">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0ADEEC4F"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М-34ФРНУ, проект форсированного до 900 л.с. М-34РН с удлинен</w:t>
      </w:r>
      <w:r w:rsidRPr="0044524F">
        <w:rPr>
          <w:rFonts w:ascii="Times New Roman" w:hAnsi="Times New Roman"/>
          <w:color w:val="000000" w:themeColor="text1"/>
          <w:sz w:val="16"/>
          <w:szCs w:val="16"/>
        </w:rPr>
        <w:softHyphen/>
        <w:t>ным валом, 1933 г.</w:t>
      </w:r>
    </w:p>
    <w:p w14:paraId="251C3A1D"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М-34ФРНА, массовая серия на базе типа ФРН с четырьмя карбюра</w:t>
      </w:r>
      <w:r w:rsidRPr="0044524F">
        <w:rPr>
          <w:rFonts w:ascii="Times New Roman" w:hAnsi="Times New Roman"/>
          <w:color w:val="000000" w:themeColor="text1"/>
          <w:sz w:val="16"/>
          <w:szCs w:val="16"/>
        </w:rPr>
        <w:softHyphen/>
        <w:t>торами.</w:t>
      </w:r>
    </w:p>
    <w:p w14:paraId="46EE32D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М-34ФРНБ, массовая серия на базе типа ФРН с шестью карбюрато</w:t>
      </w:r>
      <w:r w:rsidRPr="0044524F">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44524F">
        <w:rPr>
          <w:rFonts w:ascii="Times New Roman" w:hAnsi="Times New Roman"/>
          <w:color w:val="000000" w:themeColor="text1"/>
          <w:sz w:val="16"/>
          <w:szCs w:val="16"/>
        </w:rPr>
        <w:softHyphen/>
        <w:t xml:space="preserve">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w:t>
      </w:r>
      <w:r w:rsidRPr="0044524F">
        <w:rPr>
          <w:rFonts w:ascii="Times New Roman" w:hAnsi="Times New Roman"/>
          <w:color w:val="000000" w:themeColor="text1"/>
          <w:sz w:val="16"/>
          <w:szCs w:val="16"/>
        </w:rPr>
        <w:lastRenderedPageBreak/>
        <w:t>наддув одновременно четырех М-34ФРНБ; мотоуста</w:t>
      </w:r>
      <w:r w:rsidRPr="0044524F">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44524F">
        <w:rPr>
          <w:rFonts w:ascii="Times New Roman" w:hAnsi="Times New Roman"/>
          <w:color w:val="000000" w:themeColor="text1"/>
          <w:sz w:val="16"/>
          <w:szCs w:val="16"/>
        </w:rPr>
        <w:softHyphen/>
        <w:t>тирован с тремя вариантами редуктора и двумя типами ПЦН. Впер</w:t>
      </w:r>
      <w:r w:rsidRPr="0044524F">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3B2146CF"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44524F">
        <w:rPr>
          <w:rFonts w:ascii="Times New Roman" w:hAnsi="Times New Roman"/>
          <w:color w:val="000000" w:themeColor="text1"/>
          <w:sz w:val="16"/>
          <w:szCs w:val="16"/>
        </w:rPr>
        <w:softHyphen/>
        <w:t>тов, удлиненный носок редуктора, усиленный коленвал с измененной схе</w:t>
      </w:r>
      <w:r w:rsidRPr="0044524F">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06A651D6"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М-34НФ, опытный вариант с блоками от модификации ФРНВ, допол</w:t>
      </w:r>
      <w:r w:rsidRPr="0044524F">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359E4207"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М-34ФРНВ-ТК, вариант предыдущего типа. Имел два турбонагнетате</w:t>
      </w:r>
      <w:r w:rsidRPr="0044524F">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1357E4BB"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М-34ФРГН, подробности неизвестны.</w:t>
      </w:r>
    </w:p>
    <w:p w14:paraId="2DEE99C6"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М-34РБ, в 1938-1939 гг. переделывались из М-34РНБ путем демон</w:t>
      </w:r>
      <w:r w:rsidRPr="0044524F">
        <w:rPr>
          <w:rFonts w:ascii="Times New Roman" w:hAnsi="Times New Roman"/>
          <w:color w:val="000000" w:themeColor="text1"/>
          <w:sz w:val="16"/>
          <w:szCs w:val="16"/>
        </w:rPr>
        <w:softHyphen/>
        <w:t>тажа ПЦН для повышения надежности и увеличения реечрса.</w:t>
      </w:r>
    </w:p>
    <w:p w14:paraId="358E117B"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М-34РБ</w:t>
      </w:r>
    </w:p>
    <w:p w14:paraId="26415947"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Катерный мотор ГМ-34 (ГАМ-34)</w:t>
      </w:r>
    </w:p>
    <w:p w14:paraId="340AB81C"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двигатель для торпедных катеров с реверс-редуктором, муф</w:t>
      </w:r>
      <w:r w:rsidRPr="0044524F">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1A45D04F"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1932 г. пару опытных двигателей установили на торпед</w:t>
      </w:r>
      <w:r w:rsidRPr="0044524F">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03551AC7"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72F100FB"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44524F">
        <w:rPr>
          <w:rFonts w:ascii="Times New Roman" w:hAnsi="Times New Roman"/>
          <w:color w:val="000000" w:themeColor="text1"/>
          <w:sz w:val="16"/>
          <w:szCs w:val="16"/>
        </w:rPr>
        <w:softHyphen/>
        <w:t>ность 1200 л.с., вес 1110 кг. Работал на бензин-спиртовой смеси. Се</w:t>
      </w:r>
      <w:r w:rsidRPr="0044524F">
        <w:rPr>
          <w:rFonts w:ascii="Times New Roman" w:hAnsi="Times New Roman"/>
          <w:color w:val="000000" w:themeColor="text1"/>
          <w:sz w:val="16"/>
          <w:szCs w:val="16"/>
        </w:rPr>
        <w:softHyphen/>
        <w:t>рийно выпускался с августа 1939 г.</w:t>
      </w:r>
    </w:p>
    <w:p w14:paraId="22BFA256"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2CC37F1B"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62EFFBAF"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ГМ-34БТ. вариант для танков на базе катерного с измененной си</w:t>
      </w:r>
      <w:r w:rsidRPr="0044524F">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2B97505A"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44524F">
        <w:rPr>
          <w:rFonts w:ascii="Times New Roman" w:hAnsi="Times New Roman"/>
          <w:color w:val="000000" w:themeColor="text1"/>
          <w:sz w:val="16"/>
          <w:szCs w:val="16"/>
        </w:rPr>
        <w:softHyphen/>
        <w:t>строен), К-13, МК-1, «Сталь-МАИ», МИ-3. Их применение также предусма</w:t>
      </w:r>
      <w:r w:rsidRPr="0044524F">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44524F">
        <w:rPr>
          <w:rFonts w:ascii="Times New Roman" w:hAnsi="Times New Roman"/>
          <w:color w:val="000000" w:themeColor="text1"/>
          <w:sz w:val="16"/>
          <w:szCs w:val="16"/>
        </w:rPr>
        <w:softHyphen/>
        <w:t>ского на гусеничном ходу (на базе ТШ-2), танка-вертолета Камова.</w:t>
      </w:r>
    </w:p>
    <w:p w14:paraId="66F2561F"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79DEE3C3"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76D49D62"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A6A80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литые поршни на М-38 заменили коваными, механизм газораспределения модернизировали, взяв за образец Бристоль «Меркьюри». Но заданной мощности 600 л.с. достичь -не уда</w:t>
      </w:r>
      <w:r w:rsidRPr="0044524F">
        <w:rPr>
          <w:rFonts w:ascii="Times New Roman" w:hAnsi="Times New Roman"/>
          <w:color w:val="000000" w:themeColor="text1"/>
          <w:sz w:val="16"/>
          <w:szCs w:val="16"/>
        </w:rPr>
        <w:softHyphen/>
        <w:t>лось. После принятия решения о запуске в производство американского «Циклона» ценность недоведенного М-38 сразу упала. В конце 1933 г. работу по нему прекратили.</w:t>
      </w:r>
    </w:p>
    <w:p w14:paraId="7588A58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для истребителей. Проектировался под руководством Ф.В. Концевича на заводе № 24 с 1930 г., с февраля 1931 г. в ИАМ. Общая компоновка завершена в мае 1931 г., рабочие чертежи — в янва</w:t>
      </w:r>
      <w:r w:rsidRPr="0044524F">
        <w:rPr>
          <w:rFonts w:ascii="Times New Roman" w:hAnsi="Times New Roman"/>
          <w:color w:val="000000" w:themeColor="text1"/>
          <w:sz w:val="16"/>
          <w:szCs w:val="16"/>
        </w:rPr>
        <w:softHyphen/>
        <w:t>ре 1932 г. Опытным заводом НАМ в 1932 г. изготовлены два опытных образца. Стендовые испытания проводились с осени 1932 г. Выявлены трещины в поршнях, ненадежность газораспределения. Доводка двигателя шла до осени 1933 г. Работы прекращены из-за несоответствия реальной</w:t>
      </w:r>
    </w:p>
    <w:p w14:paraId="1643F4FB"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мощности двигателя заданию и превышения веса (по заданию не более 400 кг).</w:t>
      </w:r>
    </w:p>
    <w:p w14:paraId="481A043F"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2921AE2B"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9-цилиндровый, звездообразный, четырехтактный, воздушного охлаж</w:t>
      </w:r>
      <w:r w:rsidRPr="0044524F">
        <w:rPr>
          <w:rFonts w:ascii="Times New Roman" w:hAnsi="Times New Roman"/>
          <w:color w:val="000000" w:themeColor="text1"/>
          <w:sz w:val="16"/>
          <w:szCs w:val="16"/>
        </w:rPr>
        <w:softHyphen/>
        <w:t>дения;</w:t>
      </w:r>
    </w:p>
    <w:p w14:paraId="0C2373D4"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безредукторный;</w:t>
      </w:r>
    </w:p>
    <w:p w14:paraId="471F3514"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по проекту 570/600 л.с. (фактически получено 575 л.с.);</w:t>
      </w:r>
    </w:p>
    <w:p w14:paraId="1344086D"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вес 460 кг (по заданию 450 кг);</w:t>
      </w:r>
    </w:p>
    <w:p w14:paraId="3403EE01"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135/160 мм;</w:t>
      </w:r>
    </w:p>
    <w:p w14:paraId="15CE5CE1"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полный рабочий объем 30,7 л;</w:t>
      </w:r>
    </w:p>
    <w:p w14:paraId="28CDE647"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6,0. Проектировались несколько модификаций:</w:t>
      </w:r>
    </w:p>
    <w:p w14:paraId="7E07F0A8"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М-38 без редуктора и нагнетателя.</w:t>
      </w:r>
    </w:p>
    <w:p w14:paraId="11A84615"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М-38Н с односкоростным ПЦН.</w:t>
      </w:r>
    </w:p>
    <w:p w14:paraId="7F956094"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М-38Г (М-38Гр) для гражданских самолетов на базе М-38Н.</w:t>
      </w:r>
    </w:p>
    <w:p w14:paraId="20A6FC83"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М-38РН с редуктором и ПЦН, 600 л.с., вес 430 кг (по расчету). Предлагался для истребителей И-5, И-9, И-14, И-15, корабельного раз</w:t>
      </w:r>
      <w:r w:rsidRPr="0044524F">
        <w:rPr>
          <w:rFonts w:ascii="Times New Roman" w:hAnsi="Times New Roman"/>
          <w:color w:val="000000" w:themeColor="text1"/>
          <w:sz w:val="16"/>
          <w:szCs w:val="16"/>
        </w:rPr>
        <w:softHyphen/>
        <w:t>ведчика КР-2 (11852).</w:t>
      </w:r>
    </w:p>
    <w:p w14:paraId="4131F30C" w14:textId="77777777" w:rsidR="001A7A44" w:rsidRPr="0044524F" w:rsidRDefault="001A7A4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45FBCF" w14:textId="77777777" w:rsidR="001A7A44" w:rsidRPr="0044524F" w:rsidRDefault="001A7A4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года начальник ВВС Алкснис писал письмо председателю РВС (6779).</w:t>
      </w:r>
    </w:p>
    <w:p w14:paraId="7BDA15FA" w14:textId="77777777" w:rsidR="001A7A44" w:rsidRPr="0044524F" w:rsidRDefault="001A7A4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постройке дорожки для взлета рекордного самолета на дальность.</w:t>
      </w:r>
    </w:p>
    <w:p w14:paraId="788A1998" w14:textId="77777777" w:rsidR="001A7A44" w:rsidRPr="0044524F" w:rsidRDefault="001A7A4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будет закончен постройкой к маю 1933 года.</w:t>
      </w:r>
    </w:p>
    <w:p w14:paraId="6504CD22" w14:textId="77777777" w:rsidR="001A7A44" w:rsidRPr="0044524F" w:rsidRDefault="001A7A4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Дорожка для взлета самолета должна быть построена на аэродроме НИИ ВВС в Щелкове, где она будет широко использована не только для взлета рекордного самолета на дальность, но и при целом ряде испытаний сильно перегруженных самолетов.</w:t>
      </w:r>
    </w:p>
    <w:p w14:paraId="043E875E" w14:textId="77777777" w:rsidR="001A7A44" w:rsidRPr="0044524F" w:rsidRDefault="001A7A4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………………..(6779, 30).</w:t>
      </w:r>
    </w:p>
    <w:p w14:paraId="6DDBD7D8" w14:textId="77777777" w:rsidR="001A7A44" w:rsidRPr="0044524F" w:rsidRDefault="001A7A4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863FEB"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январе 1933 г. ЦАГИ и ЦКБ на две самостоятельные организа</w:t>
      </w:r>
      <w:r w:rsidRPr="00142305">
        <w:rPr>
          <w:rStyle w:val="aff"/>
          <w:rFonts w:ascii="Times New Roman" w:hAnsi="Times New Roman" w:cs="Times New Roman"/>
          <w:color w:val="0070C0"/>
          <w:spacing w:val="0"/>
          <w:sz w:val="16"/>
          <w:szCs w:val="16"/>
        </w:rPr>
        <w:softHyphen/>
        <w:t>ции, Поликарпов становится начальником конструкторской бригады №2 ЦКБ, специа</w:t>
      </w:r>
      <w:r w:rsidRPr="00142305">
        <w:rPr>
          <w:rStyle w:val="aff"/>
          <w:rFonts w:ascii="Times New Roman" w:hAnsi="Times New Roman" w:cs="Times New Roman"/>
          <w:color w:val="0070C0"/>
          <w:spacing w:val="0"/>
          <w:sz w:val="16"/>
          <w:szCs w:val="16"/>
        </w:rPr>
        <w:softHyphen/>
        <w:t>лизирующейся на истребителях. Наряду с разработкой нового полутороплана ЦКБ-3 (И-15), уже включенного в план опытного строительства, он инициативно продолжа</w:t>
      </w:r>
      <w:r w:rsidRPr="00142305">
        <w:rPr>
          <w:rStyle w:val="aff"/>
          <w:rFonts w:ascii="Times New Roman" w:hAnsi="Times New Roman" w:cs="Times New Roman"/>
          <w:color w:val="0070C0"/>
          <w:spacing w:val="0"/>
          <w:sz w:val="16"/>
          <w:szCs w:val="16"/>
        </w:rPr>
        <w:softHyphen/>
        <w:t>ет проектирование задуманного им монопла</w:t>
      </w:r>
      <w:r w:rsidRPr="00142305">
        <w:rPr>
          <w:rStyle w:val="aff"/>
          <w:rFonts w:ascii="Times New Roman" w:hAnsi="Times New Roman" w:cs="Times New Roman"/>
          <w:color w:val="0070C0"/>
          <w:spacing w:val="0"/>
          <w:sz w:val="16"/>
          <w:szCs w:val="16"/>
        </w:rPr>
        <w:softHyphen/>
        <w:t>на. В мае 1933 г. ВВС проявляют интерес и к этому самолету, поэтому выдают Поли</w:t>
      </w:r>
      <w:r w:rsidRPr="00142305">
        <w:rPr>
          <w:rStyle w:val="aff"/>
          <w:rFonts w:ascii="Times New Roman" w:hAnsi="Times New Roman" w:cs="Times New Roman"/>
          <w:color w:val="0070C0"/>
          <w:spacing w:val="0"/>
          <w:sz w:val="16"/>
          <w:szCs w:val="16"/>
        </w:rPr>
        <w:softHyphen/>
        <w:t>карпову на него задание, не включая, одна</w:t>
      </w:r>
      <w:r w:rsidRPr="00142305">
        <w:rPr>
          <w:rStyle w:val="aff"/>
          <w:rFonts w:ascii="Times New Roman" w:hAnsi="Times New Roman" w:cs="Times New Roman"/>
          <w:color w:val="0070C0"/>
          <w:spacing w:val="0"/>
          <w:sz w:val="16"/>
          <w:szCs w:val="16"/>
        </w:rPr>
        <w:softHyphen/>
        <w:t>ко, при этом в уже сверстанный план опыт</w:t>
      </w:r>
      <w:r w:rsidRPr="00142305">
        <w:rPr>
          <w:rStyle w:val="aff"/>
          <w:rFonts w:ascii="Times New Roman" w:hAnsi="Times New Roman" w:cs="Times New Roman"/>
          <w:color w:val="0070C0"/>
          <w:spacing w:val="0"/>
          <w:sz w:val="16"/>
          <w:szCs w:val="16"/>
        </w:rPr>
        <w:softHyphen/>
        <w:t>ных работ Главного управления авиапро</w:t>
      </w:r>
      <w:r w:rsidRPr="00142305">
        <w:rPr>
          <w:rStyle w:val="aff"/>
          <w:rFonts w:ascii="Times New Roman" w:hAnsi="Times New Roman" w:cs="Times New Roman"/>
          <w:color w:val="0070C0"/>
          <w:spacing w:val="0"/>
          <w:sz w:val="16"/>
          <w:szCs w:val="16"/>
        </w:rPr>
        <w:softHyphen/>
        <w:t>мышленности (ГУАП) (25415).</w:t>
      </w:r>
    </w:p>
    <w:p w14:paraId="5E4F1A92" w14:textId="77777777" w:rsidR="008C6458" w:rsidRPr="00142305" w:rsidRDefault="008C6458" w:rsidP="008C6458">
      <w:pPr>
        <w:spacing w:after="0" w:line="240" w:lineRule="auto"/>
        <w:jc w:val="both"/>
        <w:rPr>
          <w:rFonts w:ascii="Times New Roman" w:hAnsi="Times New Roman"/>
          <w:color w:val="0070C0"/>
          <w:sz w:val="16"/>
          <w:szCs w:val="16"/>
        </w:rPr>
      </w:pPr>
    </w:p>
    <w:p w14:paraId="25F46A3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В.П.Ч. ушел из НИИ ВВС в ЦКБ (172,60).</w:t>
      </w:r>
    </w:p>
    <w:p w14:paraId="2C9C67E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Интересно, какие отношения у С.В.Ильюшина были с В.П.Чкаловым, почему он подружился не с ним - ставшим другом И.В.С., а с темным В.К.Коккинаки. Какие были отношения с другими летчиками-испытателями.</w:t>
      </w:r>
    </w:p>
    <w:p w14:paraId="0749BB5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32A3DC1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года Сталин, подводя итоги выполнения первой пятилетки, торжественно объявил: «</w:t>
      </w:r>
      <w:r w:rsidRPr="0044524F">
        <w:rPr>
          <w:rFonts w:ascii="Times New Roman" w:hAnsi="Times New Roman"/>
          <w:iCs/>
          <w:color w:val="000000" w:themeColor="text1"/>
          <w:sz w:val="16"/>
          <w:szCs w:val="16"/>
        </w:rPr>
        <w:t xml:space="preserve">У нас не было авиационной промышленности. У нас она есть теперь». </w:t>
      </w:r>
      <w:r w:rsidRPr="0044524F">
        <w:rPr>
          <w:rFonts w:ascii="Times New Roman" w:hAnsi="Times New Roman"/>
          <w:color w:val="000000" w:themeColor="text1"/>
          <w:sz w:val="16"/>
          <w:szCs w:val="16"/>
        </w:rPr>
        <w:t>Если в начале первой пятилетки авиастроение располагало 12 заводами, в большинстве своём средними и мелкими, то к её концу - 31 предприятием. Количество работающих в отрасли, увеличившись по сравнению с 1925 годом почти в 23 раза, достигло 80 000 чел. (12018)</w:t>
      </w:r>
    </w:p>
    <w:p w14:paraId="533EDA4F"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2D49E9E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в резолюции объединенного пленума ЦК и ЦКК ВКП(б) в числе построенных за первую пятилетку гигантов машиностроения были названы самолето- и авиамоторостроительные заводы в Москве, Горьком, Воронеже и в Сибири (505,94).</w:t>
      </w:r>
    </w:p>
    <w:p w14:paraId="079E4D2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Пленум посчитал пятилетку выполненной и среди результатов отметил (226,422), что СССР из страны аграрной превратился в индустриальную страну. Объем продукции крупной промышленности в 1932 втрое превысил довоенный уровень и ее вес в ВНП вырос до 70%. В с/х ввели колхозный строй. Улучшилось материальное положение трудящихся. То есть был построен фундамент социализма.</w:t>
      </w:r>
    </w:p>
    <w:p w14:paraId="5F01D68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на совещании у А.Н.Т. совместно с представителями НИИ ВВС решался вопрос “выявления физиономии самолета ТБ-6 в части вооруженгия и количества экипажа” (7425, 20).</w:t>
      </w:r>
    </w:p>
    <w:p w14:paraId="648F2C2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79DBE38F" w14:textId="77777777" w:rsidR="00B8018B" w:rsidRPr="0044524F" w:rsidRDefault="00B8018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С января 1933 года началась практическая производственная деятельность и планомерная организация завода № 21. Выпущенные в 1932 году несколько самолетов не могли служить доказательством производственной подготовленности завода и его программных возможностей. Для ликвидации прорыва Глававиапром направил на завод первого заместителя начальника самолетного треста Евгения Ивановича Мирошникова. В январе 1933 года он вступил в должность директора завода (21100).</w:t>
      </w:r>
    </w:p>
    <w:p w14:paraId="03B5E588" w14:textId="77777777" w:rsidR="00B8018B" w:rsidRPr="0044524F" w:rsidRDefault="00B8018B" w:rsidP="009654CF">
      <w:pPr>
        <w:spacing w:after="0" w:line="240" w:lineRule="auto"/>
        <w:jc w:val="both"/>
        <w:rPr>
          <w:rFonts w:ascii="Times New Roman" w:hAnsi="Times New Roman"/>
          <w:color w:val="000000" w:themeColor="text1"/>
          <w:sz w:val="16"/>
          <w:szCs w:val="16"/>
        </w:rPr>
      </w:pPr>
    </w:p>
    <w:p w14:paraId="639E398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П.И.Баранов летал в Харьков разбираться с наветами (письмо в ЦК 18 работников КБ - в т.ч. начальника военного отдела Григорова, посланное в конце 1932 г.) на К.А.К. (70,224).</w:t>
      </w:r>
    </w:p>
    <w:p w14:paraId="4811A398"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63DC3A4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(после установления дип. отношений) А.Н.Т. встречался в Америке с И.И.Сикорским - не понравились друг другу (109,88).</w:t>
      </w:r>
    </w:p>
    <w:p w14:paraId="12B49F7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3655903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комиссия Военно-морской инспекции исследовала завод 39 и именно эта комиссия обвинила А.С.Я. во вредительстве (1771,7).</w:t>
      </w:r>
    </w:p>
    <w:p w14:paraId="0B8B340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1B20690D"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 в ОТБ изготовили опытный образец «универсального двойного моста»</w:t>
      </w:r>
      <w:bookmarkStart w:id="1" w:name="bookmark44"/>
      <w:bookmarkEnd w:id="1"/>
      <w:r w:rsidRPr="00142305">
        <w:rPr>
          <w:rFonts w:ascii="Times New Roman" w:hAnsi="Times New Roman"/>
          <w:color w:val="0070C0"/>
          <w:sz w:val="16"/>
          <w:szCs w:val="16"/>
        </w:rPr>
        <w:t xml:space="preserve"> для ТБ-3, но ОТБ не располагало самоле</w:t>
      </w:r>
      <w:r w:rsidRPr="00142305">
        <w:rPr>
          <w:rFonts w:ascii="Times New Roman" w:hAnsi="Times New Roman"/>
          <w:color w:val="0070C0"/>
          <w:sz w:val="16"/>
          <w:szCs w:val="16"/>
        </w:rPr>
        <w:softHyphen/>
        <w:t>том для его установки. ТБ-3 являлись большим дефицитом, их не хватало для укомплектования бригад. Только в конце 1933 г. для испытаний выделили машину с моторами М-17. Ее использовали при пробных сбросах торпеды ТАВ-27. Само</w:t>
      </w:r>
      <w:r w:rsidRPr="00142305">
        <w:rPr>
          <w:rFonts w:ascii="Times New Roman" w:hAnsi="Times New Roman"/>
          <w:color w:val="0070C0"/>
          <w:sz w:val="16"/>
          <w:szCs w:val="16"/>
        </w:rPr>
        <w:softHyphen/>
        <w:t>лет получил специальный прицел СП-123 (впоследствии принятый на вооружение как ПВТБ-1), сброс торпеды осуществлялся механическим сбрасывателем ОТБ.</w:t>
      </w:r>
    </w:p>
    <w:p w14:paraId="456AE7BF" w14:textId="77777777" w:rsidR="008C6458" w:rsidRPr="00142305" w:rsidRDefault="008C6458" w:rsidP="008C645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оказалось, что большая и тяжелая ТАВ-27 не по силам уже потрепанному бомбардировщику. Выше 2000 м он никак не мог подняться. С 8 сентября 1934 г. ра</w:t>
      </w:r>
      <w:r w:rsidRPr="00142305">
        <w:rPr>
          <w:rFonts w:ascii="Times New Roman" w:hAnsi="Times New Roman"/>
          <w:color w:val="0070C0"/>
          <w:sz w:val="16"/>
          <w:szCs w:val="16"/>
        </w:rPr>
        <w:softHyphen/>
        <w:t>боты приостановили - прогорели клапаны моторов. 22 сентября ВВС Балтийского флота выделили ОТБ самолет с двигате</w:t>
      </w:r>
      <w:r w:rsidRPr="00142305">
        <w:rPr>
          <w:rFonts w:ascii="Times New Roman" w:hAnsi="Times New Roman"/>
          <w:color w:val="0070C0"/>
          <w:sz w:val="16"/>
          <w:szCs w:val="16"/>
        </w:rPr>
        <w:softHyphen/>
        <w:t>лями М-34, а старую машину взяли себе. Испытания продолжили, но ТАВ-27 так и не приняли на вооружение. На этом же самолете проводили летные испытания мины МАВ-2 (24937).</w:t>
      </w:r>
    </w:p>
    <w:p w14:paraId="314963ED" w14:textId="77777777" w:rsidR="008C6458" w:rsidRPr="00142305" w:rsidRDefault="008C6458" w:rsidP="008C6458">
      <w:pPr>
        <w:spacing w:after="0" w:line="240" w:lineRule="auto"/>
        <w:jc w:val="both"/>
        <w:rPr>
          <w:rFonts w:ascii="Times New Roman" w:hAnsi="Times New Roman"/>
          <w:color w:val="0070C0"/>
          <w:sz w:val="16"/>
          <w:szCs w:val="16"/>
        </w:rPr>
      </w:pPr>
    </w:p>
    <w:p w14:paraId="7656B48C"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Январь 1933 г.</w:t>
      </w:r>
    </w:p>
    <w:p w14:paraId="775942D0"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ОБРАЩЕНИЯ РУКОВОДСТВА ОСОАВИАХИМА ПРЕДСЕДАТЕЛЮ ЦКК И НАРКОМУ РКИ ТОВ. РУДЗУТАК Я.Э.</w:t>
      </w:r>
    </w:p>
    <w:p w14:paraId="36650B64"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заключением по самолету Осоавиахима АИР-7 конструкции инж. Яковлева, составленным Комиссией Военно-Морской Инспекции НК РКИ, обследовавшей завод - 39, Ц.С.ОСОАВИАХИМА СССР считает необходимым самым решительным образом протестовать против тех выводов, к которым Комиссия пришла.</w:t>
      </w:r>
    </w:p>
    <w:p w14:paraId="5D72CF79"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Свои выводы Комиссия начинает с необходимости обследования организации опытных работ Осоавиахима по постройке самолетов и пресечь техническую безконтрольность производства.</w:t>
      </w:r>
    </w:p>
    <w:p w14:paraId="188E2E20"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Ц.С. полагает, что правильнее было бы поставить вопрос о помощи Осоавиахиму, наладить и облегчить его работу по конструированию и постройке не только опытных экземпляров, но также и массового выпуска легких самолетов и моторов, вопрос над которым Осоавиахим бьется уже в течении нескольких лет и в отношении которого встречает полное равнодушие со стороны УВВС и ГУАП. Вопрос о ненормальном состоянии опытного строительства легких самолетов Осоавиахимом не раз ставился, однако, ни одна из организаций, от которых зависит окончательное его благоприятное решение, в том числе и Военно-Морская Инспекция ЦКК РКИ, куда еще летом тов. ЯКОВЛЕВЫМ была подана докладная записка о состоянии легкой авиации - помощи не оказали. Кроме Осоавиахима вопросом легко-моторной авиации никто на протяжении ряда лет не занимался, не помогал Осоавиахиму, вынужденному использовать малейшие возможности в этой области, имеющей огромнейшее и еще недооцененное значение для целей авианизации страны, подготовки и тренировки летных кадров.</w:t>
      </w:r>
    </w:p>
    <w:p w14:paraId="218C3AF3"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понятно, что не имея ни помощи, ни соответствующих кадров, ни производственно-технической базы, Осоавиахим допускал в этой части своей работы некоторое кустарничество, но зато сумел добиться проектировки и постройки нескольких десятков экземпляров легких самолетов, среди которых 6 типов тов. ЯКОВЛЕВА стоят на первом месте...</w:t>
      </w:r>
    </w:p>
    <w:p w14:paraId="1BBE2E08"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Вся работа тов. ЯКОВЛЕВА до выпуска АИР-7, как это отмечалось уже не раз целым рядом общественных организаций, учреждений Воздушного Флота, Осоавиахимом СССР, Реввоенсоветом, НАМИ, Гражданским Воздушным Флотом, Заводом - 39 и другими, а также, как это было отмечено в целом ряде центральных газет и в частности в юбилейном номере "Известий" от 1/1-33 г. - является начиная с 1924 г. исключительным проявлением общественно-трудового энтузиазма, энергии и трудоспособности, а также преданности делу социалистического строительства. Жизнь и работа тов. ЯКОВЛЕВА, проходившие все время в Осоавиахиме, начиная с работ в области моделизма, кончая большой конструкторской работой, могут служить лучшим образцом того, как работает и развивается молодежь нашего времени. За это время тов. ЯКОВЛЕВЫМ было создано три планера и шесть типов самолетов, отличающихся высокими летными качествами, поставивших 4 мировых рекорда, часть которых принята к массовому строительству, что характеризует тов. ЯКОВЛЕВА как вполне созревшего инженера и опытного руководителя созданного им Конструкторского Бюро...</w:t>
      </w:r>
    </w:p>
    <w:p w14:paraId="69F8B3C2"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ЯКОВЛЕВ, зарекомендовавший себя бесспорным авторитетом в области конструирования легких самолетов, АИР"ом-7 испробовал силы на постройке мощного современного скоростного самолета, не имеющего ничего подобного себе в СССР, являющему собой экспериментальную машину, при конструировании которой применены новые пути, неиспользованные и не имеющие опыта в наших конструкторских и исследовательских организациях. Самолет АИР-7 представлял известный технический риск, который, не скрывая, сознавал и сам ЯКОВЛЕВ, так как скорость его (325 -330) на 40 клм. превышающая скорость лучших советских истребителей, конечно, могла внести целый ряд неожиданных моментов. Предложением Комиссии тов. ЯКОВЛЕВ, кандидат партии, инженер-ударник, показавший образцы большевистской работы и темпов, имеющий исключительные достижения, зарекомендовавший себя самостоятельным конструктором, - должен быть превращен в чиновника, боящегося ответственности и под контролем старых специалистов, лишенного самостоятельности.</w:t>
      </w:r>
    </w:p>
    <w:p w14:paraId="051504ED"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Надо считать, что в этой части выводы Комиссии являются противоречащими основной установке партии в деле отношения к выдающимся специалистам, в деле прокладывания новых путей в области высокой техники, в решении задачи "догнать и перегнать".</w:t>
      </w:r>
    </w:p>
    <w:p w14:paraId="126ABDB6"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непонятным и беспочвенным является пункт 4-й требующий пересмотра вопроса о награждении тов. ЯКОВЛЕВА орденом Трудового Красного Знамени. По досадному недоразумению Комиссия полагала, очевидно, что тов. ЯКОВЛЕВ представлен к ордену в связи с выпуском АИР-7. Это неверно. Ходатайство о награждении тов. ЯКОВЛЕВА и тов. ПИОНТКОВСКОГО орденами было возбуждено полтора года тому назад после выпуска самолета АИР-5 получившего в свое время соответствующую оценку. Ходатайство о награждении явилось итогом, подведенным многолетней, плодотворной и исключительной по значению для развития советской легкой авиации работы т.т.</w:t>
      </w:r>
    </w:p>
    <w:p w14:paraId="23FC98C8"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ЯКОВЛЕВА и ПИОНТКОВСКОГО.</w:t>
      </w:r>
    </w:p>
    <w:p w14:paraId="2C7DE3D5"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отметить, что наивысшие технические достижения Советской авиации установлены на АИР"ах и принадлежат тов. ЯКОВЛЕВУ - конструктору и тов. ПИОНТКОВСКОМУ - летчику (скорость -325 клм/ч. продолжительность полета без посадки - 15,5 ч).</w:t>
      </w:r>
    </w:p>
    <w:p w14:paraId="749A3E8A"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того, как тов. ЯКОВЛЕВ, так и тов. ПИОНТКОВСКИЙ оба являются лучшими общественниками, сочетающими успешно общественную работу с непосредственными служебными обязанностями. Поэтому первоначальное ходатайство соответствующих общественных организаций завода - 39 и Ц.С. Осоавиахима, последующие ходатайства расширенного Президиума Осоавиахима СССР, в связи с выпуском самолета АИР-6 и также третье ходатайство за подписями т.т. ТУХАЧЕВСКОГО, АЛКСНИСА, УНШЛИХТА И ЭЙДЕМАНА - являются отражением общественного мнения и в полной мере соответствуют заслугам т.т. ЯКОВЛЕВА и ПИОНТКОВСКОГО.</w:t>
      </w:r>
    </w:p>
    <w:p w14:paraId="5C5E1E01"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Отсюда и то доверие, которым тов. ЯКОВЛЕВ, по заслугам, пользуется у руководства Ц.С. Осоавиахима...</w:t>
      </w:r>
    </w:p>
    <w:p w14:paraId="21B1FF88"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бы не содействие в деле строительства легкой авиации последовательно всех директоров завода - 39 (т.т. ЕВСТИГНЕЕВА, ПАУФЛЕРА, КЛЕВЦОВА, ЛЮКМАНОВА И МАРГОЛИНА) на котором производилась постройка всех самолетов АИР и директоров других заводов, где строились десятки осоавиахимовских авиэток, - к настоящему моменту не существовало бы ни единого образца самолетов массовой авиации в СССР.</w:t>
      </w:r>
    </w:p>
    <w:p w14:paraId="44A4BEDA"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имевшие место и прежние случаи травли тов. ЯКОВЛЕВА, возникшие на почве нездоровой конкуренции и зависти к успехам в его работе и учитывая также, что это создает особо неблагоприятную обстановку вокруг тов. Яковлева, нервируя его и мешая его плодотворной работе - Ц.С. Осоавиахима СССР просит Вашего авторитетного вмешательства в это дело, дабы предупредить и в дальнейшем возможность повторения подобных актов...</w:t>
      </w:r>
    </w:p>
    <w:p w14:paraId="7F3A7EBE" w14:textId="77777777"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пред. Ц.С. ОАХ СССР Л.П.Малиновский</w:t>
      </w:r>
    </w:p>
    <w:p w14:paraId="021D3F28" w14:textId="77777777" w:rsidR="000D4A20" w:rsidRPr="0044524F" w:rsidRDefault="000D4A20" w:rsidP="009654CF">
      <w:pPr>
        <w:pStyle w:val="ae"/>
        <w:spacing w:before="0" w:after="0"/>
        <w:jc w:val="both"/>
        <w:rPr>
          <w:color w:val="000000" w:themeColor="text1"/>
          <w:sz w:val="16"/>
          <w:szCs w:val="16"/>
        </w:rPr>
      </w:pPr>
      <w:r w:rsidRPr="0044524F">
        <w:rPr>
          <w:color w:val="000000" w:themeColor="text1"/>
          <w:sz w:val="16"/>
          <w:szCs w:val="16"/>
        </w:rPr>
        <w:t>ГАРФ. Ф. Р-8355. Оп. 1. Д. 374. Л. 2-7. Копия (15814).</w:t>
      </w:r>
    </w:p>
    <w:p w14:paraId="370C8606" w14:textId="77777777" w:rsidR="000D4A20" w:rsidRPr="0044524F" w:rsidRDefault="000D4A20" w:rsidP="009654CF">
      <w:pPr>
        <w:pStyle w:val="ae"/>
        <w:spacing w:before="0" w:after="0"/>
        <w:jc w:val="both"/>
        <w:rPr>
          <w:color w:val="000000" w:themeColor="text1"/>
          <w:sz w:val="16"/>
          <w:szCs w:val="16"/>
        </w:rPr>
      </w:pPr>
    </w:p>
    <w:p w14:paraId="59010FB3"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 СОК послужила осно</w:t>
      </w:r>
      <w:r w:rsidRPr="00142305">
        <w:rPr>
          <w:rFonts w:ascii="Times New Roman" w:hAnsi="Times New Roman"/>
          <w:color w:val="0070C0"/>
          <w:sz w:val="16"/>
          <w:szCs w:val="16"/>
        </w:rPr>
        <w:softHyphen/>
        <w:t>вой для создания Отдела опытных конст</w:t>
      </w:r>
      <w:r w:rsidRPr="00142305">
        <w:rPr>
          <w:rFonts w:ascii="Times New Roman" w:hAnsi="Times New Roman"/>
          <w:color w:val="0070C0"/>
          <w:sz w:val="16"/>
          <w:szCs w:val="16"/>
        </w:rPr>
        <w:softHyphen/>
        <w:t>рукций (ООК) ЦАГИ во главе с А.М.Изаксоном. В состав ООК входили четыре конст</w:t>
      </w:r>
      <w:r w:rsidRPr="00142305">
        <w:rPr>
          <w:rFonts w:ascii="Times New Roman" w:hAnsi="Times New Roman"/>
          <w:color w:val="0070C0"/>
          <w:sz w:val="16"/>
          <w:szCs w:val="16"/>
        </w:rPr>
        <w:softHyphen/>
        <w:t>рукторские бригады под руководством И.П.Братухина, В.А.Кузнецова, Н.И.Камова и Н.К.Скржинского. М.Л.Миль возглавил бригаду аэродинамических расчетов, а В.П.Лаписов - бригаду летных испыта</w:t>
      </w:r>
      <w:r w:rsidRPr="00142305">
        <w:rPr>
          <w:rFonts w:ascii="Times New Roman" w:hAnsi="Times New Roman"/>
          <w:color w:val="0070C0"/>
          <w:sz w:val="16"/>
          <w:szCs w:val="16"/>
        </w:rPr>
        <w:softHyphen/>
        <w:t>ний. С именами этих людей неразрывно связана вся история зарождения отечест</w:t>
      </w:r>
      <w:r w:rsidRPr="00142305">
        <w:rPr>
          <w:rFonts w:ascii="Times New Roman" w:hAnsi="Times New Roman"/>
          <w:color w:val="0070C0"/>
          <w:sz w:val="16"/>
          <w:szCs w:val="16"/>
        </w:rPr>
        <w:softHyphen/>
        <w:t>венного вертолетостроения. Все они, за ис</w:t>
      </w:r>
      <w:r w:rsidRPr="00142305">
        <w:rPr>
          <w:rFonts w:ascii="Times New Roman" w:hAnsi="Times New Roman"/>
          <w:color w:val="0070C0"/>
          <w:sz w:val="16"/>
          <w:szCs w:val="16"/>
        </w:rPr>
        <w:softHyphen/>
        <w:t>ключением Скржинского, впоследствии трудились на московском вертолетном за</w:t>
      </w:r>
      <w:r w:rsidRPr="00142305">
        <w:rPr>
          <w:rFonts w:ascii="Times New Roman" w:hAnsi="Times New Roman"/>
          <w:color w:val="0070C0"/>
          <w:sz w:val="16"/>
          <w:szCs w:val="16"/>
        </w:rPr>
        <w:softHyphen/>
        <w:t>воде и много сделали для его становления и развития.</w:t>
      </w:r>
    </w:p>
    <w:p w14:paraId="18C43693"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Основным направлением работ ООК ЦАГИ в 30-е годы было проектирование и строительство автожиров, т.е. винтокры</w:t>
      </w:r>
      <w:r w:rsidRPr="00142305">
        <w:rPr>
          <w:rFonts w:ascii="Times New Roman" w:hAnsi="Times New Roman"/>
          <w:color w:val="0070C0"/>
          <w:sz w:val="16"/>
          <w:szCs w:val="16"/>
        </w:rPr>
        <w:softHyphen/>
        <w:t>лых летательных аппаратов, несущий винт (ротор) которых приводился во вращение не механической трансмиссией от двигате</w:t>
      </w:r>
      <w:r w:rsidRPr="00142305">
        <w:rPr>
          <w:rFonts w:ascii="Times New Roman" w:hAnsi="Times New Roman"/>
          <w:color w:val="0070C0"/>
          <w:sz w:val="16"/>
          <w:szCs w:val="16"/>
        </w:rPr>
        <w:softHyphen/>
        <w:t>ля, а встречным потоком воздуха (25032).</w:t>
      </w:r>
    </w:p>
    <w:p w14:paraId="3A6E5223" w14:textId="77777777" w:rsidR="00EE55D6" w:rsidRPr="00142305" w:rsidRDefault="00EE55D6" w:rsidP="00EE55D6">
      <w:pPr>
        <w:spacing w:after="0" w:line="240" w:lineRule="auto"/>
        <w:jc w:val="both"/>
        <w:rPr>
          <w:rFonts w:ascii="Times New Roman" w:hAnsi="Times New Roman"/>
          <w:color w:val="0070C0"/>
          <w:sz w:val="16"/>
          <w:szCs w:val="16"/>
        </w:rPr>
      </w:pPr>
    </w:p>
    <w:p w14:paraId="5A4F8D98" w14:textId="77777777" w:rsidR="0078320D" w:rsidRPr="0044524F" w:rsidRDefault="0078320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года Базилевич писал письмо № 82/ко в ГУАП Баранову</w:t>
      </w:r>
    </w:p>
    <w:p w14:paraId="38F7D676" w14:textId="77777777" w:rsidR="0078320D" w:rsidRPr="0044524F" w:rsidRDefault="0078320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ускорить присылку материалов о выполнении программы по капитальному строительству, а также по итогам опытного строительства, просимых № 1989/ко от 28 декабря 1932 года (3530,118).</w:t>
      </w:r>
    </w:p>
    <w:p w14:paraId="16EB4955" w14:textId="77777777" w:rsidR="0078320D" w:rsidRPr="0044524F" w:rsidRDefault="0078320D" w:rsidP="009654CF">
      <w:pPr>
        <w:autoSpaceDE w:val="0"/>
        <w:autoSpaceDN w:val="0"/>
        <w:adjustRightInd w:val="0"/>
        <w:spacing w:after="0" w:line="240" w:lineRule="auto"/>
        <w:jc w:val="both"/>
        <w:rPr>
          <w:rFonts w:ascii="Times New Roman" w:hAnsi="Times New Roman"/>
          <w:color w:val="000000" w:themeColor="text1"/>
          <w:sz w:val="16"/>
          <w:szCs w:val="16"/>
        </w:rPr>
      </w:pPr>
    </w:p>
    <w:p w14:paraId="4B8F38CE" w14:textId="77777777" w:rsidR="008E51C3" w:rsidRPr="0044524F" w:rsidRDefault="008E51C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В январе 1933 года ГВФ передал имевшуюся у него особую группу самолетов — «авиаполярные экспедиции» — в ведение ГУСМП77. что позволило приступить к формированию собственной полярной авиации. Гидрографическое управление Наркомвоенмора помимо восьми (из шестнадцати действовавших тогда в Арктике) радиостанций, расположенных в зоне Карского моря — на м. Желания (Новая Земля), в проливах Маточкин Шар и Югорский Шар, на островах Вайгач и Диксон, в Маре-Сале, Новом порте (устье Оби) и Усть-Енисейском порте, передало ГУСМП еще и свое региональное подразделение — Управление по обеспечению безопасности морского плавания в Карском море и по устьям сибирских рек (УБЕКО-Сибирь) (20467).</w:t>
      </w:r>
    </w:p>
    <w:p w14:paraId="508324AE" w14:textId="77777777" w:rsidR="008E51C3" w:rsidRPr="0044524F" w:rsidRDefault="008E51C3" w:rsidP="009654CF">
      <w:pPr>
        <w:spacing w:after="0" w:line="240" w:lineRule="auto"/>
        <w:jc w:val="both"/>
        <w:rPr>
          <w:rFonts w:ascii="Times New Roman" w:hAnsi="Times New Roman"/>
          <w:color w:val="000000" w:themeColor="text1"/>
          <w:sz w:val="16"/>
          <w:szCs w:val="16"/>
        </w:rPr>
      </w:pPr>
    </w:p>
    <w:p w14:paraId="298424D5" w14:textId="77777777" w:rsidR="00B8018B" w:rsidRPr="0044524F" w:rsidRDefault="00B8018B" w:rsidP="009654CF">
      <w:pPr>
        <w:pStyle w:val="5a"/>
        <w:spacing w:line="240" w:lineRule="auto"/>
        <w:ind w:firstLine="0"/>
        <w:jc w:val="both"/>
        <w:rPr>
          <w:rFonts w:ascii="Times New Roman" w:hAnsi="Times New Roman"/>
          <w:color w:val="000000" w:themeColor="text1"/>
          <w:spacing w:val="0"/>
          <w:sz w:val="16"/>
          <w:szCs w:val="16"/>
        </w:rPr>
      </w:pPr>
      <w:r w:rsidRPr="0044524F">
        <w:rPr>
          <w:rFonts w:ascii="Times New Roman" w:hAnsi="Times New Roman"/>
          <w:color w:val="000000" w:themeColor="text1"/>
          <w:spacing w:val="0"/>
          <w:sz w:val="16"/>
          <w:szCs w:val="16"/>
          <w:lang w:bidi="ru-RU"/>
        </w:rPr>
        <w:t>В январе 1933 года, за несколько дней до занятия Гитлером поста рейхсканцлера, Гольцман всё ещё продолжал рассчитывать на техническую помощь «Люфтшиффбау Цеппелин» в рамках второго пятилетнего плана дирижаблестроения. А его преемник Уншлихт упоминал о такой возможности в записке Сталину даже в июне 1934 года, когда уже была разгромлена германская компартия, а Гитлера со товарищи советская пресса именовала не иначе как фашистскими поджигателями войны (23192).</w:t>
      </w:r>
    </w:p>
    <w:p w14:paraId="4D85CA15" w14:textId="77777777" w:rsidR="00B8018B" w:rsidRPr="0044524F" w:rsidRDefault="00B8018B" w:rsidP="009654CF">
      <w:pPr>
        <w:spacing w:after="0" w:line="240" w:lineRule="auto"/>
        <w:jc w:val="both"/>
        <w:rPr>
          <w:rFonts w:ascii="Times New Roman" w:hAnsi="Times New Roman"/>
          <w:color w:val="000000" w:themeColor="text1"/>
          <w:sz w:val="16"/>
          <w:szCs w:val="16"/>
        </w:rPr>
      </w:pPr>
    </w:p>
    <w:p w14:paraId="263ED9CE" w14:textId="77777777" w:rsidR="004A1358" w:rsidRPr="0044524F" w:rsidRDefault="004A13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года Цандер приступил к разра</w:t>
      </w:r>
      <w:r w:rsidRPr="0044524F">
        <w:rPr>
          <w:rFonts w:ascii="Times New Roman" w:hAnsi="Times New Roman"/>
          <w:color w:val="000000" w:themeColor="text1"/>
          <w:sz w:val="16"/>
          <w:szCs w:val="16"/>
        </w:rPr>
        <w:softHyphen/>
        <w:t>ботке ракеты, получившей индекс ГИРД-Х (ГИРД- десять), и двигателя для нее под индексом 0-10. 28 марта 1933 года, находясь на отдыхе в Кисло</w:t>
      </w:r>
      <w:r w:rsidRPr="0044524F">
        <w:rPr>
          <w:rFonts w:ascii="Times New Roman" w:hAnsi="Times New Roman"/>
          <w:color w:val="000000" w:themeColor="text1"/>
          <w:sz w:val="16"/>
          <w:szCs w:val="16"/>
        </w:rPr>
        <w:softHyphen/>
        <w:t>водске, Цандер скончался от сыпного тифа. На</w:t>
      </w:r>
      <w:r w:rsidRPr="0044524F">
        <w:rPr>
          <w:rFonts w:ascii="Times New Roman" w:hAnsi="Times New Roman"/>
          <w:color w:val="000000" w:themeColor="text1"/>
          <w:sz w:val="16"/>
          <w:szCs w:val="16"/>
        </w:rPr>
        <w:softHyphen/>
        <w:t>чальником бригады стал Л.К.Корнеев. Работу над ракетой продолжил Королев, работу над двигате</w:t>
      </w:r>
      <w:r w:rsidRPr="0044524F">
        <w:rPr>
          <w:rFonts w:ascii="Times New Roman" w:hAnsi="Times New Roman"/>
          <w:color w:val="000000" w:themeColor="text1"/>
          <w:sz w:val="16"/>
          <w:szCs w:val="16"/>
        </w:rPr>
        <w:softHyphen/>
        <w:t>лем - Душкин.</w:t>
      </w:r>
    </w:p>
    <w:p w14:paraId="54367566" w14:textId="77777777" w:rsidR="004A1358" w:rsidRPr="0044524F" w:rsidRDefault="004A1358" w:rsidP="009654CF">
      <w:pPr>
        <w:spacing w:after="0" w:line="240" w:lineRule="auto"/>
        <w:jc w:val="both"/>
        <w:rPr>
          <w:rFonts w:ascii="Times New Roman" w:hAnsi="Times New Roman"/>
          <w:color w:val="000000" w:themeColor="text1"/>
          <w:sz w:val="16"/>
          <w:szCs w:val="16"/>
        </w:rPr>
      </w:pPr>
      <w:bookmarkStart w:id="2" w:name="_Hlk129180225"/>
      <w:r w:rsidRPr="0044524F">
        <w:rPr>
          <w:rFonts w:ascii="Times New Roman" w:hAnsi="Times New Roman"/>
          <w:color w:val="000000" w:themeColor="text1"/>
          <w:sz w:val="16"/>
          <w:szCs w:val="16"/>
        </w:rPr>
        <w:t>Двигатель 0-10 был одним из вариантов ОР-1. Он должен был работать на жидком кислороде и бензине и развивать тягу 60-70 килограммов в течение 30 секунд. Для увеличения тяги в бензин решили добавить металл. Однако вскоре от этого сложного варианта отказались в пользу упрощенно</w:t>
      </w:r>
      <w:r w:rsidRPr="0044524F">
        <w:rPr>
          <w:rFonts w:ascii="Times New Roman" w:hAnsi="Times New Roman"/>
          <w:color w:val="000000" w:themeColor="text1"/>
          <w:sz w:val="16"/>
          <w:szCs w:val="16"/>
        </w:rPr>
        <w:softHyphen/>
        <w:t>го - без металлических добавок. Вскоре и это ва</w:t>
      </w:r>
      <w:r w:rsidRPr="0044524F">
        <w:rPr>
          <w:rFonts w:ascii="Times New Roman" w:hAnsi="Times New Roman"/>
          <w:color w:val="000000" w:themeColor="text1"/>
          <w:sz w:val="16"/>
          <w:szCs w:val="16"/>
        </w:rPr>
        <w:softHyphen/>
        <w:t>риант отвергли. Даже без металла бензин горел при бре. После доработки его установили на ра</w:t>
      </w:r>
      <w:r w:rsidRPr="0044524F">
        <w:rPr>
          <w:rFonts w:ascii="Times New Roman" w:hAnsi="Times New Roman"/>
          <w:color w:val="000000" w:themeColor="text1"/>
          <w:sz w:val="16"/>
          <w:szCs w:val="16"/>
        </w:rPr>
        <w:softHyphen/>
        <w:t>кету и наметили пер</w:t>
      </w:r>
      <w:r w:rsidRPr="0044524F">
        <w:rPr>
          <w:rFonts w:ascii="Times New Roman" w:hAnsi="Times New Roman"/>
          <w:color w:val="000000" w:themeColor="text1"/>
          <w:sz w:val="16"/>
          <w:szCs w:val="16"/>
        </w:rPr>
        <w:softHyphen/>
        <w:t>вый пуск. Пуском ру</w:t>
      </w:r>
      <w:r w:rsidRPr="0044524F">
        <w:rPr>
          <w:rFonts w:ascii="Times New Roman" w:hAnsi="Times New Roman"/>
          <w:color w:val="000000" w:themeColor="text1"/>
          <w:sz w:val="16"/>
          <w:szCs w:val="16"/>
        </w:rPr>
        <w:softHyphen/>
        <w:t>ководил Полярный. На стартовом устройстве один из механиков случайно оставил пас</w:t>
      </w:r>
      <w:r w:rsidRPr="0044524F">
        <w:rPr>
          <w:rFonts w:ascii="Times New Roman" w:hAnsi="Times New Roman"/>
          <w:color w:val="000000" w:themeColor="text1"/>
          <w:sz w:val="16"/>
          <w:szCs w:val="16"/>
        </w:rPr>
        <w:softHyphen/>
        <w:t>сатижи, и пуск не удал</w:t>
      </w:r>
      <w:r w:rsidRPr="0044524F">
        <w:rPr>
          <w:rFonts w:ascii="Times New Roman" w:hAnsi="Times New Roman"/>
          <w:color w:val="000000" w:themeColor="text1"/>
          <w:sz w:val="16"/>
          <w:szCs w:val="16"/>
        </w:rPr>
        <w:softHyphen/>
        <w:t>ся. Стремясь избежать скандала, Полярный продал часть книг сво</w:t>
      </w:r>
      <w:r w:rsidRPr="0044524F">
        <w:rPr>
          <w:rFonts w:ascii="Times New Roman" w:hAnsi="Times New Roman"/>
          <w:color w:val="000000" w:themeColor="text1"/>
          <w:sz w:val="16"/>
          <w:szCs w:val="16"/>
        </w:rPr>
        <w:softHyphen/>
        <w:t>ей богатейшей библи</w:t>
      </w:r>
      <w:r w:rsidRPr="0044524F">
        <w:rPr>
          <w:rFonts w:ascii="Times New Roman" w:hAnsi="Times New Roman"/>
          <w:color w:val="000000" w:themeColor="text1"/>
          <w:sz w:val="16"/>
          <w:szCs w:val="16"/>
        </w:rPr>
        <w:softHyphen/>
        <w:t>отеки, на вырученные деньги построил но</w:t>
      </w:r>
      <w:r w:rsidRPr="0044524F">
        <w:rPr>
          <w:rFonts w:ascii="Times New Roman" w:hAnsi="Times New Roman"/>
          <w:color w:val="000000" w:themeColor="text1"/>
          <w:sz w:val="16"/>
          <w:szCs w:val="16"/>
        </w:rPr>
        <w:softHyphen/>
        <w:t>вую ракету и вывел ее на испытания</w:t>
      </w:r>
      <w:bookmarkEnd w:id="2"/>
      <w:r w:rsidRPr="0044524F">
        <w:rPr>
          <w:rFonts w:ascii="Times New Roman" w:hAnsi="Times New Roman"/>
          <w:color w:val="000000" w:themeColor="text1"/>
          <w:sz w:val="16"/>
          <w:szCs w:val="16"/>
        </w:rPr>
        <w:t xml:space="preserve"> (23510).</w:t>
      </w:r>
    </w:p>
    <w:p w14:paraId="4842A16C" w14:textId="77777777" w:rsidR="004A1358" w:rsidRPr="0044524F" w:rsidRDefault="004A1358" w:rsidP="009654CF">
      <w:pPr>
        <w:spacing w:after="0" w:line="240" w:lineRule="auto"/>
        <w:jc w:val="both"/>
        <w:rPr>
          <w:rFonts w:ascii="Times New Roman" w:hAnsi="Times New Roman"/>
          <w:color w:val="000000" w:themeColor="text1"/>
          <w:sz w:val="16"/>
          <w:szCs w:val="16"/>
        </w:rPr>
      </w:pPr>
    </w:p>
    <w:p w14:paraId="3F377E22" w14:textId="77777777" w:rsidR="004A1358" w:rsidRPr="0044524F" w:rsidRDefault="004A13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Цандер начал проектировать эту ракету Х и двигатель для неё. Горючим для двигателя грушевидной формы служил бензин, окис</w:t>
      </w:r>
      <w:r w:rsidRPr="0044524F">
        <w:rPr>
          <w:rFonts w:ascii="Times New Roman" w:hAnsi="Times New Roman"/>
          <w:color w:val="000000" w:themeColor="text1"/>
          <w:sz w:val="16"/>
          <w:szCs w:val="16"/>
        </w:rPr>
        <w:softHyphen/>
        <w:t>лителем — жидкий кислород. Но строить его осиротевшей бригаде пришлось уже без изобретателя.</w:t>
      </w:r>
    </w:p>
    <w:p w14:paraId="4EEEA648" w14:textId="77777777" w:rsidR="004A1358" w:rsidRPr="0044524F" w:rsidRDefault="004A13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Цандер одним из первых в мире придумал регенератив</w:t>
      </w:r>
      <w:r w:rsidRPr="0044524F">
        <w:rPr>
          <w:rFonts w:ascii="Times New Roman" w:hAnsi="Times New Roman"/>
          <w:color w:val="000000" w:themeColor="text1"/>
          <w:sz w:val="16"/>
          <w:szCs w:val="16"/>
        </w:rPr>
        <w:softHyphen/>
        <w:t>ный способ охлаждения дви</w:t>
      </w:r>
      <w:r w:rsidRPr="0044524F">
        <w:rPr>
          <w:rFonts w:ascii="Times New Roman" w:hAnsi="Times New Roman"/>
          <w:color w:val="000000" w:themeColor="text1"/>
          <w:sz w:val="16"/>
          <w:szCs w:val="16"/>
        </w:rPr>
        <w:softHyphen/>
        <w:t>гателя жидким кислородом: он обтекал внутреннюю стенку каме</w:t>
      </w:r>
      <w:r w:rsidRPr="0044524F">
        <w:rPr>
          <w:rFonts w:ascii="Times New Roman" w:hAnsi="Times New Roman"/>
          <w:color w:val="000000" w:themeColor="text1"/>
          <w:sz w:val="16"/>
          <w:szCs w:val="16"/>
        </w:rPr>
        <w:softHyphen/>
        <w:t>ры сгорания перед тем, как попасть в неё. Несмотря на это, камера сгорания прогорела на первом же стендовом испытании 18 марта 1933 г. А через 10 дней Цандер умер в Кисловодске.</w:t>
      </w:r>
    </w:p>
    <w:p w14:paraId="346E0062" w14:textId="77777777" w:rsidR="004A1358" w:rsidRPr="0044524F" w:rsidRDefault="004A13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пришлось доводить до кондиции уже без него. Ка</w:t>
      </w:r>
      <w:r w:rsidRPr="0044524F">
        <w:rPr>
          <w:rFonts w:ascii="Times New Roman" w:hAnsi="Times New Roman"/>
          <w:color w:val="000000" w:themeColor="text1"/>
          <w:sz w:val="16"/>
          <w:szCs w:val="16"/>
        </w:rPr>
        <w:softHyphen/>
        <w:t>меру сгорания и сопло покрыли изнутри термостойким графи</w:t>
      </w:r>
      <w:r w:rsidRPr="0044524F">
        <w:rPr>
          <w:rFonts w:ascii="Times New Roman" w:hAnsi="Times New Roman"/>
          <w:color w:val="000000" w:themeColor="text1"/>
          <w:sz w:val="16"/>
          <w:szCs w:val="16"/>
        </w:rPr>
        <w:softHyphen/>
        <w:t>том. Бензин заменили спиртом, который при сжигании выделяет меньше тепла, чем бензин. Кроме того, спирт разбавили водой до 78 %, чтобы еще больше снизить темпера</w:t>
      </w:r>
      <w:r w:rsidRPr="0044524F">
        <w:rPr>
          <w:rFonts w:ascii="Times New Roman" w:hAnsi="Times New Roman"/>
          <w:color w:val="000000" w:themeColor="text1"/>
          <w:sz w:val="16"/>
          <w:szCs w:val="16"/>
        </w:rPr>
        <w:softHyphen/>
        <w:t>туру газа. Распылитель в центре ка</w:t>
      </w:r>
      <w:r w:rsidRPr="0044524F">
        <w:rPr>
          <w:rFonts w:ascii="Times New Roman" w:hAnsi="Times New Roman"/>
          <w:color w:val="000000" w:themeColor="text1"/>
          <w:sz w:val="16"/>
          <w:szCs w:val="16"/>
        </w:rPr>
        <w:softHyphen/>
        <w:t>меры горения подавал спирт, а кис</w:t>
      </w:r>
      <w:r w:rsidRPr="0044524F">
        <w:rPr>
          <w:rFonts w:ascii="Times New Roman" w:hAnsi="Times New Roman"/>
          <w:color w:val="000000" w:themeColor="text1"/>
          <w:sz w:val="16"/>
          <w:szCs w:val="16"/>
        </w:rPr>
        <w:softHyphen/>
        <w:t>лород поступал в её верхнюю часть и там завихрялся. То и другое вместе обеспечило эффективное смешива</w:t>
      </w:r>
      <w:r w:rsidRPr="0044524F">
        <w:rPr>
          <w:rFonts w:ascii="Times New Roman" w:hAnsi="Times New Roman"/>
          <w:color w:val="000000" w:themeColor="text1"/>
          <w:sz w:val="16"/>
          <w:szCs w:val="16"/>
        </w:rPr>
        <w:softHyphen/>
        <w:t>ние компонентов топлива и сгорание смеси.</w:t>
      </w:r>
    </w:p>
    <w:p w14:paraId="7B117C7A" w14:textId="77777777" w:rsidR="004A1358" w:rsidRPr="0044524F" w:rsidRDefault="004A13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провели новые испыта</w:t>
      </w:r>
      <w:r w:rsidRPr="0044524F">
        <w:rPr>
          <w:rFonts w:ascii="Times New Roman" w:hAnsi="Times New Roman"/>
          <w:color w:val="000000" w:themeColor="text1"/>
          <w:sz w:val="16"/>
          <w:szCs w:val="16"/>
        </w:rPr>
        <w:softHyphen/>
        <w:t>ния: тяга двигателя составила около 70 кг/сек, давление в камере сгора</w:t>
      </w:r>
      <w:r w:rsidRPr="0044524F">
        <w:rPr>
          <w:rFonts w:ascii="Times New Roman" w:hAnsi="Times New Roman"/>
          <w:color w:val="000000" w:themeColor="text1"/>
          <w:sz w:val="16"/>
          <w:szCs w:val="16"/>
        </w:rPr>
        <w:softHyphen/>
        <w:t>ния в пределах 8-10 кг/кв. см, про</w:t>
      </w:r>
      <w:r w:rsidRPr="0044524F">
        <w:rPr>
          <w:rFonts w:ascii="Times New Roman" w:hAnsi="Times New Roman"/>
          <w:color w:val="000000" w:themeColor="text1"/>
          <w:sz w:val="16"/>
          <w:szCs w:val="16"/>
        </w:rPr>
        <w:softHyphen/>
        <w:t>должительность работы двигателя от 16 до 22 секунд.</w:t>
      </w:r>
    </w:p>
    <w:p w14:paraId="68E13C18" w14:textId="77777777" w:rsidR="004A1358" w:rsidRPr="0044524F" w:rsidRDefault="004A13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ракеты была 220 см, диа</w:t>
      </w:r>
      <w:r w:rsidRPr="0044524F">
        <w:rPr>
          <w:rFonts w:ascii="Times New Roman" w:hAnsi="Times New Roman"/>
          <w:color w:val="000000" w:themeColor="text1"/>
          <w:sz w:val="16"/>
          <w:szCs w:val="16"/>
        </w:rPr>
        <w:softHyphen/>
        <w:t>метр 15,5 см, ширина по стабилиза</w:t>
      </w:r>
      <w:r w:rsidRPr="0044524F">
        <w:rPr>
          <w:rFonts w:ascii="Times New Roman" w:hAnsi="Times New Roman"/>
          <w:color w:val="000000" w:themeColor="text1"/>
          <w:sz w:val="16"/>
          <w:szCs w:val="16"/>
        </w:rPr>
        <w:softHyphen/>
        <w:t>торам 43 см, стартовый вес 29,5 кг (включая 8,5 кг топливной смеси). Предполагалось, что она поднимет 2 кг полезной нагрузки на высоту 5500 метров.</w:t>
      </w:r>
    </w:p>
    <w:p w14:paraId="23CB5497" w14:textId="77777777" w:rsidR="004A1358" w:rsidRPr="0044524F" w:rsidRDefault="004A13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Ракету удалось запустить 25 ноя</w:t>
      </w:r>
      <w:r w:rsidRPr="0044524F">
        <w:rPr>
          <w:rFonts w:ascii="Times New Roman" w:hAnsi="Times New Roman"/>
          <w:color w:val="000000" w:themeColor="text1"/>
          <w:sz w:val="16"/>
          <w:szCs w:val="16"/>
        </w:rPr>
        <w:softHyphen/>
        <w:t>бря 1933 г. Она взлетела вертикально на высоту 75-80 м, затем из-за разру</w:t>
      </w:r>
      <w:r w:rsidRPr="0044524F">
        <w:rPr>
          <w:rFonts w:ascii="Times New Roman" w:hAnsi="Times New Roman"/>
          <w:color w:val="000000" w:themeColor="text1"/>
          <w:sz w:val="16"/>
          <w:szCs w:val="16"/>
        </w:rPr>
        <w:softHyphen/>
        <w:t>шения крепления двигателя и труб</w:t>
      </w:r>
      <w:r w:rsidRPr="0044524F">
        <w:rPr>
          <w:rFonts w:ascii="Times New Roman" w:hAnsi="Times New Roman"/>
          <w:color w:val="000000" w:themeColor="text1"/>
          <w:sz w:val="16"/>
          <w:szCs w:val="16"/>
        </w:rPr>
        <w:softHyphen/>
        <w:t>ки подачи горючего круто отклони</w:t>
      </w:r>
      <w:r w:rsidRPr="0044524F">
        <w:rPr>
          <w:rFonts w:ascii="Times New Roman" w:hAnsi="Times New Roman"/>
          <w:color w:val="000000" w:themeColor="text1"/>
          <w:sz w:val="16"/>
          <w:szCs w:val="16"/>
        </w:rPr>
        <w:softHyphen/>
        <w:t>лась от вертикали, упала и разбилась в 150 метрах от места старта.</w:t>
      </w:r>
    </w:p>
    <w:p w14:paraId="4A78DF99" w14:textId="77777777" w:rsidR="004A1358" w:rsidRPr="0044524F" w:rsidRDefault="004A13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Хочу специально отметить и под</w:t>
      </w:r>
      <w:r w:rsidRPr="0044524F">
        <w:rPr>
          <w:rFonts w:ascii="Times New Roman" w:hAnsi="Times New Roman"/>
          <w:color w:val="000000" w:themeColor="text1"/>
          <w:sz w:val="16"/>
          <w:szCs w:val="16"/>
        </w:rPr>
        <w:softHyphen/>
        <w:t>черкнуть, что ракету ГИРД-10 и двига</w:t>
      </w:r>
      <w:r w:rsidRPr="0044524F">
        <w:rPr>
          <w:rFonts w:ascii="Times New Roman" w:hAnsi="Times New Roman"/>
          <w:color w:val="000000" w:themeColor="text1"/>
          <w:sz w:val="16"/>
          <w:szCs w:val="16"/>
        </w:rPr>
        <w:softHyphen/>
        <w:t>тель ОР-10 к ней бригада М. Тихоми</w:t>
      </w:r>
      <w:r w:rsidRPr="0044524F">
        <w:rPr>
          <w:rFonts w:ascii="Times New Roman" w:hAnsi="Times New Roman"/>
          <w:color w:val="000000" w:themeColor="text1"/>
          <w:sz w:val="16"/>
          <w:szCs w:val="16"/>
        </w:rPr>
        <w:softHyphen/>
        <w:t>рова построила по проекту Ф. Цанде</w:t>
      </w:r>
      <w:r w:rsidRPr="0044524F">
        <w:rPr>
          <w:rFonts w:ascii="Times New Roman" w:hAnsi="Times New Roman"/>
          <w:color w:val="000000" w:themeColor="text1"/>
          <w:sz w:val="16"/>
          <w:szCs w:val="16"/>
        </w:rPr>
        <w:softHyphen/>
        <w:t>ра (двигатель доработал Л. Душкин), а не С. Королева — вопреки лживым заявлениям многочисленных нынеш</w:t>
      </w:r>
      <w:r w:rsidRPr="0044524F">
        <w:rPr>
          <w:rFonts w:ascii="Times New Roman" w:hAnsi="Times New Roman"/>
          <w:color w:val="000000" w:themeColor="text1"/>
          <w:sz w:val="16"/>
          <w:szCs w:val="16"/>
        </w:rPr>
        <w:softHyphen/>
        <w:t>них пропагандистов культа личности «генерального конструктора» (23550).</w:t>
      </w:r>
    </w:p>
    <w:p w14:paraId="1A26DA02" w14:textId="77777777" w:rsidR="004A1358" w:rsidRPr="0044524F" w:rsidRDefault="004A1358" w:rsidP="009654CF">
      <w:pPr>
        <w:spacing w:after="0" w:line="240" w:lineRule="auto"/>
        <w:jc w:val="both"/>
        <w:rPr>
          <w:rFonts w:ascii="Times New Roman" w:hAnsi="Times New Roman"/>
          <w:color w:val="000000" w:themeColor="text1"/>
          <w:sz w:val="16"/>
          <w:szCs w:val="16"/>
        </w:rPr>
      </w:pPr>
    </w:p>
    <w:p w14:paraId="6AEB4AC0" w14:textId="0E07862C" w:rsidR="00887CC8" w:rsidRPr="00142305" w:rsidRDefault="00887CC8" w:rsidP="00887CC8">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январе 1933 г. Шевелёву,</w:t>
      </w:r>
      <w:r w:rsidR="0088747B">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rPr>
        <w:t>как первому начальнику Управления воздушной службы ГУСМ, пришлось формировать службу и принять от ГВФ под своё начало особую группу самолётов - «авиаполярные экс</w:t>
      </w:r>
      <w:r w:rsidRPr="00142305">
        <w:rPr>
          <w:rStyle w:val="aff"/>
          <w:rFonts w:ascii="Times New Roman" w:hAnsi="Times New Roman" w:cs="Times New Roman"/>
          <w:color w:val="0070C0"/>
          <w:spacing w:val="0"/>
          <w:sz w:val="16"/>
          <w:szCs w:val="16"/>
        </w:rPr>
        <w:softHyphen/>
        <w:t>педиции».</w:t>
      </w:r>
    </w:p>
    <w:p w14:paraId="5F9F8BA1"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Гидрографическое управление Наркомвоенмора передало ГУСМП помимо 8 (из 16 действовавших тогда в Арктике) радиостанций, расположенных в зоне Карского моря на м. Желания (Новая Земля), в проливах Маточ</w:t>
      </w:r>
      <w:r w:rsidRPr="00142305">
        <w:rPr>
          <w:rStyle w:val="aff"/>
          <w:rFonts w:ascii="Times New Roman" w:hAnsi="Times New Roman" w:cs="Times New Roman"/>
          <w:color w:val="0070C0"/>
          <w:spacing w:val="0"/>
          <w:sz w:val="16"/>
          <w:szCs w:val="16"/>
        </w:rPr>
        <w:softHyphen/>
        <w:t>кин Шар и Югорский Шар, на островах Вайгач и Диксон, в Маре-Сале, Новом порте (устье Оби) и Усть-Енисейском порте, ещё и своё региональное подразделение Управление по обеспечен ию безопасности морского плавания в Карском море и по устьям сибирских рек (УБЕКО-Сибирь) (25653),</w:t>
      </w:r>
    </w:p>
    <w:p w14:paraId="06BC7E47" w14:textId="77777777" w:rsidR="00887CC8" w:rsidRPr="00142305" w:rsidRDefault="00887CC8" w:rsidP="00887CC8">
      <w:pPr>
        <w:spacing w:after="0" w:line="240" w:lineRule="auto"/>
        <w:jc w:val="both"/>
        <w:rPr>
          <w:rFonts w:ascii="Times New Roman" w:hAnsi="Times New Roman"/>
          <w:color w:val="0070C0"/>
          <w:sz w:val="16"/>
          <w:szCs w:val="16"/>
        </w:rPr>
      </w:pPr>
    </w:p>
    <w:p w14:paraId="767E5943" w14:textId="0F71EDBA" w:rsidR="000D4A20" w:rsidRPr="0044524F" w:rsidRDefault="000D4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на базе бывшего технического отдела Дирижаблестроя было создано новое подразделение - Дирижаблестроительная верфь. Задачами ее являлись постройка дирижаблей, производство сфероаэростатов и необходимого для эксплуатации воздухоплавательного инвентаря, организация всевозможных опытных работ для КБ и НИО, капитальный и текущий ремонт имеющегося дирижабельного парка [14, л. 70]. Основными объектами строительства верфи в 1933-34 гг. были полужесткие дирижабли В-5 (2150 м3) и В-6 (18 500 м3 ). В 1933 г. первоначально планировалось выпустить 2 дирижабля В-5, дирижабль В-6 на 100% и В-6 бис на 60%. Фактически в течение года был полностью построен один В-5 (в апреле), а В-6 к концу года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построен на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50% [8, л.12-15]. Строительство первого советского полужесткого дирижабля В-5 проходило в сложных условиях (15797).</w:t>
      </w:r>
    </w:p>
    <w:p w14:paraId="68336250" w14:textId="77777777" w:rsidR="000D4A20" w:rsidRPr="0044524F" w:rsidRDefault="000D4A20" w:rsidP="009654CF">
      <w:pPr>
        <w:spacing w:after="0" w:line="240" w:lineRule="auto"/>
        <w:jc w:val="both"/>
        <w:rPr>
          <w:rFonts w:ascii="Times New Roman" w:hAnsi="Times New Roman"/>
          <w:color w:val="000000" w:themeColor="text1"/>
          <w:sz w:val="16"/>
          <w:szCs w:val="16"/>
        </w:rPr>
      </w:pPr>
    </w:p>
    <w:p w14:paraId="47AF128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январе 1933 г. был разработан первоначальный проект аэростата Осоавиахим-1, который предусматривал объем 20.000 кб м при потолке 10-20 тыс. метров, продолжительность пребывания в воздухе 6-12 часов из расчета: 2-3 часа для достижения потолка, 2-3 часа пребывания на потолке и спуск. Маневренный балласт 300 кг, балласт посадочный 300 кг — дробь свинцовая. </w:t>
      </w:r>
    </w:p>
    <w:p w14:paraId="2266E6F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1934 г. проект был пересмотрен в сторону увеличения: объем до 22.450 м</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60B7595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июне месяце проект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кгр достигал зоны равновесия на 19.500 м. </w:t>
      </w:r>
    </w:p>
    <w:p w14:paraId="74EC112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17 августа 1934 г.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1F5A4914"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65B24454"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02F42FF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w:t>
      </w:r>
      <w:r w:rsidRPr="0044524F">
        <w:rPr>
          <w:rFonts w:ascii="Times New Roman" w:hAnsi="Times New Roman"/>
          <w:color w:val="000000" w:themeColor="text1"/>
          <w:sz w:val="16"/>
          <w:szCs w:val="16"/>
        </w:rPr>
        <w:lastRenderedPageBreak/>
        <w:t xml:space="preserve">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6CE114AF"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Так в тексте; правильно: Васенко. </w:t>
      </w:r>
    </w:p>
    <w:p w14:paraId="11E3646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 Так в тексте; правильно: 1933 г. </w:t>
      </w:r>
    </w:p>
    <w:p w14:paraId="5B8EAFE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 * Так в тексте; правильно: 1933 г. </w:t>
      </w:r>
    </w:p>
    <w:p w14:paraId="0BFE585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 * Так в тексте; правильно: Васенко (11611).</w:t>
      </w:r>
    </w:p>
    <w:p w14:paraId="37905A1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6E96F6A3"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январе 1933 года на совместном заседании коллегии Аэрофлота и Технического совета Дирижаблестроя Нобиле выступил с обширным докладом о положении дел с проектированием нового дирижабля. Он подробно рассказал об изменениях, внесённых в его конструкцию, и сообщил, что выполнено уже 1750 чертежей, а оставшуюся небольшую часть можно закончить в течение февраля.</w:t>
      </w:r>
    </w:p>
    <w:p w14:paraId="3080CFFD"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заключение прозвучали похвала в адрес конструкторского бюро, возглавляемого самим докладчиком, за «огромное дело, выполненное в короткий срок» и предупреждение: работа над детальными чертежами продлится вплоть до окончания приёмных испытаний корабля и будет часто сопряжена с внесением исправлений и изменений - это совершенно естественно, и по-другому быть не может.</w:t>
      </w:r>
    </w:p>
    <w:p w14:paraId="58B7F1A7"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Однако производственники то и дело возвращали в конструкторское бюро десятки и даже сотни чертежей, требующих переделки вовсе не по «естественным», а по совсем другим причинам: из-за ошибок, допущенных в спешке, по небрежности, ввиду низкой квалификации инженеров и чертёжников, отсутствия элементарной дисциплины (23192).</w:t>
      </w:r>
    </w:p>
    <w:p w14:paraId="23BE7E38" w14:textId="77777777" w:rsidR="005E5E71" w:rsidRPr="0044524F" w:rsidRDefault="005E5E71" w:rsidP="009654CF">
      <w:pPr>
        <w:spacing w:after="0" w:line="240" w:lineRule="auto"/>
        <w:jc w:val="both"/>
        <w:rPr>
          <w:rFonts w:ascii="Times New Roman" w:hAnsi="Times New Roman"/>
          <w:color w:val="000000" w:themeColor="text1"/>
          <w:sz w:val="16"/>
          <w:szCs w:val="16"/>
        </w:rPr>
      </w:pPr>
    </w:p>
    <w:p w14:paraId="5DFCE90F"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январе 1933 года на заседании коллегии Аэрофлота Нобиле докладывал:</w:t>
      </w:r>
    </w:p>
    <w:p w14:paraId="4A85BF90"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...Предусмотрена возможность того, что в исключительных случаях дирижабль сможет применяться... для военных целей: как для разведочной службы, так и для бомбардировки. Имея в виду именно эти возможности, и была установлена необходимость увеличить помещение пассажиров так, чтобы в случае необходимости дирижабль быстро можно было бы переоборудовать в военный дирижабль. Этого можно достичь, сняв всё оборудование для пассажиров, и установить по бокам гондолы и на верху дирижабля определённое количество пулемётов, а вдоль киля некоторое количество бомбосбрасывателей. Они будут распределены вокруг центра объёма таким образом, что сбрасывание бомб не особенно нарушит статическое равновесие дирижабля.</w:t>
      </w:r>
    </w:p>
    <w:p w14:paraId="0812CC5C"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При ближайшем рассмотрении оказалось, что бомбодержатели и пулемётные площадки в действительности не предусмотрены расчётами и не заложены в проект, а освобождение пассажирской каюты от мебели само по себе не превратило бы корабль 18500 в военный. Инженеры НИИ ВВС дали отрицательный отзыв о качестве дирижабля, одновременно указав, каким образом исправить положение:</w:t>
      </w:r>
    </w:p>
    <w:p w14:paraId="54369F1E"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Полужёсткий дирижабль объёмом 18500 м... тактико-техническим требованиям НИИ ВВС. не удовлетворяет.</w:t>
      </w:r>
    </w:p>
    <w:p w14:paraId="4E83167E"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Вследствие чего перед этим дирижаблем может быть поставлена только часть задач, перечисленных в требованиях НИИ, а именно:</w:t>
      </w:r>
    </w:p>
    <w:p w14:paraId="1602BC63" w14:textId="3D23ABBD" w:rsidR="005E5E71" w:rsidRPr="0044524F" w:rsidRDefault="005E5E71" w:rsidP="009654CF">
      <w:pPr>
        <w:widowControl w:val="0"/>
        <w:tabs>
          <w:tab w:val="left" w:pos="32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 разведка моря,</w:t>
      </w:r>
    </w:p>
    <w:p w14:paraId="0201E8ED" w14:textId="52FD5DBD" w:rsidR="005E5E71" w:rsidRPr="0044524F" w:rsidRDefault="005E5E71" w:rsidP="009654CF">
      <w:pPr>
        <w:widowControl w:val="0"/>
        <w:tabs>
          <w:tab w:val="left" w:pos="34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 охрана побережья,</w:t>
      </w:r>
    </w:p>
    <w:p w14:paraId="1E51801A" w14:textId="1A2DA21B" w:rsidR="005E5E71" w:rsidRPr="0044524F" w:rsidRDefault="005E5E71" w:rsidP="009654CF">
      <w:pPr>
        <w:widowControl w:val="0"/>
        <w:tabs>
          <w:tab w:val="left" w:pos="34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3) розыск и уничтожение подводных лодок противника,</w:t>
      </w:r>
    </w:p>
    <w:p w14:paraId="37AC1B2C" w14:textId="0E2441BD" w:rsidR="005E5E71" w:rsidRPr="0044524F" w:rsidRDefault="005E5E71" w:rsidP="009654CF">
      <w:pPr>
        <w:widowControl w:val="0"/>
        <w:tabs>
          <w:tab w:val="left" w:pos="34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4) конвоирование морских судов и</w:t>
      </w:r>
    </w:p>
    <w:p w14:paraId="609B3A87" w14:textId="0D79710C" w:rsidR="005E5E71" w:rsidRPr="0044524F" w:rsidRDefault="005E5E71" w:rsidP="009654CF">
      <w:pPr>
        <w:widowControl w:val="0"/>
        <w:tabs>
          <w:tab w:val="left" w:pos="33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5) транспортировка людей и военных грузов.</w:t>
      </w:r>
    </w:p>
    <w:p w14:paraId="3E213B30"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Использование этого дирижабля как бомбардировщика на сухопутном театре, вследствие небольшой полётной его высоты, исключается.</w:t>
      </w:r>
    </w:p>
    <w:p w14:paraId="1BE87ABB"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целях возможности выполнения этим дирижаблем вышеперечисленных задач необходимо до сдачи проекта в производство доработать его в отношении возможности использования дирижабля для военного применения, исходя из следующих соображений:</w:t>
      </w:r>
    </w:p>
    <w:p w14:paraId="40B906B0" w14:textId="200E3D2D" w:rsidR="005E5E71" w:rsidRPr="0044524F" w:rsidRDefault="005E5E71" w:rsidP="009654CF">
      <w:pPr>
        <w:widowControl w:val="0"/>
        <w:tabs>
          <w:tab w:val="left" w:pos="33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 Дирижабль должен иметь стрелковое вооружение, состоящее из крупнокалиберных и 3-х линейных пулемётов, в целях самообороны, в количестве, достаточном для обстрела верхней и нижней полусфер дирижабля.</w:t>
      </w:r>
    </w:p>
    <w:p w14:paraId="154274F8" w14:textId="653CEDEA" w:rsidR="005E5E71" w:rsidRPr="0044524F" w:rsidRDefault="005E5E71" w:rsidP="009654CF">
      <w:pPr>
        <w:widowControl w:val="0"/>
        <w:tabs>
          <w:tab w:val="left" w:pos="34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 Помимо стрелкового вооружения, должна быть обеспечена возможность подвески к дирижаблю бомб до 3-х тонн.</w:t>
      </w:r>
    </w:p>
    <w:p w14:paraId="318DF834" w14:textId="61B3862A" w:rsidR="005E5E71" w:rsidRPr="0044524F" w:rsidRDefault="005E5E71" w:rsidP="009654CF">
      <w:pPr>
        <w:widowControl w:val="0"/>
        <w:tabs>
          <w:tab w:val="left" w:pos="34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3) Должна быть предусмотрена возможность, взамен бомб и части горючего, размещения на дирижабле воинской вооружённой команды до 50 чел. и</w:t>
      </w:r>
    </w:p>
    <w:p w14:paraId="2E77BFE1" w14:textId="378A6AA6" w:rsidR="005E5E71" w:rsidRPr="0044524F" w:rsidRDefault="005E5E71" w:rsidP="009654CF">
      <w:pPr>
        <w:widowControl w:val="0"/>
        <w:tabs>
          <w:tab w:val="left" w:pos="34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4) Подвеска к дирижаблю сосредоточенного груза до 5 тонн.</w:t>
      </w:r>
    </w:p>
    <w:p w14:paraId="4308DE2D" w14:textId="77777777" w:rsidR="005E5E71" w:rsidRPr="0044524F" w:rsidRDefault="005E5E71"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Для чего необходимо разработать схему вооружения дирижабля, спроектировать и построить на дирижабле пулемётные гнёзда, шахты выхода к пулемётам, расположенным на верху оболочки дирижабля, связь между командиром корабля и пулемётчиками и бомбардирами, приспособления для подвески бомб и размещения людей с возможностью выбрасывания последних на парашютах в течение 20 секунд.</w:t>
      </w:r>
    </w:p>
    <w:p w14:paraId="46402A1B"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Всё перечисленное следовало не просто предусмотреть теоретически, а реально осуществить, иначе Наркомвоенмор отказывался принимать дирижабль на государственные испытания. Кроме того, в НИИ ВВС считали недопустимым устанавливать на корабль импортные моторы, если возможность их замены советскими даже не закладывается в проект.</w:t>
      </w:r>
    </w:p>
    <w:p w14:paraId="269C2BC5"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Для выполнения поставленных условий нужно было не просто «доработать проект», а фактически спроектировать дирижабль заново, внеся существенные изменения в конструкцию, что отодвинуло бы его выпуск на год, а то и на два. Вопрос с моторами вовсе не имел решения: отечественного двигателя, специализированного для использования на дирижаблях, на тот момент не существовало не только как серийного изделия, но даже как законченного проекта.</w:t>
      </w:r>
    </w:p>
    <w:p w14:paraId="5047F5DD"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Сложилась тупиковая ситуация: авторы отзыва, следуя букве закона, были непреклонны и обещали жаловаться в Реввоенсовет, если дирижаблестроители продолжат «игнорировать вопросы приспособления строящихся дирижаблей для военного использования». Требовалось решение на самом верху, чтобы в порядке исключения освободить корабль 18500 от «военной повинности», и оно, очевидно, было принято: дирижабль продолжили строить без изменений, в первоначально задуманном виде - непригодным для устройства пулемётных гнёзд, перевозки бомб и десанта. Так «СССР-В6» оказался ненужным Наркомвоенмору ещё до ввода в строй (23192).</w:t>
      </w:r>
    </w:p>
    <w:p w14:paraId="73AFFC32" w14:textId="77777777" w:rsidR="005E5E71" w:rsidRPr="0044524F" w:rsidRDefault="005E5E71" w:rsidP="009654CF">
      <w:pPr>
        <w:spacing w:after="0" w:line="240" w:lineRule="auto"/>
        <w:jc w:val="both"/>
        <w:rPr>
          <w:rFonts w:ascii="Times New Roman" w:hAnsi="Times New Roman"/>
          <w:color w:val="000000" w:themeColor="text1"/>
          <w:sz w:val="16"/>
          <w:szCs w:val="16"/>
        </w:rPr>
      </w:pPr>
    </w:p>
    <w:p w14:paraId="471A7C4C" w14:textId="77777777" w:rsidR="0078320D" w:rsidRPr="0044524F" w:rsidRDefault="0078320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в ЦАГИ из Русской гавани пришла телеграмма, что аэросани - хороши и что горный хребет в центральной части Новой Земли назван Хребет ЦАГИ (71,100).</w:t>
      </w:r>
    </w:p>
    <w:p w14:paraId="5E1F4553" w14:textId="77777777" w:rsidR="0078320D" w:rsidRPr="0044524F" w:rsidRDefault="0078320D" w:rsidP="009654CF">
      <w:pPr>
        <w:autoSpaceDE w:val="0"/>
        <w:autoSpaceDN w:val="0"/>
        <w:adjustRightInd w:val="0"/>
        <w:spacing w:after="0" w:line="240" w:lineRule="auto"/>
        <w:jc w:val="both"/>
        <w:rPr>
          <w:rFonts w:ascii="Times New Roman" w:hAnsi="Times New Roman"/>
          <w:color w:val="000000" w:themeColor="text1"/>
          <w:sz w:val="16"/>
          <w:szCs w:val="16"/>
        </w:rPr>
      </w:pPr>
    </w:p>
    <w:p w14:paraId="177D2902" w14:textId="77777777" w:rsidR="005E5E71" w:rsidRPr="0044524F" w:rsidRDefault="005E5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из Русской Гавани в ЦАГИ пришла телеграмма: "Аэросани ЦАГИ (АНТ-IV) успешно использованы экспедицией Арктического института при изучении совершенно неизвестных областей северной части Новой Земли, Горный хребет, открытый в центральной чисти Новой Земли, в честь Института назван "Хребтом ЦАГИ" (21489).</w:t>
      </w:r>
    </w:p>
    <w:p w14:paraId="379AEBCC" w14:textId="77777777" w:rsidR="005E5E71" w:rsidRPr="0044524F" w:rsidRDefault="005E5E71" w:rsidP="009654CF">
      <w:pPr>
        <w:spacing w:after="0" w:line="240" w:lineRule="auto"/>
        <w:jc w:val="both"/>
        <w:rPr>
          <w:rFonts w:ascii="Times New Roman" w:hAnsi="Times New Roman"/>
          <w:color w:val="000000" w:themeColor="text1"/>
          <w:sz w:val="16"/>
          <w:szCs w:val="16"/>
        </w:rPr>
      </w:pPr>
    </w:p>
    <w:p w14:paraId="37DC5B87"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BB00E9B"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C2D0B8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года в село Путилово под командованием военного инженера 1 ранга В.П.Серебрякова прибыли первые сотрудники полигона: М.Ф.Тимофеев, В.Д.Иващенко, Ф.В.Колимбет, Н.А.Тураев, И.Ф.Бодров и др. Начались изыскательские и геодезические работы, затем расчистка трассы.</w:t>
      </w:r>
    </w:p>
    <w:p w14:paraId="771F1A5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организации полигон назывался Московским контрольно-испытательным полигоном опытно-артиллерийским полигоном. Впервые он упоминается как Софринский в постановлении СНК СССР №1917-421с от 05 сентября 1933 года о переносе Гроховецкого полигона на Софринский полигон. Штат сотрудников полигона начал комплектоваться в основном работниками бывшего военсклада №51 (г.Ростов Ярославской обл.), расформированном в конце 1932 года. Первыми сотрудниками полигона были:</w:t>
      </w:r>
    </w:p>
    <w:p w14:paraId="7F43856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полигона – Серебряков В.П.</w:t>
      </w:r>
    </w:p>
    <w:p w14:paraId="5C629B6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политрук – Турукин Г.М.</w:t>
      </w:r>
    </w:p>
    <w:p w14:paraId="4DF0EBE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технической части - Кораблин Н.П.</w:t>
      </w:r>
    </w:p>
    <w:p w14:paraId="2E95DD5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АХЧ – Лазарев Д.Е.</w:t>
      </w:r>
    </w:p>
    <w:p w14:paraId="465870A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49E7672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также Тураев Н.А, руководивший переброской имущества расформированного склада №51 к месту строительства нового полигона и Бодров И.Ф. (12071)</w:t>
      </w:r>
    </w:p>
    <w:p w14:paraId="4D6E0A6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11910DB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были проведены стрельбы из БПК Курчевского 76-мм оперенными минами. Для превращения БПК в миномет требовалось:</w:t>
      </w:r>
    </w:p>
    <w:p w14:paraId="04C7331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Вырыть яму под колесами такой глубины, чтобы ось и станины (рама) плотно прилегали к грунту.</w:t>
      </w:r>
    </w:p>
    <w:p w14:paraId="68FEDF0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Отвинтить сопло и вставить специальное приспособление для превращения БПК в миномет типа «Стокс». Приспособление удерживалось затвором (стрельба велась при закрытом затворе).</w:t>
      </w:r>
    </w:p>
    <w:p w14:paraId="14BDFC5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Освободить подъемный механизм системы, перевернуть ствол в сторону стрельбы и, придав угол возвышения 45°, закрепить подъемный механизм в этом положении. Казенная часть пушки будет в центре рамы.</w:t>
      </w:r>
    </w:p>
    <w:p w14:paraId="57853F7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БПК становилась минометом, стрелявшим под фиксированным углом 45°.</w:t>
      </w:r>
    </w:p>
    <w:p w14:paraId="2DE066C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 проекту вес мины 3,3 кг, а стреляли минами весом 3,6 кг. Заряд состоял из готового хвостового патрона 12 калибра, содержавшего 8 г черного пороха, и четырех мешочков по 10 г пороха «Волк» (5-й вариант, остальные варианты имели приблизительно такие же компоненты).</w:t>
      </w:r>
    </w:p>
    <w:p w14:paraId="14D318F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ходе стрельб получена максимальная дальность — 1145 м. Часть мин разрывалась в полете, у некоторых мин при стрельбе отлетали стабилизаторы.</w:t>
      </w:r>
    </w:p>
    <w:p w14:paraId="0171723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были признаны неудачными, и больше из БПК минами не стреляли.</w:t>
      </w:r>
    </w:p>
    <w:p w14:paraId="783710C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Войсковые испытания 76-мм БПК проводились в июле 1932 г. в Пролетарской московской стрелковой дивизии и в 4-й кавалерийской дивизии. В результате 76-мм батальонная пушка Курчевского была принята на вооружение постановлением Реввоенсовета от 16 августа 1932 г.</w:t>
      </w:r>
    </w:p>
    <w:p w14:paraId="738A8A1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БПК серийно производили на трех заводах.</w:t>
      </w:r>
    </w:p>
    <w:p w14:paraId="24E1635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одной БПК составляла 10 тыс. рублей.</w:t>
      </w:r>
    </w:p>
    <w:p w14:paraId="75AD9EC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БПК была, видимо, лучшей системой Курчевского. Но, увы, наряду с конструктивными недостатками пушек Курчевского она имела неудачный лафет. Лафет был легок, но непрочен. Он не разбирался и не был пригоден для перевозки в тачанке, как ДРП-4 (12091).</w:t>
      </w:r>
    </w:p>
    <w:p w14:paraId="20B0464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2583F412"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были проведены стрельбы из БПК 76-мм оперенными минами. Для превращения БПК в миномет требовалось:</w:t>
      </w:r>
    </w:p>
    <w:p w14:paraId="523722D1"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Вырыть яму под колесами такой глубины, чтобы ось и станины (рама) плотно прилегали к грунту.</w:t>
      </w:r>
    </w:p>
    <w:p w14:paraId="283F8252"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Отвинтить сопло и вставить специальное приспособление для превращения БПК в миномет типа «Стоке». Приспособление удерживалось затвором (стрельба велась при закрытом затворе).</w:t>
      </w:r>
    </w:p>
    <w:p w14:paraId="277747D3"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Освободить подъемный механизм системы, перевернуть ствол в сторону стрельбы и, придав угол возвышения 45°, закрепить подъемный механизм в этом положении. Казенная часть пушки будет в центре рамы.</w:t>
      </w:r>
    </w:p>
    <w:p w14:paraId="260B40CC"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БПК становилась минометом, стрелявшим под фиксированным углом 45°.</w:t>
      </w:r>
    </w:p>
    <w:p w14:paraId="18C18F1B"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проекту вес мины — 3,3 кг, а стреляли минами весом 3,6 кг. Заряд состоял из готового хвостового патрона 12-го калибра, содержавшего 8 г черного пороха, и четырех мешочков по 10 г пороха «Волк» (5-й вариант, остальные варианты имели приблизительно такие же компоненты).</w:t>
      </w:r>
    </w:p>
    <w:p w14:paraId="549BACBD"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ходе стрельб получена максимальная дальность 1145 м. Часть мин разрывалась в полете, у некоторых мин при стрельбе отлетали стабилизаторы.</w:t>
      </w:r>
    </w:p>
    <w:p w14:paraId="733EB5C2"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были признаны неудачными, и больше из БПК минами не стреляли.</w:t>
      </w:r>
    </w:p>
    <w:p w14:paraId="47CFD148"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Войсковые испытания 76-мм ВПК проводились в июле 1932 г. в Московской стрелковой Пролетарской дивизии и в 4-й кавалерийской дивизии. В результате 76-мм батальонная пушка Курчевского была принята на вооружение постановлением Реввоенсовета от 16 августа 1932 г.</w:t>
      </w:r>
    </w:p>
    <w:p w14:paraId="0A9C901A"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ВПК серийно производили на трех заводах.</w:t>
      </w:r>
    </w:p>
    <w:p w14:paraId="3350D9DD" w14:textId="77777777" w:rsidR="006C4F6D" w:rsidRPr="0044524F" w:rsidRDefault="006C4F6D" w:rsidP="009654CF">
      <w:pPr>
        <w:spacing w:after="0" w:line="240" w:lineRule="auto"/>
        <w:jc w:val="both"/>
        <w:rPr>
          <w:rFonts w:ascii="Times New Roman" w:hAnsi="Times New Roman"/>
          <w:bCs/>
          <w:color w:val="000000" w:themeColor="text1"/>
          <w:sz w:val="16"/>
          <w:szCs w:val="16"/>
        </w:rPr>
      </w:pPr>
      <w:bookmarkStart w:id="3" w:name="label49"/>
      <w:bookmarkStart w:id="4" w:name="label50"/>
      <w:bookmarkEnd w:id="3"/>
      <w:bookmarkEnd w:id="4"/>
      <w:r w:rsidRPr="0044524F">
        <w:rPr>
          <w:rFonts w:ascii="Times New Roman" w:hAnsi="Times New Roman"/>
          <w:bCs/>
          <w:color w:val="000000" w:themeColor="text1"/>
          <w:sz w:val="16"/>
          <w:szCs w:val="16"/>
        </w:rPr>
        <w:t>Производство БПК</w:t>
      </w:r>
    </w:p>
    <w:p w14:paraId="3FC2B167" w14:textId="77777777" w:rsidR="006C4F6D" w:rsidRPr="0044524F" w:rsidRDefault="006C4F6D" w:rsidP="009654CF">
      <w:pPr>
        <w:spacing w:after="0" w:line="240" w:lineRule="auto"/>
        <w:jc w:val="both"/>
        <w:rPr>
          <w:rFonts w:ascii="Times New Roman" w:hAnsi="Times New Roman"/>
          <w:bCs/>
          <w:color w:val="000000" w:themeColor="text1"/>
          <w:sz w:val="16"/>
          <w:szCs w:val="16"/>
        </w:rPr>
      </w:pPr>
      <w:bookmarkStart w:id="5" w:name="label51"/>
      <w:bookmarkEnd w:id="5"/>
      <w:r w:rsidRPr="0044524F">
        <w:rPr>
          <w:rFonts w:ascii="Times New Roman" w:hAnsi="Times New Roman"/>
          <w:bCs/>
          <w:color w:val="000000" w:themeColor="text1"/>
          <w:sz w:val="16"/>
          <w:szCs w:val="16"/>
          <w:vertAlign w:val="superscript"/>
        </w:rPr>
        <w:t>Завод …… 1932 г. (План / Изготовлено) … 1933 г. (План / Изготовлено) … 1934 г. (План / Изготовлено) … 1935 г. (План / Изготовлено)</w:t>
      </w:r>
    </w:p>
    <w:p w14:paraId="2B1C8626"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 (— / —) … (100 / 74) … (203 / 216) … (106 / 114)</w:t>
      </w:r>
    </w:p>
    <w:p w14:paraId="00532F75"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 (— / 3) … (100 / 3) … (</w:t>
      </w:r>
      <w:r w:rsidRPr="0044524F">
        <w:rPr>
          <w:rFonts w:ascii="Times New Roman" w:hAnsi="Times New Roman"/>
          <w:iCs/>
          <w:color w:val="000000" w:themeColor="text1"/>
          <w:sz w:val="16"/>
          <w:szCs w:val="16"/>
        </w:rPr>
        <w:t>—</w:t>
      </w:r>
      <w:r w:rsidRPr="0044524F">
        <w:rPr>
          <w:rFonts w:ascii="Times New Roman" w:hAnsi="Times New Roman"/>
          <w:color w:val="000000" w:themeColor="text1"/>
          <w:sz w:val="16"/>
          <w:szCs w:val="16"/>
        </w:rPr>
        <w:t xml:space="preserve"> / —) … (— / —)</w:t>
      </w:r>
    </w:p>
    <w:p w14:paraId="12505234"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«Большевик» …… (— / —) … (— / —) … (300 / 3) … (150 / 24)</w:t>
      </w:r>
    </w:p>
    <w:p w14:paraId="2E6E5F4C"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 (— / 3) … (200 / 77) … (503 / 219) … (256 / не менее 188)</w:t>
      </w:r>
    </w:p>
    <w:p w14:paraId="5B4AB69D"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одной БПК составляла 10 тыс. рублей.</w:t>
      </w:r>
    </w:p>
    <w:p w14:paraId="5C4C8671"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Лафет был легок, но непрочен. Он не разбирался и не был пригоден для перевозки в тачанке, как ДРП-4.</w:t>
      </w:r>
    </w:p>
    <w:p w14:paraId="7ECE7BFB"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декабря 1933 г. началось изготовление упроченных лафетов,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527751B4"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 При таком лафете не могла и речь идти о механической тяге.</w:t>
      </w:r>
    </w:p>
    <w:p w14:paraId="46865A9B"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Конечно, можно было спроектировать и подрессоренный лафет. Но при этом возросли бы и вес системы, и ее стоимость. Ведь и так стоимость БПК равнялась стоимости дивизионной пушки обр. 1902 г.</w:t>
      </w:r>
    </w:p>
    <w:p w14:paraId="2B4EBB96"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067F23B7" w14:textId="77777777" w:rsidR="006C4F6D" w:rsidRPr="0044524F" w:rsidRDefault="006C4F6D" w:rsidP="009654CF">
      <w:pPr>
        <w:spacing w:after="0" w:line="240" w:lineRule="auto"/>
        <w:jc w:val="both"/>
        <w:rPr>
          <w:rFonts w:ascii="Times New Roman" w:hAnsi="Times New Roman"/>
          <w:color w:val="000000" w:themeColor="text1"/>
          <w:sz w:val="16"/>
          <w:szCs w:val="16"/>
        </w:rPr>
      </w:pPr>
    </w:p>
    <w:p w14:paraId="72229837"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январе 1933 г. были проведены стрельбы из БПК 76-мм оперенными минами. Для превращения БПК в миномет требовалось:</w:t>
      </w:r>
    </w:p>
    <w:p w14:paraId="34366AF2" w14:textId="77777777" w:rsidR="00EE55D6" w:rsidRPr="00142305" w:rsidRDefault="00EE55D6" w:rsidP="00EE55D6">
      <w:pPr>
        <w:widowControl w:val="0"/>
        <w:tabs>
          <w:tab w:val="left" w:pos="947"/>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Вырыть яму под колесами такой глубины, чтобы ось и станины (рама) плотно прилегали к грунту.</w:t>
      </w:r>
    </w:p>
    <w:p w14:paraId="26B18E39" w14:textId="77777777" w:rsidR="00EE55D6" w:rsidRPr="00142305" w:rsidRDefault="00EE55D6" w:rsidP="00EE55D6">
      <w:pPr>
        <w:widowControl w:val="0"/>
        <w:tabs>
          <w:tab w:val="left" w:pos="957"/>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Отвинтить сопло и вставить специальное приспособление для превращения БПК в миномет типа «Стокс». Приспособление удерживалось затвором (стрельба велась при закрытом затворе).</w:t>
      </w:r>
    </w:p>
    <w:p w14:paraId="04A9DF0D" w14:textId="77777777" w:rsidR="00EE55D6" w:rsidRPr="00142305" w:rsidRDefault="00EE55D6" w:rsidP="00EE55D6">
      <w:pPr>
        <w:widowControl w:val="0"/>
        <w:tabs>
          <w:tab w:val="left" w:pos="957"/>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Освободить подъемный механизм системы, перевернуть ствол в сторону стрельбы и, придав угол возвышения 45°, закрепить подъемный механизм в этом положении. Казенная часть пушки будет в центре рамы.</w:t>
      </w:r>
    </w:p>
    <w:p w14:paraId="03DEADFF"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Таким образом, БПК становилась минометом, стрелявшим под фиксированным углом 45°.</w:t>
      </w:r>
    </w:p>
    <w:p w14:paraId="10C5D2ED"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проекту вес мины — 3,3 кг, а стреляли минами весом 3,6 кг. Заряд состоял из готового хвостового патрона 12-го калибра, содержавшего 8 г черного пороха, и четырех мешочков по 10 г пороха «Волк» (5-й вариант, остальные варианты имели приблизительно такие же компоненты).</w:t>
      </w:r>
    </w:p>
    <w:p w14:paraId="103985EC"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ходе стрельб получена максимальная дальность 1145 м. Часть мин разрывалась в полете, у некоторых мин при стрельбе отлетали стабилизаторы.</w:t>
      </w:r>
    </w:p>
    <w:p w14:paraId="09D36E94"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Испытания были признаны неудачными, и больше из БПК минами не стреляли (25213).</w:t>
      </w:r>
    </w:p>
    <w:p w14:paraId="0F45CDF4" w14:textId="77777777" w:rsidR="00EE55D6" w:rsidRPr="00142305" w:rsidRDefault="00EE55D6" w:rsidP="00EE55D6">
      <w:pPr>
        <w:spacing w:after="0" w:line="240" w:lineRule="auto"/>
        <w:jc w:val="both"/>
        <w:rPr>
          <w:rFonts w:ascii="Times New Roman" w:hAnsi="Times New Roman"/>
          <w:color w:val="0070C0"/>
          <w:sz w:val="16"/>
          <w:szCs w:val="16"/>
        </w:rPr>
      </w:pPr>
    </w:p>
    <w:p w14:paraId="5689DC2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года одновременно с работой над конструкторской документацией БТ-5, проводимой под руководством начальника КБ А.О.Фирсова, харьковский завод получил задание на разработку нового танка, в котором предполагалось устранить недостатки предшественников. Тактико-технические условия на новую машину предусматривали установку на нем двигателя М-17 - более надежного, чем применявшийся ранее М-5; полностью сварной корпус с улучшенной обзорностью для механика-водителя; увеличенная емкость топливных баков и, наконец, новая башня с 76-мм пушкой. Таким образом, планировалось создать "ударный колесно-гусеничный танк дальнего действия". Разработку его вела группа конструкторов в составе Бондаренко, Дорошенко, Курасова, Веселовского, Таршинова и Морозова (3862).</w:t>
      </w:r>
    </w:p>
    <w:p w14:paraId="01CE9DC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6E86BEB1" w14:textId="77777777" w:rsidR="006C4F6D" w:rsidRPr="0044524F" w:rsidRDefault="006C4F6D"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В январе 1933 года харьковский завод № 183 получил задание на разработку новой машины, в которой предполага</w:t>
      </w:r>
      <w:r w:rsidRPr="0044524F">
        <w:rPr>
          <w:rFonts w:ascii="Times New Roman" w:cs="Times New Roman"/>
          <w:color w:val="000000" w:themeColor="text1"/>
          <w:spacing w:val="0"/>
        </w:rPr>
        <w:softHyphen/>
        <w:t>лось устранить все недостатки предшест</w:t>
      </w:r>
      <w:r w:rsidRPr="0044524F">
        <w:rPr>
          <w:rFonts w:ascii="Times New Roman" w:cs="Times New Roman"/>
          <w:color w:val="000000" w:themeColor="text1"/>
          <w:spacing w:val="0"/>
        </w:rPr>
        <w:softHyphen/>
        <w:t>венников — БТ-2 и БТ-5. Тактико-техни- ческими условиями на новый танк пре</w:t>
      </w:r>
      <w:r w:rsidRPr="0044524F">
        <w:rPr>
          <w:rFonts w:ascii="Times New Roman" w:cs="Times New Roman"/>
          <w:color w:val="000000" w:themeColor="text1"/>
          <w:spacing w:val="0"/>
        </w:rPr>
        <w:softHyphen/>
        <w:t>дусматривалась установка на нем двигателя М-17, наличие полностью сварного корпуса с улучшенной обзорно</w:t>
      </w:r>
      <w:r w:rsidRPr="0044524F">
        <w:rPr>
          <w:rFonts w:ascii="Times New Roman" w:cs="Times New Roman"/>
          <w:color w:val="000000" w:themeColor="text1"/>
          <w:spacing w:val="0"/>
        </w:rPr>
        <w:softHyphen/>
        <w:t>стью для механика-водителя, увеличен</w:t>
      </w:r>
      <w:r w:rsidRPr="0044524F">
        <w:rPr>
          <w:rFonts w:ascii="Times New Roman" w:cs="Times New Roman"/>
          <w:color w:val="000000" w:themeColor="text1"/>
          <w:spacing w:val="0"/>
        </w:rPr>
        <w:softHyphen/>
        <w:t>ная емкость топливных баков и, нако</w:t>
      </w:r>
      <w:r w:rsidRPr="0044524F">
        <w:rPr>
          <w:rFonts w:ascii="Times New Roman" w:cs="Times New Roman"/>
          <w:color w:val="000000" w:themeColor="text1"/>
          <w:spacing w:val="0"/>
        </w:rPr>
        <w:softHyphen/>
        <w:t>нец, новая башня с 76-мм пушкой. Ко</w:t>
      </w:r>
      <w:r w:rsidRPr="0044524F">
        <w:rPr>
          <w:rFonts w:ascii="Times New Roman" w:cs="Times New Roman"/>
          <w:color w:val="000000" w:themeColor="text1"/>
          <w:spacing w:val="0"/>
        </w:rPr>
        <w:softHyphen/>
        <w:t>роче говоря, планировалось создать «ударный колесно-гусеничный танк дальнего действия». Новая боевая маши</w:t>
      </w:r>
      <w:r w:rsidRPr="0044524F">
        <w:rPr>
          <w:rFonts w:ascii="Times New Roman" w:cs="Times New Roman"/>
          <w:color w:val="000000" w:themeColor="text1"/>
          <w:spacing w:val="0"/>
        </w:rPr>
        <w:softHyphen/>
        <w:t>на получила индекс БТ-7.</w:t>
      </w:r>
    </w:p>
    <w:p w14:paraId="424E7461"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Характерная особенность первых про</w:t>
      </w:r>
      <w:r w:rsidRPr="0044524F">
        <w:rPr>
          <w:rFonts w:ascii="Times New Roman" w:hAnsi="Times New Roman"/>
          <w:color w:val="000000" w:themeColor="text1"/>
          <w:sz w:val="16"/>
          <w:szCs w:val="16"/>
        </w:rPr>
        <w:softHyphen/>
        <w:t>тотипов БТ-7 — размещение курсового пу</w:t>
      </w:r>
      <w:r w:rsidRPr="0044524F">
        <w:rPr>
          <w:rFonts w:ascii="Times New Roman" w:hAnsi="Times New Roman"/>
          <w:color w:val="000000" w:themeColor="text1"/>
          <w:sz w:val="16"/>
          <w:szCs w:val="16"/>
        </w:rPr>
        <w:softHyphen/>
        <w:t>лемета справа от люка механика-водителя, остроугольная корма корпуса с дополни</w:t>
      </w:r>
      <w:r w:rsidRPr="0044524F">
        <w:rPr>
          <w:rFonts w:ascii="Times New Roman" w:hAnsi="Times New Roman"/>
          <w:color w:val="000000" w:themeColor="text1"/>
          <w:sz w:val="16"/>
          <w:szCs w:val="16"/>
        </w:rPr>
        <w:softHyphen/>
        <w:t>тельным бензобаком емкостью 480 л и башня оригинальной конструкции в форме эллипса со скошенной крышей. Причем форма и размеры башни опреде</w:t>
      </w:r>
      <w:r w:rsidRPr="0044524F">
        <w:rPr>
          <w:rFonts w:ascii="Times New Roman" w:hAnsi="Times New Roman"/>
          <w:color w:val="000000" w:themeColor="text1"/>
          <w:sz w:val="16"/>
          <w:szCs w:val="16"/>
        </w:rPr>
        <w:softHyphen/>
        <w:t>лились как «контур наименьших разме</w:t>
      </w:r>
      <w:r w:rsidRPr="0044524F">
        <w:rPr>
          <w:rFonts w:ascii="Times New Roman" w:hAnsi="Times New Roman"/>
          <w:color w:val="000000" w:themeColor="text1"/>
          <w:sz w:val="16"/>
          <w:szCs w:val="16"/>
        </w:rPr>
        <w:softHyphen/>
        <w:t>ров, обтекающих собой вооружение, стрелков и механизмы». В башне отсут</w:t>
      </w:r>
      <w:r w:rsidRPr="0044524F">
        <w:rPr>
          <w:rFonts w:ascii="Times New Roman" w:hAnsi="Times New Roman"/>
          <w:color w:val="000000" w:themeColor="text1"/>
          <w:sz w:val="16"/>
          <w:szCs w:val="16"/>
        </w:rPr>
        <w:softHyphen/>
        <w:t>ствовали такие привычные детали, как рамка и маска пушки. Последняя уста</w:t>
      </w:r>
      <w:r w:rsidRPr="0044524F">
        <w:rPr>
          <w:rFonts w:ascii="Times New Roman" w:hAnsi="Times New Roman"/>
          <w:color w:val="000000" w:themeColor="text1"/>
          <w:sz w:val="16"/>
          <w:szCs w:val="16"/>
        </w:rPr>
        <w:softHyphen/>
        <w:t>навливалась на специальных кронштей</w:t>
      </w:r>
      <w:r w:rsidRPr="0044524F">
        <w:rPr>
          <w:rFonts w:ascii="Times New Roman" w:hAnsi="Times New Roman"/>
          <w:color w:val="000000" w:themeColor="text1"/>
          <w:sz w:val="16"/>
          <w:szCs w:val="16"/>
        </w:rPr>
        <w:softHyphen/>
        <w:t>нах, к которым крепился изогнутый лист, являвшийся маской пушки и пово</w:t>
      </w:r>
      <w:r w:rsidRPr="0044524F">
        <w:rPr>
          <w:rFonts w:ascii="Times New Roman" w:hAnsi="Times New Roman"/>
          <w:color w:val="000000" w:themeColor="text1"/>
          <w:sz w:val="16"/>
          <w:szCs w:val="16"/>
        </w:rPr>
        <w:softHyphen/>
        <w:t>рачивавшийся вместе с ней. Конструк</w:t>
      </w:r>
      <w:r w:rsidRPr="0044524F">
        <w:rPr>
          <w:rFonts w:ascii="Times New Roman" w:hAnsi="Times New Roman"/>
          <w:color w:val="000000" w:themeColor="text1"/>
          <w:sz w:val="16"/>
          <w:szCs w:val="16"/>
        </w:rPr>
        <w:softHyphen/>
        <w:t>ция башни предусматривала возмож</w:t>
      </w:r>
      <w:r w:rsidRPr="0044524F">
        <w:rPr>
          <w:rFonts w:ascii="Times New Roman" w:hAnsi="Times New Roman"/>
          <w:color w:val="000000" w:themeColor="text1"/>
          <w:sz w:val="16"/>
          <w:szCs w:val="16"/>
        </w:rPr>
        <w:softHyphen/>
        <w:t>ность монтажа без каких-либо измене</w:t>
      </w:r>
      <w:r w:rsidRPr="0044524F">
        <w:rPr>
          <w:rFonts w:ascii="Times New Roman" w:hAnsi="Times New Roman"/>
          <w:color w:val="000000" w:themeColor="text1"/>
          <w:sz w:val="16"/>
          <w:szCs w:val="16"/>
        </w:rPr>
        <w:softHyphen/>
        <w:t>ний любой из существовавших тогда танковых пушек: 76-мм КТ-28 и ПС-3 45-мм 20К. В нише башни размещалась вращающаяся боеукладка барабанного типа на 18 76-мм снарядов или радио</w:t>
      </w:r>
      <w:r w:rsidRPr="0044524F">
        <w:rPr>
          <w:rFonts w:ascii="Times New Roman" w:hAnsi="Times New Roman"/>
          <w:color w:val="000000" w:themeColor="text1"/>
          <w:sz w:val="16"/>
          <w:szCs w:val="16"/>
        </w:rPr>
        <w:softHyphen/>
        <w:t>станция. Справа от пушки в шаровом яб</w:t>
      </w:r>
      <w:r w:rsidRPr="0044524F">
        <w:rPr>
          <w:rFonts w:ascii="Times New Roman" w:hAnsi="Times New Roman"/>
          <w:color w:val="000000" w:themeColor="text1"/>
          <w:sz w:val="16"/>
          <w:szCs w:val="16"/>
        </w:rPr>
        <w:softHyphen/>
        <w:t>локе располагался пулемет ДТ с углом горизонтального (без поворота башни) обстрела 20°. В моторном отсеке, также без переделок, могли устанавливаться двигатели М-5 или М-17 (15232).</w:t>
      </w:r>
    </w:p>
    <w:p w14:paraId="56D3832E" w14:textId="77777777" w:rsidR="006C4F6D" w:rsidRPr="0044524F" w:rsidRDefault="006C4F6D" w:rsidP="009654CF">
      <w:pPr>
        <w:spacing w:after="0" w:line="240" w:lineRule="auto"/>
        <w:jc w:val="both"/>
        <w:rPr>
          <w:rFonts w:ascii="Times New Roman" w:hAnsi="Times New Roman"/>
          <w:color w:val="000000" w:themeColor="text1"/>
          <w:sz w:val="16"/>
          <w:szCs w:val="16"/>
        </w:rPr>
      </w:pPr>
    </w:p>
    <w:p w14:paraId="2EB2BB12"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года харьковский завод № 183 получил задание на разработку новой машины, в которой предполага</w:t>
      </w:r>
      <w:r w:rsidRPr="00142305">
        <w:rPr>
          <w:rFonts w:ascii="Times New Roman" w:hAnsi="Times New Roman"/>
          <w:color w:val="0070C0"/>
          <w:sz w:val="16"/>
          <w:szCs w:val="16"/>
        </w:rPr>
        <w:softHyphen/>
        <w:t>лось устранить все недостатки предше</w:t>
      </w:r>
      <w:r w:rsidRPr="00142305">
        <w:rPr>
          <w:rFonts w:ascii="Times New Roman" w:hAnsi="Times New Roman"/>
          <w:color w:val="0070C0"/>
          <w:sz w:val="16"/>
          <w:szCs w:val="16"/>
        </w:rPr>
        <w:softHyphen/>
        <w:t>ственников — БТ-2 и БТ-5. Тактико-тех</w:t>
      </w:r>
      <w:r w:rsidRPr="00142305">
        <w:rPr>
          <w:rFonts w:ascii="Times New Roman" w:hAnsi="Times New Roman"/>
          <w:color w:val="0070C0"/>
          <w:sz w:val="16"/>
          <w:szCs w:val="16"/>
        </w:rPr>
        <w:softHyphen/>
        <w:t>ническими условиями на новый танк предусматривалась установка на нем двигателя М-17, наличие полностью сварного корпуса с улучшенной обзор</w:t>
      </w:r>
      <w:r w:rsidRPr="00142305">
        <w:rPr>
          <w:rFonts w:ascii="Times New Roman" w:hAnsi="Times New Roman"/>
          <w:color w:val="0070C0"/>
          <w:sz w:val="16"/>
          <w:szCs w:val="16"/>
        </w:rPr>
        <w:softHyphen/>
        <w:t>ностью для механика-водителя, увели</w:t>
      </w:r>
      <w:r w:rsidRPr="00142305">
        <w:rPr>
          <w:rFonts w:ascii="Times New Roman" w:hAnsi="Times New Roman"/>
          <w:color w:val="0070C0"/>
          <w:sz w:val="16"/>
          <w:szCs w:val="16"/>
        </w:rPr>
        <w:softHyphen/>
        <w:t>ченная емкость топливных баков и, на</w:t>
      </w:r>
      <w:r w:rsidRPr="00142305">
        <w:rPr>
          <w:rFonts w:ascii="Times New Roman" w:hAnsi="Times New Roman"/>
          <w:color w:val="0070C0"/>
          <w:sz w:val="16"/>
          <w:szCs w:val="16"/>
        </w:rPr>
        <w:softHyphen/>
        <w:t>конец, новая башня с 76-мм пушкой. Короче говоря, планировалось создать «ударный колесно-гусеничный танк дальнего действия». Разработкой нового проекта занималась группа конструкто</w:t>
      </w:r>
      <w:r w:rsidRPr="00142305">
        <w:rPr>
          <w:rFonts w:ascii="Times New Roman" w:hAnsi="Times New Roman"/>
          <w:color w:val="0070C0"/>
          <w:sz w:val="16"/>
          <w:szCs w:val="16"/>
        </w:rPr>
        <w:softHyphen/>
        <w:t>ров в составе Бондаренко, Дорошенко, Курасова, Веселовского, Таршинова и Морозова. На выпуск новой машины планировалось перейти в IV квартале 1933 года. Однако сроки не выдержива</w:t>
      </w:r>
      <w:r w:rsidRPr="00142305">
        <w:rPr>
          <w:rFonts w:ascii="Times New Roman" w:hAnsi="Times New Roman"/>
          <w:color w:val="0070C0"/>
          <w:sz w:val="16"/>
          <w:szCs w:val="16"/>
        </w:rPr>
        <w:softHyphen/>
        <w:t>лись (25009).</w:t>
      </w:r>
    </w:p>
    <w:p w14:paraId="19BF5AF0" w14:textId="77777777" w:rsidR="00EE55D6" w:rsidRPr="00142305" w:rsidRDefault="00EE55D6" w:rsidP="00EE55D6">
      <w:pPr>
        <w:spacing w:after="0" w:line="240" w:lineRule="auto"/>
        <w:jc w:val="both"/>
        <w:rPr>
          <w:rFonts w:ascii="Times New Roman" w:hAnsi="Times New Roman"/>
          <w:color w:val="0070C0"/>
          <w:sz w:val="16"/>
          <w:szCs w:val="16"/>
        </w:rPr>
      </w:pPr>
    </w:p>
    <w:p w14:paraId="0B5C62A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в СКБ завода Компрессор был разработан химический танк ХБТ-5 (3880,24).</w:t>
      </w:r>
    </w:p>
    <w:p w14:paraId="7241DD4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7AB942B0" w14:textId="77777777" w:rsidR="00887CC8" w:rsidRPr="0044524F" w:rsidRDefault="00887CC8" w:rsidP="00887CC8">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СКБ завода Компрессор разработало оборудование ТДП-3, которое ОКБ Опытного завода Спецмаштреста им. Кирова установило на танк Т-26, в июле 1933. Опытный образец в августе 1933 прошел войсковые испытания (9527,190).</w:t>
      </w:r>
    </w:p>
    <w:p w14:paraId="3040453C" w14:textId="77777777" w:rsidR="00887CC8" w:rsidRPr="0044524F" w:rsidRDefault="00887CC8" w:rsidP="00887CC8">
      <w:pPr>
        <w:autoSpaceDE w:val="0"/>
        <w:autoSpaceDN w:val="0"/>
        <w:adjustRightInd w:val="0"/>
        <w:spacing w:after="0" w:line="240" w:lineRule="auto"/>
        <w:jc w:val="both"/>
        <w:rPr>
          <w:rFonts w:ascii="Times New Roman" w:hAnsi="Times New Roman"/>
          <w:color w:val="000000" w:themeColor="text1"/>
          <w:sz w:val="16"/>
          <w:szCs w:val="16"/>
        </w:rPr>
      </w:pPr>
    </w:p>
    <w:p w14:paraId="178588F9"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январе 1933 года специальное конструкторское бюро завода «Компрес</w:t>
      </w:r>
      <w:r w:rsidRPr="00142305">
        <w:rPr>
          <w:rFonts w:ascii="Times New Roman" w:hAnsi="Times New Roman"/>
          <w:color w:val="0070C0"/>
          <w:sz w:val="16"/>
          <w:szCs w:val="16"/>
        </w:rPr>
        <w:softHyphen/>
        <w:t>сор» в Москве разработало съемный тан</w:t>
      </w:r>
      <w:r w:rsidRPr="00142305">
        <w:rPr>
          <w:rFonts w:ascii="Times New Roman" w:hAnsi="Times New Roman"/>
          <w:color w:val="0070C0"/>
          <w:sz w:val="16"/>
          <w:szCs w:val="16"/>
        </w:rPr>
        <w:softHyphen/>
        <w:t>ковый дымовой прибор ТДП-3, который предназначался (в зависимости от типа заправки) для заражения местности от</w:t>
      </w:r>
      <w:r w:rsidRPr="00142305">
        <w:rPr>
          <w:rFonts w:ascii="Times New Roman" w:hAnsi="Times New Roman"/>
          <w:color w:val="0070C0"/>
          <w:sz w:val="16"/>
          <w:szCs w:val="16"/>
        </w:rPr>
        <w:softHyphen/>
        <w:t>равляющими веществами, дегазации или постановки дымовых завес. Оборудова</w:t>
      </w:r>
      <w:r w:rsidRPr="00142305">
        <w:rPr>
          <w:rFonts w:ascii="Times New Roman" w:hAnsi="Times New Roman"/>
          <w:color w:val="0070C0"/>
          <w:sz w:val="16"/>
          <w:szCs w:val="16"/>
        </w:rPr>
        <w:softHyphen/>
        <w:t>ние состояло из двух резервуаров емкос</w:t>
      </w:r>
      <w:r w:rsidRPr="00142305">
        <w:rPr>
          <w:rFonts w:ascii="Times New Roman" w:hAnsi="Times New Roman"/>
          <w:color w:val="0070C0"/>
          <w:sz w:val="16"/>
          <w:szCs w:val="16"/>
        </w:rPr>
        <w:softHyphen/>
        <w:t>тью 40 л каждый, распределительного крана, форсунки, реактивной камеры, трубопроводов и рычагов управления. ТДП-3 монтировался на корме БТ-5 (предполагалось, что приборы будут ус</w:t>
      </w:r>
      <w:r w:rsidRPr="00142305">
        <w:rPr>
          <w:rFonts w:ascii="Times New Roman" w:hAnsi="Times New Roman"/>
          <w:color w:val="0070C0"/>
          <w:sz w:val="16"/>
          <w:szCs w:val="16"/>
        </w:rPr>
        <w:softHyphen/>
        <w:t>танавливаться силами войсковых частей) и приводился в действие при помощи специальных рычагов командиром ма</w:t>
      </w:r>
      <w:r w:rsidRPr="00142305">
        <w:rPr>
          <w:rFonts w:ascii="Times New Roman" w:hAnsi="Times New Roman"/>
          <w:color w:val="0070C0"/>
          <w:sz w:val="16"/>
          <w:szCs w:val="16"/>
        </w:rPr>
        <w:softHyphen/>
        <w:t>шины. Действие прибора длилось 12 — 15 минут, в зависимости от заправки.</w:t>
      </w:r>
    </w:p>
    <w:p w14:paraId="78E47EA9"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БТ-5 с ТДП-3 прошли в 1934 году (проводился только дымо</w:t>
      </w:r>
      <w:r w:rsidRPr="00142305">
        <w:rPr>
          <w:rFonts w:ascii="Times New Roman" w:hAnsi="Times New Roman"/>
          <w:color w:val="0070C0"/>
          <w:sz w:val="16"/>
          <w:szCs w:val="16"/>
        </w:rPr>
        <w:softHyphen/>
        <w:t>пуск) и прибор рекомендовали в серий</w:t>
      </w:r>
      <w:r w:rsidRPr="00142305">
        <w:rPr>
          <w:rFonts w:ascii="Times New Roman" w:hAnsi="Times New Roman"/>
          <w:color w:val="0070C0"/>
          <w:sz w:val="16"/>
          <w:szCs w:val="16"/>
        </w:rPr>
        <w:softHyphen/>
        <w:t>ное производство. Известно, что по со</w:t>
      </w:r>
      <w:r w:rsidRPr="00142305">
        <w:rPr>
          <w:rFonts w:ascii="Times New Roman" w:hAnsi="Times New Roman"/>
          <w:color w:val="0070C0"/>
          <w:sz w:val="16"/>
          <w:szCs w:val="16"/>
        </w:rPr>
        <w:softHyphen/>
        <w:t>стоянию на 1 июня 1941 года в частях Красной Армии имелось 13 танков БТ, оборудованных ТДП-3 (25009).</w:t>
      </w:r>
    </w:p>
    <w:p w14:paraId="70DC2129" w14:textId="77777777" w:rsidR="00887CC8" w:rsidRPr="00142305" w:rsidRDefault="00887CC8" w:rsidP="00887CC8">
      <w:pPr>
        <w:spacing w:after="0" w:line="240" w:lineRule="auto"/>
        <w:jc w:val="both"/>
        <w:rPr>
          <w:rFonts w:ascii="Times New Roman" w:hAnsi="Times New Roman"/>
          <w:color w:val="0070C0"/>
          <w:sz w:val="16"/>
          <w:szCs w:val="16"/>
        </w:rPr>
      </w:pPr>
    </w:p>
    <w:p w14:paraId="609E3CE4"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 сразу два варианта химических танков с приборами ТДП-3 предложило СКБ завода «Компрессор». Два новых образца строились на разной базе и имели схожее целевое оборудование. Первая из новых бронемашин должна была строиться на базе легкого танка Т-26 в двухбашенном исполнении. Этот образец не получил собственного обозначения и остался в истории как «химический танк Т-26 с прибором ТДП-3» (25470).</w:t>
      </w:r>
    </w:p>
    <w:p w14:paraId="3192DBAF" w14:textId="77777777" w:rsidR="00887CC8" w:rsidRPr="00142305" w:rsidRDefault="00887CC8" w:rsidP="00887CC8">
      <w:pPr>
        <w:spacing w:after="0" w:line="240" w:lineRule="auto"/>
        <w:jc w:val="both"/>
        <w:rPr>
          <w:rFonts w:ascii="Times New Roman" w:hAnsi="Times New Roman"/>
          <w:color w:val="0070C0"/>
          <w:sz w:val="16"/>
          <w:szCs w:val="16"/>
        </w:rPr>
      </w:pPr>
    </w:p>
    <w:p w14:paraId="63D2347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К.Е.В. подготовил доклад в СНК В.М.М. о степени выполнения танковой программы (9089,158):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192"/>
        <w:gridCol w:w="1134"/>
        <w:gridCol w:w="1134"/>
        <w:gridCol w:w="1134"/>
        <w:gridCol w:w="1134"/>
        <w:gridCol w:w="1134"/>
      </w:tblGrid>
      <w:tr w:rsidR="004E10C1" w:rsidRPr="0044524F" w14:paraId="0D8ED090" w14:textId="77777777">
        <w:tc>
          <w:tcPr>
            <w:tcW w:w="1610" w:type="dxa"/>
          </w:tcPr>
          <w:p w14:paraId="1232E2D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танка и предприятие</w:t>
            </w:r>
          </w:p>
        </w:tc>
        <w:tc>
          <w:tcPr>
            <w:tcW w:w="1192" w:type="dxa"/>
          </w:tcPr>
          <w:p w14:paraId="45351B6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Исходный план (февраль 1932)</w:t>
            </w:r>
          </w:p>
        </w:tc>
        <w:tc>
          <w:tcPr>
            <w:tcW w:w="1134" w:type="dxa"/>
          </w:tcPr>
          <w:p w14:paraId="2168712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Пересмотренный план (октябрь 1932)</w:t>
            </w:r>
          </w:p>
        </w:tc>
        <w:tc>
          <w:tcPr>
            <w:tcW w:w="1134" w:type="dxa"/>
          </w:tcPr>
          <w:p w14:paraId="3ECA4E0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Получено КА</w:t>
            </w:r>
          </w:p>
        </w:tc>
        <w:tc>
          <w:tcPr>
            <w:tcW w:w="1134" w:type="dxa"/>
          </w:tcPr>
          <w:p w14:paraId="7220EA8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Только собрано</w:t>
            </w:r>
          </w:p>
        </w:tc>
        <w:tc>
          <w:tcPr>
            <w:tcW w:w="1134" w:type="dxa"/>
          </w:tcPr>
          <w:p w14:paraId="73D1A0B8"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4C0F99DF"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7C6798" w14:textId="77777777">
        <w:tc>
          <w:tcPr>
            <w:tcW w:w="1610" w:type="dxa"/>
          </w:tcPr>
          <w:p w14:paraId="3AE3E1E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535E4098"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1E0F3B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DF28DE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2D3B536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7FC5B6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 башни</w:t>
            </w:r>
          </w:p>
        </w:tc>
        <w:tc>
          <w:tcPr>
            <w:tcW w:w="1134" w:type="dxa"/>
          </w:tcPr>
          <w:p w14:paraId="074A8FD4"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 гусениц</w:t>
            </w:r>
          </w:p>
        </w:tc>
      </w:tr>
      <w:tr w:rsidR="004E10C1" w:rsidRPr="0044524F" w14:paraId="7A3E111F" w14:textId="77777777">
        <w:tc>
          <w:tcPr>
            <w:tcW w:w="1610" w:type="dxa"/>
          </w:tcPr>
          <w:p w14:paraId="099F192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Тегкий Т-26 - завод им. Ворошилова</w:t>
            </w:r>
          </w:p>
        </w:tc>
        <w:tc>
          <w:tcPr>
            <w:tcW w:w="1192" w:type="dxa"/>
          </w:tcPr>
          <w:p w14:paraId="3795767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134" w:type="dxa"/>
          </w:tcPr>
          <w:p w14:paraId="7BEF7A84"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1134" w:type="dxa"/>
          </w:tcPr>
          <w:p w14:paraId="2D3C036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911</w:t>
            </w:r>
          </w:p>
        </w:tc>
        <w:tc>
          <w:tcPr>
            <w:tcW w:w="1134" w:type="dxa"/>
          </w:tcPr>
          <w:p w14:paraId="725A699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1409</w:t>
            </w:r>
          </w:p>
        </w:tc>
        <w:tc>
          <w:tcPr>
            <w:tcW w:w="1134" w:type="dxa"/>
          </w:tcPr>
          <w:p w14:paraId="1191BF64"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134" w:type="dxa"/>
          </w:tcPr>
          <w:p w14:paraId="1F682AC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7947BC0" w14:textId="77777777">
        <w:tc>
          <w:tcPr>
            <w:tcW w:w="1610" w:type="dxa"/>
          </w:tcPr>
          <w:p w14:paraId="3A23C3A1"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Средний БТ - ХПЗ</w:t>
            </w:r>
          </w:p>
        </w:tc>
        <w:tc>
          <w:tcPr>
            <w:tcW w:w="1192" w:type="dxa"/>
          </w:tcPr>
          <w:p w14:paraId="0914CA9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134" w:type="dxa"/>
          </w:tcPr>
          <w:p w14:paraId="7DACA0D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134" w:type="dxa"/>
          </w:tcPr>
          <w:p w14:paraId="62A2B1A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239</w:t>
            </w:r>
          </w:p>
        </w:tc>
        <w:tc>
          <w:tcPr>
            <w:tcW w:w="1134" w:type="dxa"/>
          </w:tcPr>
          <w:p w14:paraId="1686C01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134" w:type="dxa"/>
          </w:tcPr>
          <w:p w14:paraId="4A8328F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134" w:type="dxa"/>
          </w:tcPr>
          <w:p w14:paraId="24C6541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50B63DB7" w14:textId="77777777">
        <w:tc>
          <w:tcPr>
            <w:tcW w:w="1610" w:type="dxa"/>
          </w:tcPr>
          <w:p w14:paraId="465C519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Танкетка Т-27</w:t>
            </w:r>
          </w:p>
        </w:tc>
        <w:tc>
          <w:tcPr>
            <w:tcW w:w="1192" w:type="dxa"/>
          </w:tcPr>
          <w:p w14:paraId="5EB2C35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AFD481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31C244A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04D0DFB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5C240F0E"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E626B2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84407D" w14:textId="77777777">
        <w:tc>
          <w:tcPr>
            <w:tcW w:w="1610" w:type="dxa"/>
          </w:tcPr>
          <w:p w14:paraId="7A6A814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 Завод № 2</w:t>
            </w:r>
          </w:p>
        </w:tc>
        <w:tc>
          <w:tcPr>
            <w:tcW w:w="1192" w:type="dxa"/>
          </w:tcPr>
          <w:p w14:paraId="62EF4F6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134" w:type="dxa"/>
          </w:tcPr>
          <w:p w14:paraId="11C6C42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tc>
        <w:tc>
          <w:tcPr>
            <w:tcW w:w="1134" w:type="dxa"/>
          </w:tcPr>
          <w:p w14:paraId="1160689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1370</w:t>
            </w:r>
          </w:p>
        </w:tc>
        <w:tc>
          <w:tcPr>
            <w:tcW w:w="1134" w:type="dxa"/>
          </w:tcPr>
          <w:p w14:paraId="3A99EAF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1618</w:t>
            </w:r>
          </w:p>
        </w:tc>
        <w:tc>
          <w:tcPr>
            <w:tcW w:w="1134" w:type="dxa"/>
          </w:tcPr>
          <w:p w14:paraId="3DD895DF"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34" w:type="dxa"/>
          </w:tcPr>
          <w:p w14:paraId="38FA5B1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A2B3BD1" w14:textId="77777777">
        <w:tc>
          <w:tcPr>
            <w:tcW w:w="1610" w:type="dxa"/>
          </w:tcPr>
          <w:p w14:paraId="27AAE6C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 НН</w:t>
            </w:r>
          </w:p>
        </w:tc>
        <w:tc>
          <w:tcPr>
            <w:tcW w:w="1192" w:type="dxa"/>
          </w:tcPr>
          <w:p w14:paraId="62646BB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34" w:type="dxa"/>
          </w:tcPr>
          <w:p w14:paraId="4185E66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134" w:type="dxa"/>
          </w:tcPr>
          <w:p w14:paraId="48E51F3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1134" w:type="dxa"/>
          </w:tcPr>
          <w:p w14:paraId="18EA5480"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w:t>
            </w:r>
          </w:p>
        </w:tc>
        <w:tc>
          <w:tcPr>
            <w:tcW w:w="1134" w:type="dxa"/>
          </w:tcPr>
          <w:p w14:paraId="70B860B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34" w:type="dxa"/>
          </w:tcPr>
          <w:p w14:paraId="6C63C28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75348AF" w14:textId="77777777">
        <w:tc>
          <w:tcPr>
            <w:tcW w:w="1610" w:type="dxa"/>
          </w:tcPr>
          <w:p w14:paraId="77A29B5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92" w:type="dxa"/>
          </w:tcPr>
          <w:p w14:paraId="342F21D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1134" w:type="dxa"/>
          </w:tcPr>
          <w:p w14:paraId="0F32140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4300</w:t>
            </w:r>
          </w:p>
        </w:tc>
        <w:tc>
          <w:tcPr>
            <w:tcW w:w="1134" w:type="dxa"/>
          </w:tcPr>
          <w:p w14:paraId="0F37A2CC"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2585</w:t>
            </w:r>
          </w:p>
        </w:tc>
        <w:tc>
          <w:tcPr>
            <w:tcW w:w="1134" w:type="dxa"/>
          </w:tcPr>
          <w:p w14:paraId="646D137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3714</w:t>
            </w:r>
          </w:p>
        </w:tc>
        <w:tc>
          <w:tcPr>
            <w:tcW w:w="1134" w:type="dxa"/>
          </w:tcPr>
          <w:p w14:paraId="478FE41D"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134" w:type="dxa"/>
          </w:tcPr>
          <w:p w14:paraId="762F155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w:t>
            </w:r>
          </w:p>
        </w:tc>
      </w:tr>
    </w:tbl>
    <w:p w14:paraId="2118288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(9445, 9446, 9447)</w:t>
      </w:r>
    </w:p>
    <w:p w14:paraId="36D7C3C5"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0E7E38A8"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чертежи и полноразмерный деревянный макет тяжелого танка массой 65-70 т, разработанного по заказу СССР в соответствии с ТТТ УММ итальянской фирмой Ансальдо в декабре 1932, были переданы в ОКМО завода Ворошилова и ЭКУ ОГПУ. От изготовления опытного образца - отказались (9527,152).</w:t>
      </w:r>
    </w:p>
    <w:p w14:paraId="1B504193"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70F0753F"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на заводе Большевик под руководством К.К.Сиркена был разработан проект тяжелого танка прорыва массой 85 т. Предусматривали 107 мм пушку с горизонтальным сектором обстрела 20 гр. И 2х45 мм в двух башнях и 76 мм зенитная пушка в кормовой башне. Броня - 20 мм, 60 мм и 80 мм (9527,152).</w:t>
      </w:r>
    </w:p>
    <w:p w14:paraId="53CEF1B7"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36C67317"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 в Дизельном отделе ХПЗ организовывалось производство тяжелого пятибашенного танка Т-35. Конструкция этого танка была разработана в 1932 г. в Опытно-конструкторском машиностроительном отделе (ОКМО) Ленинградского машиностроительного завода им. К.Е. Ворошилова под руководством начальника ОКМО инженера Н.В. Барыкова. Серийное производство крайне необходимого Красной Армии танка нового типа было возложено на ХПЗ. Постановлением Совета Труда и Обороны СССР от 5 декабря 1932 г. ХПЗ в 1933 г. должен был изготовить 30 танков Т-35. Руководством ХПЗ было решено производство новой для завода продукции – танка Т-35 организовать в Дизельном отделе завода, а для обеспечения чертежно-конструкторской документацией работ по изготовлению этого танка – создать новое конструкторское бюро – КБ Т-35-К, начальником которого и был назначен И.С. Бер (25046).</w:t>
      </w:r>
    </w:p>
    <w:p w14:paraId="7639FA2A" w14:textId="77777777" w:rsidR="00887CC8" w:rsidRPr="00142305" w:rsidRDefault="00887CC8" w:rsidP="00887CC8">
      <w:pPr>
        <w:spacing w:after="0" w:line="240" w:lineRule="auto"/>
        <w:jc w:val="both"/>
        <w:rPr>
          <w:rFonts w:ascii="Times New Roman" w:hAnsi="Times New Roman"/>
          <w:color w:val="0070C0"/>
          <w:sz w:val="16"/>
          <w:szCs w:val="16"/>
        </w:rPr>
      </w:pPr>
    </w:p>
    <w:p w14:paraId="0F5E30D2"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января 1933 г. в районе Красного Села на</w:t>
      </w:r>
      <w:r w:rsidRPr="0044524F">
        <w:rPr>
          <w:rFonts w:ascii="Times New Roman" w:hAnsi="Times New Roman"/>
          <w:color w:val="000000" w:themeColor="text1"/>
          <w:sz w:val="16"/>
          <w:szCs w:val="16"/>
        </w:rPr>
        <w:softHyphen/>
        <w:t>чались испытания телеуправляемых танков на местности (10675).</w:t>
      </w:r>
    </w:p>
    <w:p w14:paraId="2B83A00A"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739F5880"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января 1933 г. в районе Красного Села начались испытания телеуправляемых танков Т-26 на местности (15117).</w:t>
      </w:r>
    </w:p>
    <w:p w14:paraId="43132188" w14:textId="77777777" w:rsidR="006C4F6D" w:rsidRPr="0044524F" w:rsidRDefault="006C4F6D" w:rsidP="009654CF">
      <w:pPr>
        <w:spacing w:after="0" w:line="240" w:lineRule="auto"/>
        <w:jc w:val="both"/>
        <w:rPr>
          <w:rFonts w:ascii="Times New Roman" w:hAnsi="Times New Roman"/>
          <w:color w:val="000000" w:themeColor="text1"/>
          <w:sz w:val="16"/>
          <w:szCs w:val="16"/>
        </w:rPr>
      </w:pPr>
    </w:p>
    <w:p w14:paraId="59D16E70" w14:textId="77777777" w:rsidR="00887CC8" w:rsidRPr="00142305" w:rsidRDefault="00887CC8" w:rsidP="00887CC8">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 января 1933 г. в районе Красного Села начались испытания телеуправляемых танков на местности.</w:t>
      </w:r>
    </w:p>
    <w:p w14:paraId="5286AE7B"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1933 г. телеуправляемый танк под индексом ТТ-18 (модификация танка МС-1) испытывался с аппаратурой управления, размещенной на месте водителя. Этот танк мог выполнять 16 команд: поворачиваться, менять скорость, останавливаться, снова начинать движение, подрывать заряд ВВ, а при установке специальной аппаратуры — и ставить дымзавесу или выпускать ОВ. Дальность действия ТТ-18 была не более нескольких сотен метров. В ТТ-18 переоборудовали не менее семи штатных танков, но на вооружение система так и не поступила.</w:t>
      </w:r>
    </w:p>
    <w:p w14:paraId="13E07ED3"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Новый этап в разработке телетанков наступил в 1934 г. Так, под шифром «Титан» был разработан телетанк ТТ-26, оснащенный приборами пуска ОВ, а также съемным огнеметом (емкость огнесмеси 200 л, дальность стрельбы до 35 м). Танки ТТ-26 в 1935–1936 гг. были выпущены малой серией, всего 55 машин. Управление телетанками ТТ-26 велось с обычного танка Т-26, оснащенного приборами управления. Позже было решено оборудование ТТ-26 установить на танк Т-46, но он не был запущен в серию.</w:t>
      </w:r>
    </w:p>
    <w:p w14:paraId="266E2BD6"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шасси танка Т-26 в 1938 г. был создан танк ТТ-ТУ — телемеханический танк, который подходил к укреплениям противника и сбрасывал подрывной заряд.</w:t>
      </w:r>
    </w:p>
    <w:p w14:paraId="6B9479A5"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базе быстроходного танка БТ-7 в 1938–1939 гг. был создан телеуправляемый танк А-7. Аппаратура управления А-7 весила не более 147 кг. Телетанк был вооружен 7,62-мм пулеметом системы Силина. Но основным оружием танка А-7 были приборы пуска отравляющего вещества КС-60 производства завода «Компрессор». Само ОВ размещалось в двух баках длиной 2550 мм и диаметром 330 мм. Этого ОВ хватало на</w:t>
      </w:r>
    </w:p>
    <w:p w14:paraId="3A0BA507"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гарантированное заражение 7200 кв. м. Кроме того, телетанк мог ставить дымзавесу длиной 300–400 м, время действия завесы при нормальных метеоусловиях — 8—10 мин. И, наконец, на танке была установлена мина, содержавшая 1 кг тротила, дабы в случае попадания в руки врага уничтожить секретное оружие.</w:t>
      </w:r>
    </w:p>
    <w:p w14:paraId="6BC6E192"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Оператор размещался на линейном танке БТ-7 со штатным вооружением: одна 45-мм пушка. Оператор мог подавать на телетанк 17 команд. Дальность управления танком на ровной местности достигала 4 км, время непрерывного управления составляло 4–6 часов (25213).</w:t>
      </w:r>
    </w:p>
    <w:p w14:paraId="47C88AAF" w14:textId="77777777" w:rsidR="00887CC8" w:rsidRPr="00142305" w:rsidRDefault="00887CC8" w:rsidP="00887CC8">
      <w:pPr>
        <w:spacing w:after="0" w:line="240" w:lineRule="auto"/>
        <w:jc w:val="both"/>
        <w:rPr>
          <w:rFonts w:ascii="Times New Roman" w:hAnsi="Times New Roman"/>
          <w:color w:val="0070C0"/>
          <w:sz w:val="16"/>
          <w:szCs w:val="16"/>
        </w:rPr>
      </w:pPr>
    </w:p>
    <w:p w14:paraId="4FFA4223"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года первый серийный образец Д-2, изготовленный на заводе Можерез, окончательноп передали заказчику, а последний, 15-й - только в сентябре.</w:t>
      </w:r>
    </w:p>
    <w:p w14:paraId="4EC8097D" w14:textId="77777777" w:rsidR="006C4F6D" w:rsidRPr="0044524F" w:rsidRDefault="006C4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других предприятиях ситуация с выпуском Д-2 была еще более плачевной. Калужский и Коломенский заводы, загруженные другими заказами, не собрали ни одного Д-2, а в начале 1933 года эти предприятия освободили от выпуска мотоброневагонов (15624).</w:t>
      </w:r>
    </w:p>
    <w:p w14:paraId="6B20D2E7" w14:textId="77777777" w:rsidR="006C4F6D" w:rsidRPr="0044524F" w:rsidRDefault="006C4F6D" w:rsidP="009654CF">
      <w:pPr>
        <w:spacing w:after="0" w:line="240" w:lineRule="auto"/>
        <w:jc w:val="both"/>
        <w:rPr>
          <w:rFonts w:ascii="Times New Roman" w:hAnsi="Times New Roman"/>
          <w:color w:val="000000" w:themeColor="text1"/>
          <w:sz w:val="16"/>
          <w:szCs w:val="16"/>
        </w:rPr>
      </w:pPr>
    </w:p>
    <w:p w14:paraId="0C2B3FB6"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года первый серийный образец мотоброневагона Д-2 Дыренкова передали заказчику, а последний, 15-й — только в сентябре.</w:t>
      </w:r>
    </w:p>
    <w:p w14:paraId="7237F192"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других предприятиях ситуация с выпуском Д-2 была еще более плачевной. Калужский и Коломенский заводы, загруженные другими заказами, не собрали ни одного Д-2, а в начале 1933 года эти предприятия освободили от выпуска мотоброневагонов. В результате к апрелю 1933 года производство Д-2, помимо Можерез, велось только на заводе «Красный Профинтерн» в Брянске. Правда, спеццех последнего был загружен заказом на изготовление тяжелых бронеплощадок и бронепаро-возов, в результате чего сборка Д-2 тут здорово затянулась. Последний 15-й мотоброневагон вышел из ворот «Красного Профинтерна» в июле 1934 года. Таким образом, в 1932 -1934 годах в Москве и Брянске изготовили 30 серийных мотоброневагонов Д-2 (25568).</w:t>
      </w:r>
    </w:p>
    <w:p w14:paraId="673B60AD" w14:textId="77777777" w:rsidR="00887CC8" w:rsidRPr="00142305" w:rsidRDefault="00887CC8" w:rsidP="00887CC8">
      <w:pPr>
        <w:spacing w:after="0" w:line="240" w:lineRule="auto"/>
        <w:jc w:val="both"/>
        <w:rPr>
          <w:rFonts w:ascii="Times New Roman" w:hAnsi="Times New Roman"/>
          <w:color w:val="0070C0"/>
          <w:sz w:val="16"/>
          <w:szCs w:val="16"/>
        </w:rPr>
      </w:pPr>
    </w:p>
    <w:p w14:paraId="6547E798" w14:textId="77777777" w:rsidR="002E2835" w:rsidRPr="0044524F" w:rsidRDefault="002E28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 постановлении Президиума Ленинградского облисполкома деятельность руководства завода им. Козицкого была признана неудовлетворительной. Помощник директора завода по военной части был отдан под суд, директор и начальник технического отдела завода подверглись дисциплинарным взысканиям. Постановление предусматривало проведение целого ряда организационно-технических мероприятий, призванных наладить работу по выполнению спецзаказов. Меры эти, прежде всего, коснулись технического отдела, специальную группу которого надлежало укомплектовать квалифицированными кадрами, обеспечить производство разработанным технологическим процессом по всем будущим заказам, качественными чертежами и законченными конструкциями, не требующими переделок в процессе изготовления. Для улучшения планирования в единое подразделение сливались технический и планово-производственный отделы завода. От руководства предприятия требовалось развернуть решительную борьбу с прогулами, браком и простоями, добиваться снижения себе стоимости продукции, не допускать перерасходов лимитов по заработной плате (18297).</w:t>
      </w:r>
    </w:p>
    <w:p w14:paraId="128C9FD8" w14:textId="77777777" w:rsidR="002E2835" w:rsidRPr="0044524F" w:rsidRDefault="002E2835" w:rsidP="009654CF">
      <w:pPr>
        <w:spacing w:after="0" w:line="240" w:lineRule="auto"/>
        <w:jc w:val="both"/>
        <w:rPr>
          <w:rFonts w:ascii="Times New Roman" w:hAnsi="Times New Roman"/>
          <w:color w:val="000000" w:themeColor="text1"/>
          <w:sz w:val="16"/>
          <w:szCs w:val="16"/>
        </w:rPr>
      </w:pPr>
    </w:p>
    <w:p w14:paraId="37DCCAFB" w14:textId="77777777" w:rsidR="002E2835" w:rsidRPr="0044524F" w:rsidRDefault="002E28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январе 1933 г. в справке-докладе, представленной начальником УСКА в Комиссию обороны при СНК СССР отмечалось, что общее выполнение программы по вооружению связи не превышало 71% с учетом большого объема продукции предъявленного промышленностью к сдаче (около 10,6% от программы), но не принятого </w:t>
      </w:r>
      <w:r w:rsidRPr="0044524F">
        <w:rPr>
          <w:rFonts w:ascii="Times New Roman" w:hAnsi="Times New Roman"/>
          <w:color w:val="000000" w:themeColor="text1"/>
          <w:sz w:val="16"/>
          <w:szCs w:val="16"/>
        </w:rPr>
        <w:lastRenderedPageBreak/>
        <w:t>военной приемкой. При этом наибольший процент выполнения – от 72% до 100% – пришелся на телеграфное и телефонное имущество (ленинградские заводы «Красная заря» и им. Кулакова). А вот по производству радиоаппаратуры план оказался резко недовыполненным (18297).</w:t>
      </w:r>
    </w:p>
    <w:p w14:paraId="2C63CACA" w14:textId="77777777" w:rsidR="002E2835" w:rsidRPr="0044524F" w:rsidRDefault="002E2835" w:rsidP="009654CF">
      <w:pPr>
        <w:spacing w:after="0" w:line="240" w:lineRule="auto"/>
        <w:jc w:val="both"/>
        <w:rPr>
          <w:rFonts w:ascii="Times New Roman" w:hAnsi="Times New Roman"/>
          <w:color w:val="000000" w:themeColor="text1"/>
          <w:sz w:val="16"/>
          <w:szCs w:val="16"/>
        </w:rPr>
      </w:pPr>
    </w:p>
    <w:p w14:paraId="6AFBA230" w14:textId="77777777" w:rsidR="000D4A20" w:rsidRPr="0044524F" w:rsidRDefault="000D4A20" w:rsidP="009654CF">
      <w:pPr>
        <w:pStyle w:val="rtejustify"/>
        <w:spacing w:before="0" w:after="0"/>
        <w:rPr>
          <w:color w:val="000000" w:themeColor="text1"/>
          <w:sz w:val="16"/>
          <w:szCs w:val="16"/>
        </w:rPr>
      </w:pPr>
      <w:r w:rsidRPr="0044524F">
        <w:rPr>
          <w:color w:val="000000" w:themeColor="text1"/>
          <w:sz w:val="16"/>
          <w:szCs w:val="16"/>
        </w:rPr>
        <w:t>В январе 1933 г. было создано бюро при ВОАО для восстановления потерянных навыков по производству крупнокалиберных снарядов. Бюро развернуло работы и разработало инструкции по всем стадиям металлургии производства крупнокалиберных снарядов, поставило исследовательскую работу по технике производства, но имело слабую связь с заводами. Н. В. Куйбышев констатировал, что на начало 1933 г.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44524F">
        <w:rPr>
          <w:color w:val="000000" w:themeColor="text1"/>
          <w:sz w:val="16"/>
          <w:szCs w:val="16"/>
        </w:rPr>
        <w:noBreakHyphen/>
        <w:t>8418. Оп. 28. Д. 1. Л. 155</w:t>
      </w:r>
      <w:r w:rsidRPr="0044524F">
        <w:rPr>
          <w:color w:val="000000" w:themeColor="text1"/>
          <w:sz w:val="16"/>
          <w:szCs w:val="16"/>
        </w:rPr>
        <w:noBreakHyphen/>
        <w:t>158) (15270).</w:t>
      </w:r>
    </w:p>
    <w:p w14:paraId="528A0E7C" w14:textId="77777777" w:rsidR="000D4A20" w:rsidRPr="0044524F" w:rsidRDefault="000D4A20" w:rsidP="009654CF">
      <w:pPr>
        <w:autoSpaceDE w:val="0"/>
        <w:autoSpaceDN w:val="0"/>
        <w:adjustRightInd w:val="0"/>
        <w:spacing w:after="0" w:line="240" w:lineRule="auto"/>
        <w:jc w:val="both"/>
        <w:rPr>
          <w:rFonts w:ascii="Times New Roman" w:hAnsi="Times New Roman"/>
          <w:color w:val="000000" w:themeColor="text1"/>
          <w:sz w:val="16"/>
          <w:szCs w:val="16"/>
        </w:rPr>
      </w:pPr>
    </w:p>
    <w:p w14:paraId="7FBDE765" w14:textId="77777777" w:rsidR="001A7A44"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336313D0"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E1FBD1C"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январе 1933 года для обучения использовались 597 У-2. Распре</w:t>
      </w:r>
      <w:r w:rsidRPr="00142305">
        <w:rPr>
          <w:rFonts w:ascii="Times New Roman" w:hAnsi="Times New Roman"/>
          <w:color w:val="0070C0"/>
          <w:sz w:val="16"/>
          <w:szCs w:val="16"/>
        </w:rPr>
        <w:softHyphen/>
        <w:t>деление этих самолетов выглядело следую</w:t>
      </w:r>
      <w:r w:rsidRPr="00142305">
        <w:rPr>
          <w:rFonts w:ascii="Times New Roman" w:hAnsi="Times New Roman"/>
          <w:color w:val="0070C0"/>
          <w:sz w:val="16"/>
          <w:szCs w:val="16"/>
        </w:rPr>
        <w:softHyphen/>
        <w:t>щим образом:</w:t>
      </w:r>
    </w:p>
    <w:p w14:paraId="52A6BA8E" w14:textId="77777777" w:rsidR="00887CC8" w:rsidRPr="00142305" w:rsidRDefault="00887CC8" w:rsidP="00887CC8">
      <w:pPr>
        <w:widowControl w:val="0"/>
        <w:tabs>
          <w:tab w:val="left" w:pos="47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1-я военная школа пилотов (УВО), </w:t>
      </w:r>
      <w:r w:rsidRPr="00142305">
        <w:rPr>
          <w:rFonts w:ascii="Times New Roman" w:eastAsiaTheme="minorHAnsi" w:hAnsi="Times New Roman"/>
          <w:color w:val="0070C0"/>
          <w:sz w:val="16"/>
          <w:szCs w:val="16"/>
        </w:rPr>
        <w:fldChar w:fldCharType="begin"/>
      </w:r>
      <w:r w:rsidRPr="00142305">
        <w:rPr>
          <w:rFonts w:ascii="Times New Roman" w:hAnsi="Times New Roman"/>
          <w:color w:val="0070C0"/>
          <w:sz w:val="16"/>
          <w:szCs w:val="16"/>
        </w:rPr>
        <w:instrText xml:space="preserve"> TOC \o "1-5" \h \z </w:instrText>
      </w:r>
      <w:r w:rsidRPr="00142305">
        <w:rPr>
          <w:rFonts w:ascii="Times New Roman" w:eastAsiaTheme="minorHAnsi" w:hAnsi="Times New Roman"/>
          <w:color w:val="0070C0"/>
          <w:sz w:val="16"/>
          <w:szCs w:val="16"/>
        </w:rPr>
        <w:fldChar w:fldCharType="separate"/>
      </w:r>
      <w:r w:rsidRPr="00142305">
        <w:rPr>
          <w:rFonts w:ascii="Times New Roman" w:hAnsi="Times New Roman"/>
          <w:color w:val="0070C0"/>
          <w:sz w:val="16"/>
          <w:szCs w:val="16"/>
        </w:rPr>
        <w:t>Севастополь, Кача</w:t>
      </w:r>
      <w:r w:rsidRPr="00142305">
        <w:rPr>
          <w:rFonts w:ascii="Times New Roman" w:hAnsi="Times New Roman"/>
          <w:color w:val="0070C0"/>
          <w:sz w:val="16"/>
          <w:szCs w:val="16"/>
        </w:rPr>
        <w:tab/>
        <w:t>25</w:t>
      </w:r>
      <w:r w:rsidRPr="00142305">
        <w:rPr>
          <w:rFonts w:ascii="Times New Roman" w:hAnsi="Times New Roman"/>
          <w:color w:val="0070C0"/>
          <w:sz w:val="16"/>
          <w:szCs w:val="16"/>
        </w:rPr>
        <w:tab/>
        <w:t>У-2</w:t>
      </w:r>
    </w:p>
    <w:p w14:paraId="614FBC44" w14:textId="77777777" w:rsidR="00887CC8" w:rsidRPr="00142305" w:rsidRDefault="00887CC8" w:rsidP="00887CC8">
      <w:pPr>
        <w:widowControl w:val="0"/>
        <w:tabs>
          <w:tab w:val="left" w:pos="50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2-я военная школа пилотов (МВО), Борисоглебск</w:t>
      </w:r>
      <w:r w:rsidRPr="00142305">
        <w:rPr>
          <w:rFonts w:ascii="Times New Roman" w:hAnsi="Times New Roman"/>
          <w:color w:val="0070C0"/>
          <w:sz w:val="16"/>
          <w:szCs w:val="16"/>
        </w:rPr>
        <w:tab/>
        <w:t>38</w:t>
      </w:r>
      <w:r w:rsidRPr="00142305">
        <w:rPr>
          <w:rFonts w:ascii="Times New Roman" w:hAnsi="Times New Roman"/>
          <w:color w:val="0070C0"/>
          <w:sz w:val="16"/>
          <w:szCs w:val="16"/>
        </w:rPr>
        <w:tab/>
        <w:t>У-2</w:t>
      </w:r>
    </w:p>
    <w:p w14:paraId="4AF65F02" w14:textId="77777777" w:rsidR="00887CC8" w:rsidRPr="00142305" w:rsidRDefault="00887CC8" w:rsidP="00887CC8">
      <w:pPr>
        <w:widowControl w:val="0"/>
        <w:tabs>
          <w:tab w:val="left" w:pos="50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3-я военная школа летчиков (ПриВО)</w:t>
      </w:r>
      <w:r w:rsidRPr="00142305">
        <w:rPr>
          <w:rFonts w:ascii="Times New Roman" w:hAnsi="Times New Roman"/>
          <w:color w:val="0070C0"/>
          <w:sz w:val="16"/>
          <w:szCs w:val="16"/>
        </w:rPr>
        <w:tab/>
        <w:t>-</w:t>
      </w:r>
      <w:r w:rsidRPr="00142305">
        <w:rPr>
          <w:rFonts w:ascii="Times New Roman" w:hAnsi="Times New Roman"/>
          <w:color w:val="0070C0"/>
          <w:sz w:val="16"/>
          <w:szCs w:val="16"/>
        </w:rPr>
        <w:tab/>
        <w:t>21 У-2</w:t>
      </w:r>
    </w:p>
    <w:p w14:paraId="68A7B58D" w14:textId="77777777" w:rsidR="00887CC8" w:rsidRPr="00142305" w:rsidRDefault="00887CC8" w:rsidP="00887CC8">
      <w:pPr>
        <w:widowControl w:val="0"/>
        <w:tabs>
          <w:tab w:val="left" w:pos="50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6-я военная школа летчиков (МВО), Серпухов</w:t>
      </w:r>
      <w:r w:rsidRPr="00142305">
        <w:rPr>
          <w:rFonts w:ascii="Times New Roman" w:hAnsi="Times New Roman"/>
          <w:color w:val="0070C0"/>
          <w:sz w:val="16"/>
          <w:szCs w:val="16"/>
        </w:rPr>
        <w:tab/>
        <w:t>17</w:t>
      </w:r>
      <w:r w:rsidRPr="00142305">
        <w:rPr>
          <w:rFonts w:ascii="Times New Roman" w:hAnsi="Times New Roman"/>
          <w:color w:val="0070C0"/>
          <w:sz w:val="16"/>
          <w:szCs w:val="16"/>
        </w:rPr>
        <w:tab/>
        <w:t>У-2</w:t>
      </w:r>
    </w:p>
    <w:p w14:paraId="04ECDCA9" w14:textId="77777777" w:rsidR="00887CC8" w:rsidRPr="00142305" w:rsidRDefault="00887CC8" w:rsidP="00887CC8">
      <w:pPr>
        <w:widowControl w:val="0"/>
        <w:tabs>
          <w:tab w:val="left" w:pos="50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7-я военная школа летчиков (ПриВО), Сталинград</w:t>
      </w:r>
      <w:r w:rsidRPr="00142305">
        <w:rPr>
          <w:rFonts w:ascii="Times New Roman" w:hAnsi="Times New Roman"/>
          <w:color w:val="0070C0"/>
          <w:sz w:val="16"/>
          <w:szCs w:val="16"/>
        </w:rPr>
        <w:tab/>
        <w:t>57</w:t>
      </w:r>
      <w:r w:rsidRPr="00142305">
        <w:rPr>
          <w:rFonts w:ascii="Times New Roman" w:hAnsi="Times New Roman"/>
          <w:color w:val="0070C0"/>
          <w:sz w:val="16"/>
          <w:szCs w:val="16"/>
        </w:rPr>
        <w:tab/>
        <w:t>У-2</w:t>
      </w:r>
    </w:p>
    <w:p w14:paraId="0DD9EB3B" w14:textId="77777777" w:rsidR="00887CC8" w:rsidRPr="00142305" w:rsidRDefault="00887CC8" w:rsidP="00887CC8">
      <w:pPr>
        <w:widowControl w:val="0"/>
        <w:tabs>
          <w:tab w:val="left" w:pos="502"/>
        </w:tabs>
        <w:spacing w:after="0" w:line="240" w:lineRule="auto"/>
        <w:jc w:val="both"/>
        <w:rPr>
          <w:rFonts w:ascii="Times New Roman" w:hAnsi="Times New Roman"/>
          <w:color w:val="0070C0"/>
          <w:sz w:val="16"/>
          <w:szCs w:val="16"/>
        </w:rPr>
      </w:pPr>
      <w:bookmarkStart w:id="6" w:name="bookmark28"/>
      <w:bookmarkEnd w:id="6"/>
      <w:r w:rsidRPr="00142305">
        <w:rPr>
          <w:rFonts w:ascii="Times New Roman" w:hAnsi="Times New Roman"/>
          <w:color w:val="0070C0"/>
          <w:sz w:val="16"/>
          <w:szCs w:val="16"/>
        </w:rPr>
        <w:t>8-я военная школа летчиков (УВО), Одесса</w:t>
      </w:r>
      <w:r w:rsidRPr="00142305">
        <w:rPr>
          <w:rFonts w:ascii="Times New Roman" w:hAnsi="Times New Roman"/>
          <w:color w:val="0070C0"/>
          <w:sz w:val="16"/>
          <w:szCs w:val="16"/>
        </w:rPr>
        <w:tab/>
        <w:t>50</w:t>
      </w:r>
      <w:r w:rsidRPr="00142305">
        <w:rPr>
          <w:rFonts w:ascii="Times New Roman" w:hAnsi="Times New Roman"/>
          <w:color w:val="0070C0"/>
          <w:sz w:val="16"/>
          <w:szCs w:val="16"/>
        </w:rPr>
        <w:tab/>
        <w:t>У-2</w:t>
      </w:r>
    </w:p>
    <w:p w14:paraId="7C21F3DF" w14:textId="77777777" w:rsidR="00887CC8" w:rsidRPr="00142305" w:rsidRDefault="00887CC8" w:rsidP="00887CC8">
      <w:pPr>
        <w:widowControl w:val="0"/>
        <w:tabs>
          <w:tab w:val="left" w:pos="502"/>
        </w:tabs>
        <w:spacing w:after="0" w:line="240" w:lineRule="auto"/>
        <w:jc w:val="both"/>
        <w:rPr>
          <w:rFonts w:ascii="Times New Roman" w:hAnsi="Times New Roman"/>
          <w:color w:val="0070C0"/>
          <w:sz w:val="16"/>
          <w:szCs w:val="16"/>
        </w:rPr>
      </w:pPr>
      <w:bookmarkStart w:id="7" w:name="bookmark29"/>
      <w:bookmarkEnd w:id="7"/>
      <w:r w:rsidRPr="00142305">
        <w:rPr>
          <w:rFonts w:ascii="Times New Roman" w:hAnsi="Times New Roman"/>
          <w:color w:val="0070C0"/>
          <w:sz w:val="16"/>
          <w:szCs w:val="16"/>
        </w:rPr>
        <w:t>9-я военная школа летчиков (УВО), Харьков</w:t>
      </w:r>
      <w:r w:rsidRPr="00142305">
        <w:rPr>
          <w:rFonts w:ascii="Times New Roman" w:hAnsi="Times New Roman"/>
          <w:color w:val="0070C0"/>
          <w:sz w:val="16"/>
          <w:szCs w:val="16"/>
        </w:rPr>
        <w:tab/>
        <w:t>68</w:t>
      </w:r>
      <w:r w:rsidRPr="00142305">
        <w:rPr>
          <w:rFonts w:ascii="Times New Roman" w:hAnsi="Times New Roman"/>
          <w:color w:val="0070C0"/>
          <w:sz w:val="16"/>
          <w:szCs w:val="16"/>
        </w:rPr>
        <w:tab/>
        <w:t>У-2</w:t>
      </w:r>
    </w:p>
    <w:p w14:paraId="3D95B01E"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11-я военная школа летчиков (УВО), Луганск</w:t>
      </w:r>
      <w:r w:rsidRPr="00142305">
        <w:rPr>
          <w:rFonts w:ascii="Times New Roman" w:hAnsi="Times New Roman"/>
          <w:color w:val="0070C0"/>
          <w:sz w:val="16"/>
          <w:szCs w:val="16"/>
        </w:rPr>
        <w:tab/>
        <w:t>84</w:t>
      </w:r>
      <w:r w:rsidRPr="00142305">
        <w:rPr>
          <w:rFonts w:ascii="Times New Roman" w:hAnsi="Times New Roman"/>
          <w:color w:val="0070C0"/>
          <w:sz w:val="16"/>
          <w:szCs w:val="16"/>
        </w:rPr>
        <w:tab/>
        <w:t>У-2</w:t>
      </w:r>
    </w:p>
    <w:p w14:paraId="32923D59"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14 -я школа военных летчиков (ПриВО), Энгельс</w:t>
      </w:r>
      <w:r w:rsidRPr="00142305">
        <w:rPr>
          <w:rFonts w:ascii="Times New Roman" w:hAnsi="Times New Roman"/>
          <w:color w:val="0070C0"/>
          <w:sz w:val="16"/>
          <w:szCs w:val="16"/>
        </w:rPr>
        <w:tab/>
        <w:t>89</w:t>
      </w:r>
      <w:r w:rsidRPr="00142305">
        <w:rPr>
          <w:rFonts w:ascii="Times New Roman" w:hAnsi="Times New Roman"/>
          <w:color w:val="0070C0"/>
          <w:sz w:val="16"/>
          <w:szCs w:val="16"/>
        </w:rPr>
        <w:tab/>
        <w:t>У-2</w:t>
      </w:r>
    </w:p>
    <w:p w14:paraId="2F485FFE"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Военная школа морских летчиков, Черное море, Ейск</w:t>
      </w:r>
      <w:r w:rsidRPr="00142305">
        <w:rPr>
          <w:rFonts w:ascii="Times New Roman" w:hAnsi="Times New Roman"/>
          <w:color w:val="0070C0"/>
          <w:sz w:val="16"/>
          <w:szCs w:val="16"/>
        </w:rPr>
        <w:tab/>
        <w:t>128</w:t>
      </w:r>
      <w:r w:rsidRPr="00142305">
        <w:rPr>
          <w:rFonts w:ascii="Times New Roman" w:hAnsi="Times New Roman"/>
          <w:color w:val="0070C0"/>
          <w:sz w:val="16"/>
          <w:szCs w:val="16"/>
        </w:rPr>
        <w:tab/>
        <w:t>У-2</w:t>
      </w:r>
      <w:r w:rsidRPr="00142305">
        <w:rPr>
          <w:rFonts w:ascii="Times New Roman" w:hAnsi="Times New Roman"/>
          <w:color w:val="0070C0"/>
          <w:sz w:val="16"/>
          <w:szCs w:val="16"/>
        </w:rPr>
        <w:fldChar w:fldCharType="end"/>
      </w:r>
    </w:p>
    <w:p w14:paraId="069752E4" w14:textId="77777777" w:rsidR="00887CC8" w:rsidRPr="00142305" w:rsidRDefault="00887CC8" w:rsidP="00887C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3-я объединенная школа пилотов и техников (ПриВО), Пермь</w:t>
      </w:r>
      <w:r w:rsidRPr="00142305">
        <w:rPr>
          <w:rFonts w:ascii="Times New Roman" w:hAnsi="Times New Roman"/>
          <w:color w:val="0070C0"/>
          <w:sz w:val="16"/>
          <w:szCs w:val="16"/>
        </w:rPr>
        <w:tab/>
        <w:t>20 У-2.</w:t>
      </w:r>
    </w:p>
    <w:p w14:paraId="7653B078" w14:textId="77777777" w:rsidR="00887CC8" w:rsidRPr="00142305" w:rsidRDefault="00887CC8" w:rsidP="00887CC8">
      <w:pPr>
        <w:tabs>
          <w:tab w:val="left" w:leader="dot" w:pos="3308"/>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У-2 выпуска 1930-31 годов в эксплуатации поначалу доставляли много хлопот. Слабыми оказались моторные рамы двигателей и амор</w:t>
      </w:r>
      <w:r w:rsidRPr="00142305">
        <w:rPr>
          <w:rFonts w:ascii="Times New Roman" w:hAnsi="Times New Roman"/>
          <w:color w:val="0070C0"/>
          <w:sz w:val="16"/>
          <w:szCs w:val="16"/>
        </w:rPr>
        <w:softHyphen/>
        <w:t>тизационные стойки шасси, двигатели пере</w:t>
      </w:r>
      <w:r w:rsidRPr="00142305">
        <w:rPr>
          <w:rFonts w:ascii="Times New Roman" w:hAnsi="Times New Roman"/>
          <w:color w:val="0070C0"/>
          <w:sz w:val="16"/>
          <w:szCs w:val="16"/>
        </w:rPr>
        <w:softHyphen/>
        <w:t>гревались, капоты покрывались трещинами, отмечались случаи пожаров в воздухе по при</w:t>
      </w:r>
      <w:r w:rsidRPr="00142305">
        <w:rPr>
          <w:rFonts w:ascii="Times New Roman" w:hAnsi="Times New Roman"/>
          <w:color w:val="0070C0"/>
          <w:sz w:val="16"/>
          <w:szCs w:val="16"/>
        </w:rPr>
        <w:softHyphen/>
        <w:t>чине негерметичности бензосистемы. Однов</w:t>
      </w:r>
      <w:r w:rsidRPr="00142305">
        <w:rPr>
          <w:rFonts w:ascii="Times New Roman" w:hAnsi="Times New Roman"/>
          <w:color w:val="0070C0"/>
          <w:sz w:val="16"/>
          <w:szCs w:val="16"/>
        </w:rPr>
        <w:softHyphen/>
        <w:t>ременно эти самолеты определялись как «ле</w:t>
      </w:r>
      <w:r w:rsidRPr="00142305">
        <w:rPr>
          <w:rFonts w:ascii="Times New Roman" w:hAnsi="Times New Roman"/>
          <w:color w:val="0070C0"/>
          <w:sz w:val="16"/>
          <w:szCs w:val="16"/>
        </w:rPr>
        <w:softHyphen/>
        <w:t>тучие», пилоты утверждали, что на них прият</w:t>
      </w:r>
      <w:r w:rsidRPr="00142305">
        <w:rPr>
          <w:rFonts w:ascii="Times New Roman" w:hAnsi="Times New Roman"/>
          <w:color w:val="0070C0"/>
          <w:sz w:val="16"/>
          <w:szCs w:val="16"/>
        </w:rPr>
        <w:softHyphen/>
        <w:t>но летать. При частоте вращения двигателя 1600 об/мин самолет легко набирал высоту (уже после второго разворота она составляла 300 метров), легко выполнял виражи с креном до 60° без снижения (24969).</w:t>
      </w:r>
    </w:p>
    <w:p w14:paraId="03A5DBEA" w14:textId="77777777" w:rsidR="00887CC8" w:rsidRPr="00142305" w:rsidRDefault="00887CC8" w:rsidP="00887CC8">
      <w:pPr>
        <w:spacing w:after="0" w:line="240" w:lineRule="auto"/>
        <w:jc w:val="both"/>
        <w:rPr>
          <w:rFonts w:ascii="Times New Roman" w:hAnsi="Times New Roman"/>
          <w:color w:val="0070C0"/>
          <w:sz w:val="16"/>
          <w:szCs w:val="16"/>
        </w:rPr>
      </w:pPr>
    </w:p>
    <w:p w14:paraId="7AFBF1CB"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директивой Наркомвоенмора Ленинградский авиамотодесантный отряд М.В.Бойцова был развернут в авиационную десантную бригаду особого назначения (АБОН) - стала учебным центром для 9 формирующихся парашютных батальонов (1101,125).</w:t>
      </w:r>
    </w:p>
    <w:p w14:paraId="2E77F3C8"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3BF2E225"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января 1933 г. начали формировать первую Авиационную Бригаду Особого Назначения (АБОН), расквартированную под Ленинградом. Каждой бригаде придавалась транспортная эскадрилья (12 ТБ-3) и разведывательный отряд на самолетах Р-5 (25356).</w:t>
      </w:r>
    </w:p>
    <w:p w14:paraId="6FDA85D6" w14:textId="77777777" w:rsidR="00EE55D6" w:rsidRPr="00142305" w:rsidRDefault="00EE55D6" w:rsidP="00EE55D6">
      <w:pPr>
        <w:spacing w:after="0" w:line="240" w:lineRule="auto"/>
        <w:jc w:val="both"/>
        <w:rPr>
          <w:rFonts w:ascii="Times New Roman" w:hAnsi="Times New Roman"/>
          <w:color w:val="0070C0"/>
          <w:sz w:val="16"/>
          <w:szCs w:val="16"/>
        </w:rPr>
      </w:pPr>
    </w:p>
    <w:p w14:paraId="18F296B2" w14:textId="0AF023D5" w:rsidR="00EE55D6" w:rsidRPr="0044524F" w:rsidRDefault="00EE55D6" w:rsidP="00EE55D6">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Жизнь и внутреняя политика</w:t>
      </w:r>
      <w:r w:rsidRPr="0044524F">
        <w:rPr>
          <w:rFonts w:ascii="Times New Roman" w:hAnsi="Times New Roman"/>
          <w:i/>
          <w:iCs/>
          <w:color w:val="000000" w:themeColor="text1"/>
          <w:sz w:val="16"/>
          <w:szCs w:val="16"/>
        </w:rPr>
        <w:t>:</w:t>
      </w:r>
    </w:p>
    <w:p w14:paraId="2D8BF55E" w14:textId="77777777" w:rsidR="00EE55D6" w:rsidRPr="0044524F" w:rsidRDefault="00EE55D6" w:rsidP="00EE55D6">
      <w:pPr>
        <w:autoSpaceDE w:val="0"/>
        <w:autoSpaceDN w:val="0"/>
        <w:adjustRightInd w:val="0"/>
        <w:spacing w:after="0" w:line="240" w:lineRule="auto"/>
        <w:jc w:val="both"/>
        <w:rPr>
          <w:rFonts w:ascii="Times New Roman" w:hAnsi="Times New Roman"/>
          <w:iCs/>
          <w:color w:val="000000" w:themeColor="text1"/>
          <w:sz w:val="16"/>
          <w:szCs w:val="16"/>
        </w:rPr>
      </w:pPr>
    </w:p>
    <w:p w14:paraId="4ACFFD0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учитывая срыв плановых заданий первой пятилетки, Сталин на пленуме ЦК 1933 года провозгласил отказ от политики "наиболее ускоренных темпов", заявив, что теперь нет необходимости "подхлёстывать и подгонять страну". В соответствии с этим он предложил для второй пятилетки 13-14 % ежегодного прироста промышленной продукции "как минимум" (9492).</w:t>
      </w:r>
    </w:p>
    <w:p w14:paraId="282A9FF4"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06472624" w14:textId="77777777" w:rsidR="001A7A4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28EE607" w14:textId="77777777" w:rsidR="001A7A44" w:rsidRPr="0044524F" w:rsidRDefault="001A7A4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F1B8829"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в Германии к власти пришли фашисты (226,426).</w:t>
      </w:r>
    </w:p>
    <w:p w14:paraId="0E438336" w14:textId="77777777" w:rsidR="001A7A44" w:rsidRPr="0044524F" w:rsidRDefault="001A7A44" w:rsidP="009654CF">
      <w:pPr>
        <w:autoSpaceDE w:val="0"/>
        <w:autoSpaceDN w:val="0"/>
        <w:adjustRightInd w:val="0"/>
        <w:spacing w:after="0" w:line="240" w:lineRule="auto"/>
        <w:jc w:val="both"/>
        <w:rPr>
          <w:rFonts w:ascii="Times New Roman" w:hAnsi="Times New Roman"/>
          <w:color w:val="000000" w:themeColor="text1"/>
          <w:sz w:val="16"/>
          <w:szCs w:val="16"/>
        </w:rPr>
      </w:pPr>
    </w:p>
    <w:p w14:paraId="1E813F65" w14:textId="73709D9E" w:rsidR="000A787B" w:rsidRPr="0044524F" w:rsidRDefault="000A78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Браун 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Ридель приступили к</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испытаниям двигателя 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тягой 140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кг/сек, охлаждаемого водой. Несмотря на то, что испытания сопровождались взрывами топливной смеси 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другими авариями, Дорнберер 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Беккер оценили полученные результаты как приемлемые для начальной стадии работ. После этого группа Риделя под руководством Брауна спроектировала 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построила новый двигатель, 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тягой 295</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кг/сек. Он работал на смеси этанола (спирт с добавлением 25 % воды) и жидкого кислорода. Топливный бак, разделенный герметичной перегородкой, содержал спирт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верхней части,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нижней</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жидкий кислород. Подача компонентов вытеснительная, сжатым азотом. Способ охлаждения двигателя регенеративный. Его установили на ракете длиной 140,2 см, стартовым весом 150 кг, предназначенной для вертикального запуска из пусковой установки высотой несколько метров. Ракете дали условное обозначение «Агрегат» (Aggregat)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 сокращенно А1. Это обозначение распространилось на всю серию (23372).</w:t>
      </w:r>
    </w:p>
    <w:p w14:paraId="5F69DB2F" w14:textId="77777777" w:rsidR="000A787B" w:rsidRPr="0044524F" w:rsidRDefault="000A787B" w:rsidP="009654CF">
      <w:pPr>
        <w:spacing w:after="0" w:line="240" w:lineRule="auto"/>
        <w:jc w:val="both"/>
        <w:rPr>
          <w:rFonts w:ascii="Times New Roman" w:hAnsi="Times New Roman"/>
          <w:color w:val="000000" w:themeColor="text1"/>
          <w:sz w:val="16"/>
          <w:szCs w:val="16"/>
        </w:rPr>
      </w:pPr>
    </w:p>
    <w:p w14:paraId="06721624" w14:textId="77777777" w:rsidR="008C6458" w:rsidRPr="0044524F" w:rsidRDefault="008C6458" w:rsidP="008C6458">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1C8180D" w14:textId="77777777" w:rsidR="008C6458" w:rsidRPr="0044524F" w:rsidRDefault="008C6458" w:rsidP="008C6458">
      <w:pPr>
        <w:autoSpaceDE w:val="0"/>
        <w:autoSpaceDN w:val="0"/>
        <w:adjustRightInd w:val="0"/>
        <w:spacing w:after="0" w:line="240" w:lineRule="auto"/>
        <w:jc w:val="both"/>
        <w:rPr>
          <w:rFonts w:ascii="Times New Roman" w:hAnsi="Times New Roman"/>
          <w:iCs/>
          <w:color w:val="000000" w:themeColor="text1"/>
          <w:sz w:val="16"/>
          <w:szCs w:val="16"/>
        </w:rPr>
      </w:pPr>
    </w:p>
    <w:p w14:paraId="21057072" w14:textId="77777777" w:rsidR="008C6458" w:rsidRPr="0044524F" w:rsidRDefault="008C6458" w:rsidP="008C6458">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январе-феврале 1933 КБ под руководством Рафаэлянца с участием конструкторов ЦАГИ и завода №39 ГУАП Никитина, Государева, Флерова, Шварца, Ермонского, Кургузова, Астахова, Асахина и Гришина был разработан летающий колесно-гусеничный танк и изготовлен деревянный макет машины. Планировали использовать конструкцию подвески БТ-2. Рассмотрели еще два варианта - Добровольского и Самсонова (гидропередача) и проект Камова (автожир). По первому варианту изготовили деревянный макет, который был испытан в ЦАГИ в конце марта (9527,113).</w:t>
      </w:r>
    </w:p>
    <w:p w14:paraId="68B79BA8" w14:textId="77777777" w:rsidR="008C6458" w:rsidRPr="0044524F" w:rsidRDefault="008C6458" w:rsidP="008C6458">
      <w:pPr>
        <w:autoSpaceDE w:val="0"/>
        <w:autoSpaceDN w:val="0"/>
        <w:adjustRightInd w:val="0"/>
        <w:spacing w:after="0" w:line="240" w:lineRule="auto"/>
        <w:jc w:val="both"/>
        <w:rPr>
          <w:rFonts w:ascii="Times New Roman" w:hAnsi="Times New Roman"/>
          <w:color w:val="000000" w:themeColor="text1"/>
          <w:sz w:val="16"/>
          <w:szCs w:val="16"/>
        </w:rPr>
      </w:pPr>
    </w:p>
    <w:p w14:paraId="04629B76"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январе- сентябре 1933 г. для обеспечения заказов на лётную работу Управление воздушной службы Главсевмориути заключило 9 договоров: с Сектором Карской и Ленской операций (на обследование экспедиций ледовой разведкой на 195 летных часов), с Всероссийским объединением морского и торгового флота «Морторг» (на обследование ледовой разведкой Колымской экспедиции на 280 часов), с Всесоюзным Арктическим институтом (на обследование изыскательской экспедиции на Чукотском полуострове на 90 лётных часов), с Западно-Таймырской экспедицией (на обследование ледовой разведкой и аэрофотосъёмку на 40 лётных часов), с Управлением почтовой связи ИКС (на перевозку почты но авиалинии Красноярск Игарка по 300 кг на парный рейс), с Всероссийской пушно-меховой конторой «Союззаготиушнина» (на перевозку 2 тонн пуш</w:t>
      </w:r>
      <w:r w:rsidRPr="00142305">
        <w:rPr>
          <w:rStyle w:val="aff"/>
          <w:rFonts w:ascii="Times New Roman" w:hAnsi="Times New Roman" w:cs="Times New Roman"/>
          <w:color w:val="0070C0"/>
          <w:spacing w:val="0"/>
          <w:sz w:val="16"/>
          <w:szCs w:val="16"/>
        </w:rPr>
        <w:softHyphen/>
        <w:t>нины с Енисея) и с «Союзпушниной» (на перевозку 4 5 рейсами пушнины с Енисея, а также 3700 песцовых шкурок в Красноярск и Енисейск) (25653).</w:t>
      </w:r>
    </w:p>
    <w:p w14:paraId="55F2AFEB" w14:textId="77777777" w:rsidR="00EE55D6" w:rsidRPr="00142305" w:rsidRDefault="00EE55D6" w:rsidP="00EE55D6">
      <w:pPr>
        <w:spacing w:after="0" w:line="240" w:lineRule="auto"/>
        <w:jc w:val="both"/>
        <w:rPr>
          <w:rFonts w:ascii="Times New Roman" w:hAnsi="Times New Roman"/>
          <w:color w:val="0070C0"/>
          <w:sz w:val="16"/>
          <w:szCs w:val="16"/>
        </w:rPr>
      </w:pPr>
    </w:p>
    <w:p w14:paraId="3B15DF4F" w14:textId="77777777" w:rsidR="00887CC8" w:rsidRPr="0044524F" w:rsidRDefault="00887CC8" w:rsidP="00887CC8">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124B9AE" w14:textId="77777777" w:rsidR="00887CC8" w:rsidRPr="0044524F" w:rsidRDefault="00887CC8" w:rsidP="00887CC8">
      <w:pPr>
        <w:autoSpaceDE w:val="0"/>
        <w:autoSpaceDN w:val="0"/>
        <w:adjustRightInd w:val="0"/>
        <w:spacing w:after="0" w:line="240" w:lineRule="auto"/>
        <w:jc w:val="both"/>
        <w:rPr>
          <w:rFonts w:ascii="Times New Roman" w:hAnsi="Times New Roman"/>
          <w:iCs/>
          <w:color w:val="000000" w:themeColor="text1"/>
          <w:sz w:val="16"/>
          <w:szCs w:val="16"/>
        </w:rPr>
      </w:pPr>
    </w:p>
    <w:p w14:paraId="08F43C34" w14:textId="77777777" w:rsidR="00887CC8" w:rsidRPr="0044524F" w:rsidRDefault="00887CC8" w:rsidP="00887CC8">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январе-феврале и в октябре 1933 на опытных тактических учениях в ЛВО принимали участие группы телетанков МС-1, Т-27 и Т-26ю Аппаратура Московского отделения Остехбюро оказалась наиболее надежной. В течение полутора часов два танка управлялись с Р-5 без отказов, а машины выполняли сложные маневры по пересеченной местности (9527,199).</w:t>
      </w:r>
    </w:p>
    <w:p w14:paraId="1CB65143" w14:textId="77777777" w:rsidR="00887CC8" w:rsidRPr="0044524F" w:rsidRDefault="00887CC8" w:rsidP="00887CC8">
      <w:pPr>
        <w:autoSpaceDE w:val="0"/>
        <w:autoSpaceDN w:val="0"/>
        <w:adjustRightInd w:val="0"/>
        <w:spacing w:after="0" w:line="240" w:lineRule="auto"/>
        <w:jc w:val="both"/>
        <w:rPr>
          <w:rFonts w:ascii="Times New Roman" w:hAnsi="Times New Roman"/>
          <w:color w:val="000000" w:themeColor="text1"/>
          <w:sz w:val="16"/>
          <w:szCs w:val="16"/>
        </w:rPr>
      </w:pPr>
    </w:p>
    <w:p w14:paraId="4F0D5AE6"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E6510CE"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594BD03" w14:textId="77777777" w:rsidR="00EE55D6" w:rsidRPr="00142305" w:rsidRDefault="00EE55D6" w:rsidP="00EE55D6">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начале 1933 г. С. В. Ильюшин настоял на создании собственной конст</w:t>
      </w:r>
      <w:r w:rsidRPr="00142305">
        <w:rPr>
          <w:rStyle w:val="aff"/>
          <w:rFonts w:ascii="Times New Roman" w:hAnsi="Times New Roman" w:cs="Times New Roman"/>
          <w:color w:val="0070C0"/>
          <w:spacing w:val="0"/>
          <w:sz w:val="16"/>
          <w:szCs w:val="16"/>
        </w:rPr>
        <w:softHyphen/>
        <w:t>рукторской группы и А. А. Сеньков оказался в составе шести специалистов, ко</w:t>
      </w:r>
      <w:r w:rsidRPr="00142305">
        <w:rPr>
          <w:rStyle w:val="aff"/>
          <w:rFonts w:ascii="Times New Roman" w:hAnsi="Times New Roman" w:cs="Times New Roman"/>
          <w:color w:val="0070C0"/>
          <w:spacing w:val="0"/>
          <w:sz w:val="16"/>
          <w:szCs w:val="16"/>
        </w:rPr>
        <w:softHyphen/>
        <w:t>торые стали работать под его руководством (25647).</w:t>
      </w:r>
    </w:p>
    <w:p w14:paraId="662413E6" w14:textId="77777777" w:rsidR="00EE55D6" w:rsidRPr="00142305" w:rsidRDefault="00EE55D6" w:rsidP="00EE55D6">
      <w:pPr>
        <w:spacing w:after="0" w:line="240" w:lineRule="auto"/>
        <w:jc w:val="both"/>
        <w:rPr>
          <w:rStyle w:val="aff"/>
          <w:rFonts w:ascii="Times New Roman" w:hAnsi="Times New Roman" w:cs="Times New Roman"/>
          <w:color w:val="0070C0"/>
          <w:spacing w:val="0"/>
          <w:sz w:val="16"/>
          <w:szCs w:val="16"/>
        </w:rPr>
      </w:pPr>
    </w:p>
    <w:p w14:paraId="1D5B483B"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1933-го, опираясь на последние достижения аэродинамики, металлургии, технологии возникла идея либо модернизировать основной тяжелый бомбардировщик ВВС Красной Армии тех лет ТБ-3, либо на его основе создать новый. Согласно тактико-техническим требованиям ВВС, утвержденных в декабре 1934 г., тяжелый бомбардировщик должен был развивать скорость до 320 км/ч, летать на высотах 6000-7000 м, доставлять на расстояние 4000 км до 1000 кг бомб при максимальной нагрузке 5000 кг.</w:t>
      </w:r>
    </w:p>
    <w:p w14:paraId="51EECE68"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 Идя по первому пути, коллектив ЦАГИ проработал вариант размещения на ТБ-3 агрегата центрального наддува, впоследствии установленного на самолете ТБ-7. Однако это предложение повышало лишь потолок ТБ-3, остальные характеристики практически не изменялись. Предпочтение отдали второму варианту, разработанному в Военно-Воздушной академии имени Н.Е. Жуковского коллективом конструкторов под руководством В.Ф.Болховитинова. Предложение академии поддержал начальник вооружений РККА М.Н. Тухачевский.</w:t>
      </w:r>
    </w:p>
    <w:p w14:paraId="517156DA"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Предполагалось, при сохранении технологического оборудования завода № 22, выпускавшего ТБ-3, создать самолет, летно-технические характеристики которого не только отвечали бы предъявленным к нему требованиям, но и в ряде случаев значительно превосходили их.</w:t>
      </w:r>
    </w:p>
    <w:p w14:paraId="041DD8B1"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ДБ-А (дальний бомбардировщик — академия) можно рассматривать как качественный шаг в самолетостроении. В отличие от ТБ-3, он имел гладкую обшивку, металлические винты с регулируемым на земле углом установки лопастей, посадочные щитки Шренка, убирающееся хвостовое и полуубирающиеся основные колеса шасси, бомболюк размером 6×2 м, механизированную экранированную турель Тур-8, нерегулируемый стабилизатор и закрытые, кроме кормового стрелка, кабины экипажа/</w:t>
      </w:r>
    </w:p>
    <w:p w14:paraId="080EBC92"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Полумонококовый фюзеляж позволял значительно увеличить свободный внутренний объем при тех же габаритах, что и ТБ-3. Высокорасположенное трехлонжеронное крыло, набранное из профилей ЦАГИ — 620-процентной толщиной, состояло из центроплана и двух консолей. Носок и задняя часть крыла неразъемные. Девять бензобаков вмещали 14600 л.</w:t>
      </w:r>
    </w:p>
    <w:p w14:paraId="3864DE58"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Первоначально на двигатели ДБ-А устанавливались двухлопастные деревянные воздушные винты диаметром 4, 35 м от ТБ-3, что привело к снижению летных характеристик по сравнению с расчетными. Впоследствии их заменили на трехлопастные диаметром 4,1 м от самолета АНТ-25.</w:t>
      </w:r>
    </w:p>
    <w:p w14:paraId="10B29D61"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ДБ-А по своим характеристикам, полученным во время заводских испытаний, значительно превосходил не только своего предшественника, но и наиболее близкий к нему зарубежный четырехмоторный бомбардировщик «Фарман-222». Улучшение летных характеристик машины произошло благодаря увеличению аэродинамического качества, максимальное значение которого достигало 15 (25427).</w:t>
      </w:r>
    </w:p>
    <w:p w14:paraId="2F4C49B0" w14:textId="77777777" w:rsidR="00EE55D6" w:rsidRPr="00142305" w:rsidRDefault="00EE55D6" w:rsidP="00EE55D6">
      <w:pPr>
        <w:spacing w:after="0" w:line="240" w:lineRule="auto"/>
        <w:jc w:val="both"/>
        <w:rPr>
          <w:rFonts w:ascii="Times New Roman" w:hAnsi="Times New Roman"/>
          <w:color w:val="0070C0"/>
          <w:sz w:val="16"/>
          <w:szCs w:val="16"/>
        </w:rPr>
      </w:pPr>
    </w:p>
    <w:p w14:paraId="1642943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удалось договориться с промышленностью о выпуске 220 комплектов для переделки Р-5 в штурмовик. Завод № 1 обязался сдать 10 эталонных Р-5Ш, которые должны были стать образцами для мастерских ВВС. Исходный же опытный образец после внесения изменений продемонстрировали на Центральном аэродроме комиссии РВС СССР. Машина понравилась, Туржанского и Павлова наградили орденами Красной Звезды. Но из-за нехватки пулеметов, документации, специалистов работы фактически развернулись лишь в первой половине 1934 г. Завод № 1 строил Р-5Ш в 1933-34 гг. Кроме того, в частях под этот стандарт переделывали самолеты разных серий. Поэтому точно оценить количество Р-5Ш не удается. Судя по наличию их в ВВС, всего существовало около 500 машин (11936).</w:t>
      </w:r>
    </w:p>
    <w:p w14:paraId="133CD29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19C725C7"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1933 года удалось договориться с промышленностью о выпус</w:t>
      </w:r>
      <w:r w:rsidRPr="00142305">
        <w:rPr>
          <w:rFonts w:ascii="Times New Roman" w:hAnsi="Times New Roman"/>
          <w:color w:val="0070C0"/>
          <w:sz w:val="16"/>
          <w:szCs w:val="16"/>
        </w:rPr>
        <w:softHyphen/>
        <w:t>ке 220 комплектов для переделки обычных Р-5 в штурмо</w:t>
      </w:r>
      <w:r w:rsidRPr="00142305">
        <w:rPr>
          <w:rFonts w:ascii="Times New Roman" w:hAnsi="Times New Roman"/>
          <w:color w:val="0070C0"/>
          <w:sz w:val="16"/>
          <w:szCs w:val="16"/>
        </w:rPr>
        <w:softHyphen/>
        <w:t>вики. Завод № I обязался сдать десять эталонных Р-5Ш, которые должны были стать образцами для мастерских ВВС. Исходный же опытный образец после внесения из</w:t>
      </w:r>
      <w:r w:rsidRPr="00142305">
        <w:rPr>
          <w:rFonts w:ascii="Times New Roman" w:hAnsi="Times New Roman"/>
          <w:color w:val="0070C0"/>
          <w:sz w:val="16"/>
          <w:szCs w:val="16"/>
        </w:rPr>
        <w:softHyphen/>
        <w:t>менений продемонстрировали на московском Централь</w:t>
      </w:r>
      <w:r w:rsidRPr="00142305">
        <w:rPr>
          <w:rFonts w:ascii="Times New Roman" w:hAnsi="Times New Roman"/>
          <w:color w:val="0070C0"/>
          <w:sz w:val="16"/>
          <w:szCs w:val="16"/>
        </w:rPr>
        <w:softHyphen/>
        <w:t>ном аэродроме комиссии Реввоенсовета СССР. Машина понравилась. Туржанского и Павлова наградили ордена</w:t>
      </w:r>
      <w:r w:rsidRPr="00142305">
        <w:rPr>
          <w:rFonts w:ascii="Times New Roman" w:hAnsi="Times New Roman"/>
          <w:color w:val="0070C0"/>
          <w:sz w:val="16"/>
          <w:szCs w:val="16"/>
        </w:rPr>
        <w:softHyphen/>
        <w:t>ми Красной Звезды. Но из-за нехватки пулеметов, доку</w:t>
      </w:r>
      <w:r w:rsidRPr="00142305">
        <w:rPr>
          <w:rFonts w:ascii="Times New Roman" w:hAnsi="Times New Roman"/>
          <w:color w:val="0070C0"/>
          <w:sz w:val="16"/>
          <w:szCs w:val="16"/>
        </w:rPr>
        <w:softHyphen/>
        <w:t>ментации. специалистов, работы фактически разверну</w:t>
      </w:r>
      <w:r w:rsidRPr="00142305">
        <w:rPr>
          <w:rFonts w:ascii="Times New Roman" w:hAnsi="Times New Roman"/>
          <w:color w:val="0070C0"/>
          <w:sz w:val="16"/>
          <w:szCs w:val="16"/>
        </w:rPr>
        <w:softHyphen/>
        <w:t>лись лишь в первой половине 1934 г. (24990).</w:t>
      </w:r>
    </w:p>
    <w:p w14:paraId="0800F25A" w14:textId="77777777" w:rsidR="009212F1" w:rsidRPr="00142305" w:rsidRDefault="009212F1" w:rsidP="009212F1">
      <w:pPr>
        <w:spacing w:after="0" w:line="240" w:lineRule="auto"/>
        <w:jc w:val="both"/>
        <w:rPr>
          <w:rFonts w:ascii="Times New Roman" w:hAnsi="Times New Roman"/>
          <w:color w:val="0070C0"/>
          <w:sz w:val="16"/>
          <w:szCs w:val="16"/>
        </w:rPr>
      </w:pPr>
    </w:p>
    <w:p w14:paraId="1F6848D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К.А.К. начал проектировать лк ВС-2 - вернее предложил ВВС несколько схем - обычной, двухбалочной и лк и ГИ-М ВВС РККА Аузан отмечал: "В результате рассмотрения представленных ХАЗОсом боевых схем ВС-2 констатирую, что наиболее целесообразной является схема лк, как обеспечивающая наилучший обзор и обстрел (2544,120).</w:t>
      </w:r>
    </w:p>
    <w:p w14:paraId="7EC04E3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1D8149AE" w14:textId="77777777" w:rsidR="003958B1" w:rsidRPr="0044524F" w:rsidRDefault="003958B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по инициативе Главного конструктора ХАЗОС К.А. Калинина было начато проектирование К-12 с целью поиска облика самолета, который бы при использовании сравнительно маломощных моторов имел бы следующие преимущества перед существующими войсковыми самолетами (имелись ввиду разведчики-бомбардировщики бипланы Р-5, единственные тогда самолеты такого класса, уже принятые на вооружение ВВС РККА, и многоплан Р-10, который проектировал ХАЗОС под руководством И. Немана):</w:t>
      </w:r>
    </w:p>
    <w:p w14:paraId="03F459B4" w14:textId="77777777" w:rsidR="003958B1" w:rsidRPr="0044524F" w:rsidRDefault="003958B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Ведущим конструктором был назначен А.В. Коваленко, который хорошо себя показал в работе над проектом К-7.</w:t>
      </w:r>
    </w:p>
    <w:p w14:paraId="5021F86D" w14:textId="50A9C360" w:rsidR="003958B1" w:rsidRPr="0044524F" w:rsidRDefault="003958B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ходе проектирования было исследовано три варианта схемы самолета: классическая с короткой хвостовой балкой и двухкилевым вертикальным оперением (ее особенностью также были элероны, вынесенные над крылом на пилонах); классическая с двумя хвостовыми балками и двухкилевым вертикальным оперением (ее особенностью также были элероны, вынесенные над крылом на пилонах); летающее крыло с размещением экипажа в коротком фюзеляже, а килей – на концах консолей. Все эти схемы проектировались под силовую установку из двух моторов с тянущим винтами, установленных в гондолах на крыле. Моторы рассматривались трех типов: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М-22 (серийный завода № 29, мощность 480 л.с., звездообразный;</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М-49 (опытный завода № 29, мощность 275 л.с. на высоте 1000 м, вес 245 кг, рядный перевернутый)</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М-52 (опытный завода № 24, однорядный с одним блоком цилиндров от М-34, 350 л.с. с малым миделем). Конструкция предполагалась с деревянным каркасом и фанерно-полотняной обшивкой за исключением капотов моторов. Кабины и турели – закрытые (23157).</w:t>
      </w:r>
    </w:p>
    <w:p w14:paraId="4244439E" w14:textId="77777777" w:rsidR="003958B1" w:rsidRPr="0044524F" w:rsidRDefault="003958B1" w:rsidP="009654CF">
      <w:pPr>
        <w:spacing w:after="0" w:line="240" w:lineRule="auto"/>
        <w:jc w:val="both"/>
        <w:rPr>
          <w:rFonts w:ascii="Times New Roman" w:hAnsi="Times New Roman"/>
          <w:color w:val="000000" w:themeColor="text1"/>
          <w:sz w:val="16"/>
          <w:szCs w:val="16"/>
        </w:rPr>
      </w:pPr>
    </w:p>
    <w:p w14:paraId="1138B31E" w14:textId="77777777" w:rsidR="000205FE" w:rsidRPr="0044524F" w:rsidRDefault="000205F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П.И.Б. приезжал на ХАЗОС разбираться с К.А.К., так как в конце 1932 группа из 18 человек написала письмо в ЦК и потом комиссия от ВВС разобраться не смогла. Среди подписантов был и З.И.Ицкович, возглавлявший группу и переброшенный П.И.Б. в Казань в КАИ (70,224).</w:t>
      </w:r>
    </w:p>
    <w:p w14:paraId="473C3EB2" w14:textId="77777777" w:rsidR="000205FE" w:rsidRPr="0044524F" w:rsidRDefault="000205FE" w:rsidP="009654CF">
      <w:pPr>
        <w:autoSpaceDE w:val="0"/>
        <w:autoSpaceDN w:val="0"/>
        <w:adjustRightInd w:val="0"/>
        <w:spacing w:after="0" w:line="240" w:lineRule="auto"/>
        <w:jc w:val="both"/>
        <w:rPr>
          <w:rFonts w:ascii="Times New Roman" w:hAnsi="Times New Roman"/>
          <w:color w:val="000000" w:themeColor="text1"/>
          <w:sz w:val="16"/>
          <w:szCs w:val="16"/>
        </w:rPr>
      </w:pPr>
    </w:p>
    <w:p w14:paraId="6D3E005D"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начале 1933 г. Калинин разработал эскизный проект первого в истории авиации бесхвостого бомбардировщика ВС-2 (К-12). Он был спроектирован по заданию ВВС на новый многоцелевой или, как тогда говорили, «войсковой» самолёт. Отсюда и военное обозначение машины ВС-2 — «войсковой самолёт двухмоторный». Кроме функций бомбардировщика самолёт должен был выполнять задачи разведчика, корректировщика артиллерийского огня, использоваться для аэрофотосъемки.. Точнее, он предложил несколько вариантов самолёта: обычной схемы, с хвостовым оперением, вынесенным за крыло на балках и «бесхвостку». Третья компоновка была признана лучшей. Главный инженер-механик ВВС РККА А.К. Аузан отмечал: «В результате рассмотрения представленных ХАЗОСом боевых схем самолёта ВС-2 констатирую, что наиболее целесообразной является схема летающего крыла, как обеспечивающая наилучшие обзор и обстрел» </w:t>
      </w:r>
      <w:hyperlink r:id="rId52" w:history="1">
        <w:r w:rsidRPr="0044524F">
          <w:rPr>
            <w:rFonts w:ascii="Times New Roman" w:eastAsia="Times New Roman" w:hAnsi="Times New Roman"/>
            <w:color w:val="000000" w:themeColor="text1"/>
            <w:sz w:val="16"/>
            <w:szCs w:val="16"/>
            <w:lang w:eastAsia="ru-RU"/>
          </w:rPr>
          <w:t>[191]</w:t>
        </w:r>
      </w:hyperlink>
      <w:r w:rsidRPr="0044524F">
        <w:rPr>
          <w:rFonts w:ascii="Times New Roman" w:eastAsia="Times New Roman" w:hAnsi="Times New Roman"/>
          <w:color w:val="000000" w:themeColor="text1"/>
          <w:sz w:val="16"/>
          <w:szCs w:val="16"/>
          <w:lang w:eastAsia="ru-RU"/>
        </w:rPr>
        <w:t xml:space="preserve"> .</w:t>
      </w:r>
    </w:p>
    <w:p w14:paraId="7EA0D77B"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Сначала конструктор хотел установить рули высоты и элероны над крылом, а вдоль всей задней кромки крыла расположить закрылок для снижения посадочной скорости. Калинин называл такую схему «короткохвостой». На самолёте предполагалось установить моторы водяного охлаждения М-52 мощностью 480 л. с. По расчётам, на высоте 3000 м самолёт мог развивать 325 км/ч при посадочной скорости 64 км/ч, набирать высоту более 8000 м, нести 780 кг полезной нагрузки </w:t>
      </w:r>
      <w:hyperlink r:id="rId53" w:history="1">
        <w:r w:rsidRPr="0044524F">
          <w:rPr>
            <w:rFonts w:ascii="Times New Roman" w:eastAsia="Times New Roman" w:hAnsi="Times New Roman"/>
            <w:color w:val="000000" w:themeColor="text1"/>
            <w:sz w:val="16"/>
            <w:szCs w:val="16"/>
            <w:lang w:eastAsia="ru-RU"/>
          </w:rPr>
          <w:t>[192]</w:t>
        </w:r>
      </w:hyperlink>
      <w:r w:rsidRPr="0044524F">
        <w:rPr>
          <w:rFonts w:ascii="Times New Roman" w:eastAsia="Times New Roman" w:hAnsi="Times New Roman"/>
          <w:color w:val="000000" w:themeColor="text1"/>
          <w:sz w:val="16"/>
          <w:szCs w:val="16"/>
          <w:lang w:eastAsia="ru-RU"/>
        </w:rPr>
        <w:t xml:space="preserve"> .</w:t>
      </w:r>
    </w:p>
    <w:p w14:paraId="7B7798DE"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Проект направили на отзыв в Центральное конструкторское бюро при заводе № 39. Там идею украинского конструктора встретили без энтузиазма. В решении ЦКБ говорится:</w:t>
      </w:r>
    </w:p>
    <w:p w14:paraId="36308159"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«Самолёт представляет собой соединение многих малоизвестных нововведений, как-то:</w:t>
      </w:r>
    </w:p>
    <w:p w14:paraId="7DDF012E"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 Бесхвостое крыло.</w:t>
      </w:r>
    </w:p>
    <w:p w14:paraId="6F3D3759"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 Над крыльевые элероны.</w:t>
      </w:r>
    </w:p>
    <w:p w14:paraId="1A813211"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3). Клапаны (закрылки).</w:t>
      </w:r>
    </w:p>
    <w:p w14:paraId="696A7CD5"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4). Боковые шайбы с рулями направления.</w:t>
      </w:r>
    </w:p>
    <w:p w14:paraId="3543DC3C"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5). Предкрылки, крайние — автоматические, внутренние — управляемые.</w:t>
      </w:r>
    </w:p>
    <w:p w14:paraId="0764B002"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Не имея опытных данных по работе этих нововведений, невозможно судить о работе их.</w:t>
      </w:r>
    </w:p>
    <w:p w14:paraId="3CC0F7C5"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Схема самолёта показывает, что аэродинамических выгод данный самолёт иметь не может, так как сохранены все части нормальной машины: фюзеляж, оперение, причем последнее имеет увеличенную площадь и добавляются над крыльевые элероны…</w:t>
      </w:r>
    </w:p>
    <w:p w14:paraId="51EE1F80"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Данный самолёт можно строить как сугубо экспериментальный в малых размерах, отстраняя вопрос о постройке большого самолёта, а тем более в серии» </w:t>
      </w:r>
      <w:hyperlink r:id="rId54" w:history="1">
        <w:r w:rsidRPr="0044524F">
          <w:rPr>
            <w:rFonts w:ascii="Times New Roman" w:eastAsia="Times New Roman" w:hAnsi="Times New Roman"/>
            <w:color w:val="000000" w:themeColor="text1"/>
            <w:sz w:val="16"/>
            <w:szCs w:val="16"/>
            <w:lang w:eastAsia="ru-RU"/>
          </w:rPr>
          <w:t>[193]</w:t>
        </w:r>
      </w:hyperlink>
      <w:r w:rsidRPr="0044524F">
        <w:rPr>
          <w:rFonts w:ascii="Times New Roman" w:eastAsia="Times New Roman" w:hAnsi="Times New Roman"/>
          <w:color w:val="000000" w:themeColor="text1"/>
          <w:sz w:val="16"/>
          <w:szCs w:val="16"/>
          <w:lang w:eastAsia="ru-RU"/>
        </w:rPr>
        <w:t xml:space="preserve"> (17489).</w:t>
      </w:r>
    </w:p>
    <w:p w14:paraId="373B50A9" w14:textId="77777777" w:rsidR="000205FE" w:rsidRPr="0044524F" w:rsidRDefault="000205FE" w:rsidP="009654CF">
      <w:pPr>
        <w:spacing w:after="0" w:line="240" w:lineRule="auto"/>
        <w:jc w:val="both"/>
        <w:rPr>
          <w:rFonts w:ascii="Times New Roman" w:eastAsia="Times New Roman" w:hAnsi="Times New Roman"/>
          <w:color w:val="000000" w:themeColor="text1"/>
          <w:sz w:val="16"/>
          <w:szCs w:val="16"/>
          <w:lang w:eastAsia="ru-RU"/>
        </w:rPr>
      </w:pPr>
    </w:p>
    <w:p w14:paraId="7A07775B"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самого начала 1933 г., параллельно с разработкой истребителя И-15, Н. Н. Поликарпов в инициативном порядке проектировал еще один самолет — истребитель И-16. Николай Николаевич сделал его первые наброски, находясь в ЦАГИ, в мае-июле 1932 г. Предварительный вариант эскизного проекта был готов к концу 1932 г. Рассматривая пути снижения аэродинамического сопротивления, он пришел к выводу о возможности создания истребителя-моноплана с максимальной скоростью свыше 400 км/ч. Напомним, что в 1930–1932 гг. истребители еще только достигли скорости 300 км/ч.</w:t>
      </w:r>
    </w:p>
    <w:p w14:paraId="0B7ACF34"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чем основывались его расчеты? Отработанное и внедренное в практику отечественного и мирового самолетостроения хорошее капотирование мотора, отказ от подкосов, расчалок, стоек, начавшееся внедрение убираемого шасси позволяли резко улучшить аэродинамику самолета. В этих условиях одним из основных источников сопротивления становилось трение воздуха. Трение зависит от многих факторов, в том числе и от площади омываемой поверхности. Поэтому следующим логическим шагом явилось уменьшение площади крыльев, что повышало удельную нагрузку на них, а также площади поверхности фюзеляжа за счет уменьшения его длины. Эти соображения и обусловили малые размеры проектируемого самолета: размах 9 м, длина 6 м.</w:t>
      </w:r>
    </w:p>
    <w:p w14:paraId="016BBC29"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Появление двигателей с приводными центробежными нагнетателями и высокой удельной мощностью (мощностью, отнесенной к 1 кг веса мотора) также способствовало успеху разработки. К сожалению, отечественное моторостроение ввиду низкой культуры производства тех лет не смогло завершить доводку многих </w:t>
      </w:r>
      <w:r w:rsidRPr="00142305">
        <w:rPr>
          <w:rFonts w:ascii="Times New Roman" w:hAnsi="Times New Roman"/>
          <w:color w:val="0070C0"/>
          <w:sz w:val="16"/>
          <w:szCs w:val="16"/>
        </w:rPr>
        <w:lastRenderedPageBreak/>
        <w:t>оригинальных конструкций. Поэтому при проектировании самолета Николай Николаевич был вынужден ориентироваться на перспективные зарубежные двигатели, прежде всего Райт «Циклон» SGR-1820 серий F-3 и F-5.</w:t>
      </w:r>
    </w:p>
    <w:p w14:paraId="1D1E2233"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Организация ЦКБ и его переезд на завод им. В. Р. Менжинского, срочные работы по самолету И-15 (ЦКБ-3) на время отодвинули проектирование нового истребителя. К нему Николай Николаевич вернулся в марте 1933 г. (25035).</w:t>
      </w:r>
    </w:p>
    <w:p w14:paraId="2812C5F0" w14:textId="77777777" w:rsidR="00EE55D6" w:rsidRPr="00142305" w:rsidRDefault="00EE55D6" w:rsidP="00EE55D6">
      <w:pPr>
        <w:spacing w:after="0" w:line="240" w:lineRule="auto"/>
        <w:jc w:val="both"/>
        <w:rPr>
          <w:rFonts w:ascii="Times New Roman" w:hAnsi="Times New Roman"/>
          <w:smallCaps/>
          <w:color w:val="0070C0"/>
          <w:sz w:val="16"/>
          <w:szCs w:val="16"/>
        </w:rPr>
      </w:pPr>
    </w:p>
    <w:p w14:paraId="32850DC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испытывался ДИ-4 Лавиля, разработанный в Бюро новых конструкций (БНК) (80,127). Однако, в начале 1933 Бюро новых конструкций на заводе Менжинского - перестало быть самостоятельным (80,416). С.А.Лавочкин - попал к В.А.Чижевскому (78,38).</w:t>
      </w:r>
    </w:p>
    <w:p w14:paraId="356DC8D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видимому, с приходом С.В.И.</w:t>
      </w:r>
    </w:p>
    <w:p w14:paraId="4FBE68C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56C736A5"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на</w:t>
      </w:r>
      <w:r w:rsidRPr="0044524F">
        <w:rPr>
          <w:rFonts w:ascii="Times New Roman" w:hAnsi="Times New Roman"/>
          <w:color w:val="000000" w:themeColor="text1"/>
          <w:sz w:val="16"/>
          <w:szCs w:val="16"/>
        </w:rPr>
        <w:softHyphen/>
        <w:t>чались испытания Д-4 Лавиля (11134). После проведения заводских испытании и ряда усовершенст</w:t>
      </w:r>
      <w:r w:rsidRPr="0044524F">
        <w:rPr>
          <w:rFonts w:ascii="Times New Roman" w:hAnsi="Times New Roman"/>
          <w:color w:val="000000" w:themeColor="text1"/>
          <w:sz w:val="16"/>
          <w:szCs w:val="16"/>
        </w:rPr>
        <w:softHyphen/>
        <w:t>вований 5 мая машину доставили с завода № 39 на Центральный аэродром, а 7 мая пе</w:t>
      </w:r>
      <w:r w:rsidRPr="0044524F">
        <w:rPr>
          <w:rFonts w:ascii="Times New Roman" w:hAnsi="Times New Roman"/>
          <w:color w:val="000000" w:themeColor="text1"/>
          <w:sz w:val="16"/>
          <w:szCs w:val="16"/>
        </w:rPr>
        <w:softHyphen/>
        <w:t>регнали в Щелково, на аэродром НИИ ВВС. Государственные испытания велись в период с 8-го по 22 мая 1933 г. (11134).</w:t>
      </w:r>
    </w:p>
    <w:p w14:paraId="33883E4B"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CCAA1B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w:t>
      </w:r>
      <w:r w:rsidRPr="0044524F">
        <w:rPr>
          <w:rFonts w:ascii="Times New Roman" w:hAnsi="Times New Roman"/>
          <w:color w:val="000000" w:themeColor="text1"/>
          <w:sz w:val="16"/>
          <w:szCs w:val="16"/>
        </w:rPr>
        <w:softHyphen/>
        <w:t>чале 1933 г. начались полеты Д-4. После про</w:t>
      </w:r>
      <w:r w:rsidRPr="0044524F">
        <w:rPr>
          <w:rFonts w:ascii="Times New Roman" w:hAnsi="Times New Roman"/>
          <w:color w:val="000000" w:themeColor="text1"/>
          <w:sz w:val="16"/>
          <w:szCs w:val="16"/>
        </w:rPr>
        <w:softHyphen/>
        <w:t>ведения заводских испытаний и ряда усовер</w:t>
      </w:r>
      <w:r w:rsidRPr="0044524F">
        <w:rPr>
          <w:rFonts w:ascii="Times New Roman" w:hAnsi="Times New Roman"/>
          <w:color w:val="000000" w:themeColor="text1"/>
          <w:sz w:val="16"/>
          <w:szCs w:val="16"/>
        </w:rPr>
        <w:softHyphen/>
        <w:t>шенствований 5 мая машину доставили с за</w:t>
      </w:r>
      <w:r w:rsidRPr="0044524F">
        <w:rPr>
          <w:rFonts w:ascii="Times New Roman" w:hAnsi="Times New Roman"/>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54AB5EA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Признавалось, что ДИ-4 выполнен по не</w:t>
      </w:r>
      <w:r w:rsidRPr="0044524F">
        <w:rPr>
          <w:rFonts w:ascii="Times New Roman" w:hAnsi="Times New Roman"/>
          <w:color w:val="000000" w:themeColor="text1"/>
          <w:sz w:val="16"/>
          <w:szCs w:val="16"/>
        </w:rPr>
        <w:softHyphen/>
        <w:t>современной схеме, с подкосами, крепящи</w:t>
      </w:r>
      <w:r w:rsidRPr="0044524F">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44524F">
        <w:rPr>
          <w:rFonts w:ascii="Times New Roman" w:hAnsi="Times New Roman"/>
          <w:color w:val="000000" w:themeColor="text1"/>
          <w:sz w:val="16"/>
          <w:szCs w:val="16"/>
        </w:rPr>
        <w:softHyphen/>
        <w:t>не использованного толстого профиля. Лет</w:t>
      </w:r>
      <w:r w:rsidRPr="0044524F">
        <w:rPr>
          <w:rFonts w:ascii="Times New Roman" w:hAnsi="Times New Roman"/>
          <w:color w:val="000000" w:themeColor="text1"/>
          <w:sz w:val="16"/>
          <w:szCs w:val="16"/>
        </w:rPr>
        <w:softHyphen/>
        <w:t>ные характеристики оценивались как невы</w:t>
      </w:r>
      <w:r w:rsidRPr="0044524F">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4D5AC65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дальнейшем предлагалось вместо двига</w:t>
      </w:r>
      <w:r w:rsidRPr="0044524F">
        <w:rPr>
          <w:rFonts w:ascii="Times New Roman" w:hAnsi="Times New Roman"/>
          <w:color w:val="000000" w:themeColor="text1"/>
          <w:sz w:val="16"/>
          <w:szCs w:val="16"/>
        </w:rPr>
        <w:softHyphen/>
        <w:t>теля Кертисс «Конкверор» использовать оте</w:t>
      </w:r>
      <w:r w:rsidRPr="0044524F">
        <w:rPr>
          <w:rFonts w:ascii="Times New Roman" w:hAnsi="Times New Roman"/>
          <w:color w:val="000000" w:themeColor="text1"/>
          <w:sz w:val="16"/>
          <w:szCs w:val="16"/>
        </w:rPr>
        <w:softHyphen/>
        <w:t>чественный двигатель М-32. Однако пере</w:t>
      </w:r>
      <w:r w:rsidRPr="0044524F">
        <w:rPr>
          <w:rFonts w:ascii="Times New Roman" w:hAnsi="Times New Roman"/>
          <w:color w:val="000000" w:themeColor="text1"/>
          <w:sz w:val="16"/>
          <w:szCs w:val="16"/>
        </w:rPr>
        <w:softHyphen/>
        <w:t>делки при этом могли оказаться столь суще</w:t>
      </w:r>
      <w:r w:rsidRPr="0044524F">
        <w:rPr>
          <w:rFonts w:ascii="Times New Roman" w:hAnsi="Times New Roman"/>
          <w:color w:val="000000" w:themeColor="text1"/>
          <w:sz w:val="16"/>
          <w:szCs w:val="16"/>
        </w:rPr>
        <w:softHyphen/>
        <w:t>ственными, что от совершенствования ма</w:t>
      </w:r>
      <w:r w:rsidRPr="0044524F">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44524F">
        <w:rPr>
          <w:rFonts w:ascii="Times New Roman" w:hAnsi="Times New Roman"/>
          <w:color w:val="000000" w:themeColor="text1"/>
          <w:sz w:val="16"/>
          <w:szCs w:val="16"/>
        </w:rPr>
        <w:softHyphen/>
        <w:t>ной постройке. Опытный экземпляр остави</w:t>
      </w:r>
      <w:r w:rsidRPr="0044524F">
        <w:rPr>
          <w:rFonts w:ascii="Times New Roman" w:hAnsi="Times New Roman"/>
          <w:color w:val="000000" w:themeColor="text1"/>
          <w:sz w:val="16"/>
          <w:szCs w:val="16"/>
        </w:rPr>
        <w:softHyphen/>
        <w:t>ли в НИИ ВВС, где с июля 1934 г. ДИ-4 ис</w:t>
      </w:r>
      <w:r w:rsidRPr="0044524F">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2E78E99A" w14:textId="77777777" w:rsidR="002E1BE7" w:rsidRPr="0044524F" w:rsidRDefault="002E1BE7" w:rsidP="009654CF">
      <w:pPr>
        <w:pStyle w:val="59"/>
        <w:shd w:val="clear" w:color="auto" w:fill="auto"/>
        <w:spacing w:line="240" w:lineRule="auto"/>
        <w:jc w:val="both"/>
        <w:rPr>
          <w:color w:val="000000" w:themeColor="text1"/>
          <w:szCs w:val="16"/>
        </w:rPr>
      </w:pPr>
      <w:r w:rsidRPr="0044524F">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4E10C1" w:rsidRPr="0044524F" w14:paraId="7EB2C8F8" w14:textId="77777777" w:rsidTr="002E1BE7">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FA69089"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403BE92"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13,36</w:t>
            </w:r>
          </w:p>
        </w:tc>
      </w:tr>
      <w:tr w:rsidR="004E10C1" w:rsidRPr="0044524F" w14:paraId="60055DA2"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BD4BB72"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B27C6E1"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8,50</w:t>
            </w:r>
          </w:p>
        </w:tc>
      </w:tr>
      <w:tr w:rsidR="004E10C1" w:rsidRPr="0044524F" w14:paraId="42E66DA3" w14:textId="77777777" w:rsidTr="002E1BE7">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8E5FD06"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Площадь крыла (м</w:t>
            </w:r>
            <w:r w:rsidRPr="0044524F">
              <w:rPr>
                <w:rFonts w:ascii="Times New Roman" w:hAnsi="Times New Roman" w:cs="Times New Roman"/>
                <w:b w:val="0"/>
                <w:color w:val="000000" w:themeColor="text1"/>
                <w:sz w:val="16"/>
                <w:szCs w:val="16"/>
                <w:vertAlign w:val="superscript"/>
              </w:rPr>
              <w:t>2</w:t>
            </w:r>
            <w:r w:rsidRPr="0044524F">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A289B9B"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23,90</w:t>
            </w:r>
          </w:p>
        </w:tc>
      </w:tr>
      <w:tr w:rsidR="004E10C1" w:rsidRPr="0044524F" w14:paraId="7030B7BA"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D08E860"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9C75C66"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2,0</w:t>
            </w:r>
          </w:p>
        </w:tc>
      </w:tr>
      <w:tr w:rsidR="004E10C1" w:rsidRPr="0044524F" w14:paraId="7EFB8C73" w14:textId="77777777" w:rsidTr="002E1BE7">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8055262"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F363E2A"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1441,0</w:t>
            </w:r>
          </w:p>
        </w:tc>
      </w:tr>
      <w:tr w:rsidR="004E10C1" w:rsidRPr="0044524F" w14:paraId="5B74D807"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34804A7"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CE72B4C"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1949</w:t>
            </w:r>
          </w:p>
        </w:tc>
      </w:tr>
      <w:tr w:rsidR="004E10C1" w:rsidRPr="0044524F" w14:paraId="3FE1E5E2"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C906115"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9E9229E"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266</w:t>
            </w:r>
          </w:p>
        </w:tc>
      </w:tr>
      <w:tr w:rsidR="004E10C1" w:rsidRPr="0044524F" w14:paraId="5B50B65D"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83CEAD0"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40913FE"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248,7</w:t>
            </w:r>
          </w:p>
        </w:tc>
      </w:tr>
      <w:tr w:rsidR="004E10C1" w:rsidRPr="0044524F" w14:paraId="5F9B20C7"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270E560"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01C7AAE"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237,0</w:t>
            </w:r>
          </w:p>
        </w:tc>
      </w:tr>
      <w:tr w:rsidR="004E10C1" w:rsidRPr="0044524F" w14:paraId="5EE7F41B"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D455BA4"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8D999A4"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7,4</w:t>
            </w:r>
          </w:p>
        </w:tc>
      </w:tr>
      <w:tr w:rsidR="004E10C1" w:rsidRPr="0044524F" w14:paraId="7EDA08F5" w14:textId="77777777" w:rsidTr="002E1BE7">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38C8D40"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21370C5"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17,0</w:t>
            </w:r>
          </w:p>
        </w:tc>
      </w:tr>
      <w:tr w:rsidR="004E10C1" w:rsidRPr="0044524F" w14:paraId="238DD732" w14:textId="77777777" w:rsidTr="002E1BE7">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D96A594"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75ADAEE"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6440</w:t>
            </w:r>
          </w:p>
        </w:tc>
      </w:tr>
      <w:tr w:rsidR="004E10C1" w:rsidRPr="0044524F" w14:paraId="43B27C1E" w14:textId="77777777" w:rsidTr="002E1BE7">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38560E0"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EE21E54" w14:textId="77777777" w:rsidR="002E1BE7" w:rsidRPr="0044524F" w:rsidRDefault="002E1BE7"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15,0</w:t>
            </w:r>
          </w:p>
        </w:tc>
      </w:tr>
    </w:tbl>
    <w:p w14:paraId="315071A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(12295)</w:t>
      </w:r>
    </w:p>
    <w:p w14:paraId="7623E216"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59A5537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в ЦКБ завода Авиаработник им. Менжинского построили ДИ-4 А.Лявиля - подкосный цельнометаллический высокоплан (3876,7).</w:t>
      </w:r>
    </w:p>
    <w:p w14:paraId="367FBE3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5DB22B56" w14:textId="77777777" w:rsidR="006C4F6D" w:rsidRPr="0044524F" w:rsidRDefault="006C4F6D"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с участием летчиков Б.Л. Бухгольца и Ю.П. Пионтковского начались заводские испытания ДИ-4. В мае истребитель доставили с завода № 39 в Щелково, на аэродром НИИ ВВС для проведения Государственных испытаний. В ходе этих испытаний было признано, что ДИ-4 создан по устаревшей схеме. Отмечалось, что его шасси очень сложное и неудобное в обслуживании. Значительным недостатком являлся большой вес конструкции. Кроме того, нарекания вызвало и крыло: сделанное в виде «чайки» для улучшения обзора, оно на самом деле не обнаружило этого преимущества по причине использования толстого профиля. Истребитель с трудом входил в штопор, но прекрасно из него выходил; остальные летные качества машины оценивались как невысокие (15223).</w:t>
      </w:r>
    </w:p>
    <w:p w14:paraId="173561C7" w14:textId="77777777" w:rsidR="006C4F6D" w:rsidRPr="0044524F" w:rsidRDefault="006C4F6D" w:rsidP="009654CF">
      <w:pPr>
        <w:shd w:val="clear" w:color="auto" w:fill="FFFFFF"/>
        <w:spacing w:after="0" w:line="240" w:lineRule="auto"/>
        <w:jc w:val="both"/>
        <w:rPr>
          <w:rFonts w:ascii="Times New Roman" w:hAnsi="Times New Roman"/>
          <w:color w:val="000000" w:themeColor="text1"/>
          <w:sz w:val="16"/>
          <w:szCs w:val="16"/>
        </w:rPr>
      </w:pPr>
    </w:p>
    <w:p w14:paraId="0E3F9A94" w14:textId="77777777" w:rsidR="00143E28" w:rsidRPr="0044524F" w:rsidRDefault="00143E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на испытания он вышел оригинальный двухместный истребитель ДИ-4, который был разработан под руководством французского инженера А. Лявиля, возглавляв</w:t>
      </w:r>
      <w:r w:rsidRPr="0044524F">
        <w:rPr>
          <w:rFonts w:ascii="Times New Roman" w:hAnsi="Times New Roman"/>
          <w:color w:val="000000" w:themeColor="text1"/>
          <w:sz w:val="16"/>
          <w:szCs w:val="16"/>
        </w:rPr>
        <w:softHyphen/>
        <w:t xml:space="preserve">шего в начале 30-х годов Бюро новых конструкций (БНК). </w:t>
      </w:r>
    </w:p>
    <w:p w14:paraId="3919CA40" w14:textId="77777777" w:rsidR="00143E28" w:rsidRPr="0044524F" w:rsidRDefault="00143E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Самолёт представлял собой подкосный высокоплан с небольшой «чайкой», оснащённый мотором «Конкверрор» (600 л.с.). Вооружение обыч</w:t>
      </w:r>
      <w:r w:rsidRPr="0044524F">
        <w:rPr>
          <w:rFonts w:ascii="Times New Roman" w:hAnsi="Times New Roman"/>
          <w:color w:val="000000" w:themeColor="text1"/>
          <w:sz w:val="16"/>
          <w:szCs w:val="16"/>
        </w:rPr>
        <w:softHyphen/>
        <w:t>ное - два синхронных пулемёта ПВ-1 и пулемёт Дегтярёва на туре</w:t>
      </w:r>
      <w:r w:rsidRPr="0044524F">
        <w:rPr>
          <w:rFonts w:ascii="Times New Roman" w:hAnsi="Times New Roman"/>
          <w:color w:val="000000" w:themeColor="text1"/>
          <w:sz w:val="16"/>
          <w:szCs w:val="16"/>
        </w:rPr>
        <w:softHyphen/>
        <w:t>ли.</w:t>
      </w:r>
    </w:p>
    <w:p w14:paraId="2D70D2B7" w14:textId="77777777" w:rsidR="00143E28" w:rsidRPr="0044524F" w:rsidRDefault="00143E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 цельно</w:t>
      </w:r>
      <w:r w:rsidRPr="0044524F">
        <w:rPr>
          <w:rFonts w:ascii="Times New Roman" w:hAnsi="Times New Roman"/>
          <w:color w:val="000000" w:themeColor="text1"/>
          <w:sz w:val="16"/>
          <w:szCs w:val="16"/>
        </w:rPr>
        <w:softHyphen/>
        <w:t>металлическая, обшивка везде гладкая, но из-за редкого шага нер</w:t>
      </w:r>
      <w:r w:rsidRPr="0044524F">
        <w:rPr>
          <w:rFonts w:ascii="Times New Roman" w:hAnsi="Times New Roman"/>
          <w:color w:val="000000" w:themeColor="text1"/>
          <w:sz w:val="16"/>
          <w:szCs w:val="16"/>
        </w:rPr>
        <w:softHyphen/>
        <w:t>вюр имелись «хлопуны» (возможно и по причине плохого производ</w:t>
      </w:r>
      <w:r w:rsidRPr="0044524F">
        <w:rPr>
          <w:rFonts w:ascii="Times New Roman" w:hAnsi="Times New Roman"/>
          <w:color w:val="000000" w:themeColor="text1"/>
          <w:sz w:val="16"/>
          <w:szCs w:val="16"/>
        </w:rPr>
        <w:softHyphen/>
        <w:t>ственного исполнения). Была получена скорость 266 км/ч, потолок - 6440 м. В серию истребитель не был рекомендован (23595).</w:t>
      </w:r>
    </w:p>
    <w:p w14:paraId="5C508BAC" w14:textId="77777777" w:rsidR="00143E28" w:rsidRPr="0044524F" w:rsidRDefault="00143E28" w:rsidP="009654CF">
      <w:pPr>
        <w:spacing w:after="0" w:line="240" w:lineRule="auto"/>
        <w:jc w:val="both"/>
        <w:rPr>
          <w:rFonts w:ascii="Times New Roman" w:hAnsi="Times New Roman"/>
          <w:color w:val="000000" w:themeColor="text1"/>
          <w:sz w:val="16"/>
          <w:szCs w:val="16"/>
        </w:rPr>
      </w:pPr>
    </w:p>
    <w:p w14:paraId="0C4994AC" w14:textId="77777777" w:rsidR="00143E28" w:rsidRPr="0044524F" w:rsidRDefault="00143E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ЦКБ-39 выпустило на испытания двухместный истребитель ДИ-4 – подкосный цельнометаллический высокоплан, построенный по проекту приглашенного из Франции инженера А. Лявиля. На вооружение он принят не был (23554).</w:t>
      </w:r>
    </w:p>
    <w:p w14:paraId="7DD947FF" w14:textId="77777777" w:rsidR="00143E28" w:rsidRPr="0044524F" w:rsidRDefault="00143E28" w:rsidP="009654CF">
      <w:pPr>
        <w:spacing w:after="0" w:line="240" w:lineRule="auto"/>
        <w:jc w:val="both"/>
        <w:rPr>
          <w:rFonts w:ascii="Times New Roman" w:hAnsi="Times New Roman"/>
          <w:color w:val="000000" w:themeColor="text1"/>
          <w:sz w:val="16"/>
          <w:szCs w:val="16"/>
        </w:rPr>
      </w:pPr>
    </w:p>
    <w:p w14:paraId="3B1B09BE"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1933 г. в СССР в Москве на Центральном аэродроме летчики-испытатели Б.Л. Бухгольц и Ю.И. Пионтковский выполнили первый полет на двухместном истребителе ДИ-4, разработанном в Бюро новых конструкций (БНК) под руководством приглашенного из Франции инженера Анри Лявиля и построенном авиазаводом №39 имени В.Р. Менжинского. Машина получилась очень необычной. Высокорасположенное крыло впервые в отечественной практике сделали «типа чайка» – с переменным поперечным V для улучшения обзора, а Y-образные подкосы соединили не с каркасом фюзеляжа, а с траверсой основных опор шасси. Из тех же соображений обеспечения хорошей видимости воздушного пространства, а также чтобы сузить мертвые зоны обстрела для пулеметной установки вертикальное оперение выбрали двухкилевым с минимальной площадью шайб. Мотор взяли импортный американский Кертисс «Конкверор», с которым формы его отсека и всего фюзеляжа получились хорошо обтекаемыми. Планер спроектировали полностью из дюраля с обшивкой гладкой, но тонкой (листы 0,5 и 0,6 мм) и не работающей. Аппарат выглядел хорошо, Управление Военно-Воздушных Сил Рабоче-Крестьянской Красной Армии такими машинами интересовалось, но уже на самом начальном этапе испытаний возникли трудности с ее доводкой. У француза Лявиля заканчивался контракт, отношения Советского Союза и Французской Республики портились и возникли сомнения в возможности использования французских специалистов и далее и БНК расформировали, передав работников в Центральное конструкторское бюро авиапромышленности на том же заводе №39. Однако инженер БНК С.А. Лавочкин, ведший значительную часть работ по ДИ-4, оказался в бригаде В.А. Чижевского, занимавшейся высотными самолетами, и не мог больше уделять внимания испытаниям ДИ-4 (25753).</w:t>
      </w:r>
    </w:p>
    <w:p w14:paraId="17518B21" w14:textId="77777777" w:rsidR="00EE55D6" w:rsidRPr="00142305" w:rsidRDefault="00EE55D6" w:rsidP="00EE55D6">
      <w:pPr>
        <w:spacing w:after="0" w:line="240" w:lineRule="auto"/>
        <w:jc w:val="both"/>
        <w:rPr>
          <w:rFonts w:ascii="Times New Roman" w:hAnsi="Times New Roman"/>
          <w:smallCaps/>
          <w:color w:val="0070C0"/>
          <w:sz w:val="16"/>
          <w:szCs w:val="16"/>
        </w:rPr>
      </w:pPr>
    </w:p>
    <w:p w14:paraId="2B9191F8" w14:textId="77777777" w:rsidR="009F6B03" w:rsidRPr="00142305" w:rsidRDefault="009F6B03" w:rsidP="009F6B0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1933 г. в СССР в Москве летчик Научно-испытательного института Военно-Воздушных Сил Рабоче-Крестьянской Красной Армии Валерий Павлович Чкалов получил предписание отправиться на учебные сборы для повышения командирской квалификации, но вскоре был отчислен из НИИ ВВС РККА и уволен со службы. Это была его вторая демобилизация и не по собственному желанию, но на этот раз ему сохранили воинское звание и направили на испытательную работу в военную приемку авиационного завода №39 имени В.Р. Менжинского в Москве. Там Чкалов знакомится с начальником бригады самолетов-истребителей ЦКБ-39 Н.Н. Поликарповым и тот привлекает его для оценки компоновочных решений в проектах новых самолетов ЦКБ-3 (И-15) и ЦКБ-12 (И-16) (24994).</w:t>
      </w:r>
    </w:p>
    <w:p w14:paraId="0A999583" w14:textId="77777777" w:rsidR="009F6B03" w:rsidRPr="00142305" w:rsidRDefault="009F6B03" w:rsidP="009F6B03">
      <w:pPr>
        <w:spacing w:after="0" w:line="240" w:lineRule="auto"/>
        <w:jc w:val="both"/>
        <w:rPr>
          <w:rFonts w:ascii="Times New Roman" w:hAnsi="Times New Roman"/>
          <w:color w:val="0070C0"/>
          <w:sz w:val="16"/>
          <w:szCs w:val="16"/>
        </w:rPr>
      </w:pPr>
    </w:p>
    <w:p w14:paraId="75F4D97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при испытании Р-6 на поплавках выясняли возможности его использования в качестве торпедоносца. Детальная проработка была поручена КБ А.Н.Т. и Остехбюро. К 1934 разработали схему моста для подвески торпед (346,37).</w:t>
      </w:r>
    </w:p>
    <w:p w14:paraId="4D47CA0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6B8424B2" w14:textId="77777777" w:rsidR="0046798F" w:rsidRPr="0044524F" w:rsidRDefault="0046798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при испытаниях Р—6 на поплавках выяснило, что его можно использовать в качестве торпедоносца и миноносца. Детальная проработка такого варианта была поручена ЦАГИ и Остехбюро. К 1934 г. разработали схему моста для подвески торпед и определили допус</w:t>
      </w:r>
      <w:r w:rsidRPr="0044524F">
        <w:rPr>
          <w:rFonts w:ascii="Times New Roman" w:hAnsi="Times New Roman"/>
          <w:color w:val="000000" w:themeColor="text1"/>
          <w:sz w:val="16"/>
          <w:szCs w:val="16"/>
        </w:rPr>
        <w:softHyphen/>
        <w:t>тимые нагрузки. В июле 1934 г. на основа</w:t>
      </w:r>
      <w:r w:rsidRPr="0044524F">
        <w:rPr>
          <w:rFonts w:ascii="Times New Roman" w:hAnsi="Times New Roman"/>
          <w:color w:val="000000" w:themeColor="text1"/>
          <w:sz w:val="16"/>
          <w:szCs w:val="16"/>
        </w:rPr>
        <w:softHyphen/>
        <w:t xml:space="preserve">нии </w:t>
      </w:r>
      <w:r w:rsidRPr="0044524F">
        <w:rPr>
          <w:rFonts w:ascii="Times New Roman" w:hAnsi="Times New Roman"/>
          <w:color w:val="000000" w:themeColor="text1"/>
          <w:sz w:val="16"/>
          <w:szCs w:val="16"/>
        </w:rPr>
        <w:lastRenderedPageBreak/>
        <w:t>проделанной работы УВВС выпустило ТТТ на торпедоносец. Самолет предназ</w:t>
      </w:r>
      <w:r w:rsidRPr="0044524F">
        <w:rPr>
          <w:rFonts w:ascii="Times New Roman" w:hAnsi="Times New Roman"/>
          <w:color w:val="000000" w:themeColor="text1"/>
          <w:sz w:val="16"/>
          <w:szCs w:val="16"/>
        </w:rPr>
        <w:softHyphen/>
        <w:t>начался для низкого (с высоты от 5 до 20 метров) торпедометания двух 18-дюймовых торпед образца 1927 г. на скоростях сбрасывания 130—150 км/ч. При этом ма</w:t>
      </w:r>
      <w:r w:rsidRPr="0044524F">
        <w:rPr>
          <w:rFonts w:ascii="Times New Roman" w:hAnsi="Times New Roman"/>
          <w:color w:val="000000" w:themeColor="text1"/>
          <w:sz w:val="16"/>
          <w:szCs w:val="16"/>
        </w:rPr>
        <w:softHyphen/>
        <w:t>шина должна была обладать:</w:t>
      </w:r>
    </w:p>
    <w:p w14:paraId="4780AF09" w14:textId="77777777" w:rsidR="0046798F" w:rsidRPr="0044524F" w:rsidRDefault="0046798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устойчивостью полета при скоро</w:t>
      </w:r>
      <w:r w:rsidRPr="0044524F">
        <w:rPr>
          <w:rFonts w:ascii="Times New Roman" w:hAnsi="Times New Roman"/>
          <w:color w:val="000000" w:themeColor="text1"/>
          <w:sz w:val="16"/>
          <w:szCs w:val="16"/>
        </w:rPr>
        <w:softHyphen/>
        <w:t>стях торпедометания с грузом массой до двух тонн,</w:t>
      </w:r>
    </w:p>
    <w:p w14:paraId="2EC7B52D" w14:textId="77777777" w:rsidR="0046798F" w:rsidRPr="0044524F" w:rsidRDefault="0046798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большими углами пикирования с быстрым выходом на прямую,</w:t>
      </w:r>
    </w:p>
    <w:p w14:paraId="3E7E4F12" w14:textId="77777777" w:rsidR="0046798F" w:rsidRPr="0044524F" w:rsidRDefault="0046798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допускающим посадку с торпедами,</w:t>
      </w:r>
    </w:p>
    <w:p w14:paraId="0EAC4992" w14:textId="77777777" w:rsidR="0046798F" w:rsidRPr="0044524F" w:rsidRDefault="0046798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максимальной скоростью 300 км/ч,</w:t>
      </w:r>
    </w:p>
    <w:p w14:paraId="028F2C53" w14:textId="77777777" w:rsidR="0046798F" w:rsidRPr="0044524F" w:rsidRDefault="0046798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безопасностью управления на бре</w:t>
      </w:r>
      <w:r w:rsidRPr="0044524F">
        <w:rPr>
          <w:rFonts w:ascii="Times New Roman" w:hAnsi="Times New Roman"/>
          <w:color w:val="000000" w:themeColor="text1"/>
          <w:sz w:val="16"/>
          <w:szCs w:val="16"/>
        </w:rPr>
        <w:softHyphen/>
        <w:t>ющем полете при сбрасывании 18-дюй</w:t>
      </w:r>
      <w:r w:rsidRPr="0044524F">
        <w:rPr>
          <w:rFonts w:ascii="Times New Roman" w:hAnsi="Times New Roman"/>
          <w:color w:val="000000" w:themeColor="text1"/>
          <w:sz w:val="16"/>
          <w:szCs w:val="16"/>
        </w:rPr>
        <w:softHyphen/>
        <w:t>мовых торпед.</w:t>
      </w:r>
    </w:p>
    <w:p w14:paraId="49A42E2A" w14:textId="77777777" w:rsidR="0046798F" w:rsidRPr="0044524F" w:rsidRDefault="0046798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МР—6 позволили создать методику проведения атак торпедоносца</w:t>
      </w:r>
      <w:r w:rsidRPr="0044524F">
        <w:rPr>
          <w:rFonts w:ascii="Times New Roman" w:hAnsi="Times New Roman"/>
          <w:color w:val="000000" w:themeColor="text1"/>
          <w:sz w:val="16"/>
          <w:szCs w:val="16"/>
        </w:rPr>
        <w:softHyphen/>
        <w:t>ми. Она успешно использовалась во вре</w:t>
      </w:r>
      <w:r w:rsidRPr="0044524F">
        <w:rPr>
          <w:rFonts w:ascii="Times New Roman" w:hAnsi="Times New Roman"/>
          <w:color w:val="000000" w:themeColor="text1"/>
          <w:sz w:val="16"/>
          <w:szCs w:val="16"/>
        </w:rPr>
        <w:softHyphen/>
        <w:t>мя войсковых учений (23474).</w:t>
      </w:r>
    </w:p>
    <w:p w14:paraId="3A8BDC13" w14:textId="77777777" w:rsidR="0046798F" w:rsidRPr="0044524F" w:rsidRDefault="0046798F" w:rsidP="009654CF">
      <w:pPr>
        <w:spacing w:after="0" w:line="240" w:lineRule="auto"/>
        <w:jc w:val="both"/>
        <w:rPr>
          <w:rFonts w:ascii="Times New Roman" w:hAnsi="Times New Roman"/>
          <w:color w:val="000000" w:themeColor="text1"/>
          <w:sz w:val="16"/>
          <w:szCs w:val="16"/>
        </w:rPr>
      </w:pPr>
    </w:p>
    <w:p w14:paraId="561F3F7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А.Н.Т. приступил к разработке АНТ-29 (ДИП) после получения от ВВС новых уточненных ТТТ (2693,15).</w:t>
      </w:r>
    </w:p>
    <w:p w14:paraId="07D3BEC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465FF43C"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начала 1933 года в связи с тем, что подготовка к серийному производству МИ-3 была вновь перенесена с завода № 39 на завод №22, ЦАГИ начал передавать заводу №22 конструктивные чертежи для выпуска первой серии, которая по предварительным расчетам должна была состоять из 50 самолетов. Однако, в 1934 году самолет был снят с серийного производства (24198).</w:t>
      </w:r>
    </w:p>
    <w:p w14:paraId="6A298407" w14:textId="77777777" w:rsidR="00914080" w:rsidRPr="0044524F" w:rsidRDefault="00914080" w:rsidP="009654CF">
      <w:pPr>
        <w:spacing w:after="0" w:line="240" w:lineRule="auto"/>
        <w:jc w:val="both"/>
        <w:rPr>
          <w:rFonts w:ascii="Times New Roman" w:hAnsi="Times New Roman"/>
          <w:color w:val="000000" w:themeColor="text1"/>
          <w:sz w:val="16"/>
          <w:szCs w:val="16"/>
        </w:rPr>
      </w:pPr>
    </w:p>
    <w:p w14:paraId="6149E739"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у со</w:t>
      </w:r>
      <w:r w:rsidRPr="0044524F">
        <w:rPr>
          <w:rFonts w:ascii="Times New Roman" w:hAnsi="Times New Roman"/>
          <w:color w:val="000000" w:themeColor="text1"/>
          <w:sz w:val="16"/>
          <w:szCs w:val="16"/>
        </w:rPr>
        <w:softHyphen/>
        <w:t>трудников Военно-Воздушной академии имени Н.Е. Жуковского (ВВА) во главе с В.Ф. Болховитиновым возникла идея, опи</w:t>
      </w:r>
      <w:r w:rsidRPr="0044524F">
        <w:rPr>
          <w:rFonts w:ascii="Times New Roman" w:hAnsi="Times New Roman"/>
          <w:color w:val="000000" w:themeColor="text1"/>
          <w:sz w:val="16"/>
          <w:szCs w:val="16"/>
        </w:rPr>
        <w:softHyphen/>
        <w:t>раясь на последние достижения аэроди</w:t>
      </w:r>
      <w:r w:rsidRPr="0044524F">
        <w:rPr>
          <w:rFonts w:ascii="Times New Roman" w:hAnsi="Times New Roman"/>
          <w:color w:val="000000" w:themeColor="text1"/>
          <w:sz w:val="16"/>
          <w:szCs w:val="16"/>
        </w:rPr>
        <w:softHyphen/>
        <w:t>намики, металлургии и технологии авиа</w:t>
      </w:r>
      <w:r w:rsidRPr="0044524F">
        <w:rPr>
          <w:rFonts w:ascii="Times New Roman" w:hAnsi="Times New Roman"/>
          <w:color w:val="000000" w:themeColor="text1"/>
          <w:sz w:val="16"/>
          <w:szCs w:val="16"/>
        </w:rPr>
        <w:softHyphen/>
        <w:t>строения, либо модернизировать основной бомбардировщик Красной Армии тех лет ТБ-3, либо на его основе создать новый.</w:t>
      </w:r>
    </w:p>
    <w:p w14:paraId="6B38723C"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Идя по первому пути, коллектив ЦАГИ проработал вариант размещения на ТБ-3 агрегата центрального наддува, впоследст</w:t>
      </w:r>
      <w:r w:rsidRPr="0044524F">
        <w:rPr>
          <w:rFonts w:ascii="Times New Roman" w:hAnsi="Times New Roman"/>
          <w:color w:val="000000" w:themeColor="text1"/>
          <w:sz w:val="16"/>
          <w:szCs w:val="16"/>
        </w:rPr>
        <w:softHyphen/>
        <w:t>вии установленного на самолете ТБ-7. Од</w:t>
      </w:r>
      <w:r w:rsidRPr="0044524F">
        <w:rPr>
          <w:rFonts w:ascii="Times New Roman" w:hAnsi="Times New Roman"/>
          <w:color w:val="000000" w:themeColor="text1"/>
          <w:sz w:val="16"/>
          <w:szCs w:val="16"/>
        </w:rPr>
        <w:softHyphen/>
        <w:t>нако это предложение повышало лишь по- толокТБ-3, остальные характеристики пра</w:t>
      </w:r>
      <w:r w:rsidRPr="0044524F">
        <w:rPr>
          <w:rFonts w:ascii="Times New Roman" w:hAnsi="Times New Roman"/>
          <w:color w:val="000000" w:themeColor="text1"/>
          <w:sz w:val="16"/>
          <w:szCs w:val="16"/>
        </w:rPr>
        <w:softHyphen/>
        <w:t>ктически не изменялись. Предпочтение от</w:t>
      </w:r>
      <w:r w:rsidRPr="0044524F">
        <w:rPr>
          <w:rFonts w:ascii="Times New Roman" w:hAnsi="Times New Roman"/>
          <w:color w:val="000000" w:themeColor="text1"/>
          <w:sz w:val="16"/>
          <w:szCs w:val="16"/>
        </w:rPr>
        <w:softHyphen/>
        <w:t>дали проекту, разработанному в Военно- Воздушной академии имени Н.Е. Жуков</w:t>
      </w:r>
      <w:r w:rsidRPr="0044524F">
        <w:rPr>
          <w:rFonts w:ascii="Times New Roman" w:hAnsi="Times New Roman"/>
          <w:color w:val="000000" w:themeColor="text1"/>
          <w:sz w:val="16"/>
          <w:szCs w:val="16"/>
        </w:rPr>
        <w:softHyphen/>
        <w:t>ского коллективом конструкторов под ру</w:t>
      </w:r>
      <w:r w:rsidRPr="0044524F">
        <w:rPr>
          <w:rFonts w:ascii="Times New Roman" w:hAnsi="Times New Roman"/>
          <w:color w:val="000000" w:themeColor="text1"/>
          <w:sz w:val="16"/>
          <w:szCs w:val="16"/>
        </w:rPr>
        <w:softHyphen/>
        <w:t>ководством В.Ф. Болховитинова. Предло</w:t>
      </w:r>
      <w:r w:rsidRPr="0044524F">
        <w:rPr>
          <w:rFonts w:ascii="Times New Roman" w:hAnsi="Times New Roman"/>
          <w:color w:val="000000" w:themeColor="text1"/>
          <w:sz w:val="16"/>
          <w:szCs w:val="16"/>
        </w:rPr>
        <w:softHyphen/>
        <w:t>жение академии поддержал начальник во</w:t>
      </w:r>
      <w:r w:rsidRPr="0044524F">
        <w:rPr>
          <w:rFonts w:ascii="Times New Roman" w:hAnsi="Times New Roman"/>
          <w:color w:val="000000" w:themeColor="text1"/>
          <w:sz w:val="16"/>
          <w:szCs w:val="16"/>
        </w:rPr>
        <w:softHyphen/>
        <w:t>оружений РККА М.Н. Тухачевский. Само</w:t>
      </w:r>
      <w:r w:rsidRPr="0044524F">
        <w:rPr>
          <w:rFonts w:ascii="Times New Roman" w:hAnsi="Times New Roman"/>
          <w:color w:val="000000" w:themeColor="text1"/>
          <w:sz w:val="16"/>
          <w:szCs w:val="16"/>
        </w:rPr>
        <w:softHyphen/>
        <w:t>лет получил обозначение ДБ-2, а в стенах академии «А» или ДБ-А (ДБА). Позже, ког</w:t>
      </w:r>
      <w:r w:rsidRPr="0044524F">
        <w:rPr>
          <w:rFonts w:ascii="Times New Roman" w:hAnsi="Times New Roman"/>
          <w:color w:val="000000" w:themeColor="text1"/>
          <w:sz w:val="16"/>
          <w:szCs w:val="16"/>
        </w:rPr>
        <w:softHyphen/>
        <w:t>да в ЦАГИ приступили к разработке дальне</w:t>
      </w:r>
      <w:r w:rsidRPr="0044524F">
        <w:rPr>
          <w:rFonts w:ascii="Times New Roman" w:hAnsi="Times New Roman"/>
          <w:color w:val="000000" w:themeColor="text1"/>
          <w:sz w:val="16"/>
          <w:szCs w:val="16"/>
        </w:rPr>
        <w:softHyphen/>
        <w:t>го бомбардировщика АНТ-37 (и тоже ДБ-2), машину стали обозначать ДБ-2 (А).</w:t>
      </w:r>
    </w:p>
    <w:p w14:paraId="6F8363A7"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Конструкторы из ВВА тогда предпола</w:t>
      </w:r>
      <w:r w:rsidRPr="0044524F">
        <w:rPr>
          <w:rFonts w:ascii="Times New Roman" w:hAnsi="Times New Roman"/>
          <w:color w:val="000000" w:themeColor="text1"/>
          <w:sz w:val="16"/>
          <w:szCs w:val="16"/>
        </w:rPr>
        <w:softHyphen/>
        <w:t>гали, что при сохранении технологическо</w:t>
      </w:r>
      <w:r w:rsidRPr="0044524F">
        <w:rPr>
          <w:rFonts w:ascii="Times New Roman" w:hAnsi="Times New Roman"/>
          <w:color w:val="000000" w:themeColor="text1"/>
          <w:sz w:val="16"/>
          <w:szCs w:val="16"/>
        </w:rPr>
        <w:softHyphen/>
        <w:t>го оборудования завода № 22, выпускав</w:t>
      </w:r>
      <w:r w:rsidRPr="0044524F">
        <w:rPr>
          <w:rFonts w:ascii="Times New Roman" w:hAnsi="Times New Roman"/>
          <w:color w:val="000000" w:themeColor="text1"/>
          <w:sz w:val="16"/>
          <w:szCs w:val="16"/>
        </w:rPr>
        <w:softHyphen/>
        <w:t>шего ТБ-3, удастся создать самолет, летно-технические характеристики которого не только отвечали бы предъявлявшимся к дальнему бомбардировщику требованиям, но и в ряде случаев значительно превосхо</w:t>
      </w:r>
      <w:r w:rsidRPr="0044524F">
        <w:rPr>
          <w:rFonts w:ascii="Times New Roman" w:hAnsi="Times New Roman"/>
          <w:color w:val="000000" w:themeColor="text1"/>
          <w:sz w:val="16"/>
          <w:szCs w:val="16"/>
        </w:rPr>
        <w:softHyphen/>
        <w:t>дили их.</w:t>
      </w:r>
    </w:p>
    <w:p w14:paraId="1E92E140"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Вскоре бригаду Болховитинова переве</w:t>
      </w:r>
      <w:r w:rsidRPr="0044524F">
        <w:rPr>
          <w:rFonts w:ascii="Times New Roman" w:hAnsi="Times New Roman"/>
          <w:color w:val="000000" w:themeColor="text1"/>
          <w:sz w:val="16"/>
          <w:szCs w:val="16"/>
        </w:rPr>
        <w:softHyphen/>
        <w:t>ли в Фили на завод № 22, организовав там КБ-22. В проектировании самолета при</w:t>
      </w:r>
      <w:r w:rsidRPr="0044524F">
        <w:rPr>
          <w:rFonts w:ascii="Times New Roman" w:hAnsi="Times New Roman"/>
          <w:color w:val="000000" w:themeColor="text1"/>
          <w:sz w:val="16"/>
          <w:szCs w:val="16"/>
        </w:rPr>
        <w:softHyphen/>
        <w:t>нимали участие, в частности, Я.М. Ку- рицкес, И.Ф. Фролов, Б.Е. Черток, М.М. Шиш марев и другие. В ноябре 1934 го</w:t>
      </w:r>
      <w:r w:rsidRPr="0044524F">
        <w:rPr>
          <w:rFonts w:ascii="Times New Roman" w:hAnsi="Times New Roman"/>
          <w:color w:val="000000" w:themeColor="text1"/>
          <w:sz w:val="16"/>
          <w:szCs w:val="16"/>
        </w:rPr>
        <w:softHyphen/>
        <w:t>да построили первый экземпляр маши</w:t>
      </w:r>
      <w:r w:rsidRPr="0044524F">
        <w:rPr>
          <w:rFonts w:ascii="Times New Roman" w:hAnsi="Times New Roman"/>
          <w:color w:val="000000" w:themeColor="text1"/>
          <w:sz w:val="16"/>
          <w:szCs w:val="16"/>
        </w:rPr>
        <w:softHyphen/>
        <w:t>ны. Но вместо форсированных двигателей М-34ФРН с винтами изменяемого шага, предусмотренных проектом, установили М-34РН значительно меньшей мощности (12725).</w:t>
      </w:r>
    </w:p>
    <w:p w14:paraId="03D8172A" w14:textId="77777777" w:rsidR="004539AF" w:rsidRPr="0044524F" w:rsidRDefault="004539AF" w:rsidP="009654CF">
      <w:pPr>
        <w:spacing w:after="0" w:line="240" w:lineRule="auto"/>
        <w:jc w:val="both"/>
        <w:rPr>
          <w:rFonts w:ascii="Times New Roman" w:hAnsi="Times New Roman"/>
          <w:color w:val="000000" w:themeColor="text1"/>
          <w:sz w:val="16"/>
          <w:szCs w:val="16"/>
        </w:rPr>
      </w:pPr>
    </w:p>
    <w:p w14:paraId="13FD619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опытный образец АНТ-14 под названием "Правда" был включен в состав агитэскадрильи имени Горького. Он совершил значительное число агитационных полетов, в том числе два - в Харьков и один - в Ленинград; в 1935 г. доставил делегацию Осоавиахима на авиационный праздник в Бухарест. Несколько раз на воздушных праздниках с АНТ-14 совершались групповые парашютные прыжки. Позднее его около десяти лет использовали для экскурсионных полетов над Москвой. Всего на этом самолете было перевезено до 40 000 пассажиров. После выработки ресурса АНТ-14 некоторое время стоял как экспонат в Парке культуры им. Горького в Москве. В годы Великой Отечественной войны его пустили на слом (12036).</w:t>
      </w:r>
    </w:p>
    <w:p w14:paraId="7A96256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3B5B88BA" w14:textId="77777777" w:rsidR="00EE55D6" w:rsidRPr="00142305" w:rsidRDefault="00EE55D6" w:rsidP="00EE55D6">
      <w:pPr>
        <w:spacing w:after="0" w:line="240" w:lineRule="auto"/>
        <w:jc w:val="both"/>
        <w:rPr>
          <w:rFonts w:ascii="Times New Roman" w:hAnsi="Times New Roman"/>
          <w:color w:val="0070C0"/>
          <w:sz w:val="16"/>
          <w:szCs w:val="16"/>
        </w:rPr>
      </w:pPr>
      <w:r w:rsidRPr="00142305">
        <w:rPr>
          <w:rFonts w:ascii="Times New Roman" w:hAnsi="Times New Roman"/>
          <w:smallCaps/>
          <w:color w:val="0070C0"/>
          <w:sz w:val="16"/>
          <w:szCs w:val="16"/>
        </w:rPr>
        <w:t>В</w:t>
      </w:r>
      <w:r w:rsidRPr="00142305">
        <w:rPr>
          <w:rFonts w:ascii="Times New Roman" w:hAnsi="Times New Roman"/>
          <w:color w:val="0070C0"/>
          <w:sz w:val="16"/>
          <w:szCs w:val="16"/>
        </w:rPr>
        <w:t xml:space="preserve"> на</w:t>
      </w:r>
      <w:r w:rsidRPr="00142305">
        <w:rPr>
          <w:rFonts w:ascii="Times New Roman" w:hAnsi="Times New Roman"/>
          <w:color w:val="0070C0"/>
          <w:sz w:val="16"/>
          <w:szCs w:val="16"/>
        </w:rPr>
        <w:softHyphen/>
        <w:t>чале 1933 г. опытный образец АНТ-14 под названием «Правда» был включен в состав агитэскадрильи имени Горького. Он совершил значительное число агитационных полетов, в том числе два — в Харьков и один — в Ленинг</w:t>
      </w:r>
      <w:r w:rsidRPr="00142305">
        <w:rPr>
          <w:rFonts w:ascii="Times New Roman" w:hAnsi="Times New Roman"/>
          <w:color w:val="0070C0"/>
          <w:sz w:val="16"/>
          <w:szCs w:val="16"/>
        </w:rPr>
        <w:softHyphen/>
        <w:t>рад; в 1935 г. доставил делегацию Осоавиахима на авиаци</w:t>
      </w:r>
      <w:r w:rsidRPr="00142305">
        <w:rPr>
          <w:rFonts w:ascii="Times New Roman" w:hAnsi="Times New Roman"/>
          <w:color w:val="0070C0"/>
          <w:sz w:val="16"/>
          <w:szCs w:val="16"/>
        </w:rPr>
        <w:softHyphen/>
        <w:t>онный праздник в Бухарест. Несколько раз на воздушных праздниках с АНТ-14 совершались групповые парашютные прыжки. Позднее его около десяти лет использовали для эк</w:t>
      </w:r>
      <w:r w:rsidRPr="00142305">
        <w:rPr>
          <w:rFonts w:ascii="Times New Roman" w:hAnsi="Times New Roman"/>
          <w:color w:val="0070C0"/>
          <w:sz w:val="16"/>
          <w:szCs w:val="16"/>
        </w:rPr>
        <w:softHyphen/>
        <w:t>скурсионных полетов над Москвой. Всего на этом самоле</w:t>
      </w:r>
      <w:r w:rsidRPr="00142305">
        <w:rPr>
          <w:rFonts w:ascii="Times New Roman" w:hAnsi="Times New Roman"/>
          <w:color w:val="0070C0"/>
          <w:sz w:val="16"/>
          <w:szCs w:val="16"/>
        </w:rPr>
        <w:softHyphen/>
        <w:t>те было перевезено до 40 000 пассажиров. После выработки ресурса АНТ -14 некоторое время стоял как экспонат в Пар</w:t>
      </w:r>
      <w:r w:rsidRPr="00142305">
        <w:rPr>
          <w:rFonts w:ascii="Times New Roman" w:hAnsi="Times New Roman"/>
          <w:color w:val="0070C0"/>
          <w:sz w:val="16"/>
          <w:szCs w:val="16"/>
        </w:rPr>
        <w:softHyphen/>
        <w:t xml:space="preserve">ке культуры </w:t>
      </w:r>
      <w:r w:rsidRPr="00142305">
        <w:rPr>
          <w:rFonts w:ascii="Times New Roman" w:hAnsi="Times New Roman"/>
          <w:smallCaps/>
          <w:color w:val="0070C0"/>
          <w:sz w:val="16"/>
          <w:szCs w:val="16"/>
        </w:rPr>
        <w:t>им.</w:t>
      </w:r>
      <w:r w:rsidRPr="00142305">
        <w:rPr>
          <w:rFonts w:ascii="Times New Roman" w:hAnsi="Times New Roman"/>
          <w:color w:val="0070C0"/>
          <w:sz w:val="16"/>
          <w:szCs w:val="16"/>
        </w:rPr>
        <w:t xml:space="preserve"> Горького в Москве. В годы Великой Оте</w:t>
      </w:r>
      <w:r w:rsidRPr="00142305">
        <w:rPr>
          <w:rFonts w:ascii="Times New Roman" w:hAnsi="Times New Roman"/>
          <w:color w:val="0070C0"/>
          <w:sz w:val="16"/>
          <w:szCs w:val="16"/>
        </w:rPr>
        <w:softHyphen/>
        <w:t>чественной войны его пустили на слом (24977)</w:t>
      </w:r>
    </w:p>
    <w:p w14:paraId="419925D5" w14:textId="77777777" w:rsidR="00EE55D6" w:rsidRPr="00142305" w:rsidRDefault="00EE55D6" w:rsidP="00EE55D6">
      <w:pPr>
        <w:spacing w:after="0" w:line="240" w:lineRule="auto"/>
        <w:jc w:val="both"/>
        <w:rPr>
          <w:rFonts w:ascii="Times New Roman" w:hAnsi="Times New Roman"/>
          <w:color w:val="0070C0"/>
          <w:sz w:val="16"/>
          <w:szCs w:val="16"/>
        </w:rPr>
      </w:pPr>
    </w:p>
    <w:p w14:paraId="6D253C0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для проведения испытаний и выполнения дальних перелетов на АНТ-25 в НИИ ВВС было сформировано два экипажа: М.М.Г., А.И.Филин, И.Т.Спирин и А.Б.Юмашев, П.М.Стефановский, С.А.Данилин. Маршруты: Москва - Средиземное море - Сахара - Западная Африка - Южная Атлантика - Южная Америка и в Австралию (2072,72).</w:t>
      </w:r>
    </w:p>
    <w:p w14:paraId="487BC1B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45F8DDFD"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для проведения испытаний и выпол</w:t>
      </w:r>
      <w:r w:rsidRPr="0044524F">
        <w:rPr>
          <w:rFonts w:ascii="Times New Roman" w:hAnsi="Times New Roman"/>
          <w:color w:val="000000" w:themeColor="text1"/>
          <w:sz w:val="16"/>
          <w:szCs w:val="16"/>
        </w:rPr>
        <w:softHyphen/>
        <w:t>нения дальних перелётов на самолётах АНТ-25 были сфор</w:t>
      </w:r>
      <w:r w:rsidRPr="0044524F">
        <w:rPr>
          <w:rFonts w:ascii="Times New Roman" w:hAnsi="Times New Roman"/>
          <w:color w:val="000000" w:themeColor="text1"/>
          <w:sz w:val="16"/>
          <w:szCs w:val="16"/>
        </w:rPr>
        <w:softHyphen/>
        <w:t>мированы два экипажа, пилоты и штур</w:t>
      </w:r>
      <w:r w:rsidRPr="0044524F">
        <w:rPr>
          <w:rFonts w:ascii="Times New Roman" w:hAnsi="Times New Roman"/>
          <w:color w:val="000000" w:themeColor="text1"/>
          <w:sz w:val="16"/>
          <w:szCs w:val="16"/>
        </w:rPr>
        <w:softHyphen/>
        <w:t>маны которых имели большой опыт ис</w:t>
      </w:r>
      <w:r w:rsidRPr="0044524F">
        <w:rPr>
          <w:rFonts w:ascii="Times New Roman" w:hAnsi="Times New Roman"/>
          <w:color w:val="000000" w:themeColor="text1"/>
          <w:sz w:val="16"/>
          <w:szCs w:val="16"/>
        </w:rPr>
        <w:softHyphen/>
        <w:t>пытательных полётов в неблагоприятных и сложных метеоусловиях. В первый эки</w:t>
      </w:r>
      <w:r w:rsidRPr="0044524F">
        <w:rPr>
          <w:rFonts w:ascii="Times New Roman" w:hAnsi="Times New Roman"/>
          <w:color w:val="000000" w:themeColor="text1"/>
          <w:sz w:val="16"/>
          <w:szCs w:val="16"/>
        </w:rPr>
        <w:softHyphen/>
        <w:t>паж М.М. Громова входили второй пилот А.И. Филин и штурман И.Т. Спирин. Второй экипаж составили: командир А.Б.Юмашев, второй пилот П.М. Стефановский и штур</w:t>
      </w:r>
      <w:r w:rsidRPr="0044524F">
        <w:rPr>
          <w:rFonts w:ascii="Times New Roman" w:hAnsi="Times New Roman"/>
          <w:color w:val="000000" w:themeColor="text1"/>
          <w:sz w:val="16"/>
          <w:szCs w:val="16"/>
        </w:rPr>
        <w:softHyphen/>
        <w:t>ман С.А. Данилин.</w:t>
      </w:r>
    </w:p>
    <w:p w14:paraId="77690C26"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НИИ ВВС к перелёту на побитие ре</w:t>
      </w:r>
      <w:r w:rsidRPr="0044524F">
        <w:rPr>
          <w:rFonts w:ascii="Times New Roman" w:hAnsi="Times New Roman"/>
          <w:color w:val="000000" w:themeColor="text1"/>
          <w:sz w:val="16"/>
          <w:szCs w:val="16"/>
        </w:rPr>
        <w:softHyphen/>
        <w:t>корда дальности готовились оба экзем</w:t>
      </w:r>
      <w:r w:rsidRPr="0044524F">
        <w:rPr>
          <w:rFonts w:ascii="Times New Roman" w:hAnsi="Times New Roman"/>
          <w:color w:val="000000" w:themeColor="text1"/>
          <w:sz w:val="16"/>
          <w:szCs w:val="16"/>
        </w:rPr>
        <w:softHyphen/>
        <w:t>пляра АНТ-25: РД-1 готовил А.И. Филин, РД-2 - И.Ф. Петров. Благодаря постанов</w:t>
      </w:r>
      <w:r w:rsidRPr="0044524F">
        <w:rPr>
          <w:rFonts w:ascii="Times New Roman" w:hAnsi="Times New Roman"/>
          <w:color w:val="000000" w:themeColor="text1"/>
          <w:sz w:val="16"/>
          <w:szCs w:val="16"/>
        </w:rPr>
        <w:softHyphen/>
        <w:t>ке специального карбюратора, обтяжке гофрированных крыльев полотном, поли</w:t>
      </w:r>
      <w:r w:rsidRPr="0044524F">
        <w:rPr>
          <w:rFonts w:ascii="Times New Roman" w:hAnsi="Times New Roman"/>
          <w:color w:val="000000" w:themeColor="text1"/>
          <w:sz w:val="16"/>
          <w:szCs w:val="16"/>
        </w:rPr>
        <w:softHyphen/>
        <w:t>ровке поверхности выступающих частей, установке авиадвигателя с редуктором, дальность полёта АНТ-25 была увеличена с 7,5-8 до 12-12,5 тыс. км.</w:t>
      </w:r>
    </w:p>
    <w:p w14:paraId="1403F476"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Готовясь к побитию мирового рекорда дальности полёта по замкнутой кривой, экипажи совершили несколько полётов по выбранной для этой цели замкнутой трассе: треугольнику Москва - Тула - Ря</w:t>
      </w:r>
      <w:r w:rsidRPr="0044524F">
        <w:rPr>
          <w:rFonts w:ascii="Times New Roman" w:hAnsi="Times New Roman"/>
          <w:color w:val="000000" w:themeColor="text1"/>
          <w:sz w:val="16"/>
          <w:szCs w:val="16"/>
        </w:rPr>
        <w:softHyphen/>
        <w:t>зань - Москва. Вскоре последовало раз</w:t>
      </w:r>
      <w:r w:rsidRPr="0044524F">
        <w:rPr>
          <w:rFonts w:ascii="Times New Roman" w:hAnsi="Times New Roman"/>
          <w:color w:val="000000" w:themeColor="text1"/>
          <w:sz w:val="16"/>
          <w:szCs w:val="16"/>
        </w:rPr>
        <w:softHyphen/>
        <w:t>решение правительства выполнить полёт на побитие мирового рекорда.</w:t>
      </w:r>
    </w:p>
    <w:p w14:paraId="76C600A5"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Первые успехи пришли 30 мая - 1 июня 1934 г., когда самолёт РД-2 (ко</w:t>
      </w:r>
      <w:r w:rsidRPr="0044524F">
        <w:rPr>
          <w:rFonts w:ascii="Times New Roman" w:hAnsi="Times New Roman"/>
          <w:color w:val="000000" w:themeColor="text1"/>
          <w:sz w:val="16"/>
          <w:szCs w:val="16"/>
        </w:rPr>
        <w:softHyphen/>
        <w:t>мандир экипажа - М.М. Громов) совер</w:t>
      </w:r>
      <w:r w:rsidRPr="0044524F">
        <w:rPr>
          <w:rFonts w:ascii="Times New Roman" w:hAnsi="Times New Roman"/>
          <w:color w:val="000000" w:themeColor="text1"/>
          <w:sz w:val="16"/>
          <w:szCs w:val="16"/>
        </w:rPr>
        <w:softHyphen/>
        <w:t>шил беспосадочный полёт на дальность 4465 км, а 24 - 25 июня 1934 г. - на даль</w:t>
      </w:r>
      <w:r w:rsidRPr="0044524F">
        <w:rPr>
          <w:rFonts w:ascii="Times New Roman" w:hAnsi="Times New Roman"/>
          <w:color w:val="000000" w:themeColor="text1"/>
          <w:sz w:val="16"/>
          <w:szCs w:val="16"/>
        </w:rPr>
        <w:softHyphen/>
        <w:t>ность 6559 км. Эти достижения стали ре</w:t>
      </w:r>
      <w:r w:rsidRPr="0044524F">
        <w:rPr>
          <w:rFonts w:ascii="Times New Roman" w:hAnsi="Times New Roman"/>
          <w:color w:val="000000" w:themeColor="text1"/>
          <w:sz w:val="16"/>
          <w:szCs w:val="16"/>
        </w:rPr>
        <w:softHyphen/>
        <w:t>кордами нашей страны.</w:t>
      </w:r>
    </w:p>
    <w:p w14:paraId="2513B979"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1934 г. самолёт РД-2 с экипажем М.М. Громова (второй пи</w:t>
      </w:r>
      <w:r w:rsidRPr="0044524F">
        <w:rPr>
          <w:rFonts w:ascii="Times New Roman" w:hAnsi="Times New Roman"/>
          <w:color w:val="000000" w:themeColor="text1"/>
          <w:sz w:val="16"/>
          <w:szCs w:val="16"/>
        </w:rPr>
        <w:softHyphen/>
        <w:t>лот А.И. Филин, штурман И.Т. Спирин) вновь пошли по отработанному маршруту. Но из-за того, что погода резко ухудши</w:t>
      </w:r>
      <w:r w:rsidRPr="0044524F">
        <w:rPr>
          <w:rFonts w:ascii="Times New Roman" w:hAnsi="Times New Roman"/>
          <w:color w:val="000000" w:themeColor="text1"/>
          <w:sz w:val="16"/>
          <w:szCs w:val="16"/>
        </w:rPr>
        <w:softHyphen/>
        <w:t>лась экипаж перешёл на другую трассу - южный треугольник: Москва - Рязань - Харьков - Москва. После 75 час. 02 мин. полёта, израсходовав практически весь запас горючего, М.М. Громов, пролетев 12 411 км, посадил машину на аэродроме близ г. Харькова. Это был мировой рекорд дальности полёта по кривой, превысив</w:t>
      </w:r>
      <w:r w:rsidRPr="0044524F">
        <w:rPr>
          <w:rFonts w:ascii="Times New Roman" w:hAnsi="Times New Roman"/>
          <w:color w:val="000000" w:themeColor="text1"/>
          <w:sz w:val="16"/>
          <w:szCs w:val="16"/>
        </w:rPr>
        <w:softHyphen/>
        <w:t>ший прежний более чем на 2000 км. Од</w:t>
      </w:r>
      <w:r w:rsidRPr="0044524F">
        <w:rPr>
          <w:rFonts w:ascii="Times New Roman" w:hAnsi="Times New Roman"/>
          <w:color w:val="000000" w:themeColor="text1"/>
          <w:sz w:val="16"/>
          <w:szCs w:val="16"/>
        </w:rPr>
        <w:softHyphen/>
        <w:t>нако по причине того, что Советский Союз в то время не входил в Международную авиационную федерацию (ФАИ, Совет</w:t>
      </w:r>
      <w:r w:rsidRPr="0044524F">
        <w:rPr>
          <w:rFonts w:ascii="Times New Roman" w:hAnsi="Times New Roman"/>
          <w:color w:val="000000" w:themeColor="text1"/>
          <w:sz w:val="16"/>
          <w:szCs w:val="16"/>
        </w:rPr>
        <w:softHyphen/>
        <w:t>ский Союз вступил в неё в 1935 г.), это до</w:t>
      </w:r>
      <w:r w:rsidRPr="0044524F">
        <w:rPr>
          <w:rFonts w:ascii="Times New Roman" w:hAnsi="Times New Roman"/>
          <w:color w:val="000000" w:themeColor="text1"/>
          <w:sz w:val="16"/>
          <w:szCs w:val="16"/>
        </w:rPr>
        <w:softHyphen/>
        <w:t>стижение официально не утвердили, за</w:t>
      </w:r>
      <w:r w:rsidRPr="0044524F">
        <w:rPr>
          <w:rFonts w:ascii="Times New Roman" w:hAnsi="Times New Roman"/>
          <w:color w:val="000000" w:themeColor="text1"/>
          <w:sz w:val="16"/>
          <w:szCs w:val="16"/>
        </w:rPr>
        <w:softHyphen/>
        <w:t>регистрировав его лишь как рекорд на</w:t>
      </w:r>
      <w:r w:rsidRPr="0044524F">
        <w:rPr>
          <w:rFonts w:ascii="Times New Roman" w:hAnsi="Times New Roman"/>
          <w:color w:val="000000" w:themeColor="text1"/>
          <w:sz w:val="16"/>
          <w:szCs w:val="16"/>
        </w:rPr>
        <w:softHyphen/>
        <w:t>шей страны. Тем не менее, за этот подвиг 28 сентября 1934 г. Михаил Михайлович стал Героем Советского Союза (24309).</w:t>
      </w:r>
    </w:p>
    <w:p w14:paraId="00BF106E" w14:textId="77777777" w:rsidR="0010250B" w:rsidRPr="0044524F" w:rsidRDefault="0010250B" w:rsidP="009654CF">
      <w:pPr>
        <w:spacing w:after="0" w:line="240" w:lineRule="auto"/>
        <w:jc w:val="both"/>
        <w:rPr>
          <w:rFonts w:ascii="Times New Roman" w:hAnsi="Times New Roman"/>
          <w:color w:val="000000" w:themeColor="text1"/>
          <w:sz w:val="16"/>
          <w:szCs w:val="16"/>
        </w:rPr>
      </w:pPr>
    </w:p>
    <w:p w14:paraId="3CE60BA7"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начальник ВВС Я.И.Алкснис дал задание своим службам доложить о «...возмож</w:t>
      </w:r>
      <w:r w:rsidRPr="0044524F">
        <w:rPr>
          <w:rFonts w:ascii="Times New Roman" w:hAnsi="Times New Roman"/>
          <w:color w:val="000000" w:themeColor="text1"/>
          <w:sz w:val="16"/>
          <w:szCs w:val="16"/>
        </w:rPr>
        <w:softHyphen/>
        <w:t>ности применения «РД» как дальнего бомбовоза...» Военные пришли к выводу, что такой самолет нужен. Вскоре в ЦАГИ под заводским шифром АНТ—36 нача</w:t>
      </w:r>
      <w:r w:rsidRPr="0044524F">
        <w:rPr>
          <w:rFonts w:ascii="Times New Roman" w:hAnsi="Times New Roman"/>
          <w:color w:val="000000" w:themeColor="text1"/>
          <w:sz w:val="16"/>
          <w:szCs w:val="16"/>
        </w:rPr>
        <w:softHyphen/>
        <w:t>лась проработка проекта дальнего бом</w:t>
      </w:r>
      <w:r w:rsidRPr="0044524F">
        <w:rPr>
          <w:rFonts w:ascii="Times New Roman" w:hAnsi="Times New Roman"/>
          <w:color w:val="000000" w:themeColor="text1"/>
          <w:sz w:val="16"/>
          <w:szCs w:val="16"/>
        </w:rPr>
        <w:softHyphen/>
        <w:t>бардировщика. В планах ВВС он имел обозначение РД—ВВ — «рекорд дальности, военный вариант» или ДБ—1 — «дальний бомбардировщик первый». Работы ве</w:t>
      </w:r>
      <w:r w:rsidRPr="0044524F">
        <w:rPr>
          <w:rFonts w:ascii="Times New Roman" w:hAnsi="Times New Roman"/>
          <w:color w:val="000000" w:themeColor="text1"/>
          <w:sz w:val="16"/>
          <w:szCs w:val="16"/>
        </w:rPr>
        <w:softHyphen/>
        <w:t>лись в бригаде №3 КОСОС, которой ру</w:t>
      </w:r>
      <w:r w:rsidRPr="0044524F">
        <w:rPr>
          <w:rFonts w:ascii="Times New Roman" w:hAnsi="Times New Roman"/>
          <w:color w:val="000000" w:themeColor="text1"/>
          <w:sz w:val="16"/>
          <w:szCs w:val="16"/>
        </w:rPr>
        <w:softHyphen/>
        <w:t>ководил П.О. Сухой. Участвовали в про</w:t>
      </w:r>
      <w:r w:rsidRPr="0044524F">
        <w:rPr>
          <w:rFonts w:ascii="Times New Roman" w:hAnsi="Times New Roman"/>
          <w:color w:val="000000" w:themeColor="text1"/>
          <w:sz w:val="16"/>
          <w:szCs w:val="16"/>
        </w:rPr>
        <w:softHyphen/>
        <w:t>ектировании и другие подразделения КБ. Например, Н.С. Некрасов занимался оперением, Е.И. Погосский — моторным хозяйством, В.Л. Александров — параме</w:t>
      </w:r>
      <w:r w:rsidRPr="0044524F">
        <w:rPr>
          <w:rFonts w:ascii="Times New Roman" w:hAnsi="Times New Roman"/>
          <w:color w:val="000000" w:themeColor="text1"/>
          <w:sz w:val="16"/>
          <w:szCs w:val="16"/>
        </w:rPr>
        <w:softHyphen/>
        <w:t>трами воздушного винта.</w:t>
      </w:r>
    </w:p>
    <w:p w14:paraId="6059C847"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прототип взяли самолет АНТ—25 (РД). В основном новый самолет отличался фюзеляжем: между первым и вторым лон</w:t>
      </w:r>
      <w:r w:rsidRPr="0044524F">
        <w:rPr>
          <w:rFonts w:ascii="Times New Roman" w:hAnsi="Times New Roman"/>
          <w:color w:val="000000" w:themeColor="text1"/>
          <w:sz w:val="16"/>
          <w:szCs w:val="16"/>
        </w:rPr>
        <w:softHyphen/>
        <w:t>жеронами центроплана оборудовали бом</w:t>
      </w:r>
      <w:r w:rsidRPr="0044524F">
        <w:rPr>
          <w:rFonts w:ascii="Times New Roman" w:hAnsi="Times New Roman"/>
          <w:color w:val="000000" w:themeColor="text1"/>
          <w:sz w:val="16"/>
          <w:szCs w:val="16"/>
        </w:rPr>
        <w:softHyphen/>
        <w:t>боотсек, в нем вертикально, носом вверх, могли подвешиваться четыре бомбы ФАБ—100. Проектировалась машина под мотор М— 34Р. По первым, прикидочным, расчетам РД—ВВ с М—34Р должен был иметь:</w:t>
      </w:r>
    </w:p>
    <w:p w14:paraId="6F654373"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полетную массу</w:t>
      </w:r>
      <w:r w:rsidRPr="0044524F">
        <w:rPr>
          <w:rFonts w:ascii="Times New Roman" w:hAnsi="Times New Roman"/>
          <w:color w:val="000000" w:themeColor="text1"/>
          <w:sz w:val="16"/>
          <w:szCs w:val="16"/>
        </w:rPr>
        <w:tab/>
        <w:t>7500 кг</w:t>
      </w:r>
    </w:p>
    <w:p w14:paraId="1AD9960E"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массу пустого самолета</w:t>
      </w:r>
      <w:r w:rsidRPr="0044524F">
        <w:rPr>
          <w:rFonts w:ascii="Times New Roman" w:hAnsi="Times New Roman"/>
          <w:color w:val="000000" w:themeColor="text1"/>
          <w:sz w:val="16"/>
          <w:szCs w:val="16"/>
        </w:rPr>
        <w:tab/>
        <w:t>3189 кг</w:t>
      </w:r>
    </w:p>
    <w:p w14:paraId="285E538E"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максимальную скорость</w:t>
      </w:r>
      <w:r w:rsidRPr="0044524F">
        <w:rPr>
          <w:rFonts w:ascii="Times New Roman" w:hAnsi="Times New Roman"/>
          <w:color w:val="000000" w:themeColor="text1"/>
          <w:sz w:val="16"/>
          <w:szCs w:val="16"/>
        </w:rPr>
        <w:tab/>
        <w:t>200 км/ч</w:t>
      </w:r>
    </w:p>
    <w:p w14:paraId="45B83877"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w:t>
      </w:r>
      <w:r w:rsidRPr="0044524F">
        <w:rPr>
          <w:rFonts w:ascii="Times New Roman" w:hAnsi="Times New Roman"/>
          <w:color w:val="000000" w:themeColor="text1"/>
          <w:sz w:val="16"/>
          <w:szCs w:val="16"/>
        </w:rPr>
        <w:tab/>
        <w:t>4000 км</w:t>
      </w:r>
    </w:p>
    <w:p w14:paraId="475B0AD1"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посадочную скорость</w:t>
      </w:r>
      <w:r w:rsidRPr="0044524F">
        <w:rPr>
          <w:rFonts w:ascii="Times New Roman" w:hAnsi="Times New Roman"/>
          <w:color w:val="000000" w:themeColor="text1"/>
          <w:sz w:val="16"/>
          <w:szCs w:val="16"/>
        </w:rPr>
        <w:tab/>
        <w:t>126 км/ч</w:t>
      </w:r>
    </w:p>
    <w:p w14:paraId="0ABAC8C0"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П.И. Баранов распорядил</w:t>
      </w:r>
      <w:r w:rsidRPr="0044524F">
        <w:rPr>
          <w:rFonts w:ascii="Times New Roman" w:hAnsi="Times New Roman"/>
          <w:color w:val="000000" w:themeColor="text1"/>
          <w:sz w:val="16"/>
          <w:szCs w:val="16"/>
        </w:rPr>
        <w:softHyphen/>
        <w:t>ся о немедленной подготовке серийного производства ДБ—1 на Воронежском заво</w:t>
      </w:r>
      <w:r w:rsidRPr="0044524F">
        <w:rPr>
          <w:rFonts w:ascii="Times New Roman" w:hAnsi="Times New Roman"/>
          <w:color w:val="000000" w:themeColor="text1"/>
          <w:sz w:val="16"/>
          <w:szCs w:val="16"/>
        </w:rPr>
        <w:softHyphen/>
        <w:t>де № 18. 20 мая на совещании работников ЦАГИ (Харламов, Туполев, Сухой) и за</w:t>
      </w:r>
      <w:r w:rsidRPr="0044524F">
        <w:rPr>
          <w:rFonts w:ascii="Times New Roman" w:hAnsi="Times New Roman"/>
          <w:color w:val="000000" w:themeColor="text1"/>
          <w:sz w:val="16"/>
          <w:szCs w:val="16"/>
        </w:rPr>
        <w:softHyphen/>
      </w:r>
    </w:p>
    <w:p w14:paraId="3AB4128A"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вода (Марголин, Калганов) были согла</w:t>
      </w:r>
      <w:r w:rsidRPr="0044524F">
        <w:rPr>
          <w:rFonts w:ascii="Times New Roman" w:hAnsi="Times New Roman"/>
          <w:color w:val="000000" w:themeColor="text1"/>
          <w:sz w:val="16"/>
          <w:szCs w:val="16"/>
        </w:rPr>
        <w:softHyphen/>
        <w:t>сованы сроки сдачи чертежей, определены агрегаты, идущие с РД на РД—ВВ без изменений. Ответственным пред</w:t>
      </w:r>
      <w:r w:rsidRPr="0044524F">
        <w:rPr>
          <w:rFonts w:ascii="Times New Roman" w:hAnsi="Times New Roman"/>
          <w:color w:val="000000" w:themeColor="text1"/>
          <w:sz w:val="16"/>
          <w:szCs w:val="16"/>
        </w:rPr>
        <w:softHyphen/>
        <w:t>ставителем от ЦАГИ на заводе № 18 по самолету РД—ВВ назначили старшего инженера бригады №3 Н.А. Фомина (23474).</w:t>
      </w:r>
    </w:p>
    <w:p w14:paraId="29381917" w14:textId="77777777" w:rsidR="0010250B" w:rsidRPr="0044524F" w:rsidRDefault="0010250B" w:rsidP="009654CF">
      <w:pPr>
        <w:spacing w:after="0" w:line="240" w:lineRule="auto"/>
        <w:jc w:val="both"/>
        <w:rPr>
          <w:rFonts w:ascii="Times New Roman" w:hAnsi="Times New Roman"/>
          <w:color w:val="000000" w:themeColor="text1"/>
          <w:sz w:val="16"/>
          <w:szCs w:val="16"/>
        </w:rPr>
      </w:pPr>
    </w:p>
    <w:p w14:paraId="01A7933C" w14:textId="77777777" w:rsidR="008655C6" w:rsidRPr="0044524F" w:rsidRDefault="008655C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начале 1933 года для проведения испытаний и выполнения дальних перелетов на самолетах АНТ-25 в НИИ ВВС были сформированы два экипажа. В первый экипаж вошли М.М. Громов, А.И. Филин и И.Г. Спирин, а во второй – А.Б. Юмашев, П.М. Стефановский и С.А. Данилин. Перед сформированными экипажами была поставлена задача – подготовиться к установлению мирового рекорда дальности беспосадочного полета по прямой, который должен был превзойти достижение </w:t>
      </w:r>
      <w:r w:rsidRPr="0044524F">
        <w:rPr>
          <w:rFonts w:ascii="Times New Roman" w:eastAsia="Times New Roman" w:hAnsi="Times New Roman"/>
          <w:color w:val="000000" w:themeColor="text1"/>
          <w:sz w:val="16"/>
          <w:szCs w:val="16"/>
          <w:lang w:eastAsia="ru-RU"/>
        </w:rPr>
        <w:lastRenderedPageBreak/>
        <w:t>французских летчиков Мориса Росси (Maurice Rossi) и Поля Кодоса (Paul Codos), в августе 1933 года на самолете Блерио-110 (Bl;riot 110) с собственным наименованием «Joseph Le Brix» преодолевших 9104 километра (21249).</w:t>
      </w:r>
    </w:p>
    <w:p w14:paraId="14C815E1" w14:textId="77777777" w:rsidR="008655C6" w:rsidRPr="0044524F" w:rsidRDefault="008655C6" w:rsidP="009654CF">
      <w:pPr>
        <w:spacing w:after="0" w:line="240" w:lineRule="auto"/>
        <w:jc w:val="both"/>
        <w:rPr>
          <w:rFonts w:ascii="Times New Roman" w:hAnsi="Times New Roman"/>
          <w:color w:val="000000" w:themeColor="text1"/>
          <w:sz w:val="16"/>
          <w:szCs w:val="16"/>
        </w:rPr>
      </w:pPr>
    </w:p>
    <w:p w14:paraId="4EC34AB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в Осконбюро П.И.Гроховского развернулись практические работы по строительству бесхвосток. Контракты на разработку самолета-тарана Г-39 (будущей Кукарачи) подписали с В.Ф.Болховитиновым, С.Г.Козловым и А.Е.Каминовым. Строили в мастерских ЦАГИ. В качестве мотора нашли только М-11 (4418,46).</w:t>
      </w:r>
    </w:p>
    <w:p w14:paraId="35173CE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660A6CEF" w14:textId="77777777" w:rsidR="002F34E6" w:rsidRPr="0044524F" w:rsidRDefault="002F34E6"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 начале 1933 г. настроение «наверху» вновь поменялось, и планы развертывания серийного производства АИР-6 возродились. План по выпуску 60 машин выдали на 1934 г. заводу № 47 в Ленинграде. Отпускную цену серийного моноплана определили в 10 000 рублей. Из Москвы в Ленинград отправились Е.Г Адлер и еще около десятка сотрудников Яковлева (19099).</w:t>
      </w:r>
    </w:p>
    <w:p w14:paraId="3901EC0F" w14:textId="77777777" w:rsidR="002F34E6" w:rsidRPr="0044524F" w:rsidRDefault="002F34E6" w:rsidP="009654CF">
      <w:pPr>
        <w:pStyle w:val="a8"/>
        <w:jc w:val="both"/>
        <w:rPr>
          <w:rFonts w:ascii="Times New Roman" w:hAnsi="Times New Roman" w:cs="Times New Roman"/>
          <w:color w:val="000000" w:themeColor="text1"/>
        </w:rPr>
      </w:pPr>
    </w:p>
    <w:p w14:paraId="0A692418"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1933 г. настроение «наверху» вновь поменялось, и планы разверты</w:t>
      </w:r>
      <w:r w:rsidRPr="00142305">
        <w:rPr>
          <w:rFonts w:ascii="Times New Roman" w:hAnsi="Times New Roman"/>
          <w:color w:val="0070C0"/>
          <w:sz w:val="16"/>
          <w:szCs w:val="16"/>
        </w:rPr>
        <w:softHyphen/>
        <w:t>вания серийного производства АИР-6 возродились. План по выпуску 60 ма</w:t>
      </w:r>
      <w:r w:rsidRPr="00142305">
        <w:rPr>
          <w:rFonts w:ascii="Times New Roman" w:hAnsi="Times New Roman"/>
          <w:color w:val="0070C0"/>
          <w:sz w:val="16"/>
          <w:szCs w:val="16"/>
        </w:rPr>
        <w:softHyphen/>
        <w:t>шин выдали на 1934 г. заводу № 47 в Ленинграде. Отпускную цену серийного моноплана определили в 10 000 рублей. Из Москвы в Ленинград отправились Е.Г Адлер и еще около десятка сотруд</w:t>
      </w:r>
      <w:r w:rsidRPr="00142305">
        <w:rPr>
          <w:rFonts w:ascii="Times New Roman" w:hAnsi="Times New Roman"/>
          <w:color w:val="0070C0"/>
          <w:sz w:val="16"/>
          <w:szCs w:val="16"/>
        </w:rPr>
        <w:softHyphen/>
        <w:t>ников Яковлева (24945).</w:t>
      </w:r>
    </w:p>
    <w:p w14:paraId="7E9A674F" w14:textId="77777777" w:rsidR="009212F1" w:rsidRPr="00142305" w:rsidRDefault="009212F1" w:rsidP="009212F1">
      <w:pPr>
        <w:spacing w:after="0" w:line="240" w:lineRule="auto"/>
        <w:jc w:val="both"/>
        <w:rPr>
          <w:rFonts w:ascii="Times New Roman" w:hAnsi="Times New Roman"/>
          <w:color w:val="0070C0"/>
          <w:sz w:val="16"/>
          <w:szCs w:val="16"/>
        </w:rPr>
      </w:pPr>
    </w:p>
    <w:p w14:paraId="19C9D01F"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w:t>
      </w:r>
    </w:p>
    <w:p w14:paraId="6E41F27A"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 строительства Стальных Самолетов при Московском Авиационном ин-те в израсходовании денежных средства, отпущенных центральным советом Осоавиахима на постройку Стального Самолета с 1 го февраля 1932 по 1 января 1933</w:t>
      </w:r>
    </w:p>
    <w:p w14:paraId="73001B84"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счет 1 управление строительством</w:t>
      </w:r>
    </w:p>
    <w:p w14:paraId="662C980D"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зарплата 19.404.50</w:t>
      </w:r>
    </w:p>
    <w:p w14:paraId="57D229BA"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адм. хоз.расходы 2043.35</w:t>
      </w:r>
    </w:p>
    <w:p w14:paraId="349799D7"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21448.35</w:t>
      </w:r>
    </w:p>
    <w:p w14:paraId="36F59BB5"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счет 2 конструкторское бюро</w:t>
      </w:r>
    </w:p>
    <w:p w14:paraId="076336FD"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зарплата 41.954.06</w:t>
      </w:r>
    </w:p>
    <w:p w14:paraId="04413F49"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чертежн.принадл. 1720.85</w:t>
      </w:r>
    </w:p>
    <w:p w14:paraId="56258FE9"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43674.91</w:t>
      </w:r>
    </w:p>
    <w:p w14:paraId="7A0EC6EA"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счет 3 производство</w:t>
      </w:r>
    </w:p>
    <w:p w14:paraId="23F20714"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оплата труда по изготовл.оборудован. 62317.82</w:t>
      </w:r>
    </w:p>
    <w:p w14:paraId="17065EB6"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оплата труда по опытам К.Б. 101.80</w:t>
      </w:r>
    </w:p>
    <w:p w14:paraId="6A6C3ACA"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изготовл.приспособл.для испыт.опыт.обр.детал. 952.59</w:t>
      </w:r>
    </w:p>
    <w:p w14:paraId="55184CF2"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изготовл.крыла // вкл.стапель</w:t>
      </w:r>
    </w:p>
    <w:p w14:paraId="204CB988"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 фюзеляжа</w:t>
      </w:r>
    </w:p>
    <w:p w14:paraId="3A76532C"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 и его внутр.оборуд.</w:t>
      </w:r>
    </w:p>
    <w:p w14:paraId="6861A4BC"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изготовл.хвоста, оперения и костыля</w:t>
      </w:r>
    </w:p>
    <w:p w14:paraId="04F9B3C4"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изготовление шасси</w:t>
      </w:r>
    </w:p>
    <w:p w14:paraId="7A721627"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сборка самолета</w:t>
      </w:r>
    </w:p>
    <w:p w14:paraId="05C8DFF7"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оплата труда инж.техн.персон.</w:t>
      </w:r>
    </w:p>
    <w:p w14:paraId="0644BBB5"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черт.бюро по произв.сам.</w:t>
      </w:r>
    </w:p>
    <w:p w14:paraId="15E1D258"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63372.21</w:t>
      </w:r>
    </w:p>
    <w:p w14:paraId="134F274E"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строительства Львов</w:t>
      </w:r>
    </w:p>
    <w:p w14:paraId="5EA38AB0"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 26-28</w:t>
      </w:r>
    </w:p>
    <w:p w14:paraId="430C7A59"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модели самолетов.</w:t>
      </w:r>
    </w:p>
    <w:p w14:paraId="50BE7E33" w14:textId="245BDA7E"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(ГАРФ, Опись 1, Дело № 374: Общество содействия обороне, авиационному и химическому строительству СССР (ОСОАВИАХИМ, Л.</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23-25) (15249).</w:t>
      </w:r>
    </w:p>
    <w:p w14:paraId="36FC4A83" w14:textId="77777777" w:rsidR="00945BF8" w:rsidRPr="0044524F" w:rsidRDefault="00945BF8" w:rsidP="009654CF">
      <w:pPr>
        <w:spacing w:after="0" w:line="240" w:lineRule="auto"/>
        <w:jc w:val="both"/>
        <w:rPr>
          <w:rFonts w:ascii="Times New Roman" w:hAnsi="Times New Roman"/>
          <w:color w:val="000000" w:themeColor="text1"/>
          <w:sz w:val="16"/>
          <w:szCs w:val="16"/>
        </w:rPr>
      </w:pPr>
    </w:p>
    <w:p w14:paraId="07C3513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был подготовлен Отчет самолетостроительного треста за 1932:</w:t>
      </w:r>
    </w:p>
    <w:p w14:paraId="6B0F8BB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 в своем составе следующие заводы:</w:t>
      </w:r>
    </w:p>
    <w:p w14:paraId="4E6FB21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Тяжелого самолетостроения</w:t>
      </w:r>
    </w:p>
    <w:p w14:paraId="2E0EEDD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18 (ТБ).</w:t>
      </w:r>
    </w:p>
    <w:p w14:paraId="0DC7761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22 (ТБ).</w:t>
      </w:r>
    </w:p>
    <w:p w14:paraId="380A75D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31 (сухопутные и морские многоместные истребители-разведчики, учебно-универсальные, пассажирские).</w:t>
      </w:r>
    </w:p>
    <w:p w14:paraId="0458CF3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среднего самолетостроения</w:t>
      </w:r>
    </w:p>
    <w:p w14:paraId="5E125DB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1 (разведчики, штурмовики, бомбардировщики, школьные, почтовые, истребители).</w:t>
      </w:r>
    </w:p>
    <w:p w14:paraId="01A18B6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21 (армейские скоростные истребители).</w:t>
      </w:r>
    </w:p>
    <w:p w14:paraId="2D6C923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23 (учебные, опылители, санитарные).</w:t>
      </w:r>
    </w:p>
    <w:p w14:paraId="3931B4C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специального (подсобного) производства</w:t>
      </w:r>
    </w:p>
    <w:p w14:paraId="42F1EEA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16 (вооружение, инструменты).</w:t>
      </w:r>
    </w:p>
    <w:p w14:paraId="565C8A0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28 (винты, лыжи, радиаторы).</w:t>
      </w:r>
    </w:p>
    <w:p w14:paraId="37280BD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32 (вооружение, колеса, радиаторы).</w:t>
      </w:r>
    </w:p>
    <w:p w14:paraId="165AA35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121 (специальные тормозные колеса).</w:t>
      </w:r>
    </w:p>
    <w:p w14:paraId="2E3882C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основным было быстрое внедрение в производство ряда новых типов самолетов, производства последних, конструкторских работ советских (И-5, Р-6, ТБ-3) и заграничных образцов (К-7, МБР-4). Это был год ввода и освоения в действии новых заводов (21,16, 18), а также начала реконструкции старых (31)." (2317).</w:t>
      </w:r>
    </w:p>
    <w:p w14:paraId="48FE5ED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618947A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была подготовлена справка:</w:t>
      </w:r>
    </w:p>
    <w:p w14:paraId="6A8FB56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Итоги работы авиационной промышленности за 1932 год</w:t>
      </w:r>
    </w:p>
    <w:p w14:paraId="263000E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сдано потребителям в 1932 году: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4524F" w14:paraId="0F6DBF51" w14:textId="77777777">
        <w:tc>
          <w:tcPr>
            <w:tcW w:w="3757" w:type="dxa"/>
          </w:tcPr>
          <w:p w14:paraId="1AA02DE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сдано потребителям в 1932 году</w:t>
            </w:r>
          </w:p>
        </w:tc>
        <w:tc>
          <w:tcPr>
            <w:tcW w:w="3757" w:type="dxa"/>
          </w:tcPr>
          <w:p w14:paraId="0E0E04C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3757" w:type="dxa"/>
          </w:tcPr>
          <w:p w14:paraId="4AD95A6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c>
      </w:tr>
      <w:tr w:rsidR="004E10C1" w:rsidRPr="0044524F" w14:paraId="7BD504C4" w14:textId="77777777">
        <w:tc>
          <w:tcPr>
            <w:tcW w:w="3757" w:type="dxa"/>
          </w:tcPr>
          <w:p w14:paraId="00514C1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Вполне кондиционных</w:t>
            </w:r>
          </w:p>
        </w:tc>
        <w:tc>
          <w:tcPr>
            <w:tcW w:w="3757" w:type="dxa"/>
          </w:tcPr>
          <w:p w14:paraId="49E1A52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4567</w:t>
            </w:r>
          </w:p>
        </w:tc>
        <w:tc>
          <w:tcPr>
            <w:tcW w:w="3757" w:type="dxa"/>
          </w:tcPr>
          <w:p w14:paraId="708A11A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2487</w:t>
            </w:r>
          </w:p>
        </w:tc>
      </w:tr>
      <w:tr w:rsidR="004E10C1" w:rsidRPr="0044524F" w14:paraId="0E0D9B9D" w14:textId="77777777">
        <w:tc>
          <w:tcPr>
            <w:tcW w:w="3757" w:type="dxa"/>
          </w:tcPr>
          <w:p w14:paraId="3624DB3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пониженной кондицией</w:t>
            </w:r>
          </w:p>
        </w:tc>
        <w:tc>
          <w:tcPr>
            <w:tcW w:w="3757" w:type="dxa"/>
          </w:tcPr>
          <w:p w14:paraId="3EFA011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c>
          <w:tcPr>
            <w:tcW w:w="3757" w:type="dxa"/>
          </w:tcPr>
          <w:p w14:paraId="1808360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DA59D17" w14:textId="77777777">
        <w:tc>
          <w:tcPr>
            <w:tcW w:w="3757" w:type="dxa"/>
          </w:tcPr>
          <w:p w14:paraId="3B178D2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Учебных и макетов (в полном снаряжении)</w:t>
            </w:r>
          </w:p>
        </w:tc>
        <w:tc>
          <w:tcPr>
            <w:tcW w:w="3757" w:type="dxa"/>
          </w:tcPr>
          <w:p w14:paraId="119011E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c>
          <w:tcPr>
            <w:tcW w:w="3757" w:type="dxa"/>
          </w:tcPr>
          <w:p w14:paraId="5F0C805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0CDFB89" w14:textId="77777777">
        <w:tc>
          <w:tcPr>
            <w:tcW w:w="3757" w:type="dxa"/>
          </w:tcPr>
          <w:p w14:paraId="558880B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3757" w:type="dxa"/>
          </w:tcPr>
          <w:p w14:paraId="70BF45B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4918</w:t>
            </w:r>
          </w:p>
        </w:tc>
        <w:tc>
          <w:tcPr>
            <w:tcW w:w="3757" w:type="dxa"/>
          </w:tcPr>
          <w:p w14:paraId="74E1AD9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2487</w:t>
            </w:r>
          </w:p>
        </w:tc>
      </w:tr>
      <w:tr w:rsidR="004E10C1" w:rsidRPr="0044524F" w14:paraId="768B0BD8" w14:textId="77777777">
        <w:tc>
          <w:tcPr>
            <w:tcW w:w="3757" w:type="dxa"/>
          </w:tcPr>
          <w:p w14:paraId="493783B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Правительственное задание</w:t>
            </w:r>
          </w:p>
        </w:tc>
        <w:tc>
          <w:tcPr>
            <w:tcW w:w="3757" w:type="dxa"/>
          </w:tcPr>
          <w:p w14:paraId="71C5189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5310</w:t>
            </w:r>
          </w:p>
        </w:tc>
        <w:tc>
          <w:tcPr>
            <w:tcW w:w="3757" w:type="dxa"/>
          </w:tcPr>
          <w:p w14:paraId="314D1E2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3461</w:t>
            </w:r>
          </w:p>
        </w:tc>
      </w:tr>
      <w:tr w:rsidR="004E10C1" w:rsidRPr="0044524F" w14:paraId="6337D6CC" w14:textId="77777777">
        <w:tc>
          <w:tcPr>
            <w:tcW w:w="3757" w:type="dxa"/>
          </w:tcPr>
          <w:p w14:paraId="4F524E7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в 1931 году</w:t>
            </w:r>
          </w:p>
        </w:tc>
        <w:tc>
          <w:tcPr>
            <w:tcW w:w="3757" w:type="dxa"/>
          </w:tcPr>
          <w:p w14:paraId="2398DB6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1640</w:t>
            </w:r>
          </w:p>
        </w:tc>
        <w:tc>
          <w:tcPr>
            <w:tcW w:w="3757" w:type="dxa"/>
          </w:tcPr>
          <w:p w14:paraId="3A261D1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1489</w:t>
            </w:r>
          </w:p>
        </w:tc>
      </w:tr>
      <w:tr w:rsidR="004E10C1" w:rsidRPr="0044524F" w14:paraId="232EB0FF" w14:textId="77777777">
        <w:tc>
          <w:tcPr>
            <w:tcW w:w="3757" w:type="dxa"/>
          </w:tcPr>
          <w:p w14:paraId="7038343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Рост выпуска по количеству единиц в сравнении с прошлым годом составляет</w:t>
            </w:r>
          </w:p>
        </w:tc>
        <w:tc>
          <w:tcPr>
            <w:tcW w:w="3757" w:type="dxa"/>
          </w:tcPr>
          <w:p w14:paraId="3737EF3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3757" w:type="dxa"/>
          </w:tcPr>
          <w:p w14:paraId="77E18EC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w:t>
            </w:r>
          </w:p>
        </w:tc>
      </w:tr>
      <w:tr w:rsidR="004E10C1" w:rsidRPr="0044524F" w14:paraId="42600931" w14:textId="77777777">
        <w:tc>
          <w:tcPr>
            <w:tcW w:w="3757" w:type="dxa"/>
          </w:tcPr>
          <w:p w14:paraId="5148FEA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в целом по количеству единиц исполнен на</w:t>
            </w:r>
          </w:p>
        </w:tc>
        <w:tc>
          <w:tcPr>
            <w:tcW w:w="3757" w:type="dxa"/>
          </w:tcPr>
          <w:p w14:paraId="785F1D1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92,6%</w:t>
            </w:r>
          </w:p>
        </w:tc>
        <w:tc>
          <w:tcPr>
            <w:tcW w:w="3757" w:type="dxa"/>
          </w:tcPr>
          <w:p w14:paraId="73EC114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71,9%</w:t>
            </w:r>
          </w:p>
        </w:tc>
      </w:tr>
      <w:tr w:rsidR="004E10C1" w:rsidRPr="0044524F" w14:paraId="5387CED4" w14:textId="77777777">
        <w:tc>
          <w:tcPr>
            <w:tcW w:w="3757" w:type="dxa"/>
          </w:tcPr>
          <w:p w14:paraId="794D776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них по кондиционным моторам на</w:t>
            </w:r>
          </w:p>
        </w:tc>
        <w:tc>
          <w:tcPr>
            <w:tcW w:w="3757" w:type="dxa"/>
          </w:tcPr>
          <w:p w14:paraId="2BEA01F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3757" w:type="dxa"/>
          </w:tcPr>
          <w:p w14:paraId="4B59EA8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bl>
    <w:p w14:paraId="1C16904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(4039,42).</w:t>
      </w:r>
    </w:p>
    <w:p w14:paraId="28A9D7E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2817C634" w14:textId="77777777" w:rsidR="008655C6" w:rsidRPr="0044524F" w:rsidRDefault="008655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Катастрофа А-6, произошедшая в январе, заставила сомневаться как в легкости создания автожиров, так и в безопасности со</w:t>
      </w:r>
      <w:r w:rsidRPr="0044524F">
        <w:rPr>
          <w:rFonts w:ascii="Times New Roman" w:hAnsi="Times New Roman"/>
          <w:color w:val="000000" w:themeColor="text1"/>
          <w:sz w:val="16"/>
          <w:szCs w:val="16"/>
        </w:rPr>
        <w:softHyphen/>
        <w:t>вершения на них полетов (20361).</w:t>
      </w:r>
    </w:p>
    <w:p w14:paraId="331B88D7" w14:textId="77777777" w:rsidR="008655C6" w:rsidRPr="0044524F" w:rsidRDefault="008655C6" w:rsidP="009654CF">
      <w:pPr>
        <w:shd w:val="clear" w:color="auto" w:fill="FFFFFF"/>
        <w:spacing w:after="0" w:line="240" w:lineRule="auto"/>
        <w:jc w:val="both"/>
        <w:rPr>
          <w:rFonts w:ascii="Times New Roman" w:hAnsi="Times New Roman"/>
          <w:color w:val="000000" w:themeColor="text1"/>
          <w:sz w:val="16"/>
          <w:szCs w:val="16"/>
        </w:rPr>
      </w:pPr>
    </w:p>
    <w:p w14:paraId="210852EA"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руководство ВВС утвердило план разви</w:t>
      </w:r>
      <w:r w:rsidRPr="0044524F">
        <w:rPr>
          <w:rFonts w:ascii="Times New Roman" w:hAnsi="Times New Roman"/>
          <w:color w:val="000000" w:themeColor="text1"/>
          <w:sz w:val="16"/>
          <w:szCs w:val="16"/>
        </w:rPr>
        <w:softHyphen/>
        <w:t>тия опытного самолетостроения на 1933-1934 гг., реализация которого должна была привести к качественному скачку в отечественной авиационной технике. В эти годы предполага</w:t>
      </w:r>
      <w:r w:rsidRPr="0044524F">
        <w:rPr>
          <w:rFonts w:ascii="Times New Roman" w:hAnsi="Times New Roman"/>
          <w:color w:val="000000" w:themeColor="text1"/>
          <w:sz w:val="16"/>
          <w:szCs w:val="16"/>
        </w:rPr>
        <w:softHyphen/>
        <w:t>лось создать новые бомбардировщики Д-1 с 10 двигателями М-34 и К-1 с двумя М-34 в ЦАГИ, в системе ГУ ГВФ - бомбар</w:t>
      </w:r>
      <w:r w:rsidRPr="0044524F">
        <w:rPr>
          <w:rFonts w:ascii="Times New Roman" w:hAnsi="Times New Roman"/>
          <w:color w:val="000000" w:themeColor="text1"/>
          <w:sz w:val="16"/>
          <w:szCs w:val="16"/>
        </w:rPr>
        <w:softHyphen/>
        <w:t xml:space="preserve">дировщик Х-1 с двумя-тремя М-34, в КБ Калинина - ВС-2 с двумя М-52. Задание на новые истребители И-13, И-14 было выдано ЦАГИ, а </w:t>
      </w:r>
      <w:r w:rsidRPr="0044524F">
        <w:rPr>
          <w:rFonts w:ascii="Times New Roman" w:hAnsi="Times New Roman"/>
          <w:color w:val="000000" w:themeColor="text1"/>
          <w:sz w:val="16"/>
          <w:szCs w:val="16"/>
        </w:rPr>
        <w:lastRenderedPageBreak/>
        <w:t>на И-15, ДИ-6 - ЦКБ. Планом предусматри</w:t>
      </w:r>
      <w:r w:rsidRPr="0044524F">
        <w:rPr>
          <w:rFonts w:ascii="Times New Roman" w:hAnsi="Times New Roman"/>
          <w:color w:val="000000" w:themeColor="text1"/>
          <w:sz w:val="16"/>
          <w:szCs w:val="16"/>
        </w:rPr>
        <w:softHyphen/>
        <w:t>валось создание разведчиков и штурмовиков ЛР, ТШ-3, учеб</w:t>
      </w:r>
      <w:r w:rsidRPr="0044524F">
        <w:rPr>
          <w:rFonts w:ascii="Times New Roman" w:hAnsi="Times New Roman"/>
          <w:color w:val="000000" w:themeColor="text1"/>
          <w:sz w:val="16"/>
          <w:szCs w:val="16"/>
        </w:rPr>
        <w:softHyphen/>
        <w:t>ных и переходных самолетов У-3, П-3, автожиров, вертолета, самолета с реактивным двигателем и др. (23455).</w:t>
      </w:r>
    </w:p>
    <w:p w14:paraId="576194ED" w14:textId="77777777" w:rsidR="00914080" w:rsidRPr="0044524F" w:rsidRDefault="00914080" w:rsidP="009654CF">
      <w:pPr>
        <w:spacing w:after="0" w:line="240" w:lineRule="auto"/>
        <w:jc w:val="both"/>
        <w:rPr>
          <w:rFonts w:ascii="Times New Roman" w:hAnsi="Times New Roman"/>
          <w:color w:val="000000" w:themeColor="text1"/>
          <w:sz w:val="16"/>
          <w:szCs w:val="16"/>
        </w:rPr>
      </w:pPr>
    </w:p>
    <w:p w14:paraId="2BE38B2E"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1933 г. руководство ВВС утвердило план развития опытного самолетостроения на 1933–1934 гг., реализация которого должна была привести к качественному скачку в отечественной авиационной технике. В эти годы предполагалось создать новые бомбардировщики Д-1 с 10 двигателями М-34 и К-1 с двумя М-34 в ЦАГИ, в системе ГУ ГВФ — бомбардировщик Х-1 с двумя-тремя М-34, в КБ Калинина — ВС-2 с двумя М-52. Задание на новые истребители И-13, И-14 было выдано ЦАГИ, а на И-15, ДИ-6 — ЦКБ. Планом предусматривалось создание разведчиков и штурмовиков ЛР, ТШ-3, учебных и переходных самолетов У-3, П-3, автожиров, вертолета, самолета с реактивным двигателем и др.</w:t>
      </w:r>
    </w:p>
    <w:p w14:paraId="535F22BA"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этом плане бригада № 2 отвечала за выполнение только одного пункта — за проектирование истребителя И-15 (ЦКБ-3), но, несмотря на наличие предварительного эскизного проекта, до окончания разработки, до постройки машины еще было очень далеко.</w:t>
      </w:r>
    </w:p>
    <w:p w14:paraId="03C40A32"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Основные проблемы возникли с двигателем.</w:t>
      </w:r>
    </w:p>
    <w:p w14:paraId="12C7E4BA"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Руководство ВВС рассматривало мотор Бристоль «Меркур» IV VS2 для истребителей И-14 и И-15 как промежуточный, который впоследствии предполагалось заменить отечественными двигателями М-38 и М-58 с близкими характеристиками. Однако уже в начале 1933 г. стало ясно, что из-за наличия большого количества дефектов довести М-38 не удастся. В планах был сделан упор на применение мотора М-58 конструкции А. С. Назарова, но он еще не достиг надлежащей степени готовности (это удалось сделать лишь к концу 1935 г.). Вплоть до мая 1933 г. бригада № 2 занималась проработкой вариантов эскизного проекта истребителя И-15 сначала под двигатель М-38, затем под М-58. Потом вновь вернулись к мотору Бристоль «Меркур» IVVS2. Но их было закуплено очень мало, и предназначались они в основном для истребителя И -14, задание на который считалось приоритетным.</w:t>
      </w:r>
    </w:p>
    <w:p w14:paraId="199E6EC4"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Николай Николаевич продолжал настаивать перед ВВС и руководством авиапромышленности на необходимости установки на И-15 моторов Райт «Циклон», считая их более перспективными. При габаритах несколько меньших, чем у М-22, мощность у земли Райт «Циклона» была на 145 л.с. выше. Благодаря наличию приводного центробежного нагнетателя, на расчетной высоте 2000 м Райт «Циклон» SGR-1820 F-3 развивал мощность 712 л.с. Существенное повышение мощности с лихвой перекрывало увеличение веса мотора на 72 к г. Поэтому по удельной мощности (отношению мощности мотора к весу) Райт «Циклон» считался одним из лучших в то время.</w:t>
      </w:r>
    </w:p>
    <w:p w14:paraId="6E0C1BB5"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Чтобы сдвинуть дело с мертвой точки, директор завода № 39 предложил использовать на И-15 производимые в СССР двигатели М-22. Бригада № 2 сделала необходимые расчеты. Они показали, что максимальная скорость И-15 с этим мотором составит 300 км/ч у земли и 265 км/ч на высоте 5000 м, что ненамного превышает характеристики серийного истребителя И-5 (285,5 км/ч и 241,8 км/ч соответственно).</w:t>
      </w:r>
    </w:p>
    <w:p w14:paraId="618FEC08"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итоге Поликарпову удалось добиться разрешения на разработку проекта с мотором Райт «Циклон» SGR-1820 F-3. Она была завершена к середине мая. Самолет-полутораплан с изогнутым верхним крылом типа «чайка» имел длину 6,1 м, размах верхнего крыла составлял 9,75 м, взлетный вес — 1340 к г. Так как главными пунктами технических требований к И-15 считались высокая маневренность и скороподъемность, Николай Николаевич для всемерного облегчения машины отказался от закрытой кабины, установив сдвижной козырек, не перекрывающий ее полностью. Отметим, что в процессе постройки сдвижной козырек был заменен обычным. Кабина стала открытой. Второй опытный экземпляр предполагалось строить с закрытым фонарем, но и в нем закрытая кабина тоже по разным причинам не была реализована. Для уменьшения веса самолета в его конструкции нашли широкое применение новые в те годы конструкционные материалы: хромомолибденовые трубы, листовой электрон. Профиль крыла Геттинген 436 (с относительной толщиной 10 % на верхнем крыле и 12 % на нижнем) (25035).</w:t>
      </w:r>
    </w:p>
    <w:p w14:paraId="695EE3B8" w14:textId="77777777" w:rsidR="009212F1" w:rsidRPr="00142305" w:rsidRDefault="009212F1" w:rsidP="009212F1">
      <w:pPr>
        <w:spacing w:after="0" w:line="240" w:lineRule="auto"/>
        <w:jc w:val="both"/>
        <w:rPr>
          <w:rFonts w:ascii="Times New Roman" w:hAnsi="Times New Roman"/>
          <w:color w:val="0070C0"/>
          <w:sz w:val="16"/>
          <w:szCs w:val="16"/>
        </w:rPr>
      </w:pPr>
    </w:p>
    <w:p w14:paraId="425D72AD" w14:textId="77777777" w:rsidR="008655C6" w:rsidRPr="0044524F" w:rsidRDefault="008655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здесь построили и перевезли на аэродром в Ухтомской второй экземпляр опытной машины - ЦАГИ 3-ЭА, который отличался некоторыми конструктивными доработками. До середины года этот аппарат прошел наземные испытания с подъемом в воздух на привязи, затем его переделали в следующий тип - ЦАГИ 5-ЭА. Принципиально новыми в нем стали система управления и несущий ротор. ЦАГИ 5-ЭА ис</w:t>
      </w:r>
      <w:r w:rsidRPr="0044524F">
        <w:rPr>
          <w:rFonts w:ascii="Times New Roman" w:hAnsi="Times New Roman"/>
          <w:color w:val="000000" w:themeColor="text1"/>
          <w:sz w:val="16"/>
          <w:szCs w:val="16"/>
        </w:rPr>
        <w:softHyphen/>
        <w:t>пытывался особенно тщательно в период 1933-36 гг. Од</w:t>
      </w:r>
      <w:r w:rsidRPr="0044524F">
        <w:rPr>
          <w:rFonts w:ascii="Times New Roman" w:hAnsi="Times New Roman"/>
          <w:color w:val="000000" w:themeColor="text1"/>
          <w:sz w:val="16"/>
          <w:szCs w:val="16"/>
        </w:rPr>
        <w:softHyphen/>
        <w:t>нако в связи с тем, что ресурс двигателей М-2 практиче</w:t>
      </w:r>
      <w:r w:rsidRPr="0044524F">
        <w:rPr>
          <w:rFonts w:ascii="Times New Roman" w:hAnsi="Times New Roman"/>
          <w:color w:val="000000" w:themeColor="text1"/>
          <w:sz w:val="16"/>
          <w:szCs w:val="16"/>
        </w:rPr>
        <w:softHyphen/>
        <w:t>ски закончился, а новых таких двигателей не имелось, продолжительность и высота полетов строго ограничи</w:t>
      </w:r>
      <w:r w:rsidRPr="0044524F">
        <w:rPr>
          <w:rFonts w:ascii="Times New Roman" w:hAnsi="Times New Roman"/>
          <w:color w:val="000000" w:themeColor="text1"/>
          <w:sz w:val="16"/>
          <w:szCs w:val="16"/>
        </w:rPr>
        <w:softHyphen/>
        <w:t>вались. В 1941 г. на ЦАГИ 5-ЭА установили два специаль</w:t>
      </w:r>
      <w:r w:rsidRPr="0044524F">
        <w:rPr>
          <w:rFonts w:ascii="Times New Roman" w:hAnsi="Times New Roman"/>
          <w:color w:val="000000" w:themeColor="text1"/>
          <w:sz w:val="16"/>
          <w:szCs w:val="16"/>
        </w:rPr>
        <w:softHyphen/>
        <w:t>ных электродвигателя, позволяющие осуществлять испы</w:t>
      </w:r>
      <w:r w:rsidRPr="0044524F">
        <w:rPr>
          <w:rFonts w:ascii="Times New Roman" w:hAnsi="Times New Roman"/>
          <w:color w:val="000000" w:themeColor="text1"/>
          <w:sz w:val="16"/>
          <w:szCs w:val="16"/>
        </w:rPr>
        <w:softHyphen/>
        <w:t>тательные полеты на привязи. В середине года начались испытания, которые прервались с началом войны (20361).</w:t>
      </w:r>
    </w:p>
    <w:p w14:paraId="16053722" w14:textId="77777777" w:rsidR="008655C6" w:rsidRPr="0044524F" w:rsidRDefault="008655C6" w:rsidP="009654CF">
      <w:pPr>
        <w:shd w:val="clear" w:color="auto" w:fill="FFFFFF"/>
        <w:spacing w:after="0" w:line="240" w:lineRule="auto"/>
        <w:jc w:val="both"/>
        <w:rPr>
          <w:rFonts w:ascii="Times New Roman" w:hAnsi="Times New Roman"/>
          <w:color w:val="000000" w:themeColor="text1"/>
          <w:sz w:val="16"/>
          <w:szCs w:val="16"/>
        </w:rPr>
      </w:pPr>
    </w:p>
    <w:p w14:paraId="16CC5FC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начала 1933 г. серийные М-34 (мощностью 750-800 л.с.) начали выходить из цехов московского завода №24 (ныне «Салют"). До конца года выпустили 790 экземпляров (7668).</w:t>
      </w:r>
    </w:p>
    <w:p w14:paraId="3984461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0A3CBF1B"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начала 1933 г. серийные моторы М-34 (мощностью 750/800 л.с.) начали выходить из цехов московского завода № 24 (24937).</w:t>
      </w:r>
    </w:p>
    <w:p w14:paraId="577C243B" w14:textId="77777777" w:rsidR="009212F1" w:rsidRPr="00142305" w:rsidRDefault="009212F1" w:rsidP="009212F1">
      <w:pPr>
        <w:spacing w:after="0" w:line="240" w:lineRule="auto"/>
        <w:jc w:val="both"/>
        <w:rPr>
          <w:rFonts w:ascii="Times New Roman" w:hAnsi="Times New Roman"/>
          <w:color w:val="0070C0"/>
          <w:sz w:val="16"/>
          <w:szCs w:val="16"/>
        </w:rPr>
      </w:pPr>
    </w:p>
    <w:p w14:paraId="2281BB8C"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начала 1933 г. приступили к изготовлению опытных образцов двигателя М-44 (их параллельно делали два). В том же году начались заводские испытания первого экземпляра, в следующем — второго. Планировали и третий, но позднее от его сборки отказались. Одновременно началось проектирование катерной модификации, ГМ-44 с реверс-муфтой. Авиационный М-44 не оправдал надежд конструкторов. Мощность его оказалась значительно меньше заданных 2200 л.с. В конце 1934 г. работы по нему прекратили. Катерный ГМ-44 построили и испытывали до сере</w:t>
      </w:r>
      <w:r w:rsidRPr="0044524F">
        <w:rPr>
          <w:rFonts w:ascii="Times New Roman" w:hAnsi="Times New Roman"/>
          <w:color w:val="000000" w:themeColor="text1"/>
          <w:sz w:val="16"/>
          <w:szCs w:val="16"/>
        </w:rPr>
        <w:softHyphen/>
        <w:t>дины 1936 г. Но его также не запустили в серийное производство. Самый мощный советский авиамотор первой половины 30-х годов. Предназначался для тяжелых бомбардировщиков. Проектировался в НАМ под руководством Н.П. Сердюкова с февраля 1931 г. на базе экспериментального одноцилиндрового мотора М-170 (М-170/44), соз</w:t>
      </w:r>
      <w:r w:rsidRPr="0044524F">
        <w:rPr>
          <w:rFonts w:ascii="Times New Roman" w:hAnsi="Times New Roman"/>
          <w:color w:val="000000" w:themeColor="text1"/>
          <w:sz w:val="16"/>
          <w:szCs w:val="16"/>
        </w:rPr>
        <w:softHyphen/>
        <w:t>данного в 1929-1930 гг. в ВМО ЦАГИ. Построены в 1933-1935 гг. три опытных образца, в том числе один ГМ-44. Работы прекращены в середине 1936 г.</w:t>
      </w:r>
    </w:p>
    <w:p w14:paraId="66049F82"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Существовали модификации:</w:t>
      </w:r>
    </w:p>
    <w:p w14:paraId="5A681A2A"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М-44, авиационный вариант. Изготовлен в двух экземплярах. Мощ</w:t>
      </w:r>
      <w:r w:rsidRPr="0044524F">
        <w:rPr>
          <w:rFonts w:ascii="Times New Roman" w:hAnsi="Times New Roman"/>
          <w:color w:val="000000" w:themeColor="text1"/>
          <w:sz w:val="16"/>
          <w:szCs w:val="16"/>
        </w:rPr>
        <w:softHyphen/>
        <w:t>ность 1700/2000 л.с., вес 1700 кг (по другим данным — 1800 кг).</w:t>
      </w:r>
    </w:p>
    <w:p w14:paraId="66C09239"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М-44Н с нагнетателем. Значился в плане работ на 1933 г., но никаких данных о работе по этому проекту нет.</w:t>
      </w:r>
    </w:p>
    <w:p w14:paraId="04B6942A"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ГМ-44, катерный вариант с реверс-редуктором. Изготовлен в одном экземпляре в 1935 г. Испытывался в 1935-1936 гг. Мощность 1870 л.с.</w:t>
      </w:r>
    </w:p>
    <w:p w14:paraId="6B5EC19B"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2D3659E9"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12-цилиндровый, рядный У-образный, четырехтактный, водяного охлаждения;</w:t>
      </w:r>
    </w:p>
    <w:p w14:paraId="19240A33"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.редукторный;</w:t>
      </w:r>
    </w:p>
    <w:p w14:paraId="16A8161B"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и вес в зависимости от модификации;</w:t>
      </w:r>
    </w:p>
    <w:p w14:paraId="4964B98A"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222/286 мм;</w:t>
      </w:r>
    </w:p>
    <w:p w14:paraId="382EB1A9"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полный рабочий объем 132,8 л;</w:t>
      </w:r>
    </w:p>
    <w:p w14:paraId="726261A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6,0 (по другим данным - 5,0). Предлагался для бомбардировщиков ТБ-6 и ТБ-7 (не Пе-8) (11852).</w:t>
      </w:r>
    </w:p>
    <w:p w14:paraId="43494BE3"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D879A1"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1933 г. приступили к изготовлению деталей для двух опытных экземпляров М-44. В том же году первый из них собрали и опробовали на стенде, а в начале следующего го</w:t>
      </w:r>
      <w:r w:rsidRPr="00142305">
        <w:rPr>
          <w:rFonts w:ascii="Times New Roman" w:hAnsi="Times New Roman"/>
          <w:color w:val="0070C0"/>
          <w:sz w:val="16"/>
          <w:szCs w:val="16"/>
        </w:rPr>
        <w:softHyphen/>
        <w:t>да — второй. Планировали и третий, но потом его исключи</w:t>
      </w:r>
      <w:r w:rsidRPr="00142305">
        <w:rPr>
          <w:rFonts w:ascii="Times New Roman" w:hAnsi="Times New Roman"/>
          <w:color w:val="0070C0"/>
          <w:sz w:val="16"/>
          <w:szCs w:val="16"/>
        </w:rPr>
        <w:softHyphen/>
        <w:t>ли. Однако М-44 упорно отказывался выдавать требуемую мощность и постоянно ломался.</w:t>
      </w:r>
    </w:p>
    <w:p w14:paraId="10BF0090"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Третий образец этого мотора все-таки сделали, но в ка</w:t>
      </w:r>
      <w:r w:rsidRPr="00142305">
        <w:rPr>
          <w:rFonts w:ascii="Times New Roman" w:hAnsi="Times New Roman"/>
          <w:color w:val="0070C0"/>
          <w:sz w:val="16"/>
          <w:szCs w:val="16"/>
        </w:rPr>
        <w:softHyphen/>
        <w:t>терном варианте ГМ-44 со специальным реверс-редуктором. Но и он не снискал большого успеха. Отчаявшись до</w:t>
      </w:r>
      <w:r w:rsidRPr="00142305">
        <w:rPr>
          <w:rFonts w:ascii="Times New Roman" w:hAnsi="Times New Roman"/>
          <w:color w:val="0070C0"/>
          <w:sz w:val="16"/>
          <w:szCs w:val="16"/>
        </w:rPr>
        <w:softHyphen/>
        <w:t>биться поставленных заданием показателей, в конце 1934 г. работу прекратили (24977).</w:t>
      </w:r>
    </w:p>
    <w:p w14:paraId="0A855D72" w14:textId="77777777" w:rsidR="009212F1" w:rsidRPr="00142305" w:rsidRDefault="009212F1" w:rsidP="009212F1">
      <w:pPr>
        <w:spacing w:after="0" w:line="240" w:lineRule="auto"/>
        <w:jc w:val="both"/>
        <w:rPr>
          <w:rFonts w:ascii="Times New Roman" w:hAnsi="Times New Roman"/>
          <w:color w:val="0070C0"/>
          <w:sz w:val="16"/>
          <w:szCs w:val="16"/>
        </w:rPr>
      </w:pPr>
    </w:p>
    <w:p w14:paraId="395E9CAE"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1933 г. руководству Советского Союза стало ясно, что намеченную на 1931-1932 гг. программу создания полностью оригинальных авиамоторов отечественной конструкции выполнить не удалось. Лишь один двигатель М-34 конструкции А.А. Микулина внедрили в серийное производство, да и он к этому времени несколько отставал от мирового уровня по удельной мощности и высотным характеристикам. Это сдерживало развитие самолетостроения.</w:t>
      </w:r>
    </w:p>
    <w:p w14:paraId="7DAD96E0" w14:textId="77777777" w:rsidR="009212F1" w:rsidRPr="00142305" w:rsidRDefault="009212F1" w:rsidP="009212F1">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Группе специалистов поручили провести анализ имевшихся в то время в мире авиамоторов. Из числа двигателей жидкостного охлаждения наиболее высокую оценку получил французский мотор </w:t>
      </w:r>
      <w:r w:rsidRPr="00142305">
        <w:rPr>
          <w:rStyle w:val="aff"/>
          <w:rFonts w:ascii="Times New Roman" w:hAnsi="Times New Roman" w:cs="Times New Roman"/>
          <w:color w:val="0070C0"/>
          <w:spacing w:val="0"/>
          <w:sz w:val="16"/>
          <w:szCs w:val="16"/>
          <w:lang w:val="en-US"/>
        </w:rPr>
        <w:t>Hispano</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Suiza</w:t>
      </w:r>
      <w:r w:rsidRPr="00142305">
        <w:rPr>
          <w:rStyle w:val="aff"/>
          <w:rFonts w:ascii="Times New Roman" w:hAnsi="Times New Roman" w:cs="Times New Roman"/>
          <w:color w:val="0070C0"/>
          <w:spacing w:val="0"/>
          <w:sz w:val="16"/>
          <w:szCs w:val="16"/>
        </w:rPr>
        <w:t xml:space="preserve"> 12</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 xml:space="preserve"> (25145).</w:t>
      </w:r>
    </w:p>
    <w:p w14:paraId="0781FD26" w14:textId="77777777" w:rsidR="009212F1" w:rsidRPr="00142305" w:rsidRDefault="009212F1" w:rsidP="009212F1">
      <w:pPr>
        <w:spacing w:after="0" w:line="240" w:lineRule="auto"/>
        <w:jc w:val="both"/>
        <w:rPr>
          <w:rFonts w:ascii="Times New Roman" w:hAnsi="Times New Roman"/>
          <w:color w:val="0070C0"/>
          <w:sz w:val="16"/>
          <w:szCs w:val="16"/>
        </w:rPr>
      </w:pPr>
    </w:p>
    <w:p w14:paraId="6DF125FE"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С начала 1933 года в БОК под руководством В.А.Чижевского, при участии Н.Н.Каштанова, А.Я.Левина, И.И.Цебрикова и В.И.Лапинского проектировалась гондола стратостата СССР-1. Построили ее на опытном производстве завода № 39 за 4 месяца. Так как всего заложили 4 практически одинаковых гондолы, то на этапе постройки стратостата его стали именовать «СССР-1». Гондола должна была удовлетворять следующим требованиям:</w:t>
      </w:r>
    </w:p>
    <w:p w14:paraId="574B7C01"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-абсолютная герметичность;</w:t>
      </w:r>
    </w:p>
    <w:p w14:paraId="05E12096"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-достаточная прочность;</w:t>
      </w:r>
    </w:p>
    <w:p w14:paraId="28ABD563"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-хорошая видимость во все стороны;</w:t>
      </w:r>
    </w:p>
    <w:p w14:paraId="632607F6"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-быстро открывающиеся входные люки;</w:t>
      </w:r>
    </w:p>
    <w:p w14:paraId="450C4FC5"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-размещение вне гондолы необходимого для спуска балласта и надежное устройство для его сбрасывания;</w:t>
      </w:r>
    </w:p>
    <w:p w14:paraId="045D0586"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-амортизирующее посадочное устройство, предохраняющее гондолу от удара при посадке;</w:t>
      </w:r>
    </w:p>
    <w:p w14:paraId="7FA987B2"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-защита от низкой температуры и солнечного нагрева;</w:t>
      </w:r>
    </w:p>
    <w:p w14:paraId="25C7A357"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lastRenderedPageBreak/>
        <w:t>-удобное размещение приборов.</w:t>
      </w:r>
    </w:p>
    <w:p w14:paraId="76D1F4D4"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Трехместная гондола представляла собой сферу диаметром 2,3 м. Она состояла из 12 листов 2-мм дюралюминия, собранных при помощи 5 тысяч заклепок. Герметичность оболочки достигалась специальной промазкой клепаных швов. Силовой каркас гондолы выполнили из 8 вертикальных дюралевых труб, соединенных стальными узлами. Каркас воспринимал все усилия от веса экипажа, балласта и оборудования. Оболочка, выполненная с 12-кратным запасом прочности, воспринимала лишь нагрузку от разности давления. В верхней части каркас переходил в узлы крепления оболочки, в нижней части — в стойки посадочной амортизации. Сам амортизатор представлял классическую корзину из ивовых прутьев. При ударе о землю со скоростью 5-7 м/с амортизатор должен был сломаться, поглотив силу удара. Одновременно он выполнял роль подставки при стоянке гондолы на земле. Его размеры были достаточны, чтобы разместить внутри нее мешки с балластом. Теория и практика воздухоплавания установили, что начавшийся спуск аэростата с предельно достигнутой им высоты происходит со все возрастающей скоростью. Для того чтобы эта скорость не превысила допустимой величины, необходимо гасить ее сбрасыванием балласта. «СССР-1» мог брать для этого до 1 т балласта в виде мелкой свинцовой дроби в 40 мешках, подвешенных к кольцу гондолы внутри посадочного устройства.</w:t>
      </w:r>
    </w:p>
    <w:p w14:paraId="6FAA5A01"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центральной части гондолы имелся силовой обруч-экватор. На поверхности сферы оборудовали два больших лаза для входа и выхода экипажа, которые открывались в течение 5-6 секунд. Для кругового обзора и наблюдения прорезали 9 люков — иллюминаторов диаметром 100 мм. Установленные в иллюминаторах стекла толщиной 8 мм обработали специальным составом от запотевания и покрытия инеем.</w:t>
      </w:r>
    </w:p>
    <w:p w14:paraId="754BD544"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Оборудование стратостата включало:</w:t>
      </w:r>
    </w:p>
    <w:p w14:paraId="79418A1C"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-высокоточный высотомер;</w:t>
      </w:r>
    </w:p>
    <w:p w14:paraId="625C507A"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-ртутный барометр;</w:t>
      </w:r>
    </w:p>
    <w:p w14:paraId="0A883F5A"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-метеорографы для определения параметров воздуха (давление, влажность, температура);</w:t>
      </w:r>
    </w:p>
    <w:p w14:paraId="27F309CF"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-электротермометр;</w:t>
      </w:r>
    </w:p>
    <w:p w14:paraId="31CC00D3" w14:textId="77777777" w:rsidR="002F34E6" w:rsidRPr="0044524F" w:rsidRDefault="002F34E6" w:rsidP="009654CF">
      <w:pPr>
        <w:pStyle w:val="ae"/>
        <w:shd w:val="clear" w:color="auto" w:fill="FFFFFF"/>
        <w:spacing w:before="0" w:after="0"/>
        <w:jc w:val="both"/>
        <w:rPr>
          <w:color w:val="000000" w:themeColor="text1"/>
          <w:sz w:val="16"/>
          <w:szCs w:val="16"/>
        </w:rPr>
      </w:pPr>
      <w:r w:rsidRPr="0044524F">
        <w:rPr>
          <w:color w:val="000000" w:themeColor="text1"/>
          <w:sz w:val="16"/>
          <w:szCs w:val="16"/>
        </w:rPr>
        <w:t>-приборы для определения интенсивности космического излучения.</w:t>
      </w:r>
    </w:p>
    <w:p w14:paraId="7A486216" w14:textId="77777777" w:rsidR="002F34E6" w:rsidRPr="0044524F" w:rsidRDefault="002F34E6" w:rsidP="009654CF">
      <w:pPr>
        <w:spacing w:after="0" w:line="240" w:lineRule="auto"/>
        <w:jc w:val="both"/>
        <w:rPr>
          <w:rFonts w:ascii="Times New Roman" w:hAnsi="Times New Roman"/>
          <w:color w:val="000000" w:themeColor="text1"/>
          <w:sz w:val="16"/>
          <w:szCs w:val="16"/>
        </w:rPr>
      </w:pPr>
    </w:p>
    <w:p w14:paraId="45E7D21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Начало 1933 года было отмечено переменами в управлении стройки завода № 124. С учетом выявленных недостатков, выражавшихся в невыполнении плана, перебоях в снабжении, отсутствии механизации (основными орудиями труда были лопаты, носилки и тачки) и громоздкости управленческого аппарата, трест Казавиастрой был реорганизован в Государственное управление по строительству и эксплуатации завода. Начальником оставили Кузнецова, прежний директор бесследно исчез. Как потом это будет не раз в истории завода, перемена в руководстве дала немедленный и поразительный эффект.</w:t>
      </w:r>
    </w:p>
    <w:p w14:paraId="6974809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Сразу же стал выполняться квартальный план по строительству. Запустили инструментальный цех, установили значительную часть колонн для будущих цехов, заложили здание заводоуправления. Интенсивно пошли работы на фундаменте ТЭЦ, на трассе водозабора и подъездных путей к Авиакомбинату.</w:t>
      </w:r>
    </w:p>
    <w:p w14:paraId="3575394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того, как первые цеха обзавелись крышей, стало устанавливаться станочное оборудование. Однако при заявке на 400 станков, завод получил за год только 67 единиц, в основном импортного изготовления. Более трехсот человек отправили на учебу в другие города для изучения новой сложной техники (12049).</w:t>
      </w:r>
    </w:p>
    <w:p w14:paraId="6D243E2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227034D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году в Научно-исследовательском морском институте связи (НИМИС), в специально созданной для этой цели лаборатории N22, начались аботы над реализацией проекта Валка (10223).</w:t>
      </w:r>
    </w:p>
    <w:p w14:paraId="45A795B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49283CA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1933 г. был готов проект ракеты. Ракета была разработана во 2-й бригаде ГИРД по проекту М.К. Тихонравова и вошла в историю как первая жидкостная ракета, запущенная в Советском Союзе (компоненты — твердый бензин и жидкий кислород). Вес ракеты 18 кг, расчетная высота полета 5000 м (10676).</w:t>
      </w:r>
    </w:p>
    <w:p w14:paraId="27AB364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6E4DD4F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Начало 1933г Проведена серия испытаний ЭРД с помощью новой мощной импульсной установки в Петропавловской крепости, на этом работы по ЭРД были прекращены (11330).</w:t>
      </w:r>
    </w:p>
    <w:p w14:paraId="3AF0417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2E0CCA4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Начало 1933г Начальник вооружений РККА М.Н.Тухачевский присутствует на испытаниях двигателей ОРМ в ГДЛ (11330).</w:t>
      </w:r>
    </w:p>
    <w:p w14:paraId="3BB7C66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0C48F704"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в помещении Иоанновского равелина Петропавловской крепости были возобновлены работы по электрореактивным двигателяь. Вскоре, сделав вывод о том, что перспективы ЭРД туманны и неопределенны, Глушко отошел от этой тематики, полностью посвятив себя ЖРД.</w:t>
      </w:r>
    </w:p>
    <w:p w14:paraId="66391C9B"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Разработкой жидкостных ракетных двигателей ОРМ-1 и ОРМ-2 Глушко занялся в 1930 году. ОРМ-1 (опытный ракетный мотор первый) работал на кислороде и бензине, его конструк</w:t>
      </w:r>
      <w:r w:rsidRPr="0044524F">
        <w:rPr>
          <w:rFonts w:ascii="Times New Roman" w:hAnsi="Times New Roman"/>
          <w:color w:val="000000" w:themeColor="text1"/>
          <w:sz w:val="16"/>
          <w:szCs w:val="16"/>
        </w:rPr>
        <w:softHyphen/>
        <w:t>ция оказалась очень сложной и развития не получила. Прове</w:t>
      </w:r>
      <w:r w:rsidRPr="0044524F">
        <w:rPr>
          <w:rFonts w:ascii="Times New Roman" w:hAnsi="Times New Roman"/>
          <w:color w:val="000000" w:themeColor="text1"/>
          <w:sz w:val="16"/>
          <w:szCs w:val="16"/>
        </w:rPr>
        <w:softHyphen/>
        <w:t>дя в последующем более 50 стендовых огневых испытаний по сжиганию в камере сгорания различных топливных смесей, он пришел к выводу о необходимости разработки двигателей на азотной кислоте и керосине. В ГДЛ Глушко создал целое семей</w:t>
      </w:r>
      <w:r w:rsidRPr="0044524F">
        <w:rPr>
          <w:rFonts w:ascii="Times New Roman" w:hAnsi="Times New Roman"/>
          <w:color w:val="000000" w:themeColor="text1"/>
          <w:sz w:val="16"/>
          <w:szCs w:val="16"/>
        </w:rPr>
        <w:softHyphen/>
        <w:t>ство двигателей от ОРМ-1 до ОРМ-52.</w:t>
      </w:r>
    </w:p>
    <w:p w14:paraId="380B6371"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1932-1933 годах одновременно с двигателями он раз</w:t>
      </w:r>
      <w:r w:rsidRPr="0044524F">
        <w:rPr>
          <w:rFonts w:ascii="Times New Roman" w:hAnsi="Times New Roman"/>
          <w:color w:val="000000" w:themeColor="text1"/>
          <w:sz w:val="16"/>
          <w:szCs w:val="16"/>
        </w:rPr>
        <w:softHyphen/>
        <w:t>работал ряд экспериментальных реактивных летательных ап</w:t>
      </w:r>
      <w:r w:rsidRPr="0044524F">
        <w:rPr>
          <w:rFonts w:ascii="Times New Roman" w:hAnsi="Times New Roman"/>
          <w:color w:val="000000" w:themeColor="text1"/>
          <w:sz w:val="16"/>
          <w:szCs w:val="16"/>
        </w:rPr>
        <w:softHyphen/>
        <w:t>паратов серии РЛА. Наиболее интересным был проект ракеты РЛА-100, предназначенной для вертикального подъема на вы</w:t>
      </w:r>
      <w:r w:rsidRPr="0044524F">
        <w:rPr>
          <w:rFonts w:ascii="Times New Roman" w:hAnsi="Times New Roman"/>
          <w:color w:val="000000" w:themeColor="text1"/>
          <w:sz w:val="16"/>
          <w:szCs w:val="16"/>
        </w:rPr>
        <w:softHyphen/>
        <w:t>соту 100 километров и имевшей стартовый вес 400 килограммов. Для отработки ее сложной кон</w:t>
      </w:r>
      <w:r w:rsidRPr="0044524F">
        <w:rPr>
          <w:rFonts w:ascii="Times New Roman" w:hAnsi="Times New Roman"/>
          <w:color w:val="000000" w:themeColor="text1"/>
          <w:sz w:val="16"/>
          <w:szCs w:val="16"/>
        </w:rPr>
        <w:softHyphen/>
        <w:t>струкции Глушко решил использо</w:t>
      </w:r>
      <w:r w:rsidRPr="0044524F">
        <w:rPr>
          <w:rFonts w:ascii="Times New Roman" w:hAnsi="Times New Roman"/>
          <w:color w:val="000000" w:themeColor="text1"/>
          <w:sz w:val="16"/>
          <w:szCs w:val="16"/>
        </w:rPr>
        <w:softHyphen/>
        <w:t>вать малые ракеты РЛА-1, РЛА-2 и РЛА-3. Все они имели небольшие габариты (длина - до 2 метров, ди</w:t>
      </w:r>
      <w:r w:rsidRPr="0044524F">
        <w:rPr>
          <w:rFonts w:ascii="Times New Roman" w:hAnsi="Times New Roman"/>
          <w:color w:val="000000" w:themeColor="text1"/>
          <w:sz w:val="16"/>
          <w:szCs w:val="16"/>
        </w:rPr>
        <w:softHyphen/>
        <w:t>аметр корпуса - 195 миллиметров) и предназначались для вертикального взлета на высоту 2-4 километра (23510).</w:t>
      </w:r>
    </w:p>
    <w:p w14:paraId="27F2A691" w14:textId="77777777" w:rsidR="0010250B" w:rsidRPr="0044524F" w:rsidRDefault="0010250B" w:rsidP="009654CF">
      <w:pPr>
        <w:spacing w:after="0" w:line="240" w:lineRule="auto"/>
        <w:jc w:val="both"/>
        <w:rPr>
          <w:rFonts w:ascii="Times New Roman" w:hAnsi="Times New Roman"/>
          <w:color w:val="000000" w:themeColor="text1"/>
          <w:sz w:val="16"/>
          <w:szCs w:val="16"/>
        </w:rPr>
      </w:pPr>
    </w:p>
    <w:p w14:paraId="22ECCB37" w14:textId="77777777" w:rsidR="0010250B" w:rsidRPr="0044524F" w:rsidRDefault="001025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ГИРД по</w:t>
      </w:r>
      <w:r w:rsidRPr="0044524F">
        <w:rPr>
          <w:rFonts w:ascii="Times New Roman" w:hAnsi="Times New Roman"/>
          <w:color w:val="000000" w:themeColor="text1"/>
          <w:sz w:val="16"/>
          <w:szCs w:val="16"/>
        </w:rPr>
        <w:softHyphen/>
        <w:t>лучил площадку для испытаний своих ракет. Находилась она на инженерном полигоне вблизи под</w:t>
      </w:r>
      <w:r w:rsidRPr="0044524F">
        <w:rPr>
          <w:rFonts w:ascii="Times New Roman" w:hAnsi="Times New Roman"/>
          <w:color w:val="000000" w:themeColor="text1"/>
          <w:sz w:val="16"/>
          <w:szCs w:val="16"/>
        </w:rPr>
        <w:softHyphen/>
        <w:t>московной железнодорожной стан</w:t>
      </w:r>
      <w:r w:rsidRPr="0044524F">
        <w:rPr>
          <w:rFonts w:ascii="Times New Roman" w:hAnsi="Times New Roman"/>
          <w:color w:val="000000" w:themeColor="text1"/>
          <w:sz w:val="16"/>
          <w:szCs w:val="16"/>
        </w:rPr>
        <w:softHyphen/>
        <w:t>ции Нахабино и стала первым от</w:t>
      </w:r>
      <w:r w:rsidRPr="0044524F">
        <w:rPr>
          <w:rFonts w:ascii="Times New Roman" w:hAnsi="Times New Roman"/>
          <w:color w:val="000000" w:themeColor="text1"/>
          <w:sz w:val="16"/>
          <w:szCs w:val="16"/>
        </w:rPr>
        <w:softHyphen/>
        <w:t>ечественным ракетным полигоном. В марте были проведены стендовые испытания, затем - два неудачных пуска ракеты ГИРД-09 (23510).</w:t>
      </w:r>
    </w:p>
    <w:p w14:paraId="713CBBD8" w14:textId="77777777" w:rsidR="0010250B" w:rsidRPr="0044524F" w:rsidRDefault="0010250B" w:rsidP="009654CF">
      <w:pPr>
        <w:spacing w:after="0" w:line="240" w:lineRule="auto"/>
        <w:jc w:val="both"/>
        <w:rPr>
          <w:rFonts w:ascii="Times New Roman" w:hAnsi="Times New Roman"/>
          <w:color w:val="000000" w:themeColor="text1"/>
          <w:sz w:val="16"/>
          <w:szCs w:val="16"/>
        </w:rPr>
      </w:pPr>
    </w:p>
    <w:p w14:paraId="288674B0" w14:textId="77777777" w:rsidR="00EC2053" w:rsidRPr="0044524F" w:rsidRDefault="00EC20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начале 1933 года Гольцман внёс в Совнарком проект решения, призванного форсировать строительство элинга.</w:t>
      </w:r>
    </w:p>
    <w:p w14:paraId="49374B59" w14:textId="77777777" w:rsidR="00EC2053" w:rsidRPr="0044524F" w:rsidRDefault="00EC20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После рассмотрения комиссией под председательством Валерия Межлаука 5 марта вышло постановление «О строительстве эллинга» - расписанный по дням, тоннам и вагонам свод поручений различным ведомствам с назначением персонально ответственных, который должен был увенчаться к 1 июля завершением постройки первых 110 метров эллинга и к 1 ноября - его полной готовностью, включая отепление и ворота с электроприводом.</w:t>
      </w:r>
    </w:p>
    <w:p w14:paraId="695263C8" w14:textId="77777777" w:rsidR="00EC2053" w:rsidRPr="0044524F" w:rsidRDefault="00EC20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Но даже такая грозная бумага помогала не всегда. Вернувшись в мае 1933 года после двухмесячной болезни на Дирижаблестрой, Нобиле обнаружил, что металлические фермы эллинга всё ещё разбросаны по полю, да и сами фундаменты под них не закончены. Стало ясно, что ни о какой сборке корабля 18500 в этом году речи быть не может.</w:t>
      </w:r>
    </w:p>
    <w:p w14:paraId="18CAD051" w14:textId="77777777" w:rsidR="00EC2053" w:rsidRPr="0044524F" w:rsidRDefault="00EC20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Впрочем, и корабль 18500 не торопился в сборку: ещё не завершилось даже его проектирование (23192).</w:t>
      </w:r>
    </w:p>
    <w:p w14:paraId="37A6730A" w14:textId="77777777" w:rsidR="00EC2053" w:rsidRPr="0044524F" w:rsidRDefault="00EC2053" w:rsidP="009654CF">
      <w:pPr>
        <w:shd w:val="clear" w:color="auto" w:fill="FFFFFF"/>
        <w:spacing w:after="0" w:line="240" w:lineRule="auto"/>
        <w:jc w:val="both"/>
        <w:rPr>
          <w:rFonts w:ascii="Times New Roman" w:hAnsi="Times New Roman"/>
          <w:color w:val="000000" w:themeColor="text1"/>
          <w:sz w:val="16"/>
          <w:szCs w:val="16"/>
        </w:rPr>
      </w:pPr>
    </w:p>
    <w:p w14:paraId="144420E3"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4AE5D6A"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17697D" w14:textId="77777777" w:rsidR="0078560A" w:rsidRPr="0044524F" w:rsidRDefault="007856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на НИАПе, одновременно с испытаниями опытных систем группы «Д», были проведены испытания 76-мм осколочных снарядов Воткинского завода из батальонной пушки Курчевского (БПК), переделанной в миномет типа Стокса (работы проводились на заводе №8). Стрельбы показали неудовлетворительную меткость, после чего II отделом НТУ АУ было предложено провести испытания на меткость 76-мм минами АНИИ. Из-за отсутствия стальных мин по указанию В. Н. Игнатенко были взяты 76-мм чугунные мины (в трех вариантах). Стрельбы показали также неудовлетворительные результаты (был зафиксирован неправильный полет мин, отрывы стабилизаторов), после чего БПК и снаряды к ней (тех вариантов, которые использовались при испытании) были отправлены обратно на завод №8.211 (20074)</w:t>
      </w:r>
    </w:p>
    <w:p w14:paraId="3536E63C" w14:textId="77777777" w:rsidR="0078560A" w:rsidRPr="0044524F" w:rsidRDefault="0078560A" w:rsidP="009654CF">
      <w:pPr>
        <w:spacing w:after="0" w:line="240" w:lineRule="auto"/>
        <w:jc w:val="both"/>
        <w:rPr>
          <w:rFonts w:ascii="Times New Roman" w:hAnsi="Times New Roman"/>
          <w:color w:val="000000" w:themeColor="text1"/>
          <w:sz w:val="16"/>
          <w:szCs w:val="16"/>
        </w:rPr>
      </w:pPr>
    </w:p>
    <w:p w14:paraId="004260C9" w14:textId="77777777" w:rsidR="00282617" w:rsidRPr="0044524F" w:rsidRDefault="0028261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было создано Специальное снарядное бюро (ССБ). Отмечая большие заслуги этого бюро, начальник Военно-Морских Сил СССР флагман флота 1-го ранга В. М. Орлов писал: «За четыре года своей работы ССБ восста</w:t>
      </w:r>
      <w:r w:rsidRPr="0044524F">
        <w:rPr>
          <w:rFonts w:ascii="Times New Roman" w:hAnsi="Times New Roman"/>
          <w:color w:val="000000" w:themeColor="text1"/>
          <w:sz w:val="16"/>
          <w:szCs w:val="16"/>
        </w:rPr>
        <w:softHyphen/>
        <w:t>новило на заводах промышленности производство крупнокалибер</w:t>
      </w:r>
      <w:r w:rsidRPr="0044524F">
        <w:rPr>
          <w:rFonts w:ascii="Times New Roman" w:hAnsi="Times New Roman"/>
          <w:color w:val="000000" w:themeColor="text1"/>
          <w:sz w:val="16"/>
          <w:szCs w:val="16"/>
        </w:rPr>
        <w:softHyphen/>
        <w:t>ных снарядов для кораблей и береговой артиллерии, прерванное с 1917г., разработало и внедрило на заводах современную технологию этого высокосложного производства и, кроме того, спроектировало, испытало и сдало на вооружение морских сил ряд новых конструк</w:t>
      </w:r>
      <w:r w:rsidRPr="0044524F">
        <w:rPr>
          <w:rFonts w:ascii="Times New Roman" w:hAnsi="Times New Roman"/>
          <w:color w:val="000000" w:themeColor="text1"/>
          <w:sz w:val="16"/>
          <w:szCs w:val="16"/>
        </w:rPr>
        <w:softHyphen/>
        <w:t>ций морских снарядов». На вооружение было принято шесть образ</w:t>
      </w:r>
      <w:r w:rsidRPr="0044524F">
        <w:rPr>
          <w:rFonts w:ascii="Times New Roman" w:hAnsi="Times New Roman"/>
          <w:color w:val="000000" w:themeColor="text1"/>
          <w:sz w:val="16"/>
          <w:szCs w:val="16"/>
        </w:rPr>
        <w:softHyphen/>
        <w:t>цов снарядов ССБ: 356-, 305- и 180-мм бронебойные и 356-, 305- и 180-мм фугасные. Проверка этих снарядов на полигонах показала их высокое качество. В результате работы ССБ и заводов промышлен</w:t>
      </w:r>
      <w:r w:rsidRPr="0044524F">
        <w:rPr>
          <w:rFonts w:ascii="Times New Roman" w:hAnsi="Times New Roman"/>
          <w:color w:val="000000" w:themeColor="text1"/>
          <w:sz w:val="16"/>
          <w:szCs w:val="16"/>
        </w:rPr>
        <w:softHyphen/>
        <w:t>ности то угрожающее положение, которое имело место со снаряда</w:t>
      </w:r>
      <w:r w:rsidRPr="0044524F">
        <w:rPr>
          <w:rFonts w:ascii="Times New Roman" w:hAnsi="Times New Roman"/>
          <w:color w:val="000000" w:themeColor="text1"/>
          <w:sz w:val="16"/>
          <w:szCs w:val="16"/>
        </w:rPr>
        <w:softHyphen/>
        <w:t>ми для морской артиллерии в 1932—1935 гг., было ликвидировано и корабли и береговая артиллерия получили боекомплекты, резко повышающие их боевую мощь. Были запущены в производство освети</w:t>
      </w:r>
      <w:r w:rsidRPr="0044524F">
        <w:rPr>
          <w:rFonts w:ascii="Times New Roman" w:hAnsi="Times New Roman"/>
          <w:color w:val="000000" w:themeColor="text1"/>
          <w:sz w:val="16"/>
          <w:szCs w:val="16"/>
        </w:rPr>
        <w:softHyphen/>
        <w:t>тельные и ныряющие снаряды, трассирующие с самоликвидатором, механическая дистанционная трубка, гальваническая запальная трубка, трубка на высокое давление, а также взрыватели предохра</w:t>
      </w:r>
      <w:r w:rsidRPr="0044524F">
        <w:rPr>
          <w:rFonts w:ascii="Times New Roman" w:hAnsi="Times New Roman"/>
          <w:color w:val="000000" w:themeColor="text1"/>
          <w:sz w:val="16"/>
          <w:szCs w:val="16"/>
        </w:rPr>
        <w:softHyphen/>
        <w:t>нительного типа. Все старые взрыватели снимались с вооружения и заменялись новыми (5484).</w:t>
      </w:r>
    </w:p>
    <w:p w14:paraId="0D87B81E" w14:textId="77777777" w:rsidR="00282617" w:rsidRPr="0044524F" w:rsidRDefault="0028261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AF1A1D" w14:textId="77777777" w:rsidR="00945BF8" w:rsidRPr="0044524F" w:rsidRDefault="00945BF8" w:rsidP="009654CF">
      <w:pPr>
        <w:pStyle w:val="rtejustify"/>
        <w:spacing w:before="0" w:after="0"/>
        <w:rPr>
          <w:color w:val="000000" w:themeColor="text1"/>
          <w:sz w:val="16"/>
          <w:szCs w:val="16"/>
        </w:rPr>
      </w:pPr>
      <w:r w:rsidRPr="0044524F">
        <w:rPr>
          <w:color w:val="000000" w:themeColor="text1"/>
          <w:sz w:val="16"/>
          <w:szCs w:val="16"/>
        </w:rPr>
        <w:t xml:space="preserve">На начало 1933 г. Н. В. Куйбышев констатировал, что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w:t>
      </w:r>
      <w:r w:rsidRPr="0044524F">
        <w:rPr>
          <w:color w:val="000000" w:themeColor="text1"/>
          <w:sz w:val="16"/>
          <w:szCs w:val="16"/>
        </w:rPr>
        <w:lastRenderedPageBreak/>
        <w:t>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44524F">
        <w:rPr>
          <w:color w:val="000000" w:themeColor="text1"/>
          <w:sz w:val="16"/>
          <w:szCs w:val="16"/>
        </w:rPr>
        <w:noBreakHyphen/>
        <w:t>8418. Оп. 28. Д. 1. Л. 155</w:t>
      </w:r>
      <w:r w:rsidRPr="0044524F">
        <w:rPr>
          <w:color w:val="000000" w:themeColor="text1"/>
          <w:sz w:val="16"/>
          <w:szCs w:val="16"/>
        </w:rPr>
        <w:noBreakHyphen/>
        <w:t>158) (15270).</w:t>
      </w:r>
    </w:p>
    <w:p w14:paraId="1A8989C2" w14:textId="77777777" w:rsidR="00945BF8" w:rsidRPr="0044524F" w:rsidRDefault="00945BF8" w:rsidP="009654CF">
      <w:pPr>
        <w:autoSpaceDE w:val="0"/>
        <w:autoSpaceDN w:val="0"/>
        <w:adjustRightInd w:val="0"/>
        <w:spacing w:after="0" w:line="240" w:lineRule="auto"/>
        <w:jc w:val="both"/>
        <w:rPr>
          <w:rFonts w:ascii="Times New Roman" w:hAnsi="Times New Roman"/>
          <w:color w:val="000000" w:themeColor="text1"/>
          <w:sz w:val="16"/>
          <w:szCs w:val="16"/>
        </w:rPr>
      </w:pPr>
    </w:p>
    <w:p w14:paraId="29769E8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завод «Сибтекстильмашстрой» имел всего 18 тыс.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xml:space="preserve"> жилой площади: 13 зданий недалеко от завода и на правом берегу р. Оби 100-квартирный и 12-квартирный дома. Во многих домах не было водопровода, центрального отопления, в микрорайонах — бань и прачечных. В 1938 г. жилой фонд комбината № 179 составлял 51 469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расширялось индивидуальное стро-ительство.</w:t>
      </w:r>
    </w:p>
    <w:p w14:paraId="46ABC28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в 1940 г. комбинату № 179 выделялось на строительство жилья и культурно-бытовых объектов 37,7 млн р. из общих капитальных вложений объемом 174,8 млн р., то на 1941 г. планировалось соответственно 53,98 и 335,3 млн р. Комбинат вел строительство четырнадцати 5–7-этажных и четырех 3-этажных каменных, 22 3–5-этажных блочных, 164 брусчатых и 62 каркасных домов. Сдача в эксплуатацию 176 объектов из 283 строившихся обеспечивала 93 348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xml:space="preserve"> жилья. Планировалось также сдать в эксплуатацию объекты здравоохранения: поликлинику на 600 посещений, родильный дом на 40 коек, восемь детских яслей на 960 мест; объекты культуры и образования: школу на 880 мест, два клуба на 400 мест, летний театр на 756 мест и 8 детских садов на 1 000 мест; коммунальных объектов: три бани на 250 мест, прачечной, две столовых на 550 мест[9]. Далеко не все из того, что планировалось, было осуществлено в предвоенные месяцы 1941 г., но была создана минимальная база для размещения кадров (11591).</w:t>
      </w:r>
    </w:p>
    <w:p w14:paraId="4653BFE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01CB904C"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1933 года Богородскому заводу было дано специальное задание: разработать новую технологию изготовления гранулированного поглотителя для улавливания углекислого газа и снарядить им соответствующие патроны для стратостатов. Благодаря этому в 1933-1934 годах нашими стратонавтами был установлен мировой рекорд высоты поднятия стратостата (потолок) – 22.000 км (24912).</w:t>
      </w:r>
    </w:p>
    <w:p w14:paraId="796B71B9" w14:textId="77777777" w:rsidR="009212F1" w:rsidRPr="00142305" w:rsidRDefault="009212F1" w:rsidP="009212F1">
      <w:pPr>
        <w:spacing w:after="0" w:line="240" w:lineRule="auto"/>
        <w:jc w:val="both"/>
        <w:rPr>
          <w:rFonts w:ascii="Times New Roman" w:hAnsi="Times New Roman"/>
          <w:color w:val="0070C0"/>
          <w:sz w:val="16"/>
          <w:szCs w:val="16"/>
        </w:rPr>
      </w:pPr>
    </w:p>
    <w:p w14:paraId="15F6574A"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была отработана конструкция спаренной установки 45-мм пушки и пулемета, и опытный образец, будучи установленным в указанной башне на заводе им. Ворошилова, подвергся трем последовательно проходив</w:t>
      </w:r>
      <w:r w:rsidRPr="0044524F">
        <w:rPr>
          <w:rFonts w:ascii="Times New Roman" w:hAnsi="Times New Roman"/>
          <w:color w:val="000000" w:themeColor="text1"/>
          <w:sz w:val="16"/>
          <w:szCs w:val="16"/>
        </w:rPr>
        <w:softHyphen/>
        <w:t>шим циклам испытаний. Испытания продемонстрировали все ожидавшиеся преимущества, только частые отказы ав</w:t>
      </w:r>
      <w:r w:rsidRPr="0044524F">
        <w:rPr>
          <w:rFonts w:ascii="Times New Roman" w:hAnsi="Times New Roman"/>
          <w:color w:val="000000" w:themeColor="text1"/>
          <w:sz w:val="16"/>
          <w:szCs w:val="16"/>
        </w:rPr>
        <w:softHyphen/>
        <w:t>томатики, особенно при стрельбе осколочной гранатой, портили впечатление о новом танковом оружии (10733,212).</w:t>
      </w:r>
    </w:p>
    <w:p w14:paraId="267F7F36"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3FFF7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в ГКБ-38 под руководством Рыковского С.Е. были спроектированы 76-мм универсальная А-52 и полууниверсальная пушка А-51. Причем основным вариантом был А-52, а работы по А-51 финансировались за счет А-52. В обеих пушках ствол состоял из свободной трубы, кожуха и навинтного казенника. Затвор вертикальный клиновой. Канал и камора были взяты от 76-мм зенитной пушки обр. 1915/28 г., а затвор и полуавтоматика от 76-мм зенитной пушки обр. 1931 г. Тормоз отката гидравлический, накатник гидропневматический. У А-51 длина отката переменная, а у А-52 постоянная. Лафет однобрусный. Стрельба в штатном положении велась с поддона, но можно было стрелять и с колес. Поворотный механизм гусеничный, аналогичный 32-К. Колеса использовались в двух вариантах: с грузошиной и с металлическим ободом. Баллистические данные А-51 и А-52 были одинаковы: при весе снаряда 7,1 кг и заряда 1,127 кг начальная скорость 710 м/с, а дальность 14300 м (при угле +45). Разработчик пушек ГКБ-38 не имело своей производственной базы, а потому изготовление опытного образца пушки А-51 было отдано заводу № 92 (3861).</w:t>
      </w:r>
    </w:p>
    <w:p w14:paraId="2638C26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7943E0C3"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1933 г. в ГКБ-38 под руководством Рыковского С.Е. были спроектированы две 76-мм пушки — универсальная А-52 и полууниверсальная А-51. Причем основным вариантом был А-52, а работы по А-51 финансировались за счет А-52. В обеих пушках ствол состоял из свободной трубы, кожуха и навинтного казенника. Затвор вертикальный клиновой. Канал и камора были взяты от 76-мм зенитной пушки обр. 1915/28 г., а затвор и полуавтоматика — от 76-мм зенитной пушки обр. 1931 г. Тормоз отката гидравлический, накатник гидропневматический. У А-51 длина отката переменная, а у А-52 — постоянная. Лафет однобрусный. Стрельба в штатном положении велась с поддона, но можно было стрелять и с колес. Поворотный механизм гусеничный, аналогичный 32-К.</w:t>
      </w:r>
    </w:p>
    <w:p w14:paraId="3C128E07"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Колеса использовались в двух вариантах: с грузошиной и с металлическим ободом.</w:t>
      </w:r>
    </w:p>
    <w:p w14:paraId="2EDF7FAE"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Баллистические данные А-51 и А-52 были одинаковы: при весе снаряда 7,1 кг и заряда 1,127 кг начальная скорость 710 м/с, а дальность 14 300 м (при угле +45°).</w:t>
      </w:r>
    </w:p>
    <w:p w14:paraId="4F320795"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Разработчик пушек ГКБ-38 не имел своей производственной базы, а потому изготовление опытного образца пушки А-51 было отдано заводу № 92. Он был закончен в середине 1934 г., и ему не поленились присвоить заводской индекс Ф-20. 8 февраля 1935 г. опытный образец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 (25213).</w:t>
      </w:r>
    </w:p>
    <w:p w14:paraId="4D59C302" w14:textId="77777777" w:rsidR="009212F1" w:rsidRPr="00142305" w:rsidRDefault="009212F1" w:rsidP="009212F1">
      <w:pPr>
        <w:spacing w:after="0" w:line="240" w:lineRule="auto"/>
        <w:jc w:val="both"/>
        <w:rPr>
          <w:rFonts w:ascii="Times New Roman" w:hAnsi="Times New Roman"/>
          <w:color w:val="0070C0"/>
          <w:sz w:val="16"/>
          <w:szCs w:val="16"/>
        </w:rPr>
      </w:pPr>
    </w:p>
    <w:p w14:paraId="6A862C5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доработку 122-мм корпусной пушки по результатам полигонных испытаний проводило ГКБ-38, которое и присвоило в 1933 г. орудию индекс А-19. В том же 1933 г. сталинградскому заводу «Баррикады» была заказана опытная серия из 3 орудий, которая была сдана лишь в марте 1935 г. В результате 122-мм пушка была принятия на вооружение РККА под обозначением «122-мм пушка обр. 1931 г.» Орудие производилась только на заводе «Баррикады». До 1937 г. включительно в конструкцию орудия вносились существенные изменения, направленные на повышение технологичности орудия и устранение выявленных при эксплуатации недостатков.</w:t>
      </w:r>
    </w:p>
    <w:p w14:paraId="3860511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целом конструкция корпусной 122-мм пушки обр. 1931 г. (А-19) удовлетворяла военных. При этом она имела ряд недостатков, связанных, главным образом, с конструкцией лафета. В числе наиболее важных из них были:</w:t>
      </w:r>
    </w:p>
    <w:p w14:paraId="621485E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 очень удачная конструкция колёсного хода, ограничивающего подвижность пушки;</w:t>
      </w:r>
    </w:p>
    <w:p w14:paraId="4861A38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отсутствие автоматического отключения подрессоривания (что снижало скорость перехода из походного в боевое положение и обратно);</w:t>
      </w:r>
    </w:p>
    <w:p w14:paraId="64CAEC6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ненадёжность и низкая скорость подъёмного механизма;</w:t>
      </w:r>
    </w:p>
    <w:p w14:paraId="57DCD389"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технологическая сложность производства лафета (12302).</w:t>
      </w:r>
    </w:p>
    <w:p w14:paraId="4DAC029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B 1933 г. на лафет 122-мм пушки обр. 1931 г. (А-19) пушки наложили ствол 152-мм пушки образца 1910/1930 гг., и на вооружение поступила 152-мм пушка образца 1910/1934 гг., но работы по усовершенствованию единого лафета продолжились. </w:t>
      </w:r>
    </w:p>
    <w:p w14:paraId="5AED24B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Здесь по 152-мм пушке образца 1910/1934 гг. следует отметить следующее. Даже в официальных документах существовал разнобой в названии орудия, поскольку достаточно большой угол возвышения давал основание причислить орудие к гаубицам. На этапе опытной разработки орудие называлось сначала 152-мм гаубицей обр. 1932 г., затем — 152-мм гаубицей обр. 1934 г. Последнее название нередко использовалось и позднее в официальной документации (12302).</w:t>
      </w:r>
    </w:p>
    <w:p w14:paraId="56A5641B"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21FE366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начала 1933 года была организована перевозка имущества из 36 базы и со станции Софрино в село Путилово. Для размещения имущества использовались сараи, амбары и бывшая церковь. Для руководства полигона в селе был снят дом, там же находилась столовая.</w:t>
      </w:r>
    </w:p>
    <w:p w14:paraId="307ACC8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июля 1934 года на полигоне была закончена очистка трассы до 11 км, установлена полевая телефонная связь. Выполнены строительные работы первой очереди, главные из которых: снаряжательная мастерская (деревянная), рубки, баллистическая лаборатория, артиллерийская мастерская, конный двор, склад, столовая, магазин, мост через реку Воря и др. объекты. Построены узкоколейная и шоссейная дороги до полигона.</w:t>
      </w:r>
    </w:p>
    <w:p w14:paraId="720594E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укрепления полигона квалифицированными кадрами испытателей и технических работников с Гроховецкого полигона решением НКО были направлены испытатели Г.Д.Захарченко, Г.А.Резников, Галейкин, Шехтеров и др. технические работники, имевшие опыт организации и проведения испытаний Я.И.Романенко, Шумилин, К.Е.Климанцов, Т.П.Логвинов. Большую роль в организации строительства сыграла партийная организация, в которой было 14 человек, секретарём был Г.М.Турукин.</w:t>
      </w:r>
    </w:p>
    <w:p w14:paraId="5B2E931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мая 1934 года на полигоне был произведён первый выстрел из 122 мм гаубицы под руководством испытателя Г.Д.Захарченко. Этот день на полигоне считается днём официального открытия Софринского артиллерийского полигона.</w:t>
      </w:r>
    </w:p>
    <w:p w14:paraId="24CEFC6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1934 года в честь окончания 1-й очереди строительства на полигоне состоялся торжественный митинг, лучшие работники были отмечены приказом начальника полигона, в том числе бригада лесорубов К.Д.Сомина, бригады плотников А.Е.Бурлакова и Ф.М.Елисеева.</w:t>
      </w:r>
    </w:p>
    <w:p w14:paraId="33B6DE9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второго квартала 1934 года на полигоне начали регулярно проводиться испытания боеприпасов. Всего до конца года было произведено 2200 выстрелов испытуемых изделий на кучность по щиту, прочность по щиту и местности, эффективность снарядов у цели, чувствительность и безотказность действия взрывателей по преградам и др. Материальная часть для проведения испытаний поступала с завода им.Владимира Ильича (г.Москва), завода им.Ф.Э.Дзержинского (г.Свердловск), Краснозаводского химического завода (Мос.обл.), завода «Красный Профинтерн», завода им.Масленникова, заводов №8, №70, №80 и №92, КБ-398, НИИ-24, ГСКБ-24, СКБ-709, Тульского патронного завода и др. В 1934 году на полигоне работало 136 человек, из них высшее техническое образование имел только Г.А.Резников., среднее техническое образование – 4 человека.</w:t>
      </w:r>
    </w:p>
    <w:p w14:paraId="0985ACB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Сданный в эксплуатацию Софринский артиллерийский полигон вскоре превратился в главное предприятие центрального промышленного района по испытаниям различных типов боеприпасов и артиллерийских систем.</w:t>
      </w:r>
    </w:p>
    <w:p w14:paraId="683F668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период с 1934 по 1941 годы на полигоне были успешно проведены испытания ряда боеприпасов, артиллерийских орудий и реактивных систем, а с 1936г. начаты лётные испытания широкого класса авиационных боеприпасов. В этот период испытывались 76 мм пушки и 305 мм гаубица конструкции Л.В.Курчевского, 45, 57 и 76 мм пушки конструкции В.Г.Грабина, 122 – 152 мм гаубицы конструкции Ф.Ф.Петрова, 50, 82, 107 и 120 мм миномёты конструкции Б.И.Шавырина, авиационные пусковые установки для стрельбы снарядами РС-82 и РС-132 и многие другие виды вооружения и боеприпасоы, впоследствии нашедших широкое применение на </w:t>
      </w:r>
      <w:r w:rsidRPr="0044524F">
        <w:rPr>
          <w:rFonts w:ascii="Times New Roman" w:hAnsi="Times New Roman"/>
          <w:color w:val="000000" w:themeColor="text1"/>
          <w:sz w:val="16"/>
          <w:szCs w:val="16"/>
        </w:rPr>
        <w:lastRenderedPageBreak/>
        <w:t>полях сражений Великой Отечественной войны. Именно в эти годы были определены и реализованы многие задачи по развитию и совершенствованию методов и средств полигонных испытаний.</w:t>
      </w:r>
    </w:p>
    <w:p w14:paraId="634D53E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в 1939 году группа работников полигона за успешное выполнение правительственных заданий была награждена орденами и медалями Советского Союза, среди них: Г.А.Резников, К.Е.Климанцов, С.В.Волков, П.М.Антонов, П.И.Наумов, К.В.Комарова, Ф.Н.Комарорва, Я.И.Романенко и др. (12071)</w:t>
      </w:r>
    </w:p>
    <w:p w14:paraId="2897F53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68A64ED0"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началась подготовка к переходу 6-й батареи на Дальний Восток. Транспортёрам предстояло пройти путь в 9700 километров. Большая часть пути была разбита и требовала ремонта. Особое беспокойство вызывало вписывание транспортёров в закругления рельсов. Приняли решение осуществить переброску зимой, когда мороз укрепит путь. В период подготовки к переходу в Лебяжьем и на полигоне провели всесторонние ходовые испытания, вплоть до имитации схода с рельс. Для проверки прохождения транспортёра по габаритам изготовили имитатор габарита и провезли его по части маршрута. Далее его перевозку приняли нецелесообразной. Маршрут выбрали через Череповец, Вологду, Вятку, Пермь, Омск, Красноярск, Иркутск, Читу, Хабаровск (15132).</w:t>
      </w:r>
    </w:p>
    <w:p w14:paraId="4F2A5E9F" w14:textId="77777777" w:rsidR="00945BF8" w:rsidRPr="0044524F" w:rsidRDefault="00945BF8" w:rsidP="009654CF">
      <w:pPr>
        <w:spacing w:after="0" w:line="240" w:lineRule="auto"/>
        <w:jc w:val="both"/>
        <w:rPr>
          <w:rFonts w:ascii="Times New Roman" w:hAnsi="Times New Roman"/>
          <w:color w:val="000000" w:themeColor="text1"/>
          <w:sz w:val="16"/>
          <w:szCs w:val="16"/>
        </w:rPr>
      </w:pPr>
    </w:p>
    <w:p w14:paraId="277CEA88" w14:textId="77777777" w:rsidR="00945BF8" w:rsidRPr="0044524F" w:rsidRDefault="00945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начала 1933 г. во Владивосток начали поступать детали орудий. Председателю комиссии по наблюдению за постройкой во Владивостоке поступила телеграмма: «Доношу, что 15 сего января с эшелоном № 502 в 14 часов отправлены во Владивосток четыре 20 тонные платформы с частями жёсткого барабана для 12/52-дм башенных установок батарей № 1 и № 2. На специальных железнодорожных транспортёрах завода „Большевик" за № 118965 — 12-дм тело орудия N« 35 с затвором, запасными грибовидными стержнями, обтюратором, стреляющими приспособлениями, коробкой привода и зипами к стреляющему приспособлению. За № 118965 — 12/52-дм тело орудия № 41 с тем же. Как барабаны, так и орудия маскированы брезентом. Предкомнаба г. Владивостока прошу принять меры к срочной разгрузке орудийных тел и немедленном возврате с брезентами транспортёров в г. Ленинград на ст. „Обухово" зав. „Большевик", ибо всякая задержка сорвёт дальнейшую отправку тел». Уже в 1934 г. батарея № 981 вступила в строй (15132).</w:t>
      </w:r>
    </w:p>
    <w:p w14:paraId="7E3E250A" w14:textId="77777777" w:rsidR="00945BF8" w:rsidRPr="0044524F" w:rsidRDefault="00945BF8" w:rsidP="009654CF">
      <w:pPr>
        <w:spacing w:after="0" w:line="240" w:lineRule="auto"/>
        <w:jc w:val="both"/>
        <w:rPr>
          <w:rFonts w:ascii="Times New Roman" w:hAnsi="Times New Roman"/>
          <w:color w:val="000000" w:themeColor="text1"/>
          <w:sz w:val="16"/>
          <w:szCs w:val="16"/>
        </w:rPr>
      </w:pPr>
    </w:p>
    <w:p w14:paraId="311FF55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году в “улучшенной сварной башне” для САУ была смонтирована новая 76-мм пушка КТ обр. 1927/32 гг., представлявшая собой «полковушку» с уменьшенной до 500 мм длиной отката. Конструкция башни была немного изменена, но кардинальных улучшений не последовало. Особенно угнетала теснота в боевом отделении. Так при производстве выстрела заряжающему (он же - пулеметчик) приходилось буквально вжиматься в правую стенку башни и, «прерывая всякую возможность ведения стрельбы из пулемета прижимать к себе левую руку...» (чтобы не ударило откатывающейся казенной частью). Механизированный спуск давал частые отказы, а производить выстрел со шнура в такой тесноте было невозможно. Угол обстрела из башенного пулемета был никуда не годным. Обзор - крайне ограниченным. Отсутствие вентиляции могло привести к угару экипажа при ведении огня с закрытыми дверьми башни. По окончании этих испытаний башня была окончательно забракована УММ. Но от идеи установки в легкий танк 76-мм пушки все-таки не отказались. Еще в ходе испытаний башни Дыренкова, когда выяснились ее основные недостатки, проектирование новой башни под 76 мм пушку КТ обр. 1927/32 гг. поручили заводу им. Ворошилова (6469, 12).</w:t>
      </w:r>
    </w:p>
    <w:p w14:paraId="32138BB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577BE10A"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1933 года про</w:t>
      </w:r>
      <w:r w:rsidRPr="00142305">
        <w:rPr>
          <w:rFonts w:ascii="Times New Roman" w:hAnsi="Times New Roman"/>
          <w:color w:val="0070C0"/>
          <w:sz w:val="16"/>
          <w:szCs w:val="16"/>
        </w:rPr>
        <w:softHyphen/>
        <w:t>шли испытания 45-мм пушки в штатной башне БТ-2. Проект этой установки раз</w:t>
      </w:r>
      <w:r w:rsidRPr="00142305">
        <w:rPr>
          <w:rFonts w:ascii="Times New Roman" w:hAnsi="Times New Roman"/>
          <w:color w:val="0070C0"/>
          <w:sz w:val="16"/>
          <w:szCs w:val="16"/>
        </w:rPr>
        <w:softHyphen/>
        <w:t>работал конструктор Родионов. В кор</w:t>
      </w:r>
      <w:r w:rsidRPr="00142305">
        <w:rPr>
          <w:rFonts w:ascii="Times New Roman" w:hAnsi="Times New Roman"/>
          <w:color w:val="0070C0"/>
          <w:sz w:val="16"/>
          <w:szCs w:val="16"/>
        </w:rPr>
        <w:softHyphen/>
        <w:t>мовой части башни был сделан вырез для снарядного ящика с противовесом из стальных листов массой 80 кг для уравновешивания башни. Пушка, уста</w:t>
      </w:r>
      <w:r w:rsidRPr="00142305">
        <w:rPr>
          <w:rFonts w:ascii="Times New Roman" w:hAnsi="Times New Roman"/>
          <w:color w:val="0070C0"/>
          <w:sz w:val="16"/>
          <w:szCs w:val="16"/>
        </w:rPr>
        <w:softHyphen/>
        <w:t>новленная в новой маске, была выдви</w:t>
      </w:r>
      <w:r w:rsidRPr="00142305">
        <w:rPr>
          <w:rFonts w:ascii="Times New Roman" w:hAnsi="Times New Roman"/>
          <w:color w:val="0070C0"/>
          <w:sz w:val="16"/>
          <w:szCs w:val="16"/>
        </w:rPr>
        <w:softHyphen/>
        <w:t>нута вперед по отношению к оси башни на 460 мм и, в свою очередь, уравнове</w:t>
      </w:r>
      <w:r w:rsidRPr="00142305">
        <w:rPr>
          <w:rFonts w:ascii="Times New Roman" w:hAnsi="Times New Roman"/>
          <w:color w:val="0070C0"/>
          <w:sz w:val="16"/>
          <w:szCs w:val="16"/>
        </w:rPr>
        <w:softHyphen/>
        <w:t>шена двумя пружинами. Передняя часть люльки и откатывающаяся часть ствола на длине 300 мм имели броневое при</w:t>
      </w:r>
      <w:r w:rsidRPr="00142305">
        <w:rPr>
          <w:rFonts w:ascii="Times New Roman" w:hAnsi="Times New Roman"/>
          <w:color w:val="0070C0"/>
          <w:sz w:val="16"/>
          <w:szCs w:val="16"/>
        </w:rPr>
        <w:softHyphen/>
        <w:t>крытие. Сиденья и ножной спуск были взяты от 45-мм пушки без изменений. Испытания, проведенные с 13 по 17 мая 1933 года на полигоне завода № 8, вы</w:t>
      </w:r>
      <w:r w:rsidRPr="00142305">
        <w:rPr>
          <w:rFonts w:ascii="Times New Roman" w:hAnsi="Times New Roman"/>
          <w:color w:val="0070C0"/>
          <w:sz w:val="16"/>
          <w:szCs w:val="16"/>
        </w:rPr>
        <w:softHyphen/>
        <w:t>явили ряд недостатков. Разместить двух членов экипажа в башне оказалось чрез</w:t>
      </w:r>
      <w:r w:rsidRPr="00142305">
        <w:rPr>
          <w:rFonts w:ascii="Times New Roman" w:hAnsi="Times New Roman"/>
          <w:color w:val="0070C0"/>
          <w:sz w:val="16"/>
          <w:szCs w:val="16"/>
        </w:rPr>
        <w:softHyphen/>
        <w:t>вычайно трудно, причем в случае срыва откатных масс пушки ствол задевал на</w:t>
      </w:r>
      <w:r w:rsidRPr="00142305">
        <w:rPr>
          <w:rFonts w:ascii="Times New Roman" w:hAnsi="Times New Roman"/>
          <w:color w:val="0070C0"/>
          <w:sz w:val="16"/>
          <w:szCs w:val="16"/>
        </w:rPr>
        <w:softHyphen/>
        <w:t>водчика за правое плечо. Очень неудоб</w:t>
      </w:r>
      <w:r w:rsidRPr="00142305">
        <w:rPr>
          <w:rFonts w:ascii="Times New Roman" w:hAnsi="Times New Roman"/>
          <w:color w:val="0070C0"/>
          <w:sz w:val="16"/>
          <w:szCs w:val="16"/>
        </w:rPr>
        <w:softHyphen/>
        <w:t>но было пользоваться прицелами. Ствол пушки сильно выходил за габариты тан</w:t>
      </w:r>
      <w:r w:rsidRPr="00142305">
        <w:rPr>
          <w:rFonts w:ascii="Times New Roman" w:hAnsi="Times New Roman"/>
          <w:color w:val="0070C0"/>
          <w:sz w:val="16"/>
          <w:szCs w:val="16"/>
        </w:rPr>
        <w:softHyphen/>
        <w:t>ка, особенно значительно при развороте башни на 90 градусов.</w:t>
      </w:r>
    </w:p>
    <w:p w14:paraId="46751C9E"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28 по 30 июня 1933 года провели ис</w:t>
      </w:r>
      <w:r w:rsidRPr="00142305">
        <w:rPr>
          <w:rFonts w:ascii="Times New Roman" w:hAnsi="Times New Roman"/>
          <w:color w:val="0070C0"/>
          <w:sz w:val="16"/>
          <w:szCs w:val="16"/>
        </w:rPr>
        <w:softHyphen/>
        <w:t>пытания доработанной установки 45-мм орудия в БТ-2, также закончившиеся не</w:t>
      </w:r>
      <w:r w:rsidRPr="00142305">
        <w:rPr>
          <w:rFonts w:ascii="Times New Roman" w:hAnsi="Times New Roman"/>
          <w:color w:val="0070C0"/>
          <w:sz w:val="16"/>
          <w:szCs w:val="16"/>
        </w:rPr>
        <w:softHyphen/>
        <w:t>удачно — в результате ее признали слож</w:t>
      </w:r>
      <w:r w:rsidRPr="00142305">
        <w:rPr>
          <w:rFonts w:ascii="Times New Roman" w:hAnsi="Times New Roman"/>
          <w:color w:val="0070C0"/>
          <w:sz w:val="16"/>
          <w:szCs w:val="16"/>
        </w:rPr>
        <w:softHyphen/>
        <w:t xml:space="preserve">ной в изготовлении и дорогой, и в серию она не пошла. </w:t>
      </w:r>
    </w:p>
    <w:p w14:paraId="15D7A707" w14:textId="77777777" w:rsidR="009212F1" w:rsidRPr="00142305" w:rsidRDefault="009212F1" w:rsidP="009212F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для вооружения БТ-2 при</w:t>
      </w:r>
      <w:r w:rsidRPr="00142305">
        <w:rPr>
          <w:rFonts w:ascii="Times New Roman" w:hAnsi="Times New Roman"/>
          <w:color w:val="0070C0"/>
          <w:sz w:val="16"/>
          <w:szCs w:val="16"/>
        </w:rPr>
        <w:softHyphen/>
        <w:t>шлось срочно изыскивать другую воз</w:t>
      </w:r>
      <w:r w:rsidRPr="00142305">
        <w:rPr>
          <w:rFonts w:ascii="Times New Roman" w:hAnsi="Times New Roman"/>
          <w:color w:val="0070C0"/>
          <w:sz w:val="16"/>
          <w:szCs w:val="16"/>
        </w:rPr>
        <w:softHyphen/>
        <w:t>можность — танки поступали в войска без орудий (25009(</w:t>
      </w:r>
    </w:p>
    <w:p w14:paraId="0D2F71EA" w14:textId="77777777" w:rsidR="009212F1" w:rsidRPr="00142305" w:rsidRDefault="009212F1" w:rsidP="009212F1">
      <w:pPr>
        <w:spacing w:after="0" w:line="240" w:lineRule="auto"/>
        <w:jc w:val="both"/>
        <w:rPr>
          <w:rFonts w:ascii="Times New Roman" w:hAnsi="Times New Roman"/>
          <w:color w:val="0070C0"/>
          <w:sz w:val="16"/>
          <w:szCs w:val="16"/>
        </w:rPr>
      </w:pPr>
    </w:p>
    <w:p w14:paraId="32E45435"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в башне А-43 Дыренкова была смонтирована новая 76-мм пушка КТ обр. 1927/32 гг., представлявшая собой ту же «полковушку» с уменьшенной до 500 мм длиной отката. Конструкция башни была немного изменена, но кардинальных улучшений все же не последовало. Особенно угнетала теснота в боевом отделении. Так, при производстве выстрела заряжающему (он же – пулеметчик) приходилось буквально вжиматься в правую стенку башни и, «прерывая всякую возможность ведения стрельбы из пулемета», прижимать к себе левую руку (чтобы его не ударило откатывающейся казенной частью).</w:t>
      </w:r>
    </w:p>
    <w:p w14:paraId="7C7F55D5"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«Механизированный» спуск давал частые отказы, а производить выстрел со шнура в такой тесноте было невозможно. Угол обстрела из башенного пулемета был никуда не годным. Обзор – крайне ограниченным.</w:t>
      </w:r>
    </w:p>
    <w:p w14:paraId="3C0CD1C0"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вентиляции могло привести к угару экипажа при ведении огня с закрытыми кормовыми дверьми башни. По окончании этих испытаний башня была забракована УММ (15619).</w:t>
      </w:r>
    </w:p>
    <w:p w14:paraId="52D798E0" w14:textId="77777777" w:rsidR="00282617" w:rsidRPr="0044524F" w:rsidRDefault="00282617" w:rsidP="009654CF">
      <w:pPr>
        <w:spacing w:after="0" w:line="240" w:lineRule="auto"/>
        <w:jc w:val="both"/>
        <w:rPr>
          <w:rFonts w:ascii="Times New Roman" w:hAnsi="Times New Roman"/>
          <w:color w:val="000000" w:themeColor="text1"/>
          <w:sz w:val="16"/>
          <w:szCs w:val="16"/>
        </w:rPr>
      </w:pPr>
    </w:p>
    <w:p w14:paraId="3410B952"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в башне А-43 была смонтирована новая 76-мм пушка КТ обр. 1927/32 гг., представлявшая со</w:t>
      </w:r>
      <w:r w:rsidRPr="0044524F">
        <w:rPr>
          <w:rFonts w:ascii="Times New Roman" w:hAnsi="Times New Roman"/>
          <w:color w:val="000000" w:themeColor="text1"/>
          <w:sz w:val="16"/>
          <w:szCs w:val="16"/>
        </w:rPr>
        <w:softHyphen/>
        <w:t>бой ту же «полковушку» с уменьшенной до 500 мм длиной отката. Конструкция башни была немного изменена, но кардинальных улучшений все же не последовало. Особенно угнетала теснота в боевом отделении. Так, при производстве выстрела заряжающему (он же — пулеметчик) приходилось буквально вжиматься в правую стенку башни и, «прерывая всякую возможность ведения стрельбы из пулемета», при</w:t>
      </w:r>
      <w:r w:rsidRPr="0044524F">
        <w:rPr>
          <w:rFonts w:ascii="Times New Roman" w:hAnsi="Times New Roman"/>
          <w:color w:val="000000" w:themeColor="text1"/>
          <w:sz w:val="16"/>
          <w:szCs w:val="16"/>
        </w:rPr>
        <w:softHyphen/>
        <w:t>жимать к себе левую руку (чтобы его не ударило откатывающейся казенной частью). «Механизированный» спуск давал частые отказы, а производить выстрел со шнура в такой тес</w:t>
      </w:r>
      <w:r w:rsidRPr="0044524F">
        <w:rPr>
          <w:rFonts w:ascii="Times New Roman" w:hAnsi="Times New Roman"/>
          <w:color w:val="000000" w:themeColor="text1"/>
          <w:sz w:val="16"/>
          <w:szCs w:val="16"/>
        </w:rPr>
        <w:softHyphen/>
        <w:t>ноте было невозможно. Угол обстрела из башенного пулеме</w:t>
      </w:r>
      <w:r w:rsidRPr="0044524F">
        <w:rPr>
          <w:rFonts w:ascii="Times New Roman" w:hAnsi="Times New Roman"/>
          <w:color w:val="000000" w:themeColor="text1"/>
          <w:sz w:val="16"/>
          <w:szCs w:val="16"/>
        </w:rPr>
        <w:softHyphen/>
        <w:t>та был никуда не годным. Обзор — крайне ограниченным. Отсутствие вентиляции могло привести к угару экипажа при ведении огня с закрытыми кормовыми дверьми башни. По окончании этих испытаний башня была забракована УММ. Однако от идеи установки в легкий танк 76-мм пушки все-таки не отказались. Еще в ходе испытаний башни Ды</w:t>
      </w:r>
      <w:r w:rsidRPr="0044524F">
        <w:rPr>
          <w:rFonts w:ascii="Times New Roman" w:hAnsi="Times New Roman"/>
          <w:color w:val="000000" w:themeColor="text1"/>
          <w:sz w:val="16"/>
          <w:szCs w:val="16"/>
        </w:rPr>
        <w:softHyphen/>
        <w:t>ренкова, когда вьшснились ее основные недостатки, проек</w:t>
      </w:r>
      <w:r w:rsidRPr="0044524F">
        <w:rPr>
          <w:rFonts w:ascii="Times New Roman" w:hAnsi="Times New Roman"/>
          <w:color w:val="000000" w:themeColor="text1"/>
          <w:sz w:val="16"/>
          <w:szCs w:val="16"/>
        </w:rPr>
        <w:softHyphen/>
        <w:t>тирование новой башни под 76-мм пушку КТ обр. 1927/32 гг. поручили КБ завода им. Ворошилова (10733,337).</w:t>
      </w:r>
    </w:p>
    <w:p w14:paraId="00A24081"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9153CD"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в этой же башне была смонтирована уже 76,2-мм пушка КТ обр. 1927/32 гг., представлявшая собой ту же полковую пушку, но с уменьшенной до 500 мм длиной отката. Конструкция башни была немного изме</w:t>
      </w:r>
      <w:r w:rsidRPr="0044524F">
        <w:rPr>
          <w:rFonts w:ascii="Times New Roman" w:hAnsi="Times New Roman"/>
          <w:color w:val="000000" w:themeColor="text1"/>
          <w:sz w:val="16"/>
          <w:szCs w:val="16"/>
        </w:rPr>
        <w:softHyphen/>
        <w:t>нена, но кардинальных улучшений не последовало. Осо</w:t>
      </w:r>
      <w:r w:rsidRPr="0044524F">
        <w:rPr>
          <w:rFonts w:ascii="Times New Roman" w:hAnsi="Times New Roman"/>
          <w:color w:val="000000" w:themeColor="text1"/>
          <w:sz w:val="16"/>
          <w:szCs w:val="16"/>
        </w:rPr>
        <w:softHyphen/>
        <w:t xml:space="preserve">бенно угнетала теснота в боевом отделении. Так, при производстве выстрела заряжающему (он же пулеметчик) приходилось буквально вжиматься в правую стенку башни и, </w:t>
      </w:r>
      <w:r w:rsidRPr="0044524F">
        <w:rPr>
          <w:rFonts w:ascii="Times New Roman" w:hAnsi="Times New Roman"/>
          <w:iCs/>
          <w:color w:val="000000" w:themeColor="text1"/>
          <w:sz w:val="16"/>
          <w:szCs w:val="16"/>
        </w:rPr>
        <w:t xml:space="preserve">«прерывая всякую возможность ведения стрельбы из пулемета», </w:t>
      </w:r>
      <w:r w:rsidRPr="0044524F">
        <w:rPr>
          <w:rFonts w:ascii="Times New Roman" w:hAnsi="Times New Roman"/>
          <w:color w:val="000000" w:themeColor="text1"/>
          <w:sz w:val="16"/>
          <w:szCs w:val="16"/>
        </w:rPr>
        <w:t>прижимать к себе левую руку (что</w:t>
      </w:r>
      <w:r w:rsidRPr="0044524F">
        <w:rPr>
          <w:rFonts w:ascii="Times New Roman" w:hAnsi="Times New Roman"/>
          <w:color w:val="000000" w:themeColor="text1"/>
          <w:sz w:val="16"/>
          <w:szCs w:val="16"/>
        </w:rPr>
        <w:softHyphen/>
        <w:t>бы его не ударило откатывающейся казенной частью). Механизированный спуск давал частые отказы, а произ</w:t>
      </w:r>
      <w:r w:rsidRPr="0044524F">
        <w:rPr>
          <w:rFonts w:ascii="Times New Roman" w:hAnsi="Times New Roman"/>
          <w:color w:val="000000" w:themeColor="text1"/>
          <w:sz w:val="16"/>
          <w:szCs w:val="16"/>
        </w:rPr>
        <w:softHyphen/>
        <w:t>водить выстрел со шнура в такой тесноте было невозмож</w:t>
      </w:r>
      <w:r w:rsidRPr="0044524F">
        <w:rPr>
          <w:rFonts w:ascii="Times New Roman" w:hAnsi="Times New Roman"/>
          <w:color w:val="000000" w:themeColor="text1"/>
          <w:sz w:val="16"/>
          <w:szCs w:val="16"/>
        </w:rPr>
        <w:softHyphen/>
        <w:t>но. Угол обстрела из башенного пулемета был никуда не годным. Обзор — ограниченным. Отсутствие вентиляции могло привести к угару экипажа при ведении огня с за</w:t>
      </w:r>
      <w:r w:rsidRPr="0044524F">
        <w:rPr>
          <w:rFonts w:ascii="Times New Roman" w:hAnsi="Times New Roman"/>
          <w:color w:val="000000" w:themeColor="text1"/>
          <w:sz w:val="16"/>
          <w:szCs w:val="16"/>
        </w:rPr>
        <w:softHyphen/>
        <w:t>крытыми дверьми башни. По окончании этих испытаний башня была забракована УММ (11417).</w:t>
      </w:r>
    </w:p>
    <w:p w14:paraId="4148CF7E"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4CE912"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под руководством Рыковского С.Е. были спроектированы 76-мм пушки ГКБ-38 — универсальная А-52 и полууниверсальная A-51 (причем основным вариантом был А-52, а работы по А-51 финансировались за счет А-52). В обеих пушках ствол состоял из свободной трубы, кожуха и навинтного казенника. Затвор вертикальный клиновой. Канал и камора были взяты от 76-мм зенитной пушки обр. 1915/28 г., а затвор и полуавтоматика — от 76-мм зенитной пушки обр. 1931 г. Тормоз отката гидравлический, накатник гидропневматический. У А-51 длина отката переметшая, а у А-52 — постоянная. Лафет однобрусный. Стрельба в штатном положении велась с поддона, но можно было стрелять и с колес. Поворотный механизм гусеничный, аналогичный 32-К.</w:t>
      </w:r>
    </w:p>
    <w:p w14:paraId="1E961848"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Колеса использовались в двух вариантах: с грузошиной и с металлическим ободом.</w:t>
      </w:r>
    </w:p>
    <w:p w14:paraId="7F2E333B"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Баллистические данные А-51 и А-52 были одинаковы: при весе снаряда 7,1 кг и заряда 1,127 кг начальная скорость 710 м/с, а дальность 14 300 м (при угле +45°).</w:t>
      </w:r>
    </w:p>
    <w:p w14:paraId="2A705DAA"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Разработчик пушек ГКБ-38 не имел своей производственной базы, а потому изготовление опытного образца пушки А-51 было отдано заводу № 92. Он был закончен в середине 1934 г., и ему не поленились присвоить заводской индекс Ф-20.8 февраля 1935 г. опытный образец был отправлен на полигонные испытания на НИАП. Полигонные испытания он не выдержал. 13 апреля 1935 г. при стрельбе у него сильно деформировались диски и ободы колес.</w:t>
      </w:r>
    </w:p>
    <w:p w14:paraId="33C606B8"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Универсальная же пушка А-52 была изготовлена в августе 1934 г. на заводе № 8, но, насколько известно, подлипковцы ей своего индекса не присваивали. Заводские испытания А-52 были проведены 24—25 августа 1934 г., а 21 января 1935 г. А-52 вместе с передком были отправлена на полигонные испытания на НИАП.</w:t>
      </w:r>
    </w:p>
    <w:p w14:paraId="4EFC9104"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дивизионной артиллерии оказалась порочной сама идея универсальной пушки, и сестрицы А-51 и А-52 разделили учесть себе подобных. Не менее порочной была система размещения заказов опытных пушек на заводах № 8 и № 92, которые параллельно изготавливали собственные аналогичные пушки (15117).</w:t>
      </w:r>
    </w:p>
    <w:p w14:paraId="4A542DEE" w14:textId="77777777" w:rsidR="00282617" w:rsidRPr="0044524F" w:rsidRDefault="00282617" w:rsidP="009654CF">
      <w:pPr>
        <w:spacing w:after="0" w:line="240" w:lineRule="auto"/>
        <w:jc w:val="both"/>
        <w:rPr>
          <w:rFonts w:ascii="Times New Roman" w:hAnsi="Times New Roman"/>
          <w:color w:val="000000" w:themeColor="text1"/>
          <w:sz w:val="16"/>
          <w:szCs w:val="16"/>
        </w:rPr>
      </w:pPr>
    </w:p>
    <w:p w14:paraId="1A72D76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слушатели ВАММ разработали проект бронетранспортера на базе Т-26 и в августе 1933 Опытный завод Спецмаштреста изготовил опытный образец ТР-1, который до февраля 1934 прошел всесторонние полигонные испытания. На вооружение не принимался, т.к. ТР-4 оказался более совершенным (9527,206).</w:t>
      </w:r>
    </w:p>
    <w:p w14:paraId="42BD8ED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7D1E79F7"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на Можерезе началась сборка первых бронемашин Дыренкова. 26 марта представитель военной приемки на заводе сообщал о про</w:t>
      </w:r>
      <w:r w:rsidRPr="0044524F">
        <w:rPr>
          <w:rFonts w:ascii="Times New Roman" w:hAnsi="Times New Roman"/>
          <w:color w:val="000000" w:themeColor="text1"/>
          <w:sz w:val="16"/>
          <w:szCs w:val="16"/>
        </w:rPr>
        <w:softHyphen/>
        <w:t>изводстве Д-13 следующее: «5 единиц готовы за исключе</w:t>
      </w:r>
      <w:r w:rsidRPr="0044524F">
        <w:rPr>
          <w:rFonts w:ascii="Times New Roman" w:hAnsi="Times New Roman"/>
          <w:color w:val="000000" w:themeColor="text1"/>
          <w:sz w:val="16"/>
          <w:szCs w:val="16"/>
        </w:rPr>
        <w:softHyphen/>
        <w:t>нием: не сделаны рамы с сеткой для карт, нет задних фона</w:t>
      </w:r>
      <w:r w:rsidRPr="0044524F">
        <w:rPr>
          <w:rFonts w:ascii="Times New Roman" w:hAnsi="Times New Roman"/>
          <w:color w:val="000000" w:themeColor="text1"/>
          <w:sz w:val="16"/>
          <w:szCs w:val="16"/>
        </w:rPr>
        <w:softHyphen/>
        <w:t>рей. Машины вышли на испытание. 5 единиц, кроме ука</w:t>
      </w:r>
      <w:r w:rsidRPr="0044524F">
        <w:rPr>
          <w:rFonts w:ascii="Times New Roman" w:hAnsi="Times New Roman"/>
          <w:color w:val="000000" w:themeColor="text1"/>
          <w:sz w:val="16"/>
          <w:szCs w:val="16"/>
        </w:rPr>
        <w:softHyphen/>
        <w:t xml:space="preserve">занного, </w:t>
      </w:r>
      <w:r w:rsidRPr="0044524F">
        <w:rPr>
          <w:rFonts w:ascii="Times New Roman" w:hAnsi="Times New Roman"/>
          <w:color w:val="000000" w:themeColor="text1"/>
          <w:sz w:val="16"/>
          <w:szCs w:val="16"/>
        </w:rPr>
        <w:lastRenderedPageBreak/>
        <w:t>не установлены ящики для вездеходных цепей, не сделано крепление для шанцевого инструмента и допол</w:t>
      </w:r>
      <w:r w:rsidRPr="0044524F">
        <w:rPr>
          <w:rFonts w:ascii="Times New Roman" w:hAnsi="Times New Roman"/>
          <w:color w:val="000000" w:themeColor="text1"/>
          <w:sz w:val="16"/>
          <w:szCs w:val="16"/>
        </w:rPr>
        <w:softHyphen/>
        <w:t>нительных бензобаков». Но к маю Д-13 были сданы и по</w:t>
      </w:r>
      <w:r w:rsidRPr="0044524F">
        <w:rPr>
          <w:rFonts w:ascii="Times New Roman" w:hAnsi="Times New Roman"/>
          <w:color w:val="000000" w:themeColor="text1"/>
          <w:sz w:val="16"/>
          <w:szCs w:val="16"/>
        </w:rPr>
        <w:softHyphen/>
        <w:t>ступили в войска. Таким образом, всего изготовили 13 бро</w:t>
      </w:r>
      <w:r w:rsidRPr="0044524F">
        <w:rPr>
          <w:rFonts w:ascii="Times New Roman" w:hAnsi="Times New Roman"/>
          <w:color w:val="000000" w:themeColor="text1"/>
          <w:sz w:val="16"/>
          <w:szCs w:val="16"/>
        </w:rPr>
        <w:softHyphen/>
        <w:t>немашин конструкции Дыренкова: 12 Д-13 (считая 2 опыт</w:t>
      </w:r>
      <w:r w:rsidRPr="0044524F">
        <w:rPr>
          <w:rFonts w:ascii="Times New Roman" w:hAnsi="Times New Roman"/>
          <w:color w:val="000000" w:themeColor="text1"/>
          <w:sz w:val="16"/>
          <w:szCs w:val="16"/>
        </w:rPr>
        <w:softHyphen/>
        <w:t>ных образца) и 1 Д-9 (11284).</w:t>
      </w:r>
    </w:p>
    <w:p w14:paraId="1539F617"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A27F7C"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мотоброневагон Д-6 Дыренкова был готов (15624).</w:t>
      </w:r>
    </w:p>
    <w:p w14:paraId="54019B8D" w14:textId="77777777" w:rsidR="00282617" w:rsidRPr="0044524F" w:rsidRDefault="00282617" w:rsidP="009654CF">
      <w:pPr>
        <w:spacing w:after="0" w:line="240" w:lineRule="auto"/>
        <w:jc w:val="both"/>
        <w:rPr>
          <w:rFonts w:ascii="Times New Roman" w:hAnsi="Times New Roman"/>
          <w:color w:val="000000" w:themeColor="text1"/>
          <w:sz w:val="16"/>
          <w:szCs w:val="16"/>
        </w:rPr>
      </w:pPr>
    </w:p>
    <w:p w14:paraId="5CB95274"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когда только началась сдача серийных Д-2 заказчику, УММ РККА отказалось от использования мотоброневагонов конструкции Дыренкова для вооружения бронепоездных частей Красной Армии. Проведенные испытания показали, что серийные Д-2 плохо вписываются в кривые железных дорог, сложны в обслуживании (например, для капитального ремонта коробки перемены передач и двигателя приходилось снимать башни и верхнюю часть корпуса), их трансмиссия ненадежна и требует частой регулировки. Поэтому УММ РККА приняло решение передать все изготовленные серийные Д-2 транспортному отделу ОПТУ, который к этому времени уже имел в своем распоряжении мо-тоброневагоны Д-3, Д-6 и опытный образец Д-2. На эти бронеединицы возлагалась охрана и оборона железнодорожных объектов в приграничных районах Советского Союза. Организационно мотоброневагоны входили в состав рот МБВ - 3 единицы плюс бронепаровоз - и могли действовать как самостоятельно, так и в составе бронепоезда (15624).</w:t>
      </w:r>
    </w:p>
    <w:p w14:paraId="4C9D0B00" w14:textId="77777777" w:rsidR="00282617" w:rsidRPr="0044524F" w:rsidRDefault="00282617" w:rsidP="009654CF">
      <w:pPr>
        <w:spacing w:after="0" w:line="240" w:lineRule="auto"/>
        <w:jc w:val="both"/>
        <w:rPr>
          <w:rFonts w:ascii="Times New Roman" w:hAnsi="Times New Roman"/>
          <w:color w:val="000000" w:themeColor="text1"/>
          <w:sz w:val="16"/>
          <w:szCs w:val="16"/>
        </w:rPr>
      </w:pPr>
    </w:p>
    <w:p w14:paraId="3FBBD731" w14:textId="2BD6E4B8" w:rsidR="002F34E6" w:rsidRPr="0044524F" w:rsidRDefault="002F34E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когда только началась сдача серийных Д-2 заказчику, УММ РККА отказалось от использования мотоброневаго-нов конструкции Дыренкова для вооружения бронепоездных частей Красной Армии. Проведенные испытания показали, что серийные Д-2 плохо вписываются в кривые железных дорог, сложны в обслуживании (например, для капитального ремонта коробки перемены</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передач и двигателя приходилось снимать башни и верхнюю часть корпуса), их трансмиссия ненадежна и требует частой регулировки. Поэтому УММ РККА приняло решение передать все изготовленные серийные Д-2 транспортному отделу ОПТУ, который к этому времени уже имел в своем распоряжении мо-тоброневагоны Д-З, Д-6 и опытный образец Д-2. На эти бронеединицы возлагалась охрана и оборона железнодорожных объектов в приграничных районах Советского Союза. Организационно мотоброневагоны входили в состав рот МБВ - 3 единицы плюс бронепаровоз - и могли действовать как самостоятельно, так и в составе бронепоезда. В феврале 1939 года роты мотоброневагонов вошли в состав созданного Главного управления войск НКВД СССР по охране железнодорожных сооружений (10 июля 1934 года ОПТУ вошло в состав созданного народного комиссариата внутренних дел - НКВД. Прим. автора). К началу Великой Отечественной войны все роты мотоброневагонов находились в разных местах на границе СССР - от Балтийского моря до Забайкалья. В ходе боев с частями вермахта летом 1941 года войска НКВД по охране железнодорожных сооружений потеряли 7 мо-тоброневагонов Д-2 (серийных), которые после ремонта были включены немцами в состав своих бронепоездов. Оставшиеся в строю Д-2 (Д-З, Д-6 и опытный образец Д-2 находились в Забайкалье и в боевых действиях не участвовали) использовались частями НКВД вплоть до конца Великой Отечественной войны и были списаны в конце 1940-х годов (18626).</w:t>
      </w:r>
    </w:p>
    <w:p w14:paraId="243B44A0" w14:textId="77777777" w:rsidR="002F34E6" w:rsidRPr="0044524F" w:rsidRDefault="002F34E6" w:rsidP="009654CF">
      <w:pPr>
        <w:spacing w:after="0" w:line="240" w:lineRule="auto"/>
        <w:jc w:val="both"/>
        <w:rPr>
          <w:rFonts w:ascii="Times New Roman" w:hAnsi="Times New Roman"/>
          <w:color w:val="000000" w:themeColor="text1"/>
          <w:sz w:val="16"/>
          <w:szCs w:val="16"/>
        </w:rPr>
      </w:pPr>
    </w:p>
    <w:p w14:paraId="10C46F17" w14:textId="77777777" w:rsidR="002F34E6" w:rsidRPr="0044524F" w:rsidRDefault="002F34E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Калужский и Коломенский заводы, загруженные другими заказами, не собрали ни одного Д-2 и эти предприятия освободили от выпуска мотоброневагонов. В результате к апрелю 1933 года производство Д-2, помимо Можерез, велось только на заводе «Красный Профинтерн» в Брянске. Правда, спеццех последнего был загружен заказом на изготовление тяжелых бронеплощадок и бронепаро-возов, в результате чего сборка Д-2 тут здорово затянулась. Последний 15-й мотоброневагон вышел из ворот «Красного Профинтерна» в июле 1934 года. Таким образом, в 1932 -1934 годах в Москве и Брянске изготовили 30 серийных мотоброневагонов Д-2 (18626).</w:t>
      </w:r>
    </w:p>
    <w:p w14:paraId="5AE68B56" w14:textId="77777777" w:rsidR="002F34E6" w:rsidRPr="0044524F" w:rsidRDefault="002F34E6" w:rsidP="009654CF">
      <w:pPr>
        <w:spacing w:after="0" w:line="240" w:lineRule="auto"/>
        <w:jc w:val="both"/>
        <w:rPr>
          <w:rFonts w:ascii="Times New Roman" w:hAnsi="Times New Roman"/>
          <w:color w:val="000000" w:themeColor="text1"/>
          <w:sz w:val="16"/>
          <w:szCs w:val="16"/>
        </w:rPr>
      </w:pPr>
    </w:p>
    <w:p w14:paraId="597C551B" w14:textId="77777777" w:rsidR="002F34E6" w:rsidRPr="0044524F" w:rsidRDefault="002F34E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мотоброневагон Д-6 был готов на заводе Можерез (18626). </w:t>
      </w:r>
    </w:p>
    <w:p w14:paraId="11D9D81C" w14:textId="77777777" w:rsidR="002F34E6" w:rsidRPr="0044524F" w:rsidRDefault="002F34E6" w:rsidP="009654CF">
      <w:pPr>
        <w:spacing w:after="0" w:line="240" w:lineRule="auto"/>
        <w:jc w:val="both"/>
        <w:rPr>
          <w:rFonts w:ascii="Times New Roman" w:hAnsi="Times New Roman"/>
          <w:color w:val="000000" w:themeColor="text1"/>
          <w:sz w:val="16"/>
          <w:szCs w:val="16"/>
        </w:rPr>
      </w:pPr>
    </w:p>
    <w:p w14:paraId="2E11C696" w14:textId="77777777" w:rsidR="009F6B03" w:rsidRPr="00142305" w:rsidRDefault="009F6B03" w:rsidP="009F6B0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1933 года были изготовлены две модернизированных тяжелых бронеплощадок мастерские склада № 60, разработанные летом 1932 г., и бронепаровоз, которые включили в состав модернизированного тяжелого бронепоезда. Средства для его постройки были собраны «бывшими красногвардейцами и красными партизанами комиссии при Харьковском горсовете и Сталинградском землячестве». Состав, названный «Клим Ворошилов», 23 февраля 1933 года постановлением РВС СССР в торжественной обстановке был передан отдельному полку бронепоездов.</w:t>
      </w:r>
    </w:p>
    <w:p w14:paraId="7AFC4194" w14:textId="77777777" w:rsidR="009F6B03" w:rsidRPr="00142305" w:rsidRDefault="009F6B03" w:rsidP="009F6B0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Модернизированный тяжелый бронепоезд прошел испытания стрельбой и пробегом на участке Брянск – станция Снежитская. В выводах по результатам испытаний говорилось: «В основном все элементы дополнительной модернизации отвечают своему назначению, повышают боеспособность бронепоезда и обеспечивают лучшее управление и обслуживание последнего…</w:t>
      </w:r>
    </w:p>
    <w:p w14:paraId="3A6CC9D8" w14:textId="77777777" w:rsidR="009F6B03" w:rsidRPr="00142305" w:rsidRDefault="009F6B03" w:rsidP="009F6B0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Считать необходимым все вновь введенные элементы модернизации включить в перечень модернизации легких и тяжелых бронепоездов для выполнения их на всех бронеплощадках и бронепаровозах, выпущенных в 1933 году» (25635).</w:t>
      </w:r>
    </w:p>
    <w:p w14:paraId="7A883FB4" w14:textId="77777777" w:rsidR="009F6B03" w:rsidRPr="00142305" w:rsidRDefault="009F6B03" w:rsidP="009F6B03">
      <w:pPr>
        <w:spacing w:after="0" w:line="240" w:lineRule="auto"/>
        <w:jc w:val="both"/>
        <w:rPr>
          <w:rFonts w:ascii="Times New Roman" w:hAnsi="Times New Roman"/>
          <w:color w:val="0070C0"/>
          <w:sz w:val="16"/>
          <w:szCs w:val="16"/>
        </w:rPr>
      </w:pPr>
    </w:p>
    <w:p w14:paraId="5800CD3B" w14:textId="77777777" w:rsidR="009F6B03" w:rsidRPr="009F6B03" w:rsidRDefault="009F6B03" w:rsidP="009F6B03">
      <w:pPr>
        <w:pStyle w:val="aff2"/>
        <w:tabs>
          <w:tab w:val="left" w:pos="594"/>
        </w:tabs>
        <w:spacing w:line="240" w:lineRule="auto"/>
        <w:rPr>
          <w:rFonts w:ascii="Times New Roman" w:hAnsi="Times New Roman" w:cs="Times New Roman"/>
          <w:i w:val="0"/>
          <w:iCs w:val="0"/>
          <w:color w:val="0070C0"/>
          <w:sz w:val="16"/>
          <w:szCs w:val="16"/>
          <w:lang w:val="ru-RU"/>
        </w:rPr>
      </w:pPr>
      <w:r w:rsidRPr="009F6B03">
        <w:rPr>
          <w:rFonts w:ascii="Times New Roman" w:hAnsi="Times New Roman" w:cs="Times New Roman"/>
          <w:i w:val="0"/>
          <w:iCs w:val="0"/>
          <w:color w:val="0070C0"/>
          <w:sz w:val="16"/>
          <w:szCs w:val="16"/>
          <w:lang w:val="ru-RU"/>
        </w:rPr>
        <w:t>В начале 1933 года был готов мотоброневагон Д-6 Дыренкова. Для ускорения его изготовления НТК УММ РККА предложил отказаться от его вооружения 107-мм орудием и установить на нем два 7б,2-мм орудия образца 1902 года в башнях, аналогичных серийным Д-2. Эти изменения в конструкцию внесли в короткие сроки (25568).</w:t>
      </w:r>
    </w:p>
    <w:p w14:paraId="31CE3F8E" w14:textId="77777777" w:rsidR="009F6B03" w:rsidRPr="00142305" w:rsidRDefault="009F6B03" w:rsidP="009F6B03">
      <w:pPr>
        <w:spacing w:after="0" w:line="240" w:lineRule="auto"/>
        <w:jc w:val="both"/>
        <w:rPr>
          <w:rFonts w:ascii="Times New Roman" w:hAnsi="Times New Roman"/>
          <w:color w:val="0070C0"/>
          <w:sz w:val="16"/>
          <w:szCs w:val="16"/>
        </w:rPr>
      </w:pPr>
    </w:p>
    <w:p w14:paraId="5068EC5F" w14:textId="77777777" w:rsidR="009F6B03" w:rsidRPr="00142305" w:rsidRDefault="009F6B03" w:rsidP="009F6B0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1933 года, когда только началась сдача серийных Д-2 заказчику, УММ РККА отказалось от использования мотоброневагонов конструкции Дыренкова для вооружения бронепоездных частей Красной Армии. Проведенные испытания показали, что серийные Д-2 плохо вписываются в кривые железных дорог, сложны в обслуживании (например, для капитального ремонта коробки перемены передач и двигателя приходилось снимать башни и верхнюю часть корпуса), их трансмиссия ненадежна и требует частой регулировки. Поэтому УММ РККА приняло решение передать все изготовленные серийные Д-2 транспортному отделу ОПТУ, который к этому времени уже имел в своем распоряжении мо-тоброневагоны Д-3, Д-6 и опытный образец Д-2. На эти бронеединицы возлагалась охрана и оборона железнодорожных объектов в приграничных районах Советского Союза. Организационно мотоброневагоны входили в состав рот МБВ — 3 единицы плюс бронепаровоз — и могли действовать как самостоятельно, так и в составе бронепоезда (25568).</w:t>
      </w:r>
    </w:p>
    <w:p w14:paraId="6440E4C8" w14:textId="77777777" w:rsidR="009F6B03" w:rsidRPr="00142305" w:rsidRDefault="009F6B03" w:rsidP="009F6B03">
      <w:pPr>
        <w:spacing w:after="0" w:line="240" w:lineRule="auto"/>
        <w:jc w:val="both"/>
        <w:rPr>
          <w:rFonts w:ascii="Times New Roman" w:hAnsi="Times New Roman"/>
          <w:color w:val="0070C0"/>
          <w:sz w:val="16"/>
          <w:szCs w:val="16"/>
        </w:rPr>
      </w:pPr>
    </w:p>
    <w:p w14:paraId="6D4461D7"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завод «Компрессор» начал произ</w:t>
      </w:r>
      <w:r w:rsidRPr="0044524F">
        <w:rPr>
          <w:rFonts w:ascii="Times New Roman" w:hAnsi="Times New Roman"/>
          <w:color w:val="000000" w:themeColor="text1"/>
          <w:sz w:val="16"/>
          <w:szCs w:val="16"/>
        </w:rPr>
        <w:softHyphen/>
        <w:t>водство машины БХМ-1000 на шасси АМО-3 с резервуаром на 1000 литров. Однако испытание этих образцов в войсках показали, что БХМ-1000 имеют низкую проходимость и «не являются полноценными боевыми машинами, так как не имеют броневого прикрытия». Тем не менее, небольшая партия таких машин была изготовлена на заводе «Компрес</w:t>
      </w:r>
      <w:r w:rsidRPr="0044524F">
        <w:rPr>
          <w:rFonts w:ascii="Times New Roman" w:hAnsi="Times New Roman"/>
          <w:color w:val="000000" w:themeColor="text1"/>
          <w:sz w:val="16"/>
          <w:szCs w:val="16"/>
        </w:rPr>
        <w:softHyphen/>
        <w:t>сор» для использования в качестве учебных (11284).</w:t>
      </w:r>
    </w:p>
    <w:p w14:paraId="736A73BB"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E6CC3C"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1933 года по заказу Московского союза потребительских обществ мастерские комбината реконструкции транспорта в Москве (КРТ) переделали полуторку ГАЗ-АА в седельный тягач для собственных нужд. А история интересна тем, что после удачной переделки этой конструкцией заинтересовались на ГАЗе. Позже чертежи были переданы на Горьковский завод, где было собрано еще несколько тягачей для того же МСПО. Собирали эти тягачи в 1934 году в экспериментальном отделении опытных мастерских под руководством товарища Соловьева.</w:t>
      </w:r>
    </w:p>
    <w:p w14:paraId="12360B04"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Тягач на 95% был изготовлен из деталей ГАЗ-АА. Автомобиль мог работать как с седельным устройством, так и в качестве лесовоза. Базу традиционно укоротили (до 2,6 м), вследствие чего пришлось обрезать длинные лонжероны рамы, трубу карданного вала и раскосные штанги заднего моста. Сам задний мост был собран из дефектных деталей автомобиля ГАЗ-АА. Задние кантилеверные рессоры были заменены полуэллиптическими. Конструкция сцепки была довольно простой, но в то же время более практичной, чем на «продвинутом» Я-12Д. Водителю достаточно было подъехать задом к полуприцепу и резким движением по инерции запустить на лоток перед полуприцепа, а затем поднять шаровой конец рычага для закрепления сцепки. Вся процедура занимала не более минуты; о том, какие сложности ждали водителя при сцепке тягача ЗИС-10 с полуприцепом, я расскажу ниже. Максимальная нагрузка была небольшой. Полуприцеп использовался также иностранной фирмы, и его максимальный вес ограничивался 2,5 тоннами, поскольку двигатель ГАЗ-АА был слабым. Таким образом, грузоподъемность седельного тягача увеличивалась по сравнению с грузовиком всего на 40%.</w:t>
      </w:r>
    </w:p>
    <w:p w14:paraId="3E515D8A" w14:textId="77777777" w:rsidR="00282617" w:rsidRPr="0044524F" w:rsidRDefault="002826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ГАЗе хоть и заинтересовались новинкой, но, похоже, собственных седельных тягачей делать не стали. Завод рапортовал о выпуске почти восьмисот тягачей, однако, скорее всего, все они были автолесовозами без седельного устройства, поскольку эту программу посчитали приоритетной еще в 1934 году. Построенные три седельных тягача ГАЗ-АА работали в МСПО до конца своих дней (15592).</w:t>
      </w:r>
    </w:p>
    <w:p w14:paraId="527E3CBE" w14:textId="77777777" w:rsidR="00282617" w:rsidRPr="0044524F" w:rsidRDefault="00282617" w:rsidP="009654CF">
      <w:pPr>
        <w:spacing w:after="0" w:line="240" w:lineRule="auto"/>
        <w:jc w:val="both"/>
        <w:rPr>
          <w:rFonts w:ascii="Times New Roman" w:hAnsi="Times New Roman"/>
          <w:color w:val="000000" w:themeColor="text1"/>
          <w:sz w:val="16"/>
          <w:szCs w:val="16"/>
        </w:rPr>
      </w:pPr>
    </w:p>
    <w:p w14:paraId="4FED150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завод «Сибтекстильмашстрой» имел всего 18 тыс. м2 жилой площади: 13 зданий недалеко от завода и на правом берегу р. Оби 100-квартирный и 12-квартирный дома. Во многих домах не было водопровода, центрального отопления, в микрорайонах - бань и прачечных. В 1938 г. жилой фонд комбината № 179 составлял 51 469 м2, расширялось индивидуальное стро-ительство (9684).</w:t>
      </w:r>
    </w:p>
    <w:p w14:paraId="554D46E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10A5C1B8" w14:textId="0C5098E9" w:rsidR="006909F7" w:rsidRPr="0044524F" w:rsidRDefault="00754D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года на строительство СК-3 </w:t>
      </w:r>
      <w:r w:rsidR="006909F7" w:rsidRPr="0044524F">
        <w:rPr>
          <w:rFonts w:ascii="Times New Roman" w:hAnsi="Times New Roman"/>
          <w:color w:val="000000" w:themeColor="text1"/>
          <w:sz w:val="16"/>
          <w:szCs w:val="16"/>
        </w:rPr>
        <w:t xml:space="preserve">(которое велось с 7 июля 1931) </w:t>
      </w:r>
      <w:r w:rsidRPr="0044524F">
        <w:rPr>
          <w:rFonts w:ascii="Times New Roman" w:hAnsi="Times New Roman"/>
          <w:color w:val="000000" w:themeColor="text1"/>
          <w:sz w:val="16"/>
          <w:szCs w:val="16"/>
        </w:rPr>
        <w:t>нарком тяжелой промышленности Г. К. Орджоникидзе назначил нового начальника</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завода</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 А. Матвеева, возглавлявшего до того строительство Воронежского</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завода</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СК. Под его руководством коллектив строителей мобилизовался на завершение монтажного оборудования.</w:t>
      </w:r>
    </w:p>
    <w:p w14:paraId="4205735B" w14:textId="654A2525" w:rsidR="006909F7" w:rsidRPr="0044524F" w:rsidRDefault="00754D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Днем 6 марта</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года сделала первый оборот турбина ТЭЦ, а 20 марта</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 город получили первый промышленный ток.</w:t>
      </w:r>
    </w:p>
    <w:p w14:paraId="662736C8" w14:textId="49B7CB2C" w:rsidR="006909F7" w:rsidRPr="0044524F" w:rsidRDefault="00754D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Вслед за пуском ТЭЦ начался 43-дневный пусковой период Ефремовского</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завода</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СК-3.</w:t>
      </w:r>
      <w:r w:rsidRPr="0044524F">
        <w:rPr>
          <w:rFonts w:ascii="Times New Roman" w:hAnsi="Times New Roman"/>
          <w:bCs/>
          <w:color w:val="000000" w:themeColor="text1"/>
          <w:sz w:val="16"/>
          <w:szCs w:val="16"/>
        </w:rPr>
        <w:t>В</w:t>
      </w:r>
      <w:r w:rsidRPr="0044524F">
        <w:rPr>
          <w:rFonts w:ascii="Times New Roman" w:hAnsi="Times New Roman"/>
          <w:color w:val="000000" w:themeColor="text1"/>
          <w:sz w:val="16"/>
          <w:szCs w:val="16"/>
        </w:rPr>
        <w:t>8 часов утра 23 мая</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года начальник печного цеха Ерасов зажег форсунки первой и второй контактных печей. Вечером 27 мая, в 21 час 27 минут, в реторты пустили спирт. Спустя несколько часов в газовом цехе были получены первые капли дивинила, а через три дня заводская газета "Ударник" сообщила: "Дивинил пошел потоком".</w:t>
      </w:r>
    </w:p>
    <w:p w14:paraId="096D96DD" w14:textId="5F62EEA9" w:rsidR="006909F7" w:rsidRPr="0044524F" w:rsidRDefault="00754D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Третий в стране</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синтетического каучука вступил в строй действующих. Окончательная победа пришла 10 июля</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года. В этот день была выдана первая тонна искусственного каучука. Первый вагон с небывалым грузом ушел со станции Ефремов в Москву 18 августа.</w:t>
      </w:r>
    </w:p>
    <w:p w14:paraId="4C414798" w14:textId="1809AA80" w:rsidR="006909F7" w:rsidRPr="0044524F" w:rsidRDefault="00754D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январю</w:t>
      </w:r>
      <w:r w:rsidR="0088747B">
        <w:rPr>
          <w:rStyle w:val="highlight"/>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w:t>
      </w:r>
      <w:r w:rsidR="006909F7" w:rsidRPr="0044524F">
        <w:rPr>
          <w:rStyle w:val="highlight"/>
          <w:rFonts w:ascii="Times New Roman" w:hAnsi="Times New Roman"/>
          <w:color w:val="000000" w:themeColor="text1"/>
          <w:sz w:val="16"/>
          <w:szCs w:val="16"/>
        </w:rPr>
        <w:t>4</w:t>
      </w:r>
      <w:r w:rsidR="0088747B">
        <w:rPr>
          <w:rStyle w:val="highlight"/>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СК3 дал стране уже сотни тонн каучука. Ожидался пуск нового мощного спиртозавода. Новые гиганты индустрии коренным образом меняли "лицо Ефремова, превращая его из бывшего мелкого, торгашеско-мещанского городка в промышленный город, насчитывающий до 8000 рабочих.</w:t>
      </w:r>
    </w:p>
    <w:p w14:paraId="7F646B9B" w14:textId="77777777" w:rsidR="00754D0B" w:rsidRPr="0044524F" w:rsidRDefault="00754D0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Зимой 1934 года на Ефремовском СК-3 побывал творец промышленного синтетического каучука выдающийся советский ученый Сергей Васильевич Лебедев</w:t>
      </w:r>
      <w:r w:rsidR="006909F7" w:rsidRPr="0044524F">
        <w:rPr>
          <w:rFonts w:ascii="Times New Roman" w:hAnsi="Times New Roman"/>
          <w:color w:val="000000" w:themeColor="text1"/>
          <w:sz w:val="16"/>
          <w:szCs w:val="16"/>
        </w:rPr>
        <w:t xml:space="preserve"> (17278)</w:t>
      </w:r>
      <w:r w:rsidRPr="0044524F">
        <w:rPr>
          <w:rFonts w:ascii="Times New Roman" w:hAnsi="Times New Roman"/>
          <w:color w:val="000000" w:themeColor="text1"/>
          <w:sz w:val="16"/>
          <w:szCs w:val="16"/>
        </w:rPr>
        <w:t>.</w:t>
      </w:r>
    </w:p>
    <w:p w14:paraId="4A810DE6" w14:textId="77777777" w:rsidR="00754D0B" w:rsidRPr="0044524F" w:rsidRDefault="00754D0B" w:rsidP="009654CF">
      <w:pPr>
        <w:autoSpaceDE w:val="0"/>
        <w:autoSpaceDN w:val="0"/>
        <w:adjustRightInd w:val="0"/>
        <w:spacing w:after="0" w:line="240" w:lineRule="auto"/>
        <w:jc w:val="both"/>
        <w:rPr>
          <w:rFonts w:ascii="Times New Roman" w:hAnsi="Times New Roman"/>
          <w:color w:val="000000" w:themeColor="text1"/>
          <w:sz w:val="16"/>
          <w:szCs w:val="16"/>
        </w:rPr>
      </w:pPr>
    </w:p>
    <w:p w14:paraId="53FEFC4E" w14:textId="77777777" w:rsidR="002F34E6" w:rsidRPr="0044524F" w:rsidRDefault="002F34E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стало ясно, что несмотря на предпринятые меры итоги выполнения наме</w:t>
      </w:r>
      <w:r w:rsidRPr="0044524F">
        <w:rPr>
          <w:rFonts w:ascii="Times New Roman" w:hAnsi="Times New Roman"/>
          <w:color w:val="000000" w:themeColor="text1"/>
          <w:sz w:val="16"/>
          <w:szCs w:val="16"/>
        </w:rPr>
        <w:softHyphen/>
        <w:t>ченной на 1932 г. программы оказались неутешительными и ху</w:t>
      </w:r>
      <w:r w:rsidRPr="0044524F">
        <w:rPr>
          <w:rFonts w:ascii="Times New Roman" w:hAnsi="Times New Roman"/>
          <w:color w:val="000000" w:themeColor="text1"/>
          <w:sz w:val="16"/>
          <w:szCs w:val="16"/>
        </w:rPr>
        <w:softHyphen/>
        <w:t>же, чем в 1931 г. Заказы НКВМ были выполнены по артсисте</w:t>
      </w:r>
      <w:r w:rsidRPr="0044524F">
        <w:rPr>
          <w:rFonts w:ascii="Times New Roman" w:hAnsi="Times New Roman"/>
          <w:color w:val="000000" w:themeColor="text1"/>
          <w:sz w:val="16"/>
          <w:szCs w:val="16"/>
        </w:rPr>
        <w:softHyphen/>
        <w:t>мам на 32%, по снарядам - на 17%, по винтовкам и пулеметам - на 58-59%, по самолетам - на 50%, по танкам - на 89%</w:t>
      </w:r>
      <w:bookmarkStart w:id="8" w:name="_ednref75"/>
      <w:r w:rsidR="00EF7814"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HYPERLINK "http://ebookiriran.ru/index.php?id=93&amp;section=8&amp;view=article" \l "_edn75" \o "" </w:instrText>
      </w:r>
      <w:r w:rsidR="00EF7814" w:rsidRPr="0044524F">
        <w:rPr>
          <w:rFonts w:ascii="Times New Roman" w:hAnsi="Times New Roman"/>
          <w:color w:val="000000" w:themeColor="text1"/>
          <w:sz w:val="16"/>
          <w:szCs w:val="16"/>
        </w:rPr>
      </w:r>
      <w:r w:rsidR="00EF7814" w:rsidRPr="0044524F">
        <w:rPr>
          <w:rFonts w:ascii="Times New Roman" w:hAnsi="Times New Roman"/>
          <w:color w:val="000000" w:themeColor="text1"/>
          <w:sz w:val="16"/>
          <w:szCs w:val="16"/>
        </w:rPr>
        <w:fldChar w:fldCharType="separate"/>
      </w:r>
      <w:r w:rsidRPr="0044524F">
        <w:rPr>
          <w:rStyle w:val="a5"/>
          <w:rFonts w:ascii="Times New Roman" w:hAnsi="Times New Roman"/>
          <w:color w:val="000000" w:themeColor="text1"/>
          <w:sz w:val="16"/>
          <w:szCs w:val="16"/>
        </w:rPr>
        <w:t>[75]</w:t>
      </w:r>
      <w:r w:rsidR="00EF7814" w:rsidRPr="0044524F">
        <w:rPr>
          <w:rFonts w:ascii="Times New Roman" w:hAnsi="Times New Roman"/>
          <w:color w:val="000000" w:themeColor="text1"/>
          <w:sz w:val="16"/>
          <w:szCs w:val="16"/>
        </w:rPr>
        <w:fldChar w:fldCharType="end"/>
      </w:r>
      <w:bookmarkEnd w:id="8"/>
      <w:r w:rsidRPr="0044524F">
        <w:rPr>
          <w:rFonts w:ascii="Times New Roman" w:hAnsi="Times New Roman"/>
          <w:color w:val="000000" w:themeColor="text1"/>
          <w:sz w:val="16"/>
          <w:szCs w:val="16"/>
        </w:rPr>
        <w:t>. Обра</w:t>
      </w:r>
      <w:r w:rsidRPr="0044524F">
        <w:rPr>
          <w:rFonts w:ascii="Times New Roman" w:hAnsi="Times New Roman"/>
          <w:color w:val="000000" w:themeColor="text1"/>
          <w:sz w:val="16"/>
          <w:szCs w:val="16"/>
        </w:rPr>
        <w:softHyphen/>
        <w:t>щает на себя внимание крайне неровный характер выполнения заказов. Таким образом, кризис, обозначившийся в 1931 г., носил не случайный, а системный характер. Сущность его руководство не могло уразуметь, что вызывало раздражение, постоянный по</w:t>
      </w:r>
      <w:r w:rsidRPr="0044524F">
        <w:rPr>
          <w:rFonts w:ascii="Times New Roman" w:hAnsi="Times New Roman"/>
          <w:color w:val="000000" w:themeColor="text1"/>
          <w:sz w:val="16"/>
          <w:szCs w:val="16"/>
        </w:rPr>
        <w:softHyphen/>
        <w:t>иск виновников и причин административно-управленческого ха</w:t>
      </w:r>
      <w:r w:rsidRPr="0044524F">
        <w:rPr>
          <w:rFonts w:ascii="Times New Roman" w:hAnsi="Times New Roman"/>
          <w:color w:val="000000" w:themeColor="text1"/>
          <w:sz w:val="16"/>
          <w:szCs w:val="16"/>
        </w:rPr>
        <w:softHyphen/>
        <w:t>рактера.</w:t>
      </w:r>
    </w:p>
    <w:p w14:paraId="78222EAC" w14:textId="77777777" w:rsidR="002F34E6" w:rsidRPr="0044524F" w:rsidRDefault="002F34E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Завершение 1932 г. связано с подведением итогов первой пя</w:t>
      </w:r>
      <w:r w:rsidRPr="0044524F">
        <w:rPr>
          <w:rFonts w:ascii="Times New Roman" w:hAnsi="Times New Roman"/>
          <w:color w:val="000000" w:themeColor="text1"/>
          <w:sz w:val="16"/>
          <w:szCs w:val="16"/>
        </w:rPr>
        <w:softHyphen/>
        <w:t>тилетки, которая официально считалась выполненной досрочно (за 4 года и 3 месяца) (18393).</w:t>
      </w:r>
    </w:p>
    <w:p w14:paraId="526583BB" w14:textId="77777777" w:rsidR="002F34E6" w:rsidRPr="0044524F" w:rsidRDefault="002F34E6" w:rsidP="009654CF">
      <w:pPr>
        <w:spacing w:after="0" w:line="240" w:lineRule="auto"/>
        <w:jc w:val="both"/>
        <w:rPr>
          <w:rFonts w:ascii="Times New Roman" w:hAnsi="Times New Roman"/>
          <w:color w:val="000000" w:themeColor="text1"/>
          <w:sz w:val="16"/>
          <w:szCs w:val="16"/>
        </w:rPr>
      </w:pPr>
    </w:p>
    <w:p w14:paraId="64616D92"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был, согласно «Программе военно-мор</w:t>
      </w:r>
      <w:r w:rsidRPr="0044524F">
        <w:rPr>
          <w:rFonts w:ascii="Times New Roman" w:hAnsi="Times New Roman"/>
          <w:color w:val="000000" w:themeColor="text1"/>
          <w:sz w:val="16"/>
          <w:szCs w:val="16"/>
        </w:rPr>
        <w:softHyphen/>
        <w:t>ского судостроения на 1933-1937 годы», был заключен контракт на постройку двух ПСКР без вооружения. Пара «красных италь</w:t>
      </w:r>
      <w:r w:rsidRPr="0044524F">
        <w:rPr>
          <w:rFonts w:ascii="Times New Roman" w:hAnsi="Times New Roman"/>
          <w:color w:val="000000" w:themeColor="text1"/>
          <w:sz w:val="16"/>
          <w:szCs w:val="16"/>
        </w:rPr>
        <w:softHyphen/>
        <w:t>янцев» осталась единственной, без «родственников» и «потомства». Прото</w:t>
      </w:r>
      <w:r w:rsidRPr="0044524F">
        <w:rPr>
          <w:rFonts w:ascii="Times New Roman" w:hAnsi="Times New Roman"/>
          <w:color w:val="000000" w:themeColor="text1"/>
          <w:sz w:val="16"/>
          <w:szCs w:val="16"/>
        </w:rPr>
        <w:softHyphen/>
        <w:t>типа у нее тоже не было: конструкторы «Ансальдо» разработали проект, что называется, «с нуля». Закладка кораблей (строи</w:t>
      </w:r>
      <w:r w:rsidRPr="0044524F">
        <w:rPr>
          <w:rFonts w:ascii="Times New Roman" w:hAnsi="Times New Roman"/>
          <w:color w:val="000000" w:themeColor="text1"/>
          <w:sz w:val="16"/>
          <w:szCs w:val="16"/>
        </w:rPr>
        <w:softHyphen/>
        <w:t>тельные номера 298 и 299) состоялась на верфи «Ансальдо» в пригороде Генуи Сестри-Поненте 8 февраля того же года. Первоначально им присвоили литерно-цифровые обозначения PS.8 и PS.26. Первым 19 августа 1934 года был спущен на воду PS.8, через месяц, 16 (по другим данным, 18) сентября - PS.26. Наблюдение за строительством и испытаниями сторожевых кораблей осуществляла специальная комиссия во главе с А.А. Давыдовым и бывшим командиром эсминца «Керчь» В.А. Кукель-Краевским.</w:t>
      </w:r>
    </w:p>
    <w:p w14:paraId="08B56591"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«Ансальдовская» технология построй</w:t>
      </w:r>
      <w:r w:rsidRPr="0044524F">
        <w:rPr>
          <w:rFonts w:ascii="Times New Roman" w:hAnsi="Times New Roman"/>
          <w:color w:val="000000" w:themeColor="text1"/>
          <w:sz w:val="16"/>
          <w:szCs w:val="16"/>
        </w:rPr>
        <w:softHyphen/>
        <w:t>ки предусматривала спуск кораблей на воду в высокой степени готовности, поэтому уже через месяц они смогли выйти в море. Ходовые испытания прошли успешно: скорость хода пре</w:t>
      </w:r>
      <w:r w:rsidRPr="0044524F">
        <w:rPr>
          <w:rFonts w:ascii="Times New Roman" w:hAnsi="Times New Roman"/>
          <w:color w:val="000000" w:themeColor="text1"/>
          <w:sz w:val="16"/>
          <w:szCs w:val="16"/>
        </w:rPr>
        <w:softHyphen/>
        <w:t>высила проектную более чем на узел (21,5-22 узла вместо 20,5 узлов). Выше оказалась и мощность ГЭУ - 5400 л.с. против 4800 л.с. по проекту. Правда, планировалось уже по при</w:t>
      </w:r>
      <w:r w:rsidRPr="0044524F">
        <w:rPr>
          <w:rFonts w:ascii="Times New Roman" w:hAnsi="Times New Roman"/>
          <w:color w:val="000000" w:themeColor="text1"/>
          <w:sz w:val="16"/>
          <w:szCs w:val="16"/>
        </w:rPr>
        <w:softHyphen/>
        <w:t>бытии в СССР.</w:t>
      </w:r>
    </w:p>
    <w:p w14:paraId="320611E4"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подписания приемных актов комиссией НКВД оба ПСКР 27 октября 1934 года покинули Италию и взяли курс на Дальний Восток. Переход по маршруту Генуя - Порт-Саид - Аден - Сингапур - Владивосток был осущест</w:t>
      </w:r>
      <w:r w:rsidRPr="0044524F">
        <w:rPr>
          <w:rFonts w:ascii="Times New Roman" w:hAnsi="Times New Roman"/>
          <w:color w:val="000000" w:themeColor="text1"/>
          <w:sz w:val="16"/>
          <w:szCs w:val="16"/>
        </w:rPr>
        <w:softHyphen/>
        <w:t>влен менее чем за 1,5 месяца. Корабли шли с итальянскими экипажами, и на бортах и трубах несли наименова</w:t>
      </w:r>
      <w:r w:rsidRPr="0044524F">
        <w:rPr>
          <w:rFonts w:ascii="Times New Roman" w:hAnsi="Times New Roman"/>
          <w:color w:val="000000" w:themeColor="text1"/>
          <w:sz w:val="16"/>
          <w:szCs w:val="16"/>
        </w:rPr>
        <w:softHyphen/>
        <w:t>ния PS.8 и PS.26. Без вооружения, с изящными надстройками и необычной широкой трубой они были похожи не столько на военные корабли, сколько на яхты или китобойные суда. Их истинное предназначение выдавали разве что уже смонтированные на носовой над</w:t>
      </w:r>
      <w:r w:rsidRPr="0044524F">
        <w:rPr>
          <w:rFonts w:ascii="Times New Roman" w:hAnsi="Times New Roman"/>
          <w:color w:val="000000" w:themeColor="text1"/>
          <w:sz w:val="16"/>
          <w:szCs w:val="16"/>
        </w:rPr>
        <w:softHyphen/>
        <w:t>стройке дальномеры.</w:t>
      </w:r>
    </w:p>
    <w:p w14:paraId="2DE923BB"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бухту Золотой Рог сторожевики вошли 11 декабря 1934 года. На сле</w:t>
      </w:r>
      <w:r w:rsidRPr="0044524F">
        <w:rPr>
          <w:rFonts w:ascii="Times New Roman" w:hAnsi="Times New Roman"/>
          <w:color w:val="000000" w:themeColor="text1"/>
          <w:sz w:val="16"/>
          <w:szCs w:val="16"/>
        </w:rPr>
        <w:softHyphen/>
        <w:t>дующий день они были официально приняты советской стороной. После установки вооружения и сдачи курсовых задач корабли в феврале 1935 года вошли в состав Владивостокского отря</w:t>
      </w:r>
      <w:r w:rsidRPr="0044524F">
        <w:rPr>
          <w:rFonts w:ascii="Times New Roman" w:hAnsi="Times New Roman"/>
          <w:color w:val="000000" w:themeColor="text1"/>
          <w:sz w:val="16"/>
          <w:szCs w:val="16"/>
        </w:rPr>
        <w:softHyphen/>
        <w:t>да флотилии пограничной охраны НКВД Дальневосточного края под новыми ли</w:t>
      </w:r>
      <w:r w:rsidRPr="0044524F">
        <w:rPr>
          <w:rFonts w:ascii="Times New Roman" w:hAnsi="Times New Roman"/>
          <w:color w:val="000000" w:themeColor="text1"/>
          <w:sz w:val="16"/>
          <w:szCs w:val="16"/>
        </w:rPr>
        <w:softHyphen/>
        <w:t>терно-цифровыми обозначениями ПСК-1 (бывший PS.26) и ПСК-2 (бывший PS.8). А в марте по ходатайству экипажей ко</w:t>
      </w:r>
      <w:r w:rsidRPr="0044524F">
        <w:rPr>
          <w:rFonts w:ascii="Times New Roman" w:hAnsi="Times New Roman"/>
          <w:color w:val="000000" w:themeColor="text1"/>
          <w:sz w:val="16"/>
          <w:szCs w:val="16"/>
        </w:rPr>
        <w:softHyphen/>
        <w:t>раблям присвоили наименования «Дзер</w:t>
      </w:r>
      <w:r w:rsidRPr="0044524F">
        <w:rPr>
          <w:rFonts w:ascii="Times New Roman" w:hAnsi="Times New Roman"/>
          <w:color w:val="000000" w:themeColor="text1"/>
          <w:sz w:val="16"/>
          <w:szCs w:val="16"/>
        </w:rPr>
        <w:softHyphen/>
        <w:t>жинский» и «Киров» соответственно (23383).</w:t>
      </w:r>
    </w:p>
    <w:p w14:paraId="640C96D8" w14:textId="77777777" w:rsidR="00914080" w:rsidRPr="0044524F" w:rsidRDefault="00914080" w:rsidP="009654CF">
      <w:pPr>
        <w:spacing w:after="0" w:line="240" w:lineRule="auto"/>
        <w:jc w:val="both"/>
        <w:rPr>
          <w:rFonts w:ascii="Times New Roman" w:hAnsi="Times New Roman"/>
          <w:color w:val="000000" w:themeColor="text1"/>
          <w:sz w:val="16"/>
          <w:szCs w:val="16"/>
        </w:rPr>
      </w:pPr>
    </w:p>
    <w:p w14:paraId="31D5AC4C" w14:textId="77777777" w:rsidR="009F6B03" w:rsidRPr="00142305" w:rsidRDefault="009F6B03" w:rsidP="009F6B0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1933 г. ОГПУ заключило договор с фирмой «Ансальдо» на строительство двух сторожевых кораблей для погранохраны Тихого океана. Эти корабли были заложены 8 февраля 1933 г. в Генуе под названиями PS-8 и PS-26. В марте 1935 г. им присвоили названия «Киров» и «Дзержинский».</w:t>
      </w:r>
    </w:p>
    <w:p w14:paraId="6D3FB1E1" w14:textId="77777777" w:rsidR="009F6B03" w:rsidRPr="00142305" w:rsidRDefault="009F6B03" w:rsidP="009F6B0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августа 1934 г. PS-8 был спущен на воду, а 16 сентября того же года спустили на воду и его «близнеца» – PS-26. По просьбе советской стороны сторожевые корабли числились… буксирами (25184).</w:t>
      </w:r>
    </w:p>
    <w:p w14:paraId="3F97EF83" w14:textId="77777777" w:rsidR="009F6B03" w:rsidRPr="00142305" w:rsidRDefault="009F6B03" w:rsidP="009F6B03">
      <w:pPr>
        <w:spacing w:after="0" w:line="240" w:lineRule="auto"/>
        <w:jc w:val="both"/>
        <w:rPr>
          <w:rFonts w:ascii="Times New Roman" w:hAnsi="Times New Roman"/>
          <w:color w:val="0070C0"/>
          <w:sz w:val="16"/>
          <w:szCs w:val="16"/>
        </w:rPr>
      </w:pPr>
    </w:p>
    <w:p w14:paraId="1B7B7188" w14:textId="77777777" w:rsidR="00103186"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69BF24A7"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4C536B1"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начало 1933 г. по книге [Маслов М. Первые истребители СССР – от И-1 до И-5. М., «Яуза», ЭКСМО, - 2012 г., стр. 60] самолетов И-4 в Московском ВО было 34, в Украинском ВО – 37, в Белорусском ВО – 117, итого 188, вероятно, остальные округа и военные летные школы не учтены.</w:t>
      </w:r>
    </w:p>
    <w:p w14:paraId="4CD01478"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самолеты И-3 и И-5 получила 2-я истребительная бригада, которая входила в состав харьковской Военной школы летчиков и летчиков-наблюдателей и предположительно базировалась на аэродроме Чугуев. Готовила летчиков истребительной авиации. В составе 2-й ИАБ самолеты этих типов оставались до 1937 г., когда она была перевооружена на самолеты И-5 (24887).</w:t>
      </w:r>
    </w:p>
    <w:p w14:paraId="65AE1649" w14:textId="77777777" w:rsidR="00914080" w:rsidRPr="0044524F" w:rsidRDefault="00914080" w:rsidP="009654CF">
      <w:pPr>
        <w:spacing w:after="0" w:line="240" w:lineRule="auto"/>
        <w:jc w:val="both"/>
        <w:rPr>
          <w:rFonts w:ascii="Times New Roman" w:hAnsi="Times New Roman"/>
          <w:color w:val="000000" w:themeColor="text1"/>
          <w:sz w:val="16"/>
          <w:szCs w:val="16"/>
        </w:rPr>
      </w:pPr>
    </w:p>
    <w:p w14:paraId="6299CE6D" w14:textId="3917095F"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управление ГВФ получило один из ранних тяжелых бомбардировщиков ТБ-3, который получил обозначение Г-2 (грузовой – второй), руководство гражданской авиации и всех четырех авиакомпаний мечтало о невиданном размахе перевозок и казалось что этот самолет идеален для этого. Первоначально</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ГВФ хотел получить в 1933 г. 100 ТБ-3</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том числе 94 — для использования на регулярных линиях). Но заявка министерства обороны на авиационную технику в том же 1933 г. в три раза превышала поставки предыдущего года. ГУАП вежливо разъяснило Управлению ГВФ, что военным нужно больше чем они могут дать, так что шиш вам. Тем не менее, уже по опыту использования единственного ТБ-3 и других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устаревших военных самолетов в ГВФ вскоре убедились, что они плохо подходят для «мирной жизни» </w:t>
      </w:r>
      <w:r w:rsidRPr="0044524F">
        <w:rPr>
          <w:rFonts w:ascii="Times New Roman" w:hAnsi="Times New Roman"/>
          <w:color w:val="000000" w:themeColor="text1"/>
          <w:sz w:val="16"/>
          <w:szCs w:val="16"/>
        </w:rPr>
        <w:noBreakHyphen/>
        <w:t xml:space="preserve"> дороги, неэкономичны, не обеспечивают необходимых условий для перевозки пассажиров. Однако для перевозки грузов Г-2 которые отличались большой грузоподъемностью и дальностью полета, хотя были недостаточно оборудованы навигационными средствами, ГВФ вполне удовлетворяли (24184).</w:t>
      </w:r>
    </w:p>
    <w:p w14:paraId="4191189E" w14:textId="77777777" w:rsidR="00914080" w:rsidRPr="0044524F" w:rsidRDefault="00914080" w:rsidP="009654CF">
      <w:pPr>
        <w:spacing w:after="0" w:line="240" w:lineRule="auto"/>
        <w:jc w:val="both"/>
        <w:rPr>
          <w:rFonts w:ascii="Times New Roman" w:hAnsi="Times New Roman"/>
          <w:color w:val="000000" w:themeColor="text1"/>
          <w:sz w:val="16"/>
          <w:szCs w:val="16"/>
        </w:rPr>
      </w:pPr>
    </w:p>
    <w:p w14:paraId="64EE07F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Р-1 насчитывалось еще 1297, но из них 705 находились в различных летных и технических школах. Большинство остальных входило в войсковую авиацию - в корпусные, артиллерийские и мотомеханизированные отдельные отряды. Практически все (61 из 62) Р-1 БМВ сосредоточили в Школе морских летчиков. В июне 1933 г. сдала МР-1 последняя строевая часть - 67-й речной отряд. В 1935 г. в ВВС остались только единичные машины, использовавшиеся как вспомогательные. Так, на весь Украинский военный округ остались четыре Р-1. Через год не стало и их (11923).</w:t>
      </w:r>
    </w:p>
    <w:p w14:paraId="1AB54F4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38AF0C8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на Р-5 начала переходить 207-я бригада в Новочеркасске. Переучивание экипажей там завершили к 25 июня.</w:t>
      </w:r>
    </w:p>
    <w:p w14:paraId="2E8006D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Еше в феврале 1933 г. в округах было примерно поровну Р-5 и P-I, а уже на I сентября Р-5 имелось 732, а Р-1 - 470. Правда, в учебных заведениях перевес старой техники оставался подавляющим: 703 против восьми. В сентябре 1933 г. завод № I рассылал самолеты 16 эскадрильям, 26 отдельным отрядам и четырем летным школам. К 1 декабря в ВВС насчитывалось уже 1898 Р-5 (12034).</w:t>
      </w:r>
    </w:p>
    <w:p w14:paraId="0093F6C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476EBD08"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количество И-5 в стро</w:t>
      </w:r>
      <w:r w:rsidRPr="0044524F">
        <w:rPr>
          <w:rFonts w:ascii="Times New Roman" w:hAnsi="Times New Roman"/>
          <w:color w:val="000000" w:themeColor="text1"/>
          <w:sz w:val="16"/>
          <w:szCs w:val="16"/>
        </w:rPr>
        <w:softHyphen/>
        <w:t>евых частях ВВС довели до 143 экземпляров, а еше через год, в 1934-м, И-5 стали основ</w:t>
      </w:r>
      <w:r w:rsidRPr="0044524F">
        <w:rPr>
          <w:rFonts w:ascii="Times New Roman" w:hAnsi="Times New Roman"/>
          <w:color w:val="000000" w:themeColor="text1"/>
          <w:sz w:val="16"/>
          <w:szCs w:val="16"/>
        </w:rPr>
        <w:softHyphen/>
        <w:t>ными истребителями в ВВС Красной Ар</w:t>
      </w:r>
      <w:r w:rsidRPr="0044524F">
        <w:rPr>
          <w:rFonts w:ascii="Times New Roman" w:hAnsi="Times New Roman"/>
          <w:color w:val="000000" w:themeColor="text1"/>
          <w:sz w:val="16"/>
          <w:szCs w:val="16"/>
        </w:rPr>
        <w:softHyphen/>
        <w:t>мии. Впрочем, так продолжалось всего два года, ибо уже в 1936 году в связи с внедрени</w:t>
      </w:r>
      <w:r w:rsidRPr="0044524F">
        <w:rPr>
          <w:rFonts w:ascii="Times New Roman" w:hAnsi="Times New Roman"/>
          <w:color w:val="000000" w:themeColor="text1"/>
          <w:sz w:val="16"/>
          <w:szCs w:val="16"/>
        </w:rPr>
        <w:softHyphen/>
        <w:t>ем в практику ВВС монопланов И-16 бипла</w:t>
      </w:r>
      <w:r w:rsidRPr="0044524F">
        <w:rPr>
          <w:rFonts w:ascii="Times New Roman" w:hAnsi="Times New Roman"/>
          <w:color w:val="000000" w:themeColor="text1"/>
          <w:sz w:val="16"/>
          <w:szCs w:val="16"/>
        </w:rPr>
        <w:softHyphen/>
        <w:t>ны И-5 отошли на вторые роли, а затем их начали постепенно списывать и передавать в учебные подразделения. Процесс не был стремительным. В 1938 году в строю насчи</w:t>
      </w:r>
      <w:r w:rsidRPr="0044524F">
        <w:rPr>
          <w:rFonts w:ascii="Times New Roman" w:hAnsi="Times New Roman"/>
          <w:color w:val="000000" w:themeColor="text1"/>
          <w:sz w:val="16"/>
          <w:szCs w:val="16"/>
        </w:rPr>
        <w:softHyphen/>
        <w:t>тывалось 374 И-5 и это количество поддер</w:t>
      </w:r>
      <w:r w:rsidRPr="0044524F">
        <w:rPr>
          <w:rFonts w:ascii="Times New Roman" w:hAnsi="Times New Roman"/>
          <w:color w:val="000000" w:themeColor="text1"/>
          <w:sz w:val="16"/>
          <w:szCs w:val="16"/>
        </w:rPr>
        <w:softHyphen/>
        <w:t>живалось вплоть до 1941 года (12295).</w:t>
      </w:r>
    </w:p>
    <w:p w14:paraId="7E56B119"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110999A9" w14:textId="77777777" w:rsidR="0078560A" w:rsidRPr="0044524F" w:rsidRDefault="007856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начало 1933 года в ВВС еще числилось 12 самолетов Фоккероы, которые вскоре разделили судьбу своих демобилизованных собратьев. Время голландских разведчиков в нашей авиации закончилось (21125).</w:t>
      </w:r>
    </w:p>
    <w:p w14:paraId="385892F4" w14:textId="77777777" w:rsidR="0078560A" w:rsidRPr="0044524F" w:rsidRDefault="0078560A" w:rsidP="009654CF">
      <w:pPr>
        <w:spacing w:after="0" w:line="240" w:lineRule="auto"/>
        <w:jc w:val="both"/>
        <w:rPr>
          <w:rFonts w:ascii="Times New Roman" w:hAnsi="Times New Roman"/>
          <w:color w:val="000000" w:themeColor="text1"/>
          <w:sz w:val="16"/>
          <w:szCs w:val="16"/>
        </w:rPr>
      </w:pPr>
    </w:p>
    <w:p w14:paraId="1CB09504"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начало 1933 года 34 истребителя И-3 стояли под Москвой, 37 — на Украине и 117 — в Белоруссии. После снятия с вооружения часть из них использовалась в качестве учебных.</w:t>
      </w:r>
    </w:p>
    <w:p w14:paraId="3D518CBA"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Истребитель И-3 до начала массового производства И-5 оставался основным истребителем ВВС, но благодаря мирному времени, так и не принял участия в боевых действиях. Главным недостатком истребителя, обусловившим его уход, стала чрезмерно тяжелая деревянная конструкция, существенно превосходившая по весу И-7 (на 200 кг) и И-5 (на 500 кг). Но в течении его серийного производства, И-3 конулись изменения довольно незначительные, в основном повышавшие его прочность и простоту изготовления. В боевых частях И-3 прослужил до 1934 года и ещё пару лет отдельные машины использовались в качестве учебно-тренировочных (24302).</w:t>
      </w:r>
    </w:p>
    <w:p w14:paraId="7C907FFA" w14:textId="77777777" w:rsidR="00914080" w:rsidRPr="0044524F" w:rsidRDefault="00914080" w:rsidP="009654CF">
      <w:pPr>
        <w:spacing w:after="0" w:line="240" w:lineRule="auto"/>
        <w:jc w:val="both"/>
        <w:rPr>
          <w:rFonts w:ascii="Times New Roman" w:hAnsi="Times New Roman"/>
          <w:color w:val="000000" w:themeColor="text1"/>
          <w:sz w:val="16"/>
          <w:szCs w:val="16"/>
        </w:rPr>
      </w:pPr>
    </w:p>
    <w:p w14:paraId="4E8A93CE"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для усиления дальнебомбардиро</w:t>
      </w:r>
      <w:r w:rsidRPr="0044524F">
        <w:rPr>
          <w:rFonts w:ascii="Times New Roman" w:hAnsi="Times New Roman"/>
          <w:color w:val="000000" w:themeColor="text1"/>
          <w:sz w:val="16"/>
          <w:szCs w:val="16"/>
        </w:rPr>
        <w:softHyphen/>
        <w:t>вочной авиации ОКДВА наметили переброску следу</w:t>
      </w:r>
      <w:r w:rsidRPr="0044524F">
        <w:rPr>
          <w:rFonts w:ascii="Times New Roman" w:hAnsi="Times New Roman"/>
          <w:color w:val="000000" w:themeColor="text1"/>
          <w:sz w:val="16"/>
          <w:szCs w:val="16"/>
        </w:rPr>
        <w:softHyphen/>
        <w:t>ющих соединений:</w:t>
      </w:r>
    </w:p>
    <w:p w14:paraId="35551496"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111-я тяжелобомбардировочная эскадрилья Широ</w:t>
      </w:r>
      <w:r w:rsidRPr="0044524F">
        <w:rPr>
          <w:rFonts w:ascii="Times New Roman" w:hAnsi="Times New Roman"/>
          <w:color w:val="000000" w:themeColor="text1"/>
          <w:sz w:val="16"/>
          <w:szCs w:val="16"/>
        </w:rPr>
        <w:softHyphen/>
        <w:t>кого (23-я тбаб, Монино), 112-я эскадрилья Шеста</w:t>
      </w:r>
      <w:r w:rsidRPr="0044524F">
        <w:rPr>
          <w:rFonts w:ascii="Times New Roman" w:hAnsi="Times New Roman"/>
          <w:color w:val="000000" w:themeColor="text1"/>
          <w:sz w:val="16"/>
          <w:szCs w:val="16"/>
        </w:rPr>
        <w:softHyphen/>
        <w:t>кова (11-я тбаб, Воронеж).</w:t>
      </w:r>
    </w:p>
    <w:p w14:paraId="1C0394AA"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мая 1933 г. состояние этих подразделений оценивалось следующим образом:</w:t>
      </w:r>
    </w:p>
    <w:tbl>
      <w:tblPr>
        <w:tblOverlap w:val="never"/>
        <w:tblW w:w="0" w:type="auto"/>
        <w:tblLayout w:type="fixed"/>
        <w:tblCellMar>
          <w:left w:w="10" w:type="dxa"/>
          <w:right w:w="10" w:type="dxa"/>
        </w:tblCellMar>
        <w:tblLook w:val="04A0" w:firstRow="1" w:lastRow="0" w:firstColumn="1" w:lastColumn="0" w:noHBand="0" w:noVBand="1"/>
      </w:tblPr>
      <w:tblGrid>
        <w:gridCol w:w="1445"/>
        <w:gridCol w:w="787"/>
        <w:gridCol w:w="758"/>
        <w:gridCol w:w="806"/>
        <w:gridCol w:w="557"/>
      </w:tblGrid>
      <w:tr w:rsidR="00914080" w:rsidRPr="0044524F" w14:paraId="252230FB" w14:textId="77777777" w:rsidTr="00E9136F">
        <w:trPr>
          <w:trHeight w:val="197"/>
        </w:trPr>
        <w:tc>
          <w:tcPr>
            <w:tcW w:w="1445" w:type="dxa"/>
            <w:tcBorders>
              <w:top w:val="single" w:sz="4" w:space="0" w:color="auto"/>
            </w:tcBorders>
            <w:vAlign w:val="bottom"/>
          </w:tcPr>
          <w:p w14:paraId="506AECE3"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 тбаэ</w:t>
            </w:r>
          </w:p>
        </w:tc>
        <w:tc>
          <w:tcPr>
            <w:tcW w:w="787" w:type="dxa"/>
            <w:tcBorders>
              <w:top w:val="single" w:sz="4" w:space="0" w:color="auto"/>
            </w:tcBorders>
            <w:vAlign w:val="bottom"/>
          </w:tcPr>
          <w:p w14:paraId="310EA3F9"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 тбаэ</w:t>
            </w:r>
          </w:p>
        </w:tc>
        <w:tc>
          <w:tcPr>
            <w:tcW w:w="758" w:type="dxa"/>
            <w:tcBorders>
              <w:top w:val="single" w:sz="4" w:space="0" w:color="auto"/>
            </w:tcBorders>
            <w:vAlign w:val="bottom"/>
          </w:tcPr>
          <w:p w14:paraId="19B54354"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тбаб</w:t>
            </w:r>
          </w:p>
        </w:tc>
        <w:tc>
          <w:tcPr>
            <w:tcW w:w="806" w:type="dxa"/>
            <w:tcBorders>
              <w:top w:val="single" w:sz="4" w:space="0" w:color="auto"/>
            </w:tcBorders>
            <w:vAlign w:val="bottom"/>
          </w:tcPr>
          <w:p w14:paraId="59E4A603"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тбаб</w:t>
            </w:r>
          </w:p>
        </w:tc>
        <w:tc>
          <w:tcPr>
            <w:tcW w:w="557" w:type="dxa"/>
            <w:tcBorders>
              <w:top w:val="single" w:sz="4" w:space="0" w:color="auto"/>
            </w:tcBorders>
            <w:vAlign w:val="bottom"/>
          </w:tcPr>
          <w:p w14:paraId="33C19948"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r>
      <w:tr w:rsidR="00914080" w:rsidRPr="0044524F" w14:paraId="794878B1" w14:textId="77777777" w:rsidTr="00E9136F">
        <w:trPr>
          <w:trHeight w:val="202"/>
        </w:trPr>
        <w:tc>
          <w:tcPr>
            <w:tcW w:w="1445" w:type="dxa"/>
          </w:tcPr>
          <w:p w14:paraId="2BBDCE26"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r w:rsidRPr="0044524F">
              <w:rPr>
                <w:rFonts w:ascii="Times New Roman" w:hAnsi="Times New Roman"/>
                <w:color w:val="000000" w:themeColor="text1"/>
                <w:sz w:val="16"/>
                <w:szCs w:val="16"/>
              </w:rPr>
              <w:tab/>
              <w:t>11</w:t>
            </w:r>
          </w:p>
        </w:tc>
        <w:tc>
          <w:tcPr>
            <w:tcW w:w="787" w:type="dxa"/>
          </w:tcPr>
          <w:p w14:paraId="2B9A4DCA"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758" w:type="dxa"/>
          </w:tcPr>
          <w:p w14:paraId="59A70AE2"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w:t>
            </w:r>
          </w:p>
        </w:tc>
        <w:tc>
          <w:tcPr>
            <w:tcW w:w="806" w:type="dxa"/>
          </w:tcPr>
          <w:p w14:paraId="78596B65"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57" w:type="dxa"/>
          </w:tcPr>
          <w:p w14:paraId="197A0618"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r>
      <w:tr w:rsidR="00914080" w:rsidRPr="0044524F" w14:paraId="2E1892FB" w14:textId="77777777" w:rsidTr="00E9136F">
        <w:trPr>
          <w:trHeight w:val="197"/>
        </w:trPr>
        <w:tc>
          <w:tcPr>
            <w:tcW w:w="1445" w:type="dxa"/>
            <w:vAlign w:val="bottom"/>
          </w:tcPr>
          <w:p w14:paraId="6C4B246C"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ТБ-1</w:t>
            </w:r>
            <w:r w:rsidRPr="0044524F">
              <w:rPr>
                <w:rFonts w:ascii="Times New Roman" w:hAnsi="Times New Roman"/>
                <w:color w:val="000000" w:themeColor="text1"/>
                <w:sz w:val="16"/>
                <w:szCs w:val="16"/>
              </w:rPr>
              <w:tab/>
              <w:t>--</w:t>
            </w:r>
          </w:p>
        </w:tc>
        <w:tc>
          <w:tcPr>
            <w:tcW w:w="787" w:type="dxa"/>
            <w:vAlign w:val="bottom"/>
          </w:tcPr>
          <w:p w14:paraId="19C12279"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8" w:type="dxa"/>
            <w:vAlign w:val="bottom"/>
          </w:tcPr>
          <w:p w14:paraId="21542A57"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806" w:type="dxa"/>
            <w:vAlign w:val="bottom"/>
          </w:tcPr>
          <w:p w14:paraId="34E90FCB"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557" w:type="dxa"/>
            <w:vAlign w:val="bottom"/>
          </w:tcPr>
          <w:p w14:paraId="6C0F9D75"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r>
      <w:tr w:rsidR="00914080" w:rsidRPr="0044524F" w14:paraId="449EB5F4" w14:textId="77777777" w:rsidTr="00E9136F">
        <w:trPr>
          <w:trHeight w:val="202"/>
        </w:trPr>
        <w:tc>
          <w:tcPr>
            <w:tcW w:w="1445" w:type="dxa"/>
            <w:vAlign w:val="bottom"/>
          </w:tcPr>
          <w:p w14:paraId="7FCB7C39"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r w:rsidRPr="0044524F">
              <w:rPr>
                <w:rFonts w:ascii="Times New Roman" w:hAnsi="Times New Roman"/>
                <w:color w:val="000000" w:themeColor="text1"/>
                <w:sz w:val="16"/>
                <w:szCs w:val="16"/>
              </w:rPr>
              <w:tab/>
              <w:t>--</w:t>
            </w:r>
          </w:p>
        </w:tc>
        <w:tc>
          <w:tcPr>
            <w:tcW w:w="787" w:type="dxa"/>
            <w:vAlign w:val="bottom"/>
          </w:tcPr>
          <w:p w14:paraId="3C699D21"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8" w:type="dxa"/>
            <w:vAlign w:val="bottom"/>
          </w:tcPr>
          <w:p w14:paraId="3ABDCFBC"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806" w:type="dxa"/>
            <w:vAlign w:val="bottom"/>
          </w:tcPr>
          <w:p w14:paraId="1ED7237C"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557" w:type="dxa"/>
            <w:vAlign w:val="bottom"/>
          </w:tcPr>
          <w:p w14:paraId="3E790AC3"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914080" w:rsidRPr="0044524F" w14:paraId="04E6CFDE" w14:textId="77777777" w:rsidTr="00E9136F">
        <w:trPr>
          <w:trHeight w:val="202"/>
        </w:trPr>
        <w:tc>
          <w:tcPr>
            <w:tcW w:w="1445" w:type="dxa"/>
            <w:vAlign w:val="bottom"/>
          </w:tcPr>
          <w:p w14:paraId="17B726B0"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r w:rsidRPr="0044524F">
              <w:rPr>
                <w:rFonts w:ascii="Times New Roman" w:hAnsi="Times New Roman"/>
                <w:color w:val="000000" w:themeColor="text1"/>
                <w:sz w:val="16"/>
                <w:szCs w:val="16"/>
              </w:rPr>
              <w:tab/>
              <w:t>--</w:t>
            </w:r>
          </w:p>
        </w:tc>
        <w:tc>
          <w:tcPr>
            <w:tcW w:w="787" w:type="dxa"/>
            <w:vAlign w:val="bottom"/>
          </w:tcPr>
          <w:p w14:paraId="6853E7A1"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8" w:type="dxa"/>
            <w:vAlign w:val="bottom"/>
          </w:tcPr>
          <w:p w14:paraId="75EA0671"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806" w:type="dxa"/>
            <w:vAlign w:val="bottom"/>
          </w:tcPr>
          <w:p w14:paraId="2E062007"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557" w:type="dxa"/>
            <w:vAlign w:val="bottom"/>
          </w:tcPr>
          <w:p w14:paraId="3C077380"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914080" w:rsidRPr="0044524F" w14:paraId="261AD2F3" w14:textId="77777777" w:rsidTr="00E9136F">
        <w:trPr>
          <w:trHeight w:val="394"/>
        </w:trPr>
        <w:tc>
          <w:tcPr>
            <w:tcW w:w="1445" w:type="dxa"/>
            <w:vAlign w:val="bottom"/>
          </w:tcPr>
          <w:p w14:paraId="25C12D60"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обученных</w:t>
            </w:r>
          </w:p>
          <w:p w14:paraId="7EF6786A"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экипажей 0</w:t>
            </w:r>
          </w:p>
        </w:tc>
        <w:tc>
          <w:tcPr>
            <w:tcW w:w="787" w:type="dxa"/>
            <w:vAlign w:val="bottom"/>
          </w:tcPr>
          <w:p w14:paraId="507671B8"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758" w:type="dxa"/>
            <w:vAlign w:val="bottom"/>
          </w:tcPr>
          <w:p w14:paraId="6AF57961"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806" w:type="dxa"/>
            <w:vAlign w:val="bottom"/>
          </w:tcPr>
          <w:p w14:paraId="663E80C3"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w:t>
            </w:r>
          </w:p>
        </w:tc>
        <w:tc>
          <w:tcPr>
            <w:tcW w:w="557" w:type="dxa"/>
            <w:vAlign w:val="bottom"/>
          </w:tcPr>
          <w:p w14:paraId="06DEA2DE"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w:t>
            </w:r>
          </w:p>
        </w:tc>
      </w:tr>
    </w:tbl>
    <w:p w14:paraId="6E1B85DF"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Обученных на ТБ-1.</w:t>
      </w:r>
    </w:p>
    <w:p w14:paraId="30EBB4CC" w14:textId="77777777" w:rsidR="00914080" w:rsidRPr="0044524F" w:rsidRDefault="009140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11-я тбад получала самолеты с завода уже в ходе подготовки к пе</w:t>
      </w:r>
      <w:r w:rsidRPr="0044524F">
        <w:rPr>
          <w:rFonts w:ascii="Times New Roman" w:hAnsi="Times New Roman"/>
          <w:color w:val="000000" w:themeColor="text1"/>
          <w:sz w:val="16"/>
          <w:szCs w:val="16"/>
        </w:rPr>
        <w:softHyphen/>
        <w:t>релету (23378).</w:t>
      </w:r>
    </w:p>
    <w:p w14:paraId="5D83C874" w14:textId="77777777" w:rsidR="00914080" w:rsidRPr="0044524F" w:rsidRDefault="00914080" w:rsidP="009654CF">
      <w:pPr>
        <w:spacing w:after="0" w:line="240" w:lineRule="auto"/>
        <w:jc w:val="both"/>
        <w:rPr>
          <w:rFonts w:ascii="Times New Roman" w:hAnsi="Times New Roman"/>
          <w:color w:val="000000" w:themeColor="text1"/>
          <w:sz w:val="16"/>
          <w:szCs w:val="16"/>
        </w:rPr>
      </w:pPr>
    </w:p>
    <w:p w14:paraId="5ED5058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Белорусском, Украинском, Московском и Приволжском ВО были сформированы авиабатальоны особого назначения - ВДВ (3013).</w:t>
      </w:r>
    </w:p>
    <w:p w14:paraId="2D4269E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67E5BCE6"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38CB8AA"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954E4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Сталин подписал секретную телеграмму: "Воспретить всем ведомствам, республикам и областям до опубликования официального издания Госплана СССР об итогах выполнения первой пятилетки издание каких-либо других итоговых работ, как сводных, так и отраслевых и районных с тем, что и после официального издания итогов пятилетки все работы по итогам могут издаваться лишь с разрешения Госплана СССР" (9492).</w:t>
      </w:r>
    </w:p>
    <w:p w14:paraId="12E9428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19AA0033"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9D65F1F"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00C03C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начале 1933 года между советским правительством и американской компанией Nitrogen был заключен договор на оказание технической помощи в синтезе аммиака, который включал в себя консультационное содействие в строительстве колонн синтеза и цехов катализаторов синтеза на Бобриковском и Березниковском комбинатах. Согласно договору, фирма должна была обучить советских специалистов самостоятельному производству катализаторной массы, а также дать "Химстрою" Наркомата тяжелой промышленности (по мысли советской стороны, в договоре это не было прописано) способ изготовления катализаторов "в условиях СССР". </w:t>
      </w:r>
    </w:p>
    <w:p w14:paraId="07F8AE4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к лету 1934 года оба советских комбината не сумели добиться изготовления катализатора синтеза по качеству соответствующего американским стандартам. В США катализатор давал 15-16% конвертирования, тогда как на советских предприятиях этот показатель составлял лишь 12-13%. По мнению представителей советской стороны (Комиссии советского контроля при СНК, Группы Химпромышленности Наркомата тяжелой промышленности) американская фирма допустила ошибки в конструкции колонн для Бобриковского комбината (они закупались в США и фирма согласилась произвести повторную закупку частично за свой счет) и цеха катализаторов на Березниковском комбинате (фирма отказалась признавать свою вину, аргументировав возникшие проблемы низким качеством советского сырья). Березниковский комбинат возражал против этого аргумента.</w:t>
      </w:r>
    </w:p>
    <w:p w14:paraId="6A427EE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Соответственно, был поставлен вопрос о досрочном расторжении договора, поскольку был задержан пуск Бобриковского комбината. Однако, по предложению Наркомата тяжелой промышленности фирма Nitrogen провела опыты с советским сырьем на своих установках в США и идея о расторжении контракта с ней была отложена. </w:t>
      </w:r>
    </w:p>
    <w:p w14:paraId="140A7A9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Контракт с фирмой Nitrogen действовал с июня 1933 года по август 1934 года включительно. За свои услуги фирма получила вознаграждение в размере 840 тыс. американских долларов, которые платились траншами по 60 тыс. долларов ежемесячно. Стоимость закупаемого в США и Европе оборудования в стоимость контракта не входила (11594).</w:t>
      </w:r>
    </w:p>
    <w:p w14:paraId="710CFE0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Источники: </w:t>
      </w:r>
    </w:p>
    <w:p w14:paraId="1A7ABF0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Письмо заместителя Управляющего делами СНК СССР Г.М. Леплевского главе НКИД М.М. Литвинову от 15 июля 1934 года (АВП РФ. Ф. 05. Оп. 14. П. 96. Д. 8. Л. 16);</w:t>
      </w:r>
    </w:p>
    <w:p w14:paraId="71FEE02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Письмо комиссии советского контроля в Совет труда и обороны о договоре с фирмой "Найтроджен" от 11 июля 1934 года (АВП РФ. Ф. 05. Оп. 14. П. 96. Д. 8. Л. 15);</w:t>
      </w:r>
    </w:p>
    <w:p w14:paraId="59EB3BD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Письмо заместителя наркома тяжелой промышленности М.М. Кагановича в Совет труда и обороны о договоре с фирмой "Найтроджен" от 11 июля 1934 года (АВП РФ. Ф. 05. Оп. 14. П. 96. Д. 8. Л. 13) (11594).</w:t>
      </w:r>
    </w:p>
    <w:p w14:paraId="3063C67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7EC21D91"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7F54F6A"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F48C92"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в Бельгии завершили постройку второго вертолета россий</w:t>
      </w:r>
      <w:r w:rsidRPr="0044524F">
        <w:rPr>
          <w:rFonts w:ascii="Times New Roman" w:hAnsi="Times New Roman"/>
          <w:color w:val="000000" w:themeColor="text1"/>
          <w:sz w:val="16"/>
          <w:szCs w:val="16"/>
        </w:rPr>
        <w:softHyphen/>
        <w:t>ского инженера Г. Флорина. Вертолет создавался для «Технической службы аэронавтики» Бельгии, эта страна суб</w:t>
      </w:r>
      <w:r w:rsidRPr="0044524F">
        <w:rPr>
          <w:rFonts w:ascii="Times New Roman" w:hAnsi="Times New Roman"/>
          <w:color w:val="000000" w:themeColor="text1"/>
          <w:sz w:val="16"/>
          <w:szCs w:val="16"/>
        </w:rPr>
        <w:softHyphen/>
        <w:t>сидировала разработку и постройку машины. Вертолет имел фюзеляж ферменной конструкции, на концах кото</w:t>
      </w:r>
      <w:r w:rsidRPr="0044524F">
        <w:rPr>
          <w:rFonts w:ascii="Times New Roman" w:hAnsi="Times New Roman"/>
          <w:color w:val="000000" w:themeColor="text1"/>
          <w:sz w:val="16"/>
          <w:szCs w:val="16"/>
        </w:rPr>
        <w:softHyphen/>
        <w:t>рого были установлены четырехлопас-тные несущие винты с развалом в сто</w:t>
      </w:r>
      <w:r w:rsidRPr="0044524F">
        <w:rPr>
          <w:rFonts w:ascii="Times New Roman" w:hAnsi="Times New Roman"/>
          <w:color w:val="000000" w:themeColor="text1"/>
          <w:sz w:val="16"/>
          <w:szCs w:val="16"/>
        </w:rPr>
        <w:softHyphen/>
        <w:t>роны. Они вращались в одном направ</w:t>
      </w:r>
      <w:r w:rsidRPr="0044524F">
        <w:rPr>
          <w:rFonts w:ascii="Times New Roman" w:hAnsi="Times New Roman"/>
          <w:color w:val="000000" w:themeColor="text1"/>
          <w:sz w:val="16"/>
          <w:szCs w:val="16"/>
        </w:rPr>
        <w:softHyphen/>
        <w:t>лении, и развал винтов позволял урав</w:t>
      </w:r>
      <w:r w:rsidRPr="0044524F">
        <w:rPr>
          <w:rFonts w:ascii="Times New Roman" w:hAnsi="Times New Roman"/>
          <w:color w:val="000000" w:themeColor="text1"/>
          <w:sz w:val="16"/>
          <w:szCs w:val="16"/>
        </w:rPr>
        <w:softHyphen/>
        <w:t>новесить их реактивный крутящий мо</w:t>
      </w:r>
      <w:r w:rsidRPr="0044524F">
        <w:rPr>
          <w:rFonts w:ascii="Times New Roman" w:hAnsi="Times New Roman"/>
          <w:color w:val="000000" w:themeColor="text1"/>
          <w:sz w:val="16"/>
          <w:szCs w:val="16"/>
        </w:rPr>
        <w:softHyphen/>
        <w:t>мент. Первый образец вертолета был оснащен двигателем водяного охлаж</w:t>
      </w:r>
      <w:r w:rsidRPr="0044524F">
        <w:rPr>
          <w:rFonts w:ascii="Times New Roman" w:hAnsi="Times New Roman"/>
          <w:color w:val="000000" w:themeColor="text1"/>
          <w:sz w:val="16"/>
          <w:szCs w:val="16"/>
        </w:rPr>
        <w:softHyphen/>
        <w:t>дения, на втором его заменили более мощным и легким двигателем воздуш</w:t>
      </w:r>
      <w:r w:rsidRPr="0044524F">
        <w:rPr>
          <w:rFonts w:ascii="Times New Roman" w:hAnsi="Times New Roman"/>
          <w:color w:val="000000" w:themeColor="text1"/>
          <w:sz w:val="16"/>
          <w:szCs w:val="16"/>
        </w:rPr>
        <w:softHyphen/>
        <w:t>ного охлаждения «Ренар» в 200 л.с. с редуктором и вентилятором. Несущие винты без горизонтальных шарниров имели специальные перекашивающи</w:t>
      </w:r>
      <w:r w:rsidRPr="0044524F">
        <w:rPr>
          <w:rFonts w:ascii="Times New Roman" w:hAnsi="Times New Roman"/>
          <w:color w:val="000000" w:themeColor="text1"/>
          <w:sz w:val="16"/>
          <w:szCs w:val="16"/>
        </w:rPr>
        <w:softHyphen/>
        <w:t xml:space="preserve">еся механизмы для общего или дифференциального изменения шага лопастей. Для посадки использовалось простейшее ферменное четырехопор-ное шасси </w:t>
      </w:r>
      <w:r w:rsidRPr="0044524F">
        <w:rPr>
          <w:rFonts w:ascii="Times New Roman" w:hAnsi="Times New Roman"/>
          <w:iCs/>
          <w:color w:val="000000" w:themeColor="text1"/>
          <w:sz w:val="16"/>
          <w:szCs w:val="16"/>
        </w:rPr>
        <w:t xml:space="preserve">с </w:t>
      </w:r>
      <w:r w:rsidRPr="0044524F">
        <w:rPr>
          <w:rFonts w:ascii="Times New Roman" w:hAnsi="Times New Roman"/>
          <w:color w:val="000000" w:themeColor="text1"/>
          <w:sz w:val="16"/>
          <w:szCs w:val="16"/>
        </w:rPr>
        <w:t>плоскими опорами вмес</w:t>
      </w:r>
      <w:r w:rsidRPr="0044524F">
        <w:rPr>
          <w:rFonts w:ascii="Times New Roman" w:hAnsi="Times New Roman"/>
          <w:color w:val="000000" w:themeColor="text1"/>
          <w:sz w:val="16"/>
          <w:szCs w:val="16"/>
        </w:rPr>
        <w:softHyphen/>
        <w:t>то колес, изготовленными из электро</w:t>
      </w:r>
      <w:r w:rsidRPr="0044524F">
        <w:rPr>
          <w:rFonts w:ascii="Times New Roman" w:hAnsi="Times New Roman"/>
          <w:color w:val="000000" w:themeColor="text1"/>
          <w:sz w:val="16"/>
          <w:szCs w:val="16"/>
        </w:rPr>
        <w:softHyphen/>
        <w:t>на (сплава алюминия с магнием).После длительных наземных испытаний, кото</w:t>
      </w:r>
      <w:r w:rsidRPr="0044524F">
        <w:rPr>
          <w:rFonts w:ascii="Times New Roman" w:hAnsi="Times New Roman"/>
          <w:color w:val="000000" w:themeColor="text1"/>
          <w:sz w:val="16"/>
          <w:szCs w:val="16"/>
        </w:rPr>
        <w:softHyphen/>
        <w:t>рые проводил пилот-инженер Роберт Коллин, последовали летные испыта</w:t>
      </w:r>
      <w:r w:rsidRPr="0044524F">
        <w:rPr>
          <w:rFonts w:ascii="Times New Roman" w:hAnsi="Times New Roman"/>
          <w:color w:val="000000" w:themeColor="text1"/>
          <w:sz w:val="16"/>
          <w:szCs w:val="16"/>
        </w:rPr>
        <w:softHyphen/>
        <w:t>ния (во время наземных и летных ис</w:t>
      </w:r>
      <w:r w:rsidRPr="0044524F">
        <w:rPr>
          <w:rFonts w:ascii="Times New Roman" w:hAnsi="Times New Roman"/>
          <w:color w:val="000000" w:themeColor="text1"/>
          <w:sz w:val="16"/>
          <w:szCs w:val="16"/>
        </w:rPr>
        <w:softHyphen/>
        <w:t>пытаний из-за многочисленных поло</w:t>
      </w:r>
      <w:r w:rsidRPr="0044524F">
        <w:rPr>
          <w:rFonts w:ascii="Times New Roman" w:hAnsi="Times New Roman"/>
          <w:color w:val="000000" w:themeColor="text1"/>
          <w:sz w:val="16"/>
          <w:szCs w:val="16"/>
        </w:rPr>
        <w:softHyphen/>
        <w:t>мок вертолет неоднократно ремон</w:t>
      </w:r>
      <w:r w:rsidRPr="0044524F">
        <w:rPr>
          <w:rFonts w:ascii="Times New Roman" w:hAnsi="Times New Roman"/>
          <w:color w:val="000000" w:themeColor="text1"/>
          <w:sz w:val="16"/>
          <w:szCs w:val="16"/>
        </w:rPr>
        <w:softHyphen/>
        <w:t>тировался). Первые свободные полеты состоялись 2 октября 1933 года: аппа</w:t>
      </w:r>
      <w:r w:rsidRPr="0044524F">
        <w:rPr>
          <w:rFonts w:ascii="Times New Roman" w:hAnsi="Times New Roman"/>
          <w:color w:val="000000" w:themeColor="text1"/>
          <w:sz w:val="16"/>
          <w:szCs w:val="16"/>
        </w:rPr>
        <w:softHyphen/>
        <w:t>рат поднялся на высоту 3,5 м и про</w:t>
      </w:r>
      <w:r w:rsidRPr="0044524F">
        <w:rPr>
          <w:rFonts w:ascii="Times New Roman" w:hAnsi="Times New Roman"/>
          <w:color w:val="000000" w:themeColor="text1"/>
          <w:sz w:val="16"/>
          <w:szCs w:val="16"/>
        </w:rPr>
        <w:softHyphen/>
        <w:t>держался в воздухе 2 мин 54 с. 19 октября вертолет поднялся на высоту 6 м и продержался в воздухе 6 мин 30 с. Рекордную продолжительность полета - 9 мин 47 с (превышавшую рекорд вертолета д'Асканио на 1 мин 13 с) Роберт Коллин показал 25 ок</w:t>
      </w:r>
      <w:r w:rsidRPr="0044524F">
        <w:rPr>
          <w:rFonts w:ascii="Times New Roman" w:hAnsi="Times New Roman"/>
          <w:color w:val="000000" w:themeColor="text1"/>
          <w:sz w:val="16"/>
          <w:szCs w:val="16"/>
        </w:rPr>
        <w:softHyphen/>
        <w:t>тября. Это достижение было зарегист</w:t>
      </w:r>
      <w:r w:rsidRPr="0044524F">
        <w:rPr>
          <w:rFonts w:ascii="Times New Roman" w:hAnsi="Times New Roman"/>
          <w:color w:val="000000" w:themeColor="text1"/>
          <w:sz w:val="16"/>
          <w:szCs w:val="16"/>
        </w:rPr>
        <w:softHyphen/>
        <w:t>рировано официальными представите</w:t>
      </w:r>
      <w:r w:rsidRPr="0044524F">
        <w:rPr>
          <w:rFonts w:ascii="Times New Roman" w:hAnsi="Times New Roman"/>
          <w:color w:val="000000" w:themeColor="text1"/>
          <w:sz w:val="16"/>
          <w:szCs w:val="16"/>
        </w:rPr>
        <w:softHyphen/>
        <w:t>лями «Аэроклуба», однако в качестве мирового рекорда не утверждено. Отметим попутно, что и этот рекорд значительно уступает рекорду, достигнутому на вертолете ЦАГИ 1 -ЭА (11401).</w:t>
      </w:r>
    </w:p>
    <w:p w14:paraId="78C188A3"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3A3DFFC" w14:textId="77777777" w:rsidR="002F34E6" w:rsidRPr="0044524F" w:rsidRDefault="002F34E6" w:rsidP="009654CF">
      <w:pPr>
        <w:pStyle w:val="rtejustify"/>
        <w:shd w:val="clear" w:color="auto" w:fill="FFFFFF"/>
        <w:spacing w:before="0" w:after="0"/>
        <w:rPr>
          <w:color w:val="000000" w:themeColor="text1"/>
          <w:sz w:val="16"/>
          <w:szCs w:val="16"/>
        </w:rPr>
      </w:pPr>
      <w:r w:rsidRPr="0044524F">
        <w:rPr>
          <w:color w:val="000000" w:themeColor="text1"/>
          <w:sz w:val="16"/>
          <w:szCs w:val="16"/>
        </w:rPr>
        <w:t>В начале 1933 года конструкторское бюро «Нортроп корпорейшн» приступило к проектированию военного варианта «Гаммы». В ней имелся определенный потенциал для переделки в самолет непосредственной поддержки. Цельнометаллическая машина обладала неплохой грузо</w:t>
      </w:r>
      <w:r w:rsidRPr="0044524F">
        <w:rPr>
          <w:color w:val="000000" w:themeColor="text1"/>
          <w:sz w:val="16"/>
          <w:szCs w:val="16"/>
        </w:rPr>
        <w:softHyphen/>
        <w:t>подъем</w:t>
      </w:r>
      <w:r w:rsidRPr="0044524F">
        <w:rPr>
          <w:color w:val="000000" w:themeColor="text1"/>
          <w:sz w:val="16"/>
          <w:szCs w:val="16"/>
        </w:rPr>
        <w:softHyphen/>
        <w:t>ностью, высокой живучестью (в первую очередь за счет многолонжеронного крыла), а по скорости ненамного уступала тогдашним американским истребителям.</w:t>
      </w:r>
    </w:p>
    <w:p w14:paraId="30D4894F" w14:textId="77777777" w:rsidR="002F34E6" w:rsidRPr="0044524F" w:rsidRDefault="002F34E6" w:rsidP="009654CF">
      <w:pPr>
        <w:pStyle w:val="rtejustify"/>
        <w:shd w:val="clear" w:color="auto" w:fill="FFFFFF"/>
        <w:spacing w:before="0" w:after="0"/>
        <w:rPr>
          <w:color w:val="000000" w:themeColor="text1"/>
          <w:sz w:val="16"/>
          <w:szCs w:val="16"/>
        </w:rPr>
      </w:pPr>
      <w:r w:rsidRPr="0044524F">
        <w:rPr>
          <w:color w:val="000000" w:themeColor="text1"/>
          <w:sz w:val="16"/>
          <w:szCs w:val="16"/>
        </w:rPr>
        <w:t>Основным недостатком «Гаммы» как боевого самолета являлся посредственный обзор из пилотской кабины. Поэтому для военного варианта сконструировали новый фюзеляж, у которого двухместную кабину, рассчитанную на пилота и стрелка-радиста, переместили вперед. Оба члена экипажа сидели под длинным прозрачным фонарем друг за другом, лицом вперед. Для обороны самолета сзади стрелок поворачивался вместе с сиденьем, сдвигал назад часть фонаря и переводил свой пулемет из походного в боевое положение. Вооружение запроектировали из пяти стволов: четыре 7,62-мм пулемета в крыле и еще один такой же у стрелка. Бомбы общим весом до 500 кг располагались на наружной подвеске. Мотор избрали типа R-1820-F2 (735 л.с.); он вращал двухлопастной винт (19168).</w:t>
      </w:r>
    </w:p>
    <w:p w14:paraId="64A46F78" w14:textId="77777777" w:rsidR="002F34E6" w:rsidRPr="0044524F" w:rsidRDefault="002F34E6" w:rsidP="009654CF">
      <w:pPr>
        <w:pStyle w:val="rtecenter"/>
        <w:shd w:val="clear" w:color="auto" w:fill="FFFFFF"/>
        <w:spacing w:before="0" w:after="0"/>
        <w:jc w:val="both"/>
        <w:textAlignment w:val="baseline"/>
        <w:rPr>
          <w:color w:val="000000" w:themeColor="text1"/>
          <w:sz w:val="16"/>
          <w:szCs w:val="16"/>
        </w:rPr>
      </w:pPr>
      <w:hyperlink r:id="rId55" w:history="1"/>
    </w:p>
    <w:p w14:paraId="13552B4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1933-го года отметились английские авиаторы. После трехлетнего перерыва, потраченного на доводки и проведение дополнительных испытаний и исследований, они выкатили на аэродром очередной Фэйри LR, небезосновательно надеясь изменить в свою пользу рекорд дальности полета, держащийся уже полтора года. Самолету, стартовавшему с полетном весом 7600 кг, предстояло преодолеть маршрут из Лондона до Капштадта (Кейптаун) в Южной Африке. В период 6-8 февраля 1933 г. летчики Гейфорд и Николэтс пролетели расстояние 8544 км, что соответствовало новому абсолютному мировому рекорду.</w:t>
      </w:r>
    </w:p>
    <w:p w14:paraId="456A371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4E10C1" w:rsidRPr="0044524F" w14:paraId="70ED2ADA" w14:textId="77777777">
        <w:tc>
          <w:tcPr>
            <w:tcW w:w="1145" w:type="dxa"/>
            <w:tcBorders>
              <w:top w:val="single" w:sz="12" w:space="0" w:color="auto"/>
            </w:tcBorders>
          </w:tcPr>
          <w:p w14:paraId="16CFF6E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w:t>
            </w:r>
          </w:p>
        </w:tc>
        <w:tc>
          <w:tcPr>
            <w:tcW w:w="1145" w:type="dxa"/>
            <w:tcBorders>
              <w:top w:val="single" w:sz="12" w:space="0" w:color="auto"/>
            </w:tcBorders>
          </w:tcPr>
          <w:p w14:paraId="433EA57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Двигатель(л.с.)</w:t>
            </w:r>
          </w:p>
        </w:tc>
        <w:tc>
          <w:tcPr>
            <w:tcW w:w="1145" w:type="dxa"/>
            <w:tcBorders>
              <w:top w:val="single" w:sz="12" w:space="0" w:color="auto"/>
            </w:tcBorders>
          </w:tcPr>
          <w:p w14:paraId="555EF25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(м)</w:t>
            </w:r>
          </w:p>
        </w:tc>
        <w:tc>
          <w:tcPr>
            <w:tcW w:w="1145" w:type="dxa"/>
            <w:tcBorders>
              <w:top w:val="single" w:sz="12" w:space="0" w:color="auto"/>
            </w:tcBorders>
          </w:tcPr>
          <w:p w14:paraId="3683D63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(мг)</w:t>
            </w:r>
          </w:p>
        </w:tc>
        <w:tc>
          <w:tcPr>
            <w:tcW w:w="1145" w:type="dxa"/>
            <w:tcBorders>
              <w:top w:val="single" w:sz="12" w:space="0" w:color="auto"/>
            </w:tcBorders>
          </w:tcPr>
          <w:p w14:paraId="7ABDB0F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Удлинение</w:t>
            </w:r>
          </w:p>
        </w:tc>
        <w:tc>
          <w:tcPr>
            <w:tcW w:w="1145" w:type="dxa"/>
            <w:tcBorders>
              <w:top w:val="single" w:sz="12" w:space="0" w:color="auto"/>
            </w:tcBorders>
          </w:tcPr>
          <w:p w14:paraId="5A3A6A9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(кг)</w:t>
            </w:r>
          </w:p>
        </w:tc>
        <w:tc>
          <w:tcPr>
            <w:tcW w:w="1145" w:type="dxa"/>
            <w:tcBorders>
              <w:top w:val="single" w:sz="12" w:space="0" w:color="auto"/>
            </w:tcBorders>
          </w:tcPr>
          <w:p w14:paraId="0E17F6B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(кг)</w:t>
            </w:r>
          </w:p>
        </w:tc>
        <w:tc>
          <w:tcPr>
            <w:tcW w:w="1145" w:type="dxa"/>
            <w:tcBorders>
              <w:top w:val="single" w:sz="12" w:space="0" w:color="auto"/>
            </w:tcBorders>
          </w:tcPr>
          <w:p w14:paraId="486014A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2906476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крыло (кг/м2)</w:t>
            </w:r>
          </w:p>
        </w:tc>
      </w:tr>
      <w:tr w:rsidR="004E10C1" w:rsidRPr="0044524F" w14:paraId="7B451F92" w14:textId="77777777">
        <w:tc>
          <w:tcPr>
            <w:tcW w:w="1145" w:type="dxa"/>
          </w:tcPr>
          <w:p w14:paraId="5591EC7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A2AB55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37C292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D43360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67D60B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2F558E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961584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683C5D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684A08E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A846681" w14:textId="77777777">
        <w:tc>
          <w:tcPr>
            <w:tcW w:w="1145" w:type="dxa"/>
          </w:tcPr>
          <w:p w14:paraId="25D91C1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Фэйри LR</w:t>
            </w:r>
          </w:p>
        </w:tc>
        <w:tc>
          <w:tcPr>
            <w:tcW w:w="1145" w:type="dxa"/>
          </w:tcPr>
          <w:p w14:paraId="1516DE7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Нэпир XI (530)</w:t>
            </w:r>
          </w:p>
        </w:tc>
        <w:tc>
          <w:tcPr>
            <w:tcW w:w="1145" w:type="dxa"/>
          </w:tcPr>
          <w:p w14:paraId="2960713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145" w:type="dxa"/>
          </w:tcPr>
          <w:p w14:paraId="73E40E7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82,0</w:t>
            </w:r>
          </w:p>
        </w:tc>
        <w:tc>
          <w:tcPr>
            <w:tcW w:w="1145" w:type="dxa"/>
          </w:tcPr>
          <w:p w14:paraId="0F0CC48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1145" w:type="dxa"/>
          </w:tcPr>
          <w:p w14:paraId="77DB3C5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145" w:type="dxa"/>
          </w:tcPr>
          <w:p w14:paraId="30A6A74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7800</w:t>
            </w:r>
          </w:p>
        </w:tc>
        <w:tc>
          <w:tcPr>
            <w:tcW w:w="1145" w:type="dxa"/>
          </w:tcPr>
          <w:p w14:paraId="046C285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4500</w:t>
            </w:r>
          </w:p>
        </w:tc>
        <w:tc>
          <w:tcPr>
            <w:tcW w:w="1145" w:type="dxa"/>
          </w:tcPr>
          <w:p w14:paraId="4454210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r>
      <w:tr w:rsidR="004E10C1" w:rsidRPr="0044524F" w14:paraId="04B5F7FD" w14:textId="77777777">
        <w:tc>
          <w:tcPr>
            <w:tcW w:w="1145" w:type="dxa"/>
          </w:tcPr>
          <w:p w14:paraId="745D55F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Савойя S-64</w:t>
            </w:r>
          </w:p>
        </w:tc>
        <w:tc>
          <w:tcPr>
            <w:tcW w:w="1145" w:type="dxa"/>
          </w:tcPr>
          <w:p w14:paraId="3BB74B7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Фиат А-22Т (620)</w:t>
            </w:r>
          </w:p>
        </w:tc>
        <w:tc>
          <w:tcPr>
            <w:tcW w:w="1145" w:type="dxa"/>
          </w:tcPr>
          <w:p w14:paraId="01D77F6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145" w:type="dxa"/>
          </w:tcPr>
          <w:p w14:paraId="43407F5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145" w:type="dxa"/>
          </w:tcPr>
          <w:p w14:paraId="1C6136E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7,75</w:t>
            </w:r>
          </w:p>
        </w:tc>
        <w:tc>
          <w:tcPr>
            <w:tcW w:w="1145" w:type="dxa"/>
          </w:tcPr>
          <w:p w14:paraId="5883D25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2670</w:t>
            </w:r>
          </w:p>
        </w:tc>
        <w:tc>
          <w:tcPr>
            <w:tcW w:w="1145" w:type="dxa"/>
          </w:tcPr>
          <w:p w14:paraId="5428798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7200</w:t>
            </w:r>
          </w:p>
        </w:tc>
        <w:tc>
          <w:tcPr>
            <w:tcW w:w="1145" w:type="dxa"/>
          </w:tcPr>
          <w:p w14:paraId="2FCB969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4550</w:t>
            </w:r>
          </w:p>
        </w:tc>
        <w:tc>
          <w:tcPr>
            <w:tcW w:w="1145" w:type="dxa"/>
          </w:tcPr>
          <w:p w14:paraId="305D41E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r>
      <w:tr w:rsidR="004E10C1" w:rsidRPr="0044524F" w14:paraId="24378C53" w14:textId="77777777">
        <w:tc>
          <w:tcPr>
            <w:tcW w:w="1145" w:type="dxa"/>
          </w:tcPr>
          <w:p w14:paraId="53F759C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Блерио-110</w:t>
            </w:r>
          </w:p>
        </w:tc>
        <w:tc>
          <w:tcPr>
            <w:tcW w:w="1145" w:type="dxa"/>
          </w:tcPr>
          <w:p w14:paraId="533D3D2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12МЬг (500)</w:t>
            </w:r>
          </w:p>
        </w:tc>
        <w:tc>
          <w:tcPr>
            <w:tcW w:w="1145" w:type="dxa"/>
          </w:tcPr>
          <w:p w14:paraId="6F60E58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w:t>
            </w:r>
          </w:p>
        </w:tc>
        <w:tc>
          <w:tcPr>
            <w:tcW w:w="1145" w:type="dxa"/>
          </w:tcPr>
          <w:p w14:paraId="7352416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81,0</w:t>
            </w:r>
          </w:p>
        </w:tc>
        <w:tc>
          <w:tcPr>
            <w:tcW w:w="1145" w:type="dxa"/>
          </w:tcPr>
          <w:p w14:paraId="35A3489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8,65</w:t>
            </w:r>
          </w:p>
        </w:tc>
        <w:tc>
          <w:tcPr>
            <w:tcW w:w="1145" w:type="dxa"/>
          </w:tcPr>
          <w:p w14:paraId="542553D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2700</w:t>
            </w:r>
          </w:p>
        </w:tc>
        <w:tc>
          <w:tcPr>
            <w:tcW w:w="1145" w:type="dxa"/>
          </w:tcPr>
          <w:p w14:paraId="370DA69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8500</w:t>
            </w:r>
          </w:p>
        </w:tc>
        <w:tc>
          <w:tcPr>
            <w:tcW w:w="1145" w:type="dxa"/>
          </w:tcPr>
          <w:p w14:paraId="21BD8A2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5500</w:t>
            </w:r>
          </w:p>
        </w:tc>
        <w:tc>
          <w:tcPr>
            <w:tcW w:w="1145" w:type="dxa"/>
          </w:tcPr>
          <w:p w14:paraId="7F6A186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104,5</w:t>
            </w:r>
          </w:p>
        </w:tc>
      </w:tr>
      <w:tr w:rsidR="004E10C1" w:rsidRPr="0044524F" w14:paraId="1870B78E" w14:textId="77777777">
        <w:tc>
          <w:tcPr>
            <w:tcW w:w="1145" w:type="dxa"/>
          </w:tcPr>
          <w:p w14:paraId="020F22B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Девуатин D.33</w:t>
            </w:r>
          </w:p>
        </w:tc>
        <w:tc>
          <w:tcPr>
            <w:tcW w:w="1145" w:type="dxa"/>
          </w:tcPr>
          <w:p w14:paraId="19B2D8A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12Nb (650)</w:t>
            </w:r>
          </w:p>
        </w:tc>
        <w:tc>
          <w:tcPr>
            <w:tcW w:w="1145" w:type="dxa"/>
          </w:tcPr>
          <w:p w14:paraId="7D2DB41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1145" w:type="dxa"/>
          </w:tcPr>
          <w:p w14:paraId="5D63B7A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78,0</w:t>
            </w:r>
          </w:p>
        </w:tc>
        <w:tc>
          <w:tcPr>
            <w:tcW w:w="1145" w:type="dxa"/>
          </w:tcPr>
          <w:p w14:paraId="5588F93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145" w:type="dxa"/>
          </w:tcPr>
          <w:p w14:paraId="02CD059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3100</w:t>
            </w:r>
          </w:p>
        </w:tc>
        <w:tc>
          <w:tcPr>
            <w:tcW w:w="1145" w:type="dxa"/>
          </w:tcPr>
          <w:p w14:paraId="0E5BAF6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9200</w:t>
            </w:r>
          </w:p>
        </w:tc>
        <w:tc>
          <w:tcPr>
            <w:tcW w:w="1145" w:type="dxa"/>
          </w:tcPr>
          <w:p w14:paraId="6E648B1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5600</w:t>
            </w:r>
          </w:p>
        </w:tc>
        <w:tc>
          <w:tcPr>
            <w:tcW w:w="1145" w:type="dxa"/>
          </w:tcPr>
          <w:p w14:paraId="2239A4B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117,5</w:t>
            </w:r>
          </w:p>
        </w:tc>
      </w:tr>
      <w:tr w:rsidR="004E10C1" w:rsidRPr="0044524F" w14:paraId="33CA397E" w14:textId="77777777">
        <w:tc>
          <w:tcPr>
            <w:tcW w:w="1145" w:type="dxa"/>
            <w:tcBorders>
              <w:bottom w:val="single" w:sz="12" w:space="0" w:color="auto"/>
            </w:tcBorders>
          </w:tcPr>
          <w:p w14:paraId="373E897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Бернар-80</w:t>
            </w:r>
          </w:p>
        </w:tc>
        <w:tc>
          <w:tcPr>
            <w:tcW w:w="1145" w:type="dxa"/>
            <w:tcBorders>
              <w:bottom w:val="single" w:sz="12" w:space="0" w:color="auto"/>
            </w:tcBorders>
          </w:tcPr>
          <w:p w14:paraId="752C93F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12Nb (650)</w:t>
            </w:r>
          </w:p>
        </w:tc>
        <w:tc>
          <w:tcPr>
            <w:tcW w:w="1145" w:type="dxa"/>
            <w:tcBorders>
              <w:bottom w:val="single" w:sz="12" w:space="0" w:color="auto"/>
            </w:tcBorders>
          </w:tcPr>
          <w:p w14:paraId="4A36311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1145" w:type="dxa"/>
            <w:tcBorders>
              <w:bottom w:val="single" w:sz="12" w:space="0" w:color="auto"/>
            </w:tcBorders>
          </w:tcPr>
          <w:p w14:paraId="1C072E6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1145" w:type="dxa"/>
            <w:tcBorders>
              <w:bottom w:val="single" w:sz="12" w:space="0" w:color="auto"/>
            </w:tcBorders>
          </w:tcPr>
          <w:p w14:paraId="5A8D065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1145" w:type="dxa"/>
            <w:tcBorders>
              <w:bottom w:val="single" w:sz="12" w:space="0" w:color="auto"/>
            </w:tcBorders>
          </w:tcPr>
          <w:p w14:paraId="6F38B29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3100</w:t>
            </w:r>
          </w:p>
        </w:tc>
        <w:tc>
          <w:tcPr>
            <w:tcW w:w="1145" w:type="dxa"/>
            <w:tcBorders>
              <w:bottom w:val="single" w:sz="12" w:space="0" w:color="auto"/>
            </w:tcBorders>
          </w:tcPr>
          <w:p w14:paraId="6D27F7C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8625</w:t>
            </w:r>
          </w:p>
        </w:tc>
        <w:tc>
          <w:tcPr>
            <w:tcW w:w="1145" w:type="dxa"/>
            <w:tcBorders>
              <w:bottom w:val="single" w:sz="12" w:space="0" w:color="auto"/>
            </w:tcBorders>
          </w:tcPr>
          <w:p w14:paraId="315ABFC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145" w:type="dxa"/>
            <w:tcBorders>
              <w:bottom w:val="single" w:sz="12" w:space="0" w:color="auto"/>
            </w:tcBorders>
          </w:tcPr>
          <w:p w14:paraId="017D023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123,0</w:t>
            </w:r>
          </w:p>
        </w:tc>
      </w:tr>
    </w:tbl>
    <w:p w14:paraId="700C5DE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257A748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280FBBF5" w14:textId="77777777" w:rsidR="007D532D" w:rsidRPr="0044524F" w:rsidRDefault="007D532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года конструкторское бюро «Нортроп корпорейшн» приступило к проектированию военного варианта «Гаммы». В ней имелся определенный потен</w:t>
      </w:r>
      <w:r w:rsidRPr="0044524F">
        <w:rPr>
          <w:rFonts w:ascii="Times New Roman" w:hAnsi="Times New Roman"/>
          <w:color w:val="000000" w:themeColor="text1"/>
          <w:sz w:val="16"/>
          <w:szCs w:val="16"/>
        </w:rPr>
        <w:softHyphen/>
        <w:t>циал для переделки в самолет непосредственной под</w:t>
      </w:r>
      <w:r w:rsidRPr="0044524F">
        <w:rPr>
          <w:rFonts w:ascii="Times New Roman" w:hAnsi="Times New Roman"/>
          <w:color w:val="000000" w:themeColor="text1"/>
          <w:sz w:val="16"/>
          <w:szCs w:val="16"/>
        </w:rPr>
        <w:softHyphen/>
        <w:t>держки. Цельнометаллическая машина обладала непло</w:t>
      </w:r>
      <w:r w:rsidRPr="0044524F">
        <w:rPr>
          <w:rFonts w:ascii="Times New Roman" w:hAnsi="Times New Roman"/>
          <w:color w:val="000000" w:themeColor="text1"/>
          <w:sz w:val="16"/>
          <w:szCs w:val="16"/>
        </w:rPr>
        <w:softHyphen/>
        <w:t>хой грузоподъемностью, высокой живучестью (в первую очередь, за счет многолонжеронного крыла), а по ско</w:t>
      </w:r>
      <w:r w:rsidRPr="0044524F">
        <w:rPr>
          <w:rFonts w:ascii="Times New Roman" w:hAnsi="Times New Roman"/>
          <w:color w:val="000000" w:themeColor="text1"/>
          <w:sz w:val="16"/>
          <w:szCs w:val="16"/>
        </w:rPr>
        <w:softHyphen/>
        <w:t>рости ненамного уступала тогдашним американским ис</w:t>
      </w:r>
      <w:r w:rsidRPr="0044524F">
        <w:rPr>
          <w:rFonts w:ascii="Times New Roman" w:hAnsi="Times New Roman"/>
          <w:color w:val="000000" w:themeColor="text1"/>
          <w:sz w:val="16"/>
          <w:szCs w:val="16"/>
        </w:rPr>
        <w:softHyphen/>
        <w:t>требителям.</w:t>
      </w:r>
    </w:p>
    <w:p w14:paraId="7EAA7520" w14:textId="77777777" w:rsidR="007D532D" w:rsidRPr="0044524F" w:rsidRDefault="007D532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 недостатком «Гаммы» как боевого самоле</w:t>
      </w:r>
      <w:r w:rsidRPr="0044524F">
        <w:rPr>
          <w:rFonts w:ascii="Times New Roman" w:hAnsi="Times New Roman"/>
          <w:color w:val="000000" w:themeColor="text1"/>
          <w:sz w:val="16"/>
          <w:szCs w:val="16"/>
        </w:rPr>
        <w:softHyphen/>
        <w:t>та являлся посредственный обзор из пилотской кабины. Поэтому для военного варианта сконструировали новый фюзеляж, у которого двухместную кабину, рассчитан</w:t>
      </w:r>
      <w:r w:rsidRPr="0044524F">
        <w:rPr>
          <w:rFonts w:ascii="Times New Roman" w:hAnsi="Times New Roman"/>
          <w:color w:val="000000" w:themeColor="text1"/>
          <w:sz w:val="16"/>
          <w:szCs w:val="16"/>
        </w:rPr>
        <w:softHyphen/>
        <w:t>ную на пилота и стрелка-радиста, переместили вперед. Оба члена экипажа сидели под длинным прозрачным фонарем друг за другом, лицом вперед. Для обороны са</w:t>
      </w:r>
      <w:r w:rsidRPr="0044524F">
        <w:rPr>
          <w:rFonts w:ascii="Times New Roman" w:hAnsi="Times New Roman"/>
          <w:color w:val="000000" w:themeColor="text1"/>
          <w:sz w:val="16"/>
          <w:szCs w:val="16"/>
        </w:rPr>
        <w:softHyphen/>
        <w:t>молета сзади стрелок поворачивался вместе с сиденьем, сдвигал назад часть фонаря и переводил свой пулемет из походного в боевое положение. Вооружение запроекти</w:t>
      </w:r>
      <w:r w:rsidRPr="0044524F">
        <w:rPr>
          <w:rFonts w:ascii="Times New Roman" w:hAnsi="Times New Roman"/>
          <w:color w:val="000000" w:themeColor="text1"/>
          <w:sz w:val="16"/>
          <w:szCs w:val="16"/>
        </w:rPr>
        <w:softHyphen/>
        <w:t>ровали из пяти стволов: четыре 7,62-мм пулемета в крыльях и еще один такой же у стрелка. Бомбы общим весом до 500 кг располагались на наружной подвеске. Мотор избрали типа R-1820-F2 (735 л.с.); он вращал двухлопастной винт.</w:t>
      </w:r>
    </w:p>
    <w:p w14:paraId="6C5C45A2" w14:textId="77777777" w:rsidR="007D532D" w:rsidRPr="0044524F" w:rsidRDefault="007D532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образец военной «Гаммы» 2С закончили в мае 1933 года. В июле по договоренности с Нортропом эту машину приняли на испытания на авиабазу Райтфилд, где располагался центр Управления материаль</w:t>
      </w:r>
      <w:r w:rsidRPr="0044524F">
        <w:rPr>
          <w:rFonts w:ascii="Times New Roman" w:hAnsi="Times New Roman"/>
          <w:color w:val="000000" w:themeColor="text1"/>
          <w:sz w:val="16"/>
          <w:szCs w:val="16"/>
        </w:rPr>
        <w:softHyphen/>
        <w:t>ной части Авиационного корпуса армии США. Военные одобрительно отнеслись к новому штурмовику, по лет</w:t>
      </w:r>
      <w:r w:rsidRPr="0044524F">
        <w:rPr>
          <w:rFonts w:ascii="Times New Roman" w:hAnsi="Times New Roman"/>
          <w:color w:val="000000" w:themeColor="text1"/>
          <w:sz w:val="16"/>
          <w:szCs w:val="16"/>
        </w:rPr>
        <w:softHyphen/>
        <w:t>ным данным существенно превосходившему состояв</w:t>
      </w:r>
      <w:r w:rsidRPr="0044524F">
        <w:rPr>
          <w:rFonts w:ascii="Times New Roman" w:hAnsi="Times New Roman"/>
          <w:color w:val="000000" w:themeColor="text1"/>
          <w:sz w:val="16"/>
          <w:szCs w:val="16"/>
        </w:rPr>
        <w:softHyphen/>
        <w:t>ший на вооружении самолет «Шрайк», однако не купи</w:t>
      </w:r>
      <w:r w:rsidRPr="0044524F">
        <w:rPr>
          <w:rFonts w:ascii="Times New Roman" w:hAnsi="Times New Roman"/>
          <w:color w:val="000000" w:themeColor="text1"/>
          <w:sz w:val="16"/>
          <w:szCs w:val="16"/>
        </w:rPr>
        <w:softHyphen/>
        <w:t>ли его и высказали ряд замечаний.</w:t>
      </w:r>
    </w:p>
    <w:p w14:paraId="2AE83F2E" w14:textId="77777777" w:rsidR="007D532D" w:rsidRPr="0044524F" w:rsidRDefault="007D532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Китайцы оказались менее привередливы. Они заказали 24 самолета модели 2Е, являвшейся практически копией 2С с небольшими изменениями. Основным внешним отличием была полуубирающаяся «ванна» для стрелка-радиста, выполняв</w:t>
      </w:r>
      <w:r w:rsidRPr="0044524F">
        <w:rPr>
          <w:rFonts w:ascii="Times New Roman" w:hAnsi="Times New Roman"/>
          <w:color w:val="000000" w:themeColor="text1"/>
          <w:sz w:val="16"/>
          <w:szCs w:val="16"/>
        </w:rPr>
        <w:softHyphen/>
        <w:t xml:space="preserve">шего также функции бомбардира. Она обеспечивала ему обзор вниз-вперед при прицеливании. В Китай поставлялись варианты 2Е, 2ЕС и 2ED (23545). </w:t>
      </w:r>
    </w:p>
    <w:p w14:paraId="2ACC8DC5" w14:textId="77777777" w:rsidR="007D532D" w:rsidRPr="0044524F" w:rsidRDefault="007D532D" w:rsidP="009654CF">
      <w:pPr>
        <w:spacing w:after="0" w:line="240" w:lineRule="auto"/>
        <w:jc w:val="both"/>
        <w:rPr>
          <w:rFonts w:ascii="Times New Roman" w:hAnsi="Times New Roman"/>
          <w:color w:val="000000" w:themeColor="text1"/>
          <w:sz w:val="16"/>
          <w:szCs w:val="16"/>
        </w:rPr>
      </w:pPr>
    </w:p>
    <w:p w14:paraId="0467920A" w14:textId="77777777" w:rsidR="007D532D" w:rsidRPr="0044524F" w:rsidRDefault="007D532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авиакомпании Люфтганза был поставлен последний предсерийный Ju-52/3m являлся Ju-52/3m се (Werk Nr. 4019). Самолет получил собственное имя «JOACHIM VON SCHROEDER» и регистрационный номер D-2486, в 1934 г. измененный на D-AFIR. В левом борту фюзеляжа машины сразу за дверью в конце фюзеляжа имелся небольшой круглый иллюминатор. Эти иллюминаторы стали стандартными для всех гражданских Ju-52/3m, но на военных машинах их не было. Все три двигателя Ju-52/3m се (Werk Nr. 4019) имели кольца Тауненда. Фирма Юнкерс построила в 1932–1933 г.г. 12 самолетов Ju-52/3m се (24210).</w:t>
      </w:r>
    </w:p>
    <w:p w14:paraId="145A4A73" w14:textId="77777777" w:rsidR="007D532D" w:rsidRPr="0044524F" w:rsidRDefault="007D532D" w:rsidP="009654CF">
      <w:pPr>
        <w:spacing w:after="0" w:line="240" w:lineRule="auto"/>
        <w:jc w:val="both"/>
        <w:rPr>
          <w:rFonts w:ascii="Times New Roman" w:hAnsi="Times New Roman"/>
          <w:color w:val="000000" w:themeColor="text1"/>
          <w:sz w:val="16"/>
          <w:szCs w:val="16"/>
        </w:rPr>
      </w:pPr>
    </w:p>
    <w:p w14:paraId="66E6D5D2" w14:textId="77777777" w:rsidR="007D532D" w:rsidRPr="0044524F" w:rsidRDefault="007D532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1933 г. фирма Юнкерс внесла в конструкцию самолета Ju-52/3m се доработки по опыту эксплуатации. В результате получился самолет Ju-52/3m fe. У него было улучшено остекление кабины, на средний мотор установлено кольцо Тауненда, а крайние двигатели закрыты капотами NACA. На большинстве Ju-52/3m fe на фюзеляже сразу за кабиной устанавливались радиоантенны. Отверстия для вентиляции кабины в верхней задней части фюзеляжа стали стандартными для всех последующих Ju-52/3m. Всего было построено 15 самолетов Ju-52/3m fe, большинство из которых получила авиакомпания Дойче Люфтганза (24200).</w:t>
      </w:r>
    </w:p>
    <w:p w14:paraId="40A5D466" w14:textId="77777777" w:rsidR="007D532D" w:rsidRPr="0044524F" w:rsidRDefault="007D532D" w:rsidP="009654CF">
      <w:pPr>
        <w:spacing w:after="0" w:line="240" w:lineRule="auto"/>
        <w:jc w:val="both"/>
        <w:rPr>
          <w:rFonts w:ascii="Times New Roman" w:hAnsi="Times New Roman"/>
          <w:color w:val="000000" w:themeColor="text1"/>
          <w:sz w:val="16"/>
          <w:szCs w:val="16"/>
        </w:rPr>
      </w:pPr>
    </w:p>
    <w:p w14:paraId="34D2113E" w14:textId="77777777" w:rsidR="007D532D" w:rsidRPr="0044524F" w:rsidRDefault="007D532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начала 1933 г. завод в Дессау перешел на выпуск модификации Ju 52/3mfe. Главной ее особенностью стала ликвидация разъема фюзеляжа за пассажирским салоном. Изменили остекление пилотской кабины и выхлопные коллекторы, закрыли обтекателями каплевидной формы основные колеса и ввели удлиненные капоты NACA для боковых двигателей. Все машины комплектовались моторами BMW «Хорнет» А-2. В салоне стояли кресла для 17 пассажиров. Всего построили 15 таких самолетов, большинство из которых досталось DLH. Одну машину выпустили как летающую лабораторию для института DVS под обозначением Ju 52/3mf1е.</w:t>
      </w:r>
    </w:p>
    <w:p w14:paraId="79EC363C" w14:textId="77777777" w:rsidR="007D532D" w:rsidRPr="0044524F" w:rsidRDefault="007D532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Самой массовой гражданской модификацией стал тип Ju 52/3mge, появившийся в 1934 г. Многочисленные мелкие усиления планера подняли взлетный вес до 9500 кг. Ранние экземпляры этого варианта внешне не отличались от Ju 52/3mfe, но позднее на них ввели радиопеленгатор, хвостовое колесо вместо костыля, заменили моторы «Хорнет» А на BMW 132А в 690 л.с., являвшиеся развитием того же «Хорнета». Последние серии выпускались как g1е (с двигателями BMW 132Е) и g2е (с BMW 132А-3). Такие машины строились как для «Люфтганзы», так и на экспорт. Их поставляли в Южную Африку, Бразилию, Финляндию, Норвегию и Уругвай (24199).</w:t>
      </w:r>
    </w:p>
    <w:p w14:paraId="75E99D45" w14:textId="77777777" w:rsidR="007D532D" w:rsidRPr="0044524F" w:rsidRDefault="007D532D" w:rsidP="009654CF">
      <w:pPr>
        <w:spacing w:after="0" w:line="240" w:lineRule="auto"/>
        <w:jc w:val="both"/>
        <w:rPr>
          <w:rFonts w:ascii="Times New Roman" w:hAnsi="Times New Roman"/>
          <w:color w:val="000000" w:themeColor="text1"/>
          <w:sz w:val="16"/>
          <w:szCs w:val="16"/>
        </w:rPr>
      </w:pPr>
    </w:p>
    <w:p w14:paraId="7249BF2F" w14:textId="77777777" w:rsidR="00D4328B" w:rsidRPr="0044524F" w:rsidRDefault="00D4328B"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2385F85" w14:textId="77777777" w:rsidR="00D4328B" w:rsidRPr="0044524F" w:rsidRDefault="00D4328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6395A1B" w14:textId="77777777" w:rsidR="00D4328B" w:rsidRPr="0044524F" w:rsidRDefault="00D4328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Зимой 1933 г. «СССР В-1» в ясный солнечный день вылетел в тренировочный полёт. При воз</w:t>
      </w:r>
      <w:r w:rsidRPr="0044524F">
        <w:rPr>
          <w:rFonts w:ascii="Times New Roman" w:hAnsi="Times New Roman"/>
          <w:color w:val="000000" w:themeColor="text1"/>
          <w:sz w:val="16"/>
          <w:szCs w:val="16"/>
        </w:rPr>
        <w:softHyphen/>
        <w:t>вращении на базу после захода солнца пилот по</w:t>
      </w:r>
      <w:r w:rsidRPr="0044524F">
        <w:rPr>
          <w:rFonts w:ascii="Times New Roman" w:hAnsi="Times New Roman"/>
          <w:color w:val="000000" w:themeColor="text1"/>
          <w:sz w:val="16"/>
          <w:szCs w:val="16"/>
        </w:rPr>
        <w:softHyphen/>
        <w:t>чувствовал, что корабль перетяжелён. Сброс все</w:t>
      </w:r>
      <w:r w:rsidRPr="0044524F">
        <w:rPr>
          <w:rFonts w:ascii="Times New Roman" w:hAnsi="Times New Roman"/>
          <w:color w:val="000000" w:themeColor="text1"/>
          <w:sz w:val="16"/>
          <w:szCs w:val="16"/>
        </w:rPr>
        <w:softHyphen/>
        <w:t>го имевшегося на борту балласта не уравновесил дирижабль, поэтому пилот выполнил посадку на снежный покров динамическим скользящим уда</w:t>
      </w:r>
      <w:r w:rsidRPr="0044524F">
        <w:rPr>
          <w:rFonts w:ascii="Times New Roman" w:hAnsi="Times New Roman"/>
          <w:color w:val="000000" w:themeColor="text1"/>
          <w:sz w:val="16"/>
          <w:szCs w:val="16"/>
        </w:rPr>
        <w:softHyphen/>
        <w:t>ром. «СССР В-1» не получил повреждений лишь благодаря искусству пилота, который, однако, сам создал предпосылки к аварийной ситуации, не учтя «ложную» подъёмную силу, вызванную инсоляцией газа в оболочке.</w:t>
      </w:r>
    </w:p>
    <w:p w14:paraId="21428C09" w14:textId="77777777" w:rsidR="00D4328B" w:rsidRPr="0044524F" w:rsidRDefault="00D4328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«СССР В-1» совершил экспедицию в Севастополь. Полёт состоялся из г. Славянска, где дирижабль находился разоружённым после опытов с заменой моторов. 6 августа «СССР В-1» вылетел прямо на Мелитополь, что послужило хорошей практикой для экипажа, ранее ориенти</w:t>
      </w:r>
      <w:r w:rsidRPr="0044524F">
        <w:rPr>
          <w:rFonts w:ascii="Times New Roman" w:hAnsi="Times New Roman"/>
          <w:color w:val="000000" w:themeColor="text1"/>
          <w:sz w:val="16"/>
          <w:szCs w:val="16"/>
        </w:rPr>
        <w:softHyphen/>
        <w:t>ровавшегося по линиям железных дорог и рекам. При порывистом ветре дирижабль за 5 ч 10 мин прошёл 725 км. В Мелитополе дирижабль встре</w:t>
      </w:r>
      <w:r w:rsidRPr="0044524F">
        <w:rPr>
          <w:rFonts w:ascii="Times New Roman" w:hAnsi="Times New Roman"/>
          <w:color w:val="000000" w:themeColor="text1"/>
          <w:sz w:val="16"/>
          <w:szCs w:val="16"/>
        </w:rPr>
        <w:softHyphen/>
        <w:t>тила наземная команда. Однако горючего и сма</w:t>
      </w:r>
      <w:r w:rsidRPr="0044524F">
        <w:rPr>
          <w:rFonts w:ascii="Times New Roman" w:hAnsi="Times New Roman"/>
          <w:color w:val="000000" w:themeColor="text1"/>
          <w:sz w:val="16"/>
          <w:szCs w:val="16"/>
        </w:rPr>
        <w:softHyphen/>
        <w:t>зочных материалов для дирижабля на месте посадки не оказалось, и экипаж сам доставал ав</w:t>
      </w:r>
      <w:r w:rsidRPr="0044524F">
        <w:rPr>
          <w:rFonts w:ascii="Times New Roman" w:hAnsi="Times New Roman"/>
          <w:color w:val="000000" w:themeColor="text1"/>
          <w:sz w:val="16"/>
          <w:szCs w:val="16"/>
        </w:rPr>
        <w:softHyphen/>
        <w:t>томобильный бензин в местных организациях. Вечером того же дня, пройдя 295 км, «СССР В-1» прибыл на временную базу под Севастополем.</w:t>
      </w:r>
    </w:p>
    <w:p w14:paraId="11030106" w14:textId="77777777" w:rsidR="00D4328B" w:rsidRPr="0044524F" w:rsidRDefault="00D4328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Севастополя «СССР В-1» выполнил ряд по</w:t>
      </w:r>
      <w:r w:rsidRPr="0044524F">
        <w:rPr>
          <w:rFonts w:ascii="Times New Roman" w:hAnsi="Times New Roman"/>
          <w:color w:val="000000" w:themeColor="text1"/>
          <w:sz w:val="16"/>
          <w:szCs w:val="16"/>
        </w:rPr>
        <w:softHyphen/>
        <w:t>лётов над морем через прибрежные горы высо</w:t>
      </w:r>
      <w:r w:rsidRPr="0044524F">
        <w:rPr>
          <w:rFonts w:ascii="Times New Roman" w:hAnsi="Times New Roman"/>
          <w:color w:val="000000" w:themeColor="text1"/>
          <w:sz w:val="16"/>
          <w:szCs w:val="16"/>
        </w:rPr>
        <w:softHyphen/>
        <w:t>тою в 900 м, что дало опыт пилотирования над гористой местностью. В интересах Морских сил Чёрного моря корабль совершил шесть полётов общей продолжительностью 23 часа, в том чис</w:t>
      </w:r>
      <w:r w:rsidRPr="0044524F">
        <w:rPr>
          <w:rFonts w:ascii="Times New Roman" w:hAnsi="Times New Roman"/>
          <w:color w:val="000000" w:themeColor="text1"/>
          <w:sz w:val="16"/>
          <w:szCs w:val="16"/>
        </w:rPr>
        <w:softHyphen/>
        <w:t>ле — четыре ночных (20120).</w:t>
      </w:r>
    </w:p>
    <w:p w14:paraId="3B4B0F28" w14:textId="77777777" w:rsidR="00D4328B" w:rsidRPr="0044524F" w:rsidRDefault="00D4328B" w:rsidP="009654CF">
      <w:pPr>
        <w:spacing w:after="0" w:line="240" w:lineRule="auto"/>
        <w:jc w:val="both"/>
        <w:rPr>
          <w:rFonts w:ascii="Times New Roman" w:hAnsi="Times New Roman"/>
          <w:color w:val="000000" w:themeColor="text1"/>
          <w:sz w:val="16"/>
          <w:szCs w:val="16"/>
        </w:rPr>
      </w:pPr>
    </w:p>
    <w:p w14:paraId="65D5B4A9"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280B220"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E3E63B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Зимой-весной 1933 был изготовлен второй опытный образец саперного (мостового) танка СТ-26, первый образец который был разработан весной 1932 НИИ управления инженеров РККА на базе Т-26, изготовлен заводом им. Ворошилова и летом-осенью 1932 проходил испытания. (9527,222).</w:t>
      </w:r>
    </w:p>
    <w:p w14:paraId="2A8376F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10787ACA"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90B57AB"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32F357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февралю 1933 г. был изготовлен опытный образец пушки АПК-8. Вес различных вариантов пушки без боекомплекта составлял 375–400 кг. Основным выстрелом пушки была стержневая шрапнель весом 8,0–8,2 кг, но мог применяться и осколочный снаряд. Выстрел унитарный, гильза из нитроткани. Заряд 2,1 кг пороха Г248. Практическая скорострельность 25 выстр/мин. Курчевский в проекте указывал дальность стрельбы 8 км, а в другом месте — 10 км. Естественно, что при стрельбе с самолета по воздушным целям на таких дистанциях вероятность попадания была равна нулю. Кроме дальнего пушечного истребителя (ДИПа), предполагалась установка двух АПК-8 под крылом ТБ-3. Разработка ДИПа началась лишь в 1933 г., после получения в декабре 1932 г. уточненных тактико-технических требований от ВВС.</w:t>
      </w:r>
    </w:p>
    <w:p w14:paraId="05237AF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 создавался по схеме двухдвигательного моноплана с низкорасположенным крылом. Разработка и совершенствование цельнометаллического двухмоторного самолета, выполненного по такой схеме и имеющего убирающиеся шасси, гладкую обшивку и закрытые кабины экипажа, велись в КБ ЦАГИ с весны 1931 г. Первым таким аппаратом стал многоместный истребитель Ми-3 (АНТ-21), полеты которого начались с мая 1933 г. ДИП во многом, с некоторым уменьшением размеров, повторял Ми-3. Основным отличием ДИП стала установка 102-мм АПК-8 в нижней части фюзеляжа. Пушка проходила сквозь фюзеляж, выступая в передней части лотком перезарядки. В задней части за хвостовое оперение выходило сопло отвода пороховых газов. Экипаж из двух человек, по сути, сидел верхом на этой пушке. АПК-8 имела боезапас 16 снарядов: из них 6 находились в трубчатом магазине, еще 10 устанавливались в дополнительной кассете. Стрелковое вооружение состояло из двух пулеметов ШКАС В центроплане (без синхронизации) и одного ШКАС на турели ТУР-9 у стрелка.</w:t>
      </w:r>
    </w:p>
    <w:p w14:paraId="3D32047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Поначалу ДИП предполагалось оснастить двумя двигателями М-34, однако уже в ходе постройки на самолет установили два двигателя «Испано-Сюиза 12», которые были собраны на Рыбинском моторостроительном заводе из французских деталей. Воздушные винты поначалу деревянные диаметром 3,4 м, в ходе испытаний были заменены на трехлопастные металлические фирмы «Ратье» с переменным шагом на земле (12091).</w:t>
      </w:r>
    </w:p>
    <w:p w14:paraId="42E1364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54ECD3E1" w14:textId="77777777" w:rsidR="002F34E6" w:rsidRPr="0044524F" w:rsidRDefault="002F34E6"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C894983" w14:textId="77777777" w:rsidR="002F34E6" w:rsidRPr="0044524F" w:rsidRDefault="002F34E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6FED356" w14:textId="77777777" w:rsidR="004E284F" w:rsidRPr="00142305" w:rsidRDefault="004E284F" w:rsidP="004E284F">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К февралю 1933 г. был изготовлен опытный образец 100 мм пушки АПК-8. Вес различных вариантов пушки без боекомплекта составлял 375–400 кг. Основным выстрелом пушки была стержневая шрапнель весом 8,0–8,2 кг, но мог применяться и осколочный снаряд. Выстрел унитарный, гильза из нитроткани. Заряд 2,1 кг пороха Г248. Практическая скорострельность 25 выстр./мин. Начальная скорость 470–480 м/с. Курчевский в проекте указывал дальность стрельбы 8 км, а в другом месте — 10 км. Естественно, что при стрельбе с самолета по воздушным целям на таких дистанциях вероятность попадания была равна нулю. Кроме дальнего пушечного истребителя (ДИПа) предполагалась установка двух АПК-8 под крылом ТБ-3 (25213).</w:t>
      </w:r>
    </w:p>
    <w:p w14:paraId="18FE55D9" w14:textId="77777777" w:rsidR="004E284F" w:rsidRPr="00142305" w:rsidRDefault="004E284F" w:rsidP="004E284F">
      <w:pPr>
        <w:spacing w:after="0" w:line="240" w:lineRule="auto"/>
        <w:jc w:val="both"/>
        <w:rPr>
          <w:rStyle w:val="aff"/>
          <w:rFonts w:ascii="Times New Roman" w:hAnsi="Times New Roman" w:cs="Times New Roman"/>
          <w:color w:val="0070C0"/>
          <w:spacing w:val="0"/>
          <w:sz w:val="16"/>
          <w:szCs w:val="16"/>
        </w:rPr>
      </w:pPr>
    </w:p>
    <w:p w14:paraId="59D5FA35" w14:textId="77777777" w:rsidR="002F34E6" w:rsidRPr="0044524F" w:rsidRDefault="002F34E6"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К февралю 1933 подготовили эскизный проект артиллерийского танка, получившего обозначение Т-26-4, началась работа над чертежами. В августе изготовили опытную машину, которая испытывалась до конца 1933 года. К моменту окончания испытаний ОКМО уже прекратил своё существование. На базе ОКМО к 1 ноября 1933 года организовали опытный завод №185 им. Ворошилова, директором которого стал Н.В. Барыков, до того находившийся в руководстве ОКМО.</w:t>
      </w:r>
    </w:p>
    <w:p w14:paraId="00ECB85F" w14:textId="77777777" w:rsidR="002F34E6" w:rsidRPr="0044524F" w:rsidRDefault="002F34E6"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Параллельно ОКМО разрабатывал 76-мм танковую пушку ПС-3 — работы шли под руководством П.Н. Сячинтова. Помимо большей, чем у полковой пушки образца 1927 года, длины ствола, ПС-3 выгодно отличалась меньшей длиной отката — 420 мм против 500 мм. Кроме того, на ПС-3 использовались унитарные патроны от 76-мм полевой пушки образца 1902 года. В связи с этим существует заблуждение, что на Т-26-4 ставилась именно ПС-3, но это не совсем так.</w:t>
      </w:r>
    </w:p>
    <w:p w14:paraId="1469C452" w14:textId="77777777" w:rsidR="002F34E6" w:rsidRPr="0044524F" w:rsidRDefault="002F34E6"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Как и на предыдущих проектах, танк оборудовался 76-мм полковой пушкой с укороченной до 500 мм длиной отката. На нём действительно испытали ПС-3, при этом обнаружились проблемы с крышей башни и прочностью ходовой части. Также предполагалась установка ПС-3 на серийные Т-26-4, но на практике из пяти выпущенных Т-26-4 орудие ПС-3 поставили только на три (и то этот факт под вопросом). Далее выпуск Т-26-4 прекратился — эта машина стала первой жертвой ПС-3, чьё производство всё ещё не было налажено. Последние данные по этому танку датированы 1935 годом — к тому времени ОКМО вовсю работало над совсем другой машиной. Впервые она появилась в переписке с января 1934 года (19671).</w:t>
      </w:r>
    </w:p>
    <w:p w14:paraId="389D2CEC" w14:textId="77777777" w:rsidR="002F34E6" w:rsidRPr="0044524F" w:rsidRDefault="002F34E6" w:rsidP="009654CF">
      <w:pPr>
        <w:pStyle w:val="ae"/>
        <w:shd w:val="clear" w:color="auto" w:fill="FFFFFF"/>
        <w:spacing w:before="0" w:after="0"/>
        <w:jc w:val="both"/>
        <w:textAlignment w:val="baseline"/>
        <w:rPr>
          <w:color w:val="000000" w:themeColor="text1"/>
          <w:sz w:val="16"/>
          <w:szCs w:val="16"/>
        </w:rPr>
      </w:pPr>
    </w:p>
    <w:p w14:paraId="00D12262" w14:textId="77777777" w:rsidR="00103186"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7220ADB7"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AB5347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февралю 1933 г. в ВВС числились даже семь эскадрилий Р-6. Но полностью была укомплектована всего одна, 55-я в Хабаровске. 45-я эскадрилья в Монино имела шесть самолетов, 21-я в Воронеже и 92-я в Кречевицах - по четыре. Три эскадрильи (102-я во Ржеве, 17-я в Се- ще и 35-я в Запорожье) существовали фактически только на бумаге - летать им было не на чем. А ведь предстояло оснастить Р-6 дальнеразведывательные части и морскую авиацию, тоже имевшую на "крейсера" свои виды (12036).</w:t>
      </w:r>
    </w:p>
    <w:p w14:paraId="44AA059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49A5DF6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Реально к февралю 1933 г. в ВВС РККА числились даже семь эскадрилий Р-6, именовавшихся теперь крейсерскими. Но полностью была укомплектована только одна, 55-я краэ в Хабаровске, входив-шая в ВВС ОКДВА. 45-я карэ в Монино имела шесть машин, 21-я в Воронеже и 92-я в Кречевицах - по четыре. Три эскадрильи: 102-я во Ржеве, 17-я в Сеще и 35-я в Запорожье существовали только на бумаге - летать им было не на чем. А ведь предстояло оснастить Р-6 ещё и дальнеразведывательные части и мор-скую авиацию, имевшую на «крейсера» свои виды.</w:t>
      </w:r>
    </w:p>
    <w:p w14:paraId="7B775E6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Освоение Р-6 проходило довольно легко. Этому способствовала «покла-дистость» машины в пилотировании. Инструкция по эксплуатации констати-ровала: «Взлетает самолёт просто и никаких ненормальных тенденций нет... Во время полёта на всех высотах само-лёт в продольном отношении устойчив на всех режимах... На вираже самолёт устойчив, хорошо управляем и легко на-бирает высоту».</w:t>
      </w:r>
    </w:p>
    <w:p w14:paraId="2D6EAC21"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Немецкие моторы были надёжнее и немного мощнее отечественных, и их обычно ставили на командирские маши-ны. Но на ВМ\/\/ VI иногда обламывался носок вала, улетавший вместе с винтом, а самолёт ждала вынужденная посадка с асимметрией тяги. Потом выяснилось, что виноваты не немецкие двигатели, а советские винты, изготовлявшиеся с очень большими допусками. Они болтались на валу, создавая наклёп, а уж последний приводил к разрушению носка.</w:t>
      </w:r>
    </w:p>
    <w:p w14:paraId="09CE45B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Манёвренность Р-6 как на горизонта-лях, так и на вертикалях была весьма ограниченной, примерно на уровне «стар-шего брата» - ТБ-1, и совершенно не-приемлемой для истребителя. «Из фигур высшего пилотажа... самолёт допускает только пикирование». Угол пикирования составлял не более 60°. При резком выхо-де из пике начиналась тряска, отмечались деформации хвостовой части фюзеляжа. Правда, на «крейсере» пробовали делать даже петли, но тут же столкнулись с по-ломкой колонки руля направления.</w:t>
      </w:r>
    </w:p>
    <w:p w14:paraId="4955E54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Недостаточный обзор на рулении, осо-бенно вправо (место пилота было смеще-но влево), приводил к поломкам костыля при движении по неровным площадкам. При крутых разворотах наблюдались слу-чаи смятия костылём нижних лонжеронов фюзеляжа. Техники жаловались на не-удобный доступ к ряду деталей и узлов, затруднявший ремонт и регулировку. Из поломок чаще всего отмечались трещины в кронштейне колонки руля направления и в переднем узле крепления стабили-затора. Подобные жалобы, например, поступили из 20-й бригады в Харькове в сентябре 1932 г. (там повредили подряд три машины, а потом ещё одну). Но на-ибольший процент отказов приходился на мотоустановку и радиостанцию.</w:t>
      </w:r>
    </w:p>
    <w:p w14:paraId="7F4AE163"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Нерациональным признали комплек-тование экипажа. Первоначально в его состав входил «стрелок-моторист», об-служивавший заднюю турель. Он нахо-дился возле радиостанции, но работать на ней не умел. Поэтому в частях стали сажать вместо него стрелка-радиста. Это делали сначала только на командирских самолётах, а потом на всех прочих.</w:t>
      </w:r>
    </w:p>
    <w:p w14:paraId="76B57D0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Зимой замерзали приборы - указатели скорости, поворота и скольжения («Пи-онер»).</w:t>
      </w:r>
    </w:p>
    <w:p w14:paraId="2B8BB07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Очень много претензий высказывали по поводу низкого качества окраски. Краска быстро шелушилась и отпадала. Старые лаки, подходившие для дерева и полот-на, не годились для металла. Машины приходилось часто подкрашивать и пе-рекрашивать. Справились с этим, только перейдя на новые эмали.</w:t>
      </w:r>
    </w:p>
    <w:p w14:paraId="28FCD2F7"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подъёме к потолку, выше 5000 м, Р-6 становился инертным, разворачи-ваться приходилось «блинчиком», с кре-ном не более 45° (12264).</w:t>
      </w:r>
    </w:p>
    <w:p w14:paraId="06362780"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28EEF589" w14:textId="77777777" w:rsidR="004E284F" w:rsidRPr="00142305" w:rsidRDefault="004E284F" w:rsidP="004E284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февралю 1933 г. в ВВС числились семь эскадрилий Р-6. Но полностью была укомплектована всего одна, 55-я в Хабаровске. 45-я эскадрилья в Монино имела шесть самолетов, 21-я в Воронеже и 92-я в Кречеви</w:t>
      </w:r>
      <w:r w:rsidRPr="00142305">
        <w:rPr>
          <w:rFonts w:ascii="Times New Roman" w:hAnsi="Times New Roman"/>
          <w:color w:val="0070C0"/>
          <w:sz w:val="16"/>
          <w:szCs w:val="16"/>
        </w:rPr>
        <w:softHyphen/>
        <w:t>цах — по четыре. Три эскадрильи (102-я во Ржеве, 17-я в Се- ше и 35-я в Запорожье) существовали фактически только на бумаге — летать им было не на чем. А ведь предстояло ос</w:t>
      </w:r>
      <w:r w:rsidRPr="00142305">
        <w:rPr>
          <w:rFonts w:ascii="Times New Roman" w:hAnsi="Times New Roman"/>
          <w:color w:val="0070C0"/>
          <w:sz w:val="16"/>
          <w:szCs w:val="16"/>
        </w:rPr>
        <w:softHyphen/>
        <w:t>настить Р-6 дальнеразведывательные части и морскую ави</w:t>
      </w:r>
      <w:r w:rsidRPr="00142305">
        <w:rPr>
          <w:rFonts w:ascii="Times New Roman" w:hAnsi="Times New Roman"/>
          <w:color w:val="0070C0"/>
          <w:sz w:val="16"/>
          <w:szCs w:val="16"/>
        </w:rPr>
        <w:softHyphen/>
        <w:t>ацию, тоже имевшую на «крейсера» свои виды.</w:t>
      </w:r>
    </w:p>
    <w:p w14:paraId="724E4802" w14:textId="77777777" w:rsidR="004E284F" w:rsidRPr="00142305" w:rsidRDefault="004E284F" w:rsidP="004E284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1933 г. завод № 31 выпустил уже 50 самолетов, частич</w:t>
      </w:r>
      <w:r w:rsidRPr="00142305">
        <w:rPr>
          <w:rFonts w:ascii="Times New Roman" w:hAnsi="Times New Roman"/>
          <w:color w:val="0070C0"/>
          <w:sz w:val="16"/>
          <w:szCs w:val="16"/>
        </w:rPr>
        <w:softHyphen/>
        <w:t>но использовав задел, привезенный из Москвы (в частности, центропланы). На 1 декабря строевые части ВВС располага</w:t>
      </w:r>
      <w:r w:rsidRPr="00142305">
        <w:rPr>
          <w:rFonts w:ascii="Times New Roman" w:hAnsi="Times New Roman"/>
          <w:color w:val="0070C0"/>
          <w:sz w:val="16"/>
          <w:szCs w:val="16"/>
        </w:rPr>
        <w:softHyphen/>
        <w:t>ли 55 Р-6. Наиболее мощная группировка их образовалась на Дальнем Востоке. Двумя полнокровными эскадрильями обладали ВВС ОКДВА и еще одна принадлежала Морским силам Дальнего Востока (МСДВ), предшествовавшим Ти</w:t>
      </w:r>
      <w:r w:rsidRPr="00142305">
        <w:rPr>
          <w:rFonts w:ascii="Times New Roman" w:hAnsi="Times New Roman"/>
          <w:color w:val="0070C0"/>
          <w:sz w:val="16"/>
          <w:szCs w:val="16"/>
        </w:rPr>
        <w:softHyphen/>
        <w:t>хоокеанскому флоту.</w:t>
      </w:r>
    </w:p>
    <w:p w14:paraId="402D5A41" w14:textId="77777777" w:rsidR="004E284F" w:rsidRPr="00142305" w:rsidRDefault="004E284F" w:rsidP="004E284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Авиация бурно развивалась, и Р-6, задуманный в 1926 г., все больше отставал от требований времени. Существова</w:t>
      </w:r>
      <w:r w:rsidRPr="00142305">
        <w:rPr>
          <w:rFonts w:ascii="Times New Roman" w:hAnsi="Times New Roman"/>
          <w:color w:val="0070C0"/>
          <w:sz w:val="16"/>
          <w:szCs w:val="16"/>
        </w:rPr>
        <w:softHyphen/>
        <w:t>ли два п^и решения проблемы: создать новый самолет по</w:t>
      </w:r>
      <w:r w:rsidRPr="00142305">
        <w:rPr>
          <w:rFonts w:ascii="Times New Roman" w:hAnsi="Times New Roman"/>
          <w:color w:val="0070C0"/>
          <w:sz w:val="16"/>
          <w:szCs w:val="16"/>
        </w:rPr>
        <w:softHyphen/>
        <w:t>добного назначения или модернизировать старый. В ЦАГИ шли в обоих направлениях (24977)</w:t>
      </w:r>
    </w:p>
    <w:p w14:paraId="26EC4E40" w14:textId="77777777" w:rsidR="004E284F" w:rsidRPr="00142305" w:rsidRDefault="004E284F" w:rsidP="004E284F">
      <w:pPr>
        <w:spacing w:after="0" w:line="240" w:lineRule="auto"/>
        <w:jc w:val="both"/>
        <w:rPr>
          <w:rFonts w:ascii="Times New Roman" w:hAnsi="Times New Roman"/>
          <w:color w:val="0070C0"/>
          <w:sz w:val="16"/>
          <w:szCs w:val="16"/>
        </w:rPr>
      </w:pPr>
    </w:p>
    <w:p w14:paraId="6695FDD7"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337FE9E"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62FC14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1933 начались работы по АНТ-20 МГ (514).</w:t>
      </w:r>
    </w:p>
    <w:p w14:paraId="6115838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11638C44" w14:textId="77777777" w:rsidR="003F580B" w:rsidRPr="0044524F" w:rsidRDefault="003F580B" w:rsidP="009654CF">
      <w:pPr>
        <w:pStyle w:val="a3"/>
        <w:rPr>
          <w:color w:val="000000" w:themeColor="text1"/>
          <w:lang w:val="ru-RU"/>
        </w:rPr>
      </w:pPr>
      <w:r w:rsidRPr="0044524F">
        <w:rPr>
          <w:color w:val="000000" w:themeColor="text1"/>
          <w:lang w:val="ru-RU"/>
        </w:rPr>
        <w:t>1 февраля 1933 г. датирован чертеж Т-3 Вахмистрова. В начале 1933 г. Вахмистров выполнил предварительный проект самолета Т-3 («тягач звена»). Это был хорошо обте</w:t>
      </w:r>
      <w:r w:rsidRPr="0044524F">
        <w:rPr>
          <w:color w:val="000000" w:themeColor="text1"/>
          <w:lang w:val="ru-RU"/>
        </w:rPr>
        <w:softHyphen/>
        <w:t>каемый моноплан с мощным мотором водяного охлаждения, занимавшим чуть ли не половину фюзеляжа. Пилотская кабина, закрытая прозрачным фонарем, была оттеснена к самому хвосту. Маши</w:t>
      </w:r>
      <w:r w:rsidRPr="0044524F">
        <w:rPr>
          <w:color w:val="000000" w:themeColor="text1"/>
          <w:lang w:val="ru-RU"/>
        </w:rPr>
        <w:softHyphen/>
        <w:t>на отличалась непропорционально уз</w:t>
      </w:r>
      <w:r w:rsidRPr="0044524F">
        <w:rPr>
          <w:color w:val="000000" w:themeColor="text1"/>
          <w:lang w:val="ru-RU"/>
        </w:rPr>
        <w:softHyphen/>
        <w:t>ким и высоким неубирающимся шасси. Узким его сделали, чтобы колея не пре</w:t>
      </w:r>
      <w:r w:rsidRPr="0044524F">
        <w:rPr>
          <w:color w:val="000000" w:themeColor="text1"/>
          <w:lang w:val="ru-RU"/>
        </w:rPr>
        <w:softHyphen/>
        <w:t>вышала ширину фюзеляжа ТБ-3, а вы</w:t>
      </w:r>
      <w:r w:rsidRPr="0044524F">
        <w:rPr>
          <w:color w:val="000000" w:themeColor="text1"/>
          <w:lang w:val="ru-RU"/>
        </w:rPr>
        <w:softHyphen/>
        <w:t>соким - чтобы использовать винт боль</w:t>
      </w:r>
      <w:r w:rsidRPr="0044524F">
        <w:rPr>
          <w:color w:val="000000" w:themeColor="text1"/>
          <w:lang w:val="ru-RU"/>
        </w:rPr>
        <w:softHyphen/>
        <w:t xml:space="preserve">шого диаметра, потребный для снятия всей мощности с большого двигателя. </w:t>
      </w:r>
    </w:p>
    <w:p w14:paraId="3308C55A" w14:textId="77777777" w:rsidR="003F580B" w:rsidRPr="0044524F" w:rsidRDefault="003F580B" w:rsidP="009654CF">
      <w:pPr>
        <w:pStyle w:val="a3"/>
        <w:rPr>
          <w:color w:val="000000" w:themeColor="text1"/>
          <w:lang w:val="ru-RU"/>
        </w:rPr>
      </w:pPr>
      <w:r w:rsidRPr="0044524F">
        <w:rPr>
          <w:color w:val="000000" w:themeColor="text1"/>
          <w:lang w:val="ru-RU"/>
        </w:rPr>
        <w:t>Но практические эксперименты в этом направлении провели только в фев</w:t>
      </w:r>
      <w:r w:rsidRPr="0044524F">
        <w:rPr>
          <w:color w:val="000000" w:themeColor="text1"/>
          <w:lang w:val="ru-RU"/>
        </w:rPr>
        <w:softHyphen/>
        <w:t>рале 1935 г., используя элементы «Зве</w:t>
      </w:r>
      <w:r w:rsidRPr="0044524F">
        <w:rPr>
          <w:color w:val="000000" w:themeColor="text1"/>
          <w:lang w:val="ru-RU"/>
        </w:rPr>
        <w:softHyphen/>
        <w:t>на-2». Над фюзеляжем ТБ-3 с моторами М-17 установили полуразобранный ста</w:t>
      </w:r>
      <w:r w:rsidRPr="0044524F">
        <w:rPr>
          <w:color w:val="000000" w:themeColor="text1"/>
          <w:lang w:val="ru-RU"/>
        </w:rPr>
        <w:softHyphen/>
        <w:t>рый истребитель И-5. На последнем от</w:t>
      </w:r>
      <w:r w:rsidRPr="0044524F">
        <w:rPr>
          <w:color w:val="000000" w:themeColor="text1"/>
          <w:lang w:val="ru-RU"/>
        </w:rPr>
        <w:softHyphen/>
        <w:t>сутствовали коробка крыльев, оперение, колеса, костыль и кок винта. Вахмистров сначала хотел сделать тросовое управле</w:t>
      </w:r>
      <w:r w:rsidRPr="0044524F">
        <w:rPr>
          <w:color w:val="000000" w:themeColor="text1"/>
          <w:lang w:val="ru-RU"/>
        </w:rPr>
        <w:softHyphen/>
        <w:t>ние карбюратором мотора М-22 на этом «недоистребителе», чтобы обойтись без моториста, но потом решил сперва по</w:t>
      </w:r>
      <w:r w:rsidRPr="0044524F">
        <w:rPr>
          <w:color w:val="000000" w:themeColor="text1"/>
          <w:lang w:val="ru-RU"/>
        </w:rPr>
        <w:softHyphen/>
        <w:t>пробовать по</w:t>
      </w:r>
      <w:r w:rsidRPr="0044524F">
        <w:rPr>
          <w:color w:val="000000" w:themeColor="text1"/>
          <w:lang w:val="ru-RU"/>
        </w:rPr>
        <w:softHyphen/>
        <w:t>пробовать с летчиком в кабине. В таком варианте «тягач» весил 975 кг. вместе с управлявшим дополнительным двигате</w:t>
      </w:r>
      <w:r w:rsidRPr="0044524F">
        <w:rPr>
          <w:color w:val="000000" w:themeColor="text1"/>
          <w:lang w:val="ru-RU"/>
        </w:rPr>
        <w:softHyphen/>
        <w:t>лем человеком.</w:t>
      </w:r>
    </w:p>
    <w:p w14:paraId="7287CD75" w14:textId="77777777" w:rsidR="003F580B" w:rsidRPr="0044524F" w:rsidRDefault="003F580B" w:rsidP="009654CF">
      <w:pPr>
        <w:pStyle w:val="a3"/>
        <w:rPr>
          <w:color w:val="000000" w:themeColor="text1"/>
          <w:lang w:val="ru-RU"/>
        </w:rPr>
      </w:pPr>
      <w:r w:rsidRPr="0044524F">
        <w:rPr>
          <w:color w:val="000000" w:themeColor="text1"/>
          <w:lang w:val="ru-RU"/>
        </w:rPr>
        <w:t>Этим человеком стал испытатель С.П. Супрун. ТБ-3 пилотировали П.М. Сте- фановский и М.А. Нюхтиков. Испытания показали, что максимальная скорость немного выросла, достигнув 208 км/ч, потолок вместо 3500 м стал равняться 3850 м. Существенно улучшилась скоро</w:t>
      </w:r>
      <w:r w:rsidRPr="0044524F">
        <w:rPr>
          <w:color w:val="000000" w:themeColor="text1"/>
          <w:lang w:val="ru-RU"/>
        </w:rPr>
        <w:softHyphen/>
        <w:t>подъемность: подъем на высоту 3000 м занимал 28 мин вместо 35,7 мин. А вот время подъема на практический потолок почему-то увеличилось до 63,7 мин (было 57,6 мин).</w:t>
      </w:r>
    </w:p>
    <w:p w14:paraId="5EE1F172" w14:textId="77777777" w:rsidR="003F580B" w:rsidRPr="0044524F" w:rsidRDefault="003F580B" w:rsidP="009654CF">
      <w:pPr>
        <w:pStyle w:val="a3"/>
        <w:rPr>
          <w:color w:val="000000" w:themeColor="text1"/>
          <w:lang w:val="ru-RU"/>
        </w:rPr>
      </w:pPr>
      <w:r w:rsidRPr="0044524F">
        <w:rPr>
          <w:color w:val="000000" w:themeColor="text1"/>
          <w:lang w:val="ru-RU"/>
        </w:rPr>
        <w:t>На поведение ТБ-3 в воздухе «над</w:t>
      </w:r>
      <w:r w:rsidRPr="0044524F">
        <w:rPr>
          <w:color w:val="000000" w:themeColor="text1"/>
          <w:lang w:val="ru-RU"/>
        </w:rPr>
        <w:softHyphen/>
        <w:t>стройка» практически не повлияла, хотя на виражах отметили продольные ко</w:t>
      </w:r>
      <w:r w:rsidRPr="0044524F">
        <w:rPr>
          <w:color w:val="000000" w:themeColor="text1"/>
          <w:lang w:val="ru-RU"/>
        </w:rPr>
        <w:softHyphen/>
        <w:t>лебания «тягача». Но здесь сказывалось недостаточно жесткое его крепление - установка-то считалась временной. Вых</w:t>
      </w:r>
      <w:r w:rsidRPr="0044524F">
        <w:rPr>
          <w:color w:val="000000" w:themeColor="text1"/>
          <w:lang w:val="ru-RU"/>
        </w:rPr>
        <w:softHyphen/>
        <w:t>лопные газы сверху заносило в пилот</w:t>
      </w:r>
      <w:r w:rsidRPr="0044524F">
        <w:rPr>
          <w:color w:val="000000" w:themeColor="text1"/>
          <w:lang w:val="ru-RU"/>
        </w:rPr>
        <w:softHyphen/>
        <w:t>скую кабину ТБ-3. Садился бомбардиров</w:t>
      </w:r>
      <w:r w:rsidRPr="0044524F">
        <w:rPr>
          <w:color w:val="000000" w:themeColor="text1"/>
          <w:lang w:val="ru-RU"/>
        </w:rPr>
        <w:softHyphen/>
        <w:t>щик с выключенным мотором М-22.</w:t>
      </w:r>
    </w:p>
    <w:p w14:paraId="1CF88AA4" w14:textId="77777777" w:rsidR="003F580B" w:rsidRPr="0044524F" w:rsidRDefault="003F580B" w:rsidP="009654CF">
      <w:pPr>
        <w:pStyle w:val="a3"/>
        <w:rPr>
          <w:color w:val="000000" w:themeColor="text1"/>
          <w:lang w:val="ru-RU"/>
        </w:rPr>
      </w:pPr>
      <w:r w:rsidRPr="0044524F">
        <w:rPr>
          <w:color w:val="000000" w:themeColor="text1"/>
          <w:lang w:val="ru-RU"/>
        </w:rPr>
        <w:t>В целом пришли к выводу, что «на</w:t>
      </w:r>
      <w:r w:rsidRPr="0044524F">
        <w:rPr>
          <w:color w:val="000000" w:themeColor="text1"/>
          <w:lang w:val="ru-RU"/>
        </w:rPr>
        <w:softHyphen/>
        <w:t>вар» невелик. Но ведь вся установка яв</w:t>
      </w:r>
      <w:r w:rsidRPr="0044524F">
        <w:rPr>
          <w:color w:val="000000" w:themeColor="text1"/>
          <w:lang w:val="ru-RU"/>
        </w:rPr>
        <w:softHyphen/>
        <w:t>лялась чистой импровизацией. Никто не согласовывал характеристики моторов и винтов, просто хотели проверить инте</w:t>
      </w:r>
      <w:r w:rsidRPr="0044524F">
        <w:rPr>
          <w:color w:val="000000" w:themeColor="text1"/>
          <w:lang w:val="ru-RU"/>
        </w:rPr>
        <w:softHyphen/>
        <w:t>ресную идею.</w:t>
      </w:r>
    </w:p>
    <w:p w14:paraId="05EB8275" w14:textId="77777777" w:rsidR="003F580B" w:rsidRPr="0044524F" w:rsidRDefault="003F580B" w:rsidP="009654CF">
      <w:pPr>
        <w:pStyle w:val="a3"/>
        <w:rPr>
          <w:color w:val="000000" w:themeColor="text1"/>
          <w:lang w:val="ru-RU"/>
        </w:rPr>
      </w:pPr>
      <w:r w:rsidRPr="0044524F">
        <w:rPr>
          <w:color w:val="000000" w:themeColor="text1"/>
          <w:lang w:val="ru-RU"/>
        </w:rPr>
        <w:t>Чуть позже Вахмистров предложил использовать не самолет-тягач, а быстросъемную дополнительную мотоуста</w:t>
      </w:r>
      <w:r w:rsidRPr="0044524F">
        <w:rPr>
          <w:color w:val="000000" w:themeColor="text1"/>
          <w:lang w:val="ru-RU"/>
        </w:rPr>
        <w:softHyphen/>
        <w:t xml:space="preserve">новку. Ее можно было бы монтировать </w:t>
      </w:r>
      <w:r w:rsidRPr="0044524F">
        <w:rPr>
          <w:rStyle w:val="82"/>
          <w:rFonts w:ascii="Times New Roman" w:hAnsi="Times New Roman" w:cs="Times New Roman"/>
          <w:color w:val="000000" w:themeColor="text1"/>
          <w:sz w:val="16"/>
          <w:szCs w:val="16"/>
          <w:lang w:val="ru-RU"/>
        </w:rPr>
        <w:t>црм</w:t>
      </w:r>
      <w:r w:rsidRPr="0044524F">
        <w:rPr>
          <w:color w:val="000000" w:themeColor="text1"/>
          <w:lang w:val="ru-RU"/>
        </w:rPr>
        <w:t xml:space="preserve"> выполнении определенных заданий, </w:t>
      </w:r>
      <w:r w:rsidRPr="0044524F">
        <w:rPr>
          <w:rStyle w:val="82"/>
          <w:rFonts w:ascii="Times New Roman" w:hAnsi="Times New Roman" w:cs="Times New Roman"/>
          <w:i w:val="0"/>
          <w:color w:val="000000" w:themeColor="text1"/>
          <w:sz w:val="16"/>
          <w:szCs w:val="16"/>
          <w:lang w:val="ru-RU"/>
        </w:rPr>
        <w:t>требовавших</w:t>
      </w:r>
      <w:r w:rsidRPr="0044524F">
        <w:rPr>
          <w:color w:val="000000" w:themeColor="text1"/>
          <w:lang w:val="ru-RU"/>
        </w:rPr>
        <w:t xml:space="preserve"> взлета с перегрузкой, а п</w:t>
      </w:r>
      <w:r w:rsidRPr="0044524F">
        <w:rPr>
          <w:rStyle w:val="910"/>
          <w:rFonts w:ascii="Times New Roman" w:hAnsi="Times New Roman" w:cs="Times New Roman"/>
          <w:b w:val="0"/>
          <w:color w:val="000000" w:themeColor="text1"/>
          <w:spacing w:val="0"/>
          <w:sz w:val="16"/>
          <w:szCs w:val="16"/>
          <w:lang w:val="ru-RU"/>
        </w:rPr>
        <w:t xml:space="preserve">ри </w:t>
      </w:r>
      <w:r w:rsidRPr="0044524F">
        <w:rPr>
          <w:color w:val="000000" w:themeColor="text1"/>
          <w:lang w:val="ru-RU"/>
        </w:rPr>
        <w:t xml:space="preserve">отсутствии надобности - снимать. </w:t>
      </w:r>
      <w:r w:rsidRPr="0044524F">
        <w:rPr>
          <w:rStyle w:val="910"/>
          <w:rFonts w:ascii="Times New Roman" w:hAnsi="Times New Roman" w:cs="Times New Roman"/>
          <w:b w:val="0"/>
          <w:color w:val="000000" w:themeColor="text1"/>
          <w:spacing w:val="0"/>
          <w:sz w:val="16"/>
          <w:szCs w:val="16"/>
          <w:lang w:val="ru-RU"/>
        </w:rPr>
        <w:t>Но и</w:t>
      </w:r>
      <w:r w:rsidRPr="0044524F">
        <w:rPr>
          <w:rStyle w:val="82"/>
          <w:rFonts w:ascii="Times New Roman" w:hAnsi="Times New Roman" w:cs="Times New Roman"/>
          <w:color w:val="000000" w:themeColor="text1"/>
          <w:sz w:val="16"/>
          <w:szCs w:val="16"/>
          <w:lang w:val="ru-RU"/>
        </w:rPr>
        <w:t xml:space="preserve"> эта</w:t>
      </w:r>
      <w:r w:rsidRPr="0044524F">
        <w:rPr>
          <w:color w:val="000000" w:themeColor="text1"/>
          <w:lang w:val="ru-RU"/>
        </w:rPr>
        <w:t xml:space="preserve"> концепция осталась нереализованной (17741).</w:t>
      </w:r>
    </w:p>
    <w:p w14:paraId="36F883EB" w14:textId="77777777" w:rsidR="003F580B" w:rsidRPr="0044524F" w:rsidRDefault="003F580B" w:rsidP="009654CF">
      <w:pPr>
        <w:pStyle w:val="a3"/>
        <w:rPr>
          <w:color w:val="000000" w:themeColor="text1"/>
          <w:lang w:val="ru-RU"/>
        </w:rPr>
      </w:pPr>
    </w:p>
    <w:p w14:paraId="71457F2A" w14:textId="77777777" w:rsidR="005949A8" w:rsidRPr="0044524F" w:rsidRDefault="005949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1933 конст</w:t>
      </w:r>
      <w:r w:rsidRPr="0044524F">
        <w:rPr>
          <w:rFonts w:ascii="Times New Roman" w:hAnsi="Times New Roman"/>
          <w:color w:val="000000" w:themeColor="text1"/>
          <w:sz w:val="16"/>
          <w:szCs w:val="16"/>
        </w:rPr>
        <w:softHyphen/>
        <w:t>руктор П.Д.Самсонов, которого удалось привлечь к разработке «тягача» (он занимался морскими са</w:t>
      </w:r>
      <w:r w:rsidRPr="0044524F">
        <w:rPr>
          <w:rFonts w:ascii="Times New Roman" w:hAnsi="Times New Roman"/>
          <w:color w:val="000000" w:themeColor="text1"/>
          <w:sz w:val="16"/>
          <w:szCs w:val="16"/>
        </w:rPr>
        <w:softHyphen/>
        <w:t>молетами в ЦКБ, очевидно, что для него это была договорная работа), разработал и в начале февраля 1933 г. представил эскизный проект изящ</w:t>
      </w:r>
      <w:r w:rsidRPr="0044524F">
        <w:rPr>
          <w:rFonts w:ascii="Times New Roman" w:hAnsi="Times New Roman"/>
          <w:color w:val="000000" w:themeColor="text1"/>
          <w:sz w:val="16"/>
          <w:szCs w:val="16"/>
        </w:rPr>
        <w:softHyphen/>
        <w:t>ного моноплана с верхним расположением крыла. Полная длина самолета составляла 8,1 метра, размах крыла — 12,0 метров. При подготовке проекта ис</w:t>
      </w:r>
      <w:r w:rsidRPr="0044524F">
        <w:rPr>
          <w:rFonts w:ascii="Times New Roman" w:hAnsi="Times New Roman"/>
          <w:color w:val="000000" w:themeColor="text1"/>
          <w:sz w:val="16"/>
          <w:szCs w:val="16"/>
        </w:rPr>
        <w:softHyphen/>
        <w:t>пользовался итальянский двигатель фирмы Изотта- Фраскини «Ассо-1000», развивающий на взлете мощ</w:t>
      </w:r>
      <w:r w:rsidRPr="0044524F">
        <w:rPr>
          <w:rFonts w:ascii="Times New Roman" w:hAnsi="Times New Roman"/>
          <w:color w:val="000000" w:themeColor="text1"/>
          <w:sz w:val="16"/>
          <w:szCs w:val="16"/>
        </w:rPr>
        <w:softHyphen/>
        <w:t>ность 1000 л.с. Двигатель был оснащен понижающим редуктором и весьма подходил для вращения воз</w:t>
      </w:r>
      <w:r w:rsidRPr="0044524F">
        <w:rPr>
          <w:rFonts w:ascii="Times New Roman" w:hAnsi="Times New Roman"/>
          <w:color w:val="000000" w:themeColor="text1"/>
          <w:sz w:val="16"/>
          <w:szCs w:val="16"/>
        </w:rPr>
        <w:softHyphen/>
        <w:t>душного винта диаметром 4,5 метра. «Ассо-1000» по</w:t>
      </w:r>
      <w:r w:rsidRPr="0044524F">
        <w:rPr>
          <w:rFonts w:ascii="Times New Roman" w:hAnsi="Times New Roman"/>
          <w:color w:val="000000" w:themeColor="text1"/>
          <w:sz w:val="16"/>
          <w:szCs w:val="16"/>
        </w:rPr>
        <w:softHyphen/>
        <w:t xml:space="preserve">явился в 1928 г. и спустя несколько лет по-прежнему считался одним из наиболее мощных двигателей в мире. При его установке на маленький </w:t>
      </w:r>
      <w:r w:rsidRPr="0044524F">
        <w:rPr>
          <w:rFonts w:ascii="Times New Roman" w:hAnsi="Times New Roman"/>
          <w:color w:val="000000" w:themeColor="text1"/>
          <w:sz w:val="16"/>
          <w:szCs w:val="16"/>
        </w:rPr>
        <w:lastRenderedPageBreak/>
        <w:t>самолет дей</w:t>
      </w:r>
      <w:r w:rsidRPr="0044524F">
        <w:rPr>
          <w:rFonts w:ascii="Times New Roman" w:hAnsi="Times New Roman"/>
          <w:color w:val="000000" w:themeColor="text1"/>
          <w:sz w:val="16"/>
          <w:szCs w:val="16"/>
        </w:rPr>
        <w:softHyphen/>
        <w:t>ствительно получался «летающий мотор» — «Ассо» весил около 900 кг, его полная длина превышала два метра, а габаритная ширина составляла 1060 мм. Со</w:t>
      </w:r>
      <w:r w:rsidRPr="0044524F">
        <w:rPr>
          <w:rFonts w:ascii="Times New Roman" w:hAnsi="Times New Roman"/>
          <w:color w:val="000000" w:themeColor="text1"/>
          <w:sz w:val="16"/>
          <w:szCs w:val="16"/>
        </w:rPr>
        <w:softHyphen/>
        <w:t>трудничество с итальянскими моторными фирмами в тот период было в разгаре, поэтому возможности по</w:t>
      </w:r>
      <w:r w:rsidRPr="0044524F">
        <w:rPr>
          <w:rFonts w:ascii="Times New Roman" w:hAnsi="Times New Roman"/>
          <w:color w:val="000000" w:themeColor="text1"/>
          <w:sz w:val="16"/>
          <w:szCs w:val="16"/>
        </w:rPr>
        <w:softHyphen/>
        <w:t>лучения «Ассо» были вполне реальными.</w:t>
      </w:r>
    </w:p>
    <w:p w14:paraId="122C5763" w14:textId="77777777" w:rsidR="005949A8" w:rsidRPr="0044524F" w:rsidRDefault="005949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Впрочем, до постройки экзотического летательно</w:t>
      </w:r>
      <w:r w:rsidRPr="0044524F">
        <w:rPr>
          <w:rFonts w:ascii="Times New Roman" w:hAnsi="Times New Roman"/>
          <w:color w:val="000000" w:themeColor="text1"/>
          <w:sz w:val="16"/>
          <w:szCs w:val="16"/>
        </w:rPr>
        <w:softHyphen/>
        <w:t>го аппарата дело не дошло, «Тягач» не вышел из со</w:t>
      </w:r>
      <w:r w:rsidRPr="0044524F">
        <w:rPr>
          <w:rFonts w:ascii="Times New Roman" w:hAnsi="Times New Roman"/>
          <w:color w:val="000000" w:themeColor="text1"/>
          <w:sz w:val="16"/>
          <w:szCs w:val="16"/>
        </w:rPr>
        <w:softHyphen/>
        <w:t>стояния проектного варианта. Однако сама идея счи</w:t>
      </w:r>
      <w:r w:rsidRPr="0044524F">
        <w:rPr>
          <w:rFonts w:ascii="Times New Roman" w:hAnsi="Times New Roman"/>
          <w:color w:val="000000" w:themeColor="text1"/>
          <w:sz w:val="16"/>
          <w:szCs w:val="16"/>
        </w:rPr>
        <w:softHyphen/>
        <w:t>талась актуальной еще года два. В частности, для улучшения летных данных ТБ-3 4М-17 сверху его фюзеляжа закрепили фюзеляж от истребителя И-5. На самом деле от системы З-2 (ТБ-3+3 И-5) исполь</w:t>
      </w:r>
      <w:r w:rsidRPr="0044524F">
        <w:rPr>
          <w:rFonts w:ascii="Times New Roman" w:hAnsi="Times New Roman"/>
          <w:color w:val="000000" w:themeColor="text1"/>
          <w:sz w:val="16"/>
          <w:szCs w:val="16"/>
        </w:rPr>
        <w:softHyphen/>
        <w:t>зовали «наспинный» И-5, у которого сняли крылья (23378).</w:t>
      </w:r>
    </w:p>
    <w:p w14:paraId="4A211E72" w14:textId="77777777" w:rsidR="005949A8" w:rsidRPr="0044524F" w:rsidRDefault="005949A8" w:rsidP="009654CF">
      <w:pPr>
        <w:spacing w:after="0" w:line="240" w:lineRule="auto"/>
        <w:jc w:val="both"/>
        <w:rPr>
          <w:rFonts w:ascii="Times New Roman" w:hAnsi="Times New Roman"/>
          <w:color w:val="000000" w:themeColor="text1"/>
          <w:sz w:val="16"/>
          <w:szCs w:val="16"/>
        </w:rPr>
      </w:pPr>
    </w:p>
    <w:p w14:paraId="76E997CC" w14:textId="77777777" w:rsidR="005B4B1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A716D9C" w14:textId="77777777" w:rsidR="005B4B1E" w:rsidRPr="0044524F" w:rsidRDefault="005B4B1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92A654D" w14:textId="77777777" w:rsidR="003F6D62" w:rsidRPr="00142305" w:rsidRDefault="003F6D62" w:rsidP="003F6D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февраля 1933 г. КБ Т-35-К ХПЗ в основном было создано. В его состав из КБ Т2К были переведены старшие конструкторы А.В. Колесников, Е.Т. Дикалов, К.П. Глушко, Ю.М. Криворучко, Б.В. Троицкий и В.В. Бирюков, а также конструкторы М.Е. Спитовский, В.Е. Куреева, А.С. Дробязко, Н.А. Коваленко, Я.К. Криштанович, А.М. Гольберг и др. Работа в новой должности начальника КБ Т-35-К началась для И.С. Бера с длительной командировки в Ленинград, целью которой было получение от ОКМО комплекта чертежно-конструкторской документации по танку Т-35. Окончанием работы И.С. Бера в Ленинграде стало подписание им 30 мая 1933 г. акта приема от ОКМО чертежей для серийного производства танка Т-35А. Вместе с И.С. Бером данный акт был подписан главным конструктором Опытного завода Спецмаштреста С.А. Гинзбургом (25046).</w:t>
      </w:r>
    </w:p>
    <w:p w14:paraId="5A7CFFFB" w14:textId="77777777" w:rsidR="003F6D62" w:rsidRPr="00142305" w:rsidRDefault="003F6D62" w:rsidP="003F6D62">
      <w:pPr>
        <w:spacing w:after="0" w:line="240" w:lineRule="auto"/>
        <w:jc w:val="both"/>
        <w:rPr>
          <w:rFonts w:ascii="Times New Roman" w:hAnsi="Times New Roman"/>
          <w:color w:val="0070C0"/>
          <w:sz w:val="16"/>
          <w:szCs w:val="16"/>
        </w:rPr>
      </w:pPr>
    </w:p>
    <w:p w14:paraId="6C86E74A" w14:textId="77777777" w:rsidR="005B4B1E" w:rsidRPr="0044524F" w:rsidRDefault="005B4B1E" w:rsidP="009654CF">
      <w:pPr>
        <w:pStyle w:val="rtejustify"/>
        <w:spacing w:before="0" w:after="0"/>
        <w:rPr>
          <w:color w:val="000000" w:themeColor="text1"/>
          <w:sz w:val="16"/>
          <w:szCs w:val="16"/>
        </w:rPr>
      </w:pPr>
      <w:r w:rsidRPr="0044524F">
        <w:rPr>
          <w:rStyle w:val="af0"/>
          <w:bCs/>
          <w:i w:val="0"/>
          <w:color w:val="000000" w:themeColor="text1"/>
          <w:sz w:val="16"/>
          <w:szCs w:val="16"/>
        </w:rPr>
        <w:t xml:space="preserve">1 февраля </w:t>
      </w:r>
      <w:r w:rsidRPr="0044524F">
        <w:rPr>
          <w:color w:val="000000" w:themeColor="text1"/>
          <w:sz w:val="16"/>
          <w:szCs w:val="16"/>
        </w:rPr>
        <w:t xml:space="preserve">1933. Протокол заседания Политбюро ЦК ВКП (б) № 129. </w:t>
      </w:r>
      <w:hyperlink r:id="rId56" w:anchor="showunit&amp;id=85513" w:history="1">
        <w:r w:rsidRPr="0044524F">
          <w:rPr>
            <w:rStyle w:val="a5"/>
            <w:color w:val="000000" w:themeColor="text1"/>
            <w:sz w:val="16"/>
            <w:szCs w:val="16"/>
            <w:u w:val="none"/>
          </w:rPr>
          <w:t>20/1. Вопросы комиссии Молотова (о внешнеторговых переговорах с Клекнером)</w:t>
        </w:r>
      </w:hyperlink>
      <w:r w:rsidRPr="0044524F">
        <w:rPr>
          <w:color w:val="000000" w:themeColor="text1"/>
          <w:sz w:val="16"/>
          <w:szCs w:val="16"/>
        </w:rPr>
        <w:t xml:space="preserve"> (ПБ от 17 января 1933 г.). — ОП. Решено: а) Выделить для переговоров с Кленксом, на условиях Вольфа, 150 тысяч тонн проката сверх 13 тысяч тонн, частично заказанных и заказываемых по контингенту 1 квартала, и 40 тысяч тонн качественных сталей (также на условиях Вольфа). б) Увеличить импортный контингент 1 квартала по прокату до 100 тысяч тонн. </w:t>
      </w:r>
      <w:hyperlink r:id="rId57" w:anchor="showunit&amp;id=85568" w:history="1">
        <w:r w:rsidRPr="0044524F">
          <w:rPr>
            <w:rStyle w:val="a5"/>
            <w:color w:val="000000" w:themeColor="text1"/>
            <w:sz w:val="16"/>
            <w:szCs w:val="16"/>
            <w:u w:val="none"/>
          </w:rPr>
          <w:t>70/52. О программе производства автомашин на Горьковском автозаводе</w:t>
        </w:r>
      </w:hyperlink>
      <w:r w:rsidRPr="0044524F">
        <w:rPr>
          <w:color w:val="000000" w:themeColor="text1"/>
          <w:sz w:val="16"/>
          <w:szCs w:val="16"/>
        </w:rPr>
        <w:t xml:space="preserve"> (ПБ от 29 января 1933 г.). Решено: 1. Признать необходимым, изменить программу производства легковых машин на Горьковском автозаводе, доведя ее в 1933 году до 10 тысяч машин, сократив соответственно производство грузовых машин. 2. Выделить 6 тысяч машин для села (для предов госкомиссии по определению урожайности, для райкомов, политотделов МТС и совхозов). 3. Предложить Молотову провести в 3</w:t>
      </w:r>
      <w:r w:rsidRPr="0044524F">
        <w:rPr>
          <w:color w:val="000000" w:themeColor="text1"/>
          <w:sz w:val="16"/>
          <w:szCs w:val="16"/>
        </w:rPr>
        <w:noBreakHyphen/>
        <w:t xml:space="preserve">дневный срок пункт первый данного постановления и определить календарные сроки проведения пункта второго. </w:t>
      </w:r>
      <w:hyperlink r:id="rId58" w:anchor="showunit&amp;id=85573" w:history="1">
        <w:r w:rsidRPr="0044524F">
          <w:rPr>
            <w:rStyle w:val="a5"/>
            <w:color w:val="000000" w:themeColor="text1"/>
            <w:sz w:val="16"/>
            <w:szCs w:val="16"/>
            <w:u w:val="none"/>
          </w:rPr>
          <w:t>75/57. План производства и распределения черных и цветных металлов на 1 квартал 1933 г.</w:t>
        </w:r>
      </w:hyperlink>
      <w:r w:rsidRPr="0044524F">
        <w:rPr>
          <w:color w:val="000000" w:themeColor="text1"/>
          <w:sz w:val="16"/>
          <w:szCs w:val="16"/>
        </w:rPr>
        <w:t xml:space="preserve"> (ПБ от 16 сентября 1932 г., пр. № 116, п. 30а). Решено: Вопрос передать на рассмотрение в СТО. 99/81. О ремонте тракторов и производстве запасных частей (ПБ от 24 января 1933 г., пр. № 29, п. 31рс). Решено: Утвердить проекты постановлений ЦК и СНК СССР: 1) Постановление ЦК и СНК СССР № 1 («Правда» от 30</w:t>
      </w:r>
      <w:r w:rsidRPr="0044524F">
        <w:rPr>
          <w:color w:val="000000" w:themeColor="text1"/>
          <w:sz w:val="16"/>
          <w:szCs w:val="16"/>
        </w:rPr>
        <w:noBreakHyphen/>
        <w:t>1</w:t>
      </w:r>
      <w:r w:rsidRPr="0044524F">
        <w:rPr>
          <w:color w:val="000000" w:themeColor="text1"/>
          <w:sz w:val="16"/>
          <w:szCs w:val="16"/>
        </w:rPr>
        <w:noBreakHyphen/>
        <w:t>1933); 2) Постановление ЦК и СНК СССР № 2; 3) Постановление ЦК и СНК СССР № 3; 4) Постановление ЦК и СНК СССР № 4; 5) Постановление ЦК (15462).</w:t>
      </w:r>
    </w:p>
    <w:p w14:paraId="0E63F833" w14:textId="77777777" w:rsidR="005B4B1E" w:rsidRPr="0044524F" w:rsidRDefault="005B4B1E" w:rsidP="009654CF">
      <w:pPr>
        <w:pStyle w:val="rtejustify"/>
        <w:spacing w:before="0" w:after="0"/>
        <w:rPr>
          <w:color w:val="000000" w:themeColor="text1"/>
          <w:sz w:val="16"/>
          <w:szCs w:val="16"/>
        </w:rPr>
      </w:pPr>
    </w:p>
    <w:p w14:paraId="2C3568D0" w14:textId="77777777" w:rsidR="000259E5" w:rsidRPr="0044524F" w:rsidRDefault="000259E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февраля 1933 г. в Ижевске был закончен механосборочный корпус на 2600 м2 и «приспособлены для всех прочих цехов помещения старой оружейной фабрики». В отличие от Ижастальзавода, Иомза имел неудовлетворительное оснащение оборудованием, а также весь период деятельности испытывал жесткий дефицит кадров. Поэтому к 1 мая 1933 г. из десяти запланированных удалось собрать лишь четыре мотоцикла НАТИ-А-750 и только два из них с коляской. В виду слабой оснащенности завода как временную меру для его загрузки, решили организовать изготовление «советских Декаве»: «…до момента освоения технологического процесса мотоциклов НАТИ-А 750 л.с. ИОМЗА со второго квартала 1933 г. будет строить мотоциклы «Л-300». В 1933 г. по программе завод должен дать стране 600 мотоциклов и 400 моторов». Новый мотоцикл назвали ИЖ-7. В докладе, подготовленном Автодором отмечалось: «Следует отметить, что Ленинградский завод «Красный октябрь», который должен был сдать Центральному Совету Общества Автодор в течение 1932 и 1933 гг. согласно заключенного с трестом «Вато-запчасть» в ноябре 1931 г. договора, 4000 мотоциклов Л-300, постановлением правительственных органов был передан в другое объединение и загружен специальными заказами. Данный завод хотя и предполагает в 1933 г. возобновить производство мотоциклов «Л-300», но в весьма минимальных размерах /300–350 машин/, так что на выполнение заводом договора на мотоциклы для Центрального Совета Общества Автодор в 1933 г. рассчитывать не приходится. Кроме того, за снижением программы резко увеличивается стоимость мотоциклов, достигая 6000 руб. за машину. Третий завод, производящий мотоциклы — Харьковский автосборочный Автомотовелотреста УССР имеет на 1933 г. программу лишь в 300 мотоциклов ХМЗ типа «Харлей-Дэвидсон» … и особых надежд на развитие мотоциклостроения на этом заводе в 1933 г. не имеется». На основе А-750 были выполнены проекты более мощного мотоцикла А-850 и двух легких — НАТИ-Б-375 и НАТИ-В-375, но в серийное производство эти мотоциклы не передавались. В июле все четыре А-750 и один ИЖ-7 своим ходом отправились в Москву для проведения госиспытаний, по окончании которых мотоцикл № 2 был передан в Политехнический музей. Судьба машины № 2 сложилась необычно. Мотоцикл был реквизирован «для нужд оборонной промышленности». После войны мотоцикл был списан и его выкупил Я. Д. Зузик, который восстановил А-750 и поддерживал в рабочем состоянии. После его смерти в 1994 г., А-750 был продан литовскому коллекционеру и сейчас находится у нового владельца. Как сложилась судьба остальных четырех машин, изготовленных ИОМЗА в мае 1933 г., неизвестно. Помимо А-750 № 2 в бывшем СССР имеется еще до нескольких десятков мотоциклов этой марки разной степени сохранности, но все они изготовлены не в Ижевске, причем комплектные машины очень большая редкость. По причине недостаточной оснащенности ИОМЗА руководство НКТП решило поручить производство Подольскому механическому заводу. Поэтому мотоцикл получил обозначение ПМЗ-А-750, ПМЗ-750 или просто ПМЗ. Первый ПМЗ-750 изготовили в начале февраля 1934 г. и отправили в Кремль на выставку, посвящённую Мотоциклы НАТИ-А-750 и ИЖ-7 постройки ИОМЗА перед пробегом в открытию XVII съезда ВКП(б). На руководство страны мотоцикл произвел хорошее впечатление, и оно отметило П. В. Можарова предоставлением отпуска и путёвки в санаторий ЦК партии в Сочи. Однако в серию А-750 пошел уже без его конструктора, так как Петр Можаров скончался при неясных обстоятельствах 11 марта 1934 г., находясь в официальном отпуске в том самом санатории ЦК ВКП(б) в Сочи. По одной из версий инженер застрелился из-за гонений властей, по другой — был убит. Там же в Сочи Петр Можаров и был похоронен. Могила Можарова долгое время считалась утерянной, но 5 февраля 2015 г. телеканал «Россия — Сочи» выпустил новостной сюжет, в котором сообщил, что сочинка Ружена Гребенюк, которая гуляла со своей собакой в районе Мемориала воинской славы в Завокзальном микрорайоне, обнаружила могильную плиту со слабо видневшейся надписью. Новость быстро облетела телевизионные и печатные СМИ, попала на интернет ресурсы. Место захоронения патриарха отечественного мотоциклостроения было обнаружено. Оставшись без конструктора, мотоцикл А-750 оказался в роли нелюбимого пасынка: за внедрение в серию и его совершенствование отвечали разные люди, что не могло не сказаться на конструктивном совершенстве и качестве постройки. Первые три серийных мотоцикла ПМЗ сдал только в 1935 г. К июлю было изготовлено еще 6, а следующие только в 1936 г. К числу существенных недостатков А-750 постройки ПМЗ относились плохая управляемость на больших скоростях из-за конструкции передней подвески, а также хронические проблемы с регулятором опережения зажигания. Двигатель был неудачно сбалансирован и вибрировал, а передачи переключались с большим трудом. Спортсмены быстро нашли способ устранить дефекты передней подвески и решить проблемы с двигателем и электрооборудованием, но в серию новшества так и не внедрили. Производство А-750 велось на ПМЗ до 1939 г. Предполагалось продолжить выпуск на заводе им. Фрунзе, но эти планы не были реализованы. В 1940 г. с уставного фонда Подольского механического завода Наркомобщмаша были списаны затраты на изготовление мотоциклов МПЗ-750 в связи со снятием с производства. По имеющимся на сегодня данным двумя заводами всего было изготовлено 4640 шт. А-750. С 1936 г. мотоциклы А-750 поступали в розничную продажу. Первоначально цена составляла 11 550 руб., а в 1937 г. ее снизили до 7760 руб. Около трети построенных мотоциклов поступило в народное хозяйство и частным владельцам, а остальные были в армии, войсках НКВД, в оборонной промышленности и у отдельных учреждений. Последние использовавшиеся военными ПМЗ-750 были списаны уже в послевоенный период с переоснащением армии мотоциклами Ирбитского завода. Хотя А-750 продолжали службу и в годы войны, военные в итоговых статистических документах их перестали учитывать отдельной строкой. Поэтому проследить судьбу этих мотоциклов можно по документам не руководящих воинских структур, а самих военных частей на основании фотоматериалов или доверившись памяти ветеранов. В годы войны не все тяжелые мотоциклы были мобилизованы в армию. По данным доклада ГАИ НКВД к 1 мая 1942 г. на предприятиях и в учреждениях народного хозяйства, а также у частных владельцев, имелось 1646 тяжелых мотоциклов с колясками, в том числе 1254 А-750. Видно, что в народном хозяйстве в годы войны из тяжелых мотоциклов А-750 составляли абсолютное большинство. Нерешенность вопроса оснащения Красной Армии мотоциклами, выпуск А-750 даже в оптимистичных планах был явно недостаточным, вынудила военных обратиться к руководству страны. От имени НКО 19 октября 1934 г. начальник Политуправления РККА Ян Гамарник направил в ЦК Партии представление №13243сс об организации производств мотоциклов. В нем говорилось: «К настоящему времени в стране производится несколько десятков мотоциклов в год полукустарным порядком. В Ленинграде на заводе «Красный Октябрь» изготовляется мотоцикл типа Л-300 — двухтактный, малосильный. Выпуск этих мотоциклов в 1934 году производится в количестве не более 50–60 штук в год. На Ижевском заводе в опытном порядке построено 4 мотоцикла. Между тем потребность в мотоцикле крайне велика, как для армии, так и для народного хозяйства. Мотоцикл нужен: 1) для армии, как важнейшее средство разведки, связи и управления 2) для службы пограничной охраны 3) для обслуживания милиции 4) как средство коммунального обслуживания города и деревни: перевозка почты, средство связи, подача первой медицинской помощи и т. д. 5) как один из видов спорта для внедрения в массы автомобильной культуры и техники, а также для подготовки кадров для армии. Мотоцикл не требует сложного технического обслуживания, не требует постройки гаражей, потребляет мало горючего. Считая этот вопрос крайне важным для армии и других нужд страны, прошу Вас рассмотреть этот вопрос с тем, чтобы обеспечить уже в 35 году значительное развертывание производства мотоциклов» (19776).</w:t>
      </w:r>
    </w:p>
    <w:p w14:paraId="1802B474" w14:textId="77777777" w:rsidR="000259E5" w:rsidRPr="0044524F" w:rsidRDefault="000259E5" w:rsidP="009654CF">
      <w:pPr>
        <w:spacing w:after="0" w:line="240" w:lineRule="auto"/>
        <w:jc w:val="both"/>
        <w:rPr>
          <w:rFonts w:ascii="Times New Roman" w:hAnsi="Times New Roman"/>
          <w:color w:val="000000" w:themeColor="text1"/>
          <w:sz w:val="16"/>
          <w:szCs w:val="16"/>
        </w:rPr>
      </w:pPr>
    </w:p>
    <w:p w14:paraId="3AD1852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1933 г.</w:t>
      </w:r>
    </w:p>
    <w:p w14:paraId="12EE202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1</w:t>
      </w:r>
    </w:p>
    <w:p w14:paraId="5454631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8 пр. ПБ № 129.</w:t>
      </w:r>
    </w:p>
    <w:p w14:paraId="446A4AE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3CC8B98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http://sovdoc.rusarchives.ru</w:t>
      </w:r>
    </w:p>
    <w:p w14:paraId="7B81D3D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3EA9E07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РГАСПИ. Ф. 17. Оп. 3. Д. 914. Л. 29-32; РГАСПИ. Ф. 17. Оп. 162. Д. 14. Л. 55-56.</w:t>
      </w:r>
    </w:p>
    <w:p w14:paraId="1614EF9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комиссии т. Молотова.</w:t>
      </w:r>
    </w:p>
    <w:p w14:paraId="3C38AD8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(Утверждено Политбюро ЦК ВКП(б) 1 февраля 1933 г.)</w:t>
      </w:r>
    </w:p>
    <w:p w14:paraId="6565F1E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По балансу нефтепродуктов на 1933 г.</w:t>
      </w:r>
    </w:p>
    <w:p w14:paraId="12FF01C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Решение — особая папка.</w:t>
      </w:r>
    </w:p>
    <w:p w14:paraId="5BF4836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из добычи нефти и газа по Союзу на 1933 год в 24,4 млн. т, принять следующие ресурсы нефтепродуктов из производства:</w:t>
      </w:r>
    </w:p>
    <w:p w14:paraId="4E625BF7" w14:textId="034130C5"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бензинам....................... 2.577</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тыс. т</w:t>
      </w:r>
    </w:p>
    <w:p w14:paraId="2E6EE02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лигроинам........................ 423,5 тыс. т</w:t>
      </w:r>
    </w:p>
    <w:p w14:paraId="6E99442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8D96BA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бензино-лигроиновых фракций: 3.000,5 тыс. т</w:t>
      </w:r>
    </w:p>
    <w:p w14:paraId="1803E8DF" w14:textId="3D0F55F2"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керосину....................... 4.056</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тыс. т</w:t>
      </w:r>
    </w:p>
    <w:p w14:paraId="69096882" w14:textId="741FC386"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т.ч. из запасов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50 тыс. т</w:t>
      </w:r>
    </w:p>
    <w:p w14:paraId="28FB3798" w14:textId="7AC49DD9"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газойлю.......................... 600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тыс. т</w:t>
      </w:r>
    </w:p>
    <w:p w14:paraId="48907911" w14:textId="697E84EC"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нефтетопливу.................. 10.535</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тыс. т</w:t>
      </w:r>
    </w:p>
    <w:p w14:paraId="6981598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Решение — особая папка.</w:t>
      </w:r>
    </w:p>
    <w:p w14:paraId="2253FCB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следующее распределение нефтепродуктов между внутренним и внешним ринками: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55"/>
        <w:gridCol w:w="2805"/>
        <w:gridCol w:w="3262"/>
      </w:tblGrid>
      <w:tr w:rsidR="004E10C1" w:rsidRPr="0044524F" w14:paraId="41AEED94"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12B13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724DE9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D659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Внутр. рынок</w:t>
            </w:r>
          </w:p>
        </w:tc>
      </w:tr>
      <w:tr w:rsidR="004E10C1" w:rsidRPr="0044524F" w14:paraId="43522C1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DD288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Бензинов и лигроинов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95E4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26DF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 тыс. т</w:t>
            </w:r>
          </w:p>
        </w:tc>
      </w:tr>
      <w:tr w:rsidR="004E10C1" w:rsidRPr="0044524F" w14:paraId="642148F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73775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Керосина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6AC9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7B7C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3.316 тыс. т</w:t>
            </w:r>
          </w:p>
        </w:tc>
      </w:tr>
      <w:tr w:rsidR="004E10C1" w:rsidRPr="0044524F" w14:paraId="7E56866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F9347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Уотер-Уайт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5EF2C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3A61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3B0F42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6E3DE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Газойля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8F0A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45F41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1EF703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92B2E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Нефтетоплива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595F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6B6127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8.785 тыс. т</w:t>
            </w:r>
          </w:p>
        </w:tc>
      </w:tr>
      <w:tr w:rsidR="004E10C1" w:rsidRPr="0044524F" w14:paraId="7E4633D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B0DA0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Сырой нефти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9158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1ABFE43"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bl>
    <w:p w14:paraId="663FC7B3"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принятых к распределению нефтепродуктов, для внутреннего рынка установить нераспределенный резерв:</w:t>
      </w:r>
    </w:p>
    <w:p w14:paraId="37DCFCF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 распоряжении Комитета резервов СТО:</w:t>
      </w:r>
    </w:p>
    <w:p w14:paraId="33E1488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бензинам............ 100 тыс. т</w:t>
      </w:r>
    </w:p>
    <w:p w14:paraId="64A830B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керосину............ 200 тыс. т</w:t>
      </w:r>
    </w:p>
    <w:p w14:paraId="2362D0B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нефтетопливу........ 500 тыс. т</w:t>
      </w:r>
    </w:p>
    <w:p w14:paraId="20EE320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 резерве НКТП — 500 тыс. тонн нефтетоплива.</w:t>
      </w:r>
    </w:p>
    <w:p w14:paraId="6D023B2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Детальное распределение нефтепродуктов между экспортом и внутренним рынком установить согласно прилагаемого списка (см. приложение № 1).</w:t>
      </w:r>
    </w:p>
    <w:p w14:paraId="09A4A76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Предложить НК РКИ СССР представить в СТО в 15</w:t>
      </w:r>
      <w:r w:rsidRPr="0044524F">
        <w:rPr>
          <w:rFonts w:ascii="Times New Roman" w:hAnsi="Times New Roman"/>
          <w:color w:val="000000" w:themeColor="text1"/>
          <w:sz w:val="16"/>
          <w:szCs w:val="16"/>
        </w:rPr>
        <w:noBreakHyphen/>
        <w:t>дневный срок пересмотренные нормы потребления авто-тракторного горючего и проект мероприятий по максимальной экономии его расхода.</w:t>
      </w:r>
    </w:p>
    <w:p w14:paraId="0CB7F37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Образовать постоянную комиссию под председательством тов. Куйбышева, в составе т.т. Ломова, Косиора, Антипова, Миронова и Шемятовсксго для максимального сокращения расхода нефтетоплива всеми потребителями, путем перевода их на другие виды топлива.</w:t>
      </w:r>
    </w:p>
    <w:p w14:paraId="0803E12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комиссию ежемесячно докладывать СТО о принятых ею мероприятиях.</w:t>
      </w:r>
    </w:p>
    <w:p w14:paraId="17E1E64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Поручить СТО, в целях увеличения ресурсов, до 15 февраля с. г. пересмотреть стандарты авто-бензина, осветительного керосина, тяжелого моторного топлива и топочного мазута, отпускаемых внутреннему рынку.</w:t>
      </w:r>
    </w:p>
    <w:p w14:paraId="504CA383"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Обязать НКТП добиться в 1933 году снижения расхода топлива на собственные нужды и потери в нефтяной промышленности на 10%, по сравнению с фактическим расходом 1932 года.</w:t>
      </w:r>
    </w:p>
    <w:p w14:paraId="2729B16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Предложить НКВнешторгу, при регулировании поставок нефтепродуктов и нефтетоплива, добиться того, чтобы исключить простои судов и фрахтовать суда в соответствии с ресурсами, подлежащими вывозу.</w:t>
      </w:r>
    </w:p>
    <w:p w14:paraId="0586B97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Для обеспечения плана 1933 года.</w:t>
      </w:r>
    </w:p>
    <w:p w14:paraId="1C8510C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программ по бурению на 193З год:</w:t>
      </w:r>
    </w:p>
    <w:p w14:paraId="37E144E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Предложить НКТП, с заключением Госплана, в 10</w:t>
      </w:r>
      <w:r w:rsidRPr="0044524F">
        <w:rPr>
          <w:rFonts w:ascii="Times New Roman" w:hAnsi="Times New Roman"/>
          <w:color w:val="000000" w:themeColor="text1"/>
          <w:sz w:val="16"/>
          <w:szCs w:val="16"/>
        </w:rPr>
        <w:noBreakHyphen/>
        <w:t>дневный срок, представить в Политбюро свои предложения о программе капитальных работ и о плане импорта для нефтепромышленности.</w:t>
      </w:r>
    </w:p>
    <w:p w14:paraId="581D755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Обязать НКВТ, под личную ответственность т. Розенгольца, обеспечить отгрузку выделенных для нефтяной промышленности импортных труб в первом квартале 1933 года.</w:t>
      </w:r>
    </w:p>
    <w:p w14:paraId="7D2B442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Подтвердить постановление НКТП от 14 декабря 1932 года, № 783, о поставке специального и общего оборудования для нефтяной промышленности. Обязать НКТП полностью выполнить эту поставку, с точным соблюдением сроков отгрузки.</w:t>
      </w:r>
    </w:p>
    <w:p w14:paraId="7FE252D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Утвердить установленные Госпланом и согласованные с НКТП, фонды труб для нефтяной промышленности (см. приложение № 2). Обязать Госплан и НКТП в квартальных планах исходить из этого количества труб для нефтяной промышленности.</w:t>
      </w:r>
    </w:p>
    <w:p w14:paraId="28904D9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Утвердить установленные Госпланом фонды снабжения нефтяной промышленности основными материалами, согласно прилагаемой таблицы (см. приложение № 3). Обязать Госплан и НКТП при утверждении квартальных планов исходить из установленного выше количества материалов.</w:t>
      </w:r>
    </w:p>
    <w:p w14:paraId="42FD1A6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Обязать НКЛес и НКВод (по Каспийскому пароходству) обеспечить отправку из Астрахани в период навигации по Каспийскому морю для нефтетрестов пиленого и круглого леса в количествах, установленных п. 5.</w:t>
      </w:r>
    </w:p>
    <w:p w14:paraId="02E9DF7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Распространить на нефтетресты порядок первоочередной отправки материальных и продовольственных грузов, установленный для золотоплатиновых предприятий постановлением КомСТО по перевозкам от 14.VI.1932 г., за № 30.</w:t>
      </w:r>
    </w:p>
    <w:p w14:paraId="612FBFF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Предоставить в распоряжение нефтяной промышленности 15</w:t>
      </w:r>
      <w:r w:rsidRPr="0044524F">
        <w:rPr>
          <w:rFonts w:ascii="Times New Roman" w:hAnsi="Times New Roman"/>
          <w:color w:val="000000" w:themeColor="text1"/>
          <w:sz w:val="16"/>
          <w:szCs w:val="16"/>
        </w:rPr>
        <w:noBreakHyphen/>
        <w:t>20 тракторов системы “Коммунар”.</w:t>
      </w:r>
    </w:p>
    <w:p w14:paraId="7FE41C6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1.</w:t>
      </w:r>
    </w:p>
    <w:p w14:paraId="6D21A82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Распределение нефтепродуктов между экспортом и внутренним рынком.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04"/>
        <w:gridCol w:w="1472"/>
        <w:gridCol w:w="2124"/>
        <w:gridCol w:w="2222"/>
      </w:tblGrid>
      <w:tr w:rsidR="004E10C1" w:rsidRPr="0044524F" w14:paraId="0553122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3DB8C3"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Название товара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E5F8C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54E9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Внутренний</w:t>
            </w:r>
          </w:p>
          <w:p w14:paraId="272408F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рынок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7A71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за год.</w:t>
            </w:r>
          </w:p>
        </w:tc>
      </w:tr>
      <w:tr w:rsidR="004E10C1" w:rsidRPr="0044524F" w14:paraId="161D6504"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B228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 бакинский экспортный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D97704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B1D3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57,8</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CEDD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412,8</w:t>
            </w:r>
          </w:p>
        </w:tc>
      </w:tr>
      <w:tr w:rsidR="004E10C1" w:rsidRPr="0044524F" w14:paraId="13AEC7C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B9135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 грозненский легкий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728802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8EF7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97C6B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612,5</w:t>
            </w:r>
          </w:p>
        </w:tc>
      </w:tr>
      <w:tr w:rsidR="004E10C1" w:rsidRPr="0044524F" w14:paraId="4C6B17B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1DAD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 грозненский тяжелый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5E6B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FD3B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8FA6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642</w:t>
            </w:r>
          </w:p>
        </w:tc>
      </w:tr>
      <w:tr w:rsidR="004E10C1" w:rsidRPr="0044524F" w14:paraId="429E608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7A6AB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 крекинг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D3CD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39A5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75933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704</w:t>
            </w:r>
          </w:p>
        </w:tc>
      </w:tr>
      <w:tr w:rsidR="004E10C1" w:rsidRPr="0044524F" w14:paraId="0A33C79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E90A6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 авиационный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2087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4A686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95498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r>
      <w:tr w:rsidR="004E10C1" w:rsidRPr="0044524F" w14:paraId="5170DB7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DDBF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 прочий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CEF0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1A6D8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9B92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100,7</w:t>
            </w:r>
          </w:p>
        </w:tc>
      </w:tr>
      <w:tr w:rsidR="004E10C1" w:rsidRPr="0044524F" w14:paraId="2AFFE1A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A05D63"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бензинов: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B942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F794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907</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D76B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2.577</w:t>
            </w:r>
          </w:p>
        </w:tc>
      </w:tr>
      <w:tr w:rsidR="004E10C1" w:rsidRPr="0044524F" w14:paraId="1561323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7FE29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Лигроин бакинский экспортный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3789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100¹</w:t>
            </w:r>
          </w:p>
        </w:tc>
        <w:tc>
          <w:tcPr>
            <w:tcW w:w="0" w:type="auto"/>
            <w:tcBorders>
              <w:top w:val="outset" w:sz="6" w:space="0" w:color="auto"/>
              <w:left w:val="outset" w:sz="6" w:space="0" w:color="auto"/>
              <w:bottom w:val="outset" w:sz="6" w:space="0" w:color="auto"/>
              <w:right w:val="outset" w:sz="6" w:space="0" w:color="auto"/>
            </w:tcBorders>
            <w:vAlign w:val="center"/>
            <w:hideMark/>
          </w:tcPr>
          <w:p w14:paraId="19D52CB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22353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0858970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CF2AC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Лигроин прочий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A9489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1E3E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A1E19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263,5</w:t>
            </w:r>
          </w:p>
        </w:tc>
      </w:tr>
      <w:tr w:rsidR="004E10C1" w:rsidRPr="0044524F" w14:paraId="2906ADCA"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A5D4D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Уайт-спирт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2D68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4DE40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30826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r>
      <w:tr w:rsidR="004E10C1" w:rsidRPr="0044524F" w14:paraId="1EA987D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45DD1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лигроинов: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FE333"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FBCA3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941A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423,5</w:t>
            </w:r>
          </w:p>
        </w:tc>
      </w:tr>
      <w:tr w:rsidR="004E10C1" w:rsidRPr="0044524F" w14:paraId="7EAC3E1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CDD22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бензинов и лигроинов: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B04F0C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796A3E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1A3D3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3.000,5</w:t>
            </w:r>
          </w:p>
        </w:tc>
      </w:tr>
      <w:tr w:rsidR="004E10C1" w:rsidRPr="0044524F" w14:paraId="3655B6C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654E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Керосин уотер-уайт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84722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BC6D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A6FD7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4846F1F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51211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Керосин обыкновенный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06F6FC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20323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33F4E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3.856</w:t>
            </w:r>
          </w:p>
        </w:tc>
      </w:tr>
      <w:tr w:rsidR="004E10C1" w:rsidRPr="0044524F" w14:paraId="508949D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BCBB4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керосинов: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AC33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F854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7962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4.056</w:t>
            </w:r>
          </w:p>
        </w:tc>
      </w:tr>
      <w:tr w:rsidR="004E10C1" w:rsidRPr="0044524F" w14:paraId="386AD1FB"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E1880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Газойль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B673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4063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10612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70E5EBA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065D5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Веретенное масло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8375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0B36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EDD8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281,4</w:t>
            </w:r>
          </w:p>
        </w:tc>
      </w:tr>
      <w:tr w:rsidR="004E10C1" w:rsidRPr="0044524F" w14:paraId="1EA0F2A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8E041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Машинное масло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63FB69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180²</w:t>
            </w:r>
          </w:p>
        </w:tc>
        <w:tc>
          <w:tcPr>
            <w:tcW w:w="0" w:type="auto"/>
            <w:tcBorders>
              <w:top w:val="outset" w:sz="6" w:space="0" w:color="auto"/>
              <w:left w:val="outset" w:sz="6" w:space="0" w:color="auto"/>
              <w:bottom w:val="outset" w:sz="6" w:space="0" w:color="auto"/>
              <w:right w:val="outset" w:sz="6" w:space="0" w:color="auto"/>
            </w:tcBorders>
            <w:vAlign w:val="center"/>
            <w:hideMark/>
          </w:tcPr>
          <w:p w14:paraId="154D206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06C2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r>
      <w:tr w:rsidR="004E10C1" w:rsidRPr="0044524F" w14:paraId="173BEDC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88A64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машинного и веретенного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0274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F595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246,4</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3E95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461,4</w:t>
            </w:r>
          </w:p>
        </w:tc>
      </w:tr>
      <w:tr w:rsidR="004E10C1" w:rsidRPr="0044524F" w14:paraId="1183A1D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1CA03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Автолы и авиац.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23C148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5ED880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346,2</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8DC9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346,2</w:t>
            </w:r>
          </w:p>
        </w:tc>
      </w:tr>
      <w:tr w:rsidR="004E10C1" w:rsidRPr="0044524F" w14:paraId="39076D5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3864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Брайт-стоки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3F45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E27D0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E4A12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r>
      <w:tr w:rsidR="004E10C1" w:rsidRPr="0044524F" w14:paraId="1F86ADC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FAC5C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Трансформаторное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B83147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EB55F6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A504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32,8</w:t>
            </w:r>
          </w:p>
        </w:tc>
      </w:tr>
      <w:tr w:rsidR="004E10C1" w:rsidRPr="0044524F" w14:paraId="166A2AD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C57A0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Соляровое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7CE2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DDCF6C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142,9</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0F3074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242,9</w:t>
            </w:r>
          </w:p>
        </w:tc>
      </w:tr>
      <w:tr w:rsidR="004E10C1" w:rsidRPr="0044524F" w14:paraId="1DF29A5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FA7F5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Цилиндровое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391B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8299E93" w14:textId="77777777" w:rsidR="003F580B" w:rsidRPr="0044524F" w:rsidRDefault="003F580B" w:rsidP="009654C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FB56BB9" w14:textId="77777777" w:rsidR="003F580B" w:rsidRPr="0044524F" w:rsidRDefault="003F580B" w:rsidP="009654CF">
            <w:pPr>
              <w:spacing w:after="0" w:line="240" w:lineRule="auto"/>
              <w:jc w:val="both"/>
              <w:rPr>
                <w:rFonts w:ascii="Times New Roman" w:hAnsi="Times New Roman"/>
                <w:color w:val="000000" w:themeColor="text1"/>
                <w:sz w:val="16"/>
                <w:szCs w:val="16"/>
              </w:rPr>
            </w:pPr>
          </w:p>
        </w:tc>
      </w:tr>
      <w:tr w:rsidR="004E10C1" w:rsidRPr="0044524F" w14:paraId="6041CD2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18828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Прочие масла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45D5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18DCCD0" w14:textId="77777777" w:rsidR="003F580B" w:rsidRPr="0044524F" w:rsidRDefault="003F580B" w:rsidP="009654C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7F72B37" w14:textId="77777777" w:rsidR="003F580B" w:rsidRPr="0044524F" w:rsidRDefault="003F580B" w:rsidP="009654CF">
            <w:pPr>
              <w:spacing w:after="0" w:line="240" w:lineRule="auto"/>
              <w:jc w:val="both"/>
              <w:rPr>
                <w:rFonts w:ascii="Times New Roman" w:hAnsi="Times New Roman"/>
                <w:color w:val="000000" w:themeColor="text1"/>
                <w:sz w:val="16"/>
                <w:szCs w:val="16"/>
              </w:rPr>
            </w:pPr>
          </w:p>
        </w:tc>
      </w:tr>
      <w:tr w:rsidR="004E10C1" w:rsidRPr="0044524F" w14:paraId="1EDB26E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68017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разных масел: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E450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BA40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0124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301,7</w:t>
            </w:r>
          </w:p>
        </w:tc>
      </w:tr>
      <w:tr w:rsidR="004E10C1" w:rsidRPr="0044524F" w14:paraId="2877C50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7073B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Парафин</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305D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0DD51B2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034D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23,7</w:t>
            </w:r>
          </w:p>
        </w:tc>
      </w:tr>
      <w:tr w:rsidR="004E10C1" w:rsidRPr="0044524F" w14:paraId="5CABB44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CE0B0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Асфальт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C8A374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784E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227,6</w:t>
            </w:r>
          </w:p>
        </w:tc>
        <w:tc>
          <w:tcPr>
            <w:tcW w:w="0" w:type="auto"/>
            <w:tcBorders>
              <w:top w:val="outset" w:sz="6" w:space="0" w:color="auto"/>
              <w:left w:val="outset" w:sz="6" w:space="0" w:color="auto"/>
              <w:bottom w:val="outset" w:sz="6" w:space="0" w:color="auto"/>
              <w:right w:val="outset" w:sz="6" w:space="0" w:color="auto"/>
            </w:tcBorders>
            <w:vAlign w:val="center"/>
            <w:hideMark/>
          </w:tcPr>
          <w:p w14:paraId="6D331B5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297,6</w:t>
            </w:r>
          </w:p>
        </w:tc>
      </w:tr>
      <w:tr w:rsidR="004E10C1" w:rsidRPr="0044524F" w14:paraId="736F354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3047D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Смазочный мазут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140A51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B81E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14:paraId="2C84885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w:t>
            </w:r>
          </w:p>
        </w:tc>
      </w:tr>
      <w:tr w:rsidR="004E10C1" w:rsidRPr="0044524F" w14:paraId="00A3C9A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5B4C5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Моторное топливо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D83E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9C88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1.309,8</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F935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1.309,8</w:t>
            </w:r>
          </w:p>
        </w:tc>
      </w:tr>
      <w:tr w:rsidR="004E10C1" w:rsidRPr="0044524F" w14:paraId="202E226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7B876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Мазут бакинский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6205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2133EC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7.475,2</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75C04B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9.225,2</w:t>
            </w:r>
          </w:p>
        </w:tc>
      </w:tr>
      <w:tr w:rsidR="004E10C1" w:rsidRPr="0044524F" w14:paraId="051AAFF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EA59D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Мазут грозненский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4EB63"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F4718D7" w14:textId="77777777" w:rsidR="003F580B" w:rsidRPr="0044524F" w:rsidRDefault="003F580B" w:rsidP="009654C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590F52D" w14:textId="77777777" w:rsidR="003F580B" w:rsidRPr="0044524F" w:rsidRDefault="003F580B" w:rsidP="009654CF">
            <w:pPr>
              <w:spacing w:after="0" w:line="240" w:lineRule="auto"/>
              <w:jc w:val="both"/>
              <w:rPr>
                <w:rFonts w:ascii="Times New Roman" w:hAnsi="Times New Roman"/>
                <w:color w:val="000000" w:themeColor="text1"/>
                <w:sz w:val="16"/>
                <w:szCs w:val="16"/>
              </w:rPr>
            </w:pPr>
          </w:p>
        </w:tc>
      </w:tr>
      <w:tr w:rsidR="004E10C1" w:rsidRPr="0044524F" w14:paraId="55D0E3E4"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DD70C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нефтетоплива: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D0253"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8EF74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8.785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B04EE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10.535</w:t>
            </w:r>
          </w:p>
        </w:tc>
      </w:tr>
      <w:tr w:rsidR="004E10C1" w:rsidRPr="0044524F" w14:paraId="507E0E5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C37D1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Нефть бакинская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2BE5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CC10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731C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10E86C3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F7FD8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Нефть грозненская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64EE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CECF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ABE12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14A43AC1"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8BF01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Нефть сахалинская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67D1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79DA4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B7F0F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r>
    </w:tbl>
    <w:p w14:paraId="7B6EBDE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Примечания к таблице:</w:t>
      </w:r>
    </w:p>
    <w:p w14:paraId="62772A5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¹ из них 35 тыс. т. для примеси к бензину.</w:t>
      </w:r>
    </w:p>
    <w:p w14:paraId="109F4DA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² из них 30 тыс. т. качест. внутр. р.</w:t>
      </w:r>
    </w:p>
    <w:p w14:paraId="4A72CC8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³ из них 9 тыс. т тяжелого.</w:t>
      </w:r>
    </w:p>
    <w:p w14:paraId="311DD84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2.</w:t>
      </w:r>
    </w:p>
    <w:p w14:paraId="60FEBED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Фонды на трубы для нефтяной промышленности на 1933 г. и 1</w:t>
      </w:r>
      <w:r w:rsidRPr="0044524F">
        <w:rPr>
          <w:rFonts w:ascii="Times New Roman" w:hAnsi="Times New Roman"/>
          <w:color w:val="000000" w:themeColor="text1"/>
          <w:sz w:val="16"/>
          <w:szCs w:val="16"/>
        </w:rPr>
        <w:noBreakHyphen/>
        <w:t>й квартал 1933 г.</w:t>
      </w:r>
    </w:p>
    <w:p w14:paraId="27ECD81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(Установленные Госпланом СССР).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70"/>
        <w:gridCol w:w="1023"/>
        <w:gridCol w:w="2084"/>
        <w:gridCol w:w="2645"/>
      </w:tblGrid>
      <w:tr w:rsidR="004E10C1" w:rsidRPr="0044524F" w14:paraId="69E48AE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9A4F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CAB938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Учетная</w:t>
            </w:r>
          </w:p>
          <w:p w14:paraId="2D480B3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единица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3476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Фонды на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35F42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Фонды на I кв. 19ЗЗ г.</w:t>
            </w:r>
          </w:p>
        </w:tc>
      </w:tr>
      <w:tr w:rsidR="004E10C1" w:rsidRPr="0044524F" w14:paraId="248FFAB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B1C11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Трубы обсадные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9954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FA8D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2E26B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r>
      <w:tr w:rsidR="004E10C1" w:rsidRPr="0044524F" w14:paraId="6EC99AEA"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2914BB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1194A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C808BD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22B7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r w:rsidR="004E10C1" w:rsidRPr="0044524F" w14:paraId="7268DEA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48EF6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Трубы нефтепроводные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228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69D0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323003"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7,93</w:t>
            </w:r>
          </w:p>
        </w:tc>
      </w:tr>
      <w:tr w:rsidR="004E10C1" w:rsidRPr="0044524F" w14:paraId="588468D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24E03"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Трубы бурильные и насосно-компрессорные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E79C7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B214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79D2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16,21</w:t>
            </w:r>
          </w:p>
        </w:tc>
      </w:tr>
      <w:tr w:rsidR="004E10C1" w:rsidRPr="0044524F" w14:paraId="63D124E2"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B5C6C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97559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AB25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9319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r>
      <w:tr w:rsidR="004E10C1" w:rsidRPr="0044524F" w14:paraId="020490B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80CB9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Трубы специальные цельнотянутые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D0E4ED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488A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AEE4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51F7D119"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2F507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импорт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2E6BE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E4DC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9D5B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591DDE6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1D983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Трубы газовые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4E0D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2DC7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1AAA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r>
    </w:tbl>
    <w:p w14:paraId="69EA05A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3.</w:t>
      </w:r>
    </w:p>
    <w:p w14:paraId="51E801F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Фонды снабжения нефтяной промышленности основными материалами на 1933 г. и 1</w:t>
      </w:r>
      <w:r w:rsidRPr="0044524F">
        <w:rPr>
          <w:rFonts w:ascii="Times New Roman" w:hAnsi="Times New Roman"/>
          <w:color w:val="000000" w:themeColor="text1"/>
          <w:sz w:val="16"/>
          <w:szCs w:val="16"/>
        </w:rPr>
        <w:noBreakHyphen/>
        <w:t>й кв. 1933 г.</w:t>
      </w:r>
    </w:p>
    <w:p w14:paraId="4CA0CF0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(Установленные Госпланом СССР).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92"/>
        <w:gridCol w:w="1477"/>
        <w:gridCol w:w="1342"/>
        <w:gridCol w:w="1611"/>
      </w:tblGrid>
      <w:tr w:rsidR="004E10C1" w:rsidRPr="0044524F" w14:paraId="61DB07B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32248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материалов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FBCE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Учетная</w:t>
            </w:r>
          </w:p>
          <w:p w14:paraId="26EF122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единица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C9773E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Фонды на</w:t>
            </w:r>
          </w:p>
          <w:p w14:paraId="194523D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7C527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Фонды на</w:t>
            </w:r>
          </w:p>
          <w:p w14:paraId="18752A0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 19ЗЗ г.</w:t>
            </w:r>
          </w:p>
        </w:tc>
      </w:tr>
      <w:tr w:rsidR="004E10C1" w:rsidRPr="0044524F" w14:paraId="0D6067D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C4E7C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Металл-прокат (на производство и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BA7E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481F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A93A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r>
      <w:tr w:rsidR="004E10C1" w:rsidRPr="0044524F" w14:paraId="148E505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67C264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железо листовое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4573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422BD63"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C841B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r>
      <w:tr w:rsidR="004E10C1" w:rsidRPr="0044524F" w14:paraId="6899E4CA"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ACF64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кровельное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1692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9DC933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5,285</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8F48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r>
      <w:tr w:rsidR="004E10C1" w:rsidRPr="0044524F" w14:paraId="63C414EC"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EAFC1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сортовое (без обер.)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BD4D41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A68B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07BA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2,36</w:t>
            </w:r>
          </w:p>
        </w:tc>
      </w:tr>
      <w:tr w:rsidR="004E10C1" w:rsidRPr="0044524F" w14:paraId="60D71F4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63937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обручное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D7ED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5970D7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D4E0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0,64</w:t>
            </w:r>
          </w:p>
        </w:tc>
      </w:tr>
      <w:tr w:rsidR="004E10C1" w:rsidRPr="0044524F" w14:paraId="46956C0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D8FF7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балки и швеллера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CCD23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A6AD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19D8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0,4</w:t>
            </w:r>
          </w:p>
        </w:tc>
      </w:tr>
      <w:tr w:rsidR="004E10C1" w:rsidRPr="0044524F" w14:paraId="61992EA6"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5E51E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катанка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8494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FA0247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A5181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0,15</w:t>
            </w:r>
          </w:p>
        </w:tc>
      </w:tr>
      <w:tr w:rsidR="004E10C1" w:rsidRPr="0044524F" w14:paraId="5D8DB3F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F746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Рельсы широкой колеи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C41E5B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77EB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42FE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8D595D7"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3CD8E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Рельсы узкой колеи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95AD4A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D4C1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BAE2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6F28DE0"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E23A5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Гвозди (на производство и строительство)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5E5D2C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CD42A0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E4E6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0,55</w:t>
            </w:r>
          </w:p>
        </w:tc>
      </w:tr>
      <w:tr w:rsidR="004E10C1" w:rsidRPr="0044524F" w14:paraId="1B63A4B5"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3996A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Лес круглый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55B10"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39338E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B93D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r>
      <w:tr w:rsidR="004E10C1" w:rsidRPr="0044524F" w14:paraId="15094668"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B2620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завоз из Астрахани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68BD0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89EB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EB9C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F10A7A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DED21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Лес пиленый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22E425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3B43E8E"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0887B"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r>
      <w:tr w:rsidR="004E10C1" w:rsidRPr="0044524F" w14:paraId="11A95BF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FDA59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 ч. завоз из Астрахани</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744F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куб.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CAE665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9F06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4FF89FE"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93AE34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Цемент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32F24D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52F7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A962A"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r>
      <w:tr w:rsidR="004E10C1" w:rsidRPr="0044524F" w14:paraId="0FF8C17F"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5DD314"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Толь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77F22"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F54FF2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CDB07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r>
      <w:tr w:rsidR="004E10C1" w:rsidRPr="0044524F" w14:paraId="5AF4721B"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23D1F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Рубероид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9FC3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DB8D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A3C9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47,5</w:t>
            </w:r>
          </w:p>
        </w:tc>
      </w:tr>
      <w:tr w:rsidR="004E10C1" w:rsidRPr="0044524F" w14:paraId="01FDE7D3"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ECA678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Шифер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35BB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29768"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474A66"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r>
      <w:tr w:rsidR="004E10C1" w:rsidRPr="0044524F" w14:paraId="2F713C6D" w14:textId="77777777" w:rsidTr="00150B9C">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3490C"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Стекло оконное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5F819"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кв.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C465"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A21D7"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bl>
    <w:p w14:paraId="2627FD3D"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Примечания к таблице:</w:t>
      </w:r>
    </w:p>
    <w:p w14:paraId="672AC641"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Квартальные целевые фонды должны устанавливаться Госпланом и НКТП, исходя из полного покрытия установленных на 1933 г. годовых фондов, а на 2</w:t>
      </w:r>
      <w:r w:rsidRPr="0044524F">
        <w:rPr>
          <w:rFonts w:ascii="Times New Roman" w:hAnsi="Times New Roman"/>
          <w:color w:val="000000" w:themeColor="text1"/>
          <w:sz w:val="16"/>
          <w:szCs w:val="16"/>
        </w:rPr>
        <w:noBreakHyphen/>
        <w:t>й квартал — исходя из полного покрытия полугодовых фондов.</w:t>
      </w:r>
    </w:p>
    <w:p w14:paraId="6F04952F" w14:textId="77777777" w:rsidR="003F580B" w:rsidRPr="0044524F" w:rsidRDefault="003F5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Целевые фонды должны устанавливаться Госпланом и НКТП и на все метизы, реагенты и кабельные изделия (18034).</w:t>
      </w:r>
    </w:p>
    <w:p w14:paraId="1DDC29A8" w14:textId="77777777" w:rsidR="003F580B" w:rsidRPr="0044524F" w:rsidRDefault="003F580B" w:rsidP="009654CF">
      <w:pPr>
        <w:spacing w:after="0" w:line="240" w:lineRule="auto"/>
        <w:jc w:val="both"/>
        <w:rPr>
          <w:rFonts w:ascii="Times New Roman" w:hAnsi="Times New Roman"/>
          <w:color w:val="000000" w:themeColor="text1"/>
          <w:sz w:val="16"/>
          <w:szCs w:val="16"/>
        </w:rPr>
      </w:pPr>
    </w:p>
    <w:p w14:paraId="2236D5FE"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CBC4173"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D2799E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1933 Политбюро ЦК ВКП(б) запретило всем ведомствам публиковать любые цифровые данные по итогам первой пятилетки. За период 1.11.1932-1.02.1933 гг. Чрезвычайная комиссия СНК СССР по хлебозаготовкам, возглавляемая В.Молотовым дополнительно "заготовила" в Украине 104, 6 млн.пудов зерна. Общее количество хлеба, изъятого государством с урожая 1932 г., составило 260, 7 млн. пудов. Таким образом, Молотов вывез из республики почти все наличные запасы. В начале 1933 г. практически нигде в Украине хлебных запасов не осталось (10687).</w:t>
      </w:r>
    </w:p>
    <w:p w14:paraId="034793C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4B959B37" w14:textId="5D1E869D" w:rsidR="003146EA" w:rsidRPr="0044524F" w:rsidRDefault="003146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1 февраля 1933 года Политбюро, обсудив</w:t>
      </w:r>
      <w:r w:rsidR="0088747B">
        <w:rPr>
          <w:rFonts w:ascii="Times New Roman" w:hAnsi="Times New Roman"/>
          <w:color w:val="000000" w:themeColor="text1"/>
          <w:sz w:val="16"/>
          <w:szCs w:val="16"/>
          <w:shd w:val="clear" w:color="auto" w:fill="FFFFFF"/>
        </w:rPr>
        <w:t xml:space="preserve"> </w:t>
      </w:r>
      <w:r w:rsidRPr="0044524F">
        <w:rPr>
          <w:rFonts w:ascii="Times New Roman" w:hAnsi="Times New Roman"/>
          <w:color w:val="000000" w:themeColor="text1"/>
          <w:sz w:val="16"/>
          <w:szCs w:val="16"/>
          <w:shd w:val="clear" w:color="auto" w:fill="FFFFFF"/>
        </w:rPr>
        <w:t>предложение В.В. Куйбышева объединить «Комсеверопуть» с ГУСМП, уклонилось от какого-либо решения, передало его на рассмотрение правительства, уже тем мысль о слиянии стала свершившимся фактом. Оставалось только уточнить детали чисто административного характера, для чего неделю спустя образовали комиссию Совнаркома. Возглавил ее, разумеется, Куйбышев, а членами стали представители всех заинтересованных ведомств (29467).</w:t>
      </w:r>
    </w:p>
    <w:p w14:paraId="457065D8" w14:textId="77777777" w:rsidR="003146EA" w:rsidRPr="0044524F" w:rsidRDefault="003146EA" w:rsidP="009654CF">
      <w:pPr>
        <w:spacing w:after="0" w:line="240" w:lineRule="auto"/>
        <w:jc w:val="both"/>
        <w:rPr>
          <w:rFonts w:ascii="Times New Roman" w:hAnsi="Times New Roman"/>
          <w:color w:val="000000" w:themeColor="text1"/>
          <w:sz w:val="16"/>
          <w:szCs w:val="16"/>
        </w:rPr>
      </w:pPr>
    </w:p>
    <w:p w14:paraId="03FFF9A5" w14:textId="77777777" w:rsidR="003146EA" w:rsidRPr="0044524F" w:rsidRDefault="003146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1933 г. Постановление Политбюро и изданное на его основе постановление Президиума ЦИК от 27 марта 1933 г. потребовали прекратить практику привлечения к суду по закону от 7 августа "лиц, виновных в мелких единичных кражах общественной собственности, или трудящихся, совершивших кражи из нужды, по несознательности и при наличии других смягчающих обстоятельств" (21177).</w:t>
      </w:r>
    </w:p>
    <w:p w14:paraId="0E18F12E" w14:textId="77777777" w:rsidR="003146EA" w:rsidRPr="0044524F" w:rsidRDefault="003146EA" w:rsidP="009654CF">
      <w:pPr>
        <w:spacing w:after="0" w:line="240" w:lineRule="auto"/>
        <w:jc w:val="both"/>
        <w:rPr>
          <w:rFonts w:ascii="Times New Roman" w:hAnsi="Times New Roman"/>
          <w:color w:val="000000" w:themeColor="text1"/>
          <w:sz w:val="16"/>
          <w:szCs w:val="16"/>
        </w:rPr>
      </w:pPr>
    </w:p>
    <w:p w14:paraId="6BFBF102" w14:textId="77777777" w:rsidR="005B4B1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B59C5C7" w14:textId="77777777" w:rsidR="005B4B1E" w:rsidRPr="0044524F" w:rsidRDefault="005B4B1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052AFF" w14:textId="77777777" w:rsidR="005B4B1E" w:rsidRPr="0044524F" w:rsidRDefault="005B4B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 февраля</w:t>
      </w:r>
      <w:r w:rsidRPr="0044524F">
        <w:rPr>
          <w:rFonts w:ascii="Times New Roman" w:hAnsi="Times New Roman"/>
          <w:color w:val="000000" w:themeColor="text1"/>
          <w:sz w:val="16"/>
          <w:szCs w:val="16"/>
        </w:rPr>
        <w:t xml:space="preserve"> в 1933 году в первый полет поднялся биплан «Боинга» «Model 236» («XF6B-1»). Был построен всего один экземпляр «Model 236». Самолет «XF6B-1» (новое обозначение «XBFB-1») разбился в 1936 году при посадке. «Боинг» бипланов больше не строил (15027).</w:t>
      </w:r>
    </w:p>
    <w:p w14:paraId="274F7252" w14:textId="77777777" w:rsidR="005B4B1E" w:rsidRPr="0044524F" w:rsidRDefault="005B4B1E" w:rsidP="009654CF">
      <w:pPr>
        <w:spacing w:after="0" w:line="240" w:lineRule="auto"/>
        <w:jc w:val="both"/>
        <w:rPr>
          <w:rFonts w:ascii="Times New Roman" w:hAnsi="Times New Roman"/>
          <w:color w:val="000000" w:themeColor="text1"/>
          <w:sz w:val="16"/>
          <w:szCs w:val="16"/>
        </w:rPr>
      </w:pPr>
    </w:p>
    <w:p w14:paraId="4D6E1CF5"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1933 состоялся первый полет Boeing XF6B-1, позже переименованного в Boeing XBFB-1 (20802).</w:t>
      </w:r>
    </w:p>
    <w:p w14:paraId="1459B594" w14:textId="77777777" w:rsidR="00ED0B5B" w:rsidRPr="0044524F" w:rsidRDefault="00ED0B5B" w:rsidP="009654CF">
      <w:pPr>
        <w:spacing w:after="0" w:line="240" w:lineRule="auto"/>
        <w:jc w:val="both"/>
        <w:rPr>
          <w:rFonts w:ascii="Times New Roman" w:hAnsi="Times New Roman"/>
          <w:color w:val="000000" w:themeColor="text1"/>
          <w:sz w:val="16"/>
          <w:szCs w:val="16"/>
        </w:rPr>
      </w:pPr>
    </w:p>
    <w:p w14:paraId="5097A8AF"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1933 года — первый полёт палубного истребителя Boeing XF6B. /США/</w:t>
      </w:r>
    </w:p>
    <w:p w14:paraId="652F2B12"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году ВМФ США заказал Boeing постройку нового палубного истребителя. Развив идеи, заложенные в истребителе Boeing P-12/F4B, инженеры компании спроектировали XF6B. Он также мог использоваться в качестве лёгкого бомбардировщика.</w:t>
      </w:r>
    </w:p>
    <w:p w14:paraId="5D944826"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XF6B представлял собой биплан с неубирающимся шасси. Конструкция цельнометаллическая, только на крыльях полотняная обшивка. Устанавливался двигатель Pratt &amp; Whitney R-1535-44. Максимальная скорость — 322 км/ч, дальность полёта — 845 км. Вооружение состояло из 2 × 7,62-мм пулемётов и 227 кг бомб.</w:t>
      </w:r>
    </w:p>
    <w:p w14:paraId="1CA0C840"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показали, что по лётным характеристикам самолёт не устраивает ВМФ. Флот предпочёл заказать истребитель Curtiss F11C Goshawk. Единственный построенный прототип продолжал летать до 1936 года, когда потерпел аварию и был серьёзно повреждён. Восстанавливать самолёт не стали и XF6B стал последним бипланом Boeing, созданным для ВМФ США (22300).</w:t>
      </w:r>
    </w:p>
    <w:p w14:paraId="5F2F0F0C" w14:textId="77777777" w:rsidR="00ED0B5B" w:rsidRPr="0044524F" w:rsidRDefault="00ED0B5B" w:rsidP="009654CF">
      <w:pPr>
        <w:spacing w:after="0" w:line="240" w:lineRule="auto"/>
        <w:jc w:val="both"/>
        <w:rPr>
          <w:rFonts w:ascii="Times New Roman" w:hAnsi="Times New Roman"/>
          <w:color w:val="000000" w:themeColor="text1"/>
          <w:sz w:val="16"/>
          <w:szCs w:val="16"/>
        </w:rPr>
      </w:pPr>
    </w:p>
    <w:p w14:paraId="6CEB8656" w14:textId="77777777" w:rsidR="003F6D62" w:rsidRPr="00142305" w:rsidRDefault="003F6D62" w:rsidP="003F6D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февраля 1933 г. Гитлер заявил, что через четыре года безработица будет ликвидирована, и обещание выполнил: когда нацисты пришли к власти, в Германии было 25,9 млн безработных (в США — 35,3 млн, во Франции — 14,1 млн),</w:t>
      </w:r>
    </w:p>
    <w:p w14:paraId="228D7B58" w14:textId="77777777" w:rsidR="003F6D62" w:rsidRPr="00142305" w:rsidRDefault="003F6D62" w:rsidP="003F6D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1934 г. в Германии — 13,5 млн (в США — 30,6 млн, во Франции — 13,8 млн),</w:t>
      </w:r>
    </w:p>
    <w:p w14:paraId="28C19A3D" w14:textId="77777777" w:rsidR="003F6D62" w:rsidRPr="00142305" w:rsidRDefault="003F6D62" w:rsidP="003F6D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1935 г. в Германии — 10,3 млн (в США — 28,4 млн, во Франции — 14,5 млн),</w:t>
      </w:r>
    </w:p>
    <w:p w14:paraId="2646E3A3" w14:textId="77777777" w:rsidR="003F6D62" w:rsidRPr="00142305" w:rsidRDefault="003F6D62" w:rsidP="003F6D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1936 г. в Германии — 7,4 млн (в США — 23,9 млн, во Франции — 10,4 млн),</w:t>
      </w:r>
    </w:p>
    <w:p w14:paraId="0897B704" w14:textId="77777777" w:rsidR="003F6D62" w:rsidRPr="00142305" w:rsidRDefault="003F6D62" w:rsidP="003F6D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1937 г. в Германии — 4,1 млн (в США — 20 млн, во Франции — 7,4 млн),</w:t>
      </w:r>
    </w:p>
    <w:p w14:paraId="3F54BCEA" w14:textId="77777777" w:rsidR="003F6D62" w:rsidRPr="00142305" w:rsidRDefault="003F6D62" w:rsidP="003F6D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1938 г. в Германии — 1,9 млн (в США — 26,4 млн, во Франции — 7,8 млн). Судя по этой динамике, в то время как в других странах безработица была ещё ВЫСОКА, в Германии она ПРАКТИЧЕСКИ ИСЧЕЗЛА. В Германии КРИЗИС БЫЛ ПРЕОДОЛЁН БЫСТРЕЕ, чем кто-либо ожидал. За границей о "немецком экономическом чуде" заговорили уже в 1936 г.: именно в этом году производство промышленной продукции превзошло довоенный уровень. Сначала положение улучшилось в промышленности, а затем и в аграрной сфере.</w:t>
      </w:r>
    </w:p>
    <w:p w14:paraId="30E03A25" w14:textId="77777777" w:rsidR="003F6D62" w:rsidRPr="00142305" w:rsidRDefault="003F6D62" w:rsidP="003F6D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Выдвинутый Геббельсом лозунг "генерального наступления на безработицу" произвёл неслыханный общественный резонанс и имел самое сильное воздействие на немецкий народ. Огромное значение для ликвидации социальной напряжённости и сокращения безработицы имели обширные и щедро финансируемые общественные работы, среди которых особое место занимало строительство автобанов (25312).</w:t>
      </w:r>
    </w:p>
    <w:p w14:paraId="25236ED1" w14:textId="77777777" w:rsidR="003F6D62" w:rsidRPr="00142305" w:rsidRDefault="003F6D62" w:rsidP="003F6D62">
      <w:pPr>
        <w:spacing w:after="0" w:line="240" w:lineRule="auto"/>
        <w:jc w:val="both"/>
        <w:rPr>
          <w:rFonts w:ascii="Times New Roman" w:hAnsi="Times New Roman"/>
          <w:color w:val="0070C0"/>
          <w:sz w:val="16"/>
          <w:szCs w:val="16"/>
        </w:rPr>
      </w:pPr>
    </w:p>
    <w:p w14:paraId="2DE18D08"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0EC2C32"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F684E2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февраля 1933 состоялось совещание у И.М.Косткина о внедрении ТБ-4 и Ми-3 в производство (1077,176).</w:t>
      </w:r>
    </w:p>
    <w:p w14:paraId="1F8B462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3D0DFB30"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C6A37CD"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1EBABB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февраля 1933 между компаниями US Wheel Track layer Corp. и Амторг был заключен договор о: “ приобретении автомобильного колесно-гусеничного шасси специального типа, последней модели 1932 года. Причем продавец подтверждает наличие у него разрешения для подобной продажи от Правительства США” От СССР подписал Смоленцев и Кристи был обязан: “продать 1 образец и переслать чертежи за сумму 33000 долл. после испытаний и доставки шасси в порт NY не позднее 31 марта 1933. Испытания проводит Амторг за счет Кристи на заводе в Роувей (Rahway), New Jersey”. Оговаривали необходимость упаковки полностью в деревянный ящик и к договору прилагались: Спецификация колесно-гусеничного шасси Кристи модели 1932 и Разрешение на посещение завода по производству шасси. Именно эта сделка встретила неодобрение в Военном ведомстве США (3879,36).</w:t>
      </w:r>
    </w:p>
    <w:p w14:paraId="7928133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721962B0" w14:textId="77777777" w:rsidR="003F6D62" w:rsidRPr="00142305" w:rsidRDefault="003F6D62" w:rsidP="003F6D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февраля 1933 года между фирмой Кристи «U.S. Wheel Track Layer Corporation» и «Амторгом» был подпи</w:t>
      </w:r>
      <w:r w:rsidRPr="00142305">
        <w:rPr>
          <w:rFonts w:ascii="Times New Roman" w:hAnsi="Times New Roman"/>
          <w:color w:val="0070C0"/>
          <w:sz w:val="16"/>
          <w:szCs w:val="16"/>
        </w:rPr>
        <w:softHyphen/>
        <w:t>сан договор о покупке «автомобильного колесно-гусеничного шасси специаль</w:t>
      </w:r>
      <w:r w:rsidRPr="00142305">
        <w:rPr>
          <w:rFonts w:ascii="Times New Roman" w:hAnsi="Times New Roman"/>
          <w:color w:val="0070C0"/>
          <w:sz w:val="16"/>
          <w:szCs w:val="16"/>
        </w:rPr>
        <w:softHyphen/>
        <w:t>ного типа последней модели 1932 года». Общая стоимость составляла 20000 аме</w:t>
      </w:r>
      <w:r w:rsidRPr="00142305">
        <w:rPr>
          <w:rFonts w:ascii="Times New Roman" w:hAnsi="Times New Roman"/>
          <w:color w:val="0070C0"/>
          <w:sz w:val="16"/>
          <w:szCs w:val="16"/>
        </w:rPr>
        <w:softHyphen/>
        <w:t>риканских долларов за сам танк и 13000 — за его чертежи. При этом со</w:t>
      </w:r>
      <w:r w:rsidRPr="00142305">
        <w:rPr>
          <w:rFonts w:ascii="Times New Roman" w:hAnsi="Times New Roman"/>
          <w:color w:val="0070C0"/>
          <w:sz w:val="16"/>
          <w:szCs w:val="16"/>
        </w:rPr>
        <w:softHyphen/>
        <w:t>ветской стороной особо оговаривалось, что закупленное шасси должно быть упаковано «в полностью закрытый дере</w:t>
      </w:r>
      <w:r w:rsidRPr="00142305">
        <w:rPr>
          <w:rFonts w:ascii="Times New Roman" w:hAnsi="Times New Roman"/>
          <w:color w:val="0070C0"/>
          <w:sz w:val="16"/>
          <w:szCs w:val="16"/>
        </w:rPr>
        <w:softHyphen/>
        <w:t>вянный ящик». Следует сказать, что Во</w:t>
      </w:r>
      <w:r w:rsidRPr="00142305">
        <w:rPr>
          <w:rFonts w:ascii="Times New Roman" w:hAnsi="Times New Roman"/>
          <w:color w:val="0070C0"/>
          <w:sz w:val="16"/>
          <w:szCs w:val="16"/>
        </w:rPr>
        <w:softHyphen/>
        <w:t>енный департамент САСШ наложил за</w:t>
      </w:r>
      <w:r w:rsidRPr="00142305">
        <w:rPr>
          <w:rFonts w:ascii="Times New Roman" w:hAnsi="Times New Roman"/>
          <w:color w:val="0070C0"/>
          <w:sz w:val="16"/>
          <w:szCs w:val="16"/>
        </w:rPr>
        <w:softHyphen/>
        <w:t>прет на продажу «летающего» танка М.1932, поэтому его транспортировка в СССР осуществлялась нелегально. Именно эта история и породила появле</w:t>
      </w:r>
      <w:r w:rsidRPr="00142305">
        <w:rPr>
          <w:rFonts w:ascii="Times New Roman" w:hAnsi="Times New Roman"/>
          <w:color w:val="0070C0"/>
          <w:sz w:val="16"/>
          <w:szCs w:val="16"/>
        </w:rPr>
        <w:softHyphen/>
        <w:t>ние легенды о тайной покупке СССР танков у Кристи.</w:t>
      </w:r>
    </w:p>
    <w:p w14:paraId="52EBE9A8" w14:textId="77777777" w:rsidR="003F6D62" w:rsidRPr="00142305" w:rsidRDefault="003F6D62" w:rsidP="003F6D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Следует сказать, что приобретая этот танк предусматривалась не его поста</w:t>
      </w:r>
      <w:r w:rsidRPr="00142305">
        <w:rPr>
          <w:rFonts w:ascii="Times New Roman" w:hAnsi="Times New Roman"/>
          <w:color w:val="0070C0"/>
          <w:sz w:val="16"/>
          <w:szCs w:val="16"/>
        </w:rPr>
        <w:softHyphen/>
        <w:t>новка на серийное производство, а «изу</w:t>
      </w:r>
      <w:r w:rsidRPr="00142305">
        <w:rPr>
          <w:rFonts w:ascii="Times New Roman" w:hAnsi="Times New Roman"/>
          <w:color w:val="0070C0"/>
          <w:sz w:val="16"/>
          <w:szCs w:val="16"/>
        </w:rPr>
        <w:softHyphen/>
        <w:t>чение новых достижений конструкции коробки перемены передач, ведущих ко</w:t>
      </w:r>
      <w:r w:rsidRPr="00142305">
        <w:rPr>
          <w:rFonts w:ascii="Times New Roman" w:hAnsi="Times New Roman"/>
          <w:color w:val="0070C0"/>
          <w:sz w:val="16"/>
          <w:szCs w:val="16"/>
        </w:rPr>
        <w:softHyphen/>
        <w:t>лес, подвески гусениц, крепления ле</w:t>
      </w:r>
      <w:r w:rsidRPr="00142305">
        <w:rPr>
          <w:rFonts w:ascii="Times New Roman" w:hAnsi="Times New Roman"/>
          <w:color w:val="0070C0"/>
          <w:sz w:val="16"/>
          <w:szCs w:val="16"/>
        </w:rPr>
        <w:softHyphen/>
        <w:t>нивцев, главного фрикциона» (25009).</w:t>
      </w:r>
    </w:p>
    <w:p w14:paraId="3F6FA547" w14:textId="77777777" w:rsidR="003F6D62" w:rsidRPr="00142305" w:rsidRDefault="003F6D62" w:rsidP="003F6D62">
      <w:pPr>
        <w:spacing w:after="0" w:line="240" w:lineRule="auto"/>
        <w:jc w:val="both"/>
        <w:rPr>
          <w:rFonts w:ascii="Times New Roman" w:hAnsi="Times New Roman"/>
          <w:color w:val="0070C0"/>
          <w:sz w:val="16"/>
          <w:szCs w:val="16"/>
        </w:rPr>
      </w:pPr>
    </w:p>
    <w:p w14:paraId="1176804C"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A24B090"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C964CB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февраля 1933 г. из записки зампреда ОГПУ Г. Ягоды Сталину и Молотову, </w:t>
      </w:r>
    </w:p>
    <w:p w14:paraId="6D090DF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заслонах и оперативно-розыскных группах </w:t>
      </w:r>
    </w:p>
    <w:p w14:paraId="0F69E3F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пресечения массового выезда из Украины, Северного Кавказа и Белоруссии транспортными органами ОГПУ организованы на дорогах: С. Кавказа, Украины, Юго-Восточной, Западной, Рязанской, Уральской, Златоустовской, Октябрьской, М-Казанской, М-Курской, Моск.-Балт.-Белор. заслоны и оперативно-розыскные группы. В результате проведенных мероприятий задержано 24 961 человека, бежавших с мест постоянного жительства, из них: украинцев 18 379 чел., СКК — 6225 ч.; прочих районов 357 ч. Возвращено обратно к месту жительства 16 046 ч.; арестовано 1016 ч.; остальные 7879 ч. находятся в стадии проверки (11652).</w:t>
      </w:r>
    </w:p>
    <w:p w14:paraId="6C5B8B1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0EF4D891" w14:textId="77777777" w:rsidR="00166499" w:rsidRPr="0044524F" w:rsidRDefault="001664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февраля 1933 г. НКПрос оформил партийные рекомендации в виде Приказа «О порядке комплектования, хранения и изъятия книг из библиотек». Было признано необходимым прекратить чистки и ликвидировать спецфонды в районных, городских, сельских и областных библиотеках. Для общего руководства работой по просмотру книжного состава библиотек при Главлите создавалась Центральная постоянно действующая комиссия под руководством Б.М.Волина. Аналогичные комиссии создавались и при Краевых и Областных Отделах народного образования (ОНО) (17273). </w:t>
      </w:r>
    </w:p>
    <w:p w14:paraId="6224DE0F" w14:textId="77777777" w:rsidR="00166499" w:rsidRPr="0044524F" w:rsidRDefault="00166499" w:rsidP="009654CF">
      <w:pPr>
        <w:spacing w:after="0" w:line="240" w:lineRule="auto"/>
        <w:jc w:val="both"/>
        <w:rPr>
          <w:rFonts w:ascii="Times New Roman" w:hAnsi="Times New Roman"/>
          <w:color w:val="000000" w:themeColor="text1"/>
          <w:sz w:val="16"/>
          <w:szCs w:val="16"/>
        </w:rPr>
      </w:pPr>
    </w:p>
    <w:p w14:paraId="3B67C5CF" w14:textId="77777777" w:rsidR="00221E53" w:rsidRPr="0044524F" w:rsidRDefault="00221E53"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71C604E" w14:textId="77777777" w:rsidR="00221E53" w:rsidRPr="0044524F" w:rsidRDefault="00221E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B5B5E2"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февраля 1933 создается компания Spartan Air Lines для использования авиалайнера Spartan Cruiser. Авиакомпания начнет полеты 12 апреля (20802).</w:t>
      </w:r>
    </w:p>
    <w:p w14:paraId="270F5008" w14:textId="77777777" w:rsidR="00ED0B5B" w:rsidRPr="0044524F" w:rsidRDefault="00ED0B5B" w:rsidP="009654CF">
      <w:pPr>
        <w:spacing w:after="0" w:line="240" w:lineRule="auto"/>
        <w:jc w:val="both"/>
        <w:rPr>
          <w:rFonts w:ascii="Times New Roman" w:hAnsi="Times New Roman"/>
          <w:color w:val="000000" w:themeColor="text1"/>
          <w:sz w:val="16"/>
          <w:szCs w:val="16"/>
        </w:rPr>
      </w:pPr>
    </w:p>
    <w:p w14:paraId="36A75C77" w14:textId="77777777" w:rsidR="00221E53" w:rsidRPr="0044524F" w:rsidRDefault="00221E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февраля 1933 года, через три дня после вступления в должность, он произнес двухчасовую речь на встрече с генералами и адмиралами, состоявшейся в доме командующего армией генерала фон Хаммерштейна. Цель этой первой встречи нацистского канцлера с офицерским корпусом была раскрыта в Нюрнберге адмиралом Эрихом Редером. Гитлер, по его словам, рассеял опасения военной элиты относительно того, что вооруженным силам придется участвовать в гражданской войне, и заверил, что армия и флот получат возможность целиком посвятить себя решению главной задачи - быстрому перевооружению Германии. Адмирал Редер признал, что он остался чрезвычайно доволен перспективой строительства военно-морского флота, а генерал фон Бломберг, поспешивший 30 января 1933 года принять пост министра обороны, чем помог предотвратить попытки военных выступить против назначения Гитлера канцлером, указал позднее в своих неопубликованных мемуарах, что фюрер открыл "поле деятельности, таившее в себе огромные возможности на будущее" (17283).</w:t>
      </w:r>
    </w:p>
    <w:p w14:paraId="4D9309B0" w14:textId="77777777" w:rsidR="00221E53" w:rsidRPr="0044524F" w:rsidRDefault="00221E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E77138" w14:textId="77777777" w:rsidR="00221E53" w:rsidRPr="0044524F" w:rsidRDefault="00221E53"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5EF215F" w14:textId="77777777" w:rsidR="00221E53" w:rsidRPr="0044524F" w:rsidRDefault="00221E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1E023E8" w14:textId="77777777" w:rsidR="00221E53" w:rsidRPr="0044524F" w:rsidRDefault="00221E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lastRenderedPageBreak/>
        <w:t>3 февраля 1933 г. на Дорогомиловском химкомбинате им. Фрунзе в корпусе N 11 в аппарате системы Фредеркинг была обнаружена гайка в коробке шестерни, "что привело к повреждению подшипника и остановке аппарата на ремонт". Сталина убеждали в том, что случившееся "могло быть следствием умышленного подкидывания ее (гайки. - Авт.) с целью порчи и выведения из строя важнейшего аппарата корпуса" (18727).</w:t>
      </w:r>
    </w:p>
    <w:p w14:paraId="3ECE78C9" w14:textId="77777777" w:rsidR="00221E53" w:rsidRPr="0044524F" w:rsidRDefault="00221E53" w:rsidP="009654CF">
      <w:pPr>
        <w:spacing w:after="0" w:line="240" w:lineRule="auto"/>
        <w:jc w:val="both"/>
        <w:rPr>
          <w:rFonts w:ascii="Times New Roman" w:hAnsi="Times New Roman"/>
          <w:color w:val="000000" w:themeColor="text1"/>
          <w:sz w:val="16"/>
          <w:szCs w:val="16"/>
        </w:rPr>
      </w:pPr>
    </w:p>
    <w:p w14:paraId="11FC9A74"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2BE090B"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F6DA79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февраля 1933 А.Гитлер выступил перед командованием Рейхсвера и произнес слова Жизненное пространство на Востоке и Германизация (2242,1).</w:t>
      </w:r>
    </w:p>
    <w:p w14:paraId="5CC409D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67BAC589" w14:textId="77777777" w:rsidR="007C00E8" w:rsidRPr="0044524F" w:rsidRDefault="007C00E8"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февраля 1933 Геббельс записал в дневнике ликовал. "Теперь будет легко вести борьбу - ибо мы сможем мобилизовать все государственные средства. В нашем распоряжении и радио, и печать. Мы развернем отличную пропаганду. И денег у нас теперь будет предостаточно" (17283).</w:t>
      </w:r>
    </w:p>
    <w:p w14:paraId="033914B4" w14:textId="77777777" w:rsidR="007C00E8" w:rsidRPr="0044524F" w:rsidRDefault="007C00E8"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C0180" w14:textId="77777777" w:rsidR="00103186" w:rsidRPr="0044524F" w:rsidRDefault="001031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февраля 1933 в Кембридже (Англия) открылась Мондовская лаборатория, созданная для русского физика П. Капицы (4962).</w:t>
      </w:r>
    </w:p>
    <w:p w14:paraId="7632699C" w14:textId="77777777" w:rsidR="00103186" w:rsidRPr="0044524F" w:rsidRDefault="001031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70A7BEA"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8406566"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97EC60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4 и 10 февраля 1933. Из протокола заседания Политбюро N 130, 1933 г.</w:t>
      </w:r>
    </w:p>
    <w:p w14:paraId="2F8001C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пассажирских тарифах </w:t>
      </w:r>
    </w:p>
    <w:p w14:paraId="5CD176E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Повысить с 10-го февраля 1933 года железнодорожные и водные (речные и внутренние морские) тарифы на перевозку пассажиров в прямом, местном и пригородном сообщении и тариф на перевозку багажа на 35%... </w:t>
      </w:r>
    </w:p>
    <w:p w14:paraId="6ACB518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Обратить все доходы, вытекающие из настоящего повышения тарифов, на увеличение предусмотренного по союзному бюджету государственного резерва (11652).</w:t>
      </w:r>
    </w:p>
    <w:p w14:paraId="1504CC6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7421F27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4 и 10 февраля 1933. Из протокола заседания Политбюро N 130, 1933 г.</w:t>
      </w:r>
    </w:p>
    <w:p w14:paraId="555FACC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 увеличении отпуска продовольствия для лагерей ОГПУ </w:t>
      </w:r>
    </w:p>
    <w:p w14:paraId="5274175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Сверх установленного для лагерей ОГПУ с июля 1932 г. по июль 1933 г. отпуска муки и круп выделить на период времени по 1 июля 1933 г. дополнительно: муки — 10 800 тонн, крупы — 1915 тонн (11652).</w:t>
      </w:r>
    </w:p>
    <w:p w14:paraId="4AB08EF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726A820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4 и 10 февраля 1933. Из протокола заседания Политбюро N 130, 1933 г.</w:t>
      </w:r>
    </w:p>
    <w:p w14:paraId="7B0C66D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ЦК КП(б) Белоруссии </w:t>
      </w:r>
    </w:p>
    <w:p w14:paraId="25D24DC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Удовлетворить просьбу ЦК КП(б) Белоруссии о предоставлении права тройке ПП ОГПУ Белоруссии применять высшую меру наказания по делам контрреволюционных организаций и группировок, состоящих из кулацких и белогвардейских элементов (11652).</w:t>
      </w:r>
    </w:p>
    <w:p w14:paraId="0FFF898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594B50D6"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9691150"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C9EF4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1933 Зам. НКТП П.И.Б. писал Зам. НКВМД и Пред. РВС Тухачевскому письмо на N 157178 от 19 января 1933 о том, что вопрос винтовых аппаратов типа автожир стоит в плане работ ЦАГИ. Осваиваются имеющиеся результаты. Вопрос о летающем танке Камова не ясен. выделить Камову группы в 6-8 чел. не представляется возможным из-за загруженности состава стоящими заданиями. Просил отменить задания, если считаете, что предложение Камова более актуальна, однако, освобожден будет один Камов (2305,15).</w:t>
      </w:r>
    </w:p>
    <w:p w14:paraId="73EE0A2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Похоже, что так и не отправлено</w:t>
      </w:r>
    </w:p>
    <w:p w14:paraId="0E086851"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винтовых аппаратов типа автожир стоит в плане работ ЦАГИ.</w:t>
      </w:r>
    </w:p>
    <w:p w14:paraId="73969F80"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Настоящее состояние этого вопроса находится в стадии освоения тех результатов, которые до сего времени достиг</w:t>
      </w:r>
      <w:r w:rsidRPr="0044524F">
        <w:rPr>
          <w:rFonts w:ascii="Times New Roman" w:hAnsi="Times New Roman"/>
          <w:color w:val="000000" w:themeColor="text1"/>
          <w:sz w:val="16"/>
          <w:szCs w:val="16"/>
        </w:rPr>
        <w:softHyphen/>
        <w:t>нуты. Дальнейший этапом является распространение их на типы летательных машин с прогрессивным увеличением мощ</w:t>
      </w:r>
      <w:r w:rsidRPr="0044524F">
        <w:rPr>
          <w:rFonts w:ascii="Times New Roman" w:hAnsi="Times New Roman"/>
          <w:color w:val="000000" w:themeColor="text1"/>
          <w:sz w:val="16"/>
          <w:szCs w:val="16"/>
        </w:rPr>
        <w:softHyphen/>
        <w:t>ности и тоннажа.</w:t>
      </w:r>
    </w:p>
    <w:p w14:paraId="7471D48D"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принцип вращающихся лопастей для использования их в качестве создания подъемной силы достаточно проверен, но все таки еще остается ряд технических и особенно эксплоатационных сторон, которые должны быть проанализированы и проэкспериментированы прежде чем допущены к широкому применению.</w:t>
      </w:r>
    </w:p>
    <w:p w14:paraId="4DF42A85"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виду того, что вопрос в целом еще не окончательно доработан, полагаю, что эскизный проект, "летающего танка” далеко еще не говорит за то, что проблемна о летающем танке решается с “исключительной полнотой”.</w:t>
      </w:r>
    </w:p>
    <w:p w14:paraId="2B100F8D"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Можно дать ряд преложений, представляющих большой ин</w:t>
      </w:r>
      <w:r w:rsidRPr="0044524F">
        <w:rPr>
          <w:rFonts w:ascii="Times New Roman" w:hAnsi="Times New Roman"/>
          <w:color w:val="000000" w:themeColor="text1"/>
          <w:sz w:val="16"/>
          <w:szCs w:val="16"/>
        </w:rPr>
        <w:softHyphen/>
        <w:t>терес и очень ценных по идее, но не выполнимых с исчерпыва</w:t>
      </w:r>
      <w:r w:rsidRPr="0044524F">
        <w:rPr>
          <w:rFonts w:ascii="Times New Roman" w:hAnsi="Times New Roman"/>
          <w:color w:val="000000" w:themeColor="text1"/>
          <w:sz w:val="16"/>
          <w:szCs w:val="16"/>
        </w:rPr>
        <w:softHyphen/>
        <w:t>ющей целесообразностью, из-за необходимости проводить до</w:t>
      </w:r>
      <w:r w:rsidRPr="0044524F">
        <w:rPr>
          <w:rFonts w:ascii="Times New Roman" w:hAnsi="Times New Roman"/>
          <w:color w:val="000000" w:themeColor="text1"/>
          <w:sz w:val="16"/>
          <w:szCs w:val="16"/>
        </w:rPr>
        <w:softHyphen/>
        <w:t>полнительно целый ряд предварительных работ.</w:t>
      </w:r>
    </w:p>
    <w:p w14:paraId="223168E5" w14:textId="77777777" w:rsidR="00103186" w:rsidRPr="0044524F" w:rsidRDefault="001031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Поэтому считаю реализацию предложения тов. Камова пре</w:t>
      </w:r>
      <w:r w:rsidRPr="0044524F">
        <w:rPr>
          <w:rFonts w:ascii="Times New Roman" w:hAnsi="Times New Roman"/>
          <w:color w:val="000000" w:themeColor="text1"/>
          <w:sz w:val="16"/>
          <w:szCs w:val="16"/>
        </w:rPr>
        <w:softHyphen/>
        <w:t>ждевременной. Что же касается Вашей просьбы о выделении группы в 6-8 человек для разработки.проекта т. КАМОВА, то таковую выделить в настоящее время не представляется воз</w:t>
      </w:r>
      <w:r w:rsidRPr="0044524F">
        <w:rPr>
          <w:rFonts w:ascii="Times New Roman" w:hAnsi="Times New Roman"/>
          <w:color w:val="000000" w:themeColor="text1"/>
          <w:sz w:val="16"/>
          <w:szCs w:val="16"/>
        </w:rPr>
        <w:softHyphen/>
        <w:t>можным из-за загруженности состава стоящими заданиями.</w:t>
      </w:r>
    </w:p>
    <w:p w14:paraId="5C91D66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же Вы найдете, что работа по предложению тов. КАМОВА более актуальна и необходима, чем те заданий, которые отоят перед СОК ЦАГИ и в частности ведутся т. КАМОВЫМ, то я со своей стороны считаю возможным освободить лишь одного тов. Камова и передать в Ваше распоряжение для организации не</w:t>
      </w:r>
      <w:r w:rsidRPr="0044524F">
        <w:rPr>
          <w:rFonts w:ascii="Times New Roman" w:hAnsi="Times New Roman"/>
          <w:color w:val="000000" w:themeColor="text1"/>
          <w:sz w:val="16"/>
          <w:szCs w:val="16"/>
        </w:rPr>
        <w:softHyphen/>
        <w:t>обходимой Вам работы (2305,15).</w:t>
      </w:r>
    </w:p>
    <w:p w14:paraId="61DB3CF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32BF43E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1933 года гл. инженер вооружения ВВС Коннэрт писал письмо N 1/007 начальнику вооружений и материально-технического снабжения ВВС.</w:t>
      </w:r>
    </w:p>
    <w:p w14:paraId="6E9D8D4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из перечня</w:t>
      </w:r>
    </w:p>
    <w:p w14:paraId="2D42914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предметов стрелкового вооружения,</w:t>
      </w:r>
    </w:p>
    <w:p w14:paraId="6DCBFD3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состоящих на вооружении ВВС</w:t>
      </w:r>
    </w:p>
    <w:p w14:paraId="45BE68E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Пулемет ПБ-1</w:t>
      </w:r>
    </w:p>
    <w:p w14:paraId="34CAF65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Пулемет ДА</w:t>
      </w:r>
    </w:p>
    <w:p w14:paraId="6958C5E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Пулемет ДА-2</w:t>
      </w:r>
    </w:p>
    <w:p w14:paraId="0DAC795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из перечня</w:t>
      </w:r>
    </w:p>
    <w:p w14:paraId="2CB803A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бомбардировочного вооружения,</w:t>
      </w:r>
    </w:p>
    <w:p w14:paraId="2A71F47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состоящих и принятых на вооружение ВВС</w:t>
      </w:r>
    </w:p>
    <w:p w14:paraId="70BC534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Фугасная авиабомба ФАБ-50</w:t>
      </w:r>
    </w:p>
    <w:p w14:paraId="03D44AD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Фугасная авиабомба ФАБ-16</w:t>
      </w:r>
    </w:p>
    <w:p w14:paraId="02474DC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Фугасная авиабомба ФАБ-32</w:t>
      </w:r>
    </w:p>
    <w:p w14:paraId="047EBB6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Фугасная авиабомба ФАБ-100</w:t>
      </w:r>
    </w:p>
    <w:p w14:paraId="0CE94E6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Фугасная авиабомба ФАБ-250</w:t>
      </w:r>
    </w:p>
    <w:p w14:paraId="6D71449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Фугасная авиабомба ФАБ-500</w:t>
      </w:r>
    </w:p>
    <w:p w14:paraId="2D60F92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Фугасная авиабомба ФАБ-1000</w:t>
      </w:r>
    </w:p>
    <w:p w14:paraId="7C4304D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Фугасная авиабомба ФАБ-82</w:t>
      </w:r>
    </w:p>
    <w:p w14:paraId="321D845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Осколочная авиабомба АО-8</w:t>
      </w:r>
    </w:p>
    <w:p w14:paraId="316C097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Осколочная авиабомба АО-8М кв.</w:t>
      </w:r>
    </w:p>
    <w:p w14:paraId="18B371E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Осколочная авиабомба АО-10</w:t>
      </w:r>
    </w:p>
    <w:p w14:paraId="372628D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1 кг электрон. зажигат. авиабомба</w:t>
      </w:r>
    </w:p>
    <w:p w14:paraId="4DF9FCE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Светящаяся авиабомба СБ-5</w:t>
      </w:r>
    </w:p>
    <w:p w14:paraId="0A68DFC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АОС-15 из 107 мм снаряда</w:t>
      </w:r>
    </w:p>
    <w:p w14:paraId="745C7F7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АОС-25 из 122 мм снаряда</w:t>
      </w:r>
    </w:p>
    <w:p w14:paraId="1B92292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АФС-50 из 152 мм снаряда</w:t>
      </w:r>
    </w:p>
    <w:p w14:paraId="5142B1C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АФС-80 из мин Батиньоля</w:t>
      </w:r>
    </w:p>
    <w:p w14:paraId="06AB515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АБР-250 из 276 мм снаряда</w:t>
      </w:r>
    </w:p>
    <w:p w14:paraId="755BA6C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Ротативная рассеивающ. авиабомба РАБ-250, 500 и 1000</w:t>
      </w:r>
    </w:p>
    <w:p w14:paraId="581B1BE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Взрыватель АГМ-1</w:t>
      </w:r>
    </w:p>
    <w:p w14:paraId="2309681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Взрыватель АГП</w:t>
      </w:r>
    </w:p>
    <w:p w14:paraId="3AEA528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Взрыватель АД3</w:t>
      </w:r>
    </w:p>
    <w:p w14:paraId="4A6C022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23. Взрыватель АДО</w:t>
      </w:r>
    </w:p>
    <w:p w14:paraId="2C9B12C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Взрыватель АГДТ</w:t>
      </w:r>
    </w:p>
    <w:p w14:paraId="542BD46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из перечня</w:t>
      </w:r>
    </w:p>
    <w:p w14:paraId="308130A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предметов химического вооружения,</w:t>
      </w:r>
    </w:p>
    <w:p w14:paraId="6734C62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состоящих и принятых на вооружение ВВС</w:t>
      </w:r>
    </w:p>
    <w:p w14:paraId="6EA251D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Состоят на вооружении.</w:t>
      </w:r>
    </w:p>
    <w:p w14:paraId="642B254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ВАП-4</w:t>
      </w:r>
    </w:p>
    <w:p w14:paraId="66423C8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ДАП-Д-100</w:t>
      </w:r>
    </w:p>
    <w:p w14:paraId="161A080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ДАП-Д-200</w:t>
      </w:r>
    </w:p>
    <w:p w14:paraId="7FB2B25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Ночные патроны 4 кал. (сигнальные).</w:t>
      </w:r>
    </w:p>
    <w:p w14:paraId="057147A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Дневные сигнальные 4 кал. черного дыма</w:t>
      </w:r>
    </w:p>
    <w:p w14:paraId="65D63EB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АОХ-8, АОХ-10</w:t>
      </w:r>
    </w:p>
    <w:p w14:paraId="6730A7A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АХ32 (СОВ).</w:t>
      </w:r>
    </w:p>
    <w:p w14:paraId="509D96B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Принятые на вооружение (снабжение).</w:t>
      </w:r>
    </w:p>
    <w:p w14:paraId="48AB3EB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АРС-1</w:t>
      </w:r>
    </w:p>
    <w:p w14:paraId="6C92160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АХ-250 (СОВ).</w:t>
      </w:r>
    </w:p>
    <w:p w14:paraId="3B64B83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АД25 (СОВ) (3029,121-124).</w:t>
      </w:r>
    </w:p>
    <w:p w14:paraId="21FB87D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49965077" w14:textId="77777777" w:rsidR="005B4B1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699C285" w14:textId="77777777" w:rsidR="005B4B1E" w:rsidRPr="0044524F" w:rsidRDefault="005B4B1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3C82142" w14:textId="77777777" w:rsidR="005B4B1E" w:rsidRPr="0044524F" w:rsidRDefault="005B4B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1933 года первый секретарь ЦК КП(б)У С.В.Косиор в своем докладе указал, что суммарный план для колхозов и единоличников был оказывается снижен с 356 млн. пудов (5,7 млн т) до 218 млн. пудов (3,5 млн т). Это косвенно подтверждается председателем Совета по изучению продуктивных сил Украины А.Г.Шлихтером в его речи на 17-м съезде ВКП(б) [99, 100].</w:t>
      </w:r>
    </w:p>
    <w:p w14:paraId="5FB0E2FA" w14:textId="77777777" w:rsidR="005B4B1E" w:rsidRPr="0044524F" w:rsidRDefault="005B4B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первоначальный план хлебозаготовок по СССР к январю 1933 г. "был снижен на 17% до 17,045 млн т". Всего государство из урожая 1932 года до 1 июля 1933 года "забрало" у украинских крестьян не более 248 млн. пудов (4 млн. т) зерна. Тем не менее возник голод. Действуя, по сути вслепую, Сталин тем не менее пошел навстречу крестьянам (17264).</w:t>
      </w:r>
    </w:p>
    <w:p w14:paraId="2000705B" w14:textId="77777777" w:rsidR="005B4B1E" w:rsidRPr="0044524F" w:rsidRDefault="005B4B1E" w:rsidP="009654CF">
      <w:pPr>
        <w:spacing w:after="0" w:line="240" w:lineRule="auto"/>
        <w:jc w:val="both"/>
        <w:rPr>
          <w:rFonts w:ascii="Times New Roman" w:hAnsi="Times New Roman"/>
          <w:color w:val="000000" w:themeColor="text1"/>
          <w:sz w:val="16"/>
          <w:szCs w:val="16"/>
        </w:rPr>
      </w:pPr>
    </w:p>
    <w:p w14:paraId="3FDE2AEC" w14:textId="0BEA6DD9" w:rsidR="000B41D6" w:rsidRPr="0044524F" w:rsidRDefault="000B41D6" w:rsidP="000B41D6">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44524F">
        <w:rPr>
          <w:rFonts w:ascii="Times New Roman" w:hAnsi="Times New Roman"/>
          <w:i/>
          <w:iCs/>
          <w:color w:val="000000" w:themeColor="text1"/>
          <w:sz w:val="16"/>
          <w:szCs w:val="16"/>
        </w:rPr>
        <w:t>:</w:t>
      </w:r>
    </w:p>
    <w:p w14:paraId="4921845D" w14:textId="77777777" w:rsidR="000B41D6" w:rsidRPr="0044524F" w:rsidRDefault="000B41D6" w:rsidP="000B41D6">
      <w:pPr>
        <w:autoSpaceDE w:val="0"/>
        <w:autoSpaceDN w:val="0"/>
        <w:adjustRightInd w:val="0"/>
        <w:spacing w:after="0" w:line="240" w:lineRule="auto"/>
        <w:jc w:val="both"/>
        <w:rPr>
          <w:rFonts w:ascii="Times New Roman" w:hAnsi="Times New Roman"/>
          <w:iCs/>
          <w:color w:val="000000" w:themeColor="text1"/>
          <w:sz w:val="16"/>
          <w:szCs w:val="16"/>
        </w:rPr>
      </w:pPr>
    </w:p>
    <w:p w14:paraId="032724DF"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февраля 1933 г. Томсон докладывал: «В части падения кабинета Шлейхнера и прихода к власти Гитлера среди «друзей» наблюдается приподнятое настроение и общее одобре</w:t>
      </w:r>
      <w:r w:rsidRPr="00142305">
        <w:rPr>
          <w:rFonts w:ascii="Times New Roman" w:hAnsi="Times New Roman"/>
          <w:color w:val="0070C0"/>
          <w:sz w:val="16"/>
          <w:szCs w:val="16"/>
        </w:rPr>
        <w:softHyphen/>
        <w:t>ние, за отдельными исключениями. Главное в этом одобрении, что власть будет твердой, устойчивой, могущей завоевать большинство и объединить немецкий народ под национальным фла</w:t>
      </w:r>
      <w:r w:rsidRPr="00142305">
        <w:rPr>
          <w:rFonts w:ascii="Times New Roman" w:hAnsi="Times New Roman"/>
          <w:color w:val="0070C0"/>
          <w:sz w:val="16"/>
          <w:szCs w:val="16"/>
        </w:rPr>
        <w:softHyphen/>
        <w:t>гом» (25025).</w:t>
      </w:r>
    </w:p>
    <w:p w14:paraId="0FBE3497" w14:textId="77777777" w:rsidR="000B41D6" w:rsidRPr="00142305" w:rsidRDefault="000B41D6" w:rsidP="000B41D6">
      <w:pPr>
        <w:spacing w:after="0" w:line="240" w:lineRule="auto"/>
        <w:jc w:val="both"/>
        <w:rPr>
          <w:rFonts w:ascii="Times New Roman" w:hAnsi="Times New Roman"/>
          <w:color w:val="0070C0"/>
          <w:sz w:val="16"/>
          <w:szCs w:val="16"/>
        </w:rPr>
      </w:pPr>
    </w:p>
    <w:p w14:paraId="2ED7742F" w14:textId="77777777" w:rsidR="00D31A5A" w:rsidRPr="0044524F" w:rsidRDefault="00D31A5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A9109BE" w14:textId="77777777" w:rsidR="00D31A5A" w:rsidRPr="0044524F" w:rsidRDefault="00D31A5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5956321" w14:textId="77777777" w:rsidR="00D31A5A" w:rsidRPr="0044524F" w:rsidRDefault="00D31A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февраля 1933 состоялось заседание ПБ и был оформлен протокол № 130</w:t>
      </w:r>
    </w:p>
    <w:p w14:paraId="0F08CA40" w14:textId="77777777" w:rsidR="00D31A5A" w:rsidRPr="0044524F" w:rsidRDefault="00D31A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17.-О ликвидации_договора с фирмой Фрейн</w:t>
      </w:r>
    </w:p>
    <w:p w14:paraId="5F43A3E2" w14:textId="77777777" w:rsidR="00D31A5A" w:rsidRPr="0044524F" w:rsidRDefault="00D31A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 Пятаков)</w:t>
      </w:r>
    </w:p>
    <w:p w14:paraId="40F2FC81" w14:textId="77777777" w:rsidR="00D31A5A" w:rsidRPr="0044524F" w:rsidRDefault="00D31A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Наркомтяжпрому уплатить Американской фирме "Фрейн", в виде премии за досрочную ликвидацию договора ее с Кузнецким комбинатом, 25-30 тыс.долларов.</w:t>
      </w:r>
    </w:p>
    <w:p w14:paraId="44CDADD1" w14:textId="77777777" w:rsidR="00D31A5A" w:rsidRPr="0044524F" w:rsidRDefault="00D31A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тют. Пятакову, Рудзутаку, Гринько, Калмановичу (22980).</w:t>
      </w:r>
    </w:p>
    <w:p w14:paraId="2191F34F" w14:textId="77777777" w:rsidR="00D31A5A" w:rsidRPr="0044524F" w:rsidRDefault="00D31A5A" w:rsidP="009654CF">
      <w:pPr>
        <w:spacing w:after="0" w:line="240" w:lineRule="auto"/>
        <w:jc w:val="both"/>
        <w:rPr>
          <w:rFonts w:ascii="Times New Roman" w:hAnsi="Times New Roman"/>
          <w:color w:val="000000" w:themeColor="text1"/>
          <w:sz w:val="16"/>
          <w:szCs w:val="16"/>
        </w:rPr>
      </w:pPr>
    </w:p>
    <w:p w14:paraId="4BE31D3D"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2E58041"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9762850" w14:textId="77777777" w:rsidR="00103186" w:rsidRPr="0044524F" w:rsidRDefault="001031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февраля 1933 в Оймяконе (СССР) зафиксирована самая низкая температура в обитаемом месте Земли - минус 68 градусов (4962).</w:t>
      </w:r>
    </w:p>
    <w:p w14:paraId="64F551B6" w14:textId="77777777" w:rsidR="00103186" w:rsidRPr="0044524F" w:rsidRDefault="001031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4CAC5A" w14:textId="77777777" w:rsidR="005B4B1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427CCE7D" w14:textId="77777777" w:rsidR="005B4B1E" w:rsidRPr="0044524F" w:rsidRDefault="005B4B1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90A6A6D" w14:textId="77777777" w:rsidR="005B4B1E" w:rsidRPr="0044524F" w:rsidRDefault="005B4B1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февраля 1933 на Международной конференции по разоружению в Женеве СССР предложил подписать соглашение об определении агрессии и агрессора (3186).</w:t>
      </w:r>
    </w:p>
    <w:p w14:paraId="2FA1A959" w14:textId="77777777" w:rsidR="005B4B1E" w:rsidRPr="0044524F" w:rsidRDefault="005B4B1E" w:rsidP="009654CF">
      <w:pPr>
        <w:autoSpaceDE w:val="0"/>
        <w:autoSpaceDN w:val="0"/>
        <w:adjustRightInd w:val="0"/>
        <w:spacing w:after="0" w:line="240" w:lineRule="auto"/>
        <w:jc w:val="both"/>
        <w:rPr>
          <w:rFonts w:ascii="Times New Roman" w:hAnsi="Times New Roman"/>
          <w:color w:val="000000" w:themeColor="text1"/>
          <w:sz w:val="16"/>
          <w:szCs w:val="16"/>
        </w:rPr>
      </w:pPr>
    </w:p>
    <w:p w14:paraId="67EA7553"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8A3E19F"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2135CE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6-8 февраля 1933 г. летчики Гейфорд и Николэтс на Фэйри LR пролетели расстояние 8544 км, что соответствовало новому абсолютному мировому рекорду.</w:t>
      </w:r>
    </w:p>
    <w:p w14:paraId="2BDF5F4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4E10C1" w:rsidRPr="0044524F" w14:paraId="128678C1" w14:textId="77777777">
        <w:tc>
          <w:tcPr>
            <w:tcW w:w="1145" w:type="dxa"/>
            <w:tcBorders>
              <w:top w:val="single" w:sz="12" w:space="0" w:color="auto"/>
            </w:tcBorders>
          </w:tcPr>
          <w:p w14:paraId="33573FC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w:t>
            </w:r>
          </w:p>
        </w:tc>
        <w:tc>
          <w:tcPr>
            <w:tcW w:w="1145" w:type="dxa"/>
            <w:tcBorders>
              <w:top w:val="single" w:sz="12" w:space="0" w:color="auto"/>
            </w:tcBorders>
          </w:tcPr>
          <w:p w14:paraId="35374B8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Двигатель(л.с.)</w:t>
            </w:r>
          </w:p>
        </w:tc>
        <w:tc>
          <w:tcPr>
            <w:tcW w:w="1145" w:type="dxa"/>
            <w:tcBorders>
              <w:top w:val="single" w:sz="12" w:space="0" w:color="auto"/>
            </w:tcBorders>
          </w:tcPr>
          <w:p w14:paraId="255857E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(м)</w:t>
            </w:r>
          </w:p>
        </w:tc>
        <w:tc>
          <w:tcPr>
            <w:tcW w:w="1145" w:type="dxa"/>
            <w:tcBorders>
              <w:top w:val="single" w:sz="12" w:space="0" w:color="auto"/>
            </w:tcBorders>
          </w:tcPr>
          <w:p w14:paraId="4930E9B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(мг)</w:t>
            </w:r>
          </w:p>
        </w:tc>
        <w:tc>
          <w:tcPr>
            <w:tcW w:w="1145" w:type="dxa"/>
            <w:tcBorders>
              <w:top w:val="single" w:sz="12" w:space="0" w:color="auto"/>
            </w:tcBorders>
          </w:tcPr>
          <w:p w14:paraId="7482350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Удлинение</w:t>
            </w:r>
          </w:p>
        </w:tc>
        <w:tc>
          <w:tcPr>
            <w:tcW w:w="1145" w:type="dxa"/>
            <w:tcBorders>
              <w:top w:val="single" w:sz="12" w:space="0" w:color="auto"/>
            </w:tcBorders>
          </w:tcPr>
          <w:p w14:paraId="4238D51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(кг)</w:t>
            </w:r>
          </w:p>
        </w:tc>
        <w:tc>
          <w:tcPr>
            <w:tcW w:w="1145" w:type="dxa"/>
            <w:tcBorders>
              <w:top w:val="single" w:sz="12" w:space="0" w:color="auto"/>
            </w:tcBorders>
          </w:tcPr>
          <w:p w14:paraId="19547A5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(кг)</w:t>
            </w:r>
          </w:p>
        </w:tc>
        <w:tc>
          <w:tcPr>
            <w:tcW w:w="1145" w:type="dxa"/>
            <w:tcBorders>
              <w:top w:val="single" w:sz="12" w:space="0" w:color="auto"/>
            </w:tcBorders>
          </w:tcPr>
          <w:p w14:paraId="58E686B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1ECBFBC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крыло (кг/м2)</w:t>
            </w:r>
          </w:p>
        </w:tc>
      </w:tr>
      <w:tr w:rsidR="004E10C1" w:rsidRPr="0044524F" w14:paraId="266B2CFF" w14:textId="77777777">
        <w:tc>
          <w:tcPr>
            <w:tcW w:w="1145" w:type="dxa"/>
          </w:tcPr>
          <w:p w14:paraId="4BD342D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02B79A2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58A0B90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8E747F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BC0BA5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3BB8FC1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42AAB99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A9ED68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45" w:type="dxa"/>
          </w:tcPr>
          <w:p w14:paraId="2A980E5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1F6D950" w14:textId="77777777">
        <w:tc>
          <w:tcPr>
            <w:tcW w:w="1145" w:type="dxa"/>
          </w:tcPr>
          <w:p w14:paraId="78AA031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Фэйри LR</w:t>
            </w:r>
          </w:p>
        </w:tc>
        <w:tc>
          <w:tcPr>
            <w:tcW w:w="1145" w:type="dxa"/>
          </w:tcPr>
          <w:p w14:paraId="2D46262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Нэпир XI (530)</w:t>
            </w:r>
          </w:p>
        </w:tc>
        <w:tc>
          <w:tcPr>
            <w:tcW w:w="1145" w:type="dxa"/>
          </w:tcPr>
          <w:p w14:paraId="7732B66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145" w:type="dxa"/>
          </w:tcPr>
          <w:p w14:paraId="6F8C808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82,0</w:t>
            </w:r>
          </w:p>
        </w:tc>
        <w:tc>
          <w:tcPr>
            <w:tcW w:w="1145" w:type="dxa"/>
          </w:tcPr>
          <w:p w14:paraId="7C2AD51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1145" w:type="dxa"/>
          </w:tcPr>
          <w:p w14:paraId="123CBEE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145" w:type="dxa"/>
          </w:tcPr>
          <w:p w14:paraId="3F75442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7800</w:t>
            </w:r>
          </w:p>
        </w:tc>
        <w:tc>
          <w:tcPr>
            <w:tcW w:w="1145" w:type="dxa"/>
          </w:tcPr>
          <w:p w14:paraId="10C4F6B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4500</w:t>
            </w:r>
          </w:p>
        </w:tc>
        <w:tc>
          <w:tcPr>
            <w:tcW w:w="1145" w:type="dxa"/>
          </w:tcPr>
          <w:p w14:paraId="6F38D2A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r>
      <w:tr w:rsidR="004E10C1" w:rsidRPr="0044524F" w14:paraId="47732948" w14:textId="77777777">
        <w:tc>
          <w:tcPr>
            <w:tcW w:w="1145" w:type="dxa"/>
          </w:tcPr>
          <w:p w14:paraId="25FBC12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Савойя S-64</w:t>
            </w:r>
          </w:p>
        </w:tc>
        <w:tc>
          <w:tcPr>
            <w:tcW w:w="1145" w:type="dxa"/>
          </w:tcPr>
          <w:p w14:paraId="462EE9F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Фиат А-22Т (620)</w:t>
            </w:r>
          </w:p>
        </w:tc>
        <w:tc>
          <w:tcPr>
            <w:tcW w:w="1145" w:type="dxa"/>
          </w:tcPr>
          <w:p w14:paraId="10D1691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145" w:type="dxa"/>
          </w:tcPr>
          <w:p w14:paraId="4CB8729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145" w:type="dxa"/>
          </w:tcPr>
          <w:p w14:paraId="5B10D44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7,75</w:t>
            </w:r>
          </w:p>
        </w:tc>
        <w:tc>
          <w:tcPr>
            <w:tcW w:w="1145" w:type="dxa"/>
          </w:tcPr>
          <w:p w14:paraId="2FACCEA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2670</w:t>
            </w:r>
          </w:p>
        </w:tc>
        <w:tc>
          <w:tcPr>
            <w:tcW w:w="1145" w:type="dxa"/>
          </w:tcPr>
          <w:p w14:paraId="1380F09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7200</w:t>
            </w:r>
          </w:p>
        </w:tc>
        <w:tc>
          <w:tcPr>
            <w:tcW w:w="1145" w:type="dxa"/>
          </w:tcPr>
          <w:p w14:paraId="549A26A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4550</w:t>
            </w:r>
          </w:p>
        </w:tc>
        <w:tc>
          <w:tcPr>
            <w:tcW w:w="1145" w:type="dxa"/>
          </w:tcPr>
          <w:p w14:paraId="38CA643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r>
      <w:tr w:rsidR="004E10C1" w:rsidRPr="0044524F" w14:paraId="7027D6BF" w14:textId="77777777">
        <w:tc>
          <w:tcPr>
            <w:tcW w:w="1145" w:type="dxa"/>
          </w:tcPr>
          <w:p w14:paraId="28039BC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Блерио-110</w:t>
            </w:r>
          </w:p>
        </w:tc>
        <w:tc>
          <w:tcPr>
            <w:tcW w:w="1145" w:type="dxa"/>
          </w:tcPr>
          <w:p w14:paraId="2D7CEFD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12МЬг (500)</w:t>
            </w:r>
          </w:p>
        </w:tc>
        <w:tc>
          <w:tcPr>
            <w:tcW w:w="1145" w:type="dxa"/>
          </w:tcPr>
          <w:p w14:paraId="2D0A32A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w:t>
            </w:r>
          </w:p>
        </w:tc>
        <w:tc>
          <w:tcPr>
            <w:tcW w:w="1145" w:type="dxa"/>
          </w:tcPr>
          <w:p w14:paraId="7B45C37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81,0</w:t>
            </w:r>
          </w:p>
        </w:tc>
        <w:tc>
          <w:tcPr>
            <w:tcW w:w="1145" w:type="dxa"/>
          </w:tcPr>
          <w:p w14:paraId="3E68E98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8,65</w:t>
            </w:r>
          </w:p>
        </w:tc>
        <w:tc>
          <w:tcPr>
            <w:tcW w:w="1145" w:type="dxa"/>
          </w:tcPr>
          <w:p w14:paraId="59D2A6B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2700</w:t>
            </w:r>
          </w:p>
        </w:tc>
        <w:tc>
          <w:tcPr>
            <w:tcW w:w="1145" w:type="dxa"/>
          </w:tcPr>
          <w:p w14:paraId="0153BFA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8500</w:t>
            </w:r>
          </w:p>
        </w:tc>
        <w:tc>
          <w:tcPr>
            <w:tcW w:w="1145" w:type="dxa"/>
          </w:tcPr>
          <w:p w14:paraId="04EC7AC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5500</w:t>
            </w:r>
          </w:p>
        </w:tc>
        <w:tc>
          <w:tcPr>
            <w:tcW w:w="1145" w:type="dxa"/>
          </w:tcPr>
          <w:p w14:paraId="7F30047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104,5</w:t>
            </w:r>
          </w:p>
        </w:tc>
      </w:tr>
      <w:tr w:rsidR="004E10C1" w:rsidRPr="0044524F" w14:paraId="74F0FFDE" w14:textId="77777777">
        <w:tc>
          <w:tcPr>
            <w:tcW w:w="1145" w:type="dxa"/>
          </w:tcPr>
          <w:p w14:paraId="4366610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Девуатин D.33</w:t>
            </w:r>
          </w:p>
        </w:tc>
        <w:tc>
          <w:tcPr>
            <w:tcW w:w="1145" w:type="dxa"/>
          </w:tcPr>
          <w:p w14:paraId="49A575A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12Nb (650)</w:t>
            </w:r>
          </w:p>
        </w:tc>
        <w:tc>
          <w:tcPr>
            <w:tcW w:w="1145" w:type="dxa"/>
          </w:tcPr>
          <w:p w14:paraId="6B9F6A4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1145" w:type="dxa"/>
          </w:tcPr>
          <w:p w14:paraId="5DBCDAC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78,0</w:t>
            </w:r>
          </w:p>
        </w:tc>
        <w:tc>
          <w:tcPr>
            <w:tcW w:w="1145" w:type="dxa"/>
          </w:tcPr>
          <w:p w14:paraId="31217B3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145" w:type="dxa"/>
          </w:tcPr>
          <w:p w14:paraId="6C813AB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3100</w:t>
            </w:r>
          </w:p>
        </w:tc>
        <w:tc>
          <w:tcPr>
            <w:tcW w:w="1145" w:type="dxa"/>
          </w:tcPr>
          <w:p w14:paraId="34B70FE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9200</w:t>
            </w:r>
          </w:p>
        </w:tc>
        <w:tc>
          <w:tcPr>
            <w:tcW w:w="1145" w:type="dxa"/>
          </w:tcPr>
          <w:p w14:paraId="6DE996A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5600</w:t>
            </w:r>
          </w:p>
        </w:tc>
        <w:tc>
          <w:tcPr>
            <w:tcW w:w="1145" w:type="dxa"/>
          </w:tcPr>
          <w:p w14:paraId="3546B74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117,5</w:t>
            </w:r>
          </w:p>
        </w:tc>
      </w:tr>
      <w:tr w:rsidR="004E10C1" w:rsidRPr="0044524F" w14:paraId="3FE66A5C" w14:textId="77777777">
        <w:tc>
          <w:tcPr>
            <w:tcW w:w="1145" w:type="dxa"/>
            <w:tcBorders>
              <w:bottom w:val="single" w:sz="12" w:space="0" w:color="auto"/>
            </w:tcBorders>
          </w:tcPr>
          <w:p w14:paraId="5C94DDE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Бернар-80</w:t>
            </w:r>
          </w:p>
        </w:tc>
        <w:tc>
          <w:tcPr>
            <w:tcW w:w="1145" w:type="dxa"/>
            <w:tcBorders>
              <w:bottom w:val="single" w:sz="12" w:space="0" w:color="auto"/>
            </w:tcBorders>
          </w:tcPr>
          <w:p w14:paraId="5611193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12Nb (650)</w:t>
            </w:r>
          </w:p>
        </w:tc>
        <w:tc>
          <w:tcPr>
            <w:tcW w:w="1145" w:type="dxa"/>
            <w:tcBorders>
              <w:bottom w:val="single" w:sz="12" w:space="0" w:color="auto"/>
            </w:tcBorders>
          </w:tcPr>
          <w:p w14:paraId="6901455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1145" w:type="dxa"/>
            <w:tcBorders>
              <w:bottom w:val="single" w:sz="12" w:space="0" w:color="auto"/>
            </w:tcBorders>
          </w:tcPr>
          <w:p w14:paraId="70CD3BA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1145" w:type="dxa"/>
            <w:tcBorders>
              <w:bottom w:val="single" w:sz="12" w:space="0" w:color="auto"/>
            </w:tcBorders>
          </w:tcPr>
          <w:p w14:paraId="0C770A0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1145" w:type="dxa"/>
            <w:tcBorders>
              <w:bottom w:val="single" w:sz="12" w:space="0" w:color="auto"/>
            </w:tcBorders>
          </w:tcPr>
          <w:p w14:paraId="4DC79E0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3100</w:t>
            </w:r>
          </w:p>
        </w:tc>
        <w:tc>
          <w:tcPr>
            <w:tcW w:w="1145" w:type="dxa"/>
            <w:tcBorders>
              <w:bottom w:val="single" w:sz="12" w:space="0" w:color="auto"/>
            </w:tcBorders>
          </w:tcPr>
          <w:p w14:paraId="7E057DC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8625</w:t>
            </w:r>
          </w:p>
        </w:tc>
        <w:tc>
          <w:tcPr>
            <w:tcW w:w="1145" w:type="dxa"/>
            <w:tcBorders>
              <w:bottom w:val="single" w:sz="12" w:space="0" w:color="auto"/>
            </w:tcBorders>
          </w:tcPr>
          <w:p w14:paraId="33B821D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145" w:type="dxa"/>
            <w:tcBorders>
              <w:bottom w:val="single" w:sz="12" w:space="0" w:color="auto"/>
            </w:tcBorders>
          </w:tcPr>
          <w:p w14:paraId="39F67B5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123,0</w:t>
            </w:r>
          </w:p>
        </w:tc>
      </w:tr>
    </w:tbl>
    <w:p w14:paraId="058B164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43E266E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4DDBCF90"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 февраля 1933 командир эскадрильи Королевских ВВС Освальд Гейфорд и лейтенант Гилберт Ничолеттс совершают первый беспосадочный перелет из Англии в Южную Африку на дальнемагистральном моноплане Fairey. Полет протяженностью 5 309 миль (8 544 км) является новым рекордом расстояния и занимает 57 часов 25 минут (20802).</w:t>
      </w:r>
    </w:p>
    <w:p w14:paraId="04B6B011" w14:textId="77777777" w:rsidR="00ED0B5B" w:rsidRPr="0044524F" w:rsidRDefault="00ED0B5B" w:rsidP="009654CF">
      <w:pPr>
        <w:spacing w:after="0" w:line="240" w:lineRule="auto"/>
        <w:jc w:val="both"/>
        <w:rPr>
          <w:rFonts w:ascii="Times New Roman" w:hAnsi="Times New Roman"/>
          <w:color w:val="000000" w:themeColor="text1"/>
          <w:sz w:val="16"/>
          <w:szCs w:val="16"/>
        </w:rPr>
      </w:pPr>
    </w:p>
    <w:p w14:paraId="4C9B9C06"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6—8 февраля 1933 г. Летчики О. Гейфорд, Дж. Николетс поставили на самолете «Фейри Лонг Рейндж» фирмы «Фейри» рекорд дальности в 8544 км (25675).</w:t>
      </w:r>
    </w:p>
    <w:p w14:paraId="08BD7936" w14:textId="77777777" w:rsidR="000B41D6" w:rsidRPr="00142305" w:rsidRDefault="000B41D6" w:rsidP="000B41D6">
      <w:pPr>
        <w:spacing w:after="0" w:line="240" w:lineRule="auto"/>
        <w:jc w:val="both"/>
        <w:rPr>
          <w:rFonts w:ascii="Times New Roman" w:hAnsi="Times New Roman"/>
          <w:color w:val="0070C0"/>
          <w:sz w:val="16"/>
          <w:szCs w:val="16"/>
        </w:rPr>
      </w:pPr>
    </w:p>
    <w:p w14:paraId="67DFB6BA"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6 февраля 1933 г. второй самолет «Фэйри Лонг Реиндж», пилотируемый майором О.Р. Гейфордом и летчиком-офицером Дж.Э. Николетсом, вы</w:t>
      </w:r>
      <w:r w:rsidRPr="00142305">
        <w:rPr>
          <w:rStyle w:val="aff"/>
          <w:rFonts w:ascii="Times New Roman" w:hAnsi="Times New Roman" w:cs="Times New Roman"/>
          <w:color w:val="0070C0"/>
          <w:spacing w:val="0"/>
          <w:sz w:val="16"/>
          <w:szCs w:val="16"/>
        </w:rPr>
        <w:softHyphen/>
        <w:t>летел из Крэнвелла. 8 февраля, преодолев расстояние 8544 км, он приземлился в Уолвис Бэй в Юго-Западной Африке, тем самым установив новый абсолютный рекорд дальности полета. Пролет продолжался 57 ч 25 мин. Через три месяца этот рекорд был побит летчиками Кодосом и Росси на самолете Блерио- Заппата ПО. Они преодолели маршрут по большому кругу дли</w:t>
      </w:r>
      <w:r w:rsidRPr="00142305">
        <w:rPr>
          <w:rStyle w:val="aff"/>
          <w:rFonts w:ascii="Times New Roman" w:hAnsi="Times New Roman" w:cs="Times New Roman"/>
          <w:color w:val="0070C0"/>
          <w:spacing w:val="0"/>
          <w:sz w:val="16"/>
          <w:szCs w:val="16"/>
        </w:rPr>
        <w:softHyphen/>
        <w:t>ной 9104 км от Нью-Йорка до Сирии (25675).</w:t>
      </w:r>
    </w:p>
    <w:p w14:paraId="0C71DA8F" w14:textId="77777777" w:rsidR="000B41D6" w:rsidRPr="00142305" w:rsidRDefault="000B41D6" w:rsidP="000B41D6">
      <w:pPr>
        <w:spacing w:after="0" w:line="240" w:lineRule="auto"/>
        <w:jc w:val="both"/>
        <w:rPr>
          <w:rFonts w:ascii="Times New Roman" w:hAnsi="Times New Roman"/>
          <w:color w:val="0070C0"/>
          <w:sz w:val="16"/>
          <w:szCs w:val="16"/>
        </w:rPr>
      </w:pPr>
    </w:p>
    <w:p w14:paraId="6F8D2D1A"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 февраля 1933 Джим Моллисон летит на de Havilland Puss Moth из Англии в Бразилию, через Сенегал, пересекая Южный Атлантический океан, что делает его первым человеком, совершившим одиночный перелет через Северную и Южную Атлантику (20802).</w:t>
      </w:r>
    </w:p>
    <w:p w14:paraId="16082FBD" w14:textId="77777777" w:rsidR="00ED0B5B" w:rsidRPr="0044524F" w:rsidRDefault="00ED0B5B" w:rsidP="009654CF">
      <w:pPr>
        <w:spacing w:after="0" w:line="240" w:lineRule="auto"/>
        <w:jc w:val="both"/>
        <w:rPr>
          <w:rFonts w:ascii="Times New Roman" w:hAnsi="Times New Roman"/>
          <w:color w:val="000000" w:themeColor="text1"/>
          <w:sz w:val="16"/>
          <w:szCs w:val="16"/>
        </w:rPr>
      </w:pPr>
    </w:p>
    <w:p w14:paraId="531C31B6"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февраля 1933 - Шотландский пилот Джим Моллисон летит на de Havilland Puss Moth из Соединенного Королевства в Бразилию, через Сенегал и южную Атлантику за 3 дня 13 часов. Он становится первым человеком, который пролетел в одиночку через Северную и Южную Атлантику (22632).</w:t>
      </w:r>
    </w:p>
    <w:p w14:paraId="7BABFAF7" w14:textId="77777777" w:rsidR="00ED0B5B" w:rsidRPr="0044524F" w:rsidRDefault="00ED0B5B" w:rsidP="009654CF">
      <w:pPr>
        <w:spacing w:after="0" w:line="240" w:lineRule="auto"/>
        <w:jc w:val="both"/>
        <w:rPr>
          <w:rFonts w:ascii="Times New Roman" w:hAnsi="Times New Roman"/>
          <w:color w:val="000000" w:themeColor="text1"/>
          <w:sz w:val="16"/>
          <w:szCs w:val="16"/>
        </w:rPr>
      </w:pPr>
    </w:p>
    <w:p w14:paraId="0FC7CC7F"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февраля 1933 - (по 8 февраля) - майор О. Р. Гейфорд и флайт-лейтенант Дж. Э. Николеттс совершили первый беспосадочный перелет из Англии в южную Африку на Fairey Fairey Long Range. Полет протяженностью 5 309 миль (8544 км) стал новым рекордом. Время полета 57 часов 25 мин. (22632).</w:t>
      </w:r>
    </w:p>
    <w:p w14:paraId="7EFCD3DD" w14:textId="77777777" w:rsidR="00ED0B5B" w:rsidRPr="0044524F" w:rsidRDefault="00ED0B5B" w:rsidP="009654CF">
      <w:pPr>
        <w:spacing w:after="0" w:line="240" w:lineRule="auto"/>
        <w:jc w:val="both"/>
        <w:rPr>
          <w:rFonts w:ascii="Times New Roman" w:hAnsi="Times New Roman"/>
          <w:color w:val="000000" w:themeColor="text1"/>
          <w:sz w:val="16"/>
          <w:szCs w:val="16"/>
        </w:rPr>
      </w:pPr>
    </w:p>
    <w:p w14:paraId="4458BA2C"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февраля 1933 состоялся первый полетKawanishi E7K ( союзное название "Альф") (20802).</w:t>
      </w:r>
    </w:p>
    <w:p w14:paraId="1AEB119D" w14:textId="77777777" w:rsidR="00ED0B5B" w:rsidRPr="0044524F" w:rsidRDefault="00ED0B5B" w:rsidP="009654CF">
      <w:pPr>
        <w:spacing w:after="0" w:line="240" w:lineRule="auto"/>
        <w:jc w:val="both"/>
        <w:rPr>
          <w:rFonts w:ascii="Times New Roman" w:hAnsi="Times New Roman"/>
          <w:color w:val="000000" w:themeColor="text1"/>
          <w:sz w:val="16"/>
          <w:szCs w:val="16"/>
        </w:rPr>
      </w:pPr>
    </w:p>
    <w:p w14:paraId="470F6F87"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февраля 1933 года — первый полёт разведывательного гидросамолёта Kawanishi E7K.</w:t>
      </w:r>
    </w:p>
    <w:p w14:paraId="3636706D"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Разрабатывался в рамках конкурса проектов для замены дальнего морского разведчика Kawanishi E5K. Как и предшественник, E7K был двухпоплавковым бипланом с двигателем водяного охлаждения. Экипаж из 3 человек — пилота, наблюдателя и стрелка-радиста — находился в открытых кабинах. Вооружение состояло из 3 × 7,7 мм пулемётов и 4 × 30 кг или 2 × 60 кг бомб на подкрыльевой подвеске. Различные модификации отличались двигателями и винтами.</w:t>
      </w:r>
    </w:p>
    <w:p w14:paraId="6183CC07"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Примечательно, что для компании Kawanishi самолёт станет первым успешным военным проектом — до этого фирма работала больше в области гражданского авиастроения. В конкурсе она победила более опытных конструкторов из Aichi, представивших самолёт Aichi AB-6, созданный на базе немецкого Heinkel He 62.</w:t>
      </w:r>
    </w:p>
    <w:p w14:paraId="18371EDC" w14:textId="77777777" w:rsidR="00ED0B5B" w:rsidRPr="0044524F" w:rsidRDefault="00ED0B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Было выпущено 533 единицы Kawanishi E7K. Самолёты широко использовались ВВС Императорского флота Японии, в том числе и во время боевых действий на Тихом океане. На заключительных стадиях Второй мировой войны применялся для атак лётчиков-камикадзе (22300).</w:t>
      </w:r>
    </w:p>
    <w:p w14:paraId="15A78A22" w14:textId="77777777" w:rsidR="00ED0B5B" w:rsidRPr="0044524F" w:rsidRDefault="00ED0B5B" w:rsidP="009654CF">
      <w:pPr>
        <w:spacing w:after="0" w:line="240" w:lineRule="auto"/>
        <w:jc w:val="both"/>
        <w:rPr>
          <w:rFonts w:ascii="Times New Roman" w:hAnsi="Times New Roman"/>
          <w:color w:val="000000" w:themeColor="text1"/>
          <w:sz w:val="16"/>
          <w:szCs w:val="16"/>
        </w:rPr>
      </w:pPr>
    </w:p>
    <w:p w14:paraId="5F918B58" w14:textId="77777777" w:rsidR="005B4B1E" w:rsidRPr="0044524F" w:rsidRDefault="005B4B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6 февраля</w:t>
      </w:r>
      <w:r w:rsidRPr="0044524F">
        <w:rPr>
          <w:rFonts w:ascii="Times New Roman" w:hAnsi="Times New Roman"/>
          <w:color w:val="000000" w:themeColor="text1"/>
          <w:sz w:val="16"/>
          <w:szCs w:val="16"/>
        </w:rPr>
        <w:t xml:space="preserve"> в 1933 году был облетан японский трехместный дальний разведчик-гидроплан </w:t>
      </w:r>
      <w:hyperlink r:id="rId59" w:tgtFrame="_blank" w:history="1">
        <w:r w:rsidRPr="0044524F">
          <w:rPr>
            <w:rFonts w:ascii="Times New Roman" w:hAnsi="Times New Roman"/>
            <w:color w:val="000000" w:themeColor="text1"/>
            <w:sz w:val="16"/>
            <w:szCs w:val="16"/>
          </w:rPr>
          <w:t xml:space="preserve">«Е7К1». </w:t>
        </w:r>
      </w:hyperlink>
      <w:r w:rsidRPr="0044524F">
        <w:rPr>
          <w:rFonts w:ascii="Times New Roman" w:hAnsi="Times New Roman"/>
          <w:color w:val="000000" w:themeColor="text1"/>
          <w:sz w:val="16"/>
          <w:szCs w:val="16"/>
        </w:rPr>
        <w:t xml:space="preserve">Двигатель 500-сильный Хиро "тип 91" - 12-цилиндровый, W-образный, жидкостного охлаждения. Его вооружение включало синхронный 7,7-мм пулемет "тип 92" и два 7,7-мм пулемета "тип 92" на подвижных установках в конце кабины и под фюзеляжем. Под центропланом были держатели на четыре 30-кг или две 60-кг бомбы. Экипаж состоял из пилота, наблюдателя и стрелка-радиста - все трое располагались в одной кабине. Лишь в мае 1934 г, после того, как в конце 1933 г был облетан второй «Е7К1», флот заказал самолет для серии под обозначением </w:t>
      </w:r>
      <w:hyperlink r:id="rId60" w:tgtFrame="_blank" w:history="1">
        <w:r w:rsidRPr="0044524F">
          <w:rPr>
            <w:rFonts w:ascii="Times New Roman" w:hAnsi="Times New Roman"/>
            <w:color w:val="000000" w:themeColor="text1"/>
            <w:sz w:val="16"/>
            <w:szCs w:val="16"/>
          </w:rPr>
          <w:t xml:space="preserve">"гидросамолет-разведчик морской тип 94 модель I". </w:t>
        </w:r>
      </w:hyperlink>
    </w:p>
    <w:p w14:paraId="6D9BA55A" w14:textId="77777777" w:rsidR="005B4B1E" w:rsidRPr="0044524F" w:rsidRDefault="005B4B1E" w:rsidP="009654CF">
      <w:pPr>
        <w:spacing w:after="0" w:line="240" w:lineRule="auto"/>
        <w:jc w:val="both"/>
        <w:rPr>
          <w:rFonts w:ascii="Times New Roman" w:hAnsi="Times New Roman"/>
          <w:color w:val="000000" w:themeColor="text1"/>
          <w:sz w:val="16"/>
          <w:szCs w:val="16"/>
        </w:rPr>
      </w:pPr>
    </w:p>
    <w:p w14:paraId="07236D9A" w14:textId="77777777" w:rsidR="005B4B1E" w:rsidRPr="0044524F" w:rsidRDefault="005B4B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6 февраля</w:t>
      </w:r>
      <w:r w:rsidRPr="0044524F">
        <w:rPr>
          <w:rFonts w:ascii="Times New Roman" w:hAnsi="Times New Roman"/>
          <w:color w:val="000000" w:themeColor="text1"/>
          <w:sz w:val="16"/>
          <w:szCs w:val="16"/>
        </w:rPr>
        <w:t xml:space="preserve"> в 1933 году в ночь с 6 на 7 февраля с корабля, идущего из Манилы на Филиппинах в американский город Сан-Диего, измеряют самую высокую зарегистрированную морскую волну - 34 метра от подошвы до гребня (15032).</w:t>
      </w:r>
    </w:p>
    <w:p w14:paraId="753062D1" w14:textId="77777777" w:rsidR="005B4B1E" w:rsidRPr="0044524F" w:rsidRDefault="005B4B1E" w:rsidP="009654CF">
      <w:pPr>
        <w:spacing w:after="0" w:line="240" w:lineRule="auto"/>
        <w:jc w:val="both"/>
        <w:rPr>
          <w:rFonts w:ascii="Times New Roman" w:hAnsi="Times New Roman"/>
          <w:color w:val="000000" w:themeColor="text1"/>
          <w:sz w:val="16"/>
          <w:szCs w:val="16"/>
        </w:rPr>
      </w:pPr>
    </w:p>
    <w:p w14:paraId="5C4BDCC4" w14:textId="77777777" w:rsidR="00103186" w:rsidRPr="0044524F" w:rsidRDefault="001031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февраля 1933 в нацисткой Германии объявлено введение газетной цензуры (4962).</w:t>
      </w:r>
    </w:p>
    <w:p w14:paraId="65613A52" w14:textId="77777777" w:rsidR="00103186" w:rsidRPr="0044524F" w:rsidRDefault="001031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E0743F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февраля 1933 в Рейхе была введена цензура прессы (2100).</w:t>
      </w:r>
    </w:p>
    <w:p w14:paraId="57C63A7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6ABD8666"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3D9E67A"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96B8D9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февраля 1933 Н.Н.П. во главе с бригадой из 14 чел. перевели из КОСОС на 39 завод, где в январе было организовано ЦКБ (222,25).</w:t>
      </w:r>
    </w:p>
    <w:p w14:paraId="0E24C23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переезд Н.Н.П. состоялся в январе (129,2).</w:t>
      </w:r>
    </w:p>
    <w:p w14:paraId="333A727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принципе это согласуется с тем, что с 9 февраля Н.Н.П. стал работать в новом ЦКБ.</w:t>
      </w:r>
    </w:p>
    <w:p w14:paraId="644646EC"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1F272E6" w14:textId="77777777" w:rsidR="001911F8" w:rsidRPr="0044524F" w:rsidRDefault="001911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февраля 1933 г. П.Д.Самсонова представил эскизный про</w:t>
      </w:r>
      <w:r w:rsidRPr="0044524F">
        <w:rPr>
          <w:rFonts w:ascii="Times New Roman" w:hAnsi="Times New Roman"/>
          <w:color w:val="000000" w:themeColor="text1"/>
          <w:sz w:val="16"/>
          <w:szCs w:val="16"/>
        </w:rPr>
        <w:softHyphen/>
        <w:t>ект тягача для ТБ-3 - изящного моноплана с верхним расположением кры</w:t>
      </w:r>
      <w:r w:rsidRPr="0044524F">
        <w:rPr>
          <w:rFonts w:ascii="Times New Roman" w:hAnsi="Times New Roman"/>
          <w:color w:val="000000" w:themeColor="text1"/>
          <w:sz w:val="16"/>
          <w:szCs w:val="16"/>
        </w:rPr>
        <w:softHyphen/>
        <w:t>ла. Полная длина самолета составляла 8,1 метра, размах крыла - 12,0 метров. При подготовке проекта использовал</w:t>
      </w:r>
      <w:r w:rsidRPr="0044524F">
        <w:rPr>
          <w:rFonts w:ascii="Times New Roman" w:hAnsi="Times New Roman"/>
          <w:color w:val="000000" w:themeColor="text1"/>
          <w:sz w:val="16"/>
          <w:szCs w:val="16"/>
        </w:rPr>
        <w:softHyphen/>
        <w:t>ся итальянский двигатель фирмы Изотта-Фраскини «Ассо-1000», развивающий на взлете мощность 1000 л.с. Двигатель был оснащен понижающим редуктором и впол</w:t>
      </w:r>
      <w:r w:rsidRPr="0044524F">
        <w:rPr>
          <w:rFonts w:ascii="Times New Roman" w:hAnsi="Times New Roman"/>
          <w:color w:val="000000" w:themeColor="text1"/>
          <w:sz w:val="16"/>
          <w:szCs w:val="16"/>
        </w:rPr>
        <w:softHyphen/>
        <w:t>не подходил для вращения воздушного винта диаметром 4,5 метра. «Ассо-1000» появился в 1928 г. и спустя не</w:t>
      </w:r>
      <w:r w:rsidRPr="0044524F">
        <w:rPr>
          <w:rFonts w:ascii="Times New Roman" w:hAnsi="Times New Roman"/>
          <w:color w:val="000000" w:themeColor="text1"/>
          <w:sz w:val="16"/>
          <w:szCs w:val="16"/>
        </w:rPr>
        <w:softHyphen/>
        <w:t>сколько лет по-прежнему считался одним из наиболее мощных двигателей в мире. При его установке на ма</w:t>
      </w:r>
      <w:r w:rsidRPr="0044524F">
        <w:rPr>
          <w:rFonts w:ascii="Times New Roman" w:hAnsi="Times New Roman"/>
          <w:color w:val="000000" w:themeColor="text1"/>
          <w:sz w:val="16"/>
          <w:szCs w:val="16"/>
        </w:rPr>
        <w:softHyphen/>
        <w:t>ленький самолет действительно получался «летающий мо</w:t>
      </w:r>
      <w:r w:rsidRPr="0044524F">
        <w:rPr>
          <w:rFonts w:ascii="Times New Roman" w:hAnsi="Times New Roman"/>
          <w:color w:val="000000" w:themeColor="text1"/>
          <w:sz w:val="16"/>
          <w:szCs w:val="16"/>
        </w:rPr>
        <w:softHyphen/>
        <w:t>тор» - «Ассо» весил около 900 кг, его полная длина превышала два метра, а габаритная ширина составляла 1060 мм. Сотрудничество с итальянскими моторными фирмами в тот период было в разгаре, поэтому возмож</w:t>
      </w:r>
      <w:r w:rsidRPr="0044524F">
        <w:rPr>
          <w:rFonts w:ascii="Times New Roman" w:hAnsi="Times New Roman"/>
          <w:color w:val="000000" w:themeColor="text1"/>
          <w:sz w:val="16"/>
          <w:szCs w:val="16"/>
        </w:rPr>
        <w:softHyphen/>
        <w:t>ности получения «Ассо» были вполне реальными (20345).</w:t>
      </w:r>
    </w:p>
    <w:p w14:paraId="7D2EC86E" w14:textId="77777777" w:rsidR="001911F8" w:rsidRPr="0044524F" w:rsidRDefault="001911F8" w:rsidP="009654CF">
      <w:pPr>
        <w:spacing w:after="0" w:line="240" w:lineRule="auto"/>
        <w:jc w:val="both"/>
        <w:rPr>
          <w:rFonts w:ascii="Times New Roman" w:hAnsi="Times New Roman"/>
          <w:color w:val="000000" w:themeColor="text1"/>
          <w:sz w:val="16"/>
          <w:szCs w:val="16"/>
        </w:rPr>
      </w:pPr>
    </w:p>
    <w:p w14:paraId="4CB537C4" w14:textId="77777777" w:rsidR="00A23B2B" w:rsidRPr="0044524F" w:rsidRDefault="00A23B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февраля 1933 г. конст</w:t>
      </w:r>
      <w:r w:rsidRPr="0044524F">
        <w:rPr>
          <w:rFonts w:ascii="Times New Roman" w:hAnsi="Times New Roman"/>
          <w:color w:val="000000" w:themeColor="text1"/>
          <w:sz w:val="16"/>
          <w:szCs w:val="16"/>
        </w:rPr>
        <w:softHyphen/>
        <w:t>руктор П.Д.Самсонов, которого удалось привлечь к разработке «тягача» (он занимался морскими са</w:t>
      </w:r>
      <w:r w:rsidRPr="0044524F">
        <w:rPr>
          <w:rFonts w:ascii="Times New Roman" w:hAnsi="Times New Roman"/>
          <w:color w:val="000000" w:themeColor="text1"/>
          <w:sz w:val="16"/>
          <w:szCs w:val="16"/>
        </w:rPr>
        <w:softHyphen/>
        <w:t>молетами в ЦКБ, очевидно, что для него это была договорная работа)представил эскизный проект изящ</w:t>
      </w:r>
      <w:r w:rsidRPr="0044524F">
        <w:rPr>
          <w:rFonts w:ascii="Times New Roman" w:hAnsi="Times New Roman"/>
          <w:color w:val="000000" w:themeColor="text1"/>
          <w:sz w:val="16"/>
          <w:szCs w:val="16"/>
        </w:rPr>
        <w:softHyphen/>
        <w:t>ного моноплана с верхним расположением крыла. Полная длина самолета составляла 8,1 метра, размах крыла — 12,0 метров. При подготовке проекта ис</w:t>
      </w:r>
      <w:r w:rsidRPr="0044524F">
        <w:rPr>
          <w:rFonts w:ascii="Times New Roman" w:hAnsi="Times New Roman"/>
          <w:color w:val="000000" w:themeColor="text1"/>
          <w:sz w:val="16"/>
          <w:szCs w:val="16"/>
        </w:rPr>
        <w:softHyphen/>
        <w:t>пользовался итальянский двигатель фирмы Изотта- Фраскини «Ассо-1000», развивающий на взлете мощ</w:t>
      </w:r>
      <w:r w:rsidRPr="0044524F">
        <w:rPr>
          <w:rFonts w:ascii="Times New Roman" w:hAnsi="Times New Roman"/>
          <w:color w:val="000000" w:themeColor="text1"/>
          <w:sz w:val="16"/>
          <w:szCs w:val="16"/>
        </w:rPr>
        <w:softHyphen/>
        <w:t>ность 1000 л.с. Двигатель был оснащен понижающим редуктором и весьма подходил для вращения воз</w:t>
      </w:r>
      <w:r w:rsidRPr="0044524F">
        <w:rPr>
          <w:rFonts w:ascii="Times New Roman" w:hAnsi="Times New Roman"/>
          <w:color w:val="000000" w:themeColor="text1"/>
          <w:sz w:val="16"/>
          <w:szCs w:val="16"/>
        </w:rPr>
        <w:softHyphen/>
        <w:t>душного винта диаметром 4,5 метра. «Ассо-1000» по</w:t>
      </w:r>
      <w:r w:rsidRPr="0044524F">
        <w:rPr>
          <w:rFonts w:ascii="Times New Roman" w:hAnsi="Times New Roman"/>
          <w:color w:val="000000" w:themeColor="text1"/>
          <w:sz w:val="16"/>
          <w:szCs w:val="16"/>
        </w:rPr>
        <w:softHyphen/>
        <w:t>явился в 1928 г. и спустя несколько лет по-прежнему считался одним из наиболее мощных двигателей в мире. При его установке на маленький самолет дей</w:t>
      </w:r>
      <w:r w:rsidRPr="0044524F">
        <w:rPr>
          <w:rFonts w:ascii="Times New Roman" w:hAnsi="Times New Roman"/>
          <w:color w:val="000000" w:themeColor="text1"/>
          <w:sz w:val="16"/>
          <w:szCs w:val="16"/>
        </w:rPr>
        <w:softHyphen/>
        <w:t>ствительно получался «летающий мотор» — «Ассо» весил около 900 кг, его полная длина превышала два метра, а габаритная ширина составляла 1060 мм. Со</w:t>
      </w:r>
      <w:r w:rsidRPr="0044524F">
        <w:rPr>
          <w:rFonts w:ascii="Times New Roman" w:hAnsi="Times New Roman"/>
          <w:color w:val="000000" w:themeColor="text1"/>
          <w:sz w:val="16"/>
          <w:szCs w:val="16"/>
        </w:rPr>
        <w:softHyphen/>
        <w:t>трудничество с итальянскими моторными фирмами в тот период было в разгаре, поэтому возможности по</w:t>
      </w:r>
      <w:r w:rsidRPr="0044524F">
        <w:rPr>
          <w:rFonts w:ascii="Times New Roman" w:hAnsi="Times New Roman"/>
          <w:color w:val="000000" w:themeColor="text1"/>
          <w:sz w:val="16"/>
          <w:szCs w:val="16"/>
        </w:rPr>
        <w:softHyphen/>
        <w:t>лучения «Ассо» были вполне реальными.</w:t>
      </w:r>
    </w:p>
    <w:p w14:paraId="5F293803" w14:textId="77777777" w:rsidR="00A23B2B" w:rsidRPr="0044524F" w:rsidRDefault="00A23B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Впрочем, до постройки экзотического летательно</w:t>
      </w:r>
      <w:r w:rsidRPr="0044524F">
        <w:rPr>
          <w:rFonts w:ascii="Times New Roman" w:hAnsi="Times New Roman"/>
          <w:color w:val="000000" w:themeColor="text1"/>
          <w:sz w:val="16"/>
          <w:szCs w:val="16"/>
        </w:rPr>
        <w:softHyphen/>
        <w:t>го аппарата дело не дошло, «Тягач» не вышел из со</w:t>
      </w:r>
      <w:r w:rsidRPr="0044524F">
        <w:rPr>
          <w:rFonts w:ascii="Times New Roman" w:hAnsi="Times New Roman"/>
          <w:color w:val="000000" w:themeColor="text1"/>
          <w:sz w:val="16"/>
          <w:szCs w:val="16"/>
        </w:rPr>
        <w:softHyphen/>
        <w:t>стояния проектного варианта. Однако сама идея счи</w:t>
      </w:r>
      <w:r w:rsidRPr="0044524F">
        <w:rPr>
          <w:rFonts w:ascii="Times New Roman" w:hAnsi="Times New Roman"/>
          <w:color w:val="000000" w:themeColor="text1"/>
          <w:sz w:val="16"/>
          <w:szCs w:val="16"/>
        </w:rPr>
        <w:softHyphen/>
        <w:t>талась актуальной еще года два. В частности, для улучшения летных данных ТБ-3 4М-17 сверху его фюзеляжа закрепили фюзеляж от истребителя И-5. На самом деле от системы З-2 (ТБ-3+3 И-5) исполь</w:t>
      </w:r>
      <w:r w:rsidRPr="0044524F">
        <w:rPr>
          <w:rFonts w:ascii="Times New Roman" w:hAnsi="Times New Roman"/>
          <w:color w:val="000000" w:themeColor="text1"/>
          <w:sz w:val="16"/>
          <w:szCs w:val="16"/>
        </w:rPr>
        <w:softHyphen/>
        <w:t>зовали «наспинный» И-5, у которого сняли крылья (23378).</w:t>
      </w:r>
    </w:p>
    <w:p w14:paraId="4B56B4D0" w14:textId="77777777" w:rsidR="00A23B2B" w:rsidRPr="0044524F" w:rsidRDefault="00A23B2B" w:rsidP="009654CF">
      <w:pPr>
        <w:spacing w:after="0" w:line="240" w:lineRule="auto"/>
        <w:jc w:val="both"/>
        <w:rPr>
          <w:rFonts w:ascii="Times New Roman" w:hAnsi="Times New Roman"/>
          <w:color w:val="000000" w:themeColor="text1"/>
          <w:sz w:val="16"/>
          <w:szCs w:val="16"/>
        </w:rPr>
      </w:pPr>
    </w:p>
    <w:p w14:paraId="3F0EB8B0" w14:textId="67350993" w:rsidR="000B41D6" w:rsidRPr="0044524F" w:rsidRDefault="000B41D6" w:rsidP="000B41D6">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44524F">
        <w:rPr>
          <w:rFonts w:ascii="Times New Roman" w:hAnsi="Times New Roman"/>
          <w:i/>
          <w:iCs/>
          <w:color w:val="000000" w:themeColor="text1"/>
          <w:sz w:val="16"/>
          <w:szCs w:val="16"/>
        </w:rPr>
        <w:t>:</w:t>
      </w:r>
    </w:p>
    <w:p w14:paraId="32D0099C" w14:textId="77777777" w:rsidR="000B41D6" w:rsidRPr="0044524F" w:rsidRDefault="000B41D6" w:rsidP="000B41D6">
      <w:pPr>
        <w:autoSpaceDE w:val="0"/>
        <w:autoSpaceDN w:val="0"/>
        <w:adjustRightInd w:val="0"/>
        <w:spacing w:after="0" w:line="240" w:lineRule="auto"/>
        <w:jc w:val="both"/>
        <w:rPr>
          <w:rFonts w:ascii="Times New Roman" w:hAnsi="Times New Roman"/>
          <w:iCs/>
          <w:color w:val="000000" w:themeColor="text1"/>
          <w:sz w:val="16"/>
          <w:szCs w:val="16"/>
        </w:rPr>
      </w:pPr>
    </w:p>
    <w:p w14:paraId="5C089FC6"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февраля 1933 г. второй самолет «Фэйри Лонг Реиндж» ста</w:t>
      </w:r>
      <w:r w:rsidRPr="00142305">
        <w:rPr>
          <w:rStyle w:val="aff"/>
          <w:rFonts w:ascii="Times New Roman" w:hAnsi="Times New Roman" w:cs="Times New Roman"/>
          <w:color w:val="0070C0"/>
          <w:spacing w:val="0"/>
          <w:sz w:val="16"/>
          <w:szCs w:val="16"/>
        </w:rPr>
        <w:softHyphen/>
        <w:t>ли готовить для установления мирового рекорда. Для такого по</w:t>
      </w:r>
      <w:r w:rsidRPr="00142305">
        <w:rPr>
          <w:rStyle w:val="aff"/>
          <w:rFonts w:ascii="Times New Roman" w:hAnsi="Times New Roman" w:cs="Times New Roman"/>
          <w:color w:val="0070C0"/>
          <w:spacing w:val="0"/>
          <w:sz w:val="16"/>
          <w:szCs w:val="16"/>
        </w:rPr>
        <w:softHyphen/>
        <w:t>лета экипаж снабдили продуктами. Они включали в себя два цы</w:t>
      </w:r>
      <w:r w:rsidRPr="00142305">
        <w:rPr>
          <w:rStyle w:val="aff"/>
          <w:rFonts w:ascii="Times New Roman" w:hAnsi="Times New Roman" w:cs="Times New Roman"/>
          <w:color w:val="0070C0"/>
          <w:spacing w:val="0"/>
          <w:sz w:val="16"/>
          <w:szCs w:val="16"/>
        </w:rPr>
        <w:softHyphen/>
        <w:t>пленка, сэндвичи, шоколад, апельсины, яблоки, бананы, сухие фрукты, рафинад, жевательную резинку, сладости, черный кофе и таблетки молока (25675).</w:t>
      </w:r>
    </w:p>
    <w:p w14:paraId="51E657D4" w14:textId="77777777" w:rsidR="000B41D6" w:rsidRPr="00142305" w:rsidRDefault="000B41D6" w:rsidP="000B41D6">
      <w:pPr>
        <w:spacing w:after="0" w:line="240" w:lineRule="auto"/>
        <w:jc w:val="both"/>
        <w:rPr>
          <w:rFonts w:ascii="Times New Roman" w:hAnsi="Times New Roman"/>
          <w:color w:val="0070C0"/>
          <w:sz w:val="16"/>
          <w:szCs w:val="16"/>
        </w:rPr>
      </w:pPr>
    </w:p>
    <w:p w14:paraId="771BCA0F"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023AB19"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367851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февраля 1933 Известия опубликовали статью "Первое место в Европе" - рапорт самолетостроителей ХАИ И.В.С. Там было написано "...самолет ХАИ-1 с убирающимся в полете шасси при испытаниях дал скорость 290 км/ч. Этим самым советская авиация заняла первое место в Европе и второе - в мире" (1148,27).</w:t>
      </w:r>
    </w:p>
    <w:p w14:paraId="656AC21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0FFF143E" w14:textId="77777777" w:rsidR="00A23B2B" w:rsidRPr="0044524F" w:rsidRDefault="00A23B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февраля 1933 года газета "Известия" подзаголовком "Первое место в Европе" опубликовала рапорт самолетостроителей ХАИ генсеку Сталину. В нем говорилось, что: "...самолет ХАИ-1 с убирающимся в полете шасси при испытаниях дал скорость 290 км/ч. Этим самым советская авиация заняла первое место в Европе и второе - в мире" (24248)</w:t>
      </w:r>
    </w:p>
    <w:p w14:paraId="47B851E2" w14:textId="77777777" w:rsidR="00A23B2B" w:rsidRPr="0044524F" w:rsidRDefault="00A23B2B" w:rsidP="009654CF">
      <w:pPr>
        <w:spacing w:after="0" w:line="240" w:lineRule="auto"/>
        <w:jc w:val="both"/>
        <w:rPr>
          <w:rFonts w:ascii="Times New Roman" w:hAnsi="Times New Roman"/>
          <w:color w:val="000000" w:themeColor="text1"/>
          <w:sz w:val="16"/>
          <w:szCs w:val="16"/>
        </w:rPr>
      </w:pPr>
    </w:p>
    <w:p w14:paraId="79520045"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7 февраля 1933 года газета «Известия» подзаголовком «Первое место в Европе» опубликовала рапорт самолетостроителей «ХАИ» руководителю Советской страны И.В. Сталину. В нем говорилось, что: «...самолет ХАИ-1 с убирающимся в полете шасси при испытаниях дал скорость 290 км/ч. Этим самым советская авиация заняла первое место в Европе и второе в мире (после США с его «Орионом»; немецкий «Хейнкель» стал третьим)» (25744).</w:t>
      </w:r>
    </w:p>
    <w:p w14:paraId="59E14356" w14:textId="77777777" w:rsidR="000B41D6" w:rsidRPr="00142305" w:rsidRDefault="000B41D6" w:rsidP="000B41D6">
      <w:pPr>
        <w:spacing w:after="0" w:line="240" w:lineRule="auto"/>
        <w:jc w:val="both"/>
        <w:rPr>
          <w:rStyle w:val="aff"/>
          <w:rFonts w:ascii="Times New Roman" w:hAnsi="Times New Roman" w:cs="Times New Roman"/>
          <w:color w:val="0070C0"/>
          <w:spacing w:val="0"/>
          <w:sz w:val="16"/>
          <w:szCs w:val="16"/>
        </w:rPr>
      </w:pPr>
    </w:p>
    <w:p w14:paraId="4BA4CDB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февраля 1933 года врид начальника мобпланового сектора начальника вооружений ВВС Заикин писал письмо N МП/00105.</w:t>
      </w:r>
    </w:p>
    <w:p w14:paraId="0C73B0E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из сводной ведомости самолетного парка с 1.10.1928 г. по 1.01.1933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772"/>
        <w:gridCol w:w="772"/>
        <w:gridCol w:w="772"/>
        <w:gridCol w:w="772"/>
        <w:gridCol w:w="4852"/>
      </w:tblGrid>
      <w:tr w:rsidR="004E10C1" w:rsidRPr="0044524F" w14:paraId="01915DA8" w14:textId="77777777">
        <w:tc>
          <w:tcPr>
            <w:tcW w:w="2660" w:type="dxa"/>
          </w:tcPr>
          <w:p w14:paraId="4D56713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самолетов</w:t>
            </w:r>
          </w:p>
        </w:tc>
        <w:tc>
          <w:tcPr>
            <w:tcW w:w="772" w:type="dxa"/>
          </w:tcPr>
          <w:p w14:paraId="08417ED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1.10.28</w:t>
            </w:r>
          </w:p>
        </w:tc>
        <w:tc>
          <w:tcPr>
            <w:tcW w:w="772" w:type="dxa"/>
          </w:tcPr>
          <w:p w14:paraId="53AC5C6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1.10.29</w:t>
            </w:r>
          </w:p>
        </w:tc>
        <w:tc>
          <w:tcPr>
            <w:tcW w:w="772" w:type="dxa"/>
          </w:tcPr>
          <w:p w14:paraId="16624BF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1.10.30</w:t>
            </w:r>
          </w:p>
        </w:tc>
        <w:tc>
          <w:tcPr>
            <w:tcW w:w="772" w:type="dxa"/>
          </w:tcPr>
          <w:p w14:paraId="5408129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1.01.32</w:t>
            </w:r>
          </w:p>
        </w:tc>
        <w:tc>
          <w:tcPr>
            <w:tcW w:w="4852" w:type="dxa"/>
          </w:tcPr>
          <w:p w14:paraId="54BD69D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1.01.33</w:t>
            </w:r>
          </w:p>
        </w:tc>
      </w:tr>
      <w:tr w:rsidR="004E10C1" w:rsidRPr="0044524F" w14:paraId="7D712FB6" w14:textId="77777777">
        <w:tc>
          <w:tcPr>
            <w:tcW w:w="2660" w:type="dxa"/>
          </w:tcPr>
          <w:p w14:paraId="40C2AAA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Фоккер С-IV</w:t>
            </w:r>
          </w:p>
        </w:tc>
        <w:tc>
          <w:tcPr>
            <w:tcW w:w="772" w:type="dxa"/>
          </w:tcPr>
          <w:p w14:paraId="0718CFF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w:t>
            </w:r>
          </w:p>
        </w:tc>
        <w:tc>
          <w:tcPr>
            <w:tcW w:w="772" w:type="dxa"/>
          </w:tcPr>
          <w:p w14:paraId="5DEEDDC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w:t>
            </w:r>
          </w:p>
        </w:tc>
        <w:tc>
          <w:tcPr>
            <w:tcW w:w="772" w:type="dxa"/>
          </w:tcPr>
          <w:p w14:paraId="2FBE9A6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c>
          <w:tcPr>
            <w:tcW w:w="772" w:type="dxa"/>
          </w:tcPr>
          <w:p w14:paraId="3E35E7A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w:t>
            </w:r>
          </w:p>
        </w:tc>
        <w:tc>
          <w:tcPr>
            <w:tcW w:w="4852" w:type="dxa"/>
          </w:tcPr>
          <w:p w14:paraId="350434F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258FE8B7" w14:textId="77777777">
        <w:tc>
          <w:tcPr>
            <w:tcW w:w="2660" w:type="dxa"/>
          </w:tcPr>
          <w:p w14:paraId="7A40519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Р1-М5</w:t>
            </w:r>
          </w:p>
        </w:tc>
        <w:tc>
          <w:tcPr>
            <w:tcW w:w="772" w:type="dxa"/>
          </w:tcPr>
          <w:p w14:paraId="10875DC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962</w:t>
            </w:r>
          </w:p>
        </w:tc>
        <w:tc>
          <w:tcPr>
            <w:tcW w:w="772" w:type="dxa"/>
          </w:tcPr>
          <w:p w14:paraId="34259D9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1209</w:t>
            </w:r>
          </w:p>
        </w:tc>
        <w:tc>
          <w:tcPr>
            <w:tcW w:w="772" w:type="dxa"/>
          </w:tcPr>
          <w:p w14:paraId="221BA53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1309</w:t>
            </w:r>
          </w:p>
        </w:tc>
        <w:tc>
          <w:tcPr>
            <w:tcW w:w="772" w:type="dxa"/>
          </w:tcPr>
          <w:p w14:paraId="199CFB8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1404</w:t>
            </w:r>
          </w:p>
        </w:tc>
        <w:tc>
          <w:tcPr>
            <w:tcW w:w="4852" w:type="dxa"/>
          </w:tcPr>
          <w:p w14:paraId="366A42C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1297</w:t>
            </w:r>
          </w:p>
        </w:tc>
      </w:tr>
      <w:tr w:rsidR="004E10C1" w:rsidRPr="0044524F" w14:paraId="5A46AEAA" w14:textId="77777777">
        <w:tc>
          <w:tcPr>
            <w:tcW w:w="2660" w:type="dxa"/>
          </w:tcPr>
          <w:p w14:paraId="1CDF7EF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Р3-ЛД</w:t>
            </w:r>
          </w:p>
        </w:tc>
        <w:tc>
          <w:tcPr>
            <w:tcW w:w="772" w:type="dxa"/>
          </w:tcPr>
          <w:p w14:paraId="45166BF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72" w:type="dxa"/>
          </w:tcPr>
          <w:p w14:paraId="083909A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w:t>
            </w:r>
          </w:p>
        </w:tc>
        <w:tc>
          <w:tcPr>
            <w:tcW w:w="772" w:type="dxa"/>
          </w:tcPr>
          <w:p w14:paraId="0F34D9A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89</w:t>
            </w:r>
          </w:p>
        </w:tc>
        <w:tc>
          <w:tcPr>
            <w:tcW w:w="772" w:type="dxa"/>
          </w:tcPr>
          <w:p w14:paraId="798E06F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4852" w:type="dxa"/>
          </w:tcPr>
          <w:p w14:paraId="58AF5B1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w:t>
            </w:r>
          </w:p>
        </w:tc>
      </w:tr>
      <w:tr w:rsidR="004E10C1" w:rsidRPr="0044524F" w14:paraId="2356FCBD" w14:textId="77777777">
        <w:tc>
          <w:tcPr>
            <w:tcW w:w="2660" w:type="dxa"/>
          </w:tcPr>
          <w:p w14:paraId="64A78EC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772" w:type="dxa"/>
          </w:tcPr>
          <w:p w14:paraId="0B1CDB5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6D17157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772" w:type="dxa"/>
          </w:tcPr>
          <w:p w14:paraId="299F119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772" w:type="dxa"/>
          </w:tcPr>
          <w:p w14:paraId="5672402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w:t>
            </w:r>
          </w:p>
        </w:tc>
        <w:tc>
          <w:tcPr>
            <w:tcW w:w="4852" w:type="dxa"/>
          </w:tcPr>
          <w:p w14:paraId="78139C1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941</w:t>
            </w:r>
          </w:p>
        </w:tc>
      </w:tr>
      <w:tr w:rsidR="004E10C1" w:rsidRPr="0044524F" w14:paraId="7A54CDE0" w14:textId="77777777">
        <w:tc>
          <w:tcPr>
            <w:tcW w:w="2660" w:type="dxa"/>
          </w:tcPr>
          <w:p w14:paraId="5B2A99E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w:t>
            </w:r>
          </w:p>
        </w:tc>
        <w:tc>
          <w:tcPr>
            <w:tcW w:w="772" w:type="dxa"/>
          </w:tcPr>
          <w:p w14:paraId="0C600CF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5BDD25F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772" w:type="dxa"/>
          </w:tcPr>
          <w:p w14:paraId="4E07035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w:t>
            </w:r>
          </w:p>
        </w:tc>
        <w:tc>
          <w:tcPr>
            <w:tcW w:w="772" w:type="dxa"/>
          </w:tcPr>
          <w:p w14:paraId="7E1930A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w:t>
            </w:r>
          </w:p>
        </w:tc>
        <w:tc>
          <w:tcPr>
            <w:tcW w:w="4852" w:type="dxa"/>
          </w:tcPr>
          <w:p w14:paraId="276C21A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201</w:t>
            </w:r>
          </w:p>
        </w:tc>
      </w:tr>
      <w:tr w:rsidR="004E10C1" w:rsidRPr="0044524F" w14:paraId="0B008E9B" w14:textId="77777777">
        <w:tc>
          <w:tcPr>
            <w:tcW w:w="2660" w:type="dxa"/>
          </w:tcPr>
          <w:p w14:paraId="226AF70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ЮГ1</w:t>
            </w:r>
          </w:p>
        </w:tc>
        <w:tc>
          <w:tcPr>
            <w:tcW w:w="772" w:type="dxa"/>
          </w:tcPr>
          <w:p w14:paraId="7C93635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772" w:type="dxa"/>
          </w:tcPr>
          <w:p w14:paraId="3D56E95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772" w:type="dxa"/>
          </w:tcPr>
          <w:p w14:paraId="4A431F8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772" w:type="dxa"/>
          </w:tcPr>
          <w:p w14:paraId="0C1C4A5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4852" w:type="dxa"/>
          </w:tcPr>
          <w:p w14:paraId="345DBBF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r>
      <w:tr w:rsidR="004E10C1" w:rsidRPr="0044524F" w14:paraId="2F7E63FA" w14:textId="77777777">
        <w:tc>
          <w:tcPr>
            <w:tcW w:w="2660" w:type="dxa"/>
          </w:tcPr>
          <w:p w14:paraId="2F6B99A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Фоккер Д-VII</w:t>
            </w:r>
          </w:p>
        </w:tc>
        <w:tc>
          <w:tcPr>
            <w:tcW w:w="772" w:type="dxa"/>
          </w:tcPr>
          <w:p w14:paraId="4DF2E1E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772" w:type="dxa"/>
          </w:tcPr>
          <w:p w14:paraId="79D232C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772" w:type="dxa"/>
          </w:tcPr>
          <w:p w14:paraId="0FF251B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772" w:type="dxa"/>
          </w:tcPr>
          <w:p w14:paraId="5E366C8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4852" w:type="dxa"/>
          </w:tcPr>
          <w:p w14:paraId="68EEE2C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r>
      <w:tr w:rsidR="004E10C1" w:rsidRPr="0044524F" w14:paraId="474421EF" w14:textId="77777777">
        <w:tc>
          <w:tcPr>
            <w:tcW w:w="2660" w:type="dxa"/>
          </w:tcPr>
          <w:p w14:paraId="1ECE417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Фоккер Д-XI</w:t>
            </w:r>
          </w:p>
        </w:tc>
        <w:tc>
          <w:tcPr>
            <w:tcW w:w="772" w:type="dxa"/>
          </w:tcPr>
          <w:p w14:paraId="69B15AC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w:t>
            </w:r>
          </w:p>
        </w:tc>
        <w:tc>
          <w:tcPr>
            <w:tcW w:w="772" w:type="dxa"/>
          </w:tcPr>
          <w:p w14:paraId="53F540A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w:t>
            </w:r>
          </w:p>
        </w:tc>
        <w:tc>
          <w:tcPr>
            <w:tcW w:w="772" w:type="dxa"/>
          </w:tcPr>
          <w:p w14:paraId="02BDA91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w:t>
            </w:r>
          </w:p>
        </w:tc>
        <w:tc>
          <w:tcPr>
            <w:tcW w:w="772" w:type="dxa"/>
          </w:tcPr>
          <w:p w14:paraId="410BFB0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w:t>
            </w:r>
          </w:p>
        </w:tc>
        <w:tc>
          <w:tcPr>
            <w:tcW w:w="4852" w:type="dxa"/>
          </w:tcPr>
          <w:p w14:paraId="03AAB73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w:t>
            </w:r>
          </w:p>
        </w:tc>
      </w:tr>
      <w:tr w:rsidR="004E10C1" w:rsidRPr="0044524F" w14:paraId="0D049BA7" w14:textId="77777777">
        <w:tc>
          <w:tcPr>
            <w:tcW w:w="2660" w:type="dxa"/>
          </w:tcPr>
          <w:p w14:paraId="1BD69CF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И2</w:t>
            </w:r>
          </w:p>
        </w:tc>
        <w:tc>
          <w:tcPr>
            <w:tcW w:w="772" w:type="dxa"/>
          </w:tcPr>
          <w:p w14:paraId="134FE8E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w:t>
            </w:r>
          </w:p>
        </w:tc>
        <w:tc>
          <w:tcPr>
            <w:tcW w:w="772" w:type="dxa"/>
          </w:tcPr>
          <w:p w14:paraId="7BA78CF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772" w:type="dxa"/>
          </w:tcPr>
          <w:p w14:paraId="65D884E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772" w:type="dxa"/>
          </w:tcPr>
          <w:p w14:paraId="3E7048C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4852" w:type="dxa"/>
          </w:tcPr>
          <w:p w14:paraId="74A585A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29422505" w14:textId="77777777">
        <w:tc>
          <w:tcPr>
            <w:tcW w:w="2660" w:type="dxa"/>
          </w:tcPr>
          <w:p w14:paraId="04D41CA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И2 бис</w:t>
            </w:r>
          </w:p>
        </w:tc>
        <w:tc>
          <w:tcPr>
            <w:tcW w:w="772" w:type="dxa"/>
          </w:tcPr>
          <w:p w14:paraId="585B007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772" w:type="dxa"/>
          </w:tcPr>
          <w:p w14:paraId="362E977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w:t>
            </w:r>
          </w:p>
        </w:tc>
        <w:tc>
          <w:tcPr>
            <w:tcW w:w="772" w:type="dxa"/>
          </w:tcPr>
          <w:p w14:paraId="3476C60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772" w:type="dxa"/>
          </w:tcPr>
          <w:p w14:paraId="4B9864D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w:t>
            </w:r>
          </w:p>
        </w:tc>
        <w:tc>
          <w:tcPr>
            <w:tcW w:w="4852" w:type="dxa"/>
          </w:tcPr>
          <w:p w14:paraId="30618BE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086D2D1F" w14:textId="77777777">
        <w:tc>
          <w:tcPr>
            <w:tcW w:w="2660" w:type="dxa"/>
          </w:tcPr>
          <w:p w14:paraId="6992F87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И3</w:t>
            </w:r>
          </w:p>
        </w:tc>
        <w:tc>
          <w:tcPr>
            <w:tcW w:w="772" w:type="dxa"/>
          </w:tcPr>
          <w:p w14:paraId="4652202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57A76F5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772" w:type="dxa"/>
          </w:tcPr>
          <w:p w14:paraId="4D678F9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w:t>
            </w:r>
          </w:p>
        </w:tc>
        <w:tc>
          <w:tcPr>
            <w:tcW w:w="772" w:type="dxa"/>
          </w:tcPr>
          <w:p w14:paraId="18FD2B3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276</w:t>
            </w:r>
          </w:p>
        </w:tc>
        <w:tc>
          <w:tcPr>
            <w:tcW w:w="4852" w:type="dxa"/>
          </w:tcPr>
          <w:p w14:paraId="436EB04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249</w:t>
            </w:r>
          </w:p>
        </w:tc>
      </w:tr>
      <w:tr w:rsidR="004E10C1" w:rsidRPr="0044524F" w14:paraId="1F0972C7" w14:textId="77777777">
        <w:tc>
          <w:tcPr>
            <w:tcW w:w="2660" w:type="dxa"/>
          </w:tcPr>
          <w:p w14:paraId="5F68C0D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И4</w:t>
            </w:r>
          </w:p>
        </w:tc>
        <w:tc>
          <w:tcPr>
            <w:tcW w:w="772" w:type="dxa"/>
          </w:tcPr>
          <w:p w14:paraId="50BC173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72" w:type="dxa"/>
          </w:tcPr>
          <w:p w14:paraId="5AD3312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772" w:type="dxa"/>
          </w:tcPr>
          <w:p w14:paraId="7312A53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w:t>
            </w:r>
          </w:p>
        </w:tc>
        <w:tc>
          <w:tcPr>
            <w:tcW w:w="772" w:type="dxa"/>
          </w:tcPr>
          <w:p w14:paraId="2D5A658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w:t>
            </w:r>
          </w:p>
        </w:tc>
        <w:tc>
          <w:tcPr>
            <w:tcW w:w="4852" w:type="dxa"/>
          </w:tcPr>
          <w:p w14:paraId="7FF6182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r>
      <w:tr w:rsidR="004E10C1" w:rsidRPr="0044524F" w14:paraId="6E968592" w14:textId="77777777">
        <w:tc>
          <w:tcPr>
            <w:tcW w:w="2660" w:type="dxa"/>
          </w:tcPr>
          <w:p w14:paraId="4884F14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772" w:type="dxa"/>
          </w:tcPr>
          <w:p w14:paraId="2F28A7A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45B4855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396D168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290524E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4852" w:type="dxa"/>
          </w:tcPr>
          <w:p w14:paraId="4565D48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w:t>
            </w:r>
          </w:p>
        </w:tc>
      </w:tr>
      <w:tr w:rsidR="004E10C1" w:rsidRPr="0044524F" w14:paraId="3DA0F733" w14:textId="77777777">
        <w:tc>
          <w:tcPr>
            <w:tcW w:w="2660" w:type="dxa"/>
          </w:tcPr>
          <w:p w14:paraId="1F8F260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И6</w:t>
            </w:r>
          </w:p>
        </w:tc>
        <w:tc>
          <w:tcPr>
            <w:tcW w:w="772" w:type="dxa"/>
          </w:tcPr>
          <w:p w14:paraId="51B2BB4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50C7596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0ABC95C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7FCA242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4852" w:type="dxa"/>
          </w:tcPr>
          <w:p w14:paraId="08DA66A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r>
      <w:tr w:rsidR="004E10C1" w:rsidRPr="0044524F" w14:paraId="162180EA" w14:textId="77777777">
        <w:tc>
          <w:tcPr>
            <w:tcW w:w="2660" w:type="dxa"/>
          </w:tcPr>
          <w:p w14:paraId="633833E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МР1</w:t>
            </w:r>
          </w:p>
        </w:tc>
        <w:tc>
          <w:tcPr>
            <w:tcW w:w="772" w:type="dxa"/>
          </w:tcPr>
          <w:p w14:paraId="7E2BC64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772" w:type="dxa"/>
          </w:tcPr>
          <w:p w14:paraId="7061CBA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w:t>
            </w:r>
          </w:p>
        </w:tc>
        <w:tc>
          <w:tcPr>
            <w:tcW w:w="772" w:type="dxa"/>
          </w:tcPr>
          <w:p w14:paraId="72CEEBA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772" w:type="dxa"/>
          </w:tcPr>
          <w:p w14:paraId="07328C9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c>
          <w:tcPr>
            <w:tcW w:w="4852" w:type="dxa"/>
          </w:tcPr>
          <w:p w14:paraId="3947E4C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w:t>
            </w:r>
          </w:p>
        </w:tc>
      </w:tr>
      <w:tr w:rsidR="004E10C1" w:rsidRPr="0044524F" w14:paraId="07FD0DAC" w14:textId="77777777">
        <w:tc>
          <w:tcPr>
            <w:tcW w:w="2660" w:type="dxa"/>
          </w:tcPr>
          <w:p w14:paraId="1E5B4ED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НД-55</w:t>
            </w:r>
          </w:p>
        </w:tc>
        <w:tc>
          <w:tcPr>
            <w:tcW w:w="772" w:type="dxa"/>
          </w:tcPr>
          <w:p w14:paraId="2FEBC8E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0385F32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44CDAE0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772" w:type="dxa"/>
          </w:tcPr>
          <w:p w14:paraId="219934D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4852" w:type="dxa"/>
          </w:tcPr>
          <w:p w14:paraId="0D8D7CE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r>
      <w:tr w:rsidR="004E10C1" w:rsidRPr="0044524F" w14:paraId="062AB567" w14:textId="77777777">
        <w:tc>
          <w:tcPr>
            <w:tcW w:w="2660" w:type="dxa"/>
          </w:tcPr>
          <w:p w14:paraId="120246F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Савойя 62 бис</w:t>
            </w:r>
          </w:p>
        </w:tc>
        <w:tc>
          <w:tcPr>
            <w:tcW w:w="772" w:type="dxa"/>
          </w:tcPr>
          <w:p w14:paraId="7C69568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70289ED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6162108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72" w:type="dxa"/>
          </w:tcPr>
          <w:p w14:paraId="0A21832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c>
          <w:tcPr>
            <w:tcW w:w="4852" w:type="dxa"/>
          </w:tcPr>
          <w:p w14:paraId="42B072A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w:t>
            </w:r>
          </w:p>
        </w:tc>
      </w:tr>
      <w:tr w:rsidR="004E10C1" w:rsidRPr="0044524F" w14:paraId="4EA13318" w14:textId="77777777">
        <w:tc>
          <w:tcPr>
            <w:tcW w:w="2660" w:type="dxa"/>
          </w:tcPr>
          <w:p w14:paraId="2F7DF04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Дорнье-Валь</w:t>
            </w:r>
          </w:p>
        </w:tc>
        <w:tc>
          <w:tcPr>
            <w:tcW w:w="772" w:type="dxa"/>
          </w:tcPr>
          <w:p w14:paraId="0D76E48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772" w:type="dxa"/>
          </w:tcPr>
          <w:p w14:paraId="2529CCA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772" w:type="dxa"/>
          </w:tcPr>
          <w:p w14:paraId="4F9C488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772" w:type="dxa"/>
          </w:tcPr>
          <w:p w14:paraId="39974F8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4852" w:type="dxa"/>
          </w:tcPr>
          <w:p w14:paraId="7CD33B9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r>
      <w:tr w:rsidR="004E10C1" w:rsidRPr="0044524F" w14:paraId="0946A1DE" w14:textId="77777777">
        <w:tc>
          <w:tcPr>
            <w:tcW w:w="2660" w:type="dxa"/>
          </w:tcPr>
          <w:p w14:paraId="1931FEA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Авро VI</w:t>
            </w:r>
          </w:p>
        </w:tc>
        <w:tc>
          <w:tcPr>
            <w:tcW w:w="772" w:type="dxa"/>
          </w:tcPr>
          <w:p w14:paraId="2E032BD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w:t>
            </w:r>
          </w:p>
        </w:tc>
        <w:tc>
          <w:tcPr>
            <w:tcW w:w="772" w:type="dxa"/>
          </w:tcPr>
          <w:p w14:paraId="4AB531B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293</w:t>
            </w:r>
          </w:p>
        </w:tc>
        <w:tc>
          <w:tcPr>
            <w:tcW w:w="772" w:type="dxa"/>
          </w:tcPr>
          <w:p w14:paraId="2441212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313</w:t>
            </w:r>
          </w:p>
        </w:tc>
        <w:tc>
          <w:tcPr>
            <w:tcW w:w="772" w:type="dxa"/>
          </w:tcPr>
          <w:p w14:paraId="71A2CA8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319</w:t>
            </w:r>
          </w:p>
        </w:tc>
        <w:tc>
          <w:tcPr>
            <w:tcW w:w="4852" w:type="dxa"/>
          </w:tcPr>
          <w:p w14:paraId="0D40C80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83970B2" w14:textId="77777777">
        <w:tc>
          <w:tcPr>
            <w:tcW w:w="2660" w:type="dxa"/>
          </w:tcPr>
          <w:p w14:paraId="75BC75A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МУI</w:t>
            </w:r>
          </w:p>
        </w:tc>
        <w:tc>
          <w:tcPr>
            <w:tcW w:w="772" w:type="dxa"/>
          </w:tcPr>
          <w:p w14:paraId="59FA3D6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7012084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7ED5968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w:t>
            </w:r>
          </w:p>
        </w:tc>
        <w:tc>
          <w:tcPr>
            <w:tcW w:w="772" w:type="dxa"/>
          </w:tcPr>
          <w:p w14:paraId="62FC1B4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tc>
        <w:tc>
          <w:tcPr>
            <w:tcW w:w="4852" w:type="dxa"/>
          </w:tcPr>
          <w:p w14:paraId="7CB0084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r>
      <w:tr w:rsidR="004E10C1" w:rsidRPr="0044524F" w14:paraId="4618BC40" w14:textId="77777777">
        <w:tc>
          <w:tcPr>
            <w:tcW w:w="2660" w:type="dxa"/>
          </w:tcPr>
          <w:p w14:paraId="1EA5107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tc>
        <w:tc>
          <w:tcPr>
            <w:tcW w:w="772" w:type="dxa"/>
          </w:tcPr>
          <w:p w14:paraId="3D74863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3A4E74B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72" w:type="dxa"/>
          </w:tcPr>
          <w:p w14:paraId="6EDFED1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w:t>
            </w:r>
          </w:p>
        </w:tc>
        <w:tc>
          <w:tcPr>
            <w:tcW w:w="772" w:type="dxa"/>
          </w:tcPr>
          <w:p w14:paraId="1F98559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w:t>
            </w:r>
          </w:p>
        </w:tc>
        <w:tc>
          <w:tcPr>
            <w:tcW w:w="4852" w:type="dxa"/>
          </w:tcPr>
          <w:p w14:paraId="3217620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742</w:t>
            </w:r>
          </w:p>
        </w:tc>
      </w:tr>
      <w:tr w:rsidR="004E10C1" w:rsidRPr="0044524F" w14:paraId="527DA901" w14:textId="77777777">
        <w:tc>
          <w:tcPr>
            <w:tcW w:w="2660" w:type="dxa"/>
          </w:tcPr>
          <w:p w14:paraId="3DFAB9F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772" w:type="dxa"/>
          </w:tcPr>
          <w:p w14:paraId="56BC327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0CE89F8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533CBC8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5C1999F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52" w:type="dxa"/>
          </w:tcPr>
          <w:p w14:paraId="5D34ED3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7C3DF2F" w14:textId="77777777">
        <w:tc>
          <w:tcPr>
            <w:tcW w:w="2660" w:type="dxa"/>
          </w:tcPr>
          <w:p w14:paraId="39C96A8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разведчикам сух./ав.</w:t>
            </w:r>
          </w:p>
        </w:tc>
        <w:tc>
          <w:tcPr>
            <w:tcW w:w="772" w:type="dxa"/>
          </w:tcPr>
          <w:p w14:paraId="7F08646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1154</w:t>
            </w:r>
          </w:p>
        </w:tc>
        <w:tc>
          <w:tcPr>
            <w:tcW w:w="772" w:type="dxa"/>
          </w:tcPr>
          <w:p w14:paraId="7FFFC4E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1455</w:t>
            </w:r>
          </w:p>
        </w:tc>
        <w:tc>
          <w:tcPr>
            <w:tcW w:w="772" w:type="dxa"/>
          </w:tcPr>
          <w:p w14:paraId="1233140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772" w:type="dxa"/>
          </w:tcPr>
          <w:p w14:paraId="4C93956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1786</w:t>
            </w:r>
          </w:p>
        </w:tc>
        <w:tc>
          <w:tcPr>
            <w:tcW w:w="4852" w:type="dxa"/>
          </w:tcPr>
          <w:p w14:paraId="54D8445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2326</w:t>
            </w:r>
          </w:p>
        </w:tc>
      </w:tr>
      <w:tr w:rsidR="004E10C1" w:rsidRPr="0044524F" w14:paraId="7BB37C57" w14:textId="77777777">
        <w:tc>
          <w:tcPr>
            <w:tcW w:w="2660" w:type="dxa"/>
          </w:tcPr>
          <w:p w14:paraId="0055CC6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тяжелой авиации</w:t>
            </w:r>
          </w:p>
        </w:tc>
        <w:tc>
          <w:tcPr>
            <w:tcW w:w="772" w:type="dxa"/>
          </w:tcPr>
          <w:p w14:paraId="768FDD2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772" w:type="dxa"/>
          </w:tcPr>
          <w:p w14:paraId="082397B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772" w:type="dxa"/>
          </w:tcPr>
          <w:p w14:paraId="5880A72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772" w:type="dxa"/>
          </w:tcPr>
          <w:p w14:paraId="5A98F17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w:t>
            </w:r>
          </w:p>
        </w:tc>
        <w:tc>
          <w:tcPr>
            <w:tcW w:w="4852" w:type="dxa"/>
          </w:tcPr>
          <w:p w14:paraId="387500F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361</w:t>
            </w:r>
          </w:p>
        </w:tc>
      </w:tr>
      <w:tr w:rsidR="004E10C1" w:rsidRPr="0044524F" w14:paraId="74230358" w14:textId="77777777">
        <w:tc>
          <w:tcPr>
            <w:tcW w:w="2660" w:type="dxa"/>
          </w:tcPr>
          <w:p w14:paraId="2FB609A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истребительной авиац.</w:t>
            </w:r>
          </w:p>
        </w:tc>
        <w:tc>
          <w:tcPr>
            <w:tcW w:w="772" w:type="dxa"/>
          </w:tcPr>
          <w:p w14:paraId="759DCCE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w:t>
            </w:r>
          </w:p>
        </w:tc>
        <w:tc>
          <w:tcPr>
            <w:tcW w:w="772" w:type="dxa"/>
          </w:tcPr>
          <w:p w14:paraId="41CA5CF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316</w:t>
            </w:r>
          </w:p>
        </w:tc>
        <w:tc>
          <w:tcPr>
            <w:tcW w:w="772" w:type="dxa"/>
          </w:tcPr>
          <w:p w14:paraId="0B5E09B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578</w:t>
            </w:r>
          </w:p>
        </w:tc>
        <w:tc>
          <w:tcPr>
            <w:tcW w:w="772" w:type="dxa"/>
          </w:tcPr>
          <w:p w14:paraId="31A66C1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639</w:t>
            </w:r>
          </w:p>
        </w:tc>
        <w:tc>
          <w:tcPr>
            <w:tcW w:w="4852" w:type="dxa"/>
          </w:tcPr>
          <w:p w14:paraId="588EAA2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719</w:t>
            </w:r>
          </w:p>
        </w:tc>
      </w:tr>
      <w:tr w:rsidR="004E10C1" w:rsidRPr="0044524F" w14:paraId="0CBD7BB1" w14:textId="77777777">
        <w:tc>
          <w:tcPr>
            <w:tcW w:w="2660" w:type="dxa"/>
          </w:tcPr>
          <w:p w14:paraId="7E442AF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разв. морск. авиац.</w:t>
            </w:r>
          </w:p>
        </w:tc>
        <w:tc>
          <w:tcPr>
            <w:tcW w:w="772" w:type="dxa"/>
          </w:tcPr>
          <w:p w14:paraId="1832655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w:t>
            </w:r>
          </w:p>
        </w:tc>
        <w:tc>
          <w:tcPr>
            <w:tcW w:w="772" w:type="dxa"/>
          </w:tcPr>
          <w:p w14:paraId="6067437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w:t>
            </w:r>
          </w:p>
        </w:tc>
        <w:tc>
          <w:tcPr>
            <w:tcW w:w="772" w:type="dxa"/>
          </w:tcPr>
          <w:p w14:paraId="74947CF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118</w:t>
            </w:r>
          </w:p>
        </w:tc>
        <w:tc>
          <w:tcPr>
            <w:tcW w:w="772" w:type="dxa"/>
          </w:tcPr>
          <w:p w14:paraId="7F8B84F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132</w:t>
            </w:r>
          </w:p>
        </w:tc>
        <w:tc>
          <w:tcPr>
            <w:tcW w:w="4852" w:type="dxa"/>
          </w:tcPr>
          <w:p w14:paraId="26790B91"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w:t>
            </w:r>
          </w:p>
        </w:tc>
      </w:tr>
      <w:tr w:rsidR="004E10C1" w:rsidRPr="0044524F" w14:paraId="1522D618" w14:textId="77777777">
        <w:tc>
          <w:tcPr>
            <w:tcW w:w="2660" w:type="dxa"/>
          </w:tcPr>
          <w:p w14:paraId="5C3EE9C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тяж. авиац.</w:t>
            </w:r>
          </w:p>
        </w:tc>
        <w:tc>
          <w:tcPr>
            <w:tcW w:w="772" w:type="dxa"/>
          </w:tcPr>
          <w:p w14:paraId="749A4A4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772" w:type="dxa"/>
          </w:tcPr>
          <w:p w14:paraId="5E209CB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772" w:type="dxa"/>
          </w:tcPr>
          <w:p w14:paraId="2428524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772" w:type="dxa"/>
          </w:tcPr>
          <w:p w14:paraId="39E919B4"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4852" w:type="dxa"/>
          </w:tcPr>
          <w:p w14:paraId="3E8BD2C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6F86E0A" w14:textId="77777777">
        <w:tc>
          <w:tcPr>
            <w:tcW w:w="2660" w:type="dxa"/>
          </w:tcPr>
          <w:p w14:paraId="747C257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учебным с-там</w:t>
            </w:r>
          </w:p>
        </w:tc>
        <w:tc>
          <w:tcPr>
            <w:tcW w:w="772" w:type="dxa"/>
          </w:tcPr>
          <w:p w14:paraId="59B642C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772" w:type="dxa"/>
          </w:tcPr>
          <w:p w14:paraId="402C087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455</w:t>
            </w:r>
          </w:p>
        </w:tc>
        <w:tc>
          <w:tcPr>
            <w:tcW w:w="772" w:type="dxa"/>
          </w:tcPr>
          <w:p w14:paraId="744E481F"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472</w:t>
            </w:r>
          </w:p>
        </w:tc>
        <w:tc>
          <w:tcPr>
            <w:tcW w:w="772" w:type="dxa"/>
          </w:tcPr>
          <w:p w14:paraId="7A31CD9C"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634</w:t>
            </w:r>
          </w:p>
        </w:tc>
        <w:tc>
          <w:tcPr>
            <w:tcW w:w="4852" w:type="dxa"/>
          </w:tcPr>
          <w:p w14:paraId="63A9DFB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1129</w:t>
            </w:r>
          </w:p>
        </w:tc>
      </w:tr>
      <w:tr w:rsidR="004E10C1" w:rsidRPr="0044524F" w14:paraId="08881BDD" w14:textId="77777777">
        <w:tc>
          <w:tcPr>
            <w:tcW w:w="2660" w:type="dxa"/>
          </w:tcPr>
          <w:p w14:paraId="03A22118"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Из них 145 - ТБ3. (3948,91).</w:t>
            </w:r>
          </w:p>
        </w:tc>
        <w:tc>
          <w:tcPr>
            <w:tcW w:w="772" w:type="dxa"/>
          </w:tcPr>
          <w:p w14:paraId="7DDC56AE"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08F63D9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69A4639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72" w:type="dxa"/>
          </w:tcPr>
          <w:p w14:paraId="628DDDD0"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52" w:type="dxa"/>
          </w:tcPr>
          <w:p w14:paraId="778370B7"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68A198AB"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323C435F" w14:textId="77777777" w:rsidR="001911F8" w:rsidRPr="0044524F" w:rsidRDefault="001911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февраля 1933 г. под грифом «Секретно» начальник УВИ НВ РККА Т.П. Новиков и начальник второго отдела УВИ НВ РККА Я.М. Терентьев отправляют служебную записку заместителю Председателя ЦС ОСОАВИАХИМ СССР Л.П. Малиновскому следующего содержания: «Секретный характер работ ГИРД исключает двойное подчинение, просьба передать в ведение УВИ» (ГА РФ. Фонд Р-8355. Оп. 1. д. № 374. Л. 19) (22685).</w:t>
      </w:r>
    </w:p>
    <w:p w14:paraId="4CF174D8" w14:textId="77777777" w:rsidR="001911F8" w:rsidRPr="0044524F" w:rsidRDefault="001911F8" w:rsidP="009654CF">
      <w:pPr>
        <w:spacing w:after="0" w:line="240" w:lineRule="auto"/>
        <w:jc w:val="both"/>
        <w:rPr>
          <w:rFonts w:ascii="Times New Roman" w:hAnsi="Times New Roman"/>
          <w:color w:val="000000" w:themeColor="text1"/>
          <w:sz w:val="16"/>
          <w:szCs w:val="16"/>
        </w:rPr>
      </w:pPr>
    </w:p>
    <w:p w14:paraId="1A6AB87B"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B3410CB"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774E182"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февраля 1933 в Харькове завершил работу февральский Пленум ЦК КП(б)У (5-7.02.1933 г), выявивший "существенные недостатки в работе сельских партийных организаций" (10687).</w:t>
      </w:r>
    </w:p>
    <w:p w14:paraId="09FC270D"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2972C3A3"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2C81A9C"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B196B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февраля 1933 нелегальный пленум ЦК КПГ принял программу борьбы против фашистской диктатуры в условиях нелегальной деятельности (3186).</w:t>
      </w:r>
    </w:p>
    <w:p w14:paraId="54EF74E5"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0164588D" w14:textId="77777777" w:rsidR="00103186" w:rsidRPr="0044524F" w:rsidRDefault="001031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февраля 1933 лейтенант Фредерик Марго на судне, плывшем из Манилы в Сан-Диего, зафиксировал самую высокую морскую волну - 34 метра (4962).</w:t>
      </w:r>
    </w:p>
    <w:p w14:paraId="01A5C728" w14:textId="77777777" w:rsidR="00103186" w:rsidRPr="0044524F" w:rsidRDefault="001031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D60A45" w14:textId="77777777" w:rsidR="005B4B1E" w:rsidRPr="0044524F" w:rsidRDefault="005B4B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7 февраля</w:t>
      </w:r>
      <w:r w:rsidRPr="0044524F">
        <w:rPr>
          <w:rFonts w:ascii="Times New Roman" w:hAnsi="Times New Roman"/>
          <w:color w:val="000000" w:themeColor="text1"/>
          <w:sz w:val="16"/>
          <w:szCs w:val="16"/>
        </w:rPr>
        <w:t xml:space="preserve"> в 1933 году в ночь с 6 на 7 февраля во время урагана (126 км/ч) лейтенант Фредерик Марго на судне "Рамапо" плывущем из Манилы в Сан-Диего, регистрирует самую высокую морскую волну - 34 м (15033).</w:t>
      </w:r>
    </w:p>
    <w:p w14:paraId="6154DC01" w14:textId="77777777" w:rsidR="005B4B1E" w:rsidRPr="0044524F" w:rsidRDefault="005B4B1E" w:rsidP="009654CF">
      <w:pPr>
        <w:spacing w:after="0" w:line="240" w:lineRule="auto"/>
        <w:jc w:val="both"/>
        <w:rPr>
          <w:rFonts w:ascii="Times New Roman" w:hAnsi="Times New Roman"/>
          <w:color w:val="000000" w:themeColor="text1"/>
          <w:sz w:val="16"/>
          <w:szCs w:val="16"/>
        </w:rPr>
      </w:pPr>
    </w:p>
    <w:p w14:paraId="0F890947" w14:textId="77777777" w:rsidR="001031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735A663" w14:textId="77777777" w:rsidR="00103186" w:rsidRPr="0044524F" w:rsidRDefault="001031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03CE349"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февраля 1933 г. группа из 13 конструкторов во главе с Поликарповым появилась в ЦКБ. Очень быстро расставили столы и 9 февраля приступили к работе. С 13 февраля началось официальное зачисление сотрудников в штат организации. Дмитрий Людвигович Томашевич был назначен начальником группы крыла (9536,4).</w:t>
      </w:r>
    </w:p>
    <w:p w14:paraId="3AE8074A"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726C7C52" w14:textId="77777777" w:rsidR="00067174" w:rsidRPr="0044524F" w:rsidRDefault="0006717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февраля 1933 г. группа из 13 конструкторов во главе с Поликарповым появилась в ЦКБ. Очень быстро расставили столы и 9 февраля приступили к работе. С 13 февраля началось официальное зачисление сотрудников в штат организации. Дмитрий Людвигович Томашевич был назначен начальником группы крыла (18254).</w:t>
      </w:r>
    </w:p>
    <w:p w14:paraId="46EA473B" w14:textId="77777777" w:rsidR="00067174" w:rsidRPr="0044524F" w:rsidRDefault="00067174" w:rsidP="009654CF">
      <w:pPr>
        <w:spacing w:after="0" w:line="240" w:lineRule="auto"/>
        <w:jc w:val="both"/>
        <w:rPr>
          <w:rFonts w:ascii="Times New Roman" w:hAnsi="Times New Roman"/>
          <w:color w:val="000000" w:themeColor="text1"/>
          <w:sz w:val="16"/>
          <w:szCs w:val="16"/>
        </w:rPr>
      </w:pPr>
    </w:p>
    <w:p w14:paraId="24BB7C93"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февраля 1933 г. группа конструкторов числом 13 человек во главе с Поликарповым переехала в ЦКБ и буквально в первый день расставила столы, а с 9 февра</w:t>
      </w:r>
      <w:r w:rsidRPr="0044524F">
        <w:rPr>
          <w:rFonts w:ascii="Times New Roman" w:hAnsi="Times New Roman"/>
          <w:color w:val="000000" w:themeColor="text1"/>
          <w:sz w:val="16"/>
          <w:szCs w:val="16"/>
        </w:rPr>
        <w:softHyphen/>
        <w:t>ля уже приступила к работе. В.И.Тарасову было дано задание на руководство проектированием моторных установок, что он и делал (начиная с ЦКБ-3 и кончая «Малюткой») на всех поликарповских самолетах» (10667).</w:t>
      </w:r>
    </w:p>
    <w:p w14:paraId="47A6DA96" w14:textId="77777777" w:rsidR="00103186" w:rsidRPr="0044524F" w:rsidRDefault="00103186" w:rsidP="009654CF">
      <w:pPr>
        <w:autoSpaceDE w:val="0"/>
        <w:autoSpaceDN w:val="0"/>
        <w:adjustRightInd w:val="0"/>
        <w:spacing w:after="0" w:line="240" w:lineRule="auto"/>
        <w:jc w:val="both"/>
        <w:rPr>
          <w:rFonts w:ascii="Times New Roman" w:hAnsi="Times New Roman"/>
          <w:color w:val="000000" w:themeColor="text1"/>
          <w:sz w:val="16"/>
          <w:szCs w:val="16"/>
        </w:rPr>
      </w:pPr>
    </w:p>
    <w:p w14:paraId="7D0011B3" w14:textId="77777777" w:rsidR="00BC13D7" w:rsidRPr="0044524F" w:rsidRDefault="00BC13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февраля 1933 г., согласно воспоминаниям ветерана конструкторского бюро В.И.Тарасова, группа конструкторов числом 13 чело</w:t>
      </w:r>
      <w:r w:rsidRPr="0044524F">
        <w:rPr>
          <w:rFonts w:ascii="Times New Roman" w:hAnsi="Times New Roman"/>
          <w:color w:val="000000" w:themeColor="text1"/>
          <w:sz w:val="16"/>
          <w:szCs w:val="16"/>
        </w:rPr>
        <w:softHyphen/>
        <w:t>век во главе с Поликарповым переехала в ЦКБ и буквально в первый день расставила столы, а с 9 февраля уже приступила к работе. Мне было дано задание на руководство проектиро</w:t>
      </w:r>
      <w:r w:rsidRPr="0044524F">
        <w:rPr>
          <w:rFonts w:ascii="Times New Roman" w:hAnsi="Times New Roman"/>
          <w:color w:val="000000" w:themeColor="text1"/>
          <w:sz w:val="16"/>
          <w:szCs w:val="16"/>
        </w:rPr>
        <w:softHyphen/>
        <w:t>ванием моторных установок, что я и делал (начиная с ЦКБ-5 и кончая «Малюткой») на всех поликарповских самолетах» (23455).</w:t>
      </w:r>
    </w:p>
    <w:p w14:paraId="06B3F824" w14:textId="77777777" w:rsidR="00BC13D7" w:rsidRPr="0044524F" w:rsidRDefault="00BC13D7" w:rsidP="009654CF">
      <w:pPr>
        <w:spacing w:after="0" w:line="240" w:lineRule="auto"/>
        <w:jc w:val="both"/>
        <w:rPr>
          <w:rFonts w:ascii="Times New Roman" w:hAnsi="Times New Roman"/>
          <w:color w:val="000000" w:themeColor="text1"/>
          <w:sz w:val="16"/>
          <w:szCs w:val="16"/>
        </w:rPr>
      </w:pPr>
    </w:p>
    <w:p w14:paraId="38312AE5" w14:textId="005638D9"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февраля 1933 г. – по воспоминаниям В.И.Тарасова - группа конструкторов числом 13 человек во главе с Поликарповым переехала в ЦКБ и буквально в первый день расставила столы, а с 9 февраля уже приступила к работе. Мне было дано задание на руководство проектированием моторных установок, что я и делал (начиная с ЦКБ-3 и кончая «Малюткой») на всех поликарповских самолетах», —</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вспоминал ветеран конструкторского бюро Василий Иванович Тарасов.</w:t>
      </w:r>
    </w:p>
    <w:p w14:paraId="514774F9"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13 февраля 1933 г. началось официальное зачисление конструкторов в штат организации.</w:t>
      </w:r>
    </w:p>
    <w:p w14:paraId="3D5F4FDF" w14:textId="65446856"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«Большое внимание при приеме новых сотрудников Николай Николаевич уделял волевым и моральным качествам человека. Он оценивал их даже выше, чем знания техники»,</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 рассказывал В. И. Тарасов.</w:t>
      </w:r>
    </w:p>
    <w:p w14:paraId="0C87E892"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ЦАГИ в бригаду Поликарпова перешли Л. П. Коротков, В. И. Тарасов, Д. Л. Томашевич, А. Г. Тростянский, из сотрудников, работавших в 20-х гг., — В. Д. Яровицкий. Выдающийся специалист по прочности авиационных конструкций В. Д. Яровицкий много сделал для становления КБ (25035).</w:t>
      </w:r>
    </w:p>
    <w:p w14:paraId="54F1D240" w14:textId="77777777" w:rsidR="000B41D6" w:rsidRPr="00142305" w:rsidRDefault="000B41D6" w:rsidP="000B41D6">
      <w:pPr>
        <w:spacing w:after="0" w:line="240" w:lineRule="auto"/>
        <w:jc w:val="both"/>
        <w:rPr>
          <w:rFonts w:ascii="Times New Roman" w:hAnsi="Times New Roman"/>
          <w:color w:val="0070C0"/>
          <w:sz w:val="16"/>
          <w:szCs w:val="16"/>
        </w:rPr>
      </w:pPr>
    </w:p>
    <w:p w14:paraId="0470169D" w14:textId="61342971" w:rsidR="000F221B" w:rsidRPr="0044524F" w:rsidRDefault="000F221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января 1933 г. в Москве состоялась конференция писателей, созванная по инициативе и при содействии ВВС с целью привлечения писателей к работе над авиационной тематикой. По инициативе начальника Глав</w:t>
      </w:r>
      <w:r w:rsidRPr="0044524F">
        <w:rPr>
          <w:rFonts w:ascii="Times New Roman" w:hAnsi="Times New Roman"/>
          <w:color w:val="000000" w:themeColor="text1"/>
          <w:sz w:val="16"/>
          <w:szCs w:val="16"/>
        </w:rPr>
        <w:softHyphen/>
        <w:t>ного управления авиапромышленности П.И.Баранова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были созданы писательские бригады для работы над созданием произведений, показывающих людей и жизнь авиапромышленных предприятий. Результатом конференции явился приток в художественную литературу авиационных специалистов, а некоторые уже известные, писатели серьезно занялись авиационной тематикой. В конце рода уже появились первые художественные произведения в виде альманахов и отдельных рассказов на авиационные темы.</w:t>
      </w:r>
    </w:p>
    <w:p w14:paraId="5B203BA8" w14:textId="77777777" w:rsidR="000F221B" w:rsidRPr="0044524F" w:rsidRDefault="000F221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1934 № 1/ (23370).</w:t>
      </w:r>
    </w:p>
    <w:p w14:paraId="7E9D85D4" w14:textId="77777777" w:rsidR="000F221B" w:rsidRPr="0044524F" w:rsidRDefault="000F221B" w:rsidP="009654CF">
      <w:pPr>
        <w:spacing w:after="0" w:line="240" w:lineRule="auto"/>
        <w:jc w:val="both"/>
        <w:rPr>
          <w:rFonts w:ascii="Times New Roman" w:hAnsi="Times New Roman"/>
          <w:color w:val="000000" w:themeColor="text1"/>
          <w:sz w:val="16"/>
          <w:szCs w:val="16"/>
        </w:rPr>
      </w:pPr>
    </w:p>
    <w:p w14:paraId="13A237D8" w14:textId="77777777" w:rsidR="0049741B" w:rsidRPr="0044524F" w:rsidRDefault="0049741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января 1933 г. Президиум ЦС ОСОАВИАХИМ СССР заслушал доклад Королева «О выпуске ежемесячного журнала «Советская ракета». Объем издания «2,5-3 печатных листа с тиражом до 5000 экз. Журнал рассчитан на научно-популярное изложение идей реактивного движения при непосредственном участии УВИ... Журнал должен получать дотацию в размере 28000 руб. из них УВИ отпускает 18000 руб.». Причем в состав редсовета вводится начальник УВИ - Г.П. Новиков. Президиум ОСОАВИАХИМ в Постановлении № 11 от того же числа постановил в свою очередь «выпуск ежемесячного журнала «Советская ракета» утвердить и ассигновать 10000 руб. дотации на весь 1933 г. Подписи председателя ЦС ОСОАВИАХИМ члена Реввоенсовета Р.П. Эйдемана и его заместителя М.Л. Белоцкого» (ГАРФ. Ф. Р-8355. Оп. 1. д. № 75. Л. 21.) (22685).</w:t>
      </w:r>
    </w:p>
    <w:p w14:paraId="514511BD" w14:textId="77777777" w:rsidR="0049741B" w:rsidRPr="0044524F" w:rsidRDefault="0049741B" w:rsidP="009654CF">
      <w:pPr>
        <w:spacing w:after="0" w:line="240" w:lineRule="auto"/>
        <w:jc w:val="both"/>
        <w:rPr>
          <w:rFonts w:ascii="Times New Roman" w:hAnsi="Times New Roman"/>
          <w:color w:val="000000" w:themeColor="text1"/>
          <w:sz w:val="16"/>
          <w:szCs w:val="16"/>
        </w:rPr>
      </w:pPr>
    </w:p>
    <w:p w14:paraId="671C7565" w14:textId="77777777" w:rsidR="005B4B1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9D099C7" w14:textId="77777777" w:rsidR="005B4B1E" w:rsidRPr="0044524F" w:rsidRDefault="005B4B1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D202AE5"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8 февраля 1933 года ру</w:t>
      </w:r>
      <w:r w:rsidRPr="00142305">
        <w:rPr>
          <w:rFonts w:ascii="Times New Roman" w:hAnsi="Times New Roman"/>
          <w:color w:val="0070C0"/>
          <w:sz w:val="16"/>
          <w:szCs w:val="16"/>
        </w:rPr>
        <w:softHyphen/>
        <w:t>ководство УММ РККА направило на</w:t>
      </w:r>
      <w:r w:rsidRPr="00142305">
        <w:rPr>
          <w:rFonts w:ascii="Times New Roman" w:hAnsi="Times New Roman"/>
          <w:color w:val="0070C0"/>
          <w:sz w:val="16"/>
          <w:szCs w:val="16"/>
        </w:rPr>
        <w:softHyphen/>
        <w:t>чальнику транспортного отдела ОГПУ следующее письмо:</w:t>
      </w:r>
    </w:p>
    <w:p w14:paraId="461A4C5D"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имеющимся в УММ РККА дан</w:t>
      </w:r>
      <w:r w:rsidRPr="00142305">
        <w:rPr>
          <w:rFonts w:ascii="Times New Roman" w:hAnsi="Times New Roman"/>
          <w:color w:val="0070C0"/>
          <w:sz w:val="16"/>
          <w:szCs w:val="16"/>
        </w:rPr>
        <w:softHyphen/>
        <w:t>ным, гр. Дыренков Н. И. в настоящее вре</w:t>
      </w:r>
      <w:r w:rsidRPr="00142305">
        <w:rPr>
          <w:rFonts w:ascii="Times New Roman" w:hAnsi="Times New Roman"/>
          <w:color w:val="0070C0"/>
          <w:sz w:val="16"/>
          <w:szCs w:val="16"/>
        </w:rPr>
        <w:softHyphen/>
        <w:t>мя именует себя консультантом УММ, выступая таким образом в официальных документах.</w:t>
      </w:r>
    </w:p>
    <w:p w14:paraId="79F055F6"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УММ РККА доводит до Вашего све</w:t>
      </w:r>
      <w:r w:rsidRPr="00142305">
        <w:rPr>
          <w:rFonts w:ascii="Times New Roman" w:hAnsi="Times New Roman"/>
          <w:color w:val="0070C0"/>
          <w:sz w:val="16"/>
          <w:szCs w:val="16"/>
        </w:rPr>
        <w:softHyphen/>
        <w:t>дения, что гр. Дыренков в УММ не ра</w:t>
      </w:r>
      <w:r w:rsidRPr="00142305">
        <w:rPr>
          <w:rFonts w:ascii="Times New Roman" w:hAnsi="Times New Roman"/>
          <w:color w:val="0070C0"/>
          <w:sz w:val="16"/>
          <w:szCs w:val="16"/>
        </w:rPr>
        <w:softHyphen/>
        <w:t>ботает, и поручений ему в качестве кон</w:t>
      </w:r>
      <w:r w:rsidRPr="00142305">
        <w:rPr>
          <w:rFonts w:ascii="Times New Roman" w:hAnsi="Times New Roman"/>
          <w:color w:val="0070C0"/>
          <w:sz w:val="16"/>
          <w:szCs w:val="16"/>
        </w:rPr>
        <w:softHyphen/>
        <w:t>сультанта УММ не давало. С 1.12.1932 г. УММ РККА прекратило все работы с гр. Дыренковым» (25010).</w:t>
      </w:r>
    </w:p>
    <w:p w14:paraId="141EB7D4" w14:textId="77777777" w:rsidR="000B41D6" w:rsidRPr="00142305" w:rsidRDefault="000B41D6" w:rsidP="000B41D6">
      <w:pPr>
        <w:spacing w:after="0" w:line="240" w:lineRule="auto"/>
        <w:jc w:val="both"/>
        <w:rPr>
          <w:rFonts w:ascii="Times New Roman" w:hAnsi="Times New Roman"/>
          <w:color w:val="0070C0"/>
          <w:sz w:val="16"/>
          <w:szCs w:val="16"/>
        </w:rPr>
      </w:pPr>
    </w:p>
    <w:p w14:paraId="62A84B52" w14:textId="77777777" w:rsidR="005B4B1E" w:rsidRPr="0044524F" w:rsidRDefault="005B4B1E" w:rsidP="009654CF">
      <w:pPr>
        <w:pStyle w:val="rtejustify"/>
        <w:spacing w:before="0" w:after="0"/>
        <w:rPr>
          <w:color w:val="000000" w:themeColor="text1"/>
          <w:sz w:val="16"/>
          <w:szCs w:val="16"/>
        </w:rPr>
      </w:pPr>
      <w:r w:rsidRPr="0044524F">
        <w:rPr>
          <w:rStyle w:val="af0"/>
          <w:bCs/>
          <w:i w:val="0"/>
          <w:color w:val="000000" w:themeColor="text1"/>
          <w:sz w:val="16"/>
          <w:szCs w:val="16"/>
        </w:rPr>
        <w:t xml:space="preserve">8 февраля </w:t>
      </w:r>
      <w:r w:rsidRPr="0044524F">
        <w:rPr>
          <w:color w:val="000000" w:themeColor="text1"/>
          <w:sz w:val="16"/>
          <w:szCs w:val="16"/>
        </w:rPr>
        <w:t xml:space="preserve">1933. Протокол заседания Политбюро ЦК ВКП (б) № 130. </w:t>
      </w:r>
      <w:hyperlink r:id="rId61" w:anchor="showunit&amp;id=85608" w:history="1">
        <w:r w:rsidRPr="0044524F">
          <w:rPr>
            <w:rStyle w:val="a5"/>
            <w:color w:val="000000" w:themeColor="text1"/>
            <w:sz w:val="16"/>
            <w:szCs w:val="16"/>
            <w:u w:val="none"/>
          </w:rPr>
          <w:t>16. О закупке у фирмы «Шлеман» 15</w:t>
        </w:r>
        <w:r w:rsidRPr="0044524F">
          <w:rPr>
            <w:rStyle w:val="a5"/>
            <w:color w:val="000000" w:themeColor="text1"/>
            <w:sz w:val="16"/>
            <w:szCs w:val="16"/>
            <w:u w:val="none"/>
          </w:rPr>
          <w:noBreakHyphen/>
          <w:t>тысячетонного пресса и его установке</w:t>
        </w:r>
      </w:hyperlink>
      <w:r w:rsidRPr="0044524F">
        <w:rPr>
          <w:color w:val="000000" w:themeColor="text1"/>
          <w:sz w:val="16"/>
          <w:szCs w:val="16"/>
        </w:rPr>
        <w:t xml:space="preserve"> (Антипов, Будняк, Пятаков, Розенгольц). Решено: а) обязать НКТП в двухдекадный срок внести на утверждение в СТО предложения об использовании купленного 15000</w:t>
      </w:r>
      <w:r w:rsidRPr="0044524F">
        <w:rPr>
          <w:color w:val="000000" w:themeColor="text1"/>
          <w:sz w:val="16"/>
          <w:szCs w:val="16"/>
        </w:rPr>
        <w:noBreakHyphen/>
        <w:t xml:space="preserve">тонного пресса с установлением точных сроков установки, монтажа и пуска его в эксплуатацию; б) принять к сведению, что вопрос о виновниках, допустивших переплаты по этому заказу, будет рассмотрен Президиумом ЦКК ВКП(б). </w:t>
      </w:r>
      <w:hyperlink r:id="rId62" w:anchor="showunit&amp;id=85609" w:history="1">
        <w:r w:rsidRPr="0044524F">
          <w:rPr>
            <w:rStyle w:val="a5"/>
            <w:color w:val="000000" w:themeColor="text1"/>
            <w:sz w:val="16"/>
            <w:szCs w:val="16"/>
            <w:u w:val="none"/>
          </w:rPr>
          <w:t>17. О ликвидации договора с фирмой «Фрейн»</w:t>
        </w:r>
      </w:hyperlink>
      <w:r w:rsidRPr="0044524F">
        <w:rPr>
          <w:color w:val="000000" w:themeColor="text1"/>
          <w:sz w:val="16"/>
          <w:szCs w:val="16"/>
        </w:rPr>
        <w:t xml:space="preserve"> (Пятаков) — ОП. Решено разрешить НКТП уплатить американской фирме «Фрейн», в виде премии за досрочную ликвидацию договора ее с Кузнецким комбинатом, 25</w:t>
      </w:r>
      <w:r w:rsidRPr="0044524F">
        <w:rPr>
          <w:color w:val="000000" w:themeColor="text1"/>
          <w:sz w:val="16"/>
          <w:szCs w:val="16"/>
        </w:rPr>
        <w:noBreakHyphen/>
        <w:t xml:space="preserve">30 тыс. долларов. </w:t>
      </w:r>
      <w:hyperlink r:id="rId63" w:anchor="showunit&amp;id=85611" w:history="1">
        <w:r w:rsidRPr="0044524F">
          <w:rPr>
            <w:rStyle w:val="a5"/>
            <w:color w:val="000000" w:themeColor="text1"/>
            <w:sz w:val="16"/>
            <w:szCs w:val="16"/>
            <w:u w:val="none"/>
          </w:rPr>
          <w:t>19. О синтетическом каучуке</w:t>
        </w:r>
      </w:hyperlink>
      <w:r w:rsidRPr="0044524F">
        <w:rPr>
          <w:color w:val="000000" w:themeColor="text1"/>
          <w:sz w:val="16"/>
          <w:szCs w:val="16"/>
        </w:rPr>
        <w:t xml:space="preserve"> (ПБ от 16 декабря 1932 г., пр. № 126, п. 5) (Молотов, Осипов, Пятаков, Рудзутак). Решено утвердить постановление СНК СССР о производственной программе синтетического каучука (см. приложение). </w:t>
      </w:r>
      <w:hyperlink r:id="rId64" w:anchor="showunit&amp;id=85657" w:history="1">
        <w:r w:rsidRPr="0044524F">
          <w:rPr>
            <w:rStyle w:val="a5"/>
            <w:color w:val="000000" w:themeColor="text1"/>
            <w:sz w:val="16"/>
            <w:szCs w:val="16"/>
            <w:u w:val="none"/>
          </w:rPr>
          <w:t>60/33. б) О переговорах с фирмой «Шлеман»</w:t>
        </w:r>
      </w:hyperlink>
      <w:r w:rsidRPr="0044524F">
        <w:rPr>
          <w:color w:val="000000" w:themeColor="text1"/>
          <w:sz w:val="16"/>
          <w:szCs w:val="16"/>
        </w:rPr>
        <w:t xml:space="preserve"> (ПБ от 7 февраля 1933 г.). Решено передать в комиссию Молотова по внешторговым делам (15462).</w:t>
      </w:r>
    </w:p>
    <w:p w14:paraId="6D5E756F" w14:textId="77777777" w:rsidR="005B4B1E" w:rsidRPr="0044524F" w:rsidRDefault="005B4B1E" w:rsidP="009654CF">
      <w:pPr>
        <w:pStyle w:val="rtejustify"/>
        <w:spacing w:before="0" w:after="0"/>
        <w:rPr>
          <w:color w:val="000000" w:themeColor="text1"/>
          <w:sz w:val="16"/>
          <w:szCs w:val="16"/>
        </w:rPr>
      </w:pPr>
    </w:p>
    <w:p w14:paraId="5BCC0BB3" w14:textId="77777777" w:rsidR="005B4B1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DE9ACEA" w14:textId="77777777" w:rsidR="005B4B1E" w:rsidRPr="0044524F" w:rsidRDefault="005B4B1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89B7382" w14:textId="77777777" w:rsidR="005B4B1E" w:rsidRPr="0044524F" w:rsidRDefault="005B4B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8 февраля</w:t>
      </w:r>
      <w:r w:rsidRPr="0044524F">
        <w:rPr>
          <w:rFonts w:ascii="Times New Roman" w:hAnsi="Times New Roman"/>
          <w:color w:val="000000" w:themeColor="text1"/>
          <w:sz w:val="16"/>
          <w:szCs w:val="16"/>
        </w:rPr>
        <w:t xml:space="preserve"> в 1933 году состоялся первый полет 10-местного транспортного самолета </w:t>
      </w:r>
      <w:hyperlink r:id="rId65" w:tgtFrame="_blank" w:history="1">
        <w:r w:rsidRPr="0044524F">
          <w:rPr>
            <w:rFonts w:ascii="Times New Roman" w:hAnsi="Times New Roman"/>
            <w:color w:val="000000" w:themeColor="text1"/>
            <w:sz w:val="16"/>
            <w:szCs w:val="16"/>
          </w:rPr>
          <w:t xml:space="preserve">«Boeing 247». </w:t>
        </w:r>
      </w:hyperlink>
      <w:r w:rsidRPr="0044524F">
        <w:rPr>
          <w:rFonts w:ascii="Times New Roman" w:hAnsi="Times New Roman"/>
          <w:color w:val="000000" w:themeColor="text1"/>
          <w:sz w:val="16"/>
          <w:szCs w:val="16"/>
        </w:rPr>
        <w:t>В то время как европейцы строили первые одномоторные скоростные лайнеры, американцы сделали следующий шаг, создав первый двухмоторный. В следующем году он вышел на линии «United Air Lines», а затем и других крупнейших американских компаний (15034).</w:t>
      </w:r>
    </w:p>
    <w:p w14:paraId="0EAB2EA7" w14:textId="77777777" w:rsidR="005B4B1E" w:rsidRPr="0044524F" w:rsidRDefault="005B4B1E" w:rsidP="009654CF">
      <w:pPr>
        <w:spacing w:after="0" w:line="240" w:lineRule="auto"/>
        <w:jc w:val="both"/>
        <w:rPr>
          <w:rFonts w:ascii="Times New Roman" w:hAnsi="Times New Roman"/>
          <w:color w:val="000000" w:themeColor="text1"/>
          <w:sz w:val="16"/>
          <w:szCs w:val="16"/>
        </w:rPr>
      </w:pPr>
    </w:p>
    <w:p w14:paraId="32BF8BAF" w14:textId="77777777" w:rsidR="0049741B" w:rsidRPr="0044524F" w:rsidRDefault="0049741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февраля 1933 состоялся первый полет Боинг 247 (20802).</w:t>
      </w:r>
    </w:p>
    <w:p w14:paraId="795E7543" w14:textId="77777777" w:rsidR="0049741B" w:rsidRPr="0044524F" w:rsidRDefault="0049741B" w:rsidP="009654CF">
      <w:pPr>
        <w:spacing w:after="0" w:line="240" w:lineRule="auto"/>
        <w:jc w:val="both"/>
        <w:rPr>
          <w:rFonts w:ascii="Times New Roman" w:hAnsi="Times New Roman"/>
          <w:color w:val="000000" w:themeColor="text1"/>
          <w:sz w:val="16"/>
          <w:szCs w:val="16"/>
        </w:rPr>
      </w:pPr>
    </w:p>
    <w:p w14:paraId="37C5907D" w14:textId="77777777" w:rsidR="0049741B" w:rsidRPr="0044524F" w:rsidRDefault="0049741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февраля 1933 года — первый полёт пассажирского самолёта Boeing 247.</w:t>
      </w:r>
    </w:p>
    <w:p w14:paraId="3144DCB5" w14:textId="77777777" w:rsidR="0049741B" w:rsidRPr="0044524F" w:rsidRDefault="0049741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Появился как дальнейшее развитие идей почтового самолёта Boeing Model 200 Monomail и опытного бомбардировщика Boeing YB-9. Стал первым серийным цельнометаллическим авиалайнером со свободнонесущим крылом и убирающимся шасси. Оснащался автопилотом, триммерами и противообледенительными «ботинками» (чехлами) на крыле и хвостовом оперении. За всё вышеперечисленное носил титул «Первого современного авиалайнера».</w:t>
      </w:r>
    </w:p>
    <w:p w14:paraId="39D3E8AA" w14:textId="77777777" w:rsidR="0049741B" w:rsidRPr="0044524F" w:rsidRDefault="0049741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Салон Boeing 247 вмещал 10 пассажиров и 3 членов экипажа. 2 двигателя Pratt &amp; Whitney S1H1-G Wasp помогали развить скорость 320 км/ч, что с учётом дальности полёта в 1200 км позволяло совершить полёт из Лос-Анджелеса в Нью-Йорк за 20 часов лётного времени с 7 дозаправками.</w:t>
      </w:r>
    </w:p>
    <w:p w14:paraId="1191A497" w14:textId="77777777" w:rsidR="0049741B" w:rsidRPr="0044524F" w:rsidRDefault="0049741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было выпущено 75 Boeing 247 различных модификаций. Основным эксплуатантом (60 самолётов) была дочерняя компания Boeing — United Airlines. На сегодняшний день сохранилось 4 авиалайнера, в том числе и один (N13347) в лётном состоянии (22300).</w:t>
      </w:r>
    </w:p>
    <w:p w14:paraId="1B63FEBD" w14:textId="77777777" w:rsidR="0049741B" w:rsidRPr="0044524F" w:rsidRDefault="0049741B" w:rsidP="009654CF">
      <w:pPr>
        <w:spacing w:after="0" w:line="240" w:lineRule="auto"/>
        <w:jc w:val="both"/>
        <w:rPr>
          <w:rFonts w:ascii="Times New Roman" w:hAnsi="Times New Roman"/>
          <w:color w:val="000000" w:themeColor="text1"/>
          <w:sz w:val="16"/>
          <w:szCs w:val="16"/>
        </w:rPr>
      </w:pPr>
    </w:p>
    <w:p w14:paraId="582969C6"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7CBB81B"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D62C237"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9 по 22 февраля 1933 проходили совместные испытания тормозных колес размером 1350х300 на самолете ТБ3-4М17.</w:t>
      </w:r>
    </w:p>
    <w:p w14:paraId="00C1B318"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22003D9E"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инженер-летчик от НИИ ВВС –Филин</w:t>
      </w:r>
    </w:p>
    <w:p w14:paraId="7E489C14"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от ЦАГИ – Громов</w:t>
      </w:r>
    </w:p>
    <w:p w14:paraId="4298B41F"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7742ED70"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тормозных колес, удобство расположения управления тормозами, эффективность действия тормозов и эксплуатационные данные колес.</w:t>
      </w:r>
    </w:p>
    <w:p w14:paraId="5D9BDC45"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F5E2333" w14:textId="77777777" w:rsidR="00FC65C5" w:rsidRPr="0044524F" w:rsidRDefault="00FC65C5"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колес к самолету ТБ-3 4М-17 размером 1350х300 с цельными тормозными стаканами утверждается.</w:t>
      </w:r>
    </w:p>
    <w:p w14:paraId="19793718"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колес со сварными тормозными стаканами:</w:t>
      </w:r>
    </w:p>
    <w:p w14:paraId="5A4345D8"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Начаты – 16 января 1933 года</w:t>
      </w:r>
    </w:p>
    <w:p w14:paraId="61DB5D29"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Окончены 16 января 1933 года</w:t>
      </w:r>
    </w:p>
    <w:p w14:paraId="3791EB1A"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Сделано 17 посадок</w:t>
      </w:r>
    </w:p>
    <w:p w14:paraId="73F50BED"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Получение новых колес и ремонт самолета с 17 января по 9 февраля 1933 года</w:t>
      </w:r>
    </w:p>
    <w:p w14:paraId="1AD767E1"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колес с цельными тормозными стаканами:</w:t>
      </w:r>
    </w:p>
    <w:p w14:paraId="54B8E20D"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Начато 9 февраля 1933 года</w:t>
      </w:r>
    </w:p>
    <w:p w14:paraId="53C4F938"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Окончено 21 февраля 1933 года</w:t>
      </w:r>
    </w:p>
    <w:p w14:paraId="4699B3C8"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Летных дней – 2 (6634).</w:t>
      </w:r>
    </w:p>
    <w:p w14:paraId="1192E2B7"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50E2659" w14:textId="77777777" w:rsidR="002B6EFF" w:rsidRPr="0044524F" w:rsidRDefault="002B6EF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февраля 1933 г. летчик ГВ5 И.В.Водопьянов с бортмехаником Сережиным на самолете П-5 предпринял скоростной перелет из Москвы в Петропавловск на Камчатке. До Новосибирска долетел за 16 ч.40 мин.</w:t>
      </w:r>
    </w:p>
    <w:p w14:paraId="2AE1E645" w14:textId="77777777" w:rsidR="002B6EFF" w:rsidRPr="0044524F" w:rsidRDefault="002B6EF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Дальтнейший полет сопровождался задержками и закончился катастро</w:t>
      </w:r>
      <w:r w:rsidRPr="0044524F">
        <w:rPr>
          <w:rFonts w:ascii="Times New Roman" w:hAnsi="Times New Roman"/>
          <w:color w:val="000000" w:themeColor="text1"/>
          <w:sz w:val="16"/>
          <w:szCs w:val="16"/>
        </w:rPr>
        <w:softHyphen/>
        <w:t>фой. 13-го февраля, вылетев из Иркутска, Водопьянов зацепил за гору лиз ст. Мысовая за Байкалом. Механик был убит, пилот получил тяжелые поврежденя.</w:t>
      </w:r>
    </w:p>
    <w:p w14:paraId="374BB8E9" w14:textId="77777777" w:rsidR="002B6EFF" w:rsidRPr="0044524F" w:rsidRDefault="002B6EF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ЦДК СССР" за 12 и 16 февраля 1933/ (23370)</w:t>
      </w:r>
    </w:p>
    <w:p w14:paraId="6F01A64C" w14:textId="77777777" w:rsidR="002B6EFF" w:rsidRPr="0044524F" w:rsidRDefault="002B6EFF" w:rsidP="009654CF">
      <w:pPr>
        <w:spacing w:after="0" w:line="240" w:lineRule="auto"/>
        <w:jc w:val="both"/>
        <w:rPr>
          <w:rFonts w:ascii="Times New Roman" w:hAnsi="Times New Roman"/>
          <w:color w:val="000000" w:themeColor="text1"/>
          <w:sz w:val="16"/>
          <w:szCs w:val="16"/>
        </w:rPr>
      </w:pPr>
    </w:p>
    <w:p w14:paraId="4B103EE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февраля 1933 ГВФ отметил десятилетие - выставки, кинофильмы, награждения. В.В.Куйбышев произнес речь (438,639).</w:t>
      </w:r>
    </w:p>
    <w:p w14:paraId="4949F52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70F4DC92" w14:textId="77777777" w:rsidR="00805152" w:rsidRPr="0044524F" w:rsidRDefault="00805152"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9 февраля 1933 года, празднуя десятилетие Гражданского воздушного флота страны, авиационные руководители отчитывались на страницах газет: «Если протяженность воздушных линий в 1928 году составляла 11442 км, то в 1932 году длина воздушных линий уже превышала 30200 км. В 1928 году было перевезено 7 тысяч пассажиров, в 1932 году – 28 тысяч пассажиров. Груза и багажа перевезено в 1928 году 85 тонн, а в 1932 году – 460 тонн… В 1928 году самолеты обработали авиахимическими методами 33500 га зараженных вредителем сельского и лесного хозяйства… А в 1932 году … обработано свыше одного миллиона га… В 1928 году произведена аэрофотосъемка 30700 кв. км, в 1932 году – 108 кв. км» (21249).</w:t>
      </w:r>
    </w:p>
    <w:p w14:paraId="7CBEBE1A" w14:textId="77777777" w:rsidR="00805152" w:rsidRPr="0044524F" w:rsidRDefault="00805152" w:rsidP="009654CF">
      <w:pPr>
        <w:spacing w:after="0" w:line="240" w:lineRule="auto"/>
        <w:jc w:val="both"/>
        <w:rPr>
          <w:rFonts w:ascii="Times New Roman" w:hAnsi="Times New Roman"/>
          <w:color w:val="000000" w:themeColor="text1"/>
          <w:sz w:val="16"/>
          <w:szCs w:val="16"/>
        </w:rPr>
      </w:pPr>
    </w:p>
    <w:p w14:paraId="28A8F168" w14:textId="4F312FBC" w:rsidR="000F221B" w:rsidRPr="0044524F" w:rsidRDefault="000F221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февраля 1933 г. гражданский воздушный флот отметил десятилетие своего существования Празднование юбилея сопровождалось устройством выставок, докладами на предприятиях, выпуском специальных кинофильмов, награждением заслуженных работников ГВФ и т.п. В Москве на торжественном заседании в Доме союзов В.В.Куйбышев произнес речь,</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которой доставил задачи овладения техникой в области производства и эксплуатации воздушного флота, ликвидации аварийности и увеличения объема применения специальных видов авиации. К своему юбилею ГВФ пришел с большими достижениями, но не изжил еще аварийности и не добился регулярности полетов.</w:t>
      </w:r>
    </w:p>
    <w:p w14:paraId="7441F44D" w14:textId="77777777" w:rsidR="000F221B" w:rsidRPr="0044524F" w:rsidRDefault="000F221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/"Правда" за 11 февраля 1933/ (23370).</w:t>
      </w:r>
    </w:p>
    <w:p w14:paraId="21461FCA" w14:textId="77777777" w:rsidR="000F221B" w:rsidRPr="0044524F" w:rsidRDefault="000F221B" w:rsidP="009654CF">
      <w:pPr>
        <w:spacing w:after="0" w:line="240" w:lineRule="auto"/>
        <w:jc w:val="both"/>
        <w:rPr>
          <w:rFonts w:ascii="Times New Roman" w:hAnsi="Times New Roman"/>
          <w:color w:val="000000" w:themeColor="text1"/>
          <w:sz w:val="16"/>
          <w:szCs w:val="16"/>
        </w:rPr>
      </w:pPr>
    </w:p>
    <w:p w14:paraId="354E3C06"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56172C5"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67CB91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февраля 1933 г. постановлением коллегии Наркомата рабоче-крестьянской инспекции СССР было создано Научно-исследовательское бюро (НИБ) Всесоюзного объединения вагоностроительных и тормозных заводов. В 1956 г. переименовано в Научно-исследовательское бюро вагоностроения (НИБ вагоностроения). Постановлением Совета Министров СССР от 13 июля 1961 г. на базе бюро организован ВНИИВ (12102).</w:t>
      </w:r>
    </w:p>
    <w:p w14:paraId="09D4C8A6" w14:textId="77777777" w:rsidR="004014A7" w:rsidRPr="0044524F" w:rsidRDefault="004014A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224B5E"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февраля 1933 г. прошло расширенное заседание президиума завкома завода Новое Сормово, посвященное в основном вопросам качества продукции. На нем, в частности, отмечалось, что основной брак давал кузнечный цех. В нем не было технического руководства, термических измерений, подогревательных печей и нужной температуры под молотами. В инструментальном цехе отсутствовали чертежи и допуски. Средний брак по заводу определили «примерно» в 25 %, а брак кузницы — в 60 %. Отмечалось также, что на заводе мелкие детали изготовляются небрежно, «нечем измерять температуру, неквалифицированные мастера, не разработан технологический процесс и т. д. [17 — ГУ ЦАНО, Ф. 2491, Оп. 1, Д. 48, Л. 22–36.]». Некоторые докладчики выступили против борьбы за «спасение» деталей. Отмечалось также отсутствие на заводе системы учета брака и как следствие этого невозможность ведения его статистики. В итоге президиум постановил, что брак </w:t>
      </w:r>
      <w:r w:rsidRPr="0044524F">
        <w:rPr>
          <w:rFonts w:ascii="Times New Roman" w:hAnsi="Times New Roman"/>
          <w:color w:val="000000" w:themeColor="text1"/>
          <w:sz w:val="16"/>
          <w:szCs w:val="16"/>
        </w:rPr>
        <w:lastRenderedPageBreak/>
        <w:t>«по отдельным цехам недопустимо высок, состояние выпущенной продукции плохое, работа ОТК неудовлетворительная». Однако никаких конкретных мер на заседании предложено не было. Наиболее объективным показателем уровня брака можно считать итоги механических испытаний партий выпущенных деталей. Они проводились в специальной лаборатории, путем подвергания изделий специальным нагрузкам. Так, согласно результатам испытаний разных деталей пушки 20-К, необходимую нагрузку выдержали 96 плавок из 185. Остальные 89 или 48 % не выдержали или оказались полностью бракованными. Аналогичные испытания кожуха той же пушки выдержали 78 плавок, не выдержали и полный брак — 113 (60 %). Несколько лучше результаты механических испытаний имела другая партия кожухов: выдержали 148 плавок, не выдержали и брак — 42 (23 %). [18 — Там же, Д. 6, Л. 1-189.] Четвертая же, взятая нами произвольно партия, выявила следующие результаты: из 380 плавок 170 выдержали испытания, остальные — 210 (55 %) — не выдержали либо полный брак. Таким образом, судя по результатам механических испытаний за 1932–1933 гг., в среднем брак составлял 48 % деталей (11741).</w:t>
      </w:r>
    </w:p>
    <w:p w14:paraId="15B21E6E"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462E29"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865D0AF"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50391B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февраля 1933-го вышел приказом ОГПУ № 0056 «О соединении заключенных исправ.-трудов. лагерей ОГПУ с их семьями, высланными в порядке спецпереселения в спецпоселки» , которым предписывалось:</w:t>
      </w:r>
    </w:p>
    <w:p w14:paraId="64FA89B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уменьшения побегов из спецпоселков и закрепления хозяйственного устройства семей спецпереселенцев, главы или трудоспособные члены которых осуждены и находятся в исправительно-трудовых лагерях ОГПУ...:</w:t>
      </w:r>
    </w:p>
    <w:p w14:paraId="7A817EE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Заключенных, находящихся в исправительно-трудовых лагерях ОГПУ, соединять с их семьями, высланными в порядке спецпереселения в спецпоселки - независимо от срока, статьи осуждения и времени отбытия срока в лагерях ОГПУ.</w:t>
      </w:r>
    </w:p>
    <w:p w14:paraId="54EE4CD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Производить соединение только тех заключенных, которые в период пребывания в лагерях ОГПУ проявили себя с положительной стороны, не совершили преступлений и не замечены в к.-р. деятельности.</w:t>
      </w:r>
    </w:p>
    <w:p w14:paraId="5505D32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Начальнику ГУЛАГ ОГПУ затребовать от лагерей списки заключенных, семьи которых находятся в спецпоселках, и совместно с Особоуполномоченным Коллегии ОГПУ, по согласованию с соответствующими отделами ОГПУ, направлять таковых к семьям в спецпоселки» (7560).</w:t>
      </w:r>
    </w:p>
    <w:p w14:paraId="5B82683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34E4F925"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F36E140"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76C21C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года Базилевич писал письмо N 128/КО в СНК Куйбышеву, Рудзутаку.</w:t>
      </w:r>
    </w:p>
    <w:p w14:paraId="5A598F3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указанию Молотова направляю для ознакомления копию краткого доклада Баранова по рекордному полету на дальность.</w:t>
      </w:r>
    </w:p>
    <w:p w14:paraId="38D8E1D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СТО на ЦАГИ возложена задача постройки самолета для рекордных полетов на дальность. Этот самолет в настоящее время находится в постройке и будет готов для предварительных испытаний в мае 1933 года, а для полетов на продолжительность и дальность к сентябрю 1933 года.</w:t>
      </w:r>
    </w:p>
    <w:p w14:paraId="735DB8C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3-х человеках экипажа этот самолет сможет покрыть расстояние без посадки в 9000-10000 км (мировой рекорд 8200 км). Самолет строится с одним мотором М-34 без редуктора, а при установке мотора М-34 с редуктором дальность полета может быть увеличена. Таким образом, на этом самолете с мотором М-34 СССР сможет поставить мировой рекорд на дальность полета без посадки. Однако проведение этой операции потребует значительной предварительной подготовки.</w:t>
      </w:r>
    </w:p>
    <w:p w14:paraId="6D8737F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будет:</w:t>
      </w:r>
    </w:p>
    <w:p w14:paraId="777AA7B7"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подготовить 10 специально изготовленных моторов М-34 с особой надежностью работы и специфической регулировкой для наименьшего расхода горючего.</w:t>
      </w:r>
    </w:p>
    <w:p w14:paraId="3780FF1B"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шестимесячную тренировку двух экипажей (основного и резервного, состоящие каждый из 2-х летчиков и 1 аэронавигатора) для полетов по приборам и длительных полетов без посадки.</w:t>
      </w:r>
    </w:p>
    <w:p w14:paraId="6AC790BD"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Выделить и подготовить обслуживающие самолеты и самолеты для перелета.</w:t>
      </w:r>
    </w:p>
    <w:p w14:paraId="05088C03"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Выделить специальную обслуживающую группу в количестве 20 человек инженерно-технического персонала, снабдив эту группу транспортом.</w:t>
      </w:r>
    </w:p>
    <w:p w14:paraId="33F0118D"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Построить специальную бетонированную дорожку для взлета (длиной 2000 м и шириной 70 м), которая необходима вследствие сильной первоначальной перегруженности самолета.</w:t>
      </w:r>
    </w:p>
    <w:p w14:paraId="1BDE2C7C"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Заблаговременно выбрать маршрут полета в зависимости от ряда политических и технических соображений</w:t>
      </w:r>
    </w:p>
    <w:p w14:paraId="355D57DB"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Обеспечить метеорологическую службу во время полета.</w:t>
      </w:r>
    </w:p>
    <w:p w14:paraId="590038F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расстоянии 9000 км и свыше могут быть намечены следующие заграничные маршруты: Москва – Южная Африка, Москва – Южная Америка, Москва – Нью-Йорк (в Западном направлении). Внутренний маршрут Москва – Владивосток длиною в 8000 км недостаточен для рекорда на дальность и труден для перелета в осеннее время.</w:t>
      </w:r>
    </w:p>
    <w:p w14:paraId="7896FFDF"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Получить в СССР специального представителя Международной организации по рекордным полетам, без визы которого никакой рекорд по Международному кодексу не признается.</w:t>
      </w:r>
    </w:p>
    <w:p w14:paraId="53E3168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(4013,5).</w:t>
      </w:r>
    </w:p>
    <w:p w14:paraId="49E4377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532FFAA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года происходило предварительное рассмотрение эскизного проекта паровой турбины ХАИ мощностью 6000 нр. Проект был закончен на 50 % (3516).</w:t>
      </w:r>
    </w:p>
    <w:p w14:paraId="72B014F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66300C8F" w14:textId="77777777" w:rsidR="006B0A16" w:rsidRPr="0044524F" w:rsidRDefault="006B0A1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10 февраля 1933 в час пять минут ночи экипаж М.В. Водопьянова на самолете П-5 вылетел с Центрального аэродрома Москвы, имея на борту запас бензина на тринадцать часов, около ста килограммов почты, около тридцати килограммов продуктов неприкосновенного запаса, инструменты и чехлы. Через восемь с половиной часов полета самолет опустился на свердловском аэродроме, а уже через час, дозаправившись, экипаж продолжил путь по трассе Курган – Омск, планируя совершить следующую посадку в Новосибирске. Однако жизнь внесла свои коррективы.</w:t>
      </w:r>
    </w:p>
    <w:p w14:paraId="5C5EAA3B" w14:textId="77777777" w:rsidR="006B0A16" w:rsidRPr="0044524F" w:rsidRDefault="006B0A1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Над Омском Михаила Васильевича внезапно обдало паром (позже выяснилось, что соскочил шланг с радиатора). Облако пара, окружившее самолет, заслонило землю. В двигателе закипела вода. Чтобы спасти мотор, пилот выключил его и стал планировать на аэродром. Благо, что случилось это в районе омского аэродрома. Безмоторная посадка была выполнена безукоризненно.</w:t>
      </w:r>
    </w:p>
    <w:p w14:paraId="36B582EF" w14:textId="77777777" w:rsidR="006B0A16" w:rsidRPr="0044524F" w:rsidRDefault="006B0A1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М.В. Водопьянов рассчитывал вылететь через час после вынужденной посадки в Омске, но подготовка к вылету, в результате несогласованности и нераспорядительности омских авиационных руководителей, заняла двадцать два часа. Вылететь в Новосибирск удалось на следующий день за час до захода солнца.</w:t>
      </w:r>
    </w:p>
    <w:p w14:paraId="6C6CDB12" w14:textId="77777777" w:rsidR="006B0A16" w:rsidRPr="0044524F" w:rsidRDefault="006B0A1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Посадку на новосибирском аэродроме М.В. Водопьянов совершил 11 февраля в 21 час 30 минут (по местному времени). Аэродром Новосибирска был хорошо оборудован для обеспечения ночных полетов: его границы были обозначены электрическими лампочками, световое «Т» показывало направление посадки, два прожектора хорошо освещали летное поле.</w:t>
      </w:r>
    </w:p>
    <w:p w14:paraId="271D2FFC" w14:textId="77777777" w:rsidR="006B0A16" w:rsidRPr="0044524F" w:rsidRDefault="006B0A1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Самолет М.В. Водопьянова заправили «под пробку», чтобы горючего хватило до Читы. Не успев толком отдохнуть, экипаж в три часа утра вырулил на старт. В ходе взлета пилот почувствовал, что самолет перегружен и не оторвется до конца летного поля. Пришлось прервать взлет, а затем из нижнего добавочного бака слить килограммов двести бензина, и только тогда, в 5 часов 30 минут, самолету с трудом удалось оторваться от земли. Топлива до Читы не хватало, пришлось посадить самолет в Иркутске.</w:t>
      </w:r>
    </w:p>
    <w:p w14:paraId="25C6A67F" w14:textId="77777777" w:rsidR="006B0A16" w:rsidRPr="0044524F" w:rsidRDefault="006B0A1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13 февраля в 2 часа ночи, вновь заправив самолет под завязку, М.В. Водопьянов начал разбег. Пробежав половину аэродрома, пришлось убрать газ, – машина плохо отрывалась от аэродрома. Оторвать самолет от земли удалось, только предварительно установив его на границе аэродрома.</w:t>
      </w:r>
    </w:p>
    <w:p w14:paraId="50EE28B5" w14:textId="77777777" w:rsidR="006B0A16" w:rsidRPr="0044524F" w:rsidRDefault="006B0A1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Вскоре, летя над Байкалом, уставший Михаил Васильевич, вероятно, заснул. Неуправляемый самолет упал на лед, при этом бортмеханик Серегин погиб, а М.В. Водопьянов получил тяжелые травмы. Очнулся он только утром 16 февраля в больнице. Более полугода понадобилось Михаилу Васильевичу чтобы восстановить здоровье (21249).</w:t>
      </w:r>
    </w:p>
    <w:p w14:paraId="5B9C8809" w14:textId="77777777" w:rsidR="006B0A16" w:rsidRPr="0044524F" w:rsidRDefault="006B0A16" w:rsidP="009654CF">
      <w:pPr>
        <w:spacing w:after="0" w:line="240" w:lineRule="auto"/>
        <w:jc w:val="both"/>
        <w:rPr>
          <w:rFonts w:ascii="Times New Roman" w:hAnsi="Times New Roman"/>
          <w:color w:val="000000" w:themeColor="text1"/>
          <w:sz w:val="16"/>
          <w:szCs w:val="16"/>
        </w:rPr>
      </w:pPr>
    </w:p>
    <w:p w14:paraId="68210CF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состоялся первый полет первого дирижабля полужесткой схемы В-5 объемом 2150 м с двигателем 75 нр (438,630).</w:t>
      </w:r>
    </w:p>
    <w:p w14:paraId="7DEAF29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февраля 1933 был построен первый советский полужесткий дирижабль СССР В-5 (Осоавиахим) (224,9).</w:t>
      </w:r>
    </w:p>
    <w:p w14:paraId="3968CBB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Якобы именно этот дирижабли строился при участии У.Нобиле, но он был моделью более крупного - В-6 (1228,9).</w:t>
      </w:r>
    </w:p>
    <w:p w14:paraId="045B1A8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458FAFD2" w14:textId="77777777" w:rsidR="002B6EFF" w:rsidRPr="0044524F" w:rsidRDefault="002B6EF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г. состоялся первый испытательный полет первого советского полужесткого дирижабля В-5, построенного работниками Дирижаблестря. Дирижабль В-5, как опытный в серии полужестких, кубатуры, всего 2150 м3, с одним мотором в 75 л. с. 27-го февраля под управлением Ивана Дмитриевича Ободзинского испытывался в длительном полете.</w:t>
      </w:r>
    </w:p>
    <w:p w14:paraId="3458D7A4" w14:textId="77777777" w:rsidR="002B6EFF" w:rsidRPr="0044524F" w:rsidRDefault="002B6EF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28 апр. 1933; "Гражданская авиация", 1933/ (23370).</w:t>
      </w:r>
    </w:p>
    <w:p w14:paraId="4F558BF0" w14:textId="77777777" w:rsidR="002B6EFF" w:rsidRPr="0044524F" w:rsidRDefault="002B6EFF" w:rsidP="009654CF">
      <w:pPr>
        <w:spacing w:after="0" w:line="240" w:lineRule="auto"/>
        <w:jc w:val="both"/>
        <w:rPr>
          <w:rFonts w:ascii="Times New Roman" w:hAnsi="Times New Roman"/>
          <w:color w:val="000000" w:themeColor="text1"/>
          <w:sz w:val="16"/>
          <w:szCs w:val="16"/>
        </w:rPr>
      </w:pPr>
    </w:p>
    <w:p w14:paraId="2B61E89A" w14:textId="77777777" w:rsidR="006B0A16" w:rsidRPr="0044524F" w:rsidRDefault="006B0A1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г. началась эллинговая сборка ДП-3 и завершилась к концу месяца (20120).</w:t>
      </w:r>
    </w:p>
    <w:p w14:paraId="662525F9" w14:textId="77777777" w:rsidR="006B0A16" w:rsidRPr="0044524F" w:rsidRDefault="006B0A16" w:rsidP="009654CF">
      <w:pPr>
        <w:spacing w:after="0" w:line="240" w:lineRule="auto"/>
        <w:jc w:val="both"/>
        <w:rPr>
          <w:rFonts w:ascii="Times New Roman" w:hAnsi="Times New Roman"/>
          <w:color w:val="000000" w:themeColor="text1"/>
          <w:sz w:val="16"/>
          <w:szCs w:val="16"/>
        </w:rPr>
      </w:pPr>
    </w:p>
    <w:p w14:paraId="361441C5"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22BEEEB"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B9DF623" w14:textId="77777777" w:rsidR="00BC13D7" w:rsidRPr="0044524F" w:rsidRDefault="00BC13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10 февраля 1933 г. между ХПЗ и УММ РККА был оформлен опытный заказ № 157484 на проектирование и изготовление одного опытного дизеля-мотора БД-2 для установки его в машине БТ взамен мотора М-5, при этом дизель должен был по габаритам и мощности полностью соответствовать двигателю М-5. Напомним, что до этого все работы по проектированию и изготовлению опытных образцов дизеля БД-2 проводились ХПЗ в инициативном порядке, по решению партийной организации завода (24856).</w:t>
      </w:r>
    </w:p>
    <w:p w14:paraId="45F860E6" w14:textId="77777777" w:rsidR="00BC13D7" w:rsidRPr="0044524F" w:rsidRDefault="00BC13D7" w:rsidP="009654CF">
      <w:pPr>
        <w:spacing w:after="0" w:line="240" w:lineRule="auto"/>
        <w:jc w:val="both"/>
        <w:rPr>
          <w:rFonts w:ascii="Times New Roman" w:hAnsi="Times New Roman"/>
          <w:color w:val="000000" w:themeColor="text1"/>
          <w:sz w:val="16"/>
          <w:szCs w:val="16"/>
        </w:rPr>
      </w:pPr>
    </w:p>
    <w:p w14:paraId="64AA3CA2" w14:textId="77777777" w:rsidR="00BC13D7" w:rsidRPr="0044524F" w:rsidRDefault="00BC13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г. появилась первая сводка о выполнении опытного заказа № 157484, составленная старшим военным представителем И.Л. Кинсбургским была зарегистрирована в секретной части НТУ УММ РККА 17 марта 1933 г. В ней, в частности, сообщалось:</w:t>
      </w:r>
    </w:p>
    <w:p w14:paraId="71E4EDF6" w14:textId="77777777" w:rsidR="00BC13D7" w:rsidRPr="0044524F" w:rsidRDefault="00BC13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«Отношение администрации и инженерно-технического персонала Дизельного Отдела ХПЗ к изготовлению 3-х опытных дизель-моторов Б-Д-2 для машин "Б.Т." в высшей степени серьезное. Чувствуется, что Отдел уделяет большое внимание, стремясь нажить себе большой технический капитал и славу.</w:t>
      </w:r>
    </w:p>
    <w:p w14:paraId="7689F1C5" w14:textId="77777777" w:rsidR="00BC13D7" w:rsidRPr="0044524F" w:rsidRDefault="00BC13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Отсюда колоссальнейшее требование и внимание к качеству и точности изготовления деталей. Последние обрабатываются весьма тщательно: все по кондукторам, приспособлениям, шаблонам и т.п.</w:t>
      </w:r>
    </w:p>
    <w:p w14:paraId="250D1911" w14:textId="77777777" w:rsidR="00BC13D7" w:rsidRPr="0044524F" w:rsidRDefault="00BC13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Большое затруднение составляет примененная на "Б-Д-2" метрическая система, так как Дизельный Отдел всегда работал по дюймовой системе и не имеет в достаточной степени соответственного резьбомерительного инструмента».</w:t>
      </w:r>
    </w:p>
    <w:p w14:paraId="02875674" w14:textId="77777777" w:rsidR="00BC13D7" w:rsidRPr="0044524F" w:rsidRDefault="00BC13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[РГВА. Ф. 31811. Оп. 3. Д. 152. Л. 12]</w:t>
      </w:r>
    </w:p>
    <w:p w14:paraId="1D0C593D" w14:textId="77777777" w:rsidR="00BC13D7" w:rsidRPr="0044524F" w:rsidRDefault="00BC13D7" w:rsidP="009654CF">
      <w:pPr>
        <w:spacing w:after="0" w:line="240" w:lineRule="auto"/>
        <w:jc w:val="both"/>
        <w:rPr>
          <w:rFonts w:ascii="Times New Roman" w:hAnsi="Times New Roman"/>
          <w:color w:val="000000" w:themeColor="text1"/>
          <w:sz w:val="16"/>
          <w:szCs w:val="16"/>
        </w:rPr>
      </w:pPr>
      <w:hyperlink r:id="rId66" w:tgtFrame="_blank" w:history="1"/>
      <w:r w:rsidRPr="0044524F">
        <w:rPr>
          <w:rFonts w:ascii="Times New Roman" w:hAnsi="Times New Roman"/>
          <w:color w:val="000000" w:themeColor="text1"/>
          <w:sz w:val="16"/>
          <w:szCs w:val="16"/>
        </w:rPr>
        <w:t>По мнению И.Л. Кинсбургского изготовление опытных образцов дизеля БД-2 должно было завершиться на ХПЗ не ранее 15 апреля 1933 г. И в этом он не ошибся, первый опытный образец танкового дизеля БД-2 – дизель БД-2 № 1 был собран в Дизельном отдела ХПЗ и поставлен на стенд для испытаний в конце апреля 1933 г. (24856)</w:t>
      </w:r>
    </w:p>
    <w:p w14:paraId="7DC83C5F" w14:textId="77777777" w:rsidR="00BC13D7" w:rsidRPr="0044524F" w:rsidRDefault="00BC13D7" w:rsidP="009654CF">
      <w:pPr>
        <w:spacing w:after="0" w:line="240" w:lineRule="auto"/>
        <w:jc w:val="both"/>
        <w:rPr>
          <w:rFonts w:ascii="Times New Roman" w:hAnsi="Times New Roman"/>
          <w:color w:val="000000" w:themeColor="text1"/>
          <w:sz w:val="16"/>
          <w:szCs w:val="16"/>
        </w:rPr>
      </w:pPr>
    </w:p>
    <w:p w14:paraId="05C0F6BC" w14:textId="77777777" w:rsidR="00BC13D7" w:rsidRPr="0044524F" w:rsidRDefault="00BC13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г. Из сводки о выполнении опытного заказа № 157484 на ХПЗ:</w:t>
      </w:r>
    </w:p>
    <w:p w14:paraId="56C64544" w14:textId="77777777" w:rsidR="00BC13D7" w:rsidRPr="0044524F" w:rsidRDefault="00BC13D7" w:rsidP="009654CF">
      <w:pPr>
        <w:spacing w:after="0" w:line="240" w:lineRule="auto"/>
        <w:jc w:val="both"/>
        <w:rPr>
          <w:rFonts w:ascii="Times New Roman" w:hAnsi="Times New Roman"/>
          <w:color w:val="000000" w:themeColor="text1"/>
          <w:sz w:val="16"/>
          <w:szCs w:val="16"/>
        </w:rPr>
      </w:pPr>
      <w:hyperlink r:id="rId67" w:tgtFrame="_blank" w:history="1"/>
      <w:r w:rsidRPr="0044524F">
        <w:rPr>
          <w:rFonts w:ascii="Times New Roman" w:hAnsi="Times New Roman"/>
          <w:color w:val="000000" w:themeColor="text1"/>
          <w:sz w:val="16"/>
          <w:szCs w:val="16"/>
        </w:rPr>
        <w:t>«Первый опытный образец дизель-мотора БД-2, после тщательной сборки и установки на станде, был в ночь с 28-го на 29-е апреля подвергнут началу обкатки от постороннего двигателя (тихоходный дизель RK-30) через бортовой фрикцион и коробку скоростей машины БТ. В течение 4-х смен по 30-е апреля БД-2 был подвержен обкатке без компрессии и с компрессией общей продолжительностью около 11-и часов при оборотах БД-2 – 500 оборотах в минуту за 25 пусков и наибольшей продолжительностью одного пуска – 2,5 часа. В настоящее время сняты головки двигателя, производится общий осмотр и устранение имеющихся отдельных дефектов (течь воды и пропуск воздуха и т.п.)».</w:t>
      </w:r>
    </w:p>
    <w:p w14:paraId="0F5C19AC" w14:textId="77777777" w:rsidR="00BC13D7" w:rsidRPr="0044524F" w:rsidRDefault="00BC13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[РГВА. Ф. 31811. Оп. 3. Д. 186. Л. 119а об.]</w:t>
      </w:r>
    </w:p>
    <w:p w14:paraId="5B519866" w14:textId="77777777" w:rsidR="00BC13D7" w:rsidRPr="0044524F" w:rsidRDefault="00BC13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протяжении следующих 6 месяцев дизель БД-2 № 1 проходил стендовые испытания в Дизельном отделе ХПЗ.</w:t>
      </w:r>
    </w:p>
    <w:p w14:paraId="645074BE" w14:textId="77777777" w:rsidR="00BC13D7" w:rsidRPr="0044524F" w:rsidRDefault="00BC13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то время, когда в Харькове подходил к концу второй месяц стендовых испытаний дизеля БД-2 № 1, в Москве в высших инстанциях страны в очередной раз обсуждался вопрос о двигателе для танков БТ (24856). </w:t>
      </w:r>
    </w:p>
    <w:p w14:paraId="7D9B883E" w14:textId="77777777" w:rsidR="00BC13D7" w:rsidRPr="0044524F" w:rsidRDefault="00BC13D7" w:rsidP="009654CF">
      <w:pPr>
        <w:spacing w:after="0" w:line="240" w:lineRule="auto"/>
        <w:jc w:val="both"/>
        <w:rPr>
          <w:rFonts w:ascii="Times New Roman" w:hAnsi="Times New Roman"/>
          <w:color w:val="000000" w:themeColor="text1"/>
          <w:sz w:val="16"/>
          <w:szCs w:val="16"/>
        </w:rPr>
      </w:pPr>
    </w:p>
    <w:p w14:paraId="2A798AB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г. состоялась первая радиотрансляция из Москвы в США. Она длилась несколько минут - американцы могли услышать бой кремлевских курантов и "Интернационал". Передачи из Нью-Йорка впервые были приняты в Москве и появились в эфире в октябре (9923).</w:t>
      </w:r>
    </w:p>
    <w:p w14:paraId="13CC0E3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1AF46118" w14:textId="77777777" w:rsidR="006B0A16" w:rsidRPr="0044524F" w:rsidRDefault="006B0A16"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C3D94A9" w14:textId="77777777" w:rsidR="006B0A16" w:rsidRPr="0044524F" w:rsidRDefault="006B0A1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CC3A35C" w14:textId="77777777" w:rsidR="006B0A16" w:rsidRPr="0044524F" w:rsidRDefault="006B0A1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состоялся первый полет Демон Хокера (20802).</w:t>
      </w:r>
    </w:p>
    <w:p w14:paraId="485EBB8A" w14:textId="77777777" w:rsidR="006B0A16" w:rsidRPr="0044524F" w:rsidRDefault="006B0A16" w:rsidP="009654CF">
      <w:pPr>
        <w:spacing w:after="0" w:line="240" w:lineRule="auto"/>
        <w:jc w:val="both"/>
        <w:rPr>
          <w:rFonts w:ascii="Times New Roman" w:hAnsi="Times New Roman"/>
          <w:color w:val="000000" w:themeColor="text1"/>
          <w:sz w:val="16"/>
          <w:szCs w:val="16"/>
        </w:rPr>
      </w:pPr>
    </w:p>
    <w:p w14:paraId="754D8308" w14:textId="77777777" w:rsidR="006B0A16" w:rsidRPr="0044524F" w:rsidRDefault="006B0A1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года — первый полёт поршневого истребителя Hawker Demon. /Великобритания/</w:t>
      </w:r>
    </w:p>
    <w:p w14:paraId="39A8CB4F" w14:textId="77777777" w:rsidR="006B0A16" w:rsidRPr="0044524F" w:rsidRDefault="006B0A1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Впечатлившись характеристиками лёгкого бомбардировщика Hawker Hart, Королевские ВВС Великобритании в 1930 году заказали компании Hawker Aircraft разработку истребителя на его базе. Самолёт, первоначально названный Hart Fighter, позже получит имя Demon и будет разработан за 2 года.</w:t>
      </w:r>
    </w:p>
    <w:p w14:paraId="1B8C63DA" w14:textId="77777777" w:rsidR="006B0A16" w:rsidRPr="0044524F" w:rsidRDefault="006B0A1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Базовый биплан с неубирающимся шасси Hart доработали — уменьшили размеры, убрали бомбовое вооружение и поставили более мощный двигатель Rolls-Royce Kestrel IIS (позже заменили на Kestrel V(DR)). В остальном, конструкция осталась без особых изменений. Максимальная скорость — 293 км/ч, дальность полёта — 603 км. Вооружение состояло из 3 × 7,7-мм пулемётов + до 6 лёгких бомб.</w:t>
      </w:r>
    </w:p>
    <w:p w14:paraId="73DF66FA" w14:textId="77777777" w:rsidR="006B0A16" w:rsidRPr="0044524F" w:rsidRDefault="006B0A1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Hawker Demon стал промежуточным вариантом до начала поставок более современных истребителей в нужном объёме. Всего выпустили 304 самолёта. Также стоял на вооружении Королевских ВВС Австралии. Два истребителя сохранилось до наших дней (22300).</w:t>
      </w:r>
    </w:p>
    <w:p w14:paraId="5C7E7B48" w14:textId="77777777" w:rsidR="006B0A16" w:rsidRPr="0044524F" w:rsidRDefault="006B0A16" w:rsidP="009654CF">
      <w:pPr>
        <w:spacing w:after="0" w:line="240" w:lineRule="auto"/>
        <w:jc w:val="both"/>
        <w:rPr>
          <w:rFonts w:ascii="Times New Roman" w:hAnsi="Times New Roman"/>
          <w:color w:val="000000" w:themeColor="text1"/>
          <w:sz w:val="16"/>
          <w:szCs w:val="16"/>
        </w:rPr>
      </w:pPr>
    </w:p>
    <w:p w14:paraId="7B4C59BC" w14:textId="21C03C43" w:rsidR="006B0A16" w:rsidRPr="0044524F" w:rsidRDefault="006B0A1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 Первый полет Hawker Demon. Представлял из себя истребительный вариант</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легкого бомбардировщика Hawker Hart. Всего было построено около 200 машин, часть их них была проданна Австралии, где их использовали в качестве истребителей-бомбардировщиков.Австралийские машины даже успели поучаствовать во второй мировой войне (22628).</w:t>
      </w:r>
    </w:p>
    <w:p w14:paraId="3B1B86AB" w14:textId="77777777" w:rsidR="006B0A16" w:rsidRPr="0044524F" w:rsidRDefault="006B0A16" w:rsidP="009654CF">
      <w:pPr>
        <w:spacing w:after="0" w:line="240" w:lineRule="auto"/>
        <w:jc w:val="both"/>
        <w:rPr>
          <w:rFonts w:ascii="Times New Roman" w:hAnsi="Times New Roman"/>
          <w:color w:val="000000" w:themeColor="text1"/>
          <w:sz w:val="16"/>
          <w:szCs w:val="16"/>
        </w:rPr>
      </w:pPr>
    </w:p>
    <w:p w14:paraId="164A0523" w14:textId="77777777" w:rsidR="004014A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0B3C930" w14:textId="77777777" w:rsidR="004014A7" w:rsidRPr="0044524F" w:rsidRDefault="004014A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C39F620" w14:textId="77777777" w:rsidR="004014A7" w:rsidRPr="0044524F" w:rsidRDefault="004014A7" w:rsidP="009654CF">
      <w:pPr>
        <w:pStyle w:val="rtejustify"/>
        <w:spacing w:before="0" w:after="0"/>
        <w:rPr>
          <w:color w:val="000000" w:themeColor="text1"/>
          <w:sz w:val="16"/>
          <w:szCs w:val="16"/>
        </w:rPr>
      </w:pPr>
      <w:r w:rsidRPr="0044524F">
        <w:rPr>
          <w:rStyle w:val="af0"/>
          <w:bCs/>
          <w:i w:val="0"/>
          <w:color w:val="000000" w:themeColor="text1"/>
          <w:sz w:val="16"/>
          <w:szCs w:val="16"/>
        </w:rPr>
        <w:t>11 февраля</w:t>
      </w:r>
      <w:r w:rsidRPr="0044524F">
        <w:rPr>
          <w:color w:val="000000" w:themeColor="text1"/>
          <w:sz w:val="16"/>
          <w:szCs w:val="16"/>
        </w:rPr>
        <w:t xml:space="preserve"> 1933 вышел приказ РВСС № 3. 4. О выполнении промышленностью плана заказов НКВМ за 1932 г. (Мовчин). 5. О ходе выполнения договорной кампании (Хрулев). (РГВА. Ф. 4. Оп. 18. Д. 23. Л. 38).</w:t>
      </w:r>
    </w:p>
    <w:p w14:paraId="56A41299" w14:textId="77777777" w:rsidR="004014A7" w:rsidRPr="0044524F" w:rsidRDefault="004014A7" w:rsidP="009654CF">
      <w:pPr>
        <w:pStyle w:val="rtejustify"/>
        <w:spacing w:before="0" w:after="0"/>
        <w:rPr>
          <w:rStyle w:val="af0"/>
          <w:bCs/>
          <w:i w:val="0"/>
          <w:color w:val="000000" w:themeColor="text1"/>
          <w:sz w:val="16"/>
          <w:szCs w:val="16"/>
        </w:rPr>
      </w:pPr>
    </w:p>
    <w:p w14:paraId="6F6A63DA"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F858E17"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1A8F7C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11 февраля 1933 г. Совет Народных Комиссаров СССР принял постановление “Об организации Главного управления кинофотопромышленности при СНК Союза ССР”, которое явилось первым в масштабах страны реальным руководящим органом кинематографии. ГУФК подчинялись крупные кинофабрики (“Мосфильм”, “Ленфильм”, “Союзкинохроника”) и кинотресты, а также экспортно-импортная контора “Союзинторгкино”, работающая на хозрасчете. Имеющее региональные отделения при наркоматах республик, ГУФК не только руководил кинопроцессом, но впервые осуществлял идеологические функции — утверждал планы производства фильмов и вел контроль их содержания. Существовала специальная комиссия по предварительному просмотру и выпуску на экраны новых кинофильмов (в начале 1930-х гг. при Оргбюро ЦК ВКП(б) этим занималась Кинокомиссия, затем аналогичная комиссия существовала при ЦИКе, а фактически — при Политбюро). В систему управления кинематографом было передано и кинообразование всех уровней, сначала входившее в систему Профобра Наркомпроса — школы киномехаников, кинотехникумы и вузы (ГИК и ЛИКИ), а также научные учреждения (НИКФИ, затем — НИИК). Начальником ГУКФ был назначен Борис Шумяцкий, которого вскоре стали называть “народным комиссаром кинематографии”. Профессиональный революционер и партфункционер, вхожий в “ближний круг” товарища Сталина, принялся за дело с рвением и твердым убеждением, что все выходящие под его руководством фильмы должны вписываться в рамки марксистско-ленинской идеологии. Утверждая свои художественные требования, начальник ГУКФа зачислял в “секту” формалистов Довженко (в его </w:t>
      </w:r>
      <w:r w:rsidRPr="0044524F">
        <w:rPr>
          <w:rFonts w:ascii="Times New Roman" w:hAnsi="Times New Roman"/>
          <w:iCs/>
          <w:color w:val="000000" w:themeColor="text1"/>
          <w:sz w:val="16"/>
          <w:szCs w:val="16"/>
        </w:rPr>
        <w:t>Звенигоре</w:t>
      </w:r>
      <w:r w:rsidRPr="0044524F">
        <w:rPr>
          <w:rFonts w:ascii="Times New Roman" w:hAnsi="Times New Roman"/>
          <w:color w:val="000000" w:themeColor="text1"/>
          <w:sz w:val="16"/>
          <w:szCs w:val="16"/>
        </w:rPr>
        <w:t xml:space="preserve"> (1927) Шумяцкий усмотрел “кинематографическое знамя буржуазных националистов”), без особых церемоний требовал вырезать сцены и эпизоды из </w:t>
      </w:r>
      <w:r w:rsidRPr="0044524F">
        <w:rPr>
          <w:rFonts w:ascii="Times New Roman" w:hAnsi="Times New Roman"/>
          <w:iCs/>
          <w:color w:val="000000" w:themeColor="text1"/>
          <w:sz w:val="16"/>
          <w:szCs w:val="16"/>
        </w:rPr>
        <w:t>Чапаева</w:t>
      </w:r>
      <w:r w:rsidRPr="0044524F">
        <w:rPr>
          <w:rFonts w:ascii="Times New Roman" w:hAnsi="Times New Roman"/>
          <w:color w:val="000000" w:themeColor="text1"/>
          <w:sz w:val="16"/>
          <w:szCs w:val="16"/>
        </w:rPr>
        <w:t xml:space="preserve"> (1934) братьев Васильевых, </w:t>
      </w:r>
      <w:r w:rsidRPr="0044524F">
        <w:rPr>
          <w:rFonts w:ascii="Times New Roman" w:hAnsi="Times New Roman"/>
          <w:iCs/>
          <w:color w:val="000000" w:themeColor="text1"/>
          <w:sz w:val="16"/>
          <w:szCs w:val="16"/>
        </w:rPr>
        <w:t>Последней ночи</w:t>
      </w:r>
      <w:r w:rsidRPr="0044524F">
        <w:rPr>
          <w:rFonts w:ascii="Times New Roman" w:hAnsi="Times New Roman"/>
          <w:color w:val="000000" w:themeColor="text1"/>
          <w:sz w:val="16"/>
          <w:szCs w:val="16"/>
        </w:rPr>
        <w:t xml:space="preserve"> (1936) Юлия Райзмана, </w:t>
      </w:r>
      <w:r w:rsidRPr="0044524F">
        <w:rPr>
          <w:rFonts w:ascii="Times New Roman" w:hAnsi="Times New Roman"/>
          <w:iCs/>
          <w:color w:val="000000" w:themeColor="text1"/>
          <w:sz w:val="16"/>
          <w:szCs w:val="16"/>
        </w:rPr>
        <w:t>Партийного билета</w:t>
      </w:r>
      <w:r w:rsidRPr="0044524F">
        <w:rPr>
          <w:rFonts w:ascii="Times New Roman" w:hAnsi="Times New Roman"/>
          <w:color w:val="000000" w:themeColor="text1"/>
          <w:sz w:val="16"/>
          <w:szCs w:val="16"/>
        </w:rPr>
        <w:t xml:space="preserve"> (1936) Ивана Пырьева, </w:t>
      </w:r>
      <w:r w:rsidRPr="0044524F">
        <w:rPr>
          <w:rFonts w:ascii="Times New Roman" w:hAnsi="Times New Roman"/>
          <w:iCs/>
          <w:color w:val="000000" w:themeColor="text1"/>
          <w:sz w:val="16"/>
          <w:szCs w:val="16"/>
        </w:rPr>
        <w:t>Поколения победителей</w:t>
      </w:r>
      <w:r w:rsidRPr="0044524F">
        <w:rPr>
          <w:rFonts w:ascii="Times New Roman" w:hAnsi="Times New Roman"/>
          <w:color w:val="000000" w:themeColor="text1"/>
          <w:sz w:val="16"/>
          <w:szCs w:val="16"/>
        </w:rPr>
        <w:t xml:space="preserve"> (1936) Веры Строевой и горой стоял за Григория Александрова, Григория Козинцева, Леонида Трауберга и Михаила Ромма. Благодаря его ярой защите на экран вышли </w:t>
      </w:r>
      <w:r w:rsidRPr="0044524F">
        <w:rPr>
          <w:rFonts w:ascii="Times New Roman" w:hAnsi="Times New Roman"/>
          <w:iCs/>
          <w:color w:val="000000" w:themeColor="text1"/>
          <w:sz w:val="16"/>
          <w:szCs w:val="16"/>
        </w:rPr>
        <w:t>Веселые ребята</w:t>
      </w:r>
      <w:r w:rsidRPr="0044524F">
        <w:rPr>
          <w:rFonts w:ascii="Times New Roman" w:hAnsi="Times New Roman"/>
          <w:color w:val="000000" w:themeColor="text1"/>
          <w:sz w:val="16"/>
          <w:szCs w:val="16"/>
        </w:rPr>
        <w:t xml:space="preserve"> (1934) , которых критика обвиняла во всех “буржуазных” грехах. Благодаря его деятельному участию появились </w:t>
      </w:r>
      <w:r w:rsidRPr="0044524F">
        <w:rPr>
          <w:rFonts w:ascii="Times New Roman" w:hAnsi="Times New Roman"/>
          <w:iCs/>
          <w:color w:val="000000" w:themeColor="text1"/>
          <w:sz w:val="16"/>
          <w:szCs w:val="16"/>
        </w:rPr>
        <w:t>Юность Максима</w:t>
      </w:r>
      <w:r w:rsidRPr="0044524F">
        <w:rPr>
          <w:rFonts w:ascii="Times New Roman" w:hAnsi="Times New Roman"/>
          <w:color w:val="000000" w:themeColor="text1"/>
          <w:sz w:val="16"/>
          <w:szCs w:val="16"/>
        </w:rPr>
        <w:t xml:space="preserve"> (1934) и </w:t>
      </w:r>
      <w:r w:rsidRPr="0044524F">
        <w:rPr>
          <w:rFonts w:ascii="Times New Roman" w:hAnsi="Times New Roman"/>
          <w:iCs/>
          <w:color w:val="000000" w:themeColor="text1"/>
          <w:sz w:val="16"/>
          <w:szCs w:val="16"/>
        </w:rPr>
        <w:t>Петр I</w:t>
      </w:r>
      <w:r w:rsidRPr="0044524F">
        <w:rPr>
          <w:rFonts w:ascii="Times New Roman" w:hAnsi="Times New Roman"/>
          <w:color w:val="000000" w:themeColor="text1"/>
          <w:sz w:val="16"/>
          <w:szCs w:val="16"/>
        </w:rPr>
        <w:t xml:space="preserve"> (1937—1938) . С именем Шумяцкого связан и успех советских фильмов на международных кинофестивалях в Венеции и Москве. Он первым (после своей поездки в Америку) выступил за генеральную реконструкцию советского кинематографа на основе американского опыта, намеревался совершить техническую и организационную революцию в управлении отраслью и выстроить “советский Голливуд” на Черном море, способный выпускать 200 фильмов в год. В течение двух-трех лет после прихода Шумяцкого в ГУФК советское кинопроизводство сделало заметный шаг вперед. Важнейшими задачами в этот период были организация производства собственной кинопленки, звукозаписывающей аппаратуры для киностудий, звуковоспроизводящей аппаратуры для киносети, реконструкция киностудий под производство звуковых, цветных и широкоэкранных студий. И эти задачи были успешно решены. Шумяцкий обладал врожденной деловой хваткой. Будучи главным ответственным за кремлевские кинопросмотры для Сталина, он умудрялся подать картины на суд вождя наиболее выигрышным образом и извлечь из высочайшего благоволения наибольшую выгоду для кинодела. В 1935 г. состоялась первая крупная раздача орденов, званий и премий мастерам кино (сам Шумяцкий получил Орден Ленина). С тех пор практика масштабных поощрений кинематографистов государственными “пряниками” стала обычным делом вплоть до самого конца советских времен. Одновременно вошел в обиход и “кнут”: многие кинематографисты стали жертвами массового террора, свирепствовавшего следующие два десятилетия. Не уцелел и Шумяцкий — регулярное цитирование “отца народов” и публичные заверения в преданности вождю не помогли. 8 октября 1937 г. был арестован друг Шумяцого оператор Владимир Нильсен, а в ночь с 17 на 18 января 1938 г. арестовали и самого Шумяцкого. 28 июля 1938 г. он был расстрелян (11019).</w:t>
      </w:r>
    </w:p>
    <w:p w14:paraId="6A36449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2EA5A90A" w14:textId="77777777" w:rsidR="000B41D6" w:rsidRPr="0044524F" w:rsidRDefault="000B41D6" w:rsidP="000B41D6">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452A765" w14:textId="77777777" w:rsidR="000B41D6" w:rsidRPr="0044524F" w:rsidRDefault="000B41D6" w:rsidP="000B41D6">
      <w:pPr>
        <w:autoSpaceDE w:val="0"/>
        <w:autoSpaceDN w:val="0"/>
        <w:adjustRightInd w:val="0"/>
        <w:spacing w:after="0" w:line="240" w:lineRule="auto"/>
        <w:jc w:val="both"/>
        <w:rPr>
          <w:rFonts w:ascii="Times New Roman" w:hAnsi="Times New Roman"/>
          <w:iCs/>
          <w:color w:val="000000" w:themeColor="text1"/>
          <w:sz w:val="16"/>
          <w:szCs w:val="16"/>
        </w:rPr>
      </w:pPr>
    </w:p>
    <w:p w14:paraId="3BBF9535"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февраля 1933 г. Гитлер сказал: "Если раньше жизненный уровень народа измерялся протяжённостью железных дорого, то в будущем он будет определяться протяжённостью автомобильных дорог". Гитлер приказал финансировать строительство дорог из средств на страхование по безработице, привлекались и другие источники. Были отданы соответствующие распоряжения, и работа закипела. В июне 1933 г. Гитлер назначил инженера-художника Фрица Тогда "генеральным инспектором дорог". 600 тысяч безработных были заняты по программе строительства автобанов. В обслуживавшей строительство дорог промышленности было занято ещё 200 тысяч человек.</w:t>
      </w:r>
    </w:p>
    <w:p w14:paraId="3FCBF888"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Гитлере была принята программа "народного автомобиля". По поручению Гитлера Лей создал "Общество подготовки к созданию немецкого народного автомобиля (Volkswagens)", руководство которым поручили У. Лафференцу. У Вольфсбурга были построены заводы, на которых и начали производство "Фольксвагенов". Многочисленные мосты по пути протяжения автобанов по приказанию Гитлера строили то в виде римских акведуков, то в виде средневековых крепостных сооружений, то в стиле модернизма. Всё это делалось для того, чтобы путешественники могли наслаждаться красотой ландшафта, воспринимать красоты природы. Поэтому особое значение придавалось расположению и архитектуре многочисленных мостов. Поэтому немецкая сеть автобанов считалась самой красивой в мире. Немецкие автобаны состояли из двух линий прочного дорожного покрытия по 7,5 м шириной. Между ними шла трёхметровая полоса, предназначенная для зелёных насаждений. Каждая линия была разделена на два полотна, справа от каждого из них находилась полоса для стоянки (25312).</w:t>
      </w:r>
    </w:p>
    <w:p w14:paraId="0F0A50ED" w14:textId="77777777" w:rsidR="000B41D6" w:rsidRPr="00142305" w:rsidRDefault="000B41D6" w:rsidP="000B41D6">
      <w:pPr>
        <w:spacing w:after="0" w:line="240" w:lineRule="auto"/>
        <w:jc w:val="both"/>
        <w:rPr>
          <w:rFonts w:ascii="Times New Roman" w:hAnsi="Times New Roman"/>
          <w:color w:val="0070C0"/>
          <w:sz w:val="16"/>
          <w:szCs w:val="16"/>
        </w:rPr>
      </w:pPr>
    </w:p>
    <w:p w14:paraId="3EF230A5"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C40F0F9"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26961C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февраля 1933 состоялось заседание комиссии т. В.М.М. по оборонным титульным спискам:</w:t>
      </w:r>
    </w:p>
    <w:p w14:paraId="6FD95A6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Присутствовали: т.т. К.Е.В., Г.К.О., Межлаук, Уншлихт</w:t>
      </w:r>
    </w:p>
    <w:p w14:paraId="006ECB7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Приглашены: т.т. Гринько, Тухачевский, Каменев, Егоров, Ефимов, Ерман, Воттер, Нейфельд, Хрулев, Кацва, Будняк</w:t>
      </w:r>
    </w:p>
    <w:p w14:paraId="35811D6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Рассмотрели: О титульном списке капитальных работ по военной и авиационной промышленности на 1933 и на 1-й кв. 1933 (2282,2).</w:t>
      </w:r>
    </w:p>
    <w:p w14:paraId="3551CB97"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w:t>
      </w:r>
    </w:p>
    <w:p w14:paraId="1DFC36A0"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Представленной Госпланом проект титульного списка капитальнных работ по военной и авиационной промышленности на 1933 г. и на 1-й кв. 1933 г. -утвердить (см. приложение).</w:t>
      </w:r>
    </w:p>
    <w:p w14:paraId="6FC858A3"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разногласиям между НКТП и Госпланом принять следующее перераспределение средств:</w:t>
      </w:r>
    </w:p>
    <w:p w14:paraId="73FD4E1D"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военной промышленности снять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E10C1" w:rsidRPr="0044524F" w14:paraId="2ADA3F80" w14:textId="77777777">
        <w:tc>
          <w:tcPr>
            <w:tcW w:w="4788" w:type="dxa"/>
            <w:tcBorders>
              <w:top w:val="single" w:sz="12" w:space="0" w:color="auto"/>
            </w:tcBorders>
            <w:shd w:val="clear" w:color="auto" w:fill="FFFFFF"/>
          </w:tcPr>
          <w:p w14:paraId="57AA93C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Н.Сормово </w:t>
            </w:r>
          </w:p>
        </w:tc>
        <w:tc>
          <w:tcPr>
            <w:tcW w:w="4788" w:type="dxa"/>
            <w:tcBorders>
              <w:top w:val="single" w:sz="12" w:space="0" w:color="auto"/>
            </w:tcBorders>
            <w:shd w:val="clear" w:color="auto" w:fill="FFFFFF"/>
          </w:tcPr>
          <w:p w14:paraId="45F388F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- 6 млн.руб.</w:t>
            </w:r>
          </w:p>
        </w:tc>
      </w:tr>
      <w:tr w:rsidR="004E10C1" w:rsidRPr="0044524F" w14:paraId="56FB4707" w14:textId="77777777">
        <w:tc>
          <w:tcPr>
            <w:tcW w:w="4788" w:type="dxa"/>
            <w:shd w:val="clear" w:color="auto" w:fill="FFFFFF"/>
          </w:tcPr>
          <w:p w14:paraId="11C2EE3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Баррикады </w:t>
            </w:r>
          </w:p>
        </w:tc>
        <w:tc>
          <w:tcPr>
            <w:tcW w:w="4788" w:type="dxa"/>
            <w:shd w:val="clear" w:color="auto" w:fill="FFFFFF"/>
          </w:tcPr>
          <w:p w14:paraId="7E38755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- 1,5</w:t>
            </w:r>
          </w:p>
        </w:tc>
      </w:tr>
      <w:tr w:rsidR="004E10C1" w:rsidRPr="0044524F" w14:paraId="2D3A10E3" w14:textId="77777777">
        <w:tc>
          <w:tcPr>
            <w:tcW w:w="4788" w:type="dxa"/>
            <w:shd w:val="clear" w:color="auto" w:fill="FFFFFF"/>
          </w:tcPr>
          <w:p w14:paraId="00E0B41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Большевик</w:t>
            </w:r>
          </w:p>
        </w:tc>
        <w:tc>
          <w:tcPr>
            <w:tcW w:w="4788" w:type="dxa"/>
            <w:shd w:val="clear" w:color="auto" w:fill="FFFFFF"/>
          </w:tcPr>
          <w:p w14:paraId="4769499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 </w:t>
            </w:r>
          </w:p>
        </w:tc>
      </w:tr>
      <w:tr w:rsidR="004E10C1" w:rsidRPr="0044524F" w14:paraId="38B6D6A3" w14:textId="77777777">
        <w:tc>
          <w:tcPr>
            <w:tcW w:w="4788" w:type="dxa"/>
            <w:shd w:val="clear" w:color="auto" w:fill="FFFFFF"/>
          </w:tcPr>
          <w:p w14:paraId="27A6954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Спецмаштреста</w:t>
            </w:r>
          </w:p>
        </w:tc>
        <w:tc>
          <w:tcPr>
            <w:tcW w:w="4788" w:type="dxa"/>
            <w:shd w:val="clear" w:color="auto" w:fill="FFFFFF"/>
          </w:tcPr>
          <w:p w14:paraId="3CB9A33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4C455077" w14:textId="77777777">
        <w:tc>
          <w:tcPr>
            <w:tcW w:w="4788" w:type="dxa"/>
            <w:shd w:val="clear" w:color="auto" w:fill="FFFFFF"/>
          </w:tcPr>
          <w:p w14:paraId="5954EF6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4788" w:type="dxa"/>
            <w:shd w:val="clear" w:color="auto" w:fill="FFFFFF"/>
          </w:tcPr>
          <w:p w14:paraId="2A71012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- 11,5 .млн.,руб.</w:t>
            </w:r>
          </w:p>
        </w:tc>
      </w:tr>
      <w:tr w:rsidR="004E10C1" w:rsidRPr="0044524F" w14:paraId="42DA6301" w14:textId="77777777">
        <w:tc>
          <w:tcPr>
            <w:tcW w:w="4788" w:type="dxa"/>
            <w:shd w:val="clear" w:color="auto" w:fill="FFFFFF"/>
          </w:tcPr>
          <w:p w14:paraId="1A2CBA4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Передать на строительство </w:t>
            </w:r>
          </w:p>
        </w:tc>
        <w:tc>
          <w:tcPr>
            <w:tcW w:w="4788" w:type="dxa"/>
            <w:shd w:val="clear" w:color="auto" w:fill="FFFFFF"/>
          </w:tcPr>
          <w:p w14:paraId="40F2EF7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BC556A8" w14:textId="77777777">
        <w:tc>
          <w:tcPr>
            <w:tcW w:w="4788" w:type="dxa"/>
            <w:shd w:val="clear" w:color="auto" w:fill="FFFFFF"/>
          </w:tcPr>
          <w:p w14:paraId="4F14F9F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Ижевской ТЭЦ </w:t>
            </w:r>
          </w:p>
        </w:tc>
        <w:tc>
          <w:tcPr>
            <w:tcW w:w="4788" w:type="dxa"/>
            <w:shd w:val="clear" w:color="auto" w:fill="FFFFFF"/>
          </w:tcPr>
          <w:p w14:paraId="72C6B2C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- 8 млн.руб.</w:t>
            </w:r>
          </w:p>
        </w:tc>
      </w:tr>
      <w:tr w:rsidR="004E10C1" w:rsidRPr="0044524F" w14:paraId="05FB7F9E" w14:textId="77777777">
        <w:tc>
          <w:tcPr>
            <w:tcW w:w="4788" w:type="dxa"/>
            <w:tcBorders>
              <w:bottom w:val="single" w:sz="12" w:space="0" w:color="auto"/>
            </w:tcBorders>
            <w:shd w:val="clear" w:color="auto" w:fill="FFFFFF"/>
          </w:tcPr>
          <w:p w14:paraId="6C9A474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Челябинского з-да крупнокалиберных сна рядов</w:t>
            </w:r>
          </w:p>
        </w:tc>
        <w:tc>
          <w:tcPr>
            <w:tcW w:w="4788" w:type="dxa"/>
            <w:tcBorders>
              <w:bottom w:val="single" w:sz="12" w:space="0" w:color="auto"/>
            </w:tcBorders>
            <w:shd w:val="clear" w:color="auto" w:fill="FFFFFF"/>
          </w:tcPr>
          <w:p w14:paraId="75ACEC8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- 3,5.</w:t>
            </w:r>
          </w:p>
        </w:tc>
      </w:tr>
    </w:tbl>
    <w:p w14:paraId="1C5B9243"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ГУАП"у</w:t>
      </w:r>
    </w:p>
    <w:p w14:paraId="0006E138"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счет мобилизации внутренних рессурсов авиационной ыншленности выделить дополнительно:. 6.600 тыс.-руб. на строительство завода № 126.</w:t>
      </w:r>
    </w:p>
    <w:p w14:paraId="22FAE2C2"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Принять- к сведению заявление т. Орджоникидзе о том, что, им поручено проработать в 1и 1/5-2-х месячный срок вопрос о возмож</w:t>
      </w:r>
      <w:r w:rsidRPr="0044524F">
        <w:rPr>
          <w:rFonts w:ascii="Times New Roman" w:hAnsi="Times New Roman"/>
          <w:color w:val="000000" w:themeColor="text1"/>
          <w:sz w:val="16"/>
          <w:szCs w:val="16"/>
        </w:rPr>
        <w:softHyphen/>
        <w:t>ности поставить производство авиапоковок.на заводах как гражданской, так и военной промыаленности на имеющемся, оборудовании.</w:t>
      </w:r>
    </w:p>
    <w:p w14:paraId="0DD9F5E9"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это окажется невозможным, НКТяжпроыу представить свои предложения о реконструкциил Ижевского завода с целью пастановки на_нам производства авиапоковок.</w:t>
      </w:r>
    </w:p>
    <w:p w14:paraId="7DBBAD0E"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2.НКТяжпгому и Госплану в 3-х дневный срок представить окончательно уточненный титульный список с указзнием срока окончания строительетва по каждому об"екту в соответствии утвержднными ассигнованиями.</w:t>
      </w:r>
    </w:p>
    <w:p w14:paraId="23EAE1E2"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Обязать НКТП произвести распределение выделенных военной промышшленности материальнкх фондов и оборудования с таким расчетом, чтобы обеспечить скорейшее окончание и ввод в экоплоатацию наибоее развернутых строительством пусковых объектов (2228,2).</w:t>
      </w:r>
    </w:p>
    <w:p w14:paraId="04E84EE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5F26D4E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февраля 1933 года зам. Наркомтяжпрома и начальника Глававиапрома Баранов представил:</w:t>
      </w:r>
    </w:p>
    <w:p w14:paraId="6FC32AA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по опытному строительству моторов и самолетов на 1932 год</w:t>
      </w:r>
    </w:p>
    <w:p w14:paraId="2D47A54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Планом на 1932 год, утвержденным Правительством 4 июля 1932 года, перед опытным строительством ставились первоочередными задачами:</w:t>
      </w:r>
    </w:p>
    <w:p w14:paraId="309D5F01"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истребительных моторов водяного и воздушного охлаждения, характеризуемых малым весом, малыми габаритами, большой мощностью, сохраняемой до большой высоты и малым расходом горючего. Конкретно же имелись ввиду моторы М-38 и М-32.</w:t>
      </w:r>
    </w:p>
    <w:p w14:paraId="20526FA6"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Указанные характеристики необходимы были для создания вполне современных самолетов как истребителей дающих быстрый подъем на большую высоту, хорошую скорость и при мощных огневых средствах боя достаточную продолжительность и радиус действия полета. Объектами намечались И-13 и И-14.</w:t>
      </w:r>
    </w:p>
    <w:p w14:paraId="1591F552"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мощного бензодвигателя (М-44) характеризуемого осуществлением в одном агрегате большой мощности, долженствующего заменить 2-3 мотора существующих мощностей и устанавливаемых на тяжелых бомбовозах.</w:t>
      </w:r>
    </w:p>
    <w:p w14:paraId="1B7CFF3E"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Отсюда непосредственно вытекала задача постройки тяжелого бомбардировщика, использующего несколько мощных агрегатов дающих экономию в весе на винтомоторной группе, улучшение обтекания, простоту эксплуатации – следствием чего улучшение всех качеств самолета.</w:t>
      </w:r>
    </w:p>
    <w:p w14:paraId="2558A6B2"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доводку изготовленного мотора М-34, снабдив его редуктором, нагнетателем и увеличить надежность его работы. Этой задачей преследовалась цель улучшить боевые качества самолетов среднего и тяжелого веса.</w:t>
      </w:r>
    </w:p>
    <w:p w14:paraId="54FFC4D8"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Имея в виду необеспеченность нашей гидроавиации советскими машинами, ставилась задача создания типов морских лодочных самолетов (МК-1, МДР-3).</w:t>
      </w:r>
    </w:p>
    <w:p w14:paraId="732F6590"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нефтяного двигателя типа ДИЗЕЛЬ, как дающего большую надежность, дешевизну эксплуатации, уменьшение авиационного веса, вследствие меньшего удельного расхода горючего.</w:t>
      </w:r>
    </w:p>
    <w:p w14:paraId="7C58300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Над всеми этими задачами, учитывая огромное значение их, опытные организации ГУАПа работали развернутыми силами и несмотря на ряд достижений полностью с ними в установленные сроки не справились.</w:t>
      </w:r>
    </w:p>
    <w:p w14:paraId="5E36AFB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объекты, идущие с опоздание – моторы. Причинами этого послужило то, что в ЦИАМе, как в организации молодой, имеющей сложные и разнохарактерные работы, отличающиеся новизной, не имеющей еще проверенных методов производства, нормирования, учета, создался ряд больших еще трудностей как по производственной, так и оперативно-технической линии. Благодаря недостаточности опыта у молодого инженерно-технического персонала, не всегда находящего быстрое и нужное решение …………….. влекущие за собой перегрузку в цехах, высокий брак. Кроме того, производственная база ЦИАМа при многообразии типов и большого количества объектов, предусматривающих изготовление не только опытных экземпляров, но и снабжение ими выходящих опытных самолетов, оказалась недостаточной.</w:t>
      </w:r>
    </w:p>
    <w:p w14:paraId="7300DEF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это, все моторы предусмотренные планом 1932 года закончены производством и находятся на заводском испытании. Срок и сдача их на госиспытания зависят от степени сложности и серьезности обнаруженных при испытаниях переделок и исправлений.</w:t>
      </w:r>
    </w:p>
    <w:p w14:paraId="0376ACD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касается вопроса выпуска самолетов, то в основном невыполнение установленных сроков заключалось в отсутствии моторов, доведенных до возможности пуска их в эксплуатацию на самолете. Следующей причиной служило позднее установление со стороны УВВС технических требований на тот или иной тип машины, следствием чего являлась необходимость дополнительных работ, а иногда и полная переработка задания.</w:t>
      </w:r>
    </w:p>
    <w:p w14:paraId="7AD2229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дополнение следует отметить, что в течение первого квартала 1932 года ЦАГИ переживал организационный период (слияние с заводом № 39), который не мог не отразиться на темпах его работы этого времени.</w:t>
      </w:r>
    </w:p>
    <w:p w14:paraId="6A864E0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сроки выпуска самолетов еще не выпущенных и связанных с вышеуказанными причинами, должны будут передвинуться на более позднее время.</w:t>
      </w:r>
    </w:p>
    <w:p w14:paraId="3D6B511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работ 1932 года показали, что задачи, поставленные Правительством перед опытным строительством, являются реально осуществимыми и требуют лишь доводки их в 1933 году.</w:t>
      </w:r>
    </w:p>
    <w:p w14:paraId="5913635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работ по задачам можно характеризовать следующим:</w:t>
      </w:r>
    </w:p>
    <w:p w14:paraId="57D77F23"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для истребителей М-38 и М-32 после исправления недочетов, выявленных на предварительных испытаниях, снова поставлены на станок и дали удовлетворительные результаты. М-38Н проработал 80 режимных часов; М-32 РН – 50 часов. Оба дали проектируемую мощность. Намеченный срок госиспытаний для 1-го –июнь, для второго – март 1933 года.</w:t>
      </w:r>
    </w:p>
    <w:p w14:paraId="01353CD5"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Мощный бензодвигатель в 2000 НР (М-44) конструктивной разработкой закончен. Заканчиваются исследовательские работы в лаборатории одноцилиндровой установки. Готовность деталей оценивается в 50%.</w:t>
      </w:r>
    </w:p>
    <w:p w14:paraId="726B660E"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Мотор для самолетов среднего и тяжелого веса (М-34) изготовляется в серии и проходит доводку на самолете. Серийный мотор прошел на полном газу (максимальную мощность) 50 часов беспрерывной работы, тогда как обычно на этом режиме образец испытывается не более 30 минут.</w:t>
      </w:r>
    </w:p>
    <w:p w14:paraId="1D372D8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Тот же тип мотора с редуктором дал хорошие результаты при 46-ти часовом предварительном испытании и сейчас прошел 50-ти часовое испытание и подготавливается к 100 часовому госиспытанию.</w:t>
      </w:r>
    </w:p>
    <w:p w14:paraId="68D9B45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Тот же тип мотора с нагнетателем после внесения изменений поставлен на станок и проходит заводские испытания.</w:t>
      </w:r>
    </w:p>
    <w:p w14:paraId="02E908F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 редуктором и нагнетателем может быть пущен на испытание лишь после окончательной доведенности каждого агрегата (Р и Н) в отдельности.</w:t>
      </w:r>
    </w:p>
    <w:p w14:paraId="410A840A"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нефтяным моторам работы ведутся в ЦИАМе (Н1), в ВНИДИ (Н2) и ОКБ (Н5).</w:t>
      </w:r>
    </w:p>
    <w:p w14:paraId="4B783AF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Плановыми работами на ЦИАМ возложено изготовление двигателя Н-1. К настоящему времени конструированием закончен и в производстве находятся основные трудоемкие детали. Проведены лабораторные испытания одноцилиндровой установки, давшие вполне хорошие результаты. Двигатель в целом может выйти на заводские испытания к маю.</w:t>
      </w:r>
    </w:p>
    <w:p w14:paraId="5E7B039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внеплановом порядке ЦИАМом проводится изготовление деталей для нефтяных двигателей Мартенса (Н2) и ОКБ, с последующим испытанием их.</w:t>
      </w:r>
    </w:p>
    <w:p w14:paraId="3045032F"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выпуску истребителей и тяжелых бомбовозов работы заканчиваются в части многоместного истребителя (МИ-3) и тяжелого бомбардировщика (ТБ-4). Обе машины перейдут на аэродром для подготовки к полетам в феврале. Одноместный истребитель (14) с пушкой проектированием закончен под заграничный мотор и находится в постройке. Выход на аэродром намечен к маю, т.е. запоздает на 1,5-2 месяца.</w:t>
      </w:r>
    </w:p>
    <w:p w14:paraId="6297E15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намечается ряд работ по улучшению и усовершенствованию, по увеличению надежности и качества, по доведению до большого числа часов работы и удобству эксплуатации объектов как уже строящихся, так и переходящих в постройку.</w:t>
      </w:r>
    </w:p>
    <w:p w14:paraId="77AB9F9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указанных выше задач, перед ЦАГИ было поставлено задание создать самолет для рекордного полета на дальность со сроком окончания 1 августа 1932 года.</w:t>
      </w:r>
    </w:p>
    <w:p w14:paraId="0E16426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чрезвычайно большого объема работ как по подготовке самолетов и специальных моторов, та к и по организации всего полета, работа перенесена на 1933 год с началом вылета – в августе-сентябре.</w:t>
      </w:r>
    </w:p>
    <w:p w14:paraId="06FEBF5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изготовляются заводом № 24 специальные моторы, а ЦАГИ проводятся работы по подготовке самолетов и тренировке летсостава.</w:t>
      </w:r>
    </w:p>
    <w:p w14:paraId="75FF367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Отчет по опытному строительству моторов и самолетов за 1932 год (3530,88-90).</w:t>
      </w:r>
    </w:p>
    <w:p w14:paraId="5ADA10A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7ABCEBB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13 февраля 1933 г. началось официальное зачисле</w:t>
      </w:r>
      <w:r w:rsidRPr="0044524F">
        <w:rPr>
          <w:rFonts w:ascii="Times New Roman" w:hAnsi="Times New Roman"/>
          <w:color w:val="000000" w:themeColor="text1"/>
          <w:sz w:val="16"/>
          <w:szCs w:val="16"/>
        </w:rPr>
        <w:softHyphen/>
        <w:t>ние конструкторов в штат ЦКБ. Бригадой № 1 руководил С.А.Кочеригин. Здесь проектировали штур</w:t>
      </w:r>
      <w:r w:rsidRPr="0044524F">
        <w:rPr>
          <w:rFonts w:ascii="Times New Roman" w:hAnsi="Times New Roman"/>
          <w:color w:val="000000" w:themeColor="text1"/>
          <w:sz w:val="16"/>
          <w:szCs w:val="16"/>
        </w:rPr>
        <w:softHyphen/>
        <w:t>мовики и самолеты-разведчики. Н.Н.Поликарпов воз</w:t>
      </w:r>
      <w:r w:rsidRPr="0044524F">
        <w:rPr>
          <w:rFonts w:ascii="Times New Roman" w:hAnsi="Times New Roman"/>
          <w:color w:val="000000" w:themeColor="text1"/>
          <w:sz w:val="16"/>
          <w:szCs w:val="16"/>
        </w:rPr>
        <w:softHyphen/>
        <w:t>главил бригаду № 2. Основным направлением ее дея</w:t>
      </w:r>
      <w:r w:rsidRPr="0044524F">
        <w:rPr>
          <w:rFonts w:ascii="Times New Roman" w:hAnsi="Times New Roman"/>
          <w:color w:val="000000" w:themeColor="text1"/>
          <w:sz w:val="16"/>
          <w:szCs w:val="16"/>
        </w:rPr>
        <w:softHyphen/>
        <w:t>тельности были истребители. Бригада № 3 первоначаль</w:t>
      </w:r>
      <w:r w:rsidRPr="0044524F">
        <w:rPr>
          <w:rFonts w:ascii="Times New Roman" w:hAnsi="Times New Roman"/>
          <w:color w:val="000000" w:themeColor="text1"/>
          <w:sz w:val="16"/>
          <w:szCs w:val="16"/>
        </w:rPr>
        <w:softHyphen/>
        <w:t>но занималась созданием экспериментальных конструк</w:t>
      </w:r>
      <w:r w:rsidRPr="0044524F">
        <w:rPr>
          <w:rFonts w:ascii="Times New Roman" w:hAnsi="Times New Roman"/>
          <w:color w:val="000000" w:themeColor="text1"/>
          <w:sz w:val="16"/>
          <w:szCs w:val="16"/>
        </w:rPr>
        <w:softHyphen/>
        <w:t>ций. Ее работой руководил В.А.Чижевский. Через некоторое время группа Чижевского перебазировалась на Смоленский завод, а переформированная бригада под руководством С.В.Ильюшина стала строить дальние бомбардировщики. Бригада № 4 во главе с Я.И.Мальце</w:t>
      </w:r>
      <w:r w:rsidRPr="0044524F">
        <w:rPr>
          <w:rFonts w:ascii="Times New Roman" w:hAnsi="Times New Roman"/>
          <w:color w:val="000000" w:themeColor="text1"/>
          <w:sz w:val="16"/>
          <w:szCs w:val="16"/>
        </w:rPr>
        <w:softHyphen/>
        <w:t>вым проектировала вооружение. Бригада № 5 под руко</w:t>
      </w:r>
      <w:r w:rsidRPr="0044524F">
        <w:rPr>
          <w:rFonts w:ascii="Times New Roman" w:hAnsi="Times New Roman"/>
          <w:color w:val="000000" w:themeColor="text1"/>
          <w:sz w:val="16"/>
          <w:szCs w:val="16"/>
        </w:rPr>
        <w:softHyphen/>
        <w:t>водством Г.М.Бериева создавала морские самолеты. Бригада № 6 (начальник П.М.Крейсон) занималась ста</w:t>
      </w:r>
      <w:r w:rsidRPr="0044524F">
        <w:rPr>
          <w:rFonts w:ascii="Times New Roman" w:hAnsi="Times New Roman"/>
          <w:color w:val="000000" w:themeColor="text1"/>
          <w:sz w:val="16"/>
          <w:szCs w:val="16"/>
        </w:rPr>
        <w:softHyphen/>
        <w:t>тическими испытаниями (10667).</w:t>
      </w:r>
    </w:p>
    <w:p w14:paraId="3CACD08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1A711E8D" w14:textId="77777777" w:rsidR="008C481E" w:rsidRPr="0044524F" w:rsidRDefault="008C4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13 февраля 1933 г. началось официальное зачисление конструкторов в штат ЦКБ.</w:t>
      </w:r>
    </w:p>
    <w:p w14:paraId="00ADB72E" w14:textId="77777777" w:rsidR="008C481E" w:rsidRPr="0044524F" w:rsidRDefault="008C4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Ильюшин разделил коллектив ЦКБ на шесть бригад.</w:t>
      </w:r>
    </w:p>
    <w:p w14:paraId="23591CC8" w14:textId="77777777" w:rsidR="008C481E" w:rsidRPr="0044524F" w:rsidRDefault="008C4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Бригадой №1 руководил С.А. Кочеригин. Здесь проектировали штурмовики и самолеты-разведчики.</w:t>
      </w:r>
    </w:p>
    <w:p w14:paraId="2CB1D98F" w14:textId="77777777" w:rsidR="008C481E" w:rsidRPr="0044524F" w:rsidRDefault="008C4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Н.Н. Поликарпов возглавил бригаду №2. Основное на</w:t>
      </w:r>
      <w:r w:rsidRPr="0044524F">
        <w:rPr>
          <w:rFonts w:ascii="Times New Roman" w:hAnsi="Times New Roman"/>
          <w:color w:val="000000" w:themeColor="text1"/>
          <w:sz w:val="16"/>
          <w:szCs w:val="16"/>
        </w:rPr>
        <w:softHyphen/>
        <w:t>правление ее деятельности - истребители.</w:t>
      </w:r>
    </w:p>
    <w:p w14:paraId="3DF40B11" w14:textId="77777777" w:rsidR="008C481E" w:rsidRPr="0044524F" w:rsidRDefault="008C4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Бригада №3 первоначально занималась созданием экспериментальных конструкций. Ее работой руководил В.А. Чижевский. Через некоторое время группа Чижевского была перебазирована на Смоленский завод, а переформи</w:t>
      </w:r>
      <w:r w:rsidRPr="0044524F">
        <w:rPr>
          <w:rFonts w:ascii="Times New Roman" w:hAnsi="Times New Roman"/>
          <w:color w:val="000000" w:themeColor="text1"/>
          <w:sz w:val="16"/>
          <w:szCs w:val="16"/>
        </w:rPr>
        <w:softHyphen/>
        <w:t>рованная бригада под руководством С.В. Ильюшина стала строить дальние бомбардировщики.</w:t>
      </w:r>
    </w:p>
    <w:p w14:paraId="565971A4" w14:textId="77777777" w:rsidR="008C481E" w:rsidRPr="0044524F" w:rsidRDefault="008C4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Бригада №4 во главе с Я.И. Мальцевым проектировала вооружение.</w:t>
      </w:r>
    </w:p>
    <w:p w14:paraId="4069764C" w14:textId="77777777" w:rsidR="008C481E" w:rsidRPr="0044524F" w:rsidRDefault="008C4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Бригада №5 под руководством Г.М. Бериева создавала морские самолеты.</w:t>
      </w:r>
    </w:p>
    <w:p w14:paraId="28EC13A8" w14:textId="77777777" w:rsidR="008C481E" w:rsidRPr="0044524F" w:rsidRDefault="008C4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Бригада №6 (начальник П.М. Крейсон) занималась стати</w:t>
      </w:r>
      <w:r w:rsidRPr="0044524F">
        <w:rPr>
          <w:rFonts w:ascii="Times New Roman" w:hAnsi="Times New Roman"/>
          <w:color w:val="000000" w:themeColor="text1"/>
          <w:sz w:val="16"/>
          <w:szCs w:val="16"/>
        </w:rPr>
        <w:softHyphen/>
        <w:t>ческими испытаниями.</w:t>
      </w:r>
    </w:p>
    <w:p w14:paraId="03BAE9E7" w14:textId="77777777" w:rsidR="008C481E" w:rsidRPr="0044524F" w:rsidRDefault="008C4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15 февраля 1933 г. все бригады начали работать по плану над заданиями (23455).</w:t>
      </w:r>
    </w:p>
    <w:p w14:paraId="34ABFC8A" w14:textId="77777777" w:rsidR="008C481E" w:rsidRPr="0044524F" w:rsidRDefault="008C481E" w:rsidP="009654CF">
      <w:pPr>
        <w:spacing w:after="0" w:line="240" w:lineRule="auto"/>
        <w:jc w:val="both"/>
        <w:rPr>
          <w:rFonts w:ascii="Times New Roman" w:hAnsi="Times New Roman"/>
          <w:color w:val="000000" w:themeColor="text1"/>
          <w:sz w:val="16"/>
          <w:szCs w:val="16"/>
        </w:rPr>
      </w:pPr>
    </w:p>
    <w:p w14:paraId="560CA7D7"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13 февраля 1933 г. началось официальное зачисление конструкторов в штат организации.</w:t>
      </w:r>
    </w:p>
    <w:p w14:paraId="3E8FC2A4" w14:textId="077AB1C4"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«Большое внимание при приеме новых сотрудников Николай Николаевич уделял волевым и моральным качествам человека. Он оценивал их даже выше, чем знания техники»,</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 рассказывал В. И. Тарасов.</w:t>
      </w:r>
    </w:p>
    <w:p w14:paraId="2C2AD7C2"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ЦАГИ в бригаду Поликарпова перешли Л. П. Коротков, В. И. Тарасов, Д. Л. Томашевич, А. Г. Тростянский, из сотрудников, работавших в 20-х гг., — В. Д. Яровицкий. Выдающийся специалист по прочности авиационных конструкций В. Д. Яровицкий много сделал для становления КБ (25035).</w:t>
      </w:r>
    </w:p>
    <w:p w14:paraId="02A40093" w14:textId="77777777" w:rsidR="000B41D6" w:rsidRPr="00142305" w:rsidRDefault="000B41D6" w:rsidP="000B41D6">
      <w:pPr>
        <w:spacing w:after="0" w:line="240" w:lineRule="auto"/>
        <w:jc w:val="both"/>
        <w:rPr>
          <w:rFonts w:ascii="Times New Roman" w:hAnsi="Times New Roman"/>
          <w:color w:val="0070C0"/>
          <w:sz w:val="16"/>
          <w:szCs w:val="16"/>
        </w:rPr>
      </w:pPr>
    </w:p>
    <w:p w14:paraId="4CC7E81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февраля 1933 арестовали К.К.Арцеулова, которого за три дня до этого представили к званию заслуженного летчика СССР (357,97). Сослали в Архангельск (1847,13).</w:t>
      </w:r>
    </w:p>
    <w:p w14:paraId="2C1E89A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2A947FDA" w14:textId="77777777" w:rsidR="00426D01" w:rsidRPr="0044524F" w:rsidRDefault="00426D01"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DF9850C" w14:textId="77777777" w:rsidR="00426D01" w:rsidRPr="0044524F" w:rsidRDefault="00426D0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871CF57" w14:textId="77777777" w:rsidR="00067174" w:rsidRPr="0044524F" w:rsidRDefault="0006717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февраля 1933 года председатель комиссии докладывал Начальнику ВМС РККА о результатах работы в Германии и ряде европейских стран: «Осмотрена ―испанская‖ подводная лодка в Картахене (Испания), строившаяся по чертежам немецкой фирмы ―I v S. Посетили конструкторское бюро фирмы ―I v S в Гааге, где в течение 2-х дней знакомились с чертежами ―испанской‖ подводной лодки. Осмотрены в Испании: подводные лодки, 2 крейсера, кораблестроительные заводы в Картахене, Ферроле, Бильбао и сталелитейный в Рейнозе. Осмотрены заводы: дизельный фирмы ―M.A.N. в Аугсбурге, аккумуляторный фирмы ―А.Ф.А. в Гагене, электротехнический фирмы ―Симменс-Шуккерт. Проведены переговоры и согласованы в технической части проекты договоров с фирмой ―I v S о технической помощи по проектированию и постройке в СССР 2-х типов подводных лодок (в 755 и 1.200 тонн водоизмещения). Начаты предварительные переговоры о приобретении дизелей с фирмой ―M.A.N., аккумуляторов с фирмой ―АФА и электродвигателей с фирмой ―Симменс-Шуккерт. Проведены переговоры с профессором Фламмом об условиях, на которых он согласен прочесть в СССР курс лекций по подводному судостроению» [3, д. 165, л. 220].</w:t>
      </w:r>
    </w:p>
    <w:p w14:paraId="112BF601" w14:textId="77777777" w:rsidR="00067174" w:rsidRPr="0044524F" w:rsidRDefault="0006717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итоге делегация рекомендовала принятие проекта подводной лодки водоизмещением 700 тонн на базе «испанской» «E-1», переделанной под советское вооружение и механизмы. Такое решение объяснялось существенной экономией времени: фирме «I v S» требовалось всего четыре недели для разработки эскизного проекта и ещѐ 15 дней для выдачи строительных чертежей (18262).</w:t>
      </w:r>
    </w:p>
    <w:p w14:paraId="5E893D15" w14:textId="77777777" w:rsidR="00067174" w:rsidRPr="0044524F" w:rsidRDefault="00067174" w:rsidP="009654CF">
      <w:pPr>
        <w:spacing w:after="0" w:line="240" w:lineRule="auto"/>
        <w:jc w:val="both"/>
        <w:rPr>
          <w:rFonts w:ascii="Times New Roman" w:hAnsi="Times New Roman"/>
          <w:color w:val="000000" w:themeColor="text1"/>
          <w:sz w:val="16"/>
          <w:szCs w:val="16"/>
        </w:rPr>
      </w:pPr>
    </w:p>
    <w:p w14:paraId="51F93BB9" w14:textId="77777777" w:rsidR="004014A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1751407" w14:textId="77777777" w:rsidR="004014A7" w:rsidRPr="0044524F" w:rsidRDefault="004014A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38E38FE" w14:textId="77777777" w:rsidR="004014A7" w:rsidRPr="0044524F" w:rsidRDefault="004014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13 февраля</w:t>
      </w:r>
      <w:r w:rsidRPr="0044524F">
        <w:rPr>
          <w:rFonts w:ascii="Times New Roman" w:hAnsi="Times New Roman"/>
          <w:color w:val="000000" w:themeColor="text1"/>
          <w:sz w:val="16"/>
          <w:szCs w:val="16"/>
        </w:rPr>
        <w:t xml:space="preserve"> в 1933 году полетел первый опытный «Do.13», дальнейшее развитие тяжелого бомбардировщика /war-arms.ru/aviaciya_germanii/bombardirovschiki_dornier_do_23" target="_blank&gt; «Do.23». С конструктивной точки зрения «Do.23» почти не отличался от «Do 11» и «Do 13» (15039).</w:t>
      </w:r>
    </w:p>
    <w:p w14:paraId="622D4A0E" w14:textId="77777777" w:rsidR="004014A7" w:rsidRPr="0044524F" w:rsidRDefault="004014A7" w:rsidP="009654CF">
      <w:pPr>
        <w:spacing w:after="0" w:line="240" w:lineRule="auto"/>
        <w:jc w:val="both"/>
        <w:rPr>
          <w:rFonts w:ascii="Times New Roman" w:hAnsi="Times New Roman"/>
          <w:color w:val="000000" w:themeColor="text1"/>
          <w:sz w:val="16"/>
          <w:szCs w:val="16"/>
        </w:rPr>
      </w:pPr>
    </w:p>
    <w:p w14:paraId="3D08DC16" w14:textId="77777777" w:rsidR="00B07C66" w:rsidRPr="0044524F" w:rsidRDefault="00B07C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февраля 1933 - Полетел первый опытный Do.13, дальнейшее развитие тяжелого бомбардировщика Do.11. Летные испытания показали слабость конструкции и опасную неустойчивость с вибрацией крыла, уже знакомую по Do.11. На следующих двух опытных самолетах - Do.13b и Do.13с были внесены необходимые изменения. Последний получил вместо двигателей Sh-22b2 новый 12-цилиндровый двигатель жидкостного охлаждения ВМW-VI мощностью 750лс в течении одной минуты на взлетном режиме и 500лс на номинале. Опытный самолет с двигателями ВМW и переделками по типу Do.11d показал значительно лучшие данные. В результате комиссариат перевел заказ 222 Do.11 на Do.13c - серийную версию с двигателем BMW. Первый Do.13c был поставлен в конце осени, но через несколько недель самолет был потерян из-за поломки конструкции. В результате на полеты оставшихся Do.13c были наложены жесткие ограничения. Производство было приостановлено, пока вся конструкция не была вновь пересчитана. Когда бомбардировщик вновь стал сходить со сборочной линии Фридрихсгафена, он по чисто психологическим причинам получил обозначение Do.23. С конструктивной точки зрения Do 23 почти не отличался от Do 11 и Do 13 (22599).</w:t>
      </w:r>
    </w:p>
    <w:p w14:paraId="17F007DE" w14:textId="77777777" w:rsidR="00B07C66" w:rsidRPr="0044524F" w:rsidRDefault="00B07C66" w:rsidP="009654CF">
      <w:pPr>
        <w:spacing w:after="0" w:line="240" w:lineRule="auto"/>
        <w:jc w:val="both"/>
        <w:rPr>
          <w:rFonts w:ascii="Times New Roman" w:hAnsi="Times New Roman"/>
          <w:color w:val="000000" w:themeColor="text1"/>
          <w:sz w:val="16"/>
          <w:szCs w:val="16"/>
        </w:rPr>
      </w:pPr>
    </w:p>
    <w:p w14:paraId="7E7ED67F"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2F7B70D"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43663B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февраля 1933 года начальник ПТЭС Зильберквит писал письмо N 143/41.</w:t>
      </w:r>
    </w:p>
    <w:p w14:paraId="459D005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работ по самолетостроительному тресту и зав. N 39 и ХАЗОС.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39"/>
        <w:gridCol w:w="2146"/>
        <w:gridCol w:w="992"/>
        <w:gridCol w:w="784"/>
        <w:gridCol w:w="784"/>
        <w:gridCol w:w="784"/>
        <w:gridCol w:w="4027"/>
      </w:tblGrid>
      <w:tr w:rsidR="004E10C1" w:rsidRPr="0044524F" w14:paraId="07C1F01E" w14:textId="77777777">
        <w:tc>
          <w:tcPr>
            <w:tcW w:w="939" w:type="dxa"/>
          </w:tcPr>
          <w:p w14:paraId="332393D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NN</w:t>
            </w:r>
          </w:p>
        </w:tc>
        <w:tc>
          <w:tcPr>
            <w:tcW w:w="2146" w:type="dxa"/>
          </w:tcPr>
          <w:p w14:paraId="76EAEDA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изделия</w:t>
            </w:r>
          </w:p>
        </w:tc>
        <w:tc>
          <w:tcPr>
            <w:tcW w:w="992" w:type="dxa"/>
          </w:tcPr>
          <w:p w14:paraId="2DABFE0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Годовая</w:t>
            </w:r>
          </w:p>
        </w:tc>
        <w:tc>
          <w:tcPr>
            <w:tcW w:w="784" w:type="dxa"/>
          </w:tcPr>
          <w:p w14:paraId="3A3C3A3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кварталам</w:t>
            </w:r>
          </w:p>
        </w:tc>
        <w:tc>
          <w:tcPr>
            <w:tcW w:w="784" w:type="dxa"/>
          </w:tcPr>
          <w:p w14:paraId="33921F4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84" w:type="dxa"/>
          </w:tcPr>
          <w:p w14:paraId="07C5E13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027" w:type="dxa"/>
          </w:tcPr>
          <w:p w14:paraId="4D5D1A2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4134AF8" w14:textId="77777777">
        <w:tc>
          <w:tcPr>
            <w:tcW w:w="939" w:type="dxa"/>
          </w:tcPr>
          <w:p w14:paraId="3625521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w:t>
            </w:r>
          </w:p>
        </w:tc>
        <w:tc>
          <w:tcPr>
            <w:tcW w:w="2146" w:type="dxa"/>
          </w:tcPr>
          <w:p w14:paraId="50CC0A9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BFE7F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w:t>
            </w:r>
          </w:p>
        </w:tc>
        <w:tc>
          <w:tcPr>
            <w:tcW w:w="784" w:type="dxa"/>
          </w:tcPr>
          <w:p w14:paraId="63332B7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84" w:type="dxa"/>
          </w:tcPr>
          <w:p w14:paraId="3D17B00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784" w:type="dxa"/>
          </w:tcPr>
          <w:p w14:paraId="50C7D12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4027" w:type="dxa"/>
          </w:tcPr>
          <w:p w14:paraId="1CB0C21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r>
      <w:tr w:rsidR="004E10C1" w:rsidRPr="0044524F" w14:paraId="2D7C3BA0" w14:textId="77777777">
        <w:tc>
          <w:tcPr>
            <w:tcW w:w="939" w:type="dxa"/>
          </w:tcPr>
          <w:p w14:paraId="332FD8A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w:t>
            </w:r>
          </w:p>
        </w:tc>
        <w:tc>
          <w:tcPr>
            <w:tcW w:w="2146" w:type="dxa"/>
          </w:tcPr>
          <w:p w14:paraId="4D980A6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CD351E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784" w:type="dxa"/>
          </w:tcPr>
          <w:p w14:paraId="31F8FD6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84" w:type="dxa"/>
          </w:tcPr>
          <w:p w14:paraId="381D478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84" w:type="dxa"/>
          </w:tcPr>
          <w:p w14:paraId="564D14D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027" w:type="dxa"/>
          </w:tcPr>
          <w:p w14:paraId="6624D13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0B7795A" w14:textId="77777777">
        <w:tc>
          <w:tcPr>
            <w:tcW w:w="939" w:type="dxa"/>
          </w:tcPr>
          <w:p w14:paraId="1208258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5D94223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М-17</w:t>
            </w:r>
          </w:p>
        </w:tc>
        <w:tc>
          <w:tcPr>
            <w:tcW w:w="992" w:type="dxa"/>
          </w:tcPr>
          <w:p w14:paraId="16F1ECC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784" w:type="dxa"/>
          </w:tcPr>
          <w:p w14:paraId="5A1562B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w:t>
            </w:r>
          </w:p>
        </w:tc>
        <w:tc>
          <w:tcPr>
            <w:tcW w:w="784" w:type="dxa"/>
          </w:tcPr>
          <w:p w14:paraId="0179BB5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w:t>
            </w:r>
          </w:p>
        </w:tc>
        <w:tc>
          <w:tcPr>
            <w:tcW w:w="784" w:type="dxa"/>
          </w:tcPr>
          <w:p w14:paraId="3614A17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510</w:t>
            </w:r>
          </w:p>
        </w:tc>
        <w:tc>
          <w:tcPr>
            <w:tcW w:w="4027" w:type="dxa"/>
          </w:tcPr>
          <w:p w14:paraId="508245A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w:t>
            </w:r>
          </w:p>
        </w:tc>
      </w:tr>
      <w:tr w:rsidR="004E10C1" w:rsidRPr="0044524F" w14:paraId="2AF7C6A6" w14:textId="77777777">
        <w:tc>
          <w:tcPr>
            <w:tcW w:w="939" w:type="dxa"/>
          </w:tcPr>
          <w:p w14:paraId="09B74F6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586F11B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МР5 М17</w:t>
            </w:r>
          </w:p>
        </w:tc>
        <w:tc>
          <w:tcPr>
            <w:tcW w:w="992" w:type="dxa"/>
          </w:tcPr>
          <w:p w14:paraId="380782C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784" w:type="dxa"/>
          </w:tcPr>
          <w:p w14:paraId="133007D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34A8D7B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784" w:type="dxa"/>
          </w:tcPr>
          <w:p w14:paraId="4C6915F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027" w:type="dxa"/>
          </w:tcPr>
          <w:p w14:paraId="767CC0A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688AA75" w14:textId="77777777">
        <w:tc>
          <w:tcPr>
            <w:tcW w:w="939" w:type="dxa"/>
          </w:tcPr>
          <w:p w14:paraId="7E8C8B1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70C0174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992" w:type="dxa"/>
          </w:tcPr>
          <w:p w14:paraId="144A658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784" w:type="dxa"/>
          </w:tcPr>
          <w:p w14:paraId="05249D7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784" w:type="dxa"/>
          </w:tcPr>
          <w:p w14:paraId="68B9C06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784" w:type="dxa"/>
          </w:tcPr>
          <w:p w14:paraId="39166DD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4027" w:type="dxa"/>
          </w:tcPr>
          <w:p w14:paraId="2C8146D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r>
      <w:tr w:rsidR="004E10C1" w:rsidRPr="0044524F" w14:paraId="7AA06962" w14:textId="77777777">
        <w:tc>
          <w:tcPr>
            <w:tcW w:w="939" w:type="dxa"/>
          </w:tcPr>
          <w:p w14:paraId="7400355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2146" w:type="dxa"/>
          </w:tcPr>
          <w:p w14:paraId="470B986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4М-34</w:t>
            </w:r>
          </w:p>
        </w:tc>
        <w:tc>
          <w:tcPr>
            <w:tcW w:w="992" w:type="dxa"/>
          </w:tcPr>
          <w:p w14:paraId="22E3B2F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784" w:type="dxa"/>
          </w:tcPr>
          <w:p w14:paraId="1455830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2F8F659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2B398D2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027" w:type="dxa"/>
          </w:tcPr>
          <w:p w14:paraId="59E9D51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r>
      <w:tr w:rsidR="004E10C1" w:rsidRPr="0044524F" w14:paraId="06AE84F9" w14:textId="77777777">
        <w:tc>
          <w:tcPr>
            <w:tcW w:w="939" w:type="dxa"/>
          </w:tcPr>
          <w:p w14:paraId="76F7BDD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193C1C2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4М-17</w:t>
            </w:r>
          </w:p>
        </w:tc>
        <w:tc>
          <w:tcPr>
            <w:tcW w:w="992" w:type="dxa"/>
          </w:tcPr>
          <w:p w14:paraId="3211060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784" w:type="dxa"/>
          </w:tcPr>
          <w:p w14:paraId="5220BF5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4D59380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72C86DE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4027" w:type="dxa"/>
          </w:tcPr>
          <w:p w14:paraId="0E2D9B6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3E3D2EC4" w14:textId="77777777">
        <w:tc>
          <w:tcPr>
            <w:tcW w:w="939" w:type="dxa"/>
          </w:tcPr>
          <w:p w14:paraId="703008C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146" w:type="dxa"/>
          </w:tcPr>
          <w:p w14:paraId="7DCE206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4М-17</w:t>
            </w:r>
          </w:p>
        </w:tc>
        <w:tc>
          <w:tcPr>
            <w:tcW w:w="992" w:type="dxa"/>
          </w:tcPr>
          <w:p w14:paraId="67BDBC0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784" w:type="dxa"/>
          </w:tcPr>
          <w:p w14:paraId="74E228D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784" w:type="dxa"/>
          </w:tcPr>
          <w:p w14:paraId="2345759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784" w:type="dxa"/>
          </w:tcPr>
          <w:p w14:paraId="3ABD897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027" w:type="dxa"/>
          </w:tcPr>
          <w:p w14:paraId="144F38A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E3E4C9D" w14:textId="77777777">
        <w:tc>
          <w:tcPr>
            <w:tcW w:w="939" w:type="dxa"/>
          </w:tcPr>
          <w:p w14:paraId="4C37F5B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19DA1F2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4М-34</w:t>
            </w:r>
          </w:p>
        </w:tc>
        <w:tc>
          <w:tcPr>
            <w:tcW w:w="992" w:type="dxa"/>
          </w:tcPr>
          <w:p w14:paraId="5FEA2BC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784" w:type="dxa"/>
          </w:tcPr>
          <w:p w14:paraId="359E60D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17F6C38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70B798D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tc>
        <w:tc>
          <w:tcPr>
            <w:tcW w:w="4027" w:type="dxa"/>
          </w:tcPr>
          <w:p w14:paraId="4E701E1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r w:rsidR="004E10C1" w:rsidRPr="0044524F" w14:paraId="1EAE3B9A" w14:textId="77777777">
        <w:tc>
          <w:tcPr>
            <w:tcW w:w="939" w:type="dxa"/>
          </w:tcPr>
          <w:p w14:paraId="770E061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700C7F2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6М-34</w:t>
            </w:r>
          </w:p>
        </w:tc>
        <w:tc>
          <w:tcPr>
            <w:tcW w:w="992" w:type="dxa"/>
          </w:tcPr>
          <w:p w14:paraId="2A76596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784" w:type="dxa"/>
          </w:tcPr>
          <w:p w14:paraId="194F94D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1D0EA5B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55F86FF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027" w:type="dxa"/>
          </w:tcPr>
          <w:p w14:paraId="36EC34B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7993FA50" w14:textId="77777777">
        <w:tc>
          <w:tcPr>
            <w:tcW w:w="939" w:type="dxa"/>
          </w:tcPr>
          <w:p w14:paraId="1D31397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0477799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МК3 2М-34</w:t>
            </w:r>
          </w:p>
        </w:tc>
        <w:tc>
          <w:tcPr>
            <w:tcW w:w="992" w:type="dxa"/>
          </w:tcPr>
          <w:p w14:paraId="7680F92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784" w:type="dxa"/>
          </w:tcPr>
          <w:p w14:paraId="4CE4840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75A9AF1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09AE3E0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027" w:type="dxa"/>
          </w:tcPr>
          <w:p w14:paraId="7C8E490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r>
      <w:tr w:rsidR="004E10C1" w:rsidRPr="0044524F" w14:paraId="47AC8A22" w14:textId="77777777">
        <w:tc>
          <w:tcPr>
            <w:tcW w:w="939" w:type="dxa"/>
          </w:tcPr>
          <w:p w14:paraId="3CF6C39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2146" w:type="dxa"/>
          </w:tcPr>
          <w:p w14:paraId="61B9C99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М-22</w:t>
            </w:r>
          </w:p>
        </w:tc>
        <w:tc>
          <w:tcPr>
            <w:tcW w:w="992" w:type="dxa"/>
          </w:tcPr>
          <w:p w14:paraId="2F78D63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784" w:type="dxa"/>
          </w:tcPr>
          <w:p w14:paraId="49BDF23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784" w:type="dxa"/>
          </w:tcPr>
          <w:p w14:paraId="1700F3D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784" w:type="dxa"/>
          </w:tcPr>
          <w:p w14:paraId="1A97D8E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4027" w:type="dxa"/>
          </w:tcPr>
          <w:p w14:paraId="4E69B0B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r>
      <w:tr w:rsidR="004E10C1" w:rsidRPr="0044524F" w14:paraId="466A5296" w14:textId="77777777">
        <w:tc>
          <w:tcPr>
            <w:tcW w:w="939" w:type="dxa"/>
          </w:tcPr>
          <w:p w14:paraId="413C22A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2146" w:type="dxa"/>
          </w:tcPr>
          <w:p w14:paraId="3B0A348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 М-11</w:t>
            </w:r>
          </w:p>
        </w:tc>
        <w:tc>
          <w:tcPr>
            <w:tcW w:w="992" w:type="dxa"/>
          </w:tcPr>
          <w:p w14:paraId="118D693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1380</w:t>
            </w:r>
          </w:p>
        </w:tc>
        <w:tc>
          <w:tcPr>
            <w:tcW w:w="784" w:type="dxa"/>
          </w:tcPr>
          <w:p w14:paraId="790B5FB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w:t>
            </w:r>
          </w:p>
        </w:tc>
        <w:tc>
          <w:tcPr>
            <w:tcW w:w="784" w:type="dxa"/>
          </w:tcPr>
          <w:p w14:paraId="4462DFE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w:t>
            </w:r>
          </w:p>
        </w:tc>
        <w:tc>
          <w:tcPr>
            <w:tcW w:w="784" w:type="dxa"/>
          </w:tcPr>
          <w:p w14:paraId="2035135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4027" w:type="dxa"/>
          </w:tcPr>
          <w:p w14:paraId="2F32AED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420</w:t>
            </w:r>
          </w:p>
        </w:tc>
      </w:tr>
      <w:tr w:rsidR="004E10C1" w:rsidRPr="0044524F" w14:paraId="00A5EDD2" w14:textId="77777777">
        <w:tc>
          <w:tcPr>
            <w:tcW w:w="939" w:type="dxa"/>
          </w:tcPr>
          <w:p w14:paraId="77EF0E3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2901705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М-11</w:t>
            </w:r>
          </w:p>
        </w:tc>
        <w:tc>
          <w:tcPr>
            <w:tcW w:w="992" w:type="dxa"/>
          </w:tcPr>
          <w:p w14:paraId="3740303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784" w:type="dxa"/>
          </w:tcPr>
          <w:p w14:paraId="3485BF8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784" w:type="dxa"/>
          </w:tcPr>
          <w:p w14:paraId="0A11CEA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6831950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027" w:type="dxa"/>
          </w:tcPr>
          <w:p w14:paraId="512E84B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F506201" w14:textId="77777777">
        <w:tc>
          <w:tcPr>
            <w:tcW w:w="939" w:type="dxa"/>
          </w:tcPr>
          <w:p w14:paraId="78A1518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2146" w:type="dxa"/>
          </w:tcPr>
          <w:p w14:paraId="5FC08EE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 АССО</w:t>
            </w:r>
          </w:p>
        </w:tc>
        <w:tc>
          <w:tcPr>
            <w:tcW w:w="992" w:type="dxa"/>
          </w:tcPr>
          <w:p w14:paraId="79369BB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784" w:type="dxa"/>
          </w:tcPr>
          <w:p w14:paraId="3F00A1F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784" w:type="dxa"/>
          </w:tcPr>
          <w:p w14:paraId="1653069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784" w:type="dxa"/>
          </w:tcPr>
          <w:p w14:paraId="0A313BC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027" w:type="dxa"/>
          </w:tcPr>
          <w:p w14:paraId="1DCF287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FC5C845" w14:textId="77777777">
        <w:tc>
          <w:tcPr>
            <w:tcW w:w="939" w:type="dxa"/>
          </w:tcPr>
          <w:p w14:paraId="39CC951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7881175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 М-34</w:t>
            </w:r>
          </w:p>
        </w:tc>
        <w:tc>
          <w:tcPr>
            <w:tcW w:w="992" w:type="dxa"/>
          </w:tcPr>
          <w:p w14:paraId="0B69E32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784" w:type="dxa"/>
          </w:tcPr>
          <w:p w14:paraId="783B90E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2032C9E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784" w:type="dxa"/>
          </w:tcPr>
          <w:p w14:paraId="57798B6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4027" w:type="dxa"/>
          </w:tcPr>
          <w:p w14:paraId="6CE59D0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40361B97" w14:textId="77777777">
        <w:tc>
          <w:tcPr>
            <w:tcW w:w="939" w:type="dxa"/>
          </w:tcPr>
          <w:p w14:paraId="21A0D7D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3285CFC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М17</w:t>
            </w:r>
          </w:p>
        </w:tc>
        <w:tc>
          <w:tcPr>
            <w:tcW w:w="992" w:type="dxa"/>
          </w:tcPr>
          <w:p w14:paraId="5280588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784" w:type="dxa"/>
          </w:tcPr>
          <w:p w14:paraId="20D2554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784" w:type="dxa"/>
          </w:tcPr>
          <w:p w14:paraId="401EF4F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784" w:type="dxa"/>
          </w:tcPr>
          <w:p w14:paraId="7EA77B1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4027" w:type="dxa"/>
          </w:tcPr>
          <w:p w14:paraId="7A2A34B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r>
      <w:tr w:rsidR="004E10C1" w:rsidRPr="0044524F" w14:paraId="0A517B81" w14:textId="77777777">
        <w:tc>
          <w:tcPr>
            <w:tcW w:w="939" w:type="dxa"/>
          </w:tcPr>
          <w:p w14:paraId="76CD3D1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3AAE191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 2М17</w:t>
            </w:r>
          </w:p>
        </w:tc>
        <w:tc>
          <w:tcPr>
            <w:tcW w:w="992" w:type="dxa"/>
          </w:tcPr>
          <w:p w14:paraId="4404562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784" w:type="dxa"/>
          </w:tcPr>
          <w:p w14:paraId="7569D9C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84" w:type="dxa"/>
          </w:tcPr>
          <w:p w14:paraId="78D394C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784" w:type="dxa"/>
          </w:tcPr>
          <w:p w14:paraId="68009EF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4027" w:type="dxa"/>
          </w:tcPr>
          <w:p w14:paraId="7AE04F5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036C33F9" w14:textId="77777777">
        <w:tc>
          <w:tcPr>
            <w:tcW w:w="939" w:type="dxa"/>
          </w:tcPr>
          <w:p w14:paraId="72FBB9B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3E11522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 М-11</w:t>
            </w:r>
          </w:p>
        </w:tc>
        <w:tc>
          <w:tcPr>
            <w:tcW w:w="992" w:type="dxa"/>
          </w:tcPr>
          <w:p w14:paraId="3988F7D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784" w:type="dxa"/>
          </w:tcPr>
          <w:p w14:paraId="56988E8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784" w:type="dxa"/>
          </w:tcPr>
          <w:p w14:paraId="35A0BD5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784" w:type="dxa"/>
          </w:tcPr>
          <w:p w14:paraId="728B91F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4027" w:type="dxa"/>
          </w:tcPr>
          <w:p w14:paraId="6F6B536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F2E62C9" w14:textId="77777777">
        <w:tc>
          <w:tcPr>
            <w:tcW w:w="939" w:type="dxa"/>
          </w:tcPr>
          <w:p w14:paraId="691293E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08C1B4F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992" w:type="dxa"/>
          </w:tcPr>
          <w:p w14:paraId="0A48B86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4610</w:t>
            </w:r>
          </w:p>
        </w:tc>
        <w:tc>
          <w:tcPr>
            <w:tcW w:w="784" w:type="dxa"/>
          </w:tcPr>
          <w:p w14:paraId="22D7429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912</w:t>
            </w:r>
          </w:p>
        </w:tc>
        <w:tc>
          <w:tcPr>
            <w:tcW w:w="784" w:type="dxa"/>
          </w:tcPr>
          <w:p w14:paraId="3722D91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1124</w:t>
            </w:r>
          </w:p>
        </w:tc>
        <w:tc>
          <w:tcPr>
            <w:tcW w:w="784" w:type="dxa"/>
          </w:tcPr>
          <w:p w14:paraId="4EEF750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1309</w:t>
            </w:r>
          </w:p>
        </w:tc>
        <w:tc>
          <w:tcPr>
            <w:tcW w:w="4027" w:type="dxa"/>
          </w:tcPr>
          <w:p w14:paraId="5369DC1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1265</w:t>
            </w:r>
          </w:p>
        </w:tc>
      </w:tr>
      <w:tr w:rsidR="004E10C1" w:rsidRPr="0044524F" w14:paraId="065C6C4C" w14:textId="77777777">
        <w:tc>
          <w:tcPr>
            <w:tcW w:w="939" w:type="dxa"/>
          </w:tcPr>
          <w:p w14:paraId="5190847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2146" w:type="dxa"/>
          </w:tcPr>
          <w:p w14:paraId="3036EC6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4М17</w:t>
            </w:r>
          </w:p>
        </w:tc>
        <w:tc>
          <w:tcPr>
            <w:tcW w:w="992" w:type="dxa"/>
          </w:tcPr>
          <w:p w14:paraId="4618DC9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784" w:type="dxa"/>
          </w:tcPr>
          <w:p w14:paraId="42D3D2F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784" w:type="dxa"/>
          </w:tcPr>
          <w:p w14:paraId="5351317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784" w:type="dxa"/>
          </w:tcPr>
          <w:p w14:paraId="6CE34CA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4027" w:type="dxa"/>
          </w:tcPr>
          <w:p w14:paraId="6700021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7CC1522" w14:textId="77777777">
        <w:tc>
          <w:tcPr>
            <w:tcW w:w="939" w:type="dxa"/>
          </w:tcPr>
          <w:p w14:paraId="22B3477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tc>
        <w:tc>
          <w:tcPr>
            <w:tcW w:w="2146" w:type="dxa"/>
          </w:tcPr>
          <w:p w14:paraId="52C9B8B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 М-22</w:t>
            </w:r>
          </w:p>
        </w:tc>
        <w:tc>
          <w:tcPr>
            <w:tcW w:w="992" w:type="dxa"/>
          </w:tcPr>
          <w:p w14:paraId="1FBFEA1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784" w:type="dxa"/>
          </w:tcPr>
          <w:p w14:paraId="20847B9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784" w:type="dxa"/>
          </w:tcPr>
          <w:p w14:paraId="1586977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784" w:type="dxa"/>
          </w:tcPr>
          <w:p w14:paraId="676D85D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4027" w:type="dxa"/>
          </w:tcPr>
          <w:p w14:paraId="6FB5AD7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416AA0B0" w14:textId="77777777">
        <w:tc>
          <w:tcPr>
            <w:tcW w:w="939" w:type="dxa"/>
          </w:tcPr>
          <w:p w14:paraId="5B5372A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2B63089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992" w:type="dxa"/>
          </w:tcPr>
          <w:p w14:paraId="114DC6C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tc>
        <w:tc>
          <w:tcPr>
            <w:tcW w:w="784" w:type="dxa"/>
          </w:tcPr>
          <w:p w14:paraId="6FD06B8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784" w:type="dxa"/>
          </w:tcPr>
          <w:p w14:paraId="29BB128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784" w:type="dxa"/>
          </w:tcPr>
          <w:p w14:paraId="08C3C80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w:t>
            </w:r>
          </w:p>
        </w:tc>
        <w:tc>
          <w:tcPr>
            <w:tcW w:w="4027" w:type="dxa"/>
          </w:tcPr>
          <w:p w14:paraId="59DE54D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62F3E1E3" w14:textId="77777777">
        <w:tc>
          <w:tcPr>
            <w:tcW w:w="939" w:type="dxa"/>
          </w:tcPr>
          <w:p w14:paraId="32A36A3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46" w:type="dxa"/>
          </w:tcPr>
          <w:p w14:paraId="422D7CA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992" w:type="dxa"/>
          </w:tcPr>
          <w:p w14:paraId="66138B2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4745</w:t>
            </w:r>
          </w:p>
        </w:tc>
        <w:tc>
          <w:tcPr>
            <w:tcW w:w="784" w:type="dxa"/>
          </w:tcPr>
          <w:p w14:paraId="16CF10E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936</w:t>
            </w:r>
          </w:p>
        </w:tc>
        <w:tc>
          <w:tcPr>
            <w:tcW w:w="784" w:type="dxa"/>
          </w:tcPr>
          <w:p w14:paraId="20C7E8F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1164</w:t>
            </w:r>
          </w:p>
        </w:tc>
        <w:tc>
          <w:tcPr>
            <w:tcW w:w="784" w:type="dxa"/>
          </w:tcPr>
          <w:p w14:paraId="304172B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1350</w:t>
            </w:r>
          </w:p>
        </w:tc>
        <w:tc>
          <w:tcPr>
            <w:tcW w:w="4027" w:type="dxa"/>
          </w:tcPr>
          <w:p w14:paraId="59DBDE8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412DB84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12043EF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Распределение резерва самолетов по заказчикам будет дано дополнительно;</w:t>
      </w:r>
    </w:p>
    <w:p w14:paraId="47F026C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Самолеты ТБ4 - 6М34 изготовить по технической готовности - 17 самолетов и по сдаче 3 самолета;</w:t>
      </w:r>
    </w:p>
    <w:p w14:paraId="630D729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Самолеты МИ3-2М34 изготовить по технической готовности - 20 самолетов и по сдаче 5 самолетов;</w:t>
      </w:r>
    </w:p>
    <w:p w14:paraId="15F20F2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отношении сроков и количества изготовления самолетов Р6-2М34 будет сообщено дополнительно (2286,30).</w:t>
      </w:r>
    </w:p>
    <w:p w14:paraId="023D290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7F5B0EA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февраля 1933 вышло постановление СТО N 3сс/о "О финансировании объектов оборонного строительства тяжелой промышленности до составления техпроектов и смет" - упоминался завод 120 (2282,1).</w:t>
      </w:r>
    </w:p>
    <w:p w14:paraId="634D660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2B50BB3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в виде исключения, финансирование нижепоименованных объектов оборонного строительства до составления технических проектов и смет в указанные в перечне сроки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428"/>
        <w:gridCol w:w="4428"/>
      </w:tblGrid>
      <w:tr w:rsidR="004E10C1" w:rsidRPr="0044524F" w14:paraId="5B970BA8" w14:textId="77777777">
        <w:tc>
          <w:tcPr>
            <w:tcW w:w="4428" w:type="dxa"/>
            <w:tcBorders>
              <w:top w:val="single" w:sz="12" w:space="0" w:color="auto"/>
            </w:tcBorders>
            <w:shd w:val="clear" w:color="auto" w:fill="FFFFFF"/>
          </w:tcPr>
          <w:p w14:paraId="532C0E0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Завод № 120 Гдававиапрома, Москва</w:t>
            </w:r>
          </w:p>
        </w:tc>
        <w:tc>
          <w:tcPr>
            <w:tcW w:w="4428" w:type="dxa"/>
            <w:tcBorders>
              <w:top w:val="single" w:sz="12" w:space="0" w:color="auto"/>
            </w:tcBorders>
            <w:shd w:val="clear" w:color="auto" w:fill="FFFFFF"/>
          </w:tcPr>
          <w:p w14:paraId="5C2391A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1/У-1933 г.</w:t>
            </w:r>
          </w:p>
        </w:tc>
      </w:tr>
      <w:tr w:rsidR="004E10C1" w:rsidRPr="0044524F" w14:paraId="6D3B9FBE" w14:textId="77777777">
        <w:tc>
          <w:tcPr>
            <w:tcW w:w="4428" w:type="dxa"/>
            <w:shd w:val="clear" w:color="auto" w:fill="FFFFFF"/>
          </w:tcPr>
          <w:p w14:paraId="4CA7060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Завод № 32</w:t>
            </w:r>
          </w:p>
        </w:tc>
        <w:tc>
          <w:tcPr>
            <w:tcW w:w="4428" w:type="dxa"/>
            <w:shd w:val="clear" w:color="auto" w:fill="FFFFFF"/>
          </w:tcPr>
          <w:p w14:paraId="3E9ECD6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1/У-1933 г.</w:t>
            </w:r>
          </w:p>
        </w:tc>
      </w:tr>
      <w:tr w:rsidR="004E10C1" w:rsidRPr="0044524F" w14:paraId="29B06E03" w14:textId="77777777">
        <w:tc>
          <w:tcPr>
            <w:tcW w:w="4428" w:type="dxa"/>
            <w:shd w:val="clear" w:color="auto" w:fill="FFFFFF"/>
          </w:tcPr>
          <w:p w14:paraId="236C315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Кемеровокомбинатстрой:</w:t>
            </w:r>
          </w:p>
        </w:tc>
        <w:tc>
          <w:tcPr>
            <w:tcW w:w="4428" w:type="dxa"/>
            <w:shd w:val="clear" w:color="auto" w:fill="FFFFFF"/>
          </w:tcPr>
          <w:p w14:paraId="08AE81A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98C1801" w14:textId="77777777">
        <w:tc>
          <w:tcPr>
            <w:tcW w:w="4428" w:type="dxa"/>
            <w:shd w:val="clear" w:color="auto" w:fill="FFFFFF"/>
          </w:tcPr>
          <w:p w14:paraId="70791F1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Металлокомбинат</w:t>
            </w:r>
          </w:p>
        </w:tc>
        <w:tc>
          <w:tcPr>
            <w:tcW w:w="4428" w:type="dxa"/>
            <w:shd w:val="clear" w:color="auto" w:fill="FFFFFF"/>
          </w:tcPr>
          <w:p w14:paraId="71AB73F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1/Х-1933 г.</w:t>
            </w:r>
          </w:p>
        </w:tc>
      </w:tr>
      <w:tr w:rsidR="004E10C1" w:rsidRPr="0044524F" w14:paraId="35DF301A" w14:textId="77777777">
        <w:tc>
          <w:tcPr>
            <w:tcW w:w="4428" w:type="dxa"/>
            <w:shd w:val="clear" w:color="auto" w:fill="FFFFFF"/>
          </w:tcPr>
          <w:p w14:paraId="6E81B96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Химкомбинат</w:t>
            </w:r>
          </w:p>
        </w:tc>
        <w:tc>
          <w:tcPr>
            <w:tcW w:w="4428" w:type="dxa"/>
            <w:shd w:val="clear" w:color="auto" w:fill="FFFFFF"/>
          </w:tcPr>
          <w:p w14:paraId="01B2727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1/Х-1933 г.</w:t>
            </w:r>
          </w:p>
        </w:tc>
      </w:tr>
      <w:tr w:rsidR="004E10C1" w:rsidRPr="0044524F" w14:paraId="6680F459" w14:textId="77777777">
        <w:tc>
          <w:tcPr>
            <w:tcW w:w="4428" w:type="dxa"/>
            <w:shd w:val="clear" w:color="auto" w:fill="FFFFFF"/>
          </w:tcPr>
          <w:p w14:paraId="4E45379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ВХНИИ в Москве разрзешить финансирование переходяцих с 1932 работ обеспеченных проектами.</w:t>
            </w:r>
          </w:p>
        </w:tc>
        <w:tc>
          <w:tcPr>
            <w:tcW w:w="4428" w:type="dxa"/>
            <w:shd w:val="clear" w:color="auto" w:fill="FFFFFF"/>
          </w:tcPr>
          <w:p w14:paraId="5072FDD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5/1У-1933 г.</w:t>
            </w:r>
          </w:p>
        </w:tc>
      </w:tr>
      <w:tr w:rsidR="004E10C1" w:rsidRPr="0044524F" w14:paraId="25F9A08F" w14:textId="77777777">
        <w:tc>
          <w:tcPr>
            <w:tcW w:w="4428" w:type="dxa"/>
            <w:shd w:val="clear" w:color="auto" w:fill="FFFFFF"/>
          </w:tcPr>
          <w:p w14:paraId="7C2AF2F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Двигательстрой в Махачкала разрешить финансирование только работ по проектированию и подготовительных работ на площадке</w:t>
            </w:r>
          </w:p>
        </w:tc>
        <w:tc>
          <w:tcPr>
            <w:tcW w:w="4428" w:type="dxa"/>
            <w:shd w:val="clear" w:color="auto" w:fill="FFFFFF"/>
          </w:tcPr>
          <w:p w14:paraId="16B7D88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1/УП-1933 г.</w:t>
            </w:r>
          </w:p>
        </w:tc>
      </w:tr>
      <w:tr w:rsidR="004E10C1" w:rsidRPr="0044524F" w14:paraId="66346C90" w14:textId="77777777">
        <w:tc>
          <w:tcPr>
            <w:tcW w:w="4428" w:type="dxa"/>
            <w:shd w:val="clear" w:color="auto" w:fill="FFFFFF"/>
          </w:tcPr>
          <w:p w14:paraId="749163A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 Реконструкция вавода "Дальсельмаш" в Хабаровске </w:t>
            </w:r>
          </w:p>
        </w:tc>
        <w:tc>
          <w:tcPr>
            <w:tcW w:w="4428" w:type="dxa"/>
            <w:shd w:val="clear" w:color="auto" w:fill="FFFFFF"/>
          </w:tcPr>
          <w:p w14:paraId="08A9692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1/УП-33 г.</w:t>
            </w:r>
          </w:p>
        </w:tc>
      </w:tr>
      <w:tr w:rsidR="004E10C1" w:rsidRPr="0044524F" w14:paraId="5AD1535C" w14:textId="77777777">
        <w:tc>
          <w:tcPr>
            <w:tcW w:w="4428" w:type="dxa"/>
            <w:shd w:val="clear" w:color="auto" w:fill="FFFFFF"/>
          </w:tcPr>
          <w:p w14:paraId="0435B74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Раснширение Феодоссийской пристрелочной станции</w:t>
            </w:r>
          </w:p>
        </w:tc>
        <w:tc>
          <w:tcPr>
            <w:tcW w:w="4428" w:type="dxa"/>
            <w:shd w:val="clear" w:color="auto" w:fill="FFFFFF"/>
          </w:tcPr>
          <w:p w14:paraId="1BC4753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1/УП-33 г.</w:t>
            </w:r>
          </w:p>
        </w:tc>
      </w:tr>
      <w:tr w:rsidR="004E10C1" w:rsidRPr="0044524F" w14:paraId="3768DBBD" w14:textId="77777777">
        <w:tc>
          <w:tcPr>
            <w:tcW w:w="4428" w:type="dxa"/>
            <w:shd w:val="clear" w:color="auto" w:fill="FFFFFF"/>
          </w:tcPr>
          <w:p w14:paraId="2B77D9D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Завод № 59 в Самаре - -разрешить-финансирование только подготовительных работ на площадке</w:t>
            </w:r>
          </w:p>
        </w:tc>
        <w:tc>
          <w:tcPr>
            <w:tcW w:w="4428" w:type="dxa"/>
            <w:shd w:val="clear" w:color="auto" w:fill="FFFFFF"/>
          </w:tcPr>
          <w:p w14:paraId="2FED231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1/У-1933 г.</w:t>
            </w:r>
          </w:p>
        </w:tc>
      </w:tr>
      <w:tr w:rsidR="004E10C1" w:rsidRPr="0044524F" w14:paraId="636BC592" w14:textId="77777777">
        <w:tc>
          <w:tcPr>
            <w:tcW w:w="4428" w:type="dxa"/>
            <w:shd w:val="clear" w:color="auto" w:fill="FFFFFF"/>
          </w:tcPr>
          <w:p w14:paraId="4CC2B11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Новый гильзовый завод Патрубвзрвыва в Туле </w:t>
            </w:r>
          </w:p>
        </w:tc>
        <w:tc>
          <w:tcPr>
            <w:tcW w:w="4428" w:type="dxa"/>
            <w:shd w:val="clear" w:color="auto" w:fill="FFFFFF"/>
          </w:tcPr>
          <w:p w14:paraId="6410612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1/У-1933 г.</w:t>
            </w:r>
          </w:p>
        </w:tc>
      </w:tr>
      <w:tr w:rsidR="004E10C1" w:rsidRPr="0044524F" w14:paraId="10CF3683" w14:textId="77777777">
        <w:tc>
          <w:tcPr>
            <w:tcW w:w="4428" w:type="dxa"/>
            <w:shd w:val="clear" w:color="auto" w:fill="FFFFFF"/>
          </w:tcPr>
          <w:p w14:paraId="388758E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Организация производства специального станкостроения на заводе № 70 им. Вл.Ильича в Москве - до 1/У-1933 г.</w:t>
            </w:r>
          </w:p>
        </w:tc>
        <w:tc>
          <w:tcPr>
            <w:tcW w:w="4428" w:type="dxa"/>
            <w:shd w:val="clear" w:color="auto" w:fill="FFFFFF"/>
          </w:tcPr>
          <w:p w14:paraId="3B6AF1E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C5EA19" w14:textId="77777777">
        <w:tc>
          <w:tcPr>
            <w:tcW w:w="4428" w:type="dxa"/>
            <w:shd w:val="clear" w:color="auto" w:fill="FFFFFF"/>
          </w:tcPr>
          <w:p w14:paraId="786B024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Реконструхция завода № 73 им. Коваля</w:t>
            </w:r>
          </w:p>
        </w:tc>
        <w:tc>
          <w:tcPr>
            <w:tcW w:w="4428" w:type="dxa"/>
            <w:shd w:val="clear" w:color="auto" w:fill="FFFFFF"/>
          </w:tcPr>
          <w:p w14:paraId="3C432A9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1/1У-1933 г.</w:t>
            </w:r>
          </w:p>
        </w:tc>
      </w:tr>
      <w:tr w:rsidR="004E10C1" w:rsidRPr="0044524F" w14:paraId="55D0D607" w14:textId="77777777">
        <w:tc>
          <w:tcPr>
            <w:tcW w:w="4428" w:type="dxa"/>
            <w:shd w:val="clear" w:color="auto" w:fill="FFFFFF"/>
          </w:tcPr>
          <w:p w14:paraId="7EB2BBF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Сталинградский тракторный завод (танковое производство)</w:t>
            </w:r>
          </w:p>
        </w:tc>
        <w:tc>
          <w:tcPr>
            <w:tcW w:w="4428" w:type="dxa"/>
            <w:shd w:val="clear" w:color="auto" w:fill="FFFFFF"/>
          </w:tcPr>
          <w:p w14:paraId="29E1C86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1/У-1933 г.</w:t>
            </w:r>
          </w:p>
        </w:tc>
      </w:tr>
      <w:tr w:rsidR="004E10C1" w:rsidRPr="0044524F" w14:paraId="4658436F" w14:textId="77777777">
        <w:tc>
          <w:tcPr>
            <w:tcW w:w="4428" w:type="dxa"/>
            <w:shd w:val="clear" w:color="auto" w:fill="FFFFFF"/>
          </w:tcPr>
          <w:p w14:paraId="47AFAB8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Завод "Радиоприбор" в Москве</w:t>
            </w:r>
          </w:p>
        </w:tc>
        <w:tc>
          <w:tcPr>
            <w:tcW w:w="4428" w:type="dxa"/>
            <w:shd w:val="clear" w:color="auto" w:fill="FFFFFF"/>
          </w:tcPr>
          <w:p w14:paraId="395328F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1/У-1933 г.</w:t>
            </w:r>
          </w:p>
        </w:tc>
      </w:tr>
      <w:tr w:rsidR="004E10C1" w:rsidRPr="0044524F" w14:paraId="323DEFD8" w14:textId="77777777">
        <w:tc>
          <w:tcPr>
            <w:tcW w:w="4428" w:type="dxa"/>
            <w:shd w:val="clear" w:color="auto" w:fill="FFFFFF"/>
          </w:tcPr>
          <w:p w14:paraId="431FC4C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14. "ЗАТЭМ" в Москве </w:t>
            </w:r>
          </w:p>
        </w:tc>
        <w:tc>
          <w:tcPr>
            <w:tcW w:w="4428" w:type="dxa"/>
            <w:shd w:val="clear" w:color="auto" w:fill="FFFFFF"/>
          </w:tcPr>
          <w:p w14:paraId="34CCDCC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1/У-1933 г.</w:t>
            </w:r>
          </w:p>
        </w:tc>
      </w:tr>
      <w:tr w:rsidR="004E10C1" w:rsidRPr="0044524F" w14:paraId="44BF1CDA" w14:textId="77777777">
        <w:tc>
          <w:tcPr>
            <w:tcW w:w="4428" w:type="dxa"/>
            <w:shd w:val="clear" w:color="auto" w:fill="FFFFFF"/>
          </w:tcPr>
          <w:p w14:paraId="0D27047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Хабаровская база Банзосхладстроя</w:t>
            </w:r>
          </w:p>
        </w:tc>
        <w:tc>
          <w:tcPr>
            <w:tcW w:w="4428" w:type="dxa"/>
            <w:shd w:val="clear" w:color="auto" w:fill="FFFFFF"/>
          </w:tcPr>
          <w:p w14:paraId="2CE4132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до-1/Ш-1933 г.</w:t>
            </w:r>
          </w:p>
        </w:tc>
      </w:tr>
      <w:tr w:rsidR="004E10C1" w:rsidRPr="0044524F" w14:paraId="3927A8A8" w14:textId="77777777">
        <w:tc>
          <w:tcPr>
            <w:tcW w:w="4428" w:type="dxa"/>
            <w:tcBorders>
              <w:bottom w:val="single" w:sz="12" w:space="0" w:color="auto"/>
            </w:tcBorders>
            <w:shd w:val="clear" w:color="auto" w:fill="FFFFFF"/>
          </w:tcPr>
          <w:p w14:paraId="72C2A9B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Северная база бензоскладстроя - Кронштадт и Ораниенбаум</w:t>
            </w:r>
          </w:p>
        </w:tc>
        <w:tc>
          <w:tcPr>
            <w:tcW w:w="4428" w:type="dxa"/>
            <w:tcBorders>
              <w:bottom w:val="single" w:sz="12" w:space="0" w:color="auto"/>
            </w:tcBorders>
            <w:shd w:val="clear" w:color="auto" w:fill="FFFFFF"/>
          </w:tcPr>
          <w:p w14:paraId="30F4C49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1/У-1933 г. (2282,1)</w:t>
            </w:r>
          </w:p>
        </w:tc>
      </w:tr>
    </w:tbl>
    <w:p w14:paraId="417E04E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043A7525"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февраля 1933 г. письмом №143/4 начальник Планово-технической и экономической секции (ПТЭС) ГУАП Зильберквита с прил. «План работ по самолетостроительному тресту и зав. N 39 и ХАЗОС» подтвердил план выпуска самолетов И-7 заводом №1 в I-III кварталах 1933 г. по 60 машин и 70 машин в IV квартале 1933 г. (24331).</w:t>
      </w:r>
    </w:p>
    <w:p w14:paraId="51ACC0D1" w14:textId="77777777" w:rsidR="0009738D" w:rsidRPr="0044524F" w:rsidRDefault="0009738D" w:rsidP="009654CF">
      <w:pPr>
        <w:spacing w:after="0" w:line="240" w:lineRule="auto"/>
        <w:jc w:val="both"/>
        <w:rPr>
          <w:rFonts w:ascii="Times New Roman" w:hAnsi="Times New Roman"/>
          <w:color w:val="000000" w:themeColor="text1"/>
          <w:sz w:val="16"/>
          <w:szCs w:val="16"/>
        </w:rPr>
      </w:pPr>
    </w:p>
    <w:p w14:paraId="1A8F03E3" w14:textId="77777777" w:rsidR="004014A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B94D981" w14:textId="77777777" w:rsidR="004014A7" w:rsidRPr="0044524F" w:rsidRDefault="004014A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6912FE" w14:textId="77777777" w:rsidR="004014A7" w:rsidRPr="0044524F" w:rsidRDefault="004014A7" w:rsidP="009654CF">
      <w:pPr>
        <w:pStyle w:val="rtejustify"/>
        <w:spacing w:before="0" w:after="0"/>
        <w:rPr>
          <w:color w:val="000000" w:themeColor="text1"/>
          <w:sz w:val="16"/>
          <w:szCs w:val="16"/>
        </w:rPr>
      </w:pPr>
      <w:r w:rsidRPr="0044524F">
        <w:rPr>
          <w:rStyle w:val="af0"/>
          <w:bCs/>
          <w:i w:val="0"/>
          <w:color w:val="000000" w:themeColor="text1"/>
          <w:sz w:val="16"/>
          <w:szCs w:val="16"/>
        </w:rPr>
        <w:t>14 февраля</w:t>
      </w:r>
      <w:r w:rsidRPr="0044524F">
        <w:rPr>
          <w:color w:val="000000" w:themeColor="text1"/>
          <w:sz w:val="16"/>
          <w:szCs w:val="16"/>
        </w:rPr>
        <w:t xml:space="preserve"> 1933. Постановление СТО СССР № 3сс/о «О финансировании объектов оборонного строительства тяжелой промышленности до составления технических проектов и смет». (ГА РФ. Ф. Р</w:t>
      </w:r>
      <w:r w:rsidRPr="0044524F">
        <w:rPr>
          <w:color w:val="000000" w:themeColor="text1"/>
          <w:sz w:val="16"/>
          <w:szCs w:val="16"/>
        </w:rPr>
        <w:noBreakHyphen/>
        <w:t>8418. Оп. 28. Д. 1. Л. 3</w:t>
      </w:r>
      <w:r w:rsidRPr="0044524F">
        <w:rPr>
          <w:color w:val="000000" w:themeColor="text1"/>
          <w:sz w:val="16"/>
          <w:szCs w:val="16"/>
        </w:rPr>
        <w:noBreakHyphen/>
        <w:t>4) (15460).</w:t>
      </w:r>
    </w:p>
    <w:p w14:paraId="120A47C2" w14:textId="77777777" w:rsidR="004014A7" w:rsidRPr="0044524F" w:rsidRDefault="004014A7" w:rsidP="009654CF">
      <w:pPr>
        <w:pStyle w:val="rtejustify"/>
        <w:spacing w:before="0" w:after="0"/>
        <w:rPr>
          <w:color w:val="000000" w:themeColor="text1"/>
          <w:sz w:val="16"/>
          <w:szCs w:val="16"/>
        </w:rPr>
      </w:pPr>
    </w:p>
    <w:p w14:paraId="2F6F9AC5"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791415E"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A85B021" w14:textId="77777777" w:rsidR="004014A7" w:rsidRPr="0044524F" w:rsidRDefault="004014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14 февраля</w:t>
      </w:r>
      <w:r w:rsidRPr="0044524F">
        <w:rPr>
          <w:rFonts w:ascii="Times New Roman" w:hAnsi="Times New Roman"/>
          <w:color w:val="000000" w:themeColor="text1"/>
          <w:sz w:val="16"/>
          <w:szCs w:val="16"/>
        </w:rPr>
        <w:t xml:space="preserve"> в 1933 году первый полёт головного серийного лёгкого вспомогательного самолёта </w:t>
      </w:r>
      <w:hyperlink r:id="rId68" w:tgtFrame="_blank" w:history="1">
        <w:r w:rsidRPr="0044524F">
          <w:rPr>
            <w:rFonts w:ascii="Times New Roman" w:hAnsi="Times New Roman"/>
            <w:color w:val="000000" w:themeColor="text1"/>
            <w:sz w:val="16"/>
            <w:szCs w:val="16"/>
          </w:rPr>
          <w:t xml:space="preserve">«Hawker Hector» </w:t>
        </w:r>
      </w:hyperlink>
      <w:r w:rsidRPr="0044524F">
        <w:rPr>
          <w:rFonts w:ascii="Times New Roman" w:hAnsi="Times New Roman"/>
          <w:color w:val="000000" w:themeColor="text1"/>
          <w:sz w:val="16"/>
          <w:szCs w:val="16"/>
        </w:rPr>
        <w:t>(компания «Hawker», Великобритания). «Hawker Hector» - многоцелевой самолёт взаимодействия с сухопутными войсками. Одномоторный цельнометаллический биплан с неубирающимся шасси был спроектирован для замены самолётов "Одекс" (Audax). Было решено использовать двигатель Нэйпиер Дэггер, который имел больший размер по высоте, в результате чего совершенно изменилась характерная для самолетов семейства Харт заостренная конструкция носовой части. Вдобавок, в результате того, что центр тяжести самолёта сместился, пришлось использовать верхнее крыло с прямой передней кромкой вместо стреловидного, применявшегося на более ранних самолетах этого семейства (15040).</w:t>
      </w:r>
    </w:p>
    <w:p w14:paraId="05C2BAEF" w14:textId="77777777" w:rsidR="004014A7" w:rsidRPr="0044524F" w:rsidRDefault="004014A7" w:rsidP="009654CF">
      <w:pPr>
        <w:spacing w:after="0" w:line="240" w:lineRule="auto"/>
        <w:jc w:val="both"/>
        <w:rPr>
          <w:rFonts w:ascii="Times New Roman" w:hAnsi="Times New Roman"/>
          <w:color w:val="000000" w:themeColor="text1"/>
          <w:sz w:val="16"/>
          <w:szCs w:val="16"/>
        </w:rPr>
      </w:pPr>
    </w:p>
    <w:p w14:paraId="1A8A073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февраля 1933 губернатор Мичигана закрыл на 8 дней все банки штата, чтобы предотвратить банкротство двух крупнейший и похожие решения приняли в других штатах (3907,179).</w:t>
      </w:r>
    </w:p>
    <w:p w14:paraId="3C4493A4"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DE0C44F"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2D7DA5A"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DE0656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15 февраля 1933 г. были выполнены все рабочие чертежи оперения Д-1/Г-1,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349E9E1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4423E6B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5A3BA016"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15 февраля 1933 г. были выполнены все рабочие чер</w:t>
      </w:r>
      <w:r w:rsidRPr="00142305">
        <w:rPr>
          <w:rFonts w:ascii="Times New Roman" w:hAnsi="Times New Roman"/>
          <w:color w:val="0070C0"/>
          <w:sz w:val="16"/>
          <w:szCs w:val="16"/>
        </w:rPr>
        <w:softHyphen/>
        <w:t>тежи оперения Г-1, 98% чертежей шасси, 94% - фюзеляжа, 70% - консолей крыла, 50% - нервюр центроплана. К 1 ап</w:t>
      </w:r>
      <w:r w:rsidRPr="00142305">
        <w:rPr>
          <w:rFonts w:ascii="Times New Roman" w:hAnsi="Times New Roman"/>
          <w:color w:val="0070C0"/>
          <w:sz w:val="16"/>
          <w:szCs w:val="16"/>
        </w:rPr>
        <w:softHyphen/>
        <w:t>реля 1933 г. академия должна была предъявить макет само</w:t>
      </w:r>
      <w:r w:rsidRPr="00142305">
        <w:rPr>
          <w:rFonts w:ascii="Times New Roman" w:hAnsi="Times New Roman"/>
          <w:color w:val="0070C0"/>
          <w:sz w:val="16"/>
          <w:szCs w:val="16"/>
        </w:rPr>
        <w:softHyphen/>
        <w:t>лета. Был ли он изготовлен – неизвестно (24977).</w:t>
      </w:r>
    </w:p>
    <w:p w14:paraId="3C794E73" w14:textId="77777777" w:rsidR="000B41D6" w:rsidRPr="00142305" w:rsidRDefault="000B41D6" w:rsidP="000B41D6">
      <w:pPr>
        <w:spacing w:after="0" w:line="240" w:lineRule="auto"/>
        <w:jc w:val="both"/>
        <w:rPr>
          <w:rFonts w:ascii="Times New Roman" w:hAnsi="Times New Roman"/>
          <w:color w:val="0070C0"/>
          <w:sz w:val="16"/>
          <w:szCs w:val="16"/>
        </w:rPr>
      </w:pPr>
    </w:p>
    <w:p w14:paraId="3056FF2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1933 года врид начальника Особого конструкторского производственного бюро ВВС Бицкий писал письмо № 5/Л врид начальника ВВС Наумову</w:t>
      </w:r>
    </w:p>
    <w:p w14:paraId="1488557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вашего распоряжения о сокращении плана работ, сметы и размещения в промышленности опытных экспериментальных объектов ОКПБ мною было доложено начальнику ОКПБ Гроховскому, находящемуся в настоящее время на дому по болезни, при чем он передал:</w:t>
      </w:r>
    </w:p>
    <w:p w14:paraId="4D4464B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сокращением плана работ и сметы он согласен и заявил:</w:t>
      </w:r>
    </w:p>
    <w:p w14:paraId="53D8A52F"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Предложенное вами размещение для постройки объектов на различных авиазаводах не обеспечивают выполнение плана, так как каждый из строящихся впервые оригинальных конструкций требуют неоднократной переделки в процессе его изготовления под личным руководством конструктора и изобретателя, чего не может дать никакая производственная единица, если она не находится в распоряжении ОКПБ и не сконцентрирована на одном заводе.</w:t>
      </w:r>
    </w:p>
    <w:p w14:paraId="3945DAB6"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Предлагаемая организация Экспериментальных мастерских в Ленинграде (2 корпуса артсклада) не может быть использована как производственная база, так как 1933 год уйдет на переоборудование помещений и подбор кадров мастерских.</w:t>
      </w:r>
    </w:p>
    <w:p w14:paraId="47E43B67"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до сегодняшнего дня включительно не предоставлено здание, занятое Строительным управлением, что не дает возможности развернуть проектную работу объектов 1933 года.</w:t>
      </w:r>
    </w:p>
    <w:p w14:paraId="19C7BC9B"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Укомплектование штата 1933 года УВВС не проведено и в предоставлении инженеров-самолетчиков Ягушевским отказано.</w:t>
      </w:r>
    </w:p>
    <w:p w14:paraId="1E9B4626"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Прибывающий в Бюро личный состав находится в самых скверных условиях, находясь без квартир.</w:t>
      </w:r>
    </w:p>
    <w:p w14:paraId="45DEF05A"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штату 1933 года ОКПБ совсем лишено легкового транспорта, что вызывает дальнейшее увеличение штата инженеров, так как падает продуктивность работы высококвалифицированных специалистов, затрачивающих коллосальное время на трамвайные разъезды для поддержки связи с нужными учреждениями. По штату 1932 года положено 3 легковых машины, а по штату 1933 года при увеличении его в 3 раза, сокращены до двух – для выполнения плана необходимо не менее 10 автомашин.</w:t>
      </w:r>
    </w:p>
    <w:p w14:paraId="14B790A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все перечисленные недочеты будут устранены не позднее 1 марта, то предложенный вами план в 2, 5 млн. рублей будет выполнен. Взять же на себя ответственность за выполнение предложенного Вами плана с имеющейся в распоряжении ОКПБ кустарной базой считает преступлением.</w:t>
      </w:r>
    </w:p>
    <w:p w14:paraId="613515F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Изменение плана в ту или другую сторону зависит исключительно от объема его обеспечения.</w:t>
      </w:r>
    </w:p>
    <w:p w14:paraId="4C992AA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изложенного, прошу скорейшего разрешения всех перечисленных вопросов, так как без их разрешения составить сколько-нибудь реальный план 1933 года не представляется возможным (7486, 108-109).</w:t>
      </w:r>
    </w:p>
    <w:p w14:paraId="2B072FA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4DBBD65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1933 закончилась организация ЦКБ на заводе Менжинского (24,61).</w:t>
      </w:r>
    </w:p>
    <w:p w14:paraId="3A1B663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П.И.Баранов (а не С.В.Ильюшин - 5,8) (согласно приказу) сохранил бытовавшее в ЦАГИ название КБ - ЦКБ и систему самостоятельных бригад (5,8):</w:t>
      </w:r>
    </w:p>
    <w:p w14:paraId="482CD07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 1 - самолеты разведчики и штурмовики, возглавляемую С.А.Кочеригиным (24.61);</w:t>
      </w:r>
    </w:p>
    <w:p w14:paraId="7A46AE4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 2 - самолеты-истребители, возглавляемую Н.Н.Поликарповым (24,61), зам. - Д.Л.Томашевич;</w:t>
      </w:r>
    </w:p>
    <w:p w14:paraId="0498274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вооружения - Я.И.Мальцев;</w:t>
      </w:r>
    </w:p>
    <w:p w14:paraId="5C2831E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высотных самолетов - В.А.Чижевский;</w:t>
      </w:r>
    </w:p>
    <w:p w14:paraId="0D0F339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морских самолетов - сначала И.В.Четвериков, затем Г.М.Бериев (5,8).</w:t>
      </w:r>
    </w:p>
    <w:p w14:paraId="1B3B55C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Есть уже версии, что никакого П.В.Четверикова - не было и С.В.И. сразу пригласил Г.М.Бериева (79,208).</w:t>
      </w:r>
    </w:p>
    <w:p w14:paraId="4E560A3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Пономареву (24,61) структура нового ЦКБ несколько иная:</w:t>
      </w:r>
    </w:p>
    <w:p w14:paraId="55D364F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- 3 - экспериментальные работы, проектирование дальнего бомбардировщика, постройка гондолы стратостата - В.А.Чижевский;</w:t>
      </w:r>
    </w:p>
    <w:p w14:paraId="29D4D79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- 4 - проектирование вооружения - Я.И.Мальцев;</w:t>
      </w:r>
    </w:p>
    <w:p w14:paraId="655F3B0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- 5 - морские самолеты - Г.М.Бериев;</w:t>
      </w:r>
    </w:p>
    <w:p w14:paraId="11687BD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- 6 - статиспытания и веса - П.М.Крейсон.</w:t>
      </w:r>
    </w:p>
    <w:p w14:paraId="7062FFE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В.Б.Шаврова - мнение по бригадам ЦКБ также свое:</w:t>
      </w:r>
    </w:p>
    <w:p w14:paraId="210122B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N 1 истребители (Н.Н.Поликарпов);</w:t>
      </w:r>
    </w:p>
    <w:p w14:paraId="439E2EA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N 2 штурмовики (С.А.Кочеригин);</w:t>
      </w:r>
    </w:p>
    <w:p w14:paraId="2671C5B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N 3 экспериментальные работы по дальнему бомбардировщику и гондоле стратостата - часть БОК (В.А.Чижевский);</w:t>
      </w:r>
    </w:p>
    <w:p w14:paraId="75BBDF8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N 4 часть бригады вооружения (Я.И.Мальцев);</w:t>
      </w:r>
    </w:p>
    <w:p w14:paraId="437AAE7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N 5 морские самолеты (Г.М.Бериев), а в (5,8) - И.В.Четвериков;</w:t>
      </w:r>
    </w:p>
    <w:p w14:paraId="5483A0B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N 6 статистические испытания и вес П.М.Крейсон</w:t>
      </w:r>
    </w:p>
    <w:p w14:paraId="58BA2B2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Часть бригад постепенно выделилась в самостоятельные ОКБ (5,8). По Стражевой - 3 бригады:</w:t>
      </w:r>
    </w:p>
    <w:p w14:paraId="791675B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С.А.Кочеригина;</w:t>
      </w:r>
    </w:p>
    <w:p w14:paraId="6DAF0C0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В.А.Чижевского;</w:t>
      </w:r>
    </w:p>
    <w:p w14:paraId="6F6D4FD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Н.Н.Поликарпова.</w:t>
      </w:r>
    </w:p>
    <w:p w14:paraId="4F9DE41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Бригады, перешедшие в полном составе, продолжали проектирование ранее заданных машин. Группа Н.Н.Поликарпова - пришла с заданиями на разработку И-15 (66,154) и И-16 и С.В.Ильюшин должен был принять меры по укреплению группы с тем, чтобы она могла справиться с заданием (24,60).</w:t>
      </w:r>
    </w:p>
    <w:p w14:paraId="77435A1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переходе назад на 39 отдел В.П.Яценко влили в бригаду 1 С.А.Кочеригина, так как якобы схожая тематика (158,13). В.П.Яценко работал самостоятельно над ЦКБ-2 (ДИ-5), был замом. и все же сумел отделиться вопреки желанию С.В.И. от бригады 1 (158,13).</w:t>
      </w:r>
    </w:p>
    <w:p w14:paraId="6DE3C5C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распоряжение дирекции завода были переданы деньги и материалы, выделенные ЦАГИ на проектирование и постройку машин, переходящих в ЦКБ (24,61).</w:t>
      </w:r>
    </w:p>
    <w:p w14:paraId="5627175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есть - ЦАГИ подраздели.</w:t>
      </w:r>
    </w:p>
    <w:p w14:paraId="34B8544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группе С.В.И. в ЦКБ были В.В.Никитин, В.В.Калинин, С.Н.Черников, З.З.Жвагина, А.П.Левин и А.А.Сеньков (2346,1), а также С.М.Егер (3846,4).</w:t>
      </w:r>
    </w:p>
    <w:p w14:paraId="1E860D8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78589988"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1933 г. ставшая следствием разделения ЦКБ и ЦАГИ реорганизация ЦКБ-39 формально была завершена. В отношении новой штатной структуры данные в разных источниках несколько противоречивы:</w:t>
      </w:r>
    </w:p>
    <w:p w14:paraId="7A06FA21"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бригада №1 (по др. данным №2) – истребители, Н.Н. Поликарпов, зам – Д.Л. Томашевич;</w:t>
      </w:r>
    </w:p>
    <w:p w14:paraId="78B6AA6A"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бригада №2 (по др. данным №1) – разведчики и штурмовики, С.А. Кочеригин, заместитель – В.П. Яценко;</w:t>
      </w:r>
    </w:p>
    <w:p w14:paraId="12B48A0A"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бригада №3 – высотные самолеты и стратостаты, экспериментальные работы, В.А. Чижевский;</w:t>
      </w:r>
    </w:p>
    <w:p w14:paraId="332059E8"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бригада №4 (по др. данным №5) – морские самолеты, И.В. Четвериков, затем Г.М. Бериев, по др. данным на эту дату начальником бригады уже был Бериев;</w:t>
      </w:r>
    </w:p>
    <w:p w14:paraId="7B25DC90"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бригада №4 (что противоречит др. данным) – вооружение, Я.И. Мальцев;</w:t>
      </w:r>
    </w:p>
    <w:p w14:paraId="768B84DC"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бригада №6 – весовые и прочностные расчеты, статические испытания, П.М. Крейсон;</w:t>
      </w:r>
    </w:p>
    <w:p w14:paraId="6174D233"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вспомогательные подразделения, обеспечивающие работу перечисленных основных бригад.</w:t>
      </w:r>
    </w:p>
    <w:p w14:paraId="59B0C61E"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новая структура не устраняла давно отмеченные недостатки в организации труда, а Ильюшин, по-видимому, в то время еще не понимал их причин, потому что теоретически такая структура выглядела не просто жизнеспособной, а оптимальной.</w:t>
      </w:r>
    </w:p>
    <w:p w14:paraId="6DAD53B3"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Реорганизацию ЦКБ-39 Ильюшин начал в 1933 г. с себя, сформировав группу по проектированию скоростного бомбардировщика СБ-39 («скоростной бомбардировщик завода 39», ББ-2, ЛБ-2), в которую вошли С.М. Егер, З.З. Жвагина, В.В. Калинин, А.П. Левин, В.В. Никитин, А.А. Сеньков и С.Н. Черников. Формально она числилась в составе бригады №3 Чижевского и участвовала в ее работе по герметичной гондоле стратостата, но в работе по ББ-2 Ильюшин по-прежнему в наибольшей степени опирался на помощь Поликарпова.</w:t>
      </w:r>
    </w:p>
    <w:p w14:paraId="2D70DBF6"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Ильюшин смог использовать и достоинства системы ЦКБ-39 как крупной единой административно организации, которая позволяла маневр силами – за счет других подразделений он усилил бригаду Поликарпова, что позволило ей успешно завершить самые важные в то время проекты И-15 (ЦКБ-3) и И-16 (ЦКБ-12) – эти самолеты начали летные испытания 8 октября и 30 декабря 1933 г. и успешно их выдержали, поступив на вооружение и став основными истребителями в советской авиации межвоенного периода (И-16 применялся в строевых частях до 1943 г., а учебный его вариант УТИ-4 – по 1945 г.).</w:t>
      </w:r>
    </w:p>
    <w:p w14:paraId="5DB32F6D"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Когда появилась необходимость ускорить работы по двухместным истребителям, Ильюшин не воспрепятствовал выделению из бригады Кочеригина конструкторской группы В.П. Яценко в самостоятельное подразделение, которое в конце концов было преобразовано в самостоятельное ОКБ и довело до серийного производства такой самолет ДИ-6 (23554).</w:t>
      </w:r>
    </w:p>
    <w:p w14:paraId="3E2F583E" w14:textId="77777777" w:rsidR="0009738D" w:rsidRPr="0044524F" w:rsidRDefault="0009738D" w:rsidP="009654CF">
      <w:pPr>
        <w:spacing w:after="0" w:line="240" w:lineRule="auto"/>
        <w:jc w:val="both"/>
        <w:rPr>
          <w:rFonts w:ascii="Times New Roman" w:hAnsi="Times New Roman"/>
          <w:color w:val="000000" w:themeColor="text1"/>
          <w:sz w:val="16"/>
          <w:szCs w:val="16"/>
        </w:rPr>
      </w:pPr>
    </w:p>
    <w:p w14:paraId="39590EBA" w14:textId="77777777" w:rsidR="0009738D" w:rsidRPr="0044524F" w:rsidRDefault="000973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15 февраля 1933 г. штаты ЦКБ-39 были оформлены приказом начальника организации С.В. Ильюшина, но утверждены начальником ГУАП П.И. Барановым в несколько отличающемся виде. Хотя принципиальных различий не было, снова возникла некоторая путаница, в частности, в нумерации бригад. В одних списках 1-й шла бригада истребительных самолетов, начальником которой назначен Н.Д. Поликарпов, а его замом Д.Л. Томашевич, а 2-й – бригада ближних разведчиков и штурмовиков под руководством С.А. Кочеригина, в других – наоборот. Ряд сотрудников (включая бывших руководителей) находился в состоянии перевода в другие организации. Тем не менее, решение организационных вопросов дальнейшую работу по проекту ЦКБ-12 облегчило и с этого времени она пошла быстрее, что позволило первый вариант проекта закончить (24115).</w:t>
      </w:r>
    </w:p>
    <w:p w14:paraId="2896C4FF" w14:textId="77777777" w:rsidR="0009738D" w:rsidRPr="0044524F" w:rsidRDefault="0009738D" w:rsidP="009654CF">
      <w:pPr>
        <w:spacing w:after="0" w:line="240" w:lineRule="auto"/>
        <w:jc w:val="both"/>
        <w:rPr>
          <w:rFonts w:ascii="Times New Roman" w:hAnsi="Times New Roman"/>
          <w:color w:val="000000" w:themeColor="text1"/>
          <w:sz w:val="16"/>
          <w:szCs w:val="16"/>
        </w:rPr>
      </w:pPr>
    </w:p>
    <w:p w14:paraId="17C280F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15 февраля 1933 г. все бригады ЦКБ уже работали над плановыми заданиями (9536,4).</w:t>
      </w:r>
    </w:p>
    <w:p w14:paraId="1BDA33B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4D6B6610"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15 февраля 1933 г. все бригады ЦКБ начали работать по плану над заданиями.</w:t>
      </w:r>
    </w:p>
    <w:p w14:paraId="2C374D94"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Ильюшин разделил коллектив ЦКБ на шесть бригад.</w:t>
      </w:r>
    </w:p>
    <w:p w14:paraId="60A7F178"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Бригадой № 1 руководил С. А. Кочеригин. Здесь проектировали штурмовики и самолеты-разведчики.</w:t>
      </w:r>
    </w:p>
    <w:p w14:paraId="25E7661B"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 Н. Поликарпов возглавил бригаду № 2. Основное направление ее деятельности — истребители.</w:t>
      </w:r>
    </w:p>
    <w:p w14:paraId="3944E7A9"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Бригада № 3 первоначально занималась созданием экспериментальных конструкций. Ее работой руководил В. А. Чижевский. Через некоторое время группа Чижевского была перебазирована на Смоленский завод, а переформированная бригада под руководством С. В. Ильюшина стала строить дальние бомбардировщики.</w:t>
      </w:r>
    </w:p>
    <w:p w14:paraId="23780DAC"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Бригада № 4 во главе с Я. И. Мальцевым проектировала вооружение.</w:t>
      </w:r>
    </w:p>
    <w:p w14:paraId="4FB139B4"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Бригада № 5 под руководством Г. М. Бериева создавала морские самолеты.</w:t>
      </w:r>
    </w:p>
    <w:p w14:paraId="5CFF8D66" w14:textId="77777777" w:rsidR="000B41D6" w:rsidRPr="00142305" w:rsidRDefault="000B41D6" w:rsidP="000B41D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Бригада № 6 (начальник — П. М. Крейсон) занималась статическими испытаниями (25035).</w:t>
      </w:r>
    </w:p>
    <w:p w14:paraId="52E0682E" w14:textId="77777777" w:rsidR="000B41D6" w:rsidRPr="00142305" w:rsidRDefault="000B41D6" w:rsidP="000B41D6">
      <w:pPr>
        <w:spacing w:after="0" w:line="240" w:lineRule="auto"/>
        <w:jc w:val="both"/>
        <w:rPr>
          <w:rFonts w:ascii="Times New Roman" w:hAnsi="Times New Roman"/>
          <w:color w:val="0070C0"/>
          <w:sz w:val="16"/>
          <w:szCs w:val="16"/>
        </w:rPr>
      </w:pPr>
    </w:p>
    <w:p w14:paraId="1CFDA40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1933 М.Н.Зворыгин установил рекорд затяжного прыжка с 2500 м и падал 2200 м - 41 сек. (438,640).</w:t>
      </w:r>
    </w:p>
    <w:p w14:paraId="498995A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1D6F55F7" w14:textId="77777777" w:rsidR="003C3117" w:rsidRPr="0044524F" w:rsidRDefault="003C31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1933 г. военный летчик М.Н.Зворыгин установил новый рекорд затяжного прыжка. Оставив самолет на высоте 2500 м, он падал, не раскрывая парашюта, 2200 м. свободное падение продолжалось 41 сек. Прежний рекорд свободного падения 1600 м был установлен в 1932 году С.Н.Афанасьевым.</w:t>
      </w:r>
    </w:p>
    <w:p w14:paraId="5341AC49" w14:textId="77777777" w:rsidR="003C3117" w:rsidRPr="0044524F" w:rsidRDefault="003C31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28 февр. 1933; ВВФ, 1934 № 8/ (23370).</w:t>
      </w:r>
    </w:p>
    <w:p w14:paraId="197B5845" w14:textId="77777777" w:rsidR="003C3117" w:rsidRPr="0044524F" w:rsidRDefault="003C3117" w:rsidP="009654CF">
      <w:pPr>
        <w:spacing w:after="0" w:line="240" w:lineRule="auto"/>
        <w:jc w:val="both"/>
        <w:rPr>
          <w:rFonts w:ascii="Times New Roman" w:hAnsi="Times New Roman"/>
          <w:color w:val="000000" w:themeColor="text1"/>
          <w:sz w:val="16"/>
          <w:szCs w:val="16"/>
        </w:rPr>
      </w:pPr>
    </w:p>
    <w:p w14:paraId="3E3DFE1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1933 г. катер АНТ-5 был закончен постройкой и отправлен из Москвы по железной дороге в Севастополь (10675).</w:t>
      </w:r>
    </w:p>
    <w:p w14:paraId="6B4A299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172BB479"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1933 г. катер АНТ-5 был закончен постройкой и отправлен из Москвы по железной дороге в Севастополь.</w:t>
      </w:r>
    </w:p>
    <w:p w14:paraId="02B7353E"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апреля по ноябрь 1933 г. катер прошел заводские испытания в Севастополе,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4982303D"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22816E27"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5A6B9E6A"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6DA936F3"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«Изотто-Фраскини»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0FADFE71"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2106F9C3"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23A876F9"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10E8ECBA" w14:textId="77777777" w:rsidR="00A76142" w:rsidRPr="0044524F" w:rsidRDefault="00A76142" w:rsidP="009654CF">
      <w:pPr>
        <w:spacing w:after="0" w:line="240" w:lineRule="auto"/>
        <w:jc w:val="both"/>
        <w:rPr>
          <w:rFonts w:ascii="Times New Roman" w:hAnsi="Times New Roman"/>
          <w:color w:val="000000" w:themeColor="text1"/>
          <w:sz w:val="16"/>
          <w:szCs w:val="16"/>
        </w:rPr>
      </w:pPr>
    </w:p>
    <w:p w14:paraId="52CE4CDF"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F67F4C8"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2267A77" w14:textId="77777777" w:rsidR="00A76142" w:rsidRPr="0044524F" w:rsidRDefault="00A76142" w:rsidP="009654CF">
      <w:pPr>
        <w:pStyle w:val="rtejustify"/>
        <w:spacing w:before="0" w:after="0"/>
        <w:rPr>
          <w:color w:val="000000" w:themeColor="text1"/>
          <w:sz w:val="16"/>
          <w:szCs w:val="16"/>
        </w:rPr>
      </w:pPr>
      <w:r w:rsidRPr="0044524F">
        <w:rPr>
          <w:rStyle w:val="af0"/>
          <w:bCs/>
          <w:i w:val="0"/>
          <w:color w:val="000000" w:themeColor="text1"/>
          <w:sz w:val="16"/>
          <w:szCs w:val="16"/>
        </w:rPr>
        <w:t>15 февраля</w:t>
      </w:r>
      <w:r w:rsidRPr="0044524F">
        <w:rPr>
          <w:color w:val="000000" w:themeColor="text1"/>
          <w:sz w:val="16"/>
          <w:szCs w:val="16"/>
        </w:rPr>
        <w:t xml:space="preserve"> 1933. Постановление СТО СССР № 4с/о «О передаче Наркомтяжпрому зданий бывшей Фрязинской шелкомотальной фабрики для развертывания нового завода “Радиолампа”». (ГА РФ. Ф. Р</w:t>
      </w:r>
      <w:r w:rsidRPr="0044524F">
        <w:rPr>
          <w:color w:val="000000" w:themeColor="text1"/>
          <w:sz w:val="16"/>
          <w:szCs w:val="16"/>
        </w:rPr>
        <w:noBreakHyphen/>
        <w:t>8418. Оп. 28. Д. 1. Л. 5) (15460).</w:t>
      </w:r>
    </w:p>
    <w:p w14:paraId="793510F3" w14:textId="77777777" w:rsidR="00A76142" w:rsidRPr="0044524F" w:rsidRDefault="00A76142" w:rsidP="009654CF">
      <w:pPr>
        <w:pStyle w:val="rtejustify"/>
        <w:spacing w:before="0" w:after="0"/>
        <w:rPr>
          <w:color w:val="000000" w:themeColor="text1"/>
          <w:sz w:val="16"/>
          <w:szCs w:val="16"/>
        </w:rPr>
      </w:pPr>
    </w:p>
    <w:p w14:paraId="03D845CC" w14:textId="77777777" w:rsidR="00A76142" w:rsidRPr="0044524F" w:rsidRDefault="00A76142" w:rsidP="009654CF">
      <w:pPr>
        <w:pStyle w:val="ae"/>
        <w:spacing w:before="0" w:after="0"/>
        <w:jc w:val="both"/>
        <w:rPr>
          <w:color w:val="000000" w:themeColor="text1"/>
          <w:sz w:val="16"/>
          <w:szCs w:val="16"/>
        </w:rPr>
      </w:pPr>
      <w:r w:rsidRPr="0044524F">
        <w:rPr>
          <w:color w:val="000000" w:themeColor="text1"/>
          <w:sz w:val="16"/>
          <w:szCs w:val="16"/>
        </w:rPr>
        <w:t>15 февраля 1933 года СТО СССР принял решение о строительстве электровакуумного завода «Радиолампа» в подмосковной деревне Фрязино (начиная с 1932 года в Москве было запрещено строить промышленные предприятия). Очевидно, основным критерием выбора явилось то, что здесь имелось пустующее каменное здание бывшей шелкоткацкой фабрики Капцова (это здание сохранилось на территории ФГУП «НПП «Исток» до настоящего времени). Первая очередь завода «Радиолампа» должна была вступить в строй к 1 января 1934 года, что, конечно оказалось нереально, несмотря на все усилия строителей. Организовать новое производство электровакуумных приборов было поручено небольшому коллективу отдела электронных ламп (ОЭЛ), который имелся на МЭЛЗе. В конце 1933 года отдел переезжает на «Радиолампу», во Фрязино. Эти лаборатории должны были способствовать освоению коллективом завода производства серии металлических приемно-усилительных ламп. На них была ориентирована работа радиотехнических заводов страны, разрабатывавших аппаратуру, как для широковещательного приема, так и для военных целей. В 1933 году были установлены дипломатические отношения с США, и в том же году состоялся визит на фирму RCA заместителя начальника Главэспрома А.Ф. Шорина и начальника отраслевой вакуумной лаборатории С.А. Векшинского. Руководившие фирмой выходцы из России Б. Сарнов и В.К. Зворыкин хорошо их приняли, на следующий год состоялся ответный визит Зворыкина в Ленинград. Так началось взаимодействие, которому советское правительство уделило огромное внимание, увидев возможность поднять уровень отечественной промышленности. Вопросы взаимодействия с фирмой «Радиокорпорейшн» неоднократно рассматривались на уровне высшего руководства. «Радиокорпорейшн» являлась основным производителем массовой радиопродукции в США. Она выпускала около 30 типов радиоприемников высокого качества. В 1935 г. корпорация выпустила 25 млн радиоламп, что составляло 30 % от общемирового объема. В разработке имелось еще около 80 новых типов. Фирма сотрудничала более чем с 60 смежниками-заводами, поставлявшими ей различные блоки и детали. Она занималась строительством и эксплуатацией радиовещательных и телевизионных станций. В США в условиях кризиса развивалось движение за оказание технической помощи России (15736).</w:t>
      </w:r>
    </w:p>
    <w:p w14:paraId="1AFA5EFB" w14:textId="77777777" w:rsidR="00A76142" w:rsidRPr="0044524F" w:rsidRDefault="00A76142" w:rsidP="009654CF">
      <w:pPr>
        <w:pStyle w:val="ae"/>
        <w:spacing w:before="0" w:after="0"/>
        <w:jc w:val="both"/>
        <w:rPr>
          <w:color w:val="000000" w:themeColor="text1"/>
          <w:sz w:val="16"/>
          <w:szCs w:val="16"/>
        </w:rPr>
      </w:pPr>
    </w:p>
    <w:p w14:paraId="121A7BAF"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15 февраля 1933 г. на заводе Красное Сормово техническая готовность «Комсомольца» составляла 63 %. Графики работ не соблюдались. Поставщики тоже подводили, в частности, завод «Русский дизель» не поставил в срок двигатели. И все же героическими усилиями рабочих к маю того же 33-го года лодка была подготовлена к отправке для достройки на Балтийский завод. Док для нее был спешно построен на том же «Красном Сормове». Он имел размеры 72,5 на 9,6 метра и водоизмещение 950 тонн. 25 мая лодка в доке начала движение по Волге, а затем — по Мариинской системе каналов, и 1 июня 1933 г. прибыла в Ленинград. «Балтийцы» быстро поняли, что им прислали не «почти готовую» субмарину, а всего лишь полуфабрикат. После начала достроечных работ выявилось огромное количество дефектов: было необходимо заново изготовить и установить валы горизонтальных рулей, устранить дефекты топливных цистерн, заменить кабели и т. д. Согласно акту от 9 июля 1933 г., было выявлено, что «соединительные швы топливных цистерн зашпаклеваны смесью гудрона и сурика черного цвета. Это маскировка брака, могущая привести к течи». [160 — ГУ ЦАНО, Ф. 15, Оп. 3, Д. 135, Л. 142.] А в акте от 11 сентября того же года говорилось: «…при испытании гидравлическим давлением жесткого корпуса обнаружилось 250 течей». [161 — Там же, Д. 136, Л. 16.] Когда прибыли торпедные аппараты, долго задерживавшиеся заводом № 6, оказалось, что </w:t>
      </w:r>
      <w:r w:rsidRPr="0044524F">
        <w:rPr>
          <w:rFonts w:ascii="Times New Roman" w:hAnsi="Times New Roman"/>
          <w:color w:val="000000" w:themeColor="text1"/>
          <w:sz w:val="16"/>
          <w:szCs w:val="16"/>
        </w:rPr>
        <w:lastRenderedPageBreak/>
        <w:t>подлодка не готова к их установке. Кроме того, 40 % электромонтажных работ подлежали демонтажу и переделке, из-за брака пришлось заменить и 90 % арматуры. [162 — Там же, Д. 135, Л. 177.]. В связи с переходом «Красного Сормова» на производство спецсудов — так в целях секретности именовали подлодки, которое должно было стать его основным профилем, с 1933 г. стал сокращаться выпуск железнодорожных вагонов и платформ, а также трамваев. Начались командировки на Балтийский завод рабочего и технического персонала с последующей сдачей экзамена. Впоследствии в ноябре 1933 — мае 1934 гг. филиал учебно-курсового комбината в Ленинграде организовал курсы повышения квалификации инженеров — строителей подлодок. На них была отправлена группа ИТР с «Красного Сормова»: корпусники, механики и электротехники. Пять дней в неделю они работали на предприятиях Ленинграда, а один день проводились теоретические занятия. Основными темами занятий были общее устройство подлодок, технологические процессы и монтаж (11741).</w:t>
      </w:r>
    </w:p>
    <w:p w14:paraId="1D079A67"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BB333D"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3A9927C"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B658B65"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1933 в Москве открылся первый Всесоюзный съезд колхозников-ударников (4962).</w:t>
      </w:r>
    </w:p>
    <w:p w14:paraId="11A16E59"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912F8D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15-19 февраля 1933 состоялся I-й Всесоюзный съезд колхозников-ударников (15-19.02). В своей речи на открытии съезда И.Сталин заявил, что трудности, испытываемые колхозниками, "не стоят даже того, чтобы серьезно разговаривать о них" (10687).</w:t>
      </w:r>
    </w:p>
    <w:p w14:paraId="67E125E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4377C1A5"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44CAFA8"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CFB9C4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1933 террорист совершил покушение на только что избранного Ф.Д.Р. (3907,179).</w:t>
      </w:r>
    </w:p>
    <w:p w14:paraId="0BA6CD8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19283C9E"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февраля 1933 в Мемфисе анархист Джозеф Зангара стрелял в президента США Ф. Рузвельта и промахнулся только потому, что в момент выстрела в его руку вцепилась женщина (при этом был убит мэр Чикаго) (4962).</w:t>
      </w:r>
    </w:p>
    <w:p w14:paraId="37AA3B30"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AD6659"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15 февраля</w:t>
      </w:r>
      <w:r w:rsidRPr="0044524F">
        <w:rPr>
          <w:rFonts w:ascii="Times New Roman" w:hAnsi="Times New Roman"/>
          <w:color w:val="000000" w:themeColor="text1"/>
          <w:sz w:val="16"/>
          <w:szCs w:val="16"/>
        </w:rPr>
        <w:t xml:space="preserve"> в 1933 году в Майями, штат Флорида, на Франклина Рузвельта совершено покушение. Однако убийца, Джузеппе Зангара вместо президента убил из старого пистолета стоимостью 10 долларов мэра Чикаго Энтона Кермака. По одной из версий мэр города, противник коррупции, заслонил своим телом Рузвельта, по другой версии, стрелявший просто промахнулся. Кермак скончался от ранения 6-го марта (15041).</w:t>
      </w:r>
    </w:p>
    <w:p w14:paraId="4F3C29DD" w14:textId="77777777" w:rsidR="00A76142" w:rsidRPr="0044524F" w:rsidRDefault="00A76142" w:rsidP="009654CF">
      <w:pPr>
        <w:spacing w:after="0" w:line="240" w:lineRule="auto"/>
        <w:jc w:val="both"/>
        <w:rPr>
          <w:rFonts w:ascii="Times New Roman" w:hAnsi="Times New Roman"/>
          <w:color w:val="000000" w:themeColor="text1"/>
          <w:sz w:val="16"/>
          <w:szCs w:val="16"/>
        </w:rPr>
      </w:pPr>
    </w:p>
    <w:p w14:paraId="521EF2B4"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15 февраля</w:t>
      </w:r>
      <w:r w:rsidRPr="0044524F">
        <w:rPr>
          <w:rFonts w:ascii="Times New Roman" w:hAnsi="Times New Roman"/>
          <w:color w:val="000000" w:themeColor="text1"/>
          <w:sz w:val="16"/>
          <w:szCs w:val="16"/>
        </w:rPr>
        <w:t xml:space="preserve"> в 1933 году в Майами анархист Джузеппе Зангара (Giuseppe Zanarga) совершил покушение на жизнь недавно избранного президента США Франклина Рузвельта. В ноябре 1932 года новым президентом США стал больной полиомиелитом Франклин Делано Рузвельт. И хотя он постоянно передвигался на инвалидной коляске, все время норовил удрать от своей охраны. Его супруга Элеонор вспоминала: "Ничего так не веселило моего мужа в Гайд-парке или Уорм-Спрингс, как желание удрать от автомобиля с агентами Секретной службы, всегда сопровождавшими его". А между тем однажды президента спасла только его инвалидность. 15 февраля 1933 года, вскоре после победы на выборах, но еще до инаугурации. Рузвельт, выступая с речью в Майами (штат Флорида), сидел на спинке заднего автомобиля, так как из-за болезни не мог стоять в полный рост. После окончания речи, журналисты бросились к президентскому автомобилю, и никто не заметил, как в двадцати шагах от президента безработный каменщик Джузеппе Зангара с пистолетом стоимостью 10 долларов в руках взгромоздился на пустой ящик и стал стрелять. Сидевший Рузвельт оказался ниже стоявших перед ним людей, поэтому Зангара в него не попал. Правда, он смертельно ранил мэра Чикаго Энтони Чермака и легко ранил четверых журналистов. Как установило следствие, Джузеппе пытался убийством президента отомстить за свое беспросветное существование. В одежде убийцы нашли газетную вырезку с сообщением об убийстве анархистом президента Маккинли в 1901 году, а полиция сообщила, что покушавшийся заявил: «Я буду убивать каждого президента». В годы Второй мировой войны охрана первого лица государства стала архиважным делом. Машину Рузвельта «LincolnFordV8 TheSunshineSpecial» 1928 года, который до 1932 года принадлежал знаменитому гангстеру Аль Капоне, сделали бронированной. А самому ему завели двойника, который время от времени появлялся на людях, скрывая истинное местонахождение главы государства (15041).</w:t>
      </w:r>
    </w:p>
    <w:p w14:paraId="0851C10E" w14:textId="77777777" w:rsidR="00A76142" w:rsidRPr="0044524F" w:rsidRDefault="00A76142" w:rsidP="009654CF">
      <w:pPr>
        <w:spacing w:after="0" w:line="240" w:lineRule="auto"/>
        <w:jc w:val="both"/>
        <w:rPr>
          <w:rFonts w:ascii="Times New Roman" w:hAnsi="Times New Roman"/>
          <w:color w:val="000000" w:themeColor="text1"/>
          <w:sz w:val="16"/>
          <w:szCs w:val="16"/>
        </w:rPr>
      </w:pPr>
    </w:p>
    <w:p w14:paraId="21A7FDC5" w14:textId="179F22BD" w:rsidR="005A3A2B" w:rsidRPr="0044524F" w:rsidRDefault="005A3A2B" w:rsidP="009654CF">
      <w:pPr>
        <w:tabs>
          <w:tab w:val="left" w:pos="11199"/>
        </w:tabs>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Авиапромыщленность:</w:t>
      </w:r>
    </w:p>
    <w:p w14:paraId="78CB1524" w14:textId="77777777" w:rsidR="005A3A2B" w:rsidRPr="0044524F" w:rsidRDefault="005A3A2B" w:rsidP="009654CF">
      <w:pPr>
        <w:tabs>
          <w:tab w:val="left" w:pos="11199"/>
        </w:tabs>
        <w:autoSpaceDE w:val="0"/>
        <w:autoSpaceDN w:val="0"/>
        <w:adjustRightInd w:val="0"/>
        <w:spacing w:after="0" w:line="240" w:lineRule="auto"/>
        <w:jc w:val="both"/>
        <w:rPr>
          <w:rFonts w:ascii="Times New Roman" w:hAnsi="Times New Roman"/>
          <w:i/>
          <w:iCs/>
          <w:color w:val="000000" w:themeColor="text1"/>
          <w:sz w:val="16"/>
          <w:szCs w:val="16"/>
        </w:rPr>
      </w:pPr>
    </w:p>
    <w:p w14:paraId="21F6FB58"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февраля 1933 г. определились с И-16 (ЦКБ-12):</w:t>
      </w:r>
    </w:p>
    <w:p w14:paraId="1B151CCA"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самолета и способы его применения:</w:t>
      </w:r>
    </w:p>
    <w:p w14:paraId="13FE1F3E"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истребитель-моноплан предназначен как для перехвата самолетов всех классов авиации противника над линией фронта и в тылу (оборонительные действия), так и завоевания господства в воздухе, что предполагает способность к наступательным действиям для обеспечения боевой работы всех видов своей авиации над линией фронта и в оперативной глубине, включая ведение боя с истребителями противника, что соответствовало воззрениям советских военных и авиационных теоретиков того времени, таких как Хрипин и Лапчинский;</w:t>
      </w:r>
    </w:p>
    <w:p w14:paraId="1701474C"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основное свойство истребителя-моноплана – скорость, и это наилучшим образом соответствует задачам, указанным в предыдущем пункте;</w:t>
      </w:r>
    </w:p>
    <w:p w14:paraId="2718E3C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истребитель-моноплан предназначен для применения днем в простых метеоусловиях, в темное время суток предпочтителен истребитель-биплан, поскольку он имеет меньшие скорости в т.ч. и посадки, а возможные цели (ночные бомбардировщики и тяжелые транспортно-десантные самолеты противника) также имеют меньшие скорости;</w:t>
      </w:r>
    </w:p>
    <w:p w14:paraId="00E854B2"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применение этого самолета в темное время суток в простых метеоусловиях возможно при установке посадочных факелов, аэронавигационных огней и освещения кабины;</w:t>
      </w:r>
    </w:p>
    <w:p w14:paraId="6C05D1A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пилотирование истребителя-моноплана требует повышения средней квалификации летного состава, чему будет способствовать создание учебно-тренировочной модификации с двойным управлением.</w:t>
      </w:r>
    </w:p>
    <w:p w14:paraId="36480AB2"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Особенности аэродинамической схемы и конструктивной компоновки:</w:t>
      </w:r>
    </w:p>
    <w:p w14:paraId="04CF21C3"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самолет имеет классическую аэродинамическую схему с расположением оперения за крылом и угол его установки меньше, чем угол установки крыла, которая должна была быть статически устойчива, т.е. центр масс, должен был находиться перед центром давления (фокусом) крыла, при этом предполагалось, что расстояние между центрами масс и давления (фокусом самолета) и определяемый им запас статической устойчивости будет минимален, что позволит уменьшить потребную площадь и вес горизонтального оперения, но не ясно, входил ли в комплект этой документации центровочный расчет;</w:t>
      </w:r>
    </w:p>
    <w:p w14:paraId="194EFA2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выбрана компоновка свободнонесущего низкоплана, хотя против нее были возражения;</w:t>
      </w:r>
    </w:p>
    <w:p w14:paraId="05E05D0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w:t>
      </w:r>
    </w:p>
    <w:p w14:paraId="0B5C9BE0"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 отличие от высокоплана или компоновки «парасоль» часть крыла низкоплана, занятая фюзеляжем, по применявшимся тогда методикам расчета не включается в его эффективную площадь, но, по мнению Поликарпова, потеря аэродинамического качества на интерференции высоко расположенного крыла будет больше;</w:t>
      </w:r>
    </w:p>
    <w:p w14:paraId="7AD48FC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 случае если крыло сопрягается с фюзеляжем непосредственно, за местом его максимальной строительной высоты общие сечения планера начинают уменьшаться, что приводит к возникновению в этом месте вихря, увеличивающего аэродинамическое сопротивление самолета, и наиболее интенсивен этот вихрь именно для низкоплана, но его интенсивность можно значительно снизить применением зализов – плавных сопряжений агрегатов (в то время они часто именовались «карманами» по имени изобретателя этого решения Т. фон Кармана);</w:t>
      </w:r>
    </w:p>
    <w:p w14:paraId="479DAADA"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аэродинамические формы планера по возможности чистые, а размеры их минимальны (подробно, см. ниже), основные опоры шасси полностью убирающиеся, а кабина закрыта прозрачным фонарем;</w:t>
      </w:r>
    </w:p>
    <w:p w14:paraId="06B03EF2"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компоновка и размеры самолета выбраны с учетом не только минимального аэродинамического сопротивления трения и формы, но и минимума веса;</w:t>
      </w:r>
    </w:p>
    <w:p w14:paraId="326B83E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Общие особенности конструкции, применяемые материалы и технологии:</w:t>
      </w:r>
    </w:p>
    <w:p w14:paraId="61B04BB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конструкция планера самолета смешанная с применением в силовых элементах древесины в виде массива, шпона, реек и фанеры (включая работающие обшивки), а также сталей и дюраля различных марок, см. ниже, в деталях систем, их крепления применены также чистый алюминий, латунь, бронза и чистая медь;</w:t>
      </w:r>
    </w:p>
    <w:p w14:paraId="4356D0E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углеродистая марки 20 горяче-катанная в прутках, разрушающие напряжения на разрыв и сжатие 40 кгс/кв.мм, на срез 32 кгс/кв.мм, суммарные в неподвижных сочленениях 52 кгс/кв.мм, малоподвижных – 26 кгс/кв.мм, подвижных – 8 кгс/кв.мм, удлинение до разрыва 20% – для изготовления соединительных деталей, работающих под средним уровнем нагрузки, в т.ч. для наконечников тяг, шарнирных болтов и муфт;</w:t>
      </w:r>
    </w:p>
    <w:p w14:paraId="7498103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марки 35 горяче-катанная в прутках, разрушающие напряжения на разрыв и сжатие 50 кгс/кв.мм, на срез 40 кгс/кв.мм, суммарные в неподвижных сочленениях 60 кгс/кв.мм, малоподвижных – 30 кгс/кв.мм, подвижных – 10 кгс/кв.мм, удлинение до разрыва 16% – для изготовления соединительных деталей, работающих под средним уровнем нагрузки, в т.ч. для наконечников тяг, шарнирных болтов и муфт;</w:t>
      </w:r>
    </w:p>
    <w:p w14:paraId="08B21A72"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марки 40 горяче-катанная в прутках, разрушающие напряжения на разрыв и сжатие 55 кгс/кв.мм, на срез 44 кгс/кв.мм, суммарные в неподвижных сочленениях 71 кгс/кв.мм, малоподвижных – 35,5 кгс/кв.мм, подвижных – 11 кгс/кв.мм, удлинение до разрыва 16% – для изготовления соединительных деталей, работающих под средним и высоким уровнем нагрузки, в т.ч. для шарнирных болтов и муфт;</w:t>
      </w:r>
    </w:p>
    <w:p w14:paraId="33AD3798"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сталь марки 40 горяче-катанная в прутках, разрушающие напряжения на разрыв и сжатие 55 кгс/кв.мм, на срез 44 кгс/кв.мм, суммарные в неподвижных сочленениях 71 кгс/кв.мм, малоподвижных – 35,5 кгс/кв.мм, подвижных – 11 кгс/кв.мм, удлинение до разрыва 16% – для изготовления соединительных деталей, работающих под средним уровнем нагрузки, в т.ч. для шарнирных болтов и муфт;</w:t>
      </w:r>
    </w:p>
    <w:p w14:paraId="173A943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марки 50 горяче-катанная в прутках, разрушающие напряжения на разрыв и сжатие 65 кгс/кв.мм, на срез 52 кгс/кв.мм, суммарные в неподвижных сочленениях 84 кгс/кв.мм, малоподвижных – 42 кгс/кв.мм, подвижных – 13 кгс/кв.мм, удлинение до разрыва 14% – для изготовления соединительных деталей, работающих под высоким уровнем нагрузки, в т.ч. для шарнирных болтов и муфт;</w:t>
      </w:r>
    </w:p>
    <w:p w14:paraId="3D53EAB3"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хромоникелевая сталь 20ХН3А в прутках в отожженном и состаренном состоянии, разрушающие напряжения на разрыв 57 кгс/кв.мм, на сжатие 55 кгс/кв.мм, на срез 44 кгс/кв.мм, суммарные в неподвижных сочленениях 71 кгс/кв.мм, удлинение 16% – для изготовления проушин, чертежных гаек. муфт и др. крепежных деталей в неподвижных соединениях, работающих под средним уровнем нагрузки;</w:t>
      </w:r>
    </w:p>
    <w:p w14:paraId="575FB92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20ХН3А в прутках нормализованных с последующей закалкой с высшим отпуском – разрушающие напряжения на разрыв и сжатие 85 кгс/кв.мм, на срез 68 кгс/кв.мм, суммарные в неподвижных сочленениях 11 кгс/кв.мм, удлинение 8% – для изготовления таких же деталей, работающих только на срез, на сжатие или на разрыв без комбинированных воздействий при повышенных напряжениях, в т.ч. для шестерен механизмов шасси, роликов систем тросового управления;</w:t>
      </w:r>
    </w:p>
    <w:p w14:paraId="0E4E1A9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20ХН3А в прутках нормализованных с последующей закалкой без отпуска – разрушающие напряжения на 100…120 кгс/кв.мм, на срез 80 кгс/кв.мм, суммарные в неподвижных сочленениях 130…156 кгс/кв.мм, удлинение 5% – для изготовления таких же деталей, работающих в неподвижных соединениях, где нет сжатия только на срез при особо высоких напряжениях;</w:t>
      </w:r>
    </w:p>
    <w:p w14:paraId="655F6A33"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высокопрочная хромо-молибденовая сталь 30ХМА в прутках с закалкой до напряжений на разрыв 70 кгс/кв.мм, на срез 56 кгс/кв.мм, на смятие и суммарно в неподвижных соединениях 91 кгс/кв.мм для стыковых болтов соединения крупных агрегатов, работающих под большим уровнем нагрузки;</w:t>
      </w:r>
    </w:p>
    <w:p w14:paraId="187A01B8"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30ХМА в прутках с закалкой в масле до достижения напряжений на разрыв 110 кгс/кв.мм, на срез 88 кгс/кв.мм, на смятие и суммарно в неподвижных соединениях 143 кгс/кв.мм с допустимым удлинением 8% для стыковых болтов соединения крупных агрегатов, работающих под большим уровнем нагрузки;</w:t>
      </w:r>
    </w:p>
    <w:p w14:paraId="1BA0A57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30ХМА в прутках с закалкой в масле до достижения напряжений на разрыв 130 кгс/кв.мм, на срез 104 кгс/кв.мм, на смятие и суммарно в неподвижных соединениях 169 кгс/кв.мм с допустимым удлинением 5% для стыковых болтов соединения крупных агрегатов, работающих под особо большим уровнем нагрузки;</w:t>
      </w:r>
    </w:p>
    <w:p w14:paraId="7CF9AEB5"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30ХМА в трубах нормализованных с напряжением на разрыв 70 кгс/кв.мм, на срез 56 кгс/кв.мм и суммарно 91 кгс/кв.мм, удлинение 11% для деталей силового набора крыла, работающих под средними нагрузками, примеры номенклатуры и применяемости – см. ниже;</w:t>
      </w:r>
    </w:p>
    <w:p w14:paraId="11B05117"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30ХМА в трубах с закалкой в масле с напряжением на разрыв 110 кгс/кв.мм, на срез 88 кгс/кв.мм и суммарно 143 кгс/кв.мм, удлинение 8% для деталей силового набора крыла, работающих под большими нагрузками, примеры номенклатуры и применяемости – см. ниже;</w:t>
      </w:r>
    </w:p>
    <w:p w14:paraId="3423923C"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30ХМА в трубах с закалкой в масле с напряжением на разрыв 130 кгс/кв.мм, на срез 100 кгс/кв.мм и суммарно 169 кгс/кв.мм, удлинение 8% для деталей силового набора крыла, работающих под особо большими нагрузками, примеры номенклатуры и применяемости – см. ниже;</w:t>
      </w:r>
    </w:p>
    <w:p w14:paraId="53ADC816"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30ХМА в трубах 45х40, 45х41, 40х35,и 40х36, 25х22, 20х17 для изготовления ферменных лонжеронов;</w:t>
      </w:r>
    </w:p>
    <w:p w14:paraId="4CE1C7F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30ХМА в листах в отожженном состоянии с прочностью на разрыв 45 кгс/кв.мм, на срез – 36 кгс/кв.мм и суммарно в неподвижных соединениях 58 кгс кгс/кв.мм, удлинение 16% для изготовления сборных кронштейнов, стыковых узлов, а также деталей типа книц и усиливающих накладок, работающих под средними нагрузками;</w:t>
      </w:r>
    </w:p>
    <w:p w14:paraId="0CC20024"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30ХМА в листах в отожженном состоянии с прочностью на разрыв 45 кгс/кв.мм, на срез – 36 кгс/кв.мм и суммарно в неподвижных соединениях 58 кгс кгс/кв.мм, удлинение 16% для изготовления подвергаемых гибке деталей сборных кронштейнов, стыковых узлов, а также деталей типа ребер жесткости, книц и усиливающих накладок, работающих под средними нагрузками;</w:t>
      </w:r>
    </w:p>
    <w:p w14:paraId="098C26A5"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30ХМА в листах в нормализованном состоянии с прочностью на разрыв 70 кгс/кв.мм, на срез – 56 кгс/кв.мм и суммарно в неподвижных соединениях 91 кгс кгс/кв.мм, удлинение 11% для изготовления сборных кронштейнов, стыковых узлов, а также деталей типа книц и усиливающих накладок, работающих под высокими нагрузками;</w:t>
      </w:r>
    </w:p>
    <w:p w14:paraId="60B338F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нержавеющая мягкая марка ОСТ – №0, ВСТУ – С2760, напряжение на разрыв 60 кгс/кв.мм, удлинение 60% для изготовления крепежных хомутов сборных, кронштейнов и пр. деталей и узлов с применением деформирующих операций, работающих под малыми и средними нагрузками в местах, где есть опасность коррозии или там, где это нужно по технологическим соображениям (значительные деформации при изготовлении деталей);</w:t>
      </w:r>
    </w:p>
    <w:p w14:paraId="569C6DC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нержавеющая средней твердости холодно-катанная марка ОСТ – №1, ВСТУ – С27110, напряжение на разрыв 110 кгс/кв.мм, удлинение 15% для изготовления крепежных хомутов сборных, кронштейнов и пр. деталей и узлов с применением деформирующих операций, работающих под средними и большими нагрузками в местах, где есть опасность коррозии;</w:t>
      </w:r>
    </w:p>
    <w:p w14:paraId="4A2D8C7E"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 нержавеющая твердая холодно-катанная марка ОСТ – №2, ВСТУ – С27120, напряжение на разрыв 120 кгс/кв.мм, удлинение 10% для изготовления крепежных хомутов сборных, кронштейнов и пр. деталей и узлов с применением деформирующих операций, работающих под особо большими нагрузками в местах, где есть опасность коррозии;</w:t>
      </w:r>
    </w:p>
    <w:p w14:paraId="5073A5F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ролльно-проволочная пружинная сталь ОВС, напряжение на разрыв 150 кгс/кв.мм, для изготовления пружин механизмов, внутренних растяжек каркаса;</w:t>
      </w:r>
    </w:p>
    <w:p w14:paraId="7FB41AD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стальная лента – внутренние расчалки каркаса крыла;</w:t>
      </w:r>
    </w:p>
    <w:p w14:paraId="3B77EB27"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дюралюминий Д3 плакированный в листах и лентах с прочностью на разрыв и сжатие 36 кгс/кв.мм, на срез – 22 кгс/кв.мм и суммарно в неподвижных соединениях 52 кгс кгс/кв.мм, удлинение 15% для изготовления деталей кока винта, капота, зализов, нервюр элеронов и оперения, передних кромок стабилизатора и киля, куполов ниш ООШ, хвостового кока фюзеляжа, щитков основных опор шасси, приборной доски, сборных кронштейнов для установки оборудования и вооружения;</w:t>
      </w:r>
    </w:p>
    <w:p w14:paraId="028500A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дюралюминий Д3 плакированный в листах гофрированных с прочностью на разрыв вдоль волны 34 кгс/кв.мм, удлинение 10% для изготовления деталей внутреннего силового набора, оснований кронштейнов оборудования и интерьера кабины;</w:t>
      </w:r>
    </w:p>
    <w:p w14:paraId="4377A797"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дюралюминий Д3 плакированный в гнутых профилях с прочностью на разрыв и сжатие 30 кгс/кв.мм, на срез – 18 кгс/кв.мм и суммарно в неподвижных соединениях 42 кгс кгс/кв.мм, удлинение 8% для изготовления «змеек» и поясов нервюр крыла и рулевых поверхностей;</w:t>
      </w:r>
    </w:p>
    <w:p w14:paraId="60653548"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дюралюминий Д1 без покрытия в прутках диаметром 150 мм с прочностью на разрыв 32…36 кгс/кв.мм, на сжатие 32 кгс/кв.мм, на срез – 20 кгс/кв.мм и суммарно в неподвижных соединениях 50 кгс кгс/кв.мм, удлинение 8…12% для изготовления стыковых узлов неподвижных соединений, работающих под малыми и средними нагрузками;</w:t>
      </w:r>
    </w:p>
    <w:p w14:paraId="25B9EB7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дюралюминий Д1 без покрытия в трубах диаметром 20 мм с прочностью на разрыв и на сжатие 36 кгс/кв.мм, на срез – 22 кгс/кв.мм и суммарно в неподвижных соединениях 52 кгс кгс/кв.мм, удлинение 8% для изготовления тяг управления, работающих под малыми и средними нагрузками;</w:t>
      </w:r>
    </w:p>
    <w:p w14:paraId="688A112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дюралюминий Д1 без покрытия в трубах диаметром свыше 20 мм с прочностью на разрыв и на сжатие 38 кгс/кв.мм, на срез – 23 кгс/кв.мм и суммарно в неподвижных соединениях 52 кгс кгс/кв.мм, удлинение 10% для изготовления тяг управления, работающих под повышенными нагрузками (конечные тяги);</w:t>
      </w:r>
    </w:p>
    <w:p w14:paraId="13C22EB0"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дюралюминий Д2 без покрытия – заклепки диаметром 2 мм и выше с суммарно в неподвижных соединениях 20…23 кгс кгс/кв.мм, для соединения других деталей из дюраля или алюминия;</w:t>
      </w:r>
    </w:p>
    <w:p w14:paraId="1B85DE05"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дюралюминий Д4 (ВВ1) плакированный в листах и гнутых профилях с прочностью на разрыв 43….44 кгс/кв.мм и сжатие 43 кгс/кв.мм, на срез – 26 кгс/кв.мм и суммарно в неподвижных соединениях 60 кгс кгс/кв.мм, удлинение 15% для изготовления деталей кока сборных кронштейнов систем управления самолетом и шасси, а также для установки оборудования и вооружения, работающих под повышенными нагрузками;</w:t>
      </w:r>
    </w:p>
    <w:p w14:paraId="79A3359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дюралюминий Д6 (ВВ1) плакированный в листах и гнутых профилях с прочностью на разрыв и сжатие 46 кгс/кв.мм, на срез – 28 кгс/кв.мм и суммарно в неподвижных соединениях 64 кгс кгс/кв.мм, удлинение 8% для изготовления деталей кока сборных кронштейнов систем управления самолетом и шасси, а также для установки оборудования и вооружения, работающих под повышенными нагрузками и не подвергаемых значительным деформациям при изготовлении;</w:t>
      </w:r>
    </w:p>
    <w:p w14:paraId="054CB30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дюралюминий Д4 (ВВ2) плакированный в прутках и трубах с прочностью на разрыв и сжатие 43 кгс/кв.мм, на срез – 26 кгс/кв.мм и суммарно в неподвижных соединениях 60 кгс кгс/кв.мм, удлинение 8% для изготовления деталей кока сборных кронштейнов систем управления самолетом и шасси, а также для установки оборудования и вооружения, работающих под повышенными нагрузками и не подвергаемых значительным деформациям при изготовлении;</w:t>
      </w:r>
    </w:p>
    <w:p w14:paraId="6A7D226E"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алюминий АII и AIII (АМ.АТМ) с допустимым удлинением 20…25% в листах, лентах, трубах, прутках для изготовления деталей крепления оборудования;</w:t>
      </w:r>
    </w:p>
    <w:p w14:paraId="5D9EBEB6"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латунь Л62 в проволоке, листах, толстостенных трубах с прочностью на разрыв 50 кгс/кв.мм, удлинение 2% для изготовления проушин, муфт и втулок подвижных соединений, работающих под средними и большими нагрузками;</w:t>
      </w:r>
    </w:p>
    <w:p w14:paraId="2E07236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латунь Л59 в прутках с прочностью на разрыв 35 кгс/кв.мм, удлинение 15% для изготовления шарнирных болтов, муфт и втулок подвижных соединений, работающих под малыми нагрузками;</w:t>
      </w:r>
    </w:p>
    <w:p w14:paraId="62E63E12"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латунь (так в документе) МС15 в литье с прочностью на разрыв 45 кгс/кв.мм, удлинение 37% для изготовления деталей сложной формы механизмов и подвижных соединений, работающих под большими нагрузками;</w:t>
      </w:r>
    </w:p>
    <w:p w14:paraId="35E82AF5"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бронза Бр.ОЦС (МС5) в литье с прочностью на разрыв 15…18 кгс/кв.мм, удлинение 8…4% для изготовления деталей сложной формы механизмов и подвижных соединений, работающих под малыми нагрузками;</w:t>
      </w:r>
    </w:p>
    <w:p w14:paraId="26C4BA7E"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бронза Бр.ОФ (МС6) в литье с прочностью на разрыв 20…25 кгс/кв.мм, удлинение 15% для изготовления деталей сложной формы механизмов и подвижных соединений, работающих под малыми нагрузками;</w:t>
      </w:r>
    </w:p>
    <w:p w14:paraId="6433442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медь М2 (М1) в проволоке и трубах с оксидацией с прочностью на разрыв 20 кгс/кв.мм, удлинение 25% для изготовления электропроводки, трубопроводов систем и крепежных деталей оборудования, работающих под малыми нагрузками;</w:t>
      </w:r>
    </w:p>
    <w:p w14:paraId="1DCB220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покрытия металлических деталей – только там, где указано выше;</w:t>
      </w:r>
    </w:p>
    <w:p w14:paraId="14E447EC"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тросы стальные стандартные с пропиткой маслом с прочностью на разрыв 180 кгс/кв.мм для изготовления проводки управления самолетом, силовой установкой и шасси;</w:t>
      </w:r>
    </w:p>
    <w:p w14:paraId="14A7EE1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шнуры резиновые амортизационные для установки лыж зимнего шасси;</w:t>
      </w:r>
    </w:p>
    <w:p w14:paraId="0966D662"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древесина твердых пород (сосна и ясень) предварительно высушенная в штабеле и пропитанная антисептиком в рейках массиве для изготовления лонжеронов, стрингеров, окантовок вырезов, бобышек фюзеляжа;</w:t>
      </w:r>
    </w:p>
    <w:p w14:paraId="493B2D24"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фанера березовая «Прима» толщиной 3, 4 и 5 мм с числом слоев 3 или 5 со склейкой казеином прочностью на разрыв вдоль волокон 700 кгс/кв.см, под 45 град. – 150 кгс/кв.см, поперек – 400 кгс/кв.см, на кол по склейке вдоль волокон 15 кгс/кв.см, под 45 град. – 7 кгс/кв.см;</w:t>
      </w:r>
    </w:p>
    <w:p w14:paraId="7E3F991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фанера березовая «Прима» толщиной 6 мм с числом слоев 5 или 7 со склейкой казеином прочностью на разрыв вдоль волокон 700 кгс/кв.см, поперек – 450 кгс/кв.см для изготовления шпангоутов и усилений фюзеляжа, работающих под нагрузкой в своей плоскости;</w:t>
      </w:r>
    </w:p>
    <w:p w14:paraId="68E1E1F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фанера березовая «Прима» толщиной 8 мм с числом слоев 5 или 7 со склейкой казеином прочностью на разрыв вдоль волокон 610 кгс/кв.см, поперек – 450 кгс/кв.см, работающих под нагрузкой в своей плоскости там, где есть незначительные нагрузки на изгиб из своей плоскости;</w:t>
      </w:r>
    </w:p>
    <w:p w14:paraId="3CA6F1C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березовый шпон в ленте для выклеивания силовой обшивки фюзеляжа, см. ниже;</w:t>
      </w:r>
    </w:p>
    <w:p w14:paraId="6B968E2C"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покрытие деревянных деталей изнутри – серая масляная эмаль в один слой, снаружи </w:t>
      </w:r>
      <w:r w:rsidRPr="0044524F">
        <w:rPr>
          <w:rFonts w:ascii="Times New Roman" w:hAnsi="Times New Roman"/>
          <w:color w:val="000000" w:themeColor="text1"/>
          <w:sz w:val="16"/>
          <w:szCs w:val="16"/>
        </w:rPr>
        <w:softHyphen/>
        <w:t>– шпатлевка, грунтовка и маскировочная покраска по утвержденной схеме;</w:t>
      </w:r>
    </w:p>
    <w:p w14:paraId="09D92C3E"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перкаль для обшивки крыла и оперения полностью, включая рулевые поверхности;</w:t>
      </w:r>
    </w:p>
    <w:p w14:paraId="6B82FC8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после установки на каркас перкалевые обшивки пропитываются нитролаком эмалит, что дает их натяжку и влагоустойчивость, грунтуются и красятся так же, как и деревянные;</w:t>
      </w:r>
    </w:p>
    <w:p w14:paraId="1B1F5F47"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целлулоид листовой применяется для изготовления прозрачных частей фонаря кабины и окон в куполах колес основных опор шасси, через которые летчик со своего места может видеть положение этих опор;</w:t>
      </w:r>
    </w:p>
    <w:p w14:paraId="1D96E72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обрезка деталей из профилей, труб и реек, а также выкройка плоских деталей простой формы из листового металла и фанеры – по разметке, сложных – по шаблонам;</w:t>
      </w:r>
    </w:p>
    <w:p w14:paraId="412EC47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формовка листовых металлических деталей одинарной кривизны из мягкого материала – гибкой вручную по месту с немедленным креплением, из жесткого – в вальцах или на оправках вручную или в прессах (в основном, также ручных), труб – с заполнением песком;</w:t>
      </w:r>
    </w:p>
    <w:p w14:paraId="3A35033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формовка листовых металлических деталей двойной кривизны – ручной выколоткой на болванах (везде предусмотрена возможность и механической штамповки при наличии такого оборудования и возможностей изготовлять штампы);</w:t>
      </w:r>
    </w:p>
    <w:p w14:paraId="1ECA49D3"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литье применено ограничено для медных сплавов;</w:t>
      </w:r>
    </w:p>
    <w:p w14:paraId="517EF77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для деталей сложной формы, изготавливаемых фрезерованием, допускается делать поковки из прутков;</w:t>
      </w:r>
    </w:p>
    <w:p w14:paraId="0EE9A6C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планер самолета разделен технологически на фюзеляж зацело с центропланом и передней частью закабинного гаргрота, фонарь кабины, заднюю часть закабинного гаргрота, хвостовой кок фюзеляжа, левую и правую консоли крыла, левую и правую консоли стабилизатора, киль, рулевые поверхности, а также зализы стыка крыла и оперения с фюзеляжем, кок винта, внутренний и внешний капоты входят в конструкцию силовой установки (винтомоторной группы – ВМГ), щитки ниш ООШ – шасси;</w:t>
      </w:r>
    </w:p>
    <w:p w14:paraId="34B0838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соединение деталей из стали в основном на сварке в приспособлениях с последующей нормализацией во избежание деформаций, в ответственных местах (а таковы почти все соединения деталей из стали 50, 20ХН3А, 30ЗМА) – с рентген-контролем;</w:t>
      </w:r>
    </w:p>
    <w:p w14:paraId="72B38ED6"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 ряде мест применены болтовые соединения (в местах, подгонка которых сложна, применены болты с коническим телом), контровка шплинтами в местах, подверженных интенсивным вибрациям, в остальных применены самоконтрящиеся гайки, самотормозящие резьбы или кернение;</w:t>
      </w:r>
    </w:p>
    <w:p w14:paraId="6D7BA70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соединение деталей из дюраля – на алюминиевых заклепках с установкой с двусторонним подходом, в отдельных случаях – на болтах (где двустороннего подхода для клепки нет, в ряде мест применены анкерные гайки);</w:t>
      </w:r>
    </w:p>
    <w:p w14:paraId="3BC44237"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сборка всех крупных агрегатов – в своих приспособлениях (на этапе проектирования речь об увязке их через общий плаз не шла, но Поликарпов этот вопрос уже прорабатывал еще до закупки в США технологии ПШМ);</w:t>
      </w:r>
    </w:p>
    <w:p w14:paraId="732CFD23"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большинство подвижных болтовых соединений не имеют никаких контровочных деталей, от отворачивания вибрацией гайки предохраняются кернением;</w:t>
      </w:r>
    </w:p>
    <w:p w14:paraId="1FF81AA8"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окончательная сборка самолета, в т.ч. навеска рулевых поверхностей и опор шасси, установка оборудования и вооружения – внестапельная с применением козелков или подъемников, все крупные агрегаты допускают перемещение и подъем вручную;</w:t>
      </w:r>
    </w:p>
    <w:p w14:paraId="0C236B16"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нивелировка планера и регулировка систем с одновременным натяжением тросов управления до заданной стрелы прогиба – «на весу» (т.е. вне стапеля) с применением специального инструмента для измерения угловых и линейных размеров;</w:t>
      </w:r>
    </w:p>
    <w:p w14:paraId="45CFEC7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проверка электрической системы – на самолете с двигателем и приборами с помощью универсальной контрольно-измерительной аппаратуры.</w:t>
      </w:r>
    </w:p>
    <w:p w14:paraId="54AFFB15"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Общее примечание: указанная здесь аэродинамическая схема, компоновка самолета, номенклатура применяемых материалов и технологий были подробно проработаны уже во время выполнения предварительного проекта и остались такими же на опытных образцах и первой серийной модификации, технологическое членение подверглось существенному изменению, о чем будет сказано в разделе, посвященному утвержденному к постройке эскизному проекту самолета, конструкция же планера и систем была проработана лишь в общих чертах и расчет их велся по упрощенным эмпирическим методикам.</w:t>
      </w:r>
    </w:p>
    <w:p w14:paraId="7E402AA5"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Силовая установка:</w:t>
      </w:r>
    </w:p>
    <w:p w14:paraId="7EB0E9DC"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один 9-цилиндровый звездообразный двигатель воздушного охлаждения установлен в носовой части фюзеляжа;</w:t>
      </w:r>
    </w:p>
    <w:p w14:paraId="640888BE"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для самолетов проектируемых истребителей, биплана ЦКБ-3 и моноплана ЦКБ-12 Поликарпов предлагал закупить в США лицензию на выпуск двигателей Райт R-1820-F3 или F50 «Циклон» с приводным центробежным нагнетателем и редуктором (варианты, разрешенные в США к экспорту с обозначением по гражданской сертификации, также действовало SGR R-1820-F3/F50, где S – “supercharger”, т.е. нагнетатель, G – “gear”, редуктор, в СССР для двигателя Райт R-1820-F3 «Циклон» производства США действовало обозначение РЦФ-3;</w:t>
      </w:r>
    </w:p>
    <w:p w14:paraId="3672C98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двигателя Райт R-1820-F3 «Циклон» на взлете 710 л.с., номинальная на границе высотности – 720 л.с.;</w:t>
      </w:r>
    </w:p>
    <w:p w14:paraId="6CAAE89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капотировка двигателя рассматривалась в двух основных вариантах с капотом в виде кольца Тауненда и типа NACA с различной длиной (с 9 августа 1933 г., когда уже шло рабочее проектирование самолета, в аэродинамической лаборатории Военно-Воздушной Академии при участии профессора Б.Н. Юрьева проведены продувки моделей фюзеляжа с пятью вариантами колец Тауненда и шестью вариантами капота NACA);</w:t>
      </w:r>
    </w:p>
    <w:p w14:paraId="73AA7FF6"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во всех вариантах капотировка двигателя состоит из внутреннего и внешнего капотов;</w:t>
      </w:r>
    </w:p>
    <w:p w14:paraId="6EFBF1B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внутренний капот во всех вариантах состоит из каркаса и съемных панелей – передней с воздухозаборником ПЦН, девятью лобовыми отверстиями с регулируемым из кабины сечением для прохода воздуха на охлаждение картера и оснований цилиндров, девятью задними для выхода головок цилиндров и двумя нижними для выхода выхлопных коллекторов;</w:t>
      </w:r>
    </w:p>
    <w:p w14:paraId="52758C64"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внешний капот типа кольцо Тауненда состоит из трубчатого каркаса и собственно капота в виде профилированного кольца сравнительно малой длины;</w:t>
      </w:r>
    </w:p>
    <w:p w14:paraId="0297C31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преимущества капота типа кольцо Тауненда заключаются в его простоте и изученности в СССР (такой капот применен на истребителе И-5), малом весе, малых металло- и трудоемкости изготовления и ремонта;</w:t>
      </w:r>
    </w:p>
    <w:p w14:paraId="1324901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преимущества капота типа NACA заключаются в большем снижении общего сопротивления силовой установки, возможности регулировки охлаждения и головок его цилиндров;</w:t>
      </w:r>
    </w:p>
    <w:p w14:paraId="7CB7AAE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воздушный винт трехлопастный двухпозиционный с гидравлическим управлением из кабины от маслосистемы мотора (что R-1820 позволял) – предложено закупить лицензию на такой воздушный винт у американской фирмы «Гамильтон Стандард»;</w:t>
      </w:r>
    </w:p>
    <w:p w14:paraId="2D253345"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кок винта конический минимальных размеров закрывает только переднюю часть ступицы;</w:t>
      </w:r>
    </w:p>
    <w:p w14:paraId="072CAA92"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принцип работы топливной системы подобен таковой на самолете И-5 с наддувом баков от трубки Вентури;</w:t>
      </w:r>
    </w:p>
    <w:p w14:paraId="579867F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маслосистема закрытая циркуляционного типа с принудительной прогонкой и охлаждением масла в баке – обычная для самолетов того времени;</w:t>
      </w:r>
    </w:p>
    <w:p w14:paraId="0CD9997F"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механическая проводка управления двигателем и воздушным винтом тросовая;</w:t>
      </w:r>
    </w:p>
    <w:p w14:paraId="12E24F0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контроль работы двигателя – тахометром, указателем температуры масла;</w:t>
      </w:r>
    </w:p>
    <w:p w14:paraId="0EFF0B6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запуск двигателя – прокруткой воздушного винта вручную или автостартером с предварительной заливкой цилиндров бензином ручным насосом минуя карбюратор;</w:t>
      </w:r>
    </w:p>
    <w:p w14:paraId="69661170"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выхлоп в варианте с кольцом Тауненда – через короткие патрубки на каждом выпускном клапане назад;</w:t>
      </w:r>
    </w:p>
    <w:p w14:paraId="0BB7E26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выхлоп в варианте с капотом NACA – через два коллектора (один на пять цилиндров, другой на четыре), выходные патрубки которых выведены между внутренним и внешним капотами под фюзеляж.</w:t>
      </w:r>
    </w:p>
    <w:p w14:paraId="28759F20"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Общие особенности конструкции каркаса планера:</w:t>
      </w:r>
    </w:p>
    <w:p w14:paraId="4366655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лонжероны и нервюры крыла и оперения ферменные;</w:t>
      </w:r>
    </w:p>
    <w:p w14:paraId="4A49B455"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все нервюры консолей и рулевых поверхностей крыла и оперения кроме бортовых киля и стабилизатора и подкосной нервюры киля пущены «по потоку»;</w:t>
      </w:r>
    </w:p>
    <w:p w14:paraId="08980DE7"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консоли крыла и оперения крепятся к центроплану и каркасу фюзеляжа по поясам лонжеронов моментными узлами;</w:t>
      </w:r>
    </w:p>
    <w:p w14:paraId="4C5A1568"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навеска рулевых поверхностей – нерегулируемыми шарнирными узлами с шарикоподшипниками.</w:t>
      </w:r>
    </w:p>
    <w:p w14:paraId="36F4235A"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Крыло:</w:t>
      </w:r>
    </w:p>
    <w:p w14:paraId="4EFD151A"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рассматривались, по меньшей мере, два различных профиля крыла, все – двояковыпуклые высоконесущие, но умеренной относительной толщины, ко времени утверждения предварительного проекта самолета ЦКБ-12 окончательно он не был еще определен и 9 августа 1933 г. Поликарпов направил запрос на продувку двух моделей крыла разной конфигурации в ЦАГИ, по результатам анализа которых был выбран профиль типа Кларк-У одинаковой по размаху относительной толщиной;</w:t>
      </w:r>
    </w:p>
    <w:p w14:paraId="5E1F656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на виде в плане «базовое» (расчетное) крыло трапециевидное с относительным удлинением 5,5 и сужением около 2, линия четвертей хорд, близкая к фактической линии центров давления (фокусов) сечений крыла проходит под прямым углом к плоскости симметрии самолета, что выгодно с точки зрения достижения наибольшего аэродинамического качества;</w:t>
      </w:r>
    </w:p>
    <w:p w14:paraId="75811965"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угол установки крыла положительный, крутки нет;</w:t>
      </w:r>
    </w:p>
    <w:p w14:paraId="74B82BC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законцовки действительного контура крыла на виде в плане скругленные дугами «деформированных эллипсов, причем передняя более выпуклая чем задняя, чем достигается снижение интенсивности концевых вихрей и производимого в основном ими индуктивного аэродинамического сопротивления;</w:t>
      </w:r>
    </w:p>
    <w:p w14:paraId="587372E3"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поперечное V положительное по плоскостям хорд, но малое – линия наибольших строительных высот левой и правой консолей лежит в одной плоскости, чем надеялись минимизировать потери подъемной силы за сет поперечного V, необходимого для исключения избыточной статической устойчивости по курсу и возникновения неустойчивости динамической – раскачки при вираже;</w:t>
      </w:r>
    </w:p>
    <w:p w14:paraId="600B5E55"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крыло состоит из узкого центроплана, технологически являющегося частью фюзеляжа (его бортовые нервюры лишь незначительно выходят за борта фюзеляжа), и левой и правой отъемных частей (ОЧК – консолей), на каждой из которых установлена одна секция элерона;</w:t>
      </w:r>
    </w:p>
    <w:p w14:paraId="2F2EC3F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относительный размах элеронов около 45%;</w:t>
      </w:r>
    </w:p>
    <w:p w14:paraId="302183F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элероны (как и остальные рулевые поверхности) имеют осевую компенсацию и весовую балансировку 100%;</w:t>
      </w:r>
    </w:p>
    <w:p w14:paraId="10D0B0B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каркас консоли крыла состоит из двух лонжеронов, нервюр, внутренних растяжек и кромочных профилей, обшивка – перкаль;</w:t>
      </w:r>
    </w:p>
    <w:p w14:paraId="31190EDD"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лонжероны крыла идут с сужением по образующим его наружных контуров;</w:t>
      </w:r>
    </w:p>
    <w:p w14:paraId="295C03B6"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носки, межлонжеронные части и хвостики нервюр вне зон элеронов после сборки ОЧК представляют собой единое целое;</w:t>
      </w:r>
    </w:p>
    <w:p w14:paraId="4A072546"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каркас элеронов состоит из лонжерона, лобика, концевого профиля и нервюр, обшивка – перкаль;</w:t>
      </w:r>
    </w:p>
    <w:p w14:paraId="0F2DC533"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зализы в сопряжении крыла и фюзеляжа представляют собой отдельные дюралевые детали, изготавливаемые выколоткой и устанавливаемые на винтах.</w:t>
      </w:r>
    </w:p>
    <w:p w14:paraId="69F2F60A"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w:t>
      </w:r>
    </w:p>
    <w:p w14:paraId="28D5C68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вместе с не входящим в его конструкцию технологически внутренним капотом мотора основное тело фюзеляжа имеет каплевидную форму с круговыми сечениями, с малой длиной и малым удлинением, из него выступают центроплан, закрытый фонарь кабины и гаргрот за ним;</w:t>
      </w:r>
    </w:p>
    <w:p w14:paraId="2C2E34A3"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основное тело фюзеляжа представляет собой полумонокок со сравнительно мощным силовым набором и работающей обшивкой, в его конструкцию включены центроплан крыла и передняя часть закабинного гаргрота (подобным образом фюзеляж Поликарповым ранее был сделан для самолета И-3);</w:t>
      </w:r>
    </w:p>
    <w:p w14:paraId="03A613E8"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центроплан с ферменным силовым набором из стянутых расчалками стальных труб (по конструкции он подобен набору ОЧК, но лонжероны установлены под прямым углом к ПСС, а нервюры состоят только из межлонжеронных частей) является основной и самой мощной частью силового набора фюзеляжа, на который сходятся все нагрузки;</w:t>
      </w:r>
    </w:p>
    <w:p w14:paraId="155651B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остальной силовой набор фюзеляжа состоит из лонжеронов, стрингеров и шпангоутов, а также окантовки выреза кабины;</w:t>
      </w:r>
    </w:p>
    <w:p w14:paraId="2B89E0A7"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фонарь кабины состоит из неподвижного лобового козырька, откидывающейся вправо средней части и трех задних стекол – двух треугольных боковых и трапециевидного верхнего, вделанных в закабинный гаргрот;</w:t>
      </w:r>
    </w:p>
    <w:p w14:paraId="637C3438"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лобовой козырек состоит из каркаса, двух боковых конических и одного верхнего сферического стекол, в профиль каркаса, соединяющий боковые стекла по ПСС, вделано кольцо для установки телескопического прицела;</w:t>
      </w:r>
    </w:p>
    <w:p w14:paraId="2EEC221C"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открывающаяся средняя часть фонаря кабины состоит из каркаса, двух боковых плоских стекол трапециевидной формы в плане и одного верхнего цилиндрического стекла, развертка которого представляет из себя прямоугольник;</w:t>
      </w:r>
    </w:p>
    <w:p w14:paraId="33E556E0"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задняя часть фонаря кабины легкая съемная, открывает доступ в закабинный отсек к передним узлам навески стабилизатора и киля;</w:t>
      </w:r>
    </w:p>
    <w:p w14:paraId="0042ACE4"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передняя часть закабинного гаргрота силовая, делается с остальным телом фюзеляжа зацело и является противокапотажной защитой головы летчика;</w:t>
      </w:r>
    </w:p>
    <w:p w14:paraId="18EF4E5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хвостовой кок фюзеляжа изготавливается выколоткой или штамповкой из двух половин (полуфабрикат – дюралевый лист) на общем каркасе из дюралевых же профилей, он съемный, открывает доступ к механизмам управления рулями высоты и направления, а также хвостовым костылем, к задним стыковым узлам стабилизатора и киля.</w:t>
      </w:r>
    </w:p>
    <w:p w14:paraId="2F9C48B4"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Оперение:</w:t>
      </w:r>
    </w:p>
    <w:p w14:paraId="199DE9F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однокилевое, установлено на хвостовой части фюзеляжа с очень малым плечом, поскольку она короткая, при этом относительная площадь горизонтального оперения первоначально выбрана также очень малой, порядка 10% в надежде, что самолет с малым запасом статической устойчивости будет иметь повышенную чувствительность к отклонению руля высоты, что обеспечит управляемость, но оставался вопрос простоты управления и безопасности полета;</w:t>
      </w:r>
    </w:p>
    <w:p w14:paraId="5A25FDE6"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горизонтальное оперение (ГО) состоит из стабилизатора, консоли которого имеют треугольную в плане форму с большим сужением и скругленную дугой малого постоянного радиуса законцовкой, и руля высоты из соединенных лонжеронами зацело левого и правого перьев с прямой передней кромкой и задней в виде неравномерно деформированного эллипса – его кривизна к корневой части увеличивается и тем самым обеспечивается проем между «перьями» РВ для свободного перемещения руля направления при отклоненном вверх РВ;</w:t>
      </w:r>
    </w:p>
    <w:p w14:paraId="7E8A57D6"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силовой набор консоли стабилизатора состоит из двух лонжеронов, идущих под прямым углом к ПСС, бортовой и рядовых нервюр, а также дюралевого лобика;</w:t>
      </w:r>
    </w:p>
    <w:p w14:paraId="1C58B38A"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консоли стабилизатора крепятся моментными узлами на поясах лонжеронов к каркасу фюзеляжа так, что угол установки его может регулироваться на земле по фактической центровке самолета для достижения нормальной статической устойчивости;</w:t>
      </w:r>
    </w:p>
    <w:p w14:paraId="11EC864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киль установлен под углом 2 град. влево от ПСС для компенсации реактивного момента воздушного винта (с учетом направления его вращения на редукторном моторе SGR-1820-F);</w:t>
      </w:r>
    </w:p>
    <w:p w14:paraId="39E84722"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форма киля на виде в плане подобна консоли стабилизатора, а форма руля направления подобна «перу» РВ, но киль и РН имеют значительно большие площади и несколько иные пропорции;</w:t>
      </w:r>
    </w:p>
    <w:p w14:paraId="1EFDA810"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силовой набор киля состоит из двух лонжеронов (передний стреловидный, идущий по его образующей, задний главный под прямым углом к ПСС), бортовой, внутренней подкосной и рядовых нервюр, а также дюралевого лобика;</w:t>
      </w:r>
    </w:p>
    <w:p w14:paraId="042536F2"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консоли киля крепятся моментными узлами на поясах лонжеронов к каркасу фюзеляжа.</w:t>
      </w:r>
    </w:p>
    <w:p w14:paraId="22B9A02E"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Система управления самолетом:</w:t>
      </w:r>
    </w:p>
    <w:p w14:paraId="4642DC6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обычного типа с тремя независимыми каналами – тангажа, крена (ручка управления самолетом) и курса (педали);</w:t>
      </w:r>
    </w:p>
    <w:p w14:paraId="0E0D3CA6"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проводка предусмотрена смешанная, но пока прорабатывалась только ее кинематика.</w:t>
      </w:r>
    </w:p>
    <w:p w14:paraId="2CDC63C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w:t>
      </w:r>
    </w:p>
    <w:p w14:paraId="1DEBA67A"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трехопорное с хвостовым костылем;</w:t>
      </w:r>
    </w:p>
    <w:p w14:paraId="745E551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предусмотрены сменные летний вариант шасси с установкой на основные опоры колес с тормозами и лыжный с установкой лыж на основные и костыльную опоры;</w:t>
      </w:r>
    </w:p>
    <w:p w14:paraId="61F3F540"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основные опоры шасси пирамидального типа при установке колес полностью убирающиеся в консольные части и центроплан крыла, ниши при этом полностью закрываются щитками, при установке лыж на стойки основных опор устанавливаются обтекатели, а сами они – фиксируются в выпущенном положении;</w:t>
      </w:r>
    </w:p>
    <w:p w14:paraId="67148F9C"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амортизация всех опор масловоздушная;</w:t>
      </w:r>
    </w:p>
    <w:p w14:paraId="1AD63B13"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уборка и выпуск основных опор шасси – ручной лебедкой с тросовым механизмом, щитки ниш кинематически связаны со стойками;</w:t>
      </w:r>
    </w:p>
    <w:p w14:paraId="27A514DB"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костыльная опора шасси неубирающаяся управляемая вместе с рулем направления.</w:t>
      </w:r>
    </w:p>
    <w:p w14:paraId="031DDDF2"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p w14:paraId="2BD82BDC"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два пулемета новой конструкции калибра 7,62 мм с повышенной скорострельностью, которые разрабатывало КБ-15 под руководством Шпитального и Комарицкого;</w:t>
      </w:r>
    </w:p>
    <w:p w14:paraId="1F177171"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пулеметы установлены в крыле вне диска винта;</w:t>
      </w:r>
    </w:p>
    <w:p w14:paraId="6167B059"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прицел телескопический.</w:t>
      </w:r>
    </w:p>
    <w:p w14:paraId="61E53E4A" w14:textId="77777777" w:rsidR="005A3A2B" w:rsidRPr="0044524F" w:rsidRDefault="005A3A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Остальные системы пока не прорабатывались (24115).</w:t>
      </w:r>
    </w:p>
    <w:p w14:paraId="329395AB" w14:textId="77777777" w:rsidR="005A3A2B" w:rsidRPr="0044524F" w:rsidRDefault="005A3A2B" w:rsidP="009654CF">
      <w:pPr>
        <w:spacing w:after="0" w:line="240" w:lineRule="auto"/>
        <w:jc w:val="both"/>
        <w:rPr>
          <w:rFonts w:ascii="Times New Roman" w:hAnsi="Times New Roman"/>
          <w:color w:val="000000" w:themeColor="text1"/>
          <w:sz w:val="16"/>
          <w:szCs w:val="16"/>
        </w:rPr>
      </w:pPr>
    </w:p>
    <w:p w14:paraId="4367EB83" w14:textId="44BF451C" w:rsidR="00FC65C5" w:rsidRPr="0044524F" w:rsidRDefault="001A42D5" w:rsidP="009654C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4C2C7A0"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3F71001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февраля 1933 г. была ШИФРОВКА. № 4282 с денесением № 21239</w:t>
      </w:r>
    </w:p>
    <w:p w14:paraId="6D1D70A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Хабаровска Ягоде (доложено Сталину)</w:t>
      </w:r>
    </w:p>
    <w:p w14:paraId="1D78CCD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 xml:space="preserve">Рез. Сталина: </w:t>
      </w:r>
      <w:r w:rsidRPr="0044524F">
        <w:rPr>
          <w:rFonts w:ascii="Times New Roman" w:hAnsi="Times New Roman"/>
          <w:iCs/>
          <w:color w:val="000000" w:themeColor="text1"/>
          <w:sz w:val="16"/>
          <w:szCs w:val="16"/>
          <w:u w:val="single"/>
        </w:rPr>
        <w:t>т. Молотову.</w:t>
      </w:r>
      <w:r w:rsidRPr="0044524F">
        <w:rPr>
          <w:rFonts w:ascii="Times New Roman" w:hAnsi="Times New Roman"/>
          <w:iCs/>
          <w:color w:val="000000" w:themeColor="text1"/>
          <w:sz w:val="16"/>
          <w:szCs w:val="16"/>
        </w:rPr>
        <w:t xml:space="preserve"> Надо бы опубликовать.</w:t>
      </w:r>
    </w:p>
    <w:p w14:paraId="3E57BAF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 января Камчатке здании Устьбольшерецкой авиационной базы гражданского воздушного флота возник пожар, быстро ликвидированный силами местного морского КПП. Осмотре здания обнаружено возникновение пожара и поджога специально облитой керосином части стены нежилой кухни. Следствием установлено поджог здания охранявший базу милиционер Ирофимов перед сменой поста, по заданию кладовщика местного совхоза Селиванов (бывш. поп скрывает вторично </w:t>
      </w:r>
      <w:r w:rsidRPr="0044524F">
        <w:rPr>
          <w:rFonts w:ascii="Times New Roman" w:hAnsi="Times New Roman"/>
          <w:color w:val="000000" w:themeColor="text1"/>
          <w:sz w:val="16"/>
          <w:szCs w:val="16"/>
        </w:rPr>
        <w:lastRenderedPageBreak/>
        <w:t xml:space="preserve">соцпрошлое), при соучастии второго милиционера Прыгунова. Арестованные Селиванов, Прыгунов долго запирались, наконец Селиванов сознался поджоге авиационной базы заданию японца Кайзава повторяю Кайзава, проживающего Усть-Большерецком, тесно связанного администрацией завода номер 25 Ничиро, причастности выполнению этих заданий также Башкатова Николая, бывшего Пред. местной артели Мельцева Егора, Предсельсовете, давно приехавших материка, где имели крупные хутора. Тем же показанием установке японцев должен быть сожжены авиационные базы, завод АКО. Арестованный допрошенный японцем Кайзава показал подготовке поджога всех русских построек, находящихся на косе (место расположения морского КПП и авиационной базы Устьбольшерецка). Задание поджога Кайзава получил от японского консула на Камчатке Шимада повторяю Шимада, управляющего завода № 25 Пичира Усть-Большерецка Такояма повторяю Такояма, Стыкагай повторяю Стыкагай. Подбор людей выполнения был возложен ими на Судзуки, Кайзава, ими же был завербован Селиванов, Башкатов, Кальцев, Марков. Марков невыясненной задачей командирован Петропаловск, работает зав. конным двором комхоз, Петропавловске связался японцем АБЕ повторяю АБЕ, являющийся установленным японским резидентом, неоднократно посещал последнего, прибытии парохода “Смоленск” информирована АБЕ прибывшем грузе. Несомненно вскрытое дело является только частью шпионской повстанческой диверсионной организации, существующей Камчатке, руководимое японцами. Мной дано распоряжение Камчатскому Облотделу ОГПУ проведение самой тщательной агентурно следственной разработки целях вскрытия всех шпионских диверсионных ячеек, выявление руководящих центров, установлении роли японцев. Результат получения материалов будем доносить. </w:t>
      </w:r>
    </w:p>
    <w:p w14:paraId="46AC3B3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Западный.</w:t>
      </w:r>
    </w:p>
    <w:p w14:paraId="5867C01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ф.3, оп.58, д.240, л.153-154 (11462).</w:t>
      </w:r>
    </w:p>
    <w:p w14:paraId="1F41CEE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3AAC7BB8"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61313F8"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4F1C79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февраля 1933 Румыния, Югославия и Чехословакия создали малую Антанту (3186).</w:t>
      </w:r>
    </w:p>
    <w:p w14:paraId="6A81E18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13B63923"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0BAAA90"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42E2EA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февраля 1933 Б.Кудрин перегнал ХАИ-1 в Москву (143,23) на ЦА (562,45).</w:t>
      </w:r>
    </w:p>
    <w:p w14:paraId="1AC09C6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1A94035E" w14:textId="77777777" w:rsidR="004E474B" w:rsidRPr="0044524F" w:rsidRDefault="004E47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февраля 1933 Кудрин перегнал ХАИ-1 в Москву за рекордное время 2 часа 54 минут. Испытания продолжались на московском Центральном аэродроме. 26 марта 1933 самолёт впервые полетел со штатным двигателем М-22.</w:t>
      </w:r>
    </w:p>
    <w:p w14:paraId="3B51F155" w14:textId="77777777" w:rsidR="004E474B" w:rsidRPr="0044524F" w:rsidRDefault="004E47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испытаний выявились серьёзные проблемы с механизмом уборки шасси. Лётчику приходилось прилагать огромные физические усилия для вращения рукоятки привода. Перед каждым полётом приходилось тратить много времени на проверку правильности укладки тросов в канавках шкива. Происходили отказы замков фиксации стоек шасси. По этой причине 16 июня 1933 прототип потерпел аварию - при разбеге стойки сложились. Также выявилась недостаточная прочность ряда элементов конструкции. Потребовали длительные доработки. Кроме устранения этих недостатков они заключались в увеличении руля направления, улучшения звукоизоляции салона, также появился туалет, увеличено багажное отделение. Государственные испытания доработанного самолёта проводились в ноябре 1934, в НИИ ГУ ГВФ (пилот С.И. Таборовский). (24249).</w:t>
      </w:r>
    </w:p>
    <w:p w14:paraId="51A42EF5" w14:textId="77777777" w:rsidR="004E474B" w:rsidRPr="0044524F" w:rsidRDefault="004E474B" w:rsidP="009654CF">
      <w:pPr>
        <w:spacing w:after="0" w:line="240" w:lineRule="auto"/>
        <w:jc w:val="both"/>
        <w:rPr>
          <w:rFonts w:ascii="Times New Roman" w:hAnsi="Times New Roman"/>
          <w:color w:val="000000" w:themeColor="text1"/>
          <w:sz w:val="16"/>
          <w:szCs w:val="16"/>
        </w:rPr>
      </w:pPr>
    </w:p>
    <w:p w14:paraId="6A3DE0A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февраля 1933 года А.И. Писарев писал письмо Сталину, Кагановичу, Молотову, Базилевичу, Ворошилову, Тухачевскому</w:t>
      </w:r>
    </w:p>
    <w:p w14:paraId="62E1604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 о результатах проверки нового принципа летных машин и о дальнейших путях реализации этой идеи</w:t>
      </w:r>
    </w:p>
    <w:p w14:paraId="7B387C2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Несколько лет тому назад, еще в период моей работы на Людиновском машиностроительном заводе, у инженера А.П. Максимова (ныне технический директор того же завода) возникла идея о постройке летного аппарата, основанного на совершенно ином принципе …………………………………………..</w:t>
      </w:r>
    </w:p>
    <w:p w14:paraId="40FFF2F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только благодаря тому, что шефство над идеей Максимова взяли Каганович Л.М., Молотов и Базилевич и благодаря живейшему и непосредственному участию в этом деле Тухачевского, дело не заглохло. Тухачевский поручил провести это дело персонально инженеру УВВС Попову. С большими трудностями, в условиях полного отсутствия производственной базы, помещения для сборки и испытаний, экспериментальная машина была построена.</w:t>
      </w:r>
    </w:p>
    <w:p w14:paraId="3619691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Сейчас произведены предварительные испытания этой машины. Результаты испытания следующие:</w:t>
      </w:r>
    </w:p>
    <w:p w14:paraId="07E266E3"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Машина, имеющая площадь крыльев всего 0,25 кв. м показала при 1580 об/мин. ротора подъемную силу свыше 90 кг, т.е. свыше 350 кг нагрузки на 1 кв. метр, что является величиной в несколько раз превышающей нагрузку на 1 м кв. у существующих самолетов.</w:t>
      </w:r>
    </w:p>
    <w:p w14:paraId="1391D4C8"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Габариты построенной машины 0,8х1,0 м.</w:t>
      </w:r>
    </w:p>
    <w:p w14:paraId="5C9CA69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0B0CA7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ближайшее время необходимо провести следующие работы:</w:t>
      </w:r>
    </w:p>
    <w:p w14:paraId="19536975"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Закончить испытание построенной уже машины после ее переделки, получив от нее все данные, которые она может дать.</w:t>
      </w:r>
    </w:p>
    <w:p w14:paraId="30017284"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Построить миниатюрную модель машины для испытания на точных аэродинамических весах.</w:t>
      </w:r>
    </w:p>
    <w:p w14:paraId="4292FC18"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Проверить экспериментом работы Рорбаха.</w:t>
      </w:r>
    </w:p>
    <w:p w14:paraId="1BDE0784"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Спроектировать и построить роторную летную машину (7486, 111-117).</w:t>
      </w:r>
    </w:p>
    <w:p w14:paraId="2FD30635" w14:textId="77777777" w:rsidR="00FC65C5" w:rsidRPr="0044524F" w:rsidRDefault="00FC65C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DA1DC05"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582919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0D175B2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февраля 1933 Приказом ОГПУ № 0070 ИНО предоставлялось право ведения следствия по возникающим в отделе делам. Таким образом, и внешняя разведка была впрямую подключена к проведению репрессий (7557).</w:t>
      </w:r>
    </w:p>
    <w:p w14:paraId="54104A6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1002E82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февраля 1933 вышел Приказ по Строительству канала и управлению лагеря № 19 оо «бережному отношению» к «конскому составу» и в числе прочего требует «принять немедленные и решительные меры к прекращению рекордсменства возчиков (особенно на лесозаготовках), делающих на своих лошадях 200 и более процентов положенных дневных норм при выматывании лошадей. Возчику не трудно ставить рекорды на спине лошади, когда он сам в этом принимает весьма малое участие и когда лошадь, как правило, после этих рекордов выходит из строя надолго или навсегда». Приказ подписан начальником строительства Коганом и зам. начальника УДМИТЛАГа ОГПУ В. Т. Радецким (7560).</w:t>
      </w:r>
    </w:p>
    <w:p w14:paraId="5A8FC88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590C9FA9"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455EE36"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FA062F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февраля 1933 Лига наций обвинила Японию по радио (2100).</w:t>
      </w:r>
    </w:p>
    <w:p w14:paraId="47014CE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17F1577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февраля 1933 года основные кредиторы Германии согласились подписать очередное соглашение о невостребовании кредитов. Первое из подобных соглашений было заключено в середине сентября 1931 года, затем в 1932 году его действие дважды продлевалось. По сути это был перевод краткосрочных займов в долгосрочные (11208).</w:t>
      </w:r>
    </w:p>
    <w:p w14:paraId="20B49C7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4BE331DC" w14:textId="77777777" w:rsidR="00426D01" w:rsidRPr="0044524F" w:rsidRDefault="00426D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февраля 1933 года основные кредиторы Германии согласились подписать очередное соглашение о невостребовании кредитов [498]. Первое из подобных соглашений было заключено в середине сентября 1931 года, затем в 1932 году его действие дважды продлевалось [499]. По сути это был перевод краткосрочных займов в долгосрочные.</w:t>
      </w:r>
    </w:p>
    <w:p w14:paraId="65FC9A57" w14:textId="77777777" w:rsidR="00426D01" w:rsidRPr="0044524F" w:rsidRDefault="00426D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официальным немецким данным, сумма иностранной задолженности Германии составляла на 28 февраля 1933 года 18 967 млн марок, из которых на краткосрочные кредиты (со сроком уплаты до 28 февраля 1934 года) приходились 8702 млн марок и на долгосрочные -- 10 265 млн марок [495]. В том числе германский долг Англии на 30 сентября 1933 года равнялся 132 млн фунтов стерлингов, или 1718 млн марок [496]. Для сравнения: весь германский экспорт в 1933 году составил 4871 млн марок [497] (18279).</w:t>
      </w:r>
    </w:p>
    <w:p w14:paraId="26B9D825" w14:textId="77777777" w:rsidR="00426D01" w:rsidRPr="0044524F" w:rsidRDefault="00426D01" w:rsidP="009654CF">
      <w:pPr>
        <w:spacing w:after="0" w:line="240" w:lineRule="auto"/>
        <w:jc w:val="both"/>
        <w:rPr>
          <w:rFonts w:ascii="Times New Roman" w:hAnsi="Times New Roman"/>
          <w:color w:val="000000" w:themeColor="text1"/>
          <w:sz w:val="16"/>
          <w:szCs w:val="16"/>
        </w:rPr>
      </w:pPr>
    </w:p>
    <w:p w14:paraId="42A5C36E" w14:textId="77777777" w:rsidR="003E25C3" w:rsidRPr="0044524F" w:rsidRDefault="003E25C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17 февраля 1933 г. фашизм в Германии: Геринг приказал прусской полиции поддержать фашистов, и применять оружие, баварцы безуспешно ищут защиты от Гитлера у Гинденбурга </w:t>
      </w:r>
      <w:r w:rsidRPr="0044524F">
        <w:rPr>
          <w:rFonts w:ascii="Times New Roman" w:eastAsia="Times New Roman" w:hAnsi="Times New Roman"/>
          <w:bCs/>
          <w:iCs/>
          <w:color w:val="000000" w:themeColor="text1"/>
          <w:sz w:val="16"/>
          <w:szCs w:val="16"/>
          <w:lang w:eastAsia="ru-RU"/>
        </w:rPr>
        <w:t>ПоА.Дорпален «Германия на заре фашизма», 2008:</w:t>
      </w:r>
    </w:p>
    <w:p w14:paraId="6C473171" w14:textId="77777777" w:rsidR="003E25C3" w:rsidRPr="0044524F" w:rsidRDefault="003E25C3" w:rsidP="009654CF">
      <w:pPr>
        <w:shd w:val="clear" w:color="auto" w:fill="FFFFFF"/>
        <w:spacing w:after="0" w:line="240" w:lineRule="auto"/>
        <w:jc w:val="both"/>
        <w:rPr>
          <w:rFonts w:ascii="Times New Roman" w:eastAsia="Times New Roman" w:hAnsi="Times New Roman"/>
          <w:bCs/>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w:t>
      </w:r>
      <w:r w:rsidRPr="0044524F">
        <w:rPr>
          <w:rFonts w:ascii="Times New Roman" w:eastAsia="Times New Roman" w:hAnsi="Times New Roman"/>
          <w:color w:val="000000" w:themeColor="text1"/>
          <w:sz w:val="16"/>
          <w:szCs w:val="16"/>
          <w:lang w:eastAsia="ru-RU"/>
        </w:rPr>
        <w:t>17 февраля</w:t>
      </w:r>
      <w:r w:rsidRPr="0044524F">
        <w:rPr>
          <w:rFonts w:ascii="Times New Roman" w:eastAsia="Times New Roman" w:hAnsi="Times New Roman"/>
          <w:bCs/>
          <w:color w:val="000000" w:themeColor="text1"/>
          <w:sz w:val="16"/>
          <w:szCs w:val="16"/>
          <w:lang w:eastAsia="ru-RU"/>
        </w:rPr>
        <w:t xml:space="preserve"> Геринг приказал прусской полиции, теперь насквозь профильтрованной нацистами, установить отношения сотрудничества с коричневорубашечниками и бойцами «Стального шлема» в случае столкновений и поддержать их против оппозиции.» «</w:t>
      </w:r>
      <w:r w:rsidRPr="0044524F">
        <w:rPr>
          <w:rFonts w:ascii="Times New Roman" w:eastAsia="Times New Roman" w:hAnsi="Times New Roman"/>
          <w:color w:val="000000" w:themeColor="text1"/>
          <w:sz w:val="16"/>
          <w:szCs w:val="16"/>
          <w:lang w:eastAsia="ru-RU"/>
        </w:rPr>
        <w:t>17 февраля</w:t>
      </w:r>
      <w:r w:rsidRPr="0044524F">
        <w:rPr>
          <w:rFonts w:ascii="Times New Roman" w:eastAsia="Times New Roman" w:hAnsi="Times New Roman"/>
          <w:bCs/>
          <w:color w:val="000000" w:themeColor="text1"/>
          <w:sz w:val="16"/>
          <w:szCs w:val="16"/>
          <w:lang w:eastAsia="ru-RU"/>
        </w:rPr>
        <w:t xml:space="preserve"> Гинденбург был вынужден принять лидера Баварской народной партии и члена Баварского правительства Шеффера. Встреча прошла неудовлетворительно для обоих ее участников.»</w:t>
      </w:r>
    </w:p>
    <w:p w14:paraId="0240BE21" w14:textId="77777777" w:rsidR="003E25C3" w:rsidRPr="0044524F" w:rsidRDefault="003E25C3" w:rsidP="009654CF">
      <w:pPr>
        <w:pStyle w:val="ae"/>
        <w:shd w:val="clear" w:color="auto" w:fill="FFFFFF"/>
        <w:spacing w:before="0" w:after="0"/>
        <w:jc w:val="both"/>
        <w:rPr>
          <w:color w:val="000000" w:themeColor="text1"/>
          <w:sz w:val="16"/>
          <w:szCs w:val="16"/>
          <w:lang w:eastAsia="ru-RU"/>
        </w:rPr>
      </w:pPr>
      <w:r w:rsidRPr="0044524F">
        <w:rPr>
          <w:bCs/>
          <w:iCs/>
          <w:color w:val="000000" w:themeColor="text1"/>
          <w:sz w:val="16"/>
          <w:szCs w:val="16"/>
        </w:rPr>
        <w:t>По К.Гейден «История германского фашизма», М., ГСЭИ, 1935:</w:t>
      </w:r>
    </w:p>
    <w:p w14:paraId="08CAB80E" w14:textId="77777777" w:rsidR="003E25C3" w:rsidRPr="0044524F" w:rsidRDefault="003E25C3" w:rsidP="009654CF">
      <w:pPr>
        <w:pStyle w:val="ae"/>
        <w:shd w:val="clear" w:color="auto" w:fill="FFFFFF"/>
        <w:spacing w:before="0" w:after="0"/>
        <w:jc w:val="both"/>
        <w:rPr>
          <w:rFonts w:eastAsia="Times New Roman"/>
          <w:color w:val="000000" w:themeColor="text1"/>
          <w:sz w:val="16"/>
          <w:szCs w:val="16"/>
          <w:lang w:eastAsia="ru-RU"/>
        </w:rPr>
      </w:pPr>
      <w:r w:rsidRPr="0044524F">
        <w:rPr>
          <w:bCs/>
          <w:color w:val="000000" w:themeColor="text1"/>
          <w:sz w:val="16"/>
          <w:szCs w:val="16"/>
        </w:rPr>
        <w:t xml:space="preserve">«В то время как Гитлер призывал к спокойствию, Геринг издал </w:t>
      </w:r>
      <w:r w:rsidRPr="0044524F">
        <w:rPr>
          <w:color w:val="000000" w:themeColor="text1"/>
          <w:sz w:val="16"/>
          <w:szCs w:val="16"/>
        </w:rPr>
        <w:t>17 февраля</w:t>
      </w:r>
      <w:r w:rsidRPr="0044524F">
        <w:rPr>
          <w:bCs/>
          <w:color w:val="000000" w:themeColor="text1"/>
          <w:sz w:val="16"/>
          <w:szCs w:val="16"/>
        </w:rPr>
        <w:t xml:space="preserve"> свой знаменитый приказ о применении оружия. «Полицейским чиновникам, которые при исполнении свои обязанностей пустят в ход оружие, я окажу покровительство, независимо от последствий применения оружия. Напротив, всякий, кто проявит ложное </w:t>
      </w:r>
      <w:r w:rsidRPr="0044524F">
        <w:rPr>
          <w:bCs/>
          <w:color w:val="000000" w:themeColor="text1"/>
          <w:sz w:val="16"/>
          <w:szCs w:val="16"/>
        </w:rPr>
        <w:lastRenderedPageBreak/>
        <w:t>мягкосердечие, должен ждать наказания по службе.»</w:t>
      </w:r>
      <w:r w:rsidRPr="0044524F">
        <w:rPr>
          <w:rFonts w:eastAsia="Times New Roman"/>
          <w:bCs/>
          <w:color w:val="000000" w:themeColor="text1"/>
          <w:sz w:val="16"/>
          <w:szCs w:val="16"/>
          <w:lang w:eastAsia="ru-RU"/>
        </w:rPr>
        <w:t xml:space="preserve"> (17325).</w:t>
      </w:r>
    </w:p>
    <w:p w14:paraId="6403B02D" w14:textId="77777777" w:rsidR="003E25C3" w:rsidRPr="0044524F" w:rsidRDefault="003E25C3" w:rsidP="009654CF">
      <w:pPr>
        <w:autoSpaceDE w:val="0"/>
        <w:autoSpaceDN w:val="0"/>
        <w:adjustRightInd w:val="0"/>
        <w:spacing w:after="0" w:line="240" w:lineRule="auto"/>
        <w:jc w:val="both"/>
        <w:rPr>
          <w:rFonts w:ascii="Times New Roman" w:hAnsi="Times New Roman"/>
          <w:color w:val="000000" w:themeColor="text1"/>
          <w:sz w:val="16"/>
          <w:szCs w:val="16"/>
        </w:rPr>
      </w:pPr>
    </w:p>
    <w:p w14:paraId="7C8A9CE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февраля 1933 вышел первый номер Newsweek (3481).</w:t>
      </w:r>
    </w:p>
    <w:p w14:paraId="6CB34B4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355B9D2A"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17 февраля</w:t>
      </w:r>
      <w:r w:rsidRPr="0044524F">
        <w:rPr>
          <w:rFonts w:ascii="Times New Roman" w:hAnsi="Times New Roman"/>
          <w:color w:val="000000" w:themeColor="text1"/>
          <w:sz w:val="16"/>
          <w:szCs w:val="16"/>
        </w:rPr>
        <w:t xml:space="preserve"> в 1933 году выходит первый номер журнала «Newsweek» (носит название «News-Week») (15043).</w:t>
      </w:r>
    </w:p>
    <w:p w14:paraId="16A91AEB" w14:textId="77777777" w:rsidR="00A76142" w:rsidRPr="0044524F" w:rsidRDefault="00A76142" w:rsidP="009654CF">
      <w:pPr>
        <w:spacing w:after="0" w:line="240" w:lineRule="auto"/>
        <w:jc w:val="both"/>
        <w:rPr>
          <w:rFonts w:ascii="Times New Roman" w:hAnsi="Times New Roman"/>
          <w:color w:val="000000" w:themeColor="text1"/>
          <w:sz w:val="16"/>
          <w:szCs w:val="16"/>
        </w:rPr>
      </w:pPr>
    </w:p>
    <w:p w14:paraId="707A67DC"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2EF4F7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51C9764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февраля 1933 года Запорожец из Ленинграда сообщил по прямому проводу Ягоде, что на станции Ленинград-Товарная Московской линии Октябрьской железной дороге ликвидирована контрреволюционная вредительская организация, возглавляемая сыном крупного помещика Калужской губернии Пеховым. Пехов сгруппировал весовщиков из бывших кулаков и торговцев, которые умышленно засылали не по назначению посевные и важные промышленные грузы, вели агитацию, разваливая труд и дисциплину. Производили массовые хищения грузов на сотни тысяч рублей. При обыске найдено 3 тыс. метров похищенного шелка, у одного арестованного - 23 тыс. руб. денег. Для того чтобы скрыть преступление сообщники ставили задачу сжечь склады Товарной станции и склады Союзтранса. По делу было осуждено 33 человека (11248).</w:t>
      </w:r>
    </w:p>
    <w:p w14:paraId="38CA818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4BD77FF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18 и 24 февраля 1933. Из протокола заседания Политбюро N 131, 1933 г</w:t>
      </w:r>
    </w:p>
    <w:p w14:paraId="2556015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Телеграмма Нижневолжского крайкома </w:t>
      </w:r>
    </w:p>
    <w:p w14:paraId="6F7E978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ОГПУ распространить на Нижнюю Волгу постановление СНК и ЦК ВКП(б) от 22 января 1933 года о самовольном выезде крестьян из пределов своей области, задержке их и принудительном возврате на старые места жительства (11652).</w:t>
      </w:r>
    </w:p>
    <w:p w14:paraId="668750C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7033F55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18 и 24 февраля 1933. Из протокола заседания Политбюро N 131, 1933 г</w:t>
      </w:r>
    </w:p>
    <w:p w14:paraId="1457997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Телеграмма Н.-Волжского крайкома ВКП(б) </w:t>
      </w:r>
    </w:p>
    <w:p w14:paraId="7FA65CB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Н.-Волжскому крайкому выселить за пределы края две тысячи домохозяйств с семьями единоличников, также колхозников, исключенных из колхоза за злостный саботаж выполнения задания по засыпке зерна (11562).</w:t>
      </w:r>
    </w:p>
    <w:p w14:paraId="2C3EC79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7F7AFAC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18 и 24 февраля 1933. Из протокола заседания Политбюро N 131, 1933 г</w:t>
      </w:r>
    </w:p>
    <w:p w14:paraId="2BF3ED8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НКюста </w:t>
      </w:r>
    </w:p>
    <w:p w14:paraId="47ED0FD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Создать комиссию по вопросам немедленной разгрузки тюрем, поручив ей дать свои предложения в трехдневный срок (11652).</w:t>
      </w:r>
    </w:p>
    <w:p w14:paraId="6C8682B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7F51F38E"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05F994A3"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2C7E30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18 и 24 февраля 1933. Из протокола заседания Политбюро N 131, 1933 г</w:t>
      </w:r>
    </w:p>
    <w:p w14:paraId="595DEED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 отпуске средств на содержание советских школ за границей в 1933 году </w:t>
      </w:r>
    </w:p>
    <w:p w14:paraId="039FAF4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Утвердить следующий проект постановления СНК СССР: </w:t>
      </w:r>
    </w:p>
    <w:p w14:paraId="2013169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В дополнение к отпущенным по неторговой части валютного плана на 1933 г. на содержание школ и другие культурные мероприятия в Монголии, Зап. Китае и Персии — 202 000 руб. в местной валюте из резервного фонда СНК на 1933 г. 145 000 в соввалюте. </w:t>
      </w:r>
    </w:p>
    <w:p w14:paraId="1756B81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Предложить НКИД и НКВТ, в дополнение к средствам, отпускаемым по госбюджету и получаемым от родителей учащихся в порядке самообложения,— выделить из своих смет на 1933 г. до 45 000 руб. в инвалюте, из них по НКИД — 15 000 руб. и по НКВТ — 30 000 руб. на содержание советских школ в Германии, Англии и Франции, а также детского сада в Германии. </w:t>
      </w:r>
    </w:p>
    <w:p w14:paraId="74E0E8E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Предложить НКИД представить в НКФин Союза не позднее 1 апреля 1933 г. финансовый отчет о фактических доходах и расходах по указанным школам за 1932 г., а также данные о контингенте учащих и учащихся по каждой школе в отдельности на 1 января 1933 г. </w:t>
      </w:r>
    </w:p>
    <w:p w14:paraId="7354AA2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 Отпускаемые на содержание школ средства отнести к смете НКИД, возложив на него общее руководство школами, наблюдение за правильным расходованием средств, составление отчетности и смет по школам на будущее время. </w:t>
      </w:r>
    </w:p>
    <w:p w14:paraId="120FB2B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Наркомпрос РСФСР возлагается подбор кадров и руководство методической частью (11652).</w:t>
      </w:r>
    </w:p>
    <w:p w14:paraId="7F47102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6442CE67"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1F52E8A"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6075E4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февраля 1933 г. в составе Главсевморпути организовали Управление воздушной службы (УВС ГУСМП), которое 10 января 1936 г. преобразовали в Управление Арктической Авиации, сокращенно "АВИОАРКТИКА" (именно так, с непривычной буквой "О"). Новое название не прижилось, и уже 22 июня того же года его переименовали в Управление полярной авиации (УПА ГУСМП) с задачами: разрабатывать планы работы Главсевморпути в области авиации, непосредственно руководить работой авиационных линий, авиаотрядов и авиаремонтных заводов, вести подготовку кадров для полярной авиации через подчиненную ему школу морских летчиков. Для этого в состав УПА, кроме авиагрупп и авиаотрядов, включили Николаевскую школу морских летчиков (11970).</w:t>
      </w:r>
    </w:p>
    <w:p w14:paraId="43B8338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0C9E1100"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6FED4A4"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9304E6E"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февраля 1933 г. состоялись испытания возкой артил</w:t>
      </w:r>
      <w:r w:rsidRPr="0044524F">
        <w:rPr>
          <w:rFonts w:ascii="Times New Roman" w:hAnsi="Times New Roman"/>
          <w:color w:val="000000" w:themeColor="text1"/>
          <w:sz w:val="16"/>
          <w:szCs w:val="16"/>
        </w:rPr>
        <w:softHyphen/>
        <w:t>лерийских систем Б-3 (5К) и 20К, а 3 марта начались испы</w:t>
      </w:r>
      <w:r w:rsidRPr="0044524F">
        <w:rPr>
          <w:rFonts w:ascii="Times New Roman" w:hAnsi="Times New Roman"/>
          <w:color w:val="000000" w:themeColor="text1"/>
          <w:sz w:val="16"/>
          <w:szCs w:val="16"/>
        </w:rPr>
        <w:softHyphen/>
        <w:t>тания «стрельбой и пробегом». Целью этих испытаний было выявление прочности башни, а также безотказности работы всех систем башни после пробега, а также впервые в практи</w:t>
      </w:r>
      <w:r w:rsidRPr="0044524F">
        <w:rPr>
          <w:rFonts w:ascii="Times New Roman" w:hAnsi="Times New Roman"/>
          <w:color w:val="000000" w:themeColor="text1"/>
          <w:sz w:val="16"/>
          <w:szCs w:val="16"/>
        </w:rPr>
        <w:softHyphen/>
        <w:t>ке проектирования танков в СССР рассматривался вопрос удобства обслуживания пушки в башне на походе ив бою. испытания показали сходные результаты по обеим пушкам, хотя полуавтоматика 45-мм орудия 20К работала плохо. Один из анонимных членов комиссии (замечания на</w:t>
      </w:r>
      <w:r w:rsidRPr="0044524F">
        <w:rPr>
          <w:rFonts w:ascii="Times New Roman" w:hAnsi="Times New Roman"/>
          <w:color w:val="000000" w:themeColor="text1"/>
          <w:sz w:val="16"/>
          <w:szCs w:val="16"/>
        </w:rPr>
        <w:softHyphen/>
        <w:t>писаны от руки карандашом и подписи не имеют) с сожа</w:t>
      </w:r>
      <w:r w:rsidRPr="0044524F">
        <w:rPr>
          <w:rFonts w:ascii="Times New Roman" w:hAnsi="Times New Roman"/>
          <w:color w:val="000000" w:themeColor="text1"/>
          <w:sz w:val="16"/>
          <w:szCs w:val="16"/>
        </w:rPr>
        <w:softHyphen/>
        <w:t>лением отмечал: «Новая башня с мощным вооружением вы</w:t>
      </w:r>
      <w:r w:rsidRPr="0044524F">
        <w:rPr>
          <w:rFonts w:ascii="Times New Roman" w:hAnsi="Times New Roman"/>
          <w:color w:val="000000" w:themeColor="text1"/>
          <w:sz w:val="16"/>
          <w:szCs w:val="16"/>
        </w:rPr>
        <w:softHyphen/>
        <w:t>двигает наши танки в разряд передовых образцов... Однако не вполне понятно почему была избрана именно эта 45-мм пуш</w:t>
      </w:r>
      <w:r w:rsidRPr="0044524F">
        <w:rPr>
          <w:rFonts w:ascii="Times New Roman" w:hAnsi="Times New Roman"/>
          <w:color w:val="000000" w:themeColor="text1"/>
          <w:sz w:val="16"/>
          <w:szCs w:val="16"/>
        </w:rPr>
        <w:softHyphen/>
        <w:t>ка, отличающаяся плохой безотказностью в работе... Вновь должен заметить, что 45-мм пушка, предложенная заводом «Красный Путиловец» много перспективнее и работает луч</w:t>
      </w:r>
      <w:r w:rsidRPr="0044524F">
        <w:rPr>
          <w:rFonts w:ascii="Times New Roman" w:hAnsi="Times New Roman"/>
          <w:color w:val="000000" w:themeColor="text1"/>
          <w:sz w:val="16"/>
          <w:szCs w:val="16"/>
        </w:rPr>
        <w:softHyphen/>
        <w:t>ше, но почему-то не изготавливается и на новые танки не устанавливается» (10733,213).</w:t>
      </w:r>
    </w:p>
    <w:p w14:paraId="6D3D83F0" w14:textId="77777777" w:rsidR="00FC65C5" w:rsidRPr="0044524F" w:rsidRDefault="00FC65C5"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BFB6DF2"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7B5BC26"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1FFD28D"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февраля 1933 Сталин поставил целью «сделать всех колхозников зажиточными» (4962).</w:t>
      </w:r>
    </w:p>
    <w:p w14:paraId="4E3D2F68"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C508DDD" w14:textId="77777777" w:rsidR="00654D18" w:rsidRPr="0044524F" w:rsidRDefault="00654D18"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февраля 1933 года</w:t>
      </w:r>
      <w:r w:rsidRPr="0044524F">
        <w:rPr>
          <w:rFonts w:ascii="Times New Roman" w:hAnsi="Times New Roman"/>
          <w:bCs/>
          <w:color w:val="000000" w:themeColor="text1"/>
          <w:sz w:val="16"/>
          <w:szCs w:val="16"/>
        </w:rPr>
        <w:t xml:space="preserve"> на первом Всесоюзном съезде колхозников—ударников товарищ Сталин выдвинул и обосновал лозунг: сделать колхозы большевистскими, а колхозников зажиточными. «Чтобы стать колхозникам зажиточными, говорил Сталин, для этого требуется теперь только одно — работать в колхозе честно, правильно использовать тракторы и машины, правильно использовать рабочий скот, правильно обрабатывать землю, беречь колхозную собственность” (17325).</w:t>
      </w:r>
    </w:p>
    <w:p w14:paraId="595F2309" w14:textId="77777777" w:rsidR="00654D18" w:rsidRPr="0044524F" w:rsidRDefault="00654D18"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BEF96BA" w14:textId="77777777" w:rsidR="00B46E0E" w:rsidRPr="0044524F" w:rsidRDefault="00B46E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февраля 1933 года на 1-м съезде колхозников-ударников с речью выступил И.В. Сталин. Он, в частности, сказал:</w:t>
      </w:r>
    </w:p>
    <w:p w14:paraId="117643A0" w14:textId="77777777" w:rsidR="00B46E0E" w:rsidRPr="0044524F" w:rsidRDefault="00B46E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"Теперь несколько слов о женщинах, о колхозницах. Женский вопрос в колхозах — большой вопрос, товарищи. Я знаю, что многие из вас недооценивают женщин и даже посмеиваются над ними. Но это ошибка, товарищи, серьёзная ошибка. Дело тут не только в том, что женщины составляют половину населения. Дело прежде всего в том, что колхозное движение выдвинуло на руководящие должности целый ряд замечательных и способных женщин. Посмотрите на съезд, на его состав,—и вы увидите, что женщины давно уже продвинулись из отсталых в передовые. Женщины в колхозах - большая сила. Держать эту силу под спудом, значит допустить преступление. Наша обязанность состоит в том, чтобы выдвигать вперёд женщин в колхозах и пустить эту силу в дело.</w:t>
      </w:r>
    </w:p>
    <w:p w14:paraId="010D13BE" w14:textId="77777777" w:rsidR="00B46E0E" w:rsidRPr="0044524F" w:rsidRDefault="00B46E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касается самих колхозниц, то они должны помнить о силе и значении колхозов для женщин, должны помнить, что только в колхозе имеют они возможность стать на равную ногу с мужчиной. Без колхозов — неравенство, в колхозах — равенство прав. Пусть помнят об этом товарищи колхозницы и пусть они берегут колхозный строй, как зеницу ока. (Продолжительные аплодисменты.)"</w:t>
      </w:r>
    </w:p>
    <w:p w14:paraId="6DBAFF7E" w14:textId="77777777" w:rsidR="00B46E0E" w:rsidRPr="0044524F" w:rsidRDefault="00B46E0E" w:rsidP="009654CF">
      <w:pPr>
        <w:spacing w:after="0" w:line="240" w:lineRule="auto"/>
        <w:jc w:val="both"/>
        <w:rPr>
          <w:rFonts w:ascii="Times New Roman" w:hAnsi="Times New Roman"/>
          <w:color w:val="000000" w:themeColor="text1"/>
          <w:sz w:val="16"/>
          <w:szCs w:val="16"/>
        </w:rPr>
      </w:pPr>
    </w:p>
    <w:p w14:paraId="76BD62D3" w14:textId="77777777" w:rsidR="00B46E0E" w:rsidRPr="0044524F" w:rsidRDefault="00B46E0E"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A853DF3" w14:textId="77777777" w:rsidR="00B46E0E" w:rsidRPr="0044524F" w:rsidRDefault="00B46E0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36BC9EB" w14:textId="77777777" w:rsidR="00B46E0E" w:rsidRPr="0044524F" w:rsidRDefault="00B46E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февраля1933 состоялся первый полет Vultee V-1 (20802).</w:t>
      </w:r>
    </w:p>
    <w:p w14:paraId="292DECB4" w14:textId="77777777" w:rsidR="00B46E0E" w:rsidRPr="0044524F" w:rsidRDefault="00B46E0E" w:rsidP="009654CF">
      <w:pPr>
        <w:spacing w:after="0" w:line="240" w:lineRule="auto"/>
        <w:jc w:val="both"/>
        <w:rPr>
          <w:rFonts w:ascii="Times New Roman" w:hAnsi="Times New Roman"/>
          <w:color w:val="000000" w:themeColor="text1"/>
          <w:sz w:val="16"/>
          <w:szCs w:val="16"/>
        </w:rPr>
      </w:pPr>
    </w:p>
    <w:p w14:paraId="61DE6EEF" w14:textId="77777777" w:rsidR="00B46E0E" w:rsidRPr="0044524F" w:rsidRDefault="00B46E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19 февраля 1933 - Первый полёт лёгкого транспортного Vultee V-1 (США). Прототипом с бортовым номером X12293 управлял пилот фирмы Lockheed Маршалл Хидл (22593).</w:t>
      </w:r>
    </w:p>
    <w:p w14:paraId="2D52B3D9" w14:textId="77777777" w:rsidR="00B46E0E" w:rsidRPr="0044524F" w:rsidRDefault="00B46E0E" w:rsidP="009654CF">
      <w:pPr>
        <w:spacing w:after="0" w:line="240" w:lineRule="auto"/>
        <w:jc w:val="both"/>
        <w:rPr>
          <w:rFonts w:ascii="Times New Roman" w:hAnsi="Times New Roman"/>
          <w:color w:val="000000" w:themeColor="text1"/>
          <w:sz w:val="16"/>
          <w:szCs w:val="16"/>
        </w:rPr>
      </w:pPr>
    </w:p>
    <w:p w14:paraId="7DA4FFE3" w14:textId="77777777" w:rsidR="001748B7" w:rsidRPr="0044524F" w:rsidRDefault="001748B7"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DF997B5" w14:textId="77777777" w:rsidR="001748B7" w:rsidRPr="0044524F" w:rsidRDefault="001748B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82FCA63" w14:textId="77777777" w:rsidR="00E86445" w:rsidRPr="00142305" w:rsidRDefault="00E86445" w:rsidP="00E864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февраля 1933 г. конструктор Шавров утвер</w:t>
      </w:r>
      <w:r w:rsidRPr="00142305">
        <w:rPr>
          <w:rFonts w:ascii="Times New Roman" w:hAnsi="Times New Roman"/>
          <w:color w:val="0070C0"/>
          <w:sz w:val="16"/>
          <w:szCs w:val="16"/>
        </w:rPr>
        <w:softHyphen/>
        <w:t>дил проект 7-местного Ш-3 с двигате</w:t>
      </w:r>
      <w:r w:rsidRPr="00142305">
        <w:rPr>
          <w:rFonts w:ascii="Times New Roman" w:hAnsi="Times New Roman"/>
          <w:color w:val="0070C0"/>
          <w:sz w:val="16"/>
          <w:szCs w:val="16"/>
        </w:rPr>
        <w:softHyphen/>
        <w:t>лем М-22 480 л.с. Судя по его гармонично</w:t>
      </w:r>
      <w:r w:rsidRPr="00142305">
        <w:rPr>
          <w:rFonts w:ascii="Times New Roman" w:hAnsi="Times New Roman"/>
          <w:color w:val="0070C0"/>
          <w:sz w:val="16"/>
          <w:szCs w:val="16"/>
        </w:rPr>
        <w:softHyphen/>
        <w:t>му внешнему виду, не оставляющему никаких сомнений в родстве с Ш-2, это был детально продуманный аппарат. Конструкция — цель</w:t>
      </w:r>
      <w:r w:rsidRPr="00142305">
        <w:rPr>
          <w:rFonts w:ascii="Times New Roman" w:hAnsi="Times New Roman"/>
          <w:color w:val="0070C0"/>
          <w:sz w:val="16"/>
          <w:szCs w:val="16"/>
        </w:rPr>
        <w:softHyphen/>
        <w:t>нодеревянная, выполнена с использованием стальных узлов в силовых элементах. Крыло и оперение с полотняной обшивкой. Основное шасси убирается в специальные отсеки на бор</w:t>
      </w:r>
      <w:r w:rsidRPr="00142305">
        <w:rPr>
          <w:rFonts w:ascii="Times New Roman" w:hAnsi="Times New Roman"/>
          <w:color w:val="0070C0"/>
          <w:sz w:val="16"/>
          <w:szCs w:val="16"/>
        </w:rPr>
        <w:softHyphen/>
        <w:t>тах лодки. Самолет должен был иметь просто</w:t>
      </w:r>
      <w:r w:rsidRPr="00142305">
        <w:rPr>
          <w:rFonts w:ascii="Times New Roman" w:hAnsi="Times New Roman"/>
          <w:color w:val="0070C0"/>
          <w:sz w:val="16"/>
          <w:szCs w:val="16"/>
        </w:rPr>
        <w:softHyphen/>
        <w:t>рный пассажирский салон с большой поверх</w:t>
      </w:r>
      <w:r w:rsidRPr="00142305">
        <w:rPr>
          <w:rFonts w:ascii="Times New Roman" w:hAnsi="Times New Roman"/>
          <w:color w:val="0070C0"/>
          <w:sz w:val="16"/>
          <w:szCs w:val="16"/>
        </w:rPr>
        <w:softHyphen/>
        <w:t>ностью остекления.</w:t>
      </w:r>
    </w:p>
    <w:p w14:paraId="0C7417E0" w14:textId="77777777" w:rsidR="00E86445" w:rsidRPr="00142305" w:rsidRDefault="00E86445" w:rsidP="00E864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сожалению, для детальной проработки Ш-З и его постройки не удалось найти заказчи</w:t>
      </w:r>
      <w:r w:rsidRPr="00142305">
        <w:rPr>
          <w:rFonts w:ascii="Times New Roman" w:hAnsi="Times New Roman"/>
          <w:color w:val="0070C0"/>
          <w:sz w:val="16"/>
          <w:szCs w:val="16"/>
        </w:rPr>
        <w:softHyphen/>
        <w:t>ка, поэтому все усилия конструктор перенес на создание следующей машины — Ш-5.</w:t>
      </w:r>
    </w:p>
    <w:p w14:paraId="5CC4B308" w14:textId="7E47CBDB" w:rsidR="00E86445" w:rsidRPr="00142305" w:rsidRDefault="00E86445" w:rsidP="00E86445">
      <w:pPr>
        <w:tabs>
          <w:tab w:val="left" w:leader="dot" w:pos="2549"/>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Основные расчетные данные и характеристики Ш-</w:t>
      </w:r>
      <w:r>
        <w:rPr>
          <w:rFonts w:ascii="Times New Roman" w:hAnsi="Times New Roman"/>
          <w:color w:val="0070C0"/>
          <w:sz w:val="16"/>
          <w:szCs w:val="16"/>
        </w:rPr>
        <w:t>3</w:t>
      </w:r>
      <w:r w:rsidRPr="00142305">
        <w:rPr>
          <w:rFonts w:ascii="Times New Roman" w:hAnsi="Times New Roman"/>
          <w:color w:val="0070C0"/>
          <w:sz w:val="16"/>
          <w:szCs w:val="16"/>
        </w:rPr>
        <w:t xml:space="preserve"> (1933 г.) </w:t>
      </w:r>
    </w:p>
    <w:p w14:paraId="01151EC4" w14:textId="77777777" w:rsidR="00E86445" w:rsidRPr="00142305" w:rsidRDefault="00E86445" w:rsidP="00E86445">
      <w:pPr>
        <w:tabs>
          <w:tab w:val="left" w:leader="dot" w:pos="2549"/>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Размах крыла (м)</w:t>
      </w:r>
      <w:r w:rsidRPr="00142305">
        <w:rPr>
          <w:rFonts w:ascii="Times New Roman" w:hAnsi="Times New Roman"/>
          <w:color w:val="0070C0"/>
          <w:sz w:val="16"/>
          <w:szCs w:val="16"/>
        </w:rPr>
        <w:tab/>
        <w:t>20,0</w:t>
      </w:r>
    </w:p>
    <w:p w14:paraId="2249E50D" w14:textId="77777777" w:rsidR="00E86445" w:rsidRPr="00142305" w:rsidRDefault="00E86445" w:rsidP="00E86445">
      <w:pPr>
        <w:tabs>
          <w:tab w:val="left" w:leader="dot" w:pos="2549"/>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Длина в линии полета (м) </w:t>
      </w:r>
      <w:r w:rsidRPr="00142305">
        <w:rPr>
          <w:rFonts w:ascii="Times New Roman" w:hAnsi="Times New Roman"/>
          <w:color w:val="0070C0"/>
          <w:sz w:val="16"/>
          <w:szCs w:val="16"/>
        </w:rPr>
        <w:tab/>
        <w:t>15,0</w:t>
      </w:r>
    </w:p>
    <w:p w14:paraId="07E4DEC5" w14:textId="77777777" w:rsidR="00E86445" w:rsidRPr="00142305" w:rsidRDefault="00E86445" w:rsidP="00E86445">
      <w:pPr>
        <w:tabs>
          <w:tab w:val="left" w:leader="dot" w:pos="2549"/>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Площадь крыльев (м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w:t>
      </w:r>
      <w:r w:rsidRPr="00142305">
        <w:rPr>
          <w:rFonts w:ascii="Times New Roman" w:hAnsi="Times New Roman"/>
          <w:color w:val="0070C0"/>
          <w:sz w:val="16"/>
          <w:szCs w:val="16"/>
        </w:rPr>
        <w:tab/>
        <w:t>57,7 (52,0 + 5,7)</w:t>
      </w:r>
    </w:p>
    <w:p w14:paraId="7242EFA3" w14:textId="77777777" w:rsidR="00E86445" w:rsidRPr="00142305" w:rsidRDefault="00E86445" w:rsidP="00E86445">
      <w:pPr>
        <w:tabs>
          <w:tab w:val="left" w:leader="dot" w:pos="2549"/>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Вес пустого (кг) </w:t>
      </w:r>
      <w:r w:rsidRPr="00142305">
        <w:rPr>
          <w:rFonts w:ascii="Times New Roman" w:hAnsi="Times New Roman"/>
          <w:color w:val="0070C0"/>
          <w:sz w:val="16"/>
          <w:szCs w:val="16"/>
        </w:rPr>
        <w:tab/>
        <w:t>2000</w:t>
      </w:r>
    </w:p>
    <w:p w14:paraId="0CF02E07" w14:textId="77777777" w:rsidR="00E86445" w:rsidRPr="00142305" w:rsidRDefault="00E86445" w:rsidP="00E864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Полный полетный вес (кг) .</w:t>
      </w:r>
      <w:r w:rsidRPr="00142305">
        <w:rPr>
          <w:rFonts w:ascii="Times New Roman" w:hAnsi="Times New Roman"/>
          <w:color w:val="0070C0"/>
          <w:sz w:val="16"/>
          <w:szCs w:val="16"/>
        </w:rPr>
        <w:tab/>
        <w:t xml:space="preserve"> . . . 3100</w:t>
      </w:r>
    </w:p>
    <w:p w14:paraId="75226A54" w14:textId="77777777" w:rsidR="00E86445" w:rsidRPr="00142305" w:rsidRDefault="00E86445" w:rsidP="00E864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Нагрузка на крыло (кг/м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w:t>
      </w:r>
      <w:r w:rsidRPr="00142305">
        <w:rPr>
          <w:rFonts w:ascii="Times New Roman" w:hAnsi="Times New Roman"/>
          <w:color w:val="0070C0"/>
          <w:sz w:val="16"/>
          <w:szCs w:val="16"/>
        </w:rPr>
        <w:tab/>
        <w:t>54,0</w:t>
      </w:r>
    </w:p>
    <w:p w14:paraId="445603AA" w14:textId="77777777" w:rsidR="00E86445" w:rsidRPr="00142305" w:rsidRDefault="00E86445" w:rsidP="00E864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Максимальная скорость (км/ч) </w:t>
      </w:r>
      <w:r w:rsidRPr="00142305">
        <w:rPr>
          <w:rFonts w:ascii="Times New Roman" w:hAnsi="Times New Roman"/>
          <w:color w:val="0070C0"/>
          <w:sz w:val="16"/>
          <w:szCs w:val="16"/>
        </w:rPr>
        <w:tab/>
        <w:t>220 (25013).</w:t>
      </w:r>
    </w:p>
    <w:p w14:paraId="32D76102" w14:textId="77777777" w:rsidR="00E86445" w:rsidRPr="00142305" w:rsidRDefault="00E86445" w:rsidP="00E86445">
      <w:pPr>
        <w:spacing w:after="0" w:line="240" w:lineRule="auto"/>
        <w:jc w:val="both"/>
        <w:rPr>
          <w:rFonts w:ascii="Times New Roman" w:hAnsi="Times New Roman"/>
          <w:color w:val="0070C0"/>
          <w:sz w:val="16"/>
          <w:szCs w:val="16"/>
        </w:rPr>
      </w:pPr>
    </w:p>
    <w:p w14:paraId="4F2AFB2B" w14:textId="77777777" w:rsidR="001748B7" w:rsidRPr="0044524F" w:rsidRDefault="001748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февраля 1933 г. автожир типа А-4 с заводским № 4301, изготовленный в Кие</w:t>
      </w:r>
      <w:r w:rsidRPr="0044524F">
        <w:rPr>
          <w:rFonts w:ascii="Times New Roman" w:hAnsi="Times New Roman"/>
          <w:color w:val="000000" w:themeColor="text1"/>
          <w:sz w:val="16"/>
          <w:szCs w:val="16"/>
        </w:rPr>
        <w:softHyphen/>
        <w:t>ве, демонстрировали участникам проходящего сельскохозяйственного съезда. Во время этой торжествен</w:t>
      </w:r>
      <w:r w:rsidRPr="0044524F">
        <w:rPr>
          <w:rFonts w:ascii="Times New Roman" w:hAnsi="Times New Roman"/>
          <w:color w:val="000000" w:themeColor="text1"/>
          <w:sz w:val="16"/>
          <w:szCs w:val="16"/>
        </w:rPr>
        <w:softHyphen/>
        <w:t>ной демонстрации достижений цивилизации на Централь</w:t>
      </w:r>
      <w:r w:rsidRPr="0044524F">
        <w:rPr>
          <w:rFonts w:ascii="Times New Roman" w:hAnsi="Times New Roman"/>
          <w:color w:val="000000" w:themeColor="text1"/>
          <w:sz w:val="16"/>
          <w:szCs w:val="16"/>
        </w:rPr>
        <w:softHyphen/>
        <w:t>ном аэродроме произошла очередная неприятность. При раскрутке ротора порыв ветра переместил лопасти в за</w:t>
      </w:r>
      <w:r w:rsidRPr="0044524F">
        <w:rPr>
          <w:rFonts w:ascii="Times New Roman" w:hAnsi="Times New Roman"/>
          <w:color w:val="000000" w:themeColor="text1"/>
          <w:sz w:val="16"/>
          <w:szCs w:val="16"/>
        </w:rPr>
        <w:softHyphen/>
        <w:t>предельное нижнее положение, и они зацепили верхнюю часть руля поворота. Несмотря на эту небольшую поломку, эксперименты продолжили на следующий день. Для уменьшения вибра</w:t>
      </w:r>
      <w:r w:rsidRPr="0044524F">
        <w:rPr>
          <w:rFonts w:ascii="Times New Roman" w:hAnsi="Times New Roman"/>
          <w:color w:val="000000" w:themeColor="text1"/>
          <w:sz w:val="16"/>
          <w:szCs w:val="16"/>
        </w:rPr>
        <w:softHyphen/>
        <w:t>ции ротора несколько раз меняли угол атаки лопастей. 22 февраля при выполнении Корзинщиковым полета по кру</w:t>
      </w:r>
      <w:r w:rsidRPr="0044524F">
        <w:rPr>
          <w:rFonts w:ascii="Times New Roman" w:hAnsi="Times New Roman"/>
          <w:color w:val="000000" w:themeColor="text1"/>
          <w:sz w:val="16"/>
          <w:szCs w:val="16"/>
        </w:rPr>
        <w:softHyphen/>
        <w:t>гу на высоте 100 м автожир начал неожиданно снижаться помимо воли пилота. Для выявления причины произо</w:t>
      </w:r>
      <w:r w:rsidRPr="0044524F">
        <w:rPr>
          <w:rFonts w:ascii="Times New Roman" w:hAnsi="Times New Roman"/>
          <w:color w:val="000000" w:themeColor="text1"/>
          <w:sz w:val="16"/>
          <w:szCs w:val="16"/>
        </w:rPr>
        <w:softHyphen/>
        <w:t>шедшего вновь пришлось снять ротор и заняться его улуч</w:t>
      </w:r>
      <w:r w:rsidRPr="0044524F">
        <w:rPr>
          <w:rFonts w:ascii="Times New Roman" w:hAnsi="Times New Roman"/>
          <w:color w:val="000000" w:themeColor="text1"/>
          <w:sz w:val="16"/>
          <w:szCs w:val="16"/>
        </w:rPr>
        <w:softHyphen/>
        <w:t>шением (20361).</w:t>
      </w:r>
    </w:p>
    <w:p w14:paraId="3EF28639" w14:textId="77777777" w:rsidR="001748B7" w:rsidRPr="0044524F" w:rsidRDefault="001748B7" w:rsidP="009654CF">
      <w:pPr>
        <w:shd w:val="clear" w:color="auto" w:fill="FFFFFF"/>
        <w:spacing w:after="0" w:line="240" w:lineRule="auto"/>
        <w:jc w:val="both"/>
        <w:rPr>
          <w:rFonts w:ascii="Times New Roman" w:hAnsi="Times New Roman"/>
          <w:color w:val="000000" w:themeColor="text1"/>
          <w:sz w:val="16"/>
          <w:szCs w:val="16"/>
        </w:rPr>
      </w:pPr>
    </w:p>
    <w:p w14:paraId="31D0029C" w14:textId="77777777" w:rsidR="00694BFD" w:rsidRPr="0044524F" w:rsidRDefault="00694BFD"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400FB8F" w14:textId="77777777" w:rsidR="00694BFD" w:rsidRPr="0044524F" w:rsidRDefault="00694BF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4BF4B1C" w14:textId="77777777" w:rsidR="00694BFD" w:rsidRPr="0044524F" w:rsidRDefault="00694BF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февраля 1933 года по результатам работы комиссии вышло Постановление РВС СССР «О приобретении в Германии технической помощи по проектированию и постройке подводных лодок», которым определялось:</w:t>
      </w:r>
    </w:p>
    <w:p w14:paraId="39B12074" w14:textId="77777777" w:rsidR="00694BFD" w:rsidRPr="0044524F" w:rsidRDefault="00694BF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Считать необходимым приобретение иностранной технической помощи по постройке и проектированию больших и средних подводных лодок у немецкой фирмы ―I v S‖.</w:t>
      </w:r>
    </w:p>
    <w:p w14:paraId="5B36CD38" w14:textId="77777777" w:rsidR="00694BFD" w:rsidRPr="0044524F" w:rsidRDefault="00694BF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Просить разрешение у Правительства СССР заказать фирме ―I v S‖ проекты, чертежи подводных лодок в 1.200 и 755 тонн водоизмещения (с нашим вооружением), приобрести у фирмы техническую помощь по постройке подводных лодок обоих типов на судостроительных заводах в Советском Союзе.</w:t>
      </w:r>
    </w:p>
    <w:p w14:paraId="606BB755" w14:textId="77777777" w:rsidR="00694BFD" w:rsidRPr="0044524F" w:rsidRDefault="00694BF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Для ведения переговоров немедленно пригласить представителей фирмы ―I v S‖ в Москву и добиться сокращения стоимости проектов и технической помощи» [Там же, л. 257] (18262).</w:t>
      </w:r>
    </w:p>
    <w:p w14:paraId="1F65177D" w14:textId="77777777" w:rsidR="00694BFD" w:rsidRPr="0044524F" w:rsidRDefault="00694BFD" w:rsidP="009654CF">
      <w:pPr>
        <w:spacing w:after="0" w:line="240" w:lineRule="auto"/>
        <w:jc w:val="both"/>
        <w:rPr>
          <w:rFonts w:ascii="Times New Roman" w:hAnsi="Times New Roman"/>
          <w:color w:val="000000" w:themeColor="text1"/>
          <w:sz w:val="16"/>
          <w:szCs w:val="16"/>
        </w:rPr>
      </w:pPr>
    </w:p>
    <w:p w14:paraId="0442E790"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5BA27E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219A73C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февраля 1933 вышел Приказ ОГПУ № 32, который гласил: «Учитывая особо энергичную работу начальника Ухтино-Печорских исправительно-трудовых лагерей ОГПУ тов. Мороза Якова Моисеевича по освоению в исключительно тяжелых условиях дальнего Севера Ухтинско-Печорских нефтяных и каменно-угольных месторождений, приказываю: нефтяной промысел № 3 на реке Ярега именовать «Нефтяным промыслом имени тов. Мороза Я. М.» (Я. М. Мороз был организатором и бессменным начальником созданного летом 1931 года Ухтпечлага вплоть до своего ареста в 1938-м) (7560).</w:t>
      </w:r>
    </w:p>
    <w:p w14:paraId="3D59955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30C29C25" w14:textId="77777777" w:rsidR="00A7614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4ED0F1C" w14:textId="77777777" w:rsidR="00A76142" w:rsidRPr="0044524F" w:rsidRDefault="00A7614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696C95"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20 февраля</w:t>
      </w:r>
      <w:r w:rsidRPr="0044524F">
        <w:rPr>
          <w:rFonts w:ascii="Times New Roman" w:hAnsi="Times New Roman"/>
          <w:color w:val="000000" w:themeColor="text1"/>
          <w:sz w:val="16"/>
          <w:szCs w:val="16"/>
        </w:rPr>
        <w:t xml:space="preserve"> в 1933 году первый полёт истребителя</w:t>
      </w:r>
      <w:hyperlink r:id="rId69" w:tgtFrame="_blank" w:history="1">
        <w:r w:rsidRPr="0044524F">
          <w:rPr>
            <w:rFonts w:ascii="Times New Roman" w:hAnsi="Times New Roman"/>
            <w:color w:val="000000" w:themeColor="text1"/>
            <w:sz w:val="16"/>
            <w:szCs w:val="16"/>
          </w:rPr>
          <w:t xml:space="preserve">«Loire 45» </w:t>
        </w:r>
      </w:hyperlink>
      <w:r w:rsidRPr="0044524F">
        <w:rPr>
          <w:rFonts w:ascii="Times New Roman" w:hAnsi="Times New Roman"/>
          <w:color w:val="000000" w:themeColor="text1"/>
          <w:sz w:val="16"/>
          <w:szCs w:val="16"/>
        </w:rPr>
        <w:t>(компания «Loire», Франция). Основными отличиями самолёта стали звездообразный двигатель воздушного охлаждения «Gnome-Rhone» «14 Kds» и измененная конструкция основного шасси. Вооружение истребителя состояло из двух 20-мм пушек «Oerlikon», установленных в специальных крыльевых отсеках. Колеса закрыли обтекателями, двухлопастный винт заменили на трехлопастный (15046).</w:t>
      </w:r>
    </w:p>
    <w:p w14:paraId="38774794" w14:textId="77777777" w:rsidR="00A76142" w:rsidRPr="0044524F" w:rsidRDefault="00A76142" w:rsidP="009654CF">
      <w:pPr>
        <w:spacing w:after="0" w:line="240" w:lineRule="auto"/>
        <w:jc w:val="both"/>
        <w:rPr>
          <w:rFonts w:ascii="Times New Roman" w:hAnsi="Times New Roman"/>
          <w:color w:val="000000" w:themeColor="text1"/>
          <w:sz w:val="16"/>
          <w:szCs w:val="16"/>
        </w:rPr>
      </w:pPr>
    </w:p>
    <w:p w14:paraId="455E84CD" w14:textId="77777777" w:rsidR="001748B7" w:rsidRPr="0044524F" w:rsidRDefault="001748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февраля 1933 года — первый полёт поршневого истребителя Loire 45. /Франция/</w:t>
      </w:r>
    </w:p>
    <w:p w14:paraId="561982B7" w14:textId="77777777" w:rsidR="001748B7" w:rsidRPr="0044524F" w:rsidRDefault="001748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рамках программы по постройке одноместных истребителей для ВВС Франции, начатой в 1930 году, компания Loire Aviation разработала лёгкий истребитель Loire 43. Но в одном из полётов прототип разбился. Поэтому компания решила создать на его базе новый истребитель — Loire 45.</w:t>
      </w:r>
    </w:p>
    <w:p w14:paraId="2BB882F2" w14:textId="77777777" w:rsidR="001748B7" w:rsidRPr="0044524F" w:rsidRDefault="001748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цельнометаллический Loire 45 был высокопланом с крылом типа «чайка» и неубирающимся шасси. От Loire 43 отличался прежде всего более мощным двигателем — Gnome-Rhone 14Kcs. Максимальная скорость — 370 км/ч. Вооружение состояло из 2 × 20-мм пушек Oerlikon.</w:t>
      </w:r>
    </w:p>
    <w:p w14:paraId="608436EF" w14:textId="77777777" w:rsidR="001748B7" w:rsidRPr="0044524F" w:rsidRDefault="001748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показали, что у самолёта плохой обзор для лётчика. Попытки доработать конструкцию крыла не дали результата и Loire 45 остался построенным в единственном экземпляре. Он пережил Вторую мировую войну и летал до начала 1950-х годов с гражданской регистрацией F-AKHP. Его недостатки учли в новом истребителе Loire 46, который выпускался небольшой серией (22300).</w:t>
      </w:r>
    </w:p>
    <w:p w14:paraId="4B3C516E" w14:textId="77777777" w:rsidR="001748B7" w:rsidRPr="0044524F" w:rsidRDefault="001748B7" w:rsidP="009654CF">
      <w:pPr>
        <w:spacing w:after="0" w:line="240" w:lineRule="auto"/>
        <w:jc w:val="both"/>
        <w:rPr>
          <w:rFonts w:ascii="Times New Roman" w:hAnsi="Times New Roman"/>
          <w:color w:val="000000" w:themeColor="text1"/>
          <w:sz w:val="16"/>
          <w:szCs w:val="16"/>
        </w:rPr>
      </w:pPr>
    </w:p>
    <w:p w14:paraId="5301BC20"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20 февраля 1923 во дворце Геринга, председателя рейхстага, собрались по инициативе Шахта десятка два крупнейших магнатов, в том числе Крупп фон Болен, неожиданно сделавшийся горячим сторонником нацистов, Бош и Шницлер из "И. Г. Фарбениндустри" и Феглер, глава Объединенного стального концерна. Там Геринг и Гитлер и раскрыли свои планы. Записи этого совещания сохранились.</w:t>
      </w:r>
    </w:p>
    <w:p w14:paraId="049AFCC8"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Свою длинную речь Гитлер начал с льстивых слов в адрес промышленников. "Частное предприятие, - сказал он, - нельзя вести в условиях демократии; оно мыслимо, только если народ привержен авторитету личности... Всеми жизненными благами, которыми пользуемся, мы обязаны усилиям избранных... Мы не должны забывать, что преимущества культуры надо внедрять в известной мере силой железного кулака". Он обещал предпринимателям устранить марксистов и восстановить вермахт (последний являлся предметом особого интереса для таких промышленных гигантов, как Крупп, Объединенный стальной концерн, "И. Г. Фарбениндустри", которые рассчитывали умножить свои капиталы с помощью производства оружия.</w:t>
      </w:r>
    </w:p>
    <w:p w14:paraId="48E04060"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"Сегодня мы стоим в преддверии последних выборов", - продолжал Гитлер, пообещав своим слушателям "не отступать, чем бы они ни кончились". Он заверил их, что в случае поражения все равно удержит в своих руках власть, только "иными средствами... с помощью иного оружия". Геринг, касаясь практической стороны дела, подчеркнул важность "финансовых жертв", которые деловым людям "гораздо легче будет нести, если они учтут, что выборы 5 марта могут стать последними, - других выборов, конечно, не будет в ближайшие десять, а может, и сто лет".</w:t>
      </w:r>
    </w:p>
    <w:p w14:paraId="5E1273CC"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Все эти разъяснения промышленники сочли достаточно убедительными и с энтузиазмом восприняли обещание покончить с надоевшими выборами, с демократией и с разговорами о разоружении. Крупп, король военной промышленности, совсем недавно, точнее, 20 января уговаривавший Гинденбурга не назначать Гитлера канцлером, встал и выразил от имени деловых кругов благодарность за "ясное изложение позиции". Затем д-р Шахт пустил по кругу шляпу. "Я собрал три миллиона марок", - показал он на Нюрнбергском процессе (17283).</w:t>
      </w:r>
    </w:p>
    <w:p w14:paraId="04F1398C" w14:textId="77777777" w:rsidR="007C00E8" w:rsidRPr="0044524F" w:rsidRDefault="007C00E8" w:rsidP="009654CF">
      <w:pPr>
        <w:spacing w:after="0" w:line="240" w:lineRule="auto"/>
        <w:jc w:val="both"/>
        <w:rPr>
          <w:rFonts w:ascii="Times New Roman" w:hAnsi="Times New Roman"/>
          <w:color w:val="000000" w:themeColor="text1"/>
          <w:sz w:val="16"/>
          <w:szCs w:val="16"/>
        </w:rPr>
      </w:pPr>
    </w:p>
    <w:p w14:paraId="35395A92"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4545B0B"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335A43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февраля 1933 года Инженер-механик ВВС Аузан утвердил Тактико-технические требования к амфибии МБР-5</w:t>
      </w:r>
    </w:p>
    <w:p w14:paraId="1BE8B48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ближний разведчик</w:t>
      </w:r>
    </w:p>
    <w:p w14:paraId="496393B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p w14:paraId="0C277F9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Основное: Разведка визуальная и фотографическая морских и озерных, речных районов. Бомбардирование легких морских судов. Несение дозорной службы над морем и сушей. Химическая атака.</w:t>
      </w:r>
    </w:p>
    <w:p w14:paraId="6255C99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Вспомогательное: Корректирование огня судовой и береговой артиллерии. Охрана судов морского флота при выходе и входе в базу. Вождение торпедных катеров.</w:t>
      </w:r>
    </w:p>
    <w:p w14:paraId="1022D57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Гражданское: Почтовый, для связи, для транспортировки легких грузов.</w:t>
      </w:r>
    </w:p>
    <w:p w14:paraId="2363C72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Метод боевого использования.</w:t>
      </w:r>
    </w:p>
    <w:p w14:paraId="45DC720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парой и одиночный, днем и ночью. Как легкий бомбардировщик летает группой. Бой против одиночных истребителей, основанный на огне и на маневре.</w:t>
      </w:r>
    </w:p>
    <w:p w14:paraId="350FFD6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Базирование на необорудованные гидроаэродромы (морские и речные) и на плохие сухопутные площадки летом и зимой. Необходимость взлета (и посадки) с мелкой воды и с узких рек.</w:t>
      </w:r>
    </w:p>
    <w:p w14:paraId="4178C6A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исключение дежурство на плаву при предельной для самолета погоде.</w:t>
      </w:r>
    </w:p>
    <w:p w14:paraId="516A195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Подъем (и спуск) на корабль.</w:t>
      </w:r>
    </w:p>
    <w:p w14:paraId="6E5BC1B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Летно 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48B4A675" w14:textId="77777777">
        <w:tc>
          <w:tcPr>
            <w:tcW w:w="5636" w:type="dxa"/>
          </w:tcPr>
          <w:p w14:paraId="5122E3B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боевого применения</w:t>
            </w:r>
          </w:p>
        </w:tc>
        <w:tc>
          <w:tcPr>
            <w:tcW w:w="5636" w:type="dxa"/>
          </w:tcPr>
          <w:p w14:paraId="4286CEB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w:t>
            </w:r>
          </w:p>
        </w:tc>
      </w:tr>
      <w:tr w:rsidR="004E10C1" w:rsidRPr="0044524F" w14:paraId="2B840A40" w14:textId="77777777">
        <w:tc>
          <w:tcPr>
            <w:tcW w:w="5636" w:type="dxa"/>
          </w:tcPr>
          <w:p w14:paraId="5562B2E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за время не более 60 мин</w:t>
            </w:r>
          </w:p>
        </w:tc>
        <w:tc>
          <w:tcPr>
            <w:tcW w:w="5636" w:type="dxa"/>
          </w:tcPr>
          <w:p w14:paraId="4675AD3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 м</w:t>
            </w:r>
          </w:p>
        </w:tc>
      </w:tr>
      <w:tr w:rsidR="004E10C1" w:rsidRPr="0044524F" w14:paraId="349EB94B" w14:textId="77777777">
        <w:tc>
          <w:tcPr>
            <w:tcW w:w="5636" w:type="dxa"/>
          </w:tcPr>
          <w:p w14:paraId="038A143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боевую высоту</w:t>
            </w:r>
          </w:p>
        </w:tc>
        <w:tc>
          <w:tcPr>
            <w:tcW w:w="5636" w:type="dxa"/>
          </w:tcPr>
          <w:p w14:paraId="6336491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мин.</w:t>
            </w:r>
          </w:p>
        </w:tc>
      </w:tr>
      <w:tr w:rsidR="004E10C1" w:rsidRPr="0044524F" w14:paraId="18D470E6" w14:textId="77777777">
        <w:tc>
          <w:tcPr>
            <w:tcW w:w="5636" w:type="dxa"/>
          </w:tcPr>
          <w:p w14:paraId="48374617"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на боевой высоте</w:t>
            </w:r>
          </w:p>
        </w:tc>
        <w:tc>
          <w:tcPr>
            <w:tcW w:w="5636" w:type="dxa"/>
          </w:tcPr>
          <w:p w14:paraId="0B88C40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 км/час</w:t>
            </w:r>
          </w:p>
        </w:tc>
      </w:tr>
      <w:tr w:rsidR="004E10C1" w:rsidRPr="0044524F" w14:paraId="016CA4DC" w14:textId="77777777">
        <w:tc>
          <w:tcPr>
            <w:tcW w:w="5636" w:type="dxa"/>
          </w:tcPr>
          <w:p w14:paraId="28FBD7CF"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на воду замеренная с воды</w:t>
            </w:r>
          </w:p>
        </w:tc>
        <w:tc>
          <w:tcPr>
            <w:tcW w:w="5636" w:type="dxa"/>
          </w:tcPr>
          <w:p w14:paraId="6092F92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 км/час</w:t>
            </w:r>
          </w:p>
        </w:tc>
      </w:tr>
      <w:tr w:rsidR="004E10C1" w:rsidRPr="0044524F" w14:paraId="01A269E7" w14:textId="77777777">
        <w:tc>
          <w:tcPr>
            <w:tcW w:w="5636" w:type="dxa"/>
          </w:tcPr>
          <w:p w14:paraId="3FFD4A0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Техническая дальность норм. на боевой высоте</w:t>
            </w:r>
          </w:p>
        </w:tc>
        <w:tc>
          <w:tcPr>
            <w:tcW w:w="5636" w:type="dxa"/>
          </w:tcPr>
          <w:p w14:paraId="730E2B5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 км</w:t>
            </w:r>
          </w:p>
        </w:tc>
      </w:tr>
      <w:tr w:rsidR="004E10C1" w:rsidRPr="0044524F" w14:paraId="3407A5A3" w14:textId="77777777">
        <w:tc>
          <w:tcPr>
            <w:tcW w:w="5636" w:type="dxa"/>
          </w:tcPr>
          <w:p w14:paraId="4EC5719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Техническая дальность максим. на боевой высоте</w:t>
            </w:r>
          </w:p>
        </w:tc>
        <w:tc>
          <w:tcPr>
            <w:tcW w:w="5636" w:type="dxa"/>
          </w:tcPr>
          <w:p w14:paraId="07A3DAA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 км</w:t>
            </w:r>
          </w:p>
        </w:tc>
      </w:tr>
      <w:tr w:rsidR="004E10C1" w:rsidRPr="0044524F" w14:paraId="49CDF185" w14:textId="77777777">
        <w:tc>
          <w:tcPr>
            <w:tcW w:w="5636" w:type="dxa"/>
          </w:tcPr>
          <w:p w14:paraId="246A32D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w:t>
            </w:r>
          </w:p>
        </w:tc>
        <w:tc>
          <w:tcPr>
            <w:tcW w:w="5636" w:type="dxa"/>
          </w:tcPr>
          <w:p w14:paraId="192C0BD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069D696" w14:textId="77777777">
        <w:tc>
          <w:tcPr>
            <w:tcW w:w="5636" w:type="dxa"/>
          </w:tcPr>
          <w:p w14:paraId="7CB755A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Нормально</w:t>
            </w:r>
          </w:p>
        </w:tc>
        <w:tc>
          <w:tcPr>
            <w:tcW w:w="5636" w:type="dxa"/>
          </w:tcPr>
          <w:p w14:paraId="205ED04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чел.</w:t>
            </w:r>
          </w:p>
        </w:tc>
      </w:tr>
      <w:tr w:rsidR="004E10C1" w:rsidRPr="0044524F" w14:paraId="7CE74F95" w14:textId="77777777">
        <w:tc>
          <w:tcPr>
            <w:tcW w:w="5636" w:type="dxa"/>
          </w:tcPr>
          <w:p w14:paraId="275A36A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счет перегрузки</w:t>
            </w:r>
          </w:p>
        </w:tc>
        <w:tc>
          <w:tcPr>
            <w:tcW w:w="5636" w:type="dxa"/>
          </w:tcPr>
          <w:p w14:paraId="4AF039D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чел.</w:t>
            </w:r>
          </w:p>
        </w:tc>
      </w:tr>
    </w:tbl>
    <w:p w14:paraId="50E4F19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Требования к схеме.</w:t>
      </w:r>
    </w:p>
    <w:p w14:paraId="7A157F2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Расположение кабин: носовая - летчик-наблюдатель, средняя - пилот, кормовая - стрелок-техник. Все три кабины сообщающиеся. Первые две - впереди крыла.</w:t>
      </w:r>
    </w:p>
    <w:p w14:paraId="25BAFB31"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чистый обзор из передних двух кабин: вперед, в стороны, вниз, вверх.</w:t>
      </w:r>
    </w:p>
    <w:p w14:paraId="1143575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Обстрел из всех пулеметов вниз под 90 градусов, из кормового полный обстрел в стороны, вверх, минимальное затенение от хвостового оперения.</w:t>
      </w:r>
    </w:p>
    <w:p w14:paraId="5F7AD549"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Последовательность выполнения требований:</w:t>
      </w:r>
    </w:p>
    <w:p w14:paraId="0655373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Обзор и обстрел, удобство работы в воздухе с предметами оборудования и вооружения. Легкость зарядки на земле.</w:t>
      </w:r>
    </w:p>
    <w:p w14:paraId="0E3365AA"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Короткий взлет с плохих сухопутных площадок, посадка на мелкую воду и на узкие реки.</w:t>
      </w:r>
    </w:p>
    <w:p w14:paraId="64CFDED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w:t>
      </w:r>
    </w:p>
    <w:p w14:paraId="15A4747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w:t>
      </w:r>
    </w:p>
    <w:p w14:paraId="6113A51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Маневренность в воздухе.</w:t>
      </w:r>
    </w:p>
    <w:p w14:paraId="49B1F465"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Конструкция.</w:t>
      </w:r>
    </w:p>
    <w:p w14:paraId="4AF99CA2"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Крылья разрезные: в случае предкрылков, последние управляемые.</w:t>
      </w:r>
    </w:p>
    <w:p w14:paraId="64FAD9C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Желательно выполнить складывающиеся крылья; переход к ним в порядке дальнейшего усовершенствования самолета должен быть предусмотрен обязательно.</w:t>
      </w:r>
    </w:p>
    <w:p w14:paraId="06827D5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Требуется максимальный размах крыльев.</w:t>
      </w:r>
    </w:p>
    <w:p w14:paraId="570F53B6"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Подвеска на крылья бомб на плаву и на земле должна быть удобной для быстрой зарядки.</w:t>
      </w:r>
    </w:p>
    <w:p w14:paraId="020B568C"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Материал самолета: древо, полотно и металлы, при чем последние допускаются лишь те, серийное производство которых налажено (3899,54-58).</w:t>
      </w:r>
    </w:p>
    <w:p w14:paraId="0803DBC8"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7D78A180" w14:textId="77777777" w:rsidR="001D2F8A" w:rsidRPr="0044524F" w:rsidRDefault="001D2F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февраля 1933 эксперименты с автожиром типа А-4 с заводским № 4301, изготовленным в Кие</w:t>
      </w:r>
      <w:r w:rsidRPr="0044524F">
        <w:rPr>
          <w:rFonts w:ascii="Times New Roman" w:hAnsi="Times New Roman"/>
          <w:color w:val="000000" w:themeColor="text1"/>
          <w:sz w:val="16"/>
          <w:szCs w:val="16"/>
        </w:rPr>
        <w:softHyphen/>
        <w:t>ве, продолжили. Для уменьшения вибра</w:t>
      </w:r>
      <w:r w:rsidRPr="0044524F">
        <w:rPr>
          <w:rFonts w:ascii="Times New Roman" w:hAnsi="Times New Roman"/>
          <w:color w:val="000000" w:themeColor="text1"/>
          <w:sz w:val="16"/>
          <w:szCs w:val="16"/>
        </w:rPr>
        <w:softHyphen/>
        <w:t>ции ротора несколько раз меняли угол атаки лопастей. 22 февраля при выполнении Корзинщиковым полета по кру</w:t>
      </w:r>
      <w:r w:rsidRPr="0044524F">
        <w:rPr>
          <w:rFonts w:ascii="Times New Roman" w:hAnsi="Times New Roman"/>
          <w:color w:val="000000" w:themeColor="text1"/>
          <w:sz w:val="16"/>
          <w:szCs w:val="16"/>
        </w:rPr>
        <w:softHyphen/>
        <w:t>гу на высоте 100 м автожир начал неожиданно снижаться помимо воли пилота. Для выявления причины произо</w:t>
      </w:r>
      <w:r w:rsidRPr="0044524F">
        <w:rPr>
          <w:rFonts w:ascii="Times New Roman" w:hAnsi="Times New Roman"/>
          <w:color w:val="000000" w:themeColor="text1"/>
          <w:sz w:val="16"/>
          <w:szCs w:val="16"/>
        </w:rPr>
        <w:softHyphen/>
        <w:t>шедшего вновь пришлось снять ротор и заняться его улуч</w:t>
      </w:r>
      <w:r w:rsidRPr="0044524F">
        <w:rPr>
          <w:rFonts w:ascii="Times New Roman" w:hAnsi="Times New Roman"/>
          <w:color w:val="000000" w:themeColor="text1"/>
          <w:sz w:val="16"/>
          <w:szCs w:val="16"/>
        </w:rPr>
        <w:softHyphen/>
        <w:t>шением (20361).</w:t>
      </w:r>
    </w:p>
    <w:p w14:paraId="17D8AD81" w14:textId="77777777" w:rsidR="001D2F8A" w:rsidRPr="0044524F" w:rsidRDefault="001D2F8A" w:rsidP="009654CF">
      <w:pPr>
        <w:shd w:val="clear" w:color="auto" w:fill="FFFFFF"/>
        <w:spacing w:after="0" w:line="240" w:lineRule="auto"/>
        <w:jc w:val="both"/>
        <w:rPr>
          <w:rFonts w:ascii="Times New Roman" w:hAnsi="Times New Roman"/>
          <w:color w:val="000000" w:themeColor="text1"/>
          <w:sz w:val="16"/>
          <w:szCs w:val="16"/>
        </w:rPr>
      </w:pPr>
    </w:p>
    <w:p w14:paraId="17132D80"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февраля 1933 года секретарь замнаркомвоенмора Левонюк писал письмо № 0099/с начальнику УВВС Алкснису, начальнику Штаба УВВС Меженинову, зам. начальника НИИ УВВС Аузану, начальнику ГАУ РККА Ефимову, зам. начальника ГАУ РККА Симонову, зам. начальника ГАУ РККА Розынко, начальнику факультета Артиллерийской академии Сакриеру, начальнику УВП ГАУ Орлову, начальнику УБП РККА Седякину, инспектору артиллерии РККА Роговскому, начальнику 1 управления Штаба РККА Обысову, начальнику ВВА Хорькову, инженеру Курчевскому.</w:t>
      </w:r>
    </w:p>
    <w:p w14:paraId="55C5478E"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Замнаркомвоенмор и председатель РВСС Тухачевский назначил на 26 февраля 1933 года в своем кабинете совещание с Вашим участием по вопросу об артиллерийских самолетах.</w:t>
      </w:r>
    </w:p>
    <w:p w14:paraId="0C56E8CB"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 совещания будет сообщен дополнительно (7415, 15).</w:t>
      </w:r>
    </w:p>
    <w:p w14:paraId="7D2D7993"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549E07B1" w14:textId="77777777" w:rsidR="00FC65C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D9A04EA" w14:textId="77777777" w:rsidR="00FC65C5" w:rsidRPr="0044524F" w:rsidRDefault="00FC65C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8BB6943"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февраля 1933 закончились совместные испытания тормозных колес размером 1350х300 на самолете ТБ3-4М17, которые проходили с 16 января 1933 и были продолжены 9 февраля 1933.</w:t>
      </w:r>
    </w:p>
    <w:p w14:paraId="38C20A87"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071AB90F"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инженер-летчик от НИИ ВВС –Филин</w:t>
      </w:r>
    </w:p>
    <w:p w14:paraId="273A2A06"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от ЦАГИ – Громов</w:t>
      </w:r>
    </w:p>
    <w:p w14:paraId="7D6AFD25"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0C7E73E6"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тормозных колес, удобство расположения управления тормозами, эффективность действия тормозов и эксплуатационные данные колес.</w:t>
      </w:r>
    </w:p>
    <w:p w14:paraId="6A30F0FB"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299B063" w14:textId="77777777" w:rsidR="00FC65C5" w:rsidRPr="0044524F" w:rsidRDefault="00FC65C5"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колес к самолету ТБ-3 4М-17 размером 1350х300 с цельными тормозными стаканами утверждается.</w:t>
      </w:r>
    </w:p>
    <w:p w14:paraId="0D10B2B0"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колес со сварными тормозными стаканами:</w:t>
      </w:r>
    </w:p>
    <w:p w14:paraId="54A3D2FE"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Начаты – 16 января 1933 года</w:t>
      </w:r>
    </w:p>
    <w:p w14:paraId="2BE237EF"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Окончены 16 января 1933 года</w:t>
      </w:r>
    </w:p>
    <w:p w14:paraId="2088A79D"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Сделано 17 посадок</w:t>
      </w:r>
    </w:p>
    <w:p w14:paraId="3592F911"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Получение новых колес и ремонт самолета с 17 января по 9 февраля 1933 года</w:t>
      </w:r>
    </w:p>
    <w:p w14:paraId="6269E281"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колес с цельными тормозными стаканами:</w:t>
      </w:r>
    </w:p>
    <w:p w14:paraId="13236D32"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Начато 9 февраля 1933 года</w:t>
      </w:r>
    </w:p>
    <w:p w14:paraId="5120D414"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Окончено 21 февраля 1933 года</w:t>
      </w:r>
    </w:p>
    <w:p w14:paraId="7374F6F4"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Летных дней – 2 (6634).</w:t>
      </w:r>
    </w:p>
    <w:p w14:paraId="6932D9DC" w14:textId="77777777" w:rsidR="00FC65C5" w:rsidRPr="0044524F" w:rsidRDefault="00FC65C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4A02C5" w14:textId="77777777" w:rsidR="00E844EA" w:rsidRPr="0044524F" w:rsidRDefault="00E844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февраля 1933 при выполнении Корзинщиковым полета по кру</w:t>
      </w:r>
      <w:r w:rsidRPr="0044524F">
        <w:rPr>
          <w:rFonts w:ascii="Times New Roman" w:hAnsi="Times New Roman"/>
          <w:color w:val="000000" w:themeColor="text1"/>
          <w:sz w:val="16"/>
          <w:szCs w:val="16"/>
        </w:rPr>
        <w:softHyphen/>
        <w:t>гу на высоте 100 м автожир А-4 с заводским № 4301, изготовленный в Кие</w:t>
      </w:r>
      <w:r w:rsidRPr="0044524F">
        <w:rPr>
          <w:rFonts w:ascii="Times New Roman" w:hAnsi="Times New Roman"/>
          <w:color w:val="000000" w:themeColor="text1"/>
          <w:sz w:val="16"/>
          <w:szCs w:val="16"/>
        </w:rPr>
        <w:softHyphen/>
        <w:t>ве, начал неожиданно снижаться помимо воли пилота. Для выявления причины произо</w:t>
      </w:r>
      <w:r w:rsidRPr="0044524F">
        <w:rPr>
          <w:rFonts w:ascii="Times New Roman" w:hAnsi="Times New Roman"/>
          <w:color w:val="000000" w:themeColor="text1"/>
          <w:sz w:val="16"/>
          <w:szCs w:val="16"/>
        </w:rPr>
        <w:softHyphen/>
        <w:t>шедшего вновь пришлось снять ротор и заняться его улуч</w:t>
      </w:r>
      <w:r w:rsidRPr="0044524F">
        <w:rPr>
          <w:rFonts w:ascii="Times New Roman" w:hAnsi="Times New Roman"/>
          <w:color w:val="000000" w:themeColor="text1"/>
          <w:sz w:val="16"/>
          <w:szCs w:val="16"/>
        </w:rPr>
        <w:softHyphen/>
        <w:t>шением (20361).</w:t>
      </w:r>
    </w:p>
    <w:p w14:paraId="2A592086" w14:textId="77777777" w:rsidR="00E844EA" w:rsidRPr="0044524F" w:rsidRDefault="00E844EA" w:rsidP="009654CF">
      <w:pPr>
        <w:shd w:val="clear" w:color="auto" w:fill="FFFFFF"/>
        <w:spacing w:after="0" w:line="240" w:lineRule="auto"/>
        <w:jc w:val="both"/>
        <w:rPr>
          <w:rFonts w:ascii="Times New Roman" w:hAnsi="Times New Roman"/>
          <w:color w:val="000000" w:themeColor="text1"/>
          <w:sz w:val="16"/>
          <w:szCs w:val="16"/>
        </w:rPr>
      </w:pPr>
    </w:p>
    <w:p w14:paraId="5EDCCA6D"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(21 - 1077,10) февраля 1933 А.Н.Т. наградили ОЛ, а В.М.Петлякова - ОКЗ (273,300).</w:t>
      </w:r>
    </w:p>
    <w:p w14:paraId="574E9AF4" w14:textId="77777777" w:rsidR="00FC65C5" w:rsidRPr="0044524F" w:rsidRDefault="00FC65C5" w:rsidP="009654CF">
      <w:pPr>
        <w:autoSpaceDE w:val="0"/>
        <w:autoSpaceDN w:val="0"/>
        <w:adjustRightInd w:val="0"/>
        <w:spacing w:after="0" w:line="240" w:lineRule="auto"/>
        <w:jc w:val="both"/>
        <w:rPr>
          <w:rFonts w:ascii="Times New Roman" w:hAnsi="Times New Roman"/>
          <w:color w:val="000000" w:themeColor="text1"/>
          <w:sz w:val="16"/>
          <w:szCs w:val="16"/>
        </w:rPr>
      </w:pPr>
    </w:p>
    <w:p w14:paraId="7D9B56EE"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22 февраля</w:t>
      </w:r>
      <w:r w:rsidRPr="0044524F">
        <w:rPr>
          <w:rFonts w:ascii="Times New Roman" w:hAnsi="Times New Roman"/>
          <w:color w:val="000000" w:themeColor="text1"/>
          <w:sz w:val="16"/>
          <w:szCs w:val="16"/>
        </w:rPr>
        <w:t xml:space="preserve"> в 1933 году А.Н.Туполева наградили Орденом Ленина, а В.М.Петлякова - Орденом Красной Звезды. По «разнообразию» наград (5 орденов) авиаконструктор А.Н.Туполев побил своеобразный рекорд. Первым у него был орден Трудового Красного Знамени РСФСР (Постановление от 13 декабря 1932 г., знак без номера), в 1933 г. он получил 3 ордена - Ленина (Постановление от 21 февраля 1933 г., знак № 520), Красной Звезды (Постановление от 17 августа 1933 г., знак № 159) и Трудового Красного Знамени СССР (Постановление от 22 декабря 1933 г., знак № 394), в 1936 г. -орден «Знак Почета» (Постановление от 13 августа 1936 г., знак № 3053). Позднее, 27 декабря 1940 г., в связи с арестом А.Н. Туполев, продолжавший, впрочем, работу над новым самолетом в Особом Техническом бюро НКВД, был лишен особым Постановлением Президиума ЦИК своих наград. Указом от 9 декабря 1941 г. это Постановление было отменено. Ордена ему вернули еще раньше, 28 ноября 1941 г., но уже с другими номерами: орден Ленина - № 7339, Красной Звезды - № 20119, Трудового Красного Знамени - № 5618 и «Знак Почета» -№15124. Впоследствии Андрей Николаевич добавил к своему первому ордену Ленина еще семь, а также ордена Октябрьской революции, Суворова II степени и Отечественной войны I степени (Указ от 10 июня 1945 г., знак № 187772) (15048).</w:t>
      </w:r>
    </w:p>
    <w:p w14:paraId="4B62F5ED" w14:textId="77777777" w:rsidR="00A76142" w:rsidRPr="0044524F" w:rsidRDefault="00A76142" w:rsidP="009654CF">
      <w:pPr>
        <w:spacing w:after="0" w:line="240" w:lineRule="auto"/>
        <w:jc w:val="both"/>
        <w:rPr>
          <w:rFonts w:ascii="Times New Roman" w:hAnsi="Times New Roman"/>
          <w:color w:val="000000" w:themeColor="text1"/>
          <w:sz w:val="16"/>
          <w:szCs w:val="16"/>
        </w:rPr>
      </w:pPr>
    </w:p>
    <w:p w14:paraId="5CFF9B65" w14:textId="77777777" w:rsidR="001D2F8A" w:rsidRPr="0044524F" w:rsidRDefault="001D2F8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4F95CFD" w14:textId="77777777" w:rsidR="001D2F8A" w:rsidRPr="0044524F" w:rsidRDefault="001D2F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429EB6C" w14:textId="77777777" w:rsidR="001D2F8A" w:rsidRPr="0044524F" w:rsidRDefault="001D2F8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22 февраля 1933 года СТО утвердил «Программу строительства военно-морского флота», рассчитаннцю на вторую пятилетку с уточнениями В.М. Орлова.</w:t>
      </w:r>
    </w:p>
    <w:p w14:paraId="77395DBB" w14:textId="77777777" w:rsidR="001D2F8A" w:rsidRPr="0044524F" w:rsidRDefault="001D2F8A"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Командующий Морскими силами РККА. В.М. Орлов, хотя и участвовал в подготовке программы, высказал собственный взгляд на вопросы обороны северного побережья. Посчитал вполне достаточным для решения поставленной боевой задачи всего 4 больших и 8 средних подводных лодок, 10 торпедных катеров. Зато счел крайне важным перевести в Баренцево море с Черного хотя бы один из имевшихся там 3 легких крейсеров — «Червону Украину» или «Профинтерн» и с Балтики — 4 эсминца. Конкретизировал Орлов и дислокацию береговой артиллерии — в горле Белого моря, у Архангельска и Мурманска, в Кольском заливе.</w:t>
      </w:r>
    </w:p>
    <w:p w14:paraId="6ECDC46B" w14:textId="77777777" w:rsidR="001D2F8A" w:rsidRPr="0044524F" w:rsidRDefault="001D2F8A"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Как единственно возможную базу дл</w:t>
      </w:r>
      <w:r w:rsidRPr="0044524F">
        <w:rPr>
          <w:rFonts w:ascii="Times New Roman" w:hAnsi="Times New Roman"/>
          <w:color w:val="000000" w:themeColor="text1"/>
          <w:sz w:val="16"/>
          <w:szCs w:val="16"/>
          <w:shd w:val="clear" w:color="auto" w:fill="FFFFFF"/>
        </w:rPr>
        <w:t>я будущего северного соединения и наркомвоенмор, и Орлов рассматривали пока только Мурманск (20467).</w:t>
      </w:r>
    </w:p>
    <w:p w14:paraId="66F535E1" w14:textId="77777777" w:rsidR="001D2F8A" w:rsidRPr="0044524F" w:rsidRDefault="001D2F8A" w:rsidP="009654CF">
      <w:pPr>
        <w:spacing w:after="0" w:line="240" w:lineRule="auto"/>
        <w:jc w:val="both"/>
        <w:rPr>
          <w:rFonts w:ascii="Times New Roman" w:hAnsi="Times New Roman"/>
          <w:color w:val="000000" w:themeColor="text1"/>
          <w:sz w:val="16"/>
          <w:szCs w:val="16"/>
        </w:rPr>
      </w:pPr>
    </w:p>
    <w:p w14:paraId="2E815C8A" w14:textId="77777777" w:rsidR="00A76142"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33C7F300" w14:textId="77777777" w:rsidR="00A76142" w:rsidRPr="0044524F" w:rsidRDefault="00A7614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C20AD0" w14:textId="77777777" w:rsidR="00A76142" w:rsidRPr="0044524F" w:rsidRDefault="00A76142"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22 февраля 1933 г. приказом ОГПУ «О формировании и переформировании авиационных отрядов Войск ОГПУ Округов», которым было объявлено о формировании еще шести авиационных отрядов и о переформировании восьми существующих авиационных отрядов «по объявляемым в приложении штатам», а также об установлении их единой нумерации, Минский пограничный авиационный отряд был переформирован по штату № 2 и ему было присвоено наименование «6-й Авиационный отряд войск ОГПУ БССР».</w:t>
      </w:r>
    </w:p>
    <w:p w14:paraId="67258FCC" w14:textId="77777777" w:rsidR="00A76142" w:rsidRPr="0044524F" w:rsidRDefault="00A76142"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Согласно прилагаемому штату № 2, в 6-й Авиационном отряде войск ОГПУ БССР должно было быть 7 самолетов и 66 человек личного состава: командир отряда, помощник командира отряда по политчасти, начальник штаба, два командира звена, два старших летчика, два младших летчика, три старших летчика наблюдателя, два младших летчика наблюдателя, младший инженер-механик, два старших техника, шесть младших техников, семь мотористов, техник по приборам, старший метеоролог, фотолаборант, заведующий складом, вахтер, три шофера, делопроизводитель, писарь – итого 40 человек основного состава, а также 22 человека аэродромной команды и четыре радиста.</w:t>
      </w:r>
    </w:p>
    <w:p w14:paraId="270A74D4" w14:textId="77777777" w:rsidR="00A76142" w:rsidRPr="0044524F" w:rsidRDefault="00A76142"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В оперативном отношении 6-й Авиационный отряд войск ОГПУ БССР подчинялся Управлению пограничной и внутренней охраны (УПОВ) ОГПУ округа, его звенья и самолеты придавались пограничным отрядам, а контролировался авиотряд авиационной инспекцией отдела вооружения ГУПОВ ОГПУ (15231).</w:t>
      </w:r>
    </w:p>
    <w:p w14:paraId="5730BC2F" w14:textId="77777777" w:rsidR="00A76142" w:rsidRPr="0044524F" w:rsidRDefault="00A76142" w:rsidP="009654CF">
      <w:pPr>
        <w:pStyle w:val="27"/>
        <w:shd w:val="clear" w:color="auto" w:fill="auto"/>
        <w:spacing w:after="0" w:line="240" w:lineRule="auto"/>
        <w:ind w:firstLine="0"/>
        <w:rPr>
          <w:rFonts w:ascii="Times New Roman" w:cs="Times New Roman"/>
          <w:color w:val="000000" w:themeColor="text1"/>
          <w:spacing w:val="0"/>
        </w:rPr>
      </w:pPr>
    </w:p>
    <w:p w14:paraId="4FCDBDE5" w14:textId="77777777" w:rsidR="00E844EA" w:rsidRPr="0044524F" w:rsidRDefault="00E844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февраля 1933 г. в Акмолинске был сфор</w:t>
      </w:r>
      <w:r w:rsidRPr="0044524F">
        <w:rPr>
          <w:rFonts w:ascii="Times New Roman" w:hAnsi="Times New Roman"/>
          <w:color w:val="000000" w:themeColor="text1"/>
          <w:sz w:val="16"/>
          <w:szCs w:val="16"/>
        </w:rPr>
        <w:softHyphen/>
        <w:t>мирован 4-й отдельный авиаотряд погранвойск Казахстана. Первым командиром авиаотряда был К. Шишков. Уже в этом же году авиаотряд в полном составе участвовал в ликвидации недобитых басмаческих банд на границе с Китаем и в китайской провинции Синьцзянь (20402).</w:t>
      </w:r>
    </w:p>
    <w:p w14:paraId="22FAD0A9" w14:textId="77777777" w:rsidR="00E844EA" w:rsidRPr="0044524F" w:rsidRDefault="00E844EA" w:rsidP="009654CF">
      <w:pPr>
        <w:spacing w:after="0" w:line="240" w:lineRule="auto"/>
        <w:jc w:val="both"/>
        <w:rPr>
          <w:rFonts w:ascii="Times New Roman" w:hAnsi="Times New Roman"/>
          <w:color w:val="000000" w:themeColor="text1"/>
          <w:sz w:val="16"/>
          <w:szCs w:val="16"/>
        </w:rPr>
      </w:pPr>
    </w:p>
    <w:p w14:paraId="03B048BF"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CE3698E"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B553FD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5 и 9 марта 1933 на аэродроме НИИ ВВС и на полигоне ВВС в Монино проводились испытания артустановки Курчевского, установленной под левым крылом И-зет Д.П.Г. Летчиком был Пионтковский (2303,5).</w:t>
      </w:r>
    </w:p>
    <w:p w14:paraId="707EA0A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4E5EB1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1933 с И-зет проводилась стрельба с помоста на земле при горизонтальном положении самолета. Самолет сделал перелет с ЦА на аэродром НИИ ВВС в Щелково, был установлен на помосте в гор. положении на высоте 5 м над землей. В канал ствола был заложен один патрон и в магазин - 6 патронов. Все 7 выстрелов подряд были вполне нормальные с автоматической перезарядкой без каких-либо задержек. Осмотр после стрельбы показал отсутствие каких-либо повреждений или деформаций... После чего в канал ствола был заложен 1 патрон и в магазин 3 патрона для дальнейших испытаний в воздухе. При взлете т. Пионтковским была обнаружена неисправная работа мотора... Испытания были прерваны до окончания ремонта... (2303,5).</w:t>
      </w:r>
    </w:p>
    <w:p w14:paraId="437831F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7521801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1933 Зам. НКТП и Нач. ГУАП П.И.Б. писал Зам. НКВМ и Пред. РВС Тухачевскому письмо на вх. N 157178 от 19 января 1933:</w:t>
      </w:r>
    </w:p>
    <w:p w14:paraId="213B9E0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винтовых аппаратов типа автожир стоит в плане ЦАГИ.</w:t>
      </w:r>
    </w:p>
    <w:p w14:paraId="072ABB9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Настоящее состояние этого вопроса находится в стадии освоения тех результатов, которые до сего времени достигнуты. дальнейшим этапом является распространение их на типы летательных машин с прогрессивным увеличением мощности и тоннажа.</w:t>
      </w:r>
    </w:p>
    <w:p w14:paraId="0D6ADD5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принцип вращающихся лопастей для использования их в качестве создания подъемной силы достаточно проверен, но все таки остается ряд технических и особенно эксплуатационных сторон, которые должны быть проанализированы и проэкспериментированы прежде, чем допущены к широкому применению.</w:t>
      </w:r>
    </w:p>
    <w:p w14:paraId="57BAB59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вопрос в целом еще не окончательно доработан, полагаю, что эскизный проект "летающего танка" далеко еще не говорит за то, что проблема о летающем танке решается с "исключительной полнотой".</w:t>
      </w:r>
    </w:p>
    <w:p w14:paraId="30D4366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Можно дать ряд предложений, представляющих большой интерес и очень ценных по идее, но невыполнимых с исчерпывающей целесообразностью, из-за необходимости проводить дополнительно целый ряд предварительных работ.</w:t>
      </w:r>
    </w:p>
    <w:p w14:paraId="5838904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Поэтому считаю реализацию предложений т. Камова преждевременной. Что же касается Вашей просьбы о выделении группы в 6-8 чел. для разработки проекта т. Камова, то таковую выделить в настоящее время не представляется возможным из-за загруженности состава стоящими заданиями.</w:t>
      </w:r>
    </w:p>
    <w:p w14:paraId="0D047CE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же вы найдете, что работа по предложению т. Камова более актуально необходима, чем те задания, которые стоят перед СОК ЦАГИ и в частности ведутся Камовым, то я со своей стороны считаю возможным освободить лишь одного т. Камова и передать в Ваше распоряжение для организации необходимой Вам работы." (2305,15).</w:t>
      </w:r>
    </w:p>
    <w:p w14:paraId="0038030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7FD9195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1933 в Севастополь из ЦАГИ прибыл опытный образец торпедного катера 5Г, но по вине ЦАГИ начало испытаний задержалось (2305,26).</w:t>
      </w:r>
    </w:p>
    <w:p w14:paraId="46AD9A0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CFB308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1933 К.Е.Ворошилов в докладе 15 лет РККА отмечал, что в ВВС удельный вес бомбардировщиков - 38%, истребителей - 31%, то есть все более боевые (66,180) и меньше разведчиков. ВВС имеют все типы авиации: И, Б, ТБ, Ш. (66,180).</w:t>
      </w:r>
    </w:p>
    <w:p w14:paraId="1B80613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71D3B3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1933 в статье "Армия пролетарской диктатуры" в Правде М.Н.Тухачевский отметил, что "тяжелая же наша авиация имеет исключительно крупные достижения и по качеству стоит не ниже тяжелой авиации наиболее вооруженных капстран" (71,170).</w:t>
      </w:r>
    </w:p>
    <w:p w14:paraId="277673F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64BBEA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1933 в Москву приехала Комиссия «Фиата» в составе 4-х инженеров и привезла с собой предварительный проект завода. Этот проект за период с 23 февраля по 7 марта обсуждался во всех деталях на Научно-техническом совете Гипроавио. Проект в общем признан удовлетворительным (3530,107).</w:t>
      </w:r>
    </w:p>
    <w:p w14:paraId="22DD99B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A5E7F76"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64C8905"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312C4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1933 г. в Ленинграде на Петровском острове вступила в строй новая судостроительная верфь Морпогранохраны ОГПУ, которая строилась с 1931, а старая верфь - бывшая верфь Золотова стала ее отделением (3898).</w:t>
      </w:r>
    </w:p>
    <w:p w14:paraId="167D7B9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66FBF04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1933 г. верфь деревянного катеростроения Морпогранохраны ОГПУ, созданная в начале 1931 и строящаяся с 5 июля 1931, вступила в строй. 21.03.1933г. на верфи заложен первый катер типа «ГК» («габаритный катер») (официально открыта 1.05.1933г.). Всего было предусмотрено 16 стапельных мест для постройки катеров. В 1934г. верфь передана в ведение НКВД.</w:t>
      </w:r>
      <w:r w:rsidRPr="0044524F">
        <w:rPr>
          <w:rFonts w:ascii="Times New Roman" w:hAnsi="Times New Roman"/>
          <w:color w:val="000000" w:themeColor="text1"/>
          <w:sz w:val="16"/>
          <w:szCs w:val="16"/>
          <w:vertAlign w:val="superscript"/>
        </w:rPr>
        <w:t>131</w:t>
      </w:r>
      <w:r w:rsidRPr="0044524F">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6A3CCC9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Бывшая верфь Золотова преобразована в Государственную судостроительную мастерскую для постройки пограничных судов и стала отделением верфи Морпогранохраны ОГПУ. В 1931 г. на строящейся верфи по инициативе Д.Л. Блинова организовано собственное КБ.</w:t>
      </w:r>
    </w:p>
    <w:p w14:paraId="3982D5E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6B54556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деревообрабатывающий, монтажно-сдаточный (840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механический, кузнечный, литейная мастерская.</w:t>
      </w:r>
    </w:p>
    <w:p w14:paraId="1D5D5ED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220CDCF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6284B3C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17F2F72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44524F">
        <w:rPr>
          <w:rFonts w:ascii="Times New Roman" w:hAnsi="Times New Roman"/>
          <w:color w:val="000000" w:themeColor="text1"/>
          <w:sz w:val="16"/>
          <w:szCs w:val="16"/>
          <w:lang w:val="en-US"/>
        </w:rPr>
        <w:t>JICO</w:t>
      </w:r>
      <w:r w:rsidRPr="0044524F">
        <w:rPr>
          <w:rFonts w:ascii="Times New Roman" w:hAnsi="Times New Roman"/>
          <w:color w:val="000000" w:themeColor="text1"/>
          <w:sz w:val="16"/>
          <w:szCs w:val="16"/>
        </w:rPr>
        <w:t>, а с 1.10.1991 г. - СО «Алмаз». 20.03.1991 г. объединение преобразовано в СФ «Алмаз».</w:t>
      </w:r>
    </w:p>
    <w:p w14:paraId="5EFF41D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1.04.1956г. пр. № 037 от 16.02.1956г. цех № 6 завода передан созданному ЦКБ-5 в качестве филиала. В 1958г. действовал филиал завода № 5 на Феодосийском ССЗ «Море».</w:t>
      </w:r>
      <w:r w:rsidRPr="0044524F">
        <w:rPr>
          <w:rFonts w:ascii="Times New Roman" w:hAnsi="Times New Roman"/>
          <w:color w:val="000000" w:themeColor="text1"/>
          <w:sz w:val="16"/>
          <w:szCs w:val="16"/>
          <w:vertAlign w:val="superscript"/>
        </w:rPr>
        <w:t>3</w:t>
      </w:r>
    </w:p>
    <w:p w14:paraId="018CDBC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13D8F80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05AFF2F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корпусообработки</w:t>
      </w:r>
    </w:p>
    <w:p w14:paraId="4A09E66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78D9FE9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5E08A2F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Грабовцу, в 07.2006г. продано ПО «Ленстройматериалы». В 02.2007г. планировалось слияние СФ «Алмаз» с МЗ «Алмаз».</w:t>
      </w:r>
    </w:p>
    <w:p w14:paraId="0C6011D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5C98CBC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6CCE825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496BE0E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к 2005г. построено более 1000 кораблей и катеров.</w:t>
      </w:r>
    </w:p>
    <w:p w14:paraId="4AA0FEA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Имелось Московское представительство (зам. директора (2006г.)- И. Вишняков).</w:t>
      </w:r>
    </w:p>
    <w:p w14:paraId="1D57022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территории (2006г.)- 16,5 га; застройки (2006г.)- около 50 тыс.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производственная (2009г.)- 30,4 тыс.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2DF93FD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(06.1941 г.)- 2845 чел., (12.1941 г.)- 730 чел., (2009г.)- более 1000 чел.</w:t>
      </w:r>
    </w:p>
    <w:p w14:paraId="4E13207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Владелец (08.2005г.-)- Л.Г. Грабовец.</w:t>
      </w:r>
    </w:p>
    <w:p w14:paraId="4ED1CE7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(1932-33г.)- Д.Л. Блинов, (1933-34г.)- А.В. Крюков, (1934г.)- М.А. Цикановский, (1935-37г.)- Ф.Н. Глушко, (05.1937г.-)- Е.Я. Локшин. Директор (-1949г.)- Е.Я. Локшин, (1949-56г.)- И.Д. Яблоков, (1956-67г.)- В.Д. Колечицкий, (1967-70 г.)- Ю.П. Кузьмин. Гендиректор (1970-71 г.)- Е.И. Юхнин, (1972-76г.)- Ю.Г. Полухин, (1976- 86г.)- В.К. Косенков, (1986-2001 г.)- А.П. Королев, (2001-07г.-)- Л.Г. Грабовец.</w:t>
      </w:r>
    </w:p>
    <w:p w14:paraId="61E9DB5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63911A2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(1933г.)- В.Е. Бурачек, (1941 г.)- И.К. Силин, (1944г.)- А.Ф. Симин, (1970-е)- А.А. Пономарев.</w:t>
      </w:r>
    </w:p>
    <w:p w14:paraId="50A46FA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цехов: (2000 г.)- М.С. Каримова.</w:t>
      </w:r>
    </w:p>
    <w:p w14:paraId="4F5C49A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строители: (1943-45г.)- А.Д. Симин, (1957г.)- Н.И. Мартынычев.</w:t>
      </w:r>
    </w:p>
    <w:p w14:paraId="2283AD9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Строители судов: (ВОВ)- Л.Н. Одинцов, (07.1941 г.)- А.А. Тимофеев, (1967г.)- Б.П. Дитятьев (пр. 1234), (1970- е&gt; И.И. Костинский, (1970-е)- В.И. Мерцалов, (1970-е)- В.И. Сибирцев, (1970-е)- М.И. Тузов, (1970-е)- М.И. Украинский.</w:t>
      </w:r>
    </w:p>
    <w:p w14:paraId="30A8679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«Воспер»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44524F">
        <w:rPr>
          <w:rFonts w:ascii="Times New Roman" w:hAnsi="Times New Roman"/>
          <w:color w:val="000000" w:themeColor="text1"/>
          <w:sz w:val="16"/>
          <w:szCs w:val="16"/>
          <w:vertAlign w:val="superscript"/>
        </w:rPr>
        <w:t>115</w:t>
      </w:r>
      <w:r w:rsidRPr="0044524F">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44524F">
        <w:rPr>
          <w:rFonts w:ascii="Times New Roman" w:hAnsi="Times New Roman"/>
          <w:color w:val="000000" w:themeColor="text1"/>
          <w:sz w:val="16"/>
          <w:szCs w:val="16"/>
          <w:vertAlign w:val="subscript"/>
        </w:rPr>
        <w:t>60</w:t>
      </w:r>
      <w:r w:rsidR="000656DA" w:rsidRPr="0044524F">
        <w:rPr>
          <w:rFonts w:ascii="Times New Roman" w:hAnsi="Times New Roman"/>
          <w:color w:val="000000" w:themeColor="text1"/>
          <w:sz w:val="16"/>
          <w:szCs w:val="16"/>
        </w:rPr>
        <w:fldChar w:fldCharType="begin"/>
      </w:r>
      <w:r w:rsidR="000656DA" w:rsidRPr="0044524F">
        <w:rPr>
          <w:rFonts w:ascii="Times New Roman" w:hAnsi="Times New Roman"/>
          <w:color w:val="000000" w:themeColor="text1"/>
          <w:sz w:val="16"/>
          <w:szCs w:val="16"/>
        </w:rPr>
        <w:instrText xml:space="preserve">ref  HYPERLINK "http://www.aimazmfo"  \* MERGEFORMAT </w:instrText>
      </w:r>
      <w:r w:rsidR="000656DA"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lang w:val="en-US"/>
        </w:rPr>
        <w:t>www</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aimazmfo</w:t>
      </w:r>
      <w:r w:rsidR="000656DA" w:rsidRPr="0044524F">
        <w:rPr>
          <w:rFonts w:ascii="Times New Roman" w:hAnsi="Times New Roman"/>
          <w:color w:val="000000" w:themeColor="text1"/>
          <w:sz w:val="16"/>
          <w:szCs w:val="16"/>
          <w:lang w:val="en-US"/>
        </w:rPr>
        <w:fldChar w:fldCharType="end"/>
      </w:r>
      <w:r w:rsidRPr="0044524F">
        <w:rPr>
          <w:rFonts w:ascii="Times New Roman" w:hAnsi="Times New Roman"/>
          <w:color w:val="000000" w:themeColor="text1"/>
          <w:sz w:val="16"/>
          <w:szCs w:val="16"/>
          <w:vertAlign w:val="subscript"/>
        </w:rPr>
        <w:t>); щ 2</w:t>
      </w:r>
      <w:r w:rsidRPr="0044524F">
        <w:rPr>
          <w:rFonts w:ascii="Times New Roman" w:hAnsi="Times New Roman"/>
          <w:color w:val="000000" w:themeColor="text1"/>
          <w:sz w:val="16"/>
          <w:szCs w:val="16"/>
          <w:vertAlign w:val="subscript"/>
          <w:lang w:val="en-US"/>
        </w:rPr>
        <w:t>Q</w:t>
      </w:r>
      <w:r w:rsidRPr="0044524F">
        <w:rPr>
          <w:rFonts w:ascii="Times New Roman" w:hAnsi="Times New Roman"/>
          <w:color w:val="000000" w:themeColor="text1"/>
          <w:sz w:val="16"/>
          <w:szCs w:val="16"/>
          <w:vertAlign w:val="subscript"/>
        </w:rPr>
        <w:t>5 (1959</w:t>
      </w:r>
      <w:r w:rsidRPr="0044524F">
        <w:rPr>
          <w:rFonts w:ascii="Times New Roman" w:hAnsi="Times New Roman"/>
          <w:color w:val="000000" w:themeColor="text1"/>
          <w:sz w:val="16"/>
          <w:szCs w:val="16"/>
        </w:rPr>
        <w:t>_</w:t>
      </w:r>
      <w:r w:rsidRPr="0044524F">
        <w:rPr>
          <w:rFonts w:ascii="Times New Roman" w:hAnsi="Times New Roman"/>
          <w:color w:val="000000" w:themeColor="text1"/>
          <w:sz w:val="16"/>
          <w:szCs w:val="16"/>
          <w:vertAlign w:val="subscript"/>
        </w:rPr>
        <w:t>66)</w:t>
      </w:r>
      <w:r w:rsidRPr="0044524F">
        <w:rPr>
          <w:rFonts w:ascii="Times New Roman" w:hAnsi="Times New Roman"/>
          <w:color w:val="000000" w:themeColor="text1"/>
          <w:sz w:val="16"/>
          <w:szCs w:val="16"/>
        </w:rPr>
        <w:t xml:space="preserve">_ </w:t>
      </w:r>
      <w:r w:rsidRPr="0044524F">
        <w:rPr>
          <w:rFonts w:ascii="Times New Roman" w:hAnsi="Times New Roman"/>
          <w:color w:val="000000" w:themeColor="text1"/>
          <w:sz w:val="16"/>
          <w:szCs w:val="16"/>
          <w:vertAlign w:val="subscript"/>
        </w:rPr>
        <w:t>68? пр 2</w:t>
      </w:r>
      <w:r w:rsidRPr="0044524F">
        <w:rPr>
          <w:rFonts w:ascii="Times New Roman" w:hAnsi="Times New Roman"/>
          <w:color w:val="000000" w:themeColor="text1"/>
          <w:sz w:val="16"/>
          <w:szCs w:val="16"/>
        </w:rPr>
        <w:t>05У (1965-72)- 19 (по другим данным, всего 89); пр. 12411 «Молния-1» с ПКР «Термит» (1979-80)- 1, (1982)- 1, (1983)-1; пограничный пр. 205П (1967-89)- 111,</w:t>
      </w:r>
    </w:p>
    <w:p w14:paraId="479A892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r w:rsidRPr="0044524F">
        <w:rPr>
          <w:rFonts w:ascii="Times New Roman" w:hAnsi="Times New Roman"/>
          <w:color w:val="000000" w:themeColor="text1"/>
          <w:sz w:val="16"/>
          <w:szCs w:val="16"/>
          <w:lang w:val="en-US"/>
        </w:rPr>
        <w:t>VijayDurg</w:t>
      </w:r>
      <w:r w:rsidRPr="0044524F">
        <w:rPr>
          <w:rFonts w:ascii="Times New Roman" w:hAnsi="Times New Roman"/>
          <w:color w:val="000000" w:themeColor="text1"/>
          <w:sz w:val="16"/>
          <w:szCs w:val="16"/>
        </w:rPr>
        <w:t>"), «Прибой» ("</w:t>
      </w:r>
      <w:r w:rsidRPr="0044524F">
        <w:rPr>
          <w:rFonts w:ascii="Times New Roman" w:hAnsi="Times New Roman"/>
          <w:color w:val="000000" w:themeColor="text1"/>
          <w:sz w:val="16"/>
          <w:szCs w:val="16"/>
          <w:lang w:val="en-US"/>
        </w:rPr>
        <w:t>SihdhuDurg</w:t>
      </w:r>
      <w:r w:rsidRPr="0044524F">
        <w:rPr>
          <w:rFonts w:ascii="Times New Roman" w:hAnsi="Times New Roman"/>
          <w:color w:val="000000" w:themeColor="text1"/>
          <w:sz w:val="16"/>
          <w:szCs w:val="16"/>
        </w:rPr>
        <w:t>"), «Прилив» ("</w:t>
      </w:r>
      <w:r w:rsidRPr="0044524F">
        <w:rPr>
          <w:rFonts w:ascii="Times New Roman" w:hAnsi="Times New Roman"/>
          <w:color w:val="000000" w:themeColor="text1"/>
          <w:sz w:val="16"/>
          <w:szCs w:val="16"/>
          <w:lang w:val="en-US"/>
        </w:rPr>
        <w:t>HosDurg</w:t>
      </w:r>
      <w:r w:rsidRPr="0044524F">
        <w:rPr>
          <w:rFonts w:ascii="Times New Roman" w:hAnsi="Times New Roman"/>
          <w:color w:val="000000" w:themeColor="text1"/>
          <w:sz w:val="16"/>
          <w:szCs w:val="16"/>
        </w:rPr>
        <w:t>"), для Алжира МРК-21 ("</w:t>
      </w:r>
      <w:r w:rsidRPr="0044524F">
        <w:rPr>
          <w:rFonts w:ascii="Times New Roman" w:hAnsi="Times New Roman"/>
          <w:color w:val="000000" w:themeColor="text1"/>
          <w:sz w:val="16"/>
          <w:szCs w:val="16"/>
          <w:lang w:val="en-US"/>
        </w:rPr>
        <w:t>RasHamidou</w:t>
      </w:r>
      <w:r w:rsidRPr="0044524F">
        <w:rPr>
          <w:rFonts w:ascii="Times New Roman" w:hAnsi="Times New Roman"/>
          <w:color w:val="000000" w:themeColor="text1"/>
          <w:sz w:val="16"/>
          <w:szCs w:val="16"/>
        </w:rPr>
        <w:t>"), МРК-22 ("</w:t>
      </w:r>
      <w:r w:rsidRPr="0044524F">
        <w:rPr>
          <w:rFonts w:ascii="Times New Roman" w:hAnsi="Times New Roman"/>
          <w:color w:val="000000" w:themeColor="text1"/>
          <w:sz w:val="16"/>
          <w:szCs w:val="16"/>
          <w:lang w:val="en-US"/>
        </w:rPr>
        <w:t>ReisAli</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val="en-US"/>
        </w:rPr>
        <w:t>MPK</w:t>
      </w:r>
      <w:r w:rsidRPr="0044524F">
        <w:rPr>
          <w:rFonts w:ascii="Times New Roman" w:hAnsi="Times New Roman"/>
          <w:color w:val="000000" w:themeColor="text1"/>
          <w:sz w:val="16"/>
          <w:szCs w:val="16"/>
        </w:rPr>
        <w:t>-23 ("</w:t>
      </w:r>
      <w:r w:rsidRPr="0044524F">
        <w:rPr>
          <w:rFonts w:ascii="Times New Roman" w:hAnsi="Times New Roman"/>
          <w:color w:val="000000" w:themeColor="text1"/>
          <w:sz w:val="16"/>
          <w:szCs w:val="16"/>
          <w:lang w:val="en-US"/>
        </w:rPr>
        <w:t>SalahReis</w:t>
      </w:r>
      <w:r w:rsidRPr="0044524F">
        <w:rPr>
          <w:rFonts w:ascii="Times New Roman" w:hAnsi="Times New Roman"/>
          <w:color w:val="000000" w:themeColor="text1"/>
          <w:sz w:val="16"/>
          <w:szCs w:val="16"/>
        </w:rPr>
        <w:t xml:space="preserve">"), для Ливии </w:t>
      </w:r>
      <w:r w:rsidRPr="0044524F">
        <w:rPr>
          <w:rFonts w:ascii="Times New Roman" w:hAnsi="Times New Roman"/>
          <w:color w:val="000000" w:themeColor="text1"/>
          <w:sz w:val="16"/>
          <w:szCs w:val="16"/>
          <w:lang w:val="en-US"/>
        </w:rPr>
        <w:t>MPK</w:t>
      </w:r>
      <w:r w:rsidRPr="0044524F">
        <w:rPr>
          <w:rFonts w:ascii="Times New Roman" w:hAnsi="Times New Roman"/>
          <w:color w:val="000000" w:themeColor="text1"/>
          <w:sz w:val="16"/>
          <w:szCs w:val="16"/>
        </w:rPr>
        <w:t>-9 ("</w:t>
      </w:r>
      <w:r w:rsidRPr="0044524F">
        <w:rPr>
          <w:rFonts w:ascii="Times New Roman" w:hAnsi="Times New Roman"/>
          <w:color w:val="000000" w:themeColor="text1"/>
          <w:sz w:val="16"/>
          <w:szCs w:val="16"/>
          <w:lang w:val="en-US"/>
        </w:rPr>
        <w:t>EanMara</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val="en-US"/>
        </w:rPr>
        <w:t>MPK</w:t>
      </w:r>
      <w:r w:rsidRPr="0044524F">
        <w:rPr>
          <w:rFonts w:ascii="Times New Roman" w:hAnsi="Times New Roman"/>
          <w:color w:val="000000" w:themeColor="text1"/>
          <w:sz w:val="16"/>
          <w:szCs w:val="16"/>
        </w:rPr>
        <w:t>-15 ("</w:t>
      </w:r>
      <w:r w:rsidRPr="0044524F">
        <w:rPr>
          <w:rFonts w:ascii="Times New Roman" w:hAnsi="Times New Roman"/>
          <w:color w:val="000000" w:themeColor="text1"/>
          <w:sz w:val="16"/>
          <w:szCs w:val="16"/>
          <w:lang w:val="en-US"/>
        </w:rPr>
        <w:t>EanZaquit</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val="en-US"/>
        </w:rPr>
        <w:t>MPK</w:t>
      </w:r>
      <w:r w:rsidRPr="0044524F">
        <w:rPr>
          <w:rFonts w:ascii="Times New Roman" w:hAnsi="Times New Roman"/>
          <w:color w:val="000000" w:themeColor="text1"/>
          <w:sz w:val="16"/>
          <w:szCs w:val="16"/>
        </w:rPr>
        <w:t>-24 ("</w:t>
      </w:r>
      <w:r w:rsidRPr="0044524F">
        <w:rPr>
          <w:rFonts w:ascii="Times New Roman" w:hAnsi="Times New Roman"/>
          <w:color w:val="000000" w:themeColor="text1"/>
          <w:sz w:val="16"/>
          <w:szCs w:val="16"/>
          <w:lang w:val="en-US"/>
        </w:rPr>
        <w:t>EanA</w:t>
      </w:r>
      <w:r w:rsidRPr="0044524F">
        <w:rPr>
          <w:rFonts w:ascii="Times New Roman" w:hAnsi="Times New Roman"/>
          <w:color w:val="000000" w:themeColor="text1"/>
          <w:sz w:val="16"/>
          <w:szCs w:val="16"/>
        </w:rPr>
        <w:t xml:space="preserve">1 </w:t>
      </w:r>
      <w:r w:rsidRPr="0044524F">
        <w:rPr>
          <w:rFonts w:ascii="Times New Roman" w:hAnsi="Times New Roman"/>
          <w:color w:val="000000" w:themeColor="text1"/>
          <w:sz w:val="16"/>
          <w:szCs w:val="16"/>
          <w:lang w:val="en-US"/>
        </w:rPr>
        <w:t>Gazala</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val="en-US"/>
        </w:rPr>
        <w:t>MPK</w:t>
      </w:r>
      <w:r w:rsidRPr="0044524F">
        <w:rPr>
          <w:rFonts w:ascii="Times New Roman" w:hAnsi="Times New Roman"/>
          <w:color w:val="000000" w:themeColor="text1"/>
          <w:sz w:val="16"/>
          <w:szCs w:val="16"/>
        </w:rPr>
        <w:t>-25 ("</w:t>
      </w:r>
      <w:r w:rsidRPr="0044524F">
        <w:rPr>
          <w:rFonts w:ascii="Times New Roman" w:hAnsi="Times New Roman"/>
          <w:color w:val="000000" w:themeColor="text1"/>
          <w:sz w:val="16"/>
          <w:szCs w:val="16"/>
          <w:lang w:val="en-US"/>
        </w:rPr>
        <w:t>EanZara</w:t>
      </w:r>
      <w:r w:rsidRPr="0044524F">
        <w:rPr>
          <w:rFonts w:ascii="Times New Roman" w:hAnsi="Times New Roman"/>
          <w:color w:val="000000" w:themeColor="text1"/>
          <w:sz w:val="16"/>
          <w:szCs w:val="16"/>
        </w:rPr>
        <w:t>") (1976-84)- 10;</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«Ямалец» (2004), зак. № 310 (2000-е)- всего 10; пр. 10412 «Светляк» для Вьетнама (-08.2002)-1, (-09.2002)- 1; пр. 22460 (зак.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«Кефаллиния» (05-10.2000), «Закинтос» (зак. № 107, -05.2001), «Керкир»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r w:rsidRPr="0044524F">
        <w:rPr>
          <w:rFonts w:ascii="Times New Roman" w:hAnsi="Times New Roman"/>
          <w:color w:val="000000" w:themeColor="text1"/>
          <w:sz w:val="16"/>
          <w:szCs w:val="16"/>
          <w:lang w:val="en-US"/>
        </w:rPr>
        <w:t>SeaHorse</w:t>
      </w:r>
      <w:r w:rsidRPr="0044524F">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0E8CAF0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462478A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«Лаймарита» (-06.2000) (11982).</w:t>
      </w:r>
    </w:p>
    <w:p w14:paraId="0035DDAA" w14:textId="77777777" w:rsidR="00A76142" w:rsidRPr="0044524F" w:rsidRDefault="00A7614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D85764F" w14:textId="77777777" w:rsidR="00A76142"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74188D57" w14:textId="77777777" w:rsidR="00A76142" w:rsidRPr="0044524F" w:rsidRDefault="00A7614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CF32642"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23 февраля</w:t>
      </w:r>
      <w:r w:rsidRPr="0044524F">
        <w:rPr>
          <w:rFonts w:ascii="Times New Roman" w:hAnsi="Times New Roman"/>
          <w:color w:val="000000" w:themeColor="text1"/>
          <w:sz w:val="16"/>
          <w:szCs w:val="16"/>
        </w:rPr>
        <w:t xml:space="preserve"> в 1933 году К.Е.Ворошилов в докладе 15 лет PККА отмечал, что в ВВС удельный вес бомбардировщиков - 38%, истребителей - 31%, то есть все более боевые и меньше разведчиков. ВВС имеют все типы авиации: И, Б, ТБ, Ш (15049).</w:t>
      </w:r>
    </w:p>
    <w:p w14:paraId="470FA24B" w14:textId="77777777" w:rsidR="00A76142" w:rsidRPr="0044524F" w:rsidRDefault="00A76142" w:rsidP="009654CF">
      <w:pPr>
        <w:spacing w:after="0" w:line="240" w:lineRule="auto"/>
        <w:jc w:val="both"/>
        <w:rPr>
          <w:rFonts w:ascii="Times New Roman" w:hAnsi="Times New Roman"/>
          <w:color w:val="000000" w:themeColor="text1"/>
          <w:sz w:val="16"/>
          <w:szCs w:val="16"/>
        </w:rPr>
      </w:pPr>
    </w:p>
    <w:p w14:paraId="3DD1FBE0" w14:textId="77777777" w:rsidR="00A7614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BB8980B" w14:textId="77777777" w:rsidR="00A76142" w:rsidRPr="0044524F" w:rsidRDefault="00A7614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3ADA567" w14:textId="77777777" w:rsidR="00A76142" w:rsidRPr="0044524F" w:rsidRDefault="00A76142" w:rsidP="009654CF">
      <w:pPr>
        <w:pStyle w:val="rtejustify"/>
        <w:spacing w:before="0" w:after="0"/>
        <w:rPr>
          <w:color w:val="000000" w:themeColor="text1"/>
          <w:sz w:val="16"/>
          <w:szCs w:val="16"/>
        </w:rPr>
      </w:pPr>
      <w:r w:rsidRPr="0044524F">
        <w:rPr>
          <w:rStyle w:val="af0"/>
          <w:bCs/>
          <w:i w:val="0"/>
          <w:color w:val="000000" w:themeColor="text1"/>
          <w:sz w:val="16"/>
          <w:szCs w:val="16"/>
        </w:rPr>
        <w:t>23 февраля</w:t>
      </w:r>
      <w:r w:rsidRPr="0044524F">
        <w:rPr>
          <w:color w:val="000000" w:themeColor="text1"/>
          <w:sz w:val="16"/>
          <w:szCs w:val="16"/>
        </w:rPr>
        <w:t xml:space="preserve"> 1933. Постановление ЦИК и СНК СССР № 58/78 «Об изменении постановления ЦИК и СНК СССР от 17 декабря 1931 г. об организации Центрального управления народно-хозяйственного учета при Госплане СССР и постановления СНК СССР от 10 марта 1932 г. об утверждении положения о Центральном управлении народнохозяйственного учета при Госплане СССР» (</w:t>
      </w:r>
      <w:hyperlink r:id="rId70" w:history="1">
        <w:r w:rsidRPr="0044524F">
          <w:rPr>
            <w:rStyle w:val="a5"/>
            <w:color w:val="000000" w:themeColor="text1"/>
            <w:sz w:val="16"/>
            <w:szCs w:val="16"/>
          </w:rPr>
          <w:t xml:space="preserve"> № 11. Ст. 52</w:t>
        </w:r>
      </w:hyperlink>
      <w:r w:rsidRPr="0044524F">
        <w:rPr>
          <w:color w:val="000000" w:themeColor="text1"/>
          <w:sz w:val="16"/>
          <w:szCs w:val="16"/>
        </w:rPr>
        <w:t>) (15460).</w:t>
      </w:r>
    </w:p>
    <w:p w14:paraId="27AF3E3B" w14:textId="77777777" w:rsidR="00A76142" w:rsidRPr="0044524F" w:rsidRDefault="00A76142" w:rsidP="009654CF">
      <w:pPr>
        <w:pStyle w:val="rtejustify"/>
        <w:spacing w:before="0" w:after="0"/>
        <w:rPr>
          <w:color w:val="000000" w:themeColor="text1"/>
          <w:sz w:val="16"/>
          <w:szCs w:val="16"/>
        </w:rPr>
      </w:pPr>
    </w:p>
    <w:p w14:paraId="08F320CC" w14:textId="135D61F3" w:rsidR="002E47F6" w:rsidRPr="0044524F" w:rsidRDefault="002E47F6" w:rsidP="009654CF">
      <w:pPr>
        <w:pStyle w:val="rtejustify"/>
        <w:spacing w:before="0" w:after="0"/>
        <w:rPr>
          <w:color w:val="000000" w:themeColor="text1"/>
          <w:sz w:val="16"/>
          <w:szCs w:val="16"/>
        </w:rPr>
      </w:pPr>
      <w:r w:rsidRPr="0044524F">
        <w:rPr>
          <w:color w:val="000000" w:themeColor="text1"/>
          <w:sz w:val="16"/>
          <w:szCs w:val="16"/>
        </w:rPr>
        <w:t>23</w:t>
      </w:r>
      <w:r w:rsidR="0088747B">
        <w:rPr>
          <w:color w:val="000000" w:themeColor="text1"/>
          <w:sz w:val="16"/>
          <w:szCs w:val="16"/>
        </w:rPr>
        <w:t xml:space="preserve"> </w:t>
      </w:r>
      <w:r w:rsidRPr="0044524F">
        <w:rPr>
          <w:rStyle w:val="highlight"/>
          <w:color w:val="000000" w:themeColor="text1"/>
          <w:sz w:val="16"/>
          <w:szCs w:val="16"/>
        </w:rPr>
        <w:t>февраля</w:t>
      </w:r>
      <w:r w:rsidR="0088747B">
        <w:rPr>
          <w:rStyle w:val="highlight"/>
          <w:color w:val="000000" w:themeColor="text1"/>
          <w:sz w:val="16"/>
          <w:szCs w:val="16"/>
        </w:rPr>
        <w:t xml:space="preserve"> </w:t>
      </w:r>
      <w:r w:rsidRPr="0044524F">
        <w:rPr>
          <w:rStyle w:val="highlight"/>
          <w:color w:val="000000" w:themeColor="text1"/>
          <w:sz w:val="16"/>
          <w:szCs w:val="16"/>
        </w:rPr>
        <w:t>1933</w:t>
      </w:r>
      <w:r w:rsidR="0088747B">
        <w:rPr>
          <w:rStyle w:val="highlight"/>
          <w:color w:val="000000" w:themeColor="text1"/>
          <w:sz w:val="16"/>
          <w:szCs w:val="16"/>
        </w:rPr>
        <w:t xml:space="preserve"> </w:t>
      </w:r>
      <w:r w:rsidRPr="0044524F">
        <w:rPr>
          <w:color w:val="000000" w:themeColor="text1"/>
          <w:sz w:val="16"/>
          <w:szCs w:val="16"/>
        </w:rPr>
        <w:t>г. ПБ приняло постановление «О поездках по СССР иностранных корреспондентов», в котором устанавливался порядок, «в силу которого они могут разъезжать по СССР и посещать определенные пункты лишь с разрешения Главного управления милиции» (РГАСПИ. Ф. 17. Оп. 3. Д. 916. Л. 25) (17281).</w:t>
      </w:r>
    </w:p>
    <w:p w14:paraId="723DF0E6" w14:textId="77777777" w:rsidR="002E47F6" w:rsidRPr="0044524F" w:rsidRDefault="002E47F6" w:rsidP="009654CF">
      <w:pPr>
        <w:pStyle w:val="rtejustify"/>
        <w:spacing w:before="0" w:after="0"/>
        <w:rPr>
          <w:color w:val="000000" w:themeColor="text1"/>
          <w:sz w:val="16"/>
          <w:szCs w:val="16"/>
        </w:rPr>
      </w:pPr>
    </w:p>
    <w:p w14:paraId="4D4F89A3"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За рубежом:</w:t>
      </w:r>
    </w:p>
    <w:p w14:paraId="7F600335"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168160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1933 японская армия, наступающая их Манчжурии на юго-запад (по 12 марта), после захвата Джеола продолжила движение на юг (3907,179).</w:t>
      </w:r>
    </w:p>
    <w:p w14:paraId="31218AC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6ED56FF2"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D348297"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2828F1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февраля 1933 Нач. ВВС РККА Алкснис утвердил Положение об испытаниях самолетов и о введении их на вооружение (2264,177).</w:t>
      </w:r>
    </w:p>
    <w:p w14:paraId="55B7E34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173ABE6" w14:textId="77777777" w:rsidR="00E844EA" w:rsidRPr="0044524F" w:rsidRDefault="00E844E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D963647" w14:textId="77777777" w:rsidR="00E844EA" w:rsidRPr="0044524F" w:rsidRDefault="00E844E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D7CF4BA" w14:textId="77777777" w:rsidR="00E844EA" w:rsidRPr="0044524F" w:rsidRDefault="00E844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февраля 1933 опросом членов ПБ</w:t>
      </w:r>
    </w:p>
    <w:p w14:paraId="7DC54FEB" w14:textId="77777777" w:rsidR="00E844EA" w:rsidRPr="0044524F" w:rsidRDefault="00E844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131/96.- Об олове для НКТП</w:t>
      </w:r>
    </w:p>
    <w:p w14:paraId="1597EE19" w14:textId="77777777" w:rsidR="00E844EA" w:rsidRPr="0044524F" w:rsidRDefault="00E844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ремонтной кампании баббитом, выдать НКТПрому из фондов. Комитета Резервов З6 тонн олова.</w:t>
      </w:r>
    </w:p>
    <w:p w14:paraId="0095F526" w14:textId="77777777" w:rsidR="00E844EA" w:rsidRPr="0044524F" w:rsidRDefault="00E844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т.т.Куйбышеву,3ибраку, Пятакову</w:t>
      </w:r>
    </w:p>
    <w:p w14:paraId="13EA71E6" w14:textId="77777777" w:rsidR="00E844EA" w:rsidRPr="0044524F" w:rsidRDefault="00E844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состоялось заседание ПБ и был оформлен протокол № 131 (22981).</w:t>
      </w:r>
    </w:p>
    <w:p w14:paraId="242035C9" w14:textId="77777777" w:rsidR="00E844EA" w:rsidRPr="0044524F" w:rsidRDefault="00E844EA" w:rsidP="009654CF">
      <w:pPr>
        <w:spacing w:after="0" w:line="240" w:lineRule="auto"/>
        <w:jc w:val="both"/>
        <w:rPr>
          <w:rFonts w:ascii="Times New Roman" w:hAnsi="Times New Roman"/>
          <w:color w:val="000000" w:themeColor="text1"/>
          <w:sz w:val="16"/>
          <w:szCs w:val="16"/>
        </w:rPr>
      </w:pPr>
    </w:p>
    <w:p w14:paraId="0A963186"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EF68D4A"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3971EC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февраля 1933 Лига Наций одобрила доклад Литтона, в котором говорилось о суверенном праве Китая на Манчжурию (3907,179).</w:t>
      </w:r>
    </w:p>
    <w:p w14:paraId="2784C2C3" w14:textId="77777777" w:rsidR="007C00E8" w:rsidRPr="0044524F" w:rsidRDefault="007C00E8" w:rsidP="009654CF">
      <w:pPr>
        <w:autoSpaceDE w:val="0"/>
        <w:autoSpaceDN w:val="0"/>
        <w:adjustRightInd w:val="0"/>
        <w:spacing w:after="0" w:line="240" w:lineRule="auto"/>
        <w:jc w:val="both"/>
        <w:rPr>
          <w:rFonts w:ascii="Times New Roman" w:hAnsi="Times New Roman"/>
          <w:color w:val="000000" w:themeColor="text1"/>
          <w:sz w:val="16"/>
          <w:szCs w:val="16"/>
        </w:rPr>
      </w:pPr>
    </w:p>
    <w:p w14:paraId="2B308018" w14:textId="77777777" w:rsidR="007C00E8" w:rsidRPr="0044524F" w:rsidRDefault="007C00E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февраля 1933 полиция Геринга устроила налет на "Карл-Либкнехт-хаус", штаб-квартиру коммунистов в Берлине. Руководство коммунистов покинуло это помещение еще за несколько недель до налета. Часть его ушла в подполье, а часть нелегально перебралась в Россию. Но в подвале осталось много пропагандистских брошюр. Этого оказалось достаточно, чтобы Геринг заявил в официальном коммюнике, будто захваченные документы свидетельствуют о намерении коммунистов совершить переворот. Общественность и даже некоторые консерваторы - члены правительства отнеслись к этому, заявлению скептически. Было очевидно, что, пока не начались выборы, требуется найти более сильное средство воздействия на публику (17283).</w:t>
      </w:r>
    </w:p>
    <w:p w14:paraId="7EAED69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146BF9DD"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D5D4903"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A790B94" w14:textId="77777777" w:rsidR="00E844EA" w:rsidRPr="0044524F" w:rsidRDefault="00E844EA" w:rsidP="009654CF">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4524F">
        <w:rPr>
          <w:rFonts w:ascii="Times New Roman" w:hAnsi="Times New Roman" w:cs="Times New Roman"/>
          <w:color w:val="000000" w:themeColor="text1"/>
          <w:spacing w:val="0"/>
          <w:sz w:val="16"/>
          <w:szCs w:val="16"/>
        </w:rPr>
        <w:t>25 февраля 1933 года военные провели доста</w:t>
      </w:r>
      <w:r w:rsidRPr="0044524F">
        <w:rPr>
          <w:rFonts w:ascii="Times New Roman" w:hAnsi="Times New Roman" w:cs="Times New Roman"/>
          <w:color w:val="000000" w:themeColor="text1"/>
          <w:spacing w:val="0"/>
          <w:sz w:val="16"/>
          <w:szCs w:val="16"/>
        </w:rPr>
        <w:softHyphen/>
        <w:t>точно представительное совещание под председательством М.Н. Тухачевского, быв</w:t>
      </w:r>
      <w:r w:rsidRPr="0044524F">
        <w:rPr>
          <w:rFonts w:ascii="Times New Roman" w:hAnsi="Times New Roman" w:cs="Times New Roman"/>
          <w:color w:val="000000" w:themeColor="text1"/>
          <w:spacing w:val="0"/>
          <w:sz w:val="16"/>
          <w:szCs w:val="16"/>
        </w:rPr>
        <w:softHyphen/>
        <w:t>шего в тот момент замнаркома по вооруже</w:t>
      </w:r>
      <w:r w:rsidRPr="0044524F">
        <w:rPr>
          <w:rFonts w:ascii="Times New Roman" w:hAnsi="Times New Roman" w:cs="Times New Roman"/>
          <w:color w:val="000000" w:themeColor="text1"/>
          <w:spacing w:val="0"/>
          <w:sz w:val="16"/>
          <w:szCs w:val="16"/>
        </w:rPr>
        <w:softHyphen/>
        <w:t>нию. Кроме него в совещании участвовали начальник ГУАП П.И. Баранов и А.Н. Туполев. Дмитрий Павлович сделал обширный доклад по вопросам развития и применения безот</w:t>
      </w:r>
      <w:r w:rsidRPr="0044524F">
        <w:rPr>
          <w:rFonts w:ascii="Times New Roman" w:hAnsi="Times New Roman" w:cs="Times New Roman"/>
          <w:color w:val="000000" w:themeColor="text1"/>
          <w:spacing w:val="0"/>
          <w:sz w:val="16"/>
          <w:szCs w:val="16"/>
        </w:rPr>
        <w:softHyphen/>
        <w:t>катной артиллерии в авиации. Помимо общих вопросов интеграции ДРП и самолета на основе анализа опыта эксплуатации Избыли представлены аванпроекты истребителей и крейсера под перспективные отечественные моторы М-32, М-34 и М-38. Тем не менее, ИП-1 появился только в плане на 1934-35 годы, утвержденном 14 июля 1934 года, что трудно не связать с назначением в марте того же года Тухачевского Наркомом Обороны. В план включили еще четыре машины с 7б-мм ДРП: тяжелый и легкий крейсера, истреби</w:t>
      </w:r>
      <w:r w:rsidRPr="0044524F">
        <w:rPr>
          <w:rFonts w:ascii="Times New Roman" w:hAnsi="Times New Roman" w:cs="Times New Roman"/>
          <w:color w:val="000000" w:themeColor="text1"/>
          <w:spacing w:val="0"/>
          <w:sz w:val="16"/>
          <w:szCs w:val="16"/>
        </w:rPr>
        <w:softHyphen/>
        <w:t>тель под индексом И-20 и летающее крыло Черановского. Строить эти четыре самолета должна была недавно созданное при участии М.Н. Тухачевского Управление Специальных Работ НКТП, в котором сосредоточили все направления работ по безоткатной артилле</w:t>
      </w:r>
      <w:r w:rsidRPr="0044524F">
        <w:rPr>
          <w:rFonts w:ascii="Times New Roman" w:hAnsi="Times New Roman" w:cs="Times New Roman"/>
          <w:color w:val="000000" w:themeColor="text1"/>
          <w:spacing w:val="0"/>
          <w:sz w:val="16"/>
          <w:szCs w:val="16"/>
        </w:rPr>
        <w:softHyphen/>
        <w:t>рии. Руководил УСР НКТП Л.В. Курчевский (19933).</w:t>
      </w:r>
    </w:p>
    <w:p w14:paraId="10BE28A0" w14:textId="77777777" w:rsidR="00E844EA" w:rsidRPr="0044524F" w:rsidRDefault="00E844EA" w:rsidP="009654CF">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p>
    <w:p w14:paraId="4EC6B4A2" w14:textId="77777777" w:rsidR="004C24F7" w:rsidRPr="0044524F" w:rsidRDefault="004C24F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февраля 1933 года начальник управления военных изобретений НВ Г. Новиков писал письмо № 340569с зам. председателя РВС Тухачевскому, начальнику УВВС Алкснису, председателю комиссии по стратосферным самолетам по Госплану.</w:t>
      </w:r>
    </w:p>
    <w:p w14:paraId="380C7BB3" w14:textId="77777777" w:rsidR="004C24F7" w:rsidRPr="0044524F" w:rsidRDefault="004C24F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реорганизацией ЦАГИ и слиянием бригады ЦАГИ по стратосферным самолетам с бригадой БНК по тем же самолетам с плана работ 1933 года снимается и консервируется на неопределенное время стратосферная машина БНК конструкции инженера Лавочкина. Эта машина представляет несомненный и большой интерес как по устройству герметической кабины, так и особенно по наддувающему хозяйству мотора. В этих двух решающих для стратосферного самолета вопросах машина БНК выгодно отличается от машины ЦАГИ. Мотив почему машина БНК снята с плана 1933 года, а машина ЦАГИ оставлена, сводится по видимому к тому, что машина ЦАГИ находится уже в стадии производства, а машина БНК лишь в стадии проектирования. Однако и машину ЦАГИ несомненно задержит наддувающее хозяйство мотора, которое еще только проектируется ЦИАМом.</w:t>
      </w:r>
    </w:p>
    <w:p w14:paraId="51F25B7E" w14:textId="77777777" w:rsidR="004C24F7" w:rsidRPr="0044524F" w:rsidRDefault="004C24F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серьезные достижения в конструкции машины БНК Лавочкина и целесообразность экспериментирования столь важного вопроса, как стратосферный самолет в двух вариантах минимум, считаю необходимым продолжение работ по машине Лавочкина в 1933 году, хотя бы с задачей окончания в этом году проектирования машины (6779, 43).</w:t>
      </w:r>
    </w:p>
    <w:p w14:paraId="59ACC5F7" w14:textId="77777777" w:rsidR="004C24F7" w:rsidRPr="0044524F" w:rsidRDefault="004C24F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3382B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февраля 1933 года и.о. начальника ЦАГИ Некрасов и нач. отдела особых конструкций ЦАГИ Изаксон писали письмо N 385с начальнику ВВС Алкснису.</w:t>
      </w:r>
    </w:p>
    <w:p w14:paraId="572AE5E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двухгодичной работы Отдела особых конструкций ЦАГИ по разрешению проблемы летательных аппаратов типа автожира, мы имеем на сегодня достаточно удовлетворительные результаты, выражающиеся в следующем:</w:t>
      </w:r>
    </w:p>
    <w:p w14:paraId="23C36C1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Спроектирован, построен и проведены полные летные испытания автожира 2-ЭА под мотор Титан, выявившего в результате летных испытаний весьма приличные летные качества, не уступающие соответствующим заграничным машинам.</w:t>
      </w:r>
    </w:p>
    <w:p w14:paraId="1B16BB0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Спроектирован и построен автожир 4-ЭА под мотор М-26 300 л.с. Один аппарат построен в ЗОК"е ЦАГИ и второй в качестве первой головной машины на Киевском заводе N 43. И тот, и другой аппарат имели первые полеты.</w:t>
      </w:r>
    </w:p>
    <w:p w14:paraId="5210A02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Спроектирован и заканчивается постройкой автожир 6-ЭА под мотор М-11 110 л.с., который в ближайшее время поступит на летные испытания.</w:t>
      </w:r>
    </w:p>
    <w:p w14:paraId="62DCD80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Заканчивается проектированием и находится уже в постройке аппарат 7-ЭА под мотор М-22 - 480 л.с.</w:t>
      </w:r>
    </w:p>
    <w:p w14:paraId="4D575E0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со всей остротой встает в настоящее время вопрос о необходимости выписать из-за границы автожир одного из последних наиболее совершенных типов, что даст возможность получить очень ценный опыт и ряд направляющих указаний...</w:t>
      </w:r>
    </w:p>
    <w:p w14:paraId="2BC001B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 не сомневаюсь в том, что это даст нам возможность разрешить проблему аппаратов этого типа и действительно догнать заграницу по этим машинам.</w:t>
      </w:r>
    </w:p>
    <w:p w14:paraId="000DF5D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английских автожиров, по нашему мнению, следует приобрести автожир Сиерва С-19, марка IV, выпуска 1931 года, с мотором Дженет - 100 л.с.</w:t>
      </w:r>
    </w:p>
    <w:p w14:paraId="329DDDD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американских мы бы считали нужным остановиться или на автожире Питкерн РС-А2, выпуска 1930 года, с мотором Райт 300 л.с. или автожир Келлет К-3, выпуска 1932 года под мотор Кинер - 210 л.с.</w:t>
      </w:r>
    </w:p>
    <w:p w14:paraId="6D54C15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мы хотели бы обратить внимание, что немецкая фирма Фокке-Вульф купила лицензию на машины Сиерва С-19 м. IV и по этой лицензии начала выпускать машины этого типа. Не исключена возможность завести переговоры с этой фирмой о покупке у них этого аппарата. Кроме того, по журнальным сведениям известно, что Япония приобрела три американских автожира Келлет К-3 для ознакомления с машинами этого типа. (3029,150-152).</w:t>
      </w:r>
    </w:p>
    <w:p w14:paraId="678B446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11D00973" w14:textId="77777777" w:rsidR="004E474B" w:rsidRPr="0044524F" w:rsidRDefault="004E47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февраля 1933 года Тухачевский ут</w:t>
      </w:r>
      <w:r w:rsidRPr="0044524F">
        <w:rPr>
          <w:rFonts w:ascii="Times New Roman" w:hAnsi="Times New Roman"/>
          <w:color w:val="000000" w:themeColor="text1"/>
          <w:sz w:val="16"/>
          <w:szCs w:val="16"/>
        </w:rPr>
        <w:softHyphen/>
        <w:t>вердил состав группы по подготовке проек</w:t>
      </w:r>
      <w:r w:rsidRPr="0044524F">
        <w:rPr>
          <w:rFonts w:ascii="Times New Roman" w:hAnsi="Times New Roman"/>
          <w:color w:val="000000" w:themeColor="text1"/>
          <w:sz w:val="16"/>
          <w:szCs w:val="16"/>
        </w:rPr>
        <w:softHyphen/>
        <w:t xml:space="preserve"> та положения о РНИИ. В состав группы вошли начальник ГДЛ и приятель Тухачевского И.Т.Клейменов, начальник ГИРДа С.П.Королев и заместитель начальника управления военных изобретений РККА Я.М.Терентьев (23510).</w:t>
      </w:r>
    </w:p>
    <w:p w14:paraId="75073467" w14:textId="77777777" w:rsidR="004E474B" w:rsidRPr="0044524F" w:rsidRDefault="004E474B" w:rsidP="009654CF">
      <w:pPr>
        <w:spacing w:after="0" w:line="240" w:lineRule="auto"/>
        <w:jc w:val="both"/>
        <w:rPr>
          <w:rFonts w:ascii="Times New Roman" w:hAnsi="Times New Roman"/>
          <w:color w:val="000000" w:themeColor="text1"/>
          <w:sz w:val="16"/>
          <w:szCs w:val="16"/>
        </w:rPr>
      </w:pPr>
    </w:p>
    <w:p w14:paraId="64CD37F4"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FE87F7B"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6F647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25 февраля 1933 года были изготовлены первые 8 бронекорпусов и началась сборка первых четырех танков Т-28 (3862).</w:t>
      </w:r>
    </w:p>
    <w:p w14:paraId="1D6E918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35D1055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февраля 1933 вышло распоряжение УММ РККА, согласно которому два танка Кристи, закупленные в США - Оригинал-1 и Оригинал-2, с разобранными механизмами были отправлены на восстановление в ХПЗ (3879,15).</w:t>
      </w:r>
    </w:p>
    <w:p w14:paraId="2EC7922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5BD7BAEF" w14:textId="77777777" w:rsidR="00E82C91" w:rsidRPr="00142305" w:rsidRDefault="00E82C91" w:rsidP="00E82C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февраля 1933 года на Подольском кре</w:t>
      </w:r>
      <w:r w:rsidRPr="00142305">
        <w:rPr>
          <w:rFonts w:ascii="Times New Roman" w:hAnsi="Times New Roman"/>
          <w:color w:val="0070C0"/>
          <w:sz w:val="16"/>
          <w:szCs w:val="16"/>
        </w:rPr>
        <w:softHyphen/>
        <w:t>кинго-электровозостроительном заводе (до этого он выпускал корпуса танкеток Т-27) был готов первый опыт</w:t>
      </w:r>
      <w:r w:rsidRPr="00142305">
        <w:rPr>
          <w:rFonts w:ascii="Times New Roman" w:hAnsi="Times New Roman"/>
          <w:color w:val="0070C0"/>
          <w:sz w:val="16"/>
          <w:szCs w:val="16"/>
        </w:rPr>
        <w:softHyphen/>
        <w:t>ный штампованный корпус Т-37А, изготовлен</w:t>
      </w:r>
      <w:r w:rsidRPr="00142305">
        <w:rPr>
          <w:rFonts w:ascii="Times New Roman" w:hAnsi="Times New Roman"/>
          <w:color w:val="0070C0"/>
          <w:sz w:val="16"/>
          <w:szCs w:val="16"/>
        </w:rPr>
        <w:softHyphen/>
        <w:t>ный из обычной (не броневой) стали, но наладить их выпуск на заводе не сумели. Пришлось ис</w:t>
      </w:r>
      <w:r w:rsidRPr="00142305">
        <w:rPr>
          <w:rFonts w:ascii="Times New Roman" w:hAnsi="Times New Roman"/>
          <w:color w:val="0070C0"/>
          <w:sz w:val="16"/>
          <w:szCs w:val="16"/>
        </w:rPr>
        <w:softHyphen/>
        <w:t>кать другие способы, например, гнуть бро</w:t>
      </w:r>
      <w:r w:rsidRPr="00142305">
        <w:rPr>
          <w:rFonts w:ascii="Times New Roman" w:hAnsi="Times New Roman"/>
          <w:color w:val="0070C0"/>
          <w:sz w:val="16"/>
          <w:szCs w:val="16"/>
        </w:rPr>
        <w:softHyphen/>
        <w:t>невые листы на специальных приспособ</w:t>
      </w:r>
      <w:r w:rsidRPr="00142305">
        <w:rPr>
          <w:rFonts w:ascii="Times New Roman" w:hAnsi="Times New Roman"/>
          <w:color w:val="0070C0"/>
          <w:sz w:val="16"/>
          <w:szCs w:val="16"/>
        </w:rPr>
        <w:softHyphen/>
        <w:t>лениях, что потребовало дополнительно</w:t>
      </w:r>
      <w:r w:rsidRPr="00142305">
        <w:rPr>
          <w:rFonts w:ascii="Times New Roman" w:hAnsi="Times New Roman"/>
          <w:color w:val="0070C0"/>
          <w:sz w:val="16"/>
          <w:szCs w:val="16"/>
        </w:rPr>
        <w:softHyphen/>
        <w:t>го времени и средств (25019).</w:t>
      </w:r>
    </w:p>
    <w:p w14:paraId="7E2B3A69" w14:textId="77777777" w:rsidR="00E82C91" w:rsidRPr="00142305" w:rsidRDefault="00E82C91" w:rsidP="00E82C91">
      <w:pPr>
        <w:spacing w:after="0" w:line="240" w:lineRule="auto"/>
        <w:jc w:val="both"/>
        <w:rPr>
          <w:rFonts w:ascii="Times New Roman" w:hAnsi="Times New Roman"/>
          <w:color w:val="0070C0"/>
          <w:sz w:val="16"/>
          <w:szCs w:val="16"/>
        </w:rPr>
      </w:pPr>
    </w:p>
    <w:p w14:paraId="393EEC69"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E0056DB"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E10D9D0" w14:textId="77777777" w:rsidR="004C24F7" w:rsidRPr="0044524F" w:rsidRDefault="004C24F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февраля 1933 по обвинению в контрреволюционной деятельности арестован русский богослов, философ Павел Флоренский (4962).</w:t>
      </w:r>
    </w:p>
    <w:p w14:paraId="5780DAA0" w14:textId="77777777" w:rsidR="004C24F7" w:rsidRPr="0044524F" w:rsidRDefault="004C24F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55012B5" w14:textId="77777777" w:rsidR="00166499" w:rsidRPr="0044524F" w:rsidRDefault="001664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февраля 1933 г. Всероссийское совещание заведующих Край- и ОблОНО (краевых и областных отделов народного образования) приняло резолюцию «О ликвидации вредных последствий чистки книжных фондов библиотек», в которой признало, что постановления НКПроса о прекращении чисток не выполняется. О том, что чистки не удается остановить, говорилось в секретном циркуляре ЦК ВКП (б) No 113/79 от 16 июня 1933 года "О спецхранах в библиотеках", подписанным Зав. Культпропом ЦК А.Стецким. Партийным органам предлагалось взять ситуацию под свой контроль.</w:t>
      </w:r>
    </w:p>
    <w:p w14:paraId="6BEA506A" w14:textId="77777777" w:rsidR="00166499" w:rsidRPr="0044524F" w:rsidRDefault="001664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местах отказ от практики чисток начался намного позднее. Так, например, в г.Горьком (Нижний Новгород) Краевая комиссия для руководства работой по ликвидации ошибок в пересмотре книжного состава библиотек создана приказом Заведующего КрайОНО только 9 сентября 1933 г. Комиссию возглавил начальник Крайлита В.Е.Бабкин, закончивший 2 класса начальной школы и библиотечные курсы Политпросвета. В одном из циркуляров районным комиссиям и органам цензуры он пересказывал приказ Б.Волина: «1. Изъятие книг из библиотек разрешается только по специальным указаниям краевой комиссии. 2. Все инструкции Главполитпросвета о пересмотре книжного состава массовых библиотек включая 1932 г. отменяются, 3. Категорически запрещается пользоваться материалами книгоцентра по списанию в макулатуру в целях изъятия книг из библиотек. 4. Под руководством краевой и районной комиссии из библиотек должна быть удалена имеющая явно контрреволюционная и религиозная литература... 5. Изъятие книг только потому, что они напечатаны по старой орфографии, запрещается» (орфография подлинника). В циркуляре отмечалось также, что спецфонды в библиотеках должны быть открыты, но произведения Троцкого и Зиновьева выдаваться не должны. </w:t>
      </w:r>
    </w:p>
    <w:p w14:paraId="171BE839" w14:textId="77777777" w:rsidR="00166499" w:rsidRPr="0044524F" w:rsidRDefault="001664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Главлит пытался монополизировать управление чистками, но не прекратить их (что было невозможно в условиях постоянной политической и идеологической борьбы). Одновременно с этим, объем чисток был сильно сокращен. Так, например, за весь 1933 год приказами Главлита, Московского Обллита и Ленгорлита было изъято всего 87 книг, изданных в 1932-1933 годах. Среди этих книг только три произведения художественной литературы: Бандурский «Наперекор», В.Рамо «Русский остров», Ал.Тверяк «Такая жизнь» (новелла, опубликованная в самарском журнале «Волжская новь» №1-2, 1933). Остальные издания принадлежат к сельско-хозяйственной или промышленной тематике, отчасти - к политической беллетристике и публицистике. Причинами изъятия последней стали или плохой перевод книги Сталина, или изгибы внешней политики (изымались книги Братковского о польском фашизме), или иные идеологические причины (17273).</w:t>
      </w:r>
    </w:p>
    <w:p w14:paraId="24A893F9" w14:textId="77777777" w:rsidR="00166499" w:rsidRPr="0044524F" w:rsidRDefault="00166499" w:rsidP="009654CF">
      <w:pPr>
        <w:spacing w:after="0" w:line="240" w:lineRule="auto"/>
        <w:jc w:val="both"/>
        <w:rPr>
          <w:rFonts w:ascii="Times New Roman" w:hAnsi="Times New Roman"/>
          <w:color w:val="000000" w:themeColor="text1"/>
          <w:sz w:val="16"/>
          <w:szCs w:val="16"/>
        </w:rPr>
      </w:pPr>
    </w:p>
    <w:p w14:paraId="724172F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февраля 1933 приказом по ДИТЛ № 42 капельмейстер Управления Дмитлага Макс Авельевич Кюсс (автор знаменитого вальса «Амурские волны») назначался с 1 марта «на должность стрелка ВОХР с исполнением обязанностей капельмейстера» (саму должность капельмейстера, видимо, сочли излишней) (7560).</w:t>
      </w:r>
    </w:p>
    <w:p w14:paraId="53E3B6A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61E337E6"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64E46FD5"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AA3333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 (в млн. марок) (Архив НКВТ СССР, ф. Особый сектор, on. 6066, д. 233, л. 129, огп)</w:t>
      </w:r>
    </w:p>
    <w:tbl>
      <w:tblPr>
        <w:tblW w:w="0" w:type="auto"/>
        <w:tblInd w:w="3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30" w:type="dxa"/>
          <w:right w:w="30" w:type="dxa"/>
        </w:tblCellMar>
        <w:tblLook w:val="0000" w:firstRow="0" w:lastRow="0" w:firstColumn="0" w:lastColumn="0" w:noHBand="0" w:noVBand="0"/>
      </w:tblPr>
      <w:tblGrid>
        <w:gridCol w:w="573"/>
        <w:gridCol w:w="3223"/>
        <w:gridCol w:w="3091"/>
        <w:gridCol w:w="1633"/>
        <w:gridCol w:w="838"/>
      </w:tblGrid>
      <w:tr w:rsidR="004E10C1" w:rsidRPr="0044524F" w14:paraId="23B41D52" w14:textId="77777777">
        <w:tc>
          <w:tcPr>
            <w:tcW w:w="573" w:type="dxa"/>
            <w:tcBorders>
              <w:top w:val="single" w:sz="12" w:space="0" w:color="000000"/>
            </w:tcBorders>
          </w:tcPr>
          <w:p w14:paraId="51EFBF7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Годы</w:t>
            </w:r>
          </w:p>
        </w:tc>
        <w:tc>
          <w:tcPr>
            <w:tcW w:w="3223" w:type="dxa"/>
            <w:tcBorders>
              <w:top w:val="single" w:sz="12" w:space="0" w:color="000000"/>
            </w:tcBorders>
          </w:tcPr>
          <w:p w14:paraId="7590D17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Экспорт СССР в Германию </w:t>
            </w:r>
          </w:p>
        </w:tc>
        <w:tc>
          <w:tcPr>
            <w:tcW w:w="3091" w:type="dxa"/>
            <w:tcBorders>
              <w:top w:val="single" w:sz="12" w:space="0" w:color="000000"/>
            </w:tcBorders>
          </w:tcPr>
          <w:p w14:paraId="4FC13DB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Импорт СССР из Германии</w:t>
            </w:r>
          </w:p>
        </w:tc>
        <w:tc>
          <w:tcPr>
            <w:tcW w:w="1633" w:type="dxa"/>
            <w:tcBorders>
              <w:top w:val="single" w:sz="12" w:space="0" w:color="000000"/>
            </w:tcBorders>
          </w:tcPr>
          <w:p w14:paraId="4368794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Товарооборот</w:t>
            </w:r>
          </w:p>
        </w:tc>
        <w:tc>
          <w:tcPr>
            <w:tcW w:w="838" w:type="dxa"/>
            <w:tcBorders>
              <w:top w:val="single" w:sz="12" w:space="0" w:color="000000"/>
            </w:tcBorders>
          </w:tcPr>
          <w:p w14:paraId="1A00972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Сальдо</w:t>
            </w:r>
          </w:p>
        </w:tc>
      </w:tr>
      <w:tr w:rsidR="004E10C1" w:rsidRPr="0044524F" w14:paraId="6317F6CB" w14:textId="77777777">
        <w:tc>
          <w:tcPr>
            <w:tcW w:w="573" w:type="dxa"/>
          </w:tcPr>
          <w:p w14:paraId="4FD59E5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3223" w:type="dxa"/>
          </w:tcPr>
          <w:p w14:paraId="512766D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425,7</w:t>
            </w:r>
          </w:p>
        </w:tc>
        <w:tc>
          <w:tcPr>
            <w:tcW w:w="3091" w:type="dxa"/>
          </w:tcPr>
          <w:p w14:paraId="6FA1F32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353,9</w:t>
            </w:r>
          </w:p>
        </w:tc>
        <w:tc>
          <w:tcPr>
            <w:tcW w:w="1633" w:type="dxa"/>
          </w:tcPr>
          <w:p w14:paraId="32FA8C0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779,6</w:t>
            </w:r>
          </w:p>
        </w:tc>
        <w:tc>
          <w:tcPr>
            <w:tcW w:w="838" w:type="dxa"/>
          </w:tcPr>
          <w:p w14:paraId="50DA55B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+71,8</w:t>
            </w:r>
          </w:p>
        </w:tc>
      </w:tr>
      <w:tr w:rsidR="004E10C1" w:rsidRPr="0044524F" w14:paraId="285B54D6" w14:textId="77777777">
        <w:tc>
          <w:tcPr>
            <w:tcW w:w="573" w:type="dxa"/>
          </w:tcPr>
          <w:p w14:paraId="2963C05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3223" w:type="dxa"/>
          </w:tcPr>
          <w:p w14:paraId="72D7518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436,3</w:t>
            </w:r>
          </w:p>
        </w:tc>
        <w:tc>
          <w:tcPr>
            <w:tcW w:w="3091" w:type="dxa"/>
          </w:tcPr>
          <w:p w14:paraId="495E91A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430,6</w:t>
            </w:r>
          </w:p>
        </w:tc>
        <w:tc>
          <w:tcPr>
            <w:tcW w:w="1633" w:type="dxa"/>
          </w:tcPr>
          <w:p w14:paraId="4C06EB7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866,9</w:t>
            </w:r>
          </w:p>
        </w:tc>
        <w:tc>
          <w:tcPr>
            <w:tcW w:w="838" w:type="dxa"/>
          </w:tcPr>
          <w:p w14:paraId="408423B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w:t>
            </w:r>
          </w:p>
        </w:tc>
      </w:tr>
      <w:tr w:rsidR="004E10C1" w:rsidRPr="0044524F" w14:paraId="0CCF19D0" w14:textId="77777777">
        <w:tc>
          <w:tcPr>
            <w:tcW w:w="573" w:type="dxa"/>
          </w:tcPr>
          <w:p w14:paraId="52D26D6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3223" w:type="dxa"/>
          </w:tcPr>
          <w:p w14:paraId="6DBC1C8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303,5</w:t>
            </w:r>
          </w:p>
        </w:tc>
        <w:tc>
          <w:tcPr>
            <w:tcW w:w="3091" w:type="dxa"/>
          </w:tcPr>
          <w:p w14:paraId="64A02B0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762,7</w:t>
            </w:r>
          </w:p>
        </w:tc>
        <w:tc>
          <w:tcPr>
            <w:tcW w:w="1633" w:type="dxa"/>
          </w:tcPr>
          <w:p w14:paraId="6F9FBBA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1066,2</w:t>
            </w:r>
          </w:p>
        </w:tc>
        <w:tc>
          <w:tcPr>
            <w:tcW w:w="838" w:type="dxa"/>
          </w:tcPr>
          <w:p w14:paraId="5DEDF4A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-499,2</w:t>
            </w:r>
          </w:p>
        </w:tc>
      </w:tr>
      <w:tr w:rsidR="004E10C1" w:rsidRPr="0044524F" w14:paraId="6D1C457E" w14:textId="77777777">
        <w:tc>
          <w:tcPr>
            <w:tcW w:w="573" w:type="dxa"/>
          </w:tcPr>
          <w:p w14:paraId="001DF91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3223" w:type="dxa"/>
          </w:tcPr>
          <w:p w14:paraId="18E88CA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270,9</w:t>
            </w:r>
          </w:p>
        </w:tc>
        <w:tc>
          <w:tcPr>
            <w:tcW w:w="3091" w:type="dxa"/>
          </w:tcPr>
          <w:p w14:paraId="2C68416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625,8</w:t>
            </w:r>
          </w:p>
        </w:tc>
        <w:tc>
          <w:tcPr>
            <w:tcW w:w="1633" w:type="dxa"/>
          </w:tcPr>
          <w:p w14:paraId="36A1DBC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896,7</w:t>
            </w:r>
          </w:p>
        </w:tc>
        <w:tc>
          <w:tcPr>
            <w:tcW w:w="838" w:type="dxa"/>
          </w:tcPr>
          <w:p w14:paraId="7A781DC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-354,9</w:t>
            </w:r>
          </w:p>
        </w:tc>
      </w:tr>
      <w:tr w:rsidR="004E10C1" w:rsidRPr="0044524F" w14:paraId="63AEF766" w14:textId="77777777">
        <w:tc>
          <w:tcPr>
            <w:tcW w:w="573" w:type="dxa"/>
          </w:tcPr>
          <w:p w14:paraId="70A2F51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w:t>
            </w:r>
          </w:p>
        </w:tc>
        <w:tc>
          <w:tcPr>
            <w:tcW w:w="3223" w:type="dxa"/>
          </w:tcPr>
          <w:p w14:paraId="36A0AEF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194,1</w:t>
            </w:r>
          </w:p>
        </w:tc>
        <w:tc>
          <w:tcPr>
            <w:tcW w:w="3091" w:type="dxa"/>
          </w:tcPr>
          <w:p w14:paraId="4D645A0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282,2</w:t>
            </w:r>
          </w:p>
        </w:tc>
        <w:tc>
          <w:tcPr>
            <w:tcW w:w="1633" w:type="dxa"/>
          </w:tcPr>
          <w:p w14:paraId="1DDF59E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476,3</w:t>
            </w:r>
          </w:p>
        </w:tc>
        <w:tc>
          <w:tcPr>
            <w:tcW w:w="838" w:type="dxa"/>
          </w:tcPr>
          <w:p w14:paraId="1C898B3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-88,1</w:t>
            </w:r>
          </w:p>
        </w:tc>
      </w:tr>
      <w:tr w:rsidR="004E10C1" w:rsidRPr="0044524F" w14:paraId="30FFE9DA" w14:textId="77777777">
        <w:tc>
          <w:tcPr>
            <w:tcW w:w="573" w:type="dxa"/>
            <w:tcBorders>
              <w:bottom w:val="single" w:sz="12" w:space="0" w:color="000000"/>
            </w:tcBorders>
          </w:tcPr>
          <w:p w14:paraId="4A56014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w:t>
            </w:r>
          </w:p>
        </w:tc>
        <w:tc>
          <w:tcPr>
            <w:tcW w:w="3223" w:type="dxa"/>
            <w:tcBorders>
              <w:bottom w:val="single" w:sz="12" w:space="0" w:color="000000"/>
            </w:tcBorders>
          </w:tcPr>
          <w:p w14:paraId="607B2ED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233,0</w:t>
            </w:r>
          </w:p>
        </w:tc>
        <w:tc>
          <w:tcPr>
            <w:tcW w:w="3091" w:type="dxa"/>
            <w:tcBorders>
              <w:bottom w:val="single" w:sz="12" w:space="0" w:color="000000"/>
            </w:tcBorders>
          </w:tcPr>
          <w:p w14:paraId="70C0131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63,31</w:t>
            </w:r>
          </w:p>
        </w:tc>
        <w:tc>
          <w:tcPr>
            <w:tcW w:w="1633" w:type="dxa"/>
            <w:tcBorders>
              <w:bottom w:val="single" w:sz="12" w:space="0" w:color="000000"/>
            </w:tcBorders>
          </w:tcPr>
          <w:p w14:paraId="13A858C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286,31</w:t>
            </w:r>
          </w:p>
        </w:tc>
        <w:tc>
          <w:tcPr>
            <w:tcW w:w="838" w:type="dxa"/>
            <w:tcBorders>
              <w:bottom w:val="single" w:sz="12" w:space="0" w:color="000000"/>
            </w:tcBorders>
          </w:tcPr>
          <w:p w14:paraId="3C62AFD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+159,7</w:t>
            </w:r>
          </w:p>
        </w:tc>
      </w:tr>
    </w:tbl>
    <w:p w14:paraId="64BB0C8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(11784).</w:t>
      </w:r>
    </w:p>
    <w:p w14:paraId="76DBDFE5"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C293A04"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февраля 1933 г. был подписан заключительный протокол между советским торгпредством и двумя германскими консорциумами во главе с «Дойче Банк» и «Дрезднер Банк» о предоставлении СССР еще кредитов на общую сумму в 140 млн. марок. Однако едва ли этот кредит мог помочь сохранить динамику развития двусторонней торговли, имевшей все предыдущие годы устойчивую тенденцию к росту. В период «великой депрессии» она выглядела таким образом:</w:t>
      </w:r>
    </w:p>
    <w:p w14:paraId="04A3A5F7"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млн. марок)</w:t>
      </w:r>
      <w:hyperlink r:id="rId71" w:anchor="n_419" w:history="1">
        <w:r w:rsidRPr="0044524F">
          <w:rPr>
            <w:rStyle w:val="a5"/>
            <w:rFonts w:ascii="Times New Roman" w:hAnsi="Times New Roman"/>
            <w:color w:val="000000" w:themeColor="text1"/>
            <w:sz w:val="16"/>
            <w:szCs w:val="16"/>
          </w:rPr>
          <w:t>[419]</w:t>
        </w:r>
      </w:hyperlink>
    </w:p>
    <w:p w14:paraId="1522A79C"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Годы / Экспорт СССР в Германию / Импорт СССР из Германии / Товарооборот / Сальдо</w:t>
      </w:r>
    </w:p>
    <w:p w14:paraId="6D84CBF5"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 425,7 353,9 779,6 +71,8</w:t>
      </w:r>
    </w:p>
    <w:p w14:paraId="1A91705D"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 436,3 430,6 866,9 +5,7</w:t>
      </w:r>
    </w:p>
    <w:p w14:paraId="58906B16"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303,5 762,7 1066,2 -499,2</w:t>
      </w:r>
    </w:p>
    <w:p w14:paraId="376919E3"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270,9 625,8 896,7 -354,9</w:t>
      </w:r>
    </w:p>
    <w:p w14:paraId="5612ECB6"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194,1 282,2 476,3 -88,1</w:t>
      </w:r>
    </w:p>
    <w:p w14:paraId="2F0FD464"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233,0 63,3 1286,31 +159,7 (18265).</w:t>
      </w:r>
    </w:p>
    <w:p w14:paraId="0D53C4BE" w14:textId="77777777" w:rsidR="007B60FC" w:rsidRPr="0044524F" w:rsidRDefault="007B60FC" w:rsidP="009654CF">
      <w:pPr>
        <w:spacing w:after="0" w:line="240" w:lineRule="auto"/>
        <w:jc w:val="both"/>
        <w:rPr>
          <w:rFonts w:ascii="Times New Roman" w:hAnsi="Times New Roman"/>
          <w:color w:val="000000" w:themeColor="text1"/>
          <w:sz w:val="16"/>
          <w:szCs w:val="16"/>
        </w:rPr>
      </w:pPr>
    </w:p>
    <w:p w14:paraId="61AF5A47" w14:textId="77777777" w:rsidR="00A7614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F274AE9" w14:textId="77777777" w:rsidR="00A76142" w:rsidRPr="0044524F" w:rsidRDefault="00A7614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4CE6E6F" w14:textId="77777777" w:rsidR="00E844EA" w:rsidRPr="0044524F" w:rsidRDefault="00E844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февраля 1933 спущен на воду USS Ranger (CV-4), первый корабль ВМС США, с самого начала спроектированный как авианосец (20802).</w:t>
      </w:r>
    </w:p>
    <w:p w14:paraId="6E6F7A07" w14:textId="77777777" w:rsidR="00E844EA" w:rsidRPr="0044524F" w:rsidRDefault="00E844EA" w:rsidP="009654CF">
      <w:pPr>
        <w:spacing w:after="0" w:line="240" w:lineRule="auto"/>
        <w:jc w:val="both"/>
        <w:rPr>
          <w:rFonts w:ascii="Times New Roman" w:hAnsi="Times New Roman"/>
          <w:color w:val="000000" w:themeColor="text1"/>
          <w:sz w:val="16"/>
          <w:szCs w:val="16"/>
        </w:rPr>
      </w:pPr>
    </w:p>
    <w:p w14:paraId="41717C73"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25 февраля</w:t>
      </w:r>
      <w:r w:rsidRPr="0044524F">
        <w:rPr>
          <w:rFonts w:ascii="Times New Roman" w:hAnsi="Times New Roman"/>
          <w:color w:val="000000" w:themeColor="text1"/>
          <w:sz w:val="16"/>
          <w:szCs w:val="16"/>
        </w:rPr>
        <w:t xml:space="preserve"> в 1933 году Япония исключена из Лиги Наций за развязывание войны в Маньчжурии (15051).</w:t>
      </w:r>
    </w:p>
    <w:p w14:paraId="39C01D45" w14:textId="77777777" w:rsidR="00A76142" w:rsidRPr="0044524F" w:rsidRDefault="00A76142" w:rsidP="009654CF">
      <w:pPr>
        <w:spacing w:after="0" w:line="240" w:lineRule="auto"/>
        <w:jc w:val="both"/>
        <w:rPr>
          <w:rFonts w:ascii="Times New Roman" w:hAnsi="Times New Roman"/>
          <w:color w:val="000000" w:themeColor="text1"/>
          <w:sz w:val="16"/>
          <w:szCs w:val="16"/>
        </w:rPr>
      </w:pPr>
    </w:p>
    <w:p w14:paraId="1A2FC393"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56E9A45"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F2127E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февраля 1933 письмом Нач. ОЭЛИД Стоман N 103с был направлен Нач. НТОС ГУАП, Нач. СОС ЦАГИ, Нач. ЦКБ С.В.И., Нач. 7 Сект. НИИ ВВС Горощенко и Нач. СЛИ Чесалову "Отчет об испытании двухместного бесхвостого самолета типа Параболе БИЧ-7 с м Люцифер 130 нр (2307,65):</w:t>
      </w:r>
    </w:p>
    <w:p w14:paraId="6605874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исполнитель</w:t>
      </w:r>
      <w:r w:rsidRPr="0044524F">
        <w:rPr>
          <w:rFonts w:ascii="Times New Roman" w:hAnsi="Times New Roman"/>
          <w:color w:val="000000" w:themeColor="text1"/>
          <w:sz w:val="16"/>
          <w:szCs w:val="16"/>
        </w:rPr>
        <w:tab/>
        <w:t>ст. и Б.А.Победоносцев</w:t>
      </w:r>
    </w:p>
    <w:p w14:paraId="7D23F3C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w:t>
      </w:r>
      <w:r w:rsidRPr="0044524F">
        <w:rPr>
          <w:rFonts w:ascii="Times New Roman" w:hAnsi="Times New Roman"/>
          <w:color w:val="000000" w:themeColor="text1"/>
          <w:sz w:val="16"/>
          <w:szCs w:val="16"/>
        </w:rPr>
        <w:tab/>
        <w:t>Благин</w:t>
      </w:r>
    </w:p>
    <w:p w14:paraId="674C079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Результаты испытаний</w:t>
      </w:r>
    </w:p>
    <w:p w14:paraId="6ACBEDB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Выявить летные качества бесхвостого с-та типа “Парабола” БИЧ-7, обратив особое внимание на уго устойчивость и управляемость.</w:t>
      </w:r>
    </w:p>
    <w:p w14:paraId="2C6B78B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данные о прохождении испытаний</w:t>
      </w:r>
    </w:p>
    <w:p w14:paraId="320312C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проведении летных испытаний проделана следующая работа</w:t>
      </w:r>
    </w:p>
    <w:p w14:paraId="3AF3E6E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Произведено взвешивание и определение цт пустого с-та и нагрузок</w:t>
      </w:r>
    </w:p>
    <w:p w14:paraId="39EF30B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Устранено давление на пилотскую рукоятку, посредством устройства флетнеровского руля на рулях высоты. В результате получена возможность летать с брошенной рукояткой</w:t>
      </w:r>
    </w:p>
    <w:p w14:paraId="282CF12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Выявление устойчивости с-та с брошенными рулями</w:t>
      </w:r>
    </w:p>
    <w:p w14:paraId="5F2BB3F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Выявление маневренности с-та при центровке 38% по наибольшей хорде</w:t>
      </w:r>
    </w:p>
    <w:p w14:paraId="2AA2F16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Определение скороподъемности с-та, а также максимальной скорости у земли</w:t>
      </w:r>
    </w:p>
    <w:p w14:paraId="4814CA6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60A48E4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Аэродинамические данные с-та достаточно хорошие для данной нагрузки на 1 м2 и на 1 л.с. (см. Сравнение Параболы БИЧ-7 с с-том У-2 в результатах испытаний.</w:t>
      </w:r>
    </w:p>
    <w:p w14:paraId="23F4207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является чрезвычайно чутким к шарнирным моментам РВ. В частности, на РВ оказывает сильное влияние струя от винта. В начале испытания, до устранения шарнирного момента, Флетнером, усилие на пилотскую рукоятку было настолько высоко, что при полете на полном газе л приходилось пилотскую рукоятку держать обеими руками, между тем, как при планировании с малыми оборотами мотора, усилие было много меньше и управлять с-том было занчительно легче.</w:t>
      </w:r>
    </w:p>
    <w:p w14:paraId="678EAF8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устранения шарнирных моментов рулей, путем устройства флетнеров, с-т стал легко управляемым в полете и появилась возможность лететь с брошенной ручкой.</w:t>
      </w:r>
    </w:p>
    <w:p w14:paraId="67EFB0C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вполне устойчив и хорошо управляем на всех режимах полета, вплоть до скорости 165 км/час при положении ЦТ на 38% центральной хорды крыла.</w:t>
      </w:r>
    </w:p>
    <w:p w14:paraId="715D454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с-том ничем не отличается от обычного управления хвостовым с-том</w:t>
      </w:r>
    </w:p>
    <w:p w14:paraId="22380BE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B2DD65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Приведенные ниже весовые и аэродинамические данные с-та не могут считаться оптимальными для подобного тиап, т.к. у испытанного объекта БИЧ-7, имело место во-первых, очевидное перетяжеление конструкции, т.к. грузовая отдача 30% ни в коем случае не может считаться удовлетворительной при данной компоновке с-та. Здесь следует ожидать более высокого процента, а именно, порядка 40-45%, а то и выше.</w:t>
      </w:r>
    </w:p>
    <w:p w14:paraId="08859D2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Во-вторых, во время испытаний мотор Люцифер № 1072 работал неудовлетворительно: сильно трясло всю установку и обороты своегно номинала 1600 ни разу не достигались. Максимальное число оборотов было 1580 на максимальной скорости 165 км/час. Поэтолму от свмолета подобного типа можно ожидать еще более высоких летных показателей, что также вытекает из расчетных соображений.</w:t>
      </w:r>
    </w:p>
    <w:p w14:paraId="08E9D1A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признать целесообразным изготовлено новых более совершенных с конструктивной т.з. самолетов бесхвостой схемы.</w:t>
      </w:r>
    </w:p>
    <w:p w14:paraId="0D1DE01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Проведенные испытания являются далеко не полными: не выяснено влияние на устойчивость перемещения ЦТ, не проведен мерный километр, не замерена посадочная скорость и т.п. вследствие исключительно плохой работы мотора и состояния машины.</w:t>
      </w:r>
    </w:p>
    <w:p w14:paraId="4E2BCBE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Сводка испытания</w:t>
      </w:r>
    </w:p>
    <w:p w14:paraId="013ADB3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краткое описание объекта</w:t>
      </w:r>
    </w:p>
    <w:p w14:paraId="49F9064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Бесхвостый с-т Парабола БИЧ-7 является летающим крылом, имеющим в плане форму паработы. Вершина параболы обращена вперед по движению. В середине крыла помещается закрытая кабина - лимузин для 2-х человек. Переднее место предназначено для пилота, заднее - для пассажира. Перед кабиной смонтирован мотор Люцифер 100 л.с. с тянущим винтом. Сзади кабины постепенно переходит в киль и РН. За спиной пассажира находятся баки с горючим. Шасси нормальное, самолетное: 2 полуоси и на каждую две стойки, из которых одна, вертикальная, снабжена резиновыми пластинами для амортизации. Вдоль задней кромки крыла снизу подвешен закрылок, составленный по длине из 4-х частей. Две средние играют роль РВ, крайние - служат в качестве элеронов.</w:t>
      </w:r>
    </w:p>
    <w:p w14:paraId="7172B33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рулями ординарное. Схема управления нормальная самолетная, т.е. пилотская рукоятка для рулей высоты и элеронов и педаль для РН</w:t>
      </w:r>
    </w:p>
    <w:p w14:paraId="585195E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испытаний</w:t>
      </w:r>
    </w:p>
    <w:p w14:paraId="4CF17C3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Осмотр и приемка с-та</w:t>
      </w:r>
    </w:p>
    <w:p w14:paraId="6738138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Взвешивание и определение цт пустого и с нагрузкой</w:t>
      </w:r>
    </w:p>
    <w:p w14:paraId="6D51833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Проба мотора на земле</w:t>
      </w:r>
    </w:p>
    <w:p w14:paraId="6B24EEF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Рулежка на малом и большом газе</w:t>
      </w:r>
    </w:p>
    <w:p w14:paraId="02F1375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Взлеты по прямой на высоте 2-х м над землей</w:t>
      </w:r>
    </w:p>
    <w:p w14:paraId="7AE550A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Полеты на высоте 100-120 м по замкнутому кругу</w:t>
      </w:r>
    </w:p>
    <w:p w14:paraId="4A5347F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Полеты на управляемлсть и устойчивость. Высота 1000 м</w:t>
      </w:r>
    </w:p>
    <w:p w14:paraId="77FDD6D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Полеты на всоту со снятием барограммы</w:t>
      </w:r>
    </w:p>
    <w:p w14:paraId="6027710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Полеты на мерном километре</w:t>
      </w:r>
    </w:p>
    <w:p w14:paraId="64274C7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52AC686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пункт программы не был выполнен из-за неудовлетворительной работы мотора</w:t>
      </w:r>
    </w:p>
    <w:p w14:paraId="3B2E6A6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Облет с-та другим л</w:t>
      </w:r>
    </w:p>
    <w:p w14:paraId="7EB588B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Ход испытаний:</w:t>
      </w:r>
    </w:p>
    <w:p w14:paraId="154C0D9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1932 был подписан Акт N 1 о сдаче самолета БИЧ-7 Парабола ЗОК ЦАГИ в ОЭЛИД для испытаний. испытания продолжались до 21 декабря 1932.</w:t>
      </w:r>
    </w:p>
    <w:p w14:paraId="21B1F34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1932 состоялись взвешивание и определение ЦТ самолета БИЧ-7 Парабола ЗОК ЦАГИ в ОЭЛИД для испытаний.</w:t>
      </w:r>
    </w:p>
    <w:p w14:paraId="42CDF48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августа 1932 состоялись испытания БИЧ-7 Парабола Черановского на рулежку и подлеты.</w:t>
      </w:r>
    </w:p>
    <w:p w14:paraId="722BD3A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1932 был подписан Акт № 2. При осмотре с-та обнаружен изгиб полуоси шасси у полотна правого подкоса. Признано необходимым произвести ляд переделок в самолете, использовав ЗОК и ОЭЛИД</w:t>
      </w:r>
    </w:p>
    <w:p w14:paraId="1663DFB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 1932 состоялся первый полет БИЧ-7 Парабола Черановского. Сделали 3 круга на высоте 1000 м за 0:25. Отмечено давление на ручку, создающее впечатление тяги с-та на нос.</w:t>
      </w:r>
    </w:p>
    <w:p w14:paraId="10899FA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октября 1932 на БИЧ-7 был выполнен тренировочный полет и выполнили 4 круга над аэродромом. Летали 40 мин. Для уменьшения давления на РВ, тяги элеронов были пдкручены на 6 ниток. Давление уменьшилось, но недостаточно.</w:t>
      </w:r>
    </w:p>
    <w:p w14:paraId="0ABFC54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октября 1932 был выполнен полет на управляемость на БИЧ-7 Черановского на испытаниях. Сделали 8 виражей вправо и 8 влево. Отметили, что машина зарывается носом, т.к. имеется большое усилие на рукоятку. Отмечена разница в управлении при моторе, работающем на полном газу и на малом. Продолжительность 0:40.</w:t>
      </w:r>
    </w:p>
    <w:p w14:paraId="79FF2FC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октября 1932 был выполнен еще один полет на управляемость на БИЧ-7 Черановского на испытаниях с перегрузочными приборами. Замеряли перегрузки и делали правые и левые виражи и восьмерки. Летали 35 мин. Время виража с заходом и выходом правого 25-26 сек., левого - 28-29 сек., восьмерка левая с заходом и выходом - 1:08, правая - 1:10 Передняя тяга на нос</w:t>
      </w:r>
    </w:p>
    <w:p w14:paraId="4DD96F2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1932 по заданию № 6 было испытание на БИЧ-7 измененных рулей высоты, путем укрепления на них отогнутой металлической пластинки, играющей роль флетнеровского руля. Давление на ручку резко уменьшилось, но за счет неодинакового подгиба кромки, ст-т стало валить влево. Продолжительность 0:30.</w:t>
      </w:r>
    </w:p>
    <w:p w14:paraId="29897D3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заданию № 7 летали после изменения изгиба флетнера и подкутки тяги левого элерона на 5 ниток. Результат достигнут. Получена возможность летать с брошенной ручкой. Кправляемость сразу улучшилась и самолет легко и нормально делал глубокие виражи и восьмерки. Продолжительность 0:40 (2707).</w:t>
      </w:r>
    </w:p>
    <w:p w14:paraId="1A9659B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1932 на БИЧ-7 Черановского выполняли полет на устойчивость с увеличенной площадью фтетнеров. Получили обратные усилия на ручку, что дало впечатление кабрирования с-та в нормальном полете. Летали 30 мин. Задание № 8</w:t>
      </w:r>
    </w:p>
    <w:p w14:paraId="14FD739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ноября 1932 на БИЧ-7 Черановского выполняли полет на устойчивость с увеличенным углом фтетнеров. Получили обратные усилия на ручку, что дало впечатление кабрирования с-та в нормальном полете. Летали 40 мин. Задание № 9</w:t>
      </w:r>
    </w:p>
    <w:p w14:paraId="5A47353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Задание № 10 - то же, ручку бросить нельзя. Продолжительность - 0:40.</w:t>
      </w:r>
    </w:p>
    <w:p w14:paraId="78D1CAB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1932 на БИЧ-7 Черановского выполняли полет на устойчивость. Задание № 11 Достигли возможности лететь с брошенной ручкой на 110 км/час. при 1400 об./мин. по горизонтали. Сделали два отклонения РВ, доведя полет до скорости 120 км/час. После чего бросалось управление. С-т возвращался в исходное положение после 2-3 колебаний. Задание полностью не выполнено из-за плохой работы мотора. Летали 35 мин.</w:t>
      </w:r>
    </w:p>
    <w:p w14:paraId="235A7D6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ноября 1932 на БИЧ-7 Черановского выполняли полет на высоту по Заданию № 12 и за 37 мин. набрали 3800 м. Работа мотора во время полета все время была норовной. Должных оборотов не было. Летали 1:20 мин.</w:t>
      </w:r>
    </w:p>
    <w:p w14:paraId="61890DB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1932 на БИЧ-7 по заданию № 13 летали на высоту и площадки. Не выполнено из-за отказа мотора. Продолжительность 0:10.</w:t>
      </w:r>
    </w:p>
    <w:p w14:paraId="61DFFBA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заданию № 14 те же результаты. Мотор сдал на 100 м. Продолжительность 0:5</w:t>
      </w:r>
    </w:p>
    <w:p w14:paraId="68C5E4C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 подготовлен Акт № 3, в котором отмечено, что при осмотре моторного хозяйства обнаружены трещины на ушах подмоторных рам</w:t>
      </w:r>
    </w:p>
    <w:p w14:paraId="0AE7499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ноября 1932 при испытаниях БИЧ-7 был составлен Акт № 4, в котором был отмечен ряд дефектов в управлении с-том, подлежащих устранению (2307).</w:t>
      </w:r>
    </w:p>
    <w:p w14:paraId="65FFEE4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декабря 1932 при испытаниях БИЧ-7 был дополнен Акт № 4.</w:t>
      </w:r>
    </w:p>
    <w:p w14:paraId="2664859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1932 при испытаниях БИЧ-7 был составлен Акт № 5, в котором были отмечены дефекты в бензопроводе.</w:t>
      </w:r>
    </w:p>
    <w:p w14:paraId="7964BD8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декабря 1932 состоялся последний, 15 полет БИЧ-7 Парабола и были закончены летные испытания машины, которые шли с 11 августа 1932 и 19 августа, когда был выполнен первый полет. Всего налетали 8:05. В последнем полете при испытании на устойчивость самолет показал возможность полета с брошенной ручкой. Макс. скорость по гор. - 165 км/час. Потом сравнивали с У-2. Летал л Благин, а ви был Победоносцев</w:t>
      </w:r>
    </w:p>
    <w:p w14:paraId="28C6CFB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Задание № 15 - полет на устойчивость.</w:t>
      </w:r>
    </w:p>
    <w:p w14:paraId="6E1A53E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идет с брошенной ручкой по горизонтали на скорости 110 км/час при 1300 обор.</w:t>
      </w:r>
    </w:p>
    <w:p w14:paraId="03118AE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изменении скорости на +/- 15 км/час с-т самостоятельно возвращается в исходное положение. При изменении скорости на +/- 20 км/час получилось затягивание с-та до скорости 195 км/час, после чего потребовалось вмешательство пилота.</w:t>
      </w:r>
    </w:p>
    <w:p w14:paraId="530A8C9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Максимальную скорость на горизонтали с-т дает 165 км/час по прибору при 1580 об/мин. Замерено время полного круга вправо и влево. </w:t>
      </w:r>
    </w:p>
    <w:p w14:paraId="56BF8FE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 полета 0:30.</w:t>
      </w:r>
    </w:p>
    <w:p w14:paraId="0E00CA7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Результаты испытаний</w:t>
      </w:r>
    </w:p>
    <w:p w14:paraId="4F63210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Весовая характеристика с-та</w:t>
      </w:r>
    </w:p>
    <w:p w14:paraId="28F5CF9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Взвешивание производилось в двух положениях: пустой и с нагрузкой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559"/>
      </w:tblGrid>
      <w:tr w:rsidR="004E10C1" w:rsidRPr="0044524F" w14:paraId="1A1D0222" w14:textId="77777777">
        <w:tc>
          <w:tcPr>
            <w:tcW w:w="2235" w:type="dxa"/>
            <w:tcBorders>
              <w:top w:val="single" w:sz="12" w:space="0" w:color="auto"/>
            </w:tcBorders>
          </w:tcPr>
          <w:p w14:paraId="7928F45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w:t>
            </w:r>
          </w:p>
        </w:tc>
        <w:tc>
          <w:tcPr>
            <w:tcW w:w="1559" w:type="dxa"/>
            <w:tcBorders>
              <w:top w:val="single" w:sz="12" w:space="0" w:color="auto"/>
            </w:tcBorders>
          </w:tcPr>
          <w:p w14:paraId="3331D74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610 (цт 36%)</w:t>
            </w:r>
          </w:p>
        </w:tc>
      </w:tr>
      <w:tr w:rsidR="004E10C1" w:rsidRPr="0044524F" w14:paraId="3939E443" w14:textId="77777777">
        <w:tc>
          <w:tcPr>
            <w:tcW w:w="2235" w:type="dxa"/>
          </w:tcPr>
          <w:p w14:paraId="65E79A6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пилота</w:t>
            </w:r>
          </w:p>
        </w:tc>
        <w:tc>
          <w:tcPr>
            <w:tcW w:w="1559" w:type="dxa"/>
          </w:tcPr>
          <w:p w14:paraId="011C642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w:t>
            </w:r>
          </w:p>
        </w:tc>
      </w:tr>
      <w:tr w:rsidR="004E10C1" w:rsidRPr="0044524F" w14:paraId="4CA435D4" w14:textId="77777777">
        <w:tc>
          <w:tcPr>
            <w:tcW w:w="2235" w:type="dxa"/>
          </w:tcPr>
          <w:p w14:paraId="7CF6A08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пассажира</w:t>
            </w:r>
          </w:p>
        </w:tc>
        <w:tc>
          <w:tcPr>
            <w:tcW w:w="1559" w:type="dxa"/>
          </w:tcPr>
          <w:p w14:paraId="1C7842B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w:t>
            </w:r>
          </w:p>
        </w:tc>
      </w:tr>
      <w:tr w:rsidR="004E10C1" w:rsidRPr="0044524F" w14:paraId="357CB0D1" w14:textId="77777777">
        <w:tc>
          <w:tcPr>
            <w:tcW w:w="2235" w:type="dxa"/>
          </w:tcPr>
          <w:p w14:paraId="52B1ED9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бензина</w:t>
            </w:r>
          </w:p>
        </w:tc>
        <w:tc>
          <w:tcPr>
            <w:tcW w:w="1559" w:type="dxa"/>
          </w:tcPr>
          <w:p w14:paraId="0EF3AE9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r>
      <w:tr w:rsidR="004E10C1" w:rsidRPr="0044524F" w14:paraId="0F60DAA2" w14:textId="77777777">
        <w:tc>
          <w:tcPr>
            <w:tcW w:w="2235" w:type="dxa"/>
          </w:tcPr>
          <w:p w14:paraId="0B9807F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масла</w:t>
            </w:r>
          </w:p>
        </w:tc>
        <w:tc>
          <w:tcPr>
            <w:tcW w:w="1559" w:type="dxa"/>
          </w:tcPr>
          <w:p w14:paraId="6277220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47549A28" w14:textId="77777777">
        <w:tc>
          <w:tcPr>
            <w:tcW w:w="2235" w:type="dxa"/>
            <w:tcBorders>
              <w:bottom w:val="single" w:sz="12" w:space="0" w:color="auto"/>
            </w:tcBorders>
          </w:tcPr>
          <w:p w14:paraId="11B030E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 нагрузкой</w:t>
            </w:r>
          </w:p>
        </w:tc>
        <w:tc>
          <w:tcPr>
            <w:tcW w:w="1559" w:type="dxa"/>
            <w:tcBorders>
              <w:bottom w:val="single" w:sz="12" w:space="0" w:color="auto"/>
            </w:tcBorders>
          </w:tcPr>
          <w:p w14:paraId="2F50BC4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812 (цт 37,3%)</w:t>
            </w:r>
          </w:p>
        </w:tc>
      </w:tr>
    </w:tbl>
    <w:p w14:paraId="13AAD59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полете было: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35"/>
        <w:gridCol w:w="1559"/>
      </w:tblGrid>
      <w:tr w:rsidR="004E10C1" w:rsidRPr="0044524F" w14:paraId="55A165DF" w14:textId="77777777">
        <w:tc>
          <w:tcPr>
            <w:tcW w:w="2235" w:type="dxa"/>
            <w:tcBorders>
              <w:top w:val="single" w:sz="12" w:space="0" w:color="auto"/>
            </w:tcBorders>
          </w:tcPr>
          <w:p w14:paraId="1BD19CC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Вес пустого</w:t>
            </w:r>
          </w:p>
        </w:tc>
        <w:tc>
          <w:tcPr>
            <w:tcW w:w="1559" w:type="dxa"/>
            <w:tcBorders>
              <w:top w:val="single" w:sz="12" w:space="0" w:color="auto"/>
            </w:tcBorders>
          </w:tcPr>
          <w:p w14:paraId="5378A01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610</w:t>
            </w:r>
          </w:p>
        </w:tc>
      </w:tr>
      <w:tr w:rsidR="004E10C1" w:rsidRPr="0044524F" w14:paraId="517192B1" w14:textId="77777777">
        <w:tc>
          <w:tcPr>
            <w:tcW w:w="2235" w:type="dxa"/>
          </w:tcPr>
          <w:p w14:paraId="2BCDF09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пилота с парашютом</w:t>
            </w:r>
          </w:p>
        </w:tc>
        <w:tc>
          <w:tcPr>
            <w:tcW w:w="1559" w:type="dxa"/>
          </w:tcPr>
          <w:p w14:paraId="169446E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r>
      <w:tr w:rsidR="004E10C1" w:rsidRPr="0044524F" w14:paraId="53CA5C60" w14:textId="77777777">
        <w:tc>
          <w:tcPr>
            <w:tcW w:w="2235" w:type="dxa"/>
          </w:tcPr>
          <w:p w14:paraId="0D156AA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Груз вместо пассажира</w:t>
            </w:r>
          </w:p>
        </w:tc>
        <w:tc>
          <w:tcPr>
            <w:tcW w:w="1559" w:type="dxa"/>
          </w:tcPr>
          <w:p w14:paraId="09A9D7D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r>
      <w:tr w:rsidR="004E10C1" w:rsidRPr="0044524F" w14:paraId="77657CAD" w14:textId="77777777">
        <w:tc>
          <w:tcPr>
            <w:tcW w:w="2235" w:type="dxa"/>
          </w:tcPr>
          <w:p w14:paraId="15469FB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бензина</w:t>
            </w:r>
          </w:p>
        </w:tc>
        <w:tc>
          <w:tcPr>
            <w:tcW w:w="1559" w:type="dxa"/>
          </w:tcPr>
          <w:p w14:paraId="516A55A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r>
      <w:tr w:rsidR="004E10C1" w:rsidRPr="0044524F" w14:paraId="271F2DA7" w14:textId="77777777">
        <w:tc>
          <w:tcPr>
            <w:tcW w:w="2235" w:type="dxa"/>
          </w:tcPr>
          <w:p w14:paraId="0B6CE6D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масла</w:t>
            </w:r>
          </w:p>
        </w:tc>
        <w:tc>
          <w:tcPr>
            <w:tcW w:w="1559" w:type="dxa"/>
          </w:tcPr>
          <w:p w14:paraId="6BE0B8D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2F7563B5" w14:textId="77777777">
        <w:tc>
          <w:tcPr>
            <w:tcW w:w="2235" w:type="dxa"/>
            <w:tcBorders>
              <w:bottom w:val="single" w:sz="12" w:space="0" w:color="auto"/>
            </w:tcBorders>
          </w:tcPr>
          <w:p w14:paraId="72271FB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559" w:type="dxa"/>
            <w:tcBorders>
              <w:bottom w:val="single" w:sz="12" w:space="0" w:color="auto"/>
            </w:tcBorders>
          </w:tcPr>
          <w:p w14:paraId="61F92E6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865 (цт 38%)</w:t>
            </w:r>
          </w:p>
        </w:tc>
      </w:tr>
    </w:tbl>
    <w:p w14:paraId="457EE52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Отношение полетного веса к полному весу равно 255/865 - 29,6%</w:t>
      </w:r>
    </w:p>
    <w:p w14:paraId="3028FCA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2F7262F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Указанное выше отношение веса полезной нагрузки к полному весу не является предельным и не может ни в коем случае характеризовать грузоподъемность данного типа с-та, т.к. повидимому здесь имеет место с одной стороны значительное перетяжеление конструкции и, с другой стороны, возможность дальнейшего увеличения полетной нагрузки.</w:t>
      </w:r>
    </w:p>
    <w:p w14:paraId="524ABF8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Устойчивость и управляемость с-та</w:t>
      </w:r>
    </w:p>
    <w:p w14:paraId="18A32B5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Первые полеты показали, что усилие на пилотскую рукоятку очень большое, особенно при полете с мотором, работающим на полном газе.</w:t>
      </w:r>
    </w:p>
    <w:p w14:paraId="46C2550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усилие, являясь следствием шарнирного момента закрылка, ...</w:t>
      </w:r>
    </w:p>
    <w:p w14:paraId="28452F7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изменении скорости на +/- 15 км/час с-т самостоятельно возвращается в исходное положение после 2-3 колебаний.</w:t>
      </w:r>
    </w:p>
    <w:p w14:paraId="013A78A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изменении скорости на +/- 20 км/час получилось дальнейшее увеличение скорости до 195 км/час, после чего потребовалось вмешательство пилота для восстановления горизонтального полета.</w:t>
      </w:r>
    </w:p>
    <w:p w14:paraId="3B32FCF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нормально делает правильные глубокие виражи (до 60 гр.). Время полного круга длится 17-18 сек.. Время выполнения восьмерки 36-38 сек. Время виража и восьмерки измерено без захода и выхода.</w:t>
      </w:r>
    </w:p>
    <w:p w14:paraId="2E1EDA2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с-та обычное, никаких ненормальностей, по сравнению с хвостовыми схемами с-тов отмечено не было.</w:t>
      </w:r>
    </w:p>
    <w:p w14:paraId="70A41AB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Влияние на устойчивость и управляемость изменения цт не было проведено из-за ограниченного числа полетов, обусловленного плохой работой мотора.</w:t>
      </w:r>
    </w:p>
    <w:p w14:paraId="62A153F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w:t>
      </w:r>
    </w:p>
    <w:p w14:paraId="622000A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барограмму был всего один и то, при подъеме работа мотора была все время неровная и полных оборотов не было. Максимальнане обороты были 1450 на высоте 3500 м.</w:t>
      </w:r>
    </w:p>
    <w:p w14:paraId="00C4F3A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набрал высоту 3800 м за 37 сек. и продолжал еще набирать высоту, но облака заставили кончить подъем и перейти на снижение...</w:t>
      </w:r>
    </w:p>
    <w:p w14:paraId="1EC465B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фигуре 1 также даны оригинальные скорости высоты для с-та У-2 с инструктором и без инструктора.</w:t>
      </w:r>
    </w:p>
    <w:p w14:paraId="6F7E4C8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взяты из аэродинамического расчета и проверены результатами летных испытаний У-2 в секции летных исследований.</w:t>
      </w:r>
    </w:p>
    <w:p w14:paraId="5B4BE8B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Ниже приведены аэродинамические данные с-та Парабола БИЧ-76, полученные на основании летных испытаний в сопоставлении с данными с-та У-2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130"/>
        <w:gridCol w:w="2130"/>
        <w:gridCol w:w="2130"/>
        <w:gridCol w:w="2130"/>
      </w:tblGrid>
      <w:tr w:rsidR="004E10C1" w:rsidRPr="0044524F" w14:paraId="4B4D9070" w14:textId="77777777">
        <w:tc>
          <w:tcPr>
            <w:tcW w:w="2130" w:type="dxa"/>
            <w:tcBorders>
              <w:top w:val="single" w:sz="12" w:space="0" w:color="auto"/>
            </w:tcBorders>
          </w:tcPr>
          <w:p w14:paraId="0A2AD5B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Парабола БИЧ-7</w:t>
            </w:r>
          </w:p>
        </w:tc>
        <w:tc>
          <w:tcPr>
            <w:tcW w:w="2130" w:type="dxa"/>
            <w:tcBorders>
              <w:top w:val="single" w:sz="12" w:space="0" w:color="auto"/>
            </w:tcBorders>
          </w:tcPr>
          <w:p w14:paraId="2854F01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Borders>
              <w:top w:val="single" w:sz="12" w:space="0" w:color="auto"/>
            </w:tcBorders>
          </w:tcPr>
          <w:p w14:paraId="5D8CA2A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 У-2 </w:t>
            </w:r>
          </w:p>
        </w:tc>
        <w:tc>
          <w:tcPr>
            <w:tcW w:w="2130" w:type="dxa"/>
            <w:tcBorders>
              <w:top w:val="single" w:sz="12" w:space="0" w:color="auto"/>
            </w:tcBorders>
          </w:tcPr>
          <w:p w14:paraId="77491F9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E871A74" w14:textId="77777777">
        <w:tc>
          <w:tcPr>
            <w:tcW w:w="2130" w:type="dxa"/>
          </w:tcPr>
          <w:p w14:paraId="79AAF58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2E99F18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30" w:type="dxa"/>
          </w:tcPr>
          <w:p w14:paraId="62D42FA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инструктором</w:t>
            </w:r>
          </w:p>
        </w:tc>
        <w:tc>
          <w:tcPr>
            <w:tcW w:w="2130" w:type="dxa"/>
          </w:tcPr>
          <w:p w14:paraId="0134B81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 инструктора</w:t>
            </w:r>
          </w:p>
        </w:tc>
      </w:tr>
      <w:tr w:rsidR="004E10C1" w:rsidRPr="0044524F" w14:paraId="21C24CF2" w14:textId="77777777">
        <w:tc>
          <w:tcPr>
            <w:tcW w:w="2130" w:type="dxa"/>
          </w:tcPr>
          <w:p w14:paraId="000EB4A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w:t>
            </w:r>
          </w:p>
        </w:tc>
        <w:tc>
          <w:tcPr>
            <w:tcW w:w="2130" w:type="dxa"/>
          </w:tcPr>
          <w:p w14:paraId="4F3527C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Люцифер 100 л.с.</w:t>
            </w:r>
          </w:p>
        </w:tc>
        <w:tc>
          <w:tcPr>
            <w:tcW w:w="2130" w:type="dxa"/>
          </w:tcPr>
          <w:p w14:paraId="4545126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М-11 110 л.с.</w:t>
            </w:r>
          </w:p>
        </w:tc>
        <w:tc>
          <w:tcPr>
            <w:tcW w:w="2130" w:type="dxa"/>
          </w:tcPr>
          <w:p w14:paraId="05E0F27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М-11 110 л.с.</w:t>
            </w:r>
          </w:p>
        </w:tc>
      </w:tr>
      <w:tr w:rsidR="004E10C1" w:rsidRPr="0044524F" w14:paraId="4D4F59CD" w14:textId="77777777">
        <w:tc>
          <w:tcPr>
            <w:tcW w:w="2130" w:type="dxa"/>
          </w:tcPr>
          <w:p w14:paraId="360E9C9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w:t>
            </w:r>
          </w:p>
        </w:tc>
        <w:tc>
          <w:tcPr>
            <w:tcW w:w="2130" w:type="dxa"/>
          </w:tcPr>
          <w:p w14:paraId="699AC51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610</w:t>
            </w:r>
          </w:p>
        </w:tc>
        <w:tc>
          <w:tcPr>
            <w:tcW w:w="2130" w:type="dxa"/>
          </w:tcPr>
          <w:p w14:paraId="7187FAF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665</w:t>
            </w:r>
          </w:p>
        </w:tc>
        <w:tc>
          <w:tcPr>
            <w:tcW w:w="2130" w:type="dxa"/>
          </w:tcPr>
          <w:p w14:paraId="08B2C57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665</w:t>
            </w:r>
          </w:p>
        </w:tc>
      </w:tr>
      <w:tr w:rsidR="004E10C1" w:rsidRPr="0044524F" w14:paraId="505397C7" w14:textId="77777777">
        <w:tc>
          <w:tcPr>
            <w:tcW w:w="2130" w:type="dxa"/>
          </w:tcPr>
          <w:p w14:paraId="7834DDF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Полезный груз</w:t>
            </w:r>
          </w:p>
        </w:tc>
        <w:tc>
          <w:tcPr>
            <w:tcW w:w="2130" w:type="dxa"/>
          </w:tcPr>
          <w:p w14:paraId="1F3369E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255</w:t>
            </w:r>
          </w:p>
        </w:tc>
        <w:tc>
          <w:tcPr>
            <w:tcW w:w="2130" w:type="dxa"/>
          </w:tcPr>
          <w:p w14:paraId="1272866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255</w:t>
            </w:r>
          </w:p>
        </w:tc>
        <w:tc>
          <w:tcPr>
            <w:tcW w:w="2130" w:type="dxa"/>
          </w:tcPr>
          <w:p w14:paraId="4E9BF6B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w:t>
            </w:r>
          </w:p>
        </w:tc>
      </w:tr>
      <w:tr w:rsidR="004E10C1" w:rsidRPr="0044524F" w14:paraId="4E779C3C" w14:textId="77777777">
        <w:tc>
          <w:tcPr>
            <w:tcW w:w="2130" w:type="dxa"/>
          </w:tcPr>
          <w:p w14:paraId="31F27EF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Полный вес</w:t>
            </w:r>
          </w:p>
        </w:tc>
        <w:tc>
          <w:tcPr>
            <w:tcW w:w="2130" w:type="dxa"/>
          </w:tcPr>
          <w:p w14:paraId="3EFDA31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865</w:t>
            </w:r>
          </w:p>
        </w:tc>
        <w:tc>
          <w:tcPr>
            <w:tcW w:w="2130" w:type="dxa"/>
          </w:tcPr>
          <w:p w14:paraId="2367AA7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w:t>
            </w:r>
          </w:p>
        </w:tc>
        <w:tc>
          <w:tcPr>
            <w:tcW w:w="2130" w:type="dxa"/>
          </w:tcPr>
          <w:p w14:paraId="5B04492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r>
      <w:tr w:rsidR="004E10C1" w:rsidRPr="0044524F" w14:paraId="07295055" w14:textId="77777777">
        <w:tc>
          <w:tcPr>
            <w:tcW w:w="2130" w:type="dxa"/>
          </w:tcPr>
          <w:p w14:paraId="5DB18AA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м2</w:t>
            </w:r>
          </w:p>
        </w:tc>
        <w:tc>
          <w:tcPr>
            <w:tcW w:w="2130" w:type="dxa"/>
          </w:tcPr>
          <w:p w14:paraId="7F2209B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2130" w:type="dxa"/>
          </w:tcPr>
          <w:p w14:paraId="57DC209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2130" w:type="dxa"/>
          </w:tcPr>
          <w:p w14:paraId="32DA98E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25,5</w:t>
            </w:r>
          </w:p>
        </w:tc>
      </w:tr>
      <w:tr w:rsidR="004E10C1" w:rsidRPr="0044524F" w14:paraId="26FF381C" w14:textId="77777777">
        <w:tc>
          <w:tcPr>
            <w:tcW w:w="2130" w:type="dxa"/>
          </w:tcPr>
          <w:p w14:paraId="56FB820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л.с.</w:t>
            </w:r>
          </w:p>
        </w:tc>
        <w:tc>
          <w:tcPr>
            <w:tcW w:w="2130" w:type="dxa"/>
          </w:tcPr>
          <w:p w14:paraId="09B731E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8,95</w:t>
            </w:r>
          </w:p>
        </w:tc>
        <w:tc>
          <w:tcPr>
            <w:tcW w:w="2130" w:type="dxa"/>
          </w:tcPr>
          <w:p w14:paraId="54019CE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8,37</w:t>
            </w:r>
          </w:p>
        </w:tc>
        <w:tc>
          <w:tcPr>
            <w:tcW w:w="2130" w:type="dxa"/>
          </w:tcPr>
          <w:p w14:paraId="5CEDB9D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7,65</w:t>
            </w:r>
          </w:p>
        </w:tc>
      </w:tr>
      <w:tr w:rsidR="004E10C1" w:rsidRPr="0044524F" w14:paraId="1B2E9B92" w14:textId="77777777">
        <w:tc>
          <w:tcPr>
            <w:tcW w:w="2130" w:type="dxa"/>
          </w:tcPr>
          <w:p w14:paraId="28185D3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 скорость у земли</w:t>
            </w:r>
          </w:p>
        </w:tc>
        <w:tc>
          <w:tcPr>
            <w:tcW w:w="2130" w:type="dxa"/>
          </w:tcPr>
          <w:p w14:paraId="49BC048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tc>
        <w:tc>
          <w:tcPr>
            <w:tcW w:w="2130" w:type="dxa"/>
          </w:tcPr>
          <w:p w14:paraId="4D06A62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c>
          <w:tcPr>
            <w:tcW w:w="2130" w:type="dxa"/>
          </w:tcPr>
          <w:p w14:paraId="1322053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r>
      <w:tr w:rsidR="004E10C1" w:rsidRPr="0044524F" w14:paraId="77A84E6A" w14:textId="77777777">
        <w:tc>
          <w:tcPr>
            <w:tcW w:w="2130" w:type="dxa"/>
          </w:tcPr>
          <w:p w14:paraId="6612F74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1000</w:t>
            </w:r>
          </w:p>
        </w:tc>
        <w:tc>
          <w:tcPr>
            <w:tcW w:w="2130" w:type="dxa"/>
          </w:tcPr>
          <w:p w14:paraId="00A5EE7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2130" w:type="dxa"/>
          </w:tcPr>
          <w:p w14:paraId="78BAD6A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2130" w:type="dxa"/>
          </w:tcPr>
          <w:p w14:paraId="32C982B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w:t>
            </w:r>
          </w:p>
        </w:tc>
      </w:tr>
      <w:tr w:rsidR="004E10C1" w:rsidRPr="0044524F" w14:paraId="1248E93B" w14:textId="77777777">
        <w:tc>
          <w:tcPr>
            <w:tcW w:w="2130" w:type="dxa"/>
          </w:tcPr>
          <w:p w14:paraId="0ED5319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2000</w:t>
            </w:r>
          </w:p>
        </w:tc>
        <w:tc>
          <w:tcPr>
            <w:tcW w:w="2130" w:type="dxa"/>
          </w:tcPr>
          <w:p w14:paraId="23DC5C1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2130" w:type="dxa"/>
          </w:tcPr>
          <w:p w14:paraId="57C5262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c>
          <w:tcPr>
            <w:tcW w:w="2130" w:type="dxa"/>
          </w:tcPr>
          <w:p w14:paraId="4155C3E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w:t>
            </w:r>
          </w:p>
        </w:tc>
      </w:tr>
      <w:tr w:rsidR="004E10C1" w:rsidRPr="0044524F" w14:paraId="35A83461" w14:textId="77777777">
        <w:tc>
          <w:tcPr>
            <w:tcW w:w="2130" w:type="dxa"/>
          </w:tcPr>
          <w:p w14:paraId="1228496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3000</w:t>
            </w:r>
          </w:p>
        </w:tc>
        <w:tc>
          <w:tcPr>
            <w:tcW w:w="2130" w:type="dxa"/>
          </w:tcPr>
          <w:p w14:paraId="2E94235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2130" w:type="dxa"/>
          </w:tcPr>
          <w:p w14:paraId="041CD2A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c>
          <w:tcPr>
            <w:tcW w:w="2130" w:type="dxa"/>
          </w:tcPr>
          <w:p w14:paraId="60C9B81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26,2</w:t>
            </w:r>
          </w:p>
        </w:tc>
      </w:tr>
      <w:tr w:rsidR="004E10C1" w:rsidRPr="0044524F" w14:paraId="66DEA315" w14:textId="77777777">
        <w:tc>
          <w:tcPr>
            <w:tcW w:w="2130" w:type="dxa"/>
            <w:tcBorders>
              <w:bottom w:val="single" w:sz="12" w:space="0" w:color="auto"/>
            </w:tcBorders>
          </w:tcPr>
          <w:p w14:paraId="10EE47E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(теоретический)</w:t>
            </w:r>
          </w:p>
        </w:tc>
        <w:tc>
          <w:tcPr>
            <w:tcW w:w="2130" w:type="dxa"/>
            <w:tcBorders>
              <w:bottom w:val="single" w:sz="12" w:space="0" w:color="auto"/>
            </w:tcBorders>
          </w:tcPr>
          <w:p w14:paraId="20493A8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130" w:type="dxa"/>
            <w:tcBorders>
              <w:bottom w:val="single" w:sz="12" w:space="0" w:color="auto"/>
            </w:tcBorders>
          </w:tcPr>
          <w:p w14:paraId="3456AC6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4100</w:t>
            </w:r>
          </w:p>
        </w:tc>
        <w:tc>
          <w:tcPr>
            <w:tcW w:w="2130" w:type="dxa"/>
            <w:tcBorders>
              <w:bottom w:val="single" w:sz="12" w:space="0" w:color="auto"/>
            </w:tcBorders>
          </w:tcPr>
          <w:p w14:paraId="7C1FB13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4600</w:t>
            </w:r>
          </w:p>
        </w:tc>
      </w:tr>
    </w:tbl>
    <w:p w14:paraId="062352A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14263AA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Мерного километра на с-те Парабола БИЧ-7 не было, т.к. максимальная скорость 165 км/час замерена по прибору, тарировки которого в полете не было. Поэтому м.б. отступления от приведенных данных</w:t>
      </w:r>
    </w:p>
    <w:p w14:paraId="19A46FF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основных конструктивных дефектов с-та Парабола БИЧ-7</w:t>
      </w:r>
    </w:p>
    <w:p w14:paraId="5468D82F"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проведении летных испытаний самолета Параболя БИЧ-7 было обращено особое внимание на ниже перечисленные дефекты конструкции, которые желательно в дальнейшем при постройке подобного типа об'ектов, по возможности избежать</w:t>
      </w:r>
    </w:p>
    <w:p w14:paraId="553A6168"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Исключительно тесна инеудобна для управления пилотская кабина, в которой с трудом помещается пилот среднего роста в зимнемодеянии с парашютом. Пилоту приходится сидеть с сильно согнутыми в коленях ногах.</w:t>
      </w:r>
    </w:p>
    <w:p w14:paraId="3BB7C6EC"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Управление педалями совершенно недопустимое, так что усилие ноги передается педялям не в упор, а за счет трения подошвы сапог о педаль. При наличии снега на сапогах трение кожи о сталь, покрытую снегом ничтожно, а а фактически управление рулем поворота отсутствует.</w:t>
      </w:r>
    </w:p>
    <w:p w14:paraId="1457140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Обслуживание мотора удобнно, доступ ко всем его частям несложен, но сам мотор выбран крайне неудачно. Трехцилиндровый мотор Люцифер 100 л.с. всегда был известен, каи очень плохо уравновешенный и трясучий мотор. Поэтому не удивительны те вибрации, которые возникали в самолете при работающем моторе. В результате этих вибраций на самолете у термометра растрясывается спирт, у показателя скорости отламывались лапки, крепящие его к крылу и т.п. Шарниры рулей от вибраций быстро разбалтывались и требовали замены болтов. Умотор</w:t>
      </w:r>
      <w:r w:rsidRPr="0044524F">
        <w:rPr>
          <w:rFonts w:ascii="Times New Roman" w:hAnsi="Times New Roman"/>
          <w:color w:val="000000" w:themeColor="text1"/>
          <w:sz w:val="16"/>
          <w:szCs w:val="16"/>
        </w:rPr>
        <w:softHyphen/>
        <w:t>ной рамы в результате вибраций появлялись трещины на ушках крепящих раму к самолету. Потребовалось снятие мотора и капитальный ремонт рамы.</w:t>
      </w:r>
    </w:p>
    <w:p w14:paraId="6BA8A85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Отмечая большую чувствительность самолета к шарнирным моментам рулей, желательно в дальнейшем предусмотреть в конструкции какие либо приспособления для уменьшения усилий на руле. Те импровизированные ...</w:t>
      </w:r>
    </w:p>
    <w:p w14:paraId="404EC9E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закатке и выкатке, а также при обтирании самолета тряпками изменячли свой угол и каждый полет был специфичен в отношении усилий на рукоятку и поведения с-та в воздухе с брошенныфми рулями.</w:t>
      </w:r>
    </w:p>
    <w:p w14:paraId="29A3801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устройства флетнеровских рулей для уменьшения усилий на рули желательно сделать их регулируемыми из кабины пилота во время полета на подобные изменения угла установки стабилизатора у хвостовых с-тов.</w:t>
      </w:r>
    </w:p>
    <w:p w14:paraId="0076243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На послепосадочном пробеге самолет сильно заворачивает влево, необходлимо устранить эту наклонность., т.к. разворот на большой скорости влечет за собой капот Параболы и очень нехорошие последствия для экапажа (2307,65).</w:t>
      </w:r>
    </w:p>
    <w:p w14:paraId="4F58F3E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290CFA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февраля 1933 постановлением Президиума ЦС ОХА в план изданий включена брошюра СПК "Применение реактивного принципа в авиации". Тираж 4 тыс. экз. Издана в дополненном виде под названием "Ракетный полет в стратосфере" (М.: Военгиз, 1934) (ЦГАОР, ф. 8355, № 75(1), л. 33) (10676).</w:t>
      </w:r>
    </w:p>
    <w:p w14:paraId="287B724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2DC704E"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26 февраля по 16 апреля 1933 г. начальник КБ Нобиле находился в Кремлевской больнице [4, л.38-60; 113; 279-280] и не мог работать до конца апреля [4, л.113]. Нобиле вернулся к работе только 7 мая [4, л.277]. В это же время произошло обострение отношений Нобиле с собственным заместителем Феличе Трояни, который в числе итальянских специалистов прибыл в СССР вместе с ним. Вследствие продолжительного отсутствия Нобиле и конфликта в Конструкторском бюро верфь не получала со стороны КБ необходимые указания по строительству В-5, и тем самым делу был нанесен огромный вред [4, л.149]. Работы по сборке В-5 выполнялись молодыми советскими инженерами, которые столкнулись с серьезными препятствиями. Работать приходилось даже ночью из-за нехватки времени и квалифицированных кадров [4, л.63-66; 149] в промерзшем эллинге при температуре -25˚[8, л.12]. Технический руководитель сборки В-5 инженер Б.А. Гарф регулярно направлял руководству Дирижаблестроя рапорты с приложением «дневника работ по сборке», с указанием трудностей, возникших неполадок и переделок [4, л.63-66; 77-78; 80-81; 96-98]. Работа была осложнена «неувязкой отдельных частей корабля по вине КБ» [4, л.63-66]. Огромное количество ошибок в чертежах и в самой конструкции вызывало необходимость переделок. Ошибки содержались в 410 чертежах из 520 [4, л.148-149]. Например, киль у В-5 оказался длиннее оболочки и его пришлось переделывать [4, л.174]. Крайне низкое качество чертежей заставило руководство Дирижаблестроя усомниться в компетентности некоторых итальянских специалистов КБ из команды Нобиле [4, л.140-141] (15797).</w:t>
      </w:r>
    </w:p>
    <w:p w14:paraId="7DCD17A1" w14:textId="77777777" w:rsidR="00A76142" w:rsidRPr="0044524F" w:rsidRDefault="00A76142" w:rsidP="009654CF">
      <w:pPr>
        <w:spacing w:after="0" w:line="240" w:lineRule="auto"/>
        <w:jc w:val="both"/>
        <w:rPr>
          <w:rFonts w:ascii="Times New Roman" w:hAnsi="Times New Roman"/>
          <w:color w:val="000000" w:themeColor="text1"/>
          <w:sz w:val="16"/>
          <w:szCs w:val="16"/>
        </w:rPr>
      </w:pPr>
    </w:p>
    <w:p w14:paraId="40107DA4" w14:textId="77777777" w:rsidR="00573F2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3B0C3AF" w14:textId="77777777" w:rsidR="00573F27" w:rsidRPr="0044524F" w:rsidRDefault="00573F2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F4FF8E0" w14:textId="6425CCB2" w:rsidR="00573F27" w:rsidRPr="0044524F" w:rsidRDefault="00573F2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26 на 27</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февраля</w:t>
      </w:r>
      <w:r w:rsidR="0088747B">
        <w:rPr>
          <w:rStyle w:val="highlight"/>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года в ночь по официальной версии, Маринус ван дер Люббе пытался поджечь несколько общественных зданий в Берлине. После поджогарейхстага ван дер Люббе был схвачен на месте преступления. Он признался арестовавшим его полицейским в поджоге; сам он был в одной рубашке — пиджак и пальто сгорели в зале заседаний. На Лейпцигском процессе (в сентябре — декабре</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года) он смотрел отстранённо, на задаваемые вопросы не отвечал, временами выкрикивая «Нет, нет..».</w:t>
      </w:r>
    </w:p>
    <w:p w14:paraId="7A0B7D37" w14:textId="77777777" w:rsidR="00573F27" w:rsidRPr="0044524F" w:rsidRDefault="00573F27"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Кроме него обвиняемыми были один из руководителей Германской компартии — председатель фракции коммунистов в Рейхстаге Эрнст Торглер и три болгарских коммуниста, в том числе будущий генеральный секретарь Коминтерна Георгий Димитров. Своих «подельников» ван дер Люббе не выдал, взяв всю вину на себя. Свои действия он мотивировал протестом против роста влияния нацистов. Маринус ван дер Люббе был приговорён к смертной казни и обезглавлен на гильотине Лейпцигской тюрьмы 10 января 1934 года (17280).</w:t>
      </w:r>
    </w:p>
    <w:p w14:paraId="25CFB100" w14:textId="77777777" w:rsidR="00573F27" w:rsidRPr="0044524F" w:rsidRDefault="00573F2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BC616F5"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96B7331"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A2F15D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февраля 1933 года начальник материально-технического снабжения и вооружений ВВС Жаров писал письмо N УМТС/00833 Бакулову.</w:t>
      </w:r>
    </w:p>
    <w:p w14:paraId="5B668AD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сем препровождаю ведомость выполнения программы заказов на самолеты и моторы за 1932 год и ведомость заказов самолетов и моторов на 1933 год согласно личных переговоров.</w:t>
      </w:r>
    </w:p>
    <w:p w14:paraId="07E82B0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Ведомость выполнения программы заказов на самолеты и моторы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4E10C1" w:rsidRPr="0044524F" w14:paraId="03422C60" w14:textId="77777777">
        <w:tc>
          <w:tcPr>
            <w:tcW w:w="1878" w:type="dxa"/>
          </w:tcPr>
          <w:p w14:paraId="70C665E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самолетов и моторов</w:t>
            </w:r>
          </w:p>
        </w:tc>
        <w:tc>
          <w:tcPr>
            <w:tcW w:w="1878" w:type="dxa"/>
          </w:tcPr>
          <w:p w14:paraId="063F628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Годовое кол-во</w:t>
            </w:r>
          </w:p>
        </w:tc>
        <w:tc>
          <w:tcPr>
            <w:tcW w:w="1878" w:type="dxa"/>
          </w:tcPr>
          <w:p w14:paraId="48B2826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сдано за год</w:t>
            </w:r>
          </w:p>
        </w:tc>
      </w:tr>
      <w:tr w:rsidR="004E10C1" w:rsidRPr="0044524F" w14:paraId="515D45B3" w14:textId="77777777">
        <w:tc>
          <w:tcPr>
            <w:tcW w:w="1878" w:type="dxa"/>
          </w:tcPr>
          <w:p w14:paraId="1CAD08C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М-22</w:t>
            </w:r>
          </w:p>
        </w:tc>
        <w:tc>
          <w:tcPr>
            <w:tcW w:w="1878" w:type="dxa"/>
          </w:tcPr>
          <w:p w14:paraId="3535E8E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345</w:t>
            </w:r>
          </w:p>
        </w:tc>
        <w:tc>
          <w:tcPr>
            <w:tcW w:w="1878" w:type="dxa"/>
          </w:tcPr>
          <w:p w14:paraId="70358C8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 (26%)</w:t>
            </w:r>
          </w:p>
        </w:tc>
      </w:tr>
      <w:tr w:rsidR="004E10C1" w:rsidRPr="0044524F" w14:paraId="01E4A21E" w14:textId="77777777">
        <w:tc>
          <w:tcPr>
            <w:tcW w:w="1878" w:type="dxa"/>
          </w:tcPr>
          <w:p w14:paraId="0247CD7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 М-17</w:t>
            </w:r>
          </w:p>
        </w:tc>
        <w:tc>
          <w:tcPr>
            <w:tcW w:w="1878" w:type="dxa"/>
          </w:tcPr>
          <w:p w14:paraId="17A1A46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1878" w:type="dxa"/>
          </w:tcPr>
          <w:p w14:paraId="2F2D8F7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 (28%)</w:t>
            </w:r>
          </w:p>
        </w:tc>
      </w:tr>
      <w:tr w:rsidR="004E10C1" w:rsidRPr="0044524F" w14:paraId="1D7B8134" w14:textId="77777777">
        <w:tc>
          <w:tcPr>
            <w:tcW w:w="1878" w:type="dxa"/>
          </w:tcPr>
          <w:p w14:paraId="3B2C17F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М-17</w:t>
            </w:r>
          </w:p>
        </w:tc>
        <w:tc>
          <w:tcPr>
            <w:tcW w:w="1878" w:type="dxa"/>
          </w:tcPr>
          <w:p w14:paraId="25A11C8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1075</w:t>
            </w:r>
          </w:p>
        </w:tc>
        <w:tc>
          <w:tcPr>
            <w:tcW w:w="1878" w:type="dxa"/>
          </w:tcPr>
          <w:p w14:paraId="30CF584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726 (67,5%)</w:t>
            </w:r>
          </w:p>
        </w:tc>
      </w:tr>
      <w:tr w:rsidR="004E10C1" w:rsidRPr="0044524F" w14:paraId="217EC0A4" w14:textId="77777777">
        <w:tc>
          <w:tcPr>
            <w:tcW w:w="1878" w:type="dxa"/>
          </w:tcPr>
          <w:p w14:paraId="26186BB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 М-11</w:t>
            </w:r>
          </w:p>
        </w:tc>
        <w:tc>
          <w:tcPr>
            <w:tcW w:w="1878" w:type="dxa"/>
          </w:tcPr>
          <w:p w14:paraId="11E89AA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575</w:t>
            </w:r>
          </w:p>
        </w:tc>
        <w:tc>
          <w:tcPr>
            <w:tcW w:w="1878" w:type="dxa"/>
          </w:tcPr>
          <w:p w14:paraId="2380DBD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596 (103%)</w:t>
            </w:r>
          </w:p>
        </w:tc>
      </w:tr>
      <w:tr w:rsidR="004E10C1" w:rsidRPr="0044524F" w14:paraId="267AEF5B" w14:textId="77777777">
        <w:tc>
          <w:tcPr>
            <w:tcW w:w="1878" w:type="dxa"/>
          </w:tcPr>
          <w:p w14:paraId="16B11EE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 М-17</w:t>
            </w:r>
          </w:p>
        </w:tc>
        <w:tc>
          <w:tcPr>
            <w:tcW w:w="1878" w:type="dxa"/>
          </w:tcPr>
          <w:p w14:paraId="23FA8CA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878" w:type="dxa"/>
          </w:tcPr>
          <w:p w14:paraId="5DF1F61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5A1BE11A" w14:textId="77777777">
        <w:tc>
          <w:tcPr>
            <w:tcW w:w="1878" w:type="dxa"/>
          </w:tcPr>
          <w:p w14:paraId="553D3A7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878" w:type="dxa"/>
          </w:tcPr>
          <w:p w14:paraId="28F8E13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878" w:type="dxa"/>
          </w:tcPr>
          <w:p w14:paraId="6EE4C9B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r>
      <w:tr w:rsidR="004E10C1" w:rsidRPr="0044524F" w14:paraId="37BAE56A" w14:textId="77777777">
        <w:tc>
          <w:tcPr>
            <w:tcW w:w="1878" w:type="dxa"/>
          </w:tcPr>
          <w:p w14:paraId="7A97781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1878" w:type="dxa"/>
          </w:tcPr>
          <w:p w14:paraId="1FE6D57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878" w:type="dxa"/>
          </w:tcPr>
          <w:p w14:paraId="7596DD7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(62%)</w:t>
            </w:r>
          </w:p>
        </w:tc>
      </w:tr>
      <w:tr w:rsidR="004E10C1" w:rsidRPr="0044524F" w14:paraId="292F38EC" w14:textId="77777777">
        <w:tc>
          <w:tcPr>
            <w:tcW w:w="1878" w:type="dxa"/>
          </w:tcPr>
          <w:p w14:paraId="17FFDC9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 АССО</w:t>
            </w:r>
          </w:p>
        </w:tc>
        <w:tc>
          <w:tcPr>
            <w:tcW w:w="1878" w:type="dxa"/>
          </w:tcPr>
          <w:p w14:paraId="4DBD5DF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878" w:type="dxa"/>
          </w:tcPr>
          <w:p w14:paraId="74CAF53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(54%)</w:t>
            </w:r>
          </w:p>
        </w:tc>
      </w:tr>
      <w:tr w:rsidR="004E10C1" w:rsidRPr="0044524F" w14:paraId="0BF5CDEF" w14:textId="77777777">
        <w:tc>
          <w:tcPr>
            <w:tcW w:w="1878" w:type="dxa"/>
          </w:tcPr>
          <w:p w14:paraId="13A770B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 М-11</w:t>
            </w:r>
          </w:p>
        </w:tc>
        <w:tc>
          <w:tcPr>
            <w:tcW w:w="1878" w:type="dxa"/>
          </w:tcPr>
          <w:p w14:paraId="199B815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878" w:type="dxa"/>
          </w:tcPr>
          <w:p w14:paraId="7DBE635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(100%)</w:t>
            </w:r>
          </w:p>
        </w:tc>
      </w:tr>
      <w:tr w:rsidR="004E10C1" w:rsidRPr="0044524F" w14:paraId="3348C4E4" w14:textId="77777777">
        <w:tc>
          <w:tcPr>
            <w:tcW w:w="1878" w:type="dxa"/>
          </w:tcPr>
          <w:p w14:paraId="6FEA0EA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ЗЕТ М-22</w:t>
            </w:r>
          </w:p>
        </w:tc>
        <w:tc>
          <w:tcPr>
            <w:tcW w:w="1878" w:type="dxa"/>
          </w:tcPr>
          <w:p w14:paraId="014226A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878" w:type="dxa"/>
          </w:tcPr>
          <w:p w14:paraId="61D13E1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(100%)</w:t>
            </w:r>
          </w:p>
        </w:tc>
      </w:tr>
      <w:tr w:rsidR="004E10C1" w:rsidRPr="0044524F" w14:paraId="4869E2B8" w14:textId="77777777">
        <w:tc>
          <w:tcPr>
            <w:tcW w:w="1878" w:type="dxa"/>
          </w:tcPr>
          <w:p w14:paraId="09B6226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878" w:type="dxa"/>
          </w:tcPr>
          <w:p w14:paraId="2B53103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2655</w:t>
            </w:r>
          </w:p>
        </w:tc>
        <w:tc>
          <w:tcPr>
            <w:tcW w:w="1878" w:type="dxa"/>
          </w:tcPr>
          <w:p w14:paraId="2CA1709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1705 (64%)</w:t>
            </w:r>
          </w:p>
        </w:tc>
      </w:tr>
      <w:tr w:rsidR="004E10C1" w:rsidRPr="0044524F" w14:paraId="04AFFA47" w14:textId="77777777">
        <w:tc>
          <w:tcPr>
            <w:tcW w:w="1878" w:type="dxa"/>
          </w:tcPr>
          <w:p w14:paraId="212B82B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1878" w:type="dxa"/>
          </w:tcPr>
          <w:p w14:paraId="1D42601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66D931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5564DB5" w14:textId="77777777">
        <w:tc>
          <w:tcPr>
            <w:tcW w:w="1878" w:type="dxa"/>
          </w:tcPr>
          <w:p w14:paraId="6E21160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878" w:type="dxa"/>
          </w:tcPr>
          <w:p w14:paraId="06564EF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2080</w:t>
            </w:r>
          </w:p>
        </w:tc>
        <w:tc>
          <w:tcPr>
            <w:tcW w:w="1878" w:type="dxa"/>
          </w:tcPr>
          <w:p w14:paraId="3820973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1641 (78,8%)</w:t>
            </w:r>
          </w:p>
        </w:tc>
      </w:tr>
      <w:tr w:rsidR="004E10C1" w:rsidRPr="0044524F" w14:paraId="3B94447A" w14:textId="77777777">
        <w:tc>
          <w:tcPr>
            <w:tcW w:w="1878" w:type="dxa"/>
          </w:tcPr>
          <w:p w14:paraId="6AEFF71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878" w:type="dxa"/>
          </w:tcPr>
          <w:p w14:paraId="12E6FB2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955</w:t>
            </w:r>
          </w:p>
        </w:tc>
        <w:tc>
          <w:tcPr>
            <w:tcW w:w="1878" w:type="dxa"/>
          </w:tcPr>
          <w:p w14:paraId="423D0FC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883 (92%)</w:t>
            </w:r>
          </w:p>
        </w:tc>
      </w:tr>
      <w:tr w:rsidR="004E10C1" w:rsidRPr="0044524F" w14:paraId="77F50912" w14:textId="77777777">
        <w:tc>
          <w:tcPr>
            <w:tcW w:w="1878" w:type="dxa"/>
          </w:tcPr>
          <w:p w14:paraId="4213D2B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878" w:type="dxa"/>
          </w:tcPr>
          <w:p w14:paraId="0D877A8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398</w:t>
            </w:r>
          </w:p>
        </w:tc>
        <w:tc>
          <w:tcPr>
            <w:tcW w:w="1878" w:type="dxa"/>
          </w:tcPr>
          <w:p w14:paraId="2173F11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357 (89%)</w:t>
            </w:r>
          </w:p>
        </w:tc>
      </w:tr>
      <w:tr w:rsidR="004E10C1" w:rsidRPr="0044524F" w14:paraId="7B9CBD32" w14:textId="77777777">
        <w:tc>
          <w:tcPr>
            <w:tcW w:w="1878" w:type="dxa"/>
          </w:tcPr>
          <w:p w14:paraId="0E69F23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878" w:type="dxa"/>
          </w:tcPr>
          <w:p w14:paraId="117D4F5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878" w:type="dxa"/>
          </w:tcPr>
          <w:p w14:paraId="0F599B0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 (16%)</w:t>
            </w:r>
          </w:p>
        </w:tc>
      </w:tr>
      <w:tr w:rsidR="004E10C1" w:rsidRPr="0044524F" w14:paraId="2E2EB99F" w14:textId="77777777">
        <w:tc>
          <w:tcPr>
            <w:tcW w:w="1878" w:type="dxa"/>
          </w:tcPr>
          <w:p w14:paraId="471311B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878" w:type="dxa"/>
          </w:tcPr>
          <w:p w14:paraId="419B585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3833</w:t>
            </w:r>
          </w:p>
        </w:tc>
        <w:tc>
          <w:tcPr>
            <w:tcW w:w="1878" w:type="dxa"/>
          </w:tcPr>
          <w:p w14:paraId="7F99110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2945 (88%)</w:t>
            </w:r>
          </w:p>
        </w:tc>
      </w:tr>
    </w:tbl>
    <w:p w14:paraId="5193C34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столь значительного недовыполнения программы 1932 года заводами сводятся к следующему:</w:t>
      </w:r>
    </w:p>
    <w:p w14:paraId="2CB775A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И-5</w:t>
      </w:r>
    </w:p>
    <w:p w14:paraId="152A437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Недовыполнение программы в целом относится за счет завода N 21, который машину в 1932 году не освоил и к серийному выпуску не приступил.</w:t>
      </w:r>
    </w:p>
    <w:p w14:paraId="116C03D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Р-5.</w:t>
      </w:r>
    </w:p>
    <w:p w14:paraId="77DC9C2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Недовыполнение программы произошло из-за отсутствия моторов в III и IV кварталах.</w:t>
      </w:r>
    </w:p>
    <w:p w14:paraId="656096A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Р-6.</w:t>
      </w:r>
    </w:p>
    <w:p w14:paraId="458188B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N 31, в связи с поздней передачей с завода N 22 на завод N 31 серийной постройки этой машины (в первом квартале 1932 года), отсутствия подготовки завода N 31 к серийному производству металлических самолетов и благодаря недочетам организационного порядка на заводе N 31 в 1932 году ни одного самолета Р-6 не сдал; сдача указанных выше самолетов Р-6, была произведена заводом N 22.</w:t>
      </w:r>
    </w:p>
    <w:p w14:paraId="1566F02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И-7.</w:t>
      </w:r>
    </w:p>
    <w:p w14:paraId="2918FFC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Недовыполнение программы произошло из-за ряда неполадок с освоением производства на заводе N 1 из-за отсутствия достаточного количества труб для оперения, центроплана и фюзеляжа и недостачи моторов в четвертом квартале.</w:t>
      </w:r>
    </w:p>
    <w:p w14:paraId="3F198B2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ТБ-3.</w:t>
      </w:r>
    </w:p>
    <w:p w14:paraId="51FC156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Недовыполнение произошло по причине отсутствия моторов М-17 в четвертом квартале; частично из-за того, что завод N 22 в третьем и четвертом кварталах отставал по сборке самолетов.</w:t>
      </w:r>
    </w:p>
    <w:p w14:paraId="4ECF1AF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МБР4 (С-62 бис).</w:t>
      </w:r>
    </w:p>
    <w:p w14:paraId="7A4B49A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Причинами недовыполнения программы по этим самолетам являются позднее освоение заводом N 31 серийной постройки машины, неполадки организационного порядка на самом заводе N 31 и введение ряда переделок против итальянского образца.</w:t>
      </w:r>
    </w:p>
    <w:p w14:paraId="3556760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мотору М-17.</w:t>
      </w:r>
    </w:p>
    <w:p w14:paraId="50FA878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Недовыполнение программы 1932 года заводом N 26 вызвано большим браком, как деталей, так и моторов в целом, задержкой с подачей заводу поковок, валов, цилиндров и др.</w:t>
      </w:r>
    </w:p>
    <w:p w14:paraId="362E9E4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мотору М-34.</w:t>
      </w:r>
    </w:p>
    <w:p w14:paraId="357B389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N 24 в 1932 году не справился с программой по ряду причин, из коих основные: медленное освоение серийного производства, ряд конструктивных и производственных неполадок, как-то: обрывы болтов-шатунов, поломки валов, трещины и выкрашивание баббита вкладышей, переделки в чертежах и ряд других причин.</w:t>
      </w:r>
    </w:p>
    <w:p w14:paraId="53373CD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Ведомость заказов самолетов и моторов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4524F" w14:paraId="0CF85866" w14:textId="77777777">
        <w:tc>
          <w:tcPr>
            <w:tcW w:w="2818" w:type="dxa"/>
          </w:tcPr>
          <w:p w14:paraId="0926F11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самолетов и моторов</w:t>
            </w:r>
          </w:p>
        </w:tc>
        <w:tc>
          <w:tcPr>
            <w:tcW w:w="2818" w:type="dxa"/>
          </w:tcPr>
          <w:p w14:paraId="35FB83B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Годовое кол-во</w:t>
            </w:r>
          </w:p>
        </w:tc>
      </w:tr>
      <w:tr w:rsidR="004E10C1" w:rsidRPr="0044524F" w14:paraId="6BB3D67E" w14:textId="77777777">
        <w:tc>
          <w:tcPr>
            <w:tcW w:w="2818" w:type="dxa"/>
          </w:tcPr>
          <w:p w14:paraId="2E6409E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c>
        <w:tc>
          <w:tcPr>
            <w:tcW w:w="2818" w:type="dxa"/>
          </w:tcPr>
          <w:p w14:paraId="4EDC123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DC49332" w14:textId="77777777">
        <w:tc>
          <w:tcPr>
            <w:tcW w:w="2818" w:type="dxa"/>
          </w:tcPr>
          <w:p w14:paraId="6D388C0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w:t>
            </w:r>
          </w:p>
        </w:tc>
        <w:tc>
          <w:tcPr>
            <w:tcW w:w="2818" w:type="dxa"/>
          </w:tcPr>
          <w:p w14:paraId="2D616DF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r>
      <w:tr w:rsidR="004E10C1" w:rsidRPr="0044524F" w14:paraId="15DB49E9" w14:textId="77777777">
        <w:tc>
          <w:tcPr>
            <w:tcW w:w="2818" w:type="dxa"/>
          </w:tcPr>
          <w:p w14:paraId="494F9F4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2818" w:type="dxa"/>
          </w:tcPr>
          <w:p w14:paraId="0E9F71B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r>
      <w:tr w:rsidR="004E10C1" w:rsidRPr="0044524F" w14:paraId="3F29F782" w14:textId="77777777">
        <w:tc>
          <w:tcPr>
            <w:tcW w:w="2818" w:type="dxa"/>
          </w:tcPr>
          <w:p w14:paraId="18AF38D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Р-5а</w:t>
            </w:r>
          </w:p>
        </w:tc>
        <w:tc>
          <w:tcPr>
            <w:tcW w:w="2818" w:type="dxa"/>
          </w:tcPr>
          <w:p w14:paraId="1524C86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17340793" w14:textId="77777777">
        <w:tc>
          <w:tcPr>
            <w:tcW w:w="2818" w:type="dxa"/>
          </w:tcPr>
          <w:p w14:paraId="4808FE0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2818" w:type="dxa"/>
          </w:tcPr>
          <w:p w14:paraId="1C056D0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49D5544A" w14:textId="77777777">
        <w:tc>
          <w:tcPr>
            <w:tcW w:w="2818" w:type="dxa"/>
          </w:tcPr>
          <w:p w14:paraId="4213531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w:t>
            </w:r>
          </w:p>
        </w:tc>
        <w:tc>
          <w:tcPr>
            <w:tcW w:w="2818" w:type="dxa"/>
          </w:tcPr>
          <w:p w14:paraId="7A6683A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05074BBC" w14:textId="77777777">
        <w:tc>
          <w:tcPr>
            <w:tcW w:w="2818" w:type="dxa"/>
          </w:tcPr>
          <w:p w14:paraId="180F84C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w:t>
            </w:r>
          </w:p>
        </w:tc>
        <w:tc>
          <w:tcPr>
            <w:tcW w:w="2818" w:type="dxa"/>
          </w:tcPr>
          <w:p w14:paraId="2664D33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r>
      <w:tr w:rsidR="004E10C1" w:rsidRPr="0044524F" w14:paraId="519CCE40" w14:textId="77777777">
        <w:tc>
          <w:tcPr>
            <w:tcW w:w="2818" w:type="dxa"/>
          </w:tcPr>
          <w:p w14:paraId="03F1169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2818" w:type="dxa"/>
          </w:tcPr>
          <w:p w14:paraId="52FD11B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r>
      <w:tr w:rsidR="004E10C1" w:rsidRPr="0044524F" w14:paraId="73385D81" w14:textId="77777777">
        <w:tc>
          <w:tcPr>
            <w:tcW w:w="2818" w:type="dxa"/>
          </w:tcPr>
          <w:p w14:paraId="07A15F5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2818" w:type="dxa"/>
          </w:tcPr>
          <w:p w14:paraId="54D4652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r>
      <w:tr w:rsidR="004E10C1" w:rsidRPr="0044524F" w14:paraId="27EE56FC" w14:textId="77777777">
        <w:tc>
          <w:tcPr>
            <w:tcW w:w="2818" w:type="dxa"/>
          </w:tcPr>
          <w:p w14:paraId="546818B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w:t>
            </w:r>
          </w:p>
        </w:tc>
        <w:tc>
          <w:tcPr>
            <w:tcW w:w="2818" w:type="dxa"/>
          </w:tcPr>
          <w:p w14:paraId="388A2D0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r>
      <w:tr w:rsidR="004E10C1" w:rsidRPr="0044524F" w14:paraId="2405B863" w14:textId="77777777">
        <w:tc>
          <w:tcPr>
            <w:tcW w:w="2818" w:type="dxa"/>
          </w:tcPr>
          <w:p w14:paraId="7D8BDB8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2818" w:type="dxa"/>
          </w:tcPr>
          <w:p w14:paraId="7971F66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0C4FB35D" w14:textId="77777777">
        <w:tc>
          <w:tcPr>
            <w:tcW w:w="2818" w:type="dxa"/>
          </w:tcPr>
          <w:p w14:paraId="0A7F7D0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w:t>
            </w:r>
          </w:p>
        </w:tc>
        <w:tc>
          <w:tcPr>
            <w:tcW w:w="2818" w:type="dxa"/>
          </w:tcPr>
          <w:p w14:paraId="57EBCE2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1FA65431" w14:textId="77777777">
        <w:tc>
          <w:tcPr>
            <w:tcW w:w="2818" w:type="dxa"/>
          </w:tcPr>
          <w:p w14:paraId="68A0B56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2818" w:type="dxa"/>
          </w:tcPr>
          <w:p w14:paraId="785CEAB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3615</w:t>
            </w:r>
          </w:p>
        </w:tc>
      </w:tr>
      <w:tr w:rsidR="004E10C1" w:rsidRPr="0044524F" w14:paraId="73BE8DDF" w14:textId="77777777">
        <w:tc>
          <w:tcPr>
            <w:tcW w:w="2818" w:type="dxa"/>
          </w:tcPr>
          <w:p w14:paraId="4AF8954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2818" w:type="dxa"/>
          </w:tcPr>
          <w:p w14:paraId="3D835E1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7E7A653" w14:textId="77777777">
        <w:tc>
          <w:tcPr>
            <w:tcW w:w="2818" w:type="dxa"/>
          </w:tcPr>
          <w:p w14:paraId="7055903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2818" w:type="dxa"/>
          </w:tcPr>
          <w:p w14:paraId="1D8A262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r>
      <w:tr w:rsidR="004E10C1" w:rsidRPr="0044524F" w14:paraId="5643E82E" w14:textId="77777777">
        <w:tc>
          <w:tcPr>
            <w:tcW w:w="2818" w:type="dxa"/>
          </w:tcPr>
          <w:p w14:paraId="6CE4A26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2818" w:type="dxa"/>
          </w:tcPr>
          <w:p w14:paraId="1A374AF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2C11D75A" w14:textId="77777777">
        <w:tc>
          <w:tcPr>
            <w:tcW w:w="2818" w:type="dxa"/>
          </w:tcPr>
          <w:p w14:paraId="062F0F9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2818" w:type="dxa"/>
          </w:tcPr>
          <w:p w14:paraId="5676F13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w:t>
            </w:r>
          </w:p>
        </w:tc>
      </w:tr>
      <w:tr w:rsidR="004E10C1" w:rsidRPr="0044524F" w14:paraId="18E03139" w14:textId="77777777">
        <w:tc>
          <w:tcPr>
            <w:tcW w:w="2818" w:type="dxa"/>
          </w:tcPr>
          <w:p w14:paraId="437F6CE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2818" w:type="dxa"/>
          </w:tcPr>
          <w:p w14:paraId="0A812E7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5D1278B6" w14:textId="77777777">
        <w:tc>
          <w:tcPr>
            <w:tcW w:w="2818" w:type="dxa"/>
          </w:tcPr>
          <w:p w14:paraId="6BCD0EB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2818" w:type="dxa"/>
          </w:tcPr>
          <w:p w14:paraId="34B9F5A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1340</w:t>
            </w:r>
          </w:p>
        </w:tc>
      </w:tr>
    </w:tbl>
    <w:p w14:paraId="28ADC4E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Причинами недовыполнения программы первого квартала (январь-февраль 1933 года) являются следующие:</w:t>
      </w:r>
    </w:p>
    <w:p w14:paraId="2D684D4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И-5.</w:t>
      </w:r>
    </w:p>
    <w:p w14:paraId="156A6C5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 выполнении программы первого квартала 1933 года продолжают сказываться причины срыва программы по 1932 году; только сейчас завод N 21 начинает медленно налаживать выпуск самолетов.</w:t>
      </w:r>
    </w:p>
    <w:p w14:paraId="2ECA6E7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МБР-4.</w:t>
      </w:r>
    </w:p>
    <w:p w14:paraId="26FC9B8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Сдача самолетов задерживается необходимостью внесения ряда изменений в самолет в целях улучшения центровки.</w:t>
      </w:r>
    </w:p>
    <w:p w14:paraId="43E865A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У-2.</w:t>
      </w:r>
    </w:p>
    <w:p w14:paraId="458FE9E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Недовыполнение заводом N 23 программы за февраль вызвано тем, что завод отстал с выполнением программы по самолету АП, соответственно передвигая сроки сдачи У-2.</w:t>
      </w:r>
    </w:p>
    <w:p w14:paraId="3D0CBB3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мотору М-17.</w:t>
      </w:r>
    </w:p>
    <w:p w14:paraId="2C76788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Причиной недовыполнения программы января и февраля является большой брак, например из 93-х изготовленных моторов, лишь 41 мотор мог быть принят. Остальные признаны некондиционными. (3068,38-41).</w:t>
      </w:r>
    </w:p>
    <w:p w14:paraId="57FACD8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BAC7363"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1D37CA6"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961C46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февраля/2 марта 1933 года вышел Приказ N 15с/019с по наркомату тяжелой промышленности и наркомату по военным и морским делам:</w:t>
      </w:r>
    </w:p>
    <w:p w14:paraId="56B92E1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ускорения производства опытных партий бронебойных и фугасных морских снарядов и бронебойных снарядов полевой артиллерии, а также бронебойных аэробомб и обеспечения постановки валового производства их для выполнения заданий, данных промышленности на 1933 г. Наркомвоенмором, организованном при ВОАО 17 декабря 1932 года. (Тухачевский). (3048,3-6).</w:t>
      </w:r>
    </w:p>
    <w:p w14:paraId="1929ED7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7886CDA8"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68C9C6A"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B598E6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февраля 1933 г. фашисты организовали провокацию с поджогом здания рейхстага, в котором были обвинены главные конкуренты нацистов - коммунисты (3871).</w:t>
      </w:r>
    </w:p>
    <w:p w14:paraId="75B92E4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5C32503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February 27 1933 The Reichstag building in Germany burns (1050).</w:t>
      </w:r>
    </w:p>
    <w:p w14:paraId="113BF46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lang w:val="en-US"/>
        </w:rPr>
      </w:pPr>
    </w:p>
    <w:p w14:paraId="441C8DA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ночь на 27 февраля 1933 сгорел Рейхстаг и фашисты попытались обвинить в поджоге коммунистов в лице Г.Димитрова (2443,26).</w:t>
      </w:r>
    </w:p>
    <w:p w14:paraId="167419C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самом деле поджег голландский рабочий Маринус ван дер Люббе (3907,179).</w:t>
      </w:r>
    </w:p>
    <w:p w14:paraId="7F0D279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36B53003" w14:textId="77777777" w:rsidR="00A76142" w:rsidRPr="0044524F" w:rsidRDefault="00A761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27 февраля</w:t>
      </w:r>
      <w:r w:rsidRPr="0044524F">
        <w:rPr>
          <w:rFonts w:ascii="Times New Roman" w:hAnsi="Times New Roman"/>
          <w:color w:val="000000" w:themeColor="text1"/>
          <w:sz w:val="16"/>
          <w:szCs w:val="16"/>
        </w:rPr>
        <w:t xml:space="preserve"> в 1933 году в Берлине пожар уничтожает здание рейхстага (парламента). Несмотря на то, что преступление совершено голландским рабочим Маринусом ван дер Люббе, нацисты объявляют пожар результатом заговора коммунистов, обвинив в этом коммунистов — лидера коммунистической фракции Эрнста Толлера, а также болгарских эмигрантов Димитрова, Попова и Танева. На этом основании нацисты отменяют все гражданские свободы и вводят цензуру прессы. Среди антифашистов будут произведены массовые аресты, в марте фашистское правительство получит чрезвычайные полномочия, еще через два месяца будут разогнаны профсоюзы, а затем распущены все партии, кроме нацистской. Метод провокаций потом не раз будет использоваться гитлеровцами для достижения своих целей (15053).</w:t>
      </w:r>
    </w:p>
    <w:p w14:paraId="5FFFC0AC" w14:textId="77777777" w:rsidR="00A76142" w:rsidRPr="0044524F" w:rsidRDefault="00A76142" w:rsidP="009654CF">
      <w:pPr>
        <w:spacing w:after="0" w:line="240" w:lineRule="auto"/>
        <w:jc w:val="both"/>
        <w:rPr>
          <w:rFonts w:ascii="Times New Roman" w:hAnsi="Times New Roman"/>
          <w:color w:val="000000" w:themeColor="text1"/>
          <w:sz w:val="16"/>
          <w:szCs w:val="16"/>
        </w:rPr>
      </w:pPr>
    </w:p>
    <w:p w14:paraId="718F81AA" w14:textId="77777777" w:rsidR="00150BD8" w:rsidRPr="0044524F" w:rsidRDefault="00150BD8" w:rsidP="009654CF">
      <w:pPr>
        <w:pStyle w:val="ae"/>
        <w:spacing w:before="0" w:after="0"/>
        <w:jc w:val="both"/>
        <w:rPr>
          <w:color w:val="000000" w:themeColor="text1"/>
          <w:sz w:val="16"/>
          <w:szCs w:val="16"/>
        </w:rPr>
      </w:pPr>
      <w:r w:rsidRPr="0044524F">
        <w:rPr>
          <w:color w:val="000000" w:themeColor="text1"/>
          <w:sz w:val="16"/>
          <w:szCs w:val="16"/>
        </w:rPr>
        <w:t xml:space="preserve">27 февраля 1933 Геринг с подручными из СА и СС организовал </w:t>
      </w:r>
      <w:hyperlink r:id="rId72" w:tooltip="Поджог Рейхстага" w:history="1">
        <w:r w:rsidRPr="0044524F">
          <w:rPr>
            <w:rStyle w:val="a5"/>
            <w:color w:val="000000" w:themeColor="text1"/>
            <w:sz w:val="16"/>
            <w:szCs w:val="16"/>
            <w:u w:val="none"/>
          </w:rPr>
          <w:t>поджог здания рейхстага</w:t>
        </w:r>
      </w:hyperlink>
      <w:r w:rsidRPr="0044524F">
        <w:rPr>
          <w:color w:val="000000" w:themeColor="text1"/>
          <w:sz w:val="16"/>
          <w:szCs w:val="16"/>
        </w:rPr>
        <w:t>. Предполагаемые участники поджога: штурмовики Виллен, Эггерт, Ралль, Штейнле, эсэсовцы Гильдиш, Войте, Гепке, Зандер, Тойфль. С собой они взяли 60 кг фосфора и пропитанный им же шнур длиной 100 метров.</w:t>
      </w:r>
    </w:p>
    <w:p w14:paraId="296E4847" w14:textId="77777777" w:rsidR="00150BD8" w:rsidRPr="0044524F" w:rsidRDefault="00150BD8" w:rsidP="009654CF">
      <w:pPr>
        <w:pStyle w:val="ae"/>
        <w:spacing w:before="0" w:after="0"/>
        <w:jc w:val="both"/>
        <w:rPr>
          <w:color w:val="000000" w:themeColor="text1"/>
          <w:sz w:val="16"/>
          <w:szCs w:val="16"/>
        </w:rPr>
      </w:pPr>
      <w:r w:rsidRPr="0044524F">
        <w:rPr>
          <w:color w:val="000000" w:themeColor="text1"/>
          <w:sz w:val="16"/>
          <w:szCs w:val="16"/>
        </w:rPr>
        <w:t xml:space="preserve">Вину за поджог попытались свалить на пятерых человек: </w:t>
      </w:r>
      <w:hyperlink r:id="rId73" w:tooltip="Ван дер Люббе, Маринус" w:history="1">
        <w:r w:rsidRPr="0044524F">
          <w:rPr>
            <w:rStyle w:val="a5"/>
            <w:color w:val="000000" w:themeColor="text1"/>
            <w:sz w:val="16"/>
            <w:szCs w:val="16"/>
            <w:u w:val="none"/>
          </w:rPr>
          <w:t>Ван дер Люббе</w:t>
        </w:r>
      </w:hyperlink>
      <w:r w:rsidRPr="0044524F">
        <w:rPr>
          <w:color w:val="000000" w:themeColor="text1"/>
          <w:sz w:val="16"/>
          <w:szCs w:val="16"/>
        </w:rPr>
        <w:t xml:space="preserve"> (имевшего 25 % зрения), лидера парламентской фракции компартии Германии </w:t>
      </w:r>
      <w:hyperlink r:id="rId74" w:tooltip="Торглер, Эрнст" w:history="1">
        <w:r w:rsidRPr="0044524F">
          <w:rPr>
            <w:rStyle w:val="a5"/>
            <w:color w:val="000000" w:themeColor="text1"/>
            <w:sz w:val="16"/>
            <w:szCs w:val="16"/>
            <w:u w:val="none"/>
          </w:rPr>
          <w:t>Эрнста Торглера</w:t>
        </w:r>
      </w:hyperlink>
      <w:r w:rsidRPr="0044524F">
        <w:rPr>
          <w:color w:val="000000" w:themeColor="text1"/>
          <w:sz w:val="16"/>
          <w:szCs w:val="16"/>
        </w:rPr>
        <w:t xml:space="preserve"> и троих болгарских коммунистов — </w:t>
      </w:r>
      <w:hyperlink r:id="rId75" w:tooltip="Димитров, Георгий Михайлович" w:history="1">
        <w:r w:rsidRPr="0044524F">
          <w:rPr>
            <w:rStyle w:val="a5"/>
            <w:color w:val="000000" w:themeColor="text1"/>
            <w:sz w:val="16"/>
            <w:szCs w:val="16"/>
            <w:u w:val="none"/>
          </w:rPr>
          <w:t>Георгия Димитрова</w:t>
        </w:r>
      </w:hyperlink>
      <w:r w:rsidRPr="0044524F">
        <w:rPr>
          <w:color w:val="000000" w:themeColor="text1"/>
          <w:sz w:val="16"/>
          <w:szCs w:val="16"/>
        </w:rPr>
        <w:t xml:space="preserve">, </w:t>
      </w:r>
      <w:hyperlink r:id="rId76" w:tooltip="Танев, Васил" w:history="1">
        <w:r w:rsidRPr="0044524F">
          <w:rPr>
            <w:rStyle w:val="a5"/>
            <w:color w:val="000000" w:themeColor="text1"/>
            <w:sz w:val="16"/>
            <w:szCs w:val="16"/>
            <w:u w:val="none"/>
          </w:rPr>
          <w:t>Васила Танева</w:t>
        </w:r>
      </w:hyperlink>
      <w:r w:rsidRPr="0044524F">
        <w:rPr>
          <w:color w:val="000000" w:themeColor="text1"/>
          <w:sz w:val="16"/>
          <w:szCs w:val="16"/>
        </w:rPr>
        <w:t xml:space="preserve"> и </w:t>
      </w:r>
      <w:hyperlink r:id="rId77" w:tooltip="Попов, Благой" w:history="1">
        <w:r w:rsidRPr="0044524F">
          <w:rPr>
            <w:rStyle w:val="a5"/>
            <w:color w:val="000000" w:themeColor="text1"/>
            <w:sz w:val="16"/>
            <w:szCs w:val="16"/>
            <w:u w:val="none"/>
          </w:rPr>
          <w:t>Благоя Попова</w:t>
        </w:r>
      </w:hyperlink>
      <w:r w:rsidRPr="0044524F">
        <w:rPr>
          <w:color w:val="000000" w:themeColor="text1"/>
          <w:sz w:val="16"/>
          <w:szCs w:val="16"/>
        </w:rPr>
        <w:t>. На нацистском Лейпцигском процессе четыре из пяти были оправданы. Был осужден к смертной казни Ван дер Люббе (в настоящее время реабилитирован). Поджог рейхстага наиболее выгоден был нацистам, они мгновенно объявили КПГ вне закона, 28 февраля было объявлено чрезвычайное положение, действовавшее до конца гитлеровского режима.</w:t>
      </w:r>
    </w:p>
    <w:p w14:paraId="06D78677" w14:textId="77777777" w:rsidR="00150BD8" w:rsidRPr="0044524F" w:rsidRDefault="00150BD8" w:rsidP="009654CF">
      <w:pPr>
        <w:pStyle w:val="ae"/>
        <w:spacing w:before="0" w:after="0"/>
        <w:jc w:val="both"/>
        <w:rPr>
          <w:color w:val="000000" w:themeColor="text1"/>
          <w:sz w:val="16"/>
          <w:szCs w:val="16"/>
        </w:rPr>
      </w:pPr>
      <w:r w:rsidRPr="0044524F">
        <w:rPr>
          <w:color w:val="000000" w:themeColor="text1"/>
          <w:sz w:val="16"/>
          <w:szCs w:val="16"/>
        </w:rPr>
        <w:t xml:space="preserve">Но даже в таких «тепличных» условиях на </w:t>
      </w:r>
      <w:hyperlink r:id="rId78" w:tooltip="Парламентские выборы в Германии (1933, март)" w:history="1">
        <w:r w:rsidRPr="0044524F">
          <w:rPr>
            <w:rStyle w:val="a5"/>
            <w:color w:val="000000" w:themeColor="text1"/>
            <w:sz w:val="16"/>
            <w:szCs w:val="16"/>
            <w:u w:val="none"/>
          </w:rPr>
          <w:t>выборах в рейхстаг</w:t>
        </w:r>
      </w:hyperlink>
      <w:hyperlink r:id="rId79" w:tooltip="5 марта" w:history="1">
        <w:r w:rsidRPr="0044524F">
          <w:rPr>
            <w:rStyle w:val="a5"/>
            <w:color w:val="000000" w:themeColor="text1"/>
            <w:sz w:val="16"/>
            <w:szCs w:val="16"/>
            <w:u w:val="none"/>
          </w:rPr>
          <w:t>5 марта</w:t>
        </w:r>
      </w:hyperlink>
      <w:hyperlink r:id="rId80" w:tooltip="1933 год" w:history="1">
        <w:r w:rsidRPr="0044524F">
          <w:rPr>
            <w:rStyle w:val="highlight1"/>
            <w:b w:val="0"/>
            <w:color w:val="000000" w:themeColor="text1"/>
            <w:sz w:val="16"/>
            <w:szCs w:val="16"/>
          </w:rPr>
          <w:t> 1933 </w:t>
        </w:r>
      </w:hyperlink>
      <w:r w:rsidRPr="0044524F">
        <w:rPr>
          <w:color w:val="000000" w:themeColor="text1"/>
          <w:sz w:val="16"/>
          <w:szCs w:val="16"/>
        </w:rPr>
        <w:t xml:space="preserve"> года, НСДАП по официальным данным набрала 17,3 миллиона голосов — примерно на 3 миллиона меньше, чем требовалось, чтобы иметь в рейхстаге 50 % голосов (17274).</w:t>
      </w:r>
    </w:p>
    <w:p w14:paraId="154E3F53" w14:textId="77777777" w:rsidR="00150BD8" w:rsidRPr="0044524F" w:rsidRDefault="00150BD8" w:rsidP="009654CF">
      <w:pPr>
        <w:spacing w:after="0" w:line="240" w:lineRule="auto"/>
        <w:jc w:val="both"/>
        <w:rPr>
          <w:rFonts w:ascii="Times New Roman" w:hAnsi="Times New Roman"/>
          <w:color w:val="000000" w:themeColor="text1"/>
          <w:sz w:val="16"/>
          <w:szCs w:val="16"/>
        </w:rPr>
      </w:pPr>
    </w:p>
    <w:p w14:paraId="75E0208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февраля 1933 г. поджогом райхстага был дан необходимый пропагандистский повод для ужесточения репрессий против них. В ночь с 27 на 28 февраля 1933 г. были проведены массовые аресты антифашистов, заявлено, что в доме К. Либкнехта найдены подземные ходы, склады оружия, документы и план организации в Германии коммунистического переворота, что вместе с поджогом райхстага свидетельствовало о наличии «международного коммунистического заговора». 3 марта 1933 г. был арестован лидер КПГ Э. Тельман (Подробнее см.: Розанов Г. Л. Германия под властью фашизма. (1933-1939 гг.) М., 1961. С. 74-87.) (11784). После отставки Шляйхера и прихода к власти Гитлера ситуация, в том числе и в Германии,- коренным образом изменилась. В течение неполных двух месяцев пребывания нацистов у власти они буквально растерзали своих крупнейших политических оппонентов — СДПГ и КПГ, имевших по результатам выборов 6 ноября 1932 г. соответственно 121 и 100 депутатских мандатов (Grosses Universalvolkslexikon. Bd.8. S. 110.) (11784).</w:t>
      </w:r>
    </w:p>
    <w:p w14:paraId="324DB36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69E8BC74"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ночь с 27 на 28 февраля 1933 г. были проведены массовые аресты антифашистов, заявлено, что в доме К. Либкнехта найдены подземные ходы, склады оружия, документы и план организации в Германии коммунистического переворота, что вместе с поджогом райхстага свидетельствовало о наличии «международного коммунистического заговора». 3 марта 1933 г. был арестован лидер КПГ Э. Тельман</w:t>
      </w:r>
      <w:hyperlink r:id="rId81" w:anchor="n_441" w:history="1">
        <w:r w:rsidRPr="0044524F">
          <w:rPr>
            <w:rStyle w:val="a5"/>
            <w:rFonts w:ascii="Times New Roman" w:hAnsi="Times New Roman"/>
            <w:color w:val="000000" w:themeColor="text1"/>
            <w:sz w:val="16"/>
            <w:szCs w:val="16"/>
          </w:rPr>
          <w:t>[441]</w:t>
        </w:r>
      </w:hyperlink>
      <w:r w:rsidRPr="0044524F">
        <w:rPr>
          <w:rFonts w:ascii="Times New Roman" w:hAnsi="Times New Roman"/>
          <w:color w:val="000000" w:themeColor="text1"/>
          <w:sz w:val="16"/>
          <w:szCs w:val="16"/>
        </w:rPr>
        <w:t>.</w:t>
      </w:r>
    </w:p>
    <w:p w14:paraId="20928AE7"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г. были проведены назначенные на первом заседании правительства Гитлера еще одни внеочередные, на этот раз последние выборы в райхстаг. НСДАП получила на них 17,2 млн. голосов (288 мандатов), СДПГ — 7,1 млн., КПГ — 4,9 млн. (соответственно 120 и 81 мандат). Однако уже 15 марта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райхстага как высшего законодательного органа страны (19269).</w:t>
      </w:r>
    </w:p>
    <w:p w14:paraId="30E794D0" w14:textId="77777777" w:rsidR="007B60FC" w:rsidRPr="0044524F" w:rsidRDefault="007B60FC" w:rsidP="009654CF">
      <w:pPr>
        <w:spacing w:after="0" w:line="240" w:lineRule="auto"/>
        <w:jc w:val="both"/>
        <w:rPr>
          <w:rFonts w:ascii="Times New Roman" w:hAnsi="Times New Roman"/>
          <w:color w:val="000000" w:themeColor="text1"/>
          <w:sz w:val="16"/>
          <w:szCs w:val="16"/>
        </w:rPr>
      </w:pPr>
    </w:p>
    <w:p w14:paraId="3F44C1AF"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27 февраля 1933 в двух разных местах Берлина собрались на ужин самые могущественные люди Германии. На Фос-штрассе, в закрытом "Герренклубе", вице-канцлер фон Папен принимал президента фон Гинденбурга. В доме Геббельса, в кругу его семьи, ужинал канцлер Гитлер. По словам Геббельса, они отдыхали, слушали пластинки и рассказывали разные истории. "Вдруг, - записал он потом в дневнике, - телефонный звонок от д-ра Ханфштенгля: "Горит рейхстаг! " Я был уверен, что он говорит ерунду, и даже не сказал ничего фюреру".</w:t>
      </w:r>
    </w:p>
    <w:p w14:paraId="4BC73369"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Но те, кто ужинал в "Герренклубе", находились совсем рядом с рейхстагом.</w:t>
      </w:r>
    </w:p>
    <w:p w14:paraId="340C1F02"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"Вдруг, - записал Папен, - мы заметили, что окна осветились красным заревом, а с улицы донеслись крики. Ко мне быстро подошел слуга и шепнул: "Горит рейхстаг! " Эти слова я передал президенту. Он встал, и мы, подойдя к окну, посмотрели на здание рейхстага: его купол был словно освещен изнутри прожекторами. Время от времени из него вырывалось пламя, клубы дыма застилали силуэт".</w:t>
      </w:r>
    </w:p>
    <w:p w14:paraId="500E5DBA"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Отправив престарелого президента домой в своем автомобиле, вице-канцлер поспешил к горящему зданию. Тем временем Геббельс, еще раз поразмыслив, согласно его записи, над "ерундой", сказанной Путци Ханфштенглем, позвонил в несколько мест и убедился, что рейхстаг действительно в огне. Несколько мгновений спустя он и фюрер уже неслись со скоростью шестьдесят миль в час по шоссе Шарлоттенбергер "к месту преступления" (17283).</w:t>
      </w:r>
    </w:p>
    <w:p w14:paraId="522E85C8" w14:textId="77777777" w:rsidR="007C00E8" w:rsidRPr="0044524F" w:rsidRDefault="007C00E8" w:rsidP="009654CF">
      <w:pPr>
        <w:autoSpaceDE w:val="0"/>
        <w:autoSpaceDN w:val="0"/>
        <w:adjustRightInd w:val="0"/>
        <w:spacing w:after="0" w:line="240" w:lineRule="auto"/>
        <w:jc w:val="both"/>
        <w:rPr>
          <w:rFonts w:ascii="Times New Roman" w:hAnsi="Times New Roman"/>
          <w:color w:val="000000" w:themeColor="text1"/>
          <w:sz w:val="16"/>
          <w:szCs w:val="16"/>
        </w:rPr>
      </w:pPr>
    </w:p>
    <w:p w14:paraId="777837E4" w14:textId="77777777" w:rsidR="00E82C91" w:rsidRPr="0044524F" w:rsidRDefault="00E82C91" w:rsidP="00E82C91">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A051ADD" w14:textId="77777777" w:rsidR="00E82C91" w:rsidRPr="0044524F" w:rsidRDefault="00E82C91" w:rsidP="00E82C91">
      <w:pPr>
        <w:autoSpaceDE w:val="0"/>
        <w:autoSpaceDN w:val="0"/>
        <w:adjustRightInd w:val="0"/>
        <w:spacing w:after="0" w:line="240" w:lineRule="auto"/>
        <w:jc w:val="both"/>
        <w:rPr>
          <w:rFonts w:ascii="Times New Roman" w:hAnsi="Times New Roman"/>
          <w:iCs/>
          <w:color w:val="000000" w:themeColor="text1"/>
          <w:sz w:val="16"/>
          <w:szCs w:val="16"/>
        </w:rPr>
      </w:pPr>
    </w:p>
    <w:p w14:paraId="33A4EFB5" w14:textId="77777777" w:rsidR="00E82C91" w:rsidRPr="00142305" w:rsidRDefault="00E82C91" w:rsidP="00E82C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28 февраля 1933 г. приказом РВС СССР № 0183 в НИИ ВВС были созданы отделы главного инженера-механика и главного инженера по вооружению ВВС РККА (РГВА. Ф. 24708. </w:t>
      </w:r>
      <w:r w:rsidRPr="00142305">
        <w:rPr>
          <w:rFonts w:ascii="Times New Roman" w:hAnsi="Times New Roman"/>
          <w:color w:val="0070C0"/>
          <w:sz w:val="16"/>
          <w:szCs w:val="16"/>
          <w:lang w:val="en-US"/>
        </w:rPr>
        <w:t>On</w:t>
      </w:r>
      <w:r w:rsidRPr="00142305">
        <w:rPr>
          <w:rFonts w:ascii="Times New Roman" w:hAnsi="Times New Roman"/>
          <w:color w:val="0070C0"/>
          <w:sz w:val="16"/>
          <w:szCs w:val="16"/>
        </w:rPr>
        <w:t>. 1. Д. 87. Л. 16) (24968).</w:t>
      </w:r>
    </w:p>
    <w:p w14:paraId="598CC0AE" w14:textId="77777777" w:rsidR="00E82C91" w:rsidRPr="00142305" w:rsidRDefault="00E82C91" w:rsidP="00E82C91">
      <w:pPr>
        <w:spacing w:after="0" w:line="240" w:lineRule="auto"/>
        <w:jc w:val="both"/>
        <w:rPr>
          <w:rFonts w:ascii="Times New Roman" w:hAnsi="Times New Roman"/>
          <w:color w:val="0070C0"/>
          <w:sz w:val="16"/>
          <w:szCs w:val="16"/>
        </w:rPr>
      </w:pPr>
    </w:p>
    <w:p w14:paraId="5DCF21FF" w14:textId="77777777" w:rsidR="00F33F0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E581364" w14:textId="77777777" w:rsidR="00F33F07" w:rsidRPr="0044524F" w:rsidRDefault="00F33F0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3ECE8C7" w14:textId="77777777" w:rsidR="00F33F07" w:rsidRPr="0044524F" w:rsidRDefault="00F33F07" w:rsidP="009654CF">
      <w:pPr>
        <w:pStyle w:val="rtejustify"/>
        <w:spacing w:before="0" w:after="0"/>
        <w:rPr>
          <w:color w:val="000000" w:themeColor="text1"/>
          <w:sz w:val="16"/>
          <w:szCs w:val="16"/>
        </w:rPr>
      </w:pPr>
      <w:r w:rsidRPr="0044524F">
        <w:rPr>
          <w:rStyle w:val="af0"/>
          <w:bCs/>
          <w:i w:val="0"/>
          <w:color w:val="000000" w:themeColor="text1"/>
          <w:sz w:val="16"/>
          <w:szCs w:val="16"/>
        </w:rPr>
        <w:t>28 февраля</w:t>
      </w:r>
      <w:r w:rsidRPr="0044524F">
        <w:rPr>
          <w:color w:val="000000" w:themeColor="text1"/>
          <w:sz w:val="16"/>
          <w:szCs w:val="16"/>
        </w:rPr>
        <w:t xml:space="preserve"> 1933. Постановление СНК СССР № 322/55с «О порядке размещения военных заказов в промкооперации». (ГА РФ. Ф. Р</w:t>
      </w:r>
      <w:r w:rsidRPr="0044524F">
        <w:rPr>
          <w:color w:val="000000" w:themeColor="text1"/>
          <w:sz w:val="16"/>
          <w:szCs w:val="16"/>
        </w:rPr>
        <w:noBreakHyphen/>
        <w:t>8418. Оп. 8. Д. 13. Л. 1) (15460).</w:t>
      </w:r>
    </w:p>
    <w:p w14:paraId="72AAE119" w14:textId="77777777" w:rsidR="00F33F07" w:rsidRPr="0044524F" w:rsidRDefault="00F33F07" w:rsidP="009654CF">
      <w:pPr>
        <w:pStyle w:val="rtejustify"/>
        <w:spacing w:before="0" w:after="0"/>
        <w:rPr>
          <w:color w:val="000000" w:themeColor="text1"/>
          <w:sz w:val="16"/>
          <w:szCs w:val="16"/>
        </w:rPr>
      </w:pPr>
    </w:p>
    <w:p w14:paraId="164E5692" w14:textId="0D99D795" w:rsidR="0091437E" w:rsidRPr="0044524F" w:rsidRDefault="0091437E"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1A7CF114" w14:textId="77777777" w:rsidR="0091437E" w:rsidRPr="0044524F" w:rsidRDefault="0091437E"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61F0169D" w14:textId="77777777" w:rsidR="0091437E" w:rsidRPr="0044524F" w:rsidRDefault="009143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февраля 1933 г. Нарком обороны СССР К.Е.Ворошилов по случаю 15-летия Красной Армии заявил: «Мы имеем теперь не только одни разведчики, из которых по преимуществу состояла наша авиация к 1928 году. мы имеем теперь все типы современных машин /бомбардировщики, штурмовики, истребители и тяжелую бомбардировочную авиацию/ и в таком соотношении, которое должным образом увеличивает мощь нашего воз- иного флота».</w:t>
      </w:r>
    </w:p>
    <w:p w14:paraId="52A07AAC" w14:textId="77777777" w:rsidR="0091437E" w:rsidRPr="0044524F" w:rsidRDefault="009143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/"Известия ЦИК СССР” за 5 марта 1933/ (23370).</w:t>
      </w:r>
    </w:p>
    <w:p w14:paraId="718EF910" w14:textId="77777777" w:rsidR="0091437E" w:rsidRPr="0044524F" w:rsidRDefault="0091437E" w:rsidP="009654CF">
      <w:pPr>
        <w:spacing w:after="0" w:line="240" w:lineRule="auto"/>
        <w:jc w:val="both"/>
        <w:rPr>
          <w:rFonts w:ascii="Times New Roman" w:hAnsi="Times New Roman"/>
          <w:color w:val="000000" w:themeColor="text1"/>
          <w:sz w:val="16"/>
          <w:szCs w:val="16"/>
        </w:rPr>
      </w:pPr>
    </w:p>
    <w:p w14:paraId="208A6EE0" w14:textId="565BCAB9"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9CC455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C8CFCC3" w14:textId="77777777" w:rsidR="002E1BE7" w:rsidRPr="0044524F" w:rsidRDefault="002E1BE7" w:rsidP="009654CF">
      <w:pPr>
        <w:pStyle w:val="rtejustify"/>
        <w:spacing w:before="0" w:after="0"/>
        <w:rPr>
          <w:color w:val="000000" w:themeColor="text1"/>
          <w:sz w:val="16"/>
          <w:szCs w:val="16"/>
        </w:rPr>
      </w:pPr>
      <w:r w:rsidRPr="0044524F">
        <w:rPr>
          <w:color w:val="000000" w:themeColor="text1"/>
          <w:sz w:val="16"/>
          <w:szCs w:val="16"/>
        </w:rPr>
        <w:t>28 февраля 1933 г. в условиях голода и карточной системы ПБ приняло решение развернуть в Москве, Ленинграде и Харькове свободную продажу хлеба в специальных хлебных магазинах по повышенным ценам (Там же. Д. 916. Л. 31, 92). Постепенно это решение распространялось на другие промышленные центры. 16 октября 1933 г., после запросов Сталина, Микоян направил Кагановичу и Молотову (а Каганович, в свою очередь, разослал членам ПБ) записку. Он сообщил, что на 1 октября 1933 г. свободная торговли хлебом велась в 145 городах и после 1 октября откроется еще в 15 городах. За все время с открытия (в марте 1933 г.) до 1 октября было продано 335 тыс. тонн пшеничного и ржаного хлеба на 950 млн руб. После уборки урожая повсеместно произошло снижение объемов продаж, особенно в южных регионах с наиболее высоким урожаем. В сентябре свободная продажа хлеба была значительно ниже (в ряде мест вдвое) установленных норм. В связи с этим Микоян предлагал к концу октября снизить розничные цены на хлеб свободной продажи по ряду южных городов, где рыночные цены укрепились на уровне государственных. В остальных городах, если потребуется, Микоян предлагал произвести снижение цен не ранее ноября (АП РФ. Ф. 3. Оп. 43. Д. 46. Л. 2–5). 9 ноября 1933 г. ПБ приняло решение снизить цены на хлеб, реализуемый в порядке свободной продажи из государственных магазинов (РГАСПИ. Ф. 17. Оп. 3. Д. 934. Л. 12–13).</w:t>
      </w:r>
    </w:p>
    <w:p w14:paraId="37C99CE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РГАСПИ Ф. 558. Оп. 11. Д. 741. Л. 80–89. Автограф. </w:t>
      </w:r>
    </w:p>
    <w:p w14:paraId="4C944DF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Сталин и Каганович. Переписка. 1931–1936 гг. Москва: (РОССПЭН), 2001 Стр. 370-373 (12336).</w:t>
      </w:r>
    </w:p>
    <w:p w14:paraId="7080AC1D" w14:textId="77777777" w:rsidR="002E1BE7" w:rsidRPr="0044524F" w:rsidRDefault="002E1BE7" w:rsidP="009654CF">
      <w:pPr>
        <w:spacing w:after="0" w:line="240" w:lineRule="auto"/>
        <w:jc w:val="both"/>
        <w:rPr>
          <w:rFonts w:ascii="Times New Roman" w:hAnsi="Times New Roman"/>
          <w:color w:val="000000" w:themeColor="text1"/>
          <w:sz w:val="16"/>
          <w:szCs w:val="16"/>
          <w:u w:color="002060"/>
        </w:rPr>
      </w:pPr>
    </w:p>
    <w:p w14:paraId="1357C023"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февраля 1933 г. была принята Резолюция московского городского и областного комитета партии «О ходе работ по строительству метрополитена», принятая совместно с президиумом Моссовета, которая обозначила переход ко второй, более эффективной фазе строительства. Руководству Метростроя поручалось на основе принципа единоначалия{465}ввести строжайшую дисциплину в управленческом аппарате и на строительных объектах, а также представить к 1 марта 1933 г. технический проект. Были одобрены предложенные Метростроем календарные планы работ по отдельным участкам. Что же касается способа строительства, то в резолюции молчаливо пересматривалось решение Политбюроот 23 мая 1932 г. Партия поддалась давлению аргументов Ротерта и для участков Сокольники — Красные ворота и Дворец Советов — Крымская пл. признала целесообразным открытый способ строительства. На трассе же Красные ворота — Смоленская пл. предусматривался закрытый способ. Сверх всего прочего Метрострой обязывался реорганизовать свой аппарат, сократив к 1 марта 1933 г. штат управленцев на треть{466}.</w:t>
      </w:r>
    </w:p>
    <w:p w14:paraId="2872ABE6" w14:textId="77777777" w:rsidR="007B60FC" w:rsidRPr="0044524F" w:rsidRDefault="007B60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дополнительной резолюции перечислялись конкретные меры: руководители строительства отныне должны минимум половину своего рабочего времени проводить непосредственно на объекте, а не в конторе. От начальников требовалось полностью использовать предоставленные им административные права, не разводя «мелкобуржуазный демократизм». Ротерту приказали в течение месяца представить план механизации работ. В качестве стимулирующего фактора для рабочих вводилась сдельная оплата, причем рабочим, занятым в шахте, устанавливалась оплата на 25% выше по сравнению с обычным уровнем зарплаты в строительной отрасли. Руководство Метростроя и профсоюзный комитет обязывались организовать техническое обучение рабочих. Каждый принимаемый на шахту рабочий обязан был впредь пройти курс обучения, необходимый для усвоения «технического минимума». Партийному комитету Метростроя поручалось проверить распределение коммунистов и комсомольцев в шахтах и позаботиться о том, чтобы в каждой рабочей смене имелось твердое ядро коммунистов и комсомольцев, способное вести за собой остальных рабочих. Московская организация комсомола должна была с этой целью мобилизовать на строительство метро 1 тысячу комсомольцев московских предприятий. Перед Моссоветом была поставлена задача улучшения условий жизни метростроевцев{467}.Для придания постановлению местных партийных органов большего веса оно было представлено на утверждение Центральному комитету ВКП(б){468} (18299).</w:t>
      </w:r>
    </w:p>
    <w:p w14:paraId="52395E56" w14:textId="77777777" w:rsidR="007B60FC" w:rsidRPr="0044524F" w:rsidRDefault="007B60FC" w:rsidP="009654CF">
      <w:pPr>
        <w:spacing w:after="0" w:line="240" w:lineRule="auto"/>
        <w:jc w:val="both"/>
        <w:rPr>
          <w:rFonts w:ascii="Times New Roman" w:hAnsi="Times New Roman"/>
          <w:color w:val="000000" w:themeColor="text1"/>
          <w:sz w:val="16"/>
          <w:szCs w:val="16"/>
        </w:rPr>
      </w:pPr>
    </w:p>
    <w:p w14:paraId="7DE4E38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февраля 1933 был разослан приказ по Дмитлагу № 45 об организации «при КВО Управления ДИТЛ» особой Комиссии связи, в задачи которой входили: «а) установление письменной связи со всеми освобождающимися заключенными; б) оказание помощи всем освобождающимся». Председателем Комиссии назначался начальник КВО С. И. Ауэрбах, членами - секретарь ЦАК (Центральной аттестационной комиссии лагеря) Прокопюк и представитель лагерного парткома инспектор КВО Нестеров. Всем отделениям Дмитлага предписывалось «широко оповестить об этом лагерников через КВЧ [культурно-воспитательные части] и работников ее на местах и разъяснить освобождающимся из заключения, особенно освобождающимся женщинам, что во всех случаях, когда они встретят затруднения на местах по приискании себе работы, им надлежит немедленно обращаться за помощью и содействием в Комиссию Связи при КВО Управления». В приложенной к приказу «Инструкции о Комиссиях Связи лагерей О.Г.П.У.» уточнялось, что речь идет об «организации письменной связи с освобождающимися социально-близкими заключенными», а «письма, представляющие интерес с точки зрения воспитательного значения», предложено «передавать для широкого использования через культвоспитаппарат среди заключенных, как наглядный агитационный материал, долженствующий воздействовать на трудно-исправляющихся заключенных, при условии правильного доведения этого материала до сознания каждого из них» (7560).</w:t>
      </w:r>
    </w:p>
    <w:p w14:paraId="50F9AD8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1582D4B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февраля 1933 года в письме заместителя председателя ОГПУ Ягоды на имя Молотова говорится: «Все лагеря ОГПУ находятся на полной самоокупаемости и все расходы производят за счет собственных средств, не прибегая ни к какому банковскому кредитованию» (9044).</w:t>
      </w:r>
    </w:p>
    <w:p w14:paraId="5726F43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C74320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28 февраля 1933 г. в письме заместителя председателя ОГПУ Ягоды на имя Молотова говорится: "Все лагеря ОГПУ находятся на полной самоокупаемости и все расходы производят за счет собственных средств, не прибегая ни к какому банковскому кредитованию". Поддержание карательного аппарата стало практически безубыточным, и это, несомненно, говорит в пользу мнения об эффективности созданной системы. </w:t>
      </w:r>
    </w:p>
    <w:p w14:paraId="60B12CE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Положении об ИТЛ было записано, что все заключенные получают продовольственный паек в соответствии с характером выполняемой работы. Общее содержание и все виды обслуживания предоставлялись бесплатно. Самым важным средством повышения производительности труда заключенных стала система зачетов: перевыполнявшим установленную норму день работы засчитывался за полтора-два календарных дня срока, а на особо тяжелых работах даже за три. В итоге срок наказания мог сократиться втрое! </w:t>
      </w:r>
    </w:p>
    <w:p w14:paraId="0813C63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Оформление системы стимулирования производительности труда заключенных позволило в дальнейшем перейти к решению масштабных задач в интересах хозяйственного и оборонного строительства в СССР (12107).</w:t>
      </w:r>
    </w:p>
    <w:p w14:paraId="79A856A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A11AF6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25 февраля и 3 марта 1933. Из протокола заседания Политбюро N 131, 1933 г</w:t>
      </w:r>
    </w:p>
    <w:p w14:paraId="238378D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Башобкома </w:t>
      </w:r>
    </w:p>
    <w:p w14:paraId="05C0535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Башобкому выслать из пределов Башкирии 1000 семейств наиболее злостных единоличников (11652).</w:t>
      </w:r>
    </w:p>
    <w:p w14:paraId="3E4AB62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533BE0AC"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B26F7C8"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0FC909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февраля 1933 вышел чрезвычайный декрет гитлеровского правительства от отмене статей Веймарской конституции, гарантирующих свободу личности, слова, печати, собраний, союзов (2443,407).</w:t>
      </w:r>
    </w:p>
    <w:p w14:paraId="5442ED8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Нет, это был декрет, подписанный президентом Гинденбургом (3186).</w:t>
      </w:r>
    </w:p>
    <w:p w14:paraId="269E5E1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48D0F65" w14:textId="77777777" w:rsidR="00EB1210" w:rsidRPr="0044524F" w:rsidRDefault="00EB12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28 февраля</w:t>
      </w:r>
      <w:r w:rsidRPr="0044524F">
        <w:rPr>
          <w:rFonts w:ascii="Times New Roman" w:hAnsi="Times New Roman"/>
          <w:color w:val="000000" w:themeColor="text1"/>
          <w:sz w:val="16"/>
          <w:szCs w:val="16"/>
        </w:rPr>
        <w:t xml:space="preserve"> в 1933 году Адольф Гитлер подписал декрет «Об охране народа и государства», которым приостанавливалось действие семи статей конституции, гарантирующих права и свободы граждан (15054).</w:t>
      </w:r>
    </w:p>
    <w:p w14:paraId="52946A82" w14:textId="77777777" w:rsidR="00EB1210" w:rsidRPr="0044524F" w:rsidRDefault="00EB1210" w:rsidP="009654CF">
      <w:pPr>
        <w:spacing w:after="0" w:line="240" w:lineRule="auto"/>
        <w:jc w:val="both"/>
        <w:rPr>
          <w:rFonts w:ascii="Times New Roman" w:hAnsi="Times New Roman"/>
          <w:color w:val="000000" w:themeColor="text1"/>
          <w:sz w:val="16"/>
          <w:szCs w:val="16"/>
        </w:rPr>
      </w:pPr>
    </w:p>
    <w:p w14:paraId="22C6EEBF"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28 февраля 1933, на следующий после пожара день, Гитлер представил на подпись президенту Гинденбургу проект декрета "Об охране народа и государства", приостанавливавшего действие семи статей конституции, которые гарантировали свободу личности и права граждан. Назвав этот проект "защитной мерой против насильственных действий коммунистов, представляющих угрозу для государства", Гитлер требовал права: ограничивать свободу личности и свободу мнений, включая свободу печати, а также свободу собраний и союзов; нарушать тайну переписки, телеграфной и телефонной связи; устраивать домашние обыски, конфисковывать имущество.</w:t>
      </w:r>
    </w:p>
    <w:p w14:paraId="44C1CFFB"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Все это считалось допустимым, даже если выходило за рамки закона. Декрет предоставлял также правительству рейха право пользоваться полнотой власти в землях, когда это вызывалось необходимостью, и вводил смертную казнь за ряд преступлений, таких, как "серьезные нарушения спокойствия" со стороны вооруженных лиц (17283).</w:t>
      </w:r>
    </w:p>
    <w:p w14:paraId="5A54ABAB" w14:textId="77777777" w:rsidR="007C00E8" w:rsidRPr="0044524F" w:rsidRDefault="007C00E8"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4AB701" w14:textId="77777777" w:rsidR="004C24F7" w:rsidRPr="0044524F" w:rsidRDefault="004C24F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февраля 1933 в знак протеста против нацизма Германию покинул драматург Бертольд Брехт (4962).</w:t>
      </w:r>
    </w:p>
    <w:p w14:paraId="365B932E" w14:textId="77777777" w:rsidR="004C24F7" w:rsidRPr="0044524F" w:rsidRDefault="004C24F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2A2240" w14:textId="77777777" w:rsidR="004C24F7" w:rsidRPr="0044524F" w:rsidRDefault="004C24F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февраля 1933 фашистами подожжен рейхстаг (4962).</w:t>
      </w:r>
    </w:p>
    <w:p w14:paraId="5570E995" w14:textId="77777777" w:rsidR="004C24F7" w:rsidRPr="0044524F" w:rsidRDefault="004C24F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BDEE8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28 февраля 1933 года по официальным немецким данным, сумма иностранной задолженности Германии составляла 18 967 млн марок, из которых на краткосрочные кредиты (со сроком уплаты до 28 февраля 1934 года) приходились 8702 млн марок и на долгосрочные — 10 265 млн марок. В том числе германский долг Англии на 30 сентября 1933 года равнялся 132 млн фунтов стерлингов, или 1718 млн марок. Для сравнения: весь германский экспорт в 1933 году составил 4871 млн марок (11208).</w:t>
      </w:r>
    </w:p>
    <w:p w14:paraId="7C75162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32E0815C"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9CF6522"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467CAD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февраля 1933 года в результате совместных с русскими инженерами разработок У.Нобиле появился первый советский полужесткий дирижабль СССР В-5. Его первый полет продолжительностью 1 час 15 минут состоялся 27 апреля 1933 года. Дирижабль имел небольшой объем, всего 2340 куб. м. Малые размеры В-5 объяснялись тем, что он задумывался как опытный образец полужесткого дирижабля, предназначенный для практического ознакомления советских специалистов с итальянской полужесткой системой и выявления трудностей, которые могли встретиться при постройке дирижабля значительно большей кубатуры. На нем также предполагалось проводить обучение пилотов и наземного персонала для приобретения опыта эксплуатации и обслуживания полужесткого дирижабля (10731).</w:t>
      </w:r>
    </w:p>
    <w:p w14:paraId="2CDCFC1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34BEAB82"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1C66ED3"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4964AE8"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февраля — начале марта 1933 г. на заводе Новое Сормово работала комиссия Наркомтяжпрома СССР. Ею было, в частности, установлено, что «никто на заводе не может дать сведений о наличии оборудования, учет составлен хаотично, оборудование месяцами хранится на открытом воздухе». [10 — Там же, Л. 152.] Данные факты не являлись единичными и характеризовали общее состояние техническо-производственной и финансово-коммерческой деятельности завода. Предприятие, на которое руководство страны возлагало особые надежды, было признано «плетущимся в хвосте». [11 — Там же.] (11741).</w:t>
      </w:r>
    </w:p>
    <w:p w14:paraId="14C446E1"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FD9BD"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EB103BF"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7E9994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в отряде ГУАП только с привлечением в комиссию представителей Аэрофлота проводились последние испытания К-5 эталонного (7738, 12-10).</w:t>
      </w:r>
    </w:p>
    <w:p w14:paraId="57AAA31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83FA94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К.А.К. представил на гос. испытания К-5М-22 "эталон 1933" (70,172).</w:t>
      </w:r>
    </w:p>
    <w:p w14:paraId="4D4D252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396999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были Начаты государственные испытания самолета К-5 — «эталона 1933 г.». Построен учебный самолет «Омега» конструкции А. Н. Грацианского (10674).</w:t>
      </w:r>
    </w:p>
    <w:p w14:paraId="638F029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062E7F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февраля 1933 года производство БОК-1, которое началось в конце 1932 года в ЦАГИ, продолжалось на заводе № 39 им. Менжинского (7851).</w:t>
      </w:r>
    </w:p>
    <w:p w14:paraId="6D69E6C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12C6C699"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февраля 1933 года постройка БОК-1 продол</w:t>
      </w:r>
      <w:r w:rsidRPr="0044524F">
        <w:rPr>
          <w:rFonts w:ascii="Times New Roman" w:hAnsi="Times New Roman"/>
          <w:color w:val="000000" w:themeColor="text1"/>
          <w:sz w:val="16"/>
          <w:szCs w:val="16"/>
        </w:rPr>
        <w:softHyphen/>
        <w:t>жилась на заводе № 39 имени Менжинско</w:t>
      </w:r>
      <w:r w:rsidRPr="0044524F">
        <w:rPr>
          <w:rFonts w:ascii="Times New Roman" w:hAnsi="Times New Roman"/>
          <w:color w:val="000000" w:themeColor="text1"/>
          <w:sz w:val="16"/>
          <w:szCs w:val="16"/>
        </w:rPr>
        <w:softHyphen/>
        <w:t>го в Москве, куда перевели Бюро особых конструкций, и завершилась в Смоленске на авиаремонтном заводе № 35, где был организован опытный цех БОКа.</w:t>
      </w:r>
    </w:p>
    <w:p w14:paraId="6EBD91E7" w14:textId="77777777" w:rsidR="004539AF" w:rsidRPr="0044524F" w:rsidRDefault="004539AF"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Style w:val="114"/>
          <w:rFonts w:eastAsia="Calibri"/>
          <w:b w:val="0"/>
          <w:i w:val="0"/>
          <w:color w:val="000000" w:themeColor="text1"/>
          <w:sz w:val="16"/>
          <w:szCs w:val="16"/>
        </w:rPr>
        <w:t>Основная тяжесть испытаний и довод</w:t>
      </w:r>
      <w:r w:rsidRPr="0044524F">
        <w:rPr>
          <w:rStyle w:val="114"/>
          <w:rFonts w:eastAsia="Calibri"/>
          <w:b w:val="0"/>
          <w:i w:val="0"/>
          <w:color w:val="000000" w:themeColor="text1"/>
          <w:sz w:val="16"/>
          <w:szCs w:val="16"/>
        </w:rPr>
        <w:softHyphen/>
        <w:t>ки БОК-1 и его систем легла на плечи летчка-испытателя НИИ ВВС И.Ф. Пет</w:t>
      </w:r>
      <w:r w:rsidRPr="0044524F">
        <w:rPr>
          <w:rStyle w:val="114"/>
          <w:rFonts w:eastAsia="Calibri"/>
          <w:b w:val="0"/>
          <w:i w:val="0"/>
          <w:color w:val="000000" w:themeColor="text1"/>
          <w:sz w:val="16"/>
          <w:szCs w:val="16"/>
        </w:rPr>
        <w:softHyphen/>
        <w:t>рова и Н.Н. Каштанова — заместителя В.АЧижевского.</w:t>
      </w:r>
      <w:r w:rsidRPr="0044524F">
        <w:rPr>
          <w:rFonts w:ascii="Times New Roman" w:hAnsi="Times New Roman" w:cs="Times New Roman"/>
          <w:b w:val="0"/>
          <w:color w:val="000000" w:themeColor="text1"/>
          <w:sz w:val="16"/>
          <w:szCs w:val="16"/>
        </w:rPr>
        <w:t xml:space="preserve"> «Заводской аэродром, — рассказывал Иван Федорович, — находился под Смоленском, и в течение полутора лет, мне еженедельно приходилось ездить в Смо</w:t>
      </w:r>
      <w:r w:rsidRPr="0044524F">
        <w:rPr>
          <w:rFonts w:ascii="Times New Roman" w:hAnsi="Times New Roman" w:cs="Times New Roman"/>
          <w:b w:val="0"/>
          <w:color w:val="000000" w:themeColor="text1"/>
          <w:sz w:val="16"/>
          <w:szCs w:val="16"/>
        </w:rPr>
        <w:softHyphen/>
        <w:t>ленск на испытания...</w:t>
      </w:r>
    </w:p>
    <w:p w14:paraId="79933F34" w14:textId="77777777" w:rsidR="004539AF" w:rsidRPr="0044524F" w:rsidRDefault="004539AF"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Говорят, первый блин комом. Естествен</w:t>
      </w:r>
      <w:r w:rsidRPr="0044524F">
        <w:rPr>
          <w:rFonts w:ascii="Times New Roman" w:hAnsi="Times New Roman" w:cs="Times New Roman"/>
          <w:b w:val="0"/>
          <w:color w:val="000000" w:themeColor="text1"/>
          <w:sz w:val="16"/>
          <w:szCs w:val="16"/>
        </w:rPr>
        <w:softHyphen/>
        <w:t>но, что и первая герметичная самолетная кабина была совсем не похожа на те ком- фортобельные салоны, в которых мы все привыкли летать. На самолете БОК-1 она представляла собой тесную цистерну с тре мя маленькими окошечками-иллюминато</w:t>
      </w:r>
      <w:r w:rsidRPr="0044524F">
        <w:rPr>
          <w:rFonts w:ascii="Times New Roman" w:hAnsi="Times New Roman" w:cs="Times New Roman"/>
          <w:b w:val="0"/>
          <w:color w:val="000000" w:themeColor="text1"/>
          <w:sz w:val="16"/>
          <w:szCs w:val="16"/>
        </w:rPr>
        <w:softHyphen/>
        <w:t>рами, не дававшими почти никакого обзора летчику. И так как располагалась эта боч</w:t>
      </w:r>
      <w:r w:rsidRPr="0044524F">
        <w:rPr>
          <w:rFonts w:ascii="Times New Roman" w:hAnsi="Times New Roman" w:cs="Times New Roman"/>
          <w:b w:val="0"/>
          <w:color w:val="000000" w:themeColor="text1"/>
          <w:sz w:val="16"/>
          <w:szCs w:val="16"/>
        </w:rPr>
        <w:softHyphen/>
        <w:t>ка над радиатором водяного охлаждения до</w:t>
      </w:r>
      <w:r w:rsidRPr="0044524F">
        <w:rPr>
          <w:rFonts w:ascii="Times New Roman" w:hAnsi="Times New Roman" w:cs="Times New Roman"/>
          <w:b w:val="0"/>
          <w:color w:val="000000" w:themeColor="text1"/>
          <w:sz w:val="16"/>
          <w:szCs w:val="16"/>
        </w:rPr>
        <w:softHyphen/>
        <w:t>вольно мощного мотора М-34РН, то летная форма моя была весьма своеобразна: трусы и шесть штук полотенец. В полете темпера</w:t>
      </w:r>
      <w:r w:rsidRPr="0044524F">
        <w:rPr>
          <w:rFonts w:ascii="Times New Roman" w:hAnsi="Times New Roman" w:cs="Times New Roman"/>
          <w:b w:val="0"/>
          <w:color w:val="000000" w:themeColor="text1"/>
          <w:sz w:val="16"/>
          <w:szCs w:val="16"/>
        </w:rPr>
        <w:softHyphen/>
        <w:t>тура из-за подогрева снизу поднималась до сорока градусов.</w:t>
      </w:r>
    </w:p>
    <w:p w14:paraId="20ECAA80" w14:textId="77777777" w:rsidR="004539AF" w:rsidRPr="0044524F" w:rsidRDefault="004539AF"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Такое мотание из Москвы в Смоленск и обратно было, конечно, изнурительным, и для продолжения испытаний я командировал в Смоленск летчика-испытателя своего от</w:t>
      </w:r>
      <w:r w:rsidRPr="0044524F">
        <w:rPr>
          <w:rFonts w:ascii="Times New Roman" w:hAnsi="Times New Roman" w:cs="Times New Roman"/>
          <w:b w:val="0"/>
          <w:color w:val="000000" w:themeColor="text1"/>
          <w:sz w:val="16"/>
          <w:szCs w:val="16"/>
        </w:rPr>
        <w:softHyphen/>
        <w:t>дела П.М. Стефановского, который успеш</w:t>
      </w:r>
      <w:r w:rsidRPr="0044524F">
        <w:rPr>
          <w:rFonts w:ascii="Times New Roman" w:hAnsi="Times New Roman" w:cs="Times New Roman"/>
          <w:b w:val="0"/>
          <w:color w:val="000000" w:themeColor="text1"/>
          <w:sz w:val="16"/>
          <w:szCs w:val="16"/>
        </w:rPr>
        <w:softHyphen/>
        <w:t>но их завершил».</w:t>
      </w:r>
    </w:p>
    <w:p w14:paraId="3255A6AD"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Заводские испытания, проведенные в 1936 году, показали, что машина обла</w:t>
      </w:r>
      <w:r w:rsidRPr="0044524F">
        <w:rPr>
          <w:rFonts w:ascii="Times New Roman" w:hAnsi="Times New Roman"/>
          <w:color w:val="000000" w:themeColor="text1"/>
          <w:sz w:val="16"/>
          <w:szCs w:val="16"/>
        </w:rPr>
        <w:softHyphen/>
        <w:t>дает достаточными запасами устойчиво</w:t>
      </w:r>
      <w:r w:rsidRPr="0044524F">
        <w:rPr>
          <w:rFonts w:ascii="Times New Roman" w:hAnsi="Times New Roman"/>
          <w:color w:val="000000" w:themeColor="text1"/>
          <w:sz w:val="16"/>
          <w:szCs w:val="16"/>
        </w:rPr>
        <w:softHyphen/>
        <w:t>сти и хорошей управляемостью (12825).</w:t>
      </w:r>
    </w:p>
    <w:p w14:paraId="1AE7FAD7" w14:textId="77777777" w:rsidR="004539AF" w:rsidRPr="0044524F" w:rsidRDefault="004539AF" w:rsidP="009654CF">
      <w:pPr>
        <w:spacing w:after="0" w:line="240" w:lineRule="auto"/>
        <w:jc w:val="both"/>
        <w:rPr>
          <w:rFonts w:ascii="Times New Roman" w:hAnsi="Times New Roman"/>
          <w:color w:val="000000" w:themeColor="text1"/>
          <w:sz w:val="16"/>
          <w:szCs w:val="16"/>
        </w:rPr>
      </w:pPr>
    </w:p>
    <w:p w14:paraId="1715062E" w14:textId="77777777" w:rsidR="00A96A0F" w:rsidRPr="0044524F" w:rsidRDefault="00A96A0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Бюро опытных конструкций полностью перевели в ЦКБ на территорию за</w:t>
      </w:r>
      <w:r w:rsidRPr="0044524F">
        <w:rPr>
          <w:rFonts w:ascii="Times New Roman" w:hAnsi="Times New Roman"/>
          <w:color w:val="000000" w:themeColor="text1"/>
          <w:sz w:val="16"/>
          <w:szCs w:val="16"/>
        </w:rPr>
        <w:softHyphen/>
        <w:t>вода №39, где постройка самолета БОК-1 продолжилась. Подраз</w:t>
      </w:r>
      <w:r w:rsidRPr="0044524F">
        <w:rPr>
          <w:rFonts w:ascii="Times New Roman" w:hAnsi="Times New Roman"/>
          <w:color w:val="000000" w:themeColor="text1"/>
          <w:sz w:val="16"/>
          <w:szCs w:val="16"/>
        </w:rPr>
        <w:softHyphen/>
        <w:t>деление Чижевского, которое насчитывало в тот период 40-60 сотрудников, в ЦКБ стало именоваться бригадой №3. Однако и здесь надолго ему задержаться не удалось (29363).</w:t>
      </w:r>
    </w:p>
    <w:p w14:paraId="1C9AD58D" w14:textId="77777777" w:rsidR="00A96A0F" w:rsidRPr="0044524F" w:rsidRDefault="00A96A0F" w:rsidP="009654CF">
      <w:pPr>
        <w:spacing w:after="0" w:line="240" w:lineRule="auto"/>
        <w:jc w:val="both"/>
        <w:rPr>
          <w:rFonts w:ascii="Times New Roman" w:hAnsi="Times New Roman"/>
          <w:color w:val="000000" w:themeColor="text1"/>
          <w:sz w:val="16"/>
          <w:szCs w:val="16"/>
        </w:rPr>
      </w:pPr>
    </w:p>
    <w:p w14:paraId="7AFF3698" w14:textId="77777777" w:rsidR="00A96A0F" w:rsidRPr="0044524F" w:rsidRDefault="00A96A0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февраля 1933 г. постройка самолёта СС (БОК-1) была продолжена на территории завода № 39, в бригаде № 3 Чижевского. Летом 1934 г. всё хозяйство высотной бригады перевели в Смоленск, где был организован специальный опытный цех на базе ремонтного завода № 35. Постройка БОК-1 продолжилась в Смоленске и завершилась первым полётом 13 декабря 1935 г. (19876).</w:t>
      </w:r>
    </w:p>
    <w:p w14:paraId="2BDE6426" w14:textId="77777777" w:rsidR="00A96A0F" w:rsidRPr="0044524F" w:rsidRDefault="00A96A0F" w:rsidP="009654CF">
      <w:pPr>
        <w:shd w:val="clear" w:color="auto" w:fill="FFFFFF"/>
        <w:spacing w:after="0" w:line="240" w:lineRule="auto"/>
        <w:jc w:val="both"/>
        <w:rPr>
          <w:rFonts w:ascii="Times New Roman" w:hAnsi="Times New Roman"/>
          <w:color w:val="000000" w:themeColor="text1"/>
          <w:sz w:val="16"/>
          <w:szCs w:val="16"/>
        </w:rPr>
      </w:pPr>
    </w:p>
    <w:p w14:paraId="0AB51327" w14:textId="77777777" w:rsidR="004E474B" w:rsidRPr="0044524F" w:rsidRDefault="004E47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ХАИ-1 перегнали в Москву на государственные испытания в НИИ ВВС. В отчете по испытаниям группа летчиков во главе с П.М.Стефановским отметила, что по своим летным данным самолет с тем же двигателем М-22 превосходил по скорости не только пассажирские, но и многие типы военных самолетов, в том числе и истребители (24248).</w:t>
      </w:r>
    </w:p>
    <w:p w14:paraId="5FAC7B55" w14:textId="77777777" w:rsidR="004E474B" w:rsidRPr="0044524F" w:rsidRDefault="004E474B" w:rsidP="009654CF">
      <w:pPr>
        <w:spacing w:after="0" w:line="240" w:lineRule="auto"/>
        <w:jc w:val="both"/>
        <w:rPr>
          <w:rFonts w:ascii="Times New Roman" w:hAnsi="Times New Roman"/>
          <w:color w:val="000000" w:themeColor="text1"/>
          <w:sz w:val="16"/>
          <w:szCs w:val="16"/>
        </w:rPr>
      </w:pPr>
    </w:p>
    <w:p w14:paraId="79BDE2DD"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феврале 1933 года «ХАИ-1» перегнали в Москву на государственные испытания в НИИ ВВС. В отчете по испытаниям группа летчиков во главе с П.М. Стефановским отметила, что по своим летным данным самолет с тем же двигателем М-22 превосходил по скорости не только пассажирские, но и многие типы военных самолетов, в том числе и истребители. А 7 февраля 1933 года газета «Известия» подзаголовком «Первое место в Европе» опубликовала рапорт самолетостроителей «ХАИ» руководителю Советской страны И.В. Сталину. В нем говорилось, что: «...самолет ХАИ-1 с убирающимся в полете шасси при испытаниях дал скорость 290 км/ч. Этим самым советская авиация заняла первое место в Европе и второе в мире (после США с его «Орионом»; немецкий «Хейнкель» стал третьим)» (25744).</w:t>
      </w:r>
    </w:p>
    <w:p w14:paraId="04B52CBA" w14:textId="77777777" w:rsidR="00111E22" w:rsidRPr="00142305" w:rsidRDefault="00111E22" w:rsidP="00111E22">
      <w:pPr>
        <w:spacing w:after="0" w:line="240" w:lineRule="auto"/>
        <w:jc w:val="both"/>
        <w:rPr>
          <w:rFonts w:ascii="Times New Roman" w:hAnsi="Times New Roman"/>
          <w:color w:val="0070C0"/>
          <w:sz w:val="16"/>
          <w:szCs w:val="16"/>
        </w:rPr>
      </w:pPr>
    </w:p>
    <w:p w14:paraId="775DC41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испытания самолета Р5 с переделанными шасси, проведенные на юге, показали, что дефект является неустраненным. ЦАГИ предложено внести ряд добавочных изменений и к 20.03.с.г. вновь предъявить Р5 с тормозными колесами на испытание (3082).</w:t>
      </w:r>
    </w:p>
    <w:p w14:paraId="6338313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7DC5183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Испытания самолета Р5 с переделанными шасси, проведенные на юге, показали, что дефект разворачивания является не устраненным. ЦАГИ предложено внести ряд добавочных изменений и к 10 марта 1933 года вновь предъявить Р5 с тормозными колесами на испытание (3530,91).</w:t>
      </w:r>
    </w:p>
    <w:p w14:paraId="0D3F053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5B900C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февраля 1933 Н.Н.П. стал проектировать ЦКБ-3, И-15 (88,120).</w:t>
      </w:r>
    </w:p>
    <w:p w14:paraId="655EAEC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7C64BB4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началась перевозка частей АНТ-16 (ТБ-4) на аэродром и до апреля собирали и проводили мелкие доработки (2072,64).</w:t>
      </w:r>
    </w:p>
    <w:p w14:paraId="3F714D3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машину начали отправлять на аэродром в марте 1933 (2310,143).</w:t>
      </w:r>
    </w:p>
    <w:p w14:paraId="78ACEAB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DF88A5D" w14:textId="77777777" w:rsidR="004E474B" w:rsidRPr="0044524F" w:rsidRDefault="004E47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агрегаты самолета АНТ-16 начали перевозить на Центральный аэро</w:t>
      </w:r>
      <w:r w:rsidRPr="0044524F">
        <w:rPr>
          <w:rFonts w:ascii="Times New Roman" w:hAnsi="Times New Roman"/>
          <w:color w:val="000000" w:themeColor="text1"/>
          <w:sz w:val="16"/>
          <w:szCs w:val="16"/>
        </w:rPr>
        <w:softHyphen/>
        <w:t>дром. До апреля проводили сборку, занимались мелкими доработками.</w:t>
      </w:r>
    </w:p>
    <w:p w14:paraId="52E0F8A9" w14:textId="77777777" w:rsidR="004E474B" w:rsidRPr="0044524F" w:rsidRDefault="004E47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г. М.М. Громов впервые поднял ТБ—4 в воздух. Он отметил про</w:t>
      </w:r>
      <w:r w:rsidRPr="0044524F">
        <w:rPr>
          <w:rFonts w:ascii="Times New Roman" w:hAnsi="Times New Roman"/>
          <w:color w:val="000000" w:themeColor="text1"/>
          <w:sz w:val="16"/>
          <w:szCs w:val="16"/>
        </w:rPr>
        <w:softHyphen/>
        <w:t>стоту взлета и посадки, устойчивость машины при наборе высоты и в гори</w:t>
      </w:r>
      <w:r w:rsidRPr="0044524F">
        <w:rPr>
          <w:rFonts w:ascii="Times New Roman" w:hAnsi="Times New Roman"/>
          <w:color w:val="000000" w:themeColor="text1"/>
          <w:sz w:val="16"/>
          <w:szCs w:val="16"/>
        </w:rPr>
        <w:softHyphen/>
        <w:t>зонтальном полете. Однако усилия на педалях оказались чрезмерными, и при</w:t>
      </w:r>
      <w:r w:rsidRPr="0044524F">
        <w:rPr>
          <w:rFonts w:ascii="Times New Roman" w:hAnsi="Times New Roman"/>
          <w:color w:val="000000" w:themeColor="text1"/>
          <w:sz w:val="16"/>
          <w:szCs w:val="16"/>
        </w:rPr>
        <w:softHyphen/>
        <w:t>шлось изменить степень аэродинамиче</w:t>
      </w:r>
      <w:r w:rsidRPr="0044524F">
        <w:rPr>
          <w:rFonts w:ascii="Times New Roman" w:hAnsi="Times New Roman"/>
          <w:color w:val="000000" w:themeColor="text1"/>
          <w:sz w:val="16"/>
          <w:szCs w:val="16"/>
        </w:rPr>
        <w:softHyphen/>
        <w:t>ской компенсации руля направления (23474).</w:t>
      </w:r>
    </w:p>
    <w:p w14:paraId="1BB0544C" w14:textId="77777777" w:rsidR="004E474B" w:rsidRPr="0044524F" w:rsidRDefault="004E474B" w:rsidP="009654CF">
      <w:pPr>
        <w:spacing w:after="0" w:line="240" w:lineRule="auto"/>
        <w:jc w:val="both"/>
        <w:rPr>
          <w:rFonts w:ascii="Times New Roman" w:hAnsi="Times New Roman"/>
          <w:color w:val="000000" w:themeColor="text1"/>
          <w:sz w:val="16"/>
          <w:szCs w:val="16"/>
        </w:rPr>
      </w:pPr>
    </w:p>
    <w:p w14:paraId="1CB521E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на Центральный аэродром только начали вывозить готовые узлы гигантского бомбовоза ТБ-4. Цеха, где можно было бы собрать столь огромную машину, в Москве не нашлось. Ее собирали и регулировали прямо налетном поле, построив многоярусные леса. Процесс этот шел долго - вплоть до июля. Самолет так и не укомплектовали полностью. В частности, турели смонтировали без пушек и пулеметов. Вместо радиостанции 11-СК на самолете стоял макет. Радиопеленгатор отсутствовал. Даже при этом взлетный вес превышал расчетный примерно на две тонны, достигнув 33 т (12024).</w:t>
      </w:r>
    </w:p>
    <w:p w14:paraId="6BE1A5F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AA86D1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феврале 1933 г. на Центральный аэродром только начали вывозить готовые узлы гигантского бомбовоза. Цеха, где можно было бы собрать столь огромную машину, в Москве не нашлось. Ее собирали и регулировали прямо на летном поле, построив многоярусные леса. Процесс этот шел долго - вплоть до июля. Самолет так и не </w:t>
      </w:r>
      <w:r w:rsidRPr="0044524F">
        <w:rPr>
          <w:rFonts w:ascii="Times New Roman" w:hAnsi="Times New Roman"/>
          <w:color w:val="000000" w:themeColor="text1"/>
          <w:sz w:val="16"/>
          <w:szCs w:val="16"/>
        </w:rPr>
        <w:lastRenderedPageBreak/>
        <w:t>укомплектовали полностью. В частности, турели смонтировали без пушек и пулеметов. Вместо радиостанции 11-СК на самолете стоял макет. Радиопеленгатор отсутствовал. Даже при этом взлетный вес превышал расчетный примерно на две тонны, достигнув 33 т.</w:t>
      </w:r>
    </w:p>
    <w:p w14:paraId="3A6DD11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г. М.М. Громов впервые поднял бомбардировщик в небо. Оценка, данная им самолету после нескольких первых полетов, была довольно высокой. Пилот счел, что осуществление взлета и посадки достаточно просто, в полете машина устойчива и послушна. Рапорт ЦАГИ гласил: "Результаты вполне благоприятны". Но усилия на штурвале и педалях были очень велики. С педалями вообще творилось что-то странное. Нагрузки "скакали", то увеличиваясь, то уменьшаясь.</w:t>
      </w:r>
    </w:p>
    <w:p w14:paraId="21FC237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почти две недели простоял на земле. Потом решили еще раз слетать для уточнения характеристик устойчивости, но обнаружили разрыв главного тормозного цилиндра. 22 июля Громов опять поднялся в воздух. Появилась гипотеза, что имеет место перекомпенсация руля направления. При одном из последующих полетов, 5 августа, с тандемной установки сорвало задний капот, который ударом расколол винт.</w:t>
      </w:r>
    </w:p>
    <w:p w14:paraId="60EA906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(12036).</w:t>
      </w:r>
    </w:p>
    <w:p w14:paraId="21B3CF3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7B75F53" w14:textId="77777777" w:rsidR="00E82C91" w:rsidRPr="00142305" w:rsidRDefault="00E82C91" w:rsidP="00E82C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1933 г. на Центральный аэродром только начали вывозить готовые узлы гигантского бомбово</w:t>
      </w:r>
      <w:r w:rsidRPr="00142305">
        <w:rPr>
          <w:rFonts w:ascii="Times New Roman" w:hAnsi="Times New Roman"/>
          <w:color w:val="0070C0"/>
          <w:sz w:val="16"/>
          <w:szCs w:val="16"/>
        </w:rPr>
        <w:softHyphen/>
        <w:t>за АНТ-16. Цеха, где можно было бы собрать столь огромную маши</w:t>
      </w:r>
      <w:r w:rsidRPr="00142305">
        <w:rPr>
          <w:rFonts w:ascii="Times New Roman" w:hAnsi="Times New Roman"/>
          <w:color w:val="0070C0"/>
          <w:sz w:val="16"/>
          <w:szCs w:val="16"/>
        </w:rPr>
        <w:softHyphen/>
        <w:t>ну, в Москве не нашлось. Ее собирали и регулировали пря</w:t>
      </w:r>
      <w:r w:rsidRPr="00142305">
        <w:rPr>
          <w:rFonts w:ascii="Times New Roman" w:hAnsi="Times New Roman"/>
          <w:color w:val="0070C0"/>
          <w:sz w:val="16"/>
          <w:szCs w:val="16"/>
        </w:rPr>
        <w:softHyphen/>
        <w:t>мо на летном поле, построив многоярусные леса. Процесс этот шел долго — вплоть до июля. Самолет так и не уком</w:t>
      </w:r>
      <w:r w:rsidRPr="00142305">
        <w:rPr>
          <w:rFonts w:ascii="Times New Roman" w:hAnsi="Times New Roman"/>
          <w:color w:val="0070C0"/>
          <w:sz w:val="16"/>
          <w:szCs w:val="16"/>
        </w:rPr>
        <w:softHyphen/>
        <w:t>плектовали полностью. В частности, турели смонтирова</w:t>
      </w:r>
      <w:r w:rsidRPr="00142305">
        <w:rPr>
          <w:rFonts w:ascii="Times New Roman" w:hAnsi="Times New Roman"/>
          <w:color w:val="0070C0"/>
          <w:sz w:val="16"/>
          <w:szCs w:val="16"/>
        </w:rPr>
        <w:softHyphen/>
        <w:t>ли без пушек и пулеметов. Вместо радиостанции II-CK на самолете стоял макет. Радиопеленгатор отсутствовал. Даже при этом взлетный вес превышал расчетный примерно на две тонны, достигнув 33 т (24977).</w:t>
      </w:r>
    </w:p>
    <w:p w14:paraId="60D0D9A7" w14:textId="77777777" w:rsidR="00E82C91" w:rsidRPr="00142305" w:rsidRDefault="00E82C91" w:rsidP="00E82C91">
      <w:pPr>
        <w:spacing w:after="0" w:line="240" w:lineRule="auto"/>
        <w:jc w:val="both"/>
        <w:rPr>
          <w:rFonts w:ascii="Times New Roman" w:hAnsi="Times New Roman"/>
          <w:color w:val="0070C0"/>
          <w:sz w:val="16"/>
          <w:szCs w:val="16"/>
        </w:rPr>
      </w:pPr>
    </w:p>
    <w:p w14:paraId="6C378B1D" w14:textId="77777777" w:rsidR="00E82C91" w:rsidRPr="00142305" w:rsidRDefault="00E82C91" w:rsidP="00E82C9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1933 года, поскольку производственные площади предприятия не позволяли в помещении завер</w:t>
      </w:r>
      <w:r w:rsidRPr="00142305">
        <w:rPr>
          <w:rFonts w:ascii="Times New Roman" w:hAnsi="Times New Roman"/>
          <w:color w:val="0070C0"/>
          <w:sz w:val="16"/>
          <w:szCs w:val="16"/>
        </w:rPr>
        <w:softHyphen/>
        <w:t>шить окончательную сборку гиганта АНТ-16, то стыковку его агрегатов начали на Центральном аэродроме столицы. На это ушло почти пять месяцев, и лишь 3 июля эки</w:t>
      </w:r>
      <w:r w:rsidRPr="00142305">
        <w:rPr>
          <w:rFonts w:ascii="Times New Roman" w:hAnsi="Times New Roman"/>
          <w:color w:val="0070C0"/>
          <w:sz w:val="16"/>
          <w:szCs w:val="16"/>
        </w:rPr>
        <w:softHyphen/>
        <w:t>паж М М. Громова выполнил на нем первый полет (24991).</w:t>
      </w:r>
    </w:p>
    <w:p w14:paraId="29E0BA11" w14:textId="77777777" w:rsidR="00E82C91" w:rsidRPr="00142305" w:rsidRDefault="00E82C91" w:rsidP="00E82C91">
      <w:pPr>
        <w:spacing w:after="0" w:line="240" w:lineRule="auto"/>
        <w:jc w:val="both"/>
        <w:rPr>
          <w:rFonts w:ascii="Times New Roman" w:hAnsi="Times New Roman"/>
          <w:color w:val="0070C0"/>
          <w:sz w:val="16"/>
          <w:szCs w:val="16"/>
        </w:rPr>
      </w:pPr>
    </w:p>
    <w:p w14:paraId="0A2213A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в НИИ ВВС утвердили более детальные требования к ТБ-6 - полезная нагрузка - 19600 кг, макс. Скорость на 5000 м - 250 км/час, бомбовая нагрузка - 15000 кг, экипаж - 17 чел. (7425, 20).</w:t>
      </w:r>
    </w:p>
    <w:p w14:paraId="5857D15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3C07E0B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на ТБ-3 (АНТ-6) поставили М-34 (92,432).</w:t>
      </w:r>
    </w:p>
    <w:p w14:paraId="1545611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1AB870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были закончены испытания тормозных колес к ТБ-3, построенному ЦАГИ к концу 1932.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 Самолет с устраненными дефектами управления тормозами должен быть предъявлен на испытание к 20.03.с.г. ЦАГИ гарантирует предъявление опытных самолетов с тормозными колесами в 1933 году, но на первых опытных самолетах ТБ-4 и МИ3 устанавливает заграничные тормозные колеса, ведя разработку своих конструкций. Основным затруднением для широкого внедрения тормозных колес в СССР является отсутствие специальной производственной базы по тормозным колесам (завода). В 1933 году ГУАП будет производить постройку тормозных колес частично путем кооперирования ряда заводов, частично на специально оборудованном под производство тормозных колес заводе N 121 (во 2-м полугодии). Доклады о состоянии опытного строительства моторов и самолетов представлялись в конце каждого квартала Председателю РВС, зам. пред. РВС и начальнику Глававиапрома (3082).</w:t>
      </w:r>
    </w:p>
    <w:p w14:paraId="4C68DEA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6E3394B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инженер ВВС Попов получил задание Тухачевского приступить к проектированию самолета с гребными воздушными колесами тотчас же после окончания испытаний переделанной модели (4015,3-10).</w:t>
      </w:r>
    </w:p>
    <w:p w14:paraId="4BDC688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были закончены в мае 1933 года, причем результаты вполне совпали с результатами первых испытаний.</w:t>
      </w:r>
    </w:p>
    <w:p w14:paraId="61A3B4A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средств и людей на разработку проекта самолета не хватало, я приступил к проектированию универсальной модели, позволяющей испытание различных гребных колес. Кроме того мы спроектировали специальные аэродинамические весы для испытания гребных колес в трубе Т-1 аэродинамической лаборатории ВВА.</w:t>
      </w:r>
    </w:p>
    <w:p w14:paraId="6057275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A8C196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исследованы все детали вопроса и мы вплотную подошли к созданию проекта самолета с вращающимися крыльями, способного вертикально взлетать и спускаться, висеть в воздухе и передвигаться со скоростями современных самолетов.</w:t>
      </w:r>
    </w:p>
    <w:p w14:paraId="3BB863F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………….(4015,3-10).</w:t>
      </w:r>
    </w:p>
    <w:p w14:paraId="2BE077E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5D651CC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испытания тормозных колес на ТБ-3 были закончены.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 (3530,91).</w:t>
      </w:r>
    </w:p>
    <w:p w14:paraId="0B0DF72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31CF6C7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Начальник ГУАП Баранов распоря</w:t>
      </w:r>
      <w:r w:rsidRPr="0044524F">
        <w:rPr>
          <w:rFonts w:ascii="Times New Roman" w:hAnsi="Times New Roman"/>
          <w:color w:val="000000" w:themeColor="text1"/>
          <w:sz w:val="16"/>
          <w:szCs w:val="16"/>
        </w:rPr>
        <w:softHyphen/>
        <w:t>дился:</w:t>
      </w:r>
    </w:p>
    <w:p w14:paraId="7D81984D"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(ТБ-5) разобрать.</w:t>
      </w:r>
    </w:p>
    <w:p w14:paraId="6FBCB835"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Дальнейшие работы по этому самолету прекратить. ЦАГИ проработать вопрос создания тяжелого бомбардировщика из хромомолибденовых труб и полотняной обшивки в качестве дублера к ТБ-Х или классом ниже».</w:t>
      </w:r>
    </w:p>
    <w:p w14:paraId="35F3BB5F"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этом история ТБ-5 закончилась. Переделывать его действительно не стали и передали в ОПАК ЦАГИ (Отдел проч</w:t>
      </w:r>
      <w:r w:rsidRPr="0044524F">
        <w:rPr>
          <w:rFonts w:ascii="Times New Roman" w:hAnsi="Times New Roman"/>
          <w:color w:val="000000" w:themeColor="text1"/>
          <w:sz w:val="16"/>
          <w:szCs w:val="16"/>
        </w:rPr>
        <w:softHyphen/>
        <w:t>ности авиационных конструкций). ТБ-Х также не был реализован, ибо уже спустя всего несколько месяцев, в конце 1933 г., согласно новым ТТТ ВВС, нужны были бомбардировщики с гораздо более высо</w:t>
      </w:r>
      <w:r w:rsidRPr="0044524F">
        <w:rPr>
          <w:rFonts w:ascii="Times New Roman" w:hAnsi="Times New Roman"/>
          <w:color w:val="000000" w:themeColor="text1"/>
          <w:sz w:val="16"/>
          <w:szCs w:val="16"/>
        </w:rPr>
        <w:softHyphen/>
        <w:t>кими характеристиками.</w:t>
      </w:r>
    </w:p>
    <w:p w14:paraId="6267F79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 конструкция ТБ-5 использова</w:t>
      </w:r>
      <w:r w:rsidRPr="0044524F">
        <w:rPr>
          <w:rFonts w:ascii="Times New Roman" w:hAnsi="Times New Roman"/>
          <w:color w:val="000000" w:themeColor="text1"/>
          <w:sz w:val="16"/>
          <w:szCs w:val="16"/>
        </w:rPr>
        <w:softHyphen/>
        <w:t>лась при создании гидросамолета МДР-3 (Самолет №11). МДР-3 имел такое же крыло, хвостовое оперение и ряд других силовых элементов, однако продолжения также как и ТБ-5 не получил.</w:t>
      </w:r>
    </w:p>
    <w:p w14:paraId="4991372A"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Бомбардировщик ТБ-5 стал не един</w:t>
      </w:r>
      <w:r w:rsidRPr="0044524F">
        <w:rPr>
          <w:rFonts w:ascii="Times New Roman" w:hAnsi="Times New Roman"/>
          <w:color w:val="000000" w:themeColor="text1"/>
          <w:sz w:val="16"/>
          <w:szCs w:val="16"/>
        </w:rPr>
        <w:softHyphen/>
        <w:t xml:space="preserve">ственным самолетом, который после успеха ВТ-11 решили спроектировать в ЦКБ ОГПУ (12611). </w:t>
      </w:r>
    </w:p>
    <w:p w14:paraId="62FE16A7"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34705E62" w14:textId="77777777" w:rsidR="00E82C91" w:rsidRPr="0044524F" w:rsidRDefault="00E82C91" w:rsidP="00E82C91">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начальник ГУАП Баранов распорядился в отношении ТБ-5: «Самолет разобрать. Дальнейшие работы по этому самолету прекратить. ЦАГИ проработать вопрос создания тяжелого бомбардировщика из хромомолибдено-вых труб и полотняной обшивки в качестве дублера к ТБ-Х или классом ниже». На этом все и закончилось. ТБ-5 переделывать не стали и передали в Отдел прочности авиационных конструкций ЦАГИ. ТБ-Х также не был создан, ибо уже в конце 1933 г. ВВС выдали новые требования на бомбардировщик с гораздо более высокими характеристиками.</w:t>
      </w:r>
    </w:p>
    <w:p w14:paraId="55E1A0E7" w14:textId="77777777" w:rsidR="00E82C91" w:rsidRPr="0044524F" w:rsidRDefault="00E82C91" w:rsidP="00E82C91">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Завершая рассказ о ТБ-5, необходимо упомянуть, что в 1931 г. на основе его конструкции был создан морской дальний разведчик МДР-3, имевший такое же крыло, оперение и ряд силовых элементов. Развития, так же, как и ТБ-5, этот гидросамолет не получил (5854,34).</w:t>
      </w:r>
    </w:p>
    <w:p w14:paraId="4BE6ACD0" w14:textId="77777777" w:rsidR="00E82C91" w:rsidRPr="0044524F" w:rsidRDefault="00E82C91" w:rsidP="00E82C91">
      <w:pPr>
        <w:autoSpaceDE w:val="0"/>
        <w:autoSpaceDN w:val="0"/>
        <w:adjustRightInd w:val="0"/>
        <w:spacing w:after="0" w:line="240" w:lineRule="auto"/>
        <w:jc w:val="both"/>
        <w:rPr>
          <w:rFonts w:ascii="Times New Roman" w:hAnsi="Times New Roman"/>
          <w:color w:val="000000" w:themeColor="text1"/>
          <w:sz w:val="16"/>
          <w:szCs w:val="16"/>
        </w:rPr>
      </w:pPr>
    </w:p>
    <w:p w14:paraId="6B807ACE" w14:textId="77777777" w:rsidR="00E82C91" w:rsidRPr="0044524F" w:rsidRDefault="00E82C91" w:rsidP="00E82C91">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начальник ГУАП Баранов распорядился в отношении ТБ-5: «Самолет разобрать. Дальнейшие работы по этому самолету прекратить» (23907).</w:t>
      </w:r>
    </w:p>
    <w:p w14:paraId="3AF42979" w14:textId="77777777" w:rsidR="00E82C91" w:rsidRPr="0044524F" w:rsidRDefault="00E82C91" w:rsidP="00E82C91">
      <w:pPr>
        <w:spacing w:after="0" w:line="240" w:lineRule="auto"/>
        <w:jc w:val="both"/>
        <w:rPr>
          <w:rFonts w:ascii="Times New Roman" w:hAnsi="Times New Roman"/>
          <w:color w:val="000000" w:themeColor="text1"/>
          <w:sz w:val="16"/>
          <w:szCs w:val="16"/>
        </w:rPr>
      </w:pPr>
    </w:p>
    <w:p w14:paraId="48B8010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появилось пер-вое правительственное постановление о выделении Р-6 полярникам, но реализовано не было, очевидно, из-за недовыполне-ния планов промышленностью. ГУСМП получило первый поплавковый Р-ба в конце 1934 г. Этот самолёт с бортовым обозначением Н-29 весной следующего года принял экипаж И.И. Черевичного. На заводе им. Побежимова в Красноярске проём задней стрелковой точки замени-ли открывающимся люком, зашили гнез-до демонтированной нижней выпускной башни. Экипаж состоял из пилота, радис-та (в передней кабине) и двух механиков. В навигацию 1936 г. Черевичный обеспе-чивал ледовую разведку при проводке по Северному морскому пути боевых кораб-лей для усиления Тихоокеанского флота. За эту работу лётчика удостоили ордена Красной Звезды. Зимой Н-29 переставили с поплавков на лыжи и использовали для рейсов в Сибири (12264).</w:t>
      </w:r>
    </w:p>
    <w:p w14:paraId="560D1747"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7A89AE2E" w14:textId="77777777" w:rsidR="004E474B" w:rsidRPr="0044524F" w:rsidRDefault="004E47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когда КБ только начинало проектировать АНТ-27, предусматривался и его гражданский вариант на 14 пассажиров. Судя по сохра</w:t>
      </w:r>
      <w:r w:rsidRPr="0044524F">
        <w:rPr>
          <w:rFonts w:ascii="Times New Roman" w:hAnsi="Times New Roman"/>
          <w:color w:val="000000" w:themeColor="text1"/>
          <w:sz w:val="16"/>
          <w:szCs w:val="16"/>
        </w:rPr>
        <w:softHyphen/>
        <w:t>нившимся калькуляции и фотографиям модели, к рассмотрению этого варианта вернулись в 1936 году. Документы, осве</w:t>
      </w:r>
      <w:r w:rsidRPr="0044524F">
        <w:rPr>
          <w:rFonts w:ascii="Times New Roman" w:hAnsi="Times New Roman"/>
          <w:color w:val="000000" w:themeColor="text1"/>
          <w:sz w:val="16"/>
          <w:szCs w:val="16"/>
        </w:rPr>
        <w:softHyphen/>
        <w:t>щающие судьбу проекта, пока не найде</w:t>
      </w:r>
      <w:r w:rsidRPr="0044524F">
        <w:rPr>
          <w:rFonts w:ascii="Times New Roman" w:hAnsi="Times New Roman"/>
          <w:color w:val="000000" w:themeColor="text1"/>
          <w:sz w:val="16"/>
          <w:szCs w:val="16"/>
        </w:rPr>
        <w:softHyphen/>
        <w:t>ны (23474).</w:t>
      </w:r>
    </w:p>
    <w:p w14:paraId="0EEC02B7" w14:textId="77777777" w:rsidR="004E474B" w:rsidRPr="0044524F" w:rsidRDefault="004E474B" w:rsidP="009654CF">
      <w:pPr>
        <w:spacing w:after="0" w:line="240" w:lineRule="auto"/>
        <w:jc w:val="both"/>
        <w:rPr>
          <w:rFonts w:ascii="Times New Roman" w:hAnsi="Times New Roman"/>
          <w:color w:val="000000" w:themeColor="text1"/>
          <w:sz w:val="16"/>
          <w:szCs w:val="16"/>
        </w:rPr>
      </w:pPr>
    </w:p>
    <w:p w14:paraId="4F42EA8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А.Н.Т. был избран членкором АН.</w:t>
      </w:r>
    </w:p>
    <w:p w14:paraId="552C919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9DB19F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А.Н.Т. начал работу над МДР-4 (АНТ-27) (80,265).</w:t>
      </w:r>
    </w:p>
    <w:p w14:paraId="557EE73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0796A2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КОСОС приступил к проектированию модернизированного варианта МДР-3, получившего обозначение ЦКБ-27, а в ВВС - МДР-4 (6472, 32).</w:t>
      </w:r>
    </w:p>
    <w:p w14:paraId="4CE9F19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5E734F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начальник материально-технического снабжения и вооружений ВВС РККА Жаров писал письмо № УМТС/00833 в Кремль Бакулову</w:t>
      </w:r>
    </w:p>
    <w:p w14:paraId="51E86CC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При сем препровождаю ведомость выполнения программы заказов на самолеты и моторы за 1932 год и ведомость заказов самолетов и моторов на 1933 год, согласно личных переговоров (3530,119)</w:t>
      </w:r>
    </w:p>
    <w:p w14:paraId="5CA2083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Ведомость выполнения программы заказов на самолеты и моторы за 1932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333"/>
        <w:gridCol w:w="1418"/>
        <w:gridCol w:w="1417"/>
        <w:gridCol w:w="1418"/>
        <w:gridCol w:w="1417"/>
        <w:gridCol w:w="1418"/>
      </w:tblGrid>
      <w:tr w:rsidR="004E10C1" w:rsidRPr="0044524F" w14:paraId="58DF8326" w14:textId="77777777">
        <w:trPr>
          <w:cantSplit/>
        </w:trPr>
        <w:tc>
          <w:tcPr>
            <w:tcW w:w="1610" w:type="dxa"/>
          </w:tcPr>
          <w:p w14:paraId="4F217AA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Типы самолетов и моторов</w:t>
            </w:r>
          </w:p>
        </w:tc>
        <w:tc>
          <w:tcPr>
            <w:tcW w:w="1333" w:type="dxa"/>
          </w:tcPr>
          <w:p w14:paraId="526BF2C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Годовое количество</w:t>
            </w:r>
          </w:p>
        </w:tc>
        <w:tc>
          <w:tcPr>
            <w:tcW w:w="1418" w:type="dxa"/>
          </w:tcPr>
          <w:p w14:paraId="124D6B0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w:t>
            </w:r>
          </w:p>
        </w:tc>
        <w:tc>
          <w:tcPr>
            <w:tcW w:w="1417" w:type="dxa"/>
          </w:tcPr>
          <w:p w14:paraId="3F10926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квартал</w:t>
            </w:r>
          </w:p>
        </w:tc>
        <w:tc>
          <w:tcPr>
            <w:tcW w:w="1418" w:type="dxa"/>
          </w:tcPr>
          <w:p w14:paraId="79CCB06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квартал</w:t>
            </w:r>
          </w:p>
        </w:tc>
        <w:tc>
          <w:tcPr>
            <w:tcW w:w="1417" w:type="dxa"/>
          </w:tcPr>
          <w:p w14:paraId="3C9995A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квартал</w:t>
            </w:r>
          </w:p>
        </w:tc>
        <w:tc>
          <w:tcPr>
            <w:tcW w:w="1418" w:type="dxa"/>
          </w:tcPr>
          <w:p w14:paraId="6B0FD15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сдано за год</w:t>
            </w:r>
          </w:p>
        </w:tc>
      </w:tr>
      <w:tr w:rsidR="004E10C1" w:rsidRPr="0044524F" w14:paraId="1126EFF2" w14:textId="77777777">
        <w:trPr>
          <w:cantSplit/>
        </w:trPr>
        <w:tc>
          <w:tcPr>
            <w:tcW w:w="1610" w:type="dxa"/>
          </w:tcPr>
          <w:p w14:paraId="11B722A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c>
        <w:tc>
          <w:tcPr>
            <w:tcW w:w="1333" w:type="dxa"/>
          </w:tcPr>
          <w:p w14:paraId="39B8E59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54D916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BD0D0D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4E7FA6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27E33C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E947A5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6088FA8" w14:textId="77777777">
        <w:trPr>
          <w:cantSplit/>
        </w:trPr>
        <w:tc>
          <w:tcPr>
            <w:tcW w:w="1610" w:type="dxa"/>
          </w:tcPr>
          <w:p w14:paraId="1DCFC63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М-22</w:t>
            </w:r>
          </w:p>
        </w:tc>
        <w:tc>
          <w:tcPr>
            <w:tcW w:w="1333" w:type="dxa"/>
          </w:tcPr>
          <w:p w14:paraId="46F3373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345</w:t>
            </w:r>
          </w:p>
        </w:tc>
        <w:tc>
          <w:tcPr>
            <w:tcW w:w="1418" w:type="dxa"/>
          </w:tcPr>
          <w:p w14:paraId="7B9B1F8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25/20</w:t>
            </w:r>
          </w:p>
        </w:tc>
        <w:tc>
          <w:tcPr>
            <w:tcW w:w="1417" w:type="dxa"/>
          </w:tcPr>
          <w:p w14:paraId="0914C43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59/52</w:t>
            </w:r>
          </w:p>
        </w:tc>
        <w:tc>
          <w:tcPr>
            <w:tcW w:w="1418" w:type="dxa"/>
          </w:tcPr>
          <w:p w14:paraId="7CB7A9A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96/3</w:t>
            </w:r>
          </w:p>
        </w:tc>
        <w:tc>
          <w:tcPr>
            <w:tcW w:w="1417" w:type="dxa"/>
          </w:tcPr>
          <w:p w14:paraId="2CF520D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165/15</w:t>
            </w:r>
          </w:p>
        </w:tc>
        <w:tc>
          <w:tcPr>
            <w:tcW w:w="1418" w:type="dxa"/>
          </w:tcPr>
          <w:p w14:paraId="52F9038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r>
      <w:tr w:rsidR="004E10C1" w:rsidRPr="0044524F" w14:paraId="14E3C068" w14:textId="77777777">
        <w:trPr>
          <w:cantSplit/>
        </w:trPr>
        <w:tc>
          <w:tcPr>
            <w:tcW w:w="1610" w:type="dxa"/>
          </w:tcPr>
          <w:p w14:paraId="017BFC6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 М-17</w:t>
            </w:r>
          </w:p>
        </w:tc>
        <w:tc>
          <w:tcPr>
            <w:tcW w:w="1333" w:type="dxa"/>
          </w:tcPr>
          <w:p w14:paraId="0C8F6D4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1418" w:type="dxa"/>
          </w:tcPr>
          <w:p w14:paraId="7560703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17" w:type="dxa"/>
          </w:tcPr>
          <w:p w14:paraId="0FBF075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1418" w:type="dxa"/>
          </w:tcPr>
          <w:p w14:paraId="2E89DD7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17" w:type="dxa"/>
          </w:tcPr>
          <w:p w14:paraId="7A02DD6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100/45</w:t>
            </w:r>
          </w:p>
        </w:tc>
        <w:tc>
          <w:tcPr>
            <w:tcW w:w="1418" w:type="dxa"/>
          </w:tcPr>
          <w:p w14:paraId="5AF5705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r>
      <w:tr w:rsidR="004E10C1" w:rsidRPr="0044524F" w14:paraId="3890CCAA" w14:textId="77777777">
        <w:trPr>
          <w:cantSplit/>
        </w:trPr>
        <w:tc>
          <w:tcPr>
            <w:tcW w:w="1610" w:type="dxa"/>
          </w:tcPr>
          <w:p w14:paraId="0059007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М-17</w:t>
            </w:r>
          </w:p>
        </w:tc>
        <w:tc>
          <w:tcPr>
            <w:tcW w:w="1333" w:type="dxa"/>
          </w:tcPr>
          <w:p w14:paraId="7174A9C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1075</w:t>
            </w:r>
          </w:p>
        </w:tc>
        <w:tc>
          <w:tcPr>
            <w:tcW w:w="1418" w:type="dxa"/>
          </w:tcPr>
          <w:p w14:paraId="23A2267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200/211</w:t>
            </w:r>
          </w:p>
        </w:tc>
        <w:tc>
          <w:tcPr>
            <w:tcW w:w="1417" w:type="dxa"/>
          </w:tcPr>
          <w:p w14:paraId="1EAB608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250/232</w:t>
            </w:r>
          </w:p>
        </w:tc>
        <w:tc>
          <w:tcPr>
            <w:tcW w:w="1418" w:type="dxa"/>
          </w:tcPr>
          <w:p w14:paraId="2FA3E49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307/63</w:t>
            </w:r>
          </w:p>
        </w:tc>
        <w:tc>
          <w:tcPr>
            <w:tcW w:w="1417" w:type="dxa"/>
          </w:tcPr>
          <w:p w14:paraId="3D84D60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318/220</w:t>
            </w:r>
          </w:p>
        </w:tc>
        <w:tc>
          <w:tcPr>
            <w:tcW w:w="1418" w:type="dxa"/>
          </w:tcPr>
          <w:p w14:paraId="2C14E48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726</w:t>
            </w:r>
          </w:p>
        </w:tc>
      </w:tr>
      <w:tr w:rsidR="004E10C1" w:rsidRPr="0044524F" w14:paraId="10C5C3F6" w14:textId="77777777">
        <w:trPr>
          <w:cantSplit/>
        </w:trPr>
        <w:tc>
          <w:tcPr>
            <w:tcW w:w="1610" w:type="dxa"/>
          </w:tcPr>
          <w:p w14:paraId="26086EA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 М-11</w:t>
            </w:r>
          </w:p>
        </w:tc>
        <w:tc>
          <w:tcPr>
            <w:tcW w:w="1333" w:type="dxa"/>
          </w:tcPr>
          <w:p w14:paraId="2C88B3F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575</w:t>
            </w:r>
          </w:p>
        </w:tc>
        <w:tc>
          <w:tcPr>
            <w:tcW w:w="1418" w:type="dxa"/>
          </w:tcPr>
          <w:p w14:paraId="136BC06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150/173</w:t>
            </w:r>
          </w:p>
        </w:tc>
        <w:tc>
          <w:tcPr>
            <w:tcW w:w="1417" w:type="dxa"/>
          </w:tcPr>
          <w:p w14:paraId="27C1DEF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100/106</w:t>
            </w:r>
          </w:p>
        </w:tc>
        <w:tc>
          <w:tcPr>
            <w:tcW w:w="1418" w:type="dxa"/>
          </w:tcPr>
          <w:p w14:paraId="539309C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145/135</w:t>
            </w:r>
          </w:p>
        </w:tc>
        <w:tc>
          <w:tcPr>
            <w:tcW w:w="1417" w:type="dxa"/>
          </w:tcPr>
          <w:p w14:paraId="4AEC3BD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180/182</w:t>
            </w:r>
          </w:p>
        </w:tc>
        <w:tc>
          <w:tcPr>
            <w:tcW w:w="1418" w:type="dxa"/>
          </w:tcPr>
          <w:p w14:paraId="63C17C2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596</w:t>
            </w:r>
          </w:p>
        </w:tc>
      </w:tr>
      <w:tr w:rsidR="004E10C1" w:rsidRPr="0044524F" w14:paraId="57F8F4AC" w14:textId="77777777">
        <w:trPr>
          <w:cantSplit/>
        </w:trPr>
        <w:tc>
          <w:tcPr>
            <w:tcW w:w="1610" w:type="dxa"/>
          </w:tcPr>
          <w:p w14:paraId="0DFB604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 М-17</w:t>
            </w:r>
          </w:p>
        </w:tc>
        <w:tc>
          <w:tcPr>
            <w:tcW w:w="1333" w:type="dxa"/>
          </w:tcPr>
          <w:p w14:paraId="7FA9483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418" w:type="dxa"/>
          </w:tcPr>
          <w:p w14:paraId="1C43C68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17" w:type="dxa"/>
          </w:tcPr>
          <w:p w14:paraId="6F235E5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18" w:type="dxa"/>
          </w:tcPr>
          <w:p w14:paraId="3AE705C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417" w:type="dxa"/>
          </w:tcPr>
          <w:p w14:paraId="4BD5529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1418" w:type="dxa"/>
          </w:tcPr>
          <w:p w14:paraId="51CD9C7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D40482A" w14:textId="77777777">
        <w:trPr>
          <w:cantSplit/>
        </w:trPr>
        <w:tc>
          <w:tcPr>
            <w:tcW w:w="1610" w:type="dxa"/>
          </w:tcPr>
          <w:p w14:paraId="04CF4A1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333" w:type="dxa"/>
          </w:tcPr>
          <w:p w14:paraId="1F5A4BD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418" w:type="dxa"/>
          </w:tcPr>
          <w:p w14:paraId="661D529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1417" w:type="dxa"/>
          </w:tcPr>
          <w:p w14:paraId="0DF788D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43/4</w:t>
            </w:r>
          </w:p>
        </w:tc>
        <w:tc>
          <w:tcPr>
            <w:tcW w:w="1418" w:type="dxa"/>
          </w:tcPr>
          <w:p w14:paraId="6C4942D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90/39</w:t>
            </w:r>
          </w:p>
        </w:tc>
        <w:tc>
          <w:tcPr>
            <w:tcW w:w="1417" w:type="dxa"/>
          </w:tcPr>
          <w:p w14:paraId="519749A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160/113</w:t>
            </w:r>
          </w:p>
        </w:tc>
        <w:tc>
          <w:tcPr>
            <w:tcW w:w="1418" w:type="dxa"/>
          </w:tcPr>
          <w:p w14:paraId="33F0F05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r>
      <w:tr w:rsidR="004E10C1" w:rsidRPr="0044524F" w14:paraId="3C82DD9C" w14:textId="77777777">
        <w:trPr>
          <w:cantSplit/>
        </w:trPr>
        <w:tc>
          <w:tcPr>
            <w:tcW w:w="1610" w:type="dxa"/>
          </w:tcPr>
          <w:p w14:paraId="661D4CF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1333" w:type="dxa"/>
          </w:tcPr>
          <w:p w14:paraId="0D1DCA0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18" w:type="dxa"/>
          </w:tcPr>
          <w:p w14:paraId="4ADBB6B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15/14</w:t>
            </w:r>
          </w:p>
        </w:tc>
        <w:tc>
          <w:tcPr>
            <w:tcW w:w="1417" w:type="dxa"/>
          </w:tcPr>
          <w:p w14:paraId="69FDA4A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w:t>
            </w:r>
          </w:p>
        </w:tc>
        <w:tc>
          <w:tcPr>
            <w:tcW w:w="1418" w:type="dxa"/>
          </w:tcPr>
          <w:p w14:paraId="42A3A05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w:t>
            </w:r>
          </w:p>
        </w:tc>
        <w:tc>
          <w:tcPr>
            <w:tcW w:w="1417" w:type="dxa"/>
          </w:tcPr>
          <w:p w14:paraId="1A4C2B5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24/7</w:t>
            </w:r>
          </w:p>
        </w:tc>
        <w:tc>
          <w:tcPr>
            <w:tcW w:w="1418" w:type="dxa"/>
          </w:tcPr>
          <w:p w14:paraId="77275F6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r>
      <w:tr w:rsidR="004E10C1" w:rsidRPr="0044524F" w14:paraId="1AD6AB96" w14:textId="77777777">
        <w:trPr>
          <w:cantSplit/>
        </w:trPr>
        <w:tc>
          <w:tcPr>
            <w:tcW w:w="1610" w:type="dxa"/>
          </w:tcPr>
          <w:p w14:paraId="037C8DB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 АССО</w:t>
            </w:r>
          </w:p>
        </w:tc>
        <w:tc>
          <w:tcPr>
            <w:tcW w:w="1333" w:type="dxa"/>
          </w:tcPr>
          <w:p w14:paraId="5C54F8A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18" w:type="dxa"/>
          </w:tcPr>
          <w:p w14:paraId="42D4C6D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417" w:type="dxa"/>
          </w:tcPr>
          <w:p w14:paraId="77DDC0B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23/1</w:t>
            </w:r>
          </w:p>
        </w:tc>
        <w:tc>
          <w:tcPr>
            <w:tcW w:w="1418" w:type="dxa"/>
          </w:tcPr>
          <w:p w14:paraId="1137CBD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w:t>
            </w:r>
          </w:p>
        </w:tc>
        <w:tc>
          <w:tcPr>
            <w:tcW w:w="1417" w:type="dxa"/>
          </w:tcPr>
          <w:p w14:paraId="249374A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418" w:type="dxa"/>
          </w:tcPr>
          <w:p w14:paraId="47EE44E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r>
      <w:tr w:rsidR="004E10C1" w:rsidRPr="0044524F" w14:paraId="13303C67" w14:textId="77777777">
        <w:trPr>
          <w:cantSplit/>
        </w:trPr>
        <w:tc>
          <w:tcPr>
            <w:tcW w:w="1610" w:type="dxa"/>
          </w:tcPr>
          <w:p w14:paraId="3881668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 М-11</w:t>
            </w:r>
          </w:p>
        </w:tc>
        <w:tc>
          <w:tcPr>
            <w:tcW w:w="1333" w:type="dxa"/>
          </w:tcPr>
          <w:p w14:paraId="5746CBA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418" w:type="dxa"/>
          </w:tcPr>
          <w:p w14:paraId="5200204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17" w:type="dxa"/>
          </w:tcPr>
          <w:p w14:paraId="69E4519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18" w:type="dxa"/>
          </w:tcPr>
          <w:p w14:paraId="771ACDF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417" w:type="dxa"/>
          </w:tcPr>
          <w:p w14:paraId="5A5D75B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6/10</w:t>
            </w:r>
          </w:p>
        </w:tc>
        <w:tc>
          <w:tcPr>
            <w:tcW w:w="1418" w:type="dxa"/>
          </w:tcPr>
          <w:p w14:paraId="4E79013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38B968F9" w14:textId="77777777">
        <w:trPr>
          <w:cantSplit/>
        </w:trPr>
        <w:tc>
          <w:tcPr>
            <w:tcW w:w="1610" w:type="dxa"/>
          </w:tcPr>
          <w:p w14:paraId="3C89EF5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ЗЕТ М-22</w:t>
            </w:r>
          </w:p>
        </w:tc>
        <w:tc>
          <w:tcPr>
            <w:tcW w:w="1333" w:type="dxa"/>
          </w:tcPr>
          <w:p w14:paraId="12AFD81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418" w:type="dxa"/>
          </w:tcPr>
          <w:p w14:paraId="7F01AB0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17" w:type="dxa"/>
          </w:tcPr>
          <w:p w14:paraId="7E0AAF4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418" w:type="dxa"/>
          </w:tcPr>
          <w:p w14:paraId="7AF3870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417" w:type="dxa"/>
          </w:tcPr>
          <w:p w14:paraId="6B8F9C4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418" w:type="dxa"/>
          </w:tcPr>
          <w:p w14:paraId="7F6AA14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r>
      <w:tr w:rsidR="004E10C1" w:rsidRPr="0044524F" w14:paraId="170B91A0" w14:textId="77777777">
        <w:trPr>
          <w:cantSplit/>
        </w:trPr>
        <w:tc>
          <w:tcPr>
            <w:tcW w:w="1610" w:type="dxa"/>
          </w:tcPr>
          <w:p w14:paraId="3BFCE60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333" w:type="dxa"/>
          </w:tcPr>
          <w:p w14:paraId="7010B47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2655</w:t>
            </w:r>
          </w:p>
        </w:tc>
        <w:tc>
          <w:tcPr>
            <w:tcW w:w="1418" w:type="dxa"/>
          </w:tcPr>
          <w:p w14:paraId="4BE9107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407/422</w:t>
            </w:r>
          </w:p>
        </w:tc>
        <w:tc>
          <w:tcPr>
            <w:tcW w:w="1417" w:type="dxa"/>
          </w:tcPr>
          <w:p w14:paraId="4729F5E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556/403</w:t>
            </w:r>
          </w:p>
        </w:tc>
        <w:tc>
          <w:tcPr>
            <w:tcW w:w="1418" w:type="dxa"/>
          </w:tcPr>
          <w:p w14:paraId="2FCB9A1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679/246</w:t>
            </w:r>
          </w:p>
        </w:tc>
        <w:tc>
          <w:tcPr>
            <w:tcW w:w="1417" w:type="dxa"/>
          </w:tcPr>
          <w:p w14:paraId="30E3A29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1013/634</w:t>
            </w:r>
          </w:p>
        </w:tc>
        <w:tc>
          <w:tcPr>
            <w:tcW w:w="1418" w:type="dxa"/>
          </w:tcPr>
          <w:p w14:paraId="27E1A88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1705</w:t>
            </w:r>
          </w:p>
        </w:tc>
      </w:tr>
      <w:tr w:rsidR="004E10C1" w:rsidRPr="0044524F" w14:paraId="6BECC189" w14:textId="77777777">
        <w:trPr>
          <w:cantSplit/>
        </w:trPr>
        <w:tc>
          <w:tcPr>
            <w:tcW w:w="1610" w:type="dxa"/>
          </w:tcPr>
          <w:p w14:paraId="31DE524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1333" w:type="dxa"/>
          </w:tcPr>
          <w:p w14:paraId="390785F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0AB77E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D248A1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DD2DA8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D16CAE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0E72F9F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1A12742" w14:textId="77777777">
        <w:trPr>
          <w:cantSplit/>
        </w:trPr>
        <w:tc>
          <w:tcPr>
            <w:tcW w:w="1610" w:type="dxa"/>
          </w:tcPr>
          <w:p w14:paraId="74C99D2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333" w:type="dxa"/>
          </w:tcPr>
          <w:p w14:paraId="759FC3A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2080</w:t>
            </w:r>
          </w:p>
        </w:tc>
        <w:tc>
          <w:tcPr>
            <w:tcW w:w="1418" w:type="dxa"/>
          </w:tcPr>
          <w:p w14:paraId="0D21C4B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470/421</w:t>
            </w:r>
          </w:p>
        </w:tc>
        <w:tc>
          <w:tcPr>
            <w:tcW w:w="1417" w:type="dxa"/>
          </w:tcPr>
          <w:p w14:paraId="6383B13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540/438</w:t>
            </w:r>
          </w:p>
        </w:tc>
        <w:tc>
          <w:tcPr>
            <w:tcW w:w="1418" w:type="dxa"/>
          </w:tcPr>
          <w:p w14:paraId="4E32489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565/173</w:t>
            </w:r>
          </w:p>
        </w:tc>
        <w:tc>
          <w:tcPr>
            <w:tcW w:w="1417" w:type="dxa"/>
          </w:tcPr>
          <w:p w14:paraId="7A16EEB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505/609</w:t>
            </w:r>
          </w:p>
        </w:tc>
        <w:tc>
          <w:tcPr>
            <w:tcW w:w="1418" w:type="dxa"/>
          </w:tcPr>
          <w:p w14:paraId="5CD0CEF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1641</w:t>
            </w:r>
          </w:p>
        </w:tc>
      </w:tr>
      <w:tr w:rsidR="004E10C1" w:rsidRPr="0044524F" w14:paraId="67AADB17" w14:textId="77777777">
        <w:trPr>
          <w:cantSplit/>
        </w:trPr>
        <w:tc>
          <w:tcPr>
            <w:tcW w:w="1610" w:type="dxa"/>
          </w:tcPr>
          <w:p w14:paraId="2E6BF20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333" w:type="dxa"/>
          </w:tcPr>
          <w:p w14:paraId="7E30FBB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955</w:t>
            </w:r>
          </w:p>
        </w:tc>
        <w:tc>
          <w:tcPr>
            <w:tcW w:w="1418" w:type="dxa"/>
          </w:tcPr>
          <w:p w14:paraId="3834868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240/250</w:t>
            </w:r>
          </w:p>
        </w:tc>
        <w:tc>
          <w:tcPr>
            <w:tcW w:w="1417" w:type="dxa"/>
          </w:tcPr>
          <w:p w14:paraId="5219989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215/191</w:t>
            </w:r>
          </w:p>
        </w:tc>
        <w:tc>
          <w:tcPr>
            <w:tcW w:w="1418" w:type="dxa"/>
          </w:tcPr>
          <w:p w14:paraId="3B00F2B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260/204</w:t>
            </w:r>
          </w:p>
        </w:tc>
        <w:tc>
          <w:tcPr>
            <w:tcW w:w="1417" w:type="dxa"/>
          </w:tcPr>
          <w:p w14:paraId="2E6C1FF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240/238</w:t>
            </w:r>
          </w:p>
        </w:tc>
        <w:tc>
          <w:tcPr>
            <w:tcW w:w="1418" w:type="dxa"/>
          </w:tcPr>
          <w:p w14:paraId="0513E7A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883</w:t>
            </w:r>
          </w:p>
        </w:tc>
      </w:tr>
      <w:tr w:rsidR="004E10C1" w:rsidRPr="0044524F" w14:paraId="05DA0701" w14:textId="77777777">
        <w:trPr>
          <w:cantSplit/>
        </w:trPr>
        <w:tc>
          <w:tcPr>
            <w:tcW w:w="1610" w:type="dxa"/>
          </w:tcPr>
          <w:p w14:paraId="20A3F10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333" w:type="dxa"/>
          </w:tcPr>
          <w:p w14:paraId="4C61593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398</w:t>
            </w:r>
          </w:p>
        </w:tc>
        <w:tc>
          <w:tcPr>
            <w:tcW w:w="1418" w:type="dxa"/>
          </w:tcPr>
          <w:p w14:paraId="4DA7EF5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76/67</w:t>
            </w:r>
          </w:p>
        </w:tc>
        <w:tc>
          <w:tcPr>
            <w:tcW w:w="1417" w:type="dxa"/>
          </w:tcPr>
          <w:p w14:paraId="3E94BE9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100/91</w:t>
            </w:r>
          </w:p>
        </w:tc>
        <w:tc>
          <w:tcPr>
            <w:tcW w:w="1418" w:type="dxa"/>
          </w:tcPr>
          <w:p w14:paraId="6B6030E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105/75</w:t>
            </w:r>
          </w:p>
        </w:tc>
        <w:tc>
          <w:tcPr>
            <w:tcW w:w="1417" w:type="dxa"/>
          </w:tcPr>
          <w:p w14:paraId="6440A81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117/124</w:t>
            </w:r>
          </w:p>
        </w:tc>
        <w:tc>
          <w:tcPr>
            <w:tcW w:w="1418" w:type="dxa"/>
          </w:tcPr>
          <w:p w14:paraId="1F7C7D2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357</w:t>
            </w:r>
          </w:p>
        </w:tc>
      </w:tr>
      <w:tr w:rsidR="004E10C1" w:rsidRPr="0044524F" w14:paraId="5BCDC4A9" w14:textId="77777777">
        <w:trPr>
          <w:cantSplit/>
        </w:trPr>
        <w:tc>
          <w:tcPr>
            <w:tcW w:w="1610" w:type="dxa"/>
          </w:tcPr>
          <w:p w14:paraId="184B6FE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333" w:type="dxa"/>
          </w:tcPr>
          <w:p w14:paraId="2111CAA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418" w:type="dxa"/>
          </w:tcPr>
          <w:p w14:paraId="4297AC8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17" w:type="dxa"/>
          </w:tcPr>
          <w:p w14:paraId="4FC189C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1418" w:type="dxa"/>
          </w:tcPr>
          <w:p w14:paraId="4ED0A5D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105/7</w:t>
            </w:r>
          </w:p>
        </w:tc>
        <w:tc>
          <w:tcPr>
            <w:tcW w:w="1417" w:type="dxa"/>
          </w:tcPr>
          <w:p w14:paraId="3576E23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290/52</w:t>
            </w:r>
          </w:p>
        </w:tc>
        <w:tc>
          <w:tcPr>
            <w:tcW w:w="1418" w:type="dxa"/>
          </w:tcPr>
          <w:p w14:paraId="2CD0A81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w:t>
            </w:r>
          </w:p>
        </w:tc>
      </w:tr>
      <w:tr w:rsidR="004E10C1" w:rsidRPr="0044524F" w14:paraId="2614CC3A" w14:textId="77777777">
        <w:trPr>
          <w:cantSplit/>
        </w:trPr>
        <w:tc>
          <w:tcPr>
            <w:tcW w:w="1610" w:type="dxa"/>
          </w:tcPr>
          <w:p w14:paraId="7FFE71B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333" w:type="dxa"/>
          </w:tcPr>
          <w:p w14:paraId="5F5D700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3833</w:t>
            </w:r>
          </w:p>
        </w:tc>
        <w:tc>
          <w:tcPr>
            <w:tcW w:w="1418" w:type="dxa"/>
          </w:tcPr>
          <w:p w14:paraId="1E9F311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786/738</w:t>
            </w:r>
          </w:p>
        </w:tc>
        <w:tc>
          <w:tcPr>
            <w:tcW w:w="1417" w:type="dxa"/>
          </w:tcPr>
          <w:p w14:paraId="5C2AAE1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860/725</w:t>
            </w:r>
          </w:p>
        </w:tc>
        <w:tc>
          <w:tcPr>
            <w:tcW w:w="1418" w:type="dxa"/>
          </w:tcPr>
          <w:p w14:paraId="6C66BDA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1035/459</w:t>
            </w:r>
          </w:p>
        </w:tc>
        <w:tc>
          <w:tcPr>
            <w:tcW w:w="1417" w:type="dxa"/>
          </w:tcPr>
          <w:p w14:paraId="3C86296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1152/1023</w:t>
            </w:r>
          </w:p>
        </w:tc>
        <w:tc>
          <w:tcPr>
            <w:tcW w:w="1418" w:type="dxa"/>
          </w:tcPr>
          <w:p w14:paraId="01EE17D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2945</w:t>
            </w:r>
          </w:p>
        </w:tc>
      </w:tr>
    </w:tbl>
    <w:p w14:paraId="06EB86F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В графе поквартальные сроки сдачи числителем показано число самолетов или моторов, подлежавших сдаче по договору, а знаменателем – число самолетов фактически сданных за квартал.</w:t>
      </w:r>
    </w:p>
    <w:p w14:paraId="14A6986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толь значительного недовыполнения программы 1932 года заводами сводятся к следующему:</w:t>
      </w:r>
    </w:p>
    <w:p w14:paraId="5631E1B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И-5</w:t>
      </w:r>
    </w:p>
    <w:p w14:paraId="52AC0C3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Недовыполнение программы в целом относится за счет завода № 21, который машину в 1932 году не освоил и к серийному выпуску не приступил.</w:t>
      </w:r>
    </w:p>
    <w:p w14:paraId="2D5D1CF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отсутствовала правильная подготовка и организация производства; потребовалось большое количество переделок в чертежах (до 3000).</w:t>
      </w:r>
    </w:p>
    <w:p w14:paraId="682D86D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359B1F7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Р-5</w:t>
      </w:r>
    </w:p>
    <w:p w14:paraId="1B1373B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Недовыполнение программы произошло из-за отсутствия моторов М-17 в III и IV кварталах.</w:t>
      </w:r>
    </w:p>
    <w:p w14:paraId="544A4E7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Р-6</w:t>
      </w:r>
    </w:p>
    <w:p w14:paraId="41B17DD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31 в связи с поздней подачей с завода № 20 на завод № 31 серийной постройки этой машины, отсутствия подготовки завода № 31 к серийному производству металлических самолетов и благодаря недочетам организационного порядка на заводе № 31, в 1932 году ни одного самолета Р-6 не сдал; сдача 31 указанных выше самолетов Р-6 была произведена заводом № 22.</w:t>
      </w:r>
    </w:p>
    <w:p w14:paraId="513604B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И-7</w:t>
      </w:r>
    </w:p>
    <w:p w14:paraId="206099C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Недовыполнение программы произошло из-за ряда неполадок с освоением производства на заводе № 1, из-за отсутствия достаточного количества труб для оперения центроплана и фюзеляжа и недостачи моторов в IV квартале.</w:t>
      </w:r>
    </w:p>
    <w:p w14:paraId="34F76BD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ТБ3</w:t>
      </w:r>
    </w:p>
    <w:p w14:paraId="12EFD73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Недовыполнение произошло по причине отсутствия моторов М-17 в IV квартале; частично из-за того, что завод № 22 в III и IV кварталах отставал по сборке самолетов.</w:t>
      </w:r>
    </w:p>
    <w:p w14:paraId="16202BD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МБР-4 (С-62 бис)</w:t>
      </w:r>
    </w:p>
    <w:p w14:paraId="6B3F1FF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Причинами недовыполнения программы по этим самолетам являются: позднее освоение заводом № 31 серийной постройки этой машины, неполадки организационного порядка на самом заводе № 31 и введение ряда переделок против итальянского образца.</w:t>
      </w:r>
    </w:p>
    <w:p w14:paraId="6FBB05E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мотору М-17</w:t>
      </w:r>
    </w:p>
    <w:p w14:paraId="74DF26D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Недовыполнение программы 1932 года заводом № 26 вызвано большим браком, как деталей, так и моторов в целом, задержкой с подачей заводу поковок, валов, цилиндров и др.</w:t>
      </w:r>
    </w:p>
    <w:p w14:paraId="2FE20CE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мотору М-34</w:t>
      </w:r>
    </w:p>
    <w:p w14:paraId="0E15CB1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24 в 1932 году не справился с программой по ряду причин, из коих основные: медленное освоение серийного производства, ряд конструктивных и производственных неполадок, как-то: обрывы болтов-шатунов, поломки валов, трещины и выкрашивание баббита вкладышей, переделки в чертежах и ряд других причин.</w:t>
      </w:r>
    </w:p>
    <w:p w14:paraId="751C1A2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(Подписи: врид начальника 1 сектора 1 отдела УМТСиВ ВВС РККА Галдин, пом. начальника 1 сектора 1 отдела УМТСиВ ВВС РККА Кронгауз) (3530,120-121)</w:t>
      </w:r>
    </w:p>
    <w:p w14:paraId="52240EE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Ведомость заказов самолетов и моторов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64"/>
        <w:gridCol w:w="845"/>
        <w:gridCol w:w="864"/>
        <w:gridCol w:w="837"/>
        <w:gridCol w:w="993"/>
        <w:gridCol w:w="992"/>
        <w:gridCol w:w="850"/>
        <w:gridCol w:w="851"/>
        <w:gridCol w:w="992"/>
        <w:gridCol w:w="2126"/>
      </w:tblGrid>
      <w:tr w:rsidR="004E10C1" w:rsidRPr="0044524F" w14:paraId="28D1A91B" w14:textId="77777777">
        <w:trPr>
          <w:cantSplit/>
        </w:trPr>
        <w:tc>
          <w:tcPr>
            <w:tcW w:w="964" w:type="dxa"/>
          </w:tcPr>
          <w:p w14:paraId="4C5B96F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70BA872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Годовое количество</w:t>
            </w:r>
          </w:p>
        </w:tc>
        <w:tc>
          <w:tcPr>
            <w:tcW w:w="864" w:type="dxa"/>
          </w:tcPr>
          <w:p w14:paraId="3EDF905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Январь</w:t>
            </w:r>
          </w:p>
        </w:tc>
        <w:tc>
          <w:tcPr>
            <w:tcW w:w="837" w:type="dxa"/>
          </w:tcPr>
          <w:p w14:paraId="21B1948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Февраль</w:t>
            </w:r>
          </w:p>
        </w:tc>
        <w:tc>
          <w:tcPr>
            <w:tcW w:w="993" w:type="dxa"/>
          </w:tcPr>
          <w:p w14:paraId="349CC67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Март</w:t>
            </w:r>
          </w:p>
        </w:tc>
        <w:tc>
          <w:tcPr>
            <w:tcW w:w="992" w:type="dxa"/>
          </w:tcPr>
          <w:p w14:paraId="7D772DA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Всего за </w:t>
            </w:r>
          </w:p>
          <w:p w14:paraId="6020539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w:t>
            </w:r>
          </w:p>
        </w:tc>
        <w:tc>
          <w:tcPr>
            <w:tcW w:w="850" w:type="dxa"/>
          </w:tcPr>
          <w:p w14:paraId="53347AF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квартал</w:t>
            </w:r>
          </w:p>
        </w:tc>
        <w:tc>
          <w:tcPr>
            <w:tcW w:w="851" w:type="dxa"/>
          </w:tcPr>
          <w:p w14:paraId="1F5F044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квартал</w:t>
            </w:r>
          </w:p>
        </w:tc>
        <w:tc>
          <w:tcPr>
            <w:tcW w:w="992" w:type="dxa"/>
          </w:tcPr>
          <w:p w14:paraId="1B34768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квартал</w:t>
            </w:r>
          </w:p>
        </w:tc>
        <w:tc>
          <w:tcPr>
            <w:tcW w:w="2126" w:type="dxa"/>
          </w:tcPr>
          <w:p w14:paraId="46B5001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7FE1B7E1" w14:textId="77777777">
        <w:trPr>
          <w:cantSplit/>
        </w:trPr>
        <w:tc>
          <w:tcPr>
            <w:tcW w:w="964" w:type="dxa"/>
          </w:tcPr>
          <w:p w14:paraId="0E514B7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c>
        <w:tc>
          <w:tcPr>
            <w:tcW w:w="845" w:type="dxa"/>
          </w:tcPr>
          <w:p w14:paraId="5FC9328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44A5440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132ED31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6644B4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0A8D8A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88C742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F50F52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FDAA6A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223900D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D9FDD48" w14:textId="77777777">
        <w:trPr>
          <w:cantSplit/>
        </w:trPr>
        <w:tc>
          <w:tcPr>
            <w:tcW w:w="964" w:type="dxa"/>
          </w:tcPr>
          <w:p w14:paraId="11581E0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w:t>
            </w:r>
          </w:p>
        </w:tc>
        <w:tc>
          <w:tcPr>
            <w:tcW w:w="845" w:type="dxa"/>
          </w:tcPr>
          <w:p w14:paraId="7C851D4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864" w:type="dxa"/>
          </w:tcPr>
          <w:p w14:paraId="19C2119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837" w:type="dxa"/>
          </w:tcPr>
          <w:p w14:paraId="452A19E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993" w:type="dxa"/>
          </w:tcPr>
          <w:p w14:paraId="7B2FE43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15/10</w:t>
            </w:r>
          </w:p>
        </w:tc>
        <w:tc>
          <w:tcPr>
            <w:tcW w:w="992" w:type="dxa"/>
          </w:tcPr>
          <w:p w14:paraId="7754030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35/15</w:t>
            </w:r>
          </w:p>
        </w:tc>
        <w:tc>
          <w:tcPr>
            <w:tcW w:w="850" w:type="dxa"/>
          </w:tcPr>
          <w:p w14:paraId="6D04072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851" w:type="dxa"/>
          </w:tcPr>
          <w:p w14:paraId="4E93D35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992" w:type="dxa"/>
          </w:tcPr>
          <w:p w14:paraId="181E840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2126" w:type="dxa"/>
          </w:tcPr>
          <w:p w14:paraId="65BC8DF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графе «поквартальные поставки» по первому кварталу числителем показано число самолетов и моторов, подлежащих сдаче по договорам, а знаменателем – число самолетов и моторов, фактически сданных; за март по сдаче показана предполагаемая сдача.</w:t>
            </w:r>
          </w:p>
        </w:tc>
      </w:tr>
      <w:tr w:rsidR="004E10C1" w:rsidRPr="0044524F" w14:paraId="7EAC2E88" w14:textId="77777777">
        <w:trPr>
          <w:cantSplit/>
        </w:trPr>
        <w:tc>
          <w:tcPr>
            <w:tcW w:w="964" w:type="dxa"/>
          </w:tcPr>
          <w:p w14:paraId="48F8D9B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845" w:type="dxa"/>
          </w:tcPr>
          <w:p w14:paraId="0DC6058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864" w:type="dxa"/>
          </w:tcPr>
          <w:p w14:paraId="00CF963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50/50</w:t>
            </w:r>
          </w:p>
        </w:tc>
        <w:tc>
          <w:tcPr>
            <w:tcW w:w="837" w:type="dxa"/>
          </w:tcPr>
          <w:p w14:paraId="36C1907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120/50</w:t>
            </w:r>
          </w:p>
        </w:tc>
        <w:tc>
          <w:tcPr>
            <w:tcW w:w="993" w:type="dxa"/>
          </w:tcPr>
          <w:p w14:paraId="3AD02E0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120/60</w:t>
            </w:r>
          </w:p>
        </w:tc>
        <w:tc>
          <w:tcPr>
            <w:tcW w:w="992" w:type="dxa"/>
          </w:tcPr>
          <w:p w14:paraId="5F83819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310/160</w:t>
            </w:r>
          </w:p>
        </w:tc>
        <w:tc>
          <w:tcPr>
            <w:tcW w:w="850" w:type="dxa"/>
          </w:tcPr>
          <w:p w14:paraId="530F41A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851" w:type="dxa"/>
          </w:tcPr>
          <w:p w14:paraId="0B56FF5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455</w:t>
            </w:r>
          </w:p>
        </w:tc>
        <w:tc>
          <w:tcPr>
            <w:tcW w:w="992" w:type="dxa"/>
          </w:tcPr>
          <w:p w14:paraId="238F35C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485</w:t>
            </w:r>
          </w:p>
        </w:tc>
        <w:tc>
          <w:tcPr>
            <w:tcW w:w="2126" w:type="dxa"/>
          </w:tcPr>
          <w:p w14:paraId="480EE67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3F9274C" w14:textId="77777777">
        <w:trPr>
          <w:cantSplit/>
        </w:trPr>
        <w:tc>
          <w:tcPr>
            <w:tcW w:w="964" w:type="dxa"/>
          </w:tcPr>
          <w:p w14:paraId="2E82064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И5а</w:t>
            </w:r>
          </w:p>
        </w:tc>
        <w:tc>
          <w:tcPr>
            <w:tcW w:w="845" w:type="dxa"/>
          </w:tcPr>
          <w:p w14:paraId="4D388B3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864" w:type="dxa"/>
          </w:tcPr>
          <w:p w14:paraId="0D41B59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37" w:type="dxa"/>
          </w:tcPr>
          <w:p w14:paraId="2CE132C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3" w:type="dxa"/>
          </w:tcPr>
          <w:p w14:paraId="566702D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48E4010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6E08B2C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851" w:type="dxa"/>
          </w:tcPr>
          <w:p w14:paraId="5EC037F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0F2FE25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126" w:type="dxa"/>
          </w:tcPr>
          <w:p w14:paraId="3B09D9E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6D3C8A6" w14:textId="77777777">
        <w:trPr>
          <w:cantSplit/>
        </w:trPr>
        <w:tc>
          <w:tcPr>
            <w:tcW w:w="964" w:type="dxa"/>
          </w:tcPr>
          <w:p w14:paraId="086540D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Р3</w:t>
            </w:r>
          </w:p>
        </w:tc>
        <w:tc>
          <w:tcPr>
            <w:tcW w:w="845" w:type="dxa"/>
          </w:tcPr>
          <w:p w14:paraId="2F7439D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864" w:type="dxa"/>
          </w:tcPr>
          <w:p w14:paraId="18DCA60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15/15</w:t>
            </w:r>
          </w:p>
        </w:tc>
        <w:tc>
          <w:tcPr>
            <w:tcW w:w="837" w:type="dxa"/>
          </w:tcPr>
          <w:p w14:paraId="63D9629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23/8</w:t>
            </w:r>
          </w:p>
        </w:tc>
        <w:tc>
          <w:tcPr>
            <w:tcW w:w="993" w:type="dxa"/>
          </w:tcPr>
          <w:p w14:paraId="25A7CF6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27/20</w:t>
            </w:r>
          </w:p>
        </w:tc>
        <w:tc>
          <w:tcPr>
            <w:tcW w:w="992" w:type="dxa"/>
          </w:tcPr>
          <w:p w14:paraId="31CBD9F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65/43</w:t>
            </w:r>
          </w:p>
        </w:tc>
        <w:tc>
          <w:tcPr>
            <w:tcW w:w="850" w:type="dxa"/>
          </w:tcPr>
          <w:p w14:paraId="747599C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w:t>
            </w:r>
          </w:p>
        </w:tc>
        <w:tc>
          <w:tcPr>
            <w:tcW w:w="851" w:type="dxa"/>
          </w:tcPr>
          <w:p w14:paraId="5E98E78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w:t>
            </w:r>
          </w:p>
        </w:tc>
        <w:tc>
          <w:tcPr>
            <w:tcW w:w="992" w:type="dxa"/>
          </w:tcPr>
          <w:p w14:paraId="2AF6A1C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2126" w:type="dxa"/>
          </w:tcPr>
          <w:p w14:paraId="52A8F53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8B86406" w14:textId="77777777">
        <w:trPr>
          <w:cantSplit/>
        </w:trPr>
        <w:tc>
          <w:tcPr>
            <w:tcW w:w="964" w:type="dxa"/>
          </w:tcPr>
          <w:p w14:paraId="75C54C5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2D0E7CC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864" w:type="dxa"/>
          </w:tcPr>
          <w:p w14:paraId="1FD48ED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37" w:type="dxa"/>
          </w:tcPr>
          <w:p w14:paraId="3877C33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3" w:type="dxa"/>
          </w:tcPr>
          <w:p w14:paraId="6587EB6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2A5F3FB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231B184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617F57B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6D553EA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2126" w:type="dxa"/>
          </w:tcPr>
          <w:p w14:paraId="7A52775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5FEEBAC" w14:textId="77777777">
        <w:trPr>
          <w:cantSplit/>
        </w:trPr>
        <w:tc>
          <w:tcPr>
            <w:tcW w:w="964" w:type="dxa"/>
          </w:tcPr>
          <w:p w14:paraId="64E20EE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845" w:type="dxa"/>
          </w:tcPr>
          <w:p w14:paraId="4F635E4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864" w:type="dxa"/>
          </w:tcPr>
          <w:p w14:paraId="3224D53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37" w:type="dxa"/>
          </w:tcPr>
          <w:p w14:paraId="4A1539E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3" w:type="dxa"/>
          </w:tcPr>
          <w:p w14:paraId="2B5B74B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6E9863F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0" w:type="dxa"/>
          </w:tcPr>
          <w:p w14:paraId="6741023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43FF6E1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3930693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2126" w:type="dxa"/>
          </w:tcPr>
          <w:p w14:paraId="11402CA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3D383D7" w14:textId="77777777">
        <w:trPr>
          <w:cantSplit/>
        </w:trPr>
        <w:tc>
          <w:tcPr>
            <w:tcW w:w="964" w:type="dxa"/>
          </w:tcPr>
          <w:p w14:paraId="7FA404D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845" w:type="dxa"/>
          </w:tcPr>
          <w:p w14:paraId="525B9B4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864" w:type="dxa"/>
          </w:tcPr>
          <w:p w14:paraId="1F5FE7F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837" w:type="dxa"/>
          </w:tcPr>
          <w:p w14:paraId="3D523F3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20/5</w:t>
            </w:r>
          </w:p>
        </w:tc>
        <w:tc>
          <w:tcPr>
            <w:tcW w:w="993" w:type="dxa"/>
          </w:tcPr>
          <w:p w14:paraId="175067C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25/15</w:t>
            </w:r>
          </w:p>
        </w:tc>
        <w:tc>
          <w:tcPr>
            <w:tcW w:w="992" w:type="dxa"/>
          </w:tcPr>
          <w:p w14:paraId="02A99FE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60/20</w:t>
            </w:r>
          </w:p>
        </w:tc>
        <w:tc>
          <w:tcPr>
            <w:tcW w:w="850" w:type="dxa"/>
          </w:tcPr>
          <w:p w14:paraId="4068F2C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851" w:type="dxa"/>
          </w:tcPr>
          <w:p w14:paraId="1536B88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992" w:type="dxa"/>
          </w:tcPr>
          <w:p w14:paraId="6F51E3A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2126" w:type="dxa"/>
          </w:tcPr>
          <w:p w14:paraId="3397DBA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08CF13B" w14:textId="77777777">
        <w:trPr>
          <w:cantSplit/>
        </w:trPr>
        <w:tc>
          <w:tcPr>
            <w:tcW w:w="964" w:type="dxa"/>
          </w:tcPr>
          <w:p w14:paraId="4475C2F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845" w:type="dxa"/>
          </w:tcPr>
          <w:p w14:paraId="74C490B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864" w:type="dxa"/>
          </w:tcPr>
          <w:p w14:paraId="33F064F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837" w:type="dxa"/>
          </w:tcPr>
          <w:p w14:paraId="285D4EB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65/20</w:t>
            </w:r>
          </w:p>
        </w:tc>
        <w:tc>
          <w:tcPr>
            <w:tcW w:w="993" w:type="dxa"/>
          </w:tcPr>
          <w:p w14:paraId="1EA0875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75/60</w:t>
            </w:r>
          </w:p>
        </w:tc>
        <w:tc>
          <w:tcPr>
            <w:tcW w:w="992" w:type="dxa"/>
          </w:tcPr>
          <w:p w14:paraId="0F73C59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140/85</w:t>
            </w:r>
          </w:p>
        </w:tc>
        <w:tc>
          <w:tcPr>
            <w:tcW w:w="850" w:type="dxa"/>
          </w:tcPr>
          <w:p w14:paraId="676F9D7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851" w:type="dxa"/>
          </w:tcPr>
          <w:p w14:paraId="3FF91B9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992" w:type="dxa"/>
          </w:tcPr>
          <w:p w14:paraId="52A3B07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2126" w:type="dxa"/>
          </w:tcPr>
          <w:p w14:paraId="6CB5ABC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65F010F" w14:textId="77777777">
        <w:trPr>
          <w:cantSplit/>
        </w:trPr>
        <w:tc>
          <w:tcPr>
            <w:tcW w:w="964" w:type="dxa"/>
          </w:tcPr>
          <w:p w14:paraId="0A0F0D6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w:t>
            </w:r>
          </w:p>
        </w:tc>
        <w:tc>
          <w:tcPr>
            <w:tcW w:w="845" w:type="dxa"/>
          </w:tcPr>
          <w:p w14:paraId="7E82A96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864" w:type="dxa"/>
          </w:tcPr>
          <w:p w14:paraId="75AA6F1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37" w:type="dxa"/>
          </w:tcPr>
          <w:p w14:paraId="2675DED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3" w:type="dxa"/>
          </w:tcPr>
          <w:p w14:paraId="12F2AB3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992" w:type="dxa"/>
          </w:tcPr>
          <w:p w14:paraId="029EE69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850" w:type="dxa"/>
          </w:tcPr>
          <w:p w14:paraId="2500527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851" w:type="dxa"/>
          </w:tcPr>
          <w:p w14:paraId="1868A0D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992" w:type="dxa"/>
          </w:tcPr>
          <w:p w14:paraId="00EFEB8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2126" w:type="dxa"/>
          </w:tcPr>
          <w:p w14:paraId="0F2C024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6041E36" w14:textId="77777777">
        <w:trPr>
          <w:cantSplit/>
        </w:trPr>
        <w:tc>
          <w:tcPr>
            <w:tcW w:w="964" w:type="dxa"/>
          </w:tcPr>
          <w:p w14:paraId="25B8571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845" w:type="dxa"/>
          </w:tcPr>
          <w:p w14:paraId="2BF18C6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864" w:type="dxa"/>
          </w:tcPr>
          <w:p w14:paraId="6CA4C78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37" w:type="dxa"/>
          </w:tcPr>
          <w:p w14:paraId="0886DE9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w:t>
            </w:r>
          </w:p>
        </w:tc>
        <w:tc>
          <w:tcPr>
            <w:tcW w:w="993" w:type="dxa"/>
          </w:tcPr>
          <w:p w14:paraId="391641F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tc>
        <w:tc>
          <w:tcPr>
            <w:tcW w:w="992" w:type="dxa"/>
          </w:tcPr>
          <w:p w14:paraId="25ED64E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850" w:type="dxa"/>
          </w:tcPr>
          <w:p w14:paraId="1F454A1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851" w:type="dxa"/>
          </w:tcPr>
          <w:p w14:paraId="4038091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992" w:type="dxa"/>
          </w:tcPr>
          <w:p w14:paraId="40C225D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2126" w:type="dxa"/>
          </w:tcPr>
          <w:p w14:paraId="7332FC4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42A2ED2" w14:textId="77777777">
        <w:trPr>
          <w:cantSplit/>
        </w:trPr>
        <w:tc>
          <w:tcPr>
            <w:tcW w:w="964" w:type="dxa"/>
          </w:tcPr>
          <w:p w14:paraId="6707B3F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5" w:type="dxa"/>
          </w:tcPr>
          <w:p w14:paraId="2D8EF27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864" w:type="dxa"/>
          </w:tcPr>
          <w:p w14:paraId="5FF9089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837" w:type="dxa"/>
          </w:tcPr>
          <w:p w14:paraId="6FCA58C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993" w:type="dxa"/>
          </w:tcPr>
          <w:p w14:paraId="40BC835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10/15</w:t>
            </w:r>
          </w:p>
        </w:tc>
        <w:tc>
          <w:tcPr>
            <w:tcW w:w="992" w:type="dxa"/>
          </w:tcPr>
          <w:p w14:paraId="1B0676B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25/20</w:t>
            </w:r>
          </w:p>
        </w:tc>
        <w:tc>
          <w:tcPr>
            <w:tcW w:w="850" w:type="dxa"/>
          </w:tcPr>
          <w:p w14:paraId="6206395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851" w:type="dxa"/>
          </w:tcPr>
          <w:p w14:paraId="23D2315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51BBD10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126" w:type="dxa"/>
          </w:tcPr>
          <w:p w14:paraId="2D4F3ED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A1FE2AA" w14:textId="77777777">
        <w:trPr>
          <w:cantSplit/>
        </w:trPr>
        <w:tc>
          <w:tcPr>
            <w:tcW w:w="964" w:type="dxa"/>
          </w:tcPr>
          <w:p w14:paraId="7153060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845" w:type="dxa"/>
          </w:tcPr>
          <w:p w14:paraId="191B2F4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3615</w:t>
            </w:r>
          </w:p>
        </w:tc>
        <w:tc>
          <w:tcPr>
            <w:tcW w:w="864" w:type="dxa"/>
          </w:tcPr>
          <w:p w14:paraId="42F1B6F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90/75</w:t>
            </w:r>
          </w:p>
        </w:tc>
        <w:tc>
          <w:tcPr>
            <w:tcW w:w="837" w:type="dxa"/>
          </w:tcPr>
          <w:p w14:paraId="4E06264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258/90</w:t>
            </w:r>
          </w:p>
        </w:tc>
        <w:tc>
          <w:tcPr>
            <w:tcW w:w="993" w:type="dxa"/>
          </w:tcPr>
          <w:p w14:paraId="5CF87E1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317/183</w:t>
            </w:r>
          </w:p>
        </w:tc>
        <w:tc>
          <w:tcPr>
            <w:tcW w:w="992" w:type="dxa"/>
          </w:tcPr>
          <w:p w14:paraId="440A069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665/348</w:t>
            </w:r>
          </w:p>
        </w:tc>
        <w:tc>
          <w:tcPr>
            <w:tcW w:w="850" w:type="dxa"/>
          </w:tcPr>
          <w:p w14:paraId="4FAB4DE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930</w:t>
            </w:r>
          </w:p>
        </w:tc>
        <w:tc>
          <w:tcPr>
            <w:tcW w:w="851" w:type="dxa"/>
          </w:tcPr>
          <w:p w14:paraId="79D7A31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1067</w:t>
            </w:r>
          </w:p>
        </w:tc>
        <w:tc>
          <w:tcPr>
            <w:tcW w:w="992" w:type="dxa"/>
          </w:tcPr>
          <w:p w14:paraId="6098172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953</w:t>
            </w:r>
          </w:p>
        </w:tc>
        <w:tc>
          <w:tcPr>
            <w:tcW w:w="2126" w:type="dxa"/>
          </w:tcPr>
          <w:p w14:paraId="45BCE16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F18158D" w14:textId="77777777">
        <w:trPr>
          <w:cantSplit/>
        </w:trPr>
        <w:tc>
          <w:tcPr>
            <w:tcW w:w="964" w:type="dxa"/>
          </w:tcPr>
          <w:p w14:paraId="3447811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845" w:type="dxa"/>
          </w:tcPr>
          <w:p w14:paraId="362FB6B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4" w:type="dxa"/>
          </w:tcPr>
          <w:p w14:paraId="5F80FA7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37" w:type="dxa"/>
          </w:tcPr>
          <w:p w14:paraId="7214C63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20463C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D7392B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5CF774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31EC21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E09DA1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1B0021A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01B4F90" w14:textId="77777777">
        <w:trPr>
          <w:cantSplit/>
        </w:trPr>
        <w:tc>
          <w:tcPr>
            <w:tcW w:w="964" w:type="dxa"/>
          </w:tcPr>
          <w:p w14:paraId="09FFB52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845" w:type="dxa"/>
          </w:tcPr>
          <w:p w14:paraId="31D5D85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864" w:type="dxa"/>
          </w:tcPr>
          <w:p w14:paraId="73D8368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837" w:type="dxa"/>
          </w:tcPr>
          <w:p w14:paraId="48B18F9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993" w:type="dxa"/>
          </w:tcPr>
          <w:p w14:paraId="5EDF9CD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10/10</w:t>
            </w:r>
          </w:p>
        </w:tc>
        <w:tc>
          <w:tcPr>
            <w:tcW w:w="992" w:type="dxa"/>
          </w:tcPr>
          <w:p w14:paraId="43914C1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20/15</w:t>
            </w:r>
          </w:p>
        </w:tc>
        <w:tc>
          <w:tcPr>
            <w:tcW w:w="850" w:type="dxa"/>
          </w:tcPr>
          <w:p w14:paraId="3820A94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851" w:type="dxa"/>
          </w:tcPr>
          <w:p w14:paraId="580A047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992" w:type="dxa"/>
          </w:tcPr>
          <w:p w14:paraId="135A51F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345</w:t>
            </w:r>
          </w:p>
        </w:tc>
        <w:tc>
          <w:tcPr>
            <w:tcW w:w="2126" w:type="dxa"/>
          </w:tcPr>
          <w:p w14:paraId="0B07AA4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0BCACD2" w14:textId="77777777">
        <w:trPr>
          <w:cantSplit/>
        </w:trPr>
        <w:tc>
          <w:tcPr>
            <w:tcW w:w="964" w:type="dxa"/>
          </w:tcPr>
          <w:p w14:paraId="72C819E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845" w:type="dxa"/>
          </w:tcPr>
          <w:p w14:paraId="0195D36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864" w:type="dxa"/>
          </w:tcPr>
          <w:p w14:paraId="6BDB402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5/11</w:t>
            </w:r>
          </w:p>
        </w:tc>
        <w:tc>
          <w:tcPr>
            <w:tcW w:w="837" w:type="dxa"/>
          </w:tcPr>
          <w:p w14:paraId="5539D59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993" w:type="dxa"/>
          </w:tcPr>
          <w:p w14:paraId="26C2EB2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w:t>
            </w:r>
          </w:p>
        </w:tc>
        <w:tc>
          <w:tcPr>
            <w:tcW w:w="992" w:type="dxa"/>
          </w:tcPr>
          <w:p w14:paraId="1EC4EC7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20/20</w:t>
            </w:r>
          </w:p>
        </w:tc>
        <w:tc>
          <w:tcPr>
            <w:tcW w:w="850" w:type="dxa"/>
          </w:tcPr>
          <w:p w14:paraId="03B0B09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851" w:type="dxa"/>
          </w:tcPr>
          <w:p w14:paraId="2C73EB3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992" w:type="dxa"/>
          </w:tcPr>
          <w:p w14:paraId="7612C28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2126" w:type="dxa"/>
          </w:tcPr>
          <w:p w14:paraId="48BE1F1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35484A" w14:textId="77777777">
        <w:trPr>
          <w:cantSplit/>
        </w:trPr>
        <w:tc>
          <w:tcPr>
            <w:tcW w:w="964" w:type="dxa"/>
          </w:tcPr>
          <w:p w14:paraId="213ED5D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М-11</w:t>
            </w:r>
          </w:p>
        </w:tc>
        <w:tc>
          <w:tcPr>
            <w:tcW w:w="845" w:type="dxa"/>
          </w:tcPr>
          <w:p w14:paraId="029EAC5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w:t>
            </w:r>
          </w:p>
        </w:tc>
        <w:tc>
          <w:tcPr>
            <w:tcW w:w="864" w:type="dxa"/>
          </w:tcPr>
          <w:p w14:paraId="1C465C8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10/21</w:t>
            </w:r>
          </w:p>
        </w:tc>
        <w:tc>
          <w:tcPr>
            <w:tcW w:w="837" w:type="dxa"/>
          </w:tcPr>
          <w:p w14:paraId="52584F2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993" w:type="dxa"/>
          </w:tcPr>
          <w:p w14:paraId="20E09CA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w:t>
            </w:r>
          </w:p>
        </w:tc>
        <w:tc>
          <w:tcPr>
            <w:tcW w:w="992" w:type="dxa"/>
          </w:tcPr>
          <w:p w14:paraId="63E6693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30/30</w:t>
            </w:r>
          </w:p>
        </w:tc>
        <w:tc>
          <w:tcPr>
            <w:tcW w:w="850" w:type="dxa"/>
          </w:tcPr>
          <w:p w14:paraId="195F45D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851" w:type="dxa"/>
          </w:tcPr>
          <w:p w14:paraId="7706067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992" w:type="dxa"/>
          </w:tcPr>
          <w:p w14:paraId="3D31FAA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2126" w:type="dxa"/>
          </w:tcPr>
          <w:p w14:paraId="4169141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4EBC194" w14:textId="77777777">
        <w:trPr>
          <w:cantSplit/>
        </w:trPr>
        <w:tc>
          <w:tcPr>
            <w:tcW w:w="964" w:type="dxa"/>
          </w:tcPr>
          <w:p w14:paraId="5223421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845" w:type="dxa"/>
          </w:tcPr>
          <w:p w14:paraId="2DAAFB9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864" w:type="dxa"/>
          </w:tcPr>
          <w:p w14:paraId="1381BEA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w:t>
            </w:r>
          </w:p>
        </w:tc>
        <w:tc>
          <w:tcPr>
            <w:tcW w:w="837" w:type="dxa"/>
          </w:tcPr>
          <w:p w14:paraId="737B990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20/10</w:t>
            </w:r>
          </w:p>
        </w:tc>
        <w:tc>
          <w:tcPr>
            <w:tcW w:w="993" w:type="dxa"/>
          </w:tcPr>
          <w:p w14:paraId="67AAA09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20/10</w:t>
            </w:r>
          </w:p>
        </w:tc>
        <w:tc>
          <w:tcPr>
            <w:tcW w:w="992" w:type="dxa"/>
          </w:tcPr>
          <w:p w14:paraId="17E0D00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48/28</w:t>
            </w:r>
          </w:p>
        </w:tc>
        <w:tc>
          <w:tcPr>
            <w:tcW w:w="850" w:type="dxa"/>
          </w:tcPr>
          <w:p w14:paraId="26985A7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851" w:type="dxa"/>
          </w:tcPr>
          <w:p w14:paraId="3DD3E94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c>
          <w:tcPr>
            <w:tcW w:w="992" w:type="dxa"/>
          </w:tcPr>
          <w:p w14:paraId="05A9961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2126" w:type="dxa"/>
          </w:tcPr>
          <w:p w14:paraId="55F00B3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D120C3C" w14:textId="77777777">
        <w:trPr>
          <w:cantSplit/>
        </w:trPr>
        <w:tc>
          <w:tcPr>
            <w:tcW w:w="964" w:type="dxa"/>
          </w:tcPr>
          <w:p w14:paraId="136E413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845" w:type="dxa"/>
          </w:tcPr>
          <w:p w14:paraId="07C92EA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1340</w:t>
            </w:r>
          </w:p>
        </w:tc>
        <w:tc>
          <w:tcPr>
            <w:tcW w:w="864" w:type="dxa"/>
          </w:tcPr>
          <w:p w14:paraId="4C0F9BA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26/40</w:t>
            </w:r>
          </w:p>
        </w:tc>
        <w:tc>
          <w:tcPr>
            <w:tcW w:w="837" w:type="dxa"/>
          </w:tcPr>
          <w:p w14:paraId="0DD421F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42/15</w:t>
            </w:r>
          </w:p>
        </w:tc>
        <w:tc>
          <w:tcPr>
            <w:tcW w:w="993" w:type="dxa"/>
          </w:tcPr>
          <w:p w14:paraId="1E283D6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50/36</w:t>
            </w:r>
          </w:p>
        </w:tc>
        <w:tc>
          <w:tcPr>
            <w:tcW w:w="992" w:type="dxa"/>
          </w:tcPr>
          <w:p w14:paraId="08C85A2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118/83</w:t>
            </w:r>
          </w:p>
        </w:tc>
        <w:tc>
          <w:tcPr>
            <w:tcW w:w="850" w:type="dxa"/>
          </w:tcPr>
          <w:p w14:paraId="0936894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851" w:type="dxa"/>
          </w:tcPr>
          <w:p w14:paraId="0C3DCBE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461</w:t>
            </w:r>
          </w:p>
        </w:tc>
        <w:tc>
          <w:tcPr>
            <w:tcW w:w="992" w:type="dxa"/>
          </w:tcPr>
          <w:p w14:paraId="39C4259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561</w:t>
            </w:r>
          </w:p>
        </w:tc>
        <w:tc>
          <w:tcPr>
            <w:tcW w:w="2126" w:type="dxa"/>
          </w:tcPr>
          <w:p w14:paraId="34E33FC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086C1EF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Причинами недовыполнения программы первого квартала (январь-февраль) 1933 года являются следующие:</w:t>
      </w:r>
    </w:p>
    <w:p w14:paraId="36EC699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И-5: на выполнение программы I квартала 1933 года продолжают сказываться причины срыва программы по 1932 году; только сейчас завод 3 21 начинает медленно налаживать серийный выпуск самолетов.</w:t>
      </w:r>
    </w:p>
    <w:p w14:paraId="269B450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МБР-4: сдача самолетов задерживается необходимостью внесения ряда изменений в самолет в целях улучшения центровки.</w:t>
      </w:r>
    </w:p>
    <w:p w14:paraId="2DB41DD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У-2: недовыполнения заводом № 23 программы за февраль вызвано тем, что завод отстал с выполнением программы по самолетам АП, соответственно передвигая сроки сдачи У-2.</w:t>
      </w:r>
    </w:p>
    <w:p w14:paraId="71E8D9E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мотору М-17: причинами недовыполнения программы января и февраля является большой брак, например: из 93-х изготовленных моторов, лишь 41 мотор может быть принят; остальные признаны некондиционными.</w:t>
      </w:r>
    </w:p>
    <w:p w14:paraId="0CFD54B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(Подписи: врид начальника 1 сектора 1 отдела УМТСиВ ВВС РККА Галдин, пом. начальника 1 сектора 1 отдела УМТСиВ ВВС РККА Кронгауз) (3530,122).</w:t>
      </w:r>
    </w:p>
    <w:p w14:paraId="6DA858A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A0D80C2"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1933 года на авиационном заводе №21 (ГАЗ №21) с большим трудом удалось окончить первый серийный самолёт И-5. Всего до конца 1934 года на заводе в Нижнем Новгороде было выпущено 803 самолёта.</w:t>
      </w:r>
    </w:p>
    <w:p w14:paraId="43114547"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Было множество различий между предсерийными образцами и серийными самолётами И</w:t>
      </w:r>
      <w:r w:rsidRPr="00142305">
        <w:rPr>
          <w:rFonts w:ascii="Times New Roman" w:hAnsi="Times New Roman"/>
          <w:color w:val="0070C0"/>
          <w:sz w:val="16"/>
          <w:szCs w:val="16"/>
        </w:rPr>
        <w:noBreakHyphen/>
        <w:t>5. Серийные самолёты имели кольцо типа Таундена вокруг мотора воздушного охлаждения М</w:t>
      </w:r>
      <w:r w:rsidRPr="00142305">
        <w:rPr>
          <w:rFonts w:ascii="Times New Roman" w:hAnsi="Times New Roman"/>
          <w:color w:val="0070C0"/>
          <w:sz w:val="16"/>
          <w:szCs w:val="16"/>
        </w:rPr>
        <w:noBreakHyphen/>
        <w:t>22 (который был копией британского двигателя «Bristol JupiterVI»), тогда как на двух первых прототипах ВТ</w:t>
      </w:r>
      <w:r w:rsidRPr="00142305">
        <w:rPr>
          <w:rFonts w:ascii="Times New Roman" w:hAnsi="Times New Roman"/>
          <w:color w:val="0070C0"/>
          <w:sz w:val="16"/>
          <w:szCs w:val="16"/>
        </w:rPr>
        <w:noBreakHyphen/>
        <w:t>11 и тринадцати предсерийных машинах каждый цилиндр двигателя М</w:t>
      </w:r>
      <w:r w:rsidRPr="00142305">
        <w:rPr>
          <w:rFonts w:ascii="Times New Roman" w:hAnsi="Times New Roman"/>
          <w:color w:val="0070C0"/>
          <w:sz w:val="16"/>
          <w:szCs w:val="16"/>
        </w:rPr>
        <w:noBreakHyphen/>
        <w:t>15 имел собственный каплевидный обтекатель и свой индивидуальный выхлопной патрубок.</w:t>
      </w:r>
    </w:p>
    <w:p w14:paraId="089B947B"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сравнению с предсерийными самолётами, на И</w:t>
      </w:r>
      <w:r w:rsidRPr="00142305">
        <w:rPr>
          <w:rFonts w:ascii="Times New Roman" w:hAnsi="Times New Roman"/>
          <w:color w:val="0070C0"/>
          <w:sz w:val="16"/>
          <w:szCs w:val="16"/>
        </w:rPr>
        <w:noBreakHyphen/>
        <w:t>5 был значительно удлинён заголовник пилота, который теперь больше напоминал гаргрот, масляный радиатор был установлен сразу за мотором. Передняя стойка колес стала короче, заднюю стойку колёс сделали более толстой, а шины колес стали несколько шире (25069).</w:t>
      </w:r>
    </w:p>
    <w:p w14:paraId="539BE46F" w14:textId="77777777" w:rsidR="00111E22" w:rsidRPr="00142305" w:rsidRDefault="00111E22" w:rsidP="00111E22">
      <w:pPr>
        <w:spacing w:after="0" w:line="240" w:lineRule="auto"/>
        <w:jc w:val="both"/>
        <w:rPr>
          <w:rFonts w:ascii="Times New Roman" w:hAnsi="Times New Roman"/>
          <w:color w:val="0070C0"/>
          <w:sz w:val="16"/>
          <w:szCs w:val="16"/>
        </w:rPr>
      </w:pPr>
    </w:p>
    <w:p w14:paraId="6E5F07BD"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феврале 1933 был готов окончательный проект Сталь-МАИ. Самолёты для кругосветного перелёта должны были иметь следующие данные: длина — 12,5 м, размах — 21,5 м, вес пустого — 2500 кг, полётный вес — 4620 кг, крейсерская скорость — 245 км/ч, нормальная дальность полёта — 3700 км, дальность в перегрузочном варианте (с 3000 кг топлива) — 7500 км, потолок — 5000 м. Началось изготовление опытного крыла для статических испытаний. Однако построить самолёты в срок не удавалось. И это неудивительно: всё КБ Григоровича в МАИ состояло из шести конструкторов и пяти чертёжников, а производственной базы по существу не было.</w:t>
      </w:r>
    </w:p>
    <w:p w14:paraId="4EB8D9AA"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К этому времени Осоавиахим уже перевёл МАИ 350 тыс. рублей. Комиссия, летом 1933 г. проверявшая состояние работ, пришла к выводу, что часть этих средств потрачена не по назначению. «Незаконно израсходованные деньги на строительство квартир вернуть Осоавиахиму, а несгораемый шкаф и автомобиль считать собственностью Осоавиахима», — говорится в заключении комиссии </w:t>
      </w:r>
      <w:hyperlink r:id="rId82" w:history="1">
        <w:r w:rsidRPr="0044524F">
          <w:rPr>
            <w:rFonts w:ascii="Times New Roman" w:eastAsia="Times New Roman" w:hAnsi="Times New Roman"/>
            <w:color w:val="000000" w:themeColor="text1"/>
            <w:sz w:val="16"/>
            <w:szCs w:val="16"/>
            <w:lang w:eastAsia="ru-RU"/>
          </w:rPr>
          <w:t>[134]</w:t>
        </w:r>
      </w:hyperlink>
      <w:r w:rsidRPr="0044524F">
        <w:rPr>
          <w:rFonts w:ascii="Times New Roman" w:eastAsia="Times New Roman" w:hAnsi="Times New Roman"/>
          <w:color w:val="000000" w:themeColor="text1"/>
          <w:sz w:val="16"/>
          <w:szCs w:val="16"/>
          <w:lang w:eastAsia="ru-RU"/>
        </w:rPr>
        <w:t xml:space="preserve"> .</w:t>
      </w:r>
    </w:p>
    <w:p w14:paraId="24834047"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Другим, более важным решением, стал вывод о необходимости изменения задания на более реальное для МАИ. В новом договоре (июнь 1933 г.) речь шла о постройке только одного самолёта, меньших размеров, о кругосветном перелёте уже не упоминалось. «В целях скорейшего и бесперебойного строительства самолёта МАИ обязуется пополнить имеющееся конструкторское бюро инженерно-техническими работниками, профессурой и аспирантами», — отмечалось в договоре </w:t>
      </w:r>
      <w:hyperlink r:id="rId83" w:history="1">
        <w:r w:rsidRPr="0044524F">
          <w:rPr>
            <w:rFonts w:ascii="Times New Roman" w:eastAsia="Times New Roman" w:hAnsi="Times New Roman"/>
            <w:color w:val="000000" w:themeColor="text1"/>
            <w:sz w:val="16"/>
            <w:szCs w:val="16"/>
            <w:lang w:eastAsia="ru-RU"/>
          </w:rPr>
          <w:t>[135]</w:t>
        </w:r>
      </w:hyperlink>
      <w:r w:rsidRPr="0044524F">
        <w:rPr>
          <w:rFonts w:ascii="Times New Roman" w:eastAsia="Times New Roman" w:hAnsi="Times New Roman"/>
          <w:color w:val="000000" w:themeColor="text1"/>
          <w:sz w:val="16"/>
          <w:szCs w:val="16"/>
          <w:lang w:eastAsia="ru-RU"/>
        </w:rPr>
        <w:t xml:space="preserve"> .</w:t>
      </w:r>
    </w:p>
    <w:p w14:paraId="5A459E63"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Машина должна была быть готова к началу 1934 г. Затраты на завершение работ определили в 550 тыс. рублей, финансирование взяло на себя Главное управление ГВФ, затем — Главное управление авиационной промышленности.</w:t>
      </w:r>
    </w:p>
    <w:p w14:paraId="3BDA1774"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Григорович так сформулировал назначение строящейся машины: «установление рекорда дальности полёта самолёта советской конструкции с советским мотором на основе покрытия большой дальности полёта при минимальном времени пребывания в воздухе с одновременным освоением в производстве и испытании новых элементов конструкции из нержавеющей стали по принципу применения электросварки» </w:t>
      </w:r>
      <w:hyperlink r:id="rId84" w:history="1">
        <w:r w:rsidRPr="0044524F">
          <w:rPr>
            <w:rFonts w:ascii="Times New Roman" w:eastAsia="Times New Roman" w:hAnsi="Times New Roman"/>
            <w:color w:val="000000" w:themeColor="text1"/>
            <w:sz w:val="16"/>
            <w:szCs w:val="16"/>
            <w:lang w:eastAsia="ru-RU"/>
          </w:rPr>
          <w:t>[136]</w:t>
        </w:r>
      </w:hyperlink>
      <w:r w:rsidRPr="0044524F">
        <w:rPr>
          <w:rFonts w:ascii="Times New Roman" w:eastAsia="Times New Roman" w:hAnsi="Times New Roman"/>
          <w:color w:val="000000" w:themeColor="text1"/>
          <w:sz w:val="16"/>
          <w:szCs w:val="16"/>
          <w:lang w:eastAsia="ru-RU"/>
        </w:rPr>
        <w:t xml:space="preserve"> . Таким образом, самолёт предназначался для установления скоростного рекорда дальности, с прицелом на использование этих наработок при создании дальнего бомбардировщика.</w:t>
      </w:r>
    </w:p>
    <w:p w14:paraId="38C28EAA"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расширенное конструкторское бюро вошли студенты П.Д. Грушин, М.М. Пашинин, Л.П. Курбала, В.А. Федулов, А.П. Щекин и другие. Расчёты на прочность выполнил В.Д. Яровицкий. С появлением в МАИ учебно-производственных мастерских изготовлением самолёта руководил С.М. Беляйкин.</w:t>
      </w:r>
    </w:p>
    <w:p w14:paraId="1AE7DB37"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«ОСО-МАИ» представлял собой одномоторный низкоплан с трапециевидным крылом однолонжеронной конструкции. Относительная толщина профиля была 16 %. В крыле размещались топливные баки. Крыло — свободнонесущей схемы, горизонтальное оперение — с подкосами. Фюзеляж — полумонокок овального сечения, с двухместной кабиной, закрытой общим фонарём. Кресла пилотов имели откидные спинки и были оборудованы таким образом, чтобы экипаж мог отдыхать в полёте. Посадка в самолёт осуществлялась через дверцы в фонаре. При необходимости экипаж мог быть увеличен до трёх человек — для этого за кабиной оборудовали небольшой отсек с иллюминаторами в боковых стенках фюзеляжа.</w:t>
      </w:r>
    </w:p>
    <w:p w14:paraId="4BD17D16"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При изготовлении каркаса планера использовали опыт постройки «Сталь-2» А.И. Путилова. Основным материалом служила сталь «Энерж-6», из дюраля были только капот двигателя, элероны и хвостовое оперение. Рулевые поверхности имели полотняную обшивку. Винт — деревянный. Практически вся конструкция фюзеляжа, крыла и оперения из катаных листовых профилей была соединена точечной и роликовой электросваркой, обшивка крыла и фюзеляжа сделана из листа толщиной 0,2–0,3 мм с частыми отбортовками (рифтами или зигами) с шагом 80 мм. В.Б. Шавров пишет, что тонкая стальная обшивка образовывала многочисленные мелкие неровности на поверхности фюзеляжа </w:t>
      </w:r>
      <w:hyperlink r:id="rId85" w:history="1">
        <w:r w:rsidRPr="0044524F">
          <w:rPr>
            <w:rFonts w:ascii="Times New Roman" w:eastAsia="Times New Roman" w:hAnsi="Times New Roman"/>
            <w:color w:val="000000" w:themeColor="text1"/>
            <w:sz w:val="16"/>
            <w:szCs w:val="16"/>
            <w:lang w:eastAsia="ru-RU"/>
          </w:rPr>
          <w:t>[137]</w:t>
        </w:r>
      </w:hyperlink>
      <w:r w:rsidRPr="0044524F">
        <w:rPr>
          <w:rFonts w:ascii="Times New Roman" w:eastAsia="Times New Roman" w:hAnsi="Times New Roman"/>
          <w:color w:val="000000" w:themeColor="text1"/>
          <w:sz w:val="16"/>
          <w:szCs w:val="16"/>
          <w:lang w:eastAsia="ru-RU"/>
        </w:rPr>
        <w:t xml:space="preserve"> .</w:t>
      </w:r>
    </w:p>
    <w:p w14:paraId="3EB87FFF"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Силовая установка — двигатель М-34Р с номинальной мощностью 750 л. с. Ранее он экспонировался на выставке, поэтому отличался особой тщательностью отделки (возможно, первоначально это был макетный вариант, полученный для проведения увязочных работ по винтомоторной группе) (17489).</w:t>
      </w:r>
    </w:p>
    <w:p w14:paraId="47132CA8"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p>
    <w:p w14:paraId="45A50CC3"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феврале 1933 года производство БОК-1, который с конца 1932 строился на заводе опытных конструкций ЦАГИ, перевели на московский авиазавод № 39, где незадолго до этого изготовили гермокабину стратостата «СССР-1». Туда же, на завод № 39, перебрался коллектив БОК.</w:t>
      </w:r>
    </w:p>
    <w:p w14:paraId="67E7659C"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Большую часть приборного оборудования для БОК-1 приобрели за границей, на это было выделено 15 тыс. золотых рублей. Обсуждался вопрос о заказе у французской фирмы «Рато» турбонагнетателей — устройств, основанных на использовании турбины, вращающейся в потоке выхлопных газов. В отличие от обычных нагнетателей с приводом от двигателя, турбонагнетатель почти не потреблял мощности, однако вращающаяся со скоростью до 25 тыс. оборотов в минуту и раскаляющаяся в потоке горячих газов до температуры 800 °C крыльчатка требовала специальных конструкционных материалов, которые ещё не были созданы. Из-за ненадёжности турбин «Рато» и отсутствия собственных наработок пришлось отказаться от этой идеи.</w:t>
      </w:r>
    </w:p>
    <w:p w14:paraId="33320A88"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При проектировании и постройке БОК-1 нужно было решить множество новых задач: создать гермокабину самолётного типа, обеспечить герметичность проводки тяг из кабины к рулям самолёта и двигателю, предотвратить запотевание и обмерзание стёкол в полёте, обеспечить нормальные температурные условия для экипажа и др. Но главной проблемой оставался двигатель — специалистам ЦИАМ никак не удавалось сконструировать двухступенчатый нагнетатель. Тогда было получено разрешение на постройку и испытания самолёта с мотором М-34 с одноступенчатым нагнетателем. На рекордную высоту рассчитывать не приходилось, зато можно было проверить работу системы жизнеобеспечения экипажа. Испытания наметили провести в октябре 1934 г., а в следующем году заменить мотор и осуществить полёты на близких к стратосфере высотах </w:t>
      </w:r>
      <w:hyperlink r:id="rId86" w:history="1">
        <w:r w:rsidRPr="0044524F">
          <w:rPr>
            <w:rFonts w:ascii="Times New Roman" w:eastAsia="Times New Roman" w:hAnsi="Times New Roman"/>
            <w:color w:val="000000" w:themeColor="text1"/>
            <w:sz w:val="16"/>
            <w:szCs w:val="16"/>
            <w:lang w:eastAsia="ru-RU"/>
          </w:rPr>
          <w:t>[166]</w:t>
        </w:r>
      </w:hyperlink>
      <w:r w:rsidRPr="0044524F">
        <w:rPr>
          <w:rFonts w:ascii="Times New Roman" w:eastAsia="Times New Roman" w:hAnsi="Times New Roman"/>
          <w:color w:val="000000" w:themeColor="text1"/>
          <w:sz w:val="16"/>
          <w:szCs w:val="16"/>
          <w:lang w:eastAsia="ru-RU"/>
        </w:rPr>
        <w:t xml:space="preserve"> .</w:t>
      </w:r>
    </w:p>
    <w:p w14:paraId="21CADCB9"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Но и эти сроки не удалось выдержать. Из-за того, что 39-му заводу поручили осваивать серийный выпуск скоростных истребителей И-16, БОК вместе с недостроенным высотным самолётом летом 1934 г. перевели на смоленский авиаремонтный завод № 35, выделив для работы один из цехов. Обустройство на новом месте проходило непросто — не хватало опытных кадров, технологического оборудования, материалов. Первое время к станкам даже не был подведён ток. Неудивительно, что БОК-1 удалось построить только в конце 1935 г. Таким образом, изготовление первого советского стратоплана растянулась на три года (17489).</w:t>
      </w:r>
    </w:p>
    <w:p w14:paraId="7E826C76" w14:textId="77777777" w:rsidR="00C30D8A" w:rsidRPr="0044524F" w:rsidRDefault="00C30D8A" w:rsidP="009654CF">
      <w:pPr>
        <w:spacing w:after="0" w:line="240" w:lineRule="auto"/>
        <w:jc w:val="both"/>
        <w:rPr>
          <w:rFonts w:ascii="Times New Roman" w:eastAsia="Times New Roman" w:hAnsi="Times New Roman"/>
          <w:color w:val="000000" w:themeColor="text1"/>
          <w:sz w:val="16"/>
          <w:szCs w:val="16"/>
          <w:lang w:eastAsia="ru-RU"/>
        </w:rPr>
      </w:pPr>
    </w:p>
    <w:p w14:paraId="6C87E11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В.А.Чижевского назначили начальником бригады 3 ЦКБ завода 39 (95,22).</w:t>
      </w:r>
    </w:p>
    <w:p w14:paraId="33D3949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Похоже, группа С.В.Ильюшина подмяла под себя бригаду N 3 (БОК с В.А.Чижевским), однако, та была занята гондолой. С.В.Ильюшин лично принял участие в проектировании гондолы (правительство хотело запустить стратостат к сентябрю 1993 г.) и усилил группу В.А.Чижевского (95,22).</w:t>
      </w:r>
    </w:p>
    <w:p w14:paraId="56F7245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737B090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Бригада № 6, бывшее БОК, перешла на завод № 39, где слившись с личным составом Бюро новых конструкций (БНК), вошла в состав Центрального КБ завода № 39 в качестве бригады № 3 (экспериментальных самолетов).</w:t>
      </w:r>
    </w:p>
    <w:p w14:paraId="521725A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Слияние это наряду с положительным моментом – рост состава Бригады до 80-ти человек, имело и отрицательную сторону, так как мало сработанный и недисциплинированный состав БНК и различные системы, по которым работала Бригада в ЦАГИ и конструктора БНК, привело к целому ряду болезненных явлений в Бригаде: текучесть, различные настроения, падение дисциплины и т.п. Благодаря уволнения ряда лиц и большой работе, проделанной общественными организациями явления эти были изжиты.</w:t>
      </w:r>
    </w:p>
    <w:p w14:paraId="5D0BF06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Другим большим минусом перевода на завод № 39 было то, что Бригаде пришлось вновь готовить все комплекты чертежей по самолетам РК и СС для сдачи в производство завода № 39, часть из них переделывая применительно к новым обозначениям, отличным от тех, которые применялись в ЦАГИ.</w:t>
      </w:r>
    </w:p>
    <w:p w14:paraId="2E12618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Сами самолеты в виде заготовок и недоделанных агрегатов были перевезены из ЦАГИ на завод № 39 (7508, 54-58).</w:t>
      </w:r>
    </w:p>
    <w:p w14:paraId="123373A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 переходе из ЦАГИ на завод № 39, начальником ЦКБ С.В.И. указывалось, что самолеты Бригады № 3 включаются в общий план на равных основаниях с другими машинами. Однако, практика показала совсем другое. Острая необходимость в скорейшем получении истребителей и разведчиков, заставила поставить работы по </w:t>
      </w:r>
      <w:r w:rsidRPr="0044524F">
        <w:rPr>
          <w:rFonts w:ascii="Times New Roman" w:hAnsi="Times New Roman"/>
          <w:color w:val="000000" w:themeColor="text1"/>
          <w:sz w:val="16"/>
          <w:szCs w:val="16"/>
        </w:rPr>
        <w:lastRenderedPageBreak/>
        <w:t>самолетам ЦКБ 2,5, 9 во вторую и даже третью очередь, результатом чего явилось перманентное сдвигание срока выпуска самолетов в воздух и до настоящего времени ни один самолет не закончен. Лишь благодаря сильному нажиму на производство удалось в 1933 году закончить гондолу стратостата "СССР", который совершил свой известный полет 30 сентября 1933 года (7508, 54-58).</w:t>
      </w:r>
    </w:p>
    <w:p w14:paraId="5AE85C5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2EEB74A"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февраля 1933 г. в Москве, на заводе № 39 начали строить БОК-1, а за</w:t>
      </w:r>
      <w:r w:rsidRPr="00142305">
        <w:rPr>
          <w:rFonts w:ascii="Times New Roman" w:hAnsi="Times New Roman"/>
          <w:color w:val="0070C0"/>
          <w:sz w:val="16"/>
          <w:szCs w:val="16"/>
        </w:rPr>
        <w:softHyphen/>
        <w:t>канчивали в Смоленске на заводе № 35.</w:t>
      </w:r>
    </w:p>
    <w:p w14:paraId="3AFA50F9"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Строго говоря, самолет БОК-1 (он же СС - «стратосферный самолет») не являлся модификацией РД, он лишь использовал часть его узлов. Эту экспе</w:t>
      </w:r>
      <w:r w:rsidRPr="00142305">
        <w:rPr>
          <w:rFonts w:ascii="Times New Roman" w:hAnsi="Times New Roman"/>
          <w:color w:val="0070C0"/>
          <w:sz w:val="16"/>
          <w:szCs w:val="16"/>
        </w:rPr>
        <w:softHyphen/>
        <w:t>риментальную высотную машину спро</w:t>
      </w:r>
      <w:r w:rsidRPr="00142305">
        <w:rPr>
          <w:rFonts w:ascii="Times New Roman" w:hAnsi="Times New Roman"/>
          <w:color w:val="0070C0"/>
          <w:sz w:val="16"/>
          <w:szCs w:val="16"/>
        </w:rPr>
        <w:softHyphen/>
        <w:t>ектировали в Бюро особых конструкций под руководством В.А. Чижевского. От АНТ-25 взяли крыло с укороченными консолями и оперение. Основные стой</w:t>
      </w:r>
      <w:r w:rsidRPr="00142305">
        <w:rPr>
          <w:rFonts w:ascii="Times New Roman" w:hAnsi="Times New Roman"/>
          <w:color w:val="0070C0"/>
          <w:sz w:val="16"/>
          <w:szCs w:val="16"/>
        </w:rPr>
        <w:softHyphen/>
        <w:t>ки шасси выполнили неубирающимися, с колесами в каплевидных обтекателях. Фюзеляж, включавший жесткую герме</w:t>
      </w:r>
      <w:r w:rsidRPr="00142305">
        <w:rPr>
          <w:rFonts w:ascii="Times New Roman" w:hAnsi="Times New Roman"/>
          <w:color w:val="0070C0"/>
          <w:sz w:val="16"/>
          <w:szCs w:val="16"/>
        </w:rPr>
        <w:softHyphen/>
        <w:t>тическую кабину, сконструировали пол</w:t>
      </w:r>
      <w:r w:rsidRPr="00142305">
        <w:rPr>
          <w:rFonts w:ascii="Times New Roman" w:hAnsi="Times New Roman"/>
          <w:color w:val="0070C0"/>
          <w:sz w:val="16"/>
          <w:szCs w:val="16"/>
        </w:rPr>
        <w:softHyphen/>
        <w:t>ностью заново. Машина оснащалась мотором М-34РН и деревянным четы</w:t>
      </w:r>
      <w:r w:rsidRPr="00142305">
        <w:rPr>
          <w:rFonts w:ascii="Times New Roman" w:hAnsi="Times New Roman"/>
          <w:color w:val="0070C0"/>
          <w:sz w:val="16"/>
          <w:szCs w:val="16"/>
        </w:rPr>
        <w:softHyphen/>
        <w:t>рехлопастным винтом фиксированного шага (24496).</w:t>
      </w:r>
    </w:p>
    <w:p w14:paraId="3001380D" w14:textId="77777777" w:rsidR="00111E22" w:rsidRPr="00142305" w:rsidRDefault="00111E22" w:rsidP="00111E22">
      <w:pPr>
        <w:spacing w:after="0" w:line="240" w:lineRule="auto"/>
        <w:jc w:val="both"/>
        <w:rPr>
          <w:rFonts w:ascii="Times New Roman" w:hAnsi="Times New Roman"/>
          <w:color w:val="0070C0"/>
          <w:sz w:val="16"/>
          <w:szCs w:val="16"/>
        </w:rPr>
      </w:pPr>
    </w:p>
    <w:p w14:paraId="4857ACDE" w14:textId="77777777" w:rsidR="00111E22" w:rsidRPr="0044524F" w:rsidRDefault="00111E22" w:rsidP="00111E22">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с согласия начальника ГУАП П.И.Баранова, в рамках ЦКБ С.В.И. создал небольшую собственную группу. Она начала предварительную проработку нескольких проектов, з том числе двухмоторного ближнего бомбардировщика (6474).</w:t>
      </w:r>
    </w:p>
    <w:p w14:paraId="668F8C06" w14:textId="77777777" w:rsidR="00111E22" w:rsidRPr="0044524F" w:rsidRDefault="00111E22" w:rsidP="00111E22">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FBB80B"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1933 г., с согласия начальника ГУАП П.И.Баранова, в рамках ЦКБ С.В.И. в составе ЦКБ создал небольшую собственную группу. Она начала предварительную проработку нескольких проектов, в том числе двухмоторного ближнего бомбардировщика.</w:t>
      </w:r>
    </w:p>
    <w:p w14:paraId="72D04D1E"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план опытного самолетостроения на 1933-1934 гг. были заложены два «бомбардировщика ближнего действия». Создание цельнометаллической машины поручалось ЦАГИ – в итоге появился знаменитый СБ. На ЦКБ возложили проектирование самолета аналогичного назначения, но смешанной конструкции. Он обозначался ЛБ-2. Этот бомбардировщик должен был оснащаться двумя двигателями М-34РН. Максимальная скорость определялась в 300 км/ч на высоте 5000 м, практический потолок – 7500 м, дальность полета 800-1500 км. Вооружение: два пулемета и 800 кг бомб.</w:t>
      </w:r>
    </w:p>
    <w:p w14:paraId="3C2B70E8"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Проектирование потихоньку шло до осени 1933 г., когда события получили неожиданный поворот (25043).</w:t>
      </w:r>
    </w:p>
    <w:p w14:paraId="69975B9B" w14:textId="77777777" w:rsidR="00111E22" w:rsidRPr="00142305" w:rsidRDefault="00111E22" w:rsidP="00111E22">
      <w:pPr>
        <w:spacing w:after="0" w:line="240" w:lineRule="auto"/>
        <w:jc w:val="both"/>
        <w:rPr>
          <w:rFonts w:ascii="Times New Roman" w:hAnsi="Times New Roman"/>
          <w:color w:val="0070C0"/>
          <w:sz w:val="16"/>
          <w:szCs w:val="16"/>
        </w:rPr>
      </w:pPr>
    </w:p>
    <w:p w14:paraId="1F2BD99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новым указанием ГУАПа заводу № 39 было предписано вновь вернуться к опытному самолетостроению и организовать одновременно производство малых серий.</w:t>
      </w:r>
    </w:p>
    <w:p w14:paraId="70482B9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только с 1937 года за заводом закрепляется серийное производство самолетов и с этого года начинается его соответствующая реконструкция, не завершенная еще и на сегодняшний день (9241).</w:t>
      </w:r>
    </w:p>
    <w:p w14:paraId="1BBDD5C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5CBE8EC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вышло постановление Правительства о выделении Р-6 полярникам (2766,39).</w:t>
      </w:r>
    </w:p>
    <w:p w14:paraId="15793D1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9ACB209"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1933 г. приняли своеобразное решение: доработ</w:t>
      </w:r>
      <w:r w:rsidRPr="00142305">
        <w:rPr>
          <w:rFonts w:ascii="Times New Roman" w:hAnsi="Times New Roman"/>
          <w:color w:val="0070C0"/>
          <w:sz w:val="16"/>
          <w:szCs w:val="16"/>
        </w:rPr>
        <w:softHyphen/>
        <w:t>ку поплавков для Р-5 поручить ЦАГИ, а все остальное — заводу № 39 (то есть ЦКБ). В качестве эталона хотели использо</w:t>
      </w:r>
      <w:r w:rsidRPr="00142305">
        <w:rPr>
          <w:rFonts w:ascii="Times New Roman" w:hAnsi="Times New Roman"/>
          <w:color w:val="0070C0"/>
          <w:sz w:val="16"/>
          <w:szCs w:val="16"/>
        </w:rPr>
        <w:softHyphen/>
        <w:t>вать опытный образец, доработав его.</w:t>
      </w:r>
    </w:p>
    <w:p w14:paraId="0136D3D2"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предполагалось изготовить уже 50 поплавко</w:t>
      </w:r>
      <w:r w:rsidRPr="00142305">
        <w:rPr>
          <w:rFonts w:ascii="Times New Roman" w:hAnsi="Times New Roman"/>
          <w:color w:val="0070C0"/>
          <w:sz w:val="16"/>
          <w:szCs w:val="16"/>
        </w:rPr>
        <w:softHyphen/>
        <w:t>вых машин. Производство намеревались организовывать следующим образом. Сами самолеты и раму под поплавки делают в Москве. Все узлы, отличающиеся от сухопутно</w:t>
      </w:r>
      <w:r w:rsidRPr="00142305">
        <w:rPr>
          <w:rFonts w:ascii="Times New Roman" w:hAnsi="Times New Roman"/>
          <w:color w:val="0070C0"/>
          <w:sz w:val="16"/>
          <w:szCs w:val="16"/>
        </w:rPr>
        <w:softHyphen/>
        <w:t>го варианта, производятся отдельным цехом, чтобы не ме</w:t>
      </w:r>
      <w:r w:rsidRPr="00142305">
        <w:rPr>
          <w:rFonts w:ascii="Times New Roman" w:hAnsi="Times New Roman"/>
          <w:color w:val="0070C0"/>
          <w:sz w:val="16"/>
          <w:szCs w:val="16"/>
        </w:rPr>
        <w:softHyphen/>
        <w:t>шать массовому выпуску. Поплавки изготавливает завод № 45 в Севастополе. Он же комплектует все специфичес</w:t>
      </w:r>
      <w:r w:rsidRPr="00142305">
        <w:rPr>
          <w:rFonts w:ascii="Times New Roman" w:hAnsi="Times New Roman"/>
          <w:color w:val="0070C0"/>
          <w:sz w:val="16"/>
          <w:szCs w:val="16"/>
        </w:rPr>
        <w:softHyphen/>
        <w:t>кое морское оборудование. Сборка могла осуществляться в Севастополе или Москве. В первом случае самолеты уле</w:t>
      </w:r>
      <w:r w:rsidRPr="00142305">
        <w:rPr>
          <w:rFonts w:ascii="Times New Roman" w:hAnsi="Times New Roman"/>
          <w:color w:val="0070C0"/>
          <w:sz w:val="16"/>
          <w:szCs w:val="16"/>
        </w:rPr>
        <w:softHyphen/>
        <w:t>тали из столицы на колесах (к Р-5а требовали придавать сменное колесное шасси) (24990).</w:t>
      </w:r>
    </w:p>
    <w:p w14:paraId="2F68DCE2" w14:textId="77777777" w:rsidR="00111E22" w:rsidRPr="00142305" w:rsidRDefault="00111E22" w:rsidP="00111E22">
      <w:pPr>
        <w:spacing w:after="0" w:line="240" w:lineRule="auto"/>
        <w:jc w:val="both"/>
        <w:rPr>
          <w:rFonts w:ascii="Times New Roman" w:hAnsi="Times New Roman"/>
          <w:color w:val="0070C0"/>
          <w:sz w:val="16"/>
          <w:szCs w:val="16"/>
        </w:rPr>
      </w:pPr>
    </w:p>
    <w:p w14:paraId="0025B7C1"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1933 г. два отряда гидросамолётов были переданы из МСДВ в пограничную авиацию - в общей сложности 12 С-62Б, два У-2 и два Ш-2. Из всего этого образовали 2-ю отдель</w:t>
      </w:r>
      <w:r w:rsidRPr="00142305">
        <w:rPr>
          <w:rFonts w:ascii="Times New Roman" w:hAnsi="Times New Roman"/>
          <w:color w:val="0070C0"/>
          <w:sz w:val="16"/>
          <w:szCs w:val="16"/>
        </w:rPr>
        <w:softHyphen/>
        <w:t>ную морскую авиаэскадрилью (омаэ).</w:t>
      </w:r>
    </w:p>
    <w:p w14:paraId="4207138C" w14:textId="77777777" w:rsidR="00111E22" w:rsidRPr="00142305" w:rsidRDefault="00111E22" w:rsidP="00111E22">
      <w:pPr>
        <w:spacing w:after="0" w:line="240" w:lineRule="auto"/>
        <w:jc w:val="both"/>
        <w:rPr>
          <w:rFonts w:ascii="Times New Roman" w:hAnsi="Times New Roman"/>
          <w:color w:val="0070C0"/>
          <w:sz w:val="16"/>
          <w:szCs w:val="16"/>
        </w:rPr>
      </w:pPr>
    </w:p>
    <w:p w14:paraId="2485B0B0"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1933 г. в СНИИ ГВФ один самолёт (с номером ОЖ-45) доработали в аэрофотосъёмочный, рассчитанный на монтаж фотоап</w:t>
      </w:r>
      <w:r w:rsidRPr="00142305">
        <w:rPr>
          <w:rFonts w:ascii="Times New Roman" w:hAnsi="Times New Roman"/>
          <w:color w:val="0070C0"/>
          <w:sz w:val="16"/>
          <w:szCs w:val="16"/>
        </w:rPr>
        <w:softHyphen/>
        <w:t>парата системы Дробышева. Он прошёл испытания; поскольку дело было зимой - летали на лыжах. Вес пустого составлял 663 кг, взлётный - 1043 кг. Максималь</w:t>
      </w:r>
      <w:r w:rsidRPr="00142305">
        <w:rPr>
          <w:rFonts w:ascii="Times New Roman" w:hAnsi="Times New Roman"/>
          <w:color w:val="0070C0"/>
          <w:sz w:val="16"/>
          <w:szCs w:val="16"/>
        </w:rPr>
        <w:softHyphen/>
        <w:t>ная скорость равнялась 135 км/ч. Однако позже заказчик потерял интерес к аэрофотосъёмочному варианту Ш-2; договор расторгли, работы прервали (24952).</w:t>
      </w:r>
    </w:p>
    <w:p w14:paraId="37D81519" w14:textId="77777777" w:rsidR="00111E22" w:rsidRPr="00142305" w:rsidRDefault="00111E22" w:rsidP="00111E22">
      <w:pPr>
        <w:spacing w:after="0" w:line="240" w:lineRule="auto"/>
        <w:jc w:val="both"/>
        <w:rPr>
          <w:rFonts w:ascii="Times New Roman" w:hAnsi="Times New Roman"/>
          <w:color w:val="0070C0"/>
          <w:sz w:val="16"/>
          <w:szCs w:val="16"/>
        </w:rPr>
      </w:pPr>
    </w:p>
    <w:p w14:paraId="3DFEE37B"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была подготовлена докладная записка начальника Главного управления авиационной промышленности (ГУАП) СССР П.И. Баранова, направленная на имя наркомвоенмора К.Е. Ворошилова и наркома тяжелой промышленности Г.К. Орджоникидзе, согласно которой на заводе № 26 в Рыбинске были выявлены и обезврежены члены разведывательной организации рейхсвера «Reichswehr-Kraftfahrertruppe» (РГВА. Ф. 4. Оп. 14. Д. 709. Л. 2.) (21412).</w:t>
      </w:r>
    </w:p>
    <w:p w14:paraId="7669CC1C" w14:textId="77777777" w:rsidR="00E7157B" w:rsidRPr="0044524F" w:rsidRDefault="00E7157B" w:rsidP="009654CF">
      <w:pPr>
        <w:spacing w:after="0" w:line="240" w:lineRule="auto"/>
        <w:jc w:val="both"/>
        <w:rPr>
          <w:rFonts w:ascii="Times New Roman" w:hAnsi="Times New Roman"/>
          <w:color w:val="000000" w:themeColor="text1"/>
          <w:sz w:val="16"/>
          <w:szCs w:val="16"/>
        </w:rPr>
      </w:pPr>
    </w:p>
    <w:p w14:paraId="672892E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собрали второй экземпляр М-58, а чуть позже третий, облегченный. С апреля 1933 г. двигатель включили в государственный план опытно-конструкторских работ. На последующих опытных образцах ввели вы</w:t>
      </w:r>
      <w:r w:rsidRPr="0044524F">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44524F">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44524F">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44524F">
        <w:rPr>
          <w:rFonts w:ascii="Times New Roman" w:hAnsi="Times New Roman"/>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44524F">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44524F">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1A98D767"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748C4D53"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9-цилиндровый, звездообразный, четырехтактный, воздушного охлаж</w:t>
      </w:r>
      <w:r w:rsidRPr="0044524F">
        <w:rPr>
          <w:rFonts w:ascii="Times New Roman" w:hAnsi="Times New Roman"/>
          <w:color w:val="000000" w:themeColor="text1"/>
          <w:sz w:val="16"/>
          <w:szCs w:val="16"/>
        </w:rPr>
        <w:softHyphen/>
        <w:t>дения, безредукторный, с одноступенчатым односкоростным ПЦН;</w:t>
      </w:r>
    </w:p>
    <w:p w14:paraId="457F7139"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160/190 мм;</w:t>
      </w:r>
    </w:p>
    <w:p w14:paraId="45276C27"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объем 34,4 л;</w:t>
      </w:r>
    </w:p>
    <w:p w14:paraId="146CE2D8"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5,5;</w:t>
      </w:r>
    </w:p>
    <w:p w14:paraId="304747AB"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по проекту 630/800 л.с., реально 630/785 л.с.;</w:t>
      </w:r>
    </w:p>
    <w:p w14:paraId="399544B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вес в зависимости от модификации. Известны модификации:</w:t>
      </w:r>
    </w:p>
    <w:p w14:paraId="2E7AC36E"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М-58Н</w:t>
      </w:r>
    </w:p>
    <w:p w14:paraId="36A8125A"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М-58, три первых опытных экземпляра с полным наддувом, 630/680 л.с., вес 445^450 кг.</w:t>
      </w:r>
    </w:p>
    <w:p w14:paraId="68D4D3CB"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47CE0F6D"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М-58Н, отличался от М-58МН передачей к ПЦН, крыльчаткой и диф</w:t>
      </w:r>
      <w:r w:rsidRPr="0044524F">
        <w:rPr>
          <w:rFonts w:ascii="Times New Roman" w:hAnsi="Times New Roman"/>
          <w:color w:val="000000" w:themeColor="text1"/>
          <w:sz w:val="16"/>
          <w:szCs w:val="16"/>
        </w:rPr>
        <w:softHyphen/>
        <w:t>фузором.</w:t>
      </w:r>
    </w:p>
    <w:p w14:paraId="4732AC0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7DFE63CD"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47B8D1"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фев</w:t>
      </w:r>
      <w:r w:rsidRPr="0044524F">
        <w:rPr>
          <w:rFonts w:ascii="Times New Roman" w:hAnsi="Times New Roman"/>
          <w:color w:val="000000" w:themeColor="text1"/>
          <w:sz w:val="16"/>
          <w:szCs w:val="16"/>
        </w:rPr>
        <w:softHyphen/>
        <w:t>раля 1933 г. в Отделе бен</w:t>
      </w:r>
      <w:r w:rsidRPr="0044524F">
        <w:rPr>
          <w:rFonts w:ascii="Times New Roman" w:hAnsi="Times New Roman"/>
          <w:color w:val="000000" w:themeColor="text1"/>
          <w:sz w:val="16"/>
          <w:szCs w:val="16"/>
        </w:rPr>
        <w:softHyphen/>
        <w:t>зиновых двигателей НИИ АД ГВФ под руководством М.А. Коссова разрабатывался МГ-50 - самый мощный двигатель семейства МГ. Опытный образец не изготавливался.</w:t>
      </w:r>
    </w:p>
    <w:p w14:paraId="118A01D2"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76748B3C"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18-цилиндровый, двухрядный звездообразный, воздушного охлаждения, четырехтактный, редукторный;</w:t>
      </w:r>
    </w:p>
    <w:p w14:paraId="700E749B"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объем 31,0 л;</w:t>
      </w:r>
    </w:p>
    <w:p w14:paraId="759C493A"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125/140 мм;</w:t>
      </w:r>
    </w:p>
    <w:p w14:paraId="07B23E12"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800/950 л.с. Предназначался для самолета АНТ-14 (11852).</w:t>
      </w:r>
    </w:p>
    <w:p w14:paraId="5C03DFBA"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BAABC5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феврале 1933 года начальник Главного управления авиационной промышленности (ГУАП) СССР П.И. Баранов направил на имя наркомвоенмора К.Е. Ворошилова и наркома тяжелой промышленности Г.К. Орджоникидзе докладную записку, согласно которой на заводе № 26 были выявлены и обезврежены члены разведывательной организации рейхсвера «Reichswehr-Kraftfahrertruppe» (РГВА. Ф. 4. Оп. 14. Д. 709. Л. 2.). На 26-м моторостроительном заводе в Рыбинске работали до 100 германских и австрийских рабочих, техников и инженеров (РГВА. Ф. 4. Оп. 14. Д. 709. Л. 1—12.), среди которых были люди, ранее работавшие в фирме «Юнкерс»: Демак — конструктор авиационных тормозов; Эйхлер — специалист по монтажу; Геннинг — авиационный специалист; Эбеминг — формовщик по алюминию. В документах также упоминаются другие немецкие представители, в частности М. Бреннер — руководитель иностранного отдела завода и Ф. Вольфрам — слесарь высокой квалификации. Однако, судя по документам, либо квалификация приехавших в СССР специалистов в целом не отвечала тому, что от них ожидалось, либо работали они с прохладцей. Моторы, над которыми они трудились, имели столь большое количество дефектов, что их приходилось дорабатывать в </w:t>
      </w:r>
      <w:r w:rsidRPr="0044524F">
        <w:rPr>
          <w:rFonts w:ascii="Times New Roman" w:hAnsi="Times New Roman"/>
          <w:color w:val="000000" w:themeColor="text1"/>
          <w:sz w:val="16"/>
          <w:szCs w:val="16"/>
        </w:rPr>
        <w:lastRenderedPageBreak/>
        <w:t>Центральном авиамоторном институте. В последующие годы представители Главного управления ВВС Красной армии стали постепенно отказываться от услуг западных инженеров и конструкторов. Общая военно-политическая нестабильность в Европе, обстановка подозрительности и репрессии в стране не позволили советскому военному руководству развивать данное направление военно-технического сотрудничества с Западом. Но пройдут годы, отгремит война, и снова немецкие инженеры и конструкторы, попавшие в плен или отправленные из Германии в СССР, будут работать в интересах советских ВВС, но уже под покровом строжайшей секретности (11173).</w:t>
      </w:r>
    </w:p>
    <w:p w14:paraId="0007F9F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D0C966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февралю 1933 Л.П.Курчевский изготовил опытный образец АПК-8 100 мм. Вес - 375-400 кг, основной выстрел - 8-8ю2 кг стержневая шрапнель, заряд - 2.1 кг. Скорострельность 25 выстрелов, дальность 8-10 км (3996, 103).</w:t>
      </w:r>
    </w:p>
    <w:p w14:paraId="76F3A17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7B8595AF"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в Ленинграде было организовано Специальное сна</w:t>
      </w:r>
      <w:r w:rsidRPr="0044524F">
        <w:rPr>
          <w:rFonts w:ascii="Times New Roman" w:hAnsi="Times New Roman"/>
          <w:color w:val="000000" w:themeColor="text1"/>
          <w:sz w:val="16"/>
          <w:szCs w:val="16"/>
        </w:rPr>
        <w:softHyphen/>
        <w:t>рядное бюро ССБ ГВМУ с чисто технологическими задачами по произ</w:t>
      </w:r>
      <w:r w:rsidRPr="0044524F">
        <w:rPr>
          <w:rFonts w:ascii="Times New Roman" w:hAnsi="Times New Roman"/>
          <w:color w:val="000000" w:themeColor="text1"/>
          <w:sz w:val="16"/>
          <w:szCs w:val="16"/>
        </w:rPr>
        <w:softHyphen/>
        <w:t>водству артбоеприпасов морской и береговой артиллерии. В 1936 г. оно было переименовано в КБ-28 Н КОП и несколько расширило круг своей научной деятельности. В частности, ее группа №5 занималась исследованиями, проектированием и изготовлением опытных образцов морских бронебойных и бетонобойных авиабомб. В 1937 г. КБ-28 ликвидировали в состав Московского НИИ-24 на правах филиала. В 1939 г. по-БРАВ и БЕТАБ шести различных калибров, специалисты группы № 5 разрабатывали авиабомбы по 14 различным темам. В группе № 5 всего 8 инженеров вели всю работу. Начальник группы Пикулев, старшие инженеры Шлеймер, Груздев, Савицкий, инженеры Гинзбург, Казачков, Кренов и Саханович. Кроме того, конструктор Федорова и техник Переборова.</w:t>
      </w:r>
    </w:p>
    <w:p w14:paraId="4ECC63C4"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Таблица 4.4 Расчетные данные 1936 г. по бетонобойным ракетным авиабомбам (для высоты бомбометания 2000 м)</w:t>
      </w:r>
    </w:p>
    <w:tbl>
      <w:tblPr>
        <w:tblW w:w="0" w:type="auto"/>
        <w:tblInd w:w="40" w:type="dxa"/>
        <w:tblLayout w:type="fixed"/>
        <w:tblCellMar>
          <w:left w:w="40" w:type="dxa"/>
          <w:right w:w="40" w:type="dxa"/>
        </w:tblCellMar>
        <w:tblLook w:val="0000" w:firstRow="0" w:lastRow="0" w:firstColumn="0" w:lastColumn="0" w:noHBand="0" w:noVBand="0"/>
      </w:tblPr>
      <w:tblGrid>
        <w:gridCol w:w="986"/>
        <w:gridCol w:w="526"/>
        <w:gridCol w:w="526"/>
        <w:gridCol w:w="533"/>
        <w:gridCol w:w="1534"/>
        <w:gridCol w:w="1786"/>
      </w:tblGrid>
      <w:tr w:rsidR="004E10C1" w:rsidRPr="0044524F" w14:paraId="53B4F0AB" w14:textId="77777777">
        <w:trPr>
          <w:trHeight w:val="245"/>
        </w:trPr>
        <w:tc>
          <w:tcPr>
            <w:tcW w:w="986" w:type="dxa"/>
            <w:tcBorders>
              <w:top w:val="single" w:sz="6" w:space="0" w:color="auto"/>
              <w:left w:val="single" w:sz="6" w:space="0" w:color="auto"/>
              <w:bottom w:val="nil"/>
              <w:right w:val="single" w:sz="6" w:space="0" w:color="auto"/>
            </w:tcBorders>
          </w:tcPr>
          <w:p w14:paraId="121C4686"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w:t>
            </w:r>
          </w:p>
          <w:p w14:paraId="61CA40DE"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 м/кг</w:t>
            </w:r>
          </w:p>
          <w:p w14:paraId="27277BB6"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85" w:type="dxa"/>
            <w:gridSpan w:val="3"/>
            <w:tcBorders>
              <w:top w:val="single" w:sz="6" w:space="0" w:color="auto"/>
              <w:left w:val="single" w:sz="6" w:space="0" w:color="auto"/>
              <w:bottom w:val="single" w:sz="6" w:space="0" w:color="auto"/>
              <w:right w:val="single" w:sz="6" w:space="0" w:color="auto"/>
            </w:tcBorders>
          </w:tcPr>
          <w:p w14:paraId="30C1C0A5"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кг</w:t>
            </w:r>
          </w:p>
          <w:p w14:paraId="14085761"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nil"/>
              <w:right w:val="single" w:sz="6" w:space="0" w:color="auto"/>
            </w:tcBorders>
          </w:tcPr>
          <w:p w14:paraId="1F0CEB1F"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при ударе в преграду, м/с</w:t>
            </w:r>
          </w:p>
          <w:p w14:paraId="4DA4D7A8"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nil"/>
              <w:right w:val="single" w:sz="6" w:space="0" w:color="auto"/>
            </w:tcBorders>
          </w:tcPr>
          <w:p w14:paraId="47F2283D"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Толщина пробиваемого железобетона, м</w:t>
            </w:r>
          </w:p>
          <w:p w14:paraId="2FFE8EB1"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1F1330D" w14:textId="77777777">
        <w:trPr>
          <w:trHeight w:val="209"/>
        </w:trPr>
        <w:tc>
          <w:tcPr>
            <w:tcW w:w="986" w:type="dxa"/>
            <w:tcBorders>
              <w:top w:val="nil"/>
              <w:left w:val="single" w:sz="6" w:space="0" w:color="auto"/>
              <w:bottom w:val="single" w:sz="6" w:space="0" w:color="auto"/>
              <w:right w:val="single" w:sz="6" w:space="0" w:color="auto"/>
            </w:tcBorders>
          </w:tcPr>
          <w:p w14:paraId="5F81BE3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F6A3120"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77EB4B80"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БЧ</w:t>
            </w:r>
          </w:p>
          <w:p w14:paraId="18BC5428"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0BF53051"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w:t>
            </w:r>
          </w:p>
          <w:p w14:paraId="584B463A"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AD1FEC1"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РЗ</w:t>
            </w:r>
          </w:p>
          <w:p w14:paraId="45270A3B"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nil"/>
              <w:left w:val="single" w:sz="6" w:space="0" w:color="auto"/>
              <w:bottom w:val="single" w:sz="6" w:space="0" w:color="auto"/>
              <w:right w:val="single" w:sz="6" w:space="0" w:color="auto"/>
            </w:tcBorders>
          </w:tcPr>
          <w:p w14:paraId="05C0444A"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088FF8"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nil"/>
              <w:left w:val="single" w:sz="6" w:space="0" w:color="auto"/>
              <w:bottom w:val="single" w:sz="6" w:space="0" w:color="auto"/>
              <w:right w:val="single" w:sz="6" w:space="0" w:color="auto"/>
            </w:tcBorders>
          </w:tcPr>
          <w:p w14:paraId="2F87E2B4"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10E36B"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DF0DBEB" w14:textId="77777777">
        <w:trPr>
          <w:trHeight w:val="223"/>
        </w:trPr>
        <w:tc>
          <w:tcPr>
            <w:tcW w:w="986" w:type="dxa"/>
            <w:tcBorders>
              <w:top w:val="single" w:sz="6" w:space="0" w:color="auto"/>
              <w:left w:val="single" w:sz="6" w:space="0" w:color="auto"/>
              <w:bottom w:val="single" w:sz="6" w:space="0" w:color="auto"/>
              <w:right w:val="single" w:sz="6" w:space="0" w:color="auto"/>
            </w:tcBorders>
          </w:tcPr>
          <w:p w14:paraId="3D402F86"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203/160,00</w:t>
            </w:r>
          </w:p>
          <w:p w14:paraId="626BEB30"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612A8387"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97,91</w:t>
            </w:r>
          </w:p>
          <w:p w14:paraId="3704ABE2"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942CEC6"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15,42</w:t>
            </w:r>
          </w:p>
          <w:p w14:paraId="23035B52"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52D32703"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p w14:paraId="098C9036"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70850D3B"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3B597151"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715D0504"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18966D6E"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36F7023" w14:textId="77777777">
        <w:trPr>
          <w:trHeight w:val="216"/>
        </w:trPr>
        <w:tc>
          <w:tcPr>
            <w:tcW w:w="986" w:type="dxa"/>
            <w:tcBorders>
              <w:top w:val="single" w:sz="6" w:space="0" w:color="auto"/>
              <w:left w:val="single" w:sz="6" w:space="0" w:color="auto"/>
              <w:bottom w:val="single" w:sz="6" w:space="0" w:color="auto"/>
              <w:right w:val="single" w:sz="6" w:space="0" w:color="auto"/>
            </w:tcBorders>
          </w:tcPr>
          <w:p w14:paraId="7C31A0BB"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254/355.39</w:t>
            </w:r>
          </w:p>
          <w:p w14:paraId="16F02863"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164A1A96"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252.38</w:t>
            </w:r>
          </w:p>
          <w:p w14:paraId="33EA9DF2"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ABA2242"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31,52</w:t>
            </w:r>
          </w:p>
          <w:p w14:paraId="61C1138B"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4717A5F8"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3 1 .94</w:t>
            </w:r>
          </w:p>
          <w:p w14:paraId="7146F933"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4AD31F20"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357</w:t>
            </w:r>
          </w:p>
          <w:p w14:paraId="205DE35F"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4CE877B2"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p w14:paraId="0D44CCBF"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1101E64" w14:textId="77777777">
        <w:trPr>
          <w:trHeight w:val="245"/>
        </w:trPr>
        <w:tc>
          <w:tcPr>
            <w:tcW w:w="986" w:type="dxa"/>
            <w:tcBorders>
              <w:top w:val="single" w:sz="6" w:space="0" w:color="auto"/>
              <w:left w:val="single" w:sz="6" w:space="0" w:color="auto"/>
              <w:bottom w:val="single" w:sz="6" w:space="0" w:color="auto"/>
              <w:right w:val="single" w:sz="6" w:space="0" w:color="auto"/>
            </w:tcBorders>
          </w:tcPr>
          <w:p w14:paraId="052DC3C3"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350/1100,00</w:t>
            </w:r>
          </w:p>
          <w:p w14:paraId="47BBC989"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0A2F615E"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689,80</w:t>
            </w:r>
          </w:p>
          <w:p w14:paraId="56B70965"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26" w:type="dxa"/>
            <w:tcBorders>
              <w:top w:val="single" w:sz="6" w:space="0" w:color="auto"/>
              <w:left w:val="single" w:sz="6" w:space="0" w:color="auto"/>
              <w:bottom w:val="single" w:sz="6" w:space="0" w:color="auto"/>
              <w:right w:val="single" w:sz="6" w:space="0" w:color="auto"/>
            </w:tcBorders>
          </w:tcPr>
          <w:p w14:paraId="46F05503"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61.30</w:t>
            </w:r>
          </w:p>
          <w:p w14:paraId="0CFA2E75"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33" w:type="dxa"/>
            <w:tcBorders>
              <w:top w:val="single" w:sz="6" w:space="0" w:color="auto"/>
              <w:left w:val="single" w:sz="6" w:space="0" w:color="auto"/>
              <w:bottom w:val="single" w:sz="6" w:space="0" w:color="auto"/>
              <w:right w:val="single" w:sz="6" w:space="0" w:color="auto"/>
            </w:tcBorders>
          </w:tcPr>
          <w:p w14:paraId="74D4F439"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94,25</w:t>
            </w:r>
          </w:p>
          <w:p w14:paraId="28AA37FA"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34" w:type="dxa"/>
            <w:tcBorders>
              <w:top w:val="single" w:sz="6" w:space="0" w:color="auto"/>
              <w:left w:val="single" w:sz="6" w:space="0" w:color="auto"/>
              <w:bottom w:val="single" w:sz="6" w:space="0" w:color="auto"/>
              <w:right w:val="single" w:sz="6" w:space="0" w:color="auto"/>
            </w:tcBorders>
          </w:tcPr>
          <w:p w14:paraId="253242AB"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p w14:paraId="14347397"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86" w:type="dxa"/>
            <w:tcBorders>
              <w:top w:val="single" w:sz="6" w:space="0" w:color="auto"/>
              <w:left w:val="single" w:sz="6" w:space="0" w:color="auto"/>
              <w:bottom w:val="single" w:sz="6" w:space="0" w:color="auto"/>
              <w:right w:val="single" w:sz="6" w:space="0" w:color="auto"/>
            </w:tcBorders>
          </w:tcPr>
          <w:p w14:paraId="3B4316B0"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w:t>
            </w:r>
          </w:p>
          <w:p w14:paraId="17CA2592"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226ABFB1"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сочетание ракетного двигателя с БЧ проникающего типа резко повышало проникающую способность боеприпаса за счет приращения скорости, то ракетные авиабомбы обозначали литерами ДС (до</w:t>
      </w:r>
      <w:r w:rsidRPr="0044524F">
        <w:rPr>
          <w:rFonts w:ascii="Times New Roman" w:hAnsi="Times New Roman"/>
          <w:color w:val="000000" w:themeColor="text1"/>
          <w:sz w:val="16"/>
          <w:szCs w:val="16"/>
        </w:rPr>
        <w:softHyphen/>
        <w:t>полнительная скорость). По сравнению с обычными бронебойными и бетонобойными авиабомбами крупных калибров, они позволяли достичь равного результата либо при меньшей массе, либо при сохранении весовых характеристик значительно повысить эффект.</w:t>
      </w:r>
    </w:p>
    <w:p w14:paraId="7448A936"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ракетной авиабомбы на траектории запускался от дистанционной трубки ТМ-4Б, установленной в районе соплового среза подобно пиропатрону ракетного орудия РС. Время срабатывания трубки, как и в случае с ракетными снарядами, устанавливали на земле перед вылетом. Это несколько ограничивало диапазон высот бомбометания, поскольку наибольшего эффекта боеприпас достигал при максимальной дополнительной скорости непосредственно перед ударом в преграду. Таким образом, это оружие, по аналогии с РС, требовало достаточной тренированности летчиков. Хотя, по существу, это было просто «дежурное недовольство» летчиков, у которых любое ограничение режимов пикирования неизбежно вызывает сопротивление (11402).</w:t>
      </w:r>
    </w:p>
    <w:p w14:paraId="22907A80"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8C49E9"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феврале 1933 года главный инженер Верфи Дирижаблестроя Воробьёв жаловался Нобиле:</w:t>
      </w:r>
    </w:p>
    <w:p w14:paraId="36FC34F4"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 xml:space="preserve">До </w:t>
      </w:r>
      <w:r w:rsidRPr="0044524F">
        <w:rPr>
          <w:rFonts w:ascii="Times New Roman" w:hAnsi="Times New Roman"/>
          <w:color w:val="000000" w:themeColor="text1"/>
          <w:sz w:val="16"/>
          <w:szCs w:val="16"/>
          <w:lang w:bidi="en-US"/>
        </w:rPr>
        <w:t>1/</w:t>
      </w:r>
      <w:r w:rsidRPr="0044524F">
        <w:rPr>
          <w:rFonts w:ascii="Times New Roman" w:hAnsi="Times New Roman"/>
          <w:color w:val="000000" w:themeColor="text1"/>
          <w:sz w:val="16"/>
          <w:szCs w:val="16"/>
          <w:lang w:val="en-US" w:bidi="en-US"/>
        </w:rPr>
        <w:t>II</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lang w:eastAsia="ru-RU" w:bidi="ru-RU"/>
        </w:rPr>
        <w:t>- с. г. Техотделом было спущено за соответствующими подписями в механические мастерские 368 чертежей по дирижаблю 18.500 м.</w:t>
      </w:r>
    </w:p>
    <w:p w14:paraId="04884F28"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Приступив к проверке этих чертежей, мы вынуждены были все эти чертежи изъять из мастерских, ввиду множества недоделок, неправильностей, отсутствия размеров, неясности и т. д. Из этого числа 150 чертежей для исправления и нанесения этих исправлений на кальку были переданы непосредственно в контрольный отдел Конструкторского бюро, проверка остальных производится с нашим отделом подготовки производства. В исправлениях, дополнениях и пр. нуждаются 95 % этой группы чертежей.</w:t>
      </w:r>
    </w:p>
    <w:p w14:paraId="7C517530"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Далее следовали длинный перечень дефектов, обнаруживаемых в чертежах, и призыв:</w:t>
      </w:r>
    </w:p>
    <w:p w14:paraId="5C09B376"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Всё это заставляет обратиться к Вам с настоятельной просьбой - дать распоряжение по Констр. отделу Конструкторского бюро, чтобы чертежи выпускались им без вышеперечисленных дефектов, т. к. их наличие совершенно дезорганизует работу производственных отделов Верфи, вызывает крайнее её удорожание, вызывает излишние накладные расходы и проч.</w:t>
      </w:r>
    </w:p>
    <w:p w14:paraId="7B36ADF9"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апреле того же года специальная проверка выявила, что 75 % чертежей кабины корабля 18500 нуждалось в исправлениях и если бы они были переданы в производство, то не меньше 30 % деталей оказались бы бракованными.</w:t>
      </w:r>
    </w:p>
    <w:p w14:paraId="7BBD302D"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мае пришлось в срочном порядке переделывать 600 чертежей - около 15 % полного комплекта по кораблю.</w:t>
      </w:r>
    </w:p>
    <w:p w14:paraId="23EE1EF8"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Жалобы на ошибки и неточности, постоянное запаздывание с передачей чертежей в цеха продолжались до самого окончания постройки 18500 (23192).</w:t>
      </w:r>
    </w:p>
    <w:p w14:paraId="0126C3E0" w14:textId="77777777" w:rsidR="00E7157B" w:rsidRPr="0044524F" w:rsidRDefault="00E7157B" w:rsidP="009654CF">
      <w:pPr>
        <w:spacing w:after="0" w:line="240" w:lineRule="auto"/>
        <w:jc w:val="both"/>
        <w:rPr>
          <w:rFonts w:ascii="Times New Roman" w:hAnsi="Times New Roman"/>
          <w:color w:val="000000" w:themeColor="text1"/>
          <w:sz w:val="16"/>
          <w:szCs w:val="16"/>
        </w:rPr>
      </w:pPr>
    </w:p>
    <w:p w14:paraId="47350932"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феврале 1933 года Н. Куйбышев, начальник Военно-морской инспекции НК РКИ, докладывал Сталину:</w:t>
      </w:r>
    </w:p>
    <w:p w14:paraId="58AE8C12"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...для Нобиле созданы такие условия, при которых он имеет возможность беспрепятственно выступать в роли защитника рабочего класса. Против кого - очевидно, против органов Советской власти. «Ваша страна - самая революционная страна в мире. У вас есть профсоюзы, обязанные защищать ваши интересы. Требуйте у них улучшения своего материального положения», - вот смысл одного из его выступлений. Имеется также приказ Нобиле, которым организуется специальная комиссия с участием в ней секретаря парторганизации, с задачей проработки вопросов улучшения быта рабочих и служащих. Знаменательно и то, что считается совершенно нормальным, когда советские инженерно-технические работники ищут у Нобиле защиты своих прав или удовлетворения своих претензий. Одним словом, в Дирижаблестрое фашист-генерал Нобиле превратился из технического консультанта в политического руководителя.</w:t>
      </w:r>
    </w:p>
    <w:p w14:paraId="3B4069BA"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Нобиле повезло: тремя-четырьмя годами позже он получил бы обвинение в контрреволюционной деятельности. Но тогда, видимо, всё ограничилось строгим внушением Гольцману и самому Нобиле, и наверх доложили: «Решениями Президиума ЦКК и МК ВКП(б) это политически недопустимое положение выправлено». Больше «фашист-генерал» не лез в советскую политику (23192).</w:t>
      </w:r>
    </w:p>
    <w:p w14:paraId="3124E095" w14:textId="77777777" w:rsidR="00E7157B" w:rsidRPr="0044524F" w:rsidRDefault="00E7157B" w:rsidP="009654CF">
      <w:pPr>
        <w:spacing w:after="0" w:line="240" w:lineRule="auto"/>
        <w:jc w:val="both"/>
        <w:rPr>
          <w:rFonts w:ascii="Times New Roman" w:hAnsi="Times New Roman"/>
          <w:color w:val="000000" w:themeColor="text1"/>
          <w:sz w:val="16"/>
          <w:szCs w:val="16"/>
        </w:rPr>
      </w:pPr>
    </w:p>
    <w:p w14:paraId="6EC89010"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феврале 1933 года к сборке эллинга всё ещё не приступили, зато развернулась дискуссия: а достаточно ли его высоты в 32,45 метра для проектируемого корабля 55000, имевшего расчётную высоту 30,7 метра, и не следует ли, пока не поздно, нарастить метр-другой? Нобиле, по чьей просьбе высоту эллинга уже увеличили примерно на два метра, считал, что делать ничего не нужно, да и поздно. Были и другие точки зрения, в том числе неожиданные: профессор Канищев предложил эллинг не увеличивать, зато сплюснуть сам дирижабль, сохранив его общий объём за счёт удлинения корпуса. Идея не прошла.</w:t>
      </w:r>
    </w:p>
    <w:p w14:paraId="1F4BB126"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Кроме того, на Долгопрудной сооружали не только эллинг: если судить по строительному плану базы на 1932 год, даже после его урезки плановиками ВОГВФ это действительно был «мини- Фридрихсхафен».</w:t>
      </w:r>
    </w:p>
    <w:p w14:paraId="35D7B1AF"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1/Эллинг - сборочный деревянный...</w:t>
      </w:r>
    </w:p>
    <w:p w14:paraId="2EC846DD"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2/Переброска Салюзского эллинга.</w:t>
      </w:r>
    </w:p>
    <w:p w14:paraId="54536047"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3/Переброска Бердичевского эллинга.</w:t>
      </w:r>
    </w:p>
    <w:p w14:paraId="1DA17563"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4/ Постройка механических мастерских.</w:t>
      </w:r>
    </w:p>
    <w:p w14:paraId="56211887"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5/ Постройка баллонных мастерских (без бодрюшных), что составляет 40 % от общих мастерских.</w:t>
      </w:r>
    </w:p>
    <w:p w14:paraId="4EB6CA69"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6/Постройка сборочного цеха при баллонной.</w:t>
      </w:r>
    </w:p>
    <w:p w14:paraId="557FF00A"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7/ Газовый завод.</w:t>
      </w:r>
    </w:p>
    <w:p w14:paraId="28289DEE"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8/ Коллекторное помещение.</w:t>
      </w:r>
    </w:p>
    <w:p w14:paraId="393F7553"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9/ Радиостанция.</w:t>
      </w:r>
    </w:p>
    <w:p w14:paraId="5284BE07"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10/ Склад воздушного имущества.</w:t>
      </w:r>
    </w:p>
    <w:p w14:paraId="497AFA52"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11/ Склад горючего.</w:t>
      </w:r>
    </w:p>
    <w:p w14:paraId="0DE1E539"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12/ Конструкторское бюро.</w:t>
      </w:r>
    </w:p>
    <w:p w14:paraId="2E236F7C"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13/Воздухоплавательная школа.</w:t>
      </w:r>
    </w:p>
    <w:p w14:paraId="2078AF3B"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14/Постройка временного эллинга.</w:t>
      </w:r>
    </w:p>
    <w:p w14:paraId="50E73357"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15/ Постройка временного склада водородных труб.</w:t>
      </w:r>
    </w:p>
    <w:p w14:paraId="50A96054"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16/ Временный склад горючего.</w:t>
      </w:r>
    </w:p>
    <w:p w14:paraId="0CE15A8C"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lastRenderedPageBreak/>
        <w:t>17/ Постройка временного склада подсобного воздушного имущества.</w:t>
      </w:r>
    </w:p>
    <w:p w14:paraId="3C5B7325"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18/ Постройка временного склада для машин и аппаратов.</w:t>
      </w:r>
    </w:p>
    <w:p w14:paraId="1B5D1475"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19/Жилые дома 8-ми квартирные 10 шт.</w:t>
      </w:r>
    </w:p>
    <w:p w14:paraId="5CE680F4"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20/ Надстройка для квартир ИТР в Москве.</w:t>
      </w:r>
    </w:p>
    <w:p w14:paraId="11EDF02D"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21/Жел. - дор. ветка.</w:t>
      </w:r>
    </w:p>
    <w:p w14:paraId="7023B886"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22/Шоссейные дороги.</w:t>
      </w:r>
    </w:p>
    <w:p w14:paraId="256AE624"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23/ Пожарное депо.</w:t>
      </w:r>
    </w:p>
    <w:p w14:paraId="110BB77E"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24/ Столовая и кухня.</w:t>
      </w:r>
    </w:p>
    <w:p w14:paraId="098B0A09"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25/ Баня-прачечная.</w:t>
      </w:r>
    </w:p>
    <w:p w14:paraId="360CA3A8"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26/ Водонапорная башня.</w:t>
      </w:r>
    </w:p>
    <w:p w14:paraId="1DEF3A34"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27/Водопровод и канализация - 50 % от всей наружной сети.</w:t>
      </w:r>
    </w:p>
    <w:p w14:paraId="7D988C04"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28/ Временные сооружения стройорганизаций.</w:t>
      </w:r>
    </w:p>
    <w:p w14:paraId="60407F52"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Всё вместе взятое составляет сумму 4.497.000 руб. (23192).</w:t>
      </w:r>
    </w:p>
    <w:p w14:paraId="25614F06" w14:textId="77777777" w:rsidR="00E7157B" w:rsidRPr="0044524F" w:rsidRDefault="00E7157B" w:rsidP="009654CF">
      <w:pPr>
        <w:spacing w:after="0" w:line="240" w:lineRule="auto"/>
        <w:jc w:val="both"/>
        <w:rPr>
          <w:rFonts w:ascii="Times New Roman" w:hAnsi="Times New Roman"/>
          <w:color w:val="000000" w:themeColor="text1"/>
          <w:sz w:val="16"/>
          <w:szCs w:val="16"/>
        </w:rPr>
      </w:pPr>
    </w:p>
    <w:p w14:paraId="212151AE"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феврале 1933 года завершить проектирование по дирижаблю 18.500 м конструкторскому бюро не удалось по обстоятельствам, от него не зависящим: Нобиле серьёзно заболел.</w:t>
      </w:r>
    </w:p>
    <w:p w14:paraId="1647320B"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Технического руководителя Дирижаблестроя экстренно прооперировали 28 февраля в Кремлёвской больнице, и несколько дней он находился между жизнью и смертью. Всё было настолько плохо, что в какой-то момент к нему даже пригласили из французского посольства католического священника. Однако, как и пять лет назад в Арктике, смерть отступила, и в начале мая Нобиле вернулся к работе.</w:t>
      </w:r>
    </w:p>
    <w:p w14:paraId="44577B74"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К августу конструкторы партию за партией передали в производство более чем 3500 чертежей - большую часть рабочего проекта. Только тогда проектирование можно было считать законченным, но лишь в основном: даже к концу года объём невыполненных конструкторских работ всё ещё составлял около 10 %.</w:t>
      </w:r>
    </w:p>
    <w:p w14:paraId="6B27F877"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Вместо двух месяцев, запланированных прошлой весной, проектирование заняло двенадцать. О том, чтобы выпустить дирижабль к намеченной дате - 1 октября, нечего было и говорить, и срок сдвинули на 1 октября следующего, 1934-го года (23192).</w:t>
      </w:r>
    </w:p>
    <w:p w14:paraId="7773D993" w14:textId="77777777" w:rsidR="00E7157B" w:rsidRPr="0044524F" w:rsidRDefault="00E7157B" w:rsidP="009654CF">
      <w:pPr>
        <w:spacing w:after="0" w:line="240" w:lineRule="auto"/>
        <w:jc w:val="both"/>
        <w:rPr>
          <w:rFonts w:ascii="Times New Roman" w:hAnsi="Times New Roman"/>
          <w:color w:val="000000" w:themeColor="text1"/>
          <w:sz w:val="16"/>
          <w:szCs w:val="16"/>
        </w:rPr>
      </w:pPr>
    </w:p>
    <w:p w14:paraId="6EF31E77" w14:textId="77777777" w:rsidR="005B3366" w:rsidRPr="0044524F" w:rsidRDefault="005B33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в мастерских Дирижаблестроя под руководством инженера Раппопорта строилась летающая модель в 1/25 натуральной величины дирижабля К.Э.Циолковского. Модель строилась из гофрированных листов нержавеющей стали, но не была достроена ввиду технологической сложности конструкции; Листы Вошли на облицовку колонн станции метро «Маяковская».</w:t>
      </w:r>
    </w:p>
    <w:p w14:paraId="7FE4B1B0" w14:textId="77777777" w:rsidR="005B3366" w:rsidRPr="0044524F" w:rsidRDefault="005B33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ЦИК СССР» за 11 марта 1933/ (23370).</w:t>
      </w:r>
    </w:p>
    <w:p w14:paraId="0381B3E3" w14:textId="77777777" w:rsidR="005B3366" w:rsidRPr="0044524F" w:rsidRDefault="005B3366" w:rsidP="009654CF">
      <w:pPr>
        <w:spacing w:after="0" w:line="240" w:lineRule="auto"/>
        <w:jc w:val="both"/>
        <w:rPr>
          <w:rFonts w:ascii="Times New Roman" w:hAnsi="Times New Roman"/>
          <w:color w:val="000000" w:themeColor="text1"/>
          <w:sz w:val="16"/>
          <w:szCs w:val="16"/>
        </w:rPr>
      </w:pPr>
    </w:p>
    <w:p w14:paraId="326ECF6B" w14:textId="77777777" w:rsidR="00E7157B" w:rsidRPr="0044524F" w:rsidRDefault="00E7157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М.Н. Тухачевский опять обращается к Председателю Комиссии обороны СССР В.М. Молотову с просьбой ускорить создание РНИИ и на этот раз ссылается на интенсивные работы, которые ведутся в этом направлении в Германии (Управление вооружений РККА еще в 1931 г. получило доклад сотрудника Г. Оберта - К. Риделя «Историческое развитие ракетной техники», в котором был дан обзор достижений по разработке реактивных двигателей Оберта, Винклера, фон Брауна в Германии и Годцарда в США) (22685).</w:t>
      </w:r>
    </w:p>
    <w:p w14:paraId="60180ED1" w14:textId="77777777" w:rsidR="00E7157B" w:rsidRPr="0044524F" w:rsidRDefault="00E7157B" w:rsidP="009654CF">
      <w:pPr>
        <w:spacing w:after="0" w:line="240" w:lineRule="auto"/>
        <w:jc w:val="both"/>
        <w:rPr>
          <w:rFonts w:ascii="Times New Roman" w:hAnsi="Times New Roman"/>
          <w:color w:val="000000" w:themeColor="text1"/>
          <w:sz w:val="16"/>
          <w:szCs w:val="16"/>
        </w:rPr>
      </w:pPr>
    </w:p>
    <w:p w14:paraId="1BB839F9"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катер АНТ-5 окончили постройкой и отправили, как и все предыдущие, на Черное море для испытаний. От своего прародителя Ш-4 новый катер отличался увеличенной за счет вставки длиной корпуса, изменениями внутри корпуса, особенно в моторном отсеке для новых моторов, и, главное, - увеличенным калибром торпед (6002).</w:t>
      </w:r>
    </w:p>
    <w:p w14:paraId="0594C52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375C056B"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0489FB4"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D23A15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в ведении ГВМУ НКТП было создано Специальное снарядное бюро (ССБ) НКТП, КБ-28 НКОП, Ленинградский филиал НИИ-24 НКБ / г. Ленинград ул. Герцена, 47/. Разработка снарядов к морским артсистемам, в т. ч. и особо крупных калибров (305 и 406 мм).</w:t>
      </w:r>
    </w:p>
    <w:p w14:paraId="3AF093F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 Обсс от 30.12.1936 г. ССБ переименовано в КБ-28 НКОП. По пр. № 00100 от 8.05.1937 г. КБ-28 вошло в состав НИИ-24 и ликвидировано. В Ленинграде оставлены только конструкторские группы в качестве Ленинградского филиала НИИ-24. К концу 1937 г. в филиале вновь созданы технологическая и артиллерийская группы. В 06.1939 г. филиал находился в ведении ЗГУ НКБ. До 1.09.1939 г. филиал размещался в помещении 8-го проектного института, затем получил здание по ул. Герцена, 47. Производственной базы филиал не имел.</w:t>
      </w:r>
    </w:p>
    <w:p w14:paraId="3A694804"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1943 г. Ленинградский филиал объединен с головным НИИ-24.</w:t>
      </w:r>
    </w:p>
    <w:p w14:paraId="73FCA0C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помещений (10.1939 г.)- 850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3DB0347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(1941 г.)- А.В. Берекашвили (11982).</w:t>
      </w:r>
    </w:p>
    <w:p w14:paraId="2BDA0BD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6D96763E"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1933 года эскизный проект 20 мм автомата Атслега был рассмотрен и утвержден к изготов</w:t>
      </w:r>
      <w:r w:rsidRPr="00142305">
        <w:rPr>
          <w:rFonts w:ascii="Times New Roman" w:hAnsi="Times New Roman"/>
          <w:color w:val="0070C0"/>
          <w:sz w:val="16"/>
          <w:szCs w:val="16"/>
        </w:rPr>
        <w:softHyphen/>
        <w:t>лению опытного образца. В 1934 году было изготовлено два опытных образца орудия, под сектор</w:t>
      </w:r>
      <w:r w:rsidRPr="00142305">
        <w:rPr>
          <w:rFonts w:ascii="Times New Roman" w:hAnsi="Times New Roman"/>
          <w:color w:val="0070C0"/>
          <w:sz w:val="16"/>
          <w:szCs w:val="16"/>
        </w:rPr>
        <w:softHyphen/>
        <w:t>ный и барабанный магазины на 12 патронов, получившие обозначение АП-20 образца 1934 года. Орудие использовало газоотводную автоматику, к тому времени ставшую фирменным стилем отечественной оружейной школы, стреляло с открытого затвора как одиночными, так и очередями с технической скорострельностью до 250–300 выстр/мин. Мощный патрон разгонялся в стволе до скорости 880 м/с. Ствол длиной 1520 мм имел 8 правосторонних нарезов с шагом 720 мм.</w:t>
      </w:r>
    </w:p>
    <w:p w14:paraId="40431C10"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Пушка имела оригинальное приспособление для включения добавочной пружины при стрельбе в зенит, когда эффективность подачи патронов штатной пружиной магазина снижалась.</w:t>
      </w:r>
    </w:p>
    <w:p w14:paraId="69986F3F"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опытных образцов, проводившиеся в течение 1935 – начала 1936 года, выявили недо</w:t>
      </w:r>
      <w:r w:rsidRPr="00142305">
        <w:rPr>
          <w:rFonts w:ascii="Times New Roman" w:hAnsi="Times New Roman"/>
          <w:color w:val="0070C0"/>
          <w:sz w:val="16"/>
          <w:szCs w:val="16"/>
        </w:rPr>
        <w:softHyphen/>
        <w:t>статочную скорострельность орудия, делавшую его малопригодным для авиационного испол</w:t>
      </w:r>
      <w:r w:rsidRPr="00142305">
        <w:rPr>
          <w:rFonts w:ascii="Times New Roman" w:hAnsi="Times New Roman"/>
          <w:color w:val="0070C0"/>
          <w:sz w:val="16"/>
          <w:szCs w:val="16"/>
        </w:rPr>
        <w:softHyphen/>
        <w:t>нения (25392).</w:t>
      </w:r>
    </w:p>
    <w:p w14:paraId="17F0B123" w14:textId="77777777" w:rsidR="00111E22" w:rsidRPr="00142305" w:rsidRDefault="00111E22" w:rsidP="00111E22">
      <w:pPr>
        <w:spacing w:after="0" w:line="240" w:lineRule="auto"/>
        <w:jc w:val="both"/>
        <w:rPr>
          <w:rFonts w:ascii="Times New Roman" w:hAnsi="Times New Roman"/>
          <w:color w:val="0070C0"/>
          <w:sz w:val="16"/>
          <w:szCs w:val="16"/>
        </w:rPr>
      </w:pPr>
    </w:p>
    <w:p w14:paraId="67059AB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М.Тухачевский доложил, что 37 мм ДРП Л.Курчевского приняты на вооружение РККА и становятся на массовое производство с тем, чтобы до конца года изготовить 325 шт. Эксплуатация показала небезопасность и малую маневренность и в 1935 сняли с производства (2406).</w:t>
      </w:r>
    </w:p>
    <w:p w14:paraId="5D0E17C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0B231D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на НИАП закончились испытания стрельбой танковой пушки ПС-3 завода Красный Путиловец, которые проходили с августа 1932 по. В серию на пошла (9527,23).</w:t>
      </w:r>
    </w:p>
    <w:p w14:paraId="4F2DC53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9F3A1DB"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начальник вооружений РККА М. Ту</w:t>
      </w:r>
      <w:r w:rsidRPr="0044524F">
        <w:rPr>
          <w:rFonts w:ascii="Times New Roman" w:hAnsi="Times New Roman"/>
          <w:color w:val="000000" w:themeColor="text1"/>
          <w:sz w:val="16"/>
          <w:szCs w:val="16"/>
        </w:rPr>
        <w:softHyphen/>
        <w:t>хачевский отдал приказ о проведении сравнительных ис</w:t>
      </w:r>
      <w:r w:rsidRPr="0044524F">
        <w:rPr>
          <w:rFonts w:ascii="Times New Roman" w:hAnsi="Times New Roman"/>
          <w:color w:val="000000" w:themeColor="text1"/>
          <w:sz w:val="16"/>
          <w:szCs w:val="16"/>
        </w:rPr>
        <w:softHyphen/>
        <w:t>пытаний систем 20-К и Б-3 в танке Т-26:</w:t>
      </w:r>
    </w:p>
    <w:p w14:paraId="02950975"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 Начальника вооружений РККА</w:t>
      </w:r>
    </w:p>
    <w:p w14:paraId="2A987824"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№4/3/с 10 февраля 33 г.</w:t>
      </w:r>
    </w:p>
    <w:p w14:paraId="3645BE1F"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2C9B68DB"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выявления прочности орудийных установок 45-мм пушки (20-К) и 37-мм пушки (Б-3) в танке Т-26, прочности танка, пра</w:t>
      </w:r>
      <w:r w:rsidRPr="0044524F">
        <w:rPr>
          <w:rFonts w:ascii="Times New Roman" w:hAnsi="Times New Roman"/>
          <w:color w:val="000000" w:themeColor="text1"/>
          <w:sz w:val="16"/>
          <w:szCs w:val="16"/>
        </w:rPr>
        <w:softHyphen/>
        <w:t>вильности и безотказности функционирования систем, удобства их обслуживания, провести параллельные испытания их стрель-' бой и пробегом.</w:t>
      </w:r>
    </w:p>
    <w:p w14:paraId="611258DF"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p w14:paraId="17E84F83"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Объем и характер испытаний согласно объявляемой при сем программы.</w:t>
      </w:r>
    </w:p>
    <w:p w14:paraId="463F08AA"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p w14:paraId="7B3C44CF"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чего назначаю комиссию под председательством Нач. ГАУт. ЕФИМОВА в составе членов - зам нач. УММ т. БОКИС, зам нач НТУ т. ЗАХОДЕР, нач. УМА ГАУ т. ДРОЗДОВА и представителя от промышленности по назначению нач. ВОАО</w:t>
      </w:r>
    </w:p>
    <w:p w14:paraId="5228BE59"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001B2DA2"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Начало испытания 3 марта. Заключение о результатах испытаний представить 15 марта</w:t>
      </w:r>
    </w:p>
    <w:p w14:paraId="2DB25667"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НАРКОМА по ВОЕННЫМ и МОРСКИМ ДЕЛАМ и : НАЧАЛЬНИК ВООРУЖЕНИЙ РККА ........ (ТУХАЧЕВСКИЙ)» (10733,213).</w:t>
      </w:r>
    </w:p>
    <w:p w14:paraId="2DA969E3"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5001B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феврале 1933 года танковое производство завода "Большевик" было выделено в самостоятельный завод № 174 имени К.Е. Ворошилова. На нем КБ Н.В. Барыкова преобразовали в Опытно-конструкторский машиностроительный отдел (ОКМО), который и занялся с учетом недостатков первого, разработкой второго опытного образца танка, названного Т-35-2. По личному указанию И.В. Сталина была произведена унификация главных башен Т-35 и T-28. Т-35-2 получил также новый </w:t>
      </w:r>
      <w:r w:rsidRPr="0044524F">
        <w:rPr>
          <w:rFonts w:ascii="Times New Roman" w:hAnsi="Times New Roman"/>
          <w:color w:val="000000" w:themeColor="text1"/>
          <w:sz w:val="16"/>
          <w:szCs w:val="16"/>
        </w:rPr>
        <w:lastRenderedPageBreak/>
        <w:t>двигатель М-17, другую трансмиссию и коробку передач. В остальном же он практически не отличался от своего предшественника, если не считать измененной конструкции фальшборта и настоящей 76,2-мм пушки ПС-3 (3862).</w:t>
      </w:r>
    </w:p>
    <w:p w14:paraId="335F3BB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67830B69" w14:textId="77777777" w:rsidR="00AE4021" w:rsidRPr="0044524F" w:rsidRDefault="00AE40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танковое производство завода «Большевик» было выделено в самостоятельный завод № 174 имени K.E. Ворошилова (15117).</w:t>
      </w:r>
    </w:p>
    <w:p w14:paraId="2959A7DE" w14:textId="77777777" w:rsidR="00AE4021" w:rsidRPr="0044524F" w:rsidRDefault="00AE4021" w:rsidP="009654CF">
      <w:pPr>
        <w:spacing w:after="0" w:line="240" w:lineRule="auto"/>
        <w:jc w:val="both"/>
        <w:rPr>
          <w:rFonts w:ascii="Times New Roman" w:hAnsi="Times New Roman"/>
          <w:color w:val="000000" w:themeColor="text1"/>
          <w:sz w:val="16"/>
          <w:szCs w:val="16"/>
        </w:rPr>
      </w:pPr>
    </w:p>
    <w:p w14:paraId="6F80F53A"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1933 года танковое производ</w:t>
      </w:r>
      <w:r w:rsidRPr="00142305">
        <w:rPr>
          <w:rFonts w:ascii="Times New Roman" w:hAnsi="Times New Roman"/>
          <w:color w:val="0070C0"/>
          <w:sz w:val="16"/>
          <w:szCs w:val="16"/>
        </w:rPr>
        <w:softHyphen/>
        <w:t>ство завода «Большевик» было выделе</w:t>
      </w:r>
      <w:r w:rsidRPr="00142305">
        <w:rPr>
          <w:rFonts w:ascii="Times New Roman" w:hAnsi="Times New Roman"/>
          <w:color w:val="0070C0"/>
          <w:sz w:val="16"/>
          <w:szCs w:val="16"/>
        </w:rPr>
        <w:softHyphen/>
        <w:t>но в самостоятельный завод № 174 имени К.Е. Ворошилова. На нем КБ Н. Барыкова преобразовали в Опытно-конструкторский машиностроительный отдел - ОКМО, ко</w:t>
      </w:r>
      <w:r w:rsidRPr="00142305">
        <w:rPr>
          <w:rFonts w:ascii="Times New Roman" w:hAnsi="Times New Roman"/>
          <w:color w:val="0070C0"/>
          <w:sz w:val="16"/>
          <w:szCs w:val="16"/>
        </w:rPr>
        <w:softHyphen/>
        <w:t>торый и занялся с учетом недостатков пер</w:t>
      </w:r>
      <w:r w:rsidRPr="00142305">
        <w:rPr>
          <w:rFonts w:ascii="Times New Roman" w:hAnsi="Times New Roman"/>
          <w:color w:val="0070C0"/>
          <w:sz w:val="16"/>
          <w:szCs w:val="16"/>
        </w:rPr>
        <w:softHyphen/>
        <w:t>вого, разработкой второго опытного образ</w:t>
      </w:r>
      <w:r w:rsidRPr="00142305">
        <w:rPr>
          <w:rFonts w:ascii="Times New Roman" w:hAnsi="Times New Roman"/>
          <w:color w:val="0070C0"/>
          <w:sz w:val="16"/>
          <w:szCs w:val="16"/>
        </w:rPr>
        <w:softHyphen/>
        <w:t>ца - Т-35-2.</w:t>
      </w:r>
    </w:p>
    <w:p w14:paraId="414CAEE7"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указанию И.В. Сталина, который очень интересовался разработками новых типов со</w:t>
      </w:r>
      <w:r w:rsidRPr="00142305">
        <w:rPr>
          <w:rFonts w:ascii="Times New Roman" w:hAnsi="Times New Roman"/>
          <w:color w:val="0070C0"/>
          <w:sz w:val="16"/>
          <w:szCs w:val="16"/>
        </w:rPr>
        <w:softHyphen/>
        <w:t>ветских танков, была произведена унифика</w:t>
      </w:r>
      <w:r w:rsidRPr="00142305">
        <w:rPr>
          <w:rFonts w:ascii="Times New Roman" w:hAnsi="Times New Roman"/>
          <w:color w:val="0070C0"/>
          <w:sz w:val="16"/>
          <w:szCs w:val="16"/>
        </w:rPr>
        <w:softHyphen/>
        <w:t>ция главных башен Т-35 и Т-28. Т-35-2 полу</w:t>
      </w:r>
      <w:r w:rsidRPr="00142305">
        <w:rPr>
          <w:rFonts w:ascii="Times New Roman" w:hAnsi="Times New Roman"/>
          <w:color w:val="0070C0"/>
          <w:sz w:val="16"/>
          <w:szCs w:val="16"/>
        </w:rPr>
        <w:softHyphen/>
        <w:t>чил также новый двигатель - М-17, другую трансмиссию и коробку передач, в большой башне цилиндрической формы смонтирова</w:t>
      </w:r>
      <w:r w:rsidRPr="00142305">
        <w:rPr>
          <w:rFonts w:ascii="Times New Roman" w:hAnsi="Times New Roman"/>
          <w:color w:val="0070C0"/>
          <w:sz w:val="16"/>
          <w:szCs w:val="16"/>
        </w:rPr>
        <w:softHyphen/>
        <w:t>ли пушку ПС-3 с прогрессивной нарезкой. В остальном же Т-35-2 практически не от</w:t>
      </w:r>
      <w:r w:rsidRPr="00142305">
        <w:rPr>
          <w:rFonts w:ascii="Times New Roman" w:hAnsi="Times New Roman"/>
          <w:color w:val="0070C0"/>
          <w:sz w:val="16"/>
          <w:szCs w:val="16"/>
        </w:rPr>
        <w:softHyphen/>
        <w:t>личался от своего предшественника, если не считать измененной конструкции фаль</w:t>
      </w:r>
      <w:r w:rsidRPr="00142305">
        <w:rPr>
          <w:rFonts w:ascii="Times New Roman" w:hAnsi="Times New Roman"/>
          <w:color w:val="0070C0"/>
          <w:sz w:val="16"/>
          <w:szCs w:val="16"/>
        </w:rPr>
        <w:softHyphen/>
        <w:t>шборта (25014).</w:t>
      </w:r>
    </w:p>
    <w:p w14:paraId="35DE9F12" w14:textId="77777777" w:rsidR="00111E22" w:rsidRPr="00142305" w:rsidRDefault="00111E22" w:rsidP="00111E22">
      <w:pPr>
        <w:spacing w:after="0" w:line="240" w:lineRule="auto"/>
        <w:jc w:val="both"/>
        <w:rPr>
          <w:rFonts w:ascii="Times New Roman" w:hAnsi="Times New Roman"/>
          <w:color w:val="0070C0"/>
          <w:sz w:val="16"/>
          <w:szCs w:val="16"/>
        </w:rPr>
      </w:pPr>
    </w:p>
    <w:p w14:paraId="3889567F"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февраля 1933 года Красный Путиловец приступил к производству трехбашенных танков Т-28. Позже к танкам добавились народнохозяйственные пропашные трактора «Универсал» с планом в 5 тыс. штук к концу 1934 года. Для выпуска автомобилей уже просто не оставалось производственных мощностей, так что более предприятие к автомобильной тематике не обращалось никогда.</w:t>
      </w:r>
    </w:p>
    <w:p w14:paraId="07C821A1"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Задание на представительскую легковую модель вместе со всем заделом по Л-1 решением Наркомата тяжелой промышленности передали московскому автомобильному заводу имени Сталина. Здесь «советский бюик» переработали и несколько упростили, сохранив преемственность конструкции. Отказались от сложной, требующей точных регулировок и неустойчиво работающей в повседневной эксплуатации системы автоматического управления сцеплением. Интересно, что аналогично поступили и заокеанские коллеги. Даже в Детройте не смогли справиться с «Волшебным Управлением» и его еще более «волшебными» капризами. Владельцы попросту ездили, переключая передачи в обычном режиме, а некоторые даже вовсе демонтировали систему (отказаться от нее на стадии заказа машины у фирмы было невозможно). 1934 год стал последним годом ее установки на Buick. Годом раньше — с 1933 модельного года, — американские конструкторы отказались от регулируемой жесткости амортизаторов: для широкой публики эта, в общем-то, полезная функция оказалась сложной в правильной настройке, и ею не пользовались. Будущий ЗИС-101 тоже лишился регулировки жесткости амортизаторов из-за сложности системы, нежелания тратить время на ее доводку. Кроме того, отечественного дорожные реалии делали первые пять режимов «для хорошего дорожного покрытия» практически ненужными. Можно было сразу смело конструировать амортизаторы с характеристиками, аналогичными шестому режиму «самой плохой дороги».</w:t>
      </w:r>
    </w:p>
    <w:p w14:paraId="23BEC8A6"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время, потребовавшееся конструкторам ЗиСа для доводки шасси, дизайн модели «32-90» устарел окончательно. Получив в 1936 году совсем другой, более современный по форме кузов, автомобиль принял окончательный вид, воплотившись в знаменитый ЗИС-101. С этого момента «автомобилями-флагманами» высшего класса на протяжении всего срока существования СССР занимался именно московский автозавод.</w:t>
      </w:r>
    </w:p>
    <w:p w14:paraId="692453C1"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Дальнейшая судьба выпущенных в Ленинграде машин детально неизвестна. Два «Л-1» числились в правительственном гараже Москвы. Один автомобиль по неподтвержденным данным попал в тогдашнюю столицу Украины — Харьков, остальные предположительно эксплуатировались в Ленинграде. По воспоминаниям очевидцев, некоторые экземпляры, успешно пережив войну и блокаду, продолжали ездить, и постепенно по ветхости вышли из строя уже в 1950-х годах. К величайшему сожалению, ни один «Л-1» до наших дней не сохранился (25591).</w:t>
      </w:r>
    </w:p>
    <w:p w14:paraId="31AE0FF2" w14:textId="77777777" w:rsidR="00111E22" w:rsidRPr="00142305" w:rsidRDefault="00111E22" w:rsidP="00111E22">
      <w:pPr>
        <w:spacing w:after="0" w:line="240" w:lineRule="auto"/>
        <w:jc w:val="both"/>
        <w:rPr>
          <w:rFonts w:ascii="Times New Roman" w:hAnsi="Times New Roman"/>
          <w:color w:val="0070C0"/>
          <w:sz w:val="16"/>
          <w:szCs w:val="16"/>
        </w:rPr>
      </w:pPr>
    </w:p>
    <w:p w14:paraId="6F89B8A0"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первый образец ФАИ был изготовлен на Ижорском за</w:t>
      </w:r>
      <w:r w:rsidRPr="0044524F">
        <w:rPr>
          <w:rFonts w:ascii="Times New Roman" w:hAnsi="Times New Roman"/>
          <w:color w:val="000000" w:themeColor="text1"/>
          <w:sz w:val="16"/>
          <w:szCs w:val="16"/>
        </w:rPr>
        <w:softHyphen/>
        <w:t>воде. В качестве базы безо всяких пере</w:t>
      </w:r>
      <w:r w:rsidRPr="0044524F">
        <w:rPr>
          <w:rFonts w:ascii="Times New Roman" w:hAnsi="Times New Roman"/>
          <w:color w:val="000000" w:themeColor="text1"/>
          <w:sz w:val="16"/>
          <w:szCs w:val="16"/>
        </w:rPr>
        <w:softHyphen/>
        <w:t>делок использовалось шасси «Форд-А», с которого демон</w:t>
      </w:r>
      <w:r w:rsidRPr="0044524F">
        <w:rPr>
          <w:rFonts w:ascii="Times New Roman" w:hAnsi="Times New Roman"/>
          <w:color w:val="000000" w:themeColor="text1"/>
          <w:sz w:val="16"/>
          <w:szCs w:val="16"/>
        </w:rPr>
        <w:softHyphen/>
        <w:t>тировали кузов и заднее сиденье.</w:t>
      </w:r>
    </w:p>
    <w:p w14:paraId="117CCF2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Машина имела сварной корпус из брони толщиной 6,75—3 мм, отдельные конструктивные элементы которого заимствовались от Д-12. Для посадки экипажа, состояв</w:t>
      </w:r>
      <w:r w:rsidRPr="0044524F">
        <w:rPr>
          <w:rFonts w:ascii="Times New Roman" w:hAnsi="Times New Roman"/>
          <w:color w:val="000000" w:themeColor="text1"/>
          <w:sz w:val="16"/>
          <w:szCs w:val="16"/>
        </w:rPr>
        <w:softHyphen/>
        <w:t>шего из 3 человек, имелись две двери в бортах. Для более удобной работы в крыше корпуса над головой командира и водителя имелись две куполообразных выштамповки. Для движения задним ходом в кормовом листе с правой стороны размещался небольшой прямоугольный наблю</w:t>
      </w:r>
      <w:r w:rsidRPr="0044524F">
        <w:rPr>
          <w:rFonts w:ascii="Times New Roman" w:hAnsi="Times New Roman"/>
          <w:color w:val="000000" w:themeColor="text1"/>
          <w:sz w:val="16"/>
          <w:szCs w:val="16"/>
        </w:rPr>
        <w:softHyphen/>
        <w:t>дательный лючок.</w:t>
      </w:r>
    </w:p>
    <w:p w14:paraId="7C24F7B1"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ФАЙ состояло из пулемета ДТ в башне с круговым обстрелом. Пулеметчик не имел сиденья, а раз</w:t>
      </w:r>
      <w:r w:rsidRPr="0044524F">
        <w:rPr>
          <w:rFonts w:ascii="Times New Roman" w:hAnsi="Times New Roman"/>
          <w:color w:val="000000" w:themeColor="text1"/>
          <w:sz w:val="16"/>
          <w:szCs w:val="16"/>
        </w:rPr>
        <w:softHyphen/>
        <w:t>мещался в брезентовой петле. В крыше башни имелся от</w:t>
      </w:r>
      <w:r w:rsidRPr="0044524F">
        <w:rPr>
          <w:rFonts w:ascii="Times New Roman" w:hAnsi="Times New Roman"/>
          <w:color w:val="000000" w:themeColor="text1"/>
          <w:sz w:val="16"/>
          <w:szCs w:val="16"/>
        </w:rPr>
        <w:softHyphen/>
        <w:t>кидной броневой колпак, а для наблюдения за полем боя служили смотровые щели в бортах. Боекомплект — 21 мага</w:t>
      </w:r>
      <w:r w:rsidRPr="0044524F">
        <w:rPr>
          <w:rFonts w:ascii="Times New Roman" w:hAnsi="Times New Roman"/>
          <w:color w:val="000000" w:themeColor="text1"/>
          <w:sz w:val="16"/>
          <w:szCs w:val="16"/>
        </w:rPr>
        <w:softHyphen/>
        <w:t>зин - размещался в одном стеллаже у кормового листа кор</w:t>
      </w:r>
      <w:r w:rsidRPr="0044524F">
        <w:rPr>
          <w:rFonts w:ascii="Times New Roman" w:hAnsi="Times New Roman"/>
          <w:color w:val="000000" w:themeColor="text1"/>
          <w:sz w:val="16"/>
          <w:szCs w:val="16"/>
        </w:rPr>
        <w:softHyphen/>
        <w:t>пуса. Боевая масса ФАИ составляла 1,75 т (11284).</w:t>
      </w:r>
    </w:p>
    <w:p w14:paraId="313F354A" w14:textId="77777777" w:rsidR="004C24F7" w:rsidRPr="0044524F" w:rsidRDefault="004C24F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EC389D" w14:textId="77777777" w:rsidR="004C24F7"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6144CBFB"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7523A1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в округах было примерно поровну Р-5 и Р-1, а через полгода Р-5 насчитывалось 732, а Р-1 - 470. Правда, в учебных заведениях перевес старой техники оставался подавляющим: 703 против 8 (11936).</w:t>
      </w:r>
    </w:p>
    <w:p w14:paraId="188A8ED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1697BBA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в округах было примерно поровну Р-5 и P-I, а уже на I сентября Р-5 имелось 732, а Р-1 - 470. Правда, в учебных заведениях перевес старой техники оставался подавляющим: 703 против восьми. В сентябре 1933 г. завод № I рассылал самолеты 16 эскадрильям, 26 отдельным отрядам и четырем летным школам. К 1 декабря в ВВС насчитывалось уже 1898 Р-5 (12034).</w:t>
      </w:r>
    </w:p>
    <w:p w14:paraId="5607E4A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7E0C927D"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феврале 1933 г. в округах было примерно поров</w:t>
      </w:r>
      <w:r w:rsidRPr="00142305">
        <w:rPr>
          <w:rFonts w:ascii="Times New Roman" w:hAnsi="Times New Roman"/>
          <w:color w:val="0070C0"/>
          <w:sz w:val="16"/>
          <w:szCs w:val="16"/>
        </w:rPr>
        <w:softHyphen/>
        <w:t>ну Р-5 и Р-1, а уже на I сентября Р-5 имелось 732, а Р-1 - 470. Правда, в учебных заведениях перевес старой техни</w:t>
      </w:r>
      <w:r w:rsidRPr="00142305">
        <w:rPr>
          <w:rFonts w:ascii="Times New Roman" w:hAnsi="Times New Roman"/>
          <w:color w:val="0070C0"/>
          <w:sz w:val="16"/>
          <w:szCs w:val="16"/>
        </w:rPr>
        <w:softHyphen/>
        <w:t>ки оставался подавляющим: 703 против восьми. В сентяб</w:t>
      </w:r>
      <w:r w:rsidRPr="00142305">
        <w:rPr>
          <w:rFonts w:ascii="Times New Roman" w:hAnsi="Times New Roman"/>
          <w:color w:val="0070C0"/>
          <w:sz w:val="16"/>
          <w:szCs w:val="16"/>
        </w:rPr>
        <w:softHyphen/>
        <w:t>ре 1933 г. завод № I рассылал самолеты 16 эскадрильям, 26 отдельным отрядам и четырем летным школам. К I дека</w:t>
      </w:r>
      <w:r w:rsidRPr="00142305">
        <w:rPr>
          <w:rFonts w:ascii="Times New Roman" w:hAnsi="Times New Roman"/>
          <w:color w:val="0070C0"/>
          <w:sz w:val="16"/>
          <w:szCs w:val="16"/>
        </w:rPr>
        <w:softHyphen/>
        <w:t>бря в ВВС насчитывалось уже 1898 Р-5 (24990).</w:t>
      </w:r>
    </w:p>
    <w:p w14:paraId="435CBF2B" w14:textId="77777777" w:rsidR="00111E22" w:rsidRPr="00142305" w:rsidRDefault="00111E22" w:rsidP="00111E22">
      <w:pPr>
        <w:spacing w:after="0" w:line="240" w:lineRule="auto"/>
        <w:jc w:val="both"/>
        <w:rPr>
          <w:rFonts w:ascii="Times New Roman" w:hAnsi="Times New Roman"/>
          <w:color w:val="0070C0"/>
          <w:sz w:val="16"/>
          <w:szCs w:val="16"/>
        </w:rPr>
      </w:pPr>
    </w:p>
    <w:p w14:paraId="07DC418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1933-го 1, 3 и 4 части IV Управления были переименованы в сектора, а 2 часть стала самостоятельной лабораторией при Управлении.</w:t>
      </w:r>
    </w:p>
    <w:p w14:paraId="27CA7D8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(шифровальной) частью / 1 сектором руководил с марта 1930-го Э.Я.Озолин; 2 (производственной) / отдельной лабораторией: А.И.Гурвич-Горин - с мая 1930-го, С.М.Ляймберг - с февраля 1931-го, А.У.Филимонов - января 1934-го; 3 (административной) частью / 2 сектором: И.И.Пльчак - с марта 1930-го, М.О.Раубо - с декабря 1932-го, М.А.Стерхов - с января 1934-го; 4 (финансовой) частью / 3 сектором с марта 1930-го руководил А.И.Иванов.</w:t>
      </w:r>
    </w:p>
    <w:p w14:paraId="1E3DB72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комсостав Управления насчитывал в это время около 110 человек.</w:t>
      </w:r>
    </w:p>
    <w:p w14:paraId="40A8EFB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"Положения о IV Управлении Штаба РККА" (март 1931-го) гласил:</w:t>
      </w:r>
    </w:p>
    <w:p w14:paraId="2C02474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Управление есть орган стратегической разведки Штаба РККА.</w:t>
      </w:r>
    </w:p>
    <w:p w14:paraId="6E756746"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Ведению Управления подлежит:</w:t>
      </w:r>
    </w:p>
    <w:p w14:paraId="2907EBA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Организация и ведение стратегической разведки.</w:t>
      </w:r>
    </w:p>
    <w:p w14:paraId="2FE75B6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Изучение иностранных государств с военной, военно-политической и экономической сторон, на основе материалов стратегической разведки и изучения иностранной литературы.</w:t>
      </w:r>
    </w:p>
    <w:p w14:paraId="59AB399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Учет и оценка работы военных атташе.</w:t>
      </w:r>
    </w:p>
    <w:p w14:paraId="18CC48C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Участие в подготовке и инспектировании разведывательной службы войск и, в первую очередь, разведывательных органов штабов.</w:t>
      </w:r>
    </w:p>
    <w:p w14:paraId="70105FE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Подготовка и подбор кадров разведработников.</w:t>
      </w:r>
    </w:p>
    <w:p w14:paraId="3F3C969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Изучение и распространение среди органов и частей РККА материалов, полученных на основе всех видов разведки, в виде: сводок, бюллетеней, справок, обзоров и т.д.</w:t>
      </w:r>
    </w:p>
    <w:p w14:paraId="126AA93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Выполнение специальных заданий Председателя Реввоенсовета СССР.</w:t>
      </w:r>
    </w:p>
    <w:p w14:paraId="20EAE5A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Участие в разработке операций и мобилизационных планов в области, касающейся разведки.</w:t>
      </w:r>
    </w:p>
    <w:p w14:paraId="6E78C10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При Управлении состоят Курсы Усовершенствования комсостава по разведке, действующие на основе особого о них положения.</w:t>
      </w:r>
    </w:p>
    <w:p w14:paraId="299244C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Управление состоит из 5-ти Отделов и 4-х Частей. 1 отдел - войсковой разведки. 2 отдел - агентурной разведки. 3 отдел - информационный. 4 отдел - внешних сношений. 5 отдел - специальный. 1 часть - шифровальная. 2 часть - специальная. 3 часть - финансовая. 4 часть - административная".</w:t>
      </w:r>
    </w:p>
    <w:p w14:paraId="6B66075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же году этот документ, за вычетом пункта 10, вошел в качестве 5 главы ("О 4-м (Разведывательном) Управлении Штаба РККА") в "Положение о Центральном Аппарате Народного Комиссариата по военным и морским делам" (7557).</w:t>
      </w:r>
    </w:p>
    <w:p w14:paraId="4435A95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59AF5DA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на заседании у зам. НКВМД М.Н.Тухачевского рассматривался вопрос о тактике применения телетанков (9527,199).</w:t>
      </w:r>
    </w:p>
    <w:p w14:paraId="37A9B09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3E80BD7" w14:textId="77777777" w:rsidR="002E6AE0" w:rsidRPr="0044524F" w:rsidRDefault="002E6AE0" w:rsidP="009654CF">
      <w:pPr>
        <w:pStyle w:val="Bodytext1"/>
        <w:shd w:val="clear" w:color="auto" w:fill="auto"/>
        <w:spacing w:line="240" w:lineRule="auto"/>
        <w:ind w:firstLine="0"/>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 феврале 1933 года на заседании у заместителя НКВМД М.Н. Тухачевского рассматривался вопрос о тактике применения телетанков. После появле</w:t>
      </w:r>
      <w:r w:rsidRPr="0044524F">
        <w:rPr>
          <w:rFonts w:ascii="Times New Roman" w:hAnsi="Times New Roman" w:cs="Times New Roman"/>
          <w:color w:val="000000" w:themeColor="text1"/>
          <w:sz w:val="16"/>
          <w:szCs w:val="16"/>
        </w:rPr>
        <w:softHyphen/>
        <w:t>ния сведений об аналогичных исследованиях за рубежом (в частности, в Великобритании), работы по телетанкам были активизированы (17745).</w:t>
      </w:r>
    </w:p>
    <w:p w14:paraId="781AE40F" w14:textId="77777777" w:rsidR="002E6AE0" w:rsidRPr="0044524F" w:rsidRDefault="002E6AE0" w:rsidP="009654CF">
      <w:pPr>
        <w:pStyle w:val="ae"/>
        <w:shd w:val="clear" w:color="auto" w:fill="FFFFFF"/>
        <w:spacing w:before="0" w:after="0"/>
        <w:jc w:val="both"/>
        <w:rPr>
          <w:iCs/>
          <w:color w:val="000000" w:themeColor="text1"/>
          <w:sz w:val="16"/>
          <w:szCs w:val="16"/>
        </w:rPr>
      </w:pPr>
    </w:p>
    <w:p w14:paraId="3AAC130E"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663C07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468465C" w14:textId="77777777" w:rsidR="003004AC" w:rsidRPr="0044524F" w:rsidRDefault="003004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в Ростове-на-Дону на заводе трамвая им. Воровского был создан Опытный пассажирский троллейбус на базе автобуса Я-6 Эта троллейбусная машина считается первой попыткой создания в Советском Союзе нового вида наземного городского транспорта — троллейбуса. Однако далее ходовых испытаний дело не пошло, так как проект был полностью инициативным и к общесоюзной троллейбусной программе отношения не имел, поэтому не имел и финансирования. К слову, своего обозначения троллейбус также не имел.</w:t>
      </w:r>
    </w:p>
    <w:p w14:paraId="2F5FECB2" w14:textId="77777777" w:rsidR="003004AC" w:rsidRPr="0044524F" w:rsidRDefault="003004A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 по инициативе инженера управления ростовского трамвая А. Соболева был создан проект пассажирского троллейбуса, основу которого составлял списанный автобус Я-6 и трамвайное электрооборудование (тяговый двигатель, токоприемники, переключатели, реостаты). Интерес вызывает применение на троллейбусе, кроме двух токоприемников, нижнего ролика для рельса. Поэтому троллейбус мог работать как в обычном режиме с двумя токоприемниками, так и в трамвайном, когда плюсовой токоприемник находился на линии, а ролик опускался и катился по рельсе, тем самым замыкая цепь на -550 В. Сам Соболев был известен в трамвайном управлении как видный специалист в сфере горэлектротранспорта, автор статей по теории троллейбуса. В феврале 1933 г. опытный троллейбус был готов, и Соболев написал подробную докладную записку своему руководству об использовании троллейбуса и необходимости строительства инфраструктуры к нему, но поддержки не получил. Тем не менее был построен небольшой участок контактной сети, на которой совершал пробные поездки опытный троллейбус должались около года, и к январю 1934 г. доработанный троллейбус был готов к мелкосерийному производству для открытия троллейбусного движения в Ростове-наДону. Однако к этому времени уже был освоен серийный выпуск троллейбусов ЛК, которые и приобрели ростовчане для открытия троллейбусной системы в своем городе (22735).</w:t>
      </w:r>
    </w:p>
    <w:p w14:paraId="0E084820" w14:textId="77777777" w:rsidR="003004AC" w:rsidRPr="0044524F" w:rsidRDefault="003004AC" w:rsidP="009654CF">
      <w:pPr>
        <w:spacing w:after="0" w:line="240" w:lineRule="auto"/>
        <w:jc w:val="both"/>
        <w:rPr>
          <w:rFonts w:ascii="Times New Roman" w:hAnsi="Times New Roman"/>
          <w:color w:val="000000" w:themeColor="text1"/>
          <w:sz w:val="16"/>
          <w:szCs w:val="16"/>
        </w:rPr>
      </w:pPr>
    </w:p>
    <w:p w14:paraId="6BDAD6B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возникла было идея серьезной реорганизации управления местами заключения и спецпоселениями системы ОГПУ. К тому времени численность спецпоселенцев заметно превосходила число заключенных в лагерях ОГПУ, чем и диктовалась попытка создания самостоятельного Главного управления трудовыми спецпоселениями (ГУТС) ОГПУ (7557).</w:t>
      </w:r>
    </w:p>
    <w:p w14:paraId="456CFE4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163E01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1933-го был разработан проект переименования ГУЛАГа в Главное управление трудовыми спецпоселениями (ГУТС) ОГПУ. Будь он реализован, слово «ГУЛАГ» не стало бы нарицательным и не вошло бы во все языки мира (7560).</w:t>
      </w:r>
    </w:p>
    <w:p w14:paraId="6F993E61"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64FAEF85" w14:textId="77777777" w:rsidR="004539AF"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09C3B66F" w14:textId="77777777" w:rsidR="004539AF" w:rsidRPr="0044524F" w:rsidRDefault="004539A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43A7021" w14:textId="77777777" w:rsidR="004539AF" w:rsidRPr="0044524F" w:rsidRDefault="004539A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норвежские браконьеры достали. Бьют в наших водах тюленей. Пограничники ничего не могут поделать - браконьеров прикрывает норвежский броненосец. Пришлось перевести с Балтики на Белое море парочку эсминцев и подводных лодок. Норвеги успокоились и перестали безобразничать (12629).</w:t>
      </w:r>
    </w:p>
    <w:p w14:paraId="40EC777B" w14:textId="77777777" w:rsidR="004539AF" w:rsidRPr="0044524F" w:rsidRDefault="004539A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AB08D30"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2254CAA"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BFB1AF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М.Хэдд совершил первый полет на Валти V-1 и после коротких заводских испытаний машину передали в Америкен айрлайнз для эксплуатационных испытаний (3877,17).</w:t>
      </w:r>
    </w:p>
    <w:p w14:paraId="0B46E78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3A2CDF70"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феврале 1933 года на самолете </w:t>
      </w:r>
      <w:r w:rsidRPr="0044524F">
        <w:rPr>
          <w:rFonts w:ascii="Times New Roman" w:hAnsi="Times New Roman"/>
          <w:color w:val="000000" w:themeColor="text1"/>
          <w:sz w:val="16"/>
          <w:szCs w:val="16"/>
          <w:lang w:val="en-US"/>
        </w:rPr>
        <w:t>LR</w:t>
      </w:r>
      <w:r w:rsidRPr="0044524F">
        <w:rPr>
          <w:rFonts w:ascii="Times New Roman" w:hAnsi="Times New Roman"/>
          <w:color w:val="000000" w:themeColor="text1"/>
          <w:sz w:val="16"/>
          <w:szCs w:val="16"/>
        </w:rPr>
        <w:t xml:space="preserve"> ком</w:t>
      </w:r>
      <w:r w:rsidRPr="0044524F">
        <w:rPr>
          <w:rFonts w:ascii="Times New Roman" w:hAnsi="Times New Roman"/>
          <w:color w:val="000000" w:themeColor="text1"/>
          <w:sz w:val="16"/>
          <w:szCs w:val="16"/>
        </w:rPr>
        <w:softHyphen/>
        <w:t>пании «Фейри» был установлен миро</w:t>
      </w:r>
      <w:r w:rsidRPr="0044524F">
        <w:rPr>
          <w:rFonts w:ascii="Times New Roman" w:hAnsi="Times New Roman"/>
          <w:color w:val="000000" w:themeColor="text1"/>
          <w:sz w:val="16"/>
          <w:szCs w:val="16"/>
        </w:rPr>
        <w:softHyphen/>
        <w:t>вой рекорд дальности полета по прямой 8544 км. Затем французы Коддос и Росси на «Блерио-110», вылетев из Нью-Йорка, добрались до Сирии, покрыв расстояние 9000 км (12725).</w:t>
      </w:r>
    </w:p>
    <w:p w14:paraId="6684AAC5" w14:textId="77777777" w:rsidR="00185C06" w:rsidRPr="0044524F" w:rsidRDefault="00185C06" w:rsidP="009654CF">
      <w:pPr>
        <w:pStyle w:val="txt1"/>
        <w:shd w:val="clear" w:color="auto" w:fill="FFFFFF"/>
        <w:spacing w:before="0" w:beforeAutospacing="0" w:after="0" w:afterAutospacing="0" w:line="240" w:lineRule="auto"/>
        <w:ind w:firstLine="0"/>
        <w:rPr>
          <w:color w:val="000000" w:themeColor="text1"/>
          <w:sz w:val="16"/>
          <w:szCs w:val="16"/>
        </w:rPr>
      </w:pPr>
    </w:p>
    <w:p w14:paraId="0A9834A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был готов второй экз. Хе-70 Блитц с БМВ 6,0Z в 680 нр. Его стали готовить к рекорду скорости (1167,24).</w:t>
      </w:r>
    </w:p>
    <w:p w14:paraId="0C29233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3007BBC" w14:textId="77777777" w:rsidR="00BF6883" w:rsidRPr="0044524F" w:rsidRDefault="00BF68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 гражданский сертификат летной годности самолет получил первый Ju-52, предназначенным для перевозки пассажиров Ju-52cai (Werk Nr. 4005, D-2356). Самолет мог перевозить 15 пассажиров. На нем стоял двигатель жидкостного охлаждения BMW XiaU мощностью 800 л.с. Уже 27 мая 1933 г. был разбит при вынужденной посадке (24200).</w:t>
      </w:r>
    </w:p>
    <w:p w14:paraId="449791FF" w14:textId="77777777" w:rsidR="00BF6883" w:rsidRPr="0044524F" w:rsidRDefault="00BF6883" w:rsidP="009654CF">
      <w:pPr>
        <w:spacing w:after="0" w:line="240" w:lineRule="auto"/>
        <w:jc w:val="both"/>
        <w:rPr>
          <w:rFonts w:ascii="Times New Roman" w:hAnsi="Times New Roman"/>
          <w:color w:val="000000" w:themeColor="text1"/>
          <w:sz w:val="16"/>
          <w:szCs w:val="16"/>
        </w:rPr>
      </w:pPr>
    </w:p>
    <w:p w14:paraId="2138DD6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Германия принимает решение о создании Люфтваффе и об отказе от статей Версальского договора, ограничивающего вооружение Германии (226,426).</w:t>
      </w:r>
    </w:p>
    <w:p w14:paraId="1D93A6BF"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это произошло в феврале 1935.</w:t>
      </w:r>
    </w:p>
    <w:p w14:paraId="4470A270"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0146D3E"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«Пратт энд Уитни компани» предоставила БМВ лицензию на производство мотора «Хорнет-Д». В результате в 1935 году из 28 типов германских военных самолётов 11 были оснащены английскими и американскими моторами фирм «Роллс-Ройс», «Армстронг-Сидли», «Пратт энд Уитни» и других (11208).</w:t>
      </w:r>
    </w:p>
    <w:p w14:paraId="1AAFB31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61769C2C" w14:textId="77777777" w:rsidR="004C24F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E5238E0" w14:textId="77777777" w:rsidR="004C24F7" w:rsidRPr="0044524F" w:rsidRDefault="004C24F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35CAAA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феврале-марте 1933 на полигоне ВВС в Монино испытывался один из первых серийных И-Зет № 39009. Самолет имело одну действующую пушку и габаритно-весовой макет. Летал Пионтковский и сделал несколько выстрелов в воздухе (3996, 92).</w:t>
      </w:r>
    </w:p>
    <w:p w14:paraId="250B111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349AC1EC"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феврале-марте 1933 на полигоне УВВС в Монино испытывался один из первых серийных И-зет N 39009. Летал Пионтковский. На самолете была одна действующая пушка (под левым крылом) и один габаритно-весовой макет под правый. Для наземных стрельб в Щелково выстроили помост и испытания на влияние струй на конструкцию проводил И.О.Незваль. Обшивка не нагревалась и заклепки не отрывались (2692,6).</w:t>
      </w:r>
    </w:p>
    <w:p w14:paraId="300E412B"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2DE6DE92"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феврале-марте 1933 г. на полигоне ВВС в Монино испытывался один из первых серийных И-ЗЕТ (№ 39009). Полёты выполнял летчик Ю.И. Пионтковский. Самолёт нёс одну действующую пушку АПК-4 под левым крылом и её массово-габаритный макет - под правым. Для проведения наземных стрельб на аэродроме НИИ ВВС соорудили специальный помост. О ходе этих испытаний вспоминал авиаконструктор И.Ф. Незваль, который в 1932 г. был направлен из ЦАГИ на завод № 39 для помощи в освоении серийного производства бомбардировщика ТБ-3: "Однажды директор вызвал меня и просил заняться проведением испытания истребителя Д.П. Григоровича. Надо было определить воздействие реактивной струи на обшивку фюзеляжа при стрельбе из пушек Курчевского, установленных на этом самолёте. Мне показалось это поручение довольно странным, так как в то время на заводе находился и сам Григорович, и сотрудники его КБ смогли бы это испытание провести сами. Однако директор настоял, чтобы это испытание провёл я... Испытание мы проводили зимой на территории НИИ ВВС в Щёлково. Тогда эта территория была только что отведена ВВС, и никаких построек там ещё не было. Нами там был сооружён помост высотой в 5 - 6 метров с наклонной плоскостью для затаскивания самолёта.</w:t>
      </w:r>
    </w:p>
    <w:p w14:paraId="0CF5599D"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Самолёт с завода перелетел в Щёлково и там был установлен на помост, с которого и велась стрельба. Испытания особой сложности не представляли. После каждого выстрела нам надо было только на ощупь определять нагрев и следить за отрывом заклёпок. Поскольку ни отрыва заклёпок, ни нагрева обшивки нами обнаружено не было, мы составили акт с положительным заключением.</w:t>
      </w:r>
    </w:p>
    <w:p w14:paraId="3B7B95F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Казалось бы, что дело с ОКБ Григоровича на этом и окончилось. Однако спустя немного времени это дело имело для меня совсем неожиданное и при этом неприятное продолжение. Однажды утром меня просят ознакомиться с приказом директора о подчинении мне ОКБ Григоровича. Произошло ли это оттого, что директор переоценил мои способности, или просто по незнанию положения, но, во всяком случае, это было нелепое решение, и я тотчас побежал к директору, как мог, объяснил неправильность его решения и просил немедленно отменить приказ. На самом деле, Григорович был маститый, широко известный конструктор самолётов, и вдруг его подчиняют мне, совсем молодому, никому не известному конструктору. Конечно, это директор понял и тотчас отменил приказ".</w:t>
      </w:r>
    </w:p>
    <w:p w14:paraId="0F349B25"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Рассказанное Иосифом Фомичём не согласуется с результатами последующих испытаний, в которых были и сорванные заклёпки, и вздутые листы обшивки. Очевидно, что при стрельбах, которые контролировал Незваль, использовались заряды уменьшенной мощности. Что же касается вероятного назначения Незва- ля руководителем конструкторского бюро Григоровича, то здесь просто остаётся развести руками. Насколько всё-таки острой и жёсткой была борьба за лидерство в промышленности, что могли происходить столь невероятные эпизоды (12005).</w:t>
      </w:r>
    </w:p>
    <w:p w14:paraId="70308453"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1051529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 марте 1933 г. на полигоне ВВС в Монино испытывался один из первых серийных самолетов И-7 № 39 009.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 (12091).</w:t>
      </w:r>
    </w:p>
    <w:p w14:paraId="1ADA8788"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4C8E3EFA" w14:textId="77777777" w:rsidR="00185C06" w:rsidRPr="0044524F" w:rsidRDefault="00185C06" w:rsidP="009654CF">
      <w:pPr>
        <w:pStyle w:val="a3"/>
        <w:autoSpaceDE/>
        <w:autoSpaceDN/>
        <w:adjustRightInd/>
        <w:rPr>
          <w:color w:val="000000" w:themeColor="text1"/>
          <w:lang w:val="ru-RU"/>
        </w:rPr>
      </w:pPr>
      <w:r w:rsidRPr="0044524F">
        <w:rPr>
          <w:color w:val="000000" w:themeColor="text1"/>
          <w:lang w:val="ru-RU"/>
        </w:rPr>
        <w:t>В феврале-марте 1933 г на полигоне ВВС в Монино испытывался один из первых серийных И-2 (№3). Полеты выполнял летчик-испытатель Пионтковский.Самолет нес одну пушку АПК под левым крылом и ее массово-габаритный под правым крылом. Для проведения| наземных стрельб на аэродроме ВВС соорудили специальный помост. О проведении этих испытаний вспоминал И.Ф. Незваль, который в 1932 г. направлен на авиазавод №39 для помощи в освоении серийного производства ТБ-</w:t>
      </w:r>
      <w:r w:rsidRPr="0044524F">
        <w:rPr>
          <w:color w:val="000000" w:themeColor="text1"/>
          <w:lang w:val="ru-RU"/>
        </w:rPr>
        <w:lastRenderedPageBreak/>
        <w:t>3:</w:t>
      </w:r>
      <w:r w:rsidRPr="0044524F">
        <w:rPr>
          <w:rStyle w:val="aff5"/>
          <w:rFonts w:ascii="Times New Roman" w:hAnsi="Times New Roman" w:cs="Times New Roman"/>
          <w:i w:val="0"/>
          <w:color w:val="000000" w:themeColor="text1"/>
          <w:lang w:val="ru-RU"/>
        </w:rPr>
        <w:t xml:space="preserve"> «Однажды директор вызвал меня и попросил заняться проведением испытаний истребителя Д. П. Григоровича. Надо было определить воздействие реактивной струи на </w:t>
      </w:r>
      <w:r w:rsidRPr="0044524F">
        <w:rPr>
          <w:color w:val="000000" w:themeColor="text1"/>
          <w:lang w:val="ru-RU"/>
        </w:rPr>
        <w:t>обшивку фюзеляжа при стрельбе из пушек Курчевского, установленных на этом самолете. Мне показалось это поручение довольно странным, так как в то время на заводе находился и сам Григорович, и сотрудники его КБ смогли бы это испы</w:t>
      </w:r>
      <w:r w:rsidRPr="0044524F">
        <w:rPr>
          <w:color w:val="000000" w:themeColor="text1"/>
          <w:lang w:val="ru-RU"/>
        </w:rPr>
        <w:softHyphen/>
        <w:t>тание провести сами. Однако директор настоял, чтобы это испытание провел я... Испытание мы проводили зимой на территории НИИ ВВС в Щелково. Тогда эта территория была только что отведена ВВС, и никаких построек там еще не было. Нами там был сооружен помост высотой в 5-6 м с наклонной плоскостью для затаскивания самолета. Самолет с завода перелетел в Щелково и там был установлен на помост, с которого и велась стрельба. Испытания особой сложности не представляли. После каждого выстрела нам надо было только на ощупь определять нагрев и следить за отрывом заклепок. Поскольку ни отрыва заклепок, ни нагрева обшивки нами обнаружено не было, мы составили акт с положительным заключением».</w:t>
      </w:r>
    </w:p>
    <w:p w14:paraId="0812DD1B"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Рассказанное Иосифом Фомичем не согласуется с результатами последующих испытаний, в которых были и сорванные заклепки, и вздутые листы обшивки (12731).</w:t>
      </w:r>
    </w:p>
    <w:p w14:paraId="56B917F1" w14:textId="77777777" w:rsidR="00185C06" w:rsidRPr="0044524F" w:rsidRDefault="00185C06" w:rsidP="009654CF">
      <w:pPr>
        <w:spacing w:after="0" w:line="240" w:lineRule="auto"/>
        <w:jc w:val="both"/>
        <w:rPr>
          <w:rFonts w:ascii="Times New Roman" w:hAnsi="Times New Roman"/>
          <w:color w:val="000000" w:themeColor="text1"/>
          <w:sz w:val="16"/>
          <w:szCs w:val="16"/>
        </w:rPr>
      </w:pPr>
    </w:p>
    <w:p w14:paraId="42742CCE" w14:textId="77777777" w:rsidR="00111E22" w:rsidRPr="00142305" w:rsidRDefault="00111E22" w:rsidP="00111E2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феврале — марте 1933 г. на полигоне УВВВС в Монино испытывался один из первых серийных самолетов И-7 № 39009. Самолет имел одну действующую пушку, под левым крылом справа разместили габаритно-весовой макет. Для проведения наземных стрельб был сооружен помост высотой несколько метров. Несколько выстрелов было совершено и в воздухе. Летал летчик-испытатель Пионтковский (25213).</w:t>
      </w:r>
    </w:p>
    <w:p w14:paraId="7DE7A7DC" w14:textId="77777777" w:rsidR="00111E22" w:rsidRPr="00142305" w:rsidRDefault="00111E22" w:rsidP="00111E22">
      <w:pPr>
        <w:spacing w:after="0" w:line="240" w:lineRule="auto"/>
        <w:jc w:val="both"/>
        <w:rPr>
          <w:rStyle w:val="aff"/>
          <w:rFonts w:ascii="Times New Roman" w:hAnsi="Times New Roman" w:cs="Times New Roman"/>
          <w:color w:val="0070C0"/>
          <w:spacing w:val="0"/>
          <w:sz w:val="16"/>
          <w:szCs w:val="16"/>
        </w:rPr>
      </w:pPr>
    </w:p>
    <w:p w14:paraId="15D86F2A"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феврале-марте 1933 - в НИИ ВВС испытывали У-2 вооруженные ПВ-1 синхронным и ДА на турели (217,23).</w:t>
      </w:r>
    </w:p>
    <w:p w14:paraId="2B2D6657" w14:textId="77777777" w:rsidR="004C24F7" w:rsidRPr="0044524F" w:rsidRDefault="004C24F7" w:rsidP="009654CF">
      <w:pPr>
        <w:autoSpaceDE w:val="0"/>
        <w:autoSpaceDN w:val="0"/>
        <w:adjustRightInd w:val="0"/>
        <w:spacing w:after="0" w:line="240" w:lineRule="auto"/>
        <w:jc w:val="both"/>
        <w:rPr>
          <w:rFonts w:ascii="Times New Roman" w:hAnsi="Times New Roman"/>
          <w:color w:val="000000" w:themeColor="text1"/>
          <w:sz w:val="16"/>
          <w:szCs w:val="16"/>
        </w:rPr>
      </w:pPr>
    </w:p>
    <w:p w14:paraId="07BBE768"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EA9456A"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4ED8DC08" w14:textId="77777777" w:rsidR="00F42404" w:rsidRPr="0044524F" w:rsidRDefault="00F42404" w:rsidP="009654CF">
      <w:pPr>
        <w:pStyle w:val="Iauiue"/>
        <w:jc w:val="both"/>
        <w:rPr>
          <w:color w:val="000000" w:themeColor="text1"/>
          <w:sz w:val="16"/>
          <w:szCs w:val="16"/>
        </w:rPr>
      </w:pPr>
      <w:r w:rsidRPr="0044524F">
        <w:rPr>
          <w:color w:val="000000" w:themeColor="text1"/>
          <w:sz w:val="16"/>
          <w:szCs w:val="16"/>
        </w:rPr>
        <w:t>Зимой 1932—1933 года на ижевском Опытном мотоциклетном заводе готовились к освоению серийного производства мотоцикла Л-300, рекомендованного советом добровольного общества Автодор и уже выпускавшегося в Ленинграде, на предприятиях треста «Тремасс», Тогда в Ижевск приехали молодые специалисты из Московского механического института, выпускники Нижегородского автомобильного техникума, инженеры с ленинградского завода «Красный Октябрь». Последние и доставили на Опытный мотоциклетный завод необходимую техническую документацию на Л-300.</w:t>
      </w:r>
    </w:p>
    <w:p w14:paraId="707E07A7" w14:textId="77777777" w:rsidR="00F42404" w:rsidRPr="0044524F" w:rsidRDefault="00F42404" w:rsidP="009654CF">
      <w:pPr>
        <w:pStyle w:val="Iauiue"/>
        <w:jc w:val="both"/>
        <w:rPr>
          <w:color w:val="000000" w:themeColor="text1"/>
          <w:sz w:val="16"/>
          <w:szCs w:val="16"/>
        </w:rPr>
      </w:pPr>
      <w:r w:rsidRPr="0044524F">
        <w:rPr>
          <w:color w:val="000000" w:themeColor="text1"/>
          <w:sz w:val="16"/>
          <w:szCs w:val="16"/>
        </w:rPr>
        <w:t>Однако ижевские конструкторы, привыкшие к точным техническим заданиям, присущим оружейному делу, нашли в ленинградских чертежах немало ошибок, неувязок. Пришлось взяться за основательную переделку привезенной документации, попутно внося в нее существенные изменения. В результате появились чертежи на во многом новую машину, получившую обозначение ИЖ-7. Эта работа была проделана настолько быстро, что в том же 1933 году удалось собрать 12 мотоциклов этой марки.</w:t>
      </w:r>
    </w:p>
    <w:p w14:paraId="2DF88F53" w14:textId="77777777" w:rsidR="00F42404" w:rsidRPr="0044524F" w:rsidRDefault="00F42404" w:rsidP="009654CF">
      <w:pPr>
        <w:pStyle w:val="Iauiue"/>
        <w:jc w:val="both"/>
        <w:rPr>
          <w:color w:val="000000" w:themeColor="text1"/>
          <w:sz w:val="16"/>
          <w:szCs w:val="16"/>
        </w:rPr>
      </w:pPr>
      <w:r w:rsidRPr="0044524F">
        <w:rPr>
          <w:color w:val="000000" w:themeColor="text1"/>
          <w:sz w:val="16"/>
          <w:szCs w:val="16"/>
        </w:rPr>
        <w:t>Работами руководил выпускник Московского механического института В. В. Рогожин, вскоре ставший главным конструктором и временно главным технологом ОМЗ. Всеволод Вячеславович рассказывал мне, что когда первую десятку ИЖ-7 отправили в торговую сеть, неожиданно для заводчан всю партию вернули — оказалась некачественной система зажигания. Рекламация послужила полезным уроком, дефект оперативно устранили, и на 1934 год завод получил заказ уже на 400 мотоциклов.</w:t>
      </w:r>
    </w:p>
    <w:p w14:paraId="339F2E28" w14:textId="77777777" w:rsidR="00F42404" w:rsidRPr="0044524F" w:rsidRDefault="00F42404" w:rsidP="009654CF">
      <w:pPr>
        <w:pStyle w:val="Iauiue"/>
        <w:jc w:val="both"/>
        <w:rPr>
          <w:color w:val="000000" w:themeColor="text1"/>
          <w:sz w:val="16"/>
          <w:szCs w:val="16"/>
        </w:rPr>
      </w:pPr>
      <w:r w:rsidRPr="0044524F">
        <w:rPr>
          <w:color w:val="000000" w:themeColor="text1"/>
          <w:sz w:val="16"/>
          <w:szCs w:val="16"/>
        </w:rPr>
        <w:t>Одновременно ОМЗ поручили выпустить, используя мотоциклетный мотор, по 50 мотопил и стационарных двигателей. Изготовить их нужное количество поначалу никак не удавалось, что сказалось и на выпуске мотоциклов — их сдали всего-навсего 111.</w:t>
      </w:r>
    </w:p>
    <w:p w14:paraId="7CBA878C" w14:textId="77777777" w:rsidR="00F42404" w:rsidRPr="0044524F" w:rsidRDefault="00F42404" w:rsidP="009654CF">
      <w:pPr>
        <w:pStyle w:val="Iauiue"/>
        <w:jc w:val="both"/>
        <w:rPr>
          <w:color w:val="000000" w:themeColor="text1"/>
          <w:sz w:val="16"/>
          <w:szCs w:val="16"/>
        </w:rPr>
      </w:pPr>
      <w:r w:rsidRPr="0044524F">
        <w:rPr>
          <w:color w:val="000000" w:themeColor="text1"/>
          <w:sz w:val="16"/>
          <w:szCs w:val="16"/>
        </w:rPr>
        <w:t>Но в следующем году, хотя план и увеличили до 450 машин, заводчане не только выполнили, а и перевыполнили его на... один мотоцикл, причем рекламаций не было — производство удалось наладить (11396).</w:t>
      </w:r>
    </w:p>
    <w:p w14:paraId="1AEF0FF4" w14:textId="77777777" w:rsidR="00F42404" w:rsidRPr="0044524F" w:rsidRDefault="00F42404" w:rsidP="009654CF">
      <w:pPr>
        <w:pStyle w:val="Iauiue"/>
        <w:jc w:val="both"/>
        <w:rPr>
          <w:color w:val="000000" w:themeColor="text1"/>
          <w:sz w:val="16"/>
          <w:szCs w:val="16"/>
        </w:rPr>
      </w:pPr>
    </w:p>
    <w:p w14:paraId="6043D47D"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53B98E0"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7A649E9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весне 1933 года в частях 107-мм химические минометы использовались только как учебные. По неясным причинам в ряде документов миномет МС-107 именовался "минометом обр. 1928/30 г.". На самом деле в 1928 году этого миномета и в проекте не было (3861).</w:t>
      </w:r>
    </w:p>
    <w:p w14:paraId="01240EAD"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5594652E" w14:textId="77777777" w:rsidR="00080504" w:rsidRPr="00142305" w:rsidRDefault="00080504" w:rsidP="0008050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весне 1933 года был готов опытный образец нового танка, перво</w:t>
      </w:r>
      <w:r w:rsidRPr="00142305">
        <w:rPr>
          <w:rFonts w:ascii="Times New Roman" w:hAnsi="Times New Roman"/>
          <w:color w:val="0070C0"/>
          <w:sz w:val="16"/>
          <w:szCs w:val="16"/>
        </w:rPr>
        <w:softHyphen/>
        <w:t>начально проходившего под обозначени</w:t>
      </w:r>
      <w:r w:rsidRPr="00142305">
        <w:rPr>
          <w:rFonts w:ascii="Times New Roman" w:hAnsi="Times New Roman"/>
          <w:color w:val="0070C0"/>
          <w:sz w:val="16"/>
          <w:szCs w:val="16"/>
        </w:rPr>
        <w:softHyphen/>
        <w:t>ем «Селезень», а затем получивший индекс Т-33. В связи с тем, что С. Гинзбург в составе советской закупочной комиссии убыл в Италию, для приобретения образцов бронетанковой и автотракторной техники, завершение работ по проектированию и постройке Т-33 шло под руководством М. Зигеля (25019).</w:t>
      </w:r>
    </w:p>
    <w:p w14:paraId="38FA776B" w14:textId="77777777" w:rsidR="00080504" w:rsidRPr="00142305" w:rsidRDefault="00080504" w:rsidP="00080504">
      <w:pPr>
        <w:spacing w:after="0" w:line="240" w:lineRule="auto"/>
        <w:jc w:val="both"/>
        <w:rPr>
          <w:rFonts w:ascii="Times New Roman" w:hAnsi="Times New Roman"/>
          <w:color w:val="0070C0"/>
          <w:sz w:val="16"/>
          <w:szCs w:val="16"/>
        </w:rPr>
      </w:pPr>
    </w:p>
    <w:p w14:paraId="743B25B8" w14:textId="77777777" w:rsidR="00F90193" w:rsidRPr="0044524F" w:rsidRDefault="00F9019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 весне 1933 г. обозначился кризис выполнения морской программы на 1932-1935 гг., в которой воплотились безрассудные оценки возможностей отечественного судостроения и развития дpyrиx отраслей промышленности. Масштабы провала были, пожалуй, беспрецедентными для мобилизационного планирования 20-30-х гг. Ни один из запланированной к постройке в 1932-1935 гг. полусотни к кадренных миноносцев и их лидеров в эти годы не вступил в строй49; из 170 предусмотренных программой субмарин в 1932 г. флот не получил пи одной. Тем не менее доклад Штаба РККА нацеливал на расширение во второй пятилетке морской программы КО от 11 июля 1931 г., для чего в предстоящие четыре года предлагалось истратить 4 млрд руб. - в десять раз больше, чем было предусмотрено ассигнованиями на 1933 г., и 30% общих планируемых расходов на боевую технику в 1934-1937 гг. Для обеспечения варианта № 18 предусматривалось модернизировать линкор "Фрунзе", увеличить число крейсеров с 3 до 15, эсминцев и лидеров - с 17 до 101, субмарин - с 73 до 244, торпедных катеров - с 76 до 236. В результате число морских орудий должно было возрасти с 1315 единиц, ожидаемых к началу 1934 г., до 5083 при пятикратном увеличении снарядного обеспечения (в основном за счет мелких выстрелов) (Доклад Начальника Штаба РККА Егорова Народному Комиссару по Военным и Морским Делам Ворошилову "О развитии РККА во вторую пятилетку", 13-12.1933 // РГВА Ф. 40442. On. 1. Д 332. Л. 45,43. К1 января 1934 г. планировалось иметь 7 строящихся эсминцев готовыми на 40% в дополнение к 17 старым эсминцам и лидерам. С учетом этого в 1934-1937 гг. предлагалась постройка еще 77 кораблей этих классов) (22725).</w:t>
      </w:r>
    </w:p>
    <w:p w14:paraId="1C22FE8B" w14:textId="77777777" w:rsidR="00F90193" w:rsidRPr="0044524F" w:rsidRDefault="00F90193" w:rsidP="009654CF">
      <w:pPr>
        <w:spacing w:after="0" w:line="240" w:lineRule="auto"/>
        <w:jc w:val="both"/>
        <w:rPr>
          <w:rFonts w:ascii="Times New Roman" w:hAnsi="Times New Roman"/>
          <w:color w:val="000000" w:themeColor="text1"/>
          <w:sz w:val="16"/>
          <w:szCs w:val="16"/>
        </w:rPr>
      </w:pPr>
    </w:p>
    <w:p w14:paraId="2CBF15A7" w14:textId="61913EA3" w:rsidR="00080504" w:rsidRPr="0044524F" w:rsidRDefault="00080504" w:rsidP="00080504">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44524F">
        <w:rPr>
          <w:rFonts w:ascii="Times New Roman" w:hAnsi="Times New Roman"/>
          <w:i/>
          <w:iCs/>
          <w:color w:val="000000" w:themeColor="text1"/>
          <w:sz w:val="16"/>
          <w:szCs w:val="16"/>
        </w:rPr>
        <w:t>:</w:t>
      </w:r>
    </w:p>
    <w:p w14:paraId="39AE67A8" w14:textId="77777777" w:rsidR="00080504" w:rsidRPr="0044524F" w:rsidRDefault="00080504" w:rsidP="00080504">
      <w:pPr>
        <w:spacing w:after="0" w:line="240" w:lineRule="auto"/>
        <w:jc w:val="both"/>
        <w:rPr>
          <w:rFonts w:ascii="Times New Roman" w:hAnsi="Times New Roman"/>
          <w:iCs/>
          <w:color w:val="000000" w:themeColor="text1"/>
          <w:sz w:val="16"/>
          <w:szCs w:val="16"/>
        </w:rPr>
      </w:pPr>
    </w:p>
    <w:p w14:paraId="70BDB6A0" w14:textId="77777777" w:rsidR="00080504" w:rsidRPr="00142305" w:rsidRDefault="00080504" w:rsidP="0008050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весне 1933 г. в ВВС остались всего четыре эскадрильи, оснащен</w:t>
      </w:r>
      <w:r w:rsidRPr="00142305">
        <w:rPr>
          <w:rFonts w:ascii="Times New Roman" w:hAnsi="Times New Roman"/>
          <w:color w:val="0070C0"/>
          <w:sz w:val="16"/>
          <w:szCs w:val="16"/>
        </w:rPr>
        <w:softHyphen/>
        <w:t>ные старой техникой – ТБ-1. На первомайском параде в Москве ТБ-3 уже было вдвое больше, чем ТБ-1. Постепенно двух</w:t>
      </w:r>
      <w:r w:rsidRPr="00142305">
        <w:rPr>
          <w:rFonts w:ascii="Times New Roman" w:hAnsi="Times New Roman"/>
          <w:color w:val="0070C0"/>
          <w:sz w:val="16"/>
          <w:szCs w:val="16"/>
        </w:rPr>
        <w:softHyphen/>
        <w:t>моторные бомбардировщики оказались вытесненными для использования в качестве учебно-тренировочных и транспортных машин. Летчик, не прошедший подготов</w:t>
      </w:r>
      <w:r w:rsidRPr="00142305">
        <w:rPr>
          <w:rFonts w:ascii="Times New Roman" w:hAnsi="Times New Roman"/>
          <w:color w:val="0070C0"/>
          <w:sz w:val="16"/>
          <w:szCs w:val="16"/>
        </w:rPr>
        <w:softHyphen/>
        <w:t>ки на них, не допускался к полетам на четырехмоторном гиганте (25004).</w:t>
      </w:r>
    </w:p>
    <w:p w14:paraId="391403DF" w14:textId="77777777" w:rsidR="00080504" w:rsidRPr="00142305" w:rsidRDefault="00080504" w:rsidP="00080504">
      <w:pPr>
        <w:spacing w:after="0" w:line="240" w:lineRule="auto"/>
        <w:jc w:val="both"/>
        <w:rPr>
          <w:rFonts w:ascii="Times New Roman" w:hAnsi="Times New Roman"/>
          <w:color w:val="0070C0"/>
          <w:sz w:val="16"/>
          <w:szCs w:val="16"/>
        </w:rPr>
      </w:pPr>
    </w:p>
    <w:p w14:paraId="4FE563A5" w14:textId="77777777" w:rsidR="00080504" w:rsidRPr="00142305" w:rsidRDefault="00080504" w:rsidP="0008050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весне 1933 г. в ВВС остались всего четыре эскадрильи, оснащен</w:t>
      </w:r>
      <w:r w:rsidRPr="00142305">
        <w:rPr>
          <w:rFonts w:ascii="Times New Roman" w:hAnsi="Times New Roman"/>
          <w:color w:val="0070C0"/>
          <w:sz w:val="16"/>
          <w:szCs w:val="16"/>
        </w:rPr>
        <w:softHyphen/>
        <w:t>ные старой техникой. На первомайском параде ТБ-3 уже было вдвое больше, чем ТБ-l. Постепенно двухмоторные бомбардировщики оказались вытеснены на роль учебно-тренировочных и транспортных машин. Последние из них эксплуатировались как боевые до 1936 г. В Средней Азии одна эскадрилья летала на них до июня 1939 г., после чего перешла на СБ.</w:t>
      </w:r>
    </w:p>
    <w:p w14:paraId="2E2C7E6B" w14:textId="77777777" w:rsidR="00080504" w:rsidRPr="00142305" w:rsidRDefault="00080504" w:rsidP="0008050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ТБ-l в качестве бомбардировщиков ни разу не участ</w:t>
      </w:r>
      <w:r w:rsidRPr="00142305">
        <w:rPr>
          <w:rFonts w:ascii="Times New Roman" w:hAnsi="Times New Roman"/>
          <w:color w:val="0070C0"/>
          <w:sz w:val="16"/>
          <w:szCs w:val="16"/>
        </w:rPr>
        <w:softHyphen/>
        <w:t>вовали ни в одной войне. Но они позволили подготовить многочисленные кадры летного и наземного состава, отра</w:t>
      </w:r>
      <w:r w:rsidRPr="00142305">
        <w:rPr>
          <w:rFonts w:ascii="Times New Roman" w:hAnsi="Times New Roman"/>
          <w:color w:val="0070C0"/>
          <w:sz w:val="16"/>
          <w:szCs w:val="16"/>
        </w:rPr>
        <w:softHyphen/>
        <w:t>ботать тактику боевого применения, технологию обслужи</w:t>
      </w:r>
      <w:r w:rsidRPr="00142305">
        <w:rPr>
          <w:rFonts w:ascii="Times New Roman" w:hAnsi="Times New Roman"/>
          <w:color w:val="0070C0"/>
          <w:sz w:val="16"/>
          <w:szCs w:val="16"/>
        </w:rPr>
        <w:softHyphen/>
        <w:t>вания самолетов. Именно на этих машинах прошли подго</w:t>
      </w:r>
      <w:r w:rsidRPr="00142305">
        <w:rPr>
          <w:rFonts w:ascii="Times New Roman" w:hAnsi="Times New Roman"/>
          <w:color w:val="0070C0"/>
          <w:sz w:val="16"/>
          <w:szCs w:val="16"/>
        </w:rPr>
        <w:softHyphen/>
        <w:t>товку летчики, возглавившие затем огромные соединения тяжелых бомбардировщиков, ставших главной ударной си</w:t>
      </w:r>
      <w:r w:rsidRPr="00142305">
        <w:rPr>
          <w:rFonts w:ascii="Times New Roman" w:hAnsi="Times New Roman"/>
          <w:color w:val="0070C0"/>
          <w:sz w:val="16"/>
          <w:szCs w:val="16"/>
        </w:rPr>
        <w:softHyphen/>
        <w:t>лой ВВС РККА в середине 30-х годов (27977).</w:t>
      </w:r>
    </w:p>
    <w:p w14:paraId="7BFAA1AA" w14:textId="77777777" w:rsidR="00080504" w:rsidRPr="00142305" w:rsidRDefault="00080504" w:rsidP="00080504">
      <w:pPr>
        <w:spacing w:after="0" w:line="240" w:lineRule="auto"/>
        <w:jc w:val="both"/>
        <w:rPr>
          <w:rFonts w:ascii="Times New Roman" w:hAnsi="Times New Roman"/>
          <w:color w:val="0070C0"/>
          <w:sz w:val="16"/>
          <w:szCs w:val="16"/>
        </w:rPr>
      </w:pPr>
    </w:p>
    <w:p w14:paraId="5F53A8D6"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780F71B"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1994923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марту 1933 года были изготовлены рабочие чертежи двигателя Н-3, спроектированный Украинским институтом авиадизелей Аэрофлота под руководством проф. Майера (4223).</w:t>
      </w:r>
    </w:p>
    <w:p w14:paraId="73B90AEF"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1CE56850" w14:textId="77777777" w:rsidR="00F42404" w:rsidRPr="0044524F" w:rsidRDefault="00F42404"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марту 1933 г. из шести дизелей, находившихся на разных стади</w:t>
      </w:r>
      <w:r w:rsidRPr="0044524F">
        <w:rPr>
          <w:rFonts w:ascii="Times New Roman" w:hAnsi="Times New Roman"/>
          <w:color w:val="000000" w:themeColor="text1"/>
          <w:sz w:val="16"/>
          <w:szCs w:val="16"/>
        </w:rPr>
        <w:softHyphen/>
        <w:t>ях готовности, выбрали три — Н-1, Н-2 и Н-3, которые сочли наиболее перспективными. Работы по ним предписали форсировать, остальные же постепенно забросили. Но вскоре и среди этих трех конструкций выявился лидер — созданный в ИАМ Н-1 (АН-1). Его спроектировали в Отделе нефтяных двигателей (ОНД) ИАМ, руководимом А.Д. Чаромским (1899-1982). Большая часть это</w:t>
      </w:r>
      <w:r w:rsidRPr="0044524F">
        <w:rPr>
          <w:rFonts w:ascii="Times New Roman" w:hAnsi="Times New Roman"/>
          <w:color w:val="000000" w:themeColor="text1"/>
          <w:sz w:val="16"/>
          <w:szCs w:val="16"/>
        </w:rPr>
        <w:softHyphen/>
        <w:t>го коллектива ранее работала в группе нефтяных двигателей НАМИ, где созданием быстроходных дизелей в свое время занимались такие известные конструкторы, как А.А. Микулин и В.Я. Климов. В конце 1931 г. ОНД представил Управлению ВВС проект четырехтактного 12-цилиндрового У-образного дизеля АН-1. АН-1 стал основой большого семейства авиационных дизелей. Вслед за его первым образцом, изготовленным в 1933 г., появился ряд модифи</w:t>
      </w:r>
      <w:r w:rsidRPr="0044524F">
        <w:rPr>
          <w:rFonts w:ascii="Times New Roman" w:hAnsi="Times New Roman"/>
          <w:color w:val="000000" w:themeColor="text1"/>
          <w:sz w:val="16"/>
          <w:szCs w:val="16"/>
        </w:rPr>
        <w:softHyphen/>
        <w:t>каций — АН-1А, АН-1Р (с редуктором), АН-1РТК (с редуктором и тур-бонаддувом). Последний выпустили небольшой серией для расширенных испытаний. Этот двигатель очень долго доводился. Причиной в основном являлось отставание в области топливной аппаратуры. Форсунки, регуляторы, насо</w:t>
      </w:r>
      <w:r w:rsidRPr="0044524F">
        <w:rPr>
          <w:rFonts w:ascii="Times New Roman" w:hAnsi="Times New Roman"/>
          <w:color w:val="000000" w:themeColor="text1"/>
          <w:sz w:val="16"/>
          <w:szCs w:val="16"/>
        </w:rPr>
        <w:softHyphen/>
        <w:t>сы высокого давления импортировали из Германии. Там их делала фир</w:t>
      </w:r>
      <w:r w:rsidRPr="0044524F">
        <w:rPr>
          <w:rFonts w:ascii="Times New Roman" w:hAnsi="Times New Roman"/>
          <w:color w:val="000000" w:themeColor="text1"/>
          <w:sz w:val="16"/>
          <w:szCs w:val="16"/>
        </w:rPr>
        <w:softHyphen/>
        <w:t>ма «Бош». Лишь перед началом Великой Отечественной войны подобную аппаратуру начали выпускать в СССР. Она заимствовала компоновку и принципиальные решения немецких изделий, но не являлась их точной копией. К сожалению, советские насосы и форсунки тогда существенно уступали своим немецким прототипам по надежности и ресурсу. Длительная доводка АН-1 вновь привела к мысли скопировать запад</w:t>
      </w:r>
      <w:r w:rsidRPr="0044524F">
        <w:rPr>
          <w:rFonts w:ascii="Times New Roman" w:hAnsi="Times New Roman"/>
          <w:color w:val="000000" w:themeColor="text1"/>
          <w:sz w:val="16"/>
          <w:szCs w:val="16"/>
        </w:rPr>
        <w:softHyphen/>
        <w:t>ные авиационные дизели, на этот раз немецкие, с двумя противополож</w:t>
      </w:r>
      <w:r w:rsidRPr="0044524F">
        <w:rPr>
          <w:rFonts w:ascii="Times New Roman" w:hAnsi="Times New Roman"/>
          <w:color w:val="000000" w:themeColor="text1"/>
          <w:sz w:val="16"/>
          <w:szCs w:val="16"/>
        </w:rPr>
        <w:softHyphen/>
        <w:t>но движущимися поршнями в каждом цилиндре. Сначала довольно долго изучался 1шпо 4, затем ЦИАМ приказали скопировать захваченный в Ис</w:t>
      </w:r>
      <w:r w:rsidRPr="0044524F">
        <w:rPr>
          <w:rFonts w:ascii="Times New Roman" w:hAnsi="Times New Roman"/>
          <w:color w:val="000000" w:themeColor="text1"/>
          <w:sz w:val="16"/>
          <w:szCs w:val="16"/>
        </w:rPr>
        <w:softHyphen/>
        <w:t xml:space="preserve">пании более современный .што 205. </w:t>
      </w:r>
      <w:r w:rsidRPr="0044524F">
        <w:rPr>
          <w:rFonts w:ascii="Times New Roman" w:hAnsi="Times New Roman"/>
          <w:color w:val="000000" w:themeColor="text1"/>
          <w:sz w:val="16"/>
          <w:szCs w:val="16"/>
        </w:rPr>
        <w:lastRenderedPageBreak/>
        <w:t>Но в серийное производство все-таки пошли отечественные, а не иностранные авиадизели. Именно АН-1РТК стал основой для двух дизелей, выпускавшихся се</w:t>
      </w:r>
      <w:r w:rsidRPr="0044524F">
        <w:rPr>
          <w:rFonts w:ascii="Times New Roman" w:hAnsi="Times New Roman"/>
          <w:color w:val="000000" w:themeColor="text1"/>
          <w:sz w:val="16"/>
          <w:szCs w:val="16"/>
        </w:rPr>
        <w:softHyphen/>
        <w:t>рийно и состоявших на вооружении советских ВВС — М-30 и М-40. Первый из них создавался в ОКБ НКВД. Несмотря на старое название, это уже была другая организация, хотя принципы ее работы не измени</w:t>
      </w:r>
      <w:r w:rsidRPr="0044524F">
        <w:rPr>
          <w:rFonts w:ascii="Times New Roman" w:hAnsi="Times New Roman"/>
          <w:color w:val="000000" w:themeColor="text1"/>
          <w:sz w:val="16"/>
          <w:szCs w:val="16"/>
        </w:rPr>
        <w:softHyphen/>
        <w:t>лись — двигатели там проектировали инженеры-заключенные. Только те</w:t>
      </w:r>
      <w:r w:rsidRPr="0044524F">
        <w:rPr>
          <w:rFonts w:ascii="Times New Roman" w:hAnsi="Times New Roman"/>
          <w:color w:val="000000" w:themeColor="text1"/>
          <w:sz w:val="16"/>
          <w:szCs w:val="16"/>
        </w:rPr>
        <w:softHyphen/>
        <w:t>перь их именовали не «вредителями», а «врагами народа» или «иностран</w:t>
      </w:r>
      <w:r w:rsidRPr="0044524F">
        <w:rPr>
          <w:rFonts w:ascii="Times New Roman" w:hAnsi="Times New Roman"/>
          <w:color w:val="000000" w:themeColor="text1"/>
          <w:sz w:val="16"/>
          <w:szCs w:val="16"/>
        </w:rPr>
        <w:softHyphen/>
        <w:t>ными шпионами». Среди них оказались А.Д. Чаромский, Б.С. Стечкин, А.С. Назаров, В.П. Глушко и швейцарский инженер У. Келлер из фирмы «Зульцер», собиравший данные об эксплуатации ее дизелей в России и обвиненный в шпионаже. ОКБ НКВД во второй половине 1938 г. передали завод № 82 в Тушино (ныне завод им. Чернышева), ранее выпускавший звездообразные карбю</w:t>
      </w:r>
      <w:r w:rsidRPr="0044524F">
        <w:rPr>
          <w:rFonts w:ascii="Times New Roman" w:hAnsi="Times New Roman"/>
          <w:color w:val="000000" w:themeColor="text1"/>
          <w:sz w:val="16"/>
          <w:szCs w:val="16"/>
        </w:rPr>
        <w:softHyphen/>
        <w:t>раторные двигатели малой и средней мощности для нужд ГВФ. Глав</w:t>
      </w:r>
      <w:r w:rsidRPr="0044524F">
        <w:rPr>
          <w:rFonts w:ascii="Times New Roman" w:hAnsi="Times New Roman"/>
          <w:color w:val="000000" w:themeColor="text1"/>
          <w:sz w:val="16"/>
          <w:szCs w:val="16"/>
        </w:rPr>
        <w:softHyphen/>
        <w:t>ным конструкторм ОКБ являлся инженер Ф.Я. Тулупов (вольный). Там на основе АН-1РТК подготовили дизель М-30, который небольшими сериями выпускался в Тушино до октября 1941 г.</w:t>
      </w:r>
    </w:p>
    <w:p w14:paraId="27DF97B6" w14:textId="77777777" w:rsidR="00F42404" w:rsidRPr="0044524F" w:rsidRDefault="00F42404"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Параллельно с М-30 в ЦИАМ под руководством В.М. Яковлева создали другую модификацию АН-1РТК, названную М-40. Оба двигателя имели много общего и отличались в основном исполнением системы наддува. М-40 тоже запустили в серийное производство на Кировском заводе в Ленинграде. В ЦИАМ также работали над другими типами авиадизелей. В 1933 г. институту выдали задание на звездообразный дизель воздушного охлажде</w:t>
      </w:r>
      <w:r w:rsidRPr="0044524F">
        <w:rPr>
          <w:rFonts w:ascii="Times New Roman" w:hAnsi="Times New Roman"/>
          <w:color w:val="000000" w:themeColor="text1"/>
          <w:sz w:val="16"/>
          <w:szCs w:val="16"/>
        </w:rPr>
        <w:softHyphen/>
        <w:t>ния Н-9. Этот двигатель, по-видимому, даже не дошел до стадии опытного образца. Зато долго возились с М-87Д, 14-цилиндровым дизелем на базе бензинового мотора М-87. Его совместно с запорожским заводом № 29 доводили до 1940 г., но безуспешно. Перед самой Великой Отечественной войной в ЦИАМ работали над мощ</w:t>
      </w:r>
      <w:r w:rsidRPr="0044524F">
        <w:rPr>
          <w:rFonts w:ascii="Times New Roman" w:hAnsi="Times New Roman"/>
          <w:color w:val="000000" w:themeColor="text1"/>
          <w:sz w:val="16"/>
          <w:szCs w:val="16"/>
        </w:rPr>
        <w:softHyphen/>
        <w:t>ным 48-цилиндровым дизелем М-20 в 2200 л.с. (позднее 3000 л.с.). Мотор имел необычную ромбическую схему с двумя противоположно движущимися поршнями в каждом цилиндре. В 1940 г. испытали отсек такого двигателя с четырьмя цилиндрами. Затем некоторое время работали над АН-5 — «по</w:t>
      </w:r>
      <w:r w:rsidRPr="0044524F">
        <w:rPr>
          <w:rFonts w:ascii="Times New Roman" w:hAnsi="Times New Roman"/>
          <w:color w:val="000000" w:themeColor="text1"/>
          <w:sz w:val="16"/>
          <w:szCs w:val="16"/>
        </w:rPr>
        <w:softHyphen/>
        <w:t>ловинкой» от М-20 с 24 цилиндрами и мощностью до 1700 л.с. Еще одной организацией, занимавшейся перед войной авиадизелями, яв</w:t>
      </w:r>
      <w:r w:rsidRPr="0044524F">
        <w:rPr>
          <w:rFonts w:ascii="Times New Roman" w:hAnsi="Times New Roman"/>
          <w:color w:val="000000" w:themeColor="text1"/>
          <w:sz w:val="16"/>
          <w:szCs w:val="16"/>
        </w:rPr>
        <w:softHyphen/>
        <w:t>лялся НИИ ГВФ. С самого начала в его составе имелся моторный отдел, выделенный затем в самостоятельный НИИ авиадвигателей ГВФ (НИИ АД ГВФ), а потом вновь слитый с головным НИИ ГВФ. В него входил отдел двигателей тяжелого топлива, возглавлявшийся Т.М. Мелькумовым (1902-1974). Там работали над небольшим дизелем воздушного охлажде</w:t>
      </w:r>
      <w:r w:rsidRPr="0044524F">
        <w:rPr>
          <w:rFonts w:ascii="Times New Roman" w:hAnsi="Times New Roman"/>
          <w:color w:val="000000" w:themeColor="text1"/>
          <w:sz w:val="16"/>
          <w:szCs w:val="16"/>
        </w:rPr>
        <w:softHyphen/>
        <w:t>ния Д-11, использовавшим узлы и агрегаты широко распространенного звездообразного мотора М-11. Этот дизель проходил стендовые и летные (на биплане У-2) испытания. Завод № 82 начал даже изготовлять серию из 100 Д-11, но после передачи предприятия НКВД конструкторов из НИИ ГВФ перевели в Воронеж, на завод № 154. Мелькумов продолжил работу в Военно-воздушной академии, где преподавал. Там в 1939-1940 гг. в мастерских доводили Д-11, собирая их из деталей задела завода № 82. Заводу № 154 поручили на базе Д-11 сделать дизель М-10 в 130 л.с. Этот пункт стоял в плане до конца 1943 г., но М-10 так и не был создан. М-30 и М-40, устанавливавшиеся на тяжелых бомбардировщиках ТБ-7 (Пе-8), плохо проявили себя в эксплуатации. Трудно было регулировать подачу топлива, двигатели самопроизвольно глохли и не желали затем за</w:t>
      </w:r>
      <w:r w:rsidRPr="0044524F">
        <w:rPr>
          <w:rFonts w:ascii="Times New Roman" w:hAnsi="Times New Roman"/>
          <w:color w:val="000000" w:themeColor="text1"/>
          <w:sz w:val="16"/>
          <w:szCs w:val="16"/>
        </w:rPr>
        <w:softHyphen/>
        <w:t>пускаться на больших высотах, особенно на холоде. Уже с августа 1941 г. их стали снимать с самолетов, а с конца года их выпуск прекратили (11852).</w:t>
      </w:r>
    </w:p>
    <w:p w14:paraId="47CBE201"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73AA25BD"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176BAA5"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4D44DF30"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состоялся первый полет сводный П-30 (позже ПБ-2) (20802).</w:t>
      </w:r>
    </w:p>
    <w:p w14:paraId="66331744" w14:textId="77777777" w:rsidR="002F0F01" w:rsidRPr="0044524F" w:rsidRDefault="002F0F01" w:rsidP="009654CF">
      <w:pPr>
        <w:spacing w:after="0" w:line="240" w:lineRule="auto"/>
        <w:jc w:val="both"/>
        <w:rPr>
          <w:rFonts w:ascii="Times New Roman" w:hAnsi="Times New Roman"/>
          <w:color w:val="000000" w:themeColor="text1"/>
          <w:sz w:val="16"/>
          <w:szCs w:val="16"/>
        </w:rPr>
      </w:pPr>
    </w:p>
    <w:p w14:paraId="51107BF2"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г. Головной самолет С.55 для СССР был собран. К этому же сроку подготовили основные детали и узлы четырех других машин. Начиная с июня, по ходу ведения приемки, самолеты начали отправлять в Одессу морским путем. Аппараты с надписью в носовой части на русском языке «С55» прошли все испытания в Севастополе, состоявшиеся под эгидой Института научных исследований военно-морского флота (21410).</w:t>
      </w:r>
    </w:p>
    <w:p w14:paraId="006FD081" w14:textId="77777777" w:rsidR="002F0F01" w:rsidRPr="0044524F" w:rsidRDefault="002F0F01" w:rsidP="009654CF">
      <w:pPr>
        <w:spacing w:after="0" w:line="240" w:lineRule="auto"/>
        <w:jc w:val="both"/>
        <w:rPr>
          <w:rFonts w:ascii="Times New Roman" w:hAnsi="Times New Roman"/>
          <w:color w:val="000000" w:themeColor="text1"/>
          <w:sz w:val="16"/>
          <w:szCs w:val="16"/>
        </w:rPr>
      </w:pPr>
    </w:p>
    <w:p w14:paraId="0A814651" w14:textId="77777777" w:rsidR="00080504" w:rsidRPr="00142305" w:rsidRDefault="00080504" w:rsidP="0008050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марта 1933 г., несмотря на обилие вносимых (или от</w:t>
      </w:r>
      <w:r w:rsidRPr="00142305">
        <w:rPr>
          <w:rFonts w:ascii="Times New Roman" w:hAnsi="Times New Roman"/>
          <w:color w:val="0070C0"/>
          <w:sz w:val="16"/>
          <w:szCs w:val="16"/>
        </w:rPr>
        <w:softHyphen/>
        <w:t>вергаемых) изменений, головной самолет S.55 для СССР собрали, основные детали и узлы остальных изготовили и пропустили через предварительную приемку. Наши приемщики действовали в соответствии с советскими нормами и контролировали все промежуточные этапы изготовления машин. К этому же сроку завод «Изотта-Фраскини» поставил шесть моторов из числа заказанных 17 (24944).</w:t>
      </w:r>
    </w:p>
    <w:p w14:paraId="1C73402F" w14:textId="77777777" w:rsidR="00080504" w:rsidRPr="00142305" w:rsidRDefault="00080504" w:rsidP="00080504">
      <w:pPr>
        <w:spacing w:after="0" w:line="240" w:lineRule="auto"/>
        <w:jc w:val="both"/>
        <w:rPr>
          <w:rFonts w:ascii="Times New Roman" w:hAnsi="Times New Roman"/>
          <w:color w:val="0070C0"/>
          <w:sz w:val="16"/>
          <w:szCs w:val="16"/>
        </w:rPr>
      </w:pPr>
    </w:p>
    <w:p w14:paraId="22E336D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С.В.И. писал записку Нач. ГУАП П.И.Б.:</w:t>
      </w:r>
    </w:p>
    <w:p w14:paraId="01BC9DD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Задача формулируется так: необходимо создать самолет, на котором можно было бы подняться в стратосферу (от 10-12000 м и выше) и обеспечить на этой высоте более или менее длительный полет; работу винтомоторной группы; приборов и работоспособность экипажа.</w:t>
      </w:r>
    </w:p>
    <w:p w14:paraId="3C002DF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Можно ли уже на существующих самолетах проникнуть в стратосферу (выше 10-12000 м); например на Р-6, ТБ-1, Р-5. Можно. Но для этого необходимо:</w:t>
      </w:r>
    </w:p>
    <w:p w14:paraId="6DF0A6B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соответствующей мощности и высотности винтомоторную группу,</w:t>
      </w:r>
    </w:p>
    <w:p w14:paraId="4439861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герметическую кабину или другое сооружение обеспечивающее жизнь и работу экипажу, а также необходимые устройства и мероприятия по обеспечению работы приборов и механизмов. Отсюда следует, что ПРОБЛЕМА стратосферного самолета В ОСНОВНОМ и ГЛАВНОМ состоит из этих двух вопросов.</w:t>
      </w:r>
    </w:p>
    <w:p w14:paraId="6DDADE4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Известно, что все рекорды дальности поставлены не на боевых, а на специальных для этой цели самолетах (Бернар, Девуатин и последний рекорд "Фери" из Лондона в Капштадт) негодных сколько-нибудь к длительной эксплуатации.</w:t>
      </w:r>
    </w:p>
    <w:p w14:paraId="008E182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Естественно что и стратосферный самолет нужно строить как специальный самолет, так как это даст увеличение потолка на 2000-3000 м (за счет большого удлинения и малой нагрузки на метр кв.) против нормального боевого самолета, например ТБ1). Это нужно понимать так: если взять ТБ1, увеличить удлинение с 6,2 до 10-12, (уменьшить нагрузку с 56 кг/м кв. до 40-45 за счет уменьшения полной нагрузки, то при этой же винтомоторной группе самолет увеличит потолок с 4000 до 6000-6500 м).</w:t>
      </w:r>
    </w:p>
    <w:p w14:paraId="6642037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Этим имеется ввиду показать, что как бы мы ни комбинировали у ТБ1: удлинение, нагрузку на м кв., т.е. чисто самолетную часть, при существующей его винтомоторной группе он далеко не достигнет стратосферы. ИТАК: мероприятия чисто самолетного порядка лишь способствуют увеличению потолка самолета, но не являются решающими. Решающим фактором является винтомоторная группа, которая должна обеспечить прирост высоты 5-8000 м.</w:t>
      </w:r>
    </w:p>
    <w:p w14:paraId="0D8B978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Что имеется на сегодня РЕАЛЬНО для винтомоторной группы стратосферного самолета? Ничего. И только в перспективе имеется: 1) М-34 с одноступенчатым импеллером, 2) М-34 с двухступенчатым импеллером. Подсчеты показывают, что при одноступенчатом импеллере можно получить потолок 10000 м; и при двухступенчатом от 13000 до 15000 м (и та и другая цифра с винтом переменного шага).</w:t>
      </w:r>
    </w:p>
    <w:p w14:paraId="3F416DF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 Исследования показывают, что импеллер выгодно работает до высот 5-7000 м, дальше он становится маловыгодным. С поднятием на высоту вследствие уменьшения давления противодавления на выхлопе становится все меньше и потому становится выгодным использовать выхлопные газы для наддува.</w:t>
      </w:r>
    </w:p>
    <w:p w14:paraId="4C25491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Использование выхлопных газов для наддува - вопрос не новый. Всем известны турбокомпрессоры Рато. Образцы их получены УВВС еще в 1925 г. Их недостаток (очень серьезный) состоит в том, что турбокомпрессоры, работающие от выхлопных газов нагреваются до 700-800 градусов, т.е. до красного каления и опасны в пожарном отношении. У французов в 1925 году турбокомпрессор стоял на самолете истреб. Спад 61 с Лореном он был установлен на крыле и во время работы сиял огненной массой. Точно известно что именно это вынудило отказаться от их применения на самолете.</w:t>
      </w:r>
    </w:p>
    <w:p w14:paraId="4D72E54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данный момент этот вопрос нужно поручить ЦИАМ, так как кроме его никто не может сколько-нибудь успешно выполнить это сложное задание.</w:t>
      </w:r>
    </w:p>
    <w:p w14:paraId="4BD3C04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турбокомпрессор. является самостоятельным вопросом и его нельзя смешивать с самолетом строящимся сегодня, так как кроме грубых прикидок - не говоря уже о продуманном проекте, ничего нет.</w:t>
      </w:r>
    </w:p>
    <w:p w14:paraId="1583F63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 4.7-32 г. Правительством был утвержден план опытного строительства. В этом плане ГУАП было поручено строить стратосферный самолет (сокращенно С.С.).</w:t>
      </w:r>
    </w:p>
    <w:p w14:paraId="0289DCC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было начато в первой половине 1932 г. При чем была взята следующая установка:</w:t>
      </w:r>
    </w:p>
    <w:p w14:paraId="7DE7594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Самолет делать с большим аэродинамическим качеством: с большим размахом, большим удлинением, малой нагрузкой на м кв., идя на пониженную эксплуатационную надежность.</w:t>
      </w:r>
    </w:p>
    <w:p w14:paraId="2F586E8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Самолет делать по нормальной проверенной схеме, не внося новых элементов, которые не являясь необходимыми усложнили бы лишними неизвестными и без того трудное задание.</w:t>
      </w:r>
    </w:p>
    <w:p w14:paraId="6E95264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Строить самолет под реальный двигатель, т.е. М34 со всеми возможными вариантами наддува, предусматривая возможность и место установки для турбокомпрессора, если бы таковой в течении 1-2-х лет появился на сцену.</w:t>
      </w:r>
    </w:p>
    <w:p w14:paraId="6AEB627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Схема самолета С.С. дана на рисунке N 1, которая является нормальной проверенной схемой. Самолет полностью дюралюминиевый. В данный момент... большим удлинением, малой нагрузкой на м кв. Винтомоторная группа М-34 с импеллером.</w:t>
      </w:r>
    </w:p>
    <w:p w14:paraId="632C564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 БНК решает задачу тем же способом, что и ЦКБ 39 зав., но только с менее надежными результатами.</w:t>
      </w:r>
    </w:p>
    <w:p w14:paraId="36F7AC4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БНК знал, что ЦКБ (а раньше ЦАГИ) строит самолет нормальной схемы с тянущим винтом. Если бы БНК стало строить самолет такой же схемы, то оно дублировало бы работу ЦАГИ полностью и в таком случае нельзя было бы сколько-нибудь убедительно доказать необходимость постройки такого самолета. Тогда БНК делает следующее:</w:t>
      </w:r>
    </w:p>
    <w:p w14:paraId="5699E82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берет иную схему,</w:t>
      </w:r>
    </w:p>
    <w:p w14:paraId="696B11E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выдвигает положение поставить М34 с одноступенчатым импеллером и турбокомпрессором, который бы начинал работу с 5000 м.</w:t>
      </w:r>
    </w:p>
    <w:p w14:paraId="4B99C10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СХЕМЕ. Схема самолета БНК-4 дана на рис. N 2. Она отличается от самолета ЦКБ тем, что у нее: толкающий винт и вместо фюзеляжа две балки на которых закреплено хвостовое оперение. Молодые тов. из БНК не знали, что не далее, как в ЦАГИ, есть самолет точь в точь такой же схемы - это самолет И-12 пушечный, который признан ОПАСНЫМ ДЛЯ ПОЛЕТА и ЦАГИ бьется целый год, придумывая, как бы вылечить самолет, иначе его придется выбросить. Товарищи из БНК </w:t>
      </w:r>
      <w:r w:rsidRPr="0044524F">
        <w:rPr>
          <w:rFonts w:ascii="Times New Roman" w:hAnsi="Times New Roman"/>
          <w:color w:val="000000" w:themeColor="text1"/>
          <w:sz w:val="16"/>
          <w:szCs w:val="16"/>
        </w:rPr>
        <w:lastRenderedPageBreak/>
        <w:t>хотят повторить никому не нужный вредный эксперимент. Самым страшным дефектом в самолете является вибрация. И-12 и БНК-4 как раз и имеют этот серьезный дефект.</w:t>
      </w:r>
    </w:p>
    <w:p w14:paraId="648FE12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Товарищи из БНК необходимость такой схемы аргументируют лучшим образом, чем у фюзеляжной схемы. Но разве в самолете ЦКБ плохой обзор? Нет. Ибо самолет такой же схемы, как сотни типов боевых одномоторных самолетов. Поэтому нельзя покупать улучшение хорошего обзора самолета - ценою ОРГАНИЧЕСКОГО дефекта схемы - опасного для полета.</w:t>
      </w:r>
    </w:p>
    <w:p w14:paraId="7EBE197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М34 С ТУРБОКОМПРЕССОРОМ.</w:t>
      </w:r>
    </w:p>
    <w:p w14:paraId="5DE3EB2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из БНК ловко приплетают к своему самолету НЕ СУЩЕСТВУЮЩУЮ моторную группу, и довольно безапелляционно бросаются сногсшибательными цифрами.</w:t>
      </w:r>
    </w:p>
    <w:p w14:paraId="0BC234C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а теперь ЦКБ - как серьезные организации не могут заниматься вводом в заблуждение людей. Ведь должно же быть ясно, что БНК не может ни спроектировать, ни построить сложнейший агрегат - турбокомпрессор, где уже вопрос о материале лопаток турбины, работающих при температуре 900-1000 градусов - является наитруднейшим. Тем не менее все это принимается всерьез. Была бы турбина, а на самолет ее можно будет установить когда угодно.</w:t>
      </w:r>
    </w:p>
    <w:p w14:paraId="346F93C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ИТАК: Самолет БНК-4 решает задачу полета в стратосферу тем же путем, что и самолет ЦКБ, но с той лишь разницей, что имеет в схеме серьезный дефект, такой же как у И-12.</w:t>
      </w:r>
    </w:p>
    <w:p w14:paraId="378613B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данный момент организации, проектирующие оба самолета объединились. (БОК и БНК) и таким образом становится бессмыслицей проектировать параллельно два самолета. Это привело бы не к перестраховке, а к распылению и без того малочисленных и слабых сил; к слабой и неглубокой проработке, а следовательно к ошибкам и провалам.</w:t>
      </w:r>
    </w:p>
    <w:p w14:paraId="2DAE163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1. Не утвердить самолет БНК.</w:t>
      </w:r>
    </w:p>
    <w:p w14:paraId="0A96F63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Обязать ГУАП строящийся им по заданию правительства страт. самолет С.С. закончить в начале IV квартала и на его опыте запроектировать следующий тип, не предрешая теперь ни схемы, ни каких-либо других элементов (2304,8).</w:t>
      </w:r>
    </w:p>
    <w:p w14:paraId="5C6FE189"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65CF7B7C" w14:textId="77777777" w:rsidR="002F0F01" w:rsidRPr="0044524F" w:rsidRDefault="002F0F0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г. С.В.И. в письме от на имя начальника ГУАП (Главного управления авиационной промышленности) Наркомата тяжёлой промышленности СССР П.И.Баранова. [РГАЭ Ф. 8328 оп. 1 д. 702 лл. 1-8] писал по поводу проектов высотных самолетов. Начав с общих соображений, Ильюшин отметил, что решающим фактором в обеспечении высотности самолёта, наряду с крылом большого удлинения, является «винтомоторная группа, которая должна обеспечить прирост высоты 5-8000 мтр». И далее он констатировал, что на тот момент для винтомоторной группы стратосферного самолёта реально в наличии не было ничего. «И только в перспективе имеется: 1/ М-34 с одноступенчатым импеллером (по современному – приводным центробежным нагнетателем), 2/ М-34 с двухступенчатым импеллером. Подсчёты показывают, что при одноступенчатом импеллере можно получить потолок 10.000 мтр; и при двухступенчатом от 13000 до 15000 мтр /и та, и другая цифра с винтом переменного шага/» (Напомним, что в начале 1933 г. М-34 ещё только проходил опытную экплуатацию в варианте без нагнетателя). Ильюшин отмечает, что с ростом высоты полёта сверх 7000 м эффективность импеллера (ПЦН) падает, и возникает необходимость в применении турбокомпрессора, использующего энергию выхлопных газов. «В данный момент этот вопрос нужно поручить ЦИАМ, так как кроме его никто не может сколько-нибудь успешно выполнить это сложное задание». Ильюшин напоминал Баранову, что в соответствии с заданием на постройку стратосферного самолёта (СС), которое содержится в правительственном плане опытного строительства от 4 июля 1932 г., «проектирование было начато в первой половине 1932 г. При чём была взята следующая установка: 1/(…). 2/ Самолёт делать по нормальной проверенной схеме, не внося новых элементов, которые не являясь необходимыми, усложнили бы лишними неизвестными и без того трудное задание. 3/ Строить самолёт под реальный двигатель, т.е. М34 со всеми возможными вариантами наддува, предусматривая возможность и место установки для турбокомпрессора, если бы таковой в течении 1 1 /2 - 2 лет появился на сцену». (Орфография и пунктуация по подлиннику) А далее Ильюшин проводил критический разбор проекта Б.Н.К.4 в сопоставлении с проектом СС. Он отмечал, что в части применения крыла большого удлинения с малой удельной нагрузкой, и ВМГ в виде М-34 с импеллером «БНК решает задачу тем же способом, что и ЦКБ-39». (Отметим, что отсюда мы узнаём о переходе БНК к использованию М-34 вместо М-17). Однако БНК, писал Ильюшин, «желая подчеркнуть оригинальность своего проекта, …делает следующее: 1/ берёт иную схему, 2/ выдвигает предложение поставить М34 с одноступенчатым импеллером и турбокомпрессором, который бы начинал работу с 5000 мтр». Использование в проекте БНК двухбалочной схемы Ильюшин назвал «серьёзным органическим дефектом» проекта: её применение, считал он, чревато большим риском трудно устранимых вибраций, как показала работа ЦАГИ над двухбалочным истребителем И-12. Что касается использования М-34 с турбокомпрессором, то он подчеркнул, что такой ВМГ пока ещё не существует, причём «должно же быть ясно, что БНК не может ни спроектировать, ни построить сложнейший агрегат – турбокомпрессор, где уже вопрос о материале д л я л о п а т о к , работающих при Т о 9 0 0 - 1 0 0 0 о – является наитруднейшим». Р е з ю м и р у я , Ильюшин констатировал: «Самолёт Б Н К - 4 р е ш а е т з а д а ч у п о л ё т а в стратосферу таким же путём, что и самолёт Ц К Б , н о с т о й лишь разницей, что имеет в схеме серьёзный дефект такой же как у И-12». Он подчеркнул далее: «В данный момент организации, проектирующие оба самолёта (СС и БНК-4 – прим. автора) объединились и таким образом становится бессмыслицей проектировать параллельно два самолёта. Это привело бы не к перестраховке, а к распылению и без того малочисленных и слабых сил, к слабой и неглубокой проработке, а, следовательно, к ошибкам и провалам». Письмо заключалось предложением: «1. Не утверждать самолёт БНК. 2.Обязать ГУАП строющийся им по заданию правительства страт. самолёт С.С. закончить в начале IV квартала и на его опыте проектировать следующий тип, не предрешая теперь ни схемы, ни каких-либо других элементов». Что тут можно сказать? В свете того, что мы знаем сейчас, ссылка на вибрации на самолёте И-12 выглядит не вполне убедительной, поскольку на этом истребителе стояли весьма специфические балки в виде стальных труб, приспособленных для установки пушек Курчевского. История авиастроения показала, что на основе двухбалочной схемы вполне можно строить прочные и надёжные самолёты. Кстати, в СССР уже в 1934 г. появился двухбалочный самолёт Г-37 Гроховского/Рентеля, который успешно летал без всяких вибраций в балках. Но на тот момент такого опыта ешё не было, и опасения Ильюшина по меньшей мере понятны. Что касается его замечаний по поводу турбокомпрессора, то они выглядели резонно. Как оказалось в дальнейшем, этот агрегат явился крепким орешком для советских авиадвигателестроителей, и помучиться с ним пришлось много. Опытные варианты М-34 с ТК-1 вышли на испытания лишь к 1937 году, и доводка этих турбокомпрессоров шла трудно.</w:t>
      </w:r>
    </w:p>
    <w:p w14:paraId="63C13AE2" w14:textId="77777777" w:rsidR="002F0F01" w:rsidRPr="0044524F" w:rsidRDefault="002F0F0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числу недостатков схемы самолёта БНК-4 можно было, пожалуй, отнести то, что она не позволяла поставить турель для защиты задней полусферы в военном варианте. Замораживание проекта БНК-4 было с недовольством воспринято его авторами и сторонниками (19876).</w:t>
      </w:r>
    </w:p>
    <w:p w14:paraId="06FCCD17" w14:textId="77777777" w:rsidR="002F0F01" w:rsidRPr="0044524F" w:rsidRDefault="002F0F01" w:rsidP="009654CF">
      <w:pPr>
        <w:shd w:val="clear" w:color="auto" w:fill="FFFFFF"/>
        <w:spacing w:after="0" w:line="240" w:lineRule="auto"/>
        <w:jc w:val="both"/>
        <w:rPr>
          <w:rFonts w:ascii="Times New Roman" w:hAnsi="Times New Roman"/>
          <w:color w:val="000000" w:themeColor="text1"/>
          <w:sz w:val="16"/>
          <w:szCs w:val="16"/>
        </w:rPr>
      </w:pPr>
    </w:p>
    <w:p w14:paraId="4B2C2AE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Генштаб РККА обсуждал вопрос о развитии морской авиации. Были Я.И.Алкснис, И.М.Лудри, С.А.Меженинов, В.В.Хрипин, В.М.Орлов - начальник генштаба. А.И.Егоров - "строительство морской авиации - необходимо выдвинуть на первый план и не за счет заграничных закупок (кроме образцов), а путем постройки заводов и создания новых конструкций" (79,208).</w:t>
      </w:r>
    </w:p>
    <w:p w14:paraId="78768322"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7591976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марта 1933 г. несмотря на обилие вносимых (или отвергаемых) изменений, головной самолет Савойя S.55 собрали, основные детали остальных изготовили и пропустили через предварительную приемку. Именно так - наши приемщики действовали в соответствии с отечественными традициями и контролировали все промежуточные этапы изготовления машин. К этому же сроку завод «Изотта-Фраскини» поставил шесть моторов из заказанных 17 (5486,3).</w:t>
      </w:r>
    </w:p>
    <w:p w14:paraId="6D6B15F9"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4036E88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марта 1933 года были готовы рабочие чертежи дизеля Н-4, спроектированные Харьковским авиаинститутом ГУАПа под руководством проф. Цветкова (4223).</w:t>
      </w:r>
    </w:p>
    <w:p w14:paraId="158301EC"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5DED78C6" w14:textId="77777777" w:rsidR="00933F2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A3F2D0D" w14:textId="77777777" w:rsidR="00933F24" w:rsidRPr="0044524F" w:rsidRDefault="00933F24" w:rsidP="009654CF">
      <w:pPr>
        <w:spacing w:after="0" w:line="240" w:lineRule="auto"/>
        <w:jc w:val="both"/>
        <w:rPr>
          <w:rFonts w:ascii="Times New Roman" w:hAnsi="Times New Roman"/>
          <w:iCs/>
          <w:color w:val="000000" w:themeColor="text1"/>
          <w:sz w:val="16"/>
          <w:szCs w:val="16"/>
        </w:rPr>
      </w:pPr>
    </w:p>
    <w:p w14:paraId="64B045DB" w14:textId="77777777" w:rsidR="00933F24" w:rsidRPr="0044524F" w:rsidRDefault="00933F24" w:rsidP="009654CF">
      <w:pPr>
        <w:pStyle w:val="rtejustify"/>
        <w:spacing w:before="0" w:after="0"/>
        <w:rPr>
          <w:color w:val="000000" w:themeColor="text1"/>
          <w:sz w:val="16"/>
          <w:szCs w:val="16"/>
        </w:rPr>
      </w:pPr>
      <w:r w:rsidRPr="0044524F">
        <w:rPr>
          <w:rStyle w:val="af0"/>
          <w:bCs/>
          <w:i w:val="0"/>
          <w:color w:val="000000" w:themeColor="text1"/>
          <w:sz w:val="16"/>
          <w:szCs w:val="16"/>
        </w:rPr>
        <w:t>1 марта</w:t>
      </w:r>
      <w:r w:rsidRPr="0044524F">
        <w:rPr>
          <w:color w:val="000000" w:themeColor="text1"/>
          <w:sz w:val="16"/>
          <w:szCs w:val="16"/>
        </w:rPr>
        <w:t xml:space="preserve"> 1933. Протокол заседания Политбюро ЦК ВКП (б) № 131. </w:t>
      </w:r>
      <w:hyperlink r:id="rId87" w:anchor="showunit&amp;id=85734" w:history="1">
        <w:r w:rsidRPr="0044524F">
          <w:rPr>
            <w:rStyle w:val="a5"/>
            <w:color w:val="000000" w:themeColor="text1"/>
            <w:sz w:val="16"/>
            <w:szCs w:val="16"/>
            <w:u w:val="none"/>
          </w:rPr>
          <w:t>2. Отчетные доклады НКТП, НКЛП и НКСнаба с содокладом НК РКИ о выполнении решения СНК и ЦК о реорганизации дела рабочего снабжения</w:t>
        </w:r>
      </w:hyperlink>
      <w:r w:rsidRPr="0044524F">
        <w:rPr>
          <w:color w:val="000000" w:themeColor="text1"/>
          <w:sz w:val="16"/>
          <w:szCs w:val="16"/>
        </w:rPr>
        <w:t xml:space="preserve"> (ПБ от 30 января 1933 г., пр. № 129. п. 104/866) (Питерский, Генкин, Любимов, Анцелович, Микоян, Антипов). Решено для выработки проекта постановления на основе обмена мнений создать комиссию в составе Кагановича Л. М. (председатель), Анцеловича, Питерского, Генкина, Микояна, Перепечко, Зеленского, Гринько, Любимова, Пятакова, Калмановича, Амосова и Лобова. Срок работы комиссии – пятидневный. </w:t>
      </w:r>
      <w:hyperlink r:id="rId88" w:anchor="showunit&amp;id=85768" w:history="1">
        <w:r w:rsidRPr="0044524F">
          <w:rPr>
            <w:rStyle w:val="a5"/>
            <w:color w:val="000000" w:themeColor="text1"/>
            <w:sz w:val="16"/>
            <w:szCs w:val="16"/>
            <w:u w:val="none"/>
          </w:rPr>
          <w:t>5. О дополнительном ассигновании на капитальное строительство НКТП в 1 квартале 1933 г.</w:t>
        </w:r>
      </w:hyperlink>
      <w:r w:rsidRPr="0044524F">
        <w:rPr>
          <w:color w:val="000000" w:themeColor="text1"/>
          <w:sz w:val="16"/>
          <w:szCs w:val="16"/>
        </w:rPr>
        <w:t xml:space="preserve"> (Пятаков, В. Межлаук, Гринько). Решено: а) отпустить НКТПрому дополнительно на капитальное строительство в 1 квартале 100 миллионов рублей на счет 2 квартала, без увеличения полугодового плана капитального строительства НКТП; б) обязать НКТПром направить эти получаемые дополнительно на капитальное строительство 100 миллионов рублей исключительно на оплату неоплаченных счетов поставщикам за оборудование и материалы, и подрядчикам за произведенные работы; в) отпустить НКТПрому на покрытие сверхплановых убытков 1932 г. в первом квартале дополнительно 50 миллионов рублей. </w:t>
      </w:r>
      <w:hyperlink r:id="rId89" w:anchor="showunit&amp;id=85779" w:history="1">
        <w:r w:rsidRPr="0044524F">
          <w:rPr>
            <w:rStyle w:val="a5"/>
            <w:color w:val="000000" w:themeColor="text1"/>
            <w:sz w:val="16"/>
            <w:szCs w:val="16"/>
            <w:u w:val="none"/>
          </w:rPr>
          <w:t>6. Об объеме капитальных работ в 1933 г. (записка Межлаука).</w:t>
        </w:r>
      </w:hyperlink>
      <w:r w:rsidRPr="0044524F">
        <w:rPr>
          <w:color w:val="000000" w:themeColor="text1"/>
          <w:sz w:val="16"/>
          <w:szCs w:val="16"/>
        </w:rPr>
        <w:t xml:space="preserve"> Решено отложить. </w:t>
      </w:r>
      <w:hyperlink r:id="rId90" w:anchor="showunit&amp;id=85739" w:history="1">
        <w:r w:rsidRPr="0044524F">
          <w:rPr>
            <w:rStyle w:val="a5"/>
            <w:color w:val="000000" w:themeColor="text1"/>
            <w:sz w:val="16"/>
            <w:szCs w:val="16"/>
            <w:u w:val="none"/>
          </w:rPr>
          <w:t>24. Об организации контроля исполнения договоров между хозорганами</w:t>
        </w:r>
      </w:hyperlink>
      <w:r w:rsidRPr="0044524F">
        <w:rPr>
          <w:color w:val="000000" w:themeColor="text1"/>
          <w:sz w:val="16"/>
          <w:szCs w:val="16"/>
        </w:rPr>
        <w:t xml:space="preserve"> (ПБ от 23 декабря 1932 г., пр. № 127, п. 19г) (Антипов, Пятаков, Андреев, Яковлев, Микоян, Любимов, Ежов, Лобов, Розенгольц). Решено принять внесенный Антиповым проект постановления (см. приложение). В приложении дано постановление ЦК ВКП(б) от 1 марта 1933 года о представителях заказчиков на предприятиях и списки ответственных работников НКПС, выделяемых в качестве уполномоченных к заводам Наркомтяжпрома, представителей НКЛП СССР по сырьевым районам и заводам НКТП СССР и НКЛеса СССР, уполномоченных НКЛеса, Центросоюза по Москве, Наркомзема, Наркомснаба, Народного комиссариата Внешней Торговли. </w:t>
      </w:r>
      <w:hyperlink r:id="rId91" w:anchor="showunit&amp;id=85747" w:history="1">
        <w:r w:rsidRPr="0044524F">
          <w:rPr>
            <w:rStyle w:val="a5"/>
            <w:color w:val="000000" w:themeColor="text1"/>
            <w:sz w:val="16"/>
            <w:szCs w:val="16"/>
            <w:u w:val="none"/>
          </w:rPr>
          <w:t>30. О продлении срока заграничной комиссии ГУАП.</w:t>
        </w:r>
      </w:hyperlink>
      <w:r w:rsidRPr="0044524F">
        <w:rPr>
          <w:color w:val="000000" w:themeColor="text1"/>
          <w:sz w:val="16"/>
          <w:szCs w:val="16"/>
        </w:rPr>
        <w:t xml:space="preserve"> Решено вопрос отложить. </w:t>
      </w:r>
      <w:hyperlink r:id="rId92" w:anchor="showunit&amp;id=85696" w:history="1">
        <w:r w:rsidRPr="0044524F">
          <w:rPr>
            <w:rStyle w:val="a5"/>
            <w:color w:val="000000" w:themeColor="text1"/>
            <w:sz w:val="16"/>
            <w:szCs w:val="16"/>
            <w:u w:val="none"/>
          </w:rPr>
          <w:t>127/92. О комиссии по капитальному строительству в ДВК</w:t>
        </w:r>
      </w:hyperlink>
      <w:r w:rsidRPr="0044524F">
        <w:rPr>
          <w:color w:val="000000" w:themeColor="text1"/>
          <w:sz w:val="16"/>
          <w:szCs w:val="16"/>
        </w:rPr>
        <w:t xml:space="preserve"> (ПБ от 25 февраля 1933 г., пр. № 131, п. 31</w:t>
      </w:r>
      <w:r w:rsidRPr="0044524F">
        <w:rPr>
          <w:color w:val="000000" w:themeColor="text1"/>
          <w:sz w:val="16"/>
          <w:szCs w:val="16"/>
        </w:rPr>
        <w:noBreakHyphen/>
        <w:t xml:space="preserve">опр.) (ПБ от 27 февраля 1933 г.). Решено включить в комиссию по капитальному строительству в ДВК Смирнова (Госплан). </w:t>
      </w:r>
      <w:hyperlink r:id="rId93" w:anchor="showunit&amp;id=85701" w:history="1">
        <w:r w:rsidRPr="0044524F">
          <w:rPr>
            <w:rStyle w:val="a5"/>
            <w:color w:val="000000" w:themeColor="text1"/>
            <w:sz w:val="16"/>
            <w:szCs w:val="16"/>
            <w:u w:val="none"/>
          </w:rPr>
          <w:t>131/96. Об олове для НКТП.</w:t>
        </w:r>
      </w:hyperlink>
      <w:r w:rsidRPr="0044524F">
        <w:rPr>
          <w:color w:val="000000" w:themeColor="text1"/>
          <w:sz w:val="16"/>
          <w:szCs w:val="16"/>
        </w:rPr>
        <w:t> — ОП. Решено, для обеспечения ремонтной кампании баббитом, выдать НКТПрому из фондов Комитета Резервов 86 тонн олова (15462).</w:t>
      </w:r>
    </w:p>
    <w:p w14:paraId="5974BF65" w14:textId="6531F8FA" w:rsidR="00933F24" w:rsidRPr="0044524F" w:rsidRDefault="00933F24" w:rsidP="009654CF">
      <w:pPr>
        <w:pStyle w:val="rtejustify"/>
        <w:spacing w:before="0" w:after="0"/>
        <w:rPr>
          <w:color w:val="000000" w:themeColor="text1"/>
          <w:sz w:val="16"/>
          <w:szCs w:val="16"/>
        </w:rPr>
      </w:pPr>
    </w:p>
    <w:p w14:paraId="4BFC05D9"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состоялось заседание ПБ и был оформлен протокол № 131</w:t>
      </w:r>
    </w:p>
    <w:p w14:paraId="1E794062"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февраля 1933 опросом членов ПБ</w:t>
      </w:r>
    </w:p>
    <w:p w14:paraId="2CA7AE51"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131/96.- Об олове для НКТП</w:t>
      </w:r>
    </w:p>
    <w:p w14:paraId="37D7348A"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ремонтной кампании баббитом, выдать НКТПрому из фондов. Комитета Резервов З6 тонн олова.</w:t>
      </w:r>
    </w:p>
    <w:p w14:paraId="5607672D"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т.т.Куйбышеву,3ибраку, Пятакову (22981).</w:t>
      </w:r>
    </w:p>
    <w:p w14:paraId="750E0967" w14:textId="77777777" w:rsidR="002F0F01" w:rsidRPr="0044524F" w:rsidRDefault="002F0F01" w:rsidP="009654CF">
      <w:pPr>
        <w:spacing w:after="0" w:line="240" w:lineRule="auto"/>
        <w:jc w:val="both"/>
        <w:rPr>
          <w:rFonts w:ascii="Times New Roman" w:hAnsi="Times New Roman"/>
          <w:color w:val="000000" w:themeColor="text1"/>
          <w:sz w:val="16"/>
          <w:szCs w:val="16"/>
        </w:rPr>
      </w:pPr>
    </w:p>
    <w:p w14:paraId="492968E2" w14:textId="043BE02F" w:rsidR="002F0F01" w:rsidRPr="0044524F" w:rsidRDefault="002F0F01" w:rsidP="009654CF">
      <w:pPr>
        <w:pStyle w:val="rtejustify"/>
        <w:spacing w:before="0" w:after="0"/>
        <w:rPr>
          <w:i/>
          <w:iCs/>
          <w:color w:val="000000" w:themeColor="text1"/>
          <w:sz w:val="16"/>
          <w:szCs w:val="16"/>
        </w:rPr>
      </w:pPr>
      <w:r w:rsidRPr="0044524F">
        <w:rPr>
          <w:i/>
          <w:iCs/>
          <w:color w:val="000000" w:themeColor="text1"/>
          <w:sz w:val="16"/>
          <w:szCs w:val="16"/>
        </w:rPr>
        <w:t>Армия:</w:t>
      </w:r>
    </w:p>
    <w:p w14:paraId="0786BC3E" w14:textId="77777777" w:rsidR="002F0F01" w:rsidRPr="0044524F" w:rsidRDefault="002F0F01" w:rsidP="009654CF">
      <w:pPr>
        <w:pStyle w:val="rtejustify"/>
        <w:spacing w:before="0" w:after="0"/>
        <w:rPr>
          <w:i/>
          <w:iCs/>
          <w:color w:val="000000" w:themeColor="text1"/>
          <w:sz w:val="16"/>
          <w:szCs w:val="16"/>
        </w:rPr>
      </w:pPr>
    </w:p>
    <w:p w14:paraId="20E55F44"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г. Штаб РККА обсудил вопрос о развитии морской авиации. В обсуждении приняли участие Я. И. Алкснис, И. М. Лудри, С. А. Меженинов, В. В. Хрипин, В. М. Орлов. В заключение выступил начальник Штаба РККА А. И. Егоров. Он считал, что развитие морской авиации должно идти по тем же принципам, что и сухопутной, что "строительство морской авиации необходимо выдвинуть на первый план, и не за счет заграничных закупок (кроме образцов), а путем постройки заводов и создания новых конструкций гидросамолетов" (19929).</w:t>
      </w:r>
    </w:p>
    <w:p w14:paraId="1A846C0D" w14:textId="77777777" w:rsidR="002F0F01" w:rsidRPr="0044524F" w:rsidRDefault="002F0F01" w:rsidP="009654CF">
      <w:pPr>
        <w:spacing w:after="0" w:line="240" w:lineRule="auto"/>
        <w:jc w:val="both"/>
        <w:rPr>
          <w:rFonts w:ascii="Times New Roman" w:hAnsi="Times New Roman"/>
          <w:color w:val="000000" w:themeColor="text1"/>
          <w:sz w:val="16"/>
          <w:szCs w:val="16"/>
        </w:rPr>
      </w:pPr>
    </w:p>
    <w:p w14:paraId="6EDF618D"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AAE5297"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5CA321C7"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Газета "Вечерняя Москва" сообщала: "Завтра в Москве открываются коммерческие магазины по продаже мяса. Послезавтра открываются магазины по продаже хлеба по коммерческим ценам".</w:t>
      </w:r>
    </w:p>
    <w:p w14:paraId="7953AE99"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книге воспоминаний "Неувядаемый свет" Н. М. Любимов пишет: "В 33-м году открываются "коммерческие" магазины, где по бешеным ценам можно купить продукты нэповского качества. А за прилавками открытых магазинов все легче "кататься шарам". Какой-то безвестный поэт скупыми, но характерными мазками написал картину тогдашней столовой:</w:t>
      </w:r>
    </w:p>
    <w:p w14:paraId="1A5E2596"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толовая. Припасов нет. Последний съеден винегрет.</w:t>
      </w:r>
    </w:p>
    <w:p w14:paraId="28D4A4AA"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Пустой буфет. В почетной раме Лишь непитательный портрет:</w:t>
      </w:r>
    </w:p>
    <w:p w14:paraId="00BDD7F1"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Тупой, откормленный брюнет С несимпатичными усами.</w:t>
      </w:r>
    </w:p>
    <w:p w14:paraId="0E11E549"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Страна со сказочной быстротой обнищала вновь" (18722).</w:t>
      </w:r>
    </w:p>
    <w:p w14:paraId="5F95E5DB" w14:textId="77777777" w:rsidR="00167BB0" w:rsidRPr="0044524F" w:rsidRDefault="00167BB0" w:rsidP="009654CF">
      <w:pPr>
        <w:spacing w:after="0" w:line="240" w:lineRule="auto"/>
        <w:jc w:val="both"/>
        <w:rPr>
          <w:rFonts w:ascii="Times New Roman" w:hAnsi="Times New Roman"/>
          <w:color w:val="000000" w:themeColor="text1"/>
          <w:sz w:val="16"/>
          <w:szCs w:val="16"/>
        </w:rPr>
      </w:pPr>
    </w:p>
    <w:p w14:paraId="149FDAB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совместным приказом МКС и ДИТЛ № 24 «несвоевременная выплата премвознаграждений з/к» расценивалась «как срыв системы поощрения добросовестно работающих лагерников и проводимых мероприятий по повышению производительности труда с привлечением к персональной ответственности начальников отделений, начальников производственно-технических частей и начальников финансовых частей» (7560).</w:t>
      </w:r>
    </w:p>
    <w:p w14:paraId="539659AC"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49FB085B" w14:textId="77777777" w:rsidR="001C2FB0"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E7C61FA" w14:textId="77777777" w:rsidR="001C2FB0" w:rsidRPr="0044524F" w:rsidRDefault="001C2FB0" w:rsidP="009654CF">
      <w:pPr>
        <w:spacing w:after="0" w:line="240" w:lineRule="auto"/>
        <w:jc w:val="both"/>
        <w:rPr>
          <w:rFonts w:ascii="Times New Roman" w:hAnsi="Times New Roman"/>
          <w:color w:val="000000" w:themeColor="text1"/>
          <w:sz w:val="16"/>
          <w:szCs w:val="16"/>
        </w:rPr>
      </w:pPr>
    </w:p>
    <w:p w14:paraId="44C78245" w14:textId="77777777" w:rsidR="001C2FB0" w:rsidRPr="0044524F" w:rsidRDefault="001C2FB0"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С 1 по 14 мая 1933 г. в Польше находилась советская хозяйственная делегация, возглавляемая зам. наркома внешней торговли СССР И. В. Боевым. В результате переговоров была достигнута договоренность и подписан протокол о расширении товарооборота между обеими странами. Польско-советский торговый договор был заключен только в феврале 1939 г. (см. Документы и материалы по истории советско-польских отношений. Т. 6. М., 1969. С. 39, 41, 42, 376) (17281).</w:t>
      </w:r>
    </w:p>
    <w:p w14:paraId="34DD71BA" w14:textId="77777777" w:rsidR="001C2FB0" w:rsidRPr="0044524F" w:rsidRDefault="001C2FB0" w:rsidP="009654CF">
      <w:pPr>
        <w:spacing w:after="0" w:line="240" w:lineRule="auto"/>
        <w:jc w:val="both"/>
        <w:rPr>
          <w:rFonts w:ascii="Times New Roman" w:hAnsi="Times New Roman"/>
          <w:iCs/>
          <w:color w:val="000000" w:themeColor="text1"/>
          <w:sz w:val="16"/>
          <w:szCs w:val="16"/>
        </w:rPr>
      </w:pPr>
    </w:p>
    <w:p w14:paraId="2E60AC30" w14:textId="77777777" w:rsidR="00933F2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DBA6914" w14:textId="77777777" w:rsidR="00933F24" w:rsidRPr="0044524F" w:rsidRDefault="00933F24" w:rsidP="009654CF">
      <w:pPr>
        <w:spacing w:after="0" w:line="240" w:lineRule="auto"/>
        <w:jc w:val="both"/>
        <w:rPr>
          <w:rFonts w:ascii="Times New Roman" w:hAnsi="Times New Roman"/>
          <w:iCs/>
          <w:color w:val="000000" w:themeColor="text1"/>
          <w:sz w:val="16"/>
          <w:szCs w:val="16"/>
        </w:rPr>
      </w:pPr>
    </w:p>
    <w:p w14:paraId="035E1496" w14:textId="77777777" w:rsidR="00933F24" w:rsidRPr="0044524F" w:rsidRDefault="00933F24"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 марта</w:t>
      </w:r>
      <w:r w:rsidRPr="0044524F">
        <w:rPr>
          <w:rFonts w:ascii="Times New Roman" w:hAnsi="Times New Roman"/>
          <w:color w:val="000000" w:themeColor="text1"/>
          <w:sz w:val="16"/>
          <w:szCs w:val="16"/>
        </w:rPr>
        <w:t xml:space="preserve"> в 1933 году образовано ОАО "Балашихинский литейно-механический завод". На полную мощность завод начал работать с 1939 г., обеспечивая авиационными колесами, тормозами и агрегатами управления все авиационные заводы страны. На предприятии организованы: производство штампованных изделий; алюминиевый и магниевый цеха; цех изготовления литейной оснастки; цеха металлокерамики и крупногабаритного каркасного литья; механическое производство; цех порошковой металлургии. В 1966 г. открыт цех титанового литья. Высокий уровень его технологий и технического оснащения позволили продукции завода выйти на мировой рынок. В 1992 г. завод преобразован из госпредприятия в АООТ БЛМЗ, а в 1995 г. — в ОАО "Балашихинский литейно-механический завод". В настоящее время завод является крупнейшим российским производителем фасонного литья из титановых, магниевых, алюминиевых сплавов (15056).</w:t>
      </w:r>
    </w:p>
    <w:p w14:paraId="4B487CAF" w14:textId="77777777" w:rsidR="00933F24" w:rsidRPr="0044524F" w:rsidRDefault="00933F24" w:rsidP="009654CF">
      <w:pPr>
        <w:spacing w:after="0" w:line="240" w:lineRule="auto"/>
        <w:jc w:val="both"/>
        <w:rPr>
          <w:rFonts w:ascii="Times New Roman" w:hAnsi="Times New Roman"/>
          <w:color w:val="000000" w:themeColor="text1"/>
          <w:sz w:val="16"/>
          <w:szCs w:val="16"/>
        </w:rPr>
      </w:pPr>
    </w:p>
    <w:p w14:paraId="36E41646"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73746F5"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4EAA027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марта 1933 вышло постановление СТО N 103-24 "О ценах на продукцию военной промышленности" (2324,11).</w:t>
      </w:r>
    </w:p>
    <w:p w14:paraId="6B2C6FEE"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22CEF739" w14:textId="77777777" w:rsidR="00ED11EC" w:rsidRPr="0044524F" w:rsidRDefault="00ED11EC" w:rsidP="009654CF">
      <w:pPr>
        <w:pStyle w:val="rtejustify"/>
        <w:spacing w:before="0" w:after="0"/>
        <w:rPr>
          <w:color w:val="000000" w:themeColor="text1"/>
          <w:sz w:val="16"/>
          <w:szCs w:val="16"/>
        </w:rPr>
      </w:pPr>
      <w:r w:rsidRPr="0044524F">
        <w:rPr>
          <w:rStyle w:val="af0"/>
          <w:bCs/>
          <w:i w:val="0"/>
          <w:color w:val="000000" w:themeColor="text1"/>
          <w:sz w:val="16"/>
          <w:szCs w:val="16"/>
        </w:rPr>
        <w:t>2 марта 1933 вышел приказ НКТП № 16с.</w:t>
      </w:r>
      <w:r w:rsidRPr="0044524F">
        <w:rPr>
          <w:color w:val="000000" w:themeColor="text1"/>
          <w:sz w:val="16"/>
          <w:szCs w:val="16"/>
        </w:rPr>
        <w:t xml:space="preserve"> О задачах для Снарядного бюро по производству опытных партий бронебойных и фугасных морских снарядов и бронебойных снарядов полевой артиллерии. (РГАЭ. Ф. 7297. Оп. 38. Д. 37. Л. 24</w:t>
      </w:r>
      <w:r w:rsidRPr="0044524F">
        <w:rPr>
          <w:color w:val="000000" w:themeColor="text1"/>
          <w:sz w:val="16"/>
          <w:szCs w:val="16"/>
        </w:rPr>
        <w:noBreakHyphen/>
        <w:t>22) (15246).</w:t>
      </w:r>
    </w:p>
    <w:p w14:paraId="78EEFFA0" w14:textId="77777777" w:rsidR="00ED11EC" w:rsidRPr="0044524F" w:rsidRDefault="00ED11EC" w:rsidP="009654CF">
      <w:pPr>
        <w:pStyle w:val="rtejustify"/>
        <w:spacing w:before="0" w:after="0"/>
        <w:rPr>
          <w:color w:val="000000" w:themeColor="text1"/>
          <w:sz w:val="16"/>
          <w:szCs w:val="16"/>
        </w:rPr>
      </w:pPr>
    </w:p>
    <w:p w14:paraId="03D186A1" w14:textId="77777777" w:rsidR="00ED11EC" w:rsidRPr="0044524F" w:rsidRDefault="00ED11E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марта 1933 первый директор завода Новое Сормово Лисянский был уволен с формулировкой «за непринятие мер по отношению к лицам, недобросовестно относящимся к порученной работе, и расхлябанность». Новым директором был назначен Л. Радкевич. Карательные меры были применены и к другим лицам. Так, начальник бюро оборудования «Нового Сормова» Жуин был арестован на 30 суток с последующей отдачей под суд. Кроме того, суду были преданы председатель приемочной комиссии Колмаков, начальник бюро оборудования механического сектора Шумков, начальник сектора проверки, коммерческий директор, начальник капитального строительства и главный механик. [12 — ГУ ЦАНО, Ф. 2491, Оп. 1, Д. 15, Л. 152.] Были обнаруженыи финансовые злоупотребления. Так, в растрате государственных средств уличили уполномоченного финансового сектора Диментман (11741).</w:t>
      </w:r>
    </w:p>
    <w:p w14:paraId="18267860" w14:textId="77777777" w:rsidR="00ED11EC" w:rsidRPr="0044524F" w:rsidRDefault="00ED11EC" w:rsidP="009654CF">
      <w:pPr>
        <w:shd w:val="clear" w:color="auto" w:fill="FFFFFF"/>
        <w:spacing w:after="0" w:line="240" w:lineRule="auto"/>
        <w:jc w:val="both"/>
        <w:rPr>
          <w:rFonts w:ascii="Times New Roman" w:hAnsi="Times New Roman"/>
          <w:color w:val="000000" w:themeColor="text1"/>
          <w:sz w:val="16"/>
          <w:szCs w:val="16"/>
        </w:rPr>
      </w:pPr>
    </w:p>
    <w:p w14:paraId="68410342" w14:textId="023C8DDD" w:rsidR="00CB54D7" w:rsidRPr="0044524F" w:rsidRDefault="00CB54D7"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6A492163" w14:textId="77777777" w:rsidR="00CB54D7" w:rsidRPr="0044524F" w:rsidRDefault="00CB54D7" w:rsidP="009654CF">
      <w:pPr>
        <w:spacing w:after="0" w:line="240" w:lineRule="auto"/>
        <w:jc w:val="both"/>
        <w:rPr>
          <w:rFonts w:ascii="Times New Roman" w:hAnsi="Times New Roman"/>
          <w:i/>
          <w:iCs/>
          <w:color w:val="000000" w:themeColor="text1"/>
          <w:sz w:val="16"/>
          <w:szCs w:val="16"/>
        </w:rPr>
      </w:pPr>
    </w:p>
    <w:p w14:paraId="681B0A29" w14:textId="183DCBC6" w:rsidR="00CB54D7" w:rsidRPr="0044524F" w:rsidRDefault="00CB54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марта 1933 г. военный летчик-инструктор Ейской авиашколы Андрей Сидоров и авиатехник Ефим Моторин</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предотвратили, казалось бы, неизбежную аварию. При выполнении высшего пилотажа оборвалась лыжа и заняла вертикальное положение. Экипаж не растерялся. Зацепив свой поясной ремень за ремень летчика, Моторин спустился на лыжу, стал на ее хвостовую часть и своей тяжестью выровнял ее в нормальное положение. Посадка была произведена со стоявшим на лыже Моториным. За вдержку и самообладание, проявленные при спасении самолета, Ефим Моторин были награждены орденом Ленина.</w:t>
      </w:r>
    </w:p>
    <w:p w14:paraId="7061AD8C" w14:textId="77777777" w:rsidR="00CB54D7" w:rsidRPr="0044524F" w:rsidRDefault="00CB54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11 марта 1933 и 9 июля 1934 г./ (23370).</w:t>
      </w:r>
    </w:p>
    <w:p w14:paraId="6E4BBEDB" w14:textId="77777777" w:rsidR="00CB54D7" w:rsidRPr="0044524F" w:rsidRDefault="00CB54D7" w:rsidP="009654CF">
      <w:pPr>
        <w:spacing w:after="0" w:line="240" w:lineRule="auto"/>
        <w:jc w:val="both"/>
        <w:rPr>
          <w:rFonts w:ascii="Times New Roman" w:hAnsi="Times New Roman"/>
          <w:color w:val="000000" w:themeColor="text1"/>
          <w:sz w:val="16"/>
          <w:szCs w:val="16"/>
        </w:rPr>
      </w:pPr>
    </w:p>
    <w:p w14:paraId="16E4C2F5" w14:textId="2126D86A"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11800CD"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70E3A37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марта 1933 за подписями Когана и зам. начальника Управления Дмитлага Радецкого был выпущен приказ № 25 по Строительству и лагерю:</w:t>
      </w:r>
    </w:p>
    <w:p w14:paraId="68031B1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«Система Исправительно-Трудовых Лагерей ОГПУ дает возможность людям, совершившим преступления против Советской власти, исправиться и вернуться в семью трудящихся.</w:t>
      </w:r>
    </w:p>
    <w:p w14:paraId="5A3436B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Исправительно-трудовая практика лагерей ОГПУ основана, в первую очередь, на трудовых процессах и на самодеятельности заключенных, только поэтому в лагерях ОГПУ практикуется и поощряется допущение заключенных на хозяйственные и даже административные должности.</w:t>
      </w:r>
    </w:p>
    <w:p w14:paraId="2024357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Люди, стремящиеся к исправлению, этим дорожат. Учатся работать честно и самоотверженно, берегут государственную копейку, государственное имущество.</w:t>
      </w:r>
    </w:p>
    <w:p w14:paraId="2824036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доверенному им имуществу они относятся, как подобает относиться К СВЯЩЕННОЙ ОБЩЕСТВЕННОЙ СОБСТВЕННОСТИ.</w:t>
      </w:r>
    </w:p>
    <w:p w14:paraId="08A352D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есть заключенные, которые не хотят исправляться, есть негодяи, преступники, которые не хотят стать честными людьми.</w:t>
      </w:r>
    </w:p>
    <w:p w14:paraId="7CAE0CC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Они в лагерях продолжают быть врагами Советской Власти, борются с ней и расхищают общественную собственность.</w:t>
      </w:r>
    </w:p>
    <w:p w14:paraId="3C2DD04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Заключенные: БЕЗФАМИЛЬНЫЙ, Иван Васильевич,</w:t>
      </w:r>
    </w:p>
    <w:p w14:paraId="449B98B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ПОЛЯКОВ, Владимир Иванович,</w:t>
      </w:r>
    </w:p>
    <w:p w14:paraId="203F9B4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ТРОФИМОВ, Семен Никитич,</w:t>
      </w:r>
    </w:p>
    <w:p w14:paraId="433495A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СТОКЛИЦКИЙ, Зундель Израилевич,</w:t>
      </w:r>
    </w:p>
    <w:p w14:paraId="535D537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использовав свое служебное положение, занялись кражами, самоснабжением, за что Коллегией ОГПУ приговорены сроком на 10 лет каждый, с отбытием наказания на Соловецком острове.</w:t>
      </w:r>
    </w:p>
    <w:p w14:paraId="3E57365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В/наемный гражданин гор. Дмитрова МИРОНОВ, Николай Емельянович за связь с заключенными, выразившейся [так] в пособничестве, путем продажи краденных продуктов выше указанными заключенными, Коллегией ОГПУ приговорен к 10-ти годам Исправительно-Трудовых лагерей.</w:t>
      </w:r>
    </w:p>
    <w:p w14:paraId="32CBD5E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Объявляя настоящее постановление Коллегии ОГПУ, ПРЕДУПРЕЖДАЮ, что мера соц. защиты по отношению к вышеперечисленным расхитителям является мерой, предостерегающей всех остальных работников Дмитровских лагерей, и если это предостережение не даст реальных результатов, то впредь за хищения будут применяться самые суровые меры, вплоть до применения высшей меры наказания - расстрела.</w:t>
      </w:r>
    </w:p>
    <w:p w14:paraId="50DB0C1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Настоящий приказ прочесть всему лагнаселению, а КВЧ через воспитателей проработать на очередных беседах с лагерниками» (7560).</w:t>
      </w:r>
    </w:p>
    <w:p w14:paraId="7E6C89A6"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24E9B2B2"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4792737"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26E22693"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марта 1933 в Нью-Йорке состоялась премьера фильма «Кинг-Конг» (4962).</w:t>
      </w:r>
    </w:p>
    <w:p w14:paraId="4CEE94B7"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p>
    <w:p w14:paraId="77CC1CF9"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C807D42"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1852301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марта 1933 ТБ-4 6М-34 вышел на аэродром (2287,131).</w:t>
      </w:r>
    </w:p>
    <w:p w14:paraId="240C61A3"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0A0A7E4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марта 1933 вышло постановление РВСС "О развитии авиационной техники на основе виденного на авиационной выставке во Франции и на заводах Германии" (2305,87).</w:t>
      </w:r>
    </w:p>
    <w:p w14:paraId="4F9B88B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нем были поставлены задания:</w:t>
      </w:r>
    </w:p>
    <w:p w14:paraId="1CD8B84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Просить НКТП</w:t>
      </w:r>
    </w:p>
    <w:p w14:paraId="4122A04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разработать и построить учебный и спортивный самолет и мотор по повышенным требованиям</w:t>
      </w:r>
    </w:p>
    <w:p w14:paraId="686AF8B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а) для первоначального обучения</w:t>
      </w:r>
    </w:p>
    <w:p w14:paraId="6AD45E2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б) для тренировки как на одноместной машине</w:t>
      </w:r>
    </w:p>
    <w:p w14:paraId="702D81B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в) для слепого полета</w:t>
      </w:r>
    </w:p>
    <w:p w14:paraId="1CD6517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г) для ночного полета и полета в строю (для обучения л-наблюдателей, приемам навигации, фото, бомбометанию, стрельбе</w:t>
      </w:r>
    </w:p>
    <w:p w14:paraId="650082D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разработать и построить тип тренировочного истребителя под мощность 150-200 нр</w:t>
      </w:r>
    </w:p>
    <w:p w14:paraId="5FA97EC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а) самолет сопровождения</w:t>
      </w:r>
    </w:p>
    <w:p w14:paraId="0471630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б) тренировочный</w:t>
      </w:r>
    </w:p>
    <w:p w14:paraId="0CEFAE2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в) местных линий</w:t>
      </w:r>
    </w:p>
    <w:p w14:paraId="61F8B5A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провести необходимые исследования и ускорить применение: подкрылков, закрылков, двойного крыла, крыла с меняющимся профилем..., имея в виду:</w:t>
      </w:r>
    </w:p>
    <w:p w14:paraId="1D5DBD4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а) получить наибольший диапазон гор. скоростей</w:t>
      </w:r>
    </w:p>
    <w:p w14:paraId="303439E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б) увеличить устойчивость при полете с предельными нагрузками</w:t>
      </w:r>
    </w:p>
    <w:p w14:paraId="5E9ECB6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в) уменьшить посадочные скорости</w:t>
      </w:r>
    </w:p>
    <w:p w14:paraId="0CED2E5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г) увеличить скороподъемность</w:t>
      </w:r>
    </w:p>
    <w:p w14:paraId="021895B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Считать одной из важнейших задач ближайшего периода получение легкого двухместного самолета, универсального в производстве и специализированного по оборудованию для назначения:</w:t>
      </w:r>
    </w:p>
    <w:p w14:paraId="0434E8A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а) оперативный разведчик</w:t>
      </w:r>
    </w:p>
    <w:p w14:paraId="7CCDE73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б) двухместный истребитель</w:t>
      </w:r>
    </w:p>
    <w:p w14:paraId="022D3C8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в) ЛБ</w:t>
      </w:r>
    </w:p>
    <w:p w14:paraId="1C782A9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г) в части применения ЛР, как скоростного почтовика отдельно согласовать вопрос П.И.Б. с Гольцманом и Алкснисом</w:t>
      </w:r>
    </w:p>
    <w:p w14:paraId="4907908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этими требованиями испытать находящийся в постройке ЛР и только в случае получения неудовлетворительного результата по ЛР приступить к постройке специального универсального самолета.</w:t>
      </w:r>
    </w:p>
    <w:p w14:paraId="424013B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 1933 разрешить вопрос о предупреждении баков от пожаров и недопуска течи горючего при пробитии пулей.</w:t>
      </w:r>
    </w:p>
    <w:p w14:paraId="2F41EFD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Считать необходимым переход на экранирование моторов в 1933. Обязать НКТП в 1933 установить производство экранированных моторов в серии...(2305,87).</w:t>
      </w:r>
    </w:p>
    <w:p w14:paraId="0F9AA4BC"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3AAE786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марта 1933 года РВС принял постановление «О развитии авиационной техники на основе виденного на авиационной выставке во Франции и на заводах Германии» (РГВА. Ф. 4. Оп. 14. Д. 2942. Л. 29—32.). Документ предписывал Наркомтяжпрому разработать и построить учебный самолет (с двигателем) для обучения летчиков-наблюдателей приемам навигации, фотографирования, бомбометания и стрельбы. Одной из важнейших задач, поставленных Наркомтяжпрому, была постройка легкого двухместного самолета, универсального в производстве, по назначению и оборудованию. Такой самолет мог быть одновременно оперативным разведчиком, истребителем и легким бомбардировщиком (11173).</w:t>
      </w:r>
    </w:p>
    <w:p w14:paraId="524E7C95"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280E468F" w14:textId="77777777" w:rsidR="00933F24" w:rsidRPr="0044524F" w:rsidRDefault="00933F24" w:rsidP="009654CF">
      <w:pPr>
        <w:pStyle w:val="rtejustify"/>
        <w:spacing w:before="0" w:after="0"/>
        <w:rPr>
          <w:color w:val="000000" w:themeColor="text1"/>
          <w:sz w:val="16"/>
          <w:szCs w:val="16"/>
        </w:rPr>
      </w:pPr>
      <w:r w:rsidRPr="0044524F">
        <w:rPr>
          <w:rStyle w:val="af0"/>
          <w:bCs/>
          <w:i w:val="0"/>
          <w:color w:val="000000" w:themeColor="text1"/>
          <w:sz w:val="16"/>
          <w:szCs w:val="16"/>
        </w:rPr>
        <w:t>3 марта</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развитии авиационной техники на основе виденного на авиационной выставке во Франции и на заводах Германии». (РГВА. Ф. 4. Оп. 18. Д. 23. Л. 73</w:t>
      </w:r>
      <w:r w:rsidRPr="0044524F">
        <w:rPr>
          <w:color w:val="000000" w:themeColor="text1"/>
          <w:sz w:val="16"/>
          <w:szCs w:val="16"/>
        </w:rPr>
        <w:noBreakHyphen/>
        <w:t>77) (15461).</w:t>
      </w:r>
    </w:p>
    <w:p w14:paraId="46B59B0A" w14:textId="77777777" w:rsidR="00933F24" w:rsidRPr="0044524F" w:rsidRDefault="00933F24" w:rsidP="009654CF">
      <w:pPr>
        <w:pStyle w:val="rtejustify"/>
        <w:spacing w:before="0" w:after="0"/>
        <w:rPr>
          <w:rStyle w:val="af0"/>
          <w:bCs/>
          <w:i w:val="0"/>
          <w:color w:val="000000" w:themeColor="text1"/>
          <w:sz w:val="16"/>
          <w:szCs w:val="16"/>
        </w:rPr>
      </w:pPr>
    </w:p>
    <w:p w14:paraId="4009A639"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D3ABF82"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2B9CC319" w14:textId="77777777" w:rsidR="002F0F01" w:rsidRPr="0044524F" w:rsidRDefault="002F0F01"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3 марта 1933 года появились тактико-технические требования к проект «большого триплекса» СУ-7. Данная машина представляла собой установку 254-мм пушки, 305-мм гаубицы, либо 400-мм мортиры на шасси Т-35. СУ-7, как и орудия для неё, так и осталась нереализованными (19857).</w:t>
      </w:r>
    </w:p>
    <w:p w14:paraId="37F56821" w14:textId="77777777" w:rsidR="002F0F01" w:rsidRPr="0044524F" w:rsidRDefault="002F0F01" w:rsidP="009654CF">
      <w:pPr>
        <w:pStyle w:val="ae"/>
        <w:shd w:val="clear" w:color="auto" w:fill="FFFFFF"/>
        <w:spacing w:before="0" w:after="0"/>
        <w:jc w:val="both"/>
        <w:textAlignment w:val="baseline"/>
        <w:rPr>
          <w:color w:val="000000" w:themeColor="text1"/>
          <w:sz w:val="16"/>
          <w:szCs w:val="16"/>
        </w:rPr>
      </w:pPr>
    </w:p>
    <w:p w14:paraId="61D1C028" w14:textId="77777777" w:rsidR="00F42404" w:rsidRPr="0044524F" w:rsidRDefault="00F42404"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марта 1933 начались испы</w:t>
      </w:r>
      <w:r w:rsidRPr="0044524F">
        <w:rPr>
          <w:rFonts w:ascii="Times New Roman" w:hAnsi="Times New Roman"/>
          <w:color w:val="000000" w:themeColor="text1"/>
          <w:sz w:val="16"/>
          <w:szCs w:val="16"/>
        </w:rPr>
        <w:softHyphen/>
        <w:t>тания «стрельбой и пробегом» артил</w:t>
      </w:r>
      <w:r w:rsidRPr="0044524F">
        <w:rPr>
          <w:rFonts w:ascii="Times New Roman" w:hAnsi="Times New Roman"/>
          <w:color w:val="000000" w:themeColor="text1"/>
          <w:sz w:val="16"/>
          <w:szCs w:val="16"/>
        </w:rPr>
        <w:softHyphen/>
        <w:t>лерийских систем Б-3 (5К) и 20К. Целью этих испытаний было выявление прочности башни, а также безотказности работы всех систем башни после пробега, а также впервые в практи</w:t>
      </w:r>
      <w:r w:rsidRPr="0044524F">
        <w:rPr>
          <w:rFonts w:ascii="Times New Roman" w:hAnsi="Times New Roman"/>
          <w:color w:val="000000" w:themeColor="text1"/>
          <w:sz w:val="16"/>
          <w:szCs w:val="16"/>
        </w:rPr>
        <w:softHyphen/>
        <w:t>ке проектирования танков в СССР рассматривался вопрос удобства обслуживания пушки в башне на походе ив бою. испытания показали сходные результаты по обеим пушкам, хотя полуавтоматика 45-мм орудия 20К работала плохо. Один из анонимных членов комиссии (замечания на</w:t>
      </w:r>
      <w:r w:rsidRPr="0044524F">
        <w:rPr>
          <w:rFonts w:ascii="Times New Roman" w:hAnsi="Times New Roman"/>
          <w:color w:val="000000" w:themeColor="text1"/>
          <w:sz w:val="16"/>
          <w:szCs w:val="16"/>
        </w:rPr>
        <w:softHyphen/>
        <w:t>писаны от руки карандашом и подписи не имеют) с сожа</w:t>
      </w:r>
      <w:r w:rsidRPr="0044524F">
        <w:rPr>
          <w:rFonts w:ascii="Times New Roman" w:hAnsi="Times New Roman"/>
          <w:color w:val="000000" w:themeColor="text1"/>
          <w:sz w:val="16"/>
          <w:szCs w:val="16"/>
        </w:rPr>
        <w:softHyphen/>
        <w:t>лением отмечал: «Новая башня с мощным вооружением вы</w:t>
      </w:r>
      <w:r w:rsidRPr="0044524F">
        <w:rPr>
          <w:rFonts w:ascii="Times New Roman" w:hAnsi="Times New Roman"/>
          <w:color w:val="000000" w:themeColor="text1"/>
          <w:sz w:val="16"/>
          <w:szCs w:val="16"/>
        </w:rPr>
        <w:softHyphen/>
        <w:t>двигает наши танки в разряд передовых образцов... Однако не вполне понятно почему была избрана именно эта 45-мм пуш</w:t>
      </w:r>
      <w:r w:rsidRPr="0044524F">
        <w:rPr>
          <w:rFonts w:ascii="Times New Roman" w:hAnsi="Times New Roman"/>
          <w:color w:val="000000" w:themeColor="text1"/>
          <w:sz w:val="16"/>
          <w:szCs w:val="16"/>
        </w:rPr>
        <w:softHyphen/>
        <w:t>ка, отличающаяся плохой безотказностью в работе... Вновь должен заметить, что 45-мм пушка, предложенная заводом «Красный Путиловец» много перспективнее и работает луч</w:t>
      </w:r>
      <w:r w:rsidRPr="0044524F">
        <w:rPr>
          <w:rFonts w:ascii="Times New Roman" w:hAnsi="Times New Roman"/>
          <w:color w:val="000000" w:themeColor="text1"/>
          <w:sz w:val="16"/>
          <w:szCs w:val="16"/>
        </w:rPr>
        <w:softHyphen/>
        <w:t>ше, но почему-то не изготавливается и на новые танки не устанавливается» (10733,213).</w:t>
      </w:r>
    </w:p>
    <w:p w14:paraId="46C5A7E1" w14:textId="77777777" w:rsidR="00F42404" w:rsidRPr="0044524F" w:rsidRDefault="00F42404" w:rsidP="009654CF">
      <w:pPr>
        <w:shd w:val="clear" w:color="auto" w:fill="FFFFFF"/>
        <w:spacing w:after="0" w:line="240" w:lineRule="auto"/>
        <w:jc w:val="both"/>
        <w:rPr>
          <w:rFonts w:ascii="Times New Roman" w:hAnsi="Times New Roman"/>
          <w:color w:val="000000" w:themeColor="text1"/>
          <w:sz w:val="16"/>
          <w:szCs w:val="16"/>
        </w:rPr>
      </w:pPr>
    </w:p>
    <w:p w14:paraId="27C64B6A" w14:textId="77777777" w:rsidR="002E1BE7" w:rsidRPr="0044524F" w:rsidRDefault="002E1BE7" w:rsidP="009654CF">
      <w:pPr>
        <w:pStyle w:val="ae"/>
        <w:shd w:val="clear" w:color="auto" w:fill="FFFFFF"/>
        <w:spacing w:before="0" w:after="0"/>
        <w:jc w:val="both"/>
        <w:rPr>
          <w:color w:val="000000" w:themeColor="text1"/>
          <w:sz w:val="16"/>
          <w:szCs w:val="16"/>
        </w:rPr>
      </w:pPr>
      <w:r w:rsidRPr="0044524F">
        <w:rPr>
          <w:color w:val="000000" w:themeColor="text1"/>
          <w:sz w:val="16"/>
          <w:szCs w:val="16"/>
        </w:rPr>
        <w:t>3 марта 1933 года «Главтрансмаш» просит «Русский дизель» немедленно отгрузить пару дизелей «Красному Сормову». А 8 марта 1933 он же просит «Красное Сормово» связаться с «Русским дизелем» для доставки в кратчайшие сроки дизелей, которые обещают отгрузить 12 и 25 марта. В апреле они еще так и не поступили на завод. Годом раньше дизели вообще обещали поставить с Коломенского завода в мае 1932 года (?!) Даже комбинат «Красное Сормово» и тот обманул верфь — не поставил — 11,5 т стальных поковок, 18,9 т — стального и 5,3 т бронзового литья. Отставание по срокам поставок составляло 6—8 месяцев. Объективных причин отставания строительства первой подводной лодки было предостаточно. Когда заложили первую подводную лодку на стапеле, на заводе еще не было не только необходимых рабочих чертежей, но даже плазовой документации, — она поступила лишь 20 июля.</w:t>
      </w:r>
    </w:p>
    <w:p w14:paraId="7D47F1D4" w14:textId="77777777" w:rsidR="002E1BE7" w:rsidRPr="0044524F" w:rsidRDefault="002E1BE7" w:rsidP="009654CF">
      <w:pPr>
        <w:pStyle w:val="ae"/>
        <w:shd w:val="clear" w:color="auto" w:fill="FFFFFF"/>
        <w:spacing w:before="0" w:after="0"/>
        <w:jc w:val="both"/>
        <w:rPr>
          <w:color w:val="000000" w:themeColor="text1"/>
          <w:sz w:val="16"/>
          <w:szCs w:val="16"/>
        </w:rPr>
      </w:pPr>
      <w:r w:rsidRPr="0044524F">
        <w:rPr>
          <w:color w:val="000000" w:themeColor="text1"/>
          <w:sz w:val="16"/>
          <w:szCs w:val="16"/>
        </w:rPr>
        <w:t>А вот начальник морских сил РККА В. М. Орлов объективные трудности не признавал. Исходя из факта отставания строительства подводной лодки, высказал свое мнение о целесообразности передачи последующего заказа на подводную лодку с Сормовской верфи. Заместитель Наркома тяжелой промышленности т. Доценко тоже высказался за передачу строительства подлодок с «Красного Сормова» на другую верфь страны. В октябре того же года последовало указание из «Речсоюзверфи»: «Сектор специального судостроения как самостоятельную производственную единицу ликвидировать, весь личный состав передать Верфи…90 человек командировать в Хабаровск на «Востоксоюзверфь».</w:t>
      </w:r>
    </w:p>
    <w:p w14:paraId="4C15476E" w14:textId="77777777" w:rsidR="002E1BE7" w:rsidRPr="0044524F" w:rsidRDefault="002E1BE7"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защиту продолжения строительства подводных лодок на заводе выступил П. И. Макаркин. Он обратился в Совет труда и обороны (СТО) с письмом: «Как начальник специального судостроения на Сормовской верфи, отдавший из-за любви к этому делу лучшие годы своей жизни, — писал он, — я не могу не высказать Вам своего мнения… Есть необходимость иметь в глубине Союза безопасную базу для постройки подлодок… Спецверфь построила корпус первой подлодки к лету 1931 года, затратив на постройку около 10 месяцев, то есть не уступая другим хорошо оборудованным верфям Союза, например, Балтийского и Николаевского заводов…»</w:t>
      </w:r>
    </w:p>
    <w:p w14:paraId="676212B6" w14:textId="77777777" w:rsidR="002E1BE7" w:rsidRPr="0044524F" w:rsidRDefault="002E1BE7" w:rsidP="009654CF">
      <w:pPr>
        <w:pStyle w:val="ae"/>
        <w:shd w:val="clear" w:color="auto" w:fill="FFFFFF"/>
        <w:spacing w:before="0" w:after="0"/>
        <w:jc w:val="both"/>
        <w:rPr>
          <w:color w:val="000000" w:themeColor="text1"/>
          <w:sz w:val="16"/>
          <w:szCs w:val="16"/>
        </w:rPr>
      </w:pPr>
      <w:r w:rsidRPr="0044524F">
        <w:rPr>
          <w:color w:val="000000" w:themeColor="text1"/>
          <w:sz w:val="16"/>
          <w:szCs w:val="16"/>
        </w:rPr>
        <w:t>Он ищет поддержку и в партийных органах. Отстаивает, доказывает, обращаясь в Москву, он просит «… установить истинные причины медленного хода постройки подлодок на Сормовской Судоверфи… и продолжить строительство подводных лодок на Сормовском заводе» (12189).</w:t>
      </w:r>
    </w:p>
    <w:p w14:paraId="3874C275" w14:textId="77777777" w:rsidR="002E1BE7" w:rsidRPr="0044524F" w:rsidRDefault="002E1BE7" w:rsidP="009654CF">
      <w:pPr>
        <w:pStyle w:val="ae"/>
        <w:shd w:val="clear" w:color="auto" w:fill="FFFFFF"/>
        <w:spacing w:before="0" w:after="0"/>
        <w:jc w:val="both"/>
        <w:rPr>
          <w:color w:val="000000" w:themeColor="text1"/>
          <w:sz w:val="16"/>
          <w:szCs w:val="16"/>
        </w:rPr>
      </w:pPr>
    </w:p>
    <w:p w14:paraId="7254E362" w14:textId="77777777" w:rsidR="00933F24"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3DA4217C" w14:textId="77777777" w:rsidR="00933F24" w:rsidRPr="0044524F" w:rsidRDefault="00933F24" w:rsidP="009654CF">
      <w:pPr>
        <w:spacing w:after="0" w:line="240" w:lineRule="auto"/>
        <w:jc w:val="both"/>
        <w:rPr>
          <w:rFonts w:ascii="Times New Roman" w:hAnsi="Times New Roman"/>
          <w:iCs/>
          <w:color w:val="000000" w:themeColor="text1"/>
          <w:sz w:val="16"/>
          <w:szCs w:val="16"/>
        </w:rPr>
      </w:pPr>
    </w:p>
    <w:p w14:paraId="5CA567B0" w14:textId="77777777" w:rsidR="00933F24" w:rsidRPr="0044524F" w:rsidRDefault="00933F24"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3 марта 1933 г. вышел приказ ОГПУ № 1069, во исполнение которого была сформирована 1-я авиационная эскадрилья войск ОГПУ в составе трех авиаотрядов, а к осени 1935 г. в пограничной охране уже НКВД СССР был 21 авиационный отряд (15231).</w:t>
      </w:r>
    </w:p>
    <w:p w14:paraId="5087BC61" w14:textId="77777777" w:rsidR="00933F24" w:rsidRPr="0044524F" w:rsidRDefault="00933F24" w:rsidP="009654CF">
      <w:pPr>
        <w:pStyle w:val="27"/>
        <w:shd w:val="clear" w:color="auto" w:fill="auto"/>
        <w:spacing w:after="0" w:line="240" w:lineRule="auto"/>
        <w:ind w:firstLine="0"/>
        <w:rPr>
          <w:rFonts w:ascii="Times New Roman" w:cs="Times New Roman"/>
          <w:color w:val="000000" w:themeColor="text1"/>
          <w:spacing w:val="0"/>
        </w:rPr>
      </w:pPr>
    </w:p>
    <w:p w14:paraId="0252AF3B"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91923AE"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147A9B5D"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марта 1933 в Потсдаме Гитлер провозгласил образование Третьего Рейха (4962).</w:t>
      </w:r>
    </w:p>
    <w:p w14:paraId="3EA6FE66"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p>
    <w:p w14:paraId="277A7110" w14:textId="77777777" w:rsidR="00933F24" w:rsidRPr="0044524F" w:rsidRDefault="00933F24"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3 марта</w:t>
      </w:r>
      <w:r w:rsidRPr="0044524F">
        <w:rPr>
          <w:rFonts w:ascii="Times New Roman" w:hAnsi="Times New Roman"/>
          <w:color w:val="000000" w:themeColor="text1"/>
          <w:sz w:val="16"/>
          <w:szCs w:val="16"/>
        </w:rPr>
        <w:t xml:space="preserve"> в 1933 году на выступлении в Потсдаме А.Гитлер провозглашает новое название Германии - "Третий Рейх" (немецкое название - Drittes Reich - третья империя, третье царство). Этот термин был заимствован из средневековых мистических учений о трех царствах: в мифе о "третьем", рейхе (историческим воплощением первых двух считались средневековые "Священная Римская империя" и Германская империя 1871-1918 гг.). Третья империя - "завершающая", "высшая" стадия социального развития (15057).</w:t>
      </w:r>
    </w:p>
    <w:p w14:paraId="1F503CC5" w14:textId="77777777" w:rsidR="00933F24" w:rsidRPr="0044524F" w:rsidRDefault="00933F24" w:rsidP="009654CF">
      <w:pPr>
        <w:spacing w:after="0" w:line="240" w:lineRule="auto"/>
        <w:jc w:val="both"/>
        <w:rPr>
          <w:rFonts w:ascii="Times New Roman" w:hAnsi="Times New Roman"/>
          <w:color w:val="000000" w:themeColor="text1"/>
          <w:sz w:val="16"/>
          <w:szCs w:val="16"/>
        </w:rPr>
      </w:pPr>
    </w:p>
    <w:p w14:paraId="64380FC1"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марта 1933 немецким гестапо арестован глава компартии Германии Эрнст Тельман (4962).</w:t>
      </w:r>
    </w:p>
    <w:p w14:paraId="55C1562C"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p>
    <w:p w14:paraId="7513C7D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марта 1933 арестовали председателя ЦК КПГ Эрнста Тельмана (3186).</w:t>
      </w:r>
    </w:p>
    <w:p w14:paraId="12E7B9D0"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5ED0278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марта 1933 г. был арестован лидер КПГ Э. Тельман (Подробнее см.: Розанов Г. Л. Германия под властью фашизма. (1933-1939 гг.) М., 1961. С. 74-87.) (11784). После отставки Шляйхера и прихода к власти Гитлера ситуация, в том числе и в Германии,- коренным образом изменилась. В течение неполных двух месяцев пребывания нацистов у власти они буквально растерзали своих крупнейших политических оппонентов — СДПГ и КПГ, имевших по результатам выборов 6 ноября 1932 г. соответственно 121 и 100 депутатских мандатов (Grosses Universalvolkslexikon. Bd.8. S. 110.) (11784).</w:t>
      </w:r>
    </w:p>
    <w:p w14:paraId="7288F3AD"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0AF9364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марта 1933 в Великобритании проходил антивоенный конгресс в Лондоне (3186).</w:t>
      </w:r>
    </w:p>
    <w:p w14:paraId="15A4E498"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71E24CA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марта 1933 в Уругвае прошел южноамериканский антивоенный конгресс в (3186).</w:t>
      </w:r>
    </w:p>
    <w:p w14:paraId="11A437D5"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63FE95A8"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8C03F79"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424FDEF2"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марта 1933 было подготовлено Заключение по Отчету по испытанию самолета У2 М-11 (вооруженный вариант).</w:t>
      </w:r>
    </w:p>
    <w:p w14:paraId="0D28C987"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исполнитель:</w:t>
      </w:r>
    </w:p>
    <w:p w14:paraId="70C7EAD3"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Мируц</w:t>
      </w:r>
    </w:p>
    <w:p w14:paraId="408895FE"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52EEF622"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Выяснить:</w:t>
      </w:r>
    </w:p>
    <w:p w14:paraId="34654D6B" w14:textId="77777777" w:rsidR="00F42404" w:rsidRPr="0044524F" w:rsidRDefault="00F42404" w:rsidP="009654CF">
      <w:pPr>
        <w:numPr>
          <w:ilvl w:val="0"/>
          <w:numId w:val="11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повлияло на устойчивость и управляемость самолета увеличение нагрузки и изменение центровки.</w:t>
      </w:r>
    </w:p>
    <w:p w14:paraId="2D57DE42" w14:textId="77777777" w:rsidR="00F42404" w:rsidRPr="0044524F" w:rsidRDefault="00F42404" w:rsidP="009654CF">
      <w:pPr>
        <w:numPr>
          <w:ilvl w:val="0"/>
          <w:numId w:val="11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Оценить в условиях части как изменились летные качества вооруженного самолета по сравнению с нормальным типом.</w:t>
      </w:r>
    </w:p>
    <w:p w14:paraId="1EF66265"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6D297D0D"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испытаний можно констатировать, что вооруженный самолет У2 вполне пригоден для частичного проведения учебно-боевой подготовки и может быть рекомендован для применения в школах и частях ВВС (6647).</w:t>
      </w:r>
    </w:p>
    <w:p w14:paraId="6BAF5D0C"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p>
    <w:p w14:paraId="419182FB"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марта 1933 г. в Тушино был организован дирижаблестроительный учебный комбинат (6395).</w:t>
      </w:r>
    </w:p>
    <w:p w14:paraId="065AA723"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p>
    <w:p w14:paraId="5ECA95EC" w14:textId="77777777" w:rsidR="00933F2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CE65F05" w14:textId="77777777" w:rsidR="00933F24" w:rsidRPr="0044524F" w:rsidRDefault="00933F24" w:rsidP="009654CF">
      <w:pPr>
        <w:spacing w:after="0" w:line="240" w:lineRule="auto"/>
        <w:jc w:val="both"/>
        <w:rPr>
          <w:rFonts w:ascii="Times New Roman" w:hAnsi="Times New Roman"/>
          <w:iCs/>
          <w:color w:val="000000" w:themeColor="text1"/>
          <w:sz w:val="16"/>
          <w:szCs w:val="16"/>
        </w:rPr>
      </w:pPr>
    </w:p>
    <w:p w14:paraId="4CD805F4" w14:textId="77777777" w:rsidR="00933F24" w:rsidRPr="0044524F" w:rsidRDefault="00933F24" w:rsidP="009654CF">
      <w:pPr>
        <w:pStyle w:val="rtejustify"/>
        <w:spacing w:before="0" w:after="0"/>
        <w:rPr>
          <w:color w:val="000000" w:themeColor="text1"/>
          <w:sz w:val="16"/>
          <w:szCs w:val="16"/>
        </w:rPr>
      </w:pPr>
      <w:r w:rsidRPr="0044524F">
        <w:rPr>
          <w:rStyle w:val="af0"/>
          <w:bCs/>
          <w:i w:val="0"/>
          <w:color w:val="000000" w:themeColor="text1"/>
          <w:sz w:val="16"/>
          <w:szCs w:val="16"/>
        </w:rPr>
        <w:t>4 марта</w:t>
      </w:r>
      <w:r w:rsidRPr="0044524F">
        <w:rPr>
          <w:color w:val="000000" w:themeColor="text1"/>
          <w:sz w:val="16"/>
          <w:szCs w:val="16"/>
        </w:rPr>
        <w:t xml:space="preserve"> 1933 вышел приказ РВСС № 4. 3. О железных гильзах (Ефимов). 4. О пересмотре постановления РВСС от 23 января 1929 г. о раздельной возке 203</w:t>
      </w:r>
      <w:r w:rsidRPr="0044524F">
        <w:rPr>
          <w:color w:val="000000" w:themeColor="text1"/>
          <w:sz w:val="16"/>
          <w:szCs w:val="16"/>
        </w:rPr>
        <w:noBreakHyphen/>
        <w:t>мм гаубицы марки VI (Тухачевский). 11. — 3) Сообщение о подписании председателем РВСС постановления РВСС «О развитии авиационной техники на основе виденного на авиационной выставке во Франции и на заводах Германии» от 3 марта 1933 г. (РГВА. Ф. 4. Оп. 18. Д. 23. Л. 47, 49) (15461).</w:t>
      </w:r>
    </w:p>
    <w:p w14:paraId="166931E4" w14:textId="77777777" w:rsidR="00933F24" w:rsidRPr="0044524F" w:rsidRDefault="00933F24" w:rsidP="009654CF">
      <w:pPr>
        <w:pStyle w:val="rtejustify"/>
        <w:spacing w:before="0" w:after="0"/>
        <w:rPr>
          <w:rStyle w:val="af0"/>
          <w:bCs/>
          <w:i w:val="0"/>
          <w:color w:val="000000" w:themeColor="text1"/>
          <w:sz w:val="16"/>
          <w:szCs w:val="16"/>
        </w:rPr>
      </w:pPr>
    </w:p>
    <w:p w14:paraId="76494A31"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марта 1933 опросом членов ПБ</w:t>
      </w:r>
    </w:p>
    <w:p w14:paraId="74B024CC" w14:textId="60EA02D9"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49/26.- О займе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"Агроджойнта"</w:t>
      </w:r>
    </w:p>
    <w:p w14:paraId="24808EA3"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решение Валютной комиссии от 2.Ш.33г. (см .приложение).</w:t>
      </w:r>
    </w:p>
    <w:p w14:paraId="72ECC5AC"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КОМИССИИ при СНК СССР 2 марта 1933 r (Утверждено Политбюро ЦК ВКП(б) 4.Ш.ЗЗг.).</w:t>
      </w:r>
    </w:p>
    <w:p w14:paraId="00685C1D"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ВАЛЮТНАЯ КОМИССИЯ при СНК СССР ПОСТАНОВЛЯЕТ:</w:t>
      </w:r>
    </w:p>
    <w:p w14:paraId="3EA26521"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возможным принять предложение д-ра Розена, пред</w:t>
      </w:r>
      <w:r w:rsidRPr="0044524F">
        <w:rPr>
          <w:rFonts w:ascii="Times New Roman" w:hAnsi="Times New Roman"/>
          <w:color w:val="000000" w:themeColor="text1"/>
          <w:sz w:val="16"/>
          <w:szCs w:val="16"/>
        </w:rPr>
        <w:softHyphen/>
        <w:t>ставителя Ам.О-ва для земельного устройства евреев в СССР и Агроджойнта, об изменении порядка выпуска "займа Агроджойнта" и об инвестициях Агроджойнта в СССР - в следующей редак</w:t>
      </w:r>
      <w:r w:rsidRPr="0044524F">
        <w:rPr>
          <w:rFonts w:ascii="Times New Roman" w:hAnsi="Times New Roman"/>
          <w:color w:val="000000" w:themeColor="text1"/>
          <w:sz w:val="16"/>
          <w:szCs w:val="16"/>
        </w:rPr>
        <w:softHyphen/>
        <w:t>ции :</w:t>
      </w:r>
    </w:p>
    <w:p w14:paraId="770E7D5A"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Платежи названного об-ва по ’’займу Агроджойнта" за период с 1-го января 1933 года по 1-е января 1936 года на сумму 2.475 т. долл. покрываются не наличными, а:</w:t>
      </w:r>
    </w:p>
    <w:p w14:paraId="01EBD02C"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купонами, которым наступает срок в течение периода от 1-го января 1933 г. но 1 января 1936 г.(включительно), как по сериям " займа Агроджойнта", которые уже выданы, так и по сериям, подлежащим выдаче в течение указанного периода и</w:t>
      </w:r>
    </w:p>
    <w:p w14:paraId="4E9DDFCE"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облигациями прежних выпусков "займа Агроджойнта". Против купонов и облигаций, вносимых названным О-вом в уста</w:t>
      </w:r>
      <w:r w:rsidRPr="0044524F">
        <w:rPr>
          <w:rFonts w:ascii="Times New Roman" w:hAnsi="Times New Roman"/>
          <w:color w:val="000000" w:themeColor="text1"/>
          <w:sz w:val="16"/>
          <w:szCs w:val="16"/>
        </w:rPr>
        <w:softHyphen/>
        <w:t>новленные договором 15 февраля 1929 г. сроки, правительство СССР выдает новые облигации "займа Агроджойнта" на эквивалент</w:t>
      </w:r>
      <w:r w:rsidRPr="0044524F">
        <w:rPr>
          <w:rFonts w:ascii="Times New Roman" w:hAnsi="Times New Roman"/>
          <w:color w:val="000000" w:themeColor="text1"/>
          <w:sz w:val="16"/>
          <w:szCs w:val="16"/>
        </w:rPr>
        <w:softHyphen/>
        <w:t>ную сумму, т.е. на 2.475 т.долларов.</w:t>
      </w:r>
    </w:p>
    <w:p w14:paraId="199FC80B"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Правительство СССР соглашается (в пределах утвержден</w:t>
      </w:r>
      <w:r w:rsidRPr="0044524F">
        <w:rPr>
          <w:rFonts w:ascii="Times New Roman" w:hAnsi="Times New Roman"/>
          <w:color w:val="000000" w:themeColor="text1"/>
          <w:sz w:val="16"/>
          <w:szCs w:val="16"/>
        </w:rPr>
        <w:softHyphen/>
        <w:t>ного Комзетом плана работ Агроджойнта и при наличии лицензий НКВнешторга) покрыть валютой импорт для оперативных нужд Агроджойнта из-заграницы в размере не свыше 60 тыс.долл, ежегодно в течение 1933, 1934 и 1935 г.г. при условии, если необходимые предметы и материалы не могут быть получены в пределах СССР в сроки, определяемые возможностью выполнения ежегодных оперативных планов Агроджойнта, утвержденных Ком</w:t>
      </w:r>
      <w:r w:rsidRPr="0044524F">
        <w:rPr>
          <w:rFonts w:ascii="Times New Roman" w:hAnsi="Times New Roman"/>
          <w:color w:val="000000" w:themeColor="text1"/>
          <w:sz w:val="16"/>
          <w:szCs w:val="16"/>
        </w:rPr>
        <w:softHyphen/>
        <w:t>зетом.</w:t>
      </w:r>
    </w:p>
    <w:p w14:paraId="21CA0F30"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 Агроджойнт отказывается полностью и навсегда от вывоза заграницу всех сумм., которые были им инвестированы в СССР в связи с договорами между правительством СССР и наз</w:t>
      </w:r>
      <w:r w:rsidRPr="0044524F">
        <w:rPr>
          <w:rFonts w:ascii="Times New Roman" w:hAnsi="Times New Roman"/>
          <w:color w:val="000000" w:themeColor="text1"/>
          <w:sz w:val="16"/>
          <w:szCs w:val="16"/>
        </w:rPr>
        <w:softHyphen/>
        <w:t>ванной организацией от 16.ХП.24 г. и от 31.1.27 г.</w:t>
      </w:r>
    </w:p>
    <w:p w14:paraId="5FB558F6"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1У. Червонное финансирование Агроджойнта производится в меру его оперативных нужд, устанавливаемых Комзетом, но общая сумма финансирования в период с 1-го января 1933 г. по 1-е января 1936 г. не должна превысить 4.809.915 рублей за вычетом сумм, фактически оплаченных правительством СССР по импортным счетам Агроджойнта.</w:t>
      </w:r>
    </w:p>
    <w:p w14:paraId="4B22BBDE"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Договор от 15 февраля 1929 г. остается в силе, посколь</w:t>
      </w:r>
      <w:r w:rsidRPr="0044524F">
        <w:rPr>
          <w:rFonts w:ascii="Times New Roman" w:hAnsi="Times New Roman"/>
          <w:color w:val="000000" w:themeColor="text1"/>
          <w:sz w:val="16"/>
          <w:szCs w:val="16"/>
        </w:rPr>
        <w:softHyphen/>
        <w:t>ку содержание его изменяется изложенными выше пунктами. На основании изложенного оформляется дополнительное к озна</w:t>
      </w:r>
      <w:r w:rsidRPr="0044524F">
        <w:rPr>
          <w:rFonts w:ascii="Times New Roman" w:hAnsi="Times New Roman"/>
          <w:color w:val="000000" w:themeColor="text1"/>
          <w:sz w:val="16"/>
          <w:szCs w:val="16"/>
        </w:rPr>
        <w:softHyphen/>
        <w:t>ченному договору соглашение, которое подписывается представите</w:t>
      </w:r>
      <w:r w:rsidRPr="0044524F">
        <w:rPr>
          <w:rFonts w:ascii="Times New Roman" w:hAnsi="Times New Roman"/>
          <w:color w:val="000000" w:themeColor="text1"/>
          <w:sz w:val="16"/>
          <w:szCs w:val="16"/>
        </w:rPr>
        <w:softHyphen/>
        <w:t>лями Комзета и Агроджойнта.</w:t>
      </w:r>
    </w:p>
    <w:p w14:paraId="0E8E2013"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т.т.Керженцеву, Рудзутаку, Гринько.</w:t>
      </w:r>
    </w:p>
    <w:p w14:paraId="7D712601"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опросом членов ПБ</w:t>
      </w:r>
    </w:p>
    <w:p w14:paraId="78CC01E6"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59/36.-О0 техпомощи по судостроению.</w:t>
      </w:r>
    </w:p>
    <w:p w14:paraId="4571D967"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1. Купить у фирмы JVS проект и рабочие чертежи подлодки Е-1 в 755 (с нашим вооружением), а также техническую помощь по постройке подлодок этого типа в СССР.</w:t>
      </w:r>
    </w:p>
    <w:p w14:paraId="3BAE2035"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Купить в Германии для первой подлодки дизеля, необходимое электрооборудование и вспомо</w:t>
      </w:r>
      <w:r w:rsidRPr="0044524F">
        <w:rPr>
          <w:rFonts w:ascii="Times New Roman" w:hAnsi="Times New Roman"/>
          <w:color w:val="000000" w:themeColor="text1"/>
          <w:sz w:val="16"/>
          <w:szCs w:val="16"/>
        </w:rPr>
        <w:softHyphen/>
        <w:t>гательные механизмы, а также техпомощь по постанов</w:t>
      </w:r>
      <w:r w:rsidRPr="0044524F">
        <w:rPr>
          <w:rFonts w:ascii="Times New Roman" w:hAnsi="Times New Roman"/>
          <w:color w:val="000000" w:themeColor="text1"/>
          <w:sz w:val="16"/>
          <w:szCs w:val="16"/>
        </w:rPr>
        <w:softHyphen/>
        <w:t>ке их производства в СССР.</w:t>
      </w:r>
    </w:p>
    <w:p w14:paraId="2216584A"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Определить размер валютных ассигнований па приобретение техпомощи по постройке подлодки Е-1 и покупку указанных механизмов в 1.500.000 руб.</w:t>
      </w:r>
    </w:p>
    <w:p w14:paraId="4E45C9DA"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Для окончательных переговоров немедленно пригласить представителей JVS в Москву.</w:t>
      </w:r>
    </w:p>
    <w:p w14:paraId="665D8829"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Потребовать от фирмы JVS перед заключением договора па техпомощь производства в присут</w:t>
      </w:r>
      <w:r w:rsidRPr="0044524F">
        <w:rPr>
          <w:rFonts w:ascii="Times New Roman" w:hAnsi="Times New Roman"/>
          <w:color w:val="000000" w:themeColor="text1"/>
          <w:sz w:val="16"/>
          <w:szCs w:val="16"/>
        </w:rPr>
        <w:softHyphen/>
        <w:t>ствии наших специалистов испытания подлодки Е-1 на ходу для проверки ее скорости хода над водой и под водой, скорости и глубины погружения, остойчивости, а также всех основных механизмов и устройств этой подлодки.</w:t>
      </w:r>
    </w:p>
    <w:p w14:paraId="2D3D702D"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Признать необходимый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29053BAD"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6)1. Приобрести в Италии (на основе имеющейся предварительной договоренности с итальянским морским министерством и произведенного морскими комиссиями СССР изучения итальянского флота и судостроительной промышленности Италии) проект и рабочие чертежи эсминца-лидера (до 3000 т.), а также рабочие черте</w:t>
      </w:r>
      <w:r w:rsidRPr="0044524F">
        <w:rPr>
          <w:rFonts w:ascii="Times New Roman" w:hAnsi="Times New Roman"/>
          <w:color w:val="000000" w:themeColor="text1"/>
          <w:sz w:val="16"/>
          <w:szCs w:val="16"/>
        </w:rPr>
        <w:softHyphen/>
        <w:t>жи главной механической установки строящихся итальян</w:t>
      </w:r>
      <w:r w:rsidRPr="0044524F">
        <w:rPr>
          <w:rFonts w:ascii="Times New Roman" w:hAnsi="Times New Roman"/>
          <w:color w:val="000000" w:themeColor="text1"/>
          <w:sz w:val="16"/>
          <w:szCs w:val="16"/>
        </w:rPr>
        <w:softHyphen/>
        <w:t>ских крейсеров( типа "Монтекуккола"-7000 тн.).</w:t>
      </w:r>
    </w:p>
    <w:p w14:paraId="48CF20B5"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Заказать в Италии главную турбинную установку и некоторые наиболее важные вспомогательные механиз</w:t>
      </w:r>
      <w:r w:rsidRPr="0044524F">
        <w:rPr>
          <w:rFonts w:ascii="Times New Roman" w:hAnsi="Times New Roman"/>
          <w:color w:val="000000" w:themeColor="text1"/>
          <w:sz w:val="16"/>
          <w:szCs w:val="16"/>
        </w:rPr>
        <w:softHyphen/>
        <w:t>мы на первые корабли к приобрести техпомощь по по</w:t>
      </w:r>
      <w:r w:rsidRPr="0044524F">
        <w:rPr>
          <w:rFonts w:ascii="Times New Roman" w:hAnsi="Times New Roman"/>
          <w:color w:val="000000" w:themeColor="text1"/>
          <w:sz w:val="16"/>
          <w:szCs w:val="16"/>
        </w:rPr>
        <w:softHyphen/>
        <w:t>становке их производства в СССР.</w:t>
      </w:r>
    </w:p>
    <w:p w14:paraId="4D2696D2"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Определить размер валютных ассигнований на техпомощь по постройке лидеров и крейсеров и покупку механизмов для них - в 5.000.000 рубл.</w:t>
      </w:r>
    </w:p>
    <w:p w14:paraId="5C74D2AD"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Командировать в самое ближайшее время группу работников НКТГП и УВМС в Италию для ведения перего</w:t>
      </w:r>
      <w:r w:rsidRPr="0044524F">
        <w:rPr>
          <w:rFonts w:ascii="Times New Roman" w:hAnsi="Times New Roman"/>
          <w:color w:val="000000" w:themeColor="text1"/>
          <w:sz w:val="16"/>
          <w:szCs w:val="16"/>
        </w:rPr>
        <w:softHyphen/>
        <w:t>воров о техпомощи и о заказе механизмов по лидерам и крейсерам с итальянскими фирмами "Ансальдо" и "Адриатическим Об"единением Верфей".</w:t>
      </w:r>
    </w:p>
    <w:p w14:paraId="08C30F44"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3E2D6411"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Ворошилову, Молотову, Пятакову-все: Артузову-б)4. Розенгольцу-все.</w:t>
      </w:r>
    </w:p>
    <w:p w14:paraId="6E64BB23"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марта 1933 опросом членов ПБ</w:t>
      </w:r>
    </w:p>
    <w:p w14:paraId="296C1B30"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67/44.-Предложения Комиссии Обороны.</w:t>
      </w:r>
    </w:p>
    <w:p w14:paraId="335BC273"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следующее решение комиссии Сбороны о приобретении образцов и технической помощи у фирмы "Сперри".</w:t>
      </w:r>
    </w:p>
    <w:p w14:paraId="623F9097"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малый вариант, а именно:</w:t>
      </w:r>
    </w:p>
    <w:p w14:paraId="3B9AD064"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 Приборов управления огнем берего</w:t>
      </w:r>
      <w:r w:rsidRPr="0044524F">
        <w:rPr>
          <w:rFonts w:ascii="Times New Roman" w:hAnsi="Times New Roman"/>
          <w:color w:val="000000" w:themeColor="text1"/>
          <w:sz w:val="16"/>
          <w:szCs w:val="16"/>
        </w:rPr>
        <w:softHyphen/>
        <w:t>вой артиллерии с вынесенными постами, один экземпляр</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100.000</w:t>
      </w:r>
    </w:p>
    <w:p w14:paraId="3D395682"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Прибор береговой артиллерии с од</w:t>
      </w:r>
      <w:r w:rsidRPr="0044524F">
        <w:rPr>
          <w:rFonts w:ascii="Times New Roman" w:hAnsi="Times New Roman"/>
          <w:color w:val="000000" w:themeColor="text1"/>
          <w:sz w:val="16"/>
          <w:szCs w:val="16"/>
        </w:rPr>
        <w:softHyphen/>
        <w:t>ним вынесенным постом, один экземпляр</w:t>
      </w:r>
      <w:r w:rsidRPr="0044524F">
        <w:rPr>
          <w:rFonts w:ascii="Times New Roman" w:hAnsi="Times New Roman"/>
          <w:color w:val="000000" w:themeColor="text1"/>
          <w:sz w:val="16"/>
          <w:szCs w:val="16"/>
        </w:rPr>
        <w:tab/>
        <w:t xml:space="preserve"> 70.000</w:t>
      </w:r>
    </w:p>
    <w:p w14:paraId="5BB88C52"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Приборы управления зенитным огнем морской артиллерии, один экземпляр</w:t>
      </w:r>
      <w:r w:rsidRPr="0044524F">
        <w:rPr>
          <w:rFonts w:ascii="Times New Roman" w:hAnsi="Times New Roman"/>
          <w:color w:val="000000" w:themeColor="text1"/>
          <w:sz w:val="16"/>
          <w:szCs w:val="16"/>
        </w:rPr>
        <w:tab/>
        <w:t>185.000</w:t>
      </w:r>
    </w:p>
    <w:p w14:paraId="51EC107C"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Прицелов бомбометания для самолето (5 шт.)</w:t>
      </w:r>
      <w:r w:rsidRPr="0044524F">
        <w:rPr>
          <w:rFonts w:ascii="Times New Roman" w:hAnsi="Times New Roman"/>
          <w:color w:val="000000" w:themeColor="text1"/>
          <w:sz w:val="16"/>
          <w:szCs w:val="16"/>
        </w:rPr>
        <w:tab/>
        <w:t>40.000</w:t>
      </w:r>
    </w:p>
    <w:p w14:paraId="6841580F"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 Автопилоты 4 штуки, из них 2 упрощенных и 2 военных </w:t>
      </w:r>
      <w:r w:rsidRPr="0044524F">
        <w:rPr>
          <w:rFonts w:ascii="Times New Roman" w:hAnsi="Times New Roman"/>
          <w:color w:val="000000" w:themeColor="text1"/>
          <w:sz w:val="16"/>
          <w:szCs w:val="16"/>
        </w:rPr>
        <w:tab/>
        <w:t>64.000</w:t>
      </w:r>
    </w:p>
    <w:p w14:paraId="2DDC30AF" w14:textId="1D10E99E"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Гироскопов направления, типа А-С-2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6</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штук)</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2.100</w:t>
      </w:r>
    </w:p>
    <w:p w14:paraId="73447F5D"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Звено синхронной передачи (2 шт.)</w:t>
      </w:r>
      <w:r w:rsidRPr="0044524F">
        <w:rPr>
          <w:rFonts w:ascii="Times New Roman" w:hAnsi="Times New Roman"/>
          <w:color w:val="000000" w:themeColor="text1"/>
          <w:sz w:val="16"/>
          <w:szCs w:val="16"/>
        </w:rPr>
        <w:tab/>
        <w:t>5.000</w:t>
      </w:r>
    </w:p>
    <w:p w14:paraId="25D7122A"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Искусственный горизонт(6 шт.)</w:t>
      </w:r>
      <w:r w:rsidRPr="0044524F">
        <w:rPr>
          <w:rFonts w:ascii="Times New Roman" w:hAnsi="Times New Roman"/>
          <w:color w:val="000000" w:themeColor="text1"/>
          <w:sz w:val="16"/>
          <w:szCs w:val="16"/>
        </w:rPr>
        <w:tab/>
        <w:t xml:space="preserve"> 2.100</w:t>
      </w:r>
    </w:p>
    <w:p w14:paraId="46E0A701"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па покупку образцов</w:t>
      </w:r>
      <w:r w:rsidRPr="0044524F">
        <w:rPr>
          <w:rFonts w:ascii="Times New Roman" w:hAnsi="Times New Roman"/>
          <w:color w:val="000000" w:themeColor="text1"/>
          <w:sz w:val="16"/>
          <w:szCs w:val="16"/>
        </w:rPr>
        <w:tab/>
        <w:t xml:space="preserve"> 468.200</w:t>
      </w:r>
    </w:p>
    <w:p w14:paraId="3373B1B9"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техническую помощь</w:t>
      </w:r>
      <w:r w:rsidRPr="0044524F">
        <w:rPr>
          <w:rFonts w:ascii="Times New Roman" w:hAnsi="Times New Roman"/>
          <w:color w:val="000000" w:themeColor="text1"/>
          <w:sz w:val="16"/>
          <w:szCs w:val="16"/>
        </w:rPr>
        <w:tab/>
        <w:t xml:space="preserve"> 300.000</w:t>
      </w:r>
    </w:p>
    <w:p w14:paraId="7875D04F"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Оборудование</w:t>
      </w:r>
      <w:r w:rsidRPr="0044524F">
        <w:rPr>
          <w:rFonts w:ascii="Times New Roman" w:hAnsi="Times New Roman"/>
          <w:color w:val="000000" w:themeColor="text1"/>
          <w:sz w:val="16"/>
          <w:szCs w:val="16"/>
        </w:rPr>
        <w:tab/>
        <w:t xml:space="preserve"> 400.000</w:t>
      </w:r>
    </w:p>
    <w:p w14:paraId="5AC55930"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r w:rsidRPr="0044524F">
        <w:rPr>
          <w:rFonts w:ascii="Times New Roman" w:hAnsi="Times New Roman"/>
          <w:color w:val="000000" w:themeColor="text1"/>
          <w:sz w:val="16"/>
          <w:szCs w:val="16"/>
        </w:rPr>
        <w:tab/>
        <w:t>1.168.200 ам. долларов.</w:t>
      </w:r>
    </w:p>
    <w:p w14:paraId="5FFB7541" w14:textId="040527A3"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предлагаемые условия платежа: За техническую помощь начиная с 1934 года в течение 4 лет равными частями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по полугодиям.</w:t>
      </w:r>
    </w:p>
    <w:p w14:paraId="4CCE3141"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Платеж за образцы-начиная с 1934 года:</w:t>
      </w:r>
    </w:p>
    <w:p w14:paraId="1D446102"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 против отгрузки, 25% через 6 месяцев, 20% через 12 месяцев и 20% через 18 месяцев; последний платеж-в первой половине 1936 года.</w:t>
      </w:r>
    </w:p>
    <w:p w14:paraId="634A4DC2"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тов.Базилевичу.</w:t>
      </w:r>
    </w:p>
    <w:p w14:paraId="349608FC" w14:textId="77777777" w:rsidR="002F0F01" w:rsidRPr="0044524F" w:rsidRDefault="002F0F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состоялось заседание ПБ и был оформлен протокол № 132 (22982).</w:t>
      </w:r>
    </w:p>
    <w:p w14:paraId="7AE36889" w14:textId="77777777" w:rsidR="002F0F01" w:rsidRPr="0044524F" w:rsidRDefault="002F0F01" w:rsidP="009654CF">
      <w:pPr>
        <w:pStyle w:val="221"/>
        <w:shd w:val="clear" w:color="auto" w:fill="auto"/>
        <w:spacing w:line="240" w:lineRule="auto"/>
        <w:jc w:val="both"/>
        <w:rPr>
          <w:rFonts w:ascii="Times New Roman" w:hAnsi="Times New Roman" w:cs="Times New Roman"/>
          <w:color w:val="000000" w:themeColor="text1"/>
          <w:sz w:val="16"/>
          <w:szCs w:val="16"/>
        </w:rPr>
      </w:pPr>
    </w:p>
    <w:p w14:paraId="5CABBFE8"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3EE1D71"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20EC630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марта 1933 состоялась инаугурация Президента Ф.Рузвельта (2100) и Ф.Д.Р. провозгласил политику доброго соседа для Латинской Америки (2443,407).</w:t>
      </w:r>
    </w:p>
    <w:p w14:paraId="27A0ABE3"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59EEE5DA"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CF4B37D"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12968D5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дата присвоения опознавательного знака с литерой "Н" - СССР-Н4 - ЮГ-1, зав. № 956, моторы - Junkers L-5. Первоначальный владелец воздушного судна - Комсеверпуть. Вероятно, самолет списали в начале января 1935 года (11955).</w:t>
      </w:r>
    </w:p>
    <w:p w14:paraId="34B90EA9"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3A742AE2" w14:textId="77777777" w:rsidR="00933F24" w:rsidRPr="0044524F" w:rsidRDefault="00933F24" w:rsidP="009654CF">
      <w:pPr>
        <w:pStyle w:val="rtejustify"/>
        <w:spacing w:before="0" w:after="0"/>
        <w:rPr>
          <w:color w:val="000000" w:themeColor="text1"/>
          <w:sz w:val="16"/>
          <w:szCs w:val="16"/>
        </w:rPr>
      </w:pPr>
      <w:r w:rsidRPr="0044524F">
        <w:rPr>
          <w:rStyle w:val="af0"/>
          <w:bCs/>
          <w:i w:val="0"/>
          <w:color w:val="000000" w:themeColor="text1"/>
          <w:sz w:val="16"/>
          <w:szCs w:val="16"/>
        </w:rPr>
        <w:t>5 марта</w:t>
      </w:r>
      <w:r w:rsidRPr="0044524F">
        <w:rPr>
          <w:color w:val="000000" w:themeColor="text1"/>
          <w:sz w:val="16"/>
          <w:szCs w:val="16"/>
        </w:rPr>
        <w:t xml:space="preserve"> 1933. Постановление Комиссии обороны СССР № 1 «О приобретении образцов и технической помощи фирмы “Сперри”». (ГА РФ. Ф. Р</w:t>
      </w:r>
      <w:r w:rsidRPr="0044524F">
        <w:rPr>
          <w:color w:val="000000" w:themeColor="text1"/>
          <w:sz w:val="16"/>
          <w:szCs w:val="16"/>
        </w:rPr>
        <w:noBreakHyphen/>
        <w:t>8418. Оп. 28. Д. 25а. Л. 20) (15460).</w:t>
      </w:r>
    </w:p>
    <w:p w14:paraId="159DF081" w14:textId="77777777" w:rsidR="00933F24" w:rsidRPr="0044524F" w:rsidRDefault="00933F24" w:rsidP="009654CF">
      <w:pPr>
        <w:pStyle w:val="rtejustify"/>
        <w:spacing w:before="0" w:after="0"/>
        <w:rPr>
          <w:color w:val="000000" w:themeColor="text1"/>
          <w:sz w:val="16"/>
          <w:szCs w:val="16"/>
        </w:rPr>
      </w:pPr>
    </w:p>
    <w:p w14:paraId="2683FC01" w14:textId="77777777" w:rsidR="00396DDE" w:rsidRPr="0044524F" w:rsidRDefault="00396DD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г. под грифом «Секретно» был ответ Л.П. Малиновского начальнику УВИ НВ РККА Г.П. Новикову на письмо от 7 февраля: «Принципиально согласен отдать ГИРД в ведение УВИ» (ГА РФ. Фонд Р-8355. Оп. 1. Д. № 374. Л. 16.) (22685).</w:t>
      </w:r>
    </w:p>
    <w:p w14:paraId="30676BAF" w14:textId="77777777" w:rsidR="00396DDE" w:rsidRPr="0044524F" w:rsidRDefault="00396DDE" w:rsidP="009654CF">
      <w:pPr>
        <w:spacing w:after="0" w:line="240" w:lineRule="auto"/>
        <w:jc w:val="both"/>
        <w:rPr>
          <w:rFonts w:ascii="Times New Roman" w:hAnsi="Times New Roman"/>
          <w:color w:val="000000" w:themeColor="text1"/>
          <w:sz w:val="16"/>
          <w:szCs w:val="16"/>
        </w:rPr>
      </w:pPr>
    </w:p>
    <w:p w14:paraId="0A9AF0B2" w14:textId="77777777" w:rsidR="00396DDE" w:rsidRPr="0044524F" w:rsidRDefault="00396DD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5 марта 1933 после рассмотрения комиссией под председательством Валерия Межлаука вышло постановление «О строительстве эллинга» - расписанный по дням, тоннам и вагонам свод поручений различным ведомствам с назначением персонально ответственных, который должен был увенчаться к 1 июля завершением постройки первых 110 метров эллинга и к 1 ноября - его полной готовностью, включая отепление и ворота с электроприводом.</w:t>
      </w:r>
    </w:p>
    <w:p w14:paraId="75108127" w14:textId="77777777" w:rsidR="00396DDE" w:rsidRPr="0044524F" w:rsidRDefault="00396DD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Но даже такая грозная бумага помогала не всегда. Вернувшись в мае 1933 года после двухмесячной болезни на Дирижаблестрой, Нобиле обнаружил, что металлические фермы эллинга всё ещё разбросаны по полю, да и сами фундаменты под них не закончены. Стало ясно, что ни о какой сборке корабля 18500 в этом году речи быть не может.</w:t>
      </w:r>
    </w:p>
    <w:p w14:paraId="1537A09E" w14:textId="77777777" w:rsidR="00396DDE" w:rsidRPr="0044524F" w:rsidRDefault="00396DD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Впрочем, и корабль 18500 не торопился в сборку: ещё не завершилось даже его проектирование (23192).</w:t>
      </w:r>
    </w:p>
    <w:p w14:paraId="12199329" w14:textId="77777777" w:rsidR="00396DDE" w:rsidRPr="0044524F" w:rsidRDefault="00396DDE" w:rsidP="009654CF">
      <w:pPr>
        <w:spacing w:after="0" w:line="240" w:lineRule="auto"/>
        <w:jc w:val="both"/>
        <w:rPr>
          <w:rFonts w:ascii="Times New Roman" w:hAnsi="Times New Roman"/>
          <w:color w:val="000000" w:themeColor="text1"/>
          <w:sz w:val="16"/>
          <w:szCs w:val="16"/>
        </w:rPr>
      </w:pPr>
    </w:p>
    <w:p w14:paraId="67203484" w14:textId="77777777" w:rsidR="00167BB0" w:rsidRPr="0044524F" w:rsidRDefault="00167BB0"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98B99DF" w14:textId="77777777" w:rsidR="00167BB0" w:rsidRPr="0044524F" w:rsidRDefault="00167BB0" w:rsidP="009654CF">
      <w:pPr>
        <w:spacing w:after="0" w:line="240" w:lineRule="auto"/>
        <w:jc w:val="both"/>
        <w:rPr>
          <w:rFonts w:ascii="Times New Roman" w:hAnsi="Times New Roman"/>
          <w:iCs/>
          <w:color w:val="000000" w:themeColor="text1"/>
          <w:sz w:val="16"/>
          <w:szCs w:val="16"/>
        </w:rPr>
      </w:pPr>
    </w:p>
    <w:p w14:paraId="5B9AEBC2" w14:textId="77777777" w:rsidR="00167BB0" w:rsidRPr="0044524F" w:rsidRDefault="00167BB0"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5 марта 1933 года в адрес маршала Тухачевского пришло письмо за подписью Гроте. В нём конструктор предлагал построить 1000-тонный «танк-крепость» (текст письма приводится дословно):</w:t>
      </w:r>
    </w:p>
    <w:p w14:paraId="615352F5" w14:textId="77777777" w:rsidR="00167BB0" w:rsidRPr="0044524F" w:rsidRDefault="00167BB0" w:rsidP="009654CF">
      <w:pPr>
        <w:pStyle w:val="ae"/>
        <w:shd w:val="clear" w:color="auto" w:fill="FFFFFF"/>
        <w:spacing w:before="0" w:after="0"/>
        <w:jc w:val="both"/>
        <w:textAlignment w:val="baseline"/>
        <w:rPr>
          <w:iCs/>
          <w:color w:val="000000" w:themeColor="text1"/>
          <w:sz w:val="16"/>
          <w:szCs w:val="16"/>
        </w:rPr>
      </w:pPr>
      <w:r w:rsidRPr="0044524F">
        <w:rPr>
          <w:iCs/>
          <w:color w:val="000000" w:themeColor="text1"/>
          <w:sz w:val="16"/>
          <w:szCs w:val="16"/>
          <w:bdr w:val="none" w:sz="0" w:space="0" w:color="auto" w:frame="1"/>
        </w:rPr>
        <w:t>«Маршалу Духачевскому,</w:t>
      </w:r>
    </w:p>
    <w:p w14:paraId="54A266E8" w14:textId="77777777" w:rsidR="00167BB0" w:rsidRPr="0044524F" w:rsidRDefault="00167BB0" w:rsidP="009654CF">
      <w:pPr>
        <w:pStyle w:val="ae"/>
        <w:shd w:val="clear" w:color="auto" w:fill="FFFFFF"/>
        <w:spacing w:before="0" w:after="0"/>
        <w:jc w:val="both"/>
        <w:textAlignment w:val="baseline"/>
        <w:rPr>
          <w:iCs/>
          <w:color w:val="000000" w:themeColor="text1"/>
          <w:sz w:val="16"/>
          <w:szCs w:val="16"/>
        </w:rPr>
      </w:pPr>
      <w:r w:rsidRPr="0044524F">
        <w:rPr>
          <w:iCs/>
          <w:color w:val="000000" w:themeColor="text1"/>
          <w:sz w:val="16"/>
          <w:szCs w:val="16"/>
          <w:bdr w:val="none" w:sz="0" w:space="0" w:color="auto" w:frame="1"/>
        </w:rPr>
        <w:t>Военное министерство,</w:t>
      </w:r>
    </w:p>
    <w:p w14:paraId="7552AD51" w14:textId="77777777" w:rsidR="00167BB0" w:rsidRPr="0044524F" w:rsidRDefault="00167BB0" w:rsidP="009654CF">
      <w:pPr>
        <w:pStyle w:val="ae"/>
        <w:shd w:val="clear" w:color="auto" w:fill="FFFFFF"/>
        <w:spacing w:before="0" w:after="0"/>
        <w:jc w:val="both"/>
        <w:textAlignment w:val="baseline"/>
        <w:rPr>
          <w:iCs/>
          <w:color w:val="000000" w:themeColor="text1"/>
          <w:sz w:val="16"/>
          <w:szCs w:val="16"/>
        </w:rPr>
      </w:pPr>
      <w:r w:rsidRPr="0044524F">
        <w:rPr>
          <w:iCs/>
          <w:color w:val="000000" w:themeColor="text1"/>
          <w:sz w:val="16"/>
          <w:szCs w:val="16"/>
          <w:bdr w:val="none" w:sz="0" w:space="0" w:color="auto" w:frame="1"/>
        </w:rPr>
        <w:t>Москва</w:t>
      </w:r>
    </w:p>
    <w:p w14:paraId="7FCFF0DC" w14:textId="77777777" w:rsidR="00167BB0" w:rsidRPr="0044524F" w:rsidRDefault="00167BB0" w:rsidP="009654CF">
      <w:pPr>
        <w:pStyle w:val="ae"/>
        <w:shd w:val="clear" w:color="auto" w:fill="FFFFFF"/>
        <w:spacing w:before="0" w:after="0"/>
        <w:jc w:val="both"/>
        <w:textAlignment w:val="baseline"/>
        <w:rPr>
          <w:iCs/>
          <w:color w:val="000000" w:themeColor="text1"/>
          <w:sz w:val="16"/>
          <w:szCs w:val="16"/>
        </w:rPr>
      </w:pPr>
      <w:r w:rsidRPr="0044524F">
        <w:rPr>
          <w:iCs/>
          <w:color w:val="000000" w:themeColor="text1"/>
          <w:sz w:val="16"/>
          <w:szCs w:val="16"/>
          <w:bdr w:val="none" w:sz="0" w:space="0" w:color="auto" w:frame="1"/>
        </w:rPr>
        <w:t>Уважаемый товарищ Духачевский!</w:t>
      </w:r>
    </w:p>
    <w:p w14:paraId="6758329D" w14:textId="77777777" w:rsidR="00167BB0" w:rsidRPr="0044524F" w:rsidRDefault="00167BB0" w:rsidP="009654CF">
      <w:pPr>
        <w:pStyle w:val="ae"/>
        <w:shd w:val="clear" w:color="auto" w:fill="FFFFFF"/>
        <w:spacing w:before="0" w:after="0"/>
        <w:jc w:val="both"/>
        <w:textAlignment w:val="baseline"/>
        <w:rPr>
          <w:iCs/>
          <w:color w:val="000000" w:themeColor="text1"/>
          <w:sz w:val="16"/>
          <w:szCs w:val="16"/>
        </w:rPr>
      </w:pPr>
      <w:r w:rsidRPr="0044524F">
        <w:rPr>
          <w:iCs/>
          <w:color w:val="000000" w:themeColor="text1"/>
          <w:sz w:val="16"/>
          <w:szCs w:val="16"/>
          <w:bdr w:val="none" w:sz="0" w:space="0" w:color="auto" w:frame="1"/>
        </w:rPr>
        <w:t>Полагая, что Вы помните мою работу в Ленинграде, а также конструктивные предложения относительно тяжёлого танка прорыва, прошу позволить мне отправить Вам два исправления в проекте большого танка-крепости (1000 тонн) в надежде привлечь Ваше внимание к этому новейшему средству защиты СССР. Разработка полностью готова, её вполне возможно реализовать и она является весьма ценной ввиду политических волнений и войны на востоке.</w:t>
      </w:r>
    </w:p>
    <w:p w14:paraId="3D9A9344" w14:textId="77777777" w:rsidR="00167BB0" w:rsidRPr="0044524F" w:rsidRDefault="00167BB0" w:rsidP="009654CF">
      <w:pPr>
        <w:pStyle w:val="ae"/>
        <w:shd w:val="clear" w:color="auto" w:fill="FFFFFF"/>
        <w:spacing w:before="0" w:after="0"/>
        <w:jc w:val="both"/>
        <w:textAlignment w:val="baseline"/>
        <w:rPr>
          <w:iCs/>
          <w:color w:val="000000" w:themeColor="text1"/>
          <w:sz w:val="16"/>
          <w:szCs w:val="16"/>
        </w:rPr>
      </w:pPr>
      <w:r w:rsidRPr="0044524F">
        <w:rPr>
          <w:iCs/>
          <w:color w:val="000000" w:themeColor="text1"/>
          <w:sz w:val="16"/>
          <w:szCs w:val="16"/>
          <w:bdr w:val="none" w:sz="0" w:space="0" w:color="auto" w:frame="1"/>
        </w:rPr>
        <w:t>К сожалению, со времени моего годичного пребывания в Москве личные отношения не развивались благополучным для меня образом. Трудности, препятствующие осуществлению моих планов, не дают мне возможности в будущем распылять усилия только в одном направлении.</w:t>
      </w:r>
    </w:p>
    <w:p w14:paraId="6E10768F" w14:textId="77777777" w:rsidR="00167BB0" w:rsidRPr="0044524F" w:rsidRDefault="00167BB0" w:rsidP="009654CF">
      <w:pPr>
        <w:pStyle w:val="ae"/>
        <w:shd w:val="clear" w:color="auto" w:fill="FFFFFF"/>
        <w:spacing w:before="0" w:after="0"/>
        <w:jc w:val="both"/>
        <w:textAlignment w:val="baseline"/>
        <w:rPr>
          <w:iCs/>
          <w:color w:val="000000" w:themeColor="text1"/>
          <w:sz w:val="16"/>
          <w:szCs w:val="16"/>
        </w:rPr>
      </w:pPr>
      <w:r w:rsidRPr="0044524F">
        <w:rPr>
          <w:iCs/>
          <w:color w:val="000000" w:themeColor="text1"/>
          <w:sz w:val="16"/>
          <w:szCs w:val="16"/>
          <w:bdr w:val="none" w:sz="0" w:space="0" w:color="auto" w:frame="1"/>
        </w:rPr>
        <w:t>Выражаю Вам благодарность за беседу при личной встрече, которой Вы меня удостоили ранее в Ленинграде.</w:t>
      </w:r>
    </w:p>
    <w:p w14:paraId="08A14A82" w14:textId="77777777" w:rsidR="00167BB0" w:rsidRPr="0044524F" w:rsidRDefault="00167BB0" w:rsidP="009654CF">
      <w:pPr>
        <w:pStyle w:val="ae"/>
        <w:shd w:val="clear" w:color="auto" w:fill="FFFFFF"/>
        <w:spacing w:before="0" w:after="0"/>
        <w:jc w:val="both"/>
        <w:textAlignment w:val="baseline"/>
        <w:rPr>
          <w:iCs/>
          <w:color w:val="000000" w:themeColor="text1"/>
          <w:sz w:val="16"/>
          <w:szCs w:val="16"/>
        </w:rPr>
      </w:pPr>
      <w:r w:rsidRPr="0044524F">
        <w:rPr>
          <w:iCs/>
          <w:color w:val="000000" w:themeColor="text1"/>
          <w:sz w:val="16"/>
          <w:szCs w:val="16"/>
          <w:bdr w:val="none" w:sz="0" w:space="0" w:color="auto" w:frame="1"/>
        </w:rPr>
        <w:t>С глубоким почтением,преданный Вам</w:t>
      </w:r>
    </w:p>
    <w:p w14:paraId="2EB408C3" w14:textId="77777777" w:rsidR="00167BB0" w:rsidRPr="0044524F" w:rsidRDefault="00167BB0" w:rsidP="009654CF">
      <w:pPr>
        <w:pStyle w:val="ae"/>
        <w:shd w:val="clear" w:color="auto" w:fill="FFFFFF"/>
        <w:spacing w:before="0" w:after="0"/>
        <w:jc w:val="both"/>
        <w:textAlignment w:val="baseline"/>
        <w:rPr>
          <w:iCs/>
          <w:color w:val="000000" w:themeColor="text1"/>
          <w:sz w:val="16"/>
          <w:szCs w:val="16"/>
        </w:rPr>
      </w:pPr>
      <w:r w:rsidRPr="0044524F">
        <w:rPr>
          <w:iCs/>
          <w:color w:val="000000" w:themeColor="text1"/>
          <w:sz w:val="16"/>
          <w:szCs w:val="16"/>
          <w:bdr w:val="none" w:sz="0" w:space="0" w:color="auto" w:frame="1"/>
        </w:rPr>
        <w:t>Эдвард Гроте</w:t>
      </w:r>
    </w:p>
    <w:p w14:paraId="4BC0E8C5" w14:textId="77777777" w:rsidR="00167BB0" w:rsidRPr="0044524F" w:rsidRDefault="00167BB0" w:rsidP="009654CF">
      <w:pPr>
        <w:pStyle w:val="ae"/>
        <w:shd w:val="clear" w:color="auto" w:fill="FFFFFF"/>
        <w:spacing w:before="0" w:after="0"/>
        <w:jc w:val="both"/>
        <w:textAlignment w:val="baseline"/>
        <w:rPr>
          <w:iCs/>
          <w:color w:val="000000" w:themeColor="text1"/>
          <w:sz w:val="16"/>
          <w:szCs w:val="16"/>
        </w:rPr>
      </w:pPr>
      <w:r w:rsidRPr="0044524F">
        <w:rPr>
          <w:iCs/>
          <w:color w:val="000000" w:themeColor="text1"/>
          <w:sz w:val="16"/>
          <w:szCs w:val="16"/>
          <w:bdr w:val="none" w:sz="0" w:space="0" w:color="auto" w:frame="1"/>
        </w:rPr>
        <w:t>Э. Гроте, ОКГ, «Спецмаштрест»»</w:t>
      </w:r>
    </w:p>
    <w:p w14:paraId="42AEB5CB" w14:textId="77777777" w:rsidR="00167BB0" w:rsidRPr="0044524F" w:rsidRDefault="00167BB0"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К письму Гроте приложил эскизы «танка-крепости» в двух вариантах. В первом, наиболее известном варианте, танк предполагалось сделать шестибашенным. В башне главного калибра размещалось два орудия калибра 305 мм, в двух носовых башнях находились по два орудия калибра 152 мм в каждом, по бортам предусматривалось две башни, в каждой из которых стояло по паре пушек калибра 76 мм, сзади стояла башня с двумя 45-мм пушками, которые предполагалось использовать как зенитные. Второй вариант отличался тем, что число башен было сокращено до четырёх, соответственно, спаренные установки 76-мм пушек отсутствовали. Поскольку было понятно, что обычная гусеница не выдержит такой нагрузки, гусеницы предусматривались строенными</w:t>
      </w:r>
    </w:p>
    <w:p w14:paraId="4380F99F" w14:textId="77777777" w:rsidR="00167BB0" w:rsidRPr="0044524F" w:rsidRDefault="00167BB0"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Об этом проекте почти ничего не известно, кроме краткой переписки и пары эскизов — но это если использовать советские источники. В Германии выходил. Нередко на его страницах печатались материалы немецких конструкторов (19738).</w:t>
      </w:r>
    </w:p>
    <w:p w14:paraId="45F5308A" w14:textId="77777777" w:rsidR="00167BB0" w:rsidRPr="0044524F" w:rsidRDefault="00167BB0" w:rsidP="009654CF">
      <w:pPr>
        <w:spacing w:after="0" w:line="240" w:lineRule="auto"/>
        <w:jc w:val="both"/>
        <w:rPr>
          <w:rFonts w:ascii="Times New Roman" w:hAnsi="Times New Roman"/>
          <w:color w:val="000000" w:themeColor="text1"/>
          <w:sz w:val="16"/>
          <w:szCs w:val="16"/>
        </w:rPr>
      </w:pPr>
    </w:p>
    <w:p w14:paraId="6A53E78F"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FE75974"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595F7E52" w14:textId="77777777" w:rsidR="00933F24" w:rsidRPr="0044524F" w:rsidRDefault="00933F24"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5 марта</w:t>
      </w:r>
      <w:r w:rsidRPr="0044524F">
        <w:rPr>
          <w:rFonts w:ascii="Times New Roman" w:hAnsi="Times New Roman"/>
          <w:color w:val="000000" w:themeColor="text1"/>
          <w:sz w:val="16"/>
          <w:szCs w:val="16"/>
        </w:rPr>
        <w:t xml:space="preserve"> в 1933 году в США президент Рузвельт назначает на 9 марта специальное заседание конгресса и объявляет о закрытии всех банков с 6 по 9 марта (15059).</w:t>
      </w:r>
    </w:p>
    <w:p w14:paraId="3F7DFF0F" w14:textId="77777777" w:rsidR="00933F24" w:rsidRPr="0044524F" w:rsidRDefault="00933F24" w:rsidP="009654CF">
      <w:pPr>
        <w:spacing w:after="0" w:line="240" w:lineRule="auto"/>
        <w:jc w:val="both"/>
        <w:rPr>
          <w:rFonts w:ascii="Times New Roman" w:hAnsi="Times New Roman"/>
          <w:color w:val="000000" w:themeColor="text1"/>
          <w:sz w:val="16"/>
          <w:szCs w:val="16"/>
        </w:rPr>
      </w:pPr>
    </w:p>
    <w:p w14:paraId="5FAEB22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5 марта 1933 Ф.Рузвельт приказал ввести 4 дневный перерыв в работе банков для того, чтобы предотвратить отток денег (2100).</w:t>
      </w:r>
    </w:p>
    <w:p w14:paraId="4BF62603"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3D1D2DBD"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на выборах в Германии победили нацисты (4962).</w:t>
      </w:r>
    </w:p>
    <w:p w14:paraId="23706DAD"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p>
    <w:p w14:paraId="2B2C3A4D" w14:textId="77777777" w:rsidR="00933F24" w:rsidRPr="0044524F" w:rsidRDefault="00933F24"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5 марта</w:t>
      </w:r>
      <w:r w:rsidRPr="0044524F">
        <w:rPr>
          <w:rFonts w:ascii="Times New Roman" w:hAnsi="Times New Roman"/>
          <w:color w:val="000000" w:themeColor="text1"/>
          <w:sz w:val="16"/>
          <w:szCs w:val="16"/>
        </w:rPr>
        <w:t xml:space="preserve"> в 1933 году на выборах в Германии победили нацисты. Они получили 288 мест в рейхстаге. С учётом примкнувшей партии националистов нацисты получили 55 процентов голосов и, как ни парадоксально, тоталитаризм пришёл к власти демократическим путём. Вскоре нацисты примут чрезвычайные законы, отменят многие гражданские свободы, лишат рейхстаг (парламент) законодательной власти, распустят профсоюзы и запретят все остальные партии «до особого распоряжения» (15059).</w:t>
      </w:r>
    </w:p>
    <w:p w14:paraId="5AC55524" w14:textId="77777777" w:rsidR="00933F24" w:rsidRPr="0044524F" w:rsidRDefault="00933F24" w:rsidP="009654CF">
      <w:pPr>
        <w:spacing w:after="0" w:line="240" w:lineRule="auto"/>
        <w:jc w:val="both"/>
        <w:rPr>
          <w:rFonts w:ascii="Times New Roman" w:hAnsi="Times New Roman"/>
          <w:color w:val="000000" w:themeColor="text1"/>
          <w:sz w:val="16"/>
          <w:szCs w:val="16"/>
        </w:rPr>
      </w:pPr>
    </w:p>
    <w:p w14:paraId="5F60369E"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г. были проведены назначенные на первом заседании правительства Гитлера еще одни внеочередные, на этот раз последние выборы в райхстаг. НСДАП получила на них 17,2 млн. голосов (288 мандатов), СДПГ — 7,1 млн., КПГ — 4,9 млн. (соответственно 120 и 81 мандат). Однако уже 15 марта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райхстага как высшего законодательного органа страны (19269).</w:t>
      </w:r>
    </w:p>
    <w:p w14:paraId="091C44DC" w14:textId="77777777" w:rsidR="00167BB0" w:rsidRPr="0044524F" w:rsidRDefault="00167BB0" w:rsidP="009654CF">
      <w:pPr>
        <w:spacing w:after="0" w:line="240" w:lineRule="auto"/>
        <w:jc w:val="both"/>
        <w:rPr>
          <w:rFonts w:ascii="Times New Roman" w:hAnsi="Times New Roman"/>
          <w:color w:val="000000" w:themeColor="text1"/>
          <w:sz w:val="16"/>
          <w:szCs w:val="16"/>
        </w:rPr>
      </w:pPr>
    </w:p>
    <w:p w14:paraId="1C8A704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г. были проведены назначенные на первом заседании правительства Гитлера еще одни внеочередные, на этот раз последние выборы в райхстаг. НСДАП получила на них 17,2 млн. голосов (288 мандатов), СДПГ — 7,1 млн., КПГ — 4,9 млн. (соответственно 120 и 81 мандат). Однако уже 15 марта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райхстага как высшего законодательного органа страны. «Имперские законы могут издаваться имперским правительством», — говорилось в этом законе (Dokumente der deutschen Politik. Bd. l, Berlin 1942. S. 61.). Поддерживать отношения с режимом, выступавшим с крайних позиций антикоммунизма, антисоветизма и антисемитизма и установившим в короткий срок жесточайший террор внутри страны, Москва не решилась. Военного министра Бломберга (Крестинский называл его «наш друг» и «дружественный человек» (АВП РФ, ф. 05, оп. 9, п. 45, д. 32, л. 114.)) она вряд ли могла — в отличие от Шляйхера — рассматривать как гаранта сохранения прежнего качества отношений между СССР и Германией. И хотя Гитлер в своем правительственном заявлении в райхстаге 23 марта 1933 г. заявил о своих намерениях «сохранить дружеские отношения с СССР» негативное отношение советских лидеров к Гитлеру не ослабло (11784).</w:t>
      </w:r>
    </w:p>
    <w:p w14:paraId="060160A2"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7DE4D35B"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5 марта 1933 года, в день последних демократических и последних в жизни Гитлера выборов, этот народ выразил свою волю на избирательных участках. Несмотря на террор и запугивание, большая его часть отвергла Гитлера. Правда, нацисты набрали больше всех голосов - 17 277 180 (рост на 5, 5 миллиона), но это составило всего 44 процента общего числа проголосовавших. Большинство было настроено явно против Гитлера. Партия "Центр", как ни мешали ей преследования и запреты, набрала на этих выборах больше голосов, чем на предыдущих (4424900 против 4230600), а вместе с католической народной партией Баварии за нее проголосовали 5, 5 миллиона человек. Даже социал-демократы сохранили свое положение второй по численности партии, набрав 7 181 629 голосов (уменьшение на 70 тысяч). Коммунисты потеряли миллион сторонников, и все же за них проголосовали 4 848 058 избирателей. Националисты во главе с Папеном и Гугенбергом сильно обманулись в своих ожиданиях, набрав только 3 136 760 голосов (рост меньше чем на 200 тысяч), или 8 процентов общего числа голосовавших.</w:t>
      </w:r>
    </w:p>
    <w:p w14:paraId="4E8D4637" w14:textId="77777777" w:rsidR="007C00E8" w:rsidRPr="0044524F" w:rsidRDefault="007C00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Тем не менее 52 депутатских места националистов плюс 288 мест нацистов давали правительству парламентское большинство (перевес в 16 мест). Этого, наверное, было достаточно для осуществления повседневных функций правительства, но далеко не достаточно для того, чтобы Гитлер мог провести в жизнь свой новый дерзкий план - установить при поддержке парламента личную диктатуру (17283).</w:t>
      </w:r>
    </w:p>
    <w:p w14:paraId="1CCB8513" w14:textId="77777777" w:rsidR="007C00E8" w:rsidRPr="0044524F" w:rsidRDefault="007C00E8" w:rsidP="009654CF">
      <w:pPr>
        <w:spacing w:after="0" w:line="240" w:lineRule="auto"/>
        <w:jc w:val="both"/>
        <w:rPr>
          <w:rFonts w:ascii="Times New Roman" w:hAnsi="Times New Roman"/>
          <w:color w:val="000000" w:themeColor="text1"/>
          <w:sz w:val="16"/>
          <w:szCs w:val="16"/>
        </w:rPr>
      </w:pPr>
    </w:p>
    <w:p w14:paraId="46BCDC41"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65A85D9"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69CDC6A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проводилась стрельба (ДРП с Изет) )в воздухе над полигоном УВВС - Монино с посадками для зарядки на аэродром НИИ в Щелково. В канал ствола был заложен 1 патрон и в магазин 3 патрона. Взлет был сделан с аэродрома НИИ в Щелково и испытания стрельбой - над полигоном в Монино. Все 4 выстрела были нормальные, с автоматической перезарядкой. После посадки на аэродроме в канал ствола был заложен один и в магазин - 5 патронов. При стрельбе был сделан 1 выстрел. Перезарядки не последовало, отказал перезаряжающий механизм. При осмотре системы на земле был обнаружен разрегулированный стопорный винт питающей рейки. исправление механизма было выполнено в течение 10 мин. Самолет после посадки на аэродроме в Щелково сделал перелет в Москву (2303,5).</w:t>
      </w:r>
    </w:p>
    <w:p w14:paraId="164BA375"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6ECA735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С.П.К. руководил испытаниями камеры сгорания ракеты ГИРД-09 (см. Приложение 1). До 5 августа 1933 г. проведены 22 испытания (ААН, р. 4, оп. 14, № 50) (10676).</w:t>
      </w:r>
    </w:p>
    <w:p w14:paraId="67B83835"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2151347A"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3570363"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7C29C959" w14:textId="77777777" w:rsidR="00F42404" w:rsidRPr="0044524F" w:rsidRDefault="00F42404"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года бронеавтомобиль поступил на НИБТ полигон, где до конца июля проходил испытания, показав</w:t>
      </w:r>
      <w:r w:rsidRPr="0044524F">
        <w:rPr>
          <w:rFonts w:ascii="Times New Roman" w:hAnsi="Times New Roman"/>
          <w:color w:val="000000" w:themeColor="text1"/>
          <w:sz w:val="16"/>
          <w:szCs w:val="16"/>
        </w:rPr>
        <w:softHyphen/>
        <w:t>шие неплохие результаты — максимальная скорость ФАИ составила 85 км/ч, запас хода по шоссе 210 км, по проселку до 120 км, броневик уверенно двигался по фунтовым и за</w:t>
      </w:r>
      <w:r w:rsidRPr="0044524F">
        <w:rPr>
          <w:rFonts w:ascii="Times New Roman" w:hAnsi="Times New Roman"/>
          <w:color w:val="000000" w:themeColor="text1"/>
          <w:sz w:val="16"/>
          <w:szCs w:val="16"/>
        </w:rPr>
        <w:softHyphen/>
        <w:t>снеженным дорогам. По результатам испытаний был со</w:t>
      </w:r>
      <w:r w:rsidRPr="0044524F">
        <w:rPr>
          <w:rFonts w:ascii="Times New Roman" w:hAnsi="Times New Roman"/>
          <w:color w:val="000000" w:themeColor="text1"/>
          <w:sz w:val="16"/>
          <w:szCs w:val="16"/>
        </w:rPr>
        <w:softHyphen/>
        <w:t>ставлен перечень изменений, которые предполагалось вне</w:t>
      </w:r>
      <w:r w:rsidRPr="0044524F">
        <w:rPr>
          <w:rFonts w:ascii="Times New Roman" w:hAnsi="Times New Roman"/>
          <w:color w:val="000000" w:themeColor="text1"/>
          <w:sz w:val="16"/>
          <w:szCs w:val="16"/>
        </w:rPr>
        <w:softHyphen/>
        <w:t>сти в конструкцию в ходе серийного производства (11284).</w:t>
      </w:r>
    </w:p>
    <w:p w14:paraId="6A1E5A1C" w14:textId="77777777" w:rsidR="00F42404" w:rsidRPr="0044524F" w:rsidRDefault="00F42404" w:rsidP="009654CF">
      <w:pPr>
        <w:shd w:val="clear" w:color="auto" w:fill="FFFFFF"/>
        <w:spacing w:after="0" w:line="240" w:lineRule="auto"/>
        <w:jc w:val="both"/>
        <w:rPr>
          <w:rFonts w:ascii="Times New Roman" w:hAnsi="Times New Roman"/>
          <w:color w:val="000000" w:themeColor="text1"/>
          <w:sz w:val="16"/>
          <w:szCs w:val="16"/>
        </w:rPr>
      </w:pPr>
    </w:p>
    <w:p w14:paraId="2973CAE6"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A3BB484"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3F89196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сторонники А.Гитлера и союзники нацистов получили большинство в Рейхстаге (2100).</w:t>
      </w:r>
    </w:p>
    <w:p w14:paraId="09A12C8A"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0736579E" w14:textId="77777777" w:rsidR="00150BD8" w:rsidRPr="0044524F" w:rsidRDefault="00150BD8" w:rsidP="009654CF">
      <w:pPr>
        <w:pStyle w:val="ae"/>
        <w:spacing w:before="0" w:after="0"/>
        <w:jc w:val="both"/>
        <w:rPr>
          <w:color w:val="000000" w:themeColor="text1"/>
          <w:sz w:val="16"/>
          <w:szCs w:val="16"/>
        </w:rPr>
      </w:pPr>
      <w:hyperlink r:id="rId94" w:tooltip="5 марта" w:history="1">
        <w:r w:rsidRPr="0044524F">
          <w:rPr>
            <w:rStyle w:val="a5"/>
            <w:color w:val="000000" w:themeColor="text1"/>
            <w:sz w:val="16"/>
            <w:szCs w:val="16"/>
            <w:u w:val="none"/>
          </w:rPr>
          <w:t>5 марта</w:t>
        </w:r>
      </w:hyperlink>
      <w:hyperlink r:id="rId95" w:tooltip="1933 год" w:history="1">
        <w:r w:rsidRPr="0044524F">
          <w:rPr>
            <w:rStyle w:val="highlight1"/>
            <w:b w:val="0"/>
            <w:color w:val="000000" w:themeColor="text1"/>
            <w:sz w:val="16"/>
            <w:szCs w:val="16"/>
          </w:rPr>
          <w:t> 1933 </w:t>
        </w:r>
      </w:hyperlink>
      <w:r w:rsidRPr="0044524F">
        <w:rPr>
          <w:color w:val="000000" w:themeColor="text1"/>
          <w:sz w:val="16"/>
          <w:szCs w:val="16"/>
        </w:rPr>
        <w:t xml:space="preserve"> года на </w:t>
      </w:r>
      <w:hyperlink r:id="rId96" w:tooltip="Парламентские выборы в Германии (1933, март)" w:history="1">
        <w:r w:rsidRPr="0044524F">
          <w:rPr>
            <w:rStyle w:val="a5"/>
            <w:color w:val="000000" w:themeColor="text1"/>
            <w:sz w:val="16"/>
            <w:szCs w:val="16"/>
            <w:u w:val="none"/>
          </w:rPr>
          <w:t>выборах в рейхстаг</w:t>
        </w:r>
      </w:hyperlink>
      <w:r w:rsidRPr="0044524F">
        <w:rPr>
          <w:color w:val="000000" w:themeColor="text1"/>
          <w:sz w:val="16"/>
          <w:szCs w:val="16"/>
        </w:rPr>
        <w:t xml:space="preserve"> НСДАП по официальным данным набрала 17,3 миллиона голосов — примерно на 3 миллиона меньше, чем требовалось, чтобы иметь в рейхстаге 50 % голосов (17274).</w:t>
      </w:r>
    </w:p>
    <w:p w14:paraId="4ACC05B0" w14:textId="77777777" w:rsidR="00150BD8" w:rsidRPr="0044524F" w:rsidRDefault="00150BD8" w:rsidP="009654CF">
      <w:pPr>
        <w:spacing w:after="0" w:line="240" w:lineRule="auto"/>
        <w:jc w:val="both"/>
        <w:rPr>
          <w:rFonts w:ascii="Times New Roman" w:hAnsi="Times New Roman"/>
          <w:color w:val="000000" w:themeColor="text1"/>
          <w:sz w:val="16"/>
          <w:szCs w:val="16"/>
        </w:rPr>
      </w:pPr>
    </w:p>
    <w:p w14:paraId="1003211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г. в атмосфере всеобщего страха перед якобы наступающим политическим хаосом на выборах в рейхстаг Национал-социалистическая партия одержала победу. Гитлер был вновь назначен канцлером (3871).</w:t>
      </w:r>
    </w:p>
    <w:p w14:paraId="6319DF6D"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729D318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года, едва только сведения о победе нацистов на выборах в Германии просочились в печать, польские войска развернули демонстративные военные учения на границах с Германией. Пилсудский фактически потребовал от Берлина объяснений по поводу его будущей внешнеполитической линии. Реакция Берлина была быстрой и конструктивной. Германия сразу же согласилась совместно с Польшей "беспристрастно изучить проблемы, представляющие угрозу для общих интересов обеих стран" (3871).</w:t>
      </w:r>
    </w:p>
    <w:p w14:paraId="138245EA"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07C0E047"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D68B519"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3E8A2508"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марта 1933 г. Президиум ЦКК и комиссия при ЦКИ СССР издали специальное постановление «О состоянии ХАЗ» (харьковского авиазавода №135 – авт.), в котором указали на необходимость соблюдения трудовой субординации и подтвердили возможность перейти на другую работу для тех, кто не согласен с технической политикой руководства завода ХАЗОС (23561).</w:t>
      </w:r>
    </w:p>
    <w:p w14:paraId="54BB81A4" w14:textId="77777777" w:rsidR="00B26E21" w:rsidRPr="0044524F" w:rsidRDefault="00B26E21" w:rsidP="009654CF">
      <w:pPr>
        <w:spacing w:after="0" w:line="240" w:lineRule="auto"/>
        <w:jc w:val="both"/>
        <w:rPr>
          <w:rFonts w:ascii="Times New Roman" w:hAnsi="Times New Roman"/>
          <w:color w:val="000000" w:themeColor="text1"/>
          <w:sz w:val="16"/>
          <w:szCs w:val="16"/>
        </w:rPr>
      </w:pPr>
    </w:p>
    <w:p w14:paraId="04F8477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марта 1933 Харламов совместно с Шумилиным прибыл в Париж для переговоров с фирмой Рато по поводу нагнетателя Рато для М-34. Переговоры велись с 1931 и Рато согласилась сделать нагнетатель на высотность 8000 м. 8 апреля 1932 Рато дала предложение на поставку 20 нагнетателей, но ответа не получила и решала, что мы отказались. Начав переговоры 8 марта с трудом восстановили отношения. Получили новое предложение 10 марта 1933 (2304,20).</w:t>
      </w:r>
    </w:p>
    <w:p w14:paraId="43DB6438"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52A0A211"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7764B53"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1034B79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6 марта 1933 года в войсках имелось 7 203-мм гаубиц Б-4 (видимо, все ММ) (3861).</w:t>
      </w:r>
    </w:p>
    <w:p w14:paraId="51743994"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72D1CA2A" w14:textId="77777777" w:rsidR="002E1BE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545A092" w14:textId="77777777" w:rsidR="002E1BE7" w:rsidRPr="0044524F" w:rsidRDefault="002E1BE7" w:rsidP="009654CF">
      <w:pPr>
        <w:spacing w:after="0" w:line="240" w:lineRule="auto"/>
        <w:jc w:val="both"/>
        <w:rPr>
          <w:rFonts w:ascii="Times New Roman" w:hAnsi="Times New Roman"/>
          <w:iCs/>
          <w:color w:val="000000" w:themeColor="text1"/>
          <w:sz w:val="16"/>
          <w:szCs w:val="16"/>
        </w:rPr>
      </w:pPr>
    </w:p>
    <w:p w14:paraId="0B2DEFDD" w14:textId="77777777" w:rsidR="002E1BE7" w:rsidRPr="0044524F" w:rsidRDefault="002E1BE7" w:rsidP="009654CF">
      <w:pPr>
        <w:pStyle w:val="ae"/>
        <w:spacing w:before="0" w:after="0"/>
        <w:jc w:val="both"/>
        <w:rPr>
          <w:color w:val="000000" w:themeColor="text1"/>
          <w:sz w:val="16"/>
          <w:szCs w:val="16"/>
        </w:rPr>
      </w:pPr>
      <w:r w:rsidRPr="0044524F">
        <w:rPr>
          <w:color w:val="000000" w:themeColor="text1"/>
          <w:sz w:val="16"/>
          <w:szCs w:val="16"/>
        </w:rPr>
        <w:t>В начале марта 1933 на Ковровском заводе прошли митинги протеста против фашистского террора в Германии и арестов Э. Тельмана и других лидеров германской компартии.</w:t>
      </w:r>
    </w:p>
    <w:p w14:paraId="7C579745" w14:textId="77777777" w:rsidR="002E1BE7" w:rsidRPr="0044524F" w:rsidRDefault="002E1BE7" w:rsidP="009654CF">
      <w:pPr>
        <w:pStyle w:val="ae"/>
        <w:spacing w:before="0" w:after="0"/>
        <w:jc w:val="both"/>
        <w:rPr>
          <w:color w:val="000000" w:themeColor="text1"/>
          <w:sz w:val="16"/>
          <w:szCs w:val="16"/>
        </w:rPr>
      </w:pPr>
      <w:r w:rsidRPr="0044524F">
        <w:rPr>
          <w:color w:val="000000" w:themeColor="text1"/>
          <w:sz w:val="16"/>
          <w:szCs w:val="16"/>
        </w:rPr>
        <w:lastRenderedPageBreak/>
        <w:t>Испытания образцов 12,7-мм пулемета ДАК-32 по схеме ДК с приемником конструкции Шпагина. По результатам испытаний, образцы подлежали доработке, но к ней удалось приступить только после отработки основного образца пулемета ДШК, в 1937 году.</w:t>
      </w:r>
    </w:p>
    <w:p w14:paraId="475335CA" w14:textId="77777777" w:rsidR="002E1BE7" w:rsidRPr="0044524F" w:rsidRDefault="002E1BE7" w:rsidP="009654CF">
      <w:pPr>
        <w:pStyle w:val="ae"/>
        <w:spacing w:before="0" w:after="0"/>
        <w:jc w:val="both"/>
        <w:rPr>
          <w:color w:val="000000" w:themeColor="text1"/>
          <w:sz w:val="16"/>
          <w:szCs w:val="16"/>
        </w:rPr>
      </w:pPr>
      <w:r w:rsidRPr="0044524F">
        <w:rPr>
          <w:color w:val="000000" w:themeColor="text1"/>
          <w:sz w:val="16"/>
          <w:szCs w:val="16"/>
        </w:rPr>
        <w:t>И.Н. Колесников разработал легкий универсальный треножный станок массой 12 кг для пулемета ДП, универсальный колесно-треножный станок для пулемета ДС.</w:t>
      </w:r>
    </w:p>
    <w:p w14:paraId="5E436CCF" w14:textId="77777777" w:rsidR="002E1BE7" w:rsidRPr="0044524F" w:rsidRDefault="002E1BE7" w:rsidP="009654CF">
      <w:pPr>
        <w:pStyle w:val="ae"/>
        <w:spacing w:before="0" w:after="0"/>
        <w:jc w:val="both"/>
        <w:rPr>
          <w:color w:val="000000" w:themeColor="text1"/>
          <w:sz w:val="16"/>
          <w:szCs w:val="16"/>
        </w:rPr>
      </w:pPr>
      <w:r w:rsidRPr="0044524F">
        <w:rPr>
          <w:color w:val="000000" w:themeColor="text1"/>
          <w:sz w:val="16"/>
          <w:szCs w:val="16"/>
        </w:rPr>
        <w:t>Ведется разработка крупнокалиберного пулемета ШВАК. Его создал на базе 7,62-мм авиационного пулемета ШКАС конструктор СВ. Владимиров.</w:t>
      </w:r>
    </w:p>
    <w:p w14:paraId="5BB226A7" w14:textId="77777777" w:rsidR="002E1BE7" w:rsidRPr="0044524F" w:rsidRDefault="002E1BE7" w:rsidP="009654CF">
      <w:pPr>
        <w:pStyle w:val="ae"/>
        <w:spacing w:before="0" w:after="0"/>
        <w:jc w:val="both"/>
        <w:rPr>
          <w:color w:val="000000" w:themeColor="text1"/>
          <w:sz w:val="16"/>
          <w:szCs w:val="16"/>
        </w:rPr>
      </w:pPr>
      <w:r w:rsidRPr="0044524F">
        <w:rPr>
          <w:color w:val="000000" w:themeColor="text1"/>
          <w:sz w:val="16"/>
          <w:szCs w:val="16"/>
        </w:rPr>
        <w:t>Инженер-изобретатель М.С. Лазарев начал исследовательские работы по стрелковому вооружению. Он впервые стал заниматься выдавливанием (дорнованием) нарезов в канале. Сначала опыты были неудачными, но Лазарев добился своего. Уже в начале войны дорнозание почти полностью вытеснило старую дедовскую строжку (12221).</w:t>
      </w:r>
    </w:p>
    <w:p w14:paraId="5C81AC42" w14:textId="77777777" w:rsidR="002E1BE7" w:rsidRPr="0044524F" w:rsidRDefault="002E1BE7" w:rsidP="009654CF">
      <w:pPr>
        <w:pStyle w:val="ae"/>
        <w:spacing w:before="0" w:after="0"/>
        <w:jc w:val="both"/>
        <w:rPr>
          <w:color w:val="000000" w:themeColor="text1"/>
          <w:sz w:val="16"/>
          <w:szCs w:val="16"/>
        </w:rPr>
      </w:pPr>
    </w:p>
    <w:p w14:paraId="63BE1216" w14:textId="77777777" w:rsidR="00080504" w:rsidRPr="00142305" w:rsidRDefault="00080504" w:rsidP="0008050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марта 1933 г. в Реввоен</w:t>
      </w:r>
      <w:r w:rsidRPr="00142305">
        <w:rPr>
          <w:rFonts w:ascii="Times New Roman" w:hAnsi="Times New Roman"/>
          <w:color w:val="0070C0"/>
          <w:sz w:val="16"/>
          <w:szCs w:val="16"/>
        </w:rPr>
        <w:softHyphen/>
        <w:t>совет было на</w:t>
      </w:r>
      <w:r w:rsidRPr="00142305">
        <w:rPr>
          <w:rFonts w:ascii="Times New Roman" w:hAnsi="Times New Roman"/>
          <w:color w:val="0070C0"/>
          <w:sz w:val="16"/>
          <w:szCs w:val="16"/>
        </w:rPr>
        <w:softHyphen/>
        <w:t>правлено письмо заместителя наркома обороны СССР М. Тухачевского:</w:t>
      </w:r>
    </w:p>
    <w:p w14:paraId="0DC8BE72" w14:textId="77777777" w:rsidR="00080504" w:rsidRPr="00142305" w:rsidRDefault="00080504" w:rsidP="0008050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На ХПЗ и заводе имени Ворошило</w:t>
      </w:r>
      <w:r w:rsidRPr="00142305">
        <w:rPr>
          <w:rFonts w:ascii="Times New Roman" w:hAnsi="Times New Roman"/>
          <w:color w:val="0070C0"/>
          <w:sz w:val="16"/>
          <w:szCs w:val="16"/>
        </w:rPr>
        <w:softHyphen/>
        <w:t>ва (он выпускал танки Т-26) находится около 700 машин, не сданных и не укомплектованных, за</w:t>
      </w:r>
      <w:r w:rsidRPr="00142305">
        <w:rPr>
          <w:rFonts w:ascii="Times New Roman" w:hAnsi="Times New Roman"/>
          <w:color w:val="0070C0"/>
          <w:sz w:val="16"/>
          <w:szCs w:val="16"/>
        </w:rPr>
        <w:softHyphen/>
        <w:t>биты все цеха, двор, и положение тако</w:t>
      </w:r>
      <w:r w:rsidRPr="00142305">
        <w:rPr>
          <w:rFonts w:ascii="Times New Roman" w:hAnsi="Times New Roman"/>
          <w:color w:val="0070C0"/>
          <w:sz w:val="16"/>
          <w:szCs w:val="16"/>
        </w:rPr>
        <w:softHyphen/>
        <w:t>во, что если же сейчас не начнется сдача машин — то это приведет к катастрофи</w:t>
      </w:r>
      <w:r w:rsidRPr="00142305">
        <w:rPr>
          <w:rFonts w:ascii="Times New Roman" w:hAnsi="Times New Roman"/>
          <w:color w:val="0070C0"/>
          <w:sz w:val="16"/>
          <w:szCs w:val="16"/>
        </w:rPr>
        <w:softHyphen/>
        <w:t>ческому положению на обеих заводах, ибо начнутся дожди, и все машины на</w:t>
      </w:r>
      <w:r w:rsidRPr="00142305">
        <w:rPr>
          <w:rFonts w:ascii="Times New Roman" w:hAnsi="Times New Roman"/>
          <w:color w:val="0070C0"/>
          <w:sz w:val="16"/>
          <w:szCs w:val="16"/>
        </w:rPr>
        <w:softHyphen/>
        <w:t>ходящиеся во дворе будут приведены в негодность и потребуют переделки.</w:t>
      </w:r>
    </w:p>
    <w:p w14:paraId="693ED6D4" w14:textId="77777777" w:rsidR="00080504" w:rsidRPr="00142305" w:rsidRDefault="00080504" w:rsidP="00080504">
      <w:pPr>
        <w:widowControl w:val="0"/>
        <w:tabs>
          <w:tab w:val="left" w:pos="44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Немедленно организовать специ</w:t>
      </w:r>
      <w:r w:rsidRPr="00142305">
        <w:rPr>
          <w:rFonts w:ascii="Times New Roman" w:hAnsi="Times New Roman"/>
          <w:color w:val="0070C0"/>
          <w:sz w:val="16"/>
          <w:szCs w:val="16"/>
        </w:rPr>
        <w:softHyphen/>
        <w:t>альные бригады для сдачи машин».</w:t>
      </w:r>
    </w:p>
    <w:p w14:paraId="2AC484CB" w14:textId="77777777" w:rsidR="00080504" w:rsidRPr="00142305" w:rsidRDefault="00080504" w:rsidP="0008050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Возможно, что это письмо сыграло свою роль — сдача танков заказчику ус</w:t>
      </w:r>
      <w:r w:rsidRPr="00142305">
        <w:rPr>
          <w:rFonts w:ascii="Times New Roman" w:hAnsi="Times New Roman"/>
          <w:color w:val="0070C0"/>
          <w:sz w:val="16"/>
          <w:szCs w:val="16"/>
        </w:rPr>
        <w:softHyphen/>
        <w:t>корилась (25009).</w:t>
      </w:r>
    </w:p>
    <w:p w14:paraId="50272A4D" w14:textId="77777777" w:rsidR="00080504" w:rsidRPr="00142305" w:rsidRDefault="00080504" w:rsidP="00080504">
      <w:pPr>
        <w:spacing w:after="0" w:line="240" w:lineRule="auto"/>
        <w:jc w:val="both"/>
        <w:rPr>
          <w:rFonts w:ascii="Times New Roman" w:hAnsi="Times New Roman"/>
          <w:color w:val="0070C0"/>
          <w:sz w:val="16"/>
          <w:szCs w:val="16"/>
        </w:rPr>
      </w:pPr>
    </w:p>
    <w:p w14:paraId="75BA46C6"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63A223A"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7F3FCE2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марта 1933 относится и приказ, подписанный, но не получивший номера, об организации ««Музея Строительства Волга-Москва» для всестороннего освещения экспонатами: а) общего значения Строительства, б) истории его, в) условий и обстановки, в которых оно протекает, г) техники производства изыскательных, проектировочных и строительных работ, д) работы по трудовому перевоспитанию заключенных. Для всестороннего использования опыта строительства Беломорско-Балтийского Водного Пути положить в основу организуемого Музея экспонаты б. «Музея Строительства Б.Б.В.П.»». Начальникам отделов Строительства и лагеря: Изыскательно-топографического, Гидрологического, Геологического, Проектного, Производственно, Механизации, Планово-экономического, КВО и Гидротехнической лаборатории, - предписывалось принять меры к обеспечению организуемого музея экспонатами. Согласно временному штату музея, подчиняемого начальнику Строительства, директором его назначался инженер Е. Е. Скорняков «в порядке совместительства с его должностью Нач. Модельно-Макетной мастерской», смотрителем - з/к Р. В. Волощак (7560).</w:t>
      </w:r>
    </w:p>
    <w:p w14:paraId="4DD3B7A2"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4E388E3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марта 1933 года ОГПУ сообщило, что только за один месяц 219 416 человек были задержаны при попытке уехать из деревень в ходе операций, призванных ограничить массовое бегство крестьян в города. 186 588 человек были возвращены на места проживания, многие арестованы и осуждены (10687).</w:t>
      </w:r>
    </w:p>
    <w:p w14:paraId="6AB43E40"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1FC50388"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425298F"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00B832C9"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марта 1933 было подготовлено заключение по испытаниям гидравлического управления тормозами колес размерами 1350х300 мм на самолете ТБ3 4М17с тормозными колесами. Неудачно и потом после устранения дефектов испытывался еще раз с 19 по 22 апреля 1933 (6638).</w:t>
      </w:r>
    </w:p>
    <w:p w14:paraId="358108B6"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p>
    <w:p w14:paraId="3237F0B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марта 1933 года инспектор ВВС Хрипин писал письмо № 25506сс наркому по военным и морским делам и председателю РВС</w:t>
      </w:r>
    </w:p>
    <w:p w14:paraId="271B073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невыполнении опытными организациями планов опытного самолетомоторостроения.</w:t>
      </w:r>
    </w:p>
    <w:p w14:paraId="52F13F5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w:t>
      </w:r>
    </w:p>
    <w:p w14:paraId="0C17F5C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Качественный рост наших самолетов находится в прямой зависимости от успешных работ наших конструкторских групп и опытных организаций. Между тем, работа основных опытных организаций: по самолетам ЦАГИ, и особенно, по моторам ЦИАМа за последние годы нельзя признать удовлетворительной, как в отношении качества, так и в смысле сроков постройки опытных самолетов и моторов.</w:t>
      </w:r>
    </w:p>
    <w:p w14:paraId="0E3D835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весь 1931 год, вместо следуемых по плану 10 моторов и 14 самолетов, было построено 4 мотора и 8 самолетов, из коих принят на вооружение ВВС только один мотор М-34 без нагнетателя и редуктора. Все восемь построенных в 1931 году самолетов (ДИ3, ТБ5, МДР2, МДР1, МДР3, МУ3, ДИ4 и И-12) не могли быть приняты на вооружение или вследствие низких летно-тактических качеств, или в силу конструктивных дефектов, настолько серьезных, что отдельные из этих самолетов (ДИ3, МДР3), не пройдя гос. испытаний, пошли на слом.</w:t>
      </w:r>
    </w:p>
    <w:p w14:paraId="68E4F14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1932 год из следуемых по плану 14 моторов и 10 самолетов на 1 января 1933 года было закончено постройкой 5 моторов (М34 с редуктором, ГМ34 с реверсом, М38 с нагнетателем, М52 и М-58) и 2 самолета ТБ4 с 6М34 и МИ3 с 2 М34, но ни один из них до настоящего времени не предъявлен на гос. испытания.</w:t>
      </w:r>
    </w:p>
    <w:p w14:paraId="32092BF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Устанавливаемые Правительством сроки постройки опытных самолетов и моторов систематически срываются нашими опытными организвциями. Это явление приняло настолько хронический характер, что за истекшие 3 года не было ни одного случая предъявления в срок того или иного опытного образца, зато сплошь и рядом опоздания по отдельным моторам и самолетам достигают 1,5 – 2 лет. Вследствие этого многие образцы технически устаревают даже в процессе их постройки.</w:t>
      </w:r>
    </w:p>
    <w:p w14:paraId="24E8E0F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перечисленных явлений, первый план опытного строительства на 1930-1932 годы в большей своей части оказался не выполненным. Наши опытные организации за 1931 и 1932 годы не дали ВВС ни одного нового образца боевого самолета и всего лишь один мотор М-34, но без нагнетателя и редуктора.</w:t>
      </w:r>
    </w:p>
    <w:p w14:paraId="150B916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выполнение сроков постройки опытными организациями приняло настолько затяжной характер, что в данный момент имеется опасность подобных же срывов плана и в текущем году.</w:t>
      </w:r>
    </w:p>
    <w:p w14:paraId="77D66AF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новому плану опытного самолетостроения, утвержденному Правительством 4 июля 1932 года уже по 1 марта 1933 года опоздание против установленных сроков в общей сложности достигает по 29 объектам работ над моторами 100 месяцев и по 44 объектам работ над сухопутными и морскими самолетами – 60 месяцев.</w:t>
      </w:r>
    </w:p>
    <w:p w14:paraId="77D38A2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целью положить конец этому тяжелому положению с опытным строительством, со своей стороны считаю необходимым провести следующие мероприятия:</w:t>
      </w:r>
    </w:p>
    <w:p w14:paraId="0968125A" w14:textId="77777777" w:rsidR="00F42404" w:rsidRPr="0044524F" w:rsidRDefault="00F42404" w:rsidP="009654CF">
      <w:pPr>
        <w:numPr>
          <w:ilvl w:val="0"/>
          <w:numId w:val="11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общего количества опытных работ (299 по моторам и 44 по самолетам) отобрать наиболее важные, отнеся их в разряд ударных и первоочередных и на них ориентировать главные силы и средства опытных оганизаций.</w:t>
      </w:r>
    </w:p>
    <w:p w14:paraId="7894B6DF" w14:textId="77777777" w:rsidR="00F42404" w:rsidRPr="0044524F" w:rsidRDefault="00F42404" w:rsidP="009654CF">
      <w:pPr>
        <w:numPr>
          <w:ilvl w:val="0"/>
          <w:numId w:val="11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месячный срок УВВС ГУАПу пересмотреть сроки постройки опытных моторов и самолетов с целью достигнуть наиболее полной их реальности и сделать эти сроки безусловно обязательными для наших опытных организаций.</w:t>
      </w:r>
    </w:p>
    <w:p w14:paraId="7C388158" w14:textId="77777777" w:rsidR="00F42404" w:rsidRPr="0044524F" w:rsidRDefault="00F42404" w:rsidP="009654CF">
      <w:pPr>
        <w:numPr>
          <w:ilvl w:val="0"/>
          <w:numId w:val="11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неблагополучном положении с опытным самолетостроением довести до сведения Правительства с просьбой: а) расследовать причины, столь неблагоприятно отразившиеся на качестве и сроках опытных образцов за последние два года и б) внедрить в систему работы опытных организаций принципы хозрасчета.</w:t>
      </w:r>
    </w:p>
    <w:p w14:paraId="1EC70262" w14:textId="77777777" w:rsidR="00F42404" w:rsidRPr="0044524F" w:rsidRDefault="00F42404" w:rsidP="009654CF">
      <w:pPr>
        <w:numPr>
          <w:ilvl w:val="0"/>
          <w:numId w:val="11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первоочередности работ к числу важнейших опытных объектов предлагал бы отнести следующие работы:</w:t>
      </w:r>
    </w:p>
    <w:p w14:paraId="53B3355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моторам бензиновым:</w:t>
      </w:r>
    </w:p>
    <w:p w14:paraId="1D12B00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 максимально короткий срок и ценою каких -угодно затрат полностью разрешить проблему с нагнетателем к мотору М-34.</w:t>
      </w:r>
    </w:p>
    <w:p w14:paraId="70F82A2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Закончить постройку мотора М-34 с нагнетателем и редуктором.</w:t>
      </w:r>
    </w:p>
    <w:p w14:paraId="7B75EEA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Закончить постройку мотора М-38 с нагнетателем и редуктором.</w:t>
      </w:r>
    </w:p>
    <w:p w14:paraId="7652AB9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Форсировать работы над моторами М-58, М-44 и М-54 (900 л.с.).</w:t>
      </w:r>
    </w:p>
    <w:p w14:paraId="5C8D3E4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Быстрое и удачное завершение перечисленных работ над моторами позволит в короткий срок повысить летно-тактические качества всех наших самолетов, как опытных, так и многих, стоящих на вооружении.</w:t>
      </w:r>
    </w:p>
    <w:p w14:paraId="319B313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моторам тяжелого топлива</w:t>
      </w:r>
    </w:p>
    <w:p w14:paraId="29BAE0E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первую очередь форсировать работы над моторами:</w:t>
      </w:r>
    </w:p>
    <w:p w14:paraId="01527E9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в 600 л.с., Н-2 в 1000 л.с. и Н-5 – в 2000 л.с.</w:t>
      </w:r>
    </w:p>
    <w:p w14:paraId="54CF590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экспериментальным моторам:</w:t>
      </w:r>
    </w:p>
    <w:p w14:paraId="3197F44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Форсировать работы над паровыми турбинами в 3000 и 6000 л.с. и над винтом переменного шага.</w:t>
      </w:r>
    </w:p>
    <w:p w14:paraId="2D843C9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сухопутным самолетам</w:t>
      </w:r>
    </w:p>
    <w:p w14:paraId="45142D3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Ускорить начало и проведение испытаний ТБ4 с 6М34 и МИ3 с 2М34, ДИ4 и Z (Зет).</w:t>
      </w:r>
    </w:p>
    <w:p w14:paraId="3216723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Форсировать постройку:</w:t>
      </w:r>
    </w:p>
    <w:p w14:paraId="2228716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Тяжелых бомбардировщиков – ТБ4 с 6М34 – второго экземпляра, К7 с 7М34 и Д-1 с 12-ю М34</w:t>
      </w:r>
    </w:p>
    <w:p w14:paraId="0493A34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Штурмовиков – ТШ3 с М34 и Х1 с 2М34</w:t>
      </w:r>
    </w:p>
    <w:p w14:paraId="2EEBEEB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Крейсеров – К1 с 2М34</w:t>
      </w:r>
    </w:p>
    <w:p w14:paraId="2C31384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Двухместных истребителей – ДИ-6</w:t>
      </w:r>
    </w:p>
    <w:p w14:paraId="77498B5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Одноместных истребителей – И14 с М38 и И15 с М38</w:t>
      </w:r>
    </w:p>
    <w:p w14:paraId="5B731FE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экспериментальным самолетам – сверхвысотный, сверхскоростной, сверхдальний и летающее крыло</w:t>
      </w:r>
    </w:p>
    <w:p w14:paraId="6A9BF40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модифицируемым – ускорить испытания ТБ3 с 4М34, Р5 с М34, Р6 с увеличенными баками и Р5 с тормозными колесами и разрезными крыльями</w:t>
      </w:r>
    </w:p>
    <w:p w14:paraId="7BEC935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 морским самолетам</w:t>
      </w:r>
    </w:p>
    <w:p w14:paraId="3DDD6DA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Форсировать работы и установить срок предъявления на гос. испытания МДР3 бис с 3М34 и МБР5.</w:t>
      </w:r>
    </w:p>
    <w:p w14:paraId="72C4CC6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остальныеопытные объекты отнести к разряду второочередных.</w:t>
      </w:r>
    </w:p>
    <w:p w14:paraId="02E172DE" w14:textId="77777777" w:rsidR="00F42404" w:rsidRPr="0044524F" w:rsidRDefault="00F42404"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Пересмотреть систему вооружения и план опытного строительства ВВС на вторую пятилетку при обязательном условии одновременного расмотрения и полного согласования системы основного и воздушноартиллерийского вооружения, о чем я представлял Вам доклад от 25 января 1933 года за № 25502сс.</w:t>
      </w:r>
    </w:p>
    <w:p w14:paraId="1E006905" w14:textId="77777777" w:rsidR="00F42404" w:rsidRPr="0044524F" w:rsidRDefault="00F42404" w:rsidP="009654CF">
      <w:pPr>
        <w:pStyle w:val="24"/>
        <w:widowControl/>
        <w:rPr>
          <w:color w:val="000000" w:themeColor="text1"/>
        </w:rPr>
      </w:pPr>
      <w:r w:rsidRPr="0044524F">
        <w:rPr>
          <w:color w:val="000000" w:themeColor="text1"/>
        </w:rPr>
        <w:t>Разработку исчерпывающих предложений по этому вопросу возложить на УВВС, предоставив ему месячный срок.</w:t>
      </w:r>
    </w:p>
    <w:p w14:paraId="10C9AB6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Докладывая настоящие соображения, прошу Ваших указаний (7415, 30-33).</w:t>
      </w:r>
    </w:p>
    <w:p w14:paraId="23C15CF2"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4C17712D" w14:textId="77777777" w:rsidR="00AD1D3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A5DAD34" w14:textId="77777777" w:rsidR="00AD1D3C" w:rsidRPr="0044524F" w:rsidRDefault="00AD1D3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6CA8646" w14:textId="77777777" w:rsidR="00AD1D3C" w:rsidRPr="0044524F" w:rsidRDefault="00AD1D3C" w:rsidP="009654CF">
      <w:pPr>
        <w:pStyle w:val="rtejustify"/>
        <w:spacing w:before="0" w:after="0"/>
        <w:rPr>
          <w:color w:val="000000" w:themeColor="text1"/>
          <w:sz w:val="16"/>
          <w:szCs w:val="16"/>
        </w:rPr>
      </w:pPr>
      <w:r w:rsidRPr="0044524F">
        <w:rPr>
          <w:rStyle w:val="af0"/>
          <w:i w:val="0"/>
          <w:color w:val="000000" w:themeColor="text1"/>
          <w:sz w:val="16"/>
          <w:szCs w:val="16"/>
        </w:rPr>
        <w:t xml:space="preserve">7 марта 1933 г. </w:t>
      </w:r>
      <w:r w:rsidRPr="0044524F">
        <w:rPr>
          <w:color w:val="000000" w:themeColor="text1"/>
          <w:sz w:val="16"/>
          <w:szCs w:val="16"/>
        </w:rPr>
        <w:t>Докладная записка члена Реввоенсовета СССР¹* и начальника Военно-морских сил РККА В. М. Орлова наркому по военным и морским делам СССР К. Е. Ворошилову о ходе выполнения программы военно-морского судостроения</w:t>
      </w:r>
    </w:p>
    <w:p w14:paraId="128DF1DE" w14:textId="77777777" w:rsidR="00AD1D3C" w:rsidRPr="0044524F" w:rsidRDefault="00AD1D3C" w:rsidP="009654CF">
      <w:pPr>
        <w:pStyle w:val="rtejustify"/>
        <w:spacing w:before="0" w:after="0"/>
        <w:rPr>
          <w:color w:val="000000" w:themeColor="text1"/>
          <w:sz w:val="16"/>
          <w:szCs w:val="16"/>
        </w:rPr>
      </w:pPr>
      <w:r w:rsidRPr="0044524F">
        <w:rPr>
          <w:rStyle w:val="af0"/>
          <w:i w:val="0"/>
          <w:color w:val="000000" w:themeColor="text1"/>
          <w:sz w:val="16"/>
          <w:szCs w:val="16"/>
        </w:rPr>
        <w:t>Совершенно секретно.</w:t>
      </w:r>
    </w:p>
    <w:p w14:paraId="6A847B3B"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Постановление правительства (КО)²* от 14 ноября 1931 г.,³* определившее программу военно-морского судостроения, возложило на Народный комиссариат тяжелой промышленности весьма сложную и трудную задачу выполнения этой программы в 4 года⁴*. Однако за истекший после принятия указанного постановления период военно-морские силы РККА не получили ни одного корабля по новой программе. Из подлежавших сдаче в 1932 г. (по утвержденному правительством плану) 42 подводных лодок новой программы, строившихся при большой непосредственной поддержке правительства, до сих пор не сдано ни одной лодки. Мало того, не сданы и подводные лодки II и III серий закладки 1929 г. (6 лодок), эсминцы лидеры и сторожевые корабли II серии. Программа УВМС⁵* по кораблестроению на 1933 г. свелась поэтому в основном к выполнению недодела по 1932 г., причем и эта программа находится под явной угрозой срыва. Все судостроительные заводы по-прежнему остаются в глубоком прорыве. Не подлежит сомнению, что четырехлетняя программа военно-морского судостроения не будет выполнена в установленный срок. Более того, если в самое ближайшее время не будут приняты самые решительные меры, реализация судостроительной программы потребует очень длительных сроков.</w:t>
      </w:r>
    </w:p>
    <w:p w14:paraId="77787F5D"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Несмотря на то, что на отдельных участках военного судостроения в 1932 г. были достигнуты некоторые положительные сдвиги (например, освоение постройки корпусов подлодок в короткие сроки, своевременная поставка электрооборудования для подлодок), необходимо с особой силой подчеркнуть неудовлетворительное качество работы промышленности, выполняющей и обслуживающей судостроение. Особенно показательным является то обстоятельство, что ни один из построенных до сих пор кораблей не дал положенной проектной скорости хода.</w:t>
      </w:r>
    </w:p>
    <w:p w14:paraId="64BB196E"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Слабость конструкторских сил военного судостроения наиболее отрицательно сказывается на «начинке» корабля. Все механизмы и устройства тяжелы; особенно несовершенны все вспомогательные механизмы (трюмные помпы, лебедки для подъема перископов, турбонасосы и т. д.) и системы подводных лодок (системы затопления, осушения, вентиляции). В ряде случаев не удается получить от механизмов запроектированной мощности.</w:t>
      </w:r>
    </w:p>
    <w:p w14:paraId="78CB7A88"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Сама продукция заводов в качественном отношении также неудовлетворительна. В результате — затяжка в постройке кораблей (переделки, устранение дефектов, например, II и III серии подлодок); задержки на многие месяцы уже построенных кораблей (массовые неполадки при сдаточных испытаниях); сокращение сроков службы кораблей (подлодки первой серии уже требуют замены аккумуляторных батарей всего через 2,5 года службы), а также удорожание всего строительства.</w:t>
      </w:r>
    </w:p>
    <w:p w14:paraId="3128B0FD"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По состоянию своих производственных процессов, по методам своей работы судостроительная промышленность является едва ли не самым отсталым участком в системе НКТП. Реконструкция судостроительных заводов не проведена. Все намечавшиеся планы реконструкции систематически не выполняются (утвержденная программа реконструкции на 1933 г. снова не обеспечена фондами). Не осуществлен даже тот минимум, без которого, например, надводное военное судостроение не мыслимо сдвинуть с мертвой точки: турбинный цех Северной верфи совершенно не способен обеспечить главными турбинами и вспомогательными турбинными механизмами развернутой программы постройки лидеров и эсминцев (не говоря уже о крейсерах) и едва справляется, со срывами всех сроков, с постройкой механизмов только для двух лидеров; оцинковочная мастерская Северной верфи задерживает своей малой пропускной способностью постройку на стапеле корпуса всего лишь одного лидера; отсутствует на судостроительных заводах термическая мастерская, что не позволяет производить у себя литье из легированной стали и т. д.</w:t>
      </w:r>
    </w:p>
    <w:p w14:paraId="011A9DE0"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Новые производственные процессы как, например, электросварка, внедряются в практику заводов исключительно медленно. Требующееся для этого оборудование на заводы не поступает, и в результате переход целиком на сварные конструкции корпусов малых подводных лодок уже привел к огромной задержке в постройке этих 30 единиц.</w:t>
      </w:r>
    </w:p>
    <w:p w14:paraId="7527442F"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Иностранной технической помощи судостроение не имеет и пользуется лишь заочной консультацией германского специалиста Бауэра по отдельным вопросам.</w:t>
      </w:r>
    </w:p>
    <w:p w14:paraId="7E6FA68C"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Научно-исследовательская работа в судостроительной промышленности стоит на весьма низком уровне. НИИС представляет крайне слабую организацию, не имеющую никакой экспериментальной базы, фактически никем не руководимую и — при загруженности судостроительных заводов на 75% военным кораблестроением — вовсе вопросами военного корабля не занимающейся.</w:t>
      </w:r>
    </w:p>
    <w:p w14:paraId="1C554EC2"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Несмотря на систематическое невыполнение судостроительной промышленностью планов по своему основному производству, т. е. по судостроению, в первую очередь военному, заводы нагружаются посторонними заказами, несомненно, имеющими в своем большинстве огромное значение для страны, как, например, заказы черной металлургии (печи «Мигэ»), но еще более ухудшающими положение судостроения. Эти заказы весьма часто пользуются на заводах всеми преимуществами перед заказами на военные корабли (дополнительные фонды зарплаты, сверхурочные, фонды на чистый цветной металл).</w:t>
      </w:r>
    </w:p>
    <w:p w14:paraId="0FBB32BC"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Основной причиной столь неудовлетворительного положения с судостроением является плохая его организация и полное отсутствие руководства им в системе Наркомтяжпрома. Аппарат Главтрансмаша, объединяющий все транспортное машиностроение, совершенно не охватывает чрезвычайно сложную и специфическую технику и производство военно-морского судостроения. Весь аппарат Главтрансмаша состоит, главным образом, из работников бывшего Локомотивобъединения, имеет соответствующих специалистов и этой отраслью фактически и руководит. Судостроения в НКТП никто не знает, не понимает всей его сущности и им никто по-настоящему не руководит.</w:t>
      </w:r>
    </w:p>
    <w:p w14:paraId="1B960A00"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Лучшим доказательством не только отсутствия какого-либо руководства, но даже элементарной осведомленности и представления о положении дела может служить документ, адресованный в правительство т. Доренко и т. Павлуновским, в котором они утверждали еще в сентябре прошлого года, что «в 1932 г. из подлежащих сдаче 26 подлодок НКТП безусловно сдаст 23 подлодки, из коих на ДВ — 16 подлодок: 9 «Щук» и 7 малых.</w:t>
      </w:r>
    </w:p>
    <w:p w14:paraId="660A6236"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Наибольшей сложностью в судостроении отличаются изготовление и монтаж оборудования корабля. Главные механизмы, вспомогательные механизмы, различные устройства, электрооборудование, радиостанции, вооружение и т. д. — все это далеко не укладывается в рамки производства самих судостроительных заводов и требует участия в постройке корабля многих заводов, входящих в различные отрасли промышленности.</w:t>
      </w:r>
    </w:p>
    <w:p w14:paraId="3766A502"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Союзверфь зависит от значительного количества своих «контрагентов», влиять на которые она сама не в состоянии. Судостроение не имеет за собой забронированных производственных мощностей на металлургических заводах (прокат стали, крупные поковки), постоянно остается без основного корпусного материала, без необходимых полуфабрикатов, систематически задерживая по этой причине постройку кораблей (корпусная сталь для лидеров, сталь для лодок, поковки роторов турбин, валов, зубчатых передач, дисков и т. д.). Постройка каждого корабля сопровождается бесконечными мытарствами с размещением заказов.</w:t>
      </w:r>
    </w:p>
    <w:p w14:paraId="77D50D13"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Отсутствие в НКТП органа, осуществляющего это междуотраслевое планирование, т. е. руководство судостроением в целом — во всей его сложности и совокупности — и приводит к той необеспеченности судостроения решительно во всем, которая вызывает срывы сроков, снижение тактических элементов кораблей и удорожает их постройку.</w:t>
      </w:r>
    </w:p>
    <w:p w14:paraId="43637974"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Органы управления военно-морских сил РККА оказывают судостроительной промышленности всемерную помощь и разностороннее содействие. УВМС в центре занимается обеспечением размещения заказов судостроительной промышленности ее контрагентам, добивается издания специальных приказов и распоряжений по НКТП, систематически следит за выполнением этих приказов. В ряде случаев УВМС оказывает конструкторскую и производственную помощь в создании новых материалов и новых образцов: марганцевистая специальная сталь на Мариупольском заводе, воздухохранители на заводе «Карл Либкнехт», помпы «Рато» и турбокомпрессоры на заводе «Борец» и Северной верфи, поковки роторов турбин на заводе «Большевик» и Ижорском, эбонит на заводе «Каучук», дизели на заводе «Русский дизель», переход на бронзовые трубы для перископов.</w:t>
      </w:r>
    </w:p>
    <w:p w14:paraId="5A37322D"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На местах УВМС непосредственно участвует в техническом руководстве всем проектированием, начиная с общего проекта и кончая детальными рабочими чертежами; осуществляет технический контроль и производственную помощь через свой научный институт (НИВК)⁶* и органы приемки и наблюдения (постоянная приемная комиссия, комнабы), при слабости заводского контроля в борьбе за качество работы комнабы играют особо важную роль. Своими научно-исследовательскими институтами, при полном отсутствии научно-исследовательской работы по военному судостроению в самой системе судостроительной промышленности, УВМС также оказывает НКТП весьма существенную постоянную помощь по различным вопросам.</w:t>
      </w:r>
    </w:p>
    <w:p w14:paraId="128CDCCA"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Однако все указанные мероприятия и формы содействия при самом большом напряжении сил инженерно-технических работников УВМС не в состоянии кардинально изменить положение вещей в военном судостроении.</w:t>
      </w:r>
    </w:p>
    <w:p w14:paraId="40FEEF33"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Все это заставляет прийти к заключению, что для должного обеспечения и реализации утвержденного правительством плана, а также для дальнейшего развития военно-морского кораблестроения, стоящего на уровне современной техники, необходимо немедленно принять следующие неотложные важнейшие меры:</w:t>
      </w:r>
    </w:p>
    <w:p w14:paraId="0F2B4BC0"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1. Внутри НКТП создать (по примеру авиапромышленности) специальный достаточно мощный аппарат, ведающий только судостроением и возглавляемый самостоятельным заместителем наркома.</w:t>
      </w:r>
    </w:p>
    <w:p w14:paraId="0B05BE86"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lastRenderedPageBreak/>
        <w:t>2. Определить (в плановом порядке) и закрепить на деле за судостроением производственные мощности в смежных отраслях промышленности (Главмашпром, Главтрансмаш, ГУМП, ГУАП), предоставив замнаркому по судостроению достаточные права на фактическое использование этих мощностей для судостроения.</w:t>
      </w:r>
    </w:p>
    <w:p w14:paraId="766ACFE0"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3. Выделить на первый план военное судостроение в отношении материального снабжения, обеспечив первоочередное удовлетворение всех его потребностей соответствующими фондами.</w:t>
      </w:r>
    </w:p>
    <w:p w14:paraId="7AB5C33A"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4. Освободить судостроительные заводы от выполнения всяких заказов, не связанных непосредственно c судостроением.</w:t>
      </w:r>
    </w:p>
    <w:p w14:paraId="2A0F75D8"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5. Форсировать и осуществить в самые короткие сроки реконструкцию судостроительных заводов, обеспечив таковую соответствующими и денежными, и материальными фондами.</w:t>
      </w:r>
    </w:p>
    <w:p w14:paraId="2E2896FE"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6. Обязать НКТП широко применить иностранную техническую помощь для судостроения и в части конструкторской (проекты), и в части производственной.</w:t>
      </w:r>
    </w:p>
    <w:p w14:paraId="6635589A"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7. Поднять работу Научно-исследовательского института судостроения (НИИС), повернуть его лицом к военному кораблестроению и форсировать создание для него собственной экспериментальной базы (в первую очередь его опытового бассейна).</w:t>
      </w:r>
    </w:p>
    <w:p w14:paraId="2794ECFB"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8. Усилить органы УВМС, ведающие военным кораблестроением, в частности НИВК и комнабы.</w:t>
      </w:r>
    </w:p>
    <w:p w14:paraId="17541547" w14:textId="77777777" w:rsidR="00AD1D3C" w:rsidRPr="0044524F" w:rsidRDefault="00AD1D3C" w:rsidP="009654CF">
      <w:pPr>
        <w:pStyle w:val="ae"/>
        <w:spacing w:before="0" w:after="0"/>
        <w:jc w:val="both"/>
        <w:rPr>
          <w:color w:val="000000" w:themeColor="text1"/>
          <w:sz w:val="16"/>
          <w:szCs w:val="16"/>
        </w:rPr>
      </w:pPr>
      <w:r w:rsidRPr="0044524F">
        <w:rPr>
          <w:rStyle w:val="af0"/>
          <w:i w:val="0"/>
          <w:color w:val="000000" w:themeColor="text1"/>
          <w:sz w:val="16"/>
          <w:szCs w:val="16"/>
        </w:rPr>
        <w:t>Член Реввоенсовета СССР и начальник Военно-морских сил РККА Орлов</w:t>
      </w:r>
    </w:p>
    <w:p w14:paraId="0FC11232" w14:textId="77777777" w:rsidR="00AD1D3C" w:rsidRPr="0044524F" w:rsidRDefault="00AD1D3C"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Управления кораблестроения УВМС Сивков</w:t>
      </w:r>
    </w:p>
    <w:p w14:paraId="7CE3D3FD" w14:textId="77777777" w:rsidR="00AD1D3C" w:rsidRPr="0044524F" w:rsidRDefault="00AD1D3C"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p>
    <w:p w14:paraId="4B488A38"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Революционный военный совет (РВС) СССР</w:t>
      </w:r>
      <w:r w:rsidRPr="0044524F">
        <w:rPr>
          <w:color w:val="000000" w:themeColor="text1"/>
          <w:sz w:val="16"/>
          <w:szCs w:val="16"/>
        </w:rPr>
        <w:t> — высший коллегиальный орган военной власти и политического руководства армий, фронтов, флотов Вооруженных сил СССР в 1923</w:t>
      </w:r>
      <w:r w:rsidRPr="0044524F">
        <w:rPr>
          <w:color w:val="000000" w:themeColor="text1"/>
          <w:sz w:val="16"/>
          <w:szCs w:val="16"/>
        </w:rPr>
        <w:noBreakHyphen/>
        <w:t>1934 гг. Создан 28 августа 1923 г. вместо РВС Республики. Его председателем являлся нарком по военным и морским делам, кандидатуру которого утверждал ЦИК СССР, а членов РВС — СНК СССР. Реввоенсовет руководил строительством Вооруженных сил, разрабатывал планы обороны и представлял их на рассмотрение ЦК и правительства, руководил снабжением, местными органами военного управления, формированием, комплектованием и обучением частей Красной армии и т. д. Руководство и управление Красной армией осуществлял через подчиненные ему штабы и управления. Командующие войсками, члены РВС фронтов, отдельных армий, военных округов были подчинены непосредственно Реввоенсовету. В связи с тем, что со временем деятельность Комиссии обороны при Совнаркоме СССР во многом стала дублировать функции РВС СССР, постановлением ЦИК СССР от 20 июня 1934 г. РВС СССР был упразднен.</w:t>
      </w:r>
    </w:p>
    <w:p w14:paraId="38EB632E"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 xml:space="preserve">²* 12 февраля 1927 г. постановлением СТО СССР была создана </w:t>
      </w:r>
      <w:r w:rsidRPr="0044524F">
        <w:rPr>
          <w:rStyle w:val="af0"/>
          <w:bCs/>
          <w:i w:val="0"/>
          <w:color w:val="000000" w:themeColor="text1"/>
          <w:sz w:val="16"/>
          <w:szCs w:val="16"/>
        </w:rPr>
        <w:t>Комиссия обороны (КО)</w:t>
      </w:r>
      <w:r w:rsidRPr="0044524F">
        <w:rPr>
          <w:color w:val="000000" w:themeColor="text1"/>
          <w:sz w:val="16"/>
          <w:szCs w:val="16"/>
        </w:rPr>
        <w:t>, к которой перешли полномочия Комиссии А. И. Рыкова. В ее состав вошли: Рыков, Рудзутак, Ворошилов (с заменой Бубновым), Куйбышев, Брюханов, Уншлихт, Менжинский (с заменой Ягодой), Орджоникидзе, Кржижановский, Микоян и Цюрупа. Комиссии предоставлялось право окончательного решения вопросов обороны от имени Совета труда и обороны. Она должна была собираться не реже одного раза в месяц. С 22 марта 1936 г. при Комиссии обороны существовало Военно-техническое бюро, председатель — В. М. Молотов. 27 апреля 1937 г. по постановлению ЦК ВКП(б) Комиссия обороны была заменена Комитетом обороны при СНК СССР. (РГАСПИ. Ф. 17. Оп. 3. Д. 621. Л. 11; ГАРФ. Ф. Р</w:t>
      </w:r>
      <w:r w:rsidRPr="0044524F">
        <w:rPr>
          <w:color w:val="000000" w:themeColor="text1"/>
          <w:sz w:val="16"/>
          <w:szCs w:val="16"/>
        </w:rPr>
        <w:noBreakHyphen/>
        <w:t>8418. Оп. 28. Д. 25а. Л. 64).</w:t>
      </w:r>
    </w:p>
    <w:p w14:paraId="3948B793"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³* 14 ноября 1931 г. состоялось заседание Комиссии обороны СССР, которое постановило принять за основу программу строительства морских сил, предложенную Наркомвоенмором (ГА РФ. Ф. 8418. Оп. 28. Д. 125. Л. 92</w:t>
      </w:r>
      <w:r w:rsidRPr="0044524F">
        <w:rPr>
          <w:color w:val="000000" w:themeColor="text1"/>
          <w:sz w:val="16"/>
          <w:szCs w:val="16"/>
        </w:rPr>
        <w:noBreakHyphen/>
        <w:t>94).</w:t>
      </w:r>
    </w:p>
    <w:p w14:paraId="35B75067"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⁴* </w:t>
      </w:r>
      <w:r w:rsidRPr="0044524F">
        <w:rPr>
          <w:rStyle w:val="af0"/>
          <w:bCs/>
          <w:i w:val="0"/>
          <w:color w:val="000000" w:themeColor="text1"/>
          <w:sz w:val="16"/>
          <w:szCs w:val="16"/>
        </w:rPr>
        <w:t>Наркомат тяжелой промышленности СССР</w:t>
      </w:r>
      <w:r w:rsidRPr="0044524F">
        <w:rPr>
          <w:color w:val="000000" w:themeColor="text1"/>
          <w:sz w:val="16"/>
          <w:szCs w:val="16"/>
        </w:rPr>
        <w:t xml:space="preserve"> был образован на базе ВСНХ СССР постановлением ЦИК и СНК СССР от 5 января 1932 г. в соответствии с решением ЦК ВКП(б) от 25 декабря 1931 г. Его возглавил Г. К. Орджоникидзе. Организационная структура наркомата формировалась в период с января 1932 г. по март 1934 г., когда постановлением ЦИК и СНК СССР от 15 марта 1934 г. «Об организационных мероприятиях в области советского хозяйственного строительства» были полностью ликвидированы отраслевые объединения. Вместо них были созданы главные управления — главки, осуществлявшие техническое и организационно-хозяйственное руководство отраслью и предприятиями, распоряжение финансовыми и материальными ресурсами, освоение новой техники и т. д. Вводилась двухступенчатая (главк-завод) или трехступенчатая (главк-трест-завод) система управления. НКТП через наркома и центральный аппарат (коллегию, с 1935 г. — совет) осуществлял общее планирование производства и капитального строительства на принципах централизации и специализации. На протяжении всего периода деятельности НКТП главные управления разукрупнялись: в 1932 г. в системе наркомата было 10 главков, к 1937 г. их число увеличилось до 33. Внутри главных управлений также происходили изменения — переподчинения трестов и заводов. Ряд предприятий составили сектор, непосредственно подчиненный наркому (заводы тяжелого машиностроения, Главное управление авиационной промышленности, Главное управление судостроительной промышленности). Имелись также главки межотраслевого и межведомственного значения (Главэнерго). Снабженческо-сбытовую деятельность хозяйственных органов тяжелой индустрии осуществлял Военпромснаб — хозрасчетная всесоюзная контора. Руководство всей оборонной индустрией было сосредоточено в Главном военно-мобилизационном управлении. Постановлением ЦИК СССР от 8 декабря 1936 г. из НКТП была выделена оборонная промышленность и создан Наркомат оборонной промышленности. 22 августа 1937 г. последовало очередное разукрупнение НКТП — был создан Наркомат машиностроения СССР. На протяжении следующих двух лет оборонные предприятия были переданы в НКОП, а 24 января 1939 г. НКТП был ликвидирован. (ГА РФ. Ф. Р</w:t>
      </w:r>
      <w:r w:rsidRPr="0044524F">
        <w:rPr>
          <w:color w:val="000000" w:themeColor="text1"/>
          <w:sz w:val="16"/>
          <w:szCs w:val="16"/>
        </w:rPr>
        <w:noBreakHyphen/>
        <w:t>8418. Оп 12. Д. 467. Л. 1; РГАЭ. Ф. 7297. Д/ф.).</w:t>
      </w:r>
    </w:p>
    <w:p w14:paraId="54945CA1"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⁵* </w:t>
      </w:r>
      <w:r w:rsidRPr="0044524F">
        <w:rPr>
          <w:rStyle w:val="af0"/>
          <w:bCs/>
          <w:i w:val="0"/>
          <w:color w:val="000000" w:themeColor="text1"/>
          <w:sz w:val="16"/>
          <w:szCs w:val="16"/>
        </w:rPr>
        <w:t>Управление военно-морских сил РККА</w:t>
      </w:r>
      <w:r w:rsidRPr="0044524F">
        <w:rPr>
          <w:color w:val="000000" w:themeColor="text1"/>
          <w:sz w:val="16"/>
          <w:szCs w:val="16"/>
        </w:rPr>
        <w:t xml:space="preserve"> было организовано 28 марта 1924 г. в составе Наркомата по военным и морским делам СССР. 1 июля 1929 г. РВС СССР утвердил положение об УВМС РККА, как центральном органе НКВМ по руководству боевой, организационно-мобилизационной и технической подготовкой Военно-морских сил, по комплектованию личного состава, обучению и службе, по постройке, ремонту и оборудованию военных судов, по специальному морскому снабжению, по гидрографическим работам и обеспечению безопасности плавания. На УВМС возлагались: разработка всех предположений на случай войны и мобилизации ВМС; сбор материалов о производственных возможностях промышленности в части военного судостроения, специального морского снабжения и оборудования; руководство на основе директив РВС СССР учебно-боевой подготовкой военно-морских сил, комплектованием и прохождением службы личным составом и его обучением в военно-морских учебных заведениях, отрядах и школах; разработка боевого и специального военно-морских уставов, наблюдение за применением их в ВМС; усовершенствование ВМС в техническом отношении и координирование военно-морской научно-исследовательской работы; разработка на основе оперативно-тактических заданий Штаба РККА системы вооружения ВМС; проведение на основе плана мобилизационного развертывания РККА мероприятий по обеспечению мобилизационной готовности ВМС и наблюдение за составом и мобилизационной подготовкой зачисленного в мобилизационные ресурсы ВМС водного транспорта; руководство подготовкой морских театров в навигационном отношении, гидрографическими изысканиями, работой и службой на них и мобилизационной подготовкой; руководство оборудованием морских театров, их мобподготовкой и обеспечением безопасности плавания; руководство разработкой и осуществлением планов строительства ремонта и оборудования кораблей и обеспечение ВМС специальным вооружением и имуществом; предъявление промышленности требований по обеспечению ВМС продукцией по судостроению и специальному снабжению в отношении ее количества, качества и сроков изготовления; установление дислокации и базирования кораблей в пределах утвержденного РВС СССР плана использования морских сил; установление норм и порядка содержания корабельного состава в кампании, вооруженном резерве и на хранении; распределение мобилизационных ресурсов ВМС и установление порядка ведения мобработы на кораблях, в портах и береговых частях ВМС; установление мероприятий по обеспечению безопасности плавания в морях СССР. Возглавлял управление начальник ВМС РККА, подчинявшийся непосредственно наркому по военным и морским делам. Постановлением ЦИК СССР от 15 марта 1934 г. Наркомат по военным и морским делам был реорганизован в Наркомат обороны СССР, функции УВМС были переданы Управлению Морских сил РККА.</w:t>
      </w:r>
    </w:p>
    <w:p w14:paraId="5AB264D4"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⁶* В 1931</w:t>
      </w:r>
      <w:r w:rsidRPr="0044524F">
        <w:rPr>
          <w:color w:val="000000" w:themeColor="text1"/>
          <w:sz w:val="16"/>
          <w:szCs w:val="16"/>
        </w:rPr>
        <w:noBreakHyphen/>
        <w:t xml:space="preserve">1932 гг. на базе секций Научно-технического комитета морского ведомства (НТКМ) были созданы научно-исследовательские институты Военно-морского флота (военного кораблестроения, артиллерийского, минно-торпедного, химического, связи). Функции НТКМ по координации исследований и общему руководству всех институтов ВМФ были возложены на </w:t>
      </w:r>
      <w:r w:rsidRPr="0044524F">
        <w:rPr>
          <w:rStyle w:val="af0"/>
          <w:bCs/>
          <w:i w:val="0"/>
          <w:color w:val="000000" w:themeColor="text1"/>
          <w:sz w:val="16"/>
          <w:szCs w:val="16"/>
        </w:rPr>
        <w:t>Научно-исследовательский институт военного кораблестроения (НИВК)</w:t>
      </w:r>
      <w:r w:rsidRPr="0044524F">
        <w:rPr>
          <w:color w:val="000000" w:themeColor="text1"/>
          <w:sz w:val="16"/>
          <w:szCs w:val="16"/>
        </w:rPr>
        <w:t>, который был образован в 1932 г. по распоряжению наркома по военным и морским делам на базе Опытового судостроительного бассейна. Его возглавил Н. В. Алякринский, бывший с 1930 г. начальником Опытового бассейна. В институт помимо бассейна вошли кораблестроительная секция и секция подводного плавания Научно-технического комитета ВМС РККА. На НИВК возлагалось проведение поисковых и научно-исследовательских работ в области проектирования кораблей, их гидромеханики, прочности и энергетики. По решению Комитета обороны СССР от 26 мая 1938 г. НИВК ВМФ с Опытовым бассейном был передан из судостроительной промышленности в ведение Наркомата оборонной промышленности, тогда организация получила название НИИ</w:t>
      </w:r>
      <w:r w:rsidRPr="0044524F">
        <w:rPr>
          <w:color w:val="000000" w:themeColor="text1"/>
          <w:sz w:val="16"/>
          <w:szCs w:val="16"/>
        </w:rPr>
        <w:noBreakHyphen/>
        <w:t>45.</w:t>
      </w:r>
    </w:p>
    <w:p w14:paraId="08D2F8C7" w14:textId="77777777" w:rsidR="00AD1D3C" w:rsidRPr="0044524F" w:rsidRDefault="00AD1D3C" w:rsidP="009654CF">
      <w:pPr>
        <w:pStyle w:val="ae"/>
        <w:spacing w:before="0" w:after="0"/>
        <w:jc w:val="both"/>
        <w:rPr>
          <w:color w:val="000000" w:themeColor="text1"/>
          <w:sz w:val="16"/>
          <w:szCs w:val="16"/>
        </w:rPr>
      </w:pPr>
      <w:r w:rsidRPr="0044524F">
        <w:rPr>
          <w:color w:val="000000" w:themeColor="text1"/>
          <w:sz w:val="16"/>
          <w:szCs w:val="16"/>
        </w:rPr>
        <w:t>РГАВМФ. Ф. 441. Оп. 11. Д. 12. Л. 104-107 об. Заверенная копия (15253).</w:t>
      </w:r>
    </w:p>
    <w:p w14:paraId="209EA304" w14:textId="77777777" w:rsidR="00AD1D3C" w:rsidRPr="0044524F" w:rsidRDefault="00AD1D3C" w:rsidP="009654CF">
      <w:pPr>
        <w:spacing w:after="0" w:line="240" w:lineRule="auto"/>
        <w:jc w:val="both"/>
        <w:rPr>
          <w:rFonts w:ascii="Times New Roman" w:hAnsi="Times New Roman"/>
          <w:iCs/>
          <w:color w:val="000000" w:themeColor="text1"/>
          <w:sz w:val="16"/>
          <w:szCs w:val="16"/>
        </w:rPr>
      </w:pPr>
    </w:p>
    <w:p w14:paraId="00E09731"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314D1E5"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10C526A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марта 1933 вышел приказ за подписью Радецкого: «В ознаменование Международного Женского Дня - дня работницы и крестьянки, получивших в Стране Советов возможность со всем рабочим классом и колхозным крестьянством строить социализм, -...в день 8 марта для всех женщин работу окончить на два часа раньше; Отделу снабжения дать на места указания об улучшении пищи в этот день для женщин» (7560).</w:t>
      </w:r>
    </w:p>
    <w:p w14:paraId="76684ED2"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1AA4C80D"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E9B54A5"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680B011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марта 1933 была изобретена настольная игра, названная монополия (2100).</w:t>
      </w:r>
    </w:p>
    <w:p w14:paraId="09352C84"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57F98C08"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марта 1933 в Атлантик-Сити изобретена игра "Монополия" (4962).</w:t>
      </w:r>
    </w:p>
    <w:p w14:paraId="1B7E0512" w14:textId="77777777" w:rsidR="00F42404" w:rsidRPr="0044524F" w:rsidRDefault="00F42404" w:rsidP="009654CF">
      <w:pPr>
        <w:tabs>
          <w:tab w:val="left" w:pos="11199"/>
        </w:tabs>
        <w:spacing w:after="0" w:line="240" w:lineRule="auto"/>
        <w:jc w:val="both"/>
        <w:rPr>
          <w:rFonts w:ascii="Times New Roman" w:hAnsi="Times New Roman"/>
          <w:color w:val="000000" w:themeColor="text1"/>
          <w:sz w:val="16"/>
          <w:szCs w:val="16"/>
        </w:rPr>
      </w:pPr>
    </w:p>
    <w:p w14:paraId="4C95482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марта 1933 Роспуск парламента Австрии. Правительство канцлера Э.Дольфуса провозгласило установление в стране "авторитарной системы правления" (7444).</w:t>
      </w:r>
    </w:p>
    <w:p w14:paraId="15FEA883"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65936BF9"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3A22D1C"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5FA97C7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ТБ-3 4М-34 был подготовлен к полету несмотря на то, что на аэродром машина была направлена в декабре 1933 (2310,143) и полет был выполнен (3082), но длился всего 8 минут (9086).</w:t>
      </w:r>
    </w:p>
    <w:p w14:paraId="0418AD49"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41BC8B0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8 марта по 29 мая 1933 ТБ-3 (АНТ-6) N 2221 с М-34 проходил заводские испытания (1854,8). После пробного полета были вновь обнаружены дефекты ВМГ. Машина потом при полете с полным весом потерпела аварию (2310,143).</w:t>
      </w:r>
    </w:p>
    <w:p w14:paraId="792D9C1F"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6F4A14B1"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марта 1933 года начались заводские испытания ТБ-3 № 22221 двигателями М-34 (первый полет длился всего восемь минут), а 29 мая эта машина потерпела аварию на взлете. Техник Коваленков потом давал показания: «Самолет пошел очень тяжело и с трудом начал отделяться от земли...». Летчик М.М. Громов понял, что через ангар не перетянуть, убрал газ и начал разворачиваться влево, чтобы не налететь на стоянку машин ГВФ Бомбардировщик завалился вниз и встал на нос.</w:t>
      </w:r>
    </w:p>
    <w:p w14:paraId="0808ABC9"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продолжили на другом переоборудованном бомбардировщике, № 22201. Реальный прирост скорости оказался невелик - около 10 км/ч. Расход горючего при этом изрядно возрос, а зна</w:t>
      </w:r>
      <w:r w:rsidRPr="00142305">
        <w:rPr>
          <w:rFonts w:ascii="Times New Roman" w:hAnsi="Times New Roman"/>
          <w:color w:val="0070C0"/>
          <w:sz w:val="16"/>
          <w:szCs w:val="16"/>
        </w:rPr>
        <w:softHyphen/>
        <w:t>чит, уменьшилась дальность.</w:t>
      </w:r>
    </w:p>
    <w:p w14:paraId="4FB2FDA2"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заводе № 22 заложили серию из десяти самолетов с М-34 (№№ 22201 - 22210). Два из них (№ 22203 и № 22204) 27 сентября передали на государственные испытания. Там машины летали с винтами трех типов Лучшим оказался взятый от ТБ-4 пропеллер диаметром 3,18 м. У зем</w:t>
      </w:r>
      <w:r w:rsidRPr="00142305">
        <w:rPr>
          <w:rFonts w:ascii="Times New Roman" w:hAnsi="Times New Roman"/>
          <w:color w:val="0070C0"/>
          <w:sz w:val="16"/>
          <w:szCs w:val="16"/>
        </w:rPr>
        <w:softHyphen/>
        <w:t>ли скорость поднялась по сравнению с серийным бомбардировщиком с М-17 на 25,7 км/ч, на высоте 3000 м - на 8 км/ч, не</w:t>
      </w:r>
      <w:r w:rsidRPr="00142305">
        <w:rPr>
          <w:rFonts w:ascii="Times New Roman" w:hAnsi="Times New Roman"/>
          <w:color w:val="0070C0"/>
          <w:sz w:val="16"/>
          <w:szCs w:val="16"/>
        </w:rPr>
        <w:softHyphen/>
        <w:t>смотря на рост веса на 900 кг. Улучшилась и скороподъемность. Однако резко возрос расход масла. В НИИ ВВС решили, что прирост характеристик невелик, и для тихо</w:t>
      </w:r>
      <w:r w:rsidRPr="00142305">
        <w:rPr>
          <w:rFonts w:ascii="Times New Roman" w:hAnsi="Times New Roman"/>
          <w:color w:val="0070C0"/>
          <w:sz w:val="16"/>
          <w:szCs w:val="16"/>
        </w:rPr>
        <w:softHyphen/>
        <w:t>ходного ТБ-3 выгоднее станут готовящиеся редукторные М-34Р, позволявшие поднять КПД винта при малых скоростях полета.</w:t>
      </w:r>
    </w:p>
    <w:p w14:paraId="20B911DC"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М-34 все-таки внедрили на серийных бомбардировщиках завода № 22, поскольку это давало некоторое улучшение взлетных характеристик и позволяло освоить новую мотоустановку. Двигатели получили новые, более обтекаемые, капоты и радиаторы, перемещенные назад. Из новшеств поя</w:t>
      </w:r>
      <w:r w:rsidRPr="00142305">
        <w:rPr>
          <w:rFonts w:ascii="Times New Roman" w:hAnsi="Times New Roman"/>
          <w:color w:val="0070C0"/>
          <w:sz w:val="16"/>
          <w:szCs w:val="16"/>
        </w:rPr>
        <w:softHyphen/>
        <w:t>вилось также калориферное отопление кабин: тепло забирали от выхлопных кол</w:t>
      </w:r>
      <w:r w:rsidRPr="00142305">
        <w:rPr>
          <w:rFonts w:ascii="Times New Roman" w:hAnsi="Times New Roman"/>
          <w:color w:val="0070C0"/>
          <w:sz w:val="16"/>
          <w:szCs w:val="16"/>
        </w:rPr>
        <w:softHyphen/>
        <w:t>лекторов двигателей. Винты оставались деревянными двухлопастными, диаметром 3,18 м.</w:t>
      </w:r>
    </w:p>
    <w:p w14:paraId="76EEEEE0"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Самолеты с М-34 стали почти на тонну тяжелее - больший вес имели сами мо</w:t>
      </w:r>
      <w:r w:rsidRPr="00142305">
        <w:rPr>
          <w:rFonts w:ascii="Times New Roman" w:hAnsi="Times New Roman"/>
          <w:color w:val="0070C0"/>
          <w:sz w:val="16"/>
          <w:szCs w:val="16"/>
        </w:rPr>
        <w:softHyphen/>
        <w:t>торы, почти вдвое увеличилась емкость маслобаков, в полтора раза стало больше воды в системе охлаждения. Бомбовое и стрелковое вооружение оставалось иден</w:t>
      </w:r>
      <w:r w:rsidRPr="00142305">
        <w:rPr>
          <w:rFonts w:ascii="Times New Roman" w:hAnsi="Times New Roman"/>
          <w:color w:val="0070C0"/>
          <w:sz w:val="16"/>
          <w:szCs w:val="16"/>
        </w:rPr>
        <w:softHyphen/>
        <w:t>тичным самолетам с М-17. Только послед</w:t>
      </w:r>
      <w:r w:rsidRPr="00142305">
        <w:rPr>
          <w:rFonts w:ascii="Times New Roman" w:hAnsi="Times New Roman"/>
          <w:color w:val="0070C0"/>
          <w:sz w:val="16"/>
          <w:szCs w:val="16"/>
        </w:rPr>
        <w:softHyphen/>
        <w:t>ние серии, с бомбардировщика № 22386, лишились подкрыльных выпускных башен.</w:t>
      </w:r>
    </w:p>
    <w:p w14:paraId="474EEBEE"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Их заменили установкой в люке фюзеляжа для стрельбы вниз-назад с двумя гнездами для шкворней, но только одним пулеметом ДА с шестью дисками (24937).</w:t>
      </w:r>
    </w:p>
    <w:p w14:paraId="39BDDA4F" w14:textId="77777777" w:rsidR="00F47692" w:rsidRPr="00142305" w:rsidRDefault="00F47692" w:rsidP="00F47692">
      <w:pPr>
        <w:spacing w:after="0" w:line="240" w:lineRule="auto"/>
        <w:jc w:val="both"/>
        <w:rPr>
          <w:rFonts w:ascii="Times New Roman" w:hAnsi="Times New Roman"/>
          <w:color w:val="0070C0"/>
          <w:sz w:val="16"/>
          <w:szCs w:val="16"/>
        </w:rPr>
      </w:pPr>
    </w:p>
    <w:p w14:paraId="65CB4DA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года начальник ОТЭП Гудашев писал письмо N 68/сз в ГУАП НТОС Алмазову.</w:t>
      </w:r>
    </w:p>
    <w:p w14:paraId="436E7A7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сем препровождаем Вам планы по самолетам: МИ-3 бис, И-12, И-14, РД бис, аппар. ЭА-4, Эа-6, ЭА-7 оп. кр. ТБ-3.</w:t>
      </w:r>
    </w:p>
    <w:p w14:paraId="005E45E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Упомянутое, на 10-ти листах (2286,62).</w:t>
      </w:r>
    </w:p>
    <w:p w14:paraId="3BABD095"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053B8F5F"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г., несмотря на отсутствие темы ЦКБ-12 в плане ГУАП, во внутренней переписке ведомства появляется первый ориентировочный срок выхода самолета на заводские испытания – к 1 апреля 1934 г. (24115).</w:t>
      </w:r>
    </w:p>
    <w:p w14:paraId="58F7E097" w14:textId="77777777" w:rsidR="00B26E21" w:rsidRPr="0044524F" w:rsidRDefault="00B26E21" w:rsidP="009654CF">
      <w:pPr>
        <w:spacing w:after="0" w:line="240" w:lineRule="auto"/>
        <w:jc w:val="both"/>
        <w:rPr>
          <w:rFonts w:ascii="Times New Roman" w:hAnsi="Times New Roman"/>
          <w:color w:val="000000" w:themeColor="text1"/>
          <w:sz w:val="16"/>
          <w:szCs w:val="16"/>
        </w:rPr>
      </w:pPr>
    </w:p>
    <w:p w14:paraId="496DCA0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Секретарь ОЭЛИД Воронцова направила в НТОС ГУАП письмо N 112с:</w:t>
      </w:r>
    </w:p>
    <w:p w14:paraId="13EC7E5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сем досылается к отчету о Параболе БИЧ-7 н 103с от 26 февраля 1933 один фотоснимок и график скороподъемности (2307,65).</w:t>
      </w:r>
    </w:p>
    <w:p w14:paraId="72B74C28"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4315EEB6" w14:textId="77777777" w:rsidR="00B70750" w:rsidRPr="0044524F" w:rsidRDefault="00B70750" w:rsidP="009654CF">
      <w:pPr>
        <w:pStyle w:val="221"/>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8 марта</w:t>
      </w:r>
      <w:r w:rsidRPr="0044524F">
        <w:rPr>
          <w:rFonts w:ascii="Times New Roman" w:hAnsi="Times New Roman" w:cs="Times New Roman"/>
          <w:color w:val="000000" w:themeColor="text1"/>
          <w:sz w:val="16"/>
          <w:szCs w:val="16"/>
          <w:lang w:val="ru-RU"/>
        </w:rPr>
        <w:t>1933</w:t>
      </w:r>
      <w:r w:rsidRPr="0044524F">
        <w:rPr>
          <w:rFonts w:ascii="Times New Roman" w:hAnsi="Times New Roman" w:cs="Times New Roman"/>
          <w:color w:val="000000" w:themeColor="text1"/>
          <w:sz w:val="16"/>
          <w:szCs w:val="16"/>
        </w:rPr>
        <w:t xml:space="preserve"> само</w:t>
      </w:r>
      <w:r w:rsidRPr="0044524F">
        <w:rPr>
          <w:rFonts w:ascii="Times New Roman" w:hAnsi="Times New Roman" w:cs="Times New Roman"/>
          <w:color w:val="000000" w:themeColor="text1"/>
          <w:sz w:val="16"/>
          <w:szCs w:val="16"/>
        </w:rPr>
        <w:softHyphen/>
        <w:t xml:space="preserve">лет </w:t>
      </w:r>
      <w:r w:rsidRPr="0044524F">
        <w:rPr>
          <w:rFonts w:ascii="Times New Roman" w:hAnsi="Times New Roman" w:cs="Times New Roman"/>
          <w:color w:val="000000" w:themeColor="text1"/>
          <w:sz w:val="16"/>
          <w:szCs w:val="16"/>
          <w:lang w:val="ru-RU"/>
        </w:rPr>
        <w:t xml:space="preserve">Тандем МАИ </w:t>
      </w:r>
      <w:r w:rsidRPr="0044524F">
        <w:rPr>
          <w:rFonts w:ascii="Times New Roman" w:hAnsi="Times New Roman" w:cs="Times New Roman"/>
          <w:color w:val="000000" w:themeColor="text1"/>
          <w:sz w:val="16"/>
          <w:szCs w:val="16"/>
        </w:rPr>
        <w:t>поднялся в воздух. До этого бригада занималась установкой рулей с компенсацией типа Дорнье и деградацией 4 градусов 30 минут внутрь отгибных пластин, боролась с дефектом на моторе. Два подлета и полет с центровкой 35% показали, что устойчивость пути несколько улучшилась, но в правом развороте самолет по-прежнему неустойчив. В течение двух дней сверху зад</w:t>
      </w:r>
      <w:r w:rsidRPr="0044524F">
        <w:rPr>
          <w:rFonts w:ascii="Times New Roman" w:hAnsi="Times New Roman" w:cs="Times New Roman"/>
          <w:color w:val="000000" w:themeColor="text1"/>
          <w:sz w:val="16"/>
          <w:szCs w:val="16"/>
        </w:rPr>
        <w:softHyphen/>
        <w:t>него крыла установили дополнительные кили площадью 0,92 квадратных метра - так назы</w:t>
      </w:r>
      <w:r w:rsidRPr="0044524F">
        <w:rPr>
          <w:rFonts w:ascii="Times New Roman" w:hAnsi="Times New Roman" w:cs="Times New Roman"/>
          <w:color w:val="000000" w:themeColor="text1"/>
          <w:sz w:val="16"/>
          <w:szCs w:val="16"/>
        </w:rPr>
        <w:softHyphen/>
        <w:t>ваемый вариант оперения №2. Вылет 11 марта показал, что это мало повлияло на устойчи</w:t>
      </w:r>
      <w:r w:rsidRPr="0044524F">
        <w:rPr>
          <w:rFonts w:ascii="Times New Roman" w:hAnsi="Times New Roman" w:cs="Times New Roman"/>
          <w:color w:val="000000" w:themeColor="text1"/>
          <w:sz w:val="16"/>
          <w:szCs w:val="16"/>
        </w:rPr>
        <w:softHyphen/>
        <w:t>вость пути самолета. 13 марта оказалось дей</w:t>
      </w:r>
      <w:r w:rsidRPr="0044524F">
        <w:rPr>
          <w:rFonts w:ascii="Times New Roman" w:hAnsi="Times New Roman" w:cs="Times New Roman"/>
          <w:color w:val="000000" w:themeColor="text1"/>
          <w:sz w:val="16"/>
          <w:szCs w:val="16"/>
        </w:rPr>
        <w:softHyphen/>
        <w:t>ствительно несчастливым днем. При полете на определение устойчивости на высоте 1750 метров и скорости 250 км/ч вырвало купола шасси. На ремонт ушло 10 дней. Поскольку заметно потеплело и характеристики снежно</w:t>
      </w:r>
      <w:r w:rsidRPr="0044524F">
        <w:rPr>
          <w:rFonts w:ascii="Times New Roman" w:hAnsi="Times New Roman" w:cs="Times New Roman"/>
          <w:color w:val="000000" w:themeColor="text1"/>
          <w:sz w:val="16"/>
          <w:szCs w:val="16"/>
        </w:rPr>
        <w:softHyphen/>
        <w:t>го покрова изменились, самолет снова уста</w:t>
      </w:r>
      <w:r w:rsidRPr="0044524F">
        <w:rPr>
          <w:rFonts w:ascii="Times New Roman" w:hAnsi="Times New Roman" w:cs="Times New Roman"/>
          <w:color w:val="000000" w:themeColor="text1"/>
          <w:sz w:val="16"/>
          <w:szCs w:val="16"/>
        </w:rPr>
        <w:softHyphen/>
        <w:t>новили на лыжи. С ними на следующий день Стефановский выполнил два полета, оценив поведение самолета как удовлетворительное. Снова отмечалась плохая устойчивость на виражах. Стало очевидно, что «лечить» само</w:t>
      </w:r>
      <w:r w:rsidRPr="0044524F">
        <w:rPr>
          <w:rFonts w:ascii="Times New Roman" w:hAnsi="Times New Roman" w:cs="Times New Roman"/>
          <w:color w:val="000000" w:themeColor="text1"/>
          <w:sz w:val="16"/>
          <w:szCs w:val="16"/>
        </w:rPr>
        <w:softHyphen/>
        <w:t>лет надо более основательно</w:t>
      </w:r>
      <w:r w:rsidRPr="0044524F">
        <w:rPr>
          <w:rFonts w:ascii="Times New Roman" w:hAnsi="Times New Roman" w:cs="Times New Roman"/>
          <w:color w:val="000000" w:themeColor="text1"/>
          <w:sz w:val="16"/>
          <w:szCs w:val="16"/>
          <w:lang w:val="ru-RU"/>
        </w:rPr>
        <w:t xml:space="preserve"> (19866)</w:t>
      </w:r>
      <w:r w:rsidRPr="0044524F">
        <w:rPr>
          <w:rFonts w:ascii="Times New Roman" w:hAnsi="Times New Roman" w:cs="Times New Roman"/>
          <w:color w:val="000000" w:themeColor="text1"/>
          <w:sz w:val="16"/>
          <w:szCs w:val="16"/>
        </w:rPr>
        <w:t>.</w:t>
      </w:r>
    </w:p>
    <w:p w14:paraId="3B739967" w14:textId="77777777" w:rsidR="00B70750" w:rsidRPr="0044524F" w:rsidRDefault="00B70750" w:rsidP="009654CF">
      <w:pPr>
        <w:pStyle w:val="221"/>
        <w:shd w:val="clear" w:color="auto" w:fill="auto"/>
        <w:spacing w:line="240" w:lineRule="auto"/>
        <w:jc w:val="both"/>
        <w:rPr>
          <w:rFonts w:ascii="Times New Roman" w:hAnsi="Times New Roman" w:cs="Times New Roman"/>
          <w:color w:val="000000" w:themeColor="text1"/>
          <w:sz w:val="16"/>
          <w:szCs w:val="16"/>
        </w:rPr>
      </w:pPr>
    </w:p>
    <w:p w14:paraId="7CF18D1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Зам. нач. НТОС Машкевич писал письмо Нач. ПТЭС Зильберквит и привел сроки выхода на заводские испытания самолетов:</w:t>
      </w:r>
    </w:p>
    <w:p w14:paraId="59BEC79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4E10C1" w:rsidRPr="0044524F" w14:paraId="678EE31E" w14:textId="77777777">
        <w:tc>
          <w:tcPr>
            <w:tcW w:w="5636" w:type="dxa"/>
          </w:tcPr>
          <w:p w14:paraId="06FB6E5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ТБ-6 </w:t>
            </w:r>
          </w:p>
        </w:tc>
        <w:tc>
          <w:tcPr>
            <w:tcW w:w="4552" w:type="dxa"/>
          </w:tcPr>
          <w:p w14:paraId="76C4662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01.12.34</w:t>
            </w:r>
          </w:p>
        </w:tc>
      </w:tr>
      <w:tr w:rsidR="004E10C1" w:rsidRPr="0044524F" w14:paraId="771E5FEC" w14:textId="77777777">
        <w:tc>
          <w:tcPr>
            <w:tcW w:w="5636" w:type="dxa"/>
          </w:tcPr>
          <w:p w14:paraId="6FABDBB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ТБ-4 6М-34</w:t>
            </w:r>
          </w:p>
        </w:tc>
        <w:tc>
          <w:tcPr>
            <w:tcW w:w="4552" w:type="dxa"/>
          </w:tcPr>
          <w:p w14:paraId="2F1942A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01.03.33</w:t>
            </w:r>
          </w:p>
        </w:tc>
      </w:tr>
      <w:tr w:rsidR="004E10C1" w:rsidRPr="0044524F" w14:paraId="61F84427" w14:textId="77777777">
        <w:tc>
          <w:tcPr>
            <w:tcW w:w="5636" w:type="dxa"/>
          </w:tcPr>
          <w:p w14:paraId="6352D27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ТБ-4 гол.</w:t>
            </w:r>
          </w:p>
        </w:tc>
        <w:tc>
          <w:tcPr>
            <w:tcW w:w="4552" w:type="dxa"/>
          </w:tcPr>
          <w:p w14:paraId="7B6161F7" w14:textId="77777777" w:rsidR="00F42404" w:rsidRPr="0044524F" w:rsidRDefault="00F42404" w:rsidP="009654CF">
            <w:pPr>
              <w:spacing w:after="0" w:line="240" w:lineRule="auto"/>
              <w:jc w:val="both"/>
              <w:rPr>
                <w:rFonts w:ascii="Times New Roman" w:hAnsi="Times New Roman"/>
                <w:color w:val="000000" w:themeColor="text1"/>
                <w:sz w:val="16"/>
                <w:szCs w:val="16"/>
              </w:rPr>
            </w:pPr>
          </w:p>
        </w:tc>
      </w:tr>
    </w:tbl>
    <w:p w14:paraId="0C5B7D1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Нужны моторы с редукторами. После получения моторов срок выхода на аэродром через 4 мес. Срок подачи моторов намечается на апрель-май. Следовательно ориентировочно самолет м. выйти в августе-сентябре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4E10C1" w:rsidRPr="0044524F" w14:paraId="1F1E4818" w14:textId="77777777">
        <w:tc>
          <w:tcPr>
            <w:tcW w:w="5636" w:type="dxa"/>
          </w:tcPr>
          <w:p w14:paraId="2CDA849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СК-1 2М-32Н</w:t>
            </w:r>
          </w:p>
        </w:tc>
        <w:tc>
          <w:tcPr>
            <w:tcW w:w="4552" w:type="dxa"/>
          </w:tcPr>
          <w:p w14:paraId="561C84C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(тоже в зависимости от получения мотора), ориентировочно ноябрь-декабрь 1933</w:t>
            </w:r>
          </w:p>
        </w:tc>
      </w:tr>
      <w:tr w:rsidR="004E10C1" w:rsidRPr="0044524F" w14:paraId="4FA2CE03" w14:textId="77777777">
        <w:tc>
          <w:tcPr>
            <w:tcW w:w="5636" w:type="dxa"/>
          </w:tcPr>
          <w:p w14:paraId="67C081F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МИ-3 2М-34 (оп.)</w:t>
            </w:r>
          </w:p>
        </w:tc>
        <w:tc>
          <w:tcPr>
            <w:tcW w:w="4552" w:type="dxa"/>
          </w:tcPr>
          <w:p w14:paraId="5F475C0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апрель-май 1933</w:t>
            </w:r>
          </w:p>
        </w:tc>
      </w:tr>
      <w:tr w:rsidR="004E10C1" w:rsidRPr="0044524F" w14:paraId="75585613" w14:textId="77777777">
        <w:tc>
          <w:tcPr>
            <w:tcW w:w="5636" w:type="dxa"/>
          </w:tcPr>
          <w:p w14:paraId="33C635E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МИ-3 гол.</w:t>
            </w:r>
          </w:p>
        </w:tc>
        <w:tc>
          <w:tcPr>
            <w:tcW w:w="4552" w:type="dxa"/>
          </w:tcPr>
          <w:p w14:paraId="560E156A" w14:textId="77777777" w:rsidR="00F42404" w:rsidRPr="0044524F" w:rsidRDefault="00F42404" w:rsidP="009654CF">
            <w:pPr>
              <w:spacing w:after="0" w:line="240" w:lineRule="auto"/>
              <w:jc w:val="both"/>
              <w:rPr>
                <w:rFonts w:ascii="Times New Roman" w:hAnsi="Times New Roman"/>
                <w:color w:val="000000" w:themeColor="text1"/>
                <w:sz w:val="16"/>
                <w:szCs w:val="16"/>
              </w:rPr>
            </w:pPr>
          </w:p>
        </w:tc>
      </w:tr>
    </w:tbl>
    <w:p w14:paraId="58EB1D8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Нужны моторы с нагнетателями. Ориентировочный выход - август-сентябрь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4E10C1" w:rsidRPr="0044524F" w14:paraId="15FC2275" w14:textId="77777777">
        <w:tc>
          <w:tcPr>
            <w:tcW w:w="5636" w:type="dxa"/>
          </w:tcPr>
          <w:p w14:paraId="4ED96D6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ДИП 2М-34</w:t>
            </w:r>
          </w:p>
        </w:tc>
        <w:tc>
          <w:tcPr>
            <w:tcW w:w="4552" w:type="dxa"/>
          </w:tcPr>
          <w:p w14:paraId="0648128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w:t>
            </w:r>
          </w:p>
        </w:tc>
      </w:tr>
      <w:tr w:rsidR="004E10C1" w:rsidRPr="0044524F" w14:paraId="03F40A13" w14:textId="77777777">
        <w:tc>
          <w:tcPr>
            <w:tcW w:w="5636" w:type="dxa"/>
          </w:tcPr>
          <w:p w14:paraId="04C2B2A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ДИП гол.</w:t>
            </w:r>
          </w:p>
        </w:tc>
        <w:tc>
          <w:tcPr>
            <w:tcW w:w="4552" w:type="dxa"/>
          </w:tcPr>
          <w:p w14:paraId="3C4D7E5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01.02.34</w:t>
            </w:r>
          </w:p>
        </w:tc>
      </w:tr>
      <w:tr w:rsidR="004E10C1" w:rsidRPr="0044524F" w14:paraId="283D3B8B" w14:textId="77777777">
        <w:tc>
          <w:tcPr>
            <w:tcW w:w="5636" w:type="dxa"/>
          </w:tcPr>
          <w:p w14:paraId="44333F2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И-13 М-38</w:t>
            </w:r>
          </w:p>
        </w:tc>
        <w:tc>
          <w:tcPr>
            <w:tcW w:w="4552" w:type="dxa"/>
          </w:tcPr>
          <w:p w14:paraId="7D0AF3F0" w14:textId="77777777" w:rsidR="00F42404" w:rsidRPr="0044524F" w:rsidRDefault="00F42404" w:rsidP="009654CF">
            <w:pPr>
              <w:spacing w:after="0" w:line="240" w:lineRule="auto"/>
              <w:jc w:val="both"/>
              <w:rPr>
                <w:rFonts w:ascii="Times New Roman" w:hAnsi="Times New Roman"/>
                <w:color w:val="000000" w:themeColor="text1"/>
                <w:sz w:val="16"/>
                <w:szCs w:val="16"/>
              </w:rPr>
            </w:pPr>
          </w:p>
        </w:tc>
      </w:tr>
    </w:tbl>
    <w:p w14:paraId="502218F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опытную ставится Бристоль-Меркур, выход на аэродром с БМ - декабрь 1933 - январь 1934</w:t>
      </w:r>
    </w:p>
    <w:p w14:paraId="4725856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И-14 М-38</w:t>
      </w:r>
    </w:p>
    <w:p w14:paraId="057C15B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опытную ставится Бристоль-Меркур, выход на аэродром с БМ - апрель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98"/>
        <w:gridCol w:w="4590"/>
      </w:tblGrid>
      <w:tr w:rsidR="004E10C1" w:rsidRPr="0044524F" w14:paraId="79C51D0C" w14:textId="77777777">
        <w:tc>
          <w:tcPr>
            <w:tcW w:w="5598" w:type="dxa"/>
          </w:tcPr>
          <w:p w14:paraId="045AD28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МК-1 6М-34РН</w:t>
            </w:r>
          </w:p>
        </w:tc>
        <w:tc>
          <w:tcPr>
            <w:tcW w:w="4590" w:type="dxa"/>
          </w:tcPr>
          <w:p w14:paraId="2B4B108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r>
      <w:tr w:rsidR="004E10C1" w:rsidRPr="0044524F" w14:paraId="341C971C" w14:textId="77777777">
        <w:tc>
          <w:tcPr>
            <w:tcW w:w="5598" w:type="dxa"/>
          </w:tcPr>
          <w:p w14:paraId="19F83CB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МДР-3бис 3М-34</w:t>
            </w:r>
          </w:p>
        </w:tc>
        <w:tc>
          <w:tcPr>
            <w:tcW w:w="4590" w:type="dxa"/>
          </w:tcPr>
          <w:p w14:paraId="633CF1F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01.11.33</w:t>
            </w:r>
          </w:p>
        </w:tc>
      </w:tr>
      <w:tr w:rsidR="004E10C1" w:rsidRPr="0044524F" w14:paraId="20FAFDC0" w14:textId="77777777">
        <w:tc>
          <w:tcPr>
            <w:tcW w:w="5598" w:type="dxa"/>
          </w:tcPr>
          <w:p w14:paraId="47DDCDF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РД</w:t>
            </w:r>
          </w:p>
        </w:tc>
        <w:tc>
          <w:tcPr>
            <w:tcW w:w="4590" w:type="dxa"/>
          </w:tcPr>
          <w:p w14:paraId="23341AF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01.04.33</w:t>
            </w:r>
          </w:p>
        </w:tc>
      </w:tr>
      <w:tr w:rsidR="004E10C1" w:rsidRPr="0044524F" w14:paraId="2D0FBC08" w14:textId="77777777">
        <w:tc>
          <w:tcPr>
            <w:tcW w:w="5598" w:type="dxa"/>
          </w:tcPr>
          <w:p w14:paraId="57E572E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МГ</w:t>
            </w:r>
          </w:p>
        </w:tc>
        <w:tc>
          <w:tcPr>
            <w:tcW w:w="4590" w:type="dxa"/>
          </w:tcPr>
          <w:p w14:paraId="18771FE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01.04.33</w:t>
            </w:r>
          </w:p>
        </w:tc>
      </w:tr>
      <w:tr w:rsidR="004E10C1" w:rsidRPr="0044524F" w14:paraId="3F5AC4D6" w14:textId="77777777">
        <w:tc>
          <w:tcPr>
            <w:tcW w:w="5598" w:type="dxa"/>
          </w:tcPr>
          <w:p w14:paraId="4FAD53F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МБР-2 М-17</w:t>
            </w:r>
          </w:p>
        </w:tc>
        <w:tc>
          <w:tcPr>
            <w:tcW w:w="4590" w:type="dxa"/>
          </w:tcPr>
          <w:p w14:paraId="477A715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идет</w:t>
            </w:r>
          </w:p>
        </w:tc>
      </w:tr>
      <w:tr w:rsidR="004E10C1" w:rsidRPr="0044524F" w14:paraId="2544A7D2" w14:textId="77777777">
        <w:tc>
          <w:tcPr>
            <w:tcW w:w="5598" w:type="dxa"/>
          </w:tcPr>
          <w:p w14:paraId="183E225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tc>
        <w:tc>
          <w:tcPr>
            <w:tcW w:w="4590" w:type="dxa"/>
          </w:tcPr>
          <w:p w14:paraId="22B8C405" w14:textId="77777777" w:rsidR="00F42404" w:rsidRPr="0044524F" w:rsidRDefault="00F42404" w:rsidP="009654CF">
            <w:pPr>
              <w:spacing w:after="0" w:line="240" w:lineRule="auto"/>
              <w:jc w:val="both"/>
              <w:rPr>
                <w:rFonts w:ascii="Times New Roman" w:hAnsi="Times New Roman"/>
                <w:color w:val="000000" w:themeColor="text1"/>
                <w:sz w:val="16"/>
                <w:szCs w:val="16"/>
              </w:rPr>
            </w:pPr>
          </w:p>
        </w:tc>
      </w:tr>
      <w:tr w:rsidR="004E10C1" w:rsidRPr="0044524F" w14:paraId="311E497C" w14:textId="77777777">
        <w:tc>
          <w:tcPr>
            <w:tcW w:w="5598" w:type="dxa"/>
          </w:tcPr>
          <w:p w14:paraId="55E6D90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К-7 7М-34</w:t>
            </w:r>
          </w:p>
        </w:tc>
        <w:tc>
          <w:tcPr>
            <w:tcW w:w="4590" w:type="dxa"/>
          </w:tcPr>
          <w:p w14:paraId="14202B0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w:t>
            </w:r>
          </w:p>
        </w:tc>
      </w:tr>
      <w:tr w:rsidR="004E10C1" w:rsidRPr="0044524F" w14:paraId="22FC8FBA" w14:textId="77777777">
        <w:tc>
          <w:tcPr>
            <w:tcW w:w="5598" w:type="dxa"/>
          </w:tcPr>
          <w:p w14:paraId="71F5F38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ВС 2М-52</w:t>
            </w:r>
          </w:p>
        </w:tc>
        <w:tc>
          <w:tcPr>
            <w:tcW w:w="4590" w:type="dxa"/>
          </w:tcPr>
          <w:p w14:paraId="038BBDC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зависимости от поступления мотора</w:t>
            </w:r>
          </w:p>
        </w:tc>
      </w:tr>
      <w:tr w:rsidR="004E10C1" w:rsidRPr="0044524F" w14:paraId="7DC073D3" w14:textId="77777777">
        <w:tc>
          <w:tcPr>
            <w:tcW w:w="5598" w:type="dxa"/>
          </w:tcPr>
          <w:p w14:paraId="4E22A5E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У-3 М-48</w:t>
            </w:r>
          </w:p>
        </w:tc>
        <w:tc>
          <w:tcPr>
            <w:tcW w:w="4590" w:type="dxa"/>
          </w:tcPr>
          <w:p w14:paraId="2242F51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w:t>
            </w:r>
          </w:p>
        </w:tc>
      </w:tr>
    </w:tbl>
    <w:p w14:paraId="5B28600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39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4E10C1" w:rsidRPr="0044524F" w14:paraId="52114AF4" w14:textId="77777777">
        <w:tc>
          <w:tcPr>
            <w:tcW w:w="5636" w:type="dxa"/>
          </w:tcPr>
          <w:p w14:paraId="36F81E6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И-15 М-38</w:t>
            </w:r>
          </w:p>
        </w:tc>
        <w:tc>
          <w:tcPr>
            <w:tcW w:w="4552" w:type="dxa"/>
          </w:tcPr>
          <w:p w14:paraId="67B2D13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зависимости от мотора, если мотор будет в апреле, то самолет выйдет в сентябре</w:t>
            </w:r>
          </w:p>
        </w:tc>
      </w:tr>
      <w:tr w:rsidR="004E10C1" w:rsidRPr="0044524F" w14:paraId="1C61A192" w14:textId="77777777">
        <w:tc>
          <w:tcPr>
            <w:tcW w:w="5636" w:type="dxa"/>
          </w:tcPr>
          <w:p w14:paraId="7C7544E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И-15 МБ</w:t>
            </w:r>
          </w:p>
        </w:tc>
        <w:tc>
          <w:tcPr>
            <w:tcW w:w="4552" w:type="dxa"/>
          </w:tcPr>
          <w:p w14:paraId="39E1896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w:t>
            </w:r>
          </w:p>
        </w:tc>
      </w:tr>
      <w:tr w:rsidR="004E10C1" w:rsidRPr="0044524F" w14:paraId="63AC0187" w14:textId="77777777">
        <w:tc>
          <w:tcPr>
            <w:tcW w:w="5636" w:type="dxa"/>
          </w:tcPr>
          <w:p w14:paraId="68800D6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ЛР М-34</w:t>
            </w:r>
          </w:p>
        </w:tc>
        <w:tc>
          <w:tcPr>
            <w:tcW w:w="4552" w:type="dxa"/>
          </w:tcPr>
          <w:p w14:paraId="138EADB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01.08.33</w:t>
            </w:r>
          </w:p>
        </w:tc>
      </w:tr>
      <w:tr w:rsidR="004E10C1" w:rsidRPr="0044524F" w14:paraId="0688BC5B" w14:textId="77777777">
        <w:tc>
          <w:tcPr>
            <w:tcW w:w="5636" w:type="dxa"/>
          </w:tcPr>
          <w:p w14:paraId="58C3780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ЛР дублер</w:t>
            </w:r>
          </w:p>
        </w:tc>
        <w:tc>
          <w:tcPr>
            <w:tcW w:w="4552" w:type="dxa"/>
          </w:tcPr>
          <w:p w14:paraId="5DE0722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01.08.33</w:t>
            </w:r>
          </w:p>
        </w:tc>
      </w:tr>
      <w:tr w:rsidR="004E10C1" w:rsidRPr="0044524F" w14:paraId="0C4BC990" w14:textId="77777777">
        <w:tc>
          <w:tcPr>
            <w:tcW w:w="5636" w:type="dxa"/>
          </w:tcPr>
          <w:p w14:paraId="46AEB5A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ЛР головной</w:t>
            </w:r>
          </w:p>
        </w:tc>
        <w:tc>
          <w:tcPr>
            <w:tcW w:w="4552" w:type="dxa"/>
          </w:tcPr>
          <w:p w14:paraId="377B327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r>
      <w:tr w:rsidR="004E10C1" w:rsidRPr="0044524F" w14:paraId="6C5FAEFA" w14:textId="77777777">
        <w:tc>
          <w:tcPr>
            <w:tcW w:w="5636" w:type="dxa"/>
          </w:tcPr>
          <w:p w14:paraId="528053F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ТШ-3 М-34</w:t>
            </w:r>
          </w:p>
        </w:tc>
        <w:tc>
          <w:tcPr>
            <w:tcW w:w="4552" w:type="dxa"/>
          </w:tcPr>
          <w:p w14:paraId="2022A6A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01.11.33</w:t>
            </w:r>
          </w:p>
        </w:tc>
      </w:tr>
      <w:tr w:rsidR="004E10C1" w:rsidRPr="0044524F" w14:paraId="182C7B09" w14:textId="77777777">
        <w:tc>
          <w:tcPr>
            <w:tcW w:w="5636" w:type="dxa"/>
          </w:tcPr>
          <w:p w14:paraId="2DC89F0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ТШ-3</w:t>
            </w:r>
          </w:p>
        </w:tc>
        <w:tc>
          <w:tcPr>
            <w:tcW w:w="4552" w:type="dxa"/>
          </w:tcPr>
          <w:p w14:paraId="0489090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01.11.33</w:t>
            </w:r>
          </w:p>
        </w:tc>
      </w:tr>
      <w:tr w:rsidR="004E10C1" w:rsidRPr="0044524F" w14:paraId="5C95AC0E" w14:textId="77777777">
        <w:tc>
          <w:tcPr>
            <w:tcW w:w="5636" w:type="dxa"/>
          </w:tcPr>
          <w:p w14:paraId="7D78B6C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8) ТШ головной</w:t>
            </w:r>
          </w:p>
        </w:tc>
        <w:tc>
          <w:tcPr>
            <w:tcW w:w="4552" w:type="dxa"/>
          </w:tcPr>
          <w:p w14:paraId="1B09A89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01.03.34</w:t>
            </w:r>
          </w:p>
        </w:tc>
      </w:tr>
      <w:tr w:rsidR="004E10C1" w:rsidRPr="0044524F" w14:paraId="2076C915" w14:textId="77777777">
        <w:tc>
          <w:tcPr>
            <w:tcW w:w="5636" w:type="dxa"/>
          </w:tcPr>
          <w:p w14:paraId="74F670F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ДИ-6 М-32</w:t>
            </w:r>
          </w:p>
        </w:tc>
        <w:tc>
          <w:tcPr>
            <w:tcW w:w="4552" w:type="dxa"/>
          </w:tcPr>
          <w:p w14:paraId="2D57E84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мес. после получения мотора</w:t>
            </w:r>
          </w:p>
        </w:tc>
      </w:tr>
      <w:tr w:rsidR="004E10C1" w:rsidRPr="0044524F" w14:paraId="57221117" w14:textId="77777777">
        <w:tc>
          <w:tcPr>
            <w:tcW w:w="5636" w:type="dxa"/>
          </w:tcPr>
          <w:p w14:paraId="080CE39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И-16</w:t>
            </w:r>
          </w:p>
        </w:tc>
        <w:tc>
          <w:tcPr>
            <w:tcW w:w="4552" w:type="dxa"/>
          </w:tcPr>
          <w:p w14:paraId="71835A0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01.04.34</w:t>
            </w:r>
          </w:p>
        </w:tc>
      </w:tr>
      <w:tr w:rsidR="004E10C1" w:rsidRPr="0044524F" w14:paraId="17714FF4" w14:textId="77777777">
        <w:tc>
          <w:tcPr>
            <w:tcW w:w="5636" w:type="dxa"/>
          </w:tcPr>
          <w:p w14:paraId="50F6891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Стратосферный сам.</w:t>
            </w:r>
          </w:p>
        </w:tc>
        <w:tc>
          <w:tcPr>
            <w:tcW w:w="4552" w:type="dxa"/>
          </w:tcPr>
          <w:p w14:paraId="1CF5A96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зависимости от М-34Н к 01.12.33</w:t>
            </w:r>
          </w:p>
        </w:tc>
      </w:tr>
      <w:tr w:rsidR="004E10C1" w:rsidRPr="0044524F" w14:paraId="59364888" w14:textId="77777777">
        <w:tc>
          <w:tcPr>
            <w:tcW w:w="5636" w:type="dxa"/>
          </w:tcPr>
          <w:p w14:paraId="7115148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СС</w:t>
            </w:r>
          </w:p>
        </w:tc>
        <w:tc>
          <w:tcPr>
            <w:tcW w:w="4552" w:type="dxa"/>
          </w:tcPr>
          <w:p w14:paraId="50C2B8B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01.05.34</w:t>
            </w:r>
          </w:p>
        </w:tc>
      </w:tr>
      <w:tr w:rsidR="004E10C1" w:rsidRPr="0044524F" w14:paraId="2FEBCA37" w14:textId="77777777">
        <w:tc>
          <w:tcPr>
            <w:tcW w:w="5636" w:type="dxa"/>
          </w:tcPr>
          <w:p w14:paraId="12897EB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Лет. Крыло 2М-34</w:t>
            </w:r>
          </w:p>
        </w:tc>
        <w:tc>
          <w:tcPr>
            <w:tcW w:w="4552" w:type="dxa"/>
          </w:tcPr>
          <w:p w14:paraId="3FD02A1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r>
      <w:tr w:rsidR="004E10C1" w:rsidRPr="0044524F" w14:paraId="29DB04FF" w14:textId="77777777">
        <w:tc>
          <w:tcPr>
            <w:tcW w:w="5636" w:type="dxa"/>
          </w:tcPr>
          <w:p w14:paraId="03B95E4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СБС</w:t>
            </w:r>
          </w:p>
        </w:tc>
        <w:tc>
          <w:tcPr>
            <w:tcW w:w="4552" w:type="dxa"/>
          </w:tcPr>
          <w:p w14:paraId="79616E8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01.08.34</w:t>
            </w:r>
          </w:p>
        </w:tc>
      </w:tr>
      <w:tr w:rsidR="004E10C1" w:rsidRPr="0044524F" w14:paraId="7F8A30BC" w14:textId="77777777">
        <w:tc>
          <w:tcPr>
            <w:tcW w:w="5636" w:type="dxa"/>
          </w:tcPr>
          <w:p w14:paraId="525B622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Самолет Кричев. М-11</w:t>
            </w:r>
          </w:p>
        </w:tc>
        <w:tc>
          <w:tcPr>
            <w:tcW w:w="4552" w:type="dxa"/>
          </w:tcPr>
          <w:p w14:paraId="16D1893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01.08.33</w:t>
            </w:r>
          </w:p>
        </w:tc>
      </w:tr>
      <w:tr w:rsidR="004E10C1" w:rsidRPr="0044524F" w14:paraId="4F5D3E9E" w14:textId="77777777">
        <w:tc>
          <w:tcPr>
            <w:tcW w:w="5636" w:type="dxa"/>
          </w:tcPr>
          <w:p w14:paraId="737CA51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Парабола М-11</w:t>
            </w:r>
          </w:p>
        </w:tc>
        <w:tc>
          <w:tcPr>
            <w:tcW w:w="4552" w:type="dxa"/>
          </w:tcPr>
          <w:p w14:paraId="0FD73D7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01.05.33</w:t>
            </w:r>
          </w:p>
        </w:tc>
      </w:tr>
      <w:tr w:rsidR="004E10C1" w:rsidRPr="0044524F" w14:paraId="4024E4B0" w14:textId="77777777">
        <w:tc>
          <w:tcPr>
            <w:tcW w:w="5636" w:type="dxa"/>
          </w:tcPr>
          <w:p w14:paraId="4738051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самолеты для ГА</w:t>
            </w:r>
          </w:p>
        </w:tc>
        <w:tc>
          <w:tcPr>
            <w:tcW w:w="4552" w:type="dxa"/>
          </w:tcPr>
          <w:p w14:paraId="4B275CEE" w14:textId="77777777" w:rsidR="00F42404" w:rsidRPr="0044524F" w:rsidRDefault="00F42404" w:rsidP="009654CF">
            <w:pPr>
              <w:spacing w:after="0" w:line="240" w:lineRule="auto"/>
              <w:jc w:val="both"/>
              <w:rPr>
                <w:rFonts w:ascii="Times New Roman" w:hAnsi="Times New Roman"/>
                <w:color w:val="000000" w:themeColor="text1"/>
                <w:sz w:val="16"/>
                <w:szCs w:val="16"/>
              </w:rPr>
            </w:pPr>
          </w:p>
        </w:tc>
      </w:tr>
      <w:tr w:rsidR="004E10C1" w:rsidRPr="0044524F" w14:paraId="1EE485AD" w14:textId="77777777">
        <w:tc>
          <w:tcPr>
            <w:tcW w:w="5636" w:type="dxa"/>
          </w:tcPr>
          <w:p w14:paraId="6265FFB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Под 65 нр</w:t>
            </w:r>
          </w:p>
        </w:tc>
        <w:tc>
          <w:tcPr>
            <w:tcW w:w="4552" w:type="dxa"/>
          </w:tcPr>
          <w:p w14:paraId="7E0EF54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w:t>
            </w:r>
          </w:p>
        </w:tc>
      </w:tr>
      <w:tr w:rsidR="004E10C1" w:rsidRPr="0044524F" w14:paraId="0F6421B8" w14:textId="77777777">
        <w:tc>
          <w:tcPr>
            <w:tcW w:w="5636" w:type="dxa"/>
          </w:tcPr>
          <w:p w14:paraId="3FE9127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Под М-51</w:t>
            </w:r>
          </w:p>
        </w:tc>
        <w:tc>
          <w:tcPr>
            <w:tcW w:w="4552" w:type="dxa"/>
          </w:tcPr>
          <w:p w14:paraId="6B7555A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w:t>
            </w:r>
          </w:p>
        </w:tc>
      </w:tr>
      <w:tr w:rsidR="004E10C1" w:rsidRPr="0044524F" w14:paraId="217C4162" w14:textId="77777777">
        <w:tc>
          <w:tcPr>
            <w:tcW w:w="5636" w:type="dxa"/>
          </w:tcPr>
          <w:p w14:paraId="0F6E43E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Под М-49</w:t>
            </w:r>
          </w:p>
        </w:tc>
        <w:tc>
          <w:tcPr>
            <w:tcW w:w="4552" w:type="dxa"/>
          </w:tcPr>
          <w:p w14:paraId="1430716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01710.33</w:t>
            </w:r>
          </w:p>
        </w:tc>
      </w:tr>
      <w:tr w:rsidR="004E10C1" w:rsidRPr="0044524F" w14:paraId="76CE972B" w14:textId="77777777">
        <w:tc>
          <w:tcPr>
            <w:tcW w:w="5636" w:type="dxa"/>
          </w:tcPr>
          <w:p w14:paraId="36E51DD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Р-5 М-17</w:t>
            </w:r>
          </w:p>
        </w:tc>
        <w:tc>
          <w:tcPr>
            <w:tcW w:w="4552" w:type="dxa"/>
          </w:tcPr>
          <w:p w14:paraId="0EB5FD9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r>
    </w:tbl>
    <w:p w14:paraId="6E8A3C7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РК и торм.</w:t>
      </w:r>
    </w:p>
    <w:p w14:paraId="483F689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Модификации ЦАГИ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4552"/>
      </w:tblGrid>
      <w:tr w:rsidR="004E10C1" w:rsidRPr="0044524F" w14:paraId="1CA13F9D" w14:textId="77777777">
        <w:tc>
          <w:tcPr>
            <w:tcW w:w="5636" w:type="dxa"/>
          </w:tcPr>
          <w:p w14:paraId="439C595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ТБ-3 4М-34</w:t>
            </w:r>
          </w:p>
        </w:tc>
        <w:tc>
          <w:tcPr>
            <w:tcW w:w="4552" w:type="dxa"/>
          </w:tcPr>
          <w:p w14:paraId="601B914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идет</w:t>
            </w:r>
          </w:p>
        </w:tc>
      </w:tr>
      <w:tr w:rsidR="004E10C1" w:rsidRPr="0044524F" w14:paraId="259F599E" w14:textId="77777777">
        <w:tc>
          <w:tcPr>
            <w:tcW w:w="5636" w:type="dxa"/>
          </w:tcPr>
          <w:p w14:paraId="7112364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С-62 М-34</w:t>
            </w:r>
          </w:p>
        </w:tc>
        <w:tc>
          <w:tcPr>
            <w:tcW w:w="4552" w:type="dxa"/>
          </w:tcPr>
          <w:p w14:paraId="62BA717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идет</w:t>
            </w:r>
          </w:p>
        </w:tc>
      </w:tr>
      <w:tr w:rsidR="004E10C1" w:rsidRPr="0044524F" w14:paraId="4A5C4D97" w14:textId="77777777">
        <w:tc>
          <w:tcPr>
            <w:tcW w:w="5636" w:type="dxa"/>
          </w:tcPr>
          <w:p w14:paraId="6D3DBA2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Р-6 на попл.</w:t>
            </w:r>
          </w:p>
        </w:tc>
        <w:tc>
          <w:tcPr>
            <w:tcW w:w="4552" w:type="dxa"/>
          </w:tcPr>
          <w:p w14:paraId="741AFCA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идет</w:t>
            </w:r>
          </w:p>
        </w:tc>
      </w:tr>
      <w:tr w:rsidR="004E10C1" w:rsidRPr="0044524F" w14:paraId="5FA57523" w14:textId="77777777">
        <w:tc>
          <w:tcPr>
            <w:tcW w:w="5636" w:type="dxa"/>
          </w:tcPr>
          <w:p w14:paraId="5219847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Р-5 с торм. кол.</w:t>
            </w:r>
          </w:p>
        </w:tc>
        <w:tc>
          <w:tcPr>
            <w:tcW w:w="4552" w:type="dxa"/>
          </w:tcPr>
          <w:p w14:paraId="37FC285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идет</w:t>
            </w:r>
          </w:p>
        </w:tc>
      </w:tr>
      <w:tr w:rsidR="004E10C1" w:rsidRPr="0044524F" w14:paraId="3E5953D6" w14:textId="77777777">
        <w:tc>
          <w:tcPr>
            <w:tcW w:w="5636" w:type="dxa"/>
          </w:tcPr>
          <w:p w14:paraId="698BBB7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Р-5 на попл.</w:t>
            </w:r>
          </w:p>
        </w:tc>
        <w:tc>
          <w:tcPr>
            <w:tcW w:w="4552" w:type="dxa"/>
          </w:tcPr>
          <w:p w14:paraId="30A4D3A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идет (2286,50)</w:t>
            </w:r>
          </w:p>
        </w:tc>
      </w:tr>
    </w:tbl>
    <w:p w14:paraId="03F2173B"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7971E7C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года N 001255 начальник ВВС Алкснис подготовил Справку о выполнении решений КО об опытном самолетостроении.</w:t>
      </w:r>
    </w:p>
    <w:p w14:paraId="21D5CA1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Постановление КЩ от 4.07.32 года по опытному самолетостроению:</w:t>
      </w:r>
    </w:p>
    <w:p w14:paraId="21B66D2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Создание типов вполне современных истребителей одно, двух и многоместных.</w:t>
      </w:r>
    </w:p>
    <w:p w14:paraId="6E86761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Многоместный истребитель МИ3.</w:t>
      </w:r>
    </w:p>
    <w:p w14:paraId="376D330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2М34 - срок выхода на аэродром установленный КО 1.01.33 г. Постановление не выполнено. Самолет в производстве почти закончен. Выход его на аэродром ожидается в последней декаде марта.</w:t>
      </w:r>
    </w:p>
    <w:p w14:paraId="734BC2A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Невыполнение постановления объясняется задержкой с выпуском мотора М-34. летные данные самолета не будут удовлетворять утвержденным КО ввиду установки на самолет мотора М-34 без нагнетателя.</w:t>
      </w:r>
    </w:p>
    <w:p w14:paraId="3C77471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Двухместный истребитель пушечный ДИП 2М34. Срок установлен КО 1.10.33 г. по ходу работ срок будет выдержан.</w:t>
      </w:r>
    </w:p>
    <w:p w14:paraId="46EF806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Двухместный истребитель ДИ6 с мотором М32 или М38. Срок выпуска, установленный КО 1.04.33 г. В настоящее время ведется проработка схемы самолета в 2-х вариантах под моторы М32 и М38. Ввиду того, что заводские испытания этих моторов еще до настоящего времени не закончены, самолет является необеспеченным моторами и срок его выпуска будет сорван.</w:t>
      </w:r>
    </w:p>
    <w:p w14:paraId="6D1D754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 И-13 под мотор М32. Срок выпуска по постановлению КО 1.04.33 г. Состояние заводских испытаний мотора и количество обнаруженных в нем дефектов указывают на то, что к 1.04 мотор М-32 не сможет быть установлен на самолет, что приведет к срыву его выпуска.</w:t>
      </w:r>
    </w:p>
    <w:p w14:paraId="1E286BA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ведется проработка схемы самолетов.</w:t>
      </w:r>
    </w:p>
    <w:p w14:paraId="0FB59C5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 И-14 под мотор М38. Срок выпуска по постановлению КО 15.03.33 г. Ввиду неокончания заводских испытаний мотора М38 первый экземпляр самолета строится под заграничный мотор Бристоль-Меркур. Проектирование самолета закончено. В постройке находятся: крылья, фюзеляж и оперение. Срок выпуска самолета намечается на май с.г. Невыполнение срока, поставленного КО, объясняется отсутствием мотора и недостаточными темпами работы ЦАГИ.</w:t>
      </w:r>
    </w:p>
    <w:p w14:paraId="453B667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Форсирование образцов по постройке образцов тяжелого бомбардирования (ТБ-4).</w:t>
      </w:r>
    </w:p>
    <w:p w14:paraId="12D680D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бомбардировщик ТБ-6.</w:t>
      </w:r>
    </w:p>
    <w:p w14:paraId="4A19153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постановлению КО 1.12.34 г. Закончена проработка схемы самолета. Ведется проектирование отдельных деталей конструкции. Ввиду неясности с качеством мотора М-44 и нефтяных проектирование ведется под 12 моторов М-34. Срок может быть выдержан.</w:t>
      </w:r>
    </w:p>
    <w:p w14:paraId="3F4EB9E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десантный самолет Д-1 10М34.</w:t>
      </w:r>
    </w:p>
    <w:p w14:paraId="4A3F19E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- 1.06.33 г. Проектирование самолета закончено. Ведется испытание передач к винтам. остается нерешенным вопрос о производственной базе для постройки самолетов. Отсутствие производственной базы уже в настоящее время делает выпуск самолета к 1.06.33 г. невозможным.</w:t>
      </w:r>
    </w:p>
    <w:p w14:paraId="71D283B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ТБ-4 6-М34.</w:t>
      </w:r>
    </w:p>
    <w:p w14:paraId="341415E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- 1.11.32 г. Указанный срок ЦАГИ не выдержан. В настоящее время самолет перевезен на аэродром, где производится его сборка. Первый полет самолета ожидается не ранее конца марта. Срыв срока объясняется с одной стороны задержкой с предоставлением ЦАГИ мотора М-34, с другой исключительно слабыми темпами, проявленными со стороны ЦИАМ"а и ЦАГИ в отношении доводки винтомоторной группы самолета.</w:t>
      </w:r>
    </w:p>
    <w:p w14:paraId="0198A2F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ТБ-4 6-М34-Р.</w:t>
      </w:r>
    </w:p>
    <w:p w14:paraId="57B0E77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(Головной).</w:t>
      </w:r>
    </w:p>
    <w:p w14:paraId="38ABFB1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- 1.06.33 г. Самолет находится в постройке в ЦАГИ. Темпы постройки не гарантируют указанного выше срока его выпуска.</w:t>
      </w:r>
    </w:p>
    <w:p w14:paraId="38CBD41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бомбардировщик К-77 М-34.</w:t>
      </w:r>
    </w:p>
    <w:p w14:paraId="7E94DF3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- 1.05.33 г. Постройку самолета ведет конструкторское бюро Калинина. В настоящее время постройка полностью развернута. Однако следует считать вероятным опоздание выхода самолета против срока стоящего в плане на 3-4 месяца, объясняющееся, в основном, трудностями, встретившимися у конструкторского бюро при термической обработке и сварке хромомолибденовых труб.</w:t>
      </w:r>
    </w:p>
    <w:p w14:paraId="3044C8F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постройки остальных опытных самолетов, стоящих в плане, утвержденном КО 4.07.32 г. - нижеследующее:</w:t>
      </w:r>
    </w:p>
    <w:p w14:paraId="59DE0F7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химический боевик XI 2-М34.</w:t>
      </w:r>
    </w:p>
    <w:p w14:paraId="3704CF8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плану утвержденному КО, самолет строится ГУГВФ со сроком выпуска 1.08.33 г. В настоящее время ведется проработка схемы самолета. Постройка самолета с финансовой стороны ГУГВФ"ом не обеспечена. ГУГВФ считает срок выпуска, стоящий в плане, невыполненным и гарантирует выпуск самолета на 1 год позднее.</w:t>
      </w:r>
    </w:p>
    <w:p w14:paraId="4E9A52D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 сухопутный К-1 2М34.</w:t>
      </w:r>
    </w:p>
    <w:p w14:paraId="116827E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- 1.10.33 г. В настоящее время проектирование самолета почти закончено. С точки зрения постройки самолета, срок его выпуска может безусловно быть выдержан. Однако, ввиду того, что самолет для повышения его летных качеств проектируется под 2 мотора М-32, задержка с представлением ЦАГИ этих моторов, может сорвать выпуск самолета.</w:t>
      </w:r>
    </w:p>
    <w:p w14:paraId="63CF3B5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разведчик ЛР М-34.</w:t>
      </w:r>
    </w:p>
    <w:p w14:paraId="2024F09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самолета по плану - 1.03.33 г. В настоящее время самолет спроектирован и находится в постройке. Окончание последнего намечено на июнь 1933 г. Срыв срока, установленного КО, объясняется в основном тем, что ЦАГИ развернуло проектирование самолетов до предъявления на утверждение ВВС его макета, благодаря чему 2-х месячная работа КБ над неприемлемой для ВВС схемой самолета оказалась напрасной.</w:t>
      </w:r>
    </w:p>
    <w:p w14:paraId="442FC01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Войсковой самолет ВС22М52.</w:t>
      </w:r>
    </w:p>
    <w:p w14:paraId="76E8A19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- 1.07.33 г.</w:t>
      </w:r>
    </w:p>
    <w:p w14:paraId="558B43D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проектируется КБ Калинина. В настоящее время проводится проработка схемы самолета. В виду занятости КБ самолетом К-7, работа ведется медленными темпами, не обеспечивающими выдерживание срока выпуска самолета, установленного КО.</w:t>
      </w:r>
    </w:p>
    <w:p w14:paraId="5AB76FC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Переходной самолет П3 М52.</w:t>
      </w:r>
    </w:p>
    <w:p w14:paraId="4A4897E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- 1.05.33 г. согласно постановления КО - постройка самолета возложена на ГУГВФ. Работа по самолетам ГУГВФ"ом, ссылающимся на отсутствие средств не ведется. Несмотря на ряд требований о разворачивании работы со стороны УВВС - срок выпуска самолета, стоящий в плане, выдержан не будет.</w:t>
      </w:r>
    </w:p>
    <w:p w14:paraId="5DF8A55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самолет У-3 М-48.</w:t>
      </w:r>
    </w:p>
    <w:p w14:paraId="26EB5FA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- 1.03.33 г. Проектирование самолета было ГУАП"ом поручено Харьковскому авиационному институту. Но в настоящее время с него задание снимается и передается заводу N 23. Благодаря этому неизбежно значительное опоздание выхода самолета против срока, стоящего в плане.</w:t>
      </w:r>
    </w:p>
    <w:p w14:paraId="2EC094B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 сухопутные самолеты.</w:t>
      </w:r>
    </w:p>
    <w:p w14:paraId="2D15A8D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Высотный самолет он же рекордный на высоту.</w:t>
      </w:r>
    </w:p>
    <w:p w14:paraId="32FB05B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Срок выпуска по плану - 1.04.33 г. В настоящее время заканчивается проектирование самолета и он частично находится в постройке. Срок выпуска самолета определяется представлением ЦАГИ мотора М-34 с нагнетателем. Заводские испытания моторов М-34 с нагнетателем до высоты 5000 метров показали ряд крупных дефектов двухступенчатого нагнетателя, почему необходимо констатировать неизбежность опоздания выпуска самолета на 5-7 месяцев.</w:t>
      </w:r>
    </w:p>
    <w:p w14:paraId="63170D8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Рекордный самолет на дальность.</w:t>
      </w:r>
    </w:p>
    <w:p w14:paraId="066DE76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август 1932 года. В настоящее время самолет находится в постройке. Выпуск его на аэродром намечен на май с.г. Срыв выпуска самолета в срок, установленный КО, объясняется неполучение в течение лета 1932 г. ЦАГИ мотора М-34, что в свою очередь привело к резкому падению темпа работ по постройке самолета.</w:t>
      </w:r>
    </w:p>
    <w:p w14:paraId="4153369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 летающее крыл с 2 моторами М-11.</w:t>
      </w:r>
    </w:p>
    <w:p w14:paraId="3061B5A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 - 1.10.33 г. Ввиду благоприятный результатов испытаний летающего крыла с мотором Люцифер - 100 л.с. - ГУАП предлагает вместо постройки летающего крыла с 2 моторами М-11 - построить летающее крыло с двумя более мощными моторами (400-500 л.с.), со сроком выпуска самолета в начале 1934 г. Настоящее предложение следует считать приемлемым.</w:t>
      </w:r>
    </w:p>
    <w:p w14:paraId="2F82214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особым типом разрезных крыльев (системы Кричевского).</w:t>
      </w:r>
    </w:p>
    <w:p w14:paraId="2E44872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- 1.12.32 г. В настоящее время самолет находится в постройке. Выпуск его ожидается в мае с.г. Невыполнение срока стоящего в плане объясняется недостаточным вниманием со стороны ЦАГИ к его постройке.</w:t>
      </w:r>
    </w:p>
    <w:p w14:paraId="16029B0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ВГ-2.</w:t>
      </w:r>
    </w:p>
    <w:p w14:paraId="7D01E83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- 1.07.32 г. Геликоптер при его испытаниях показал летные данные, далеко превосходящие достигнутые аналогичными заграничными геликоптерами. Основной дефект геликоптера - недостаточная устойчивость, в настоящее время устраняется путем постройки геликоптера с модифицированным винтом. Срок выпуска модифицированного геликоптера ВГ-2 намечен на июнь с.г.</w:t>
      </w:r>
    </w:p>
    <w:p w14:paraId="4D36077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мотором М-11.</w:t>
      </w:r>
    </w:p>
    <w:p w14:paraId="2CC9C57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- 1.11.32 г. Постройка автожира в настоящее время заканчивается. Срыв срока выпуска автожира, поставленного КО объясняется медленными темпами его постройки в ЦАГИ.</w:t>
      </w:r>
    </w:p>
    <w:p w14:paraId="53A825A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мотором М-22.</w:t>
      </w:r>
    </w:p>
    <w:p w14:paraId="74B9CBA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- 1.01.33 г. Постройка автожира в настоящее время только разворачивается. Окончание ее намечается на конец II квартала 1933 г. Срыв срока выпуска автожира объясняется недостаточными темпами его постройки в ЦАГИ.</w:t>
      </w:r>
    </w:p>
    <w:p w14:paraId="16C6271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раздвижными крыльями</w:t>
      </w:r>
    </w:p>
    <w:p w14:paraId="4AD6BFB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(У3-бис М-48).</w:t>
      </w:r>
    </w:p>
    <w:p w14:paraId="2B860DA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- 1.05.33 г. Согласно постановления КО постройка этого самолета возложена на ГУГВФ, однако последним, работы по самолету не ведутся. Отказ от начала работ по самолету ГУГВФ объясняется отсутствием денежных средств.</w:t>
      </w:r>
    </w:p>
    <w:p w14:paraId="50C6734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нефтяным двигателем "Паккард".</w:t>
      </w:r>
    </w:p>
    <w:p w14:paraId="6841E3D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постановления КО работа по установке мотора проводится ГУГВФ. Последним настоящая работа не производится.</w:t>
      </w:r>
    </w:p>
    <w:p w14:paraId="42CF19B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Таран.</w:t>
      </w:r>
    </w:p>
    <w:p w14:paraId="1E1A03B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самолету не производится, так как таранение неприятельского самолета может быть произведено с использованием нормального истребителя, имеющего специальные подвески (предложение инженера Чернышева). Производство спецподвески проводится на заводе N 22.</w:t>
      </w:r>
    </w:p>
    <w:p w14:paraId="670DE1A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Модификация самолетов.</w:t>
      </w:r>
    </w:p>
    <w:p w14:paraId="1A96401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мотора М-34 на самолете ТБ-3.</w:t>
      </w:r>
    </w:p>
    <w:p w14:paraId="1124D72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 - 1.12.32 г. Первый полет самолета ТБ-3 М-34 произведен 8.03.33 г. Срыв срока выпуска самолета объясняется отчасти поздним представлением ЦАГИ М34 и главное исключительно медленными темпами работы ЦИАМ и ЦАГИ по доводке винтомоторной группы самолетов.</w:t>
      </w:r>
    </w:p>
    <w:p w14:paraId="4D5F644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мотора М-34 на самолете Р-5.</w:t>
      </w:r>
    </w:p>
    <w:p w14:paraId="5F97324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 - 1.07.32 г. выполнен с опозданием на 1 месяц.</w:t>
      </w:r>
    </w:p>
    <w:p w14:paraId="46711EB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М-34 - подготовка эталона машины.</w:t>
      </w:r>
    </w:p>
    <w:p w14:paraId="7CB3560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 - 15.10.32 г. Срок не выполнен, до настоящего времени работа по доводке винтомоторной группы самолета не закончена. Срыв срока объясняется недостаточными темпами работы ЦИАМ и ЦАГИ в указанном направлении.</w:t>
      </w:r>
    </w:p>
    <w:p w14:paraId="06F8095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Пушечный истребитель И-2 2М22, постройки второго модифицированного экземпляра.</w:t>
      </w:r>
    </w:p>
    <w:p w14:paraId="748AE41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 - 1.11.32 г. Самолет находится в постройке. Выпуск намечен на II квартал 1933 г. Срыв срока, стоящего в плане - объясняется с одной стороны - несвоевременной подачей ЦАГИ от завода N 8 стальной трубы к пушке, с другой стороны - слабыми темпами постройки самолета.</w:t>
      </w:r>
    </w:p>
    <w:p w14:paraId="0F5DE50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Создание типов морских лодочных самолетов.</w:t>
      </w:r>
    </w:p>
    <w:p w14:paraId="20283C4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Морские самолеты.</w:t>
      </w:r>
    </w:p>
    <w:p w14:paraId="429C1CA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МК-1 - 6М34. Морской крейсер, бомбардир. и торпедоносец.</w:t>
      </w:r>
    </w:p>
    <w:p w14:paraId="7A03C50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1,12,33 г. Находится в постройке, запаздывает, фактический срок предъявления следует ожидать не ранее 2-го квартала 1934 года.</w:t>
      </w:r>
    </w:p>
    <w:p w14:paraId="7DAA644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Макет самолета до сего времени не предъявлен и выполняется уже в течение 6 месяцев. При обсуждении макета может выявиться надобность в переделках, проведение которых отодвинет срок предъявления на гос. испытание. Причина запаздывания готовности макета - недостаточные темпы работ и недостаточное внимание к объекту строительства со стороны начальника КОСОС ЦАГИ (объекты морских самолетов идут по второй очереди в отношении сухопутных).</w:t>
      </w:r>
    </w:p>
    <w:p w14:paraId="0CD5BD4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МДР-3-бис 3М34. Морской дальний разведчик (модификация самолета МДР3 4М17).</w:t>
      </w:r>
    </w:p>
    <w:p w14:paraId="7ECA28C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по плану строительства не указан.</w:t>
      </w:r>
    </w:p>
    <w:p w14:paraId="2C8B1CA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в течение 7-ми месяцев не представляет летно-тактических данных самолетов, каковые могут быть получены из условия оставления старой лодки у модифицированного самолета.</w:t>
      </w:r>
    </w:p>
    <w:p w14:paraId="6FD816A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ВВС в силу затягивания сроков со стороны ЦАГИ предъявил последнему свои технические требования без согласования их с начальником КОСОС ЦАГИ Туполевым.</w:t>
      </w:r>
    </w:p>
    <w:p w14:paraId="4FE9DD8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испытания ЦАГИ не указывал, по состоянию работы этот срок - ориентировочно конец 1933 г. Причины задержки в ходе строительства данного объекта:</w:t>
      </w:r>
    </w:p>
    <w:p w14:paraId="59E494B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 течение 3-х месяцев ЦАГИ отклоняло требования НИИ о модификации самолетов, предлагая новый образец.</w:t>
      </w:r>
    </w:p>
    <w:p w14:paraId="312A9A1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Недостаточность внимания со стороны начальника КОСОС ЦАГИ к данному объекту, выразившееся в том, что несмотря на подготовленность материала по основным вопросам модифицированного типа, решение задерживалось в течение почти 2-х месяцев.</w:t>
      </w:r>
    </w:p>
    <w:p w14:paraId="4A66E54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МБР5 М-34. Морской ближний разведчик - Амфибия.</w:t>
      </w:r>
    </w:p>
    <w:p w14:paraId="6876F57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испытания - 1.08.33 г. Начальник ГУГВФ"а отказался от постройки самолета в силу слабости конструкторской и производственной базы и отсутствия денежных средств.</w:t>
      </w:r>
    </w:p>
    <w:p w14:paraId="36B2B45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настоящему моменту НИИ ВВС получено предварительное согласие начальника КОСОС ЦАГИ Туполева на принятие к постройке самолета, в связи с выделением из морской бригады КОСОС ЦАГИ отдельной бригады легких гидросамолетов.</w:t>
      </w:r>
    </w:p>
    <w:p w14:paraId="00BC26C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Вновь организованной бригадой ведется разработка предварительного эскиза самолета. Ввиду того, что поставленные планом летно-тактические требования технически (при отсутствии опыта по Амфибиям) трудно выполнимы, требуют варианта с 2 моторами - (2М34 НР)? с общим полетным весом 6,5 тонн, предлагаются изменения в техтребованиях, имеющие целью технически облегчить задачу и привести к одномоторному самолету с полетным весом 3,5 тонн. Изменения в летно-тактических данных, утвержденных планом выражаются только:</w:t>
      </w:r>
    </w:p>
    <w:p w14:paraId="4D27446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Снятие сбрасываемого груза (бомб) в нормальном варианте в количестве 100 кг.</w:t>
      </w:r>
    </w:p>
    <w:p w14:paraId="767712A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принятии второй огневой точки в счет перегрузки. Срок постройки и предъявления на гос. испытания следует ожидать к 1.02.34 г.</w:t>
      </w:r>
    </w:p>
    <w:p w14:paraId="51139F0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задержки:</w:t>
      </w:r>
    </w:p>
    <w:p w14:paraId="78C8D43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Отсутствие технически сильной конструкторской организации.</w:t>
      </w:r>
    </w:p>
    <w:p w14:paraId="4B831C4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Первоначальный отказ ЦАГИ принять к постройке самолет деревянной конструкции.</w:t>
      </w:r>
    </w:p>
    <w:p w14:paraId="7FE17E6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СПЛ М48. Самолет подводной лодки (базирование и хранение на подводной лодке), назначение - разведка.</w:t>
      </w:r>
    </w:p>
    <w:p w14:paraId="08BC0E3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испытания 1.01.33 г. Проектирование и постройка приняты НИИ ГУГВФ. На постройку варианта из дерева запрошен отпуск - 104000 рублей для субсидирования НИИ ГУГВФ по исполнительной смете. Ожидается предъявление на гос. испытания к 1.05.33 г. Причины задержки: увязка тех. требований с данными проектируемой подводной лодки со стороны УВМС.</w:t>
      </w:r>
    </w:p>
    <w:p w14:paraId="317B10B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Модификация самолетов, находящихся на вооружении.</w:t>
      </w:r>
    </w:p>
    <w:p w14:paraId="593C9B5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2М17. Установка на поплавки сухопутного самолета.</w:t>
      </w:r>
    </w:p>
    <w:p w14:paraId="05210DB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Срок предъявления -1.11.32 г. Самолет предъявлен на гос. испытания 9.12.32 г., испытание не закончено вследствие двукратной поломки винтов, требуется изготовление металлических винтов. В протекших испытаниях показал сравнительно небольшое ухудшение летных качеств против сухопутного образца. Опоздание по сроку предъявления объясняется: отсутствием достаточного внимания со стороны КОСОС ЦАГИ.</w:t>
      </w:r>
    </w:p>
    <w:p w14:paraId="6016D6A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С62-бис М34. Установка на самолет нового типа</w:t>
      </w:r>
    </w:p>
    <w:p w14:paraId="67369E7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мотора для повышения летных качеств.</w:t>
      </w:r>
    </w:p>
    <w:p w14:paraId="3569F91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испытания 1.01.33 г. В качестве макета установка была выполнена на лодке самолета С62-бис в конце января с.г., что показало необходимость конструктивных переделок (установка направлена на завод N 31 для осуществления на готовом самолете). Ожидаемый срок предъявления самолета - к 1.05.33 г. Запоздание объясняется задержкой в представлении мотора и недостаточными темпами работы КОСОС ЦАГИ.</w:t>
      </w:r>
    </w:p>
    <w:p w14:paraId="3D86F57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от 25.07.31 г.</w:t>
      </w:r>
    </w:p>
    <w:p w14:paraId="7D8318C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"б". Приобрести у английской фирмы Хейндлей Пейдж лицензию на разрезные крылья.</w:t>
      </w:r>
    </w:p>
    <w:p w14:paraId="295AD95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Разрезные крылья.</w:t>
      </w:r>
    </w:p>
    <w:p w14:paraId="1D4FF3D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постановления СТО и КО ЦАГИ выполнено следующее:</w:t>
      </w:r>
    </w:p>
    <w:p w14:paraId="1F4A127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1931 года был снабжен автоматическими предкрылками самолет И4. Установка автоматических предкрылков улучшила управляемость самолета на малых скоростях, но, как и следовало ожидать, не понизило его посадочную скорость.</w:t>
      </w:r>
    </w:p>
    <w:p w14:paraId="77B2274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от 16.05.32 г.</w:t>
      </w:r>
    </w:p>
    <w:p w14:paraId="0899D1C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"9". Обязать Глававиапром всемерно форсировать опытные работы по разрезным крыльям, указал на совершенно неудовлетворительные сроки окончания этих работ, "предусмотренные планом".</w:t>
      </w:r>
    </w:p>
    <w:p w14:paraId="1011398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КО от 25.07.32 г.</w:t>
      </w:r>
    </w:p>
    <w:p w14:paraId="7FD8A40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"в". Считать недостаточным развитие опытных работ ГУАП по разрезным крыльям. Заслушать вопрос вновь на КО через месяц.</w:t>
      </w:r>
    </w:p>
    <w:p w14:paraId="351A161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серийная постройка самолетов И4 в 1931 г. не производилась, указанная работа в ЦАГИ являлась экспериментальной и не была введена, ввиду сложности переделок, в построенные самолеты.</w:t>
      </w:r>
    </w:p>
    <w:p w14:paraId="44CE069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лету 1932 года ЦАГИ установил предкрылки и закрылки на самолете Р5 М17. Испытание этого самолета в НИИ ВВС показало, что хотя посадочная скорость самолета, благодаря установке разрезных крыльев была уменьшена на 15-20%, однако летные данные самолета ухудшились и сама конструкция разрезных крыльев обладала рядом крупных дефектов, благодаря чему построенный самолет Р5 с разрезными крыльями не мог служить образцом для серийной постройки таких самолетов.</w:t>
      </w:r>
    </w:p>
    <w:p w14:paraId="2EE0667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испытания самолета Р5 с разрезными крыльями ЦАГИ обязался к 1.11.32 г. построить второй экземпляр Р5 с разрезными крыльями, в котором должны были быть устранены дефекты, обнаруженные на первом экземпляре. Указанный самолет был построен не к 1.11.32 г., а к 1.01.33 г.</w:t>
      </w:r>
    </w:p>
    <w:p w14:paraId="71C89EC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он проходит заводские испытания (крайне медленными темпами), при чем полеты показали чрезмерное давление на ручку управления, что требует ряда переделок в конструкции разрезных крыльев.</w:t>
      </w:r>
    </w:p>
    <w:p w14:paraId="387F27A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накопления экспериментального опыта на 1-ом экземпляре самолета с разрезными крыльями были переделаны предкрылки. Самолет находится на испытаниях в НИИ.</w:t>
      </w:r>
    </w:p>
    <w:p w14:paraId="012228D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констатировать, что в течение всего 1932 года ЦАГИ, работая над снабжением Р5 разрезными крыльями, не добился таких результатов, которые позволили бы осуществить серийную постройку.</w:t>
      </w:r>
    </w:p>
    <w:p w14:paraId="16855F6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Последнее объясняется тем, что работа по снабжению самолета Р5 разрезными крыльями, особенно в части производства, проводилась исключительно медленными темпами без достаточного внимания руководства ЦАГИ к решению проблемы.</w:t>
      </w:r>
    </w:p>
    <w:p w14:paraId="15AAAF9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ЦАГИ разрабатывает конструкцию разрезных крыльев (закрылков) для самолета ТБ-3.</w:t>
      </w:r>
    </w:p>
    <w:p w14:paraId="501F14C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Конкретные сроки окончания этой работы ЦАГИ не установлены.</w:t>
      </w:r>
    </w:p>
    <w:p w14:paraId="536CDB1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в настоящее время ЦКБ завода N 39, проектирует снабжать разрезными крыльями, гл. образом, в виде автоматических предкрылков, легкие самолеты, стоящие в плане опытного строительства на 1933 год (ЛР, ТШ-3).</w:t>
      </w:r>
    </w:p>
    <w:p w14:paraId="121ECE5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конкретных результатов по снабжению самолета Р5 разрезными крыльями ставит вопрос над успехом снабжения разрезными крыльями других самолетов, хотя задача безусловно разрешима (3082).</w:t>
      </w:r>
    </w:p>
    <w:p w14:paraId="42DE9B2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от 16.05.32 г.</w:t>
      </w:r>
    </w:p>
    <w:p w14:paraId="70F3D05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8. "Обязать Глававиапром все опытные конструкции самолетов, выходящих в 32 г. выпускать с тормозными колесами с тем, чтобы самолеты новых конструкций, принятые на снабжение, строились только с тормозными колесами. Обязать Глававиапром самолет Р5 в программе 1933 г. строить также с тормозными колесами".</w:t>
      </w:r>
    </w:p>
    <w:p w14:paraId="548C358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из плана опытного строительства, утвержденного КО 4.07.32 г.</w:t>
      </w:r>
    </w:p>
    <w:p w14:paraId="21EF58F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М17. Установка тормозного шасси и тормозных колес. Срок 15.08.32 г."</w:t>
      </w:r>
    </w:p>
    <w:p w14:paraId="7635919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КО от 25.07.32 г.</w:t>
      </w:r>
    </w:p>
    <w:p w14:paraId="001E2F3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 тормозных колесах. Баранову и Пятакову разработать к следующему заседанию КО предложения об обеспечении выпуска в 32 г. 100 самолетов Р5 и 100 ТБ-3 с тормозными колесами".</w:t>
      </w:r>
    </w:p>
    <w:p w14:paraId="2106D64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Тормозные колеса.</w:t>
      </w:r>
    </w:p>
    <w:p w14:paraId="1E56641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постановления КО ЦАГИ спроектированы, построены и переданы на испытание в конце октября 1932 г. тормозные колеса к самолету Р5. Испытание самолетов Р5 на тормозных колесах показали удовлетворительное качество последних. Однако самолет Р5 тормозными колесами получил тенденцию к развороту в конце пробега. Работа по устранению этого дефекта, не позволяющего устанавливать на самолет Р5 тормозные шасси велась ЦАГИ недостаточными темпами.</w:t>
      </w:r>
    </w:p>
    <w:p w14:paraId="7349A9F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самолета Р5 с переделанными шасси, проведенные в феврале с.г. на юге, показали, что дефект является неустраненным. ЦАГИ предложено внести ряд добавочных изменений и к 20.03.с.г. вновь предъявить Р5 с тормозными колесами на испытание.</w:t>
      </w:r>
    </w:p>
    <w:p w14:paraId="6C0AD8C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Тормозные колеса к самолету ТБ-3 построены ЦАГИ к концу 1932 года. В феврале с.г. испытания тормозных колес закончены.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w:t>
      </w:r>
    </w:p>
    <w:p w14:paraId="772C096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устраненными дефектами управления тормозами должен быть предъявлен на испытание к 20.03.с.г. ЦАГИ гарантирует предъявление опытных самолетов с тормозными колесами в 1933 году, но на первых опытных самолетах ТБ-4 и МИ3 устанавливает заграничные тормозные колеса, ведя разработку своих конструкций.</w:t>
      </w:r>
    </w:p>
    <w:p w14:paraId="6F71F25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 затруднением для широкого внедрения тормозных колес в СССР является отсутствие специальной производственной базы по тормозным колесам (завода).</w:t>
      </w:r>
    </w:p>
    <w:p w14:paraId="016B9EF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ГУАП будет производить постройку тормозных колес частично путем кооперирования ряда заводов, частично на специально оборудованном под производство тормозных колес заводе N 121 (во 2-м полугодии).</w:t>
      </w:r>
    </w:p>
    <w:p w14:paraId="18BD769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Доклады о состоянии опытного строительства моторов и самолетов представлялись в конце каждого квартала Председателю РВС, зам. пред. РВС и начальнику Глававиапрома.</w:t>
      </w:r>
    </w:p>
    <w:p w14:paraId="377A6B8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w:t>
      </w:r>
    </w:p>
    <w:p w14:paraId="6E7CBB2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выполнении решений КО об опытном моторостроении.</w:t>
      </w:r>
    </w:p>
    <w:p w14:paraId="4224AED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КО от 4.07.32 г. по опытному самолето-моторостроению.</w:t>
      </w:r>
    </w:p>
    <w:p w14:paraId="1455637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Доводка и развитие М34 (редуктор, нагнетатель, реверс, однорядный, облегченный).</w:t>
      </w:r>
    </w:p>
    <w:p w14:paraId="2AD5F73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испытания мотора М34 с редуктором по плану 15.11.32 г. и на заводские испытания - 15.09.32 г.</w:t>
      </w:r>
    </w:p>
    <w:p w14:paraId="6D79E62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прошел 100-часовое заводское испытание. Будет предъявлен на гос. испытания в апреле 1933 г.</w:t>
      </w:r>
    </w:p>
    <w:p w14:paraId="787F329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мотора М34 с нагнетателем по плану - 15.06.1932 г</w:t>
      </w:r>
    </w:p>
    <w:p w14:paraId="42C4D58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и поставлен на заводские испытания 22.07.32 г.</w:t>
      </w:r>
    </w:p>
    <w:p w14:paraId="14413E1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продолжаются заводские испытания мотора М34 с нагнетателем (прошел 12 часов и потерпел аварию).</w:t>
      </w:r>
    </w:p>
    <w:p w14:paraId="25F7D73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Запроектирован второй вариант нагнетателя, как перестраховка на случай неудовлетворительной конструкции первого варианта.</w:t>
      </w:r>
    </w:p>
    <w:p w14:paraId="3008312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может быть предъявлен на гос. испытание не ранее 1.09.33 г.</w:t>
      </w:r>
    </w:p>
    <w:p w14:paraId="455336C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мотора М34 с реверсом 1.10.32 г.</w:t>
      </w:r>
    </w:p>
    <w:p w14:paraId="246A642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и проходит заводские испытания.</w:t>
      </w:r>
    </w:p>
    <w:p w14:paraId="2091653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встанет на гос. испытания 1.05.33 г.</w:t>
      </w:r>
    </w:p>
    <w:p w14:paraId="04E5C80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однорядного мотора М-52 по плану - 1.10.32 г.</w:t>
      </w:r>
    </w:p>
    <w:p w14:paraId="7E37797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и прошел на заводских испытаниях 53 часа.</w:t>
      </w:r>
    </w:p>
    <w:p w14:paraId="313C1B5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предъявлен на гос. испытания 1.08.33 г.</w:t>
      </w:r>
    </w:p>
    <w:p w14:paraId="69F24A6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мотора М34 облегченного (с электронным картером) по плану 1.08.32 г.</w:t>
      </w:r>
    </w:p>
    <w:p w14:paraId="0F1D0AD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экз. мотора строятся на заводе N 24 и будут готовы 15.03.33 г.</w:t>
      </w:r>
    </w:p>
    <w:p w14:paraId="6834ACA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Предъявление на гос. испытания 1.06.33 г.</w:t>
      </w:r>
    </w:p>
    <w:p w14:paraId="47D0230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типов истребительных моторов М-38, воздушного охлаждения и особенно М32, водяного охлаждения.</w:t>
      </w:r>
    </w:p>
    <w:p w14:paraId="16DCFC1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Срок предъявления на гос. испытание мотора М38 по плану 15.08.32 г.</w:t>
      </w:r>
    </w:p>
    <w:p w14:paraId="36BFE6C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и поставлен на заводские испытания 1.05.32 г.</w:t>
      </w:r>
    </w:p>
    <w:p w14:paraId="7B064E9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испытаниях выявлены дефекты.</w:t>
      </w:r>
    </w:p>
    <w:p w14:paraId="3C02DED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Переделанный мотор будет закончен 20.03.33 г. Предъявление на гос. испытания 1.05.33 г.</w:t>
      </w:r>
    </w:p>
    <w:p w14:paraId="552A9C1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М-38 запроектирован редуктор и запущен в производство. Срок готовности 1.10.33 г. (предъявление на гос. испытания).</w:t>
      </w:r>
    </w:p>
    <w:p w14:paraId="5EB3FA7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мотора М32 по плану 1.09.32 г.</w:t>
      </w:r>
    </w:p>
    <w:p w14:paraId="399CCA0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прошел 47 часов на заводских испытаниях.</w:t>
      </w:r>
    </w:p>
    <w:p w14:paraId="4F00233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Обнаружены дефекты.</w:t>
      </w:r>
    </w:p>
    <w:p w14:paraId="53550F8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переделан и будет готов 20.03.33 г., после чего станет на заводские испытания с нагнетателем.</w:t>
      </w:r>
    </w:p>
    <w:p w14:paraId="0140F67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Предъявление на гос. испытания 1.08.33 г.</w:t>
      </w:r>
    </w:p>
    <w:p w14:paraId="343B55C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Создание типов мощных авиадизелей.</w:t>
      </w:r>
    </w:p>
    <w:p w14:paraId="6357398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Установленные планом мощные авиадизели Н-1, Н-2, Н-5 строятся на ряде заводов:</w:t>
      </w:r>
    </w:p>
    <w:p w14:paraId="244764F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 опытный завод ЦИАМ</w:t>
      </w:r>
    </w:p>
    <w:p w14:paraId="61F8792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Н-2 - з-д N 26, им. Ворошилова, з-д ЦИАМ, з-д "Большевик"</w:t>
      </w:r>
    </w:p>
    <w:p w14:paraId="144D5DF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 з-д N 26, з-д N 24 и з-д ЦИАМ</w:t>
      </w:r>
    </w:p>
    <w:p w14:paraId="771B4D9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авиадизели запаздывают предъявлением на гос. испытания:</w:t>
      </w:r>
    </w:p>
    <w:p w14:paraId="6D7C407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Н-1 - 1.08.33 г. вместо 1.03.33 г.</w:t>
      </w:r>
    </w:p>
    <w:p w14:paraId="52C11DD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Н-2 - 1.11.33 г. вместо 1.01.33 г.</w:t>
      </w:r>
    </w:p>
    <w:p w14:paraId="55A3C05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 Срок предъявления на гос. испытания - 1.08.32 г. Ожидаемый срок предъявления - 1.11.33 г.</w:t>
      </w:r>
    </w:p>
    <w:p w14:paraId="06178D2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p w14:paraId="508EAAB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мотора М-44 - 1.07.33 г.</w:t>
      </w:r>
    </w:p>
    <w:p w14:paraId="0C382C5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строится на заводе ЦИАМ. Начало заводских испытаний 1.05.33 г.</w:t>
      </w:r>
    </w:p>
    <w:p w14:paraId="620AA54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Прочие моторы.</w:t>
      </w:r>
    </w:p>
    <w:p w14:paraId="4D7294A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М-35 - срок предъявления на гос. испытания по плану - 1.04.33 г.</w:t>
      </w:r>
    </w:p>
    <w:p w14:paraId="3FBE26B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не строится по решению ЦИАМ.</w:t>
      </w:r>
    </w:p>
    <w:p w14:paraId="7CE0C02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М-54 (форсированный М-34). Срок предъявления по плану 1.05.33 г.</w:t>
      </w:r>
    </w:p>
    <w:p w14:paraId="553796E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строится на заводе N 24 (2 экз.). Будет готов 10.03.33 г.</w:t>
      </w:r>
    </w:p>
    <w:p w14:paraId="50A5829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М-54 без нагнетателя 1.05.33 г. Вопрос с нагнетателем будет решен 1.09. 33 г.</w:t>
      </w:r>
    </w:p>
    <w:p w14:paraId="7890F20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М-48 - срок предъявления на гос. испытания по плану - 1.08.32 г.</w:t>
      </w:r>
    </w:p>
    <w:p w14:paraId="6BA15EA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w:t>
      </w:r>
    </w:p>
    <w:p w14:paraId="28B895A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Предъявление на гос. испытания - 1.05.33 г.</w:t>
      </w:r>
    </w:p>
    <w:p w14:paraId="4C527DB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М-51 - прошел гос. испытания (условно). Требуются переделки.</w:t>
      </w:r>
    </w:p>
    <w:p w14:paraId="13AE937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 по гос. испытаниям - 20.03.33 г.</w:t>
      </w:r>
    </w:p>
    <w:p w14:paraId="2B5C84A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(внеплановый).</w:t>
      </w:r>
    </w:p>
    <w:p w14:paraId="175A435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Построен на заводе N 29. Проходит заводские испытания.</w:t>
      </w:r>
    </w:p>
    <w:p w14:paraId="7CD5B19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Предъявление на гос. испытания - 1.05.33 г.</w:t>
      </w:r>
    </w:p>
    <w:p w14:paraId="2D0C253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Нефтяные моторы Н-3 и Н-4 - опаздывают:</w:t>
      </w:r>
    </w:p>
    <w:p w14:paraId="45FD4E0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Н-3 будет предъявлен на гос. испытания 1.09.33 г. вместо 1.01.33 г. по плану.</w:t>
      </w:r>
    </w:p>
    <w:p w14:paraId="21A75D9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Н-4 будет предъявлен на гос. испытания 1.09.33 г. вместо 1.05.33 г. по плану.</w:t>
      </w:r>
    </w:p>
    <w:p w14:paraId="2CBDB3F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Н-6 не строится из-за отсутствия производственной базы.</w:t>
      </w:r>
    </w:p>
    <w:p w14:paraId="04AE8D6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 работы.</w:t>
      </w:r>
    </w:p>
    <w:p w14:paraId="3772C35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 переменного шага. Срок предъявления на гос. испытание по плану - 1.09.32 г.</w:t>
      </w:r>
    </w:p>
    <w:p w14:paraId="48BCB92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 построен и проходит летные испытания на самолете Р3 с мотором "Лоррен-Дитрих".</w:t>
      </w:r>
    </w:p>
    <w:p w14:paraId="0B189B4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Газовая турбина.</w:t>
      </w:r>
    </w:p>
    <w:p w14:paraId="4A0A123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по плану - 1.09.32 г. Работа задерживается.</w:t>
      </w:r>
    </w:p>
    <w:p w14:paraId="7F6A9C6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турбины на гос. испытание не представляется возможным.</w:t>
      </w:r>
    </w:p>
    <w:p w14:paraId="37FE167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Паровая турбина (ГВФ).</w:t>
      </w:r>
    </w:p>
    <w:p w14:paraId="29B1D74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- 1.01.33 г.</w:t>
      </w:r>
    </w:p>
    <w:p w14:paraId="269CDA7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закончен. Постановка на заводские испытания 1.07.33 г.</w:t>
      </w:r>
    </w:p>
    <w:p w14:paraId="6A76FED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Бесклапанный двигатель.</w:t>
      </w:r>
    </w:p>
    <w:p w14:paraId="721B93F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- 1.07.33 г.</w:t>
      </w:r>
    </w:p>
    <w:p w14:paraId="270828F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проекта Военно-воздушной академией.</w:t>
      </w:r>
    </w:p>
    <w:p w14:paraId="7F19966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Паровая турбина ВВС (внеплановая).</w:t>
      </w:r>
    </w:p>
    <w:p w14:paraId="13AAD59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испытание - 1.06.34 г.</w:t>
      </w:r>
    </w:p>
    <w:p w14:paraId="1BD1C1E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Сводка</w:t>
      </w:r>
    </w:p>
    <w:p w14:paraId="5907800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выполнении решений КО.</w:t>
      </w:r>
    </w:p>
    <w:p w14:paraId="0FC825C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Постановление СТО за N 538/177сс от 16.05.32 г., N 1153-345сс - 14.11.32 г. и N 158 - 25.07.31 г.</w:t>
      </w:r>
    </w:p>
    <w:p w14:paraId="0C5D04F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Заключить договор Глававиапрому на техническую помощь с Американской фирмой "Райт-Кертис" - взяв в основу мотор воздушного охлаждения "Райт-Циклон" новейшей конструкции, а по водяному охлаждению новейший образец мотора "Кертис-Конкверер" с нагнетателем и редуктором.</w:t>
      </w:r>
    </w:p>
    <w:p w14:paraId="6794B69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по закупке образцов моторов и самолетов.</w:t>
      </w:r>
    </w:p>
    <w:p w14:paraId="4F2CF16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закуплены:</w:t>
      </w:r>
    </w:p>
    <w:p w14:paraId="0A34F72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1 авиадизель мотор "Мерседес-Бенц" - 16/50 НР.</w:t>
      </w:r>
    </w:p>
    <w:p w14:paraId="2CF934C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2 авиадизель мотора "ЮМО-4" - 720 НР.</w:t>
      </w:r>
    </w:p>
    <w:p w14:paraId="6F6AB24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1 авиадизель мотор "Даймлер-Бенц" - 700/750НР.</w:t>
      </w:r>
    </w:p>
    <w:p w14:paraId="6B46FF0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2 авиамотора "Райт-Циклон" 1820 2" - 725 НР.</w:t>
      </w:r>
    </w:p>
    <w:p w14:paraId="1DB36FD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2 авиамотора "Райт-Циклон" 1820 3" - 650 НР.</w:t>
      </w:r>
    </w:p>
    <w:p w14:paraId="07D7388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3 авиамотора "Суперконкверер" фирмы Кертис 600 НР.</w:t>
      </w:r>
    </w:p>
    <w:p w14:paraId="66A0FC5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2 авиамотора "Роллс-Ройс" "Кестрел 2" 480 НР.</w:t>
      </w:r>
    </w:p>
    <w:p w14:paraId="48FE941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3 мотора "Бристоль" "Меркур IV 2" - 620/650 НР.</w:t>
      </w:r>
    </w:p>
    <w:p w14:paraId="698500F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1 мотор "Армстронг Сиддлей" "Тигр" - 590 НР.</w:t>
      </w:r>
    </w:p>
    <w:p w14:paraId="2E81E05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1 самолет "Ферри" "Фарфляй" - истребитель с мотором "Кестрел".</w:t>
      </w:r>
    </w:p>
    <w:p w14:paraId="478730D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переговорам с Кертис-Райт по приобретению лицензии и техпомощи на два мотора Циклон 725 НР и Конкверер, около 650 НР - можно ожидать, что в ближайшее время договор будет подписан.</w:t>
      </w:r>
    </w:p>
    <w:p w14:paraId="2869381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Постановление СТО N 158 от 25.07.31 г. - о реализации договора с итальянской фирмой "Фиат".</w:t>
      </w:r>
    </w:p>
    <w:p w14:paraId="6798B21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Договор заключен 6.09.32 г. по оказанию техпомощи на постройку (и проектирование) Центрального литейного завода и реконструкцию литейных заводов NN 26 и 24.</w:t>
      </w:r>
    </w:p>
    <w:p w14:paraId="67F565B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N 101/46сс от 16.02.32 г.</w:t>
      </w:r>
    </w:p>
    <w:p w14:paraId="4C4AED6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Обязать ГУАП довести годовую мощность моторостроительного завода N 26 до 10000 моторов М-17 в год к 1.01.33 г.</w:t>
      </w:r>
    </w:p>
    <w:p w14:paraId="7182417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1.01.33 г. доведено в основном по оборудованию до 7200 моторов.</w:t>
      </w:r>
    </w:p>
    <w:p w14:paraId="2D15484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ГУАП довести годовую мощность моторостроительного завода N 24 до 15000 моторов М34 в год к 1.01.33 г.</w:t>
      </w:r>
    </w:p>
    <w:p w14:paraId="2483409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1.01.33 г. доведено до 2400 моторов.</w:t>
      </w:r>
    </w:p>
    <w:p w14:paraId="5A517E1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Строительство в 1933 г. сокращено из-за нецелесообразности, т.к. не будет получено импортного оборудования.</w:t>
      </w:r>
    </w:p>
    <w:p w14:paraId="035E98F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Обязать ГУАП довести годовую мощность моторостроительного завода N 29 до 6000 моторов М11 в год к 1.01.33 г.</w:t>
      </w:r>
    </w:p>
    <w:p w14:paraId="5F1EEB1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1.01.33 г. доведено до 4500 моторов в год.</w:t>
      </w:r>
    </w:p>
    <w:p w14:paraId="402D7D0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 Обязать ГУАП довести годовую мощность моторостроительного завода N 19 до 6000 моторов М22 в год к 1.01.33 г.</w:t>
      </w:r>
    </w:p>
    <w:p w14:paraId="2C22BE8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1.01.33 г. не выполнено ничего.</w:t>
      </w:r>
    </w:p>
    <w:p w14:paraId="4BF3147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Обязать ГУАП довести годовую мощность самолетостроительного завода N 22 до 600 самолетов ТБ3 в год к 1.01.33 г.</w:t>
      </w:r>
    </w:p>
    <w:p w14:paraId="4765A6A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1.01.33 г. доведено до 500 самолетов.</w:t>
      </w:r>
    </w:p>
    <w:p w14:paraId="21B7F53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Обязать ГУАП довести годовую мощность самолетостроительного завода N 18 до 1500 самолетов ТБ3 в год к 1.01.33 г.</w:t>
      </w:r>
    </w:p>
    <w:p w14:paraId="29472BE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1.01.33 г. доведено до 200 самолетов годовой мощности.</w:t>
      </w:r>
    </w:p>
    <w:p w14:paraId="2A6D00F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Обязать ГУАП довести годовую мощность самолетостроительного завода в Казани до 1200 самолетов в год к 1.01.33 г.</w:t>
      </w:r>
    </w:p>
    <w:p w14:paraId="32CB8DE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1.01.33 г. строительство этого завода только в основном начато и будет продолжаться в небольшом объеме из-за отсутствия средств.</w:t>
      </w:r>
    </w:p>
    <w:p w14:paraId="460EAB6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N 538/177сс от 16.05.32 г.</w:t>
      </w:r>
    </w:p>
    <w:p w14:paraId="3BD2973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Обязать ГУАП изъять Контрольно-испытательные отделы заводов из подчинения директоров заводов и подчинить непосредственно ГУАП"у. Данное мероприятие провести к 1.06.32 г.</w:t>
      </w:r>
    </w:p>
    <w:p w14:paraId="1900CC9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1.01.33 г. данное постановление остается не выполненным.</w:t>
      </w:r>
    </w:p>
    <w:p w14:paraId="4EB47C2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Организация в составе ГУАП Управления по наблюдению и контролю за качеством производства и Учреждений при заводах специальных инспекторов по качеству от ГУАП - не достигает цели и не может считаться прямым выполнением данного постановления.</w:t>
      </w:r>
    </w:p>
    <w:p w14:paraId="7D0B440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Согласно п. 2 этого же постановления - Глававиапром обязан был через свои заводы сдать не позже 1.10.32 г. УВВС групповые комплекты запасных частей и отдельные детали к моторам.</w:t>
      </w:r>
    </w:p>
    <w:p w14:paraId="343D76F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постановление моторостроительными заводами ГУАП было выполнено лишь в незначительной степени и на 1.01.33 г. осталась большая задолженность по запасным частям программы 1932 г.</w:t>
      </w:r>
    </w:p>
    <w:p w14:paraId="3508D09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N 343/121сс от 5.04.32 г.</w:t>
      </w:r>
    </w:p>
    <w:p w14:paraId="2E37374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размере заказа Наркомвоенмора на аэродромно-самолетные средства радиосвязи на 1932 г.</w:t>
      </w:r>
    </w:p>
    <w:p w14:paraId="1750736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Наркомат тяжелой промышленности под ответственность Жукова до 1.02.33 г. сдать НКВМ полностью 2183 радиостанции; из них 550 станций для тяжелой авиации.</w:t>
      </w:r>
    </w:p>
    <w:p w14:paraId="0467799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1.02.33 г. получено 350 самолетных радиостанций.</w:t>
      </w:r>
    </w:p>
    <w:p w14:paraId="10AFE9B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Мероприятия со стороны УВВС по реализации выполнения постановления СТО.</w:t>
      </w:r>
    </w:p>
    <w:p w14:paraId="47A6389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председателю СТО от 21.07.32 г.</w:t>
      </w:r>
    </w:p>
    <w:p w14:paraId="4ED5152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обеспечении УВВС радиостанциями для тяжелых самолетов.</w:t>
      </w:r>
    </w:p>
    <w:p w14:paraId="5F984F8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председателю РВС от 5.10.</w:t>
      </w:r>
    </w:p>
    <w:p w14:paraId="712FE54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срыве вооружения тяжелых самолетов средствами связи.</w:t>
      </w:r>
    </w:p>
    <w:p w14:paraId="557AC81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в комиссию обороны с проектом постановления от 11.10.</w:t>
      </w:r>
    </w:p>
    <w:p w14:paraId="625A7C9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срыве постановления СТО от 5.04. и ЦК ВКП(б) от 5.07.32 г. по вооружению тяжелой авиации радиостанциями.</w:t>
      </w:r>
    </w:p>
    <w:p w14:paraId="446B423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постановления: Обязать НКТП под ответственность Орджоникидзе поставить к 1.01.33 г.</w:t>
      </w:r>
    </w:p>
    <w:p w14:paraId="61D908A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радиостанции II-СК - 500 штук</w:t>
      </w:r>
    </w:p>
    <w:p w14:paraId="5E2D0CF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радиостанции II-АК - 40 штук.</w:t>
      </w:r>
    </w:p>
    <w:p w14:paraId="0157189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пред. РВС от 20.12.32 г.</w:t>
      </w:r>
    </w:p>
    <w:p w14:paraId="0557A09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срыве поставки авиационных раций за 1932 г.</w:t>
      </w:r>
    </w:p>
    <w:p w14:paraId="0DB98A9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пред. РВС от 23.01.33 г.</w:t>
      </w:r>
    </w:p>
    <w:p w14:paraId="22079DB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проектом в Политбюро ЦК ВКП(б).</w:t>
      </w:r>
    </w:p>
    <w:p w14:paraId="193AF0B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срыве постановления СТО и ЦК ВКП(б) по вооружению тяжелой авиации средствами связи.</w:t>
      </w:r>
    </w:p>
    <w:p w14:paraId="0530BFF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пред. КО от 26.01.33 г.</w:t>
      </w:r>
    </w:p>
    <w:p w14:paraId="3A40743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проектом постановления.</w:t>
      </w:r>
    </w:p>
    <w:p w14:paraId="55B8336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срыве поставок самолетных радиостанций за 1932 год и о сроках поставки на 1933 год.</w:t>
      </w:r>
    </w:p>
    <w:p w14:paraId="16980DA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стоит в повестке КО, но до сего времени не рассматривался.</w:t>
      </w:r>
    </w:p>
    <w:p w14:paraId="6251358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N 878/265сс от 26.07.32 г.</w:t>
      </w:r>
    </w:p>
    <w:p w14:paraId="607E94A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личную ответственность начальника ВОТИ Немова обеспечить изготовление автопилотов инженера Ниренберг с условием передачи головной серии в количестве 24-х штук для войсковых испытаний в первой половине октября.</w:t>
      </w:r>
    </w:p>
    <w:p w14:paraId="73193E4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8.03.33 г. заводом "Метрон" сдано 6 автопилотов.</w:t>
      </w:r>
    </w:p>
    <w:p w14:paraId="2A78114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6 шт. принятых - 1 смонтирован на самолет Тб-1 и произведено 3 регулировочных полета.</w:t>
      </w:r>
    </w:p>
    <w:p w14:paraId="5B3C7E3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2 полета самолет управлялся автоматом без вмешательства летчика 15-20 минут.</w:t>
      </w:r>
    </w:p>
    <w:p w14:paraId="3AC36D4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1933 год генеральным договором с ВОТИ предусмотрена поставка заводом "Метрон" ВОТИ 97 автопилотов, со сроком поставок:</w:t>
      </w:r>
    </w:p>
    <w:p w14:paraId="76453B4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II квартал 1933 года - 13 шт.</w:t>
      </w:r>
    </w:p>
    <w:p w14:paraId="5900DD6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III квартал 1933 года - 32 шт.</w:t>
      </w:r>
    </w:p>
    <w:p w14:paraId="1139950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IV квартал 1933 года - 52 шт.</w:t>
      </w:r>
    </w:p>
    <w:p w14:paraId="6915F4C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тип автопилота, подлежащий серийному изготовлению пока еще не установлен, т.к. ни одна из опытных организаций еще не дала вполне законченного и испытанного образца.</w:t>
      </w:r>
    </w:p>
    <w:p w14:paraId="0A5C064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Мероприятия со стороны УВВС по реализации выполнения постановления СТО.</w:t>
      </w:r>
    </w:p>
    <w:p w14:paraId="0768B98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пред. РВС от 5.08.32 г.</w:t>
      </w:r>
    </w:p>
    <w:p w14:paraId="57A2B96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невыполнении ВОТИ постановления правительства об изготовлении автопилотов.</w:t>
      </w:r>
    </w:p>
    <w:p w14:paraId="18AE745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Письмо зам. НКРПрома Пятакова от 26.02.32 г.</w:t>
      </w:r>
    </w:p>
    <w:p w14:paraId="77B1E69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имени зам. пред. РВС Гамарника - о невыполнении постановления правительства об изготовлении автопилотов.</w:t>
      </w:r>
    </w:p>
    <w:p w14:paraId="7EE96AB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в СТО Базилевич от 2.12.32 г.</w:t>
      </w:r>
    </w:p>
    <w:p w14:paraId="5BB0634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выполнения заказов по автопилотам.</w:t>
      </w:r>
    </w:p>
    <w:p w14:paraId="18DD381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N 204/79сс от 10.03.32 г.</w:t>
      </w:r>
    </w:p>
    <w:p w14:paraId="79BDA50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строительстве оперативных аэродромов.</w:t>
      </w:r>
    </w:p>
    <w:p w14:paraId="7B70826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выполнено.</w:t>
      </w:r>
    </w:p>
    <w:p w14:paraId="2647EF0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ЦК ВКП(б) от 16.09.32 г.</w:t>
      </w:r>
    </w:p>
    <w:p w14:paraId="30A8D2C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Разработать и представить на утверждение КО календарный план устранения на самолетах ТБ-3, Р5, Р6 в последующих сериях дефекты, обнаруженные в процессе эксплуатации.</w:t>
      </w:r>
    </w:p>
    <w:p w14:paraId="57AA045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15.10.32 г.</w:t>
      </w:r>
    </w:p>
    <w:p w14:paraId="3075495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Выполнено 6.11.32 г.</w:t>
      </w:r>
    </w:p>
    <w:p w14:paraId="1E8C1A6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Проверить устранение ГУАПом, являющихся опасными для полетов дефектов и доведение безотказной работы моторов до первой переборки до 200 часов.</w:t>
      </w:r>
    </w:p>
    <w:p w14:paraId="7FDD9BE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период времени с ноября 1932 года по февраль 1933 года было проведено ряд испытаний, из которых наиболее длительными (200 часов) являются:</w:t>
      </w:r>
    </w:p>
    <w:p w14:paraId="73B41AB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Испытание, проведенное в ЦИАМе, показавшее вполне удовлетворительные результаты с точки зрения состояния деталей и надежности работы.</w:t>
      </w:r>
    </w:p>
    <w:p w14:paraId="5F71676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Испытание, проведенное под руководством ЦИАМа на заводе N 26, показавшее совершенно неудовлетворительные результаты. Мотор проработал 195 часов после чего произошла авария.</w:t>
      </w:r>
    </w:p>
    <w:p w14:paraId="1C987F3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 крайне существенных дефектов не позволяют считать вопрос о доведении срока службы этого мотора до 200 часов между переборками.</w:t>
      </w:r>
    </w:p>
    <w:p w14:paraId="2154F53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январь и февраль с.г. заводом было собрано 93 мотора пониженной кондиции, из которых к летной работе допущен лишь 41 мотор.</w:t>
      </w:r>
    </w:p>
    <w:p w14:paraId="534FF41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установление ГУАПом совместно с УВВС и ГУГВФ генеральных сроков службы деталей моторов и самолетов.</w:t>
      </w:r>
    </w:p>
    <w:p w14:paraId="3D54815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- 1.12.32 г.</w:t>
      </w:r>
    </w:p>
    <w:p w14:paraId="6DF2655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выполнено.</w:t>
      </w:r>
    </w:p>
    <w:p w14:paraId="0726445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Образование Треста горючих и смазочных материалов.</w:t>
      </w:r>
    </w:p>
    <w:p w14:paraId="6218D57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- 15.10.32 г.</w:t>
      </w:r>
    </w:p>
    <w:p w14:paraId="6DC2D70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Исполнено.</w:t>
      </w:r>
    </w:p>
    <w:p w14:paraId="66BF1CD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ВВС.</w:t>
      </w:r>
    </w:p>
    <w:p w14:paraId="4CC2A8C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Разработать и издать положение о порядке и сроках полной ликвидации обезлички в ВВС.</w:t>
      </w:r>
    </w:p>
    <w:p w14:paraId="62D2462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- 15.10.32 г.</w:t>
      </w:r>
    </w:p>
    <w:p w14:paraId="37DAB1F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указаниях частям ВВС по боевой подготовке на 1933 год приказано - к 1.12.33 г. твердо закрепить экипажи по самолетам.</w:t>
      </w:r>
    </w:p>
    <w:p w14:paraId="5BEA427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N 157/64сс от 2.03.1932 г. и Постановление СТО за N 101/46сс от 16.02.32 г. о производственной программе на 1932 г. по самолетным и моторным заводам.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10"/>
        <w:gridCol w:w="1610"/>
        <w:gridCol w:w="1610"/>
        <w:gridCol w:w="1610"/>
      </w:tblGrid>
      <w:tr w:rsidR="004E10C1" w:rsidRPr="0044524F" w14:paraId="2511F553" w14:textId="77777777">
        <w:tc>
          <w:tcPr>
            <w:tcW w:w="1610" w:type="dxa"/>
          </w:tcPr>
          <w:p w14:paraId="4504EB7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Типы самолетов</w:t>
            </w:r>
          </w:p>
        </w:tc>
        <w:tc>
          <w:tcPr>
            <w:tcW w:w="1610" w:type="dxa"/>
          </w:tcPr>
          <w:p w14:paraId="68C9B6A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Годовое</w:t>
            </w:r>
          </w:p>
        </w:tc>
        <w:tc>
          <w:tcPr>
            <w:tcW w:w="1610" w:type="dxa"/>
          </w:tcPr>
          <w:p w14:paraId="1D70112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w:t>
            </w:r>
          </w:p>
        </w:tc>
        <w:tc>
          <w:tcPr>
            <w:tcW w:w="1610" w:type="dxa"/>
          </w:tcPr>
          <w:p w14:paraId="6F4E2C9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выполнен.</w:t>
            </w:r>
          </w:p>
        </w:tc>
      </w:tr>
      <w:tr w:rsidR="004E10C1" w:rsidRPr="0044524F" w14:paraId="5A64170C" w14:textId="77777777">
        <w:tc>
          <w:tcPr>
            <w:tcW w:w="1610" w:type="dxa"/>
          </w:tcPr>
          <w:p w14:paraId="3CFD41DA" w14:textId="77777777" w:rsidR="00F42404" w:rsidRPr="0044524F" w:rsidRDefault="00F42404" w:rsidP="009654CF">
            <w:pPr>
              <w:spacing w:after="0" w:line="240" w:lineRule="auto"/>
              <w:jc w:val="both"/>
              <w:rPr>
                <w:rFonts w:ascii="Times New Roman" w:hAnsi="Times New Roman"/>
                <w:color w:val="000000" w:themeColor="text1"/>
                <w:sz w:val="16"/>
                <w:szCs w:val="16"/>
              </w:rPr>
            </w:pPr>
          </w:p>
        </w:tc>
        <w:tc>
          <w:tcPr>
            <w:tcW w:w="1610" w:type="dxa"/>
          </w:tcPr>
          <w:p w14:paraId="5AD413B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кол-во</w:t>
            </w:r>
          </w:p>
        </w:tc>
        <w:tc>
          <w:tcPr>
            <w:tcW w:w="1610" w:type="dxa"/>
          </w:tcPr>
          <w:p w14:paraId="15057DA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год</w:t>
            </w:r>
          </w:p>
        </w:tc>
        <w:tc>
          <w:tcPr>
            <w:tcW w:w="1610" w:type="dxa"/>
          </w:tcPr>
          <w:p w14:paraId="0EB1E9D4" w14:textId="77777777" w:rsidR="00F42404" w:rsidRPr="0044524F" w:rsidRDefault="00F42404" w:rsidP="009654CF">
            <w:pPr>
              <w:spacing w:after="0" w:line="240" w:lineRule="auto"/>
              <w:jc w:val="both"/>
              <w:rPr>
                <w:rFonts w:ascii="Times New Roman" w:hAnsi="Times New Roman"/>
                <w:color w:val="000000" w:themeColor="text1"/>
                <w:sz w:val="16"/>
                <w:szCs w:val="16"/>
              </w:rPr>
            </w:pPr>
          </w:p>
        </w:tc>
      </w:tr>
      <w:tr w:rsidR="004E10C1" w:rsidRPr="0044524F" w14:paraId="48FD50C6" w14:textId="77777777">
        <w:tc>
          <w:tcPr>
            <w:tcW w:w="1610" w:type="dxa"/>
          </w:tcPr>
          <w:p w14:paraId="4CD5079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Истребители</w:t>
            </w:r>
          </w:p>
        </w:tc>
        <w:tc>
          <w:tcPr>
            <w:tcW w:w="1610" w:type="dxa"/>
          </w:tcPr>
          <w:p w14:paraId="2390283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525</w:t>
            </w:r>
          </w:p>
        </w:tc>
        <w:tc>
          <w:tcPr>
            <w:tcW w:w="1610" w:type="dxa"/>
          </w:tcPr>
          <w:p w14:paraId="6C634D9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w:t>
            </w:r>
          </w:p>
        </w:tc>
        <w:tc>
          <w:tcPr>
            <w:tcW w:w="1610" w:type="dxa"/>
          </w:tcPr>
          <w:p w14:paraId="38A5BAD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r>
      <w:tr w:rsidR="004E10C1" w:rsidRPr="0044524F" w14:paraId="29A859E5" w14:textId="77777777">
        <w:tc>
          <w:tcPr>
            <w:tcW w:w="1610" w:type="dxa"/>
          </w:tcPr>
          <w:p w14:paraId="39109C2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w:t>
            </w:r>
          </w:p>
        </w:tc>
        <w:tc>
          <w:tcPr>
            <w:tcW w:w="1610" w:type="dxa"/>
          </w:tcPr>
          <w:p w14:paraId="4D42CD3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1175</w:t>
            </w:r>
          </w:p>
        </w:tc>
        <w:tc>
          <w:tcPr>
            <w:tcW w:w="1610" w:type="dxa"/>
          </w:tcPr>
          <w:p w14:paraId="16C8BE4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784</w:t>
            </w:r>
          </w:p>
        </w:tc>
        <w:tc>
          <w:tcPr>
            <w:tcW w:w="1610" w:type="dxa"/>
          </w:tcPr>
          <w:p w14:paraId="2E37B1A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r>
      <w:tr w:rsidR="004E10C1" w:rsidRPr="0044524F" w14:paraId="6C565247" w14:textId="77777777">
        <w:tc>
          <w:tcPr>
            <w:tcW w:w="1610" w:type="dxa"/>
          </w:tcPr>
          <w:p w14:paraId="3A8D7F6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бомбардировщики</w:t>
            </w:r>
          </w:p>
        </w:tc>
        <w:tc>
          <w:tcPr>
            <w:tcW w:w="1610" w:type="dxa"/>
          </w:tcPr>
          <w:p w14:paraId="615E859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610" w:type="dxa"/>
          </w:tcPr>
          <w:p w14:paraId="0238AC0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1610" w:type="dxa"/>
          </w:tcPr>
          <w:p w14:paraId="532C7A2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tc>
      </w:tr>
      <w:tr w:rsidR="004E10C1" w:rsidRPr="0044524F" w14:paraId="6EE2CB43" w14:textId="77777777">
        <w:tc>
          <w:tcPr>
            <w:tcW w:w="1610" w:type="dxa"/>
          </w:tcPr>
          <w:p w14:paraId="469F5C2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Штурмовики</w:t>
            </w:r>
          </w:p>
        </w:tc>
        <w:tc>
          <w:tcPr>
            <w:tcW w:w="1610" w:type="dxa"/>
          </w:tcPr>
          <w:p w14:paraId="6A9F802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610" w:type="dxa"/>
          </w:tcPr>
          <w:p w14:paraId="04049AF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10" w:type="dxa"/>
          </w:tcPr>
          <w:p w14:paraId="3FBA733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18CC8F0B" w14:textId="77777777">
        <w:tc>
          <w:tcPr>
            <w:tcW w:w="1610" w:type="dxa"/>
          </w:tcPr>
          <w:p w14:paraId="0D9CB1B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Учебные</w:t>
            </w:r>
          </w:p>
        </w:tc>
        <w:tc>
          <w:tcPr>
            <w:tcW w:w="1610" w:type="dxa"/>
          </w:tcPr>
          <w:p w14:paraId="4F5A945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585</w:t>
            </w:r>
          </w:p>
        </w:tc>
        <w:tc>
          <w:tcPr>
            <w:tcW w:w="1610" w:type="dxa"/>
          </w:tcPr>
          <w:p w14:paraId="60FAC0A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606</w:t>
            </w:r>
          </w:p>
        </w:tc>
        <w:tc>
          <w:tcPr>
            <w:tcW w:w="1610" w:type="dxa"/>
          </w:tcPr>
          <w:p w14:paraId="0EBD8CB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w:t>
            </w:r>
          </w:p>
        </w:tc>
      </w:tr>
      <w:tr w:rsidR="004E10C1" w:rsidRPr="0044524F" w14:paraId="3CE52C2A" w14:textId="77777777">
        <w:tc>
          <w:tcPr>
            <w:tcW w:w="1610" w:type="dxa"/>
          </w:tcPr>
          <w:p w14:paraId="7A9859C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610" w:type="dxa"/>
          </w:tcPr>
          <w:p w14:paraId="41BA389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2655</w:t>
            </w:r>
          </w:p>
        </w:tc>
        <w:tc>
          <w:tcPr>
            <w:tcW w:w="1610" w:type="dxa"/>
          </w:tcPr>
          <w:p w14:paraId="201A8D6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1705</w:t>
            </w:r>
          </w:p>
        </w:tc>
        <w:tc>
          <w:tcPr>
            <w:tcW w:w="1610" w:type="dxa"/>
          </w:tcPr>
          <w:p w14:paraId="35B0060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w:t>
            </w:r>
          </w:p>
        </w:tc>
      </w:tr>
      <w:tr w:rsidR="004E10C1" w:rsidRPr="0044524F" w14:paraId="7BAAB061" w14:textId="77777777">
        <w:tc>
          <w:tcPr>
            <w:tcW w:w="1610" w:type="dxa"/>
          </w:tcPr>
          <w:p w14:paraId="3EDC225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М-17</w:t>
            </w:r>
          </w:p>
        </w:tc>
        <w:tc>
          <w:tcPr>
            <w:tcW w:w="1610" w:type="dxa"/>
          </w:tcPr>
          <w:p w14:paraId="1E1F6B8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2080</w:t>
            </w:r>
          </w:p>
        </w:tc>
        <w:tc>
          <w:tcPr>
            <w:tcW w:w="1610" w:type="dxa"/>
          </w:tcPr>
          <w:p w14:paraId="366E06A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1641</w:t>
            </w:r>
          </w:p>
        </w:tc>
        <w:tc>
          <w:tcPr>
            <w:tcW w:w="1610" w:type="dxa"/>
          </w:tcPr>
          <w:p w14:paraId="3601BC8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78,8</w:t>
            </w:r>
          </w:p>
        </w:tc>
      </w:tr>
      <w:tr w:rsidR="004E10C1" w:rsidRPr="0044524F" w14:paraId="47FEF9FC" w14:textId="77777777">
        <w:tc>
          <w:tcPr>
            <w:tcW w:w="1610" w:type="dxa"/>
          </w:tcPr>
          <w:p w14:paraId="5E3D668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М11</w:t>
            </w:r>
          </w:p>
        </w:tc>
        <w:tc>
          <w:tcPr>
            <w:tcW w:w="1610" w:type="dxa"/>
          </w:tcPr>
          <w:p w14:paraId="7494566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955</w:t>
            </w:r>
          </w:p>
        </w:tc>
        <w:tc>
          <w:tcPr>
            <w:tcW w:w="1610" w:type="dxa"/>
          </w:tcPr>
          <w:p w14:paraId="79C2F70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883</w:t>
            </w:r>
          </w:p>
        </w:tc>
        <w:tc>
          <w:tcPr>
            <w:tcW w:w="1610" w:type="dxa"/>
          </w:tcPr>
          <w:p w14:paraId="478B59C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w:t>
            </w:r>
          </w:p>
        </w:tc>
      </w:tr>
      <w:tr w:rsidR="004E10C1" w:rsidRPr="0044524F" w14:paraId="32681A10" w14:textId="77777777">
        <w:tc>
          <w:tcPr>
            <w:tcW w:w="1610" w:type="dxa"/>
          </w:tcPr>
          <w:p w14:paraId="1BC90D3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М22</w:t>
            </w:r>
          </w:p>
        </w:tc>
        <w:tc>
          <w:tcPr>
            <w:tcW w:w="1610" w:type="dxa"/>
          </w:tcPr>
          <w:p w14:paraId="0B0CDA9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398</w:t>
            </w:r>
          </w:p>
        </w:tc>
        <w:tc>
          <w:tcPr>
            <w:tcW w:w="1610" w:type="dxa"/>
          </w:tcPr>
          <w:p w14:paraId="07298927"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357</w:t>
            </w:r>
          </w:p>
        </w:tc>
        <w:tc>
          <w:tcPr>
            <w:tcW w:w="1610" w:type="dxa"/>
          </w:tcPr>
          <w:p w14:paraId="5F7F518B"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89</w:t>
            </w:r>
          </w:p>
        </w:tc>
      </w:tr>
      <w:tr w:rsidR="004E10C1" w:rsidRPr="0044524F" w14:paraId="1779FA5D" w14:textId="77777777">
        <w:tc>
          <w:tcPr>
            <w:tcW w:w="1610" w:type="dxa"/>
          </w:tcPr>
          <w:p w14:paraId="5EBCA61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М34</w:t>
            </w:r>
          </w:p>
        </w:tc>
        <w:tc>
          <w:tcPr>
            <w:tcW w:w="1610" w:type="dxa"/>
          </w:tcPr>
          <w:p w14:paraId="063D794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10" w:type="dxa"/>
          </w:tcPr>
          <w:p w14:paraId="7F61A0D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w:t>
            </w:r>
          </w:p>
        </w:tc>
        <w:tc>
          <w:tcPr>
            <w:tcW w:w="1610" w:type="dxa"/>
          </w:tcPr>
          <w:p w14:paraId="5F63ECA2"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r>
      <w:tr w:rsidR="004E10C1" w:rsidRPr="0044524F" w14:paraId="06BCBFD3" w14:textId="77777777">
        <w:tc>
          <w:tcPr>
            <w:tcW w:w="1610" w:type="dxa"/>
          </w:tcPr>
          <w:p w14:paraId="3D8690C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610" w:type="dxa"/>
          </w:tcPr>
          <w:p w14:paraId="6E6C4D8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3833</w:t>
            </w:r>
          </w:p>
        </w:tc>
        <w:tc>
          <w:tcPr>
            <w:tcW w:w="1610" w:type="dxa"/>
          </w:tcPr>
          <w:p w14:paraId="4BE7E35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2945</w:t>
            </w:r>
          </w:p>
        </w:tc>
        <w:tc>
          <w:tcPr>
            <w:tcW w:w="1610" w:type="dxa"/>
          </w:tcPr>
          <w:p w14:paraId="1A09D854"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 (3082,6-35).</w:t>
            </w:r>
          </w:p>
        </w:tc>
      </w:tr>
    </w:tbl>
    <w:p w14:paraId="1217A2B3"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2FC9647A"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года помощник начальника ГУАП Алмазов писал письмо № ОП261/рз в СТО Базилевичу</w:t>
      </w:r>
    </w:p>
    <w:p w14:paraId="5C205FA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сем представляю доклад по опытному строительству в дополнение к присланному отчету от 25 января 1933 года за № 261/30 (3530,87).</w:t>
      </w:r>
    </w:p>
    <w:p w14:paraId="61037B5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по опытному строительству моторов и самолетов на 1932 год</w:t>
      </w:r>
    </w:p>
    <w:p w14:paraId="5DA080D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Планом на 1932 год, утвержденным Правительством 4 июля 1932 года, перед опытным строительством ставились первоочередными задачами:</w:t>
      </w:r>
    </w:p>
    <w:p w14:paraId="717C9591" w14:textId="77777777" w:rsidR="00F42404" w:rsidRPr="0044524F" w:rsidRDefault="00F42404" w:rsidP="009654CF">
      <w:pPr>
        <w:numPr>
          <w:ilvl w:val="0"/>
          <w:numId w:val="12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истребительных моторов водяного и воздушного охлаждения, характеризуемых малым весом, малыми габаритами, большой мощностью, сохраняемой до большой высоты и малым расходом горючего. Конкретно же имелись ввиду моторы М-38 и М-32.</w:t>
      </w:r>
    </w:p>
    <w:p w14:paraId="5382E279" w14:textId="77777777" w:rsidR="00F42404" w:rsidRPr="0044524F" w:rsidRDefault="00F42404" w:rsidP="009654CF">
      <w:pPr>
        <w:numPr>
          <w:ilvl w:val="0"/>
          <w:numId w:val="12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Указанные характеристики необходимы были для создания вполне современных самолетов как истребителей дающих быстрый подъем на большую высоту, хорошую скорость и при мощных огневых средствах боя достаточную продолжительность и радиус действия полета. Объектами намечались И-13 и И-14.</w:t>
      </w:r>
    </w:p>
    <w:p w14:paraId="5F370D1A" w14:textId="77777777" w:rsidR="00F42404" w:rsidRPr="0044524F" w:rsidRDefault="00F42404" w:rsidP="009654CF">
      <w:pPr>
        <w:numPr>
          <w:ilvl w:val="0"/>
          <w:numId w:val="12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мощного бензодвигателя (М-44) характеризуемого осуществлением в одном агрегате большой мощности, долженствующего заменить 2-3 мотора существующих мощностей и устанавливаемых на тяжелых бомбовозах.</w:t>
      </w:r>
    </w:p>
    <w:p w14:paraId="5DFE93C8" w14:textId="77777777" w:rsidR="00F42404" w:rsidRPr="0044524F" w:rsidRDefault="00F42404" w:rsidP="009654CF">
      <w:pPr>
        <w:numPr>
          <w:ilvl w:val="0"/>
          <w:numId w:val="12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Отсюда непосредственно вытекала задача постройки тяжелого бомбардировщика, использующего несколько мощных агрегатов дающих экономию в весе на винтомоторной группе, улучшение обтекания, простоту эксплуатации – следствием чего улучшение всех качеств самолета.</w:t>
      </w:r>
    </w:p>
    <w:p w14:paraId="0A784ABB" w14:textId="77777777" w:rsidR="00F42404" w:rsidRPr="0044524F" w:rsidRDefault="00F42404" w:rsidP="009654CF">
      <w:pPr>
        <w:numPr>
          <w:ilvl w:val="0"/>
          <w:numId w:val="12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доводку изготовленного мотора М-34, снабдив его редуктором, нагнетателем и увеличить надежность его работы. Этой задачей преследовалась цель улучшить боевые качества самолетов среднего и тяжелого веса.</w:t>
      </w:r>
    </w:p>
    <w:p w14:paraId="43D7B110" w14:textId="77777777" w:rsidR="00F42404" w:rsidRPr="0044524F" w:rsidRDefault="00F42404" w:rsidP="009654CF">
      <w:pPr>
        <w:numPr>
          <w:ilvl w:val="0"/>
          <w:numId w:val="12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Имея в виду необеспеченность нашей гидроавиации советскими машинами, ставилась задача создания типов морских лодочных самолетов (МК-1, МДР-3).</w:t>
      </w:r>
    </w:p>
    <w:p w14:paraId="44B09771" w14:textId="77777777" w:rsidR="00F42404" w:rsidRPr="0044524F" w:rsidRDefault="00F42404" w:rsidP="009654CF">
      <w:pPr>
        <w:numPr>
          <w:ilvl w:val="0"/>
          <w:numId w:val="12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нефтяного двигателя типа ДИЗЕЛЬ, как дающего большую надежность, дешевизну эксплуатации, уменьшение авиационного веса, вследствие меньшего удельного расхода горючего.</w:t>
      </w:r>
    </w:p>
    <w:p w14:paraId="45AEA1B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Над всеми этими задачами, учитывая огромное значение их, опытные организации ГУАПа работали развернутыми силами и несмотря на ряд достижений полностью с ними в установленные сроки не справились.</w:t>
      </w:r>
    </w:p>
    <w:p w14:paraId="577ED74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объекты, идущие с опоздание – моторы. Причинами этого послужило то, что в ЦИАМе, как в организации молодой, имеющей сложные и разнохарактерные работы, отличающиеся новизной, не имеющей еще проверенных методов производства, нормирования, учета, создался ряд больших еще трудностей как по производственной, так и оперативно-технической линии. Благодаря недостаточности опыта у молодого инженерно-технического персонала, не всегда находящего быстрое и нужное решение …………….. влекущие за собой перегрузку в цехах, высокий брак. Кроме того, производственная база ЦИАМа при многообразии типов и большого количества объектов, предусматривающих изготовление не только опытных экземпляров, но и снабжение ими выходящих опытных самолетов, оказалась недостаточной.</w:t>
      </w:r>
    </w:p>
    <w:p w14:paraId="3814901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это, все моторы предусмотренные планом 1932 года закончены производством и находятся на заводском испытании. Срок и сдача их на госиспытания зависят от степени сложности и серьезности обнаруженных при испытаниях переделок и исправлений.</w:t>
      </w:r>
    </w:p>
    <w:p w14:paraId="07E7792D"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касается вопроса выпуска самолетов, то в основном невыполнение установленных сроков заключалось в отсутствии моторов, доведенных до возможности пуска их в эксплуатацию на самолете. Следующей причиной служило позднее установление со стороны УВВС технических требований на тот или иной тип машины, следствием чего являлась необходимость дополнительных работ, а иногда и полная переработка задания.</w:t>
      </w:r>
    </w:p>
    <w:p w14:paraId="5620722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дополнение следует отметить, что в течение первого квартала 1932 года ЦАГИ переживал организационный период (слияние с заводом № 39), который не мог не отразиться на темпах его работы этого времени.</w:t>
      </w:r>
    </w:p>
    <w:p w14:paraId="35C78AC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сроки выпуска самолетов еще не выпущенных и связанных с вышеуказанными причинами, должны будут передвинуться на более позднее время.</w:t>
      </w:r>
    </w:p>
    <w:p w14:paraId="4324850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работ 1932 года показали, что задачи, поставленные Правительством перед опытным строительством, являются реально осуществимыми и требуют лишь доводки их в 1933 году.</w:t>
      </w:r>
    </w:p>
    <w:p w14:paraId="6B10645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работ по задачам можно характеризовать следующим:</w:t>
      </w:r>
    </w:p>
    <w:p w14:paraId="6EE62EAD" w14:textId="77777777" w:rsidR="00F42404" w:rsidRPr="0044524F" w:rsidRDefault="00F42404" w:rsidP="009654CF">
      <w:pPr>
        <w:numPr>
          <w:ilvl w:val="0"/>
          <w:numId w:val="12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для истребителей М-38 и М-32 после исправления недочетов, выявленных на предварительных испытаниях, снова поставлены на станок и дали удовлетворительные результаты. М-38Н проработал 80 режимных часов; М-32 РН – 50 часов. Оба дали проектируемую мощность. Намеченный срок госиспытаний для 1-го –июнь, для второго – март 1933 года.</w:t>
      </w:r>
    </w:p>
    <w:p w14:paraId="0F99915F" w14:textId="77777777" w:rsidR="00F42404" w:rsidRPr="0044524F" w:rsidRDefault="00F42404" w:rsidP="009654CF">
      <w:pPr>
        <w:numPr>
          <w:ilvl w:val="0"/>
          <w:numId w:val="12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Мощный бензодвигатель в 2000 НР (М-44) конструктивной разработкой закончен. Заканчиваются исследовательские работы в лаборатории одноцилиндровой установки. Готовность деталей оценивается в 50%.</w:t>
      </w:r>
    </w:p>
    <w:p w14:paraId="116A99FE" w14:textId="77777777" w:rsidR="00F42404" w:rsidRPr="0044524F" w:rsidRDefault="00F42404" w:rsidP="009654CF">
      <w:pPr>
        <w:numPr>
          <w:ilvl w:val="0"/>
          <w:numId w:val="12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для самолетов среднего и тяжелого веса (М-34) изготовляется в серии и проходит доводку на самолете. Серийный мотор прошел на полном газу (максимальную мощность) 50 часов беспрерывной работы, тогда как обычно на этом режиме образец испытывается не более 30 минут.</w:t>
      </w:r>
    </w:p>
    <w:p w14:paraId="41A26CC1"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Тот же тип мотора с редуктором дал хорошие результаты при 46-ти часовом предварительном испытании и сейчас прошел 50-ти часовое испытание и подготавливается к 100 часовому госиспытанию.</w:t>
      </w:r>
    </w:p>
    <w:p w14:paraId="0F330CE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Тот же тип мотора с нагнетателем после внесения изменений поставлен на станок и проходит заводские испытания.</w:t>
      </w:r>
    </w:p>
    <w:p w14:paraId="34826C6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 редуктором и нагнетателем может быть пущен на испытание лишь после окончательной доведенности каждого агрегата (Р и Н) в отдельности.</w:t>
      </w:r>
    </w:p>
    <w:p w14:paraId="0A869D7E" w14:textId="77777777" w:rsidR="00F42404" w:rsidRPr="0044524F" w:rsidRDefault="00F42404" w:rsidP="009654CF">
      <w:pPr>
        <w:numPr>
          <w:ilvl w:val="0"/>
          <w:numId w:val="13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нефтяным моторам работы ведутся в ЦИАМе (Н1), в ВНИДИ (Н2) и ОКБ (Н5).</w:t>
      </w:r>
    </w:p>
    <w:p w14:paraId="6954A2F8"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Плановыми работами на ЦИАМ возложено изготовление двигателя Н-1. К настоящему времени конструированием закончен и в производстве находятся основные трудоемкие детали. Проведены лабораторные испытания одноцилиндровой установки, давшие вполне хорошие результаты. Двигатель в целом может выйти на заводские испытания к маю.</w:t>
      </w:r>
    </w:p>
    <w:p w14:paraId="6EFCE6C6"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внеплановом порядке ЦИАМом проводится изготовление деталей для нефтяных двигателей Мартенса (Н2) и ОКБ, с последующим испытанием их.</w:t>
      </w:r>
    </w:p>
    <w:p w14:paraId="772E1C3C" w14:textId="77777777" w:rsidR="00F42404" w:rsidRPr="0044524F" w:rsidRDefault="00F42404" w:rsidP="009654CF">
      <w:pPr>
        <w:numPr>
          <w:ilvl w:val="0"/>
          <w:numId w:val="13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выпуску истребителей и тяжелых бомбовозов работы заканчиваются в части многоместного истребителя (МИ-3) и тяжелого бомбардировщика (ТБ-4). Обе машины перейдут на аэродром для подготовки к полетам в феврале. Одноместный истребитель (14) с пушкой проектированием закончен под заграничный мотор и находится в постройке. Выход на аэродром намечен к маю, т.е. запоздает на 1,5-2 месяца.</w:t>
      </w:r>
    </w:p>
    <w:p w14:paraId="3EFE0FA0"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намечается ряд работ по улучшению и усовершенствованию, по увеличению надежности и качества, по доведению до большого числа часов работы и удобству эксплуатации объектов как уже строящихся, так и переходящих в постройку.</w:t>
      </w:r>
    </w:p>
    <w:p w14:paraId="33AA4145"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указанных выше задач, перед ЦАГИ было поставлено задание создать самолет для рекордного полета на дальность со сроком окончания 1 августа 1932 года.</w:t>
      </w:r>
    </w:p>
    <w:p w14:paraId="2596CD3C"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чрезвычайно большого объема работ как по подготовке самолетов и специальных моторов, та к и по организации всего полета, работа перенесена на 1933 год с началом вылета – в августе-сентябре.</w:t>
      </w:r>
    </w:p>
    <w:p w14:paraId="254C301E"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изготовляются заводом № 24 специальные моторы, а ЦАГИ проводятся работы по подготовке самолетов и тренировке летсостава.</w:t>
      </w:r>
    </w:p>
    <w:p w14:paraId="76DEC703"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Отчет по опытному строительству моторов и самолетов за 1932 год (3530,88-90).</w:t>
      </w:r>
    </w:p>
    <w:p w14:paraId="5B85AF4E"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32A32EDC" w14:textId="77777777" w:rsidR="00AD1D3C" w:rsidRPr="0044524F" w:rsidRDefault="00AD1D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марта 1933 г. Протокол ПБ № 132 п.67/44: Предложение Комиссии Обороны – ОП. Решено утвердить следующее решение Комиссии Обороны о приобретении образцов и технической помощи у фирмы «Сперри». Принять малый вариант, а именно: а) приборы управления огнем береговой артиллерии с вынесенными постами, один экземпляр; б) приборы управления зенитным огнем морской артиллерии, один экземпляр; в) приборы управления зенитным огнем морской артиллерии, один </w:t>
      </w:r>
      <w:r w:rsidRPr="0044524F">
        <w:rPr>
          <w:rFonts w:ascii="Times New Roman" w:hAnsi="Times New Roman"/>
          <w:color w:val="000000" w:themeColor="text1"/>
          <w:sz w:val="16"/>
          <w:szCs w:val="16"/>
        </w:rPr>
        <w:lastRenderedPageBreak/>
        <w:t>экземпляр; г) прицелы бомбометания для самолетов - 5 штук; д) автопилоты - 4 штуки, из них 2 упрощенных, 2 военных; е) гироскопов направления – 6 штук; ж) звено синхронной передачи - 2 штуки; з) искусственный горизонт – 6 штук. Итого за покупку образцов – 486 200 долларов, за техническую помощь – 300 тысяч долларов, за оборудование 400 тысяч долларов – итого 1168 200 долларов. Принять предлагаемые условия платежа: За техническую помощь, начиная с 1934 года, в течение 4 лет равными частями по полугодиям. Платеж за образцы, начиная с 1934 года: 35 % против отгрузки, 25 % через 6 месяцев, 20 % через 12 месяцев и 20 % через 18 месяцев; последний платеж – в первой половине 1936 г. (15906).</w:t>
      </w:r>
    </w:p>
    <w:p w14:paraId="39497A80" w14:textId="77777777" w:rsidR="00AD1D3C" w:rsidRPr="0044524F" w:rsidRDefault="00AD1D3C" w:rsidP="009654CF">
      <w:pPr>
        <w:spacing w:after="0" w:line="240" w:lineRule="auto"/>
        <w:jc w:val="both"/>
        <w:rPr>
          <w:rFonts w:ascii="Times New Roman" w:hAnsi="Times New Roman"/>
          <w:color w:val="000000" w:themeColor="text1"/>
          <w:sz w:val="16"/>
          <w:szCs w:val="16"/>
        </w:rPr>
      </w:pPr>
    </w:p>
    <w:p w14:paraId="52ED4C67" w14:textId="77777777" w:rsidR="00AD1D3C" w:rsidRPr="0044524F" w:rsidRDefault="00AD1D3C" w:rsidP="009654CF">
      <w:pPr>
        <w:pStyle w:val="rtejustify"/>
        <w:spacing w:before="0" w:after="0"/>
        <w:rPr>
          <w:color w:val="000000" w:themeColor="text1"/>
          <w:sz w:val="16"/>
          <w:szCs w:val="16"/>
        </w:rPr>
      </w:pPr>
      <w:r w:rsidRPr="0044524F">
        <w:rPr>
          <w:rStyle w:val="af0"/>
          <w:bCs/>
          <w:i w:val="0"/>
          <w:color w:val="000000" w:themeColor="text1"/>
          <w:sz w:val="16"/>
          <w:szCs w:val="16"/>
        </w:rPr>
        <w:t>8 марта</w:t>
      </w:r>
      <w:r w:rsidRPr="0044524F">
        <w:rPr>
          <w:color w:val="000000" w:themeColor="text1"/>
          <w:sz w:val="16"/>
          <w:szCs w:val="16"/>
        </w:rPr>
        <w:t xml:space="preserve"> 1933. Протокол заседания Политбюро ЦК ВКП (б) № 132. 11. </w:t>
      </w:r>
      <w:hyperlink r:id="rId97" w:anchor="showunit&amp;id=85829" w:history="1">
        <w:r w:rsidRPr="0044524F">
          <w:rPr>
            <w:rStyle w:val="a5"/>
            <w:color w:val="000000" w:themeColor="text1"/>
            <w:sz w:val="16"/>
            <w:szCs w:val="16"/>
            <w:u w:val="none"/>
          </w:rPr>
          <w:t>О программе капитальных работ и о плане импорта для нефтепромышленности в 1933 г.</w:t>
        </w:r>
      </w:hyperlink>
      <w:r w:rsidRPr="0044524F">
        <w:rPr>
          <w:color w:val="000000" w:themeColor="text1"/>
          <w:sz w:val="16"/>
          <w:szCs w:val="16"/>
        </w:rPr>
        <w:t xml:space="preserve"> (ПБ от 1 февраля 1933 г., пр. № 129, п. 8, из приложений раздел 2, п. 1). Решено отложить вопрос до 9</w:t>
      </w:r>
      <w:r w:rsidRPr="0044524F">
        <w:rPr>
          <w:color w:val="000000" w:themeColor="text1"/>
          <w:sz w:val="16"/>
          <w:szCs w:val="16"/>
        </w:rPr>
        <w:noBreakHyphen/>
        <w:t>4</w:t>
      </w:r>
      <w:r w:rsidRPr="0044524F">
        <w:rPr>
          <w:color w:val="000000" w:themeColor="text1"/>
          <w:sz w:val="16"/>
          <w:szCs w:val="16"/>
        </w:rPr>
        <w:noBreakHyphen/>
        <w:t xml:space="preserve">1933. </w:t>
      </w:r>
      <w:hyperlink r:id="rId98" w:anchor="showunit&amp;id=85884" w:history="1">
        <w:r w:rsidRPr="0044524F">
          <w:rPr>
            <w:rStyle w:val="a5"/>
            <w:color w:val="000000" w:themeColor="text1"/>
            <w:sz w:val="16"/>
            <w:szCs w:val="16"/>
            <w:u w:val="none"/>
          </w:rPr>
          <w:t>59/36. О техпомощи по судостроению.</w:t>
        </w:r>
      </w:hyperlink>
      <w:r w:rsidRPr="0044524F">
        <w:rPr>
          <w:color w:val="000000" w:themeColor="text1"/>
          <w:sz w:val="16"/>
          <w:szCs w:val="16"/>
        </w:rPr>
        <w:t> — ОП. Решено: 1. Купить у фирмы JVS проект и рабочие чертежи подлодки Е</w:t>
      </w:r>
      <w:r w:rsidRPr="0044524F">
        <w:rPr>
          <w:color w:val="000000" w:themeColor="text1"/>
          <w:sz w:val="16"/>
          <w:szCs w:val="16"/>
        </w:rPr>
        <w:noBreakHyphen/>
        <w:t>1 в 755 (с нашим вооружением), а также техническую помощь по постройке подлодок этого типа в СССР. 2. Купить в Германии для первой подлодки дизеля, необходимое электрооборудование и вспомогательные механизмы, а также техпомощь по постановке их производства в СССР. 3. Определить размер валютных ассигнований на приобретение техпомощи по постройке подлодки Е</w:t>
      </w:r>
      <w:r w:rsidRPr="0044524F">
        <w:rPr>
          <w:color w:val="000000" w:themeColor="text1"/>
          <w:sz w:val="16"/>
          <w:szCs w:val="16"/>
        </w:rPr>
        <w:noBreakHyphen/>
        <w:t>1 и покупку указанных механизмов в 1500 тысяч рублей. 4. Для окончательных переговоров немедленно пригласить представителей JVS в Москву. 5. Потребовать от фирмы JVS перед заключением договора на техпомощь производства в присутствии наших специалистов испытания подлодки Е</w:t>
      </w:r>
      <w:r w:rsidRPr="0044524F">
        <w:rPr>
          <w:color w:val="000000" w:themeColor="text1"/>
          <w:sz w:val="16"/>
          <w:szCs w:val="16"/>
        </w:rPr>
        <w:noBreakHyphen/>
        <w:t xml:space="preserve">1 на ходу для проверки ее скорости хода над водой и под водой, скорости и глубины погружения, устойчивости, а также всех основных механизмов и устройства этой подлодки. 6. Признать необходимым добиться возможного уменьшения стоимости заказов в Германии и в Италии и обязательных льготных условий кредита на эти заказы. б) 1. Приобрести в Италии проект и рабочие чертежи эсминца – лидера, а также рабочие чертежи главной механической установки строящихся итальянских крейсеров. 2. Заказать в Италии главную турбинную установку и некоторые важные вспомогательные механизмы на первые корабли и приобрести техпомощь по постановке их производства в СССР. 3. Определить размер валютных ассигнований на техпомощь по постройке лидеров и крейсеров и покупку механизмов для них в 5 млн. рублей. 4. Командировать группу работников НКТП и УВМС в Италию для ведения переговоров о техпомощи и о заказе механизмов по лидерам и крейсерам с итальянскими фирмами «Ансальдо» и «Адриатическим объединением верфей». 5. Признать необходимым добиться возможного уменьшения стоимости заказов в Германии и Италии и обязательных льготных условий кредита на эти заказы. </w:t>
      </w:r>
      <w:hyperlink r:id="rId99" w:anchor="showunit&amp;id=85893" w:history="1">
        <w:r w:rsidRPr="0044524F">
          <w:rPr>
            <w:rStyle w:val="a5"/>
            <w:color w:val="000000" w:themeColor="text1"/>
            <w:sz w:val="16"/>
            <w:szCs w:val="16"/>
            <w:u w:val="none"/>
          </w:rPr>
          <w:t>67/44. Предложения Комиссии обороны.</w:t>
        </w:r>
      </w:hyperlink>
      <w:r w:rsidRPr="0044524F">
        <w:rPr>
          <w:color w:val="000000" w:themeColor="text1"/>
          <w:sz w:val="16"/>
          <w:szCs w:val="16"/>
        </w:rPr>
        <w:t xml:space="preserve"> — ОП. (ПБ от 7 марта 1933 г.). Решено утвердить следующее решение Комиссии Обороны о приобретении образцов и технической помощи у фирмы «Сперри». Принять малый вариант, а именно: а) приборы управления огнем береговой артиллерии с вынесенными постами, один экземпляр; б) приборы управления зенитным огнем морской артиллерии, один экземпляр; в) приборы управления зенитным огнем морской артиллерии, один экземпляр; г) прицелы бомбометания для самолетов — 5 штук; д) автопилоты – 4 штуки, из них 2 упрощенных, 2 военных; е) гироскопов направления – 6 штук; ж) звено синхронной передачи — 2 штуки; з) искусственный горизонт – 6 штук. Итого за покупку образцов – 486 200 долларов, за техническую помощь – 300 тысяч долларов, за оборудование 400 тысяч долларов – итого 1168 200 долларов. Принять предлагаемые условия платежа: За техническую помощь, начиная с 1934 года, в течение 4 лет равными частями по полугодиям. Платеж за образцы, начиная с 1934 года: 35% против отгрузки, 25% через 6 месяцев, 20% через 12 месяцев и 20% через 18 месяцев; последний платеж – в первой половине 1936 г. </w:t>
      </w:r>
      <w:hyperlink r:id="rId100" w:anchor="showunit&amp;id=85894" w:history="1">
        <w:r w:rsidRPr="0044524F">
          <w:rPr>
            <w:rStyle w:val="a5"/>
            <w:color w:val="000000" w:themeColor="text1"/>
            <w:sz w:val="16"/>
            <w:szCs w:val="16"/>
            <w:u w:val="none"/>
          </w:rPr>
          <w:t>68/45. Предложения Ворошилова (о разрешении иметь НКВМ в торгпредствах своих работников).</w:t>
        </w:r>
      </w:hyperlink>
      <w:r w:rsidRPr="0044524F">
        <w:rPr>
          <w:color w:val="000000" w:themeColor="text1"/>
          <w:sz w:val="16"/>
          <w:szCs w:val="16"/>
        </w:rPr>
        <w:t xml:space="preserve"> — ОП. </w:t>
      </w:r>
      <w:hyperlink r:id="rId101" w:anchor="showunit&amp;id=85902" w:history="1">
        <w:r w:rsidRPr="0044524F">
          <w:rPr>
            <w:rStyle w:val="a5"/>
            <w:color w:val="000000" w:themeColor="text1"/>
            <w:sz w:val="16"/>
            <w:szCs w:val="16"/>
            <w:u w:val="none"/>
          </w:rPr>
          <w:t>75/52. О состоянии Волховского алюминиевого комбината</w:t>
        </w:r>
      </w:hyperlink>
      <w:r w:rsidRPr="0044524F">
        <w:rPr>
          <w:color w:val="000000" w:themeColor="text1"/>
          <w:sz w:val="16"/>
          <w:szCs w:val="16"/>
        </w:rPr>
        <w:t>. (ПБ от 7 марта 1933 г.). Решено передать вопрос на рассмотрение в Комиссию исполнения СНК СССР (15462).</w:t>
      </w:r>
    </w:p>
    <w:p w14:paraId="7498E554" w14:textId="77777777" w:rsidR="00AD1D3C" w:rsidRPr="0044524F" w:rsidRDefault="00AD1D3C" w:rsidP="009654CF">
      <w:pPr>
        <w:pStyle w:val="rtejustify"/>
        <w:spacing w:before="0" w:after="0"/>
        <w:rPr>
          <w:color w:val="000000" w:themeColor="text1"/>
          <w:sz w:val="16"/>
          <w:szCs w:val="16"/>
        </w:rPr>
      </w:pPr>
    </w:p>
    <w:p w14:paraId="2B3778A7"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года начальник ВВС Алкснис подготовил:</w:t>
      </w:r>
    </w:p>
    <w:p w14:paraId="0A1C7909"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Сводка о выполнении решений КО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78"/>
        <w:gridCol w:w="2376"/>
        <w:gridCol w:w="2376"/>
        <w:gridCol w:w="2376"/>
        <w:gridCol w:w="584"/>
      </w:tblGrid>
      <w:tr w:rsidR="004E10C1" w:rsidRPr="0044524F" w14:paraId="491D578F" w14:textId="77777777" w:rsidTr="003D0776">
        <w:tc>
          <w:tcPr>
            <w:tcW w:w="2178" w:type="dxa"/>
          </w:tcPr>
          <w:p w14:paraId="015C03FF"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Содержание заданий</w:t>
            </w:r>
          </w:p>
        </w:tc>
        <w:tc>
          <w:tcPr>
            <w:tcW w:w="7711" w:type="dxa"/>
            <w:gridSpan w:val="4"/>
          </w:tcPr>
          <w:p w14:paraId="42120A2E"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заданий</w:t>
            </w:r>
          </w:p>
        </w:tc>
      </w:tr>
      <w:tr w:rsidR="004E10C1" w:rsidRPr="0044524F" w14:paraId="43B4F74B" w14:textId="77777777" w:rsidTr="003D0776">
        <w:tc>
          <w:tcPr>
            <w:tcW w:w="2178" w:type="dxa"/>
          </w:tcPr>
          <w:p w14:paraId="05B4EDE2"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c>
          <w:tcPr>
            <w:tcW w:w="7711" w:type="dxa"/>
            <w:gridSpan w:val="4"/>
          </w:tcPr>
          <w:p w14:paraId="09169DEB"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закупке образцов моторов и самолетов.</w:t>
            </w:r>
          </w:p>
        </w:tc>
      </w:tr>
      <w:tr w:rsidR="004E10C1" w:rsidRPr="0044524F" w14:paraId="2E975D0F" w14:textId="77777777" w:rsidTr="003D0776">
        <w:tc>
          <w:tcPr>
            <w:tcW w:w="2178" w:type="dxa"/>
          </w:tcPr>
          <w:p w14:paraId="107FD78F"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 538/177сс от 16 мая 1932 года, № 1153/345сс – 14 ноября 1932 года; № 158 – 25 июля 1931 года.</w:t>
            </w:r>
          </w:p>
          <w:p w14:paraId="137D3E3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Заключить договор Глававиапрому на техническую помощь с американской фирмой «Райт-Кертис», взяв в основу мотор воздушного охлаждения «Райт-Циклон» – НР 600-700 новейшей конструкции, а по водяному охлаждению новейший образец мотора «Кертис-Конкверер» с нагнетателем и редуктором.</w:t>
            </w:r>
          </w:p>
        </w:tc>
        <w:tc>
          <w:tcPr>
            <w:tcW w:w="7711" w:type="dxa"/>
            <w:gridSpan w:val="4"/>
          </w:tcPr>
          <w:p w14:paraId="46C8F02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Сумма в 1 миллион рублей была первоначально отпущена и затем сокращена (вернее, как специальный кредит аннулирована). Образцы закуплены за счет основного контингента Глававиапрома по техническому снабжению.</w:t>
            </w:r>
          </w:p>
          <w:p w14:paraId="25B264D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выезда инженеров ГУАП а границу были закуплены:</w:t>
            </w:r>
          </w:p>
          <w:p w14:paraId="47D31698"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1 авиадизель мотор «Мерседес-Бенц» – 16/50 НР.</w:t>
            </w:r>
          </w:p>
          <w:p w14:paraId="0816AF8C"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2 авиадизель-мотора «ЮМО-4» – 720 НР.</w:t>
            </w:r>
          </w:p>
          <w:p w14:paraId="695937AB"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r w:rsidRPr="0044524F">
              <w:rPr>
                <w:rFonts w:ascii="Times New Roman" w:hAnsi="Times New Roman"/>
                <w:color w:val="000000" w:themeColor="text1"/>
                <w:sz w:val="16"/>
                <w:szCs w:val="16"/>
              </w:rPr>
              <w:tab/>
              <w:t>1 авиадизель мотор «Даймлер-Бенц» – 700/750 НР.</w:t>
            </w:r>
          </w:p>
          <w:p w14:paraId="1EB98299"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r w:rsidRPr="0044524F">
              <w:rPr>
                <w:rFonts w:ascii="Times New Roman" w:hAnsi="Times New Roman"/>
                <w:color w:val="000000" w:themeColor="text1"/>
                <w:sz w:val="16"/>
                <w:szCs w:val="16"/>
              </w:rPr>
              <w:tab/>
              <w:t>2 авиамотора «Райт-Циклон» 1820 2” – 725 НР.</w:t>
            </w:r>
          </w:p>
          <w:p w14:paraId="4DD3FB80"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r w:rsidRPr="0044524F">
              <w:rPr>
                <w:rFonts w:ascii="Times New Roman" w:hAnsi="Times New Roman"/>
                <w:color w:val="000000" w:themeColor="text1"/>
                <w:sz w:val="16"/>
                <w:szCs w:val="16"/>
              </w:rPr>
              <w:tab/>
              <w:t>2 авиамотора «Райт-Циклон» 1820 3” – 650 НР.</w:t>
            </w:r>
          </w:p>
          <w:p w14:paraId="5864481F"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r w:rsidRPr="0044524F">
              <w:rPr>
                <w:rFonts w:ascii="Times New Roman" w:hAnsi="Times New Roman"/>
                <w:color w:val="000000" w:themeColor="text1"/>
                <w:sz w:val="16"/>
                <w:szCs w:val="16"/>
              </w:rPr>
              <w:tab/>
              <w:t>3 авиамотора «Суперконкверор» фирмы Кертис 600 НР.</w:t>
            </w:r>
          </w:p>
          <w:p w14:paraId="1A2FB950"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r w:rsidRPr="0044524F">
              <w:rPr>
                <w:rFonts w:ascii="Times New Roman" w:hAnsi="Times New Roman"/>
                <w:color w:val="000000" w:themeColor="text1"/>
                <w:sz w:val="16"/>
                <w:szCs w:val="16"/>
              </w:rPr>
              <w:tab/>
              <w:t>2 авиамотора «Рольс-Ройс» «Кестрел 2» 480 НР.</w:t>
            </w:r>
          </w:p>
          <w:p w14:paraId="33E4E2B1"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r w:rsidRPr="0044524F">
              <w:rPr>
                <w:rFonts w:ascii="Times New Roman" w:hAnsi="Times New Roman"/>
                <w:color w:val="000000" w:themeColor="text1"/>
                <w:sz w:val="16"/>
                <w:szCs w:val="16"/>
              </w:rPr>
              <w:tab/>
              <w:t>3 мотора «Бристоль» «Меркур IV 2» – 620/650 НР.</w:t>
            </w:r>
          </w:p>
          <w:p w14:paraId="6ED975B7"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r w:rsidRPr="0044524F">
              <w:rPr>
                <w:rFonts w:ascii="Times New Roman" w:hAnsi="Times New Roman"/>
                <w:color w:val="000000" w:themeColor="text1"/>
                <w:sz w:val="16"/>
                <w:szCs w:val="16"/>
              </w:rPr>
              <w:tab/>
              <w:t>1 мотор «Армстронг Сиддлей» «Тигр» – 590 НР.</w:t>
            </w:r>
          </w:p>
          <w:p w14:paraId="2785F062"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r w:rsidRPr="0044524F">
              <w:rPr>
                <w:rFonts w:ascii="Times New Roman" w:hAnsi="Times New Roman"/>
                <w:color w:val="000000" w:themeColor="text1"/>
                <w:sz w:val="16"/>
                <w:szCs w:val="16"/>
              </w:rPr>
              <w:tab/>
              <w:t>1 самолет «Ферии» «Фарфляй» – истребитель с мотором «Кестрел».</w:t>
            </w:r>
          </w:p>
          <w:p w14:paraId="58639FA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переговорам с Кертис-Райт по приобретению лиценза и техпомощи на два мотора Циклон 725 НР и Конкверер, около 650 НР.</w:t>
            </w:r>
          </w:p>
          <w:p w14:paraId="00F12237"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Америке находится сейчас комиссия ГУАП под председательством Побережского.</w:t>
            </w:r>
          </w:p>
          <w:p w14:paraId="3DBA493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Фирмой уже названы цифры. ГУАПом даны контрпредложения. Переговоры протекают сравнительно благоприятно и можно ожидать, что в ближайшее время договор будет подписан.</w:t>
            </w:r>
          </w:p>
        </w:tc>
      </w:tr>
      <w:tr w:rsidR="004E10C1" w:rsidRPr="0044524F" w14:paraId="78151362" w14:textId="77777777" w:rsidTr="003D0776">
        <w:tc>
          <w:tcPr>
            <w:tcW w:w="2178" w:type="dxa"/>
          </w:tcPr>
          <w:p w14:paraId="7FD9CF7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 158 от 25 июля 1931 года – реализация договора с итальянской фирмой «Фиат».</w:t>
            </w:r>
          </w:p>
        </w:tc>
        <w:tc>
          <w:tcPr>
            <w:tcW w:w="7711" w:type="dxa"/>
            <w:gridSpan w:val="4"/>
          </w:tcPr>
          <w:p w14:paraId="61F9830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Договор заключен 6 сентября 1932 года по оказанию техпомощи на постройку (и проектирование) Центрального литейного завода и реконструкцию литейных заводов №№ 26 и 24. После заключения договора выехала в Турин комиссия Голававиапрома, которой на месте совместно с фирмой «Фиат» проработан предварительный проект завода № 120. Изготовлена часть чертежей формовочного и литейного хозяйства. Изготовлены деревянные модели по которым отливаются детали наших моторов. Начались работы по новым сплавам. Наши инженеры все время сидят в литейной «Фиата» и перенимают опыт фирмы.</w:t>
            </w:r>
          </w:p>
          <w:p w14:paraId="3C24087F"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в Москву приехала Комиссия «Фиата» в составе 4-х инженеров и привезла с собой предварительный проект завода. Этот проект за период с 23 февраля по 7 марта обсуждался во всех деталях на Научно-техническом совете Гипроавио. Проект в общем признан удовлетворительным.</w:t>
            </w:r>
          </w:p>
          <w:p w14:paraId="4D66B40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Дальнейший ход работ: итальянцы увозят проект в Турин и совместно с Комиссией ГУАП дорабатывают его, внося коррективы НТСа.</w:t>
            </w:r>
          </w:p>
        </w:tc>
      </w:tr>
      <w:tr w:rsidR="004E10C1" w:rsidRPr="0044524F" w14:paraId="42AC4AAF" w14:textId="77777777" w:rsidTr="003D0776">
        <w:tc>
          <w:tcPr>
            <w:tcW w:w="2178" w:type="dxa"/>
          </w:tcPr>
          <w:p w14:paraId="5B958232"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 101/46сс от 16 февраля 1932 года</w:t>
            </w:r>
          </w:p>
        </w:tc>
        <w:tc>
          <w:tcPr>
            <w:tcW w:w="7711" w:type="dxa"/>
            <w:gridSpan w:val="4"/>
          </w:tcPr>
          <w:p w14:paraId="11B0B213"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r>
      <w:tr w:rsidR="004E10C1" w:rsidRPr="0044524F" w14:paraId="25F38065" w14:textId="77777777" w:rsidTr="003D0776">
        <w:tc>
          <w:tcPr>
            <w:tcW w:w="2178" w:type="dxa"/>
          </w:tcPr>
          <w:p w14:paraId="66B9F5DC"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Обязать ГУАП довести годовую мощность моторостроительного завода № 26 до 10000 моторов М-17 в год к 1 января 1933 года.</w:t>
            </w:r>
          </w:p>
        </w:tc>
        <w:tc>
          <w:tcPr>
            <w:tcW w:w="7711" w:type="dxa"/>
            <w:gridSpan w:val="4"/>
          </w:tcPr>
          <w:p w14:paraId="0719F468"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года доведено в основном по оборудованию до 7200 моторов.</w:t>
            </w:r>
          </w:p>
          <w:p w14:paraId="09C1FA7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выполнено полностью из-за:</w:t>
            </w:r>
          </w:p>
          <w:p w14:paraId="71B1B7E2"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Опоздания строительства, которое закончится в 1933 году.</w:t>
            </w:r>
          </w:p>
          <w:p w14:paraId="49E85C73"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Неполучения части оборудования из-за границы.</w:t>
            </w:r>
          </w:p>
          <w:p w14:paraId="722F91A6"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r w:rsidRPr="0044524F">
              <w:rPr>
                <w:rFonts w:ascii="Times New Roman" w:hAnsi="Times New Roman"/>
                <w:color w:val="000000" w:themeColor="text1"/>
                <w:sz w:val="16"/>
                <w:szCs w:val="16"/>
              </w:rPr>
              <w:tab/>
              <w:t>Не закончено оборудование литейной мастерской, на что отпущено вместо полагающихся, примерно, 10000 рублей, только 5000 рублей, контингента.</w:t>
            </w:r>
          </w:p>
        </w:tc>
      </w:tr>
      <w:tr w:rsidR="004E10C1" w:rsidRPr="0044524F" w14:paraId="3CF01EE9" w14:textId="77777777" w:rsidTr="003D0776">
        <w:tc>
          <w:tcPr>
            <w:tcW w:w="2178" w:type="dxa"/>
          </w:tcPr>
          <w:p w14:paraId="09917C89"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ГУАП довести годовую мощность моторостроительного завода № 24 до 15000 моторов М-34 в год к 1 января 1933 года.</w:t>
            </w:r>
          </w:p>
        </w:tc>
        <w:tc>
          <w:tcPr>
            <w:tcW w:w="7711" w:type="dxa"/>
            <w:gridSpan w:val="4"/>
          </w:tcPr>
          <w:p w14:paraId="2D633F1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года доведено до 2400 моторов. Основные причины невыполнения:</w:t>
            </w:r>
          </w:p>
          <w:p w14:paraId="5377BBA7"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Не закончено строительство.</w:t>
            </w:r>
          </w:p>
          <w:p w14:paraId="3366EA42"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Из предназначенных 9000000 рублей на импортное оборудование пока ничего не отпущено.</w:t>
            </w:r>
          </w:p>
          <w:p w14:paraId="0E35B1BC"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Строительство в 1933 году сокращено из-за нецелесообразности, так как не будет получено импортного оборудования.</w:t>
            </w:r>
          </w:p>
        </w:tc>
      </w:tr>
      <w:tr w:rsidR="004E10C1" w:rsidRPr="0044524F" w14:paraId="5C8D2ABF" w14:textId="77777777" w:rsidTr="003D0776">
        <w:tc>
          <w:tcPr>
            <w:tcW w:w="2178" w:type="dxa"/>
          </w:tcPr>
          <w:p w14:paraId="62DEB186"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Обязать ГУАП довести годовую мощность моторостроительного завода № 29 до 6000 моторов М-11 в год к 1 января 1933 года.</w:t>
            </w:r>
          </w:p>
        </w:tc>
        <w:tc>
          <w:tcPr>
            <w:tcW w:w="7711" w:type="dxa"/>
            <w:gridSpan w:val="4"/>
          </w:tcPr>
          <w:p w14:paraId="144D5C91"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года доведено до 4500 моторов. Основные причины невыполнения:</w:t>
            </w:r>
          </w:p>
          <w:p w14:paraId="76E4D5F4"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Строительство хотя в основном и незакончено, но недостаток площадей компенсируется за счет соседних заводов.</w:t>
            </w:r>
          </w:p>
          <w:p w14:paraId="43F0E315"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Не получено основное станочное оборудование полностью, как заграничное, так и внутри страны, хотя оно заказано и предполагается получить в текущем году.</w:t>
            </w:r>
          </w:p>
          <w:p w14:paraId="0B4476C5"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w:t>
            </w:r>
            <w:r w:rsidRPr="0044524F">
              <w:rPr>
                <w:rFonts w:ascii="Times New Roman" w:hAnsi="Times New Roman"/>
                <w:color w:val="000000" w:themeColor="text1"/>
                <w:sz w:val="16"/>
                <w:szCs w:val="16"/>
              </w:rPr>
              <w:tab/>
              <w:t>На 1933 год завод кредитами обеспечен и строительство должно быть закончено к концу года.</w:t>
            </w:r>
          </w:p>
        </w:tc>
      </w:tr>
      <w:tr w:rsidR="004E10C1" w:rsidRPr="0044524F" w14:paraId="31E6CDBA" w14:textId="77777777" w:rsidTr="003D0776">
        <w:tc>
          <w:tcPr>
            <w:tcW w:w="2178" w:type="dxa"/>
          </w:tcPr>
          <w:p w14:paraId="2EADD0A8"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 Обязать ГУАП довести годовую мощность моторостроительного завода № 19 до 6000 моторов М-22 в год к 1 января 1933 года.</w:t>
            </w:r>
          </w:p>
        </w:tc>
        <w:tc>
          <w:tcPr>
            <w:tcW w:w="7711" w:type="dxa"/>
            <w:gridSpan w:val="4"/>
          </w:tcPr>
          <w:p w14:paraId="5D2A8CC1"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года не выполнено ничего, за исключением строительства, которое произведено в объеме примерно на 1000 моторов.</w:t>
            </w:r>
          </w:p>
          <w:p w14:paraId="4466AC2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оборудованием не обеспечен и в 1933 году не предполагается таковое заказывать, так как из полагающихся 12000000 рублей контингента, согласно комиссии Куйбышева ничего пока не отпущено.</w:t>
            </w:r>
          </w:p>
        </w:tc>
      </w:tr>
      <w:tr w:rsidR="004E10C1" w:rsidRPr="0044524F" w14:paraId="0D7A9F2D" w14:textId="77777777" w:rsidTr="003D0776">
        <w:tc>
          <w:tcPr>
            <w:tcW w:w="2178" w:type="dxa"/>
          </w:tcPr>
          <w:p w14:paraId="7E6F1A9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Обязать ГУАП довести годовую мощность самолетостроительного завода № 22 до 600 самолетов ТБ3 в год к 1 января 1933 года.</w:t>
            </w:r>
          </w:p>
        </w:tc>
        <w:tc>
          <w:tcPr>
            <w:tcW w:w="7711" w:type="dxa"/>
            <w:gridSpan w:val="4"/>
          </w:tcPr>
          <w:p w14:paraId="075BA0F2"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года доведено до 500 самолетов. Недоведение в основном объясняется за счет одного корпуса, который должен быть построен в течении 1933 года.</w:t>
            </w:r>
          </w:p>
          <w:p w14:paraId="613A1D1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оборудованием обеспечен.</w:t>
            </w:r>
          </w:p>
        </w:tc>
      </w:tr>
      <w:tr w:rsidR="004E10C1" w:rsidRPr="0044524F" w14:paraId="3F934AC4" w14:textId="77777777" w:rsidTr="003D0776">
        <w:tc>
          <w:tcPr>
            <w:tcW w:w="2178" w:type="dxa"/>
          </w:tcPr>
          <w:p w14:paraId="34392E1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Обязать ГУАП довести годовую мощность самолетостроительного завода № 18 до 1500 самолетов ТБ3 в год к 1 января 1933 года.</w:t>
            </w:r>
          </w:p>
        </w:tc>
        <w:tc>
          <w:tcPr>
            <w:tcW w:w="7711" w:type="dxa"/>
            <w:gridSpan w:val="4"/>
          </w:tcPr>
          <w:p w14:paraId="10A99FF7"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года доведено до 200 самолетов годовой мощности. Основные причины невыполнения:</w:t>
            </w:r>
          </w:p>
          <w:p w14:paraId="566A9362"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Не развернуто и не закончено строительство, из-за отсутствия материалов и денежных средств.</w:t>
            </w:r>
          </w:p>
          <w:p w14:paraId="51A4E979"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Отсутствуют и на 1933 год не отпущены средства на оборудование больше чем на, примерно, 250 самолетов.</w:t>
            </w:r>
          </w:p>
          <w:p w14:paraId="3E9D9CC0"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Вследствие неполучения оборудования, строительство также в 1933 году будет производиться в полузаконсервированном виде.</w:t>
            </w:r>
          </w:p>
        </w:tc>
      </w:tr>
      <w:tr w:rsidR="004E10C1" w:rsidRPr="0044524F" w14:paraId="64493B51" w14:textId="77777777" w:rsidTr="003D0776">
        <w:tc>
          <w:tcPr>
            <w:tcW w:w="2178" w:type="dxa"/>
          </w:tcPr>
          <w:p w14:paraId="10A812F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Обязать ГУАП довести годовую мощность самолетостроительного завода в Казани до 1200 самолетов в год к 1 января 1933 года.</w:t>
            </w:r>
          </w:p>
        </w:tc>
        <w:tc>
          <w:tcPr>
            <w:tcW w:w="7711" w:type="dxa"/>
            <w:gridSpan w:val="4"/>
          </w:tcPr>
          <w:p w14:paraId="1AEBD4A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года строительство этого завода как промышленное, так и жилищное только в основном начато и будет продолжаться в небольшом объеме из-за отсутствия средств.</w:t>
            </w:r>
          </w:p>
        </w:tc>
      </w:tr>
      <w:tr w:rsidR="004E10C1" w:rsidRPr="0044524F" w14:paraId="5E2ED84B" w14:textId="77777777" w:rsidTr="003D0776">
        <w:tc>
          <w:tcPr>
            <w:tcW w:w="2178" w:type="dxa"/>
          </w:tcPr>
          <w:p w14:paraId="687584E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 538/177сс от 16 мая 1932 года</w:t>
            </w:r>
          </w:p>
        </w:tc>
        <w:tc>
          <w:tcPr>
            <w:tcW w:w="7711" w:type="dxa"/>
            <w:gridSpan w:val="4"/>
          </w:tcPr>
          <w:p w14:paraId="7F78F3D3"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r>
      <w:tr w:rsidR="004E10C1" w:rsidRPr="0044524F" w14:paraId="6AD96E1B" w14:textId="77777777" w:rsidTr="003D0776">
        <w:tc>
          <w:tcPr>
            <w:tcW w:w="2178" w:type="dxa"/>
          </w:tcPr>
          <w:p w14:paraId="462C8BC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Обязать ГУАП изъять Контрольно-испытательные отделы заводов из подчинения директоров заводов и подчинить непосредственно ГУАПу. Данное мероприятие провести к 1 июня 1932 года.</w:t>
            </w:r>
          </w:p>
        </w:tc>
        <w:tc>
          <w:tcPr>
            <w:tcW w:w="7711" w:type="dxa"/>
            <w:gridSpan w:val="4"/>
          </w:tcPr>
          <w:p w14:paraId="35FB965B"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года данное постановление остается не выполненным и Контрольные отделы заводов находятся в непосредственном подчинении директоров заводов.</w:t>
            </w:r>
          </w:p>
          <w:p w14:paraId="0FC3EFF6"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Организация в составе ГУАП, Управление по наблюдению и контролю за качеством производства и учреждений при заводах, специальных инспекторов по качеству от ГУАП не достигает цели и не может считаться прямым выполнением данного Постановления.</w:t>
            </w:r>
          </w:p>
        </w:tc>
      </w:tr>
      <w:tr w:rsidR="004E10C1" w:rsidRPr="0044524F" w14:paraId="714EBA77" w14:textId="77777777" w:rsidTr="003D0776">
        <w:tc>
          <w:tcPr>
            <w:tcW w:w="2178" w:type="dxa"/>
          </w:tcPr>
          <w:p w14:paraId="3261F56D"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Согласно этого же постановления ГУАП обязан был провести проверку работников Контрольно-испытательных отделов заводов в смысле их квалификации.</w:t>
            </w:r>
          </w:p>
        </w:tc>
        <w:tc>
          <w:tcPr>
            <w:tcW w:w="7711" w:type="dxa"/>
            <w:gridSpan w:val="4"/>
          </w:tcPr>
          <w:p w14:paraId="73111490"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года в основном состав работников Контрольно-испытательных отделов заводов остается прежним и серьезного улучшения не имеется.</w:t>
            </w:r>
          </w:p>
        </w:tc>
      </w:tr>
      <w:tr w:rsidR="004E10C1" w:rsidRPr="0044524F" w14:paraId="7CB0A898" w14:textId="77777777" w:rsidTr="003D0776">
        <w:tc>
          <w:tcPr>
            <w:tcW w:w="2178" w:type="dxa"/>
          </w:tcPr>
          <w:p w14:paraId="745465A2"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Согласно этого же постановления ГУАП обязан был увеличить ставки работников КИО заводов, а содержание их изъять из ведения заводов и передать в ГУАП.</w:t>
            </w:r>
          </w:p>
        </w:tc>
        <w:tc>
          <w:tcPr>
            <w:tcW w:w="7711" w:type="dxa"/>
            <w:gridSpan w:val="4"/>
          </w:tcPr>
          <w:p w14:paraId="64CBE22C"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года этот вопрос остается по старому в ведении директоров заводов непосредственно.</w:t>
            </w:r>
          </w:p>
        </w:tc>
      </w:tr>
      <w:tr w:rsidR="004E10C1" w:rsidRPr="0044524F" w14:paraId="6E683C95" w14:textId="77777777" w:rsidTr="003D0776">
        <w:tc>
          <w:tcPr>
            <w:tcW w:w="2178" w:type="dxa"/>
          </w:tcPr>
          <w:p w14:paraId="2040BDA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Согласно пн. 2 этого же постановления (№ 538/177сс) Глававиапром обязан был через свои заводы сдать не позже 1 октября 1932 года правлению ВВС групповые комплекты запасных частей и отдельные детали к моторам.</w:t>
            </w:r>
          </w:p>
        </w:tc>
        <w:tc>
          <w:tcPr>
            <w:tcW w:w="7711" w:type="dxa"/>
            <w:gridSpan w:val="4"/>
          </w:tcPr>
          <w:p w14:paraId="6EB8F2B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постановление моторостроительными заводами ГУАП было выполнено лишь в незначительной степени и на 1 января 1933 года осталась большая задолженность по запасным частям программы 1932 года.</w:t>
            </w:r>
          </w:p>
          <w:p w14:paraId="4843DC5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лучше обстоит со сдачей запасных частей к моторам и на 1 марта 1935 года, так например, завод № 26 к мотору М-17 не сдал запасные части совершенно, а завод № 29 лишь частично.</w:t>
            </w:r>
          </w:p>
        </w:tc>
      </w:tr>
      <w:tr w:rsidR="004E10C1" w:rsidRPr="0044524F" w14:paraId="168859E2" w14:textId="77777777" w:rsidTr="003D0776">
        <w:tc>
          <w:tcPr>
            <w:tcW w:w="2178" w:type="dxa"/>
          </w:tcPr>
          <w:p w14:paraId="2FE91791"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 …3/121/сс от 5 апреля 1932 года</w:t>
            </w:r>
          </w:p>
          <w:p w14:paraId="1C39DDD6"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73000B2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размере заказа Наркомвоенмора на аэродромно-самолетные средства радиосвязи в 1932 году.</w:t>
            </w:r>
          </w:p>
          <w:p w14:paraId="63B87151"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35E01967"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Весь заказ Наркомвоенмора по аэродромно-самолетным радиостанциям установлен в 2183 штуки.</w:t>
            </w:r>
          </w:p>
          <w:p w14:paraId="713B4A40"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0A9C5E2F"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НКТП под ответственность Жукова до 1 февраля 1933 года дать НКВМ полностью 2183 радиостанции; из них: 550 станций для тяжелой авиации.</w:t>
            </w:r>
          </w:p>
        </w:tc>
        <w:tc>
          <w:tcPr>
            <w:tcW w:w="7711" w:type="dxa"/>
            <w:gridSpan w:val="4"/>
          </w:tcPr>
          <w:p w14:paraId="2BD5D7F7"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февраля 1933 года получено: 350 самолетных радиостанций. Из них: 1 станция 11-СК для тяжелых кораблей и то, как образец.</w:t>
            </w:r>
          </w:p>
          <w:p w14:paraId="45CADC9F"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невыполнения:</w:t>
            </w:r>
          </w:p>
          <w:p w14:paraId="127E9AF4"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Отсутствие материалов.</w:t>
            </w:r>
          </w:p>
          <w:p w14:paraId="1E0B384B"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Промышленность не освоила в производстве новых образцов радиостанций.</w:t>
            </w:r>
          </w:p>
          <w:p w14:paraId="2F7B4AD2"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27F22F42"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Мероприятия со стороны УВВС по реализации выполнения постановления СТО.</w:t>
            </w:r>
          </w:p>
          <w:p w14:paraId="110BD012"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0D39F4E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председателю СТО от 21 июля 1932 года.</w:t>
            </w:r>
          </w:p>
          <w:p w14:paraId="0374AB12"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обеспечении УВВС радиостанциями для тяжелых самолетов со сроком поставки:</w:t>
            </w:r>
          </w:p>
          <w:p w14:paraId="2DD375A8"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октября – 11-СК – 150 штук; 11-АК – 10 штук</w:t>
            </w:r>
          </w:p>
          <w:p w14:paraId="245576A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ноября – 11-СК – 150 штук; 11-АК – 10 штук</w:t>
            </w:r>
          </w:p>
          <w:p w14:paraId="7DB5256D"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15 декабря - 11-СК – 250 штук; 11-АК – 20 штук</w:t>
            </w:r>
          </w:p>
          <w:p w14:paraId="2969BB1D"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583C0C6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в КО с проектом постановления от 11 октября</w:t>
            </w:r>
          </w:p>
          <w:p w14:paraId="12B455C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срыве постановлений СТО от 15 апреля и ЦК ВКП(б) от 5 июля 1932 года по вооружению тяжелой авиации радиостанциями.</w:t>
            </w:r>
          </w:p>
          <w:p w14:paraId="2B4ACFDD"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постановления: обязать НКТП под ответственность Орджоникидзе поставить к 1 января 1933 года:</w:t>
            </w:r>
          </w:p>
          <w:p w14:paraId="701529B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радиостанции 11-СК – 500 штук</w:t>
            </w:r>
          </w:p>
          <w:p w14:paraId="76ED9EC0"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радиостанции 11-АК – 40 штук</w:t>
            </w:r>
          </w:p>
          <w:p w14:paraId="14F02D27"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5D00FF51"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пред. РВС от 20 декабря 1932 года</w:t>
            </w:r>
          </w:p>
          <w:p w14:paraId="0A4FB19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срыве поставки авиационных раций за 1932 год.</w:t>
            </w:r>
          </w:p>
          <w:p w14:paraId="2E5C2481"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1FF1230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пред. РВС от 23 января 1933 года</w:t>
            </w:r>
          </w:p>
          <w:p w14:paraId="00D8DBC6"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проектом Политбюро ЦК ВКП(б)</w:t>
            </w:r>
          </w:p>
          <w:p w14:paraId="1A73D87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срыве выполнения постановления СТО и ЦК ВКП(б) по вооружению тяжелой авиации средствами связи.</w:t>
            </w:r>
          </w:p>
          <w:p w14:paraId="6943A358"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62DE5E11"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пред. КО от 26 января 1933 года с проектом постановления</w:t>
            </w:r>
          </w:p>
          <w:p w14:paraId="07CB9456"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срыве поставок самолетных радиостанций за 1932 год и о сроках поставки на 1933 год.</w:t>
            </w:r>
          </w:p>
          <w:p w14:paraId="280658C6"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стоит в повестке КО, но до сего времени не рассматривался.</w:t>
            </w:r>
          </w:p>
        </w:tc>
      </w:tr>
      <w:tr w:rsidR="004E10C1" w:rsidRPr="0044524F" w14:paraId="634F4E97" w14:textId="77777777" w:rsidTr="003D0776">
        <w:tc>
          <w:tcPr>
            <w:tcW w:w="2178" w:type="dxa"/>
          </w:tcPr>
          <w:p w14:paraId="07ECDE30"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Постановление СТО за № 878/265сс от 26 февраля 1932 года</w:t>
            </w:r>
          </w:p>
          <w:p w14:paraId="25149BED"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личную ответственность начальника ВОТИ Немова обеспечить изготовление автопилотов инженера Ниренберга с условием передачи головной серии в количестве 24 штук для войсковых испытаний в первой половине октября.</w:t>
            </w:r>
          </w:p>
        </w:tc>
        <w:tc>
          <w:tcPr>
            <w:tcW w:w="7711" w:type="dxa"/>
            <w:gridSpan w:val="4"/>
          </w:tcPr>
          <w:p w14:paraId="22AE875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8 марта 1933 года заводом «Метрон» из 24 штук заказанных, сдано 6 штук автопилотов. В процессе сборки и подготовки к сдаче – 18 штук, которые заводом представляются к приемке во второй половине марта 1933 года.</w:t>
            </w:r>
          </w:p>
          <w:p w14:paraId="1C8A45C9"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6 штук принятых – 1 смонтирован на самолет ТБ-1 и произведено 3 регулировочных полета.</w:t>
            </w:r>
          </w:p>
          <w:p w14:paraId="7FA3E032"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первом полете испытывались только компрессоры.</w:t>
            </w:r>
          </w:p>
          <w:p w14:paraId="4CDCD680"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втором полета лопнул мех и в рулевой машинке поперечной устойчивости.</w:t>
            </w:r>
          </w:p>
          <w:p w14:paraId="4F1DBB8C"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третьем – регулировочном полете заел золотник в автомате поперечной устойчивости.</w:t>
            </w:r>
          </w:p>
          <w:p w14:paraId="42B0DBE7"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два полета самолет управлялся автоматом, без вмешательства летчика 15-20 минут. При испытании автоматов, каждой стабилизации в отдельности – работа была удовлетворительной.</w:t>
            </w:r>
          </w:p>
          <w:p w14:paraId="15F0F1EE"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этого из числа тех же 6 принятых – 2 автопилота заканчиваются к 1 ноября 1933 года монтажем на самолет ТБ-1, после чего будет приступлено к их летным испытаниям. Сейчас монтаж задерживается, гл. образом из-за сварки.</w:t>
            </w:r>
          </w:p>
          <w:p w14:paraId="577DF61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1933 год генеральным договором с ВОТИ предусмотрена поставка заводом «Метрон» ВОТИ 97 штук автопилотов со сроками поставок:</w:t>
            </w:r>
          </w:p>
          <w:p w14:paraId="16571798"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II квартал 1933 года – 13 штук</w:t>
            </w:r>
          </w:p>
          <w:p w14:paraId="2630D506"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III квартал 1933 года – 32 штуки</w:t>
            </w:r>
          </w:p>
          <w:p w14:paraId="3A690080"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IV квартал 1933 года – 52 штуки</w:t>
            </w:r>
          </w:p>
          <w:p w14:paraId="6945069D"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тип автопилота, подлежащий серийному изготовлению пока еще не установлен, так как ни одна из опытных организаций еще не дала вполне законченного и испытанного образца.</w:t>
            </w:r>
          </w:p>
          <w:p w14:paraId="181BA641"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невыполнения:</w:t>
            </w:r>
          </w:p>
          <w:p w14:paraId="77C5D0B2"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Новизна дела – техперсонал завода «Метрон» впервые в процессе производства знакомился с жироскопическими приборами.</w:t>
            </w:r>
          </w:p>
          <w:p w14:paraId="7AE428A2"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Отсутствие монтажной схемы, которая своевременно не была дана Ниренбергом.</w:t>
            </w:r>
          </w:p>
          <w:p w14:paraId="1DF7C551"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r w:rsidRPr="0044524F">
              <w:rPr>
                <w:rFonts w:ascii="Times New Roman" w:hAnsi="Times New Roman"/>
                <w:color w:val="000000" w:themeColor="text1"/>
                <w:sz w:val="16"/>
                <w:szCs w:val="16"/>
              </w:rPr>
              <w:tab/>
              <w:t>Морозы, замедлившие темпы работ по монтажу.</w:t>
            </w:r>
          </w:p>
          <w:p w14:paraId="45596EA5"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r w:rsidRPr="0044524F">
              <w:rPr>
                <w:rFonts w:ascii="Times New Roman" w:hAnsi="Times New Roman"/>
                <w:color w:val="000000" w:themeColor="text1"/>
                <w:sz w:val="16"/>
                <w:szCs w:val="16"/>
              </w:rPr>
              <w:tab/>
              <w:t>Большие трудности в изготовлении рулевых машинок и главного ……</w:t>
            </w:r>
          </w:p>
          <w:p w14:paraId="12F68EF4"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17D6E668"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Мероприятия со стороны УВВС в организации выполнения постановления</w:t>
            </w:r>
          </w:p>
          <w:p w14:paraId="2A51ED5D"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240BCA80"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пред. РВС от 5 ………</w:t>
            </w:r>
          </w:p>
          <w:p w14:paraId="73644F70"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невыполнении ВОТИ постановления Правительства об изготовлении автопилотов.</w:t>
            </w:r>
          </w:p>
          <w:p w14:paraId="6A486BB4"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7758C782"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Письмо зам. НКТП Пятакову от 26 февраля 1932 года от имени зам. председателя РВС Гамарника – о невыполнении постановления Правительства по изготовлению автопилотов.</w:t>
            </w:r>
          </w:p>
          <w:p w14:paraId="23EAAE61"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7D30854B"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в СТО Базилевича</w:t>
            </w:r>
          </w:p>
          <w:p w14:paraId="4976881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выполнения заказов по автопилотам.</w:t>
            </w:r>
          </w:p>
        </w:tc>
      </w:tr>
      <w:tr w:rsidR="004E10C1" w:rsidRPr="0044524F" w14:paraId="47CB2783" w14:textId="77777777" w:rsidTr="003D0776">
        <w:tc>
          <w:tcPr>
            <w:tcW w:w="2178" w:type="dxa"/>
          </w:tcPr>
          <w:p w14:paraId="7486E33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 204/79сс от 10 марта 1932 года</w:t>
            </w:r>
          </w:p>
          <w:p w14:paraId="75C70E6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строительстве оперативных аэродромов.</w:t>
            </w:r>
          </w:p>
        </w:tc>
        <w:tc>
          <w:tcPr>
            <w:tcW w:w="7711" w:type="dxa"/>
            <w:gridSpan w:val="4"/>
          </w:tcPr>
          <w:p w14:paraId="707FFDB3"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Найдено аэродромов – 276</w:t>
            </w:r>
          </w:p>
          <w:p w14:paraId="7934A11A"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Начаты работы на 256 аэродромах</w:t>
            </w:r>
          </w:p>
          <w:p w14:paraId="731563FE"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r w:rsidRPr="0044524F">
              <w:rPr>
                <w:rFonts w:ascii="Times New Roman" w:hAnsi="Times New Roman"/>
                <w:color w:val="000000" w:themeColor="text1"/>
                <w:sz w:val="16"/>
                <w:szCs w:val="16"/>
              </w:rPr>
              <w:tab/>
              <w:t>Законченных летных полей – 164</w:t>
            </w:r>
          </w:p>
          <w:p w14:paraId="16AA09BA"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r w:rsidRPr="0044524F">
              <w:rPr>
                <w:rFonts w:ascii="Times New Roman" w:hAnsi="Times New Roman"/>
                <w:color w:val="000000" w:themeColor="text1"/>
                <w:sz w:val="16"/>
                <w:szCs w:val="16"/>
              </w:rPr>
              <w:tab/>
              <w:t>Незаконченных летных полей – 112</w:t>
            </w:r>
          </w:p>
          <w:p w14:paraId="1443E131"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r w:rsidRPr="0044524F">
              <w:rPr>
                <w:rFonts w:ascii="Times New Roman" w:hAnsi="Times New Roman"/>
                <w:color w:val="000000" w:themeColor="text1"/>
                <w:sz w:val="16"/>
                <w:szCs w:val="16"/>
              </w:rPr>
              <w:tab/>
              <w:t>Бомбохранилищ законченных – 14</w:t>
            </w:r>
          </w:p>
          <w:p w14:paraId="0B22C642"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r w:rsidRPr="0044524F">
              <w:rPr>
                <w:rFonts w:ascii="Times New Roman" w:hAnsi="Times New Roman"/>
                <w:color w:val="000000" w:themeColor="text1"/>
                <w:sz w:val="16"/>
                <w:szCs w:val="16"/>
              </w:rPr>
              <w:tab/>
              <w:t>Бомбохранилищ не законченных – 89</w:t>
            </w:r>
          </w:p>
          <w:p w14:paraId="501C80F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невыполнения</w:t>
            </w:r>
          </w:p>
          <w:p w14:paraId="708C0C92"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Необеспеченность полностью строительными материалами и строймеханизмами (тракторами, корчевальными машинами, экскаваторами, скреперами и катками).</w:t>
            </w:r>
          </w:p>
        </w:tc>
      </w:tr>
      <w:tr w:rsidR="004E10C1" w:rsidRPr="0044524F" w14:paraId="625B6CAC" w14:textId="77777777" w:rsidTr="003D0776">
        <w:tc>
          <w:tcPr>
            <w:tcW w:w="2178" w:type="dxa"/>
          </w:tcPr>
          <w:p w14:paraId="57B7AAC6"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ЦК ВКП(б) от 16 сентября 1932 года</w:t>
            </w:r>
          </w:p>
          <w:p w14:paraId="3C1F5422"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Разработать и представить на утверждение КО календарный план устранения на самолетах ТБ-3, Р5 и Р6 в последующих сериях дефекты, обнаруженные в процессе эксплуатации.</w:t>
            </w:r>
          </w:p>
          <w:p w14:paraId="18EB6CE7"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15 октября 1932 года.</w:t>
            </w:r>
          </w:p>
          <w:p w14:paraId="1ABD9783"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Проверить устранение ГУАПом, являющихся опасными для полетов, дефектов и доведение безотказной работы моторов до первой переборки – 200 часов.</w:t>
            </w:r>
          </w:p>
        </w:tc>
        <w:tc>
          <w:tcPr>
            <w:tcW w:w="7711" w:type="dxa"/>
            <w:gridSpan w:val="4"/>
          </w:tcPr>
          <w:p w14:paraId="766A3BE7" w14:textId="77777777" w:rsidR="002C3CAD" w:rsidRPr="0044524F" w:rsidRDefault="002C3CAD" w:rsidP="009654CF">
            <w:pPr>
              <w:pStyle w:val="a3"/>
              <w:widowControl/>
              <w:rPr>
                <w:color w:val="000000" w:themeColor="text1"/>
                <w:lang w:val="ru-RU"/>
              </w:rPr>
            </w:pPr>
            <w:r w:rsidRPr="0044524F">
              <w:rPr>
                <w:color w:val="000000" w:themeColor="text1"/>
                <w:lang w:val="ru-RU"/>
              </w:rPr>
              <w:t>Выполнено 6 ноября 1932 года.</w:t>
            </w:r>
          </w:p>
          <w:p w14:paraId="6488F96A" w14:textId="77777777" w:rsidR="002C3CAD" w:rsidRPr="0044524F" w:rsidRDefault="002C3CAD" w:rsidP="009654CF">
            <w:pPr>
              <w:pStyle w:val="a3"/>
              <w:widowControl/>
              <w:rPr>
                <w:color w:val="000000" w:themeColor="text1"/>
                <w:lang w:val="ru-RU"/>
              </w:rPr>
            </w:pPr>
          </w:p>
          <w:p w14:paraId="75D531F1"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0EE9F3F9"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40415007"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период времени с ноября 1932 года по февраль 1933 года было проведено ряд испытаний, из которых наиболее длительными (200 часов) являются:</w:t>
            </w:r>
          </w:p>
          <w:p w14:paraId="24A7FBB4"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Испытание, проведенное в ЦИАМе, показавшее вполне удовлетворительные результаты с точки зрения состояния деталей и надежности работы.</w:t>
            </w:r>
          </w:p>
          <w:p w14:paraId="5B6FF617" w14:textId="77777777" w:rsidR="002C3CAD" w:rsidRPr="0044524F" w:rsidRDefault="002C3CAD"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Испытание проведенное под руководством ЦИАМа на заводе № 26, показавшее совершенно неудовлетворительные результаты. Мотор проработал 195 часов, после чего произошла авария из-за обрыва цилиндра.</w:t>
            </w:r>
          </w:p>
          <w:p w14:paraId="7140B80E"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 крайне существенных дефектов: обрыв 4-х цилиндров, сильное выкрашивание цементационного слоя шатунных шеек коленчатого вала, большой износ боковой поверхности роликовых обойм гл. шатунов и др., выявленных на последнем испытании, а также совершенно неудовлетворительное состояние производства на заводе № 26, не позволяют считать вопрос о доведении срока службы этого мотора до 200 часов между переборками.</w:t>
            </w:r>
          </w:p>
          <w:p w14:paraId="5AE1D9E9"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необходимо отметить, что большинство уже давно известных дефектов мотора М-17 не устранены и проведение в жизнь намеченных улучшений удерживается введением в производство.</w:t>
            </w:r>
          </w:p>
          <w:p w14:paraId="25719DFB"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Вышеизложенное, а также пропуск заводом на сборку большого количества некондиционных деталей, привело к тому, что по январь и февраль 1933 года заводом было собрано 93 мотора пониженной кондиции, из которых к летной работе допущено лишь 11 моторов.</w:t>
            </w:r>
          </w:p>
          <w:p w14:paraId="12C673F6"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Такая работа завода № 26 привела к тому, что большинство моторов, находящихся в эксплуатации, заражено рядом дефектов (трещины головок цилиндров, износ верхних головок шатунов, поломка шестерен, передачи к помпам и др.), что в условиях недостатка запасных частей, крайне тяжело отзывается на эксплуатации.</w:t>
            </w:r>
          </w:p>
        </w:tc>
      </w:tr>
      <w:tr w:rsidR="004E10C1" w:rsidRPr="0044524F" w14:paraId="6D513F93" w14:textId="77777777" w:rsidTr="003D0776">
        <w:tc>
          <w:tcPr>
            <w:tcW w:w="2178" w:type="dxa"/>
          </w:tcPr>
          <w:p w14:paraId="6864E730"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Установление ГУАПом совместно с УВВС и ГУГВФ генеральных сроков службы деталей моторов и самолетов.</w:t>
            </w:r>
          </w:p>
          <w:p w14:paraId="0205FB1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декабрь 1932 года.</w:t>
            </w:r>
          </w:p>
        </w:tc>
        <w:tc>
          <w:tcPr>
            <w:tcW w:w="7711" w:type="dxa"/>
            <w:gridSpan w:val="4"/>
          </w:tcPr>
          <w:p w14:paraId="3A7DCB30" w14:textId="77777777" w:rsidR="002C3CAD" w:rsidRPr="0044524F" w:rsidRDefault="002C3CAD" w:rsidP="009654CF">
            <w:pPr>
              <w:pStyle w:val="a3"/>
              <w:widowControl/>
              <w:rPr>
                <w:color w:val="000000" w:themeColor="text1"/>
                <w:lang w:val="ru-RU"/>
              </w:rPr>
            </w:pPr>
            <w:r w:rsidRPr="0044524F">
              <w:rPr>
                <w:color w:val="000000" w:themeColor="text1"/>
                <w:lang w:val="ru-RU"/>
              </w:rPr>
              <w:t>Не выполнено.</w:t>
            </w:r>
          </w:p>
          <w:p w14:paraId="06E8CEA1" w14:textId="77777777" w:rsidR="002C3CAD" w:rsidRPr="0044524F" w:rsidRDefault="002C3CAD" w:rsidP="009654CF">
            <w:pPr>
              <w:pStyle w:val="a3"/>
              <w:widowControl/>
              <w:rPr>
                <w:color w:val="000000" w:themeColor="text1"/>
                <w:lang w:val="ru-RU"/>
              </w:rPr>
            </w:pPr>
            <w:r w:rsidRPr="0044524F">
              <w:rPr>
                <w:color w:val="000000" w:themeColor="text1"/>
                <w:lang w:val="ru-RU"/>
              </w:rPr>
              <w:t>Причины невыполнения:</w:t>
            </w:r>
          </w:p>
          <w:p w14:paraId="2C4BA6F8" w14:textId="77777777" w:rsidR="002C3CAD" w:rsidRPr="0044524F" w:rsidRDefault="002C3CAD" w:rsidP="009654CF">
            <w:pPr>
              <w:pStyle w:val="a3"/>
              <w:widowControl/>
              <w:rPr>
                <w:color w:val="000000" w:themeColor="text1"/>
                <w:lang w:val="ru-RU"/>
              </w:rPr>
            </w:pPr>
            <w:r w:rsidRPr="0044524F">
              <w:rPr>
                <w:color w:val="000000" w:themeColor="text1"/>
                <w:lang w:val="ru-RU"/>
              </w:rPr>
              <w:t>Отсутствие статистического учета по износу отдельных деталей самолетов и моторов как по реморганам ГУАПа, так и по всем частям ВВС. Только с января 1933 года в штат НИИ введен специальный Сектор по учету и техстатистике, который будет специально заниматься этими вопросами.</w:t>
            </w:r>
          </w:p>
        </w:tc>
      </w:tr>
      <w:tr w:rsidR="004E10C1" w:rsidRPr="0044524F" w14:paraId="4B67A84E" w14:textId="77777777" w:rsidTr="003D0776">
        <w:tc>
          <w:tcPr>
            <w:tcW w:w="2178" w:type="dxa"/>
          </w:tcPr>
          <w:p w14:paraId="6100CF2E"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Составить план инспектирования и </w:t>
            </w:r>
            <w:r w:rsidRPr="0044524F">
              <w:rPr>
                <w:rFonts w:ascii="Times New Roman" w:hAnsi="Times New Roman"/>
                <w:color w:val="000000" w:themeColor="text1"/>
                <w:sz w:val="16"/>
                <w:szCs w:val="16"/>
              </w:rPr>
              <w:lastRenderedPageBreak/>
              <w:t>инструктирования реморганов ВВС ГУАПом и Рем. управл. ВВС.</w:t>
            </w:r>
          </w:p>
          <w:p w14:paraId="7718FD6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 15 октября 1932 года.</w:t>
            </w:r>
          </w:p>
        </w:tc>
        <w:tc>
          <w:tcPr>
            <w:tcW w:w="7711" w:type="dxa"/>
            <w:gridSpan w:val="4"/>
          </w:tcPr>
          <w:p w14:paraId="14BDAB77" w14:textId="77777777" w:rsidR="002C3CAD" w:rsidRPr="0044524F" w:rsidRDefault="002C3CAD" w:rsidP="009654CF">
            <w:pPr>
              <w:pStyle w:val="a3"/>
              <w:widowControl/>
              <w:rPr>
                <w:color w:val="000000" w:themeColor="text1"/>
                <w:lang w:val="ru-RU"/>
              </w:rPr>
            </w:pPr>
            <w:r w:rsidRPr="0044524F">
              <w:rPr>
                <w:color w:val="000000" w:themeColor="text1"/>
                <w:lang w:val="ru-RU"/>
              </w:rPr>
              <w:lastRenderedPageBreak/>
              <w:t>Выполнен в срок.</w:t>
            </w:r>
          </w:p>
        </w:tc>
      </w:tr>
      <w:tr w:rsidR="004E10C1" w:rsidRPr="0044524F" w14:paraId="6294C76B" w14:textId="77777777" w:rsidTr="003D0776">
        <w:tc>
          <w:tcPr>
            <w:tcW w:w="2178" w:type="dxa"/>
          </w:tcPr>
          <w:p w14:paraId="62B09B6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Разработать положение о взаимоотношениях ГУАПа и УВВС о приемке и сдаче материальной части для утверждения и объявления в приказе Нарокмтяжпромаи Наркомвоенмора.</w:t>
            </w:r>
          </w:p>
          <w:p w14:paraId="2C462A1D"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1 ноября 1932 года.</w:t>
            </w:r>
          </w:p>
        </w:tc>
        <w:tc>
          <w:tcPr>
            <w:tcW w:w="7711" w:type="dxa"/>
            <w:gridSpan w:val="4"/>
          </w:tcPr>
          <w:p w14:paraId="1ACA6BC3" w14:textId="77777777" w:rsidR="002C3CAD" w:rsidRPr="0044524F" w:rsidRDefault="002C3CAD" w:rsidP="009654CF">
            <w:pPr>
              <w:pStyle w:val="a3"/>
              <w:widowControl/>
              <w:rPr>
                <w:color w:val="000000" w:themeColor="text1"/>
                <w:lang w:val="ru-RU"/>
              </w:rPr>
            </w:pPr>
            <w:r w:rsidRPr="0044524F">
              <w:rPr>
                <w:color w:val="000000" w:themeColor="text1"/>
                <w:lang w:val="ru-RU"/>
              </w:rPr>
              <w:t>Проект разработан в срок. Представлен ГУАПу для согласования и увязки спорных вопросов с трестами и заводами.</w:t>
            </w:r>
          </w:p>
        </w:tc>
      </w:tr>
      <w:tr w:rsidR="004E10C1" w:rsidRPr="0044524F" w14:paraId="4B902F2D" w14:textId="77777777" w:rsidTr="003D0776">
        <w:tc>
          <w:tcPr>
            <w:tcW w:w="2178" w:type="dxa"/>
          </w:tcPr>
          <w:p w14:paraId="00B33AD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Образование Треста горючих и смазочных материалов.</w:t>
            </w:r>
          </w:p>
          <w:p w14:paraId="76E47A27"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15 октября 1932 года.</w:t>
            </w:r>
          </w:p>
        </w:tc>
        <w:tc>
          <w:tcPr>
            <w:tcW w:w="7711" w:type="dxa"/>
            <w:gridSpan w:val="4"/>
          </w:tcPr>
          <w:p w14:paraId="362F31A4" w14:textId="77777777" w:rsidR="002C3CAD" w:rsidRPr="0044524F" w:rsidRDefault="002C3CAD" w:rsidP="009654CF">
            <w:pPr>
              <w:pStyle w:val="a3"/>
              <w:widowControl/>
              <w:rPr>
                <w:color w:val="000000" w:themeColor="text1"/>
                <w:lang w:val="ru-RU"/>
              </w:rPr>
            </w:pPr>
            <w:r w:rsidRPr="0044524F">
              <w:rPr>
                <w:color w:val="000000" w:themeColor="text1"/>
                <w:lang w:val="ru-RU"/>
              </w:rPr>
              <w:t>Исполнено.</w:t>
            </w:r>
          </w:p>
        </w:tc>
      </w:tr>
      <w:tr w:rsidR="004E10C1" w:rsidRPr="0044524F" w14:paraId="391BF95A" w14:textId="77777777" w:rsidTr="003D0776">
        <w:tc>
          <w:tcPr>
            <w:tcW w:w="2178" w:type="dxa"/>
          </w:tcPr>
          <w:p w14:paraId="756EBFF0"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ВВС</w:t>
            </w:r>
          </w:p>
        </w:tc>
        <w:tc>
          <w:tcPr>
            <w:tcW w:w="7711" w:type="dxa"/>
            <w:gridSpan w:val="4"/>
          </w:tcPr>
          <w:p w14:paraId="34C65E49" w14:textId="77777777" w:rsidR="002C3CAD" w:rsidRPr="0044524F" w:rsidRDefault="002C3CAD" w:rsidP="009654CF">
            <w:pPr>
              <w:pStyle w:val="a3"/>
              <w:widowControl/>
              <w:rPr>
                <w:color w:val="000000" w:themeColor="text1"/>
                <w:lang w:val="ru-RU"/>
              </w:rPr>
            </w:pPr>
          </w:p>
        </w:tc>
      </w:tr>
      <w:tr w:rsidR="004E10C1" w:rsidRPr="0044524F" w14:paraId="72BD8D96" w14:textId="77777777" w:rsidTr="003D0776">
        <w:tc>
          <w:tcPr>
            <w:tcW w:w="2178" w:type="dxa"/>
          </w:tcPr>
          <w:p w14:paraId="0139BB9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Переиздать инструкцию технической эксплуатации основных типов самолетов и моторов.</w:t>
            </w:r>
          </w:p>
          <w:p w14:paraId="1EDDD3FD"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1 января 1933 года.</w:t>
            </w:r>
          </w:p>
        </w:tc>
        <w:tc>
          <w:tcPr>
            <w:tcW w:w="7711" w:type="dxa"/>
            <w:gridSpan w:val="4"/>
          </w:tcPr>
          <w:p w14:paraId="3F1A65BB" w14:textId="77777777" w:rsidR="002C3CAD" w:rsidRPr="0044524F" w:rsidRDefault="002C3CAD" w:rsidP="009654CF">
            <w:pPr>
              <w:pStyle w:val="a3"/>
              <w:widowControl/>
              <w:rPr>
                <w:color w:val="000000" w:themeColor="text1"/>
                <w:lang w:val="ru-RU"/>
              </w:rPr>
            </w:pPr>
            <w:r w:rsidRPr="0044524F">
              <w:rPr>
                <w:color w:val="000000" w:themeColor="text1"/>
                <w:lang w:val="ru-RU"/>
              </w:rPr>
              <w:t>Инструкция по эксплуатации самолета Р5 переиздана, инструкции по эксплуатации самолетов ТБ-3, ТБ-1, Р-6, И-5, И-7, переработаны и находятся в печати (инструкции охватывают эксплуатацию не только самолетов, но и моторов, специального оборудования и вооружения установленного на самолетах).</w:t>
            </w:r>
          </w:p>
        </w:tc>
      </w:tr>
      <w:tr w:rsidR="004E10C1" w:rsidRPr="0044524F" w14:paraId="6CF89EA2" w14:textId="77777777" w:rsidTr="003D0776">
        <w:tc>
          <w:tcPr>
            <w:tcW w:w="2178" w:type="dxa"/>
          </w:tcPr>
          <w:p w14:paraId="6CEDA322"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Издать положение о взаимоотношении между командным и техническим составом частей ВВС.</w:t>
            </w:r>
          </w:p>
          <w:p w14:paraId="73984210"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10 октября 1932 года.</w:t>
            </w:r>
          </w:p>
        </w:tc>
        <w:tc>
          <w:tcPr>
            <w:tcW w:w="7711" w:type="dxa"/>
            <w:gridSpan w:val="4"/>
          </w:tcPr>
          <w:p w14:paraId="332B639D" w14:textId="77777777" w:rsidR="002C3CAD" w:rsidRPr="0044524F" w:rsidRDefault="002C3CAD" w:rsidP="009654CF">
            <w:pPr>
              <w:pStyle w:val="a3"/>
              <w:widowControl/>
              <w:rPr>
                <w:color w:val="000000" w:themeColor="text1"/>
                <w:lang w:val="ru-RU"/>
              </w:rPr>
            </w:pPr>
            <w:r w:rsidRPr="0044524F">
              <w:rPr>
                <w:color w:val="000000" w:themeColor="text1"/>
                <w:lang w:val="ru-RU"/>
              </w:rPr>
              <w:t>Положение о правах и обязанностях командного и технического состава частей ВВС разработано, напечатано и разослано на места 2 октября 1932 года.</w:t>
            </w:r>
          </w:p>
          <w:p w14:paraId="229944FF" w14:textId="77777777" w:rsidR="002C3CAD" w:rsidRPr="0044524F" w:rsidRDefault="002C3CAD" w:rsidP="009654CF">
            <w:pPr>
              <w:pStyle w:val="a3"/>
              <w:widowControl/>
              <w:rPr>
                <w:color w:val="000000" w:themeColor="text1"/>
                <w:lang w:val="ru-RU"/>
              </w:rPr>
            </w:pPr>
            <w:r w:rsidRPr="0044524F">
              <w:rPr>
                <w:color w:val="000000" w:themeColor="text1"/>
                <w:lang w:val="ru-RU"/>
              </w:rPr>
              <w:t>Права бригадирного инженера расширены, что регламентировано в особом положении, изданном 2 октября 1932 года.</w:t>
            </w:r>
          </w:p>
        </w:tc>
      </w:tr>
      <w:tr w:rsidR="004E10C1" w:rsidRPr="0044524F" w14:paraId="2671C67A" w14:textId="77777777" w:rsidTr="003D0776">
        <w:tc>
          <w:tcPr>
            <w:tcW w:w="2178" w:type="dxa"/>
          </w:tcPr>
          <w:p w14:paraId="18EAAF4E"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Разработать и издать положение о порядке и сроках полной ликвидации обезлички в ВВС.</w:t>
            </w:r>
          </w:p>
          <w:p w14:paraId="7E53FFF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15 октября 1932 года.</w:t>
            </w:r>
          </w:p>
        </w:tc>
        <w:tc>
          <w:tcPr>
            <w:tcW w:w="7711" w:type="dxa"/>
            <w:gridSpan w:val="4"/>
          </w:tcPr>
          <w:p w14:paraId="778F0B74" w14:textId="77777777" w:rsidR="002C3CAD" w:rsidRPr="0044524F" w:rsidRDefault="002C3CAD" w:rsidP="009654CF">
            <w:pPr>
              <w:pStyle w:val="a3"/>
              <w:widowControl/>
              <w:rPr>
                <w:color w:val="000000" w:themeColor="text1"/>
                <w:lang w:val="ru-RU"/>
              </w:rPr>
            </w:pPr>
            <w:r w:rsidRPr="0044524F">
              <w:rPr>
                <w:color w:val="000000" w:themeColor="text1"/>
                <w:lang w:val="ru-RU"/>
              </w:rPr>
              <w:t>В указаниях частям ВВС по боевой подготовке на 1933 год приказано – к 1 декабря 1933 года твердо закрепить экипажи по самолетам.</w:t>
            </w:r>
          </w:p>
          <w:p w14:paraId="45B75CD9" w14:textId="77777777" w:rsidR="002C3CAD" w:rsidRPr="0044524F" w:rsidRDefault="002C3CAD" w:rsidP="009654CF">
            <w:pPr>
              <w:pStyle w:val="a3"/>
              <w:widowControl/>
              <w:rPr>
                <w:color w:val="000000" w:themeColor="text1"/>
                <w:lang w:val="ru-RU"/>
              </w:rPr>
            </w:pPr>
            <w:r w:rsidRPr="0044524F">
              <w:rPr>
                <w:color w:val="000000" w:themeColor="text1"/>
                <w:lang w:val="ru-RU"/>
              </w:rPr>
              <w:t>Проверочные комиссии по планированию боевой подготовки поверяли исполнение этого путем выезда на места. Нарушения еще имеют место. Меры к полной ликвидации обезлички приняты.</w:t>
            </w:r>
          </w:p>
        </w:tc>
      </w:tr>
      <w:tr w:rsidR="004E10C1" w:rsidRPr="0044524F" w14:paraId="1F503565" w14:textId="77777777" w:rsidTr="003D0776">
        <w:tc>
          <w:tcPr>
            <w:tcW w:w="2178" w:type="dxa"/>
          </w:tcPr>
          <w:p w14:paraId="75D8016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Разработать и представить на утверждение наркому мероприятия по сокращению текучести состава ВВС.</w:t>
            </w:r>
          </w:p>
          <w:p w14:paraId="7ABA800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1 ноября 1932 года.</w:t>
            </w:r>
          </w:p>
        </w:tc>
        <w:tc>
          <w:tcPr>
            <w:tcW w:w="7711" w:type="dxa"/>
            <w:gridSpan w:val="4"/>
          </w:tcPr>
          <w:p w14:paraId="5FCF05AE" w14:textId="77777777" w:rsidR="002C3CAD" w:rsidRPr="0044524F" w:rsidRDefault="002C3CAD" w:rsidP="009654CF">
            <w:pPr>
              <w:pStyle w:val="a3"/>
              <w:widowControl/>
              <w:rPr>
                <w:color w:val="000000" w:themeColor="text1"/>
                <w:lang w:val="ru-RU"/>
              </w:rPr>
            </w:pPr>
            <w:r w:rsidRPr="0044524F">
              <w:rPr>
                <w:color w:val="000000" w:themeColor="text1"/>
                <w:lang w:val="ru-RU"/>
              </w:rPr>
              <w:t>Для борьбы с текучестью проведен ряд практических мероприятий:</w:t>
            </w:r>
          </w:p>
          <w:p w14:paraId="2419BC67" w14:textId="77777777" w:rsidR="002C3CAD" w:rsidRPr="0044524F" w:rsidRDefault="002C3CAD" w:rsidP="009654CF">
            <w:pPr>
              <w:pStyle w:val="a3"/>
              <w:widowControl/>
              <w:rPr>
                <w:color w:val="000000" w:themeColor="text1"/>
                <w:lang w:val="ru-RU"/>
              </w:rPr>
            </w:pPr>
            <w:r w:rsidRPr="0044524F">
              <w:rPr>
                <w:color w:val="000000" w:themeColor="text1"/>
                <w:lang w:val="ru-RU"/>
              </w:rPr>
              <w:t>а) перемещение в основном проводится внутри округов;</w:t>
            </w:r>
          </w:p>
          <w:p w14:paraId="0A5D8D3E" w14:textId="77777777" w:rsidR="002C3CAD" w:rsidRPr="0044524F" w:rsidRDefault="002C3CAD" w:rsidP="009654CF">
            <w:pPr>
              <w:pStyle w:val="a3"/>
              <w:widowControl/>
              <w:rPr>
                <w:color w:val="000000" w:themeColor="text1"/>
                <w:lang w:val="ru-RU"/>
              </w:rPr>
            </w:pPr>
            <w:r w:rsidRPr="0044524F">
              <w:rPr>
                <w:color w:val="000000" w:themeColor="text1"/>
                <w:lang w:val="ru-RU"/>
              </w:rPr>
              <w:t>б) перемещение штабных командиров не производится ранее выслуги установленных приказом наркома сроков;</w:t>
            </w:r>
          </w:p>
          <w:p w14:paraId="4200447D" w14:textId="77777777" w:rsidR="002C3CAD" w:rsidRPr="0044524F" w:rsidRDefault="002C3CAD" w:rsidP="009654CF">
            <w:pPr>
              <w:pStyle w:val="a3"/>
              <w:widowControl/>
              <w:rPr>
                <w:color w:val="000000" w:themeColor="text1"/>
                <w:lang w:val="ru-RU"/>
              </w:rPr>
            </w:pPr>
            <w:r w:rsidRPr="0044524F">
              <w:rPr>
                <w:color w:val="000000" w:themeColor="text1"/>
                <w:lang w:val="ru-RU"/>
              </w:rPr>
              <w:t>в) сокращение до минимума перемещения командиров на однородные должности той же категории.</w:t>
            </w:r>
          </w:p>
        </w:tc>
      </w:tr>
      <w:tr w:rsidR="004E10C1" w:rsidRPr="0044524F" w14:paraId="69D9EB3D" w14:textId="77777777" w:rsidTr="003D0776">
        <w:tc>
          <w:tcPr>
            <w:tcW w:w="2178" w:type="dxa"/>
          </w:tcPr>
          <w:p w14:paraId="631D3031"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Издать положение о бригаде, эскадрилье, отряде и звене.</w:t>
            </w:r>
          </w:p>
          <w:p w14:paraId="71CEB318"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1 ноября 1932 года.</w:t>
            </w:r>
          </w:p>
        </w:tc>
        <w:tc>
          <w:tcPr>
            <w:tcW w:w="7711" w:type="dxa"/>
            <w:gridSpan w:val="4"/>
          </w:tcPr>
          <w:p w14:paraId="21B9A41F" w14:textId="77777777" w:rsidR="002C3CAD" w:rsidRPr="0044524F" w:rsidRDefault="002C3CAD" w:rsidP="009654CF">
            <w:pPr>
              <w:pStyle w:val="a3"/>
              <w:widowControl/>
              <w:rPr>
                <w:color w:val="000000" w:themeColor="text1"/>
                <w:lang w:val="ru-RU"/>
              </w:rPr>
            </w:pPr>
            <w:r w:rsidRPr="0044524F">
              <w:rPr>
                <w:color w:val="000000" w:themeColor="text1"/>
                <w:lang w:val="ru-RU"/>
              </w:rPr>
              <w:t>Положение о правах и обязанностях командира звена разработано и представляется на утверждение наркому.</w:t>
            </w:r>
          </w:p>
        </w:tc>
      </w:tr>
      <w:tr w:rsidR="004E10C1" w:rsidRPr="0044524F" w14:paraId="630DCC9E" w14:textId="77777777" w:rsidTr="003D0776">
        <w:tc>
          <w:tcPr>
            <w:tcW w:w="2178" w:type="dxa"/>
          </w:tcPr>
          <w:p w14:paraId="682262EB"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Разработать новые штаты и положение НИИ ВВС.</w:t>
            </w:r>
          </w:p>
          <w:p w14:paraId="0A39B075"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10 октября 1932 года.</w:t>
            </w:r>
          </w:p>
        </w:tc>
        <w:tc>
          <w:tcPr>
            <w:tcW w:w="7711" w:type="dxa"/>
            <w:gridSpan w:val="4"/>
          </w:tcPr>
          <w:p w14:paraId="62333F3C" w14:textId="77777777" w:rsidR="002C3CAD" w:rsidRPr="0044524F" w:rsidRDefault="002C3CAD" w:rsidP="009654CF">
            <w:pPr>
              <w:pStyle w:val="a3"/>
              <w:widowControl/>
              <w:rPr>
                <w:color w:val="000000" w:themeColor="text1"/>
                <w:lang w:val="ru-RU"/>
              </w:rPr>
            </w:pPr>
            <w:r w:rsidRPr="0044524F">
              <w:rPr>
                <w:color w:val="000000" w:themeColor="text1"/>
                <w:lang w:val="ru-RU"/>
              </w:rPr>
              <w:t>Штат НИИ разработан, утвержден наркомом и введен в действие с 1 января 1933 года. Положение разработано и представлено на утверждение наркома.</w:t>
            </w:r>
          </w:p>
        </w:tc>
      </w:tr>
      <w:tr w:rsidR="004E10C1" w:rsidRPr="0044524F" w14:paraId="294B2B55" w14:textId="77777777" w:rsidTr="003D0776">
        <w:tc>
          <w:tcPr>
            <w:tcW w:w="2178" w:type="dxa"/>
          </w:tcPr>
          <w:p w14:paraId="236FB1D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второй раз производственно-технические совещания на заводах.</w:t>
            </w:r>
          </w:p>
          <w:p w14:paraId="0F06B39E"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 январь-февраль 1933 года.</w:t>
            </w:r>
          </w:p>
        </w:tc>
        <w:tc>
          <w:tcPr>
            <w:tcW w:w="7711" w:type="dxa"/>
            <w:gridSpan w:val="4"/>
          </w:tcPr>
          <w:p w14:paraId="0F256973" w14:textId="77777777" w:rsidR="002C3CAD" w:rsidRPr="0044524F" w:rsidRDefault="002C3CAD" w:rsidP="009654CF">
            <w:pPr>
              <w:pStyle w:val="a3"/>
              <w:widowControl/>
              <w:rPr>
                <w:color w:val="000000" w:themeColor="text1"/>
                <w:lang w:val="ru-RU"/>
              </w:rPr>
            </w:pPr>
            <w:r w:rsidRPr="0044524F">
              <w:rPr>
                <w:color w:val="000000" w:themeColor="text1"/>
                <w:lang w:val="ru-RU"/>
              </w:rPr>
              <w:t>Исполнено.</w:t>
            </w:r>
          </w:p>
        </w:tc>
      </w:tr>
      <w:tr w:rsidR="004E10C1" w:rsidRPr="0044524F" w14:paraId="01DAE753" w14:textId="77777777" w:rsidTr="003D0776">
        <w:tc>
          <w:tcPr>
            <w:tcW w:w="2178" w:type="dxa"/>
          </w:tcPr>
          <w:p w14:paraId="43CA2B74"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окружные сборы командиров и начальников Штабов, инженеров Бригад и отдельных частей.</w:t>
            </w:r>
          </w:p>
        </w:tc>
        <w:tc>
          <w:tcPr>
            <w:tcW w:w="7711" w:type="dxa"/>
            <w:gridSpan w:val="4"/>
          </w:tcPr>
          <w:p w14:paraId="3DF1D73C" w14:textId="77777777" w:rsidR="002C3CAD" w:rsidRPr="0044524F" w:rsidRDefault="002C3CAD" w:rsidP="009654CF">
            <w:pPr>
              <w:pStyle w:val="a3"/>
              <w:widowControl/>
              <w:rPr>
                <w:color w:val="000000" w:themeColor="text1"/>
                <w:lang w:val="ru-RU"/>
              </w:rPr>
            </w:pPr>
            <w:r w:rsidRPr="0044524F">
              <w:rPr>
                <w:color w:val="000000" w:themeColor="text1"/>
                <w:lang w:val="ru-RU"/>
              </w:rPr>
              <w:t>Сбор в ЛВО и БВО проведены.</w:t>
            </w:r>
          </w:p>
        </w:tc>
      </w:tr>
      <w:tr w:rsidR="004E10C1" w:rsidRPr="0044524F" w14:paraId="0D4F0118" w14:textId="77777777" w:rsidTr="003D0776">
        <w:trPr>
          <w:cantSplit/>
          <w:trHeight w:val="376"/>
        </w:trPr>
        <w:tc>
          <w:tcPr>
            <w:tcW w:w="2178" w:type="dxa"/>
          </w:tcPr>
          <w:p w14:paraId="45E91C6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за № …-157/64сс от 2 марта 1932 года и постановление СТО № 101/46сс от 16 февраля 1932 года (п. 2), о производственной программе на 1932 года по самолетным и моторным заводам.</w:t>
            </w:r>
          </w:p>
        </w:tc>
        <w:tc>
          <w:tcPr>
            <w:tcW w:w="2376" w:type="dxa"/>
          </w:tcPr>
          <w:p w14:paraId="1AF3F05E" w14:textId="77777777" w:rsidR="002C3CAD" w:rsidRPr="0044524F" w:rsidRDefault="002C3CAD" w:rsidP="009654CF">
            <w:pPr>
              <w:pStyle w:val="a3"/>
              <w:widowControl/>
              <w:rPr>
                <w:color w:val="000000" w:themeColor="text1"/>
                <w:lang w:val="ru-RU"/>
              </w:rPr>
            </w:pPr>
            <w:r w:rsidRPr="0044524F">
              <w:rPr>
                <w:color w:val="000000" w:themeColor="text1"/>
                <w:lang w:val="ru-RU"/>
              </w:rPr>
              <w:t>Типы самолетов</w:t>
            </w:r>
          </w:p>
        </w:tc>
        <w:tc>
          <w:tcPr>
            <w:tcW w:w="2376" w:type="dxa"/>
          </w:tcPr>
          <w:p w14:paraId="1B59192C" w14:textId="77777777" w:rsidR="002C3CAD" w:rsidRPr="0044524F" w:rsidRDefault="002C3CAD" w:rsidP="009654CF">
            <w:pPr>
              <w:pStyle w:val="a3"/>
              <w:widowControl/>
              <w:rPr>
                <w:color w:val="000000" w:themeColor="text1"/>
                <w:lang w:val="ru-RU"/>
              </w:rPr>
            </w:pPr>
            <w:r w:rsidRPr="0044524F">
              <w:rPr>
                <w:color w:val="000000" w:themeColor="text1"/>
                <w:lang w:val="ru-RU"/>
              </w:rPr>
              <w:t>Годовое количество</w:t>
            </w:r>
          </w:p>
        </w:tc>
        <w:tc>
          <w:tcPr>
            <w:tcW w:w="2376" w:type="dxa"/>
          </w:tcPr>
          <w:p w14:paraId="44276A5A" w14:textId="77777777" w:rsidR="002C3CAD" w:rsidRPr="0044524F" w:rsidRDefault="002C3CAD" w:rsidP="009654CF">
            <w:pPr>
              <w:pStyle w:val="a3"/>
              <w:widowControl/>
              <w:rPr>
                <w:color w:val="000000" w:themeColor="text1"/>
                <w:lang w:val="ru-RU"/>
              </w:rPr>
            </w:pPr>
            <w:r w:rsidRPr="0044524F">
              <w:rPr>
                <w:color w:val="000000" w:themeColor="text1"/>
                <w:lang w:val="ru-RU"/>
              </w:rPr>
              <w:t>Сдано за год</w:t>
            </w:r>
          </w:p>
        </w:tc>
        <w:tc>
          <w:tcPr>
            <w:tcW w:w="584" w:type="dxa"/>
          </w:tcPr>
          <w:p w14:paraId="3727CF78" w14:textId="77777777" w:rsidR="002C3CAD" w:rsidRPr="0044524F" w:rsidRDefault="002C3CAD" w:rsidP="009654CF">
            <w:pPr>
              <w:pStyle w:val="a3"/>
              <w:widowControl/>
              <w:rPr>
                <w:color w:val="000000" w:themeColor="text1"/>
                <w:lang w:val="ru-RU"/>
              </w:rPr>
            </w:pPr>
            <w:r w:rsidRPr="0044524F">
              <w:rPr>
                <w:color w:val="000000" w:themeColor="text1"/>
                <w:lang w:val="ru-RU"/>
              </w:rPr>
              <w:t>% выполнения</w:t>
            </w:r>
          </w:p>
        </w:tc>
      </w:tr>
      <w:tr w:rsidR="004E10C1" w:rsidRPr="0044524F" w14:paraId="671E7BF2" w14:textId="77777777" w:rsidTr="003D0776">
        <w:trPr>
          <w:cantSplit/>
          <w:trHeight w:val="375"/>
        </w:trPr>
        <w:tc>
          <w:tcPr>
            <w:tcW w:w="2178" w:type="dxa"/>
          </w:tcPr>
          <w:p w14:paraId="2AE9A8AC"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c>
          <w:tcPr>
            <w:tcW w:w="2376" w:type="dxa"/>
          </w:tcPr>
          <w:p w14:paraId="60F895BD" w14:textId="77777777" w:rsidR="002C3CAD" w:rsidRPr="0044524F" w:rsidRDefault="002C3CAD" w:rsidP="009654CF">
            <w:pPr>
              <w:pStyle w:val="a3"/>
              <w:widowControl/>
              <w:rPr>
                <w:color w:val="000000" w:themeColor="text1"/>
                <w:lang w:val="ru-RU"/>
              </w:rPr>
            </w:pPr>
            <w:r w:rsidRPr="0044524F">
              <w:rPr>
                <w:color w:val="000000" w:themeColor="text1"/>
                <w:lang w:val="ru-RU"/>
              </w:rPr>
              <w:t>Истребители</w:t>
            </w:r>
          </w:p>
        </w:tc>
        <w:tc>
          <w:tcPr>
            <w:tcW w:w="2376" w:type="dxa"/>
          </w:tcPr>
          <w:p w14:paraId="3B9569E6" w14:textId="77777777" w:rsidR="002C3CAD" w:rsidRPr="0044524F" w:rsidRDefault="002C3CAD" w:rsidP="009654CF">
            <w:pPr>
              <w:pStyle w:val="a3"/>
              <w:widowControl/>
              <w:rPr>
                <w:color w:val="000000" w:themeColor="text1"/>
                <w:lang w:val="ru-RU"/>
              </w:rPr>
            </w:pPr>
            <w:r w:rsidRPr="0044524F">
              <w:rPr>
                <w:color w:val="000000" w:themeColor="text1"/>
                <w:lang w:val="ru-RU"/>
              </w:rPr>
              <w:t>525</w:t>
            </w:r>
          </w:p>
        </w:tc>
        <w:tc>
          <w:tcPr>
            <w:tcW w:w="2376" w:type="dxa"/>
          </w:tcPr>
          <w:p w14:paraId="6E0C6828" w14:textId="77777777" w:rsidR="002C3CAD" w:rsidRPr="0044524F" w:rsidRDefault="002C3CAD" w:rsidP="009654CF">
            <w:pPr>
              <w:pStyle w:val="a3"/>
              <w:widowControl/>
              <w:rPr>
                <w:color w:val="000000" w:themeColor="text1"/>
                <w:lang w:val="ru-RU"/>
              </w:rPr>
            </w:pPr>
            <w:r w:rsidRPr="0044524F">
              <w:rPr>
                <w:color w:val="000000" w:themeColor="text1"/>
                <w:lang w:val="ru-RU"/>
              </w:rPr>
              <w:t>155</w:t>
            </w:r>
          </w:p>
        </w:tc>
        <w:tc>
          <w:tcPr>
            <w:tcW w:w="584" w:type="dxa"/>
          </w:tcPr>
          <w:p w14:paraId="6D04AAEF" w14:textId="77777777" w:rsidR="002C3CAD" w:rsidRPr="0044524F" w:rsidRDefault="002C3CAD" w:rsidP="009654CF">
            <w:pPr>
              <w:pStyle w:val="a3"/>
              <w:widowControl/>
              <w:rPr>
                <w:color w:val="000000" w:themeColor="text1"/>
                <w:lang w:val="ru-RU"/>
              </w:rPr>
            </w:pPr>
            <w:r w:rsidRPr="0044524F">
              <w:rPr>
                <w:color w:val="000000" w:themeColor="text1"/>
                <w:lang w:val="ru-RU"/>
              </w:rPr>
              <w:t>29</w:t>
            </w:r>
          </w:p>
        </w:tc>
      </w:tr>
      <w:tr w:rsidR="004E10C1" w:rsidRPr="0044524F" w14:paraId="3F572743" w14:textId="77777777" w:rsidTr="003D0776">
        <w:trPr>
          <w:cantSplit/>
          <w:trHeight w:val="375"/>
        </w:trPr>
        <w:tc>
          <w:tcPr>
            <w:tcW w:w="2178" w:type="dxa"/>
          </w:tcPr>
          <w:p w14:paraId="1785ED20"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c>
          <w:tcPr>
            <w:tcW w:w="2376" w:type="dxa"/>
          </w:tcPr>
          <w:p w14:paraId="07E6A1EC" w14:textId="77777777" w:rsidR="002C3CAD" w:rsidRPr="0044524F" w:rsidRDefault="002C3CAD" w:rsidP="009654CF">
            <w:pPr>
              <w:pStyle w:val="a3"/>
              <w:widowControl/>
              <w:rPr>
                <w:color w:val="000000" w:themeColor="text1"/>
                <w:lang w:val="ru-RU"/>
              </w:rPr>
            </w:pPr>
            <w:r w:rsidRPr="0044524F">
              <w:rPr>
                <w:color w:val="000000" w:themeColor="text1"/>
                <w:lang w:val="ru-RU"/>
              </w:rPr>
              <w:t>Разведчики</w:t>
            </w:r>
          </w:p>
        </w:tc>
        <w:tc>
          <w:tcPr>
            <w:tcW w:w="2376" w:type="dxa"/>
          </w:tcPr>
          <w:p w14:paraId="35DE7E2D" w14:textId="77777777" w:rsidR="002C3CAD" w:rsidRPr="0044524F" w:rsidRDefault="002C3CAD" w:rsidP="009654CF">
            <w:pPr>
              <w:pStyle w:val="a3"/>
              <w:widowControl/>
              <w:rPr>
                <w:color w:val="000000" w:themeColor="text1"/>
                <w:lang w:val="ru-RU"/>
              </w:rPr>
            </w:pPr>
            <w:r w:rsidRPr="0044524F">
              <w:rPr>
                <w:color w:val="000000" w:themeColor="text1"/>
                <w:lang w:val="ru-RU"/>
              </w:rPr>
              <w:t>1175</w:t>
            </w:r>
          </w:p>
        </w:tc>
        <w:tc>
          <w:tcPr>
            <w:tcW w:w="2376" w:type="dxa"/>
          </w:tcPr>
          <w:p w14:paraId="339B5AF7" w14:textId="77777777" w:rsidR="002C3CAD" w:rsidRPr="0044524F" w:rsidRDefault="002C3CAD" w:rsidP="009654CF">
            <w:pPr>
              <w:pStyle w:val="a3"/>
              <w:widowControl/>
              <w:rPr>
                <w:color w:val="000000" w:themeColor="text1"/>
                <w:lang w:val="ru-RU"/>
              </w:rPr>
            </w:pPr>
            <w:r w:rsidRPr="0044524F">
              <w:rPr>
                <w:color w:val="000000" w:themeColor="text1"/>
                <w:lang w:val="ru-RU"/>
              </w:rPr>
              <w:t>784</w:t>
            </w:r>
          </w:p>
        </w:tc>
        <w:tc>
          <w:tcPr>
            <w:tcW w:w="584" w:type="dxa"/>
          </w:tcPr>
          <w:p w14:paraId="69FD8EAB" w14:textId="77777777" w:rsidR="002C3CAD" w:rsidRPr="0044524F" w:rsidRDefault="002C3CAD" w:rsidP="009654CF">
            <w:pPr>
              <w:pStyle w:val="a3"/>
              <w:widowControl/>
              <w:rPr>
                <w:color w:val="000000" w:themeColor="text1"/>
                <w:lang w:val="ru-RU"/>
              </w:rPr>
            </w:pPr>
            <w:r w:rsidRPr="0044524F">
              <w:rPr>
                <w:color w:val="000000" w:themeColor="text1"/>
                <w:lang w:val="ru-RU"/>
              </w:rPr>
              <w:t>66</w:t>
            </w:r>
          </w:p>
        </w:tc>
      </w:tr>
      <w:tr w:rsidR="004E10C1" w:rsidRPr="0044524F" w14:paraId="714EE761" w14:textId="77777777" w:rsidTr="003D0776">
        <w:trPr>
          <w:cantSplit/>
          <w:trHeight w:val="375"/>
        </w:trPr>
        <w:tc>
          <w:tcPr>
            <w:tcW w:w="2178" w:type="dxa"/>
          </w:tcPr>
          <w:p w14:paraId="0D8A19D2"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c>
          <w:tcPr>
            <w:tcW w:w="2376" w:type="dxa"/>
          </w:tcPr>
          <w:p w14:paraId="060D5706" w14:textId="77777777" w:rsidR="002C3CAD" w:rsidRPr="0044524F" w:rsidRDefault="002C3CAD" w:rsidP="009654CF">
            <w:pPr>
              <w:pStyle w:val="a3"/>
              <w:widowControl/>
              <w:rPr>
                <w:color w:val="000000" w:themeColor="text1"/>
                <w:lang w:val="ru-RU"/>
              </w:rPr>
            </w:pPr>
            <w:r w:rsidRPr="0044524F">
              <w:rPr>
                <w:color w:val="000000" w:themeColor="text1"/>
                <w:lang w:val="ru-RU"/>
              </w:rPr>
              <w:t>Тяжелые бомбардировщики</w:t>
            </w:r>
          </w:p>
        </w:tc>
        <w:tc>
          <w:tcPr>
            <w:tcW w:w="2376" w:type="dxa"/>
          </w:tcPr>
          <w:p w14:paraId="48D02A77" w14:textId="77777777" w:rsidR="002C3CAD" w:rsidRPr="0044524F" w:rsidRDefault="002C3CAD" w:rsidP="009654CF">
            <w:pPr>
              <w:pStyle w:val="a3"/>
              <w:widowControl/>
              <w:rPr>
                <w:color w:val="000000" w:themeColor="text1"/>
                <w:lang w:val="ru-RU"/>
              </w:rPr>
            </w:pPr>
            <w:r w:rsidRPr="0044524F">
              <w:rPr>
                <w:color w:val="000000" w:themeColor="text1"/>
                <w:lang w:val="ru-RU"/>
              </w:rPr>
              <w:t>300</w:t>
            </w:r>
          </w:p>
        </w:tc>
        <w:tc>
          <w:tcPr>
            <w:tcW w:w="2376" w:type="dxa"/>
          </w:tcPr>
          <w:p w14:paraId="74F9F44A" w14:textId="77777777" w:rsidR="002C3CAD" w:rsidRPr="0044524F" w:rsidRDefault="002C3CAD" w:rsidP="009654CF">
            <w:pPr>
              <w:pStyle w:val="a3"/>
              <w:widowControl/>
              <w:rPr>
                <w:color w:val="000000" w:themeColor="text1"/>
                <w:lang w:val="ru-RU"/>
              </w:rPr>
            </w:pPr>
            <w:r w:rsidRPr="0044524F">
              <w:rPr>
                <w:color w:val="000000" w:themeColor="text1"/>
                <w:lang w:val="ru-RU"/>
              </w:rPr>
              <w:t>160</w:t>
            </w:r>
          </w:p>
        </w:tc>
        <w:tc>
          <w:tcPr>
            <w:tcW w:w="584" w:type="dxa"/>
          </w:tcPr>
          <w:p w14:paraId="341DABA7" w14:textId="77777777" w:rsidR="002C3CAD" w:rsidRPr="0044524F" w:rsidRDefault="002C3CAD" w:rsidP="009654CF">
            <w:pPr>
              <w:pStyle w:val="a3"/>
              <w:widowControl/>
              <w:rPr>
                <w:color w:val="000000" w:themeColor="text1"/>
                <w:lang w:val="ru-RU"/>
              </w:rPr>
            </w:pPr>
            <w:r w:rsidRPr="0044524F">
              <w:rPr>
                <w:color w:val="000000" w:themeColor="text1"/>
                <w:lang w:val="ru-RU"/>
              </w:rPr>
              <w:t>53</w:t>
            </w:r>
          </w:p>
        </w:tc>
      </w:tr>
      <w:tr w:rsidR="004E10C1" w:rsidRPr="0044524F" w14:paraId="75E03A7B" w14:textId="77777777" w:rsidTr="003D0776">
        <w:trPr>
          <w:cantSplit/>
          <w:trHeight w:val="375"/>
        </w:trPr>
        <w:tc>
          <w:tcPr>
            <w:tcW w:w="2178" w:type="dxa"/>
          </w:tcPr>
          <w:p w14:paraId="7B0F598A"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c>
          <w:tcPr>
            <w:tcW w:w="2376" w:type="dxa"/>
          </w:tcPr>
          <w:p w14:paraId="16EAF327" w14:textId="77777777" w:rsidR="002C3CAD" w:rsidRPr="0044524F" w:rsidRDefault="002C3CAD" w:rsidP="009654CF">
            <w:pPr>
              <w:pStyle w:val="a3"/>
              <w:widowControl/>
              <w:rPr>
                <w:color w:val="000000" w:themeColor="text1"/>
                <w:lang w:val="ru-RU"/>
              </w:rPr>
            </w:pPr>
            <w:r w:rsidRPr="0044524F">
              <w:rPr>
                <w:color w:val="000000" w:themeColor="text1"/>
                <w:lang w:val="ru-RU"/>
              </w:rPr>
              <w:t>Штурмовики</w:t>
            </w:r>
          </w:p>
        </w:tc>
        <w:tc>
          <w:tcPr>
            <w:tcW w:w="2376" w:type="dxa"/>
          </w:tcPr>
          <w:p w14:paraId="4E7EE7EC" w14:textId="77777777" w:rsidR="002C3CAD" w:rsidRPr="0044524F" w:rsidRDefault="002C3CAD" w:rsidP="009654CF">
            <w:pPr>
              <w:pStyle w:val="a3"/>
              <w:widowControl/>
              <w:rPr>
                <w:color w:val="000000" w:themeColor="text1"/>
                <w:lang w:val="ru-RU"/>
              </w:rPr>
            </w:pPr>
            <w:r w:rsidRPr="0044524F">
              <w:rPr>
                <w:color w:val="000000" w:themeColor="text1"/>
                <w:lang w:val="ru-RU"/>
              </w:rPr>
              <w:t>70</w:t>
            </w:r>
          </w:p>
        </w:tc>
        <w:tc>
          <w:tcPr>
            <w:tcW w:w="2376" w:type="dxa"/>
          </w:tcPr>
          <w:p w14:paraId="759430E2" w14:textId="77777777" w:rsidR="002C3CAD" w:rsidRPr="0044524F" w:rsidRDefault="002C3CAD" w:rsidP="009654CF">
            <w:pPr>
              <w:pStyle w:val="a3"/>
              <w:widowControl/>
              <w:rPr>
                <w:color w:val="000000" w:themeColor="text1"/>
                <w:lang w:val="ru-RU"/>
              </w:rPr>
            </w:pPr>
            <w:r w:rsidRPr="0044524F">
              <w:rPr>
                <w:color w:val="000000" w:themeColor="text1"/>
                <w:lang w:val="ru-RU"/>
              </w:rPr>
              <w:t>-</w:t>
            </w:r>
          </w:p>
        </w:tc>
        <w:tc>
          <w:tcPr>
            <w:tcW w:w="584" w:type="dxa"/>
          </w:tcPr>
          <w:p w14:paraId="51243A5F" w14:textId="77777777" w:rsidR="002C3CAD" w:rsidRPr="0044524F" w:rsidRDefault="002C3CAD" w:rsidP="009654CF">
            <w:pPr>
              <w:pStyle w:val="a3"/>
              <w:widowControl/>
              <w:rPr>
                <w:color w:val="000000" w:themeColor="text1"/>
                <w:lang w:val="ru-RU"/>
              </w:rPr>
            </w:pPr>
            <w:r w:rsidRPr="0044524F">
              <w:rPr>
                <w:color w:val="000000" w:themeColor="text1"/>
                <w:lang w:val="ru-RU"/>
              </w:rPr>
              <w:t>0</w:t>
            </w:r>
          </w:p>
        </w:tc>
      </w:tr>
      <w:tr w:rsidR="004E10C1" w:rsidRPr="0044524F" w14:paraId="346C9258" w14:textId="77777777" w:rsidTr="003D0776">
        <w:trPr>
          <w:cantSplit/>
          <w:trHeight w:val="375"/>
        </w:trPr>
        <w:tc>
          <w:tcPr>
            <w:tcW w:w="2178" w:type="dxa"/>
          </w:tcPr>
          <w:p w14:paraId="36307712"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c>
          <w:tcPr>
            <w:tcW w:w="2376" w:type="dxa"/>
          </w:tcPr>
          <w:p w14:paraId="7C54C713" w14:textId="77777777" w:rsidR="002C3CAD" w:rsidRPr="0044524F" w:rsidRDefault="002C3CAD" w:rsidP="009654CF">
            <w:pPr>
              <w:pStyle w:val="a3"/>
              <w:widowControl/>
              <w:rPr>
                <w:color w:val="000000" w:themeColor="text1"/>
                <w:lang w:val="ru-RU"/>
              </w:rPr>
            </w:pPr>
            <w:r w:rsidRPr="0044524F">
              <w:rPr>
                <w:color w:val="000000" w:themeColor="text1"/>
                <w:lang w:val="ru-RU"/>
              </w:rPr>
              <w:t>Учебные</w:t>
            </w:r>
          </w:p>
        </w:tc>
        <w:tc>
          <w:tcPr>
            <w:tcW w:w="2376" w:type="dxa"/>
          </w:tcPr>
          <w:p w14:paraId="5B66266D" w14:textId="77777777" w:rsidR="002C3CAD" w:rsidRPr="0044524F" w:rsidRDefault="002C3CAD" w:rsidP="009654CF">
            <w:pPr>
              <w:pStyle w:val="a3"/>
              <w:widowControl/>
              <w:rPr>
                <w:color w:val="000000" w:themeColor="text1"/>
                <w:lang w:val="ru-RU"/>
              </w:rPr>
            </w:pPr>
            <w:r w:rsidRPr="0044524F">
              <w:rPr>
                <w:color w:val="000000" w:themeColor="text1"/>
                <w:lang w:val="ru-RU"/>
              </w:rPr>
              <w:t>2655</w:t>
            </w:r>
          </w:p>
        </w:tc>
        <w:tc>
          <w:tcPr>
            <w:tcW w:w="2376" w:type="dxa"/>
          </w:tcPr>
          <w:p w14:paraId="78DD0D9E" w14:textId="77777777" w:rsidR="002C3CAD" w:rsidRPr="0044524F" w:rsidRDefault="002C3CAD" w:rsidP="009654CF">
            <w:pPr>
              <w:pStyle w:val="a3"/>
              <w:widowControl/>
              <w:rPr>
                <w:color w:val="000000" w:themeColor="text1"/>
                <w:lang w:val="ru-RU"/>
              </w:rPr>
            </w:pPr>
            <w:r w:rsidRPr="0044524F">
              <w:rPr>
                <w:color w:val="000000" w:themeColor="text1"/>
                <w:lang w:val="ru-RU"/>
              </w:rPr>
              <w:t>1705</w:t>
            </w:r>
          </w:p>
        </w:tc>
        <w:tc>
          <w:tcPr>
            <w:tcW w:w="584" w:type="dxa"/>
          </w:tcPr>
          <w:p w14:paraId="5360676D" w14:textId="77777777" w:rsidR="002C3CAD" w:rsidRPr="0044524F" w:rsidRDefault="002C3CAD" w:rsidP="009654CF">
            <w:pPr>
              <w:pStyle w:val="a3"/>
              <w:widowControl/>
              <w:rPr>
                <w:color w:val="000000" w:themeColor="text1"/>
                <w:lang w:val="ru-RU"/>
              </w:rPr>
            </w:pPr>
            <w:r w:rsidRPr="0044524F">
              <w:rPr>
                <w:color w:val="000000" w:themeColor="text1"/>
                <w:lang w:val="ru-RU"/>
              </w:rPr>
              <w:t>64</w:t>
            </w:r>
          </w:p>
        </w:tc>
      </w:tr>
      <w:tr w:rsidR="004E10C1" w:rsidRPr="0044524F" w14:paraId="17580C81" w14:textId="77777777" w:rsidTr="003D0776">
        <w:trPr>
          <w:cantSplit/>
          <w:trHeight w:val="375"/>
        </w:trPr>
        <w:tc>
          <w:tcPr>
            <w:tcW w:w="2178" w:type="dxa"/>
          </w:tcPr>
          <w:p w14:paraId="44371A54"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c>
          <w:tcPr>
            <w:tcW w:w="2376" w:type="dxa"/>
          </w:tcPr>
          <w:p w14:paraId="10F9D29F" w14:textId="77777777" w:rsidR="002C3CAD" w:rsidRPr="0044524F" w:rsidRDefault="002C3CAD" w:rsidP="009654CF">
            <w:pPr>
              <w:pStyle w:val="a3"/>
              <w:widowControl/>
              <w:rPr>
                <w:color w:val="000000" w:themeColor="text1"/>
                <w:lang w:val="ru-RU"/>
              </w:rPr>
            </w:pPr>
            <w:r w:rsidRPr="0044524F">
              <w:rPr>
                <w:color w:val="000000" w:themeColor="text1"/>
                <w:lang w:val="ru-RU"/>
              </w:rPr>
              <w:t>Мотор М-17</w:t>
            </w:r>
          </w:p>
        </w:tc>
        <w:tc>
          <w:tcPr>
            <w:tcW w:w="2376" w:type="dxa"/>
          </w:tcPr>
          <w:p w14:paraId="5B11E9E3" w14:textId="77777777" w:rsidR="002C3CAD" w:rsidRPr="0044524F" w:rsidRDefault="002C3CAD" w:rsidP="009654CF">
            <w:pPr>
              <w:pStyle w:val="a3"/>
              <w:widowControl/>
              <w:rPr>
                <w:color w:val="000000" w:themeColor="text1"/>
                <w:lang w:val="ru-RU"/>
              </w:rPr>
            </w:pPr>
            <w:r w:rsidRPr="0044524F">
              <w:rPr>
                <w:color w:val="000000" w:themeColor="text1"/>
                <w:lang w:val="ru-RU"/>
              </w:rPr>
              <w:t>2080</w:t>
            </w:r>
          </w:p>
        </w:tc>
        <w:tc>
          <w:tcPr>
            <w:tcW w:w="2376" w:type="dxa"/>
          </w:tcPr>
          <w:p w14:paraId="59469848" w14:textId="77777777" w:rsidR="002C3CAD" w:rsidRPr="0044524F" w:rsidRDefault="002C3CAD" w:rsidP="009654CF">
            <w:pPr>
              <w:pStyle w:val="a3"/>
              <w:widowControl/>
              <w:rPr>
                <w:color w:val="000000" w:themeColor="text1"/>
                <w:lang w:val="ru-RU"/>
              </w:rPr>
            </w:pPr>
            <w:r w:rsidRPr="0044524F">
              <w:rPr>
                <w:color w:val="000000" w:themeColor="text1"/>
                <w:lang w:val="ru-RU"/>
              </w:rPr>
              <w:t>1641</w:t>
            </w:r>
          </w:p>
        </w:tc>
        <w:tc>
          <w:tcPr>
            <w:tcW w:w="584" w:type="dxa"/>
          </w:tcPr>
          <w:p w14:paraId="044CF4CD" w14:textId="77777777" w:rsidR="002C3CAD" w:rsidRPr="0044524F" w:rsidRDefault="002C3CAD" w:rsidP="009654CF">
            <w:pPr>
              <w:pStyle w:val="a3"/>
              <w:widowControl/>
              <w:rPr>
                <w:color w:val="000000" w:themeColor="text1"/>
                <w:lang w:val="ru-RU"/>
              </w:rPr>
            </w:pPr>
            <w:r w:rsidRPr="0044524F">
              <w:rPr>
                <w:color w:val="000000" w:themeColor="text1"/>
                <w:lang w:val="ru-RU"/>
              </w:rPr>
              <w:t>78,8</w:t>
            </w:r>
          </w:p>
        </w:tc>
      </w:tr>
      <w:tr w:rsidR="004E10C1" w:rsidRPr="0044524F" w14:paraId="53589C31" w14:textId="77777777" w:rsidTr="003D0776">
        <w:trPr>
          <w:cantSplit/>
          <w:trHeight w:val="375"/>
        </w:trPr>
        <w:tc>
          <w:tcPr>
            <w:tcW w:w="2178" w:type="dxa"/>
          </w:tcPr>
          <w:p w14:paraId="27E474E6"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c>
          <w:tcPr>
            <w:tcW w:w="2376" w:type="dxa"/>
          </w:tcPr>
          <w:p w14:paraId="026572B3" w14:textId="77777777" w:rsidR="002C3CAD" w:rsidRPr="0044524F" w:rsidRDefault="002C3CAD" w:rsidP="009654CF">
            <w:pPr>
              <w:pStyle w:val="a3"/>
              <w:widowControl/>
              <w:rPr>
                <w:color w:val="000000" w:themeColor="text1"/>
                <w:lang w:val="ru-RU"/>
              </w:rPr>
            </w:pPr>
            <w:r w:rsidRPr="0044524F">
              <w:rPr>
                <w:color w:val="000000" w:themeColor="text1"/>
                <w:lang w:val="ru-RU"/>
              </w:rPr>
              <w:t>Мотор М-11</w:t>
            </w:r>
          </w:p>
        </w:tc>
        <w:tc>
          <w:tcPr>
            <w:tcW w:w="2376" w:type="dxa"/>
          </w:tcPr>
          <w:p w14:paraId="08EDFA06" w14:textId="77777777" w:rsidR="002C3CAD" w:rsidRPr="0044524F" w:rsidRDefault="002C3CAD" w:rsidP="009654CF">
            <w:pPr>
              <w:pStyle w:val="a3"/>
              <w:widowControl/>
              <w:rPr>
                <w:color w:val="000000" w:themeColor="text1"/>
                <w:lang w:val="ru-RU"/>
              </w:rPr>
            </w:pPr>
            <w:r w:rsidRPr="0044524F">
              <w:rPr>
                <w:color w:val="000000" w:themeColor="text1"/>
                <w:lang w:val="ru-RU"/>
              </w:rPr>
              <w:t>955</w:t>
            </w:r>
          </w:p>
        </w:tc>
        <w:tc>
          <w:tcPr>
            <w:tcW w:w="2376" w:type="dxa"/>
          </w:tcPr>
          <w:p w14:paraId="2C9D661D" w14:textId="77777777" w:rsidR="002C3CAD" w:rsidRPr="0044524F" w:rsidRDefault="002C3CAD" w:rsidP="009654CF">
            <w:pPr>
              <w:pStyle w:val="a3"/>
              <w:widowControl/>
              <w:rPr>
                <w:color w:val="000000" w:themeColor="text1"/>
                <w:lang w:val="ru-RU"/>
              </w:rPr>
            </w:pPr>
            <w:r w:rsidRPr="0044524F">
              <w:rPr>
                <w:color w:val="000000" w:themeColor="text1"/>
                <w:lang w:val="ru-RU"/>
              </w:rPr>
              <w:t>883</w:t>
            </w:r>
          </w:p>
        </w:tc>
        <w:tc>
          <w:tcPr>
            <w:tcW w:w="584" w:type="dxa"/>
          </w:tcPr>
          <w:p w14:paraId="2D633E45" w14:textId="77777777" w:rsidR="002C3CAD" w:rsidRPr="0044524F" w:rsidRDefault="002C3CAD" w:rsidP="009654CF">
            <w:pPr>
              <w:pStyle w:val="a3"/>
              <w:widowControl/>
              <w:rPr>
                <w:color w:val="000000" w:themeColor="text1"/>
                <w:lang w:val="ru-RU"/>
              </w:rPr>
            </w:pPr>
            <w:r w:rsidRPr="0044524F">
              <w:rPr>
                <w:color w:val="000000" w:themeColor="text1"/>
                <w:lang w:val="ru-RU"/>
              </w:rPr>
              <w:t>92</w:t>
            </w:r>
          </w:p>
        </w:tc>
      </w:tr>
      <w:tr w:rsidR="004E10C1" w:rsidRPr="0044524F" w14:paraId="60EB623A" w14:textId="77777777" w:rsidTr="003D0776">
        <w:trPr>
          <w:cantSplit/>
          <w:trHeight w:val="375"/>
        </w:trPr>
        <w:tc>
          <w:tcPr>
            <w:tcW w:w="2178" w:type="dxa"/>
          </w:tcPr>
          <w:p w14:paraId="096CF210"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c>
          <w:tcPr>
            <w:tcW w:w="2376" w:type="dxa"/>
          </w:tcPr>
          <w:p w14:paraId="338EFAF9" w14:textId="77777777" w:rsidR="002C3CAD" w:rsidRPr="0044524F" w:rsidRDefault="002C3CAD" w:rsidP="009654CF">
            <w:pPr>
              <w:pStyle w:val="a3"/>
              <w:widowControl/>
              <w:rPr>
                <w:color w:val="000000" w:themeColor="text1"/>
                <w:lang w:val="ru-RU"/>
              </w:rPr>
            </w:pPr>
            <w:r w:rsidRPr="0044524F">
              <w:rPr>
                <w:color w:val="000000" w:themeColor="text1"/>
                <w:lang w:val="ru-RU"/>
              </w:rPr>
              <w:t>Мотор М-22</w:t>
            </w:r>
          </w:p>
        </w:tc>
        <w:tc>
          <w:tcPr>
            <w:tcW w:w="2376" w:type="dxa"/>
          </w:tcPr>
          <w:p w14:paraId="0F3EEDEA" w14:textId="77777777" w:rsidR="002C3CAD" w:rsidRPr="0044524F" w:rsidRDefault="002C3CAD" w:rsidP="009654CF">
            <w:pPr>
              <w:pStyle w:val="a3"/>
              <w:widowControl/>
              <w:rPr>
                <w:color w:val="000000" w:themeColor="text1"/>
                <w:lang w:val="ru-RU"/>
              </w:rPr>
            </w:pPr>
            <w:r w:rsidRPr="0044524F">
              <w:rPr>
                <w:color w:val="000000" w:themeColor="text1"/>
                <w:lang w:val="ru-RU"/>
              </w:rPr>
              <w:t>398</w:t>
            </w:r>
          </w:p>
        </w:tc>
        <w:tc>
          <w:tcPr>
            <w:tcW w:w="2376" w:type="dxa"/>
          </w:tcPr>
          <w:p w14:paraId="7C39DA1C" w14:textId="77777777" w:rsidR="002C3CAD" w:rsidRPr="0044524F" w:rsidRDefault="002C3CAD" w:rsidP="009654CF">
            <w:pPr>
              <w:pStyle w:val="a3"/>
              <w:widowControl/>
              <w:rPr>
                <w:color w:val="000000" w:themeColor="text1"/>
                <w:lang w:val="ru-RU"/>
              </w:rPr>
            </w:pPr>
            <w:r w:rsidRPr="0044524F">
              <w:rPr>
                <w:color w:val="000000" w:themeColor="text1"/>
                <w:lang w:val="ru-RU"/>
              </w:rPr>
              <w:t>357</w:t>
            </w:r>
          </w:p>
        </w:tc>
        <w:tc>
          <w:tcPr>
            <w:tcW w:w="584" w:type="dxa"/>
          </w:tcPr>
          <w:p w14:paraId="5271558A" w14:textId="77777777" w:rsidR="002C3CAD" w:rsidRPr="0044524F" w:rsidRDefault="002C3CAD" w:rsidP="009654CF">
            <w:pPr>
              <w:pStyle w:val="a3"/>
              <w:widowControl/>
              <w:rPr>
                <w:color w:val="000000" w:themeColor="text1"/>
                <w:lang w:val="ru-RU"/>
              </w:rPr>
            </w:pPr>
            <w:r w:rsidRPr="0044524F">
              <w:rPr>
                <w:color w:val="000000" w:themeColor="text1"/>
                <w:lang w:val="ru-RU"/>
              </w:rPr>
              <w:t>89</w:t>
            </w:r>
          </w:p>
        </w:tc>
      </w:tr>
      <w:tr w:rsidR="004E10C1" w:rsidRPr="0044524F" w14:paraId="182C0AAA" w14:textId="77777777" w:rsidTr="003D0776">
        <w:trPr>
          <w:cantSplit/>
          <w:trHeight w:val="375"/>
        </w:trPr>
        <w:tc>
          <w:tcPr>
            <w:tcW w:w="2178" w:type="dxa"/>
          </w:tcPr>
          <w:p w14:paraId="412435C5"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c>
          <w:tcPr>
            <w:tcW w:w="2376" w:type="dxa"/>
          </w:tcPr>
          <w:p w14:paraId="252F9338" w14:textId="77777777" w:rsidR="002C3CAD" w:rsidRPr="0044524F" w:rsidRDefault="002C3CAD" w:rsidP="009654CF">
            <w:pPr>
              <w:pStyle w:val="a3"/>
              <w:widowControl/>
              <w:rPr>
                <w:color w:val="000000" w:themeColor="text1"/>
                <w:lang w:val="ru-RU"/>
              </w:rPr>
            </w:pPr>
            <w:r w:rsidRPr="0044524F">
              <w:rPr>
                <w:color w:val="000000" w:themeColor="text1"/>
                <w:lang w:val="ru-RU"/>
              </w:rPr>
              <w:t>Мотор М-34</w:t>
            </w:r>
          </w:p>
        </w:tc>
        <w:tc>
          <w:tcPr>
            <w:tcW w:w="2376" w:type="dxa"/>
          </w:tcPr>
          <w:p w14:paraId="2D2F9E37" w14:textId="77777777" w:rsidR="002C3CAD" w:rsidRPr="0044524F" w:rsidRDefault="002C3CAD" w:rsidP="009654CF">
            <w:pPr>
              <w:pStyle w:val="a3"/>
              <w:widowControl/>
              <w:rPr>
                <w:color w:val="000000" w:themeColor="text1"/>
                <w:lang w:val="ru-RU"/>
              </w:rPr>
            </w:pPr>
            <w:r w:rsidRPr="0044524F">
              <w:rPr>
                <w:color w:val="000000" w:themeColor="text1"/>
                <w:lang w:val="ru-RU"/>
              </w:rPr>
              <w:t>400</w:t>
            </w:r>
          </w:p>
        </w:tc>
        <w:tc>
          <w:tcPr>
            <w:tcW w:w="2376" w:type="dxa"/>
          </w:tcPr>
          <w:p w14:paraId="16D579C7" w14:textId="77777777" w:rsidR="002C3CAD" w:rsidRPr="0044524F" w:rsidRDefault="002C3CAD" w:rsidP="009654CF">
            <w:pPr>
              <w:pStyle w:val="a3"/>
              <w:widowControl/>
              <w:rPr>
                <w:color w:val="000000" w:themeColor="text1"/>
                <w:lang w:val="ru-RU"/>
              </w:rPr>
            </w:pPr>
            <w:r w:rsidRPr="0044524F">
              <w:rPr>
                <w:color w:val="000000" w:themeColor="text1"/>
                <w:lang w:val="ru-RU"/>
              </w:rPr>
              <w:t>64</w:t>
            </w:r>
          </w:p>
        </w:tc>
        <w:tc>
          <w:tcPr>
            <w:tcW w:w="584" w:type="dxa"/>
          </w:tcPr>
          <w:p w14:paraId="16AD79F3" w14:textId="77777777" w:rsidR="002C3CAD" w:rsidRPr="0044524F" w:rsidRDefault="002C3CAD" w:rsidP="009654CF">
            <w:pPr>
              <w:pStyle w:val="a3"/>
              <w:widowControl/>
              <w:rPr>
                <w:color w:val="000000" w:themeColor="text1"/>
                <w:lang w:val="ru-RU"/>
              </w:rPr>
            </w:pPr>
            <w:r w:rsidRPr="0044524F">
              <w:rPr>
                <w:color w:val="000000" w:themeColor="text1"/>
                <w:lang w:val="ru-RU"/>
              </w:rPr>
              <w:t>16</w:t>
            </w:r>
          </w:p>
        </w:tc>
      </w:tr>
      <w:tr w:rsidR="004E10C1" w:rsidRPr="0044524F" w14:paraId="782DEC9D" w14:textId="77777777" w:rsidTr="003D0776">
        <w:trPr>
          <w:cantSplit/>
          <w:trHeight w:val="375"/>
        </w:trPr>
        <w:tc>
          <w:tcPr>
            <w:tcW w:w="2178" w:type="dxa"/>
          </w:tcPr>
          <w:p w14:paraId="6CA1D5C0" w14:textId="77777777" w:rsidR="002C3CAD" w:rsidRPr="0044524F" w:rsidRDefault="002C3CAD" w:rsidP="009654CF">
            <w:pPr>
              <w:spacing w:after="0" w:line="240" w:lineRule="auto"/>
              <w:jc w:val="both"/>
              <w:rPr>
                <w:rFonts w:ascii="Times New Roman" w:hAnsi="Times New Roman"/>
                <w:color w:val="000000" w:themeColor="text1"/>
                <w:sz w:val="16"/>
                <w:szCs w:val="16"/>
              </w:rPr>
            </w:pPr>
          </w:p>
        </w:tc>
        <w:tc>
          <w:tcPr>
            <w:tcW w:w="2376" w:type="dxa"/>
          </w:tcPr>
          <w:p w14:paraId="17921738" w14:textId="77777777" w:rsidR="002C3CAD" w:rsidRPr="0044524F" w:rsidRDefault="002C3CAD" w:rsidP="009654CF">
            <w:pPr>
              <w:pStyle w:val="a3"/>
              <w:widowControl/>
              <w:rPr>
                <w:color w:val="000000" w:themeColor="text1"/>
                <w:lang w:val="ru-RU"/>
              </w:rPr>
            </w:pPr>
            <w:r w:rsidRPr="0044524F">
              <w:rPr>
                <w:color w:val="000000" w:themeColor="text1"/>
                <w:lang w:val="ru-RU"/>
              </w:rPr>
              <w:t>Всего моторов</w:t>
            </w:r>
          </w:p>
        </w:tc>
        <w:tc>
          <w:tcPr>
            <w:tcW w:w="2376" w:type="dxa"/>
          </w:tcPr>
          <w:p w14:paraId="5A918B8B" w14:textId="77777777" w:rsidR="002C3CAD" w:rsidRPr="0044524F" w:rsidRDefault="002C3CAD" w:rsidP="009654CF">
            <w:pPr>
              <w:pStyle w:val="a3"/>
              <w:widowControl/>
              <w:rPr>
                <w:color w:val="000000" w:themeColor="text1"/>
                <w:lang w:val="ru-RU"/>
              </w:rPr>
            </w:pPr>
            <w:r w:rsidRPr="0044524F">
              <w:rPr>
                <w:color w:val="000000" w:themeColor="text1"/>
                <w:lang w:val="ru-RU"/>
              </w:rPr>
              <w:t>3833</w:t>
            </w:r>
          </w:p>
        </w:tc>
        <w:tc>
          <w:tcPr>
            <w:tcW w:w="2376" w:type="dxa"/>
          </w:tcPr>
          <w:p w14:paraId="1CA34949" w14:textId="77777777" w:rsidR="002C3CAD" w:rsidRPr="0044524F" w:rsidRDefault="002C3CAD" w:rsidP="009654CF">
            <w:pPr>
              <w:pStyle w:val="a3"/>
              <w:widowControl/>
              <w:rPr>
                <w:color w:val="000000" w:themeColor="text1"/>
                <w:lang w:val="ru-RU"/>
              </w:rPr>
            </w:pPr>
            <w:r w:rsidRPr="0044524F">
              <w:rPr>
                <w:color w:val="000000" w:themeColor="text1"/>
                <w:lang w:val="ru-RU"/>
              </w:rPr>
              <w:t>2945</w:t>
            </w:r>
          </w:p>
        </w:tc>
        <w:tc>
          <w:tcPr>
            <w:tcW w:w="584" w:type="dxa"/>
          </w:tcPr>
          <w:p w14:paraId="3F3F3DAD" w14:textId="77777777" w:rsidR="002C3CAD" w:rsidRPr="0044524F" w:rsidRDefault="002C3CAD" w:rsidP="009654CF">
            <w:pPr>
              <w:pStyle w:val="a3"/>
              <w:widowControl/>
              <w:rPr>
                <w:color w:val="000000" w:themeColor="text1"/>
                <w:lang w:val="ru-RU"/>
              </w:rPr>
            </w:pPr>
            <w:r w:rsidRPr="0044524F">
              <w:rPr>
                <w:color w:val="000000" w:themeColor="text1"/>
                <w:lang w:val="ru-RU"/>
              </w:rPr>
              <w:t>77</w:t>
            </w:r>
          </w:p>
        </w:tc>
      </w:tr>
    </w:tbl>
    <w:p w14:paraId="14DB29EA"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(3530,107-116).</w:t>
      </w:r>
    </w:p>
    <w:p w14:paraId="36E3B89F"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28A2C685" w14:textId="77777777" w:rsidR="00AD1D3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7A6B1AA" w14:textId="77777777" w:rsidR="00AD1D3C" w:rsidRPr="0044524F" w:rsidRDefault="00AD1D3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804AD74"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марта 1933 года, в адрес Г.Г. Бокиса, начальника Технического отдела УММ КА, был направлен проект танка-истребителя ИТ-3. Он же был неплавающим. На его основе, в начале апреля 1933 года, стали разрабатывать 20-тонный танк, который и получил название Т-29 (25089).</w:t>
      </w:r>
    </w:p>
    <w:p w14:paraId="267F1CC6" w14:textId="77777777" w:rsidR="00F47692" w:rsidRPr="00142305" w:rsidRDefault="00F47692" w:rsidP="00F47692">
      <w:pPr>
        <w:spacing w:after="0" w:line="240" w:lineRule="auto"/>
        <w:jc w:val="both"/>
        <w:rPr>
          <w:rFonts w:ascii="Times New Roman" w:hAnsi="Times New Roman"/>
          <w:color w:val="0070C0"/>
          <w:sz w:val="16"/>
          <w:szCs w:val="16"/>
        </w:rPr>
      </w:pPr>
    </w:p>
    <w:p w14:paraId="708071DE"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состоялось заседание ПБ и был оформлен протокол № 132</w:t>
      </w:r>
    </w:p>
    <w:p w14:paraId="0A9D48A3"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 О строительстве Байкало-Амурской магистрали и вторых путей Карымская – Уруша</w:t>
      </w:r>
    </w:p>
    <w:p w14:paraId="4EF859C6"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(ПБ от 25.П.33 пр. № 131, п. 119/84)</w:t>
      </w:r>
    </w:p>
    <w:p w14:paraId="2898E27D"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(т.т. Гамарник, Благонравов, Ягода, Егоров, Аппога, Уншлихт).</w:t>
      </w:r>
    </w:p>
    <w:p w14:paraId="0C359BEC"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внесенный т.Гамарником проект поста</w:t>
      </w:r>
      <w:r w:rsidRPr="0044524F">
        <w:rPr>
          <w:rFonts w:ascii="Times New Roman" w:hAnsi="Times New Roman"/>
          <w:color w:val="000000" w:themeColor="text1"/>
          <w:sz w:val="16"/>
          <w:szCs w:val="16"/>
        </w:rPr>
        <w:softHyphen/>
        <w:t>новления (см. приложение).</w:t>
      </w:r>
    </w:p>
    <w:p w14:paraId="7FAB5D49"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w:t>
      </w:r>
    </w:p>
    <w:p w14:paraId="6C26AE55"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п.12 (о.п.) пр. ПБ № 132.</w:t>
      </w:r>
    </w:p>
    <w:p w14:paraId="22FAD39D"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СТРОИТЕЛЬСТВЕ БАЙКАЛО-АМУРСКОЙ МАГИСТРАЛИ И 2-х ПУТЕЙ КАРЫМСКАЯ-УРУША</w:t>
      </w:r>
    </w:p>
    <w:p w14:paraId="0B94F4B2"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(Принято Политбюро ЦК ВКП(б) 8.Ш.1933 года).</w:t>
      </w:r>
    </w:p>
    <w:p w14:paraId="6C7C0F27"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Форсирования постройки вторых путей на Забайкаль</w:t>
      </w:r>
      <w:r w:rsidRPr="0044524F">
        <w:rPr>
          <w:rFonts w:ascii="Times New Roman" w:hAnsi="Times New Roman"/>
          <w:color w:val="000000" w:themeColor="text1"/>
          <w:sz w:val="16"/>
          <w:szCs w:val="16"/>
        </w:rPr>
        <w:softHyphen/>
        <w:t>ской ж.д. на участке Карымская-Уруша, а также в силу задержки готовности проекта строительства БАМ"а, признать необходимым:</w:t>
      </w:r>
    </w:p>
    <w:p w14:paraId="6E5E37BD"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Работы по БАМ у в 33 году сосредоточить на голов</w:t>
      </w:r>
      <w:r w:rsidRPr="0044524F">
        <w:rPr>
          <w:rFonts w:ascii="Times New Roman" w:hAnsi="Times New Roman"/>
          <w:color w:val="000000" w:themeColor="text1"/>
          <w:sz w:val="16"/>
          <w:szCs w:val="16"/>
        </w:rPr>
        <w:softHyphen/>
        <w:t>ном участке Тагдамыгда-Тында, протяжением 120 клм., с уклад</w:t>
      </w:r>
      <w:r w:rsidRPr="0044524F">
        <w:rPr>
          <w:rFonts w:ascii="Times New Roman" w:hAnsi="Times New Roman"/>
          <w:color w:val="000000" w:themeColor="text1"/>
          <w:sz w:val="16"/>
          <w:szCs w:val="16"/>
        </w:rPr>
        <w:softHyphen/>
        <w:t>кой рельс на этом участке к 1 января 1934 года и максималь</w:t>
      </w:r>
      <w:r w:rsidRPr="0044524F">
        <w:rPr>
          <w:rFonts w:ascii="Times New Roman" w:hAnsi="Times New Roman"/>
          <w:color w:val="000000" w:themeColor="text1"/>
          <w:sz w:val="16"/>
          <w:szCs w:val="16"/>
        </w:rPr>
        <w:softHyphen/>
        <w:t>но форсиоовать изыскания на участке Тында-Комсомольское.</w:t>
      </w:r>
    </w:p>
    <w:p w14:paraId="2F8D2F25"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Сократить o6"eм капиталовложений по БАМ"у на 33 год с 100 млн. рублей до 66 млн. рублей.</w:t>
      </w:r>
    </w:p>
    <w:p w14:paraId="56565E0E"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Определить, как минимум, следующий об"ем работ на 33 год по вторым путям Уруша-Каримская:</w:t>
      </w:r>
    </w:p>
    <w:p w14:paraId="4A632118"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устройство земляного полотна и искусственных сооруже</w:t>
      </w:r>
      <w:r w:rsidRPr="0044524F">
        <w:rPr>
          <w:rFonts w:ascii="Times New Roman" w:hAnsi="Times New Roman"/>
          <w:color w:val="000000" w:themeColor="text1"/>
          <w:sz w:val="16"/>
          <w:szCs w:val="16"/>
        </w:rPr>
        <w:softHyphen/>
        <w:t>ний на протяжении 310 клм.;</w:t>
      </w:r>
    </w:p>
    <w:p w14:paraId="57F95FAC"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укладка рельс на главных путях с балластировкой - 160 клм.;</w:t>
      </w:r>
    </w:p>
    <w:p w14:paraId="14D82E0B"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устройство необходимого числа остановочных пунктов с укладкой 40 клм. рельс.</w:t>
      </w:r>
    </w:p>
    <w:p w14:paraId="446B0655"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Указанный об"ем работ должен увеличить пропускную способность по воинскому графику на 2,5 пары поездов.</w:t>
      </w:r>
    </w:p>
    <w:p w14:paraId="58DEB668"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Ассигнования на эти работы определить в 46 млн. руб. из них 12 млн., ассигнованных по смете НКПС, и 34 млн. рублей за счет сокращения ассигнований по БАМ “у.</w:t>
      </w:r>
    </w:p>
    <w:p w14:paraId="73089137"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Строительство вторых путей Карымская-Уруша возло</w:t>
      </w:r>
      <w:r w:rsidRPr="0044524F">
        <w:rPr>
          <w:rFonts w:ascii="Times New Roman" w:hAnsi="Times New Roman"/>
          <w:color w:val="000000" w:themeColor="text1"/>
          <w:sz w:val="16"/>
          <w:szCs w:val="16"/>
        </w:rPr>
        <w:softHyphen/>
        <w:t>жить на ОГПУ (начальника строительства БАМ т.Мрачкрвского), за исключением мостов с кессонными работами, связи и работ на остановочных пунктах, которые возложить на НКПС.</w:t>
      </w:r>
    </w:p>
    <w:p w14:paraId="2AB7D83A"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НКПС в пятидневный срок заключить соглашение с ОГПУ о порядке производства работ, в частности по земляным работам, исходя при этом из такого порядка работ, чтобы не снижалась пропускная способность Забайкальской жел.дороги.</w:t>
      </w:r>
    </w:p>
    <w:p w14:paraId="69EEFC9D"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НКПС"у выделить в распоряжение ОГПУ 30 инженеров и 100 техников со стажем не менее 2-х лет и обеспечить строи</w:t>
      </w:r>
      <w:r w:rsidRPr="0044524F">
        <w:rPr>
          <w:rFonts w:ascii="Times New Roman" w:hAnsi="Times New Roman"/>
          <w:color w:val="000000" w:themeColor="text1"/>
          <w:sz w:val="16"/>
          <w:szCs w:val="16"/>
        </w:rPr>
        <w:softHyphen/>
        <w:t>тельные работы проектами в соответствии с календарным пла</w:t>
      </w:r>
      <w:r w:rsidRPr="0044524F">
        <w:rPr>
          <w:rFonts w:ascii="Times New Roman" w:hAnsi="Times New Roman"/>
          <w:color w:val="000000" w:themeColor="text1"/>
          <w:sz w:val="16"/>
          <w:szCs w:val="16"/>
        </w:rPr>
        <w:softHyphen/>
        <w:t>ном работ постройки вторых путей.</w:t>
      </w:r>
    </w:p>
    <w:p w14:paraId="105E012F"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Материальное обеспечение строительства вторых пу</w:t>
      </w:r>
      <w:r w:rsidRPr="0044524F">
        <w:rPr>
          <w:rFonts w:ascii="Times New Roman" w:hAnsi="Times New Roman"/>
          <w:color w:val="000000" w:themeColor="text1"/>
          <w:sz w:val="16"/>
          <w:szCs w:val="16"/>
        </w:rPr>
        <w:softHyphen/>
        <w:t>тей Карымская-Уруша произвести за счет фондов, выделенных БАМ"у и НКПС. Госплану Союза рассмотреть этот вопрос и обеспечить необходимыми материалами и оборудованием приня</w:t>
      </w:r>
      <w:r w:rsidRPr="0044524F">
        <w:rPr>
          <w:rFonts w:ascii="Times New Roman" w:hAnsi="Times New Roman"/>
          <w:color w:val="000000" w:themeColor="text1"/>
          <w:sz w:val="16"/>
          <w:szCs w:val="16"/>
        </w:rPr>
        <w:softHyphen/>
        <w:t>тый настоящим постановлением об"ем работ Карымская-Уруша.</w:t>
      </w:r>
    </w:p>
    <w:p w14:paraId="01601C01"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Поручить Комитету по перевозкам при СТО обеспечить перевозки людей, продовольствия и оборудования для строи</w:t>
      </w:r>
      <w:r w:rsidRPr="0044524F">
        <w:rPr>
          <w:rFonts w:ascii="Times New Roman" w:hAnsi="Times New Roman"/>
          <w:color w:val="000000" w:themeColor="text1"/>
          <w:sz w:val="16"/>
          <w:szCs w:val="16"/>
        </w:rPr>
        <w:softHyphen/>
        <w:t>тельства вторых путей, выделив для этого специальные нормы. НКПС"у обеспечить внутридорожные перевозки как людей,так и строительных материалов.</w:t>
      </w:r>
    </w:p>
    <w:p w14:paraId="5F1F011E"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1-го июня заслушать доклад НКПС и ОГПУ о ходе ра</w:t>
      </w:r>
      <w:r w:rsidRPr="0044524F">
        <w:rPr>
          <w:rFonts w:ascii="Times New Roman" w:hAnsi="Times New Roman"/>
          <w:color w:val="000000" w:themeColor="text1"/>
          <w:sz w:val="16"/>
          <w:szCs w:val="16"/>
        </w:rPr>
        <w:softHyphen/>
        <w:t>бот по строительству Карымская-Уруща и о возможности увели</w:t>
      </w:r>
      <w:r w:rsidRPr="0044524F">
        <w:rPr>
          <w:rFonts w:ascii="Times New Roman" w:hAnsi="Times New Roman"/>
          <w:color w:val="000000" w:themeColor="text1"/>
          <w:sz w:val="16"/>
          <w:szCs w:val="16"/>
        </w:rPr>
        <w:softHyphen/>
        <w:t>чения об"ёма работ в текущем году с тем,чтобы все строи</w:t>
      </w:r>
      <w:r w:rsidRPr="0044524F">
        <w:rPr>
          <w:rFonts w:ascii="Times New Roman" w:hAnsi="Times New Roman"/>
          <w:color w:val="000000" w:themeColor="text1"/>
          <w:sz w:val="16"/>
          <w:szCs w:val="16"/>
        </w:rPr>
        <w:softHyphen/>
        <w:t>тельство окончить полностью в 1934 году.</w:t>
      </w:r>
    </w:p>
    <w:p w14:paraId="437AC2ED"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.Благонравову, Ягоде, Керженцеву.</w:t>
      </w:r>
    </w:p>
    <w:p w14:paraId="5794DA09"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марта 1933 опросом членов ПБ</w:t>
      </w:r>
    </w:p>
    <w:p w14:paraId="047D603E" w14:textId="075D6C72"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49/26.- О займе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"Агроджойнта"</w:t>
      </w:r>
    </w:p>
    <w:p w14:paraId="58E1DD40"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решение Валютной комиссии от 2.Ш.33г. (см .приложение).</w:t>
      </w:r>
    </w:p>
    <w:p w14:paraId="6BF1B8F6"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КОМИССИИ при СНК СССР 2 марта 1933 r (Утверждено Политбюро ЦК ВКП(б) 4.Ш.ЗЗг.).</w:t>
      </w:r>
    </w:p>
    <w:p w14:paraId="3351B7F8"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ВАЛЮТНАЯ КОМИССИЯ при СНК СССР ПОСТАНОВЛЯЕТ:</w:t>
      </w:r>
    </w:p>
    <w:p w14:paraId="610B6FA5"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возможным принять предложение д-ра Розена, пред</w:t>
      </w:r>
      <w:r w:rsidRPr="0044524F">
        <w:rPr>
          <w:rFonts w:ascii="Times New Roman" w:hAnsi="Times New Roman"/>
          <w:color w:val="000000" w:themeColor="text1"/>
          <w:sz w:val="16"/>
          <w:szCs w:val="16"/>
        </w:rPr>
        <w:softHyphen/>
        <w:t>ставителя Ам.О-ва для земельного устройства евреев в СССР и Агроджойнта, об изменении порядка выпуска "займа Агроджойнта" и об инвестициях Агроджойнта в СССР - в следующей редак</w:t>
      </w:r>
      <w:r w:rsidRPr="0044524F">
        <w:rPr>
          <w:rFonts w:ascii="Times New Roman" w:hAnsi="Times New Roman"/>
          <w:color w:val="000000" w:themeColor="text1"/>
          <w:sz w:val="16"/>
          <w:szCs w:val="16"/>
        </w:rPr>
        <w:softHyphen/>
        <w:t>ции :</w:t>
      </w:r>
    </w:p>
    <w:p w14:paraId="0EC702E2"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Платежи названного об-ва по ’’займу Агроджойнта" за период с 1-го января 1933 года по 1-е января 1936 года на сумму 2.475 т. долл. покрываются не наличными, а:</w:t>
      </w:r>
    </w:p>
    <w:p w14:paraId="03C647D6"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купонами, которым наступает срок в течение периода от 1-го января 1933 г. но 1 января 1936 г.(включительно), как по сериям " займа Агроджойнта", которые уже выданы, так и по сериям, подлежащим выдаче в течение указанного периода и</w:t>
      </w:r>
    </w:p>
    <w:p w14:paraId="68BE84E7"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облигациями прежних выпусков "займа Агроджойнта". Против купонов и облигаций, вносимых названным О-вом в уста</w:t>
      </w:r>
      <w:r w:rsidRPr="0044524F">
        <w:rPr>
          <w:rFonts w:ascii="Times New Roman" w:hAnsi="Times New Roman"/>
          <w:color w:val="000000" w:themeColor="text1"/>
          <w:sz w:val="16"/>
          <w:szCs w:val="16"/>
        </w:rPr>
        <w:softHyphen/>
        <w:t>новленные договором 15 февраля 1929 г. сроки, правительство СССР выдает новые облигации "займа Агроджойнта" на эквивалент</w:t>
      </w:r>
      <w:r w:rsidRPr="0044524F">
        <w:rPr>
          <w:rFonts w:ascii="Times New Roman" w:hAnsi="Times New Roman"/>
          <w:color w:val="000000" w:themeColor="text1"/>
          <w:sz w:val="16"/>
          <w:szCs w:val="16"/>
        </w:rPr>
        <w:softHyphen/>
        <w:t>ную сумму, т.е. на 2.475 т.долларов.</w:t>
      </w:r>
    </w:p>
    <w:p w14:paraId="6FFD798B"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Правительство СССР соглашается (в пределах утвержден</w:t>
      </w:r>
      <w:r w:rsidRPr="0044524F">
        <w:rPr>
          <w:rFonts w:ascii="Times New Roman" w:hAnsi="Times New Roman"/>
          <w:color w:val="000000" w:themeColor="text1"/>
          <w:sz w:val="16"/>
          <w:szCs w:val="16"/>
        </w:rPr>
        <w:softHyphen/>
        <w:t>ного Комзетом плана работ Агроджойнта и при наличии лицензий НКВнешторга) покрыть валютой импорт для оперативных нужд Агроджойнта из-заграницы в размере не свыше 60 тыс.долл, ежегодно в течение 1933, 1934 и 1935 г.г. при условии, если необходимые предметы и материалы не могут быть получены в пределах СССР в сроки, определяемые возможностью выполнения ежегодных оперативных планов Агроджойнта, утвержденных Ком</w:t>
      </w:r>
      <w:r w:rsidRPr="0044524F">
        <w:rPr>
          <w:rFonts w:ascii="Times New Roman" w:hAnsi="Times New Roman"/>
          <w:color w:val="000000" w:themeColor="text1"/>
          <w:sz w:val="16"/>
          <w:szCs w:val="16"/>
        </w:rPr>
        <w:softHyphen/>
        <w:t>зетом.</w:t>
      </w:r>
    </w:p>
    <w:p w14:paraId="6A2CAB5A"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 Агроджойнт отказывается полностью и навсегда от вывоза заграницу всех сумм., которые были им инвестированы в СССР в связи с договорами между правительством СССР и наз</w:t>
      </w:r>
      <w:r w:rsidRPr="0044524F">
        <w:rPr>
          <w:rFonts w:ascii="Times New Roman" w:hAnsi="Times New Roman"/>
          <w:color w:val="000000" w:themeColor="text1"/>
          <w:sz w:val="16"/>
          <w:szCs w:val="16"/>
        </w:rPr>
        <w:softHyphen/>
        <w:t>ванной организацией от 16.ХП.24 г. и от 31.1.27 г.</w:t>
      </w:r>
    </w:p>
    <w:p w14:paraId="4EB67E3A"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1У. Червонное финансирование Агроджойнта производится в меру его оперативных нужд, устанавливаемых Комзетом, но общая сумма финансирования в период с 1-го января 1933 г. по 1-е января 1936 г. не должна превысить 4.809.915 рублей за вычетом сумм, фактически оплаченных правительством СССР по импортным счетам Агроджойнта.</w:t>
      </w:r>
    </w:p>
    <w:p w14:paraId="4A154B70"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Договор от 15 февраля 1929 г. остается в силе, посколь</w:t>
      </w:r>
      <w:r w:rsidRPr="0044524F">
        <w:rPr>
          <w:rFonts w:ascii="Times New Roman" w:hAnsi="Times New Roman"/>
          <w:color w:val="000000" w:themeColor="text1"/>
          <w:sz w:val="16"/>
          <w:szCs w:val="16"/>
        </w:rPr>
        <w:softHyphen/>
        <w:t>ку содержание его изменяется изложенными выше пунктами. На основании изложенного оформляется дополнительное к озна</w:t>
      </w:r>
      <w:r w:rsidRPr="0044524F">
        <w:rPr>
          <w:rFonts w:ascii="Times New Roman" w:hAnsi="Times New Roman"/>
          <w:color w:val="000000" w:themeColor="text1"/>
          <w:sz w:val="16"/>
          <w:szCs w:val="16"/>
        </w:rPr>
        <w:softHyphen/>
        <w:t>ченному договору соглашение, которое подписывается представите</w:t>
      </w:r>
      <w:r w:rsidRPr="0044524F">
        <w:rPr>
          <w:rFonts w:ascii="Times New Roman" w:hAnsi="Times New Roman"/>
          <w:color w:val="000000" w:themeColor="text1"/>
          <w:sz w:val="16"/>
          <w:szCs w:val="16"/>
        </w:rPr>
        <w:softHyphen/>
        <w:t>лями Комзета и Агроджойнта.</w:t>
      </w:r>
    </w:p>
    <w:p w14:paraId="2DFBF5C2"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т.т.Керженцеву, Рудзутаку, Гринько.</w:t>
      </w:r>
    </w:p>
    <w:p w14:paraId="360FE6CC"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опросом членов ПБ</w:t>
      </w:r>
    </w:p>
    <w:p w14:paraId="1B15F95A"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59/36.-О0 техпомощи по судостроению.</w:t>
      </w:r>
    </w:p>
    <w:p w14:paraId="350BB1FC"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1. Купить у фирмы JVS проект и рабочие чертежи подлодки Е-1 в 755 (с нашим вооружением), а также техническую помощь по постройке подлодок этого типа в СССР.</w:t>
      </w:r>
    </w:p>
    <w:p w14:paraId="1CB7E48B"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Купить в Германии для первой подлодки дизеля, необходимое электрооборудование и вспомо</w:t>
      </w:r>
      <w:r w:rsidRPr="0044524F">
        <w:rPr>
          <w:rFonts w:ascii="Times New Roman" w:hAnsi="Times New Roman"/>
          <w:color w:val="000000" w:themeColor="text1"/>
          <w:sz w:val="16"/>
          <w:szCs w:val="16"/>
        </w:rPr>
        <w:softHyphen/>
        <w:t>гательные механизмы, а также техпомощь по постанов</w:t>
      </w:r>
      <w:r w:rsidRPr="0044524F">
        <w:rPr>
          <w:rFonts w:ascii="Times New Roman" w:hAnsi="Times New Roman"/>
          <w:color w:val="000000" w:themeColor="text1"/>
          <w:sz w:val="16"/>
          <w:szCs w:val="16"/>
        </w:rPr>
        <w:softHyphen/>
        <w:t>ке их производства в СССР.</w:t>
      </w:r>
    </w:p>
    <w:p w14:paraId="55C773B9"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Определить размер валютных ассигнований па приобретение техпомощи по постройке подлодки Е-1 и покупку указанных механизмов в 1.500.000 руб.</w:t>
      </w:r>
    </w:p>
    <w:p w14:paraId="5FAF6822"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Для окончательных переговоров немедленно пригласить представителей JVS в Москву.</w:t>
      </w:r>
    </w:p>
    <w:p w14:paraId="673AB7B7"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5. Потребовать от фирмы JVS перед заключением договора па техпомощь производства в присут</w:t>
      </w:r>
      <w:r w:rsidRPr="0044524F">
        <w:rPr>
          <w:rFonts w:ascii="Times New Roman" w:hAnsi="Times New Roman"/>
          <w:color w:val="000000" w:themeColor="text1"/>
          <w:sz w:val="16"/>
          <w:szCs w:val="16"/>
        </w:rPr>
        <w:softHyphen/>
        <w:t>ствии наших специалистов испытания подлодки Е-1 на ходу для проверки ее скорости хода над водой и под водой, скорости и глубины погружения, остойчивости, а также всех основных механизмов и устройств этой подлодки.</w:t>
      </w:r>
    </w:p>
    <w:p w14:paraId="52A6DFBD"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Признать необходимый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66E243F4"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 Приобрести в Италии (на основе имеющейся предварительной договоренности с итальянским морским министерством и произведенного морскими комиссиями СССР изучения итальянского флота и судостроительной промышленности Италии) проект и рабочие чертежи эсминца-лидера (до 3000 т.), а также рабочие черте</w:t>
      </w:r>
      <w:r w:rsidRPr="0044524F">
        <w:rPr>
          <w:rFonts w:ascii="Times New Roman" w:hAnsi="Times New Roman"/>
          <w:color w:val="000000" w:themeColor="text1"/>
          <w:sz w:val="16"/>
          <w:szCs w:val="16"/>
        </w:rPr>
        <w:softHyphen/>
        <w:t>жи главной механической установки строящихся итальян</w:t>
      </w:r>
      <w:r w:rsidRPr="0044524F">
        <w:rPr>
          <w:rFonts w:ascii="Times New Roman" w:hAnsi="Times New Roman"/>
          <w:color w:val="000000" w:themeColor="text1"/>
          <w:sz w:val="16"/>
          <w:szCs w:val="16"/>
        </w:rPr>
        <w:softHyphen/>
        <w:t>ских крейсеров( типа "Монтекуккола"-7000 тн.).</w:t>
      </w:r>
    </w:p>
    <w:p w14:paraId="1155CFDE"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Заказать в Италии главную турбинную установку и некоторые наиболее важные вспомогательные механиз</w:t>
      </w:r>
      <w:r w:rsidRPr="0044524F">
        <w:rPr>
          <w:rFonts w:ascii="Times New Roman" w:hAnsi="Times New Roman"/>
          <w:color w:val="000000" w:themeColor="text1"/>
          <w:sz w:val="16"/>
          <w:szCs w:val="16"/>
        </w:rPr>
        <w:softHyphen/>
        <w:t>мы на первые корабли к приобрести техпомощь по по</w:t>
      </w:r>
      <w:r w:rsidRPr="0044524F">
        <w:rPr>
          <w:rFonts w:ascii="Times New Roman" w:hAnsi="Times New Roman"/>
          <w:color w:val="000000" w:themeColor="text1"/>
          <w:sz w:val="16"/>
          <w:szCs w:val="16"/>
        </w:rPr>
        <w:softHyphen/>
        <w:t>становке их производства в СССР.</w:t>
      </w:r>
    </w:p>
    <w:p w14:paraId="24144487"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Определить размер валютных ассигнований на техпомощь по постройке лидеров и крейсеров и покупку механизмов для них - в 5.000.000 рубл.</w:t>
      </w:r>
    </w:p>
    <w:p w14:paraId="3895B075"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Командировать в самое ближайшее время группу работников НКТГП и УВМС в Италию для ведения перего</w:t>
      </w:r>
      <w:r w:rsidRPr="0044524F">
        <w:rPr>
          <w:rFonts w:ascii="Times New Roman" w:hAnsi="Times New Roman"/>
          <w:color w:val="000000" w:themeColor="text1"/>
          <w:sz w:val="16"/>
          <w:szCs w:val="16"/>
        </w:rPr>
        <w:softHyphen/>
        <w:t>воров о техпомощи и о заказе механизмов по лидерам и крейсерам с итальянскими фирмами "Ансальдо" и "Адриатическим Об"единением Верфей".</w:t>
      </w:r>
    </w:p>
    <w:p w14:paraId="619F41EF"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35B147F7"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Ворошилову, Молотову, Пятакову-все: Артузову-б)4. Розенгольцу-все.</w:t>
      </w:r>
    </w:p>
    <w:p w14:paraId="6D2295E9"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марта 1933 опросом членов ПБ</w:t>
      </w:r>
    </w:p>
    <w:p w14:paraId="62DDFAE9"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67/44.-Предложения Комиссии Обороны.</w:t>
      </w:r>
    </w:p>
    <w:p w14:paraId="78EFB2CE"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следующее решение комиссии Сбороны о приобретении образцов и технической помощи у фирмы "Сперри".</w:t>
      </w:r>
    </w:p>
    <w:p w14:paraId="1EAB73D6"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малый вариант, а именно:</w:t>
      </w:r>
    </w:p>
    <w:p w14:paraId="32879AE8"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 Приборов управления огнем берего</w:t>
      </w:r>
      <w:r w:rsidRPr="0044524F">
        <w:rPr>
          <w:rFonts w:ascii="Times New Roman" w:hAnsi="Times New Roman"/>
          <w:color w:val="000000" w:themeColor="text1"/>
          <w:sz w:val="16"/>
          <w:szCs w:val="16"/>
        </w:rPr>
        <w:softHyphen/>
        <w:t>вой артиллерии с вынесенными постами, один экземпляр</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100.000</w:t>
      </w:r>
    </w:p>
    <w:p w14:paraId="174E78AC"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Прибор береговой артиллерии с од</w:t>
      </w:r>
      <w:r w:rsidRPr="0044524F">
        <w:rPr>
          <w:rFonts w:ascii="Times New Roman" w:hAnsi="Times New Roman"/>
          <w:color w:val="000000" w:themeColor="text1"/>
          <w:sz w:val="16"/>
          <w:szCs w:val="16"/>
        </w:rPr>
        <w:softHyphen/>
        <w:t>ним вынесенным постом, один экземпляр</w:t>
      </w:r>
      <w:r w:rsidRPr="0044524F">
        <w:rPr>
          <w:rFonts w:ascii="Times New Roman" w:hAnsi="Times New Roman"/>
          <w:color w:val="000000" w:themeColor="text1"/>
          <w:sz w:val="16"/>
          <w:szCs w:val="16"/>
        </w:rPr>
        <w:tab/>
        <w:t xml:space="preserve"> 70.000</w:t>
      </w:r>
    </w:p>
    <w:p w14:paraId="38780F6A"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Приборы управления зенитным огнем морской артиллерии, один экземпляр</w:t>
      </w:r>
      <w:r w:rsidRPr="0044524F">
        <w:rPr>
          <w:rFonts w:ascii="Times New Roman" w:hAnsi="Times New Roman"/>
          <w:color w:val="000000" w:themeColor="text1"/>
          <w:sz w:val="16"/>
          <w:szCs w:val="16"/>
        </w:rPr>
        <w:tab/>
        <w:t>185.000</w:t>
      </w:r>
    </w:p>
    <w:p w14:paraId="70F4206F"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Прицелов бомбометания для самолето (5 шт.)</w:t>
      </w:r>
      <w:r w:rsidRPr="0044524F">
        <w:rPr>
          <w:rFonts w:ascii="Times New Roman" w:hAnsi="Times New Roman"/>
          <w:color w:val="000000" w:themeColor="text1"/>
          <w:sz w:val="16"/>
          <w:szCs w:val="16"/>
        </w:rPr>
        <w:tab/>
        <w:t>40.000</w:t>
      </w:r>
    </w:p>
    <w:p w14:paraId="608D34BD"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 Автопилоты 4 штуки, из них 2 упрощенных и 2 военных </w:t>
      </w:r>
      <w:r w:rsidRPr="0044524F">
        <w:rPr>
          <w:rFonts w:ascii="Times New Roman" w:hAnsi="Times New Roman"/>
          <w:color w:val="000000" w:themeColor="text1"/>
          <w:sz w:val="16"/>
          <w:szCs w:val="16"/>
        </w:rPr>
        <w:tab/>
        <w:t>64.000</w:t>
      </w:r>
    </w:p>
    <w:p w14:paraId="242D1E96" w14:textId="50ECA166"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Гироскопов направления, типа А-С-2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6</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штук)</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2.100</w:t>
      </w:r>
    </w:p>
    <w:p w14:paraId="71FB37DB"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Звено синхронной передачи (2 шт.)</w:t>
      </w:r>
      <w:r w:rsidRPr="0044524F">
        <w:rPr>
          <w:rFonts w:ascii="Times New Roman" w:hAnsi="Times New Roman"/>
          <w:color w:val="000000" w:themeColor="text1"/>
          <w:sz w:val="16"/>
          <w:szCs w:val="16"/>
        </w:rPr>
        <w:tab/>
        <w:t>5.000</w:t>
      </w:r>
    </w:p>
    <w:p w14:paraId="4D9AC4D1"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Искусственный горизонт(6 шт.)</w:t>
      </w:r>
      <w:r w:rsidRPr="0044524F">
        <w:rPr>
          <w:rFonts w:ascii="Times New Roman" w:hAnsi="Times New Roman"/>
          <w:color w:val="000000" w:themeColor="text1"/>
          <w:sz w:val="16"/>
          <w:szCs w:val="16"/>
        </w:rPr>
        <w:tab/>
        <w:t xml:space="preserve"> 2.100</w:t>
      </w:r>
    </w:p>
    <w:p w14:paraId="457D744C"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па покупку образцов</w:t>
      </w:r>
      <w:r w:rsidRPr="0044524F">
        <w:rPr>
          <w:rFonts w:ascii="Times New Roman" w:hAnsi="Times New Roman"/>
          <w:color w:val="000000" w:themeColor="text1"/>
          <w:sz w:val="16"/>
          <w:szCs w:val="16"/>
        </w:rPr>
        <w:tab/>
        <w:t xml:space="preserve"> 468.200</w:t>
      </w:r>
    </w:p>
    <w:p w14:paraId="78E35070"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техническую помощь</w:t>
      </w:r>
      <w:r w:rsidRPr="0044524F">
        <w:rPr>
          <w:rFonts w:ascii="Times New Roman" w:hAnsi="Times New Roman"/>
          <w:color w:val="000000" w:themeColor="text1"/>
          <w:sz w:val="16"/>
          <w:szCs w:val="16"/>
        </w:rPr>
        <w:tab/>
        <w:t xml:space="preserve"> 300.000</w:t>
      </w:r>
    </w:p>
    <w:p w14:paraId="4391C7CE"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Оборудование</w:t>
      </w:r>
      <w:r w:rsidRPr="0044524F">
        <w:rPr>
          <w:rFonts w:ascii="Times New Roman" w:hAnsi="Times New Roman"/>
          <w:color w:val="000000" w:themeColor="text1"/>
          <w:sz w:val="16"/>
          <w:szCs w:val="16"/>
        </w:rPr>
        <w:tab/>
        <w:t xml:space="preserve"> 400.000</w:t>
      </w:r>
    </w:p>
    <w:p w14:paraId="4AAB1210"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r w:rsidRPr="0044524F">
        <w:rPr>
          <w:rFonts w:ascii="Times New Roman" w:hAnsi="Times New Roman"/>
          <w:color w:val="000000" w:themeColor="text1"/>
          <w:sz w:val="16"/>
          <w:szCs w:val="16"/>
        </w:rPr>
        <w:tab/>
        <w:t>1.168.200 ам. долларов.</w:t>
      </w:r>
    </w:p>
    <w:p w14:paraId="1FE0BCB1" w14:textId="7D8DE0B0"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предлагаемые условия платежа: За техническую помощь начиная с 1934 года в течение 4 лет равными частями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по полугодиям.</w:t>
      </w:r>
    </w:p>
    <w:p w14:paraId="0BB393B7"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Платеж за образцы-начиная с 1934 года:</w:t>
      </w:r>
    </w:p>
    <w:p w14:paraId="03369CEA"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 против отгрузки, 25% через 6 месяцев, 20% через 12 месяцев и 20% через 18 месяцев; последний платеж-в первой половине 1936 года.</w:t>
      </w:r>
    </w:p>
    <w:p w14:paraId="612E70C8" w14:textId="77777777" w:rsidR="00B70750" w:rsidRPr="0044524F" w:rsidRDefault="00B707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тов.Базилевичу (22982).</w:t>
      </w:r>
    </w:p>
    <w:p w14:paraId="4DA99634" w14:textId="77777777" w:rsidR="00B70750" w:rsidRPr="0044524F" w:rsidRDefault="00B70750" w:rsidP="009654CF">
      <w:pPr>
        <w:pStyle w:val="221"/>
        <w:shd w:val="clear" w:color="auto" w:fill="auto"/>
        <w:spacing w:line="240" w:lineRule="auto"/>
        <w:jc w:val="both"/>
        <w:rPr>
          <w:rFonts w:ascii="Times New Roman" w:hAnsi="Times New Roman" w:cs="Times New Roman"/>
          <w:color w:val="000000" w:themeColor="text1"/>
          <w:sz w:val="16"/>
          <w:szCs w:val="16"/>
        </w:rPr>
      </w:pPr>
    </w:p>
    <w:p w14:paraId="20FA75F7" w14:textId="77777777" w:rsidR="00AD1D3C" w:rsidRPr="0044524F" w:rsidRDefault="00AD1D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г. Протокол ПБ № 132 п.59/36: О техпомощи по судостроению – ОП. Решено: 1. Купить у фирмы JVS проект и рабочие чертежи подлодки Е-1 в 755 (с нашим вооружением), а также техническую помощь по постройке подлодок этого типа в СССР. 2. Купить в Германии для первой подлодки дизеля, необходимое электрооборудование и вспомогательные механизмы, а также техпомощь по постановке их производства в СССР. 3. Определить размер валютных ассигнований на приобретение техпомощи по постройке подлодки Е-1 и покупку указанных механизмов в 1500 тысяч рублей. 4. Для окончательных переговоров немедленно пригласить представителей JVS в Москву. 5. Потребовать от фирмы JVS перед заключением договора на техпомощь производства в присутствии наших специалистов испытания подлодки Е-1 на ходу для проверки ее скорости хода над водой и под водой, скорости и глубины погружения, устойчивости, а также всех основных механизмов и устройства этой подлодки. 6. Признать необходимым добиться возможного уменьшения стоимости заказов в Германии и в Италии и обязательных льготных условий кредита на эти заказы. б) 1. Приобрести в Италии проект и рабочие чертежи эсминца – лидера, а также рабочие чертежи главной механической установки строящихся итальянских крейсеров. 2. Заказать в Италии главную турбинную установку и некоторые важные вспомогательные механизмы на первые корабли и приобрести техпомощь по постановке их производства в СССР. 3. Определить размер валютных ассигнований на техпомощь по постройке лидеров и крейсеров и покупку механизмов для них в 5 млн рублей. 4. Командировать группу работников НКТП и УВМС в Италию для ведения переговоров о техпомощи и о заказе механизмов по лидерам и крейсерам с итальянскими фирмами «Ансальдо» и «Адриатическим объединением верфей». 5. Признать необходимым добиться возможного уменьшения стоимости заказов в Германии и Италии и обязательных льготных условий кредита на эти заказы (15969).</w:t>
      </w:r>
    </w:p>
    <w:p w14:paraId="438C48D7" w14:textId="77777777" w:rsidR="00AD1D3C" w:rsidRPr="0044524F" w:rsidRDefault="00AD1D3C" w:rsidP="009654CF">
      <w:pPr>
        <w:spacing w:after="0" w:line="240" w:lineRule="auto"/>
        <w:jc w:val="both"/>
        <w:rPr>
          <w:rFonts w:ascii="Times New Roman" w:hAnsi="Times New Roman"/>
          <w:color w:val="000000" w:themeColor="text1"/>
          <w:sz w:val="16"/>
          <w:szCs w:val="16"/>
        </w:rPr>
      </w:pPr>
    </w:p>
    <w:p w14:paraId="77D33E36"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w:t>
      </w:r>
    </w:p>
    <w:p w14:paraId="7E06A336"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132 заседания Политбюро ЦК ВКП(б) от 8 марта 1933 года</w:t>
      </w:r>
    </w:p>
    <w:p w14:paraId="5FB049B9"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8</w:t>
      </w:r>
      <w:r w:rsidRPr="0044524F">
        <w:rPr>
          <w:rFonts w:ascii="Times New Roman" w:hAnsi="Times New Roman"/>
          <w:color w:val="000000" w:themeColor="text1"/>
          <w:sz w:val="16"/>
          <w:szCs w:val="16"/>
        </w:rPr>
        <w:noBreakHyphen/>
        <w:t>го марта 1933 года</w:t>
      </w:r>
    </w:p>
    <w:p w14:paraId="090928D5"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59/36: О техпомощи судостроению</w:t>
      </w:r>
    </w:p>
    <w:p w14:paraId="3F703910"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4F49F1CE"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1. Купить у фирмы JVS проект и рабочие чертежи подлодки Е</w:t>
      </w:r>
      <w:r w:rsidRPr="0044524F">
        <w:rPr>
          <w:rFonts w:ascii="Times New Roman" w:hAnsi="Times New Roman"/>
          <w:color w:val="000000" w:themeColor="text1"/>
          <w:sz w:val="16"/>
          <w:szCs w:val="16"/>
        </w:rPr>
        <w:noBreakHyphen/>
        <w:t>1 в 755 (с нашим вооружением), а также техническую помощь по постройке подлодок этого типа в СССР.</w:t>
      </w:r>
    </w:p>
    <w:p w14:paraId="62CE4141"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Купить в Германии для первой подлодки дизеля, необходимое электрооборудование и вспомогательные механизмы, а также техпомощь по постановке их производства в СССР.</w:t>
      </w:r>
    </w:p>
    <w:p w14:paraId="1DAA3727"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Определить размер валютных ассигнований на приобретение техпомощи по постройке подлодки Е</w:t>
      </w:r>
      <w:r w:rsidRPr="0044524F">
        <w:rPr>
          <w:rFonts w:ascii="Times New Roman" w:hAnsi="Times New Roman"/>
          <w:color w:val="000000" w:themeColor="text1"/>
          <w:sz w:val="16"/>
          <w:szCs w:val="16"/>
        </w:rPr>
        <w:noBreakHyphen/>
        <w:t>1 и покупку указанных механизмов в 1.500 000 рублей.</w:t>
      </w:r>
    </w:p>
    <w:p w14:paraId="26129329"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Для окончательных переговоров немедленно пригласить представителей JVS в Москву.</w:t>
      </w:r>
    </w:p>
    <w:p w14:paraId="31A44404"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Потребовать от фирмы JVS перед заключением договора на техпомощь производства в присутствии наших специалистов испытания подлодки Е</w:t>
      </w:r>
      <w:r w:rsidRPr="0044524F">
        <w:rPr>
          <w:rFonts w:ascii="Times New Roman" w:hAnsi="Times New Roman"/>
          <w:color w:val="000000" w:themeColor="text1"/>
          <w:sz w:val="16"/>
          <w:szCs w:val="16"/>
        </w:rPr>
        <w:noBreakHyphen/>
        <w:t>1 на ходу для проверки ее скорости хода над водой и под водой, скорости и глубины погружения, остойчивости, а также всех основных механизмов и устройств этой подлодки.</w:t>
      </w:r>
    </w:p>
    <w:p w14:paraId="05D2292B"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6A8216AF"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1. Приобрести в Италии (на основе имеющейся предварительной договоренности с итальянским морским министерством и произведенного морскими комиссиями СССР изучения итальянского флота и судостроительной промышленности Италии) проект и рабочие чертежи эсминца-лидера (до 3000 т), а также рабочие чертежи главной механической установки строящихся итальянских крейсеров( типа “Монтекуккола” — 7000 т).</w:t>
      </w:r>
    </w:p>
    <w:p w14:paraId="1BAD1D08"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Заказать в Италии главную турбинную установку и некоторые наиболее важные вспомогательные механизмы на первые корабли и приобрести техпомощь по постановке их производства в СССР.</w:t>
      </w:r>
    </w:p>
    <w:p w14:paraId="5B3F6D22"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Определить размер валютных ассигнований на техпомощь по постройке лидеров и крейсеров и покупку механизмов для них — в 5.000.000 руб.</w:t>
      </w:r>
    </w:p>
    <w:p w14:paraId="2B4A9828"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Командировать в самое ближайшее время группу работников НКТП и УВМС в Италию для ведения переговоров о техпомощи и о заказе механизмов по лидерам и крейсерам с итальянскими фирмами “Ансальдо” и “Адриатическим Объединением Верфей”.</w:t>
      </w:r>
    </w:p>
    <w:p w14:paraId="67BBF219"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Признать необходимым добиться, во-первых, возможного уменьшения стоимости заказов в Германии и в Италии и, во-вторых, обязательных максимально льготных условий кредита на эти заказы.</w:t>
      </w:r>
    </w:p>
    <w:p w14:paraId="3043926F"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2B556EA3" w14:textId="419ECB42"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Ворошилову, Молотову, Пятакову, Розенгольцу</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все;</w:t>
      </w:r>
    </w:p>
    <w:p w14:paraId="0782338B"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Артузову — п. “б-4”.</w:t>
      </w:r>
    </w:p>
    <w:p w14:paraId="2900042F" w14:textId="77777777" w:rsidR="00167BB0" w:rsidRPr="0044524F" w:rsidRDefault="00167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(18138).</w:t>
      </w:r>
    </w:p>
    <w:p w14:paraId="00AD4AC2" w14:textId="77777777" w:rsidR="00167BB0" w:rsidRPr="0044524F" w:rsidRDefault="00167BB0" w:rsidP="009654CF">
      <w:pPr>
        <w:spacing w:after="0" w:line="240" w:lineRule="auto"/>
        <w:jc w:val="both"/>
        <w:rPr>
          <w:rFonts w:ascii="Times New Roman" w:hAnsi="Times New Roman"/>
          <w:color w:val="000000" w:themeColor="text1"/>
          <w:sz w:val="16"/>
          <w:szCs w:val="16"/>
        </w:rPr>
      </w:pPr>
    </w:p>
    <w:p w14:paraId="13199320"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72DF144"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188D9D5A" w14:textId="77777777" w:rsidR="00AD1D3C" w:rsidRPr="0044524F" w:rsidRDefault="00AD1D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8 марта</w:t>
      </w:r>
      <w:r w:rsidRPr="0044524F">
        <w:rPr>
          <w:rFonts w:ascii="Times New Roman" w:hAnsi="Times New Roman"/>
          <w:color w:val="000000" w:themeColor="text1"/>
          <w:sz w:val="16"/>
          <w:szCs w:val="16"/>
        </w:rPr>
        <w:t xml:space="preserve"> в 1933 году открылось железнодорожное движение по первому электрифицированному пути на участке Москва - Обираловка. Локомотивное депо «Железнодорожная» ведет от этой даты отсчет своего существования (15062).</w:t>
      </w:r>
    </w:p>
    <w:p w14:paraId="0BDA4730" w14:textId="77777777" w:rsidR="00AD1D3C" w:rsidRPr="0044524F" w:rsidRDefault="00AD1D3C" w:rsidP="009654CF">
      <w:pPr>
        <w:spacing w:after="0" w:line="240" w:lineRule="auto"/>
        <w:jc w:val="both"/>
        <w:rPr>
          <w:rFonts w:ascii="Times New Roman" w:hAnsi="Times New Roman"/>
          <w:color w:val="000000" w:themeColor="text1"/>
          <w:sz w:val="16"/>
          <w:szCs w:val="16"/>
        </w:rPr>
      </w:pPr>
    </w:p>
    <w:p w14:paraId="4FE9A679"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8 марта 1933 в Харькове вышло Постановление ВУЦИК о ликвидации комитетов незаможных селян (10687).</w:t>
      </w:r>
    </w:p>
    <w:p w14:paraId="51A445F9"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261D4F61" w14:textId="77777777" w:rsidR="00F4240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D7B019F" w14:textId="77777777" w:rsidR="00F42404" w:rsidRPr="0044524F" w:rsidRDefault="00F42404" w:rsidP="009654CF">
      <w:pPr>
        <w:spacing w:after="0" w:line="240" w:lineRule="auto"/>
        <w:jc w:val="both"/>
        <w:rPr>
          <w:rFonts w:ascii="Times New Roman" w:hAnsi="Times New Roman"/>
          <w:iCs/>
          <w:color w:val="000000" w:themeColor="text1"/>
          <w:sz w:val="16"/>
          <w:szCs w:val="16"/>
        </w:rPr>
      </w:pPr>
    </w:p>
    <w:p w14:paraId="02FA123F" w14:textId="77777777" w:rsidR="00F42404" w:rsidRPr="0044524F" w:rsidRDefault="00F424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1933 в США был принят чрезвычайный банковский акт. Срочно созванная сессия Конгресса приняла целый пакет реформ нового курса (3481).</w:t>
      </w:r>
    </w:p>
    <w:p w14:paraId="4E9ABA6D" w14:textId="77777777" w:rsidR="00F42404" w:rsidRPr="0044524F" w:rsidRDefault="00F42404" w:rsidP="009654CF">
      <w:pPr>
        <w:spacing w:after="0" w:line="240" w:lineRule="auto"/>
        <w:jc w:val="both"/>
        <w:rPr>
          <w:rFonts w:ascii="Times New Roman" w:hAnsi="Times New Roman"/>
          <w:color w:val="000000" w:themeColor="text1"/>
          <w:sz w:val="16"/>
          <w:szCs w:val="16"/>
        </w:rPr>
      </w:pPr>
    </w:p>
    <w:p w14:paraId="20EEC2A4" w14:textId="77777777" w:rsidR="007E5FA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2ADCC4C" w14:textId="77777777" w:rsidR="007E5FA7" w:rsidRPr="0044524F" w:rsidRDefault="007E5FA7" w:rsidP="009654CF">
      <w:pPr>
        <w:spacing w:after="0" w:line="240" w:lineRule="auto"/>
        <w:jc w:val="both"/>
        <w:rPr>
          <w:rFonts w:ascii="Times New Roman" w:hAnsi="Times New Roman"/>
          <w:iCs/>
          <w:color w:val="000000" w:themeColor="text1"/>
          <w:sz w:val="16"/>
          <w:szCs w:val="16"/>
        </w:rPr>
      </w:pPr>
    </w:p>
    <w:p w14:paraId="6083345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марта 1933 года начальник ВВС Алкснис писал письмо № 316сс председателю РВС</w:t>
      </w:r>
    </w:p>
    <w:p w14:paraId="247C827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включении в план опытного строительства предложений инженера НИИ ВВС Вахмистрова</w:t>
      </w:r>
    </w:p>
    <w:p w14:paraId="57A6064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w:t>
      </w:r>
    </w:p>
    <w:p w14:paraId="174C36C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декабря 1931 года по июнь 1932 года НИИ ВВС проводил устройство, установку и испытание "Самолета Звена" ("З-1"), сконструированного инженером НИИ ВВС Вахмистровым В.С.</w:t>
      </w:r>
    </w:p>
    <w:p w14:paraId="61DE275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"З-1" представляет собой соединение двух истребителей И-4 с тяжелым бомбардировщиком ТБ1. Самолеты И-4 устанавливаются на крыльях ТБ1 в специальных замках и могут быть отцеплены в воздухе особым сбрасывателем.</w:t>
      </w:r>
    </w:p>
    <w:p w14:paraId="2299080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взлете и в полете моторы всех трех самолетов работают и таким образом получается один целый 4-моторный самолет. Питание горючим истребителей в полете производится из баков бомбардировщика.</w:t>
      </w:r>
    </w:p>
    <w:p w14:paraId="63D5EE4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 комбинация представляет следующие основные выгоды:</w:t>
      </w:r>
    </w:p>
    <w:p w14:paraId="2123E02F" w14:textId="77777777" w:rsidR="007E5FA7" w:rsidRPr="0044524F" w:rsidRDefault="007E5FA7" w:rsidP="009654CF">
      <w:pPr>
        <w:numPr>
          <w:ilvl w:val="0"/>
          <w:numId w:val="13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истребителей увеличивают мощность бомбардировщика, а следовательно и его грузоподъемность, скороподъемность, потолок и скорость.</w:t>
      </w:r>
    </w:p>
    <w:p w14:paraId="785C273D" w14:textId="77777777" w:rsidR="007E5FA7" w:rsidRPr="0044524F" w:rsidRDefault="007E5FA7" w:rsidP="009654CF">
      <w:pPr>
        <w:numPr>
          <w:ilvl w:val="0"/>
          <w:numId w:val="13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 истребителей увеличивается в два раза, так как по пути к цели они питаются горючим из баков бомбардировщика.</w:t>
      </w:r>
    </w:p>
    <w:p w14:paraId="025A49E6" w14:textId="77777777" w:rsidR="007E5FA7" w:rsidRPr="0044524F" w:rsidRDefault="007E5FA7" w:rsidP="009654CF">
      <w:pPr>
        <w:numPr>
          <w:ilvl w:val="0"/>
          <w:numId w:val="13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Бомбардировщик в глубоком тылу противника имеет свою истребительную охрану, а не только при прохождении полосы фронта.</w:t>
      </w:r>
    </w:p>
    <w:p w14:paraId="5CD19E0C" w14:textId="77777777" w:rsidR="007E5FA7" w:rsidRPr="0044524F" w:rsidRDefault="007E5FA7" w:rsidP="009654CF">
      <w:pPr>
        <w:numPr>
          <w:ilvl w:val="0"/>
          <w:numId w:val="13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показали, что эксплуатация самолета "З-1" как в зимних, так и в летних условиях особых трудностей не представляет ни в подготовке к полету, ни в самом полете.</w:t>
      </w:r>
    </w:p>
    <w:p w14:paraId="70A9139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Сравнительные данные изолированного ТБ-1 и его же с двумя И-4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1160"/>
        <w:gridCol w:w="1160"/>
        <w:gridCol w:w="1160"/>
        <w:gridCol w:w="1160"/>
        <w:gridCol w:w="1160"/>
        <w:gridCol w:w="1160"/>
        <w:gridCol w:w="1160"/>
        <w:gridCol w:w="1160"/>
        <w:gridCol w:w="1160"/>
      </w:tblGrid>
      <w:tr w:rsidR="004E10C1" w:rsidRPr="0044524F" w14:paraId="4D04DC68" w14:textId="77777777">
        <w:tc>
          <w:tcPr>
            <w:tcW w:w="1160" w:type="dxa"/>
          </w:tcPr>
          <w:p w14:paraId="21627C6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w:t>
            </w:r>
          </w:p>
        </w:tc>
        <w:tc>
          <w:tcPr>
            <w:tcW w:w="1160" w:type="dxa"/>
          </w:tcPr>
          <w:p w14:paraId="5A4B336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w:t>
            </w:r>
          </w:p>
        </w:tc>
        <w:tc>
          <w:tcPr>
            <w:tcW w:w="1160" w:type="dxa"/>
          </w:tcPr>
          <w:p w14:paraId="11FF511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Полная нагрузка ТБ1</w:t>
            </w:r>
          </w:p>
        </w:tc>
        <w:tc>
          <w:tcPr>
            <w:tcW w:w="1160" w:type="dxa"/>
          </w:tcPr>
          <w:p w14:paraId="0AD7411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бомб</w:t>
            </w:r>
          </w:p>
        </w:tc>
        <w:tc>
          <w:tcPr>
            <w:tcW w:w="1160" w:type="dxa"/>
          </w:tcPr>
          <w:p w14:paraId="7EE9DA3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самолетов</w:t>
            </w:r>
          </w:p>
          <w:p w14:paraId="6C6634C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И-4</w:t>
            </w:r>
          </w:p>
        </w:tc>
        <w:tc>
          <w:tcPr>
            <w:tcW w:w="1160" w:type="dxa"/>
          </w:tcPr>
          <w:p w14:paraId="2804397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разбега</w:t>
            </w:r>
          </w:p>
        </w:tc>
        <w:tc>
          <w:tcPr>
            <w:tcW w:w="1160" w:type="dxa"/>
          </w:tcPr>
          <w:p w14:paraId="451D95D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Максимальн. скорость </w:t>
            </w:r>
          </w:p>
        </w:tc>
        <w:tc>
          <w:tcPr>
            <w:tcW w:w="1160" w:type="dxa"/>
          </w:tcPr>
          <w:p w14:paraId="1B09825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Подъем на 3000 м</w:t>
            </w:r>
          </w:p>
        </w:tc>
        <w:tc>
          <w:tcPr>
            <w:tcW w:w="1160" w:type="dxa"/>
          </w:tcPr>
          <w:p w14:paraId="56DA106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1160" w:type="dxa"/>
          </w:tcPr>
          <w:p w14:paraId="06B4469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w:t>
            </w:r>
          </w:p>
        </w:tc>
      </w:tr>
      <w:tr w:rsidR="004E10C1" w:rsidRPr="0044524F" w14:paraId="5803DCEF" w14:textId="77777777">
        <w:tc>
          <w:tcPr>
            <w:tcW w:w="1160" w:type="dxa"/>
          </w:tcPr>
          <w:p w14:paraId="4E885B8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w:t>
            </w:r>
          </w:p>
        </w:tc>
        <w:tc>
          <w:tcPr>
            <w:tcW w:w="1160" w:type="dxa"/>
          </w:tcPr>
          <w:p w14:paraId="602CD49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4525</w:t>
            </w:r>
          </w:p>
        </w:tc>
        <w:tc>
          <w:tcPr>
            <w:tcW w:w="1160" w:type="dxa"/>
          </w:tcPr>
          <w:p w14:paraId="32E375D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2285</w:t>
            </w:r>
          </w:p>
        </w:tc>
        <w:tc>
          <w:tcPr>
            <w:tcW w:w="1160" w:type="dxa"/>
          </w:tcPr>
          <w:p w14:paraId="5B2BED8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1160" w:type="dxa"/>
          </w:tcPr>
          <w:p w14:paraId="3F433D2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60" w:type="dxa"/>
          </w:tcPr>
          <w:p w14:paraId="118D484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160" w:type="dxa"/>
          </w:tcPr>
          <w:p w14:paraId="741B6A9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211</w:t>
            </w:r>
          </w:p>
        </w:tc>
        <w:tc>
          <w:tcPr>
            <w:tcW w:w="1160" w:type="dxa"/>
          </w:tcPr>
          <w:p w14:paraId="5AD6158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21,3</w:t>
            </w:r>
          </w:p>
        </w:tc>
        <w:tc>
          <w:tcPr>
            <w:tcW w:w="1160" w:type="dxa"/>
          </w:tcPr>
          <w:p w14:paraId="6204A5B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4800</w:t>
            </w:r>
          </w:p>
        </w:tc>
        <w:tc>
          <w:tcPr>
            <w:tcW w:w="1160" w:type="dxa"/>
          </w:tcPr>
          <w:p w14:paraId="67558CB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r>
      <w:tr w:rsidR="004E10C1" w:rsidRPr="0044524F" w14:paraId="5F1FDB91" w14:textId="77777777">
        <w:tc>
          <w:tcPr>
            <w:tcW w:w="1160" w:type="dxa"/>
          </w:tcPr>
          <w:p w14:paraId="273FAD38"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c>
          <w:tcPr>
            <w:tcW w:w="1160" w:type="dxa"/>
          </w:tcPr>
          <w:p w14:paraId="50E5028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4525</w:t>
            </w:r>
          </w:p>
        </w:tc>
        <w:tc>
          <w:tcPr>
            <w:tcW w:w="1160" w:type="dxa"/>
          </w:tcPr>
          <w:p w14:paraId="7C9DDB7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3400</w:t>
            </w:r>
          </w:p>
        </w:tc>
        <w:tc>
          <w:tcPr>
            <w:tcW w:w="1160" w:type="dxa"/>
          </w:tcPr>
          <w:p w14:paraId="4EF849F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160" w:type="dxa"/>
          </w:tcPr>
          <w:p w14:paraId="2639EFA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60" w:type="dxa"/>
          </w:tcPr>
          <w:p w14:paraId="17AAD31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160" w:type="dxa"/>
          </w:tcPr>
          <w:p w14:paraId="0F71373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160" w:type="dxa"/>
          </w:tcPr>
          <w:p w14:paraId="0560A16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38,1</w:t>
            </w:r>
          </w:p>
        </w:tc>
        <w:tc>
          <w:tcPr>
            <w:tcW w:w="1160" w:type="dxa"/>
          </w:tcPr>
          <w:p w14:paraId="671CFDD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3790</w:t>
            </w:r>
          </w:p>
        </w:tc>
        <w:tc>
          <w:tcPr>
            <w:tcW w:w="1160" w:type="dxa"/>
          </w:tcPr>
          <w:p w14:paraId="5E4383B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2AB485DB" w14:textId="77777777">
        <w:tc>
          <w:tcPr>
            <w:tcW w:w="1160" w:type="dxa"/>
          </w:tcPr>
          <w:p w14:paraId="6437215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"З-1"</w:t>
            </w:r>
          </w:p>
          <w:p w14:paraId="3206F46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ТБ1+2И-4</w:t>
            </w:r>
          </w:p>
        </w:tc>
        <w:tc>
          <w:tcPr>
            <w:tcW w:w="1160" w:type="dxa"/>
          </w:tcPr>
          <w:p w14:paraId="4FD9E4A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6532</w:t>
            </w:r>
          </w:p>
        </w:tc>
        <w:tc>
          <w:tcPr>
            <w:tcW w:w="1160" w:type="dxa"/>
          </w:tcPr>
          <w:p w14:paraId="7526F74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3968</w:t>
            </w:r>
          </w:p>
        </w:tc>
        <w:tc>
          <w:tcPr>
            <w:tcW w:w="1160" w:type="dxa"/>
          </w:tcPr>
          <w:p w14:paraId="72EA03C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160" w:type="dxa"/>
          </w:tcPr>
          <w:p w14:paraId="169F321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1450</w:t>
            </w:r>
          </w:p>
        </w:tc>
        <w:tc>
          <w:tcPr>
            <w:tcW w:w="1160" w:type="dxa"/>
          </w:tcPr>
          <w:p w14:paraId="7450BB7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160" w:type="dxa"/>
          </w:tcPr>
          <w:p w14:paraId="5834F01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160" w:type="dxa"/>
          </w:tcPr>
          <w:p w14:paraId="01EC7CC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24,6</w:t>
            </w:r>
          </w:p>
        </w:tc>
        <w:tc>
          <w:tcPr>
            <w:tcW w:w="1160" w:type="dxa"/>
          </w:tcPr>
          <w:p w14:paraId="687AA10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4630</w:t>
            </w:r>
          </w:p>
        </w:tc>
        <w:tc>
          <w:tcPr>
            <w:tcW w:w="1160" w:type="dxa"/>
          </w:tcPr>
          <w:p w14:paraId="438043C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6B7AFCAE" w14:textId="77777777">
        <w:tc>
          <w:tcPr>
            <w:tcW w:w="1160" w:type="dxa"/>
          </w:tcPr>
          <w:p w14:paraId="6A7FD941"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c>
          <w:tcPr>
            <w:tcW w:w="1160" w:type="dxa"/>
          </w:tcPr>
          <w:p w14:paraId="45BE836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6532</w:t>
            </w:r>
          </w:p>
        </w:tc>
        <w:tc>
          <w:tcPr>
            <w:tcW w:w="1160" w:type="dxa"/>
          </w:tcPr>
          <w:p w14:paraId="38C3083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5968</w:t>
            </w:r>
          </w:p>
        </w:tc>
        <w:tc>
          <w:tcPr>
            <w:tcW w:w="1160" w:type="dxa"/>
          </w:tcPr>
          <w:p w14:paraId="2D1FEA7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160" w:type="dxa"/>
          </w:tcPr>
          <w:p w14:paraId="3C73D7E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1450</w:t>
            </w:r>
          </w:p>
        </w:tc>
        <w:tc>
          <w:tcPr>
            <w:tcW w:w="1160" w:type="dxa"/>
          </w:tcPr>
          <w:p w14:paraId="432EF45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w:t>
            </w:r>
          </w:p>
        </w:tc>
        <w:tc>
          <w:tcPr>
            <w:tcW w:w="1160" w:type="dxa"/>
          </w:tcPr>
          <w:p w14:paraId="7B5F85C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60" w:type="dxa"/>
          </w:tcPr>
          <w:p w14:paraId="1A9B8ED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60" w:type="dxa"/>
          </w:tcPr>
          <w:p w14:paraId="5CC3917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60" w:type="dxa"/>
          </w:tcPr>
          <w:p w14:paraId="55B0676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r>
    </w:tbl>
    <w:p w14:paraId="683C967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периоде испытаний был произведен демонстративный налет на Киев, где сброшено 1000 кг бомб, при этом пройдено без посадки 1275 км.</w:t>
      </w:r>
    </w:p>
    <w:p w14:paraId="7766669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полного выявления эксплуатационных свойств самолета "З-1" в настоящее время изготовляется войсковая серия этих установок в количестве 6 штук для широких войсковых испытаний и отработки тактики и боевого применения.</w:t>
      </w:r>
    </w:p>
    <w:p w14:paraId="2E79C01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Дальнейшие работы инженера Вахмистрова по конструированию перенести на самолет ТБ-3, на котором спроектированы два типа установок "З-2" – установка з-х самолетов И-5 сверху на крыльях ТБ3 и "З-3" – 2-х самолетов "Z" снизу под крыльями ТБ3, таким образом на ТБ3 может быть одновременно установлено 5 истребителей. Проектирование этих двух установок (сверху и снизу) закончено и они изготовляются на заводе ЦАГИ.</w:t>
      </w:r>
    </w:p>
    <w:p w14:paraId="0FCBE0B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Расчетные данные самолета ТБ-3 с тремя самолетами "И-5" по сравнению с изолированным ТБ3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50"/>
        <w:gridCol w:w="1450"/>
        <w:gridCol w:w="1450"/>
        <w:gridCol w:w="1450"/>
        <w:gridCol w:w="1450"/>
        <w:gridCol w:w="1450"/>
        <w:gridCol w:w="1450"/>
        <w:gridCol w:w="1450"/>
      </w:tblGrid>
      <w:tr w:rsidR="004E10C1" w:rsidRPr="0044524F" w14:paraId="06B4CDD7" w14:textId="77777777">
        <w:tc>
          <w:tcPr>
            <w:tcW w:w="1450" w:type="dxa"/>
          </w:tcPr>
          <w:p w14:paraId="1B77BD1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w:t>
            </w:r>
          </w:p>
        </w:tc>
        <w:tc>
          <w:tcPr>
            <w:tcW w:w="1450" w:type="dxa"/>
          </w:tcPr>
          <w:p w14:paraId="5B9D1C0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w:t>
            </w:r>
          </w:p>
        </w:tc>
        <w:tc>
          <w:tcPr>
            <w:tcW w:w="1450" w:type="dxa"/>
          </w:tcPr>
          <w:p w14:paraId="354A07A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w:t>
            </w:r>
          </w:p>
        </w:tc>
        <w:tc>
          <w:tcPr>
            <w:tcW w:w="1450" w:type="dxa"/>
          </w:tcPr>
          <w:p w14:paraId="741343F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у земли</w:t>
            </w:r>
          </w:p>
        </w:tc>
        <w:tc>
          <w:tcPr>
            <w:tcW w:w="1450" w:type="dxa"/>
          </w:tcPr>
          <w:p w14:paraId="222429F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на 3000 м</w:t>
            </w:r>
          </w:p>
        </w:tc>
        <w:tc>
          <w:tcPr>
            <w:tcW w:w="1450" w:type="dxa"/>
          </w:tcPr>
          <w:p w14:paraId="606A8F5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Скороподъемн. на 1000 м </w:t>
            </w:r>
          </w:p>
        </w:tc>
        <w:tc>
          <w:tcPr>
            <w:tcW w:w="1450" w:type="dxa"/>
          </w:tcPr>
          <w:p w14:paraId="7309052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 на 3000 м</w:t>
            </w:r>
          </w:p>
        </w:tc>
        <w:tc>
          <w:tcPr>
            <w:tcW w:w="1450" w:type="dxa"/>
          </w:tcPr>
          <w:p w14:paraId="3C182E4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r>
      <w:tr w:rsidR="004E10C1" w:rsidRPr="0044524F" w14:paraId="3B33852C" w14:textId="77777777">
        <w:tc>
          <w:tcPr>
            <w:tcW w:w="1450" w:type="dxa"/>
          </w:tcPr>
          <w:p w14:paraId="6149555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450" w:type="dxa"/>
          </w:tcPr>
          <w:p w14:paraId="555CF40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17200</w:t>
            </w:r>
          </w:p>
        </w:tc>
        <w:tc>
          <w:tcPr>
            <w:tcW w:w="1450" w:type="dxa"/>
          </w:tcPr>
          <w:p w14:paraId="6A0B8F0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w:t>
            </w:r>
          </w:p>
        </w:tc>
        <w:tc>
          <w:tcPr>
            <w:tcW w:w="1450" w:type="dxa"/>
          </w:tcPr>
          <w:p w14:paraId="587C015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w:t>
            </w:r>
          </w:p>
        </w:tc>
        <w:tc>
          <w:tcPr>
            <w:tcW w:w="1450" w:type="dxa"/>
          </w:tcPr>
          <w:p w14:paraId="284C977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166</w:t>
            </w:r>
          </w:p>
        </w:tc>
        <w:tc>
          <w:tcPr>
            <w:tcW w:w="1450" w:type="dxa"/>
          </w:tcPr>
          <w:p w14:paraId="1D5A70F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9,40</w:t>
            </w:r>
          </w:p>
        </w:tc>
        <w:tc>
          <w:tcPr>
            <w:tcW w:w="1450" w:type="dxa"/>
          </w:tcPr>
          <w:p w14:paraId="31AB8B7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46,5</w:t>
            </w:r>
          </w:p>
        </w:tc>
        <w:tc>
          <w:tcPr>
            <w:tcW w:w="1450" w:type="dxa"/>
          </w:tcPr>
          <w:p w14:paraId="1D11493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3700</w:t>
            </w:r>
          </w:p>
        </w:tc>
      </w:tr>
      <w:tr w:rsidR="004E10C1" w:rsidRPr="0044524F" w14:paraId="42EE1B17" w14:textId="77777777">
        <w:tc>
          <w:tcPr>
            <w:tcW w:w="1450" w:type="dxa"/>
          </w:tcPr>
          <w:p w14:paraId="4288C4E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"З-2"</w:t>
            </w:r>
          </w:p>
          <w:p w14:paraId="13F766B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ТБ3+3И5</w:t>
            </w:r>
          </w:p>
        </w:tc>
        <w:tc>
          <w:tcPr>
            <w:tcW w:w="1450" w:type="dxa"/>
          </w:tcPr>
          <w:p w14:paraId="152BE07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21250</w:t>
            </w:r>
          </w:p>
        </w:tc>
        <w:tc>
          <w:tcPr>
            <w:tcW w:w="1450" w:type="dxa"/>
          </w:tcPr>
          <w:p w14:paraId="4F4FA76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8200</w:t>
            </w:r>
          </w:p>
        </w:tc>
        <w:tc>
          <w:tcPr>
            <w:tcW w:w="1450" w:type="dxa"/>
          </w:tcPr>
          <w:p w14:paraId="3DD5D04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201</w:t>
            </w:r>
          </w:p>
        </w:tc>
        <w:tc>
          <w:tcPr>
            <w:tcW w:w="1450" w:type="dxa"/>
          </w:tcPr>
          <w:p w14:paraId="4EA497B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w:t>
            </w:r>
          </w:p>
        </w:tc>
        <w:tc>
          <w:tcPr>
            <w:tcW w:w="1450" w:type="dxa"/>
          </w:tcPr>
          <w:p w14:paraId="1B5D832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4,93</w:t>
            </w:r>
          </w:p>
        </w:tc>
        <w:tc>
          <w:tcPr>
            <w:tcW w:w="1450" w:type="dxa"/>
          </w:tcPr>
          <w:p w14:paraId="6D7E2F8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24,17</w:t>
            </w:r>
          </w:p>
        </w:tc>
        <w:tc>
          <w:tcPr>
            <w:tcW w:w="1450" w:type="dxa"/>
          </w:tcPr>
          <w:p w14:paraId="1CF3757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4800</w:t>
            </w:r>
          </w:p>
        </w:tc>
      </w:tr>
    </w:tbl>
    <w:p w14:paraId="4392186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этих двух установок, инженером Вахмистровым разработана методика посадки И5 на ТБ3 в воздухе и заканчивается конструирование соответствующих приспособлений.</w:t>
      </w:r>
    </w:p>
    <w:p w14:paraId="56BFC39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этой проблемы неограниченно увеличивает радиус действия истребителей до пределов запасов горючего в бомбардировщике. Наличие истребителей при бомбардировщиках заставляет произвести переоценку обороноспособности тяжелых самолетов, которая при этом увеличивается во много раз.</w:t>
      </w:r>
    </w:p>
    <w:p w14:paraId="15C0832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основе произведенных работ в развитие идеи "Самолета-Звена" инженером Вахмистровым предложены три новых типа самолетов:</w:t>
      </w:r>
    </w:p>
    <w:p w14:paraId="15753C14" w14:textId="77777777" w:rsidR="007E5FA7" w:rsidRPr="0044524F" w:rsidRDefault="007E5FA7" w:rsidP="009654CF">
      <w:pPr>
        <w:numPr>
          <w:ilvl w:val="0"/>
          <w:numId w:val="13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"Тягач", представляющий собою летающий добавочный мотор. Это – простейший самолет с мощным мотором, назначение которого помочь взлететь тяжелому самолету и подняться до боевой высоты, а затем этот "Тягач", снимается и возвращается на свой аэродром. Это же "тягач", как самолет с очень большим избытком мощности, может быть с успехом использован в качестве буксировщика тяжелых планеров в своем тылу и в тылу противника для высадки десантов.</w:t>
      </w:r>
    </w:p>
    <w:p w14:paraId="4D8E7FDD" w14:textId="77777777" w:rsidR="007E5FA7" w:rsidRPr="0044524F" w:rsidRDefault="007E5FA7" w:rsidP="009654CF">
      <w:pPr>
        <w:numPr>
          <w:ilvl w:val="0"/>
          <w:numId w:val="13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Сверхскоростной истребитель работа которого производится исключительно с тяжелого самолета-матки, с которой он слетает для боя и на которую садится после боя. У этого самолета можно получить скорость до 400-500 км/час за счет большой посадочной скорости, так как садясь на подвижную базу-матку он посадочной скоростью не ограничен. Этот самолет может получить боевое применение при полетах на цели в глубоком тылу страны противника, где он будет щупальцем бомбардировщика, разведывая впереди лежащие цели, не боясь воздушного противника. Кроме того, это самолет будет оборонять своего бомбардировщика, перехватывая прорывающиеся к нему самолеты противника.</w:t>
      </w:r>
    </w:p>
    <w:p w14:paraId="6ECC2EC1" w14:textId="77777777" w:rsidR="007E5FA7" w:rsidRPr="0044524F" w:rsidRDefault="007E5FA7" w:rsidP="009654CF">
      <w:pPr>
        <w:numPr>
          <w:ilvl w:val="0"/>
          <w:numId w:val="13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"Авмаматка" – тяжелый многомоторный самолет – летающее крыло типа параболы Чарановского. На этом самолете при размахе его в 100 м по расчету можно будет установить 15 самолетов И5 сверху и 5-6 самолетов типа "Z" снизу.</w:t>
      </w:r>
    </w:p>
    <w:p w14:paraId="2A2A8A6A" w14:textId="77777777" w:rsidR="007E5FA7" w:rsidRPr="0044524F" w:rsidRDefault="007E5FA7" w:rsidP="009654CF">
      <w:pPr>
        <w:pStyle w:val="24"/>
        <w:widowControl/>
        <w:rPr>
          <w:color w:val="000000" w:themeColor="text1"/>
        </w:rPr>
      </w:pPr>
      <w:r w:rsidRPr="0044524F">
        <w:rPr>
          <w:color w:val="000000" w:themeColor="text1"/>
        </w:rPr>
        <w:t>Самолет представляет огромный интерес для ВВС. При его осуществлении радикально разрешается вопрос транспортной авиации и ПВО.</w:t>
      </w:r>
    </w:p>
    <w:p w14:paraId="3D0CD85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Он может быть использован, как тарнспортировщик любых грузов, в том числе и горючего, и как тяжелый бомбардировщик.</w:t>
      </w:r>
    </w:p>
    <w:p w14:paraId="30D4D85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нем можно перебрасывать истребительные эскадрильи на 1000 км, причем истребители по прилете будет с полной нагрузкой горючим и боеприпасами. Как самолет сопровождения, он разрешает вопрос истребительной охраны бомбардировщика.</w:t>
      </w:r>
    </w:p>
    <w:p w14:paraId="707CBE7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цели ПВО – может часами держать на боевой высоте эскадрильи истребителей с полным запасом горючего.</w:t>
      </w:r>
    </w:p>
    <w:p w14:paraId="7CA50B1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Общие выводы</w:t>
      </w:r>
    </w:p>
    <w:p w14:paraId="62A856D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Изобретения Вахмистрова открывают совершенно новую область авиации и значительно расширяют возможности применения последней на войне. В этой области СССР стоит в настоящее время на первом месте. Необходимо широко и быстрыми темпами развернуть начатую работу, отпустить на нее необходимые средства и дать производственную базу.</w:t>
      </w:r>
    </w:p>
    <w:p w14:paraId="6F1840F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Практические предложения</w:t>
      </w:r>
    </w:p>
    <w:p w14:paraId="1080E274" w14:textId="77777777" w:rsidR="007E5FA7" w:rsidRPr="0044524F" w:rsidRDefault="007E5FA7" w:rsidP="009654CF">
      <w:pPr>
        <w:numPr>
          <w:ilvl w:val="0"/>
          <w:numId w:val="13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Включить в план опытного строительства ВВС на 1933 год работы по проектированию и постройке предложенных Вахмистровым самолетов "Тягач" и скоростной истребитель, а также исследовательские работы по самолету авиаматке.</w:t>
      </w:r>
    </w:p>
    <w:p w14:paraId="3B7C41E6" w14:textId="77777777" w:rsidR="007E5FA7" w:rsidRPr="0044524F" w:rsidRDefault="007E5FA7" w:rsidP="009654CF">
      <w:pPr>
        <w:numPr>
          <w:ilvl w:val="0"/>
          <w:numId w:val="14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Денежную сумму на проектирование и постройку опытных самолетов "Тягач" и скоростной истребитель, а также на исследовательские работы по авиаматке – в размере восемьсот тридцать пять тысяч рублей по смете Вахмистрова отпустить из средств ПВО.</w:t>
      </w:r>
    </w:p>
    <w:p w14:paraId="28F8F284" w14:textId="77777777" w:rsidR="007E5FA7" w:rsidRPr="0044524F" w:rsidRDefault="007E5FA7" w:rsidP="009654CF">
      <w:pPr>
        <w:numPr>
          <w:ilvl w:val="0"/>
          <w:numId w:val="14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производственной базы использовать бывший завод № 39, где создать специальную группу инженера Вахмистрова с тем, что все работы его по легким самолетам производятся на 39 заводе, а по тяжелым – в ЦАГИ.</w:t>
      </w:r>
    </w:p>
    <w:p w14:paraId="717C833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Баранов согласен с этим при условии финансирования указанных работ по линии НКВМ (7439, 201-203).</w:t>
      </w:r>
    </w:p>
    <w:p w14:paraId="50C40B29"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0BED06B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марта 1933 года зам. начальника НТОС Машкевич писал письмо N ОП 257/109 начальнику ПТЭС ГУАП Зильберквиту.</w:t>
      </w:r>
    </w:p>
    <w:p w14:paraId="1F27D77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В/N 1/НИС сообщаю, что данные по п.п. 2, 3, 4 и 5 имеются у Вас в плане опытного строительства, утвержденного Правительством 4/VII-32 г.; по п. 6 сведения даются ниже; по п.п. 7, 8 можно дать только ориентировочные сроки, ибо неизвестно сколь сложные возникнут переделки в процессе испытаний и доводки. На основании опыта, при благоприятных условиях, на заводские испытания уходит 1-2 месяца (в зависимости от времени года и сложности машины), столько же на гос. испытания, то же время на переделки после гос. испытаний и подготовку эталона; по п. 9 следует считать, что готовность конструктивных чертежей обычно ведется так, чтобы они были закончены к сроку готовности эталона. Внедрение 6-8 месяцев.</w:t>
      </w:r>
    </w:p>
    <w:p w14:paraId="5681345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Срок выхода на заводские испытания самолетов ЦАГИ:</w:t>
      </w:r>
    </w:p>
    <w:p w14:paraId="35C2A89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ТБ-6 - 1/XII-34 г.</w:t>
      </w:r>
    </w:p>
    <w:p w14:paraId="07CB0D7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ТБ-4-6М34 - III-33 г. (опытн.).</w:t>
      </w:r>
    </w:p>
    <w:p w14:paraId="13D048D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ТБ4 головн. - нужны моторы с редукторами. После получения моторов срок выхода на аэродром через 4 месяца. Срок подачи моторов намечается в IV-V. Следовательно, ориентировочно самолет может выйти VIII-IX-33 г.</w:t>
      </w:r>
    </w:p>
    <w:p w14:paraId="3886A22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СК1-2М32Н (тоже в зависимости от получения моторов), т.е. ориентировочно выход на аэродром - XI-XII-33 г.</w:t>
      </w:r>
    </w:p>
    <w:p w14:paraId="2007109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МИ3-2М34 (опытный) - IV-III33 г.</w:t>
      </w:r>
    </w:p>
    <w:p w14:paraId="4A14AF6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МИ3 - головн. - нужны моторы с нагнетат. Ориентировочно выход на аэродром - VIII-IX-33 г.</w:t>
      </w:r>
    </w:p>
    <w:p w14:paraId="1699B28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ДИП-2М34 - X-XI-33 г.</w:t>
      </w:r>
    </w:p>
    <w:p w14:paraId="216289A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ДИП - головн. - II-34 г.</w:t>
      </w:r>
    </w:p>
    <w:p w14:paraId="5C48D19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И13-М32Н - в зависимости от моторов; ориентировочно выход на аэродром - XII-33 г., I-34 г.</w:t>
      </w:r>
    </w:p>
    <w:p w14:paraId="709D97F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И14-М38 - на опытную ставится Бристоль-Меркур; выход на аэродром с Б.М. - IV-33 г.</w:t>
      </w:r>
    </w:p>
    <w:p w14:paraId="68DB160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МК1-6М34 РН - XII-33 г.</w:t>
      </w:r>
    </w:p>
    <w:p w14:paraId="37E9C35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МДР3 бис-3М34 - XI-XII-33 г.</w:t>
      </w:r>
    </w:p>
    <w:p w14:paraId="1DF8D46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Рекордн. дальности - V-33 г.</w:t>
      </w:r>
    </w:p>
    <w:p w14:paraId="6DF9326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"Максим Горький" - IV-34 г.</w:t>
      </w:r>
    </w:p>
    <w:p w14:paraId="0C109CF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МБР2-М17 - внедрение идет.</w:t>
      </w:r>
    </w:p>
    <w:p w14:paraId="7461DAD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К7-7М34 - X-XI-33 г. ХАЗОС.</w:t>
      </w:r>
    </w:p>
    <w:p w14:paraId="6915254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В.С. - 2М52 - в зависимости от мотора....</w:t>
      </w:r>
    </w:p>
    <w:p w14:paraId="6B44C1A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У3-М48 - IX-Х-33 г. Завод N 23.</w:t>
      </w:r>
    </w:p>
    <w:p w14:paraId="47C5225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(завод N 39).</w:t>
      </w:r>
    </w:p>
    <w:p w14:paraId="70C3505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И15-М38 (М58) - в зависимости от мотора; если мотор будет IV, то самолет выйдет - IX-33 г.</w:t>
      </w:r>
    </w:p>
    <w:p w14:paraId="0FED6F8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И15-М.Б. - 1/IX-33 г.</w:t>
      </w:r>
    </w:p>
    <w:p w14:paraId="22DB31F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Л.Р.-М34Н - 1/VIII-33 г.</w:t>
      </w:r>
    </w:p>
    <w:p w14:paraId="4E1931A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Л.Р. - 1/VIII-33 г.</w:t>
      </w:r>
    </w:p>
    <w:p w14:paraId="37932B8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Л.Р. - головной - 1/Х-33 г.</w:t>
      </w:r>
    </w:p>
    <w:p w14:paraId="23FA0C6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ТШ-М34 - 1/XI-33 г.</w:t>
      </w:r>
    </w:p>
    <w:p w14:paraId="4AB97E0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ТШ3 - 1/XI-33 г.</w:t>
      </w:r>
    </w:p>
    <w:p w14:paraId="4925243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ТШ - головной - III-34 г.</w:t>
      </w:r>
    </w:p>
    <w:p w14:paraId="30EA4E7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ДИ6-М32Н - 6 месяцев, после получения мотора - XII-33 г.</w:t>
      </w:r>
    </w:p>
    <w:p w14:paraId="27D1A6F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Стратосферный самолет - в зависимости от М34Н - к 1/IX.</w:t>
      </w:r>
    </w:p>
    <w:p w14:paraId="31001DB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Летающее крыло - 2М34 - XII-33 г.</w:t>
      </w:r>
    </w:p>
    <w:p w14:paraId="6C81AFB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Самолет Кричевского-М11 - VIII-33 г.</w:t>
      </w:r>
    </w:p>
    <w:p w14:paraId="463F6B2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Парабола-М11 V-33 г.</w:t>
      </w:r>
    </w:p>
    <w:p w14:paraId="09FDB4D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самолеты для гражданской авиации:</w:t>
      </w:r>
    </w:p>
    <w:p w14:paraId="6510875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Под мотор 65НР - Х-33 г.</w:t>
      </w:r>
    </w:p>
    <w:p w14:paraId="46259EA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Под М-51 - IX-33 г.</w:t>
      </w:r>
    </w:p>
    <w:p w14:paraId="2C452CE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Под М-49 - Х-33 г.</w:t>
      </w:r>
    </w:p>
    <w:p w14:paraId="74D8CD3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Модификации ЦАГИ:</w:t>
      </w:r>
    </w:p>
    <w:p w14:paraId="3C45D0B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ТБ3-4М34 - внедрение идет.</w:t>
      </w:r>
    </w:p>
    <w:p w14:paraId="5D658BA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С62-М34 - внедрение идет; самолет отправлен на завод N 31 для испытаний.</w:t>
      </w:r>
    </w:p>
    <w:p w14:paraId="1BAB207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Р6 на поплавках -внедрение идет.</w:t>
      </w:r>
    </w:p>
    <w:p w14:paraId="0F0A5CA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Р5 с тормозными колесами - внедрение идет.</w:t>
      </w:r>
    </w:p>
    <w:p w14:paraId="1B91A5E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Р5 на поплавках - внедрение идет (2286,50).</w:t>
      </w:r>
    </w:p>
    <w:p w14:paraId="3D962E9D"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4587108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марта 1933 от Алмазова был получен проект Постановления РВСР N 114с по докладу Нач. Штаба ВВС РККА Меженинова "О развитии авиационной техники на основе виденного на авиационной выставке и на заводах Германии." - просили НКТП разработать и построить учебный и спортивный самолет, тренировочный самолет, проработать вопрос о механизации крыла... (2305,9).</w:t>
      </w:r>
    </w:p>
    <w:p w14:paraId="69910C0A"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7C87BA0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марта 1933 проводилась стрельба в воздухе над полигоном УВВС - Монино с посадками для зарядки на аэродром в Москве. В канал ствола был заложен 1 патрон и в магазин - 6. Самолет сделал перелет с аэродрома Москва до полигона в Монино и произвел там стрельбу. Все 7 выстрелов были нормальные и без посадки самолет вернулся на аэродром в Москве. Осмотр показал отсутствие к-л повреждений. Заключение:... комиссия считает состояние самолета и спец. вооружения на нем удовлетворительным и доведенным до состояния, в котором самолет и установка м.б. переданы для гос. испытаний и может быть произведено уже теперь вооружение головных серий этих самолетов указанной спецустановкой... (2303,5).</w:t>
      </w:r>
    </w:p>
    <w:p w14:paraId="7DF90CBD"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566A994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февраля, 5 и 9 марта 1933 на аэродроме НИИ ВВС и на полигоне ВВС в Монино проводились испытания артустановки Курчевского, установленной под левым крылом И-зет Д.П.Г. Летчиком был Пионтковский (2303,5).</w:t>
      </w:r>
    </w:p>
    <w:p w14:paraId="52874B47"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0410E426" w14:textId="77777777" w:rsidR="00F47692" w:rsidRPr="0044524F" w:rsidRDefault="00F47692" w:rsidP="00F47692">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70D475F" w14:textId="77777777" w:rsidR="00F47692" w:rsidRPr="0044524F" w:rsidRDefault="00F47692" w:rsidP="00F47692">
      <w:pPr>
        <w:autoSpaceDE w:val="0"/>
        <w:autoSpaceDN w:val="0"/>
        <w:adjustRightInd w:val="0"/>
        <w:spacing w:after="0" w:line="240" w:lineRule="auto"/>
        <w:jc w:val="both"/>
        <w:rPr>
          <w:rFonts w:ascii="Times New Roman" w:hAnsi="Times New Roman"/>
          <w:iCs/>
          <w:color w:val="000000" w:themeColor="text1"/>
          <w:sz w:val="16"/>
          <w:szCs w:val="16"/>
        </w:rPr>
      </w:pPr>
    </w:p>
    <w:p w14:paraId="6104C896"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марта 1933 г. по результатам рассмотрения проекта ИТ-3 появилось письмо за подписью начальника 2-го отдела научно-технического управления УММ КА В.Д. Свиридова. В нем он, в целом, высказывался одобрительно, но требовалось внести улучшения в конструкцию — усилить броневую защиту, доработать ходовую часть, предусмотреть зенитную установку (отсюда и появился зенитный пулемет) и так далее. Техотдел ЭКУ ОГПУ с этим справился очень быстро: единственное изображение ИТ-3 является уже доработанным проектом, в котором учли замечания.</w:t>
      </w:r>
    </w:p>
    <w:p w14:paraId="0F900F24"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постройки дело так и не дошло. Довольно быстро появилось понимание, что вместо танка-истребителя следует строить полноценный средний танк. Уже в начале апреля 1933 года появилось обозначение Т-29, причем три варианта танка из пяти являлись переработкой проекта ИТ-3. Но в работу пустили четвертый и пятый варианты, трехбашенные. Известны они как Т-29-4 и Т-29-5. Ну а ИТ-3 стал одним из промежуточных звений, который так и остались на бумаг (25511).</w:t>
      </w:r>
    </w:p>
    <w:p w14:paraId="24A19A18" w14:textId="77777777" w:rsidR="00F47692" w:rsidRPr="00142305" w:rsidRDefault="00F47692" w:rsidP="00F47692">
      <w:pPr>
        <w:spacing w:after="0" w:line="240" w:lineRule="auto"/>
        <w:jc w:val="both"/>
        <w:rPr>
          <w:rFonts w:ascii="Times New Roman" w:hAnsi="Times New Roman"/>
          <w:color w:val="0070C0"/>
          <w:sz w:val="16"/>
          <w:szCs w:val="16"/>
        </w:rPr>
      </w:pPr>
    </w:p>
    <w:p w14:paraId="2B5FC0C1" w14:textId="77777777" w:rsidR="007E5FA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3727D6A" w14:textId="77777777" w:rsidR="007E5FA7" w:rsidRPr="0044524F" w:rsidRDefault="007E5FA7" w:rsidP="009654CF">
      <w:pPr>
        <w:spacing w:after="0" w:line="240" w:lineRule="auto"/>
        <w:jc w:val="both"/>
        <w:rPr>
          <w:rFonts w:ascii="Times New Roman" w:hAnsi="Times New Roman"/>
          <w:iCs/>
          <w:color w:val="000000" w:themeColor="text1"/>
          <w:sz w:val="16"/>
          <w:szCs w:val="16"/>
        </w:rPr>
      </w:pPr>
    </w:p>
    <w:p w14:paraId="2A42020F" w14:textId="77777777" w:rsidR="00AD1D3C" w:rsidRPr="0044524F" w:rsidRDefault="00AD1D3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марта 1933 был отменен золотой стандарт в США (3960, 96).</w:t>
      </w:r>
    </w:p>
    <w:p w14:paraId="4155B5EB" w14:textId="77777777" w:rsidR="00AD1D3C" w:rsidRPr="0044524F" w:rsidRDefault="00AD1D3C" w:rsidP="009654CF">
      <w:pPr>
        <w:tabs>
          <w:tab w:val="left" w:pos="11199"/>
        </w:tabs>
        <w:spacing w:after="0" w:line="240" w:lineRule="auto"/>
        <w:jc w:val="both"/>
        <w:rPr>
          <w:rFonts w:ascii="Times New Roman" w:hAnsi="Times New Roman"/>
          <w:color w:val="000000" w:themeColor="text1"/>
          <w:sz w:val="16"/>
          <w:szCs w:val="16"/>
        </w:rPr>
      </w:pPr>
    </w:p>
    <w:p w14:paraId="1030C241" w14:textId="77777777" w:rsidR="00AD1D3C" w:rsidRPr="0044524F" w:rsidRDefault="00AD1D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9 марта</w:t>
      </w:r>
      <w:r w:rsidRPr="0044524F">
        <w:rPr>
          <w:rFonts w:ascii="Times New Roman" w:hAnsi="Times New Roman"/>
          <w:color w:val="000000" w:themeColor="text1"/>
          <w:sz w:val="16"/>
          <w:szCs w:val="16"/>
        </w:rPr>
        <w:t xml:space="preserve"> в 1933 году в Вашингтоне проходит специальное заседание конгресса по экономическим и социальным вопросам (по 16 июня). Он в срочном порядке передает президенту Рузвельту контроль над золотыми, серебряными и валютными запасами страны. В течение первых ста дней нахождения Рузвельта у власти конгресс принимает 15 важнейших законопроектов (15063).</w:t>
      </w:r>
    </w:p>
    <w:p w14:paraId="3998EED6" w14:textId="77777777" w:rsidR="00AD1D3C" w:rsidRPr="0044524F" w:rsidRDefault="00AD1D3C" w:rsidP="009654CF">
      <w:pPr>
        <w:spacing w:after="0" w:line="240" w:lineRule="auto"/>
        <w:jc w:val="both"/>
        <w:rPr>
          <w:rFonts w:ascii="Times New Roman" w:hAnsi="Times New Roman"/>
          <w:color w:val="000000" w:themeColor="text1"/>
          <w:sz w:val="16"/>
          <w:szCs w:val="16"/>
        </w:rPr>
      </w:pPr>
    </w:p>
    <w:p w14:paraId="3B0F5C90" w14:textId="77777777" w:rsidR="007E5FA7" w:rsidRPr="0044524F" w:rsidRDefault="007E5FA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марта 1933 по обвинению в поджоге рейхстага арестован Георгий Димитров (4962).</w:t>
      </w:r>
    </w:p>
    <w:p w14:paraId="575ECB77" w14:textId="77777777" w:rsidR="007E5FA7" w:rsidRPr="0044524F" w:rsidRDefault="007E5FA7" w:rsidP="009654CF">
      <w:pPr>
        <w:tabs>
          <w:tab w:val="left" w:pos="11199"/>
        </w:tabs>
        <w:spacing w:after="0" w:line="240" w:lineRule="auto"/>
        <w:jc w:val="both"/>
        <w:rPr>
          <w:rFonts w:ascii="Times New Roman" w:hAnsi="Times New Roman"/>
          <w:color w:val="000000" w:themeColor="text1"/>
          <w:sz w:val="16"/>
          <w:szCs w:val="16"/>
        </w:rPr>
      </w:pPr>
    </w:p>
    <w:p w14:paraId="6AB0752F" w14:textId="77777777" w:rsidR="007E5FA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E8C8DEE" w14:textId="77777777" w:rsidR="007E5FA7" w:rsidRPr="0044524F" w:rsidRDefault="007E5FA7" w:rsidP="009654CF">
      <w:pPr>
        <w:spacing w:after="0" w:line="240" w:lineRule="auto"/>
        <w:jc w:val="both"/>
        <w:rPr>
          <w:rFonts w:ascii="Times New Roman" w:hAnsi="Times New Roman"/>
          <w:iCs/>
          <w:color w:val="000000" w:themeColor="text1"/>
          <w:sz w:val="16"/>
          <w:szCs w:val="16"/>
        </w:rPr>
      </w:pPr>
    </w:p>
    <w:p w14:paraId="412D8E9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марта 1933 года Гл. инженер-механик ВВС Аузан утвердил Технические требования к экспериментальному самолету ТШ с мотором М34</w:t>
      </w:r>
    </w:p>
    <w:p w14:paraId="0BC5353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Летно-тактические данные</w:t>
      </w:r>
    </w:p>
    <w:p w14:paraId="2797557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Самолет с полезной нагрузкой 780 кг и запасом горючего и смазочного, обеспечивающим надежный тактический радиус действия 160 км, должен обладать нижеследующими летными данными:</w:t>
      </w:r>
    </w:p>
    <w:p w14:paraId="73B5E7C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Максимальной горизонтальной скоростью у земли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609A7489" w14:textId="77777777">
        <w:tc>
          <w:tcPr>
            <w:tcW w:w="5636" w:type="dxa"/>
          </w:tcPr>
          <w:p w14:paraId="2489B6A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 высоте 15-20 км</w:t>
            </w:r>
          </w:p>
        </w:tc>
        <w:tc>
          <w:tcPr>
            <w:tcW w:w="5636" w:type="dxa"/>
          </w:tcPr>
          <w:p w14:paraId="5231EE9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250-260 км/час</w:t>
            </w:r>
          </w:p>
        </w:tc>
      </w:tr>
      <w:tr w:rsidR="004E10C1" w:rsidRPr="0044524F" w14:paraId="2701DF18" w14:textId="77777777">
        <w:tc>
          <w:tcPr>
            <w:tcW w:w="5636" w:type="dxa"/>
          </w:tcPr>
          <w:p w14:paraId="2075A4A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3000 м</w:t>
            </w:r>
          </w:p>
        </w:tc>
        <w:tc>
          <w:tcPr>
            <w:tcW w:w="5636" w:type="dxa"/>
          </w:tcPr>
          <w:p w14:paraId="5C398DC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15-16 м</w:t>
            </w:r>
          </w:p>
        </w:tc>
      </w:tr>
      <w:tr w:rsidR="004E10C1" w:rsidRPr="0044524F" w14:paraId="39AF69B2" w14:textId="77777777">
        <w:tc>
          <w:tcPr>
            <w:tcW w:w="5636" w:type="dxa"/>
          </w:tcPr>
          <w:p w14:paraId="0DD86B9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Практическим потолком</w:t>
            </w:r>
          </w:p>
        </w:tc>
        <w:tc>
          <w:tcPr>
            <w:tcW w:w="5636" w:type="dxa"/>
          </w:tcPr>
          <w:p w14:paraId="42A471D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 м</w:t>
            </w:r>
          </w:p>
        </w:tc>
      </w:tr>
      <w:tr w:rsidR="004E10C1" w:rsidRPr="0044524F" w14:paraId="3E270BD6" w14:textId="77777777">
        <w:tc>
          <w:tcPr>
            <w:tcW w:w="5636" w:type="dxa"/>
          </w:tcPr>
          <w:p w14:paraId="1976946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Посадочной скоростью</w:t>
            </w:r>
          </w:p>
        </w:tc>
        <w:tc>
          <w:tcPr>
            <w:tcW w:w="5636" w:type="dxa"/>
          </w:tcPr>
          <w:p w14:paraId="7528ED5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80-90 км/час</w:t>
            </w:r>
          </w:p>
        </w:tc>
      </w:tr>
    </w:tbl>
    <w:p w14:paraId="7AFDDEB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быть сконструирован под мотор М34 без редуктора и нагнетателя с гидравлической (масляной) передачей на винт системы Кожевникова.</w:t>
      </w:r>
    </w:p>
    <w:p w14:paraId="7856FC3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быть снабжен гусеничным, многоколесным шасси, с возможностью пользования как гусеничным ходом, так и колесным при снятой гусенице.</w:t>
      </w:r>
    </w:p>
    <w:p w14:paraId="3C17622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Должен быть проработан вопрос применения этого шасси в зимних условиях на глубоком снегу.</w:t>
      </w:r>
    </w:p>
    <w:p w14:paraId="681CB88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жизненные части самолета: мотор, весь его агрегат, система охлаждения мотора, не менее 50% запаса горючего, боевой комплект патронов и бомб, а также кабины пилота и наблюдателя должны быть защищены броней.</w:t>
      </w:r>
    </w:p>
    <w:p w14:paraId="30E0B8E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невозможности уложиться в заданный полетный вес при установленных требованиях к самолету, конструкторам предоставляется право изменения бронирования, вооружения и запаса горючего в меньшую сторону по согласованию каждый раз с НИИ ВВС.</w:t>
      </w:r>
    </w:p>
    <w:p w14:paraId="3822AB9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самолета должна стремиться к максимальному обеспечению и сохранению свойств самолета после попадания пуль в неброневые части самолета.</w:t>
      </w:r>
    </w:p>
    <w:p w14:paraId="251EB89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увеличения надежности при повреждении пулями, стабилизатор, киль, все рули и элероны должны быть металлическими.</w:t>
      </w:r>
    </w:p>
    <w:p w14:paraId="269C842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2 человека.</w:t>
      </w:r>
    </w:p>
    <w:p w14:paraId="5D8672F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Стрелковое вооружение</w:t>
      </w:r>
    </w:p>
    <w:p w14:paraId="09F5E47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Передний огонь:</w:t>
      </w:r>
    </w:p>
    <w:p w14:paraId="394AAEE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 пулеметов Шкасс</w:t>
      </w:r>
    </w:p>
    <w:p w14:paraId="0124AF8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Патронов по 1000 шт. на пулемет</w:t>
      </w:r>
    </w:p>
    <w:p w14:paraId="776FBA0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Задний огонь</w:t>
      </w:r>
    </w:p>
    <w:p w14:paraId="1441219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 Шкасс 1 шт.</w:t>
      </w:r>
    </w:p>
    <w:p w14:paraId="21B1C0D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Патронов 1500 шт.</w:t>
      </w:r>
    </w:p>
    <w:p w14:paraId="3B40F4E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Бомбардировочное вооружение</w:t>
      </w:r>
    </w:p>
    <w:p w14:paraId="45FFAC6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Бомбы 200 кг (3539).</w:t>
      </w:r>
    </w:p>
    <w:p w14:paraId="7C863353"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436BE8A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марта 1933 Всесоюзный комитет по постройке агитсамолета-гиганта МГ подписал договор с ЦАГИ. В марте был утвержден состав эскадрилью - МГ, АНТ-14, АНТ-9, У-2, Г-1, Сталь-2, дирижабль В-3 (273,300).</w:t>
      </w:r>
    </w:p>
    <w:p w14:paraId="1DC9C928"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6136BF9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марта 1933 года постройка самолета была передана Центральному аэро-гидродинамическому институту имени профессора Жуковского в Москве - ЦАГИ. К 1 апреля 1934 года самолет был закончен и перевезен на аэродром, где и приступили к испытанию и освоению его сложного оборудования (12024).</w:t>
      </w:r>
    </w:p>
    <w:p w14:paraId="0C622A88"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2A9BEBE3"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марта 1933 г. в 9 часов вечера в особняке, где размещался Дом печати, в торжественной обстановке Комитет за</w:t>
      </w:r>
      <w:r w:rsidRPr="0044524F">
        <w:rPr>
          <w:rFonts w:ascii="Times New Roman" w:hAnsi="Times New Roman"/>
          <w:color w:val="000000" w:themeColor="text1"/>
          <w:sz w:val="16"/>
          <w:szCs w:val="16"/>
        </w:rPr>
        <w:softHyphen/>
        <w:t>ключил с ЦАГИ договор на постройку самолета «Максим Горький». По догово</w:t>
      </w:r>
      <w:r w:rsidRPr="0044524F">
        <w:rPr>
          <w:rFonts w:ascii="Times New Roman" w:hAnsi="Times New Roman"/>
          <w:color w:val="000000" w:themeColor="text1"/>
          <w:sz w:val="16"/>
          <w:szCs w:val="16"/>
        </w:rPr>
        <w:softHyphen/>
        <w:t>ру самолет, удовлетворяющий техничес</w:t>
      </w:r>
      <w:r w:rsidRPr="0044524F">
        <w:rPr>
          <w:rFonts w:ascii="Times New Roman" w:hAnsi="Times New Roman"/>
          <w:color w:val="000000" w:themeColor="text1"/>
          <w:sz w:val="16"/>
          <w:szCs w:val="16"/>
        </w:rPr>
        <w:softHyphen/>
        <w:t>ким требованиям, разработанным Тех- советом Комитета, должен быть постро</w:t>
      </w:r>
      <w:r w:rsidRPr="0044524F">
        <w:rPr>
          <w:rFonts w:ascii="Times New Roman" w:hAnsi="Times New Roman"/>
          <w:color w:val="000000" w:themeColor="text1"/>
          <w:sz w:val="16"/>
          <w:szCs w:val="16"/>
        </w:rPr>
        <w:softHyphen/>
        <w:t>ен и собран на аэродроме для начала за</w:t>
      </w:r>
      <w:r w:rsidRPr="0044524F">
        <w:rPr>
          <w:rFonts w:ascii="Times New Roman" w:hAnsi="Times New Roman"/>
          <w:color w:val="000000" w:themeColor="text1"/>
          <w:sz w:val="16"/>
          <w:szCs w:val="16"/>
        </w:rPr>
        <w:softHyphen/>
        <w:t>водских испытаний к 1 мая 1934 г. Дого</w:t>
      </w:r>
      <w:r w:rsidRPr="0044524F">
        <w:rPr>
          <w:rFonts w:ascii="Times New Roman" w:hAnsi="Times New Roman"/>
          <w:color w:val="000000" w:themeColor="text1"/>
          <w:sz w:val="16"/>
          <w:szCs w:val="16"/>
        </w:rPr>
        <w:softHyphen/>
        <w:t>вор подписали председатель Всесоюзно</w:t>
      </w:r>
      <w:r w:rsidRPr="0044524F">
        <w:rPr>
          <w:rFonts w:ascii="Times New Roman" w:hAnsi="Times New Roman"/>
          <w:color w:val="000000" w:themeColor="text1"/>
          <w:sz w:val="16"/>
          <w:szCs w:val="16"/>
        </w:rPr>
        <w:softHyphen/>
        <w:t>го комитета М.Е. Кольцов, председатель строительного отдела А. Г. Горя нов, заме</w:t>
      </w:r>
      <w:r w:rsidRPr="0044524F">
        <w:rPr>
          <w:rFonts w:ascii="Times New Roman" w:hAnsi="Times New Roman"/>
          <w:color w:val="000000" w:themeColor="text1"/>
          <w:sz w:val="16"/>
          <w:szCs w:val="16"/>
        </w:rPr>
        <w:softHyphen/>
        <w:t>ститель начальника ЦАГИ А.И. Некра</w:t>
      </w:r>
      <w:r w:rsidRPr="0044524F">
        <w:rPr>
          <w:rFonts w:ascii="Times New Roman" w:hAnsi="Times New Roman"/>
          <w:color w:val="000000" w:themeColor="text1"/>
          <w:sz w:val="16"/>
          <w:szCs w:val="16"/>
        </w:rPr>
        <w:softHyphen/>
        <w:t>сов, главный конструктор А.Н. Туполев. После того как договор был подписан. ЦАГИ получил аванс в полмиллиона рублей (21240).</w:t>
      </w:r>
    </w:p>
    <w:p w14:paraId="3AB53AD5"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20928034"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марта 1933 г. комитет по постройке «Максима Горь</w:t>
      </w:r>
      <w:r w:rsidRPr="00142305">
        <w:rPr>
          <w:rFonts w:ascii="Times New Roman" w:hAnsi="Times New Roman"/>
          <w:color w:val="0070C0"/>
          <w:sz w:val="16"/>
          <w:szCs w:val="16"/>
        </w:rPr>
        <w:softHyphen/>
        <w:t>кого» подписал договор с ЦАГИ и ЦАГИ получил полмиллиона рублей аванса. Сотрудники института взяли на себя обязательство отработать при создании самолета по 18 часов бесплатно (24977).</w:t>
      </w:r>
    </w:p>
    <w:p w14:paraId="2F4D13B9" w14:textId="77777777" w:rsidR="00F47692" w:rsidRPr="00142305" w:rsidRDefault="00F47692" w:rsidP="00F47692">
      <w:pPr>
        <w:spacing w:after="0" w:line="240" w:lineRule="auto"/>
        <w:jc w:val="both"/>
        <w:rPr>
          <w:rFonts w:ascii="Times New Roman" w:hAnsi="Times New Roman"/>
          <w:color w:val="0070C0"/>
          <w:sz w:val="16"/>
          <w:szCs w:val="16"/>
        </w:rPr>
      </w:pPr>
    </w:p>
    <w:p w14:paraId="2D0648D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марта 1933 был полностью собран фюзеляж И-14; 21 апреля установили шасси (правда, без подъемного механизма - его не успели довести в срок); 16 апреля 1933 г. сдали центроплан И-14; консоли крыла сдали 25 апреля 1933 г.;. Установка мотора на самолет состоялась 28 марта 1933 г. (12037).</w:t>
      </w:r>
    </w:p>
    <w:p w14:paraId="652665F5"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0D2244C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марта 1933 года за № 739 была подготовлена Справка о выполнении решений КО об опытном моторостроении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969"/>
        <w:gridCol w:w="6487"/>
      </w:tblGrid>
      <w:tr w:rsidR="004E10C1" w:rsidRPr="0044524F" w14:paraId="40F17CBA" w14:textId="77777777">
        <w:tc>
          <w:tcPr>
            <w:tcW w:w="3969" w:type="dxa"/>
          </w:tcPr>
          <w:p w14:paraId="76B4E81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Содержания задания</w:t>
            </w:r>
          </w:p>
        </w:tc>
        <w:tc>
          <w:tcPr>
            <w:tcW w:w="6487" w:type="dxa"/>
          </w:tcPr>
          <w:p w14:paraId="1538D93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задания</w:t>
            </w:r>
          </w:p>
        </w:tc>
      </w:tr>
      <w:tr w:rsidR="004E10C1" w:rsidRPr="0044524F" w14:paraId="5F0C3C5D" w14:textId="77777777">
        <w:tc>
          <w:tcPr>
            <w:tcW w:w="3969" w:type="dxa"/>
          </w:tcPr>
          <w:p w14:paraId="0B4AC77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КО от 4 июля 1932 года по опытному самолето- моторостроению.</w:t>
            </w:r>
          </w:p>
        </w:tc>
        <w:tc>
          <w:tcPr>
            <w:tcW w:w="6487" w:type="dxa"/>
          </w:tcPr>
          <w:p w14:paraId="4ED1BB53"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r>
      <w:tr w:rsidR="004E10C1" w:rsidRPr="0044524F" w14:paraId="0619F338" w14:textId="77777777">
        <w:tc>
          <w:tcPr>
            <w:tcW w:w="3969" w:type="dxa"/>
          </w:tcPr>
          <w:p w14:paraId="7374941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Доводка и развитие М34 (редуктор, нагнетатель, реверс, однорядный, облегченный).</w:t>
            </w:r>
          </w:p>
        </w:tc>
        <w:tc>
          <w:tcPr>
            <w:tcW w:w="6487" w:type="dxa"/>
          </w:tcPr>
          <w:p w14:paraId="5A636F6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мотора М34 с редуктором по плану 15 ноября 1932 года и на заводские испытания – 15 сентября 1932 года.</w:t>
            </w:r>
          </w:p>
          <w:p w14:paraId="33B4E1D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прошел 100-часовые заводские испытания. Редуктор в удовлетворительном состоянии.</w:t>
            </w:r>
          </w:p>
          <w:p w14:paraId="3D48A36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будет предъявлен на госиспытания в апреле 1933 года.</w:t>
            </w:r>
          </w:p>
          <w:p w14:paraId="26B1D6B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Опоздание на 5-6 месяцев из-за задержки заводских испытаний, по причине ряда поломок мотора М34.</w:t>
            </w:r>
          </w:p>
          <w:p w14:paraId="0F87606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мотора М34 с нагнетателем по плану – 15 июня 1932 года.</w:t>
            </w:r>
          </w:p>
          <w:p w14:paraId="578A508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и поставлен на заводские испытания 22 июля 1932 года.</w:t>
            </w:r>
          </w:p>
          <w:p w14:paraId="703FD6E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заводских испытаниях мотор имел ряд аварий, потребовавших усиления нагнетателя.</w:t>
            </w:r>
          </w:p>
          <w:p w14:paraId="5C236A6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Усиленный нагнетатель прошел длительные лабораторные испытания.</w:t>
            </w:r>
          </w:p>
          <w:p w14:paraId="55B5C43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продолжаются заводские испытания мотора М34 с нагнетателем (прошел 12 часов и потерпел аварию).</w:t>
            </w:r>
          </w:p>
          <w:p w14:paraId="393540CE"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4B03FBF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Запроектирован второй вариант нагнетателя, как перестраховка на случай неудовлетворительной конструкции первого варианта.</w:t>
            </w:r>
          </w:p>
          <w:p w14:paraId="72E650D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с нагнетателем может быть предъявлен на госиспытание не ранее 1 сентября 1933 года.</w:t>
            </w:r>
          </w:p>
          <w:p w14:paraId="08B7B8E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Опоздание против плана на 15 месяцев, вследствие сложности механизма, переключающейся передачи к нагнетателю, с которой до настоящего времени не справился ЦИАМ.</w:t>
            </w:r>
          </w:p>
          <w:p w14:paraId="0B3D07F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М34 с реверсом 1 октября 1932 года.</w:t>
            </w:r>
          </w:p>
          <w:p w14:paraId="3F67D30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и проходит заводские испытания. Выявлена неудовлетворительная работа водяной и масляной помп, которые переделываются.</w:t>
            </w:r>
          </w:p>
          <w:p w14:paraId="0D1822F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станет на госиспытания 1 мая 1933 года.</w:t>
            </w:r>
          </w:p>
          <w:p w14:paraId="7201382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Опоздание на 7 месяцев, против плана из-за задержки изготовления реверса на заводе ЦИАМ и затяжки заводских испытаний из-за неудовлетворительной работы помп.</w:t>
            </w:r>
          </w:p>
          <w:p w14:paraId="33D3869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однорядного мотора М-52 по плану – 1 октября 1932 года.</w:t>
            </w:r>
          </w:p>
          <w:p w14:paraId="54DEE34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и прошел на заводских испытаниях 53 часа. Снят из-за трещины в картере.</w:t>
            </w:r>
          </w:p>
          <w:p w14:paraId="05C33E1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предъявлен на госиспытания 1 августа 1933 года.</w:t>
            </w:r>
          </w:p>
          <w:p w14:paraId="2E31E3E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Опоздание на 10 месяцев из-за затяжки заводских испытаний, вследствие поломки картера.</w:t>
            </w:r>
          </w:p>
          <w:p w14:paraId="4AFFFB5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мотора М34 облегченного (с электронным картером) по плану 1 августа 1932 года.</w:t>
            </w:r>
          </w:p>
          <w:p w14:paraId="59591E5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экземпляра мотора строятся на заводе № 24, будут готовы 15 марта 1933 года.</w:t>
            </w:r>
          </w:p>
          <w:p w14:paraId="4AED566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Предъявление на госиспытания 1 июня 1933 года.</w:t>
            </w:r>
          </w:p>
          <w:p w14:paraId="0E19929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Опоздание на 10 месяцев из-за задержки изготовления электронных картеров и поломки на заводских испытаниях первых образцов.</w:t>
            </w:r>
          </w:p>
        </w:tc>
      </w:tr>
      <w:tr w:rsidR="004E10C1" w:rsidRPr="0044524F" w14:paraId="701B8301" w14:textId="77777777">
        <w:tc>
          <w:tcPr>
            <w:tcW w:w="3969" w:type="dxa"/>
          </w:tcPr>
          <w:p w14:paraId="2C94539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Создание типов истребительных моторов М-38, воздушного охлаждения и особенно М32, водяного охлаждения.</w:t>
            </w:r>
          </w:p>
        </w:tc>
        <w:tc>
          <w:tcPr>
            <w:tcW w:w="6487" w:type="dxa"/>
          </w:tcPr>
          <w:p w14:paraId="5157435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М38 по плану 15 августа 1932 года.</w:t>
            </w:r>
          </w:p>
          <w:p w14:paraId="1BBFFE2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и поставлен на заводские испытания 1 мая 1932 года.</w:t>
            </w:r>
          </w:p>
          <w:p w14:paraId="2F86274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испытаниях выявлена неудовлетворительная конструкция головки цилиндра, поршней и распределительных шайб.</w:t>
            </w:r>
          </w:p>
          <w:p w14:paraId="489E04C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конструктивно переработан.</w:t>
            </w:r>
          </w:p>
          <w:p w14:paraId="712AC17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Переделанный мотор будет закончен 20 марта 1933 года. Предъявление на госиспытания 1 мая 1933 года.</w:t>
            </w:r>
          </w:p>
          <w:p w14:paraId="104C539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Опоздание на 8 месяцев против плана из-за необходимости переделки ряда деталей и задержке в изготовлении головок на заводе ЦИАМ (трудность литья).</w:t>
            </w:r>
          </w:p>
          <w:p w14:paraId="5B2F703E"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45F1D0B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М-38 запроектирован редуктор и запущен в производство. Срок готовности 1 октября 1933 года (предъявление на госиспытания).</w:t>
            </w:r>
          </w:p>
          <w:p w14:paraId="68DFEBCB"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7165AE4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мотора М-32 на госиспытания по плану 1 сентября 1932 года.</w:t>
            </w:r>
          </w:p>
          <w:p w14:paraId="64DAAF7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прошел 47 часов на заводских испытаниях.</w:t>
            </w:r>
          </w:p>
          <w:p w14:paraId="348AE09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Обнаружено: недостаточная жесткость водяных рубашек и головки цилиндров.</w:t>
            </w:r>
          </w:p>
          <w:p w14:paraId="4ED7EC8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переделан и будет готов 20 марта 1933 года, после чего станет на заводские испытания с нагнетателем.</w:t>
            </w:r>
          </w:p>
          <w:p w14:paraId="4C9AF7A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Предъявление на госиспытания – 1 августа 1933 года. Опоздание на 10 месяцев, из-за неудовлетворительной конструкции водяной рубашки и головок цилиндров.</w:t>
            </w:r>
          </w:p>
        </w:tc>
      </w:tr>
      <w:tr w:rsidR="004E10C1" w:rsidRPr="0044524F" w14:paraId="0DAB1A76" w14:textId="77777777">
        <w:tc>
          <w:tcPr>
            <w:tcW w:w="3969" w:type="dxa"/>
          </w:tcPr>
          <w:p w14:paraId="6A7DA63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типов мощных авиадизелей.</w:t>
            </w:r>
          </w:p>
        </w:tc>
        <w:tc>
          <w:tcPr>
            <w:tcW w:w="6487" w:type="dxa"/>
          </w:tcPr>
          <w:p w14:paraId="715D5DC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Установленные планом мощные авиадизели: Н1, Н-2 и Н-5 строятся на ряде заводов:</w:t>
            </w:r>
          </w:p>
          <w:p w14:paraId="25E342B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–опытный завод ЦИАМ</w:t>
            </w:r>
          </w:p>
          <w:p w14:paraId="1A82E23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Н-2 – завод № 26, им. Ворошилова, завод ЦИАМ, завод «Большевик»</w:t>
            </w:r>
          </w:p>
          <w:p w14:paraId="2A2CFDE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 завод № 26, завод № 24 и завод ЦИАМ</w:t>
            </w:r>
          </w:p>
          <w:p w14:paraId="1B15109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авиадизели запаздывают предъявлением на госиспытания:</w:t>
            </w:r>
          </w:p>
          <w:p w14:paraId="122A0E8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 на 5 месяцев (1 августа 1933 года вместо 1 марта 1933 года – из-за задержки изготовления литья на заводе ЦИАМ (сплошной брак литья, вследствие неналаженности процесса);</w:t>
            </w:r>
          </w:p>
          <w:p w14:paraId="727C282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Н-2 – предъявление на госиспытания 1 ноября 1933 года вместо 1 января 1933 года: опоздание против плана на 10 месяцев, вследствие затяжки с размещением заказа на разных заводах и отсутствию литья, с которым не справляется завод «Большевик»;</w:t>
            </w:r>
          </w:p>
          <w:p w14:paraId="201E766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 срок предъявления на госисрытания 1 августа 1932 года. Ожидаемый срок предъявления 1 ноября 1933 года. Опоздание на 15 месяцев, вследствие затяжки разработки проекта и задержки с размещением заказа в промышленности.</w:t>
            </w:r>
          </w:p>
          <w:p w14:paraId="4BB22E6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строится на заводе № 26, ЦИАМ и заводе № 24. Изготовление мотора задерживается литьем на заводе № 26, которое идет сплошным браком, благодаря неосвоенности процесса.</w:t>
            </w:r>
          </w:p>
        </w:tc>
      </w:tr>
      <w:tr w:rsidR="004E10C1" w:rsidRPr="0044524F" w14:paraId="2CA20DC3" w14:textId="77777777">
        <w:tc>
          <w:tcPr>
            <w:tcW w:w="3969" w:type="dxa"/>
          </w:tcPr>
          <w:p w14:paraId="7822C9B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мощным бензиновым двигателям считать первоочередной задачей постройку М-44, сосредоточив на этом все основные силы по мощным бензиновым двигателям.</w:t>
            </w:r>
          </w:p>
        </w:tc>
        <w:tc>
          <w:tcPr>
            <w:tcW w:w="6487" w:type="dxa"/>
          </w:tcPr>
          <w:p w14:paraId="69A0D80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М-44 – 1 июля 1933 года.</w:t>
            </w:r>
          </w:p>
          <w:p w14:paraId="5A8B817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строится на заводе ЦИАМ. Все детали в механической обработке.</w:t>
            </w:r>
          </w:p>
          <w:p w14:paraId="34F3A48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Начало заводских испытаний 1 мая 1933 года.</w:t>
            </w:r>
          </w:p>
          <w:p w14:paraId="01FB9C2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Срок предъявления на госиспытания может быть выдержан ЦИАМом (возможно опоздание на 2 месяца). </w:t>
            </w:r>
          </w:p>
        </w:tc>
      </w:tr>
      <w:tr w:rsidR="004E10C1" w:rsidRPr="0044524F" w14:paraId="284EE4C5" w14:textId="77777777">
        <w:tc>
          <w:tcPr>
            <w:tcW w:w="3969" w:type="dxa"/>
          </w:tcPr>
          <w:p w14:paraId="5FF6AEE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Прочие моторы.</w:t>
            </w:r>
          </w:p>
        </w:tc>
        <w:tc>
          <w:tcPr>
            <w:tcW w:w="6487" w:type="dxa"/>
          </w:tcPr>
          <w:p w14:paraId="15A0EC8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М-35 – срок предъявления на госиспытания по плану – 1 апреля 1933 года.</w:t>
            </w:r>
          </w:p>
          <w:p w14:paraId="599F90C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не строится по решению ЦИАМа: план РВС в этом пункте не выполняется.</w:t>
            </w:r>
          </w:p>
          <w:p w14:paraId="5981D492"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64C4BA4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М-54 (форсированный М-34). Срок предъявления по плану 1 мая 1933 году.</w:t>
            </w:r>
          </w:p>
          <w:p w14:paraId="6A2C374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строится на заводе № 24 (2 экземпляра). Будет готов 10 марта 1933 года.</w:t>
            </w:r>
          </w:p>
          <w:p w14:paraId="3D524D3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Госиспытания М-54 без нагнетателя 1 мая 1933 года. Вопрос с нагнетателем будет решен 1 сентября 1933 года.</w:t>
            </w:r>
          </w:p>
          <w:p w14:paraId="1968A1A1"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5E0D59E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 – срок предъявления на госиспытания по плану 1 августа 1932 года.</w:t>
            </w:r>
          </w:p>
          <w:p w14:paraId="413DF60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На заводских испытаниях выявлена неудовлетворительная конструкция упругой муфты передачи к импеллеру.</w:t>
            </w:r>
          </w:p>
          <w:p w14:paraId="0113B2C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Муфта переделана. Мотор проходит заводские испытания. Предъявление на госиспытания – 1 мая 1933 года.</w:t>
            </w:r>
          </w:p>
          <w:p w14:paraId="6BBF108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Опоздание на 9 месяцев из-за неудовлетворительных темпов доводки мотора на заводе № 29.</w:t>
            </w:r>
          </w:p>
          <w:p w14:paraId="1BEAE644"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1D90731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М-51 – прошел госиспытание (условно), обнаружена недостаточная прочность поршней. Переделанные поршни проходят специальные длительные испытания.</w:t>
            </w:r>
          </w:p>
          <w:p w14:paraId="499B9ED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Окончание испытаний поршней 10 марта 1933 года. Заключение по госиспытаниям – 20 марта 1933 года.</w:t>
            </w:r>
          </w:p>
          <w:p w14:paraId="72291FAD"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2EB128E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 внеплановый.</w:t>
            </w:r>
          </w:p>
          <w:p w14:paraId="5D7C20A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Построен на заводе № 29. Номинальная мощность – 630 л.с. Вес – 450 кг. Высотность – 4000 м. Воздушное охлаждение.</w:t>
            </w:r>
          </w:p>
          <w:p w14:paraId="7DFE947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Проходит заводские испытания. Предъявление на госиспытания – 1 мая 1933 года.</w:t>
            </w:r>
          </w:p>
          <w:p w14:paraId="2A92909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Нефтяные моторы Н-3 и Н-4 опаздывают:</w:t>
            </w:r>
          </w:p>
          <w:p w14:paraId="53C1D85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Н-3 будет предъявлен на госипытания 1 сентября 1933 года вместо 1 января 1933 года по плану.</w:t>
            </w:r>
          </w:p>
          <w:p w14:paraId="4E9508C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Опоздание на 8 месяцев, из-за затяжки проекта на 3 месяца и опоздания размещения заказа в промышленности.</w:t>
            </w:r>
          </w:p>
          <w:p w14:paraId="467F64B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Н-4 будет предъявлен на госиспытания 1 сентября 1933 года вместо 1 мая 1933 года по плану.</w:t>
            </w:r>
          </w:p>
          <w:p w14:paraId="204845F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Опоздание на 4 месяца, из-за затяжки размещения заказа в промышленности.</w:t>
            </w:r>
          </w:p>
          <w:p w14:paraId="0FB1852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Н-6 – не строится, из-за отсутствия производственной базы.</w:t>
            </w:r>
          </w:p>
        </w:tc>
      </w:tr>
      <w:tr w:rsidR="004E10C1" w:rsidRPr="0044524F" w14:paraId="75DECDB9" w14:textId="77777777">
        <w:tc>
          <w:tcPr>
            <w:tcW w:w="3969" w:type="dxa"/>
          </w:tcPr>
          <w:p w14:paraId="75AB0FB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 работы.</w:t>
            </w:r>
          </w:p>
        </w:tc>
        <w:tc>
          <w:tcPr>
            <w:tcW w:w="6487" w:type="dxa"/>
          </w:tcPr>
          <w:p w14:paraId="3E87AC03"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r>
      <w:tr w:rsidR="004E10C1" w:rsidRPr="0044524F" w14:paraId="6793A658" w14:textId="77777777">
        <w:tc>
          <w:tcPr>
            <w:tcW w:w="3969" w:type="dxa"/>
          </w:tcPr>
          <w:p w14:paraId="7F871BDA"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c>
          <w:tcPr>
            <w:tcW w:w="6487" w:type="dxa"/>
          </w:tcPr>
          <w:p w14:paraId="7D447EE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 переменного шага. Срок предъявления на госиспытания по плану – 1 сентября 1932 года.</w:t>
            </w:r>
          </w:p>
          <w:p w14:paraId="47C4E50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 построен и проходит летные испытания на самолете Р3 с мотором «Лоррен-Дитрих», винт показал удовлетворительные эксплуатационные данные и удовлетворительную надежность работы (прошел 72 часа).</w:t>
            </w:r>
          </w:p>
        </w:tc>
      </w:tr>
      <w:tr w:rsidR="004E10C1" w:rsidRPr="0044524F" w14:paraId="6279E3BB" w14:textId="77777777">
        <w:tc>
          <w:tcPr>
            <w:tcW w:w="3969" w:type="dxa"/>
          </w:tcPr>
          <w:p w14:paraId="26616586"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c>
          <w:tcPr>
            <w:tcW w:w="6487" w:type="dxa"/>
          </w:tcPr>
          <w:p w14:paraId="01807A3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Газовая турбина.</w:t>
            </w:r>
          </w:p>
          <w:p w14:paraId="38DD036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по плану 1 сентября 1932 года.</w:t>
            </w:r>
          </w:p>
          <w:p w14:paraId="11D7FFC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Ведутся экспериментальные работы: испытывается опытная модель турбины. Работа задерживается отсутствием производственной базы.</w:t>
            </w:r>
          </w:p>
          <w:p w14:paraId="267B47B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турбины на госиспытания установить не представляется возможным.</w:t>
            </w:r>
          </w:p>
        </w:tc>
      </w:tr>
      <w:tr w:rsidR="004E10C1" w:rsidRPr="0044524F" w14:paraId="09EB17A5" w14:textId="77777777">
        <w:tc>
          <w:tcPr>
            <w:tcW w:w="3969" w:type="dxa"/>
          </w:tcPr>
          <w:p w14:paraId="792270FF"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c>
          <w:tcPr>
            <w:tcW w:w="6487" w:type="dxa"/>
          </w:tcPr>
          <w:p w14:paraId="3955CE5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Паровая турбина (ГВФ).</w:t>
            </w:r>
          </w:p>
          <w:p w14:paraId="2BD9A212"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572B446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1 января 1933 года.</w:t>
            </w:r>
          </w:p>
          <w:p w14:paraId="31ED437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закончен. Заказ ращмещен в промышленности на ленинградских заводах. Постановка на заводские испытания 1 июля 1933 года.</w:t>
            </w:r>
          </w:p>
          <w:p w14:paraId="76432B9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Опоздание на 6-8 месяцев из-за отсутствия валюты и затяжки размещения заказа в промышленности.</w:t>
            </w:r>
          </w:p>
        </w:tc>
      </w:tr>
      <w:tr w:rsidR="004E10C1" w:rsidRPr="0044524F" w14:paraId="1FAF3462" w14:textId="77777777">
        <w:tc>
          <w:tcPr>
            <w:tcW w:w="3969" w:type="dxa"/>
          </w:tcPr>
          <w:p w14:paraId="1AF6D0D0"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c>
          <w:tcPr>
            <w:tcW w:w="6487" w:type="dxa"/>
          </w:tcPr>
          <w:p w14:paraId="09B5741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Бесклапанный двигатель.</w:t>
            </w:r>
          </w:p>
          <w:p w14:paraId="11323BA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1 июля 1933 года.</w:t>
            </w:r>
          </w:p>
          <w:p w14:paraId="4F26D46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проекта ВВА.</w:t>
            </w:r>
          </w:p>
        </w:tc>
      </w:tr>
      <w:tr w:rsidR="004E10C1" w:rsidRPr="0044524F" w14:paraId="05F2060F" w14:textId="77777777">
        <w:tc>
          <w:tcPr>
            <w:tcW w:w="3969" w:type="dxa"/>
          </w:tcPr>
          <w:p w14:paraId="1F795996"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c>
          <w:tcPr>
            <w:tcW w:w="6487" w:type="dxa"/>
          </w:tcPr>
          <w:p w14:paraId="0D6E9BF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Паровая турбина ВВС (внеплановая).</w:t>
            </w:r>
          </w:p>
          <w:p w14:paraId="67634A92"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6730A11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агрегата мощностью 15000 л.с., высотность 5000 м, удельный вес 1,2 кг на л.с.</w:t>
            </w:r>
          </w:p>
          <w:p w14:paraId="4FA02E2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1 июня 1934 года.</w:t>
            </w:r>
          </w:p>
          <w:p w14:paraId="4F18006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Разрабатывается экспериментальная паровая турбина.</w:t>
            </w:r>
          </w:p>
          <w:p w14:paraId="66D49F5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закончен на 50%. Производственной базой паровая турбина обеспечена.</w:t>
            </w:r>
          </w:p>
        </w:tc>
      </w:tr>
    </w:tbl>
    <w:p w14:paraId="30DF101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выполнении решений КО об опытном самолетостроении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78"/>
        <w:gridCol w:w="8278"/>
      </w:tblGrid>
      <w:tr w:rsidR="004E10C1" w:rsidRPr="0044524F" w14:paraId="75868A9B" w14:textId="77777777">
        <w:tc>
          <w:tcPr>
            <w:tcW w:w="2178" w:type="dxa"/>
          </w:tcPr>
          <w:p w14:paraId="787832D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КО от 4 июля 1932 года по опытному самолето- моторостроению.</w:t>
            </w:r>
          </w:p>
        </w:tc>
        <w:tc>
          <w:tcPr>
            <w:tcW w:w="8278" w:type="dxa"/>
          </w:tcPr>
          <w:p w14:paraId="36444E8F"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r>
      <w:tr w:rsidR="004E10C1" w:rsidRPr="0044524F" w14:paraId="04F3EB3C" w14:textId="77777777">
        <w:tc>
          <w:tcPr>
            <w:tcW w:w="2178" w:type="dxa"/>
          </w:tcPr>
          <w:p w14:paraId="4580412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типов вполне современных истребителей одно, двух и многоместных.</w:t>
            </w:r>
          </w:p>
        </w:tc>
        <w:tc>
          <w:tcPr>
            <w:tcW w:w="8278" w:type="dxa"/>
          </w:tcPr>
          <w:p w14:paraId="6450AE9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Многоместный истребитель МИ3-2М34 – срок выхода на аэродром установленный КО 1 января 1933 года. Постановление не выполнено. Самолет в производстве почти закончен. Выход его на аэродром ожидается в последней декаде марта.</w:t>
            </w:r>
          </w:p>
          <w:p w14:paraId="0647AC6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Невыполнение постановления объясняется задержкой с выпуском моторов М34. Летные данные самолета не будут удовлетворять утвержденным КО ввиду установки на самолет мотора М34 без нагнетателя.</w:t>
            </w:r>
          </w:p>
          <w:p w14:paraId="06ACDBEF"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307E195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Двухместный истребитель пушечный ДИП 2М34. Срок установлен КО 1 октября 1933 года, по ходу работ срок будет выдержан.</w:t>
            </w:r>
          </w:p>
          <w:p w14:paraId="70A0182B"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48CC0E7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Двухместный истребитель пушечный ДИ6 с мотором М32 или М38. Срок выпуска установленный КО 1 июня 1933 года. В настоящее время ведется проработка схемы самолета в двух вариантах под моторы М32 и М38. Ввиду того, что заводские испытания этих моторов еще до настоящего времени не закончены, самолет является необеспеченным моторами и срок его выпуска будет сорван.</w:t>
            </w:r>
          </w:p>
          <w:p w14:paraId="575424AD"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520FF03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 И-13 под мотор М32. Срок выпуска по постановлению КО 1 июня 1933 года. Состояние заводских испытаний мотора и количество обнаруженных в нем дефектов указывают на то, что к 1 июня мотор М-32 не сможет быть установлен на самолет, что приведет к срыву срока его выпуска. В настоящее время ведется проработка схемы самолета.</w:t>
            </w:r>
          </w:p>
          <w:p w14:paraId="487E5E7E"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32FBE7A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 И-14 под мотор М38. Срок выпуска по постановлению КО 15 марта 1933 года. Ввиду окончания заводских испытаний мотора М-38 первый экземпляр самолета строится под заграничный мотор Бристоль-Меркур. Проектирование самолета закончено. В постройке находятся: крылья, фюзеляж и оперение. Срок выпуска самолета намечается на май 1933 года. Невыполнение срока, поставленного КО объясняется отсутствием мотора и недостаточными темпами работы ЦАГИ.</w:t>
            </w:r>
          </w:p>
        </w:tc>
      </w:tr>
      <w:tr w:rsidR="004E10C1" w:rsidRPr="0044524F" w14:paraId="2FC96072" w14:textId="77777777">
        <w:tc>
          <w:tcPr>
            <w:tcW w:w="2178" w:type="dxa"/>
          </w:tcPr>
          <w:p w14:paraId="1C941B4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Форсирование работ по постройке образцов тяжелого бомбардировщика (ТБ-4).</w:t>
            </w:r>
          </w:p>
        </w:tc>
        <w:tc>
          <w:tcPr>
            <w:tcW w:w="8278" w:type="dxa"/>
          </w:tcPr>
          <w:p w14:paraId="78E7AC1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бомбардировщик ТБ-6. Срок выпуска по постановлению КО 1 декабря 1934 года. Закончена проработка схемы самолета. Ведется проектирование отдельных деталей конструкции. Ввиду неясности с качеством мотора М-44 и нефтяных, проектирование ведется под 12 моторов М-34. Срок может быть выдержан.</w:t>
            </w:r>
          </w:p>
          <w:p w14:paraId="6AC1CFC3"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284C4AC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десантный самолет Д-1 10М-34. Срок выпуска по плану – 1 июня 1933 года. Проектирование самолета закончено. Ведется испытание передач к винтам. Остается нерешенным вопрос о производственной базе для постройки самолетов. Отсутствие производственной базы уже в настоящее время делает выпуск самолета к 1 июня 1933 года невозможным.</w:t>
            </w:r>
          </w:p>
          <w:p w14:paraId="11DD6D17"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76AED90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ТБ-4 6М-34.</w:t>
            </w:r>
          </w:p>
          <w:p w14:paraId="2CC9D5C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 ноября 1932 года. Указанный срок ЦАГИ не выдержан.. В настоящее время самолет перевезен на аэродром, где производится его сборка. Первый полет самолета ожидается не ранее конца марта. Срыв срока объясняется с одной стороны задержкой с предоставлением ЦАГИ мотора М-34, с другой исключительно слабыми темпами, проявленными со стороны ЦИАМа и ЦАГИ в отношении доводки винтомоторной группы самолета.</w:t>
            </w:r>
          </w:p>
          <w:p w14:paraId="561B68D8"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749204B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ТБ-4 6М-34Р (головной).</w:t>
            </w:r>
          </w:p>
          <w:p w14:paraId="20CC40BE"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56DC858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 июня 1933 года. Самолет находится в постройке в ЦАГИ. Темпы постройки не гарантируют указанного выше срока его выпуска.</w:t>
            </w:r>
          </w:p>
          <w:p w14:paraId="64FB50FA"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185E64D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бомбардировщик К-7 7М-34.</w:t>
            </w:r>
          </w:p>
          <w:p w14:paraId="784FFDD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 мая 1933 года. Постройку самолета ведет КБ Калинина. В настоящее время постройка полностью развернута. Однако следует считать вероятным опоздание выхода самолета против срока стоящего в плане – на 3-4 месяца, объясняющееся в основном, трудностями, встретившимися у КБ при термической обработке и сварке хромомолибденовых труб.</w:t>
            </w:r>
          </w:p>
        </w:tc>
      </w:tr>
      <w:tr w:rsidR="004E10C1" w:rsidRPr="0044524F" w14:paraId="1C3A9A1E" w14:textId="77777777">
        <w:tc>
          <w:tcPr>
            <w:tcW w:w="2178" w:type="dxa"/>
          </w:tcPr>
          <w:p w14:paraId="5B85B25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постройки остальных опытных сухопутных самолетов, стоящих в плане, утвержденном КО 4 июля 1932 года.</w:t>
            </w:r>
          </w:p>
        </w:tc>
        <w:tc>
          <w:tcPr>
            <w:tcW w:w="8278" w:type="dxa"/>
          </w:tcPr>
          <w:p w14:paraId="33173435"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r>
      <w:tr w:rsidR="004E10C1" w:rsidRPr="0044524F" w14:paraId="7CD39BD7" w14:textId="77777777">
        <w:tc>
          <w:tcPr>
            <w:tcW w:w="2178" w:type="dxa"/>
          </w:tcPr>
          <w:p w14:paraId="0F37219B"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c>
          <w:tcPr>
            <w:tcW w:w="8278" w:type="dxa"/>
          </w:tcPr>
          <w:p w14:paraId="5110ED5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химический боевик Х1 2М-34. По плану, утвержденному КО самолет строит ГУГВФ со сроком выпуска 1 августа 1933 года. В настоящее время ведется проработка схемы самолета. Постройка самолета с финансовой стороны ГУГВФом не обеспечена. ГУГВФ считает срок выпуска, стоящий в плане невыполнимым и гарантирует выпуск самолета на 1 год позднее.</w:t>
            </w:r>
          </w:p>
          <w:p w14:paraId="116DAE4C"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37C459F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 сухопутный К-1 2М-34.</w:t>
            </w:r>
          </w:p>
          <w:p w14:paraId="02BC806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Срок выпуска по плану – 1 октября 1933 года. В настоящее время проектирование самолета почти закончено. С точки зрения постройки самолетов, срок его выпуска может безусловно быть выдержан. Однако, ввиду того, что самолет для повышения его летных качеств проектируется под 2 мотора М-32, задержка с предоставлением ЦАГИ этих моторов может сорвать выпуск самолета.</w:t>
            </w:r>
          </w:p>
          <w:p w14:paraId="14977658"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11A3CFE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разведчик ЛР М-34.</w:t>
            </w:r>
          </w:p>
          <w:p w14:paraId="546BE22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самолета по плану – 1 марта 1933 года. В настоящее время самолет спроектирован и находится в постройке. Окончание последнего намечено на июнь 1933 года. Срыв срока, установленного КО объясняется в основном тем, что ЦАГИ развернуло проектирование самолетов до предъявления на утверждение ВВС его макета, благодаря чему 2-х месячная работа КБ над неприемлемой для ВВС схемой самолета оказалась напрасной.</w:t>
            </w:r>
          </w:p>
          <w:p w14:paraId="49CEE694"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2170866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Войсковой самолет ВС2 2М-52.</w:t>
            </w:r>
          </w:p>
          <w:p w14:paraId="74E0A73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самолета по плану – 1 июля 1933 года. Самолет проектируется КБ Калинина. В настоящее время проводится проработка схемы самолета. Ввиду занятости КБ самолетом К-7, работа ведется медленными темпами, не обеспечивающими выдерживание срока выпуска самолета, установленного КО.</w:t>
            </w:r>
          </w:p>
          <w:p w14:paraId="697C7AC4"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677EA69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Переходный самолет П3 М-52.</w:t>
            </w:r>
          </w:p>
          <w:p w14:paraId="00CAC71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 мая 1933 года. Согласно постановления КО постройка самолета возложена на ГУГВФ. Работа по самолетам ГУГВФом, ссылающимся на отсутствие средств не ведется, несмотря на ряд требований о разворачивании работы со стороны УВВС срок выпуска самолетов, стоящий в плане выдержан не будет.</w:t>
            </w:r>
          </w:p>
          <w:p w14:paraId="7E440F45"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140AD57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самолет У-3 М-48.</w:t>
            </w:r>
          </w:p>
          <w:p w14:paraId="7EAAE30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самолета по плану – 1 марта 1933 года. Проектирование самолета было ГУАПом поручено ХАИ. В настоящее время с него задание снимается и передается заводу № 23. Благодаря этому неизбежно значительное опоздание выхода самолета против срока, стоящего в плане.</w:t>
            </w:r>
          </w:p>
        </w:tc>
      </w:tr>
      <w:tr w:rsidR="004E10C1" w:rsidRPr="0044524F" w14:paraId="781342A3" w14:textId="77777777">
        <w:tc>
          <w:tcPr>
            <w:tcW w:w="2178" w:type="dxa"/>
          </w:tcPr>
          <w:p w14:paraId="5D0E785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Экспериментальные сухопутные самолеты.</w:t>
            </w:r>
          </w:p>
        </w:tc>
        <w:tc>
          <w:tcPr>
            <w:tcW w:w="8278" w:type="dxa"/>
          </w:tcPr>
          <w:p w14:paraId="0F2ACD51"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r>
      <w:tr w:rsidR="004E10C1" w:rsidRPr="0044524F" w14:paraId="7B6998C6" w14:textId="77777777">
        <w:tc>
          <w:tcPr>
            <w:tcW w:w="2178" w:type="dxa"/>
          </w:tcPr>
          <w:p w14:paraId="15F0597C"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c>
          <w:tcPr>
            <w:tcW w:w="8278" w:type="dxa"/>
          </w:tcPr>
          <w:p w14:paraId="40A59DA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Высотный самолет, он же рекордный на высоту.</w:t>
            </w:r>
          </w:p>
          <w:p w14:paraId="2C9EAF1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 апреля 1933 года. в настоящее время заканчивается проектирование самолета и он частично находится в постройке. Срок выпуска самолета определяется предоставлением ЦАГИ мотора М-34 с нагнетателем. Заводские испытания моторов М-34 с нагнетателем до высоты 5000 метров показали ряд крупных дефектов двухступенчатого нагнетателя, почему необходимо констатировать неизбежность опоздания выпуска самолета на 5-7 месяцев.</w:t>
            </w:r>
          </w:p>
          <w:p w14:paraId="5EAFFCDD"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20849FA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Рекордный самолет на дальность.</w:t>
            </w:r>
          </w:p>
          <w:p w14:paraId="1AEC81D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август 1932 года. В настоящее время самолет находится в постройке. Выпуск его н аэродром намечен на май 1933 года. Срыв выпуска самолета в срок, установленный КО, объясняется неполучением в течение лета 1932 года ЦАГИ мотора М-34, что в свою очередь привело к резкому падению темпа работ по постройке самолета.</w:t>
            </w:r>
          </w:p>
          <w:p w14:paraId="7E3DB7DE"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20C3CAA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 летающее крыло с 2 моторами МП.</w:t>
            </w:r>
          </w:p>
          <w:p w14:paraId="1241CD5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 – 1 октября 1933 года. Ввиду благоприятных результатов испытаний летающего крыла с мотором Люцифер – 100 л.с. – ГУАП предлагает вместо постройки летающего крыла с 2 моторами М-11 – построить летающее крыло с двумя более мощными моторами (400-500 л.с.) со сроком выпуска самолета в начале 1934 года. Настоящее предложение следует считать приемлемым.</w:t>
            </w:r>
          </w:p>
          <w:p w14:paraId="016E912B"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09C3D1F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особым типом разрезных крыльев (системы Кричевского). Срок выпуска по плану – 1 декабря 1932 года. Самолет в настоящее время находится в постройке. Его выпуск ожидается в мае 1933 года. Невыполнение срока стоящего в плане объясняется недостаточным вниманием со стороны ЦАГИ к его постройке.</w:t>
            </w:r>
          </w:p>
          <w:p w14:paraId="385A1B04"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73CB2F3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ВГ-2.</w:t>
            </w:r>
          </w:p>
          <w:p w14:paraId="54DF79D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 июля 1932 года. Геликоптер при его испытаниях показал летные данные, далеко превосходящие достигнутые аналогичными заграничными геликоптерами. Основной дефект геликоптера – недостаточная устойчивость, в настоящее время устраняется путем постройки геликоптера с модифицированным винтом. Срок выпуска модифицированного геликоптера ВГ-2 намечен на июнь 1933 года.</w:t>
            </w:r>
          </w:p>
          <w:p w14:paraId="1C5323AD"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3C8C582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мотором М-11.</w:t>
            </w:r>
          </w:p>
          <w:p w14:paraId="6F1E7B6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 ноября 1932 года. Постройка автожира в настоящее время заканчивается. Срыв срока выпуска автожира, поставленного КО объясняется медленными темпами его постройки в ЦАГИ.</w:t>
            </w:r>
          </w:p>
          <w:p w14:paraId="7F70F0D6"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2AD43A7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мотором М-22.</w:t>
            </w:r>
          </w:p>
          <w:p w14:paraId="2AD33F9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 января 1933 года.</w:t>
            </w:r>
          </w:p>
          <w:p w14:paraId="053B80B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автожира в настоящее время только разворачивается. Окончив ее намечается на конец II квартала 1933 года. Срыв срока выпуска автожира объясняется недостаточными темпами его постройки в ЦАГИ.</w:t>
            </w:r>
          </w:p>
          <w:p w14:paraId="56C4AAF1"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51DEB29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реактивным двигателем.</w:t>
            </w:r>
          </w:p>
          <w:p w14:paraId="67756EC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Работу ведет Газодинамическая лаборатория. Создание самолета реактивным двигателем в основном зависит от успешности решения вопроса с постройкой самого реактивного двигателя. Один из образцов таких двигателей проходит в настоящее время исследовательские испытания.</w:t>
            </w:r>
          </w:p>
          <w:p w14:paraId="1F274C57"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41A8781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раздвижными крыльями (У3 бис М-48).</w:t>
            </w:r>
          </w:p>
          <w:p w14:paraId="771456C2"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62513E1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 – 1 мая 1933 года согласно постановления КО постройке этого самолета возложена на ГУГВФ, однако последним работы по самолету не ведутся. Отказ от начала работ по самолету – ГУГВФ объясняется отсутствием денежных средств.</w:t>
            </w:r>
          </w:p>
          <w:p w14:paraId="61C81507"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53DBA67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нефтяным двигателем Пакард.</w:t>
            </w:r>
          </w:p>
          <w:p w14:paraId="2C8E769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постановления КО работа по установке мотора проводится ГУГВФом. Последним настоящая работа не производится.</w:t>
            </w:r>
          </w:p>
          <w:p w14:paraId="7068DB71"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01B774A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Таран.</w:t>
            </w:r>
          </w:p>
          <w:p w14:paraId="760365E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самолету не производится, так как тараненье неприятельского самолета может быть произведено с использованием нормального истребителя, имеющего специальные подвески (предложение инженера Чернышева). Производство спецподвески проводится на заводе № 22.</w:t>
            </w:r>
          </w:p>
        </w:tc>
      </w:tr>
      <w:tr w:rsidR="004E10C1" w:rsidRPr="0044524F" w14:paraId="065B3CB9" w14:textId="77777777">
        <w:tc>
          <w:tcPr>
            <w:tcW w:w="2178" w:type="dxa"/>
          </w:tcPr>
          <w:p w14:paraId="1D16E1E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Модификация самолетов.</w:t>
            </w:r>
          </w:p>
        </w:tc>
        <w:tc>
          <w:tcPr>
            <w:tcW w:w="8278" w:type="dxa"/>
          </w:tcPr>
          <w:p w14:paraId="11E481FB"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r>
      <w:tr w:rsidR="004E10C1" w:rsidRPr="0044524F" w14:paraId="0CDB74B3" w14:textId="77777777">
        <w:tc>
          <w:tcPr>
            <w:tcW w:w="2178" w:type="dxa"/>
          </w:tcPr>
          <w:p w14:paraId="75354412"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c>
          <w:tcPr>
            <w:tcW w:w="8278" w:type="dxa"/>
          </w:tcPr>
          <w:p w14:paraId="17814F9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мотора М-34 на самолете ТБ-3.</w:t>
            </w:r>
          </w:p>
          <w:p w14:paraId="56D720C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 – 1 декабря 1932 года. Первый полет самолета ТБ-3 М-34 произведен 8 марта 1933 года. Срыв срока выпуска самолета объясняется отчасти поздним представлением ЦАГИ М-34 и главное исключительно медленными темпами работы ЦИАМ и ЦАГИ по доводке винтомоторной группы самолетов.</w:t>
            </w:r>
          </w:p>
          <w:p w14:paraId="16126D95"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5C02B27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мотора М-34 на самолет Р-5.</w:t>
            </w:r>
          </w:p>
          <w:p w14:paraId="6E844D3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 – 1 июля 1932 года выполнен с опозданием на 1 месяц.</w:t>
            </w:r>
          </w:p>
          <w:p w14:paraId="6492878D"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646706F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М-34 – подготовка эталона машины.</w:t>
            </w:r>
          </w:p>
          <w:p w14:paraId="5F82E3E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 – 15 октября 1932 года. Срок не выполнен, до настоящего времени работа по доводке винтомоторной группы самолета не закончена. Срыв срока объясняется недостаточными темпами работы ЦИАМ и ЦАГИ в указанном направлении.</w:t>
            </w:r>
          </w:p>
          <w:p w14:paraId="3B6F1620"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2FB09C5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Пушечный истребитель И2 2М-22 постройки второго модифицированного экземпляра.</w:t>
            </w:r>
          </w:p>
          <w:p w14:paraId="256ACA3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 – 1 ноября 1932 года. Самолет находится в постройке. Выпуск намечен на II квартал 1933 года. Срыв срока, стоящего в плане объясняется с одной стороны несвоевременной подачей ЦАГИ от завода № 8 стальной трубы к пушке, с другой стороны – слабыми темпами постройки самолета.</w:t>
            </w:r>
          </w:p>
        </w:tc>
      </w:tr>
      <w:tr w:rsidR="004E10C1" w:rsidRPr="0044524F" w14:paraId="2FDDDA10" w14:textId="77777777">
        <w:tc>
          <w:tcPr>
            <w:tcW w:w="2178" w:type="dxa"/>
          </w:tcPr>
          <w:p w14:paraId="5A18A1A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Морские самолеты.</w:t>
            </w:r>
          </w:p>
        </w:tc>
        <w:tc>
          <w:tcPr>
            <w:tcW w:w="8278" w:type="dxa"/>
          </w:tcPr>
          <w:p w14:paraId="7DFEB7CB"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r>
      <w:tr w:rsidR="004E10C1" w:rsidRPr="0044524F" w14:paraId="5F55CF64" w14:textId="77777777">
        <w:tc>
          <w:tcPr>
            <w:tcW w:w="2178" w:type="dxa"/>
          </w:tcPr>
          <w:p w14:paraId="6D03604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типов морских лодочных самолетов.</w:t>
            </w:r>
          </w:p>
        </w:tc>
        <w:tc>
          <w:tcPr>
            <w:tcW w:w="8278" w:type="dxa"/>
          </w:tcPr>
          <w:p w14:paraId="3591035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 6М-34. Морской крейсер, бомбардировщик и торпедоносец.</w:t>
            </w:r>
          </w:p>
          <w:p w14:paraId="173A1D8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госиспытание 1 декабря 1933 года. Находится в постройке, запаздывает, фактический срок предъявления следует ожидать не ранее II квартала 1934 года.</w:t>
            </w:r>
          </w:p>
          <w:p w14:paraId="2B8AFC9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Макет самолета до сего времени не предъявлен и выполняется уже в течение 6 месяцев. При обсуждении макета может выявиться надобность в переделках, проведение которых отодвинет срок предъявления на госиспытание. Причина запаздывания готовности макета недостаточные темпы работ и недостаточное внимание к объекту строительства со стороны начальника КОСОС ЦАГИ (объекты морских самолетов идут по второй очереди в отношении сухопутных).</w:t>
            </w:r>
          </w:p>
          <w:p w14:paraId="0E07EF37"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6170CEB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МДР-3 бис 3М-34. Морской дальний разведчик (модификация самолета МДР3 4М-17).</w:t>
            </w:r>
          </w:p>
          <w:p w14:paraId="3FB75C75"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7862D8C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госиспытание по плану строительства не указан.</w:t>
            </w:r>
          </w:p>
          <w:p w14:paraId="032265A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в течение 7-ми месяцев не представляет летно-тактических данных самолетов, каковые могут быть получены из условия оставления старой лодки у модифицированного самолета.</w:t>
            </w:r>
          </w:p>
          <w:p w14:paraId="59A306D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ВВС в силу затягивания сроков со стороны ЦАГИ предъявил последнему свои технические требования без согласования их с начальником КОСОС ЦАГИ Туполевым.</w:t>
            </w:r>
          </w:p>
          <w:p w14:paraId="5E4A6F6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представления на госиспытания ЦАГИ не указывал, по состоянию работы этот срок – ориентировочно конец 1933 года. Причины задержки в ходе строительства данного объекта:</w:t>
            </w:r>
          </w:p>
          <w:p w14:paraId="689F9DB9" w14:textId="77777777" w:rsidR="007E5FA7" w:rsidRPr="0044524F" w:rsidRDefault="007E5FA7"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В течение трех месяцев ЦАГИ отклоняло требования НИИ о модификации самолетов, предлагая новый образец.</w:t>
            </w:r>
          </w:p>
          <w:p w14:paraId="4E72B8F8" w14:textId="77777777" w:rsidR="007E5FA7" w:rsidRPr="0044524F" w:rsidRDefault="007E5FA7"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Недостаточность внимания со стороны начальника КОСОС ЦАГИ к данному объекту, выразившееся в том, что несмотря на подготовленность материала по основным вопросам модифицированного типа, решение задерживалось в течение почти 2-х месяцев.</w:t>
            </w:r>
          </w:p>
          <w:p w14:paraId="222ED81D"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7A25981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МБР5 М34. Морской ближний разведчик – Амфибия.</w:t>
            </w:r>
          </w:p>
          <w:p w14:paraId="0F48961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 1 августа 1933 года. Начальник ГУГВФа отказался от постройки самолета в силу слабости конструкторской и производственной базы и отсутствия денежных средств.</w:t>
            </w:r>
          </w:p>
          <w:p w14:paraId="6EB3451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настоящему моменту НИИ ВВС получено предварительное согласие начальника КОСОС ЦАГИ Туполева не принятие к постройке самолета, в связи с выделением из морской бригады КОСОС ЦАГИ отдельной бригады легких гидросамолетов.</w:t>
            </w:r>
          </w:p>
          <w:p w14:paraId="6E6DDDB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Вновь организованной бригадой ведется разработка предварительного эскиза самолета. Ввиду того, что поставленные планом летно-технические требования технически (при отсутствии опыта по Амфибиям) трудно выполнимы, требуют варианта с 2 моторами (2М-34НР) с общим полетным весом 6,5 тонн, предлагаются изменения в технических требованиях, имеющие целью технически облегчить задачу и привести к одномоторному самолету с полетным весом в 3,5 тонн. Изменения в летно-тактических данных, утвержденных планом, выражаются только:</w:t>
            </w:r>
          </w:p>
          <w:p w14:paraId="07E094F9" w14:textId="77777777" w:rsidR="007E5FA7" w:rsidRPr="0044524F" w:rsidRDefault="007E5FA7"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Снятие сбрасываемого груза (бомб) в нормальном варианте в количестве 100 кг.</w:t>
            </w:r>
          </w:p>
          <w:p w14:paraId="4DBFCAEE" w14:textId="77777777" w:rsidR="007E5FA7" w:rsidRPr="0044524F" w:rsidRDefault="007E5FA7"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В принятии второй огневой точки в счет перегрузки.</w:t>
            </w:r>
          </w:p>
          <w:p w14:paraId="51D8E85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постройки и предъявления на госиспытания следует ожидать к 1 февраля 1934 года.</w:t>
            </w:r>
          </w:p>
          <w:p w14:paraId="0955862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задержки:</w:t>
            </w:r>
          </w:p>
          <w:p w14:paraId="31086361" w14:textId="77777777" w:rsidR="007E5FA7" w:rsidRPr="0044524F" w:rsidRDefault="007E5FA7"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ab/>
              <w:t>Отсутствие технически сильной конструкторской организации.</w:t>
            </w:r>
          </w:p>
          <w:p w14:paraId="29D95895" w14:textId="77777777" w:rsidR="007E5FA7" w:rsidRPr="0044524F" w:rsidRDefault="007E5FA7"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r w:rsidRPr="0044524F">
              <w:rPr>
                <w:rFonts w:ascii="Times New Roman" w:hAnsi="Times New Roman"/>
                <w:color w:val="000000" w:themeColor="text1"/>
                <w:sz w:val="16"/>
                <w:szCs w:val="16"/>
              </w:rPr>
              <w:tab/>
              <w:t>Первоначальный отказ ЦАГИ принять к постройке самолет деревянной конструкции.</w:t>
            </w:r>
          </w:p>
          <w:p w14:paraId="12280587"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2468C4C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СПЛ М-48 самолет подводной лодки (базирование и хранение на подводной лодке), назначение – разведка.</w:t>
            </w:r>
          </w:p>
          <w:p w14:paraId="625159E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 1 января 1933 года. Проектирование и постройка приняты НИИ ГУГВФ. На постройку варианта из дерева запрошен отпуск 104000 рублей для субсидирования НИИ ГУГВФ по исполнительной смете. Ожидается предъявление на госиспытания к 1 мая 1933 года.</w:t>
            </w:r>
          </w:p>
          <w:p w14:paraId="65F411A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задержки: увязка технических требований с данными проектируемой подводной лодки со стороны УВМС.</w:t>
            </w:r>
          </w:p>
        </w:tc>
      </w:tr>
      <w:tr w:rsidR="004E10C1" w:rsidRPr="0044524F" w14:paraId="796F570B" w14:textId="77777777">
        <w:tc>
          <w:tcPr>
            <w:tcW w:w="2178" w:type="dxa"/>
          </w:tcPr>
          <w:p w14:paraId="7A02111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Модификация самолетов, находящихся на вооружении.</w:t>
            </w:r>
          </w:p>
        </w:tc>
        <w:tc>
          <w:tcPr>
            <w:tcW w:w="8278" w:type="dxa"/>
          </w:tcPr>
          <w:p w14:paraId="3C573A96"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r>
      <w:tr w:rsidR="004E10C1" w:rsidRPr="0044524F" w14:paraId="26BCF0C5" w14:textId="77777777">
        <w:tc>
          <w:tcPr>
            <w:tcW w:w="2178" w:type="dxa"/>
          </w:tcPr>
          <w:p w14:paraId="3F6B36EF"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c>
          <w:tcPr>
            <w:tcW w:w="8278" w:type="dxa"/>
          </w:tcPr>
          <w:p w14:paraId="0F27451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2М-17. Установка на поплавки сухопутного самолета.</w:t>
            </w:r>
          </w:p>
          <w:p w14:paraId="709179A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 1 ноября 1932 года. Самолет предъявлен на госиспытания 9 декабря 1932 года, испытание не закончено вследствие двухкратной поломки винтов, требуется изготовление металлических винтов. В протекших испытаниях показал сравнительно небольшое ухудшение летных качеств против сухопутного образца. Опоздание по сроку предъявления объясняется: отсутствием достаточного внимания со стороны КОСОС ЦАГИ.</w:t>
            </w:r>
          </w:p>
          <w:p w14:paraId="17F4419A"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10856D4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С62 бис М-34. Установка на самолет нового типа мотора для повышения летных качеств.</w:t>
            </w:r>
          </w:p>
          <w:p w14:paraId="69BD85A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госиспытания – 1 января 1933 года. В качестве макета установка была выполнена на лодке самолета С62 бис в конце января 1933 года, что показало необходимость конструктивных переделок (установка направлена на завод № 31 для осуществления на готовом самолете). Ожидаемый срок предъявления самолета 1 мая 1933 года. Запоздание объясняется задержкой в представлении мотора и недостаточными темпами работы КОСОС ЦАГИ.</w:t>
            </w:r>
          </w:p>
        </w:tc>
      </w:tr>
      <w:tr w:rsidR="004E10C1" w:rsidRPr="0044524F" w14:paraId="2B2413F3" w14:textId="77777777">
        <w:tc>
          <w:tcPr>
            <w:tcW w:w="2178" w:type="dxa"/>
          </w:tcPr>
          <w:p w14:paraId="396D89A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Разрезные крылья.</w:t>
            </w:r>
          </w:p>
        </w:tc>
        <w:tc>
          <w:tcPr>
            <w:tcW w:w="8278" w:type="dxa"/>
          </w:tcPr>
          <w:p w14:paraId="3A460469"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r>
      <w:tr w:rsidR="004E10C1" w:rsidRPr="0044524F" w14:paraId="37FDAE47" w14:textId="77777777">
        <w:tc>
          <w:tcPr>
            <w:tcW w:w="2178" w:type="dxa"/>
          </w:tcPr>
          <w:p w14:paraId="221E290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от 15 июля 1931 года</w:t>
            </w:r>
          </w:p>
          <w:p w14:paraId="7A18733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 б «Приобрести у английской фирмы </w:t>
            </w:r>
            <w:r w:rsidRPr="0044524F">
              <w:rPr>
                <w:rFonts w:ascii="Times New Roman" w:hAnsi="Times New Roman"/>
                <w:color w:val="000000" w:themeColor="text1"/>
                <w:sz w:val="16"/>
                <w:szCs w:val="16"/>
              </w:rPr>
              <w:lastRenderedPageBreak/>
              <w:t>Хейндлей Педж лиценз на разрезные крылья».</w:t>
            </w:r>
          </w:p>
          <w:p w14:paraId="1707F87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от 16 мая 1932 года</w:t>
            </w:r>
          </w:p>
          <w:p w14:paraId="27D4BD9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9 «Обязать Глававиапром всемерно форсировать опытные работы по разрезным крыльям, указав на совершенно неудовлетворительные сроки окончания этих работ, предусмотренные планом».</w:t>
            </w:r>
          </w:p>
          <w:p w14:paraId="2779E5B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КО от 25 июля 1932 года</w:t>
            </w:r>
          </w:p>
          <w:p w14:paraId="0A6F004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в «Считать недостаточным развитие опытных работ ГУАП по разрезным крыльям. Заслушать вопрос вновь на КО через месяц».</w:t>
            </w:r>
          </w:p>
        </w:tc>
        <w:tc>
          <w:tcPr>
            <w:tcW w:w="8278" w:type="dxa"/>
          </w:tcPr>
          <w:p w14:paraId="5F6AEA0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Во исполнение постановления СТО и КО ЦАГИ выполнено нижеследующее:</w:t>
            </w:r>
          </w:p>
          <w:p w14:paraId="23A1E66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1931 года был снабжен автоматическими предкрылками самолет И4. Установка автоматических предкрылков улучшила управляемость самолета на малых скоростях, но как и следовало ожидать не понизило его посадочную скорость. Поскольку серийная постройка самолетов И4 в 1931 году не производилась, указанная работа в ЦАГИ являлась экспериментальной и не была введена, ввиду сложности переделок в построенные самолеты.</w:t>
            </w:r>
          </w:p>
          <w:p w14:paraId="151052D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лету 1932 года ЦАГИ установил предкрылки и закрылки на самолете Р5 М-17. Испытание этого самолета в НИИ ВВС показало, что хотя посадочная скорость самолета, благодаря установке разрезных крыльев была уменьшена на 15-20%, однако летные данные самолета ухудшились и сама конструкция разрезных крыльев обладала рядом крупных дефектов, благодаря чему построенный самолет Р5 с разрезными крыльями не мог служить образцом для серийной постройки таких самолетов.</w:t>
            </w:r>
          </w:p>
          <w:p w14:paraId="2E47952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испытаний самолета Р5 с разрезными крыльями ЦАГИ обязался к 1 ноября 1932 года построить второй экземпляр Р5 с разрезными крыльями, в котором должны были быть устранены дефекты, обнаруженные на первом экземпляре. Указанный самолет был построен не к 1 ноября 1932 года, а к 1 января 1933 года.</w:t>
            </w:r>
          </w:p>
          <w:p w14:paraId="0B3264E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он проходит заводские испытания (крайне медленными темпами), причем полеты показали чрезмерное давление на ручку управления, что требует ряда переделок в конструкции разрезных крыльев.</w:t>
            </w:r>
          </w:p>
          <w:p w14:paraId="2755699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накопления экспериментального опыта на первом экземпляре самолета с разрезными крыльями были переделаны предкрылки. Самолет находится на испытаниях в НИИ.</w:t>
            </w:r>
          </w:p>
          <w:p w14:paraId="12C10C9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констатировать, что в течение всего 1932 года ЦАГИ, работая над снабжением Р5 разрезными крыльями, не добился таких результатов, которые позволили бы осуществить серийную постройку.</w:t>
            </w:r>
          </w:p>
          <w:p w14:paraId="130BE56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Последнее объясняется тем, что работа по снабжению самолета Р5 разрезными крыльями, особенно в части производства, проводилась исключительно медленными темпами без достаточного внимания руководства ЦАГИ к решению проблемы.</w:t>
            </w:r>
          </w:p>
          <w:p w14:paraId="4A6D5CC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ЦАГИ разрабатывает конструкцию разрезных крыльев (закрылков) для самолета ТБ-3.</w:t>
            </w:r>
          </w:p>
          <w:p w14:paraId="608CA0B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Конкретные сроки окончания этой работы ЦАГИ не установлены.</w:t>
            </w:r>
          </w:p>
          <w:p w14:paraId="0DFDB02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в настоящее время ЦКБ завода № 39 проектирует снабжать разрезными крыльями, гл. образом, в виде автоматических предкрылков легкие самолеты, стоящие в плане опытного строительства на 1933 год (ЛР, ТШ-3).</w:t>
            </w:r>
          </w:p>
          <w:p w14:paraId="585C43DA"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66A3E10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конкретных результатов по снабжению самолетов Р5 разрезными крыльями ставит вопрос над успехом снабжения разрезными крыльями других самолетов, хотя задача безусловно разрешима.</w:t>
            </w:r>
          </w:p>
        </w:tc>
      </w:tr>
      <w:tr w:rsidR="004E10C1" w:rsidRPr="0044524F" w14:paraId="735AEEC4" w14:textId="77777777">
        <w:tc>
          <w:tcPr>
            <w:tcW w:w="2178" w:type="dxa"/>
          </w:tcPr>
          <w:p w14:paraId="1A13AB9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Тормозные колеса.</w:t>
            </w:r>
          </w:p>
        </w:tc>
        <w:tc>
          <w:tcPr>
            <w:tcW w:w="8278" w:type="dxa"/>
          </w:tcPr>
          <w:p w14:paraId="7FAB8D5C" w14:textId="77777777" w:rsidR="007E5FA7" w:rsidRPr="0044524F" w:rsidRDefault="007E5FA7" w:rsidP="009654CF">
            <w:pPr>
              <w:spacing w:after="0" w:line="240" w:lineRule="auto"/>
              <w:jc w:val="both"/>
              <w:rPr>
                <w:rFonts w:ascii="Times New Roman" w:hAnsi="Times New Roman"/>
                <w:color w:val="000000" w:themeColor="text1"/>
                <w:sz w:val="16"/>
                <w:szCs w:val="16"/>
              </w:rPr>
            </w:pPr>
          </w:p>
        </w:tc>
      </w:tr>
      <w:tr w:rsidR="004E10C1" w:rsidRPr="0044524F" w14:paraId="5B5B522C" w14:textId="77777777">
        <w:tc>
          <w:tcPr>
            <w:tcW w:w="2178" w:type="dxa"/>
          </w:tcPr>
          <w:p w14:paraId="0286C83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от 16 мая 1932 года</w:t>
            </w:r>
          </w:p>
          <w:p w14:paraId="07BBDF4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8 «Обязать Глававиапром все опытные конструкции самолетов, выходящих в 1932 году, выпускать с тормозными колесами с тем, чтобы самолеты новых конструкций принятые на снабжение. Строились только с тормозными колесами. Обязать Глававиапром самолет Р5 в программе 1933 года строить также с тормозными колесами».</w:t>
            </w:r>
          </w:p>
          <w:p w14:paraId="4D71F6A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из плана опытного строительства, утвержденного КО 4 июля 1932 года.</w:t>
            </w:r>
          </w:p>
          <w:p w14:paraId="281003D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КО от 25 июля 1932 года</w:t>
            </w:r>
          </w:p>
          <w:p w14:paraId="096FBC2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б «О тормозных колесах. Баранову и Пятакову разработать к следующему заседанию КО предложения об обеспечении выпуска в 1932 году 100 самолетов Р5 и 100 ТБ-3 с тормозными колесами».</w:t>
            </w:r>
          </w:p>
        </w:tc>
        <w:tc>
          <w:tcPr>
            <w:tcW w:w="8278" w:type="dxa"/>
          </w:tcPr>
          <w:p w14:paraId="1E91D95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постановления КО ЦАГИ спроектированы, построены и переданы на испытание в конце октября 1932 года тормозные колеса к самолету Р5. Испытание самолета Р5 на тормозных колесах показали удовлетворительное качество последних. Однако самолет Р5 тормозными колесами получил тенденцию к развороту в конце пробега. Работа по устранению этого дефекта, не позволяющего устанавливать на самолет Р5 тормозные шасси, велась ЦАГИ недостаточными темпами.</w:t>
            </w:r>
          </w:p>
          <w:p w14:paraId="5C4CC3A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самолета Р5 с переделанными шасси, проведенные в феврале 1933 года на юге, показали, что дефект является не устраненным. ЦАГИ предложено внести ряд добавочных изменений и к 10 марта 1933 года вновь предъявить Р5 с тормозными колесами на испытание.</w:t>
            </w:r>
          </w:p>
          <w:p w14:paraId="07FA31E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Тормозные колеса к самолету ТБ-3 построены ЦАГИ к концу 1932 года. В феврале 1933 года испытания тормозных колес закончены. Эти испытания показали наряду с удовлетворительными качествами самих тормозных колес ряд дефектов в управлении ими. Устранение дефектов не должно вызвать особых затруднений.</w:t>
            </w:r>
          </w:p>
          <w:p w14:paraId="24598E7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устраненными дефектами управления тормозами должен быть предъявлен на испытание к 20 марта 1933 года. ЦАГИ гарантирует предъявление опытных самолетов с тормозными колесами в 1933 году, но на первых опытных самолетах ТБ-4 и МИ3 устанавливает заграничные тормозные колеса, ведя разработку своих конструкций.</w:t>
            </w:r>
          </w:p>
          <w:p w14:paraId="1ABC18E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 затруднением для широкого внедрения тормозных колес в СССР является отсутствие специальной производственной базы по тормозным колесам (завода).</w:t>
            </w:r>
          </w:p>
          <w:p w14:paraId="3D13C79B"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3ADD6AE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ГУАП будет производить постройку тормозных колес частично путем кооперирования ряда заводов, частично на специально оборудованном под производство тормозных колес заводе № 121 (во втором полугодии).</w:t>
            </w:r>
          </w:p>
        </w:tc>
      </w:tr>
    </w:tbl>
    <w:p w14:paraId="596C408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Доклады о состоянии опытного строительства моторов и самолетов представлялись в конце каждого квартала председателю РВС, зам. председателя РВС и начальнику Глававиапрома (3530,91-106).</w:t>
      </w:r>
    </w:p>
    <w:p w14:paraId="28F4F72E"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2E02E280" w14:textId="77777777" w:rsidR="00AD1D3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FB8130E" w14:textId="77777777" w:rsidR="00AD1D3C" w:rsidRPr="0044524F" w:rsidRDefault="00AD1D3C" w:rsidP="009654CF">
      <w:pPr>
        <w:spacing w:after="0" w:line="240" w:lineRule="auto"/>
        <w:jc w:val="both"/>
        <w:rPr>
          <w:rFonts w:ascii="Times New Roman" w:hAnsi="Times New Roman"/>
          <w:iCs/>
          <w:color w:val="000000" w:themeColor="text1"/>
          <w:sz w:val="16"/>
          <w:szCs w:val="16"/>
        </w:rPr>
      </w:pPr>
    </w:p>
    <w:p w14:paraId="5610076E" w14:textId="77777777" w:rsidR="002C3CAD" w:rsidRPr="0044524F" w:rsidRDefault="002C3C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марта 1933 г. Н. А. Доровлевым, который в составе советской делегации посетил фирму Брандта в 1932, было направлено письмо на имя начальника НТУ АУ Я. М. Железнякова, в котором он указывал на необходимость скорейшего определения статуса орудий сопровождения пехоты в части того, насколько они необходимы Красной Армии. Кроме этого, для максимально эффективной реализации информации, полученной в ходе визита во Францию и воплощения ее на практике, Н. А. Доровлевым было предложено пересмотреть организационную принадлежность возглавляемого им подразделения и передать группу «Д» из ведения ГДЛ в АНИИ, создав при Институте особое конструкторско-испытательное бюро с подчинением НТУ АУ и с производственной базой на основе военно-опытного отдела Ленинградского машиностроительного завода №7 и мастерских НИАПа (см. Приложение Г).2 (20074).</w:t>
      </w:r>
    </w:p>
    <w:p w14:paraId="3FF9FA33" w14:textId="77777777" w:rsidR="002C3CAD" w:rsidRPr="0044524F" w:rsidRDefault="002C3CAD" w:rsidP="009654CF">
      <w:pPr>
        <w:spacing w:after="0" w:line="240" w:lineRule="auto"/>
        <w:jc w:val="both"/>
        <w:rPr>
          <w:rFonts w:ascii="Times New Roman" w:hAnsi="Times New Roman"/>
          <w:color w:val="000000" w:themeColor="text1"/>
          <w:sz w:val="16"/>
          <w:szCs w:val="16"/>
        </w:rPr>
      </w:pPr>
    </w:p>
    <w:p w14:paraId="13BFCFAA" w14:textId="77777777" w:rsidR="00AD1D3C" w:rsidRPr="0044524F" w:rsidRDefault="00AD1D3C" w:rsidP="009654CF">
      <w:pPr>
        <w:pStyle w:val="rtejustify"/>
        <w:spacing w:before="0" w:after="0"/>
        <w:rPr>
          <w:color w:val="000000" w:themeColor="text1"/>
          <w:sz w:val="16"/>
          <w:szCs w:val="16"/>
        </w:rPr>
      </w:pPr>
      <w:r w:rsidRPr="0044524F">
        <w:rPr>
          <w:rStyle w:val="af0"/>
          <w:bCs/>
          <w:i w:val="0"/>
          <w:color w:val="000000" w:themeColor="text1"/>
          <w:sz w:val="16"/>
          <w:szCs w:val="16"/>
        </w:rPr>
        <w:t>10 марта 1933 вышел приказ НКТП № 25сс.</w:t>
      </w:r>
      <w:r w:rsidRPr="0044524F">
        <w:rPr>
          <w:color w:val="000000" w:themeColor="text1"/>
          <w:sz w:val="16"/>
          <w:szCs w:val="16"/>
        </w:rPr>
        <w:t xml:space="preserve"> Об обеспечении заводов военной промышленности инженерно-техническим персоналом. (РГАЭ. Ф. 7297. Оп. 38. Д. 38. Л. 238</w:t>
      </w:r>
      <w:r w:rsidRPr="0044524F">
        <w:rPr>
          <w:color w:val="000000" w:themeColor="text1"/>
          <w:sz w:val="16"/>
          <w:szCs w:val="16"/>
        </w:rPr>
        <w:noBreakHyphen/>
        <w:t>237) (15246).</w:t>
      </w:r>
    </w:p>
    <w:p w14:paraId="408E5C7D" w14:textId="77777777" w:rsidR="00AD1D3C" w:rsidRPr="0044524F" w:rsidRDefault="00AD1D3C" w:rsidP="009654CF">
      <w:pPr>
        <w:pStyle w:val="rtejustify"/>
        <w:spacing w:before="0" w:after="0"/>
        <w:rPr>
          <w:color w:val="000000" w:themeColor="text1"/>
          <w:sz w:val="16"/>
          <w:szCs w:val="16"/>
        </w:rPr>
      </w:pPr>
    </w:p>
    <w:p w14:paraId="307EF5F0" w14:textId="77777777" w:rsidR="007E5FA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1ADB974" w14:textId="77777777" w:rsidR="007E5FA7" w:rsidRPr="0044524F" w:rsidRDefault="007E5FA7" w:rsidP="009654CF">
      <w:pPr>
        <w:spacing w:after="0" w:line="240" w:lineRule="auto"/>
        <w:jc w:val="both"/>
        <w:rPr>
          <w:rFonts w:ascii="Times New Roman" w:hAnsi="Times New Roman"/>
          <w:iCs/>
          <w:color w:val="000000" w:themeColor="text1"/>
          <w:sz w:val="16"/>
          <w:szCs w:val="16"/>
        </w:rPr>
      </w:pPr>
    </w:p>
    <w:p w14:paraId="142C366C"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марта 1933 опросом членов ПБ</w:t>
      </w:r>
    </w:p>
    <w:p w14:paraId="7F309C21"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28/5.- Вопрос ОГПУ.</w:t>
      </w:r>
    </w:p>
    <w:p w14:paraId="06E2A876"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Принять в основном предложение ОГГУ об обосновании трудовых поселков в районах Западной Сибири и Казах</w:t>
      </w:r>
      <w:r w:rsidRPr="0044524F">
        <w:rPr>
          <w:rFonts w:ascii="Times New Roman" w:hAnsi="Times New Roman"/>
          <w:color w:val="000000" w:themeColor="text1"/>
          <w:sz w:val="16"/>
          <w:szCs w:val="16"/>
        </w:rPr>
        <w:softHyphen/>
        <w:t>стана (на 500 тыс. человек в каждом крае).</w:t>
      </w:r>
    </w:p>
    <w:p w14:paraId="40655DC1"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 сложить комиссии в составе т.т. Ягода (созыв), Межлaука В. И., Благонравова, Чернова, Гринько, Яклвлева, Фомина, Бермана - рассмотреть и произвести проверку заявок ОГПУ, установив окончательно цифры и дать проект поста</w:t>
      </w:r>
      <w:r w:rsidRPr="0044524F">
        <w:rPr>
          <w:rFonts w:ascii="Times New Roman" w:hAnsi="Times New Roman"/>
          <w:color w:val="000000" w:themeColor="text1"/>
          <w:sz w:val="16"/>
          <w:szCs w:val="16"/>
        </w:rPr>
        <w:softHyphen/>
        <w:t>новления по всему вопросу в целом.</w:t>
      </w:r>
    </w:p>
    <w:p w14:paraId="0BCA995F"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работы комиссии - 5 дней.</w:t>
      </w:r>
    </w:p>
    <w:p w14:paraId="766A8655"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т.т.Ягоде, Межлауку В.И., Благонравову, Чернову, Гринько, Яковлеву, Фомину, Берману.</w:t>
      </w:r>
    </w:p>
    <w:p w14:paraId="6FB06D40"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35/12. – О перерегистрации оружия по СССР</w:t>
      </w:r>
    </w:p>
    <w:p w14:paraId="5E5C328C"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Президиуму ЦИК Союза ССР провести через ЦИК''и Союзных республик следующее изменение ст. 182 УК РСФСР и соответствующих статей Союзных Республик:</w:t>
      </w:r>
    </w:p>
    <w:p w14:paraId="120C2045"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 хранение, покупка и сбыт взрывчатых веществ и снарядов, а равно огнестрельного (кроме охотничьего) оружия без надлежащего разрешения влечет за собой лишение свободы на срок до пяти лет, с конфискацией названных веществ, сна</w:t>
      </w:r>
      <w:r w:rsidRPr="0044524F">
        <w:rPr>
          <w:rFonts w:ascii="Times New Roman" w:hAnsi="Times New Roman"/>
          <w:color w:val="000000" w:themeColor="text1"/>
          <w:sz w:val="16"/>
          <w:szCs w:val="16"/>
        </w:rPr>
        <w:softHyphen/>
        <w:t>рядов и оружия.</w:t>
      </w:r>
    </w:p>
    <w:p w14:paraId="763EB0C2"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Пересылка по почте и другими способами огнестрельного оружия (не охотничьего), взрыв</w:t>
      </w:r>
      <w:r w:rsidRPr="0044524F">
        <w:rPr>
          <w:rFonts w:ascii="Times New Roman" w:hAnsi="Times New Roman"/>
          <w:color w:val="000000" w:themeColor="text1"/>
          <w:sz w:val="16"/>
          <w:szCs w:val="16"/>
        </w:rPr>
        <w:softHyphen/>
        <w:t>чатых и легко воспламеняющихся веществ и предметов, как-то: порох, патроны и т.п. - лишение свободы на срок до пяти лет.</w:t>
      </w:r>
    </w:p>
    <w:p w14:paraId="5E0FFD6F"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Предложить ОГПУ произвести по всему СССР перерегистрацию оружия, имея ввиду из"ятие наибольшего коли</w:t>
      </w:r>
      <w:r w:rsidRPr="0044524F">
        <w:rPr>
          <w:rFonts w:ascii="Times New Roman" w:hAnsi="Times New Roman"/>
          <w:color w:val="000000" w:themeColor="text1"/>
          <w:sz w:val="16"/>
          <w:szCs w:val="16"/>
        </w:rPr>
        <w:softHyphen/>
        <w:t>чества оружия у населения и сокращение количества лиц, пользующихся правом приобретения и хранения его.</w:t>
      </w:r>
    </w:p>
    <w:p w14:paraId="267A6803"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т.т.Ягоде, Енукидзе, Крыленко</w:t>
      </w:r>
    </w:p>
    <w:p w14:paraId="40F50904" w14:textId="77777777" w:rsidR="007251CB" w:rsidRPr="0044524F" w:rsidRDefault="007251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 состоялось заседание ПБ и был оформлен протокол № 133 (22983).</w:t>
      </w:r>
    </w:p>
    <w:p w14:paraId="1367B4B3" w14:textId="77777777" w:rsidR="007251CB" w:rsidRPr="0044524F" w:rsidRDefault="007251CB" w:rsidP="009654CF">
      <w:pPr>
        <w:spacing w:after="0" w:line="240" w:lineRule="auto"/>
        <w:jc w:val="both"/>
        <w:rPr>
          <w:rFonts w:ascii="Times New Roman" w:hAnsi="Times New Roman"/>
          <w:color w:val="000000" w:themeColor="text1"/>
          <w:sz w:val="16"/>
          <w:szCs w:val="16"/>
        </w:rPr>
      </w:pPr>
    </w:p>
    <w:p w14:paraId="50B052A2" w14:textId="77777777" w:rsidR="007E5FA7" w:rsidRPr="0044524F" w:rsidRDefault="007E5FA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марта 1933 Совнарком УССР принял решение об организации на Украине государственных университетов (4962).</w:t>
      </w:r>
    </w:p>
    <w:p w14:paraId="175EF33C" w14:textId="77777777" w:rsidR="007E5FA7" w:rsidRPr="0044524F" w:rsidRDefault="007E5FA7" w:rsidP="009654CF">
      <w:pPr>
        <w:tabs>
          <w:tab w:val="left" w:pos="11199"/>
        </w:tabs>
        <w:spacing w:after="0" w:line="240" w:lineRule="auto"/>
        <w:jc w:val="both"/>
        <w:rPr>
          <w:rFonts w:ascii="Times New Roman" w:hAnsi="Times New Roman"/>
          <w:color w:val="000000" w:themeColor="text1"/>
          <w:sz w:val="16"/>
          <w:szCs w:val="16"/>
        </w:rPr>
      </w:pPr>
    </w:p>
    <w:p w14:paraId="30A60B3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10 и 16 марта 1933. Из протокола заседания Политбюро N 133, 1933 г.</w:t>
      </w:r>
    </w:p>
    <w:p w14:paraId="6D09A66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перерегистрации оружия по СССР </w:t>
      </w:r>
    </w:p>
    <w:p w14:paraId="2640D02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Предложить Президиуму ЦИК Союза ССР провести через ЦИКи Союзных республик следующее изменение ст. 182 УК РСФСР и соответствующих статей УК Союзных Республик: </w:t>
      </w:r>
    </w:p>
    <w:p w14:paraId="1F7F086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Изготовление, хранение, покупка и сбыт взрывчатых веществ или снарядов, а равно огнестрельного (кроме охотничьего) оружия без надлежащего разрешения влечет за собой лишение свободы на срок до пяти лет с конфискацией названных веществ, снарядов и оружия. Пересылка по почте и другими способами огнестрельного оружия (не охотничьего), взрывчатых и легко воспламеняющихся веществ и предметов, как-то: порох, патроны и т. п.— лишение свободы на срок до пяти лет. </w:t>
      </w:r>
    </w:p>
    <w:p w14:paraId="6772C1F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Предложить ОГПУ произвести по всему СССР перерегистрацию оружия, имея в виду изъятие наибольшего количества оружия у населения и сокращение количества лиц, пользующихся правом приобретения и хранения его (11652).</w:t>
      </w:r>
    </w:p>
    <w:p w14:paraId="388728EC"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3439AE91" w14:textId="77777777" w:rsidR="007E5FA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3EAB96F" w14:textId="77777777" w:rsidR="007E5FA7" w:rsidRPr="0044524F" w:rsidRDefault="007E5FA7" w:rsidP="009654CF">
      <w:pPr>
        <w:spacing w:after="0" w:line="240" w:lineRule="auto"/>
        <w:jc w:val="both"/>
        <w:rPr>
          <w:rFonts w:ascii="Times New Roman" w:hAnsi="Times New Roman"/>
          <w:iCs/>
          <w:color w:val="000000" w:themeColor="text1"/>
          <w:sz w:val="16"/>
          <w:szCs w:val="16"/>
        </w:rPr>
      </w:pPr>
    </w:p>
    <w:p w14:paraId="7ED8991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марта 1933 состоялось заседание Комиссии по вопросам сверхвысотной авиации при Госплане СССР (2304,8).</w:t>
      </w:r>
    </w:p>
    <w:p w14:paraId="5676B37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Госплана были Зарзар, Соловьев, Кирилов, от ВА Дубенский, от Упр. воен. изобретений Терентьев, от НИИ ВВС Жемчужин, от ГУАП Дубровский, от ЦИАМ Ворогушин, от НТУ ГУГВФ Бородач, от ЦКБ завода 39 Чижевский и С.А.Л. (2394,4).</w:t>
      </w:r>
    </w:p>
    <w:p w14:paraId="22CEE20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С.А.Л. выступил со сравнением своей машины БНК с машиной БОК Чижевского и признав, что вторая продвинута больше предложил работать над обеими. Военные поддержали.</w:t>
      </w:r>
    </w:p>
    <w:p w14:paraId="75C1D03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 отметить медленный ход работ и невнимание со стороны ЦИАМ, считать недопустимым консервацию машины БНК, согласовать внесенный Госпланом в докладе от 17 января текст постановления (2394,4).</w:t>
      </w:r>
    </w:p>
    <w:p w14:paraId="275D346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w:t>
      </w:r>
    </w:p>
    <w:p w14:paraId="3DB13C3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Заседания комиссии по вопросам сверхвысотной авиации при Госплане СССР</w:t>
      </w:r>
    </w:p>
    <w:p w14:paraId="535F3B0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Присутствовали:</w:t>
      </w:r>
    </w:p>
    <w:p w14:paraId="0767845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Госплана</w:t>
      </w:r>
      <w:r w:rsidRPr="0044524F">
        <w:rPr>
          <w:rFonts w:ascii="Times New Roman" w:hAnsi="Times New Roman"/>
          <w:color w:val="000000" w:themeColor="text1"/>
          <w:sz w:val="16"/>
          <w:szCs w:val="16"/>
        </w:rPr>
        <w:tab/>
        <w:t>тт. Зарзар, Соловьев, Кириллов</w:t>
      </w:r>
    </w:p>
    <w:p w14:paraId="294C8B1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ВВА</w:t>
      </w:r>
      <w:r w:rsidRPr="0044524F">
        <w:rPr>
          <w:rFonts w:ascii="Times New Roman" w:hAnsi="Times New Roman"/>
          <w:color w:val="000000" w:themeColor="text1"/>
          <w:sz w:val="16"/>
          <w:szCs w:val="16"/>
        </w:rPr>
        <w:tab/>
        <w:t>т. Дубенский</w:t>
      </w:r>
    </w:p>
    <w:p w14:paraId="7880E5D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Упр. воен. Изобретений</w:t>
      </w:r>
      <w:r w:rsidRPr="0044524F">
        <w:rPr>
          <w:rFonts w:ascii="Times New Roman" w:hAnsi="Times New Roman"/>
          <w:color w:val="000000" w:themeColor="text1"/>
          <w:sz w:val="16"/>
          <w:szCs w:val="16"/>
        </w:rPr>
        <w:tab/>
        <w:t>т. Терентьев</w:t>
      </w:r>
    </w:p>
    <w:p w14:paraId="03FF60C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НИИ ВВС</w:t>
      </w:r>
      <w:r w:rsidRPr="0044524F">
        <w:rPr>
          <w:rFonts w:ascii="Times New Roman" w:hAnsi="Times New Roman"/>
          <w:color w:val="000000" w:themeColor="text1"/>
          <w:sz w:val="16"/>
          <w:szCs w:val="16"/>
        </w:rPr>
        <w:tab/>
        <w:t>т. Жемчужин,</w:t>
      </w:r>
    </w:p>
    <w:p w14:paraId="7731425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ГУАП</w:t>
      </w:r>
      <w:r w:rsidRPr="0044524F">
        <w:rPr>
          <w:rFonts w:ascii="Times New Roman" w:hAnsi="Times New Roman"/>
          <w:color w:val="000000" w:themeColor="text1"/>
          <w:sz w:val="16"/>
          <w:szCs w:val="16"/>
        </w:rPr>
        <w:tab/>
        <w:t xml:space="preserve"> т. Дубровский,</w:t>
      </w:r>
    </w:p>
    <w:p w14:paraId="37CB8B8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ЦИАМ</w:t>
      </w:r>
      <w:r w:rsidRPr="0044524F">
        <w:rPr>
          <w:rFonts w:ascii="Times New Roman" w:hAnsi="Times New Roman"/>
          <w:color w:val="000000" w:themeColor="text1"/>
          <w:sz w:val="16"/>
          <w:szCs w:val="16"/>
        </w:rPr>
        <w:tab/>
        <w:t>т. Ворогушин,</w:t>
      </w:r>
    </w:p>
    <w:p w14:paraId="16B3A3D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НТУ ГУГВФ</w:t>
      </w:r>
      <w:r w:rsidRPr="0044524F">
        <w:rPr>
          <w:rFonts w:ascii="Times New Roman" w:hAnsi="Times New Roman"/>
          <w:color w:val="000000" w:themeColor="text1"/>
          <w:sz w:val="16"/>
          <w:szCs w:val="16"/>
        </w:rPr>
        <w:tab/>
        <w:t>т. Бородач,</w:t>
      </w:r>
    </w:p>
    <w:p w14:paraId="04A0352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ЦКБ завода 39</w:t>
      </w:r>
      <w:r w:rsidRPr="0044524F">
        <w:rPr>
          <w:rFonts w:ascii="Times New Roman" w:hAnsi="Times New Roman"/>
          <w:color w:val="000000" w:themeColor="text1"/>
          <w:sz w:val="16"/>
          <w:szCs w:val="16"/>
        </w:rPr>
        <w:tab/>
        <w:t>тт. Чижевский и С.А.Л</w:t>
      </w:r>
    </w:p>
    <w:p w14:paraId="112339A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В.А.Зарзар</w:t>
      </w:r>
    </w:p>
    <w:p w14:paraId="0F66E55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Секретарь: Н.П.Кириллов</w:t>
      </w:r>
    </w:p>
    <w:p w14:paraId="79797DF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Повестка дня: О ходе работ - информация соответствующих организаций</w:t>
      </w:r>
    </w:p>
    <w:p w14:paraId="44E174F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w:t>
      </w:r>
    </w:p>
    <w:p w14:paraId="18522A9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Тов. Зарзар информирует собравшихся о задачах настоящего заседания Комиссии в целях выявления положения в соответствующих организациях дела с работой по сверхвысотной авиации и происходящих в ходе работ изменениях на предмет возможного дополнения представленного в СТО по вопросу организации изучения стратосферы доклада от 17 января 1933 г.</w:t>
      </w:r>
    </w:p>
    <w:p w14:paraId="23388F1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Тов. Долгушин (ЦИАМ) - сообщает, что работы по приспособлению мотора М-34 к высотным полетам и обеспечению его импеллерами идут плохо и готовность мотора к ранее намечавшемуся сроку - 1 мая с.г. ЦИАМом не обеспечивается. Причиной является отсутствие как твердого включения в план изготовления импеллеров и приспособления мотора и конструирования втулки винта, лопасти которого дает ЦАГИ, так и соответствующих ассигнований ЦПАМу. Это не дает возможности организовать должным образом работы в нужных темпах и включить в план работы института большую группу исследовательских работ.</w:t>
      </w:r>
    </w:p>
    <w:p w14:paraId="4BD5391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Тов. Чижевский (ЦКБ зав. № 39) - сообщает о происшедших организационных переменах - слиянии бригад ЦАГИ...</w:t>
      </w:r>
    </w:p>
    <w:p w14:paraId="4DFC373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чертежей, за исключением моторного оборудования, готовы в основном к сдаче их в производство.</w:t>
      </w:r>
    </w:p>
    <w:p w14:paraId="5FDF2F9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Вследствие того, что мотор поступлением из ЦИАМа задерживается, срок готовности с-та м.ь. определен как 1 октября с.г.</w:t>
      </w:r>
    </w:p>
    <w:p w14:paraId="1031A24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 результате слияния БНК с 5-й бригадой ЦАГИ решено в первую очередь строить машину ЦАГИ, как более подготовленную к производству и обеспечиваемую мотором. Машина же БНК, готовность которой расценивается в 15%, по мнению т. Чижовского, требует еще ряда поверочных пересчетов с аэродинамической т.з. (опасение вибрации, имея в виду двухвостую конструкцию самолета БНК, отсутствие окончательно установленных размеров, рабочих чертежей и т.п.</w:t>
      </w:r>
    </w:p>
    <w:p w14:paraId="5B2C33C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з-д № 39 не может обеспечить с-ту БНК турбокомпрессора, который, по мнению т. Чижевского, необходимо передать на изготовление в ЦИАМ, с передачей в институт и проводившего расчет ТК инж. Т. Франкенберга.</w:t>
      </w:r>
    </w:p>
    <w:p w14:paraId="49CAF79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Тов. С.А.Л. (ЦКБ з-да № 39) отмечает, что проектируемый им цельнометаллический сверхвысотный с-т представляет собой моноплан с одним толкающим мотором М-34, работающим до 5000 м с импеллером, изготовляемым ЦИАМом. При подъеме на всоту более 5000 м вступает в действие газовый ТК, который должен быть изготовлен особо и может проектироваться параллельно с работами ЦИАМа по риспособлению мотора М-34 к полетам в стратосферу.. Общий полетный вес проектируемой машины около 3800 кг, теоретический потолок - примерно 15000 м, скорость на высоте 12000 м 250 км/час.</w:t>
      </w:r>
    </w:p>
    <w:p w14:paraId="0A8837D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Далее тов. Лавочкин сообщает, что работы по проектируемому им с-ту приостановилось с начала февраля месяца с.г., когда стало известно, что БНК ликвидируется и переходит в ЦКБ з-да № 39.</w:t>
      </w:r>
    </w:p>
    <w:p w14:paraId="26D2F57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о кнсервировании проектирования с-та его конструкции т. С.А.Л. считает неправильным и полагает, что целесообразнее было бы продолжать вместе с с-том ЦАГИ и работу над его машиной, но в особой группе.</w:t>
      </w:r>
    </w:p>
    <w:p w14:paraId="0620BA1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С.А.Л. соглашается, что машина ЦАГИ, как переделываемая в основном из дальней машины (РД) инж. А.Н.Т., по состоянию работ ближе к производству, чем его машина, которая задерждивается подготовкой рабочих чертежей, но в БНК отдельные части машины являлось возможным пускать в производство без рабочих чертежей, что не является возможным теперь в условиях работы на заводе № 39.</w:t>
      </w:r>
    </w:p>
    <w:p w14:paraId="308EE91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С.А.Л. опровергает опасения т. Чижевского о вибрации хвостовой части с-та БНК, указывая, что вибрация бывает и при однозвостых машинах. Необходимо в этом случае лишь уточнить расчеты и специально изучить этот вопрос, учитывая, что вибрация хвостовой части вызывается завихрением воздуха: задача заключается в том, чтобы хвостовое оперение не попадало в зону завихрения. С-т хорош, ВМГ продумана и в стратосферу обе машины могут прийти одновременно. Поскольку ЦИАМ делает несколько опытных моторов с импеллерами и ЦАГИ придется не останавливаться на одной машине, делать две, гораздо целесообразнее одновременно осуществить два оригинальных типа - ЦАГИ и БНК.</w:t>
      </w:r>
    </w:p>
    <w:p w14:paraId="75917CD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Работу по ТК ЦИАМу передавать не следует, а необходимо осуществлять самостоятельно с помощь. ВТИ, договоренность с которым имеется. Для начала можно использовать имеющиеся на складе два ТК системы РАТО, которые дадут возможность мотору работать до 9000 м.</w:t>
      </w:r>
    </w:p>
    <w:p w14:paraId="696FEBC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Тов. Дубровский (ГУАП) - сообщает, что ГУАП решил до выяснения всех вопросов с машиной БНК не строить с-т ЦАГИ, отложив продолжение работ над машиной БНК до 1934. Вопрос задерживается также и в отношении моторного хозяйства из-за газовой турбины. В основном же ГУАП не считает возможным вести параллельные работы по этим с-там из-за недостаточности денежных средств.</w:t>
      </w:r>
    </w:p>
    <w:p w14:paraId="05B4DB7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Тов. Дубенский (ВВА) - сообщает, что работа Академии по вопросам сверхвысокой авиации задерживается крайней ограниченностью денежных средств, отпускаемых на эти цели в распоряжение ВВА (на 2 кв. Обещали дать 10000 руб.)</w:t>
      </w:r>
    </w:p>
    <w:p w14:paraId="0654BB4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т. Дубенский считает, что работу с стамолетом т. С.А.Л. откладывать до 1934 не следует, т.к. никаких оснований к этому , по его мнению, не имеется, а, наоборот, работу по с-ту БНК нужно форсировать.</w:t>
      </w:r>
    </w:p>
    <w:p w14:paraId="7BA1521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отношение работ, осуществляемых ЦИАМом, т. Дубенский считает, что ЦИАМу надлежит, не изменяя срока работ, выделить в самостоятельную первоочередную задачу работы по импеллерам и втулке винта, ассигновать на эти цели специальные средства и всю работу ЦИАМа по вопросам сверхвысокой авиации взять под жесткий контроль.</w:t>
      </w:r>
    </w:p>
    <w:p w14:paraId="76D7C24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Терентьев ( УВИ) - отмечает, что с т.з. УВИ необходимо форсировать работу по сверхвысотной машине т. С.А.Л.</w:t>
      </w:r>
    </w:p>
    <w:p w14:paraId="4E4604C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Бородач (НТУ ГУГВФ) - сообщает, что работы пао сверхвысотным с-там Ленинградским НИАИ законсервированы из-за отсутствия кредитов на данные работы.</w:t>
      </w:r>
    </w:p>
    <w:p w14:paraId="6F32030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Зарзар - информирует комиссию о ходе работ ГИРДа по РД и отмечает имеющиеся у группы нужды, сводящиеся в основном к денежным ассигнованиям и некоторым организационным вероприятиям (ИРД...</w:t>
      </w:r>
    </w:p>
    <w:p w14:paraId="6CAC3C3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w:t>
      </w:r>
    </w:p>
    <w:p w14:paraId="268E642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Отметить крайне медленный ход работы и невнимание со стороны ЦИАМа к работе по вопросам сверхвысокой авиации, что видно по результатам и организации работ.</w:t>
      </w:r>
    </w:p>
    <w:p w14:paraId="3FA49D6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Считать, нецелесообразным консервацию работ по проектированию машины БНК, о чем доведено до сведения нач. ГУАП П.И.Б.</w:t>
      </w:r>
    </w:p>
    <w:p w14:paraId="293780F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Проект постановления Правительства, внесенный Госпланом СССР при докладе в СТО 17 января с.г. оставить без изменения (2394,4).</w:t>
      </w:r>
    </w:p>
    <w:p w14:paraId="515A4F14"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1823CA9D" w14:textId="77777777" w:rsidR="007E4C1C" w:rsidRPr="0044524F" w:rsidRDefault="007E4C1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марта 1933 г. состоялось заседании Комиссии по вопросам сверхвысотной авиации при Госплане СССР, в котором участвовали и конструкторы Чижевский и Лавочкин (к тому времени оба – сотрудники ЦКБ завода 39). Чижевский в своём выступлении отметил, что незадолго до этого заседания произошло слияние БНК с 6-й бригадой ЦАГИ и концентрация всего дела по высотным самолётам в ЦКБ. В результате этого слияния было решено строить в первую очередь машину ЦАГИ, как более подготовленную к производству и обеспеченную мотором. Что же касается БНК-4, то эта машина, готовность которой оценивалась в 15%, требовала, по мнению Чижевского, ещё ряда проверочных пересчётов с аэродинамической точки зрения с учётом, в частности, риска вибраций в связи с применением двухбалочной схемы. Кроме того, сказал он, завод № 39 не сможет обеспечить самолёту БНК турбокомпрессора, который «необходимо передать на изготовление в ЦИАМ, с передачей в Институт и производившего тепловой расчёт турбокомпрессора инж. Франкенберга». С.А.Лавочкин ответил на критику своего проекта. Он отметил, что проектируемый им цельнометаллический сверхвысотный самолёт представляет собой моноплан с одним толкающим мотором М-34, работающим до высоты 5000 м с импеллером, изготовляемым в ЦИАМ’е. При подъёме на высоту свыше 5000 м вступает в действие газовый турбокомпрессор, который должен быть изготовлен особо и может проектироваться параллельно с работами ЦИАМ’а по приспосабливанию мотора М-34 к полётам в стратосферу. Общий полётный вес проектируемой машины около 3800 кг; теоретический потолок – примерно 15000 м; скорость на высоте 12000 м – около 360 км/ час. (Сравните с приведёнными выше данными для начального варианта с М-17). Лавочкин сообщил, что работы по БНК-4 приостановились с начала февраля 1933 г., когда стало известно, что БНК ликвидируется и переходит в ЦКБ завода № 39. Решение о консервировании проекта самолёта его конструкции Лавочкин расценил как неправильное и высказал мнение, что целесообразнее было бы продолжать вместе с самолётом ЦАГИ и работу над его машиной, но в особой группе. Опровергая опасения о вибрации хвостовой части самолёта БНК, Лавочкин указал, что вибрация бывает и при однохвостых машинах. Нужно лишь уточнить расчёты и специально изучить вопрос, учитывая, что вибрация хвостовой части вызывается завихрением воздуха, идущего от крыла: задача заключается в том, чтобы хвостовое оперение не попадало в зону завихрения. Работу по турбокомпрессору, добавил Лавочкин, в ЦИАМ передавать не следует – необходимо осуществить её самостоятельно с помощью Теплотехнического института, договорённость с которым имеется. Для начала же можно использовать имеющиеся на складе два турбокомпрессора системы РАТО (импортные), которые дадут мотору возможность работать до 9 тыс. метров. Представитель ГУАП Дубровский сообщил, что ГУАП решил до выяснения всех вопросов с машиной БНК строить самолёт ЦАГИ, отложив продолжение работ над машиной БНК до 1934 г. В основном же ГУАП не считает возможным вести параллельные работы по этим самолётам из-за недостаточности денежных средств. Представитель Военно-Воздушной Академии (ВВА) Дубенский призвал не откладывать работы по БНК-4 до 1934 г., а, наоборот, форсировать их. Его поддержал Терентьев из Управления Военных Изобретений. В итоге в разделе Постановили протокола заседания содержался пункт: «Считать недопустимой консервацию работ по проектированию машины БНК, о чём доведено до сведения Нач. ГУАП’а т. Баранова П.Н.» Такой итог заседания Комиссии при Госплане, однако, не повлиял на позицию ГУАП’а (19876).</w:t>
      </w:r>
    </w:p>
    <w:p w14:paraId="302096D1" w14:textId="77777777" w:rsidR="007E4C1C" w:rsidRPr="0044524F" w:rsidRDefault="007E4C1C" w:rsidP="009654CF">
      <w:pPr>
        <w:shd w:val="clear" w:color="auto" w:fill="FFFFFF"/>
        <w:spacing w:after="0" w:line="240" w:lineRule="auto"/>
        <w:jc w:val="both"/>
        <w:rPr>
          <w:rFonts w:ascii="Times New Roman" w:hAnsi="Times New Roman"/>
          <w:color w:val="000000" w:themeColor="text1"/>
          <w:sz w:val="16"/>
          <w:szCs w:val="16"/>
        </w:rPr>
      </w:pPr>
    </w:p>
    <w:p w14:paraId="10988E9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марта 1933 завод 39 направил в ГУАП с письмом N 348/сс Протокол испытания стрельбой самолета Зет N 39009 завода 30 со специальной артустановкой.</w:t>
      </w:r>
    </w:p>
    <w:p w14:paraId="47A2953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Боевая артиллерийская установка с магазином и питающим механизмом системы инж. Курчевского монтирована под левым крылом самолета под правым крылом монтирован макет установки. Полуавтоматический механизм для перезаряжания и магазин для 6 шт. патронов монтированы над стволом пушки.</w:t>
      </w:r>
    </w:p>
    <w:p w14:paraId="4343237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 испытания:</w:t>
      </w:r>
    </w:p>
    <w:p w14:paraId="01B466D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аэродром Москва</w:t>
      </w:r>
    </w:p>
    <w:p w14:paraId="00D950E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аэродром НИИ Щелково</w:t>
      </w:r>
    </w:p>
    <w:p w14:paraId="2C021DE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Полигон ВВС Монино</w:t>
      </w:r>
    </w:p>
    <w:p w14:paraId="684282F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p w14:paraId="5AA789D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февраля 1933 г.</w:t>
      </w:r>
    </w:p>
    <w:p w14:paraId="6861187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г.</w:t>
      </w:r>
    </w:p>
    <w:p w14:paraId="6FF448A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марта 1933 г.</w:t>
      </w:r>
    </w:p>
    <w:p w14:paraId="0993E3B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Состав комиссии:</w:t>
      </w:r>
    </w:p>
    <w:p w14:paraId="0993D46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завода N 39</w:t>
      </w:r>
    </w:p>
    <w:p w14:paraId="07481CA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завода Марголин</w:t>
      </w:r>
    </w:p>
    <w:p w14:paraId="747F229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консультант Григорович</w:t>
      </w:r>
    </w:p>
    <w:p w14:paraId="4C5E7CA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дир. з-да по техчасти - Таиров</w:t>
      </w:r>
    </w:p>
    <w:p w14:paraId="5FE0FA4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 цеха N 20 Петров</w:t>
      </w:r>
    </w:p>
    <w:p w14:paraId="54EEF11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 сект. вооруж. Кутепов</w:t>
      </w:r>
    </w:p>
    <w:p w14:paraId="6DA454D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техн. контр. Днепров</w:t>
      </w:r>
    </w:p>
    <w:p w14:paraId="54570F7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з-да N 39 Пионтковский</w:t>
      </w:r>
    </w:p>
    <w:p w14:paraId="2AF87EB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завода N 8</w:t>
      </w:r>
    </w:p>
    <w:p w14:paraId="1A227825"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Курчевский, Каплюр</w:t>
      </w:r>
    </w:p>
    <w:p w14:paraId="3767DD5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НИИ ВВС</w:t>
      </w:r>
    </w:p>
    <w:p w14:paraId="26A3FBE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Ратафьев, Мельников, Салищев, Безлюдов.</w:t>
      </w:r>
    </w:p>
    <w:p w14:paraId="7C045CF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производилось:</w:t>
      </w:r>
    </w:p>
    <w:p w14:paraId="4E6FF7A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февраля 1933 г. стрельбой с помоста на земле при горизонтальном положении самолета.</w:t>
      </w:r>
    </w:p>
    <w:p w14:paraId="387BAB7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года стрельбой в воздухе над полигоном УВВС - Монино с посадками для зарядки на аэродр. НИИ Щелково.</w:t>
      </w:r>
    </w:p>
    <w:p w14:paraId="7B6CBA41"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марта 1933 г. стрельбой в воздухе над полигоном УВВС - Монино с посадкой для зарядки на аэродроме Москва.</w:t>
      </w:r>
    </w:p>
    <w:p w14:paraId="1532564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испытания:</w:t>
      </w:r>
    </w:p>
    <w:p w14:paraId="47240B8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выстрелов подряд при испытании с помоста на земле.</w:t>
      </w:r>
    </w:p>
    <w:p w14:paraId="4CDBF77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Осмотр системы и самолета.</w:t>
      </w:r>
    </w:p>
    <w:p w14:paraId="2DB06E0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выстрела с самолета в воздухе.</w:t>
      </w:r>
    </w:p>
    <w:p w14:paraId="6479394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выстрелов с самолета в воздухе.</w:t>
      </w:r>
    </w:p>
    <w:p w14:paraId="1996A6D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выстрелов самолета в воздухе.</w:t>
      </w:r>
    </w:p>
    <w:p w14:paraId="438A73D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p w14:paraId="318B101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февраля 1933 года.</w:t>
      </w:r>
    </w:p>
    <w:p w14:paraId="3EF52E6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сделал перелет с аэродрома Москва на аэродром НИИ-Щелково; был установлен на помосте в горизонтальное положение на высоте 5 м от земли.</w:t>
      </w:r>
    </w:p>
    <w:p w14:paraId="5F01FC6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канал ствола был заложен 1 патрон и в магазин 6 патронов.</w:t>
      </w:r>
    </w:p>
    <w:p w14:paraId="6A3D1D8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выстрелы (7 шт.) были вполне нормальные с автоматической перезарядкой без каких-либо задержек.</w:t>
      </w:r>
    </w:p>
    <w:p w14:paraId="45A3F9D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Осмотр самолета после стрельбы показал отсутствие каких-либо повреждений или деформаций, возникших в результате стрельбы. После чего в канал ствола был заложен 1 патрон и в магазин 3 патрона для дальнейших испытаний в воздухе.</w:t>
      </w:r>
    </w:p>
    <w:p w14:paraId="3EB4E02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взлете Пионтковским была обнаружена неисправная работа мотора.</w:t>
      </w:r>
    </w:p>
    <w:p w14:paraId="3C09498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Осмотр мотора на земле показал неисправную работу 7-го цилиндра в каковом заел выпускной клапан.</w:t>
      </w:r>
    </w:p>
    <w:p w14:paraId="4B57CEA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Дальнейшие испытания были прерваны до окончания ремонта мотора (смена цилиндра и поршня).</w:t>
      </w:r>
    </w:p>
    <w:p w14:paraId="02A00FD3"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марта 1933 года.</w:t>
      </w:r>
    </w:p>
    <w:p w14:paraId="518BD0B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канал ствола был заложен 1 патрон и в магазин 3 патрона. Взлет самолета был сделан с аэродрома НИИ-Щелково и испытание стрельбой над полигоном Монино.</w:t>
      </w:r>
    </w:p>
    <w:p w14:paraId="7BD3E09D"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4 выстрела были нормальные с автоматической перезарядкой. После посадки на аэродроме Щелково в канал ствола был заложен 1 патрон и в магазин 5 патронов.</w:t>
      </w:r>
    </w:p>
    <w:p w14:paraId="0A5CE4D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При стрельбе над полигоном Монино был сделан 1 выстрел - перезарядка не последовала отказал перезаряжающий механизм. При осмотре системы на земле обнаружен разрегулировавшийся стопорный болт питающей рейки. Исправление механизма было исполнено в течение 10 минут на аэродроме.</w:t>
      </w:r>
    </w:p>
    <w:p w14:paraId="28C3E50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после посадки на аэродроме Щелково сделал перелет на аэродром Москва.</w:t>
      </w:r>
    </w:p>
    <w:p w14:paraId="7E36C82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марта 1933 года.</w:t>
      </w:r>
    </w:p>
    <w:p w14:paraId="16A8CB32"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канал ствола был заложен 1 патрон и в магазин 6 патронов. Самолет сделал перелет с аэродрома Москва до полигона Монино произвел там стрельбу; все 7 выстрелов были нормальные и без посадки самолет вернулся на аэродром Москва.</w:t>
      </w:r>
    </w:p>
    <w:p w14:paraId="648806F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Осмотр самолета после стрельб показал отсутствие каких-либо повреждений или деформаций возникших в результате стрельбы.</w:t>
      </w:r>
    </w:p>
    <w:p w14:paraId="51802EB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D8CD50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что самолет и спец. установка из четырех испытаний дала три вполне удовлетворительные, ибо испытание с помоста на земле является для самолета более тяжелым, чем аналогичное испытание в воздухе, а для спецустановки оба испытания совершенно тождественны; комиссия считает состояние самолета и спец. вооружения на нем удовлетворительным и доведенным до состояния, в котором самолет и спец. установка могут быть переданы для государственных испытаний и может быть произведено уже теперь вооружение головных серий этих самолетов, указанной спецустановкой.</w:t>
      </w:r>
    </w:p>
    <w:p w14:paraId="5ED66B3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артиллерийская установка на самолете N 39009 произвела уже около 500 выстрелов и тем самым имеет значительный износ, считать необходимым государственные испытания произвести с новой артиллерийской установкой, поставленной под обоими крыльями.</w:t>
      </w:r>
    </w:p>
    <w:p w14:paraId="62DC748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Курчевскому обеспечить подачу на завод N 39 к 25/III-с.г. 2-х артиллерийских установок, а заводу N 39 к 1/IV с.г. установить их на самолет и произвести одно контрольное испытание в воздухе, после чего передать в НИИ УВВС.</w:t>
      </w:r>
    </w:p>
    <w:p w14:paraId="3E700EF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4 снимка самолета "Z" на помосте на аэродроме Щелково.</w:t>
      </w:r>
    </w:p>
    <w:p w14:paraId="6BFA764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Особое мнение Курчевского по пункту о причине задержки в работе автоматики при испытании 5/III с.г. (второй полет) и о сроках изготовления новых образцов (см. заключение) им еще не представлено и будет приложено к акту дополнительно (2303,5).</w:t>
      </w:r>
    </w:p>
    <w:p w14:paraId="0298D1F3"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3BBAFB78" w14:textId="77777777" w:rsidR="007E5FA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F4DFA2C" w14:textId="77777777" w:rsidR="007E5FA7" w:rsidRPr="0044524F" w:rsidRDefault="007E5FA7" w:rsidP="009654CF">
      <w:pPr>
        <w:spacing w:after="0" w:line="240" w:lineRule="auto"/>
        <w:jc w:val="both"/>
        <w:rPr>
          <w:rFonts w:ascii="Times New Roman" w:hAnsi="Times New Roman"/>
          <w:iCs/>
          <w:color w:val="000000" w:themeColor="text1"/>
          <w:sz w:val="16"/>
          <w:szCs w:val="16"/>
        </w:rPr>
      </w:pPr>
    </w:p>
    <w:p w14:paraId="3D8330B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марта 1933 г. был утвержден отчет полигона № 1Н/268 об испытании стрельбой с тумбы доработанной 76 мм танковой пушки П.Сячентова ПС-3 № 2. Было произведено 1079 выстрелов, в ходе которых все механизмы пушки работали нормально (6208, 42).</w:t>
      </w:r>
    </w:p>
    <w:p w14:paraId="6CF0C84D"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6C411A6C" w14:textId="77777777" w:rsidR="00AD1D3C" w:rsidRPr="0044524F" w:rsidRDefault="00AD1D3C" w:rsidP="009654CF">
      <w:pPr>
        <w:pStyle w:val="rtejustify"/>
        <w:spacing w:before="0" w:after="0"/>
        <w:rPr>
          <w:color w:val="000000" w:themeColor="text1"/>
          <w:sz w:val="16"/>
          <w:szCs w:val="16"/>
        </w:rPr>
      </w:pPr>
      <w:r w:rsidRPr="0044524F">
        <w:rPr>
          <w:rStyle w:val="af0"/>
          <w:bCs/>
          <w:i w:val="0"/>
          <w:color w:val="000000" w:themeColor="text1"/>
          <w:sz w:val="16"/>
          <w:szCs w:val="16"/>
        </w:rPr>
        <w:t>11 марта</w:t>
      </w:r>
      <w:r w:rsidRPr="0044524F">
        <w:rPr>
          <w:color w:val="000000" w:themeColor="text1"/>
          <w:sz w:val="16"/>
          <w:szCs w:val="16"/>
        </w:rPr>
        <w:t xml:space="preserve"> 1933. Постановление СТО СССР № 5сс/о «О титульных списках оборонных капитальных работ на 1933 г.». (ГАРФ. Ф. Р</w:t>
      </w:r>
      <w:r w:rsidRPr="0044524F">
        <w:rPr>
          <w:color w:val="000000" w:themeColor="text1"/>
          <w:sz w:val="16"/>
          <w:szCs w:val="16"/>
        </w:rPr>
        <w:noBreakHyphen/>
        <w:t>8418. Оп. 28. Д. 1. Л. 6</w:t>
      </w:r>
      <w:r w:rsidRPr="0044524F">
        <w:rPr>
          <w:color w:val="000000" w:themeColor="text1"/>
          <w:sz w:val="16"/>
          <w:szCs w:val="16"/>
        </w:rPr>
        <w:noBreakHyphen/>
        <w:t>70) (15460).</w:t>
      </w:r>
    </w:p>
    <w:p w14:paraId="189F832B" w14:textId="77777777" w:rsidR="00AD1D3C" w:rsidRPr="0044524F" w:rsidRDefault="00AD1D3C" w:rsidP="009654CF">
      <w:pPr>
        <w:pStyle w:val="rtejustify"/>
        <w:spacing w:before="0" w:after="0"/>
        <w:rPr>
          <w:color w:val="000000" w:themeColor="text1"/>
          <w:sz w:val="16"/>
          <w:szCs w:val="16"/>
        </w:rPr>
      </w:pPr>
    </w:p>
    <w:p w14:paraId="3A77CBAF" w14:textId="77777777" w:rsidR="00AD1D3C" w:rsidRPr="0044524F" w:rsidRDefault="00AD1D3C"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11 марта 1933 г. </w:t>
      </w:r>
      <w:r w:rsidRPr="0044524F">
        <w:rPr>
          <w:rFonts w:ascii="Times New Roman" w:hAnsi="Times New Roman"/>
          <w:color w:val="000000" w:themeColor="text1"/>
          <w:sz w:val="16"/>
          <w:szCs w:val="16"/>
        </w:rPr>
        <w:t>Постановление СТО СССР¹* № 5сс/о «О титульных списках оборонных капитальных работ на 1933 г.»</w:t>
      </w:r>
    </w:p>
    <w:p w14:paraId="20CDC1DB" w14:textId="77777777" w:rsidR="00AD1D3C" w:rsidRPr="0044524F" w:rsidRDefault="00AD1D3C"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1092BAC4"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Совет труда и обороны постановляет:</w:t>
      </w:r>
    </w:p>
    <w:p w14:paraId="68139A43"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По Наркомтяжпрому: 1. Утвердить объем капитальных работ и прилагаемые титульные списки военной и авиационной промышленности²* в нижеследующих по объединениям и трестам суммах: Глававиапром³* — 186 500 тыс. руб.; Орудийно-арсенальное объединение — 92 625 тыс. руб.; Ружпулетрест — 54 283 тыс. руб.; Патрубвзрыв — 30 410 тыс. руб.; Снарядный трест — 40 134 тыс. руб.; Спецмаштрест — 16 303 тыс. руб.; Вохимтрест — 58 733 тыс. руб.; Всесоюзный трест искусственного волокна (ВИВ) — 52 183 тыс. руб.; Пермский химкомбинат — 6000 тыс. руб.; ВХНИИ (Москва) — 4056 тыс. руб.; ВХНИИ (Харьков) — 1000 тыс. руб.; Кемеровский комбинат — 12 700 тыс. руб.; Бензоскладстрой — 17 456 тыс. руб.; перспективное проектирование и жилстроительство ГВМУ⁴* — 717 тыс. руб. Итого — 573 100 тыс. руб.</w:t>
      </w:r>
    </w:p>
    <w:p w14:paraId="5311EADC"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2. Утвердить титульный список капитальных работ узкооборонного значения по промышленности НКТП в объеме 136 410 тыс. руб.</w:t>
      </w:r>
    </w:p>
    <w:p w14:paraId="716BD0B0"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И по прочим наркоматам: по Наркомлегпрому — 2839 руб.; по Наркомлеспрому — 36 296 руб.; по Наркомснабу — 29 200 руб.; по НКПС⁵* — 112 000 руб.; по НКВоду — 38 000 руб.; по Цудотрансу⁶* — 53 000 руб.; по НКСвязи⁷* — 22 400 руб.; по сельскому хозяйству — 26 059,3 руб.; по Центросоюзу — 12 230 руб.; по Комзаготовок при СНК⁸* — 5530 руб.; по войскам ОГПУ⁹* — 93 000 руб.; по конвойным войскам — 3000 руб.; по противовоздушной обороне — 21 993,4 руб.; по Осоавиахиму¹⁰* — 9000 руб.</w:t>
      </w:r>
    </w:p>
    <w:p w14:paraId="5031D6D0" w14:textId="77777777" w:rsidR="00AD1D3C" w:rsidRPr="0044524F" w:rsidRDefault="00AD1D3C" w:rsidP="009654CF">
      <w:pPr>
        <w:pStyle w:val="ae"/>
        <w:spacing w:before="0" w:after="0"/>
        <w:jc w:val="both"/>
        <w:rPr>
          <w:color w:val="000000" w:themeColor="text1"/>
          <w:sz w:val="16"/>
          <w:szCs w:val="16"/>
        </w:rPr>
      </w:pPr>
      <w:r w:rsidRPr="0044524F">
        <w:rPr>
          <w:rStyle w:val="af0"/>
          <w:i w:val="0"/>
          <w:color w:val="000000" w:themeColor="text1"/>
          <w:sz w:val="16"/>
          <w:szCs w:val="16"/>
        </w:rPr>
        <w:t>Председатель Совета труда и обороны СССР В. Молотов/Скрябин</w:t>
      </w:r>
    </w:p>
    <w:p w14:paraId="230AD28A" w14:textId="77777777" w:rsidR="00AD1D3C" w:rsidRPr="0044524F" w:rsidRDefault="00AD1D3C"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713BBDF7"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Совет труда и обороны (СТО) при Совете народных комиссаров СССР</w:t>
      </w:r>
      <w:r w:rsidRPr="0044524F">
        <w:rPr>
          <w:color w:val="000000" w:themeColor="text1"/>
          <w:sz w:val="16"/>
          <w:szCs w:val="16"/>
        </w:rPr>
        <w:t xml:space="preserve"> был образован постановлением СНК СССР от 17 июля 1923 г. в соответствии с решением 2</w:t>
      </w:r>
      <w:r w:rsidRPr="0044524F">
        <w:rPr>
          <w:color w:val="000000" w:themeColor="text1"/>
          <w:sz w:val="16"/>
          <w:szCs w:val="16"/>
        </w:rPr>
        <w:noBreakHyphen/>
        <w:t>й сессии ЦИК СССР. Состав СТО СССР назначался Совнаркомом СССР. СТО СССР составлял хозяйственные и финансовые планы, корректировал их в соответствии с экономической и политической обстановкой, руководил работой наркоматов в области хозяйственных и оборонных мероприятий, ведал рассмотрением вопросов обороны страны и мерами по улучшению военного дела. СТО СССР издавал обязательные для всех центральных и местных органов власти постановления, распоряжения и инструкции, рассматривал вопросы управления и финансирования различных отраслей народного хозяйства. СТО действовал на правах комиссии СНК СССР, для обеспечения текущей работы пользовался рабочим аппаратом СНК СССР. 28 апреля 1937 г. был упразднен постановлением ЦИК СССР, его функции были переданы Экономическому совету при СНК СССР.</w:t>
      </w:r>
    </w:p>
    <w:p w14:paraId="1BF391A9"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²* Приложения не публикуются (см. там же л. 8</w:t>
      </w:r>
      <w:r w:rsidRPr="0044524F">
        <w:rPr>
          <w:color w:val="000000" w:themeColor="text1"/>
          <w:sz w:val="16"/>
          <w:szCs w:val="16"/>
        </w:rPr>
        <w:noBreakHyphen/>
        <w:t>10).</w:t>
      </w:r>
    </w:p>
    <w:p w14:paraId="6A27CDA5"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 xml:space="preserve">³* На основании постановления ЦИК и СНК СССР от 5 января 1932 г. и приказа НКТП СССР № 1 от 10 января 1932 г. </w:t>
      </w:r>
      <w:r w:rsidRPr="0044524F">
        <w:rPr>
          <w:rStyle w:val="af0"/>
          <w:bCs/>
          <w:i w:val="0"/>
          <w:color w:val="000000" w:themeColor="text1"/>
          <w:sz w:val="16"/>
          <w:szCs w:val="16"/>
        </w:rPr>
        <w:t>Главное управление авиационной промышленности (Глававиапром, ГУАП)</w:t>
      </w:r>
      <w:r w:rsidRPr="0044524F">
        <w:rPr>
          <w:color w:val="000000" w:themeColor="text1"/>
          <w:sz w:val="16"/>
          <w:szCs w:val="16"/>
        </w:rPr>
        <w:t xml:space="preserve"> ВСНХ СССР было передано в ведение НКТП СССР. Глававиапром сохранил прежние функции и структуру: завод — трест — управление, и был подчинен непосредственно наркому тяжелой промышленности. Главк осуществлял техническое и организационно-хозяйственное руководство отраслью и предприятиями, распоряжение финансовыми и материальными ресурсами. В соответствии с постановлением СНК СССР № 2139-425с от 21 декабря 1936^. и на основании приказа НКОП № 454сс от 23 декабря 1936 г. Глававиапром был передан в ведение Наркомата оборонной промышленности СССР. Приказом НКОП № 6сс от 30 декабря 1936 г. Глававиапром переименован в 1</w:t>
      </w:r>
      <w:r w:rsidRPr="0044524F">
        <w:rPr>
          <w:color w:val="000000" w:themeColor="text1"/>
          <w:sz w:val="16"/>
          <w:szCs w:val="16"/>
        </w:rPr>
        <w:noBreakHyphen/>
        <w:t>е Главное управление НКОП. В его состав вошли 45 номерных заводов, Центральный аэрогидродинамический институт им. Жуковского (ЦАГИ), Центральный научно-исследовательский институт авиационного моторостроения (ЦИАМ), Всесоюзный научно-исследовательский институт авиационных материалов (ВИАМ), ряд других авиационных институтов и техникумов, объединение «Дирежаблестрой». (ГАРФ. Ф. 8418. Оп. 5. Д. 163. Л. 43</w:t>
      </w:r>
      <w:r w:rsidRPr="0044524F">
        <w:rPr>
          <w:color w:val="000000" w:themeColor="text1"/>
          <w:sz w:val="16"/>
          <w:szCs w:val="16"/>
        </w:rPr>
        <w:noBreakHyphen/>
        <w:t>43 об.; РГАЭ. Ф. 8328. Оп. 3. И/с; Ф. 7515. И/с).</w:t>
      </w:r>
    </w:p>
    <w:p w14:paraId="14091733"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⁴* </w:t>
      </w:r>
      <w:r w:rsidRPr="0044524F">
        <w:rPr>
          <w:rStyle w:val="af0"/>
          <w:bCs/>
          <w:i w:val="0"/>
          <w:color w:val="000000" w:themeColor="text1"/>
          <w:sz w:val="16"/>
          <w:szCs w:val="16"/>
        </w:rPr>
        <w:t>Главное военно-мобилизационном управление (ГВМУ)</w:t>
      </w:r>
      <w:r w:rsidRPr="0044524F">
        <w:rPr>
          <w:color w:val="000000" w:themeColor="text1"/>
          <w:sz w:val="16"/>
          <w:szCs w:val="16"/>
        </w:rPr>
        <w:t xml:space="preserve"> НКТП СССР было организовано на основании приказа № 25с НКТП от 7 февраля 1932 г. и подчинено непосредственно наркомату. ГВМУ с 1932 г. по 1935 г. объединяло в своей структуре Авиатрест, Орудийно-арсенальное объединение, Оружейно-пулеметный трест, объединение «Паттрубвзрыв», Военно-химический трест, Снарядный трест, Спецмаштрест, Всесоюзный трест искусственного волокна, Бензоскладстрой (всего более 120 заводов). Выполняло следующие функции: планирование и руководство всей военной промышленностью, регулирование и контроль деятельности предприятий, руководство технической реконструкцией, освоение новой техники и производств, организация финансовой политики и труда. ГВМУ ликвидировано на основании постановления № 51с СНК СССР от 17 декабря 1935 г. и приказа № 1337 НКТП от 19 декабря 1935 г. На его базе было создано два новых управления — Главное управление военной промышленности и Главное управление боеприпасов, выполнявших те же функции.</w:t>
      </w:r>
    </w:p>
    <w:p w14:paraId="3BCBB45A"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⁵* </w:t>
      </w:r>
      <w:r w:rsidRPr="0044524F">
        <w:rPr>
          <w:rStyle w:val="af0"/>
          <w:bCs/>
          <w:i w:val="0"/>
          <w:color w:val="000000" w:themeColor="text1"/>
          <w:sz w:val="16"/>
          <w:szCs w:val="16"/>
        </w:rPr>
        <w:t>Народный комиссариат путей сообщения (НКПС)</w:t>
      </w:r>
      <w:r w:rsidRPr="0044524F">
        <w:rPr>
          <w:color w:val="000000" w:themeColor="text1"/>
          <w:sz w:val="16"/>
          <w:szCs w:val="16"/>
        </w:rPr>
        <w:t xml:space="preserve"> СССР был создан в 1923 г., как орган руководства железнодорожным морским и речным транспортом, шоссейными и грунтовыми дорогами, а также общего надзора за всеми видами транспорта. В конце 1932 г. — 1934 г. в структуре НКПС было проведено несколько реорганизаций, в том числе, центрального аппарата, управлений, отделов, трестов, объединений, институтов, хозрасчетных органов, были созданы политотделы на железнодорожном транспорте, а также отдел по рабочему снабжению. Вопросами мобилизации железнодорожного транспорта занимался мобилизационный отдел. Постановлением СНК от 10 февраля 1935 г. был утвержден новый Устав железных дорог СССР, который был введен с 15 марта 1935 г. В 1935 г. была также проведена организационная перестройка аппарата управления транспорта: ликвидировалось Центральное управление делами при наркоме, и взамен его создан секретариат; Административно-организационное управление реорганизовано в Управление делами НКПС; при Управлении делами создан Особый сектор, который в оперативном отношении подчинялся секретариату наркома; группа контроля и инспекция при наркоме соединялись в единую контрольно-инспекторскую группу; Техническое совещание реорганизовано в Научно-технический совет при наркоме для решения вопросов реконструкции железнодорожного транспорта. Некоторые структурные изменения были внесены приказом НКПС № 320 от 16 апреля 1936 г., тогда были созданы новые управления (движения, пассажирское, грузовое и др.). (РГАЭ. Ф. 1884. И/с).</w:t>
      </w:r>
    </w:p>
    <w:p w14:paraId="10D2BCB6"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 xml:space="preserve">⁶* В 1931 г. из НКПС в самостоятельную отрасль управления были выделены автотранспорт и дороги, для чего автомобильный отдел Центрального управления местного транспорта был реорганизован в </w:t>
      </w:r>
      <w:r w:rsidRPr="0044524F">
        <w:rPr>
          <w:rStyle w:val="af0"/>
          <w:bCs/>
          <w:i w:val="0"/>
          <w:color w:val="000000" w:themeColor="text1"/>
          <w:sz w:val="16"/>
          <w:szCs w:val="16"/>
        </w:rPr>
        <w:t>Центральное управление шоссейных и грунтовых дорог и автомобильного транспорта (Цудотранс)</w:t>
      </w:r>
      <w:r w:rsidRPr="0044524F">
        <w:rPr>
          <w:color w:val="000000" w:themeColor="text1"/>
          <w:sz w:val="16"/>
          <w:szCs w:val="16"/>
        </w:rPr>
        <w:t>. С 1931 г. по 1935 г. Цудотранс был подчинен СНК СССР. Постановлением СНК СССР от 13 января 1932 г. было утверждено «Положение о Всесоюзном центральном управлении шоссейных и грунтовых дорог и автомобильного транспорта при СНК СССР», которое расширило задачи Цудотранса. Оно определило, что «Всесоюзное центральное управление шоссейных и грунтовых дорог и автомобильного транспорта при Совете народных комиссаров СССР имеет задачи руководства, планирования и регулирования дорожного хозяйства и автомобильного транспорта, а также транспортно-эксплуатационного и складского дела». Постановлением ЦИК и СНК СССР от 28 октября 1935 г. Цудотранс передан в состав НКВД СССР, а в марте 1936 г. реорганизован в Главное управление шоссейных дорог (Гушосдор) НКВД СССР.</w:t>
      </w:r>
    </w:p>
    <w:p w14:paraId="7F9E47B0"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lastRenderedPageBreak/>
        <w:t xml:space="preserve">⁷* В 1932 г. Народный комиссариат почт и телеграфов СССР был преобразован в </w:t>
      </w:r>
      <w:r w:rsidRPr="0044524F">
        <w:rPr>
          <w:rStyle w:val="af0"/>
          <w:bCs/>
          <w:i w:val="0"/>
          <w:color w:val="000000" w:themeColor="text1"/>
          <w:sz w:val="16"/>
          <w:szCs w:val="16"/>
        </w:rPr>
        <w:t>Наркомат связи СССР</w:t>
      </w:r>
      <w:r w:rsidRPr="0044524F">
        <w:rPr>
          <w:color w:val="000000" w:themeColor="text1"/>
          <w:sz w:val="16"/>
          <w:szCs w:val="16"/>
        </w:rPr>
        <w:t>. Функции наркомата расширились: в его ведении находились почта, телеграф, телефон, радио, контроль за строительством и эксплуатацией всех видов электросвязи и радиовещания, находящихся в ведении других ведомств, обеспечение связи с иностранными государствами. В 1934 г. Наркомат связи СССР и местные управления связи перестроились по производственно-отраслевому принципу. В 1935 г. в органах связи был введен дисциплинарный устав.</w:t>
      </w:r>
    </w:p>
    <w:p w14:paraId="76312644"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⁸* </w:t>
      </w:r>
      <w:r w:rsidRPr="0044524F">
        <w:rPr>
          <w:rStyle w:val="af0"/>
          <w:bCs/>
          <w:i w:val="0"/>
          <w:color w:val="000000" w:themeColor="text1"/>
          <w:sz w:val="16"/>
          <w:szCs w:val="16"/>
        </w:rPr>
        <w:t>Совет народных комиссаров СССР</w:t>
      </w:r>
      <w:r w:rsidRPr="0044524F">
        <w:rPr>
          <w:color w:val="000000" w:themeColor="text1"/>
          <w:sz w:val="16"/>
          <w:szCs w:val="16"/>
        </w:rPr>
        <w:t xml:space="preserve"> был образован 2</w:t>
      </w:r>
      <w:r w:rsidRPr="0044524F">
        <w:rPr>
          <w:color w:val="000000" w:themeColor="text1"/>
          <w:sz w:val="16"/>
          <w:szCs w:val="16"/>
        </w:rPr>
        <w:noBreakHyphen/>
        <w:t>й сессией ЦИК 6 июля 1923 г., 17 июля правительство приступило к своим обязанностям. Согласно Конституции 1924 г. СНК являлся исполнительным и распорядительным органом ЦИК СССР, образовывался им на срок полномочий ЦИК и должен был регулярно отчитываться на съездах Советов СССР и сессиях ЦИК СССР. СНК занимался организацией непосредственного руководства народным хозяйством и всеми другими отраслями государственной жизни. СНК руководил деятельностью наркоматов, улаживал разногласия между отдельными ведомствами, утверждал концессионные договоры, разрешал споры между совнаркомами союзных республик, рассматривал жалобы на постановления СТО СССР, на распоряжения наркомов, утверждал штаты общесоюзных учреждений, назначал их руководителей. На СНК возлагалась также и законодательная работа — предварительное рассмотрение проектов декретов и постановлений, которые затем представлялись на утверждение ЦИК СССР и его президиума. С начала 30</w:t>
      </w:r>
      <w:r w:rsidRPr="0044524F">
        <w:rPr>
          <w:color w:val="000000" w:themeColor="text1"/>
          <w:sz w:val="16"/>
          <w:szCs w:val="16"/>
        </w:rPr>
        <w:noBreakHyphen/>
        <w:t>х годов все законопроекты должны были предварительно вноситься на рассмотрение СНК СССР.</w:t>
      </w:r>
    </w:p>
    <w:p w14:paraId="5695FE4E"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⁹* </w:t>
      </w:r>
      <w:r w:rsidRPr="0044524F">
        <w:rPr>
          <w:rStyle w:val="af0"/>
          <w:bCs/>
          <w:i w:val="0"/>
          <w:color w:val="000000" w:themeColor="text1"/>
          <w:sz w:val="16"/>
          <w:szCs w:val="16"/>
        </w:rPr>
        <w:t>Объединенное государственное политическое управление (ОГПУ)</w:t>
      </w:r>
      <w:r w:rsidRPr="0044524F">
        <w:rPr>
          <w:color w:val="000000" w:themeColor="text1"/>
          <w:sz w:val="16"/>
          <w:szCs w:val="16"/>
        </w:rPr>
        <w:t xml:space="preserve"> при СНК СССР было создано на основе ГПУ РСФСР и союзных республик в 1923 г. для координации действий союзных республик в области укрепления госбезопасности. В подчинении ОГПУ находились пограничные войска и особые отделы РККА. Рассмотрением вопросов военной промышленности занимался Особый отдел. 19 ноября 1927 г. приказом ОГПУ обслуживание военной промышленности было передано в Экономическое управление ОГПУ, для чего в его составе было организовано специальное 9</w:t>
      </w:r>
      <w:r w:rsidRPr="0044524F">
        <w:rPr>
          <w:color w:val="000000" w:themeColor="text1"/>
          <w:sz w:val="16"/>
          <w:szCs w:val="16"/>
        </w:rPr>
        <w:noBreakHyphen/>
        <w:t>е отделение со следующими функциями: «1) обслуживание военной промышленности и военного производства на гражданских предприятиях; 2) наблюдение за мобготовностью промышленности и гражданских наркоматов». Руководство работой отделения возлагалось на помощника начальника Экономического управления, с одновременным подчинением его начальникам Особого и Контрразведывательного отделов ОГПУ. Постановлением ЦИК СССР 10 июля 1934 г. на базе ОГПУ СССР был создан Народный комиссариат внутренних дел (НКВД) СССР. (ЦА ФСБ РФ. Ф. 66. Оп. 1</w:t>
      </w:r>
      <w:r w:rsidRPr="0044524F">
        <w:rPr>
          <w:color w:val="000000" w:themeColor="text1"/>
          <w:sz w:val="16"/>
          <w:szCs w:val="16"/>
        </w:rPr>
        <w:noBreakHyphen/>
        <w:t>т. Пор. 4. Л. 9).</w:t>
      </w:r>
    </w:p>
    <w:p w14:paraId="5349DD10" w14:textId="77777777" w:rsidR="00AD1D3C" w:rsidRPr="0044524F" w:rsidRDefault="00AD1D3C" w:rsidP="009654CF">
      <w:pPr>
        <w:pStyle w:val="rtejustify"/>
        <w:spacing w:before="0" w:after="0"/>
        <w:rPr>
          <w:color w:val="000000" w:themeColor="text1"/>
          <w:sz w:val="16"/>
          <w:szCs w:val="16"/>
        </w:rPr>
      </w:pPr>
      <w:r w:rsidRPr="0044524F">
        <w:rPr>
          <w:color w:val="000000" w:themeColor="text1"/>
          <w:sz w:val="16"/>
          <w:szCs w:val="16"/>
        </w:rPr>
        <w:t>¹⁰* </w:t>
      </w:r>
      <w:r w:rsidRPr="0044524F">
        <w:rPr>
          <w:rStyle w:val="af0"/>
          <w:bCs/>
          <w:i w:val="0"/>
          <w:color w:val="000000" w:themeColor="text1"/>
          <w:sz w:val="16"/>
          <w:szCs w:val="16"/>
        </w:rPr>
        <w:t>Общество содействия обороне, авиационному и химическому строительству (Осоавиахим)</w:t>
      </w:r>
      <w:r w:rsidRPr="0044524F">
        <w:rPr>
          <w:color w:val="000000" w:themeColor="text1"/>
          <w:sz w:val="16"/>
          <w:szCs w:val="16"/>
        </w:rPr>
        <w:t> — добровольная общественная военно-патриотическая организация, созданная 23 января 1927 г. слиянием Авиахима и Общества содействия обороне СССР. Основными задачами Осоавиахима являлись: развертывание оборонно-массовой работы, содействие развитию авиационной и химической промышленности, распространение военных знаний среди населения и воспитание его в духе советского патриотизма. Общество просуществовало до 1948 г.</w:t>
      </w:r>
    </w:p>
    <w:p w14:paraId="53B289C6" w14:textId="77777777" w:rsidR="00AD1D3C" w:rsidRPr="0044524F" w:rsidRDefault="00AD1D3C" w:rsidP="009654CF">
      <w:pPr>
        <w:pStyle w:val="ae"/>
        <w:spacing w:before="0" w:after="0"/>
        <w:jc w:val="both"/>
        <w:rPr>
          <w:color w:val="000000" w:themeColor="text1"/>
          <w:sz w:val="16"/>
          <w:szCs w:val="16"/>
        </w:rPr>
      </w:pPr>
      <w:r w:rsidRPr="0044524F">
        <w:rPr>
          <w:color w:val="000000" w:themeColor="text1"/>
          <w:sz w:val="16"/>
          <w:szCs w:val="16"/>
        </w:rPr>
        <w:t>ГА РФ. Ф. Р-8418. Оп. 28. Д. 1. Л. 6-7. Подлинник (15254).</w:t>
      </w:r>
    </w:p>
    <w:p w14:paraId="035C5E67" w14:textId="77777777" w:rsidR="00AD1D3C" w:rsidRPr="0044524F" w:rsidRDefault="00AD1D3C" w:rsidP="009654CF">
      <w:pPr>
        <w:spacing w:after="0" w:line="240" w:lineRule="auto"/>
        <w:jc w:val="both"/>
        <w:rPr>
          <w:rFonts w:ascii="Times New Roman" w:hAnsi="Times New Roman"/>
          <w:iCs/>
          <w:color w:val="000000" w:themeColor="text1"/>
          <w:sz w:val="16"/>
          <w:szCs w:val="16"/>
        </w:rPr>
      </w:pPr>
    </w:p>
    <w:p w14:paraId="099E575C" w14:textId="77777777" w:rsidR="001512A9" w:rsidRPr="0044524F" w:rsidRDefault="001512A9" w:rsidP="009654CF">
      <w:pPr>
        <w:spacing w:after="0" w:line="240" w:lineRule="auto"/>
        <w:jc w:val="both"/>
        <w:rPr>
          <w:rFonts w:ascii="Times New Roman" w:hAnsi="Times New Roman"/>
          <w:color w:val="000000" w:themeColor="text1"/>
          <w:sz w:val="16"/>
          <w:szCs w:val="16"/>
          <w:shd w:val="clear" w:color="auto" w:fill="E4E3E3"/>
        </w:rPr>
      </w:pPr>
      <w:r w:rsidRPr="0044524F">
        <w:rPr>
          <w:rFonts w:ascii="Times New Roman" w:hAnsi="Times New Roman"/>
          <w:color w:val="000000" w:themeColor="text1"/>
          <w:sz w:val="16"/>
          <w:szCs w:val="16"/>
        </w:rPr>
        <w:t>11 марта 1933 г. в показаниях Мовчана по поводу Угрешского химзавода от читаем: "В отношении вредительства было решено: поддерживать существующие неполадки завода, производить задержку работ завода и принимать все меры к срыву производственной программы завода". Но уже 16 марта тот же подследственный заявил, что даже в этом, совершенно невинном по сравнению с "фашистской диктатурой" направлении не было сделано практически ничего, ибо вместо "организованного вредительства" постановили: "на первое время в целях маскировки целесообразно ограничиться тем, что пассивно относиться к существующим неполадкам на заводе и задержке ремонта, производимого механическим цехом".</w:t>
      </w:r>
    </w:p>
    <w:p w14:paraId="1A8A11E8" w14:textId="77777777" w:rsidR="001512A9" w:rsidRPr="0044524F" w:rsidRDefault="001512A9" w:rsidP="009654CF">
      <w:pPr>
        <w:spacing w:after="0" w:line="240" w:lineRule="auto"/>
        <w:jc w:val="both"/>
        <w:rPr>
          <w:rFonts w:ascii="Times New Roman" w:hAnsi="Times New Roman"/>
          <w:color w:val="000000" w:themeColor="text1"/>
          <w:sz w:val="16"/>
          <w:szCs w:val="16"/>
          <w:shd w:val="clear" w:color="auto" w:fill="E4E3E3"/>
        </w:rPr>
      </w:pPr>
      <w:r w:rsidRPr="0044524F">
        <w:rPr>
          <w:rFonts w:ascii="Times New Roman" w:hAnsi="Times New Roman"/>
          <w:color w:val="000000" w:themeColor="text1"/>
          <w:sz w:val="16"/>
          <w:szCs w:val="16"/>
        </w:rPr>
        <w:t>Следом Мовчан приводил целый список мелких вредительских деяний, которые не тянут не то что на расстрельную статью, но и, скорее всего, на наказание в виде несоответствия занимаемой должности. Сам допрашиваемый каялся, к примеру, в том, что "сорван пуск блоков "Х" и "Ж" умышленным пуском мною чертежей в работу с явными ошибками". Вряд ли и производивший допрос чекист Столяров понимал вредительскую сущность такого, например, деяния: "С ведома технорука инж. Галковича и нач. бл. "Э" инж. Соловьева на электролитические ванны "Кребс" нередко подавался рассол, не отстоявшийся и не отфильтрованный, т.е. не чистый, под предлогом невозможности создать запас чистого рассола из затвердевшей на складе соли" (19523).</w:t>
      </w:r>
    </w:p>
    <w:p w14:paraId="3DDDAE93" w14:textId="77777777" w:rsidR="001512A9" w:rsidRPr="0044524F" w:rsidRDefault="001512A9" w:rsidP="009654CF">
      <w:pPr>
        <w:spacing w:after="0" w:line="240" w:lineRule="auto"/>
        <w:jc w:val="both"/>
        <w:rPr>
          <w:rFonts w:ascii="Times New Roman" w:hAnsi="Times New Roman"/>
          <w:color w:val="000000" w:themeColor="text1"/>
          <w:sz w:val="16"/>
          <w:szCs w:val="16"/>
        </w:rPr>
      </w:pPr>
    </w:p>
    <w:p w14:paraId="7C7F0734" w14:textId="77777777" w:rsidR="007E5FA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04452DF" w14:textId="77777777" w:rsidR="007E5FA7" w:rsidRPr="0044524F" w:rsidRDefault="007E5FA7" w:rsidP="009654CF">
      <w:pPr>
        <w:spacing w:after="0" w:line="240" w:lineRule="auto"/>
        <w:jc w:val="both"/>
        <w:rPr>
          <w:rFonts w:ascii="Times New Roman" w:hAnsi="Times New Roman"/>
          <w:iCs/>
          <w:color w:val="000000" w:themeColor="text1"/>
          <w:sz w:val="16"/>
          <w:szCs w:val="16"/>
        </w:rPr>
      </w:pPr>
    </w:p>
    <w:p w14:paraId="3B6CDD4C" w14:textId="77777777" w:rsidR="00B02BDF" w:rsidRPr="0044524F" w:rsidRDefault="00B02BD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11 марта 1933 СТО утвердило предложения, подготовленные комиссией Куйбышева. Оно установило принципиально новые ориентиры для фактически реорганизованного ГУСМП, теперь мало напоминавшего тот, что был образован только два месяца назад.</w:t>
      </w:r>
    </w:p>
    <w:p w14:paraId="5A72827A" w14:textId="77777777" w:rsidR="00B02BDF" w:rsidRPr="0044524F" w:rsidRDefault="00B02BD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целях развития естественных производительных сил Севера, правильной их эксплуатации, наиболее эффективного их использования, усиления руководства и лучшего использования кадров, Совет труда и обороны постановляет: 1. Всесоюзное объединение НК Внешторга «Комсеверопуть» со всеми его активами и пассивами передать Главному управлению Северного морского пути при СНК СССР. 2. Поручить Главному управлению Северного морского пути ликвидировать «Комсеверопуть» как объединение и на его базе создать в системе ГУСМП следующие хозрасчетные организации: а) Таймырский трест с центром в Игарке, б) Северо-Уральский трест с центром в Обдорске, в) Якутский комбинат с центром в Якутске» (20467).</w:t>
      </w:r>
    </w:p>
    <w:p w14:paraId="7604624D" w14:textId="77777777" w:rsidR="00B02BDF" w:rsidRPr="0044524F" w:rsidRDefault="00B02BDF" w:rsidP="009654CF">
      <w:pPr>
        <w:spacing w:after="0" w:line="240" w:lineRule="auto"/>
        <w:jc w:val="both"/>
        <w:rPr>
          <w:rFonts w:ascii="Times New Roman" w:hAnsi="Times New Roman"/>
          <w:color w:val="000000" w:themeColor="text1"/>
          <w:sz w:val="16"/>
          <w:szCs w:val="16"/>
        </w:rPr>
      </w:pPr>
    </w:p>
    <w:p w14:paraId="5FC09D92" w14:textId="77777777" w:rsidR="00F47692" w:rsidRPr="00142305" w:rsidRDefault="00F47692" w:rsidP="00F4769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11 марта 1933 г. по предложению комиссии В.В. Куй</w:t>
      </w:r>
      <w:r w:rsidRPr="00142305">
        <w:rPr>
          <w:rStyle w:val="aff"/>
          <w:rFonts w:ascii="Times New Roman" w:hAnsi="Times New Roman" w:cs="Times New Roman"/>
          <w:color w:val="0070C0"/>
          <w:spacing w:val="0"/>
          <w:sz w:val="16"/>
          <w:szCs w:val="16"/>
        </w:rPr>
        <w:softHyphen/>
        <w:t>бышева СТО принял постановление об объединении «Комсеверпути» с ГУСМП.</w:t>
      </w:r>
    </w:p>
    <w:p w14:paraId="7B69D70E" w14:textId="77777777" w:rsidR="00F47692" w:rsidRPr="00142305" w:rsidRDefault="00F47692" w:rsidP="00F4769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Из-за мирового кризиса заготовка леса и пушнины, которой 13 лет успешно занимался «Комсеверпуть», стало убыточным.</w:t>
      </w:r>
    </w:p>
    <w:p w14:paraId="266C3F4E"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постановлении подчёркивалось: «В целях разви</w:t>
      </w:r>
      <w:r w:rsidRPr="00142305">
        <w:rPr>
          <w:rStyle w:val="aff"/>
          <w:rFonts w:ascii="Times New Roman" w:hAnsi="Times New Roman" w:cs="Times New Roman"/>
          <w:color w:val="0070C0"/>
          <w:spacing w:val="0"/>
          <w:sz w:val="16"/>
          <w:szCs w:val="16"/>
        </w:rPr>
        <w:softHyphen/>
        <w:t>тия естественных производительных сил Севера, правильной их эксплуатации, наиболее эффективного их использования, усиления руководства и лучшего использования кадров, Совет труда и обороны постановляет:</w:t>
      </w:r>
    </w:p>
    <w:p w14:paraId="21C559B2" w14:textId="77777777" w:rsidR="00F47692" w:rsidRPr="00142305" w:rsidRDefault="00F47692" w:rsidP="00F47692">
      <w:pPr>
        <w:widowControl w:val="0"/>
        <w:tabs>
          <w:tab w:val="left" w:pos="54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Всесоюзное объединение НК Внешторга «Комсевер</w:t>
      </w:r>
      <w:r w:rsidRPr="00142305">
        <w:rPr>
          <w:rStyle w:val="aff"/>
          <w:rFonts w:ascii="Times New Roman" w:hAnsi="Times New Roman" w:cs="Times New Roman"/>
          <w:color w:val="0070C0"/>
          <w:spacing w:val="0"/>
          <w:sz w:val="16"/>
          <w:szCs w:val="16"/>
        </w:rPr>
        <w:softHyphen/>
        <w:t>путь» со всеми его активами и пассивами передать Главному управлению Северного морского пути при СНК СССР.</w:t>
      </w:r>
    </w:p>
    <w:p w14:paraId="2B0ECAA5" w14:textId="77777777" w:rsidR="00F47692" w:rsidRPr="00142305" w:rsidRDefault="00F47692" w:rsidP="00F47692">
      <w:pPr>
        <w:widowControl w:val="0"/>
        <w:tabs>
          <w:tab w:val="left" w:pos="562"/>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Поручить Главному управлению Северного морского пути ликвидировать «Комсеверпуть» как объединение и на его базе создать в системе ГУСМП следующие хозрасчёт</w:t>
      </w:r>
      <w:r w:rsidRPr="00142305">
        <w:rPr>
          <w:rStyle w:val="aff"/>
          <w:rFonts w:ascii="Times New Roman" w:hAnsi="Times New Roman" w:cs="Times New Roman"/>
          <w:color w:val="0070C0"/>
          <w:spacing w:val="0"/>
          <w:sz w:val="16"/>
          <w:szCs w:val="16"/>
        </w:rPr>
        <w:softHyphen/>
        <w:t>ные организации: а) Таймырский трест с центром в Игарке; б) Северо-Уральский трест с центром в Обдорске; в) Якут</w:t>
      </w:r>
      <w:r w:rsidRPr="00142305">
        <w:rPr>
          <w:rStyle w:val="aff"/>
          <w:rFonts w:ascii="Times New Roman" w:hAnsi="Times New Roman" w:cs="Times New Roman"/>
          <w:color w:val="0070C0"/>
          <w:spacing w:val="0"/>
          <w:sz w:val="16"/>
          <w:szCs w:val="16"/>
        </w:rPr>
        <w:softHyphen/>
        <w:t>ский комбинат с центром в Якутске».</w:t>
      </w:r>
    </w:p>
    <w:p w14:paraId="7180F2A1"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этом лесные операции перешли от «Комсеверпути» к Наркомлесу, добыча графита к Наркомтяжпрому, а речной транспорт к Наркомводу (25653).</w:t>
      </w:r>
    </w:p>
    <w:p w14:paraId="7AE910C2" w14:textId="77777777" w:rsidR="00F47692" w:rsidRPr="00142305" w:rsidRDefault="00F47692" w:rsidP="00F47692">
      <w:pPr>
        <w:spacing w:after="0" w:line="240" w:lineRule="auto"/>
        <w:jc w:val="both"/>
        <w:rPr>
          <w:rFonts w:ascii="Times New Roman" w:hAnsi="Times New Roman"/>
          <w:color w:val="0070C0"/>
          <w:sz w:val="16"/>
          <w:szCs w:val="16"/>
        </w:rPr>
      </w:pPr>
    </w:p>
    <w:p w14:paraId="482C0DF4" w14:textId="77777777" w:rsidR="007E5FA7" w:rsidRPr="0044524F" w:rsidRDefault="007E5FA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марта 1933 в Москве 35 сотрудников Наркомзема и Наркомата совхозов приговорены к расстрелу за «вредительство» (4962).</w:t>
      </w:r>
    </w:p>
    <w:p w14:paraId="5D20146B" w14:textId="77777777" w:rsidR="007E5FA7" w:rsidRPr="0044524F" w:rsidRDefault="007E5FA7" w:rsidP="009654CF">
      <w:pPr>
        <w:tabs>
          <w:tab w:val="left" w:pos="11199"/>
        </w:tabs>
        <w:spacing w:after="0" w:line="240" w:lineRule="auto"/>
        <w:jc w:val="both"/>
        <w:rPr>
          <w:rFonts w:ascii="Times New Roman" w:hAnsi="Times New Roman"/>
          <w:color w:val="000000" w:themeColor="text1"/>
          <w:sz w:val="16"/>
          <w:szCs w:val="16"/>
        </w:rPr>
      </w:pPr>
    </w:p>
    <w:p w14:paraId="32BC315A"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марта 1933 СНК СССР принял постановление № 451/76сс «О разгрузке мест лишения свободы», которым ОГПУ предлагалось:</w:t>
      </w:r>
    </w:p>
    <w:p w14:paraId="78BE136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Украине...</w:t>
      </w:r>
    </w:p>
    <w:p w14:paraId="2EFC0C3F"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 течение марта месяца вывезти 25.000 человек осужденных на срок свыше 3-х лет в свои [ОГПУ] лагеря;</w:t>
      </w:r>
    </w:p>
    <w:p w14:paraId="166EAA0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всех осужденных на срок от 2 до 3-х лет вывезти в течение марта-апреля месяца в организуемые спецпоселки.</w:t>
      </w:r>
    </w:p>
    <w:p w14:paraId="2E7D798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Вывозу подлежат все осужденные, независимо от их физического состояния и возраста.</w:t>
      </w:r>
    </w:p>
    <w:p w14:paraId="1EACFA1B"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Северному Кавказу...</w:t>
      </w:r>
    </w:p>
    <w:p w14:paraId="6D039627"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всех осужденных на срок свыше 3-х лет (в том числе и кассационных) в количестве не менее 10.000 человек вывезти в течение марта месяца в свои лагеря. Инвалидов и больных оставить в пределах [Северо-Кавказского] края;</w:t>
      </w:r>
    </w:p>
    <w:p w14:paraId="3DA446C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всех осужденных судами на срок от 2-х до 3-х лет (в том числе и кассационных) вывезти в течение марта-апреля из пределов края в организуемые спецпоселки.</w:t>
      </w:r>
    </w:p>
    <w:p w14:paraId="623C6728"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ЦЧО [Центрально-Черноземной области]...</w:t>
      </w:r>
    </w:p>
    <w:p w14:paraId="424E5714"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вывезти в марте месяце из пределов области в свои лагеря осужденных на срок свыше 3-х лет (в том числе и кассационных) - 15.000 человек.</w:t>
      </w:r>
    </w:p>
    <w:p w14:paraId="526F632C"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 Нижней Волге...</w:t>
      </w:r>
    </w:p>
    <w:p w14:paraId="163C5EB6"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вывезти в марте месяце из пределов края в свои лагеря осужденных на срок свыше 3-х лет (в том числе и кассационных) - 7.000 человек».</w:t>
      </w:r>
    </w:p>
    <w:p w14:paraId="250A29C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Этим же постановлением предлагалось «НКЮ РСФСР тов. Крыленко и ОГПУ т. Ягоде разработать соответствующие мероприятия в отношении вывоза осужденных из остальных областей и краев и размещения их в пределах соответствующего края-области и провести эти мероприятия в марте-апреле месяце» (7560).</w:t>
      </w:r>
    </w:p>
    <w:p w14:paraId="11F1CA4E"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03EAD45A" w14:textId="77777777" w:rsidR="007E5FA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2E13525" w14:textId="77777777" w:rsidR="007E5FA7" w:rsidRPr="0044524F" w:rsidRDefault="007E5FA7" w:rsidP="009654CF">
      <w:pPr>
        <w:spacing w:after="0" w:line="240" w:lineRule="auto"/>
        <w:jc w:val="both"/>
        <w:rPr>
          <w:rFonts w:ascii="Times New Roman" w:hAnsi="Times New Roman"/>
          <w:iCs/>
          <w:color w:val="000000" w:themeColor="text1"/>
          <w:sz w:val="16"/>
          <w:szCs w:val="16"/>
        </w:rPr>
      </w:pPr>
    </w:p>
    <w:p w14:paraId="74C0ABF9"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11 марта 1933 года ZRS-5, заказанный флотом, получил имя «Мэкон». В свой первый полет дирижабль отправился 21 апреля 1933 года. Еще в то время, когда строительство «Акрона» продолжалось, высказывалось мнение, что следующий дирижабль не должен быть просто копией предыдущего. Летный отдел ВМФ предложил увеличить корпус корабля и установить еще одну секцию длиной 22,5 м, что значительно повышало грузоподъемность дирижабля. Проявилось также недоверие к немецким двигателям «Майбах» VL-II и вместо них было предложено установить отечественные двенадцатицилиндровые «Аллисон» VG-1710, которые, правда, имелись еще в виде опытных образцов. Все эти доработки преследовали своей целью добиться увеличения радиуса действия «Мэкона». </w:t>
      </w:r>
    </w:p>
    <w:p w14:paraId="1E926000"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Между тем на реализацию этих планов не было отпущено дополнительных финансовых средств, да и военно-политическая обстановка на Тихом океане требовала пристального внимания к этому региону, поэтому «Мэкон» остался полностью подобен своему старшему собрату. </w:t>
      </w:r>
    </w:p>
    <w:p w14:paraId="7079B33E" w14:textId="77777777" w:rsidR="007E5FA7" w:rsidRPr="0044524F" w:rsidRDefault="007E5F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Ангар для самолетов был доработан таким образом, чтобы там можно было разместить 5 самолетов, но в действительности находилось 4 — трапеция всегда была свободна. Опыт практических полетов показал, что пропускная способность одной трапеции является недостаточной для эффективного использования самолетов в реальной боевой обстановке. Появилась идея разместить под нижней [442] частью дирижабля рельсы, на которых можно было на кран-балке вывозить самолет из ангара наружу и оставлять его в боевой готовности вне дирижабля. Эта идея так и не была полностью реализована, но в результате за ангаром была установлена небольшая дополнительная перекладина, на которой висел самолет Кертисс F9C-2 в полной готовности к немедленному вылету, при этом обычно шасси на них отсутствовало (11324).</w:t>
      </w:r>
    </w:p>
    <w:p w14:paraId="07DE4A29" w14:textId="77777777" w:rsidR="007E5FA7" w:rsidRPr="0044524F" w:rsidRDefault="007E5FA7" w:rsidP="009654CF">
      <w:pPr>
        <w:spacing w:after="0" w:line="240" w:lineRule="auto"/>
        <w:jc w:val="both"/>
        <w:rPr>
          <w:rFonts w:ascii="Times New Roman" w:hAnsi="Times New Roman"/>
          <w:color w:val="000000" w:themeColor="text1"/>
          <w:sz w:val="16"/>
          <w:szCs w:val="16"/>
        </w:rPr>
      </w:pPr>
    </w:p>
    <w:p w14:paraId="75CFCB73" w14:textId="77777777" w:rsidR="00AD1D3C" w:rsidRPr="0044524F" w:rsidRDefault="00AD1D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11 марта</w:t>
      </w:r>
      <w:r w:rsidRPr="0044524F">
        <w:rPr>
          <w:rFonts w:ascii="Times New Roman" w:hAnsi="Times New Roman"/>
          <w:color w:val="000000" w:themeColor="text1"/>
          <w:sz w:val="16"/>
          <w:szCs w:val="16"/>
        </w:rPr>
        <w:t xml:space="preserve"> в 1933 году закончено строительство второго дирижабля – летающего авианосца, разработанного совместной американо-германской фирме «Goodyear-Zeppelin». В торжественной обстановке ему присвоили имя «USS Macon». В качестве носимого истребителя использовали многоцелевой истребитель </w:t>
      </w:r>
      <w:hyperlink r:id="rId102" w:tgtFrame="_blank" w:history="1">
        <w:r w:rsidRPr="0044524F">
          <w:rPr>
            <w:rFonts w:ascii="Times New Roman" w:hAnsi="Times New Roman"/>
            <w:color w:val="000000" w:themeColor="text1"/>
            <w:sz w:val="16"/>
            <w:szCs w:val="16"/>
          </w:rPr>
          <w:t xml:space="preserve">«F9C» «Sparrowhawk» </w:t>
        </w:r>
      </w:hyperlink>
      <w:r w:rsidRPr="0044524F">
        <w:rPr>
          <w:rFonts w:ascii="Times New Roman" w:hAnsi="Times New Roman"/>
          <w:color w:val="000000" w:themeColor="text1"/>
          <w:sz w:val="16"/>
          <w:szCs w:val="16"/>
        </w:rPr>
        <w:t>(разработчик: Curtiss, США) (15065).</w:t>
      </w:r>
    </w:p>
    <w:p w14:paraId="3FBD02B3" w14:textId="77777777" w:rsidR="00AD1D3C" w:rsidRPr="0044524F" w:rsidRDefault="00AD1D3C" w:rsidP="009654CF">
      <w:pPr>
        <w:spacing w:after="0" w:line="240" w:lineRule="auto"/>
        <w:jc w:val="both"/>
        <w:rPr>
          <w:rFonts w:ascii="Times New Roman" w:hAnsi="Times New Roman"/>
          <w:color w:val="000000" w:themeColor="text1"/>
          <w:sz w:val="16"/>
          <w:szCs w:val="16"/>
        </w:rPr>
      </w:pPr>
    </w:p>
    <w:p w14:paraId="085DDE6B" w14:textId="77777777" w:rsidR="00F47692" w:rsidRPr="00142305" w:rsidRDefault="00F47692" w:rsidP="00F4769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11 марта 1933 года состоялось введение в эксплуатацию авианесущего дирижабля </w:t>
      </w:r>
      <w:r w:rsidRPr="00142305">
        <w:rPr>
          <w:rStyle w:val="aff"/>
          <w:rFonts w:ascii="Times New Roman" w:hAnsi="Times New Roman" w:cs="Times New Roman"/>
          <w:color w:val="0070C0"/>
          <w:spacing w:val="0"/>
          <w:sz w:val="16"/>
          <w:szCs w:val="16"/>
          <w:lang w:val="en-US"/>
        </w:rPr>
        <w:t>ZRS</w:t>
      </w:r>
      <w:r w:rsidRPr="00142305">
        <w:rPr>
          <w:rStyle w:val="aff"/>
          <w:rFonts w:ascii="Times New Roman" w:hAnsi="Times New Roman" w:cs="Times New Roman"/>
          <w:color w:val="0070C0"/>
          <w:spacing w:val="0"/>
          <w:sz w:val="16"/>
          <w:szCs w:val="16"/>
        </w:rPr>
        <w:t>-5. Благосло</w:t>
      </w:r>
      <w:r w:rsidRPr="00142305">
        <w:rPr>
          <w:rStyle w:val="aff"/>
          <w:rFonts w:ascii="Times New Roman" w:hAnsi="Times New Roman" w:cs="Times New Roman"/>
          <w:color w:val="0070C0"/>
          <w:spacing w:val="0"/>
          <w:sz w:val="16"/>
          <w:szCs w:val="16"/>
        </w:rPr>
        <w:softHyphen/>
        <w:t xml:space="preserve">вила новый дирижабль Жанетт Уиттон Моффетт, жена контр-адмирала Уильяма Моффетта, начальника Бюро аэронавтики Готовый к эксплуатации </w:t>
      </w:r>
      <w:r w:rsidRPr="00142305">
        <w:rPr>
          <w:rStyle w:val="aff"/>
          <w:rFonts w:ascii="Times New Roman" w:hAnsi="Times New Roman" w:cs="Times New Roman"/>
          <w:color w:val="0070C0"/>
          <w:spacing w:val="0"/>
          <w:sz w:val="16"/>
          <w:szCs w:val="16"/>
          <w:lang w:val="en-US"/>
        </w:rPr>
        <w:t>ZRS</w:t>
      </w:r>
      <w:r w:rsidRPr="00142305">
        <w:rPr>
          <w:rStyle w:val="aff"/>
          <w:rFonts w:ascii="Times New Roman" w:hAnsi="Times New Roman" w:cs="Times New Roman"/>
          <w:color w:val="0070C0"/>
          <w:spacing w:val="0"/>
          <w:sz w:val="16"/>
          <w:szCs w:val="16"/>
        </w:rPr>
        <w:t>-5 торжественно окрестили именем Масоп по названию города в штате Джорджия, крупнейшего города в избирательном округе Карла Винсона, тогда председателя Комитета Палаты представителей по военно-морским делам.</w:t>
      </w:r>
    </w:p>
    <w:p w14:paraId="142A5F6D"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Это был второй дирижабль Проекта № 60 и строился в доках корпорации </w:t>
      </w:r>
      <w:r w:rsidRPr="00142305">
        <w:rPr>
          <w:rStyle w:val="aff"/>
          <w:rFonts w:ascii="Times New Roman" w:hAnsi="Times New Roman" w:cs="Times New Roman"/>
          <w:color w:val="0070C0"/>
          <w:spacing w:val="0"/>
          <w:sz w:val="16"/>
          <w:szCs w:val="16"/>
          <w:lang w:val="en-US"/>
        </w:rPr>
        <w:t>Goodyear</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Zeppelin</w:t>
      </w:r>
      <w:r w:rsidRPr="00142305">
        <w:rPr>
          <w:rStyle w:val="aff"/>
          <w:rFonts w:ascii="Times New Roman" w:hAnsi="Times New Roman" w:cs="Times New Roman"/>
          <w:color w:val="0070C0"/>
          <w:spacing w:val="0"/>
          <w:sz w:val="16"/>
          <w:szCs w:val="16"/>
        </w:rPr>
        <w:t xml:space="preserve"> в городе Спрингфилд, Огайо. Специалисты летного отдела флота предлагали не копировать Акрон, а увеличить корпус нового дирижабля и установить еще одну секцию длиной 22,5 м, чтобы повысить его гру</w:t>
      </w:r>
      <w:r w:rsidRPr="00142305">
        <w:rPr>
          <w:rStyle w:val="aff"/>
          <w:rFonts w:ascii="Times New Roman" w:hAnsi="Times New Roman" w:cs="Times New Roman"/>
          <w:color w:val="0070C0"/>
          <w:spacing w:val="0"/>
          <w:sz w:val="16"/>
          <w:szCs w:val="16"/>
        </w:rPr>
        <w:softHyphen/>
        <w:t>зоподъемность. Однако на реализацию этих планов не было отпущено дополни</w:t>
      </w:r>
      <w:r w:rsidRPr="00142305">
        <w:rPr>
          <w:rStyle w:val="aff"/>
          <w:rFonts w:ascii="Times New Roman" w:hAnsi="Times New Roman" w:cs="Times New Roman"/>
          <w:color w:val="0070C0"/>
          <w:spacing w:val="0"/>
          <w:sz w:val="16"/>
          <w:szCs w:val="16"/>
        </w:rPr>
        <w:softHyphen/>
        <w:t xml:space="preserve">тельных финансовых средств, и </w:t>
      </w:r>
      <w:r w:rsidRPr="00142305">
        <w:rPr>
          <w:rStyle w:val="aff"/>
          <w:rFonts w:ascii="Times New Roman" w:hAnsi="Times New Roman" w:cs="Times New Roman"/>
          <w:color w:val="0070C0"/>
          <w:spacing w:val="0"/>
          <w:sz w:val="16"/>
          <w:szCs w:val="16"/>
          <w:lang w:val="en-US"/>
        </w:rPr>
        <w:t>ZRS</w:t>
      </w:r>
      <w:r w:rsidRPr="00142305">
        <w:rPr>
          <w:rStyle w:val="aff"/>
          <w:rFonts w:ascii="Times New Roman" w:hAnsi="Times New Roman" w:cs="Times New Roman"/>
          <w:color w:val="0070C0"/>
          <w:spacing w:val="0"/>
          <w:sz w:val="16"/>
          <w:szCs w:val="16"/>
        </w:rPr>
        <w:t xml:space="preserve">-5 остался полностью подобен своему собрату </w:t>
      </w:r>
      <w:r w:rsidRPr="00142305">
        <w:rPr>
          <w:rStyle w:val="aff"/>
          <w:rFonts w:ascii="Times New Roman" w:hAnsi="Times New Roman" w:cs="Times New Roman"/>
          <w:color w:val="0070C0"/>
          <w:spacing w:val="0"/>
          <w:sz w:val="16"/>
          <w:szCs w:val="16"/>
          <w:lang w:val="en-US"/>
        </w:rPr>
        <w:t>ZRS</w:t>
      </w:r>
      <w:r w:rsidRPr="00142305">
        <w:rPr>
          <w:rStyle w:val="aff"/>
          <w:rFonts w:ascii="Times New Roman" w:hAnsi="Times New Roman" w:cs="Times New Roman"/>
          <w:color w:val="0070C0"/>
          <w:spacing w:val="0"/>
          <w:sz w:val="16"/>
          <w:szCs w:val="16"/>
        </w:rPr>
        <w:t>-4. За исключением более ста конструктивных доработок, которые в конструкцию дирижабля не внесли (25618).</w:t>
      </w:r>
    </w:p>
    <w:p w14:paraId="389BA70C" w14:textId="77777777" w:rsidR="00F47692" w:rsidRPr="00142305" w:rsidRDefault="00F47692" w:rsidP="00F47692">
      <w:pPr>
        <w:spacing w:after="0" w:line="240" w:lineRule="auto"/>
        <w:jc w:val="both"/>
        <w:rPr>
          <w:rFonts w:ascii="Times New Roman" w:hAnsi="Times New Roman"/>
          <w:color w:val="0070C0"/>
          <w:sz w:val="16"/>
          <w:szCs w:val="16"/>
        </w:rPr>
      </w:pPr>
    </w:p>
    <w:p w14:paraId="511D53AF" w14:textId="77777777" w:rsidR="00393D9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D20456D" w14:textId="77777777" w:rsidR="00393D95" w:rsidRPr="0044524F" w:rsidRDefault="00393D9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A14532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марта 1933 года с Исх. N 72сс были направлены Технические требования к экспериментальному самолету ТШ с мотором М34, которые 10 марта 1933 года утвердил Гл. инженер-механик ВВС Аузан утвердил</w:t>
      </w:r>
    </w:p>
    <w:p w14:paraId="48C77A1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Летно-тактические данные</w:t>
      </w:r>
    </w:p>
    <w:p w14:paraId="27A41D5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Самолет с полезной нагрузкой 780 кг и запасом горючего и смазочного, обеспечивающим надежный тактический радиус действия 160 км, должен обладать нижеследующими летными данными:</w:t>
      </w:r>
    </w:p>
    <w:p w14:paraId="5E06BA5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Максимальной горизонтальной скоростью у земли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51023CB4" w14:textId="77777777">
        <w:tc>
          <w:tcPr>
            <w:tcW w:w="5636" w:type="dxa"/>
          </w:tcPr>
          <w:p w14:paraId="43289C9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15-20 км</w:t>
            </w:r>
          </w:p>
        </w:tc>
        <w:tc>
          <w:tcPr>
            <w:tcW w:w="5636" w:type="dxa"/>
          </w:tcPr>
          <w:p w14:paraId="080C0AA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250-260 км/час</w:t>
            </w:r>
          </w:p>
        </w:tc>
      </w:tr>
      <w:tr w:rsidR="004E10C1" w:rsidRPr="0044524F" w14:paraId="4616E004" w14:textId="77777777">
        <w:tc>
          <w:tcPr>
            <w:tcW w:w="5636" w:type="dxa"/>
          </w:tcPr>
          <w:p w14:paraId="5DDFA58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3000 м</w:t>
            </w:r>
          </w:p>
        </w:tc>
        <w:tc>
          <w:tcPr>
            <w:tcW w:w="5636" w:type="dxa"/>
          </w:tcPr>
          <w:p w14:paraId="67DDE13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15-16 м</w:t>
            </w:r>
          </w:p>
        </w:tc>
      </w:tr>
      <w:tr w:rsidR="004E10C1" w:rsidRPr="0044524F" w14:paraId="74F9A6D7" w14:textId="77777777">
        <w:tc>
          <w:tcPr>
            <w:tcW w:w="5636" w:type="dxa"/>
          </w:tcPr>
          <w:p w14:paraId="769CC0C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Практическим потолком</w:t>
            </w:r>
          </w:p>
        </w:tc>
        <w:tc>
          <w:tcPr>
            <w:tcW w:w="5636" w:type="dxa"/>
          </w:tcPr>
          <w:p w14:paraId="769CB5D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 м</w:t>
            </w:r>
          </w:p>
        </w:tc>
      </w:tr>
      <w:tr w:rsidR="004E10C1" w:rsidRPr="0044524F" w14:paraId="169BB184" w14:textId="77777777">
        <w:tc>
          <w:tcPr>
            <w:tcW w:w="5636" w:type="dxa"/>
          </w:tcPr>
          <w:p w14:paraId="288271E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Посадочной скоростью</w:t>
            </w:r>
          </w:p>
        </w:tc>
        <w:tc>
          <w:tcPr>
            <w:tcW w:w="5636" w:type="dxa"/>
          </w:tcPr>
          <w:p w14:paraId="2F5979A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80-90 км/час</w:t>
            </w:r>
          </w:p>
        </w:tc>
      </w:tr>
    </w:tbl>
    <w:p w14:paraId="6DF5C5E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быть сконструирован под мотор М34 без редуктора и нагнетателя с гидравлической (масляной) передачей на винт системы Кожевникова.</w:t>
      </w:r>
    </w:p>
    <w:p w14:paraId="08B53A0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быть снабжен гусеничным, многоколесным шасси, с возможностью пользования как гусеничным ходом, так и колесным при снятой гусенице.</w:t>
      </w:r>
    </w:p>
    <w:p w14:paraId="2B8010F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Должен быть проработан вопрос применения этого шасси в зимних условиях на глубоком снегу.</w:t>
      </w:r>
    </w:p>
    <w:p w14:paraId="6B176ED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жизненные части самолета: мотор, весь его агрегат, система охлаждения мотора, не менее 50% запаса горючего, боевой комплект патронов и бомб, а также кабины пилота и наблюдателя должны быть защищены броней.</w:t>
      </w:r>
    </w:p>
    <w:p w14:paraId="7D0497F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невозможности уложиться в заданный полетный вес при установленных требованиях к самолету, конструкторам предоставляется право изменения бронирования, вооружения и запаса горючего в меньшую сторону по согласованию каждый раз с НИИ ВВС.</w:t>
      </w:r>
    </w:p>
    <w:p w14:paraId="3446681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самолета должна стремиться к максимальному обеспечению и сохранению свойств самолета после попадания пуль в неброневые части самолета.</w:t>
      </w:r>
    </w:p>
    <w:p w14:paraId="0C1455A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увеличения надежности при повреждении пулями, стабилизатор, киль, все рули и элероны должны быть металлическими.</w:t>
      </w:r>
    </w:p>
    <w:p w14:paraId="0327E2C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2 человека.</w:t>
      </w:r>
    </w:p>
    <w:p w14:paraId="2C34D69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Стрелковое вооружение</w:t>
      </w:r>
    </w:p>
    <w:p w14:paraId="021881C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Передний огонь:</w:t>
      </w:r>
    </w:p>
    <w:p w14:paraId="0138490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 пулеметов Шкасс</w:t>
      </w:r>
    </w:p>
    <w:p w14:paraId="675643D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Патронов по 1000 шт. на пулемет</w:t>
      </w:r>
    </w:p>
    <w:p w14:paraId="7374BB8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Задний огонь</w:t>
      </w:r>
    </w:p>
    <w:p w14:paraId="604C0F6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 Шкасс 1 шт.</w:t>
      </w:r>
    </w:p>
    <w:p w14:paraId="60F6B92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Патронов 1500 шт.</w:t>
      </w:r>
    </w:p>
    <w:p w14:paraId="742A00D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Бомбардировочное вооружение</w:t>
      </w:r>
    </w:p>
    <w:p w14:paraId="0A6FBCC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Бомбы 200 кг (3539).</w:t>
      </w:r>
    </w:p>
    <w:p w14:paraId="7BAA1BC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47F94477" w14:textId="77777777" w:rsidR="00393D9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0C45DAD" w14:textId="77777777" w:rsidR="00393D95" w:rsidRPr="0044524F" w:rsidRDefault="00393D9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84A8486"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12 марта</w:t>
      </w:r>
      <w:r w:rsidRPr="0044524F">
        <w:rPr>
          <w:rFonts w:ascii="Times New Roman" w:hAnsi="Times New Roman"/>
          <w:color w:val="000000" w:themeColor="text1"/>
          <w:sz w:val="16"/>
          <w:szCs w:val="16"/>
        </w:rPr>
        <w:t xml:space="preserve"> в 1933 году в Москве по обвинению в шпионаже и диверсионной деятельности арестованы 6 англичан и 10 советских граждан – служащие английской электротехнической компании «Метро Виккерс». В апреле состоялся судебный процесс, в результате которого четверо англичан были высланы из СССР, а двое получили по 2 и 3 года тюрьмы. В ответ Англия ввела торговое эмбарго (15066).</w:t>
      </w:r>
    </w:p>
    <w:p w14:paraId="6DCAD7E0"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19C8AC5B" w14:textId="77777777" w:rsidR="00393D95" w:rsidRPr="0044524F" w:rsidRDefault="00393D9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марта 1933 донецкая шахта имени Сталина призвала развернуть вседонецкое соревнование (4962).</w:t>
      </w:r>
    </w:p>
    <w:p w14:paraId="4288DBD3" w14:textId="77777777" w:rsidR="00393D95" w:rsidRPr="0044524F" w:rsidRDefault="00393D9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661368" w14:textId="77777777" w:rsidR="00393D9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20349E2" w14:textId="77777777" w:rsidR="00393D95" w:rsidRPr="0044524F" w:rsidRDefault="00393D9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336396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марта 1933 в Ораниенбурге был открыт первый концлагерь (1796).</w:t>
      </w:r>
    </w:p>
    <w:p w14:paraId="2245A14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6449E23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марта 1933 президент Гинденбург спустил флаг Немецкой республики и приказал, чтобы флаг со свастикой и имперский флаг висели рядом (2100).</w:t>
      </w:r>
    </w:p>
    <w:p w14:paraId="0178FAC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19397C1D"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12 марта</w:t>
      </w:r>
      <w:r w:rsidRPr="0044524F">
        <w:rPr>
          <w:rFonts w:ascii="Times New Roman" w:hAnsi="Times New Roman"/>
          <w:color w:val="000000" w:themeColor="text1"/>
          <w:sz w:val="16"/>
          <w:szCs w:val="16"/>
        </w:rPr>
        <w:t xml:space="preserve"> в 1933 году президент Германии Гинденбург запретил республиканский флаг и приказал вывешивать бок о бок имперский и нацистский флаги (15066).</w:t>
      </w:r>
    </w:p>
    <w:p w14:paraId="4D5B1384"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3A089006"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12 марта</w:t>
      </w:r>
      <w:r w:rsidRPr="0044524F">
        <w:rPr>
          <w:rFonts w:ascii="Times New Roman" w:hAnsi="Times New Roman"/>
          <w:color w:val="000000" w:themeColor="text1"/>
          <w:sz w:val="16"/>
          <w:szCs w:val="16"/>
        </w:rPr>
        <w:t xml:space="preserve"> в 1933 году первая транслируемая по радио "беседа у камелька" президента Рузвельта с народом. В ней он заверяет граждан в полной безопасности их банковских вкладов (15066).</w:t>
      </w:r>
    </w:p>
    <w:p w14:paraId="758A08E6"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4B844DC6" w14:textId="77777777" w:rsidR="00393D9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DA88643" w14:textId="77777777" w:rsidR="00393D95" w:rsidRPr="0044524F" w:rsidRDefault="00393D9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533904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марта 1933 года начальник 7 сектора Горощенко</w:t>
      </w:r>
    </w:p>
    <w:p w14:paraId="1633E39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опытных сухопутных самолетов ЦКБ завода № 39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9"/>
        <w:gridCol w:w="1289"/>
        <w:gridCol w:w="1289"/>
        <w:gridCol w:w="1289"/>
        <w:gridCol w:w="1289"/>
        <w:gridCol w:w="1289"/>
        <w:gridCol w:w="1289"/>
        <w:gridCol w:w="895"/>
        <w:gridCol w:w="1683"/>
      </w:tblGrid>
      <w:tr w:rsidR="004E10C1" w:rsidRPr="0044524F" w14:paraId="346C5BFC" w14:textId="77777777">
        <w:tc>
          <w:tcPr>
            <w:tcW w:w="1289" w:type="dxa"/>
          </w:tcPr>
          <w:p w14:paraId="5FAFF1B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объекта</w:t>
            </w:r>
          </w:p>
        </w:tc>
        <w:tc>
          <w:tcPr>
            <w:tcW w:w="1289" w:type="dxa"/>
          </w:tcPr>
          <w:p w14:paraId="7BD9316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w:t>
            </w:r>
          </w:p>
        </w:tc>
        <w:tc>
          <w:tcPr>
            <w:tcW w:w="1289" w:type="dxa"/>
          </w:tcPr>
          <w:p w14:paraId="564A200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предложению организации</w:t>
            </w:r>
          </w:p>
        </w:tc>
        <w:tc>
          <w:tcPr>
            <w:tcW w:w="1289" w:type="dxa"/>
          </w:tcPr>
          <w:p w14:paraId="74BB891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дачи техтребований</w:t>
            </w:r>
          </w:p>
        </w:tc>
        <w:tc>
          <w:tcPr>
            <w:tcW w:w="1289" w:type="dxa"/>
          </w:tcPr>
          <w:p w14:paraId="5986AA9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Прислана боевая схема</w:t>
            </w:r>
          </w:p>
        </w:tc>
        <w:tc>
          <w:tcPr>
            <w:tcW w:w="1289" w:type="dxa"/>
          </w:tcPr>
          <w:p w14:paraId="1E4C4E0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Утверждение макета</w:t>
            </w:r>
          </w:p>
        </w:tc>
        <w:tc>
          <w:tcPr>
            <w:tcW w:w="1289" w:type="dxa"/>
          </w:tcPr>
          <w:p w14:paraId="705A728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Фактическое получение мотора</w:t>
            </w:r>
          </w:p>
        </w:tc>
        <w:tc>
          <w:tcPr>
            <w:tcW w:w="895" w:type="dxa"/>
          </w:tcPr>
          <w:p w14:paraId="58E98FC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получения мотора – выход по плану</w:t>
            </w:r>
          </w:p>
        </w:tc>
        <w:tc>
          <w:tcPr>
            <w:tcW w:w="1683" w:type="dxa"/>
          </w:tcPr>
          <w:p w14:paraId="133D5ED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работы</w:t>
            </w:r>
          </w:p>
        </w:tc>
      </w:tr>
      <w:tr w:rsidR="004E10C1" w:rsidRPr="0044524F" w14:paraId="734B2F0C" w14:textId="77777777">
        <w:tc>
          <w:tcPr>
            <w:tcW w:w="1289" w:type="dxa"/>
          </w:tcPr>
          <w:p w14:paraId="3C11B26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ЛР-М34НР </w:t>
            </w:r>
          </w:p>
        </w:tc>
        <w:tc>
          <w:tcPr>
            <w:tcW w:w="1289" w:type="dxa"/>
          </w:tcPr>
          <w:p w14:paraId="0DF5194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w:t>
            </w:r>
          </w:p>
        </w:tc>
        <w:tc>
          <w:tcPr>
            <w:tcW w:w="1289" w:type="dxa"/>
          </w:tcPr>
          <w:p w14:paraId="0ED814D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w:t>
            </w:r>
          </w:p>
        </w:tc>
        <w:tc>
          <w:tcPr>
            <w:tcW w:w="1289" w:type="dxa"/>
          </w:tcPr>
          <w:p w14:paraId="12A501C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1932</w:t>
            </w:r>
          </w:p>
        </w:tc>
        <w:tc>
          <w:tcPr>
            <w:tcW w:w="1289" w:type="dxa"/>
          </w:tcPr>
          <w:p w14:paraId="5F412E0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6290292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декабря 1932</w:t>
            </w:r>
          </w:p>
        </w:tc>
        <w:tc>
          <w:tcPr>
            <w:tcW w:w="1289" w:type="dxa"/>
          </w:tcPr>
          <w:p w14:paraId="4F885A4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95" w:type="dxa"/>
          </w:tcPr>
          <w:p w14:paraId="3CFBE86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c>
          <w:tcPr>
            <w:tcW w:w="1683" w:type="dxa"/>
          </w:tcPr>
          <w:p w14:paraId="270E868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Чертежи готовы на 100%. Производится подготовка производства. Изготовляются </w:t>
            </w:r>
            <w:r w:rsidRPr="0044524F">
              <w:rPr>
                <w:rFonts w:ascii="Times New Roman" w:hAnsi="Times New Roman"/>
                <w:color w:val="000000" w:themeColor="text1"/>
                <w:sz w:val="16"/>
                <w:szCs w:val="16"/>
              </w:rPr>
              <w:lastRenderedPageBreak/>
              <w:t>детали для статиспытаний.</w:t>
            </w:r>
          </w:p>
        </w:tc>
      </w:tr>
      <w:tr w:rsidR="004E10C1" w:rsidRPr="0044524F" w14:paraId="4E82AC36" w14:textId="77777777">
        <w:tc>
          <w:tcPr>
            <w:tcW w:w="1289" w:type="dxa"/>
          </w:tcPr>
          <w:p w14:paraId="2658C8E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ДИ6-М32 (М38)</w:t>
            </w:r>
          </w:p>
        </w:tc>
        <w:tc>
          <w:tcPr>
            <w:tcW w:w="1289" w:type="dxa"/>
          </w:tcPr>
          <w:p w14:paraId="3721501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w:t>
            </w:r>
          </w:p>
        </w:tc>
        <w:tc>
          <w:tcPr>
            <w:tcW w:w="1289" w:type="dxa"/>
          </w:tcPr>
          <w:p w14:paraId="140B59D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Декабрь 1933 – 1 января 1934</w:t>
            </w:r>
          </w:p>
        </w:tc>
        <w:tc>
          <w:tcPr>
            <w:tcW w:w="1289" w:type="dxa"/>
          </w:tcPr>
          <w:p w14:paraId="1281E61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w:t>
            </w:r>
          </w:p>
        </w:tc>
        <w:tc>
          <w:tcPr>
            <w:tcW w:w="1289" w:type="dxa"/>
          </w:tcPr>
          <w:p w14:paraId="1C64020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43AE96F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1BE1719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95" w:type="dxa"/>
          </w:tcPr>
          <w:p w14:paraId="32CEB59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М32Н</w:t>
            </w:r>
          </w:p>
        </w:tc>
        <w:tc>
          <w:tcPr>
            <w:tcW w:w="1683" w:type="dxa"/>
          </w:tcPr>
          <w:p w14:paraId="3F1973F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Происходит разработка схем под М32 и М58.</w:t>
            </w:r>
          </w:p>
        </w:tc>
      </w:tr>
      <w:tr w:rsidR="004E10C1" w:rsidRPr="0044524F" w14:paraId="51E3535A" w14:textId="77777777">
        <w:tc>
          <w:tcPr>
            <w:tcW w:w="1289" w:type="dxa"/>
          </w:tcPr>
          <w:p w14:paraId="0615798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М-58 (М38)</w:t>
            </w:r>
          </w:p>
        </w:tc>
        <w:tc>
          <w:tcPr>
            <w:tcW w:w="1289" w:type="dxa"/>
          </w:tcPr>
          <w:p w14:paraId="00E3BE5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3C0A772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w:t>
            </w:r>
          </w:p>
        </w:tc>
        <w:tc>
          <w:tcPr>
            <w:tcW w:w="1289" w:type="dxa"/>
          </w:tcPr>
          <w:p w14:paraId="7889378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1932</w:t>
            </w:r>
          </w:p>
          <w:p w14:paraId="43243C1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декабря 1932</w:t>
            </w:r>
          </w:p>
        </w:tc>
        <w:tc>
          <w:tcPr>
            <w:tcW w:w="1289" w:type="dxa"/>
          </w:tcPr>
          <w:p w14:paraId="6022168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декабря 1932</w:t>
            </w:r>
          </w:p>
        </w:tc>
        <w:tc>
          <w:tcPr>
            <w:tcW w:w="1289" w:type="dxa"/>
          </w:tcPr>
          <w:p w14:paraId="16C7CAA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09B75C8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января 1933 Меркур</w:t>
            </w:r>
          </w:p>
        </w:tc>
        <w:tc>
          <w:tcPr>
            <w:tcW w:w="895" w:type="dxa"/>
          </w:tcPr>
          <w:p w14:paraId="5A65E01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w:t>
            </w:r>
          </w:p>
        </w:tc>
        <w:tc>
          <w:tcPr>
            <w:tcW w:w="1683" w:type="dxa"/>
          </w:tcPr>
          <w:p w14:paraId="1153AB6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Идет проработка эскизного проекта и продувки.</w:t>
            </w:r>
          </w:p>
        </w:tc>
      </w:tr>
      <w:tr w:rsidR="004E10C1" w:rsidRPr="0044524F" w14:paraId="13FF2B52" w14:textId="77777777">
        <w:tc>
          <w:tcPr>
            <w:tcW w:w="1289" w:type="dxa"/>
          </w:tcPr>
          <w:p w14:paraId="190181B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РК-1-М52 (Кричевского)</w:t>
            </w:r>
          </w:p>
        </w:tc>
        <w:tc>
          <w:tcPr>
            <w:tcW w:w="1289" w:type="dxa"/>
          </w:tcPr>
          <w:p w14:paraId="69DABB3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1932</w:t>
            </w:r>
          </w:p>
        </w:tc>
        <w:tc>
          <w:tcPr>
            <w:tcW w:w="1289" w:type="dxa"/>
          </w:tcPr>
          <w:p w14:paraId="074C6C5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w:t>
            </w:r>
          </w:p>
        </w:tc>
        <w:tc>
          <w:tcPr>
            <w:tcW w:w="1289" w:type="dxa"/>
          </w:tcPr>
          <w:p w14:paraId="19E442A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64DD073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0E6A6B9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3AEA34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95" w:type="dxa"/>
          </w:tcPr>
          <w:p w14:paraId="7DBA945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83" w:type="dxa"/>
          </w:tcPr>
          <w:p w14:paraId="79D9944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 оперение, шасси готовы. Крыло моноспар передано в ОПАК для статиспытаний. Изготовляется крыло с меньшим размахом двухлонжерон.</w:t>
            </w:r>
          </w:p>
          <w:p w14:paraId="2B19B34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Задержка переходом на завод № 39.</w:t>
            </w:r>
          </w:p>
        </w:tc>
      </w:tr>
      <w:tr w:rsidR="004E10C1" w:rsidRPr="0044524F" w14:paraId="2FB1B6B3" w14:textId="77777777">
        <w:tc>
          <w:tcPr>
            <w:tcW w:w="1289" w:type="dxa"/>
          </w:tcPr>
          <w:p w14:paraId="3F2DA6A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w:t>
            </w:r>
          </w:p>
        </w:tc>
        <w:tc>
          <w:tcPr>
            <w:tcW w:w="1289" w:type="dxa"/>
          </w:tcPr>
          <w:p w14:paraId="55603C6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w:t>
            </w:r>
          </w:p>
        </w:tc>
        <w:tc>
          <w:tcPr>
            <w:tcW w:w="1289" w:type="dxa"/>
          </w:tcPr>
          <w:p w14:paraId="67F9F11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w:t>
            </w:r>
          </w:p>
        </w:tc>
        <w:tc>
          <w:tcPr>
            <w:tcW w:w="1289" w:type="dxa"/>
          </w:tcPr>
          <w:p w14:paraId="7AA1F51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w:t>
            </w:r>
          </w:p>
        </w:tc>
        <w:tc>
          <w:tcPr>
            <w:tcW w:w="1289" w:type="dxa"/>
          </w:tcPr>
          <w:p w14:paraId="32452E8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315E41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19DCA01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95" w:type="dxa"/>
          </w:tcPr>
          <w:p w14:paraId="3FF6B31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83" w:type="dxa"/>
          </w:tcPr>
          <w:p w14:paraId="7640D17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Проделаны изыскания по 6 схемам. Окончательно подготовляется схема моноплана.</w:t>
            </w:r>
          </w:p>
        </w:tc>
      </w:tr>
      <w:tr w:rsidR="004E10C1" w:rsidRPr="0044524F" w14:paraId="5557A3DC" w14:textId="77777777">
        <w:tc>
          <w:tcPr>
            <w:tcW w:w="1289" w:type="dxa"/>
          </w:tcPr>
          <w:p w14:paraId="4FBAC87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Сверхвысотн. М34НР</w:t>
            </w:r>
          </w:p>
        </w:tc>
        <w:tc>
          <w:tcPr>
            <w:tcW w:w="1289" w:type="dxa"/>
          </w:tcPr>
          <w:p w14:paraId="4BA97C7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w:t>
            </w:r>
          </w:p>
        </w:tc>
        <w:tc>
          <w:tcPr>
            <w:tcW w:w="1289" w:type="dxa"/>
          </w:tcPr>
          <w:p w14:paraId="40187EA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w:t>
            </w:r>
          </w:p>
        </w:tc>
        <w:tc>
          <w:tcPr>
            <w:tcW w:w="1289" w:type="dxa"/>
          </w:tcPr>
          <w:p w14:paraId="06C09B7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618542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0E606F8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4A332F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95" w:type="dxa"/>
          </w:tcPr>
          <w:p w14:paraId="23E7B61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c>
          <w:tcPr>
            <w:tcW w:w="1683" w:type="dxa"/>
          </w:tcPr>
          <w:p w14:paraId="0B40F08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 готовы на 95%. Изготовлены: лонжероны крыла, нервюры. Чертежи с ЗОКа изъяты. Работы с переездом свернуты – только начали разворачиваться на новом месте.Вопрос с готовностью мотора не ясен.</w:t>
            </w:r>
          </w:p>
        </w:tc>
      </w:tr>
      <w:tr w:rsidR="004E10C1" w:rsidRPr="0044524F" w14:paraId="095FE756" w14:textId="77777777">
        <w:tc>
          <w:tcPr>
            <w:tcW w:w="1289" w:type="dxa"/>
          </w:tcPr>
          <w:p w14:paraId="1E3619B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Парабола 2М11</w:t>
            </w:r>
          </w:p>
        </w:tc>
        <w:tc>
          <w:tcPr>
            <w:tcW w:w="1289" w:type="dxa"/>
          </w:tcPr>
          <w:p w14:paraId="1C84954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c>
          <w:tcPr>
            <w:tcW w:w="1289" w:type="dxa"/>
          </w:tcPr>
          <w:p w14:paraId="255FE04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6A2B8D3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3D60C4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65A2566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1FD8F63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95" w:type="dxa"/>
          </w:tcPr>
          <w:p w14:paraId="6169BB0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83" w:type="dxa"/>
          </w:tcPr>
          <w:p w14:paraId="3038AD5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ГУАП предлагает вместо этого самолета построить летающее крыло с двумя моторами по 400-500 НР со сроком выхода в начале 1934 года. Работа фактически не начата.</w:t>
            </w:r>
          </w:p>
        </w:tc>
      </w:tr>
      <w:tr w:rsidR="004E10C1" w:rsidRPr="0044524F" w14:paraId="5628B118" w14:textId="77777777">
        <w:tc>
          <w:tcPr>
            <w:tcW w:w="1289" w:type="dxa"/>
          </w:tcPr>
          <w:p w14:paraId="3F3A8F3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М34 эталон</w:t>
            </w:r>
          </w:p>
        </w:tc>
        <w:tc>
          <w:tcPr>
            <w:tcW w:w="1289" w:type="dxa"/>
          </w:tcPr>
          <w:p w14:paraId="4494AA3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1932</w:t>
            </w:r>
          </w:p>
        </w:tc>
        <w:tc>
          <w:tcPr>
            <w:tcW w:w="1289" w:type="dxa"/>
          </w:tcPr>
          <w:p w14:paraId="1653B2A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3F9E8B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4560AC5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8C0378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711E4F0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95" w:type="dxa"/>
          </w:tcPr>
          <w:p w14:paraId="32CA2FA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83" w:type="dxa"/>
          </w:tcPr>
          <w:p w14:paraId="11932CC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совершенно не производится. В плане ЦКБ завода № 39 не стоит.</w:t>
            </w:r>
          </w:p>
        </w:tc>
      </w:tr>
      <w:tr w:rsidR="004E10C1" w:rsidRPr="0044524F" w14:paraId="04343989" w14:textId="77777777">
        <w:tc>
          <w:tcPr>
            <w:tcW w:w="1289" w:type="dxa"/>
          </w:tcPr>
          <w:p w14:paraId="721EBC6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 разрезное крыло 2-й вариант</w:t>
            </w:r>
          </w:p>
        </w:tc>
        <w:tc>
          <w:tcPr>
            <w:tcW w:w="1289" w:type="dxa"/>
          </w:tcPr>
          <w:p w14:paraId="202EE80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428927B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марта 1933</w:t>
            </w:r>
          </w:p>
        </w:tc>
        <w:tc>
          <w:tcPr>
            <w:tcW w:w="1289" w:type="dxa"/>
          </w:tcPr>
          <w:p w14:paraId="22C688E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357DE5F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39EB565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145B66B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Есть</w:t>
            </w:r>
          </w:p>
        </w:tc>
        <w:tc>
          <w:tcPr>
            <w:tcW w:w="895" w:type="dxa"/>
          </w:tcPr>
          <w:p w14:paraId="1180A65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83" w:type="dxa"/>
          </w:tcPr>
          <w:p w14:paraId="0F7B31D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заканчивает испытание в ОЭЛИД.</w:t>
            </w:r>
          </w:p>
        </w:tc>
      </w:tr>
    </w:tbl>
    <w:p w14:paraId="628FFF3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постройки опытных самолетов, строящихся вне ЦАГИ и ЦКБ завода № 39</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9"/>
        <w:gridCol w:w="1289"/>
        <w:gridCol w:w="1289"/>
        <w:gridCol w:w="1289"/>
        <w:gridCol w:w="1289"/>
        <w:gridCol w:w="1289"/>
        <w:gridCol w:w="2574"/>
        <w:gridCol w:w="1289"/>
      </w:tblGrid>
      <w:tr w:rsidR="004E10C1" w:rsidRPr="0044524F" w14:paraId="51B8CA85" w14:textId="77777777">
        <w:tc>
          <w:tcPr>
            <w:tcW w:w="1289" w:type="dxa"/>
          </w:tcPr>
          <w:p w14:paraId="493F58B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объекта</w:t>
            </w:r>
          </w:p>
        </w:tc>
        <w:tc>
          <w:tcPr>
            <w:tcW w:w="1289" w:type="dxa"/>
          </w:tcPr>
          <w:p w14:paraId="1E3A6B7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окнчания по плану, утвержденному СТО</w:t>
            </w:r>
          </w:p>
        </w:tc>
        <w:tc>
          <w:tcPr>
            <w:tcW w:w="1289" w:type="dxa"/>
          </w:tcPr>
          <w:p w14:paraId="4239CD6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предполагаемого выхода</w:t>
            </w:r>
          </w:p>
        </w:tc>
        <w:tc>
          <w:tcPr>
            <w:tcW w:w="1289" w:type="dxa"/>
          </w:tcPr>
          <w:p w14:paraId="3E890CE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дачи техтребований</w:t>
            </w:r>
          </w:p>
        </w:tc>
        <w:tc>
          <w:tcPr>
            <w:tcW w:w="1289" w:type="dxa"/>
          </w:tcPr>
          <w:p w14:paraId="2AC1E89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утверждения макета</w:t>
            </w:r>
          </w:p>
        </w:tc>
        <w:tc>
          <w:tcPr>
            <w:tcW w:w="1289" w:type="dxa"/>
          </w:tcPr>
          <w:p w14:paraId="6C05CD4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утверждения схемы</w:t>
            </w:r>
          </w:p>
        </w:tc>
        <w:tc>
          <w:tcPr>
            <w:tcW w:w="2574" w:type="dxa"/>
          </w:tcPr>
          <w:p w14:paraId="35A16C3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w:t>
            </w:r>
          </w:p>
        </w:tc>
        <w:tc>
          <w:tcPr>
            <w:tcW w:w="1289" w:type="dxa"/>
          </w:tcPr>
          <w:p w14:paraId="0CC08B9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получения мотора</w:t>
            </w:r>
          </w:p>
        </w:tc>
      </w:tr>
      <w:tr w:rsidR="004E10C1" w:rsidRPr="0044524F" w14:paraId="553E018F" w14:textId="77777777">
        <w:tc>
          <w:tcPr>
            <w:tcW w:w="1289" w:type="dxa"/>
          </w:tcPr>
          <w:p w14:paraId="393E2AE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Д1-10М34</w:t>
            </w:r>
          </w:p>
        </w:tc>
        <w:tc>
          <w:tcPr>
            <w:tcW w:w="1289" w:type="dxa"/>
          </w:tcPr>
          <w:p w14:paraId="2100D0E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w:t>
            </w:r>
          </w:p>
        </w:tc>
        <w:tc>
          <w:tcPr>
            <w:tcW w:w="1289" w:type="dxa"/>
          </w:tcPr>
          <w:p w14:paraId="375B513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отсутствия производствен. базы установить трудно.</w:t>
            </w:r>
          </w:p>
        </w:tc>
        <w:tc>
          <w:tcPr>
            <w:tcW w:w="1289" w:type="dxa"/>
          </w:tcPr>
          <w:p w14:paraId="4546706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Июль 1932</w:t>
            </w:r>
          </w:p>
        </w:tc>
        <w:tc>
          <w:tcPr>
            <w:tcW w:w="1289" w:type="dxa"/>
          </w:tcPr>
          <w:p w14:paraId="3A533B0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Предпол. 1 апреля 1933</w:t>
            </w:r>
          </w:p>
        </w:tc>
        <w:tc>
          <w:tcPr>
            <w:tcW w:w="1289" w:type="dxa"/>
          </w:tcPr>
          <w:p w14:paraId="260CF91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1932</w:t>
            </w:r>
          </w:p>
        </w:tc>
        <w:tc>
          <w:tcPr>
            <w:tcW w:w="2574" w:type="dxa"/>
          </w:tcPr>
          <w:p w14:paraId="5ABD27B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 элементов конструкции готов для сдачи в производство. Заканчивается разработка чертежей. (Вопрос постройки задерживается испытанием редукторов (предполагается 13-15 марта) и отсутствием производственной базы.</w:t>
            </w:r>
          </w:p>
        </w:tc>
        <w:tc>
          <w:tcPr>
            <w:tcW w:w="1289" w:type="dxa"/>
          </w:tcPr>
          <w:p w14:paraId="25A8BBE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9EB970E" w14:textId="77777777">
        <w:tc>
          <w:tcPr>
            <w:tcW w:w="1289" w:type="dxa"/>
          </w:tcPr>
          <w:p w14:paraId="46CEA6F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Х1-2М34</w:t>
            </w:r>
          </w:p>
        </w:tc>
        <w:tc>
          <w:tcPr>
            <w:tcW w:w="1289" w:type="dxa"/>
          </w:tcPr>
          <w:p w14:paraId="00E8074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w:t>
            </w:r>
          </w:p>
        </w:tc>
        <w:tc>
          <w:tcPr>
            <w:tcW w:w="1289" w:type="dxa"/>
          </w:tcPr>
          <w:p w14:paraId="606D104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Заявлен ГУГВФ 1 августа 1934</w:t>
            </w:r>
          </w:p>
        </w:tc>
        <w:tc>
          <w:tcPr>
            <w:tcW w:w="1289" w:type="dxa"/>
          </w:tcPr>
          <w:p w14:paraId="5317596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января 1933</w:t>
            </w:r>
          </w:p>
        </w:tc>
        <w:tc>
          <w:tcPr>
            <w:tcW w:w="1289" w:type="dxa"/>
          </w:tcPr>
          <w:p w14:paraId="41CE8EC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Предпол. предварит. 1 августа 1933</w:t>
            </w:r>
          </w:p>
        </w:tc>
        <w:tc>
          <w:tcPr>
            <w:tcW w:w="1289" w:type="dxa"/>
          </w:tcPr>
          <w:p w14:paraId="2C483C8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Предп. 25 апреля 1933</w:t>
            </w:r>
          </w:p>
        </w:tc>
        <w:tc>
          <w:tcPr>
            <w:tcW w:w="2574" w:type="dxa"/>
          </w:tcPr>
          <w:p w14:paraId="6A464DB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Делается эскизный проект.</w:t>
            </w:r>
          </w:p>
        </w:tc>
        <w:tc>
          <w:tcPr>
            <w:tcW w:w="1289" w:type="dxa"/>
          </w:tcPr>
          <w:p w14:paraId="26208DC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0BDDF0E" w14:textId="77777777">
        <w:tc>
          <w:tcPr>
            <w:tcW w:w="1289" w:type="dxa"/>
          </w:tcPr>
          <w:p w14:paraId="6E0EE1C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ВС2-2М52</w:t>
            </w:r>
          </w:p>
        </w:tc>
        <w:tc>
          <w:tcPr>
            <w:tcW w:w="1289" w:type="dxa"/>
          </w:tcPr>
          <w:p w14:paraId="4BF88C7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w:t>
            </w:r>
          </w:p>
        </w:tc>
        <w:tc>
          <w:tcPr>
            <w:tcW w:w="1289" w:type="dxa"/>
          </w:tcPr>
          <w:p w14:paraId="1932D20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соответств. темпе работы КБ 1 сентября 1933</w:t>
            </w:r>
          </w:p>
        </w:tc>
        <w:tc>
          <w:tcPr>
            <w:tcW w:w="1289" w:type="dxa"/>
          </w:tcPr>
          <w:p w14:paraId="4DB14ED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декабря 1932</w:t>
            </w:r>
          </w:p>
        </w:tc>
        <w:tc>
          <w:tcPr>
            <w:tcW w:w="1289" w:type="dxa"/>
          </w:tcPr>
          <w:p w14:paraId="262A22D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398837D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574" w:type="dxa"/>
          </w:tcPr>
          <w:p w14:paraId="39D274B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Предварительные изыскания.</w:t>
            </w:r>
          </w:p>
        </w:tc>
        <w:tc>
          <w:tcPr>
            <w:tcW w:w="1289" w:type="dxa"/>
          </w:tcPr>
          <w:p w14:paraId="59D3786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w:t>
            </w:r>
          </w:p>
        </w:tc>
      </w:tr>
      <w:tr w:rsidR="004E10C1" w:rsidRPr="0044524F" w14:paraId="2855EB02" w14:textId="77777777">
        <w:tc>
          <w:tcPr>
            <w:tcW w:w="1289" w:type="dxa"/>
          </w:tcPr>
          <w:p w14:paraId="2F22F04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П3-М52</w:t>
            </w:r>
          </w:p>
        </w:tc>
        <w:tc>
          <w:tcPr>
            <w:tcW w:w="1289" w:type="dxa"/>
          </w:tcPr>
          <w:p w14:paraId="6A69C07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w:t>
            </w:r>
          </w:p>
        </w:tc>
        <w:tc>
          <w:tcPr>
            <w:tcW w:w="1289" w:type="dxa"/>
          </w:tcPr>
          <w:p w14:paraId="7609972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отпуске денег м.б. дан 1 ноября 1933</w:t>
            </w:r>
          </w:p>
        </w:tc>
        <w:tc>
          <w:tcPr>
            <w:tcW w:w="1289" w:type="dxa"/>
          </w:tcPr>
          <w:p w14:paraId="68F8B20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декабря 1932</w:t>
            </w:r>
          </w:p>
        </w:tc>
        <w:tc>
          <w:tcPr>
            <w:tcW w:w="1289" w:type="dxa"/>
          </w:tcPr>
          <w:p w14:paraId="27D2579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4B76F34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574" w:type="dxa"/>
          </w:tcPr>
          <w:p w14:paraId="2D60BAB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делается, нет денег.</w:t>
            </w:r>
          </w:p>
        </w:tc>
        <w:tc>
          <w:tcPr>
            <w:tcW w:w="1289" w:type="dxa"/>
          </w:tcPr>
          <w:p w14:paraId="72E723D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w:t>
            </w:r>
          </w:p>
        </w:tc>
      </w:tr>
      <w:tr w:rsidR="004E10C1" w:rsidRPr="0044524F" w14:paraId="278F6CC0" w14:textId="77777777">
        <w:tc>
          <w:tcPr>
            <w:tcW w:w="1289" w:type="dxa"/>
          </w:tcPr>
          <w:p w14:paraId="03257CB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У3-М48</w:t>
            </w:r>
          </w:p>
        </w:tc>
        <w:tc>
          <w:tcPr>
            <w:tcW w:w="1289" w:type="dxa"/>
          </w:tcPr>
          <w:p w14:paraId="502EAC9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w:t>
            </w:r>
          </w:p>
        </w:tc>
        <w:tc>
          <w:tcPr>
            <w:tcW w:w="1289" w:type="dxa"/>
          </w:tcPr>
          <w:p w14:paraId="29A0A9A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w:t>
            </w:r>
          </w:p>
        </w:tc>
        <w:tc>
          <w:tcPr>
            <w:tcW w:w="1289" w:type="dxa"/>
          </w:tcPr>
          <w:p w14:paraId="13983E8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августа 1932 (предварит.)</w:t>
            </w:r>
          </w:p>
        </w:tc>
        <w:tc>
          <w:tcPr>
            <w:tcW w:w="1289" w:type="dxa"/>
          </w:tcPr>
          <w:p w14:paraId="52A2E3D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4E0B3DB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574" w:type="dxa"/>
          </w:tcPr>
          <w:p w14:paraId="204B7F6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Начинают делать снова на заводе № 23.</w:t>
            </w:r>
          </w:p>
        </w:tc>
        <w:tc>
          <w:tcPr>
            <w:tcW w:w="1289" w:type="dxa"/>
          </w:tcPr>
          <w:p w14:paraId="0B6472A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w:t>
            </w:r>
          </w:p>
        </w:tc>
      </w:tr>
    </w:tbl>
    <w:p w14:paraId="444BD3C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89"/>
        <w:gridCol w:w="1289"/>
        <w:gridCol w:w="1289"/>
        <w:gridCol w:w="1289"/>
        <w:gridCol w:w="1289"/>
        <w:gridCol w:w="1289"/>
        <w:gridCol w:w="1289"/>
        <w:gridCol w:w="1289"/>
        <w:gridCol w:w="1289"/>
      </w:tblGrid>
      <w:tr w:rsidR="004E10C1" w:rsidRPr="0044524F" w14:paraId="4A48D855" w14:textId="77777777">
        <w:tc>
          <w:tcPr>
            <w:tcW w:w="1289" w:type="dxa"/>
          </w:tcPr>
          <w:p w14:paraId="2C090EF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Наименование объекта</w:t>
            </w:r>
          </w:p>
        </w:tc>
        <w:tc>
          <w:tcPr>
            <w:tcW w:w="1289" w:type="dxa"/>
          </w:tcPr>
          <w:p w14:paraId="72906CC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плану</w:t>
            </w:r>
          </w:p>
        </w:tc>
        <w:tc>
          <w:tcPr>
            <w:tcW w:w="1289" w:type="dxa"/>
          </w:tcPr>
          <w:p w14:paraId="29AAE87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 по предложению организации</w:t>
            </w:r>
          </w:p>
        </w:tc>
        <w:tc>
          <w:tcPr>
            <w:tcW w:w="1289" w:type="dxa"/>
          </w:tcPr>
          <w:p w14:paraId="1CA4D79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дачи техтребований</w:t>
            </w:r>
          </w:p>
        </w:tc>
        <w:tc>
          <w:tcPr>
            <w:tcW w:w="1289" w:type="dxa"/>
          </w:tcPr>
          <w:p w14:paraId="7AEFF58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Прислана боевая схема</w:t>
            </w:r>
          </w:p>
        </w:tc>
        <w:tc>
          <w:tcPr>
            <w:tcW w:w="1289" w:type="dxa"/>
          </w:tcPr>
          <w:p w14:paraId="62AB19E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Утверждение макета</w:t>
            </w:r>
          </w:p>
        </w:tc>
        <w:tc>
          <w:tcPr>
            <w:tcW w:w="1289" w:type="dxa"/>
          </w:tcPr>
          <w:p w14:paraId="590E89D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Фактическое получение мотора</w:t>
            </w:r>
          </w:p>
        </w:tc>
        <w:tc>
          <w:tcPr>
            <w:tcW w:w="1289" w:type="dxa"/>
          </w:tcPr>
          <w:p w14:paraId="1DCBCB4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получения мотора – выход по плану</w:t>
            </w:r>
          </w:p>
        </w:tc>
        <w:tc>
          <w:tcPr>
            <w:tcW w:w="1289" w:type="dxa"/>
          </w:tcPr>
          <w:p w14:paraId="2E428DD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работы</w:t>
            </w:r>
          </w:p>
        </w:tc>
      </w:tr>
      <w:tr w:rsidR="004E10C1" w:rsidRPr="0044524F" w14:paraId="3E54F59C" w14:textId="77777777">
        <w:tc>
          <w:tcPr>
            <w:tcW w:w="1289" w:type="dxa"/>
          </w:tcPr>
          <w:p w14:paraId="67A0238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опытный</w:t>
            </w:r>
          </w:p>
        </w:tc>
        <w:tc>
          <w:tcPr>
            <w:tcW w:w="1289" w:type="dxa"/>
          </w:tcPr>
          <w:p w14:paraId="0580969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аэродром</w:t>
            </w:r>
          </w:p>
        </w:tc>
        <w:tc>
          <w:tcPr>
            <w:tcW w:w="1289" w:type="dxa"/>
          </w:tcPr>
          <w:p w14:paraId="311CF0F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марта 1933 аэродром</w:t>
            </w:r>
          </w:p>
        </w:tc>
        <w:tc>
          <w:tcPr>
            <w:tcW w:w="1289" w:type="dxa"/>
          </w:tcPr>
          <w:p w14:paraId="3E545D9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1931</w:t>
            </w:r>
          </w:p>
        </w:tc>
        <w:tc>
          <w:tcPr>
            <w:tcW w:w="1289" w:type="dxa"/>
          </w:tcPr>
          <w:p w14:paraId="45963B7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июля 1933</w:t>
            </w:r>
          </w:p>
        </w:tc>
        <w:tc>
          <w:tcPr>
            <w:tcW w:w="1289" w:type="dxa"/>
          </w:tcPr>
          <w:p w14:paraId="2F755D5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июля 1931</w:t>
            </w:r>
          </w:p>
          <w:p w14:paraId="448AA32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1931</w:t>
            </w:r>
          </w:p>
          <w:p w14:paraId="15A1F32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апрель 1932</w:t>
            </w:r>
          </w:p>
        </w:tc>
        <w:tc>
          <w:tcPr>
            <w:tcW w:w="1289" w:type="dxa"/>
          </w:tcPr>
          <w:p w14:paraId="00F8D1F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Получены</w:t>
            </w:r>
          </w:p>
        </w:tc>
        <w:tc>
          <w:tcPr>
            <w:tcW w:w="1289" w:type="dxa"/>
          </w:tcPr>
          <w:p w14:paraId="649AD0A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244A40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Устранение дефектов монтажного порядка для передачи на ОЭЛИД.</w:t>
            </w:r>
          </w:p>
        </w:tc>
      </w:tr>
      <w:tr w:rsidR="004E10C1" w:rsidRPr="0044524F" w14:paraId="7C3B3491" w14:textId="77777777">
        <w:tc>
          <w:tcPr>
            <w:tcW w:w="1289" w:type="dxa"/>
          </w:tcPr>
          <w:p w14:paraId="5C5F387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дублер</w:t>
            </w:r>
          </w:p>
        </w:tc>
        <w:tc>
          <w:tcPr>
            <w:tcW w:w="1289" w:type="dxa"/>
          </w:tcPr>
          <w:p w14:paraId="4C05079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7800083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аэродром</w:t>
            </w:r>
          </w:p>
        </w:tc>
        <w:tc>
          <w:tcPr>
            <w:tcW w:w="1289" w:type="dxa"/>
          </w:tcPr>
          <w:p w14:paraId="3447E4D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1931</w:t>
            </w:r>
          </w:p>
        </w:tc>
        <w:tc>
          <w:tcPr>
            <w:tcW w:w="1289" w:type="dxa"/>
          </w:tcPr>
          <w:p w14:paraId="45231B9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июля 1933</w:t>
            </w:r>
          </w:p>
        </w:tc>
        <w:tc>
          <w:tcPr>
            <w:tcW w:w="1289" w:type="dxa"/>
          </w:tcPr>
          <w:p w14:paraId="6EE669F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июля 1931</w:t>
            </w:r>
          </w:p>
          <w:p w14:paraId="187CEB9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1931</w:t>
            </w:r>
          </w:p>
          <w:p w14:paraId="0B671A9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апрель 1932</w:t>
            </w:r>
          </w:p>
        </w:tc>
        <w:tc>
          <w:tcPr>
            <w:tcW w:w="1289" w:type="dxa"/>
          </w:tcPr>
          <w:p w14:paraId="0D73A35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84E18F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89" w:type="dxa"/>
          </w:tcPr>
          <w:p w14:paraId="571FDBA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Изготовлены: каркас фюзеляжа, каркас крыльев. Работы задерживаются до получения результатов опытной машины.</w:t>
            </w:r>
          </w:p>
        </w:tc>
      </w:tr>
      <w:tr w:rsidR="004E10C1" w:rsidRPr="0044524F" w14:paraId="03E25F8F" w14:textId="77777777">
        <w:tc>
          <w:tcPr>
            <w:tcW w:w="1289" w:type="dxa"/>
          </w:tcPr>
          <w:p w14:paraId="065C8BC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ДИП-2М34РН</w:t>
            </w:r>
          </w:p>
        </w:tc>
        <w:tc>
          <w:tcPr>
            <w:tcW w:w="1289" w:type="dxa"/>
          </w:tcPr>
          <w:p w14:paraId="276AF06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c>
          <w:tcPr>
            <w:tcW w:w="1289" w:type="dxa"/>
          </w:tcPr>
          <w:p w14:paraId="4C94EE6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аэродром</w:t>
            </w:r>
          </w:p>
        </w:tc>
        <w:tc>
          <w:tcPr>
            <w:tcW w:w="1289" w:type="dxa"/>
          </w:tcPr>
          <w:p w14:paraId="088B3A4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декабря 1932</w:t>
            </w:r>
          </w:p>
        </w:tc>
        <w:tc>
          <w:tcPr>
            <w:tcW w:w="1289" w:type="dxa"/>
          </w:tcPr>
          <w:p w14:paraId="6048044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45D9A22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492EF4D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973657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c>
          <w:tcPr>
            <w:tcW w:w="1289" w:type="dxa"/>
          </w:tcPr>
          <w:p w14:paraId="4B08A17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Готовы рабочие чертежи крыла, шасси, оперения, фюзеляжа. 30%.</w:t>
            </w:r>
          </w:p>
          <w:p w14:paraId="2527D35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Находятся в производстве шасси и крылья (по чертежам МИ3).</w:t>
            </w:r>
          </w:p>
        </w:tc>
      </w:tr>
      <w:tr w:rsidR="004E10C1" w:rsidRPr="0044524F" w14:paraId="60C7D53E" w14:textId="77777777">
        <w:tc>
          <w:tcPr>
            <w:tcW w:w="1289" w:type="dxa"/>
          </w:tcPr>
          <w:p w14:paraId="1E78ACF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М-38</w:t>
            </w:r>
          </w:p>
        </w:tc>
        <w:tc>
          <w:tcPr>
            <w:tcW w:w="1289" w:type="dxa"/>
          </w:tcPr>
          <w:p w14:paraId="16906C8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1933</w:t>
            </w:r>
          </w:p>
        </w:tc>
        <w:tc>
          <w:tcPr>
            <w:tcW w:w="1289" w:type="dxa"/>
          </w:tcPr>
          <w:p w14:paraId="3DA046F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1933 аэродром</w:t>
            </w:r>
          </w:p>
        </w:tc>
        <w:tc>
          <w:tcPr>
            <w:tcW w:w="1289" w:type="dxa"/>
          </w:tcPr>
          <w:p w14:paraId="48D050D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1932</w:t>
            </w:r>
          </w:p>
          <w:p w14:paraId="7ABA4EC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декабря 1932</w:t>
            </w:r>
          </w:p>
        </w:tc>
        <w:tc>
          <w:tcPr>
            <w:tcW w:w="1289" w:type="dxa"/>
          </w:tcPr>
          <w:p w14:paraId="586C053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декабря 1932</w:t>
            </w:r>
          </w:p>
        </w:tc>
        <w:tc>
          <w:tcPr>
            <w:tcW w:w="1289" w:type="dxa"/>
          </w:tcPr>
          <w:p w14:paraId="4312388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января 1933</w:t>
            </w:r>
          </w:p>
        </w:tc>
        <w:tc>
          <w:tcPr>
            <w:tcW w:w="1289" w:type="dxa"/>
          </w:tcPr>
          <w:p w14:paraId="2D0E4E9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января 1933 Меркур</w:t>
            </w:r>
          </w:p>
        </w:tc>
        <w:tc>
          <w:tcPr>
            <w:tcW w:w="1289" w:type="dxa"/>
          </w:tcPr>
          <w:p w14:paraId="18E979E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(М38)</w:t>
            </w:r>
          </w:p>
        </w:tc>
        <w:tc>
          <w:tcPr>
            <w:tcW w:w="1289" w:type="dxa"/>
          </w:tcPr>
          <w:p w14:paraId="4FF7641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Общая готовность 60%.</w:t>
            </w:r>
          </w:p>
        </w:tc>
      </w:tr>
      <w:tr w:rsidR="004E10C1" w:rsidRPr="0044524F" w14:paraId="1C554A9E" w14:textId="77777777">
        <w:tc>
          <w:tcPr>
            <w:tcW w:w="1289" w:type="dxa"/>
          </w:tcPr>
          <w:p w14:paraId="6D4C944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И-13 М32Н</w:t>
            </w:r>
          </w:p>
        </w:tc>
        <w:tc>
          <w:tcPr>
            <w:tcW w:w="1289" w:type="dxa"/>
          </w:tcPr>
          <w:p w14:paraId="2DE118B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w:t>
            </w:r>
          </w:p>
        </w:tc>
        <w:tc>
          <w:tcPr>
            <w:tcW w:w="1289" w:type="dxa"/>
          </w:tcPr>
          <w:p w14:paraId="2F7E3C3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c>
          <w:tcPr>
            <w:tcW w:w="1289" w:type="dxa"/>
          </w:tcPr>
          <w:p w14:paraId="18D8B6A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декабря 1932</w:t>
            </w:r>
          </w:p>
        </w:tc>
        <w:tc>
          <w:tcPr>
            <w:tcW w:w="1289" w:type="dxa"/>
          </w:tcPr>
          <w:p w14:paraId="4CE36EF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4C240AB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1DBAD47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3747FA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w:t>
            </w:r>
          </w:p>
        </w:tc>
        <w:tc>
          <w:tcPr>
            <w:tcW w:w="1289" w:type="dxa"/>
          </w:tcPr>
          <w:p w14:paraId="47517DD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Приступлено к разработке схемы самолета.</w:t>
            </w:r>
          </w:p>
        </w:tc>
      </w:tr>
      <w:tr w:rsidR="004E10C1" w:rsidRPr="0044524F" w14:paraId="645D90F7" w14:textId="77777777">
        <w:tc>
          <w:tcPr>
            <w:tcW w:w="1289" w:type="dxa"/>
          </w:tcPr>
          <w:p w14:paraId="0F1C5B0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РД-М34Р</w:t>
            </w:r>
          </w:p>
        </w:tc>
        <w:tc>
          <w:tcPr>
            <w:tcW w:w="1289" w:type="dxa"/>
          </w:tcPr>
          <w:p w14:paraId="4DDBF36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1932</w:t>
            </w:r>
          </w:p>
        </w:tc>
        <w:tc>
          <w:tcPr>
            <w:tcW w:w="1289" w:type="dxa"/>
          </w:tcPr>
          <w:p w14:paraId="0A159F8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w:t>
            </w:r>
          </w:p>
        </w:tc>
        <w:tc>
          <w:tcPr>
            <w:tcW w:w="1289" w:type="dxa"/>
          </w:tcPr>
          <w:p w14:paraId="7A966B4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779DEC6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0082865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2A6821C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Февраль 1933 тренир.</w:t>
            </w:r>
          </w:p>
        </w:tc>
        <w:tc>
          <w:tcPr>
            <w:tcW w:w="1289" w:type="dxa"/>
          </w:tcPr>
          <w:p w14:paraId="77E594C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Июль 1933 спецсборки</w:t>
            </w:r>
          </w:p>
        </w:tc>
        <w:tc>
          <w:tcPr>
            <w:tcW w:w="1289" w:type="dxa"/>
          </w:tcPr>
          <w:p w14:paraId="3D89A3C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 управление, оперение, каркас крыла готовы.</w:t>
            </w:r>
          </w:p>
        </w:tc>
      </w:tr>
      <w:tr w:rsidR="004E10C1" w:rsidRPr="0044524F" w14:paraId="57326ED8" w14:textId="77777777">
        <w:tc>
          <w:tcPr>
            <w:tcW w:w="1289" w:type="dxa"/>
          </w:tcPr>
          <w:p w14:paraId="748F34F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И-12 2М-22 дублер</w:t>
            </w:r>
          </w:p>
        </w:tc>
        <w:tc>
          <w:tcPr>
            <w:tcW w:w="1289" w:type="dxa"/>
          </w:tcPr>
          <w:p w14:paraId="34F09EE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1932</w:t>
            </w:r>
          </w:p>
        </w:tc>
        <w:tc>
          <w:tcPr>
            <w:tcW w:w="1289" w:type="dxa"/>
          </w:tcPr>
          <w:p w14:paraId="0E0D11C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w:t>
            </w:r>
          </w:p>
        </w:tc>
        <w:tc>
          <w:tcPr>
            <w:tcW w:w="1289" w:type="dxa"/>
          </w:tcPr>
          <w:p w14:paraId="266F136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0E47F45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79748D1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0756422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Есть</w:t>
            </w:r>
          </w:p>
        </w:tc>
        <w:tc>
          <w:tcPr>
            <w:tcW w:w="1289" w:type="dxa"/>
          </w:tcPr>
          <w:p w14:paraId="13351AC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89" w:type="dxa"/>
          </w:tcPr>
          <w:p w14:paraId="77501B4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Каркас готов.</w:t>
            </w:r>
          </w:p>
        </w:tc>
      </w:tr>
    </w:tbl>
    <w:p w14:paraId="44D3336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(7415, 16-19).</w:t>
      </w:r>
    </w:p>
    <w:p w14:paraId="7567D59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2B795C7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марта 1933 состоялось заседание у нач. ГУАП П.И.Б. о состоянии производства тормозных колес (2292,73).</w:t>
      </w:r>
    </w:p>
    <w:p w14:paraId="69DD290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647AFB2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марта 1933 были подготовлены два проекта Постановления СТО о полетах в стратосферу (ГУАП и ВВС) - хотели, чтобы для быстрейшего проведения испытаний и исследований сверхвысотного полета ГУАП выпустил на аэродром высотный самолет с потолком 10-12000 м под М-34 с высотностью 5000 м в 4 кв. 1933, для чего ЦИАМ передать ЦКБ завода 39 М-34РН 1 июля (военные хотели, чтобы не ЦКБ, а ЦАГИ - но не ясно - КО ЦАГИ (бригада 6) или БНТ ЦАГИ - сделал это), ЦИАМ выпустил в 4 кв. М-34 с двухступенчатом импеллером, а ГУАП в 1934 - выпустил на аэродром последний вариант сверхвысотного самолета с потолком 15000 м (ГУАП - 15000 м) и этим мотором...(2304,34).</w:t>
      </w:r>
    </w:p>
    <w:p w14:paraId="5D0207A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1</w:t>
      </w:r>
    </w:p>
    <w:p w14:paraId="31ED18A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о полете в стратосферу</w:t>
      </w:r>
    </w:p>
    <w:p w14:paraId="6FD8210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5177D94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Придавая большое военное и научное значение вопросу полета в стратосферу, признать работы, ведущиеся по высотным самолетам в БНТ завода № 39 и по соответствующим моторам в ЦИАМе особо важными.</w:t>
      </w:r>
    </w:p>
    <w:p w14:paraId="7DD6E9B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p w14:paraId="38D1979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выпустить на аэродром высотный с-т с потолком 10-12 т мпод мотор М-34 с высотностью 5000 м в 1У кв. 1933, для чего ЦИАМ обязан передать ЦКБ завода № 39 мотор М34РН 1 июля 1933.</w:t>
      </w:r>
    </w:p>
    <w:p w14:paraId="5BB0F14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p w14:paraId="2E258CA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ЦИАМвыпустить в 1У кв. 1933 опытный образец мотора М-34 с двкхстепенчатым импеллером, редуктором и винтом с поворотными лопастями, предназначенными для полета в стратосфере.</w:t>
      </w:r>
    </w:p>
    <w:p w14:paraId="7190FA2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61D9285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в 1934 выпустить на аэродром последний вариант сверхвысотного с-та с потолком не ниже 15000 м с доведенным мотором по пар. 3</w:t>
      </w:r>
    </w:p>
    <w:p w14:paraId="62EE909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p w14:paraId="752CCC2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немедленно вступить в переговоры с фирмой Рато на предмет постройки ею, по нашему заданию, в кратчайший срок, нагнетателя под мотор М-34 с высотностью 12-15 тыс. м.</w:t>
      </w:r>
    </w:p>
    <w:p w14:paraId="52A137A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p w14:paraId="0DE0FE2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приобрести три комплекта всех необходимых приборов для оборудования стратосферного с-та и импортные организации реализовать и доставить не позднее 1 мая.</w:t>
      </w:r>
    </w:p>
    <w:p w14:paraId="0B81E02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оборудования утвердить в сумме 15000 руб. В инвалюте.</w:t>
      </w:r>
    </w:p>
    <w:p w14:paraId="1080F96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2</w:t>
      </w:r>
    </w:p>
    <w:p w14:paraId="3EEDD2D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о полете в стратосферу</w:t>
      </w:r>
    </w:p>
    <w:p w14:paraId="44BD7E4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34A3632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Придавая большое военное и научное значение вопросу полета в стратосферу, признать работы, ведущиеся по высотным самолетам в БНТ завода № 39 и по соответствующим моторам в ЦИАМе особо важными.</w:t>
      </w:r>
    </w:p>
    <w:p w14:paraId="7B1EDF4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p w14:paraId="6A695F8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выпустить на аэродром высотный с-т с потолком 10-12 т мпод мотор М-34 с высотностью 5000 м в 1У кв. 1933, для чего ЦИАМ обязан передать ЦКБ завода № 39 мотор М34РН 1 июля 1933.</w:t>
      </w:r>
    </w:p>
    <w:p w14:paraId="678337E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p w14:paraId="3005768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ЦИАМвыпустить в 1У кв. 1933 опытный образец мотора М-34 с двкхстепенчатым импеллером, редуктором и винтом с поворотными лопастями, предназначенными для полета в стратосфере.</w:t>
      </w:r>
    </w:p>
    <w:p w14:paraId="5CA12DC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2E65F42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в 1934 выпустить на аэродром последний вариант сверхвысотного с-та с потолком не ниже 15000 м с доведенным мотором по пар. 3</w:t>
      </w:r>
    </w:p>
    <w:p w14:paraId="1853386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p w14:paraId="4BA6C96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немедленно вступить в переговоры с фирмой Рато на предмет постройки ею, по нашему заданию, в кратчайший срок, нагнетателя под мотор М-34 с высотностью 12-15 тыс. м.</w:t>
      </w:r>
    </w:p>
    <w:p w14:paraId="5888C73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p w14:paraId="125034B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приобрести три комплекта всех необходимых приборов для оборудования стратосферного с-та и импортные организации реализовать и доставить не позднее 1 мая.</w:t>
      </w:r>
    </w:p>
    <w:p w14:paraId="2A0259B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оборудования утвердить в сумме 15000 руб. В инвалюте.</w:t>
      </w:r>
    </w:p>
    <w:p w14:paraId="3738C58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p w14:paraId="17FDC1A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приобрести (или заказать) у фирмы Юнкерс один стратосферный с-т</w:t>
      </w:r>
    </w:p>
    <w:p w14:paraId="7CFAEAB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p w14:paraId="410AB65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Отпустить ГУАП для этих целей необходимую валюту</w:t>
      </w:r>
    </w:p>
    <w:p w14:paraId="5302BF7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p w14:paraId="2B77FC1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форсирования создания высотного двигателя считать особо важными работы по конструированию и постройке паровых и газовых турбин, а также нагнетателей к двигателям на легком и тяжелом топливе</w:t>
      </w:r>
    </w:p>
    <w:p w14:paraId="350FD41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p w14:paraId="3B48D50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Отпустить ЦАГИ специальные кредиты на постройку и оборудование мастерских и ангарных площадей летной станции ЦАГИ в 1933 - 2 млн. Руб, и на пристройку к опытному заводу - 1,5 млн. руб.</w:t>
      </w:r>
    </w:p>
    <w:p w14:paraId="7421DA8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Расхождения</w:t>
      </w:r>
    </w:p>
    <w:p w14:paraId="51C9CE4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проектом постановления по вопросу о сверхвысотном с-те между ГУАП и ВВС</w:t>
      </w:r>
    </w:p>
    <w:p w14:paraId="45FB543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 1</w:t>
      </w:r>
      <w:r w:rsidRPr="0044524F">
        <w:rPr>
          <w:rFonts w:ascii="Times New Roman" w:hAnsi="Times New Roman"/>
          <w:color w:val="000000" w:themeColor="text1"/>
          <w:sz w:val="16"/>
          <w:szCs w:val="16"/>
        </w:rPr>
        <w:tab/>
        <w:t>разногласий нет</w:t>
      </w:r>
    </w:p>
    <w:p w14:paraId="55DB3E7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 2</w:t>
      </w:r>
      <w:r w:rsidRPr="0044524F">
        <w:rPr>
          <w:rFonts w:ascii="Times New Roman" w:hAnsi="Times New Roman"/>
          <w:color w:val="000000" w:themeColor="text1"/>
          <w:sz w:val="16"/>
          <w:szCs w:val="16"/>
        </w:rPr>
        <w:tab/>
        <w:t>редакция ВВС: 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обязать ЦИАМ представить ЦАГИ в марте 1933 мотор М-34 РН с высотностью 5000 м и ЦАГИ выпустить в воздух в мае 1933 высотный с-т с потолком 11-12 тыс. м.</w:t>
      </w:r>
    </w:p>
    <w:p w14:paraId="56F9203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 3</w:t>
      </w:r>
      <w:r w:rsidRPr="0044524F">
        <w:rPr>
          <w:rFonts w:ascii="Times New Roman" w:hAnsi="Times New Roman"/>
          <w:color w:val="000000" w:themeColor="text1"/>
          <w:sz w:val="16"/>
          <w:szCs w:val="16"/>
        </w:rPr>
        <w:tab/>
        <w:t>разногласий нет</w:t>
      </w:r>
    </w:p>
    <w:p w14:paraId="2E54EF6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 4</w:t>
      </w:r>
      <w:r w:rsidRPr="0044524F">
        <w:rPr>
          <w:rFonts w:ascii="Times New Roman" w:hAnsi="Times New Roman"/>
          <w:color w:val="000000" w:themeColor="text1"/>
          <w:sz w:val="16"/>
          <w:szCs w:val="16"/>
        </w:rPr>
        <w:tab/>
        <w:t>Редакция ВВС :Обязать ГУАП в 1 кв. 1934 выпустить на аэродром последний вариант сверхвысотного с-та с потолком не ниже 15000 м с доведенным мотором по пар. 3</w:t>
      </w:r>
    </w:p>
    <w:p w14:paraId="0B707EE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пар. 5-10</w:t>
      </w:r>
      <w:r w:rsidRPr="0044524F">
        <w:rPr>
          <w:rFonts w:ascii="Times New Roman" w:hAnsi="Times New Roman"/>
          <w:color w:val="000000" w:themeColor="text1"/>
          <w:sz w:val="16"/>
          <w:szCs w:val="16"/>
        </w:rPr>
        <w:tab/>
        <w:t>разногласий нет (2304,34).</w:t>
      </w:r>
    </w:p>
    <w:p w14:paraId="75C1713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1921D44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марта 1933 года был подписан:</w:t>
      </w:r>
    </w:p>
    <w:p w14:paraId="41DA6F2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Краткий доклад по рекордному полету на дальность</w:t>
      </w:r>
    </w:p>
    <w:p w14:paraId="73E71B8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СТО на ЦАГИ возложена задача постройки самолета для рекордных полетов на дальность. Этот самолет в настоящее время находится в постройке и будет готов для предварительных испытаний в мае 1933 года, а для полетов на продолжительность и дальность к сентябрю 1933 года. При трех человеках экипажа этот самолет сможет покрыть расстояние без посадки в 9000-10000 км (мировой рекорд 8200 км). Самолет строится с одним мотором М-34 без редуктора, а при установке мотора М-34 с редуктором дальность полета может быть увеличена. Таким образом, на этом самолете с мотором М-34 СССР сможет поставить мировой рекорд на дальность полета без посадки. Однако, проведение этой операции потребует значительной предварительной подготовки.</w:t>
      </w:r>
    </w:p>
    <w:p w14:paraId="0419287A"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будет:</w:t>
      </w:r>
    </w:p>
    <w:p w14:paraId="5432769C" w14:textId="77777777" w:rsidR="00393D95" w:rsidRPr="0044524F" w:rsidRDefault="00393D9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Подготовить 10 специально изготовленных моторов М-34 с особой надежностью работы и специфической регулировкой для наименьшего расхода горючего.</w:t>
      </w:r>
    </w:p>
    <w:p w14:paraId="2EFD118B" w14:textId="77777777" w:rsidR="00393D95" w:rsidRPr="0044524F" w:rsidRDefault="00393D9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Иметь два экипажа (основной и резервный), состоящие каждый из двух летчиков и одного аэронавигатора.</w:t>
      </w:r>
    </w:p>
    <w:p w14:paraId="3D96D74A" w14:textId="77777777" w:rsidR="00393D95" w:rsidRPr="0044524F" w:rsidRDefault="00393D9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шестимесячную тренировку обоих экипажей для полетов по приборам и длительных полетов без посадки.</w:t>
      </w:r>
    </w:p>
    <w:p w14:paraId="5ECE0AE5" w14:textId="77777777" w:rsidR="00393D95" w:rsidRPr="0044524F" w:rsidRDefault="00393D9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Выделить и подготовить обслуживающие самолеты и самолет для полета.</w:t>
      </w:r>
    </w:p>
    <w:p w14:paraId="2184EB4E" w14:textId="77777777" w:rsidR="00393D95" w:rsidRPr="0044524F" w:rsidRDefault="00393D9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Назначить специальную обслуживающую группу в количестве 20 человек инженерно-технического персонала, снабдив эту группу транспортом.</w:t>
      </w:r>
    </w:p>
    <w:p w14:paraId="0343C956" w14:textId="77777777" w:rsidR="00393D95" w:rsidRPr="0044524F" w:rsidRDefault="00393D9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Построить специальную бетонированную дорожку для взлета длиной в 2000 м и шириной в 70 м, которая необходима вследствие первоначальной сильной нагруженности самолета.</w:t>
      </w:r>
    </w:p>
    <w:p w14:paraId="5A8F8BFB" w14:textId="77777777" w:rsidR="00393D95" w:rsidRPr="0044524F" w:rsidRDefault="00393D9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Заблаговременно выбрать маршрут полета в зависимости от ряда политических и технических соображений.</w:t>
      </w:r>
    </w:p>
    <w:p w14:paraId="4FFA0EA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расстоянии 9000 км и свыше могут быть намечены следующие заграничные маршруты: Москва – Южная Африка, Москва – Южная Америка, Москва – Нью-Йорк (в западном направлении). Внутренний маршрут Москва – Владивосток длиною в 8000 км недостаточен для рекорда на дальность и труден для перелета в осеннее время.</w:t>
      </w:r>
    </w:p>
    <w:p w14:paraId="4711E24E" w14:textId="77777777" w:rsidR="00393D95" w:rsidRPr="0044524F" w:rsidRDefault="00393D9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Получить в СССР специального представителя Международной организации по рекордным полетам Federation Aeronautique Internationale, без визы которого никакой рекорд по Международному кодексу не признается.</w:t>
      </w:r>
    </w:p>
    <w:p w14:paraId="1423B3EA" w14:textId="77777777" w:rsidR="00393D95" w:rsidRPr="0044524F" w:rsidRDefault="00393D95"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Обеспечить метеорологическую службу во время полета.</w:t>
      </w:r>
    </w:p>
    <w:p w14:paraId="38B9C8D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мероприятия по проведению этого рекордного полета потребуют специальных денежных затрат в советской и иностранной валюте, согласно сметы, которая будет представлена дополнительно.</w:t>
      </w:r>
    </w:p>
    <w:p w14:paraId="4A5B8A3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признания целесообразности организации этого полета, необходимо получить соответсвующее постановление Правительства, проект которого прилагается (7432, 1-2).</w:t>
      </w:r>
    </w:p>
    <w:p w14:paraId="34D3631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2C8C1DE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марта 1933 Пом. Нач. ГУАП, нач. НТОС Алмазов писал Нач. ВВС Алкснису, Нач. НИИ ВВС Зильбергу и Нач. ЦКБ С.В.И. письмо N 282/с о работах, порученных ГУАП согласно постановлению РВС от 3 марта 1933 - по разработке учебного и спортивного, тренировочного и др. Самолетов</w:t>
      </w:r>
    </w:p>
    <w:p w14:paraId="1664E10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постановления Р.В.С. СССР от 3 марта 1933 Глававиапрому поручается:</w:t>
      </w:r>
    </w:p>
    <w:p w14:paraId="3719411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Разработать и построить учебный и спортивный самолет и мотор по повышенным требованиям</w:t>
      </w:r>
    </w:p>
    <w:p w14:paraId="5EE261F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первоначального обучения</w:t>
      </w:r>
    </w:p>
    <w:p w14:paraId="2DD47E4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для тренировки как на одноместной машине</w:t>
      </w:r>
    </w:p>
    <w:p w14:paraId="4BFCF27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для слепого полета</w:t>
      </w:r>
    </w:p>
    <w:p w14:paraId="41EF5B9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для ночного полета и полета в строю (для обучения л-наблюдателей, приемам навигации, фото, бомбометанию, стрельбе</w:t>
      </w:r>
    </w:p>
    <w:p w14:paraId="1699497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Разработать и построить тип тренировочного истребителя под мощность 150-200 нр</w:t>
      </w:r>
    </w:p>
    <w:p w14:paraId="11A4D22C"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самолет сопровождения</w:t>
      </w:r>
    </w:p>
    <w:p w14:paraId="7B1F9754"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тренировочный</w:t>
      </w:r>
    </w:p>
    <w:p w14:paraId="05FD7E4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местных линий</w:t>
      </w:r>
    </w:p>
    <w:p w14:paraId="68E35BD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Провести необходимые исследования и ускорить применение: подкрылков, закрылков, двойного крыла, крыла с меняющимся профилем..., имея в виду:</w:t>
      </w:r>
    </w:p>
    <w:p w14:paraId="75480BD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получить наибольший диапазон гор. скоростей</w:t>
      </w:r>
    </w:p>
    <w:p w14:paraId="67FB402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увеличить устойчивость при полете с предельными нагрузками</w:t>
      </w:r>
    </w:p>
    <w:p w14:paraId="2CD8D43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уменьшить посадочные скорости</w:t>
      </w:r>
    </w:p>
    <w:p w14:paraId="1550FBD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увеличить скороподъемность</w:t>
      </w:r>
    </w:p>
    <w:p w14:paraId="5EDB69F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Считать одной из важнейших задач ближайшего периода получение легкого двухместного самолета, универсального в производстве и специализированного по оборудованию для назначения:</w:t>
      </w:r>
    </w:p>
    <w:p w14:paraId="227CD4F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оперативный разведчик</w:t>
      </w:r>
    </w:p>
    <w:p w14:paraId="2A01DB7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двухместный истребитель</w:t>
      </w:r>
    </w:p>
    <w:p w14:paraId="244D741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ЛБ</w:t>
      </w:r>
    </w:p>
    <w:p w14:paraId="4A6B8CF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 в части применения ЛР, как скоростного почтовика отдельно согласовать вопрос П.И.Б. с Гольцманом и Алкснисом</w:t>
      </w:r>
    </w:p>
    <w:p w14:paraId="1B0BCE2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 случае получения неудовлетворительного результата испытания ЛР приступить к постройке специального универсального самолета.</w:t>
      </w:r>
    </w:p>
    <w:p w14:paraId="2EF1642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определения объема работ по этим заданиям и возможности включения их в план - прошу о направлении в НТОС ГУАП требований на указанные выше объекты (2305,87).</w:t>
      </w:r>
    </w:p>
    <w:p w14:paraId="7D9BCA7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5CB21336"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13 марта</w:t>
      </w:r>
      <w:r w:rsidRPr="0044524F">
        <w:rPr>
          <w:rFonts w:ascii="Times New Roman" w:hAnsi="Times New Roman"/>
          <w:color w:val="000000" w:themeColor="text1"/>
          <w:sz w:val="16"/>
          <w:szCs w:val="16"/>
        </w:rPr>
        <w:t xml:space="preserve"> в 1933 году начаты огневые испытания двигателя Ф.А.Цандера «ОР-2», первого советского ЖРД, предназначенного для установки на летательный аппарат. «ОР-2» — жидкостный ракетный двигатель конструкции Ф.А.Цандера. Предназначался для установки на бесхвостый ракетоплан «РП-1» конструкции Б.И.Черановского.Первый жидкостный ракетный двигатель конструкции Ф.А.Цандера («ОР-2») с проектной тягой 50 кгс, охлаждением сопла водой, а камеры сгорания — газообразным кислородом был изготовлен в МосГИРД в декабре 1932 года и испытан на кислородно-бензиновом топливе в марте 1933 года без участия его автора, умершего в том же месяце. При первых испытаниях двигатель разрушался. Учениками Цандера «ОР-2» был переконструирован, бензин заменен этиловым спиртом для снижения температуры газов и облегчения охлаждения, введена керамическая облицовка камеры, а шифр двигателя изменен на 02 (15067).</w:t>
      </w:r>
    </w:p>
    <w:p w14:paraId="3697E771"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7C96B84F" w14:textId="77777777" w:rsidR="00393D9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D299BD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004D868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13-16 марта 1933 в Воронеже состоялся I областной съезд колхозников-ударников (13-16.03). В то время, когда во многих районах области голод начал активно увеличивать свои масштабы, в Большом советском театре первый секретарь обкома ВКП(б) И.Варейкис в присутствии 600 делегатов съезда торжественно объявил о победе колхозного строя в Центрально-Черноземной области (10687).</w:t>
      </w:r>
    </w:p>
    <w:p w14:paraId="392E3AE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3D95F480" w14:textId="77777777" w:rsidR="00393D9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CD1B927" w14:textId="77777777" w:rsidR="00393D95" w:rsidRPr="0044524F" w:rsidRDefault="00393D9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4B8E129"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13 марта</w:t>
      </w:r>
      <w:r w:rsidRPr="0044524F">
        <w:rPr>
          <w:rFonts w:ascii="Times New Roman" w:hAnsi="Times New Roman"/>
          <w:color w:val="000000" w:themeColor="text1"/>
          <w:sz w:val="16"/>
          <w:szCs w:val="16"/>
        </w:rPr>
        <w:t xml:space="preserve"> в 1933 году все американские банки были вновь открыты после приостановления в США обычной банковской деятельности, так называемых «банковских каникул», объявленных президентом США Франклином Рузвельтом (1882–1945) на следующий день после его инаугурации. В условиях Великой депрессии люди стремились забирать все свои вклады, что грозило застопорить финансовые потоки и негативным образом повлиять на экономику страны. Выступив по радио, Рузвельт сказал всю правду о необходимости принятия столь экстренных мер, введенных в период с 6 до 13 марта. Президенту удалось определить платежеспособность банков и прекратить падение акций, продолжавшееся с осени 1929 года (15067).</w:t>
      </w:r>
    </w:p>
    <w:p w14:paraId="53A2D37C"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289823F9"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марта 1933 Й.Гебельс стал райхсминистром пропаганды. С марта 1933 по январь 1934 государство переходило под контроль нацистов в рамках процесса, названного Gleichschaltung. В марте 1933 открыли концлагерь Дахау поблизости от Мюнхена (2242,2).</w:t>
      </w:r>
    </w:p>
    <w:p w14:paraId="6FA8DED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3C79168D" w14:textId="77777777" w:rsidR="00393D9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C62E73B" w14:textId="77777777" w:rsidR="00393D95" w:rsidRPr="0044524F" w:rsidRDefault="00393D9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94D8B4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марта 1933 состоялось совещание в штабе РККА по вопросам развития морской авиации и Нач. ВМС Орлов, помня у неудачах советских конструкторов, ратовал за покупку в Италии Савойй S.55. Нач. Штаба ВВС В.В.Хрипин возразил и сказал, что создание МДР-4 (АНТ-27) вполне реально. Хрипина поддержали (6472, 32).</w:t>
      </w:r>
    </w:p>
    <w:p w14:paraId="3EE47875"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5DEE08A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марта 1933 года штаб РККА в очередной раз обсудил ряд вопросов, связанных с развитием морской авиации. В принятом решении было записано: "Строительство морской авиации необходимо выдвинуть на первый план, и не за счёт заграничных закупок (кроме образцов), а путём постройки заводов и создания новых конструкций гидросамолётов". Однако быстро выяснилось, что на этот момент практически единственным полностью отечественным гидросамолётом, не требующим покупки лицензии или комплектующих за границей и готовым для быстрого запуска в серию, оказался МБР-2 (12003).</w:t>
      </w:r>
    </w:p>
    <w:p w14:paraId="0FCEDAF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405DAE52"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14 марта 1933 г. штаб РККА вновь обсудил ряд во</w:t>
      </w:r>
      <w:r w:rsidRPr="00142305">
        <w:rPr>
          <w:rStyle w:val="aff"/>
          <w:rFonts w:ascii="Times New Roman" w:eastAsiaTheme="minorHAnsi" w:hAnsi="Times New Roman" w:cs="Times New Roman"/>
          <w:color w:val="0070C0"/>
          <w:spacing w:val="0"/>
          <w:sz w:val="16"/>
          <w:szCs w:val="16"/>
        </w:rPr>
        <w:softHyphen/>
        <w:t>просов связанных с развитием морской авиации. В принятом ре</w:t>
      </w:r>
      <w:r w:rsidRPr="00142305">
        <w:rPr>
          <w:rStyle w:val="aff"/>
          <w:rFonts w:ascii="Times New Roman" w:eastAsiaTheme="minorHAnsi" w:hAnsi="Times New Roman" w:cs="Times New Roman"/>
          <w:color w:val="0070C0"/>
          <w:spacing w:val="0"/>
          <w:sz w:val="16"/>
          <w:szCs w:val="16"/>
        </w:rPr>
        <w:softHyphen/>
        <w:t>шении было записано: «Строитель</w:t>
      </w:r>
      <w:r w:rsidRPr="00142305">
        <w:rPr>
          <w:rStyle w:val="aff"/>
          <w:rFonts w:ascii="Times New Roman" w:eastAsiaTheme="minorHAnsi" w:hAnsi="Times New Roman" w:cs="Times New Roman"/>
          <w:color w:val="0070C0"/>
          <w:spacing w:val="0"/>
          <w:sz w:val="16"/>
          <w:szCs w:val="16"/>
        </w:rPr>
        <w:softHyphen/>
        <w:t>ство морской авиации необходимо выдвинуть на первый план, и не за счет заграничных закупок (кроме образцов), а путем постройки заво</w:t>
      </w:r>
      <w:r w:rsidRPr="00142305">
        <w:rPr>
          <w:rStyle w:val="aff"/>
          <w:rFonts w:ascii="Times New Roman" w:eastAsiaTheme="minorHAnsi" w:hAnsi="Times New Roman" w:cs="Times New Roman"/>
          <w:color w:val="0070C0"/>
          <w:spacing w:val="0"/>
          <w:sz w:val="16"/>
          <w:szCs w:val="16"/>
        </w:rPr>
        <w:softHyphen/>
        <w:t>дов и создания новых конструкций гидросамолетов». Однако быстро выяснилось, что на этот момент практически единственным полно</w:t>
      </w:r>
      <w:r w:rsidRPr="00142305">
        <w:rPr>
          <w:rStyle w:val="aff"/>
          <w:rFonts w:ascii="Times New Roman" w:eastAsiaTheme="minorHAnsi" w:hAnsi="Times New Roman" w:cs="Times New Roman"/>
          <w:color w:val="0070C0"/>
          <w:spacing w:val="0"/>
          <w:sz w:val="16"/>
          <w:szCs w:val="16"/>
        </w:rPr>
        <w:softHyphen/>
        <w:t>стью отечественным гидросамоле</w:t>
      </w:r>
      <w:r w:rsidRPr="00142305">
        <w:rPr>
          <w:rStyle w:val="aff"/>
          <w:rFonts w:ascii="Times New Roman" w:eastAsiaTheme="minorHAnsi" w:hAnsi="Times New Roman" w:cs="Times New Roman"/>
          <w:color w:val="0070C0"/>
          <w:spacing w:val="0"/>
          <w:sz w:val="16"/>
          <w:szCs w:val="16"/>
        </w:rPr>
        <w:softHyphen/>
        <w:t>том, не требующим покупки лицен</w:t>
      </w:r>
      <w:r w:rsidRPr="00142305">
        <w:rPr>
          <w:rStyle w:val="aff"/>
          <w:rFonts w:ascii="Times New Roman" w:eastAsiaTheme="minorHAnsi" w:hAnsi="Times New Roman" w:cs="Times New Roman"/>
          <w:color w:val="0070C0"/>
          <w:spacing w:val="0"/>
          <w:sz w:val="16"/>
          <w:szCs w:val="16"/>
        </w:rPr>
        <w:softHyphen/>
        <w:t>зии или комплектующих за грани</w:t>
      </w:r>
      <w:r w:rsidRPr="00142305">
        <w:rPr>
          <w:rStyle w:val="aff"/>
          <w:rFonts w:ascii="Times New Roman" w:eastAsiaTheme="minorHAnsi" w:hAnsi="Times New Roman" w:cs="Times New Roman"/>
          <w:color w:val="0070C0"/>
          <w:spacing w:val="0"/>
          <w:sz w:val="16"/>
          <w:szCs w:val="16"/>
        </w:rPr>
        <w:softHyphen/>
        <w:t>цей и готовым для быстрого запус</w:t>
      </w:r>
      <w:r w:rsidRPr="00142305">
        <w:rPr>
          <w:rStyle w:val="aff"/>
          <w:rFonts w:ascii="Times New Roman" w:eastAsiaTheme="minorHAnsi" w:hAnsi="Times New Roman" w:cs="Times New Roman"/>
          <w:color w:val="0070C0"/>
          <w:spacing w:val="0"/>
          <w:sz w:val="16"/>
          <w:szCs w:val="16"/>
        </w:rPr>
        <w:softHyphen/>
        <w:t>ка в серию, оказался МБР-2 (25061).</w:t>
      </w:r>
    </w:p>
    <w:p w14:paraId="64F56384" w14:textId="77777777" w:rsidR="00F47692" w:rsidRPr="00142305" w:rsidRDefault="00F47692" w:rsidP="00F47692">
      <w:pPr>
        <w:spacing w:after="0" w:line="240" w:lineRule="auto"/>
        <w:jc w:val="both"/>
        <w:rPr>
          <w:rFonts w:ascii="Times New Roman" w:hAnsi="Times New Roman"/>
          <w:color w:val="0070C0"/>
          <w:sz w:val="16"/>
          <w:szCs w:val="16"/>
        </w:rPr>
      </w:pPr>
    </w:p>
    <w:p w14:paraId="0DB21516" w14:textId="77777777" w:rsidR="00393D9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3DFB60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3857C805"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14 марта</w:t>
      </w:r>
      <w:r w:rsidRPr="0044524F">
        <w:rPr>
          <w:rFonts w:ascii="Times New Roman" w:hAnsi="Times New Roman"/>
          <w:color w:val="000000" w:themeColor="text1"/>
          <w:sz w:val="16"/>
          <w:szCs w:val="16"/>
        </w:rPr>
        <w:t xml:space="preserve"> в 1933 году ЦК ВКП(б) принял Постановление «Об ответственности служащих в государственных учреждениях и предприятиях за вредительские акты». В тот же день ОГПУ сообщило об аресте 31 человека по делу «о вредительской деятельности» в системе Наркомата тяжелой промышленности. Арестованных обвинили в организации ряда аварий на Московской, Челябинской, Златоустовской и др. электростанциях. Процессы были открыты практически во всех областях народного хозяйства (15068).</w:t>
      </w:r>
    </w:p>
    <w:p w14:paraId="1AA1439B"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37AB5857"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марта 1933 начальник ГУЛАГа М. Д. Берман подписал направленную всем лагерям ОГПУ директиву:</w:t>
      </w:r>
    </w:p>
    <w:p w14:paraId="4368E2F0"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значительной истощенности прибываемых из домзаков в лагеря контингентов, а отсюда и неработоспособности очень многих из них ГУЛАГ предлагает:</w:t>
      </w:r>
    </w:p>
    <w:p w14:paraId="29D6E928"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 медосвидетельствовании прибываемых этапов, помимо существующих категорий, установить группу «Слабосильных», куда определяется состав заключенных, не имеющих физических пороков, но не могущих работать на производстве тотчас же по прибытии в лагерь в силу своей истощенности, а отсюда и ослабления организма.</w:t>
      </w:r>
    </w:p>
    <w:p w14:paraId="34BB607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Эту группу в течение 14 дней на производстве не использовать, а привлекать для работы внутри лагеря. Питание отпускается им по производственной норме.</w:t>
      </w:r>
    </w:p>
    <w:p w14:paraId="136FE91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к установленному льготному сроку механически подходить не следует.</w:t>
      </w:r>
    </w:p>
    <w:p w14:paraId="474E75AB"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истечении 14 дней эта группа привлекается на производственные работы наравне с другими заключенными и, выполняя 60 % задания в течение 14 дней, получает питание в размере полного производственного пайка.</w:t>
      </w:r>
    </w:p>
    <w:p w14:paraId="2804F831"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истечении этого срока, т. е. 14 дней, норму задания для этой группы заключенных увеличить до 80 % и при выполнении этой нормы в течение 30 дней, получает полный производственный паек.</w:t>
      </w:r>
    </w:p>
    <w:p w14:paraId="61B225D3"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мероприятие обосновано на необходимости полного, наиболее рационального использования рабочей силы лагерей и требует постоянного контроля как со стороны руководства лагерей, так и нач. отделений, лагерных пунктов, санитарных частей, дабы не было на этой почве злоупотреблений» (7560).</w:t>
      </w:r>
    </w:p>
    <w:p w14:paraId="0A61E812"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6910BAE6" w14:textId="77777777" w:rsidR="00393D9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1DF0AE2" w14:textId="77777777" w:rsidR="00393D95" w:rsidRPr="0044524F" w:rsidRDefault="00393D9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4B14736"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14 марта по 28 апреля 1933 на испытаниях Хе-70 Блитц показал 347.5 км/час как среднюю на 1000 км, когда ставились рекорды. Был прообразом Хе-111 (88,116).</w:t>
      </w:r>
    </w:p>
    <w:p w14:paraId="4005A48E"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3386AF6F"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марта 1933 была запрещена КПГ (3186).</w:t>
      </w:r>
    </w:p>
    <w:p w14:paraId="5104F29D" w14:textId="77777777" w:rsidR="00393D95" w:rsidRPr="0044524F" w:rsidRDefault="00393D95" w:rsidP="009654CF">
      <w:pPr>
        <w:autoSpaceDE w:val="0"/>
        <w:autoSpaceDN w:val="0"/>
        <w:adjustRightInd w:val="0"/>
        <w:spacing w:after="0" w:line="240" w:lineRule="auto"/>
        <w:jc w:val="both"/>
        <w:rPr>
          <w:rFonts w:ascii="Times New Roman" w:hAnsi="Times New Roman"/>
          <w:color w:val="000000" w:themeColor="text1"/>
          <w:sz w:val="16"/>
          <w:szCs w:val="16"/>
        </w:rPr>
      </w:pPr>
    </w:p>
    <w:p w14:paraId="45DC6134" w14:textId="77777777" w:rsidR="00393D95" w:rsidRPr="0044524F" w:rsidRDefault="00393D9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марта 1933 в Германии запрещена компартия (4962).</w:t>
      </w:r>
    </w:p>
    <w:p w14:paraId="3289DE82" w14:textId="77777777" w:rsidR="00393D95" w:rsidRPr="0044524F" w:rsidRDefault="00393D95"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29FA2A"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B6F0E66"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E8843A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1933 Зам. нач. КОСОС и Нач. ПТС ЦАГИ писали в НТОС ГУАП письмо N 409с:</w:t>
      </w:r>
    </w:p>
    <w:p w14:paraId="5C99683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уточнения планировки выпуска самолета И-14 голов. КОСОС ЦАГИ просит Вас сообщить, какой мотор имеется в виду на него поставить и когда следует ожидать прибытия мотора." (2303).</w:t>
      </w:r>
    </w:p>
    <w:p w14:paraId="0440D9E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46F55D4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1933 вышло постановление КО, в котором был установлен срок выпуска И-14 М-38 (3082).</w:t>
      </w:r>
    </w:p>
    <w:p w14:paraId="4E0809C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256C6F8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1933 состоялось совещание у директора завода п/я 747 о центровке ТБ-3 (АНТ-6) с М-34 и его модификации. Были П.И.Б., Я.И.А., А.Н.Т., В.М.П. (1077,127).</w:t>
      </w:r>
    </w:p>
    <w:p w14:paraId="4BFFBCD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2CFCC81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1933 директор завода 39 Марголин писал Нач. ГУАП П.И.Б. докладную записку N 360с (вход. 22 марта N 370):</w:t>
      </w:r>
    </w:p>
    <w:p w14:paraId="7896075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"Представляя при сем протокол испытания самолета Зет с установленной на нем артиллерийской установкой, докладываю, что завод считает экспериментальную работу, связанную с вооружением самолета Зет автоматической артустановкой законченной и как самолет, так и артустановки на нем доведенными до состояния, в котором они по заключению комиссии (см. акт) могут быть переданы на гос. испытания.</w:t>
      </w:r>
    </w:p>
    <w:p w14:paraId="2EA418F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Т.к. т. Курчевский не согласен (по заявлению его представителя т. Каплюр) с п. акта комиссии, обязывающим его подать к 25 марта с.г. новую установку (ввиду изношенности установки, смонтированной сейчас на самолете) - прошу Вас получить у зам. Наркомвоенмора т. Тухачевского категорическое распоряжение т. Курчевскому на изготовление в кратчайший срок этих установок, т.к. задержка в изготовлении их естественно, в свою очередь, задержит гос. испытания самолета и чрезвычайно отдалит подачу УВВС 20 самолетов Зет, вооруженных автоматической артиллерийской установкой.</w:t>
      </w:r>
    </w:p>
    <w:p w14:paraId="685E10C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этим, в связи с необходимостью дальнейшего вооружения самолетов и предполагаемого к изданию соответственно Вашего и т. Тухачевского решения совместного приказа по этому вопросу, считаю необходимым:</w:t>
      </w:r>
    </w:p>
    <w:p w14:paraId="7BB738D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чтобы соответствующая комиссия в составе представителей ГАУ, НИИ УВВС, завода и представителя т. Курчевского осмотрела бы заказанные заводом 39 и изготовленные в настоящий момент заводом 7 в Ленинграде 40 стволов с соответствующими комплектами диффузоров к ним, на предмет определения их годности или же необходимости внесения соответствующих конструктивных переделок для установки на самолет Зет.</w:t>
      </w:r>
    </w:p>
    <w:p w14:paraId="3F0DD04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т. Курчевского в его мастерской или на заводе 8, но под его руководством, изготовить 20 автоматов артустановки (на 10 самолетов) до 1 мая с.г.</w:t>
      </w:r>
    </w:p>
    <w:p w14:paraId="0FFB103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 виду крайней желательности и явной целесообразности усиления огневых свойств артвооружения самолета Зет (учитывая небольшой радиус его действия, что связано с увеличением числа снарядов), обязать т. Курчевского совместно с заводом 39 разрешить вопрос об увеличении магазина путем сконструирования дополнительной коробки (магазинной), убранной в крыло самолета, доведя таким образом запас снарядов на каждую пушку до 12-14 снарядов. В соответствии с этим опять таки прошу Вас обязать т. Курчевского либо завод 8 изготовить эти пушки (с увеличенным магазином) к 1 мая с.г. Хотя указанное мероприятие и вызовет некоторую конструктивную переделку самолета, в частности крыльев, однако, со своей стороны считаю это целесообразным в виду значительного усиления огневой мощи артустановки самолета.</w:t>
      </w:r>
    </w:p>
    <w:p w14:paraId="2DAA46E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докладываю, что завод имеет договоренность с Нач. Управления Военных приборов РККА т. Орловым о проектировании и постройке при участии нашего консультанта проф. Петрова опытного экз. прицела для самолета Зет. Одновременно заводом уже приступлено к изготовлению 2-го экз. имеющегося образца прицела. Докладывая о вышеизложенном, прошу Ваших соответствующих распоряжений." (2303,6).</w:t>
      </w:r>
    </w:p>
    <w:p w14:paraId="786EF0D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531A8202" w14:textId="77777777" w:rsidR="00B06AD3" w:rsidRPr="0044524F" w:rsidRDefault="00B06AD3" w:rsidP="009654CF">
      <w:pPr>
        <w:pStyle w:val="47"/>
        <w:shd w:val="clear" w:color="auto" w:fill="auto"/>
        <w:spacing w:line="240" w:lineRule="auto"/>
        <w:ind w:firstLine="0"/>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 период с 15 по 25 марта 1933 г. в ЦАГИ велись официальные летные испытания БИЧ-7А, целью которых стало выявление летных качеств, характеристик устойчи</w:t>
      </w:r>
      <w:r w:rsidRPr="0044524F">
        <w:rPr>
          <w:rFonts w:ascii="Times New Roman" w:hAnsi="Times New Roman" w:cs="Times New Roman"/>
          <w:color w:val="000000" w:themeColor="text1"/>
          <w:sz w:val="16"/>
          <w:szCs w:val="16"/>
        </w:rPr>
        <w:softHyphen/>
        <w:t>вости и управляемости. Руково</w:t>
      </w:r>
      <w:r w:rsidRPr="0044524F">
        <w:rPr>
          <w:rFonts w:ascii="Times New Roman" w:hAnsi="Times New Roman" w:cs="Times New Roman"/>
          <w:color w:val="000000" w:themeColor="text1"/>
          <w:sz w:val="16"/>
          <w:szCs w:val="16"/>
        </w:rPr>
        <w:softHyphen/>
        <w:t>дил испытаниями инженер Ю.А. Победо</w:t>
      </w:r>
      <w:r w:rsidRPr="0044524F">
        <w:rPr>
          <w:rFonts w:ascii="Times New Roman" w:hAnsi="Times New Roman" w:cs="Times New Roman"/>
          <w:color w:val="000000" w:themeColor="text1"/>
          <w:sz w:val="16"/>
          <w:szCs w:val="16"/>
        </w:rPr>
        <w:softHyphen/>
        <w:t>носцев, летали Благин и Корзинщиков.</w:t>
      </w:r>
    </w:p>
    <w:p w14:paraId="3AFA642A" w14:textId="77777777" w:rsidR="00B06AD3" w:rsidRPr="0044524F" w:rsidRDefault="00B06AD3" w:rsidP="009654CF">
      <w:pPr>
        <w:pStyle w:val="47"/>
        <w:shd w:val="clear" w:color="auto" w:fill="auto"/>
        <w:spacing w:line="240" w:lineRule="auto"/>
        <w:ind w:firstLine="0"/>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Признавалось, что для имеющейся нагрузки на крыло аэродинамические данные достаточно хорошие, самолет вполне устойчив и легко управляем на всех режимах полета вплоть до скоро</w:t>
      </w:r>
      <w:r w:rsidRPr="0044524F">
        <w:rPr>
          <w:rFonts w:ascii="Times New Roman" w:hAnsi="Times New Roman" w:cs="Times New Roman"/>
          <w:color w:val="000000" w:themeColor="text1"/>
          <w:sz w:val="16"/>
          <w:szCs w:val="16"/>
        </w:rPr>
        <w:softHyphen/>
        <w:t>сти 193 км/ч при центровке 38% САХ.</w:t>
      </w:r>
    </w:p>
    <w:p w14:paraId="32E16624" w14:textId="77777777" w:rsidR="00B06AD3" w:rsidRPr="0044524F" w:rsidRDefault="00B06AD3" w:rsidP="009654CF">
      <w:pPr>
        <w:pStyle w:val="47"/>
        <w:shd w:val="clear" w:color="auto" w:fill="auto"/>
        <w:spacing w:line="240" w:lineRule="auto"/>
        <w:ind w:firstLine="0"/>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Мотор «Люцифер», заводской №1079, работал неудовлетворительно - этот двигатель отличался неуравнове</w:t>
      </w:r>
      <w:r w:rsidRPr="0044524F">
        <w:rPr>
          <w:rFonts w:ascii="Times New Roman" w:hAnsi="Times New Roman" w:cs="Times New Roman"/>
          <w:color w:val="000000" w:themeColor="text1"/>
          <w:sz w:val="16"/>
          <w:szCs w:val="16"/>
        </w:rPr>
        <w:softHyphen/>
        <w:t>шенностью и заметной тряской в рабо</w:t>
      </w:r>
      <w:r w:rsidRPr="0044524F">
        <w:rPr>
          <w:rFonts w:ascii="Times New Roman" w:hAnsi="Times New Roman" w:cs="Times New Roman"/>
          <w:color w:val="000000" w:themeColor="text1"/>
          <w:sz w:val="16"/>
          <w:szCs w:val="16"/>
        </w:rPr>
        <w:softHyphen/>
        <w:t>те. В дальнейшем предлагалось исполь</w:t>
      </w:r>
      <w:r w:rsidRPr="0044524F">
        <w:rPr>
          <w:rFonts w:ascii="Times New Roman" w:hAnsi="Times New Roman" w:cs="Times New Roman"/>
          <w:color w:val="000000" w:themeColor="text1"/>
          <w:sz w:val="16"/>
          <w:szCs w:val="16"/>
        </w:rPr>
        <w:softHyphen/>
        <w:t>зовать отечественный двигатель М-11 мощностью 100 л.с.</w:t>
      </w:r>
    </w:p>
    <w:p w14:paraId="0C18467A" w14:textId="77777777" w:rsidR="00B06AD3" w:rsidRPr="0044524F" w:rsidRDefault="00B06A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БИЧ-7А оценивалась как перетяжеленная, в случае уменьше</w:t>
      </w:r>
      <w:r w:rsidRPr="0044524F">
        <w:rPr>
          <w:rFonts w:ascii="Times New Roman" w:hAnsi="Times New Roman"/>
          <w:color w:val="000000" w:themeColor="text1"/>
          <w:sz w:val="16"/>
          <w:szCs w:val="16"/>
        </w:rPr>
        <w:softHyphen/>
        <w:t>ния полетного веса ожидались более высокие летные показатели. Общим вы</w:t>
      </w:r>
      <w:r w:rsidRPr="0044524F">
        <w:rPr>
          <w:rFonts w:ascii="Times New Roman" w:hAnsi="Times New Roman"/>
          <w:color w:val="000000" w:themeColor="text1"/>
          <w:sz w:val="16"/>
          <w:szCs w:val="16"/>
        </w:rPr>
        <w:softHyphen/>
        <w:t>водом стало признание целесообразно</w:t>
      </w:r>
      <w:r w:rsidRPr="0044524F">
        <w:rPr>
          <w:rFonts w:ascii="Times New Roman" w:hAnsi="Times New Roman"/>
          <w:color w:val="000000" w:themeColor="text1"/>
          <w:sz w:val="16"/>
          <w:szCs w:val="16"/>
        </w:rPr>
        <w:softHyphen/>
        <w:t>сти дальнейшего изготовления новых, более совершенных с конструктивной стороны, самолетов бесхвостого типа по испытанной схеме. Б.И. Черановский за создание БИЧ-7А был награжден Ор</w:t>
      </w:r>
      <w:r w:rsidRPr="0044524F">
        <w:rPr>
          <w:rFonts w:ascii="Times New Roman" w:hAnsi="Times New Roman"/>
          <w:color w:val="000000" w:themeColor="text1"/>
          <w:sz w:val="16"/>
          <w:szCs w:val="16"/>
        </w:rPr>
        <w:softHyphen/>
        <w:t>деном Красной Звезды (17470).</w:t>
      </w:r>
    </w:p>
    <w:p w14:paraId="1A54702B" w14:textId="77777777" w:rsidR="00B06AD3" w:rsidRPr="0044524F" w:rsidRDefault="00B06AD3" w:rsidP="009654CF">
      <w:pPr>
        <w:spacing w:after="0" w:line="240" w:lineRule="auto"/>
        <w:jc w:val="both"/>
        <w:rPr>
          <w:rFonts w:ascii="Times New Roman" w:hAnsi="Times New Roman"/>
          <w:color w:val="000000" w:themeColor="text1"/>
          <w:sz w:val="16"/>
          <w:szCs w:val="16"/>
        </w:rPr>
      </w:pPr>
    </w:p>
    <w:p w14:paraId="345FDDCA" w14:textId="77777777" w:rsidR="001512A9" w:rsidRPr="0044524F" w:rsidRDefault="001512A9"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CCC62C0" w14:textId="77777777" w:rsidR="001512A9" w:rsidRPr="0044524F" w:rsidRDefault="001512A9" w:rsidP="009654CF">
      <w:pPr>
        <w:spacing w:after="0" w:line="240" w:lineRule="auto"/>
        <w:jc w:val="both"/>
        <w:rPr>
          <w:rFonts w:ascii="Times New Roman" w:hAnsi="Times New Roman"/>
          <w:iCs/>
          <w:color w:val="000000" w:themeColor="text1"/>
          <w:sz w:val="16"/>
          <w:szCs w:val="16"/>
        </w:rPr>
      </w:pPr>
    </w:p>
    <w:p w14:paraId="27F54DD2" w14:textId="77777777" w:rsidR="001512A9" w:rsidRPr="0044524F" w:rsidRDefault="001512A9"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color w:val="000000" w:themeColor="text1"/>
          <w:sz w:val="16"/>
          <w:szCs w:val="16"/>
        </w:rPr>
        <w:t>15 марта 1933 г.</w:t>
      </w:r>
    </w:p>
    <w:p w14:paraId="08B7449D" w14:textId="77777777" w:rsidR="001512A9" w:rsidRPr="0044524F" w:rsidRDefault="001512A9"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color w:val="000000" w:themeColor="text1"/>
          <w:sz w:val="16"/>
          <w:szCs w:val="16"/>
        </w:rPr>
        <w:t>Спецсправка СПО ОГПУ о положении на Шосткинском заводе № 9. 15 марта 1933 г.</w:t>
      </w:r>
    </w:p>
    <w:p w14:paraId="79CFEDE9" w14:textId="77777777" w:rsidR="001512A9" w:rsidRPr="0044524F" w:rsidRDefault="001512A9"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bCs/>
          <w:color w:val="000000" w:themeColor="text1"/>
          <w:sz w:val="16"/>
          <w:szCs w:val="16"/>
        </w:rPr>
        <w:t>Источник: </w:t>
      </w:r>
    </w:p>
    <w:p w14:paraId="38E6EA4C" w14:textId="77777777" w:rsidR="001512A9" w:rsidRPr="0044524F" w:rsidRDefault="001512A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секретно»: Лубянка — Сталину о положении в стране (1922-1934 гг.)</w:t>
      </w:r>
    </w:p>
    <w:p w14:paraId="0DB739C2" w14:textId="77777777" w:rsidR="001512A9" w:rsidRPr="0044524F" w:rsidRDefault="001512A9"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bCs/>
          <w:color w:val="000000" w:themeColor="text1"/>
          <w:sz w:val="16"/>
          <w:szCs w:val="16"/>
        </w:rPr>
        <w:t>Архив: </w:t>
      </w:r>
    </w:p>
    <w:p w14:paraId="492F7A47" w14:textId="77777777" w:rsidR="001512A9" w:rsidRPr="0044524F" w:rsidRDefault="001512A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 2. Оп. 11. Д. 37. Л. 319-321. Подлинник</w:t>
      </w:r>
    </w:p>
    <w:p w14:paraId="3D72D57A" w14:textId="77777777" w:rsidR="001512A9" w:rsidRPr="0044524F" w:rsidRDefault="001512A9" w:rsidP="009654CF">
      <w:pPr>
        <w:pStyle w:val="rteright"/>
        <w:spacing w:before="0" w:after="0"/>
        <w:jc w:val="both"/>
        <w:rPr>
          <w:color w:val="000000" w:themeColor="text1"/>
          <w:sz w:val="16"/>
          <w:szCs w:val="16"/>
        </w:rPr>
      </w:pPr>
      <w:r w:rsidRPr="0044524F">
        <w:rPr>
          <w:color w:val="000000" w:themeColor="text1"/>
          <w:sz w:val="16"/>
          <w:szCs w:val="16"/>
        </w:rPr>
        <w:t>15 марта 1933 г.</w:t>
      </w:r>
    </w:p>
    <w:p w14:paraId="7974816F" w14:textId="77777777" w:rsidR="001512A9" w:rsidRPr="0044524F" w:rsidRDefault="001512A9" w:rsidP="009654CF">
      <w:pPr>
        <w:pStyle w:val="rteright"/>
        <w:spacing w:before="0" w:after="0"/>
        <w:jc w:val="both"/>
        <w:rPr>
          <w:color w:val="000000" w:themeColor="text1"/>
          <w:sz w:val="16"/>
          <w:szCs w:val="16"/>
        </w:rPr>
      </w:pPr>
      <w:r w:rsidRPr="0044524F">
        <w:rPr>
          <w:color w:val="000000" w:themeColor="text1"/>
          <w:sz w:val="16"/>
          <w:szCs w:val="16"/>
        </w:rPr>
        <w:t>№ 14340</w:t>
      </w:r>
    </w:p>
    <w:p w14:paraId="0596708B" w14:textId="77777777" w:rsidR="001512A9" w:rsidRPr="0044524F" w:rsidRDefault="001512A9" w:rsidP="009654CF">
      <w:pPr>
        <w:pStyle w:val="rteright"/>
        <w:spacing w:before="0" w:after="0"/>
        <w:jc w:val="both"/>
        <w:rPr>
          <w:color w:val="000000" w:themeColor="text1"/>
          <w:sz w:val="16"/>
          <w:szCs w:val="16"/>
        </w:rPr>
      </w:pPr>
      <w:r w:rsidRPr="0044524F">
        <w:rPr>
          <w:color w:val="000000" w:themeColor="text1"/>
          <w:sz w:val="16"/>
          <w:szCs w:val="16"/>
        </w:rPr>
        <w:t>Совершенно секретно</w:t>
      </w:r>
    </w:p>
    <w:p w14:paraId="776849A7"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Продукция завода № 9 (Черниговская обл., УССР), входящего в систему Всесоюзного объединения искусственного волокна, исчисляется в ценах 1926-1927 гг. в 18 млн руб., в т.ч. военной продукции на 8,5 млн руб. В результате ряда производственных недочетов: плохого адм[инистративно]-технич[еского] руководства, частой его смены, неполного овладения технологическим процессом, несвоевременной доставки сырья, плохого ремонта оборудования, завод имеет крупные прорывы в выполнении производственной программы. Так, по группе производства пироксилина для порохов и кинопленок программа в III квартале 1932 г. выполнена на 65,1 %. За тот же период по группе бездымных порохов и зарядов программа выполнена на 49,4 %, по производству шрапнельных столбиков и дымных порохов — на 61,1 %.</w:t>
      </w:r>
    </w:p>
    <w:p w14:paraId="76DE7E9B"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В 1932 г. фонд зарплаты перерасходован на 9,6 %, производительность труда составляла 88,1 % и зарплата 97,7 % плана.</w:t>
      </w:r>
    </w:p>
    <w:p w14:paraId="50ABF2B9"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Материалы о производственных недочетах переданы в ЭКО облотдела для разработки и принятия мер.</w:t>
      </w:r>
    </w:p>
    <w:p w14:paraId="6F8B8B21"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Аппарат ТНБ засорен социально] чуждыми элементами. Начальник ТНБ — сын попа; один из нормировщиков и хронометражист по несколько раз увольнялись за разные проступки с завода. Нормировщики не имеют соответствующей квалификации. В результате работа ТНБ имеет существенные недочеты. В расценках и нормах разнобой, более квалифицированные рабочие получают меньше, чем менее квалифицированные.</w:t>
      </w:r>
    </w:p>
    <w:p w14:paraId="57656EB8"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Систематически задерживается зарплата рабочим на 2-3 недели и больше. Причиной этого является несвоевременная сдача заводом готовой продукции и недостаток денег в банке.</w:t>
      </w:r>
    </w:p>
    <w:p w14:paraId="69555AE3"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Состояние снабжения рабочих и общественного питания неудовлетворительное. ЗРК почти не проводил самозаготовок. В столовых очереди, часто не бывает хлеба. В декабре 1932 г. нами арестован и предан суду ряд работников Коопхарча за различные злоупотребления.</w:t>
      </w:r>
    </w:p>
    <w:p w14:paraId="0A8CB2B3"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Выездной сессией Киевского облсуда зав. базой Коопхарча — бывший стражник, приговорен к расстрелу, остальные — к лишению свободы на разные сроки.</w:t>
      </w:r>
    </w:p>
    <w:p w14:paraId="52B036A5"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Совершенно неудовлетворительны жилищные условия рабочих. Заводские дома и бараки в большинстве не приспособлены для жилья и вмещают всего 20 % рабочих. Остальные живут по деревням.</w:t>
      </w:r>
    </w:p>
    <w:p w14:paraId="4D2D4BEE"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В результате всего этого имеется большая текучесть рабсилы. При общем количестве рабочих в 4500 человек за 5 м[еся]цев 1932 г. ушло 1911 человек, вновь принято 1600 человек.</w:t>
      </w:r>
    </w:p>
    <w:p w14:paraId="5DC6CA31"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Значительная прослойка связанных с сельским хозяйством рабочих создает благоприятную почву для распространения а/с настроений на заводе.</w:t>
      </w:r>
    </w:p>
    <w:p w14:paraId="2E47A6BF"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В 1932 г. органами ОГПУ удалено с завода как социально] чужд[ого] элемента 175 человек, а также ликвидирована а/с группировка рабочих в количестве 5 человек, руководимая бывшим меньшевиком и ставившая задачей подготовку вооруженного восстания.</w:t>
      </w:r>
    </w:p>
    <w:p w14:paraId="0DD4CB46" w14:textId="77777777" w:rsidR="001512A9" w:rsidRPr="0044524F" w:rsidRDefault="001512A9" w:rsidP="009654CF">
      <w:pPr>
        <w:pStyle w:val="rtejustify"/>
        <w:spacing w:before="0" w:after="0"/>
        <w:rPr>
          <w:color w:val="000000" w:themeColor="text1"/>
          <w:sz w:val="16"/>
          <w:szCs w:val="16"/>
        </w:rPr>
      </w:pPr>
      <w:r w:rsidRPr="0044524F">
        <w:rPr>
          <w:color w:val="000000" w:themeColor="text1"/>
          <w:sz w:val="16"/>
          <w:szCs w:val="16"/>
        </w:rPr>
        <w:t>СПО ГПУ УССР приняты меры к усилению агентурно-опер[ативного] обслуживания завода.</w:t>
      </w:r>
    </w:p>
    <w:p w14:paraId="378706C2" w14:textId="77777777" w:rsidR="001512A9" w:rsidRPr="0044524F" w:rsidRDefault="001512A9" w:rsidP="009654CF">
      <w:pPr>
        <w:pStyle w:val="rteright"/>
        <w:spacing w:before="0" w:after="0"/>
        <w:jc w:val="both"/>
        <w:rPr>
          <w:color w:val="000000" w:themeColor="text1"/>
          <w:sz w:val="16"/>
          <w:szCs w:val="16"/>
        </w:rPr>
      </w:pPr>
      <w:r w:rsidRPr="0044524F">
        <w:rPr>
          <w:color w:val="000000" w:themeColor="text1"/>
          <w:sz w:val="16"/>
          <w:szCs w:val="16"/>
        </w:rPr>
        <w:t>Начальник СПО ОГПУ Молчанов</w:t>
      </w:r>
    </w:p>
    <w:p w14:paraId="521B2182" w14:textId="77777777" w:rsidR="001512A9" w:rsidRPr="0044524F" w:rsidRDefault="001512A9" w:rsidP="009654CF">
      <w:pPr>
        <w:pStyle w:val="rteright"/>
        <w:spacing w:before="0" w:after="0"/>
        <w:jc w:val="both"/>
        <w:rPr>
          <w:color w:val="000000" w:themeColor="text1"/>
          <w:sz w:val="16"/>
          <w:szCs w:val="16"/>
        </w:rPr>
      </w:pPr>
      <w:r w:rsidRPr="0044524F">
        <w:rPr>
          <w:color w:val="000000" w:themeColor="text1"/>
          <w:sz w:val="16"/>
          <w:szCs w:val="16"/>
        </w:rPr>
        <w:t>Начальник 1-го отделения СПО Рутковский</w:t>
      </w:r>
    </w:p>
    <w:p w14:paraId="75E15AAE" w14:textId="77777777" w:rsidR="001512A9" w:rsidRPr="0044524F" w:rsidRDefault="001512A9" w:rsidP="009654CF">
      <w:pPr>
        <w:pStyle w:val="ae"/>
        <w:spacing w:before="0" w:after="0"/>
        <w:jc w:val="both"/>
        <w:rPr>
          <w:color w:val="000000" w:themeColor="text1"/>
          <w:sz w:val="16"/>
          <w:szCs w:val="16"/>
        </w:rPr>
      </w:pPr>
      <w:r w:rsidRPr="0044524F">
        <w:rPr>
          <w:color w:val="000000" w:themeColor="text1"/>
          <w:sz w:val="16"/>
          <w:szCs w:val="16"/>
        </w:rPr>
        <w:t>Рассылается:</w:t>
      </w:r>
    </w:p>
    <w:p w14:paraId="6160B8F9" w14:textId="77777777" w:rsidR="001512A9" w:rsidRPr="0044524F" w:rsidRDefault="001512A9" w:rsidP="009654CF">
      <w:pPr>
        <w:pStyle w:val="ae"/>
        <w:spacing w:before="0" w:after="0"/>
        <w:jc w:val="both"/>
        <w:rPr>
          <w:color w:val="000000" w:themeColor="text1"/>
          <w:sz w:val="16"/>
          <w:szCs w:val="16"/>
        </w:rPr>
      </w:pPr>
      <w:r w:rsidRPr="0044524F">
        <w:rPr>
          <w:color w:val="000000" w:themeColor="text1"/>
          <w:sz w:val="16"/>
          <w:szCs w:val="16"/>
        </w:rPr>
        <w:t>1) Менжинскому; 2) Ягоде; 3) Прокофьеву; 4) Агранову.</w:t>
      </w:r>
    </w:p>
    <w:p w14:paraId="56A51AB9" w14:textId="77777777" w:rsidR="001512A9" w:rsidRPr="0044524F" w:rsidRDefault="001512A9" w:rsidP="009654CF">
      <w:pPr>
        <w:pStyle w:val="ae"/>
        <w:spacing w:before="0" w:after="0"/>
        <w:jc w:val="both"/>
        <w:rPr>
          <w:color w:val="000000" w:themeColor="text1"/>
          <w:sz w:val="16"/>
          <w:szCs w:val="16"/>
        </w:rPr>
      </w:pPr>
      <w:r w:rsidRPr="0044524F">
        <w:rPr>
          <w:rStyle w:val="af0"/>
          <w:i w:val="0"/>
          <w:color w:val="000000" w:themeColor="text1"/>
          <w:sz w:val="16"/>
          <w:szCs w:val="16"/>
        </w:rPr>
        <w:t>Ф. 2. Оп. 11. Д. 37. Л. 319-321. Подлинник (19173)</w:t>
      </w:r>
      <w:r w:rsidRPr="0044524F">
        <w:rPr>
          <w:color w:val="000000" w:themeColor="text1"/>
          <w:sz w:val="16"/>
          <w:szCs w:val="16"/>
        </w:rPr>
        <w:t>.</w:t>
      </w:r>
    </w:p>
    <w:p w14:paraId="16FF0520" w14:textId="77777777" w:rsidR="001512A9" w:rsidRPr="0044524F" w:rsidRDefault="001512A9" w:rsidP="009654CF">
      <w:pPr>
        <w:spacing w:after="0" w:line="240" w:lineRule="auto"/>
        <w:jc w:val="both"/>
        <w:rPr>
          <w:rFonts w:ascii="Times New Roman" w:hAnsi="Times New Roman"/>
          <w:color w:val="000000" w:themeColor="text1"/>
          <w:sz w:val="16"/>
          <w:szCs w:val="16"/>
        </w:rPr>
      </w:pPr>
    </w:p>
    <w:p w14:paraId="39655226" w14:textId="77777777" w:rsidR="00896025" w:rsidRPr="0044524F" w:rsidRDefault="008960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1933 г. приказом начальника ГУ ГВФ № 329 утверждено наставление по аэродромной службе ГВФ - аналогичное наставлению ВВС, переработанное мнительно к условиям гражданской авиации.</w:t>
      </w:r>
    </w:p>
    <w:p w14:paraId="7F0D3D70" w14:textId="77777777" w:rsidR="00896025" w:rsidRPr="0044524F" w:rsidRDefault="008960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/«Гражданская авиация», 1933 № б/ (23370).</w:t>
      </w:r>
    </w:p>
    <w:p w14:paraId="39FAF663" w14:textId="77777777" w:rsidR="00896025" w:rsidRPr="0044524F" w:rsidRDefault="00896025" w:rsidP="009654CF">
      <w:pPr>
        <w:spacing w:after="0" w:line="240" w:lineRule="auto"/>
        <w:jc w:val="both"/>
        <w:rPr>
          <w:rFonts w:ascii="Times New Roman" w:hAnsi="Times New Roman"/>
          <w:color w:val="000000" w:themeColor="text1"/>
          <w:sz w:val="16"/>
          <w:szCs w:val="16"/>
        </w:rPr>
      </w:pPr>
    </w:p>
    <w:p w14:paraId="50744EE7"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903C930"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4A050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1933 г. из письма Кризского-Пархоменко Ворошилову</w:t>
      </w:r>
    </w:p>
    <w:p w14:paraId="4FB018D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Клим Ефремович, я писал тебе одно письмо, в котором касался посевного вопроса. Сейчас на этот участок обращено большое внимание. Что, конечно, меня радует и успокаивает; я не хочу этим сказать, что мой сигнал был своевременным, я скорей думаю, что это совпадение. Я написал, а Вы уж к этому готовились, но я думаю, что нет большой беды, что кой-когда пишу. Я думаю и надеюсь, что обижаться не будешь, если у тебя не изменился характер, когда ты получил аттестат зрелости, т. е. образование. Я хочу себя упокоить, еще написать о некоторых недостатках. Эти недостатки покажутся тебе мелочными, но я убедился, что надо всякие мелочи </w:t>
      </w:r>
      <w:r w:rsidRPr="0044524F">
        <w:rPr>
          <w:rFonts w:ascii="Times New Roman" w:hAnsi="Times New Roman"/>
          <w:color w:val="000000" w:themeColor="text1"/>
          <w:sz w:val="16"/>
          <w:szCs w:val="16"/>
        </w:rPr>
        <w:lastRenderedPageBreak/>
        <w:t xml:space="preserve">пропускать через Вас. На местах без особых директив дела продвигаются скверно, чтобы выправить социалистическое хозяйство необходимо все предусмотренные недостатки проводить законодательным порядком. Мною наблюдалось следующее: </w:t>
      </w:r>
    </w:p>
    <w:p w14:paraId="31B6B40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Мы получаем дорогостоящее импортное оборудование. И вот как получили, установили, ну и крути, а вот машины очень сложного характера, они имеют еще десятки приспособлений. Так вот, за этими приспособлениями никто не смотрит, а без них машины, любой станок — грош стоит, а у нас уже многие станки остались без приспособлений. </w:t>
      </w:r>
    </w:p>
    <w:p w14:paraId="4925069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предлагаю метод сохранности. Надо на каждый станок и на каждую машину иметь прейскурант, чтобы с каждого станка все запчасти были бы вычерчены, начиная от станины и кончая масленкой, ключом и отверткой, непременно в двух экземплярах. Один должен храниться в материальной бухгалтерии, другой в цеху в конторе, для чего? А вот для чего: в материальной бухгалтерии как документ основного капитала и проверки, а в цех. конторе для росписи рабочему, получившему станок, чтобы он взял прейскурант и по нем проверял бы все запчасти и приспособления, и тут же в нем самом прейскуранте расписался бы, что он принял и обязуется хранить, и, уходя, должен все сдать. </w:t>
      </w:r>
    </w:p>
    <w:p w14:paraId="2C79F85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Без этого у нас обезличка еще долго будет разгуливать. Вы бы посмотрели: на местах еще, жутко сказать, бывает на 6-7 станков один ключ для перестановки резцов, где же тут может производительность труда — ежели понадобится приспособление в виде стойки или патрончика, или какой шестерни для нарезки резьбы, так всю мастерскую излазит — ищет, а ее уже давно свезли в мусор, в лом попала. И так очень много времени пропадает на напрасные розыски. Следовательно, в прейскуранте есть большая нужда, он сохранит имущество, даст производительность и приучит молодежь беречь. </w:t>
      </w:r>
    </w:p>
    <w:p w14:paraId="5E37F6C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стараюсь меньше писать, я знаю тебя, что ты это лучше меня найдешь необходимым основанием. Я только стараюсь напомнить... Так вот, дорогой товарищ Клим Ефремович, я тебе напоминаю, а может, это все уже подготовлено, я не знаю, а вполне надеюсь, что все хорошее примешь, а ворошить ты хороший мастер — недаром же твоя фамилия Ворошилов. Очевидно, твои предки тоже ворошили... </w:t>
      </w:r>
    </w:p>
    <w:p w14:paraId="2402B80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Клим Ефремович, я думаю, что ты хоть и получил аттестат зрелости, но характер у тебя должен остаться природный, а раз так, так продумаешь это дело. Сообщаю, что я сейчас переехал в Харьков... Хотел было в Москву удрать, побоялся, сам не устроюсь, к тебе звонить насчет помощи — боюсь надоедать. Поступаю по коммерческой части. Завом торготдела. Поработаю (11652).</w:t>
      </w:r>
    </w:p>
    <w:p w14:paraId="175A19C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769B4366"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D75A008"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489360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1933 А.Гитлер провозгласил Третий Рейх в германии, запретил левые газеты и кошерную пищу (3481).</w:t>
      </w:r>
    </w:p>
    <w:p w14:paraId="7EEADD0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132DFC4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1933 мандаты коммунистов были объявлены недействительными, 24 марта был принят закон о наделении Гитлера чрезвычайными полномочиями, который не только де-факто, но и де-юре свел на нет роль райхстага как высшего законодательного органа страны. «Имперские законы могут издаваться имперским правительством», — говорилось в этом законе (Dokumente der deutschen Politik. Bd. l, Berlin 1942. S. 61.). Поддерживать отношения с режимом, выступавшим с крайних позиций антикоммунизма, антисоветизма и антисемитизма и установившим в короткий срок жесточайший террор внутри страны, Москва не решилась. Военного министра Бломберга (Крестинский называл его «наш друг» и «дружественный человек» (АВП РФ, ф. 05, оп. 9, п. 45, д. 32, л. 114.)) она вряд ли могла — в отличие от Шляйхера — рассматривать как гаранта сохранения прежнего качества отношений между СССР и Германией. И хотя Гитлер в своем правительственном заявлении в райхстаге 23 марта 1933 г. заявил о своих намерениях «сохранить дружеские отношения с СССР» негативное отношение советских лидеров к Гитлеру не ослабло (11784).</w:t>
      </w:r>
    </w:p>
    <w:p w14:paraId="66342C8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7A9DE141"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5D7781F"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627FA5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марта 1933 была подготовлена Справка о состоянии работ по выполнению заданий Правительства на 10.III-1933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7493"/>
      </w:tblGrid>
      <w:tr w:rsidR="004E10C1" w:rsidRPr="0044524F" w14:paraId="16F7B140" w14:textId="77777777">
        <w:tc>
          <w:tcPr>
            <w:tcW w:w="2254" w:type="dxa"/>
          </w:tcPr>
          <w:p w14:paraId="46BB43C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Задание</w:t>
            </w:r>
          </w:p>
        </w:tc>
        <w:tc>
          <w:tcPr>
            <w:tcW w:w="7493" w:type="dxa"/>
          </w:tcPr>
          <w:p w14:paraId="19240C4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Краткое состояние.</w:t>
            </w:r>
          </w:p>
        </w:tc>
      </w:tr>
      <w:tr w:rsidR="004E10C1" w:rsidRPr="0044524F" w14:paraId="71E42E78" w14:textId="77777777">
        <w:tc>
          <w:tcPr>
            <w:tcW w:w="2254" w:type="dxa"/>
          </w:tcPr>
          <w:p w14:paraId="3757933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Изготовить 20 самолетов</w:t>
            </w:r>
          </w:p>
        </w:tc>
        <w:tc>
          <w:tcPr>
            <w:tcW w:w="7493" w:type="dxa"/>
          </w:tcPr>
          <w:p w14:paraId="35B8140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типа Z, с пушечными установками</w:t>
            </w:r>
          </w:p>
        </w:tc>
      </w:tr>
      <w:tr w:rsidR="004E10C1" w:rsidRPr="0044524F" w14:paraId="4F5455D0" w14:textId="77777777">
        <w:tc>
          <w:tcPr>
            <w:tcW w:w="2254" w:type="dxa"/>
          </w:tcPr>
          <w:p w14:paraId="59D7B61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перехватч. 7.XII-31 г.</w:t>
            </w:r>
          </w:p>
        </w:tc>
        <w:tc>
          <w:tcPr>
            <w:tcW w:w="7493" w:type="dxa"/>
          </w:tcPr>
          <w:p w14:paraId="4370896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д.б. изготовить завод N 39. Выпуск самолетов</w:t>
            </w:r>
          </w:p>
        </w:tc>
      </w:tr>
      <w:tr w:rsidR="004E10C1" w:rsidRPr="0044524F" w14:paraId="340A4488" w14:textId="77777777">
        <w:tc>
          <w:tcPr>
            <w:tcW w:w="2254" w:type="dxa"/>
          </w:tcPr>
          <w:p w14:paraId="716CF02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B457E4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задерживался недоработанностью специального</w:t>
            </w:r>
          </w:p>
        </w:tc>
      </w:tr>
      <w:tr w:rsidR="004E10C1" w:rsidRPr="0044524F" w14:paraId="4B974A16" w14:textId="77777777">
        <w:tc>
          <w:tcPr>
            <w:tcW w:w="2254" w:type="dxa"/>
          </w:tcPr>
          <w:p w14:paraId="08F3EE0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10017A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вооружения. В настоящее время на одном из</w:t>
            </w:r>
          </w:p>
        </w:tc>
      </w:tr>
      <w:tr w:rsidR="004E10C1" w:rsidRPr="0044524F" w14:paraId="605087D3" w14:textId="77777777">
        <w:tc>
          <w:tcPr>
            <w:tcW w:w="2254" w:type="dxa"/>
          </w:tcPr>
          <w:p w14:paraId="06021C9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A0F843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самолетов опробована стрельба в воздухе.</w:t>
            </w:r>
          </w:p>
        </w:tc>
      </w:tr>
      <w:tr w:rsidR="004E10C1" w:rsidRPr="0044524F" w14:paraId="296A0648" w14:textId="77777777">
        <w:tc>
          <w:tcPr>
            <w:tcW w:w="2254" w:type="dxa"/>
          </w:tcPr>
          <w:p w14:paraId="0C7792E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24C6FC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Предварительные результаты удовлетворительны.</w:t>
            </w:r>
          </w:p>
        </w:tc>
      </w:tr>
      <w:tr w:rsidR="004E10C1" w:rsidRPr="0044524F" w14:paraId="4C7F0F61" w14:textId="77777777">
        <w:tc>
          <w:tcPr>
            <w:tcW w:w="2254" w:type="dxa"/>
          </w:tcPr>
          <w:p w14:paraId="637FC6D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7FBA89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Подготовляются к сдаче 10 самолетов. Самолеты</w:t>
            </w:r>
          </w:p>
        </w:tc>
      </w:tr>
      <w:tr w:rsidR="004E10C1" w:rsidRPr="0044524F" w14:paraId="2FB5B105" w14:textId="77777777">
        <w:tc>
          <w:tcPr>
            <w:tcW w:w="2254" w:type="dxa"/>
          </w:tcPr>
          <w:p w14:paraId="417DDF5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4EEFEE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могут сдаваться по мере доставки специального</w:t>
            </w:r>
          </w:p>
        </w:tc>
      </w:tr>
      <w:tr w:rsidR="004E10C1" w:rsidRPr="0044524F" w14:paraId="0F323DEC" w14:textId="77777777">
        <w:tc>
          <w:tcPr>
            <w:tcW w:w="2254" w:type="dxa"/>
          </w:tcPr>
          <w:p w14:paraId="6854E32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B9A72C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вооружения.</w:t>
            </w:r>
          </w:p>
        </w:tc>
      </w:tr>
      <w:tr w:rsidR="004E10C1" w:rsidRPr="0044524F" w14:paraId="70C295EE" w14:textId="77777777">
        <w:tc>
          <w:tcPr>
            <w:tcW w:w="2254" w:type="dxa"/>
          </w:tcPr>
          <w:p w14:paraId="157E435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Изготовить самолет</w:t>
            </w:r>
          </w:p>
        </w:tc>
        <w:tc>
          <w:tcPr>
            <w:tcW w:w="7493" w:type="dxa"/>
          </w:tcPr>
          <w:p w14:paraId="27EAAB8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находится в постройке и будет готов</w:t>
            </w:r>
          </w:p>
        </w:tc>
      </w:tr>
      <w:tr w:rsidR="004E10C1" w:rsidRPr="0044524F" w14:paraId="3D6D2366" w14:textId="77777777">
        <w:tc>
          <w:tcPr>
            <w:tcW w:w="2254" w:type="dxa"/>
          </w:tcPr>
          <w:p w14:paraId="73FEC76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рекорда на</w:t>
            </w:r>
          </w:p>
        </w:tc>
        <w:tc>
          <w:tcPr>
            <w:tcW w:w="7493" w:type="dxa"/>
          </w:tcPr>
          <w:p w14:paraId="103431F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предварительных полетов в мае с.г.</w:t>
            </w:r>
          </w:p>
        </w:tc>
      </w:tr>
      <w:tr w:rsidR="004E10C1" w:rsidRPr="0044524F" w14:paraId="672472A9" w14:textId="77777777">
        <w:tc>
          <w:tcPr>
            <w:tcW w:w="2254" w:type="dxa"/>
          </w:tcPr>
          <w:p w14:paraId="1EF3DE0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7.XII-31 г.</w:t>
            </w:r>
          </w:p>
        </w:tc>
        <w:tc>
          <w:tcPr>
            <w:tcW w:w="7493" w:type="dxa"/>
          </w:tcPr>
          <w:p w14:paraId="0C9910C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проведения рекорда необходимы:</w:t>
            </w:r>
          </w:p>
        </w:tc>
      </w:tr>
      <w:tr w:rsidR="004E10C1" w:rsidRPr="0044524F" w14:paraId="65BF3A03" w14:textId="77777777">
        <w:tc>
          <w:tcPr>
            <w:tcW w:w="2254" w:type="dxa"/>
          </w:tcPr>
          <w:p w14:paraId="7C4FA03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5C29AF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Изготовление специальных моторов (10 шт. М34),</w:t>
            </w:r>
          </w:p>
        </w:tc>
      </w:tr>
      <w:tr w:rsidR="004E10C1" w:rsidRPr="0044524F" w14:paraId="636B04CE" w14:textId="77777777">
        <w:tc>
          <w:tcPr>
            <w:tcW w:w="2254" w:type="dxa"/>
          </w:tcPr>
          <w:p w14:paraId="742167D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099B2B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Подготовить и натренировать двойной экипаж,</w:t>
            </w:r>
          </w:p>
        </w:tc>
      </w:tr>
      <w:tr w:rsidR="004E10C1" w:rsidRPr="0044524F" w14:paraId="0091096A" w14:textId="77777777">
        <w:tc>
          <w:tcPr>
            <w:tcW w:w="2254" w:type="dxa"/>
          </w:tcPr>
          <w:p w14:paraId="1BA42E4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48F17C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Подготовить бронированную взлетную дорожку,</w:t>
            </w:r>
          </w:p>
        </w:tc>
      </w:tr>
      <w:tr w:rsidR="004E10C1" w:rsidRPr="0044524F" w14:paraId="4021E5AA" w14:textId="77777777">
        <w:tc>
          <w:tcPr>
            <w:tcW w:w="2254" w:type="dxa"/>
          </w:tcPr>
          <w:p w14:paraId="5722D73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EA80DA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Выбрать маршрут и изучить метеорологические </w:t>
            </w:r>
          </w:p>
        </w:tc>
      </w:tr>
      <w:tr w:rsidR="004E10C1" w:rsidRPr="0044524F" w14:paraId="495C9E27" w14:textId="77777777">
        <w:tc>
          <w:tcPr>
            <w:tcW w:w="2254" w:type="dxa"/>
          </w:tcPr>
          <w:p w14:paraId="6F74849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40FB34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условия,</w:t>
            </w:r>
          </w:p>
        </w:tc>
      </w:tr>
      <w:tr w:rsidR="004E10C1" w:rsidRPr="0044524F" w14:paraId="1D31B30F" w14:textId="77777777">
        <w:tc>
          <w:tcPr>
            <w:tcW w:w="2254" w:type="dxa"/>
          </w:tcPr>
          <w:p w14:paraId="012C1A5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3FAF26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Подготовить и изучить самолет с мотором.</w:t>
            </w:r>
          </w:p>
        </w:tc>
      </w:tr>
      <w:tr w:rsidR="004E10C1" w:rsidRPr="0044524F" w14:paraId="0BC63F2D" w14:textId="77777777">
        <w:tc>
          <w:tcPr>
            <w:tcW w:w="2254" w:type="dxa"/>
          </w:tcPr>
          <w:p w14:paraId="16AF056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37006E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этого необходимо отдельные денежные средства</w:t>
            </w:r>
          </w:p>
        </w:tc>
      </w:tr>
      <w:tr w:rsidR="004E10C1" w:rsidRPr="0044524F" w14:paraId="096DB481" w14:textId="77777777">
        <w:tc>
          <w:tcPr>
            <w:tcW w:w="2254" w:type="dxa"/>
          </w:tcPr>
          <w:p w14:paraId="4F725C6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14F474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 м.р.). При наличии указанного полет на дальность</w:t>
            </w:r>
          </w:p>
        </w:tc>
      </w:tr>
      <w:tr w:rsidR="004E10C1" w:rsidRPr="0044524F" w14:paraId="07CEA9AE" w14:textId="77777777">
        <w:tc>
          <w:tcPr>
            <w:tcW w:w="2254" w:type="dxa"/>
          </w:tcPr>
          <w:p w14:paraId="50B2605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6272BF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(9000 - 13000 км) может быть совершен - IX-33 г.</w:t>
            </w:r>
          </w:p>
        </w:tc>
      </w:tr>
      <w:tr w:rsidR="004E10C1" w:rsidRPr="0044524F" w14:paraId="14525485" w14:textId="77777777">
        <w:tc>
          <w:tcPr>
            <w:tcW w:w="2254" w:type="dxa"/>
          </w:tcPr>
          <w:p w14:paraId="1E5030D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56F27B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докладывался неоднократно и имеется в отчете</w:t>
            </w:r>
          </w:p>
        </w:tc>
      </w:tr>
      <w:tr w:rsidR="004E10C1" w:rsidRPr="0044524F" w14:paraId="32D9AF7D" w14:textId="77777777">
        <w:tc>
          <w:tcPr>
            <w:tcW w:w="2254" w:type="dxa"/>
          </w:tcPr>
          <w:p w14:paraId="3581340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8B5D5D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1932 г., посланный в СТО 25.I-33 г.</w:t>
            </w:r>
          </w:p>
        </w:tc>
      </w:tr>
      <w:tr w:rsidR="004E10C1" w:rsidRPr="0044524F" w14:paraId="348CAE2A" w14:textId="77777777">
        <w:tc>
          <w:tcPr>
            <w:tcW w:w="2254" w:type="dxa"/>
          </w:tcPr>
          <w:p w14:paraId="642E171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Проработать установку</w:t>
            </w:r>
          </w:p>
        </w:tc>
        <w:tc>
          <w:tcPr>
            <w:tcW w:w="7493" w:type="dxa"/>
          </w:tcPr>
          <w:p w14:paraId="5738AE8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проработки вопроса в научно-исследовательском</w:t>
            </w:r>
          </w:p>
        </w:tc>
      </w:tr>
      <w:tr w:rsidR="004E10C1" w:rsidRPr="0044524F" w14:paraId="59AC5EAE" w14:textId="77777777">
        <w:tc>
          <w:tcPr>
            <w:tcW w:w="2254" w:type="dxa"/>
          </w:tcPr>
          <w:p w14:paraId="1402466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разрезных крыльев на</w:t>
            </w:r>
          </w:p>
        </w:tc>
        <w:tc>
          <w:tcPr>
            <w:tcW w:w="7493" w:type="dxa"/>
          </w:tcPr>
          <w:p w14:paraId="3654437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порядке, был выбран серийный самолет Р-5-М17 и</w:t>
            </w:r>
          </w:p>
        </w:tc>
      </w:tr>
      <w:tr w:rsidR="004E10C1" w:rsidRPr="0044524F" w14:paraId="542E84F8" w14:textId="77777777">
        <w:tc>
          <w:tcPr>
            <w:tcW w:w="2254" w:type="dxa"/>
          </w:tcPr>
          <w:p w14:paraId="44B9132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самолете серийного</w:t>
            </w:r>
          </w:p>
        </w:tc>
        <w:tc>
          <w:tcPr>
            <w:tcW w:w="7493" w:type="dxa"/>
          </w:tcPr>
          <w:p w14:paraId="0B1F8B4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изготовлены к нему два варианта разрезных крыльев</w:t>
            </w:r>
          </w:p>
        </w:tc>
      </w:tr>
      <w:tr w:rsidR="004E10C1" w:rsidRPr="0044524F" w14:paraId="6EEC66F2" w14:textId="77777777">
        <w:tc>
          <w:tcPr>
            <w:tcW w:w="2254" w:type="dxa"/>
          </w:tcPr>
          <w:p w14:paraId="17B0130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производства 7.II.32 г.</w:t>
            </w:r>
          </w:p>
        </w:tc>
        <w:tc>
          <w:tcPr>
            <w:tcW w:w="7493" w:type="dxa"/>
          </w:tcPr>
          <w:p w14:paraId="58D7EEA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(механического и автоматического управления). Оба</w:t>
            </w:r>
          </w:p>
        </w:tc>
      </w:tr>
      <w:tr w:rsidR="004E10C1" w:rsidRPr="0044524F" w14:paraId="196A5D38" w14:textId="77777777">
        <w:tc>
          <w:tcPr>
            <w:tcW w:w="2254" w:type="dxa"/>
          </w:tcPr>
          <w:p w14:paraId="7E3634A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08F6D8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варианта испытаны. 1-й в ЦАГИ и НИИ ВВС, а 2-й</w:t>
            </w:r>
          </w:p>
        </w:tc>
      </w:tr>
      <w:tr w:rsidR="004E10C1" w:rsidRPr="0044524F" w14:paraId="75A287A2" w14:textId="77777777">
        <w:tc>
          <w:tcPr>
            <w:tcW w:w="2254" w:type="dxa"/>
          </w:tcPr>
          <w:p w14:paraId="2086DA2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06BE0F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заканчивает испытание в ЦАГИ и на днях должен быть</w:t>
            </w:r>
          </w:p>
        </w:tc>
      </w:tr>
      <w:tr w:rsidR="004E10C1" w:rsidRPr="0044524F" w14:paraId="2D1A44C7" w14:textId="77777777">
        <w:tc>
          <w:tcPr>
            <w:tcW w:w="2254" w:type="dxa"/>
          </w:tcPr>
          <w:p w14:paraId="773A4BE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27EFF7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передан НИИ ВВС.</w:t>
            </w:r>
          </w:p>
        </w:tc>
      </w:tr>
      <w:tr w:rsidR="004E10C1" w:rsidRPr="0044524F" w14:paraId="3F4BED36" w14:textId="77777777">
        <w:tc>
          <w:tcPr>
            <w:tcW w:w="2254" w:type="dxa"/>
          </w:tcPr>
          <w:p w14:paraId="63CD5F0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8C2ABF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дали удовлетворительные результаты в</w:t>
            </w:r>
          </w:p>
        </w:tc>
      </w:tr>
      <w:tr w:rsidR="004E10C1" w:rsidRPr="0044524F" w14:paraId="503500E2" w14:textId="77777777">
        <w:tc>
          <w:tcPr>
            <w:tcW w:w="2254" w:type="dxa"/>
          </w:tcPr>
          <w:p w14:paraId="5ED7F93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E80D9E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отношении уменьшения посадочной скорости и управляемости</w:t>
            </w:r>
          </w:p>
        </w:tc>
      </w:tr>
      <w:tr w:rsidR="004E10C1" w:rsidRPr="0044524F" w14:paraId="17B172D8" w14:textId="77777777">
        <w:tc>
          <w:tcPr>
            <w:tcW w:w="2254" w:type="dxa"/>
          </w:tcPr>
          <w:p w14:paraId="1C6FC94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7886C5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малых скоростях. Вопрос пуска в серию и утверждения</w:t>
            </w:r>
          </w:p>
        </w:tc>
      </w:tr>
      <w:tr w:rsidR="004E10C1" w:rsidRPr="0044524F" w14:paraId="46F29A81" w14:textId="77777777">
        <w:tc>
          <w:tcPr>
            <w:tcW w:w="2254" w:type="dxa"/>
          </w:tcPr>
          <w:p w14:paraId="0D8F7A2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44DC7B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 остается за НИИ ВВС.</w:t>
            </w:r>
          </w:p>
        </w:tc>
      </w:tr>
      <w:tr w:rsidR="004E10C1" w:rsidRPr="0044524F" w14:paraId="311D264A" w14:textId="77777777">
        <w:tc>
          <w:tcPr>
            <w:tcW w:w="2254" w:type="dxa"/>
          </w:tcPr>
          <w:p w14:paraId="641E327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582AC6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сам. Р5 находится в производстве сам. с разрезным</w:t>
            </w:r>
          </w:p>
        </w:tc>
      </w:tr>
      <w:tr w:rsidR="004E10C1" w:rsidRPr="0044524F" w14:paraId="7ED53040" w14:textId="77777777">
        <w:tc>
          <w:tcPr>
            <w:tcW w:w="2254" w:type="dxa"/>
          </w:tcPr>
          <w:p w14:paraId="4652BF5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F828FD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крылом Кричевского, основанного на принципе полета на</w:t>
            </w:r>
          </w:p>
        </w:tc>
      </w:tr>
      <w:tr w:rsidR="004E10C1" w:rsidRPr="0044524F" w14:paraId="083FC34A" w14:textId="77777777">
        <w:tc>
          <w:tcPr>
            <w:tcW w:w="2254" w:type="dxa"/>
          </w:tcPr>
          <w:p w14:paraId="53A8FEE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5480DA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наивыгоднейшем углу атаки: Работа экспериментальная.</w:t>
            </w:r>
          </w:p>
        </w:tc>
      </w:tr>
      <w:tr w:rsidR="004E10C1" w:rsidRPr="0044524F" w14:paraId="4040176E" w14:textId="77777777">
        <w:tc>
          <w:tcPr>
            <w:tcW w:w="2254" w:type="dxa"/>
          </w:tcPr>
          <w:p w14:paraId="1133B3A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Сконструировать и</w:t>
            </w:r>
          </w:p>
        </w:tc>
        <w:tc>
          <w:tcPr>
            <w:tcW w:w="7493" w:type="dxa"/>
          </w:tcPr>
          <w:p w14:paraId="077F788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Тормозные колеса всех размеров сконструированы. К ним</w:t>
            </w:r>
          </w:p>
        </w:tc>
      </w:tr>
      <w:tr w:rsidR="004E10C1" w:rsidRPr="0044524F" w14:paraId="3EA7AC6C" w14:textId="77777777">
        <w:tc>
          <w:tcPr>
            <w:tcW w:w="2254" w:type="dxa"/>
          </w:tcPr>
          <w:p w14:paraId="75CFB3D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изготовить тормозные</w:t>
            </w:r>
          </w:p>
        </w:tc>
        <w:tc>
          <w:tcPr>
            <w:tcW w:w="7493" w:type="dxa"/>
          </w:tcPr>
          <w:p w14:paraId="3C3454D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разработаны все конструктивные чертежи. Изготовлены и</w:t>
            </w:r>
          </w:p>
        </w:tc>
      </w:tr>
      <w:tr w:rsidR="004E10C1" w:rsidRPr="0044524F" w14:paraId="487C3628" w14:textId="77777777">
        <w:tc>
          <w:tcPr>
            <w:tcW w:w="2254" w:type="dxa"/>
          </w:tcPr>
          <w:p w14:paraId="418E8FC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3" w:type="dxa"/>
          </w:tcPr>
          <w:p w14:paraId="152F091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испытаны на самолетах.</w:t>
            </w:r>
          </w:p>
        </w:tc>
      </w:tr>
      <w:tr w:rsidR="004E10C1" w:rsidRPr="0044524F" w14:paraId="6F107B37" w14:textId="77777777">
        <w:tc>
          <w:tcPr>
            <w:tcW w:w="2254" w:type="dxa"/>
          </w:tcPr>
          <w:p w14:paraId="603679F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Обеспечение выпуска</w:t>
            </w:r>
          </w:p>
        </w:tc>
        <w:tc>
          <w:tcPr>
            <w:tcW w:w="7493" w:type="dxa"/>
          </w:tcPr>
          <w:p w14:paraId="24F1E5F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Колеса оказались вполне удовлетворительными. Схема и</w:t>
            </w:r>
          </w:p>
        </w:tc>
      </w:tr>
      <w:tr w:rsidR="004E10C1" w:rsidRPr="0044524F" w14:paraId="1573DA77" w14:textId="77777777">
        <w:tc>
          <w:tcPr>
            <w:tcW w:w="2254" w:type="dxa"/>
          </w:tcPr>
          <w:p w14:paraId="6653CD3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тормозных колес к</w:t>
            </w:r>
          </w:p>
        </w:tc>
        <w:tc>
          <w:tcPr>
            <w:tcW w:w="7493" w:type="dxa"/>
          </w:tcPr>
          <w:p w14:paraId="37F38CF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тормозов и управления (масл. и механическая) утверждена</w:t>
            </w:r>
          </w:p>
        </w:tc>
      </w:tr>
      <w:tr w:rsidR="004E10C1" w:rsidRPr="0044524F" w14:paraId="1D9D7478" w14:textId="77777777">
        <w:tc>
          <w:tcPr>
            <w:tcW w:w="2254" w:type="dxa"/>
          </w:tcPr>
          <w:p w14:paraId="1890CEF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в 1933 г.</w:t>
            </w:r>
          </w:p>
        </w:tc>
        <w:tc>
          <w:tcPr>
            <w:tcW w:w="7493" w:type="dxa"/>
          </w:tcPr>
          <w:p w14:paraId="065FA08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ВВС. Остались доделки и доводки некоторых деталей и</w:t>
            </w:r>
          </w:p>
        </w:tc>
      </w:tr>
      <w:tr w:rsidR="004E10C1" w:rsidRPr="0044524F" w14:paraId="1C564B50" w14:textId="77777777">
        <w:tc>
          <w:tcPr>
            <w:tcW w:w="2254" w:type="dxa"/>
          </w:tcPr>
          <w:p w14:paraId="3C89DFE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05EB51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проверка усовершенствованных вариантов. Нужно считать, что</w:t>
            </w:r>
          </w:p>
        </w:tc>
      </w:tr>
      <w:tr w:rsidR="004E10C1" w:rsidRPr="0044524F" w14:paraId="048045AD" w14:textId="77777777">
        <w:tc>
          <w:tcPr>
            <w:tcW w:w="2254" w:type="dxa"/>
          </w:tcPr>
          <w:p w14:paraId="3593FDA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975BA7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решен за исключением колес 2000х450 для самолетов</w:t>
            </w:r>
          </w:p>
        </w:tc>
      </w:tr>
      <w:tr w:rsidR="004E10C1" w:rsidRPr="0044524F" w14:paraId="201F322D" w14:textId="77777777">
        <w:tc>
          <w:tcPr>
            <w:tcW w:w="2254" w:type="dxa"/>
          </w:tcPr>
          <w:p w14:paraId="47FD9F6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7D98DB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гигантов. Задерживается из-за отсутствия оборудования для</w:t>
            </w:r>
          </w:p>
        </w:tc>
      </w:tr>
      <w:tr w:rsidR="004E10C1" w:rsidRPr="0044524F" w14:paraId="53639C34" w14:textId="77777777">
        <w:tc>
          <w:tcPr>
            <w:tcW w:w="2254" w:type="dxa"/>
          </w:tcPr>
          <w:p w14:paraId="67D4A9C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481674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получения таких ободов. Опытные самолеты 33 г. (кроме тех,</w:t>
            </w:r>
          </w:p>
        </w:tc>
      </w:tr>
      <w:tr w:rsidR="004E10C1" w:rsidRPr="0044524F" w14:paraId="3655C7F2" w14:textId="77777777">
        <w:tc>
          <w:tcPr>
            <w:tcW w:w="2254" w:type="dxa"/>
          </w:tcPr>
          <w:p w14:paraId="2F6C647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C55E59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которых надо колеса 2000х450) по настоящему положению</w:t>
            </w:r>
          </w:p>
        </w:tc>
      </w:tr>
      <w:tr w:rsidR="004E10C1" w:rsidRPr="0044524F" w14:paraId="0B14C286" w14:textId="77777777">
        <w:tc>
          <w:tcPr>
            <w:tcW w:w="2254" w:type="dxa"/>
          </w:tcPr>
          <w:p w14:paraId="13E44C9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85AB66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вещей могут выходить с тормозными колесами.</w:t>
            </w:r>
          </w:p>
        </w:tc>
      </w:tr>
      <w:tr w:rsidR="004E10C1" w:rsidRPr="0044524F" w14:paraId="62BA66DB" w14:textId="77777777">
        <w:tc>
          <w:tcPr>
            <w:tcW w:w="2254" w:type="dxa"/>
          </w:tcPr>
          <w:p w14:paraId="3677432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Объем компл. торм.</w:t>
            </w:r>
          </w:p>
        </w:tc>
        <w:tc>
          <w:tcPr>
            <w:tcW w:w="7493" w:type="dxa"/>
          </w:tcPr>
          <w:p w14:paraId="1857288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виду отсутствия у авиапромышленности подготовленных кадров,</w:t>
            </w:r>
          </w:p>
        </w:tc>
      </w:tr>
      <w:tr w:rsidR="004E10C1" w:rsidRPr="0044524F" w14:paraId="2ABAF9D2" w14:textId="77777777">
        <w:tc>
          <w:tcPr>
            <w:tcW w:w="2254" w:type="dxa"/>
          </w:tcPr>
          <w:p w14:paraId="2408D90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колес....</w:t>
            </w:r>
          </w:p>
        </w:tc>
        <w:tc>
          <w:tcPr>
            <w:tcW w:w="7493" w:type="dxa"/>
          </w:tcPr>
          <w:p w14:paraId="027A592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производственной базы, обладающей технологическим навыком по</w:t>
            </w:r>
          </w:p>
        </w:tc>
      </w:tr>
      <w:tr w:rsidR="004E10C1" w:rsidRPr="0044524F" w14:paraId="66EF433F" w14:textId="77777777">
        <w:tc>
          <w:tcPr>
            <w:tcW w:w="2254" w:type="dxa"/>
          </w:tcPr>
          <w:p w14:paraId="620EC02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AEED1B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линии производства тормозных колес, изготовление опытной партии</w:t>
            </w:r>
          </w:p>
        </w:tc>
      </w:tr>
      <w:tr w:rsidR="004E10C1" w:rsidRPr="0044524F" w14:paraId="4CB6EC6E" w14:textId="77777777">
        <w:tc>
          <w:tcPr>
            <w:tcW w:w="2254" w:type="dxa"/>
          </w:tcPr>
          <w:p w14:paraId="03F3C0E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93BF87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ведется методом кооперирования на ряде московских заводов.</w:t>
            </w:r>
          </w:p>
        </w:tc>
      </w:tr>
      <w:tr w:rsidR="004E10C1" w:rsidRPr="0044524F" w14:paraId="3D45FF48" w14:textId="77777777">
        <w:tc>
          <w:tcPr>
            <w:tcW w:w="2254" w:type="dxa"/>
          </w:tcPr>
          <w:p w14:paraId="2099089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9EB270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компл. для сам. Р5 намечается к выпуску в апреле с.г., 10</w:t>
            </w:r>
          </w:p>
        </w:tc>
      </w:tr>
      <w:tr w:rsidR="004E10C1" w:rsidRPr="0044524F" w14:paraId="5157D64C" w14:textId="77777777">
        <w:tc>
          <w:tcPr>
            <w:tcW w:w="2254" w:type="dxa"/>
          </w:tcPr>
          <w:p w14:paraId="415F33A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C4DD7A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компл. для сам. ТБ3 - в мае с.г. В результате обследования 9-ти</w:t>
            </w:r>
          </w:p>
        </w:tc>
      </w:tr>
      <w:tr w:rsidR="004E10C1" w:rsidRPr="0044524F" w14:paraId="523CEF1B" w14:textId="77777777">
        <w:tc>
          <w:tcPr>
            <w:tcW w:w="2254" w:type="dxa"/>
          </w:tcPr>
          <w:p w14:paraId="31C5025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DF7B08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московских заводов из соображений технологической непригодности</w:t>
            </w:r>
          </w:p>
        </w:tc>
      </w:tr>
      <w:tr w:rsidR="004E10C1" w:rsidRPr="0044524F" w14:paraId="2791A7C1" w14:textId="77777777">
        <w:tc>
          <w:tcPr>
            <w:tcW w:w="2254" w:type="dxa"/>
          </w:tcPr>
          <w:p w14:paraId="06ADCF9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501226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хозяйственной нецелесообразности. Они все отвергнуты и в</w:t>
            </w:r>
          </w:p>
        </w:tc>
      </w:tr>
      <w:tr w:rsidR="004E10C1" w:rsidRPr="0044524F" w14:paraId="50D9C80E" w14:textId="77777777">
        <w:tc>
          <w:tcPr>
            <w:tcW w:w="2254" w:type="dxa"/>
          </w:tcPr>
          <w:p w14:paraId="19DD64E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D74472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настоящее время производство тормозн. колес передано на завод</w:t>
            </w:r>
          </w:p>
        </w:tc>
      </w:tr>
      <w:tr w:rsidR="004E10C1" w:rsidRPr="0044524F" w14:paraId="1FD8A2F6" w14:textId="77777777">
        <w:tc>
          <w:tcPr>
            <w:tcW w:w="2254" w:type="dxa"/>
          </w:tcPr>
          <w:p w14:paraId="4DDC9FB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3E83F7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 121.</w:t>
            </w:r>
          </w:p>
        </w:tc>
      </w:tr>
      <w:tr w:rsidR="004E10C1" w:rsidRPr="0044524F" w14:paraId="0804286E" w14:textId="77777777">
        <w:tc>
          <w:tcPr>
            <w:tcW w:w="2254" w:type="dxa"/>
          </w:tcPr>
          <w:p w14:paraId="54F0773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Спроектировать с-т</w:t>
            </w:r>
          </w:p>
        </w:tc>
        <w:tc>
          <w:tcPr>
            <w:tcW w:w="7493" w:type="dxa"/>
          </w:tcPr>
          <w:p w14:paraId="2819FCC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Разрешение проблемы полета в стратосферу связано с разрешением</w:t>
            </w:r>
          </w:p>
        </w:tc>
      </w:tr>
      <w:tr w:rsidR="004E10C1" w:rsidRPr="0044524F" w14:paraId="2F1E9E8A" w14:textId="77777777">
        <w:tc>
          <w:tcPr>
            <w:tcW w:w="2254" w:type="dxa"/>
          </w:tcPr>
          <w:p w14:paraId="228FC34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полетов в</w:t>
            </w:r>
          </w:p>
        </w:tc>
        <w:tc>
          <w:tcPr>
            <w:tcW w:w="7493" w:type="dxa"/>
          </w:tcPr>
          <w:p w14:paraId="004340E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трех основных задач:</w:t>
            </w:r>
          </w:p>
        </w:tc>
      </w:tr>
      <w:tr w:rsidR="004E10C1" w:rsidRPr="0044524F" w14:paraId="36843A15" w14:textId="77777777">
        <w:tc>
          <w:tcPr>
            <w:tcW w:w="2254" w:type="dxa"/>
          </w:tcPr>
          <w:p w14:paraId="44B4D0D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стратосферу...</w:t>
            </w:r>
          </w:p>
        </w:tc>
        <w:tc>
          <w:tcPr>
            <w:tcW w:w="7493" w:type="dxa"/>
          </w:tcPr>
          <w:p w14:paraId="67BC1BD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Создание сверхвысотного двигателя.</w:t>
            </w:r>
          </w:p>
        </w:tc>
      </w:tr>
      <w:tr w:rsidR="004E10C1" w:rsidRPr="0044524F" w14:paraId="451AFCC4" w14:textId="77777777">
        <w:tc>
          <w:tcPr>
            <w:tcW w:w="2254" w:type="dxa"/>
          </w:tcPr>
          <w:p w14:paraId="09B4F59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E3EAA5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Создание винта с переменным шагом в полете.</w:t>
            </w:r>
          </w:p>
        </w:tc>
      </w:tr>
      <w:tr w:rsidR="004E10C1" w:rsidRPr="0044524F" w14:paraId="640E71CB" w14:textId="77777777">
        <w:tc>
          <w:tcPr>
            <w:tcW w:w="2254" w:type="dxa"/>
          </w:tcPr>
          <w:p w14:paraId="375FC79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078C44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Создание герметической кабины. Все относящиеся к самолету</w:t>
            </w:r>
          </w:p>
        </w:tc>
      </w:tr>
      <w:tr w:rsidR="004E10C1" w:rsidRPr="0044524F" w14:paraId="3A0EC0E6" w14:textId="77777777">
        <w:tc>
          <w:tcPr>
            <w:tcW w:w="2254" w:type="dxa"/>
          </w:tcPr>
          <w:p w14:paraId="193053C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E0B141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сконструировано ЦАГИ и самолет находится в постройке (сейчас на</w:t>
            </w:r>
          </w:p>
        </w:tc>
      </w:tr>
      <w:tr w:rsidR="004E10C1" w:rsidRPr="0044524F" w14:paraId="585D2A44" w14:textId="77777777">
        <w:tc>
          <w:tcPr>
            <w:tcW w:w="2254" w:type="dxa"/>
          </w:tcPr>
          <w:p w14:paraId="630B0BD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9D26AE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 Винт и мотор конструируются в ЦИАМ"е. Готовность</w:t>
            </w:r>
          </w:p>
        </w:tc>
      </w:tr>
      <w:tr w:rsidR="004E10C1" w:rsidRPr="0044524F" w14:paraId="3977E46F" w14:textId="77777777">
        <w:tc>
          <w:tcPr>
            <w:tcW w:w="2254" w:type="dxa"/>
          </w:tcPr>
          <w:p w14:paraId="092B4B9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CFEE3D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сверхвысотного мотора определяется первой половиной 34 г.</w:t>
            </w:r>
          </w:p>
        </w:tc>
      </w:tr>
      <w:tr w:rsidR="004E10C1" w:rsidRPr="0044524F" w14:paraId="4AF07FE7" w14:textId="77777777">
        <w:tc>
          <w:tcPr>
            <w:tcW w:w="2254" w:type="dxa"/>
          </w:tcPr>
          <w:p w14:paraId="47833FA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12EC96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Предварительные полеты намечаются с высотным мотором до 5000 м</w:t>
            </w:r>
          </w:p>
        </w:tc>
      </w:tr>
      <w:tr w:rsidR="004E10C1" w:rsidRPr="0044524F" w14:paraId="6F768478" w14:textId="77777777">
        <w:tc>
          <w:tcPr>
            <w:tcW w:w="2254" w:type="dxa"/>
          </w:tcPr>
          <w:p w14:paraId="0767AFD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FD091C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IV кварт. 1933 г.</w:t>
            </w:r>
          </w:p>
        </w:tc>
      </w:tr>
      <w:tr w:rsidR="004E10C1" w:rsidRPr="0044524F" w14:paraId="380B0330" w14:textId="77777777">
        <w:tc>
          <w:tcPr>
            <w:tcW w:w="2254" w:type="dxa"/>
          </w:tcPr>
          <w:p w14:paraId="30C4DA5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Обеспечить многоместн.</w:t>
            </w:r>
          </w:p>
        </w:tc>
        <w:tc>
          <w:tcPr>
            <w:tcW w:w="7493" w:type="dxa"/>
          </w:tcPr>
          <w:p w14:paraId="0AFA1BD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Постройкой намечены самолеты: И-14 М38Н; И-15 М38Н, И-13 М32Н;</w:t>
            </w:r>
          </w:p>
        </w:tc>
      </w:tr>
      <w:tr w:rsidR="004E10C1" w:rsidRPr="0044524F" w14:paraId="10D1DCFF" w14:textId="77777777">
        <w:tc>
          <w:tcPr>
            <w:tcW w:w="2254" w:type="dxa"/>
          </w:tcPr>
          <w:p w14:paraId="19861A7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одноместные истребит.</w:t>
            </w:r>
          </w:p>
        </w:tc>
        <w:tc>
          <w:tcPr>
            <w:tcW w:w="7493" w:type="dxa"/>
          </w:tcPr>
          <w:p w14:paraId="48B2DCE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ДИ6-М32. Получение высоких скоростей в большей части зависит от</w:t>
            </w:r>
          </w:p>
        </w:tc>
      </w:tr>
      <w:tr w:rsidR="004E10C1" w:rsidRPr="0044524F" w14:paraId="696CA677" w14:textId="77777777">
        <w:tc>
          <w:tcPr>
            <w:tcW w:w="2254" w:type="dxa"/>
          </w:tcPr>
          <w:p w14:paraId="5E17C9E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высокими свойствами.</w:t>
            </w:r>
          </w:p>
        </w:tc>
        <w:tc>
          <w:tcPr>
            <w:tcW w:w="7493" w:type="dxa"/>
          </w:tcPr>
          <w:p w14:paraId="51A95D4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мощного высококачественного мотора. Таковые отечественные моторы</w:t>
            </w:r>
          </w:p>
        </w:tc>
      </w:tr>
      <w:tr w:rsidR="004E10C1" w:rsidRPr="0044524F" w14:paraId="4643E01A" w14:textId="77777777">
        <w:tc>
          <w:tcPr>
            <w:tcW w:w="2254" w:type="dxa"/>
          </w:tcPr>
          <w:p w14:paraId="083B011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AA6A63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находятся в стадии заводских испытаний и доводки. Выпуск самолетов</w:t>
            </w:r>
          </w:p>
        </w:tc>
      </w:tr>
      <w:tr w:rsidR="004E10C1" w:rsidRPr="0044524F" w14:paraId="279F939E" w14:textId="77777777">
        <w:tc>
          <w:tcPr>
            <w:tcW w:w="2254" w:type="dxa"/>
          </w:tcPr>
          <w:p w14:paraId="34F927E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57C965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зависит от окончания этих работ и ориентировочно намечается на</w:t>
            </w:r>
          </w:p>
        </w:tc>
      </w:tr>
      <w:tr w:rsidR="004E10C1" w:rsidRPr="0044524F" w14:paraId="2D8595D4" w14:textId="77777777">
        <w:tc>
          <w:tcPr>
            <w:tcW w:w="2254" w:type="dxa"/>
          </w:tcPr>
          <w:p w14:paraId="2FEEE75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B2DF7B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4-й квартал 1933 г. Для ускорения выпуска машин и их доводки </w:t>
            </w:r>
          </w:p>
        </w:tc>
      </w:tr>
      <w:tr w:rsidR="004E10C1" w:rsidRPr="0044524F" w14:paraId="087FADFB" w14:textId="77777777">
        <w:tc>
          <w:tcPr>
            <w:tcW w:w="2254" w:type="dxa"/>
          </w:tcPr>
          <w:p w14:paraId="78D1B83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094D36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предположено на И-14 и И-15 поставить моторы Меркур-Бристоль. И-14</w:t>
            </w:r>
          </w:p>
        </w:tc>
      </w:tr>
      <w:tr w:rsidR="004E10C1" w:rsidRPr="0044524F" w14:paraId="698ABE4B" w14:textId="77777777">
        <w:tc>
          <w:tcPr>
            <w:tcW w:w="2254" w:type="dxa"/>
          </w:tcPr>
          <w:p w14:paraId="25421E3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48D3DD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должен выйти на заводские испытания в апреле; И-15 - в конце 3-го</w:t>
            </w:r>
          </w:p>
        </w:tc>
      </w:tr>
      <w:tr w:rsidR="004E10C1" w:rsidRPr="0044524F" w14:paraId="66F4A5C6" w14:textId="77777777">
        <w:tc>
          <w:tcPr>
            <w:tcW w:w="2254" w:type="dxa"/>
          </w:tcPr>
          <w:p w14:paraId="0AB324E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159A993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или в начале 4-го кварталов.</w:t>
            </w:r>
          </w:p>
        </w:tc>
      </w:tr>
      <w:tr w:rsidR="004E10C1" w:rsidRPr="0044524F" w14:paraId="130938A5" w14:textId="77777777">
        <w:tc>
          <w:tcPr>
            <w:tcW w:w="2254" w:type="dxa"/>
          </w:tcPr>
          <w:p w14:paraId="5288921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Закупить заграничные</w:t>
            </w:r>
          </w:p>
        </w:tc>
        <w:tc>
          <w:tcPr>
            <w:tcW w:w="7493" w:type="dxa"/>
          </w:tcPr>
          <w:p w14:paraId="5C5A660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закупок определен в 1000000 руб. Правительством была утверждена</w:t>
            </w:r>
          </w:p>
        </w:tc>
      </w:tr>
      <w:tr w:rsidR="004E10C1" w:rsidRPr="0044524F" w14:paraId="759DFA3B" w14:textId="77777777">
        <w:tc>
          <w:tcPr>
            <w:tcW w:w="2254" w:type="dxa"/>
          </w:tcPr>
          <w:p w14:paraId="63CECF7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и радиаторы.</w:t>
            </w:r>
          </w:p>
        </w:tc>
        <w:tc>
          <w:tcPr>
            <w:tcW w:w="7493" w:type="dxa"/>
          </w:tcPr>
          <w:p w14:paraId="0FF99A3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закупка без ассигнования сумм. Глававиапром, надеясь получить эти</w:t>
            </w:r>
          </w:p>
        </w:tc>
      </w:tr>
      <w:tr w:rsidR="004E10C1" w:rsidRPr="0044524F" w14:paraId="5C0A1244" w14:textId="77777777">
        <w:tc>
          <w:tcPr>
            <w:tcW w:w="2254" w:type="dxa"/>
          </w:tcPr>
          <w:p w14:paraId="4895A9D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0A243A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средства израсходовал из своего контингента технического снабжения и</w:t>
            </w:r>
          </w:p>
        </w:tc>
      </w:tr>
      <w:tr w:rsidR="004E10C1" w:rsidRPr="0044524F" w14:paraId="0EBC2C5E" w14:textId="77777777">
        <w:tc>
          <w:tcPr>
            <w:tcW w:w="2254" w:type="dxa"/>
          </w:tcPr>
          <w:p w14:paraId="096BA82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21F884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оборудования 518000. Закуплено и получено:</w:t>
            </w:r>
          </w:p>
        </w:tc>
      </w:tr>
      <w:tr w:rsidR="004E10C1" w:rsidRPr="0044524F" w14:paraId="749F7F78" w14:textId="77777777">
        <w:tc>
          <w:tcPr>
            <w:tcW w:w="2254" w:type="dxa"/>
          </w:tcPr>
          <w:p w14:paraId="63FECF7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16902D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1 экз. самолет Ферри Файрфляйт с мотор. Роллс Ройс.</w:t>
            </w:r>
          </w:p>
        </w:tc>
      </w:tr>
      <w:tr w:rsidR="004E10C1" w:rsidRPr="0044524F" w14:paraId="7B56ACE5" w14:textId="77777777">
        <w:tc>
          <w:tcPr>
            <w:tcW w:w="2254" w:type="dxa"/>
          </w:tcPr>
          <w:p w14:paraId="25EA1EB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1A96A1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3 экз. мотора Бристоль-Меркур.</w:t>
            </w:r>
          </w:p>
        </w:tc>
      </w:tr>
      <w:tr w:rsidR="004E10C1" w:rsidRPr="0044524F" w14:paraId="653E9390" w14:textId="77777777">
        <w:tc>
          <w:tcPr>
            <w:tcW w:w="2254" w:type="dxa"/>
          </w:tcPr>
          <w:p w14:paraId="4733B92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653505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2 экз. мотора Роллс-Ройс. Закуплено и ожидается прибытием:</w:t>
            </w:r>
          </w:p>
        </w:tc>
      </w:tr>
      <w:tr w:rsidR="004E10C1" w:rsidRPr="0044524F" w14:paraId="3D938E24" w14:textId="77777777">
        <w:tc>
          <w:tcPr>
            <w:tcW w:w="2254" w:type="dxa"/>
          </w:tcPr>
          <w:p w14:paraId="2CAFF9B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60BCBB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мотора Райт-Циклон (апрель)</w:t>
            </w:r>
          </w:p>
        </w:tc>
      </w:tr>
      <w:tr w:rsidR="004E10C1" w:rsidRPr="0044524F" w14:paraId="1564E259" w14:textId="77777777">
        <w:tc>
          <w:tcPr>
            <w:tcW w:w="2254" w:type="dxa"/>
          </w:tcPr>
          <w:p w14:paraId="60C0C06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DA1707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мотор Армстронг-Сиддлей "Тигр" (апрель)</w:t>
            </w:r>
          </w:p>
        </w:tc>
      </w:tr>
      <w:tr w:rsidR="004E10C1" w:rsidRPr="0044524F" w14:paraId="71840A32" w14:textId="77777777">
        <w:tc>
          <w:tcPr>
            <w:tcW w:w="2254" w:type="dxa"/>
          </w:tcPr>
          <w:p w14:paraId="5A4C24A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6262C7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авиадизель Бенц (апрель)</w:t>
            </w:r>
          </w:p>
        </w:tc>
      </w:tr>
      <w:tr w:rsidR="004E10C1" w:rsidRPr="0044524F" w14:paraId="623EDF8E" w14:textId="77777777">
        <w:tc>
          <w:tcPr>
            <w:tcW w:w="2254" w:type="dxa"/>
          </w:tcPr>
          <w:p w14:paraId="718818D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D2F14D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 авиадизеля Юнкерса (принимаются)</w:t>
            </w:r>
          </w:p>
        </w:tc>
      </w:tr>
      <w:tr w:rsidR="004E10C1" w:rsidRPr="0044524F" w14:paraId="1005F8F6" w14:textId="77777777">
        <w:tc>
          <w:tcPr>
            <w:tcW w:w="2254" w:type="dxa"/>
          </w:tcPr>
          <w:p w14:paraId="211342E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AFB26A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 мотора Кертис Супер-Конкверрор</w:t>
            </w:r>
          </w:p>
        </w:tc>
      </w:tr>
      <w:tr w:rsidR="004E10C1" w:rsidRPr="0044524F" w14:paraId="147F18D7" w14:textId="77777777">
        <w:tc>
          <w:tcPr>
            <w:tcW w:w="2254" w:type="dxa"/>
          </w:tcPr>
          <w:p w14:paraId="502C9C4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5A734DD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 авиадизель Мерседес- Бенц</w:t>
            </w:r>
          </w:p>
        </w:tc>
      </w:tr>
      <w:tr w:rsidR="004E10C1" w:rsidRPr="0044524F" w14:paraId="7A66FCC3" w14:textId="77777777">
        <w:tc>
          <w:tcPr>
            <w:tcW w:w="2254" w:type="dxa"/>
          </w:tcPr>
          <w:p w14:paraId="6AE8A5C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A2BB90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Установка д/испытания топлива "Вокешь".</w:t>
            </w:r>
          </w:p>
        </w:tc>
      </w:tr>
      <w:tr w:rsidR="004E10C1" w:rsidRPr="0044524F" w14:paraId="584E0032" w14:textId="77777777">
        <w:tc>
          <w:tcPr>
            <w:tcW w:w="2254" w:type="dxa"/>
          </w:tcPr>
          <w:p w14:paraId="5BFBCB5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5B47DE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Остальные потребности импортных образцов не реализуются из-за отсутствия</w:t>
            </w:r>
          </w:p>
        </w:tc>
      </w:tr>
      <w:tr w:rsidR="004E10C1" w:rsidRPr="0044524F" w14:paraId="6ACE3FB2" w14:textId="77777777">
        <w:tc>
          <w:tcPr>
            <w:tcW w:w="2254" w:type="dxa"/>
          </w:tcPr>
          <w:p w14:paraId="436A67B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641A94E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ассигнований.</w:t>
            </w:r>
          </w:p>
        </w:tc>
      </w:tr>
      <w:tr w:rsidR="004E10C1" w:rsidRPr="0044524F" w14:paraId="5506CC06" w14:textId="77777777">
        <w:tc>
          <w:tcPr>
            <w:tcW w:w="2254" w:type="dxa"/>
          </w:tcPr>
          <w:p w14:paraId="056E863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Приступить к летным</w:t>
            </w:r>
          </w:p>
        </w:tc>
        <w:tc>
          <w:tcPr>
            <w:tcW w:w="7493" w:type="dxa"/>
          </w:tcPr>
          <w:p w14:paraId="7C1F3A2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экземпляр во время испытаний потерпел аварию (оторвался один из</w:t>
            </w:r>
          </w:p>
        </w:tc>
      </w:tr>
      <w:tr w:rsidR="004E10C1" w:rsidRPr="0044524F" w14:paraId="2B88F91F" w14:textId="77777777">
        <w:tc>
          <w:tcPr>
            <w:tcW w:w="2254" w:type="dxa"/>
          </w:tcPr>
          <w:p w14:paraId="00CDE4B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испытаниям ТБ5.</w:t>
            </w:r>
          </w:p>
        </w:tc>
        <w:tc>
          <w:tcPr>
            <w:tcW w:w="7493" w:type="dxa"/>
          </w:tcPr>
          <w:p w14:paraId="75CBEE7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4-х моторов в воздухе). Специально созданная комиссия определила</w:t>
            </w:r>
          </w:p>
        </w:tc>
      </w:tr>
      <w:tr w:rsidR="004E10C1" w:rsidRPr="0044524F" w14:paraId="2CE2BFD6" w14:textId="77777777">
        <w:tc>
          <w:tcPr>
            <w:tcW w:w="2254" w:type="dxa"/>
          </w:tcPr>
          <w:p w14:paraId="40C9D2D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16.V-32 г.</w:t>
            </w:r>
          </w:p>
        </w:tc>
        <w:tc>
          <w:tcPr>
            <w:tcW w:w="7493" w:type="dxa"/>
          </w:tcPr>
          <w:p w14:paraId="19AA148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необходимые переделки и возможные тактические данные. ВВС нашло, что</w:t>
            </w:r>
          </w:p>
        </w:tc>
      </w:tr>
      <w:tr w:rsidR="004E10C1" w:rsidRPr="0044524F" w14:paraId="19E5FE9E" w14:textId="77777777">
        <w:tc>
          <w:tcPr>
            <w:tcW w:w="2254" w:type="dxa"/>
          </w:tcPr>
          <w:p w14:paraId="11E6361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7B5861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продолжать работы по этой машине нерационально. Распоряжением начальника</w:t>
            </w:r>
          </w:p>
        </w:tc>
      </w:tr>
      <w:tr w:rsidR="004E10C1" w:rsidRPr="0044524F" w14:paraId="54EEAA8A" w14:textId="77777777">
        <w:tc>
          <w:tcPr>
            <w:tcW w:w="2254" w:type="dxa"/>
          </w:tcPr>
          <w:p w14:paraId="2765BA3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04A54FA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ГУАП работы прекращены, машина разобрана и передана для экспериментально</w:t>
            </w:r>
          </w:p>
        </w:tc>
      </w:tr>
      <w:tr w:rsidR="004E10C1" w:rsidRPr="0044524F" w14:paraId="4053603E" w14:textId="77777777">
        <w:tc>
          <w:tcPr>
            <w:tcW w:w="2254" w:type="dxa"/>
          </w:tcPr>
          <w:p w14:paraId="6311524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A8EB8C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исследовательских работ в ОПАК ЦАГИ.</w:t>
            </w:r>
          </w:p>
        </w:tc>
      </w:tr>
      <w:tr w:rsidR="004E10C1" w:rsidRPr="0044524F" w14:paraId="2B454F24" w14:textId="77777777">
        <w:tc>
          <w:tcPr>
            <w:tcW w:w="2254" w:type="dxa"/>
          </w:tcPr>
          <w:p w14:paraId="599FFBF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моторов</w:t>
            </w:r>
          </w:p>
        </w:tc>
        <w:tc>
          <w:tcPr>
            <w:tcW w:w="7493" w:type="dxa"/>
          </w:tcPr>
          <w:p w14:paraId="699243F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моторы стоят в плане опытного строительства, утвержденного Правительством</w:t>
            </w:r>
          </w:p>
        </w:tc>
      </w:tr>
      <w:tr w:rsidR="004E10C1" w:rsidRPr="0044524F" w14:paraId="412D0595" w14:textId="77777777">
        <w:tc>
          <w:tcPr>
            <w:tcW w:w="2254" w:type="dxa"/>
          </w:tcPr>
          <w:p w14:paraId="1CF9E2B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Р.Н. однорядного</w:t>
            </w:r>
          </w:p>
        </w:tc>
        <w:tc>
          <w:tcPr>
            <w:tcW w:w="7493" w:type="dxa"/>
          </w:tcPr>
          <w:p w14:paraId="397B104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4.VII-32 г. Состояние работ по ним изложено в отчете за 32 г. посланного в СТО 25.I-33 г. </w:t>
            </w:r>
          </w:p>
        </w:tc>
      </w:tr>
      <w:tr w:rsidR="004E10C1" w:rsidRPr="0044524F" w14:paraId="6E0C718E" w14:textId="77777777">
        <w:tc>
          <w:tcPr>
            <w:tcW w:w="2254" w:type="dxa"/>
          </w:tcPr>
          <w:p w14:paraId="773BF40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М-52, М-32, М-44</w:t>
            </w:r>
          </w:p>
        </w:tc>
        <w:tc>
          <w:tcPr>
            <w:tcW w:w="7493" w:type="dxa"/>
          </w:tcPr>
          <w:p w14:paraId="520D94A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М-34 Р и Н, М-52 (однорядный) М-32 находятся в настоящее время на</w:t>
            </w:r>
          </w:p>
        </w:tc>
      </w:tr>
      <w:tr w:rsidR="004E10C1" w:rsidRPr="0044524F" w14:paraId="4968B813" w14:textId="77777777">
        <w:tc>
          <w:tcPr>
            <w:tcW w:w="2254" w:type="dxa"/>
          </w:tcPr>
          <w:p w14:paraId="6E6D38D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4.VII-32 г.</w:t>
            </w:r>
          </w:p>
        </w:tc>
        <w:tc>
          <w:tcPr>
            <w:tcW w:w="7493" w:type="dxa"/>
          </w:tcPr>
          <w:p w14:paraId="6F2A6B7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заводском испытании. Все указанные моторы, кроме М-44, намечены к передаче на</w:t>
            </w:r>
          </w:p>
        </w:tc>
      </w:tr>
      <w:tr w:rsidR="004E10C1" w:rsidRPr="0044524F" w14:paraId="4FF8B8BE" w14:textId="77777777">
        <w:tc>
          <w:tcPr>
            <w:tcW w:w="2254" w:type="dxa"/>
          </w:tcPr>
          <w:p w14:paraId="516A8BA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F7BEB2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в мае с.г. М-44 намечен на заводские испытания в июне с.г.</w:t>
            </w:r>
          </w:p>
        </w:tc>
      </w:tr>
      <w:tr w:rsidR="004E10C1" w:rsidRPr="0044524F" w14:paraId="59177BAB" w14:textId="77777777">
        <w:tc>
          <w:tcPr>
            <w:tcW w:w="2254" w:type="dxa"/>
          </w:tcPr>
          <w:p w14:paraId="13D423D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Форсировать постройку</w:t>
            </w:r>
          </w:p>
        </w:tc>
        <w:tc>
          <w:tcPr>
            <w:tcW w:w="7493" w:type="dxa"/>
          </w:tcPr>
          <w:p w14:paraId="4C6EFE1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экземпляр ТБ-4 вышел на аэродром и находится в сборке и дооборудовании.</w:t>
            </w:r>
          </w:p>
        </w:tc>
      </w:tr>
      <w:tr w:rsidR="004E10C1" w:rsidRPr="0044524F" w14:paraId="31EB5E79" w14:textId="77777777">
        <w:tc>
          <w:tcPr>
            <w:tcW w:w="2254" w:type="dxa"/>
          </w:tcPr>
          <w:p w14:paraId="74F046D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самолетов ТБ4, МК-1,</w:t>
            </w:r>
          </w:p>
        </w:tc>
        <w:tc>
          <w:tcPr>
            <w:tcW w:w="7493" w:type="dxa"/>
          </w:tcPr>
          <w:p w14:paraId="40DB237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Выпуск в воздух намечается в апреле-мае. В ЦАГИ находится в постройке 2-й,</w:t>
            </w:r>
          </w:p>
        </w:tc>
      </w:tr>
      <w:tr w:rsidR="004E10C1" w:rsidRPr="0044524F" w14:paraId="25A9209F" w14:textId="77777777">
        <w:tc>
          <w:tcPr>
            <w:tcW w:w="2254" w:type="dxa"/>
          </w:tcPr>
          <w:p w14:paraId="2D94192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МДР3. 4.VII-32 г.</w:t>
            </w:r>
          </w:p>
        </w:tc>
        <w:tc>
          <w:tcPr>
            <w:tcW w:w="7493" w:type="dxa"/>
          </w:tcPr>
          <w:p w14:paraId="2596CFA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улучшенный экземпляр (ТБ4 головной), чертежи которого передаются на зав. 22 для</w:t>
            </w:r>
          </w:p>
        </w:tc>
      </w:tr>
      <w:tr w:rsidR="004E10C1" w:rsidRPr="0044524F" w14:paraId="170900A0" w14:textId="77777777">
        <w:tc>
          <w:tcPr>
            <w:tcW w:w="2254" w:type="dxa"/>
          </w:tcPr>
          <w:p w14:paraId="64553D4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351C3AD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подготовки серии. На этот самолет должны быть установлены моторы с редукторами.</w:t>
            </w:r>
          </w:p>
        </w:tc>
      </w:tr>
      <w:tr w:rsidR="004E10C1" w:rsidRPr="0044524F" w14:paraId="16E8EAF9" w14:textId="77777777">
        <w:tc>
          <w:tcPr>
            <w:tcW w:w="2254" w:type="dxa"/>
          </w:tcPr>
          <w:p w14:paraId="4F69C36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277A38F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на установку 6-ти моторов и доработку проводок и агрегатов необходимо</w:t>
            </w:r>
          </w:p>
        </w:tc>
      </w:tr>
      <w:tr w:rsidR="004E10C1" w:rsidRPr="0044524F" w14:paraId="6298D259" w14:textId="77777777">
        <w:tc>
          <w:tcPr>
            <w:tcW w:w="2254" w:type="dxa"/>
          </w:tcPr>
          <w:p w14:paraId="008B1A9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388CFC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месяца, то самолет намечается к выходу на заводские испытания в августе-сентябре.</w:t>
            </w:r>
          </w:p>
        </w:tc>
      </w:tr>
      <w:tr w:rsidR="004E10C1" w:rsidRPr="0044524F" w14:paraId="00C03680" w14:textId="77777777">
        <w:tc>
          <w:tcPr>
            <w:tcW w:w="2254" w:type="dxa"/>
          </w:tcPr>
          <w:p w14:paraId="1BCA94D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45BD0D9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Гидросамолеты МК-1 и МДР-3 идут по плану и должны выйти на испытания в XII-33 г.</w:t>
            </w:r>
          </w:p>
        </w:tc>
      </w:tr>
      <w:tr w:rsidR="004E10C1" w:rsidRPr="0044524F" w14:paraId="2DA475E6" w14:textId="77777777">
        <w:tc>
          <w:tcPr>
            <w:tcW w:w="2254" w:type="dxa"/>
          </w:tcPr>
          <w:p w14:paraId="68F786A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Оборудовать рациями</w:t>
            </w:r>
          </w:p>
        </w:tc>
        <w:tc>
          <w:tcPr>
            <w:tcW w:w="7493" w:type="dxa"/>
          </w:tcPr>
          <w:p w14:paraId="7AF53FF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самолеты И5, Р5, Р6 были оборудованы действующими рациями типа 15 СК и</w:t>
            </w:r>
          </w:p>
        </w:tc>
      </w:tr>
      <w:tr w:rsidR="004E10C1" w:rsidRPr="0044524F" w14:paraId="54D4A309" w14:textId="77777777">
        <w:tc>
          <w:tcPr>
            <w:tcW w:w="2254" w:type="dxa"/>
          </w:tcPr>
          <w:p w14:paraId="194BB9D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выходящие</w:t>
            </w:r>
          </w:p>
        </w:tc>
        <w:tc>
          <w:tcPr>
            <w:tcW w:w="7493" w:type="dxa"/>
          </w:tcPr>
          <w:p w14:paraId="092468C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всесторонне испытаны. На тяжелые машины ТБ3, ТБ4 за отсутствием действующий</w:t>
            </w:r>
          </w:p>
        </w:tc>
      </w:tr>
      <w:tr w:rsidR="004E10C1" w:rsidRPr="0044524F" w14:paraId="59B02F45" w14:textId="77777777">
        <w:tc>
          <w:tcPr>
            <w:tcW w:w="2254" w:type="dxa"/>
          </w:tcPr>
          <w:p w14:paraId="7C7F7D1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33 г. 5.VII-32 г.</w:t>
            </w:r>
          </w:p>
        </w:tc>
        <w:tc>
          <w:tcPr>
            <w:tcW w:w="7493" w:type="dxa"/>
          </w:tcPr>
          <w:p w14:paraId="41EDC52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раций были установлены макеты, поэтому вопрос с тяжелыми машинами не может считаться</w:t>
            </w:r>
          </w:p>
        </w:tc>
      </w:tr>
      <w:tr w:rsidR="004E10C1" w:rsidRPr="0044524F" w14:paraId="7CA23075" w14:textId="77777777">
        <w:tc>
          <w:tcPr>
            <w:tcW w:w="2254" w:type="dxa"/>
          </w:tcPr>
          <w:p w14:paraId="5712515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3" w:type="dxa"/>
          </w:tcPr>
          <w:p w14:paraId="74C675C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доработанным (2286,18).</w:t>
            </w:r>
          </w:p>
        </w:tc>
      </w:tr>
    </w:tbl>
    <w:p w14:paraId="7529E36C"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306AE3A"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256DAFD"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91BCF5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марта 1932 года пом. нач. сектора УВВС Евстигнеев писал письмо N 0315с начальнику 1 отдела НИИ.</w:t>
      </w:r>
    </w:p>
    <w:p w14:paraId="2AECFAC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сего времени нет конструкций винтов к самолетам ТШ, АНТ9, ТБ3, МДР3 и И5-М22 и лыж к самолетам ТШ и ТБ3. (3069,4).</w:t>
      </w:r>
    </w:p>
    <w:p w14:paraId="605D0EB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5762F284" w14:textId="77777777" w:rsidR="00662C0F" w:rsidRPr="0044524F" w:rsidRDefault="00662C0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16 марта 1933 г. Президиум ЦКК и комиссия при ЦКИ СССР издали специальное постановление «О состоянии ХАЗ» (харьковского авиазавода № 135) (23098).</w:t>
      </w:r>
    </w:p>
    <w:p w14:paraId="09FE84D4" w14:textId="77777777" w:rsidR="00662C0F" w:rsidRPr="0044524F" w:rsidRDefault="00662C0F" w:rsidP="009654CF">
      <w:pPr>
        <w:shd w:val="clear" w:color="auto" w:fill="FFFFFF"/>
        <w:spacing w:after="0" w:line="240" w:lineRule="auto"/>
        <w:jc w:val="both"/>
        <w:rPr>
          <w:rFonts w:ascii="Times New Roman" w:hAnsi="Times New Roman"/>
          <w:color w:val="000000" w:themeColor="text1"/>
          <w:sz w:val="16"/>
          <w:szCs w:val="16"/>
        </w:rPr>
      </w:pPr>
    </w:p>
    <w:p w14:paraId="6D0A505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марта 1933 года пом. нач. Глававиапрома и начальник НТОС писал письмо N АП232/128с Алкснису, Зильберту, нач. ЦКБ завода N 39 С.В.И.</w:t>
      </w:r>
    </w:p>
    <w:p w14:paraId="3FB89C2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постановления РВС от 3 марта 1933 года Глававиапрому поручается:</w:t>
      </w:r>
    </w:p>
    <w:p w14:paraId="284B64E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Разработать и построить учебный и спортивный самолет и мотор по повышенным требованиям, давая предназначения:</w:t>
      </w:r>
    </w:p>
    <w:p w14:paraId="6F6AB87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первоначального обучения;</w:t>
      </w:r>
    </w:p>
    <w:p w14:paraId="6C34E46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для тренировки, как одноместной машины;</w:t>
      </w:r>
    </w:p>
    <w:p w14:paraId="442A745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для слепого полета;</w:t>
      </w:r>
    </w:p>
    <w:p w14:paraId="2BBF223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для ночного полета и полета в строю. Этот же тип для обучения летчиков-наблюдателей, приемам навигации, фото, бомбардированию и стрельбе._</w:t>
      </w:r>
    </w:p>
    <w:p w14:paraId="5E90CA0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Разработать и построить тип тренировочного самолета под мощность 150-200 НР с назначением:</w:t>
      </w:r>
    </w:p>
    <w:p w14:paraId="73A29EB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самолет сопровождения;</w:t>
      </w:r>
    </w:p>
    <w:p w14:paraId="40B0CE1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самолет тренировочный;</w:t>
      </w:r>
    </w:p>
    <w:p w14:paraId="59DE438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самолет местных сообщений.</w:t>
      </w:r>
    </w:p>
    <w:p w14:paraId="3ED0AA3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необходимые исследования и ускорить применение: предкрылков, закрылков, двойного крыла, крыла с меняющимся профилем соответственно этому типу самолетов, имея в виду:</w:t>
      </w:r>
    </w:p>
    <w:p w14:paraId="661DFD1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получить наибольший диапазон горизонтальных скоростей;</w:t>
      </w:r>
    </w:p>
    <w:p w14:paraId="2782DBF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увеличить устойчивость при полете с предельными нагрузками;</w:t>
      </w:r>
    </w:p>
    <w:p w14:paraId="623D0AD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уменьшить посадочные скорости;</w:t>
      </w:r>
    </w:p>
    <w:p w14:paraId="5AD6975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увеличить скороподъемность.</w:t>
      </w:r>
    </w:p>
    <w:p w14:paraId="7579341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одной из важнейших задач ближайшего периода получение легкого 2-х местного самолета, универсального в производстве и специализированного по оборудованию для назначения:</w:t>
      </w:r>
    </w:p>
    <w:p w14:paraId="45CFE20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оперативный разведчик;</w:t>
      </w:r>
    </w:p>
    <w:p w14:paraId="531FA6B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двухместный истребитель;</w:t>
      </w:r>
    </w:p>
    <w:p w14:paraId="004BE22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легкий бомбардировщик.</w:t>
      </w:r>
    </w:p>
    <w:p w14:paraId="7A30791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получения неудовлетворительных результатов испытания ЛР, приступить к постройке специального универсального самолета (3899,61).</w:t>
      </w:r>
    </w:p>
    <w:p w14:paraId="30A24FA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5DD6C24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марта 1933 состоялось 19 совещание в ЦАГИ с участием представителей Самолетного треста и НИИ ВВС, а также завода п/я 747 под председательством Малахова. Обсуждали изменения и переделки для серии Ми-3 и сроки представления чертежей (1077,246).</w:t>
      </w:r>
    </w:p>
    <w:p w14:paraId="12E7633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51D573B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марта 1933 вышло спецпостановление Президиума ЦКК и комиссии ЦК РКИ УССР N 15/II "О состоянии ХАЗ" - предложили наказать молодых за склоки. Дело в том, что в начале 1933 П.И.Б. приезжал на ХАЗОС разбираться с К.А.К., так как в конце 1932 группа из 18 человек написала письмо в ЦК и потом комиссия от ВВС разобраться не смогла. Среди подписантов был и З.И.Ицкович, возглавлявший группу и переброшенный П.И.Б. в Казань в КАИ. В ХАЗОС пришли новые люди (70,224).</w:t>
      </w:r>
    </w:p>
    <w:p w14:paraId="04C52BA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"Рассмотрев материалы комиссий (ГПК, ГУАПа, РКК НК РКИ СССР и УССР), обследовавших ХАЗ, Президиум ЦКК и Коллегия НК РКИ УССР - констатируют, что в результате отсутствия до настоящего времени исчерпывающего решения по вопросу определения перспектив существования ХАЗ, а отсюда и необходимой стабильной и планомерной его организации - этот завод фактически подвергался лишь отдельным и эпизодическим реорганизационным мероприятиям, направленным на разрешение поставленных перед ним задач на данный отрезок времени. такое положение порождало как в среде руководства завода, так и основных инженерно-технических кадров неуверенность и бесперспективность в работе, приводя на деле к бесплановости всю работу и дезорганизуя выполнение программных заданий.</w:t>
      </w:r>
    </w:p>
    <w:p w14:paraId="1B29001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вопрос неоднократно поднимавшийся как в ВАО, так и ГУАП до последнего времени не получил окончательного и четкого разрешения и организационно-финансовые мероприятия по данному заводу оказались крайне незначительными и не обеспечили укрепление завода в целом (2305).</w:t>
      </w:r>
    </w:p>
    <w:p w14:paraId="0EF511F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этим опытные работы по самолетостроению на заводе, проводящиеся под непосредственным практическим руководством ГК и директора з-да тов. Калинина - наткнулись на некоторое сопротивление ряда специалистов Харьковского Авиа Института, а также и самого завода в конструировании нового вида тяжелого с-та, породив в результате длительную склоку и юеспринципную борьбу, возглавляемую как бывш. Работниками Авиазавода, так и работниками ХАИ (Александров, Котляренко, Нейман и др.) вредно отразившуюся на производственной работе ХАЗа. Благодаря этому был создан повод к заявлению, поданному группой и ХАЗа (все 18 чел. Являются ответственными техническими специалистами завода), направленному фактически к подрыву авторитета директора тов. Калинина и его работы по организации как серийного, так и опытного пр-ва...</w:t>
      </w:r>
    </w:p>
    <w:p w14:paraId="6ABF705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товно-хозяйственных работников (Петров). Одновременно тов. Калинин как ГК допустил уход некоторых ценных специалистов с завода (Беннинг, Нейман).</w:t>
      </w:r>
    </w:p>
    <w:p w14:paraId="4D44E51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Руководство же ГУАП не уделяло нужного внимания этому заводу, не обеспечило систематического и планомерного руководства.</w:t>
      </w:r>
    </w:p>
    <w:p w14:paraId="67155B0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Парторнизация завода не организовала своевременной должной борьбы с нездоровой обстановкой на заводе, не мобилизовала в должной мере заводской коллектив на выполнение поставленных перед заводом задач, а наоборот, быв. Секретарь партколлектива завода тов. Юфа ввязался в склоку, чем усугубил положение на заводе.</w:t>
      </w:r>
    </w:p>
    <w:p w14:paraId="3951F3C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Дзержинский РПК будучи осведомленным о склоке и о заявлении специалистов через члена бюро РПК т. Котляренко не обеспечил своевыременного раскрытия перед массами завода корней происхождения заявления. 18 специалистов и сложившейся обстановки на заводе, ограничиваясь постановкой общих докладов директора завода тов. Калинина на бюро РПК, благодаря чему нездоровая обстановка на заводе продолжалась.</w:t>
      </w:r>
    </w:p>
    <w:p w14:paraId="180324F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из этого Президиум ЦКК и Коллегия НК РКИ УССР постановляет:</w:t>
      </w:r>
    </w:p>
    <w:p w14:paraId="4BAEE11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Предложить директору завода К.А.К.:</w:t>
      </w:r>
    </w:p>
    <w:p w14:paraId="0EFF024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принять реальные меры к снижению с/с продукции, снижению брака, ликвидировать простои и прогулы на основе укрепления внутризаводской дисциплины и повышения производительности труда,</w:t>
      </w:r>
    </w:p>
    <w:p w14:paraId="680666F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переработать и установить правильный технологический процесс серийного производства, технормирование и планировани,</w:t>
      </w:r>
    </w:p>
    <w:p w14:paraId="58A89BB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укрепить рационализаторскую работу на заводе, привлекая к этой работе ИТР завода, широко практикуя производственные и технические совещания на заводе в целом, так и в цехах и отделах,</w:t>
      </w:r>
    </w:p>
    <w:p w14:paraId="5769DB9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разграничить финансирование завода по серийному и опытному производству отдельно, не допуская смешивания отпускаемых кредитов и их расходование,</w:t>
      </w:r>
    </w:p>
    <w:p w14:paraId="13195D1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произвести расчистку счетов, упорядочив работу бухгалтерии завода,</w:t>
      </w:r>
    </w:p>
    <w:p w14:paraId="4F13ED4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совместно с бюро партколлегии и завкомов пересмотреть кадры техработников, сняв с руководящей работы лиц, проявивших саботаж в постройке К-7 и вносящих дезорганизацию в работу завода, обеспечив всеми мерами нужные темпы со стороны работников завода - для своевременного окончания работ по К-7 и выполнении программных заданий в целом.</w:t>
      </w:r>
    </w:p>
    <w:p w14:paraId="4A838F8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 линии Харьковского горпарткома и Дзержинского РПК принять реальные меры с оздоровлению обстановки на заводе, как путем укрепления руководящих кадров. Могущих обеспечить помощь директору завода тов. Калинину и разгрузить его от повседневных административно-хозяйственных вопросов, так и путем широкой мобилизации всего заводского коллектива на преолдоление имеющихся прорывов на заводе и ликвидацию нездоровых тенденций со стороны ряда работников завода, обеспечив безусловную повседневную борьбу за выполнение промфинплана и своевременное окончание постройки с-та К-7</w:t>
      </w:r>
    </w:p>
    <w:p w14:paraId="3426A8E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За небрежное и халатное отношение к постановки производства, приводящую к срыву программы работ по серийному производству ХАЗ б. ГИ тов. Петрову - объявить строгий выговор, подтвердив правильность решения о его снятии с работы.</w:t>
      </w:r>
    </w:p>
    <w:p w14:paraId="4A2A84D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Указать директору з-да тов. Калинину на недостаточную организацию работы по производству и слабую мобилизацию с его стороны технических работников на выполнение производственной программы, обязав его принять меры по правильной расстановке кадров и экономному рсходованию средств.</w:t>
      </w:r>
    </w:p>
    <w:p w14:paraId="5C377E5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Поручить Харьковской горКК привлечь к партийной ответственности работников ХАИ тт. Котляренко (член бюро РПК и члена ГПК) и Александрова за нездоровую тенденцию мешатьт работе ХАЗа, за создание склочной обстановки на заводе, направленной против т. Калинина и фактически подрывающих тем самым успешное выполнение работ по с-ту К-7</w:t>
      </w:r>
    </w:p>
    <w:p w14:paraId="57F736C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Просить ЦКК-НК РКИ СССР:</w:t>
      </w:r>
    </w:p>
    <w:p w14:paraId="41FC982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обязать ГУАП в срочном порядке окончательно определтить дальнейшее сушествование ХАЗЮ как завода опытного самолетостроения, с необходимым производством с-тов, обеспечив ему необходимую реконструкцию, направленную в сторону создания необходимого специального лабораторного оборудования для исследовательских работ, с учетом использования этого завода также в интересах оборонных мероприятий.</w:t>
      </w:r>
    </w:p>
    <w:p w14:paraId="1266DF2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ГУАП обеспечить бесперебойное финансирование ХПЗа в связи с большими убытками, понесенными заводом (до 3 млн. руб.) дабы обеспечить выполнение его программы.</w:t>
      </w:r>
    </w:p>
    <w:p w14:paraId="0F8C793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предложить ГУАП усилить с его стороны руководство заводом, оказав практическую помощь в деле дальнейшей организации работы на заводе, исходя из необходимости укрепления данного з-да в целом (2305,74).</w:t>
      </w:r>
    </w:p>
    <w:p w14:paraId="1B142CB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7003751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16 марта 1933 г. в Италии были закончены полетные испытания первого самолета С-55, предназначенного для СССР. Второй гидросамолет С-55, который ожидается к испытаниям в самом конце марта, намечен мной для более полных испытаний (согласно наших технических условий). Этот гидросамолет будет первым (из 4-х) с килеватыми лодками. При проведенном испытании имела место некоторая авария моторов, выразившаяся в том, что перегорели обогреватели карбюраторов в силу недостаточно хорошего материала и несоответствия примененной на этот раз электросварки. Все обогреватели фирмой Изота Фраскини заменены. (3029,172-176).</w:t>
      </w:r>
    </w:p>
    <w:p w14:paraId="4FAFD7A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6EF46BB5" w14:textId="77777777" w:rsidR="00662C0F" w:rsidRPr="0044524F" w:rsidRDefault="00662C0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 18 марта 1933 г. «СССР В-3» выполнил два полёта продолжительностью 5 ч 47 мин и 7 ч 41 мин по заданию Народного комиссариа</w:t>
      </w:r>
      <w:r w:rsidRPr="0044524F">
        <w:rPr>
          <w:rFonts w:ascii="Times New Roman" w:hAnsi="Times New Roman"/>
          <w:color w:val="000000" w:themeColor="text1"/>
          <w:sz w:val="16"/>
          <w:szCs w:val="16"/>
        </w:rPr>
        <w:softHyphen/>
        <w:t>та связи для измерения напряжённости электро</w:t>
      </w:r>
      <w:r w:rsidRPr="0044524F">
        <w:rPr>
          <w:rFonts w:ascii="Times New Roman" w:hAnsi="Times New Roman"/>
          <w:color w:val="000000" w:themeColor="text1"/>
          <w:sz w:val="16"/>
          <w:szCs w:val="16"/>
        </w:rPr>
        <w:softHyphen/>
        <w:t>магнитного поля радиовещательной станции в г. Ногинске. За несколько часов он выполнил работу, на которую уходило обычно несколько недель (20120).</w:t>
      </w:r>
    </w:p>
    <w:p w14:paraId="31D4DF1D" w14:textId="77777777" w:rsidR="00662C0F" w:rsidRPr="0044524F" w:rsidRDefault="00662C0F" w:rsidP="009654CF">
      <w:pPr>
        <w:spacing w:after="0" w:line="240" w:lineRule="auto"/>
        <w:jc w:val="both"/>
        <w:rPr>
          <w:rFonts w:ascii="Times New Roman" w:hAnsi="Times New Roman"/>
          <w:color w:val="000000" w:themeColor="text1"/>
          <w:sz w:val="16"/>
          <w:szCs w:val="16"/>
        </w:rPr>
      </w:pPr>
    </w:p>
    <w:p w14:paraId="27F236CF" w14:textId="77777777" w:rsidR="00161F6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22D5BB3" w14:textId="77777777" w:rsidR="00161F61" w:rsidRPr="0044524F" w:rsidRDefault="00161F6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12393DA" w14:textId="77777777" w:rsidR="00161F61" w:rsidRPr="0044524F" w:rsidRDefault="00161F61" w:rsidP="009654CF">
      <w:pPr>
        <w:pStyle w:val="rtejustify"/>
        <w:spacing w:before="0" w:after="0"/>
        <w:rPr>
          <w:color w:val="000000" w:themeColor="text1"/>
          <w:sz w:val="16"/>
          <w:szCs w:val="16"/>
        </w:rPr>
      </w:pPr>
      <w:r w:rsidRPr="0044524F">
        <w:rPr>
          <w:rStyle w:val="af0"/>
          <w:bCs/>
          <w:i w:val="0"/>
          <w:color w:val="000000" w:themeColor="text1"/>
          <w:sz w:val="16"/>
          <w:szCs w:val="16"/>
        </w:rPr>
        <w:t>16 марта</w:t>
      </w:r>
      <w:r w:rsidRPr="0044524F">
        <w:rPr>
          <w:color w:val="000000" w:themeColor="text1"/>
          <w:sz w:val="16"/>
          <w:szCs w:val="16"/>
        </w:rPr>
        <w:t xml:space="preserve"> 1933. Постановление СТО СССР № 6сс/о «О мероприятиях по постройке спецсудов на Дальнем Востоке». (ГА РФ. Ф. Р</w:t>
      </w:r>
      <w:r w:rsidRPr="0044524F">
        <w:rPr>
          <w:color w:val="000000" w:themeColor="text1"/>
          <w:sz w:val="16"/>
          <w:szCs w:val="16"/>
        </w:rPr>
        <w:noBreakHyphen/>
        <w:t>8418. Оп. 28. Д. 1. Л. 72</w:t>
      </w:r>
      <w:r w:rsidRPr="0044524F">
        <w:rPr>
          <w:color w:val="000000" w:themeColor="text1"/>
          <w:sz w:val="16"/>
          <w:szCs w:val="16"/>
        </w:rPr>
        <w:noBreakHyphen/>
        <w:t>75) (15460).</w:t>
      </w:r>
    </w:p>
    <w:p w14:paraId="7CEC0A60" w14:textId="77777777" w:rsidR="00161F61" w:rsidRPr="0044524F" w:rsidRDefault="00161F61" w:rsidP="009654CF">
      <w:pPr>
        <w:pStyle w:val="rtejustify"/>
        <w:spacing w:before="0" w:after="0"/>
        <w:rPr>
          <w:color w:val="000000" w:themeColor="text1"/>
          <w:sz w:val="16"/>
          <w:szCs w:val="16"/>
        </w:rPr>
      </w:pPr>
    </w:p>
    <w:p w14:paraId="06571291"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5700ABC"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658A1C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марта 1933 года N 81сс. НИИ ВВС.</w:t>
      </w:r>
    </w:p>
    <w:p w14:paraId="5142C36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из плана опытного строительства, утвержден. СТО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51"/>
        <w:gridCol w:w="751"/>
        <w:gridCol w:w="751"/>
        <w:gridCol w:w="751"/>
        <w:gridCol w:w="751"/>
        <w:gridCol w:w="751"/>
        <w:gridCol w:w="751"/>
        <w:gridCol w:w="751"/>
        <w:gridCol w:w="751"/>
        <w:gridCol w:w="751"/>
        <w:gridCol w:w="751"/>
        <w:gridCol w:w="751"/>
        <w:gridCol w:w="751"/>
        <w:gridCol w:w="751"/>
        <w:gridCol w:w="751"/>
      </w:tblGrid>
      <w:tr w:rsidR="004E10C1" w:rsidRPr="0044524F" w14:paraId="1F3521E8" w14:textId="77777777">
        <w:tc>
          <w:tcPr>
            <w:tcW w:w="751" w:type="dxa"/>
          </w:tcPr>
          <w:p w14:paraId="094E3EA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Сам-ты</w:t>
            </w:r>
          </w:p>
        </w:tc>
        <w:tc>
          <w:tcPr>
            <w:tcW w:w="751" w:type="dxa"/>
          </w:tcPr>
          <w:p w14:paraId="19C63B0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Сроки</w:t>
            </w:r>
          </w:p>
        </w:tc>
        <w:tc>
          <w:tcPr>
            <w:tcW w:w="751" w:type="dxa"/>
          </w:tcPr>
          <w:p w14:paraId="64D425E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w:t>
            </w:r>
          </w:p>
        </w:tc>
        <w:tc>
          <w:tcPr>
            <w:tcW w:w="751" w:type="dxa"/>
          </w:tcPr>
          <w:p w14:paraId="39BF1A5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w:t>
            </w:r>
          </w:p>
        </w:tc>
        <w:tc>
          <w:tcPr>
            <w:tcW w:w="751" w:type="dxa"/>
          </w:tcPr>
          <w:p w14:paraId="7363168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w:t>
            </w:r>
          </w:p>
        </w:tc>
        <w:tc>
          <w:tcPr>
            <w:tcW w:w="751" w:type="dxa"/>
          </w:tcPr>
          <w:p w14:paraId="3B645AD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w:t>
            </w:r>
          </w:p>
        </w:tc>
        <w:tc>
          <w:tcPr>
            <w:tcW w:w="751" w:type="dxa"/>
          </w:tcPr>
          <w:p w14:paraId="13FCBDB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w:t>
            </w:r>
          </w:p>
        </w:tc>
        <w:tc>
          <w:tcPr>
            <w:tcW w:w="751" w:type="dxa"/>
          </w:tcPr>
          <w:p w14:paraId="6206313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w:t>
            </w:r>
          </w:p>
        </w:tc>
        <w:tc>
          <w:tcPr>
            <w:tcW w:w="751" w:type="dxa"/>
          </w:tcPr>
          <w:p w14:paraId="229B569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w:t>
            </w:r>
          </w:p>
        </w:tc>
        <w:tc>
          <w:tcPr>
            <w:tcW w:w="751" w:type="dxa"/>
          </w:tcPr>
          <w:p w14:paraId="3C5499A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w:t>
            </w:r>
          </w:p>
        </w:tc>
        <w:tc>
          <w:tcPr>
            <w:tcW w:w="751" w:type="dxa"/>
          </w:tcPr>
          <w:p w14:paraId="149725C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w:t>
            </w:r>
          </w:p>
        </w:tc>
        <w:tc>
          <w:tcPr>
            <w:tcW w:w="751" w:type="dxa"/>
          </w:tcPr>
          <w:p w14:paraId="0591578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w:t>
            </w:r>
          </w:p>
        </w:tc>
        <w:tc>
          <w:tcPr>
            <w:tcW w:w="751" w:type="dxa"/>
          </w:tcPr>
          <w:p w14:paraId="33D6AE4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Матер.</w:t>
            </w:r>
          </w:p>
        </w:tc>
        <w:tc>
          <w:tcPr>
            <w:tcW w:w="751" w:type="dxa"/>
          </w:tcPr>
          <w:p w14:paraId="4DE8BF6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Какие</w:t>
            </w:r>
          </w:p>
        </w:tc>
        <w:tc>
          <w:tcPr>
            <w:tcW w:w="751" w:type="dxa"/>
          </w:tcPr>
          <w:p w14:paraId="75036B3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w:t>
            </w:r>
          </w:p>
        </w:tc>
      </w:tr>
      <w:tr w:rsidR="004E10C1" w:rsidRPr="0044524F" w14:paraId="49272824" w14:textId="77777777">
        <w:tc>
          <w:tcPr>
            <w:tcW w:w="751" w:type="dxa"/>
          </w:tcPr>
          <w:p w14:paraId="54627DB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17EF8A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w:t>
            </w:r>
          </w:p>
        </w:tc>
        <w:tc>
          <w:tcPr>
            <w:tcW w:w="751" w:type="dxa"/>
          </w:tcPr>
          <w:p w14:paraId="5F15161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6FCABB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w:t>
            </w:r>
          </w:p>
        </w:tc>
        <w:tc>
          <w:tcPr>
            <w:tcW w:w="751" w:type="dxa"/>
          </w:tcPr>
          <w:p w14:paraId="6654A35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подъема</w:t>
            </w:r>
          </w:p>
        </w:tc>
        <w:tc>
          <w:tcPr>
            <w:tcW w:w="751" w:type="dxa"/>
          </w:tcPr>
          <w:p w14:paraId="580BE16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751" w:type="dxa"/>
          </w:tcPr>
          <w:p w14:paraId="5AD221B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w:t>
            </w:r>
          </w:p>
        </w:tc>
        <w:tc>
          <w:tcPr>
            <w:tcW w:w="751" w:type="dxa"/>
          </w:tcPr>
          <w:p w14:paraId="4A64AE1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w:t>
            </w:r>
          </w:p>
        </w:tc>
        <w:tc>
          <w:tcPr>
            <w:tcW w:w="751" w:type="dxa"/>
          </w:tcPr>
          <w:p w14:paraId="13779A2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w:t>
            </w:r>
          </w:p>
        </w:tc>
        <w:tc>
          <w:tcPr>
            <w:tcW w:w="751" w:type="dxa"/>
          </w:tcPr>
          <w:p w14:paraId="6E62607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w:t>
            </w:r>
          </w:p>
        </w:tc>
        <w:tc>
          <w:tcPr>
            <w:tcW w:w="751" w:type="dxa"/>
          </w:tcPr>
          <w:p w14:paraId="4F1B0D2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BD4178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w:t>
            </w:r>
          </w:p>
        </w:tc>
        <w:tc>
          <w:tcPr>
            <w:tcW w:w="751" w:type="dxa"/>
          </w:tcPr>
          <w:p w14:paraId="7297CD7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4B2413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с-ты</w:t>
            </w:r>
          </w:p>
        </w:tc>
        <w:tc>
          <w:tcPr>
            <w:tcW w:w="751" w:type="dxa"/>
          </w:tcPr>
          <w:p w14:paraId="057DE0D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A0C98D" w14:textId="77777777">
        <w:tc>
          <w:tcPr>
            <w:tcW w:w="751" w:type="dxa"/>
          </w:tcPr>
          <w:p w14:paraId="7E3BC1F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58D3F9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w:t>
            </w:r>
          </w:p>
        </w:tc>
        <w:tc>
          <w:tcPr>
            <w:tcW w:w="751" w:type="dxa"/>
          </w:tcPr>
          <w:p w14:paraId="26CCED9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EC408C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p>
        </w:tc>
        <w:tc>
          <w:tcPr>
            <w:tcW w:w="751" w:type="dxa"/>
          </w:tcPr>
          <w:p w14:paraId="6192BB3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p>
        </w:tc>
        <w:tc>
          <w:tcPr>
            <w:tcW w:w="751" w:type="dxa"/>
          </w:tcPr>
          <w:p w14:paraId="552470B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205DAF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5AF6EC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638E7B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перегр.</w:t>
            </w:r>
          </w:p>
        </w:tc>
        <w:tc>
          <w:tcPr>
            <w:tcW w:w="751" w:type="dxa"/>
          </w:tcPr>
          <w:p w14:paraId="201E05C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груза</w:t>
            </w:r>
          </w:p>
        </w:tc>
        <w:tc>
          <w:tcPr>
            <w:tcW w:w="751" w:type="dxa"/>
          </w:tcPr>
          <w:p w14:paraId="3AD0D39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8527DC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FB03C6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709C75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замен.</w:t>
            </w:r>
          </w:p>
        </w:tc>
        <w:tc>
          <w:tcPr>
            <w:tcW w:w="751" w:type="dxa"/>
          </w:tcPr>
          <w:p w14:paraId="4D30DD2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E2CE5BF" w14:textId="77777777">
        <w:tc>
          <w:tcPr>
            <w:tcW w:w="751" w:type="dxa"/>
          </w:tcPr>
          <w:p w14:paraId="416122C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67F1B9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w:t>
            </w:r>
          </w:p>
        </w:tc>
        <w:tc>
          <w:tcPr>
            <w:tcW w:w="751" w:type="dxa"/>
          </w:tcPr>
          <w:p w14:paraId="1552ECD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953C9C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высоте</w:t>
            </w:r>
          </w:p>
        </w:tc>
        <w:tc>
          <w:tcPr>
            <w:tcW w:w="751" w:type="dxa"/>
          </w:tcPr>
          <w:p w14:paraId="0E714F9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высоту</w:t>
            </w:r>
          </w:p>
        </w:tc>
        <w:tc>
          <w:tcPr>
            <w:tcW w:w="751" w:type="dxa"/>
          </w:tcPr>
          <w:p w14:paraId="2C07C58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130915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F43DE1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9ACEAE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9BBACC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FDF3AF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1E6AB5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948019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A73028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 </w:t>
            </w:r>
          </w:p>
        </w:tc>
        <w:tc>
          <w:tcPr>
            <w:tcW w:w="751" w:type="dxa"/>
          </w:tcPr>
          <w:p w14:paraId="2934159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619E64C" w14:textId="77777777">
        <w:tc>
          <w:tcPr>
            <w:tcW w:w="751" w:type="dxa"/>
          </w:tcPr>
          <w:p w14:paraId="2B76AA7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275E45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FC6441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42ECF5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2D53B2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94B65C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C8CE4A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42DA91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6BC0AC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6F65C1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436E7F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96DEF3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97F97F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EF6411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82BDF1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выходе</w:t>
            </w:r>
          </w:p>
        </w:tc>
      </w:tr>
      <w:tr w:rsidR="004E10C1" w:rsidRPr="0044524F" w14:paraId="62C1A1B6" w14:textId="77777777">
        <w:tc>
          <w:tcPr>
            <w:tcW w:w="751" w:type="dxa"/>
          </w:tcPr>
          <w:p w14:paraId="7AA4B7E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Д110М34</w:t>
            </w:r>
          </w:p>
        </w:tc>
        <w:tc>
          <w:tcPr>
            <w:tcW w:w="751" w:type="dxa"/>
          </w:tcPr>
          <w:p w14:paraId="1C2F8E3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1.06.33</w:t>
            </w:r>
          </w:p>
        </w:tc>
        <w:tc>
          <w:tcPr>
            <w:tcW w:w="751" w:type="dxa"/>
          </w:tcPr>
          <w:p w14:paraId="676F3BC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1" w:type="dxa"/>
          </w:tcPr>
          <w:p w14:paraId="315527C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751" w:type="dxa"/>
          </w:tcPr>
          <w:p w14:paraId="2AE4832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1" w:type="dxa"/>
          </w:tcPr>
          <w:p w14:paraId="1B88DC1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751" w:type="dxa"/>
          </w:tcPr>
          <w:p w14:paraId="6C70458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751" w:type="dxa"/>
          </w:tcPr>
          <w:p w14:paraId="2A2850D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751" w:type="dxa"/>
          </w:tcPr>
          <w:p w14:paraId="67B136A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1" w:type="dxa"/>
          </w:tcPr>
          <w:p w14:paraId="148B28A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c>
          <w:tcPr>
            <w:tcW w:w="751" w:type="dxa"/>
          </w:tcPr>
          <w:p w14:paraId="39A40D3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1" w:type="dxa"/>
          </w:tcPr>
          <w:p w14:paraId="659B38A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1" w:type="dxa"/>
          </w:tcPr>
          <w:p w14:paraId="0ED8C0A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751" w:type="dxa"/>
          </w:tcPr>
          <w:p w14:paraId="2C6273D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80213E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w:t>
            </w:r>
          </w:p>
        </w:tc>
      </w:tr>
      <w:tr w:rsidR="004E10C1" w:rsidRPr="0044524F" w14:paraId="014718D9" w14:textId="77777777">
        <w:tc>
          <w:tcPr>
            <w:tcW w:w="751" w:type="dxa"/>
          </w:tcPr>
          <w:p w14:paraId="3965B07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D2E930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ECC35C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B39291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751" w:type="dxa"/>
          </w:tcPr>
          <w:p w14:paraId="2AEAC1A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B14238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EA2945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E21488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DE795F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8701BE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FEB9FE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D62F85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8DD6F0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1F9487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35CFC4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постр.</w:t>
            </w:r>
          </w:p>
        </w:tc>
      </w:tr>
      <w:tr w:rsidR="004E10C1" w:rsidRPr="0044524F" w14:paraId="7F9EC0AE" w14:textId="77777777">
        <w:tc>
          <w:tcPr>
            <w:tcW w:w="751" w:type="dxa"/>
          </w:tcPr>
          <w:p w14:paraId="1F90E34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46BAEE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220A06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8B75E0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D9E643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077268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60D40B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57961B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CA64EC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329AD1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0E33CF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8A71DE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E342ED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2F6DAB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331268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ВВА</w:t>
            </w:r>
          </w:p>
        </w:tc>
      </w:tr>
      <w:tr w:rsidR="004E10C1" w:rsidRPr="0044524F" w14:paraId="35DE768C" w14:textId="77777777">
        <w:tc>
          <w:tcPr>
            <w:tcW w:w="751" w:type="dxa"/>
          </w:tcPr>
          <w:p w14:paraId="0852DEA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 М44</w:t>
            </w:r>
          </w:p>
        </w:tc>
        <w:tc>
          <w:tcPr>
            <w:tcW w:w="751" w:type="dxa"/>
          </w:tcPr>
          <w:p w14:paraId="6E3487D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1.12.34</w:t>
            </w:r>
          </w:p>
        </w:tc>
        <w:tc>
          <w:tcPr>
            <w:tcW w:w="751" w:type="dxa"/>
          </w:tcPr>
          <w:p w14:paraId="704CB89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751" w:type="dxa"/>
          </w:tcPr>
          <w:p w14:paraId="4A5194F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751" w:type="dxa"/>
          </w:tcPr>
          <w:p w14:paraId="36CD0FD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1" w:type="dxa"/>
          </w:tcPr>
          <w:p w14:paraId="73E6715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w:t>
            </w:r>
          </w:p>
        </w:tc>
        <w:tc>
          <w:tcPr>
            <w:tcW w:w="751" w:type="dxa"/>
          </w:tcPr>
          <w:p w14:paraId="6A97118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70-80</w:t>
            </w:r>
          </w:p>
        </w:tc>
        <w:tc>
          <w:tcPr>
            <w:tcW w:w="751" w:type="dxa"/>
          </w:tcPr>
          <w:p w14:paraId="40899E0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751" w:type="dxa"/>
          </w:tcPr>
          <w:p w14:paraId="7A7F33E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751" w:type="dxa"/>
          </w:tcPr>
          <w:p w14:paraId="7CF7E15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c>
          <w:tcPr>
            <w:tcW w:w="751" w:type="dxa"/>
          </w:tcPr>
          <w:p w14:paraId="4C8CA32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w:t>
            </w:r>
          </w:p>
        </w:tc>
        <w:tc>
          <w:tcPr>
            <w:tcW w:w="751" w:type="dxa"/>
          </w:tcPr>
          <w:p w14:paraId="4A5B828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250-500</w:t>
            </w:r>
          </w:p>
        </w:tc>
        <w:tc>
          <w:tcPr>
            <w:tcW w:w="751" w:type="dxa"/>
          </w:tcPr>
          <w:p w14:paraId="33AA745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751" w:type="dxa"/>
          </w:tcPr>
          <w:p w14:paraId="2D3D1F0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К-7</w:t>
            </w:r>
          </w:p>
        </w:tc>
        <w:tc>
          <w:tcPr>
            <w:tcW w:w="751" w:type="dxa"/>
          </w:tcPr>
          <w:p w14:paraId="1CDBC34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AB81D27" w14:textId="77777777">
        <w:tc>
          <w:tcPr>
            <w:tcW w:w="751" w:type="dxa"/>
          </w:tcPr>
          <w:p w14:paraId="32769BD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B45962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аэродр.</w:t>
            </w:r>
          </w:p>
        </w:tc>
        <w:tc>
          <w:tcPr>
            <w:tcW w:w="751" w:type="dxa"/>
          </w:tcPr>
          <w:p w14:paraId="079DD9C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DB8034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761A04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74F224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1E1FC9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5A50D8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80566A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240411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60D746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w:t>
            </w:r>
          </w:p>
        </w:tc>
        <w:tc>
          <w:tcPr>
            <w:tcW w:w="751" w:type="dxa"/>
          </w:tcPr>
          <w:p w14:paraId="1D369E7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1000-2000</w:t>
            </w:r>
          </w:p>
        </w:tc>
        <w:tc>
          <w:tcPr>
            <w:tcW w:w="751" w:type="dxa"/>
          </w:tcPr>
          <w:p w14:paraId="5369B39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91B6D7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C433E4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69F2C62" w14:textId="77777777">
        <w:tc>
          <w:tcPr>
            <w:tcW w:w="751" w:type="dxa"/>
          </w:tcPr>
          <w:p w14:paraId="14433D5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294A96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C332E0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27AA8E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6AF5DC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0AD27F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DE2B03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C8F933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B0E647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231F74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1E795B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пушки</w:t>
            </w:r>
          </w:p>
        </w:tc>
        <w:tc>
          <w:tcPr>
            <w:tcW w:w="751" w:type="dxa"/>
          </w:tcPr>
          <w:p w14:paraId="4C6849A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7DF5FC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F69CDF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90EC4C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AFF5387" w14:textId="77777777">
        <w:tc>
          <w:tcPr>
            <w:tcW w:w="751" w:type="dxa"/>
          </w:tcPr>
          <w:p w14:paraId="7376604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 7М34</w:t>
            </w:r>
          </w:p>
        </w:tc>
        <w:tc>
          <w:tcPr>
            <w:tcW w:w="751" w:type="dxa"/>
          </w:tcPr>
          <w:p w14:paraId="1F5851D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1.05.33</w:t>
            </w:r>
          </w:p>
        </w:tc>
        <w:tc>
          <w:tcPr>
            <w:tcW w:w="751" w:type="dxa"/>
          </w:tcPr>
          <w:p w14:paraId="1A4995F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1" w:type="dxa"/>
          </w:tcPr>
          <w:p w14:paraId="140B79F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213</w:t>
            </w:r>
          </w:p>
        </w:tc>
        <w:tc>
          <w:tcPr>
            <w:tcW w:w="751" w:type="dxa"/>
          </w:tcPr>
          <w:p w14:paraId="175343B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1" w:type="dxa"/>
          </w:tcPr>
          <w:p w14:paraId="7059796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3650</w:t>
            </w:r>
          </w:p>
        </w:tc>
        <w:tc>
          <w:tcPr>
            <w:tcW w:w="751" w:type="dxa"/>
          </w:tcPr>
          <w:p w14:paraId="3394426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1" w:type="dxa"/>
          </w:tcPr>
          <w:p w14:paraId="59C47AB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751" w:type="dxa"/>
          </w:tcPr>
          <w:p w14:paraId="61A42CF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51" w:type="dxa"/>
          </w:tcPr>
          <w:p w14:paraId="725D2CC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751" w:type="dxa"/>
          </w:tcPr>
          <w:p w14:paraId="7B8BF1E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и</w:t>
            </w:r>
          </w:p>
        </w:tc>
        <w:tc>
          <w:tcPr>
            <w:tcW w:w="751" w:type="dxa"/>
          </w:tcPr>
          <w:p w14:paraId="42CD52A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250-500</w:t>
            </w:r>
          </w:p>
        </w:tc>
        <w:tc>
          <w:tcPr>
            <w:tcW w:w="751" w:type="dxa"/>
          </w:tcPr>
          <w:p w14:paraId="59E817F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751" w:type="dxa"/>
          </w:tcPr>
          <w:p w14:paraId="37EB8BD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26154C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Гросс</w:t>
            </w:r>
          </w:p>
        </w:tc>
      </w:tr>
      <w:tr w:rsidR="004E10C1" w:rsidRPr="0044524F" w14:paraId="5A2D1187" w14:textId="77777777">
        <w:tc>
          <w:tcPr>
            <w:tcW w:w="751" w:type="dxa"/>
          </w:tcPr>
          <w:p w14:paraId="4034431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FFE125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аэродр.</w:t>
            </w:r>
          </w:p>
        </w:tc>
        <w:tc>
          <w:tcPr>
            <w:tcW w:w="751" w:type="dxa"/>
          </w:tcPr>
          <w:p w14:paraId="411320D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5DF0A7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8A1E3A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5A6743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DC6902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594AD9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3D34A2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BD06FA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w:t>
            </w:r>
          </w:p>
        </w:tc>
        <w:tc>
          <w:tcPr>
            <w:tcW w:w="751" w:type="dxa"/>
          </w:tcPr>
          <w:p w14:paraId="1658C12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w:t>
            </w:r>
          </w:p>
        </w:tc>
        <w:tc>
          <w:tcPr>
            <w:tcW w:w="751" w:type="dxa"/>
          </w:tcPr>
          <w:p w14:paraId="65F59F7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751" w:type="dxa"/>
          </w:tcPr>
          <w:p w14:paraId="1AF3BD4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3B1EC5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BC5B13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9480A1B" w14:textId="77777777">
        <w:tc>
          <w:tcPr>
            <w:tcW w:w="751" w:type="dxa"/>
          </w:tcPr>
          <w:p w14:paraId="0E0653D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3CC2DB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B03671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C9645A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BFBEEC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7B03A4D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5D81C4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EC0DA8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78C62F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FBE0D4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9102B5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w:t>
            </w:r>
          </w:p>
        </w:tc>
        <w:tc>
          <w:tcPr>
            <w:tcW w:w="751" w:type="dxa"/>
          </w:tcPr>
          <w:p w14:paraId="0C5AAA0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D3A969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BAF8E2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38ED0E3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8C9F5CD" w14:textId="77777777">
        <w:tc>
          <w:tcPr>
            <w:tcW w:w="751" w:type="dxa"/>
          </w:tcPr>
          <w:p w14:paraId="5BB8A6B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5E1A77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4CE2049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15D669C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DA499C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EAB969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7BD2D5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5F825B6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6FA03C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06F659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C9A626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пушки</w:t>
            </w:r>
          </w:p>
        </w:tc>
        <w:tc>
          <w:tcPr>
            <w:tcW w:w="751" w:type="dxa"/>
          </w:tcPr>
          <w:p w14:paraId="39BEA50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61CD9E3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283B5EF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 w:type="dxa"/>
          </w:tcPr>
          <w:p w14:paraId="08B6683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56E7AD2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(3029,171).</w:t>
      </w:r>
    </w:p>
    <w:p w14:paraId="10EAE91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1EFDFAF8"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марта 1933 г. Постановление РВС СССР от установило новый срок сдачи самолёта ДИП на государственные испытания — 1 июня 1934 г. (15823).</w:t>
      </w:r>
    </w:p>
    <w:p w14:paraId="1091B21F"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406B0150"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17 марта</w:t>
      </w:r>
      <w:r w:rsidRPr="0044524F">
        <w:rPr>
          <w:rFonts w:ascii="Times New Roman" w:hAnsi="Times New Roman"/>
          <w:color w:val="000000" w:themeColor="text1"/>
          <w:sz w:val="16"/>
          <w:szCs w:val="16"/>
        </w:rPr>
        <w:t xml:space="preserve"> в 1933 году сформирована особая сводная авиаэскадрилья имени М.Горького, командир - Михаил Кольцов, журналист (15071).</w:t>
      </w:r>
    </w:p>
    <w:p w14:paraId="641E40CA"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77A8605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марта 1933 была сформирована агитэскадрилья МГ (356,422) - Особая сводная агатационная эскадрилья имени Максима Горького - в ознаменование 40 летия литературной деятельности. Командиром назначили М.Е.Кольцова, а зам. по летной части - Е.Ф.Бурче (438,640).</w:t>
      </w:r>
    </w:p>
    <w:p w14:paraId="1184FD7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689977BE" w14:textId="77777777" w:rsidR="00896025" w:rsidRPr="0044524F" w:rsidRDefault="008960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марта 1033 г. в ГВД сформирована "Особая сводная агитационная эскадрилья имени_Максима Горького". Эскадрилия сформирована в ознамено</w:t>
      </w:r>
      <w:r w:rsidRPr="0044524F">
        <w:rPr>
          <w:rFonts w:ascii="Times New Roman" w:hAnsi="Times New Roman"/>
          <w:color w:val="000000" w:themeColor="text1"/>
          <w:sz w:val="16"/>
          <w:szCs w:val="16"/>
        </w:rPr>
        <w:softHyphen/>
        <w:t>вание 40-летия литературной деятельности А.М.Горького специально для агитполетов. В состав ее вошло несколько разнотипных самолетов, начиная от легкого У-2 и кончая флагманским гигантом АНТ-14 "Правда».</w:t>
      </w:r>
    </w:p>
    <w:p w14:paraId="629392CE" w14:textId="4951B312" w:rsidR="00896025" w:rsidRPr="0044524F" w:rsidRDefault="008960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Позднее в эскадрилию должен был войти строившийся гигант АНТ-20 "Максим Горький". Командиром эскадрилий был назначен известный журналист Михаил Ефимович Кольцов, авторитет которого во многом способствовал ее успеху.</w:t>
      </w:r>
    </w:p>
    <w:p w14:paraId="5273E06C" w14:textId="77777777" w:rsidR="00896025" w:rsidRPr="0044524F" w:rsidRDefault="0089602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/"Гражданская авиация", 1933, № 4; "Самолет", 1937, № 5/ (23370).</w:t>
      </w:r>
    </w:p>
    <w:p w14:paraId="4275652D" w14:textId="77777777" w:rsidR="00896025" w:rsidRPr="0044524F" w:rsidRDefault="00896025" w:rsidP="009654CF">
      <w:pPr>
        <w:spacing w:after="0" w:line="240" w:lineRule="auto"/>
        <w:jc w:val="both"/>
        <w:rPr>
          <w:rFonts w:ascii="Times New Roman" w:hAnsi="Times New Roman"/>
          <w:color w:val="000000" w:themeColor="text1"/>
          <w:sz w:val="16"/>
          <w:szCs w:val="16"/>
        </w:rPr>
      </w:pPr>
    </w:p>
    <w:p w14:paraId="5DB1C136" w14:textId="77777777" w:rsidR="004F587F" w:rsidRPr="0044524F" w:rsidRDefault="004F587F"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17 марта 1933 г. вышел при</w:t>
      </w:r>
      <w:r w:rsidRPr="0044524F">
        <w:rPr>
          <w:rFonts w:ascii="Times New Roman" w:hAnsi="Times New Roman"/>
          <w:color w:val="000000" w:themeColor="text1"/>
          <w:sz w:val="16"/>
          <w:szCs w:val="16"/>
          <w:lang w:eastAsia="ru-RU" w:bidi="ru-RU"/>
        </w:rPr>
        <w:softHyphen/>
        <w:t>каз по Гражданскому Воздушному Флоту о создании специальной агитэскадрильи имени Максима Горького.</w:t>
      </w:r>
    </w:p>
    <w:p w14:paraId="074E0CE3"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ПРИКАЗ ПО ГРАЖДАНСКОМУ ВОЗДУШНОМУ ФЛОТУ</w:t>
      </w:r>
    </w:p>
    <w:p w14:paraId="585112E4"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г. Москва №332 17марта 1933 г.</w:t>
      </w:r>
    </w:p>
    <w:p w14:paraId="394E9809"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О СФОРМИРОВАНИИ ОСОБОЙ СВОДНОЙ АВИАНИОННО-ВОЗДУХОПЛАВАТЕЛЬНОЙ АГИТЭСКАДРИЛЬИ им. МАКСИМА ГОРЬКОГО</w:t>
      </w:r>
    </w:p>
    <w:p w14:paraId="172B57A1"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По инициативе работников Журналь</w:t>
      </w:r>
      <w:r w:rsidRPr="0044524F">
        <w:rPr>
          <w:rFonts w:ascii="Times New Roman" w:hAnsi="Times New Roman"/>
          <w:color w:val="000000" w:themeColor="text1"/>
          <w:sz w:val="16"/>
          <w:szCs w:val="16"/>
          <w:lang w:eastAsia="ru-RU" w:bidi="ru-RU"/>
        </w:rPr>
        <w:softHyphen/>
        <w:t>но-газетного объединения в дни 40-летнего юбилея литературной деятельности вели</w:t>
      </w:r>
      <w:r w:rsidRPr="0044524F">
        <w:rPr>
          <w:rFonts w:ascii="Times New Roman" w:hAnsi="Times New Roman"/>
          <w:color w:val="000000" w:themeColor="text1"/>
          <w:sz w:val="16"/>
          <w:szCs w:val="16"/>
          <w:lang w:eastAsia="ru-RU" w:bidi="ru-RU"/>
        </w:rPr>
        <w:softHyphen/>
        <w:t>кого пролетарского писателя Алексея Мак</w:t>
      </w:r>
      <w:r w:rsidRPr="0044524F">
        <w:rPr>
          <w:rFonts w:ascii="Times New Roman" w:hAnsi="Times New Roman"/>
          <w:color w:val="000000" w:themeColor="text1"/>
          <w:sz w:val="16"/>
          <w:szCs w:val="16"/>
          <w:lang w:eastAsia="ru-RU" w:bidi="ru-RU"/>
        </w:rPr>
        <w:softHyphen/>
        <w:t>симовича Горького начата кампания по со</w:t>
      </w:r>
      <w:r w:rsidRPr="0044524F">
        <w:rPr>
          <w:rFonts w:ascii="Times New Roman" w:hAnsi="Times New Roman"/>
          <w:color w:val="000000" w:themeColor="text1"/>
          <w:sz w:val="16"/>
          <w:szCs w:val="16"/>
          <w:lang w:eastAsia="ru-RU" w:bidi="ru-RU"/>
        </w:rPr>
        <w:softHyphen/>
        <w:t>оружению на добровольные взносы трудя</w:t>
      </w:r>
      <w:r w:rsidRPr="0044524F">
        <w:rPr>
          <w:rFonts w:ascii="Times New Roman" w:hAnsi="Times New Roman"/>
          <w:color w:val="000000" w:themeColor="text1"/>
          <w:sz w:val="16"/>
          <w:szCs w:val="16"/>
          <w:lang w:eastAsia="ru-RU" w:bidi="ru-RU"/>
        </w:rPr>
        <w:softHyphen/>
        <w:t>щихся агитсамолета-гиганта « Максим Горький».</w:t>
      </w:r>
    </w:p>
    <w:p w14:paraId="74CD8477"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целях скорейшего претворения в жизнь выдвинутой идеи и широкого развер</w:t>
      </w:r>
      <w:r w:rsidRPr="0044524F">
        <w:rPr>
          <w:rFonts w:ascii="Times New Roman" w:hAnsi="Times New Roman"/>
          <w:color w:val="000000" w:themeColor="text1"/>
          <w:sz w:val="16"/>
          <w:szCs w:val="16"/>
          <w:lang w:eastAsia="ru-RU" w:bidi="ru-RU"/>
        </w:rPr>
        <w:softHyphen/>
        <w:t>тывания пропагандистской и агитацион</w:t>
      </w:r>
      <w:r w:rsidRPr="0044524F">
        <w:rPr>
          <w:rFonts w:ascii="Times New Roman" w:hAnsi="Times New Roman"/>
          <w:color w:val="000000" w:themeColor="text1"/>
          <w:sz w:val="16"/>
          <w:szCs w:val="16"/>
          <w:lang w:eastAsia="ru-RU" w:bidi="ru-RU"/>
        </w:rPr>
        <w:softHyphen/>
        <w:t>ной работы — приказываю:</w:t>
      </w:r>
    </w:p>
    <w:p w14:paraId="0B5FC64A"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 Сформировать при коллегии Аэро</w:t>
      </w:r>
      <w:r w:rsidRPr="0044524F">
        <w:rPr>
          <w:rFonts w:ascii="Times New Roman" w:hAnsi="Times New Roman"/>
          <w:color w:val="000000" w:themeColor="text1"/>
          <w:sz w:val="16"/>
          <w:szCs w:val="16"/>
          <w:lang w:eastAsia="ru-RU" w:bidi="ru-RU"/>
        </w:rPr>
        <w:softHyphen/>
        <w:t>флота Особую сводную агитационно-воз</w:t>
      </w:r>
      <w:r w:rsidRPr="0044524F">
        <w:rPr>
          <w:rFonts w:ascii="Times New Roman" w:hAnsi="Times New Roman"/>
          <w:color w:val="000000" w:themeColor="text1"/>
          <w:sz w:val="16"/>
          <w:szCs w:val="16"/>
          <w:lang w:eastAsia="ru-RU" w:bidi="ru-RU"/>
        </w:rPr>
        <w:softHyphen/>
        <w:t>духоплавательную агитэскадрилью им. Максима Горького в следующем составе:</w:t>
      </w:r>
    </w:p>
    <w:p w14:paraId="7446BE80" w14:textId="77777777" w:rsidR="004F587F" w:rsidRPr="0044524F" w:rsidRDefault="004F587F" w:rsidP="009654CF">
      <w:pPr>
        <w:widowControl w:val="0"/>
        <w:tabs>
          <w:tab w:val="left" w:pos="562"/>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а) самолеты АНТ-14. АНТ-9, Сталь-2, К-5. У-2;</w:t>
      </w:r>
    </w:p>
    <w:p w14:paraId="5907287D" w14:textId="77777777" w:rsidR="004F587F" w:rsidRPr="0044524F" w:rsidRDefault="004F587F" w:rsidP="009654CF">
      <w:pPr>
        <w:widowControl w:val="0"/>
        <w:tabs>
          <w:tab w:val="left" w:pos="80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б) дирижабль В-3.</w:t>
      </w:r>
    </w:p>
    <w:p w14:paraId="02A92426" w14:textId="77777777" w:rsidR="004F587F" w:rsidRPr="0044524F" w:rsidRDefault="004F587F"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Флагманским кораблем эскадрильи счи</w:t>
      </w:r>
      <w:r w:rsidRPr="0044524F">
        <w:rPr>
          <w:rFonts w:ascii="Times New Roman" w:hAnsi="Times New Roman"/>
          <w:color w:val="000000" w:themeColor="text1"/>
          <w:sz w:val="16"/>
          <w:szCs w:val="16"/>
          <w:lang w:eastAsia="ru-RU" w:bidi="ru-RU"/>
        </w:rPr>
        <w:softHyphen/>
        <w:t>тать агитсамолет-гигант «Максим Горь</w:t>
      </w:r>
      <w:r w:rsidRPr="0044524F">
        <w:rPr>
          <w:rFonts w:ascii="Times New Roman" w:hAnsi="Times New Roman"/>
          <w:color w:val="000000" w:themeColor="text1"/>
          <w:sz w:val="16"/>
          <w:szCs w:val="16"/>
          <w:lang w:eastAsia="ru-RU" w:bidi="ru-RU"/>
        </w:rPr>
        <w:softHyphen/>
        <w:t>кий», выходящий из производства к 1 мая 1934 г. До выпуска этого самолета флаг</w:t>
      </w:r>
      <w:r w:rsidRPr="0044524F">
        <w:rPr>
          <w:rFonts w:ascii="Times New Roman" w:hAnsi="Times New Roman"/>
          <w:color w:val="000000" w:themeColor="text1"/>
          <w:sz w:val="16"/>
          <w:szCs w:val="16"/>
          <w:lang w:eastAsia="ru-RU" w:bidi="ru-RU"/>
        </w:rPr>
        <w:softHyphen/>
        <w:t>манским кораблем эскадрильи является АНТ-14.</w:t>
      </w:r>
    </w:p>
    <w:p w14:paraId="2DDC6606"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2. Местом базирования эскадрильи оп</w:t>
      </w:r>
      <w:r w:rsidRPr="0044524F">
        <w:rPr>
          <w:rFonts w:ascii="Times New Roman" w:hAnsi="Times New Roman"/>
          <w:color w:val="000000" w:themeColor="text1"/>
          <w:sz w:val="16"/>
          <w:szCs w:val="16"/>
          <w:lang w:eastAsia="ru-RU" w:bidi="ru-RU"/>
        </w:rPr>
        <w:softHyphen/>
        <w:t>ределяется г. Москва.</w:t>
      </w:r>
    </w:p>
    <w:p w14:paraId="7B42D210"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3. Командиром Особой сводной авиаци- онно-воздухоплавательной эскадрильи им. М. Горького назначен летчик-наблюдатель т. Кольцов М.Е.».</w:t>
      </w:r>
    </w:p>
    <w:p w14:paraId="4D81B782"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Прочтя пункт 3 приказа, где говорит</w:t>
      </w:r>
      <w:r w:rsidRPr="0044524F">
        <w:rPr>
          <w:rFonts w:ascii="Times New Roman" w:hAnsi="Times New Roman"/>
          <w:color w:val="000000" w:themeColor="text1"/>
          <w:sz w:val="16"/>
          <w:szCs w:val="16"/>
          <w:lang w:eastAsia="ru-RU" w:bidi="ru-RU"/>
        </w:rPr>
        <w:softHyphen/>
        <w:t>ся о летчике-наблюдателе М.Е. Кольцо</w:t>
      </w:r>
      <w:r w:rsidRPr="0044524F">
        <w:rPr>
          <w:rFonts w:ascii="Times New Roman" w:hAnsi="Times New Roman"/>
          <w:color w:val="000000" w:themeColor="text1"/>
          <w:sz w:val="16"/>
          <w:szCs w:val="16"/>
          <w:lang w:eastAsia="ru-RU" w:bidi="ru-RU"/>
        </w:rPr>
        <w:softHyphen/>
        <w:t>ве. нынешний читатель может подумать, что это звание было «придумано к месту» руководством ГВФ. Это не так. Приказом Реввоенсовета СССР от 6 ноября 1930 г. М.Е. Кольцову, члену Н-ской авиабрига</w:t>
      </w:r>
      <w:r w:rsidRPr="0044524F">
        <w:rPr>
          <w:rFonts w:ascii="Times New Roman" w:hAnsi="Times New Roman"/>
          <w:color w:val="000000" w:themeColor="text1"/>
          <w:sz w:val="16"/>
          <w:szCs w:val="16"/>
          <w:lang w:eastAsia="ru-RU" w:bidi="ru-RU"/>
        </w:rPr>
        <w:softHyphen/>
        <w:t>ды ВВС РККА, было присвоено звание летчика-наблюдателя за участие «во всех больших советских перелетах, сопряжен</w:t>
      </w:r>
      <w:r w:rsidRPr="0044524F">
        <w:rPr>
          <w:rFonts w:ascii="Times New Roman" w:hAnsi="Times New Roman"/>
          <w:color w:val="000000" w:themeColor="text1"/>
          <w:sz w:val="16"/>
          <w:szCs w:val="16"/>
          <w:lang w:eastAsia="ru-RU" w:bidi="ru-RU"/>
        </w:rPr>
        <w:softHyphen/>
        <w:t>ных с большими трудностями». Этот мало</w:t>
      </w:r>
      <w:r w:rsidRPr="0044524F">
        <w:rPr>
          <w:rFonts w:ascii="Times New Roman" w:hAnsi="Times New Roman"/>
          <w:color w:val="000000" w:themeColor="text1"/>
          <w:sz w:val="16"/>
          <w:szCs w:val="16"/>
          <w:lang w:eastAsia="ru-RU" w:bidi="ru-RU"/>
        </w:rPr>
        <w:softHyphen/>
        <w:t>известный факт проливает свет на причи</w:t>
      </w:r>
      <w:r w:rsidRPr="0044524F">
        <w:rPr>
          <w:rFonts w:ascii="Times New Roman" w:hAnsi="Times New Roman"/>
          <w:color w:val="000000" w:themeColor="text1"/>
          <w:sz w:val="16"/>
          <w:szCs w:val="16"/>
          <w:lang w:eastAsia="ru-RU" w:bidi="ru-RU"/>
        </w:rPr>
        <w:softHyphen/>
        <w:t>ну привязанности и любви журналиста Кольцова к авиации (21240).</w:t>
      </w:r>
    </w:p>
    <w:p w14:paraId="0469CE45" w14:textId="77777777" w:rsidR="004F587F" w:rsidRPr="0044524F" w:rsidRDefault="004F587F" w:rsidP="009654CF">
      <w:pPr>
        <w:spacing w:after="0" w:line="240" w:lineRule="auto"/>
        <w:jc w:val="both"/>
        <w:rPr>
          <w:rFonts w:ascii="Times New Roman" w:hAnsi="Times New Roman"/>
          <w:color w:val="000000" w:themeColor="text1"/>
          <w:sz w:val="16"/>
          <w:szCs w:val="16"/>
        </w:rPr>
      </w:pPr>
    </w:p>
    <w:p w14:paraId="35FB9A10"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05232A1"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C6D03A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17 по 21 марта 1933 орудие ПС-3 П.Сячентова № 4 было установлено в башню танка Т-35, которая была смонтирована на специально построенном бревенчатом срубе. Под основанием башни был укреплен стальной лист толщиной 8 мм, на который приклепали зубчатый венец с шарикоподшипниками для горизонтальной наводки. Сруб был дополнительно скреплен железными скобами и болтами с накладками для обеспечения необходимой жесткости. Всего из этой установки было выполнено 465 выстрелов, после чего башня была установлена на танк Т-35, потом - Т-28, где испытывалась до 1934 г (6208, 42).</w:t>
      </w:r>
    </w:p>
    <w:p w14:paraId="3D32349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4A17BE7F"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BF3F8D7"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99DF66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 марта 1933 года вышло постановление ЦИК и Совнаркома СССР “О порядке отходничества из колхозов” обязывало правления колхозов “исключать из колхоза тех колхозников, которые самовольно, без зарегистрированного в правлении колхоза договора с хозорганами бросают свое колхозное хозяйство” </w:t>
      </w:r>
      <w:r w:rsidRPr="0044524F">
        <w:rPr>
          <w:rFonts w:ascii="Times New Roman" w:hAnsi="Times New Roman"/>
          <w:color w:val="000000" w:themeColor="text1"/>
          <w:sz w:val="16"/>
          <w:szCs w:val="16"/>
          <w:vertAlign w:val="superscript"/>
        </w:rPr>
        <w:t>10</w:t>
      </w:r>
      <w:r w:rsidRPr="0044524F">
        <w:rPr>
          <w:rFonts w:ascii="Times New Roman" w:hAnsi="Times New Roman"/>
          <w:color w:val="000000" w:themeColor="text1"/>
          <w:sz w:val="16"/>
          <w:szCs w:val="16"/>
        </w:rPr>
        <w:t>. Необходимость иметь на руках договор перед выездом из деревни (9985).</w:t>
      </w:r>
    </w:p>
    <w:p w14:paraId="2C02539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704C911A" w14:textId="77777777" w:rsidR="00654D1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446791D3" w14:textId="77777777" w:rsidR="00654D18" w:rsidRPr="0044524F" w:rsidRDefault="00654D1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4521D66" w14:textId="77777777" w:rsidR="00654D18" w:rsidRPr="0044524F" w:rsidRDefault="00654D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17 марта 1933 г. фашизм в Германии: </w:t>
      </w:r>
      <w:r w:rsidRPr="0044524F">
        <w:rPr>
          <w:rFonts w:ascii="Times New Roman" w:eastAsia="Times New Roman" w:hAnsi="Times New Roman"/>
          <w:iCs/>
          <w:color w:val="000000" w:themeColor="text1"/>
          <w:sz w:val="16"/>
          <w:szCs w:val="16"/>
          <w:lang w:eastAsia="ru-RU"/>
        </w:rPr>
        <w:t>убит</w:t>
      </w:r>
      <w:r w:rsidRPr="0044524F">
        <w:rPr>
          <w:rFonts w:ascii="Times New Roman" w:eastAsia="Times New Roman" w:hAnsi="Times New Roman"/>
          <w:color w:val="000000" w:themeColor="text1"/>
          <w:sz w:val="16"/>
          <w:szCs w:val="16"/>
          <w:lang w:eastAsia="ru-RU"/>
        </w:rPr>
        <w:t xml:space="preserve"> агент ИНО-ОГПУ в Берлине барон Курт фон Поссанер. </w:t>
      </w:r>
      <w:r w:rsidRPr="0044524F">
        <w:rPr>
          <w:rFonts w:ascii="Times New Roman" w:hAnsi="Times New Roman"/>
          <w:bCs/>
          <w:color w:val="000000" w:themeColor="text1"/>
          <w:sz w:val="16"/>
          <w:szCs w:val="16"/>
        </w:rPr>
        <w:t xml:space="preserve">Он был лично знаком с Гитлером, Ремом, Герингом, Геббельсом, Розенбергом, Гиммлером и другими видными нацистами. Достаточно сказать, что он представил в резидентуру список из 51 фамилии политиков, промышленников, военных, дипломатов, немецких и иностранных журналистов, которые могли быть завербованы советской разведкой или использоваться Поссанером «втемную». Отныне Иностранный отдел ОГПУ имел достаточно полное представление о том, что происходило в верхушке нацистской партии и даже в ближайшем окружении Гитлера. Как бы то ни было, но в целом информация А/270 представляла значительную ценность. Когда Гитлер пришел к власти, в Москве имели достаточно точную характеристику его личности, а также многих других нацистов, занявших министерские и другие важные государственные посты. К сожалению, фон Поссанер не сумел предпринять должных мер для обеспечения своей безопасности. </w:t>
      </w:r>
      <w:r w:rsidRPr="0044524F">
        <w:rPr>
          <w:rFonts w:ascii="Times New Roman" w:hAnsi="Times New Roman"/>
          <w:color w:val="000000" w:themeColor="text1"/>
          <w:sz w:val="16"/>
          <w:szCs w:val="16"/>
        </w:rPr>
        <w:t>17 марта 1933 года</w:t>
      </w:r>
      <w:r w:rsidRPr="0044524F">
        <w:rPr>
          <w:rFonts w:ascii="Times New Roman" w:hAnsi="Times New Roman"/>
          <w:bCs/>
          <w:color w:val="000000" w:themeColor="text1"/>
          <w:sz w:val="16"/>
          <w:szCs w:val="16"/>
        </w:rPr>
        <w:t xml:space="preserve"> его обезображенное несколькими ножевыми и огнестрельными ранениями тело было найдено в лесу близ Потсдама</w:t>
      </w:r>
      <w:r w:rsidRPr="0044524F">
        <w:rPr>
          <w:rFonts w:ascii="Times New Roman" w:eastAsia="Times New Roman" w:hAnsi="Times New Roman"/>
          <w:color w:val="000000" w:themeColor="text1"/>
          <w:sz w:val="16"/>
          <w:szCs w:val="16"/>
          <w:lang w:eastAsia="ru-RU"/>
        </w:rPr>
        <w:t xml:space="preserve"> (17325).</w:t>
      </w:r>
    </w:p>
    <w:p w14:paraId="6D3EB269" w14:textId="77777777" w:rsidR="00654D18" w:rsidRPr="0044524F" w:rsidRDefault="00654D18" w:rsidP="009654CF">
      <w:pPr>
        <w:spacing w:after="0" w:line="240" w:lineRule="auto"/>
        <w:jc w:val="both"/>
        <w:rPr>
          <w:rFonts w:ascii="Times New Roman" w:hAnsi="Times New Roman"/>
          <w:color w:val="000000" w:themeColor="text1"/>
          <w:sz w:val="16"/>
          <w:szCs w:val="16"/>
        </w:rPr>
      </w:pPr>
    </w:p>
    <w:p w14:paraId="194F569D" w14:textId="77777777" w:rsidR="00161F6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3BA913E" w14:textId="77777777" w:rsidR="00161F61" w:rsidRPr="0044524F" w:rsidRDefault="00161F6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762A095"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17 марта</w:t>
      </w:r>
      <w:r w:rsidRPr="0044524F">
        <w:rPr>
          <w:rFonts w:ascii="Times New Roman" w:hAnsi="Times New Roman"/>
          <w:color w:val="000000" w:themeColor="text1"/>
          <w:sz w:val="16"/>
          <w:szCs w:val="16"/>
        </w:rPr>
        <w:t xml:space="preserve"> в 1933 году во время очередного испытательного полета польский легкий бомбардировщик </w:t>
      </w:r>
      <w:hyperlink r:id="rId103" w:tgtFrame="_blank" w:history="1">
        <w:r w:rsidRPr="0044524F">
          <w:rPr>
            <w:rFonts w:ascii="Times New Roman" w:hAnsi="Times New Roman"/>
            <w:color w:val="000000" w:themeColor="text1"/>
            <w:sz w:val="16"/>
            <w:szCs w:val="16"/>
          </w:rPr>
          <w:t xml:space="preserve">«PWS-19» </w:t>
        </w:r>
      </w:hyperlink>
      <w:r w:rsidRPr="0044524F">
        <w:rPr>
          <w:rFonts w:ascii="Times New Roman" w:hAnsi="Times New Roman"/>
          <w:color w:val="000000" w:themeColor="text1"/>
          <w:sz w:val="16"/>
          <w:szCs w:val="16"/>
        </w:rPr>
        <w:t>вошел в штопор и разбился. Летчик успел воспользоваться парашютом. Больше к проекту не возвращались (15071).</w:t>
      </w:r>
    </w:p>
    <w:p w14:paraId="1DB762A7"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4BC26C0F"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марта 1933 г. макет Дорнье До-17 осмотрели предста</w:t>
      </w:r>
      <w:r w:rsidRPr="0044524F">
        <w:rPr>
          <w:rFonts w:ascii="Times New Roman" w:hAnsi="Times New Roman"/>
          <w:color w:val="000000" w:themeColor="text1"/>
          <w:sz w:val="16"/>
          <w:szCs w:val="16"/>
        </w:rPr>
        <w:softHyphen/>
        <w:t>вители Комиссариата воздушного транс</w:t>
      </w:r>
      <w:r w:rsidRPr="0044524F">
        <w:rPr>
          <w:rFonts w:ascii="Times New Roman" w:hAnsi="Times New Roman"/>
          <w:color w:val="000000" w:themeColor="text1"/>
          <w:sz w:val="16"/>
          <w:szCs w:val="16"/>
        </w:rPr>
        <w:softHyphen/>
        <w:t>порта, после чего было решено строить са</w:t>
      </w:r>
      <w:r w:rsidRPr="0044524F">
        <w:rPr>
          <w:rFonts w:ascii="Times New Roman" w:hAnsi="Times New Roman"/>
          <w:color w:val="000000" w:themeColor="text1"/>
          <w:sz w:val="16"/>
          <w:szCs w:val="16"/>
        </w:rPr>
        <w:softHyphen/>
        <w:t>молет в двух вариантах - пассажирско-поч</w:t>
      </w:r>
      <w:r w:rsidRPr="0044524F">
        <w:rPr>
          <w:rFonts w:ascii="Times New Roman" w:hAnsi="Times New Roman"/>
          <w:color w:val="000000" w:themeColor="text1"/>
          <w:sz w:val="16"/>
          <w:szCs w:val="16"/>
        </w:rPr>
        <w:softHyphen/>
        <w:t>товом «К» и т.н. «специального назначе</w:t>
      </w:r>
      <w:r w:rsidRPr="0044524F">
        <w:rPr>
          <w:rFonts w:ascii="Times New Roman" w:hAnsi="Times New Roman"/>
          <w:color w:val="000000" w:themeColor="text1"/>
          <w:sz w:val="16"/>
          <w:szCs w:val="16"/>
        </w:rPr>
        <w:softHyphen/>
        <w:t>ния» «SO» — под этим эвфемизмом скры</w:t>
      </w:r>
      <w:r w:rsidRPr="0044524F">
        <w:rPr>
          <w:rFonts w:ascii="Times New Roman" w:hAnsi="Times New Roman"/>
          <w:color w:val="000000" w:themeColor="text1"/>
          <w:sz w:val="16"/>
          <w:szCs w:val="16"/>
        </w:rPr>
        <w:softHyphen/>
        <w:t>вался бомбардировщик. Официальным ос</w:t>
      </w:r>
      <w:r w:rsidRPr="0044524F">
        <w:rPr>
          <w:rFonts w:ascii="Times New Roman" w:hAnsi="Times New Roman"/>
          <w:color w:val="000000" w:themeColor="text1"/>
          <w:sz w:val="16"/>
          <w:szCs w:val="16"/>
        </w:rPr>
        <w:softHyphen/>
        <w:t>нованием для заказа стал конкурс авиаком</w:t>
      </w:r>
      <w:r w:rsidRPr="0044524F">
        <w:rPr>
          <w:rFonts w:ascii="Times New Roman" w:hAnsi="Times New Roman"/>
          <w:color w:val="000000" w:themeColor="text1"/>
          <w:sz w:val="16"/>
          <w:szCs w:val="16"/>
        </w:rPr>
        <w:softHyphen/>
        <w:t>пании «Люфтганза» на скоростной пасса</w:t>
      </w:r>
      <w:r w:rsidRPr="0044524F">
        <w:rPr>
          <w:rFonts w:ascii="Times New Roman" w:hAnsi="Times New Roman"/>
          <w:color w:val="000000" w:themeColor="text1"/>
          <w:sz w:val="16"/>
          <w:szCs w:val="16"/>
        </w:rPr>
        <w:softHyphen/>
        <w:t>жирский самолет, объявленный в 1933 г. 23 мая было получено письмо Э. Мильха, предписывающее постройку двух прото</w:t>
      </w:r>
      <w:r w:rsidRPr="0044524F">
        <w:rPr>
          <w:rFonts w:ascii="Times New Roman" w:hAnsi="Times New Roman"/>
          <w:color w:val="000000" w:themeColor="text1"/>
          <w:sz w:val="16"/>
          <w:szCs w:val="16"/>
        </w:rPr>
        <w:softHyphen/>
        <w:t>типов — гражданского и военного. Особо оговаривалось то, что обе машины должны быть максимально унифицированы. На них предполагалось установить моторы BMW VI, хотя конструкторы и предлагали более легкие и мощные двигатели французской фирмы «Испано-Сьюиза» HS 12. И хотя военные настояли на применении отечес</w:t>
      </w:r>
      <w:r w:rsidRPr="0044524F">
        <w:rPr>
          <w:rFonts w:ascii="Times New Roman" w:hAnsi="Times New Roman"/>
          <w:color w:val="000000" w:themeColor="text1"/>
          <w:sz w:val="16"/>
          <w:szCs w:val="16"/>
        </w:rPr>
        <w:softHyphen/>
        <w:t>твенной силовой установки, руководитель компании Клод Дорнье (Claude Dornier) 2 октября 1933 г. предложил построить тре</w:t>
      </w:r>
      <w:r w:rsidRPr="0044524F">
        <w:rPr>
          <w:rFonts w:ascii="Times New Roman" w:hAnsi="Times New Roman"/>
          <w:color w:val="000000" w:themeColor="text1"/>
          <w:sz w:val="16"/>
          <w:szCs w:val="16"/>
        </w:rPr>
        <w:softHyphen/>
        <w:t>тий прототип в пассажирском исполнении с моторами HS 12Ybrs. Уже 4 ноября эта ма</w:t>
      </w:r>
      <w:r w:rsidRPr="0044524F">
        <w:rPr>
          <w:rFonts w:ascii="Times New Roman" w:hAnsi="Times New Roman"/>
          <w:color w:val="000000" w:themeColor="text1"/>
          <w:sz w:val="16"/>
          <w:szCs w:val="16"/>
        </w:rPr>
        <w:softHyphen/>
        <w:t>шина была официально заказана, получив обозначение Do 17d. Прототип гражданс</w:t>
      </w:r>
      <w:r w:rsidRPr="0044524F">
        <w:rPr>
          <w:rFonts w:ascii="Times New Roman" w:hAnsi="Times New Roman"/>
          <w:color w:val="000000" w:themeColor="text1"/>
          <w:sz w:val="16"/>
          <w:szCs w:val="16"/>
        </w:rPr>
        <w:softHyphen/>
        <w:t>кого самолета с моторами BMW VI 6,0 (660 л.с.) теперь обозначался Do 17а, а военного с более мощными двигателями BMW IV 7,3 (700 л.с.) — Do 17с. Кроме того, для сравне</w:t>
      </w:r>
      <w:r w:rsidRPr="0044524F">
        <w:rPr>
          <w:rFonts w:ascii="Times New Roman" w:hAnsi="Times New Roman"/>
          <w:color w:val="000000" w:themeColor="text1"/>
          <w:sz w:val="16"/>
          <w:szCs w:val="16"/>
        </w:rPr>
        <w:softHyphen/>
        <w:t>ния различных конструкторских решений на Do 17а решили применить двухкилевое оперение, довольно редко встречавшееся в то время, а на Do 17с — однокилевое.</w:t>
      </w:r>
    </w:p>
    <w:p w14:paraId="7CB86326"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трех прототипов велась прак</w:t>
      </w:r>
      <w:r w:rsidRPr="0044524F">
        <w:rPr>
          <w:rFonts w:ascii="Times New Roman" w:hAnsi="Times New Roman"/>
          <w:color w:val="000000" w:themeColor="text1"/>
          <w:sz w:val="16"/>
          <w:szCs w:val="16"/>
        </w:rPr>
        <w:softHyphen/>
        <w:t>тически параллельно. Правда, при этом в переговорах с рейхсминистерством ави</w:t>
      </w:r>
      <w:r w:rsidRPr="0044524F">
        <w:rPr>
          <w:rFonts w:ascii="Times New Roman" w:hAnsi="Times New Roman"/>
          <w:color w:val="000000" w:themeColor="text1"/>
          <w:sz w:val="16"/>
          <w:szCs w:val="16"/>
        </w:rPr>
        <w:softHyphen/>
        <w:t>ации продолжали согласовывать различ</w:t>
      </w:r>
      <w:r w:rsidRPr="0044524F">
        <w:rPr>
          <w:rFonts w:ascii="Times New Roman" w:hAnsi="Times New Roman"/>
          <w:color w:val="000000" w:themeColor="text1"/>
          <w:sz w:val="16"/>
          <w:szCs w:val="16"/>
        </w:rPr>
        <w:softHyphen/>
        <w:t>ные технические детали, так что техничес</w:t>
      </w:r>
      <w:r w:rsidRPr="0044524F">
        <w:rPr>
          <w:rFonts w:ascii="Times New Roman" w:hAnsi="Times New Roman"/>
          <w:color w:val="000000" w:themeColor="text1"/>
          <w:sz w:val="16"/>
          <w:szCs w:val="16"/>
        </w:rPr>
        <w:softHyphen/>
        <w:t>кие требования к Do 17 были окончатель</w:t>
      </w:r>
      <w:r w:rsidRPr="0044524F">
        <w:rPr>
          <w:rFonts w:ascii="Times New Roman" w:hAnsi="Times New Roman"/>
          <w:color w:val="000000" w:themeColor="text1"/>
          <w:sz w:val="16"/>
          <w:szCs w:val="16"/>
        </w:rPr>
        <w:softHyphen/>
        <w:t>но утверждены лишь в июне 1934 г. В соот</w:t>
      </w:r>
      <w:r w:rsidRPr="0044524F">
        <w:rPr>
          <w:rFonts w:ascii="Times New Roman" w:hAnsi="Times New Roman"/>
          <w:color w:val="000000" w:themeColor="text1"/>
          <w:sz w:val="16"/>
          <w:szCs w:val="16"/>
        </w:rPr>
        <w:softHyphen/>
        <w:t>ветствии с ними, военные хотели получить скоростной высотный разведывательный самолет с возможностью применения в ка</w:t>
      </w:r>
      <w:r w:rsidRPr="0044524F">
        <w:rPr>
          <w:rFonts w:ascii="Times New Roman" w:hAnsi="Times New Roman"/>
          <w:color w:val="000000" w:themeColor="text1"/>
          <w:sz w:val="16"/>
          <w:szCs w:val="16"/>
        </w:rPr>
        <w:softHyphen/>
        <w:t>честве бомбардировщика и оборонитель</w:t>
      </w:r>
      <w:r w:rsidRPr="0044524F">
        <w:rPr>
          <w:rFonts w:ascii="Times New Roman" w:hAnsi="Times New Roman"/>
          <w:color w:val="000000" w:themeColor="text1"/>
          <w:sz w:val="16"/>
          <w:szCs w:val="16"/>
        </w:rPr>
        <w:softHyphen/>
        <w:t>ным вооружением, ограниченным одним пулеметом. Создание такой машины, призванной заменить одномоторный дальний разведчик «Хейнкель» Не 70, было призна</w:t>
      </w:r>
      <w:r w:rsidRPr="0044524F">
        <w:rPr>
          <w:rFonts w:ascii="Times New Roman" w:hAnsi="Times New Roman"/>
          <w:color w:val="000000" w:themeColor="text1"/>
          <w:sz w:val="16"/>
          <w:szCs w:val="16"/>
        </w:rPr>
        <w:softHyphen/>
        <w:t>но более целесообразным, чем чистого бом</w:t>
      </w:r>
      <w:r w:rsidRPr="0044524F">
        <w:rPr>
          <w:rFonts w:ascii="Times New Roman" w:hAnsi="Times New Roman"/>
          <w:color w:val="000000" w:themeColor="text1"/>
          <w:sz w:val="16"/>
          <w:szCs w:val="16"/>
        </w:rPr>
        <w:softHyphen/>
        <w:t>бардировщика.</w:t>
      </w:r>
    </w:p>
    <w:p w14:paraId="48C091A1"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Согласование облика машины позволи</w:t>
      </w:r>
      <w:r w:rsidRPr="0044524F">
        <w:rPr>
          <w:rFonts w:ascii="Times New Roman" w:hAnsi="Times New Roman"/>
          <w:color w:val="000000" w:themeColor="text1"/>
          <w:sz w:val="16"/>
          <w:szCs w:val="16"/>
        </w:rPr>
        <w:softHyphen/>
        <w:t>ло в быстром темпе завершить построй</w:t>
      </w:r>
      <w:r w:rsidRPr="0044524F">
        <w:rPr>
          <w:rFonts w:ascii="Times New Roman" w:hAnsi="Times New Roman"/>
          <w:color w:val="000000" w:themeColor="text1"/>
          <w:sz w:val="16"/>
          <w:szCs w:val="16"/>
        </w:rPr>
        <w:softHyphen/>
        <w:t>ку прототипа Do 17с (W.Nr. 256, гражданс</w:t>
      </w:r>
      <w:r w:rsidRPr="0044524F">
        <w:rPr>
          <w:rFonts w:ascii="Times New Roman" w:hAnsi="Times New Roman"/>
          <w:color w:val="000000" w:themeColor="text1"/>
          <w:sz w:val="16"/>
          <w:szCs w:val="16"/>
        </w:rPr>
        <w:softHyphen/>
        <w:t>кая регистрация D-AJUN).(24192).</w:t>
      </w:r>
    </w:p>
    <w:p w14:paraId="1E9FABD3" w14:textId="77777777" w:rsidR="00B26E21" w:rsidRPr="0044524F" w:rsidRDefault="00B26E21" w:rsidP="009654CF">
      <w:pPr>
        <w:spacing w:after="0" w:line="240" w:lineRule="auto"/>
        <w:jc w:val="both"/>
        <w:rPr>
          <w:rFonts w:ascii="Times New Roman" w:hAnsi="Times New Roman"/>
          <w:color w:val="000000" w:themeColor="text1"/>
          <w:sz w:val="16"/>
          <w:szCs w:val="16"/>
        </w:rPr>
      </w:pPr>
    </w:p>
    <w:p w14:paraId="1F505126" w14:textId="77777777" w:rsidR="00654D18" w:rsidRPr="0044524F" w:rsidRDefault="00654D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17 марта 1933 г. депутат Нусбаум </w:t>
      </w:r>
      <w:r w:rsidRPr="0044524F">
        <w:rPr>
          <w:rFonts w:ascii="Times New Roman" w:eastAsia="Times New Roman" w:hAnsi="Times New Roman"/>
          <w:iCs/>
          <w:color w:val="000000" w:themeColor="text1"/>
          <w:sz w:val="16"/>
          <w:szCs w:val="16"/>
          <w:lang w:eastAsia="ru-RU"/>
        </w:rPr>
        <w:t>убил</w:t>
      </w:r>
      <w:r w:rsidRPr="0044524F">
        <w:rPr>
          <w:rFonts w:ascii="Times New Roman" w:eastAsia="Times New Roman" w:hAnsi="Times New Roman"/>
          <w:color w:val="000000" w:themeColor="text1"/>
          <w:sz w:val="16"/>
          <w:szCs w:val="16"/>
          <w:lang w:eastAsia="ru-RU"/>
        </w:rPr>
        <w:t xml:space="preserve"> во Фрайбурге 2-х полицейских – репрессии против СДПГ, Гитлер создает свою личную охрану</w:t>
      </w:r>
    </w:p>
    <w:p w14:paraId="6745E649" w14:textId="77777777" w:rsidR="00654D18" w:rsidRPr="0044524F" w:rsidRDefault="00654D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iCs/>
          <w:color w:val="000000" w:themeColor="text1"/>
          <w:sz w:val="16"/>
          <w:szCs w:val="16"/>
          <w:lang w:eastAsia="ru-RU"/>
        </w:rPr>
        <w:t>Рюдигер Сафранский «Хайдеггер – германский мастер и его время»:</w:t>
      </w:r>
    </w:p>
    <w:p w14:paraId="7FA0634B" w14:textId="77777777" w:rsidR="00654D18" w:rsidRPr="0044524F" w:rsidRDefault="00654D18" w:rsidP="009654CF">
      <w:pPr>
        <w:shd w:val="clear" w:color="auto" w:fill="FFFFFF"/>
        <w:spacing w:after="0" w:line="240" w:lineRule="auto"/>
        <w:jc w:val="both"/>
        <w:rPr>
          <w:rFonts w:ascii="Times New Roman" w:eastAsia="Times New Roman" w:hAnsi="Times New Roman"/>
          <w:bCs/>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 xml:space="preserve">Сомнения социал-демократа Мёллендорфа относительно того, стоит ли ему принимать должность ректора, как нельзя более понятны, ибо во Фрайбурге, как и повсюду, тогда уже начались преследования социал-демократов. Под руководством имперского комиссара Роберта Вагнера эти гонения приобрели особую ожесточенность. Уже в начале марта были разгромлены дом профсоюзов и центральный офис местной организации СДПГ, производились аресты и домашние обыски. </w:t>
      </w:r>
      <w:r w:rsidRPr="0044524F">
        <w:rPr>
          <w:rFonts w:ascii="Times New Roman" w:eastAsia="Times New Roman" w:hAnsi="Times New Roman"/>
          <w:color w:val="000000" w:themeColor="text1"/>
          <w:sz w:val="16"/>
          <w:szCs w:val="16"/>
          <w:lang w:eastAsia="ru-RU"/>
        </w:rPr>
        <w:t>17 марта (1933)</w:t>
      </w:r>
      <w:r w:rsidRPr="0044524F">
        <w:rPr>
          <w:rFonts w:ascii="Times New Roman" w:eastAsia="Times New Roman" w:hAnsi="Times New Roman"/>
          <w:bCs/>
          <w:color w:val="000000" w:themeColor="text1"/>
          <w:sz w:val="16"/>
          <w:szCs w:val="16"/>
          <w:lang w:eastAsia="ru-RU"/>
        </w:rPr>
        <w:t xml:space="preserve"> произошел неприятный инцидент с депутатом ландтага Нусбаумом. Нусбаум, как раз перед тем прошедший многонедельный курс лечения в психиатрической клинике, защищаясь от двух полицейских, смертельно их ранил, после чего в городе усилилась травля СДПГ. На площади у кафедрального собора состоялась демонстрация против марксизма – агитаторы говорили о том, что его нужно «вырвать с корнем». Недалеко от Хойберга уже построили два концентрационных лагеря. Местная пресса публиковала фотографии, запечатлевшие отправку туда первых партий заключенных (17325).</w:t>
      </w:r>
    </w:p>
    <w:p w14:paraId="470E4036" w14:textId="77777777" w:rsidR="00654D18" w:rsidRPr="0044524F" w:rsidRDefault="00654D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8C23D26" w14:textId="77777777" w:rsidR="00654D18" w:rsidRPr="0044524F" w:rsidRDefault="00654D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17 марта 1933 г. Гитлер принял решение создать из членов СС отряд охраны рейхсканцелярии. Новую часть назвали «Охрана штаба СС», ее возглавил Йозеф Дитрих — телохранитель Адольфа Гитлера (17325).</w:t>
      </w:r>
    </w:p>
    <w:p w14:paraId="1EB09301" w14:textId="77777777" w:rsidR="00654D18" w:rsidRPr="0044524F" w:rsidRDefault="00654D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70449AD"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A8B7A83"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8DAFDA5"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18 марта 1933 г. В.А. Галышев вылетел из Якутска в верховья Колымы. Достигнув Крест-Халь, лётчик в течение трёх дней пытался преодолеть Верхоянский хребет, но сплошной туман и низкая облачность не пускали его. Только 28 марта самолёт приземлился в Оймяконе. Однако отсутствие здесь подходящего бензина заставило пилота прервать полёт и вернуться в Якутск.</w:t>
      </w:r>
    </w:p>
    <w:p w14:paraId="44418194"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Завершить облёт новой линии удалось только в июне экипажу в составе лётчика И.В. Доронина и бортмеханика А.М. Дарагана. Выполнив обычный почтово-пассажирский рейс из Иркутска в Якутск, они продолжили полёт по марш</w:t>
      </w:r>
      <w:r w:rsidRPr="00142305">
        <w:rPr>
          <w:rStyle w:val="aff"/>
          <w:rFonts w:ascii="Times New Roman" w:hAnsi="Times New Roman" w:cs="Times New Roman"/>
          <w:color w:val="0070C0"/>
          <w:spacing w:val="0"/>
          <w:sz w:val="16"/>
          <w:szCs w:val="16"/>
        </w:rPr>
        <w:softHyphen/>
        <w:t>руту Якутск-Оймякон-Среднекан. Летели на поплавковом маломощном самолёте. Горючее ждало их на озере Алы- сардах в верховьях Индигирки. Озеро было приметным, поэтому экипаж нашёл его довольно легко. Но когда после заправки лётчики захотели взлететь, они долго не могли оторваться от водной поверхности: большая абсолютная высота снижала мощность двигателя, а бензина залили «иод завязку», на шесть часов полёта. Несмотря па густой дым от лесных пожаров, в Среднекан на Колыме прилетели в тот же день. Так была открыта новая трасса (25653).</w:t>
      </w:r>
    </w:p>
    <w:p w14:paraId="2014D984" w14:textId="77777777" w:rsidR="00F47692" w:rsidRPr="00142305" w:rsidRDefault="00F47692" w:rsidP="00F47692">
      <w:pPr>
        <w:spacing w:after="0" w:line="240" w:lineRule="auto"/>
        <w:jc w:val="both"/>
        <w:rPr>
          <w:rFonts w:ascii="Times New Roman" w:hAnsi="Times New Roman"/>
          <w:color w:val="0070C0"/>
          <w:sz w:val="16"/>
          <w:szCs w:val="16"/>
        </w:rPr>
      </w:pPr>
    </w:p>
    <w:p w14:paraId="53E7FFC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марта 1933 начались испытания двигателя ОР-2 Ф.А.Цандера (уже без него), а 28 марта 1933 он умер (271,131).</w:t>
      </w:r>
    </w:p>
    <w:p w14:paraId="064C6FC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3D69E4A3"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18 марта </w:t>
      </w:r>
      <w:r w:rsidRPr="0044524F">
        <w:rPr>
          <w:rFonts w:ascii="Times New Roman" w:hAnsi="Times New Roman"/>
          <w:color w:val="000000" w:themeColor="text1"/>
          <w:sz w:val="16"/>
          <w:szCs w:val="16"/>
        </w:rPr>
        <w:t xml:space="preserve">в 1933 году первый и единственный испытательный запуск жидкостного ракетного двигателя </w:t>
      </w:r>
      <w:hyperlink r:id="rId104" w:tgtFrame="_blank" w:history="1">
        <w:r w:rsidRPr="0044524F">
          <w:rPr>
            <w:rFonts w:ascii="Times New Roman" w:hAnsi="Times New Roman"/>
            <w:color w:val="000000" w:themeColor="text1"/>
            <w:sz w:val="16"/>
            <w:szCs w:val="16"/>
          </w:rPr>
          <w:t xml:space="preserve">«ОР-2», </w:t>
        </w:r>
      </w:hyperlink>
      <w:r w:rsidRPr="0044524F">
        <w:rPr>
          <w:rFonts w:ascii="Times New Roman" w:hAnsi="Times New Roman"/>
          <w:color w:val="000000" w:themeColor="text1"/>
          <w:sz w:val="16"/>
          <w:szCs w:val="16"/>
        </w:rPr>
        <w:t>конструкции Ф. А. Цандера. Предназначался для установки на бесхвостый ракетоплан «РП-1» разработанного коллективом Группы изучения реактивного движения (ГИРД) и планер-летающее крыло «БИЧ-11» конструкции Б. И. Черановского. Проектная тяга составляла 50 кгс, охлаждение сопла производилось водой, а камеры сгорания — газообразным кислородом. При первых испытаниях двигатель разрушался (15072).</w:t>
      </w:r>
    </w:p>
    <w:p w14:paraId="227520E7"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47EF022C" w14:textId="54295C32" w:rsidR="00F319CB" w:rsidRPr="0044524F" w:rsidRDefault="00F319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марта 1933 г. начались огневые испытания первого советского жидкостного реактквного двигателя ОР-3 /опытный реактивный/ конструкции Ф.А.Цандера. РР-2 /опыт</w:t>
      </w:r>
      <w:r w:rsidRPr="0044524F">
        <w:rPr>
          <w:rFonts w:ascii="Times New Roman" w:hAnsi="Times New Roman"/>
          <w:color w:val="000000" w:themeColor="text1"/>
          <w:sz w:val="16"/>
          <w:szCs w:val="16"/>
        </w:rPr>
        <w:softHyphen/>
      </w:r>
      <w:r w:rsidR="00B0162D" w:rsidRPr="0044524F">
        <w:rPr>
          <w:rFonts w:ascii="Times New Roman" w:hAnsi="Times New Roman"/>
          <w:color w:val="000000" w:themeColor="text1"/>
          <w:sz w:val="16"/>
          <w:szCs w:val="16"/>
        </w:rPr>
        <w:t>ный</w:t>
      </w:r>
      <w:r w:rsidRPr="0044524F">
        <w:rPr>
          <w:rFonts w:ascii="Times New Roman" w:hAnsi="Times New Roman"/>
          <w:color w:val="000000" w:themeColor="text1"/>
          <w:sz w:val="16"/>
          <w:szCs w:val="16"/>
        </w:rPr>
        <w:t>, реактивный/ работал на бензине и жидком кислороде и развивал тягу 50 кг. Он предназначался для установки на опытный самолет, но из-за смертн конструктора не был доведен до конца.</w:t>
      </w:r>
    </w:p>
    <w:p w14:paraId="37331B44" w14:textId="77777777" w:rsidR="00F319CB" w:rsidRPr="0044524F" w:rsidRDefault="00F319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/Ф.А.Цандер. Проблема полета при помощи ракетных аппаратов, 1947/ (23370).</w:t>
      </w:r>
    </w:p>
    <w:p w14:paraId="3EA9CBE8" w14:textId="77777777" w:rsidR="00F319CB" w:rsidRPr="0044524F" w:rsidRDefault="00F319CB" w:rsidP="009654CF">
      <w:pPr>
        <w:spacing w:after="0" w:line="240" w:lineRule="auto"/>
        <w:jc w:val="both"/>
        <w:rPr>
          <w:rFonts w:ascii="Times New Roman" w:hAnsi="Times New Roman"/>
          <w:color w:val="000000" w:themeColor="text1"/>
          <w:sz w:val="16"/>
          <w:szCs w:val="16"/>
        </w:rPr>
      </w:pPr>
    </w:p>
    <w:p w14:paraId="50AF2DE1"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марта 1933 года на территории ЦАГИ состоялся первый испытательный запуск ОР-2 Цандера. Испытанием руководили Душ</w:t>
      </w:r>
      <w:r w:rsidRPr="0044524F">
        <w:rPr>
          <w:rFonts w:ascii="Times New Roman" w:hAnsi="Times New Roman"/>
          <w:color w:val="000000" w:themeColor="text1"/>
          <w:sz w:val="16"/>
          <w:szCs w:val="16"/>
        </w:rPr>
        <w:softHyphen/>
        <w:t>кин и Полярный. Закончилось оно неудачно. Неустойчивое го</w:t>
      </w:r>
      <w:r w:rsidRPr="0044524F">
        <w:rPr>
          <w:rFonts w:ascii="Times New Roman" w:hAnsi="Times New Roman"/>
          <w:color w:val="000000" w:themeColor="text1"/>
          <w:sz w:val="16"/>
          <w:szCs w:val="16"/>
        </w:rPr>
        <w:softHyphen/>
        <w:t>рение в камере сопровождалось сильными хлопками. Опасаясь взрыва, Душкин и Полярный выключили двигатель спустя не</w:t>
      </w:r>
      <w:r w:rsidRPr="0044524F">
        <w:rPr>
          <w:rFonts w:ascii="Times New Roman" w:hAnsi="Times New Roman"/>
          <w:color w:val="000000" w:themeColor="text1"/>
          <w:sz w:val="16"/>
          <w:szCs w:val="16"/>
        </w:rPr>
        <w:softHyphen/>
        <w:t>сколько секунд работы.</w:t>
      </w:r>
    </w:p>
    <w:p w14:paraId="6B7FF6DD"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втором и третьем ис</w:t>
      </w:r>
      <w:r w:rsidRPr="0044524F">
        <w:rPr>
          <w:rFonts w:ascii="Times New Roman" w:hAnsi="Times New Roman"/>
          <w:color w:val="000000" w:themeColor="text1"/>
          <w:sz w:val="16"/>
          <w:szCs w:val="16"/>
        </w:rPr>
        <w:softHyphen/>
        <w:t>пытаниях, проводившихся 21 и 26 марта 1933 года, двигатели разрушились. На четвертом ис</w:t>
      </w:r>
      <w:r w:rsidRPr="0044524F">
        <w:rPr>
          <w:rFonts w:ascii="Times New Roman" w:hAnsi="Times New Roman"/>
          <w:color w:val="000000" w:themeColor="text1"/>
          <w:sz w:val="16"/>
          <w:szCs w:val="16"/>
        </w:rPr>
        <w:softHyphen/>
        <w:t>пытании, вновь опасаясь взры</w:t>
      </w:r>
      <w:r w:rsidRPr="0044524F">
        <w:rPr>
          <w:rFonts w:ascii="Times New Roman" w:hAnsi="Times New Roman"/>
          <w:color w:val="000000" w:themeColor="text1"/>
          <w:sz w:val="16"/>
          <w:szCs w:val="16"/>
        </w:rPr>
        <w:softHyphen/>
        <w:t>ва, разработчики выключили двигатель на 35-й секунде. После этого работы по двигателю были прекращены (23510).</w:t>
      </w:r>
    </w:p>
    <w:p w14:paraId="272E6C3B" w14:textId="77777777" w:rsidR="00B26E21" w:rsidRPr="0044524F" w:rsidRDefault="00B26E21" w:rsidP="009654CF">
      <w:pPr>
        <w:spacing w:after="0" w:line="240" w:lineRule="auto"/>
        <w:jc w:val="both"/>
        <w:rPr>
          <w:rFonts w:ascii="Times New Roman" w:hAnsi="Times New Roman"/>
          <w:color w:val="000000" w:themeColor="text1"/>
          <w:sz w:val="16"/>
          <w:szCs w:val="16"/>
        </w:rPr>
      </w:pPr>
    </w:p>
    <w:p w14:paraId="027BEFAD"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7A66456"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56422B0" w14:textId="77777777" w:rsidR="00474353" w:rsidRPr="0044524F" w:rsidRDefault="004743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марта 1933 еврейским врачам запрещена практика в Германии (4962).</w:t>
      </w:r>
    </w:p>
    <w:p w14:paraId="1D93BCEA" w14:textId="77777777" w:rsidR="00474353" w:rsidRPr="0044524F" w:rsidRDefault="004743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C323F7" w14:textId="77777777" w:rsidR="00654D18" w:rsidRPr="0044524F" w:rsidRDefault="00654D18"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18 марта 1933 г. комиссар юстиции Германии Ганс Франк выступил с речью по радио Мюнхена. Франк заявил, что Австрия это последняя часть Германии, в которой осмеливаются подавлять немецкие национальные стремления. Он «дружески» предупредил австрийское правительство не заставлять национал-социалистов Германии решать задачу обеспечения свобод для своих единомышленников в Австрии (17325).</w:t>
      </w:r>
    </w:p>
    <w:p w14:paraId="24479519" w14:textId="77777777" w:rsidR="00654D18" w:rsidRPr="0044524F" w:rsidRDefault="00654D18"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2F95CE"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192E2BD"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B1163D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марта 1933 года предъявлен макет самолета МК1-6М34 РН (3516).</w:t>
      </w:r>
    </w:p>
    <w:p w14:paraId="45313B7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0CC38C8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марта 1933 года N с11/001541сс начальник 1 отдела УМТСиВ УВВС Янсон, начальник 1 сектора 1 отдела Галдин.</w:t>
      </w:r>
    </w:p>
    <w:p w14:paraId="44F26B9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Сводка заказа авиапромышленности и выполнения продукции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tblGrid>
      <w:tr w:rsidR="004E10C1" w:rsidRPr="0044524F" w14:paraId="15140839" w14:textId="77777777">
        <w:tc>
          <w:tcPr>
            <w:tcW w:w="1127" w:type="dxa"/>
          </w:tcPr>
          <w:p w14:paraId="231625D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1127" w:type="dxa"/>
          </w:tcPr>
          <w:p w14:paraId="23B6ACD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год</w:t>
            </w:r>
          </w:p>
        </w:tc>
        <w:tc>
          <w:tcPr>
            <w:tcW w:w="1127" w:type="dxa"/>
          </w:tcPr>
          <w:p w14:paraId="3211274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571D3FC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w:t>
            </w:r>
          </w:p>
        </w:tc>
        <w:tc>
          <w:tcPr>
            <w:tcW w:w="1127" w:type="dxa"/>
          </w:tcPr>
          <w:p w14:paraId="1823FBA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377ADB8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год</w:t>
            </w:r>
          </w:p>
        </w:tc>
        <w:tc>
          <w:tcPr>
            <w:tcW w:w="1127" w:type="dxa"/>
          </w:tcPr>
          <w:p w14:paraId="7F44FFB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4004719" w14:textId="77777777">
        <w:tc>
          <w:tcPr>
            <w:tcW w:w="1127" w:type="dxa"/>
          </w:tcPr>
          <w:p w14:paraId="3C8C314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94B179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Заказ</w:t>
            </w:r>
          </w:p>
        </w:tc>
        <w:tc>
          <w:tcPr>
            <w:tcW w:w="1127" w:type="dxa"/>
          </w:tcPr>
          <w:p w14:paraId="00D5729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w:t>
            </w:r>
          </w:p>
        </w:tc>
        <w:tc>
          <w:tcPr>
            <w:tcW w:w="1127" w:type="dxa"/>
          </w:tcPr>
          <w:p w14:paraId="179A108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Заказ</w:t>
            </w:r>
          </w:p>
        </w:tc>
        <w:tc>
          <w:tcPr>
            <w:tcW w:w="1127" w:type="dxa"/>
          </w:tcPr>
          <w:p w14:paraId="0C78E6A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w:t>
            </w:r>
          </w:p>
        </w:tc>
        <w:tc>
          <w:tcPr>
            <w:tcW w:w="1127" w:type="dxa"/>
          </w:tcPr>
          <w:p w14:paraId="15368C2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Заказ</w:t>
            </w:r>
          </w:p>
        </w:tc>
        <w:tc>
          <w:tcPr>
            <w:tcW w:w="1127" w:type="dxa"/>
          </w:tcPr>
          <w:p w14:paraId="68AC45D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w:t>
            </w:r>
          </w:p>
        </w:tc>
      </w:tr>
      <w:tr w:rsidR="004E10C1" w:rsidRPr="0044524F" w14:paraId="394E359C" w14:textId="77777777">
        <w:tc>
          <w:tcPr>
            <w:tcW w:w="1127" w:type="dxa"/>
          </w:tcPr>
          <w:p w14:paraId="09B4612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Р1</w:t>
            </w:r>
          </w:p>
        </w:tc>
        <w:tc>
          <w:tcPr>
            <w:tcW w:w="1127" w:type="dxa"/>
          </w:tcPr>
          <w:p w14:paraId="67FFCB3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302</w:t>
            </w:r>
          </w:p>
        </w:tc>
        <w:tc>
          <w:tcPr>
            <w:tcW w:w="1127" w:type="dxa"/>
          </w:tcPr>
          <w:p w14:paraId="5B22EF3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266</w:t>
            </w:r>
          </w:p>
        </w:tc>
        <w:tc>
          <w:tcPr>
            <w:tcW w:w="1127" w:type="dxa"/>
          </w:tcPr>
          <w:p w14:paraId="663FF7B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F0EB5B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25E1AF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5F3CC49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EB08948" w14:textId="77777777">
        <w:tc>
          <w:tcPr>
            <w:tcW w:w="1127" w:type="dxa"/>
          </w:tcPr>
          <w:p w14:paraId="086B855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127" w:type="dxa"/>
          </w:tcPr>
          <w:p w14:paraId="1FE6B15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675</w:t>
            </w:r>
          </w:p>
        </w:tc>
        <w:tc>
          <w:tcPr>
            <w:tcW w:w="1127" w:type="dxa"/>
          </w:tcPr>
          <w:p w14:paraId="702D6D6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303</w:t>
            </w:r>
          </w:p>
        </w:tc>
        <w:tc>
          <w:tcPr>
            <w:tcW w:w="1127" w:type="dxa"/>
          </w:tcPr>
          <w:p w14:paraId="19CB07B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1075</w:t>
            </w:r>
          </w:p>
        </w:tc>
        <w:tc>
          <w:tcPr>
            <w:tcW w:w="1127" w:type="dxa"/>
          </w:tcPr>
          <w:p w14:paraId="1CF40F1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736</w:t>
            </w:r>
          </w:p>
        </w:tc>
        <w:tc>
          <w:tcPr>
            <w:tcW w:w="1127" w:type="dxa"/>
          </w:tcPr>
          <w:p w14:paraId="59F29DE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1650</w:t>
            </w:r>
          </w:p>
        </w:tc>
        <w:tc>
          <w:tcPr>
            <w:tcW w:w="1127" w:type="dxa"/>
          </w:tcPr>
          <w:p w14:paraId="4BA0462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w:t>
            </w:r>
          </w:p>
        </w:tc>
      </w:tr>
      <w:tr w:rsidR="004E10C1" w:rsidRPr="0044524F" w14:paraId="2A618760" w14:textId="77777777">
        <w:tc>
          <w:tcPr>
            <w:tcW w:w="1127" w:type="dxa"/>
          </w:tcPr>
          <w:p w14:paraId="358F68B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И3</w:t>
            </w:r>
          </w:p>
        </w:tc>
        <w:tc>
          <w:tcPr>
            <w:tcW w:w="1127" w:type="dxa"/>
          </w:tcPr>
          <w:p w14:paraId="59B050D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1127" w:type="dxa"/>
          </w:tcPr>
          <w:p w14:paraId="5C19988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1127" w:type="dxa"/>
          </w:tcPr>
          <w:p w14:paraId="5CFD3FC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7A84426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EF4617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404B78A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C0814B4" w14:textId="77777777">
        <w:tc>
          <w:tcPr>
            <w:tcW w:w="1127" w:type="dxa"/>
          </w:tcPr>
          <w:p w14:paraId="7A93316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И4</w:t>
            </w:r>
          </w:p>
        </w:tc>
        <w:tc>
          <w:tcPr>
            <w:tcW w:w="1127" w:type="dxa"/>
          </w:tcPr>
          <w:p w14:paraId="7BDA6FB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1127" w:type="dxa"/>
          </w:tcPr>
          <w:p w14:paraId="05FBB32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1127" w:type="dxa"/>
          </w:tcPr>
          <w:p w14:paraId="24143DD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794A80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5CFE453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1B15B4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615171B" w14:textId="77777777">
        <w:tc>
          <w:tcPr>
            <w:tcW w:w="1127" w:type="dxa"/>
          </w:tcPr>
          <w:p w14:paraId="4D0F09A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1127" w:type="dxa"/>
          </w:tcPr>
          <w:p w14:paraId="54F2BB8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127" w:type="dxa"/>
          </w:tcPr>
          <w:p w14:paraId="7F107AF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tc>
        <w:tc>
          <w:tcPr>
            <w:tcW w:w="1127" w:type="dxa"/>
          </w:tcPr>
          <w:p w14:paraId="364B130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345</w:t>
            </w:r>
          </w:p>
        </w:tc>
        <w:tc>
          <w:tcPr>
            <w:tcW w:w="1127" w:type="dxa"/>
          </w:tcPr>
          <w:p w14:paraId="7926BD2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1127" w:type="dxa"/>
          </w:tcPr>
          <w:p w14:paraId="5E335C6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1127" w:type="dxa"/>
          </w:tcPr>
          <w:p w14:paraId="736DCB1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31BA90D" w14:textId="77777777">
        <w:tc>
          <w:tcPr>
            <w:tcW w:w="1127" w:type="dxa"/>
          </w:tcPr>
          <w:p w14:paraId="02245A6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w:t>
            </w:r>
          </w:p>
        </w:tc>
        <w:tc>
          <w:tcPr>
            <w:tcW w:w="1127" w:type="dxa"/>
          </w:tcPr>
          <w:p w14:paraId="47ADC57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1127" w:type="dxa"/>
          </w:tcPr>
          <w:p w14:paraId="707E279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2C20B9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1127" w:type="dxa"/>
          </w:tcPr>
          <w:p w14:paraId="5943BF8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1127" w:type="dxa"/>
          </w:tcPr>
          <w:p w14:paraId="17177AC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127" w:type="dxa"/>
          </w:tcPr>
          <w:p w14:paraId="7ACF05B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r>
      <w:tr w:rsidR="004E10C1" w:rsidRPr="0044524F" w14:paraId="4C264BED" w14:textId="77777777">
        <w:tc>
          <w:tcPr>
            <w:tcW w:w="1127" w:type="dxa"/>
          </w:tcPr>
          <w:p w14:paraId="07315AE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1127" w:type="dxa"/>
          </w:tcPr>
          <w:p w14:paraId="0B79EBA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127" w:type="dxa"/>
          </w:tcPr>
          <w:p w14:paraId="5F52FA7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127" w:type="dxa"/>
          </w:tcPr>
          <w:p w14:paraId="0D5F0D3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127" w:type="dxa"/>
          </w:tcPr>
          <w:p w14:paraId="128B692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127" w:type="dxa"/>
          </w:tcPr>
          <w:p w14:paraId="094DB30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127" w:type="dxa"/>
          </w:tcPr>
          <w:p w14:paraId="04DA777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FF6C09D" w14:textId="77777777">
        <w:tc>
          <w:tcPr>
            <w:tcW w:w="1127" w:type="dxa"/>
          </w:tcPr>
          <w:p w14:paraId="743B9D4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w:t>
            </w:r>
          </w:p>
        </w:tc>
        <w:tc>
          <w:tcPr>
            <w:tcW w:w="1127" w:type="dxa"/>
          </w:tcPr>
          <w:p w14:paraId="2E0ED43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146</w:t>
            </w:r>
          </w:p>
        </w:tc>
        <w:tc>
          <w:tcPr>
            <w:tcW w:w="1127" w:type="dxa"/>
          </w:tcPr>
          <w:p w14:paraId="09F006D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146</w:t>
            </w:r>
          </w:p>
        </w:tc>
        <w:tc>
          <w:tcPr>
            <w:tcW w:w="1127" w:type="dxa"/>
          </w:tcPr>
          <w:p w14:paraId="58433D2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68E9D5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48381DE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BE0F3D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71FB9CA" w14:textId="77777777">
        <w:tc>
          <w:tcPr>
            <w:tcW w:w="1127" w:type="dxa"/>
          </w:tcPr>
          <w:p w14:paraId="6848348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w:t>
            </w:r>
          </w:p>
        </w:tc>
        <w:tc>
          <w:tcPr>
            <w:tcW w:w="1127" w:type="dxa"/>
          </w:tcPr>
          <w:p w14:paraId="3513213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127" w:type="dxa"/>
          </w:tcPr>
          <w:p w14:paraId="39EEFBF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1127" w:type="dxa"/>
          </w:tcPr>
          <w:p w14:paraId="20455EF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127" w:type="dxa"/>
          </w:tcPr>
          <w:p w14:paraId="205A007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7D0353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4997297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410E440" w14:textId="77777777">
        <w:tc>
          <w:tcPr>
            <w:tcW w:w="1127" w:type="dxa"/>
          </w:tcPr>
          <w:p w14:paraId="27274D4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127" w:type="dxa"/>
          </w:tcPr>
          <w:p w14:paraId="29CB8C6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127" w:type="dxa"/>
          </w:tcPr>
          <w:p w14:paraId="00D64AC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80045D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127" w:type="dxa"/>
          </w:tcPr>
          <w:p w14:paraId="7D84C2E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1127" w:type="dxa"/>
          </w:tcPr>
          <w:p w14:paraId="693686F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127" w:type="dxa"/>
          </w:tcPr>
          <w:p w14:paraId="6BE38FC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tc>
      </w:tr>
      <w:tr w:rsidR="004E10C1" w:rsidRPr="0044524F" w14:paraId="2F9EC76F" w14:textId="77777777">
        <w:tc>
          <w:tcPr>
            <w:tcW w:w="1127" w:type="dxa"/>
          </w:tcPr>
          <w:p w14:paraId="67111C0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У1</w:t>
            </w:r>
          </w:p>
        </w:tc>
        <w:tc>
          <w:tcPr>
            <w:tcW w:w="1127" w:type="dxa"/>
          </w:tcPr>
          <w:p w14:paraId="166D1BE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tc>
        <w:tc>
          <w:tcPr>
            <w:tcW w:w="1127" w:type="dxa"/>
          </w:tcPr>
          <w:p w14:paraId="72D41AD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tc>
        <w:tc>
          <w:tcPr>
            <w:tcW w:w="1127" w:type="dxa"/>
          </w:tcPr>
          <w:p w14:paraId="4E16DDE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5E4CF14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48D0969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052D22D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835DCE1" w14:textId="77777777">
        <w:tc>
          <w:tcPr>
            <w:tcW w:w="1127" w:type="dxa"/>
          </w:tcPr>
          <w:p w14:paraId="7955B6A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1127" w:type="dxa"/>
          </w:tcPr>
          <w:p w14:paraId="684E046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365</w:t>
            </w:r>
          </w:p>
        </w:tc>
        <w:tc>
          <w:tcPr>
            <w:tcW w:w="1127" w:type="dxa"/>
          </w:tcPr>
          <w:p w14:paraId="140AEF0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127" w:type="dxa"/>
          </w:tcPr>
          <w:p w14:paraId="0281C28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575</w:t>
            </w:r>
          </w:p>
        </w:tc>
        <w:tc>
          <w:tcPr>
            <w:tcW w:w="1127" w:type="dxa"/>
          </w:tcPr>
          <w:p w14:paraId="47118C9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596</w:t>
            </w:r>
          </w:p>
        </w:tc>
        <w:tc>
          <w:tcPr>
            <w:tcW w:w="1127" w:type="dxa"/>
          </w:tcPr>
          <w:p w14:paraId="074B4FE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127" w:type="dxa"/>
          </w:tcPr>
          <w:p w14:paraId="6F443F1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r>
      <w:tr w:rsidR="004E10C1" w:rsidRPr="0044524F" w14:paraId="71EA0F28" w14:textId="77777777">
        <w:tc>
          <w:tcPr>
            <w:tcW w:w="1127" w:type="dxa"/>
          </w:tcPr>
          <w:p w14:paraId="3567772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w:t>
            </w:r>
          </w:p>
        </w:tc>
        <w:tc>
          <w:tcPr>
            <w:tcW w:w="1127" w:type="dxa"/>
          </w:tcPr>
          <w:p w14:paraId="5D52338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127" w:type="dxa"/>
          </w:tcPr>
          <w:p w14:paraId="3590D77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10A75E0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127" w:type="dxa"/>
          </w:tcPr>
          <w:p w14:paraId="7FD006C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c>
          <w:tcPr>
            <w:tcW w:w="1127" w:type="dxa"/>
          </w:tcPr>
          <w:p w14:paraId="6AA16D1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127" w:type="dxa"/>
          </w:tcPr>
          <w:p w14:paraId="4DE1FE6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9D169C3" w14:textId="77777777">
        <w:tc>
          <w:tcPr>
            <w:tcW w:w="1127" w:type="dxa"/>
          </w:tcPr>
          <w:p w14:paraId="3B546BE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w:t>
            </w:r>
          </w:p>
        </w:tc>
        <w:tc>
          <w:tcPr>
            <w:tcW w:w="1127" w:type="dxa"/>
          </w:tcPr>
          <w:p w14:paraId="30BBD52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30EC41E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72A84E5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127" w:type="dxa"/>
          </w:tcPr>
          <w:p w14:paraId="3DD27E9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127" w:type="dxa"/>
          </w:tcPr>
          <w:p w14:paraId="4F4FC4D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127" w:type="dxa"/>
          </w:tcPr>
          <w:p w14:paraId="42405A3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40F18AD" w14:textId="77777777">
        <w:tc>
          <w:tcPr>
            <w:tcW w:w="1127" w:type="dxa"/>
          </w:tcPr>
          <w:p w14:paraId="31D334C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ЗЕТ</w:t>
            </w:r>
          </w:p>
        </w:tc>
        <w:tc>
          <w:tcPr>
            <w:tcW w:w="1127" w:type="dxa"/>
          </w:tcPr>
          <w:p w14:paraId="0E9BC4E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08DE98C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5E970A1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127" w:type="dxa"/>
          </w:tcPr>
          <w:p w14:paraId="636AF65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127" w:type="dxa"/>
          </w:tcPr>
          <w:p w14:paraId="197A17B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7BED923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EE46314" w14:textId="77777777">
        <w:tc>
          <w:tcPr>
            <w:tcW w:w="1127" w:type="dxa"/>
          </w:tcPr>
          <w:p w14:paraId="323296D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w:t>
            </w:r>
          </w:p>
        </w:tc>
        <w:tc>
          <w:tcPr>
            <w:tcW w:w="1127" w:type="dxa"/>
          </w:tcPr>
          <w:p w14:paraId="59D08DF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127" w:type="dxa"/>
          </w:tcPr>
          <w:p w14:paraId="30E325D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1530165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127" w:type="dxa"/>
          </w:tcPr>
          <w:p w14:paraId="70D5713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4764A5D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7B3A192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33E324D" w14:textId="77777777">
        <w:tc>
          <w:tcPr>
            <w:tcW w:w="1127" w:type="dxa"/>
          </w:tcPr>
          <w:p w14:paraId="1AB9FC2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w:t>
            </w:r>
          </w:p>
        </w:tc>
        <w:tc>
          <w:tcPr>
            <w:tcW w:w="1127" w:type="dxa"/>
          </w:tcPr>
          <w:p w14:paraId="6C0BA18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153FF8A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5233056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0A62CEA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0B9ECA2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127" w:type="dxa"/>
          </w:tcPr>
          <w:p w14:paraId="65BD890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EA114EB" w14:textId="77777777">
        <w:tc>
          <w:tcPr>
            <w:tcW w:w="1127" w:type="dxa"/>
          </w:tcPr>
          <w:p w14:paraId="741C714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w:t>
            </w:r>
          </w:p>
        </w:tc>
        <w:tc>
          <w:tcPr>
            <w:tcW w:w="1127" w:type="dxa"/>
          </w:tcPr>
          <w:p w14:paraId="0232078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5456DCE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366034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1B98BED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4DDD33B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1127" w:type="dxa"/>
          </w:tcPr>
          <w:p w14:paraId="3A15BA8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C5D2A91" w14:textId="77777777">
        <w:tc>
          <w:tcPr>
            <w:tcW w:w="1127" w:type="dxa"/>
          </w:tcPr>
          <w:p w14:paraId="34AC79B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127" w:type="dxa"/>
          </w:tcPr>
          <w:p w14:paraId="57C5AB7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2018</w:t>
            </w:r>
          </w:p>
        </w:tc>
        <w:tc>
          <w:tcPr>
            <w:tcW w:w="1127" w:type="dxa"/>
          </w:tcPr>
          <w:p w14:paraId="554F82C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1058</w:t>
            </w:r>
          </w:p>
        </w:tc>
        <w:tc>
          <w:tcPr>
            <w:tcW w:w="1127" w:type="dxa"/>
          </w:tcPr>
          <w:p w14:paraId="66587C2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2660</w:t>
            </w:r>
          </w:p>
        </w:tc>
        <w:tc>
          <w:tcPr>
            <w:tcW w:w="1127" w:type="dxa"/>
          </w:tcPr>
          <w:p w14:paraId="6BA0EEE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1715</w:t>
            </w:r>
          </w:p>
        </w:tc>
        <w:tc>
          <w:tcPr>
            <w:tcW w:w="1127" w:type="dxa"/>
          </w:tcPr>
          <w:p w14:paraId="17F9762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3615</w:t>
            </w:r>
          </w:p>
        </w:tc>
        <w:tc>
          <w:tcPr>
            <w:tcW w:w="1127" w:type="dxa"/>
          </w:tcPr>
          <w:p w14:paraId="58374BA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 (3068,47).</w:t>
            </w:r>
          </w:p>
        </w:tc>
      </w:tr>
    </w:tbl>
    <w:p w14:paraId="7D36D6A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0CB704CA"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марта 1933 г. письмом №с11/001541сс начальник 1 отдела УМТСиВ УВВС Янсона и начальник 1 сектора 1 отдела Галдина с прил. «Сводка заказа авиапромышленности и выполнения продукции по годам» сообщили в аппарат СНК, что к этой дате (конец I квартала текущего года) завод №1 слал только 8 самолетов И-7 при плане на конец квартала 60 самолетов (24331).</w:t>
      </w:r>
    </w:p>
    <w:p w14:paraId="643F637E" w14:textId="77777777" w:rsidR="00B26E21" w:rsidRPr="0044524F" w:rsidRDefault="00B26E21" w:rsidP="009654CF">
      <w:pPr>
        <w:spacing w:after="0" w:line="240" w:lineRule="auto"/>
        <w:jc w:val="both"/>
        <w:rPr>
          <w:rFonts w:ascii="Times New Roman" w:hAnsi="Times New Roman"/>
          <w:color w:val="000000" w:themeColor="text1"/>
          <w:sz w:val="16"/>
          <w:szCs w:val="16"/>
        </w:rPr>
      </w:pPr>
    </w:p>
    <w:p w14:paraId="3BD6175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марта 1933 года Н. П. Сердюков, конструктор М-44 подготовил:</w:t>
      </w:r>
    </w:p>
    <w:p w14:paraId="1F4B424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w:t>
      </w:r>
    </w:p>
    <w:p w14:paraId="253B2C9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состоянии производства мотора М-44</w:t>
      </w:r>
    </w:p>
    <w:p w14:paraId="6A2A3B3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 образцы мотора М-44 не обеспечены поковками коленчатых валов. В данное время Институт располагает только одной не вполне кондиционной поковкой вала.</w:t>
      </w:r>
    </w:p>
    <w:p w14:paraId="712E030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поковки других деталей были изготовлены к октябрю 1931 года другими заводами.</w:t>
      </w:r>
    </w:p>
    <w:p w14:paraId="0D36BB7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Заказ на поковки коленчатых валов М-44 заводу им. Молотова дан был в апреле 1931 года. Завод неоднократно под всевозможными предлогами пытался отказаться от исполнения этого заказа. После приказа Наркомтяжпрома от 15 мая 1932 года об изготовлении коленчатых валов к 15 июля 1932 года, заводом были изготовлены штампы и откованы два вала. Но вследствие невнимательности к делу со стороны непосредственных исполнителей заказа, штампы были изготовлены с неправильными размерами (передняя шейка на 30 мм короче указанного в чертеже размера) и отштампованные в них валы были забракованы. После этого была попытка отодвинуть изготовление валов на … месяца под предлогом ремонта пресса. Повторным приказом наркома тяжпрома от 8 октября 1932 года эта попытка была пресечена. Штампы были исправлены и изготовлены новые слитки для ковки валов. Но благодаря неумелому ведению процессов нагрева и ковки, поковки дважды вышли в брак. Представителем института неоднократно указывалось на неправильность ведения процессов нагрева и ковки, но заводом им. Молотова даны новые сроки производства поковок валов: 1 вал к 15 февраля 1933 года и 5 валов к 15 апреля 1933 года приведут к срыву сроков Правительства по выпуску опытных моторов.</w:t>
      </w:r>
    </w:p>
    <w:p w14:paraId="07C1DC2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Сроки выпуска мотора М-44 из производства опытного завода Института изменяются из месяца в месяц, только один мотор обеспечен всеми необходимыми поковками. Срок выпуска мотора М-44 Правительством был установлен к 1 февраля 1933 года. руководством Института этот срок постановлением от 12 ноября 1932 года отложен до 1 марта 1933 года, а в декабре срок снова перенесен с 1 марта на 1 апреля 1933 года.</w:t>
      </w:r>
    </w:p>
    <w:p w14:paraId="3327B8E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сегодняшний день состояние деталей мотора в производстве таково, что не обеспечивает выход мотора и на 1 апреля 1933 года.</w:t>
      </w:r>
    </w:p>
    <w:p w14:paraId="15ED75F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опытной одноцилиндровой установки спроектированного мотора подтвердили правильность выбора параметров мотора М-44.</w:t>
      </w:r>
    </w:p>
    <w:p w14:paraId="51D3953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Основные данные мотора М-44: n=1500 об/мин., высотность Н=3500 м, уд. вес 0,8 кг/лс и расход топлива 200 г/л.с./час (3530,51).</w:t>
      </w:r>
    </w:p>
    <w:p w14:paraId="3D0F5A6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110D21CE"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марта 1933 г. вышел приказ №015/с начальника КО РККА Ефимова по отработке РС (11402).</w:t>
      </w:r>
    </w:p>
    <w:p w14:paraId="3FD68845"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4368DE5"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BEE40F6"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E3F151A" w14:textId="77777777" w:rsidR="00654D18" w:rsidRPr="0044524F" w:rsidRDefault="00654D18"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Не позднее 19 марта 1933 г. </w:t>
      </w:r>
      <w:r w:rsidRPr="0044524F">
        <w:rPr>
          <w:rFonts w:ascii="Times New Roman" w:hAnsi="Times New Roman"/>
          <w:color w:val="000000" w:themeColor="text1"/>
          <w:sz w:val="16"/>
          <w:szCs w:val="16"/>
        </w:rPr>
        <w:t>Справка Экономического управления ОГПУ СССР к докладу комиссии В. М. Молотова по порохам и взрывателям</w:t>
      </w:r>
    </w:p>
    <w:p w14:paraId="35196A53"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2B10D0DD"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Комиссией т. Молотова рассмотрены задания НКТП по производству порохов и взрыввеществ и обсуждены вопросы орг[анизационного] порядка для военно-химической промышленности, переданные для детальной разработки в подкомиссию т. Куйбышева Н.</w:t>
      </w:r>
    </w:p>
    <w:p w14:paraId="3F29788A"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Не имея никаких замечаний в отношении обязательности для НКТП принятых заданий, в отношении оргвопроса необходимо отметить его крупнейшее значение и вытекающую важность тщательной его разработки. Так как при данном состоянии технического руководства военно-химической промышленности все принятые НКТП цифры являются чисто теоретическими и не обеспечиваются. Об этом можно судить по систематическому из года в год невыполнению программ текущего производства, составляющих незначительную долю мобилизационных заданий.</w:t>
      </w:r>
    </w:p>
    <w:p w14:paraId="35022033" w14:textId="77777777" w:rsidR="00161F61" w:rsidRPr="0044524F" w:rsidRDefault="00161F61" w:rsidP="009654CF">
      <w:pPr>
        <w:pStyle w:val="rtejustify"/>
        <w:spacing w:before="0" w:after="0"/>
        <w:rPr>
          <w:color w:val="000000" w:themeColor="text1"/>
          <w:sz w:val="16"/>
          <w:szCs w:val="16"/>
        </w:rPr>
      </w:pPr>
      <w:r w:rsidRPr="0044524F">
        <w:rPr>
          <w:rStyle w:val="af0"/>
          <w:bCs/>
          <w:i w:val="0"/>
          <w:color w:val="000000" w:themeColor="text1"/>
          <w:sz w:val="16"/>
          <w:szCs w:val="16"/>
        </w:rPr>
        <w:t>По пороху</w:t>
      </w:r>
      <w:r w:rsidRPr="0044524F">
        <w:rPr>
          <w:color w:val="000000" w:themeColor="text1"/>
          <w:sz w:val="16"/>
          <w:szCs w:val="16"/>
        </w:rPr>
        <w:t>. При мобзадании в 57 тыс. т, сниженном до 47 тыс. т, программа текущего производства в 1932 г. с 13 тыс. т была снижена до 7 тыс. т и выполнена лишь в количестве 5 тыс. т, причем по ряду марок порохов (для м/к артиллерии, ВГ) подачи не было.</w:t>
      </w:r>
    </w:p>
    <w:p w14:paraId="2D9A04BE" w14:textId="77777777" w:rsidR="00161F61" w:rsidRPr="0044524F" w:rsidRDefault="00161F61" w:rsidP="009654CF">
      <w:pPr>
        <w:pStyle w:val="rtejustify"/>
        <w:spacing w:before="0" w:after="0"/>
        <w:rPr>
          <w:color w:val="000000" w:themeColor="text1"/>
          <w:sz w:val="16"/>
          <w:szCs w:val="16"/>
        </w:rPr>
      </w:pPr>
      <w:r w:rsidRPr="0044524F">
        <w:rPr>
          <w:rStyle w:val="af0"/>
          <w:bCs/>
          <w:i w:val="0"/>
          <w:color w:val="000000" w:themeColor="text1"/>
          <w:sz w:val="16"/>
          <w:szCs w:val="16"/>
        </w:rPr>
        <w:t>По заводам Военно-химического треста</w:t>
      </w:r>
      <w:r w:rsidRPr="0044524F">
        <w:rPr>
          <w:color w:val="000000" w:themeColor="text1"/>
          <w:sz w:val="16"/>
          <w:szCs w:val="16"/>
        </w:rPr>
        <w:t xml:space="preserve"> (взрывчатые вещества, капсюли, снаряжение) положение аналогично: при уменьшенности в течение года общем задании по текущему производству выполнено 72%, а по отдельным производствам еще ниже (мелинит — 57%, аммонал — 69%, по снаряжению снарядов — 59%, капсюльному снаряжению — 73%, противогазы — 65%. По отдельно взятым заводам положение с выполнением программы обстоит совершенно неудовлетворительно. Так, например, завод № 15 при росте основного капитала за пятилетие с 15 до 60 млн. руб. программу 1932 г. выполнил менее 50%.</w:t>
      </w:r>
    </w:p>
    <w:p w14:paraId="08B4BA0E"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Основными причинами этого, упирающимися в систему организации производства, являются:</w:t>
      </w:r>
    </w:p>
    <w:p w14:paraId="18525413"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Неправильное использование кадров</w:t>
      </w:r>
    </w:p>
    <w:p w14:paraId="29701E17"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При постоянных требованиях инженерно-технических кадров имеющиеся в изобилии силы используются явно нерационально. Так, при наличии в системе Вохимтреста 2313 ИТР около 50% их находится в аппаратах треста и заводоуправлений.</w:t>
      </w:r>
    </w:p>
    <w:p w14:paraId="4D3F333E"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lastRenderedPageBreak/>
        <w:t>В среднем 1 инженерно-технический работник приходится на 9 рабочих, и на каждые 25 рабочих — 1 ИТР с высшим или специальным средним образованием. По 4 пороховым заводам ВИВа (№ 25, № 14, № 40, № 9) на 16 тыс. рабочих имеется 1700 служащих и 1900 ИТР, из них 428 инженеров с высшим специальным образованием, 407 с законченным средним образованием и 1040 практиков. Таким образом, приходится на каждые 8 рабочих — 1 инженерно-технический работник, в том числе [на] 37 рабочих — 1 инженер с высшим и 1 техник со средним спецобразованием. Насколько это количество инженерно-технических работников велико, можно судить из того, что на крупнейшем пороховом заводе Германии — «Вазаг» во время войны при наличии 14 тыс. рабочих и производстве 24 тыс. т пороха имелось всего 23 инженера, 20 техников, 200 мастеров и 200 конторских работников, т. е. 1 инженер приходился почти на 700 рабочих (против наших 1 на 37).</w:t>
      </w:r>
    </w:p>
    <w:p w14:paraId="0C9DB807"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Произвольное ведение производственных процессов</w:t>
      </w:r>
    </w:p>
    <w:p w14:paraId="19A9AA9B"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Особая опасность производства наряду с высокими требованиями к качеству продукции требуют особой четкости и точности ведения производственных процессов во всех его стадиях, включительно до мелочей. Однако этого необходимого условия в производстве нет, о чем можно судить и по невыполнению программ, и по высокому проценту брака (по заводу № 15 брак по тротилу доходил до 70%, брак по капсюльным изделиям по заводу № 5 до 50% и т. д.). И, наконец, по количеству аварий и взрывов (только за 1932 г. по заводам Вохимтреста учтено 103 крупных взрыва, вспышек и аварий). Прежде всего это является результатом неправильного ведения технологического процесса, отсутствия письменных конструкций для техперсонала и грубейших нарушений правил техники безопасности, что признано в конъюнктурном отчете и самим ВХТ (см.²*) и зафиксировано особой правительственной комиссией. Технологическим процессом экспериментируют как и кому угодно, т. к. нигде не предусмотрена необходимость его утверждения и не запрещены изменения.</w:t>
      </w:r>
    </w:p>
    <w:p w14:paraId="1D02A96B"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Трестами также не было обеспечено техническое руководство заводами. (Подробно состояние технологии см. прилагаемую выборку из актов правительственной комиссии³*).</w:t>
      </w:r>
    </w:p>
    <w:p w14:paraId="0A2A2EB0"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Неправильное направление работы научно-исследовательского института</w:t>
      </w:r>
    </w:p>
    <w:p w14:paraId="0F4DCDFD"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Имеющийся Всесоюзный НИИ военно-химической промышленности (ВХНИИ) в составе 821 человека, в том числе 292 инженерно-технических работников и 171 служащих, в результате оторванности от нужд производства необходимой последнему помощи не оказывает. При расходе в 1932 г. около 2 млн. руб. из намеченных 266 тем закончено 84, из которых реализовано в промышленности всего 10, в том числе три темы, не имеющие сколько-нибудь серьезного практического значения. Темы же актуальные, как, например, установление процесса производства тротила, начинается в течение 3 лет каждый раз с начала, и до сего времени не проработана, также как, например, не дано анализа полученных образцов итальянского тротила для сравнения его с нашим. В стадии начальной проработки находятся вопросы производства мощных взрывных веществ — тэна и гексогена, для производства которых должны строиться новые заводы. Вопросы технологии производства на заводах также не охватываются НИИ.</w:t>
      </w:r>
    </w:p>
    <w:p w14:paraId="36E4114B"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Особого внимания в разрезе вопроса организации руководства заслуживает капитальное строительство военно-химической промышленности. За пятилетие в военно-химическое производство вложено около 300 млн. руб., в том числе в предприятия Вохимтреста вложено 165 млн. руб., из этой суммы 70 млн. руб. находятся в незавершенной стадии. Аналогично положение по пороховым заводам. Несмотря на колоссальность вложений и удвоение основного капитала (по ВХТ с 90 до 184 млн. руб.) мощности заводов лимитируются узкими местами, к которым, как правило, относятся пароэнергосиловое и водное хозяйства, также не произведено и соответствующей размеру капиталовложений технической реконструкции, и все основные производства остаются при старых методах.</w:t>
      </w:r>
    </w:p>
    <w:p w14:paraId="66782E6E"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В заключение особо следует отметить, что на заседании комиссии т. Молотова начальник ВХТ т. Сырцов сделал заявление, что облегчить наличное положение треста могло бы предоставление в распоряжение треста из ОГПУ осужденных специалистов, где они, по заявлению т. Сырцова, «задерживаются по коммерческим соображениям ОГПУ». Насколько тресты насыщены специалистами, показано выше.</w:t>
      </w:r>
    </w:p>
    <w:p w14:paraId="2B9A170A"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В этих ОКБ ЭКУ ОГПУ⁴* занято осужденных специалистов 14⁵*. Этой группой специалистов проведена и ведется для военной химии исключительно большая и эффективная работа, не сравнимая ни с результатами, ни с затратами ВХНИИ (см. прилагаемую справку).</w:t>
      </w:r>
    </w:p>
    <w:p w14:paraId="5172B5BF" w14:textId="77777777" w:rsidR="00161F61" w:rsidRPr="0044524F" w:rsidRDefault="00161F61" w:rsidP="009654CF">
      <w:pPr>
        <w:pStyle w:val="rtejustify"/>
        <w:spacing w:before="0" w:after="0"/>
        <w:rPr>
          <w:color w:val="000000" w:themeColor="text1"/>
          <w:sz w:val="16"/>
          <w:szCs w:val="16"/>
        </w:rPr>
      </w:pPr>
      <w:r w:rsidRPr="0044524F">
        <w:rPr>
          <w:rStyle w:val="af0"/>
          <w:i w:val="0"/>
          <w:color w:val="000000" w:themeColor="text1"/>
          <w:sz w:val="16"/>
          <w:szCs w:val="16"/>
        </w:rPr>
        <w:t>Приложение</w:t>
      </w:r>
      <w:r w:rsidRPr="0044524F">
        <w:rPr>
          <w:color w:val="000000" w:themeColor="text1"/>
          <w:sz w:val="16"/>
          <w:szCs w:val="16"/>
        </w:rPr>
        <w:t>: Докладная записка о работах по порохам и взрывчатым веществам ОКБ⁶*.</w:t>
      </w:r>
    </w:p>
    <w:p w14:paraId="38B3356E" w14:textId="77777777" w:rsidR="00161F61" w:rsidRPr="0044524F" w:rsidRDefault="00161F61"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ЭКУ ОГПУ Миронов</w:t>
      </w:r>
    </w:p>
    <w:p w14:paraId="4E159D05" w14:textId="77777777" w:rsidR="00161F61" w:rsidRPr="0044524F" w:rsidRDefault="00161F61"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4 отд. ЭКУ Калецкий</w:t>
      </w:r>
    </w:p>
    <w:p w14:paraId="2E359D69" w14:textId="77777777" w:rsidR="00161F61" w:rsidRPr="0044524F" w:rsidRDefault="00161F61"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59E4A1C1"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¹* Дата проведения заседания комиссии В. М. Молотова.</w:t>
      </w:r>
    </w:p>
    <w:p w14:paraId="331E566F"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²* Данные в тексте отсутствуют.</w:t>
      </w:r>
    </w:p>
    <w:p w14:paraId="2DE6BAB0"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³* Приложение не публикуется (см. ЦА ФСБ РФ. Ф. 2. Оп. 11. Д. 405. Л. 19</w:t>
      </w:r>
      <w:r w:rsidRPr="0044524F">
        <w:rPr>
          <w:color w:val="000000" w:themeColor="text1"/>
          <w:sz w:val="16"/>
          <w:szCs w:val="16"/>
        </w:rPr>
        <w:noBreakHyphen/>
        <w:t>27).</w:t>
      </w:r>
    </w:p>
    <w:p w14:paraId="0794CE07"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⁴* Особое значение в 1930</w:t>
      </w:r>
      <w:r w:rsidRPr="0044524F">
        <w:rPr>
          <w:color w:val="000000" w:themeColor="text1"/>
          <w:sz w:val="16"/>
          <w:szCs w:val="16"/>
        </w:rPr>
        <w:noBreakHyphen/>
        <w:t xml:space="preserve">е гг. приобрела сеть секретных научно-исследовательских или проектных учреждений — </w:t>
      </w:r>
      <w:r w:rsidRPr="0044524F">
        <w:rPr>
          <w:rStyle w:val="af0"/>
          <w:bCs/>
          <w:i w:val="0"/>
          <w:color w:val="000000" w:themeColor="text1"/>
          <w:sz w:val="16"/>
          <w:szCs w:val="16"/>
        </w:rPr>
        <w:t>особые конструкторские бюро, специальные технические бюро</w:t>
      </w:r>
      <w:r w:rsidRPr="0044524F">
        <w:rPr>
          <w:color w:val="000000" w:themeColor="text1"/>
          <w:sz w:val="16"/>
          <w:szCs w:val="16"/>
        </w:rPr>
        <w:t xml:space="preserve"> и др., существовавшие в 1931</w:t>
      </w:r>
      <w:r w:rsidRPr="0044524F">
        <w:rPr>
          <w:color w:val="000000" w:themeColor="text1"/>
          <w:sz w:val="16"/>
          <w:szCs w:val="16"/>
        </w:rPr>
        <w:noBreakHyphen/>
        <w:t>1955 гг. в системе ОГПУ-НКВД, так называемые «шарашки». Основной состав «шарашек» — заключенные специалисты. В их числе действовали: ОКБ</w:t>
      </w:r>
      <w:r w:rsidRPr="0044524F">
        <w:rPr>
          <w:color w:val="000000" w:themeColor="text1"/>
          <w:sz w:val="16"/>
          <w:szCs w:val="16"/>
        </w:rPr>
        <w:noBreakHyphen/>
        <w:t>12, которое в 1931</w:t>
      </w:r>
      <w:r w:rsidRPr="0044524F">
        <w:rPr>
          <w:color w:val="000000" w:themeColor="text1"/>
          <w:sz w:val="16"/>
          <w:szCs w:val="16"/>
        </w:rPr>
        <w:noBreakHyphen/>
        <w:t>1932 гг., помещалось в Доме предварительного заключения и специализировалось на архитектурно-проектных работах, ОКБ Управления НКВД по Ленинградской области, которое помещалось в здании тюрьмы «Кресты» и специализировалось на разработках в области артиллерии, ОКБ</w:t>
      </w:r>
      <w:r w:rsidRPr="0044524F">
        <w:rPr>
          <w:color w:val="000000" w:themeColor="text1"/>
          <w:sz w:val="16"/>
          <w:szCs w:val="16"/>
        </w:rPr>
        <w:noBreakHyphen/>
        <w:t>5 — Судоверфь Морпогранохраны НКВД, ныне морской завод «Алмаз», ОКБ</w:t>
      </w:r>
      <w:r w:rsidRPr="0044524F">
        <w:rPr>
          <w:color w:val="000000" w:themeColor="text1"/>
          <w:sz w:val="16"/>
          <w:szCs w:val="16"/>
        </w:rPr>
        <w:noBreakHyphen/>
        <w:t>196 — конструирование подводных лодок, ныне ЦКБ «Рубин», ОКБ на Кировском заводе в Ленинграде вело работы по разработке береговой артиллерии.</w:t>
      </w:r>
    </w:p>
    <w:p w14:paraId="72B09F15"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⁵* Цифра вписана от руки.</w:t>
      </w:r>
    </w:p>
    <w:p w14:paraId="7CD3DFD6" w14:textId="77777777" w:rsidR="00161F61" w:rsidRPr="0044524F" w:rsidRDefault="00161F61" w:rsidP="009654CF">
      <w:pPr>
        <w:pStyle w:val="rtejustify"/>
        <w:spacing w:before="0" w:after="0"/>
        <w:rPr>
          <w:color w:val="000000" w:themeColor="text1"/>
          <w:sz w:val="16"/>
          <w:szCs w:val="16"/>
        </w:rPr>
      </w:pPr>
      <w:r w:rsidRPr="0044524F">
        <w:rPr>
          <w:color w:val="000000" w:themeColor="text1"/>
          <w:sz w:val="16"/>
          <w:szCs w:val="16"/>
        </w:rPr>
        <w:t>⁶* Приложение не публикуется.</w:t>
      </w:r>
    </w:p>
    <w:p w14:paraId="673F14A5" w14:textId="77777777" w:rsidR="00161F61" w:rsidRPr="0044524F" w:rsidRDefault="00161F61" w:rsidP="009654CF">
      <w:pPr>
        <w:pStyle w:val="ae"/>
        <w:spacing w:before="0" w:after="0"/>
        <w:jc w:val="both"/>
        <w:rPr>
          <w:color w:val="000000" w:themeColor="text1"/>
          <w:sz w:val="16"/>
          <w:szCs w:val="16"/>
        </w:rPr>
      </w:pPr>
      <w:r w:rsidRPr="0044524F">
        <w:rPr>
          <w:color w:val="000000" w:themeColor="text1"/>
          <w:sz w:val="16"/>
          <w:szCs w:val="16"/>
        </w:rPr>
        <w:t>ЦА ФСБ. Ф. 2. Оп. 11. Д. 278. Л. 6-10. Подлинник (15255).</w:t>
      </w:r>
    </w:p>
    <w:p w14:paraId="7A07DA2D" w14:textId="77777777" w:rsidR="00161F61" w:rsidRPr="0044524F" w:rsidRDefault="00161F6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B091C0"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марта 1933 г. вышел приказ начальника УММ РККА №05, в соответствии с которым провели испытания опытной самоходной установки СУ-76К (в ряде источников ТПК-27, или СУ-3) с 76 мм пушкой Курчевского. 25 и 26 марта 1933 г. на полигоне МКУКС в Кунцево одновременно ис-пытывались несколько самоходных артсистем с пушками Курчевского: на танкетке Т-27, танке Т-26, бронеавтомобиле БАИ и трехосном автомобиле «Форд» (25554). </w:t>
      </w:r>
    </w:p>
    <w:p w14:paraId="28D47ABF" w14:textId="77777777" w:rsidR="00F47692" w:rsidRPr="00142305" w:rsidRDefault="00F47692" w:rsidP="00F47692">
      <w:pPr>
        <w:spacing w:after="0" w:line="240" w:lineRule="auto"/>
        <w:jc w:val="both"/>
        <w:rPr>
          <w:rFonts w:ascii="Times New Roman" w:hAnsi="Times New Roman"/>
          <w:color w:val="0070C0"/>
          <w:sz w:val="16"/>
          <w:szCs w:val="16"/>
        </w:rPr>
      </w:pPr>
    </w:p>
    <w:p w14:paraId="1A49E131"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 марта 1933 г. на вооружение РККА было принято 1411 танков Т-26, 2146 танкеток Т-27 и 522 танка БТ. Причем качество изготовления практически всех этих танков было никуда не годным, что являлось прямым след</w:t>
      </w:r>
      <w:r w:rsidRPr="0044524F">
        <w:rPr>
          <w:rFonts w:ascii="Times New Roman" w:hAnsi="Times New Roman"/>
          <w:color w:val="000000" w:themeColor="text1"/>
          <w:sz w:val="16"/>
          <w:szCs w:val="16"/>
        </w:rPr>
        <w:softHyphen/>
        <w:t>ствием поспешности изготовления и неподготовленности производства. Несмотря на то что в 1933 г. на вооружении уже состоял однобашенный пушечный танк Т-26, производство двухбашенных машин продолжалось (10733,180).</w:t>
      </w:r>
    </w:p>
    <w:p w14:paraId="1F50DD8F"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C5078BC" w14:textId="77777777" w:rsidR="002E1BE7" w:rsidRPr="0044524F" w:rsidRDefault="002E1BE7" w:rsidP="009654CF">
      <w:pPr>
        <w:pStyle w:val="ae"/>
        <w:spacing w:before="0" w:after="0"/>
        <w:jc w:val="both"/>
        <w:rPr>
          <w:color w:val="000000" w:themeColor="text1"/>
          <w:sz w:val="16"/>
          <w:szCs w:val="16"/>
        </w:rPr>
      </w:pPr>
      <w:r w:rsidRPr="0044524F">
        <w:rPr>
          <w:iCs/>
          <w:color w:val="000000" w:themeColor="text1"/>
          <w:sz w:val="16"/>
          <w:szCs w:val="16"/>
        </w:rPr>
        <w:t xml:space="preserve">«К 19 марта 1933 г. на вооружение РККА было принято 1411 танков Т-26, 2146 танкеток Т-27 и 522 танка БТ. </w:t>
      </w:r>
      <w:r w:rsidRPr="0044524F">
        <w:rPr>
          <w:bCs/>
          <w:iCs/>
          <w:color w:val="000000" w:themeColor="text1"/>
          <w:sz w:val="16"/>
          <w:szCs w:val="16"/>
        </w:rPr>
        <w:t>Причем качество изготовления практически всех этих танков было никуда не годным, что являлось прямым следствием поспешности изготовления и неподготовленности производства</w:t>
      </w:r>
      <w:r w:rsidRPr="0044524F">
        <w:rPr>
          <w:iCs/>
          <w:color w:val="000000" w:themeColor="text1"/>
          <w:sz w:val="16"/>
          <w:szCs w:val="16"/>
        </w:rPr>
        <w:t>»</w:t>
      </w:r>
      <w:hyperlink r:id="rId105" w:anchor="n_9" w:history="1">
        <w:r w:rsidRPr="0044524F">
          <w:rPr>
            <w:rStyle w:val="a5"/>
            <w:color w:val="000000" w:themeColor="text1"/>
            <w:sz w:val="16"/>
            <w:szCs w:val="16"/>
          </w:rPr>
          <w:t>[</w:t>
        </w:r>
        <w:r w:rsidRPr="0044524F">
          <w:rPr>
            <w:iCs/>
            <w:color w:val="000000" w:themeColor="text1"/>
            <w:sz w:val="16"/>
            <w:szCs w:val="16"/>
          </w:rPr>
          <w:t xml:space="preserve"> Свирин М. Н.</w:t>
        </w:r>
        <w:r w:rsidRPr="0044524F">
          <w:rPr>
            <w:color w:val="000000" w:themeColor="text1"/>
            <w:sz w:val="16"/>
            <w:szCs w:val="16"/>
          </w:rPr>
          <w:t xml:space="preserve"> Танковая мощь СССР. М.: Яуза-Эксмо, 2009, с. 101.</w:t>
        </w:r>
        <w:r w:rsidRPr="0044524F">
          <w:rPr>
            <w:rStyle w:val="a5"/>
            <w:color w:val="000000" w:themeColor="text1"/>
            <w:sz w:val="16"/>
            <w:szCs w:val="16"/>
          </w:rPr>
          <w:t>9]</w:t>
        </w:r>
      </w:hyperlink>
      <w:r w:rsidRPr="0044524F">
        <w:rPr>
          <w:rStyle w:val="a5"/>
          <w:color w:val="000000" w:themeColor="text1"/>
          <w:sz w:val="16"/>
          <w:szCs w:val="16"/>
        </w:rPr>
        <w:t xml:space="preserve"> (12624)</w:t>
      </w:r>
      <w:r w:rsidRPr="0044524F">
        <w:rPr>
          <w:color w:val="000000" w:themeColor="text1"/>
          <w:sz w:val="16"/>
          <w:szCs w:val="16"/>
        </w:rPr>
        <w:t>.</w:t>
      </w:r>
    </w:p>
    <w:p w14:paraId="3634B092" w14:textId="77777777" w:rsidR="002E1BE7" w:rsidRPr="0044524F" w:rsidRDefault="002E1BE7" w:rsidP="009654CF">
      <w:pPr>
        <w:pStyle w:val="ae"/>
        <w:spacing w:before="0" w:after="0"/>
        <w:jc w:val="both"/>
        <w:rPr>
          <w:color w:val="000000" w:themeColor="text1"/>
          <w:sz w:val="16"/>
          <w:szCs w:val="16"/>
        </w:rPr>
      </w:pPr>
    </w:p>
    <w:p w14:paraId="1E6696A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 марта 1933 года на вооружение РККА было принято 1411 Т-26, 2146 танкеток и 522 танка БТ. Причем качество изготовления практически всех этих машин было отвратительным. Например, в 1932 году было изготовлено 1410 Т-26, предъявлено к сдаче 1361 танк, а войска приняли лишь 950 (11809).</w:t>
      </w:r>
    </w:p>
    <w:p w14:paraId="60AE2E5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1195B1DC"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19 марта 1933 г. на вооружении РККА уже имелось 1411 танков Т-26 (25184).</w:t>
      </w:r>
    </w:p>
    <w:p w14:paraId="36D4FA0C" w14:textId="77777777" w:rsidR="00F47692" w:rsidRPr="00142305" w:rsidRDefault="00F47692" w:rsidP="00F47692">
      <w:pPr>
        <w:spacing w:after="0" w:line="240" w:lineRule="auto"/>
        <w:jc w:val="both"/>
        <w:rPr>
          <w:rStyle w:val="aff"/>
          <w:rFonts w:ascii="Times New Roman" w:hAnsi="Times New Roman" w:cs="Times New Roman"/>
          <w:color w:val="0070C0"/>
          <w:spacing w:val="0"/>
          <w:sz w:val="16"/>
          <w:szCs w:val="16"/>
        </w:rPr>
      </w:pPr>
    </w:p>
    <w:p w14:paraId="1534260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марта 1933 г. «Гипроив» (6-й Государственный проектный институт (ГСПИ-6) НКОП, НКБ, Специальная государственная контора по проектированию фабрик искусственного волокна («Стройволокно») ВСНХ, Государственная проектная контора «Воивпроект», Государственный институт проектирования предприятий искусственного волокна «Гипроив», «Гипроспецхим» (ГСХ) НКТП /г. Москва/) был объединен с институтом «Вохимпроект» в единый проектный институт военно-химической промышленности «Гипроспецхим», который стал генеральным проектировщиком всех заводов по производству спецхимии. В соответствии с пост. СНК № 2139-425сс от 21.12.1936г. и пр. НКОП № 05с от 29.12.1936г. «Гипроспецхим» передан из НКТП в ГУ военно-химической промышленности НКОП. По пр. НКОП № 011с от 28.01.1937г. «Гипроспецхим» переименован в 6-й ГПИ, пр. № 433 от 22.12.1937г. утвержден Устав института. В 1937 г. он разделен на два института: ГССПИ-1 и ГСПИ-6. В 03.1937г. ГПИ-6 - в ведении 6ГУ, по пр. № 0089 от 20.04.1937г. передан из 6ГУ в новое 11ГУ. В 02.1939г. ГПИ № 6 11ГУ НКОП передан в ведение 11ГУ НКБ.</w:t>
      </w:r>
      <w:r w:rsidRPr="0044524F">
        <w:rPr>
          <w:rFonts w:ascii="Times New Roman" w:hAnsi="Times New Roman"/>
          <w:color w:val="000000" w:themeColor="text1"/>
          <w:sz w:val="16"/>
          <w:szCs w:val="16"/>
          <w:vertAlign w:val="superscript"/>
        </w:rPr>
        <w:t>132</w:t>
      </w:r>
      <w:r w:rsidRPr="0044524F">
        <w:rPr>
          <w:rFonts w:ascii="Times New Roman" w:hAnsi="Times New Roman"/>
          <w:color w:val="000000" w:themeColor="text1"/>
          <w:sz w:val="16"/>
          <w:szCs w:val="16"/>
        </w:rPr>
        <w:t xml:space="preserve"> В 1948г. ГСПИ-6 вновь влит в состав ГССПИ-1.</w:t>
      </w:r>
    </w:p>
    <w:p w14:paraId="0CA4C34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Институт по проектированию предприятий - производителей сырья для пороховой промышленности. С 1933г. по проектам института проводилась реконструкция действующих производств и строительство новых производств- баллиститных порохов, ТЭНа, гексогена. Приказом № 0065 от 29.03.1937г. институту предписано закончить к 1.04.1937г. все проектные работы по Кемеровскому химкомбинату; приказом № 0074 от 11.04.1937г. - выделить из состава института спецбригаду проектировщиков для окончания проектирования завода № 98; приказом № 00103 от 9.05.1937г. - закончить к 15.07.1937г. техпроект завода № 80. Приказом № 0198 от 9.09.1937г. на институт возложено проектирование пороховых заводов, в связи с этим ему переданы из КБ-25 отделы , по проектированию снаряжения ВВ, пиротехники и сектора: строительный, сантехнический, электротехнический, оборудования ТЭС, сметный и подсобные сектора со всем личным составом. По пр. № 201с от 4/7.06.1938г. организованы группы по пироксилину и по пороху; институту поручено спроектировать по заданию НИИ-6 опытно-заводские установки для проверки ускоренного прессования пороха для завода № 9.</w:t>
      </w:r>
    </w:p>
    <w:p w14:paraId="27E331C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(-03.1937-06.1938г.-)- А.С. Скобелев, (11.1943г.)- Трилестник.</w:t>
      </w:r>
    </w:p>
    <w:p w14:paraId="51F8D29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Гл. инженер (-05.1937-38г.-)- Лясоцкий.</w:t>
      </w:r>
    </w:p>
    <w:p w14:paraId="51B2DE8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инженеры проектов: (1938г.)- Коваленко (завод № 204), Акин (завод № 144), (-09.1938г.)- Лихушин.</w:t>
      </w:r>
    </w:p>
    <w:p w14:paraId="560F3FA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механического (11.1943г.)- Зимин.</w:t>
      </w:r>
      <w:r w:rsidRPr="0044524F">
        <w:rPr>
          <w:rFonts w:ascii="Times New Roman" w:hAnsi="Times New Roman"/>
          <w:color w:val="000000" w:themeColor="text1"/>
          <w:sz w:val="16"/>
          <w:szCs w:val="16"/>
          <w:vertAlign w:val="superscript"/>
        </w:rPr>
        <w:t>132</w:t>
      </w:r>
    </w:p>
    <w:p w14:paraId="2208B68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секторов: водоснабжения (1938г.)- Сидоров.</w:t>
      </w:r>
    </w:p>
    <w:p w14:paraId="434EB42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сектора: энергетического (1938г.)- Хотеев.</w:t>
      </w:r>
    </w:p>
    <w:p w14:paraId="3D63147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групп: по пироксилину (06.1938г.-)- Тарасов; по пороху (06.1938г.-)- Ауэр (11982).</w:t>
      </w:r>
    </w:p>
    <w:p w14:paraId="1D14E53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45AA0323" w14:textId="77777777" w:rsidR="00161F61" w:rsidRPr="0044524F" w:rsidRDefault="00161F61" w:rsidP="009654CF">
      <w:pPr>
        <w:pStyle w:val="ae"/>
        <w:spacing w:before="0" w:after="0"/>
        <w:jc w:val="both"/>
        <w:rPr>
          <w:color w:val="000000" w:themeColor="text1"/>
          <w:sz w:val="16"/>
          <w:szCs w:val="16"/>
        </w:rPr>
      </w:pPr>
      <w:r w:rsidRPr="0044524F">
        <w:rPr>
          <w:color w:val="000000" w:themeColor="text1"/>
          <w:sz w:val="16"/>
          <w:szCs w:val="16"/>
        </w:rPr>
        <w:t>19 марта 1933 г. Наморси Орлов утвердил «тактическое задание на легкий крейсер с механизмами (турбинами) итальянского крейсера «Монтекукколи». Крейсер был спущен на воду в рекордно короткие сроки – уже 30 ноября 1936 г., а 12 марта 1937 г. на нем впервые подняли пары и проверили работу турбин (итальянской поставки). Советское руководство стало считать, что строительство первого советского крейсера (Киров) завершится в ближайшее время, но тут начались задержки с производством артиллерийского и радиовооружения и других компонент. Причины задержек были непонятны и стали вызывать раздражение.</w:t>
      </w:r>
    </w:p>
    <w:p w14:paraId="26472A3C" w14:textId="77777777" w:rsidR="00161F61" w:rsidRPr="0044524F" w:rsidRDefault="00161F61" w:rsidP="009654CF">
      <w:pPr>
        <w:pStyle w:val="ae"/>
        <w:spacing w:before="0" w:after="0"/>
        <w:jc w:val="both"/>
        <w:rPr>
          <w:color w:val="000000" w:themeColor="text1"/>
          <w:sz w:val="16"/>
          <w:szCs w:val="16"/>
        </w:rPr>
      </w:pPr>
      <w:r w:rsidRPr="0044524F">
        <w:rPr>
          <w:color w:val="000000" w:themeColor="text1"/>
          <w:sz w:val="16"/>
          <w:szCs w:val="16"/>
        </w:rPr>
        <w:t>Дело, однако, продолжало двигаться крайне медленно. Стали задумываться на крайний случай для главного калибра использовать ПУС «Мина-7», а для зенитного калибра заказать МПУАЗО и силовые следящие приводы заказать в Италии (15736).</w:t>
      </w:r>
    </w:p>
    <w:p w14:paraId="132C1571" w14:textId="77777777" w:rsidR="00161F61" w:rsidRPr="0044524F" w:rsidRDefault="00161F61" w:rsidP="009654CF">
      <w:pPr>
        <w:pStyle w:val="ae"/>
        <w:spacing w:before="0" w:after="0"/>
        <w:jc w:val="both"/>
        <w:rPr>
          <w:color w:val="000000" w:themeColor="text1"/>
          <w:sz w:val="16"/>
          <w:szCs w:val="16"/>
        </w:rPr>
      </w:pPr>
    </w:p>
    <w:p w14:paraId="1D3F5B22"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297DAFB"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6B8886E"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19 марта</w:t>
      </w:r>
      <w:r w:rsidRPr="0044524F">
        <w:rPr>
          <w:rFonts w:ascii="Times New Roman" w:hAnsi="Times New Roman"/>
          <w:color w:val="000000" w:themeColor="text1"/>
          <w:sz w:val="16"/>
          <w:szCs w:val="16"/>
        </w:rPr>
        <w:t xml:space="preserve"> в 1933 году Бенито Муссолини, премьер-министр Италии, предлагает заключить пакт с Великобританией, Францией и Германией (будет подписан 15 июля) (15073).</w:t>
      </w:r>
    </w:p>
    <w:p w14:paraId="6056B51B"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796EC22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марта 1933 Салазар в Португалии издал новую конституцию, давшую ему диктаторские полномочия (3186).</w:t>
      </w:r>
    </w:p>
    <w:p w14:paraId="291AF08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0989C129" w14:textId="77777777" w:rsidR="00474353" w:rsidRPr="0044524F" w:rsidRDefault="004743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марта 1933 премьер-министр Португалии Антониу Салазар наделен диктаторскими полномочиями (4962).</w:t>
      </w:r>
    </w:p>
    <w:p w14:paraId="04C40722" w14:textId="77777777" w:rsidR="00474353" w:rsidRPr="0044524F" w:rsidRDefault="004743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525088"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3E85F8D"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4A67EA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 Харламов подписал Письмо Нач. ГУАП П.И.Б. (копии УВВС Алкснису, ЦАГИ, ЦИАМ) по вопросу о приобретении нагнетателя Рато к М-34. Он прибыл в Париж 6 марта совместно с Шумилиным. Переговоры велись 8 марта и были успешными. Согласно запроса ГУАП 1931 РАТО согласилась изготовить нагнетатель к М-34 на 8000 м. 8 апреля 1932 фирма РАТО согласилась поставить 20 нагнетателей к М-34 по цене 90 тыс. франков за штуку со сроком поставки 6 мес. Не получая ответа фирма прекратила переговоры с Торгпредством. Потом согласилась (2304,20).</w:t>
      </w:r>
    </w:p>
    <w:p w14:paraId="4255FC73"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вопросу о нагнетателе Рато к М34 я, б/Ш-33 года, совместно с тов. ШУМИЛИНВМ, прибыл в Париж. На наш запрос от 31 г. фирма РАТО была согласна изготовить нагнетатель к М34 на высотность 8000 м.</w:t>
      </w:r>
    </w:p>
    <w:p w14:paraId="77C2A68F"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8/1У -32 г. фирма дала свое предложение на поставку нам 20 нагнетателей к М34 по цене 90.000 франков за штуку со сроком поставки через 6месяцев первый, а далее через месяц второй и затем в каждые 2 недели по одному. Условия платежа - 50% наличными при заказе, а 50% по сдаче. </w:t>
      </w:r>
    </w:p>
    <w:p w14:paraId="017CB38A"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получая никакого ответа на свое предложение, фирма прекратила разговоры с нашим Торгпредством. Когда в феврале с.г. т. МАЛЕВИЧ хотел через фирму РАТО получить для въезда во Францию визы для меня и т. ШУМИЛИНА, как едущих для переговоров с фирмой, то она отказалась поддержать ходатайство, считая,что мы не имеем с ней дело. Визы были получены через Гном-Рон.</w:t>
      </w:r>
    </w:p>
    <w:p w14:paraId="280064B7"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по вызову тов. МАЛЕВИЧА, представитель фирмы явился для переговоров по поводу своего предложения от 8/1У-32 г. и заявил, что это предложение остается в силе и в данный момент, т.е. на 8/Ш-33 г. Заказ -большого количества компрессоров (20 шт.) фирма мотивировала тем, что ей придется произвести большие затраты на инструмент...</w:t>
      </w:r>
    </w:p>
    <w:p w14:paraId="3224811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10/Ш-19333 в Торгпредство прибыл представитель фирмы, который демонстрировал нам :а) литье (маке т) нагнетателя на 5800 м...</w:t>
      </w:r>
    </w:p>
    <w:p w14:paraId="3D78648C"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моменты указанного выше предложения фирмы записаны в ее письменном предложении от 10/Ш-33 г.</w:t>
      </w:r>
    </w:p>
    <w:p w14:paraId="4EB61840"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того, чтобы дальше иметь возможность вести переговоры с фирмой нужно указание Парижскому Торгпредству о заключении договора с фирмой и указания суммы (лицензии).</w:t>
      </w:r>
    </w:p>
    <w:p w14:paraId="3ACD390D"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сказать, что цена 900.000 фр. не окончательная и по-моему мнению ее можно будет при детальных переговорах с фир</w:t>
      </w:r>
      <w:r w:rsidRPr="0044524F">
        <w:rPr>
          <w:rFonts w:ascii="Times New Roman" w:hAnsi="Times New Roman"/>
          <w:color w:val="000000" w:themeColor="text1"/>
          <w:sz w:val="16"/>
          <w:szCs w:val="16"/>
        </w:rPr>
        <w:softHyphen/>
        <w:t>мой уменьшить.</w:t>
      </w:r>
    </w:p>
    <w:p w14:paraId="6E126D7A"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Получитьк какую либо дальнейшую техническую информацию без конкретного договора на заказ -чрезвычайно трудно.</w:t>
      </w:r>
    </w:p>
    <w:p w14:paraId="53FEE5A5"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Уезжая из Парижа, я оставил там до 23/Ш т. ШУМИЛИНА, которому поручил подготовить техусловия к договору и принять участие в разработке договора, если будет распоряжение из Москвы.</w:t>
      </w:r>
    </w:p>
    <w:p w14:paraId="74BCBC63"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Лично я считаю, что следует заказать фирме РАТО компрес</w:t>
      </w:r>
      <w:r w:rsidRPr="0044524F">
        <w:rPr>
          <w:rFonts w:ascii="Times New Roman" w:hAnsi="Times New Roman"/>
          <w:color w:val="000000" w:themeColor="text1"/>
          <w:sz w:val="16"/>
          <w:szCs w:val="16"/>
        </w:rPr>
        <w:softHyphen/>
        <w:t>сор к М34 на 8000 мт. высотности весом в 35 клг., включив в дого</w:t>
      </w:r>
      <w:r w:rsidRPr="0044524F">
        <w:rPr>
          <w:rFonts w:ascii="Times New Roman" w:hAnsi="Times New Roman"/>
          <w:color w:val="000000" w:themeColor="text1"/>
          <w:sz w:val="16"/>
          <w:szCs w:val="16"/>
        </w:rPr>
        <w:softHyphen/>
        <w:t>вор все необходимые гарантии, как их давала фирма или требовали мы. Риск в этом заказе, безусловно, есть, т.к. мы будем заказы</w:t>
      </w:r>
      <w:r w:rsidRPr="0044524F">
        <w:rPr>
          <w:rFonts w:ascii="Times New Roman" w:hAnsi="Times New Roman"/>
          <w:color w:val="000000" w:themeColor="text1"/>
          <w:sz w:val="16"/>
          <w:szCs w:val="16"/>
        </w:rPr>
        <w:softHyphen/>
        <w:t>вать нагнетатель на 8000 м., который фирма в серии не строит, а будет изготовлять специально для нас. Однако, следует сказать, что ни у Юнкерса, ни у Фармана также нет нагнетателей на 8000м, которые строились бы серийно.</w:t>
      </w:r>
    </w:p>
    <w:p w14:paraId="07940CD1"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ШУМИЛИН, участвовавший в переговорах с фирмой, также считает необходимым выдать заказ фирме РАТО (2304,20).</w:t>
      </w:r>
    </w:p>
    <w:p w14:paraId="55BC624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3713FC8A"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4CC0870"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26C5D0B" w14:textId="77777777" w:rsidR="00161F61" w:rsidRPr="0044524F" w:rsidRDefault="00161F61" w:rsidP="009654CF">
      <w:pPr>
        <w:pStyle w:val="rtejustify"/>
        <w:spacing w:before="0" w:after="0"/>
        <w:rPr>
          <w:color w:val="000000" w:themeColor="text1"/>
          <w:sz w:val="16"/>
          <w:szCs w:val="16"/>
        </w:rPr>
      </w:pPr>
      <w:r w:rsidRPr="0044524F">
        <w:rPr>
          <w:rStyle w:val="af0"/>
          <w:bCs/>
          <w:i w:val="0"/>
          <w:color w:val="000000" w:themeColor="text1"/>
          <w:sz w:val="16"/>
          <w:szCs w:val="16"/>
        </w:rPr>
        <w:t>20/28 марта 1933 вышел приказ НКТП № 32/027/с.</w:t>
      </w:r>
      <w:r w:rsidRPr="0044524F">
        <w:rPr>
          <w:color w:val="000000" w:themeColor="text1"/>
          <w:sz w:val="16"/>
          <w:szCs w:val="16"/>
        </w:rPr>
        <w:t xml:space="preserve"> Об организации бригад по контролю за производством капсюлей на заводах НКТП. (РГАЭ. Ф. 7297. Оп. 38. Д. 37. Л. 35</w:t>
      </w:r>
      <w:r w:rsidRPr="0044524F">
        <w:rPr>
          <w:color w:val="000000" w:themeColor="text1"/>
          <w:sz w:val="16"/>
          <w:szCs w:val="16"/>
        </w:rPr>
        <w:noBreakHyphen/>
        <w:t>34). (</w:t>
      </w:r>
      <w:r w:rsidRPr="0044524F">
        <w:rPr>
          <w:rStyle w:val="af0"/>
          <w:i w:val="0"/>
          <w:color w:val="000000" w:themeColor="text1"/>
          <w:sz w:val="16"/>
          <w:szCs w:val="16"/>
        </w:rPr>
        <w:t>Объединенный с НКВМ СССР</w:t>
      </w:r>
      <w:r w:rsidRPr="0044524F">
        <w:rPr>
          <w:color w:val="000000" w:themeColor="text1"/>
          <w:sz w:val="16"/>
          <w:szCs w:val="16"/>
        </w:rPr>
        <w:t>) (15246).</w:t>
      </w:r>
    </w:p>
    <w:p w14:paraId="423A5D37" w14:textId="77777777" w:rsidR="00161F61" w:rsidRPr="0044524F" w:rsidRDefault="00161F61" w:rsidP="009654CF">
      <w:pPr>
        <w:pStyle w:val="rtejustify"/>
        <w:spacing w:before="0" w:after="0"/>
        <w:rPr>
          <w:color w:val="000000" w:themeColor="text1"/>
          <w:sz w:val="16"/>
          <w:szCs w:val="16"/>
        </w:rPr>
      </w:pPr>
    </w:p>
    <w:p w14:paraId="5416E850" w14:textId="77777777" w:rsidR="00161F61" w:rsidRPr="0044524F" w:rsidRDefault="00161F61"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20 марта 1933 г. Протокол ПБ № 133 п.106/89: О размещении заводов "Изолит" и ртутных выпрямителей. Решено утвердить следующий проект постановления СТО: "Во изменение своего постановления от 28-8-1932 № 1064, согласиться с предложением НКТП о выборе местом для строительства заводов "Изолит" и ртутных выпрямителей ст. Хотьково Северных железных дорог (около г. Загорска Московской области) (15877).</w:t>
      </w:r>
    </w:p>
    <w:p w14:paraId="0DDB1D08" w14:textId="77777777" w:rsidR="00161F61" w:rsidRPr="0044524F" w:rsidRDefault="00161F61" w:rsidP="009654CF">
      <w:pPr>
        <w:spacing w:after="0" w:line="240" w:lineRule="auto"/>
        <w:jc w:val="both"/>
        <w:rPr>
          <w:rFonts w:ascii="Times New Roman" w:hAnsi="Times New Roman"/>
          <w:iCs/>
          <w:color w:val="000000" w:themeColor="text1"/>
          <w:sz w:val="16"/>
          <w:szCs w:val="16"/>
        </w:rPr>
      </w:pPr>
    </w:p>
    <w:p w14:paraId="29F578D3" w14:textId="77777777" w:rsidR="001512A9" w:rsidRPr="0044524F" w:rsidRDefault="001512A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w:t>
      </w:r>
    </w:p>
    <w:p w14:paraId="492903FA" w14:textId="77777777" w:rsidR="001512A9" w:rsidRPr="0044524F" w:rsidRDefault="001512A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133 заседания Политбюро ЦК ВКП(б) от 20 марта 1933 года</w:t>
      </w:r>
    </w:p>
    <w:p w14:paraId="458A790B" w14:textId="77777777" w:rsidR="001512A9" w:rsidRPr="0044524F" w:rsidRDefault="001512A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20</w:t>
      </w:r>
      <w:r w:rsidRPr="0044524F">
        <w:rPr>
          <w:rFonts w:ascii="Times New Roman" w:hAnsi="Times New Roman"/>
          <w:color w:val="000000" w:themeColor="text1"/>
          <w:sz w:val="16"/>
          <w:szCs w:val="16"/>
        </w:rPr>
        <w:noBreakHyphen/>
        <w:t>го марта 1933 года.</w:t>
      </w:r>
    </w:p>
    <w:p w14:paraId="6C52720F" w14:textId="77777777" w:rsidR="001512A9" w:rsidRPr="0044524F" w:rsidRDefault="001512A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106/89: О размещении заводов “Изолит” и ртутных выпрямителей</w:t>
      </w:r>
    </w:p>
    <w:p w14:paraId="31EEAC33" w14:textId="77777777" w:rsidR="001512A9" w:rsidRPr="0044524F" w:rsidRDefault="001512A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следующий проект постановления СТО: Во изменение своего постановления от 28.VIII.1932 г. № 1064, согласиться с предложением НКТП о выборе местом для строительства заводов “Изолит” и ртутных выпрямителей ст. Хотьково Северных железных дорог (около г. Загорска, Московской области) (18139).</w:t>
      </w:r>
    </w:p>
    <w:p w14:paraId="2C50F905" w14:textId="77777777" w:rsidR="001512A9" w:rsidRPr="0044524F" w:rsidRDefault="001512A9" w:rsidP="009654CF">
      <w:pPr>
        <w:spacing w:after="0" w:line="240" w:lineRule="auto"/>
        <w:jc w:val="both"/>
        <w:rPr>
          <w:rFonts w:ascii="Times New Roman" w:hAnsi="Times New Roman"/>
          <w:color w:val="000000" w:themeColor="text1"/>
          <w:sz w:val="16"/>
          <w:szCs w:val="16"/>
        </w:rPr>
      </w:pPr>
    </w:p>
    <w:p w14:paraId="396DFC2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 представители ХПЗ и заводов, разработавших радиостанции 71ТК и 72ТК испытывали эти станции, установленные на БТ-5. Оказалось, что неудачная экранировка высоковольтных проводов недостаточна и ничего не слышно (3880,7).</w:t>
      </w:r>
    </w:p>
    <w:p w14:paraId="4B6F14A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7F77EBC8" w14:textId="77777777" w:rsidR="00A36FFD" w:rsidRPr="0044524F" w:rsidRDefault="00A36FF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 вступила в строй крупнейшая в мире радиовещательная станция им. Коминтерна мощностью 500 кВт, все оборудование для которой изготовлялось на советских заводах. С введением в эксплуатацию этой радиостанции СССР по мощности своей радиовещательной сети занял первое место в Европе. Автор проекта и руководитель строительства А. Л. Минц впервые применил блочную систему, благодаря чему была создана радиовещательная станция непрерывного действия (9923).</w:t>
      </w:r>
    </w:p>
    <w:p w14:paraId="369D62CD" w14:textId="77777777" w:rsidR="00A36FFD" w:rsidRPr="0044524F" w:rsidRDefault="00A36FFD" w:rsidP="009654CF">
      <w:pPr>
        <w:autoSpaceDE w:val="0"/>
        <w:autoSpaceDN w:val="0"/>
        <w:adjustRightInd w:val="0"/>
        <w:spacing w:after="0" w:line="240" w:lineRule="auto"/>
        <w:jc w:val="both"/>
        <w:rPr>
          <w:rFonts w:ascii="Times New Roman" w:hAnsi="Times New Roman"/>
          <w:color w:val="000000" w:themeColor="text1"/>
          <w:sz w:val="16"/>
          <w:szCs w:val="16"/>
        </w:rPr>
      </w:pPr>
    </w:p>
    <w:p w14:paraId="4EE411C9" w14:textId="77777777" w:rsidR="00161F61" w:rsidRPr="0044524F" w:rsidRDefault="00161F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20 марта</w:t>
      </w:r>
      <w:r w:rsidRPr="0044524F">
        <w:rPr>
          <w:rFonts w:ascii="Times New Roman" w:hAnsi="Times New Roman"/>
          <w:color w:val="000000" w:themeColor="text1"/>
          <w:sz w:val="16"/>
          <w:szCs w:val="16"/>
        </w:rPr>
        <w:t xml:space="preserve"> в 1933 году вводится в строй радиовещательная станция имени Коминтерна, в то время крупнейшая в мире. В начале 1930-х годов для обеспечения надежного приема московских радиовещательных программ принимается решение по сооружению новой длинноволновой радиовещательной станции мощностью 500 кВт и с заданной диаграммой направленности излучения (в то время самая крупная станция США имела мощность лишь 50 кВт, а Европы - 120 кВт). Работы по строительству станции возглавил выдающийся ученый в области радиоэлектроники, радиолокации и ускорителей элементарных частиц академик Александр Львович Минц. Для получения столь большой мощности ученый предложил выходной каскад станции выполнить из нескольких параллельно работающих 100-кВт блоков. Сейчас такая схема принята во всем мире. Новая мощная станция была введена в строй 20 марта 1033 года. Следующим этапом творческого пути Александра Минца явилось создание в 1936-1938 годах самой мощной в мире коротковолновой радиовещательной станции РВ-96 мощностью 120 кВт. Она проектировалась для целей международного вещания, позволяет осуществлять радиовещание в сторону Дальнего Востока, Соединенных Штатов Америки и Австралии. Новые идеи, вложенные Александром Минцем в проект передатчика и антенны, до сих пор сохраняют свою актуальность и делают эту станцию образцовой (15074).</w:t>
      </w:r>
    </w:p>
    <w:p w14:paraId="1E8B3885" w14:textId="77777777" w:rsidR="00161F61" w:rsidRPr="0044524F" w:rsidRDefault="00161F61" w:rsidP="009654CF">
      <w:pPr>
        <w:spacing w:after="0" w:line="240" w:lineRule="auto"/>
        <w:jc w:val="both"/>
        <w:rPr>
          <w:rFonts w:ascii="Times New Roman" w:hAnsi="Times New Roman"/>
          <w:color w:val="000000" w:themeColor="text1"/>
          <w:sz w:val="16"/>
          <w:szCs w:val="16"/>
        </w:rPr>
      </w:pPr>
    </w:p>
    <w:p w14:paraId="41CA14DB" w14:textId="77777777" w:rsidR="004F587F" w:rsidRPr="0044524F" w:rsidRDefault="004F587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20 марта 1933 появилась Записка Сектора Обороны Госплана "Вопросы оборонной пятилетки промышленности (материалы для директивы)", подготовленная в феврале-марте 1932 г., когда сектор обороны Госплана составил развернутые "материалы для директивы" по оборонной пятилетке в промышленности, были сделаны первые подступы к определению задач мобилизационной подготовки промышленности и вооруженных сил на вторую пятилетку. Записка СО была нацелена на предотвращение хаотичности и несбалансированности развития военных производств и мобилизационной подготовки промышленности в целом, которые отличали период 1929-1932 гг. Значение этого документа, однако, было более масштабным. Один из разделов записки определял "общие условия и задачи подготовки к войне во втором пятилетии в отношении развития вооруженных сил". Он гласил: "Основные задачи развития вооруженных сил Союза, вытекающие из внешней обстановки и внутренних возможностей:</w:t>
      </w:r>
    </w:p>
    <w:p w14:paraId="008EEA3B" w14:textId="77777777" w:rsidR="004F587F" w:rsidRPr="0044524F" w:rsidRDefault="004F587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а) общая численность армии сохраняется примерно на нынешнем уровне. Численное увеличение в известных пределах возможно по линии технических войск;</w:t>
      </w:r>
    </w:p>
    <w:p w14:paraId="05BC96A7" w14:textId="77777777" w:rsidR="004F587F" w:rsidRPr="0044524F" w:rsidRDefault="004F587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б) техническое оснащение Кр[асной] Армии должно быть доведено до уровня самых передовых армий капиталистического мира (Франция, САСШ);</w:t>
      </w:r>
    </w:p>
    <w:p w14:paraId="2EEC4782" w14:textId="77777777" w:rsidR="004F587F" w:rsidRPr="0044524F" w:rsidRDefault="004F587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Красная Армия должна быть способна вести активную войну одновременно на Западе и на Востоке;</w:t>
      </w:r>
    </w:p>
    <w:p w14:paraId="39800619" w14:textId="77777777" w:rsidR="004F587F" w:rsidRPr="0044524F" w:rsidRDefault="004F587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г) качество вооружения Красной Армии не должно уступать, а по некоторым видам должно превосходить качество вооружения наиболее передовых армий;</w:t>
      </w:r>
    </w:p>
    <w:p w14:paraId="7F76CCA6" w14:textId="77777777" w:rsidR="004F587F" w:rsidRPr="0044524F" w:rsidRDefault="004F587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д) должна быть решена проблема мобилизационных запасов, накопление которых в известных размерах совершенно необходимо для обеспечения устойчивой обороны в первые месяцы войны;</w:t>
      </w:r>
    </w:p>
    <w:p w14:paraId="0B96037B" w14:textId="77777777" w:rsidR="004F587F" w:rsidRPr="0044524F" w:rsidRDefault="004F587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е) должна быть обеспечена максимально возможная и целесообразная механизация и моторизация Красной Армии". Соответственно основной задачей оборонной подготовки промышленности во втором пятилетии объявлялась подготовка "такого развития военно-производственной базы, которое обеспечило бы Советскому Союзу превосходство вооружения над самым могущественным европейским противником - Францией и ее союзниками на нашей западной границе - Полыней и Румынией, особенно по главным видам новой боевой техники - авиации, танкам и химии". Авторы записки тут же давали понять, что вариант войны с этими тремя государствами важен не столько сам по себе, сколько для определения правильного масштаба общих приготовлений, и продолжали: "Такой уровень развития военно-производственной базы наряду с подготовкой по другим отраслям хозяйства преимуществами политического порядка, высоким развитием производительных сил и полной независимостью от заграницы позволит СССР успешно противостоять коалиции нескольких крупнейших империалистических противников". Размеры потребления фронта предлагалось определить на основе проектируемой на вторую пятилетку производственной базы по металлу и химии и исходя из длительного характера будущей войны (2-3 года) (Записка Сектора Обороны Госплана "Вопросы оборонной пятилетки промышленности (материалы для директивы)", 20.03.1932 // РГАЭ. Ф. 4372. Оп. 91. Д 1097. Л. 156-158. О подготовке этого документа и сопровождающих его первых набросках СО (март 1932 г.) см.: </w:t>
      </w:r>
      <w:r w:rsidRPr="0044524F">
        <w:rPr>
          <w:rFonts w:ascii="Times New Roman" w:eastAsia="Times New Roman" w:hAnsi="Times New Roman"/>
          <w:color w:val="000000" w:themeColor="text1"/>
          <w:sz w:val="16"/>
          <w:szCs w:val="16"/>
          <w:lang w:val="en-US" w:eastAsia="ru-RU"/>
        </w:rPr>
        <w:t>SAMUELSON</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L</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Soviet</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Defence</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Industry</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Planning</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Tukhachevskii</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and</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Military</w:t>
      </w:r>
      <w:r w:rsidRPr="0044524F">
        <w:rPr>
          <w:rFonts w:ascii="Times New Roman" w:eastAsia="Times New Roman" w:hAnsi="Times New Roman"/>
          <w:color w:val="000000" w:themeColor="text1"/>
          <w:sz w:val="16"/>
          <w:szCs w:val="16"/>
          <w:lang w:eastAsia="ru-RU"/>
        </w:rPr>
        <w:t>-</w:t>
      </w:r>
      <w:r w:rsidRPr="0044524F">
        <w:rPr>
          <w:rFonts w:ascii="Times New Roman" w:eastAsia="Times New Roman" w:hAnsi="Times New Roman"/>
          <w:color w:val="000000" w:themeColor="text1"/>
          <w:sz w:val="16"/>
          <w:szCs w:val="16"/>
          <w:lang w:val="en-US" w:eastAsia="ru-RU"/>
        </w:rPr>
        <w:t>Industrial</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Mobilisation</w:t>
      </w:r>
      <w:r w:rsidRPr="0044524F">
        <w:rPr>
          <w:rFonts w:ascii="Times New Roman" w:eastAsia="Times New Roman" w:hAnsi="Times New Roman"/>
          <w:color w:val="000000" w:themeColor="text1"/>
          <w:sz w:val="16"/>
          <w:szCs w:val="16"/>
          <w:lang w:eastAsia="ru-RU"/>
        </w:rPr>
        <w:t>, 1926-1937. Stockholm, 1996. P. 198-200) (22725).</w:t>
      </w:r>
    </w:p>
    <w:p w14:paraId="15102CE0" w14:textId="77777777" w:rsidR="004F587F" w:rsidRPr="0044524F" w:rsidRDefault="004F587F" w:rsidP="009654CF">
      <w:pPr>
        <w:spacing w:after="0" w:line="240" w:lineRule="auto"/>
        <w:jc w:val="both"/>
        <w:rPr>
          <w:rFonts w:ascii="Times New Roman" w:hAnsi="Times New Roman"/>
          <w:color w:val="000000" w:themeColor="text1"/>
          <w:sz w:val="16"/>
          <w:szCs w:val="16"/>
        </w:rPr>
      </w:pPr>
    </w:p>
    <w:p w14:paraId="5E03FA64" w14:textId="77777777" w:rsidR="00161F61" w:rsidRPr="0044524F" w:rsidRDefault="00161F61" w:rsidP="009654CF">
      <w:pPr>
        <w:pStyle w:val="rtejustify"/>
        <w:spacing w:before="0" w:after="0"/>
        <w:rPr>
          <w:color w:val="000000" w:themeColor="text1"/>
          <w:sz w:val="16"/>
          <w:szCs w:val="16"/>
        </w:rPr>
      </w:pPr>
      <w:r w:rsidRPr="0044524F">
        <w:rPr>
          <w:rStyle w:val="af0"/>
          <w:bCs/>
          <w:i w:val="0"/>
          <w:color w:val="000000" w:themeColor="text1"/>
          <w:sz w:val="16"/>
          <w:szCs w:val="16"/>
        </w:rPr>
        <w:t>20 марта</w:t>
      </w:r>
      <w:r w:rsidRPr="0044524F">
        <w:rPr>
          <w:color w:val="000000" w:themeColor="text1"/>
          <w:sz w:val="16"/>
          <w:szCs w:val="16"/>
        </w:rPr>
        <w:t xml:space="preserve">. № 133. </w:t>
      </w:r>
      <w:hyperlink r:id="rId106" w:anchor="showunit&amp;id=85920" w:history="1">
        <w:r w:rsidRPr="0044524F">
          <w:rPr>
            <w:rStyle w:val="a5"/>
            <w:color w:val="000000" w:themeColor="text1"/>
            <w:sz w:val="16"/>
            <w:szCs w:val="16"/>
            <w:u w:val="none"/>
          </w:rPr>
          <w:t>1. О программе морского и речного судостроения на 1933 г.</w:t>
        </w:r>
      </w:hyperlink>
      <w:r w:rsidRPr="0044524F">
        <w:rPr>
          <w:color w:val="000000" w:themeColor="text1"/>
          <w:sz w:val="16"/>
          <w:szCs w:val="16"/>
        </w:rPr>
        <w:t xml:space="preserve"> (Куйбышев). Решено передать вопрос о программе морского и речного судостроения на рассмотрение и окончательное решение Комиссии обороны. </w:t>
      </w:r>
      <w:hyperlink r:id="rId107" w:anchor="showunit&amp;id=86006" w:history="1">
        <w:r w:rsidRPr="0044524F">
          <w:rPr>
            <w:rStyle w:val="a5"/>
            <w:color w:val="000000" w:themeColor="text1"/>
            <w:sz w:val="16"/>
            <w:szCs w:val="16"/>
            <w:u w:val="none"/>
          </w:rPr>
          <w:t>76/58. О создании Реввоенсовета морских сил Дальнего Востока</w:t>
        </w:r>
      </w:hyperlink>
      <w:r w:rsidRPr="0044524F">
        <w:rPr>
          <w:color w:val="000000" w:themeColor="text1"/>
          <w:sz w:val="16"/>
          <w:szCs w:val="16"/>
        </w:rPr>
        <w:t xml:space="preserve"> (ПБ от 17 марта 1933 г.). Решено принять предложение Ворошилова о создании РBC морских сил на Дальнем Востоке в составе командующего морскими силами Викторова и члена РВС Булышкина. </w:t>
      </w:r>
      <w:hyperlink r:id="rId108" w:anchor="showunit&amp;id=86031" w:history="1">
        <w:r w:rsidRPr="0044524F">
          <w:rPr>
            <w:rStyle w:val="a5"/>
            <w:color w:val="000000" w:themeColor="text1"/>
            <w:sz w:val="16"/>
            <w:szCs w:val="16"/>
            <w:u w:val="none"/>
          </w:rPr>
          <w:t>85/67. а) О каучуке для резиновой промышленности</w:t>
        </w:r>
      </w:hyperlink>
      <w:r w:rsidRPr="0044524F">
        <w:rPr>
          <w:color w:val="000000" w:themeColor="text1"/>
          <w:sz w:val="16"/>
          <w:szCs w:val="16"/>
        </w:rPr>
        <w:t xml:space="preserve"> (ПБ от 19 марта 1933 г.). Решено передать вопрос на рассмотрение комиссии Молотова по внешнеторговым делам. </w:t>
      </w:r>
      <w:hyperlink r:id="rId109" w:anchor="showunit&amp;id=86027" w:history="1">
        <w:r w:rsidRPr="0044524F">
          <w:rPr>
            <w:rStyle w:val="a5"/>
            <w:color w:val="000000" w:themeColor="text1"/>
            <w:sz w:val="16"/>
            <w:szCs w:val="16"/>
            <w:u w:val="none"/>
          </w:rPr>
          <w:t>96/78. Об импорте цветных металлов</w:t>
        </w:r>
      </w:hyperlink>
      <w:r w:rsidRPr="0044524F">
        <w:rPr>
          <w:color w:val="000000" w:themeColor="text1"/>
          <w:sz w:val="16"/>
          <w:szCs w:val="16"/>
        </w:rPr>
        <w:t xml:space="preserve"> (ПБ от 15 февраля 1933 г., пр. № 131, п. 70/36</w:t>
      </w:r>
      <w:r w:rsidRPr="0044524F">
        <w:rPr>
          <w:color w:val="000000" w:themeColor="text1"/>
          <w:sz w:val="16"/>
          <w:szCs w:val="16"/>
        </w:rPr>
        <w:noBreakHyphen/>
        <w:t>4), (ПБ от 19 марта 1933 г.). Решено принять к сведению, постановление СТО от 23</w:t>
      </w:r>
      <w:r w:rsidRPr="0044524F">
        <w:rPr>
          <w:color w:val="000000" w:themeColor="text1"/>
          <w:sz w:val="16"/>
          <w:szCs w:val="16"/>
        </w:rPr>
        <w:noBreakHyphen/>
        <w:t>2</w:t>
      </w:r>
      <w:r w:rsidRPr="0044524F">
        <w:rPr>
          <w:color w:val="000000" w:themeColor="text1"/>
          <w:sz w:val="16"/>
          <w:szCs w:val="16"/>
        </w:rPr>
        <w:noBreakHyphen/>
        <w:t xml:space="preserve">1933. </w:t>
      </w:r>
      <w:hyperlink r:id="rId110" w:anchor="showunit&amp;id=85928" w:history="1">
        <w:r w:rsidRPr="0044524F">
          <w:rPr>
            <w:rStyle w:val="a5"/>
            <w:color w:val="000000" w:themeColor="text1"/>
            <w:sz w:val="16"/>
            <w:szCs w:val="16"/>
            <w:u w:val="none"/>
          </w:rPr>
          <w:t>106/89. О размещении заводов «Изолит» и ртутных выпрямителей.</w:t>
        </w:r>
      </w:hyperlink>
      <w:r w:rsidRPr="0044524F">
        <w:rPr>
          <w:color w:val="000000" w:themeColor="text1"/>
          <w:sz w:val="16"/>
          <w:szCs w:val="16"/>
        </w:rPr>
        <w:t xml:space="preserve"> Решено утвердить следующий проект постановления СТО: «Во изменение своего постановления от 28</w:t>
      </w:r>
      <w:r w:rsidRPr="0044524F">
        <w:rPr>
          <w:color w:val="000000" w:themeColor="text1"/>
          <w:sz w:val="16"/>
          <w:szCs w:val="16"/>
        </w:rPr>
        <w:noBreakHyphen/>
        <w:t>8</w:t>
      </w:r>
      <w:r w:rsidRPr="0044524F">
        <w:rPr>
          <w:color w:val="000000" w:themeColor="text1"/>
          <w:sz w:val="16"/>
          <w:szCs w:val="16"/>
        </w:rPr>
        <w:noBreakHyphen/>
        <w:t>1932 № 1064, согласиться с предложением НКТП о выборе местом для строительства заводов “Изолит” и ртутных выпрямителей ст. Хотьково Северных железных дорог (около г. Загорска Московской области)» (15462).</w:t>
      </w:r>
    </w:p>
    <w:p w14:paraId="59A9B162" w14:textId="77777777" w:rsidR="00161F61" w:rsidRPr="0044524F" w:rsidRDefault="00161F61" w:rsidP="009654CF">
      <w:pPr>
        <w:pStyle w:val="rtejustify"/>
        <w:spacing w:before="0" w:after="0"/>
        <w:rPr>
          <w:color w:val="000000" w:themeColor="text1"/>
          <w:sz w:val="16"/>
          <w:szCs w:val="16"/>
        </w:rPr>
      </w:pPr>
    </w:p>
    <w:p w14:paraId="5E06DB62"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81B3630"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CC0C618" w14:textId="77777777" w:rsidR="004F587F" w:rsidRPr="0044524F" w:rsidRDefault="004F587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20 марта 1933 года, и судя по всему — обсудив вопрос с О.Ю. Шмидтом, Куйбышев предложил в предстоящую навигацию повторить сквозное плавание от Архангельска до Владивостока.</w:t>
      </w:r>
    </w:p>
    <w:p w14:paraId="0A7C783D" w14:textId="77777777" w:rsidR="004F587F" w:rsidRPr="0044524F" w:rsidRDefault="004F587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«Поход «Сибирякова», — писал В.В. Куйбышев в Политбюро, — открыл новые перспективы в деле освоения и использования Северного морского пути. В настоящем 1933 году необходимо повторить этот поход на одном из ледокольных судов. Наиболее подходящим является строящийся в настоящее время в Дании ледокольный пароход «Лена» (он же — «Челюскин»). С Наркомводом вопрос о передаче «Лены» ГУСМП согласован».</w:t>
      </w:r>
    </w:p>
    <w:p w14:paraId="641D76D4" w14:textId="77777777" w:rsidR="004F587F" w:rsidRPr="0044524F" w:rsidRDefault="004F587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Однако подготовленный документ внес в Политбюро не В.В. Куйбышев, а О.Ю. Шмидт. И вновь партийный орган не взял на себя ответственность за столь непредсказуемое по своим последствиям решение. Переадресовав его 31 марта в Совнарком СССР5, который и утвердил его 3 апреля: «1. Предложить Главному управлению Северного морского пути под личным руководством т. Шмидта О.Ю. повторить в 1933 году сплошное плавание по Ледовитому океану. 2. Обязать Главное управление Северного морского пути на том же пароходе выполнить задачу снабжения о. Врангеля (продовольствие, оборудование, персонал радиостанции и т. д.) и вывоз с острова Врангеля пушнины» (20467).</w:t>
      </w:r>
    </w:p>
    <w:p w14:paraId="59648578" w14:textId="77777777" w:rsidR="004F587F" w:rsidRPr="0044524F" w:rsidRDefault="004F587F" w:rsidP="009654CF">
      <w:pPr>
        <w:spacing w:after="0" w:line="240" w:lineRule="auto"/>
        <w:jc w:val="both"/>
        <w:rPr>
          <w:rFonts w:ascii="Times New Roman" w:hAnsi="Times New Roman"/>
          <w:color w:val="000000" w:themeColor="text1"/>
          <w:sz w:val="16"/>
          <w:szCs w:val="16"/>
        </w:rPr>
      </w:pPr>
    </w:p>
    <w:p w14:paraId="715BD942" w14:textId="77777777" w:rsidR="00F47692" w:rsidRPr="00142305" w:rsidRDefault="00F47692" w:rsidP="00F4769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20 марта 1933 г. В.В. Куйбышев, руководивший в каче</w:t>
      </w:r>
      <w:r w:rsidRPr="00142305">
        <w:rPr>
          <w:rStyle w:val="aff"/>
          <w:rFonts w:ascii="Times New Roman" w:hAnsi="Times New Roman" w:cs="Times New Roman"/>
          <w:color w:val="0070C0"/>
          <w:spacing w:val="0"/>
          <w:sz w:val="16"/>
          <w:szCs w:val="16"/>
        </w:rPr>
        <w:softHyphen/>
        <w:t>стве заместителя председателя СНК СССР работами по осво</w:t>
      </w:r>
      <w:r w:rsidRPr="00142305">
        <w:rPr>
          <w:rStyle w:val="aff"/>
          <w:rFonts w:ascii="Times New Roman" w:hAnsi="Times New Roman" w:cs="Times New Roman"/>
          <w:color w:val="0070C0"/>
          <w:spacing w:val="0"/>
          <w:sz w:val="16"/>
          <w:szCs w:val="16"/>
        </w:rPr>
        <w:softHyphen/>
        <w:t>ению Арктики, направил в Политбюро ЦК ВКП(б) записку, где предложил в предстоящую навигацию повторить сквозное плавание от Архангельска до Влади востока. «Поход «Сибиря</w:t>
      </w:r>
      <w:r w:rsidRPr="00142305">
        <w:rPr>
          <w:rStyle w:val="aff"/>
          <w:rFonts w:ascii="Times New Roman" w:hAnsi="Times New Roman" w:cs="Times New Roman"/>
          <w:color w:val="0070C0"/>
          <w:spacing w:val="0"/>
          <w:sz w:val="16"/>
          <w:szCs w:val="16"/>
        </w:rPr>
        <w:softHyphen/>
        <w:t>кова», писал В.В. Куйбышев, открыл новые перспективы в деле освоения и использования Северного морского пути. В настоящем 1933 году необходимо повторить этот поход на одном из ледокольных судов. Наиболее подходящим является строящийся в настоящее время в Дании ледокольный пароход «Лена» (позже в честь русского полярного мореплавателя был переименован в «Челюскин»). С Наркомводом вопрос о передаче «Лены» ГУС МП согласован.</w:t>
      </w:r>
    </w:p>
    <w:p w14:paraId="6BAAA7F1"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повторении этого похода возможно решить следую</w:t>
      </w:r>
      <w:r w:rsidRPr="00142305">
        <w:rPr>
          <w:rStyle w:val="aff"/>
          <w:rFonts w:ascii="Times New Roman" w:hAnsi="Times New Roman" w:cs="Times New Roman"/>
          <w:color w:val="0070C0"/>
          <w:spacing w:val="0"/>
          <w:sz w:val="16"/>
          <w:szCs w:val="16"/>
        </w:rPr>
        <w:softHyphen/>
        <w:t>щие проблемы:</w:t>
      </w:r>
    </w:p>
    <w:p w14:paraId="0CF9C935" w14:textId="77777777" w:rsidR="00F47692" w:rsidRPr="00142305" w:rsidRDefault="00F47692" w:rsidP="00F47692">
      <w:pPr>
        <w:widowControl w:val="0"/>
        <w:tabs>
          <w:tab w:val="left" w:pos="53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Проверка и окончательное доказательство проходимо</w:t>
      </w:r>
      <w:r w:rsidRPr="00142305">
        <w:rPr>
          <w:rStyle w:val="aff"/>
          <w:rFonts w:ascii="Times New Roman" w:hAnsi="Times New Roman" w:cs="Times New Roman"/>
          <w:color w:val="0070C0"/>
          <w:spacing w:val="0"/>
          <w:sz w:val="16"/>
          <w:szCs w:val="16"/>
        </w:rPr>
        <w:softHyphen/>
        <w:t>сти Ледовитого океана в одну навигацию.</w:t>
      </w:r>
    </w:p>
    <w:p w14:paraId="65A8A515" w14:textId="77777777" w:rsidR="00F47692" w:rsidRPr="00142305" w:rsidRDefault="00F47692" w:rsidP="00F47692">
      <w:pPr>
        <w:widowControl w:val="0"/>
        <w:tabs>
          <w:tab w:val="left" w:pos="562"/>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Уточнение результатов наблюдений «Сибирякова» для правильного планирования дальнейших мероприятий по освоению пути.</w:t>
      </w:r>
    </w:p>
    <w:p w14:paraId="11D204A0" w14:textId="77777777" w:rsidR="00F47692" w:rsidRPr="00142305" w:rsidRDefault="00F47692" w:rsidP="00F47692">
      <w:pPr>
        <w:widowControl w:val="0"/>
        <w:tabs>
          <w:tab w:val="left" w:pos="534"/>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Снабжение о-ва Врангеля, так как остров уже 4 года не снабжался.</w:t>
      </w:r>
    </w:p>
    <w:p w14:paraId="41083A7A" w14:textId="77777777" w:rsidR="00F47692" w:rsidRPr="00142305" w:rsidRDefault="00F47692" w:rsidP="00F47692">
      <w:pPr>
        <w:widowControl w:val="0"/>
        <w:tabs>
          <w:tab w:val="left" w:pos="553"/>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4. Доставка парохода «Лена» на Дальний Восток, где он останется для ежегодной работы в восточной части Ледо</w:t>
      </w:r>
      <w:r w:rsidRPr="00142305">
        <w:rPr>
          <w:rStyle w:val="aff"/>
          <w:rFonts w:ascii="Times New Roman" w:hAnsi="Times New Roman" w:cs="Times New Roman"/>
          <w:color w:val="0070C0"/>
          <w:spacing w:val="0"/>
          <w:sz w:val="16"/>
          <w:szCs w:val="16"/>
        </w:rPr>
        <w:softHyphen/>
        <w:t>витого океана...»</w:t>
      </w:r>
    </w:p>
    <w:p w14:paraId="73B837AE"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Этот документ внёс в Политбюро О.Ю. Шмидт. (25653).</w:t>
      </w:r>
    </w:p>
    <w:p w14:paraId="7D3CF47C" w14:textId="77777777" w:rsidR="00F47692" w:rsidRPr="00142305" w:rsidRDefault="00F47692" w:rsidP="00F47692">
      <w:pPr>
        <w:spacing w:after="0" w:line="240" w:lineRule="auto"/>
        <w:jc w:val="both"/>
        <w:rPr>
          <w:rStyle w:val="aff"/>
          <w:rFonts w:ascii="Times New Roman" w:hAnsi="Times New Roman" w:cs="Times New Roman"/>
          <w:color w:val="0070C0"/>
          <w:spacing w:val="0"/>
          <w:sz w:val="16"/>
          <w:szCs w:val="16"/>
        </w:rPr>
      </w:pPr>
    </w:p>
    <w:p w14:paraId="0061405D"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 состоялось заседание ПБ и был оформлен протокол № 133</w:t>
      </w:r>
    </w:p>
    <w:p w14:paraId="2DEED540"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марта 1933 опросом членов ПБ</w:t>
      </w:r>
    </w:p>
    <w:p w14:paraId="3E77CB33"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28/5.- Вопрос ОГПУ.</w:t>
      </w:r>
    </w:p>
    <w:p w14:paraId="14BB2851"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Принять в основном предложение ОГГУ об обосновании трудовых поселков в районах Западной Сибири и Казах</w:t>
      </w:r>
      <w:r w:rsidRPr="0044524F">
        <w:rPr>
          <w:rFonts w:ascii="Times New Roman" w:hAnsi="Times New Roman"/>
          <w:color w:val="000000" w:themeColor="text1"/>
          <w:sz w:val="16"/>
          <w:szCs w:val="16"/>
        </w:rPr>
        <w:softHyphen/>
        <w:t>стана (на 500 тыс. человек в каждом крае).</w:t>
      </w:r>
    </w:p>
    <w:p w14:paraId="6B065529"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 сложить комиссии в составе т.т. Ягода (созыв), Межлaука В. И., Благонравова, Чернова, Гринько, Яклвлева, Фомина, Бермана - рассмотреть и произвести проверку заявок ОГПУ, установив окончательно цифры и дать проект поста</w:t>
      </w:r>
      <w:r w:rsidRPr="0044524F">
        <w:rPr>
          <w:rFonts w:ascii="Times New Roman" w:hAnsi="Times New Roman"/>
          <w:color w:val="000000" w:themeColor="text1"/>
          <w:sz w:val="16"/>
          <w:szCs w:val="16"/>
        </w:rPr>
        <w:softHyphen/>
        <w:t>новления по всему вопросу в целом.</w:t>
      </w:r>
    </w:p>
    <w:p w14:paraId="6CFDE666"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работы комиссии - 5 дней.</w:t>
      </w:r>
    </w:p>
    <w:p w14:paraId="637CD575"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т.т.Ягоде, Межлауку В.И., Благонравову, Чернову, Гринько, Яковлеву, Фомину, Берману.</w:t>
      </w:r>
    </w:p>
    <w:p w14:paraId="4715D3D4"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35/12. – О перерегистрации оружия по СССР</w:t>
      </w:r>
    </w:p>
    <w:p w14:paraId="2B6C3C31"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Президиуму ЦИК Союза ССР провести через ЦИК''и Союзных республик следующее изменение ст. 182 УК РСФСР и соответствующих статей Союзных Республик:</w:t>
      </w:r>
    </w:p>
    <w:p w14:paraId="724DE4E9"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 хранение, покупка и сбыт взрывчатых веществ и снарядов, а равно огнестрельного (кроме охотничьего) оружия без надлежащего разрешения влечет за собой лишение свободы на срок до пяти лет, с конфискацией названных веществ, сна</w:t>
      </w:r>
      <w:r w:rsidRPr="0044524F">
        <w:rPr>
          <w:rFonts w:ascii="Times New Roman" w:hAnsi="Times New Roman"/>
          <w:color w:val="000000" w:themeColor="text1"/>
          <w:sz w:val="16"/>
          <w:szCs w:val="16"/>
        </w:rPr>
        <w:softHyphen/>
        <w:t>рядов и оружия.</w:t>
      </w:r>
    </w:p>
    <w:p w14:paraId="3153B8EE"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Пересылка по почте и другими способами огнестрельного оружия (не охотничьего), взрыв</w:t>
      </w:r>
      <w:r w:rsidRPr="0044524F">
        <w:rPr>
          <w:rFonts w:ascii="Times New Roman" w:hAnsi="Times New Roman"/>
          <w:color w:val="000000" w:themeColor="text1"/>
          <w:sz w:val="16"/>
          <w:szCs w:val="16"/>
        </w:rPr>
        <w:softHyphen/>
        <w:t>чатых и легко воспламеняющихся веществ и предметов, как-то: порох, патроны и т.п. - лишение свободы на срок до пяти лет.</w:t>
      </w:r>
    </w:p>
    <w:p w14:paraId="73EA46B8"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Предложить ОГПУ произвести по всему СССР перерегистрацию оружия, имея ввиду из"ятие наибольшего коли</w:t>
      </w:r>
      <w:r w:rsidRPr="0044524F">
        <w:rPr>
          <w:rFonts w:ascii="Times New Roman" w:hAnsi="Times New Roman"/>
          <w:color w:val="000000" w:themeColor="text1"/>
          <w:sz w:val="16"/>
          <w:szCs w:val="16"/>
        </w:rPr>
        <w:softHyphen/>
        <w:t>чества оружия у населения и сокращение количества лиц, пользующихся правом приобретения и хранения его.</w:t>
      </w:r>
    </w:p>
    <w:p w14:paraId="7DA7ECE3" w14:textId="77777777" w:rsidR="004F587F" w:rsidRPr="0044524F" w:rsidRDefault="004F58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т.т.Ягоде, Енукидзе, Крыленко (22983).</w:t>
      </w:r>
    </w:p>
    <w:p w14:paraId="2E37BDF9" w14:textId="77777777" w:rsidR="004F587F" w:rsidRPr="0044524F" w:rsidRDefault="004F587F" w:rsidP="009654CF">
      <w:pPr>
        <w:spacing w:after="0" w:line="240" w:lineRule="auto"/>
        <w:jc w:val="both"/>
        <w:rPr>
          <w:rFonts w:ascii="Times New Roman" w:hAnsi="Times New Roman"/>
          <w:color w:val="000000" w:themeColor="text1"/>
          <w:sz w:val="16"/>
          <w:szCs w:val="16"/>
        </w:rPr>
      </w:pPr>
    </w:p>
    <w:p w14:paraId="56FAA56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 было принято решение ЦК ВКП(б) "О строительстве Московского метрополитена" (3481).</w:t>
      </w:r>
    </w:p>
    <w:p w14:paraId="68A7613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78485E4D"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20 марта</w:t>
      </w:r>
      <w:r w:rsidRPr="0044524F">
        <w:rPr>
          <w:rFonts w:ascii="Times New Roman" w:hAnsi="Times New Roman"/>
          <w:color w:val="000000" w:themeColor="text1"/>
          <w:sz w:val="16"/>
          <w:szCs w:val="16"/>
        </w:rPr>
        <w:t xml:space="preserve"> в 1933 году ЦК ВКП(б) принял решение начать строительство Московского метрополитена, выполнив тем самым постановление июньского пленума 1931 года "О строительстве в городе Москве метрополитена с 1933 года". Метро создали в рекордные сроки. Уже 15 мая 1935 года на первой линии из 13 станций открылось движение поездов (15074).</w:t>
      </w:r>
    </w:p>
    <w:p w14:paraId="0B56B772" w14:textId="77777777" w:rsidR="002E6AE0" w:rsidRPr="0044524F" w:rsidRDefault="002E6AE0" w:rsidP="009654CF">
      <w:pPr>
        <w:spacing w:after="0" w:line="240" w:lineRule="auto"/>
        <w:jc w:val="both"/>
        <w:rPr>
          <w:rFonts w:ascii="Times New Roman" w:hAnsi="Times New Roman"/>
          <w:color w:val="000000" w:themeColor="text1"/>
          <w:sz w:val="16"/>
          <w:szCs w:val="16"/>
        </w:rPr>
      </w:pPr>
    </w:p>
    <w:p w14:paraId="18C8537A"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w:t>
      </w:r>
    </w:p>
    <w:p w14:paraId="58373899"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Источник: </w:t>
      </w:r>
    </w:p>
    <w:p w14:paraId="59833825"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http://sovdoc.rusarchives.ru</w:t>
      </w:r>
    </w:p>
    <w:p w14:paraId="1A0DD93B"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20537498"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РГАСПИ. Ф. 17. Оп. 3. Д. 918. Л. 55-56.</w:t>
      </w:r>
    </w:p>
    <w:p w14:paraId="3CAC9B9F"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13</w:t>
      </w:r>
    </w:p>
    <w:p w14:paraId="44DB09A3"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107/90 пр. ПБ № 133.</w:t>
      </w:r>
    </w:p>
    <w:p w14:paraId="220D9B1E"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строительстве Московского метрополитена.</w:t>
      </w:r>
    </w:p>
    <w:p w14:paraId="7F048CC2"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ЦК ВКП(б) от 20.III.1933 г.</w:t>
      </w:r>
    </w:p>
    <w:p w14:paraId="6C98FDE3"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Утвердить следующую схему линий Московского метрополитена, разработанную Метростроем и одобренную советской и иностранной экспертизами:</w:t>
      </w:r>
    </w:p>
    <w:p w14:paraId="4450E0C8" w14:textId="337F38F0"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Мясницкий радиус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 10,0 км</w:t>
      </w:r>
    </w:p>
    <w:p w14:paraId="6DCC211C" w14:textId="1B6E03FB"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Фрунзенский радиус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6,0 км</w:t>
      </w:r>
    </w:p>
    <w:p w14:paraId="4B1F21D0" w14:textId="5EE088C4"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Арбатский радиус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5,0 км</w:t>
      </w:r>
    </w:p>
    <w:p w14:paraId="0460FF1C" w14:textId="00424655"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Тверской радиус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9,5 км</w:t>
      </w:r>
    </w:p>
    <w:p w14:paraId="182780C8" w14:textId="60553B8B"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Таганский радиус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 10,6 км</w:t>
      </w:r>
    </w:p>
    <w:p w14:paraId="3E84478E" w14:textId="431F7199"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Покровский радиус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9,3 км</w:t>
      </w:r>
    </w:p>
    <w:p w14:paraId="73B9F6B0" w14:textId="2627BCCC"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Замоскворецкий радиус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8,0 км</w:t>
      </w:r>
    </w:p>
    <w:p w14:paraId="4039B18D" w14:textId="4823DAE9"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Рогожский радиус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9,6 км</w:t>
      </w:r>
    </w:p>
    <w:p w14:paraId="005D528E" w14:textId="52A73BDE"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Краснопресненский радиус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4,5 км</w:t>
      </w:r>
    </w:p>
    <w:p w14:paraId="1734CD62" w14:textId="6E0E02EB"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Дзержинский радиус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7,8 км</w:t>
      </w:r>
    </w:p>
    <w:p w14:paraId="5FB7DA21"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2B380EAB" w14:textId="70859EE4"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80,3 км</w:t>
      </w:r>
    </w:p>
    <w:p w14:paraId="20978AA4"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На основании заключения большинства специально-организованных экспертиз советской, английской, французской и, исходя из учета уже накопленного опыта строительства установить, что строительство Московского метрополитена должно производиться путем комбинирования закрытого и открытого способа работ, применительно к конкретным особенностям отдельных участков.</w:t>
      </w:r>
    </w:p>
    <w:p w14:paraId="70AE8B38"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первоочередных линий метрополитена: Сокольники — Крымская площадь, им. Ленина — Смоленский рынок общим протяжением 11,6 км установить 7,4 км закрытым тоннельным способом и 4,2 км открытым способом, а именно по отдельным участкам:</w:t>
      </w:r>
    </w:p>
    <w:p w14:paraId="731FD4C8"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Линия Сокольники — пл. Свердлова.</w:t>
      </w:r>
    </w:p>
    <w:p w14:paraId="2732FD29"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Участок от Красных ворот до площади Свердлова проходится закрытым тоннельным способом. На участке по направлению от Красноворотской площади к Сокольникам, во изменение постановления ЦК ВКП(б) от 8.I.1932 г., применить открытый способ работ, с частичной проходкой этого участка закрытым способом в районе Митьковской ветки.</w:t>
      </w:r>
    </w:p>
    <w:p w14:paraId="6A26D526"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Линия площадь Свердлова — Крымская площадь.</w:t>
      </w:r>
    </w:p>
    <w:p w14:paraId="6ECC090A"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Участок от площади Свердлова до библиотеки им. Ленина проходится закрытым тоннельным способом работ с глубоким заложением. Участок от библиотеки им. Ленина до Крапоткинской площади проходится закрытым тоннельным способом и от Крапоткинской площади до Крымской площади, принимая во внимание незначительность уличного движения по Остоженке и возможность перевода этого движения частично на набережную реки Москвы и на улицу Крапоткина, — открытым способом.</w:t>
      </w:r>
    </w:p>
    <w:p w14:paraId="2483B69A"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Арбатский радиус.</w:t>
      </w:r>
    </w:p>
    <w:p w14:paraId="6C00F00F"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библиотеки им. Ленина до Смоленского рынка, ввиду чрезвычайно, интенсивного уличного движения и невозможности перевода этого движения на другую улицу, вести работы закрытым тоннельным способом.</w:t>
      </w:r>
    </w:p>
    <w:p w14:paraId="7B065F8A"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Установить предельные сроки окончания строительства первоочередных линий метрополитена, вместо 1.I.1934 г. — 1.XII.1934 г.</w:t>
      </w:r>
    </w:p>
    <w:p w14:paraId="3E8C2725"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Капиталовложения на 1933 г. по метрополитену увеличить с 80 млн. руб. до 110 млн. руб. соответственно уменьшив на 30 млн. руб. ассигнование на строительство канала Волга — Москва, с 138 млн. руб. до 108 млн. руб.</w:t>
      </w:r>
    </w:p>
    <w:p w14:paraId="21C69394"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Одобрить решения МК, МГК ВКП(б) и Моссовета о передаче метрострою, сверх ассигнованных 110 млн. руб., уже готовых подсобных предприятий, складов и часть жилфонда общей стоимостью не менее 20 млн. рублей.</w:t>
      </w:r>
    </w:p>
    <w:p w14:paraId="5A186623"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Признать необходимым привлечь на постоянную работу по строительству метрополитена крупных иностранных специалистов в количестве 7 чел., ассигновав на содержание иностранной консультации в 1933 г. — 50.000 руб. валютой.</w:t>
      </w:r>
    </w:p>
    <w:p w14:paraId="75133097"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Разрешить Метрострою в течение 1933 г. командировать заграницу 10 чел. инженеров, для ознакомления со строительством метрополитенов, для чего выделить соответствующие валютные контингенты.</w:t>
      </w:r>
    </w:p>
    <w:p w14:paraId="7C3C15ED"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Считать, что отпущенные Госпланом фонды недостаточны для обеспечения строительства метрополитена.</w:t>
      </w:r>
    </w:p>
    <w:p w14:paraId="282215B7"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Прёдложить СТО в 10</w:t>
      </w:r>
      <w:r w:rsidRPr="0044524F">
        <w:rPr>
          <w:rFonts w:ascii="Times New Roman" w:hAnsi="Times New Roman"/>
          <w:color w:val="000000" w:themeColor="text1"/>
          <w:sz w:val="16"/>
          <w:szCs w:val="16"/>
        </w:rPr>
        <w:noBreakHyphen/>
        <w:t>дневный срок разобрать жалобу Метростроя и увеличить отпуск фондов строительных материалов и оборудования до размеров, полностью обеспечивающих выполнение установленной программы, включив Метрострой в титульный список первоочередных строек.</w:t>
      </w:r>
    </w:p>
    <w:p w14:paraId="3EA7E79F"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Утвердить постановление МК, МГК и Моссовета о конкретных мероприятиях по обеспечению выполнения плана строительства на 1933 г.</w:t>
      </w:r>
    </w:p>
    <w:p w14:paraId="4A6D85F1" w14:textId="77777777" w:rsidR="002E6AE0" w:rsidRPr="0044524F" w:rsidRDefault="002E6A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ЦК обязывает МГК ВКП(б), Моссовет и руководство Метростроя, на основе решения ЦК и мероприятий, намеченных МК, МГК ВКП(б) и Моссоветом, обеспечить в дальнейшем исправление недостатков строительства, указанных в постановлении МК, МГК и Моссовета, вскрытых в процессе работ 1932 г., в особенности по качественным показателям и добиться лучшей организации труда и установления твердой финансовой дисциплины (18051).</w:t>
      </w:r>
    </w:p>
    <w:p w14:paraId="66B85DD1" w14:textId="77777777" w:rsidR="002E6AE0" w:rsidRPr="0044524F" w:rsidRDefault="002E6AE0" w:rsidP="009654CF">
      <w:pPr>
        <w:spacing w:after="0" w:line="240" w:lineRule="auto"/>
        <w:jc w:val="both"/>
        <w:rPr>
          <w:rFonts w:ascii="Times New Roman" w:hAnsi="Times New Roman"/>
          <w:color w:val="000000" w:themeColor="text1"/>
          <w:sz w:val="16"/>
          <w:szCs w:val="16"/>
        </w:rPr>
      </w:pPr>
    </w:p>
    <w:p w14:paraId="49F41103" w14:textId="77777777" w:rsidR="00BF70BD" w:rsidRPr="0044524F" w:rsidRDefault="00BF70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 21 марта 1933 г. после того как Метрострой представил технический проект, Политбюро и Совнарком соответственно опубликовали обширное постановление о строительстве метрополитена.</w:t>
      </w:r>
    </w:p>
    <w:p w14:paraId="333D841F" w14:textId="77777777" w:rsidR="00BF70BD" w:rsidRPr="0044524F" w:rsidRDefault="00BF70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Высшие инстанции на основе заключений экспертных комиссий и новейшего проекта Метростроя вынесли следующее решение: утвердить схему линий, в основе повторяющую предложенный в ноябре 1931 г. вариант (см. рис. 19, табл. 4), общей протяженностью 80,3 км[45].</w:t>
      </w:r>
    </w:p>
    <w:p w14:paraId="5A025F8B" w14:textId="77777777" w:rsidR="00BF70BD" w:rsidRPr="0044524F" w:rsidRDefault="00BF70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по поводу способа строительства обосновывалось для каждого отдельного участка: от Сокольников до Красных ворот линия прокладывалась открытым способом, поскольку улицы здесь были достаточной ширины, а геологические условия неблагоприятны для строительства закрытым способом. Последний должен был применяться только у Митьковской эстакады (экспериментальный участок). Между Красными воротами и библиотекой Ленина намечалась прокладка тоннелей глубокого залегания, поскольку этот участок располагался в центральной части города с оживленным уличным движением. От библиотеки Ленина до Кропоткинской пл. стройка должна была вестись снова открытым способом. Последний участок пересекал ул. Остоженка, движение на которой было невелико, и эту улицу можно было миновать по параллельным трассам. Для Арбатского же радиуса предусмотрели закрытый способ, чтобы не направлять оживленное уличное движение по объездным путям.</w:t>
      </w:r>
    </w:p>
    <w:p w14:paraId="28183FDF" w14:textId="77777777" w:rsidR="00BF70BD" w:rsidRPr="0044524F" w:rsidRDefault="00BF70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окончания первой очереди метро был перенесен с 1 января на 1 декабря 1934 г., одновременно инвестиции на 1933 г. по статье строительства канала Москва-Волга были повышены с 80 до 110 млн. руб. Госплану и Совету труда и обороны было дано указание снабжать Метрострой материалами и оборудованием лучше, чем прежде. Московский комитет партии, Моссовет и Метрострой обязывались устранить недостатки при организации работ, обеспечив также финансовую дисциплину и высокое качество строительства{470} (18299).</w:t>
      </w:r>
    </w:p>
    <w:p w14:paraId="455728D3" w14:textId="77777777" w:rsidR="00BF70BD" w:rsidRPr="0044524F" w:rsidRDefault="00BF70BD" w:rsidP="009654CF">
      <w:pPr>
        <w:spacing w:after="0" w:line="240" w:lineRule="auto"/>
        <w:jc w:val="both"/>
        <w:rPr>
          <w:rFonts w:ascii="Times New Roman" w:hAnsi="Times New Roman"/>
          <w:color w:val="000000" w:themeColor="text1"/>
          <w:sz w:val="16"/>
          <w:szCs w:val="16"/>
        </w:rPr>
      </w:pPr>
    </w:p>
    <w:p w14:paraId="3BC60630" w14:textId="77777777" w:rsidR="00BF70BD" w:rsidRPr="0044524F" w:rsidRDefault="00BF70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 г., Политбюро приняло основополагающее постановление о реорганизации работы на шахтах Донбасса, на которых возникли затруднения. Постановление имело в виду и Метрострой, став основой его реорганизации, хотя прямо в документе об этом не говорилось{471}.Реформа была нацелена на то, чтобы эффективнее наладить работу с помощью механизации, строгого единоначалия, лучшей организации труда, социалистического соревнования, сдельной оплаты на основе норм, разработанных при хронометрическом изучении трудового процесса, перехода к хозрасчету и лучшего снабжения рабочих[46].</w:t>
      </w:r>
    </w:p>
    <w:p w14:paraId="36E8299E" w14:textId="77777777" w:rsidR="00BF70BD" w:rsidRPr="0044524F" w:rsidRDefault="00BF70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этим была тесно связана четкая организация управленческого аппарата Метростроя. Участки, которые разрослись до громоздкого средостения между центральным аппаратом и строительными объектами, по настоянию Кагановича и Хрущева были ликвидированы, несмотря на сопротивление Ротерта{472}.Основными административными единицами стали теперь шахты (при закрытом способе строительства) и дистанции (открытый способ). Отчасти им было придано новое руководство. С этой целью к строительству метрополитена привлекли опытных горных инженеров из Донбасса и переместили на стройплощадки инженеров из руководящего аппарата{473} (18299).</w:t>
      </w:r>
    </w:p>
    <w:p w14:paraId="0391657F" w14:textId="77777777" w:rsidR="00BF70BD" w:rsidRPr="0044524F" w:rsidRDefault="00BF70BD" w:rsidP="009654CF">
      <w:pPr>
        <w:spacing w:after="0" w:line="240" w:lineRule="auto"/>
        <w:jc w:val="both"/>
        <w:rPr>
          <w:rFonts w:ascii="Times New Roman" w:hAnsi="Times New Roman"/>
          <w:color w:val="000000" w:themeColor="text1"/>
          <w:sz w:val="16"/>
          <w:szCs w:val="16"/>
        </w:rPr>
      </w:pPr>
    </w:p>
    <w:p w14:paraId="7BEF7D7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 была введена в строй радиовещательная станция им. Коминтерна, в то время крупнейшая в мире (3960, 111).</w:t>
      </w:r>
    </w:p>
    <w:p w14:paraId="2DAD579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6E06CE9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 в Белорусской ССР в р-не с.Тряпичино на территории Афанасьеево-Слободского сельсовета появилась кулацкая банда в составе 5 человек (10687).</w:t>
      </w:r>
    </w:p>
    <w:p w14:paraId="1631602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7F42D9EF"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За рубежом:</w:t>
      </w:r>
    </w:p>
    <w:p w14:paraId="42AFAC3F"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86FC1A1" w14:textId="77777777" w:rsidR="007461D7" w:rsidRPr="0044524F" w:rsidRDefault="007461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20 марта</w:t>
      </w:r>
      <w:r w:rsidRPr="0044524F">
        <w:rPr>
          <w:rFonts w:ascii="Times New Roman" w:hAnsi="Times New Roman"/>
          <w:color w:val="000000" w:themeColor="text1"/>
          <w:sz w:val="16"/>
          <w:szCs w:val="16"/>
        </w:rPr>
        <w:t xml:space="preserve"> 1933 - приведен в исполнение приговор Джузеппе Зангара (Giuseppe Zangara). Каменщик из Италии, получивший американское гражданство, страдал сильными болями в животе. Как выяснилось позднее, они были вызваны спайками желчного пузыря. Боли отразились на психическом здоровье мужчины. Он решил, что в его плохом самочувствии виноват президент США, Херберт Хувер (Herbert Hoover). Однако в стране произошли очередные выборы, и под гнев каменщика попал новый глава страны – Франклин Рузвельт (Franklin Roosevelt). Зангара предпринял попытку застрелить президента во время одного из публичных выступлений. Однако в результате стрельбы Рузвельт не пострадал, но были ранены пять других человек, среди которых был и мэр Чикаго. Через 20 дней мэр скончался от осложнений после ранения в живот, а Джузеппе был приговорен к смертной казни за убийство (15074).</w:t>
      </w:r>
    </w:p>
    <w:p w14:paraId="2264280A" w14:textId="77777777" w:rsidR="007461D7" w:rsidRPr="0044524F" w:rsidRDefault="007461D7" w:rsidP="009654CF">
      <w:pPr>
        <w:spacing w:after="0" w:line="240" w:lineRule="auto"/>
        <w:jc w:val="both"/>
        <w:rPr>
          <w:rFonts w:ascii="Times New Roman" w:hAnsi="Times New Roman"/>
          <w:color w:val="000000" w:themeColor="text1"/>
          <w:sz w:val="16"/>
          <w:szCs w:val="16"/>
        </w:rPr>
      </w:pPr>
    </w:p>
    <w:p w14:paraId="7760C658" w14:textId="77777777" w:rsidR="007461D7" w:rsidRPr="0044524F" w:rsidRDefault="007461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20 марта</w:t>
      </w:r>
      <w:r w:rsidRPr="0044524F">
        <w:rPr>
          <w:rFonts w:ascii="Times New Roman" w:hAnsi="Times New Roman"/>
          <w:color w:val="000000" w:themeColor="text1"/>
          <w:sz w:val="16"/>
          <w:szCs w:val="16"/>
        </w:rPr>
        <w:t xml:space="preserve"> в 1933 году в нацистской Германии под Мюнхеном открыт первый концлагерь - Дахау, в который бросали цыган, евреев, политзаключенных и всех остальных, кто попадал под категорию "нежелательных элементов". С началом мировой войны появится новая разновидность концлагерей - лагеря смерти, в которых уничтожение людей будет поставлено на поток (15074).</w:t>
      </w:r>
    </w:p>
    <w:p w14:paraId="56A61F72" w14:textId="77777777" w:rsidR="007461D7" w:rsidRPr="0044524F" w:rsidRDefault="007461D7" w:rsidP="009654CF">
      <w:pPr>
        <w:spacing w:after="0" w:line="240" w:lineRule="auto"/>
        <w:jc w:val="both"/>
        <w:rPr>
          <w:rFonts w:ascii="Times New Roman" w:hAnsi="Times New Roman"/>
          <w:color w:val="000000" w:themeColor="text1"/>
          <w:sz w:val="16"/>
          <w:szCs w:val="16"/>
        </w:rPr>
      </w:pPr>
    </w:p>
    <w:p w14:paraId="3E112D75" w14:textId="77777777" w:rsidR="00474353" w:rsidRPr="0044524F" w:rsidRDefault="004743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 нацистами создан концлагерь Дахау (4962). В нацистской Германии под Мюнхеном открыт первый концлагерь - Дахау, в который бросали цыган, евреев, политзаключенных и всех остальных, кто попадал под категорию "нежелательных элементов" (4963 ).</w:t>
      </w:r>
    </w:p>
    <w:p w14:paraId="3409C190" w14:textId="77777777" w:rsidR="00474353" w:rsidRPr="0044524F" w:rsidRDefault="004743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55385E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марта 1933 в Брно Собрание русского "Всеказацкого земледельческого союза" заслушало доклад Мейснера о скором крушении коммунистического строя в СССР (10687).</w:t>
      </w:r>
    </w:p>
    <w:p w14:paraId="2044F1E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1000A527"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3CC7D2C"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6EAB6B5" w14:textId="77777777" w:rsidR="00474353" w:rsidRPr="0044524F" w:rsidRDefault="004743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года выписка из протокола № 2 КО</w:t>
      </w:r>
    </w:p>
    <w:p w14:paraId="057020AA" w14:textId="77777777" w:rsidR="00474353" w:rsidRPr="0044524F" w:rsidRDefault="0047435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очередном заседании КО</w:t>
      </w:r>
    </w:p>
    <w:p w14:paraId="39A1C43E" w14:textId="77777777" w:rsidR="00474353" w:rsidRPr="0044524F" w:rsidRDefault="004743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заседании КО 2 апреля заслушать вопросы:</w:t>
      </w:r>
    </w:p>
    <w:p w14:paraId="0DF257FE" w14:textId="77777777" w:rsidR="00474353" w:rsidRPr="0044524F" w:rsidRDefault="0047435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Авиация:</w:t>
      </w:r>
    </w:p>
    <w:p w14:paraId="25265A1B" w14:textId="77777777" w:rsidR="00474353" w:rsidRPr="0044524F" w:rsidRDefault="004743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доклад Меженинова о поездке за границу (Базилевич) (4191, 24).</w:t>
      </w:r>
    </w:p>
    <w:p w14:paraId="4B5B8571" w14:textId="77777777" w:rsidR="00474353" w:rsidRPr="0044524F" w:rsidRDefault="0047435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1B0C6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года выписка из протокола № 2 КО</w:t>
      </w:r>
    </w:p>
    <w:p w14:paraId="55B7A8C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 очередном заседании КО.</w:t>
      </w:r>
    </w:p>
    <w:p w14:paraId="01D2C09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заседании КО 2 апреля заслушать вопросы:</w:t>
      </w:r>
    </w:p>
    <w:p w14:paraId="0D32788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Авиация:</w:t>
      </w:r>
    </w:p>
    <w:p w14:paraId="6447BF6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 рекордном полете на дальность (7503, 2).</w:t>
      </w:r>
    </w:p>
    <w:p w14:paraId="2F8768E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78D0CFF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года выписка из протокола № 2 КО</w:t>
      </w:r>
    </w:p>
    <w:p w14:paraId="7DC82E3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 очередном заседании КО.</w:t>
      </w:r>
    </w:p>
    <w:p w14:paraId="03A115C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заседании КО 2 апреля заслушать вопросы:</w:t>
      </w:r>
    </w:p>
    <w:p w14:paraId="55CE00A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Авиация:</w:t>
      </w:r>
    </w:p>
    <w:p w14:paraId="5AFC2D2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 полете в стратосферу (7503, 3).</w:t>
      </w:r>
    </w:p>
    <w:p w14:paraId="175D489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70B6F31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года выписка из протокола № 2 КО</w:t>
      </w:r>
    </w:p>
    <w:p w14:paraId="3598AD9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Авиация.</w:t>
      </w:r>
    </w:p>
    <w:p w14:paraId="3D47896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Поручить комиссии в составе Куйбышева В.В. (председатель), Ворошилова, Тухачевского, Кагановича М.М., Павлуновского, Баранова, Алксниса, Куйбышева, Н. Рассмотреть и доложить КО следующие вопросы:</w:t>
      </w:r>
    </w:p>
    <w:p w14:paraId="7C6E8283" w14:textId="77777777" w:rsidR="00474353" w:rsidRPr="0044524F" w:rsidRDefault="0047435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Механизация аэродромной службы.</w:t>
      </w:r>
    </w:p>
    <w:p w14:paraId="3691DCD8" w14:textId="77777777" w:rsidR="00474353" w:rsidRPr="0044524F" w:rsidRDefault="0047435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Строительство взлетно-посадочных полос и рулежных дорожек к ним на аэродромах.</w:t>
      </w:r>
    </w:p>
    <w:p w14:paraId="14D20AAF" w14:textId="77777777" w:rsidR="00474353" w:rsidRPr="0044524F" w:rsidRDefault="0047435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рациях для тяжелых самолетов.</w:t>
      </w:r>
    </w:p>
    <w:p w14:paraId="58F0A899" w14:textId="77777777" w:rsidR="00474353" w:rsidRPr="0044524F" w:rsidRDefault="0047435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Тормозные колеса.</w:t>
      </w:r>
    </w:p>
    <w:p w14:paraId="2380EB4C" w14:textId="77777777" w:rsidR="00474353" w:rsidRPr="0044524F" w:rsidRDefault="0047435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Разрезные крылья.</w:t>
      </w:r>
    </w:p>
    <w:p w14:paraId="23CF83CD" w14:textId="77777777" w:rsidR="00474353" w:rsidRPr="0044524F" w:rsidRDefault="0047435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изготовлении автопилотов системы инженера Ниренберга.</w:t>
      </w:r>
    </w:p>
    <w:p w14:paraId="6B0003FF" w14:textId="77777777" w:rsidR="00474353" w:rsidRPr="0044524F" w:rsidRDefault="0047435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испытании аппарата 1-ЭА "Геликоптер".</w:t>
      </w:r>
    </w:p>
    <w:p w14:paraId="7AA6342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работы – 2-х декадный (7503, 4).</w:t>
      </w:r>
    </w:p>
    <w:p w14:paraId="552B0F2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6FF0854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года вышел Приказ РВС и наркомата тяжелой промышленности</w:t>
      </w:r>
    </w:p>
    <w:p w14:paraId="7935231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 009:</w:t>
      </w:r>
    </w:p>
    <w:p w14:paraId="069136B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Принять к исполнению перечень заданий в связи с разрешением проблемы вооружения авиации артиллерией и пулеметами.</w:t>
      </w:r>
    </w:p>
    <w:p w14:paraId="0BEC542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w:t>
      </w:r>
    </w:p>
    <w:p w14:paraId="0465684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 по обеспечению разработки</w:t>
      </w:r>
    </w:p>
    <w:p w14:paraId="415E859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проблемы вооружения авиации артиллерией и пулеметами.</w:t>
      </w:r>
    </w:p>
    <w:p w14:paraId="6238FB1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Планировка испытаний авиационных систем Курчевского.</w:t>
      </w:r>
    </w:p>
    <w:p w14:paraId="3F0511B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Испытание самолетов вооруженных пушками (ЗЕТ, И-4).</w:t>
      </w:r>
    </w:p>
    <w:p w14:paraId="4084B4E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в НИИ ВВС:</w:t>
      </w:r>
    </w:p>
    <w:p w14:paraId="3E1DCB1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по самолетам ЗЕТ 15 июля, по самолетам И-4 1 мая.</w:t>
      </w:r>
    </w:p>
    <w:p w14:paraId="1804961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Отстрел пушки АПК-76, установленной на самолете ТБ1 для стрельбы по земным целям.</w:t>
      </w:r>
    </w:p>
    <w:p w14:paraId="02FE78F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НИИ ВВС испытаний в воздухе - срок исполнения 15 августа.</w:t>
      </w:r>
    </w:p>
    <w:p w14:paraId="7773BE0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Установка на самолет Р-6 четырех 76 мм авиационных пушек и прибора управления огнем.</w:t>
      </w:r>
    </w:p>
    <w:p w14:paraId="2E4DD6A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Проведение НИИ ВВС испытаний - срок исполнения 1 ноября.</w:t>
      </w:r>
    </w:p>
    <w:p w14:paraId="7B30B9C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Определение тактических форм применения артиллерийских самолетов.</w:t>
      </w:r>
    </w:p>
    <w:p w14:paraId="175403D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Проведение НИИ ВВС широких опытов по определению тактических форм.</w:t>
      </w:r>
    </w:p>
    <w:p w14:paraId="0D238B4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1 ноября.</w:t>
      </w:r>
    </w:p>
    <w:p w14:paraId="27A3ADB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Испытание самолетов, вооруженных 20 мм пушками и крупнокалиберными пулеметами.</w:t>
      </w:r>
    </w:p>
    <w:p w14:paraId="4D4B12E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заводских испытаний самолета МИ3. Предъявление на гос. испытание в НИИ ВВС.</w:t>
      </w:r>
    </w:p>
    <w:p w14:paraId="5421EDB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предъявляется на гос. испытание в двух вариантах:</w:t>
      </w:r>
    </w:p>
    <w:p w14:paraId="34A909E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 двумя крупнокалиберными пулеметами в носовом отсеке.</w:t>
      </w:r>
    </w:p>
    <w:p w14:paraId="53EDB1E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 20 мм пушкой в носовом отсеке.</w:t>
      </w:r>
    </w:p>
    <w:p w14:paraId="60CE62E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 15 мая.</w:t>
      </w:r>
    </w:p>
    <w:p w14:paraId="68B5010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в НИИ ВВС.</w:t>
      </w:r>
    </w:p>
    <w:p w14:paraId="02F60DF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w:t>
      </w:r>
    </w:p>
    <w:p w14:paraId="34837A9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самолету типа МИ-З 15 июня.</w:t>
      </w:r>
    </w:p>
    <w:p w14:paraId="3302472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самолету типа СА-2 1 мая.</w:t>
      </w:r>
    </w:p>
    <w:p w14:paraId="797157C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Испытания 20 м пушек установленных на турель.</w:t>
      </w:r>
    </w:p>
    <w:p w14:paraId="0C420DC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(Мадсен, Эрликон "S" и "L" и обр. 30 г.).</w:t>
      </w:r>
    </w:p>
    <w:p w14:paraId="5D16FE5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в НИИ ВВС.</w:t>
      </w:r>
    </w:p>
    <w:p w14:paraId="5627CC7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исполнения:</w:t>
      </w:r>
    </w:p>
    <w:p w14:paraId="4FDB8C9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Эрликон типа "L" - 15 апреля</w:t>
      </w:r>
    </w:p>
    <w:p w14:paraId="34ACEF1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Пушка обр. 1930 г. - 20 апреля</w:t>
      </w:r>
    </w:p>
    <w:p w14:paraId="695C4F3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Пушка Мадсен - 25 апреля</w:t>
      </w:r>
    </w:p>
    <w:p w14:paraId="1556F9D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Эрликон типа "S" - 30 апреля.</w:t>
      </w:r>
    </w:p>
    <w:p w14:paraId="44BBB4A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Изучение действий снаряда у цели.</w:t>
      </w:r>
    </w:p>
    <w:p w14:paraId="700E34B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Действие изучается по действительной материальной части - собранным самолетам. Калибры в мм: 7,62, 12,7 пулемет; 20, 37, 45 и 76 (с весом снаряда 6,5 и 7,1 кг) пушки, а также система на принципе ДРП - 37, 65, 76 и 100 мм калибра (АПК).</w:t>
      </w:r>
    </w:p>
    <w:p w14:paraId="6C087C2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Снаряды: 12,7 мм бронебойный и бронебойно-трассирующий, 20 мм осколочный и трассирующий, 37 мм и 45 мм - осколочные, 76 мм, осколочный и шрапнель (весом 6,5 кг и 7,1 кг).</w:t>
      </w:r>
    </w:p>
    <w:p w14:paraId="1C910A1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Отдельные задания.</w:t>
      </w:r>
    </w:p>
    <w:p w14:paraId="033CE74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Начальнику ЦАГИ и директору завода N 39 организовать бригаду по вооружению самолетов артиллерией и пулеметами. Срок - 1 апреля.</w:t>
      </w:r>
    </w:p>
    <w:p w14:paraId="528251B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Начальнику ВВС путем созыва совещания подготовить соображения по бронированию самолетов и способам предохранения баков от зажжения (3057,9-12).</w:t>
      </w:r>
    </w:p>
    <w:p w14:paraId="6C866E3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7C3E36E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года начальник ВВС Алкснис писал письмо N 0089сс Ворошилову.</w:t>
      </w:r>
    </w:p>
    <w:p w14:paraId="79CDF5F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состоянии опытного моторо- и самолетостроения.</w:t>
      </w:r>
    </w:p>
    <w:p w14:paraId="6D61024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опытного моторо- и самолетостроения на 1932-34 г.г., утвержденный Правительством 4 июля 1932 года промышленностью не выполняется в обусловленные сроки.</w:t>
      </w:r>
    </w:p>
    <w:p w14:paraId="3DA1550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7146E0E6"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Высокие летные данные иностранных самолетов объясняются не столько аэродинамикой самолетов, сколько каче</w:t>
      </w:r>
      <w:r w:rsidRPr="0044524F">
        <w:rPr>
          <w:rFonts w:ascii="Times New Roman" w:hAnsi="Times New Roman"/>
          <w:color w:val="000000" w:themeColor="text1"/>
          <w:sz w:val="16"/>
          <w:szCs w:val="16"/>
        </w:rPr>
        <w:softHyphen/>
        <w:t>ством мотора. Качество мотора прежде всего зависит от наличия на нем нагнетателя и редуктора.</w:t>
      </w:r>
    </w:p>
    <w:p w14:paraId="472EDA14"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Роль редуктора и особенно нагнетателя в повышении летных данных самолета отчетливо видна из следующей сравнительной таблицы: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9"/>
        <w:gridCol w:w="1843"/>
        <w:gridCol w:w="1701"/>
        <w:gridCol w:w="1701"/>
        <w:gridCol w:w="1701"/>
      </w:tblGrid>
      <w:tr w:rsidR="004E10C1" w:rsidRPr="0044524F" w14:paraId="4BACA62A" w14:textId="77777777">
        <w:tc>
          <w:tcPr>
            <w:tcW w:w="959" w:type="dxa"/>
            <w:tcBorders>
              <w:top w:val="single" w:sz="12" w:space="0" w:color="auto"/>
            </w:tcBorders>
          </w:tcPr>
          <w:p w14:paraId="6B711B4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w:t>
            </w:r>
          </w:p>
        </w:tc>
        <w:tc>
          <w:tcPr>
            <w:tcW w:w="1843" w:type="dxa"/>
            <w:tcBorders>
              <w:top w:val="single" w:sz="12" w:space="0" w:color="auto"/>
            </w:tcBorders>
          </w:tcPr>
          <w:p w14:paraId="6D30C08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1701" w:type="dxa"/>
            <w:tcBorders>
              <w:top w:val="single" w:sz="12" w:space="0" w:color="auto"/>
            </w:tcBorders>
          </w:tcPr>
          <w:p w14:paraId="02578C9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без редуктора и нагнетателя</w:t>
            </w:r>
          </w:p>
        </w:tc>
        <w:tc>
          <w:tcPr>
            <w:tcW w:w="1701" w:type="dxa"/>
            <w:tcBorders>
              <w:top w:val="single" w:sz="12" w:space="0" w:color="auto"/>
            </w:tcBorders>
          </w:tcPr>
          <w:p w14:paraId="73B9F6B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с редуктором</w:t>
            </w:r>
          </w:p>
        </w:tc>
        <w:tc>
          <w:tcPr>
            <w:tcW w:w="1701" w:type="dxa"/>
            <w:tcBorders>
              <w:top w:val="single" w:sz="12" w:space="0" w:color="auto"/>
            </w:tcBorders>
          </w:tcPr>
          <w:p w14:paraId="403BA81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с нагнетателем до 5000 м</w:t>
            </w:r>
          </w:p>
        </w:tc>
      </w:tr>
      <w:tr w:rsidR="004E10C1" w:rsidRPr="0044524F" w14:paraId="24B70A1B" w14:textId="77777777">
        <w:tc>
          <w:tcPr>
            <w:tcW w:w="959" w:type="dxa"/>
          </w:tcPr>
          <w:p w14:paraId="396F865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843" w:type="dxa"/>
          </w:tcPr>
          <w:p w14:paraId="0682168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5000 м</w:t>
            </w:r>
          </w:p>
        </w:tc>
        <w:tc>
          <w:tcPr>
            <w:tcW w:w="1701" w:type="dxa"/>
          </w:tcPr>
          <w:p w14:paraId="47A6AE6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w:t>
            </w:r>
          </w:p>
        </w:tc>
        <w:tc>
          <w:tcPr>
            <w:tcW w:w="1701" w:type="dxa"/>
          </w:tcPr>
          <w:p w14:paraId="607D873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c>
          <w:tcPr>
            <w:tcW w:w="1701" w:type="dxa"/>
          </w:tcPr>
          <w:p w14:paraId="4AB88AF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w:t>
            </w:r>
          </w:p>
        </w:tc>
      </w:tr>
      <w:tr w:rsidR="004E10C1" w:rsidRPr="0044524F" w14:paraId="52C0A380" w14:textId="77777777">
        <w:tc>
          <w:tcPr>
            <w:tcW w:w="959" w:type="dxa"/>
          </w:tcPr>
          <w:p w14:paraId="1D0B7D6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CD5EEB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1701" w:type="dxa"/>
          </w:tcPr>
          <w:p w14:paraId="1632F13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5100</w:t>
            </w:r>
          </w:p>
        </w:tc>
        <w:tc>
          <w:tcPr>
            <w:tcW w:w="1701" w:type="dxa"/>
          </w:tcPr>
          <w:p w14:paraId="3B5BA61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5500</w:t>
            </w:r>
          </w:p>
        </w:tc>
        <w:tc>
          <w:tcPr>
            <w:tcW w:w="1701" w:type="dxa"/>
          </w:tcPr>
          <w:p w14:paraId="45FE95A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7100</w:t>
            </w:r>
          </w:p>
        </w:tc>
      </w:tr>
      <w:tr w:rsidR="004E10C1" w:rsidRPr="0044524F" w14:paraId="17959BE1" w14:textId="77777777">
        <w:tc>
          <w:tcPr>
            <w:tcW w:w="959" w:type="dxa"/>
          </w:tcPr>
          <w:p w14:paraId="434D524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w:t>
            </w:r>
          </w:p>
        </w:tc>
        <w:tc>
          <w:tcPr>
            <w:tcW w:w="1843" w:type="dxa"/>
          </w:tcPr>
          <w:p w14:paraId="085AFD9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5000 м</w:t>
            </w:r>
          </w:p>
        </w:tc>
        <w:tc>
          <w:tcPr>
            <w:tcW w:w="1701" w:type="dxa"/>
          </w:tcPr>
          <w:p w14:paraId="25BE298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255</w:t>
            </w:r>
          </w:p>
        </w:tc>
        <w:tc>
          <w:tcPr>
            <w:tcW w:w="1701" w:type="dxa"/>
          </w:tcPr>
          <w:p w14:paraId="0B4BB39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701" w:type="dxa"/>
          </w:tcPr>
          <w:p w14:paraId="7235DE1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r>
      <w:tr w:rsidR="004E10C1" w:rsidRPr="0044524F" w14:paraId="538929F0" w14:textId="77777777">
        <w:tc>
          <w:tcPr>
            <w:tcW w:w="959" w:type="dxa"/>
            <w:tcBorders>
              <w:bottom w:val="single" w:sz="12" w:space="0" w:color="auto"/>
            </w:tcBorders>
          </w:tcPr>
          <w:p w14:paraId="6189CEE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Borders>
              <w:bottom w:val="single" w:sz="12" w:space="0" w:color="auto"/>
            </w:tcBorders>
          </w:tcPr>
          <w:p w14:paraId="7ED2FDF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1701" w:type="dxa"/>
            <w:tcBorders>
              <w:bottom w:val="single" w:sz="12" w:space="0" w:color="auto"/>
            </w:tcBorders>
          </w:tcPr>
          <w:p w14:paraId="7F6586E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w:t>
            </w:r>
          </w:p>
        </w:tc>
        <w:tc>
          <w:tcPr>
            <w:tcW w:w="1701" w:type="dxa"/>
            <w:tcBorders>
              <w:bottom w:val="single" w:sz="12" w:space="0" w:color="auto"/>
            </w:tcBorders>
          </w:tcPr>
          <w:p w14:paraId="74F44EB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bottom w:val="single" w:sz="12" w:space="0" w:color="auto"/>
            </w:tcBorders>
          </w:tcPr>
          <w:p w14:paraId="5B7C886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8500</w:t>
            </w:r>
          </w:p>
        </w:tc>
      </w:tr>
    </w:tbl>
    <w:p w14:paraId="501AAC3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Строящийся нами серийный мотор М34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т.е. на 5000 м, то он оказывается по своим качествам ниже средних современных заграничных моторов (т.к. без редуктора и нагнетателя).</w:t>
      </w:r>
    </w:p>
    <w:p w14:paraId="2A4D6D2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наши тяжелые бомбардировщики и разведчики должны были базироваться на моторе М34 с нагнетателем и редуктором. Но М34 мы получаем без нагнетателя и редуктора.</w:t>
      </w:r>
    </w:p>
    <w:p w14:paraId="776173B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 образцы истребителей по плану должны обеспечить моторы М38, М58 и М32 - все с нагнетателем. На сверх тяжелый бомбовоз ТБ-6, который выйдет в конце 1934 года по плану предусмотрено установить моторы М-44 по 2000 л.с. с нагнетателями.</w:t>
      </w:r>
    </w:p>
    <w:p w14:paraId="70A0372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 одного из перечисленных моторов на сегодняшний день мы не имеем, хотя по плану срок выхода первых трех моторов был в 1932 году. Все эти моторы являлись главнейшими и от их выпуска зависит выполнение плана опытного самолетостроения.</w:t>
      </w:r>
    </w:p>
    <w:p w14:paraId="4D718626"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промышленность не справится в кратчайший срок с выпуском мотора М-34 с нагнетателем и М-34 с редуктором, М38 с нагнетателем, М58 с нагнетателем, М32 с редуктором и нагнетателем и М-14 с нагнетагелец, то фактически план опытного самолет остр будет сорван, и в таком случае наша отсталость угрожающе увеличится, ибо все без исключения воздушные флоты переходят на моторы с нагнетателем и редуктором.</w:t>
      </w:r>
    </w:p>
    <w:p w14:paraId="173440B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строительство сухопутных самолетов зависит в основном от состояния моторостроения, то по морским самолетам невыполнение плана опытного строительства объясняется не только отставанием моторостроения, но и разбросанность конструкторских сил и недостаточным вниманием делу морского самолетостроения со стороны ЦАГИ.</w:t>
      </w:r>
    </w:p>
    <w:p w14:paraId="4AA2747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Считаю необходимым провести следующие мероприятия:</w:t>
      </w:r>
    </w:p>
    <w:p w14:paraId="555A822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Доложить КО о невыполнении промышленностью плана по моторам и просить установить следующие предельные жесткие сроки предъявления главнейших моторов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1685"/>
        <w:gridCol w:w="1685"/>
      </w:tblGrid>
      <w:tr w:rsidR="004E10C1" w:rsidRPr="0044524F" w14:paraId="7F1A47E0" w14:textId="77777777">
        <w:tc>
          <w:tcPr>
            <w:tcW w:w="2818" w:type="dxa"/>
          </w:tcPr>
          <w:p w14:paraId="0C3FB6E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мотора М34 с нагнетателем до 3500 м</w:t>
            </w:r>
          </w:p>
        </w:tc>
        <w:tc>
          <w:tcPr>
            <w:tcW w:w="1685" w:type="dxa"/>
          </w:tcPr>
          <w:p w14:paraId="0357D61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года</w:t>
            </w:r>
          </w:p>
        </w:tc>
        <w:tc>
          <w:tcPr>
            <w:tcW w:w="1685" w:type="dxa"/>
          </w:tcPr>
          <w:p w14:paraId="5BBD0FF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- 1 октября</w:t>
            </w:r>
          </w:p>
        </w:tc>
      </w:tr>
      <w:tr w:rsidR="004E10C1" w:rsidRPr="0044524F" w14:paraId="622610DF" w14:textId="77777777">
        <w:tc>
          <w:tcPr>
            <w:tcW w:w="2818" w:type="dxa"/>
          </w:tcPr>
          <w:p w14:paraId="2E4451B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мотора М34 с редуктором</w:t>
            </w:r>
          </w:p>
        </w:tc>
        <w:tc>
          <w:tcPr>
            <w:tcW w:w="1685" w:type="dxa"/>
          </w:tcPr>
          <w:p w14:paraId="0DFF9E5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1933 года</w:t>
            </w:r>
          </w:p>
        </w:tc>
        <w:tc>
          <w:tcPr>
            <w:tcW w:w="1685" w:type="dxa"/>
          </w:tcPr>
          <w:p w14:paraId="226A46A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- 1 мая</w:t>
            </w:r>
          </w:p>
        </w:tc>
      </w:tr>
      <w:tr w:rsidR="004E10C1" w:rsidRPr="0044524F" w14:paraId="2E660028" w14:textId="77777777">
        <w:tc>
          <w:tcPr>
            <w:tcW w:w="2818" w:type="dxa"/>
          </w:tcPr>
          <w:p w14:paraId="6962136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мотора М38 с нагнетателем</w:t>
            </w:r>
          </w:p>
        </w:tc>
        <w:tc>
          <w:tcPr>
            <w:tcW w:w="1685" w:type="dxa"/>
          </w:tcPr>
          <w:p w14:paraId="7290235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w:t>
            </w:r>
          </w:p>
        </w:tc>
        <w:tc>
          <w:tcPr>
            <w:tcW w:w="1685" w:type="dxa"/>
          </w:tcPr>
          <w:p w14:paraId="1EA8021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- 1 сентября</w:t>
            </w:r>
          </w:p>
        </w:tc>
      </w:tr>
      <w:tr w:rsidR="004E10C1" w:rsidRPr="0044524F" w14:paraId="1583027E" w14:textId="77777777">
        <w:tc>
          <w:tcPr>
            <w:tcW w:w="2818" w:type="dxa"/>
          </w:tcPr>
          <w:p w14:paraId="1A20CE6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мотора М58 с нагнетателем</w:t>
            </w:r>
          </w:p>
        </w:tc>
        <w:tc>
          <w:tcPr>
            <w:tcW w:w="1685" w:type="dxa"/>
          </w:tcPr>
          <w:p w14:paraId="779B376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w:t>
            </w:r>
          </w:p>
        </w:tc>
        <w:tc>
          <w:tcPr>
            <w:tcW w:w="1685" w:type="dxa"/>
          </w:tcPr>
          <w:p w14:paraId="18A88F0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- 1 июля</w:t>
            </w:r>
          </w:p>
        </w:tc>
      </w:tr>
      <w:tr w:rsidR="004E10C1" w:rsidRPr="0044524F" w14:paraId="08C2676E" w14:textId="77777777">
        <w:tc>
          <w:tcPr>
            <w:tcW w:w="2818" w:type="dxa"/>
          </w:tcPr>
          <w:p w14:paraId="5E03492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мотора М32 с нагнетателем и редуктором</w:t>
            </w:r>
          </w:p>
        </w:tc>
        <w:tc>
          <w:tcPr>
            <w:tcW w:w="1685" w:type="dxa"/>
          </w:tcPr>
          <w:p w14:paraId="3F1B466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года</w:t>
            </w:r>
          </w:p>
        </w:tc>
        <w:tc>
          <w:tcPr>
            <w:tcW w:w="1685" w:type="dxa"/>
          </w:tcPr>
          <w:p w14:paraId="146884F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- 15 сентября</w:t>
            </w:r>
          </w:p>
        </w:tc>
      </w:tr>
      <w:tr w:rsidR="004E10C1" w:rsidRPr="0044524F" w14:paraId="35B4B6E3" w14:textId="77777777">
        <w:tc>
          <w:tcPr>
            <w:tcW w:w="2818" w:type="dxa"/>
          </w:tcPr>
          <w:p w14:paraId="25069D1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мотора М44 с нагнетателем</w:t>
            </w:r>
          </w:p>
        </w:tc>
        <w:tc>
          <w:tcPr>
            <w:tcW w:w="1685" w:type="dxa"/>
          </w:tcPr>
          <w:p w14:paraId="09C427D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года</w:t>
            </w:r>
          </w:p>
        </w:tc>
        <w:tc>
          <w:tcPr>
            <w:tcW w:w="1685" w:type="dxa"/>
          </w:tcPr>
          <w:p w14:paraId="4538F8F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заводские испытания</w:t>
            </w:r>
          </w:p>
        </w:tc>
      </w:tr>
    </w:tbl>
    <w:p w14:paraId="70D8E60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Для решения вопроса с выключающимся нагнетателем, высотностью не менее 5000 м, заказать фирме РАТО образцы нагнетателей к мотору М34, М32, М44.</w:t>
      </w:r>
    </w:p>
    <w:p w14:paraId="4BFE546B"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Для форсировки производства моторов закупить техпомощь на методику и цроцесс заливки подшипников у заграничной фирмы (Ролльс-Ройс).</w:t>
      </w:r>
    </w:p>
    <w:p w14:paraId="76F962A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Доложить КО о срыве сроков по самолетам и просить установить нижеследующие жесткие сроки выпуска главнейших опытных самолетов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8"/>
        <w:gridCol w:w="1695"/>
        <w:gridCol w:w="1695"/>
      </w:tblGrid>
      <w:tr w:rsidR="004E10C1" w:rsidRPr="0044524F" w14:paraId="7616F55B" w14:textId="77777777">
        <w:tc>
          <w:tcPr>
            <w:tcW w:w="2808" w:type="dxa"/>
          </w:tcPr>
          <w:p w14:paraId="584AECC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w:t>
            </w:r>
          </w:p>
        </w:tc>
        <w:tc>
          <w:tcPr>
            <w:tcW w:w="1695" w:type="dxa"/>
          </w:tcPr>
          <w:p w14:paraId="4D6A39A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года</w:t>
            </w:r>
          </w:p>
        </w:tc>
        <w:tc>
          <w:tcPr>
            <w:tcW w:w="1695" w:type="dxa"/>
          </w:tcPr>
          <w:p w14:paraId="7F33823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w:t>
            </w:r>
          </w:p>
        </w:tc>
      </w:tr>
      <w:tr w:rsidR="004E10C1" w:rsidRPr="0044524F" w14:paraId="3CCE2DE5" w14:textId="77777777">
        <w:tc>
          <w:tcPr>
            <w:tcW w:w="2808" w:type="dxa"/>
          </w:tcPr>
          <w:p w14:paraId="69CF969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w:t>
            </w:r>
          </w:p>
        </w:tc>
        <w:tc>
          <w:tcPr>
            <w:tcW w:w="1695" w:type="dxa"/>
          </w:tcPr>
          <w:p w14:paraId="5BD2479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года</w:t>
            </w:r>
          </w:p>
        </w:tc>
        <w:tc>
          <w:tcPr>
            <w:tcW w:w="1695" w:type="dxa"/>
          </w:tcPr>
          <w:p w14:paraId="2D12944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w:t>
            </w:r>
          </w:p>
        </w:tc>
      </w:tr>
      <w:tr w:rsidR="004E10C1" w:rsidRPr="0044524F" w14:paraId="1619240E" w14:textId="77777777">
        <w:tc>
          <w:tcPr>
            <w:tcW w:w="2808" w:type="dxa"/>
          </w:tcPr>
          <w:p w14:paraId="4CC3917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 с иностранным мотором</w:t>
            </w:r>
          </w:p>
        </w:tc>
        <w:tc>
          <w:tcPr>
            <w:tcW w:w="1695" w:type="dxa"/>
          </w:tcPr>
          <w:p w14:paraId="05AF816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w:t>
            </w:r>
          </w:p>
        </w:tc>
        <w:tc>
          <w:tcPr>
            <w:tcW w:w="1695" w:type="dxa"/>
          </w:tcPr>
          <w:p w14:paraId="3905299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w:t>
            </w:r>
          </w:p>
        </w:tc>
      </w:tr>
      <w:tr w:rsidR="004E10C1" w:rsidRPr="0044524F" w14:paraId="43AE634C" w14:textId="77777777">
        <w:tc>
          <w:tcPr>
            <w:tcW w:w="2808" w:type="dxa"/>
          </w:tcPr>
          <w:p w14:paraId="5D88E84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с М38 или М58</w:t>
            </w:r>
          </w:p>
        </w:tc>
        <w:tc>
          <w:tcPr>
            <w:tcW w:w="1695" w:type="dxa"/>
          </w:tcPr>
          <w:p w14:paraId="6843D8A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года</w:t>
            </w:r>
          </w:p>
        </w:tc>
        <w:tc>
          <w:tcPr>
            <w:tcW w:w="1695" w:type="dxa"/>
          </w:tcPr>
          <w:p w14:paraId="0DDBC8A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- 1 декабря</w:t>
            </w:r>
          </w:p>
        </w:tc>
      </w:tr>
      <w:tr w:rsidR="004E10C1" w:rsidRPr="0044524F" w14:paraId="4EC59C4C" w14:textId="77777777">
        <w:tc>
          <w:tcPr>
            <w:tcW w:w="2808" w:type="dxa"/>
          </w:tcPr>
          <w:p w14:paraId="14243B4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с М38 или М58</w:t>
            </w:r>
          </w:p>
        </w:tc>
        <w:tc>
          <w:tcPr>
            <w:tcW w:w="1695" w:type="dxa"/>
          </w:tcPr>
          <w:p w14:paraId="4D0285A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w:t>
            </w:r>
          </w:p>
        </w:tc>
        <w:tc>
          <w:tcPr>
            <w:tcW w:w="1695" w:type="dxa"/>
          </w:tcPr>
          <w:p w14:paraId="74CF463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госиспытания через 5 месяцев после получения мотора, прошедшего госиспытания</w:t>
            </w:r>
          </w:p>
        </w:tc>
      </w:tr>
      <w:tr w:rsidR="004E10C1" w:rsidRPr="0044524F" w14:paraId="0376C00C" w14:textId="77777777">
        <w:tc>
          <w:tcPr>
            <w:tcW w:w="2808" w:type="dxa"/>
          </w:tcPr>
          <w:p w14:paraId="0E09F43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 с М32 или М58</w:t>
            </w:r>
          </w:p>
        </w:tc>
        <w:tc>
          <w:tcPr>
            <w:tcW w:w="1695" w:type="dxa"/>
          </w:tcPr>
          <w:p w14:paraId="2EEB9FD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года</w:t>
            </w:r>
          </w:p>
        </w:tc>
        <w:tc>
          <w:tcPr>
            <w:tcW w:w="1695" w:type="dxa"/>
          </w:tcPr>
          <w:p w14:paraId="205F4F6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госиспытания через 5 месяцев после получения мотора, прошедшего госиспытания</w:t>
            </w:r>
          </w:p>
        </w:tc>
      </w:tr>
      <w:tr w:rsidR="004E10C1" w:rsidRPr="0044524F" w14:paraId="6D21D581" w14:textId="77777777">
        <w:tc>
          <w:tcPr>
            <w:tcW w:w="2808" w:type="dxa"/>
          </w:tcPr>
          <w:p w14:paraId="7DB24FB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ЛР-М34</w:t>
            </w:r>
          </w:p>
        </w:tc>
        <w:tc>
          <w:tcPr>
            <w:tcW w:w="1695" w:type="dxa"/>
          </w:tcPr>
          <w:p w14:paraId="3CA92AF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года</w:t>
            </w:r>
          </w:p>
        </w:tc>
        <w:tc>
          <w:tcPr>
            <w:tcW w:w="1695" w:type="dxa"/>
          </w:tcPr>
          <w:p w14:paraId="40E35AD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w:t>
            </w:r>
          </w:p>
        </w:tc>
      </w:tr>
      <w:tr w:rsidR="004E10C1" w:rsidRPr="0044524F" w14:paraId="0450975E" w14:textId="77777777">
        <w:tc>
          <w:tcPr>
            <w:tcW w:w="2808" w:type="dxa"/>
          </w:tcPr>
          <w:p w14:paraId="4608B46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ЛР-М34 с нагнетателем</w:t>
            </w:r>
          </w:p>
        </w:tc>
        <w:tc>
          <w:tcPr>
            <w:tcW w:w="1695" w:type="dxa"/>
          </w:tcPr>
          <w:p w14:paraId="56FE3EC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года</w:t>
            </w:r>
          </w:p>
        </w:tc>
        <w:tc>
          <w:tcPr>
            <w:tcW w:w="1695" w:type="dxa"/>
          </w:tcPr>
          <w:p w14:paraId="72BAD37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w:t>
            </w:r>
          </w:p>
        </w:tc>
      </w:tr>
      <w:tr w:rsidR="004E10C1" w:rsidRPr="0044524F" w14:paraId="155E8FED" w14:textId="77777777">
        <w:tc>
          <w:tcPr>
            <w:tcW w:w="2808" w:type="dxa"/>
          </w:tcPr>
          <w:p w14:paraId="22CB97B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МДР3бис</w:t>
            </w:r>
          </w:p>
        </w:tc>
        <w:tc>
          <w:tcPr>
            <w:tcW w:w="1695" w:type="dxa"/>
          </w:tcPr>
          <w:p w14:paraId="7788F60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1695" w:type="dxa"/>
          </w:tcPr>
          <w:p w14:paraId="5C53C94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- 1934</w:t>
            </w:r>
          </w:p>
        </w:tc>
      </w:tr>
      <w:tr w:rsidR="004E10C1" w:rsidRPr="0044524F" w14:paraId="148AB747" w14:textId="77777777">
        <w:tc>
          <w:tcPr>
            <w:tcW w:w="2808" w:type="dxa"/>
          </w:tcPr>
          <w:p w14:paraId="67C441B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 эталон</w:t>
            </w:r>
          </w:p>
        </w:tc>
        <w:tc>
          <w:tcPr>
            <w:tcW w:w="1695" w:type="dxa"/>
          </w:tcPr>
          <w:p w14:paraId="6F1A531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года (3516,1-2)</w:t>
            </w:r>
          </w:p>
        </w:tc>
        <w:tc>
          <w:tcPr>
            <w:tcW w:w="1695" w:type="dxa"/>
          </w:tcPr>
          <w:p w14:paraId="5FF3518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1934</w:t>
            </w:r>
          </w:p>
        </w:tc>
      </w:tr>
    </w:tbl>
    <w:p w14:paraId="28A5EA7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Просить КО обязать Нач. ГУАП П.И.Б. перестроить работу своих КБ так, чтобы сроки подачи на гос. испытания перечисленных выше моторов и самолетов были строго выдержаны... (2305).</w:t>
      </w:r>
    </w:p>
    <w:p w14:paraId="0020E8F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099630B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Нач. ВВС Алкснис писал НКВМ К.Е.В. письмо N 0089сс о состоянии опытного моторо- и самолетостроения:</w:t>
      </w:r>
    </w:p>
    <w:p w14:paraId="61D8707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опытного моторо- и самолетостроения на 1932-1934, утвержденный Правительством 4 июля 1932, промышленностью не выполняется в установленные сроки.</w:t>
      </w:r>
    </w:p>
    <w:p w14:paraId="475E869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105E40D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Строящийся нами серийный мотор М-34 без нагнетателя и редуктора по своей мощности и малому удельному весу на земле м.б. отнесен к разряду лучших заграничных моторов. Но если сравнить его с лучшими заграничными моторами на боевой высоте, т.е. 5000 м, то он оказывается по своим качествам ниже средних современных заграничных моторов...</w:t>
      </w:r>
    </w:p>
    <w:p w14:paraId="0AE99CB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Для решения вопроса с включающимся нагнетателем высотностью не менее 5000 м, заказать фирме Рато образец нагнетателя к М-34, М-32 и М-44...</w:t>
      </w:r>
    </w:p>
    <w:p w14:paraId="3F2D1B6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Доложить КО о срыве сроков по самолетам и просить установить нижеследующие жесткие сроки выпуска главных опытных самолетов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4524F" w14:paraId="160681AC" w14:textId="77777777">
        <w:tc>
          <w:tcPr>
            <w:tcW w:w="2818" w:type="dxa"/>
          </w:tcPr>
          <w:p w14:paraId="4081F85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6М-34</w:t>
            </w:r>
          </w:p>
        </w:tc>
        <w:tc>
          <w:tcPr>
            <w:tcW w:w="2818" w:type="dxa"/>
          </w:tcPr>
          <w:p w14:paraId="55220AD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15.05.33/01.08.33 (вписано чернилами)</w:t>
            </w:r>
          </w:p>
        </w:tc>
      </w:tr>
      <w:tr w:rsidR="004E10C1" w:rsidRPr="0044524F" w14:paraId="04539746" w14:textId="77777777">
        <w:tc>
          <w:tcPr>
            <w:tcW w:w="2818" w:type="dxa"/>
          </w:tcPr>
          <w:p w14:paraId="12A9535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2М-34</w:t>
            </w:r>
          </w:p>
        </w:tc>
        <w:tc>
          <w:tcPr>
            <w:tcW w:w="2818" w:type="dxa"/>
          </w:tcPr>
          <w:p w14:paraId="04EFF34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15.05.33/01.06.33</w:t>
            </w:r>
          </w:p>
        </w:tc>
      </w:tr>
      <w:tr w:rsidR="004E10C1" w:rsidRPr="0044524F" w14:paraId="7E05933C" w14:textId="77777777">
        <w:tc>
          <w:tcPr>
            <w:tcW w:w="2818" w:type="dxa"/>
          </w:tcPr>
          <w:p w14:paraId="15DF14A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с ин. мот.</w:t>
            </w:r>
          </w:p>
        </w:tc>
        <w:tc>
          <w:tcPr>
            <w:tcW w:w="2818" w:type="dxa"/>
          </w:tcPr>
          <w:p w14:paraId="2A28E5D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01.05.33/15.06.33</w:t>
            </w:r>
          </w:p>
        </w:tc>
      </w:tr>
      <w:tr w:rsidR="004E10C1" w:rsidRPr="0044524F" w14:paraId="0007CEB7" w14:textId="77777777">
        <w:tc>
          <w:tcPr>
            <w:tcW w:w="2818" w:type="dxa"/>
          </w:tcPr>
          <w:p w14:paraId="36EE5ED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М-38/М-58</w:t>
            </w:r>
          </w:p>
        </w:tc>
        <w:tc>
          <w:tcPr>
            <w:tcW w:w="2818" w:type="dxa"/>
          </w:tcPr>
          <w:p w14:paraId="71B9CD59"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01.07.33/01.11.33</w:t>
            </w:r>
          </w:p>
        </w:tc>
      </w:tr>
      <w:tr w:rsidR="004E10C1" w:rsidRPr="0044524F" w14:paraId="461AECAF" w14:textId="77777777">
        <w:tc>
          <w:tcPr>
            <w:tcW w:w="2818" w:type="dxa"/>
          </w:tcPr>
          <w:p w14:paraId="4691EDD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РЦ</w:t>
            </w:r>
          </w:p>
        </w:tc>
        <w:tc>
          <w:tcPr>
            <w:tcW w:w="2818" w:type="dxa"/>
          </w:tcPr>
          <w:p w14:paraId="675F17A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w:t>
            </w:r>
          </w:p>
        </w:tc>
      </w:tr>
      <w:tr w:rsidR="004E10C1" w:rsidRPr="0044524F" w14:paraId="11BF5FD5" w14:textId="77777777">
        <w:tc>
          <w:tcPr>
            <w:tcW w:w="2818" w:type="dxa"/>
          </w:tcPr>
          <w:p w14:paraId="11F6C3F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М-38/М-44</w:t>
            </w:r>
          </w:p>
        </w:tc>
        <w:tc>
          <w:tcPr>
            <w:tcW w:w="2818" w:type="dxa"/>
          </w:tcPr>
          <w:p w14:paraId="42C81AF7"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01.10.33/+ 5 мес. после получ. мотора</w:t>
            </w:r>
          </w:p>
        </w:tc>
      </w:tr>
      <w:tr w:rsidR="004E10C1" w:rsidRPr="0044524F" w14:paraId="5E19D59A" w14:textId="77777777">
        <w:tc>
          <w:tcPr>
            <w:tcW w:w="2818" w:type="dxa"/>
          </w:tcPr>
          <w:p w14:paraId="75CC29A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 М-32/М-58</w:t>
            </w:r>
          </w:p>
        </w:tc>
        <w:tc>
          <w:tcPr>
            <w:tcW w:w="2818" w:type="dxa"/>
          </w:tcPr>
          <w:p w14:paraId="346692C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01.11.33/</w:t>
            </w:r>
          </w:p>
        </w:tc>
      </w:tr>
      <w:tr w:rsidR="004E10C1" w:rsidRPr="0044524F" w14:paraId="6231EF6D" w14:textId="77777777">
        <w:tc>
          <w:tcPr>
            <w:tcW w:w="2818" w:type="dxa"/>
          </w:tcPr>
          <w:p w14:paraId="202451B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 М-34</w:t>
            </w:r>
          </w:p>
        </w:tc>
        <w:tc>
          <w:tcPr>
            <w:tcW w:w="2818" w:type="dxa"/>
          </w:tcPr>
          <w:p w14:paraId="2C5F61A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01.08.33/01.09.33</w:t>
            </w:r>
          </w:p>
        </w:tc>
      </w:tr>
      <w:tr w:rsidR="004E10C1" w:rsidRPr="0044524F" w14:paraId="6606B270" w14:textId="77777777">
        <w:tc>
          <w:tcPr>
            <w:tcW w:w="2818" w:type="dxa"/>
          </w:tcPr>
          <w:p w14:paraId="30BB056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 М-34Н</w:t>
            </w:r>
          </w:p>
        </w:tc>
        <w:tc>
          <w:tcPr>
            <w:tcW w:w="2818" w:type="dxa"/>
          </w:tcPr>
          <w:p w14:paraId="11CC4F3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15.09.33/01.12.33</w:t>
            </w:r>
          </w:p>
        </w:tc>
      </w:tr>
      <w:tr w:rsidR="004E10C1" w:rsidRPr="0044524F" w14:paraId="3861EAF3" w14:textId="77777777">
        <w:tc>
          <w:tcPr>
            <w:tcW w:w="2818" w:type="dxa"/>
          </w:tcPr>
          <w:p w14:paraId="29F84FE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МДР-3бис</w:t>
            </w:r>
          </w:p>
        </w:tc>
        <w:tc>
          <w:tcPr>
            <w:tcW w:w="2818" w:type="dxa"/>
          </w:tcPr>
          <w:p w14:paraId="361E02E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01.09.33/01.04.34</w:t>
            </w:r>
          </w:p>
        </w:tc>
      </w:tr>
      <w:tr w:rsidR="004E10C1" w:rsidRPr="0044524F" w14:paraId="1529B4C7" w14:textId="77777777">
        <w:tc>
          <w:tcPr>
            <w:tcW w:w="2818" w:type="dxa"/>
          </w:tcPr>
          <w:p w14:paraId="1F7F4B5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 эталон</w:t>
            </w:r>
          </w:p>
        </w:tc>
        <w:tc>
          <w:tcPr>
            <w:tcW w:w="2818" w:type="dxa"/>
          </w:tcPr>
          <w:p w14:paraId="717AF58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15.05.33/01.03.34</w:t>
            </w:r>
          </w:p>
        </w:tc>
      </w:tr>
    </w:tbl>
    <w:p w14:paraId="7C08F87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Просить КО обязать Нач. ГУАП П.И.Б. перестроить работу своих КБ так, чтобы сроки подачи на гос. испытания перечисленных выше моторов и самолетов были строго выдержаны (2305).</w:t>
      </w:r>
    </w:p>
    <w:p w14:paraId="7F3062E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p>
    <w:p w14:paraId="7E4E9C44"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21 марта 1933 г.</w:t>
      </w:r>
      <w:r w:rsidRPr="0044524F">
        <w:rPr>
          <w:rFonts w:ascii="Times New Roman" w:hAnsi="Times New Roman"/>
          <w:color w:val="000000" w:themeColor="text1"/>
          <w:sz w:val="16"/>
          <w:szCs w:val="16"/>
        </w:rPr>
        <w:t>Докладная записка начальника Военно-воздушных сил РККА Я. И. Алксниса наркому по военным и морским делам СССР и председателю Реввоенсовета СССР К. Е. Ворошилову о ходе выполнения плана опытного моторо- и самолетостроения на 1932-1934 гг.</w:t>
      </w:r>
    </w:p>
    <w:p w14:paraId="28CDDC02"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7C7E0394"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План опытного моторо- и самолетостроения на 1932</w:t>
      </w:r>
      <w:r w:rsidRPr="0044524F">
        <w:rPr>
          <w:color w:val="000000" w:themeColor="text1"/>
          <w:sz w:val="16"/>
          <w:szCs w:val="16"/>
        </w:rPr>
        <w:noBreakHyphen/>
        <w:t>1934 гг., утвержденный правительством 4 июля 1932 г., промышленностью не выполняется в обусловленные сроки.</w:t>
      </w:r>
    </w:p>
    <w:p w14:paraId="095C3037"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состоянии опытного моторо- и самолетостроения</w:t>
      </w:r>
    </w:p>
    <w:p w14:paraId="30B273BD"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490EF79F"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Высокие летные данные иностранных самолетов объясняются не столько аэродинамикой самолетов, сколько качеством мотора. Качество мотора прежде всего зависит от наличия на нем нагнетателя и редуктора. Роль редуктора и особенно нагнетателя в повышении летных данных самолета отчетливо видна из следующей сравнительной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39"/>
        <w:gridCol w:w="3155"/>
        <w:gridCol w:w="2142"/>
        <w:gridCol w:w="2123"/>
        <w:gridCol w:w="2363"/>
      </w:tblGrid>
      <w:tr w:rsidR="004E10C1" w:rsidRPr="0044524F" w14:paraId="660FDF7E" w14:textId="77777777" w:rsidTr="003417C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E3E600F"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9F7FC5D"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9993840"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М-34</w:t>
            </w:r>
          </w:p>
        </w:tc>
      </w:tr>
      <w:tr w:rsidR="004E10C1" w:rsidRPr="0044524F" w14:paraId="16230971"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9FDC25D" w14:textId="77777777" w:rsidR="00116626" w:rsidRPr="0044524F" w:rsidRDefault="00116626" w:rsidP="009654C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716183D" w14:textId="77777777" w:rsidR="00116626" w:rsidRPr="0044524F" w:rsidRDefault="00116626"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5ACCDAD"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 редуктора</w:t>
            </w:r>
          </w:p>
          <w:p w14:paraId="615B46CE"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нагнетателя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82854"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редуктором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4EFC9AE"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нагнетателем</w:t>
            </w:r>
          </w:p>
          <w:p w14:paraId="7E18BD4C"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5 тыс. м</w:t>
            </w:r>
          </w:p>
        </w:tc>
      </w:tr>
      <w:tr w:rsidR="004E10C1" w:rsidRPr="0044524F" w14:paraId="6BFC4FF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2DFF34"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w:t>
            </w:r>
            <w:r w:rsidRPr="0044524F">
              <w:rPr>
                <w:rFonts w:ascii="Times New Roman" w:hAnsi="Times New Roman"/>
                <w:color w:val="000000" w:themeColor="text1"/>
                <w:sz w:val="16"/>
                <w:szCs w:val="16"/>
              </w:rPr>
              <w:noBreakHyphen/>
              <w:t>316¹*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A44ED9"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5 тыс. м</w:t>
            </w:r>
          </w:p>
          <w:p w14:paraId="3E71B652"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B6C3950"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w:t>
            </w:r>
          </w:p>
          <w:p w14:paraId="71DF7D83"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F076C"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p w14:paraId="782C8562"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607EC"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w:t>
            </w:r>
          </w:p>
          <w:p w14:paraId="056AC460"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7100</w:t>
            </w:r>
          </w:p>
        </w:tc>
      </w:tr>
      <w:tr w:rsidR="004E10C1" w:rsidRPr="0044524F" w14:paraId="318C10E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94C6AB"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w:t>
            </w:r>
            <w:r w:rsidRPr="0044524F">
              <w:rPr>
                <w:rFonts w:ascii="Times New Roman" w:hAnsi="Times New Roman"/>
                <w:color w:val="000000" w:themeColor="text1"/>
                <w:sz w:val="16"/>
                <w:szCs w:val="16"/>
              </w:rPr>
              <w:noBreakHyphen/>
              <w:t>317²*</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66569"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5 тыс. м</w:t>
            </w:r>
          </w:p>
          <w:p w14:paraId="03BD5E71"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2DCBABE"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255</w:t>
            </w:r>
          </w:p>
          <w:p w14:paraId="38F4CC83"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568DFD"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6D91F8ED"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78A05"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p w14:paraId="0046A747"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8500</w:t>
            </w:r>
          </w:p>
        </w:tc>
      </w:tr>
    </w:tbl>
    <w:p w14:paraId="65706985"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Строящийся нами серийный мотор М</w:t>
      </w:r>
      <w:r w:rsidRPr="0044524F">
        <w:rPr>
          <w:color w:val="000000" w:themeColor="text1"/>
          <w:sz w:val="16"/>
          <w:szCs w:val="16"/>
        </w:rPr>
        <w:noBreakHyphen/>
        <w:t>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 е. на 5 тыс. м, то он оказывается по своим качествам ниже средних современных заграничных моторов.</w:t>
      </w:r>
    </w:p>
    <w:p w14:paraId="248CFD1E"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Все наши тяжелые бомбардировщики и разведчики должны были базироваться на моторе М</w:t>
      </w:r>
      <w:r w:rsidRPr="0044524F">
        <w:rPr>
          <w:color w:val="000000" w:themeColor="text1"/>
          <w:sz w:val="16"/>
          <w:szCs w:val="16"/>
        </w:rPr>
        <w:noBreakHyphen/>
        <w:t>34 с нагнетателем и редуктором. С помощью этого мотора с нагнетателем и редуктором мы могли бы выйти в первые ряды современной авиационной техники. Но так как вместо этого мотора мы получаем из серии М</w:t>
      </w:r>
      <w:r w:rsidRPr="0044524F">
        <w:rPr>
          <w:color w:val="000000" w:themeColor="text1"/>
          <w:sz w:val="16"/>
          <w:szCs w:val="16"/>
        </w:rPr>
        <w:noBreakHyphen/>
        <w:t>34 [моторы] без нагнетателя и редуктора, то наши самолеты на боевой высоте оказываются значительно хуже заграничных.</w:t>
      </w:r>
    </w:p>
    <w:p w14:paraId="4FD72DA8"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Опытные образцы истребителей по плану должны обеспечить моторы М</w:t>
      </w:r>
      <w:r w:rsidRPr="0044524F">
        <w:rPr>
          <w:color w:val="000000" w:themeColor="text1"/>
          <w:sz w:val="16"/>
          <w:szCs w:val="16"/>
        </w:rPr>
        <w:noBreakHyphen/>
        <w:t>38, М</w:t>
      </w:r>
      <w:r w:rsidRPr="0044524F">
        <w:rPr>
          <w:color w:val="000000" w:themeColor="text1"/>
          <w:sz w:val="16"/>
          <w:szCs w:val="16"/>
        </w:rPr>
        <w:noBreakHyphen/>
        <w:t>58 и М</w:t>
      </w:r>
      <w:r w:rsidRPr="0044524F">
        <w:rPr>
          <w:color w:val="000000" w:themeColor="text1"/>
          <w:sz w:val="16"/>
          <w:szCs w:val="16"/>
        </w:rPr>
        <w:noBreakHyphen/>
        <w:t>32 — все с нагнетателями. На сверхтяжелый бомбовоз ТБ</w:t>
      </w:r>
      <w:r w:rsidRPr="0044524F">
        <w:rPr>
          <w:color w:val="000000" w:themeColor="text1"/>
          <w:sz w:val="16"/>
          <w:szCs w:val="16"/>
        </w:rPr>
        <w:noBreakHyphen/>
        <w:t>6, который выйдет в конце 1934 г. по плану предусмотрено установить моторы М</w:t>
      </w:r>
      <w:r w:rsidRPr="0044524F">
        <w:rPr>
          <w:color w:val="000000" w:themeColor="text1"/>
          <w:sz w:val="16"/>
          <w:szCs w:val="16"/>
        </w:rPr>
        <w:noBreakHyphen/>
        <w:t>44 по 2 тыс. л. с. с нагнетателями. Ни одного из перечисленных моторов на сегодняшний день мы не имеем, хотя по плану срок выхода первых трех моторов был в 1932 г. Все эти моторы являлись главнейшими, и от их выпуска зависит выполнение плана опытного самолетостроения. Если промышленность не справится в кратчайший срок с выпуском мотора М</w:t>
      </w:r>
      <w:r w:rsidRPr="0044524F">
        <w:rPr>
          <w:color w:val="000000" w:themeColor="text1"/>
          <w:sz w:val="16"/>
          <w:szCs w:val="16"/>
        </w:rPr>
        <w:noBreakHyphen/>
        <w:t>34 с нагнетателем и М</w:t>
      </w:r>
      <w:r w:rsidRPr="0044524F">
        <w:rPr>
          <w:color w:val="000000" w:themeColor="text1"/>
          <w:sz w:val="16"/>
          <w:szCs w:val="16"/>
        </w:rPr>
        <w:noBreakHyphen/>
        <w:t>34 с редуктором, М</w:t>
      </w:r>
      <w:r w:rsidRPr="0044524F">
        <w:rPr>
          <w:color w:val="000000" w:themeColor="text1"/>
          <w:sz w:val="16"/>
          <w:szCs w:val="16"/>
        </w:rPr>
        <w:noBreakHyphen/>
        <w:t>38 с нагнетателем, М</w:t>
      </w:r>
      <w:r w:rsidRPr="0044524F">
        <w:rPr>
          <w:color w:val="000000" w:themeColor="text1"/>
          <w:sz w:val="16"/>
          <w:szCs w:val="16"/>
        </w:rPr>
        <w:noBreakHyphen/>
        <w:t>58 с нагнетателем, М</w:t>
      </w:r>
      <w:r w:rsidRPr="0044524F">
        <w:rPr>
          <w:color w:val="000000" w:themeColor="text1"/>
          <w:sz w:val="16"/>
          <w:szCs w:val="16"/>
        </w:rPr>
        <w:noBreakHyphen/>
        <w:t>32 с редуктором и нагнетателем и М</w:t>
      </w:r>
      <w:r w:rsidRPr="0044524F">
        <w:rPr>
          <w:color w:val="000000" w:themeColor="text1"/>
          <w:sz w:val="16"/>
          <w:szCs w:val="16"/>
        </w:rPr>
        <w:noBreakHyphen/>
        <w:t>44 с нагнетателем, то фактически план опытного самолетостроения будет сорван, и в таком случае наша отсталость угрожающе увеличится, ибо все без исключения воздушные флоты переходят на моторы с нагнетателем и редуктором.</w:t>
      </w:r>
    </w:p>
    <w:p w14:paraId="0CFF63FF"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Если строительство сухопутных самолетов зависит в основном от состояния моторостроения, то по морским самолетам невыполнение плана опытного строительства объясняется не только отставанием моторостроения, но и разбросанностью конструкторских сил и недостаточным вниманием делу морского самолетостроения со стороны ЦАГИ³*.</w:t>
      </w:r>
    </w:p>
    <w:p w14:paraId="3CABD892"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Считаю необходимым провести следующие мероприятия:</w:t>
      </w:r>
    </w:p>
    <w:p w14:paraId="27A035F4"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1. Доложить КО о невыполнении промышленностью плана по моторам и просить установить следующие предельные жесткие сроки предъявления главнейших моторов на гос. испытания: для мотора М</w:t>
      </w:r>
      <w:r w:rsidRPr="0044524F">
        <w:rPr>
          <w:color w:val="000000" w:themeColor="text1"/>
          <w:sz w:val="16"/>
          <w:szCs w:val="16"/>
        </w:rPr>
        <w:noBreakHyphen/>
        <w:t>34 с нагнетателем до 3500 м — 15 июля 1933 г. (1 сентября —1 октября 1933 г.)⁴*; для мотора М</w:t>
      </w:r>
      <w:r w:rsidRPr="0044524F">
        <w:rPr>
          <w:color w:val="000000" w:themeColor="text1"/>
          <w:sz w:val="16"/>
          <w:szCs w:val="16"/>
        </w:rPr>
        <w:noBreakHyphen/>
        <w:t>34 с редуктором — 15 апреля 1933 г. (1 апреля — 1 мая 1933 г.); для мотора М</w:t>
      </w:r>
      <w:r w:rsidRPr="0044524F">
        <w:rPr>
          <w:color w:val="000000" w:themeColor="text1"/>
          <w:sz w:val="16"/>
          <w:szCs w:val="16"/>
        </w:rPr>
        <w:noBreakHyphen/>
        <w:t>38 с нагнетателем — 1 мая 1933 г. (1 августа — 1 сентября 1933 г.)⁵*; для мотора М</w:t>
      </w:r>
      <w:r w:rsidRPr="0044524F">
        <w:rPr>
          <w:color w:val="000000" w:themeColor="text1"/>
          <w:sz w:val="16"/>
          <w:szCs w:val="16"/>
        </w:rPr>
        <w:noBreakHyphen/>
        <w:t>58 с нагнетателем — 1 мая 1933 г. (1 июня — 1 июля 1933 г.); для мотора М</w:t>
      </w:r>
      <w:r w:rsidRPr="0044524F">
        <w:rPr>
          <w:color w:val="000000" w:themeColor="text1"/>
          <w:sz w:val="16"/>
          <w:szCs w:val="16"/>
        </w:rPr>
        <w:noBreakHyphen/>
        <w:t>32 с нагнетателем и редуктором — 1 июля 1933 г. (15 августа — 15 сентября 1933 г.); для мотора М</w:t>
      </w:r>
      <w:r w:rsidRPr="0044524F">
        <w:rPr>
          <w:color w:val="000000" w:themeColor="text1"/>
          <w:sz w:val="16"/>
          <w:szCs w:val="16"/>
        </w:rPr>
        <w:noBreakHyphen/>
        <w:t>44 с нагнетателем — 1 августа 1933 г. (1 августа 1933 г., заявка).</w:t>
      </w:r>
    </w:p>
    <w:p w14:paraId="48428E1C"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2. Для решения вопроса с выключающимся нагнетателем, высотностью не менее 5 тыс. м, заказать фирме «Рато» образец нагнетателей к моторам М</w:t>
      </w:r>
      <w:r w:rsidRPr="0044524F">
        <w:rPr>
          <w:color w:val="000000" w:themeColor="text1"/>
          <w:sz w:val="16"/>
          <w:szCs w:val="16"/>
        </w:rPr>
        <w:noBreakHyphen/>
        <w:t>34, М</w:t>
      </w:r>
      <w:r w:rsidRPr="0044524F">
        <w:rPr>
          <w:color w:val="000000" w:themeColor="text1"/>
          <w:sz w:val="16"/>
          <w:szCs w:val="16"/>
        </w:rPr>
        <w:noBreakHyphen/>
        <w:t>32 и М</w:t>
      </w:r>
      <w:r w:rsidRPr="0044524F">
        <w:rPr>
          <w:color w:val="000000" w:themeColor="text1"/>
          <w:sz w:val="16"/>
          <w:szCs w:val="16"/>
        </w:rPr>
        <w:noBreakHyphen/>
        <w:t>44.</w:t>
      </w:r>
    </w:p>
    <w:p w14:paraId="3C52920D"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3. Для форсировки производства моторов закупить техпомощь на методику и процесс заливки подшипников у заграничной фирмы («Роллс-Ройс»).</w:t>
      </w:r>
    </w:p>
    <w:p w14:paraId="46B9DA4F"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4. Доложить КО о срыве сроков по самолетам и просить установить нижеследующие жесткие сроки выпуска главнейших опытных самолетов на гос. испытания: ТБ</w:t>
      </w:r>
      <w:r w:rsidRPr="0044524F">
        <w:rPr>
          <w:color w:val="000000" w:themeColor="text1"/>
          <w:sz w:val="16"/>
          <w:szCs w:val="16"/>
        </w:rPr>
        <w:noBreakHyphen/>
        <w:t>4</w:t>
      </w:r>
      <w:r w:rsidRPr="0044524F">
        <w:rPr>
          <w:color w:val="000000" w:themeColor="text1"/>
          <w:sz w:val="16"/>
          <w:szCs w:val="16"/>
        </w:rPr>
        <w:noBreakHyphen/>
        <w:t>6М</w:t>
      </w:r>
      <w:r w:rsidRPr="0044524F">
        <w:rPr>
          <w:color w:val="000000" w:themeColor="text1"/>
          <w:sz w:val="16"/>
          <w:szCs w:val="16"/>
        </w:rPr>
        <w:noBreakHyphen/>
        <w:t>34 — 15 мая 1933 г. (1 июля 1933 г.)⁶*; МИ</w:t>
      </w:r>
      <w:r w:rsidRPr="0044524F">
        <w:rPr>
          <w:color w:val="000000" w:themeColor="text1"/>
          <w:sz w:val="16"/>
          <w:szCs w:val="16"/>
        </w:rPr>
        <w:noBreakHyphen/>
        <w:t>3</w:t>
      </w:r>
      <w:r w:rsidRPr="0044524F">
        <w:rPr>
          <w:color w:val="000000" w:themeColor="text1"/>
          <w:sz w:val="16"/>
          <w:szCs w:val="16"/>
        </w:rPr>
        <w:noBreakHyphen/>
        <w:t>2М</w:t>
      </w:r>
      <w:r w:rsidRPr="0044524F">
        <w:rPr>
          <w:color w:val="000000" w:themeColor="text1"/>
          <w:sz w:val="16"/>
          <w:szCs w:val="16"/>
        </w:rPr>
        <w:noBreakHyphen/>
        <w:t>34 — 15 мая 1933 г. (1 июня 1933 г.); И</w:t>
      </w:r>
      <w:r w:rsidRPr="0044524F">
        <w:rPr>
          <w:color w:val="000000" w:themeColor="text1"/>
          <w:sz w:val="16"/>
          <w:szCs w:val="16"/>
        </w:rPr>
        <w:noBreakHyphen/>
        <w:t>14 с иностранным мотором — 1 мая 1933 г. (15 июня 1933 г.); И</w:t>
      </w:r>
      <w:r w:rsidRPr="0044524F">
        <w:rPr>
          <w:color w:val="000000" w:themeColor="text1"/>
          <w:sz w:val="16"/>
          <w:szCs w:val="16"/>
        </w:rPr>
        <w:noBreakHyphen/>
        <w:t>14 с М</w:t>
      </w:r>
      <w:r w:rsidRPr="0044524F">
        <w:rPr>
          <w:color w:val="000000" w:themeColor="text1"/>
          <w:sz w:val="16"/>
          <w:szCs w:val="16"/>
        </w:rPr>
        <w:noBreakHyphen/>
        <w:t>38 или М</w:t>
      </w:r>
      <w:r w:rsidRPr="0044524F">
        <w:rPr>
          <w:color w:val="000000" w:themeColor="text1"/>
          <w:sz w:val="16"/>
          <w:szCs w:val="16"/>
        </w:rPr>
        <w:noBreakHyphen/>
        <w:t>58 — 1 июля 1933 г. (1 ноября — 1 декабря 1933 г.); И</w:t>
      </w:r>
      <w:r w:rsidRPr="0044524F">
        <w:rPr>
          <w:color w:val="000000" w:themeColor="text1"/>
          <w:sz w:val="16"/>
          <w:szCs w:val="16"/>
        </w:rPr>
        <w:noBreakHyphen/>
        <w:t>15 с «Райт-Циклон» — 1 октября⁷*; И</w:t>
      </w:r>
      <w:r w:rsidRPr="0044524F">
        <w:rPr>
          <w:color w:val="000000" w:themeColor="text1"/>
          <w:sz w:val="16"/>
          <w:szCs w:val="16"/>
        </w:rPr>
        <w:noBreakHyphen/>
        <w:t>15 с М</w:t>
      </w:r>
      <w:r w:rsidRPr="0044524F">
        <w:rPr>
          <w:color w:val="000000" w:themeColor="text1"/>
          <w:sz w:val="16"/>
          <w:szCs w:val="16"/>
        </w:rPr>
        <w:noBreakHyphen/>
        <w:t>38 или М</w:t>
      </w:r>
      <w:r w:rsidRPr="0044524F">
        <w:rPr>
          <w:color w:val="000000" w:themeColor="text1"/>
          <w:sz w:val="16"/>
          <w:szCs w:val="16"/>
        </w:rPr>
        <w:noBreakHyphen/>
        <w:t>58 — 1 октября 1933 г.; ДИ</w:t>
      </w:r>
      <w:r w:rsidRPr="0044524F">
        <w:rPr>
          <w:color w:val="000000" w:themeColor="text1"/>
          <w:sz w:val="16"/>
          <w:szCs w:val="16"/>
        </w:rPr>
        <w:noBreakHyphen/>
        <w:t>6⁸* с М</w:t>
      </w:r>
      <w:r w:rsidRPr="0044524F">
        <w:rPr>
          <w:color w:val="000000" w:themeColor="text1"/>
          <w:sz w:val="16"/>
          <w:szCs w:val="16"/>
        </w:rPr>
        <w:noBreakHyphen/>
        <w:t>32 или М</w:t>
      </w:r>
      <w:r w:rsidRPr="0044524F">
        <w:rPr>
          <w:color w:val="000000" w:themeColor="text1"/>
          <w:sz w:val="16"/>
          <w:szCs w:val="16"/>
        </w:rPr>
        <w:noBreakHyphen/>
        <w:t>58 — 1 ноября 1933 г.⁹*; ЛР</w:t>
      </w:r>
      <w:r w:rsidRPr="0044524F">
        <w:rPr>
          <w:color w:val="000000" w:themeColor="text1"/>
          <w:sz w:val="16"/>
          <w:szCs w:val="16"/>
        </w:rPr>
        <w:noBreakHyphen/>
        <w:t>М</w:t>
      </w:r>
      <w:r w:rsidRPr="0044524F">
        <w:rPr>
          <w:color w:val="000000" w:themeColor="text1"/>
          <w:sz w:val="16"/>
          <w:szCs w:val="16"/>
        </w:rPr>
        <w:noBreakHyphen/>
        <w:t>34 — 1 августа 1933 г. (1 сентября 1933 г.); ЛР</w:t>
      </w:r>
      <w:r w:rsidRPr="0044524F">
        <w:rPr>
          <w:color w:val="000000" w:themeColor="text1"/>
          <w:sz w:val="16"/>
          <w:szCs w:val="16"/>
        </w:rPr>
        <w:noBreakHyphen/>
        <w:t>М</w:t>
      </w:r>
      <w:r w:rsidRPr="0044524F">
        <w:rPr>
          <w:color w:val="000000" w:themeColor="text1"/>
          <w:sz w:val="16"/>
          <w:szCs w:val="16"/>
        </w:rPr>
        <w:noBreakHyphen/>
        <w:t>34 с нагнетателем — 15 сентября 1933 г. (1 декабря 1933 г.); МДР</w:t>
      </w:r>
      <w:r w:rsidRPr="0044524F">
        <w:rPr>
          <w:color w:val="000000" w:themeColor="text1"/>
          <w:sz w:val="16"/>
          <w:szCs w:val="16"/>
        </w:rPr>
        <w:noBreakHyphen/>
        <w:t>З бис — 1 сентября 1933 г. (1 апреля 1934 г.); МБР</w:t>
      </w:r>
      <w:r w:rsidRPr="0044524F">
        <w:rPr>
          <w:color w:val="000000" w:themeColor="text1"/>
          <w:sz w:val="16"/>
          <w:szCs w:val="16"/>
        </w:rPr>
        <w:noBreakHyphen/>
        <w:t>2 эталон — 15 мая 1933 г.</w:t>
      </w:r>
    </w:p>
    <w:p w14:paraId="62F8DD84"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5. Просить КО обязать начальника Глававиапрома т. Баранова перестроить работу своих конструкторских бюро так, чтобы сроки подачи на гос. испытания перечисленных выше моторов и самолетов были строго выдержаны.</w:t>
      </w:r>
    </w:p>
    <w:p w14:paraId="00570279"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6. Просить КО обязать Наркомтяжпром выделить все опытное гидросамолетостроение в системе ГУАПа в самостоятельную организационную и административную единицу с приданием ей производственной базы и пополнением конструкторскими силами, имеющими опыт в этой отрасли самолетостроения¹⁰*.</w:t>
      </w:r>
    </w:p>
    <w:tbl>
      <w:tblPr>
        <w:tblW w:w="5000" w:type="pct"/>
        <w:tblCellSpacing w:w="0" w:type="dxa"/>
        <w:tblCellMar>
          <w:left w:w="0" w:type="dxa"/>
          <w:right w:w="0" w:type="dxa"/>
        </w:tblCellMar>
        <w:tblLook w:val="04A0" w:firstRow="1" w:lastRow="0" w:firstColumn="1" w:lastColumn="0" w:noHBand="0" w:noVBand="1"/>
      </w:tblPr>
      <w:tblGrid>
        <w:gridCol w:w="2124"/>
        <w:gridCol w:w="9214"/>
      </w:tblGrid>
      <w:tr w:rsidR="004E10C1" w:rsidRPr="0044524F" w14:paraId="5AD27806" w14:textId="77777777" w:rsidTr="003417C8">
        <w:trPr>
          <w:tblCellSpacing w:w="0" w:type="dxa"/>
        </w:trPr>
        <w:tc>
          <w:tcPr>
            <w:tcW w:w="0" w:type="auto"/>
            <w:vAlign w:val="center"/>
            <w:hideMark/>
          </w:tcPr>
          <w:p w14:paraId="2506968E"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Приложение</w:t>
            </w:r>
            <w:r w:rsidRPr="0044524F">
              <w:rPr>
                <w:rFonts w:ascii="Times New Roman" w:hAnsi="Times New Roman"/>
                <w:color w:val="000000" w:themeColor="text1"/>
                <w:sz w:val="16"/>
                <w:szCs w:val="16"/>
              </w:rPr>
              <w:t>:</w:t>
            </w:r>
          </w:p>
        </w:tc>
        <w:tc>
          <w:tcPr>
            <w:tcW w:w="0" w:type="auto"/>
            <w:vAlign w:val="center"/>
            <w:hideMark/>
          </w:tcPr>
          <w:p w14:paraId="08CA7AB7"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Таблица состояния моторостроения на 15 марта 1933 г.</w:t>
            </w:r>
          </w:p>
        </w:tc>
      </w:tr>
      <w:tr w:rsidR="004E10C1" w:rsidRPr="0044524F" w14:paraId="79653DCE" w14:textId="77777777" w:rsidTr="003417C8">
        <w:trPr>
          <w:tblCellSpacing w:w="0" w:type="dxa"/>
        </w:trPr>
        <w:tc>
          <w:tcPr>
            <w:tcW w:w="0" w:type="auto"/>
            <w:vAlign w:val="center"/>
            <w:hideMark/>
          </w:tcPr>
          <w:p w14:paraId="57536B33"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vAlign w:val="center"/>
            <w:hideMark/>
          </w:tcPr>
          <w:p w14:paraId="36446862" w14:textId="77777777" w:rsidR="00116626" w:rsidRPr="0044524F" w:rsidRDefault="001166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Таблица состояния самолетостроения¹¹*.</w:t>
            </w:r>
          </w:p>
        </w:tc>
      </w:tr>
    </w:tbl>
    <w:p w14:paraId="3C010F9B" w14:textId="77777777" w:rsidR="00116626" w:rsidRPr="0044524F" w:rsidRDefault="00116626"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Военных воздушных сил РККА Алкснис</w:t>
      </w:r>
    </w:p>
    <w:p w14:paraId="0FC08C3F" w14:textId="77777777" w:rsidR="00116626" w:rsidRPr="0044524F" w:rsidRDefault="00116626"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68D105AE"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Тяжелый бомбардировщик ТБ</w:t>
      </w:r>
      <w:r w:rsidRPr="0044524F">
        <w:rPr>
          <w:rStyle w:val="af0"/>
          <w:bCs/>
          <w:i w:val="0"/>
          <w:color w:val="000000" w:themeColor="text1"/>
          <w:sz w:val="16"/>
          <w:szCs w:val="16"/>
        </w:rPr>
        <w:noBreakHyphen/>
        <w:t>3 (АНТ</w:t>
      </w:r>
      <w:r w:rsidRPr="0044524F">
        <w:rPr>
          <w:rStyle w:val="af0"/>
          <w:bCs/>
          <w:i w:val="0"/>
          <w:color w:val="000000" w:themeColor="text1"/>
          <w:sz w:val="16"/>
          <w:szCs w:val="16"/>
        </w:rPr>
        <w:noBreakHyphen/>
        <w:t>6)</w:t>
      </w:r>
      <w:r w:rsidRPr="0044524F">
        <w:rPr>
          <w:color w:val="000000" w:themeColor="text1"/>
          <w:sz w:val="16"/>
          <w:szCs w:val="16"/>
        </w:rPr>
        <w:t xml:space="preserve"> с мотором 4М</w:t>
      </w:r>
      <w:r w:rsidRPr="0044524F">
        <w:rPr>
          <w:color w:val="000000" w:themeColor="text1"/>
          <w:sz w:val="16"/>
          <w:szCs w:val="16"/>
        </w:rPr>
        <w:noBreakHyphen/>
        <w:t>17 конструкции А. Н. Туполева и коллектива отдела авиации, гидроавиации и опытного строительства ЦАГИ принадлежал к числу наиболее выдающихся самолетов своего времени. Он был первым в мире четырехмоторным свободнонесущим монопланом-бомбардировщиком с двигателями, установленными в ряд по размаху крыла. Его схема — развитие схемы ТБ</w:t>
      </w:r>
      <w:r w:rsidRPr="0044524F">
        <w:rPr>
          <w:color w:val="000000" w:themeColor="text1"/>
          <w:sz w:val="16"/>
          <w:szCs w:val="16"/>
        </w:rPr>
        <w:noBreakHyphen/>
        <w:t xml:space="preserve">1 — стала господствующей для всех самолетов подобного типа и разного назначения. Вместе с ним была освоена конструкция и технология подобных машин и налажен их серийный выпуск в 1932 г. Эти самолеты состояли на вооружении с 1932 по 1939 г. и на протяжении этих лет модернизировалась и усовершенствовалась конструкция самолета. Самолет </w:t>
      </w:r>
      <w:r w:rsidRPr="0044524F">
        <w:rPr>
          <w:rStyle w:val="af0"/>
          <w:bCs/>
          <w:i w:val="0"/>
          <w:color w:val="000000" w:themeColor="text1"/>
          <w:sz w:val="16"/>
          <w:szCs w:val="16"/>
        </w:rPr>
        <w:t>ТБ</w:t>
      </w:r>
      <w:r w:rsidRPr="0044524F">
        <w:rPr>
          <w:rStyle w:val="af0"/>
          <w:bCs/>
          <w:i w:val="0"/>
          <w:color w:val="000000" w:themeColor="text1"/>
          <w:sz w:val="16"/>
          <w:szCs w:val="16"/>
        </w:rPr>
        <w:noBreakHyphen/>
        <w:t>4 (АНТ</w:t>
      </w:r>
      <w:r w:rsidRPr="0044524F">
        <w:rPr>
          <w:rStyle w:val="af0"/>
          <w:bCs/>
          <w:i w:val="0"/>
          <w:color w:val="000000" w:themeColor="text1"/>
          <w:sz w:val="16"/>
          <w:szCs w:val="16"/>
        </w:rPr>
        <w:noBreakHyphen/>
        <w:t>16)</w:t>
      </w:r>
      <w:r w:rsidRPr="0044524F">
        <w:rPr>
          <w:color w:val="000000" w:themeColor="text1"/>
          <w:sz w:val="16"/>
          <w:szCs w:val="16"/>
        </w:rPr>
        <w:t xml:space="preserve"> представлял собою развитие ТБ</w:t>
      </w:r>
      <w:r w:rsidRPr="0044524F">
        <w:rPr>
          <w:color w:val="000000" w:themeColor="text1"/>
          <w:sz w:val="16"/>
          <w:szCs w:val="16"/>
        </w:rPr>
        <w:noBreakHyphen/>
        <w:t>3 в направлении увеличения площадей и массы с шестью двигателями М</w:t>
      </w:r>
      <w:r w:rsidRPr="0044524F">
        <w:rPr>
          <w:color w:val="000000" w:themeColor="text1"/>
          <w:sz w:val="16"/>
          <w:szCs w:val="16"/>
        </w:rPr>
        <w:noBreakHyphen/>
        <w:t>34. Особенностью самолета была конструкция его фюзеляжа с двумя большими бомбовыми отсеками, столь крупные отсеки в фюзеляже сделаны были впервые в мире. Самолет не был принят, но работы по нему не пропали даром — они были использованы для создания в самый короткий срок еще большего самолета «Максим Горький».</w:t>
      </w:r>
    </w:p>
    <w:p w14:paraId="35D3D847"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lastRenderedPageBreak/>
        <w:t xml:space="preserve">²* Самолет </w:t>
      </w:r>
      <w:r w:rsidRPr="0044524F">
        <w:rPr>
          <w:rStyle w:val="af0"/>
          <w:bCs/>
          <w:i w:val="0"/>
          <w:color w:val="000000" w:themeColor="text1"/>
          <w:sz w:val="16"/>
          <w:szCs w:val="16"/>
        </w:rPr>
        <w:t>МИ</w:t>
      </w:r>
      <w:r w:rsidRPr="0044524F">
        <w:rPr>
          <w:rStyle w:val="af0"/>
          <w:bCs/>
          <w:i w:val="0"/>
          <w:color w:val="000000" w:themeColor="text1"/>
          <w:sz w:val="16"/>
          <w:szCs w:val="16"/>
        </w:rPr>
        <w:noBreakHyphen/>
        <w:t>3 (АНТ</w:t>
      </w:r>
      <w:r w:rsidRPr="0044524F">
        <w:rPr>
          <w:rStyle w:val="af0"/>
          <w:bCs/>
          <w:i w:val="0"/>
          <w:color w:val="000000" w:themeColor="text1"/>
          <w:sz w:val="16"/>
          <w:szCs w:val="16"/>
        </w:rPr>
        <w:noBreakHyphen/>
        <w:t>21)</w:t>
      </w:r>
      <w:r w:rsidRPr="0044524F">
        <w:rPr>
          <w:color w:val="000000" w:themeColor="text1"/>
          <w:sz w:val="16"/>
          <w:szCs w:val="16"/>
        </w:rPr>
        <w:t xml:space="preserve"> представлял собой многоместный истребитель и также многоцелевой самолет, его проектирование было начато А. Н. Туполевым в январе 1932 г. на базе многоцелевого самолета Р</w:t>
      </w:r>
      <w:r w:rsidRPr="0044524F">
        <w:rPr>
          <w:color w:val="000000" w:themeColor="text1"/>
          <w:sz w:val="16"/>
          <w:szCs w:val="16"/>
        </w:rPr>
        <w:noBreakHyphen/>
        <w:t>6. МИ</w:t>
      </w:r>
      <w:r w:rsidRPr="0044524F">
        <w:rPr>
          <w:color w:val="000000" w:themeColor="text1"/>
          <w:sz w:val="16"/>
          <w:szCs w:val="16"/>
        </w:rPr>
        <w:noBreakHyphen/>
        <w:t>3 стал предшественником скоростного бомбардировщика СБ. Работа по этим двум самолетам шла практически одновременно. МИ</w:t>
      </w:r>
      <w:r w:rsidRPr="0044524F">
        <w:rPr>
          <w:color w:val="000000" w:themeColor="text1"/>
          <w:sz w:val="16"/>
          <w:szCs w:val="16"/>
        </w:rPr>
        <w:noBreakHyphen/>
        <w:t>3 с двигателем М</w:t>
      </w:r>
      <w:r w:rsidRPr="0044524F">
        <w:rPr>
          <w:color w:val="000000" w:themeColor="text1"/>
          <w:sz w:val="16"/>
          <w:szCs w:val="16"/>
        </w:rPr>
        <w:noBreakHyphen/>
        <w:t>17 уже в 1934 г. не представлял интереса по сравнению с СБ (АНТ</w:t>
      </w:r>
      <w:r w:rsidRPr="0044524F">
        <w:rPr>
          <w:color w:val="000000" w:themeColor="text1"/>
          <w:sz w:val="16"/>
          <w:szCs w:val="16"/>
        </w:rPr>
        <w:noBreakHyphen/>
        <w:t>40), обладавшим при такой же конструкции более высокими качествами. Поэтому работы по МИ</w:t>
      </w:r>
      <w:r w:rsidRPr="0044524F">
        <w:rPr>
          <w:color w:val="000000" w:themeColor="text1"/>
          <w:sz w:val="16"/>
          <w:szCs w:val="16"/>
        </w:rPr>
        <w:noBreakHyphen/>
        <w:t>3 были прекращены. Опытный экземпляр СБ, спроектированный и разработанный бригадой А. А. Архангельского под руководством А. Н. Туполева, был построен в октябре 1934 г. и стал наиболее удачной моделью скоростного бомбардировщика этого типа. В 1936 г. была развернута его серийная постройка, продолжавшаяся до 1941 г.</w:t>
      </w:r>
    </w:p>
    <w:p w14:paraId="1B1CDD22"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³* </w:t>
      </w:r>
      <w:r w:rsidRPr="0044524F">
        <w:rPr>
          <w:rStyle w:val="af0"/>
          <w:bCs/>
          <w:i w:val="0"/>
          <w:color w:val="000000" w:themeColor="text1"/>
          <w:sz w:val="16"/>
          <w:szCs w:val="16"/>
        </w:rPr>
        <w:t>Центральный аэрогидродинамический институт (ЦАГИ)</w:t>
      </w:r>
      <w:r w:rsidRPr="0044524F">
        <w:rPr>
          <w:color w:val="000000" w:themeColor="text1"/>
          <w:sz w:val="16"/>
          <w:szCs w:val="16"/>
        </w:rPr>
        <w:t xml:space="preserve"> основан постановлением ВСНХ СССР от 1 декабря 1918 г. Организатором и первым руководителем института был основоположник современной аэродинамики, член-корреспондент Петербургской Академии наук и Российской академии наук И. Е. Жуковский, имя которого было присвоено институту в 1921 г. В 1930</w:t>
      </w:r>
      <w:r w:rsidRPr="0044524F">
        <w:rPr>
          <w:color w:val="000000" w:themeColor="text1"/>
          <w:sz w:val="16"/>
          <w:szCs w:val="16"/>
        </w:rPr>
        <w:noBreakHyphen/>
        <w:t>1932 гг. на базе отделов и лабораторий ЦАГИ были созданы новые научно-исследовательские учреждения: конструкторское бюро А. Н. Туполева, Всесоюзный институт авиационных материалов (ВИАМ), Центральный ветроэнергетический институт (ЦВЭИ), Всесоюзный институт гидромашиностроения (ВИГМ). ЦАГИ развивался как комплексный институт, тесно связанный с промышленностью. Он осуществлял научное сопровождение при создании практически любого летательного аппарата, разрабатывал методы расчета для конструкторов. Без его санкции ни один опытный самолет не мог подняться в воздух. В ноябре 1935 г. была заложена новая база института в Подмосковье. Новые задачи, стоящие перед ЦАГИ были сформулированы в постановлении СТО № ОК</w:t>
      </w:r>
      <w:r w:rsidRPr="0044524F">
        <w:rPr>
          <w:color w:val="000000" w:themeColor="text1"/>
          <w:sz w:val="16"/>
          <w:szCs w:val="16"/>
        </w:rPr>
        <w:noBreakHyphen/>
        <w:t>131с от 28 мая 1936 г. «О научно-исследовательском экспериментальном авиационном институте (ЦАГИ)». В нем говорилось, что ЦАГИ должен быть превращен в научно-исследовательский экспериментальный авиационный институт для обслуживания конструкторских бюро и заводов серийного производства авиационной промышленности. Его задача — «обеспечение авиационной промышленности научно-техническими проверенными данными в законченной форме, непосредственно прилагаемыми к практике, позволяющими производить выпуск технически совершенных самолетов». Из ЦАГИ выделялись в самостоятельное подразделение, подчиненное непосредственно Глававиапрому, ряд конструкторских бюро и завод опытных конструкций. Усиливалась экспериментальная работа по вооружению, оборудованию и снаряжению самолетов, для чего было создано 6 лабораторий: моторного оборудования, винтовая, высотная, по вооружению, самолетного оборудования, механического оборудования самолетов и глиссеров и посадочных приспособлений. (ГА РФ. Ф. Р</w:t>
      </w:r>
      <w:r w:rsidRPr="0044524F">
        <w:rPr>
          <w:color w:val="000000" w:themeColor="text1"/>
          <w:sz w:val="16"/>
          <w:szCs w:val="16"/>
        </w:rPr>
        <w:noBreakHyphen/>
        <w:t>8418. Оп. 28. Д. 9. Л. 164</w:t>
      </w:r>
      <w:r w:rsidRPr="0044524F">
        <w:rPr>
          <w:color w:val="000000" w:themeColor="text1"/>
          <w:sz w:val="16"/>
          <w:szCs w:val="16"/>
        </w:rPr>
        <w:noBreakHyphen/>
        <w:t>165).</w:t>
      </w:r>
    </w:p>
    <w:p w14:paraId="3D5C23D0"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⁴* Здесь и далее даты в скобках вписаны от руки.</w:t>
      </w:r>
    </w:p>
    <w:p w14:paraId="12D6C0D3"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⁵* Над рукописной датой карандашом вписано — «1 ноября».</w:t>
      </w:r>
    </w:p>
    <w:p w14:paraId="53B02575"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⁶* Здесь и далее: даты в скобках вписаны от руки.</w:t>
      </w:r>
    </w:p>
    <w:p w14:paraId="2799EC4C"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⁷* Строка вписана карандашом.</w:t>
      </w:r>
    </w:p>
    <w:p w14:paraId="570ADD93"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⁸* </w:t>
      </w:r>
      <w:r w:rsidRPr="0044524F">
        <w:rPr>
          <w:rStyle w:val="af0"/>
          <w:bCs/>
          <w:i w:val="0"/>
          <w:color w:val="000000" w:themeColor="text1"/>
          <w:sz w:val="16"/>
          <w:szCs w:val="16"/>
        </w:rPr>
        <w:t>Двухместный истребитель ДИ</w:t>
      </w:r>
      <w:r w:rsidRPr="0044524F">
        <w:rPr>
          <w:rStyle w:val="af0"/>
          <w:bCs/>
          <w:i w:val="0"/>
          <w:color w:val="000000" w:themeColor="text1"/>
          <w:sz w:val="16"/>
          <w:szCs w:val="16"/>
        </w:rPr>
        <w:noBreakHyphen/>
        <w:t>6</w:t>
      </w:r>
      <w:r w:rsidRPr="0044524F">
        <w:rPr>
          <w:color w:val="000000" w:themeColor="text1"/>
          <w:sz w:val="16"/>
          <w:szCs w:val="16"/>
        </w:rPr>
        <w:t xml:space="preserve"> (ЦКБ</w:t>
      </w:r>
      <w:r w:rsidRPr="0044524F">
        <w:rPr>
          <w:color w:val="000000" w:themeColor="text1"/>
          <w:sz w:val="16"/>
          <w:szCs w:val="16"/>
        </w:rPr>
        <w:noBreakHyphen/>
        <w:t>11) был выпущен бригадой С. А. Кочеригина в конце 1934 г. при непосредственном участии В. П. Яценко. Это был первый в мире истребитель бипланной схемы с убирающимися шасси с двигателем «Райт-Циклон» Ф</w:t>
      </w:r>
      <w:r w:rsidRPr="0044524F">
        <w:rPr>
          <w:color w:val="000000" w:themeColor="text1"/>
          <w:sz w:val="16"/>
          <w:szCs w:val="16"/>
        </w:rPr>
        <w:noBreakHyphen/>
        <w:t>3 в 600 л. с., впоследствии замененным М</w:t>
      </w:r>
      <w:r w:rsidRPr="0044524F">
        <w:rPr>
          <w:color w:val="000000" w:themeColor="text1"/>
          <w:sz w:val="16"/>
          <w:szCs w:val="16"/>
        </w:rPr>
        <w:noBreakHyphen/>
        <w:t>25 в 630/700 л. с. Самолет прошел испытания в мае-ноябре 1935 г. и был принят в серийное производство. За 1937</w:t>
      </w:r>
      <w:r w:rsidRPr="0044524F">
        <w:rPr>
          <w:color w:val="000000" w:themeColor="text1"/>
          <w:sz w:val="16"/>
          <w:szCs w:val="16"/>
        </w:rPr>
        <w:noBreakHyphen/>
        <w:t>1938 гг. было построено 200 самолетов.</w:t>
      </w:r>
    </w:p>
    <w:p w14:paraId="56E3328F"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⁹* Напротив двух последних строк вписано: «гос. испытания через 5 месяцев после получения мотора, прошедшего гос. испытания».</w:t>
      </w:r>
    </w:p>
    <w:p w14:paraId="65176FD7"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¹⁰* В годы первой и второй пятилеток одной из важнейших отраслей деятельности отечественной авиапромышленности стало опытное строительство сухопутных и морских самолетов. В середине 20</w:t>
      </w:r>
      <w:r w:rsidRPr="0044524F">
        <w:rPr>
          <w:color w:val="000000" w:themeColor="text1"/>
          <w:sz w:val="16"/>
          <w:szCs w:val="16"/>
        </w:rPr>
        <w:noBreakHyphen/>
        <w:t xml:space="preserve">х годов разработка новых образцов </w:t>
      </w:r>
      <w:r w:rsidRPr="0044524F">
        <w:rPr>
          <w:rStyle w:val="af0"/>
          <w:bCs/>
          <w:i w:val="0"/>
          <w:color w:val="000000" w:themeColor="text1"/>
          <w:sz w:val="16"/>
          <w:szCs w:val="16"/>
        </w:rPr>
        <w:t>гидросамолетов</w:t>
      </w:r>
      <w:r w:rsidRPr="0044524F">
        <w:rPr>
          <w:color w:val="000000" w:themeColor="text1"/>
          <w:sz w:val="16"/>
          <w:szCs w:val="16"/>
        </w:rPr>
        <w:t xml:space="preserve"> осуществлялась в ЦАГИ в отделах морского самолетостроения (ОМОС) под руководством Д. П. Григоровича и отделе авиации, гидроавиации и опытного строительства (АГОС) под руководством А. Н. Туполева. Существенные трудности создавало отсутствие в СССР алюминиевого производства. В объяснительной записке Авиатреста к 5</w:t>
      </w:r>
      <w:r w:rsidRPr="0044524F">
        <w:rPr>
          <w:color w:val="000000" w:themeColor="text1"/>
          <w:sz w:val="16"/>
          <w:szCs w:val="16"/>
        </w:rPr>
        <w:noBreakHyphen/>
        <w:t>летнему плану работы на 1928/29</w:t>
      </w:r>
      <w:r w:rsidRPr="0044524F">
        <w:rPr>
          <w:color w:val="000000" w:themeColor="text1"/>
          <w:sz w:val="16"/>
          <w:szCs w:val="16"/>
        </w:rPr>
        <w:noBreakHyphen/>
        <w:t>1932/33 гг. «Об опытном строительстве» от 5 октября 1929 г. был намечен целый ряд мероприятий, направленных на форсирование разработки и внедрения новых гидросамолетов. Эта работа велась по трем основным направлениям: привлечение иностранной технической помощи; создание необходимой испытательной и производственной базы для серийного производства (на заводе № 22 создавался опытный отдел морского самолетостроения и выделялся в самостоятельную хозяйственную и административную единицу); создание новых высокосортных сталей, легких сплавов (кольчугалюминия) в промышленных масштабах. На эти мероприятия правительством в 1932</w:t>
      </w:r>
      <w:r w:rsidRPr="0044524F">
        <w:rPr>
          <w:color w:val="000000" w:themeColor="text1"/>
          <w:sz w:val="16"/>
          <w:szCs w:val="16"/>
        </w:rPr>
        <w:noBreakHyphen/>
        <w:t>1933 гг. было выделено 11 млн. руб. 13 августа 1933 г. СТО СССР принял постановление № 72сс «О форсировании морского гидросамолетостроения». В справке, составленной начальником ГУАП Г. Н. Королевым 21 декабря 1933 г. были даны сведения по заводам морского самолетостроения о состоянии работ по указанному постановлению. Завод № 31 приступил к подготовке серийного производства гидросамолета МБР</w:t>
      </w:r>
      <w:r w:rsidRPr="0044524F">
        <w:rPr>
          <w:color w:val="000000" w:themeColor="text1"/>
          <w:sz w:val="16"/>
          <w:szCs w:val="16"/>
        </w:rPr>
        <w:noBreakHyphen/>
        <w:t>2, который в 1934 г. планировалось выпустить в количестве 250 шт. По гидросамолету МДР</w:t>
      </w:r>
      <w:r w:rsidRPr="0044524F">
        <w:rPr>
          <w:color w:val="000000" w:themeColor="text1"/>
          <w:sz w:val="16"/>
          <w:szCs w:val="16"/>
        </w:rPr>
        <w:noBreakHyphen/>
        <w:t>4 планировалось выпустить 3 самолета и к концу 1934 г. приступить к серийному производству. На заводе № 22 проходила разработка технологического процесса для постановки производства этих самолетов. На заводах № 125 и № 126 также готовилась технологическая база для указанных самолетов. Имеется также докладная записка Г. Н. Королева в ЦК ВКП(б) от 5 сентября 1935 г., в которой даны сведения о производстве заводом № 31 самолетов МБР-2. Несмотря на все усилия, указанные образцы морских самолетов после ряда испытаний не были внедрены в серийное производство и так и остались экспериментальными моделями отечественного цельнометаллического гидросамолетостроения, однако, полученный опыт составил основу для дальнейшего развития отечественной морской авиации. (РГАЭ. Ф. 8328. Оп. 1. Д. 449. Л. 336 об.</w:t>
      </w:r>
      <w:r w:rsidRPr="0044524F">
        <w:rPr>
          <w:color w:val="000000" w:themeColor="text1"/>
          <w:sz w:val="16"/>
          <w:szCs w:val="16"/>
        </w:rPr>
        <w:noBreakHyphen/>
        <w:t>329 об.; ГАРФ. Ф. Р</w:t>
      </w:r>
      <w:r w:rsidRPr="0044524F">
        <w:rPr>
          <w:color w:val="000000" w:themeColor="text1"/>
          <w:sz w:val="16"/>
          <w:szCs w:val="16"/>
        </w:rPr>
        <w:noBreakHyphen/>
        <w:t>8418. Оп. 8. Д. 67. Л. 54</w:t>
      </w:r>
      <w:r w:rsidRPr="0044524F">
        <w:rPr>
          <w:color w:val="000000" w:themeColor="text1"/>
          <w:sz w:val="16"/>
          <w:szCs w:val="16"/>
        </w:rPr>
        <w:noBreakHyphen/>
        <w:t>55; АП РФ. Ф. 3. Оп. 46. Д. 7. Л. 17</w:t>
      </w:r>
      <w:r w:rsidRPr="0044524F">
        <w:rPr>
          <w:color w:val="000000" w:themeColor="text1"/>
          <w:sz w:val="16"/>
          <w:szCs w:val="16"/>
        </w:rPr>
        <w:noBreakHyphen/>
        <w:t>23).</w:t>
      </w:r>
    </w:p>
    <w:p w14:paraId="4F2A676B" w14:textId="77777777" w:rsidR="00116626" w:rsidRPr="0044524F" w:rsidRDefault="00116626" w:rsidP="009654CF">
      <w:pPr>
        <w:pStyle w:val="rtejustify"/>
        <w:spacing w:before="0" w:after="0"/>
        <w:rPr>
          <w:color w:val="000000" w:themeColor="text1"/>
          <w:sz w:val="16"/>
          <w:szCs w:val="16"/>
        </w:rPr>
      </w:pPr>
      <w:r w:rsidRPr="0044524F">
        <w:rPr>
          <w:color w:val="000000" w:themeColor="text1"/>
          <w:sz w:val="16"/>
          <w:szCs w:val="16"/>
        </w:rPr>
        <w:t>¹¹* Приложения в деле отсутствуют.</w:t>
      </w:r>
    </w:p>
    <w:p w14:paraId="28CE4552" w14:textId="77777777" w:rsidR="00116626" w:rsidRPr="0044524F" w:rsidRDefault="00116626" w:rsidP="009654CF">
      <w:pPr>
        <w:pStyle w:val="ae"/>
        <w:spacing w:before="0" w:after="0"/>
        <w:jc w:val="both"/>
        <w:rPr>
          <w:color w:val="000000" w:themeColor="text1"/>
          <w:sz w:val="16"/>
          <w:szCs w:val="16"/>
        </w:rPr>
      </w:pPr>
      <w:r w:rsidRPr="0044524F">
        <w:rPr>
          <w:color w:val="000000" w:themeColor="text1"/>
          <w:sz w:val="16"/>
          <w:szCs w:val="16"/>
        </w:rPr>
        <w:t>РГАЭ. Ф.8328. Оп.1. Д. 698. Л.23-22 об. Заверенная копия (15256).</w:t>
      </w:r>
    </w:p>
    <w:p w14:paraId="0C461F47" w14:textId="77777777" w:rsidR="00116626" w:rsidRPr="0044524F" w:rsidRDefault="00116626" w:rsidP="009654CF">
      <w:pPr>
        <w:autoSpaceDE w:val="0"/>
        <w:autoSpaceDN w:val="0"/>
        <w:adjustRightInd w:val="0"/>
        <w:spacing w:after="0" w:line="240" w:lineRule="auto"/>
        <w:jc w:val="both"/>
        <w:rPr>
          <w:rFonts w:ascii="Times New Roman" w:hAnsi="Times New Roman"/>
          <w:color w:val="000000" w:themeColor="text1"/>
          <w:sz w:val="16"/>
          <w:szCs w:val="16"/>
        </w:rPr>
      </w:pPr>
    </w:p>
    <w:p w14:paraId="199F6106"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21 марта 1933 г. в докладной записке начальника Военно</w:t>
      </w:r>
      <w:r w:rsidRPr="00142305">
        <w:rPr>
          <w:rStyle w:val="aff"/>
          <w:rFonts w:ascii="Times New Roman" w:hAnsi="Times New Roman" w:cs="Times New Roman"/>
          <w:color w:val="0070C0"/>
          <w:spacing w:val="0"/>
          <w:sz w:val="16"/>
          <w:szCs w:val="16"/>
        </w:rPr>
        <w:softHyphen/>
        <w:t>воздушных сил РККА Я.И. Алксниса наркому по военным и морским делам СССР и председателю Реввоенсовета СССР К.Е. Ворошилову, отмечалось: «Высокие летные данные иностранных самолетов объясняются не столько аэродинамикой самолетов, сколько качеством мотора. Качество мотора прежде всего зависит от наличия на нем нагнетателя и редуктора… Строя</w:t>
      </w:r>
      <w:r w:rsidRPr="00142305">
        <w:rPr>
          <w:rStyle w:val="aff"/>
          <w:rFonts w:ascii="Times New Roman" w:hAnsi="Times New Roman" w:cs="Times New Roman"/>
          <w:color w:val="0070C0"/>
          <w:spacing w:val="0"/>
          <w:sz w:val="16"/>
          <w:szCs w:val="16"/>
        </w:rPr>
        <w:softHyphen/>
        <w:t>щийся нами серийный мотор М-34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 е. на 5 тыс. м, то он оказывается по своим качествам ниже средних современных заграничных моторов… Все наши тяжелые бомбардировщики и разведчики должны были базироваться на моторе М-34 с нагне</w:t>
      </w:r>
      <w:r w:rsidRPr="00142305">
        <w:rPr>
          <w:rStyle w:val="aff"/>
          <w:rFonts w:ascii="Times New Roman" w:hAnsi="Times New Roman" w:cs="Times New Roman"/>
          <w:color w:val="0070C0"/>
          <w:spacing w:val="0"/>
          <w:sz w:val="16"/>
          <w:szCs w:val="16"/>
        </w:rPr>
        <w:softHyphen/>
        <w:t>тателем и редуктором…» (25145).</w:t>
      </w:r>
    </w:p>
    <w:p w14:paraId="1259E3A9" w14:textId="77777777" w:rsidR="00F47692" w:rsidRPr="00142305" w:rsidRDefault="00F47692" w:rsidP="00F47692">
      <w:pPr>
        <w:spacing w:after="0" w:line="240" w:lineRule="auto"/>
        <w:jc w:val="both"/>
        <w:rPr>
          <w:rFonts w:ascii="Times New Roman" w:hAnsi="Times New Roman"/>
          <w:color w:val="0070C0"/>
          <w:sz w:val="16"/>
          <w:szCs w:val="16"/>
        </w:rPr>
      </w:pPr>
    </w:p>
    <w:p w14:paraId="792A9B0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состоялось совещание у Нач. УМТСиВ ВВС РККА по вопросу выполнения постановления СНК СССР от 17 сентября 1932 N 1455/308с "О постройке паротурбинного авиадвигателя." (2305,18).</w:t>
      </w:r>
    </w:p>
    <w:p w14:paraId="7289D971"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w:t>
      </w:r>
    </w:p>
    <w:p w14:paraId="2D67C0F5"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совещание у начальника УМТС ВВС РККА от 21 марта 1933</w:t>
      </w:r>
    </w:p>
    <w:p w14:paraId="0062490E"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вопросу выполнения постановления СНК СССР от 17.1Х-32 г. за № № 1455/308с "О постройке паротурбинного авиационного двигателя".</w:t>
      </w:r>
    </w:p>
    <w:p w14:paraId="55994D97"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ПРИСУТСТВОВАЛИ: Начальник УМТСиВ ВВС РККА </w:t>
      </w:r>
      <w:r w:rsidRPr="0044524F">
        <w:rPr>
          <w:rFonts w:ascii="Times New Roman" w:hAnsi="Times New Roman"/>
          <w:color w:val="000000" w:themeColor="text1"/>
          <w:sz w:val="16"/>
          <w:szCs w:val="16"/>
        </w:rPr>
        <w:tab/>
        <w:t>т. МАРОВ.</w:t>
      </w:r>
    </w:p>
    <w:p w14:paraId="754279D6"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 Начальника ГУАПа....</w:t>
      </w:r>
      <w:r w:rsidRPr="0044524F">
        <w:rPr>
          <w:rFonts w:ascii="Times New Roman" w:hAnsi="Times New Roman"/>
          <w:color w:val="000000" w:themeColor="text1"/>
          <w:sz w:val="16"/>
          <w:szCs w:val="16"/>
        </w:rPr>
        <w:tab/>
        <w:t>т. АЛМАЗОВ.</w:t>
      </w:r>
    </w:p>
    <w:p w14:paraId="1249091F"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Главный Иженер НИИ..... - т. АУЗАН.</w:t>
      </w:r>
    </w:p>
    <w:p w14:paraId="16EF9FD7"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л у ш а л и :</w:t>
      </w:r>
    </w:p>
    <w:p w14:paraId="01D3A9B7"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материально-технического снабжения и воору</w:t>
      </w:r>
      <w:r w:rsidRPr="0044524F">
        <w:rPr>
          <w:rFonts w:ascii="Times New Roman" w:hAnsi="Times New Roman"/>
          <w:color w:val="000000" w:themeColor="text1"/>
          <w:sz w:val="16"/>
          <w:szCs w:val="16"/>
        </w:rPr>
        <w:softHyphen/>
        <w:t>жений тов</w:t>
      </w:r>
      <w:r w:rsidRPr="0044524F">
        <w:rPr>
          <w:rFonts w:ascii="Times New Roman" w:hAnsi="Times New Roman"/>
          <w:smallCaps/>
          <w:color w:val="000000" w:themeColor="text1"/>
          <w:sz w:val="16"/>
          <w:szCs w:val="16"/>
        </w:rPr>
        <w:t xml:space="preserve">. МАРОВ </w:t>
      </w:r>
      <w:r w:rsidRPr="0044524F">
        <w:rPr>
          <w:rFonts w:ascii="Times New Roman" w:hAnsi="Times New Roman"/>
          <w:color w:val="000000" w:themeColor="text1"/>
          <w:sz w:val="16"/>
          <w:szCs w:val="16"/>
        </w:rPr>
        <w:t>поставил вопросы:</w:t>
      </w:r>
    </w:p>
    <w:p w14:paraId="30228435"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Что сделано ГУАПом во исполнение постановления Правительства?</w:t>
      </w:r>
    </w:p>
    <w:p w14:paraId="3736BDF9"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Предусмотрено ли ГУАПом для выполнения постановления - 1.000.000 рублей?</w:t>
      </w:r>
    </w:p>
    <w:p w14:paraId="4A22C655"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Выл ли ГУАПом согласован вопрос с НИИ ВВС о проведение работ, вытекающих из постановления СНК?</w:t>
      </w:r>
    </w:p>
    <w:p w14:paraId="331F92A8"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Что намечено ГУАПом во исполнение постановления СНК на 1933 год?</w:t>
      </w:r>
    </w:p>
    <w:p w14:paraId="5D4A0076"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АЛМАЗОВ:</w:t>
      </w:r>
    </w:p>
    <w:p w14:paraId="7B008901"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ГУАП знает, что ХАИ — по заключенному договору с НИИ ВВС строит и турбины. На основании заключенного договора ХАИ с НИИ ВВС - ГУАП помогал размещению заказов и выполнению фондов. Но посколько ХАИ заявлял, что он субсидируется НИИ ВВС, ГУАП для получения указанной суммы целевого назначения, - ничего не предпринимал и ходатайства не возбуждал.</w:t>
      </w:r>
    </w:p>
    <w:p w14:paraId="5E94D8E8"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части согласования о проведении данной работы, НИИ ВВС перед ГУАПом официально вопроса не ставил. ГУАП, зная о сог</w:t>
      </w:r>
      <w:r w:rsidRPr="0044524F">
        <w:rPr>
          <w:rFonts w:ascii="Times New Roman" w:hAnsi="Times New Roman"/>
          <w:color w:val="000000" w:themeColor="text1"/>
          <w:sz w:val="16"/>
          <w:szCs w:val="16"/>
        </w:rPr>
        <w:softHyphen/>
        <w:t>лашении ХАИ с НИИ ВВС, о постройке турбины - одобрял эти ме</w:t>
      </w:r>
      <w:r w:rsidRPr="0044524F">
        <w:rPr>
          <w:rFonts w:ascii="Times New Roman" w:hAnsi="Times New Roman"/>
          <w:color w:val="000000" w:themeColor="text1"/>
          <w:sz w:val="16"/>
          <w:szCs w:val="16"/>
        </w:rPr>
        <w:softHyphen/>
        <w:t>роприятия.</w:t>
      </w:r>
    </w:p>
    <w:p w14:paraId="0F522BB4"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1933 г. ГУАПом по турбиностроительстау разворачива</w:t>
      </w:r>
      <w:r w:rsidRPr="0044524F">
        <w:rPr>
          <w:rFonts w:ascii="Times New Roman" w:hAnsi="Times New Roman"/>
          <w:color w:val="000000" w:themeColor="text1"/>
          <w:sz w:val="16"/>
          <w:szCs w:val="16"/>
        </w:rPr>
        <w:softHyphen/>
        <w:t>ется группа - ЦИАН, а в остальном интересуемся работой ХАИ.</w:t>
      </w:r>
    </w:p>
    <w:p w14:paraId="5E634FB0"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финансирования, посколько ХАИ заявил, что он обеспечен, согласно договора с НИИ ВВС, потому ГУАПом не предусмотрено никаких средств, однако, оказываем всемерную мо</w:t>
      </w:r>
      <w:r w:rsidRPr="0044524F">
        <w:rPr>
          <w:rFonts w:ascii="Times New Roman" w:hAnsi="Times New Roman"/>
          <w:color w:val="000000" w:themeColor="text1"/>
          <w:sz w:val="16"/>
          <w:szCs w:val="16"/>
        </w:rPr>
        <w:softHyphen/>
        <w:t>ральную помощь, согласовывая эту работу...(2505,18).</w:t>
      </w:r>
    </w:p>
    <w:p w14:paraId="22F4EEBA" w14:textId="77777777" w:rsidR="00474353" w:rsidRPr="0044524F" w:rsidRDefault="0047435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2F85EB"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и 26 марта 1933 года на втором и третьем ис</w:t>
      </w:r>
      <w:r w:rsidRPr="0044524F">
        <w:rPr>
          <w:rFonts w:ascii="Times New Roman" w:hAnsi="Times New Roman"/>
          <w:color w:val="000000" w:themeColor="text1"/>
          <w:sz w:val="16"/>
          <w:szCs w:val="16"/>
        </w:rPr>
        <w:softHyphen/>
        <w:t>пытаниях двигатели разрушились ОР-2 Цандера. На четвертом ис</w:t>
      </w:r>
      <w:r w:rsidRPr="0044524F">
        <w:rPr>
          <w:rFonts w:ascii="Times New Roman" w:hAnsi="Times New Roman"/>
          <w:color w:val="000000" w:themeColor="text1"/>
          <w:sz w:val="16"/>
          <w:szCs w:val="16"/>
        </w:rPr>
        <w:softHyphen/>
        <w:t>пытании, вновь опасаясь взры</w:t>
      </w:r>
      <w:r w:rsidRPr="0044524F">
        <w:rPr>
          <w:rFonts w:ascii="Times New Roman" w:hAnsi="Times New Roman"/>
          <w:color w:val="000000" w:themeColor="text1"/>
          <w:sz w:val="16"/>
          <w:szCs w:val="16"/>
        </w:rPr>
        <w:softHyphen/>
        <w:t>ва, разработчики выключили двигатель на 35-й секунде. После этого работы по двигателю были прекращены (23510).</w:t>
      </w:r>
    </w:p>
    <w:p w14:paraId="5C314AE8" w14:textId="77777777" w:rsidR="00B26E21" w:rsidRPr="0044524F" w:rsidRDefault="00B26E21" w:rsidP="009654CF">
      <w:pPr>
        <w:spacing w:after="0" w:line="240" w:lineRule="auto"/>
        <w:jc w:val="both"/>
        <w:rPr>
          <w:rFonts w:ascii="Times New Roman" w:hAnsi="Times New Roman"/>
          <w:color w:val="000000" w:themeColor="text1"/>
          <w:sz w:val="16"/>
          <w:szCs w:val="16"/>
        </w:rPr>
      </w:pPr>
    </w:p>
    <w:p w14:paraId="29771C9B" w14:textId="77777777" w:rsidR="0047435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9912147" w14:textId="77777777" w:rsidR="00474353" w:rsidRPr="0044524F" w:rsidRDefault="0047435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FB678C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21 марта 1933г. на верфи деревянного катеростроения Морпогранохраны ОГПУ, созданной в начале 1931, строящейся с 5 июля 1931 и вступившей в строй 23 февраля 1933 г., был заложен первый катер типа «ГК» («габаритный катер») (официально открыта 1.05.1933г.). Всего было предусмотрено 16 стапельных мест для постройки катеров. В 1934 г. верфь передана в ведение НКВД.</w:t>
      </w:r>
      <w:r w:rsidRPr="0044524F">
        <w:rPr>
          <w:rFonts w:ascii="Times New Roman" w:hAnsi="Times New Roman"/>
          <w:color w:val="000000" w:themeColor="text1"/>
          <w:sz w:val="16"/>
          <w:szCs w:val="16"/>
          <w:vertAlign w:val="superscript"/>
        </w:rPr>
        <w:t>131</w:t>
      </w:r>
      <w:r w:rsidRPr="0044524F">
        <w:rPr>
          <w:rFonts w:ascii="Times New Roman" w:hAnsi="Times New Roman"/>
          <w:color w:val="000000" w:themeColor="text1"/>
          <w:sz w:val="16"/>
          <w:szCs w:val="16"/>
        </w:rPr>
        <w:t xml:space="preserve"> В начале 1939г. верфь переименована в завод № 5 НКВД (Завод № 5 НКВД, НКСП, МСП, Государственная судостроительная верфь ОГПУ, Ленинградский Приморский завод (ЛПЗ) МСП, ОАО «Судостроительная фирма (СФ) «Алмаз» /г. Ленинград/ /197110 г. Санкт-Петербург Петровский пр., 26 тел. 235-51-48). В 03.1941 г. завод № 5 передан из НКВД в НКСП.</w:t>
      </w:r>
    </w:p>
    <w:p w14:paraId="06438DC3"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Бывшая верфь Золотова преобразована в Государственную судостроительную мастерскую для постройки пограничных судов и стала отделением верфи Морпогранохраны ОГПУ. В 1931 г. на строящейся верфи по инициативе Д.Л. Блинова организовано собственное КБ.</w:t>
      </w:r>
    </w:p>
    <w:p w14:paraId="68A218C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СТО № 25 от 1937г. на верфь «для обеспечения производства верфи в военное время» возложена постройка деревянных торпедных катеров.</w:t>
      </w:r>
    </w:p>
    <w:p w14:paraId="2D9E5BB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1941 г. строительство верфи было завершено. В ее составе цехи: судосборочный (стапельный, площадь 4800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деревообрабатывающий, монтажно-сдаточный (840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механический, кузнечный, литейная мастерская.</w:t>
      </w:r>
    </w:p>
    <w:p w14:paraId="2F3092B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начала войны начаты работы по модернизации катеров МО-2 и МО-4 для условий военного времени.</w:t>
      </w:r>
    </w:p>
    <w:p w14:paraId="7579EC5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НКСП № 185 от 12.07.1941 г. часть завода (177 чел.) эвакуирована на завод № 640, затем - на заводы № 345 НКСП и Судоверфь им. Кирова НКРП (Астрахань); всего эвакуировано 405 чел. Основная часть завода продолжила работу в Ленинграде. 31.05.1944г. завод награжден орденом Трудового Красного Знамени.</w:t>
      </w:r>
    </w:p>
    <w:p w14:paraId="616BDE34"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со строительством новых выполнялся ремонт катеров, поврежденных в боях. Пост. ГКО № 473 от 13.08.1941 г. заводу предписано построить для флота в 1941 г. 30 торпедных катеров. Фактически в 1941 г. построено 3 катера и 7 переоборудовано в вариант малого охотника МО-ДЗ, в 1943г. построено 43 катера. За годы войны отремонтировано около 400 катеров.</w:t>
      </w:r>
    </w:p>
    <w:p w14:paraId="0238579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1946г. завод № 5 - в ведении МСП. В 1966г. переименован в ЛПЗ. По пр. МСП № 0299 от 1.06.1970 г. завод вошел в состав Производственно-технологического объединения (с 1974г. - ПО) «Алмаз» в качестве площадки № 1 (Петровской площадки). В 1990 г. из состава ПО вышло ЦМКБ «Алмаз», и объединение переименовано в </w:t>
      </w:r>
      <w:r w:rsidRPr="0044524F">
        <w:rPr>
          <w:rFonts w:ascii="Times New Roman" w:hAnsi="Times New Roman"/>
          <w:color w:val="000000" w:themeColor="text1"/>
          <w:sz w:val="16"/>
          <w:szCs w:val="16"/>
          <w:lang w:val="en-US"/>
        </w:rPr>
        <w:t>JICO</w:t>
      </w:r>
      <w:r w:rsidRPr="0044524F">
        <w:rPr>
          <w:rFonts w:ascii="Times New Roman" w:hAnsi="Times New Roman"/>
          <w:color w:val="000000" w:themeColor="text1"/>
          <w:sz w:val="16"/>
          <w:szCs w:val="16"/>
        </w:rPr>
        <w:t>, а с 1.10.1991 г. - СО «Алмаз». 20.03.1991 г. объединение преобразовано в СФ «Алмаз».</w:t>
      </w:r>
    </w:p>
    <w:p w14:paraId="4686235C"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1.04.1956г. пр. № 037 от 16.02.1956г. цех № 6 завода передан созданному ЦКБ-5 в качестве филиала. В 1958г. действовал филиал завода № 5 на Феодосийском ССЗ «Море».</w:t>
      </w:r>
      <w:r w:rsidRPr="0044524F">
        <w:rPr>
          <w:rFonts w:ascii="Times New Roman" w:hAnsi="Times New Roman"/>
          <w:color w:val="000000" w:themeColor="text1"/>
          <w:sz w:val="16"/>
          <w:szCs w:val="16"/>
          <w:vertAlign w:val="superscript"/>
        </w:rPr>
        <w:t>3</w:t>
      </w:r>
    </w:p>
    <w:p w14:paraId="23076DE6"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ПСМ № 2521-1213сс от 29.12.1954г. начато строительство опытной серии малого охотника пр. 199.</w:t>
      </w:r>
    </w:p>
    <w:p w14:paraId="6F0FC32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1950-х г. для производства стальных ракетных катеров пр. 205 проведена реконструкция завода (производство деревянных катеров сохранено). Организован корпусообрабатывающий цех, участки химической очистки и пассивирования металла, построена новая трансформаторная подстанция. Переоборудован эллинг № 3, там организованы участки узловой и секционной сборки. Рядом с эллингом был вырыт ковш, соединенный с акваторией Малой Невы, и в нем построен новый поперечный слип. С 1961 г. начата серийная постройка катеров пр. 205.</w:t>
      </w:r>
    </w:p>
    <w:p w14:paraId="4ABDBA2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распоряжением правительства № 402Р от 10.03.1964г. для строительства малых ракетных кораблей (МРК) пр. 1234 проведена очередная реконструкция завода. Прекращено строительство деревянных катеров, полностью переоборудован эллинг № 1. Для спуска МРК спроектирован (ГСПИ-2) комплекс гидротехнических сооружений, включавший причал, спусковой передаточный док пр. 960 грузоподъемностью 1000 т, достроечную набережную. В 1966г. построен новый двухпролетный цех корпусообработки</w:t>
      </w:r>
    </w:p>
    <w:p w14:paraId="6B9A689D"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1970-х г. завод специализировался на постройке головных образцов заказов с целью отработки технологии.</w:t>
      </w:r>
    </w:p>
    <w:p w14:paraId="1DAC4D1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1980-е г. на заводе начато строительство эллинга для постройки экранопланов, закончено не было.</w:t>
      </w:r>
    </w:p>
    <w:p w14:paraId="76154CB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1.07.1993г. в результате акционирования предприятие разделено на АООТ «СФ «Алмаз» (площадка № 1) и МЗ «Алмаз» (площадка № 2). 12.07.1996г. АООТ преобразовано в ОАО «СФ «Алмаз». Входило в состав ОАО ОМЗ (2003г.), ГК МНП (2004г.). В 08.2005г. предприятие продано Л. Грабовцу, в 07.2006г. продано ПО «Ленстройматериалы». В 02.2007г. планировалось слияние СФ «Алмаз» с МЗ «Алмаз».</w:t>
      </w:r>
    </w:p>
    <w:p w14:paraId="2A2D8DA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решению правительства № 22-р от 9.01.2004г. вошло в перечень стратегических предприятий.</w:t>
      </w:r>
    </w:p>
    <w:p w14:paraId="30A12DD8"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1990-х г. в порядке конверсии производства были спроектированы и изготовлены рассадопосадочные машины для посадки капусты. В 1990-е г. освоено производство крейсерских яхт. Выпускались также изделия для аэрокосмической отрасли (устройства для транспортировки частей КА к местам старта), оборудование для АЭС.</w:t>
      </w:r>
    </w:p>
    <w:p w14:paraId="326884F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1990-х г. было завершено техническое перевооружение производства. Цехи близкой направленности были объединены в отдельные производства. В 2000 г. введен в эксплуатацию новый эллинг площадью 9 тыс.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В составе предприятия (2000-е): производства: корпусообрабатывающее, сборочно-сварочное, стапельно- монтажное (11 стапельных дорожек), достроечно-сдаточное, машиностроительное; 2 эллинга (58х 150 м); достроечная набережная (250 м); два плавучих дока (грузоподъемность 1000-2500 т и 1500-3500 т); Центр информационных технологий (ЦИТ).</w:t>
      </w:r>
    </w:p>
    <w:p w14:paraId="6EC10AB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к 2005г. построено более 1000 кораблей и катеров.</w:t>
      </w:r>
    </w:p>
    <w:p w14:paraId="7EC4B6F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Имелось Московское представительство (зам. директора (2006г.)- И. Вишняков).</w:t>
      </w:r>
    </w:p>
    <w:p w14:paraId="5BAB18AF"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территории (2006г.)- 16,5 га; застройки (2006г.)- около 50 тыс.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производственная (2009г.)- 30,4 тыс.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4DDEE96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(06.1941 г.)- 2845 чел., (12.1941 г.)- 730 чел., (2009г.)- более 1000 чел.</w:t>
      </w:r>
    </w:p>
    <w:p w14:paraId="7BAC3F72"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Владелец (08.2005г.-)- Л.Г. Грабовец.</w:t>
      </w:r>
    </w:p>
    <w:p w14:paraId="1A0AF95E"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(1932-33г.)- Д.Л. Блинов, (1933-34г.)- А.В. Крюков, (1934г.)- М.А. Цикановский, (1935-37г.)- Ф.Н. Глушко, (05.1937г.-)- Е.Я. Локшин. Директор (-1949г.)- Е.Я. Локшин, (1949-56г.)- И.Д. Яблоков, (1956-67г.)- В.Д. Колечицкий, (1967-70 г.)- Ю.П. Кузьмин. Гендиректор (1970-71 г.)- Е.И. Юхнин, (1972-76г.)- Ю.Г. Полухин, (1976- 86г.)- В.К. Косенков, (1986-2001 г.)- А.П. Королев, (2001-07г.-)- Л.Г. Грабовец.</w:t>
      </w:r>
    </w:p>
    <w:p w14:paraId="320D55DA"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Технический директор (2005г.)- В. Демченко. Директор по маркетингу (2006г.)- С. Галиченко.</w:t>
      </w:r>
    </w:p>
    <w:p w14:paraId="44A369B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(1933г.)- В.Е. Бурачек, (1941 г.)- И.К. Силин, (1944г.)- А.Ф. Симин, (1970-е)- А.А. Пономарев.</w:t>
      </w:r>
    </w:p>
    <w:p w14:paraId="4C1B129B"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цехов: (2000 г.)- М.С. Каримова.</w:t>
      </w:r>
    </w:p>
    <w:p w14:paraId="45A5939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строители: (1943-45г.)- А.Д. Симин, (1957г.)- Н.И. Мартынычев.</w:t>
      </w:r>
    </w:p>
    <w:p w14:paraId="7C1B9BB5"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Строители судов: (ВОВ)- Л.Н. Одинцов, (07.1941 г.)- А.А. Тимофеев, (1967г.)- Б.П. Дитятьев (пр. 1234), (1970- е&gt; И.И. Костинский, (1970-е)- В.И. Мерцалов, (1970-е)- В.И. Сибирцев, (1970-е)- М.И. Тузов, (1970-е)- М.И. Украинский.</w:t>
      </w:r>
    </w:p>
    <w:p w14:paraId="4A31742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катера: морской «ГК» ПК-110 (1933-34)- 16, представительский ГК-4 (1941)- 1; торпедные: ДТК (1936-)- 3, Д-2 (1939)- 1, Д-3 (пр. П-19, 1939-44)- 67, Д-4 (1941-, не достроен), пр. ТД-200 (1946)- 1, ТД- 200бис (1947-52)- 168; сборка американских катеров А-1 «Воспер» (1944-47)- 14 и А-3 «ЭЛКО» (1944-47)- 29; пр. 183 (1949-60)- 361 (вместе с заводами 602, 640), пр. 183ТК (1956-57)- 25, представительский пр. 183Ш (1960-е); пр. 206М (1970-76)- 24 (вместе с заводами 341, 363 и 602); сторожевые (малые охотники): II серии МО-2 (1934- 35)- 32, IV серии МО-4 (1936-41)- 228, МО-ДЗ (1942-43-)- 46; пр. ПП-19-0 (1943), ПП-19-ОК (1944-45)- всего 46; малый охотник пр. 199 (1954-55)- 52; тральщик, сторожевик КМ-2 и КМ-4 (-1941-45)- 207; БК-2 (1941)- 6; десантный К-ЗИС-5 (1941-45)- 128;</w:t>
      </w:r>
      <w:r w:rsidRPr="0044524F">
        <w:rPr>
          <w:rFonts w:ascii="Times New Roman" w:hAnsi="Times New Roman"/>
          <w:color w:val="000000" w:themeColor="text1"/>
          <w:sz w:val="16"/>
          <w:szCs w:val="16"/>
          <w:vertAlign w:val="superscript"/>
        </w:rPr>
        <w:t>115</w:t>
      </w:r>
      <w:r w:rsidRPr="0044524F">
        <w:rPr>
          <w:rFonts w:ascii="Times New Roman" w:hAnsi="Times New Roman"/>
          <w:color w:val="000000" w:themeColor="text1"/>
          <w:sz w:val="16"/>
          <w:szCs w:val="16"/>
        </w:rPr>
        <w:t xml:space="preserve"> катерный тральщик пр. Т351 (1949); ракетные: пр. 183Э переоборудованы из ТКА-14, -15 (1957)- 2, пр. 183Р (1959-65)- 26 и 30 переоборудовано по пр. 183РТР (по другим данным, всего </w:t>
      </w:r>
      <w:r w:rsidRPr="0044524F">
        <w:rPr>
          <w:rFonts w:ascii="Times New Roman" w:hAnsi="Times New Roman"/>
          <w:color w:val="000000" w:themeColor="text1"/>
          <w:sz w:val="16"/>
          <w:szCs w:val="16"/>
          <w:vertAlign w:val="subscript"/>
        </w:rPr>
        <w:t>60</w:t>
      </w:r>
      <w:r w:rsidR="000656DA" w:rsidRPr="0044524F">
        <w:rPr>
          <w:rFonts w:ascii="Times New Roman" w:hAnsi="Times New Roman"/>
          <w:color w:val="000000" w:themeColor="text1"/>
          <w:sz w:val="16"/>
          <w:szCs w:val="16"/>
        </w:rPr>
        <w:fldChar w:fldCharType="begin"/>
      </w:r>
      <w:r w:rsidR="000656DA" w:rsidRPr="0044524F">
        <w:rPr>
          <w:rFonts w:ascii="Times New Roman" w:hAnsi="Times New Roman"/>
          <w:color w:val="000000" w:themeColor="text1"/>
          <w:sz w:val="16"/>
          <w:szCs w:val="16"/>
        </w:rPr>
        <w:instrText xml:space="preserve">ref  HYPERLINK "http://www.aimazmfo"  \* MERGEFORMAT </w:instrText>
      </w:r>
      <w:r w:rsidR="000656DA"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lang w:val="en-US"/>
        </w:rPr>
        <w:t>www</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aimazmfo</w:t>
      </w:r>
      <w:r w:rsidR="000656DA" w:rsidRPr="0044524F">
        <w:rPr>
          <w:rFonts w:ascii="Times New Roman" w:hAnsi="Times New Roman"/>
          <w:color w:val="000000" w:themeColor="text1"/>
          <w:sz w:val="16"/>
          <w:szCs w:val="16"/>
          <w:lang w:val="en-US"/>
        </w:rPr>
        <w:fldChar w:fldCharType="end"/>
      </w:r>
      <w:r w:rsidRPr="0044524F">
        <w:rPr>
          <w:rFonts w:ascii="Times New Roman" w:hAnsi="Times New Roman"/>
          <w:color w:val="000000" w:themeColor="text1"/>
          <w:sz w:val="16"/>
          <w:szCs w:val="16"/>
          <w:vertAlign w:val="subscript"/>
        </w:rPr>
        <w:t>); щ 2</w:t>
      </w:r>
      <w:r w:rsidRPr="0044524F">
        <w:rPr>
          <w:rFonts w:ascii="Times New Roman" w:hAnsi="Times New Roman"/>
          <w:color w:val="000000" w:themeColor="text1"/>
          <w:sz w:val="16"/>
          <w:szCs w:val="16"/>
          <w:vertAlign w:val="subscript"/>
          <w:lang w:val="en-US"/>
        </w:rPr>
        <w:t>Q</w:t>
      </w:r>
      <w:r w:rsidRPr="0044524F">
        <w:rPr>
          <w:rFonts w:ascii="Times New Roman" w:hAnsi="Times New Roman"/>
          <w:color w:val="000000" w:themeColor="text1"/>
          <w:sz w:val="16"/>
          <w:szCs w:val="16"/>
          <w:vertAlign w:val="subscript"/>
        </w:rPr>
        <w:t>5 (1959</w:t>
      </w:r>
      <w:r w:rsidRPr="0044524F">
        <w:rPr>
          <w:rFonts w:ascii="Times New Roman" w:hAnsi="Times New Roman"/>
          <w:color w:val="000000" w:themeColor="text1"/>
          <w:sz w:val="16"/>
          <w:szCs w:val="16"/>
        </w:rPr>
        <w:t>_</w:t>
      </w:r>
      <w:r w:rsidRPr="0044524F">
        <w:rPr>
          <w:rFonts w:ascii="Times New Roman" w:hAnsi="Times New Roman"/>
          <w:color w:val="000000" w:themeColor="text1"/>
          <w:sz w:val="16"/>
          <w:szCs w:val="16"/>
          <w:vertAlign w:val="subscript"/>
        </w:rPr>
        <w:t>66)</w:t>
      </w:r>
      <w:r w:rsidRPr="0044524F">
        <w:rPr>
          <w:rFonts w:ascii="Times New Roman" w:hAnsi="Times New Roman"/>
          <w:color w:val="000000" w:themeColor="text1"/>
          <w:sz w:val="16"/>
          <w:szCs w:val="16"/>
        </w:rPr>
        <w:t xml:space="preserve">_ </w:t>
      </w:r>
      <w:r w:rsidRPr="0044524F">
        <w:rPr>
          <w:rFonts w:ascii="Times New Roman" w:hAnsi="Times New Roman"/>
          <w:color w:val="000000" w:themeColor="text1"/>
          <w:sz w:val="16"/>
          <w:szCs w:val="16"/>
          <w:vertAlign w:val="subscript"/>
        </w:rPr>
        <w:t>68? пр 2</w:t>
      </w:r>
      <w:r w:rsidRPr="0044524F">
        <w:rPr>
          <w:rFonts w:ascii="Times New Roman" w:hAnsi="Times New Roman"/>
          <w:color w:val="000000" w:themeColor="text1"/>
          <w:sz w:val="16"/>
          <w:szCs w:val="16"/>
        </w:rPr>
        <w:t>05У (1965-72)- 19 (по другим данным, всего 89); пр. 12411 «Молния-1» с ПКР «Термит» (1979-80)- 1, (1982)- 1, (1983)-1; пограничный пр. 205П (1967-89)- 111,</w:t>
      </w:r>
    </w:p>
    <w:p w14:paraId="6640D5C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экспериментальный пр. 205ПЭ (1970), экспортный пр. 02059 для Кубы и Кампучии (1984-89)- 8; искатель мин пр. 257Д (1961-65)- 20 (вместе с заводами 602 и 789); рабочие: бортовой КРМ-10 (1950), пр. 337; пограничные сторожевые пр. 1400, пр. 1400М, представительский пр. 1400А (1970-е)- 4, экспортный пр. 1400МЭ (1970-91)- всего более 200 (вместе с заводами «Море» и Батумским); баркас моторный БМ-16 (1949)- 1; телеуправляемая мишень пр. 1392 (1966-80); самоходные десантные баржи: типа Т-4м «Танкист», типа А-3 «Артиллерист» (1950- е); рейдовый тральщик пр. 1258 «Корунд» (1967)- 1; МРК: пр. 1234 «Буря» (01.1967-69), (-1981), пр. 1234.1 «Овод» («Бурун», 1977-91)- всего 30; экспортный пр. 1234Э для Индии «Ураган» ("</w:t>
      </w:r>
      <w:r w:rsidRPr="0044524F">
        <w:rPr>
          <w:rFonts w:ascii="Times New Roman" w:hAnsi="Times New Roman"/>
          <w:color w:val="000000" w:themeColor="text1"/>
          <w:sz w:val="16"/>
          <w:szCs w:val="16"/>
          <w:lang w:val="en-US"/>
        </w:rPr>
        <w:t>VijayDurg</w:t>
      </w:r>
      <w:r w:rsidRPr="0044524F">
        <w:rPr>
          <w:rFonts w:ascii="Times New Roman" w:hAnsi="Times New Roman"/>
          <w:color w:val="000000" w:themeColor="text1"/>
          <w:sz w:val="16"/>
          <w:szCs w:val="16"/>
        </w:rPr>
        <w:t>"), «Прибой» ("</w:t>
      </w:r>
      <w:r w:rsidRPr="0044524F">
        <w:rPr>
          <w:rFonts w:ascii="Times New Roman" w:hAnsi="Times New Roman"/>
          <w:color w:val="000000" w:themeColor="text1"/>
          <w:sz w:val="16"/>
          <w:szCs w:val="16"/>
          <w:lang w:val="en-US"/>
        </w:rPr>
        <w:t>SihdhuDurg</w:t>
      </w:r>
      <w:r w:rsidRPr="0044524F">
        <w:rPr>
          <w:rFonts w:ascii="Times New Roman" w:hAnsi="Times New Roman"/>
          <w:color w:val="000000" w:themeColor="text1"/>
          <w:sz w:val="16"/>
          <w:szCs w:val="16"/>
        </w:rPr>
        <w:t>"), «Прилив» ("</w:t>
      </w:r>
      <w:r w:rsidRPr="0044524F">
        <w:rPr>
          <w:rFonts w:ascii="Times New Roman" w:hAnsi="Times New Roman"/>
          <w:color w:val="000000" w:themeColor="text1"/>
          <w:sz w:val="16"/>
          <w:szCs w:val="16"/>
          <w:lang w:val="en-US"/>
        </w:rPr>
        <w:t>HosDurg</w:t>
      </w:r>
      <w:r w:rsidRPr="0044524F">
        <w:rPr>
          <w:rFonts w:ascii="Times New Roman" w:hAnsi="Times New Roman"/>
          <w:color w:val="000000" w:themeColor="text1"/>
          <w:sz w:val="16"/>
          <w:szCs w:val="16"/>
        </w:rPr>
        <w:t>"), для Алжира МРК-21 ("</w:t>
      </w:r>
      <w:r w:rsidRPr="0044524F">
        <w:rPr>
          <w:rFonts w:ascii="Times New Roman" w:hAnsi="Times New Roman"/>
          <w:color w:val="000000" w:themeColor="text1"/>
          <w:sz w:val="16"/>
          <w:szCs w:val="16"/>
          <w:lang w:val="en-US"/>
        </w:rPr>
        <w:t>RasHamidou</w:t>
      </w:r>
      <w:r w:rsidRPr="0044524F">
        <w:rPr>
          <w:rFonts w:ascii="Times New Roman" w:hAnsi="Times New Roman"/>
          <w:color w:val="000000" w:themeColor="text1"/>
          <w:sz w:val="16"/>
          <w:szCs w:val="16"/>
        </w:rPr>
        <w:t>"), МРК-22 ("</w:t>
      </w:r>
      <w:r w:rsidRPr="0044524F">
        <w:rPr>
          <w:rFonts w:ascii="Times New Roman" w:hAnsi="Times New Roman"/>
          <w:color w:val="000000" w:themeColor="text1"/>
          <w:sz w:val="16"/>
          <w:szCs w:val="16"/>
          <w:lang w:val="en-US"/>
        </w:rPr>
        <w:t>ReisAli</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val="en-US"/>
        </w:rPr>
        <w:t>MPK</w:t>
      </w:r>
      <w:r w:rsidRPr="0044524F">
        <w:rPr>
          <w:rFonts w:ascii="Times New Roman" w:hAnsi="Times New Roman"/>
          <w:color w:val="000000" w:themeColor="text1"/>
          <w:sz w:val="16"/>
          <w:szCs w:val="16"/>
        </w:rPr>
        <w:t>-23 ("</w:t>
      </w:r>
      <w:r w:rsidRPr="0044524F">
        <w:rPr>
          <w:rFonts w:ascii="Times New Roman" w:hAnsi="Times New Roman"/>
          <w:color w:val="000000" w:themeColor="text1"/>
          <w:sz w:val="16"/>
          <w:szCs w:val="16"/>
          <w:lang w:val="en-US"/>
        </w:rPr>
        <w:t>SalahReis</w:t>
      </w:r>
      <w:r w:rsidRPr="0044524F">
        <w:rPr>
          <w:rFonts w:ascii="Times New Roman" w:hAnsi="Times New Roman"/>
          <w:color w:val="000000" w:themeColor="text1"/>
          <w:sz w:val="16"/>
          <w:szCs w:val="16"/>
        </w:rPr>
        <w:t xml:space="preserve">"), для Ливии </w:t>
      </w:r>
      <w:r w:rsidRPr="0044524F">
        <w:rPr>
          <w:rFonts w:ascii="Times New Roman" w:hAnsi="Times New Roman"/>
          <w:color w:val="000000" w:themeColor="text1"/>
          <w:sz w:val="16"/>
          <w:szCs w:val="16"/>
          <w:lang w:val="en-US"/>
        </w:rPr>
        <w:t>MPK</w:t>
      </w:r>
      <w:r w:rsidRPr="0044524F">
        <w:rPr>
          <w:rFonts w:ascii="Times New Roman" w:hAnsi="Times New Roman"/>
          <w:color w:val="000000" w:themeColor="text1"/>
          <w:sz w:val="16"/>
          <w:szCs w:val="16"/>
        </w:rPr>
        <w:t>-9 ("</w:t>
      </w:r>
      <w:r w:rsidRPr="0044524F">
        <w:rPr>
          <w:rFonts w:ascii="Times New Roman" w:hAnsi="Times New Roman"/>
          <w:color w:val="000000" w:themeColor="text1"/>
          <w:sz w:val="16"/>
          <w:szCs w:val="16"/>
          <w:lang w:val="en-US"/>
        </w:rPr>
        <w:t>EanMara</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val="en-US"/>
        </w:rPr>
        <w:t>MPK</w:t>
      </w:r>
      <w:r w:rsidRPr="0044524F">
        <w:rPr>
          <w:rFonts w:ascii="Times New Roman" w:hAnsi="Times New Roman"/>
          <w:color w:val="000000" w:themeColor="text1"/>
          <w:sz w:val="16"/>
          <w:szCs w:val="16"/>
        </w:rPr>
        <w:t>-15 ("</w:t>
      </w:r>
      <w:r w:rsidRPr="0044524F">
        <w:rPr>
          <w:rFonts w:ascii="Times New Roman" w:hAnsi="Times New Roman"/>
          <w:color w:val="000000" w:themeColor="text1"/>
          <w:sz w:val="16"/>
          <w:szCs w:val="16"/>
          <w:lang w:val="en-US"/>
        </w:rPr>
        <w:t>EanZaquit</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val="en-US"/>
        </w:rPr>
        <w:t>MPK</w:t>
      </w:r>
      <w:r w:rsidRPr="0044524F">
        <w:rPr>
          <w:rFonts w:ascii="Times New Roman" w:hAnsi="Times New Roman"/>
          <w:color w:val="000000" w:themeColor="text1"/>
          <w:sz w:val="16"/>
          <w:szCs w:val="16"/>
        </w:rPr>
        <w:t>-24 ("</w:t>
      </w:r>
      <w:r w:rsidRPr="0044524F">
        <w:rPr>
          <w:rFonts w:ascii="Times New Roman" w:hAnsi="Times New Roman"/>
          <w:color w:val="000000" w:themeColor="text1"/>
          <w:sz w:val="16"/>
          <w:szCs w:val="16"/>
          <w:lang w:val="en-US"/>
        </w:rPr>
        <w:t>EanA</w:t>
      </w:r>
      <w:r w:rsidRPr="0044524F">
        <w:rPr>
          <w:rFonts w:ascii="Times New Roman" w:hAnsi="Times New Roman"/>
          <w:color w:val="000000" w:themeColor="text1"/>
          <w:sz w:val="16"/>
          <w:szCs w:val="16"/>
        </w:rPr>
        <w:t xml:space="preserve">1 </w:t>
      </w:r>
      <w:r w:rsidRPr="0044524F">
        <w:rPr>
          <w:rFonts w:ascii="Times New Roman" w:hAnsi="Times New Roman"/>
          <w:color w:val="000000" w:themeColor="text1"/>
          <w:sz w:val="16"/>
          <w:szCs w:val="16"/>
          <w:lang w:val="en-US"/>
        </w:rPr>
        <w:t>Gazala</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val="en-US"/>
        </w:rPr>
        <w:t>MPK</w:t>
      </w:r>
      <w:r w:rsidRPr="0044524F">
        <w:rPr>
          <w:rFonts w:ascii="Times New Roman" w:hAnsi="Times New Roman"/>
          <w:color w:val="000000" w:themeColor="text1"/>
          <w:sz w:val="16"/>
          <w:szCs w:val="16"/>
        </w:rPr>
        <w:t>-25 ("</w:t>
      </w:r>
      <w:r w:rsidRPr="0044524F">
        <w:rPr>
          <w:rFonts w:ascii="Times New Roman" w:hAnsi="Times New Roman"/>
          <w:color w:val="000000" w:themeColor="text1"/>
          <w:sz w:val="16"/>
          <w:szCs w:val="16"/>
          <w:lang w:val="en-US"/>
        </w:rPr>
        <w:t>EanZara</w:t>
      </w:r>
      <w:r w:rsidRPr="0044524F">
        <w:rPr>
          <w:rFonts w:ascii="Times New Roman" w:hAnsi="Times New Roman"/>
          <w:color w:val="000000" w:themeColor="text1"/>
          <w:sz w:val="16"/>
          <w:szCs w:val="16"/>
        </w:rPr>
        <w:t>") (1976-84)- 10;</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xml:space="preserve"> пр. 1240 «Ураган» (1972-76)- 1; БРК пр. 12411 «Молния»; ПСКР: пр. 10410 «Светляк» (1989-92), (-05.1999)- 1, (-05.2000)- 1, «Алмаз» (-06.2001), «Ямалец» (2004), зак. № 310 (2000-е)- всего 10; пр. 10412 «Светляк» для Вьетнама (-08.2002)-1, (-09.2002)- 1; пр. 22460 (зак. № 501, 09.2007-); ПКА пр. 12200 «Соболь» (01.2003-2006)- 1, для Туркменистана (-09.2008)- 2; СВП: десантно-штурмовые пр. 1205 «Скат» (1969- 76)- 27 (вместе с заводами 340 и 831); пр. 1206 «Кальмар» (1972-85)- 2 (площадка № 2); МДК пр. 1232 «Джейран» (1970-85)- 20 (из них 19 - на площадке № 2), пр. 12322 «Зубр» (1983-91; 1998)- 6 (площадка № 2), пр. 12322Э для Греции «Кефаллиния» (05-10.2000), «Закинтос» (зак. № 107, -05.2001), «Керкир» (01.2003-06.2004)- 1; лоцманское судно-амфибия пр. 14661 «Рысь» (-12.1998)- 1; пассажирское пр. 15063 «Ирбис» (10.2003-2004); малый артиллерийский корабль пр. 21630 «Буян» «Астрахань» (01.2004-03.2006), «Каспийск» (02.2005-), «Махачкала (03.2006-); правительственные яхты: пр. 360 (1960-63)- 4, пр. 1360 «Кавказ», «Крым» (1978-79г.)- 2; катера: прогулочный пр. 370У (1950-е), пассажирский на ПК пр. 1233 «Тайфун» (1969), типа </w:t>
      </w:r>
      <w:r w:rsidRPr="0044524F">
        <w:rPr>
          <w:rFonts w:ascii="Times New Roman" w:hAnsi="Times New Roman"/>
          <w:color w:val="000000" w:themeColor="text1"/>
          <w:sz w:val="16"/>
          <w:szCs w:val="16"/>
          <w:lang w:val="en-US"/>
        </w:rPr>
        <w:t>SeaHorse</w:t>
      </w:r>
      <w:r w:rsidRPr="0044524F">
        <w:rPr>
          <w:rFonts w:ascii="Times New Roman" w:hAnsi="Times New Roman"/>
          <w:color w:val="000000" w:themeColor="text1"/>
          <w:sz w:val="16"/>
          <w:szCs w:val="16"/>
        </w:rPr>
        <w:t xml:space="preserve"> (1998)- 1, многоцелевой рабочий пр. «Алмаз-11900» (-06.1999)- 1; лоцманский пр. АР-1600 «Лоцман Сажин» (-10.1998), (-09.1999)- 1; судно экологического мониторинга пр. 16220 «Экопатруль-1 (1995), -2 (1990-е), -3» (1990-е); природоохранное судно пр. 23107Э «Россия» (1999); морской испытательный комплекс пр. Р2030 для НПП «Радар-ММС» (2005), таможенное судно пр. Р-2030Т ТС-596 (-2007); буксир-ледокол пр. 2805 «Невская застава» (2007-10.2009); яхты: пр. «Алмаз-53» (1990-е)- несколько шт., крейсерская пр. СТ-1400 (-08.1999)- 1;</w:t>
      </w:r>
    </w:p>
    <w:p w14:paraId="605516B1"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кровати, журнальные и сервировочные столики (1980-е); рассадопосадочные машины (1990-е); опытные вагоны для скоростного поезда «Сокол-250» (1990-е); плавучий фонтанный комплекс для Санкт-Петербурга (2006);</w:t>
      </w:r>
    </w:p>
    <w:p w14:paraId="3B546C60" w14:textId="77777777" w:rsidR="00474353" w:rsidRPr="0044524F" w:rsidRDefault="0047435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переоборудование: торпедного катера ТД-200бис подводным крылом ЦАГИ (1950-е); модернизация президентской яхты пр. 1360 «Кавказ» (принадлежавшей ранее Л.И. Брежневу, 11.2001-05.2002); теплохода «Ласточка» в яхту «Лаймарита» (-06.2000) (11982).</w:t>
      </w:r>
    </w:p>
    <w:p w14:paraId="30CE842E" w14:textId="387FD3CB" w:rsidR="00DF064F" w:rsidRPr="0044524F" w:rsidRDefault="00DF064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AECD9B5" w14:textId="335DE9B5" w:rsidR="000D2C28" w:rsidRPr="0044524F" w:rsidRDefault="000D2C28" w:rsidP="009654CF">
      <w:pPr>
        <w:autoSpaceDE w:val="0"/>
        <w:autoSpaceDN w:val="0"/>
        <w:adjustRightInd w:val="0"/>
        <w:spacing w:after="0" w:line="240" w:lineRule="auto"/>
        <w:jc w:val="both"/>
        <w:rPr>
          <w:rFonts w:ascii="Times New Roman" w:hAnsi="Times New Roman"/>
          <w:i/>
          <w:color w:val="000000" w:themeColor="text1"/>
          <w:sz w:val="16"/>
          <w:szCs w:val="16"/>
        </w:rPr>
      </w:pPr>
      <w:r w:rsidRPr="0044524F">
        <w:rPr>
          <w:rFonts w:ascii="Times New Roman" w:hAnsi="Times New Roman"/>
          <w:i/>
          <w:color w:val="000000" w:themeColor="text1"/>
          <w:sz w:val="16"/>
          <w:szCs w:val="16"/>
        </w:rPr>
        <w:t>Армия:</w:t>
      </w:r>
    </w:p>
    <w:p w14:paraId="491ED033" w14:textId="77777777" w:rsidR="000D2C28" w:rsidRPr="0044524F" w:rsidRDefault="000D2C28" w:rsidP="009654CF">
      <w:pPr>
        <w:autoSpaceDE w:val="0"/>
        <w:autoSpaceDN w:val="0"/>
        <w:adjustRightInd w:val="0"/>
        <w:spacing w:after="0" w:line="240" w:lineRule="auto"/>
        <w:jc w:val="both"/>
        <w:rPr>
          <w:rFonts w:ascii="Times New Roman" w:hAnsi="Times New Roman"/>
          <w:i/>
          <w:color w:val="000000" w:themeColor="text1"/>
          <w:sz w:val="16"/>
          <w:szCs w:val="16"/>
        </w:rPr>
      </w:pPr>
    </w:p>
    <w:p w14:paraId="0608C138"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г.</w:t>
      </w:r>
    </w:p>
    <w:p w14:paraId="18E93127"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ОО ОГПУ</w:t>
      </w:r>
    </w:p>
    <w:p w14:paraId="450F544C"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вскрытых к.-р. организациях в армии</w:t>
      </w:r>
    </w:p>
    <w:p w14:paraId="7821CB1C"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г.</w:t>
      </w:r>
    </w:p>
    <w:p w14:paraId="4379F9C4"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секретно</w:t>
      </w:r>
    </w:p>
    <w:p w14:paraId="396FB323"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Внутренняя контрреволюция (Офицерство)</w:t>
      </w:r>
    </w:p>
    <w:p w14:paraId="0D3824E1"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ОО ОГПУ в Москве ликвидирован ряд к.-р. офицерских диверсионно-вредительских и повстанческих организаций, ставящих своей целью реставрацию буржуазного строя в стране (Организация офицеров-кавалеристов, Организация офицеров-артиллеристов, Организация офицеров -колчаковцев, Организация бывших офицеров народной армии, [Организация] Самарского учредительного собрания, Организация евразийцев и др.). Организации строились по принципу привлечения в свои ряды бывших однополчан, однобригадников и однокашников, имели разветвленную периферию в различных городах Союза, носили массовый характер и образовывались на началах использования широких людских резервов, включая сюда беглое и репрессированное кулачество, для создания из него боевых повстанческих отрядов.</w:t>
      </w:r>
    </w:p>
    <w:p w14:paraId="3DEB7313"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прикрытия для работы по собиранию и стягиванию единомышленников организациями использовались школы и учреждения Осоавиахима и подсобные аппараты Наркомзема, и отдельные крупные заводы (Госконебракераж, Заготконь, Коневодтрест, завод «б. Леисс», завод им. т. Сталина, кавшкола и манеж Осоавиахима, строительство Красного стадиона как в центре, так и на периферии.</w:t>
      </w:r>
    </w:p>
    <w:p w14:paraId="0CAA879B"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установки организацией сводились:</w:t>
      </w:r>
    </w:p>
    <w:p w14:paraId="052107C6"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 вредительству и диверсии по месту службы;</w:t>
      </w:r>
    </w:p>
    <w:p w14:paraId="5F33EED3"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к проведению террора над представителями партии и власти; </w:t>
      </w:r>
    </w:p>
    <w:p w14:paraId="665E01D2"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к проникновению в ряды РККА для создания повстанческих кадров и разложения армии; 4) к подготовке вооруженных восстаний в момент войны;</w:t>
      </w:r>
    </w:p>
    <w:p w14:paraId="3F78C814"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к шпионажу в пользу противника.</w:t>
      </w:r>
    </w:p>
    <w:p w14:paraId="17A08B99"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Отдельные организации были связаны с закордонными белоэмигрантскими центрами и иностранными разведками (немецкой разведкой и РОВСом, кадетской партией). По делам арестовано 149 человек.</w:t>
      </w:r>
    </w:p>
    <w:p w14:paraId="05182861"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Шпионаж</w:t>
      </w:r>
    </w:p>
    <w:p w14:paraId="0AD1C2C5"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Французская линия</w:t>
      </w:r>
    </w:p>
    <w:p w14:paraId="2C29B584"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Ликвидирована французская разведывательная сеть, представленная резидентом французского генштаба проф. Понсом, преподавателем ряда гражданских и военных школ и вузов г. Москвы. Работой Понса руководили периодически приезжавшие в СССР под видом научных командировок профессора-ориенталисты Мазон и Мартель.</w:t>
      </w:r>
    </w:p>
    <w:p w14:paraId="57255A66"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собирания сведений по линии военного и политического шпионажа (авиация, флот, береговая оборона, артиллерия, техника), центральное место в работе резидентуры уделялось установлению связей с украинскими националистическими организациями для подготовки плацдарма и развертывания повстанческого движения на Украине (в прошлом - связь с «СВУ»), Одновременно, как Мазон и Мартель, так и Понс, были связаны с другой к.-р. организаций под названием «Союз Возрождения России», объединявшей инженерно-техническую интеллигенцию и профессуру ряда вузов Москвы, Харькова, Киева и Одессы.</w:t>
      </w:r>
    </w:p>
    <w:p w14:paraId="4F09E5E7"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Арестованы: 9 человек агентов Мазона и Мартеля и сеть Понса в составе 13 человек.</w:t>
      </w:r>
    </w:p>
    <w:p w14:paraId="49C5A982"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Польская линия</w:t>
      </w:r>
    </w:p>
    <w:p w14:paraId="3F04AADB"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Ликвидирована в Москве сеть польского военного атташата, ряд агентов нелегальных резидентур и связей 2-го отдела поль[ского] генштаба. </w:t>
      </w:r>
    </w:p>
    <w:p w14:paraId="311B6A1A"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Полученные следственные материалы показывают, что вскрытая шпионская сеть атташата (дела «Знатные», «Орлы», «Жук», «Переправа») строилась главным образом на внедрении агентуры в основные точки военной промышленности (авиационные заводы, Завод № 176 и Завод им. Сталина).</w:t>
      </w:r>
    </w:p>
    <w:p w14:paraId="03C2396C"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этим ликвидированы связи атташата среди комсостава конвойной стражи. Нелегальная резидентура 2-го отдела ПГШ в Москве характеризует как метод работы польской разведки переключение провокаторов внутри компартии Польши на шпионскую работу в СССР путем переброски их под видом политэмигрантов.</w:t>
      </w:r>
    </w:p>
    <w:p w14:paraId="4D218CC5"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эти отмечается использование потребностей в рабочей силе на военных строительствах для внедрения шпионско-диверсионной агентуры в стратегическом и оборонном строительстве (дело поль[ского] агента на строительстве Монинского аэродрома).</w:t>
      </w:r>
    </w:p>
    <w:p w14:paraId="1B2245AC"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Национальная контрреволюция</w:t>
      </w:r>
    </w:p>
    <w:p w14:paraId="0CD7A4BD"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Ликвидирован в Москве по указаниям ОО на периферии (Татария, Башкирия, Крым, Туркмения, Западная Сибирь) ряд к.-р. националистических повстанческих организаций, связанных с закордонными белоэмигрантскими и иностранными разведками (дело «Сибирские тюрки», «Туркмен Азатлыги», «Софин-федералисты», «Ислам-диктовка», «Крестьянский Иттифак») и подготовлявших восстание под лозунгом образования самостоятельных национальных буржуазно-демократических государств.</w:t>
      </w:r>
    </w:p>
    <w:p w14:paraId="47D7A48D"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Организации имели широко разветвленную периферию и строились на началах захвата в свои руки советского, хозяйственного и, отчасти, партийного аппарата города и села. Основная ставка делалась на привлечение в свои ряды контрреволюционно-настроенной интеллигенции, бывших людей и, главным образом, зажиточной и кулацкой части деревни.</w:t>
      </w:r>
    </w:p>
    <w:p w14:paraId="36D09069"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Связь с иностранными разведками определяла практическую работу организаций, приурочивающих сроки восстаний к началу войны и планы действий, заключающиеся в захвате Сибирской магистрали (японская ориентация - сибирские тюрки), в лишении Союза хлопководческих и нефтяных районов (Англия-Туркмения), в перерезывании ж.-д. путей, соединяющих европейскую часть Союза с Сибирью (Полына-Башкирия-Татария), в проведении диверсий на заводах и фабриках оборонного значения (Финляндия-Горькрай) и в практике массового террора над представителями партии и власти. Отдельные организации устанавливали связи с аналогичными к.-р. образованиями в смежных национальных областях для создания единого фронта. По делам арестовано 350 человек.</w:t>
      </w:r>
    </w:p>
    <w:p w14:paraId="7A40E827"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ОО ОГПУ</w:t>
      </w:r>
    </w:p>
    <w:p w14:paraId="27172278"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Гай</w:t>
      </w:r>
    </w:p>
    <w:p w14:paraId="3D922AA3"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 2. Оп. 11. Д. 1026. Л. 64-67. Подлинник.</w:t>
      </w:r>
    </w:p>
    <w:p w14:paraId="2B7A8F46" w14:textId="77777777" w:rsidR="000D2C28" w:rsidRPr="0044524F" w:rsidRDefault="000D2C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документе имеется помета: «т. Агасу» (20769).</w:t>
      </w:r>
    </w:p>
    <w:p w14:paraId="17D74507" w14:textId="77777777" w:rsidR="000D2C28" w:rsidRPr="0044524F" w:rsidRDefault="000D2C28" w:rsidP="009654CF">
      <w:pPr>
        <w:spacing w:after="0" w:line="240" w:lineRule="auto"/>
        <w:jc w:val="both"/>
        <w:rPr>
          <w:rFonts w:ascii="Times New Roman" w:hAnsi="Times New Roman"/>
          <w:color w:val="000000" w:themeColor="text1"/>
          <w:sz w:val="16"/>
          <w:szCs w:val="16"/>
        </w:rPr>
      </w:pPr>
    </w:p>
    <w:p w14:paraId="7DB1A25D" w14:textId="77777777" w:rsidR="00F277B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2AEB8D5" w14:textId="77777777" w:rsidR="00F277B1" w:rsidRPr="0044524F" w:rsidRDefault="00F277B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3F57E59" w14:textId="77777777" w:rsidR="00DF064F" w:rsidRPr="0044524F" w:rsidRDefault="00DF064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21 марта</w:t>
      </w:r>
      <w:r w:rsidRPr="0044524F">
        <w:rPr>
          <w:rFonts w:ascii="Times New Roman" w:hAnsi="Times New Roman"/>
          <w:color w:val="000000" w:themeColor="text1"/>
          <w:sz w:val="16"/>
          <w:szCs w:val="16"/>
        </w:rPr>
        <w:t xml:space="preserve"> в 1933 году состоялся первый полет прототипа английского легкого торпедоносца «Fairey» «S.9/30» («TSR.1»). Уже после первых полетов самолет получил новый двигатель - девятицилиндровый воздушного охлаждения «Bristol Pegasus» «IIM» мощностью 635 л.с. После чего ему было присвоено обозначение «TSR.1» («Torpedo-Spotter-Reconnaissance»). 11 сентября 1933 года в ходе испытательного полета самолет вошел в самопроизвольное вращение и разбился. Было решено не восстанавливать самолет, а создать новую версию – «TSR.II», ставшим впоследствии знаменитым «Swordfish» (15075).</w:t>
      </w:r>
    </w:p>
    <w:p w14:paraId="1BFCF44D" w14:textId="77777777" w:rsidR="00DF064F" w:rsidRPr="0044524F" w:rsidRDefault="00DF064F" w:rsidP="009654CF">
      <w:pPr>
        <w:spacing w:after="0" w:line="240" w:lineRule="auto"/>
        <w:jc w:val="both"/>
        <w:rPr>
          <w:rFonts w:ascii="Times New Roman" w:hAnsi="Times New Roman"/>
          <w:color w:val="000000" w:themeColor="text1"/>
          <w:sz w:val="16"/>
          <w:szCs w:val="16"/>
        </w:rPr>
      </w:pPr>
    </w:p>
    <w:p w14:paraId="5234EAE3"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March 21 1933 First concentration camp opened at Oranienburg outside Berlin (1050).</w:t>
      </w:r>
    </w:p>
    <w:p w14:paraId="5323FA27"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lang w:val="en-US"/>
        </w:rPr>
      </w:pPr>
    </w:p>
    <w:p w14:paraId="26409564"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в Ораниенбауме под Берлином открылся первый концлагерь (1050).</w:t>
      </w:r>
    </w:p>
    <w:p w14:paraId="16AFF466"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773FA313"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марта 1933 был открыт первый нацистский парламент на церемонии в церкви в Потсдаме (3481).</w:t>
      </w:r>
    </w:p>
    <w:p w14:paraId="5F600EAE"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03200FF1" w14:textId="77777777" w:rsidR="00DF064F" w:rsidRPr="0044524F" w:rsidRDefault="00DF064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21 марта</w:t>
      </w:r>
      <w:r w:rsidRPr="0044524F">
        <w:rPr>
          <w:rFonts w:ascii="Times New Roman" w:hAnsi="Times New Roman"/>
          <w:color w:val="000000" w:themeColor="text1"/>
          <w:sz w:val="16"/>
          <w:szCs w:val="16"/>
        </w:rPr>
        <w:t xml:space="preserve"> в 1933 году первый Нацистский парламент Германии официально был открыт на церемонии в гарнизонной церкви в Потсдаме (15075).</w:t>
      </w:r>
    </w:p>
    <w:p w14:paraId="00104528" w14:textId="77777777" w:rsidR="00DF064F" w:rsidRPr="0044524F" w:rsidRDefault="00DF064F" w:rsidP="009654CF">
      <w:pPr>
        <w:spacing w:after="0" w:line="240" w:lineRule="auto"/>
        <w:jc w:val="both"/>
        <w:rPr>
          <w:rFonts w:ascii="Times New Roman" w:hAnsi="Times New Roman"/>
          <w:color w:val="000000" w:themeColor="text1"/>
          <w:sz w:val="16"/>
          <w:szCs w:val="16"/>
        </w:rPr>
      </w:pPr>
    </w:p>
    <w:p w14:paraId="0B39B048" w14:textId="77777777" w:rsidR="00F277B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F2C6CBA" w14:textId="77777777" w:rsidR="00F277B1" w:rsidRPr="0044524F" w:rsidRDefault="00F277B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653FBBE"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марта 1933 состоялось заседание у нач. ЦАГИ Харламова:</w:t>
      </w:r>
    </w:p>
    <w:p w14:paraId="7EED73D9"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 О выходе самолетов на испытания</w:t>
      </w:r>
    </w:p>
    <w:p w14:paraId="76824523"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w:t>
      </w:r>
    </w:p>
    <w:p w14:paraId="7EA352E9"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ТБ-4 запоздал выходом на аэродром на 5 месяцев вследствие отсутствия моторов. В полет выйдет не позже 15 мая.</w:t>
      </w:r>
    </w:p>
    <w:p w14:paraId="5AB0B6F2"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МИ-3 2М-34 - причина запоздания - позднее получение моторов. Самолет выйдет на заводские испытания не позже 15 мая</w:t>
      </w:r>
    </w:p>
    <w:p w14:paraId="486736F5"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И-14 с иностранным мотором. Самолет в производстве. Готовность - 75%. Самолет выйдет на заводские испытания не позже 1 мая.</w:t>
      </w:r>
    </w:p>
    <w:p w14:paraId="3AB43510"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4. И-14 с М-38 или 58. При условии получения одного из указанных моторов не позже 1 мая, самолет выйдет на аэродром 1 сентября 1933. Срок УВВС 1 августа 1933 - неприемлем.</w:t>
      </w:r>
    </w:p>
    <w:p w14:paraId="2E647B68"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МДР-4. Самолет может быть выпущен на заводские испытания через 10 месяцев по согласованию ТТ и при условии получения мотора М-34Р</w:t>
      </w:r>
    </w:p>
    <w:p w14:paraId="5FDF2164"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МБР-2. Разрабатывается пассажирский вариант.</w:t>
      </w:r>
    </w:p>
    <w:p w14:paraId="0E10E6A7"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Все самолеты выходят:</w:t>
      </w:r>
    </w:p>
    <w:p w14:paraId="396D48AB"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без радиооборудования</w:t>
      </w:r>
    </w:p>
    <w:p w14:paraId="3089A436"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без фотооборудования." (2292,142).</w:t>
      </w:r>
    </w:p>
    <w:p w14:paraId="2B6D6829"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1F41BDBF"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марта 1933 года представитель Аэрофлота Филиппович писал письмо начальнику ГУГВФ Гольцману, начальнику Снабаэрофлота ГУГВФ Онефатеру, начальнику ОВЗ НКВТ Гиттису, начальнику иноотлела УВВС Федорову, начальнику инженерного отдела торгпредства СССР в Италии Сучкову.</w:t>
      </w:r>
    </w:p>
    <w:p w14:paraId="3818FB7D"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Результаты испытаний нашего первого С-55.</w:t>
      </w:r>
    </w:p>
    <w:p w14:paraId="3174BF9B"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марта с.г. были закончены полетные испытания нашего первого самолета С-55.</w:t>
      </w:r>
    </w:p>
    <w:p w14:paraId="66E764F0"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гидросамолет С-55, который ожидается к испытаниям в самом конце этого месяца, намечен мной для более полных испытаний (согласно наших технических условий). Этот гидросамолет будет первым (из 4-х) с килеватыми лодками.</w:t>
      </w:r>
    </w:p>
    <w:p w14:paraId="56183DE7"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проведенном испытании имела место некоторая авария моторов, выразившаяся в том, что перегорели обогреватели карбюраторов в силу недостаточно хорошего материала и несоответствия примененной на этот раз электросварки.</w:t>
      </w:r>
    </w:p>
    <w:p w14:paraId="7B0BA446"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обогреватели будут фирмой Изота Фраскини заменены. (3029,172-176).</w:t>
      </w:r>
    </w:p>
    <w:p w14:paraId="08AA1E13"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7D1C6914" w14:textId="77777777" w:rsidR="00F7433B" w:rsidRPr="0044524F" w:rsidRDefault="00F7433B"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22 марта 1933 года была создана агитаци</w:t>
      </w:r>
      <w:r w:rsidRPr="0044524F">
        <w:rPr>
          <w:rFonts w:ascii="Times New Roman" w:hAnsi="Times New Roman"/>
          <w:color w:val="000000" w:themeColor="text1"/>
          <w:sz w:val="16"/>
          <w:szCs w:val="16"/>
          <w:lang w:eastAsia="ru-RU" w:bidi="ru-RU"/>
        </w:rPr>
        <w:softHyphen/>
        <w:t>онная эскадрилья имени М.Горького и действовала вплоть до 1939 го</w:t>
      </w:r>
      <w:r w:rsidRPr="0044524F">
        <w:rPr>
          <w:rFonts w:ascii="Times New Roman" w:hAnsi="Times New Roman"/>
          <w:color w:val="000000" w:themeColor="text1"/>
          <w:sz w:val="16"/>
          <w:szCs w:val="16"/>
          <w:lang w:eastAsia="ru-RU" w:bidi="ru-RU"/>
        </w:rPr>
        <w:softHyphen/>
        <w:t>да. С именем собственным «Известия ЦИК» Сталь-2 первым вошел в состав эскадрильи. Эскадрилья им. Горького была весьма необычным об</w:t>
      </w:r>
      <w:r w:rsidRPr="0044524F">
        <w:rPr>
          <w:rFonts w:ascii="Times New Roman" w:hAnsi="Times New Roman"/>
          <w:color w:val="000000" w:themeColor="text1"/>
          <w:sz w:val="16"/>
          <w:szCs w:val="16"/>
          <w:lang w:eastAsia="ru-RU" w:bidi="ru-RU"/>
        </w:rPr>
        <w:softHyphen/>
        <w:t>разованием, можно предположить, что даже само ее появление предназначалось для повышения значимости гражданского воздушного флота, а не только для агитаци</w:t>
      </w:r>
      <w:r w:rsidRPr="0044524F">
        <w:rPr>
          <w:rFonts w:ascii="Times New Roman" w:hAnsi="Times New Roman"/>
          <w:color w:val="000000" w:themeColor="text1"/>
          <w:sz w:val="16"/>
          <w:szCs w:val="16"/>
          <w:lang w:eastAsia="ru-RU" w:bidi="ru-RU"/>
        </w:rPr>
        <w:softHyphen/>
        <w:t>онных полетов.</w:t>
      </w:r>
    </w:p>
    <w:p w14:paraId="45F81CAD" w14:textId="77777777" w:rsidR="00F7433B" w:rsidRPr="0044524F" w:rsidRDefault="00F7433B"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 xml:space="preserve">Поначалу в эскадрилью вошли АНТ-14, АНТ-9, К-5, Сталь-2 и У-2. На всех этих самолетах, за исключением </w:t>
      </w:r>
      <w:r w:rsidRPr="0044524F">
        <w:rPr>
          <w:rFonts w:ascii="Times New Roman" w:hAnsi="Times New Roman"/>
          <w:color w:val="000000" w:themeColor="text1"/>
          <w:sz w:val="16"/>
          <w:szCs w:val="16"/>
          <w:lang w:val="en-US" w:bidi="en-US"/>
        </w:rPr>
        <w:t>URSS</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 xml:space="preserve">800, </w:t>
      </w:r>
      <w:r w:rsidRPr="0044524F">
        <w:rPr>
          <w:rFonts w:ascii="Times New Roman" w:hAnsi="Times New Roman"/>
          <w:color w:val="000000" w:themeColor="text1"/>
          <w:sz w:val="16"/>
          <w:szCs w:val="16"/>
          <w:lang w:eastAsia="ru-RU" w:bidi="ru-RU"/>
        </w:rPr>
        <w:t xml:space="preserve">опознавательные знаки отличались буквами «СССР», написанными кириллицей, но с латинской литерой </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lang w:eastAsia="ru-RU" w:bidi="ru-RU"/>
        </w:rPr>
        <w:t xml:space="preserve">Лишь флагман эскадрильи АНТ-14, предполагавшийся </w:t>
      </w:r>
      <w:r w:rsidRPr="0044524F">
        <w:rPr>
          <w:rFonts w:ascii="Times New Roman" w:hAnsi="Times New Roman"/>
          <w:color w:val="000000" w:themeColor="text1"/>
          <w:sz w:val="16"/>
          <w:szCs w:val="16"/>
        </w:rPr>
        <w:t>для международных полетов, позднее сменил опознаватель</w:t>
      </w:r>
      <w:r w:rsidRPr="0044524F">
        <w:rPr>
          <w:rFonts w:ascii="Times New Roman" w:hAnsi="Times New Roman"/>
          <w:color w:val="000000" w:themeColor="text1"/>
          <w:sz w:val="16"/>
          <w:szCs w:val="16"/>
        </w:rPr>
        <w:softHyphen/>
        <w:t xml:space="preserve">ный знак СССР-Ш001 на </w:t>
      </w:r>
      <w:r w:rsidRPr="0044524F">
        <w:rPr>
          <w:rFonts w:ascii="Times New Roman" w:hAnsi="Times New Roman"/>
          <w:color w:val="000000" w:themeColor="text1"/>
          <w:sz w:val="16"/>
          <w:szCs w:val="16"/>
          <w:lang w:val="en-US" w:bidi="en-US"/>
        </w:rPr>
        <w:t>URSS</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 xml:space="preserve">1001. </w:t>
      </w:r>
      <w:r w:rsidRPr="0044524F">
        <w:rPr>
          <w:rFonts w:ascii="Times New Roman" w:hAnsi="Times New Roman"/>
          <w:color w:val="000000" w:themeColor="text1"/>
          <w:sz w:val="16"/>
          <w:szCs w:val="16"/>
        </w:rPr>
        <w:t xml:space="preserve">В состав экипажа Сталь-2 </w:t>
      </w:r>
      <w:r w:rsidRPr="0044524F">
        <w:rPr>
          <w:rFonts w:ascii="Times New Roman" w:hAnsi="Times New Roman"/>
          <w:color w:val="000000" w:themeColor="text1"/>
          <w:sz w:val="16"/>
          <w:szCs w:val="16"/>
          <w:lang w:val="en-US" w:bidi="en-US"/>
        </w:rPr>
        <w:t>URSS</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 xml:space="preserve">800 </w:t>
      </w:r>
      <w:r w:rsidRPr="0044524F">
        <w:rPr>
          <w:rFonts w:ascii="Times New Roman" w:hAnsi="Times New Roman"/>
          <w:color w:val="000000" w:themeColor="text1"/>
          <w:sz w:val="16"/>
          <w:szCs w:val="16"/>
        </w:rPr>
        <w:t>вошли летчик Фарих Ф.Б. и механик Шекуров В.А.</w:t>
      </w:r>
      <w:r w:rsidRPr="0044524F">
        <w:rPr>
          <w:rFonts w:ascii="Times New Roman" w:hAnsi="Times New Roman"/>
          <w:color w:val="000000" w:themeColor="text1"/>
          <w:sz w:val="16"/>
          <w:szCs w:val="16"/>
          <w:lang w:eastAsia="ru-RU" w:bidi="ru-RU"/>
        </w:rPr>
        <w:t xml:space="preserve"> (20365).</w:t>
      </w:r>
    </w:p>
    <w:p w14:paraId="5A70EECA" w14:textId="77777777" w:rsidR="00F7433B" w:rsidRPr="0044524F" w:rsidRDefault="00F7433B" w:rsidP="009654CF">
      <w:pPr>
        <w:spacing w:after="0" w:line="240" w:lineRule="auto"/>
        <w:jc w:val="both"/>
        <w:rPr>
          <w:rFonts w:ascii="Times New Roman" w:hAnsi="Times New Roman"/>
          <w:color w:val="000000" w:themeColor="text1"/>
          <w:sz w:val="16"/>
          <w:szCs w:val="16"/>
        </w:rPr>
      </w:pPr>
    </w:p>
    <w:p w14:paraId="01507022" w14:textId="77777777" w:rsidR="00F277B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5EA88CB" w14:textId="77777777" w:rsidR="00F277B1" w:rsidRPr="0044524F" w:rsidRDefault="00F277B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18E8F52" w14:textId="77777777" w:rsidR="00DF064F" w:rsidRPr="0044524F" w:rsidRDefault="00DF064F" w:rsidP="009654CF">
      <w:pPr>
        <w:pStyle w:val="rtejustify"/>
        <w:spacing w:before="0" w:after="0"/>
        <w:rPr>
          <w:color w:val="000000" w:themeColor="text1"/>
          <w:sz w:val="16"/>
          <w:szCs w:val="16"/>
        </w:rPr>
      </w:pPr>
      <w:r w:rsidRPr="0044524F">
        <w:rPr>
          <w:rStyle w:val="af0"/>
          <w:bCs/>
          <w:i w:val="0"/>
          <w:color w:val="000000" w:themeColor="text1"/>
          <w:sz w:val="16"/>
          <w:szCs w:val="16"/>
        </w:rPr>
        <w:t>22 марта</w:t>
      </w:r>
      <w:r w:rsidRPr="0044524F">
        <w:rPr>
          <w:color w:val="000000" w:themeColor="text1"/>
          <w:sz w:val="16"/>
          <w:szCs w:val="16"/>
        </w:rPr>
        <w:t xml:space="preserve">. </w:t>
      </w:r>
      <w:hyperlink r:id="rId111" w:history="1">
        <w:r w:rsidRPr="0044524F">
          <w:rPr>
            <w:rStyle w:val="a5"/>
            <w:color w:val="000000" w:themeColor="text1"/>
            <w:sz w:val="16"/>
            <w:szCs w:val="16"/>
          </w:rPr>
          <w:t>Постановление СТО СССР № 7сс/о «По порохам и взрывчатым веществам»</w:t>
        </w:r>
      </w:hyperlink>
      <w:r w:rsidRPr="0044524F">
        <w:rPr>
          <w:color w:val="000000" w:themeColor="text1"/>
          <w:sz w:val="16"/>
          <w:szCs w:val="16"/>
        </w:rPr>
        <w:t>. (ГА РФ. Ф. Р</w:t>
      </w:r>
      <w:r w:rsidRPr="0044524F">
        <w:rPr>
          <w:color w:val="000000" w:themeColor="text1"/>
          <w:sz w:val="16"/>
          <w:szCs w:val="16"/>
        </w:rPr>
        <w:noBreakHyphen/>
        <w:t>8418. Оп. 28. Д. 1. Л. 76</w:t>
      </w:r>
      <w:r w:rsidRPr="0044524F">
        <w:rPr>
          <w:color w:val="000000" w:themeColor="text1"/>
          <w:sz w:val="16"/>
          <w:szCs w:val="16"/>
        </w:rPr>
        <w:noBreakHyphen/>
        <w:t>79) (15460).</w:t>
      </w:r>
    </w:p>
    <w:p w14:paraId="251CE4E9" w14:textId="77777777" w:rsidR="00DF064F" w:rsidRPr="0044524F" w:rsidRDefault="00DF064F" w:rsidP="009654CF">
      <w:pPr>
        <w:pStyle w:val="rtejustify"/>
        <w:spacing w:before="0" w:after="0"/>
        <w:rPr>
          <w:color w:val="000000" w:themeColor="text1"/>
          <w:sz w:val="16"/>
          <w:szCs w:val="16"/>
        </w:rPr>
      </w:pPr>
    </w:p>
    <w:p w14:paraId="608687FB" w14:textId="77777777" w:rsidR="00DF064F" w:rsidRPr="0044524F" w:rsidRDefault="00DF064F"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22 марта 1933 г.</w:t>
      </w:r>
      <w:r w:rsidRPr="0044524F">
        <w:rPr>
          <w:rFonts w:ascii="Times New Roman" w:hAnsi="Times New Roman"/>
          <w:color w:val="000000" w:themeColor="text1"/>
          <w:sz w:val="16"/>
          <w:szCs w:val="16"/>
        </w:rPr>
        <w:t xml:space="preserve"> Постановление СТО СССР № 7сс/о «По порохам и взрывчатым веществам»</w:t>
      </w:r>
    </w:p>
    <w:p w14:paraId="241B8339" w14:textId="77777777" w:rsidR="00DF064F" w:rsidRPr="0044524F" w:rsidRDefault="00DF064F"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4E85EFC8"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Совет труда и обороны постановляет:</w:t>
      </w:r>
    </w:p>
    <w:p w14:paraId="034CAFD7"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Обязать НКТяжпром: 1. Довести к концу 1933 г. мощности по порохам до 63 тыс. т, из них 47 тыс. т пироксилиновых, 5 тыс. т нитроглицериновых и 11 тыс. т селитроугольных довесков и по взрывчатым веществам до 186 тыс. т, из них 130 тыс. т амселитры. При мощностях по амселитре 130 тыс. т установками слабой азотной кислоты обеспечено получение 105 тыс. т амселитры в 1933 г.</w:t>
      </w:r>
    </w:p>
    <w:p w14:paraId="300278F6"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Принять к сведению заявление НКВМ¹*, а) что 11 тыс. т селитроугольных довесков будут целиком использованы для снаряжения и б) что рецептура ВВ будет изменена с расчетом полного использования 130 тыс. т амселитры.</w:t>
      </w:r>
    </w:p>
    <w:p w14:paraId="69E75580"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2. Довести к концу 1934 г. мощности по порохам до 75 тыс. т, из них 11 тыс. т селитроугольных довесков и по взрывчатым веществам 246 тыс. т, из них 160 тыс. т амселитры.</w:t>
      </w:r>
    </w:p>
    <w:p w14:paraId="6AC80210"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3. Предрешить форсирование строительства в 1934 г. мелинитового завода в Березниках с окончанием его в первом полугодии 1935 г. Точный срок определить после утверждения проекта при рассмотрении контрольных цифр 1934 г.</w:t>
      </w:r>
    </w:p>
    <w:p w14:paraId="1604159A"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4. Приступить в 1933 г. к строительству нового тротилового завода в Горловке мощностью на 16 тыс. т с окончанием его в 1934 г., определив объем капиталовложений в 1933 г. в 5 млн. руб.</w:t>
      </w:r>
    </w:p>
    <w:p w14:paraId="35BD7D1A"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НКТяжпрому изыскать недостающие 3,8 млн. руб. внутри ассигнований по военной промышленности. В соответствии с этим НКТП представить в пятидневный срок в Комиссию т. Молотова согласованные с Госпланом²* и НКВМором предложения, с каких именно объектов снять 3,8 млн. руб.</w:t>
      </w:r>
    </w:p>
    <w:p w14:paraId="41752536"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5. Обеспечить в течение 1933 г. мощности по снаряжению в соответствии с наличием взрывчатых веществ, обратив особое внимание на окончание мощностей по снаряжению суррогатному и снаряжению крупных аэробомб, для чего форсировать следующие работы, предусмотренные в плане 1933 г.: а) продолжение работ по вискозным порохам в Клину с окончанием на полную мощность в 7 тыс. т пороха в 1934 г.; б) строительство завода нитроглицериновых порохов на 5 тыс. т в Перми с окончанием на полную мощность к концу 1934 г. и селитроугольных довесков на 9 тыс. т к концу 1933 г.; в) строительство мелинитового завода в Бобриках с окончанием его на полную мощность 14 тыс. т в 1934 г.</w:t>
      </w:r>
    </w:p>
    <w:p w14:paraId="46216F7E"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6. В связи с ликвидацией Пермьволокна предложить НКТП наметить новые точки двух пороховых заводов на базе нитрошелка. Вопрос о строительстве этих двух пороховых заводов обсудить особо.</w:t>
      </w:r>
    </w:p>
    <w:p w14:paraId="0BBF1DAD"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7. Принять к сведению, что НКТП для обеспечения олеумом указанной программы по порохам и взрывчатым веществам, а также для улучшения кислотооборота на существующих заводах: а) приступил в 1933 г. к строительству трех олеумных установок на 16 тыс. т каждая на заводах № 80, 15 и 14 с окончанием в 1934 г.; б) заканчивает в 1933 г. установку по денитрации и концентрации отработанных кислот полностью на заводе № 15 и первую очередь на заводе № 80.</w:t>
      </w:r>
    </w:p>
    <w:p w14:paraId="3DE234B7"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8. Принять к сведению, что НКТП в 1933 г. отпущено 12,7 млн. руб. на подготовительные работы по строительству Кемеровского комбината, мощностью по пороховому заводу 18 тыс. т порохов (на базе нитрошелка) и оборонного завода мощностью 1,5 млрд. винтпатронов.</w:t>
      </w:r>
    </w:p>
    <w:p w14:paraId="2A0D132B"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9. Обязать НКТП обеспечить в квартальных планах необходимым финансированием капитальные работы по военной химии в соответствии с принятыми решениями.</w:t>
      </w:r>
    </w:p>
    <w:p w14:paraId="52A5256C"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10. Ввиду того, что наиболее узким местом заводов по порохам и взрывчатым веществам является водо- и пароснабжение, обязать НКТП в поквартальном распределении отпущенных ему контингентов труб обеспечить обозначенные заводы полностью потребными трубами.</w:t>
      </w:r>
    </w:p>
    <w:p w14:paraId="2499810B"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11. а) Комиссии в составе тт. Куйбышева Н. (председатель), Белова, Ефимова, Карасика, Сырцова, Котта, Калецкого и Савицкого разработать предложения об усилении кадров химической промышленности, имея в виду переброску специалистов из других отраслей промышленности, НКВМ и других наркоматов, научно-исследовательских институтов и конструкторских организаций, а также использование отдельных специалистов из Особого конструкторского бюро ОГПУ, которые могут быть допущены к работе в военной химической промышленности, б) Той же комиссии проработать мероприятия по усилению технического руководства и налаживанию технологических процессов на предприятиях военно-химической промышленности.</w:t>
      </w:r>
    </w:p>
    <w:p w14:paraId="2FF8508C"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12. Обязать НКТП проработать пятилетний план развития производства порохов и взрывчатых веществ, исходя из проектировок по общехимической базе, и не позднее 1 апреля представить в СТО.</w:t>
      </w:r>
    </w:p>
    <w:p w14:paraId="6436E49F"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13. В начале апреля рассмотреть на специальном заседании Комиссии т. Молотова второй пятилетний план по порохам и взрывчатым веществам, а также вторично — по азотной и коксобензольной промышленности и всей военной химии, включив сюда и план снаряжения и переснаряжения снарядов.</w:t>
      </w:r>
    </w:p>
    <w:p w14:paraId="28ED98D5"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14. Признать нецелесообразным в данный момент изменение существующих форм организации военно-химической промышленности.</w:t>
      </w:r>
    </w:p>
    <w:p w14:paraId="3E0CDA87" w14:textId="77777777" w:rsidR="00DF064F" w:rsidRPr="0044524F" w:rsidRDefault="00DF064F" w:rsidP="009654CF">
      <w:pPr>
        <w:pStyle w:val="ae"/>
        <w:spacing w:before="0" w:after="0"/>
        <w:jc w:val="both"/>
        <w:rPr>
          <w:color w:val="000000" w:themeColor="text1"/>
          <w:sz w:val="16"/>
          <w:szCs w:val="16"/>
        </w:rPr>
      </w:pPr>
      <w:r w:rsidRPr="0044524F">
        <w:rPr>
          <w:rStyle w:val="af0"/>
          <w:i w:val="0"/>
          <w:color w:val="000000" w:themeColor="text1"/>
          <w:sz w:val="16"/>
          <w:szCs w:val="16"/>
        </w:rPr>
        <w:t>Председатель Совета труда и обороны В. Молотов/Скрябин</w:t>
      </w:r>
    </w:p>
    <w:p w14:paraId="0E283AE6" w14:textId="77777777" w:rsidR="00DF064F" w:rsidRPr="0044524F" w:rsidRDefault="00DF064F" w:rsidP="009654CF">
      <w:pPr>
        <w:pStyle w:val="ae"/>
        <w:spacing w:before="0" w:after="0"/>
        <w:jc w:val="both"/>
        <w:rPr>
          <w:color w:val="000000" w:themeColor="text1"/>
          <w:sz w:val="16"/>
          <w:szCs w:val="16"/>
        </w:rPr>
      </w:pPr>
      <w:r w:rsidRPr="0044524F">
        <w:rPr>
          <w:rStyle w:val="af0"/>
          <w:i w:val="0"/>
          <w:color w:val="000000" w:themeColor="text1"/>
          <w:sz w:val="16"/>
          <w:szCs w:val="16"/>
        </w:rPr>
        <w:t>Базилевич</w:t>
      </w:r>
    </w:p>
    <w:p w14:paraId="38683277" w14:textId="77777777" w:rsidR="00DF064F" w:rsidRPr="0044524F" w:rsidRDefault="00DF064F"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1064DFD1"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Наркомат по военным и морским делам (Наркомвоенмор, НКВМ) СССР </w:t>
      </w:r>
      <w:r w:rsidRPr="0044524F">
        <w:rPr>
          <w:color w:val="000000" w:themeColor="text1"/>
          <w:sz w:val="16"/>
          <w:szCs w:val="16"/>
        </w:rPr>
        <w:t>— центральный орган, осуществлявший руководство вооруженными силами советского государства в период 1923</w:t>
      </w:r>
      <w:r w:rsidRPr="0044524F">
        <w:rPr>
          <w:color w:val="000000" w:themeColor="text1"/>
          <w:sz w:val="16"/>
          <w:szCs w:val="16"/>
        </w:rPr>
        <w:noBreakHyphen/>
        <w:t>1934 гг. Народный комиссар НКВМ являлся одновременно председателем Реввоенсовета. В состав НКВМ входили: Штаб РККА, Политическое управление РККА, Главное управление РККА (ведало административными вопросами), Инспекторат РККА (занимался вопросами подготовки и обучения личного состава), Управление ВВС РККА, Управление ВМС РККА, Управление вооружений, Финансово-плановое, Военно-хозяйственное и Военно-строительное управления, а также Управление делами наркомата. При совнаркомах союзных республик народный комиссариат имел своих уполномоченных, кандидатуры которых утверждались СНК СССР. По положению о центральном аппарате Наркомвоенмора (утверждено приказом РВС СССР от 21 октября 1929 г.) основными функциями НКВМ являлись: сосредоточение и подготовка материалов центральных управлений для заседаний РВС СССР и направление их правительству; наблюдение за своевременным выполнением постановлений правительства и РВС СССР; составление планов законодательных предположений и согласование их с другими ведомствами; разработка планов работы РВС СССР и центральных управлений и др. Постановлением ЦИК и СНК СССР от 15 марта 1934 г. Наркомат по военным и морским делам был реорганизован в Наркомат обороны СССР. По постановлению ЦИК и СНК от 30 декабря 1937 г. был создан самостоятельный Наркомат военно-морского флота СССР.</w:t>
      </w:r>
    </w:p>
    <w:p w14:paraId="08EB0D93" w14:textId="77777777" w:rsidR="00DF064F" w:rsidRPr="0044524F" w:rsidRDefault="00DF064F" w:rsidP="009654CF">
      <w:pPr>
        <w:pStyle w:val="rtejustify"/>
        <w:spacing w:before="0" w:after="0"/>
        <w:rPr>
          <w:color w:val="000000" w:themeColor="text1"/>
          <w:sz w:val="16"/>
          <w:szCs w:val="16"/>
        </w:rPr>
      </w:pPr>
      <w:r w:rsidRPr="0044524F">
        <w:rPr>
          <w:color w:val="000000" w:themeColor="text1"/>
          <w:sz w:val="16"/>
          <w:szCs w:val="16"/>
        </w:rPr>
        <w:lastRenderedPageBreak/>
        <w:t>²* </w:t>
      </w:r>
      <w:r w:rsidRPr="0044524F">
        <w:rPr>
          <w:rStyle w:val="af0"/>
          <w:bCs/>
          <w:i w:val="0"/>
          <w:color w:val="000000" w:themeColor="text1"/>
          <w:sz w:val="16"/>
          <w:szCs w:val="16"/>
        </w:rPr>
        <w:t>Государственная плановая комиссия (Госплан)</w:t>
      </w:r>
      <w:r w:rsidRPr="0044524F">
        <w:rPr>
          <w:color w:val="000000" w:themeColor="text1"/>
          <w:sz w:val="16"/>
          <w:szCs w:val="16"/>
        </w:rPr>
        <w:t xml:space="preserve"> при СТО СССР, с 1931 г. — при СНК СССР, была создана 22 февраля 1921 г. для разработки единого общегосударственного хозяйственного плана. Госплан должен был рассматривать и согласовывать производственные программы и плановые предложения различных ведомств, в том числе и учреждений по руководству оборонной промышленностью. Он занимался также разработкой вопросов экономической подготовки к войне, объединением хозяйственных мобилизационных планов, а также увязкой текущего и перспективного планирования с задачами обороны. С этими целями в структуре Госплана было создано Военное бюро, которое в июне 1927 г. было преобразовано в Сектор обороны. 5 апреля 1935 г. в соответствии с постановлением ЦИК и СНК СССР № 3/590 Госплан был реорганизован: ликвидирован Президиум, а члены Госплана стали назначаться СНК СССР по представлению председателя Госплана. Это способствовало еще более полной централизации мобилизационной и плановой работы в Госплане. Он также должен был координировать все расчеты по основным балансовым статьям народнохозяйственного плана в целом. Структура Госплана включала отделы и самостоятельные секторы, которые разрабатывали соответствующие разделы единого народнохозяйственного плана, осуществляли наблюдение за его выполнением, разрабатывали основные межотраслевые и межрайонные проблемы народного хозяйства и вопросы методологии планирования. 17 сентября 1937 г. в соответствии с постановлением ЦИК и СНК СССР № 108/1637 «Об изменении структуры Госплана СССР» был ликвидирован Институт экономических исследований Госплана СССР, взамен него образовано при председателе Госплана СССР Технико-экономическое бюро; сводный отдел производства был реорганизован в отдел сводного плана, самостоятельный Сектор обороны был реорганизован в Отдел обороны. Также были реорганизованы некоторые другие секторы и отделы в составе секторов. (СЗ. 1937 1937 вышел приказ НКОП № 62. Ст. 270; РГАЭ. Ф. 4372. Оп. 91. Д. 2285. Л. 4, 3</w:t>
      </w:r>
      <w:r w:rsidRPr="0044524F">
        <w:rPr>
          <w:color w:val="000000" w:themeColor="text1"/>
          <w:sz w:val="16"/>
          <w:szCs w:val="16"/>
        </w:rPr>
        <w:noBreakHyphen/>
        <w:t>3 об.).</w:t>
      </w:r>
    </w:p>
    <w:p w14:paraId="3C74802B" w14:textId="77777777" w:rsidR="00DF064F" w:rsidRPr="0044524F" w:rsidRDefault="00DF064F" w:rsidP="009654CF">
      <w:pPr>
        <w:pStyle w:val="ae"/>
        <w:spacing w:before="0" w:after="0"/>
        <w:jc w:val="both"/>
        <w:rPr>
          <w:color w:val="000000" w:themeColor="text1"/>
          <w:sz w:val="16"/>
          <w:szCs w:val="16"/>
        </w:rPr>
      </w:pPr>
      <w:r w:rsidRPr="0044524F">
        <w:rPr>
          <w:color w:val="000000" w:themeColor="text1"/>
          <w:sz w:val="16"/>
          <w:szCs w:val="16"/>
        </w:rPr>
        <w:t>ГА РФ. Ф. Р-8418. Оп. 28. Д. 1. Л. 76-79. Подлинник (15257).</w:t>
      </w:r>
    </w:p>
    <w:p w14:paraId="5C65BB33" w14:textId="77777777" w:rsidR="00DF064F" w:rsidRPr="0044524F" w:rsidRDefault="00DF064F" w:rsidP="009654CF">
      <w:pPr>
        <w:autoSpaceDE w:val="0"/>
        <w:autoSpaceDN w:val="0"/>
        <w:adjustRightInd w:val="0"/>
        <w:spacing w:after="0" w:line="240" w:lineRule="auto"/>
        <w:jc w:val="both"/>
        <w:rPr>
          <w:rFonts w:ascii="Times New Roman" w:hAnsi="Times New Roman"/>
          <w:color w:val="000000" w:themeColor="text1"/>
          <w:sz w:val="16"/>
          <w:szCs w:val="16"/>
        </w:rPr>
      </w:pPr>
    </w:p>
    <w:p w14:paraId="45CB7B9A"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марта 1933 представителям ВП было предъявлено 16 БТ-5, 55 корпусов были на конвейере и 50 собирали под особым контролем, т.к. предполагалось, что они пройдут по КП (3880,4).</w:t>
      </w:r>
    </w:p>
    <w:p w14:paraId="2A51A840"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19B068E8" w14:textId="77777777" w:rsidR="00F277B1" w:rsidRPr="0044524F" w:rsidRDefault="00F277B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22 марта по 5 апреля 1933 первый экземпляр нового танкового двигателя завода № 174 мощностью 96 л.с. был испытан на стенде. Он продемонстрировал мощность 96 л.с. и проработал непрерывно в течение 5 Часов. Однако, будучи установленным в танк, мотор никак не желал работать нормально. Практически ни один из 30 мото</w:t>
      </w:r>
      <w:r w:rsidRPr="0044524F">
        <w:rPr>
          <w:rFonts w:ascii="Times New Roman" w:hAnsi="Times New Roman"/>
          <w:color w:val="000000" w:themeColor="text1"/>
          <w:sz w:val="16"/>
          <w:szCs w:val="16"/>
        </w:rPr>
        <w:softHyphen/>
        <w:t>ров установочной серии не выдержал гарантированной на</w:t>
      </w:r>
      <w:r w:rsidRPr="0044524F">
        <w:rPr>
          <w:rFonts w:ascii="Times New Roman" w:hAnsi="Times New Roman"/>
          <w:color w:val="000000" w:themeColor="text1"/>
          <w:sz w:val="16"/>
          <w:szCs w:val="16"/>
        </w:rPr>
        <w:softHyphen/>
        <w:t>работки (10733,217).</w:t>
      </w:r>
    </w:p>
    <w:p w14:paraId="1FB554F7" w14:textId="77777777" w:rsidR="00F277B1" w:rsidRPr="0044524F" w:rsidRDefault="00F277B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A89428E"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марта 1933 года было доложено о вредительстве фашистской контрреволюционной организации в химической промышленности среди НТР Угрешского химзавода и др. Дошло дело и до крестьян. 28 января 1932 года Политбюро ЦК ВКП(б) рассмотрело вопросы ОГПУ по делу Трудовой крестьянской партии. Было предварительно решено обвиняемым выше 8 лет лишения свободы не давать. Украинский народный центр предлагалось судить как контрреволюционную организацию, выше 6 лет не давать, несколько человек, в том числе Грушевского, а также и коммунистов освободить от приговора. При этом велась в прессе большая пропагандистская кампания о вредительстве (11248).</w:t>
      </w:r>
    </w:p>
    <w:p w14:paraId="4ECAE540"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58C9B3C5" w14:textId="77777777" w:rsidR="006C01E5" w:rsidRPr="0044524F" w:rsidRDefault="006C01E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22 марта 1933 г. только что назначенный на должность зампреда ОГПУ Яков Агранов бойко рапортовал Сталину о том, что "агентурным путем раскрыта и ликвидируется к[онтр]р[еволюционная] фашистская, вредительская организация среди инженерно-технических работников Угрешского химзавода, возглавлявшаяся начальником проектного отдела завода инженером Мовчаном С.Д."</w:t>
      </w:r>
      <w:r w:rsidRPr="0044524F">
        <w:rPr>
          <w:rFonts w:ascii="Times New Roman" w:hAnsi="Times New Roman"/>
          <w:color w:val="000000" w:themeColor="text1"/>
          <w:sz w:val="16"/>
          <w:szCs w:val="16"/>
          <w:shd w:val="clear" w:color="auto" w:fill="FFFFFF"/>
          <w:vertAlign w:val="superscript"/>
        </w:rPr>
        <w:t>2</w:t>
      </w:r>
      <w:r w:rsidRPr="0044524F">
        <w:rPr>
          <w:rFonts w:ascii="Times New Roman" w:hAnsi="Times New Roman"/>
          <w:color w:val="000000" w:themeColor="text1"/>
          <w:sz w:val="16"/>
          <w:szCs w:val="16"/>
          <w:shd w:val="clear" w:color="auto" w:fill="FFFFFF"/>
        </w:rPr>
        <w:t>. Полномочное представительство ОГПУ по Московской области, которым Агранов руководил до своего повышения, выявило 22 участника опаснейшего с виду заговора: "Организация ставила своей задачей свержение советской власти путем вооруженного восстания и иностранной военной интервенции и установление фашистской диктатуры по типу итальянского и германского фашизма. На совещаниях руководящего ядра организации обсуждался вопрос о создании фашистской организации, которую предполагалось назвать "Российской Национальной Народной Партией". [...] Деятельность группы направлялась и руководилась центром, в состав которого входили инженеры Всехимпрома - Горденин, Левинсон, Афанасьев и Зак. Этим центром были созданы аналогичные фашистские ячейки и на Чернореченском, Бобриковском и Воскресенском химкомбинатах".</w:t>
      </w:r>
    </w:p>
    <w:p w14:paraId="4D027F82" w14:textId="5CA02BF6" w:rsidR="006C01E5" w:rsidRPr="0044524F" w:rsidRDefault="006C01E5" w:rsidP="009654CF">
      <w:pPr>
        <w:pStyle w:val="ae"/>
        <w:spacing w:before="0" w:after="0"/>
        <w:jc w:val="both"/>
        <w:rPr>
          <w:bCs/>
          <w:color w:val="000000" w:themeColor="text1"/>
          <w:sz w:val="16"/>
          <w:szCs w:val="16"/>
        </w:rPr>
      </w:pPr>
      <w:r w:rsidRPr="0044524F">
        <w:rPr>
          <w:color w:val="000000" w:themeColor="text1"/>
          <w:sz w:val="16"/>
          <w:szCs w:val="16"/>
        </w:rPr>
        <w:t>В показаниях Мовчана (</w:t>
      </w:r>
      <w:r w:rsidRPr="0044524F">
        <w:rPr>
          <w:color w:val="000000" w:themeColor="text1"/>
          <w:sz w:val="16"/>
          <w:szCs w:val="16"/>
          <w:shd w:val="clear" w:color="auto" w:fill="FFFFFF"/>
        </w:rPr>
        <w:t>начальника проектного отдела Угрешского химзавода</w:t>
      </w:r>
      <w:r w:rsidRPr="0044524F">
        <w:rPr>
          <w:color w:val="000000" w:themeColor="text1"/>
          <w:sz w:val="16"/>
          <w:szCs w:val="16"/>
        </w:rPr>
        <w:t>)</w:t>
      </w:r>
      <w:r w:rsidR="0088747B">
        <w:rPr>
          <w:color w:val="000000" w:themeColor="text1"/>
          <w:sz w:val="16"/>
          <w:szCs w:val="16"/>
        </w:rPr>
        <w:t xml:space="preserve"> </w:t>
      </w:r>
      <w:r w:rsidRPr="0044524F">
        <w:rPr>
          <w:color w:val="000000" w:themeColor="text1"/>
          <w:sz w:val="16"/>
          <w:szCs w:val="16"/>
        </w:rPr>
        <w:t>от 11 марта 1933 г. читаем: "В отношении вредительства было решено: поддерживать существующие неполадки завода, производить задержку работ завода и принимать все меры к срыву производственной программы завода"</w:t>
      </w:r>
      <w:r w:rsidRPr="0044524F">
        <w:rPr>
          <w:color w:val="000000" w:themeColor="text1"/>
          <w:sz w:val="16"/>
          <w:szCs w:val="16"/>
          <w:vertAlign w:val="superscript"/>
        </w:rPr>
        <w:t>7</w:t>
      </w:r>
      <w:r w:rsidRPr="0044524F">
        <w:rPr>
          <w:color w:val="000000" w:themeColor="text1"/>
          <w:sz w:val="16"/>
          <w:szCs w:val="16"/>
        </w:rPr>
        <w:t xml:space="preserve">. Но уже 16 марта тот же подследственный заявил, что даже в этом, совершенно невинном по сравнению с "фашистской диктатурой" направлении не было сделано практически ничего, ибо вместо "организованного вредительства" постановили: "на первое время в целях маскировки целесообразно ограничиться тем, что пассивно относиться к существующим неполадкам </w:t>
      </w:r>
    </w:p>
    <w:p w14:paraId="73E26A20" w14:textId="77777777" w:rsidR="006C01E5" w:rsidRPr="0044524F" w:rsidRDefault="006C01E5" w:rsidP="009654CF">
      <w:pPr>
        <w:pStyle w:val="ae"/>
        <w:spacing w:before="0" w:after="0"/>
        <w:jc w:val="both"/>
        <w:rPr>
          <w:color w:val="000000" w:themeColor="text1"/>
          <w:sz w:val="16"/>
          <w:szCs w:val="16"/>
        </w:rPr>
      </w:pPr>
      <w:r w:rsidRPr="0044524F">
        <w:rPr>
          <w:color w:val="000000" w:themeColor="text1"/>
          <w:sz w:val="16"/>
          <w:szCs w:val="16"/>
        </w:rPr>
        <w:t>Следом Мовчан приводил целый список мелких вредительских деяний, которые не тянут не то что на расстрельную статью, но и, скорее всего, на наказание в виде несоответствия занимаемой должности. Сам допрашиваемый каялся, к примеру, в том, что "сорван пуск блоков "Х" и "Ж" умышленным пуском мною чертежей в работу с явными ошибками"</w:t>
      </w:r>
      <w:r w:rsidRPr="0044524F">
        <w:rPr>
          <w:color w:val="000000" w:themeColor="text1"/>
          <w:sz w:val="16"/>
          <w:szCs w:val="16"/>
          <w:vertAlign w:val="superscript"/>
        </w:rPr>
        <w:t>9</w:t>
      </w:r>
      <w:r w:rsidRPr="0044524F">
        <w:rPr>
          <w:color w:val="000000" w:themeColor="text1"/>
          <w:sz w:val="16"/>
          <w:szCs w:val="16"/>
        </w:rPr>
        <w:t>. Вряд ли и производивший допрос чекист Столяров понимал вредительскую сущность такого, например, деяния: "С ведома технорука инж. Галковича и нач. бл. "Э" инж. Соловьева на электролитические ванны "Кребс" нередко подавался рассол, не отстоявшийся и не отфильтрованный, т.е. не чистый, под предлогом невозможности создать запас чистого рассола из затвердевшей на складе соли"</w:t>
      </w:r>
      <w:r w:rsidRPr="0044524F">
        <w:rPr>
          <w:color w:val="000000" w:themeColor="text1"/>
          <w:sz w:val="16"/>
          <w:szCs w:val="16"/>
          <w:shd w:val="clear" w:color="auto" w:fill="FFFFFF"/>
        </w:rPr>
        <w:t xml:space="preserve"> (18727)</w:t>
      </w:r>
      <w:r w:rsidRPr="0044524F">
        <w:rPr>
          <w:color w:val="000000" w:themeColor="text1"/>
          <w:sz w:val="16"/>
          <w:szCs w:val="16"/>
        </w:rPr>
        <w:t>.</w:t>
      </w:r>
    </w:p>
    <w:p w14:paraId="500E4DE7" w14:textId="77777777" w:rsidR="006C01E5" w:rsidRPr="0044524F" w:rsidRDefault="006C01E5" w:rsidP="009654CF">
      <w:pPr>
        <w:spacing w:after="0" w:line="240" w:lineRule="auto"/>
        <w:jc w:val="both"/>
        <w:rPr>
          <w:rFonts w:ascii="Times New Roman" w:hAnsi="Times New Roman"/>
          <w:color w:val="000000" w:themeColor="text1"/>
          <w:sz w:val="16"/>
          <w:szCs w:val="16"/>
        </w:rPr>
      </w:pPr>
    </w:p>
    <w:p w14:paraId="4FCF6F8F" w14:textId="77777777" w:rsidR="006C01E5" w:rsidRPr="0044524F" w:rsidRDefault="006C01E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марта 1933 г. только что назначенный на должность зампреда ОГПУ Яков Агранов бойко рапортовал Сталину о том, что "агентурным путем раскрыта и ликвидируется к[онтр]р[еволюционная] фашистская, вредительская организация среди инженерно-технических работников Угрешского химзавода, возглавлявшаяся начальником проектного отдела завода инженером Мовчаном С.Д.". Полномочное представительство ОГПУ по Московской области, которым Агранов руководил до своего повышения, выявило 22 участника опаснейшего с виду заговора: "Организация ставила своей задачей свержение советской власти путем вооруженного восстания и иностранной военной интервенции и установление фашистской диктатуры по типу итальянского и германского фашизма. На совещаниях руководящего ядра организации обсуждался вопрос о создании фашистской организации, которую предполагалось назвать "Российской Национальной Народной Партией". [...] Деятельность группы направлялась и руководилась центром, в состав которого входили инженеры Всехимпрома - Горденин, Левинсон, Афанасьев и Зак. Этим центром были созданы аналогичные фашистские ячейки и на Чернореченском, Бобриковском и Воскресенском химкомбинатах" (19523).</w:t>
      </w:r>
    </w:p>
    <w:p w14:paraId="63F79637" w14:textId="77777777" w:rsidR="006C01E5" w:rsidRPr="0044524F" w:rsidRDefault="006C01E5" w:rsidP="009654CF">
      <w:pPr>
        <w:spacing w:after="0" w:line="240" w:lineRule="auto"/>
        <w:jc w:val="both"/>
        <w:rPr>
          <w:rFonts w:ascii="Times New Roman" w:hAnsi="Times New Roman"/>
          <w:color w:val="000000" w:themeColor="text1"/>
          <w:sz w:val="16"/>
          <w:szCs w:val="16"/>
        </w:rPr>
      </w:pPr>
    </w:p>
    <w:p w14:paraId="2C4AB0F2" w14:textId="77777777" w:rsidR="00F277B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872FC25" w14:textId="77777777" w:rsidR="00F277B1" w:rsidRPr="0044524F" w:rsidRDefault="00F277B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3FF52C" w14:textId="77777777" w:rsidR="00DF064F" w:rsidRPr="0044524F" w:rsidRDefault="00DF064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22 марта</w:t>
      </w:r>
      <w:r w:rsidRPr="0044524F">
        <w:rPr>
          <w:rFonts w:ascii="Times New Roman" w:hAnsi="Times New Roman"/>
          <w:color w:val="000000" w:themeColor="text1"/>
          <w:sz w:val="16"/>
          <w:szCs w:val="16"/>
        </w:rPr>
        <w:t xml:space="preserve"> в 1933 году первый полет французского гоночного самолета </w:t>
      </w:r>
      <w:hyperlink r:id="rId112" w:tgtFrame="_blank" w:history="1">
        <w:r w:rsidRPr="0044524F">
          <w:rPr>
            <w:rFonts w:ascii="Times New Roman" w:hAnsi="Times New Roman"/>
            <w:color w:val="000000" w:themeColor="text1"/>
            <w:sz w:val="16"/>
            <w:szCs w:val="16"/>
          </w:rPr>
          <w:t xml:space="preserve">«Lorraine Hanriot» «LH-130». </w:t>
        </w:r>
      </w:hyperlink>
      <w:r w:rsidRPr="0044524F">
        <w:rPr>
          <w:rFonts w:ascii="Times New Roman" w:hAnsi="Times New Roman"/>
          <w:color w:val="000000" w:themeColor="text1"/>
          <w:sz w:val="16"/>
          <w:szCs w:val="16"/>
        </w:rPr>
        <w:t>Первый показ самолета состоялся на XIII Парижском авиасалоне 4 декабря 1932 года (15076).</w:t>
      </w:r>
    </w:p>
    <w:p w14:paraId="76ADA21A" w14:textId="77777777" w:rsidR="00DF064F" w:rsidRPr="0044524F" w:rsidRDefault="00DF064F" w:rsidP="009654CF">
      <w:pPr>
        <w:spacing w:after="0" w:line="240" w:lineRule="auto"/>
        <w:jc w:val="both"/>
        <w:rPr>
          <w:rFonts w:ascii="Times New Roman" w:hAnsi="Times New Roman"/>
          <w:color w:val="000000" w:themeColor="text1"/>
          <w:sz w:val="16"/>
          <w:szCs w:val="16"/>
        </w:rPr>
      </w:pPr>
    </w:p>
    <w:p w14:paraId="6E5AE12E" w14:textId="77777777" w:rsidR="008A3D83" w:rsidRPr="0044524F" w:rsidRDefault="008A3D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марта 1933 - Первый полет французского гоночного самолета Lorraine Hanriot LH-130. С регистрационным номером F-AOFV самолет принял участие в гонке Coupe Michelin 1932, но не достиг в ней таких впечатляющих результатов как его предшественники LH-41 и LH-42 (22560).</w:t>
      </w:r>
    </w:p>
    <w:p w14:paraId="2F7D98EC" w14:textId="77777777" w:rsidR="008A3D83" w:rsidRPr="0044524F" w:rsidRDefault="008A3D83" w:rsidP="009654CF">
      <w:pPr>
        <w:spacing w:after="0" w:line="240" w:lineRule="auto"/>
        <w:jc w:val="both"/>
        <w:rPr>
          <w:rFonts w:ascii="Times New Roman" w:hAnsi="Times New Roman"/>
          <w:color w:val="000000" w:themeColor="text1"/>
          <w:sz w:val="16"/>
          <w:szCs w:val="16"/>
        </w:rPr>
      </w:pPr>
    </w:p>
    <w:p w14:paraId="7E30A8DE" w14:textId="77777777" w:rsidR="00DF064F" w:rsidRPr="0044524F" w:rsidRDefault="00DF064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22 марта</w:t>
      </w:r>
      <w:r w:rsidRPr="0044524F">
        <w:rPr>
          <w:rFonts w:ascii="Times New Roman" w:hAnsi="Times New Roman"/>
          <w:color w:val="000000" w:themeColor="text1"/>
          <w:sz w:val="16"/>
          <w:szCs w:val="16"/>
        </w:rPr>
        <w:t xml:space="preserve"> в 1933 году в Дахау (близ Мюнхена) начал действовать первый концентрационный лагерь в фашистской Германии; узниками лагеря были 250 тысяч человек, из которых 70 тысяч замучены и убиты; в 1960 году в Дахау был открыт памятник погибшим. Дахау стал первым "опытным полигоном", где отрабатывалась система наказаний и других форм физических и психологических издевательств над узниками. До начала второй мировой войны в Дахау содержались политические противники нацистского режима, прежде всего коммунисты, социалисты, оппозиционные режиму священнослужители и др. Во время второй мировой войны Дахау приобрел зловещую известность как один из самых ужасных концлагерей, в которых проводились медицинские эксперименты над заключенными. Только в 1941-1942 годах там было проведено около 500 экспериментов над живыми людьми. Гиммлер и другие высокопоставленные нацисты регулярно посещали с инспекционными поездками Дахау, где наблюдали за этими опытами. Многие узники Дахау трудились в качестве бесплатной рабочей силы на окрестных промышленных предприятиях, в том числе на производствах концерна "ИГ Фарбениндустри". После окончания войны комендант лагеря, охранники, врачи, осуществлявшие в лагере медицинские эксперименты, предстали перед Международным военным трибуналом в Нюрнберге. При поддержке баварского правительства и Международного комитета бывших узников Дахау на территории лагеря открыт мемориальный комплекс (15076).</w:t>
      </w:r>
    </w:p>
    <w:p w14:paraId="2BCB3C5E" w14:textId="77777777" w:rsidR="00DF064F" w:rsidRPr="0044524F" w:rsidRDefault="00DF064F" w:rsidP="009654CF">
      <w:pPr>
        <w:spacing w:after="0" w:line="240" w:lineRule="auto"/>
        <w:jc w:val="both"/>
        <w:rPr>
          <w:rFonts w:ascii="Times New Roman" w:hAnsi="Times New Roman"/>
          <w:color w:val="000000" w:themeColor="text1"/>
          <w:sz w:val="16"/>
          <w:szCs w:val="16"/>
        </w:rPr>
      </w:pPr>
    </w:p>
    <w:p w14:paraId="2ED7B565" w14:textId="77777777" w:rsidR="00F277B1" w:rsidRPr="0044524F" w:rsidRDefault="00F277B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марта 1933 в США разрешено пиво с содержанием алкоголя до 3,2 % (4962).</w:t>
      </w:r>
    </w:p>
    <w:p w14:paraId="2456B5F7" w14:textId="77777777" w:rsidR="00F277B1" w:rsidRPr="0044524F" w:rsidRDefault="00F277B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D8F8924"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марта 1933 Ф.Рузвельт подписал закон, разрешающий владеть вином и пивом (2100).</w:t>
      </w:r>
    </w:p>
    <w:p w14:paraId="768CFDB2"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19ED8AC8" w14:textId="77777777" w:rsidR="00F277B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8F1CA89" w14:textId="77777777" w:rsidR="00F277B1" w:rsidRPr="0044524F" w:rsidRDefault="00F277B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F3C63A"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марта 1933 Пом. Нач. ГУАП и Нач. НТОС Алмазов писал в Госплан Зарзару письмо N 277/154с, направленное 26 марта 1933:</w:t>
      </w:r>
    </w:p>
    <w:p w14:paraId="6908A4D1"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"Протоколом от 11 марта с.г. на заседании по вопросу сверхвысотной авиации вынесено постановление считать недопустимым консервацию работ по машине БНК.</w:t>
      </w:r>
    </w:p>
    <w:p w14:paraId="0BA7C89C"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Считаю необходимым сообщить следующее.</w:t>
      </w:r>
    </w:p>
    <w:p w14:paraId="3EC7C49D"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виду чрезвычайной актуальности вопроса по созданию стратосферного самолета первоначально решено было задание проводить параллельно в двух организациях - ЦАГИ и БНК. так как основным вопросом в проблеме является вопрос ВМГ, а не схемы самолета, то его разрешение намечалось в двух направлениях.</w:t>
      </w:r>
    </w:p>
    <w:p w14:paraId="10CEA0DE"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 ЦАГИ с установкой сверхвысотного двухступенчатого нагнетателя.</w:t>
      </w:r>
    </w:p>
    <w:p w14:paraId="61FE125A"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БНК - мотора с газовой турбиной.</w:t>
      </w:r>
    </w:p>
    <w:p w14:paraId="6B12FF41"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необходимо проверить в стратосфере ряд вопросов, не связанных с ВМГ и со схемой самолета. Новизна, недоработанность и экспериментальность схемы БНК, сложность и сугубая экспериментальность турбинной конструкции, требующая для разрешения специальных кадров и специфических отдельных опытов, необходимость в кратчайший срок выпустить машину в стратосферу, ряд других актуальных задач, поставленных перед объединенным вновь организованным КБ (из БНК и ЦАГИ), заставляют в целях ускорения вопроса не распылять силы и средства и сосредоточить внимание на выпуске машины с более проверенной схемой, более подготовленной в смысле проработки возможности постройки, более проверенной и надежной ВМГ, т.е. машиной ЦАГИ.</w:t>
      </w:r>
    </w:p>
    <w:p w14:paraId="52D7446B"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ввиду того, что первые полеты в стратосфере на той или другой машине дадут совершенно аналогичные ответы на вопросы кабины, безопасности экипажа, влияния низких температур, способа проводки управления самолетом и пр. считаю совершенно нецелесообразным для этого строить и тратить средства на два экз., хотя бы и отличные друг от друга.</w:t>
      </w:r>
    </w:p>
    <w:p w14:paraId="2768949D"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применения турбины в виде, предложенном БНК или ином считаю рациональным передать в ЦИАМ с непосредственными работниками этой работы для дальнейшего его осуществления." (2304,8).</w:t>
      </w:r>
    </w:p>
    <w:p w14:paraId="721A1968"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572FAFE2" w14:textId="77777777" w:rsidR="008A3D83" w:rsidRPr="0044524F" w:rsidRDefault="008A3D8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марта 1933 г. в письме в Госплан на имя тов. ЗАРЗАР (должность не указана) Помощник Начальника ГУАП и Нач. НТОС Алмазов подтвердил, что ГУАП считает правильным не распылять средства и сосредоточить внимание на выпуске машины с более проверенной схемой. Кроме того, писал он, первые полёты в стратосфере той и другой машины дадут совершенно аналогичные ответы на ряд первоочередных вопросов, и поэтому «считаю совершенно нецелесообразным для этого строить и тратить средства на два экземпляра, хотя бы и отличные друг от друга». Тем самым вопрос о постройке самолёта БНК-4 был фактически закрыт. Что касается «конкурента» – проекта СС конструкции Чижевского, то он получил достаточно удачное развитие (19876).</w:t>
      </w:r>
    </w:p>
    <w:p w14:paraId="5B7B4791" w14:textId="77777777" w:rsidR="008A3D83" w:rsidRPr="0044524F" w:rsidRDefault="008A3D83" w:rsidP="009654CF">
      <w:pPr>
        <w:shd w:val="clear" w:color="auto" w:fill="FFFFFF"/>
        <w:spacing w:after="0" w:line="240" w:lineRule="auto"/>
        <w:jc w:val="both"/>
        <w:rPr>
          <w:rFonts w:ascii="Times New Roman" w:hAnsi="Times New Roman"/>
          <w:color w:val="000000" w:themeColor="text1"/>
          <w:sz w:val="16"/>
          <w:szCs w:val="16"/>
        </w:rPr>
      </w:pPr>
    </w:p>
    <w:p w14:paraId="6E4DAAD5" w14:textId="77777777" w:rsidR="00F277B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49F978E" w14:textId="77777777" w:rsidR="00F277B1" w:rsidRPr="0044524F" w:rsidRDefault="00F277B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985E4E5"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23 марта</w:t>
      </w:r>
      <w:r w:rsidRPr="0044524F">
        <w:rPr>
          <w:rFonts w:ascii="Times New Roman" w:hAnsi="Times New Roman"/>
          <w:color w:val="000000" w:themeColor="text1"/>
          <w:sz w:val="16"/>
          <w:szCs w:val="16"/>
        </w:rPr>
        <w:t xml:space="preserve"> в 1933 году американский средний транспортный самолет </w:t>
      </w:r>
      <w:hyperlink r:id="rId113" w:tgtFrame="_blank" w:history="1">
        <w:r w:rsidRPr="0044524F">
          <w:rPr>
            <w:rFonts w:ascii="Times New Roman" w:hAnsi="Times New Roman"/>
            <w:color w:val="000000" w:themeColor="text1"/>
            <w:sz w:val="16"/>
            <w:szCs w:val="16"/>
          </w:rPr>
          <w:t xml:space="preserve">«Curtiss» «T-32» «Condor II» </w:t>
        </w:r>
      </w:hyperlink>
      <w:r w:rsidRPr="0044524F">
        <w:rPr>
          <w:rFonts w:ascii="Times New Roman" w:hAnsi="Times New Roman"/>
          <w:color w:val="000000" w:themeColor="text1"/>
          <w:sz w:val="16"/>
          <w:szCs w:val="16"/>
        </w:rPr>
        <w:t>был передан заказчику. Прототип впервые поднялся в воздух 30 января 1933 года (15077).</w:t>
      </w:r>
    </w:p>
    <w:p w14:paraId="50AB1BE1" w14:textId="77777777" w:rsidR="0008514E" w:rsidRPr="0044524F" w:rsidRDefault="0008514E" w:rsidP="009654CF">
      <w:pPr>
        <w:spacing w:after="0" w:line="240" w:lineRule="auto"/>
        <w:jc w:val="both"/>
        <w:rPr>
          <w:rFonts w:ascii="Times New Roman" w:hAnsi="Times New Roman"/>
          <w:color w:val="000000" w:themeColor="text1"/>
          <w:sz w:val="16"/>
          <w:szCs w:val="16"/>
        </w:rPr>
      </w:pPr>
    </w:p>
    <w:p w14:paraId="4F5955C9"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23 марта</w:t>
      </w:r>
      <w:r w:rsidRPr="0044524F">
        <w:rPr>
          <w:rFonts w:ascii="Times New Roman" w:hAnsi="Times New Roman"/>
          <w:color w:val="000000" w:themeColor="text1"/>
          <w:sz w:val="16"/>
          <w:szCs w:val="16"/>
        </w:rPr>
        <w:t xml:space="preserve"> в 1933 году в Германии Закон о дополнительных полномочиях фактически превращает Адольфа Гитлера в диктатора до апреля 1937. Вскоре будут запрещены или распущены все партии, кроме нацистской, и большинство профсоюзов (15077).</w:t>
      </w:r>
    </w:p>
    <w:p w14:paraId="313CF210" w14:textId="77777777" w:rsidR="0008514E" w:rsidRPr="0044524F" w:rsidRDefault="0008514E" w:rsidP="009654CF">
      <w:pPr>
        <w:spacing w:after="0" w:line="240" w:lineRule="auto"/>
        <w:jc w:val="both"/>
        <w:rPr>
          <w:rFonts w:ascii="Times New Roman" w:hAnsi="Times New Roman"/>
          <w:color w:val="000000" w:themeColor="text1"/>
          <w:sz w:val="16"/>
          <w:szCs w:val="16"/>
        </w:rPr>
      </w:pPr>
    </w:p>
    <w:p w14:paraId="0A1F14D3"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rPr>
        <w:t>23 марта 1933 рейхстаг проголосовал за предоставление канцлеру абсолютных полномочий сроком на четыре года. СэтоговременивГерманииустановиласьдиктатура</w:t>
      </w:r>
      <w:r w:rsidRPr="0044524F">
        <w:rPr>
          <w:rFonts w:ascii="Times New Roman" w:hAnsi="Times New Roman"/>
          <w:color w:val="000000" w:themeColor="text1"/>
          <w:sz w:val="16"/>
          <w:szCs w:val="16"/>
          <w:lang w:val="en-US"/>
        </w:rPr>
        <w:t xml:space="preserve"> (3871).</w:t>
      </w:r>
    </w:p>
    <w:p w14:paraId="656EA14A"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lang w:val="en-US"/>
        </w:rPr>
      </w:pPr>
    </w:p>
    <w:p w14:paraId="602E8E64"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March 23 1933 German Reichstag passes law giving Adolph Hitler dictatorial powers in Germany (1769).</w:t>
      </w:r>
    </w:p>
    <w:p w14:paraId="75196B7D"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lang w:val="en-US"/>
        </w:rPr>
      </w:pPr>
    </w:p>
    <w:p w14:paraId="6B3DA074"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March 23 1933 German Parliament passes Enabling Act giving Hitler dictatorial power (1050).</w:t>
      </w:r>
    </w:p>
    <w:p w14:paraId="364180B2"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lang w:val="en-US"/>
        </w:rPr>
      </w:pPr>
    </w:p>
    <w:p w14:paraId="09F2FE90"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марта 1933 Рейхстаг специальным законом дал А.Гитлеру диктаторские полномочия (1050;1769).</w:t>
      </w:r>
    </w:p>
    <w:p w14:paraId="4A1CA23E"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47890CC0" w14:textId="77777777" w:rsidR="00F277B1" w:rsidRPr="0044524F" w:rsidRDefault="00F277B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марта 1933 немецкий рейхстаг всю полноту власти передал Гитлеру (4962).</w:t>
      </w:r>
    </w:p>
    <w:p w14:paraId="6FBAEEA0" w14:textId="77777777" w:rsidR="00F277B1" w:rsidRPr="0044524F" w:rsidRDefault="00F277B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6157E6"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марта 1933 вышел закон о наделении фашистского правительства чрезвычайными полном</w:t>
      </w:r>
      <w:r w:rsidR="0008514E" w:rsidRPr="0044524F">
        <w:rPr>
          <w:rFonts w:ascii="Times New Roman" w:hAnsi="Times New Roman"/>
          <w:color w:val="000000" w:themeColor="text1"/>
          <w:sz w:val="16"/>
          <w:szCs w:val="16"/>
          <w:lang w:val="en-US"/>
        </w:rPr>
        <w:t>j</w:t>
      </w:r>
      <w:r w:rsidRPr="0044524F">
        <w:rPr>
          <w:rFonts w:ascii="Times New Roman" w:hAnsi="Times New Roman"/>
          <w:color w:val="000000" w:themeColor="text1"/>
          <w:sz w:val="16"/>
          <w:szCs w:val="16"/>
        </w:rPr>
        <w:t>чиями (3960, 115).</w:t>
      </w:r>
    </w:p>
    <w:p w14:paraId="3E76026C"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5047CA6A" w14:textId="77777777" w:rsidR="00A31E28" w:rsidRPr="0044524F" w:rsidRDefault="00A31E2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23 марта 1933, в зале берлинского оперного театра Кролла, состоялось заседание парламента. На рассмотрение был представлен акт о предоставлении чрезвычайных полномочий, официально названный "Законом о ликвидации бедственного положения народа и государства". Пять коротких параграфов предусматривали изъятие законодательных функций, включая контроль за расходованием бюджета рейха, утверждение договоров с иностранными государствами и внесение поправок в конституцию, из юрисдикции парламента и передачу их сроком на четыре года в ведение кабинета министров рейха. Более того, в акте оговаривалось, что законы, принимаемые кабинетом, разрабатываются канцлером и "могут допускать отклонения от конституции". Никакие законы не будут "затрагивать положение рейхстага", а права президента останутся "нерушимы".</w:t>
      </w:r>
    </w:p>
    <w:p w14:paraId="6D2D34E6" w14:textId="77777777" w:rsidR="00A31E28" w:rsidRPr="0044524F" w:rsidRDefault="00A31E2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Гитлер несколько раз повторил эти фразы в своей необычайно сдержанной речи перед депутатами, собравшимися в нарядном зале оперного театра, в стенах которого привыкли к спектаклям более легкого жанра. Теперь проходы зала заполнили штурмовики в коричневых рубашках; разбойничьи, покрытые шрамами лица этих людей как бы говорили, что никаких вольностей со стороны народных избранников они не потерпят.</w:t>
      </w:r>
    </w:p>
    <w:p w14:paraId="7A534713" w14:textId="77777777" w:rsidR="007937A6" w:rsidRPr="0044524F" w:rsidRDefault="00A31E2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"Правительство, - обещал Гитлер, - будет пользоваться этими полномочиями лишь при возникновении необходимости принять жизненно важные меры. Существованию рейхстага или рейхсрата это не угрожает. Положение и права президента остаются неприкосновенными... Автономия федеральных земель сохранится. Права церкви не будут ущемляться, ее отношения с государством не изменятся. Число случаев, когда будет возникать потребность применения этого закона, ограничено"</w:t>
      </w:r>
    </w:p>
    <w:p w14:paraId="67DA96EA" w14:textId="77777777" w:rsidR="00A31E28" w:rsidRPr="0044524F" w:rsidRDefault="007937A6"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hAnsi="Times New Roman"/>
          <w:color w:val="000000" w:themeColor="text1"/>
          <w:sz w:val="16"/>
          <w:szCs w:val="16"/>
        </w:rPr>
        <w:t>За проект проголосовал 441 человек, против - 84 (все - социал-демократы). Нацистские депутаты повскакали с мест и огласили зал истошными криками. Затем запели песню "Хорст Вессель", ставшую позднее вторым после "Германия превыше всего" национальным гимном</w:t>
      </w:r>
      <w:r w:rsidR="00A31E28" w:rsidRPr="0044524F">
        <w:rPr>
          <w:rFonts w:ascii="Times New Roman" w:eastAsia="Times New Roman" w:hAnsi="Times New Roman"/>
          <w:color w:val="000000" w:themeColor="text1"/>
          <w:sz w:val="16"/>
          <w:szCs w:val="16"/>
          <w:lang w:eastAsia="ru-RU"/>
        </w:rPr>
        <w:t xml:space="preserve"> (17283).</w:t>
      </w:r>
    </w:p>
    <w:p w14:paraId="47DC8851" w14:textId="77777777" w:rsidR="00A31E28" w:rsidRPr="0044524F" w:rsidRDefault="00A31E28" w:rsidP="009654CF">
      <w:pPr>
        <w:autoSpaceDE w:val="0"/>
        <w:autoSpaceDN w:val="0"/>
        <w:adjustRightInd w:val="0"/>
        <w:spacing w:after="0" w:line="240" w:lineRule="auto"/>
        <w:jc w:val="both"/>
        <w:rPr>
          <w:rFonts w:ascii="Times New Roman" w:hAnsi="Times New Roman"/>
          <w:color w:val="000000" w:themeColor="text1"/>
          <w:sz w:val="16"/>
          <w:szCs w:val="16"/>
        </w:rPr>
      </w:pPr>
    </w:p>
    <w:p w14:paraId="7266682F" w14:textId="77777777" w:rsidR="00F277B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DB7CE54" w14:textId="77777777" w:rsidR="00F277B1" w:rsidRPr="0044524F" w:rsidRDefault="00F277B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F736513"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марта 1933 закончился второй этап госиспытаний второго ЦКБ-3, который проходил с 14 января. Испытания подтвердили высокие летные характеристики машины. Поэтому еще до их завершения, 2 февраля 1934 г., отмечая вклад кол</w:t>
      </w:r>
      <w:r w:rsidRPr="0044524F">
        <w:rPr>
          <w:rFonts w:ascii="Times New Roman" w:hAnsi="Times New Roman"/>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8F96DB5"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53F2907E"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марта ЦС Осоавиахима принял шефство над постройкой эскадры дирижаблей им. В.И.Л. (438,641).</w:t>
      </w:r>
    </w:p>
    <w:p w14:paraId="1B9E2684"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1D384948" w14:textId="77777777" w:rsidR="00F277B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36012E5" w14:textId="77777777" w:rsidR="00F277B1" w:rsidRPr="0044524F" w:rsidRDefault="00F277B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7C19675"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марта 1933 вышла Резолюция секретаря Винницкого обкома КП(б)У И.Ливензона: "Я готов выслушать... что угодно, но только не заявление о голодании колхозников и просьбу о продовольственной помощи... Голодают лодыри, тунеядцы, приложившие немало энергии для разложения колхозов..." (10687).</w:t>
      </w:r>
    </w:p>
    <w:p w14:paraId="08B5FA59"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4851D4C4"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24 и 30 марта 1933. Из протокола заседания Политбюро N 134, 1933 г.</w:t>
      </w:r>
    </w:p>
    <w:p w14:paraId="065C3208"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Всесоюзном съезде писателей </w:t>
      </w:r>
    </w:p>
    <w:p w14:paraId="19F813AE"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Согласиться со следующими предложениями культпропа и Оргкомитета: </w:t>
      </w:r>
    </w:p>
    <w:p w14:paraId="5D17CB95"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Созвать съезд союза советских писателей 20 июня 1933 г. в Москве. </w:t>
      </w:r>
    </w:p>
    <w:p w14:paraId="74E9F701"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Порядок дня съезда утвердить следующий: </w:t>
      </w:r>
    </w:p>
    <w:p w14:paraId="4EB5E66F"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Вступительное слово при открытии съезда (А. М. Горький). </w:t>
      </w:r>
    </w:p>
    <w:p w14:paraId="335620F1"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Отчет Оргкомитета союза советских писателей (т. Гронский). </w:t>
      </w:r>
    </w:p>
    <w:p w14:paraId="0A3A979E"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докладу т. Гронского развернуть прения по существу задач литературы с выступлением ряда писателей по вопросам прозы и поэзии. </w:t>
      </w:r>
    </w:p>
    <w:p w14:paraId="04D7489E"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 задачах современной драматургии (вступительное слово — т. Кирпотин, содокладчиками от отдельных течений драматургии — В. Киршон, А. Толстой, Н. Погодин). </w:t>
      </w:r>
    </w:p>
    <w:p w14:paraId="52097C10"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 Устав союза советских писателей (т. Субоций). </w:t>
      </w:r>
    </w:p>
    <w:p w14:paraId="50E94129"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 Выборы правления союза светских писателей и ревизионной комиссии... </w:t>
      </w:r>
    </w:p>
    <w:p w14:paraId="1F75A973"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докладчиков представить тезисы своих докладов на съезде и проекты резолюций на утверждение ЦК не позднее 1 мая 1933 г. (11652).</w:t>
      </w:r>
    </w:p>
    <w:p w14:paraId="7FF2554C"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1D00CE15" w14:textId="238B7078" w:rsidR="00F319CB" w:rsidRPr="0044524F" w:rsidRDefault="00F319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марта 1933 г. ЦК Осоавиахима принял шефство над постройкой эскадры дирижаблей имени В.И.Ленина, начатой по инициативе центральных газет, организовавших сбор средств на эту эскадру. На строительство дирижаблей было собрано 27 миллионов рублей. Дирижаблям были даны названия - имена руководителей партии и правительства. Однако, эскадра не была построена. Отсутствие в СССР опыта в 1933 – 1935 гг. в постройке полужестких и жестких дирижаблей тормозило создание эскадры. а когда был достигнут первый успех /1935/, дирижаблями уже пере</w:t>
      </w:r>
      <w:r w:rsidRPr="0044524F">
        <w:rPr>
          <w:rFonts w:ascii="Times New Roman" w:hAnsi="Times New Roman"/>
          <w:color w:val="000000" w:themeColor="text1"/>
          <w:sz w:val="16"/>
          <w:szCs w:val="16"/>
        </w:rPr>
        <w:softHyphen/>
        <w:t>ев интересоваться, так как их былое преимущество перед самолетами заметно стало падать.</w:t>
      </w:r>
    </w:p>
    <w:p w14:paraId="42EEB2C7" w14:textId="77777777" w:rsidR="00F319CB" w:rsidRPr="0044524F" w:rsidRDefault="00F319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/"Советское дирижаблестроение», 1933; "Самолет”, 1933 №/ (23370).</w:t>
      </w:r>
    </w:p>
    <w:p w14:paraId="5A4D4A24" w14:textId="77777777" w:rsidR="00F319CB" w:rsidRPr="0044524F" w:rsidRDefault="00F319CB" w:rsidP="009654CF">
      <w:pPr>
        <w:spacing w:after="0" w:line="240" w:lineRule="auto"/>
        <w:jc w:val="both"/>
        <w:rPr>
          <w:rFonts w:ascii="Times New Roman" w:hAnsi="Times New Roman"/>
          <w:color w:val="000000" w:themeColor="text1"/>
          <w:sz w:val="16"/>
          <w:szCs w:val="16"/>
        </w:rPr>
      </w:pPr>
    </w:p>
    <w:p w14:paraId="0EBF517A" w14:textId="77777777" w:rsidR="00F277B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CA57B60" w14:textId="77777777" w:rsidR="00F277B1" w:rsidRPr="0044524F" w:rsidRDefault="00F277B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37B0BB5"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марта 1933 в Германии вступил в силу закон о предоставлении чрезвычайных полномочий правительству (3186).</w:t>
      </w:r>
    </w:p>
    <w:p w14:paraId="327D05EE"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015959E0" w14:textId="77777777" w:rsidR="00F277B1" w:rsidRPr="0044524F" w:rsidRDefault="00F277B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марта 1933 на четыре года Гитлеру предоставлены диктаторские полномочия в Германии (4962).</w:t>
      </w:r>
    </w:p>
    <w:p w14:paraId="5BD994C1" w14:textId="77777777" w:rsidR="00F277B1" w:rsidRPr="0044524F" w:rsidRDefault="00F277B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2C9AAA"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марта 1933 был принят закон о наделении Гитлера чрезвычайными полномочиями, который не только де-факто, но и де-юре свел на нет роль райхстага как высшего законодательного органа страны. «Имперские законы могут издаваться имперским правительством», — говорилось в этом законе (Dokumente der deutschen Politik. Bd. l, Berlin 1942. S. 61.). Поддерживать отношения с режимом, выступавшим с крайних позиций антикоммунизма, антисоветизма и антисемитизма и установившим в короткий срок жесточайший террор внутри страны, Москва не решилась. Военного министра Бломберга (Крестинский называл его «наш друг» и «дружественный человек» (АВП РФ, ф. 05, оп. 9, п. 45, д. 32, л. 114.)) она вряд ли могла — в отличие от Шляйхера — рассматривать как гаранта сохранения прежнего качества отношений между СССР и Германией. И хотя Гитлер в своем правительственном заявлении в райхстаге 23 марта 1933 г. заявил о своих намерениях «сохранить дружеские отношения с СССР» негативное отношение советских лидеров к Гитлеру не ослабло (11784).</w:t>
      </w:r>
    </w:p>
    <w:p w14:paraId="5B3635EF" w14:textId="77777777" w:rsidR="00F277B1" w:rsidRPr="0044524F" w:rsidRDefault="00F277B1" w:rsidP="009654CF">
      <w:pPr>
        <w:autoSpaceDE w:val="0"/>
        <w:autoSpaceDN w:val="0"/>
        <w:adjustRightInd w:val="0"/>
        <w:spacing w:after="0" w:line="240" w:lineRule="auto"/>
        <w:jc w:val="both"/>
        <w:rPr>
          <w:rFonts w:ascii="Times New Roman" w:hAnsi="Times New Roman"/>
          <w:color w:val="000000" w:themeColor="text1"/>
          <w:sz w:val="16"/>
          <w:szCs w:val="16"/>
        </w:rPr>
      </w:pPr>
    </w:p>
    <w:p w14:paraId="49C00B48" w14:textId="77777777" w:rsidR="00F277B1" w:rsidRPr="0044524F" w:rsidRDefault="00F277B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марта 1933 фашистский рейхстаг объявил 1 мая Днем национального труда (4962).</w:t>
      </w:r>
    </w:p>
    <w:p w14:paraId="677DB3DA" w14:textId="77777777" w:rsidR="00F277B1" w:rsidRPr="0044524F" w:rsidRDefault="00F277B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69A535"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BF3DB7D"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5382034"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марта 1933 года начальник управления военных изобретений НВ Г. Новиков писал письмо № 340587с начальнику УВВС Алкснису.</w:t>
      </w:r>
    </w:p>
    <w:p w14:paraId="453843E8"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программе опытного самолетостроения 39-го завода имеется разработка и постройка 2-х стратосферных машин, переданных на завод из ЦАГИ и из БНК.</w:t>
      </w:r>
    </w:p>
    <w:p w14:paraId="1A91ED08"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этих двух машин, машина конструкции Лавочкина, переданная из БНК, в связи с ликвидацией, законсервирована на неопределенное время.</w:t>
      </w:r>
    </w:p>
    <w:p w14:paraId="6B3F05E6"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конструкция этой машины по устройству герметической кабины и наддувающему хозяйству для мотора, обеспечивающему машине большую высотность, представляет исключительный интерес, прошу Вашего распоряжения поддержать вопрос о восстановлении работ по машине Лавочкина в 1933 году.</w:t>
      </w:r>
    </w:p>
    <w:p w14:paraId="6BD23905"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разбирался на стратосферной комиссии при Госплане под председательством Зарзара. Причем принято решение ходатайствовать перед правительством о восстановлении работ по машине Лавочкина (6779, 44).</w:t>
      </w:r>
    </w:p>
    <w:p w14:paraId="7AE26761"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A4EA19"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марта 1933 года начальник 4 сектора 1 отдела Алексеевский писал письмо начальнику 1 отдела штаба ВВС.</w:t>
      </w:r>
    </w:p>
    <w:p w14:paraId="03B5B6A6"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 по самолету НИАИ</w:t>
      </w:r>
    </w:p>
    <w:p w14:paraId="6D2CB18E"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мною специально не осматривался. Видел его на земле и в полете при испытаниях.</w:t>
      </w:r>
    </w:p>
    <w:p w14:paraId="66A477B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конструктивно не доработан. В полевых условиях, под дождем скоро выйдет из строя. Разборка и сборка требуют 5 человек и 2 часа работы. Хранить придется в основном под открытым небом - большой размах - 12 метров.</w:t>
      </w:r>
    </w:p>
    <w:p w14:paraId="4E918D4F"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в 2800 м и отсутствие вооружения исключает боевое применение самолета над территорией противника.</w:t>
      </w:r>
    </w:p>
    <w:p w14:paraId="40E6E3C5"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посадки и взлета требует хорошего и обширного аэродрома. Взлетать с необорудованных площадок с нагрузкой не может. Может быть использован как самолет связи между аэродромами крупного авиационного соединения, либо - как санитарный самолет.</w:t>
      </w:r>
    </w:p>
    <w:p w14:paraId="74BCCEC3"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штабной самолет - негоден. Лучше иметь боевую машину. Выполнение же задач связи и транспорта в интересах штабов и авиационных соединений - в понятие штабного самолета не входит.</w:t>
      </w:r>
    </w:p>
    <w:p w14:paraId="0A54F2A6"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десантных задач не годен.</w:t>
      </w:r>
    </w:p>
    <w:p w14:paraId="77ED7BAE"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Сбрасывание людей на парашюте почти невозможно. Сбрасывание же грузов общим весом с парашютами до 250 кг, требует специальной проверки возможности подвески и летных данных с подвешенными грузами.</w:t>
      </w:r>
    </w:p>
    <w:p w14:paraId="6CAEB6F2"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Лучше взять нормальный боевой самолет, даже типа Р-1.</w:t>
      </w:r>
    </w:p>
    <w:p w14:paraId="05AD621F"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В военное время может быть использован для связи между аэродромами и санитарной эвакуации (3899,1).</w:t>
      </w:r>
    </w:p>
    <w:p w14:paraId="6799EAA5"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16CB9C4D" w14:textId="77777777" w:rsidR="00B06AD3" w:rsidRPr="0044524F" w:rsidRDefault="00B06AD3" w:rsidP="009654CF">
      <w:pPr>
        <w:pStyle w:val="47"/>
        <w:shd w:val="clear" w:color="auto" w:fill="auto"/>
        <w:spacing w:line="240" w:lineRule="auto"/>
        <w:ind w:firstLine="0"/>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25 марта 1933 г. в ЦАГИ закончились начатые 15 марта официальные летные испытания БИЧ-7А, целью которых стало выявление летных качеств, характеристик устойчи</w:t>
      </w:r>
      <w:r w:rsidRPr="0044524F">
        <w:rPr>
          <w:rFonts w:ascii="Times New Roman" w:hAnsi="Times New Roman" w:cs="Times New Roman"/>
          <w:color w:val="000000" w:themeColor="text1"/>
          <w:sz w:val="16"/>
          <w:szCs w:val="16"/>
        </w:rPr>
        <w:softHyphen/>
        <w:t>вости и управляемости. Руково</w:t>
      </w:r>
      <w:r w:rsidRPr="0044524F">
        <w:rPr>
          <w:rFonts w:ascii="Times New Roman" w:hAnsi="Times New Roman" w:cs="Times New Roman"/>
          <w:color w:val="000000" w:themeColor="text1"/>
          <w:sz w:val="16"/>
          <w:szCs w:val="16"/>
        </w:rPr>
        <w:softHyphen/>
        <w:t>дил испытаниями инженер Ю.А. Победо</w:t>
      </w:r>
      <w:r w:rsidRPr="0044524F">
        <w:rPr>
          <w:rFonts w:ascii="Times New Roman" w:hAnsi="Times New Roman" w:cs="Times New Roman"/>
          <w:color w:val="000000" w:themeColor="text1"/>
          <w:sz w:val="16"/>
          <w:szCs w:val="16"/>
        </w:rPr>
        <w:softHyphen/>
        <w:t>носцев, летали Благин и Корзинщиков.</w:t>
      </w:r>
    </w:p>
    <w:p w14:paraId="1C380014" w14:textId="77777777" w:rsidR="00B06AD3" w:rsidRPr="0044524F" w:rsidRDefault="00B06AD3" w:rsidP="009654CF">
      <w:pPr>
        <w:pStyle w:val="47"/>
        <w:shd w:val="clear" w:color="auto" w:fill="auto"/>
        <w:spacing w:line="240" w:lineRule="auto"/>
        <w:ind w:firstLine="0"/>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Признавалось, что для имеющейся нагрузки на крыло аэродинамические данные достаточно хорошие, самолет вполне устойчив и легко управляем на всех режимах полета вплоть до скоро</w:t>
      </w:r>
      <w:r w:rsidRPr="0044524F">
        <w:rPr>
          <w:rFonts w:ascii="Times New Roman" w:hAnsi="Times New Roman" w:cs="Times New Roman"/>
          <w:color w:val="000000" w:themeColor="text1"/>
          <w:sz w:val="16"/>
          <w:szCs w:val="16"/>
        </w:rPr>
        <w:softHyphen/>
        <w:t>сти 193 км/ч при центровке 38% САХ.</w:t>
      </w:r>
    </w:p>
    <w:p w14:paraId="2B67CB65" w14:textId="77777777" w:rsidR="00B06AD3" w:rsidRPr="0044524F" w:rsidRDefault="00B06AD3" w:rsidP="009654CF">
      <w:pPr>
        <w:pStyle w:val="47"/>
        <w:shd w:val="clear" w:color="auto" w:fill="auto"/>
        <w:spacing w:line="240" w:lineRule="auto"/>
        <w:ind w:firstLine="0"/>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Мотор «Люцифер», заводской №1079, работал неудовлетворительно - этот двигатель отличался неуравнове</w:t>
      </w:r>
      <w:r w:rsidRPr="0044524F">
        <w:rPr>
          <w:rFonts w:ascii="Times New Roman" w:hAnsi="Times New Roman" w:cs="Times New Roman"/>
          <w:color w:val="000000" w:themeColor="text1"/>
          <w:sz w:val="16"/>
          <w:szCs w:val="16"/>
        </w:rPr>
        <w:softHyphen/>
        <w:t>шенностью и заметной тряской в рабо</w:t>
      </w:r>
      <w:r w:rsidRPr="0044524F">
        <w:rPr>
          <w:rFonts w:ascii="Times New Roman" w:hAnsi="Times New Roman" w:cs="Times New Roman"/>
          <w:color w:val="000000" w:themeColor="text1"/>
          <w:sz w:val="16"/>
          <w:szCs w:val="16"/>
        </w:rPr>
        <w:softHyphen/>
        <w:t>те. В дальнейшем предлагалось исполь</w:t>
      </w:r>
      <w:r w:rsidRPr="0044524F">
        <w:rPr>
          <w:rFonts w:ascii="Times New Roman" w:hAnsi="Times New Roman" w:cs="Times New Roman"/>
          <w:color w:val="000000" w:themeColor="text1"/>
          <w:sz w:val="16"/>
          <w:szCs w:val="16"/>
        </w:rPr>
        <w:softHyphen/>
        <w:t>зовать отечественный двигатель М-11 мощностью 100 л.с.</w:t>
      </w:r>
    </w:p>
    <w:p w14:paraId="47F2AA26" w14:textId="77777777" w:rsidR="00B06AD3" w:rsidRPr="0044524F" w:rsidRDefault="00B06A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БИЧ-7А оценивалась как перетяжеленная, в случае уменьше</w:t>
      </w:r>
      <w:r w:rsidRPr="0044524F">
        <w:rPr>
          <w:rFonts w:ascii="Times New Roman" w:hAnsi="Times New Roman"/>
          <w:color w:val="000000" w:themeColor="text1"/>
          <w:sz w:val="16"/>
          <w:szCs w:val="16"/>
        </w:rPr>
        <w:softHyphen/>
        <w:t>ния полетного веса ожидались более высокие летные показатели. Общим вы</w:t>
      </w:r>
      <w:r w:rsidRPr="0044524F">
        <w:rPr>
          <w:rFonts w:ascii="Times New Roman" w:hAnsi="Times New Roman"/>
          <w:color w:val="000000" w:themeColor="text1"/>
          <w:sz w:val="16"/>
          <w:szCs w:val="16"/>
        </w:rPr>
        <w:softHyphen/>
        <w:t>водом стало признание целесообразно</w:t>
      </w:r>
      <w:r w:rsidRPr="0044524F">
        <w:rPr>
          <w:rFonts w:ascii="Times New Roman" w:hAnsi="Times New Roman"/>
          <w:color w:val="000000" w:themeColor="text1"/>
          <w:sz w:val="16"/>
          <w:szCs w:val="16"/>
        </w:rPr>
        <w:softHyphen/>
        <w:t>сти дальнейшего изготовления новых, более совершенных с конструктивной стороны, самолетов бесхвостого типа по испытанной схеме. Б.И. Черановский за создание БИЧ-7А был награжден Ор</w:t>
      </w:r>
      <w:r w:rsidRPr="0044524F">
        <w:rPr>
          <w:rFonts w:ascii="Times New Roman" w:hAnsi="Times New Roman"/>
          <w:color w:val="000000" w:themeColor="text1"/>
          <w:sz w:val="16"/>
          <w:szCs w:val="16"/>
        </w:rPr>
        <w:softHyphen/>
        <w:t>деном Красной Звезды (17470).</w:t>
      </w:r>
    </w:p>
    <w:p w14:paraId="43764015" w14:textId="77777777" w:rsidR="00B06AD3" w:rsidRPr="0044524F" w:rsidRDefault="00B06AD3" w:rsidP="009654CF">
      <w:pPr>
        <w:spacing w:after="0" w:line="240" w:lineRule="auto"/>
        <w:jc w:val="both"/>
        <w:rPr>
          <w:rFonts w:ascii="Times New Roman" w:hAnsi="Times New Roman"/>
          <w:color w:val="000000" w:themeColor="text1"/>
          <w:sz w:val="16"/>
          <w:szCs w:val="16"/>
        </w:rPr>
      </w:pPr>
    </w:p>
    <w:p w14:paraId="2A853C06"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марта 1933 М-34Р был предъявлен на гос. испытания (2310,130).</w:t>
      </w:r>
    </w:p>
    <w:p w14:paraId="545C763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7A2FF31E"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марта 1933 открылась Первая всесоюзная конференция по аэродинамике дирижаблей (438,641).</w:t>
      </w:r>
    </w:p>
    <w:p w14:paraId="1C8ECF9E"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332D2322" w14:textId="77777777" w:rsidR="000E0368" w:rsidRPr="0044524F" w:rsidRDefault="000E03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марта 1933 г. в Москве состоялась первая Всесоюзная конференция по аэро</w:t>
      </w:r>
    </w:p>
    <w:p w14:paraId="65A9A837" w14:textId="77777777" w:rsidR="000E0368" w:rsidRPr="0044524F" w:rsidRDefault="000E03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динамике дирижаблей, созванная Дирижаблестроем и Всесоюзным центром по аэродинамике. Присутствовали представители Академии наук, Института математики и механики, ЦАГИ и ряда научно-исследовательских институтов и высших учебных заведений ВВС и ГВФ. Конференция обсудила ряд докладов по наиболее актуальным вопросам аэродинамики дирижаблей и план научно-исследовательских работ на вторую пятилетку.</w:t>
      </w:r>
    </w:p>
    <w:p w14:paraId="38A73028" w14:textId="77777777" w:rsidR="000E0368" w:rsidRPr="0044524F" w:rsidRDefault="000E03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ЦИК СССР” за 2б марта 1933/ (23370).</w:t>
      </w:r>
    </w:p>
    <w:p w14:paraId="00EF30C6" w14:textId="77777777" w:rsidR="000E0368" w:rsidRPr="0044524F" w:rsidRDefault="000E0368" w:rsidP="009654CF">
      <w:pPr>
        <w:spacing w:after="0" w:line="240" w:lineRule="auto"/>
        <w:jc w:val="both"/>
        <w:rPr>
          <w:rFonts w:ascii="Times New Roman" w:hAnsi="Times New Roman"/>
          <w:color w:val="000000" w:themeColor="text1"/>
          <w:sz w:val="16"/>
          <w:szCs w:val="16"/>
        </w:rPr>
      </w:pPr>
    </w:p>
    <w:p w14:paraId="7C320F06" w14:textId="77777777" w:rsidR="008A3D83" w:rsidRPr="0044524F" w:rsidRDefault="008A3D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марта 1933 «СССР В-3» вылетел по маршруту Долгопрудная — Ярославль — Долгопрудная. Возвращаясь из Ярославля, он вследствие небла</w:t>
      </w:r>
      <w:r w:rsidRPr="0044524F">
        <w:rPr>
          <w:rFonts w:ascii="Times New Roman" w:hAnsi="Times New Roman"/>
          <w:color w:val="000000" w:themeColor="text1"/>
          <w:sz w:val="16"/>
          <w:szCs w:val="16"/>
        </w:rPr>
        <w:softHyphen/>
        <w:t>гоприятных погодных условий сделал вынуж</w:t>
      </w:r>
      <w:r w:rsidRPr="0044524F">
        <w:rPr>
          <w:rFonts w:ascii="Times New Roman" w:hAnsi="Times New Roman"/>
          <w:color w:val="000000" w:themeColor="text1"/>
          <w:sz w:val="16"/>
          <w:szCs w:val="16"/>
        </w:rPr>
        <w:softHyphen/>
        <w:t>денную посадку в саду при Успенском технику</w:t>
      </w:r>
      <w:r w:rsidRPr="0044524F">
        <w:rPr>
          <w:rFonts w:ascii="Times New Roman" w:hAnsi="Times New Roman"/>
          <w:color w:val="000000" w:themeColor="text1"/>
          <w:sz w:val="16"/>
          <w:szCs w:val="16"/>
        </w:rPr>
        <w:softHyphen/>
        <w:t>ме, близь разъезда Шуйково Северной железной дороги, что привело к повреждению оболочки.</w:t>
      </w:r>
    </w:p>
    <w:p w14:paraId="27775C75" w14:textId="77777777" w:rsidR="008A3D83" w:rsidRPr="0044524F" w:rsidRDefault="008A3D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Авария стала следствием ошибок, допущенных командиром корабля И.И. Мейснером. Вылет из Ярославля проходил в плохих метеоусловиях. В ходе полёта Мейснер отказался от возвращения и посадки в Ростове. Приняв решение садиться в Переславле-Залесском, он при подходе к городу передумал и стал пробиваться к Москве. Не пре</w:t>
      </w:r>
      <w:r w:rsidRPr="0044524F">
        <w:rPr>
          <w:rFonts w:ascii="Times New Roman" w:hAnsi="Times New Roman"/>
          <w:color w:val="000000" w:themeColor="text1"/>
          <w:sz w:val="16"/>
          <w:szCs w:val="16"/>
        </w:rPr>
        <w:softHyphen/>
        <w:t>одолев встречный ветер и потеряв до двух часов, дирижабль вернулся к Переславлю. Теперь спуск проходил в темноте при недостатке горючего, что затруднило маневрирование (20120).</w:t>
      </w:r>
    </w:p>
    <w:p w14:paraId="2922B0F9" w14:textId="77777777" w:rsidR="008A3D83" w:rsidRPr="0044524F" w:rsidRDefault="008A3D83" w:rsidP="009654CF">
      <w:pPr>
        <w:spacing w:after="0" w:line="240" w:lineRule="auto"/>
        <w:jc w:val="both"/>
        <w:rPr>
          <w:rFonts w:ascii="Times New Roman" w:hAnsi="Times New Roman"/>
          <w:color w:val="000000" w:themeColor="text1"/>
          <w:sz w:val="16"/>
          <w:szCs w:val="16"/>
        </w:rPr>
      </w:pPr>
    </w:p>
    <w:p w14:paraId="2DBFB4D8"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E899125"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E9207A3"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25–26 марта 1933 г. на полигоне «Выстрел» в Кунцеве была испытана 152-мм ДРП Курчевского с улучшенной баллистикой, надствольным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733BF831"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Данные установки </w:t>
      </w:r>
    </w:p>
    <w:p w14:paraId="5EAD52EE"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 мм — 152,4</w:t>
      </w:r>
    </w:p>
    <w:p w14:paraId="3A535A4A"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ствола без сопла, мм/клб — 5090/33,5</w:t>
      </w:r>
    </w:p>
    <w:p w14:paraId="2ABB9CF4"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сопла, мм — 1750</w:t>
      </w:r>
    </w:p>
    <w:p w14:paraId="7A810ED5"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Угол ВН, град — 25; +35</w:t>
      </w:r>
    </w:p>
    <w:p w14:paraId="44230B8C"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ГН, град — 270</w:t>
      </w:r>
    </w:p>
    <w:p w14:paraId="0F7ED19B"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ствола с тумбой, кг — 750 (по др. источникам 850)</w:t>
      </w:r>
    </w:p>
    <w:p w14:paraId="0F3BCF53"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Возимый боекомплект, выстр — 20</w:t>
      </w:r>
    </w:p>
    <w:p w14:paraId="048D567B"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 чел — 2–3</w:t>
      </w:r>
    </w:p>
    <w:p w14:paraId="3D3B706B"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снаряда, кг — 24</w:t>
      </w:r>
    </w:p>
    <w:p w14:paraId="2C549A81"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Начальная скорость, м/с — 450</w:t>
      </w:r>
    </w:p>
    <w:p w14:paraId="44B8145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предельная, м — 8500</w:t>
      </w:r>
    </w:p>
    <w:p w14:paraId="64F12066"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Скорострельность — 4 выстрела за 45–60 с.</w:t>
      </w:r>
    </w:p>
    <w:p w14:paraId="1174DE3F"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результатам испытаний комиссия отметила, что:</w:t>
      </w:r>
    </w:p>
    <w:p w14:paraId="4B7ECDA9"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Стрельба должна вестись исключительно с места.</w:t>
      </w:r>
    </w:p>
    <w:p w14:paraId="5AA49DC4"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Платформа при стрельбе неустойчива, требуются упоры в грунт.</w:t>
      </w:r>
    </w:p>
    <w:p w14:paraId="78454C14"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1584A05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1935 г. Курчевский включил себе в план работ «разработать проект, рабочие чертежи и изготовить один опытный образец СПК-152» (152-мм самоходной пушки Курчевского на шасси автомобиля «ЗИС-6»).</w:t>
      </w:r>
    </w:p>
    <w:p w14:paraId="1C07F3DD"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и другие проекты 152-мм ДРП Курчевского, но ни одна из них не поступила ни на вооружение, ни в серийное производство (12091).</w:t>
      </w:r>
    </w:p>
    <w:p w14:paraId="782318FC"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7582621F"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25—26 марта 1933 г. на полигоне «Выстрел» в Кунцево была испытана 152-мм ДРП Курчевского с улучшенной баллистикой, надствольным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25FB32BA" w14:textId="77777777" w:rsidR="0008514E" w:rsidRPr="0044524F" w:rsidRDefault="0008514E"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bCs/>
          <w:color w:val="000000" w:themeColor="text1"/>
          <w:sz w:val="16"/>
          <w:szCs w:val="16"/>
        </w:rPr>
        <w:t>Данные установки</w:t>
      </w:r>
    </w:p>
    <w:p w14:paraId="30D5DFF7"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 мм …… 152,4*</w:t>
      </w:r>
    </w:p>
    <w:p w14:paraId="17FDCAC5"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ствола без сопла, мм/клб …… 5090/33,5</w:t>
      </w:r>
    </w:p>
    <w:p w14:paraId="7E589857"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сопла, мм …… 1750</w:t>
      </w:r>
    </w:p>
    <w:p w14:paraId="27D94B53"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ВН, град. …… -5°; +35°</w:t>
      </w:r>
    </w:p>
    <w:p w14:paraId="562B8398"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ГН, град …… 270°</w:t>
      </w:r>
    </w:p>
    <w:p w14:paraId="5E645341"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ствола с тумбой, кг …… 750 (по др. источникам— 850)</w:t>
      </w:r>
    </w:p>
    <w:p w14:paraId="49DADA2D"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Возимый боекомплект, выстр …… 20</w:t>
      </w:r>
    </w:p>
    <w:p w14:paraId="6BF0C9F6"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 чел. …… 2—3</w:t>
      </w:r>
    </w:p>
    <w:p w14:paraId="0F80C580"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снаряда, кг …… 24</w:t>
      </w:r>
    </w:p>
    <w:p w14:paraId="5A257EF7"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Начальная скорость, м/с …… 450</w:t>
      </w:r>
    </w:p>
    <w:p w14:paraId="6B849DCC"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предельная, м …… 8500</w:t>
      </w:r>
    </w:p>
    <w:p w14:paraId="59A693AB"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Скорострельность …… 4 выстрела за 45—60 с</w:t>
      </w:r>
    </w:p>
    <w:p w14:paraId="667BEB00"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результатам испытаний комиссия отметила, что:</w:t>
      </w:r>
    </w:p>
    <w:p w14:paraId="3AF33DB6"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Стрельба должна вестись исключительно с места.</w:t>
      </w:r>
    </w:p>
    <w:p w14:paraId="20933960"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Платформа при стрельбе неустойчива, требуются упоры в грунт.</w:t>
      </w:r>
    </w:p>
    <w:p w14:paraId="4B0CCB93"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Целесообразно для 152-мм гаубицы подыскать более мощный автомобиль, например, ЯГ-5.</w:t>
      </w:r>
    </w:p>
    <w:p w14:paraId="44EAACFB"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1935 г. Курчевский включил себе в план работ «разработать проект, рабочие чертежи и изготовить один опытный образец СПК-152» (152-мм самоходной пушки Курчевского на шасси автомобиля ЗИС-6).</w:t>
      </w:r>
    </w:p>
    <w:p w14:paraId="79FAE635"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и другие проекты 152-мм ДРП Курчевского, но ни одна из них не&gt; поступила ни на вооружение, ни в серийное производство.</w:t>
      </w:r>
    </w:p>
    <w:p w14:paraId="295E74F8"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Письмом от 24 июля 1930 г. «Оружобъединение» поставило в известность завод «Большевик» о предстоящем изготовлении 305-мм ДРП Курчевского и 50 снарядов.</w:t>
      </w:r>
    </w:p>
    <w:p w14:paraId="27BA0F5C"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Ствол без сопла и затвора завод «Большевик» закончил в мае 1931 г. 20 штук чугунных ядер весом 350 кг отправили на НИАП 17 июня 1931 г.</w:t>
      </w:r>
    </w:p>
    <w:p w14:paraId="27EBF7EB"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посещении завода «Большевик» в январе 1932 г. Курчевский дал указание укоротить ствол на 10 калибров и оставить длину 3429 мм, то есть 11,2 калибра, а вес снаряда уменьшить до 250 кг.</w:t>
      </w:r>
    </w:p>
    <w:p w14:paraId="2292AE64"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1932 г. на НИАПе было произведено испытание 305-мм мортиры ДРП. Результаты испытаний: заряжание производилось с дула чугунным ядром длиной 485 мм. Вес орудия с соплом около 1 т. Длина нарезной части 10 калибров. Вес всей системы около 5 т. Систему решено установить на 5-тонный автомобиль. При весе снаряда 250 кг, весе заряда 90 кг и начальной скорости 498,6 м/с давление в канале составило 1100 кг/см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7038F8C2"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54AC20CA"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11т. Расчетные баллистические данные: вес фугасного снаряда 250 кг; начальная скорость 600 м/с; дальность стрельбы 16 км.</w:t>
      </w:r>
    </w:p>
    <w:p w14:paraId="6A72B807"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4E0ACBCB"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w:t>
      </w:r>
    </w:p>
    <w:p w14:paraId="0F391021"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Внутренний диаметр сопла у каморы 230 мм, а сзади диаметр 810 мм. Заглушка деревянная диаметром 305 мм толщиной 75 мм. Ее прижимали длинным прибойником к переднему срезу сопла.</w:t>
      </w:r>
    </w:p>
    <w:p w14:paraId="1B2C6C40"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запальное отверстие вставлялась запальная трубка. После вставки заряда трубка оказывалась между зарядом и запалом. Снаряд заряжался с помощью талей и прибойника.</w:t>
      </w:r>
    </w:p>
    <w:p w14:paraId="124197D0"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Понятно, что эта ДРП была лишь макетом орудия. Поэтому в 1933—1934 гг. Курчевский разработал проект новой установки — 305-мм самоходной полевой гаубицы Курчевского (СПГК). За проект Курчевский получил 700 тыс. рублей.</w:t>
      </w:r>
    </w:p>
    <w:p w14:paraId="7969C1C1"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 г. завод «Большевик» изготовил 305-мм гаубичный ствол длиной в 16 калибров, а установку к нему сделал завод № 38. Вес установки был 11 т. Расчетные баллистические данные: вес фугасного снаряда 250 кг; начальная скорость 600 м/с; дальность стрельбы 16 км.</w:t>
      </w:r>
    </w:p>
    <w:p w14:paraId="693AF5FB"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ее прошли неудачно, и в 1935 г. в план работ Курчевский включил разработать рабочий чертеж и изготовить опытный образец 305-мм гаубицы СПГК-305.</w:t>
      </w:r>
    </w:p>
    <w:p w14:paraId="15FB9B8B"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Ствол 305-мм гаубицы СПГК-305 был изготовлен в 1935 г. на заводе «Большевик». Тумба с механизмами изготовлена на заводе № 38, там же была собрана и вся установка. Вес ее ствола с тумбой и механизмами был около 5,5 т. Гаубицу хотели установить на опытном; трехосном грузовике Я-8—5 с двигателем мощностью 102 л. с. К 1 января 1936 г. 305-мм гаубица СПГК-305 имела готовность 98% (15117).</w:t>
      </w:r>
    </w:p>
    <w:p w14:paraId="708AD28C" w14:textId="77777777" w:rsidR="0008514E" w:rsidRPr="0044524F" w:rsidRDefault="0008514E" w:rsidP="009654CF">
      <w:pPr>
        <w:spacing w:after="0" w:line="240" w:lineRule="auto"/>
        <w:jc w:val="both"/>
        <w:rPr>
          <w:rFonts w:ascii="Times New Roman" w:hAnsi="Times New Roman"/>
          <w:color w:val="000000" w:themeColor="text1"/>
          <w:sz w:val="16"/>
          <w:szCs w:val="16"/>
        </w:rPr>
      </w:pPr>
    </w:p>
    <w:p w14:paraId="798B4379"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25—26 марта 1933 г. на полигоне «Выстрел» в Кунцево была испытана 152-мм ДРП Курчевского с улучшенной баллистикой, надствольным магазином и заряжанием с дула. ДРП была также установлена на грузовом трехосном автомобиле «Форд». Любопытно, что эта ДРП именовалась уже «гаубицей».</w:t>
      </w:r>
    </w:p>
    <w:p w14:paraId="6EA87842"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Данные установки</w:t>
      </w:r>
    </w:p>
    <w:p w14:paraId="501A6D31"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Калибр, мм 152,4</w:t>
      </w:r>
    </w:p>
    <w:p w14:paraId="20DBDC53"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Длина ствола без сопла, мм/клб. 5090/33,5</w:t>
      </w:r>
    </w:p>
    <w:p w14:paraId="2DA028BB"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Длина сопла, мм 1750</w:t>
      </w:r>
    </w:p>
    <w:p w14:paraId="744759D5"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Угол ВН, град. –5°; +35°</w:t>
      </w:r>
    </w:p>
    <w:p w14:paraId="704E40A7"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Угол ГН, град. 270°</w:t>
      </w:r>
    </w:p>
    <w:p w14:paraId="051345AD"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ствола с тумбой, кг 750</w:t>
      </w:r>
    </w:p>
    <w:p w14:paraId="4F64ACD4"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др. источникам — 850)</w:t>
      </w:r>
    </w:p>
    <w:p w14:paraId="64471695"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Возимый боекомплект, выстр. 20</w:t>
      </w:r>
    </w:p>
    <w:p w14:paraId="163A3C9B"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Расчет, чел. 2—3</w:t>
      </w:r>
    </w:p>
    <w:p w14:paraId="5333BE0E"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снаряда, кг 24</w:t>
      </w:r>
    </w:p>
    <w:p w14:paraId="030EFE53"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Начальная скорость, м/с 450</w:t>
      </w:r>
    </w:p>
    <w:p w14:paraId="713F6475"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Дальность предельная, м 8500</w:t>
      </w:r>
    </w:p>
    <w:p w14:paraId="27FDC016"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Скорострельность 4 выстрела за 45–60 с</w:t>
      </w:r>
    </w:p>
    <w:p w14:paraId="4CBEE5D5"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lastRenderedPageBreak/>
        <w:t>По результатам испытаний комиссия отметила, что:</w:t>
      </w:r>
    </w:p>
    <w:p w14:paraId="5283EE0D" w14:textId="77777777" w:rsidR="00F47692" w:rsidRPr="00142305" w:rsidRDefault="00F47692" w:rsidP="00F47692">
      <w:pPr>
        <w:widowControl w:val="0"/>
        <w:tabs>
          <w:tab w:val="left" w:pos="973"/>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Стрельба должна вестись исключительно с места.</w:t>
      </w:r>
    </w:p>
    <w:p w14:paraId="2A50421D" w14:textId="77777777" w:rsidR="00F47692" w:rsidRPr="00142305" w:rsidRDefault="00F47692" w:rsidP="00F47692">
      <w:pPr>
        <w:widowControl w:val="0"/>
        <w:tabs>
          <w:tab w:val="left" w:pos="982"/>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Платформа при стрельбе неустойчива, требуются упоры в грунт.</w:t>
      </w:r>
    </w:p>
    <w:p w14:paraId="640520C2" w14:textId="77777777" w:rsidR="00F47692" w:rsidRPr="00142305" w:rsidRDefault="00F47692" w:rsidP="00F47692">
      <w:pPr>
        <w:widowControl w:val="0"/>
        <w:tabs>
          <w:tab w:val="left" w:pos="984"/>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Целесообразно для 152-мм гаубицы подыскать более мощный автомобиль, например, ЯГ-5.</w:t>
      </w:r>
    </w:p>
    <w:p w14:paraId="33C6A498"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1935 г. Курчевский включил себе в план работ «разработать проект, рабочие чертежи и изготовить один опытный образец СПК-152» (152-мм самоходной пушки Курчевского на шасси автомобиля ЗИС-6) (25213).</w:t>
      </w:r>
    </w:p>
    <w:p w14:paraId="66A52732" w14:textId="77777777" w:rsidR="00F47692" w:rsidRPr="00142305" w:rsidRDefault="00F47692" w:rsidP="00F47692">
      <w:pPr>
        <w:spacing w:after="0" w:line="240" w:lineRule="auto"/>
        <w:jc w:val="both"/>
        <w:rPr>
          <w:rFonts w:ascii="Times New Roman" w:hAnsi="Times New Roman"/>
          <w:color w:val="0070C0"/>
          <w:sz w:val="16"/>
          <w:szCs w:val="16"/>
        </w:rPr>
      </w:pPr>
    </w:p>
    <w:p w14:paraId="18BC47C3"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25–26 марта 1933 г. бронеавтомобиль БАИ с 37-мм ДРП Курчевского был испытан на полигоне МКУКС в Кунцеве При стрельбе бронебойным снарядом весом 0,6 кг начальная скорость составила 560 м/с, а скорострельность — 1 выстрел за 10 секунд.</w:t>
      </w:r>
    </w:p>
    <w:p w14:paraId="0A19C3E8"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велась с места по щиту на дистанции 250 м. Произведено 11 выстрелов, из них 8 снарядов, то есть 70 %, попали в цель боком, то есть полет их был неправилен, и поэтому судить о меткости невозможно. Дальнейшие стрельбы были прекращены.</w:t>
      </w:r>
    </w:p>
    <w:p w14:paraId="197D5A60"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испытаний были случаи отказов в заряжании: снаряд не доходил до места (в 65 % случаев) или отскакивал. Часто требовалось «доколачивание с дула». В отчете комиссии отмечена невозможность стрельбы с ходу.</w:t>
      </w:r>
    </w:p>
    <w:p w14:paraId="7900C61A"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Также комиссия отметила слишком малый угол вертикального наведения. Конструкция башни БАИ позволяла установить там 76-мм пушку Курчевского, но в этом случае угол вертикального наведения также был бы слишком мал, и система была бы небоеспособна (12091).</w:t>
      </w:r>
    </w:p>
    <w:p w14:paraId="2DBCBA40"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3C41E4D2"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25–26 марта 1933 г. параллельно с бронеавтомобилем БАИ на полигоне МКУКС испытывались танкетка Т-27 и танк Т-26, оснащенные 76-мм пушками Курчевского.</w:t>
      </w:r>
    </w:p>
    <w:p w14:paraId="46F40F46"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танкетке Т-27 была установлена модернизированная авиационная пушка АПК-4 и использовался ее снаряд. Заряд весом 620 г пороха МСК помешался в сгорающей нитротканевой гильзе. Унитарный выстрел заканчивался деревянным поддоном, куски которого после выстрела вылетали через сопло.</w:t>
      </w:r>
    </w:p>
    <w:p w14:paraId="1BFAD91B"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Заряжание производилось с дула. В надствольном магазине помещалось 4 патрона (выстрела) и еще один — в стволе. «Автоматика» пушки действовала за счет мускульной силы стрелка, как и в 37-мм ружье Курчевского РК. Длина ствола с соплом и лотком составляла 2215 мм, а без них — 1058 мм, то есть 14 калибров. Длина нарезной части — 1028 мм. Угол вертикального наведения пушки —1°; +5°, угол поворота — 5°. Пушка выступала за габариты танкетки назад на 335 мм. Высота линии огня пушки — 968 мм. Вес пушки без патронов — 89 кг. На танкетке можно было перевозить 30 выстрелов. Вес Т-27 с пушкой и боекомплектом составлял 2587 кг.</w:t>
      </w:r>
    </w:p>
    <w:p w14:paraId="0167B123"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соплу пушки неподвижно крепился бронещиток толщиной 6,5 мм. Такой же щиток крепился к дульной части ствола в месте соединения лотка со стволом.</w:t>
      </w:r>
    </w:p>
    <w:p w14:paraId="02033468"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отчету об испытаниях Т-27 25–26 марта 1933 г. в Кунцеве:</w:t>
      </w:r>
    </w:p>
    <w:p w14:paraId="4FFE1F19"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«Пушка расположена справа в танкетке. Установка имеет винтовые механизмы вертикального и горизонтального наведения. При стрельбе с ходу горизонтальное наведение возможно только поворотом самой машины…</w:t>
      </w:r>
    </w:p>
    <w:p w14:paraId="62FBD29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испытаний:</w:t>
      </w:r>
    </w:p>
    <w:p w14:paraId="71CAC78A"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Стрельба с места по щиту 6… 6 м с расстояния 500 м. Сделано 10 выстрелов, все в щит. Скорострельность один выстрел за 9 секунд.</w:t>
      </w:r>
    </w:p>
    <w:p w14:paraId="0B55ED6D"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Стрельба с ходу по щиту 6… 6 м на дистанции 500–600 м. Сделано 15 выстрелов. В щит одно попадание.</w:t>
      </w:r>
    </w:p>
    <w:p w14:paraId="7A821E79"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Произошло 6 задержек из-за недосылки снарядов. Сломался рычаг рейки. В ходе стрельб в 40 % выстрелов приходилось шомполом досылать снаряды, выходя из танкетки.</w:t>
      </w:r>
    </w:p>
    <w:p w14:paraId="6CD80AC8"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ходу происходила сильная вибрация всей системы».</w:t>
      </w:r>
    </w:p>
    <w:p w14:paraId="37227A31"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устранения конструктивных неисправностей, обнаруженных в Кунцеве, танкетка Т-27 была вновь испытана 11 июня 1933 г. В ходе испытаний проводилась стрельба с места. Вес снаряда составлял 3,2 кг, вес заряда — 0,62 кг пороха МСК. За 13 секунд было проведено 5 выстрелов. Затем в течение 23 секунд магазин заполнялся патронами. Следующие 4 выстрела произведены за 8 секунд. Итого 9 выстрелов за 44 секунды. Задержек при стрельбе не было (12091).</w:t>
      </w:r>
    </w:p>
    <w:p w14:paraId="40B6740E"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328F1727"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25—26 марта 1933 г. бронеавтомобиль БАИ с 37-мм ДРП Курчевского был испытай на полигоне МКУКС в Кунцеве.</w:t>
      </w:r>
    </w:p>
    <w:p w14:paraId="3677F362"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стрельбе бронебойным снарядом весом 0,6 кг начальная скорость составила 560 м/с, а скорострельность — 1 выстрел за 10 секунд.</w:t>
      </w:r>
    </w:p>
    <w:p w14:paraId="32C0C3A1"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велась с места по щиту на дистанции 250 м. Произведено 11 выстрелов, из них 8 снарядов, то есть 70%, попали в цель боком, то есть полет их был неправилен, и поэтому судить о меткости невозможно. Дальнейшие стрельбы были прекращены.</w:t>
      </w:r>
    </w:p>
    <w:p w14:paraId="281DC6D7"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испытаний были случаи отказов в заряжании: снаряд не доходил до места (в 65% случаев) или отскакивал. Часто требовалось «доколачивание с дула». В отчете комиссии отмечена невозможность стрельбы с хода.</w:t>
      </w:r>
    </w:p>
    <w:p w14:paraId="1961E74C"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Также комиссия отметила слишком малый угол вертикального наведения. Конструкция башни БАИ позволяла установить там 76-мм пушку Курчевского, но в этом случае угол вертикального наведения также был бы слишком мал, и система будет небоеспособна.</w:t>
      </w:r>
    </w:p>
    <w:p w14:paraId="5BF30322"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на бронеавтомобиль БАИ была установлена переделанная 37-мм противотанковая пушка РК БМ. Она устанавливалась в штатной башне бронеавтомобиля, для этого в броне башни спереди и сзади проделывались отверстия и делались приварные окна, прикрытые броневыми щитками. Весило орудие всего 44 кг. Известный танковый конструктор Астров рассказывал автору, что Курчевский умел создавать себе рекламу. Будучи очень сильным мужчиной, он любил ходить по полигону с танковой пушкой на плече.</w:t>
      </w:r>
    </w:p>
    <w:p w14:paraId="14CC15DB"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Углы наведения 37-мм ДРП были крайне малы: так, угол вертикального наведения составлял от -4° до +1°45', а угол поворота — всего 9° (15117).</w:t>
      </w:r>
    </w:p>
    <w:p w14:paraId="746F389D" w14:textId="77777777" w:rsidR="0008514E" w:rsidRPr="0044524F" w:rsidRDefault="0008514E" w:rsidP="009654CF">
      <w:pPr>
        <w:spacing w:after="0" w:line="240" w:lineRule="auto"/>
        <w:jc w:val="both"/>
        <w:rPr>
          <w:rFonts w:ascii="Times New Roman" w:hAnsi="Times New Roman"/>
          <w:color w:val="000000" w:themeColor="text1"/>
          <w:sz w:val="16"/>
          <w:szCs w:val="16"/>
        </w:rPr>
      </w:pPr>
    </w:p>
    <w:p w14:paraId="69DBD8DE"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25—26 марта 1933 г. параллельно с бронеавтомобилем БАИ на полигоне МКУКС испытывались танкетка Т-27 и танк Т-26, оснащенные 76-мм пушками Курчевского.</w:t>
      </w:r>
    </w:p>
    <w:p w14:paraId="321BA3FA"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танкетке Т-27 была установлена модернизированная авиационная пушка АПК-4 и использовался ее снаряд. Заряд весом 620 г пороха МСК помещался в сгорающей нитротканевой гильзе. Унитарный выстрел заканчивался деревянным поддоном, куски которого после выстрела вылетали через сопло.</w:t>
      </w:r>
    </w:p>
    <w:p w14:paraId="696E73CD"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Заряжание производилось с дула. В надствольном магазине помещалось 4 патрона (выстрела), и еще один — в стволе. «Автоматика» пушки действовала за счет мускульной силы стрелка, как и в 37-мм ружье Курчевского РК. Длина ствола с соплом и лотком составляла 2215 мм, а без них —1058 мм, то есть 14 калибров. Длина нарезной части 1028 мм. Угол вертикального наведения пушки -1°; +5°, угол поворота 5°. Пушка выступала за габариты танкетки назад на 335 мм. Высота линии огня пушки 968 мм. Вес пушки без патронов 89 кг. На танкетке можно было перевозить 30 выстрелов. Вес Т-27 с пушкой и боекомплектом составлял 2587 кг.</w:t>
      </w:r>
    </w:p>
    <w:p w14:paraId="4D5D7256"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соплу пушки неподвижно крепился бронещиток толщиной 6,5 мм. Такой же щиток крепился к дульной части ствола в месте соединения лотка со стволом.</w:t>
      </w:r>
    </w:p>
    <w:p w14:paraId="14F8388B"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отчету об испытаниях Т-27 25—26 марта 1933 г. в Кунцево:</w:t>
      </w:r>
    </w:p>
    <w:p w14:paraId="119DE42C"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«Пушка расположена справа в танкетке. Установка имеет винтовые механизмы вертикального и горизонтального наведения. При стрельбе с хода горизонтальное наведение возможно только поворотом самой машины…</w:t>
      </w:r>
    </w:p>
    <w:p w14:paraId="71471DE2"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испытаний:</w:t>
      </w:r>
    </w:p>
    <w:p w14:paraId="50526641"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Стрельба с места по щиту 6 х 6 м с расстояния 500 м. Сделано 10 выстрелов, все в щит. Скорострельность один выстрел за 9 секунд.</w:t>
      </w:r>
    </w:p>
    <w:p w14:paraId="0429AEE6"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Стрельба с хода по щиту 6 х 6 м на дистанции 500—600 м. Сделано 15 выстрелов. В щит одно попадание.</w:t>
      </w:r>
    </w:p>
    <w:p w14:paraId="4E275484"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Произошло б задержек из-за недосылки снарядов. Сломался рычаг рейки. В ходе стрельб в 40% выстрелов приходилось шомполом досылать снаряды, выходя из танкетки.</w:t>
      </w:r>
    </w:p>
    <w:p w14:paraId="55E2372D"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ходу происходила сильная вибрация всей системы» (15117).</w:t>
      </w:r>
    </w:p>
    <w:p w14:paraId="626B906A" w14:textId="77777777" w:rsidR="0008514E" w:rsidRPr="0044524F" w:rsidRDefault="0008514E" w:rsidP="009654CF">
      <w:pPr>
        <w:spacing w:after="0" w:line="240" w:lineRule="auto"/>
        <w:jc w:val="both"/>
        <w:rPr>
          <w:rFonts w:ascii="Times New Roman" w:hAnsi="Times New Roman"/>
          <w:color w:val="000000" w:themeColor="text1"/>
          <w:sz w:val="16"/>
          <w:szCs w:val="16"/>
        </w:rPr>
      </w:pPr>
    </w:p>
    <w:p w14:paraId="53900EE5"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25—26 марта 1933 г. в Кунцеве испытывался третий бронеобъект с 76-мм пушкой Курчевского. Это был легкий двухбашенный танк Т-26. Штатным вооружением таких танков являлись два 7,62-мм пулемета, а в отдельных случаях — 7,62-мм пулемет в одной башне и 37-мм пушка в другой. (Сх. 4)</w:t>
      </w:r>
    </w:p>
    <w:p w14:paraId="58983F9B"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Курчевский установил свою 76-мм безоткатную пушку в правой башне. Конструктивно пушка для Т-26 была выполнена по типу АПК-4, но имела более длинный ствол и сопло — 2100/27,6 мм/клб и 750 мм соответственно, сравнительно с пушкой ТПК-27, у которой ствол имел длину 1058 мм, а сопло — 385 мм. Вес пушки возрос до 110 кг. Несколько большим был и заряд. Благодаря этому начальная скорость возросла до 500 м/с при весе снаряда 4 кг.</w:t>
      </w:r>
    </w:p>
    <w:p w14:paraId="63CD0409"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танка позволила существенно, по сравнению с Т-27, увеличить утлы наведения. Так, угол возвышения стал -7°; +7,7°, а угол поворота (вместе с башней) —135°. В отличие от Т-27 пушка не выступала за габариты танка.</w:t>
      </w:r>
    </w:p>
    <w:p w14:paraId="4B20A83B"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Предоставлю выдержки из отчета комиссии по испытаниям танка Т-26:</w:t>
      </w:r>
    </w:p>
    <w:p w14:paraId="3EE2CCE7"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с места по щиту 6 х 6 м с расстояния 500 м: из 14 выстрелов 10 попаданий в щит.</w:t>
      </w:r>
    </w:p>
    <w:p w14:paraId="1DDBA238"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заряжании, как и на Т-27, частые отказу. Задержки происходили приблизительно в 50% случаев.</w:t>
      </w:r>
    </w:p>
    <w:p w14:paraId="0DEB1231"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стрельбе в 45° к ходу мешает лист подбашенной коробки.</w:t>
      </w:r>
    </w:p>
    <w:p w14:paraId="0E259F18"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 Т-26 с 76-мм пушкой Курчевского не был принят на вооружение. К указанным недостаткам всех пушек Курчевского следует добавить то, что Т-26 был танком сопровождения пехоты, и при стрельбе он бы сжег свою пехоту струями раскаленных газов, по меньшей мере, на 50 м назад. В довершение всего в середине 1933 г. появились новые модели Т-26 с одной башней, в которой была установлена 45-мм пушка 20К.</w:t>
      </w:r>
    </w:p>
    <w:p w14:paraId="54552586" w14:textId="77777777" w:rsidR="0008514E" w:rsidRPr="0044524F" w:rsidRDefault="000851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Кроме того, Курчевским был разработан проект установки 152-мм мортиры ДРП на танк БТ-5. Мортира должна была стрелять 25-кг снарядом с начальной скоростью 250 м/с. Скорострельность составляла 5—6 выстр/мин. Боекомплект 15 выстрелов. Угол вертикального наведения -5°; +15°, угол горизонтального поведения 240° (за счет поворота башни). Работы по танковой мортире были прекращены на стадии рабочего проектирования, дело не дошло даже до испытания опытного образца (15117).</w:t>
      </w:r>
    </w:p>
    <w:p w14:paraId="618D5C4C" w14:textId="77777777" w:rsidR="0008514E" w:rsidRPr="0044524F" w:rsidRDefault="0008514E" w:rsidP="009654CF">
      <w:pPr>
        <w:spacing w:after="0" w:line="240" w:lineRule="auto"/>
        <w:jc w:val="both"/>
        <w:rPr>
          <w:rFonts w:ascii="Times New Roman" w:hAnsi="Times New Roman"/>
          <w:color w:val="000000" w:themeColor="text1"/>
          <w:sz w:val="16"/>
          <w:szCs w:val="16"/>
        </w:rPr>
      </w:pPr>
    </w:p>
    <w:p w14:paraId="012D4235" w14:textId="77777777" w:rsidR="00F47692" w:rsidRPr="00142305" w:rsidRDefault="00F47692" w:rsidP="00F4769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25–26 марта 1933 г. на полигоне МКУКС в Кунцеве был испытан бронеавтомобиль БАИ с 37-мм ДРП Курчевского.</w:t>
      </w:r>
    </w:p>
    <w:p w14:paraId="4051A360"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бронеавтомобиль БАИ была установлена переделанная 37-мм противотанковая пушка РК БМ. Она устанавливалась в штатной башне бронеавтомобиля, для этого в броне башни спереди и сзади проделывались отверстия и делались приварные окна, прикрытые броневыми щитками. Весило орудие всего 44 кг. Известный танковый конструктор Астров рассказывал автору, что Курчевский умел создавать себе рекламу. Будучи очень сильным мужчиной, он любил ходить по полигону с танковой пушкой на плече.</w:t>
      </w:r>
    </w:p>
    <w:p w14:paraId="16F57597" w14:textId="77777777" w:rsidR="00F47692" w:rsidRPr="00142305" w:rsidRDefault="00F47692" w:rsidP="00F4769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Углы наведения 37-мм ДРП были крайне малы: так, угол вертикального наведения составлял от –4° до +1°45′, а угол поворота — всего 9°.</w:t>
      </w:r>
    </w:p>
    <w:p w14:paraId="61ACED62"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стрельбе бронебойным снарядом весом 0,6 кг начальная скорость составила 560 м/с, а скорострельность — 1 выстрел за 10 секунд.</w:t>
      </w:r>
    </w:p>
    <w:p w14:paraId="421BA60A"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Стрельба велась с места по щиту на дистанции 250 м. Произведено 11 выстрелов, из них 8 снарядов, то есть 70 %, попали в цель боком, то есть полет их был неправилен, и поэтому судить о меткости невозможно. Дальнейшие стрельбы были прекращены.</w:t>
      </w:r>
    </w:p>
    <w:p w14:paraId="39BD9484"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Во время испытаний были случаи отказов в заряжании: снаряд не доходил до места (в 65 % случаев) или отскакивал. Часто требовалось «доколачивание с дула». В отчете комиссии отмечена невозможность стрельбы с хода.</w:t>
      </w:r>
    </w:p>
    <w:p w14:paraId="38F75F59"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Также комиссия отметила слишком малый угол вертикального наведения. Конструкция башни БАИ позволяла установить там 76-мм пушку Курчевского, но в этом случае угол вертикального наведения также был бы слишком мал, и система будет небоеспособна (25213).</w:t>
      </w:r>
    </w:p>
    <w:p w14:paraId="0511B98B" w14:textId="77777777" w:rsidR="00F47692" w:rsidRPr="00142305" w:rsidRDefault="00F47692" w:rsidP="00F47692">
      <w:pPr>
        <w:spacing w:after="0" w:line="240" w:lineRule="auto"/>
        <w:jc w:val="both"/>
        <w:rPr>
          <w:rFonts w:ascii="Times New Roman" w:hAnsi="Times New Roman"/>
          <w:color w:val="0070C0"/>
          <w:sz w:val="16"/>
          <w:szCs w:val="16"/>
        </w:rPr>
      </w:pPr>
    </w:p>
    <w:p w14:paraId="1407C5AB"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25–26 марта 1933 г. параллельно с бронеавтомобилем БАИ на полигоне МКУКС испытывались танкетка Т-27 и танк Т-26, оснащенные 76-мм пушками Курчевского.</w:t>
      </w:r>
    </w:p>
    <w:p w14:paraId="0936DF21"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танкетке Т-27 была установлена модернизированная авиационная пушка АПК-4 и использовался ее снаряд. Заряд весом 620 г пороха МСК помещался в сгорающей нитротканевой гильзе. Унитарный выстрел заканчивался деревянным поддоном, куски которого после выстрела вылетали через сопло.</w:t>
      </w:r>
    </w:p>
    <w:p w14:paraId="191ABCB3"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Заряжание производилось с дула. В надствольном магазине помещалось 4 патрона (выстрела), и еще один — в стволе. «Автоматика» пушки действовала за счет мускульной силы стрелка, как и в 37-мм ружье Курчевского РК. Длина ствола с соплом и лотком составляла 2215 мм, а без них — 1058 мм, то есть 14 калибров. Длина нарезной части 1028 мм. Угол вертикального наведения пушки –1°; +5°, угол поворота 5°. Пушка выступала за габариты танкетки назад на 335 мм. Высота линии огня пушки 968 мм. Вес пушки без патронов 89 кг. На танкетке можно было перевозить 30 выстрелов. Вес Т-27 с пушкой и боекомплектом составлял 2587 кг.</w:t>
      </w:r>
    </w:p>
    <w:p w14:paraId="31C5CBFC"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 соплу пушки неподвижно крепился бронещиток толщиной 6,5 мм.</w:t>
      </w:r>
    </w:p>
    <w:p w14:paraId="0C2F5BCA"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Такой же щиток крепился к дульной части ствола в месте соединения лотка со стволом.</w:t>
      </w:r>
    </w:p>
    <w:p w14:paraId="0FE114AD"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Согласно отчету об испытаниях Т-27 25–26 марта 1933 г. в Кунцево:</w:t>
      </w:r>
    </w:p>
    <w:p w14:paraId="48E2DE7B"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«Пушка расположена справа в танкетке. Установка имеет винтовые механизмы вертикального и горизонтального наведения. При стрельбе с хода горизонтальное наведение возможно только поворотом самой машины…</w:t>
      </w:r>
    </w:p>
    <w:p w14:paraId="427DDFE9"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Результаты испытаний:</w:t>
      </w:r>
    </w:p>
    <w:p w14:paraId="7203D591" w14:textId="77777777" w:rsidR="00F47692" w:rsidRPr="00142305" w:rsidRDefault="00F47692" w:rsidP="00F47692">
      <w:pPr>
        <w:widowControl w:val="0"/>
        <w:tabs>
          <w:tab w:val="left" w:pos="997"/>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Стрельба с места по щиту 6 × 6 м с расстояния 500 м. Сделано 10 выстрелов, все в щит. Скорострельность один выстрел за 9 секунд.</w:t>
      </w:r>
    </w:p>
    <w:p w14:paraId="18251969" w14:textId="77777777" w:rsidR="00F47692" w:rsidRPr="00142305" w:rsidRDefault="00F47692" w:rsidP="00F47692">
      <w:pPr>
        <w:widowControl w:val="0"/>
        <w:tabs>
          <w:tab w:val="left" w:pos="97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Стрельба с хода по щиту 6 × 6 м на дистанции 500–600 м. Сделано 15 выстрелов. В щит одно попадание.</w:t>
      </w:r>
    </w:p>
    <w:p w14:paraId="624C7CD3"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Произошло 6 задержек из-за недосылки снарядов. Сломался рычаг рейки. В ходе стрельб в 40 % выстрелов приходилось шомполом досылать снаряды, выходя из танкетки.</w:t>
      </w:r>
    </w:p>
    <w:p w14:paraId="2B5DA6E3"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ходу происходила сильная вибрация всей системы» (25213).</w:t>
      </w:r>
    </w:p>
    <w:p w14:paraId="42D80C16" w14:textId="77777777" w:rsidR="00F47692" w:rsidRPr="00142305" w:rsidRDefault="00F47692" w:rsidP="00F47692">
      <w:pPr>
        <w:spacing w:after="0" w:line="240" w:lineRule="auto"/>
        <w:jc w:val="both"/>
        <w:rPr>
          <w:rFonts w:ascii="Times New Roman" w:hAnsi="Times New Roman"/>
          <w:color w:val="0070C0"/>
          <w:sz w:val="16"/>
          <w:szCs w:val="16"/>
        </w:rPr>
      </w:pPr>
    </w:p>
    <w:p w14:paraId="071AA88E"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25–26 марта 1933 г. в Кунцеве испытывался также легкий двухбашенный танк Т-26. Штатным вооружением таких танков являлись два 7,62-мм пулемета, а в отдельных случаях 7,62-мм пулемет в одной башне и 37-мм пушка в другой.</w:t>
      </w:r>
    </w:p>
    <w:p w14:paraId="24C0F401"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Курчевский установил свою 76-мм безоткатную пушку в правой башне. Конструктивно пушка для Т-26 была выполнена по типу АПК-4, но имела более. длинный ствол и сопло — 2100/27,6 мм/клб и 750 мм соответственно, сравнительно с пушкой ТПК-27, у которой ствол имел длину 1058 мм, а сопло — 385 мм. Вес пушки возрос до 110 кг. Несколько большим был и заряд. Благодаря этому начальная скорость возросла до 500 м/с при весе снаряда 4 кг.</w:t>
      </w:r>
    </w:p>
    <w:p w14:paraId="195D887B"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танка позволила существенно, по сравнению с Т-27, увеличить углы наведения. Так, угол возвышения стал —7°; +7,7°, а угол поворота (вместе с башней) — 135°. В отличие от Т-27 пушка не выступала за габариты танка.</w:t>
      </w:r>
    </w:p>
    <w:p w14:paraId="3449A06A"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Предоставлю выдержки из отчета комиссии по испытаниям танка Т-26:</w:t>
      </w:r>
    </w:p>
    <w:p w14:paraId="079BD229"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с места по щиту 6 м с расстояния 500 м: из 14 выстрелов 10 попаданий в щит. При заряжании, как и на Т-27, частые отказы. Задержки происходили приблизительно в 50 % случаев.</w:t>
      </w:r>
    </w:p>
    <w:p w14:paraId="7FDA259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стрельбе в 45° к ходу мешает лист подбашенной коробки.</w:t>
      </w:r>
    </w:p>
    <w:p w14:paraId="6EE1029F"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 Т-26 с 76-мм пушкой Курчевского не был принят на вооружение. К указанным недостаткам всех пушек Курчевского следует добавить то, что Т-26 был танком сопровождения пехоты, и при стрельбе он бы сжег свою пехоту струями раскаленных газов по меньшей мере на 50 м назад. В довершение всего в середине 1933 г. появились новые модели Т-26 с одной башней, в которой была установлена 45-мм пушка 20К (12091).</w:t>
      </w:r>
    </w:p>
    <w:p w14:paraId="492E75D6"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2B57F56B"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25–26 марта 1933 г. в Кунцеве испытывался Т-26 с 76-мм пушкой Курчевского. Это был легкий двухбашенный танк Т-26. Штатным вооружением таких танков являлись два 7,62-мм пулемета, а в отдельных случаях — 7,62-мм пулемет в одной башне и 37-мм пушка в другой.</w:t>
      </w:r>
    </w:p>
    <w:p w14:paraId="686EE26F"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Курчевский установил свою 76-мм безоткатную пушку в правой башне. Конструктивно пушка для Т-26 была выполнена по типу АПК-4, но имела более длинный ствол и сопло — 2100/27,6 мм/клб и 750 мм соответственно, сравнительно с пушкой ТПК-27, у которой ствол имел длину 1058 мм, а сопло — 385 мм. Вес пушки возрос до 110 кг. Несколько большим был и заряд. Благодаря этому начальная скорость возросла до 500 м/с при весе снаряда 4 кг.</w:t>
      </w:r>
    </w:p>
    <w:p w14:paraId="00F1B0FE"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Конструкция танка позволила существенно, по сравнению с Т-27, увеличить углы наведения. Так, угол возвышения стал –7°; +7,7°, а угол поворота (вместе с башней) — 135°. В отличие от Т-27 пушка не выступала за габариты танка.</w:t>
      </w:r>
    </w:p>
    <w:p w14:paraId="531FACA1"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Выдержки из отчета комиссии по испытаниям танка Т-26:</w:t>
      </w:r>
    </w:p>
    <w:p w14:paraId="012E8AB7"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Стрельба с места по щиту 6 × 6 м с расстояния 500 м: из 14 выстрелов 10 попаданий в щит.</w:t>
      </w:r>
    </w:p>
    <w:p w14:paraId="718C2E79"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заряжании, как и на Т-27, частые отказы. Задержки происходили приблизительно в 50 % случаев.</w:t>
      </w:r>
    </w:p>
    <w:p w14:paraId="29DFC74E"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стрельбе в 45° к ходу мешает лист подбашенной коробки.</w:t>
      </w:r>
    </w:p>
    <w:p w14:paraId="08EDB735" w14:textId="77777777" w:rsidR="00F47692" w:rsidRPr="00142305" w:rsidRDefault="00F47692" w:rsidP="00F4769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Танк Т-26 с 76-мм пушкой Курчевского не был принят на вооружение. К указанным недостаткам всех пушек Курчевского следует добавить то, что Т-26 был танком сопровождения пехоты, и при стрельбе он бы сжег свою пехоту струями раскаленных газов, по меньшей мере, на 50 м назад. В довершение всего в середине 1933 г. появились новые модели Т-26 с одной башней, в которой была установлена 45-мм пушка 20К.</w:t>
      </w:r>
    </w:p>
    <w:p w14:paraId="229A24C1"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Кроме того, Курчевским был разработан проект установки 152-мм мортиры ДРП на танк БТ-5. Мортира должна была стрелять 25-кг снарядом с начальной скоростью 250 м/с. Скорострельность составляла 5–6 выстр./ мин. Боекомплект 15 выстрелов. Угол вертикального наведения –5°; +15°, угол горизонтального поведения 240° (за счет поворота башни). Работы по танковой мортире были прекращены на стадии рабочего проектирования, дело не дошло даже до испытания опытного образца (25213).</w:t>
      </w:r>
    </w:p>
    <w:p w14:paraId="0E80B1F2" w14:textId="77777777" w:rsidR="00F47692" w:rsidRPr="00142305" w:rsidRDefault="00F47692" w:rsidP="00F47692">
      <w:pPr>
        <w:spacing w:after="0" w:line="240" w:lineRule="auto"/>
        <w:jc w:val="both"/>
        <w:rPr>
          <w:rFonts w:ascii="Times New Roman" w:hAnsi="Times New Roman"/>
          <w:color w:val="0070C0"/>
          <w:sz w:val="16"/>
          <w:szCs w:val="16"/>
        </w:rPr>
      </w:pPr>
    </w:p>
    <w:p w14:paraId="7A373C5F"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и 26 марта 1933 г. на полигоне МКУКС в Кунцево одновременно испытывались несколько самоходных артсистем с пушками Курчевского: на танкетке Т-27, танке Т-26, бронеавтомобиле БАИ и трехосном автомобиле «Форд». Председателем комиссии по испытаниям был начальник НИАБТП Штагин. От ОКБ ГАУ в испытаниях участвовал Курчевский, от НТК ГАУ — Краузе, от НТК УММ — Сакс, Сапрыкин и Сквирский, от 2-го отделения 2-го управления — Фокин, от НТУ УММ — Азбукин.</w:t>
      </w:r>
    </w:p>
    <w:p w14:paraId="3413EFD7"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испытаний опытной самоходной установки СУ-76К (в ряде источников ТПК-27, или СУ-3) с 76 мм пушкой Курчевского отмечалась «вибрация на ходу всей системы» из-за недостаточно жесткого крепления орудия, а также были зафиксированы шесть задержек при 15 выстрелах из-за недосылки снарядов и другие недостатки.</w:t>
      </w:r>
    </w:p>
    <w:p w14:paraId="7BE4D129"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«Стрельбы как из этой, так и из других систем производились некондиционными снарядами. Достаточного количества стрельб произвести было нельзя из-за малого количества снарядов».</w:t>
      </w:r>
    </w:p>
    <w:p w14:paraId="14390BBB"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мнению комиссии, предварительные испытания выявили следующие недостатки системы:</w:t>
      </w:r>
    </w:p>
    <w:p w14:paraId="6B83C5E5"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Задержки из-за несовершенства заряжания 40% всех задержек по этой причине.</w:t>
      </w:r>
    </w:p>
    <w:p w14:paraId="394BCE8A"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Наличие щелей в броневом закрытии при углах возвышения и при стрельбе в сторону.</w:t>
      </w:r>
    </w:p>
    <w:p w14:paraId="2C3F50C9"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Вибрации на ходу всей системы, что говорит о необходимости более прочного крепления орудия и устройства механизмов крепления с меньшими допусками.</w:t>
      </w:r>
    </w:p>
    <w:p w14:paraId="140B01E5"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4. Непрочность подающего механизма — пересмотр этого механизма в целях обеспечения большей его прочности и надежности досылки патрона в камору.</w:t>
      </w:r>
    </w:p>
    <w:p w14:paraId="05545DA0"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Необходимо отогнуть верхнюю часть переднего броневого закрытия так при настоящей конфигурации закрытия при углах возвышения орудия невозможно закрыть входной люк.</w:t>
      </w:r>
    </w:p>
    <w:p w14:paraId="109875C8"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Обеспечение глаз стрелка от повреждений во время стрельбы с хода на прицеле необходимо иметь резиновый наглазник».</w:t>
      </w:r>
    </w:p>
    <w:p w14:paraId="43EB250A"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заключении говорилось:</w:t>
      </w:r>
    </w:p>
    <w:p w14:paraId="2EF8D0FE" w14:textId="77777777" w:rsidR="00F47692" w:rsidRPr="00142305" w:rsidRDefault="00F47692" w:rsidP="00F4769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«Артиллерийская установка в основном выполнена удовлетворительно. С учетом отмеченных недостатков может быть допущена к капитальному отстрелу на предмет принятия на вооружение» (24554).</w:t>
      </w:r>
    </w:p>
    <w:p w14:paraId="1A766A61" w14:textId="77777777" w:rsidR="00F47692" w:rsidRPr="00142305" w:rsidRDefault="00F47692" w:rsidP="00F47692">
      <w:pPr>
        <w:spacing w:after="0" w:line="240" w:lineRule="auto"/>
        <w:jc w:val="both"/>
        <w:rPr>
          <w:rFonts w:ascii="Times New Roman" w:hAnsi="Times New Roman"/>
          <w:color w:val="0070C0"/>
          <w:sz w:val="16"/>
          <w:szCs w:val="16"/>
        </w:rPr>
      </w:pPr>
    </w:p>
    <w:p w14:paraId="166B781F"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3EC0DE3"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1DD820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марта 1933 приказом МКС № 40 стрелок ВОХР М. А. Кюсс назначался и.о. капельмейстера музкоманды Дмитлага (7560).</w:t>
      </w:r>
    </w:p>
    <w:p w14:paraId="29D201BD"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7899762B"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2573D8B"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7E0C2F4"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26 марта по 24 апреля 1933 проходило эксплуатационное испытание опытного самолета И-15 с мотором Райт-Циклон Ф-2 650 НР металлический винт Гамильтон-Стандарт Д=3,0 (6648).</w:t>
      </w:r>
    </w:p>
    <w:p w14:paraId="64A3F317"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00B19B24" w14:textId="77777777" w:rsidR="002401AD" w:rsidRPr="0044524F" w:rsidRDefault="002401AD"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различных мероприятий по улучшению устойчивости пути самолета.</w:t>
      </w:r>
    </w:p>
    <w:p w14:paraId="38996921" w14:textId="77777777" w:rsidR="002401AD" w:rsidRPr="0044524F" w:rsidRDefault="002401AD"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Эксплуатационные испытания самолета.</w:t>
      </w:r>
    </w:p>
    <w:p w14:paraId="7062E18A" w14:textId="77777777" w:rsidR="002401AD" w:rsidRPr="0044524F" w:rsidRDefault="002401AD"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самолета с передней центровкой, вызванной утяжелением моторов РЦ.</w:t>
      </w:r>
    </w:p>
    <w:p w14:paraId="1C736C89" w14:textId="77777777" w:rsidR="002401AD" w:rsidRPr="0044524F" w:rsidRDefault="002401AD"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тормозных колес 700х100 и механического управления ими.</w:t>
      </w:r>
    </w:p>
    <w:p w14:paraId="131791EC"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0A45CF86" w14:textId="77777777" w:rsidR="002401AD" w:rsidRPr="0044524F" w:rsidRDefault="002401AD"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3336F16A"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4094"/>
      </w:tblGrid>
      <w:tr w:rsidR="004E10C1" w:rsidRPr="0044524F" w14:paraId="7FAEA905" w14:textId="77777777">
        <w:tc>
          <w:tcPr>
            <w:tcW w:w="2818" w:type="dxa"/>
          </w:tcPr>
          <w:p w14:paraId="5DD85004"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марта 1934 года</w:t>
            </w:r>
          </w:p>
        </w:tc>
        <w:tc>
          <w:tcPr>
            <w:tcW w:w="4094" w:type="dxa"/>
          </w:tcPr>
          <w:p w14:paraId="4E82817E"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фигуры.</w:t>
            </w:r>
          </w:p>
        </w:tc>
      </w:tr>
      <w:tr w:rsidR="004E10C1" w:rsidRPr="0044524F" w14:paraId="33835AF2" w14:textId="77777777">
        <w:tc>
          <w:tcPr>
            <w:tcW w:w="2818" w:type="dxa"/>
          </w:tcPr>
          <w:p w14:paraId="6A971462"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марта 1934 года</w:t>
            </w:r>
          </w:p>
        </w:tc>
        <w:tc>
          <w:tcPr>
            <w:tcW w:w="4094" w:type="dxa"/>
          </w:tcPr>
          <w:p w14:paraId="40F5DF46"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Посадки.</w:t>
            </w:r>
          </w:p>
        </w:tc>
      </w:tr>
      <w:tr w:rsidR="004E10C1" w:rsidRPr="0044524F" w14:paraId="36D1B8C6" w14:textId="77777777">
        <w:tc>
          <w:tcPr>
            <w:tcW w:w="2818" w:type="dxa"/>
          </w:tcPr>
          <w:p w14:paraId="5144B993"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1934 года</w:t>
            </w:r>
          </w:p>
        </w:tc>
        <w:tc>
          <w:tcPr>
            <w:tcW w:w="4094" w:type="dxa"/>
          </w:tcPr>
          <w:p w14:paraId="54901711"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Посадки и фигуры.</w:t>
            </w:r>
          </w:p>
        </w:tc>
      </w:tr>
      <w:tr w:rsidR="004E10C1" w:rsidRPr="0044524F" w14:paraId="2292AA60" w14:textId="77777777">
        <w:tc>
          <w:tcPr>
            <w:tcW w:w="2818" w:type="dxa"/>
          </w:tcPr>
          <w:p w14:paraId="26AA565A"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марта 1934 года</w:t>
            </w:r>
          </w:p>
        </w:tc>
        <w:tc>
          <w:tcPr>
            <w:tcW w:w="4094" w:type="dxa"/>
          </w:tcPr>
          <w:p w14:paraId="6FBF8D0A"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Посадки.</w:t>
            </w:r>
          </w:p>
        </w:tc>
      </w:tr>
      <w:tr w:rsidR="004E10C1" w:rsidRPr="0044524F" w14:paraId="63D86493" w14:textId="77777777">
        <w:tc>
          <w:tcPr>
            <w:tcW w:w="2818" w:type="dxa"/>
          </w:tcPr>
          <w:p w14:paraId="6F9EF485"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1934 года</w:t>
            </w:r>
          </w:p>
        </w:tc>
        <w:tc>
          <w:tcPr>
            <w:tcW w:w="4094" w:type="dxa"/>
          </w:tcPr>
          <w:p w14:paraId="401795BE"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фигуры.</w:t>
            </w:r>
          </w:p>
        </w:tc>
      </w:tr>
      <w:tr w:rsidR="004E10C1" w:rsidRPr="0044524F" w14:paraId="1E433DA1" w14:textId="77777777">
        <w:tc>
          <w:tcPr>
            <w:tcW w:w="2818" w:type="dxa"/>
          </w:tcPr>
          <w:p w14:paraId="7F975156"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9-10 апреля 1934 года</w:t>
            </w:r>
          </w:p>
        </w:tc>
        <w:tc>
          <w:tcPr>
            <w:tcW w:w="4094" w:type="dxa"/>
          </w:tcPr>
          <w:p w14:paraId="6B184CB2"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Посадки.</w:t>
            </w:r>
          </w:p>
        </w:tc>
      </w:tr>
      <w:tr w:rsidR="004E10C1" w:rsidRPr="0044524F" w14:paraId="74F48369" w14:textId="77777777">
        <w:tc>
          <w:tcPr>
            <w:tcW w:w="2818" w:type="dxa"/>
          </w:tcPr>
          <w:p w14:paraId="14A011CC"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апреля 1934 года</w:t>
            </w:r>
          </w:p>
        </w:tc>
        <w:tc>
          <w:tcPr>
            <w:tcW w:w="4094" w:type="dxa"/>
          </w:tcPr>
          <w:p w14:paraId="5BD77D73"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и скорости по высотам.</w:t>
            </w:r>
          </w:p>
        </w:tc>
      </w:tr>
      <w:tr w:rsidR="004E10C1" w:rsidRPr="0044524F" w14:paraId="3932F168" w14:textId="77777777">
        <w:tc>
          <w:tcPr>
            <w:tcW w:w="2818" w:type="dxa"/>
          </w:tcPr>
          <w:p w14:paraId="63623CCB"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1934 года</w:t>
            </w:r>
          </w:p>
        </w:tc>
        <w:tc>
          <w:tcPr>
            <w:tcW w:w="4094" w:type="dxa"/>
          </w:tcPr>
          <w:p w14:paraId="4AC31615"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из фотокейса.</w:t>
            </w:r>
          </w:p>
        </w:tc>
      </w:tr>
      <w:tr w:rsidR="004E10C1" w:rsidRPr="0044524F" w14:paraId="411B7E4C" w14:textId="77777777">
        <w:tc>
          <w:tcPr>
            <w:tcW w:w="2818" w:type="dxa"/>
          </w:tcPr>
          <w:p w14:paraId="7263EB16"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апреля 1934 года</w:t>
            </w:r>
          </w:p>
        </w:tc>
        <w:tc>
          <w:tcPr>
            <w:tcW w:w="4094" w:type="dxa"/>
          </w:tcPr>
          <w:p w14:paraId="7E3E8FB1"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и расход горючего.</w:t>
            </w:r>
          </w:p>
        </w:tc>
      </w:tr>
      <w:tr w:rsidR="004E10C1" w:rsidRPr="0044524F" w14:paraId="0550D9FE" w14:textId="77777777">
        <w:tc>
          <w:tcPr>
            <w:tcW w:w="2818" w:type="dxa"/>
          </w:tcPr>
          <w:p w14:paraId="56C91355"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апреля 1934 года</w:t>
            </w:r>
          </w:p>
        </w:tc>
        <w:tc>
          <w:tcPr>
            <w:tcW w:w="4094" w:type="dxa"/>
          </w:tcPr>
          <w:p w14:paraId="7AF78907"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и полеты с новой центровкой.</w:t>
            </w:r>
          </w:p>
        </w:tc>
      </w:tr>
      <w:tr w:rsidR="004E10C1" w:rsidRPr="0044524F" w14:paraId="421C6C87" w14:textId="77777777">
        <w:tc>
          <w:tcPr>
            <w:tcW w:w="2818" w:type="dxa"/>
          </w:tcPr>
          <w:p w14:paraId="09C78FE9"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апреля 1934 года</w:t>
            </w:r>
          </w:p>
        </w:tc>
        <w:tc>
          <w:tcPr>
            <w:tcW w:w="4094" w:type="dxa"/>
          </w:tcPr>
          <w:p w14:paraId="47E89EAF"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с вымпелом.</w:t>
            </w:r>
          </w:p>
        </w:tc>
      </w:tr>
      <w:tr w:rsidR="004E10C1" w:rsidRPr="0044524F" w14:paraId="32AE87CC" w14:textId="77777777">
        <w:tc>
          <w:tcPr>
            <w:tcW w:w="2818" w:type="dxa"/>
          </w:tcPr>
          <w:p w14:paraId="577C3F6C"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апреля 1934 года</w:t>
            </w:r>
          </w:p>
        </w:tc>
        <w:tc>
          <w:tcPr>
            <w:tcW w:w="4094" w:type="dxa"/>
          </w:tcPr>
          <w:p w14:paraId="5499FDE8"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в Москву.</w:t>
            </w:r>
          </w:p>
        </w:tc>
      </w:tr>
    </w:tbl>
    <w:p w14:paraId="6C9C60C4"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(6648).</w:t>
      </w:r>
    </w:p>
    <w:p w14:paraId="4639403B" w14:textId="77777777" w:rsidR="002401AD" w:rsidRPr="0044524F" w:rsidRDefault="002401AD"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851E93" w14:textId="77777777" w:rsidR="00FD0795" w:rsidRPr="0044524F" w:rsidRDefault="00FD07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марта 1933 г., как только основные работы по со</w:t>
      </w:r>
      <w:r w:rsidRPr="0044524F">
        <w:rPr>
          <w:rFonts w:ascii="Times New Roman" w:hAnsi="Times New Roman"/>
          <w:color w:val="000000" w:themeColor="text1"/>
          <w:sz w:val="16"/>
          <w:szCs w:val="16"/>
        </w:rPr>
        <w:softHyphen/>
        <w:t>зданию истребителя И-15 удалось успешно завершить, Н.Н. Поликарпов в инициативном порядке вернулся к проек</w:t>
      </w:r>
      <w:r w:rsidRPr="0044524F">
        <w:rPr>
          <w:rFonts w:ascii="Times New Roman" w:hAnsi="Times New Roman"/>
          <w:color w:val="000000" w:themeColor="text1"/>
          <w:sz w:val="16"/>
          <w:szCs w:val="16"/>
        </w:rPr>
        <w:softHyphen/>
        <w:t>тированию истребителя-моноплана. Главную проблему со</w:t>
      </w:r>
      <w:r w:rsidRPr="0044524F">
        <w:rPr>
          <w:rFonts w:ascii="Times New Roman" w:hAnsi="Times New Roman"/>
          <w:color w:val="000000" w:themeColor="text1"/>
          <w:sz w:val="16"/>
          <w:szCs w:val="16"/>
        </w:rPr>
        <w:softHyphen/>
        <w:t>здавал двигатель, вернее его отсутствие. Требовался мотор с мощностью у земли не ниже 600 л.с., и притом достаточно легкий. Одним из перспективных в то время направлений авиадвигателестроения считалось использование привод</w:t>
      </w:r>
      <w:r w:rsidRPr="0044524F">
        <w:rPr>
          <w:rFonts w:ascii="Times New Roman" w:hAnsi="Times New Roman"/>
          <w:color w:val="000000" w:themeColor="text1"/>
          <w:sz w:val="16"/>
          <w:szCs w:val="16"/>
        </w:rPr>
        <w:softHyphen/>
        <w:t>ных центробежных нагнетателей, которые при некотором увеличении веса обеспечивали существенную прибавку мощности и ее сохранение с ростом высоты полета.</w:t>
      </w:r>
    </w:p>
    <w:p w14:paraId="4DF2CB23" w14:textId="77777777" w:rsidR="00FD0795" w:rsidRPr="0044524F" w:rsidRDefault="00FD07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планах отечественного опытного авиамоторостроения на 1933-1934 гг. значилась разработка и внедрение в серию новых двигателей, пригодных к установке на истребители: 1) М-54 (М-34 форсированный), 900 л.с., ЦИАМ (Центральный институт авиационного моторостроения - прим. автора).</w:t>
      </w:r>
    </w:p>
    <w:p w14:paraId="7667E078" w14:textId="77777777" w:rsidR="00FD0795" w:rsidRPr="0044524F" w:rsidRDefault="00FD07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М-32РН с нагнетателем и редуктором, 600 л.с., 400 кг, ЦИАМ.</w:t>
      </w:r>
    </w:p>
    <w:p w14:paraId="0A1B44DF" w14:textId="77777777" w:rsidR="00FD0795" w:rsidRPr="0044524F" w:rsidRDefault="00FD07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М-58 650 л.с., 420 кг, завод №29. Разрабатывался и вари</w:t>
      </w:r>
      <w:r w:rsidRPr="0044524F">
        <w:rPr>
          <w:rFonts w:ascii="Times New Roman" w:hAnsi="Times New Roman"/>
          <w:color w:val="000000" w:themeColor="text1"/>
          <w:sz w:val="16"/>
          <w:szCs w:val="16"/>
        </w:rPr>
        <w:softHyphen/>
        <w:t>ант с редуктором.</w:t>
      </w:r>
    </w:p>
    <w:p w14:paraId="532DDA6E" w14:textId="77777777" w:rsidR="00FD0795" w:rsidRPr="0044524F" w:rsidRDefault="00FD07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Н-6 (ФЭД-7) - дизель, 500 л.с., 380 кг.</w:t>
      </w:r>
    </w:p>
    <w:p w14:paraId="21218960" w14:textId="77777777" w:rsidR="00FD0795" w:rsidRPr="0044524F" w:rsidRDefault="00FD07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Газовая турбина ВТИ. 500-1000 л.с., 480-800 кг. Строи</w:t>
      </w:r>
      <w:r w:rsidRPr="0044524F">
        <w:rPr>
          <w:rFonts w:ascii="Times New Roman" w:hAnsi="Times New Roman"/>
          <w:color w:val="000000" w:themeColor="text1"/>
          <w:sz w:val="16"/>
          <w:szCs w:val="16"/>
        </w:rPr>
        <w:softHyphen/>
        <w:t>лась на заводе им. Сталина в Ленинграде (23455).</w:t>
      </w:r>
    </w:p>
    <w:p w14:paraId="1E9FF26E" w14:textId="77777777" w:rsidR="00FD0795" w:rsidRPr="0044524F" w:rsidRDefault="00FD0795" w:rsidP="009654CF">
      <w:pPr>
        <w:spacing w:after="0" w:line="240" w:lineRule="auto"/>
        <w:jc w:val="both"/>
        <w:rPr>
          <w:rFonts w:ascii="Times New Roman" w:hAnsi="Times New Roman"/>
          <w:color w:val="000000" w:themeColor="text1"/>
          <w:sz w:val="16"/>
          <w:szCs w:val="16"/>
        </w:rPr>
      </w:pPr>
    </w:p>
    <w:p w14:paraId="1D61E92F"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26 марта по 25 апреля 1933 на самолете ЦКБ-3 второй проводились экс</w:t>
      </w:r>
      <w:r w:rsidRPr="0044524F">
        <w:rPr>
          <w:rFonts w:ascii="Times New Roman" w:hAnsi="Times New Roman"/>
          <w:color w:val="000000" w:themeColor="text1"/>
          <w:sz w:val="16"/>
          <w:szCs w:val="16"/>
        </w:rPr>
        <w:softHyphen/>
        <w:t>плуатационные испытания в Крыму, в Каче. От КБ ими руководил В.К.Таиров. За месяц летчики-испытате</w:t>
      </w:r>
      <w:r w:rsidRPr="0044524F">
        <w:rPr>
          <w:rFonts w:ascii="Times New Roman" w:hAnsi="Times New Roman"/>
          <w:color w:val="000000" w:themeColor="text1"/>
          <w:sz w:val="16"/>
          <w:szCs w:val="16"/>
        </w:rPr>
        <w:softHyphen/>
        <w:t>ли выполнили на истребителе 2100 фигур высшего пи</w:t>
      </w:r>
      <w:r w:rsidRPr="0044524F">
        <w:rPr>
          <w:rFonts w:ascii="Times New Roman" w:hAnsi="Times New Roman"/>
          <w:color w:val="000000" w:themeColor="text1"/>
          <w:sz w:val="16"/>
          <w:szCs w:val="16"/>
        </w:rPr>
        <w:softHyphen/>
        <w:t>лотажа, совершили 520 посадок. Были зафиксированы следующие летные характеристики самолета на лыжах: максимальная скорость у земли - 324 км/ч, на высоте 3000 м - 350 км/ч, а на высоте 5000 м - 325 км/ч, что в пе</w:t>
      </w:r>
      <w:r w:rsidRPr="0044524F">
        <w:rPr>
          <w:rFonts w:ascii="Times New Roman" w:hAnsi="Times New Roman"/>
          <w:color w:val="000000" w:themeColor="text1"/>
          <w:sz w:val="16"/>
          <w:szCs w:val="16"/>
        </w:rPr>
        <w:softHyphen/>
        <w:t>ресчете на колесное шасси дает, соответственно, 342 км/ч, 368 км/ч, 343 км/ч. Вес конструкции при этом со</w:t>
      </w:r>
      <w:r w:rsidRPr="0044524F">
        <w:rPr>
          <w:rFonts w:ascii="Times New Roman" w:hAnsi="Times New Roman"/>
          <w:color w:val="000000" w:themeColor="text1"/>
          <w:sz w:val="16"/>
          <w:szCs w:val="16"/>
        </w:rPr>
        <w:softHyphen/>
        <w:t>ставлял 942 кг, а взлетный вес - 1358 кг. Высоту 5000 м истребитель набирал за 6,2 мин. Время виража на вы</w:t>
      </w:r>
      <w:r w:rsidRPr="0044524F">
        <w:rPr>
          <w:rFonts w:ascii="Times New Roman" w:hAnsi="Times New Roman"/>
          <w:color w:val="000000" w:themeColor="text1"/>
          <w:sz w:val="16"/>
          <w:szCs w:val="16"/>
        </w:rPr>
        <w:softHyphen/>
        <w:t>соте 1000 м было рекордно малым - 8 секунд. Самолет отличался хорошими штопорными свойствами: запаз</w:t>
      </w:r>
      <w:r w:rsidRPr="0044524F">
        <w:rPr>
          <w:rFonts w:ascii="Times New Roman" w:hAnsi="Times New Roman"/>
          <w:color w:val="000000" w:themeColor="text1"/>
          <w:sz w:val="16"/>
          <w:szCs w:val="16"/>
        </w:rPr>
        <w:softHyphen/>
        <w:t>дывание на выходе не превышало двух витков. Нарека</w:t>
      </w:r>
      <w:r w:rsidRPr="0044524F">
        <w:rPr>
          <w:rFonts w:ascii="Times New Roman" w:hAnsi="Times New Roman"/>
          <w:color w:val="000000" w:themeColor="text1"/>
          <w:sz w:val="16"/>
          <w:szCs w:val="16"/>
        </w:rPr>
        <w:softHyphen/>
        <w:t>ния вызывала лишь небольшая неустойчивость по рысканью на скоростях свыше 270 км/ч.</w:t>
      </w:r>
    </w:p>
    <w:p w14:paraId="503B6A11"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выводах по результатам испытаний записано:</w:t>
      </w:r>
    </w:p>
    <w:p w14:paraId="1260FEA5"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полученным летным данным (скорости по высотам, скороподъемности и маневренности) самолет И-15:</w:t>
      </w:r>
    </w:p>
    <w:p w14:paraId="2E15CC12"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далеко превосходит данные находящихся на во</w:t>
      </w:r>
      <w:r w:rsidRPr="0044524F">
        <w:rPr>
          <w:rFonts w:ascii="Times New Roman" w:hAnsi="Times New Roman"/>
          <w:color w:val="000000" w:themeColor="text1"/>
          <w:sz w:val="16"/>
          <w:szCs w:val="16"/>
        </w:rPr>
        <w:softHyphen/>
        <w:t>оружении СССР истребителей;</w:t>
      </w:r>
    </w:p>
    <w:p w14:paraId="154296FF"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перекрывает гарантированные, утвержденные эс</w:t>
      </w:r>
      <w:r w:rsidRPr="0044524F">
        <w:rPr>
          <w:rFonts w:ascii="Times New Roman" w:hAnsi="Times New Roman"/>
          <w:color w:val="000000" w:themeColor="text1"/>
          <w:sz w:val="16"/>
          <w:szCs w:val="16"/>
        </w:rPr>
        <w:softHyphen/>
        <w:t>кизным проектом данные;</w:t>
      </w:r>
    </w:p>
    <w:p w14:paraId="36A780EA"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маневренности превосходит, по скороподъем</w:t>
      </w:r>
      <w:r w:rsidRPr="0044524F">
        <w:rPr>
          <w:rFonts w:ascii="Times New Roman" w:hAnsi="Times New Roman"/>
          <w:color w:val="000000" w:themeColor="text1"/>
          <w:sz w:val="16"/>
          <w:szCs w:val="16"/>
        </w:rPr>
        <w:softHyphen/>
        <w:t>ности достигает уровня лучших современных опытных заграничных истребителей;</w:t>
      </w:r>
    </w:p>
    <w:p w14:paraId="53096766"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 скорости на высоте 5000 м, благодаря схеме, обеспечивающей высокую маневренность, несколько уступает (на 20-30 км/ч) скорости лучших опытных од</w:t>
      </w:r>
      <w:r w:rsidRPr="0044524F">
        <w:rPr>
          <w:rFonts w:ascii="Times New Roman" w:hAnsi="Times New Roman"/>
          <w:color w:val="000000" w:themeColor="text1"/>
          <w:sz w:val="16"/>
          <w:szCs w:val="16"/>
        </w:rPr>
        <w:softHyphen/>
        <w:t>номестных заграничных истребителей.</w:t>
      </w:r>
    </w:p>
    <w:p w14:paraId="2AD09E74"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Самолет И-15 по своим данным представляет удач</w:t>
      </w:r>
      <w:r w:rsidRPr="0044524F">
        <w:rPr>
          <w:rFonts w:ascii="Times New Roman" w:hAnsi="Times New Roman"/>
          <w:color w:val="000000" w:themeColor="text1"/>
          <w:sz w:val="16"/>
          <w:szCs w:val="16"/>
        </w:rPr>
        <w:softHyphen/>
        <w:t>ное разрешение вопроса о высокоманевренном истреби</w:t>
      </w:r>
      <w:r w:rsidRPr="0044524F">
        <w:rPr>
          <w:rFonts w:ascii="Times New Roman" w:hAnsi="Times New Roman"/>
          <w:color w:val="000000" w:themeColor="text1"/>
          <w:sz w:val="16"/>
          <w:szCs w:val="16"/>
        </w:rPr>
        <w:softHyphen/>
        <w:t>теле, обладающим в то же время достаточными горизон</w:t>
      </w:r>
      <w:r w:rsidRPr="0044524F">
        <w:rPr>
          <w:rFonts w:ascii="Times New Roman" w:hAnsi="Times New Roman"/>
          <w:color w:val="000000" w:themeColor="text1"/>
          <w:sz w:val="16"/>
          <w:szCs w:val="16"/>
        </w:rPr>
        <w:softHyphen/>
        <w:t>тальными скоростями. Соединение высокой маневрен</w:t>
      </w:r>
      <w:r w:rsidRPr="0044524F">
        <w:rPr>
          <w:rFonts w:ascii="Times New Roman" w:hAnsi="Times New Roman"/>
          <w:color w:val="000000" w:themeColor="text1"/>
          <w:sz w:val="16"/>
          <w:szCs w:val="16"/>
        </w:rPr>
        <w:softHyphen/>
        <w:t>ности, скороподъемности и достаточной скорости поз</w:t>
      </w:r>
      <w:r w:rsidRPr="0044524F">
        <w:rPr>
          <w:rFonts w:ascii="Times New Roman" w:hAnsi="Times New Roman"/>
          <w:color w:val="000000" w:themeColor="text1"/>
          <w:sz w:val="16"/>
          <w:szCs w:val="16"/>
        </w:rPr>
        <w:softHyphen/>
        <w:t>воляет считать, что самолет И-15 является современным истребителем.</w:t>
      </w:r>
    </w:p>
    <w:p w14:paraId="205B9F49"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Самолет И-15 обладает достаточно мягким управле</w:t>
      </w:r>
      <w:r w:rsidRPr="0044524F">
        <w:rPr>
          <w:rFonts w:ascii="Times New Roman" w:hAnsi="Times New Roman"/>
          <w:color w:val="000000" w:themeColor="text1"/>
          <w:sz w:val="16"/>
          <w:szCs w:val="16"/>
        </w:rPr>
        <w:softHyphen/>
        <w:t>нием, простотой в пилотировании и хорошим обзором.</w:t>
      </w:r>
    </w:p>
    <w:p w14:paraId="75FA7082"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Основное испытание самолета И-15 показало, что конструкция самолета крупных, требующих больших переделок, дефектов не имеет...</w:t>
      </w:r>
    </w:p>
    <w:p w14:paraId="23BB25E3"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Полетные качества самолета в отношении устой</w:t>
      </w:r>
      <w:r w:rsidRPr="0044524F">
        <w:rPr>
          <w:rFonts w:ascii="Times New Roman" w:hAnsi="Times New Roman"/>
          <w:color w:val="000000" w:themeColor="text1"/>
          <w:sz w:val="16"/>
          <w:szCs w:val="16"/>
        </w:rPr>
        <w:softHyphen/>
        <w:t>чивости пути являются недостаточно удовлетворитель</w:t>
      </w:r>
      <w:r w:rsidRPr="0044524F">
        <w:rPr>
          <w:rFonts w:ascii="Times New Roman" w:hAnsi="Times New Roman"/>
          <w:color w:val="000000" w:themeColor="text1"/>
          <w:sz w:val="16"/>
          <w:szCs w:val="16"/>
        </w:rPr>
        <w:softHyphen/>
        <w:t>ными. На скоростях 200-250 км/ч самолет имеет нейтральную устойчивость, на скоростях свыше 250 км/ч - неустойчив...».</w:t>
      </w:r>
    </w:p>
    <w:p w14:paraId="5DA9364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результатов летных испытаний И-15 был рекомендован для серийного производства. Оно разворачивалось на заводах № 1 и № 39 (10667).</w:t>
      </w:r>
    </w:p>
    <w:p w14:paraId="3F942034"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30A43FA3"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марта 1933 Б.Кудрин опробовал на ХАИ-1 новый М-22 и передал машину военным (562,46).</w:t>
      </w:r>
    </w:p>
    <w:p w14:paraId="282A146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715D7221"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марта 1933 по указанию П.И.Б. серийный выпуск ХАИ-1 поручили ХАЗ для замены Ка-5 К.А.К. То, что К.А.К. во всю делал К-7 помогло ему отстоять независимость и решили делать на 21 заводе, но там вместо И-5 осваивали И-14 и харьковцев опять прогнали (1148,28).</w:t>
      </w:r>
    </w:p>
    <w:p w14:paraId="28F05D7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283E734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сразу после решения П.И.Б. о запуске ХАИ-1 в серию конструкторская группа И.Г.Немана получила официальный статус и ее стали наименовать Проектная часть НИС ХАИ. Разместили в двух комнатах на 4 этаже аэродинамического корпуса бывшего технологического института, рядом с трубой и кв. академика Г.Ф.Проскуры. И.Г.Н. стал ГК, а зам. стал С.Я.Жолтовский. В штате было 50 чел. и для организации строительства экспериментальных машин создали Центральные опытные мастерские (ЦОМ) ХАИ, которые возглавил и Галетко. Создали 10 конструкторских бригад по 5-7 чел. (не по машинам) и ведущими по машинам стали Л.Д.Арсон и С.Я.Жолтовский (1148,27).</w:t>
      </w:r>
    </w:p>
    <w:p w14:paraId="7ED9247C"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29EDEBC1"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марта 1933 самолёт ХАИ-1 впервые полетел со штатным двигателем М-22.</w:t>
      </w:r>
    </w:p>
    <w:p w14:paraId="277A1C1D"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процессе испытаний выявились серьёзные проблемы с механизмом уборки шасси. Лётчику приходилось прилагать огромные физические усилия для вращения рукоятки привода. Перед каждым полётом приходилось тратить много времени на проверку правильности укладки тросов в канавках шкива. Происходили отказы замков фиксации стоек шасси. По этой причине 16 июня 1933 прототип потерпел аварию - при разбеге стойки сложились. Также выявилась недостаточная прочность ряда элементов конструкции. Потребовали длительные доработки. Кроме устранения этих недостатков они заключались в увеличении руля направления, улучшения звукоизоляции салона, также появился туалет, увеличено багажное отделение. Государственные испытания доработанного самолёта проводились в ноябре 1934, в НИИ ГУ ГВФ (пилот С.И. Таборовский). (24249).</w:t>
      </w:r>
    </w:p>
    <w:p w14:paraId="12954593" w14:textId="77777777" w:rsidR="00B26E21" w:rsidRPr="0044524F" w:rsidRDefault="00B26E21" w:rsidP="009654CF">
      <w:pPr>
        <w:spacing w:after="0" w:line="240" w:lineRule="auto"/>
        <w:jc w:val="both"/>
        <w:rPr>
          <w:rFonts w:ascii="Times New Roman" w:hAnsi="Times New Roman"/>
          <w:color w:val="000000" w:themeColor="text1"/>
          <w:sz w:val="16"/>
          <w:szCs w:val="16"/>
        </w:rPr>
      </w:pPr>
    </w:p>
    <w:p w14:paraId="039AE55C"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марта 1933 года, по указанию П.И.Баранова, серийный выпуск самолетов ХАИ-1 поручили Харьковскому авиазаводу, для замены пассажирского К-5 конструкции К.А.Калинина. Возможно, Неману тогда очень хотелось вернуться на родной завод в качестве главного конструктора. Но здесь вовсю шла подготовка к выпуску самолета-гиганта К-7, что помогло Калинину отстоять свое производство (24248).</w:t>
      </w:r>
    </w:p>
    <w:p w14:paraId="685D9C70" w14:textId="77777777" w:rsidR="00B26E21" w:rsidRPr="0044524F" w:rsidRDefault="00B26E21" w:rsidP="009654CF">
      <w:pPr>
        <w:spacing w:after="0" w:line="240" w:lineRule="auto"/>
        <w:jc w:val="both"/>
        <w:rPr>
          <w:rFonts w:ascii="Times New Roman" w:hAnsi="Times New Roman"/>
          <w:color w:val="000000" w:themeColor="text1"/>
          <w:sz w:val="16"/>
          <w:szCs w:val="16"/>
        </w:rPr>
      </w:pPr>
    </w:p>
    <w:p w14:paraId="5AA6F298"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ещё до окончания испытаний на Харьковском авиационном заводе началось серийное производство. Серийные экземпляры оказались тяжелее прототипа, но за счёт высокого качества отделки и полировки поверхности показали максимальную скорость 324 км/час. Продолжительность полёта увеличилась до 4,6 часов, дальность - до 1130 км. В связи с тем, что в Харькове намечалось делать тяжёлые бомбардировщики Калинин К-7, серию ХАИ-1 передали на новый завод № 21 в городе Горьком (ныне Нижний Новгород). Однако и здесь было выпущено всего несколько пассажирских машин, поскольку решением правительства на Горьковском заводе началось серийное производство истребителей Поликарпов И-16. В конце концов, в ноябре 1934 серийное производство переместилось в Киев, где произвели большинство машин. В мае 1935 серийные самолёты проходили эксплуатационные испытания на линии Киев - Москва, которые начал пилот Григорьев (24249).</w:t>
      </w:r>
    </w:p>
    <w:p w14:paraId="51B595FF" w14:textId="77777777" w:rsidR="00B26E21" w:rsidRPr="0044524F" w:rsidRDefault="00B26E21" w:rsidP="009654CF">
      <w:pPr>
        <w:spacing w:after="0" w:line="240" w:lineRule="auto"/>
        <w:jc w:val="both"/>
        <w:rPr>
          <w:rFonts w:ascii="Times New Roman" w:hAnsi="Times New Roman"/>
          <w:color w:val="000000" w:themeColor="text1"/>
          <w:sz w:val="16"/>
          <w:szCs w:val="16"/>
        </w:rPr>
      </w:pPr>
    </w:p>
    <w:p w14:paraId="3E483D3D"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года, сразу же после решения начальника ГУАП П.И.Баранова о запуске пассажирского ХАИ-1 в серию, конструкторская группа Немана получила официальный статус. Ее стали именовать Проектная часть НИСа ХАИ.</w:t>
      </w:r>
    </w:p>
    <w:p w14:paraId="746232AF"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Разместили начинающих самолетостроителей в двух маленьких комнатушках на четвертом этаже аэродинамического корпуса бывшего технологического института, рядом с аэродинамической трубой и квартирой академика Г.Ф.Проскуры. Главным конструктором назначили И.Г.Немана, начальником проектной части и заместителем главного конструктора - инженера С.Я.Жолковского. В штате числилось около пяти десятков человек - в основном первых выпускников ХАИ. Для изготовления экспериментальных машин организовали Центральные опытные мастерские (ЦОМ) ХАИ, которые возглавил инженер Галетко. В проектную часть из КБ К.А.Калинина перешли специалисты с практической школой в области самолетостроения. Создали 10 конструкторских бригад по 5 - 7 инженеров в каждой.</w:t>
      </w:r>
    </w:p>
    <w:p w14:paraId="763F687E"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Ведущими конструкторами по самолетам назначили Л.Д.Арсона и С.Я.Жолковского. Бригады работали с обоими руководителями проектов и по машинам не делились. На различных этапах проектирования практиковалась помощь одной бригады другой. Все работы проводились с широким привлечением студенчества.</w:t>
      </w:r>
    </w:p>
    <w:p w14:paraId="7998B2F7"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Тогда для выпуска ХАИ-1 наметили новый и вполне современный авиационный завод No. 21 имени А.С.Енукидзе в Горьком. На предприятии только начали переход от выпуска истребителя И-5 к более перспективному И-14, и ХАИ-1 здесь пришелся ко двору</w:t>
      </w:r>
    </w:p>
    <w:p w14:paraId="72169E0C"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заводом No. 21 осталась сборка трех машин ХАИ-1, причем одна из них планировалась под более мощный американский мотор Райт "Циклон" SGR-1820 F3 мощностью 712 л.с. Проект модификации ХАИ-1 под этот двигатель Неман представил в ГУАП 21 марта 1934 года, но дальше предложений дело не пошло (22248).</w:t>
      </w:r>
    </w:p>
    <w:p w14:paraId="68BA16FC" w14:textId="77777777" w:rsidR="00B26E21" w:rsidRPr="0044524F" w:rsidRDefault="00B26E21" w:rsidP="009654CF">
      <w:pPr>
        <w:spacing w:after="0" w:line="240" w:lineRule="auto"/>
        <w:jc w:val="both"/>
        <w:rPr>
          <w:rFonts w:ascii="Times New Roman" w:hAnsi="Times New Roman"/>
          <w:color w:val="000000" w:themeColor="text1"/>
          <w:sz w:val="16"/>
          <w:szCs w:val="16"/>
        </w:rPr>
      </w:pPr>
    </w:p>
    <w:p w14:paraId="4610BFA7" w14:textId="77777777" w:rsidR="00B26E21" w:rsidRPr="0044524F" w:rsidRDefault="00B26E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года при непосредственном участии назначенного начальником конструкторского бюро Т-35К Дизельного отдела ХПЗ (далее завода №183) И.С. Бера на ХПЗ ставился на произвлдаство "мощный" танк Т-35, разработанный под руководством Н.В. Барыкова в Ленинграде. Малоизвестный широкому кругу любителей истории бронетанковой техники, Иосиф Соломонович сыграл в судьбе Т-35 ключевую роль. Именно он вел сопровождение технической документации по танку. Также все работы по развитию танка шли при участии Бера. В 1938 году работы по созданию сменщика Т-35 переместились в Ленинград, а Бер стал заместителем начальника КБ-520. К тому времени работы по тяжелым танкам в Харькове закончились, но не совсем (23519).</w:t>
      </w:r>
    </w:p>
    <w:p w14:paraId="0B95380C" w14:textId="77777777" w:rsidR="00B26E21" w:rsidRPr="0044524F" w:rsidRDefault="00B26E21" w:rsidP="009654CF">
      <w:pPr>
        <w:spacing w:after="0" w:line="240" w:lineRule="auto"/>
        <w:jc w:val="both"/>
        <w:rPr>
          <w:rFonts w:ascii="Times New Roman" w:hAnsi="Times New Roman"/>
          <w:color w:val="000000" w:themeColor="text1"/>
          <w:sz w:val="16"/>
          <w:szCs w:val="16"/>
        </w:rPr>
      </w:pPr>
    </w:p>
    <w:p w14:paraId="6B59A400"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марта 1933 состоялось заседание в нач. ГУАП П.И.Б. (протокол 36).</w:t>
      </w:r>
    </w:p>
    <w:p w14:paraId="68F5970C"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 О перестройке заводов ГУАП на гражданскую авиацию (2292,167).</w:t>
      </w:r>
    </w:p>
    <w:p w14:paraId="30B09BB9"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39BDE2A9" w14:textId="77777777" w:rsidR="005653D4" w:rsidRPr="0044524F" w:rsidRDefault="005653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марта 1933 году приказом по ГУАП №117 было объявлено «Положение о работе летно</w:t>
      </w:r>
      <w:r w:rsidRPr="0044524F">
        <w:rPr>
          <w:rFonts w:ascii="Times New Roman" w:hAnsi="Times New Roman"/>
          <w:color w:val="000000" w:themeColor="text1"/>
          <w:sz w:val="16"/>
          <w:szCs w:val="16"/>
        </w:rPr>
        <w:softHyphen/>
        <w:t>испытательных станций Глававиапрома» (21100).</w:t>
      </w:r>
    </w:p>
    <w:p w14:paraId="44AD3939" w14:textId="77777777" w:rsidR="005653D4" w:rsidRPr="0044524F" w:rsidRDefault="005653D4" w:rsidP="009654CF">
      <w:pPr>
        <w:spacing w:after="0" w:line="240" w:lineRule="auto"/>
        <w:jc w:val="both"/>
        <w:rPr>
          <w:rFonts w:ascii="Times New Roman" w:hAnsi="Times New Roman"/>
          <w:color w:val="000000" w:themeColor="text1"/>
          <w:sz w:val="16"/>
          <w:szCs w:val="16"/>
        </w:rPr>
      </w:pPr>
    </w:p>
    <w:p w14:paraId="0252E56C"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1381236"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321C44" w14:textId="77777777" w:rsidR="001D30E3" w:rsidRPr="00142305" w:rsidRDefault="001D30E3" w:rsidP="001D3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марта 1933 года помощник начальника УММ РККА Г. Бокис направил в КБ Харьковского паровозостроительного завода такое письмо:</w:t>
      </w:r>
    </w:p>
    <w:p w14:paraId="6E731D24" w14:textId="77777777" w:rsidR="001D30E3" w:rsidRPr="00142305" w:rsidRDefault="001D30E3" w:rsidP="001D30E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«ГХПЗ согласно договора от 28.01. с.г. должен перейти в 4 квартале на серийное производство БТ с 76-мм пушкой. По со</w:t>
      </w:r>
      <w:r w:rsidRPr="00142305">
        <w:rPr>
          <w:rFonts w:ascii="Times New Roman" w:hAnsi="Times New Roman"/>
          <w:color w:val="0070C0"/>
          <w:sz w:val="16"/>
          <w:szCs w:val="16"/>
        </w:rPr>
        <w:softHyphen/>
        <w:t>общению нашего военпреда завод до сих пор не приступил к разработке общего проекта, несмотря на то, что до выпуска в серию осталось 5 месяцев. Примите не</w:t>
      </w:r>
      <w:r w:rsidRPr="00142305">
        <w:rPr>
          <w:rFonts w:ascii="Times New Roman" w:hAnsi="Times New Roman"/>
          <w:color w:val="0070C0"/>
          <w:sz w:val="16"/>
          <w:szCs w:val="16"/>
        </w:rPr>
        <w:softHyphen/>
        <w:t>обходимые меры к ускорению работ» (25009).</w:t>
      </w:r>
    </w:p>
    <w:p w14:paraId="5131D002" w14:textId="77777777" w:rsidR="001D30E3" w:rsidRPr="00142305" w:rsidRDefault="001D30E3" w:rsidP="001D30E3">
      <w:pPr>
        <w:spacing w:after="0" w:line="240" w:lineRule="auto"/>
        <w:jc w:val="both"/>
        <w:rPr>
          <w:rFonts w:ascii="Times New Roman" w:hAnsi="Times New Roman"/>
          <w:color w:val="0070C0"/>
          <w:sz w:val="16"/>
          <w:szCs w:val="16"/>
        </w:rPr>
      </w:pPr>
    </w:p>
    <w:p w14:paraId="1F1F8161"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марта 1933 представитель военной приемки на заводе сообщал о про</w:t>
      </w:r>
      <w:r w:rsidRPr="0044524F">
        <w:rPr>
          <w:rFonts w:ascii="Times New Roman" w:hAnsi="Times New Roman"/>
          <w:color w:val="000000" w:themeColor="text1"/>
          <w:sz w:val="16"/>
          <w:szCs w:val="16"/>
        </w:rPr>
        <w:softHyphen/>
        <w:t>изводстве Д-13 следующее: «5 единиц готовы за исключе</w:t>
      </w:r>
      <w:r w:rsidRPr="0044524F">
        <w:rPr>
          <w:rFonts w:ascii="Times New Roman" w:hAnsi="Times New Roman"/>
          <w:color w:val="000000" w:themeColor="text1"/>
          <w:sz w:val="16"/>
          <w:szCs w:val="16"/>
        </w:rPr>
        <w:softHyphen/>
        <w:t>нием: не сделаны рамы с сеткой для карт, нет задних фона</w:t>
      </w:r>
      <w:r w:rsidRPr="0044524F">
        <w:rPr>
          <w:rFonts w:ascii="Times New Roman" w:hAnsi="Times New Roman"/>
          <w:color w:val="000000" w:themeColor="text1"/>
          <w:sz w:val="16"/>
          <w:szCs w:val="16"/>
        </w:rPr>
        <w:softHyphen/>
        <w:t>рей. Машины вышли на испытание. 5 единиц, кроме ука</w:t>
      </w:r>
      <w:r w:rsidRPr="0044524F">
        <w:rPr>
          <w:rFonts w:ascii="Times New Roman" w:hAnsi="Times New Roman"/>
          <w:color w:val="000000" w:themeColor="text1"/>
          <w:sz w:val="16"/>
          <w:szCs w:val="16"/>
        </w:rPr>
        <w:softHyphen/>
        <w:t>занного, не установлены ящики для вездеходных цепей, не сделано крепление для шанцевого инструмента и допол</w:t>
      </w:r>
      <w:r w:rsidRPr="0044524F">
        <w:rPr>
          <w:rFonts w:ascii="Times New Roman" w:hAnsi="Times New Roman"/>
          <w:color w:val="000000" w:themeColor="text1"/>
          <w:sz w:val="16"/>
          <w:szCs w:val="16"/>
        </w:rPr>
        <w:softHyphen/>
        <w:t>нительных бензобаков». Но к маю Д-13 были сданы и по</w:t>
      </w:r>
      <w:r w:rsidRPr="0044524F">
        <w:rPr>
          <w:rFonts w:ascii="Times New Roman" w:hAnsi="Times New Roman"/>
          <w:color w:val="000000" w:themeColor="text1"/>
          <w:sz w:val="16"/>
          <w:szCs w:val="16"/>
        </w:rPr>
        <w:softHyphen/>
        <w:t>ступили в войска. Таким образом, всего изготовили 13 бро</w:t>
      </w:r>
      <w:r w:rsidRPr="0044524F">
        <w:rPr>
          <w:rFonts w:ascii="Times New Roman" w:hAnsi="Times New Roman"/>
          <w:color w:val="000000" w:themeColor="text1"/>
          <w:sz w:val="16"/>
          <w:szCs w:val="16"/>
        </w:rPr>
        <w:softHyphen/>
        <w:t>немашин конструкции Дыренкова: 12 Д-13 (считая 2 опыт</w:t>
      </w:r>
      <w:r w:rsidRPr="0044524F">
        <w:rPr>
          <w:rFonts w:ascii="Times New Roman" w:hAnsi="Times New Roman"/>
          <w:color w:val="000000" w:themeColor="text1"/>
          <w:sz w:val="16"/>
          <w:szCs w:val="16"/>
        </w:rPr>
        <w:softHyphen/>
        <w:t>ных образца) и 1 Д-9 (11284).</w:t>
      </w:r>
    </w:p>
    <w:p w14:paraId="16B335F7"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2A0265"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AAAC957"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4FAD0C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 xml:space="preserve">27 марта 1933 г. </w:t>
      </w:r>
      <w:r w:rsidRPr="0044524F">
        <w:rPr>
          <w:rFonts w:ascii="Times New Roman" w:hAnsi="Times New Roman"/>
          <w:color w:val="000000" w:themeColor="text1"/>
          <w:sz w:val="16"/>
          <w:szCs w:val="16"/>
        </w:rPr>
        <w:t>Из объяснительной записки Снарядного треста к годовому отчету за 1932 г.</w:t>
      </w:r>
    </w:p>
    <w:p w14:paraId="3527D7F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549482E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Общая часть и производство</w:t>
      </w:r>
    </w:p>
    <w:p w14:paraId="606FD5C0"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Поскольку укомплектование Снарядного треста заводами, действующими в системе треста в 1932 г., закончено в конце 1931 г., то 1932 г. является по существу первым годом деятельности Снарядного треста как производственно-хозяйственного объединения, и для правильной оценки результатов его деятельности за 1932 г. необходимо, помимо условий работы 1932 г., учесть также состояние его заводов на начало 1932 г. и те соображения, которые были положены трестом в основу составления промфинплана на 1932 г. В течение второго полугодия 1931 г. Снарядным трестом в порядке производственно-технического руководства и оздоровления работы заводов была проделана совместно с заводами следующая работа:</w:t>
      </w:r>
    </w:p>
    <w:p w14:paraId="3D68192A"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1) Проработаны и освоены технологические процессы по модернизированным снарядам калибров 76, 122 и 152 мм за исключением заводов № 65 по 122</w:t>
      </w:r>
      <w:r w:rsidRPr="0044524F">
        <w:rPr>
          <w:color w:val="000000" w:themeColor="text1"/>
          <w:sz w:val="16"/>
          <w:szCs w:val="16"/>
        </w:rPr>
        <w:noBreakHyphen/>
        <w:t>мм и № 63 по 152</w:t>
      </w:r>
      <w:r w:rsidRPr="0044524F">
        <w:rPr>
          <w:color w:val="000000" w:themeColor="text1"/>
          <w:sz w:val="16"/>
          <w:szCs w:val="16"/>
        </w:rPr>
        <w:noBreakHyphen/>
        <w:t>мм, освоение по которым произведено в начале 1932 г. 2) Проведена работа к освоению штамповки снарядных головок на аяксах. 3) Приступили к опытам по изготовлению снарядов с черной камерой. 4) Начаты работы по стандартизации снарядной заготовки и медных поясков. 5) Освоено производство аэробомб до 250 кг включительно и опыты по 500 кг.</w:t>
      </w:r>
    </w:p>
    <w:p w14:paraId="5D9A481B"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Проведение указанных работ, изучение состояния оборудования заводов и их мощностей, а также анализ работы заводов за 1931 г. позволили Снарядному тресту при составлении промфинплана на 1932 г. поставить перед собой задачей максимальную ассимиляцию оборудования в мирных условиях, положив в основу разрешения этой задачи следующие принципиальные положения: а) мирная загрузка должна дать максимальное использование основного капитала заводов и производственное оживление наращиваемых мощностей; б) номенклатура мирных изделий должна в основном соответствовать характеру оборудования, технологическому процессу основного производства и задаче накопления квалифицированной рабочей силы; в) осваиваемые номенклатуры мирной продукции должны иметь важнейшее народно-хозяйственное значение и по возможности служить целям освобождения от импорта; г) проводимая специализация заводов должна идти по линии освоения массового и крупно серийного производства и с минимальным приобретением дополнительного оборудования, необходимого для более эффективного использования основного капитала.</w:t>
      </w:r>
    </w:p>
    <w:p w14:paraId="02CD2A93"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Наряду с этим в 1932 г. должно было быть проведено дальнейшее развитие техники снарядного производства и совершенствования технологических процессов путем:</w:t>
      </w:r>
    </w:p>
    <w:p w14:paraId="13E6F90F"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а) повышения производительности существующего оборудования заводов, разработки стандартов, упорядочения лекально-калиберного дела, установления точных норм расходования основных и вспомогательных материалов, топлива, электроэнергии и т. д.; б) упорядочения станочного парка оборудования для снарядного производства и повышения технологических качеств станков; в) уточнения технических условий на спецпродукцию; г) доведения до минимума брака изделий; д) правильного использования рабсилы; е) внедрения в производство положительных результатов опытных работ по черной камере, штамповке, механической и термической обработке; ж) концентрации внимания руководства заводов на выполнении опытных и рационализаторских работ.</w:t>
      </w:r>
    </w:p>
    <w:p w14:paraId="1EED7C03"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 xml:space="preserve">Руководствуясь всеми вышеуказанными соображениями, Снарядным трестом был составлен промфинплан на 1932 г., согласно которому валовой выпуск продукции в 1932 г. определялся в 262 741,2 тыс. руб. в неизменных ценах 1926/27 г., что в отношении отчета за 1931 г. составляло 247%, т. е. намечалось увеличение валового </w:t>
      </w:r>
      <w:r w:rsidRPr="0044524F">
        <w:rPr>
          <w:color w:val="000000" w:themeColor="text1"/>
          <w:sz w:val="16"/>
          <w:szCs w:val="16"/>
        </w:rPr>
        <w:lastRenderedPageBreak/>
        <w:t>выпуска продукции почти в 2,5 раза. Изменение структуры выпуска валовой продукции по плану 1932 г. в сравнении с отчетом за 1931 г. видно из следующей таблицы (в тыс. руб. по ценам 1926/27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27"/>
        <w:gridCol w:w="1049"/>
        <w:gridCol w:w="980"/>
        <w:gridCol w:w="904"/>
        <w:gridCol w:w="2031"/>
        <w:gridCol w:w="2031"/>
      </w:tblGrid>
      <w:tr w:rsidR="004E10C1" w:rsidRPr="0044524F" w14:paraId="65D5FDA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B351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171F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отчету</w:t>
            </w:r>
          </w:p>
          <w:p w14:paraId="60AD5E0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C275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ПФП</w:t>
            </w:r>
          </w:p>
          <w:p w14:paraId="657D889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F242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404A2D8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8C1739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p w14:paraId="307BBEF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видов произв</w:t>
            </w:r>
            <w:r w:rsidRPr="0044524F">
              <w:rPr>
                <w:rFonts w:ascii="Times New Roman" w:hAnsi="Times New Roman"/>
                <w:color w:val="000000" w:themeColor="text1"/>
                <w:sz w:val="16"/>
                <w:szCs w:val="16"/>
              </w:rPr>
              <w:softHyphen/>
              <w:t>одства</w:t>
            </w:r>
          </w:p>
          <w:p w14:paraId="16591D2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отчете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0802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p w14:paraId="3B01B60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видов произ</w:t>
            </w:r>
            <w:r w:rsidRPr="0044524F">
              <w:rPr>
                <w:rFonts w:ascii="Times New Roman" w:hAnsi="Times New Roman"/>
                <w:color w:val="000000" w:themeColor="text1"/>
                <w:sz w:val="16"/>
                <w:szCs w:val="16"/>
              </w:rPr>
              <w:softHyphen/>
              <w:t>водства</w:t>
            </w:r>
          </w:p>
          <w:p w14:paraId="4BB1249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 ПФП 1932 г.</w:t>
            </w:r>
          </w:p>
        </w:tc>
      </w:tr>
      <w:tr w:rsidR="004E10C1" w:rsidRPr="0044524F" w14:paraId="342D3346"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7134C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Военная, включая междузаводскую</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398B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40 807,4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6116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100 614,2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55D8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70D83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27243C6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38,2</w:t>
            </w:r>
          </w:p>
        </w:tc>
      </w:tr>
      <w:tr w:rsidR="004E10C1" w:rsidRPr="0044524F" w14:paraId="3C9A09B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14DCB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717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49 717,7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4525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146 226,1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7E6B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9DD4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46,7</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AE9D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55,7</w:t>
            </w:r>
          </w:p>
        </w:tc>
      </w:tr>
      <w:tr w:rsidR="004E10C1" w:rsidRPr="0044524F" w14:paraId="6578C7C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484A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2EC1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1 472,0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70E8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4 597,1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566C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3AA9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450B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r>
      <w:tr w:rsidR="004E10C1" w:rsidRPr="0044524F" w14:paraId="54F33BF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96267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C4D998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11 008,9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0715F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7 821,2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2D41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E452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9DFACC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7C58D89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5009A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товары¹*</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F623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103 006,0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B7152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259 259,2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056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24B6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72ACB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98,7</w:t>
            </w:r>
          </w:p>
        </w:tc>
      </w:tr>
      <w:tr w:rsidR="004E10C1" w:rsidRPr="0044524F" w14:paraId="7CF2F85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794F0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незавершен</w:t>
            </w:r>
            <w:r w:rsidRPr="0044524F">
              <w:rPr>
                <w:rFonts w:ascii="Times New Roman" w:hAnsi="Times New Roman"/>
                <w:color w:val="000000" w:themeColor="text1"/>
                <w:sz w:val="16"/>
                <w:szCs w:val="16"/>
              </w:rPr>
              <w:softHyphen/>
              <w:t>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3DA82D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3 633,1</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B035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3 482,0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D180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2E6C6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0777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r>
      <w:tr w:rsidR="004E10C1" w:rsidRPr="0044524F" w14:paraId="31EF963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2E75C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валовой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1696B0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106 639,1</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B983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262 741,2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AC04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74C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91BC3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61BC7E4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62102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числе сравн[имой] продукции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251A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55 563,1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44BD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116 923,4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D4EF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B507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BC7C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r>
    </w:tbl>
    <w:p w14:paraId="17463BB9"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Из приведенной таблицы видно, что при сохранении удельного веса военной продукции удельный вес мирной продукции повышается с 46,7% до 55,7%, и объем выпуска мирной продукции увеличивается почти в 3 раза при общем росте валового выпуска в 2,5 раза. Значительно увеличился объем выпуска опытных работ и всей товарной продукции за счет оздоровления незавершенного производства. Кроме того, удельный вес сравнимой продукции понижался с 52% до 45,6²*: главным образом, за счет мирной продукции, поскольку в 1932 г. в планы выпуска были введены также [такие] изделия, как авиадетали, тракторные детали, роликоподшипники, буферные стаканы и тарелки, роликовые опоры и т. д.</w:t>
      </w:r>
    </w:p>
    <w:p w14:paraId="7C6DE352"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Принимая такую повышенную программу на 1932 г. и беря на себя обязательство освоить в производстве ряд мирных изделий, имеющих большое народнохозяйственное значение и освобождающих от импорта, Снарядный трест ставил перед высшими планирующими органами вопрос о том, что выполнение производственной программы будет идти с большим напряжением, и что одним из существенных моментов для овладения заводами треста темпом производства, обеспечивающим выполнение ими годового плана, в особенности по новым производствам, является вопрос полного и своевременного материального обеспечения.</w:t>
      </w:r>
    </w:p>
    <w:p w14:paraId="1EB6CD0F"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Несмотря на то, что как НКТП, так и Госпланом было отмечено существование значения для народного хозяйства осваиваемой Снарядным трестом в 1932 г. мирной продукции и гарантировано полное обеспечение необходимым металлом всей программы треста, немедленно после утверждения промфинплана треста на 1932 г. началась его ломка выдачей ГВМУ НКТП ряда дополнительных заказов по военной продукции (отн. ГВМУ №№ 3/15400, 4/1682с, 4/1934с, 4/1660с, 5/2399,3030с, 4/654с, 5/6994с), каковых за время с 8 февраля по 3 июля 1932 г. трест получил на сумму 59 582 тыс. руб. и в основном по таким изделиям, которые не только впервые вводились в производство, но по которым не было полной согласованности с заказчиком как по техническим условиям, так и по чертежам, и технологический процесс которых приходилось разрабатывать и проверять на опыте (45</w:t>
      </w:r>
      <w:r w:rsidRPr="0044524F">
        <w:rPr>
          <w:color w:val="000000" w:themeColor="text1"/>
          <w:sz w:val="16"/>
          <w:szCs w:val="16"/>
        </w:rPr>
        <w:noBreakHyphen/>
        <w:t>мм и 76</w:t>
      </w:r>
      <w:r w:rsidRPr="0044524F">
        <w:rPr>
          <w:color w:val="000000" w:themeColor="text1"/>
          <w:sz w:val="16"/>
          <w:szCs w:val="16"/>
        </w:rPr>
        <w:noBreakHyphen/>
        <w:t>мм бронебойных и 45</w:t>
      </w:r>
      <w:r w:rsidRPr="0044524F">
        <w:rPr>
          <w:color w:val="000000" w:themeColor="text1"/>
          <w:sz w:val="16"/>
          <w:szCs w:val="16"/>
        </w:rPr>
        <w:noBreakHyphen/>
        <w:t>мм осколочные снаряды).</w:t>
      </w:r>
    </w:p>
    <w:p w14:paraId="65E56D1F"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Получение этих дополнительных заказов с жесткими сроками их освоения и производства заставило трест резко ломать оперативные планы заводов, снимать с производства ряд намеченных и освоенных мирных номенклатур, отвлечь оборудование заводов на изготовление инструмента и приспособлений для новых заказов и переключить внимание технического руководства на разработку и освоение технологического процесса производства. Кроме того всем заводам треста с начала 1932 г. пришлось столкнуться с фактом недоснабжения и некомплектного снабжения их металлом, тем более, что заказ на бронебойные снаряды был выдан в ГВМУ без подготовки баз снабжения спецсталью.</w:t>
      </w:r>
    </w:p>
    <w:p w14:paraId="2D9832B4"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Все указанные обстоятельства, сломавшие утвержденный тресту на 1932 г. промфинплан и вынудившие его в течение всего 1932 г. работать по оперативным квартальным планам по номенклатуре изделий, отличающейся от годового плана, побудило трест обратиться с письмом в ГВМУ об уточнении годового задания (письмо от 14 ноября 1932 г 1937 вышел приказ НКОП № 7004с), какое оставлено ГВМУ без ответа.</w:t>
      </w:r>
    </w:p>
    <w:p w14:paraId="42DDE135"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Учитывая все эти изменения в заданиях ГВМУ, и на основе утвержденных ГВМУ и Госпланом квартальных планов и реального портфеля заказов Снарядный трест скорректировал свое задание на 1932 г. и представил его на утверждение в ГВМУ, определяя таковое в 210 443,6 тыс. руб. в неизменных ценах 1926/27 г., и считает, что этот объем производства является тем реальным плановым заданием, в пополнении которого трест и должен отчитываться.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368"/>
        <w:gridCol w:w="1244"/>
        <w:gridCol w:w="1201"/>
        <w:gridCol w:w="1104"/>
        <w:gridCol w:w="1246"/>
        <w:gridCol w:w="1246"/>
        <w:gridCol w:w="913"/>
      </w:tblGrid>
      <w:tr w:rsidR="004E10C1" w:rsidRPr="0044524F" w14:paraId="31E3ABD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15827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B3C1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w:t>
            </w:r>
          </w:p>
          <w:p w14:paraId="3C7D19E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ный ПФП</w:t>
            </w:r>
          </w:p>
          <w:p w14:paraId="265824D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p w14:paraId="1E8AF99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5496F93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Скорректи-</w:t>
            </w:r>
          </w:p>
          <w:p w14:paraId="3EE4870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рованный</w:t>
            </w:r>
          </w:p>
          <w:p w14:paraId="601C162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планом</w:t>
            </w:r>
          </w:p>
          <w:p w14:paraId="308A48A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p w14:paraId="441320B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BD13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 за</w:t>
            </w:r>
          </w:p>
          <w:p w14:paraId="07F6340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p w14:paraId="0B36AC7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4B83F6E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20A2C37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пополнения</w:t>
            </w:r>
          </w:p>
          <w:p w14:paraId="1F30BE9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ПФП</w:t>
            </w:r>
          </w:p>
        </w:tc>
        <w:tc>
          <w:tcPr>
            <w:tcW w:w="0" w:type="auto"/>
            <w:tcBorders>
              <w:top w:val="outset" w:sz="6" w:space="0" w:color="auto"/>
              <w:left w:val="outset" w:sz="6" w:space="0" w:color="auto"/>
              <w:bottom w:val="outset" w:sz="6" w:space="0" w:color="auto"/>
              <w:right w:val="outset" w:sz="6" w:space="0" w:color="auto"/>
            </w:tcBorders>
            <w:vAlign w:val="center"/>
            <w:hideMark/>
          </w:tcPr>
          <w:p w14:paraId="2C0D4A7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14EF021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пополнения</w:t>
            </w:r>
          </w:p>
          <w:p w14:paraId="302EEE3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корректи-</w:t>
            </w:r>
          </w:p>
          <w:p w14:paraId="1374812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рованного</w:t>
            </w:r>
          </w:p>
          <w:p w14:paraId="778A92B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BA4D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175F99A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отчету</w:t>
            </w:r>
          </w:p>
          <w:p w14:paraId="49969BC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w:t>
            </w:r>
          </w:p>
        </w:tc>
      </w:tr>
      <w:tr w:rsidR="004E10C1" w:rsidRPr="0044524F" w14:paraId="478FB67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43281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Военная, включая</w:t>
            </w:r>
          </w:p>
          <w:p w14:paraId="59652EC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междузаводскую</w:t>
            </w:r>
          </w:p>
          <w:p w14:paraId="19BF716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военную</w:t>
            </w:r>
          </w:p>
        </w:tc>
        <w:tc>
          <w:tcPr>
            <w:tcW w:w="0" w:type="auto"/>
            <w:tcBorders>
              <w:top w:val="outset" w:sz="6" w:space="0" w:color="auto"/>
              <w:left w:val="outset" w:sz="6" w:space="0" w:color="auto"/>
              <w:bottom w:val="outset" w:sz="6" w:space="0" w:color="auto"/>
              <w:right w:val="outset" w:sz="6" w:space="0" w:color="auto"/>
            </w:tcBorders>
            <w:vAlign w:val="center"/>
            <w:hideMark/>
          </w:tcPr>
          <w:p w14:paraId="606DC38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100 614,2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3B0D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111 685,3</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51AC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76 195,2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10DF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0EBF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8F73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186,7</w:t>
            </w:r>
          </w:p>
        </w:tc>
      </w:tr>
      <w:tr w:rsidR="004E10C1" w:rsidRPr="0044524F" w14:paraId="461EF5D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57DEC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Мирная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95EB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146 226,1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82785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74 070,5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34FFC8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65 486,8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8574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44,8</w:t>
            </w:r>
          </w:p>
        </w:tc>
        <w:tc>
          <w:tcPr>
            <w:tcW w:w="0" w:type="auto"/>
            <w:tcBorders>
              <w:top w:val="outset" w:sz="6" w:space="0" w:color="auto"/>
              <w:left w:val="outset" w:sz="6" w:space="0" w:color="auto"/>
              <w:bottom w:val="outset" w:sz="6" w:space="0" w:color="auto"/>
              <w:right w:val="outset" w:sz="6" w:space="0" w:color="auto"/>
            </w:tcBorders>
            <w:vAlign w:val="center"/>
            <w:hideMark/>
          </w:tcPr>
          <w:p w14:paraId="2558550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88,4</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1993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131,7</w:t>
            </w:r>
          </w:p>
        </w:tc>
      </w:tr>
      <w:tr w:rsidR="004E10C1" w:rsidRPr="0044524F" w14:paraId="5EA1963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CA41C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A2EC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4 597,1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09C8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6 466,9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B2790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5 222,0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AF1E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E8F9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6A26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354,7</w:t>
            </w:r>
          </w:p>
        </w:tc>
      </w:tr>
      <w:tr w:rsidR="004E10C1" w:rsidRPr="0044524F" w14:paraId="7610094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0BE64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Прочая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D79F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7 821,2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D8D130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13 741,6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F0D9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17 850,7</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8456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C209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B315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162,1</w:t>
            </w:r>
          </w:p>
        </w:tc>
      </w:tr>
      <w:tr w:rsidR="004E10C1" w:rsidRPr="0044524F" w14:paraId="128A055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40D79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товарной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C6E6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259 259,2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3A95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205 964,3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CC3BB6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164 754,8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BFA427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53,5</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5222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80,1</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C183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159,9</w:t>
            </w:r>
          </w:p>
        </w:tc>
      </w:tr>
      <w:tr w:rsidR="004E10C1" w:rsidRPr="0044524F" w14:paraId="7F2A932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3FAE09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незавершенного производства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818B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3 482,0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80B7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4 479,3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D249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3 216,7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22D9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CE20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852B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88,5</w:t>
            </w:r>
          </w:p>
        </w:tc>
      </w:tr>
      <w:tr w:rsidR="004E10C1" w:rsidRPr="0044524F" w14:paraId="1AF03D1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5BC9A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валовой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1F541C5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262 741,2</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09F3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210 443,6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981E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167 971,5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99BA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A54ADE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9F7FA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157,5</w:t>
            </w:r>
          </w:p>
        </w:tc>
      </w:tr>
    </w:tbl>
    <w:p w14:paraId="0D64BA6E"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Таким образом, при сопоставлении отчета по выпуску продукции за 1932 г. с корректированным планом процент исполнения плана повышается до 80% вместо 53,9% против утвержденного промфинплана, при этом наиболее неудовлетворительным является выполнение плана по военной продукции за счет неосвоения производства 45</w:t>
      </w:r>
      <w:r w:rsidRPr="0044524F">
        <w:rPr>
          <w:color w:val="000000" w:themeColor="text1"/>
          <w:sz w:val="16"/>
          <w:szCs w:val="16"/>
        </w:rPr>
        <w:noBreakHyphen/>
        <w:t>мм бронебойных снарядов, 45</w:t>
      </w:r>
      <w:r w:rsidRPr="0044524F">
        <w:rPr>
          <w:color w:val="000000" w:themeColor="text1"/>
          <w:sz w:val="16"/>
          <w:szCs w:val="16"/>
        </w:rPr>
        <w:noBreakHyphen/>
        <w:t>мм осколочных, 152</w:t>
      </w:r>
      <w:r w:rsidRPr="0044524F">
        <w:rPr>
          <w:color w:val="000000" w:themeColor="text1"/>
          <w:sz w:val="16"/>
          <w:szCs w:val="16"/>
        </w:rPr>
        <w:noBreakHyphen/>
        <w:t>мм мортирок, неподачи объектов переделки 76</w:t>
      </w:r>
      <w:r w:rsidRPr="0044524F">
        <w:rPr>
          <w:color w:val="000000" w:themeColor="text1"/>
          <w:sz w:val="16"/>
          <w:szCs w:val="16"/>
        </w:rPr>
        <w:noBreakHyphen/>
        <w:t>мм модернизированных снарядов, неполадки производства РГ</w:t>
      </w:r>
      <w:r w:rsidRPr="0044524F">
        <w:rPr>
          <w:color w:val="000000" w:themeColor="text1"/>
          <w:sz w:val="16"/>
          <w:szCs w:val="16"/>
        </w:rPr>
        <w:noBreakHyphen/>
        <w:t>6, отсутствия материалов по производству тяжелых АБ, мортирок Дьяконова, 76</w:t>
      </w:r>
      <w:r w:rsidRPr="0044524F">
        <w:rPr>
          <w:color w:val="000000" w:themeColor="text1"/>
          <w:sz w:val="16"/>
          <w:szCs w:val="16"/>
        </w:rPr>
        <w:noBreakHyphen/>
        <w:t>мм зажигательных снарядов, 37</w:t>
      </w:r>
      <w:r w:rsidRPr="0044524F">
        <w:rPr>
          <w:color w:val="000000" w:themeColor="text1"/>
          <w:sz w:val="16"/>
          <w:szCs w:val="16"/>
        </w:rPr>
        <w:noBreakHyphen/>
        <w:t>мм бронебойных снарядов и недоснабжения спецзаготовкой.</w:t>
      </w:r>
    </w:p>
    <w:p w14:paraId="6C50D956"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Считая, что с самого начала 1932 г. налицо имелись предпосылки как то: ломка программы, перебои снабжения, получение от НКТП заказов, не обеспеченных базами материального снабжения, изменение заказчиками технических условий и чертежей — которые независимо от зависящих от треста причин (неосвоение производства, слабость технического руководства заводов, слабая труддисциплина, повышенный брак и т. д.) — поставили под угрозу выполнение промфинплана, Снарядный трест считает необходимым подвергнуть некоторому сопоставлению результаты деятельности в 1932 г. с 1931 г. и отметить, что, несмотря на неудовлетворительное выполнение плана 1932 г., трест все же имеет ряд достижений по сравнению с 1931 г.</w:t>
      </w:r>
    </w:p>
    <w:p w14:paraId="74AEAE1A"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1) Освоено производство увеличенной дальности трехдюймовых полевых Розенберга и зажигательные по заводам №№ 70, 77, 68 и 73.</w:t>
      </w:r>
    </w:p>
    <w:p w14:paraId="6C5A1101"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2) Также освоено производство снарядов увеличенной дальности 122</w:t>
      </w:r>
      <w:r w:rsidRPr="0044524F">
        <w:rPr>
          <w:color w:val="000000" w:themeColor="text1"/>
          <w:sz w:val="16"/>
          <w:szCs w:val="16"/>
        </w:rPr>
        <w:noBreakHyphen/>
        <w:t>мм и 152</w:t>
      </w:r>
      <w:r w:rsidRPr="0044524F">
        <w:rPr>
          <w:color w:val="000000" w:themeColor="text1"/>
          <w:sz w:val="16"/>
          <w:szCs w:val="16"/>
        </w:rPr>
        <w:noBreakHyphen/>
        <w:t>мм по заводам №№ 63, 73, 77, 65, 76.</w:t>
      </w:r>
    </w:p>
    <w:p w14:paraId="564B536A"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3) Освоено производство снарядов сталистого чугуна по заводу № 71 122</w:t>
      </w:r>
      <w:r w:rsidRPr="0044524F">
        <w:rPr>
          <w:color w:val="000000" w:themeColor="text1"/>
          <w:sz w:val="16"/>
          <w:szCs w:val="16"/>
        </w:rPr>
        <w:noBreakHyphen/>
        <w:t xml:space="preserve">мм (за 1932 г. изготовлено 13 500 и сдано 14 065). До последнего времени остается высоким процент брака, самый низкий брак декабрь — 32%. (Кроме того, на «Серпе и Молоте» в Харькове из высокофосфористых чугунов липецкой выплавки отлито до 3 тыс. снарядов, 1000 шт. отстреляны на полигоне при температуре </w:t>
      </w:r>
      <w:r w:rsidRPr="0044524F">
        <w:rPr>
          <w:color w:val="000000" w:themeColor="text1"/>
          <w:sz w:val="16"/>
          <w:szCs w:val="16"/>
        </w:rPr>
        <w:noBreakHyphen/>
        <w:t>40°. Содержание фосфора 0,56</w:t>
      </w:r>
      <w:r w:rsidRPr="0044524F">
        <w:rPr>
          <w:color w:val="000000" w:themeColor="text1"/>
          <w:sz w:val="16"/>
          <w:szCs w:val="16"/>
        </w:rPr>
        <w:noBreakHyphen/>
        <w:t>0,35%, результаты отстрела положительные. Калибр 122 мм).</w:t>
      </w:r>
    </w:p>
    <w:p w14:paraId="22CBF3AF"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4) Достигнуто значительное сокращение веса заготовки: по 152</w:t>
      </w:r>
      <w:r w:rsidRPr="0044524F">
        <w:rPr>
          <w:color w:val="000000" w:themeColor="text1"/>
          <w:sz w:val="16"/>
          <w:szCs w:val="16"/>
        </w:rPr>
        <w:noBreakHyphen/>
        <w:t>мм снарядам в начале 1931 г. вес заготовки составлял 61</w:t>
      </w:r>
      <w:r w:rsidRPr="0044524F">
        <w:rPr>
          <w:color w:val="000000" w:themeColor="text1"/>
          <w:sz w:val="16"/>
          <w:szCs w:val="16"/>
        </w:rPr>
        <w:noBreakHyphen/>
        <w:t>62 кг, сейчас 51</w:t>
      </w:r>
      <w:r w:rsidRPr="0044524F">
        <w:rPr>
          <w:color w:val="000000" w:themeColor="text1"/>
          <w:sz w:val="16"/>
          <w:szCs w:val="16"/>
        </w:rPr>
        <w:noBreakHyphen/>
        <w:t>54 кг, сокращение 7</w:t>
      </w:r>
      <w:r w:rsidRPr="0044524F">
        <w:rPr>
          <w:color w:val="000000" w:themeColor="text1"/>
          <w:sz w:val="16"/>
          <w:szCs w:val="16"/>
        </w:rPr>
        <w:noBreakHyphen/>
        <w:t>10 кг на 1 снаряд. Проведена работа по стандарту веса заготовки снарядов. Работы проводились на заводах: 1. Сталинский металлургический и завод № 73. 2. Надеждинский металлургический и завод № 76, Мариупольский завод по 48</w:t>
      </w:r>
      <w:r w:rsidRPr="0044524F">
        <w:rPr>
          <w:color w:val="000000" w:themeColor="text1"/>
          <w:sz w:val="16"/>
          <w:szCs w:val="16"/>
        </w:rPr>
        <w:noBreakHyphen/>
        <w:t>мм линейным снарядам, Рыковский завод и обработка на заводе № 70. Результат: для 122</w:t>
      </w:r>
      <w:r w:rsidRPr="0044524F">
        <w:rPr>
          <w:color w:val="000000" w:themeColor="text1"/>
          <w:sz w:val="16"/>
          <w:szCs w:val="16"/>
        </w:rPr>
        <w:noBreakHyphen/>
        <w:t>мм снарядов вес после стандарта 30 кг, до стандарта — 31</w:t>
      </w:r>
      <w:r w:rsidRPr="0044524F">
        <w:rPr>
          <w:color w:val="000000" w:themeColor="text1"/>
          <w:sz w:val="16"/>
          <w:szCs w:val="16"/>
        </w:rPr>
        <w:noBreakHyphen/>
        <w:t>[3]4 кг, сокращение на 4 кг, по трехдюймовому снаряду до стандарта 9,5 кг, после — 8,6 кг, сокращение на 1,2 кг³*. Вследствие сокращения веса и допусков механическая обработка сокращается до 15%.</w:t>
      </w:r>
    </w:p>
    <w:p w14:paraId="055042D1"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5) Проведена работа по штамповке головок 122</w:t>
      </w:r>
      <w:r w:rsidRPr="0044524F">
        <w:rPr>
          <w:color w:val="000000" w:themeColor="text1"/>
          <w:sz w:val="16"/>
          <w:szCs w:val="16"/>
        </w:rPr>
        <w:noBreakHyphen/>
        <w:t>мм и 152</w:t>
      </w:r>
      <w:r w:rsidRPr="0044524F">
        <w:rPr>
          <w:color w:val="000000" w:themeColor="text1"/>
          <w:sz w:val="16"/>
          <w:szCs w:val="16"/>
        </w:rPr>
        <w:noBreakHyphen/>
        <w:t>мм снарядов на аяксах вместо прессов. Головка 122</w:t>
      </w:r>
      <w:r w:rsidRPr="0044524F">
        <w:rPr>
          <w:color w:val="000000" w:themeColor="text1"/>
          <w:sz w:val="16"/>
          <w:szCs w:val="16"/>
        </w:rPr>
        <w:noBreakHyphen/>
        <w:t>мм снаряда на прессу стоила 3 руб. 50 коп. и на аяксе — 1 руб. 80 коп., экономия металла для калибров 76 мм, 122 мм и 152 мм соответствовала 1, 1,6 и 1,8 кг, сокращение времени на механическую обработку достигает более 25%.</w:t>
      </w:r>
    </w:p>
    <w:p w14:paraId="731FEEEA"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6) Поставлено производство как по штамповке, а также и механической обработке головок АБ 250 кг на заводе № 72 и № 67. Ранее головку завод им. Молотова (ММ3) давал весом 160 кг, на заводе № 72 вес штамповки сначала 130 кг и затем 100 кг, завод за 1932 г. отштамповал 4228 шт. Заводом № 67 АБ 250 кг за 1932 г. дано 5437 шт., выпущено АБ 500, за февраль 101 шт., также выпущена партия опытных 9 шт. АБ 2000 кг. Поставлено производство химических аэробомб 100 кг, за 1932 г. выпущено 4745 шт., за январь и февраль — 1278 шт.</w:t>
      </w:r>
    </w:p>
    <w:p w14:paraId="2B1D808B"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7) Поставлено производство изолирующего противогаза.</w:t>
      </w:r>
    </w:p>
    <w:p w14:paraId="25D91FF3"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8) Налажена штамповка 203</w:t>
      </w:r>
      <w:r w:rsidRPr="0044524F">
        <w:rPr>
          <w:color w:val="000000" w:themeColor="text1"/>
          <w:sz w:val="16"/>
          <w:szCs w:val="16"/>
        </w:rPr>
        <w:noBreakHyphen/>
        <w:t>мм фугасных снарядов для «Красного Сормова», за 1932 г. дано 479 снарядов.</w:t>
      </w:r>
    </w:p>
    <w:p w14:paraId="15AB83BF"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lastRenderedPageBreak/>
        <w:t>9) Дано 37</w:t>
      </w:r>
      <w:r w:rsidRPr="0044524F">
        <w:rPr>
          <w:color w:val="000000" w:themeColor="text1"/>
          <w:sz w:val="16"/>
          <w:szCs w:val="16"/>
        </w:rPr>
        <w:noBreakHyphen/>
        <w:t>мм снарядов к ружью Курчевского 13 тыс. шт., из них 3200 — боевые, а остальные — лафето-пробные. Сейчас меняется чертеж.</w:t>
      </w:r>
    </w:p>
    <w:p w14:paraId="6FEA0163"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10) Выпущено с завода № 75 в опытном порядке бронебойных снарядов от 20 до 76 мм из разных марок стали, всего 8920 шт.</w:t>
      </w:r>
    </w:p>
    <w:p w14:paraId="7F442C58"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11) Выпущено всех типов и калибров опытных снарядов за 1932 г. 53 тыс. шт., причем полигональные снаряды 80</w:t>
      </w:r>
      <w:r w:rsidRPr="0044524F">
        <w:rPr>
          <w:color w:val="000000" w:themeColor="text1"/>
          <w:sz w:val="16"/>
          <w:szCs w:val="16"/>
        </w:rPr>
        <w:noBreakHyphen/>
        <w:t>мм — 117 шт. и 76</w:t>
      </w:r>
      <w:r w:rsidRPr="0044524F">
        <w:rPr>
          <w:color w:val="000000" w:themeColor="text1"/>
          <w:sz w:val="16"/>
          <w:szCs w:val="16"/>
        </w:rPr>
        <w:noBreakHyphen/>
        <w:t>мм — 196 шт. В работе находятся 132</w:t>
      </w:r>
      <w:r w:rsidRPr="0044524F">
        <w:rPr>
          <w:color w:val="000000" w:themeColor="text1"/>
          <w:sz w:val="16"/>
          <w:szCs w:val="16"/>
        </w:rPr>
        <w:noBreakHyphen/>
        <w:t>мм полигональные, изготовлено 56 шт., в этом году из них сдано 28. Также в январе и феврале 1933 г. выпущено 76</w:t>
      </w:r>
      <w:r w:rsidRPr="0044524F">
        <w:rPr>
          <w:color w:val="000000" w:themeColor="text1"/>
          <w:sz w:val="16"/>
          <w:szCs w:val="16"/>
        </w:rPr>
        <w:noBreakHyphen/>
        <w:t>мм нарезных снарядов, 168 шт. сдано.</w:t>
      </w:r>
    </w:p>
    <w:p w14:paraId="7566360F"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12) Увеличение выходов с пресса в смену снарядов по 76</w:t>
      </w:r>
      <w:r w:rsidRPr="0044524F">
        <w:rPr>
          <w:color w:val="000000" w:themeColor="text1"/>
          <w:sz w:val="16"/>
          <w:szCs w:val="16"/>
        </w:rPr>
        <w:noBreakHyphen/>
        <w:t>мм Розенберга: завод № 68 в 1931 г. в смену с пресса снимал 650 шт., сейчас 700 шт., увеличение на 13%. По заводу № 73 — 450 шт. и 600 шт., увеличение на 33%. По 122</w:t>
      </w:r>
      <w:r w:rsidRPr="0044524F">
        <w:rPr>
          <w:color w:val="000000" w:themeColor="text1"/>
          <w:sz w:val="16"/>
          <w:szCs w:val="16"/>
        </w:rPr>
        <w:noBreakHyphen/>
        <w:t>мм по заводу № 76 было 450 шт., в настоящее время 500 шт., увеличение на 11%. По заводу № 65 — 340 и 413 шт., увеличение на 23%. По 152</w:t>
      </w:r>
      <w:r w:rsidRPr="0044524F">
        <w:rPr>
          <w:color w:val="000000" w:themeColor="text1"/>
          <w:sz w:val="16"/>
          <w:szCs w:val="16"/>
        </w:rPr>
        <w:noBreakHyphen/>
        <w:t>мм УД завод № 73 — 250 и 300 шт. в смене, увеличение на 20%. По заводу № 79 было 210 шт., сейчас 300 шт., увеличение на 43%.</w:t>
      </w:r>
    </w:p>
    <w:p w14:paraId="6D34D4A8"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13) Увеличение выходов со станка по механической обработке: завод № 68 по 76</w:t>
      </w:r>
      <w:r w:rsidRPr="0044524F">
        <w:rPr>
          <w:color w:val="000000" w:themeColor="text1"/>
          <w:sz w:val="16"/>
          <w:szCs w:val="16"/>
        </w:rPr>
        <w:noBreakHyphen/>
        <w:t>мм Розенберга фактический выход 11</w:t>
      </w:r>
      <w:r w:rsidRPr="0044524F">
        <w:rPr>
          <w:color w:val="000000" w:themeColor="text1"/>
          <w:sz w:val="16"/>
          <w:szCs w:val="16"/>
        </w:rPr>
        <w:noBreakHyphen/>
        <w:t>12 шт. со станка, по заводу № 65 по 122</w:t>
      </w:r>
      <w:r w:rsidRPr="0044524F">
        <w:rPr>
          <w:color w:val="000000" w:themeColor="text1"/>
          <w:sz w:val="16"/>
          <w:szCs w:val="16"/>
        </w:rPr>
        <w:noBreakHyphen/>
        <w:t>мм УД выход с 6,5 снаряда поднят до 8,7 снаряда, фактически достигнуто 6,24 снаряда. По заводу № 73 по 76</w:t>
      </w:r>
      <w:r w:rsidRPr="0044524F">
        <w:rPr>
          <w:color w:val="000000" w:themeColor="text1"/>
          <w:sz w:val="16"/>
          <w:szCs w:val="16"/>
        </w:rPr>
        <w:noBreakHyphen/>
        <w:t>мм Розенберга [в] 1931 г. было 9 шт. со станка, [в] 1932 г. поднят до 12 шт., фактический выход 8. По 152</w:t>
      </w:r>
      <w:r w:rsidRPr="0044524F">
        <w:rPr>
          <w:color w:val="000000" w:themeColor="text1"/>
          <w:sz w:val="16"/>
          <w:szCs w:val="16"/>
        </w:rPr>
        <w:noBreakHyphen/>
        <w:t>мм УД [в] 1931 г. дано 3 стакана, [в] 1932 г. поднято до 4,3 снаряда, фактически 4,1 снаряда. Таким образом, выходы подняты по 76</w:t>
      </w:r>
      <w:r w:rsidRPr="0044524F">
        <w:rPr>
          <w:color w:val="000000" w:themeColor="text1"/>
          <w:sz w:val="16"/>
          <w:szCs w:val="16"/>
        </w:rPr>
        <w:noBreakHyphen/>
        <w:t>мм на 33% и по шестидюймовым на 40%. По заводу № 70 37</w:t>
      </w:r>
      <w:r w:rsidRPr="0044524F">
        <w:rPr>
          <w:color w:val="000000" w:themeColor="text1"/>
          <w:sz w:val="16"/>
          <w:szCs w:val="16"/>
        </w:rPr>
        <w:noBreakHyphen/>
        <w:t>мм БР запроектированы выходы 34,2 снаряда, фактически достигнуто 21,4 снаряда, по 76</w:t>
      </w:r>
      <w:r w:rsidRPr="0044524F">
        <w:rPr>
          <w:color w:val="000000" w:themeColor="text1"/>
          <w:sz w:val="16"/>
          <w:szCs w:val="16"/>
        </w:rPr>
        <w:noBreakHyphen/>
        <w:t>мм УД полевым запроектировано 14 шт., достигнуто 12 шт. По заводу № 77 по 76</w:t>
      </w:r>
      <w:r w:rsidRPr="0044524F">
        <w:rPr>
          <w:color w:val="000000" w:themeColor="text1"/>
          <w:sz w:val="16"/>
          <w:szCs w:val="16"/>
        </w:rPr>
        <w:noBreakHyphen/>
        <w:t>мм УД в 1931 г. выходы 9,95 шт., 1932 г. — 11,3 шт., увеличение на 13%. По 122</w:t>
      </w:r>
      <w:r w:rsidRPr="0044524F">
        <w:rPr>
          <w:color w:val="000000" w:themeColor="text1"/>
          <w:sz w:val="16"/>
          <w:szCs w:val="16"/>
        </w:rPr>
        <w:noBreakHyphen/>
        <w:t>мм УД [в] 1931 г. выходы были 5,8 стакана, [в] 1932 г. — 7,6 стакана, увеличение на 30%.</w:t>
      </w:r>
    </w:p>
    <w:p w14:paraId="1ECF30F0"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14) Завод № 65: дано 107</w:t>
      </w:r>
      <w:r w:rsidRPr="0044524F">
        <w:rPr>
          <w:color w:val="000000" w:themeColor="text1"/>
          <w:sz w:val="16"/>
          <w:szCs w:val="16"/>
        </w:rPr>
        <w:noBreakHyphen/>
        <w:t>мм мин Стокса методом холодной вытяжки из листа вместо дорогостоящих труб. Экономия металла — десятки тысяч тонн металла.</w:t>
      </w:r>
    </w:p>
    <w:p w14:paraId="0D951D10"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15) Проработан вопрос перехода производства противогаза с белой жести на черную жесть. Результат — экономия 17 кг олова на тысячу противогазов. Валовой выпуск за 1932 г. в отношении отчета 1931 г. составляет 157,5%, в том числе по военной — 186,7%, по мирной — 131,7%, по опытным работам — 354,7%, и при увеличении общего подъема выпуска прирост незавершенного производства снизился в сравнении с 1931 г. до 88,5%. Особенно трест считает необходимым отметить значительный рост по опытным работам. По количеству выданных объектов по опытным работам около 5% приходится на долю мелкокалиберной артиллерии, т. е. 20, 25, 37 и 45 мм, 50% на средние калибры 75 и 76 мм и 10% на калибры свыше 76 мм (см. приложение)...⁴*</w:t>
      </w:r>
    </w:p>
    <w:p w14:paraId="2C88B94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По труду</w:t>
      </w:r>
    </w:p>
    <w:p w14:paraId="14393ADB"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А. Рабочая сила</w:t>
      </w:r>
    </w:p>
    <w:p w14:paraId="72939768"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Численность рабочей силы и других категорий работающих на заводах Снарядного треста в течение 1932 г. по сравнению с планом на 1932 г. и отчетом за 1932 г. характеризуется в основном следующей таблицей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06"/>
        <w:gridCol w:w="804"/>
        <w:gridCol w:w="804"/>
        <w:gridCol w:w="804"/>
        <w:gridCol w:w="1002"/>
        <w:gridCol w:w="1002"/>
      </w:tblGrid>
      <w:tr w:rsidR="004E10C1" w:rsidRPr="0044524F" w14:paraId="27B1658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24654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64ED97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w:t>
            </w:r>
          </w:p>
          <w:p w14:paraId="59F9A7A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9A1DAC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w:t>
            </w:r>
          </w:p>
          <w:p w14:paraId="3153031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9B04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w:t>
            </w:r>
          </w:p>
          <w:p w14:paraId="00DBFBA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2963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055A176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F76D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59BFA1D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плану</w:t>
            </w:r>
          </w:p>
        </w:tc>
      </w:tr>
      <w:tr w:rsidR="004E10C1" w:rsidRPr="0044524F" w14:paraId="11E7290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91393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Среднесуточное списочное число кадровых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D4C19B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45B0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40 855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FA5D11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5752871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5583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76,7</w:t>
            </w:r>
          </w:p>
        </w:tc>
      </w:tr>
      <w:tr w:rsidR="004E10C1" w:rsidRPr="0044524F" w14:paraId="51C10AC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1DB79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Среднесписочное число рабочих, обученных на производстве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B19626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163D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CBFCEB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A821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CD7D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82,5</w:t>
            </w:r>
          </w:p>
        </w:tc>
      </w:tr>
      <w:tr w:rsidR="004E10C1" w:rsidRPr="0044524F" w14:paraId="3CA8ADE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C74C8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Среднесписочное число учеников, ФЗУ, ШУМП и 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E2B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74FF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E29DF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0D2657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B7F8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69,3</w:t>
            </w:r>
          </w:p>
        </w:tc>
      </w:tr>
      <w:tr w:rsidR="004E10C1" w:rsidRPr="0044524F" w14:paraId="000E9F1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3FF1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DD81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8CAA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3DEC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7792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121,4</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E96D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113,3</w:t>
            </w:r>
          </w:p>
        </w:tc>
      </w:tr>
    </w:tbl>
    <w:p w14:paraId="4BFAD48E"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Из сопоставления процентного выполнения плана в части рабочей силы с процентным выполнением производственной программы видно, что в течение 1932 г. на заводах Снарядного треста имел место перебор рабочей силы, в особенности в части взрослого ученичества и младшего обслуживающего персонала. Приводя к сравнению с выполнением производственной программы, излишек кадровых рабочих определяется в 21%, взрослого ученичества в 30%, по МОП — 79%. Если же ввести в эти расчеты корректив, применяемый ВЦСПС, т. е. на 1% программы, недовыполнения программы — 0,6% недобора рабсилы, то в среднем за 1932 г. по Снарядному тресту перебора не будет.</w:t>
      </w:r>
    </w:p>
    <w:p w14:paraId="70B92E31"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Подобное положение с рабочей силой создалось благодаря тому, что на заводах не было уделено достаточного внимания правильному использованию рабочей силы, но главным образом вследствие того, что создавшееся в 1932 г. положение на заводах со снабжением, когда заводы, имея в своем распоряжении материальные фонды и со дня на день ожидая поступления материалов, не считали возможным увольнять рабочую силу, и задерживали ее для обеспечения разворота производства по получении материалов.</w:t>
      </w:r>
    </w:p>
    <w:p w14:paraId="0B2DF6C7"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Особенно это явление было характерно для заводов № 65, 70, 77, 67. Кроме того до III квартала 1932 г. положение на рынке труда оставалось напряженным, в особенности в районе Уральской группы заводов, и опасаясь не обеспечить производственное задание рабочей силой, заводы использовали наличную рабочую силу не на производстве, а на дворовых и других работах, предоставляли им долгосрочные отпуска без содержания, числя их в списочном составе рабочих. И только в IV квартале, когда окончательно выявилась перспектива 1932 г., было проведено резкое сокращение рабсилы.</w:t>
      </w:r>
    </w:p>
    <w:p w14:paraId="7D60F633"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Динамика излишка рабсилы в сравнении с процентом выполнения по кварталам следующая: I квартал — 15%, II — 37,3%, III — 50% и IV квартал — 23,9%. В части же излишка по младшему обслуживающему персоналу, то он объясняется исключительно недостаточным вниманием заводов к этому участку. Число служащих в 1932 г. составило 99,1% к плану и 142,6% к отчету за 1931 г. Динамика соотношения ИТР и счетно-конторского персонала по отношению к количеству рабочих представляется в следующем виде:</w:t>
      </w:r>
    </w:p>
    <w:p w14:paraId="0BD1EE6D" w14:textId="77777777" w:rsidR="00C523F8" w:rsidRPr="0044524F" w:rsidRDefault="00C523F8" w:rsidP="009654CF">
      <w:pPr>
        <w:pStyle w:val="ae"/>
        <w:spacing w:before="0" w:after="0"/>
        <w:jc w:val="both"/>
        <w:rPr>
          <w:color w:val="000000" w:themeColor="text1"/>
          <w:sz w:val="16"/>
          <w:szCs w:val="16"/>
        </w:rPr>
      </w:pPr>
      <w:r w:rsidRPr="0044524F">
        <w:rPr>
          <w:rStyle w:val="a7"/>
          <w:rFonts w:eastAsiaTheme="majorEastAsia"/>
          <w:b w:val="0"/>
          <w:color w:val="000000" w:themeColor="text1"/>
          <w:sz w:val="16"/>
          <w:szCs w:val="16"/>
        </w:rPr>
        <w:t>1932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15"/>
        <w:gridCol w:w="1066"/>
        <w:gridCol w:w="1196"/>
        <w:gridCol w:w="1196"/>
        <w:gridCol w:w="1196"/>
        <w:gridCol w:w="1196"/>
        <w:gridCol w:w="1067"/>
        <w:gridCol w:w="1490"/>
      </w:tblGrid>
      <w:tr w:rsidR="004E10C1" w:rsidRPr="0044524F" w14:paraId="42395F3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B494A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7A85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C17A4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w:t>
            </w:r>
          </w:p>
          <w:p w14:paraId="7E7DC95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AA2FC7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w:t>
            </w:r>
          </w:p>
          <w:p w14:paraId="19BCD2B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CED7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w:t>
            </w:r>
          </w:p>
          <w:p w14:paraId="4B5E6AB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08D6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w:t>
            </w:r>
          </w:p>
          <w:p w14:paraId="61AE691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3413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9043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ПФП</w:t>
            </w:r>
          </w:p>
          <w:p w14:paraId="74537EE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1932 г.</w:t>
            </w:r>
          </w:p>
        </w:tc>
      </w:tr>
      <w:tr w:rsidR="004E10C1" w:rsidRPr="0044524F" w14:paraId="5D89F88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0639B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FE0E39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7137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24AE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0E3E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4CAA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FFE9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6424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r>
      <w:tr w:rsidR="004E10C1" w:rsidRPr="0044524F" w14:paraId="5581C07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0F751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Счетно</w:t>
            </w:r>
            <w:r w:rsidRPr="0044524F">
              <w:rPr>
                <w:rFonts w:ascii="Times New Roman" w:hAnsi="Times New Roman"/>
                <w:color w:val="000000" w:themeColor="text1"/>
                <w:sz w:val="16"/>
                <w:szCs w:val="16"/>
              </w:rPr>
              <w:noBreakHyphen/>
              <w:t>конторские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890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14:paraId="6A93FE8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82AA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8350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860B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673CF7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E9A59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r>
      <w:tr w:rsidR="004E10C1" w:rsidRPr="0044524F" w14:paraId="5604806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C224D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C5D7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16A86C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82D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92F9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30BB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7CF477B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A18F5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bl>
    <w:p w14:paraId="05BFB98E"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Из этих данных видно, что в 1932 г. значительно увеличилась обеспеченность заводов Снарядного треста в части ИТР как в процентном отношении к служащим, так и в абсолютном количестве: за 1931 г. — 2212 чел., в 1932 г. — 3200 чел., причем главным образом увеличение обеспеченностью ИТР шло за счет техников-практиков, количество которых увеличилось на 587 чел. Все же в основном вопрос с обеспеченностью заводов Снарядного треста инженерно-техническими работниками не теряет своей остроты, т. к. количество ИТР со специальным образованием составляет всего 23,7% от общего количества ИТР.</w:t>
      </w:r>
    </w:p>
    <w:p w14:paraId="273E3BE7"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Вместе с тем необходимо отметить, что в части счетно-конторского персонала и младшего обслуживающего персонала имеются большие излишки и превышение плановых лимитов по отношению к рабочим. Объясняется это главным образом слабой квалификацией счетно-конторского персонала и проводимому трестом в течение 1932 г. упорядочению постановки на заводах учетного дела.</w:t>
      </w:r>
    </w:p>
    <w:p w14:paraId="198CD30E"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Текучесть рабочей силы имела место в 1932 г. главным образом за счет малоквалифицированных и неквалифицированных рабочих. Квартальная динамика текучести представляется в следующем виде: I квартал — 20,7%, II квартал — 26,4%, III — 32,1% и IV квартал — 35,1%. Увеличение текучести III и IV кварталов объясняется тем, что согласно директивам треста, заводы, не задерживая уходящих рабочих, начали их сокращать для приведения в соответствие с лимитами. Основными причинами текучести являются: а) неудовлетворительные жилищные условия и бытовые на большинстве заводов треста; б) плохое снабжение продовольствием и предметами ширпотреба (особенно по Уральской группе заводов); в) погоня за более лучшим материальным обеспечением на окружающих заводах металлургии, каменноугольной промышленности и новостройках.</w:t>
      </w:r>
    </w:p>
    <w:p w14:paraId="4A897429"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Внедрение женского труда на производство шло пониженными темпами против проектировки плана. На начало 1932 г. процент женщин составлял 28,3 и на конец 1932 г. достиг 31,5% от общего количества рабочих против запроектированных по плану 40%. Рост числа женщин в абсолютных числах составил 762 чел. Недовыполнение в этой части объясняется отчасти недостаточным вниманием заводов и вовлечением женщин в производство, а с другой стороны тем, что при сокращении рабочих в конце 1932 г. таковое произведено за счет неквалифицированной рабсилы, большую часть которых составляли женщины.</w:t>
      </w:r>
    </w:p>
    <w:p w14:paraId="163A2BF4"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Б. Подготовка кадров</w:t>
      </w:r>
    </w:p>
    <w:p w14:paraId="50B4E810"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Для удовлетворения потребности заводов Снарядного треста в квалифицированной рабочей силе и младшем техперсонале трест располагает 6 техникумами (на заводах 63, 65, 67, 68, 72, 73, из них на заводах № 63, 68 и 73 сменные) с контингентом учащихся на 1 января 1933 г. 674 чел. и 9 школ ФЗУ при заводах № 63, 65, 67, 68, 70, 71, 72, 73 и 77 со средним годовым контингентом 4856 чел. Кроме того организована работа по повышению квалификации рабочих через дополнительное рабочее образование (ДРО) и дополнительное образование специалистов и заочное обучение.</w:t>
      </w:r>
    </w:p>
    <w:p w14:paraId="47377F09"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По линии организации техникумов трест должен был охватить учебой 1140 чел., план в этой части выполнен только на 49,6%. Недовыполнение плана объясняется: а) большим процентом отсева учащихся вследствие отзыва на производство и загруженности работой; б) слабой теоретической подготовкой, вследствие чего на Уральских заводах пришлось организовать подготовительные группы; в) текучестью рабсилы:</w:t>
      </w:r>
    </w:p>
    <w:p w14:paraId="37115237" w14:textId="77777777" w:rsidR="00C523F8" w:rsidRPr="0044524F" w:rsidRDefault="00C523F8" w:rsidP="009654CF">
      <w:pPr>
        <w:pStyle w:val="ae"/>
        <w:spacing w:before="0" w:after="0"/>
        <w:jc w:val="both"/>
        <w:rPr>
          <w:color w:val="000000" w:themeColor="text1"/>
          <w:sz w:val="16"/>
          <w:szCs w:val="16"/>
        </w:rPr>
      </w:pPr>
      <w:r w:rsidRPr="0044524F">
        <w:rPr>
          <w:rStyle w:val="a7"/>
          <w:rFonts w:eastAsiaTheme="majorEastAsia"/>
          <w:b w:val="0"/>
          <w:color w:val="000000" w:themeColor="text1"/>
          <w:sz w:val="16"/>
          <w:szCs w:val="16"/>
        </w:rPr>
        <w:t>Техникум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43"/>
        <w:gridCol w:w="1985"/>
        <w:gridCol w:w="1150"/>
        <w:gridCol w:w="1328"/>
        <w:gridCol w:w="1031"/>
        <w:gridCol w:w="1917"/>
        <w:gridCol w:w="1468"/>
      </w:tblGrid>
      <w:tr w:rsidR="004E10C1" w:rsidRPr="0044524F" w14:paraId="2CDE6C3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8BC89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p w14:paraId="439A528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техникумов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5D7F9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w:t>
            </w:r>
          </w:p>
          <w:p w14:paraId="27F5205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1E7A5C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028F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2BFC1B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Отсев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6F58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Состоит</w:t>
            </w:r>
          </w:p>
          <w:p w14:paraId="1BB6EFE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w:t>
            </w:r>
          </w:p>
          <w:p w14:paraId="541F2F7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BBB7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7F02E37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отсева</w:t>
            </w:r>
          </w:p>
        </w:tc>
      </w:tr>
      <w:tr w:rsidR="004E10C1" w:rsidRPr="0044524F" w14:paraId="6A334B6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EAFF4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14F491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2CCB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657E5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ADEB3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2460D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3C7C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46,0</w:t>
            </w:r>
          </w:p>
        </w:tc>
      </w:tr>
      <w:tr w:rsidR="004E10C1" w:rsidRPr="0044524F" w14:paraId="7A56782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E04D7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7A32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40B8E8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14:paraId="0A6785B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81B1E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93688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EBD7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7769AC2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4D7EA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00BD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3A5D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D849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569A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2233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E247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r>
      <w:tr w:rsidR="004E10C1" w:rsidRPr="0044524F" w14:paraId="27A944D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FDC2C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41266D7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23CE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14:paraId="5A275F7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86CB6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4E59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9734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w:t>
            </w:r>
          </w:p>
        </w:tc>
      </w:tr>
      <w:tr w:rsidR="004E10C1" w:rsidRPr="0044524F" w14:paraId="33C9AD16"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C1B25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4423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E480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DDF8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6081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5151AC2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4644C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60,2</w:t>
            </w:r>
          </w:p>
        </w:tc>
      </w:tr>
      <w:tr w:rsidR="004E10C1" w:rsidRPr="0044524F" w14:paraId="35EDA38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01E53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C2EF4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26C8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E9787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0354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8541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4E966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w:t>
            </w:r>
          </w:p>
        </w:tc>
      </w:tr>
      <w:tr w:rsidR="004E10C1" w:rsidRPr="0044524F" w14:paraId="774B1D87"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A8046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ED03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7C41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851</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ACA4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6FAFE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4BD33F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674</w:t>
            </w:r>
          </w:p>
        </w:tc>
        <w:tc>
          <w:tcPr>
            <w:tcW w:w="0" w:type="auto"/>
            <w:tcBorders>
              <w:top w:val="outset" w:sz="6" w:space="0" w:color="auto"/>
              <w:left w:val="outset" w:sz="6" w:space="0" w:color="auto"/>
              <w:bottom w:val="outset" w:sz="6" w:space="0" w:color="auto"/>
              <w:right w:val="outset" w:sz="6" w:space="0" w:color="auto"/>
            </w:tcBorders>
            <w:vAlign w:val="center"/>
            <w:hideMark/>
          </w:tcPr>
          <w:p w14:paraId="1980A51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51,9</w:t>
            </w:r>
          </w:p>
        </w:tc>
      </w:tr>
    </w:tbl>
    <w:p w14:paraId="17B8B5A3"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В течение 1932 г. все техникумы готовили по одной специальности — холодная обработка металла, но с 1933 г. введена вторая специальность — горячая обработка (ковка и штамповка). Педагогическим персоналом техникумы обеспечены, за исключением преподавателей по обществоведению. Техникумы при заводах № 68 и 72 обеспечены своим помещением, остальные проводят занятия в помещениях ФЗУ и УПК. На содержание техникумов в 1932 г. было отпущено 210 200 руб. при средней норме стоимости обучения одного учащегося 279 руб. 10 коп. Фактический расход составил 203 700 руб. при стоимости одного учащегося 299 руб. 50 коп. Повышение расхода объясняется малочисленностью сменных групп, особенно утренних.</w:t>
      </w:r>
    </w:p>
    <w:p w14:paraId="241CEFC7"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По линии ФЗУ контингент учащихся на 1932 г. был установлен в 6313 чел., фактически среднегодовой контингент составил 4377 чел. Невыполнение плана объясняется: а) большим отсевом учащихся, в среднем 27,7%, вследствие текучести рабсилы и отсутствия общежитий; б) недостаточным оборудованием учебных мастерских (потребность 512 станков, наличие 295 станков); в) недостаточной емкостью школьных помещений; г) недостатком по Уральской группе заводов контингентов, имеющих подготовку на базе семилетки.</w:t>
      </w:r>
    </w:p>
    <w:p w14:paraId="05277CAA" w14:textId="77777777" w:rsidR="00C523F8" w:rsidRPr="0044524F" w:rsidRDefault="00C523F8" w:rsidP="009654CF">
      <w:pPr>
        <w:pStyle w:val="ae"/>
        <w:spacing w:before="0" w:after="0"/>
        <w:jc w:val="both"/>
        <w:rPr>
          <w:color w:val="000000" w:themeColor="text1"/>
          <w:sz w:val="16"/>
          <w:szCs w:val="16"/>
        </w:rPr>
      </w:pPr>
      <w:r w:rsidRPr="0044524F">
        <w:rPr>
          <w:rStyle w:val="a7"/>
          <w:rFonts w:eastAsiaTheme="majorEastAsia"/>
          <w:b w:val="0"/>
          <w:color w:val="000000" w:themeColor="text1"/>
          <w:sz w:val="16"/>
          <w:szCs w:val="16"/>
        </w:rPr>
        <w:t>Школы ФЗУ</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66"/>
        <w:gridCol w:w="1921"/>
        <w:gridCol w:w="1112"/>
        <w:gridCol w:w="1285"/>
        <w:gridCol w:w="1363"/>
        <w:gridCol w:w="1855"/>
        <w:gridCol w:w="1420"/>
      </w:tblGrid>
      <w:tr w:rsidR="004E10C1" w:rsidRPr="0044524F" w14:paraId="594A61B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E6314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p w14:paraId="57FDD22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школ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4F09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w:t>
            </w:r>
          </w:p>
          <w:p w14:paraId="043E044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36FF9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Прием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74D7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Выпуск</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3CEB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Выбыло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EC97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Состоит</w:t>
            </w:r>
          </w:p>
          <w:p w14:paraId="68843C9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w:t>
            </w:r>
          </w:p>
          <w:p w14:paraId="34153C9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DC1DDC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0166A16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отсева</w:t>
            </w:r>
          </w:p>
        </w:tc>
      </w:tr>
      <w:tr w:rsidR="004E10C1" w:rsidRPr="0044524F" w14:paraId="70B556F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593113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63</w:t>
            </w:r>
          </w:p>
        </w:tc>
        <w:tc>
          <w:tcPr>
            <w:tcW w:w="0" w:type="auto"/>
            <w:tcBorders>
              <w:top w:val="outset" w:sz="6" w:space="0" w:color="auto"/>
              <w:left w:val="outset" w:sz="6" w:space="0" w:color="auto"/>
              <w:bottom w:val="outset" w:sz="6" w:space="0" w:color="auto"/>
              <w:right w:val="outset" w:sz="6" w:space="0" w:color="auto"/>
            </w:tcBorders>
            <w:vAlign w:val="center"/>
            <w:hideMark/>
          </w:tcPr>
          <w:p w14:paraId="4607E2E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388</w:t>
            </w:r>
          </w:p>
        </w:tc>
        <w:tc>
          <w:tcPr>
            <w:tcW w:w="0" w:type="auto"/>
            <w:tcBorders>
              <w:top w:val="outset" w:sz="6" w:space="0" w:color="auto"/>
              <w:left w:val="outset" w:sz="6" w:space="0" w:color="auto"/>
              <w:bottom w:val="outset" w:sz="6" w:space="0" w:color="auto"/>
              <w:right w:val="outset" w:sz="6" w:space="0" w:color="auto"/>
            </w:tcBorders>
            <w:vAlign w:val="center"/>
            <w:hideMark/>
          </w:tcPr>
          <w:p w14:paraId="379806F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E5100A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32AA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96CD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324CB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r>
      <w:tr w:rsidR="004E10C1" w:rsidRPr="0044524F" w14:paraId="1F7F6D4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D5A60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4E6CC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951</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FBDE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13FAF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F9F3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FDCA1E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698</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C045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31,4</w:t>
            </w:r>
          </w:p>
        </w:tc>
      </w:tr>
      <w:tr w:rsidR="004E10C1" w:rsidRPr="0044524F" w14:paraId="036A942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68EFC7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77BD9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AB02BD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206</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E612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31AF5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F9F6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604</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2F84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w:t>
            </w:r>
          </w:p>
        </w:tc>
      </w:tr>
      <w:tr w:rsidR="004E10C1" w:rsidRPr="0044524F" w14:paraId="5BF711B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C375E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78E62C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F3F1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187</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2FE1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A717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58F328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13DA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20,4</w:t>
            </w:r>
          </w:p>
        </w:tc>
      </w:tr>
      <w:tr w:rsidR="004E10C1" w:rsidRPr="0044524F" w14:paraId="49183A4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70C3A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F7DE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5E717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32EA9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DB9E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B0DA9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9BE6AE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w:t>
            </w:r>
          </w:p>
        </w:tc>
      </w:tr>
      <w:tr w:rsidR="004E10C1" w:rsidRPr="0044524F" w14:paraId="6A5E3EB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8049C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719C040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487</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46AF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89CD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27C68BE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06F2BB1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8FF6F5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w:t>
            </w:r>
          </w:p>
        </w:tc>
      </w:tr>
      <w:tr w:rsidR="004E10C1" w:rsidRPr="0044524F" w14:paraId="491AE2B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9970A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82FBD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049D7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55D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D0BE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14:paraId="129F5A9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418D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34,5</w:t>
            </w:r>
          </w:p>
        </w:tc>
      </w:tr>
      <w:tr w:rsidR="004E10C1" w:rsidRPr="0044524F" w14:paraId="4B19127D"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77D60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59AA3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3251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2D6E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5FCAECA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118</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4A36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C5C46E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w:t>
            </w:r>
          </w:p>
        </w:tc>
      </w:tr>
      <w:tr w:rsidR="004E10C1" w:rsidRPr="0044524F" w14:paraId="59AA987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E727F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N9 76</w:t>
            </w:r>
          </w:p>
        </w:tc>
        <w:tc>
          <w:tcPr>
            <w:tcW w:w="0" w:type="auto"/>
            <w:tcBorders>
              <w:top w:val="outset" w:sz="6" w:space="0" w:color="auto"/>
              <w:left w:val="outset" w:sz="6" w:space="0" w:color="auto"/>
              <w:bottom w:val="outset" w:sz="6" w:space="0" w:color="auto"/>
              <w:right w:val="outset" w:sz="6" w:space="0" w:color="auto"/>
            </w:tcBorders>
            <w:vAlign w:val="center"/>
            <w:hideMark/>
          </w:tcPr>
          <w:p w14:paraId="0DF41CE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06517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F2F5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6E7928C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1D346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0279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r>
      <w:tr w:rsidR="004E10C1" w:rsidRPr="0044524F" w14:paraId="55F9A13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0A8600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7DE7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9EDF8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F281A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5D42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438934F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0A15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21,1</w:t>
            </w:r>
          </w:p>
        </w:tc>
      </w:tr>
      <w:tr w:rsidR="004E10C1" w:rsidRPr="0044524F" w14:paraId="53533F8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AB112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CEE6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1320A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0D8F08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02B8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E3CF7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BAD4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31A769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B9FE5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FC5B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A31FE5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2552</w:t>
            </w:r>
          </w:p>
        </w:tc>
        <w:tc>
          <w:tcPr>
            <w:tcW w:w="0" w:type="auto"/>
            <w:tcBorders>
              <w:top w:val="outset" w:sz="6" w:space="0" w:color="auto"/>
              <w:left w:val="outset" w:sz="6" w:space="0" w:color="auto"/>
              <w:bottom w:val="outset" w:sz="6" w:space="0" w:color="auto"/>
              <w:right w:val="outset" w:sz="6" w:space="0" w:color="auto"/>
            </w:tcBorders>
            <w:vAlign w:val="center"/>
            <w:hideMark/>
          </w:tcPr>
          <w:p w14:paraId="0AF6194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5A1C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1496</w:t>
            </w:r>
          </w:p>
        </w:tc>
        <w:tc>
          <w:tcPr>
            <w:tcW w:w="0" w:type="auto"/>
            <w:tcBorders>
              <w:top w:val="outset" w:sz="6" w:space="0" w:color="auto"/>
              <w:left w:val="outset" w:sz="6" w:space="0" w:color="auto"/>
              <w:bottom w:val="outset" w:sz="6" w:space="0" w:color="auto"/>
              <w:right w:val="outset" w:sz="6" w:space="0" w:color="auto"/>
            </w:tcBorders>
            <w:vAlign w:val="center"/>
            <w:hideMark/>
          </w:tcPr>
          <w:p w14:paraId="0A8CEE7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2643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A63A6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27,7</w:t>
            </w:r>
          </w:p>
        </w:tc>
      </w:tr>
    </w:tbl>
    <w:p w14:paraId="7943CF59"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Педагогическим персоналом ФЗУ обеспечены за исключением ФЗУ завода № 68 и 72. Смета расходов по содержанию ФЗУ на 1932 г. утверждена в сумме 1915 тыс. руб. при средней норме стоимости обучения одного учащегося 300 руб. Фактически израсходовано 2268 тыс. руб. при средней норме 365 руб. на теоретическую подготовку и 102 руб. на инструмент, амортизацию и прочие накладные цеховые расходы. На хозрасчет школы ФЗУ не переведены ввиду того, что большинство ФЗУ не имеет своих учебных мастерских, и учащиеся работают в цехах заводов.</w:t>
      </w:r>
    </w:p>
    <w:p w14:paraId="39768364"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По ДРО работа на заводах недостаточно налажена, без достаточной увязки с производством, благодаря чему при утвержденном контингенте в 12 157 чел. освоено только 4059 чел. Кроме неналаженности работы ДРО на невыполнение плана по ДРО повлияла текучесть рабочей силы, отсев 25,7%, общий подбор рабсилы по заводам против плана и недостаток помещений. Расходы по ДРО утверждены на 1932 г. в сумме 2123 тыс. руб. по средней норме на одного учащегося 174 руб. 60 коп., фактический расход составил 891 тыс. руб. при средней норме 219 руб.</w:t>
      </w:r>
    </w:p>
    <w:p w14:paraId="129B6920"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По дополнительному образованию специалистов намечено по плану 1932 г. охватить 1121 чел., фактически охвачено учебой 448 чел., по ФЗТК 1 концентр по плану 314 чел., фактически 138 чел., по заочному обучению по плану 900 чел., фактически 426 чел. Невыполнение плана по этим видам учебы объясняется недостаточным вниманием к этому делу, отсутствием преподавателей, а по заочному обучению — отсутствием консультационных пунктов и нерегулярной высылкой ПЗО материалов и рецензий. При утвержденной смете по ДОС в 492 тыс. руб. при средней норме 438 руб. 80 коп. фактически израсходовано 422 тыс. при средней норме 941 руб. 90 коп. Причины перерасхода заключаются в том, что [вместо] утвержденной по плану подготовки специалистов средней квалификации заводы ведут подготовку специалистов высшей квалификации, так, например, завод № 67 имеет договор с ВТА на 12 чел. по 1800 руб., с ФОН на 4 чел. по 3 тыс. руб., завод № 70 с институтом им. Лепсе на 20 чел., с ФОН на 11 чел., завод № 77 с ФОН на 6 чел. и т. д. Кроме того на филиалах вечерней Промакадемии обучается 21 чел. стоимостью 45 786 руб. в год. На 1 января 1933 г. имеются договоры на подготовку высшего технического персонала 88 чел., среднего техперсонала 179 чел., в филиалах вечерней Промакадемии 21 чел., ФОН 22 чел. и рабочих по заводу № 70 на курсах НИК и РТШ 318 чел.</w:t>
      </w:r>
    </w:p>
    <w:p w14:paraId="6F1CA34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Режим работы</w:t>
      </w:r>
    </w:p>
    <w:p w14:paraId="38B0AC8A"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Все заводы Снарядного треста за исключением завода № 73 в течение 1932 г. работали на 7</w:t>
      </w:r>
      <w:r w:rsidRPr="0044524F">
        <w:rPr>
          <w:color w:val="000000" w:themeColor="text1"/>
          <w:sz w:val="16"/>
          <w:szCs w:val="16"/>
        </w:rPr>
        <w:noBreakHyphen/>
        <w:t>часовом рабочем дне. Завод № 73 переведен на 7</w:t>
      </w:r>
      <w:r w:rsidRPr="0044524F">
        <w:rPr>
          <w:color w:val="000000" w:themeColor="text1"/>
          <w:sz w:val="16"/>
          <w:szCs w:val="16"/>
        </w:rPr>
        <w:noBreakHyphen/>
        <w:t>часовой рабочий день с ноября 1932 г. при соответствующей подготовке к этому переводу. За краткостью срока результатов перевода завода № 73 на 7</w:t>
      </w:r>
      <w:r w:rsidRPr="0044524F">
        <w:rPr>
          <w:color w:val="000000" w:themeColor="text1"/>
          <w:sz w:val="16"/>
          <w:szCs w:val="16"/>
        </w:rPr>
        <w:noBreakHyphen/>
        <w:t>часовой рабочий день учесть не представляется возможным. Имевшие в течение 1932 г. на заводах перебои в снабжении, ломка производственных программ, излишки рабочей силы не могли не иметь отрицательного влияния на использование рабочего времени, и в результате использование рабочего времени выражается в следующем: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31"/>
        <w:gridCol w:w="753"/>
        <w:gridCol w:w="753"/>
        <w:gridCol w:w="753"/>
        <w:gridCol w:w="753"/>
        <w:gridCol w:w="671"/>
        <w:gridCol w:w="671"/>
        <w:gridCol w:w="837"/>
      </w:tblGrid>
      <w:tr w:rsidR="004E10C1" w:rsidRPr="0044524F" w14:paraId="05D57371"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D80A9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A2DC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w:t>
            </w:r>
          </w:p>
          <w:p w14:paraId="0259E6E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C290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w:t>
            </w:r>
          </w:p>
          <w:p w14:paraId="5DBF983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1A4035B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w:t>
            </w:r>
          </w:p>
          <w:p w14:paraId="2C58F03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B034B4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w:t>
            </w:r>
          </w:p>
          <w:p w14:paraId="786D08C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квартал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9F7073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4DCE77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A82D8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13E6519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1931 г.</w:t>
            </w:r>
          </w:p>
        </w:tc>
      </w:tr>
      <w:tr w:rsidR="004E10C1" w:rsidRPr="0044524F" w14:paraId="090FC93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BA582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Количество нормированных часов работы на 1 рабочего 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FD44FB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466,3</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31C3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462,4</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F143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6994E"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428B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1997,1</w:t>
            </w:r>
          </w:p>
        </w:tc>
        <w:tc>
          <w:tcPr>
            <w:tcW w:w="0" w:type="auto"/>
            <w:tcBorders>
              <w:top w:val="outset" w:sz="6" w:space="0" w:color="auto"/>
              <w:left w:val="outset" w:sz="6" w:space="0" w:color="auto"/>
              <w:bottom w:val="outset" w:sz="6" w:space="0" w:color="auto"/>
              <w:right w:val="outset" w:sz="6" w:space="0" w:color="auto"/>
            </w:tcBorders>
            <w:vAlign w:val="center"/>
            <w:hideMark/>
          </w:tcPr>
          <w:p w14:paraId="3819E29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6C85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1EDCB1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A7B54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Фактическое количество часов работы на 1 рабочего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30EC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465,6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BAF741"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AC685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2B580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DB60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1773,4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CF31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1706,0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5F32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w:t>
            </w:r>
          </w:p>
        </w:tc>
      </w:tr>
      <w:tr w:rsidR="004E10C1" w:rsidRPr="0044524F" w14:paraId="046F7B3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9482A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фактического количества часов работы к норме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5FA7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69C5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E8B22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w:t>
            </w:r>
          </w:p>
        </w:tc>
        <w:tc>
          <w:tcPr>
            <w:tcW w:w="0" w:type="auto"/>
            <w:tcBorders>
              <w:top w:val="outset" w:sz="6" w:space="0" w:color="auto"/>
              <w:left w:val="outset" w:sz="6" w:space="0" w:color="auto"/>
              <w:bottom w:val="outset" w:sz="6" w:space="0" w:color="auto"/>
              <w:right w:val="outset" w:sz="6" w:space="0" w:color="auto"/>
            </w:tcBorders>
            <w:vAlign w:val="center"/>
            <w:hideMark/>
          </w:tcPr>
          <w:p w14:paraId="5E06BE3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BDAC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14:paraId="18C426B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DCC9D"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bl>
    <w:p w14:paraId="43D731E4"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Таким образом, кривая использования рабочего времени до III квартала резко идет вниз, и только в IV квартале после проведенного сокращения рабсилы и благодаря постановлению правительства о прогулах произошел перелом. Вместе с тем в среднем на год при невыполнении плана на 11,2% использование рабочего времени повысилось против отчета за 1931 г. на 4%.</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25"/>
        <w:gridCol w:w="778"/>
        <w:gridCol w:w="1001"/>
        <w:gridCol w:w="778"/>
        <w:gridCol w:w="970"/>
        <w:gridCol w:w="970"/>
      </w:tblGrid>
      <w:tr w:rsidR="004E10C1" w:rsidRPr="0044524F" w14:paraId="2D382F0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A1DF2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AC784"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C4DF7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p w14:paraId="5FBD5070"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3B6B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p w14:paraId="7B45AF7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B698DE6"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5B757B6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50C303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7FA30D0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плану</w:t>
            </w:r>
          </w:p>
        </w:tc>
      </w:tr>
      <w:tr w:rsidR="004E10C1" w:rsidRPr="0044524F" w14:paraId="1926AD6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70AC5B"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Среднее на 1 рабочего число проработанных человеко-дней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0090FB39"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254,6</w:t>
            </w:r>
          </w:p>
        </w:tc>
        <w:tc>
          <w:tcPr>
            <w:tcW w:w="0" w:type="auto"/>
            <w:tcBorders>
              <w:top w:val="outset" w:sz="6" w:space="0" w:color="auto"/>
              <w:left w:val="outset" w:sz="6" w:space="0" w:color="auto"/>
              <w:bottom w:val="outset" w:sz="6" w:space="0" w:color="auto"/>
              <w:right w:val="outset" w:sz="6" w:space="0" w:color="auto"/>
            </w:tcBorders>
            <w:vAlign w:val="center"/>
            <w:hideMark/>
          </w:tcPr>
          <w:p w14:paraId="55027D3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A9A12"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259,2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589D7"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C5ED1F"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97,0</w:t>
            </w:r>
          </w:p>
        </w:tc>
      </w:tr>
      <w:tr w:rsidR="004E10C1" w:rsidRPr="0044524F" w14:paraId="560F5B11"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D64A63"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Средняя фактическая продолжительность рабочего дня в часах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0A43C"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D97DC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6,97</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ABE98"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E8065"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07EDA" w14:textId="77777777" w:rsidR="00C523F8" w:rsidRPr="0044524F" w:rsidRDefault="00C523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97,6</w:t>
            </w:r>
          </w:p>
        </w:tc>
      </w:tr>
    </w:tbl>
    <w:p w14:paraId="26258E44"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Приведенное сопоставление среднего числа проработанных 1 кадровым рабочим человеко-дней и фактической продолжительности рабочего дня в часах показывают, что при невыполнении плана все же имеется рост против 1931 г. Невыполнение плана по использованию рабочей силы объясняется исключительно ослаблением трудовой дисциплины в течение первых этих трех кварталов 1932 г., причем наиболее плохим является III квартал. Прогулы составляют: в I квартале — 1,1%, II квартал — 1,2%, III квартал — 2,0%, IV квартал — 1,2%, в том числе октябрь — 1,7[%], ноябрь — 1,5[%], декабрь — 0,3[%], 1932 г. — 1,4%. Невыходы по уважительным причинам: в I квартале — 1,9%, во II квартале — 1,1%, в III квартале — 1,4%, в IV квартале — 1,2%, за год — 1,4%. Резкое снижение прогулов в IV квартале является результатом декрета от 16 сентября 1932 г., на основании которого по 8 заводам Снарядного треста было уволено 715 чел., из них квалифицированных — 86 чел.</w:t>
      </w:r>
    </w:p>
    <w:p w14:paraId="09CFA08C"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Потери рабочего времени вследствие отвлечения рабочих в рабочее время для исполнения общественных обязанностей составляют 0,8% и потери вследствие болезней — 5,1%. Неиспользованные простои рабсилы за весь год составили 1 472 007 час., или 2,6%, и оплачено за них 611 тыс. руб., или 1,5% к фонду. Поквартальная динамика простоев составляет: I квартал — 3,4%, II — 2,7%, III — 2,4% и IV — 2,1%. Основными причинами простоев являются: отсутствие материалов и полуфабрикатов — 0,7%, ремонт оборудования — 0,4%, отсутствие электроэнергии — 0,3%, отсутствие инструментов, приспособлений — 0,3%, отсутствие работы — 0,2%. Наряду с этим имело место применение сверхурочных часов в количестве 799 510 с оплатой за них 448 938 руб.</w:t>
      </w:r>
    </w:p>
    <w:p w14:paraId="7D4EC62A"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Г. Техническое нормирование</w:t>
      </w:r>
    </w:p>
    <w:p w14:paraId="52153903"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lastRenderedPageBreak/>
        <w:t>Процент сдельщины в среднем за 1932 г. составил 63% против 59,6% за 1931 г., причем в декабре 1932 г. процент сдельщины равен 68,7%. Охват технормированием в среднем по тресту составит 10%, повысившись с ...% в начале года до ...% к концу.⁵* То обстоятельство, что техническое нормирование на большинстве заводов все еще находится не на должной высоте находит себе объяснение в следующем: а) На абсолютном большинстве, а особенно на заводах Уральской группы, кадры работников по технормированию слабы в отношении квалификации. Громадное большинство нормировщиков не имеет теоретической подготовки и набраны из числа рабочих, иногда недостаточной квалификации. Кроме того по заводам № 71 и 73 заводской аппарат по технормированию слаб не только качественно, но и количественно, б) Не имея в большинстве своем необходимой теоретической подготовки, заводские аппараты по технормированию совершенно не вооружены необходимым инструментарием. Не приходится говорить о таких совершенных инструментах, как диогосдикеры, измерительные суппорты и т. д., но и такого инструмента, как счетчики оборотов, счетные линейки, хронометры, часы, секундомеры заводы если и имеют, то в недостаточном количестве.</w:t>
      </w:r>
    </w:p>
    <w:p w14:paraId="1338F665"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Следует признать, что до сего времени техперсонал все еще недооценивает значения технического нормирования в производстве. Проведенная на заводах реорганизация отделов экономики труда все еще не в полной мере связана техперсоналом с технормированием. Основным злом, сказавшимся на состоянии производительности труда и на целом ряде других вопросов состояния труда и связанных с работой по технормированию, является оторванность технического нормирования от оперативного цехового планирования (распределение работы)⁶*.</w:t>
      </w:r>
    </w:p>
    <w:p w14:paraId="0B512D0D" w14:textId="77777777" w:rsidR="00C523F8" w:rsidRPr="0044524F" w:rsidRDefault="00C523F8"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Снарядного треста Урываев</w:t>
      </w:r>
    </w:p>
    <w:p w14:paraId="443A1394" w14:textId="77777777" w:rsidR="00C523F8" w:rsidRPr="0044524F" w:rsidRDefault="00C523F8" w:rsidP="009654CF">
      <w:pPr>
        <w:pStyle w:val="ae"/>
        <w:spacing w:before="0" w:after="0"/>
        <w:jc w:val="both"/>
        <w:rPr>
          <w:color w:val="000000" w:themeColor="text1"/>
          <w:sz w:val="16"/>
          <w:szCs w:val="16"/>
        </w:rPr>
      </w:pPr>
      <w:r w:rsidRPr="0044524F">
        <w:rPr>
          <w:rStyle w:val="af0"/>
          <w:i w:val="0"/>
          <w:color w:val="000000" w:themeColor="text1"/>
          <w:sz w:val="16"/>
          <w:szCs w:val="16"/>
        </w:rPr>
        <w:t>Главный бухгалтер Беловол</w:t>
      </w:r>
    </w:p>
    <w:p w14:paraId="030DF607" w14:textId="77777777" w:rsidR="00C523F8" w:rsidRPr="0044524F" w:rsidRDefault="00C523F8" w:rsidP="009654CF">
      <w:pPr>
        <w:pStyle w:val="ae"/>
        <w:spacing w:before="0" w:after="0"/>
        <w:jc w:val="both"/>
        <w:rPr>
          <w:color w:val="000000" w:themeColor="text1"/>
          <w:sz w:val="16"/>
          <w:szCs w:val="16"/>
        </w:rPr>
      </w:pPr>
      <w:r w:rsidRPr="0044524F">
        <w:rPr>
          <w:rStyle w:val="af0"/>
          <w:i w:val="0"/>
          <w:color w:val="000000" w:themeColor="text1"/>
          <w:sz w:val="16"/>
          <w:szCs w:val="16"/>
        </w:rPr>
        <w:t>Зам. начальника Планово-производственного сектора Синебрюхов</w:t>
      </w:r>
    </w:p>
    <w:p w14:paraId="49A4152D" w14:textId="77777777" w:rsidR="00C523F8" w:rsidRPr="0044524F" w:rsidRDefault="00C523F8"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36CD46C0"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¹* Так в тексте.</w:t>
      </w:r>
    </w:p>
    <w:p w14:paraId="7C2017B3"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² Так в тексте, в таблице — 45,0.</w:t>
      </w:r>
    </w:p>
    <w:p w14:paraId="763A3A11"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³* Так в тексте.</w:t>
      </w:r>
    </w:p>
    <w:p w14:paraId="32D28ABF"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⁴*Приложение не публикуется (см. там же, л. 7). Опущены сведения о распределении опытных заказов по заводам-исполнителям.</w:t>
      </w:r>
    </w:p>
    <w:p w14:paraId="5221A2DE"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⁵* Цифры в тексте не указаны.</w:t>
      </w:r>
    </w:p>
    <w:p w14:paraId="6F72048C" w14:textId="77777777" w:rsidR="00C523F8" w:rsidRPr="0044524F" w:rsidRDefault="00C523F8" w:rsidP="009654CF">
      <w:pPr>
        <w:pStyle w:val="rtejustify"/>
        <w:spacing w:before="0" w:after="0"/>
        <w:rPr>
          <w:color w:val="000000" w:themeColor="text1"/>
          <w:sz w:val="16"/>
          <w:szCs w:val="16"/>
        </w:rPr>
      </w:pPr>
      <w:r w:rsidRPr="0044524F">
        <w:rPr>
          <w:color w:val="000000" w:themeColor="text1"/>
          <w:sz w:val="16"/>
          <w:szCs w:val="16"/>
        </w:rPr>
        <w:t>⁶* Раздел «Д» в тексте отсутствует. Опущены разделы «Е. Заработная плата», «III. По себестоимости», «IV. По снабжению», «V. По сбыту», «VI. По рационализации», «VII. Топливо», «VIII. Финансы».</w:t>
      </w:r>
    </w:p>
    <w:p w14:paraId="04257044" w14:textId="77777777" w:rsidR="00C523F8" w:rsidRPr="0044524F" w:rsidRDefault="00C523F8" w:rsidP="009654CF">
      <w:pPr>
        <w:pStyle w:val="ae"/>
        <w:spacing w:before="0" w:after="0"/>
        <w:jc w:val="both"/>
        <w:rPr>
          <w:color w:val="000000" w:themeColor="text1"/>
          <w:sz w:val="16"/>
          <w:szCs w:val="16"/>
        </w:rPr>
      </w:pPr>
      <w:r w:rsidRPr="0044524F">
        <w:rPr>
          <w:color w:val="000000" w:themeColor="text1"/>
          <w:sz w:val="16"/>
          <w:szCs w:val="16"/>
        </w:rPr>
        <w:t>РГАЭ. Ф. 7915. Оп. 1. Д. 12. Л. 1-6, 9-17. Подлинник (15258).</w:t>
      </w:r>
    </w:p>
    <w:p w14:paraId="2B50887E" w14:textId="77777777" w:rsidR="00C523F8" w:rsidRPr="0044524F" w:rsidRDefault="00C523F8" w:rsidP="009654CF">
      <w:pPr>
        <w:autoSpaceDE w:val="0"/>
        <w:autoSpaceDN w:val="0"/>
        <w:adjustRightInd w:val="0"/>
        <w:spacing w:after="0" w:line="240" w:lineRule="auto"/>
        <w:jc w:val="both"/>
        <w:rPr>
          <w:rFonts w:ascii="Times New Roman" w:hAnsi="Times New Roman"/>
          <w:color w:val="000000" w:themeColor="text1"/>
          <w:sz w:val="16"/>
          <w:szCs w:val="16"/>
        </w:rPr>
      </w:pPr>
    </w:p>
    <w:p w14:paraId="4B910E8F"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марта 1933 военный атташе Германии в Москве фон Гартман докладывал "Промышленность страны (СССР) еще не в состоянии удовлетворить самые необходимые массовые потребности...Я также не разделяю мнения, что КА в состоянии вести оборонительную войну против любого противника..."</w:t>
      </w:r>
    </w:p>
    <w:p w14:paraId="16E8540D"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March 27 1933 Japan leaves League of Nations (1037).</w:t>
      </w:r>
    </w:p>
    <w:p w14:paraId="69ED30DD" w14:textId="77777777" w:rsidR="002401AD" w:rsidRPr="0044524F" w:rsidRDefault="002401AD"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lang w:val="en-US"/>
        </w:rPr>
      </w:pPr>
    </w:p>
    <w:p w14:paraId="4B788CB0"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ABA262F"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257C8A6"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марта 1933 г. Президиум ЦИК ССР своим постановлением предложил всем судебно-прокурорским органам не ослаблять борьбы с хищением общественной собственности, применяя в отношении классово враждебных элементов и их агентуры наиболее суровые меры репрессий, предусмотренных постановлением ЦИК и СНК СССР от 7 августа 1932 г."Об охране имущества государственных предприятий, колхозов и кооперации и укреплении общественной (социалистической) собственности" (11652).</w:t>
      </w:r>
    </w:p>
    <w:p w14:paraId="7CB9272C"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6620BCE5" w14:textId="77777777" w:rsidR="00040C94" w:rsidRPr="0044524F" w:rsidRDefault="00040C94"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0FB7BFB" w14:textId="77777777" w:rsidR="00040C94" w:rsidRPr="0044524F" w:rsidRDefault="00040C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ACFF70C"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марта 1933 г. германский военный атташе в Советском Союзе полковник Гартман сообщал в Берлин: "...ценность армии должна быть признана относительно высокой, тем более что она находится в процессе дальнейшей консолидации". Вместе с тем он отмечал, что "промышленность страны еще не в состоянии удовлетворить самые необходимые массовые потребности. &lt;...&gt; Совершенно исключается возможность полного или частичного удовлетворения всем необходимым мобилизованной армии. &lt;...&gt; Я также не разделяю мнения, что Красная Армия в состоянии вести оборонительную войну против любого противника, потому что общее положение и состояние страны не позволяют армии развернуть все необходимые силы (например, на Дальнем Востоке)" (18390).</w:t>
      </w:r>
    </w:p>
    <w:p w14:paraId="374536F1" w14:textId="77777777" w:rsidR="00040C94" w:rsidRPr="0044524F" w:rsidRDefault="00040C94" w:rsidP="009654CF">
      <w:pPr>
        <w:spacing w:after="0" w:line="240" w:lineRule="auto"/>
        <w:jc w:val="both"/>
        <w:rPr>
          <w:rFonts w:ascii="Times New Roman" w:hAnsi="Times New Roman"/>
          <w:color w:val="000000" w:themeColor="text1"/>
          <w:sz w:val="16"/>
          <w:szCs w:val="16"/>
        </w:rPr>
      </w:pPr>
    </w:p>
    <w:p w14:paraId="75597C23"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4FC3A96"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5B60474F"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марта 1933 Япония вышла из Лиги наций (1037).</w:t>
      </w:r>
    </w:p>
    <w:p w14:paraId="179C9218"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6C9D67E0"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27 марта</w:t>
      </w:r>
      <w:r w:rsidRPr="0044524F">
        <w:rPr>
          <w:rFonts w:ascii="Times New Roman" w:hAnsi="Times New Roman"/>
          <w:color w:val="000000" w:themeColor="text1"/>
          <w:sz w:val="16"/>
          <w:szCs w:val="16"/>
        </w:rPr>
        <w:t xml:space="preserve"> в 1933 году Япония объявляет о выходе из Лиги Наций (решение вступает в силу в 1935 г.) (15081).</w:t>
      </w:r>
    </w:p>
    <w:p w14:paraId="6DA6EF50" w14:textId="77777777" w:rsidR="00A0257D" w:rsidRPr="0044524F" w:rsidRDefault="00A0257D" w:rsidP="009654CF">
      <w:pPr>
        <w:spacing w:after="0" w:line="240" w:lineRule="auto"/>
        <w:jc w:val="both"/>
        <w:rPr>
          <w:rFonts w:ascii="Times New Roman" w:hAnsi="Times New Roman"/>
          <w:color w:val="000000" w:themeColor="text1"/>
          <w:sz w:val="16"/>
          <w:szCs w:val="16"/>
        </w:rPr>
      </w:pPr>
    </w:p>
    <w:p w14:paraId="3837C27B"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27 марта</w:t>
      </w:r>
      <w:r w:rsidRPr="0044524F">
        <w:rPr>
          <w:rFonts w:ascii="Times New Roman" w:hAnsi="Times New Roman"/>
          <w:color w:val="000000" w:themeColor="text1"/>
          <w:sz w:val="16"/>
          <w:szCs w:val="16"/>
        </w:rPr>
        <w:t xml:space="preserve"> в 1933 году Реджинальд Гибсон и Эрик Уильям Фасет синтезируют полиэтилен (15081).</w:t>
      </w:r>
    </w:p>
    <w:p w14:paraId="4E2CAA3F" w14:textId="77777777" w:rsidR="00A0257D" w:rsidRPr="0044524F" w:rsidRDefault="00A0257D" w:rsidP="009654CF">
      <w:pPr>
        <w:spacing w:after="0" w:line="240" w:lineRule="auto"/>
        <w:jc w:val="both"/>
        <w:rPr>
          <w:rFonts w:ascii="Times New Roman" w:hAnsi="Times New Roman"/>
          <w:color w:val="000000" w:themeColor="text1"/>
          <w:sz w:val="16"/>
          <w:szCs w:val="16"/>
        </w:rPr>
      </w:pPr>
    </w:p>
    <w:p w14:paraId="228C0A41"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1723182"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4E23685"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1933 состоялось совещание у А.Н.Т. о ходе работ по ТБ-4 опытному (1077,177).</w:t>
      </w:r>
    </w:p>
    <w:p w14:paraId="3552748B"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374DC560"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1933 г. состоялась установка мотора на самолет И-14; 10 марта 1933 был полностью собран фюзеляж И-14; 21 апреля установили шасси (правда, без подъемного механизма - его не успели довести в срок); 16 апреля 1933 г. сдали центроплан И-14; консоли крыла сдали 25 апреля 1933 г. (12037).</w:t>
      </w:r>
    </w:p>
    <w:p w14:paraId="3D99B54A"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4CCCA150"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1933 Зам. Нач. ВИ НК РКИ УССР инспектор Бережной писал письмо ГУАП:</w:t>
      </w:r>
    </w:p>
    <w:p w14:paraId="61555433"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 НК РКУ препровождает постановление N 15/11 Суженного Президиума ЦКК - Коллегии НК РКИ УССР от 16 февраля 1933 о состоянии ХАЗ (2302,79).</w:t>
      </w:r>
    </w:p>
    <w:p w14:paraId="218C1613"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16379FCF"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1933 в 6 часов утра умер Ф.А.Цандер (1856,175).</w:t>
      </w:r>
    </w:p>
    <w:p w14:paraId="6EFA97EC"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17A7BE48" w14:textId="77777777" w:rsidR="000E0368" w:rsidRPr="0044524F" w:rsidRDefault="000E03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1933 г. в Кисловодске умер один из энтузиастов ракетной тех</w:t>
      </w:r>
      <w:r w:rsidRPr="0044524F">
        <w:rPr>
          <w:rFonts w:ascii="Times New Roman" w:hAnsi="Times New Roman"/>
          <w:color w:val="000000" w:themeColor="text1"/>
          <w:sz w:val="16"/>
          <w:szCs w:val="16"/>
        </w:rPr>
        <w:softHyphen/>
        <w:t xml:space="preserve">ник и теоретиков межпланетных полетов инженер Фридрих Артурович Цвндер /род. 1887/. Цандер родился в Риге и там окончил политехнический институт. В 1917 году начал заниматься ракетной техникой. </w:t>
      </w:r>
    </w:p>
    <w:p w14:paraId="193B7F70" w14:textId="77777777" w:rsidR="000E0368" w:rsidRPr="0044524F" w:rsidRDefault="000E03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1920 г., живя и работая в Москве, сделал первое сообщение о своем проекте ракетоплана, вызвавшее интерес общественности. В 1930-32 гг. Цандер построил опытные реактивные двигатели ОР-1 и ОР-2, которые, хотя и не получили дальнейшего развития, все же послужили основой для постройки последующих двигателей ракетного типа. В 1932 г. Цандер опубликовал труд "Проблема полета при помощи ракетных аппаратов". Он был одним из учредителей московского общества межпланетных сообщений и группы по изучению реактивных двигателей /ГИРД/.</w:t>
      </w:r>
    </w:p>
    <w:p w14:paraId="1A94B6C5" w14:textId="77777777" w:rsidR="000E0368" w:rsidRPr="0044524F" w:rsidRDefault="000E03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/’Техника” за 30 марта 1933; "Правда” за 14 апреля 1958/ (23370).</w:t>
      </w:r>
    </w:p>
    <w:p w14:paraId="56345731" w14:textId="77777777" w:rsidR="000E0368" w:rsidRPr="0044524F" w:rsidRDefault="000E0368" w:rsidP="009654CF">
      <w:pPr>
        <w:spacing w:after="0" w:line="240" w:lineRule="auto"/>
        <w:jc w:val="both"/>
        <w:rPr>
          <w:rFonts w:ascii="Times New Roman" w:hAnsi="Times New Roman"/>
          <w:color w:val="000000" w:themeColor="text1"/>
          <w:sz w:val="16"/>
          <w:szCs w:val="16"/>
        </w:rPr>
      </w:pPr>
    </w:p>
    <w:p w14:paraId="1EA31CC4"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293518F"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ACCA4C" w14:textId="77777777" w:rsidR="00A0257D" w:rsidRPr="0044524F" w:rsidRDefault="00A0257D" w:rsidP="009654CF">
      <w:pPr>
        <w:pStyle w:val="rtejustify"/>
        <w:spacing w:before="0" w:after="0"/>
        <w:rPr>
          <w:color w:val="000000" w:themeColor="text1"/>
          <w:sz w:val="16"/>
          <w:szCs w:val="16"/>
        </w:rPr>
      </w:pPr>
      <w:r w:rsidRPr="0044524F">
        <w:rPr>
          <w:rStyle w:val="af0"/>
          <w:bCs/>
          <w:i w:val="0"/>
          <w:color w:val="000000" w:themeColor="text1"/>
          <w:sz w:val="16"/>
          <w:szCs w:val="16"/>
        </w:rPr>
        <w:t>28 марта</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железных патронных гильзах». (РГВА. Ф. 4. Оп. 18. Д. 23. Л. 111</w:t>
      </w:r>
      <w:r w:rsidRPr="0044524F">
        <w:rPr>
          <w:color w:val="000000" w:themeColor="text1"/>
          <w:sz w:val="16"/>
          <w:szCs w:val="16"/>
        </w:rPr>
        <w:noBreakHyphen/>
        <w:t>113) (15461).</w:t>
      </w:r>
    </w:p>
    <w:p w14:paraId="37D97617" w14:textId="77777777" w:rsidR="00A0257D" w:rsidRPr="0044524F" w:rsidRDefault="00A0257D" w:rsidP="009654CF">
      <w:pPr>
        <w:pStyle w:val="rtejustify"/>
        <w:spacing w:before="0" w:after="0"/>
        <w:rPr>
          <w:rStyle w:val="af0"/>
          <w:bCs/>
          <w:i w:val="0"/>
          <w:color w:val="000000" w:themeColor="text1"/>
          <w:sz w:val="16"/>
          <w:szCs w:val="16"/>
        </w:rPr>
      </w:pPr>
    </w:p>
    <w:p w14:paraId="2C9417D7" w14:textId="77777777" w:rsidR="00A0257D" w:rsidRPr="0044524F" w:rsidRDefault="00A0257D" w:rsidP="009654CF">
      <w:pPr>
        <w:pStyle w:val="rtejustify"/>
        <w:spacing w:before="0" w:after="0"/>
        <w:rPr>
          <w:color w:val="000000" w:themeColor="text1"/>
          <w:sz w:val="16"/>
          <w:szCs w:val="16"/>
        </w:rPr>
      </w:pPr>
      <w:r w:rsidRPr="0044524F">
        <w:rPr>
          <w:rStyle w:val="af0"/>
          <w:bCs/>
          <w:i w:val="0"/>
          <w:color w:val="000000" w:themeColor="text1"/>
          <w:sz w:val="16"/>
          <w:szCs w:val="16"/>
        </w:rPr>
        <w:t>28 марта</w:t>
      </w:r>
      <w:r w:rsidRPr="0044524F">
        <w:rPr>
          <w:color w:val="000000" w:themeColor="text1"/>
          <w:sz w:val="16"/>
          <w:szCs w:val="16"/>
        </w:rPr>
        <w:t xml:space="preserve"> 1933. Постановление СТО СССР № 9сс/о «Об ускорении строительства спецзаводов Главэнергопрома». (ГА РФ. Ф. Р</w:t>
      </w:r>
      <w:r w:rsidRPr="0044524F">
        <w:rPr>
          <w:color w:val="000000" w:themeColor="text1"/>
          <w:sz w:val="16"/>
          <w:szCs w:val="16"/>
        </w:rPr>
        <w:noBreakHyphen/>
        <w:t>8418. Оп. 28. Д. 1. Л. 91</w:t>
      </w:r>
      <w:r w:rsidRPr="0044524F">
        <w:rPr>
          <w:color w:val="000000" w:themeColor="text1"/>
          <w:sz w:val="16"/>
          <w:szCs w:val="16"/>
        </w:rPr>
        <w:noBreakHyphen/>
        <w:t>93) (15460).</w:t>
      </w:r>
    </w:p>
    <w:p w14:paraId="48635185" w14:textId="77777777" w:rsidR="00A0257D" w:rsidRPr="0044524F" w:rsidRDefault="00A0257D" w:rsidP="009654CF">
      <w:pPr>
        <w:pStyle w:val="rtejustify"/>
        <w:spacing w:before="0" w:after="0"/>
        <w:rPr>
          <w:color w:val="000000" w:themeColor="text1"/>
          <w:sz w:val="16"/>
          <w:szCs w:val="16"/>
        </w:rPr>
      </w:pPr>
    </w:p>
    <w:p w14:paraId="253B40EC" w14:textId="77777777" w:rsidR="00A0257D" w:rsidRPr="0044524F" w:rsidRDefault="00A0257D" w:rsidP="009654CF">
      <w:pPr>
        <w:pStyle w:val="rtejustify"/>
        <w:spacing w:before="0" w:after="0"/>
        <w:rPr>
          <w:color w:val="000000" w:themeColor="text1"/>
          <w:sz w:val="16"/>
          <w:szCs w:val="16"/>
        </w:rPr>
      </w:pPr>
      <w:r w:rsidRPr="0044524F">
        <w:rPr>
          <w:rStyle w:val="af0"/>
          <w:bCs/>
          <w:i w:val="0"/>
          <w:color w:val="000000" w:themeColor="text1"/>
          <w:sz w:val="16"/>
          <w:szCs w:val="16"/>
        </w:rPr>
        <w:t>28 марта</w:t>
      </w:r>
      <w:r w:rsidRPr="0044524F">
        <w:rPr>
          <w:color w:val="000000" w:themeColor="text1"/>
          <w:sz w:val="16"/>
          <w:szCs w:val="16"/>
        </w:rPr>
        <w:t xml:space="preserve"> 1933. Постановление СТО СССР № 10сс/о «О позаимствовании из фондов Нефтеэкспорта 600 т горючего для удовлетворения нужд ОКДВА». (ГА РФ. Ф. Р</w:t>
      </w:r>
      <w:r w:rsidRPr="0044524F">
        <w:rPr>
          <w:color w:val="000000" w:themeColor="text1"/>
          <w:sz w:val="16"/>
          <w:szCs w:val="16"/>
        </w:rPr>
        <w:noBreakHyphen/>
        <w:t>8418. Оп. 28. Д. 1. Л. 94) (15460).</w:t>
      </w:r>
    </w:p>
    <w:p w14:paraId="6D365CE6" w14:textId="77777777" w:rsidR="00A0257D" w:rsidRPr="0044524F" w:rsidRDefault="00A0257D" w:rsidP="009654CF">
      <w:pPr>
        <w:pStyle w:val="rtejustify"/>
        <w:spacing w:before="0" w:after="0"/>
        <w:rPr>
          <w:color w:val="000000" w:themeColor="text1"/>
          <w:sz w:val="16"/>
          <w:szCs w:val="16"/>
        </w:rPr>
      </w:pPr>
    </w:p>
    <w:p w14:paraId="5996C21D" w14:textId="403503D5"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1933 г. комбинат № 2 (Завод № 102 НКТП, НКОП, НКХП, Завод Ушкова, Завод «Бертолетова соль» («Берсоль»), АО «Метахим», АО «Берсоль», Завод № 1 ВСНХ, комбинат № 2 ВСНХ, Завод № 6 ВСНХ, НКТП, Чапаевский завод химических удобрений (ЧЗХУ), Средневолжский завод химикатов (СВЗХ), АООТ, ОАО «СВЗХ» /г. Иващенково,</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Троцк,</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Чапаевск Куйбышевской, Самарской обл. п/я 2 (1930 г.)/ /446102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г. Чапаевск Самарской обл. ул. Орджоникидзе, 1/) был выделен из состава комбината № 15 и переименован в завод № 102 НКТП. В 12.1936 г. из Главоргхимпрома НКТП передан в НКОП. Приказом № 107 от 21.03.1937 г. утвержден </w:t>
      </w:r>
      <w:r w:rsidRPr="0044524F">
        <w:rPr>
          <w:rFonts w:ascii="Times New Roman" w:hAnsi="Times New Roman"/>
          <w:color w:val="000000" w:themeColor="text1"/>
          <w:sz w:val="16"/>
          <w:szCs w:val="16"/>
        </w:rPr>
        <w:lastRenderedPageBreak/>
        <w:t>Устав ГС завода № 102 6ГУ НКОП. В соответствии с пост. СНК № 1960-390сс от 5.11.1936 г. и пр. № 068 от 2.04.1937 г. завод переведен в группу особо режимных предприятий, в 12.1938 г. - в ведении 6ГУ. Далее - в НКХП.</w:t>
      </w:r>
    </w:p>
    <w:p w14:paraId="07A1B55F" w14:textId="6AF6F04C"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1930 г. начат выпуск иприта (в 1934 г. выпущено 591,5 т.). Приказом № 0022 от 3.02.1937 г. заводу предписано к 1.01.1938 г. закончить реконструкцию: цехов по производству веществ № 6, № 10 и № 25 и хлорного завода, снаряжательного, станции сжижения хлора; создать мощности по выпуску: вещества № 6 (иприт) - 9500 т в год, вещества № 17 - 700 т, вещества № 25 - 2500 т, хлор-газа - 16,5 тыс. т; снаряжению химснарядов. К концу 1930-х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производственные мощности по иприту составляли И тысяч т. в год, по люизиту- 4.000 т. в год. Для освоения производства новых ОВ и их снаряжения в аэрохимбомбы по пр. № 347сс от 1.09.1938 г. заводу были поставлены корпуса ХАБ-25-Р и ХАБ-1000.</w:t>
      </w:r>
    </w:p>
    <w:p w14:paraId="61B7A10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Иприт производился в цехе № 4 в 1941-43 г. (мощности разрушены в 1957 г.). Цех № 7 (корпус № 43)- производство люизита в годы ВОВ (мощности сохранялись вплоть до 1988 г.), № 26- треххлористого мышьяка. Корпус № 3 для приготовления вязких рецептур люизита не был введен в строй (в 1973 г. оборудование демонтировано). Корпус № 4 до 1945 г. использовался как приемный склад боеприпасов перед снаряжением (все оборудование корпуса демонтировано и уничтожено в 1957 г.). Корпус № 9- снаряжение боеприпасов смесью иприта и люизита. Цех № 54- иприт-люизитные смеси, цеха № 5, 52, 53, 55- снаряжательные (в 1945 г. снаряжательное производство остановлено; в 1957 г. демонтировано оборудование, трубопроводы, уничтожены некоторые специфические элементы здания, включая вентиляционную трубу; часть мощностей уничтожена в 1988 г., остальные переведены на гражданскую продукцию). Цех № 6- производство фосгена в 1941-45 г. (мощность- 2.000 т. в год).</w:t>
      </w:r>
    </w:p>
    <w:p w14:paraId="5CA96721"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ГКО № 3455 от 31.05.1943 г. заводу выделено 500 чел. военнообязанных для работы с ОВ.</w:t>
      </w:r>
    </w:p>
    <w:p w14:paraId="69E631CE"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Сюда в 1945 г. из Германии вывезено оборудование химзаводов. 4.09.1954 г. вышло постановление СМ СССР о развитии на заводе мобилизационных мощностей по производству ОВ.</w:t>
      </w:r>
    </w:p>
    <w:p w14:paraId="3F119D5A"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корпусе № 9 в 1958-94 г. действовало производство гибких гидрошлангов высокого давления для сельхозтехники; с 1997 г.- фасовка гипохлорита натрия. В корпусе № 4 в 1958-94 г. - производство резинотехнических смесей для изготовления гидрошлангов. В корпусе № 3 с 1974 г. организован выпуск ПХВ пластизолей.</w:t>
      </w:r>
    </w:p>
    <w:p w14:paraId="21CE66A8" w14:textId="689C349F"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Впоследствии назывался Чапаевский завод химических удобрений, в 1990-е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переименован в Средневолжский завод химикатов (СВЗХ).</w:t>
      </w:r>
    </w:p>
    <w:p w14:paraId="0644F029"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(2005 г.): каустическая сода, жидкий хлор, соляная кислота, хлористый кальций, гипохлорит натрия, натриевая соль монохлоруксусной кислоты, пропинат; шланги для полива, отбеливатель «Белизна», гербициды.</w:t>
      </w:r>
    </w:p>
    <w:p w14:paraId="1DBE000E"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2007 г. предприятие обанкрочено, производство остановлено. Планировалось построить на площадке предприятия завод по производству гербицидов.</w:t>
      </w:r>
    </w:p>
    <w:p w14:paraId="1D14E48B"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(1942 г.)- 1840 чел., (1943 г.)- 2420 чел., (1944 г.)- 2450 чел.</w:t>
      </w:r>
    </w:p>
    <w:p w14:paraId="4590589A"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(1927 г.)- Е.И. Шпитальский, (-22.02.1937 г.)- Д.Ф. Ступников, (22.02-29.11.1937 г.)- Д.Ф. Левиссон, (15.12.1937 г.-)- И.С. Палагушин, (1939-42 г.)- А.Н. Шушкин, (1942-43 г.)- Б.М. Барский, (1943-47 г.)- И Г. Матвеев. Гендиректор (2001 г.)- В.В. Ольховский, (2007 г.)- Е.И. Морковкин.</w:t>
      </w:r>
    </w:p>
    <w:p w14:paraId="4DA3D6F3"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Помощник директора по найму и увольнению (06.1937 г.)- П.С. Брандес.</w:t>
      </w:r>
    </w:p>
    <w:p w14:paraId="2179FB4D" w14:textId="2C9796D0"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(1934-; 19.06.1937-31.12.1938; -1941 г.)- Я.П. Чопоров; и.о. (31.12.1938 г.-)- В.В. Ярыгин; (1942- 45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Г.Ф. Нехорошее.</w:t>
      </w:r>
      <w:r w:rsidRPr="0044524F">
        <w:rPr>
          <w:rFonts w:ascii="Times New Roman" w:hAnsi="Times New Roman"/>
          <w:color w:val="000000" w:themeColor="text1"/>
          <w:sz w:val="16"/>
          <w:szCs w:val="16"/>
          <w:vertAlign w:val="superscript"/>
        </w:rPr>
        <w:t>71</w:t>
      </w:r>
    </w:p>
    <w:p w14:paraId="5FAA7656"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Производство:</w:t>
      </w:r>
      <w:r w:rsidRPr="0044524F">
        <w:rPr>
          <w:rFonts w:ascii="Times New Roman" w:hAnsi="Times New Roman"/>
          <w:color w:val="000000" w:themeColor="text1"/>
          <w:sz w:val="16"/>
          <w:szCs w:val="16"/>
        </w:rPr>
        <w:t xml:space="preserve"> авиабомбы ФАБ-100КД (1942) (11982).</w:t>
      </w:r>
    </w:p>
    <w:p w14:paraId="298AB861" w14:textId="77777777" w:rsidR="00A0257D" w:rsidRPr="0044524F" w:rsidRDefault="00A0257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AEBE9DB" w14:textId="77777777" w:rsidR="005653D4" w:rsidRPr="0044524F" w:rsidRDefault="005653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28 марта 1933 в Москву на АМО передали комплект чертежей Т-34. Но 13 августа 1933 года на вооружение Красной Армии приняли разведывательный танк-амфибию Т-37. Разработали его в КБ завода №37 в плотном сотрудничестве с ОКМО. Таким образом, Красная Армия пошла своим путем. Вместо "патрульного" танка, как это сделали в ряде стран, у нас поставили на плавающий танк-разведчик. И нельзя сказать, что ошиблись. Т-37 (позже Т-37А) и Т-38 были первыми реально массовыми танками-амфибиями. Т-34 же в обновленной системе вооружения места не нашлось. Машина не стала бесполезной тратой времени, ее элементы можно видеть в других танках. Но с "патрульными" танками у нас, на время, завязали (22724).</w:t>
      </w:r>
    </w:p>
    <w:p w14:paraId="377748C1" w14:textId="77777777" w:rsidR="005653D4" w:rsidRPr="0044524F" w:rsidRDefault="005653D4" w:rsidP="009654CF">
      <w:pPr>
        <w:spacing w:after="0" w:line="240" w:lineRule="auto"/>
        <w:jc w:val="both"/>
        <w:rPr>
          <w:rFonts w:ascii="Times New Roman" w:hAnsi="Times New Roman"/>
          <w:color w:val="000000" w:themeColor="text1"/>
          <w:sz w:val="16"/>
          <w:szCs w:val="16"/>
        </w:rPr>
      </w:pPr>
    </w:p>
    <w:p w14:paraId="49D033BC" w14:textId="77777777" w:rsidR="00A0257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35D8C9C" w14:textId="77777777" w:rsidR="00A0257D" w:rsidRPr="0044524F" w:rsidRDefault="00A0257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6E82A4B"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1933 года Спецсводка СПО ПП ОГПУ по НВК (Нижне-Волжскому краю) о продовольственных затруднениях в крае по данным на 20 марта 1933 года.</w:t>
      </w:r>
    </w:p>
    <w:p w14:paraId="53AB4F1E"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Продовольственные затруднения продолжают захватывать новые районы и колхозы: на 10 марта... было учтено 110 колхозов в 33 районах, испытывающих продзатруднения семей - 822.</w:t>
      </w:r>
    </w:p>
    <w:p w14:paraId="6E0723DD"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большинстве употребляются в пищу различные суррогаты (примесь в муку и хлебные отходы мякины, лебеды, тыквенной и картофельной кожуры, просяной шелухи, толченых корней растений "чакан", употребление в пищу одних суррогатов без примеси муки, питание исключительно капустой, тыквой, другими овощами), а также употребляется мясо павших животных и, в отдельных случаях, людоедство.</w:t>
      </w:r>
    </w:p>
    <w:p w14:paraId="22F7B9B1"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ПП ОГПУ по НВК Рудь</w:t>
      </w:r>
    </w:p>
    <w:p w14:paraId="149B7E11"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 СПО ПП Якубовский".</w:t>
      </w:r>
    </w:p>
    <w:p w14:paraId="2C3FFF95"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Доказательством голода являются и сведения о резком скачке цен на продовольствие в 1932 году. Рыночная цена на муку постоянно росла, а в 1932 году сделала настоящий скачок (см. таблицу 2 ниже [117]), хотя денежная масса выросла незначительно (см. выше).</w:t>
      </w:r>
    </w:p>
    <w:p w14:paraId="2E3CD3D1"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1928 / 100</w:t>
      </w:r>
    </w:p>
    <w:p w14:paraId="6E96C6D9"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 / 225</w:t>
      </w:r>
    </w:p>
    <w:p w14:paraId="29576F71"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 / 350</w:t>
      </w:r>
    </w:p>
    <w:p w14:paraId="1A5AF83A"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 525</w:t>
      </w:r>
    </w:p>
    <w:p w14:paraId="2EF1890F"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 2303</w:t>
      </w:r>
    </w:p>
    <w:p w14:paraId="0323E2F0" w14:textId="77777777" w:rsidR="00A0257D" w:rsidRPr="0044524F" w:rsidRDefault="00A0257D" w:rsidP="009654CF">
      <w:pPr>
        <w:pStyle w:val="rtejustify"/>
        <w:spacing w:before="0" w:after="0"/>
        <w:rPr>
          <w:color w:val="000000" w:themeColor="text1"/>
          <w:sz w:val="16"/>
          <w:szCs w:val="16"/>
        </w:rPr>
      </w:pPr>
      <w:r w:rsidRPr="0044524F">
        <w:rPr>
          <w:color w:val="000000" w:themeColor="text1"/>
          <w:sz w:val="16"/>
          <w:szCs w:val="16"/>
        </w:rPr>
        <w:t>Картофель стал стоить в 15,5, раз дороже. яйца в 8,7 раза. В 1933 году цена на хленб еще выросла на 80%. В мае 1933 года коммерческая цена ржаного хлеба был в 20 раз больше цены хлеба, выдаваеного по карточкам. Цены на продовольствие на рынках достигли пика в июне 1933 года. Однако после урожая 1933 года цены резко (на 60%) упали в декабре 1933 года. В 1934 году цены на зерно упали в 2 раза (17264).</w:t>
      </w:r>
    </w:p>
    <w:p w14:paraId="12C5C68A" w14:textId="77777777" w:rsidR="00A0257D" w:rsidRPr="0044524F" w:rsidRDefault="00A0257D" w:rsidP="009654CF">
      <w:pPr>
        <w:pStyle w:val="rtejustify"/>
        <w:spacing w:before="0" w:after="0"/>
        <w:rPr>
          <w:color w:val="000000" w:themeColor="text1"/>
          <w:sz w:val="16"/>
          <w:szCs w:val="16"/>
        </w:rPr>
      </w:pPr>
    </w:p>
    <w:p w14:paraId="485E5C33"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703E69E"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BB3304A" w14:textId="77777777" w:rsidR="00A0257D" w:rsidRPr="0044524F" w:rsidRDefault="00A025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28 марта</w:t>
      </w:r>
      <w:r w:rsidRPr="0044524F">
        <w:rPr>
          <w:rFonts w:ascii="Times New Roman" w:hAnsi="Times New Roman"/>
          <w:color w:val="000000" w:themeColor="text1"/>
          <w:sz w:val="16"/>
          <w:szCs w:val="16"/>
        </w:rPr>
        <w:t xml:space="preserve"> в 1933 году состоялся первый полет самолета </w:t>
      </w:r>
      <w:hyperlink r:id="rId114" w:tgtFrame="_blank" w:history="1">
        <w:r w:rsidRPr="0044524F">
          <w:rPr>
            <w:rFonts w:ascii="Times New Roman" w:hAnsi="Times New Roman"/>
            <w:color w:val="000000" w:themeColor="text1"/>
            <w:sz w:val="16"/>
            <w:szCs w:val="16"/>
          </w:rPr>
          <w:t xml:space="preserve">«Bernard 61T». </w:t>
        </w:r>
      </w:hyperlink>
      <w:r w:rsidRPr="0044524F">
        <w:rPr>
          <w:rFonts w:ascii="Times New Roman" w:hAnsi="Times New Roman"/>
          <w:color w:val="000000" w:themeColor="text1"/>
          <w:sz w:val="16"/>
          <w:szCs w:val="16"/>
        </w:rPr>
        <w:t>Основным отличием самолета стала новая силовая установка состоящая из трех одинаковых двигателей «Gnome-Rhone» 7Kb мощностью 300 л.с. Как и его предшественник «Bernard 61T» был выпущен в единственном экземпляре (15082).</w:t>
      </w:r>
    </w:p>
    <w:p w14:paraId="44504825" w14:textId="77777777" w:rsidR="00A0257D" w:rsidRPr="0044524F" w:rsidRDefault="00A0257D" w:rsidP="009654CF">
      <w:pPr>
        <w:spacing w:after="0" w:line="240" w:lineRule="auto"/>
        <w:jc w:val="both"/>
        <w:rPr>
          <w:rFonts w:ascii="Times New Roman" w:hAnsi="Times New Roman"/>
          <w:color w:val="000000" w:themeColor="text1"/>
          <w:sz w:val="16"/>
          <w:szCs w:val="16"/>
        </w:rPr>
      </w:pPr>
    </w:p>
    <w:p w14:paraId="24A91E51" w14:textId="77777777" w:rsidR="005B5149" w:rsidRPr="0044524F" w:rsidRDefault="005B514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1933 - Состоялся первый полет самолета Bernard 61T. Основным отличием самолета стала новая силовая установка состоящая из трех одинаковых двигателей Gnome-Rhone 7Kb мощностью 300 л.с. Первый полет самолета состоялся 28 марта 1933 года. Как и его предшественник Bernard 61T был выпущен в единственном экземпляре (22554).</w:t>
      </w:r>
    </w:p>
    <w:p w14:paraId="06FCD974" w14:textId="77777777" w:rsidR="005B5149" w:rsidRPr="0044524F" w:rsidRDefault="005B5149" w:rsidP="009654CF">
      <w:pPr>
        <w:spacing w:after="0" w:line="240" w:lineRule="auto"/>
        <w:jc w:val="both"/>
        <w:rPr>
          <w:rFonts w:ascii="Times New Roman" w:hAnsi="Times New Roman"/>
          <w:color w:val="000000" w:themeColor="text1"/>
          <w:sz w:val="16"/>
          <w:szCs w:val="16"/>
        </w:rPr>
      </w:pPr>
    </w:p>
    <w:p w14:paraId="2D2EEA51" w14:textId="77777777" w:rsidR="005B5149" w:rsidRPr="0044524F" w:rsidRDefault="005B514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1933 авиалайнер компании Imperial Airways Armstrong Whitworth Argosy City of Liverpool загорается в воздухе над Бельгией и терпит крушение, в результате чего погиб экипаж из трех человек и все 12 пассажиров, что является самой смертоносной аварией в истории британской гражданской авиации на тот. Возможно, пожар был начат умышленно (20802).</w:t>
      </w:r>
    </w:p>
    <w:p w14:paraId="7BE00196" w14:textId="77777777" w:rsidR="005B5149" w:rsidRPr="0044524F" w:rsidRDefault="005B5149" w:rsidP="009654CF">
      <w:pPr>
        <w:spacing w:after="0" w:line="240" w:lineRule="auto"/>
        <w:jc w:val="both"/>
        <w:rPr>
          <w:rFonts w:ascii="Times New Roman" w:hAnsi="Times New Roman"/>
          <w:color w:val="000000" w:themeColor="text1"/>
          <w:sz w:val="16"/>
          <w:szCs w:val="16"/>
        </w:rPr>
      </w:pPr>
    </w:p>
    <w:p w14:paraId="56EC954C"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1933 нацисты запретили евреям работать в бизнесе, профессиональной деятельности и в школах (2100).</w:t>
      </w:r>
    </w:p>
    <w:p w14:paraId="4D2866FD"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2203E4B5"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A69C3B5"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685A2F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марта 1933 года начальник и военком НИИ ВВС Зильберт писал письмо N 0302сс Алкснису.</w:t>
      </w:r>
    </w:p>
    <w:p w14:paraId="1FC997A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- 1 ноября 1932 года.</w:t>
      </w:r>
    </w:p>
    <w:p w14:paraId="13CBA4CF"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Сейчас из-за ликвидации Бюро новых конструкций, работа уже 3 месяца не ведется.</w:t>
      </w:r>
    </w:p>
    <w:p w14:paraId="067E4317"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Достроить самолет БНК-3 39-й завод соглашается со сроком сдачи в декабре 1933 года.</w:t>
      </w:r>
    </w:p>
    <w:p w14:paraId="34E06B13"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своей стороны считаю нецелесообразным достраивать самолет БНК-3. (с. 180) (3029,180).</w:t>
      </w:r>
    </w:p>
    <w:p w14:paraId="207887B4"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4AFAC906" w14:textId="77777777" w:rsidR="0099326E" w:rsidRPr="0044524F" w:rsidRDefault="0099326E" w:rsidP="009654CF">
      <w:pPr>
        <w:pStyle w:val="rtejustify"/>
        <w:spacing w:before="0" w:after="0"/>
        <w:rPr>
          <w:color w:val="000000" w:themeColor="text1"/>
          <w:sz w:val="16"/>
          <w:szCs w:val="16"/>
        </w:rPr>
      </w:pPr>
      <w:r w:rsidRPr="0044524F">
        <w:rPr>
          <w:rStyle w:val="af0"/>
          <w:bCs/>
          <w:i w:val="0"/>
          <w:color w:val="000000" w:themeColor="text1"/>
          <w:sz w:val="16"/>
          <w:szCs w:val="16"/>
        </w:rPr>
        <w:t>29 марта 1933 вышел приказ НКТП № 3/сс.</w:t>
      </w:r>
      <w:r w:rsidRPr="0044524F">
        <w:rPr>
          <w:color w:val="000000" w:themeColor="text1"/>
          <w:sz w:val="16"/>
          <w:szCs w:val="16"/>
        </w:rPr>
        <w:t xml:space="preserve"> О мерах по обеспечению бесперебойного производства авиабомб на предприятиях НКТП СССР и о создании при ГВМУ специального бюро по авиабомбостроению. (РГАЭ. Ф. 7297. Оп. 38. Д. 37. Л. 175</w:t>
      </w:r>
      <w:r w:rsidRPr="0044524F">
        <w:rPr>
          <w:color w:val="000000" w:themeColor="text1"/>
          <w:sz w:val="16"/>
          <w:szCs w:val="16"/>
        </w:rPr>
        <w:noBreakHyphen/>
        <w:t>173) (15246).</w:t>
      </w:r>
    </w:p>
    <w:p w14:paraId="11FED3B5" w14:textId="77777777" w:rsidR="0099326E" w:rsidRPr="0044524F" w:rsidRDefault="0099326E" w:rsidP="009654CF">
      <w:pPr>
        <w:pStyle w:val="rtejustify"/>
        <w:spacing w:before="0" w:after="0"/>
        <w:rPr>
          <w:color w:val="000000" w:themeColor="text1"/>
          <w:sz w:val="16"/>
          <w:szCs w:val="16"/>
        </w:rPr>
      </w:pPr>
    </w:p>
    <w:p w14:paraId="780C8923" w14:textId="77777777" w:rsidR="002401A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3F6015F" w14:textId="77777777" w:rsidR="002401AD" w:rsidRPr="0044524F" w:rsidRDefault="002401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F9F6483"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29 марта 1933 г. в ходе подготовки немецкого визита Берзин еще представил обширный план показа военной промышленности Боккельбергу с указанием конкретных объектов. Документ Ворошилов переадресовал Сталину, сопроводив его припиской: «т.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on. 3, д. 497, л. 103,104-106.). Сталин не возражал. Боккельберга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артмастерские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Боккельберг отнесся внимательно к высказываниям Тухачевского 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Боккельберг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on. 3, д. 505, л. 135-137.) (11784).</w:t>
      </w:r>
    </w:p>
    <w:p w14:paraId="00DFEEFA" w14:textId="77777777" w:rsidR="002401AD" w:rsidRPr="0044524F" w:rsidRDefault="002401AD" w:rsidP="009654CF">
      <w:pPr>
        <w:autoSpaceDE w:val="0"/>
        <w:autoSpaceDN w:val="0"/>
        <w:adjustRightInd w:val="0"/>
        <w:spacing w:after="0" w:line="240" w:lineRule="auto"/>
        <w:jc w:val="both"/>
        <w:rPr>
          <w:rFonts w:ascii="Times New Roman" w:hAnsi="Times New Roman"/>
          <w:color w:val="000000" w:themeColor="text1"/>
          <w:sz w:val="16"/>
          <w:szCs w:val="16"/>
        </w:rPr>
      </w:pPr>
    </w:p>
    <w:p w14:paraId="08624D83" w14:textId="77777777" w:rsidR="005B5149" w:rsidRPr="0044524F" w:rsidRDefault="005B5149"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E444214" w14:textId="77777777" w:rsidR="005B5149" w:rsidRPr="0044524F" w:rsidRDefault="005B514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C46EE16" w14:textId="77777777" w:rsidR="005B5149" w:rsidRPr="0044524F" w:rsidRDefault="005B514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марта 1933 состоялся первый полет Miles M.2 Hawk (20802).</w:t>
      </w:r>
    </w:p>
    <w:p w14:paraId="08288F8C" w14:textId="77777777" w:rsidR="005B5149" w:rsidRPr="0044524F" w:rsidRDefault="005B5149" w:rsidP="009654CF">
      <w:pPr>
        <w:spacing w:after="0" w:line="240" w:lineRule="auto"/>
        <w:jc w:val="both"/>
        <w:rPr>
          <w:rFonts w:ascii="Times New Roman" w:hAnsi="Times New Roman"/>
          <w:color w:val="000000" w:themeColor="text1"/>
          <w:sz w:val="16"/>
          <w:szCs w:val="16"/>
        </w:rPr>
      </w:pPr>
    </w:p>
    <w:p w14:paraId="29DFAA30"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490C437"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40C4299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марта 1933 С.П.К. подписал некролог Ф.А. Цандеру вместе с Р.П. Эйдеманом, Ю.А. Победоносцевым и др. (газ. "Техника", 30 марта 1933 г.) (10676).</w:t>
      </w:r>
    </w:p>
    <w:p w14:paraId="407D5400"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230C4BA2"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9BE5235"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05647241" w14:textId="58FCBF34"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марта 1933 г. завод (Завод № 177 НКТП, Выксунский завод ДРО НКТП, НКОП, Выксунский завод «ДРА» НКСС, Выксунский завод дробильно-размольного оборудования (ДРО), ОАО «Дробмаш» /607061</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Выкса Горьковской обл. ул. Заводская/) выпустил первую продукцию - дробилку Щ-3. Первоначально проектирование велось на базе зарубежного опыта. Но уже с 1937 г. завод самостоятельно проектирует и изготавливает дробильно- размольное, прессовое и другие виды оборудования.</w:t>
      </w:r>
    </w:p>
    <w:p w14:paraId="797FE78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СНК от 15.12.1940 г. и приказом НКАП № 748 от 17.12.1940 г. на заводе организовано производство бронекорпусов для Ил-2.</w:t>
      </w:r>
      <w:r w:rsidRPr="0044524F">
        <w:rPr>
          <w:rFonts w:ascii="Times New Roman" w:hAnsi="Times New Roman"/>
          <w:color w:val="000000" w:themeColor="text1"/>
          <w:sz w:val="16"/>
          <w:szCs w:val="16"/>
          <w:vertAlign w:val="superscript"/>
        </w:rPr>
        <w:t>96</w:t>
      </w:r>
      <w:r w:rsidRPr="0044524F">
        <w:rPr>
          <w:rFonts w:ascii="Times New Roman" w:hAnsi="Times New Roman"/>
          <w:color w:val="000000" w:themeColor="text1"/>
          <w:sz w:val="16"/>
          <w:szCs w:val="16"/>
        </w:rPr>
        <w:t xml:space="preserve"> В соответствии с пост. ГКО № 1сс от 1.07.1941 г. Выксунскому заводу «ДРА» НКСС поручен выпуск комплектующих для танков Т-34 и авиамоторов М-17. В годы войны завод выпускал военную продукцию: корпуса легких танков, САУ, бронекорпуса Ил-2, корпуса мин и РСов. Работы по корабельной броне (1942 г.).</w:t>
      </w:r>
      <w:r w:rsidRPr="0044524F">
        <w:rPr>
          <w:rFonts w:ascii="Times New Roman" w:hAnsi="Times New Roman"/>
          <w:color w:val="000000" w:themeColor="text1"/>
          <w:sz w:val="16"/>
          <w:szCs w:val="16"/>
          <w:vertAlign w:val="superscript"/>
        </w:rPr>
        <w:t>61</w:t>
      </w:r>
      <w:r w:rsidRPr="0044524F">
        <w:rPr>
          <w:rFonts w:ascii="Times New Roman" w:hAnsi="Times New Roman"/>
          <w:color w:val="000000" w:themeColor="text1"/>
          <w:sz w:val="16"/>
          <w:szCs w:val="16"/>
        </w:rPr>
        <w:t xml:space="preserve"> 16.03.1944 г. вышло распоряжение ГКО № 5409 об обеспечении кооперированных поставок с завода № 177 бронекорпусов СУ-16 на завод № 40 НКТП.</w:t>
      </w:r>
    </w:p>
    <w:p w14:paraId="3AE1FD8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1942 г. завод № 177 - в ведении НКТП.</w:t>
      </w:r>
    </w:p>
    <w:p w14:paraId="0AC936C9" w14:textId="79DD0975"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войны завод возвращается к производству дробильно-сортировочного оборудования. К началу 2000-х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выпущено около 110 тысяч единиц оборудования, в т.ч. 31 тысяча дробилок и около 60 тысяч агрегатов.</w:t>
      </w:r>
    </w:p>
    <w:p w14:paraId="64477CB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(2000-е): дробильно-сортировочное оборудование: щековые, конусные, роторные, молотковые дробилки; питатели, грохоты, конвейеры, передвижные и транспортируемые агрегаты.</w:t>
      </w:r>
    </w:p>
    <w:p w14:paraId="258814B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2002 г. ОАО «Дробмаш» вошло в состав компании «Строительные машины и механизмы».</w:t>
      </w:r>
    </w:p>
    <w:p w14:paraId="70900FC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(06.1937 г.)- Н.Б. Завадский.</w:t>
      </w:r>
    </w:p>
    <w:p w14:paraId="61B9B72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директора (06.1937 г.)- А.П. Петров.</w:t>
      </w:r>
      <w:r w:rsidRPr="0044524F">
        <w:rPr>
          <w:rFonts w:ascii="Times New Roman" w:hAnsi="Times New Roman"/>
          <w:color w:val="000000" w:themeColor="text1"/>
          <w:sz w:val="16"/>
          <w:szCs w:val="16"/>
          <w:vertAlign w:val="superscript"/>
        </w:rPr>
        <w:t>139</w:t>
      </w:r>
    </w:p>
    <w:p w14:paraId="2CB3609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Производство: бронекорпуса: для Ил-2 (1941-), для танков Т-60, Т-70 (ВОВ), для САУ-76 (ВОВ), АСУ-57 (1950-е); бронеавтомобиль БА-20 (ВОВ); погон для Т-34 (ВОВ); корпуса мин М-82 и </w:t>
      </w:r>
      <w:r w:rsidRPr="0044524F">
        <w:rPr>
          <w:rFonts w:ascii="Times New Roman" w:hAnsi="Times New Roman"/>
          <w:color w:val="000000" w:themeColor="text1"/>
          <w:sz w:val="16"/>
          <w:szCs w:val="16"/>
          <w:lang w:val="en-US"/>
        </w:rPr>
        <w:t>PC</w:t>
      </w:r>
      <w:r w:rsidRPr="0044524F">
        <w:rPr>
          <w:rFonts w:ascii="Times New Roman" w:hAnsi="Times New Roman"/>
          <w:color w:val="000000" w:themeColor="text1"/>
          <w:sz w:val="16"/>
          <w:szCs w:val="16"/>
        </w:rPr>
        <w:t xml:space="preserve"> М-8, М-13 и М-30 (ВОВ); дробилка щековая Щ-3 (1933-) (11982).</w:t>
      </w:r>
    </w:p>
    <w:p w14:paraId="788DD832"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74ABF7B6"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44B0392"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4CD4B4A8"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30 марта</w:t>
      </w:r>
      <w:r w:rsidRPr="0044524F">
        <w:rPr>
          <w:rFonts w:ascii="Times New Roman" w:hAnsi="Times New Roman"/>
          <w:color w:val="000000" w:themeColor="text1"/>
          <w:sz w:val="16"/>
          <w:szCs w:val="16"/>
        </w:rPr>
        <w:t xml:space="preserve"> в 1933 году было официально зарегистрировано авиационное отделение фирмы "Хеншель"- под названием "Хеншель Флюгцойгверк ГмбХ"- новый владелец концерна Оскар Хеншель решился вложить деньги в перспективную отрасль. Вряд ли является случайным совпадением то, что незадолго до этого к власти в Германии пришел Адольф Гитлер, который еще в период предвыборной кампании неоднократно заявлял о необходимости отказа от запретов Версальского договора и о грядущем возрождении немецкой военной мощи (15084).</w:t>
      </w:r>
    </w:p>
    <w:p w14:paraId="172368DA" w14:textId="77777777" w:rsidR="0099326E" w:rsidRPr="0044524F" w:rsidRDefault="0099326E" w:rsidP="009654CF">
      <w:pPr>
        <w:spacing w:after="0" w:line="240" w:lineRule="auto"/>
        <w:jc w:val="both"/>
        <w:rPr>
          <w:rFonts w:ascii="Times New Roman" w:hAnsi="Times New Roman"/>
          <w:color w:val="000000" w:themeColor="text1"/>
          <w:sz w:val="16"/>
          <w:szCs w:val="16"/>
        </w:rPr>
      </w:pPr>
    </w:p>
    <w:p w14:paraId="447A222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марта 1933 на базе паровозостроительных заводов "Henschel und Sohn A.G.", которые были основаны в Касселе в 1848 году, их директор Оскар Р. Хеншель решил (при поддержке нового нацистского правительства) создать авиастроительный концерн. Он был создан первоначально в Касселе, хотя к концу 1934 новый основной завод открыли возле Берлина в Шенефельде (3188).</w:t>
      </w:r>
    </w:p>
    <w:p w14:paraId="1C7DEDEB"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261D147C"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4A790CB"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6B6A9AFA"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марта 1933 г. деревянный макет, выполненный по проекту Добровольского и Самсонова, продули в аэродинамической трубе ЦАГИ. Таким образом, можно предположить, что Добровольский и Самсонов использовали танк БТ в качестве «фюзеляжа» летающей конструкции, представлявшей собой сочетание танка и крыльев (19165).</w:t>
      </w:r>
    </w:p>
    <w:p w14:paraId="73C863DA" w14:textId="77777777" w:rsidR="00040C94" w:rsidRPr="0044524F" w:rsidRDefault="00040C94" w:rsidP="009654CF">
      <w:pPr>
        <w:spacing w:after="0" w:line="240" w:lineRule="auto"/>
        <w:jc w:val="both"/>
        <w:rPr>
          <w:rFonts w:ascii="Times New Roman" w:hAnsi="Times New Roman"/>
          <w:color w:val="000000" w:themeColor="text1"/>
          <w:sz w:val="16"/>
          <w:szCs w:val="16"/>
        </w:rPr>
      </w:pPr>
    </w:p>
    <w:p w14:paraId="4B07B544" w14:textId="77777777" w:rsidR="00A74739" w:rsidRPr="0044524F" w:rsidRDefault="00A74739" w:rsidP="00A74739">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марта 1933 в аэродинамической трубе ЦАГИ был продут макет летающего танка группы Рафаэлянца. Конструкция танка была как у БТ, но облегченная (5.5 т), с противопульным бронированием, 20-мм пушкой, 2 чл. экипажа и тремя опорными катками. Двигатель - М-17 650 нр (3879,39).</w:t>
      </w:r>
    </w:p>
    <w:p w14:paraId="01C1C148" w14:textId="77777777" w:rsidR="00A74739" w:rsidRPr="0044524F" w:rsidRDefault="00A74739" w:rsidP="00A74739">
      <w:pPr>
        <w:spacing w:after="0" w:line="240" w:lineRule="auto"/>
        <w:jc w:val="both"/>
        <w:rPr>
          <w:rFonts w:ascii="Times New Roman" w:hAnsi="Times New Roman"/>
          <w:color w:val="000000" w:themeColor="text1"/>
          <w:sz w:val="16"/>
          <w:szCs w:val="16"/>
        </w:rPr>
      </w:pPr>
    </w:p>
    <w:p w14:paraId="69AB85E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марта 1933 на совещании нач. управлений штаба РККА приняли решение максимально ограничить передвижение германских л по территории СССР, сократить до минимума количество русского персонала, отказать школе в Липецке в льготном воинском тарифе при перевозке грузов, запретить использование полигона для учебных стрельб и бомбометания (1795,40).</w:t>
      </w:r>
    </w:p>
    <w:p w14:paraId="743DA5F1"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7C140E60"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8787495"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22FED6B8" w14:textId="10CEBF74"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марта 1933 г. приказом НКТП №146</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"Коминтерн" утверждался к серийному производству, а приказом РВС СССР №5249сс от 10 июня 1933 г. он был принят на вооружение. Однако "с апреля месяца работа по подготовке производства стала значительно падать т.к. тракторному отделу было добавлено в производство 100 шт. моторов "Коммунар". Кроме того, помимо совершенствования трактора "Коммунар" и работ по "Коминтерну", в 1933 г. завод был загружен и другими заказами, а именно - вел работы по дизелям БД-2 и БД-14, занимался совершенствованием конструкции танка БТ (простое перечисление работ в докладе военпреда заняло шесть листов). В итоге освоение "Коминтерна" перенесли на 1934 г. (12008).</w:t>
      </w:r>
    </w:p>
    <w:p w14:paraId="25800A2A"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1847C18B" w14:textId="77777777" w:rsidR="00A74739" w:rsidRPr="00142305" w:rsidRDefault="00A74739" w:rsidP="00A7473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марта 1933 года приказом НКТП №146 трактор «Коминтерн» утверждался к серийному производ</w:t>
      </w:r>
      <w:r w:rsidRPr="00142305">
        <w:rPr>
          <w:rFonts w:ascii="Times New Roman" w:hAnsi="Times New Roman"/>
          <w:color w:val="0070C0"/>
          <w:sz w:val="16"/>
          <w:szCs w:val="16"/>
        </w:rPr>
        <w:softHyphen/>
        <w:t>ству, а приказом РВС СССР №5249сс от 10 июня 1933 года он был принят на вооружение. Однако «с апреля месяца работа по подготовке производства ста</w:t>
      </w:r>
      <w:r w:rsidRPr="00142305">
        <w:rPr>
          <w:rFonts w:ascii="Times New Roman" w:hAnsi="Times New Roman"/>
          <w:color w:val="0070C0"/>
          <w:sz w:val="16"/>
          <w:szCs w:val="16"/>
        </w:rPr>
        <w:softHyphen/>
        <w:t>ла значительно падать, т.к. тракторному отделу было добавлено в производство 100 шт. моторов «Коммунар» (25003).</w:t>
      </w:r>
    </w:p>
    <w:p w14:paraId="13D8A9D8" w14:textId="77777777" w:rsidR="00A74739" w:rsidRPr="00142305" w:rsidRDefault="00A74739" w:rsidP="00A74739">
      <w:pPr>
        <w:spacing w:after="0" w:line="240" w:lineRule="auto"/>
        <w:jc w:val="both"/>
        <w:rPr>
          <w:rFonts w:ascii="Times New Roman" w:hAnsi="Times New Roman"/>
          <w:color w:val="0070C0"/>
          <w:sz w:val="16"/>
          <w:szCs w:val="16"/>
        </w:rPr>
      </w:pPr>
    </w:p>
    <w:p w14:paraId="3C12C560"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72ABEBB"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7DE3D10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марта 1933 лагерная газета «Перековка» разъяснила, что Истринское водохранилище строится «в помощь московскому водопроводу», чтобы «регулировать сток воды из бассейна реки Истра в Москву-реку» (7560).</w:t>
      </w:r>
    </w:p>
    <w:p w14:paraId="27D6726D"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68F08FB2"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FC5802B"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25845C66" w14:textId="77777777" w:rsidR="00CB2EE3" w:rsidRPr="0044524F" w:rsidRDefault="00CB2E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31 марта 1933 Ford 4-AT-B Trimotor NC7686, на борту которого находились члены баскетбольной команды Winnipeg Toilers из Талсы, Оклахома, летит в Виннипег, Манитоба, Канада, чартерным рейсом и терпит крушение возле Неодеши, штат Канзас, вероятно, при попытке вынужденной посадки в поле. В результате крушения погибли оба члена экипажа и пятеро из 11 пассажиров (20802).</w:t>
      </w:r>
    </w:p>
    <w:p w14:paraId="61D9865A" w14:textId="77777777" w:rsidR="00CB2EE3" w:rsidRPr="0044524F" w:rsidRDefault="00CB2EE3" w:rsidP="009654CF">
      <w:pPr>
        <w:spacing w:after="0" w:line="240" w:lineRule="auto"/>
        <w:jc w:val="both"/>
        <w:rPr>
          <w:rFonts w:ascii="Times New Roman" w:hAnsi="Times New Roman"/>
          <w:color w:val="000000" w:themeColor="text1"/>
          <w:sz w:val="16"/>
          <w:szCs w:val="16"/>
        </w:rPr>
      </w:pPr>
    </w:p>
    <w:p w14:paraId="06D2F007" w14:textId="77777777" w:rsidR="007937A6" w:rsidRPr="0044524F" w:rsidRDefault="00793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марта 1933 Гитлер и Фрик, впервые воспользовавшись данными им чрезвычайными полномочиями, обнародовали закон о роспуске парламентов во всех землях, кроме Пруссии, приказав переформировать их состав в соответствии с распределением голосов на последних выборах в рейхстаг. Депутатские места, занимаемые прежде коммунистами, решено было не заполнять. Но и этого канцлеру показалось мало. Действуя с лихорадочной поспешностью, он уже через неделю, 7 апреля, издал декрет об учреждении во всех землях новой должности - губернатора рейха, которому предоставлялось право формировать и смещать местное правительство, распускать парламент, назначать и увольнять чиновников и судей. Все вновь назначенные губернаторы были нацистами, ото всех требовалось проводить "генеральную политику, разработанную рейхсканцлером". Так, через две недели после обретения полноты власти, Гитлер достиг того, на что Бисмарк, Вильгельм II и Веймарская республика не могли и рассчитывать: он лишил земли автономии и подчинил их центральной власти рейха, то есть своей личной власти. Впервые в истории он по-настоящему объединил Германию, ликвидировав давнюю федеральную структуру (17283).</w:t>
      </w:r>
    </w:p>
    <w:p w14:paraId="654F0080" w14:textId="77777777" w:rsidR="007937A6" w:rsidRPr="0044524F" w:rsidRDefault="007937A6" w:rsidP="009654CF">
      <w:pPr>
        <w:spacing w:after="0" w:line="240" w:lineRule="auto"/>
        <w:jc w:val="both"/>
        <w:rPr>
          <w:rFonts w:ascii="Times New Roman" w:hAnsi="Times New Roman"/>
          <w:color w:val="000000" w:themeColor="text1"/>
          <w:sz w:val="16"/>
          <w:szCs w:val="16"/>
        </w:rPr>
      </w:pPr>
    </w:p>
    <w:p w14:paraId="22D3250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марта 1933 Лео Сцилард покинул Германию (2953).</w:t>
      </w:r>
    </w:p>
    <w:p w14:paraId="1940B1C0"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61EFC04E"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5B15AF5"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3FFB550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марта 1933 после окончания заводских испытаний гидросамолета Р-6а (МР-6, Р-6п) он поступил в морской отдел НИИ ВВС. оказался менее удачным, чем модификация ТБ-1, т.к. поплавки были великоваты. В ходе испытаний разбили 3 машины (2766,33).</w:t>
      </w:r>
    </w:p>
    <w:p w14:paraId="27FAAAB7"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567403E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марта 1933 г. на заводе № 1 началась сдача 10 Р-5, предназначающихся для Ирана. Первый самолет доставили в Иран по воздуху. На нем иранский летчик А. Макуи, выпускник Качинской летной школы, успешно совершил перелет Москва - Тегеран, прибыв на место 28 мая 1933 г. Остальные Р-5 перевозились в разобранном виде. Из Москвы их везли по железной дороге, а затем по Каспию в иранский порт Пехлеви. 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3BC66B17"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051FD379" w14:textId="77777777" w:rsidR="00140A37" w:rsidRPr="00142305" w:rsidRDefault="00140A37" w:rsidP="00140A3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марта 1933 г. разведчики Р-5, заказанные Ираном, нача</w:t>
      </w:r>
      <w:r w:rsidRPr="00142305">
        <w:rPr>
          <w:rFonts w:ascii="Times New Roman" w:hAnsi="Times New Roman"/>
          <w:color w:val="0070C0"/>
          <w:sz w:val="16"/>
          <w:szCs w:val="16"/>
        </w:rPr>
        <w:softHyphen/>
        <w:t>ли предъявлять приемщикам (24990).</w:t>
      </w:r>
    </w:p>
    <w:p w14:paraId="31007817" w14:textId="77777777" w:rsidR="00140A37" w:rsidRPr="00142305" w:rsidRDefault="00140A37" w:rsidP="00140A37">
      <w:pPr>
        <w:spacing w:after="0" w:line="240" w:lineRule="auto"/>
        <w:jc w:val="both"/>
        <w:rPr>
          <w:rFonts w:ascii="Times New Roman" w:hAnsi="Times New Roman"/>
          <w:color w:val="0070C0"/>
          <w:sz w:val="16"/>
          <w:szCs w:val="16"/>
        </w:rPr>
      </w:pPr>
    </w:p>
    <w:p w14:paraId="460737B5"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DF0F93E"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409674D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марта 1933 был испытан в ЦАГИ деревянный макет летающего колесно-гусеничного танка, разработанного КБ под руководством Рафаэлянца с участием конструкторов ЦАГИ и завода №39 ГУАП Никитина, Государева, Флерова, Шварца, Ермонского, Кургузова, Астахова, Асахина и Гришина январе-феврале 1933. Планировали использовать конструкцию подвески БТ-2. Рассмотрели еще два варианта - Добровольского и Самсонова (гидропередача) и проект Камова (автожир). По первому варианту изготовили деревянный макет (9527,113).</w:t>
      </w:r>
    </w:p>
    <w:p w14:paraId="670E7570"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30BC2F24"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E694FAB"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692239E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ХАЗОСС представил НИИ ВВС эскизы ВС-2, К-12 (70,257).</w:t>
      </w:r>
    </w:p>
    <w:p w14:paraId="6114F4AA"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6013C879" w14:textId="77777777" w:rsidR="00D25EF2" w:rsidRPr="0044524F" w:rsidRDefault="00D25E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первые эскизы К-12 были представлены НИИ ВВС. Было согласовано ТЗ на самолет.</w:t>
      </w:r>
    </w:p>
    <w:p w14:paraId="71FEA451" w14:textId="77777777" w:rsidR="00D25EF2" w:rsidRPr="0044524F" w:rsidRDefault="00D25EF2"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В марте 1933 года с именем собственным «Известия ЦИК» Сталь-2 первым вошел в состав агитаци</w:t>
      </w:r>
      <w:r w:rsidRPr="0044524F">
        <w:rPr>
          <w:rFonts w:ascii="Times New Roman" w:hAnsi="Times New Roman"/>
          <w:color w:val="000000" w:themeColor="text1"/>
          <w:sz w:val="16"/>
          <w:szCs w:val="16"/>
          <w:lang w:eastAsia="ru-RU" w:bidi="ru-RU"/>
        </w:rPr>
        <w:softHyphen/>
        <w:t>онной эскадрильи имени М.Горького, которая была созда</w:t>
      </w:r>
      <w:r w:rsidRPr="0044524F">
        <w:rPr>
          <w:rFonts w:ascii="Times New Roman" w:hAnsi="Times New Roman"/>
          <w:color w:val="000000" w:themeColor="text1"/>
          <w:sz w:val="16"/>
          <w:szCs w:val="16"/>
          <w:lang w:eastAsia="ru-RU" w:bidi="ru-RU"/>
        </w:rPr>
        <w:softHyphen/>
        <w:t>на 22 марта 1933 года и действовала вплоть до 1939 го</w:t>
      </w:r>
      <w:r w:rsidRPr="0044524F">
        <w:rPr>
          <w:rFonts w:ascii="Times New Roman" w:hAnsi="Times New Roman"/>
          <w:color w:val="000000" w:themeColor="text1"/>
          <w:sz w:val="16"/>
          <w:szCs w:val="16"/>
          <w:lang w:eastAsia="ru-RU" w:bidi="ru-RU"/>
        </w:rPr>
        <w:softHyphen/>
        <w:t>да. Эскадрилья им. Горького была весьма необычным об</w:t>
      </w:r>
      <w:r w:rsidRPr="0044524F">
        <w:rPr>
          <w:rFonts w:ascii="Times New Roman" w:hAnsi="Times New Roman"/>
          <w:color w:val="000000" w:themeColor="text1"/>
          <w:sz w:val="16"/>
          <w:szCs w:val="16"/>
          <w:lang w:eastAsia="ru-RU" w:bidi="ru-RU"/>
        </w:rPr>
        <w:softHyphen/>
        <w:t>разованием, можно предположить, что даже само ее появление предназначалось для повышения значимости гражданского воздушного флота, а не только для агитаци</w:t>
      </w:r>
      <w:r w:rsidRPr="0044524F">
        <w:rPr>
          <w:rFonts w:ascii="Times New Roman" w:hAnsi="Times New Roman"/>
          <w:color w:val="000000" w:themeColor="text1"/>
          <w:sz w:val="16"/>
          <w:szCs w:val="16"/>
          <w:lang w:eastAsia="ru-RU" w:bidi="ru-RU"/>
        </w:rPr>
        <w:softHyphen/>
        <w:t>онных полетов (20365).</w:t>
      </w:r>
    </w:p>
    <w:p w14:paraId="50F2B9E0" w14:textId="77777777" w:rsidR="00D25EF2" w:rsidRPr="0044524F" w:rsidRDefault="00D25EF2" w:rsidP="009654CF">
      <w:pPr>
        <w:spacing w:after="0" w:line="240" w:lineRule="auto"/>
        <w:jc w:val="both"/>
        <w:rPr>
          <w:rFonts w:ascii="Times New Roman" w:hAnsi="Times New Roman"/>
          <w:color w:val="000000" w:themeColor="text1"/>
          <w:sz w:val="16"/>
          <w:szCs w:val="16"/>
        </w:rPr>
      </w:pPr>
    </w:p>
    <w:p w14:paraId="7BFB071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был готов проект безлонжеронки ХАИ С.И.Кузьмина и начали строить на ХАЗ, а затем в мастерских ХАИ (553,159).</w:t>
      </w:r>
    </w:p>
    <w:p w14:paraId="684C7F7B"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7D165750" w14:textId="77777777" w:rsidR="00AC244E" w:rsidRPr="00142305" w:rsidRDefault="00AC244E" w:rsidP="00AC244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марте 1933 года было принято решение о запуске «ХАИ-1» в серийное производство. Самолет представлял собой цельнодеревянный одномоторный свободнонесущий моноплан с низкорасположенным крылом, убирающимся шасси и классическим однокилевым оперением. Фюзеляж типа монокок с работающей обшивкой, которая была выполнена из березового шпона в несколько слоев, имел вытянутую цилиндрическую форму с овальным сечением.</w:t>
      </w:r>
    </w:p>
    <w:p w14:paraId="5D208335" w14:textId="77777777" w:rsidR="00AC244E" w:rsidRPr="00142305" w:rsidRDefault="00AC244E" w:rsidP="00AC244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Всего в разных сериях и на всех заводах было построено 43 самолета «ХАИ-1».</w:t>
      </w:r>
    </w:p>
    <w:p w14:paraId="43567EDE" w14:textId="77777777" w:rsidR="00AC244E" w:rsidRPr="00142305" w:rsidRDefault="00AC244E" w:rsidP="00AC244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 трассах Аэрофлота использование «ХАИ-1» началось в 1936 году и продолжалось при</w:t>
      </w:r>
      <w:r w:rsidRPr="00142305">
        <w:rPr>
          <w:rStyle w:val="aff"/>
          <w:rFonts w:ascii="Times New Roman" w:hAnsi="Times New Roman" w:cs="Times New Roman"/>
          <w:color w:val="0070C0"/>
          <w:spacing w:val="0"/>
          <w:sz w:val="16"/>
          <w:szCs w:val="16"/>
        </w:rPr>
        <w:softHyphen/>
        <w:t>мерно до конца 1940 года. Самолет успеш</w:t>
      </w:r>
      <w:r w:rsidRPr="00142305">
        <w:rPr>
          <w:rStyle w:val="aff"/>
          <w:rFonts w:ascii="Times New Roman" w:hAnsi="Times New Roman" w:cs="Times New Roman"/>
          <w:color w:val="0070C0"/>
          <w:spacing w:val="0"/>
          <w:sz w:val="16"/>
          <w:szCs w:val="16"/>
        </w:rPr>
        <w:softHyphen/>
        <w:t>но работал на линиях Москва - Киев - Сим</w:t>
      </w:r>
      <w:r w:rsidRPr="00142305">
        <w:rPr>
          <w:rStyle w:val="aff"/>
          <w:rFonts w:ascii="Times New Roman" w:hAnsi="Times New Roman" w:cs="Times New Roman"/>
          <w:color w:val="0070C0"/>
          <w:spacing w:val="0"/>
          <w:sz w:val="16"/>
          <w:szCs w:val="16"/>
        </w:rPr>
        <w:softHyphen/>
        <w:t>ферополь; Ростов - Краснодар; Москва (25744).</w:t>
      </w:r>
    </w:p>
    <w:p w14:paraId="684DD2BA" w14:textId="77777777" w:rsidR="00AC244E" w:rsidRPr="00142305" w:rsidRDefault="00AC244E" w:rsidP="00AC244E">
      <w:pPr>
        <w:spacing w:after="0" w:line="240" w:lineRule="auto"/>
        <w:jc w:val="both"/>
        <w:rPr>
          <w:rFonts w:ascii="Times New Roman" w:hAnsi="Times New Roman"/>
          <w:color w:val="0070C0"/>
          <w:sz w:val="16"/>
          <w:szCs w:val="16"/>
        </w:rPr>
      </w:pPr>
    </w:p>
    <w:p w14:paraId="59C38872"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ЦАГИ подписал договор со Всесоюзным комитетом на постройку АНТ-20 МГ (71,190).</w:t>
      </w:r>
    </w:p>
    <w:p w14:paraId="3D56536F"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33CB90E2"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на аэродром доставили МИ-3 2М-34, где почти еще месяц доводили моторное хозяйство (2310,143).</w:t>
      </w:r>
    </w:p>
    <w:p w14:paraId="2381F37D"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4B66BD8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состоялся первый полет ТБ-3 (АНТ-6) с М-34 (80,311).</w:t>
      </w:r>
    </w:p>
    <w:p w14:paraId="3F81C9F2"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712D23F3"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ТБ-4 6М-36 был отправлен на аэродром. В течение апреля-июня проводились работы по доводке самолетов и моторов - переделали стабилизатор, наладили моторное хозяйство, установили и отладили ЦЕС и оборудование, переделали капоты и коллекторы, переделали винты, изготовили радиаторы (2310,143).</w:t>
      </w:r>
    </w:p>
    <w:p w14:paraId="6BC915B7"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1C52F1D0"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УВВС признало работу по второму экземпляру АНТ-16, он же АНТ-16бис и ТБ-4бис первоочередной, но уже 2 июля,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(12024).</w:t>
      </w:r>
    </w:p>
    <w:p w14:paraId="3513746E"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46667ED2"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УВВС признало эту работу первоочередной, но уже 2 июля,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(12036).</w:t>
      </w:r>
    </w:p>
    <w:p w14:paraId="651C167A"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437A6163" w14:textId="77777777" w:rsidR="00AC244E" w:rsidRPr="00142305" w:rsidRDefault="00AC244E" w:rsidP="00AC24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1933 г. УВВС признало эту работу над АНТ- 16бис - ТБ-4бис.первоочередной, но уже 2 июля, за день до первого полета пер</w:t>
      </w:r>
      <w:r w:rsidRPr="00142305">
        <w:rPr>
          <w:rFonts w:ascii="Times New Roman" w:hAnsi="Times New Roman"/>
          <w:color w:val="0070C0"/>
          <w:sz w:val="16"/>
          <w:szCs w:val="16"/>
        </w:rPr>
        <w:softHyphen/>
        <w:t>вого опытного образца, ЦАГГИ получил распоряжение приостановить сборку узлов. По-видимому, многое уже сделанные части этого самолета использовали потом для самолета АНТ-20 (24977).</w:t>
      </w:r>
    </w:p>
    <w:p w14:paraId="48F6E383" w14:textId="77777777" w:rsidR="00AC244E" w:rsidRPr="00142305" w:rsidRDefault="00AC244E" w:rsidP="00AC244E">
      <w:pPr>
        <w:spacing w:after="0" w:line="240" w:lineRule="auto"/>
        <w:jc w:val="both"/>
        <w:rPr>
          <w:rFonts w:ascii="Times New Roman" w:hAnsi="Times New Roman"/>
          <w:color w:val="0070C0"/>
          <w:sz w:val="16"/>
          <w:szCs w:val="16"/>
        </w:rPr>
      </w:pPr>
    </w:p>
    <w:p w14:paraId="01973E82" w14:textId="77777777" w:rsidR="00746843" w:rsidRPr="0044524F" w:rsidRDefault="00746843"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НИИ ВВС предложил ЦАГИ заменить на ТБ-6 М-34 на перспективные и в дальнейшем проектировали под М-34ФРН (7425, 20).</w:t>
      </w:r>
    </w:p>
    <w:p w14:paraId="2245C231" w14:textId="77777777" w:rsidR="00746843" w:rsidRPr="0044524F" w:rsidRDefault="00746843" w:rsidP="009654CF">
      <w:pPr>
        <w:tabs>
          <w:tab w:val="left" w:pos="360"/>
        </w:tabs>
        <w:spacing w:after="0" w:line="240" w:lineRule="auto"/>
        <w:jc w:val="both"/>
        <w:rPr>
          <w:rFonts w:ascii="Times New Roman" w:hAnsi="Times New Roman"/>
          <w:color w:val="000000" w:themeColor="text1"/>
          <w:sz w:val="16"/>
          <w:szCs w:val="16"/>
        </w:rPr>
      </w:pPr>
    </w:p>
    <w:p w14:paraId="693797C8" w14:textId="77777777" w:rsidR="00746843" w:rsidRPr="0044524F" w:rsidRDefault="0074684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начальник ВВС РККА Я.И.Алкснис в приказе обязал начальника штаба ВВС перенести часть боевой подготовки с Р-1 и Р-5 на У-2ВС.</w:t>
      </w:r>
    </w:p>
    <w:p w14:paraId="14C6D207" w14:textId="77777777" w:rsidR="00746843" w:rsidRPr="0044524F" w:rsidRDefault="0074684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основных отличий У-2ВС от У-2:</w:t>
      </w:r>
    </w:p>
    <w:p w14:paraId="2A7403C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На левом борту вблизи передней кабины установ</w:t>
      </w:r>
      <w:r w:rsidRPr="0044524F">
        <w:rPr>
          <w:rFonts w:ascii="Times New Roman" w:hAnsi="Times New Roman"/>
          <w:color w:val="000000" w:themeColor="text1"/>
          <w:sz w:val="16"/>
          <w:szCs w:val="16"/>
        </w:rPr>
        <w:softHyphen/>
        <w:t>лен пулемет ПВ-1 с синхронизатором.</w:t>
      </w:r>
    </w:p>
    <w:p w14:paraId="3FC29E39" w14:textId="77777777" w:rsidR="00746843" w:rsidRPr="0044524F" w:rsidRDefault="0074684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борту прорезаны окна для ввода ленты в пуле</w:t>
      </w:r>
      <w:r w:rsidRPr="0044524F">
        <w:rPr>
          <w:rFonts w:ascii="Times New Roman" w:hAnsi="Times New Roman"/>
          <w:color w:val="000000" w:themeColor="text1"/>
          <w:sz w:val="16"/>
          <w:szCs w:val="16"/>
        </w:rPr>
        <w:softHyphen/>
        <w:t>мет, кожуха для сбора гильз и звеньев, для втулки под</w:t>
      </w:r>
      <w:r w:rsidRPr="0044524F">
        <w:rPr>
          <w:rFonts w:ascii="Times New Roman" w:hAnsi="Times New Roman"/>
          <w:color w:val="000000" w:themeColor="text1"/>
          <w:sz w:val="16"/>
          <w:szCs w:val="16"/>
        </w:rPr>
        <w:softHyphen/>
        <w:t>вода троса к гашетке.</w:t>
      </w:r>
    </w:p>
    <w:p w14:paraId="283CC6E0" w14:textId="77777777" w:rsidR="00746843" w:rsidRPr="0044524F" w:rsidRDefault="0074684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 козырьке кабины со смещением влево установ</w:t>
      </w:r>
      <w:r w:rsidRPr="0044524F">
        <w:rPr>
          <w:rFonts w:ascii="Times New Roman" w:hAnsi="Times New Roman"/>
          <w:color w:val="000000" w:themeColor="text1"/>
          <w:sz w:val="16"/>
          <w:szCs w:val="16"/>
        </w:rPr>
        <w:softHyphen/>
        <w:t>лен прицел,</w:t>
      </w:r>
    </w:p>
    <w:p w14:paraId="3EA654DE" w14:textId="77777777" w:rsidR="00746843" w:rsidRPr="0044524F" w:rsidRDefault="0074684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передней кабине на левом борту установлены па</w:t>
      </w:r>
      <w:r w:rsidRPr="0044524F">
        <w:rPr>
          <w:rFonts w:ascii="Times New Roman" w:hAnsi="Times New Roman"/>
          <w:color w:val="000000" w:themeColor="text1"/>
          <w:sz w:val="16"/>
          <w:szCs w:val="16"/>
        </w:rPr>
        <w:softHyphen/>
        <w:t>тронный ящик и ящик для сбора звеньев и гильз.</w:t>
      </w:r>
    </w:p>
    <w:p w14:paraId="0E12AC28" w14:textId="77777777" w:rsidR="00746843" w:rsidRPr="0044524F" w:rsidRDefault="0074684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 задней кабине установлена турель с пулеметом.</w:t>
      </w:r>
    </w:p>
    <w:p w14:paraId="7D633665" w14:textId="77777777" w:rsidR="00746843" w:rsidRPr="0044524F" w:rsidRDefault="0074684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На борту задней кабины размещены кассеты для крепления пулеметных дисков.</w:t>
      </w:r>
    </w:p>
    <w:p w14:paraId="622AC5EA" w14:textId="77777777" w:rsidR="00746843" w:rsidRPr="0044524F" w:rsidRDefault="0074684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Установлен бомбардировочный прицел НВ-5бис.</w:t>
      </w:r>
    </w:p>
    <w:p w14:paraId="1DF77A5A" w14:textId="77777777" w:rsidR="00746843" w:rsidRPr="0044524F" w:rsidRDefault="0074684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Указанные доработки привели к увеличению веса на 140 кг, скороподъемность снизилась на 2%, потолок - до 2160 м, устойчивость и управляемость не изменились. Максимальная скорость уменьшилась до 137 км/ч у зем</w:t>
      </w:r>
      <w:r w:rsidRPr="0044524F">
        <w:rPr>
          <w:rFonts w:ascii="Times New Roman" w:hAnsi="Times New Roman"/>
          <w:color w:val="000000" w:themeColor="text1"/>
          <w:sz w:val="16"/>
          <w:szCs w:val="16"/>
        </w:rPr>
        <w:softHyphen/>
        <w:t>ли (у исходного У-2 она составляла 152-158 км/ч). Раз</w:t>
      </w:r>
      <w:r w:rsidRPr="0044524F">
        <w:rPr>
          <w:rFonts w:ascii="Times New Roman" w:hAnsi="Times New Roman"/>
          <w:color w:val="000000" w:themeColor="text1"/>
          <w:sz w:val="16"/>
          <w:szCs w:val="16"/>
        </w:rPr>
        <w:softHyphen/>
        <w:t>бег возрос до 180 м, пробег - до 120 м.</w:t>
      </w:r>
    </w:p>
    <w:p w14:paraId="3A1D881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 сделанным оценкам ориентировочная годовая экономия при использовании У-2ВС равнялась 1412 тыс. рублей (10667).</w:t>
      </w:r>
    </w:p>
    <w:p w14:paraId="19FAB971"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42A8EAC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было внесено предложение установить внутрифюзеляжные бомбодержатели для вертикальной подвески бомб калибром 50-100 кг. На Р-5. Образцы их хотели приобрести у французской фирмы "Алькан". По-видимому, от этой идеи опять отказались по соображениям экономии. Внутренние же кассеты для мелких бомб наши конструкторы позднее создали самостоятельно, но на серийных Р-5 их не ставили (12034).</w:t>
      </w:r>
    </w:p>
    <w:p w14:paraId="6543E67A"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241DB0B6" w14:textId="77777777" w:rsidR="00AC244E" w:rsidRPr="00142305" w:rsidRDefault="00AC244E" w:rsidP="00AC24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I933 г. было внесено предложение установить на Р-5 внутрифюзеляжные бомбодержатели для вертикальной подвески бомб калибром 50—100 кг. Образцы их хотели приобрес</w:t>
      </w:r>
      <w:r w:rsidRPr="00142305">
        <w:rPr>
          <w:rFonts w:ascii="Times New Roman" w:hAnsi="Times New Roman"/>
          <w:color w:val="0070C0"/>
          <w:sz w:val="16"/>
          <w:szCs w:val="16"/>
        </w:rPr>
        <w:softHyphen/>
        <w:t>ти у французской фирмы «Алькан». По-видимому, от этой идеи опять отказались по соображениям экономии. Внут</w:t>
      </w:r>
      <w:r w:rsidRPr="00142305">
        <w:rPr>
          <w:rFonts w:ascii="Times New Roman" w:hAnsi="Times New Roman"/>
          <w:color w:val="0070C0"/>
          <w:sz w:val="16"/>
          <w:szCs w:val="16"/>
        </w:rPr>
        <w:softHyphen/>
        <w:t>ренние же кассеты для мелких бомб наши конструкторы позднее создали самостоятельно, но на серийных Р-5 их не ставили (24990).</w:t>
      </w:r>
    </w:p>
    <w:p w14:paraId="2211028C" w14:textId="77777777" w:rsidR="00AC244E" w:rsidRPr="00142305" w:rsidRDefault="00AC244E" w:rsidP="00AC244E">
      <w:pPr>
        <w:spacing w:after="0" w:line="240" w:lineRule="auto"/>
        <w:jc w:val="both"/>
        <w:rPr>
          <w:rFonts w:ascii="Times New Roman" w:hAnsi="Times New Roman"/>
          <w:color w:val="0070C0"/>
          <w:sz w:val="16"/>
          <w:szCs w:val="16"/>
        </w:rPr>
      </w:pPr>
    </w:p>
    <w:p w14:paraId="78EDBEC4" w14:textId="77777777" w:rsidR="00746843" w:rsidRPr="0044524F" w:rsidRDefault="00746843"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годае в НИИ ВС была рассмотрена схема транспортного самолета ТС-1 Можаева с объяснительной запиской Алкснису и было вынесено решение о представлении дополнительного материала в части касающейся аэродинамического расчета и продувок (4213)..</w:t>
      </w:r>
    </w:p>
    <w:p w14:paraId="53BC6D5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года предъявленный эталон А1-М11 амфибия был отклонен НИИ ВВС вследствие наличия многих дефектов (3516).</w:t>
      </w:r>
    </w:p>
    <w:p w14:paraId="7EBBCAD1"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0560ABD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начальник Военно-морских сил РККА Орлов отстаивал покупку S.55 вместо внедрения в производство технологически сложных и дорогих цельнометаллических лодок конструкции А.Н.Туполева. Но сделка не состоялась - денег флоту не дали (5686,2). Зато Гражданский воздушный флот (ГВФ) обзавелся небольшой партией S.55 и эксплуатировал их несколько лет. Посещение заводов SIAI и ФИАТ было включено в программу работы комиссии Силина, отправленной за рубеж в 1931 г. В документах об этой загранкомандировке прямо записано, что комиссия «должна выбрать тип гидросамолета, пригодный для работы в наших условиях.». В конечном счете выбор отправившихся за рубеж специалистов пал на S.55 и в 1932 г. заключили договор о поставке в следующем году пяти самолетов. Первоначально речь шла о шести, но затем количество сократили, видимо, по финансовым соображениям. Машины должны были получить большинство усовершенствований, внесенных на новейшей тогда модификации S.55X - лодки измененных очертаний, зализы на стыках, мощные моторы ASSO 750 (880/940 л.с.). Вместе с тем предполагалось оборудование пассажирских салонов в обеих лодках по типу более ранней гражданской модификации S.55P (5486,2).</w:t>
      </w:r>
    </w:p>
    <w:p w14:paraId="68AC1603"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7573F16C" w14:textId="77777777" w:rsidR="00AC244E" w:rsidRPr="00142305" w:rsidRDefault="00AC244E" w:rsidP="00AC24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1933 г. на</w:t>
      </w:r>
      <w:r w:rsidRPr="00142305">
        <w:rPr>
          <w:rFonts w:ascii="Times New Roman" w:hAnsi="Times New Roman"/>
          <w:color w:val="0070C0"/>
          <w:sz w:val="16"/>
          <w:szCs w:val="16"/>
        </w:rPr>
        <w:softHyphen/>
        <w:t>чальник Военно-морских сил В.М. Орлов отстаивал покупку S.55 вместо внедрения в производство технологически сложных и дорогих цельнометаллических лодок конструкции А.Н. Туполева. Но сделка не состоялась - валюты не дали.</w:t>
      </w:r>
    </w:p>
    <w:p w14:paraId="7C01A176" w14:textId="77777777" w:rsidR="00AC244E" w:rsidRPr="00142305" w:rsidRDefault="00AC244E" w:rsidP="00AC24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Зато ГВФ обзавелся небольшой партией пассажирских машин. Посещение италь</w:t>
      </w:r>
      <w:r w:rsidRPr="00142305">
        <w:rPr>
          <w:rFonts w:ascii="Times New Roman" w:hAnsi="Times New Roman"/>
          <w:color w:val="0070C0"/>
          <w:sz w:val="16"/>
          <w:szCs w:val="16"/>
        </w:rPr>
        <w:softHyphen/>
        <w:t>янских заводов включили в программу заграничной поездки комиссии во главе с И.С. Силиным, отправленной из Москвы в 1931 г. В документах об этой командиров</w:t>
      </w:r>
      <w:r w:rsidRPr="00142305">
        <w:rPr>
          <w:rFonts w:ascii="Times New Roman" w:hAnsi="Times New Roman"/>
          <w:color w:val="0070C0"/>
          <w:sz w:val="16"/>
          <w:szCs w:val="16"/>
        </w:rPr>
        <w:softHyphen/>
        <w:t>ке прямо записано, что комиссия «должна выбрать тип гидросамолета, пригодный для работы в наших условиях».</w:t>
      </w:r>
    </w:p>
    <w:p w14:paraId="659C14FD" w14:textId="77777777" w:rsidR="00AC244E" w:rsidRPr="00142305" w:rsidRDefault="00AC244E" w:rsidP="00AC24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конечном итоге выбор отправив</w:t>
      </w:r>
      <w:r w:rsidRPr="00142305">
        <w:rPr>
          <w:rFonts w:ascii="Times New Roman" w:hAnsi="Times New Roman"/>
          <w:color w:val="0070C0"/>
          <w:sz w:val="16"/>
          <w:szCs w:val="16"/>
        </w:rPr>
        <w:softHyphen/>
        <w:t>шихся за границу специалистов пал на S.55. В следующем году с итальянцами заключили договор о поставке в 1933 г. пяти машин. Первоначально речь шла о шести, но затем количество сократили, видимо, по финансовым соображениям. На этих гидропланах намеревались внед</w:t>
      </w:r>
      <w:r w:rsidRPr="00142305">
        <w:rPr>
          <w:rFonts w:ascii="Times New Roman" w:hAnsi="Times New Roman"/>
          <w:color w:val="0070C0"/>
          <w:sz w:val="16"/>
          <w:szCs w:val="16"/>
        </w:rPr>
        <w:softHyphen/>
        <w:t>рить большинство усовершенствований, внесенных на S.55X: измененные очерта</w:t>
      </w:r>
      <w:r w:rsidRPr="00142305">
        <w:rPr>
          <w:rFonts w:ascii="Times New Roman" w:hAnsi="Times New Roman"/>
          <w:color w:val="0070C0"/>
          <w:sz w:val="16"/>
          <w:szCs w:val="16"/>
        </w:rPr>
        <w:softHyphen/>
        <w:t>ния лодок, закрытый фонарь пилотской кабины и зализы. Пассажирские салоны оборудовались по типу S.55P на 11 мест, в правой лодке размещалась радиорубка.</w:t>
      </w:r>
    </w:p>
    <w:p w14:paraId="2FDE281F" w14:textId="77777777" w:rsidR="00AC244E" w:rsidRPr="00142305" w:rsidRDefault="00AC244E" w:rsidP="00AC24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Тип двигателей выбрали не сразу. Италь</w:t>
      </w:r>
      <w:r w:rsidRPr="00142305">
        <w:rPr>
          <w:rFonts w:ascii="Times New Roman" w:hAnsi="Times New Roman"/>
          <w:color w:val="0070C0"/>
          <w:sz w:val="16"/>
          <w:szCs w:val="16"/>
        </w:rPr>
        <w:softHyphen/>
        <w:t>янцы предложили несколько моторов, из которых советские специалисты на</w:t>
      </w:r>
      <w:r w:rsidRPr="00142305">
        <w:rPr>
          <w:rFonts w:ascii="Times New Roman" w:hAnsi="Times New Roman"/>
          <w:color w:val="0070C0"/>
          <w:sz w:val="16"/>
          <w:szCs w:val="16"/>
        </w:rPr>
        <w:softHyphen/>
        <w:t>иболее благосклонно отнеслись к редук</w:t>
      </w:r>
      <w:r w:rsidRPr="00142305">
        <w:rPr>
          <w:rFonts w:ascii="Times New Roman" w:hAnsi="Times New Roman"/>
          <w:color w:val="0070C0"/>
          <w:sz w:val="16"/>
          <w:szCs w:val="16"/>
        </w:rPr>
        <w:softHyphen/>
        <w:t>торным FIAT A.24R. Рассматривались и отечественные М-17 и М-34. Последние были немного мощнее итальянских, но отсутствие на них тогда редукторов при малой скорости полета S.55 приводило к малому к.п.д. винтов. Наконец решили взять Asso 750 - такие же, как на уже закупленных в Италии летающих лодках S.62bis (у нас именовались С-62Б). Мото</w:t>
      </w:r>
      <w:r w:rsidRPr="00142305">
        <w:rPr>
          <w:rFonts w:ascii="Times New Roman" w:hAnsi="Times New Roman"/>
          <w:color w:val="0070C0"/>
          <w:sz w:val="16"/>
          <w:szCs w:val="16"/>
        </w:rPr>
        <w:softHyphen/>
        <w:t>установка выполнялась подобной S.55X, с частичным капотированием двигателей, трехлопастными металлическими про</w:t>
      </w:r>
      <w:r w:rsidRPr="00142305">
        <w:rPr>
          <w:rFonts w:ascii="Times New Roman" w:hAnsi="Times New Roman"/>
          <w:color w:val="0070C0"/>
          <w:sz w:val="16"/>
          <w:szCs w:val="16"/>
        </w:rPr>
        <w:softHyphen/>
        <w:t>пеллерами и коками на втулках винтов. Тем не менее, итальянские источники относят машины советского заказа к мо</w:t>
      </w:r>
      <w:r w:rsidRPr="00142305">
        <w:rPr>
          <w:rFonts w:ascii="Times New Roman" w:hAnsi="Times New Roman"/>
          <w:color w:val="0070C0"/>
          <w:sz w:val="16"/>
          <w:szCs w:val="16"/>
        </w:rPr>
        <w:softHyphen/>
        <w:t>дификации Р (24944).</w:t>
      </w:r>
    </w:p>
    <w:p w14:paraId="78B5EA8D" w14:textId="77777777" w:rsidR="00AC244E" w:rsidRPr="00142305" w:rsidRDefault="00AC244E" w:rsidP="00AC244E">
      <w:pPr>
        <w:spacing w:after="0" w:line="240" w:lineRule="auto"/>
        <w:jc w:val="both"/>
        <w:rPr>
          <w:rFonts w:ascii="Times New Roman" w:hAnsi="Times New Roman"/>
          <w:color w:val="0070C0"/>
          <w:sz w:val="16"/>
          <w:szCs w:val="16"/>
        </w:rPr>
      </w:pPr>
    </w:p>
    <w:p w14:paraId="414B69B8" w14:textId="77777777" w:rsidR="00D25EF2" w:rsidRPr="0044524F" w:rsidRDefault="00D25E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на заводе № 31 уже приступили к подготовке серийного производства новой модификации МБР-4, используя чертежи, присланные из ЦАГИ (21410).</w:t>
      </w:r>
    </w:p>
    <w:p w14:paraId="05238D6A" w14:textId="77777777" w:rsidR="00D25EF2" w:rsidRPr="0044524F" w:rsidRDefault="00D25EF2" w:rsidP="009654CF">
      <w:pPr>
        <w:spacing w:after="0" w:line="240" w:lineRule="auto"/>
        <w:jc w:val="both"/>
        <w:rPr>
          <w:rFonts w:ascii="Times New Roman" w:hAnsi="Times New Roman"/>
          <w:color w:val="000000" w:themeColor="text1"/>
          <w:sz w:val="16"/>
          <w:szCs w:val="16"/>
        </w:rPr>
      </w:pPr>
    </w:p>
    <w:p w14:paraId="2CD56DE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пришло распоряжение ГУАП строить на заводе № 125 МДР-4 по чертежам таганрогского завода №31, а поставку чертежей обещали начать лишь в мае, да и то начинать предлагалось с оперения, затем строить поплавки, центроплан и только к 1 июля обещали прислать чертежи на саму лодку и крыло. Последние чертежи - вооружение и оборудование намеревались передать в Иркутск только в августе. Но 31 -й завод сам был в сложном положении, поскольку ЦАГИ постоянно вносил изменения в чертежи и испытания первого опытного самолета начались только в марте 1934 г. 16 апреля МДР-4 потерпел катастрофу, в которой погибли начальник морской бригады КОСОС ЦАГИ И.И.Погосский и летчик испытатель Иванов. Вторая машина вышла на испытания в октябре, но и ее постигла трагедия - в сентябре 1935 г. в полете на ней стала вспучиваться обшивка крыла, экипаж начал экстренное снижение и сумел посадить аварийный самолет, и, когда казалось самое неприятное было уже позади, машина наскочила на скалу и сгорела от начавшегося пожара (12037).</w:t>
      </w:r>
    </w:p>
    <w:p w14:paraId="12E6C1BE"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39A342AE"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была подготовлена Сводка о выполнении решений КО.</w:t>
      </w:r>
    </w:p>
    <w:p w14:paraId="4741F0F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Постановление СТО за N 538/177сс от 16.05.32 г., N 1153-345сс - 14.11.32 г. и N 158 - 25.07.31 г.</w:t>
      </w:r>
    </w:p>
    <w:p w14:paraId="47C51E53"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Заключить договор Глававиапрому на техническую помощь с Американской фирмой "Райт-Кертис" - взяв в основу мотор воздушного охлаждения "Райт-Циклон" новейшей конструкции, а по водяному охлаждению новейший образец мотора "Кертис-Конкверер" с нагнетателем и редуктором.</w:t>
      </w:r>
    </w:p>
    <w:p w14:paraId="702928A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по закупке образцов моторов и самолетов.</w:t>
      </w:r>
    </w:p>
    <w:p w14:paraId="7609419E"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закуплены:</w:t>
      </w:r>
    </w:p>
    <w:p w14:paraId="5C27380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1 авиадизель мотор "Мерседес-Бенц" - 16/50 НР.</w:t>
      </w:r>
    </w:p>
    <w:p w14:paraId="679CE7C3"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2 авиадизель мотора "ЮМО-4" - 720 НР.</w:t>
      </w:r>
    </w:p>
    <w:p w14:paraId="09741CC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1 авиадизель мотор "Даймлер-Бенц" - 700/750НР.</w:t>
      </w:r>
    </w:p>
    <w:p w14:paraId="4680B83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2 авиамотора "Райт-Циклон" 1820 2" - 725 НР.</w:t>
      </w:r>
    </w:p>
    <w:p w14:paraId="5327D91E"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2 авиамотора "Райт-Циклон" 1820 3" - 650 НР.</w:t>
      </w:r>
    </w:p>
    <w:p w14:paraId="3AC1242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3 авиамотора "Суперконкверер" фирмы Кертис 600 НР.</w:t>
      </w:r>
    </w:p>
    <w:p w14:paraId="1E948DE3"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2 авиамотора "Роллс-Ройс" "Кестрел 2" 480 НР.</w:t>
      </w:r>
    </w:p>
    <w:p w14:paraId="44140D43"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3 мотора "Бристоль" "Меркур IV 2" - 620/650 НР.</w:t>
      </w:r>
    </w:p>
    <w:p w14:paraId="504DAE5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1 мотор "Армстронг Сиддлей" "Тигр" - 590 НР.</w:t>
      </w:r>
    </w:p>
    <w:p w14:paraId="4F2601C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1 самолет "Ферри" "Фарфляй" - истребитель с мотором "Кестрел".</w:t>
      </w:r>
    </w:p>
    <w:p w14:paraId="001EA4F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переговорам с Кертис-Райт по приобретению лицензии и техпомощи на два мотора Циклон 725 НР и Конкверер, около 650 НР - можно ожидать, что в ближайшее время договор будет подписан (3082).</w:t>
      </w:r>
    </w:p>
    <w:p w14:paraId="32AAFBE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Постановление СТО N 158 от 25.07.31 г. - о реализации договора с итальянской фирмой "Фиат".</w:t>
      </w:r>
    </w:p>
    <w:p w14:paraId="648FCAC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Договор заключен 6.09.32 г. по оказанию техпомощи на постройку (и проектирование) Центрального литейного завода и реконструкцию литейных заводов NN 26 и 24. (3082).</w:t>
      </w:r>
    </w:p>
    <w:p w14:paraId="7B62288C"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7FBA8C4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в Генштабе РККА рассматривал вопрос о гидроавиации и решили, что его "необходимо выдвинуть на первый план не за счет заграничных закупок, в путем постройки заводов и создания новых конструкций гидросамолетов" (2555,14).</w:t>
      </w:r>
    </w:p>
    <w:p w14:paraId="32A45EBA"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66D2E4C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году в завод Авиаприбор был переведен в новые корпуса в Кутузовской слободе. На старой площадке были оставлены все прочие виды продукции, на которой продолжало функционировать производство под названием завод «ДИЗПРИБОР».</w:t>
      </w:r>
    </w:p>
    <w:p w14:paraId="43A0878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1936 году заводу был присвоен № 213. В 1937 году бывш. директор завода Грицов был освобожден от занимаемой должности. Гл. конструктор – Шехтман М.А. С 1937 года директором был назначен Малахов Ф. 13 февраля 1938 года приказом НКОП Малахов был освобожден от занимаемой должности. С февраля 1938 года директором назначен Михайлов К.И. В ноябре 1940 года гл. конструктором был назначен Антипов Е.Ф. Во второй половине 1941 года после начала ВОВ завод № 213 был эвакуирован в Энгельс и размещен на промплощадке Мясокомбината в недостроенных корпусах, расположенного в 12 км от Энгельса. К 15 февраля 1942 года завод был введен в действующие предприятия и начал производить нормальный выпуск авиаприборов. В апреле 1942 года директором завода был назначен Березин М.Д. В апреле 1944 года директором завода был назначен Гоцеридзе М.С. С января 1945 года – директор Кочеров П.П.</w:t>
      </w:r>
    </w:p>
    <w:p w14:paraId="007B4372"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Решением Правительства в мае 1943 года было переведено в Москву манометрическое производство на ныне действующий завод № 133. В августе 1944 года Постановлением Правительства было выделено КБ во главе с конструктором Антиповым Е.Ф. и перебазировано в Москву на территорию завода № 122, а также частично переброшено производство гироскопических приборов.</w:t>
      </w:r>
    </w:p>
    <w:p w14:paraId="13D72F4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целях освобождения промплощадки Мясокомбинату распоряжением СНК от 3 декабря 1945 года за № 1737рс и последующим приказом НКАП от 28 января 1946 года за № 21с, завод № 213 из Энгельса подлежал перебазировке в Саратов на промплощадку бывш. деревообделочного завода № 167 НКАП. В конце 1941 года Мебельный завод № 2 был присоединен к заводу № 292 в качестве его филиала и перешел на изготовление деревянных лыж и винтов для самолетов. В 1942 году на эту промплощадку был перебазирован завод № 167, изготовлявший деревянные винты, лыжи и прочие деревянные детали для самолетов.</w:t>
      </w:r>
    </w:p>
    <w:p w14:paraId="413C84F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213 должен был специализироваться на выпуске авиационных приборов, согласно проектного задания, гироскопических и манометрических приборов.</w:t>
      </w:r>
    </w:p>
    <w:p w14:paraId="49C6C1F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СМ от 29 мая 1951 года № 1337-379сс и приказом МАП за № 935сс от 4 сентября 1951 года филиал завода № 213, расположенный на промплощадке Мясокомбината в Энгельсе организован новый завод № 878.</w:t>
      </w:r>
    </w:p>
    <w:p w14:paraId="690C70B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МАП № 935сс от 4 сентября 1951 года завод № 213 обязывался передать все манометрические изделия, выпускаемые заводом, а на промплощадке завода в Саратове внедрить новые гироскопические изделия и специализироваться по гироскопическим авиационным изделиям. 4 сентября 1951 года директором завода был назначен Смирнов Е.М.</w:t>
      </w:r>
    </w:p>
    <w:p w14:paraId="1D4D98C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 Смирнов</w:t>
      </w:r>
    </w:p>
    <w:p w14:paraId="44EA611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Адрес: Саратов 5, п/я 176, Б. Садовая, д. 239</w:t>
      </w:r>
    </w:p>
    <w:p w14:paraId="6E9B403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Производственный профиль – авиаприборостроение, гироскопическое-ракетное (9837).</w:t>
      </w:r>
    </w:p>
    <w:p w14:paraId="54FB52CC"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48A44DA0"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на Черном море начались испытания АНТ-5, завершившие</w:t>
      </w:r>
      <w:r w:rsidRPr="0044524F">
        <w:rPr>
          <w:rFonts w:ascii="Times New Roman" w:hAnsi="Times New Roman"/>
          <w:color w:val="000000" w:themeColor="text1"/>
          <w:sz w:val="16"/>
          <w:szCs w:val="16"/>
        </w:rPr>
        <w:softHyphen/>
        <w:t>ся 1 августа 1934 г. подписанием акта, где были отмечены "высо</w:t>
      </w:r>
      <w:r w:rsidRPr="0044524F">
        <w:rPr>
          <w:rFonts w:ascii="Times New Roman" w:hAnsi="Times New Roman"/>
          <w:color w:val="000000" w:themeColor="text1"/>
          <w:sz w:val="16"/>
          <w:szCs w:val="16"/>
        </w:rPr>
        <w:softHyphen/>
        <w:t>кие тактические качества принятого глиссера". Обводы АНТ-5 в основном повторяли АНТ-4 с увеличением длины корпуса на 460 мм. Улучшение конструкции свелось к уст</w:t>
      </w:r>
      <w:r w:rsidRPr="0044524F">
        <w:rPr>
          <w:rFonts w:ascii="Times New Roman" w:hAnsi="Times New Roman"/>
          <w:color w:val="000000" w:themeColor="text1"/>
          <w:sz w:val="16"/>
          <w:szCs w:val="16"/>
        </w:rPr>
        <w:softHyphen/>
        <w:t>ранению мелких недостатков и более эффективному предотвраще</w:t>
      </w:r>
      <w:r w:rsidRPr="0044524F">
        <w:rPr>
          <w:rFonts w:ascii="Times New Roman" w:hAnsi="Times New Roman"/>
          <w:color w:val="000000" w:themeColor="text1"/>
          <w:sz w:val="16"/>
          <w:szCs w:val="16"/>
        </w:rPr>
        <w:softHyphen/>
        <w:t>нию коррозии дюралевого корпуса. В то же время на катер при</w:t>
      </w:r>
      <w:r w:rsidRPr="0044524F">
        <w:rPr>
          <w:rFonts w:ascii="Times New Roman" w:hAnsi="Times New Roman"/>
          <w:color w:val="000000" w:themeColor="text1"/>
          <w:sz w:val="16"/>
          <w:szCs w:val="16"/>
        </w:rPr>
        <w:softHyphen/>
        <w:t>шлось установить итальянские авиационные моторы "Изотта-Фраскини" мощностью по 1000 л. с. вместо предполагавшихся 600-сильных "Райт-тайфун". Это позволило достичь очень высокой скорости — 65,3 уз без нагрузки и 58 уз в полном грузу, но привело к серьезным изменениям конструкции при организации серийной постройки (3898).</w:t>
      </w:r>
    </w:p>
    <w:p w14:paraId="6242D415"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38CF051E"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марте 1933 г. Советское правительство, давая заказ на первую крупную партию пулеметов и учитывая, что при всех достоинствах пулеметов системы ШКАС их первые выпуски, изготовленные по чертежам опытного образца, имели недостаточную живучесть - около 1500- 2000 выстрелов, предложило конструкторам повысить их живучесть, доведя ее до 5000 выстрелов. </w:t>
      </w:r>
    </w:p>
    <w:p w14:paraId="7904216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Задание правительства было выполнено в короткие сроки, и в апреле 1933 г. Шпитальный и Комарицкий представили образец, который отличался от своего предшественника не только лучшей живучестью, но и некоторыми изменениями, положительно сказавшимися на простоте конструкции пулемета. В новой модели была существенно изменена ее основная деталь - коробка, введены пять новых деталей вместо тринадцати упраздненных. Эти переделки повлекли за собой значительное количество изменений размеров и допусков сопряженных деталей (11316).</w:t>
      </w:r>
    </w:p>
    <w:p w14:paraId="2E82F7B0"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7164F17A" w14:textId="77777777" w:rsidR="00746843" w:rsidRPr="0044524F" w:rsidRDefault="00746843" w:rsidP="009654CF">
      <w:pPr>
        <w:pStyle w:val="a3"/>
        <w:rPr>
          <w:color w:val="000000" w:themeColor="text1"/>
          <w:lang w:val="ru-RU"/>
        </w:rPr>
      </w:pPr>
      <w:r w:rsidRPr="0044524F">
        <w:rPr>
          <w:color w:val="000000" w:themeColor="text1"/>
          <w:lang w:val="ru-RU"/>
        </w:rPr>
        <w:t>В марте1933 г. первый образец АПК-11 был передан в ЦАГИ (12091).</w:t>
      </w:r>
    </w:p>
    <w:p w14:paraId="4890CDA8" w14:textId="77777777" w:rsidR="00746843" w:rsidRPr="0044524F" w:rsidRDefault="00746843" w:rsidP="009654CF">
      <w:pPr>
        <w:pStyle w:val="a3"/>
        <w:rPr>
          <w:color w:val="000000" w:themeColor="text1"/>
          <w:lang w:val="ru-RU"/>
        </w:rPr>
      </w:pPr>
    </w:p>
    <w:p w14:paraId="762E7514"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в г. Балашове Саратовской области был создан «Ремонтный завод № 88 Гражданского воздушного флота» (ГВФ) с задачей ремонта самолетов и моторов для нужд народного хозяйства и спецавтотранспорта для аэродромного обслуживания.</w:t>
      </w:r>
    </w:p>
    <w:p w14:paraId="6F4E724E"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1939 Решением Государственного Комитета Обороны СССР «Ремонтный завод № 88 ГВФ» передан в Наркомат Обороны Красной Армии и получает наименование «Балашовские авиационные мастерские» с задачей ремонта самолетов, авиамоторов, спецатотранспорта для нужд Военно-Воздушных Сил Красной Армии. В годы Великой Отечественной войны 1941-1945 гг. Балашовские авиамоторные мастерские выполняли боевую задачу по ремонту самолетов, авиамоторов для фронтовых полков и летных училищ. В марте 1943 «Балашовские стационарные авиаремонтные мастерские» выведены из состава действующих Армий и получили наименование «401 Центральная авиационная ремонтная база ВВС Красной Армии».</w:t>
      </w:r>
    </w:p>
    <w:p w14:paraId="2F8405D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Каждый четвертый самолет, каждый пятый мотор от общего количества, отремонтированных в годы Великой Отечественной войны всеми стационарными ремонтными органами ВВС КА, были отремонтированы в цехах Балашовской «401 Центральной авиаремонтной базы».</w:t>
      </w:r>
    </w:p>
    <w:p w14:paraId="76E19592"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1952 «401 Центральная авиационная ремонтная база» реорганизуется в «129 Авиационный ремонтный завод».</w:t>
      </w:r>
    </w:p>
    <w:p w14:paraId="4733FB4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1962 «129 Авиационный ремонтный завод» передан в состав Ракетных войск стратегического назначения (РВСН) и переименован в «Центральный ремонтный завод РВСН».</w:t>
      </w:r>
    </w:p>
    <w:p w14:paraId="303B8260"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129 ЦРЗ РВСН был единственным заводом, освоившим и производившим капитальный ремонт двухступенчатых межконтинентальных баллистических ракет (МБР) 8К64У-УБ, 8К67 и ракеты 8К84.</w:t>
      </w:r>
    </w:p>
    <w:p w14:paraId="76055D7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 производством капитальных ремонтов сложной военной техники завод освоил серийное изготовление учебно-тренировочных средств для обучения расчетов.</w:t>
      </w:r>
    </w:p>
    <w:p w14:paraId="46DF67B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ФГУП «Рембаза» МО РФ – головное предприятие по изготовлению, ремонту и гарантийному надзору по системам охраны объектов РВСН.</w:t>
      </w:r>
    </w:p>
    <w:p w14:paraId="039B787C"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последние годы было освоено новое семейство тренажеров на базе микропроцессорной техники по заказам боевой подготовки РВСН.</w:t>
      </w:r>
    </w:p>
    <w:p w14:paraId="7E69D0B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Руководители предприятия: Марченко А.И. (1963-1972); Бенедиктов В.А. (1972-1978); Бучинскас Ч.А. (1978-1986); Гайшун В.Н. (1986-1995); Борисов Л.Е. (с 1995 – по наст. время) (12232).</w:t>
      </w:r>
    </w:p>
    <w:p w14:paraId="3C78C1A4"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7965EE66" w14:textId="77777777" w:rsidR="00AC244E" w:rsidRPr="00142305" w:rsidRDefault="00AC244E" w:rsidP="00AC24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1933-го одновременно с выдачей заказа на первую крупную партию пулеметов ШКАС, конструкторам предложили увеличить живучесть до 5000 выстрелов. В апреле 1933 года представлен доработанный вариант пулемета, известный под внутризаводским обозначением КМ-33 (конструкторская модель 1933 года), который пошел в производство в июле. Переход с полукустарного на серийное производство произошел только в начале 1934 года. Поэтому пулемет больше известен под обозначением «7,62-мм авиационный скорострельный пулемет системы Шпитального – Комарицкого обр. 1934 г. (ШКАС)». Доводка продолжалась и после постановки производства. Большую работу в этом направлении провела группа специалистов под руководством отечественного инженера-оружейника П. И. Майна. Проблемы приходилось решать на ходу. Как известно, витые пружины при высоких циклических скоростях теряют свои упругие свойства, становясь, по сути, твердым телом. В пулемете ШКАС возвратная пружина газового поршня, которая как раз работала в подобных условиях, быстро выходила из строя. Пришлось применить многожильную пружину, что значительно повысило ее стойкость. Для облегчения экстракции гильзы и предотвращения ее обрыва в каморе патронника ввели канавки Ревелли. При выстреле часть пороховых газов устремлялась в канавки, уменьшая силу сцепления гильзы со стенками патронника и облегчая тем самым ее экстракцию. Были введены также пружинные буфера затворной рамы и затвора, которые смягчали удар подвижной системы в заднем положении и повышали скорость ее возврата вперед. В спусковой механизм для увеличения живучести ввели буферную пружину шептала (25380).</w:t>
      </w:r>
    </w:p>
    <w:p w14:paraId="5677BD3C" w14:textId="77777777" w:rsidR="00AC244E" w:rsidRPr="00142305" w:rsidRDefault="00AC244E" w:rsidP="00AC244E">
      <w:pPr>
        <w:spacing w:after="0" w:line="240" w:lineRule="auto"/>
        <w:jc w:val="both"/>
        <w:rPr>
          <w:rFonts w:ascii="Times New Roman" w:hAnsi="Times New Roman"/>
          <w:color w:val="0070C0"/>
          <w:sz w:val="16"/>
          <w:szCs w:val="16"/>
        </w:rPr>
      </w:pPr>
    </w:p>
    <w:p w14:paraId="7FA97D3A" w14:textId="77777777" w:rsidR="00746843" w:rsidRPr="0044524F" w:rsidRDefault="00746843" w:rsidP="009654CF">
      <w:pPr>
        <w:pStyle w:val="a3"/>
        <w:rPr>
          <w:color w:val="000000" w:themeColor="text1"/>
          <w:lang w:val="ru-RU"/>
        </w:rPr>
      </w:pPr>
      <w:r w:rsidRPr="0044524F">
        <w:rPr>
          <w:color w:val="000000" w:themeColor="text1"/>
          <w:lang w:val="ru-RU"/>
        </w:rPr>
        <w:t>В марте 1933 г. в отчетном док</w:t>
      </w:r>
      <w:r w:rsidRPr="0044524F">
        <w:rPr>
          <w:color w:val="000000" w:themeColor="text1"/>
          <w:lang w:val="ru-RU"/>
        </w:rPr>
        <w:softHyphen/>
        <w:t>ладе начальника НИИ ВВС за 1-ю пятилетку в разделе, посвященном перспективным задачам, есть пункт «распыление горючих жидкостей». Первое же упоминание об реаль</w:t>
      </w:r>
      <w:r w:rsidRPr="0044524F">
        <w:rPr>
          <w:color w:val="000000" w:themeColor="text1"/>
          <w:lang w:val="ru-RU"/>
        </w:rPr>
        <w:softHyphen/>
        <w:t>ных испытаниях устройства для вы</w:t>
      </w:r>
      <w:r w:rsidRPr="0044524F">
        <w:rPr>
          <w:color w:val="000000" w:themeColor="text1"/>
          <w:lang w:val="ru-RU"/>
        </w:rPr>
        <w:softHyphen/>
        <w:t>ливания «огневой жидкости» на</w:t>
      </w:r>
      <w:r w:rsidRPr="0044524F">
        <w:rPr>
          <w:color w:val="000000" w:themeColor="text1"/>
          <w:lang w:val="ru-RU"/>
        </w:rPr>
        <w:softHyphen/>
        <w:t>шлось в отчете НИИ ВВС за 1-е полугодие 1934 г. Но из него нельзя понять, что же именно тогда исполь</w:t>
      </w:r>
      <w:r w:rsidRPr="0044524F">
        <w:rPr>
          <w:color w:val="000000" w:themeColor="text1"/>
          <w:lang w:val="ru-RU"/>
        </w:rPr>
        <w:softHyphen/>
        <w:t>зовали.</w:t>
      </w:r>
    </w:p>
    <w:p w14:paraId="2436134E" w14:textId="77777777" w:rsidR="00746843" w:rsidRPr="0044524F" w:rsidRDefault="00746843" w:rsidP="009654CF">
      <w:pPr>
        <w:pStyle w:val="a3"/>
        <w:rPr>
          <w:color w:val="000000" w:themeColor="text1"/>
          <w:lang w:val="ru-RU"/>
        </w:rPr>
      </w:pPr>
      <w:r w:rsidRPr="0044524F">
        <w:rPr>
          <w:color w:val="000000" w:themeColor="text1"/>
          <w:lang w:val="ru-RU"/>
        </w:rPr>
        <w:t>Гораздо больше подробностей известно об испытаниях в 1935 г. Тогда приспособили универсальный (способный работать и с раство</w:t>
      </w:r>
      <w:r w:rsidRPr="0044524F">
        <w:rPr>
          <w:color w:val="000000" w:themeColor="text1"/>
          <w:lang w:val="ru-RU"/>
        </w:rPr>
        <w:softHyphen/>
        <w:t>рами отравляющих веществ, и с дымовой смесью) химический при</w:t>
      </w:r>
      <w:r w:rsidRPr="0044524F">
        <w:rPr>
          <w:color w:val="000000" w:themeColor="text1"/>
          <w:lang w:val="ru-RU"/>
        </w:rPr>
        <w:softHyphen/>
        <w:t>бор УХАП-3. Испытания его прово</w:t>
      </w:r>
      <w:r w:rsidRPr="0044524F">
        <w:rPr>
          <w:color w:val="000000" w:themeColor="text1"/>
          <w:lang w:val="ru-RU"/>
        </w:rPr>
        <w:softHyphen/>
        <w:t>дили в феврале 1935 г. Два прибо</w:t>
      </w:r>
      <w:r w:rsidRPr="0044524F">
        <w:rPr>
          <w:color w:val="000000" w:themeColor="text1"/>
          <w:lang w:val="ru-RU"/>
        </w:rPr>
        <w:softHyphen/>
        <w:t>ра подвешивались под нижним кры</w:t>
      </w:r>
      <w:r w:rsidRPr="0044524F">
        <w:rPr>
          <w:color w:val="000000" w:themeColor="text1"/>
          <w:lang w:val="ru-RU"/>
        </w:rPr>
        <w:softHyphen/>
        <w:t>лом биплана Р-5. В баки залили сырую нефть, по 20 л в каждый. Ее вытесняли сжатым воздухом через стальные трубы, шедшие под фюзе</w:t>
      </w:r>
      <w:r w:rsidRPr="0044524F">
        <w:rPr>
          <w:color w:val="000000" w:themeColor="text1"/>
          <w:lang w:val="ru-RU"/>
        </w:rPr>
        <w:softHyphen/>
        <w:t>ляжем до руля направления. Нефть била из выходного насадка диамет</w:t>
      </w:r>
      <w:r w:rsidRPr="0044524F">
        <w:rPr>
          <w:color w:val="000000" w:themeColor="text1"/>
          <w:lang w:val="ru-RU"/>
        </w:rPr>
        <w:softHyphen/>
        <w:t>ром 7 мм (такие применялись при работе в режиме дымопуска) сплош</w:t>
      </w:r>
      <w:r w:rsidRPr="0044524F">
        <w:rPr>
          <w:color w:val="000000" w:themeColor="text1"/>
          <w:lang w:val="ru-RU"/>
        </w:rPr>
        <w:softHyphen/>
        <w:t>ной струей длиной 3-4 м, а потом распылялась. Запаса хватало на 20- 25 с. Слив проводили с бреющего полета, зажигать нефть не пытались. Может быть, это и к лучшему, по</w:t>
      </w:r>
      <w:r w:rsidRPr="0044524F">
        <w:rPr>
          <w:color w:val="000000" w:themeColor="text1"/>
          <w:lang w:val="ru-RU"/>
        </w:rPr>
        <w:softHyphen/>
        <w:t>скольку нижнюю часть руля направ</w:t>
      </w:r>
      <w:r w:rsidRPr="0044524F">
        <w:rPr>
          <w:color w:val="000000" w:themeColor="text1"/>
          <w:lang w:val="ru-RU"/>
        </w:rPr>
        <w:softHyphen/>
        <w:t>ления забрызгали.</w:t>
      </w:r>
    </w:p>
    <w:p w14:paraId="498F6D47" w14:textId="77777777" w:rsidR="00746843" w:rsidRPr="0044524F" w:rsidRDefault="00746843" w:rsidP="009654CF">
      <w:pPr>
        <w:pStyle w:val="a3"/>
        <w:rPr>
          <w:color w:val="000000" w:themeColor="text1"/>
          <w:lang w:val="ru-RU"/>
        </w:rPr>
      </w:pPr>
      <w:r w:rsidRPr="0044524F">
        <w:rPr>
          <w:color w:val="000000" w:themeColor="text1"/>
          <w:lang w:val="ru-RU"/>
        </w:rPr>
        <w:t>Затем насадок заменили на дру</w:t>
      </w:r>
      <w:r w:rsidRPr="0044524F">
        <w:rPr>
          <w:color w:val="000000" w:themeColor="text1"/>
          <w:lang w:val="ru-RU"/>
        </w:rPr>
        <w:softHyphen/>
        <w:t>гой, с отверстием большего разме</w:t>
      </w:r>
      <w:r w:rsidRPr="0044524F">
        <w:rPr>
          <w:color w:val="000000" w:themeColor="text1"/>
          <w:lang w:val="ru-RU"/>
        </w:rPr>
        <w:softHyphen/>
        <w:t>ра, применявшийся при работе в режиме выливного прибора. В баки залили побольше нефти, по 40 л, но слили ее всего за 5-7 с. При этом облили весь низ фюзеляжа, жидкость попала даже в кабину летнаба.</w:t>
      </w:r>
    </w:p>
    <w:p w14:paraId="1E6023BF" w14:textId="77777777" w:rsidR="00746843" w:rsidRPr="0044524F" w:rsidRDefault="00746843" w:rsidP="009654CF">
      <w:pPr>
        <w:pStyle w:val="a3"/>
        <w:rPr>
          <w:color w:val="000000" w:themeColor="text1"/>
          <w:lang w:val="ru-RU"/>
        </w:rPr>
      </w:pPr>
      <w:r w:rsidRPr="0044524F">
        <w:rPr>
          <w:color w:val="000000" w:themeColor="text1"/>
          <w:lang w:val="ru-RU"/>
        </w:rPr>
        <w:t>В третий раз взяли всего один прибор, закрепленный под фюзеля</w:t>
      </w:r>
      <w:r w:rsidRPr="0044524F">
        <w:rPr>
          <w:color w:val="000000" w:themeColor="text1"/>
          <w:lang w:val="ru-RU"/>
        </w:rPr>
        <w:softHyphen/>
        <w:t>жем. Сверху от выпускной горлови</w:t>
      </w:r>
      <w:r w:rsidRPr="0044524F">
        <w:rPr>
          <w:color w:val="000000" w:themeColor="text1"/>
          <w:lang w:val="ru-RU"/>
        </w:rPr>
        <w:softHyphen/>
        <w:t>ны закрепили овальной формы вы</w:t>
      </w:r>
      <w:r w:rsidRPr="0044524F">
        <w:rPr>
          <w:color w:val="000000" w:themeColor="text1"/>
          <w:lang w:val="ru-RU"/>
        </w:rPr>
        <w:softHyphen/>
        <w:t>тянутый щит длиной 1,5 м. В бак залили 80 л нефти. Насадок был тот же, что и во второй раз. Слив про</w:t>
      </w:r>
      <w:r w:rsidRPr="0044524F">
        <w:rPr>
          <w:color w:val="000000" w:themeColor="text1"/>
          <w:lang w:val="ru-RU"/>
        </w:rPr>
        <w:softHyphen/>
        <w:t>изводили с высоты 50-80 м, запаса в баке хватило на 8-10 с. Немного забрызгали низ руля направления и растяжки стабилизатора.</w:t>
      </w:r>
    </w:p>
    <w:p w14:paraId="69481FE4" w14:textId="77777777" w:rsidR="00746843" w:rsidRPr="0044524F" w:rsidRDefault="00746843" w:rsidP="009654CF">
      <w:pPr>
        <w:pStyle w:val="a3"/>
        <w:rPr>
          <w:color w:val="000000" w:themeColor="text1"/>
          <w:lang w:val="ru-RU"/>
        </w:rPr>
      </w:pPr>
      <w:r w:rsidRPr="0044524F">
        <w:rPr>
          <w:color w:val="000000" w:themeColor="text1"/>
          <w:lang w:val="ru-RU"/>
        </w:rPr>
        <w:t>В четвертом заходе УХАП-3 под</w:t>
      </w:r>
      <w:r w:rsidRPr="0044524F">
        <w:rPr>
          <w:color w:val="000000" w:themeColor="text1"/>
          <w:lang w:val="ru-RU"/>
        </w:rPr>
        <w:softHyphen/>
        <w:t>весили под крылом слева, а справа закрепили противовес в 160 кг. После слива крыло оказалось со</w:t>
      </w:r>
      <w:r w:rsidRPr="0044524F">
        <w:rPr>
          <w:color w:val="000000" w:themeColor="text1"/>
          <w:lang w:val="ru-RU"/>
        </w:rPr>
        <w:softHyphen/>
        <w:t>всем мокрым (12022).</w:t>
      </w:r>
    </w:p>
    <w:p w14:paraId="0EFC4EF0" w14:textId="77777777" w:rsidR="00746843" w:rsidRPr="0044524F" w:rsidRDefault="00746843" w:rsidP="009654CF">
      <w:pPr>
        <w:pStyle w:val="a3"/>
        <w:rPr>
          <w:color w:val="000000" w:themeColor="text1"/>
          <w:lang w:val="ru-RU"/>
        </w:rPr>
      </w:pPr>
    </w:p>
    <w:p w14:paraId="006D104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был подготовлен Отчет Г.П. Новикова М.Н. Тухачевскому о работе созданной им комиссии для разработки структуры РНИИ. Комиссия в составе И.Т. Клейменова, СПК, Я.М. Терентьева к согласию не пришла. Г.П. Новиков предложил свою структуру, которая в дальнейшем была принята: в подчинении начальника РНИИ — все проектные и конструкторские подразделения по ракетам различных типов; в подчинении заместителя начальника РНИИ СПК — АХО, механические мастерские, техническое бюро, светокопировальный отдел, чертежно-копировальный сектор, техническая библиотека, химический отдел (ААН, р. 4, оп. 14, № 243, л. 21) (10676).</w:t>
      </w:r>
    </w:p>
    <w:p w14:paraId="73153087"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51E98593" w14:textId="77777777" w:rsidR="00AC244E" w:rsidRPr="00142305" w:rsidRDefault="00AC244E" w:rsidP="00AC244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марте 1933-го организовали эскадрилью "Максим Горький", и этим же именем назвали ее флагман – самолет АНТ-14. Менее, чем через два месяца редакциям газет и журналов предоставили право присвоить свои названия самолетам. Тогда же АНТ-14 переименовали в "Правду" – флагман советской прессы (25604).</w:t>
      </w:r>
    </w:p>
    <w:p w14:paraId="06B64B92" w14:textId="77777777" w:rsidR="00AC244E" w:rsidRPr="00142305" w:rsidRDefault="00AC244E" w:rsidP="00AC244E">
      <w:pPr>
        <w:spacing w:after="0" w:line="240" w:lineRule="auto"/>
        <w:jc w:val="both"/>
        <w:rPr>
          <w:rFonts w:ascii="Times New Roman" w:hAnsi="Times New Roman"/>
          <w:color w:val="0070C0"/>
          <w:sz w:val="16"/>
          <w:szCs w:val="16"/>
        </w:rPr>
      </w:pPr>
    </w:p>
    <w:p w14:paraId="0EF39D9D"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2F244B6"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1342C832"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после сдачи представителям военной приемки последних БТ-2 с 37-мм пушкой ХПЗ начал выпуск БТ-5 (3880).</w:t>
      </w:r>
    </w:p>
    <w:p w14:paraId="0406E3FC"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44EEF076" w14:textId="77777777" w:rsidR="00D25EF2" w:rsidRPr="0044524F" w:rsidRDefault="00D25E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марте 1933 г. на ХПЗ начался выпуск танка БТ-5 — модернизированного БТ-2 с новой башней, в которой монтировались 45-мм пушка 20-К и 7,62-мм пулемет ДТ. Часть танков оборудовались радиостанцией (для ее размещения пришлось уменьшить боекомплект к пушке). Башни сначала изготавливали Мариупольский завод (с малой кормовой нишей) и Ижорский завод (с большой нишей, унифицированная с башней танка Т-26). Часть башен были сварными, остальные — клепаными. В 1934 г. единственным постав</w:t>
      </w:r>
      <w:r w:rsidRPr="0044524F">
        <w:rPr>
          <w:rFonts w:ascii="Times New Roman" w:hAnsi="Times New Roman"/>
          <w:color w:val="000000" w:themeColor="text1"/>
          <w:sz w:val="16"/>
          <w:szCs w:val="16"/>
          <w:lang w:eastAsia="ru-RU" w:bidi="ru-RU"/>
        </w:rPr>
        <w:softHyphen/>
        <w:t>щиком башен остался Ижорский завод. Всего в 1933—1934 гг. изготовили1887 танков БТ-5 (в том числе 263 с радиостанциями). 50 БТ-5 в 1937 г. отправили в республиканскую Испанию — это стало первой поставкой на экспорт бронетехники украинского производства (23180).</w:t>
      </w:r>
    </w:p>
    <w:p w14:paraId="1D8BB38A" w14:textId="77777777" w:rsidR="00D25EF2" w:rsidRPr="0044524F" w:rsidRDefault="00D25EF2" w:rsidP="009654CF">
      <w:pPr>
        <w:spacing w:after="0" w:line="240" w:lineRule="auto"/>
        <w:jc w:val="both"/>
        <w:rPr>
          <w:rFonts w:ascii="Times New Roman" w:hAnsi="Times New Roman"/>
          <w:color w:val="000000" w:themeColor="text1"/>
          <w:sz w:val="16"/>
          <w:szCs w:val="16"/>
        </w:rPr>
      </w:pPr>
    </w:p>
    <w:p w14:paraId="05D11A02" w14:textId="77777777" w:rsidR="00276C35" w:rsidRPr="00142305" w:rsidRDefault="00276C35" w:rsidP="00276C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1933 года развер</w:t>
      </w:r>
      <w:r w:rsidRPr="00142305">
        <w:rPr>
          <w:rFonts w:ascii="Times New Roman" w:hAnsi="Times New Roman"/>
          <w:color w:val="0070C0"/>
          <w:sz w:val="16"/>
          <w:szCs w:val="16"/>
        </w:rPr>
        <w:softHyphen/>
        <w:t>нулось серийное производство БТ-5, и опять ХПЗ столкнулся с трудностя</w:t>
      </w:r>
      <w:r w:rsidRPr="00142305">
        <w:rPr>
          <w:rFonts w:ascii="Times New Roman" w:hAnsi="Times New Roman"/>
          <w:color w:val="0070C0"/>
          <w:sz w:val="16"/>
          <w:szCs w:val="16"/>
        </w:rPr>
        <w:softHyphen/>
        <w:t>ми, уже имевшими место при выпуске БТ-2, правда, справиться с ними уда</w:t>
      </w:r>
      <w:r w:rsidRPr="00142305">
        <w:rPr>
          <w:rFonts w:ascii="Times New Roman" w:hAnsi="Times New Roman"/>
          <w:color w:val="0070C0"/>
          <w:sz w:val="16"/>
          <w:szCs w:val="16"/>
        </w:rPr>
        <w:softHyphen/>
        <w:t>лось в более сжатые сроки. Так, для освоения выпуска более сложной по сво</w:t>
      </w:r>
      <w:r w:rsidRPr="00142305">
        <w:rPr>
          <w:rFonts w:ascii="Times New Roman" w:hAnsi="Times New Roman"/>
          <w:color w:val="0070C0"/>
          <w:sz w:val="16"/>
          <w:szCs w:val="16"/>
        </w:rPr>
        <w:softHyphen/>
        <w:t>ей конструкции башни завод изготовил 30 башен из обычной стали и 10 из не</w:t>
      </w:r>
      <w:r w:rsidRPr="00142305">
        <w:rPr>
          <w:rFonts w:ascii="Times New Roman" w:hAnsi="Times New Roman"/>
          <w:color w:val="0070C0"/>
          <w:sz w:val="16"/>
          <w:szCs w:val="16"/>
        </w:rPr>
        <w:softHyphen/>
        <w:t>каленой броневой с обязательством впоследствии заменить их на броневые. Следует сказать, что Мариупольский завод первые 230 клепаных башен изго</w:t>
      </w:r>
      <w:r w:rsidRPr="00142305">
        <w:rPr>
          <w:rFonts w:ascii="Times New Roman" w:hAnsi="Times New Roman"/>
          <w:color w:val="0070C0"/>
          <w:sz w:val="16"/>
          <w:szCs w:val="16"/>
        </w:rPr>
        <w:softHyphen/>
        <w:t>товил по первому варианту чертежа — они имели небольшую нишу, предназ</w:t>
      </w:r>
      <w:r w:rsidRPr="00142305">
        <w:rPr>
          <w:rFonts w:ascii="Times New Roman" w:hAnsi="Times New Roman"/>
          <w:color w:val="0070C0"/>
          <w:sz w:val="16"/>
          <w:szCs w:val="16"/>
        </w:rPr>
        <w:softHyphen/>
        <w:t>наченную для размещения радиостан</w:t>
      </w:r>
      <w:r w:rsidRPr="00142305">
        <w:rPr>
          <w:rFonts w:ascii="Times New Roman" w:hAnsi="Times New Roman"/>
          <w:color w:val="0070C0"/>
          <w:sz w:val="16"/>
          <w:szCs w:val="16"/>
        </w:rPr>
        <w:softHyphen/>
        <w:t>ции или боеукладки. Позже в произ</w:t>
      </w:r>
      <w:r w:rsidRPr="00142305">
        <w:rPr>
          <w:rFonts w:ascii="Times New Roman" w:hAnsi="Times New Roman"/>
          <w:color w:val="0070C0"/>
          <w:sz w:val="16"/>
          <w:szCs w:val="16"/>
        </w:rPr>
        <w:softHyphen/>
        <w:t>водство пошла так называемая «эллип</w:t>
      </w:r>
      <w:r w:rsidRPr="00142305">
        <w:rPr>
          <w:rFonts w:ascii="Times New Roman" w:hAnsi="Times New Roman"/>
          <w:color w:val="0070C0"/>
          <w:sz w:val="16"/>
          <w:szCs w:val="16"/>
        </w:rPr>
        <w:softHyphen/>
        <w:t>тическая» сварная башня с большой кормовой нишей.</w:t>
      </w:r>
    </w:p>
    <w:p w14:paraId="41DF708E" w14:textId="77777777" w:rsidR="00276C35" w:rsidRPr="00142305" w:rsidRDefault="00276C35" w:rsidP="00276C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Производство башен все время запаз</w:t>
      </w:r>
      <w:r w:rsidRPr="00142305">
        <w:rPr>
          <w:rFonts w:ascii="Times New Roman" w:hAnsi="Times New Roman"/>
          <w:color w:val="0070C0"/>
          <w:sz w:val="16"/>
          <w:szCs w:val="16"/>
        </w:rPr>
        <w:softHyphen/>
        <w:t>дывало, и только в 1934 году благодаря подключению к этой работе Ижорского завода и фактической унификации ба</w:t>
      </w:r>
      <w:r w:rsidRPr="00142305">
        <w:rPr>
          <w:rFonts w:ascii="Times New Roman" w:hAnsi="Times New Roman"/>
          <w:color w:val="0070C0"/>
          <w:sz w:val="16"/>
          <w:szCs w:val="16"/>
        </w:rPr>
        <w:softHyphen/>
        <w:t>шенной установки с Т-26 удалось пере</w:t>
      </w:r>
      <w:r w:rsidRPr="00142305">
        <w:rPr>
          <w:rFonts w:ascii="Times New Roman" w:hAnsi="Times New Roman"/>
          <w:color w:val="0070C0"/>
          <w:sz w:val="16"/>
          <w:szCs w:val="16"/>
        </w:rPr>
        <w:softHyphen/>
        <w:t>крыть разрыв между выпуском корпусов и башен и приступить к замене в воин</w:t>
      </w:r>
      <w:r w:rsidRPr="00142305">
        <w:rPr>
          <w:rFonts w:ascii="Times New Roman" w:hAnsi="Times New Roman"/>
          <w:color w:val="0070C0"/>
          <w:sz w:val="16"/>
          <w:szCs w:val="16"/>
        </w:rPr>
        <w:softHyphen/>
        <w:t>ских частях обычных стальных башен на броневые.</w:t>
      </w:r>
    </w:p>
    <w:p w14:paraId="33EDC969" w14:textId="77777777" w:rsidR="00276C35" w:rsidRPr="00142305" w:rsidRDefault="00276C35" w:rsidP="00276C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По-прежнему хромало качество про</w:t>
      </w:r>
      <w:r w:rsidRPr="00142305">
        <w:rPr>
          <w:rFonts w:ascii="Times New Roman" w:hAnsi="Times New Roman"/>
          <w:color w:val="0070C0"/>
          <w:sz w:val="16"/>
          <w:szCs w:val="16"/>
        </w:rPr>
        <w:softHyphen/>
        <w:t>изводства. Так, в донесении военпреда о выполнении программы 1933 года го</w:t>
      </w:r>
      <w:r w:rsidRPr="00142305">
        <w:rPr>
          <w:rFonts w:ascii="Times New Roman" w:hAnsi="Times New Roman"/>
          <w:color w:val="0070C0"/>
          <w:sz w:val="16"/>
          <w:szCs w:val="16"/>
        </w:rPr>
        <w:softHyphen/>
        <w:t>ворилось: «Несмотря на выполнение программы (вместо 1000 машин по пла</w:t>
      </w:r>
      <w:r w:rsidRPr="00142305">
        <w:rPr>
          <w:rFonts w:ascii="Times New Roman" w:hAnsi="Times New Roman"/>
          <w:color w:val="0070C0"/>
          <w:sz w:val="16"/>
          <w:szCs w:val="16"/>
        </w:rPr>
        <w:softHyphen/>
        <w:t>ну сдано 1005*), качество машин нельзя признать хорошим... По результатам ис</w:t>
      </w:r>
      <w:r w:rsidRPr="00142305">
        <w:rPr>
          <w:rFonts w:ascii="Times New Roman" w:hAnsi="Times New Roman"/>
          <w:color w:val="0070C0"/>
          <w:sz w:val="16"/>
          <w:szCs w:val="16"/>
        </w:rPr>
        <w:softHyphen/>
        <w:t>пытательных пробегов забраковано за первое полугодие 5 — 8% машин в месяц, за второе — 9 — 41%, что говорит о сни</w:t>
      </w:r>
      <w:r w:rsidRPr="00142305">
        <w:rPr>
          <w:rFonts w:ascii="Times New Roman" w:hAnsi="Times New Roman"/>
          <w:color w:val="0070C0"/>
          <w:sz w:val="16"/>
          <w:szCs w:val="16"/>
        </w:rPr>
        <w:softHyphen/>
        <w:t>жении внимания к качеству, особенно по сборке».</w:t>
      </w:r>
    </w:p>
    <w:p w14:paraId="4454821C" w14:textId="77777777" w:rsidR="00276C35" w:rsidRPr="00142305" w:rsidRDefault="00276C35" w:rsidP="00276C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следующем году качество сборки значительно улучшилось, правда, зача</w:t>
      </w:r>
      <w:r w:rsidRPr="00142305">
        <w:rPr>
          <w:rFonts w:ascii="Times New Roman" w:hAnsi="Times New Roman"/>
          <w:color w:val="0070C0"/>
          <w:sz w:val="16"/>
          <w:szCs w:val="16"/>
        </w:rPr>
        <w:softHyphen/>
        <w:t>стую ХПЗ подводили предприятия - смежники. Например, броня, постав</w:t>
      </w:r>
      <w:r w:rsidRPr="00142305">
        <w:rPr>
          <w:rFonts w:ascii="Times New Roman" w:hAnsi="Times New Roman"/>
          <w:color w:val="0070C0"/>
          <w:sz w:val="16"/>
          <w:szCs w:val="16"/>
        </w:rPr>
        <w:softHyphen/>
        <w:t>ляемая Мариупольским заводом, часто имела трещины, из-за чего на ХПЗ го</w:t>
      </w:r>
      <w:r w:rsidRPr="00142305">
        <w:rPr>
          <w:rFonts w:ascii="Times New Roman" w:hAnsi="Times New Roman"/>
          <w:color w:val="0070C0"/>
          <w:sz w:val="16"/>
          <w:szCs w:val="16"/>
        </w:rPr>
        <w:softHyphen/>
        <w:t>товые корпуса браковались, а отдель</w:t>
      </w:r>
      <w:r w:rsidRPr="00142305">
        <w:rPr>
          <w:rFonts w:ascii="Times New Roman" w:hAnsi="Times New Roman"/>
          <w:color w:val="0070C0"/>
          <w:sz w:val="16"/>
          <w:szCs w:val="16"/>
        </w:rPr>
        <w:softHyphen/>
        <w:t>ные бронедетали вырубались по не</w:t>
      </w:r>
      <w:r w:rsidRPr="00142305">
        <w:rPr>
          <w:rFonts w:ascii="Times New Roman" w:hAnsi="Times New Roman"/>
          <w:color w:val="0070C0"/>
          <w:sz w:val="16"/>
          <w:szCs w:val="16"/>
        </w:rPr>
        <w:softHyphen/>
        <w:t>скольку раз.</w:t>
      </w:r>
    </w:p>
    <w:p w14:paraId="79103227" w14:textId="77777777" w:rsidR="00276C35" w:rsidRPr="00142305" w:rsidRDefault="00276C35" w:rsidP="00276C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несмотря на все трудности, выпуск танков возрастал, а в их конструкцию постоянно вносились улучшения. В кон</w:t>
      </w:r>
      <w:r w:rsidRPr="00142305">
        <w:rPr>
          <w:rFonts w:ascii="Times New Roman" w:hAnsi="Times New Roman"/>
          <w:color w:val="0070C0"/>
          <w:sz w:val="16"/>
          <w:szCs w:val="16"/>
        </w:rPr>
        <w:softHyphen/>
        <w:t>це 1933 года заводские цеха начали по</w:t>
      </w:r>
      <w:r w:rsidRPr="00142305">
        <w:rPr>
          <w:rFonts w:ascii="Times New Roman" w:hAnsi="Times New Roman"/>
          <w:color w:val="0070C0"/>
          <w:sz w:val="16"/>
          <w:szCs w:val="16"/>
        </w:rPr>
        <w:softHyphen/>
        <w:t>кидать машины с цельноштампованны</w:t>
      </w:r>
      <w:r w:rsidRPr="00142305">
        <w:rPr>
          <w:rFonts w:ascii="Times New Roman" w:hAnsi="Times New Roman"/>
          <w:color w:val="0070C0"/>
          <w:sz w:val="16"/>
          <w:szCs w:val="16"/>
        </w:rPr>
        <w:softHyphen/>
        <w:t>ми дисками опорных катков. Примерно в это же время группа инженеров КБ Т-2К под руководством представителя УММ И.А.Лебедева сконструировала и изготовила два варианта кормовых бензобаков для БТ-2 и БТ-5. Запас бен</w:t>
      </w:r>
      <w:r w:rsidRPr="00142305">
        <w:rPr>
          <w:rFonts w:ascii="Times New Roman" w:hAnsi="Times New Roman"/>
          <w:color w:val="0070C0"/>
          <w:sz w:val="16"/>
          <w:szCs w:val="16"/>
        </w:rPr>
        <w:softHyphen/>
        <w:t>зина увеличился на 400-500 л, масла — на 25 л. Две машины с такими баками с ус</w:t>
      </w:r>
      <w:r w:rsidRPr="00142305">
        <w:rPr>
          <w:rFonts w:ascii="Times New Roman" w:hAnsi="Times New Roman"/>
          <w:color w:val="0070C0"/>
          <w:sz w:val="16"/>
          <w:szCs w:val="16"/>
        </w:rPr>
        <w:softHyphen/>
        <w:t>пехом прошли испытания. В серию эта конструкция не пошла, но приобретен</w:t>
      </w:r>
      <w:r w:rsidRPr="00142305">
        <w:rPr>
          <w:rFonts w:ascii="Times New Roman" w:hAnsi="Times New Roman"/>
          <w:color w:val="0070C0"/>
          <w:sz w:val="16"/>
          <w:szCs w:val="16"/>
        </w:rPr>
        <w:softHyphen/>
        <w:t>ный опыт впоследствии был использо</w:t>
      </w:r>
      <w:r w:rsidRPr="00142305">
        <w:rPr>
          <w:rFonts w:ascii="Times New Roman" w:hAnsi="Times New Roman"/>
          <w:color w:val="0070C0"/>
          <w:sz w:val="16"/>
          <w:szCs w:val="16"/>
        </w:rPr>
        <w:softHyphen/>
        <w:t>ван при проектировании БТ-7. Впослед</w:t>
      </w:r>
      <w:r w:rsidRPr="00142305">
        <w:rPr>
          <w:rFonts w:ascii="Times New Roman" w:hAnsi="Times New Roman"/>
          <w:color w:val="0070C0"/>
          <w:sz w:val="16"/>
          <w:szCs w:val="16"/>
        </w:rPr>
        <w:softHyphen/>
        <w:t>ствии Лебедев в своем письме начальни</w:t>
      </w:r>
      <w:r w:rsidRPr="00142305">
        <w:rPr>
          <w:rFonts w:ascii="Times New Roman" w:hAnsi="Times New Roman"/>
          <w:color w:val="0070C0"/>
          <w:sz w:val="16"/>
          <w:szCs w:val="16"/>
        </w:rPr>
        <w:softHyphen/>
        <w:t>ку УММ РККА И. Халепскому от 16 апреля 1934 года предлагал начать изго</w:t>
      </w:r>
      <w:r w:rsidRPr="00142305">
        <w:rPr>
          <w:rFonts w:ascii="Times New Roman" w:hAnsi="Times New Roman"/>
          <w:color w:val="0070C0"/>
          <w:sz w:val="16"/>
          <w:szCs w:val="16"/>
        </w:rPr>
        <w:softHyphen/>
        <w:t>товление таких баков для установки их на БТ-5 и БТ-2, правда, это предложение поддержки нее нашло (25009).</w:t>
      </w:r>
    </w:p>
    <w:p w14:paraId="7D60F508" w14:textId="77777777" w:rsidR="00276C35" w:rsidRPr="00142305" w:rsidRDefault="00276C35" w:rsidP="00276C35">
      <w:pPr>
        <w:spacing w:after="0" w:line="240" w:lineRule="auto"/>
        <w:jc w:val="both"/>
        <w:rPr>
          <w:rFonts w:ascii="Times New Roman" w:hAnsi="Times New Roman"/>
          <w:color w:val="0070C0"/>
          <w:sz w:val="16"/>
          <w:szCs w:val="16"/>
        </w:rPr>
      </w:pPr>
    </w:p>
    <w:p w14:paraId="1764E868"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два восстановленных на ХПЗ танка Кристи Оригинал-1 и Оригинал-2 были направлены в цех Т20 отдела Т2 ХПЗ (3879,15).</w:t>
      </w:r>
    </w:p>
    <w:p w14:paraId="1534978E"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1DA6D7C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БТ-5, усовершенствованный, более технологичный, с М-5 вместо Либерти и 45-мм пушкой вместо 37-мм сменил на конвейере БТ-2 (3881,3).</w:t>
      </w:r>
    </w:p>
    <w:p w14:paraId="24B11283"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381FF2E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на полигоне в Кунцево прошел испытания танк Т-26 (БПК), разработанный в 1932 ОКБ-1 ГАУ на заводе №8 под руководством Л.В.Курчевского в целях повышения огневой мощи. В правой башне вместо 37 мм пушки стояла 76 мм БПК (9527,92).</w:t>
      </w:r>
    </w:p>
    <w:p w14:paraId="3CB71E94"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41A0F818" w14:textId="77777777" w:rsidR="00276C35" w:rsidRPr="00142305" w:rsidRDefault="00276C35" w:rsidP="00276C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1933 года был подготовлен проект танка-истребителя ИТ=3. В нем угадывался ПТ-1, но при этом он был уже чисто "сухопутным" танком, чья боевая масса изначально составляла 16 тонн. Толщина брони выросла до 16 мм, в лобовом листе корпуса поставили крупнокалиберный пулемет ДК, также появилась новая башня, с 76-мм орудием КТ. Согласно подсчетам, колесном ходу ИТ-3 развивал скорость до 80 км/ч, а на гусеничном ходу - до 60 км/ч. В дальнейшем толщину брони увеличили до 20 мм, что подняло боевую массу до 17,5 тонн. При этом динамические характеристики остались на том же уровне.</w:t>
      </w:r>
    </w:p>
    <w:p w14:paraId="575A7C18" w14:textId="77777777" w:rsidR="00276C35" w:rsidRPr="00142305" w:rsidRDefault="00276C35" w:rsidP="00276C3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 ИТ-3 прожил совсем недолго. Не отрицая идею создания сухопутного варианта ПТ-1, в УММ КА приняли решение о создании несколько иной боевой машины, нежели танк-истребитель. Дело в том, что на тот момент ИТ-3 не сильно отличался, в том числе по массе, от Т-28. Поэтому появилась логичная идея разработки "полноценного" танка, который становился прямым аналогом Т-28. Впервые этот танк был упомянут 5 апреля 1933 года, причем в контексте заказа на два образца. Тогда же впервые прозвучал индекс данного танка - Т-29. (25753).</w:t>
      </w:r>
    </w:p>
    <w:p w14:paraId="45579A95" w14:textId="77777777" w:rsidR="00276C35" w:rsidRPr="00142305" w:rsidRDefault="00276C35" w:rsidP="00276C35">
      <w:pPr>
        <w:spacing w:after="0" w:line="240" w:lineRule="auto"/>
        <w:jc w:val="both"/>
        <w:rPr>
          <w:rFonts w:ascii="Times New Roman" w:hAnsi="Times New Roman"/>
          <w:color w:val="0070C0"/>
          <w:sz w:val="16"/>
          <w:szCs w:val="16"/>
        </w:rPr>
      </w:pPr>
    </w:p>
    <w:p w14:paraId="581CDB3F"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марте 1933 года представитель военного склада №60 сообщил об отсутствии брони для изготовления бронепоездов. В результате представители УММ РККА приняли решение о возможной замене брони толщиной 10 и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15 мм</w:t>
        </w:r>
      </w:smartTag>
      <w:r w:rsidRPr="0044524F">
        <w:rPr>
          <w:rFonts w:ascii="Times New Roman" w:hAnsi="Times New Roman"/>
          <w:color w:val="000000" w:themeColor="text1"/>
          <w:sz w:val="16"/>
          <w:szCs w:val="16"/>
        </w:rPr>
        <w:t xml:space="preserve"> другой: 13, 15 и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16 мм</w:t>
        </w:r>
      </w:smartTag>
      <w:r w:rsidRPr="0044524F">
        <w:rPr>
          <w:rFonts w:ascii="Times New Roman" w:hAnsi="Times New Roman"/>
          <w:color w:val="000000" w:themeColor="text1"/>
          <w:sz w:val="16"/>
          <w:szCs w:val="16"/>
        </w:rPr>
        <w:t xml:space="preserve"> из бракованных бронелистов, которые не шли на танки. Допускалось их использование в случае их непробития 7,62-мм пулей с дистанции 200-</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500 м</w:t>
        </w:r>
      </w:smartTag>
      <w:r w:rsidRPr="0044524F">
        <w:rPr>
          <w:rFonts w:ascii="Times New Roman" w:hAnsi="Times New Roman"/>
          <w:color w:val="000000" w:themeColor="text1"/>
          <w:sz w:val="16"/>
          <w:szCs w:val="16"/>
        </w:rPr>
        <w:t xml:space="preserve">. В 1933 году мастерские склада №60 разработали улучшенный вариант легкой бронеплощадки. В качестве базы теперь использовалась рама 4-осного 50-тонного вагона на тележках «Даймонд» (такие вагоны начал изготавливать завод «Красный Профинтерн»). Броневая защита бортов делалась комбинированной: 15-мм броневая сталь – воздушный зазор – 12-мм обычная сталь. Как и в площадке типа военсклада №60, крепление брони к каркасу из металлического профиля осуществлялось при помощи болтов. Для повышения жесткости передний и задний листы усиливались уголками, установленными снаружи. Этот элемент был характерен только для конструкции ПЛ-35. Коренным образом была переработана конструкция орудийных башен: теперь они изготавливались из плоских 15-мм бронелистов, сваренных между собой, и в плане имели вид правильного 20-угольника. На командирской башенке смонтировали танковую панораму ПТК, что улучшало наблюдение за полем боя. Была улучшена боеукладка, в результате чего возимый боекомплект увеличился до 500 снарядов и 30 000 патронов (120 коробок), была введена внутренняя связь между командиром бронеплощадки, командирами орудий и пулеметными расчетами, установлены 10 аккумуляторов для аварийного освещения. Кроме бронеплощадок была переработана и конструкция бронепаровоза. На нем несколько изменили конструкцию командирской рубки, в которой смонтировали радиостанцию 71-ТК-1 с поручневой антенной, на тендере поставили шестигранную бронебашню ПВО со спаренной установкой пулеметов Максима, изменили толщины брони: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10 мм</w:t>
        </w:r>
      </w:smartTag>
      <w:r w:rsidRPr="0044524F">
        <w:rPr>
          <w:rFonts w:ascii="Times New Roman" w:hAnsi="Times New Roman"/>
          <w:color w:val="000000" w:themeColor="text1"/>
          <w:sz w:val="16"/>
          <w:szCs w:val="16"/>
        </w:rPr>
        <w:t xml:space="preserve"> вертикальные листы,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8 мм</w:t>
        </w:r>
      </w:smartTag>
      <w:r w:rsidRPr="0044524F">
        <w:rPr>
          <w:rFonts w:ascii="Times New Roman" w:hAnsi="Times New Roman"/>
          <w:color w:val="000000" w:themeColor="text1"/>
          <w:sz w:val="16"/>
          <w:szCs w:val="16"/>
        </w:rPr>
        <w:t xml:space="preserve"> наклонные и крыша, 15-мм командирская рубка,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13 мм</w:t>
        </w:r>
      </w:smartTag>
      <w:r w:rsidRPr="0044524F">
        <w:rPr>
          <w:rFonts w:ascii="Times New Roman" w:hAnsi="Times New Roman"/>
          <w:color w:val="000000" w:themeColor="text1"/>
          <w:sz w:val="16"/>
          <w:szCs w:val="16"/>
        </w:rPr>
        <w:t xml:space="preserve"> башня ПВО и будка машиниста. Командир бронепоезда получил в свое распоряжение телефон для связи с командирами орудий и паровозной бригады. Командиры площадок вызывались при помощи ревуна, машинист и командир бронепоезда – звонком и лампочкой (15218).</w:t>
      </w:r>
    </w:p>
    <w:p w14:paraId="6613E4AA" w14:textId="77777777" w:rsidR="0099326E" w:rsidRPr="0044524F" w:rsidRDefault="0099326E" w:rsidP="009654CF">
      <w:pPr>
        <w:spacing w:after="0" w:line="240" w:lineRule="auto"/>
        <w:jc w:val="both"/>
        <w:rPr>
          <w:rFonts w:ascii="Times New Roman" w:hAnsi="Times New Roman"/>
          <w:color w:val="000000" w:themeColor="text1"/>
          <w:sz w:val="16"/>
          <w:szCs w:val="16"/>
        </w:rPr>
      </w:pPr>
    </w:p>
    <w:p w14:paraId="66162993" w14:textId="77777777" w:rsidR="00276C35" w:rsidRPr="00142305" w:rsidRDefault="00276C35" w:rsidP="00276C3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марте 1933 года мастерские склада № 60 передали заводу «Красный Профинтерн» в Брянске чертежи тяжелой бронеплощадки и туда же прибыл и модернизированный тяжелый бронепоезд. До конца года «Красный Профинтерн» изготовил восемь тяжелых бронеплощадок, и еще две в 1934-м, после чего их производство прекратили (</w:t>
      </w:r>
      <w:r w:rsidRPr="00276C35">
        <w:rPr>
          <w:rStyle w:val="aff3"/>
          <w:rFonts w:ascii="Times New Roman" w:hAnsi="Times New Roman" w:cs="Times New Roman"/>
          <w:i w:val="0"/>
          <w:iCs w:val="0"/>
          <w:color w:val="0070C0"/>
          <w:sz w:val="16"/>
          <w:szCs w:val="16"/>
          <w:lang w:val="ru-RU"/>
        </w:rPr>
        <w:t>РГАЭ. Ф. 7297. Оп. 41. Д. 73. Л. 47, 65.</w:t>
      </w:r>
      <w:r w:rsidRPr="00142305">
        <w:rPr>
          <w:rStyle w:val="aff"/>
          <w:rFonts w:ascii="Times New Roman" w:hAnsi="Times New Roman" w:cs="Times New Roman"/>
          <w:color w:val="0070C0"/>
          <w:spacing w:val="0"/>
          <w:sz w:val="16"/>
          <w:szCs w:val="16"/>
        </w:rPr>
        <w:t>). Тяжелые площадки завода «Красный Профинтерн» несколько отличались от аналогичных площадок, изготовленных мастерскими военсклада № 60. Они оснащались орудийными башнями новой конструкции, изготовленными из плоских бронелистов и в плане имевших форму 20-гранника.</w:t>
      </w:r>
    </w:p>
    <w:p w14:paraId="7B45C8A3" w14:textId="77777777" w:rsidR="00276C35" w:rsidRPr="00142305" w:rsidRDefault="00276C35" w:rsidP="00276C3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Всего в 1930 – 1934 годах бронепоездные части Красной Армии получили 26 тяжелых бронеплощадок, из них 16 изготовили мастерские склада № 60 и 10 завод «Красный Профинтерн» (</w:t>
      </w:r>
      <w:r w:rsidRPr="00276C35">
        <w:rPr>
          <w:rStyle w:val="aff3"/>
          <w:rFonts w:ascii="Times New Roman" w:hAnsi="Times New Roman" w:cs="Times New Roman"/>
          <w:i w:val="0"/>
          <w:iCs w:val="0"/>
          <w:color w:val="0070C0"/>
          <w:sz w:val="16"/>
          <w:szCs w:val="16"/>
          <w:lang w:val="ru-RU"/>
        </w:rPr>
        <w:t>РГВА. Ф. 31811. Оп. 16. Д. 126. Л. 121-122.</w:t>
      </w:r>
      <w:r w:rsidRPr="00142305">
        <w:rPr>
          <w:rStyle w:val="aff"/>
          <w:rFonts w:ascii="Times New Roman" w:hAnsi="Times New Roman" w:cs="Times New Roman"/>
          <w:color w:val="0070C0"/>
          <w:spacing w:val="0"/>
          <w:sz w:val="16"/>
          <w:szCs w:val="16"/>
        </w:rPr>
        <w:t>). В документах первые именовались «тяжелые бронеплощадки типа военсклада № 60», а вторые – ПТ-33 (тяжелая бронеплощадка 1933 года). С 1935 года встречается обозначение ПТ-35, которое применяется ко всем тяжелым бронеплощадкам (25635).</w:t>
      </w:r>
    </w:p>
    <w:p w14:paraId="3F2F060F" w14:textId="77777777" w:rsidR="00276C35" w:rsidRPr="00142305" w:rsidRDefault="00276C35" w:rsidP="00276C35">
      <w:pPr>
        <w:spacing w:after="0" w:line="240" w:lineRule="auto"/>
        <w:jc w:val="both"/>
        <w:rPr>
          <w:rFonts w:ascii="Times New Roman" w:hAnsi="Times New Roman"/>
          <w:color w:val="0070C0"/>
          <w:sz w:val="16"/>
          <w:szCs w:val="16"/>
        </w:rPr>
      </w:pPr>
    </w:p>
    <w:p w14:paraId="2438335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прошли испытания снегоочистителя Я-5 для Т-26, который был установлен в мастерских НИБТ полигона в 1933 (9527,240).</w:t>
      </w:r>
    </w:p>
    <w:p w14:paraId="1B1735F4"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647D89D6"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года прошло испытание Д-37 с новой башней, вооруженной 76,2-мм пушкой образца 1927 года. При этом выяснилось, что машина оказалась перетяжеленной, работа расчета неудобна, а конструкция орудийной установки в целом неудачна. Поэтому летом - осенью 1933 года провели очередную модернизацию бронедрезины Д-37 - на ней установили башню танка Т-26 с 45-мм пушкой (при этом кормовую нишу заменили двухстворчатым люком), радиостанцию 71 -ТК с по-ручневой антенной, оснастили укладками шанцевого инструмента и ящиками с ЗИП (18626).</w:t>
      </w:r>
    </w:p>
    <w:p w14:paraId="3F1DB96C" w14:textId="77777777" w:rsidR="00040C94" w:rsidRPr="0044524F" w:rsidRDefault="00040C94" w:rsidP="009654CF">
      <w:pPr>
        <w:spacing w:after="0" w:line="240" w:lineRule="auto"/>
        <w:jc w:val="both"/>
        <w:rPr>
          <w:rFonts w:ascii="Times New Roman" w:hAnsi="Times New Roman"/>
          <w:color w:val="000000" w:themeColor="text1"/>
          <w:sz w:val="16"/>
          <w:szCs w:val="16"/>
        </w:rPr>
      </w:pPr>
    </w:p>
    <w:p w14:paraId="725F468A"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марте 1933 г. началась сборка первой партии из десяти машин. Автомобиль получил временное обозначение «Легковой - первый» или сокращенно «Л-1», которое, впрочем, оказалось единственным -именно под этим именем автомобиль и вошел в историю. Все детали Л-1, за исключением части электрооборудования и некоторых измерительных приборов, были изготовлены в СССР - или на «Красном Путиловце», или на других предприятиях. Крупными смежниками числились Карбюраторный арматурный завод (будущий ЛенКарЗ) и завод «Вулкан». Шины поставлял ленинградский «Красный Треугольник». Шефство над постройкой взяло всесоюзное «Общество содействия развитию автомобилизма и улучшению дорог» - «Автодор». Заводское отделение этого общества сначала бездействовало, но потом, после </w:t>
      </w:r>
      <w:r w:rsidRPr="0044524F">
        <w:rPr>
          <w:rFonts w:ascii="Times New Roman" w:hAnsi="Times New Roman"/>
          <w:color w:val="000000" w:themeColor="text1"/>
          <w:sz w:val="16"/>
          <w:szCs w:val="16"/>
        </w:rPr>
        <w:lastRenderedPageBreak/>
        <w:t>ряда разоблачительных статей в прессе и соответствующих оргвыводов с заменой руководства, активизировалось. Совет «Автодора» создал специальный контрольный пост, который в каждом выпуске внутризаводской газеты давал сводки о ходе работ. Помощь общества носила не только характер «моральной поддержки». Например, при возникновении угрозы срыва своевременной поставки карбюраторов, бригада автодоровцев, командированная к смежнику, произвела сборку изделий, чем немало поспособствовала выполнению работы в срок. Для изготовления кузовных деталей и оперения опытной партии машин были найдены каретники, жестянщики и медники, которые кустарным способом выколотили эти детали на деревянном болване. Для будущего серийного производства планировалось, конечно, перейти к штампам и сборочному конвейеру, исключив «старорежимные» технологии (15591).</w:t>
      </w:r>
    </w:p>
    <w:p w14:paraId="4C2201F6" w14:textId="77777777" w:rsidR="0099326E" w:rsidRPr="0044524F" w:rsidRDefault="0099326E" w:rsidP="009654CF">
      <w:pPr>
        <w:spacing w:after="0" w:line="240" w:lineRule="auto"/>
        <w:jc w:val="both"/>
        <w:rPr>
          <w:rFonts w:ascii="Times New Roman" w:hAnsi="Times New Roman"/>
          <w:color w:val="000000" w:themeColor="text1"/>
          <w:sz w:val="16"/>
          <w:szCs w:val="16"/>
        </w:rPr>
      </w:pPr>
    </w:p>
    <w:p w14:paraId="67D2A124" w14:textId="77777777" w:rsidR="00D25EF2" w:rsidRPr="0044524F" w:rsidRDefault="00D25E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разра</w:t>
      </w:r>
      <w:r w:rsidRPr="0044524F">
        <w:rPr>
          <w:rFonts w:ascii="Times New Roman" w:hAnsi="Times New Roman"/>
          <w:color w:val="000000" w:themeColor="text1"/>
          <w:sz w:val="16"/>
          <w:szCs w:val="16"/>
        </w:rPr>
        <w:softHyphen/>
        <w:t>ботанный А.А. Крейслером мотор М-1 для 16-футового комбайна сдан в массовое произ</w:t>
      </w:r>
      <w:r w:rsidRPr="0044524F">
        <w:rPr>
          <w:rFonts w:ascii="Times New Roman" w:hAnsi="Times New Roman"/>
          <w:color w:val="000000" w:themeColor="text1"/>
          <w:sz w:val="16"/>
          <w:szCs w:val="16"/>
        </w:rPr>
        <w:softHyphen/>
        <w:t>водство как двигатель ГАЗ-НАТИ. По резуль</w:t>
      </w:r>
      <w:r w:rsidRPr="0044524F">
        <w:rPr>
          <w:rFonts w:ascii="Times New Roman" w:hAnsi="Times New Roman"/>
          <w:color w:val="000000" w:themeColor="text1"/>
          <w:sz w:val="16"/>
          <w:szCs w:val="16"/>
        </w:rPr>
        <w:softHyphen/>
        <w:t>татам эксплуатацион</w:t>
      </w:r>
      <w:r w:rsidRPr="0044524F">
        <w:rPr>
          <w:rFonts w:ascii="Times New Roman" w:hAnsi="Times New Roman"/>
          <w:color w:val="000000" w:themeColor="text1"/>
          <w:sz w:val="16"/>
          <w:szCs w:val="16"/>
        </w:rPr>
        <w:softHyphen/>
        <w:t>ных испытаний в его конструкцию были вне</w:t>
      </w:r>
      <w:r w:rsidRPr="0044524F">
        <w:rPr>
          <w:rFonts w:ascii="Times New Roman" w:hAnsi="Times New Roman"/>
          <w:color w:val="000000" w:themeColor="text1"/>
          <w:sz w:val="16"/>
          <w:szCs w:val="16"/>
        </w:rPr>
        <w:softHyphen/>
        <w:t>сены изменения. Пос</w:t>
      </w:r>
      <w:r w:rsidRPr="0044524F">
        <w:rPr>
          <w:rFonts w:ascii="Times New Roman" w:hAnsi="Times New Roman"/>
          <w:color w:val="000000" w:themeColor="text1"/>
          <w:sz w:val="16"/>
          <w:szCs w:val="16"/>
        </w:rPr>
        <w:softHyphen/>
        <w:t>ле мотор испытывался с 20-футовым комбай</w:t>
      </w:r>
      <w:r w:rsidRPr="0044524F">
        <w:rPr>
          <w:rFonts w:ascii="Times New Roman" w:hAnsi="Times New Roman"/>
          <w:color w:val="000000" w:themeColor="text1"/>
          <w:sz w:val="16"/>
          <w:szCs w:val="16"/>
        </w:rPr>
        <w:softHyphen/>
        <w:t>ном. Двигатель выпус</w:t>
      </w:r>
      <w:r w:rsidRPr="0044524F">
        <w:rPr>
          <w:rFonts w:ascii="Times New Roman" w:hAnsi="Times New Roman"/>
          <w:color w:val="000000" w:themeColor="text1"/>
          <w:sz w:val="16"/>
          <w:szCs w:val="16"/>
        </w:rPr>
        <w:softHyphen/>
        <w:t>кался до конца 1941 г. (22518).</w:t>
      </w:r>
    </w:p>
    <w:p w14:paraId="167CE102" w14:textId="77777777" w:rsidR="00D25EF2" w:rsidRPr="0044524F" w:rsidRDefault="00D25EF2" w:rsidP="009654CF">
      <w:pPr>
        <w:spacing w:after="0" w:line="240" w:lineRule="auto"/>
        <w:jc w:val="both"/>
        <w:rPr>
          <w:rFonts w:ascii="Times New Roman" w:hAnsi="Times New Roman"/>
          <w:color w:val="000000" w:themeColor="text1"/>
          <w:sz w:val="16"/>
          <w:szCs w:val="16"/>
        </w:rPr>
      </w:pPr>
    </w:p>
    <w:p w14:paraId="4FB20E83" w14:textId="77777777" w:rsidR="00746843" w:rsidRPr="0044524F" w:rsidRDefault="00746843"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марте 1933 г. был сдан в эксплуатацию механический комбинат ЧЗКС, построенный по инициативе комсомольцев во внерабочее время – вечерами и по воскресениям. Он стал базой по ремонту строительного оборудования, внедрению механизации и изготовлению металлических конструкций. Здесь же отливали и часть деталей для первых станков. И всё же план строительства в 1933 г. был выполнен только на 68%, а первого квартала 1934 г. – на 67% (11557).</w:t>
      </w:r>
    </w:p>
    <w:p w14:paraId="7CE390C0" w14:textId="77777777" w:rsidR="00746843" w:rsidRPr="0044524F" w:rsidRDefault="00746843" w:rsidP="009654CF">
      <w:pPr>
        <w:pStyle w:val="af2"/>
        <w:jc w:val="both"/>
        <w:rPr>
          <w:i w:val="0"/>
          <w:iCs w:val="0"/>
          <w:color w:val="000000" w:themeColor="text1"/>
          <w:spacing w:val="0"/>
          <w:kern w:val="0"/>
          <w:position w:val="0"/>
          <w:sz w:val="16"/>
          <w:szCs w:val="16"/>
          <w:lang w:val="ru-RU"/>
        </w:rPr>
      </w:pPr>
    </w:p>
    <w:p w14:paraId="41351BC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в развитие решений конференции в радиосекции Науч но-технического совета ВЭСО состоялось заседание, посвященное вопросам стандартизации и унификации типов войсковых радиостанций. На заседании были выработаны предложения, нашедшие в последующем практическую ре ализацию в работе предприятий радиопромышленности. В частности, на завод им. Коминтерна был возложен основной объем в области разработки и произ водства радиомаяков для ВВС и ВМФ. В целях разграничения сфер ответст венности было высказано предложение сосредоточить в ЦВИРЛ разработку радиосредств с мощностью до 1кВт, а в ОРПУ завода им. Коминтерна – свыше 1 кВт (ЦГА СПб., ф. 945, оп. 3, д. 172, л. 182, 185.). План разработки опытных образцов предприятиями ВЭСО на 1933 г. да ет представление о том, каким образом были реализованы рекомендации и решения майской конференции 1932 г. в ВЭСО. План предусматривал разра ботку заводами и лабораториями объединения в течение года девятнадцати типов радиоизделий. Заводу им. Коминтерна ставилась задача на разработку тяжелой аэродромной радиостанции РАТ и радиомаяка повышенной дально сти для ВВС типа 13А-2, а ЦРЛ – звуковых аппаратов для связи между само летами и для внутренней связи внутри тяжелых бомбардировщиков, а также дуплексных телеграфно-телефонных станций на ИК-лучах мощного и облег ченного типов (ЦГА СПб., ф. 945, оп. 3, д. 172, л. 10.). Начиная с 1932 г. на заводе им. Коминтерна, наряду с радиоаппаратурой для ВМФ, осуществляется серийное производство аппаратуры для решения задач авианавигации. В этом году было изготовлено двенадцать полевых ра диомаяков типа 13А, два образца авиационных приемных станций типа 13ПС для приема сигналов этих маяков, началось серийное производство станций подслушивания типа СП-31. В 1933-1934 гг. производство этих средств было продолжено. В 1935-36 гг. изготавливается 183 радиомаяка РК-1 «Магнит», 40 станций СП-3 «Психея», 250 авиаприемных станций новой модификации 13ПС-1 «Марс», еще 90 «Марсов» модернизируются (ЦГА СПб., ф. 945, оп. 3, д. 224, л. 70; ф. 945, оп. 3, д. 292, л. 53.). Одновременно в ОРПУ шли активные работы по разработке новых средств. Кроме этого, на заводе им. Коминтерна осуществлялся серийный выпуск радиостанций, разработанных в ЦВИРЛ и вошедших во вторую систему радиовооружения РККА (например, аэродромных радиостанций 11АК) (ЦГА СПб., ф. 945, оп. 3, д. 172, л. 3.). Реализуя решения 2-й технической конференции, руководство ВЭСО и завода «Светлана» предприняло меры по расширению заводской вакуумной лаборатории, которая в результате к 1933 г. была преобразована в ОВЛ. Руко водителем лаборатории до 1937 г. оставался С.А. Векшинский. Через нее про ходили изобретательские заявки по вакуумной технике со всей страны, ее со трудники давали консультации и проводили экспертизы по проектам в облас ти электровакуумной промышленности ("Светлана": История Ленинградского объединения электронного приборостроения "Светлана". Л., 1986. С. 70.). К 1935 г. ассортимент вакуумных из делий, разработанных в ОВЛ, достиг 165 типов (Векшинский С.А. Советская электроника в годы мира и войны / Вестник электропро мышленности. – 1945. - № 4-5. - С. 21.) (11870).</w:t>
      </w:r>
    </w:p>
    <w:p w14:paraId="2D78394D"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783B10CB" w14:textId="25DBD219" w:rsidR="00E931FD" w:rsidRPr="0044524F" w:rsidRDefault="00E931FD" w:rsidP="009654CF">
      <w:pPr>
        <w:pStyle w:val="paragraphstyle"/>
        <w:shd w:val="clear" w:color="auto" w:fill="FFFFFF"/>
        <w:spacing w:before="0" w:beforeAutospacing="0" w:after="0" w:line="240" w:lineRule="auto"/>
        <w:jc w:val="both"/>
        <w:rPr>
          <w:color w:val="000000" w:themeColor="text1"/>
          <w:sz w:val="16"/>
          <w:szCs w:val="16"/>
        </w:rPr>
      </w:pPr>
      <w:r w:rsidRPr="0044524F">
        <w:rPr>
          <w:color w:val="000000" w:themeColor="text1"/>
          <w:sz w:val="16"/>
          <w:szCs w:val="16"/>
        </w:rPr>
        <w:t>К марту</w:t>
      </w:r>
      <w:r w:rsidR="0088747B">
        <w:rPr>
          <w:color w:val="000000" w:themeColor="text1"/>
          <w:sz w:val="16"/>
          <w:szCs w:val="16"/>
        </w:rPr>
        <w:t xml:space="preserve"> </w:t>
      </w:r>
      <w:r w:rsidRPr="0044524F">
        <w:rPr>
          <w:rStyle w:val="highlight"/>
          <w:color w:val="000000" w:themeColor="text1"/>
          <w:sz w:val="16"/>
          <w:szCs w:val="16"/>
        </w:rPr>
        <w:t>1933</w:t>
      </w:r>
      <w:r w:rsidR="0088747B">
        <w:rPr>
          <w:rStyle w:val="highlight"/>
          <w:color w:val="000000" w:themeColor="text1"/>
          <w:sz w:val="16"/>
          <w:szCs w:val="16"/>
        </w:rPr>
        <w:t xml:space="preserve"> </w:t>
      </w:r>
      <w:r w:rsidRPr="0044524F">
        <w:rPr>
          <w:color w:val="000000" w:themeColor="text1"/>
          <w:sz w:val="16"/>
          <w:szCs w:val="16"/>
        </w:rPr>
        <w:t>г. с 1931 г. — были расторгнуты 78 договоров о технической помощи. При досрочном расторжении соглашений иностранные фирмы и специалисты получали соответствующие компенсации. На 1933 г. действовали 46 договоров. По мере развития отечественной техники и науки потребности в иностранной техконсультации сокращались. Однако при необходимости заключались новые договоры, которые по своим задачам и условиям значительно отличались от договоров начала первой пятилетки (17275).</w:t>
      </w:r>
    </w:p>
    <w:p w14:paraId="0D002313" w14:textId="77777777" w:rsidR="00E931FD" w:rsidRPr="0044524F" w:rsidRDefault="00E931FD" w:rsidP="009654CF">
      <w:pPr>
        <w:spacing w:after="0" w:line="240" w:lineRule="auto"/>
        <w:jc w:val="both"/>
        <w:rPr>
          <w:rFonts w:ascii="Times New Roman" w:hAnsi="Times New Roman"/>
          <w:color w:val="000000" w:themeColor="text1"/>
          <w:sz w:val="16"/>
          <w:szCs w:val="16"/>
        </w:rPr>
      </w:pPr>
    </w:p>
    <w:p w14:paraId="594E55F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последний сторожевой корабль I се</w:t>
      </w:r>
      <w:r w:rsidRPr="0044524F">
        <w:rPr>
          <w:rFonts w:ascii="Times New Roman" w:hAnsi="Times New Roman"/>
          <w:color w:val="000000" w:themeColor="text1"/>
          <w:sz w:val="16"/>
          <w:szCs w:val="16"/>
        </w:rPr>
        <w:softHyphen/>
        <w:t>рии — "Шквал" — был принят в состав Морских сил Черного моря. Таким образом, вся серия была закончена в течение пяти лет от начала постройки, что значительно превышало дого</w:t>
      </w:r>
      <w:r w:rsidRPr="0044524F">
        <w:rPr>
          <w:rFonts w:ascii="Times New Roman" w:hAnsi="Times New Roman"/>
          <w:color w:val="000000" w:themeColor="text1"/>
          <w:sz w:val="16"/>
          <w:szCs w:val="16"/>
        </w:rPr>
        <w:softHyphen/>
        <w:t>ворные сроки. Корабли типа "Ураган" имели полубачную архитектуру, полно</w:t>
      </w:r>
      <w:r w:rsidRPr="0044524F">
        <w:rPr>
          <w:rFonts w:ascii="Times New Roman" w:hAnsi="Times New Roman"/>
          <w:color w:val="000000" w:themeColor="text1"/>
          <w:sz w:val="16"/>
          <w:szCs w:val="16"/>
        </w:rPr>
        <w:softHyphen/>
        <w:t>стью клепаную конструкцию и смешанную систему набора: про</w:t>
      </w:r>
      <w:r w:rsidRPr="0044524F">
        <w:rPr>
          <w:rFonts w:ascii="Times New Roman" w:hAnsi="Times New Roman"/>
          <w:color w:val="000000" w:themeColor="text1"/>
          <w:sz w:val="16"/>
          <w:szCs w:val="16"/>
        </w:rPr>
        <w:softHyphen/>
        <w:t>дольную в средней части корпуса (между орудиями) и поперечную в оконечностях. Особенностью их постройки стала оцинковка листов обшивки, части палубного настила, элементов набора и фунда</w:t>
      </w:r>
      <w:r w:rsidRPr="0044524F">
        <w:rPr>
          <w:rFonts w:ascii="Times New Roman" w:hAnsi="Times New Roman"/>
          <w:color w:val="000000" w:themeColor="text1"/>
          <w:sz w:val="16"/>
          <w:szCs w:val="16"/>
        </w:rPr>
        <w:softHyphen/>
        <w:t>ментов механизмов. Главные поперечные переборки подразделяли корпус на 14 водонепроницаемых отсеков. Впервые к закрытым по</w:t>
      </w:r>
      <w:r w:rsidRPr="0044524F">
        <w:rPr>
          <w:rFonts w:ascii="Times New Roman" w:hAnsi="Times New Roman"/>
          <w:color w:val="000000" w:themeColor="text1"/>
          <w:sz w:val="16"/>
          <w:szCs w:val="16"/>
        </w:rPr>
        <w:softHyphen/>
        <w:t>мещениям корабля предъявлялось требование газонепроницае</w:t>
      </w:r>
      <w:r w:rsidRPr="0044524F">
        <w:rPr>
          <w:rFonts w:ascii="Times New Roman" w:hAnsi="Times New Roman"/>
          <w:color w:val="000000" w:themeColor="text1"/>
          <w:sz w:val="16"/>
          <w:szCs w:val="16"/>
        </w:rPr>
        <w:softHyphen/>
        <w:t>мости.</w:t>
      </w:r>
    </w:p>
    <w:p w14:paraId="2D4491D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Машинно-котельная установка (впервые в отечественной практике) работала на перегретом паре (280°С, 21 кгс/см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Пар вырабатывали два водотрубных котла шатрового типа с боковым распо</w:t>
      </w:r>
      <w:r w:rsidRPr="0044524F">
        <w:rPr>
          <w:rFonts w:ascii="Times New Roman" w:hAnsi="Times New Roman"/>
          <w:color w:val="000000" w:themeColor="text1"/>
          <w:sz w:val="16"/>
          <w:szCs w:val="16"/>
        </w:rPr>
        <w:softHyphen/>
        <w:t>ложением пароперегревателей производительностью по 20 т/ч, разработанные под руководством Э. Э. Папмеля. ГТЗА включали турбины высокого давления, низкого давления, заднего хода и до-ступенчатые трехопорные зубчатые передачи (до этого на россий</w:t>
      </w:r>
      <w:r w:rsidRPr="0044524F">
        <w:rPr>
          <w:rFonts w:ascii="Times New Roman" w:hAnsi="Times New Roman"/>
          <w:color w:val="000000" w:themeColor="text1"/>
          <w:sz w:val="16"/>
          <w:szCs w:val="16"/>
        </w:rPr>
        <w:softHyphen/>
        <w:t>ских кораблях применялись безредукторные низкооборотные тур</w:t>
      </w:r>
      <w:r w:rsidRPr="0044524F">
        <w:rPr>
          <w:rFonts w:ascii="Times New Roman" w:hAnsi="Times New Roman"/>
          <w:color w:val="000000" w:themeColor="text1"/>
          <w:sz w:val="16"/>
          <w:szCs w:val="16"/>
        </w:rPr>
        <w:softHyphen/>
        <w:t>бины). Проектная мощность одного агрегата составляла 3750 л. с. при частоте вращения гребного вала 630 об/мин</w:t>
      </w:r>
      <w:r w:rsidRPr="0044524F">
        <w:rPr>
          <w:rFonts w:ascii="Times New Roman" w:hAnsi="Times New Roman"/>
          <w:color w:val="000000" w:themeColor="text1"/>
          <w:sz w:val="16"/>
          <w:szCs w:val="16"/>
          <w:vertAlign w:val="superscript"/>
        </w:rPr>
        <w:t>58</w:t>
      </w:r>
      <w:r w:rsidRPr="0044524F">
        <w:rPr>
          <w:rFonts w:ascii="Times New Roman" w:hAnsi="Times New Roman"/>
          <w:color w:val="000000" w:themeColor="text1"/>
          <w:sz w:val="16"/>
          <w:szCs w:val="16"/>
        </w:rPr>
        <w:t>. Постоянный ток напряжением 115 В вырабатывался двумя турбогенераторами мощностью по 30 кВт, созданными по прототипу генераторов "Но</w:t>
      </w:r>
      <w:r w:rsidRPr="0044524F">
        <w:rPr>
          <w:rFonts w:ascii="Times New Roman" w:hAnsi="Times New Roman"/>
          <w:color w:val="000000" w:themeColor="text1"/>
          <w:sz w:val="16"/>
          <w:szCs w:val="16"/>
        </w:rPr>
        <w:softHyphen/>
        <w:t>вика" и резервным (аварийным) "нефтединамо" (11 кВт), поме</w:t>
      </w:r>
      <w:r w:rsidRPr="0044524F">
        <w:rPr>
          <w:rFonts w:ascii="Times New Roman" w:hAnsi="Times New Roman"/>
          <w:color w:val="000000" w:themeColor="text1"/>
          <w:sz w:val="16"/>
          <w:szCs w:val="16"/>
        </w:rPr>
        <w:softHyphen/>
        <w:t>щенным в надстройке на верхней палубе. Нормальный запас топ</w:t>
      </w:r>
      <w:r w:rsidRPr="0044524F">
        <w:rPr>
          <w:rFonts w:ascii="Times New Roman" w:hAnsi="Times New Roman"/>
          <w:color w:val="000000" w:themeColor="text1"/>
          <w:sz w:val="16"/>
          <w:szCs w:val="16"/>
        </w:rPr>
        <w:softHyphen/>
        <w:t>лива составил 110 т, максимальный — 115 т.</w:t>
      </w:r>
    </w:p>
    <w:p w14:paraId="3A9BA5E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сторожевых кораблей состояло из 102-мм орудий длиной в 60 калибров, аналогичных установленным на эсминцах типа "Орфей". Для управления огнем служил 1,5-метровый дально</w:t>
      </w:r>
      <w:r w:rsidRPr="0044524F">
        <w:rPr>
          <w:rFonts w:ascii="Times New Roman" w:hAnsi="Times New Roman"/>
          <w:color w:val="000000" w:themeColor="text1"/>
          <w:sz w:val="16"/>
          <w:szCs w:val="16"/>
        </w:rPr>
        <w:softHyphen/>
        <w:t>мер и приборы системы Гейслера. Зенитная артиллерия состояла из 45-мм полуавтоматов 21К, которые начали устанавливать в диа</w:t>
      </w:r>
      <w:r w:rsidRPr="0044524F">
        <w:rPr>
          <w:rFonts w:ascii="Times New Roman" w:hAnsi="Times New Roman"/>
          <w:color w:val="000000" w:themeColor="text1"/>
          <w:sz w:val="16"/>
          <w:szCs w:val="16"/>
        </w:rPr>
        <w:softHyphen/>
        <w:t>метральной плоскости, начиная с 1933 г. Она дополнялась двумя 12,7-мм пулеметами по бокам носовой надстройки.</w:t>
      </w:r>
    </w:p>
    <w:p w14:paraId="003906C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Первые корабли типа "Ураган" встретили справедливое отрица</w:t>
      </w:r>
      <w:r w:rsidRPr="0044524F">
        <w:rPr>
          <w:rFonts w:ascii="Times New Roman" w:hAnsi="Times New Roman"/>
          <w:color w:val="000000" w:themeColor="text1"/>
          <w:sz w:val="16"/>
          <w:szCs w:val="16"/>
        </w:rPr>
        <w:softHyphen/>
        <w:t>тельное отношение со стороны руководства УВМС (В. М. Орлов). Действительно, по своим тактико-техническим элементам сторо</w:t>
      </w:r>
      <w:r w:rsidRPr="0044524F">
        <w:rPr>
          <w:rFonts w:ascii="Times New Roman" w:hAnsi="Times New Roman"/>
          <w:color w:val="000000" w:themeColor="text1"/>
          <w:sz w:val="16"/>
          <w:szCs w:val="16"/>
        </w:rPr>
        <w:softHyphen/>
        <w:t>жевики, развивавшие скорость 23—25 уз, в лучшем случае соответ</w:t>
      </w:r>
      <w:r w:rsidRPr="0044524F">
        <w:rPr>
          <w:rFonts w:ascii="Times New Roman" w:hAnsi="Times New Roman"/>
          <w:color w:val="000000" w:themeColor="text1"/>
          <w:sz w:val="16"/>
          <w:szCs w:val="16"/>
        </w:rPr>
        <w:softHyphen/>
        <w:t>ствовали эскадренным миноносцам типа "Украина", вступившим в строй в 1905—1906 гг и перевооруженным 102-мм артиллерией накануне первой мировой войны. Тихоходный для миноносцев 30-х гг. "Ураган" имел мало шансов на успешную торпедную атаку, а его возможности в охранении эскадры (линкоров) были ничтож</w:t>
      </w:r>
      <w:r w:rsidRPr="0044524F">
        <w:rPr>
          <w:rFonts w:ascii="Times New Roman" w:hAnsi="Times New Roman"/>
          <w:color w:val="000000" w:themeColor="text1"/>
          <w:sz w:val="16"/>
          <w:szCs w:val="16"/>
        </w:rPr>
        <w:softHyphen/>
        <w:t xml:space="preserve">ны из-за отсутствия эффективных зенитной артиллерии (на 1931 г.) и средств обнаружения </w:t>
      </w:r>
      <w:r w:rsidRPr="0044524F">
        <w:rPr>
          <w:rFonts w:ascii="Times New Roman" w:hAnsi="Times New Roman"/>
          <w:smallCaps/>
          <w:color w:val="000000" w:themeColor="text1"/>
          <w:sz w:val="16"/>
          <w:szCs w:val="16"/>
        </w:rPr>
        <w:t xml:space="preserve">подводньбс </w:t>
      </w:r>
      <w:r w:rsidRPr="0044524F">
        <w:rPr>
          <w:rFonts w:ascii="Times New Roman" w:hAnsi="Times New Roman"/>
          <w:color w:val="000000" w:themeColor="text1"/>
          <w:sz w:val="16"/>
          <w:szCs w:val="16"/>
        </w:rPr>
        <w:t>лодок.</w:t>
      </w:r>
    </w:p>
    <w:p w14:paraId="26C5FB6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 не менее, ссылаясь на утвержденные планы и, главное, на освоение постройки сторожевиков промышленностью, обновленное руководство УВМС пошло на продолжение серии, точнее, как тогда говорили, на создание кораблей II, III, и IV серий практически по одному и тому же проекту (3898).</w:t>
      </w:r>
    </w:p>
    <w:p w14:paraId="144A629B"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04B5A16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1934 г. горьковское Проектное бюро металлических судов речного, внутреннего морского и озерного флотов "Речсудопроект" было разделено на Сормовское государственное всесоюзное проектно-конструкторское бюро речного судостроения "Речсудопроект" (Сормовский "Речсудопроект") и Проектное бюро "Горьковский Речсудопроект". В апреле 1938 г. Проектная контора "Горьковский Речсудопроект" и Сормовский "Речсудопроект" объединены в Государственное всесоюзное проектное бюро по проектированию речных и морских судов "Горьковский Речсудопроект", переименованное в сентябре 1939 г. в Центральное конструкторское бюро (ЦКБ). Приказом Наркомата судостроительной промышленности СССР от 7 октября 1939 г. переименовано в Государственное союзное центральное конструкторское бюро N 51 (ЦКБ -51). Приказом Министерства судостроительной промышленности СССР от 31 января 1966 г. переименовано в Центральное конструкторское бюро "Волгобалтсудопроект" (ЦКБ "Волгобалтсудопроект"), приказом министерства от 6 июля 1972 г. - в Центральное конструкторское бюро "Вымпел" (ЦКБ "Вымпел"). Указом Президиума Верховного Совета СССР от 25 октября 1977 г. награждено орденом Трудового Красного Знамени (12102).</w:t>
      </w:r>
    </w:p>
    <w:p w14:paraId="46FE0F76" w14:textId="77777777" w:rsidR="0099326E" w:rsidRPr="0044524F" w:rsidRDefault="0099326E" w:rsidP="009654CF">
      <w:pPr>
        <w:spacing w:after="0" w:line="240" w:lineRule="auto"/>
        <w:jc w:val="both"/>
        <w:rPr>
          <w:rFonts w:ascii="Times New Roman" w:hAnsi="Times New Roman"/>
          <w:iCs/>
          <w:color w:val="000000" w:themeColor="text1"/>
          <w:sz w:val="16"/>
          <w:szCs w:val="16"/>
        </w:rPr>
      </w:pPr>
    </w:p>
    <w:p w14:paraId="1BA4054D" w14:textId="77777777" w:rsidR="00746843"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7E6C0FDE"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12A9C0F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в докладе о перспективах ВВС во 2-й пятилетке говорилось: "Основное развитие бомбардировщиков должно идти по линии стратегической авиации".</w:t>
      </w:r>
    </w:p>
    <w:p w14:paraId="155DA82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Командование ВВС намеревалось заказать сотни огромных машин. Одно за другим писались все более экзотические задания на такие самолеты. Например, ТБ-6 с шестью моторами М-44 (по 2000 л.с.) и максимальной бомбовой нагрузкой до 22 000 кг. Его вооружение складывалось из четырех пушек и семи-девяти пулеметов (включая три крупнокалиберных). Самолет должен был иметь максимальную дальность до 4800 км. Еще больший по размерам ТБ-7 (с восемью М-44), предназначенный для "разрушения объектов противника государственно-стратегического значения", рассчитывался уже на 30 т бомб. А в "Системе вооружений..." был заложен еще и СТБ ("сверхтяжелый бомбардировщик") для "разрушения объектов противника исключительной важности". При радиусе действия 2500 км эта машина, которую собирались строить по схеме летающего крыла, могла, взлетев из Крыма, обрушить 25 т бомб на Мальту или Суэцкий канал.</w:t>
      </w:r>
    </w:p>
    <w:p w14:paraId="45092F92"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Всю эту армаду должны были поддерживать "вспомогательные бомбардировщики" - такие же огромные самолеты ГВФ, на которых заранее предусматривалась установка стрелкового и бомбового вооружения. Они должны были бомбить цели по ночам. Эта концепция являлась аналогом "вспомогательного крейсера" в военно-морском флоте. Во вспомогательные крейсера во время войны превращали быстроходные торговые суда и пассажирские лайнеры. Применительно к авиации ее </w:t>
      </w:r>
      <w:r w:rsidRPr="0044524F">
        <w:rPr>
          <w:rFonts w:ascii="Times New Roman" w:hAnsi="Times New Roman"/>
          <w:color w:val="000000" w:themeColor="text1"/>
          <w:sz w:val="16"/>
          <w:szCs w:val="16"/>
        </w:rPr>
        <w:lastRenderedPageBreak/>
        <w:t>впервые опробовали немцы. Лишенные Версальским договором права иметь военную авиацию, они намеревались в случае боевых действий "поставить под ружье" пассажирские самолеты, установив на них бомбодержатели и пулеметы по заранее отлаженной схеме.</w:t>
      </w:r>
    </w:p>
    <w:p w14:paraId="0C72C57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ту же "Систему вооружений...", подготовленную в 1931 г., включались гражданские самолеты, в конструкцию которых исходно закладывалось двойное назначение. Они могли служить при необходимости как тяжелые воен- но-транспортные машины или бомбардировщики. Это были ГТБ (бомбовая нагрузка 7 т), ГТБТ (10 т), 9ТБТ (15 т) и ГТБ-5 (3 т). В последнем собирались странным образом совместить военные функции бомбардировщика и "летающей амбулатории". Немного позже 9ТБТ заменили на почти идентичный по требованиям, но уже чисто военный ТБ-8 и добавили ТБ-9 под 25 т бомб.</w:t>
      </w:r>
    </w:p>
    <w:p w14:paraId="2A0F10E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Вот, например, какие требования предъявляли к "транспорту-грузовозу" ТБ-8 по заданию, рассматривавшемуся на заседании мобилизационного отдела Управления ГВФ 20 августа 1931 г. Назначением его считались перевозки грузов, высадка десантов и ночное бомбометание. Самолет должен был перевозить различные грузы, включая тяжелую военную технику, с весом до 15 т. Как бомбардировщик, он нес столько же бомб калибром от 250 до 2000 кг, либо баки для отравляющих веществ. Последнее было записано следующим образом: "должен допускать переоборудование под химсамолет". Летные данные были типичны для поколения гигантов: максимальная скорость 250 км/ч при посадочной всего 75-80 км/ч (что вряд ли удалось бы выполнить при отсутствии механизации крыла), нормальная дальность 1500 км (максимальная - 2000 км). Оборонительное вооружение складывалось из четырех крупнокалиберных (12,7-мм) пулеметов (двух спереди и двух сзади) и одного 7,62-мм пулемета, стреляющего вниз-назад. Боезапас состоял из 1600 крупнокалиберных патронов и 250 обычных. ТБ-8 планировали вывести на государственные испытания 1 октября 1933 г.</w:t>
      </w:r>
    </w:p>
    <w:p w14:paraId="1F07FBC8"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Система стратегической авиации предполагалась двухчленной. В паре с бомбардировщиком-"линкором" должен был создаваться "крейсер" - неманевренный самолет сопровождения. "Крейсера" имели мощное пулеметно-пу- шечное вооружение и минимальную бомбовую нагрузку. Такие машины при операциях днем хотели расположить по краям строя бомбардировщиков. Они должны были создавать огневой заслон на пути атакующих истребителей. При отсутствии таковых "крейсера" могли мелкими бомбами или пулеметным огнем подавлять зенитную артиллерию. Предусматривались действия и отдельно от общего строя: на них также возлагались функции доразведки целей и метеоразведки. Эти самолеты несли также дозорно-сторожевую службу. Радиолокаторов тогда еще не существовало; звукопеленгатор, применявшийся зенитчиками на земле, на борту был бесполезен из-за шума моторов и винтов. Оставалось выслать вперед и по бокам основного строя тяжелых бомбардировщиков машины охранения, с которых наблюдатели будут докладывать по радио о приближении истребителей противника.</w:t>
      </w:r>
    </w:p>
    <w:p w14:paraId="1052F24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целью экономии "крейсер" должен был представлять модификацию бомбардировщика меньшей размерности. Так, для ТБ-4 и ТБ-6 такой самолет хотели сделать на базе ТБ-3. Самый маленький "крейсер", для прикрытия самих ТБ-3, унифицировался с двухмоторным бомбардировщиком войсковой авиации.</w:t>
      </w:r>
    </w:p>
    <w:p w14:paraId="5925B10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конечном итоге, по мнению Управления ВВС, на вооружении стратегической авиации должны были находиться гиганты с взлетным весом 140 - 150 т (этот тип Бузанов именовал собственно "тяжелыми бомбардировщиками"), затем "средние" (с весом 15 - 18 т, примерно как ТБ-3) и "крейсера" на их базе, и, наконец, "крейсера" для сопровождения "средних" машин. Существовала также точка зрения, что необходимо иметь и некоторую долю "переходных" бомбардировщиков. по своим данным примерно соответствовавших ТБ-4.</w:t>
      </w:r>
    </w:p>
    <w:p w14:paraId="160684C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Взлетный вес в 150 т - это примерно на уровне Ту-95, стратегического турбовинтового бомбардировщика 50-х годов с межконтинентальной дальностью. В начале 30-х же самым большим из построенных самолетов являлась немецкая десятимоторная летающая лодка Дорнье Do X; взлетный вес у нее равнялся 48 т. Это чудовище не способно было даже в достаточной степени подняться над волнами, и являлось скорее экранопланом, нежели гидросамолетом. На суше первенство держал немецкий четырехмоторный пассажирский самолет Юнкере G38 с взлетным весом 23 т, выпущенный в 1932 г. Его концепция во многом была близка к нашим бомбардировщикам-гигантам. Немцы втайне (мешали условия Версальского договора) проработали для G38 и вариант тяжелого бомбардировщика, именовавшийся К51. Пять экземпляров таких бомбовозов по лицензии построили в Японии.</w:t>
      </w:r>
    </w:p>
    <w:p w14:paraId="1320E1E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одному из вариантов плана развития ВВС РККА предполагалось, что к 1937 г. тяжелобомбардировочная авиация будет состоять наполовину из ТБ-3. Вторую половину должны были составлять "линкоры 1-го класса" - ТБ-4 (40%) и еще большие ТБ-6 (10%). К 1 января 1938 г. в строю ВВС РККА предполагали иметь 384 ТБ-3, 288 ТБ-4 и 96 ТБ-6. Впечатляющая армада?</w:t>
      </w:r>
    </w:p>
    <w:p w14:paraId="6F87D879"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723D99A8" w14:textId="77777777" w:rsidR="00E15462" w:rsidRPr="0044524F" w:rsidRDefault="00E1546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марте 1933 г. завершилась разработка Штабом РККА первого детального проекта второго пятилетнего плана развития РККА и основных параметров мобилизационного расписания № 18 на 1938 г. Соответствующий доклад с просьбой утвердить "принципиальные основы организационного строительства вооруженных сил СССР на второе пятилетие" и "мобилизационные заявки промышленности на 1934-1938 гг." начальник Штаба в начале апреля представил наркому Ворошилову и его заместителям - Гамарнику и Тухачевскому (Доклад Начальника Штаба РККА Егорова Народному Комиссару по Военным и Морским делам Ворошилову "О втором пятилетнем плане развития РККА", 30.03/02.04.1933 // РГВА Ф. 40442. </w:t>
      </w:r>
      <w:r w:rsidRPr="0044524F">
        <w:rPr>
          <w:rFonts w:ascii="Times New Roman" w:eastAsia="Times New Roman" w:hAnsi="Times New Roman"/>
          <w:color w:val="000000" w:themeColor="text1"/>
          <w:sz w:val="16"/>
          <w:szCs w:val="16"/>
          <w:lang w:val="en-US" w:eastAsia="ru-RU"/>
        </w:rPr>
        <w:t>On</w:t>
      </w:r>
      <w:r w:rsidRPr="0044524F">
        <w:rPr>
          <w:rFonts w:ascii="Times New Roman" w:eastAsia="Times New Roman" w:hAnsi="Times New Roman"/>
          <w:color w:val="000000" w:themeColor="text1"/>
          <w:sz w:val="16"/>
          <w:szCs w:val="16"/>
          <w:lang w:eastAsia="ru-RU"/>
        </w:rPr>
        <w:t>. 1. Д. 1042. Л. 1-73.) "Основные и решающие обстоятельства в строительстве вооруженных сил Союза во второй пятилетке".</w:t>
      </w:r>
    </w:p>
    <w:p w14:paraId="403CAB28" w14:textId="77777777" w:rsidR="00E15462" w:rsidRPr="0044524F" w:rsidRDefault="00E1546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Штаб определял на основе прямолинейно-военного подхода, в рамках которого не оставалось места для характеристики соотношения гражданских и оборонных потребностей. Таковыми "обстоятельствами", согласно докладу Егорова, являлись: "1. Достигнутые успехи в строительстве РККА за первую пятилетку, составляющие отправную базу для дальнейшего ее укрепления и расширения и 2. Оперативные расчеты, вытекающие из задач плана обороны СССР" (Доклад Начальника Штаба РККА Егорова Народному Комиссару по Военным и Морским делам Ворошилову "О втором пятилетнем плане развития РККА", 30.03/02.04.1933 // РГВА Ф. 40442. </w:t>
      </w:r>
      <w:r w:rsidRPr="0044524F">
        <w:rPr>
          <w:rFonts w:ascii="Times New Roman" w:eastAsia="Times New Roman" w:hAnsi="Times New Roman"/>
          <w:color w:val="000000" w:themeColor="text1"/>
          <w:sz w:val="16"/>
          <w:szCs w:val="16"/>
          <w:lang w:val="en-US" w:eastAsia="ru-RU"/>
        </w:rPr>
        <w:t>On</w:t>
      </w:r>
      <w:r w:rsidRPr="0044524F">
        <w:rPr>
          <w:rFonts w:ascii="Times New Roman" w:eastAsia="Times New Roman" w:hAnsi="Times New Roman"/>
          <w:color w:val="000000" w:themeColor="text1"/>
          <w:sz w:val="16"/>
          <w:szCs w:val="16"/>
          <w:lang w:eastAsia="ru-RU"/>
        </w:rPr>
        <w:t>. 1. Д. 1042. Л. 1-73.).</w:t>
      </w:r>
    </w:p>
    <w:p w14:paraId="727EF160" w14:textId="77777777" w:rsidR="00E15462" w:rsidRPr="0044524F" w:rsidRDefault="00E1546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Первое из этих утверждений, по существу, узаконивало идею самовоспроизводства советской военной мощи. Достигнутый уровень реконструкции вооруженных сил рассматривался не в качестве базовой величины для достижения оборонной достаточности, но как основание для постановки среднесрочных целей на пути естественного (и потому неограниченного) разрастания. Тезисы начальника Штаба (как и содержание доклада в целом), по существу, совпадали с концепцией Тухачевского, заявленной им накануне отставки с этого поста пятью годами ранее: "Все основные вопросы бюджетного планирования накопления военных материалов и развитая технологии должны разрабатываться Штабом как вопросы строительства вооруженных сил и подготовки к войне, вытекающие из плана операций"( </w:t>
      </w:r>
      <w:r w:rsidRPr="0044524F">
        <w:rPr>
          <w:rFonts w:ascii="Times New Roman" w:eastAsia="Times New Roman" w:hAnsi="Times New Roman"/>
          <w:color w:val="000000" w:themeColor="text1"/>
          <w:sz w:val="16"/>
          <w:szCs w:val="16"/>
          <w:lang w:val="en-US" w:eastAsia="ru-RU"/>
        </w:rPr>
        <w:t>STONE</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D</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R</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Tukhachevsky</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in</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Leningrad</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Military</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Politics</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and</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Exile</w:t>
      </w:r>
      <w:r w:rsidRPr="0044524F">
        <w:rPr>
          <w:rFonts w:ascii="Times New Roman" w:eastAsia="Times New Roman" w:hAnsi="Times New Roman"/>
          <w:color w:val="000000" w:themeColor="text1"/>
          <w:sz w:val="16"/>
          <w:szCs w:val="16"/>
          <w:lang w:eastAsia="ru-RU"/>
        </w:rPr>
        <w:t xml:space="preserve">, 1928-1931 // </w:t>
      </w:r>
      <w:r w:rsidRPr="0044524F">
        <w:rPr>
          <w:rFonts w:ascii="Times New Roman" w:eastAsia="Times New Roman" w:hAnsi="Times New Roman"/>
          <w:color w:val="000000" w:themeColor="text1"/>
          <w:sz w:val="16"/>
          <w:szCs w:val="16"/>
          <w:lang w:val="en-US" w:eastAsia="ru-RU"/>
        </w:rPr>
        <w:t>Europe</w:t>
      </w:r>
      <w:r w:rsidRPr="0044524F">
        <w:rPr>
          <w:rFonts w:ascii="Times New Roman" w:eastAsia="Times New Roman" w:hAnsi="Times New Roman"/>
          <w:color w:val="000000" w:themeColor="text1"/>
          <w:sz w:val="16"/>
          <w:szCs w:val="16"/>
          <w:lang w:eastAsia="ru-RU"/>
        </w:rPr>
        <w:t>-</w:t>
      </w:r>
      <w:r w:rsidRPr="0044524F">
        <w:rPr>
          <w:rFonts w:ascii="Times New Roman" w:eastAsia="Times New Roman" w:hAnsi="Times New Roman"/>
          <w:color w:val="000000" w:themeColor="text1"/>
          <w:sz w:val="16"/>
          <w:szCs w:val="16"/>
          <w:lang w:val="en-US" w:eastAsia="ru-RU"/>
        </w:rPr>
        <w:t>Asia</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val="en-US" w:eastAsia="ru-RU"/>
        </w:rPr>
        <w:t>Studies</w:t>
      </w:r>
      <w:r w:rsidRPr="0044524F">
        <w:rPr>
          <w:rFonts w:ascii="Times New Roman" w:eastAsia="Times New Roman" w:hAnsi="Times New Roman"/>
          <w:color w:val="000000" w:themeColor="text1"/>
          <w:sz w:val="16"/>
          <w:szCs w:val="16"/>
          <w:lang w:eastAsia="ru-RU"/>
        </w:rPr>
        <w:t>. 1996. Vol. 48. № 8. P. 1370 (обратный перевод записки Тухачевского)</w:t>
      </w:r>
    </w:p>
    <w:p w14:paraId="0AFED389" w14:textId="77777777" w:rsidR="00E15462" w:rsidRPr="0044524F" w:rsidRDefault="00E1546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Другой особенностью формулы Егорова явилось оттеснение на задний план анализа внешней угрозы как основы для постановки задач обороны страны (22725).</w:t>
      </w:r>
    </w:p>
    <w:p w14:paraId="6D05D25C" w14:textId="77777777" w:rsidR="00E15462" w:rsidRPr="0044524F" w:rsidRDefault="00E15462" w:rsidP="009654CF">
      <w:pPr>
        <w:spacing w:after="0" w:line="240" w:lineRule="auto"/>
        <w:jc w:val="both"/>
        <w:rPr>
          <w:rFonts w:ascii="Times New Roman" w:hAnsi="Times New Roman"/>
          <w:color w:val="000000" w:themeColor="text1"/>
          <w:sz w:val="16"/>
          <w:szCs w:val="16"/>
        </w:rPr>
      </w:pPr>
    </w:p>
    <w:p w14:paraId="49888D92"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6ABFE5F"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5F4A3E4E"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Каганович повторно вызвал руководство Метростроя в горком партии. Заместитель Ротерта Крутов был уволен со своей должности. Ротерт. объяснял отсутствие сдвигов на стройке слабой поддержкой со стороны партии и профсоюзов, его второй заместитель Рошаль и секретарь парторганизации Метростроя Сивачев выступили с критикой стиля руководства Ротерта. Каганович поручил Хрущеву и Булганину проверить управленческий аппарат и стройплощадки Метростроя{469} (18299).</w:t>
      </w:r>
    </w:p>
    <w:p w14:paraId="3E450E3A" w14:textId="77777777" w:rsidR="00040C94" w:rsidRPr="0044524F" w:rsidRDefault="00040C94" w:rsidP="009654CF">
      <w:pPr>
        <w:spacing w:after="0" w:line="240" w:lineRule="auto"/>
        <w:jc w:val="both"/>
        <w:rPr>
          <w:rFonts w:ascii="Times New Roman" w:hAnsi="Times New Roman"/>
          <w:color w:val="000000" w:themeColor="text1"/>
          <w:sz w:val="16"/>
          <w:szCs w:val="16"/>
        </w:rPr>
      </w:pPr>
    </w:p>
    <w:p w14:paraId="7A3FA36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возникло дело о саботаже 6 английских инженеров-электриков компании Метрополитен Виккерс и группы советских и вредителей. Процесс привел к эмбарго со стороны Англии, продолжавшемуся до отмены решения суда в июле 1933 (3240).</w:t>
      </w:r>
    </w:p>
    <w:p w14:paraId="766BB80C"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1D808F49"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8059EC9"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467AD33E" w14:textId="77777777" w:rsidR="00276C35" w:rsidRPr="00142305" w:rsidRDefault="00276C35" w:rsidP="00276C3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 xml:space="preserve">В марте 1933 г. полностью боеспособными в Королевских ВВС считались всего пять ночных и шесть дневных бомбардировочных эскадрилий. Качество авиационной техники в них не вызывало восторга. Дневные одномоторные бипланы </w:t>
      </w:r>
      <w:r w:rsidRPr="00142305">
        <w:rPr>
          <w:rStyle w:val="aff"/>
          <w:rFonts w:ascii="Times New Roman" w:hAnsi="Times New Roman" w:cs="Times New Roman"/>
          <w:color w:val="0070C0"/>
          <w:spacing w:val="0"/>
          <w:sz w:val="16"/>
          <w:szCs w:val="16"/>
          <w:lang w:val="en-US"/>
        </w:rPr>
        <w:t>Westland</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Wapiti</w:t>
      </w:r>
      <w:r w:rsidRPr="00142305">
        <w:rPr>
          <w:rStyle w:val="aff"/>
          <w:rFonts w:ascii="Times New Roman" w:hAnsi="Times New Roman" w:cs="Times New Roman"/>
          <w:color w:val="0070C0"/>
          <w:spacing w:val="0"/>
          <w:sz w:val="16"/>
          <w:szCs w:val="16"/>
        </w:rPr>
        <w:t xml:space="preserve"> и </w:t>
      </w:r>
      <w:r w:rsidRPr="00142305">
        <w:rPr>
          <w:rStyle w:val="aff"/>
          <w:rFonts w:ascii="Times New Roman" w:hAnsi="Times New Roman" w:cs="Times New Roman"/>
          <w:color w:val="0070C0"/>
          <w:spacing w:val="0"/>
          <w:sz w:val="16"/>
          <w:szCs w:val="16"/>
          <w:lang w:val="en-US"/>
        </w:rPr>
        <w:t>Hawker</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Hart</w:t>
      </w:r>
      <w:r w:rsidRPr="00142305">
        <w:rPr>
          <w:rStyle w:val="aff"/>
          <w:rFonts w:ascii="Times New Roman" w:hAnsi="Times New Roman" w:cs="Times New Roman"/>
          <w:color w:val="0070C0"/>
          <w:spacing w:val="0"/>
          <w:sz w:val="16"/>
          <w:szCs w:val="16"/>
        </w:rPr>
        <w:t xml:space="preserve"> с максимальной скоростью 225…296 км/ч и максимальной бомбовой нагрузкой 227 кг справедливо считались откровенно устаревшими. Еще более древними являлись ночные двухдвигательные бомбардировщики-бипланы </w:t>
      </w:r>
      <w:r w:rsidRPr="00142305">
        <w:rPr>
          <w:rStyle w:val="aff"/>
          <w:rFonts w:ascii="Times New Roman" w:hAnsi="Times New Roman" w:cs="Times New Roman"/>
          <w:color w:val="0070C0"/>
          <w:spacing w:val="0"/>
          <w:sz w:val="16"/>
          <w:szCs w:val="16"/>
          <w:lang w:val="en-US"/>
        </w:rPr>
        <w:t>Vickers</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Virginia</w:t>
      </w:r>
      <w:r w:rsidRPr="00142305">
        <w:rPr>
          <w:rStyle w:val="aff"/>
          <w:rFonts w:ascii="Times New Roman" w:hAnsi="Times New Roman" w:cs="Times New Roman"/>
          <w:color w:val="0070C0"/>
          <w:spacing w:val="0"/>
          <w:sz w:val="16"/>
          <w:szCs w:val="16"/>
        </w:rPr>
        <w:t>, имевшие максимальную скорость всего 174 км/ч при бомбовой нагрузке 1360 кг.</w:t>
      </w:r>
    </w:p>
    <w:p w14:paraId="7106C0D5" w14:textId="77777777" w:rsidR="00276C35" w:rsidRPr="00142305" w:rsidRDefault="00276C35" w:rsidP="00276C3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Обучение экипажей проводилось по упрощенным методикам; от бомбардировщиков ожидали победы на учениях – они такие успехи и демонстрировали. Бомбометание на полигонах осуществлялось – как это обычно делается в мирное время – по непод</w:t>
      </w:r>
      <w:r w:rsidRPr="00142305">
        <w:rPr>
          <w:rStyle w:val="aff"/>
          <w:rFonts w:ascii="Times New Roman" w:hAnsi="Times New Roman" w:cs="Times New Roman"/>
          <w:color w:val="0070C0"/>
          <w:spacing w:val="0"/>
          <w:sz w:val="16"/>
          <w:szCs w:val="16"/>
        </w:rPr>
        <w:softHyphen/>
        <w:t>вижной, хорошо известной мишени, при отличной видимости в отсутствие ложных целей и противо</w:t>
      </w:r>
      <w:r w:rsidRPr="00142305">
        <w:rPr>
          <w:rStyle w:val="aff"/>
          <w:rFonts w:ascii="Times New Roman" w:hAnsi="Times New Roman" w:cs="Times New Roman"/>
          <w:color w:val="0070C0"/>
          <w:spacing w:val="0"/>
          <w:sz w:val="16"/>
          <w:szCs w:val="16"/>
        </w:rPr>
        <w:softHyphen/>
        <w:t>действия средств ПВО. Бомбардировочные прицелы и сами бомбы мало изменились со времен Первой мировой войны – и то и другое было несовер</w:t>
      </w:r>
      <w:r w:rsidRPr="00142305">
        <w:rPr>
          <w:rStyle w:val="aff"/>
          <w:rFonts w:ascii="Times New Roman" w:hAnsi="Times New Roman" w:cs="Times New Roman"/>
          <w:color w:val="0070C0"/>
          <w:spacing w:val="0"/>
          <w:sz w:val="16"/>
          <w:szCs w:val="16"/>
        </w:rPr>
        <w:softHyphen/>
        <w:t xml:space="preserve">шенным. По мнению командования </w:t>
      </w:r>
      <w:r w:rsidRPr="00142305">
        <w:rPr>
          <w:rStyle w:val="aff"/>
          <w:rFonts w:ascii="Times New Roman" w:hAnsi="Times New Roman" w:cs="Times New Roman"/>
          <w:color w:val="0070C0"/>
          <w:spacing w:val="0"/>
          <w:sz w:val="16"/>
          <w:szCs w:val="16"/>
          <w:lang w:val="en-US"/>
        </w:rPr>
        <w:t>RAF</w:t>
      </w:r>
      <w:r w:rsidRPr="00142305">
        <w:rPr>
          <w:rStyle w:val="aff"/>
          <w:rFonts w:ascii="Times New Roman" w:hAnsi="Times New Roman" w:cs="Times New Roman"/>
          <w:color w:val="0070C0"/>
          <w:spacing w:val="0"/>
          <w:sz w:val="16"/>
          <w:szCs w:val="16"/>
        </w:rPr>
        <w:t xml:space="preserve"> в 1932 г. самая тяжелая авиабомба не должна была весить свыше 500 фунтов (227 кг), а наиболее «ходовым» считался калибр 250 фунтов (113 кг). Застой царил и во всех других областях военного авиастроения. Но этот период уже заканчивался (25712).</w:t>
      </w:r>
    </w:p>
    <w:p w14:paraId="2B20A2AB" w14:textId="77777777" w:rsidR="00276C35" w:rsidRPr="00142305" w:rsidRDefault="00276C35" w:rsidP="00276C35">
      <w:pPr>
        <w:spacing w:after="0" w:line="240" w:lineRule="auto"/>
        <w:jc w:val="both"/>
        <w:rPr>
          <w:rFonts w:ascii="Times New Roman" w:hAnsi="Times New Roman"/>
          <w:color w:val="0070C0"/>
          <w:sz w:val="16"/>
          <w:szCs w:val="16"/>
        </w:rPr>
      </w:pPr>
    </w:p>
    <w:p w14:paraId="00AC9390" w14:textId="77777777" w:rsidR="00D25EF2" w:rsidRPr="0044524F" w:rsidRDefault="00D25EF2"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rPr>
        <w:t>В марте 1933 года совершил первый полет японский экспериментальный морской бомбардировщик 7-Shi тип 95. Дальность 3700 км открывала ему путь в серийное производство, но бомбардировщиков G2H-1 построили только 7 — производственная база арсенала «Хиро» больше не потянула (22811).</w:t>
      </w:r>
    </w:p>
    <w:p w14:paraId="77A5B634" w14:textId="77777777" w:rsidR="00D25EF2" w:rsidRPr="0044524F" w:rsidRDefault="00D25EF2" w:rsidP="009654CF">
      <w:pPr>
        <w:spacing w:after="0" w:line="240" w:lineRule="auto"/>
        <w:jc w:val="both"/>
        <w:rPr>
          <w:rFonts w:ascii="Times New Roman" w:hAnsi="Times New Roman"/>
          <w:color w:val="000000" w:themeColor="text1"/>
          <w:sz w:val="16"/>
          <w:szCs w:val="16"/>
          <w:lang w:eastAsia="ru-RU" w:bidi="ru-RU"/>
        </w:rPr>
      </w:pPr>
    </w:p>
    <w:p w14:paraId="3AA978DC"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марте 1933 года, Рузвельту пришлось столкнуться с третьей волной банковской паники, на которую новый президент отреагировал закрытием банков на неделю и подготовкой за это время программы гарантирования вкладов. </w:t>
      </w:r>
    </w:p>
    <w:p w14:paraId="128E62B9"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Первые 100 дней президентства Рузвельта были отмечены интенсивной законодательной деятельностью. Конгресс разрешил создать Федеральную корпорацию страхования вкладов и Федеральную администрацию чрезвычайной помощи (ФАЧП), создание которой предписывалось Законом о восстановлении национальной экономики от 16 июля 1933 года. В задачи ФАЧП входило: </w:t>
      </w:r>
    </w:p>
    <w:p w14:paraId="7B6DFBAA"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строительство, ремонт и улучшение шоссе и магистралей, общественных зданий и любых других государственных предприятий и коммунальных удобств; </w:t>
      </w:r>
    </w:p>
    <w:p w14:paraId="455CAC42"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сохранение естественных богатств и развитие их добычи, включая сюда контроль, использование и очищение вод, предотвращение почвенной и береговой эрозии, развитие водной энергетики, передачу электрической энергии, строительство различных речных и портовых сооружений и предотвращение наводнений. </w:t>
      </w:r>
    </w:p>
    <w:p w14:paraId="0F49316D"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Безработные активно привлекались к общественным работам. В общей сложности в 1933—1939 гг. на общественных работах под эгидой Администрации общественных работ (</w:t>
      </w:r>
      <w:r w:rsidRPr="0044524F">
        <w:rPr>
          <w:rFonts w:ascii="Times New Roman" w:hAnsi="Times New Roman"/>
          <w:color w:val="000000" w:themeColor="text1"/>
          <w:sz w:val="16"/>
          <w:szCs w:val="16"/>
          <w:lang w:val="en-US"/>
        </w:rPr>
        <w:t>PWA</w:t>
      </w:r>
      <w:r w:rsidRPr="0044524F">
        <w:rPr>
          <w:rFonts w:ascii="Times New Roman" w:hAnsi="Times New Roman"/>
          <w:color w:val="000000" w:themeColor="text1"/>
          <w:sz w:val="16"/>
          <w:szCs w:val="16"/>
        </w:rPr>
        <w:t xml:space="preserve">) и администрации гражданских работ </w:t>
      </w:r>
      <w:r w:rsidRPr="0044524F">
        <w:rPr>
          <w:rFonts w:ascii="Times New Roman" w:hAnsi="Times New Roman"/>
          <w:color w:val="000000" w:themeColor="text1"/>
          <w:sz w:val="16"/>
          <w:szCs w:val="16"/>
          <w:lang w:val="en-US"/>
        </w:rPr>
        <w:t>CivilWorksAdministration</w:t>
      </w:r>
      <w:r w:rsidRPr="0044524F">
        <w:rPr>
          <w:rFonts w:ascii="Times New Roman" w:hAnsi="Times New Roman"/>
          <w:color w:val="000000" w:themeColor="text1"/>
          <w:sz w:val="16"/>
          <w:szCs w:val="16"/>
        </w:rPr>
        <w:t xml:space="preserve"> — СВА (это строительство каналов, дорог, мостов зачастую в необжитых и болотистых малярийных районах) численность занятых на общественных работах достигала 4 миллиона человек. </w:t>
      </w:r>
    </w:p>
    <w:p w14:paraId="05F9E716"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Через Конгресс были проведены также несколько законопроектов, регулирующих финансовую сферу: </w:t>
      </w:r>
    </w:p>
    <w:p w14:paraId="5F22EB37"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чрезвычайный банковский закон; </w:t>
      </w:r>
    </w:p>
    <w:p w14:paraId="59A68DF9"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закон Гласса-Стиголла (1933 года) о разграничении инвестиционных и коммерческих банков; </w:t>
      </w:r>
    </w:p>
    <w:p w14:paraId="65A15FFF"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закон о кредитовании сельского хозяйства; </w:t>
      </w:r>
    </w:p>
    <w:p w14:paraId="7AECB1F8"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закон о комиссии по ценным бумагам. </w:t>
      </w:r>
    </w:p>
    <w:p w14:paraId="65746C5B"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сфере сельского хозяйства принятый 12 мая 1933 года закон о регулировании реструктурировал двенадцатимиллиардный фермерский долг, сократил проценты по ипотечной задолженности и удлинил срок погашения всех долгов. Правительство получило возможность предоставить фермерам заем, и в течение последующих четырёх лет аграрные банки выдали полумиллиону земельных владельцев ссуды на общую сумму 2,2 млрд долларов на очень лёгких условиях. Для поднятия цен на сельхозпродукцию законом от 12 мая фермерам рекомендовалось уменьшить производство, урезать посевные площади, снизить поголовье скота, а для компенсации возможных убытков создавался специальный фонд. </w:t>
      </w:r>
    </w:p>
    <w:p w14:paraId="3E6DC33D"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Итоги первого года президентства Рузвельта были неоднозначны: падение ВВП значительно замедлилось и составило лишь 2,1 % в 1933 году, но безработица выросла до 24,9 %. После выкупа государством всего золота по твёрдой цене, опираясь на закон о золотом резерве, принятый в январе 1934 года, Рузвельт издал 31 января 1934 года прокламацию, которая сокращала золотое содержание доллара с 25,8 до 15 5/21 грана и устанавливала официальную цену золота на уровне 35 долларов за унцию. Иными словами, доллар был девальвирован на 41 %. </w:t>
      </w:r>
    </w:p>
    <w:p w14:paraId="13E7CF62"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Было составлено 557 основных и 189 дополнительных так называемых «кодексов честной конкуренции» в различных отраслях. Стороны гарантировали минимум зарплаты, а также единую зарплату для всех рабочих одной категории. Эти кодексы охватили 95 % всех промышленных рабочих. Такие кодексы сильно ограничивали конкуренцию. </w:t>
      </w:r>
    </w:p>
    <w:p w14:paraId="3F0B9C5F" w14:textId="77777777"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Методы Рузвельта, резко повышавшие роль правительства, рассматривались как покушение на Конституцию США. В 1935 году Верховный Суд США постановил, что Национальная администрация восстановления и вводящий её закон (</w:t>
      </w:r>
      <w:r w:rsidRPr="0044524F">
        <w:rPr>
          <w:rFonts w:ascii="Times New Roman" w:hAnsi="Times New Roman"/>
          <w:color w:val="000000" w:themeColor="text1"/>
          <w:sz w:val="16"/>
          <w:szCs w:val="16"/>
          <w:lang w:val="en-US"/>
        </w:rPr>
        <w:t>NationalIndustrialRecoveryAct</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val="en-US"/>
        </w:rPr>
        <w:t>NIRA</w:t>
      </w:r>
      <w:r w:rsidRPr="0044524F">
        <w:rPr>
          <w:rFonts w:ascii="Times New Roman" w:hAnsi="Times New Roman"/>
          <w:color w:val="000000" w:themeColor="text1"/>
          <w:sz w:val="16"/>
          <w:szCs w:val="16"/>
        </w:rPr>
        <w:t xml:space="preserve">) неконституционны. Причина была в фактической отмене в этом акте многих антимонопольных законов и закреплении за профсоюзами монополии на наем работников. </w:t>
      </w:r>
    </w:p>
    <w:p w14:paraId="3B7AC413" w14:textId="16E53ADE"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Государство решительно вторглось в сферу образования, здравоохранения, гарантировало прожиточный минимум, взяло на себя обязательство по обеспечению престарелых, инвалидов, неимущих. Расходы федерального правительства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1932</w:t>
      </w:r>
      <w:r w:rsidRPr="0044524F">
        <w:rPr>
          <w:rFonts w:ascii="Times New Roman" w:hAnsi="Times New Roman"/>
          <w:color w:val="000000" w:themeColor="text1"/>
          <w:sz w:val="16"/>
          <w:szCs w:val="16"/>
          <w:lang w:val="en-US"/>
        </w:rPr>
        <w:t> </w:t>
      </w:r>
      <w:r w:rsidRPr="0044524F">
        <w:rPr>
          <w:rFonts w:ascii="Times New Roman" w:hAnsi="Times New Roman"/>
          <w:color w:val="000000" w:themeColor="text1"/>
          <w:sz w:val="16"/>
          <w:szCs w:val="16"/>
        </w:rPr>
        <w:t xml:space="preserve">—1940 годах выросли более чем вдвое. Однако Рузвельт опасался несбалансированного бюджета и расходы на 1937 год, когда, казалось бы, экономика набрала уже достаточные обороты, были сокращены. Это снова погрузило страну в рецессию 1937—1938 годов. </w:t>
      </w:r>
    </w:p>
    <w:p w14:paraId="6FC0E564" w14:textId="34EB2111" w:rsidR="0099326E" w:rsidRPr="0044524F" w:rsidRDefault="009932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Индекс промышленного производства составил в 1939 году только 90 % уровня</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1932</w:t>
      </w:r>
      <w:r w:rsidR="0088747B">
        <w:rPr>
          <w:rFonts w:ascii="Times New Roman" w:hAnsi="Times New Roman"/>
          <w:color w:val="000000" w:themeColor="text1"/>
          <w:sz w:val="16"/>
          <w:szCs w:val="16"/>
          <w:lang w:val="en-US"/>
        </w:rPr>
        <w:t xml:space="preserve"> </w:t>
      </w:r>
      <w:r w:rsidRPr="0044524F">
        <w:rPr>
          <w:rFonts w:ascii="Times New Roman" w:hAnsi="Times New Roman"/>
          <w:color w:val="000000" w:themeColor="text1"/>
          <w:sz w:val="16"/>
          <w:szCs w:val="16"/>
        </w:rPr>
        <w:t>года. В 1939 году безработица все ещё оставалась на уровне 17 %. Некоторые указывают, что причиной окончания Великой депрессии стала Вторая мировая война, вызвавшая массовые закупки государством вооружения. Бурный рост в американской промышленности начался лишь в 1939—1941 годах на волне активного наращивания военных приготовлений (17253).</w:t>
      </w:r>
    </w:p>
    <w:p w14:paraId="562D1B06" w14:textId="77777777" w:rsidR="0099326E" w:rsidRPr="0044524F" w:rsidRDefault="0099326E" w:rsidP="009654CF">
      <w:pPr>
        <w:spacing w:after="0" w:line="240" w:lineRule="auto"/>
        <w:jc w:val="both"/>
        <w:rPr>
          <w:rFonts w:ascii="Times New Roman" w:hAnsi="Times New Roman"/>
          <w:color w:val="000000" w:themeColor="text1"/>
          <w:sz w:val="16"/>
          <w:szCs w:val="16"/>
        </w:rPr>
      </w:pPr>
    </w:p>
    <w:p w14:paraId="78A16E5E" w14:textId="77777777" w:rsidR="0039292A" w:rsidRPr="0044524F" w:rsidRDefault="003929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концерн «Хеншель» (Непsсhеl unb Sohn G.m.b.H.) основал авиастроительное отде</w:t>
      </w:r>
      <w:r w:rsidRPr="0044524F">
        <w:rPr>
          <w:rFonts w:ascii="Times New Roman" w:hAnsi="Times New Roman"/>
          <w:color w:val="000000" w:themeColor="text1"/>
          <w:sz w:val="16"/>
          <w:szCs w:val="16"/>
        </w:rPr>
        <w:softHyphen/>
        <w:t>ление — «Хеншель флюгцойгверке Г.М.б.Х.» (Непsсhеl Flugzeugwerke G.m.b.H.). Конструкторское бюро нового предприятия возглавил инженер Фридрих Николаус (Friedrich Nicolaus), уже имев</w:t>
      </w:r>
      <w:r w:rsidRPr="0044524F">
        <w:rPr>
          <w:rFonts w:ascii="Times New Roman" w:hAnsi="Times New Roman"/>
          <w:color w:val="000000" w:themeColor="text1"/>
          <w:sz w:val="16"/>
          <w:szCs w:val="16"/>
        </w:rPr>
        <w:softHyphen/>
        <w:t>ший опыт работы в авиации.</w:t>
      </w:r>
    </w:p>
    <w:p w14:paraId="64141125" w14:textId="77777777" w:rsidR="0039292A" w:rsidRPr="0044524F" w:rsidRDefault="003929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«Хеншель» заявил о го</w:t>
      </w:r>
      <w:r w:rsidRPr="0044524F">
        <w:rPr>
          <w:rFonts w:ascii="Times New Roman" w:hAnsi="Times New Roman"/>
          <w:color w:val="000000" w:themeColor="text1"/>
          <w:sz w:val="16"/>
          <w:szCs w:val="16"/>
        </w:rPr>
        <w:softHyphen/>
        <w:t>товности взять на себя разработку нового ближнего разведчика и самолет, получив</w:t>
      </w:r>
      <w:r w:rsidRPr="0044524F">
        <w:rPr>
          <w:rFonts w:ascii="Times New Roman" w:hAnsi="Times New Roman"/>
          <w:color w:val="000000" w:themeColor="text1"/>
          <w:sz w:val="16"/>
          <w:szCs w:val="16"/>
        </w:rPr>
        <w:softHyphen/>
        <w:t>ший обозначение Hs 122, стал всего лишь вторым проектом авиационного отделения (первым был учебный истребитель Hs 121, проигравший конкурс самолету Fw 56).</w:t>
      </w:r>
    </w:p>
    <w:p w14:paraId="70E2A22A" w14:textId="77777777" w:rsidR="0039292A" w:rsidRPr="0044524F" w:rsidRDefault="003929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Внешне Hs 122 сильно походил на Не 46с - тот же подкосный моноплан-пара</w:t>
      </w:r>
      <w:r w:rsidRPr="0044524F">
        <w:rPr>
          <w:rFonts w:ascii="Times New Roman" w:hAnsi="Times New Roman"/>
          <w:color w:val="000000" w:themeColor="text1"/>
          <w:sz w:val="16"/>
          <w:szCs w:val="16"/>
        </w:rPr>
        <w:softHyphen/>
        <w:t>соль с неубирающимся шасси. Но вот по технологии самолеты существенно отли</w:t>
      </w:r>
      <w:r w:rsidRPr="0044524F">
        <w:rPr>
          <w:rFonts w:ascii="Times New Roman" w:hAnsi="Times New Roman"/>
          <w:color w:val="000000" w:themeColor="text1"/>
          <w:sz w:val="16"/>
          <w:szCs w:val="16"/>
        </w:rPr>
        <w:softHyphen/>
        <w:t>чались - изделие «Хеншеля» было цель</w:t>
      </w:r>
      <w:r w:rsidRPr="0044524F">
        <w:rPr>
          <w:rFonts w:ascii="Times New Roman" w:hAnsi="Times New Roman"/>
          <w:color w:val="000000" w:themeColor="text1"/>
          <w:sz w:val="16"/>
          <w:szCs w:val="16"/>
        </w:rPr>
        <w:softHyphen/>
        <w:t>нометаллическим, а фюзеляж был выпол</w:t>
      </w:r>
      <w:r w:rsidRPr="0044524F">
        <w:rPr>
          <w:rFonts w:ascii="Times New Roman" w:hAnsi="Times New Roman"/>
          <w:color w:val="000000" w:themeColor="text1"/>
          <w:sz w:val="16"/>
          <w:szCs w:val="16"/>
        </w:rPr>
        <w:softHyphen/>
        <w:t>нен как монокок. Двухлонжеронное кры</w:t>
      </w:r>
      <w:r w:rsidRPr="0044524F">
        <w:rPr>
          <w:rFonts w:ascii="Times New Roman" w:hAnsi="Times New Roman"/>
          <w:color w:val="000000" w:themeColor="text1"/>
          <w:sz w:val="16"/>
          <w:szCs w:val="16"/>
        </w:rPr>
        <w:softHyphen/>
        <w:t>ло с заметной стреловидностью было обшито дюралевыми листами сверху и тканью - снизу, тканевую обшивку имели и рулевые поверхности. Вооружение сос</w:t>
      </w:r>
      <w:r w:rsidRPr="0044524F">
        <w:rPr>
          <w:rFonts w:ascii="Times New Roman" w:hAnsi="Times New Roman"/>
          <w:color w:val="000000" w:themeColor="text1"/>
          <w:sz w:val="16"/>
          <w:szCs w:val="16"/>
        </w:rPr>
        <w:softHyphen/>
        <w:t>тояло из двух 7,92-мм пулеметов - синх</w:t>
      </w:r>
      <w:r w:rsidRPr="0044524F">
        <w:rPr>
          <w:rFonts w:ascii="Times New Roman" w:hAnsi="Times New Roman"/>
          <w:color w:val="000000" w:themeColor="text1"/>
          <w:sz w:val="16"/>
          <w:szCs w:val="16"/>
        </w:rPr>
        <w:softHyphen/>
        <w:t>ронного MG 17 и турельного MG 15; пре</w:t>
      </w:r>
      <w:r w:rsidRPr="0044524F">
        <w:rPr>
          <w:rFonts w:ascii="Times New Roman" w:hAnsi="Times New Roman"/>
          <w:color w:val="000000" w:themeColor="text1"/>
          <w:sz w:val="16"/>
          <w:szCs w:val="16"/>
        </w:rPr>
        <w:softHyphen/>
        <w:t>дусматривалась также возможность под</w:t>
      </w:r>
      <w:r w:rsidRPr="0044524F">
        <w:rPr>
          <w:rFonts w:ascii="Times New Roman" w:hAnsi="Times New Roman"/>
          <w:color w:val="000000" w:themeColor="text1"/>
          <w:sz w:val="16"/>
          <w:szCs w:val="16"/>
        </w:rPr>
        <w:softHyphen/>
        <w:t>вески в бомбоотсек десяти 10-кг бомб. (24188).</w:t>
      </w:r>
    </w:p>
    <w:p w14:paraId="41740A69" w14:textId="77777777" w:rsidR="0039292A" w:rsidRPr="0044524F" w:rsidRDefault="0039292A" w:rsidP="009654CF">
      <w:pPr>
        <w:spacing w:after="0" w:line="240" w:lineRule="auto"/>
        <w:jc w:val="both"/>
        <w:rPr>
          <w:rFonts w:ascii="Times New Roman" w:hAnsi="Times New Roman"/>
          <w:color w:val="000000" w:themeColor="text1"/>
          <w:sz w:val="16"/>
          <w:szCs w:val="16"/>
        </w:rPr>
      </w:pPr>
    </w:p>
    <w:p w14:paraId="1B728C0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Г.Крупп как председатель союза германских промышленников направил Гитлеру как рейхсканцлеру проект реорганизации промышленности страны и предлагал ускорить техническое перевооружение армии, авиации и ВМФ. Проект был одобрен Гитлером и получил силу обязательного плана (24,95).</w:t>
      </w:r>
    </w:p>
    <w:p w14:paraId="147289AA"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0917FD2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разрозненные авиаспортивные клубы Германии слились в единую организацию - Deutsche Luftsportverband (2814,3).</w:t>
      </w:r>
    </w:p>
    <w:p w14:paraId="78586696"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72646E0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Декреты Э.Дольфуса о запрещении Шуцбунда и присоединении отрядов Хеймвера к полиции, о запрещении собраний и демонстраций, о создании концлагерей (7444).</w:t>
      </w:r>
    </w:p>
    <w:p w14:paraId="11DD9474"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7C94E97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1933 г. Япония вышла из Лиги Наций и военные сыграли ключевую роль в принятии этого решения (3871).</w:t>
      </w:r>
    </w:p>
    <w:p w14:paraId="77CEB8A6" w14:textId="77777777" w:rsidR="00CC65A8" w:rsidRPr="0044524F" w:rsidRDefault="00CC65A8" w:rsidP="009654CF">
      <w:pPr>
        <w:spacing w:after="0" w:line="240" w:lineRule="auto"/>
        <w:jc w:val="both"/>
        <w:rPr>
          <w:rFonts w:ascii="Times New Roman" w:hAnsi="Times New Roman"/>
          <w:color w:val="000000" w:themeColor="text1"/>
          <w:sz w:val="16"/>
          <w:szCs w:val="16"/>
        </w:rPr>
      </w:pPr>
    </w:p>
    <w:p w14:paraId="508EC0E6"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F8B167E"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65EA989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марте-июне 1933 ХАИ-1 прошел весь комплекс гос. испытаний и был рекомендован ГУ ГВФ как основной тип. Серию поручили 21 заводу. Где-то в 1934 испытывали серийный (143,23). Гос. испытания ХАИ-1 серийного сначала в Горьком, затем - в Киеве (80,379).</w:t>
      </w:r>
    </w:p>
    <w:p w14:paraId="73EBE6B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гос. испытания ХАИ-1 проходили в ноябре 1992. То, что это были испытания серийного - снимает противоречие.</w:t>
      </w:r>
    </w:p>
    <w:p w14:paraId="3BFFC85D"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5EB65A3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марта по октябрь 1933 проходили испытания опытного ТБ-3 (АНТ-6) с М-34 (437,103).</w:t>
      </w:r>
    </w:p>
    <w:p w14:paraId="14B1012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заводские испытания были с марта по сентябрь 1933 и это правильнее, так как 27 сентября уже начались гос. испытания (1017,175).</w:t>
      </w:r>
    </w:p>
    <w:p w14:paraId="6585D59C"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61DC957D" w14:textId="77777777" w:rsidR="006268DA" w:rsidRPr="00142305" w:rsidRDefault="006268DA" w:rsidP="006268D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марте – мае 1933 г. успешно провели государ</w:t>
      </w:r>
      <w:r w:rsidRPr="00142305">
        <w:rPr>
          <w:rStyle w:val="aff"/>
          <w:rFonts w:ascii="Times New Roman" w:hAnsi="Times New Roman" w:cs="Times New Roman"/>
          <w:color w:val="0070C0"/>
          <w:spacing w:val="0"/>
          <w:sz w:val="16"/>
          <w:szCs w:val="16"/>
        </w:rPr>
        <w:softHyphen/>
        <w:t>ственные испытания М-34Р. При прежней мощности его масса выросла до 677 кг. Серийный выпуск начали с конца того же года, причем уже в следующем году удалось довести ресурс мотора до 500 ч. Мотор М-34Р в больших количествах выпускался до конца 1939 г. (25145).</w:t>
      </w:r>
    </w:p>
    <w:p w14:paraId="665FBF2A" w14:textId="77777777" w:rsidR="006268DA" w:rsidRPr="00142305" w:rsidRDefault="006268DA" w:rsidP="006268DA">
      <w:pPr>
        <w:spacing w:after="0" w:line="240" w:lineRule="auto"/>
        <w:jc w:val="both"/>
        <w:rPr>
          <w:rFonts w:ascii="Times New Roman" w:hAnsi="Times New Roman"/>
          <w:color w:val="0070C0"/>
          <w:sz w:val="16"/>
          <w:szCs w:val="16"/>
        </w:rPr>
      </w:pPr>
    </w:p>
    <w:p w14:paraId="2C65AFA8" w14:textId="77777777" w:rsidR="006268DA" w:rsidRPr="0044524F" w:rsidRDefault="006268DA" w:rsidP="006268DA">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4108770" w14:textId="77777777" w:rsidR="006268DA" w:rsidRPr="0044524F" w:rsidRDefault="006268DA" w:rsidP="006268DA">
      <w:pPr>
        <w:spacing w:after="0" w:line="240" w:lineRule="auto"/>
        <w:jc w:val="both"/>
        <w:rPr>
          <w:rFonts w:ascii="Times New Roman" w:hAnsi="Times New Roman"/>
          <w:iCs/>
          <w:color w:val="000000" w:themeColor="text1"/>
          <w:sz w:val="16"/>
          <w:szCs w:val="16"/>
        </w:rPr>
      </w:pPr>
    </w:p>
    <w:p w14:paraId="482ED3BE" w14:textId="77777777" w:rsidR="006268DA" w:rsidRPr="00142305" w:rsidRDefault="006268DA" w:rsidP="006268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 – апреле 1933 г. был испытан Т-26 с одной башней и 45-мм пушкой 20К. Ну а 1 января 1936 г. в РККА состояло 4274 танка Т-26 (25184).</w:t>
      </w:r>
    </w:p>
    <w:p w14:paraId="477DF6F1" w14:textId="77777777" w:rsidR="006268DA" w:rsidRPr="00142305" w:rsidRDefault="006268DA" w:rsidP="006268DA">
      <w:pPr>
        <w:spacing w:after="0" w:line="240" w:lineRule="auto"/>
        <w:jc w:val="both"/>
        <w:rPr>
          <w:rFonts w:ascii="Times New Roman" w:hAnsi="Times New Roman"/>
          <w:color w:val="0070C0"/>
          <w:sz w:val="16"/>
          <w:szCs w:val="16"/>
        </w:rPr>
      </w:pPr>
    </w:p>
    <w:p w14:paraId="46774A00" w14:textId="77777777" w:rsidR="006268DA" w:rsidRPr="00142305" w:rsidRDefault="006268DA" w:rsidP="006268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марте-апреле 1933 года один бронедивизион войск ОГПУ участвовал в ликвидации банды численностью до 170 человек в районе Кызыл-Арават (Таджикская ССР) (25119).</w:t>
      </w:r>
    </w:p>
    <w:p w14:paraId="695EC2A8" w14:textId="77777777" w:rsidR="006268DA" w:rsidRPr="00142305" w:rsidRDefault="006268DA" w:rsidP="006268DA">
      <w:pPr>
        <w:spacing w:after="0" w:line="240" w:lineRule="auto"/>
        <w:jc w:val="both"/>
        <w:rPr>
          <w:rFonts w:ascii="Times New Roman" w:hAnsi="Times New Roman"/>
          <w:color w:val="0070C0"/>
          <w:sz w:val="16"/>
          <w:szCs w:val="16"/>
        </w:rPr>
      </w:pPr>
    </w:p>
    <w:p w14:paraId="5A60B476" w14:textId="77777777" w:rsidR="00746843"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4AF7F732"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25D31B52" w14:textId="77777777" w:rsidR="00746843" w:rsidRPr="0044524F" w:rsidRDefault="00746843"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марте — апреле 1933 года один бронедивизион войск ОГПУ участвовал в ликвидации банды численностью до 170 человек в районе Кызыл-Арават (Таджикская ССР) (11284).</w:t>
      </w:r>
    </w:p>
    <w:p w14:paraId="2ECBF0AE" w14:textId="77777777" w:rsidR="00746843" w:rsidRPr="0044524F" w:rsidRDefault="00746843" w:rsidP="009654CF">
      <w:pPr>
        <w:pStyle w:val="af2"/>
        <w:jc w:val="both"/>
        <w:rPr>
          <w:i w:val="0"/>
          <w:iCs w:val="0"/>
          <w:color w:val="000000" w:themeColor="text1"/>
          <w:spacing w:val="0"/>
          <w:kern w:val="0"/>
          <w:position w:val="0"/>
          <w:sz w:val="16"/>
          <w:szCs w:val="16"/>
          <w:lang w:val="ru-RU"/>
        </w:rPr>
      </w:pPr>
    </w:p>
    <w:p w14:paraId="60DD1F85"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E0F2921"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46A99B7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первом квартале 1934 г. работы по Г-1 (Д-1) приостановили.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73BE4B8B"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6665047C"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За рубежом:</w:t>
      </w:r>
    </w:p>
    <w:p w14:paraId="4C6A05F4"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1A73339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первом квартале 1933 года Германия экспортировала в Англию товаров на 88 млн марок, а в первом квартале 1934 года эта сумма увеличилась до 104 млн марок. В 1936 году германский экспорт в Великобританию достиг суммы в 406 млн марок. В 1937-1938 годах Германии удалось полностью оттеснить Англию от участия во ввозе металлических изделий в Италию и Швейцарию и занять главенствующее положение в импорте Португалии, Голландии, Бельгии, Дании, Швеции и Норвегии (11208).</w:t>
      </w:r>
    </w:p>
    <w:p w14:paraId="508FDCEF"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55BB859F" w14:textId="77777777" w:rsidR="00D25EF2" w:rsidRPr="0044524F" w:rsidRDefault="00D25EF2"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602117C" w14:textId="77777777" w:rsidR="00D25EF2" w:rsidRPr="0044524F" w:rsidRDefault="00D25EF2" w:rsidP="009654CF">
      <w:pPr>
        <w:spacing w:after="0" w:line="240" w:lineRule="auto"/>
        <w:jc w:val="both"/>
        <w:rPr>
          <w:rFonts w:ascii="Times New Roman" w:hAnsi="Times New Roman"/>
          <w:iCs/>
          <w:color w:val="000000" w:themeColor="text1"/>
          <w:sz w:val="16"/>
          <w:szCs w:val="16"/>
        </w:rPr>
      </w:pPr>
    </w:p>
    <w:p w14:paraId="6DB60592" w14:textId="77777777" w:rsidR="00D25EF2" w:rsidRPr="0044524F" w:rsidRDefault="00D25EF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 апрелю 1933 Госплан не располагал ни производственными планами Главного военно-мобилизационного управления НКТП на пятилетку, ни даже планом заказов НКВМ на 1933 г. Сектору обороны пришлось "без привлечения ведомств" ориентировочно "прорабатывать перспективу развития военных производств" во втором пятилетии в двух вариантах": исходя из постановлений Комиссии обороны 1931-1932 гг. и из принятого в Госплане лимита капиталовложений в военную промышленность. Сопоставление данных показало, во-первых, невыполнимость постановлений КО относительно увеличения мощностей по производству арторудий, снарядов, танков, пороха в намеченные сроки и необходимость их отодвинуть с 1933-1935 гг. на 1936-1937 гг. Во-вторых, лимиты Госплана на пятилетку вообще исключали реализацию в ее рамках мобилизационных заданий КО по всей номенклатуре основных вооружений за исключением танков и отчасти пулеметов. Что касается мощностей по выпуску самолетов, предусмотренные капиталовложения допускали подачу до 18 200 машин к январю 1938 г., однако, и при их пересмотре, СО не видел возможности до конца пятилетки превысить уровень 31 200 самолетов в год войны; между тем постановление КО от 11 января 1932 г. требовало обеспечить мощности по производству 35 тыс. самолетов к 1935 г. (Доклад Начальника Сектора Обороны Госплана С. О. Ботнера и Заместителя Начальника Сектора Обороны Госплана В. А. Колесинского Председателю Госплана В. В. Куйбышеву и Заместителю Председателя Госплана В. И. Межлауку "О плане развития военных производств во втором пятилетии", 04.04.1933 // Там же. Л. 181 -179). Как быть, в Госплане СССР не знали (22725).</w:t>
      </w:r>
    </w:p>
    <w:p w14:paraId="7B00AE31" w14:textId="77777777" w:rsidR="00D25EF2" w:rsidRPr="0044524F" w:rsidRDefault="00D25EF2" w:rsidP="009654CF">
      <w:pPr>
        <w:spacing w:after="0" w:line="240" w:lineRule="auto"/>
        <w:jc w:val="both"/>
        <w:rPr>
          <w:rFonts w:ascii="Times New Roman" w:eastAsia="Times New Roman" w:hAnsi="Times New Roman"/>
          <w:color w:val="000000" w:themeColor="text1"/>
          <w:sz w:val="16"/>
          <w:szCs w:val="16"/>
          <w:lang w:eastAsia="ru-RU"/>
        </w:rPr>
      </w:pPr>
    </w:p>
    <w:p w14:paraId="3A1BA0EE" w14:textId="77777777" w:rsidR="00CC65A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0F997B6" w14:textId="77777777" w:rsidR="00CC65A8" w:rsidRPr="0044524F" w:rsidRDefault="00CC65A8" w:rsidP="009654CF">
      <w:pPr>
        <w:spacing w:after="0" w:line="240" w:lineRule="auto"/>
        <w:jc w:val="both"/>
        <w:rPr>
          <w:rFonts w:ascii="Times New Roman" w:hAnsi="Times New Roman"/>
          <w:iCs/>
          <w:color w:val="000000" w:themeColor="text1"/>
          <w:sz w:val="16"/>
          <w:szCs w:val="16"/>
        </w:rPr>
      </w:pPr>
    </w:p>
    <w:p w14:paraId="5C29FB9B" w14:textId="77777777" w:rsidR="00B16375" w:rsidRPr="0044524F" w:rsidRDefault="00B163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апрелю 1933 года удалось собрать 12 новых танков Т-28, и они даже приняли участие в первомайских парадах в Москве и Ленинграде (10 и 2 машины соответственно). Но сразу же после парадных мероприятий танки были возвращены в цеха для доработки. Окончательно первая партия (14 танков) была готова только к 1 октября 1933 г., а всего до конца года была выпущена 41 машина из 90 запланированных[68]. Исследователь М.В. Коломиец считает, что фактически освоение производства было завершено уже в следующем году[69]. Сами кировские танкостроители считали, что серийное производство Т-28 началось в 1934-1935 годах. А в 1932-1933 годах были изготовлены только «первые образцы» [70] (23536).</w:t>
      </w:r>
    </w:p>
    <w:p w14:paraId="51A64339" w14:textId="77777777" w:rsidR="00B16375" w:rsidRPr="0044524F" w:rsidRDefault="00B16375" w:rsidP="009654CF">
      <w:pPr>
        <w:spacing w:after="0" w:line="240" w:lineRule="auto"/>
        <w:jc w:val="both"/>
        <w:rPr>
          <w:rFonts w:ascii="Times New Roman" w:hAnsi="Times New Roman"/>
          <w:color w:val="000000" w:themeColor="text1"/>
          <w:sz w:val="16"/>
          <w:szCs w:val="16"/>
        </w:rPr>
      </w:pPr>
    </w:p>
    <w:p w14:paraId="123E0560"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апрелю 1933 года производство Д-2 Дыренкова, помимо Можерез, велось только на заводе «Красный Профинтерн» в Брянске. Правда, спеццех последнего был загружен заказом на изготовление тяжелых бронеплощадок и бронепаро-возов, в результате чего сборка Д-2 тут здорово затянулась. Последний 15-й мотоброневагон вышел из ворот «Красного Профинтерна» в июле 1934 года. Таким образом, в 1932 -1934 годах в Москве и Брянске изготовили 30 серийных мотоброневагонов Д-2 (15624).</w:t>
      </w:r>
    </w:p>
    <w:p w14:paraId="7060E8B2" w14:textId="77777777" w:rsidR="00CC65A8" w:rsidRPr="0044524F" w:rsidRDefault="00CC65A8" w:rsidP="009654CF">
      <w:pPr>
        <w:spacing w:after="0" w:line="240" w:lineRule="auto"/>
        <w:jc w:val="both"/>
        <w:rPr>
          <w:rFonts w:ascii="Times New Roman" w:hAnsi="Times New Roman"/>
          <w:color w:val="000000" w:themeColor="text1"/>
          <w:sz w:val="16"/>
          <w:szCs w:val="16"/>
        </w:rPr>
      </w:pPr>
    </w:p>
    <w:p w14:paraId="50CBF70A"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апрелю 1933 года производство Д-2, помимо Можерез, велось только на заводе «Красный Профинтерн» в Брянске. Правда, спеццех последнего был загружен заказом на изготовление тяжелых бронеплощадок и бронепаро-возов, в результате чего сборка Д-2 тут здорово затянулась. Последний 15-й мотоброневагон вышел из ворот «Красного Профинтерна» в июле 1934 года. Таким образом, в 1932 -1934 годах в Москве и Брянске изготовили 30 серийных мотоброневагонов Д-2 (18626).</w:t>
      </w:r>
    </w:p>
    <w:p w14:paraId="3BD11692" w14:textId="77777777" w:rsidR="00040C94" w:rsidRPr="0044524F" w:rsidRDefault="00040C94" w:rsidP="009654CF">
      <w:pPr>
        <w:spacing w:after="0" w:line="240" w:lineRule="auto"/>
        <w:jc w:val="both"/>
        <w:rPr>
          <w:rFonts w:ascii="Times New Roman" w:hAnsi="Times New Roman"/>
          <w:color w:val="000000" w:themeColor="text1"/>
          <w:sz w:val="16"/>
          <w:szCs w:val="16"/>
        </w:rPr>
      </w:pPr>
    </w:p>
    <w:p w14:paraId="5F5BB402"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C1589D1"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4154EFA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 началась постройка АНТ-27 (МДР-4) (514).</w:t>
      </w:r>
    </w:p>
    <w:p w14:paraId="727A42D0"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5762166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 вышло постановление КО, в котором был установлен срок выпуска И-13 М-32 (3082).</w:t>
      </w:r>
    </w:p>
    <w:p w14:paraId="69025C89"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1AA4DBE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1 апреля 1933 Пом. нач. ГУАП Алмазовым была подготовлена справка о проектировании и постройке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tblGrid>
      <w:tr w:rsidR="004E10C1" w:rsidRPr="0044524F" w14:paraId="6F40C98E" w14:textId="77777777">
        <w:tc>
          <w:tcPr>
            <w:tcW w:w="1409" w:type="dxa"/>
          </w:tcPr>
          <w:p w14:paraId="4195B2A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Организация</w:t>
            </w:r>
          </w:p>
        </w:tc>
        <w:tc>
          <w:tcPr>
            <w:tcW w:w="1409" w:type="dxa"/>
          </w:tcPr>
          <w:p w14:paraId="26F3297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w:t>
            </w:r>
          </w:p>
        </w:tc>
        <w:tc>
          <w:tcPr>
            <w:tcW w:w="1409" w:type="dxa"/>
          </w:tcPr>
          <w:p w14:paraId="598AF660"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сдачи</w:t>
            </w:r>
          </w:p>
        </w:tc>
        <w:tc>
          <w:tcPr>
            <w:tcW w:w="1409" w:type="dxa"/>
          </w:tcPr>
          <w:p w14:paraId="431A9E89"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r>
      <w:tr w:rsidR="004E10C1" w:rsidRPr="0044524F" w14:paraId="11561BFF" w14:textId="77777777">
        <w:tc>
          <w:tcPr>
            <w:tcW w:w="1409" w:type="dxa"/>
          </w:tcPr>
          <w:p w14:paraId="238139FC"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2F9A3384"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49B726E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правительственный</w:t>
            </w:r>
          </w:p>
        </w:tc>
        <w:tc>
          <w:tcPr>
            <w:tcW w:w="1409" w:type="dxa"/>
          </w:tcPr>
          <w:p w14:paraId="125CE8A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ожидаемый</w:t>
            </w:r>
          </w:p>
        </w:tc>
      </w:tr>
      <w:tr w:rsidR="004E10C1" w:rsidRPr="0044524F" w14:paraId="7F8547FA" w14:textId="77777777">
        <w:tc>
          <w:tcPr>
            <w:tcW w:w="1409" w:type="dxa"/>
          </w:tcPr>
          <w:p w14:paraId="2F7CCA7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409" w:type="dxa"/>
          </w:tcPr>
          <w:p w14:paraId="6171413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ТБ-4оп.</w:t>
            </w:r>
          </w:p>
        </w:tc>
        <w:tc>
          <w:tcPr>
            <w:tcW w:w="1409" w:type="dxa"/>
          </w:tcPr>
          <w:p w14:paraId="50DF444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01.11.32</w:t>
            </w:r>
          </w:p>
        </w:tc>
        <w:tc>
          <w:tcPr>
            <w:tcW w:w="1409" w:type="dxa"/>
          </w:tcPr>
          <w:p w14:paraId="204B303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01.05.33</w:t>
            </w:r>
          </w:p>
        </w:tc>
      </w:tr>
      <w:tr w:rsidR="004E10C1" w:rsidRPr="0044524F" w14:paraId="30BC9E5B" w14:textId="77777777">
        <w:tc>
          <w:tcPr>
            <w:tcW w:w="1409" w:type="dxa"/>
          </w:tcPr>
          <w:p w14:paraId="37274326"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7847D00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ТБ-4гол.</w:t>
            </w:r>
          </w:p>
        </w:tc>
        <w:tc>
          <w:tcPr>
            <w:tcW w:w="1409" w:type="dxa"/>
          </w:tcPr>
          <w:p w14:paraId="7605C5A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01.06.33</w:t>
            </w:r>
          </w:p>
        </w:tc>
        <w:tc>
          <w:tcPr>
            <w:tcW w:w="1409" w:type="dxa"/>
          </w:tcPr>
          <w:p w14:paraId="567DBCB0"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w:t>
            </w:r>
          </w:p>
        </w:tc>
      </w:tr>
      <w:tr w:rsidR="004E10C1" w:rsidRPr="0044524F" w14:paraId="2569AB8D" w14:textId="77777777">
        <w:tc>
          <w:tcPr>
            <w:tcW w:w="1409" w:type="dxa"/>
          </w:tcPr>
          <w:p w14:paraId="4F13CA8C"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454E2D42"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ТБ-4пас.</w:t>
            </w:r>
          </w:p>
        </w:tc>
        <w:tc>
          <w:tcPr>
            <w:tcW w:w="1409" w:type="dxa"/>
          </w:tcPr>
          <w:p w14:paraId="632B12FE"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01.05.34</w:t>
            </w:r>
          </w:p>
        </w:tc>
        <w:tc>
          <w:tcPr>
            <w:tcW w:w="1409" w:type="dxa"/>
          </w:tcPr>
          <w:p w14:paraId="06848832"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01.04.34</w:t>
            </w:r>
          </w:p>
        </w:tc>
      </w:tr>
      <w:tr w:rsidR="004E10C1" w:rsidRPr="0044524F" w14:paraId="35E6F86B" w14:textId="77777777">
        <w:tc>
          <w:tcPr>
            <w:tcW w:w="1409" w:type="dxa"/>
          </w:tcPr>
          <w:p w14:paraId="61E6FB57"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75451E8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w:t>
            </w:r>
          </w:p>
        </w:tc>
        <w:tc>
          <w:tcPr>
            <w:tcW w:w="1409" w:type="dxa"/>
          </w:tcPr>
          <w:p w14:paraId="77B03C43"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01.05.34</w:t>
            </w:r>
          </w:p>
        </w:tc>
        <w:tc>
          <w:tcPr>
            <w:tcW w:w="1409" w:type="dxa"/>
          </w:tcPr>
          <w:p w14:paraId="3F04CAD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01.04.34</w:t>
            </w:r>
          </w:p>
        </w:tc>
      </w:tr>
      <w:tr w:rsidR="004E10C1" w:rsidRPr="0044524F" w14:paraId="31DB8086" w14:textId="77777777">
        <w:tc>
          <w:tcPr>
            <w:tcW w:w="1409" w:type="dxa"/>
          </w:tcPr>
          <w:p w14:paraId="78D4F7EF"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1D388E9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B-12бис</w:t>
            </w:r>
          </w:p>
        </w:tc>
        <w:tc>
          <w:tcPr>
            <w:tcW w:w="1409" w:type="dxa"/>
          </w:tcPr>
          <w:p w14:paraId="1DC275E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01.09.32</w:t>
            </w:r>
          </w:p>
        </w:tc>
        <w:tc>
          <w:tcPr>
            <w:tcW w:w="1409" w:type="dxa"/>
          </w:tcPr>
          <w:p w14:paraId="4831998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01.08.33</w:t>
            </w:r>
          </w:p>
        </w:tc>
      </w:tr>
      <w:tr w:rsidR="004E10C1" w:rsidRPr="0044524F" w14:paraId="1395EEF4" w14:textId="77777777">
        <w:tc>
          <w:tcPr>
            <w:tcW w:w="1409" w:type="dxa"/>
          </w:tcPr>
          <w:p w14:paraId="4CDE5C29"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098275A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И-14оп.</w:t>
            </w:r>
          </w:p>
        </w:tc>
        <w:tc>
          <w:tcPr>
            <w:tcW w:w="1409" w:type="dxa"/>
          </w:tcPr>
          <w:p w14:paraId="6CE92D1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15.03.33</w:t>
            </w:r>
          </w:p>
        </w:tc>
        <w:tc>
          <w:tcPr>
            <w:tcW w:w="1409" w:type="dxa"/>
          </w:tcPr>
          <w:p w14:paraId="48738A8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01.06.33</w:t>
            </w:r>
          </w:p>
        </w:tc>
      </w:tr>
      <w:tr w:rsidR="004E10C1" w:rsidRPr="0044524F" w14:paraId="6E251FCF" w14:textId="77777777">
        <w:tc>
          <w:tcPr>
            <w:tcW w:w="1409" w:type="dxa"/>
          </w:tcPr>
          <w:p w14:paraId="79FCC9EC"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71DB6748"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И-14дуб.</w:t>
            </w:r>
          </w:p>
        </w:tc>
        <w:tc>
          <w:tcPr>
            <w:tcW w:w="1409" w:type="dxa"/>
          </w:tcPr>
          <w:p w14:paraId="09161B70"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15.03.33</w:t>
            </w:r>
          </w:p>
        </w:tc>
        <w:tc>
          <w:tcPr>
            <w:tcW w:w="1409" w:type="dxa"/>
          </w:tcPr>
          <w:p w14:paraId="302748E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01.06.33</w:t>
            </w:r>
          </w:p>
        </w:tc>
      </w:tr>
      <w:tr w:rsidR="004E10C1" w:rsidRPr="0044524F" w14:paraId="686B61EB" w14:textId="77777777">
        <w:tc>
          <w:tcPr>
            <w:tcW w:w="1409" w:type="dxa"/>
          </w:tcPr>
          <w:p w14:paraId="21422A22"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02571D6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w:t>
            </w:r>
          </w:p>
        </w:tc>
        <w:tc>
          <w:tcPr>
            <w:tcW w:w="1409" w:type="dxa"/>
          </w:tcPr>
          <w:p w14:paraId="631034C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c>
          <w:tcPr>
            <w:tcW w:w="1409" w:type="dxa"/>
          </w:tcPr>
          <w:p w14:paraId="7FC5F59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r>
      <w:tr w:rsidR="004E10C1" w:rsidRPr="0044524F" w14:paraId="5673F421" w14:textId="77777777">
        <w:tc>
          <w:tcPr>
            <w:tcW w:w="1409" w:type="dxa"/>
          </w:tcPr>
          <w:p w14:paraId="7A9859E5"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41BDAB1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ЭА-7</w:t>
            </w:r>
          </w:p>
        </w:tc>
        <w:tc>
          <w:tcPr>
            <w:tcW w:w="1409" w:type="dxa"/>
          </w:tcPr>
          <w:p w14:paraId="245A5A5E"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c>
          <w:tcPr>
            <w:tcW w:w="1409" w:type="dxa"/>
          </w:tcPr>
          <w:p w14:paraId="3949920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r>
      <w:tr w:rsidR="004E10C1" w:rsidRPr="0044524F" w14:paraId="73CE8920" w14:textId="77777777">
        <w:tc>
          <w:tcPr>
            <w:tcW w:w="1409" w:type="dxa"/>
          </w:tcPr>
          <w:p w14:paraId="39696ACF"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1C33525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w:t>
            </w:r>
          </w:p>
        </w:tc>
        <w:tc>
          <w:tcPr>
            <w:tcW w:w="1409" w:type="dxa"/>
          </w:tcPr>
          <w:p w14:paraId="77EB27A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c>
          <w:tcPr>
            <w:tcW w:w="1409" w:type="dxa"/>
          </w:tcPr>
          <w:p w14:paraId="135D0D2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r>
      <w:tr w:rsidR="004E10C1" w:rsidRPr="0044524F" w14:paraId="17FB8E40" w14:textId="77777777">
        <w:tc>
          <w:tcPr>
            <w:tcW w:w="1409" w:type="dxa"/>
          </w:tcPr>
          <w:p w14:paraId="556F8969"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32F7537E"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ЭА-6</w:t>
            </w:r>
          </w:p>
        </w:tc>
        <w:tc>
          <w:tcPr>
            <w:tcW w:w="1409" w:type="dxa"/>
          </w:tcPr>
          <w:p w14:paraId="554AD42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05.06.33</w:t>
            </w:r>
          </w:p>
        </w:tc>
        <w:tc>
          <w:tcPr>
            <w:tcW w:w="1409" w:type="dxa"/>
          </w:tcPr>
          <w:p w14:paraId="32B9ABA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05.06.33</w:t>
            </w:r>
          </w:p>
        </w:tc>
      </w:tr>
      <w:tr w:rsidR="004E10C1" w:rsidRPr="0044524F" w14:paraId="51B1D920" w14:textId="77777777">
        <w:tc>
          <w:tcPr>
            <w:tcW w:w="1409" w:type="dxa"/>
          </w:tcPr>
          <w:p w14:paraId="288CD989"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3E821DA8"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ДИПоп.</w:t>
            </w:r>
          </w:p>
        </w:tc>
        <w:tc>
          <w:tcPr>
            <w:tcW w:w="1409" w:type="dxa"/>
          </w:tcPr>
          <w:p w14:paraId="20B89B6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w:t>
            </w:r>
          </w:p>
        </w:tc>
        <w:tc>
          <w:tcPr>
            <w:tcW w:w="1409" w:type="dxa"/>
          </w:tcPr>
          <w:p w14:paraId="652EDBC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w:t>
            </w:r>
          </w:p>
        </w:tc>
      </w:tr>
      <w:tr w:rsidR="004E10C1" w:rsidRPr="0044524F" w14:paraId="4B67D1DB" w14:textId="77777777">
        <w:tc>
          <w:tcPr>
            <w:tcW w:w="1409" w:type="dxa"/>
          </w:tcPr>
          <w:p w14:paraId="2EE3822F"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69060B9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РДоп.</w:t>
            </w:r>
          </w:p>
        </w:tc>
        <w:tc>
          <w:tcPr>
            <w:tcW w:w="1409" w:type="dxa"/>
          </w:tcPr>
          <w:p w14:paraId="27F72A0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01.09.32</w:t>
            </w:r>
          </w:p>
        </w:tc>
        <w:tc>
          <w:tcPr>
            <w:tcW w:w="1409" w:type="dxa"/>
          </w:tcPr>
          <w:p w14:paraId="5014DCC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01.06.33</w:t>
            </w:r>
          </w:p>
        </w:tc>
      </w:tr>
      <w:tr w:rsidR="004E10C1" w:rsidRPr="0044524F" w14:paraId="2CB40DC0" w14:textId="77777777">
        <w:tc>
          <w:tcPr>
            <w:tcW w:w="1409" w:type="dxa"/>
          </w:tcPr>
          <w:p w14:paraId="68EAA489"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0CB6FDC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РДбис.</w:t>
            </w:r>
          </w:p>
        </w:tc>
        <w:tc>
          <w:tcPr>
            <w:tcW w:w="1409" w:type="dxa"/>
          </w:tcPr>
          <w:p w14:paraId="6332853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01.08.33</w:t>
            </w:r>
          </w:p>
        </w:tc>
        <w:tc>
          <w:tcPr>
            <w:tcW w:w="1409" w:type="dxa"/>
          </w:tcPr>
          <w:p w14:paraId="242EA67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01.11.33</w:t>
            </w:r>
          </w:p>
        </w:tc>
      </w:tr>
      <w:tr w:rsidR="004E10C1" w:rsidRPr="0044524F" w14:paraId="7320B37F" w14:textId="77777777">
        <w:tc>
          <w:tcPr>
            <w:tcW w:w="1409" w:type="dxa"/>
          </w:tcPr>
          <w:p w14:paraId="12804A48"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5EAE633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СК-1оп.</w:t>
            </w:r>
          </w:p>
        </w:tc>
        <w:tc>
          <w:tcPr>
            <w:tcW w:w="1409" w:type="dxa"/>
          </w:tcPr>
          <w:p w14:paraId="63219550"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w:t>
            </w:r>
          </w:p>
        </w:tc>
        <w:tc>
          <w:tcPr>
            <w:tcW w:w="1409" w:type="dxa"/>
          </w:tcPr>
          <w:p w14:paraId="1A6A17D3"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r>
      <w:tr w:rsidR="004E10C1" w:rsidRPr="0044524F" w14:paraId="0C6EFFE2" w14:textId="77777777">
        <w:tc>
          <w:tcPr>
            <w:tcW w:w="1409" w:type="dxa"/>
          </w:tcPr>
          <w:p w14:paraId="4892F1AB"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484E019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МИ-3би.</w:t>
            </w:r>
          </w:p>
        </w:tc>
        <w:tc>
          <w:tcPr>
            <w:tcW w:w="1409" w:type="dxa"/>
          </w:tcPr>
          <w:p w14:paraId="739EE65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w:t>
            </w:r>
          </w:p>
        </w:tc>
        <w:tc>
          <w:tcPr>
            <w:tcW w:w="1409" w:type="dxa"/>
          </w:tcPr>
          <w:p w14:paraId="31F7D9E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r>
      <w:tr w:rsidR="004E10C1" w:rsidRPr="0044524F" w14:paraId="60C85699" w14:textId="77777777">
        <w:tc>
          <w:tcPr>
            <w:tcW w:w="1409" w:type="dxa"/>
          </w:tcPr>
          <w:p w14:paraId="195B44D7"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5D6CA75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МИ-3оп.</w:t>
            </w:r>
          </w:p>
        </w:tc>
        <w:tc>
          <w:tcPr>
            <w:tcW w:w="1409" w:type="dxa"/>
          </w:tcPr>
          <w:p w14:paraId="2C5DDB5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01.01.33</w:t>
            </w:r>
          </w:p>
        </w:tc>
        <w:tc>
          <w:tcPr>
            <w:tcW w:w="1409" w:type="dxa"/>
          </w:tcPr>
          <w:p w14:paraId="27B4DE7E"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01.05.33</w:t>
            </w:r>
          </w:p>
        </w:tc>
      </w:tr>
      <w:tr w:rsidR="004E10C1" w:rsidRPr="0044524F" w14:paraId="43430052" w14:textId="77777777">
        <w:tc>
          <w:tcPr>
            <w:tcW w:w="1409" w:type="dxa"/>
          </w:tcPr>
          <w:p w14:paraId="00AF08B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1409" w:type="dxa"/>
          </w:tcPr>
          <w:p w14:paraId="55EE4C3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ТШоп.</w:t>
            </w:r>
          </w:p>
        </w:tc>
        <w:tc>
          <w:tcPr>
            <w:tcW w:w="1409" w:type="dxa"/>
          </w:tcPr>
          <w:p w14:paraId="31EEBDD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c>
          <w:tcPr>
            <w:tcW w:w="1409" w:type="dxa"/>
          </w:tcPr>
          <w:p w14:paraId="2EF68B1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01.02.34</w:t>
            </w:r>
          </w:p>
        </w:tc>
      </w:tr>
      <w:tr w:rsidR="004E10C1" w:rsidRPr="0044524F" w14:paraId="5D2DCA9C" w14:textId="77777777">
        <w:tc>
          <w:tcPr>
            <w:tcW w:w="1409" w:type="dxa"/>
          </w:tcPr>
          <w:p w14:paraId="7C701324"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729B459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ДРоп.</w:t>
            </w:r>
          </w:p>
        </w:tc>
        <w:tc>
          <w:tcPr>
            <w:tcW w:w="1409" w:type="dxa"/>
          </w:tcPr>
          <w:p w14:paraId="49CA637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01.01.33</w:t>
            </w:r>
          </w:p>
        </w:tc>
        <w:tc>
          <w:tcPr>
            <w:tcW w:w="1409" w:type="dxa"/>
          </w:tcPr>
          <w:p w14:paraId="745788F3"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w:t>
            </w:r>
          </w:p>
        </w:tc>
      </w:tr>
      <w:tr w:rsidR="004E10C1" w:rsidRPr="0044524F" w14:paraId="6D44626F" w14:textId="77777777">
        <w:tc>
          <w:tcPr>
            <w:tcW w:w="1409" w:type="dxa"/>
          </w:tcPr>
          <w:p w14:paraId="40C2B816"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091CEFA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ДРгол.</w:t>
            </w:r>
          </w:p>
        </w:tc>
        <w:tc>
          <w:tcPr>
            <w:tcW w:w="1409" w:type="dxa"/>
          </w:tcPr>
          <w:p w14:paraId="36235E7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01.01.33</w:t>
            </w:r>
          </w:p>
        </w:tc>
        <w:tc>
          <w:tcPr>
            <w:tcW w:w="1409" w:type="dxa"/>
          </w:tcPr>
          <w:p w14:paraId="05ECECC8"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w:t>
            </w:r>
          </w:p>
        </w:tc>
      </w:tr>
      <w:tr w:rsidR="004E10C1" w:rsidRPr="0044524F" w14:paraId="21C881E4" w14:textId="77777777">
        <w:tc>
          <w:tcPr>
            <w:tcW w:w="1409" w:type="dxa"/>
          </w:tcPr>
          <w:p w14:paraId="73813BD9"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3FE1FA0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ДИ-6оп.</w:t>
            </w:r>
          </w:p>
        </w:tc>
        <w:tc>
          <w:tcPr>
            <w:tcW w:w="1409" w:type="dxa"/>
          </w:tcPr>
          <w:p w14:paraId="5B41C4A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01.06.33</w:t>
            </w:r>
          </w:p>
        </w:tc>
        <w:tc>
          <w:tcPr>
            <w:tcW w:w="1409" w:type="dxa"/>
          </w:tcPr>
          <w:p w14:paraId="0522C41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r>
      <w:tr w:rsidR="004E10C1" w:rsidRPr="0044524F" w14:paraId="174552D6" w14:textId="77777777">
        <w:tc>
          <w:tcPr>
            <w:tcW w:w="1409" w:type="dxa"/>
          </w:tcPr>
          <w:p w14:paraId="242BC6C5"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3E753D39"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И-15оп.</w:t>
            </w:r>
          </w:p>
        </w:tc>
        <w:tc>
          <w:tcPr>
            <w:tcW w:w="1409" w:type="dxa"/>
          </w:tcPr>
          <w:p w14:paraId="32BA7C63"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c>
          <w:tcPr>
            <w:tcW w:w="1409" w:type="dxa"/>
          </w:tcPr>
          <w:p w14:paraId="3742C32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r>
      <w:tr w:rsidR="004E10C1" w:rsidRPr="0044524F" w14:paraId="21E64E80" w14:textId="77777777">
        <w:tc>
          <w:tcPr>
            <w:tcW w:w="1409" w:type="dxa"/>
          </w:tcPr>
          <w:p w14:paraId="5987A0E6"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43348A7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ЦКБ-6</w:t>
            </w:r>
          </w:p>
        </w:tc>
        <w:tc>
          <w:tcPr>
            <w:tcW w:w="1409" w:type="dxa"/>
          </w:tcPr>
          <w:p w14:paraId="51B1F60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c>
          <w:tcPr>
            <w:tcW w:w="1409" w:type="dxa"/>
          </w:tcPr>
          <w:p w14:paraId="3338B78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r>
      <w:tr w:rsidR="004E10C1" w:rsidRPr="0044524F" w14:paraId="7A610337" w14:textId="77777777">
        <w:tc>
          <w:tcPr>
            <w:tcW w:w="1409" w:type="dxa"/>
          </w:tcPr>
          <w:p w14:paraId="1B5E59C5"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0DA6A92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СС</w:t>
            </w:r>
          </w:p>
        </w:tc>
        <w:tc>
          <w:tcPr>
            <w:tcW w:w="1409" w:type="dxa"/>
          </w:tcPr>
          <w:p w14:paraId="4DB49ED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01.04.33</w:t>
            </w:r>
          </w:p>
        </w:tc>
        <w:tc>
          <w:tcPr>
            <w:tcW w:w="1409" w:type="dxa"/>
          </w:tcPr>
          <w:p w14:paraId="253EEEE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r>
      <w:tr w:rsidR="004E10C1" w:rsidRPr="0044524F" w14:paraId="27660E40" w14:textId="77777777">
        <w:tc>
          <w:tcPr>
            <w:tcW w:w="1409" w:type="dxa"/>
          </w:tcPr>
          <w:p w14:paraId="76C53E40"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07F22566"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РК</w:t>
            </w:r>
          </w:p>
        </w:tc>
        <w:tc>
          <w:tcPr>
            <w:tcW w:w="1409" w:type="dxa"/>
          </w:tcPr>
          <w:p w14:paraId="6F916F2D"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c>
          <w:tcPr>
            <w:tcW w:w="1409" w:type="dxa"/>
          </w:tcPr>
          <w:p w14:paraId="3963093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r>
      <w:tr w:rsidR="004E10C1" w:rsidRPr="0044524F" w14:paraId="6103FDDE" w14:textId="77777777">
        <w:tc>
          <w:tcPr>
            <w:tcW w:w="1409" w:type="dxa"/>
          </w:tcPr>
          <w:p w14:paraId="113D83B8"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7FF2F4D8"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ДКоп.</w:t>
            </w:r>
          </w:p>
        </w:tc>
        <w:tc>
          <w:tcPr>
            <w:tcW w:w="1409" w:type="dxa"/>
          </w:tcPr>
          <w:p w14:paraId="26A7FBD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w:t>
            </w:r>
          </w:p>
        </w:tc>
        <w:tc>
          <w:tcPr>
            <w:tcW w:w="1409" w:type="dxa"/>
          </w:tcPr>
          <w:p w14:paraId="1575BDEE"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01.07.33</w:t>
            </w:r>
          </w:p>
        </w:tc>
      </w:tr>
      <w:tr w:rsidR="004E10C1" w:rsidRPr="0044524F" w14:paraId="11F90184" w14:textId="77777777">
        <w:tc>
          <w:tcPr>
            <w:tcW w:w="1409" w:type="dxa"/>
          </w:tcPr>
          <w:p w14:paraId="712F2681"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38E5228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w:t>
            </w:r>
          </w:p>
        </w:tc>
        <w:tc>
          <w:tcPr>
            <w:tcW w:w="1409" w:type="dxa"/>
          </w:tcPr>
          <w:p w14:paraId="496AF5C1"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2762BCFD"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r>
      <w:tr w:rsidR="004E10C1" w:rsidRPr="0044524F" w14:paraId="2120A146" w14:textId="77777777">
        <w:tc>
          <w:tcPr>
            <w:tcW w:w="1409" w:type="dxa"/>
          </w:tcPr>
          <w:p w14:paraId="18BBE2FF"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7B00136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Р-5раз. кр.</w:t>
            </w:r>
          </w:p>
        </w:tc>
        <w:tc>
          <w:tcPr>
            <w:tcW w:w="1409" w:type="dxa"/>
          </w:tcPr>
          <w:p w14:paraId="4CF503D3"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c>
          <w:tcPr>
            <w:tcW w:w="1409" w:type="dxa"/>
          </w:tcPr>
          <w:p w14:paraId="6EA0927C"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r>
      <w:tr w:rsidR="004E10C1" w:rsidRPr="0044524F" w14:paraId="0799F467" w14:textId="77777777">
        <w:tc>
          <w:tcPr>
            <w:tcW w:w="1409" w:type="dxa"/>
          </w:tcPr>
          <w:p w14:paraId="7BD7C89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w:t>
            </w:r>
          </w:p>
        </w:tc>
        <w:tc>
          <w:tcPr>
            <w:tcW w:w="1409" w:type="dxa"/>
          </w:tcPr>
          <w:p w14:paraId="2036C0E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w:t>
            </w:r>
          </w:p>
        </w:tc>
        <w:tc>
          <w:tcPr>
            <w:tcW w:w="1409" w:type="dxa"/>
          </w:tcPr>
          <w:p w14:paraId="6F93A14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01.05.33 (2316,224)</w:t>
            </w:r>
          </w:p>
        </w:tc>
        <w:tc>
          <w:tcPr>
            <w:tcW w:w="1409" w:type="dxa"/>
          </w:tcPr>
          <w:p w14:paraId="0D9E2910" w14:textId="77777777" w:rsidR="00746843" w:rsidRPr="0044524F" w:rsidRDefault="00746843" w:rsidP="009654CF">
            <w:pPr>
              <w:spacing w:after="0" w:line="240" w:lineRule="auto"/>
              <w:jc w:val="both"/>
              <w:rPr>
                <w:rFonts w:ascii="Times New Roman" w:hAnsi="Times New Roman"/>
                <w:color w:val="000000" w:themeColor="text1"/>
                <w:sz w:val="16"/>
                <w:szCs w:val="16"/>
              </w:rPr>
            </w:pPr>
          </w:p>
        </w:tc>
      </w:tr>
    </w:tbl>
    <w:p w14:paraId="3841BFA0"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4D613D68" w14:textId="77777777" w:rsidR="00040C94" w:rsidRPr="0044524F" w:rsidRDefault="00040C9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 xml:space="preserve">На 1 апреля 1933 в справке по состоянию опытного строительства по самолетам и моторам отмечалось, что мотор М-32 (600 л.с.) по программе заводских испытаний на станке наработал 47 часов, при этом проявились следующие дефекты: недостаточная жесткость водяной рубашки, трещины в подшипниках и головке блока. Детали доработаны, ведется сборка мотора для продолжения дальнейших испытаний. По самолету И-13 прорабатывается схема и строится предварительный макет. Самолет </w:t>
      </w:r>
      <w:r w:rsidRPr="0044524F">
        <w:rPr>
          <w:color w:val="000000" w:themeColor="text1"/>
          <w:sz w:val="16"/>
          <w:szCs w:val="16"/>
        </w:rPr>
        <w:lastRenderedPageBreak/>
        <w:t>может быть выпущен через пять месяцев после получения мотора М-32, ориентировочно в феврале-марте 1934 года (19177).</w:t>
      </w:r>
    </w:p>
    <w:p w14:paraId="267DA848" w14:textId="77777777" w:rsidR="00040C94" w:rsidRPr="0044524F" w:rsidRDefault="00040C94" w:rsidP="009654CF">
      <w:pPr>
        <w:pStyle w:val="ae"/>
        <w:shd w:val="clear" w:color="auto" w:fill="FFFFFF"/>
        <w:spacing w:before="0" w:after="0"/>
        <w:jc w:val="both"/>
        <w:textAlignment w:val="baseline"/>
        <w:rPr>
          <w:color w:val="000000" w:themeColor="text1"/>
          <w:sz w:val="16"/>
          <w:szCs w:val="16"/>
        </w:rPr>
      </w:pPr>
    </w:p>
    <w:p w14:paraId="3DADA268"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 Нач. ВМС РККА Орлов писал письмо N 161830 Нач. ГУАП П.И.Б. о том, что опытный образец Г-5, построенный ЦАГИ, прибыл в Севастополь для прохождения ходовых испытаний 23 февраля 1933 и до сих пор не имел ни одного выхода по причине неудовлетворительной подготовки к испытаниям работников ЦАГИ. Просил поддержки (2305,26).</w:t>
      </w:r>
    </w:p>
    <w:p w14:paraId="493C37DD"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2637E916" w14:textId="77777777" w:rsidR="00746843" w:rsidRPr="0044524F" w:rsidRDefault="00746843"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На 1 апреля 1933 г. число хозрасчетных бригад на Электрозаводе сократилось до 345 бригад, в которых трудилось 4017 человек. Лишь форсированными усилиями администрации Комбината, направленными на реанимацию хозрасчётного движения, удалось переломить негативную тенденцию, и довести число хозрасчётных бригад к 1 июля до 398 (4607 человек). На 1 октября количество бригад сократилось до 365, но число занятых в них рабочих возросло до 5462, что составляло 62% всех рабочих завода, занятых на основных работах. К этому времени заводской и цеховой хозрасчёт отошли на вторые роли, на первый план был выдвинут хозрасчёт бригадный, однако и с последним дела не ладились. В объяснение столь неутешительных итогов заводоуправление привело следующие причины: </w:t>
      </w:r>
    </w:p>
    <w:p w14:paraId="49F5B5A0" w14:textId="77777777" w:rsidR="00746843" w:rsidRPr="0044524F" w:rsidRDefault="00746843"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w:t>
      </w:r>
      <w:r w:rsidRPr="0044524F">
        <w:rPr>
          <w:rStyle w:val="ac"/>
          <w:color w:val="000000" w:themeColor="text1"/>
          <w:spacing w:val="0"/>
          <w:kern w:val="0"/>
          <w:position w:val="0"/>
          <w:sz w:val="16"/>
          <w:szCs w:val="16"/>
          <w:lang w:val="ru-RU"/>
        </w:rPr>
        <w:t>1. Организационный разброд и разные ревизионистские настроения, стремящиеся оправдать этот разброд.</w:t>
      </w:r>
    </w:p>
    <w:p w14:paraId="7245A3A6" w14:textId="77777777" w:rsidR="00746843" w:rsidRPr="0044524F" w:rsidRDefault="00746843" w:rsidP="009654CF">
      <w:pPr>
        <w:pStyle w:val="af2"/>
        <w:jc w:val="both"/>
        <w:rPr>
          <w:i w:val="0"/>
          <w:iCs w:val="0"/>
          <w:color w:val="000000" w:themeColor="text1"/>
          <w:spacing w:val="0"/>
          <w:kern w:val="0"/>
          <w:position w:val="0"/>
          <w:sz w:val="16"/>
          <w:szCs w:val="16"/>
          <w:lang w:val="ru-RU"/>
        </w:rPr>
      </w:pPr>
      <w:r w:rsidRPr="0044524F">
        <w:rPr>
          <w:rStyle w:val="ac"/>
          <w:color w:val="000000" w:themeColor="text1"/>
          <w:spacing w:val="0"/>
          <w:kern w:val="0"/>
          <w:position w:val="0"/>
          <w:sz w:val="16"/>
          <w:szCs w:val="16"/>
          <w:lang w:val="ru-RU"/>
        </w:rPr>
        <w:t>2. Рост рабочей силы, ведущий к снижению удельного веса охваченных хозрасчётными бригадами рабочих.</w:t>
      </w:r>
    </w:p>
    <w:p w14:paraId="74A4000D" w14:textId="77777777" w:rsidR="00746843" w:rsidRPr="0044524F" w:rsidRDefault="00746843" w:rsidP="009654CF">
      <w:pPr>
        <w:pStyle w:val="af2"/>
        <w:jc w:val="both"/>
        <w:rPr>
          <w:i w:val="0"/>
          <w:iCs w:val="0"/>
          <w:color w:val="000000" w:themeColor="text1"/>
          <w:spacing w:val="0"/>
          <w:kern w:val="0"/>
          <w:position w:val="0"/>
          <w:sz w:val="16"/>
          <w:szCs w:val="16"/>
          <w:lang w:val="ru-RU"/>
        </w:rPr>
      </w:pPr>
      <w:r w:rsidRPr="0044524F">
        <w:rPr>
          <w:rStyle w:val="ac"/>
          <w:color w:val="000000" w:themeColor="text1"/>
          <w:spacing w:val="0"/>
          <w:kern w:val="0"/>
          <w:position w:val="0"/>
          <w:sz w:val="16"/>
          <w:szCs w:val="16"/>
          <w:lang w:val="ru-RU"/>
        </w:rPr>
        <w:t>3. Бригадный хозрасчёт застыл в тех формах, которые он принял в середине 1932 г., хотя многое в нём уже изменилось. Основное было то, что организационная структура хозрасчётных бригад была недостаточно чёткая, недостаточно рациональная с токи зрения технологического процесса. Среднее число членов в бригаде по 4 основным заводам (АТЭ, Трансформаторный, Прожекторный, Ламповый) было 10–11 человек, а в Прожекторном – 6–7 человек, а при такой численности далеко не всюду бригада могла быть организована как следует. Превалировала организация бригады по принципу обработки какой-либо операции. Пример: деталь начата обработкой в бригаде № 19, затем она идёт в бригаду № 21, оттуда возвращается в бригаду № 19, а затем – в бригаду № 27, оттуда возвращается в бригаду № 21, затем – снова в бригаду № 19, потом – в бригаду № 27 и окончательная обработка – в бригаде № 25.</w:t>
      </w:r>
    </w:p>
    <w:p w14:paraId="52A2F087" w14:textId="77777777" w:rsidR="00746843" w:rsidRPr="0044524F" w:rsidRDefault="00746843" w:rsidP="009654CF">
      <w:pPr>
        <w:pStyle w:val="af2"/>
        <w:jc w:val="both"/>
        <w:rPr>
          <w:i w:val="0"/>
          <w:iCs w:val="0"/>
          <w:color w:val="000000" w:themeColor="text1"/>
          <w:spacing w:val="0"/>
          <w:kern w:val="0"/>
          <w:position w:val="0"/>
          <w:sz w:val="16"/>
          <w:szCs w:val="16"/>
          <w:lang w:val="ru-RU"/>
        </w:rPr>
      </w:pPr>
      <w:r w:rsidRPr="0044524F">
        <w:rPr>
          <w:rStyle w:val="ac"/>
          <w:color w:val="000000" w:themeColor="text1"/>
          <w:spacing w:val="0"/>
          <w:kern w:val="0"/>
          <w:position w:val="0"/>
          <w:sz w:val="16"/>
          <w:szCs w:val="16"/>
          <w:lang w:val="ru-RU"/>
        </w:rPr>
        <w:t>Если в 1932 г. велась борьба и удалось изменить существующую практику многочисленных и многосменных бригад (в 50–70 человек), не считавшихся с техническими процессами и требовавших правильного хозрасчёта, то тут мы имеем дело с другой крайностью – размельчением бригад</w:t>
      </w:r>
      <w:r w:rsidRPr="0044524F">
        <w:rPr>
          <w:i w:val="0"/>
          <w:iCs w:val="0"/>
          <w:color w:val="000000" w:themeColor="text1"/>
          <w:spacing w:val="0"/>
          <w:kern w:val="0"/>
          <w:position w:val="0"/>
          <w:sz w:val="16"/>
          <w:szCs w:val="16"/>
          <w:lang w:val="ru-RU"/>
        </w:rPr>
        <w:t>» (11564).</w:t>
      </w:r>
    </w:p>
    <w:p w14:paraId="4FF243FB" w14:textId="77777777" w:rsidR="00746843" w:rsidRPr="0044524F" w:rsidRDefault="00746843" w:rsidP="009654CF">
      <w:pPr>
        <w:pStyle w:val="af2"/>
        <w:jc w:val="both"/>
        <w:rPr>
          <w:i w:val="0"/>
          <w:iCs w:val="0"/>
          <w:color w:val="000000" w:themeColor="text1"/>
          <w:spacing w:val="0"/>
          <w:kern w:val="0"/>
          <w:position w:val="0"/>
          <w:sz w:val="16"/>
          <w:szCs w:val="16"/>
          <w:lang w:val="ru-RU"/>
        </w:rPr>
      </w:pPr>
    </w:p>
    <w:p w14:paraId="1C26E554" w14:textId="77777777" w:rsidR="00CC65A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B3885A2" w14:textId="77777777" w:rsidR="00CC65A8" w:rsidRPr="0044524F" w:rsidRDefault="00CC65A8" w:rsidP="009654CF">
      <w:pPr>
        <w:spacing w:after="0" w:line="240" w:lineRule="auto"/>
        <w:jc w:val="both"/>
        <w:rPr>
          <w:rFonts w:ascii="Times New Roman" w:hAnsi="Times New Roman"/>
          <w:iCs/>
          <w:color w:val="000000" w:themeColor="text1"/>
          <w:sz w:val="16"/>
          <w:szCs w:val="16"/>
        </w:rPr>
      </w:pPr>
    </w:p>
    <w:p w14:paraId="626B6194" w14:textId="77777777" w:rsidR="00CC65A8" w:rsidRPr="0044524F" w:rsidRDefault="00CC65A8"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Не ранее 1 апреля 1933 г.²*</w:t>
      </w:r>
      <w:r w:rsidRPr="0044524F">
        <w:rPr>
          <w:rFonts w:ascii="Times New Roman" w:hAnsi="Times New Roman"/>
          <w:color w:val="000000" w:themeColor="text1"/>
          <w:sz w:val="16"/>
          <w:szCs w:val="16"/>
        </w:rPr>
        <w:t>Доклад начальника Главного артиллерийского управления РККА¹* Н. А. Ефимова в Реввоенсовет СССР о пересмотре системы артиллерийского вооружения</w:t>
      </w:r>
    </w:p>
    <w:p w14:paraId="4C8B60C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1A0C8F5B"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Пересмотр системы артиллерийского вооружения диктуется двумя обстоятельствами: 1) почти полным завершением системы артиллерийского вооружения 1928/29 г. (в опытных образцах и частично постановкой на производство) и 2) новыми тенденциями в области вооружения, связанными с исключительно быстрым развитием военно-воздушным сил и мотомеханизированных соединений.</w:t>
      </w:r>
    </w:p>
    <w:p w14:paraId="6EE46076"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В основу пересмотра системы артиллерийского вооружения положены следующие исходные данные:</w:t>
      </w:r>
    </w:p>
    <w:p w14:paraId="4A5576DE"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1. Военно-воздушные силы получили такое развитие, что становятся в руках главного командования могучим родом войск, способным решать самостоятельные задачи, и в соответствии с этим требуют: а) крупного бомбового вооружения, способного поражать все земные цели и цели на море; б) внедрения на самолеты новых и могущественных артиллерийских систем до калибров порядка 100 мм и постройки для этого специальных артиллерийских самолетов. Этим самым воздушный флот берет на себя задачи борьбы со всеми встречаемыми целями в воздухе (авиация противника) не только на близких, но и на дальних дистанциях и борьбу с земными целями путем артиллерийской стрельбы; в) мощного артиллерийского вооружения: крейсерской, истребительной авиации и авиации вспомогательного назначения, включая не только крупнокалиберные пулеметы, но и малокалиберные автоматические пушки и переходя к более скорострельным пулеметам; г) обеспечения соответствующим вооружением самолетов по перевозке и высадке авиамотодесантов в тылу противника; д) со стороны мощных и дальнобойных артиллерийских орудий к воздушным силам предъявляются требования резкого увеличения числа артиллерийских самолетов-корректировщиков, т. к. выигрыш в дальнобойности и могуществе тяжелой артиллерии может быть умален из-за отсутствия наблюдения в воздухе.</w:t>
      </w:r>
    </w:p>
    <w:p w14:paraId="4BBE00FC"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2. Развитие мотомеханизированных частей в самостоятельные мотомеханизированные армии, наличие огромного количества танков требует специального рассмотрения системы артиллерийского вооружения под углом зрения потребности мото-мехсоединений: а) вооружения танков в зависимости от их назначения и целей до мощных калибров 122 мм; б) резкого развития самоходной артиллерии, стандартизованной с остальными системами нашей армии, могущей решать все задачи, возникающие перед мото-мехсоединениями.</w:t>
      </w:r>
    </w:p>
    <w:p w14:paraId="53389152"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3. Постепенная реорганизация стрелковых дивизий и корпусов и мото-мехсоединения из года в год будет увеличиваться, но на ближайшую пятилетку закончена не будет, что предопределит в армии наличие 2 систем: а) мото-мехармии и б) остальных стрелковых дивизий и корпусов, частично механизируемых.</w:t>
      </w:r>
    </w:p>
    <w:p w14:paraId="3C2BE575"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4. В связи с ростом воздушного флота и мото-мехсоединений существующая система артиллерийского вооружения должна быть пересмотрена с целью усиления противозенитных и противотанковых средств обороны.</w:t>
      </w:r>
    </w:p>
    <w:p w14:paraId="7B0E9E34"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 Новая система артиллерийского вооружения завершает собой конструирование артиллерийских систем, уже разработанных к концу первой пятилетки и показавших на испытаниях удовлетворительные качества, или заканчиваемых разработкой ныне. Поэтому ее основной целевой установкой является быстрейшая реализация массового перевооружения армии в течение II пятилетки современными образцами артвооружения.</w:t>
      </w:r>
    </w:p>
    <w:p w14:paraId="7AD835E3"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Предлагаемая система особенно резко подчеркивает задачи максимального оснащения авиации артиллерийским оружием (до средних калибров артиллерии включительно) и быстрейшей реализации развернутой программы работ по вооружению мото-мехсоединений мощным артиллерийским вооружением танков и самоходной артиллерией. Кроме того, эта система артвооружения должна предусмотреть возможно полную увязку и стандартизацию с системой вооружения морского флота и береговой обороны и укрепленных районов.</w:t>
      </w:r>
    </w:p>
    <w:p w14:paraId="53982F30"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На основании этого предлагаемая к рассмотрению новая система артвооружения делится на следующие разделы: 1. Новая система артвооружения авиации. 2. Новая система артвооружения мотомеханизаированных соединений. 3. Поправки к существующей системе вооружения остальных частично механизированных дивизий, конницы и горных войск. 4. Поправки к существующей системе вооружения морского флота и береговой обороны. 5. Система вооружения укрепленных районов.</w:t>
      </w:r>
    </w:p>
    <w:p w14:paraId="105729AB"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1. Новая система артиллерийского вооружения авиации</w:t>
      </w:r>
    </w:p>
    <w:p w14:paraId="7AE647CE"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Основными положениями новой системы авиационного артиллерийского вооружения являются:</w:t>
      </w:r>
    </w:p>
    <w:p w14:paraId="6F5D9D00"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а) внедрение в авиацию всех калибров авиабомбового вооружения для сухопутных и морских целей и особенно специальных авиабомб — химических, зажигательных, осветительных и бактериологических. Одновременно дорабатываются прочность корпусов бомб и трубки и взрыватели к ним;</w:t>
      </w:r>
    </w:p>
    <w:p w14:paraId="755CE9E1"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б) введение для повышенной мощности оборонительного и наступательного огня самолета малокалиберной автоматической артиллерии калибра 20 мм, заменяемого впоследствии 37 мм или 45 мм и сверхскорострельных пулеметов 7,62 мм и 12,7 мм. Разработка для указанных калибров снарядов повышенного осколочного действия и специальных пуль — зажигательных, в первую очередь, и трассирующих;</w:t>
      </w:r>
    </w:p>
    <w:p w14:paraId="088557B3"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в) введение для специальных артиллерийских самолетов мощного артиллерийского вооружения: 76</w:t>
      </w:r>
      <w:r w:rsidRPr="0044524F">
        <w:rPr>
          <w:color w:val="000000" w:themeColor="text1"/>
          <w:sz w:val="16"/>
          <w:szCs w:val="16"/>
        </w:rPr>
        <w:noBreakHyphen/>
        <w:t>мм и 100</w:t>
      </w:r>
      <w:r w:rsidRPr="0044524F">
        <w:rPr>
          <w:color w:val="000000" w:themeColor="text1"/>
          <w:sz w:val="16"/>
          <w:szCs w:val="16"/>
        </w:rPr>
        <w:noBreakHyphen/>
        <w:t>мм пушек ДРП с необходимой их доработкой, как средства борьбы против сверхмощных бомбардировщиков, крупных авиационных соединений и для поражения земных целей;</w:t>
      </w:r>
    </w:p>
    <w:p w14:paraId="7E822459"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г) введение новых артиллерийских средств в виде планирующих и заградительных авиационных мин;</w:t>
      </w:r>
    </w:p>
    <w:p w14:paraId="61B95E9E"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д) применение автоматических прицелов и приборов управления артиллерийским огнем.</w:t>
      </w:r>
    </w:p>
    <w:p w14:paraId="1F6FD002"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2. Новая система артиллерийского вооружения мотомеханизированной армии</w:t>
      </w:r>
    </w:p>
    <w:p w14:paraId="1F8B92D4"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Основными моментами в новой системе артиллерийского вооружения являются:</w:t>
      </w:r>
    </w:p>
    <w:p w14:paraId="488C8809"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I. а) Вооружение всей пехоты мотомеханизированных соединений самозарядной винтовкой, имеющей переводчик на автоматический огонь; б) оставление в пулеметных танках пулеметов ДТУ и введение крупнокалиберного 12,7</w:t>
      </w:r>
      <w:r w:rsidRPr="0044524F">
        <w:rPr>
          <w:color w:val="000000" w:themeColor="text1"/>
          <w:sz w:val="16"/>
          <w:szCs w:val="16"/>
        </w:rPr>
        <w:noBreakHyphen/>
        <w:t>мм пулемета; в) внедрение в пушечные танки 45</w:t>
      </w:r>
      <w:r w:rsidRPr="0044524F">
        <w:rPr>
          <w:color w:val="000000" w:themeColor="text1"/>
          <w:sz w:val="16"/>
          <w:szCs w:val="16"/>
        </w:rPr>
        <w:noBreakHyphen/>
        <w:t>мм полуавтоматических (в дальнейшем — автоматических) и 76</w:t>
      </w:r>
      <w:r w:rsidRPr="0044524F">
        <w:rPr>
          <w:color w:val="000000" w:themeColor="text1"/>
          <w:sz w:val="16"/>
          <w:szCs w:val="16"/>
        </w:rPr>
        <w:noBreakHyphen/>
        <w:t>мм полуавтоматических пушек; г) введение 122</w:t>
      </w:r>
      <w:r w:rsidRPr="0044524F">
        <w:rPr>
          <w:color w:val="000000" w:themeColor="text1"/>
          <w:sz w:val="16"/>
          <w:szCs w:val="16"/>
        </w:rPr>
        <w:noBreakHyphen/>
        <w:t>мм гаубиц для новых сверхмощных танков; д) введение на вооружение танкеток 76</w:t>
      </w:r>
      <w:r w:rsidRPr="0044524F">
        <w:rPr>
          <w:color w:val="000000" w:themeColor="text1"/>
          <w:sz w:val="16"/>
          <w:szCs w:val="16"/>
        </w:rPr>
        <w:noBreakHyphen/>
        <w:t>мм пушек ДРП.</w:t>
      </w:r>
    </w:p>
    <w:p w14:paraId="524BA3E0"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II. Создание самоходной артиллерии для решения мотомеханизированными соединениями самостоятельных задач; а) 45</w:t>
      </w:r>
      <w:r w:rsidRPr="0044524F">
        <w:rPr>
          <w:color w:val="000000" w:themeColor="text1"/>
          <w:sz w:val="16"/>
          <w:szCs w:val="16"/>
        </w:rPr>
        <w:noBreakHyphen/>
        <w:t>мм универсальной автоматической пушки; б) 76</w:t>
      </w:r>
      <w:r w:rsidRPr="0044524F">
        <w:rPr>
          <w:color w:val="000000" w:themeColor="text1"/>
          <w:sz w:val="16"/>
          <w:szCs w:val="16"/>
        </w:rPr>
        <w:noBreakHyphen/>
        <w:t>мм пушки; в) 122</w:t>
      </w:r>
      <w:r w:rsidRPr="0044524F">
        <w:rPr>
          <w:color w:val="000000" w:themeColor="text1"/>
          <w:sz w:val="16"/>
          <w:szCs w:val="16"/>
        </w:rPr>
        <w:noBreakHyphen/>
        <w:t>мм гаубицы (на общем самоходном лафете); г) 152</w:t>
      </w:r>
      <w:r w:rsidRPr="0044524F">
        <w:rPr>
          <w:color w:val="000000" w:themeColor="text1"/>
          <w:sz w:val="16"/>
          <w:szCs w:val="16"/>
        </w:rPr>
        <w:noBreakHyphen/>
        <w:t>мм мортиры; д) 76</w:t>
      </w:r>
      <w:r w:rsidRPr="0044524F">
        <w:rPr>
          <w:color w:val="000000" w:themeColor="text1"/>
          <w:sz w:val="16"/>
          <w:szCs w:val="16"/>
        </w:rPr>
        <w:noBreakHyphen/>
        <w:t>мм зенитной пушки на самоходном лафете; ж)³* сверхмощной артиллерии АРГК на самоходном лафете.</w:t>
      </w:r>
    </w:p>
    <w:p w14:paraId="3ADAA3B7"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Создание самоходной артиллерии должно быть неразрывно связано с развитием автоматических прицелов и приборов управления артиллерийским огнем по наземным и воздушным целям.</w:t>
      </w:r>
    </w:p>
    <w:p w14:paraId="70C76710"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3. Система артиллерийского вооружения не механизированной армии</w:t>
      </w:r>
    </w:p>
    <w:p w14:paraId="2CC9CADF"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Основные направления системы следующие:</w:t>
      </w:r>
    </w:p>
    <w:p w14:paraId="5478A2CE" w14:textId="77777777" w:rsidR="00CC65A8" w:rsidRPr="0044524F" w:rsidRDefault="00CC65A8" w:rsidP="009654CF">
      <w:pPr>
        <w:pStyle w:val="rtejustify"/>
        <w:spacing w:before="0" w:after="0"/>
        <w:rPr>
          <w:color w:val="000000" w:themeColor="text1"/>
          <w:sz w:val="16"/>
          <w:szCs w:val="16"/>
        </w:rPr>
      </w:pPr>
      <w:r w:rsidRPr="0044524F">
        <w:rPr>
          <w:rStyle w:val="af0"/>
          <w:bCs/>
          <w:i w:val="0"/>
          <w:color w:val="000000" w:themeColor="text1"/>
          <w:sz w:val="16"/>
          <w:szCs w:val="16"/>
        </w:rPr>
        <w:t>Вооружение стрелковых частей</w:t>
      </w:r>
      <w:r w:rsidRPr="0044524F">
        <w:rPr>
          <w:color w:val="000000" w:themeColor="text1"/>
          <w:sz w:val="16"/>
          <w:szCs w:val="16"/>
        </w:rPr>
        <w:t>, а) Стрелковое вооружение: 7,6</w:t>
      </w:r>
      <w:r w:rsidRPr="0044524F">
        <w:rPr>
          <w:color w:val="000000" w:themeColor="text1"/>
          <w:sz w:val="16"/>
          <w:szCs w:val="16"/>
        </w:rPr>
        <w:noBreakHyphen/>
        <w:t>мм самозарядная винтовка — ручной пулемет — облегченный станковый пулемет.</w:t>
      </w:r>
    </w:p>
    <w:p w14:paraId="330A91DA"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б) Вооружение роты: 37</w:t>
      </w:r>
      <w:r w:rsidRPr="0044524F">
        <w:rPr>
          <w:color w:val="000000" w:themeColor="text1"/>
          <w:sz w:val="16"/>
          <w:szCs w:val="16"/>
        </w:rPr>
        <w:noBreakHyphen/>
        <w:t>мм противотанковое ружье Курчевского.</w:t>
      </w:r>
    </w:p>
    <w:p w14:paraId="378A29F1"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lastRenderedPageBreak/>
        <w:t>в) Вооружение батальона: 12,7</w:t>
      </w:r>
      <w:r w:rsidRPr="0044524F">
        <w:rPr>
          <w:color w:val="000000" w:themeColor="text1"/>
          <w:sz w:val="16"/>
          <w:szCs w:val="16"/>
        </w:rPr>
        <w:noBreakHyphen/>
        <w:t>мм спаренные наземно-зенитные пулеметы; 45</w:t>
      </w:r>
      <w:r w:rsidRPr="0044524F">
        <w:rPr>
          <w:color w:val="000000" w:themeColor="text1"/>
          <w:sz w:val="16"/>
          <w:szCs w:val="16"/>
        </w:rPr>
        <w:noBreakHyphen/>
        <w:t>мм полуавтоматическая (в дальнейшем — универсальная автоматическая) пушка на прицепке или в танке с раскрывающейся броней; 76</w:t>
      </w:r>
      <w:r w:rsidRPr="0044524F">
        <w:rPr>
          <w:color w:val="000000" w:themeColor="text1"/>
          <w:sz w:val="16"/>
          <w:szCs w:val="16"/>
        </w:rPr>
        <w:noBreakHyphen/>
        <w:t>мм пушки ВПК и 82</w:t>
      </w:r>
      <w:r w:rsidRPr="0044524F">
        <w:rPr>
          <w:color w:val="000000" w:themeColor="text1"/>
          <w:sz w:val="16"/>
          <w:szCs w:val="16"/>
        </w:rPr>
        <w:noBreakHyphen/>
        <w:t>мм миномет.</w:t>
      </w:r>
    </w:p>
    <w:p w14:paraId="4A77E2E9"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г) Вооружение полка: 7,62</w:t>
      </w:r>
      <w:r w:rsidRPr="0044524F">
        <w:rPr>
          <w:color w:val="000000" w:themeColor="text1"/>
          <w:sz w:val="16"/>
          <w:szCs w:val="16"/>
        </w:rPr>
        <w:noBreakHyphen/>
        <w:t>мм счетверенный пулемет; 12,7</w:t>
      </w:r>
      <w:r w:rsidRPr="0044524F">
        <w:rPr>
          <w:color w:val="000000" w:themeColor="text1"/>
          <w:sz w:val="16"/>
          <w:szCs w:val="16"/>
        </w:rPr>
        <w:noBreakHyphen/>
        <w:t>мм спаренные наземно-зенитные пулеметы; 76</w:t>
      </w:r>
      <w:r w:rsidRPr="0044524F">
        <w:rPr>
          <w:color w:val="000000" w:themeColor="text1"/>
          <w:sz w:val="16"/>
          <w:szCs w:val="16"/>
        </w:rPr>
        <w:noBreakHyphen/>
        <w:t>мм полковая полуавтоматическая пушка на самоходе или в танке и 152</w:t>
      </w:r>
      <w:r w:rsidRPr="0044524F">
        <w:rPr>
          <w:color w:val="000000" w:themeColor="text1"/>
          <w:sz w:val="16"/>
          <w:szCs w:val="16"/>
        </w:rPr>
        <w:noBreakHyphen/>
        <w:t>мм мортира конной тяги (или на прицепке за танкеткой).</w:t>
      </w:r>
    </w:p>
    <w:p w14:paraId="7448CEBF"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д) Средства дивизии: 76</w:t>
      </w:r>
      <w:r w:rsidRPr="0044524F">
        <w:rPr>
          <w:color w:val="000000" w:themeColor="text1"/>
          <w:sz w:val="16"/>
          <w:szCs w:val="16"/>
        </w:rPr>
        <w:noBreakHyphen/>
        <w:t>мм дивизионная пушка увеличенной дальности с возможностью ведения зенитной стрельбы, 122</w:t>
      </w:r>
      <w:r w:rsidRPr="0044524F">
        <w:rPr>
          <w:color w:val="000000" w:themeColor="text1"/>
          <w:sz w:val="16"/>
          <w:szCs w:val="16"/>
        </w:rPr>
        <w:noBreakHyphen/>
        <w:t>мм гаубица на общем с пушкой лафете и 152</w:t>
      </w:r>
      <w:r w:rsidRPr="0044524F">
        <w:rPr>
          <w:color w:val="000000" w:themeColor="text1"/>
          <w:sz w:val="16"/>
          <w:szCs w:val="16"/>
        </w:rPr>
        <w:noBreakHyphen/>
        <w:t>мм мортира.</w:t>
      </w:r>
    </w:p>
    <w:p w14:paraId="283067E1"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е) Средства корпуса: 76</w:t>
      </w:r>
      <w:r w:rsidRPr="0044524F">
        <w:rPr>
          <w:color w:val="000000" w:themeColor="text1"/>
          <w:sz w:val="16"/>
          <w:szCs w:val="16"/>
        </w:rPr>
        <w:noBreakHyphen/>
        <w:t>мм зенитная пушка на прицепке; 122</w:t>
      </w:r>
      <w:r w:rsidRPr="0044524F">
        <w:rPr>
          <w:color w:val="000000" w:themeColor="text1"/>
          <w:sz w:val="16"/>
          <w:szCs w:val="16"/>
        </w:rPr>
        <w:noBreakHyphen/>
        <w:t>мм пушка вместо 107</w:t>
      </w:r>
      <w:r w:rsidRPr="0044524F">
        <w:rPr>
          <w:color w:val="000000" w:themeColor="text1"/>
          <w:sz w:val="16"/>
          <w:szCs w:val="16"/>
        </w:rPr>
        <w:noBreakHyphen/>
        <w:t>мм и 152</w:t>
      </w:r>
      <w:r w:rsidRPr="0044524F">
        <w:rPr>
          <w:color w:val="000000" w:themeColor="text1"/>
          <w:sz w:val="16"/>
          <w:szCs w:val="16"/>
        </w:rPr>
        <w:noBreakHyphen/>
        <w:t>мм гаубица нового образца (обе на одном лафете).</w:t>
      </w:r>
    </w:p>
    <w:p w14:paraId="640DEB31"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ж) АРГК: 152</w:t>
      </w:r>
      <w:r w:rsidRPr="0044524F">
        <w:rPr>
          <w:color w:val="000000" w:themeColor="text1"/>
          <w:sz w:val="16"/>
          <w:szCs w:val="16"/>
        </w:rPr>
        <w:noBreakHyphen/>
        <w:t>мм пушка Б</w:t>
      </w:r>
      <w:r w:rsidRPr="0044524F">
        <w:rPr>
          <w:color w:val="000000" w:themeColor="text1"/>
          <w:sz w:val="16"/>
          <w:szCs w:val="16"/>
        </w:rPr>
        <w:noBreakHyphen/>
        <w:t>10 и 203</w:t>
      </w:r>
      <w:r w:rsidRPr="0044524F">
        <w:rPr>
          <w:color w:val="000000" w:themeColor="text1"/>
          <w:sz w:val="16"/>
          <w:szCs w:val="16"/>
        </w:rPr>
        <w:noBreakHyphen/>
        <w:t>мм гаубица Б</w:t>
      </w:r>
      <w:r w:rsidRPr="0044524F">
        <w:rPr>
          <w:color w:val="000000" w:themeColor="text1"/>
          <w:sz w:val="16"/>
          <w:szCs w:val="16"/>
        </w:rPr>
        <w:noBreakHyphen/>
        <w:t>4 на общем лафете; 305</w:t>
      </w:r>
      <w:r w:rsidRPr="0044524F">
        <w:rPr>
          <w:color w:val="000000" w:themeColor="text1"/>
          <w:sz w:val="16"/>
          <w:szCs w:val="16"/>
        </w:rPr>
        <w:noBreakHyphen/>
        <w:t>мм гаубица ДРП; 254</w:t>
      </w:r>
      <w:r w:rsidRPr="0044524F">
        <w:rPr>
          <w:color w:val="000000" w:themeColor="text1"/>
          <w:sz w:val="16"/>
          <w:szCs w:val="16"/>
        </w:rPr>
        <w:noBreakHyphen/>
        <w:t>мм пушка — 305</w:t>
      </w:r>
      <w:r w:rsidRPr="0044524F">
        <w:rPr>
          <w:color w:val="000000" w:themeColor="text1"/>
          <w:sz w:val="16"/>
          <w:szCs w:val="16"/>
        </w:rPr>
        <w:noBreakHyphen/>
        <w:t>мм гаубица — 400</w:t>
      </w:r>
      <w:r w:rsidRPr="0044524F">
        <w:rPr>
          <w:color w:val="000000" w:themeColor="text1"/>
          <w:sz w:val="16"/>
          <w:szCs w:val="16"/>
        </w:rPr>
        <w:noBreakHyphen/>
        <w:t>мм мортира на общем самоходном лафете; 180</w:t>
      </w:r>
      <w:r w:rsidRPr="0044524F">
        <w:rPr>
          <w:color w:val="000000" w:themeColor="text1"/>
          <w:sz w:val="16"/>
          <w:szCs w:val="16"/>
        </w:rPr>
        <w:noBreakHyphen/>
        <w:t>мм и 355</w:t>
      </w:r>
      <w:r w:rsidRPr="0044524F">
        <w:rPr>
          <w:color w:val="000000" w:themeColor="text1"/>
          <w:sz w:val="16"/>
          <w:szCs w:val="16"/>
        </w:rPr>
        <w:noBreakHyphen/>
        <w:t>мм пушки на железнодорожных транспортерах и 100</w:t>
      </w:r>
      <w:r w:rsidRPr="0044524F">
        <w:rPr>
          <w:color w:val="000000" w:themeColor="text1"/>
          <w:sz w:val="16"/>
          <w:szCs w:val="16"/>
        </w:rPr>
        <w:noBreakHyphen/>
        <w:t>мм зенпушка на стационарной установке.</w:t>
      </w:r>
    </w:p>
    <w:p w14:paraId="0504A972" w14:textId="77777777" w:rsidR="00CC65A8" w:rsidRPr="0044524F" w:rsidRDefault="00CC65A8" w:rsidP="009654CF">
      <w:pPr>
        <w:pStyle w:val="rtejustify"/>
        <w:spacing w:before="0" w:after="0"/>
        <w:rPr>
          <w:color w:val="000000" w:themeColor="text1"/>
          <w:sz w:val="16"/>
          <w:szCs w:val="16"/>
        </w:rPr>
      </w:pPr>
      <w:r w:rsidRPr="0044524F">
        <w:rPr>
          <w:rStyle w:val="af0"/>
          <w:bCs/>
          <w:i w:val="0"/>
          <w:color w:val="000000" w:themeColor="text1"/>
          <w:sz w:val="16"/>
          <w:szCs w:val="16"/>
        </w:rPr>
        <w:t>Вооружение конницы</w:t>
      </w:r>
      <w:r w:rsidRPr="0044524F">
        <w:rPr>
          <w:color w:val="000000" w:themeColor="text1"/>
          <w:sz w:val="16"/>
          <w:szCs w:val="16"/>
        </w:rPr>
        <w:t>. Вооружение конницы в целях усиления разведывательных частей и усилении ПВО и ПТО представляется в следующем виде:</w:t>
      </w:r>
    </w:p>
    <w:p w14:paraId="1EE52A72"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Для кав[алерийских] полков вводится: а) 76</w:t>
      </w:r>
      <w:r w:rsidRPr="0044524F">
        <w:rPr>
          <w:color w:val="000000" w:themeColor="text1"/>
          <w:sz w:val="16"/>
          <w:szCs w:val="16"/>
        </w:rPr>
        <w:noBreakHyphen/>
        <w:t>мм самоходная пушка Курчевского — СПК; б) 45</w:t>
      </w:r>
      <w:r w:rsidRPr="0044524F">
        <w:rPr>
          <w:color w:val="000000" w:themeColor="text1"/>
          <w:sz w:val="16"/>
          <w:szCs w:val="16"/>
        </w:rPr>
        <w:noBreakHyphen/>
        <w:t>мм полуавтоматическая (в дальнейшем универсальная автоматическая) пушка на самоходе; в) 12,7</w:t>
      </w:r>
      <w:r w:rsidRPr="0044524F">
        <w:rPr>
          <w:color w:val="000000" w:themeColor="text1"/>
          <w:sz w:val="16"/>
          <w:szCs w:val="16"/>
        </w:rPr>
        <w:noBreakHyphen/>
        <w:t>мм спаренные наземно-зенитные пулеметы; г) 7,62</w:t>
      </w:r>
      <w:r w:rsidRPr="0044524F">
        <w:rPr>
          <w:color w:val="000000" w:themeColor="text1"/>
          <w:sz w:val="16"/>
          <w:szCs w:val="16"/>
        </w:rPr>
        <w:noBreakHyphen/>
        <w:t>мм счетверенные пулеметы.</w:t>
      </w:r>
    </w:p>
    <w:p w14:paraId="589A1B73"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Для артполков и дивизионов конницы: 76</w:t>
      </w:r>
      <w:r w:rsidRPr="0044524F">
        <w:rPr>
          <w:color w:val="000000" w:themeColor="text1"/>
          <w:sz w:val="16"/>
          <w:szCs w:val="16"/>
        </w:rPr>
        <w:noBreakHyphen/>
        <w:t>мм дивизионная пушка; 122</w:t>
      </w:r>
      <w:r w:rsidRPr="0044524F">
        <w:rPr>
          <w:color w:val="000000" w:themeColor="text1"/>
          <w:sz w:val="16"/>
          <w:szCs w:val="16"/>
        </w:rPr>
        <w:noBreakHyphen/>
        <w:t>мм гаубица и 152</w:t>
      </w:r>
      <w:r w:rsidRPr="0044524F">
        <w:rPr>
          <w:color w:val="000000" w:themeColor="text1"/>
          <w:sz w:val="16"/>
          <w:szCs w:val="16"/>
        </w:rPr>
        <w:noBreakHyphen/>
        <w:t>мм мортира стандартные с дивизионными орудиями. Стрелковое вооружение конницы — самозарядные винтовки — ручной пулемет и облегченный станковый пулемет.</w:t>
      </w:r>
    </w:p>
    <w:p w14:paraId="2B1BE1EC" w14:textId="77777777" w:rsidR="00CC65A8" w:rsidRPr="0044524F" w:rsidRDefault="00CC65A8" w:rsidP="009654CF">
      <w:pPr>
        <w:pStyle w:val="rtejustify"/>
        <w:spacing w:before="0" w:after="0"/>
        <w:rPr>
          <w:color w:val="000000" w:themeColor="text1"/>
          <w:sz w:val="16"/>
          <w:szCs w:val="16"/>
        </w:rPr>
      </w:pPr>
      <w:r w:rsidRPr="0044524F">
        <w:rPr>
          <w:rStyle w:val="af0"/>
          <w:bCs/>
          <w:i w:val="0"/>
          <w:color w:val="000000" w:themeColor="text1"/>
          <w:sz w:val="16"/>
          <w:szCs w:val="16"/>
        </w:rPr>
        <w:t>Вооружение горных войск</w:t>
      </w:r>
      <w:r w:rsidRPr="0044524F">
        <w:rPr>
          <w:color w:val="000000" w:themeColor="text1"/>
          <w:sz w:val="16"/>
          <w:szCs w:val="16"/>
        </w:rPr>
        <w:t>. Стрелковое вооружение стандартное с вооружением не механизированных дивизий. Артиллерийское вооружение — в стрелковых полках: 76</w:t>
      </w:r>
      <w:r w:rsidRPr="0044524F">
        <w:rPr>
          <w:color w:val="000000" w:themeColor="text1"/>
          <w:sz w:val="16"/>
          <w:szCs w:val="16"/>
        </w:rPr>
        <w:noBreakHyphen/>
        <w:t>мм вьючная пушка БПК и в артполках — 122</w:t>
      </w:r>
      <w:r w:rsidRPr="0044524F">
        <w:rPr>
          <w:color w:val="000000" w:themeColor="text1"/>
          <w:sz w:val="16"/>
          <w:szCs w:val="16"/>
        </w:rPr>
        <w:noBreakHyphen/>
        <w:t>мм облегченная гаубица и 152</w:t>
      </w:r>
      <w:r w:rsidRPr="0044524F">
        <w:rPr>
          <w:color w:val="000000" w:themeColor="text1"/>
          <w:sz w:val="16"/>
          <w:szCs w:val="16"/>
        </w:rPr>
        <w:noBreakHyphen/>
        <w:t>мм мортира.</w:t>
      </w:r>
    </w:p>
    <w:p w14:paraId="67B6D7B9"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4. Артиллерийское вооружение морского флота и береговой обороны</w:t>
      </w:r>
    </w:p>
    <w:p w14:paraId="6C7ECEDD"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Основные поправки к системе морского флота и береговой обороны сводятся к получению наибольшей однородности калибров с системой сухопутного вооружения. Кроме того, вводится: 1) системы ДРП — калибра 7,62 мм и 2) новые сверхмощные дальнобойные пушки 400</w:t>
      </w:r>
      <w:r w:rsidRPr="0044524F">
        <w:rPr>
          <w:color w:val="000000" w:themeColor="text1"/>
          <w:sz w:val="16"/>
          <w:szCs w:val="16"/>
        </w:rPr>
        <w:noBreakHyphen/>
        <w:t>350 мм на железнодорожных установках.</w:t>
      </w:r>
    </w:p>
    <w:p w14:paraId="57D2DB63"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Полная однородность калибров с сухопутными достигается на мониторах, кан[онерских] лодках, на судах речной флотилии и частично в береговой обороне.</w:t>
      </w:r>
    </w:p>
    <w:p w14:paraId="4F373C68"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 Система артиллерийского вооружения укрепленных районов</w:t>
      </w:r>
    </w:p>
    <w:p w14:paraId="15153AA6"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а) Вооружение гарнизонной артиллерии: типы и калибры дивизионной, корпусной артиллерии и АРГК, состоящие на вооружении в зависимости от важности района и его организации.</w:t>
      </w:r>
    </w:p>
    <w:p w14:paraId="6A77B61D"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б) Вооружение канонирной артиллерии — 76</w:t>
      </w:r>
      <w:r w:rsidRPr="0044524F">
        <w:rPr>
          <w:color w:val="000000" w:themeColor="text1"/>
          <w:sz w:val="16"/>
          <w:szCs w:val="16"/>
        </w:rPr>
        <w:noBreakHyphen/>
        <w:t>мм пушки образца 1902 г. на специальных канонирных установках.</w:t>
      </w:r>
    </w:p>
    <w:p w14:paraId="0D925F23"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в) Противотанковая артиллерия — 76</w:t>
      </w:r>
      <w:r w:rsidRPr="0044524F">
        <w:rPr>
          <w:color w:val="000000" w:themeColor="text1"/>
          <w:sz w:val="16"/>
          <w:szCs w:val="16"/>
        </w:rPr>
        <w:noBreakHyphen/>
        <w:t>мм пушки образца 1927 г. или 1902 г. Применение мелких калибров нецелесообразно, т. к. эти же орудия должны вести огонь по наступающей за танками пехоте.</w:t>
      </w:r>
    </w:p>
    <w:p w14:paraId="43588B12"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г) ПВО — типы и калибры общевойсковых соединений — 12,7</w:t>
      </w:r>
      <w:r w:rsidRPr="0044524F">
        <w:rPr>
          <w:color w:val="000000" w:themeColor="text1"/>
          <w:sz w:val="16"/>
          <w:szCs w:val="16"/>
        </w:rPr>
        <w:noBreakHyphen/>
        <w:t>мм крупнокалиберный пулемет; 76,2</w:t>
      </w:r>
      <w:r w:rsidRPr="0044524F">
        <w:rPr>
          <w:color w:val="000000" w:themeColor="text1"/>
          <w:sz w:val="16"/>
          <w:szCs w:val="16"/>
        </w:rPr>
        <w:noBreakHyphen/>
        <w:t>мм зенитная пушка образца 1931 г. В особо важных районах — 100</w:t>
      </w:r>
      <w:r w:rsidRPr="0044524F">
        <w:rPr>
          <w:color w:val="000000" w:themeColor="text1"/>
          <w:sz w:val="16"/>
          <w:szCs w:val="16"/>
        </w:rPr>
        <w:noBreakHyphen/>
        <w:t>мм зенитная пушка.</w:t>
      </w:r>
    </w:p>
    <w:p w14:paraId="36DC04B6"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д) Вооружение пулеметных войск — 7,62</w:t>
      </w:r>
      <w:r w:rsidRPr="0044524F">
        <w:rPr>
          <w:color w:val="000000" w:themeColor="text1"/>
          <w:sz w:val="16"/>
          <w:szCs w:val="16"/>
        </w:rPr>
        <w:noBreakHyphen/>
        <w:t>мм пулемет «ДС».</w:t>
      </w:r>
    </w:p>
    <w:p w14:paraId="31AD856C"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Предлагаемая система артиллерийского вооружения соответствует нынешнему этапу в развитии нашего артиллерийского вооружения, характеризуемому реальной возможностью освоения промышленностью производства новых современных средств артиллерийской борьбы и развертывания массового вооружения ими РККА в течение II пятилетки. Наиболее быстрая ее реализация требует ряда организационных мероприятий в отношении специализации артиллерийских баз и возложения на промышленность точных правительственных заданий.</w:t>
      </w:r>
    </w:p>
    <w:p w14:paraId="68E448C3"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Предлагаемая специализация артиллерийских производственных баз: мелкокалиберная артиллерия и системы ДРП — завод № 8; дивизионная артиллерия (пушка и гаубица на общем лафете), 76</w:t>
      </w:r>
      <w:r w:rsidRPr="0044524F">
        <w:rPr>
          <w:color w:val="000000" w:themeColor="text1"/>
          <w:sz w:val="16"/>
          <w:szCs w:val="16"/>
        </w:rPr>
        <w:noBreakHyphen/>
        <w:t>мм зенитная пушка и системы ДРП — завод «Новое Сормово»; корпусная артиллерия (пушка и гаубица на новом лафете) и 152</w:t>
      </w:r>
      <w:r w:rsidRPr="0044524F">
        <w:rPr>
          <w:color w:val="000000" w:themeColor="text1"/>
          <w:sz w:val="16"/>
          <w:szCs w:val="16"/>
        </w:rPr>
        <w:noBreakHyphen/>
        <w:t>мм мортира — завод им. Молотова; АРГК — заводы «Баррикады» и «Большевик»; 76</w:t>
      </w:r>
      <w:r w:rsidRPr="0044524F">
        <w:rPr>
          <w:color w:val="000000" w:themeColor="text1"/>
          <w:sz w:val="16"/>
          <w:szCs w:val="16"/>
        </w:rPr>
        <w:noBreakHyphen/>
        <w:t>мм танковая артиллерия — завод «Красный путиловец».</w:t>
      </w:r>
    </w:p>
    <w:p w14:paraId="18C85A74"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Представляю проект постановления о системе артиллерийского вооружения второй пятилетки на ближайший период и прошу утверждения⁴*.</w:t>
      </w:r>
    </w:p>
    <w:p w14:paraId="5942C00C" w14:textId="77777777" w:rsidR="00CC65A8" w:rsidRPr="0044524F" w:rsidRDefault="00CC65A8" w:rsidP="009654CF">
      <w:pPr>
        <w:pStyle w:val="ae"/>
        <w:spacing w:before="0" w:after="0"/>
        <w:jc w:val="both"/>
        <w:rPr>
          <w:color w:val="000000" w:themeColor="text1"/>
          <w:sz w:val="16"/>
          <w:szCs w:val="16"/>
        </w:rPr>
      </w:pPr>
      <w:r w:rsidRPr="0044524F">
        <w:rPr>
          <w:rStyle w:val="af0"/>
          <w:i w:val="0"/>
          <w:color w:val="000000" w:themeColor="text1"/>
          <w:sz w:val="16"/>
          <w:szCs w:val="16"/>
        </w:rPr>
        <w:t>Зам. начальника вооружений и начальник Главного артиллерийского управления РККА Ефимов</w:t>
      </w:r>
    </w:p>
    <w:p w14:paraId="70CE7721" w14:textId="77777777" w:rsidR="00CC65A8" w:rsidRPr="0044524F" w:rsidRDefault="00CC65A8"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3BBD26F9"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 xml:space="preserve">¹* Созданное 11 декабря 1917 г. приказом Наркомата по военным делам РСФСР </w:t>
      </w:r>
      <w:r w:rsidRPr="0044524F">
        <w:rPr>
          <w:rStyle w:val="af0"/>
          <w:bCs/>
          <w:i w:val="0"/>
          <w:color w:val="000000" w:themeColor="text1"/>
          <w:sz w:val="16"/>
          <w:szCs w:val="16"/>
        </w:rPr>
        <w:t>Главное артиллерийское управление</w:t>
      </w:r>
      <w:r w:rsidRPr="0044524F">
        <w:rPr>
          <w:color w:val="000000" w:themeColor="text1"/>
          <w:sz w:val="16"/>
          <w:szCs w:val="16"/>
        </w:rPr>
        <w:t xml:space="preserve"> с ноября 1925 г. вошло в структуру вновь созданного Управления снабжений РККА. С 20 ноября 1929 г. приказом РВС СССР подчинялось начальнику вооружений РККА, как самостоятельное управление. По положению о Наркомате обороны СССР от 22 ноября 1934 г. (Главное) Артиллерийское управление РККА являлось центральным органом НКО по вопросам разработки и реализации системы артиллерийского вооружения РККА. На него возлагались: заготовка всех видов артиллерийского вооружения РККА, за исключением специального артиллерийского вооружения морских сил и механической самоходной тяги артиллерии; снабжение РККА артиллерийским вооружением и боеприпасами; инспектирование состояния всех видов артиллерийского и стрелкового вооружения РККА, кроме специального артиллерийского вооружения морских сил; подготовка в мобилизационном отношении артиллерийских баз и предприятий управления; руководство боевой подготовкой Артиллерийской академии и специальной подготовкой артиллерийско-технических и оружейно-технических школ; накопление мобилизационных запасов артиллерийского вооружения и огнеприпасов; разработка и проведение мероприятий по развитию и совершенствованию артиллерийского вооружения РККА. В структуре ГАУ выделялись: отдел стрелкового вооружения, отдел материальной части артиллерии, отдел боеприпасов, отдел военных приборов, отдел артиллерийских баз, научно-технический отдел, мобилизационный отдел, финансовый отдел, отделение личного состава. 31 декабря 1935 г. приказом Наркомата обороны № 0242 была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 С апреля 1936 г. ГАУ подчинено вновь созданному Главному управлению вооружения и технического снабжения РККА. С июня 1937 г. ГАУ РККА подчинено непосредственно народному комиссару обороны СССР.</w:t>
      </w:r>
    </w:p>
    <w:p w14:paraId="628CED34"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²* Датируется по штампу на документе.</w:t>
      </w:r>
    </w:p>
    <w:p w14:paraId="5374E06C"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³* Пункт “е” в документе отсутствует.</w:t>
      </w:r>
    </w:p>
    <w:p w14:paraId="45D264BA"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⁴* Приложение не публикуется.</w:t>
      </w:r>
    </w:p>
    <w:p w14:paraId="336F1714" w14:textId="77777777" w:rsidR="00CC65A8" w:rsidRPr="0044524F" w:rsidRDefault="00CC65A8" w:rsidP="009654CF">
      <w:pPr>
        <w:pStyle w:val="ae"/>
        <w:spacing w:before="0" w:after="0"/>
        <w:jc w:val="both"/>
        <w:rPr>
          <w:color w:val="000000" w:themeColor="text1"/>
          <w:sz w:val="16"/>
          <w:szCs w:val="16"/>
        </w:rPr>
      </w:pPr>
      <w:r w:rsidRPr="0044524F">
        <w:rPr>
          <w:color w:val="000000" w:themeColor="text1"/>
          <w:sz w:val="16"/>
          <w:szCs w:val="16"/>
        </w:rPr>
        <w:t>РГВА. Ф. 4. Оп. 14. Д. 958. Л. 27-35. Подлинник (15260).</w:t>
      </w:r>
    </w:p>
    <w:p w14:paraId="47D51622" w14:textId="77777777" w:rsidR="00CC65A8" w:rsidRPr="0044524F" w:rsidRDefault="00CC65A8" w:rsidP="009654CF">
      <w:pPr>
        <w:spacing w:after="0" w:line="240" w:lineRule="auto"/>
        <w:jc w:val="both"/>
        <w:rPr>
          <w:rFonts w:ascii="Times New Roman" w:hAnsi="Times New Roman"/>
          <w:iCs/>
          <w:color w:val="000000" w:themeColor="text1"/>
          <w:sz w:val="16"/>
          <w:szCs w:val="16"/>
        </w:rPr>
      </w:pPr>
    </w:p>
    <w:p w14:paraId="2E1C25B7"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 ранее 1 апреля 1933 г. был Доклад начальника Главного артиллерийского управления РККА¹* Н. А. Ефимова в Реввоенсовет СССР о пересмотре системы артиллерийского вооружения весной 1933 года</w:t>
      </w:r>
    </w:p>
    <w:p w14:paraId="08DFB693"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Совершенно секретно.</w:t>
      </w:r>
    </w:p>
    <w:p w14:paraId="096BD7C2"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Пересмотр системы артиллерийского вооружения диктуется двумя обстоятельствами: 1) почти полным завершением системы артиллерийского вооружения 1928/29 г. (в опытных образцах и частично постановкой на производство) и 2) новыми тенденциями в области вооружения, связанными с исключительно быстрым развитием военно-воздушным сил и мотомеханизированных соединений.</w:t>
      </w:r>
    </w:p>
    <w:p w14:paraId="0940E35B"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основу пересмотра системы артиллерийского вооружения положены следующие исходные данные:</w:t>
      </w:r>
    </w:p>
    <w:p w14:paraId="195EBE2D"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Военно-воздушные силы получили такое развитие, что становятся в руках главного командования могучим родом войск, способным решать самостоятельные задачи, и в соответствии с этим требуют: а) крупного бомбового вооружения, способного поражать все земные цели и цели на море; б) внедрения на самолеты новых и могущественных артиллерийских систем до калибров порядка 100 мм и постройки для этого специальных артиллерийских самолетов. Этим самым воздушный флот берет на себя задачи борьбы со всеми встречаемыми целями в воздухе (авиация противника) не только на близких, но и на дальних дистанциях и борьбу с земными целями путем артиллерийской стрельбы; в) мощного артиллерийского вооружения: крейсерской, истребительной авиации и авиации вспомогательного назначения, включая не только крупнокалиберные пулеметы, но и малокалиберные автоматические пушки и переходя к более скорострельным пулеметам; г) обеспечения соответствующим вооружением самолетов по перевозке и высадке авиамотодесантов в тылу противника; д) со стороны мощных и дальнобойных артиллерийских орудий к воздушным силам предъявляются требования резкого увеличения числа артиллерийских самолетов-корректировщиков, т. к. выигрыш в дальнобойности и могуществе тяжелой артиллерии может быть умален из-за отсутствия наблюдения в воздухе.</w:t>
      </w:r>
    </w:p>
    <w:p w14:paraId="62B28CF4"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Развитие мотомеханизированных частей в самостоятельные мотомеханизированные армии, наличие огромного количества танков требует специального рассмотрения системы артиллерийского вооружения под углом зрения потребности мото-мехсоединений: а) вооружения танков в зависимости от их назначения и целей до мощных калибров 122 мм; б) резкого развития самоходной артиллерии, стандартизованной с остальными системами нашей армии, могущей решать все задачи, возникающие перед мото-мехсоединениями.</w:t>
      </w:r>
    </w:p>
    <w:p w14:paraId="76D646DA"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Постепенная реорганизация стрелковых дивизий и корпусов и мото-мехсоединения из года в год будет увеличиваться, но на ближайшую пятилетку закончена не будет, что предопределит в армии наличие 2 систем: а) мото-мехармии и б) остальных стрелковых дивизий и корпусов, частично механизируемых.</w:t>
      </w:r>
    </w:p>
    <w:p w14:paraId="15690DB6"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В связи с ростом воздушного флота и мото-мехсоединений существующая система артиллерийского вооружения должна быть пересмотрена с целью усиления противозенитных и противотанковых средств обороны.</w:t>
      </w:r>
    </w:p>
    <w:p w14:paraId="7A3FC3F9"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Новая система артиллерийского вооружения завершает собой конструирование артиллерийских систем, уже разработанных к концу первой пятилетки и показавших на испытаниях удовлетворительные качества, или заканчиваемых разработкой ныне. Поэтому ее основной целевой установкой является быстрейшая реализация массового перевооружения армии в течение II пятилетки современными образцами артвооружения.</w:t>
      </w:r>
    </w:p>
    <w:p w14:paraId="7B4E24E2"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Предлагаемая система особенно резко подчеркивает задачи максимального оснащения авиации артиллерийским оружием (до средних калибров артиллерии включительно) и быстрейшей реализации развернутой программы работ по вооружению мото-мехсоединений мощным артиллерийским вооружением танков и самоходной артиллерией. Кроме того, эта система артвооружения должна предусмотреть возможно полную увязку и стандартизацию с системой вооружения морского флота и береговой обороны и укрепленных районов.</w:t>
      </w:r>
    </w:p>
    <w:p w14:paraId="7FE9F4FF"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основании этого предлагаемая к рассмотрению новая система артвооружения делится на следующие разделы: 1. Новая система артвооружения авиации. 2. Новая система артвооружения мотомеханизаированных соединений. 3. Поправки к существующей системе вооружения остальных частично механизированных дивизий, конницы и горных войск. 4. Поправки к существующей системе вооружения морского флота и береговой обороны. 5. Система вооружения укрепленных районов.</w:t>
      </w:r>
    </w:p>
    <w:p w14:paraId="4D68E76D"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Новая система артиллерийского вооружения авиации</w:t>
      </w:r>
    </w:p>
    <w:p w14:paraId="4C832620"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Основными положениями новой системы авиационного артиллерийского вооружения являются:</w:t>
      </w:r>
    </w:p>
    <w:p w14:paraId="5E5A782F"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внедрение в авиацию всех калибров авиабомбового вооружения для сухопутных и морских целей и особенно специальных авиабомб — химических, зажигательных, осветительных и бактериологических. Одновременно дорабатываются прочность корпусов бомб и трубки и взрыватели к ним;</w:t>
      </w:r>
    </w:p>
    <w:p w14:paraId="4FC185C1"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 введение для повышенной мощности оборонительного и наступательного огня самолета малокалиберной автоматической артиллерии калибра 20 мм, заменяемого впоследствии 30 мм или 45 мм и сверхскорострельных пулеметов 7,62 мм и 12,7 мм. Разработка для указанных калибров снарядов облегченных повышенного осколочного действия и фугасного действия, а так же специальных пуль — зажигательных, в первую очередь, и трассирующих;</w:t>
      </w:r>
    </w:p>
    <w:p w14:paraId="4E351F6B"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введение для специальных артиллерийских самолетов мощного артиллерийского вооружения: 76</w:t>
      </w:r>
      <w:r w:rsidRPr="00142305">
        <w:rPr>
          <w:rFonts w:ascii="Times New Roman" w:hAnsi="Times New Roman"/>
          <w:color w:val="0070C0"/>
          <w:sz w:val="16"/>
          <w:szCs w:val="16"/>
        </w:rPr>
        <w:noBreakHyphen/>
        <w:t>мм и 100</w:t>
      </w:r>
      <w:r w:rsidRPr="00142305">
        <w:rPr>
          <w:rFonts w:ascii="Times New Roman" w:hAnsi="Times New Roman"/>
          <w:color w:val="0070C0"/>
          <w:sz w:val="16"/>
          <w:szCs w:val="16"/>
        </w:rPr>
        <w:noBreakHyphen/>
        <w:t>мм пушек ДРП с необходимой их доработкой, как средства борьбы против сверхмощных бомбардировщиков, крупных авиационных соединений и для поражения земных целей;</w:t>
      </w:r>
    </w:p>
    <w:p w14:paraId="670331B2"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введение новых артиллерийских средств в виде планирующих и заградительных авиационных мин;</w:t>
      </w:r>
    </w:p>
    <w:p w14:paraId="0096741A"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 применение автоматических прицелов и приборов управления артиллерийским огнем... (25208).</w:t>
      </w:r>
    </w:p>
    <w:p w14:paraId="26F0B548" w14:textId="77777777" w:rsidR="006A7D5C" w:rsidRPr="00142305" w:rsidRDefault="006A7D5C" w:rsidP="006A7D5C">
      <w:pPr>
        <w:spacing w:after="0" w:line="240" w:lineRule="auto"/>
        <w:jc w:val="both"/>
        <w:rPr>
          <w:rFonts w:ascii="Times New Roman" w:hAnsi="Times New Roman"/>
          <w:color w:val="0070C0"/>
          <w:sz w:val="16"/>
          <w:szCs w:val="16"/>
        </w:rPr>
      </w:pPr>
    </w:p>
    <w:p w14:paraId="54BEF536" w14:textId="77777777" w:rsidR="00CC65A8" w:rsidRPr="0044524F" w:rsidRDefault="00CC65A8" w:rsidP="009654CF">
      <w:pPr>
        <w:pStyle w:val="ae"/>
        <w:spacing w:before="0" w:after="0"/>
        <w:jc w:val="both"/>
        <w:rPr>
          <w:color w:val="000000" w:themeColor="text1"/>
          <w:sz w:val="16"/>
          <w:szCs w:val="16"/>
        </w:rPr>
      </w:pPr>
      <w:r w:rsidRPr="0044524F">
        <w:rPr>
          <w:rStyle w:val="af0"/>
          <w:i w:val="0"/>
          <w:color w:val="000000" w:themeColor="text1"/>
          <w:sz w:val="16"/>
          <w:szCs w:val="16"/>
        </w:rPr>
        <w:t xml:space="preserve">1 апреля 1933 г. </w:t>
      </w:r>
      <w:r w:rsidRPr="0044524F">
        <w:rPr>
          <w:color w:val="000000" w:themeColor="text1"/>
          <w:sz w:val="16"/>
          <w:szCs w:val="16"/>
        </w:rPr>
        <w:t>Из доклада начальника связи РККА Н. М. Синявского «Об итогах первой и перспективах второй пятилетки по системе вооружения и организации связи РККА»</w:t>
      </w:r>
    </w:p>
    <w:p w14:paraId="3CD1F0C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Система вооружения связи</w:t>
      </w:r>
    </w:p>
    <w:p w14:paraId="5D100705"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§1.</w:t>
      </w:r>
      <w:r w:rsidRPr="0044524F">
        <w:rPr>
          <w:rStyle w:val="af0"/>
          <w:bCs/>
          <w:i w:val="0"/>
          <w:color w:val="000000" w:themeColor="text1"/>
          <w:sz w:val="16"/>
          <w:szCs w:val="16"/>
        </w:rPr>
        <w:t xml:space="preserve"> Задание РВС по системе</w:t>
      </w:r>
      <w:r w:rsidRPr="0044524F">
        <w:rPr>
          <w:color w:val="000000" w:themeColor="text1"/>
          <w:sz w:val="16"/>
          <w:szCs w:val="16"/>
        </w:rPr>
        <w:t>. Постановлением РВС СССР от 3 апреля 1930 г., от 23 августа 1931 г. на Управление связи¹* было возложено заново разработать 77 образцов вооружения связи. В установленные РВСС сроки выполнено 67 образцов (см. перечень № 1)²*, из них: а) по радио — 22 образца³*; б) по телеграфии — 9 образцов; в) по телефонии — 9 образцов; г) по моторизации и механизации — 7 образцов; д) по ПВО — 1 образец; е) по оптическим и прочим средствам связи — 19 образцов. Итого — 67 образцов.</w:t>
      </w:r>
    </w:p>
    <w:p w14:paraId="4AEA3224"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§2.</w:t>
      </w:r>
      <w:r w:rsidRPr="0044524F">
        <w:rPr>
          <w:rStyle w:val="af0"/>
          <w:bCs/>
          <w:i w:val="0"/>
          <w:color w:val="000000" w:themeColor="text1"/>
          <w:sz w:val="16"/>
          <w:szCs w:val="16"/>
        </w:rPr>
        <w:t xml:space="preserve"> Качественная оценка системы</w:t>
      </w:r>
      <w:r w:rsidRPr="0044524F">
        <w:rPr>
          <w:color w:val="000000" w:themeColor="text1"/>
          <w:sz w:val="16"/>
          <w:szCs w:val="16"/>
        </w:rPr>
        <w:t>. Вновь разработанные образцы вооружения связи технически подняты на уровень современной техники, а) По радио: сделаны новые образцы самолетных, аэродромных, танковых и радио-разведывательных станций. б) По телеграфии: скородействующие аппараты Шорина, Тремля и к ним приборы секретного телеграфирования; в) По телефонии: мы получили в наследство от царской армии 60 типов разнокалиберных телефонных аппаратов. В настоящее время это многообразие устранено. Армия имеет только два типа современных телефонов — индукторный и фонический; также разработаны телефоны дальнего действия армия-корпус; полевые телеграфные и телефонные кабели, г) По оптическим средствам связи: изготовлены по английскому образцу светосигнальные аппараты «Люкас» и [по] немецкому — Цейса, д) По механизации и моторизации заново сконструировано: 1) механическое оборудование для наводки кабельных и шестовых линий (с хода автомобиля); 2) механические приспособления на машинах для постройки постоянных телеграфно-телефонных линий (рытье ям, установка столбов и проч.).</w:t>
      </w:r>
    </w:p>
    <w:p w14:paraId="15927B6D"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§3.</w:t>
      </w:r>
      <w:r w:rsidRPr="0044524F">
        <w:rPr>
          <w:rStyle w:val="af0"/>
          <w:bCs/>
          <w:i w:val="0"/>
          <w:color w:val="000000" w:themeColor="text1"/>
          <w:sz w:val="16"/>
          <w:szCs w:val="16"/>
        </w:rPr>
        <w:t xml:space="preserve"> Постановка на серийное производство</w:t>
      </w:r>
      <w:r w:rsidRPr="0044524F">
        <w:rPr>
          <w:color w:val="000000" w:themeColor="text1"/>
          <w:sz w:val="16"/>
          <w:szCs w:val="16"/>
        </w:rPr>
        <w:t>. В течение 1931 и 1932 гг. разработанные образцы испытаны и поставлены на серийное производство. Постановка новых производств и освоение промышленностью образцов системы дало возможность уже к концу первой пятилетки почти совершенно освободиться от импорта. В течение первой пятилетки поставлены заново производства: а) коротковолновых радиостанций (кроме станций тяжелых самолетов); б) легких двигателей внутреннего сгорания; в) радиоламп; г) радиомашин; д) щелочных аккумуляторов (в основном работающих пока на импортном сырье).</w:t>
      </w:r>
    </w:p>
    <w:p w14:paraId="2F95D11A"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§4.</w:t>
      </w:r>
      <w:r w:rsidRPr="0044524F">
        <w:rPr>
          <w:rStyle w:val="af0"/>
          <w:bCs/>
          <w:i w:val="0"/>
          <w:color w:val="000000" w:themeColor="text1"/>
          <w:sz w:val="16"/>
          <w:szCs w:val="16"/>
        </w:rPr>
        <w:t xml:space="preserve"> Качество продукции</w:t>
      </w:r>
      <w:r w:rsidRPr="0044524F">
        <w:rPr>
          <w:color w:val="000000" w:themeColor="text1"/>
          <w:sz w:val="16"/>
          <w:szCs w:val="16"/>
        </w:rPr>
        <w:t>. По телефонам — не уступает заграничным. По оптическим приборам — так же. По радиостанциям — отдельные детали и агрегаты выполняются небрежно и неудовлетворительно. Лампы разнородны, все это влияет на устойчивость радиосвязи. Нет культуры в процессе самого производства станций. Элементы — хранение, емкость совершенно неудовлетворительны. Безобразное качество элементов в конце концов парализует всю низовую радиосвязь армии. Аппараты Шорина — при испытании дали неплохие результаты, но скверное качество пружин и винтов создает неустойчивость действия. Кабель имеет плохую изоляцию только потому, что согласно требованиям Штаба РККА⁴*, километр нашего кабеля должен весить 12,5 кг, в то время как немецкий весит 15,5 кг, английский — 15 кг. Жесткость веса уменьшает количество изоляции, а из-за этого телефонная связь работает скверно.</w:t>
      </w:r>
    </w:p>
    <w:p w14:paraId="21839762"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Материальная обеспеченность</w:t>
      </w:r>
    </w:p>
    <w:p w14:paraId="50534246"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 При выполнении плана промышленностью наша обеспеченность по главнейшим средствам связи в 1933 г. следующая: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38"/>
        <w:gridCol w:w="1925"/>
        <w:gridCol w:w="2289"/>
        <w:gridCol w:w="1770"/>
      </w:tblGrid>
      <w:tr w:rsidR="004E10C1" w:rsidRPr="0044524F" w14:paraId="437A9D59" w14:textId="77777777" w:rsidTr="003417C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5224FB2"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30583875"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обеспеченности</w:t>
            </w:r>
          </w:p>
        </w:tc>
      </w:tr>
      <w:tr w:rsidR="004E10C1" w:rsidRPr="0044524F" w14:paraId="47D6A8F4"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1F325B0" w14:textId="77777777" w:rsidR="00CC65A8" w:rsidRPr="0044524F" w:rsidRDefault="00CC65A8" w:rsidP="009654CF">
            <w:pPr>
              <w:spacing w:after="0" w:line="240" w:lineRule="auto"/>
              <w:jc w:val="both"/>
              <w:rPr>
                <w:rFonts w:ascii="Times New Roman" w:hAnsi="Times New Roman"/>
                <w:color w:val="000000" w:themeColor="text1"/>
                <w:sz w:val="16"/>
                <w:szCs w:val="16"/>
              </w:rPr>
            </w:pP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7F9C04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мирное время</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35260D9"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военное</w:t>
            </w:r>
          </w:p>
          <w:p w14:paraId="4A5A44D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w:t>
            </w:r>
          </w:p>
          <w:p w14:paraId="040ED38E"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развертывание</w:t>
            </w:r>
          </w:p>
        </w:tc>
      </w:tr>
      <w:tr w:rsidR="004E10C1" w:rsidRPr="0044524F" w14:paraId="39B3C949"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11C8597" w14:textId="77777777" w:rsidR="00CC65A8" w:rsidRPr="0044524F" w:rsidRDefault="00CC65A8"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E3DA96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мая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7B89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1934 г.</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D9073B5" w14:textId="77777777" w:rsidR="00CC65A8" w:rsidRPr="0044524F" w:rsidRDefault="00CC65A8" w:rsidP="009654CF">
            <w:pPr>
              <w:spacing w:after="0" w:line="240" w:lineRule="auto"/>
              <w:jc w:val="both"/>
              <w:rPr>
                <w:rFonts w:ascii="Times New Roman" w:hAnsi="Times New Roman"/>
                <w:color w:val="000000" w:themeColor="text1"/>
                <w:sz w:val="16"/>
                <w:szCs w:val="16"/>
              </w:rPr>
            </w:pPr>
          </w:p>
        </w:tc>
      </w:tr>
      <w:tr w:rsidR="004E10C1" w:rsidRPr="0044524F" w14:paraId="655E460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3DC9E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Авиационные радиостанции,</w:t>
            </w:r>
          </w:p>
          <w:p w14:paraId="7A76F78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них для тяжелой авиации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3161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w:t>
            </w:r>
          </w:p>
          <w:p w14:paraId="2E734999"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w:t>
            </w:r>
          </w:p>
        </w:tc>
        <w:tc>
          <w:tcPr>
            <w:tcW w:w="0" w:type="auto"/>
            <w:tcBorders>
              <w:top w:val="outset" w:sz="6" w:space="0" w:color="auto"/>
              <w:left w:val="outset" w:sz="6" w:space="0" w:color="auto"/>
              <w:bottom w:val="outset" w:sz="6" w:space="0" w:color="auto"/>
              <w:right w:val="outset" w:sz="6" w:space="0" w:color="auto"/>
            </w:tcBorders>
            <w:vAlign w:val="center"/>
            <w:hideMark/>
          </w:tcPr>
          <w:p w14:paraId="17DB32E0"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p w14:paraId="4F3B690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83CF5"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p w14:paraId="4987449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r>
      <w:tr w:rsidR="004E10C1" w:rsidRPr="0044524F" w14:paraId="6B72472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B1E5E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Танковые рации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D4A1E"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16F7E"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293EDB5D"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r>
      <w:tr w:rsidR="004E10C1" w:rsidRPr="0044524F" w14:paraId="055E42F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210D6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Полковые и батальонные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D1E3D"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DC580"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EBA50"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r>
      <w:tr w:rsidR="004E10C1" w:rsidRPr="0044524F" w14:paraId="04AE784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3CB90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Телефоны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0932893"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83982"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3339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r>
      <w:tr w:rsidR="004E10C1" w:rsidRPr="0044524F" w14:paraId="6505AC1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490885"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Кабель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8B02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AC03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C646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w:t>
            </w:r>
          </w:p>
        </w:tc>
      </w:tr>
      <w:tr w:rsidR="004E10C1" w:rsidRPr="0044524F" w14:paraId="4704CDE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5A90B23"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Светосигнальные приборы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D0A7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66AE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F7E8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r>
      <w:tr w:rsidR="004E10C1" w:rsidRPr="0044524F" w14:paraId="48134E1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B720E"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Телеграфные аппараты (вместе с «Морзе»)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5334ED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45A16"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E0B88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w:t>
            </w:r>
          </w:p>
        </w:tc>
      </w:tr>
    </w:tbl>
    <w:p w14:paraId="27A85DD1"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По линии Наркомсвязи резервный фонд по проволоке на 1 января 1933 г. выражается: а) проволока — 17%; б) крючья — 6%; в) изоляторы — 10%.</w:t>
      </w:r>
    </w:p>
    <w:p w14:paraId="0123F179"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§6. Рост радиовооружения и стоимость первой пятилетки. За 1929 г. отпущено 8551 тыс. руб., освоено промышленностью 6065 тыс. руб.; за 1930 г. и особый квартал — 13 982 тыс. руб., освоено промышленностью 12 567 тыс. руб.; за 1931 г. отпущено 25 956 тыс. руб., освоено промышленностью 22 557 тыс. руб.; за 1932 г. отпущено 84 093 тыс. руб., освоено промышленностью 53 529 тыс. руб. Вывод: на первую пятилетку нам отпущено 132 582 тыс. руб., освоено промышленностью 94 819 тыс. руб., из них: на образцы новой системы и испытательные работы — 11 867 тыс. руб., на серийное вооружение — 82 852 тыс. руб.</w:t>
      </w:r>
    </w:p>
    <w:p w14:paraId="5AF35A90"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§7. Несмотря на колоссальнейший рост серийного производства средств связи, процент обеспеченности армии (в связи с новыми оргмероприятиями и с увеличением табелей) низко пал. По радио мы имели: 1928 г. — 128 радиостанций — 7% обеспеченности; 1929 г. — 463 радиостанции — 25% обеспеченности; 1930 г. — 723 радиостанции — 24% обеспеченности; 1931 г. — 1351 радиостанцию — 44% обеспеченности; 1932 г. — 1571 радиостанцию — 14% обеспеченности; 1933 г. — 6951 радиостанцию — 33% (по состоянию на 1 мая⁵*).</w:t>
      </w:r>
    </w:p>
    <w:p w14:paraId="44E63B94"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§8. Выполнение постановления ЦК от 25 июля о радиостанциях для тяжелой авиации. Совершенно неудовлетворительно положение на нынешний день с тяжелой авиацией. В постановлении КО от 11 января, подтвержденному к безусловному исполнению 25 июля 1932 г.⁶*, в также постановлением КО от 5 апреля 1932 г. за № 343/121сс и постановлением ЦК ВКП(б) и СНК от 5 июля 1932 г., особенно указывалось на производство радиостанций для тяжелой авиации. По этим постановлениям НКТП должен был изготовить для РККА к 1 февраля 1933 г. 500 радиостанций для тяжелых самолетов и 40 тяжелых аэродромных. До настоящего времени, кроме шести образцов, программа по тяжелой авиации промышленностью не выполнена, решение ЦК от 5 июля не реализовано. На 1 июня промышленность предлагает сдать нам 400 радиостанций для тяжелых самолетов и 14 аэродромных тяжелых радиостанций.</w:t>
      </w:r>
    </w:p>
    <w:p w14:paraId="4F8865F8"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§9.</w:t>
      </w:r>
      <w:r w:rsidRPr="0044524F">
        <w:rPr>
          <w:rStyle w:val="af0"/>
          <w:bCs/>
          <w:i w:val="0"/>
          <w:color w:val="000000" w:themeColor="text1"/>
          <w:sz w:val="16"/>
          <w:szCs w:val="16"/>
        </w:rPr>
        <w:t xml:space="preserve"> Удовлетворение мобзаявки НКВМ</w:t>
      </w:r>
      <w:r w:rsidRPr="0044524F">
        <w:rPr>
          <w:color w:val="000000" w:themeColor="text1"/>
          <w:sz w:val="16"/>
          <w:szCs w:val="16"/>
        </w:rPr>
        <w:t>. По радиостанциям заявка НКВМ на 1933 г. промышленностью удовлетворяется только на 29%. На год ведения войны нам требуется 62 тыс., а промышленность при всем напряжении может дать только 18 тыс. радиостанций. С телеграфной аппаратурой и кабелем картина аналогичная — вместо 1500 тыс. км требуемого кабеля предположено удовлетворить только 800 тыс., т. е. 50% потребности.</w:t>
      </w:r>
    </w:p>
    <w:p w14:paraId="3EBCC6B1"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III. Промышленная база</w:t>
      </w:r>
    </w:p>
    <w:p w14:paraId="6B1F47D8"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§10.</w:t>
      </w:r>
      <w:r w:rsidRPr="0044524F">
        <w:rPr>
          <w:rStyle w:val="af0"/>
          <w:bCs/>
          <w:i w:val="0"/>
          <w:color w:val="000000" w:themeColor="text1"/>
          <w:sz w:val="16"/>
          <w:szCs w:val="16"/>
        </w:rPr>
        <w:t xml:space="preserve"> Строительство новых заводов по производству средств связи</w:t>
      </w:r>
      <w:r w:rsidRPr="0044524F">
        <w:rPr>
          <w:color w:val="000000" w:themeColor="text1"/>
          <w:sz w:val="16"/>
          <w:szCs w:val="16"/>
        </w:rPr>
        <w:t>. На военное время по существующим размерам промышленная база совершенно недостаточна. В конце 1931 г. РВС СССР ставил этот вопрос на КО. В результате было принято 11 января за № 7сс постановление обязать НКТП приступить к постройке в 1932 г. следующих новых пяти заводов: 1) по телемеханике; 2) по радиомашинам; 3) по точной механике; 4) по радиостанциям; 5) по радиолампам; 6) кроме того окончить строительством завод щелочных аккумуляторов и 7) построить мастерскую кварцевых пластин. Этим же постановлением КО обязало НКТП в 1933 г. предусмотреть строительство еще четырех заводов: 1) радиостанций; 2) двух заводов гальванических элементов; 3) телеграфной аппаратуры.</w:t>
      </w:r>
    </w:p>
    <w:p w14:paraId="2A14179D"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lastRenderedPageBreak/>
        <w:t>§11. НКТП этого решения правительства полностью не выполнил: на нынешний день закончены постройкой только один завод щелочных аккумуляторов и кварцевая мастерская. Кроме того, начато строительство заводов по телемеханике, радиомашинам, по радиолампам и по точной механике. Остальные заводы строительством не начаты в 1932 г. и не будут строиться в 1933 г.</w:t>
      </w:r>
    </w:p>
    <w:p w14:paraId="5FDABC79"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§12.</w:t>
      </w:r>
      <w:r w:rsidRPr="0044524F">
        <w:rPr>
          <w:rStyle w:val="af0"/>
          <w:bCs/>
          <w:i w:val="0"/>
          <w:color w:val="000000" w:themeColor="text1"/>
          <w:sz w:val="16"/>
          <w:szCs w:val="16"/>
        </w:rPr>
        <w:t xml:space="preserve"> Вывод</w:t>
      </w:r>
      <w:r w:rsidRPr="0044524F">
        <w:rPr>
          <w:color w:val="000000" w:themeColor="text1"/>
          <w:sz w:val="16"/>
          <w:szCs w:val="16"/>
        </w:rPr>
        <w:t>: если принять во внимание возросшие потребности не только армии, но и всего народного хозяйства, слаботочная промышленная база мала. Строящиеся заводы ни в какой мере не ликвидируют этого положения.</w:t>
      </w:r>
    </w:p>
    <w:p w14:paraId="657D5103"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военных радиостанций в народное хозяйство</w:t>
      </w:r>
    </w:p>
    <w:p w14:paraId="1399BEE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 накоплении мобзапасов. При данном положении мы не можем тысячи радиостанций накоплять в мобзапасах и хранить их без движения. Выше уже указывалось, что Красная армия имеет целую систему радиостанций. Эти станции вполне пригодны для применения в народном хозяйстве. Их можно использовать также на лесозаготовках, в гражданской авиации и в поездах НКПС. На нынешний день слаботочная промышленность загружена военными заказами около 70%. Остальные 30% являются заказами других ведомств. По линии Наркомата связи особенно остро стоит вопрос с налаживанием низовой связи в колхозах и совхозах. Таких типов станций Наркомат связи еще не имеет. Нашу батальонную станцию (8 км телефоном и 15 — телеграфом), носимую одним красноармейцем, без всяких переделок можно применить в колхозах, совхозах, на машинно-тракторных станциях, на лесозаготовках и проч. Полковую станцию (25 км телефоном, 50 — телеграфом) также можно использовать для районной связи по Наркомату связи. Кроме того, мы имеем радиостанции (перевозимые в двух грузовых автомобилях) с дальностью действия 400 км телефоном и 800 км телеграфом. Для авиации сделаны станции, работающие на самолете, 500 — телефоном и 900 — телеграфом. В настоящее время заинтересованные наркоматы самостоятельно, без помощи промышленности изготовляют свои собственные образцы. Основная причина — Наркомат связи не руководит этим делом. Существующие кустарные маломощные радиостанции других ведомств нас во время войны удовлетворить не могут.</w:t>
      </w:r>
    </w:p>
    <w:p w14:paraId="0C3C689A"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Вывод: поскольку военные радиостанции освоены промышленностью и производятся в тысячах, необходимо: 1) использовать их в первую очередь для низовой связи в колхозах и совхозах; 2) по линии Наркомата связи и НКПС; 3) для гражданской авиации, в дальнейшем эти станции должны быть приняты как стандарт. Этим в большей мере решается вопрос накопления мобзапасов. Это упрощает вопрос боевой подготовки связистов, призываемых в армию. Этим частично решается вопрос правильной организации связи в гражданской авиации и в низовой связи народного хозяйства.</w:t>
      </w:r>
    </w:p>
    <w:p w14:paraId="04858B8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Моторизация и механизация войск и частей связи</w:t>
      </w:r>
    </w:p>
    <w:p w14:paraId="12467AA2"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Изготовление образцов. По линии механизации и моторизации телеграфностроительных и линейных телефонных работ нами изготовлены следующие опытные образцы: 1) машины для рытья ям и установки столбов; 2) машины для размотки кабеля с хода автомобиля; 3) вышки для подвески проводов; 4) машины для постройки шестовых линий.</w:t>
      </w:r>
    </w:p>
    <w:p w14:paraId="34DB625B"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Испытание образцов. Испытание образцов в опытном мотомехбатальоне связи 14</w:t>
      </w:r>
      <w:r w:rsidRPr="0044524F">
        <w:rPr>
          <w:rFonts w:ascii="Times New Roman" w:hAnsi="Times New Roman"/>
          <w:color w:val="000000" w:themeColor="text1"/>
          <w:sz w:val="16"/>
          <w:szCs w:val="16"/>
        </w:rPr>
        <w:noBreakHyphen/>
        <w:t>го стрелкового корпуса и батальоне связи 45</w:t>
      </w:r>
      <w:r w:rsidRPr="0044524F">
        <w:rPr>
          <w:rFonts w:ascii="Times New Roman" w:hAnsi="Times New Roman"/>
          <w:color w:val="000000" w:themeColor="text1"/>
          <w:sz w:val="16"/>
          <w:szCs w:val="16"/>
        </w:rPr>
        <w:noBreakHyphen/>
        <w:t>й стрелковой дивизии показали, что по сравнению с колесным автотранспортом быстрота работ повышается в 3</w:t>
      </w:r>
      <w:r w:rsidRPr="0044524F">
        <w:rPr>
          <w:rFonts w:ascii="Times New Roman" w:hAnsi="Times New Roman"/>
          <w:color w:val="000000" w:themeColor="text1"/>
          <w:sz w:val="16"/>
          <w:szCs w:val="16"/>
        </w:rPr>
        <w:noBreakHyphen/>
        <w:t>5 раз. Все же колесный транспорт не упраздняется. Соотношение моторизации и конной тяги должно быть: в кавалерии — 75%, в стрелковом корпусе — 50%, в стрелковой дивизии — 30% моторизации.</w:t>
      </w:r>
    </w:p>
    <w:p w14:paraId="5F591E2A"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Решение РВС и правительства о моторизации и механизации войск связи 23 августа 1931 г. Реввоенсовет постановил: механизировать к 1 мая 1932 г. 18 учебных строительных колонн. На это и было предложено УММ выделить в войска связи 360 машин. К 1 мая 1933 г. дополнительно сформировать еще 4 колонны в 80 машин.</w:t>
      </w:r>
    </w:p>
    <w:p w14:paraId="78E71AAE"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Решение Комиссии обороны от 11 января 1932 г. В соответствии с этим 11 января 1932 г. Комиссия обороны постановила: предложить РВС Союза максимально усилить темпы моторизации и механизации войск связи, для чего в течение 1932 г. создать не 18, а 20 механизированных колонн. Одновременно по линии Наркомсвязи создать в 1933 г. 100 механизированных колонн.</w:t>
      </w:r>
    </w:p>
    <w:p w14:paraId="54F774DA"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Выполнение решения. Эти решения РВС и Комиссии обороны совершенно не выполнены. Даже на заказы под специальные радиостанции (станции 5</w:t>
      </w:r>
      <w:r w:rsidRPr="0044524F">
        <w:rPr>
          <w:rFonts w:ascii="Times New Roman" w:hAnsi="Times New Roman"/>
          <w:color w:val="000000" w:themeColor="text1"/>
          <w:sz w:val="16"/>
          <w:szCs w:val="16"/>
        </w:rPr>
        <w:noBreakHyphen/>
        <w:t>АК, работающие на ходу автомобиля, аэродромные станции для тяжелой авиации) мы не получаем полной потребности машин и вынуждены монтировать радиостанции в двуколках. Были случаи, когда в моторизованных частях связи исключали из штата лошадей и не дали машин (дивизион связи 4</w:t>
      </w:r>
      <w:r w:rsidRPr="0044524F">
        <w:rPr>
          <w:rFonts w:ascii="Times New Roman" w:hAnsi="Times New Roman"/>
          <w:color w:val="000000" w:themeColor="text1"/>
          <w:sz w:val="16"/>
          <w:szCs w:val="16"/>
        </w:rPr>
        <w:noBreakHyphen/>
        <w:t>го кав[алерийского] корпуса СКВО). Сейчас это исправлено.</w:t>
      </w:r>
    </w:p>
    <w:p w14:paraId="344AC1E9"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Потребность машин. Потребность на машины и тракторы следующая: а) по действующему варианту на военное время — 16 613; б) для войск и частей связи первой очереди — 8916, из них 1) под специальные установки (радиостанции) — 2353, 2) на учебу для батальонов связи корпусов и дивизий прикрытия — 542,3) на учебу мирного времени частей связи первой очереди — 1611.</w:t>
      </w:r>
    </w:p>
    <w:p w14:paraId="32FDE502"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Обеспеченность машинами. По моторизации войск связи мы ничего не имеем. Даже такие соединения, как части связи авиабригад, части связи конницы и армейские части связи совершенно не обеспечены авто-мотосредствами. При создавшихся условиях нормальную учебу проводить трудно, а во время войны мы не сможем (по темпам и времени) удовлетворить командование своевременной связью.</w:t>
      </w:r>
    </w:p>
    <w:p w14:paraId="51473DA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Оборонное строительство первой пятилетки (1929-1932 гг.)</w:t>
      </w:r>
    </w:p>
    <w:p w14:paraId="3514941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Задачи по телефонно-телеграфному строительству. 1. На западном театре была поставлена задача создать мощную телефонно-телеграфную сеть, обеспечивающую развертывание и наступление армий (радикальные направления на переход и рокадные полуторапереходы). 2. На Дальнем и Ближнем Востоке усилить имеющиеся телефонно-телеграфные сети в радиальных и рокадных направлениях. 3. Бронзовыми цепями обеспечить полевое управление крупных войсковых соединений (до корпуса) надежной телефонной связью на период развертывания. 4. В начале 1932 г. оборудовать 72 узла и соответственное к ним количество контрольных пунктов в телефонно-телеграфных учреждениях Наркомсвязи. Предусматривалась установка коммутаторов, запасных батарей, испытательной аппаратуры и подготовка личного состава.</w:t>
      </w:r>
    </w:p>
    <w:p w14:paraId="71823C8D"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Задачи по радио. 1. По линии Наркомата связи построить и приспособить 23 радиостанции для использования их в военное время для нужд армии. 2. Совместно с Наркомсвязью проработать и выделить для НКВМ на военное время необходимый участок диапазона волн из имеющихся станций Наркомсвязи для военведа.</w:t>
      </w:r>
    </w:p>
    <w:p w14:paraId="2C59D34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w:t>
      </w:r>
    </w:p>
    <w:p w14:paraId="0D0B0D8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Выполнение телефонно-телеграфного строительства. В течение первой пятилетки проведено (в особенности на западной границе) большое строительство: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53"/>
        <w:gridCol w:w="906"/>
        <w:gridCol w:w="906"/>
        <w:gridCol w:w="1195"/>
        <w:gridCol w:w="1262"/>
      </w:tblGrid>
      <w:tr w:rsidR="004E10C1" w:rsidRPr="0044524F" w14:paraId="5BEF073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13D45A"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C683B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9046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A272D"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Дальний</w:t>
            </w:r>
          </w:p>
          <w:p w14:paraId="7AEDC1A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Восток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C5CB3"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Ближний</w:t>
            </w:r>
          </w:p>
          <w:p w14:paraId="56ECF7E6"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Восток</w:t>
            </w:r>
          </w:p>
        </w:tc>
      </w:tr>
      <w:tr w:rsidR="004E10C1" w:rsidRPr="0044524F" w14:paraId="222F6BA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F4F949"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Построено новых телефонно-телеграфных линий,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C4EB9"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17 860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C39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12 353</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003B2"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2 097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A9FC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2 597</w:t>
            </w:r>
          </w:p>
        </w:tc>
      </w:tr>
      <w:tr w:rsidR="004E10C1" w:rsidRPr="0044524F" w14:paraId="3BD02BA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41DCE2"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Подвешено проводов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37D3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82 083</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70915"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64 114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1458A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2 816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8BE7A"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11 910</w:t>
            </w:r>
          </w:p>
        </w:tc>
      </w:tr>
    </w:tbl>
    <w:p w14:paraId="3C28AF7E"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§25....енка⁷* телефонно-телеграфного строительства. Поставленные задачи первой пятилетки Наркоматом связи полностью не выполнены. В связи с возросшими требованиями количество имеющихся и построенных линий все же недостаточно. В частности, только западный театр является наиболее подготовленным. Особенно плохо на Украине, там фактически к строительству приступлено только с 1931 г. До этого времени сеть находилась в чрезвычайно хаотическом состоянии. На Дальнем Востоке заново создана телефонно-телеграфная сеть в Маньчжурском и Приморском направлении.</w:t>
      </w:r>
    </w:p>
    <w:p w14:paraId="7FE1433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Оборудование телефонно-телеграфных узлов. Из потребных нам 72 узлов в первой пятилетке Наркомат связи привел в полный порядок только 7 узлов. Каблировано по западному театру — 8, по Дальнему Востоку — 3 и по Ближнему Востоку — 1. Из остальных узлов частично удовлетворяют нашим потребностям 24 узла. В совершенно неудовлетворительном состоянии находится 41 узел. При испытании и поверке обходных направлений были случаи переключения проводов в течение 4</w:t>
      </w:r>
      <w:r w:rsidRPr="0044524F">
        <w:rPr>
          <w:rFonts w:ascii="Times New Roman" w:hAnsi="Times New Roman"/>
          <w:color w:val="000000" w:themeColor="text1"/>
          <w:sz w:val="16"/>
          <w:szCs w:val="16"/>
        </w:rPr>
        <w:noBreakHyphen/>
        <w:t>6 час. Причины: большинство узлов не имеют соответствующей мощности коммутаторов, батарей, а главное — подготовленного личного состава. На контрольных пунктах, входящих в район узла связи, такая же картина. Выводы: необорудованность узлов — одно из узких мест оборонного телефонно-телеграфного строительства, мы будем иметь хорошие линии, но не сможем по ним получать быструю обходную и даже прямую связь.</w:t>
      </w:r>
    </w:p>
    <w:p w14:paraId="7FDCC25C"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По радио. 1) Построено заново 23 радиостанции. Из них 17 на западном театре, 5 на Дальнем и 1 на Ближнем Востоке. В стройке находятся 54 радиостанции. 2) Для НКВМ выделен оперативный диапазон волн от 279 до 1200 м, которым мы должны пользоваться во время войны. Общий согласованный диапазон для радиосвязи всего народного хозяйства и широковещания еще не проработан⁸*.</w:t>
      </w:r>
    </w:p>
    <w:p w14:paraId="53194FE9"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Вторая пятилетка</w:t>
      </w:r>
    </w:p>
    <w:p w14:paraId="0D1B8DAA"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 Основные задачи по службе связи. Основными задачами по службе связи во второй пятилетке являются: 1) Дальнейшая реконструкция техники связи с целью приведения в полное соответствие технической обеспеченности армии с новыми формами управления в условиях применения мощной авиации для оперативных и боевых задач, мото-мехсоединений в самостоятельных операциях и на поле боя, а также обеспечение взаимодействия различных родов войск. 2) Поднятие материально-технической обеспеченности по вооружению связи до полного удовлетворения потребностей мобразвертывания и запасов баз. 3) Усовершенствование организации связи, повышение гибкости и мобильности службы связи путем правильного сочетания электрических средств с автосредствами и специальными самолетами связи. 4) Реорганизация армейских частей связи на основе современного технического вооружения (моторизация и механизация). 5) В области подготовки театра доведение сети проволочной и радио до состояния, позволяющего маневрировать стратегической связью в любых направлениях того или иного театра.</w:t>
      </w:r>
    </w:p>
    <w:p w14:paraId="75167B6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Освоение и техническая реконструкция вооружения связи во второй пятилетке</w:t>
      </w:r>
    </w:p>
    <w:p w14:paraId="7A8A58DE"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 По радио. Общая задача — разработка таких конструкций радиостанций, в которых совмещены дуплекс на одной волне, засекречивание связи, автоматический вызов, высокая стабильность волны, комбинированный длинноволновый и коротковолновый диапазон и работа на ходу.</w:t>
      </w:r>
    </w:p>
    <w:p w14:paraId="28802D1E"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По авиационным радиостанциям: а) сконструировать радиостанции, работающие на больших расстояниях — 2500 км, станции для связи внутри авиационных соединений, для связи с авиадесантами и для войсковой авиации с дуплексом на одной волне; б) разработать образцы, обеспечивающие самолетовождение, а именно: радиомаяки для курсовождения и слепой посадки, приемники для курсовождения, зрительные индикаторы, авиационные пеленгаторы, радиодистанционеры и </w:t>
      </w:r>
      <w:r w:rsidRPr="0044524F">
        <w:rPr>
          <w:rFonts w:ascii="Times New Roman" w:hAnsi="Times New Roman"/>
          <w:color w:val="000000" w:themeColor="text1"/>
          <w:sz w:val="16"/>
          <w:szCs w:val="16"/>
        </w:rPr>
        <w:lastRenderedPageBreak/>
        <w:t>переговорные установки; в) разработать специальные приборы для самолетов наблюдения, сопровождения и связи, позволяющих максимально автоматизировать наблюдение за полем боя и управление огнем; г) добиться решения вопроса радиотелевидения с самолета и разработать опытные образцы приборов.</w:t>
      </w:r>
    </w:p>
    <w:p w14:paraId="584FA419"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 вооружению танков: разработать дуплексные радиостанции и специальные конструкции радиоузлов для крупных мехсоединений (мехкорпуса и мехбригады) в танках Т</w:t>
      </w:r>
      <w:r w:rsidRPr="0044524F">
        <w:rPr>
          <w:rFonts w:ascii="Times New Roman" w:hAnsi="Times New Roman"/>
          <w:color w:val="000000" w:themeColor="text1"/>
          <w:sz w:val="16"/>
          <w:szCs w:val="16"/>
        </w:rPr>
        <w:noBreakHyphen/>
        <w:t>28 и бронированных транспортерах, а также обеспечить радиовооружением все новые типы боевых машин.</w:t>
      </w:r>
    </w:p>
    <w:p w14:paraId="025748E0"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 общевойсковой радиосвязи: отработать окончательно конструкцию радиоузлов для дивизии, корпуса, армии и сконструировать дуплексные станции на одной волне для полка и батальона.</w:t>
      </w:r>
    </w:p>
    <w:p w14:paraId="69935B2A"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Разработать радиостанции на УКВ для применения их в авиации, мехвойсках и других соединениях.</w:t>
      </w:r>
    </w:p>
    <w:p w14:paraId="551D576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 По проволоке. Провести разработку всех вопросов дальнего телефонирования и многократной связи по тональной и высокой частоте и разработать соответствующие конструкции аппаратов, для чего: а) окончательно отработать конструкцию облегченного буквопечатающего телеграфного аппарата для вооружения до штаба дивизии включительно; б) разработать подвижные телеграфно-телефонные узлы для командных пунктов; в) добиться решительного повышения качества элементов анодных батарей и разработать легкие бензино-электрические агрегаты; г) добиться повышения изоляционных качеств полевого телефонного кабеля; д) для повышения производительности работ усовершенствовать мото-механизированные средства связи; е) разработать конструкции дуплексного оптического телефона на видимых и невидимых лучах (инфракрасные лучи).</w:t>
      </w:r>
    </w:p>
    <w:p w14:paraId="61AE6ED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Повышение материально-технической обеспеченности</w:t>
      </w:r>
    </w:p>
    <w:p w14:paraId="7BDF344C"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 По радио. 1. Согласно общим ориентировочным расчетам Штаба РККА, в течение 1933</w:t>
      </w:r>
      <w:r w:rsidRPr="0044524F">
        <w:rPr>
          <w:rFonts w:ascii="Times New Roman" w:hAnsi="Times New Roman"/>
          <w:color w:val="000000" w:themeColor="text1"/>
          <w:sz w:val="16"/>
          <w:szCs w:val="16"/>
        </w:rPr>
        <w:noBreakHyphen/>
        <w:t>1937 гг. довести обеспеченность мобразвертывания РККА с запасом баз радиостанциями, пеленгаторами и приемниками в общем количестве 80 тыс. Недостающее радиоимущество в количестве 70 500 единиц заказать в течение 1934</w:t>
      </w:r>
      <w:r w:rsidRPr="0044524F">
        <w:rPr>
          <w:rFonts w:ascii="Times New Roman" w:hAnsi="Times New Roman"/>
          <w:color w:val="000000" w:themeColor="text1"/>
          <w:sz w:val="16"/>
          <w:szCs w:val="16"/>
        </w:rPr>
        <w:noBreakHyphen/>
        <w:t>1937 гг. Без запаса баз требуется дозаказать на 4 года второй пятилетки 52 тыс. радиостанций.</w:t>
      </w:r>
    </w:p>
    <w:p w14:paraId="3CE6540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Расчет обеспечения следующий. Авиация: а) до самолета включительно вооружаются бомбардировщики, разведчики, многоместные истребители, самолеты связи и сопровождения; б) до командира звена вооружаются одноместные истребители и штурмовики; в) аэродромными станциями вооружаются авиасоединения и общевойсковые штабы для связи с авиацией. На всю авиацию требуется 10 260 радиостанций.</w:t>
      </w:r>
    </w:p>
    <w:p w14:paraId="6B32534D"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Мото-мехсоединения и части из расчета доведения танковых радиостанций до командира взвода в общем количестве 5880.</w:t>
      </w:r>
    </w:p>
    <w:p w14:paraId="04B2AB1C"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Штабы от дивизии и выше в количестве 644 радиостанции.</w:t>
      </w:r>
    </w:p>
    <w:p w14:paraId="555B07A5"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Стрелковые, кавалерийские и артиллерийские части до батальона и батареи включительно в количестве 38 628 радиостанций и 10 010 приемников.</w:t>
      </w:r>
    </w:p>
    <w:p w14:paraId="204120CE"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Для связи батальон-рота ультракоротковолновые радиостанции в количестве 9 тыс.</w:t>
      </w:r>
    </w:p>
    <w:p w14:paraId="7D944CD5"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Укрепленные районы в количестве 5 тыс. радиостанций.</w:t>
      </w:r>
    </w:p>
    <w:p w14:paraId="3D548AF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 По проволоке. В области проволочной связи: 1) довести скородействующие буквопечатные аппараты до дивизий и авиабригад; 2) телефоны дальнего действия и приборы многократного телеграфирования и телефонирования — до армии-корпус; 3) обеспечить оборудованными подвижными мастерскими части связи до дивизии включительно.</w:t>
      </w:r>
    </w:p>
    <w:p w14:paraId="6F638AFA"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 Стоимость вооружения. Расходы по вооружению связи на 1934</w:t>
      </w:r>
      <w:r w:rsidRPr="0044524F">
        <w:rPr>
          <w:rFonts w:ascii="Times New Roman" w:hAnsi="Times New Roman"/>
          <w:color w:val="000000" w:themeColor="text1"/>
          <w:sz w:val="16"/>
          <w:szCs w:val="16"/>
        </w:rPr>
        <w:noBreakHyphen/>
        <w:t>1937 гг. ориентировочно определяются в 563 млн. руб., из коих: а) на радиовооружение — 325 млн. руб.; б) на проволочные и оптические средства и спецобоз — 145 млн. 500 руб.; в) на оборудование мастерских — 30 млн. руб.: г) на средства связи укрепрайонов — 15 млн. руб.; д) на заказы по опытному строительству — 48 млн. руб. Если не учитывать запасы баз (18 тыс. радиостанций), стоимость второй пятилетки определяется в 463 млн. руб.</w:t>
      </w:r>
    </w:p>
    <w:p w14:paraId="58D79EF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Расширение базы и накопление мобзапасов</w:t>
      </w:r>
    </w:p>
    <w:p w14:paraId="62F962C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 Строительство заводов. В первую очередь (ближайшие два года 1933</w:t>
      </w:r>
      <w:r w:rsidRPr="0044524F">
        <w:rPr>
          <w:rFonts w:ascii="Times New Roman" w:hAnsi="Times New Roman"/>
          <w:color w:val="000000" w:themeColor="text1"/>
          <w:sz w:val="16"/>
          <w:szCs w:val="16"/>
        </w:rPr>
        <w:noBreakHyphen/>
        <w:t>1934) должны быть построены и пущены те заводы слаботочной промышленности, которые намечены к постройке решением КО от 11 января 1932 г.</w:t>
      </w:r>
    </w:p>
    <w:p w14:paraId="144F8DB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 Кроме того необходимо совместно с промышленностью точно учесть потребность армии и народного хозяйства по производству радиостанций для низовой связи, НКС, гражданской авиации, НКПС, Наркомлеса и Наркомзема. Эта потребность частично решает вопрос наших расчетов по мощности и производству на военное время.</w:t>
      </w:r>
    </w:p>
    <w:p w14:paraId="4AFB7C8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 Накопление мобзапаса должно быть обусловлено жестким выполнением правительственного решения о широком внедрении военных радиостанций (уже освоенных промышленностью) в народное хозяйство. По проведении этого мероприятия двухмесячный запас баз (18 тыс. радиостанций) отпадает.</w:t>
      </w:r>
    </w:p>
    <w:p w14:paraId="2CE4BD2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моторизации и механизации</w:t>
      </w:r>
    </w:p>
    <w:p w14:paraId="5E395BE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 В вопросах моторизации войск связи необходимо установить следующую очередность: в первую очередь провести моторизацию а) частей авиабригад, б) армейские строительные и эксплуатационные роты, в) все радиочасти и радиоподразделения, г) все штабные подразделения частей связи и корпусов, д) кабельно-шестовые подразделения дивизий и корпусов первой очереди; во вторую очередь — моторизация остальных войск и частей связи.</w:t>
      </w:r>
    </w:p>
    <w:p w14:paraId="5987ABD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 Для этого необходимо: 1) в течение 1934</w:t>
      </w:r>
      <w:r w:rsidRPr="0044524F">
        <w:rPr>
          <w:rFonts w:ascii="Times New Roman" w:hAnsi="Times New Roman"/>
          <w:color w:val="000000" w:themeColor="text1"/>
          <w:sz w:val="16"/>
          <w:szCs w:val="16"/>
        </w:rPr>
        <w:noBreakHyphen/>
        <w:t>1935 гг. отпустить 2553 машины, из коих 952 — под радиоустановки и 1611 — для учебы; 2) в течение 1936 г. вооружить части и войска связи первой очереди, для чего отпустить 6383 машины; 3) в 1937 г. остальные войска и части связи вооружить на 100%.</w:t>
      </w:r>
    </w:p>
    <w:p w14:paraId="44D87222"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оборонному строительству во второй пятилетке</w:t>
      </w:r>
    </w:p>
    <w:p w14:paraId="3E9F5513"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§50.</w:t>
      </w:r>
      <w:r w:rsidRPr="0044524F">
        <w:rPr>
          <w:rStyle w:val="af0"/>
          <w:bCs/>
          <w:i w:val="0"/>
          <w:color w:val="000000" w:themeColor="text1"/>
          <w:sz w:val="16"/>
          <w:szCs w:val="16"/>
        </w:rPr>
        <w:t xml:space="preserve"> По телефонно-телеграфному строительству</w:t>
      </w:r>
      <w:r w:rsidRPr="0044524F">
        <w:rPr>
          <w:color w:val="000000" w:themeColor="text1"/>
          <w:sz w:val="16"/>
          <w:szCs w:val="16"/>
        </w:rPr>
        <w:t>. По западному театру: 1) достроить необходимые телефонно-телеграфные линии (в первую очередь на Украине), полностью обеспечивающие связью маневренность армий и корпусов; 2) заново создать специальные сети для управления авиацией; 3) оборудовать постоянной телефонно-телеграфной связью вновь построенные шоссе и шоссированные дороги.</w:t>
      </w:r>
    </w:p>
    <w:p w14:paraId="018F81C3"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§51.</w:t>
      </w:r>
      <w:r w:rsidRPr="0044524F">
        <w:rPr>
          <w:rStyle w:val="af0"/>
          <w:bCs/>
          <w:i w:val="0"/>
          <w:color w:val="000000" w:themeColor="text1"/>
          <w:sz w:val="16"/>
          <w:szCs w:val="16"/>
        </w:rPr>
        <w:t xml:space="preserve"> По Дальнему Востоку</w:t>
      </w:r>
      <w:r w:rsidRPr="0044524F">
        <w:rPr>
          <w:color w:val="000000" w:themeColor="text1"/>
          <w:sz w:val="16"/>
          <w:szCs w:val="16"/>
        </w:rPr>
        <w:t>: 1) усилить телефонно-телеграфную сеть в Приморском направлении; 2) освоить телефонно-телеграфную сеть в Маньчжурском направлении; 3) обеспечить обходную проволочную связь в Приморском направлении от Иркутска до Хабаровска через Якутск; 4) создать специальную сеть для управления авиацией.</w:t>
      </w:r>
    </w:p>
    <w:p w14:paraId="7971D0BB"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§52.</w:t>
      </w:r>
      <w:r w:rsidRPr="0044524F">
        <w:rPr>
          <w:rStyle w:val="af0"/>
          <w:bCs/>
          <w:i w:val="0"/>
          <w:color w:val="000000" w:themeColor="text1"/>
          <w:sz w:val="16"/>
          <w:szCs w:val="16"/>
        </w:rPr>
        <w:t xml:space="preserve"> По Ближнему Востоку</w:t>
      </w:r>
      <w:r w:rsidRPr="0044524F">
        <w:rPr>
          <w:color w:val="000000" w:themeColor="text1"/>
          <w:sz w:val="16"/>
          <w:szCs w:val="16"/>
        </w:rPr>
        <w:t>: 1) достроить строительство телефонно-телеграфных линий в радикальных направлениях; 2) усилить рокадные линии; 3) создать специальные сети для авиации.</w:t>
      </w:r>
    </w:p>
    <w:p w14:paraId="1E618D4C"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§53. Новым строительством бронзовых цепей создать возможность телефонной связи между фронтом и армейскими и корпусными управлениями.</w:t>
      </w:r>
    </w:p>
    <w:p w14:paraId="1F766943"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§54. Кроме того, необходимым кольцеванием узлов связи организовать обходные связи на случай разрушения целых участков или отдельных узлов связи.</w:t>
      </w:r>
    </w:p>
    <w:p w14:paraId="1CB10237"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§55.</w:t>
      </w:r>
      <w:r w:rsidRPr="0044524F">
        <w:rPr>
          <w:rStyle w:val="af0"/>
          <w:bCs/>
          <w:i w:val="0"/>
          <w:color w:val="000000" w:themeColor="text1"/>
          <w:sz w:val="16"/>
          <w:szCs w:val="16"/>
        </w:rPr>
        <w:t xml:space="preserve"> Вывод</w:t>
      </w:r>
      <w:r w:rsidRPr="0044524F">
        <w:rPr>
          <w:color w:val="000000" w:themeColor="text1"/>
          <w:sz w:val="16"/>
          <w:szCs w:val="16"/>
        </w:rPr>
        <w:t>: все оборонное строительство телефонно-телеграфных линий должно обеспечивать связь по телефону и телеграфу (период развертывания) до стрелковых корпусов и отдельных дивизий узловых аэродромов с возможных центров управления.</w:t>
      </w:r>
    </w:p>
    <w:p w14:paraId="4DAEA769"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§56. Всего во второй пятилетке, по ориентировочным лимитам Госплана и НКС, требуется построить по оборонному строительству телефонно-телеграфных линий:</w:t>
      </w:r>
    </w:p>
    <w:p w14:paraId="40594029"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а) в километрах железного провода</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35"/>
        <w:gridCol w:w="1377"/>
        <w:gridCol w:w="1242"/>
        <w:gridCol w:w="1242"/>
        <w:gridCol w:w="1242"/>
        <w:gridCol w:w="1242"/>
        <w:gridCol w:w="1242"/>
      </w:tblGrid>
      <w:tr w:rsidR="004E10C1" w:rsidRPr="0044524F" w14:paraId="4B403A80"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AFF36A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011E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E1CEE4C"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EE7F7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9C2E35"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0A5490C"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FF02820"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1937 г.</w:t>
            </w:r>
          </w:p>
        </w:tc>
      </w:tr>
      <w:tr w:rsidR="004E10C1" w:rsidRPr="0044524F" w14:paraId="59DDC30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112965"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построить линий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E134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E69A4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B99000"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633A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87DFD"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56112D"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8 000</w:t>
            </w:r>
          </w:p>
        </w:tc>
      </w:tr>
      <w:tr w:rsidR="004E10C1" w:rsidRPr="0044524F" w14:paraId="2C0E3F7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8F37DD"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подвесить провода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ED0BC"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7A7FA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0352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52E2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8857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49392"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90 000</w:t>
            </w:r>
          </w:p>
        </w:tc>
      </w:tr>
    </w:tbl>
    <w:p w14:paraId="39A5F37A" w14:textId="77777777" w:rsidR="00CC65A8" w:rsidRPr="0044524F" w:rsidRDefault="00CC65A8" w:rsidP="009654CF">
      <w:pPr>
        <w:pStyle w:val="ae"/>
        <w:spacing w:before="0" w:after="0"/>
        <w:jc w:val="both"/>
        <w:rPr>
          <w:color w:val="000000" w:themeColor="text1"/>
          <w:sz w:val="16"/>
          <w:szCs w:val="16"/>
        </w:rPr>
      </w:pPr>
      <w:r w:rsidRPr="0044524F">
        <w:rPr>
          <w:color w:val="000000" w:themeColor="text1"/>
          <w:sz w:val="16"/>
          <w:szCs w:val="16"/>
        </w:rPr>
        <w:t>б) по бронзе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96"/>
        <w:gridCol w:w="1326"/>
        <w:gridCol w:w="1400"/>
        <w:gridCol w:w="1400"/>
        <w:gridCol w:w="1400"/>
        <w:gridCol w:w="1400"/>
        <w:gridCol w:w="1400"/>
      </w:tblGrid>
      <w:tr w:rsidR="004E10C1" w:rsidRPr="0044524F" w14:paraId="6CF896B3"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7A661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8AB40D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CE46D8C"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B7916"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4712A0A"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6B4F3"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33896A9"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1937 г.</w:t>
            </w:r>
          </w:p>
        </w:tc>
      </w:tr>
      <w:tr w:rsidR="004E10C1" w:rsidRPr="0044524F" w14:paraId="7F5A006C"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BA51E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новых цепей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1E4F4F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33 569</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9C3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4 159</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6BB94"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6EF2F"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D6C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66A87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9 000</w:t>
            </w:r>
          </w:p>
        </w:tc>
      </w:tr>
    </w:tbl>
    <w:p w14:paraId="3ACF209A"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§57.</w:t>
      </w:r>
      <w:r w:rsidRPr="0044524F">
        <w:rPr>
          <w:rStyle w:val="af0"/>
          <w:bCs/>
          <w:i w:val="0"/>
          <w:color w:val="000000" w:themeColor="text1"/>
          <w:sz w:val="16"/>
          <w:szCs w:val="16"/>
        </w:rPr>
        <w:t xml:space="preserve"> По узлам</w:t>
      </w:r>
      <w:r w:rsidRPr="0044524F">
        <w:rPr>
          <w:color w:val="000000" w:themeColor="text1"/>
          <w:sz w:val="16"/>
          <w:szCs w:val="16"/>
        </w:rPr>
        <w:t>. 1) В течение 1933</w:t>
      </w:r>
      <w:r w:rsidRPr="0044524F">
        <w:rPr>
          <w:color w:val="000000" w:themeColor="text1"/>
          <w:sz w:val="16"/>
          <w:szCs w:val="16"/>
        </w:rPr>
        <w:noBreakHyphen/>
        <w:t>1934 гг. полностью привести в порядок имеющиеся 72 узла и контрольные пункты на западном и юго-западном театрах. Для этого: а) предусмотреть установку и перегруппировку коммутаторов соответственно с мощностью узлов; б) обеспечить узлы и контрольные пункты запасными батареями, коммутаторами и подготовленным личным составом. 2) Каблировать 42 узла связи в основных стратегических пунктах, из них: в 1933 г. — 7, в 1934 г. — 7, в 1935 г. — 8, в 1936 г. — 10 и в 1937 г. — 10. 3) Заново оборудовать 101 узел, из них: в 1933 г. — 6, в 1934 г. — 15, в 1935 г. — 20, в 1936 г. — 26 и в 1937 г. — 35 узлов. 4) Построить 22 АТС, из них: в 1933 г. — 2, в 1934 г. — 5, в 1935 г. — 5, в 1936 г. — 5 и в 1937 г. — 5.</w:t>
      </w:r>
    </w:p>
    <w:p w14:paraId="3722870B"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§58.</w:t>
      </w:r>
      <w:r w:rsidRPr="0044524F">
        <w:rPr>
          <w:rStyle w:val="af0"/>
          <w:bCs/>
          <w:i w:val="0"/>
          <w:color w:val="000000" w:themeColor="text1"/>
          <w:sz w:val="16"/>
          <w:szCs w:val="16"/>
        </w:rPr>
        <w:t xml:space="preserve"> По радио</w:t>
      </w:r>
      <w:r w:rsidRPr="0044524F">
        <w:rPr>
          <w:color w:val="000000" w:themeColor="text1"/>
          <w:sz w:val="16"/>
          <w:szCs w:val="16"/>
        </w:rPr>
        <w:t>. 1. Продолжать строительство мощных широковещательных радиостанций на длинных и коротких волнах с задачей на военное время: вещание для наших войск, для войск противника, населения на территории противника и т. д. 2. Строительство маломощных радиостанций на вероятном театре для обслуживания связью тылов. 3. Организация радиотелефонных магистралей на коротких волнах для связи с Востоком. 4. Реконструкция имеющихся радиостанций НКС, НКПС и других ведомств с целью согласованности их диапазонов с диапазонами войсковых радиостанций. Организация выделенного приема. 5. Оборудование крупных радиостанций аппаратами для приема и передачи изображений.</w:t>
      </w:r>
    </w:p>
    <w:p w14:paraId="42A37555"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С учетом этих целей в течение 1933</w:t>
      </w:r>
      <w:r w:rsidRPr="0044524F">
        <w:rPr>
          <w:color w:val="000000" w:themeColor="text1"/>
          <w:sz w:val="16"/>
          <w:szCs w:val="16"/>
        </w:rPr>
        <w:noBreakHyphen/>
        <w:t>1937 гг. Наркомат связи строит:</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37"/>
        <w:gridCol w:w="920"/>
        <w:gridCol w:w="1073"/>
        <w:gridCol w:w="1073"/>
        <w:gridCol w:w="1073"/>
        <w:gridCol w:w="1073"/>
        <w:gridCol w:w="1073"/>
      </w:tblGrid>
      <w:tr w:rsidR="004E10C1" w:rsidRPr="0044524F" w14:paraId="324A050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D90A89"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0875D64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A3796"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34E82"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187A2F9"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40AD1"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9FBE07"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1937 г.</w:t>
            </w:r>
          </w:p>
        </w:tc>
      </w:tr>
      <w:tr w:rsidR="004E10C1" w:rsidRPr="0044524F" w14:paraId="4970718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AFF2B9"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Радиостанции разных мощностей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F95D8"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47C3A"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961⁹*</w:t>
            </w:r>
          </w:p>
        </w:tc>
        <w:tc>
          <w:tcPr>
            <w:tcW w:w="0" w:type="auto"/>
            <w:tcBorders>
              <w:top w:val="outset" w:sz="6" w:space="0" w:color="auto"/>
              <w:left w:val="outset" w:sz="6" w:space="0" w:color="auto"/>
              <w:bottom w:val="outset" w:sz="6" w:space="0" w:color="auto"/>
              <w:right w:val="outset" w:sz="6" w:space="0" w:color="auto"/>
            </w:tcBorders>
            <w:vAlign w:val="center"/>
            <w:hideMark/>
          </w:tcPr>
          <w:p w14:paraId="5EBE811B"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4D6BBFF3"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w:t>
            </w:r>
          </w:p>
        </w:tc>
        <w:tc>
          <w:tcPr>
            <w:tcW w:w="0" w:type="auto"/>
            <w:tcBorders>
              <w:top w:val="outset" w:sz="6" w:space="0" w:color="auto"/>
              <w:left w:val="outset" w:sz="6" w:space="0" w:color="auto"/>
              <w:bottom w:val="outset" w:sz="6" w:space="0" w:color="auto"/>
              <w:right w:val="outset" w:sz="6" w:space="0" w:color="auto"/>
            </w:tcBorders>
            <w:vAlign w:val="center"/>
            <w:hideMark/>
          </w:tcPr>
          <w:p w14:paraId="39AFB0A2"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180B26" w14:textId="77777777" w:rsidR="00CC65A8" w:rsidRPr="0044524F" w:rsidRDefault="00CC65A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w:t>
            </w:r>
          </w:p>
        </w:tc>
      </w:tr>
    </w:tbl>
    <w:p w14:paraId="79C0B8EF"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 59. Для полного обеспечения мобпотребности армейских и фронтовых телеграфных станций необходимо увеличить резервный фонд телеграфной аппаратуры на 18 аппаратов Бодо двукратных и 194 аппаратов Юза или другой более современной системы (Тремля, Шорина)¹⁰*.</w:t>
      </w:r>
    </w:p>
    <w:p w14:paraId="7183A80D" w14:textId="77777777" w:rsidR="00CC65A8" w:rsidRPr="0044524F" w:rsidRDefault="00CC65A8"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связи Рабоче-крестьянской Красной армии Н. Синявский</w:t>
      </w:r>
    </w:p>
    <w:p w14:paraId="62D2E50B" w14:textId="77777777" w:rsidR="00CC65A8" w:rsidRPr="0044524F" w:rsidRDefault="00CC65A8" w:rsidP="009654CF">
      <w:pPr>
        <w:pStyle w:val="ae"/>
        <w:spacing w:before="0" w:after="0"/>
        <w:jc w:val="both"/>
        <w:rPr>
          <w:color w:val="000000" w:themeColor="text1"/>
          <w:sz w:val="16"/>
          <w:szCs w:val="16"/>
        </w:rPr>
      </w:pPr>
      <w:r w:rsidRPr="0044524F">
        <w:rPr>
          <w:rStyle w:val="af0"/>
          <w:i w:val="0"/>
          <w:color w:val="000000" w:themeColor="text1"/>
          <w:sz w:val="16"/>
          <w:szCs w:val="16"/>
        </w:rPr>
        <w:lastRenderedPageBreak/>
        <w:t>Примечания</w:t>
      </w:r>
      <w:r w:rsidRPr="0044524F">
        <w:rPr>
          <w:color w:val="000000" w:themeColor="text1"/>
          <w:sz w:val="16"/>
          <w:szCs w:val="16"/>
        </w:rPr>
        <w:t>:</w:t>
      </w:r>
    </w:p>
    <w:p w14:paraId="4FA9CD9B"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Управление связи Красной армии (УСКА)</w:t>
      </w:r>
      <w:r w:rsidRPr="0044524F">
        <w:rPr>
          <w:color w:val="000000" w:themeColor="text1"/>
          <w:sz w:val="16"/>
          <w:szCs w:val="16"/>
        </w:rPr>
        <w:t xml:space="preserve"> образовано приказом РВСР № 1736/362 от 20 октября 1919 г. в составе Полевого штаба РВСР на базе почтово-телеграфного отдела Цупвосо. Приказом РВС СССР № 446/96 от 28 марта 1924 г. УСКА было слито с Главным военно-инженерным управлением в Военно-техническое управление РККА с подчинением начальнику снабжений РККА. Приказом РВС СССР № 033 от 17 мая 1931 г. ВТУ было вновь разделено на два управления, подчиненные начальству вооружений РККА — Управление связи РККА и Военно-инженерное управление. По положению о Наркомате обороны СССР от 22 ноября 1934 г. на Управление связи РККА, как на центральный орган НКО, возлагалось обеспечение армии всеми средствами связи и руководство службой связи. Приказом НКО № 0114 от 26 июля 1937 г. объединено с Техническим управлением РККА в Управление связи Красной армии.</w:t>
      </w:r>
    </w:p>
    <w:p w14:paraId="4041A1C1"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²* Перечень не публикуется (см. там же, л. 14</w:t>
      </w:r>
      <w:r w:rsidRPr="0044524F">
        <w:rPr>
          <w:color w:val="000000" w:themeColor="text1"/>
          <w:sz w:val="16"/>
          <w:szCs w:val="16"/>
        </w:rPr>
        <w:noBreakHyphen/>
        <w:t>15).</w:t>
      </w:r>
    </w:p>
    <w:p w14:paraId="30E738EA"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³* Образцы радиостанций разрабатывались заново в связи с решением РВС о переходе на коротковолновую радиосеть. В настоящее время радиостанции на длинных волнах оставлены только для высших штабов (от дивизии и выше). Невыполненные образцы — см. перечень № 2. (</w:t>
      </w:r>
      <w:r w:rsidRPr="0044524F">
        <w:rPr>
          <w:rStyle w:val="af0"/>
          <w:i w:val="0"/>
          <w:color w:val="000000" w:themeColor="text1"/>
          <w:sz w:val="16"/>
          <w:szCs w:val="16"/>
        </w:rPr>
        <w:t>Прим. док</w:t>
      </w:r>
      <w:r w:rsidRPr="0044524F">
        <w:rPr>
          <w:color w:val="000000" w:themeColor="text1"/>
          <w:sz w:val="16"/>
          <w:szCs w:val="16"/>
        </w:rPr>
        <w:t>.). Перечень не публикуется (см. там же, л. 15</w:t>
      </w:r>
      <w:r w:rsidRPr="0044524F">
        <w:rPr>
          <w:color w:val="000000" w:themeColor="text1"/>
          <w:sz w:val="16"/>
          <w:szCs w:val="16"/>
        </w:rPr>
        <w:noBreakHyphen/>
        <w:t>15 об.).</w:t>
      </w:r>
    </w:p>
    <w:p w14:paraId="317F2DA5"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⁴* </w:t>
      </w:r>
      <w:r w:rsidRPr="0044524F">
        <w:rPr>
          <w:rStyle w:val="af0"/>
          <w:bCs/>
          <w:i w:val="0"/>
          <w:color w:val="000000" w:themeColor="text1"/>
          <w:sz w:val="16"/>
          <w:szCs w:val="16"/>
        </w:rPr>
        <w:t>Штаб РККА</w:t>
      </w:r>
      <w:r w:rsidRPr="0044524F">
        <w:rPr>
          <w:color w:val="000000" w:themeColor="text1"/>
          <w:sz w:val="16"/>
          <w:szCs w:val="16"/>
        </w:rPr>
        <w:t>, образованный приказом Реввоенсовета Республики № 336/41 от 10 февраля 1921 г., являлся основным органом стратегического руководства в системе военного управления, ведал вопросами обороны государства, организацией вооруженных сил. На него возлагались: разработка планов войны и оперативно-стратегического использования вооруженных сил, путей сообщения, подготовка театров военных действий, материальное обеспечение армии, руководство усовершенствованием вооружения и военной техники, военно-топографической службой. По положению о центральном аппарате Наркомвоенмора, объявленному приказом РВС СССР от 21 октября 1929 г., начальник Штаба РККА подчинялся непосредственно наркому по военным и морским делам. В состав штаба входили управления: оперативное, организационно-мобилизационное, военных сообщений, разведывательное, боевой подготовки. По постановлению РВС СССР от 13 января 1930 г. в Штаб РККА и Главного управления РККА перешли вопросы войсковой мобилизации, мобилизационного предназначения среднего, старшего и высшего начсостава, территориальное строительство, допризывная и вневойсковая подготовка, а также вопросы противовоздушной обороны, а по приказу РВС СССР от 2 января 1931 г. — Военно-топографическое управление. Из состава штаба были выделены и развернуты в самостоятельные управления: по постановлению РВС СССР от 13 января 1931 г. — Управление боевой подготовки сухопутных сил РККА, по приказу РВС СССР от 10 мая 1932 г. — Управление противовоздушной обороны РККА. По положению о Наркомате обороны СССР от 22 ноября 1934 г. Штаб РККА являлся центральным органом НКО по подготовке и использованию Вооруженных сил СССР для обороны страны. Постановлением СНК СССР от 22 сентября 1935 г. Штаб РККА был преобразован в Генеральный штаб РККА.</w:t>
      </w:r>
    </w:p>
    <w:p w14:paraId="7706D51A"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⁵* Так в тексте.</w:t>
      </w:r>
    </w:p>
    <w:p w14:paraId="5C2A2F32"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⁶* ГА РФ. Ф. Р</w:t>
      </w:r>
      <w:r w:rsidRPr="0044524F">
        <w:rPr>
          <w:color w:val="000000" w:themeColor="text1"/>
          <w:sz w:val="16"/>
          <w:szCs w:val="16"/>
        </w:rPr>
        <w:noBreakHyphen/>
        <w:t>8418. Оп. 28. Д. 1а. Л. 98</w:t>
      </w:r>
      <w:r w:rsidRPr="0044524F">
        <w:rPr>
          <w:color w:val="000000" w:themeColor="text1"/>
          <w:sz w:val="16"/>
          <w:szCs w:val="16"/>
        </w:rPr>
        <w:noBreakHyphen/>
        <w:t>107.</w:t>
      </w:r>
    </w:p>
    <w:p w14:paraId="5961689B"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⁷* Текст поврежден.</w:t>
      </w:r>
    </w:p>
    <w:p w14:paraId="08F6DB2D"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⁸* Далее опущены § 28</w:t>
      </w:r>
      <w:r w:rsidRPr="0044524F">
        <w:rPr>
          <w:color w:val="000000" w:themeColor="text1"/>
          <w:sz w:val="16"/>
          <w:szCs w:val="16"/>
        </w:rPr>
        <w:noBreakHyphen/>
        <w:t>38 о состоянии войск связи и службы связи в первой пятилетке.</w:t>
      </w:r>
    </w:p>
    <w:p w14:paraId="01431129"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⁹* Работы 1933 г. — переходящие с прошлых лет. Из 96 радиостанций 54 находятся в стройке (</w:t>
      </w:r>
      <w:r w:rsidRPr="0044524F">
        <w:rPr>
          <w:rStyle w:val="af0"/>
          <w:i w:val="0"/>
          <w:color w:val="000000" w:themeColor="text1"/>
          <w:sz w:val="16"/>
          <w:szCs w:val="16"/>
        </w:rPr>
        <w:t>Прим. док.</w:t>
      </w:r>
      <w:r w:rsidRPr="0044524F">
        <w:rPr>
          <w:color w:val="000000" w:themeColor="text1"/>
          <w:sz w:val="16"/>
          <w:szCs w:val="16"/>
        </w:rPr>
        <w:t>).</w:t>
      </w:r>
    </w:p>
    <w:p w14:paraId="04F61423" w14:textId="77777777" w:rsidR="00CC65A8" w:rsidRPr="0044524F" w:rsidRDefault="00CC65A8" w:rsidP="009654CF">
      <w:pPr>
        <w:pStyle w:val="rtejustify"/>
        <w:spacing w:before="0" w:after="0"/>
        <w:rPr>
          <w:color w:val="000000" w:themeColor="text1"/>
          <w:sz w:val="16"/>
          <w:szCs w:val="16"/>
        </w:rPr>
      </w:pPr>
      <w:r w:rsidRPr="0044524F">
        <w:rPr>
          <w:color w:val="000000" w:themeColor="text1"/>
          <w:sz w:val="16"/>
          <w:szCs w:val="16"/>
        </w:rPr>
        <w:t>¹⁰* Далее опущены § 60</w:t>
      </w:r>
      <w:r w:rsidRPr="0044524F">
        <w:rPr>
          <w:color w:val="000000" w:themeColor="text1"/>
          <w:sz w:val="16"/>
          <w:szCs w:val="16"/>
        </w:rPr>
        <w:noBreakHyphen/>
        <w:t>63 по мероприятиям армейской связи, по ПВО, по кадрам.</w:t>
      </w:r>
    </w:p>
    <w:p w14:paraId="6F6F25B4" w14:textId="77777777" w:rsidR="00CC65A8" w:rsidRPr="0044524F" w:rsidRDefault="00CC65A8" w:rsidP="009654CF">
      <w:pPr>
        <w:pStyle w:val="ae"/>
        <w:spacing w:before="0" w:after="0"/>
        <w:jc w:val="both"/>
        <w:rPr>
          <w:color w:val="000000" w:themeColor="text1"/>
          <w:sz w:val="16"/>
          <w:szCs w:val="16"/>
        </w:rPr>
      </w:pPr>
      <w:r w:rsidRPr="0044524F">
        <w:rPr>
          <w:color w:val="000000" w:themeColor="text1"/>
          <w:sz w:val="16"/>
          <w:szCs w:val="16"/>
        </w:rPr>
        <w:t>РГВА. Ф. 4. Оп. 14. Д. 954. Л. 1-13 об. Подлинник (15259).</w:t>
      </w:r>
    </w:p>
    <w:p w14:paraId="16066F6D" w14:textId="77777777" w:rsidR="00CC65A8" w:rsidRPr="0044524F" w:rsidRDefault="00CC65A8" w:rsidP="009654CF">
      <w:pPr>
        <w:spacing w:after="0" w:line="240" w:lineRule="auto"/>
        <w:jc w:val="both"/>
        <w:rPr>
          <w:rFonts w:ascii="Times New Roman" w:hAnsi="Times New Roman"/>
          <w:iCs/>
          <w:color w:val="000000" w:themeColor="text1"/>
          <w:sz w:val="16"/>
          <w:szCs w:val="16"/>
        </w:rPr>
      </w:pPr>
    </w:p>
    <w:p w14:paraId="0FED5495"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ED2A382"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11D781BB"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 был издан приказ по Управлению лагеря за № 70 по итогам проверки 1 лагпункта 7 отделения Дмитлага:</w:t>
      </w:r>
    </w:p>
    <w:p w14:paraId="13988BB3"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«Обследованием лагпункта установлено, что жилищно-бытовые условия заключенных по-прежнему остаются неудовлетворительными и этому вопросу не уделялось должного внимания ни со стороны Начальника Лагпункта тов. БУГАШЕР, ни со стороны остальной лагадминистрации.</w:t>
      </w:r>
    </w:p>
    <w:p w14:paraId="5E33FE4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бараках грязь, большая скученность; бараки не дооборудованы - вместо нар положены доски разной величины без всякой пригонки. Полы моются очень редко, нары грязные.</w:t>
      </w:r>
    </w:p>
    <w:p w14:paraId="0BB003F4"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Ударным бригадам не созданы более лучшие жил-бытовые условия и размещены в таких же грязных и недооборудованных бараках.</w:t>
      </w:r>
    </w:p>
    <w:p w14:paraId="7A9466A7"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Приготовление пищи скверное - на кухне наблюдается сплошное воровство продуктов, покрываемое тем, что при достаточной емкости кухни, пища изготовляется в два приема, при чем мясо варится отдельно, в котлах, впоследствии происходит смешивание супа, мясо выдается не порциями, а крешенкой; кроме того, в одном из котлов обнаружено приготовление особого блюда (холодца), очевидно, исключительно для лагадминистрации и поваров из продуктов, отпущенных на котловое довольствие з/к з/к....</w:t>
      </w:r>
    </w:p>
    <w:p w14:paraId="2A330BA8"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дворе Лагпункта грязь, мусор и человеческие испражнения. Слабосильные лагерники, освобожденные от тяжелых работ, не используются для очистки территории лагпункта от мусора и грязи.</w:t>
      </w:r>
    </w:p>
    <w:p w14:paraId="0352F098"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Такое положение не может быть терпимо в дальнейшем.</w:t>
      </w:r>
    </w:p>
    <w:p w14:paraId="1FE4B26A"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ПРИКАЗЫВАЮ:</w:t>
      </w:r>
    </w:p>
    <w:p w14:paraId="239D530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Начальника 1-го Лагпункта тов. БУГАШЕР с работы снять и предать Суду Коллегии ОГПУ.</w:t>
      </w:r>
    </w:p>
    <w:p w14:paraId="6586AE5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Завхоза з/к ИВАНОВА за халатность и попустительство арестовать на 15 суток с исполнением обязанностей.</w:t>
      </w:r>
    </w:p>
    <w:p w14:paraId="7ADC5E41"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Заведывающего кухней и всю обслугу кухни снять и направить на общие работы, заменив их заключенными женщинами.</w:t>
      </w:r>
    </w:p>
    <w:p w14:paraId="7318EB7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 делу о хищении продуктов питания на кухне и в каптерке произвести расследование и, в случае установления фактов злоупотреблений со стороны кого бы то ни было, виновных арестовать и предать Суду Коллегии ОГПУ...</w:t>
      </w:r>
    </w:p>
    <w:p w14:paraId="1E0DCD7C"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Начальнику Отдела снабжения усилить надзор и проверку за кухнями, беспощадно привлекая к ответственности за малейшие упущения и хищения.</w:t>
      </w:r>
    </w:p>
    <w:p w14:paraId="1290C9C5"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Суповое мясо выдавать рабочим обязательно порциями. Указать Отделениям и Л/П, какой % может быть отхода, на увар и кости, для определения веса порций. Вес порции лицам, проверяющим кухню, взвешивать и, при обнаружении недовеса, привлекать к ответственности Зав. Хоз., Зав. кухней, ст. повара и дежурного по кухне.</w:t>
      </w:r>
    </w:p>
    <w:p w14:paraId="57993520"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 НАЧАЛЬНИКА УПРАВЛЕНИЯ</w:t>
      </w:r>
    </w:p>
    <w:p w14:paraId="2B97ED0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ДМИТЛАГа ОГПУ (К. И. Вейс)» (7560).</w:t>
      </w:r>
    </w:p>
    <w:p w14:paraId="7E6E2985"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633BC1AF" w14:textId="77777777" w:rsidR="00746843"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68245D9" w14:textId="77777777" w:rsidR="00746843" w:rsidRPr="0044524F" w:rsidRDefault="00746843" w:rsidP="009654CF">
      <w:pPr>
        <w:spacing w:after="0" w:line="240" w:lineRule="auto"/>
        <w:jc w:val="both"/>
        <w:rPr>
          <w:rFonts w:ascii="Times New Roman" w:hAnsi="Times New Roman"/>
          <w:iCs/>
          <w:color w:val="000000" w:themeColor="text1"/>
          <w:sz w:val="16"/>
          <w:szCs w:val="16"/>
        </w:rPr>
      </w:pPr>
    </w:p>
    <w:p w14:paraId="4EBE3F31" w14:textId="77777777" w:rsidR="00040C94" w:rsidRPr="0044524F" w:rsidRDefault="00040C94"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1 апреля 1933 года во Франции выходит указ о создании независимых ВВС — l’Armee de l'Air. Правда, процесс их организации завершается только 2 июля 1934 года. В том же году образуется Главное управление по аэронавтике (авиации), в которое переданы СТАе и СФА. ВВС разделены на две части: основную (резерв главкома ВВС) и авиацию взаимодействия с наземными силами, части которой распределены по округам и армиям, и подчиняются их командованию. При этом обслуживание и содержание этих частей остается прерогативой ВВС (19791).</w:t>
      </w:r>
    </w:p>
    <w:p w14:paraId="738B1ED4" w14:textId="77777777" w:rsidR="00040C94" w:rsidRPr="0044524F" w:rsidRDefault="00040C94" w:rsidP="009654CF">
      <w:pPr>
        <w:pStyle w:val="ae"/>
        <w:shd w:val="clear" w:color="auto" w:fill="FFFFFF"/>
        <w:spacing w:before="0" w:after="0"/>
        <w:jc w:val="both"/>
        <w:textAlignment w:val="baseline"/>
        <w:rPr>
          <w:color w:val="000000" w:themeColor="text1"/>
          <w:sz w:val="16"/>
          <w:szCs w:val="16"/>
        </w:rPr>
      </w:pPr>
    </w:p>
    <w:p w14:paraId="6EA1CFD9" w14:textId="77777777" w:rsidR="002C7BF8" w:rsidRPr="0044524F" w:rsidRDefault="002C7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 сформированы ВВС Индии (20802).</w:t>
      </w:r>
    </w:p>
    <w:p w14:paraId="50AF9B1D" w14:textId="77777777" w:rsidR="002C7BF8" w:rsidRPr="0044524F" w:rsidRDefault="002C7BF8" w:rsidP="009654CF">
      <w:pPr>
        <w:spacing w:after="0" w:line="240" w:lineRule="auto"/>
        <w:jc w:val="both"/>
        <w:rPr>
          <w:rFonts w:ascii="Times New Roman" w:hAnsi="Times New Roman"/>
          <w:color w:val="000000" w:themeColor="text1"/>
          <w:sz w:val="16"/>
          <w:szCs w:val="16"/>
        </w:rPr>
      </w:pPr>
    </w:p>
    <w:p w14:paraId="3B2A97AA" w14:textId="77777777" w:rsidR="00746843" w:rsidRPr="0044524F" w:rsidRDefault="00746843"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 Вошел в строй "карманный линкор" Дойчданд (Германия). Первый из трех однотипных. Корабль произвел революцию в судостроении (Дизеля, частично сварной корпус, часть корпусных деталей из аллюминиевого сплава) и фактически спровоцировал новый виток гонки вооружений (для борьбы с ним французы построили Дюнкерк и Страсбург, немцы в ответ Шарнхорст и Гнейзенау, италянцы начали модернизацию старых линкоров и все покатилось...) (4963).</w:t>
      </w:r>
    </w:p>
    <w:p w14:paraId="6C0916EB" w14:textId="77777777" w:rsidR="00746843" w:rsidRPr="0044524F" w:rsidRDefault="00746843" w:rsidP="009654CF">
      <w:pPr>
        <w:tabs>
          <w:tab w:val="left" w:pos="11199"/>
        </w:tabs>
        <w:spacing w:after="0" w:line="240" w:lineRule="auto"/>
        <w:jc w:val="both"/>
        <w:rPr>
          <w:rFonts w:ascii="Times New Roman" w:hAnsi="Times New Roman"/>
          <w:color w:val="000000" w:themeColor="text1"/>
          <w:sz w:val="16"/>
          <w:szCs w:val="16"/>
        </w:rPr>
      </w:pPr>
    </w:p>
    <w:p w14:paraId="33C11E1F" w14:textId="77777777" w:rsidR="00746843" w:rsidRPr="0044524F" w:rsidRDefault="007468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1 апреля 1933 г. во всех германских посольствах в крупных государствах были учреждены должности военных атташе. Военным атташе Германии в Москве был назначен полковник О. Хартман, которого 3 апреля 1933 г. посол Дирксен представил первому заместителю наркома иностранных дел СССР Крестинскому. Крестинский заявил военному атташе: «Тесное сотрудничество между рейхсвером и Красной Армией продолжается уже более 10 лет. Я был у колыбели этого сотрудничества, продолжаю все время ему содействовать и хорошо знаком со всеми этапами развития этого сотрудничества, со всеми моментами улучшения и ухудшения отношений, и я должен сказать &lt;...&gt;, что никогда эти отношения не осуществлялись в столь тяжелой общеполитической атмосфере, чем сегодня». Крестинский говорил о многочисленных случаях насилия над гражданами СССР, «чинимых в Германии национал-социалистическими штурмовиками, а во многих случаях и органами полиции». Он напомнил об инцидентах с обысками гамбургского и ляйпцигского отделений советского торгпредства, о повальных обысках приходивших в Гамбург советских судах, о «настоящем походе» против общества «Дероп» по продаже советских нефтяных продуктов, правление и отделения которого в Берлине, Кельне, Дрездене, Штуттгарте, Мюнхене и других городах Германии подвергались многочисленным налетам и обыскам, в ходе которых производились аресты сотрудников, в том числе советских граждан, «которые подвергались грубейшим насилиям и издевательствам, и в конце концов освобождались ввиду полной неосновательности их ареста». Налетам и разграблениям подвергались и пункты розничной продажи бензина, принадлежавшие «Деропу», причем в некоторых случаях бензин «забирался бесплатно приезжавшими на автомобилях штурмовиками, в других случаях бензин просто выпускался, были случаи порчи и разрушения бензоколонок Деропа». В этой связи Крестинский напомнил Хартману, что «отношения между двумя государствами не укладываются в ведомственные рамки. Не может быть такого положения, при котором между военным министерством Германии и Народным комиссариатом по военным делам в СССР существуют </w:t>
      </w:r>
      <w:r w:rsidRPr="0044524F">
        <w:rPr>
          <w:rFonts w:ascii="Times New Roman" w:hAnsi="Times New Roman"/>
          <w:color w:val="000000" w:themeColor="text1"/>
          <w:sz w:val="16"/>
          <w:szCs w:val="16"/>
        </w:rPr>
        <w:lastRenderedPageBreak/>
        <w:t>отношения дружбы и сотрудничества, а другие правительственные органы Германии проводят по отношению к СССР враждебную политику, выражающуюся в насилиях над нашими гражданами, в налетах на наши органы и других эксцессах». Далее в довольно ультимативной форме Крестинский заявил: «Если Германия действительно хочет сохранить с СССР те отношения, о которых говорил рейхсканцлер и которые издавна существуют между военными ведомствами обеих стран, необходимо, чтобы правительство железной рукой немедленно положило конец всем этим эксцессам. У правительства есть для этого достаточно силы, надо лишь, чтобы было и достаточно желания. Если же правительство не вмешается и безобразия по отношению к СССР будут продолжаться, то я думаю, г. Гартман (Хартман.) понимает, что и его работа здесь будет сильно затруднена». Крестинский потребовал от Хартмана «немедленно через своего министра (В. фон Бломберг.) указать правительству на трудности создавшегося положения и создать в Германии благоприятный тыл для своей московской работы» (АВП РФ, ф. 082, оп. 16, п. 71, д. 1, л. 261-267.). При этом Крестинский намеренно обращался не к послу Дирксену, а к военному атташе с тем, чтобы его «заявление и предостережения были обязательно переданы в Берлин и по военной линии» (В ответ Хартман заявил, что «военное ведомство Германии, как один человек, стоит за сохранение дружеских отношений с СССР и что военный министр Бломберг в этом духе выступает на заседаниях правительства».). Другими словами, терпение в Москве было уже на пределе. И оно лопнуло. Спустя несколько дней, 8 апреля 1933 г. в Москву прибыл первый французский военный атташе полковник Мендрас, дружески принятый Ворошиловым, Егоровым и Литвиновым (В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Эррио.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12AD62B5" w14:textId="77777777" w:rsidR="00746843" w:rsidRPr="0044524F" w:rsidRDefault="00746843" w:rsidP="009654CF">
      <w:pPr>
        <w:spacing w:after="0" w:line="240" w:lineRule="auto"/>
        <w:jc w:val="both"/>
        <w:rPr>
          <w:rFonts w:ascii="Times New Roman" w:hAnsi="Times New Roman"/>
          <w:color w:val="000000" w:themeColor="text1"/>
          <w:sz w:val="16"/>
          <w:szCs w:val="16"/>
        </w:rPr>
      </w:pPr>
    </w:p>
    <w:p w14:paraId="20B06C42"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 апреля 1933 г. во всех германских посольствах в крупных государствах были учреждены должности военных атташе. Военным атташе Германии в Москве был назначен полковник О. Хартман, которого 3 апреля 1933 г. посол Дирксен представил первому заместителю наркома иностранных дел СССР Крестинскому.</w:t>
      </w:r>
    </w:p>
    <w:p w14:paraId="2B35E3CA"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Крестинский заявил военному атташе:</w:t>
      </w:r>
    </w:p>
    <w:p w14:paraId="4D707E9E"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«Тесное сотрудничество между рейхсвером и Красной Армией продолжается уже более 10 лет. Я был у колыбели этого сотрудничества, продолжаю все время ему содействовать и хорошо знаком со всеми этапами развития этого сотрудничества, со всеми моментами улучшения и ухудшения отношений, и я должен сказать &lt;…&gt;, что никогда эти отношения не осуществлялись в столь тяжелой общеполитической атмосфере, чем сегодня».</w:t>
      </w:r>
    </w:p>
    <w:p w14:paraId="6FB6631D"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Крестинский говорил о многочисленных случаях насилия над гражданами СССР, «чинимых в Германии национал-социалистическими штурмовиками, а во многих случаях и органами полиции». Он напомнил об инцидентах с обысками гамбургского и ляйпцигского отделений советского торгпредства, о повальных обысках приходивших в Гамбург советских судах, о «настоящем походе» против общества «Дероп» по продаже советских нефтяных продуктов, правление и отделения которого в Берлине, Кельне, Дрездене, Штуттгарте, Мюнхене и других городах Германии подвергались многочисленным налетам и обыскам, в ходе которых производились аресты сотрудников, в том числе советских граждан, «которые подвергались грубейшим насилиям и издевательствам, и в конце концов освобождались ввиду полной неосновательности их ареста». Налетам и разграблениям подвергались и пункты розничной продажи бензина, принадлежавшие «Деропу», причем в некоторых случаях бензин «забирался бесплатно приезжавшими на автомобилях штурмовиками, в других случаях бензин просто выпускался, были случаи порчи и разрушения бензоколонок Деропа». В этой связи Крестинский напомнил Хартману, что «отношения между двумя государствами не укладываются в ведомственные рамки. Не может быть такого положения, при котором между военным министерством Германии и Народным комиссариатом по военным делам в СССР существуют отношения дружбы и сотрудничества, а другие правительственные органы Германии проводят по отношению к СССР враждебную политику, выражающуюся в насилиях над нашими гражданами, в налетах на наши органы и других эксцессах».</w:t>
      </w:r>
    </w:p>
    <w:p w14:paraId="43054912"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Далее в довольно ультимативной форме Крестинский заявил:</w:t>
      </w:r>
    </w:p>
    <w:p w14:paraId="3CD102FE"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Германия действительно хочет сохранить с СССР те отношения, о которых говорил рейхсканцлер и которые издавна существуют между военными ведомствами обеих стран, необходимо, чтобы правительство железной рукой немедленно положило конец всем этим эксцессам. У правительства есть для этого достаточно силы, надо лишь, чтобы было и достаточно желания. Если же правительство не вмешается и безобразия по отношению к СССР будут продолжаться, то я думаю, г. Гартман понимает, что и его работа здесь будет сильно затруднена».</w:t>
      </w:r>
    </w:p>
    <w:p w14:paraId="396CA0BE" w14:textId="77777777" w:rsidR="00040C94" w:rsidRPr="0044524F" w:rsidRDefault="00040C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Крестинский потребовал от Хартмана «немедленно через своего министра указать правительству на трудности создавшегося положения и создать в Германии благоприятный тыл для своей московской работы». При этом Крестинский намеренно обращался не к послу Дирксену, а к военному атташе с тем, чтобы его «заявление и предостережения были обязательно переданы в Берлин и по военной линии» (18265).</w:t>
      </w:r>
    </w:p>
    <w:p w14:paraId="175F6408" w14:textId="77777777" w:rsidR="00040C94" w:rsidRPr="0044524F" w:rsidRDefault="00040C94" w:rsidP="009654CF">
      <w:pPr>
        <w:spacing w:after="0" w:line="240" w:lineRule="auto"/>
        <w:jc w:val="both"/>
        <w:rPr>
          <w:rFonts w:ascii="Times New Roman" w:hAnsi="Times New Roman"/>
          <w:color w:val="000000" w:themeColor="text1"/>
          <w:sz w:val="16"/>
          <w:szCs w:val="16"/>
        </w:rPr>
      </w:pPr>
    </w:p>
    <w:p w14:paraId="418D3390"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val="en-US"/>
        </w:rPr>
        <w:t>April</w:t>
      </w:r>
      <w:r w:rsidRPr="0044524F">
        <w:rPr>
          <w:rFonts w:ascii="Times New Roman" w:hAnsi="Times New Roman"/>
          <w:color w:val="000000" w:themeColor="text1"/>
          <w:sz w:val="16"/>
          <w:szCs w:val="16"/>
        </w:rPr>
        <w:t xml:space="preserve"> 1 1933 </w:t>
      </w:r>
      <w:r w:rsidRPr="0044524F">
        <w:rPr>
          <w:rFonts w:ascii="Times New Roman" w:hAnsi="Times New Roman"/>
          <w:color w:val="000000" w:themeColor="text1"/>
          <w:sz w:val="16"/>
          <w:szCs w:val="16"/>
          <w:lang w:val="en-US"/>
        </w:rPr>
        <w:t>NaziboycottofJewishownedshops</w:t>
      </w:r>
      <w:r w:rsidRPr="0044524F">
        <w:rPr>
          <w:rFonts w:ascii="Times New Roman" w:hAnsi="Times New Roman"/>
          <w:color w:val="000000" w:themeColor="text1"/>
          <w:sz w:val="16"/>
          <w:szCs w:val="16"/>
        </w:rPr>
        <w:t xml:space="preserve"> (1050).</w:t>
      </w:r>
    </w:p>
    <w:p w14:paraId="60FFFF0A" w14:textId="77777777" w:rsidR="004A63B5" w:rsidRPr="0044524F" w:rsidRDefault="004A63B5" w:rsidP="009654CF">
      <w:pPr>
        <w:spacing w:after="0" w:line="240" w:lineRule="auto"/>
        <w:jc w:val="both"/>
        <w:rPr>
          <w:rFonts w:ascii="Times New Roman" w:hAnsi="Times New Roman"/>
          <w:color w:val="000000" w:themeColor="text1"/>
          <w:sz w:val="16"/>
          <w:szCs w:val="16"/>
        </w:rPr>
      </w:pPr>
    </w:p>
    <w:p w14:paraId="57E819C5"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 нацисты ввели бойкот еврейских магазинов (1050).</w:t>
      </w:r>
    </w:p>
    <w:p w14:paraId="7E316D0F" w14:textId="77777777" w:rsidR="004A63B5" w:rsidRPr="0044524F" w:rsidRDefault="004A63B5" w:rsidP="009654CF">
      <w:pPr>
        <w:spacing w:after="0" w:line="240" w:lineRule="auto"/>
        <w:jc w:val="both"/>
        <w:rPr>
          <w:rFonts w:ascii="Times New Roman" w:hAnsi="Times New Roman"/>
          <w:color w:val="000000" w:themeColor="text1"/>
          <w:sz w:val="16"/>
          <w:szCs w:val="16"/>
        </w:rPr>
      </w:pPr>
    </w:p>
    <w:p w14:paraId="4931D820" w14:textId="77777777" w:rsidR="0093069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83D313F" w14:textId="77777777" w:rsidR="00930697" w:rsidRPr="0044524F" w:rsidRDefault="0093069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970DC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апреля 1933 ЦАГИ выставил ВВС свой вариант требований к ДИП (АНТ-29) и предлагали построить машину к 1 декабря 1933 (1454,23).</w:t>
      </w:r>
    </w:p>
    <w:p w14:paraId="03F7BD7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p w14:paraId="522B7C8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апреля 1933 был утвержден макет МК-1 6М-34РН (2310,143).</w:t>
      </w:r>
    </w:p>
    <w:p w14:paraId="6955372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p w14:paraId="42035766" w14:textId="77777777" w:rsidR="002C7BF8" w:rsidRPr="0044524F" w:rsidRDefault="002C7BF8" w:rsidP="009654CF">
      <w:pPr>
        <w:pStyle w:val="631"/>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 апреля 1933 года начальник и военком НИИ ВВС Г.А. Зильберт в письме №10бсс, направленном К.Е, Воро</w:t>
      </w:r>
      <w:r w:rsidRPr="0044524F">
        <w:rPr>
          <w:rFonts w:ascii="Times New Roman" w:hAnsi="Times New Roman" w:cs="Times New Roman"/>
          <w:color w:val="000000" w:themeColor="text1"/>
          <w:sz w:val="16"/>
          <w:szCs w:val="16"/>
        </w:rPr>
        <w:softHyphen/>
        <w:t>шилову писал, что автожир с мотором М-22 задерживается выпуском до июня 1933 года из-за задержек в производстве и частично в проектировании. Однако в начале июля общая готовность автожира военными оце</w:t>
      </w:r>
      <w:r w:rsidRPr="0044524F">
        <w:rPr>
          <w:rFonts w:ascii="Times New Roman" w:hAnsi="Times New Roman" w:cs="Times New Roman"/>
          <w:color w:val="000000" w:themeColor="text1"/>
          <w:sz w:val="16"/>
          <w:szCs w:val="16"/>
        </w:rPr>
        <w:softHyphen/>
        <w:t>нивалась лишь в 60%, а срок окончания работ ГУАП предлагало перенести на 1 октября, но и он затем был сорван. А-7 М-22 был закон</w:t>
      </w:r>
      <w:r w:rsidRPr="0044524F">
        <w:rPr>
          <w:rFonts w:ascii="Times New Roman" w:hAnsi="Times New Roman" w:cs="Times New Roman"/>
          <w:color w:val="000000" w:themeColor="text1"/>
          <w:sz w:val="16"/>
          <w:szCs w:val="16"/>
        </w:rPr>
        <w:softHyphen/>
        <w:t>чен постройкой и переведен на аэродром для заводских испытаний только 29 декабря 1933 года (19868).</w:t>
      </w:r>
    </w:p>
    <w:p w14:paraId="153CC0D2" w14:textId="77777777" w:rsidR="002C7BF8" w:rsidRPr="0044524F" w:rsidRDefault="002C7BF8" w:rsidP="009654CF">
      <w:pPr>
        <w:pStyle w:val="631"/>
        <w:shd w:val="clear" w:color="auto" w:fill="auto"/>
        <w:spacing w:line="240" w:lineRule="auto"/>
        <w:jc w:val="both"/>
        <w:rPr>
          <w:rFonts w:ascii="Times New Roman" w:hAnsi="Times New Roman" w:cs="Times New Roman"/>
          <w:color w:val="000000" w:themeColor="text1"/>
          <w:sz w:val="16"/>
          <w:szCs w:val="16"/>
        </w:rPr>
      </w:pPr>
    </w:p>
    <w:p w14:paraId="0531095E" w14:textId="77777777" w:rsidR="00930697" w:rsidRPr="0044524F" w:rsidRDefault="0093069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апреля 1933 г. На протоколе заседания Ко</w:t>
      </w:r>
      <w:r w:rsidRPr="0044524F">
        <w:rPr>
          <w:rFonts w:ascii="Times New Roman" w:hAnsi="Times New Roman"/>
          <w:color w:val="000000" w:themeColor="text1"/>
          <w:sz w:val="16"/>
          <w:szCs w:val="16"/>
        </w:rPr>
        <w:softHyphen/>
        <w:t>митета обороны сохранилась собственноручная ре</w:t>
      </w:r>
      <w:r w:rsidRPr="0044524F">
        <w:rPr>
          <w:rFonts w:ascii="Times New Roman" w:hAnsi="Times New Roman"/>
          <w:color w:val="000000" w:themeColor="text1"/>
          <w:sz w:val="16"/>
          <w:szCs w:val="16"/>
        </w:rPr>
        <w:softHyphen/>
        <w:t>золюция И.В. Сталина: «Заслушать доклад ГУАПа о производстве авиа</w:t>
      </w:r>
      <w:r w:rsidRPr="0044524F">
        <w:rPr>
          <w:rFonts w:ascii="Times New Roman" w:hAnsi="Times New Roman"/>
          <w:color w:val="000000" w:themeColor="text1"/>
          <w:sz w:val="16"/>
          <w:szCs w:val="16"/>
        </w:rPr>
        <w:softHyphen/>
        <w:t>ционных моторов на заводе № 24 на следующем заседании Комитета обороны». Видимо, доклад имел ме</w:t>
      </w:r>
      <w:r w:rsidRPr="0044524F">
        <w:rPr>
          <w:rFonts w:ascii="Times New Roman" w:hAnsi="Times New Roman"/>
          <w:color w:val="000000" w:themeColor="text1"/>
          <w:sz w:val="16"/>
          <w:szCs w:val="16"/>
        </w:rPr>
        <w:softHyphen/>
        <w:t>сто, и «слоны были розданы». Но отступать было некуда. До конца года завод собрал 790 двигателей. При этом ресурс до первой переборки действительно удалось поднять со 100 до 150 часов. Начавшаяся эксплуатация М-34 в строевых частях ВВС принесла длин</w:t>
      </w:r>
      <w:r w:rsidRPr="0044524F">
        <w:rPr>
          <w:rFonts w:ascii="Times New Roman" w:hAnsi="Times New Roman"/>
          <w:color w:val="000000" w:themeColor="text1"/>
          <w:sz w:val="16"/>
          <w:szCs w:val="16"/>
        </w:rPr>
        <w:softHyphen/>
        <w:t>ные списки претензий. В рапортах значатся: трещины и раковины во вкладышах, их пористость, плохая ковка коленчатых валов, выпадение седел клапанов, трещины головок блока и многое другое. Плохие коль</w:t>
      </w:r>
      <w:r w:rsidRPr="0044524F">
        <w:rPr>
          <w:rFonts w:ascii="Times New Roman" w:hAnsi="Times New Roman"/>
          <w:color w:val="000000" w:themeColor="text1"/>
          <w:sz w:val="16"/>
          <w:szCs w:val="16"/>
        </w:rPr>
        <w:softHyphen/>
        <w:t>ца вели к перерасходу масла. При ремонте столкнулись с невзаимоза</w:t>
      </w:r>
      <w:r w:rsidRPr="0044524F">
        <w:rPr>
          <w:rFonts w:ascii="Times New Roman" w:hAnsi="Times New Roman"/>
          <w:color w:val="000000" w:themeColor="text1"/>
          <w:sz w:val="16"/>
          <w:szCs w:val="16"/>
        </w:rPr>
        <w:softHyphen/>
        <w:t>меняемостью шатунов. По планам М-34 должен был стать основой для целого семейства моторов разной мощности и различ</w:t>
      </w:r>
      <w:r w:rsidRPr="0044524F">
        <w:rPr>
          <w:rFonts w:ascii="Times New Roman" w:hAnsi="Times New Roman"/>
          <w:color w:val="000000" w:themeColor="text1"/>
          <w:sz w:val="16"/>
          <w:szCs w:val="16"/>
        </w:rPr>
        <w:softHyphen/>
        <w:t>ных компоновочных схем. Готовили однорядный, двухвальный, перевер</w:t>
      </w:r>
      <w:r w:rsidRPr="0044524F">
        <w:rPr>
          <w:rFonts w:ascii="Times New Roman" w:hAnsi="Times New Roman"/>
          <w:color w:val="000000" w:themeColor="text1"/>
          <w:sz w:val="16"/>
          <w:szCs w:val="16"/>
        </w:rPr>
        <w:softHyphen/>
        <w:t>нутый двигатели с использованием узлов М-34. Еще в НАМИ параллель</w:t>
      </w:r>
      <w:r w:rsidRPr="0044524F">
        <w:rPr>
          <w:rFonts w:ascii="Times New Roman" w:hAnsi="Times New Roman"/>
          <w:color w:val="000000" w:themeColor="text1"/>
          <w:sz w:val="16"/>
          <w:szCs w:val="16"/>
        </w:rPr>
        <w:softHyphen/>
        <w:t>но с 12-цилиндровым М-34 проекти</w:t>
      </w:r>
      <w:r w:rsidRPr="0044524F">
        <w:rPr>
          <w:rFonts w:ascii="Times New Roman" w:hAnsi="Times New Roman"/>
          <w:color w:val="000000" w:themeColor="text1"/>
          <w:sz w:val="16"/>
          <w:szCs w:val="16"/>
        </w:rPr>
        <w:softHyphen/>
        <w:t>ровали однорядный 6-цилиндровый безредукторный М-33 и М-ЗЗР с редуктором. Заказчиком их считался гражданский воздушный флот. В ИАМ в 1931-32 годах резуль</w:t>
      </w:r>
      <w:r w:rsidRPr="0044524F">
        <w:rPr>
          <w:rFonts w:ascii="Times New Roman" w:hAnsi="Times New Roman"/>
          <w:color w:val="000000" w:themeColor="text1"/>
          <w:sz w:val="16"/>
          <w:szCs w:val="16"/>
        </w:rPr>
        <w:softHyphen/>
        <w:t>таты этой работы использовали при создании мотора М-52 максималь</w:t>
      </w:r>
      <w:r w:rsidRPr="0044524F">
        <w:rPr>
          <w:rFonts w:ascii="Times New Roman" w:hAnsi="Times New Roman"/>
          <w:color w:val="000000" w:themeColor="text1"/>
          <w:sz w:val="16"/>
          <w:szCs w:val="16"/>
        </w:rPr>
        <w:softHyphen/>
        <w:t>ной мощностью 450 л.с. (номиналь</w:t>
      </w:r>
      <w:r w:rsidRPr="0044524F">
        <w:rPr>
          <w:rFonts w:ascii="Times New Roman" w:hAnsi="Times New Roman"/>
          <w:color w:val="000000" w:themeColor="text1"/>
          <w:sz w:val="16"/>
          <w:szCs w:val="16"/>
        </w:rPr>
        <w:softHyphen/>
        <w:t>ная - 350 л.с.). Блок полностью взя</w:t>
      </w:r>
      <w:r w:rsidRPr="0044524F">
        <w:rPr>
          <w:rFonts w:ascii="Times New Roman" w:hAnsi="Times New Roman"/>
          <w:color w:val="000000" w:themeColor="text1"/>
          <w:sz w:val="16"/>
          <w:szCs w:val="16"/>
        </w:rPr>
        <w:softHyphen/>
        <w:t>ли от М-34, остальные детали и узлы постарались максимально с ним уни</w:t>
      </w:r>
      <w:r w:rsidRPr="0044524F">
        <w:rPr>
          <w:rFonts w:ascii="Times New Roman" w:hAnsi="Times New Roman"/>
          <w:color w:val="000000" w:themeColor="text1"/>
          <w:sz w:val="16"/>
          <w:szCs w:val="16"/>
        </w:rPr>
        <w:softHyphen/>
        <w:t>фицировать. Государственные испытания М-52 планировались на ок</w:t>
      </w:r>
      <w:r w:rsidRPr="0044524F">
        <w:rPr>
          <w:rFonts w:ascii="Times New Roman" w:hAnsi="Times New Roman"/>
          <w:color w:val="000000" w:themeColor="text1"/>
          <w:sz w:val="16"/>
          <w:szCs w:val="16"/>
        </w:rPr>
        <w:softHyphen/>
        <w:t>тябрь 1932 г., но в срок не уложи</w:t>
      </w:r>
      <w:r w:rsidRPr="0044524F">
        <w:rPr>
          <w:rFonts w:ascii="Times New Roman" w:hAnsi="Times New Roman"/>
          <w:color w:val="000000" w:themeColor="text1"/>
          <w:sz w:val="16"/>
          <w:szCs w:val="16"/>
        </w:rPr>
        <w:softHyphen/>
        <w:t>лись - первый опытный образец по</w:t>
      </w:r>
      <w:r w:rsidRPr="0044524F">
        <w:rPr>
          <w:rFonts w:ascii="Times New Roman" w:hAnsi="Times New Roman"/>
          <w:color w:val="000000" w:themeColor="text1"/>
          <w:sz w:val="16"/>
          <w:szCs w:val="16"/>
        </w:rPr>
        <w:softHyphen/>
        <w:t>ставили на станок в начале ноября, получив 480 л.с. Но проработал мотор недолго. После разрушения нижнего картера спроектировали новый его вариант, менее унифици</w:t>
      </w:r>
      <w:r w:rsidRPr="0044524F">
        <w:rPr>
          <w:rFonts w:ascii="Times New Roman" w:hAnsi="Times New Roman"/>
          <w:color w:val="000000" w:themeColor="text1"/>
          <w:sz w:val="16"/>
          <w:szCs w:val="16"/>
        </w:rPr>
        <w:softHyphen/>
        <w:t>рованный с М-34, облегченный и с отъемным носком. Изменения внесли также в коленчатый вал. Эскизно прорабатывался высотный вариант М-52 с дополнительным кислородным питанием. Тем временем испытания продолжили, но вскоре УВВС поте</w:t>
      </w:r>
      <w:r w:rsidRPr="0044524F">
        <w:rPr>
          <w:rFonts w:ascii="Times New Roman" w:hAnsi="Times New Roman"/>
          <w:color w:val="000000" w:themeColor="text1"/>
          <w:sz w:val="16"/>
          <w:szCs w:val="16"/>
        </w:rPr>
        <w:softHyphen/>
        <w:t>ряло интерес к М-52 и тему закрыли. Блоки от М-34 использовали так</w:t>
      </w:r>
      <w:r w:rsidRPr="0044524F">
        <w:rPr>
          <w:rFonts w:ascii="Times New Roman" w:hAnsi="Times New Roman"/>
          <w:color w:val="000000" w:themeColor="text1"/>
          <w:sz w:val="16"/>
          <w:szCs w:val="16"/>
        </w:rPr>
        <w:softHyphen/>
        <w:t>же в двух из трех спроектированных вариантов мощного двигателя М-35. Один был 18-цилиндровым УУ-образ-ным (три блока, стоящие через 80° друг от друга), другой - 24-цилиндровым Х-образным (четыре блока). М-55 представлял собой перевер</w:t>
      </w:r>
      <w:r w:rsidRPr="0044524F">
        <w:rPr>
          <w:rFonts w:ascii="Times New Roman" w:hAnsi="Times New Roman"/>
          <w:color w:val="000000" w:themeColor="text1"/>
          <w:sz w:val="16"/>
          <w:szCs w:val="16"/>
        </w:rPr>
        <w:softHyphen/>
        <w:t>нутый (головками вниз) вариант М-34. Проведение его заводских испыта</w:t>
      </w:r>
      <w:r w:rsidRPr="0044524F">
        <w:rPr>
          <w:rFonts w:ascii="Times New Roman" w:hAnsi="Times New Roman"/>
          <w:color w:val="000000" w:themeColor="text1"/>
          <w:sz w:val="16"/>
          <w:szCs w:val="16"/>
        </w:rPr>
        <w:softHyphen/>
        <w:t>ний планировалось на август-октябрь 1933 г. Но работу по нему прекра</w:t>
      </w:r>
      <w:r w:rsidRPr="0044524F">
        <w:rPr>
          <w:rFonts w:ascii="Times New Roman" w:hAnsi="Times New Roman"/>
          <w:color w:val="000000" w:themeColor="text1"/>
          <w:sz w:val="16"/>
          <w:szCs w:val="16"/>
        </w:rPr>
        <w:softHyphen/>
        <w:t>тили в 1932 г., поскольку сочли, что эта схема не даст существенных пре</w:t>
      </w:r>
      <w:r w:rsidRPr="0044524F">
        <w:rPr>
          <w:rFonts w:ascii="Times New Roman" w:hAnsi="Times New Roman"/>
          <w:color w:val="000000" w:themeColor="text1"/>
          <w:sz w:val="16"/>
          <w:szCs w:val="16"/>
        </w:rPr>
        <w:softHyphen/>
        <w:t>имуществ. Опытные образцы М-55 не изготовлялись. Все эти боковые ответвления эво</w:t>
      </w:r>
      <w:r w:rsidRPr="0044524F">
        <w:rPr>
          <w:rFonts w:ascii="Times New Roman" w:hAnsi="Times New Roman"/>
          <w:color w:val="000000" w:themeColor="text1"/>
          <w:sz w:val="16"/>
          <w:szCs w:val="16"/>
        </w:rPr>
        <w:softHyphen/>
        <w:t>люции двигателя оказались бесплод</w:t>
      </w:r>
      <w:r w:rsidRPr="0044524F">
        <w:rPr>
          <w:rFonts w:ascii="Times New Roman" w:hAnsi="Times New Roman"/>
          <w:color w:val="000000" w:themeColor="text1"/>
          <w:sz w:val="16"/>
          <w:szCs w:val="16"/>
        </w:rPr>
        <w:softHyphen/>
        <w:t>ными. Зато сам М-34 постоянно со</w:t>
      </w:r>
      <w:r w:rsidRPr="0044524F">
        <w:rPr>
          <w:rFonts w:ascii="Times New Roman" w:hAnsi="Times New Roman"/>
          <w:color w:val="000000" w:themeColor="text1"/>
          <w:sz w:val="16"/>
          <w:szCs w:val="16"/>
        </w:rPr>
        <w:softHyphen/>
        <w:t>вершенствовался. Первым его вари</w:t>
      </w:r>
      <w:r w:rsidRPr="0044524F">
        <w:rPr>
          <w:rFonts w:ascii="Times New Roman" w:hAnsi="Times New Roman"/>
          <w:color w:val="000000" w:themeColor="text1"/>
          <w:sz w:val="16"/>
          <w:szCs w:val="16"/>
        </w:rPr>
        <w:softHyphen/>
        <w:t>антом стал М-34Ф, выпущенный ма</w:t>
      </w:r>
      <w:r w:rsidRPr="0044524F">
        <w:rPr>
          <w:rFonts w:ascii="Times New Roman" w:hAnsi="Times New Roman"/>
          <w:color w:val="000000" w:themeColor="text1"/>
          <w:sz w:val="16"/>
          <w:szCs w:val="16"/>
        </w:rPr>
        <w:softHyphen/>
        <w:t>лой серией в июне 1933 г. Мотор форсировали по оборотам без вне</w:t>
      </w:r>
      <w:r w:rsidRPr="0044524F">
        <w:rPr>
          <w:rFonts w:ascii="Times New Roman" w:hAnsi="Times New Roman"/>
          <w:color w:val="000000" w:themeColor="text1"/>
          <w:sz w:val="16"/>
          <w:szCs w:val="16"/>
        </w:rPr>
        <w:softHyphen/>
        <w:t>сения существенных конструктивных изменений только за счет регулиров</w:t>
      </w:r>
      <w:r w:rsidRPr="0044524F">
        <w:rPr>
          <w:rFonts w:ascii="Times New Roman" w:hAnsi="Times New Roman"/>
          <w:color w:val="000000" w:themeColor="text1"/>
          <w:sz w:val="16"/>
          <w:szCs w:val="16"/>
        </w:rPr>
        <w:softHyphen/>
        <w:t>ки, получив на максимальных обо</w:t>
      </w:r>
      <w:r w:rsidRPr="0044524F">
        <w:rPr>
          <w:rFonts w:ascii="Times New Roman" w:hAnsi="Times New Roman"/>
          <w:color w:val="000000" w:themeColor="text1"/>
          <w:sz w:val="16"/>
          <w:szCs w:val="16"/>
        </w:rPr>
        <w:softHyphen/>
        <w:t>ротах 830 л.с. В плане УВВС стоял и форсированный до 900 л.с. вариант М-34, именовавшийся М-54. Но он существовал, только в строчках до</w:t>
      </w:r>
      <w:r w:rsidRPr="0044524F">
        <w:rPr>
          <w:rFonts w:ascii="Times New Roman" w:hAnsi="Times New Roman"/>
          <w:color w:val="000000" w:themeColor="text1"/>
          <w:sz w:val="16"/>
          <w:szCs w:val="16"/>
        </w:rPr>
        <w:softHyphen/>
        <w:t>кументов, также как имевший такую же мощность М-34ФРНУ. К более позднему типу ФРН он никакого от</w:t>
      </w:r>
      <w:r w:rsidRPr="0044524F">
        <w:rPr>
          <w:rFonts w:ascii="Times New Roman" w:hAnsi="Times New Roman"/>
          <w:color w:val="000000" w:themeColor="text1"/>
          <w:sz w:val="16"/>
          <w:szCs w:val="16"/>
        </w:rPr>
        <w:softHyphen/>
        <w:t>ношения не имел - предусматрива</w:t>
      </w:r>
      <w:r w:rsidRPr="0044524F">
        <w:rPr>
          <w:rFonts w:ascii="Times New Roman" w:hAnsi="Times New Roman"/>
          <w:color w:val="000000" w:themeColor="text1"/>
          <w:sz w:val="16"/>
          <w:szCs w:val="16"/>
        </w:rPr>
        <w:softHyphen/>
        <w:t>лось, что это будет развитие М-34Ф с редуктором, выключаемым нагне</w:t>
      </w:r>
      <w:r w:rsidRPr="0044524F">
        <w:rPr>
          <w:rFonts w:ascii="Times New Roman" w:hAnsi="Times New Roman"/>
          <w:color w:val="000000" w:themeColor="text1"/>
          <w:sz w:val="16"/>
          <w:szCs w:val="16"/>
        </w:rPr>
        <w:softHyphen/>
        <w:t>тателем и удлиненным валом. Фактически только один серийный самолет оснащался М-34 - тяжелый бомбардировщик ТБ-3. Хлопот с этим было много: пришлось менять мото</w:t>
      </w:r>
      <w:r w:rsidRPr="0044524F">
        <w:rPr>
          <w:rFonts w:ascii="Times New Roman" w:hAnsi="Times New Roman"/>
          <w:color w:val="000000" w:themeColor="text1"/>
          <w:sz w:val="16"/>
          <w:szCs w:val="16"/>
        </w:rPr>
        <w:softHyphen/>
        <w:t>рамы, радиаторы и многое другое. А результат оказался почти нулевым. Практически весь прирост мощнос</w:t>
      </w:r>
      <w:r w:rsidRPr="0044524F">
        <w:rPr>
          <w:rFonts w:ascii="Times New Roman" w:hAnsi="Times New Roman"/>
          <w:color w:val="000000" w:themeColor="text1"/>
          <w:sz w:val="16"/>
          <w:szCs w:val="16"/>
        </w:rPr>
        <w:softHyphen/>
        <w:t>ти «съел» увеличившийся вес мото</w:t>
      </w:r>
      <w:r w:rsidRPr="0044524F">
        <w:rPr>
          <w:rFonts w:ascii="Times New Roman" w:hAnsi="Times New Roman"/>
          <w:color w:val="000000" w:themeColor="text1"/>
          <w:sz w:val="16"/>
          <w:szCs w:val="16"/>
        </w:rPr>
        <w:softHyphen/>
        <w:t>установки. УВВС потребовало установить на М-34 редуктор. Он должен был по</w:t>
      </w:r>
      <w:r w:rsidRPr="0044524F">
        <w:rPr>
          <w:rFonts w:ascii="Times New Roman" w:hAnsi="Times New Roman"/>
          <w:color w:val="000000" w:themeColor="text1"/>
          <w:sz w:val="16"/>
          <w:szCs w:val="16"/>
        </w:rPr>
        <w:softHyphen/>
        <w:t>высить эффективность работы про</w:t>
      </w:r>
      <w:r w:rsidRPr="0044524F">
        <w:rPr>
          <w:rFonts w:ascii="Times New Roman" w:hAnsi="Times New Roman"/>
          <w:color w:val="000000" w:themeColor="text1"/>
          <w:sz w:val="16"/>
          <w:szCs w:val="16"/>
        </w:rPr>
        <w:softHyphen/>
        <w:t>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w:t>
      </w:r>
      <w:r w:rsidRPr="0044524F">
        <w:rPr>
          <w:rFonts w:ascii="Times New Roman" w:hAnsi="Times New Roman"/>
          <w:color w:val="000000" w:themeColor="text1"/>
          <w:sz w:val="16"/>
          <w:szCs w:val="16"/>
        </w:rPr>
        <w:softHyphen/>
        <w:t>нял вес двигателя примерно на 70 кг. Как отметили специалисты НИИ ВВС, это было примерно в полтора раза больше, чем у иностранных конст</w:t>
      </w:r>
      <w:r w:rsidRPr="0044524F">
        <w:rPr>
          <w:rFonts w:ascii="Times New Roman" w:hAnsi="Times New Roman"/>
          <w:color w:val="000000" w:themeColor="text1"/>
          <w:sz w:val="16"/>
          <w:szCs w:val="16"/>
        </w:rPr>
        <w:softHyphen/>
        <w:t>рукций с той же мощностью. Первый опытный образец М-34Р завершили 6 ноября 1932 г.; всего их сделали семь. Полгода продолжались завод</w:t>
      </w:r>
      <w:r w:rsidRPr="0044524F">
        <w:rPr>
          <w:rFonts w:ascii="Times New Roman" w:hAnsi="Times New Roman"/>
          <w:color w:val="000000" w:themeColor="text1"/>
          <w:sz w:val="16"/>
          <w:szCs w:val="16"/>
        </w:rPr>
        <w:softHyphen/>
        <w:t>ские испытания и доводка, а в апре</w:t>
      </w:r>
      <w:r w:rsidRPr="0044524F">
        <w:rPr>
          <w:rFonts w:ascii="Times New Roman" w:hAnsi="Times New Roman"/>
          <w:color w:val="000000" w:themeColor="text1"/>
          <w:sz w:val="16"/>
          <w:szCs w:val="16"/>
        </w:rPr>
        <w:softHyphen/>
        <w:t>ле-мае 1933 г. прошли государствен</w:t>
      </w:r>
      <w:r w:rsidRPr="0044524F">
        <w:rPr>
          <w:rFonts w:ascii="Times New Roman" w:hAnsi="Times New Roman"/>
          <w:color w:val="000000" w:themeColor="text1"/>
          <w:sz w:val="16"/>
          <w:szCs w:val="16"/>
        </w:rPr>
        <w:softHyphen/>
        <w:t xml:space="preserve">ные испытания на стенде. Один из двух участвовавших в них двигателей </w:t>
      </w:r>
      <w:r w:rsidRPr="0044524F">
        <w:rPr>
          <w:rFonts w:ascii="Times New Roman" w:hAnsi="Times New Roman"/>
          <w:color w:val="000000" w:themeColor="text1"/>
          <w:sz w:val="16"/>
          <w:szCs w:val="16"/>
        </w:rPr>
        <w:lastRenderedPageBreak/>
        <w:t>сломался (полетела вертикальная передача к распределительному валу). Но правила испытаний разре</w:t>
      </w:r>
      <w:r w:rsidRPr="0044524F">
        <w:rPr>
          <w:rFonts w:ascii="Times New Roman" w:hAnsi="Times New Roman"/>
          <w:color w:val="000000" w:themeColor="text1"/>
          <w:sz w:val="16"/>
          <w:szCs w:val="16"/>
        </w:rPr>
        <w:softHyphen/>
        <w:t>шали замену и вторую попытку. В итоге — «удовлетворительно» (11848).</w:t>
      </w:r>
    </w:p>
    <w:p w14:paraId="454111D9" w14:textId="77777777" w:rsidR="00930697" w:rsidRPr="0044524F" w:rsidRDefault="00930697"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C567C3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апреля 1933 года начальник и военком НИИ ВВС Зильберт писал письмо N 106сс Ворошилову.</w:t>
      </w:r>
    </w:p>
    <w:p w14:paraId="4CE8F1C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о состоянии работ по опытному моторо- и самолетостроению на 1 апреля 1933 года</w:t>
      </w:r>
    </w:p>
    <w:p w14:paraId="1F90FD7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моторам</w:t>
      </w:r>
    </w:p>
    <w:p w14:paraId="1857CC31"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ФЭД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528"/>
      </w:tblGrid>
      <w:tr w:rsidR="004E10C1" w:rsidRPr="0044524F" w14:paraId="276BCC3A" w14:textId="77777777">
        <w:tc>
          <w:tcPr>
            <w:tcW w:w="5070" w:type="dxa"/>
          </w:tcPr>
          <w:p w14:paraId="7B413C1A"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10ABBC84"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ОКБ</w:t>
            </w:r>
          </w:p>
        </w:tc>
      </w:tr>
      <w:tr w:rsidR="004E10C1" w:rsidRPr="0044524F" w14:paraId="29D41DCD" w14:textId="77777777">
        <w:tc>
          <w:tcPr>
            <w:tcW w:w="5070" w:type="dxa"/>
          </w:tcPr>
          <w:p w14:paraId="6D86905A"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5E5CD13E"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24053C14" w14:textId="77777777">
        <w:tc>
          <w:tcPr>
            <w:tcW w:w="5070" w:type="dxa"/>
          </w:tcPr>
          <w:p w14:paraId="498818FD"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053381BF"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1100-1200</w:t>
            </w:r>
          </w:p>
        </w:tc>
      </w:tr>
      <w:tr w:rsidR="004E10C1" w:rsidRPr="0044524F" w14:paraId="0069E3F9" w14:textId="77777777">
        <w:tc>
          <w:tcPr>
            <w:tcW w:w="5070" w:type="dxa"/>
          </w:tcPr>
          <w:p w14:paraId="77DE8DE0"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2FF5B693"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r>
      <w:tr w:rsidR="004E10C1" w:rsidRPr="0044524F" w14:paraId="3F3FAC77" w14:textId="77777777">
        <w:tc>
          <w:tcPr>
            <w:tcW w:w="5070" w:type="dxa"/>
          </w:tcPr>
          <w:p w14:paraId="795B6E44"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43A22A5B"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3CC9436" w14:textId="77777777">
        <w:tc>
          <w:tcPr>
            <w:tcW w:w="5070" w:type="dxa"/>
          </w:tcPr>
          <w:p w14:paraId="08C82F0B"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528" w:type="dxa"/>
          </w:tcPr>
          <w:p w14:paraId="02C17C5C"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r>
      <w:tr w:rsidR="004E10C1" w:rsidRPr="0044524F" w14:paraId="57275F02" w14:textId="77777777">
        <w:tc>
          <w:tcPr>
            <w:tcW w:w="5070" w:type="dxa"/>
          </w:tcPr>
          <w:p w14:paraId="6A5EBDB3"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4FA063F4"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1932 года</w:t>
            </w:r>
          </w:p>
        </w:tc>
      </w:tr>
      <w:tr w:rsidR="004E10C1" w:rsidRPr="0044524F" w14:paraId="7DA4E44F" w14:textId="77777777">
        <w:tc>
          <w:tcPr>
            <w:tcW w:w="5070" w:type="dxa"/>
          </w:tcPr>
          <w:p w14:paraId="1C74A1A0"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41693F0E"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bl>
    <w:p w14:paraId="39D79DF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p w14:paraId="1FD2E81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p w14:paraId="791F77E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не производятся из-за отсутствия производственной базы.</w:t>
      </w:r>
    </w:p>
    <w:p w14:paraId="4747AAD1"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4524F" w14:paraId="3CCE7DCA" w14:textId="77777777">
        <w:tc>
          <w:tcPr>
            <w:tcW w:w="5070" w:type="dxa"/>
          </w:tcPr>
          <w:p w14:paraId="2370DBEF"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3BB228A8"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2BA9CFBA" w14:textId="77777777">
        <w:tc>
          <w:tcPr>
            <w:tcW w:w="5070" w:type="dxa"/>
          </w:tcPr>
          <w:p w14:paraId="58BC702B"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50280DE4"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3F7408CF" w14:textId="77777777">
        <w:tc>
          <w:tcPr>
            <w:tcW w:w="5070" w:type="dxa"/>
          </w:tcPr>
          <w:p w14:paraId="2C92DBA0"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190066CA"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r>
      <w:tr w:rsidR="004E10C1" w:rsidRPr="0044524F" w14:paraId="05E1632C" w14:textId="77777777">
        <w:tc>
          <w:tcPr>
            <w:tcW w:w="5070" w:type="dxa"/>
          </w:tcPr>
          <w:p w14:paraId="6182B43B"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6E491CC3"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60AECB87" w14:textId="77777777">
        <w:tc>
          <w:tcPr>
            <w:tcW w:w="5070" w:type="dxa"/>
          </w:tcPr>
          <w:p w14:paraId="32A64C0D"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30C069FD"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w:t>
            </w:r>
          </w:p>
        </w:tc>
      </w:tr>
      <w:tr w:rsidR="004E10C1" w:rsidRPr="0044524F" w14:paraId="2F6B9846" w14:textId="77777777">
        <w:tc>
          <w:tcPr>
            <w:tcW w:w="5070" w:type="dxa"/>
          </w:tcPr>
          <w:p w14:paraId="2CC2D1DC"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48F9BA44"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r w:rsidR="004E10C1" w:rsidRPr="0044524F" w14:paraId="242706C2" w14:textId="77777777">
        <w:tc>
          <w:tcPr>
            <w:tcW w:w="5070" w:type="dxa"/>
          </w:tcPr>
          <w:p w14:paraId="4DBD798A"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78EC813D"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B64E2E8" w14:textId="77777777">
        <w:tc>
          <w:tcPr>
            <w:tcW w:w="5070" w:type="dxa"/>
          </w:tcPr>
          <w:p w14:paraId="083B1539"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5DA9EFE4"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 1932 года</w:t>
            </w:r>
          </w:p>
        </w:tc>
      </w:tr>
      <w:tr w:rsidR="004E10C1" w:rsidRPr="0044524F" w14:paraId="1C4B085C" w14:textId="77777777">
        <w:tc>
          <w:tcPr>
            <w:tcW w:w="5070" w:type="dxa"/>
          </w:tcPr>
          <w:p w14:paraId="4861B965"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68122CBC"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5E69F1C" w14:textId="77777777">
        <w:tc>
          <w:tcPr>
            <w:tcW w:w="5070" w:type="dxa"/>
          </w:tcPr>
          <w:p w14:paraId="058C5FA8"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753E6647" w14:textId="77777777" w:rsidR="00930697" w:rsidRPr="0044524F" w:rsidRDefault="00930697" w:rsidP="009654CF">
            <w:pPr>
              <w:pBdr>
                <w:between w:val="single" w:sz="6" w:space="1" w:color="auto"/>
              </w:pBd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года</w:t>
            </w:r>
          </w:p>
        </w:tc>
      </w:tr>
    </w:tbl>
    <w:p w14:paraId="2B72F5F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включающемуся нагнетателю затягиваются, т.к. ЦИАМ с ним не справился. Строится невыключащийся нагнетатель с высот. 3500 м, который станет на лаборат. испытания к 1 мая. Работы по включающемуся нагнетателю продолжаются.</w:t>
      </w:r>
    </w:p>
    <w:p w14:paraId="7453349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 (с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4524F" w14:paraId="6E410CF7" w14:textId="77777777">
        <w:tc>
          <w:tcPr>
            <w:tcW w:w="5070" w:type="dxa"/>
          </w:tcPr>
          <w:p w14:paraId="3715443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45E7F22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54EDA46E" w14:textId="77777777">
        <w:tc>
          <w:tcPr>
            <w:tcW w:w="5070" w:type="dxa"/>
          </w:tcPr>
          <w:p w14:paraId="509B614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73EFE33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18EAD4F4" w14:textId="77777777">
        <w:tc>
          <w:tcPr>
            <w:tcW w:w="5070" w:type="dxa"/>
          </w:tcPr>
          <w:p w14:paraId="3BC9E0C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4AC23EA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r>
      <w:tr w:rsidR="004E10C1" w:rsidRPr="0044524F" w14:paraId="05629705" w14:textId="77777777">
        <w:tc>
          <w:tcPr>
            <w:tcW w:w="5070" w:type="dxa"/>
          </w:tcPr>
          <w:p w14:paraId="03F85C4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69F8B5C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15050E9D" w14:textId="77777777">
        <w:tc>
          <w:tcPr>
            <w:tcW w:w="5070" w:type="dxa"/>
          </w:tcPr>
          <w:p w14:paraId="32485AB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1CCD8F7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814E6FC" w14:textId="77777777">
        <w:tc>
          <w:tcPr>
            <w:tcW w:w="5070" w:type="dxa"/>
          </w:tcPr>
          <w:p w14:paraId="7E0E5CB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08080E2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C2F9C3C" w14:textId="77777777">
        <w:tc>
          <w:tcPr>
            <w:tcW w:w="5070" w:type="dxa"/>
          </w:tcPr>
          <w:p w14:paraId="14EE17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0CF849B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1C00004" w14:textId="77777777">
        <w:tc>
          <w:tcPr>
            <w:tcW w:w="5070" w:type="dxa"/>
          </w:tcPr>
          <w:p w14:paraId="3989859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6BD6928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1932 года</w:t>
            </w:r>
          </w:p>
        </w:tc>
      </w:tr>
      <w:tr w:rsidR="004E10C1" w:rsidRPr="0044524F" w14:paraId="42C9BC5E" w14:textId="77777777">
        <w:tc>
          <w:tcPr>
            <w:tcW w:w="5070" w:type="dxa"/>
          </w:tcPr>
          <w:p w14:paraId="5DCD4B2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27C81B3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718AF95" w14:textId="77777777">
        <w:tc>
          <w:tcPr>
            <w:tcW w:w="5070" w:type="dxa"/>
          </w:tcPr>
          <w:p w14:paraId="504C276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148FAE2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марта</w:t>
            </w:r>
          </w:p>
        </w:tc>
      </w:tr>
    </w:tbl>
    <w:p w14:paraId="3914E7C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прошел 100 часов. заводские испытания. Показал: номинальная мощность - 800 л.с., вес 675 кг. 25 марта предъявлен на гос. испытания. Производится сборка мотора для установки на станок.</w:t>
      </w:r>
    </w:p>
    <w:p w14:paraId="720CB8C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4524F" w14:paraId="58604A40" w14:textId="77777777">
        <w:tc>
          <w:tcPr>
            <w:tcW w:w="5070" w:type="dxa"/>
          </w:tcPr>
          <w:p w14:paraId="6D196AF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0329098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13480FCA" w14:textId="77777777">
        <w:tc>
          <w:tcPr>
            <w:tcW w:w="5070" w:type="dxa"/>
          </w:tcPr>
          <w:p w14:paraId="010D65E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7A0B019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2420C227" w14:textId="77777777">
        <w:tc>
          <w:tcPr>
            <w:tcW w:w="5070" w:type="dxa"/>
          </w:tcPr>
          <w:p w14:paraId="4E927DF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64F8494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r>
      <w:tr w:rsidR="004E10C1" w:rsidRPr="0044524F" w14:paraId="3E529F09" w14:textId="77777777">
        <w:tc>
          <w:tcPr>
            <w:tcW w:w="5070" w:type="dxa"/>
          </w:tcPr>
          <w:p w14:paraId="17C507F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7CCF789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625</w:t>
            </w:r>
          </w:p>
        </w:tc>
      </w:tr>
      <w:tr w:rsidR="004E10C1" w:rsidRPr="0044524F" w14:paraId="0E6F74DD" w14:textId="77777777">
        <w:tc>
          <w:tcPr>
            <w:tcW w:w="5070" w:type="dxa"/>
          </w:tcPr>
          <w:p w14:paraId="02ABF61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1A0D61D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0C4595C" w14:textId="77777777">
        <w:tc>
          <w:tcPr>
            <w:tcW w:w="5070" w:type="dxa"/>
          </w:tcPr>
          <w:p w14:paraId="64E3012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73AFF7D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687CD233" w14:textId="77777777">
        <w:tc>
          <w:tcPr>
            <w:tcW w:w="5070" w:type="dxa"/>
          </w:tcPr>
          <w:p w14:paraId="47A4FF4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1FE327D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D7D903D" w14:textId="77777777">
        <w:tc>
          <w:tcPr>
            <w:tcW w:w="5070" w:type="dxa"/>
          </w:tcPr>
          <w:p w14:paraId="1798DFF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5ED507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1932 года</w:t>
            </w:r>
          </w:p>
        </w:tc>
      </w:tr>
      <w:tr w:rsidR="004E10C1" w:rsidRPr="0044524F" w14:paraId="0CAACF8F" w14:textId="77777777">
        <w:tc>
          <w:tcPr>
            <w:tcW w:w="5070" w:type="dxa"/>
          </w:tcPr>
          <w:p w14:paraId="4513454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0F56B6A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32CD9DC" w14:textId="77777777">
        <w:tc>
          <w:tcPr>
            <w:tcW w:w="5070" w:type="dxa"/>
          </w:tcPr>
          <w:p w14:paraId="0FE96A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089765E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- 1 декабря 1933 года</w:t>
            </w:r>
          </w:p>
        </w:tc>
      </w:tr>
    </w:tbl>
    <w:p w14:paraId="5AAE945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разрешения вопроса с нагнетателем к М34, работы по компоновке М-34 РН вестись не будут.</w:t>
      </w:r>
    </w:p>
    <w:p w14:paraId="767D385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 (с электрокартером)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4524F" w14:paraId="1156D3FF" w14:textId="77777777">
        <w:tc>
          <w:tcPr>
            <w:tcW w:w="5070" w:type="dxa"/>
          </w:tcPr>
          <w:p w14:paraId="3CE6B1E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7942C39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0E578879" w14:textId="77777777">
        <w:tc>
          <w:tcPr>
            <w:tcW w:w="5070" w:type="dxa"/>
          </w:tcPr>
          <w:p w14:paraId="4B0FAA9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33102B3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6FDD750A" w14:textId="77777777">
        <w:tc>
          <w:tcPr>
            <w:tcW w:w="5070" w:type="dxa"/>
          </w:tcPr>
          <w:p w14:paraId="4F1B3E1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632A7BD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r>
      <w:tr w:rsidR="004E10C1" w:rsidRPr="0044524F" w14:paraId="16BE92CC" w14:textId="77777777">
        <w:tc>
          <w:tcPr>
            <w:tcW w:w="5070" w:type="dxa"/>
          </w:tcPr>
          <w:p w14:paraId="1DDFF89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3450B1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w:t>
            </w:r>
          </w:p>
        </w:tc>
      </w:tr>
      <w:tr w:rsidR="004E10C1" w:rsidRPr="0044524F" w14:paraId="587DFAC8" w14:textId="77777777">
        <w:tc>
          <w:tcPr>
            <w:tcW w:w="5070" w:type="dxa"/>
          </w:tcPr>
          <w:p w14:paraId="2812635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647ADD0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02ACA3F" w14:textId="77777777">
        <w:tc>
          <w:tcPr>
            <w:tcW w:w="5070" w:type="dxa"/>
          </w:tcPr>
          <w:p w14:paraId="740AAF0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58EABB9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0CF4AC98" w14:textId="77777777">
        <w:tc>
          <w:tcPr>
            <w:tcW w:w="5070" w:type="dxa"/>
          </w:tcPr>
          <w:p w14:paraId="449DB68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7170BC4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AEDB1F1" w14:textId="77777777">
        <w:tc>
          <w:tcPr>
            <w:tcW w:w="5070" w:type="dxa"/>
          </w:tcPr>
          <w:p w14:paraId="218DF5C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5E1B5DE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1932 года</w:t>
            </w:r>
          </w:p>
        </w:tc>
      </w:tr>
      <w:tr w:rsidR="004E10C1" w:rsidRPr="0044524F" w14:paraId="2924ECFE" w14:textId="77777777">
        <w:tc>
          <w:tcPr>
            <w:tcW w:w="5070" w:type="dxa"/>
          </w:tcPr>
          <w:p w14:paraId="6BD05AA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33323B9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14CA501" w14:textId="77777777">
        <w:tc>
          <w:tcPr>
            <w:tcW w:w="5070" w:type="dxa"/>
          </w:tcPr>
          <w:p w14:paraId="08A49DA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2E40A6D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года</w:t>
            </w:r>
          </w:p>
        </w:tc>
      </w:tr>
    </w:tbl>
    <w:p w14:paraId="7462BB4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Картер из электрона изготовлен на зав. N 24, но не выдержал гидропробы. Передан на пропитку в ЦИАМ, после чего мотор поступит в сборку. Окончание сборки - 15 мая 1933 года.</w:t>
      </w:r>
    </w:p>
    <w:p w14:paraId="0AB686A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(с реверсом)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4524F" w14:paraId="46A51FA3" w14:textId="77777777">
        <w:tc>
          <w:tcPr>
            <w:tcW w:w="5070" w:type="dxa"/>
          </w:tcPr>
          <w:p w14:paraId="17598CF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6181ABB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4DEAE9A1" w14:textId="77777777">
        <w:tc>
          <w:tcPr>
            <w:tcW w:w="5070" w:type="dxa"/>
          </w:tcPr>
          <w:p w14:paraId="47BB84B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7FDFF5F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2B115164" w14:textId="77777777">
        <w:tc>
          <w:tcPr>
            <w:tcW w:w="5070" w:type="dxa"/>
          </w:tcPr>
          <w:p w14:paraId="48119FA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6725AAA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r>
      <w:tr w:rsidR="004E10C1" w:rsidRPr="0044524F" w14:paraId="475F3165" w14:textId="77777777">
        <w:tc>
          <w:tcPr>
            <w:tcW w:w="5070" w:type="dxa"/>
          </w:tcPr>
          <w:p w14:paraId="526C390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1CD58BC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625</w:t>
            </w:r>
          </w:p>
        </w:tc>
      </w:tr>
      <w:tr w:rsidR="004E10C1" w:rsidRPr="0044524F" w14:paraId="11366F72" w14:textId="77777777">
        <w:tc>
          <w:tcPr>
            <w:tcW w:w="5070" w:type="dxa"/>
          </w:tcPr>
          <w:p w14:paraId="29F6D81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7DCBDEF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10985CD" w14:textId="77777777">
        <w:tc>
          <w:tcPr>
            <w:tcW w:w="5070" w:type="dxa"/>
          </w:tcPr>
          <w:p w14:paraId="705E32A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68CAA42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9F74B0C" w14:textId="77777777">
        <w:tc>
          <w:tcPr>
            <w:tcW w:w="5070" w:type="dxa"/>
          </w:tcPr>
          <w:p w14:paraId="255EE47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446E63C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38111D1" w14:textId="77777777">
        <w:tc>
          <w:tcPr>
            <w:tcW w:w="5070" w:type="dxa"/>
          </w:tcPr>
          <w:p w14:paraId="7F06DF3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45ADB18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1932 года</w:t>
            </w:r>
          </w:p>
        </w:tc>
      </w:tr>
      <w:tr w:rsidR="004E10C1" w:rsidRPr="0044524F" w14:paraId="295D5130" w14:textId="77777777">
        <w:tc>
          <w:tcPr>
            <w:tcW w:w="5070" w:type="dxa"/>
          </w:tcPr>
          <w:p w14:paraId="79953D1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6D56789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9335C13" w14:textId="77777777">
        <w:tc>
          <w:tcPr>
            <w:tcW w:w="5070" w:type="dxa"/>
          </w:tcPr>
          <w:p w14:paraId="7C005C8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34EB7D5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 июня 1933 года</w:t>
            </w:r>
          </w:p>
        </w:tc>
      </w:tr>
    </w:tbl>
    <w:p w14:paraId="526021F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Мотор проходит заводские испытания. Выявлена неудовлетворительная работа масл. и водян. помп. Помпы переделаны. Проходят дальн. завод. испытания.</w:t>
      </w:r>
    </w:p>
    <w:p w14:paraId="4D03CB2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4524F" w14:paraId="30F006AF" w14:textId="77777777">
        <w:tc>
          <w:tcPr>
            <w:tcW w:w="5070" w:type="dxa"/>
          </w:tcPr>
          <w:p w14:paraId="2594BF5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567DBE0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2DF160B0" w14:textId="77777777">
        <w:tc>
          <w:tcPr>
            <w:tcW w:w="5070" w:type="dxa"/>
          </w:tcPr>
          <w:p w14:paraId="033D2FE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5D62AF7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w:t>
            </w:r>
          </w:p>
        </w:tc>
      </w:tr>
      <w:tr w:rsidR="004E10C1" w:rsidRPr="0044524F" w14:paraId="4A1F3077" w14:textId="77777777">
        <w:tc>
          <w:tcPr>
            <w:tcW w:w="5070" w:type="dxa"/>
          </w:tcPr>
          <w:p w14:paraId="20171A3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3155F83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485487AC" w14:textId="77777777">
        <w:tc>
          <w:tcPr>
            <w:tcW w:w="5070" w:type="dxa"/>
          </w:tcPr>
          <w:p w14:paraId="299315B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0AB4776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3BAE4584" w14:textId="77777777">
        <w:tc>
          <w:tcPr>
            <w:tcW w:w="5070" w:type="dxa"/>
          </w:tcPr>
          <w:p w14:paraId="6DE5BD9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21A7C14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46EA6C" w14:textId="77777777">
        <w:tc>
          <w:tcPr>
            <w:tcW w:w="5070" w:type="dxa"/>
          </w:tcPr>
          <w:p w14:paraId="27AD9D7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4A7DAC4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1F99129B" w14:textId="77777777">
        <w:tc>
          <w:tcPr>
            <w:tcW w:w="5070" w:type="dxa"/>
          </w:tcPr>
          <w:p w14:paraId="059C07C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4DE32F4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F4AA9B7" w14:textId="77777777">
        <w:tc>
          <w:tcPr>
            <w:tcW w:w="5070" w:type="dxa"/>
          </w:tcPr>
          <w:p w14:paraId="4E6B820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0D68F9F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1931 года</w:t>
            </w:r>
          </w:p>
        </w:tc>
      </w:tr>
      <w:tr w:rsidR="004E10C1" w:rsidRPr="0044524F" w14:paraId="15294446" w14:textId="77777777">
        <w:tc>
          <w:tcPr>
            <w:tcW w:w="5070" w:type="dxa"/>
          </w:tcPr>
          <w:p w14:paraId="3E5D864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24F63A5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24AAC36" w14:textId="77777777">
        <w:tc>
          <w:tcPr>
            <w:tcW w:w="5070" w:type="dxa"/>
          </w:tcPr>
          <w:p w14:paraId="6B2CE00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339B925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w:t>
            </w:r>
          </w:p>
        </w:tc>
      </w:tr>
    </w:tbl>
    <w:p w14:paraId="35BD76D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прошел на станке 260 часов на зав. испытаниях. Детали, показавшие неудовлетворительную работу: головка цилиндра, поршень, распред. механизм - переделаны. Мотор с новыми деталями собирается для дальнейших заводских испытаний.</w:t>
      </w:r>
    </w:p>
    <w:p w14:paraId="4084430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М38Р (с нагнетателем и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4524F" w14:paraId="54ADE757" w14:textId="77777777">
        <w:tc>
          <w:tcPr>
            <w:tcW w:w="5070" w:type="dxa"/>
          </w:tcPr>
          <w:p w14:paraId="2D0B931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3015F03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5568B264" w14:textId="77777777">
        <w:tc>
          <w:tcPr>
            <w:tcW w:w="5070" w:type="dxa"/>
          </w:tcPr>
          <w:p w14:paraId="2E90E1A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072C9BF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w:t>
            </w:r>
          </w:p>
        </w:tc>
      </w:tr>
      <w:tr w:rsidR="004E10C1" w:rsidRPr="0044524F" w14:paraId="7AC5B497" w14:textId="77777777">
        <w:tc>
          <w:tcPr>
            <w:tcW w:w="5070" w:type="dxa"/>
          </w:tcPr>
          <w:p w14:paraId="2C9087B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3FB4163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55D7763C" w14:textId="77777777">
        <w:tc>
          <w:tcPr>
            <w:tcW w:w="5070" w:type="dxa"/>
          </w:tcPr>
          <w:p w14:paraId="0DADF8E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6633372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430</w:t>
            </w:r>
          </w:p>
        </w:tc>
      </w:tr>
      <w:tr w:rsidR="004E10C1" w:rsidRPr="0044524F" w14:paraId="484A286B" w14:textId="77777777">
        <w:tc>
          <w:tcPr>
            <w:tcW w:w="5070" w:type="dxa"/>
          </w:tcPr>
          <w:p w14:paraId="45DFB5F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32537F5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03DDC88" w14:textId="77777777">
        <w:tc>
          <w:tcPr>
            <w:tcW w:w="5070" w:type="dxa"/>
          </w:tcPr>
          <w:p w14:paraId="5FFD609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166F8B4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651C1F20" w14:textId="77777777">
        <w:tc>
          <w:tcPr>
            <w:tcW w:w="5070" w:type="dxa"/>
          </w:tcPr>
          <w:p w14:paraId="704235C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3716147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8BD422E" w14:textId="77777777">
        <w:tc>
          <w:tcPr>
            <w:tcW w:w="5070" w:type="dxa"/>
          </w:tcPr>
          <w:p w14:paraId="02E2FF2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5963E7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 зав. исп.</w:t>
            </w:r>
          </w:p>
        </w:tc>
      </w:tr>
      <w:tr w:rsidR="004E10C1" w:rsidRPr="0044524F" w14:paraId="5380BC42" w14:textId="77777777">
        <w:tc>
          <w:tcPr>
            <w:tcW w:w="5070" w:type="dxa"/>
          </w:tcPr>
          <w:p w14:paraId="3FA0C25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154D59F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5D89849" w14:textId="77777777">
        <w:tc>
          <w:tcPr>
            <w:tcW w:w="5070" w:type="dxa"/>
          </w:tcPr>
          <w:p w14:paraId="0CC308E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3139EA2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3156F24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пущен в производство после окончания М38 с нагнетателем.</w:t>
      </w:r>
    </w:p>
    <w:p w14:paraId="6F9850E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М35 с нагнетателем и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4524F" w14:paraId="72C11F36" w14:textId="77777777">
        <w:tc>
          <w:tcPr>
            <w:tcW w:w="5070" w:type="dxa"/>
          </w:tcPr>
          <w:p w14:paraId="4164649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4374CBF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2CE8172C" w14:textId="77777777">
        <w:tc>
          <w:tcPr>
            <w:tcW w:w="5070" w:type="dxa"/>
          </w:tcPr>
          <w:p w14:paraId="75D7571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6134428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0F1D57AC" w14:textId="77777777">
        <w:tc>
          <w:tcPr>
            <w:tcW w:w="5070" w:type="dxa"/>
          </w:tcPr>
          <w:p w14:paraId="5ECDB15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14189BC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1500-1800</w:t>
            </w:r>
          </w:p>
        </w:tc>
      </w:tr>
      <w:tr w:rsidR="004E10C1" w:rsidRPr="0044524F" w14:paraId="441D9DAE" w14:textId="77777777">
        <w:tc>
          <w:tcPr>
            <w:tcW w:w="5070" w:type="dxa"/>
          </w:tcPr>
          <w:p w14:paraId="73B9194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1F0CAB8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r>
      <w:tr w:rsidR="004E10C1" w:rsidRPr="0044524F" w14:paraId="07782D53" w14:textId="77777777">
        <w:tc>
          <w:tcPr>
            <w:tcW w:w="5070" w:type="dxa"/>
          </w:tcPr>
          <w:p w14:paraId="3F37002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3C0E30F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B29368" w14:textId="77777777">
        <w:tc>
          <w:tcPr>
            <w:tcW w:w="5070" w:type="dxa"/>
          </w:tcPr>
          <w:p w14:paraId="286F7D3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5823FD2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05B8A950" w14:textId="77777777">
        <w:tc>
          <w:tcPr>
            <w:tcW w:w="5070" w:type="dxa"/>
          </w:tcPr>
          <w:p w14:paraId="18CDF45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3024901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3302C11" w14:textId="77777777">
        <w:tc>
          <w:tcPr>
            <w:tcW w:w="5070" w:type="dxa"/>
          </w:tcPr>
          <w:p w14:paraId="1844053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04887D0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 года зав. испыт.</w:t>
            </w:r>
          </w:p>
        </w:tc>
      </w:tr>
      <w:tr w:rsidR="004E10C1" w:rsidRPr="0044524F" w14:paraId="5AEC5B29" w14:textId="77777777">
        <w:tc>
          <w:tcPr>
            <w:tcW w:w="5070" w:type="dxa"/>
          </w:tcPr>
          <w:p w14:paraId="6A172B1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15DD03E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6B3E8A" w14:textId="77777777">
        <w:tc>
          <w:tcPr>
            <w:tcW w:w="5070" w:type="dxa"/>
          </w:tcPr>
          <w:p w14:paraId="3872195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0C4342E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2C4AEFB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строится ввиду неудовлетворительности, разработанного ЦИАМом проекта.</w:t>
      </w:r>
    </w:p>
    <w:p w14:paraId="51DA8F6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 с нагнетат. и редуктором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4524F" w14:paraId="1A0604E9" w14:textId="77777777">
        <w:tc>
          <w:tcPr>
            <w:tcW w:w="5070" w:type="dxa"/>
          </w:tcPr>
          <w:p w14:paraId="48BB3E8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525B778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0E2B44FA" w14:textId="77777777">
        <w:tc>
          <w:tcPr>
            <w:tcW w:w="5070" w:type="dxa"/>
          </w:tcPr>
          <w:p w14:paraId="73F72A5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6C1F772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2511A494" w14:textId="77777777">
        <w:tc>
          <w:tcPr>
            <w:tcW w:w="5070" w:type="dxa"/>
          </w:tcPr>
          <w:p w14:paraId="2D01DFA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3BED98F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622F45AE" w14:textId="77777777">
        <w:tc>
          <w:tcPr>
            <w:tcW w:w="5070" w:type="dxa"/>
          </w:tcPr>
          <w:p w14:paraId="30E396B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261A836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02BBDA96" w14:textId="77777777">
        <w:tc>
          <w:tcPr>
            <w:tcW w:w="5070" w:type="dxa"/>
          </w:tcPr>
          <w:p w14:paraId="4A91007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37CB064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C7270C" w14:textId="77777777">
        <w:tc>
          <w:tcPr>
            <w:tcW w:w="5070" w:type="dxa"/>
          </w:tcPr>
          <w:p w14:paraId="7BBD605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2B25DE1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0F3B6A62" w14:textId="77777777">
        <w:tc>
          <w:tcPr>
            <w:tcW w:w="5070" w:type="dxa"/>
          </w:tcPr>
          <w:p w14:paraId="0131E4C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7221A17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863FF1D" w14:textId="77777777">
        <w:tc>
          <w:tcPr>
            <w:tcW w:w="5070" w:type="dxa"/>
          </w:tcPr>
          <w:p w14:paraId="756CFA0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70C1DDB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1932 года</w:t>
            </w:r>
          </w:p>
        </w:tc>
      </w:tr>
      <w:tr w:rsidR="004E10C1" w:rsidRPr="0044524F" w14:paraId="77B6F09E" w14:textId="77777777">
        <w:tc>
          <w:tcPr>
            <w:tcW w:w="5070" w:type="dxa"/>
          </w:tcPr>
          <w:p w14:paraId="0F3ECD9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7761A2F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381A60" w14:textId="77777777">
        <w:tc>
          <w:tcPr>
            <w:tcW w:w="5070" w:type="dxa"/>
          </w:tcPr>
          <w:p w14:paraId="4039D17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052583A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- 1 августа 1933 года</w:t>
            </w:r>
          </w:p>
        </w:tc>
      </w:tr>
    </w:tbl>
    <w:p w14:paraId="025888A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проходит заводские испытания, отработав на станке 47 часов. Выявлены основные дефекты: недостаточная жесткость вод. рубашки, трещины в подшипниках, трещины головки блока. Мотор с переделанными деталями собирается для дальнейших зав. испытаний. Мощн. мотора 600 л.с. Вес 430 кг. Нагнетатель еще не испытан. Высотность не проверена.</w:t>
      </w:r>
    </w:p>
    <w:p w14:paraId="197F35D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 с нагнетателем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70"/>
        <w:gridCol w:w="5386"/>
      </w:tblGrid>
      <w:tr w:rsidR="004E10C1" w:rsidRPr="0044524F" w14:paraId="6FADABF2" w14:textId="77777777">
        <w:tc>
          <w:tcPr>
            <w:tcW w:w="5070" w:type="dxa"/>
          </w:tcPr>
          <w:p w14:paraId="4041B51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33CD8D2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136AFCB6" w14:textId="77777777">
        <w:tc>
          <w:tcPr>
            <w:tcW w:w="5070" w:type="dxa"/>
          </w:tcPr>
          <w:p w14:paraId="74AA506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44DAA7F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525790BD" w14:textId="77777777">
        <w:tc>
          <w:tcPr>
            <w:tcW w:w="5070" w:type="dxa"/>
          </w:tcPr>
          <w:p w14:paraId="0A6D924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2890B40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r>
      <w:tr w:rsidR="004E10C1" w:rsidRPr="0044524F" w14:paraId="23AE6DEA" w14:textId="77777777">
        <w:tc>
          <w:tcPr>
            <w:tcW w:w="5070" w:type="dxa"/>
          </w:tcPr>
          <w:p w14:paraId="045889D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53ACB52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r>
      <w:tr w:rsidR="004E10C1" w:rsidRPr="0044524F" w14:paraId="54CFBCED" w14:textId="77777777">
        <w:tc>
          <w:tcPr>
            <w:tcW w:w="5070" w:type="dxa"/>
          </w:tcPr>
          <w:p w14:paraId="75BB6E3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327F32E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F212925" w14:textId="77777777">
        <w:tc>
          <w:tcPr>
            <w:tcW w:w="5070" w:type="dxa"/>
          </w:tcPr>
          <w:p w14:paraId="408FAC1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62CA8A1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r>
      <w:tr w:rsidR="004E10C1" w:rsidRPr="0044524F" w14:paraId="47DE1C7B" w14:textId="77777777">
        <w:tc>
          <w:tcPr>
            <w:tcW w:w="5070" w:type="dxa"/>
          </w:tcPr>
          <w:p w14:paraId="0634232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1936015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6BD2C80" w14:textId="77777777">
        <w:tc>
          <w:tcPr>
            <w:tcW w:w="5070" w:type="dxa"/>
          </w:tcPr>
          <w:p w14:paraId="2EF7652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63F0C4D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года</w:t>
            </w:r>
          </w:p>
        </w:tc>
      </w:tr>
      <w:tr w:rsidR="004E10C1" w:rsidRPr="0044524F" w14:paraId="5135A93D" w14:textId="77777777">
        <w:tc>
          <w:tcPr>
            <w:tcW w:w="5070" w:type="dxa"/>
          </w:tcPr>
          <w:p w14:paraId="4260F8A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1D2FE37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C2E1824" w14:textId="77777777">
        <w:tc>
          <w:tcPr>
            <w:tcW w:w="5070" w:type="dxa"/>
          </w:tcPr>
          <w:p w14:paraId="12AA69A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2EA49D2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года</w:t>
            </w:r>
          </w:p>
        </w:tc>
      </w:tr>
    </w:tbl>
    <w:p w14:paraId="0F610CA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Детали в механической обработке. Мотор станет на заводские испытания 1 июня - 1 июля 1933 года. В виду отсутствия опыта даже в заграничной практике постройки моторов таких мощностей, срок предъявления на гос. испытания весьма ориентировочный.</w:t>
      </w:r>
    </w:p>
    <w:p w14:paraId="192F019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1236BAC5" w14:textId="77777777">
        <w:tc>
          <w:tcPr>
            <w:tcW w:w="4928" w:type="dxa"/>
          </w:tcPr>
          <w:p w14:paraId="3B5DBE8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1663EAE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246D978A" w14:textId="77777777">
        <w:tc>
          <w:tcPr>
            <w:tcW w:w="4928" w:type="dxa"/>
          </w:tcPr>
          <w:p w14:paraId="58A7C2C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36E904E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5A58427A" w14:textId="77777777">
        <w:tc>
          <w:tcPr>
            <w:tcW w:w="4928" w:type="dxa"/>
          </w:tcPr>
          <w:p w14:paraId="1B5B548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19C5F51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350-400</w:t>
            </w:r>
          </w:p>
        </w:tc>
      </w:tr>
      <w:tr w:rsidR="004E10C1" w:rsidRPr="0044524F" w14:paraId="36CB0095" w14:textId="77777777">
        <w:tc>
          <w:tcPr>
            <w:tcW w:w="4928" w:type="dxa"/>
          </w:tcPr>
          <w:p w14:paraId="06FB3B5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6F1FECC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5DD445EE" w14:textId="77777777">
        <w:tc>
          <w:tcPr>
            <w:tcW w:w="4928" w:type="dxa"/>
          </w:tcPr>
          <w:p w14:paraId="24E224D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12ABA48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56C103" w14:textId="77777777">
        <w:tc>
          <w:tcPr>
            <w:tcW w:w="4928" w:type="dxa"/>
          </w:tcPr>
          <w:p w14:paraId="338BA8B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528" w:type="dxa"/>
          </w:tcPr>
          <w:p w14:paraId="0FD3FB2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E056A0E" w14:textId="77777777">
        <w:tc>
          <w:tcPr>
            <w:tcW w:w="4928" w:type="dxa"/>
          </w:tcPr>
          <w:p w14:paraId="6537729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1B35122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F8E1F7C" w14:textId="77777777">
        <w:tc>
          <w:tcPr>
            <w:tcW w:w="4928" w:type="dxa"/>
          </w:tcPr>
          <w:p w14:paraId="10C294C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13D222C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1932 года</w:t>
            </w:r>
          </w:p>
        </w:tc>
      </w:tr>
      <w:tr w:rsidR="004E10C1" w:rsidRPr="0044524F" w14:paraId="071E3387" w14:textId="77777777">
        <w:tc>
          <w:tcPr>
            <w:tcW w:w="4928" w:type="dxa"/>
          </w:tcPr>
          <w:p w14:paraId="0A5AD26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528" w:type="dxa"/>
          </w:tcPr>
          <w:p w14:paraId="5946AB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D3D9CEB" w14:textId="77777777">
        <w:tc>
          <w:tcPr>
            <w:tcW w:w="4928" w:type="dxa"/>
          </w:tcPr>
          <w:p w14:paraId="2CAB6EE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528" w:type="dxa"/>
          </w:tcPr>
          <w:p w14:paraId="47CB4C5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года</w:t>
            </w:r>
          </w:p>
        </w:tc>
      </w:tr>
    </w:tbl>
    <w:p w14:paraId="1FB9DD5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проходит заводские испытания. Факт. тех. данные: мощность: 400-425 л.с., вес - 390 кг. Мотор прошел на станке 23 часа. Сломан картер и вод. помпа. Новый картер в производстве.</w:t>
      </w:r>
    </w:p>
    <w:p w14:paraId="386DBAC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М54 (форс.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2F616B16" w14:textId="77777777">
        <w:tc>
          <w:tcPr>
            <w:tcW w:w="4928" w:type="dxa"/>
          </w:tcPr>
          <w:p w14:paraId="64A46D5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Кто строит</w:t>
            </w:r>
          </w:p>
        </w:tc>
        <w:tc>
          <w:tcPr>
            <w:tcW w:w="5528" w:type="dxa"/>
          </w:tcPr>
          <w:p w14:paraId="130484A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4FD524D9" w14:textId="77777777">
        <w:tc>
          <w:tcPr>
            <w:tcW w:w="4928" w:type="dxa"/>
          </w:tcPr>
          <w:p w14:paraId="4755E6D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458664C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51884F9E" w14:textId="77777777">
        <w:tc>
          <w:tcPr>
            <w:tcW w:w="4928" w:type="dxa"/>
          </w:tcPr>
          <w:p w14:paraId="3EF36AA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1B4F6FF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r>
      <w:tr w:rsidR="004E10C1" w:rsidRPr="0044524F" w14:paraId="471D7740" w14:textId="77777777">
        <w:tc>
          <w:tcPr>
            <w:tcW w:w="4928" w:type="dxa"/>
          </w:tcPr>
          <w:p w14:paraId="7563534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7E7E1CA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5F25601E" w14:textId="77777777">
        <w:tc>
          <w:tcPr>
            <w:tcW w:w="4928" w:type="dxa"/>
          </w:tcPr>
          <w:p w14:paraId="5074AA9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26C1429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E64F02C" w14:textId="77777777">
        <w:tc>
          <w:tcPr>
            <w:tcW w:w="4928" w:type="dxa"/>
          </w:tcPr>
          <w:p w14:paraId="37E54BF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528" w:type="dxa"/>
          </w:tcPr>
          <w:p w14:paraId="72A13B1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0AE846DE" w14:textId="77777777">
        <w:tc>
          <w:tcPr>
            <w:tcW w:w="4928" w:type="dxa"/>
          </w:tcPr>
          <w:p w14:paraId="715E838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51E9A19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66FC38D" w14:textId="77777777">
        <w:tc>
          <w:tcPr>
            <w:tcW w:w="4928" w:type="dxa"/>
          </w:tcPr>
          <w:p w14:paraId="0BF36A8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144B43A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w:t>
            </w:r>
          </w:p>
        </w:tc>
      </w:tr>
      <w:tr w:rsidR="004E10C1" w:rsidRPr="0044524F" w14:paraId="66026C1C" w14:textId="77777777">
        <w:tc>
          <w:tcPr>
            <w:tcW w:w="4928" w:type="dxa"/>
          </w:tcPr>
          <w:p w14:paraId="28ADB63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528" w:type="dxa"/>
          </w:tcPr>
          <w:p w14:paraId="2B33319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ED1F49F" w14:textId="77777777">
        <w:tc>
          <w:tcPr>
            <w:tcW w:w="4928" w:type="dxa"/>
          </w:tcPr>
          <w:p w14:paraId="05FA4A7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528" w:type="dxa"/>
          </w:tcPr>
          <w:p w14:paraId="6E08487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 году</w:t>
            </w:r>
          </w:p>
        </w:tc>
      </w:tr>
    </w:tbl>
    <w:p w14:paraId="67A2527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мотора М-34 готовятся для испытаний на форсированных оборотах. М54 без наддува может быть предъявлен на гос. испытания 1 августа. М54 с наддувом будет предъявлен только после разрешения вопроса с нагнетателем.</w:t>
      </w:r>
    </w:p>
    <w:p w14:paraId="5943D11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М55 (перев.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4A77FBDA" w14:textId="77777777">
        <w:tc>
          <w:tcPr>
            <w:tcW w:w="4928" w:type="dxa"/>
          </w:tcPr>
          <w:p w14:paraId="19B8477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4D9AE60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6D2B8030" w14:textId="77777777">
        <w:tc>
          <w:tcPr>
            <w:tcW w:w="4928" w:type="dxa"/>
          </w:tcPr>
          <w:p w14:paraId="7805BB7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0EF5222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54D06D47" w14:textId="77777777">
        <w:tc>
          <w:tcPr>
            <w:tcW w:w="4928" w:type="dxa"/>
          </w:tcPr>
          <w:p w14:paraId="38E1ABB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44859C7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r>
      <w:tr w:rsidR="004E10C1" w:rsidRPr="0044524F" w14:paraId="4EAB3439" w14:textId="77777777">
        <w:tc>
          <w:tcPr>
            <w:tcW w:w="4928" w:type="dxa"/>
          </w:tcPr>
          <w:p w14:paraId="5AFD13C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39ECDB7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3B36F289" w14:textId="77777777">
        <w:tc>
          <w:tcPr>
            <w:tcW w:w="4928" w:type="dxa"/>
          </w:tcPr>
          <w:p w14:paraId="18FF551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166EFEF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0D693FE" w14:textId="77777777">
        <w:tc>
          <w:tcPr>
            <w:tcW w:w="4928" w:type="dxa"/>
          </w:tcPr>
          <w:p w14:paraId="4603583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528" w:type="dxa"/>
          </w:tcPr>
          <w:p w14:paraId="095B5B9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1D136CB6" w14:textId="77777777">
        <w:tc>
          <w:tcPr>
            <w:tcW w:w="4928" w:type="dxa"/>
          </w:tcPr>
          <w:p w14:paraId="12F837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577E230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81BBF91" w14:textId="77777777">
        <w:tc>
          <w:tcPr>
            <w:tcW w:w="4928" w:type="dxa"/>
          </w:tcPr>
          <w:p w14:paraId="0D3E446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28D4004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август-октябрь 1933 года</w:t>
            </w:r>
          </w:p>
        </w:tc>
      </w:tr>
      <w:tr w:rsidR="004E10C1" w:rsidRPr="0044524F" w14:paraId="53B6F233" w14:textId="77777777">
        <w:tc>
          <w:tcPr>
            <w:tcW w:w="4928" w:type="dxa"/>
          </w:tcPr>
          <w:p w14:paraId="0B910FB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528" w:type="dxa"/>
          </w:tcPr>
          <w:p w14:paraId="5714CAD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11474FE" w14:textId="77777777">
        <w:tc>
          <w:tcPr>
            <w:tcW w:w="4928" w:type="dxa"/>
          </w:tcPr>
          <w:p w14:paraId="2C7662A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528" w:type="dxa"/>
          </w:tcPr>
          <w:p w14:paraId="54B439A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28D8E60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не разработана, т.к. этот тип мотора в настоящее время не нужен ВВС.</w:t>
      </w:r>
    </w:p>
    <w:p w14:paraId="23FD656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7E3468F5" w14:textId="77777777">
        <w:tc>
          <w:tcPr>
            <w:tcW w:w="4928" w:type="dxa"/>
          </w:tcPr>
          <w:p w14:paraId="4B27BF2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4EDC8DB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29</w:t>
            </w:r>
          </w:p>
        </w:tc>
      </w:tr>
      <w:tr w:rsidR="004E10C1" w:rsidRPr="0044524F" w14:paraId="04D9C6CD" w14:textId="77777777">
        <w:tc>
          <w:tcPr>
            <w:tcW w:w="4928" w:type="dxa"/>
          </w:tcPr>
          <w:p w14:paraId="3BAB7EE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3D30668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w:t>
            </w:r>
          </w:p>
        </w:tc>
      </w:tr>
      <w:tr w:rsidR="004E10C1" w:rsidRPr="0044524F" w14:paraId="5C9970D0" w14:textId="77777777">
        <w:tc>
          <w:tcPr>
            <w:tcW w:w="4928" w:type="dxa"/>
          </w:tcPr>
          <w:p w14:paraId="31AC48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396E6EB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tc>
      </w:tr>
      <w:tr w:rsidR="004E10C1" w:rsidRPr="0044524F" w14:paraId="3643927D" w14:textId="77777777">
        <w:tc>
          <w:tcPr>
            <w:tcW w:w="4928" w:type="dxa"/>
          </w:tcPr>
          <w:p w14:paraId="0589C6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1199043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r>
      <w:tr w:rsidR="004E10C1" w:rsidRPr="0044524F" w14:paraId="6658E8BF" w14:textId="77777777">
        <w:tc>
          <w:tcPr>
            <w:tcW w:w="4928" w:type="dxa"/>
          </w:tcPr>
          <w:p w14:paraId="59579D7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11402F0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0571D94" w14:textId="77777777">
        <w:tc>
          <w:tcPr>
            <w:tcW w:w="4928" w:type="dxa"/>
          </w:tcPr>
          <w:p w14:paraId="7BE5D2F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528" w:type="dxa"/>
          </w:tcPr>
          <w:p w14:paraId="3ADBE11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45AB0BA" w14:textId="77777777">
        <w:tc>
          <w:tcPr>
            <w:tcW w:w="4928" w:type="dxa"/>
          </w:tcPr>
          <w:p w14:paraId="491671A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7D13316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0D1B823" w14:textId="77777777">
        <w:tc>
          <w:tcPr>
            <w:tcW w:w="4928" w:type="dxa"/>
          </w:tcPr>
          <w:p w14:paraId="063AC2E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175346D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1932 года</w:t>
            </w:r>
          </w:p>
        </w:tc>
      </w:tr>
      <w:tr w:rsidR="004E10C1" w:rsidRPr="0044524F" w14:paraId="2C42C367" w14:textId="77777777">
        <w:tc>
          <w:tcPr>
            <w:tcW w:w="4928" w:type="dxa"/>
          </w:tcPr>
          <w:p w14:paraId="3892179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528" w:type="dxa"/>
          </w:tcPr>
          <w:p w14:paraId="579FE5E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FC21AB8" w14:textId="77777777">
        <w:tc>
          <w:tcPr>
            <w:tcW w:w="4928" w:type="dxa"/>
          </w:tcPr>
          <w:p w14:paraId="184F180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528" w:type="dxa"/>
          </w:tcPr>
          <w:p w14:paraId="2D5923E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w:t>
            </w:r>
          </w:p>
        </w:tc>
      </w:tr>
    </w:tbl>
    <w:p w14:paraId="6487F69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проходит заводские испытания. Неудовлетворит. работа упругой муфты передачи к импеллеру. Муфта переделана. Продолжаются дальнейш. зав. испытания. Мощность мотора - 200 л.с. Вес - 194 кг.</w:t>
      </w:r>
    </w:p>
    <w:p w14:paraId="4F0BA7F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35A5E348" w14:textId="77777777">
        <w:tc>
          <w:tcPr>
            <w:tcW w:w="4928" w:type="dxa"/>
          </w:tcPr>
          <w:p w14:paraId="0D388A6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4D223DB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6DD5ED3B" w14:textId="77777777">
        <w:tc>
          <w:tcPr>
            <w:tcW w:w="4928" w:type="dxa"/>
          </w:tcPr>
          <w:p w14:paraId="380D002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65CC689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w:t>
            </w:r>
          </w:p>
        </w:tc>
      </w:tr>
      <w:tr w:rsidR="004E10C1" w:rsidRPr="0044524F" w14:paraId="3AA76651" w14:textId="77777777">
        <w:tc>
          <w:tcPr>
            <w:tcW w:w="4928" w:type="dxa"/>
          </w:tcPr>
          <w:p w14:paraId="42FAD1F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2B56C3E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7C0F39E8" w14:textId="77777777">
        <w:tc>
          <w:tcPr>
            <w:tcW w:w="4928" w:type="dxa"/>
          </w:tcPr>
          <w:p w14:paraId="430CF7A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6384E34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r>
      <w:tr w:rsidR="004E10C1" w:rsidRPr="0044524F" w14:paraId="584A9949" w14:textId="77777777">
        <w:tc>
          <w:tcPr>
            <w:tcW w:w="4928" w:type="dxa"/>
          </w:tcPr>
          <w:p w14:paraId="6F2D7EC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3F6672B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2DF0A19" w14:textId="77777777">
        <w:tc>
          <w:tcPr>
            <w:tcW w:w="4928" w:type="dxa"/>
          </w:tcPr>
          <w:p w14:paraId="40E76D1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528" w:type="dxa"/>
          </w:tcPr>
          <w:p w14:paraId="0950266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B38A10E" w14:textId="77777777">
        <w:tc>
          <w:tcPr>
            <w:tcW w:w="4928" w:type="dxa"/>
          </w:tcPr>
          <w:p w14:paraId="21934D8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2B11215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D67A24A" w14:textId="77777777">
        <w:tc>
          <w:tcPr>
            <w:tcW w:w="4928" w:type="dxa"/>
          </w:tcPr>
          <w:p w14:paraId="5687747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258D00E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1932 года</w:t>
            </w:r>
          </w:p>
        </w:tc>
      </w:tr>
      <w:tr w:rsidR="004E10C1" w:rsidRPr="0044524F" w14:paraId="6F6490B5" w14:textId="77777777">
        <w:tc>
          <w:tcPr>
            <w:tcW w:w="4928" w:type="dxa"/>
          </w:tcPr>
          <w:p w14:paraId="7BC9AF9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528" w:type="dxa"/>
          </w:tcPr>
          <w:p w14:paraId="03625BB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A35A1E4" w14:textId="77777777">
        <w:tc>
          <w:tcPr>
            <w:tcW w:w="4928" w:type="dxa"/>
          </w:tcPr>
          <w:p w14:paraId="00104FD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528" w:type="dxa"/>
          </w:tcPr>
          <w:p w14:paraId="0CD2B34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46904DD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прошел гос. испытания. Проводятся добав. длительные испытания поршней. В июне мотор станет на летные гос. испытания7 Мощность 125 л.с. Вес 150 кг.</w:t>
      </w:r>
    </w:p>
    <w:p w14:paraId="2906E04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(внеплановый)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2EAA6854" w14:textId="77777777">
        <w:tc>
          <w:tcPr>
            <w:tcW w:w="4928" w:type="dxa"/>
          </w:tcPr>
          <w:p w14:paraId="07D5F94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36C7EBB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2E998127" w14:textId="77777777">
        <w:tc>
          <w:tcPr>
            <w:tcW w:w="4928" w:type="dxa"/>
          </w:tcPr>
          <w:p w14:paraId="5A7135B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4427314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w:t>
            </w:r>
          </w:p>
        </w:tc>
      </w:tr>
      <w:tr w:rsidR="004E10C1" w:rsidRPr="0044524F" w14:paraId="406ECF87" w14:textId="77777777">
        <w:tc>
          <w:tcPr>
            <w:tcW w:w="4928" w:type="dxa"/>
          </w:tcPr>
          <w:p w14:paraId="51FC764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5D527C1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630</w:t>
            </w:r>
          </w:p>
        </w:tc>
      </w:tr>
      <w:tr w:rsidR="004E10C1" w:rsidRPr="0044524F" w14:paraId="1EBB92CF" w14:textId="77777777">
        <w:tc>
          <w:tcPr>
            <w:tcW w:w="4928" w:type="dxa"/>
          </w:tcPr>
          <w:p w14:paraId="761C33B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32F93D9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420</w:t>
            </w:r>
          </w:p>
        </w:tc>
      </w:tr>
      <w:tr w:rsidR="004E10C1" w:rsidRPr="0044524F" w14:paraId="27C87B9A" w14:textId="77777777">
        <w:tc>
          <w:tcPr>
            <w:tcW w:w="4928" w:type="dxa"/>
          </w:tcPr>
          <w:p w14:paraId="1CFBCC5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02DB07D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F66A64" w14:textId="77777777">
        <w:tc>
          <w:tcPr>
            <w:tcW w:w="4928" w:type="dxa"/>
          </w:tcPr>
          <w:p w14:paraId="513A9B2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528" w:type="dxa"/>
          </w:tcPr>
          <w:p w14:paraId="505E768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6F793D6D" w14:textId="77777777">
        <w:tc>
          <w:tcPr>
            <w:tcW w:w="4928" w:type="dxa"/>
          </w:tcPr>
          <w:p w14:paraId="525C6B7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3E94D9E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CE8566B" w14:textId="77777777">
        <w:tc>
          <w:tcPr>
            <w:tcW w:w="4928" w:type="dxa"/>
          </w:tcPr>
          <w:p w14:paraId="193660C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562AA42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B56C60C" w14:textId="77777777">
        <w:tc>
          <w:tcPr>
            <w:tcW w:w="4928" w:type="dxa"/>
          </w:tcPr>
          <w:p w14:paraId="3848101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528" w:type="dxa"/>
          </w:tcPr>
          <w:p w14:paraId="3F9D948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92DE058" w14:textId="77777777">
        <w:tc>
          <w:tcPr>
            <w:tcW w:w="4928" w:type="dxa"/>
          </w:tcPr>
          <w:p w14:paraId="6AF8822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528" w:type="dxa"/>
          </w:tcPr>
          <w:p w14:paraId="5AA5795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w:t>
            </w:r>
          </w:p>
        </w:tc>
      </w:tr>
    </w:tbl>
    <w:p w14:paraId="1004579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проходит заводские испытания на заводе N 29. Прошел на станке 53 часа. Конструкция еще полностью не проверена. Выявлены два дефекта: подсос масла в импеллер и заедание подшипника импеллера. Маслоотражатель переделан. Заводу N 29 предложено изменить подвод масла к подшипнику импеллера. На испыт. мотор дал 630 л.с. Вес мотора 450 кг. Расчетная высотность - 4000 м. Фактическая высотность - не проверена.</w:t>
      </w:r>
    </w:p>
    <w:p w14:paraId="11A17B4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3М11 (3-х цилиндровый) (внеплановый)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39348B1B" w14:textId="77777777">
        <w:tc>
          <w:tcPr>
            <w:tcW w:w="4928" w:type="dxa"/>
          </w:tcPr>
          <w:p w14:paraId="7B03EFF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6119E35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58DEE846" w14:textId="77777777">
        <w:tc>
          <w:tcPr>
            <w:tcW w:w="4928" w:type="dxa"/>
          </w:tcPr>
          <w:p w14:paraId="2FC94B4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585891D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w:t>
            </w:r>
          </w:p>
        </w:tc>
      </w:tr>
      <w:tr w:rsidR="004E10C1" w:rsidRPr="0044524F" w14:paraId="30217167" w14:textId="77777777">
        <w:tc>
          <w:tcPr>
            <w:tcW w:w="4928" w:type="dxa"/>
          </w:tcPr>
          <w:p w14:paraId="7A81AE1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5C01122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r>
    </w:tbl>
    <w:p w14:paraId="0E08481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прошел гос. испытания. Принят на снабжение ГВФ для использования на глиссерах, аэросанях и авиэтках.</w:t>
      </w:r>
    </w:p>
    <w:p w14:paraId="6EC2AC1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М59 (9-ти цилиндровый М-51) (внеплановый).</w:t>
      </w:r>
    </w:p>
    <w:p w14:paraId="3D50D35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p w14:paraId="60C9449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 - 1 августа 1933 года</w:t>
      </w:r>
    </w:p>
    <w:p w14:paraId="245847D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построен, поставлен на заводские испытания. Мощность мотора - 300 л.с. Конструкция мотора испытаниями не проверена.</w:t>
      </w:r>
    </w:p>
    <w:p w14:paraId="69C8E2C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Нефтяные моторы</w:t>
      </w:r>
    </w:p>
    <w:p w14:paraId="5AB1377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(четырехтактный)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1A77AD0D" w14:textId="77777777">
        <w:tc>
          <w:tcPr>
            <w:tcW w:w="4928" w:type="dxa"/>
          </w:tcPr>
          <w:p w14:paraId="5BAAF45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486D0C2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1D5FAB56" w14:textId="77777777">
        <w:tc>
          <w:tcPr>
            <w:tcW w:w="4928" w:type="dxa"/>
          </w:tcPr>
          <w:p w14:paraId="7C369BB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5601C7E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0C610EDB" w14:textId="77777777">
        <w:tc>
          <w:tcPr>
            <w:tcW w:w="4928" w:type="dxa"/>
          </w:tcPr>
          <w:p w14:paraId="7A3CCCB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09869DD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2E01DCD5" w14:textId="77777777">
        <w:tc>
          <w:tcPr>
            <w:tcW w:w="4928" w:type="dxa"/>
          </w:tcPr>
          <w:p w14:paraId="0283965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0D2A621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r>
      <w:tr w:rsidR="004E10C1" w:rsidRPr="0044524F" w14:paraId="5FA92C69" w14:textId="77777777">
        <w:tc>
          <w:tcPr>
            <w:tcW w:w="4928" w:type="dxa"/>
          </w:tcPr>
          <w:p w14:paraId="1881A4F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40A39C1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D7013AD" w14:textId="77777777">
        <w:tc>
          <w:tcPr>
            <w:tcW w:w="4928" w:type="dxa"/>
          </w:tcPr>
          <w:p w14:paraId="7819A3E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Высотность</w:t>
            </w:r>
          </w:p>
        </w:tc>
        <w:tc>
          <w:tcPr>
            <w:tcW w:w="5528" w:type="dxa"/>
          </w:tcPr>
          <w:p w14:paraId="0AB1435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449F225" w14:textId="77777777">
        <w:tc>
          <w:tcPr>
            <w:tcW w:w="4928" w:type="dxa"/>
          </w:tcPr>
          <w:p w14:paraId="5FAFB5D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72E05C8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4445186" w14:textId="77777777">
        <w:tc>
          <w:tcPr>
            <w:tcW w:w="4928" w:type="dxa"/>
          </w:tcPr>
          <w:p w14:paraId="43DB464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4E245E5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года</w:t>
            </w:r>
          </w:p>
        </w:tc>
      </w:tr>
      <w:tr w:rsidR="004E10C1" w:rsidRPr="0044524F" w14:paraId="789DDDE3" w14:textId="77777777">
        <w:tc>
          <w:tcPr>
            <w:tcW w:w="4928" w:type="dxa"/>
          </w:tcPr>
          <w:p w14:paraId="2BF86FA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528" w:type="dxa"/>
          </w:tcPr>
          <w:p w14:paraId="74E10C3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EE85C9E" w14:textId="77777777">
        <w:tc>
          <w:tcPr>
            <w:tcW w:w="4928" w:type="dxa"/>
          </w:tcPr>
          <w:p w14:paraId="5B5633E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528" w:type="dxa"/>
          </w:tcPr>
          <w:p w14:paraId="1511975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года</w:t>
            </w:r>
          </w:p>
        </w:tc>
      </w:tr>
    </w:tbl>
    <w:p w14:paraId="1335FC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в производстве. Срок сборки первого мотора 1 июля 1933 года. Расчет номин. мощн. 750 л.с. максимальная - 900 л.с.</w:t>
      </w:r>
    </w:p>
    <w:p w14:paraId="19146D9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Н2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5080B40A" w14:textId="77777777">
        <w:tc>
          <w:tcPr>
            <w:tcW w:w="4928" w:type="dxa"/>
          </w:tcPr>
          <w:p w14:paraId="3FBC5FD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38B69BB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ВНИДИ</w:t>
            </w:r>
          </w:p>
        </w:tc>
      </w:tr>
      <w:tr w:rsidR="004E10C1" w:rsidRPr="0044524F" w14:paraId="1026A96A" w14:textId="77777777">
        <w:tc>
          <w:tcPr>
            <w:tcW w:w="4928" w:type="dxa"/>
          </w:tcPr>
          <w:p w14:paraId="7487C76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17FAEB6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0FD64CC9" w14:textId="77777777">
        <w:tc>
          <w:tcPr>
            <w:tcW w:w="4928" w:type="dxa"/>
          </w:tcPr>
          <w:p w14:paraId="363E01C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03D7FB7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68B028C9" w14:textId="77777777">
        <w:tc>
          <w:tcPr>
            <w:tcW w:w="4928" w:type="dxa"/>
          </w:tcPr>
          <w:p w14:paraId="2B4C84F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3196290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r>
      <w:tr w:rsidR="004E10C1" w:rsidRPr="0044524F" w14:paraId="456BEC83" w14:textId="77777777">
        <w:tc>
          <w:tcPr>
            <w:tcW w:w="4928" w:type="dxa"/>
          </w:tcPr>
          <w:p w14:paraId="491998E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760C001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AE8896D" w14:textId="77777777">
        <w:tc>
          <w:tcPr>
            <w:tcW w:w="4928" w:type="dxa"/>
          </w:tcPr>
          <w:p w14:paraId="585D312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528" w:type="dxa"/>
          </w:tcPr>
          <w:p w14:paraId="0A32D38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799319B2" w14:textId="77777777">
        <w:tc>
          <w:tcPr>
            <w:tcW w:w="4928" w:type="dxa"/>
          </w:tcPr>
          <w:p w14:paraId="25ECEFB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0DB5268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034E975" w14:textId="77777777">
        <w:tc>
          <w:tcPr>
            <w:tcW w:w="4928" w:type="dxa"/>
          </w:tcPr>
          <w:p w14:paraId="1B4DC50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118BEDF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года</w:t>
            </w:r>
          </w:p>
        </w:tc>
      </w:tr>
      <w:tr w:rsidR="004E10C1" w:rsidRPr="0044524F" w14:paraId="490348F8" w14:textId="77777777">
        <w:tc>
          <w:tcPr>
            <w:tcW w:w="4928" w:type="dxa"/>
          </w:tcPr>
          <w:p w14:paraId="48ED075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528" w:type="dxa"/>
          </w:tcPr>
          <w:p w14:paraId="483F8CA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8006179" w14:textId="77777777">
        <w:tc>
          <w:tcPr>
            <w:tcW w:w="4928" w:type="dxa"/>
          </w:tcPr>
          <w:p w14:paraId="1E13205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528" w:type="dxa"/>
          </w:tcPr>
          <w:p w14:paraId="5ECBB58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года</w:t>
            </w:r>
          </w:p>
        </w:tc>
      </w:tr>
    </w:tbl>
    <w:p w14:paraId="51A83FD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двигатель будет собран к 1 июля 1933 года.</w:t>
      </w:r>
    </w:p>
    <w:p w14:paraId="3EA5EFA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Н3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0813D615" w14:textId="77777777">
        <w:tc>
          <w:tcPr>
            <w:tcW w:w="4928" w:type="dxa"/>
          </w:tcPr>
          <w:p w14:paraId="7EE6A2C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70FF2AA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Укр. ИДВС</w:t>
            </w:r>
          </w:p>
        </w:tc>
      </w:tr>
      <w:tr w:rsidR="004E10C1" w:rsidRPr="0044524F" w14:paraId="0CE4535D" w14:textId="77777777">
        <w:tc>
          <w:tcPr>
            <w:tcW w:w="4928" w:type="dxa"/>
          </w:tcPr>
          <w:p w14:paraId="7C08AAE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7390965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2DF5B699" w14:textId="77777777">
        <w:tc>
          <w:tcPr>
            <w:tcW w:w="4928" w:type="dxa"/>
          </w:tcPr>
          <w:p w14:paraId="2E5EBC7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037155D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r w:rsidR="004E10C1" w:rsidRPr="0044524F" w14:paraId="5AB0523F" w14:textId="77777777">
        <w:tc>
          <w:tcPr>
            <w:tcW w:w="4928" w:type="dxa"/>
          </w:tcPr>
          <w:p w14:paraId="466AE19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0D5D988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r>
      <w:tr w:rsidR="004E10C1" w:rsidRPr="0044524F" w14:paraId="7DD655C2" w14:textId="77777777">
        <w:tc>
          <w:tcPr>
            <w:tcW w:w="4928" w:type="dxa"/>
          </w:tcPr>
          <w:p w14:paraId="39501C5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515D280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4E82565" w14:textId="77777777">
        <w:tc>
          <w:tcPr>
            <w:tcW w:w="4928" w:type="dxa"/>
          </w:tcPr>
          <w:p w14:paraId="22A4E7E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528" w:type="dxa"/>
          </w:tcPr>
          <w:p w14:paraId="2B61E05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07D3FB85" w14:textId="77777777">
        <w:tc>
          <w:tcPr>
            <w:tcW w:w="4928" w:type="dxa"/>
          </w:tcPr>
          <w:p w14:paraId="38EF91F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59BECD3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4074071" w14:textId="77777777">
        <w:tc>
          <w:tcPr>
            <w:tcW w:w="4928" w:type="dxa"/>
          </w:tcPr>
          <w:p w14:paraId="6A64E1C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3B37501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года</w:t>
            </w:r>
          </w:p>
        </w:tc>
      </w:tr>
      <w:tr w:rsidR="004E10C1" w:rsidRPr="0044524F" w14:paraId="0DADA8B4" w14:textId="77777777">
        <w:tc>
          <w:tcPr>
            <w:tcW w:w="4928" w:type="dxa"/>
          </w:tcPr>
          <w:p w14:paraId="3540059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528" w:type="dxa"/>
          </w:tcPr>
          <w:p w14:paraId="74236A3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BD68A18" w14:textId="77777777">
        <w:tc>
          <w:tcPr>
            <w:tcW w:w="4928" w:type="dxa"/>
          </w:tcPr>
          <w:p w14:paraId="5A2DBF3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528" w:type="dxa"/>
          </w:tcPr>
          <w:p w14:paraId="280D287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r>
    </w:tbl>
    <w:p w14:paraId="107C6FE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в производстве. Готовность деталей - в июне 1933 года. Сборка первого двигателя - август 1933 года. Высотность двигателя не обеспечена. Нагнетатель для дизеля запроектирован и строится Укр. инст. энергетики.</w:t>
      </w:r>
    </w:p>
    <w:p w14:paraId="10DE62D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Н4 (двухтактный)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4DF3BD01" w14:textId="77777777">
        <w:tc>
          <w:tcPr>
            <w:tcW w:w="4928" w:type="dxa"/>
          </w:tcPr>
          <w:p w14:paraId="3E837F9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55C3A73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Харьк. ав. ин-т</w:t>
            </w:r>
          </w:p>
        </w:tc>
      </w:tr>
      <w:tr w:rsidR="004E10C1" w:rsidRPr="0044524F" w14:paraId="738F2EBC" w14:textId="77777777">
        <w:tc>
          <w:tcPr>
            <w:tcW w:w="4928" w:type="dxa"/>
          </w:tcPr>
          <w:p w14:paraId="1AA6B42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0859AEA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6D98B239" w14:textId="77777777">
        <w:tc>
          <w:tcPr>
            <w:tcW w:w="4928" w:type="dxa"/>
          </w:tcPr>
          <w:p w14:paraId="5700E73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58B3322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r>
      <w:tr w:rsidR="004E10C1" w:rsidRPr="0044524F" w14:paraId="60F2AB38" w14:textId="77777777">
        <w:tc>
          <w:tcPr>
            <w:tcW w:w="4928" w:type="dxa"/>
          </w:tcPr>
          <w:p w14:paraId="15FA38A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3B5C59E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r>
      <w:tr w:rsidR="004E10C1" w:rsidRPr="0044524F" w14:paraId="3ED1F567" w14:textId="77777777">
        <w:tc>
          <w:tcPr>
            <w:tcW w:w="4928" w:type="dxa"/>
          </w:tcPr>
          <w:p w14:paraId="589F602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7539A09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4869BA9" w14:textId="77777777">
        <w:tc>
          <w:tcPr>
            <w:tcW w:w="4928" w:type="dxa"/>
          </w:tcPr>
          <w:p w14:paraId="17C04DB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528" w:type="dxa"/>
          </w:tcPr>
          <w:p w14:paraId="4771D1B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r w:rsidR="004E10C1" w:rsidRPr="0044524F" w14:paraId="4E2AF19E" w14:textId="77777777">
        <w:tc>
          <w:tcPr>
            <w:tcW w:w="4928" w:type="dxa"/>
          </w:tcPr>
          <w:p w14:paraId="6B0EA83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2C582FB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CD27192" w14:textId="77777777">
        <w:tc>
          <w:tcPr>
            <w:tcW w:w="4928" w:type="dxa"/>
          </w:tcPr>
          <w:p w14:paraId="6084237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4850BF9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w:t>
            </w:r>
          </w:p>
        </w:tc>
      </w:tr>
      <w:tr w:rsidR="004E10C1" w:rsidRPr="0044524F" w14:paraId="5E0C8B7C" w14:textId="77777777">
        <w:tc>
          <w:tcPr>
            <w:tcW w:w="4928" w:type="dxa"/>
          </w:tcPr>
          <w:p w14:paraId="105BE1F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528" w:type="dxa"/>
          </w:tcPr>
          <w:p w14:paraId="2FF8276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00E2FBF" w14:textId="77777777">
        <w:tc>
          <w:tcPr>
            <w:tcW w:w="4928" w:type="dxa"/>
          </w:tcPr>
          <w:p w14:paraId="224FF18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528" w:type="dxa"/>
          </w:tcPr>
          <w:p w14:paraId="6FF2C8C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года</w:t>
            </w:r>
          </w:p>
        </w:tc>
      </w:tr>
    </w:tbl>
    <w:p w14:paraId="4B4A931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в производстве на Харьковских заводах; сборка первого двигателя - июнь 1933 года. Двигатель запроектирован с мощностью 600 л.с.</w:t>
      </w:r>
    </w:p>
    <w:p w14:paraId="06FAD2D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528"/>
      </w:tblGrid>
      <w:tr w:rsidR="004E10C1" w:rsidRPr="0044524F" w14:paraId="0CA98600" w14:textId="77777777">
        <w:tc>
          <w:tcPr>
            <w:tcW w:w="4928" w:type="dxa"/>
          </w:tcPr>
          <w:p w14:paraId="5F77865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528" w:type="dxa"/>
          </w:tcPr>
          <w:p w14:paraId="076A1B6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ОКБ</w:t>
            </w:r>
          </w:p>
        </w:tc>
      </w:tr>
      <w:tr w:rsidR="004E10C1" w:rsidRPr="0044524F" w14:paraId="68F5B916" w14:textId="77777777">
        <w:tc>
          <w:tcPr>
            <w:tcW w:w="4928" w:type="dxa"/>
          </w:tcPr>
          <w:p w14:paraId="5E866A1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528" w:type="dxa"/>
          </w:tcPr>
          <w:p w14:paraId="65A0E81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w:t>
            </w:r>
          </w:p>
        </w:tc>
      </w:tr>
      <w:tr w:rsidR="004E10C1" w:rsidRPr="0044524F" w14:paraId="5035D931" w14:textId="77777777">
        <w:tc>
          <w:tcPr>
            <w:tcW w:w="4928" w:type="dxa"/>
          </w:tcPr>
          <w:p w14:paraId="35CA7A4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528" w:type="dxa"/>
          </w:tcPr>
          <w:p w14:paraId="33C2B8B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r>
      <w:tr w:rsidR="004E10C1" w:rsidRPr="0044524F" w14:paraId="5DF23CE6" w14:textId="77777777">
        <w:tc>
          <w:tcPr>
            <w:tcW w:w="4928" w:type="dxa"/>
          </w:tcPr>
          <w:p w14:paraId="3CD9FEE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528" w:type="dxa"/>
          </w:tcPr>
          <w:p w14:paraId="1215809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r>
      <w:tr w:rsidR="004E10C1" w:rsidRPr="0044524F" w14:paraId="56679F78" w14:textId="77777777">
        <w:tc>
          <w:tcPr>
            <w:tcW w:w="4928" w:type="dxa"/>
          </w:tcPr>
          <w:p w14:paraId="311737E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528" w:type="dxa"/>
          </w:tcPr>
          <w:p w14:paraId="62C90F9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666DC64" w14:textId="77777777">
        <w:tc>
          <w:tcPr>
            <w:tcW w:w="4928" w:type="dxa"/>
          </w:tcPr>
          <w:p w14:paraId="605D9E5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528" w:type="dxa"/>
          </w:tcPr>
          <w:p w14:paraId="0290C1C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r w:rsidR="004E10C1" w:rsidRPr="0044524F" w14:paraId="756659B2" w14:textId="77777777">
        <w:tc>
          <w:tcPr>
            <w:tcW w:w="4928" w:type="dxa"/>
          </w:tcPr>
          <w:p w14:paraId="3321ADC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528" w:type="dxa"/>
          </w:tcPr>
          <w:p w14:paraId="2E14F77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84059A8" w14:textId="77777777">
        <w:tc>
          <w:tcPr>
            <w:tcW w:w="4928" w:type="dxa"/>
          </w:tcPr>
          <w:p w14:paraId="728BF27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528" w:type="dxa"/>
          </w:tcPr>
          <w:p w14:paraId="7DE1BDE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1932 года</w:t>
            </w:r>
          </w:p>
        </w:tc>
      </w:tr>
      <w:tr w:rsidR="004E10C1" w:rsidRPr="0044524F" w14:paraId="34092809" w14:textId="77777777">
        <w:tc>
          <w:tcPr>
            <w:tcW w:w="4928" w:type="dxa"/>
          </w:tcPr>
          <w:p w14:paraId="37BC682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528" w:type="dxa"/>
          </w:tcPr>
          <w:p w14:paraId="51F4B67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C49A31C" w14:textId="77777777">
        <w:tc>
          <w:tcPr>
            <w:tcW w:w="4928" w:type="dxa"/>
          </w:tcPr>
          <w:p w14:paraId="5E51A03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528" w:type="dxa"/>
          </w:tcPr>
          <w:p w14:paraId="7C7C014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года</w:t>
            </w:r>
          </w:p>
        </w:tc>
      </w:tr>
    </w:tbl>
    <w:p w14:paraId="70034A8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Сборка первого двигателя июль 1933 года.</w:t>
      </w:r>
    </w:p>
    <w:p w14:paraId="494E0ED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Н6 (то же)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00352DD5" w14:textId="77777777">
        <w:tc>
          <w:tcPr>
            <w:tcW w:w="4928" w:type="dxa"/>
          </w:tcPr>
          <w:p w14:paraId="529BBE7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3BE5F6A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ОКБ</w:t>
            </w:r>
          </w:p>
        </w:tc>
      </w:tr>
      <w:tr w:rsidR="004E10C1" w:rsidRPr="0044524F" w14:paraId="6B4EBA24" w14:textId="77777777">
        <w:tc>
          <w:tcPr>
            <w:tcW w:w="4928" w:type="dxa"/>
          </w:tcPr>
          <w:p w14:paraId="132BF5D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1882C1B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w:t>
            </w:r>
          </w:p>
        </w:tc>
      </w:tr>
      <w:tr w:rsidR="004E10C1" w:rsidRPr="0044524F" w14:paraId="2E92DAFF" w14:textId="77777777">
        <w:tc>
          <w:tcPr>
            <w:tcW w:w="4928" w:type="dxa"/>
          </w:tcPr>
          <w:p w14:paraId="4647E49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4F19DF2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r w:rsidR="004E10C1" w:rsidRPr="0044524F" w14:paraId="2D3D2B71" w14:textId="77777777">
        <w:tc>
          <w:tcPr>
            <w:tcW w:w="4928" w:type="dxa"/>
          </w:tcPr>
          <w:p w14:paraId="52E83DD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3298DC0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w:t>
            </w:r>
          </w:p>
        </w:tc>
      </w:tr>
      <w:tr w:rsidR="004E10C1" w:rsidRPr="0044524F" w14:paraId="4F5AE3C0" w14:textId="77777777">
        <w:tc>
          <w:tcPr>
            <w:tcW w:w="4928" w:type="dxa"/>
          </w:tcPr>
          <w:p w14:paraId="1EB86B6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23FD816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61DDBD7" w14:textId="77777777">
        <w:tc>
          <w:tcPr>
            <w:tcW w:w="4928" w:type="dxa"/>
          </w:tcPr>
          <w:p w14:paraId="6CE01C9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6CB5662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r w:rsidR="004E10C1" w:rsidRPr="0044524F" w14:paraId="7FDDB59B" w14:textId="77777777">
        <w:tc>
          <w:tcPr>
            <w:tcW w:w="4928" w:type="dxa"/>
          </w:tcPr>
          <w:p w14:paraId="4287749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6190822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91EF481" w14:textId="77777777">
        <w:tc>
          <w:tcPr>
            <w:tcW w:w="4928" w:type="dxa"/>
          </w:tcPr>
          <w:p w14:paraId="778CF84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761E07D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1932 года</w:t>
            </w:r>
          </w:p>
        </w:tc>
      </w:tr>
      <w:tr w:rsidR="004E10C1" w:rsidRPr="0044524F" w14:paraId="12075E46" w14:textId="77777777">
        <w:tc>
          <w:tcPr>
            <w:tcW w:w="4928" w:type="dxa"/>
          </w:tcPr>
          <w:p w14:paraId="3396E46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3EC4769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1F7BAF0" w14:textId="77777777">
        <w:tc>
          <w:tcPr>
            <w:tcW w:w="4928" w:type="dxa"/>
          </w:tcPr>
          <w:p w14:paraId="3FB852D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1D4F9AF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67CB432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запроектирован с мощностью 400-450 л.с. невысотный. Не строится, т.к. не удовлетворяет тактико-техническим требованиям РВС и отсутствует производственная база.</w:t>
      </w:r>
    </w:p>
    <w:p w14:paraId="7BDD2C2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 работы.</w:t>
      </w:r>
    </w:p>
    <w:p w14:paraId="6EF4ACD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 переменного шага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355F931F" w14:textId="77777777">
        <w:tc>
          <w:tcPr>
            <w:tcW w:w="4928" w:type="dxa"/>
          </w:tcPr>
          <w:p w14:paraId="3B977C9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3D926CA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2B584B1F" w14:textId="77777777">
        <w:tc>
          <w:tcPr>
            <w:tcW w:w="4928" w:type="dxa"/>
          </w:tcPr>
          <w:p w14:paraId="2E9BCC2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29F4B1D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620A586" w14:textId="77777777">
        <w:tc>
          <w:tcPr>
            <w:tcW w:w="4928" w:type="dxa"/>
          </w:tcPr>
          <w:p w14:paraId="7546A3F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320C8A4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r w:rsidR="004E10C1" w:rsidRPr="0044524F" w14:paraId="030424EF" w14:textId="77777777">
        <w:tc>
          <w:tcPr>
            <w:tcW w:w="4928" w:type="dxa"/>
          </w:tcPr>
          <w:p w14:paraId="4D7ACB3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7AD2C60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DF4A646" w14:textId="77777777">
        <w:tc>
          <w:tcPr>
            <w:tcW w:w="4928" w:type="dxa"/>
          </w:tcPr>
          <w:p w14:paraId="51099A6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7875100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0200011" w14:textId="77777777">
        <w:tc>
          <w:tcPr>
            <w:tcW w:w="4928" w:type="dxa"/>
          </w:tcPr>
          <w:p w14:paraId="6D9B9B1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05992B5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r w:rsidR="004E10C1" w:rsidRPr="0044524F" w14:paraId="0DFDB704" w14:textId="77777777">
        <w:tc>
          <w:tcPr>
            <w:tcW w:w="4928" w:type="dxa"/>
          </w:tcPr>
          <w:p w14:paraId="46AF821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561F68A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52C58A0" w14:textId="77777777">
        <w:tc>
          <w:tcPr>
            <w:tcW w:w="4928" w:type="dxa"/>
          </w:tcPr>
          <w:p w14:paraId="5962D5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3FADAF5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1932 года</w:t>
            </w:r>
          </w:p>
        </w:tc>
      </w:tr>
      <w:tr w:rsidR="004E10C1" w:rsidRPr="0044524F" w14:paraId="03E5EB21" w14:textId="77777777">
        <w:tc>
          <w:tcPr>
            <w:tcW w:w="4928" w:type="dxa"/>
          </w:tcPr>
          <w:p w14:paraId="1150B89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60C515E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45E7BE7" w14:textId="77777777">
        <w:tc>
          <w:tcPr>
            <w:tcW w:w="4928" w:type="dxa"/>
          </w:tcPr>
          <w:p w14:paraId="267A0AE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Авиапромом на госисп.</w:t>
            </w:r>
          </w:p>
        </w:tc>
        <w:tc>
          <w:tcPr>
            <w:tcW w:w="5386" w:type="dxa"/>
          </w:tcPr>
          <w:p w14:paraId="33014FC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47C43B5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 переменного шага испытан на моторе Лоррен-Дитрих на с-те Р3. Конструкция винта удовлетворительная. Второй винт переменного шага запроектирован под М34. Запущен в производство на зав. ЦИАМ.</w:t>
      </w:r>
    </w:p>
    <w:p w14:paraId="4E262E9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Газовая турбина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2B175B8E" w14:textId="77777777">
        <w:tc>
          <w:tcPr>
            <w:tcW w:w="4928" w:type="dxa"/>
          </w:tcPr>
          <w:p w14:paraId="29D5F52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1029B52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ВТИ</w:t>
            </w:r>
          </w:p>
        </w:tc>
      </w:tr>
      <w:tr w:rsidR="004E10C1" w:rsidRPr="0044524F" w14:paraId="59D3FB2C" w14:textId="77777777">
        <w:tc>
          <w:tcPr>
            <w:tcW w:w="4928" w:type="dxa"/>
          </w:tcPr>
          <w:p w14:paraId="3A202DE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7F8CDBA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8805CFD" w14:textId="77777777">
        <w:tc>
          <w:tcPr>
            <w:tcW w:w="4928" w:type="dxa"/>
          </w:tcPr>
          <w:p w14:paraId="3457AEE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22DDF80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500-1000</w:t>
            </w:r>
          </w:p>
        </w:tc>
      </w:tr>
      <w:tr w:rsidR="004E10C1" w:rsidRPr="0044524F" w14:paraId="3A19EEC2" w14:textId="77777777">
        <w:tc>
          <w:tcPr>
            <w:tcW w:w="4928" w:type="dxa"/>
          </w:tcPr>
          <w:p w14:paraId="2F7C1DD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4791A95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400-800</w:t>
            </w:r>
          </w:p>
        </w:tc>
      </w:tr>
      <w:tr w:rsidR="004E10C1" w:rsidRPr="0044524F" w14:paraId="236CB31E" w14:textId="77777777">
        <w:tc>
          <w:tcPr>
            <w:tcW w:w="4928" w:type="dxa"/>
          </w:tcPr>
          <w:p w14:paraId="0FE949E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03C4794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E74427F" w14:textId="77777777">
        <w:tc>
          <w:tcPr>
            <w:tcW w:w="4928" w:type="dxa"/>
          </w:tcPr>
          <w:p w14:paraId="1C204D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1E39E78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6000-8000</w:t>
            </w:r>
          </w:p>
        </w:tc>
      </w:tr>
      <w:tr w:rsidR="004E10C1" w:rsidRPr="0044524F" w14:paraId="51A24F46" w14:textId="77777777">
        <w:tc>
          <w:tcPr>
            <w:tcW w:w="4928" w:type="dxa"/>
          </w:tcPr>
          <w:p w14:paraId="3D27BFC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38F6081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887EEA0" w14:textId="77777777">
        <w:tc>
          <w:tcPr>
            <w:tcW w:w="4928" w:type="dxa"/>
          </w:tcPr>
          <w:p w14:paraId="5AC80B3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4764290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1932 года</w:t>
            </w:r>
          </w:p>
        </w:tc>
      </w:tr>
      <w:tr w:rsidR="004E10C1" w:rsidRPr="0044524F" w14:paraId="7D2F88AA" w14:textId="77777777">
        <w:tc>
          <w:tcPr>
            <w:tcW w:w="4928" w:type="dxa"/>
          </w:tcPr>
          <w:p w14:paraId="41DA699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731163D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8166F3" w14:textId="77777777">
        <w:tc>
          <w:tcPr>
            <w:tcW w:w="4928" w:type="dxa"/>
          </w:tcPr>
          <w:p w14:paraId="239ADB1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06D2F80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1932 года (оконч. экспер. устан.)</w:t>
            </w:r>
          </w:p>
        </w:tc>
      </w:tr>
    </w:tbl>
    <w:p w14:paraId="0D576CA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испытания опытная модель турбины на сж. возд. У турбокомпрессора намеч. переделки для устранения недостат. Камера сгор. эксперим. по повыш. напряж. топочн. пространства. Работы сильно задерж. из-за отсутствия помещен. и произв. базы.</w:t>
      </w:r>
    </w:p>
    <w:p w14:paraId="6DEFACC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Паровая турбина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73D51BAF" w14:textId="77777777">
        <w:tc>
          <w:tcPr>
            <w:tcW w:w="4928" w:type="dxa"/>
          </w:tcPr>
          <w:p w14:paraId="1EC499B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774A2E0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ВОГВФ и ОКБ</w:t>
            </w:r>
          </w:p>
        </w:tc>
      </w:tr>
      <w:tr w:rsidR="004E10C1" w:rsidRPr="0044524F" w14:paraId="704ED5AA" w14:textId="77777777">
        <w:tc>
          <w:tcPr>
            <w:tcW w:w="4928" w:type="dxa"/>
          </w:tcPr>
          <w:p w14:paraId="5193F1B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33AC33E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3B7714C" w14:textId="77777777">
        <w:tc>
          <w:tcPr>
            <w:tcW w:w="4928" w:type="dxa"/>
          </w:tcPr>
          <w:p w14:paraId="1B67CAE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77E0BCC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r w:rsidR="004E10C1" w:rsidRPr="0044524F" w14:paraId="4BA73C23" w14:textId="77777777">
        <w:tc>
          <w:tcPr>
            <w:tcW w:w="4928" w:type="dxa"/>
          </w:tcPr>
          <w:p w14:paraId="2F8210E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2BCF52C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r w:rsidR="004E10C1" w:rsidRPr="0044524F" w14:paraId="22089D53" w14:textId="77777777">
        <w:tc>
          <w:tcPr>
            <w:tcW w:w="4928" w:type="dxa"/>
          </w:tcPr>
          <w:p w14:paraId="69BAEC1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4301403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6163A03" w14:textId="77777777">
        <w:tc>
          <w:tcPr>
            <w:tcW w:w="4928" w:type="dxa"/>
          </w:tcPr>
          <w:p w14:paraId="3F8846D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6A1300E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w:t>
            </w:r>
          </w:p>
        </w:tc>
      </w:tr>
      <w:tr w:rsidR="004E10C1" w:rsidRPr="0044524F" w14:paraId="6176BB0D" w14:textId="77777777">
        <w:tc>
          <w:tcPr>
            <w:tcW w:w="4928" w:type="dxa"/>
          </w:tcPr>
          <w:p w14:paraId="4DBC89B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54FBF87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79389A8" w14:textId="77777777">
        <w:tc>
          <w:tcPr>
            <w:tcW w:w="4928" w:type="dxa"/>
          </w:tcPr>
          <w:p w14:paraId="22F2BDD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5568911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года</w:t>
            </w:r>
          </w:p>
        </w:tc>
      </w:tr>
      <w:tr w:rsidR="004E10C1" w:rsidRPr="0044524F" w14:paraId="01AD3084" w14:textId="77777777">
        <w:tc>
          <w:tcPr>
            <w:tcW w:w="4928" w:type="dxa"/>
          </w:tcPr>
          <w:p w14:paraId="6214CB7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52CF9C5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6E73F00" w14:textId="77777777">
        <w:tc>
          <w:tcPr>
            <w:tcW w:w="4928" w:type="dxa"/>
          </w:tcPr>
          <w:p w14:paraId="6C2ADDF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439143E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года (зав. исп.)</w:t>
            </w:r>
          </w:p>
        </w:tc>
      </w:tr>
    </w:tbl>
    <w:p w14:paraId="6068B86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агрегаты закончены в проекте. Вспомогательные находятся в процессе проектирования.</w:t>
      </w:r>
    </w:p>
    <w:p w14:paraId="2C77BD6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Паровая турбина (особ. пост. Правит.)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211F5875" w14:textId="77777777">
        <w:tc>
          <w:tcPr>
            <w:tcW w:w="4928" w:type="dxa"/>
          </w:tcPr>
          <w:p w14:paraId="08AA252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025F67D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w:t>
            </w:r>
          </w:p>
        </w:tc>
      </w:tr>
      <w:tr w:rsidR="004E10C1" w:rsidRPr="0044524F" w14:paraId="2623A1E1" w14:textId="77777777">
        <w:tc>
          <w:tcPr>
            <w:tcW w:w="4928" w:type="dxa"/>
          </w:tcPr>
          <w:p w14:paraId="4A91409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4166F72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D8D96F1" w14:textId="77777777">
        <w:tc>
          <w:tcPr>
            <w:tcW w:w="4928" w:type="dxa"/>
          </w:tcPr>
          <w:p w14:paraId="4005F60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3FBB3FD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r>
      <w:tr w:rsidR="004E10C1" w:rsidRPr="0044524F" w14:paraId="4F3E6AB5" w14:textId="77777777">
        <w:tc>
          <w:tcPr>
            <w:tcW w:w="4928" w:type="dxa"/>
          </w:tcPr>
          <w:p w14:paraId="0BE461F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538FD07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9600</w:t>
            </w:r>
          </w:p>
        </w:tc>
      </w:tr>
      <w:tr w:rsidR="004E10C1" w:rsidRPr="0044524F" w14:paraId="149461D1" w14:textId="77777777">
        <w:tc>
          <w:tcPr>
            <w:tcW w:w="4928" w:type="dxa"/>
          </w:tcPr>
          <w:p w14:paraId="2890820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4AD97CC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18C7AAD" w14:textId="77777777">
        <w:tc>
          <w:tcPr>
            <w:tcW w:w="4928" w:type="dxa"/>
          </w:tcPr>
          <w:p w14:paraId="1B79570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190BB78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r>
      <w:tr w:rsidR="004E10C1" w:rsidRPr="0044524F" w14:paraId="6840D180" w14:textId="77777777">
        <w:tc>
          <w:tcPr>
            <w:tcW w:w="4928" w:type="dxa"/>
          </w:tcPr>
          <w:p w14:paraId="354B276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1F32505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68F20F9" w14:textId="77777777">
        <w:tc>
          <w:tcPr>
            <w:tcW w:w="4928" w:type="dxa"/>
          </w:tcPr>
          <w:p w14:paraId="19B208A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5E037AE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января 1934 года </w:t>
            </w:r>
          </w:p>
        </w:tc>
      </w:tr>
      <w:tr w:rsidR="004E10C1" w:rsidRPr="0044524F" w14:paraId="2679687C" w14:textId="77777777">
        <w:tc>
          <w:tcPr>
            <w:tcW w:w="4928" w:type="dxa"/>
          </w:tcPr>
          <w:p w14:paraId="7BF0D29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60CCA8E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322602F" w14:textId="77777777">
        <w:tc>
          <w:tcPr>
            <w:tcW w:w="4928" w:type="dxa"/>
          </w:tcPr>
          <w:p w14:paraId="1AAA357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0ED1D69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года (по утвержд. эскиз. проекту)</w:t>
            </w:r>
          </w:p>
        </w:tc>
      </w:tr>
    </w:tbl>
    <w:p w14:paraId="78D0B22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февраля 1933 года происходило предварительное рассмотрение эскизного проекта. Проект закончен на 50 %.</w:t>
      </w:r>
    </w:p>
    <w:p w14:paraId="7950770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Паровая турбина (особ. пост. Правит.)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4B2FC55C" w14:textId="77777777">
        <w:tc>
          <w:tcPr>
            <w:tcW w:w="4928" w:type="dxa"/>
          </w:tcPr>
          <w:p w14:paraId="1EF281F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586F918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w:t>
            </w:r>
          </w:p>
        </w:tc>
      </w:tr>
      <w:tr w:rsidR="004E10C1" w:rsidRPr="0044524F" w14:paraId="58268332" w14:textId="77777777">
        <w:tc>
          <w:tcPr>
            <w:tcW w:w="4928" w:type="dxa"/>
          </w:tcPr>
          <w:p w14:paraId="02B32CE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2ECF0CB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779EAA3" w14:textId="77777777">
        <w:tc>
          <w:tcPr>
            <w:tcW w:w="4928" w:type="dxa"/>
          </w:tcPr>
          <w:p w14:paraId="5883FC0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5A68F48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r>
      <w:tr w:rsidR="004E10C1" w:rsidRPr="0044524F" w14:paraId="1C346EBB" w14:textId="77777777">
        <w:tc>
          <w:tcPr>
            <w:tcW w:w="4928" w:type="dxa"/>
          </w:tcPr>
          <w:p w14:paraId="6B2B31E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732637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16500</w:t>
            </w:r>
          </w:p>
        </w:tc>
      </w:tr>
      <w:tr w:rsidR="004E10C1" w:rsidRPr="0044524F" w14:paraId="21BCD6F9" w14:textId="77777777">
        <w:tc>
          <w:tcPr>
            <w:tcW w:w="4928" w:type="dxa"/>
          </w:tcPr>
          <w:p w14:paraId="2288AA2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6FF4E9D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B6593A7" w14:textId="77777777">
        <w:tc>
          <w:tcPr>
            <w:tcW w:w="4928" w:type="dxa"/>
          </w:tcPr>
          <w:p w14:paraId="648FC28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7A26BE7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39C88469" w14:textId="77777777">
        <w:tc>
          <w:tcPr>
            <w:tcW w:w="4928" w:type="dxa"/>
          </w:tcPr>
          <w:p w14:paraId="42DE3EF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632266A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079D505" w14:textId="77777777">
        <w:tc>
          <w:tcPr>
            <w:tcW w:w="4928" w:type="dxa"/>
          </w:tcPr>
          <w:p w14:paraId="5C8C7A0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143215C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 года</w:t>
            </w:r>
          </w:p>
        </w:tc>
      </w:tr>
      <w:tr w:rsidR="004E10C1" w:rsidRPr="0044524F" w14:paraId="48FF183B" w14:textId="77777777">
        <w:tc>
          <w:tcPr>
            <w:tcW w:w="4928" w:type="dxa"/>
          </w:tcPr>
          <w:p w14:paraId="3CEE125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144227D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E2AF90B" w14:textId="77777777">
        <w:tc>
          <w:tcPr>
            <w:tcW w:w="4928" w:type="dxa"/>
          </w:tcPr>
          <w:p w14:paraId="7D5160F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3601627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года (эскиз. проект на утвержд.)</w:t>
            </w:r>
          </w:p>
        </w:tc>
      </w:tr>
    </w:tbl>
    <w:p w14:paraId="01A1135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проектированию не приступлено, т.к. все группы загружены предыдущим объектом.</w:t>
      </w:r>
    </w:p>
    <w:p w14:paraId="1B6F72E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Бесклапанный двигатель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5F068F24" w14:textId="77777777">
        <w:tc>
          <w:tcPr>
            <w:tcW w:w="4928" w:type="dxa"/>
          </w:tcPr>
          <w:p w14:paraId="1D98E02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строит</w:t>
            </w:r>
          </w:p>
        </w:tc>
        <w:tc>
          <w:tcPr>
            <w:tcW w:w="5386" w:type="dxa"/>
          </w:tcPr>
          <w:p w14:paraId="0CDB959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r>
      <w:tr w:rsidR="004E10C1" w:rsidRPr="0044524F" w14:paraId="1E3A4C0D" w14:textId="77777777">
        <w:tc>
          <w:tcPr>
            <w:tcW w:w="4928" w:type="dxa"/>
          </w:tcPr>
          <w:p w14:paraId="19AE530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5386" w:type="dxa"/>
          </w:tcPr>
          <w:p w14:paraId="4FB2ECF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8AF8E72" w14:textId="77777777">
        <w:tc>
          <w:tcPr>
            <w:tcW w:w="4928" w:type="dxa"/>
          </w:tcPr>
          <w:p w14:paraId="3D8453A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5386" w:type="dxa"/>
          </w:tcPr>
          <w:p w14:paraId="188A321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4827976C" w14:textId="77777777">
        <w:tc>
          <w:tcPr>
            <w:tcW w:w="4928" w:type="dxa"/>
          </w:tcPr>
          <w:p w14:paraId="51F85DD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5386" w:type="dxa"/>
          </w:tcPr>
          <w:p w14:paraId="4034E45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35B9565" w14:textId="77777777">
        <w:tc>
          <w:tcPr>
            <w:tcW w:w="4928" w:type="dxa"/>
          </w:tcPr>
          <w:p w14:paraId="31E8D33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Удельный вес</w:t>
            </w:r>
          </w:p>
        </w:tc>
        <w:tc>
          <w:tcPr>
            <w:tcW w:w="5386" w:type="dxa"/>
          </w:tcPr>
          <w:p w14:paraId="4BFBBBA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F7E40A5" w14:textId="77777777">
        <w:tc>
          <w:tcPr>
            <w:tcW w:w="4928" w:type="dxa"/>
          </w:tcPr>
          <w:p w14:paraId="3B7F0A5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5386" w:type="dxa"/>
          </w:tcPr>
          <w:p w14:paraId="13BCDD3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FE743DC" w14:textId="77777777">
        <w:tc>
          <w:tcPr>
            <w:tcW w:w="4928" w:type="dxa"/>
          </w:tcPr>
          <w:p w14:paraId="3982DB5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 на госиспыт.</w:t>
            </w:r>
          </w:p>
        </w:tc>
        <w:tc>
          <w:tcPr>
            <w:tcW w:w="5386" w:type="dxa"/>
          </w:tcPr>
          <w:p w14:paraId="6C25C44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5D8FE5D" w14:textId="77777777">
        <w:tc>
          <w:tcPr>
            <w:tcW w:w="4928" w:type="dxa"/>
          </w:tcPr>
          <w:p w14:paraId="6623432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 СТО</w:t>
            </w:r>
          </w:p>
        </w:tc>
        <w:tc>
          <w:tcPr>
            <w:tcW w:w="5386" w:type="dxa"/>
          </w:tcPr>
          <w:p w14:paraId="71D3651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1932 года</w:t>
            </w:r>
          </w:p>
        </w:tc>
      </w:tr>
      <w:tr w:rsidR="004E10C1" w:rsidRPr="0044524F" w14:paraId="652B8FC0" w14:textId="77777777">
        <w:tc>
          <w:tcPr>
            <w:tcW w:w="4928" w:type="dxa"/>
          </w:tcPr>
          <w:p w14:paraId="00A310D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сроки предъявл.</w:t>
            </w:r>
          </w:p>
        </w:tc>
        <w:tc>
          <w:tcPr>
            <w:tcW w:w="5386" w:type="dxa"/>
          </w:tcPr>
          <w:p w14:paraId="0AC93CB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82628EB" w14:textId="77777777">
        <w:tc>
          <w:tcPr>
            <w:tcW w:w="4928" w:type="dxa"/>
          </w:tcPr>
          <w:p w14:paraId="5336987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Авиапромом на госисп.</w:t>
            </w:r>
          </w:p>
        </w:tc>
        <w:tc>
          <w:tcPr>
            <w:tcW w:w="5386" w:type="dxa"/>
          </w:tcPr>
          <w:p w14:paraId="7084225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года</w:t>
            </w:r>
          </w:p>
        </w:tc>
      </w:tr>
    </w:tbl>
    <w:p w14:paraId="0AFC739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в производстве. Из-за загрузки завода производство мотора задерживается.</w:t>
      </w:r>
    </w:p>
    <w:p w14:paraId="11EB7F3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самолетам (сухопутным).</w:t>
      </w:r>
    </w:p>
    <w:p w14:paraId="127C112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w:t>
      </w:r>
    </w:p>
    <w:p w14:paraId="3CAB23D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ТБ6-М44 или нефтян. (тяжелый бомбардировщик, он же пассажирский).</w:t>
      </w:r>
    </w:p>
    <w:p w14:paraId="0C8BCA8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44335170" w14:textId="77777777">
        <w:tc>
          <w:tcPr>
            <w:tcW w:w="4928" w:type="dxa"/>
          </w:tcPr>
          <w:p w14:paraId="69E640F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415710F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250/5000</w:t>
            </w:r>
          </w:p>
        </w:tc>
      </w:tr>
      <w:tr w:rsidR="004E10C1" w:rsidRPr="0044524F" w14:paraId="570BDAE7" w14:textId="77777777">
        <w:tc>
          <w:tcPr>
            <w:tcW w:w="4928" w:type="dxa"/>
          </w:tcPr>
          <w:p w14:paraId="7FC810D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393C3D6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0EC2D61" w14:textId="77777777">
        <w:tc>
          <w:tcPr>
            <w:tcW w:w="4928" w:type="dxa"/>
          </w:tcPr>
          <w:p w14:paraId="7CD9A4E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4497718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w:t>
            </w:r>
          </w:p>
        </w:tc>
      </w:tr>
      <w:tr w:rsidR="004E10C1" w:rsidRPr="0044524F" w14:paraId="10B9F482" w14:textId="77777777">
        <w:tc>
          <w:tcPr>
            <w:tcW w:w="4928" w:type="dxa"/>
          </w:tcPr>
          <w:p w14:paraId="7F959F1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2A04AEF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 15000 кг</w:t>
            </w:r>
          </w:p>
        </w:tc>
      </w:tr>
      <w:tr w:rsidR="004E10C1" w:rsidRPr="0044524F" w14:paraId="674F2E28" w14:textId="77777777">
        <w:tc>
          <w:tcPr>
            <w:tcW w:w="4928" w:type="dxa"/>
          </w:tcPr>
          <w:p w14:paraId="48E5D57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343B704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пулеметы и пушки</w:t>
            </w:r>
          </w:p>
        </w:tc>
      </w:tr>
      <w:tr w:rsidR="004E10C1" w:rsidRPr="0044524F" w14:paraId="01FBE130" w14:textId="77777777">
        <w:tc>
          <w:tcPr>
            <w:tcW w:w="4928" w:type="dxa"/>
          </w:tcPr>
          <w:p w14:paraId="63AA909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217AE04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r>
      <w:tr w:rsidR="004E10C1" w:rsidRPr="0044524F" w14:paraId="425D7526" w14:textId="77777777">
        <w:tc>
          <w:tcPr>
            <w:tcW w:w="4928" w:type="dxa"/>
          </w:tcPr>
          <w:p w14:paraId="36FAA18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4814005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3DC925B" w14:textId="77777777">
        <w:tc>
          <w:tcPr>
            <w:tcW w:w="4928" w:type="dxa"/>
          </w:tcPr>
          <w:p w14:paraId="16641C7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 Ориент. срок предъявления промышл. на гос. испытания</w:t>
            </w:r>
          </w:p>
        </w:tc>
        <w:tc>
          <w:tcPr>
            <w:tcW w:w="5386" w:type="dxa"/>
          </w:tcPr>
          <w:p w14:paraId="19A46C5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1934 года</w:t>
            </w:r>
          </w:p>
        </w:tc>
      </w:tr>
    </w:tbl>
    <w:p w14:paraId="4FE77D9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Работа находится в стадии уточнения основных размеров самолета, при чем ЦАГИ исходит из бомбовой нагрузки 10 тонн. Ведется проектирование основных узлов и элементов самолета с специальной целью выработки типовой конструкции отдельных элементов из хромомолибденовой стали, которая явится основным материалом.</w:t>
      </w:r>
    </w:p>
    <w:p w14:paraId="7ECA874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запроектирован в виде моноплана с очень большим размахом крыльев (около 100 м) и фюзеляжем близким по размерам к фюзеляжу самолета ТБ-4. Выработана схема самолета. Производятся расчеты для разработки конструкции. Самолет проектируется под 12 моторов М34НР с возможностью замены их на 6 моторов М44. Летно-тактические данные по техтребованиям ЦАГИ оспариваются в сторону уменьшения сбрасываемого груза до 10 тонн и уменьшения радиуса.</w:t>
      </w:r>
    </w:p>
    <w:p w14:paraId="3AB3FB0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Д1-10М34 (тяжелый десантный).</w:t>
      </w:r>
    </w:p>
    <w:p w14:paraId="25B1B50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59C751C1" w14:textId="77777777">
        <w:tc>
          <w:tcPr>
            <w:tcW w:w="4928" w:type="dxa"/>
          </w:tcPr>
          <w:p w14:paraId="2D7A889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50D6C16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215/3000</w:t>
            </w:r>
          </w:p>
        </w:tc>
      </w:tr>
      <w:tr w:rsidR="004E10C1" w:rsidRPr="0044524F" w14:paraId="7543782E" w14:textId="77777777">
        <w:tc>
          <w:tcPr>
            <w:tcW w:w="4928" w:type="dxa"/>
          </w:tcPr>
          <w:p w14:paraId="4E984D2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43D59F0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5B89E3" w14:textId="77777777">
        <w:tc>
          <w:tcPr>
            <w:tcW w:w="4928" w:type="dxa"/>
          </w:tcPr>
          <w:p w14:paraId="3866815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4F7C873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65DB6BB9" w14:textId="77777777">
        <w:tc>
          <w:tcPr>
            <w:tcW w:w="4928" w:type="dxa"/>
          </w:tcPr>
          <w:p w14:paraId="0DC5CBE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782CB2F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пулеметов, 2 пушки</w:t>
            </w:r>
          </w:p>
        </w:tc>
      </w:tr>
      <w:tr w:rsidR="004E10C1" w:rsidRPr="0044524F" w14:paraId="5D67EAE0" w14:textId="77777777">
        <w:tc>
          <w:tcPr>
            <w:tcW w:w="4928" w:type="dxa"/>
          </w:tcPr>
          <w:p w14:paraId="2DC093E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4FF74D9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r>
      <w:tr w:rsidR="004E10C1" w:rsidRPr="0044524F" w14:paraId="70FC7BE6" w14:textId="77777777">
        <w:tc>
          <w:tcPr>
            <w:tcW w:w="4928" w:type="dxa"/>
          </w:tcPr>
          <w:p w14:paraId="76AA717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03D0814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5D06A89" w14:textId="77777777">
        <w:tc>
          <w:tcPr>
            <w:tcW w:w="4928" w:type="dxa"/>
          </w:tcPr>
          <w:p w14:paraId="212A111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65DEF7A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года</w:t>
            </w:r>
          </w:p>
        </w:tc>
      </w:tr>
      <w:tr w:rsidR="004E10C1" w:rsidRPr="0044524F" w14:paraId="71847561" w14:textId="77777777">
        <w:tc>
          <w:tcPr>
            <w:tcW w:w="4928" w:type="dxa"/>
          </w:tcPr>
          <w:p w14:paraId="1793D69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1D9B7FD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F88272" w14:textId="77777777">
        <w:tc>
          <w:tcPr>
            <w:tcW w:w="4928" w:type="dxa"/>
          </w:tcPr>
          <w:p w14:paraId="01980A5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40D2830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ВВА не установлен</w:t>
            </w:r>
          </w:p>
        </w:tc>
      </w:tr>
    </w:tbl>
    <w:p w14:paraId="66B146D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 элементов конструкции разработкой закончен и готов для сдачи в производство. Заканчивается разработка рабочих чертежей. Вопрос постройки задерживается испытанием передач от моторов к винтам. Производственной базы еще не имеется. Испытание передач велось с 23 января 1933 года на 2-х электромоторах постоянного тока. Испытание передач продолжается с 16 марта на 2-х моторах М27, наработано общей сложностью 2,5 часа.</w:t>
      </w:r>
    </w:p>
    <w:p w14:paraId="39F7E13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 (тяжелый бомбовоз).</w:t>
      </w:r>
    </w:p>
    <w:p w14:paraId="758750B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4AA4FE18" w14:textId="77777777">
        <w:tc>
          <w:tcPr>
            <w:tcW w:w="4928" w:type="dxa"/>
          </w:tcPr>
          <w:p w14:paraId="633091F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595C729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200/3000</w:t>
            </w:r>
          </w:p>
        </w:tc>
      </w:tr>
      <w:tr w:rsidR="004E10C1" w:rsidRPr="0044524F" w14:paraId="52D4F7D0" w14:textId="77777777">
        <w:tc>
          <w:tcPr>
            <w:tcW w:w="4928" w:type="dxa"/>
          </w:tcPr>
          <w:p w14:paraId="36B4C67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502FBF9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4B271FE" w14:textId="77777777">
        <w:tc>
          <w:tcPr>
            <w:tcW w:w="4928" w:type="dxa"/>
          </w:tcPr>
          <w:p w14:paraId="4F33D41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125CFF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5000-6000</w:t>
            </w:r>
          </w:p>
        </w:tc>
      </w:tr>
      <w:tr w:rsidR="004E10C1" w:rsidRPr="0044524F" w14:paraId="7FA174C0" w14:textId="77777777">
        <w:tc>
          <w:tcPr>
            <w:tcW w:w="4928" w:type="dxa"/>
          </w:tcPr>
          <w:p w14:paraId="1CCBDAF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539B15D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 6000 кг</w:t>
            </w:r>
          </w:p>
        </w:tc>
      </w:tr>
      <w:tr w:rsidR="004E10C1" w:rsidRPr="0044524F" w14:paraId="4C2CC21B" w14:textId="77777777">
        <w:tc>
          <w:tcPr>
            <w:tcW w:w="4928" w:type="dxa"/>
          </w:tcPr>
          <w:p w14:paraId="7008EAE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212965A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пул., 2 пушки</w:t>
            </w:r>
          </w:p>
        </w:tc>
      </w:tr>
      <w:tr w:rsidR="004E10C1" w:rsidRPr="0044524F" w14:paraId="49C171F5" w14:textId="77777777">
        <w:tc>
          <w:tcPr>
            <w:tcW w:w="4928" w:type="dxa"/>
          </w:tcPr>
          <w:p w14:paraId="6C1F5FD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0AADD49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05F8829C" w14:textId="77777777">
        <w:tc>
          <w:tcPr>
            <w:tcW w:w="4928" w:type="dxa"/>
          </w:tcPr>
          <w:p w14:paraId="1D3D9A5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5F561F3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55B6D60" w14:textId="77777777">
        <w:tc>
          <w:tcPr>
            <w:tcW w:w="4928" w:type="dxa"/>
          </w:tcPr>
          <w:p w14:paraId="29B7574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799C89B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года</w:t>
            </w:r>
          </w:p>
        </w:tc>
      </w:tr>
      <w:tr w:rsidR="004E10C1" w:rsidRPr="0044524F" w14:paraId="4C4982A9" w14:textId="77777777">
        <w:tc>
          <w:tcPr>
            <w:tcW w:w="4928" w:type="dxa"/>
          </w:tcPr>
          <w:p w14:paraId="1F7FAB2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7FD5E89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C6B2A74" w14:textId="77777777">
        <w:tc>
          <w:tcPr>
            <w:tcW w:w="4928" w:type="dxa"/>
          </w:tcPr>
          <w:p w14:paraId="3B266D1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4C33706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 зав. испыт.</w:t>
            </w:r>
          </w:p>
        </w:tc>
      </w:tr>
    </w:tbl>
    <w:p w14:paraId="66488F9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Перевозка самолета на аэродром закончена. Производится сборка. Навешены крылья и хвост. Монтируется тандемная установка моторов. Самолет к 1 мая выйдет на заводские испытания.</w:t>
      </w:r>
    </w:p>
    <w:p w14:paraId="08B9599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 (головной серийный).</w:t>
      </w:r>
    </w:p>
    <w:p w14:paraId="49AFB9F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29B80421" w14:textId="77777777">
        <w:tc>
          <w:tcPr>
            <w:tcW w:w="4928" w:type="dxa"/>
          </w:tcPr>
          <w:p w14:paraId="757F3CE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2D5179B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200/3000</w:t>
            </w:r>
          </w:p>
        </w:tc>
      </w:tr>
      <w:tr w:rsidR="004E10C1" w:rsidRPr="0044524F" w14:paraId="1097139E" w14:textId="77777777">
        <w:tc>
          <w:tcPr>
            <w:tcW w:w="4928" w:type="dxa"/>
          </w:tcPr>
          <w:p w14:paraId="13832FD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2AD0353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9C01133" w14:textId="77777777">
        <w:tc>
          <w:tcPr>
            <w:tcW w:w="4928" w:type="dxa"/>
          </w:tcPr>
          <w:p w14:paraId="0ED85F8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1DD6852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5000-6000</w:t>
            </w:r>
          </w:p>
        </w:tc>
      </w:tr>
      <w:tr w:rsidR="004E10C1" w:rsidRPr="0044524F" w14:paraId="08D995D2" w14:textId="77777777">
        <w:tc>
          <w:tcPr>
            <w:tcW w:w="4928" w:type="dxa"/>
          </w:tcPr>
          <w:p w14:paraId="6860A30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5E5BF52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 6000 кг</w:t>
            </w:r>
          </w:p>
        </w:tc>
      </w:tr>
      <w:tr w:rsidR="004E10C1" w:rsidRPr="0044524F" w14:paraId="7040A069" w14:textId="77777777">
        <w:tc>
          <w:tcPr>
            <w:tcW w:w="4928" w:type="dxa"/>
          </w:tcPr>
          <w:p w14:paraId="1E553DE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4735A67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пул., 2 пушки</w:t>
            </w:r>
          </w:p>
        </w:tc>
      </w:tr>
      <w:tr w:rsidR="004E10C1" w:rsidRPr="0044524F" w14:paraId="08D9F6CD" w14:textId="77777777">
        <w:tc>
          <w:tcPr>
            <w:tcW w:w="4928" w:type="dxa"/>
          </w:tcPr>
          <w:p w14:paraId="7A56D34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6FF443C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0D94188E" w14:textId="77777777">
        <w:tc>
          <w:tcPr>
            <w:tcW w:w="4928" w:type="dxa"/>
          </w:tcPr>
          <w:p w14:paraId="2CDDDC8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566220E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0392FC4" w14:textId="77777777">
        <w:tc>
          <w:tcPr>
            <w:tcW w:w="4928" w:type="dxa"/>
          </w:tcPr>
          <w:p w14:paraId="057EB7A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6957969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года</w:t>
            </w:r>
          </w:p>
        </w:tc>
      </w:tr>
      <w:tr w:rsidR="004E10C1" w:rsidRPr="0044524F" w14:paraId="04656C1D" w14:textId="77777777">
        <w:tc>
          <w:tcPr>
            <w:tcW w:w="4928" w:type="dxa"/>
          </w:tcPr>
          <w:p w14:paraId="0CEA574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1523404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881A327" w14:textId="77777777">
        <w:tc>
          <w:tcPr>
            <w:tcW w:w="4928" w:type="dxa"/>
          </w:tcPr>
          <w:p w14:paraId="41F14E3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6153020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года зав. испыт.</w:t>
            </w:r>
          </w:p>
        </w:tc>
      </w:tr>
    </w:tbl>
    <w:p w14:paraId="305CFC7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Отъемные части крыльев и оперение готовы. Центроплан, крылья и часть фюзеляжа в сборке на стапелях. Общая готовность всех деталей самолета около 50%. Самолет на мечен к выпуску на заводские испытания к 15 сентября 1933 года.</w:t>
      </w:r>
    </w:p>
    <w:p w14:paraId="7A4F21C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XI-2М34 (тяжелый химический боевик, он же самолет для перевозки горюч. и пассаж.).</w:t>
      </w:r>
    </w:p>
    <w:p w14:paraId="48CF850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35FB816C" w14:textId="77777777">
        <w:tc>
          <w:tcPr>
            <w:tcW w:w="4928" w:type="dxa"/>
          </w:tcPr>
          <w:p w14:paraId="5C2ECD6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0A8BF32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250/3000</w:t>
            </w:r>
          </w:p>
        </w:tc>
      </w:tr>
      <w:tr w:rsidR="004E10C1" w:rsidRPr="0044524F" w14:paraId="0384A507" w14:textId="77777777">
        <w:tc>
          <w:tcPr>
            <w:tcW w:w="4928" w:type="dxa"/>
          </w:tcPr>
          <w:p w14:paraId="0CA0E1C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13035FF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C6C02ED" w14:textId="77777777">
        <w:tc>
          <w:tcPr>
            <w:tcW w:w="4928" w:type="dxa"/>
          </w:tcPr>
          <w:p w14:paraId="12BBB66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4651D52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E4753E5" w14:textId="77777777">
        <w:tc>
          <w:tcPr>
            <w:tcW w:w="4928" w:type="dxa"/>
          </w:tcPr>
          <w:p w14:paraId="66B9274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6825695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 кг ОВ</w:t>
            </w:r>
          </w:p>
        </w:tc>
      </w:tr>
      <w:tr w:rsidR="004E10C1" w:rsidRPr="0044524F" w14:paraId="1351D1E3" w14:textId="77777777">
        <w:tc>
          <w:tcPr>
            <w:tcW w:w="4928" w:type="dxa"/>
          </w:tcPr>
          <w:p w14:paraId="116A6CD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3ADEE05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и легк. пулеметы</w:t>
            </w:r>
          </w:p>
        </w:tc>
      </w:tr>
      <w:tr w:rsidR="004E10C1" w:rsidRPr="0044524F" w14:paraId="201A2E4A" w14:textId="77777777">
        <w:tc>
          <w:tcPr>
            <w:tcW w:w="4928" w:type="dxa"/>
          </w:tcPr>
          <w:p w14:paraId="44EDA83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6C5BFD8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5F268DE4" w14:textId="77777777">
        <w:tc>
          <w:tcPr>
            <w:tcW w:w="4928" w:type="dxa"/>
          </w:tcPr>
          <w:p w14:paraId="276E854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55FCD28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9D19A00" w14:textId="77777777">
        <w:tc>
          <w:tcPr>
            <w:tcW w:w="4928" w:type="dxa"/>
          </w:tcPr>
          <w:p w14:paraId="651E4AC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5627A42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года</w:t>
            </w:r>
          </w:p>
        </w:tc>
      </w:tr>
      <w:tr w:rsidR="004E10C1" w:rsidRPr="0044524F" w14:paraId="02C65CF2" w14:textId="77777777">
        <w:tc>
          <w:tcPr>
            <w:tcW w:w="4928" w:type="dxa"/>
          </w:tcPr>
          <w:p w14:paraId="090DDB6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73A7ADE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5526C7B" w14:textId="77777777">
        <w:tc>
          <w:tcPr>
            <w:tcW w:w="4928" w:type="dxa"/>
          </w:tcPr>
          <w:p w14:paraId="0EE8590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02AD16D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кварт. 1934 года</w:t>
            </w:r>
          </w:p>
        </w:tc>
      </w:tr>
    </w:tbl>
    <w:p w14:paraId="061888E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Делается эскизный проект самолета типа летающего крыла, который является основным. Одновременно делается проект с вынесенным хвостовым оперением. Получаются из-за границы два мотора по 20 НР для летающей модели. Строится модель для продувки. Развертывание работ задерживалось, т.к. группа инженера Путилова занята в основном выпуском сам. СТАЛЬ-3. По ГУГВФ именуется СТАЛЬ-5.</w:t>
      </w:r>
    </w:p>
    <w:p w14:paraId="7647A9D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К1-2М34 (крейсер сухопутный средний бомбардир. дальний разведчик).</w:t>
      </w:r>
    </w:p>
    <w:p w14:paraId="364BFE0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530F4FB2" w14:textId="77777777">
        <w:tc>
          <w:tcPr>
            <w:tcW w:w="4928" w:type="dxa"/>
          </w:tcPr>
          <w:p w14:paraId="1C5DAA9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5065237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270/300/5000</w:t>
            </w:r>
          </w:p>
        </w:tc>
      </w:tr>
      <w:tr w:rsidR="004E10C1" w:rsidRPr="0044524F" w14:paraId="5982222D" w14:textId="77777777">
        <w:tc>
          <w:tcPr>
            <w:tcW w:w="4928" w:type="dxa"/>
          </w:tcPr>
          <w:p w14:paraId="0D713EF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4C89B21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1400199" w14:textId="77777777">
        <w:tc>
          <w:tcPr>
            <w:tcW w:w="4928" w:type="dxa"/>
          </w:tcPr>
          <w:p w14:paraId="706601E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146491F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A210D88" w14:textId="77777777">
        <w:tc>
          <w:tcPr>
            <w:tcW w:w="4928" w:type="dxa"/>
          </w:tcPr>
          <w:p w14:paraId="3F8A411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35F1038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 и легк. пулеметы</w:t>
            </w:r>
          </w:p>
        </w:tc>
      </w:tr>
      <w:tr w:rsidR="004E10C1" w:rsidRPr="0044524F" w14:paraId="2EA9A4C4" w14:textId="77777777">
        <w:tc>
          <w:tcPr>
            <w:tcW w:w="4928" w:type="dxa"/>
          </w:tcPr>
          <w:p w14:paraId="6111232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697E55A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600-1000</w:t>
            </w:r>
          </w:p>
        </w:tc>
      </w:tr>
      <w:tr w:rsidR="004E10C1" w:rsidRPr="0044524F" w14:paraId="3FEECA21" w14:textId="77777777">
        <w:tc>
          <w:tcPr>
            <w:tcW w:w="4928" w:type="dxa"/>
          </w:tcPr>
          <w:p w14:paraId="3D22C1A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796C045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F308C4D" w14:textId="77777777">
        <w:tc>
          <w:tcPr>
            <w:tcW w:w="4928" w:type="dxa"/>
          </w:tcPr>
          <w:p w14:paraId="46CD361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49A0217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w:t>
            </w:r>
          </w:p>
        </w:tc>
      </w:tr>
      <w:tr w:rsidR="004E10C1" w:rsidRPr="0044524F" w14:paraId="2CFFD1FB" w14:textId="77777777">
        <w:tc>
          <w:tcPr>
            <w:tcW w:w="4928" w:type="dxa"/>
          </w:tcPr>
          <w:p w14:paraId="2483370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58E38F5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65E34AA" w14:textId="77777777">
        <w:tc>
          <w:tcPr>
            <w:tcW w:w="4928" w:type="dxa"/>
          </w:tcPr>
          <w:p w14:paraId="6D2752F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18A5A95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февраль-март 1934 года</w:t>
            </w:r>
          </w:p>
        </w:tc>
      </w:tr>
    </w:tbl>
    <w:p w14:paraId="0717313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Макет самолета в целом не утвержден вследствие неудачной компоновки головной части самолета. Чертежи самолета готовы на 50%. В производство запущены отъемные части крыльев. Срок выхода самолета зависит от выхода серийных моторов М32 и намечается из-за задержки моторов на заводские испытания не ранее февраля-марта 1934 года.</w:t>
      </w:r>
    </w:p>
    <w:p w14:paraId="1FC8654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(многоместный истребитель).</w:t>
      </w:r>
    </w:p>
    <w:p w14:paraId="65E1004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13B8929B" w14:textId="77777777">
        <w:tc>
          <w:tcPr>
            <w:tcW w:w="4928" w:type="dxa"/>
          </w:tcPr>
          <w:p w14:paraId="03D5385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25DFBF3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r>
      <w:tr w:rsidR="004E10C1" w:rsidRPr="0044524F" w14:paraId="3EE686D5" w14:textId="77777777">
        <w:tc>
          <w:tcPr>
            <w:tcW w:w="4928" w:type="dxa"/>
          </w:tcPr>
          <w:p w14:paraId="2ADCF90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Скороподъемность на высоту</w:t>
            </w:r>
          </w:p>
        </w:tc>
        <w:tc>
          <w:tcPr>
            <w:tcW w:w="5386" w:type="dxa"/>
          </w:tcPr>
          <w:p w14:paraId="7A4B897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15-18/6000</w:t>
            </w:r>
          </w:p>
        </w:tc>
      </w:tr>
      <w:tr w:rsidR="004E10C1" w:rsidRPr="0044524F" w14:paraId="70DA3B46" w14:textId="77777777">
        <w:tc>
          <w:tcPr>
            <w:tcW w:w="4928" w:type="dxa"/>
          </w:tcPr>
          <w:p w14:paraId="2CCF6E2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2CC085D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7000-8000</w:t>
            </w:r>
          </w:p>
        </w:tc>
      </w:tr>
      <w:tr w:rsidR="004E10C1" w:rsidRPr="0044524F" w14:paraId="7EECFA48" w14:textId="77777777">
        <w:tc>
          <w:tcPr>
            <w:tcW w:w="4928" w:type="dxa"/>
          </w:tcPr>
          <w:p w14:paraId="7F20EDE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2D53B25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тяж. пулем., 6 легких</w:t>
            </w:r>
          </w:p>
        </w:tc>
      </w:tr>
      <w:tr w:rsidR="004E10C1" w:rsidRPr="0044524F" w14:paraId="06D68057" w14:textId="77777777">
        <w:tc>
          <w:tcPr>
            <w:tcW w:w="4928" w:type="dxa"/>
          </w:tcPr>
          <w:p w14:paraId="644A9E1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1D9F644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r w:rsidR="004E10C1" w:rsidRPr="0044524F" w14:paraId="323BF7C4" w14:textId="77777777">
        <w:tc>
          <w:tcPr>
            <w:tcW w:w="4928" w:type="dxa"/>
          </w:tcPr>
          <w:p w14:paraId="6E0631D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7EB2F3B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99F235F" w14:textId="77777777">
        <w:tc>
          <w:tcPr>
            <w:tcW w:w="4928" w:type="dxa"/>
          </w:tcPr>
          <w:p w14:paraId="419CD6A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38E44E5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года (выход на аэродром)</w:t>
            </w:r>
          </w:p>
        </w:tc>
      </w:tr>
      <w:tr w:rsidR="004E10C1" w:rsidRPr="0044524F" w14:paraId="2CC583DD" w14:textId="77777777">
        <w:tc>
          <w:tcPr>
            <w:tcW w:w="4928" w:type="dxa"/>
          </w:tcPr>
          <w:p w14:paraId="591CC85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403E300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E3CA697" w14:textId="77777777">
        <w:tc>
          <w:tcPr>
            <w:tcW w:w="4928" w:type="dxa"/>
          </w:tcPr>
          <w:p w14:paraId="306090C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039ECD7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года гос. испыт.</w:t>
            </w:r>
          </w:p>
        </w:tc>
      </w:tr>
    </w:tbl>
    <w:p w14:paraId="77CFEBA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 целый ряд конструктивных и производственных дефектов устранение которых производится в ЗОКе. Самолет выйдет на заводские испытания в середине апреля и на государственные - не ранее 1 июня 1933 года.</w:t>
      </w:r>
    </w:p>
    <w:p w14:paraId="7E918A1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ДИП1-2М34</w:t>
      </w:r>
    </w:p>
    <w:p w14:paraId="306B756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0C77EFF0" w14:textId="77777777">
        <w:tc>
          <w:tcPr>
            <w:tcW w:w="4928" w:type="dxa"/>
          </w:tcPr>
          <w:p w14:paraId="2583397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3641918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325/5000</w:t>
            </w:r>
          </w:p>
        </w:tc>
      </w:tr>
      <w:tr w:rsidR="004E10C1" w:rsidRPr="0044524F" w14:paraId="3801BCF0" w14:textId="77777777">
        <w:tc>
          <w:tcPr>
            <w:tcW w:w="4928" w:type="dxa"/>
          </w:tcPr>
          <w:p w14:paraId="703C772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5AB39FA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15-18/5000</w:t>
            </w:r>
          </w:p>
        </w:tc>
      </w:tr>
      <w:tr w:rsidR="004E10C1" w:rsidRPr="0044524F" w14:paraId="2DBCB6BB" w14:textId="77777777">
        <w:tc>
          <w:tcPr>
            <w:tcW w:w="4928" w:type="dxa"/>
          </w:tcPr>
          <w:p w14:paraId="35BA1E2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4023854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w:t>
            </w:r>
          </w:p>
        </w:tc>
      </w:tr>
      <w:tr w:rsidR="004E10C1" w:rsidRPr="0044524F" w14:paraId="07B9E416" w14:textId="77777777">
        <w:tc>
          <w:tcPr>
            <w:tcW w:w="4928" w:type="dxa"/>
          </w:tcPr>
          <w:p w14:paraId="3BBAF7C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0EC070F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пушка ДРП и легкие пулеметы</w:t>
            </w:r>
          </w:p>
        </w:tc>
      </w:tr>
      <w:tr w:rsidR="004E10C1" w:rsidRPr="0044524F" w14:paraId="1E7564CC" w14:textId="77777777">
        <w:tc>
          <w:tcPr>
            <w:tcW w:w="4928" w:type="dxa"/>
          </w:tcPr>
          <w:p w14:paraId="016FD04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3994D9D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43A6E765" w14:textId="77777777">
        <w:tc>
          <w:tcPr>
            <w:tcW w:w="4928" w:type="dxa"/>
          </w:tcPr>
          <w:p w14:paraId="18A8AFB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1A68DB0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A07666B" w14:textId="77777777">
        <w:tc>
          <w:tcPr>
            <w:tcW w:w="4928" w:type="dxa"/>
          </w:tcPr>
          <w:p w14:paraId="7507D75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48DD3A0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w:t>
            </w:r>
          </w:p>
        </w:tc>
      </w:tr>
      <w:tr w:rsidR="004E10C1" w:rsidRPr="0044524F" w14:paraId="5A755A86" w14:textId="77777777">
        <w:tc>
          <w:tcPr>
            <w:tcW w:w="4928" w:type="dxa"/>
          </w:tcPr>
          <w:p w14:paraId="38F1153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13C728C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16DBCF0" w14:textId="77777777">
        <w:tc>
          <w:tcPr>
            <w:tcW w:w="4928" w:type="dxa"/>
          </w:tcPr>
          <w:p w14:paraId="631EB1E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2B9BC1F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39F5F53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Крыло, шасси и моторные установки проектированием закончены и находятся в производстве. Ведется проектирование фюзеляжа, хвостового оперения и установок вооружения. Находится в постройке макет самолета.</w:t>
      </w:r>
    </w:p>
    <w:p w14:paraId="2BCE0BE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ЛР-М34 (легкий разведчик).</w:t>
      </w:r>
    </w:p>
    <w:p w14:paraId="1AAADE6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192B312B" w14:textId="77777777">
        <w:tc>
          <w:tcPr>
            <w:tcW w:w="4928" w:type="dxa"/>
          </w:tcPr>
          <w:p w14:paraId="2823E91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04B1197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300-310/5000</w:t>
            </w:r>
          </w:p>
        </w:tc>
      </w:tr>
      <w:tr w:rsidR="004E10C1" w:rsidRPr="0044524F" w14:paraId="720F472D" w14:textId="77777777">
        <w:tc>
          <w:tcPr>
            <w:tcW w:w="4928" w:type="dxa"/>
          </w:tcPr>
          <w:p w14:paraId="2909FBE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7F1209C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BB08EC4" w14:textId="77777777">
        <w:tc>
          <w:tcPr>
            <w:tcW w:w="4928" w:type="dxa"/>
          </w:tcPr>
          <w:p w14:paraId="4F2A88A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2DC9398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w:t>
            </w:r>
          </w:p>
        </w:tc>
      </w:tr>
      <w:tr w:rsidR="004E10C1" w:rsidRPr="0044524F" w14:paraId="516C8D08" w14:textId="77777777">
        <w:tc>
          <w:tcPr>
            <w:tcW w:w="4928" w:type="dxa"/>
          </w:tcPr>
          <w:p w14:paraId="5F61BAC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43488D9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пулеметы</w:t>
            </w:r>
          </w:p>
        </w:tc>
      </w:tr>
      <w:tr w:rsidR="004E10C1" w:rsidRPr="0044524F" w14:paraId="27942573" w14:textId="77777777">
        <w:tc>
          <w:tcPr>
            <w:tcW w:w="4928" w:type="dxa"/>
          </w:tcPr>
          <w:p w14:paraId="4C6B481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4AB89E0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0F17E515" w14:textId="77777777">
        <w:tc>
          <w:tcPr>
            <w:tcW w:w="4928" w:type="dxa"/>
          </w:tcPr>
          <w:p w14:paraId="796D869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79D22D1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8E0A793" w14:textId="77777777">
        <w:tc>
          <w:tcPr>
            <w:tcW w:w="4928" w:type="dxa"/>
          </w:tcPr>
          <w:p w14:paraId="22BC0C8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23387B5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года (выход на аэродром)</w:t>
            </w:r>
          </w:p>
        </w:tc>
      </w:tr>
      <w:tr w:rsidR="004E10C1" w:rsidRPr="0044524F" w14:paraId="62FF8114" w14:textId="77777777">
        <w:tc>
          <w:tcPr>
            <w:tcW w:w="4928" w:type="dxa"/>
          </w:tcPr>
          <w:p w14:paraId="6D898C9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50E4578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61FF137" w14:textId="77777777">
        <w:tc>
          <w:tcPr>
            <w:tcW w:w="4928" w:type="dxa"/>
          </w:tcPr>
          <w:p w14:paraId="7F07D9B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6B375E0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 гос. испыт.</w:t>
            </w:r>
          </w:p>
        </w:tc>
      </w:tr>
    </w:tbl>
    <w:p w14:paraId="5275926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 самолета готовы на 100%. Первый самолет выйдет с мотором без редуктора и нагнетателя на гос. испытания к 1 сентября 1933 года. Второй самолет являющийся головным серийным выйдет с мотором с нагнетателем к 15 ноября на заводские испытания и к 1 декабря на гос. испытания.</w:t>
      </w:r>
    </w:p>
    <w:p w14:paraId="037DBDC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ДИ6-М34 или М38, М32 (2-х мест. истр.).</w:t>
      </w:r>
    </w:p>
    <w:p w14:paraId="09E63EA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5FC7786F" w14:textId="77777777">
        <w:tc>
          <w:tcPr>
            <w:tcW w:w="4928" w:type="dxa"/>
          </w:tcPr>
          <w:p w14:paraId="60FE71D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1C61675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350-375/5000</w:t>
            </w:r>
          </w:p>
        </w:tc>
      </w:tr>
      <w:tr w:rsidR="004E10C1" w:rsidRPr="0044524F" w14:paraId="5ED5CA3B" w14:textId="77777777">
        <w:tc>
          <w:tcPr>
            <w:tcW w:w="4928" w:type="dxa"/>
          </w:tcPr>
          <w:p w14:paraId="02641AC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5563558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9/5000</w:t>
            </w:r>
          </w:p>
        </w:tc>
      </w:tr>
      <w:tr w:rsidR="004E10C1" w:rsidRPr="0044524F" w14:paraId="12F57417" w14:textId="77777777">
        <w:tc>
          <w:tcPr>
            <w:tcW w:w="4928" w:type="dxa"/>
          </w:tcPr>
          <w:p w14:paraId="4ABC194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2D222BC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w:t>
            </w:r>
          </w:p>
        </w:tc>
      </w:tr>
      <w:tr w:rsidR="004E10C1" w:rsidRPr="0044524F" w14:paraId="2B2A1D67" w14:textId="77777777">
        <w:tc>
          <w:tcPr>
            <w:tcW w:w="4928" w:type="dxa"/>
          </w:tcPr>
          <w:p w14:paraId="6D735C3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7DA4825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и тяжелые пулеметы</w:t>
            </w:r>
          </w:p>
        </w:tc>
      </w:tr>
      <w:tr w:rsidR="004E10C1" w:rsidRPr="0044524F" w14:paraId="5A867D5E" w14:textId="77777777">
        <w:tc>
          <w:tcPr>
            <w:tcW w:w="4928" w:type="dxa"/>
          </w:tcPr>
          <w:p w14:paraId="09B6B66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417FAFC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1447DAFD" w14:textId="77777777">
        <w:tc>
          <w:tcPr>
            <w:tcW w:w="4928" w:type="dxa"/>
          </w:tcPr>
          <w:p w14:paraId="74845B7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14B58F5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года</w:t>
            </w:r>
          </w:p>
        </w:tc>
      </w:tr>
      <w:tr w:rsidR="004E10C1" w:rsidRPr="0044524F" w14:paraId="7EAD1357" w14:textId="77777777">
        <w:tc>
          <w:tcPr>
            <w:tcW w:w="4928" w:type="dxa"/>
          </w:tcPr>
          <w:p w14:paraId="23A8D71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1F50ED5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26272E5" w14:textId="77777777">
        <w:tc>
          <w:tcPr>
            <w:tcW w:w="4928" w:type="dxa"/>
          </w:tcPr>
          <w:p w14:paraId="50CBE56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392D1A9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49D063B" w14:textId="77777777">
        <w:tc>
          <w:tcPr>
            <w:tcW w:w="4928" w:type="dxa"/>
          </w:tcPr>
          <w:p w14:paraId="65DE72B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21E3A0D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0704E7E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Разрабатываются схемы самолета под моторы М32 и М38. Первая в основном закончена. Развертывание работ задерживается неопределнностью сроков выхода обоих моторов. Срок выхода самолета намечается через 5 месяцев по получению мотора, т.е. февраль-март 1934 года. Выбор типа мотора находится в зависимости от результатов предварительных просчетов и результатов гос. испытания моторов.</w:t>
      </w:r>
    </w:p>
    <w:p w14:paraId="6240E33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И13-М32 (одноместный истребитель).</w:t>
      </w:r>
    </w:p>
    <w:p w14:paraId="6E5A1A4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7E5CFEEB" w14:textId="77777777">
        <w:tc>
          <w:tcPr>
            <w:tcW w:w="4928" w:type="dxa"/>
          </w:tcPr>
          <w:p w14:paraId="11AE4F4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6724805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350-400/5000</w:t>
            </w:r>
          </w:p>
        </w:tc>
      </w:tr>
      <w:tr w:rsidR="004E10C1" w:rsidRPr="0044524F" w14:paraId="06333171" w14:textId="77777777">
        <w:tc>
          <w:tcPr>
            <w:tcW w:w="4928" w:type="dxa"/>
          </w:tcPr>
          <w:p w14:paraId="50AC71B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0294169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7/3/5000</w:t>
            </w:r>
          </w:p>
        </w:tc>
      </w:tr>
      <w:tr w:rsidR="004E10C1" w:rsidRPr="0044524F" w14:paraId="4123D29B" w14:textId="77777777">
        <w:tc>
          <w:tcPr>
            <w:tcW w:w="4928" w:type="dxa"/>
          </w:tcPr>
          <w:p w14:paraId="74FC715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1394739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8000-9000</w:t>
            </w:r>
          </w:p>
        </w:tc>
      </w:tr>
      <w:tr w:rsidR="004E10C1" w:rsidRPr="0044524F" w14:paraId="0F6C7C3B" w14:textId="77777777">
        <w:tc>
          <w:tcPr>
            <w:tcW w:w="4928" w:type="dxa"/>
          </w:tcPr>
          <w:p w14:paraId="1653613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17C5842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пулем.</w:t>
            </w:r>
          </w:p>
        </w:tc>
      </w:tr>
      <w:tr w:rsidR="004E10C1" w:rsidRPr="0044524F" w14:paraId="7DE2BD58" w14:textId="77777777">
        <w:tc>
          <w:tcPr>
            <w:tcW w:w="4928" w:type="dxa"/>
          </w:tcPr>
          <w:p w14:paraId="4FE69AA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5CC7F3D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0C0597DA" w14:textId="77777777">
        <w:tc>
          <w:tcPr>
            <w:tcW w:w="4928" w:type="dxa"/>
          </w:tcPr>
          <w:p w14:paraId="7E86E04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1757528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E1825CB" w14:textId="77777777">
        <w:tc>
          <w:tcPr>
            <w:tcW w:w="4928" w:type="dxa"/>
          </w:tcPr>
          <w:p w14:paraId="4D9F506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73DB45F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года</w:t>
            </w:r>
          </w:p>
        </w:tc>
      </w:tr>
      <w:tr w:rsidR="004E10C1" w:rsidRPr="0044524F" w14:paraId="380FD9E4" w14:textId="77777777">
        <w:tc>
          <w:tcPr>
            <w:tcW w:w="4928" w:type="dxa"/>
          </w:tcPr>
          <w:p w14:paraId="3F6EA96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136580E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E972656" w14:textId="77777777">
        <w:tc>
          <w:tcPr>
            <w:tcW w:w="4928" w:type="dxa"/>
          </w:tcPr>
          <w:p w14:paraId="5326D8D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1459A83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февраль-март 1934 года</w:t>
            </w:r>
          </w:p>
        </w:tc>
      </w:tr>
    </w:tbl>
    <w:p w14:paraId="17A6A1B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Прорабатывается схема самолета и делается предварительный макет. Самолет может быть выпущен через 5 месяцев после получения М32, т.е. ориентировочно февраль-март 1934 года.</w:t>
      </w:r>
    </w:p>
    <w:p w14:paraId="6E968F3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И-14-М38 (одноместный истребитель).</w:t>
      </w:r>
    </w:p>
    <w:p w14:paraId="21022C5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44DD7B3B" w14:textId="77777777">
        <w:tc>
          <w:tcPr>
            <w:tcW w:w="4928" w:type="dxa"/>
          </w:tcPr>
          <w:p w14:paraId="6B6BF85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28223F2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340-400/5000</w:t>
            </w:r>
          </w:p>
        </w:tc>
      </w:tr>
      <w:tr w:rsidR="004E10C1" w:rsidRPr="0044524F" w14:paraId="4504EEF6" w14:textId="77777777">
        <w:tc>
          <w:tcPr>
            <w:tcW w:w="4928" w:type="dxa"/>
          </w:tcPr>
          <w:p w14:paraId="7FCD6BE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06B0BB0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7/8/5000</w:t>
            </w:r>
          </w:p>
        </w:tc>
      </w:tr>
      <w:tr w:rsidR="004E10C1" w:rsidRPr="0044524F" w14:paraId="0FFC5083" w14:textId="77777777">
        <w:tc>
          <w:tcPr>
            <w:tcW w:w="4928" w:type="dxa"/>
          </w:tcPr>
          <w:p w14:paraId="69503C4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4624E1E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9000-10000</w:t>
            </w:r>
          </w:p>
        </w:tc>
      </w:tr>
      <w:tr w:rsidR="004E10C1" w:rsidRPr="0044524F" w14:paraId="45194344" w14:textId="77777777">
        <w:tc>
          <w:tcPr>
            <w:tcW w:w="4928" w:type="dxa"/>
          </w:tcPr>
          <w:p w14:paraId="5DA97E6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4A62A32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пулем. (заменены легкими пушками ДРП)</w:t>
            </w:r>
          </w:p>
        </w:tc>
      </w:tr>
      <w:tr w:rsidR="004E10C1" w:rsidRPr="0044524F" w14:paraId="12F95833" w14:textId="77777777">
        <w:tc>
          <w:tcPr>
            <w:tcW w:w="4928" w:type="dxa"/>
          </w:tcPr>
          <w:p w14:paraId="7536617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4246034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r>
      <w:tr w:rsidR="004E10C1" w:rsidRPr="0044524F" w14:paraId="22B663FD" w14:textId="77777777">
        <w:tc>
          <w:tcPr>
            <w:tcW w:w="4928" w:type="dxa"/>
          </w:tcPr>
          <w:p w14:paraId="02B94AF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197E70B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7073BA1" w14:textId="77777777">
        <w:tc>
          <w:tcPr>
            <w:tcW w:w="4928" w:type="dxa"/>
          </w:tcPr>
          <w:p w14:paraId="4A26AD0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48C9211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1933 года</w:t>
            </w:r>
          </w:p>
        </w:tc>
      </w:tr>
      <w:tr w:rsidR="004E10C1" w:rsidRPr="0044524F" w14:paraId="61C204E0" w14:textId="77777777">
        <w:tc>
          <w:tcPr>
            <w:tcW w:w="4928" w:type="dxa"/>
          </w:tcPr>
          <w:p w14:paraId="1B878C3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3A1C10E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04FF240" w14:textId="77777777">
        <w:tc>
          <w:tcPr>
            <w:tcW w:w="4928" w:type="dxa"/>
          </w:tcPr>
          <w:p w14:paraId="6B41E8B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5A8A223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года гос. испыт.</w:t>
            </w:r>
          </w:p>
        </w:tc>
      </w:tr>
    </w:tbl>
    <w:p w14:paraId="160D394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в сборке на стапели. Самолет выйдет без пушек ввиду их отсутствия. Делается второй экземпляр самолета для полных статич. испытаний. Самолет с мотором "Меркур" выйдет на гос. испытания к 1 июня 1933 года. С мотором М38 сможет выйти к 1 ноября (ЦАГИ дает срок 1 января 1934 года).</w:t>
      </w:r>
    </w:p>
    <w:p w14:paraId="145BED5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И-15-М38 (одноместный истребитель).</w:t>
      </w:r>
    </w:p>
    <w:p w14:paraId="25AD8E9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23821958" w14:textId="77777777">
        <w:tc>
          <w:tcPr>
            <w:tcW w:w="4928" w:type="dxa"/>
          </w:tcPr>
          <w:p w14:paraId="0E44DEC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0324529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340/400/5000</w:t>
            </w:r>
          </w:p>
        </w:tc>
      </w:tr>
      <w:tr w:rsidR="004E10C1" w:rsidRPr="0044524F" w14:paraId="0F883AD4" w14:textId="77777777">
        <w:tc>
          <w:tcPr>
            <w:tcW w:w="4928" w:type="dxa"/>
          </w:tcPr>
          <w:p w14:paraId="5113035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6172E35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7/8/5000</w:t>
            </w:r>
          </w:p>
        </w:tc>
      </w:tr>
      <w:tr w:rsidR="004E10C1" w:rsidRPr="0044524F" w14:paraId="1EA9DA56" w14:textId="77777777">
        <w:tc>
          <w:tcPr>
            <w:tcW w:w="4928" w:type="dxa"/>
          </w:tcPr>
          <w:p w14:paraId="78458FA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Потолок</w:t>
            </w:r>
          </w:p>
        </w:tc>
        <w:tc>
          <w:tcPr>
            <w:tcW w:w="5386" w:type="dxa"/>
          </w:tcPr>
          <w:p w14:paraId="1FA52C8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9000-10000</w:t>
            </w:r>
          </w:p>
        </w:tc>
      </w:tr>
      <w:tr w:rsidR="004E10C1" w:rsidRPr="0044524F" w14:paraId="6DF20C79" w14:textId="77777777">
        <w:tc>
          <w:tcPr>
            <w:tcW w:w="4928" w:type="dxa"/>
          </w:tcPr>
          <w:p w14:paraId="7529DDE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623387E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пулеметы</w:t>
            </w:r>
          </w:p>
        </w:tc>
      </w:tr>
      <w:tr w:rsidR="004E10C1" w:rsidRPr="0044524F" w14:paraId="35DA2E26" w14:textId="77777777">
        <w:tc>
          <w:tcPr>
            <w:tcW w:w="4928" w:type="dxa"/>
          </w:tcPr>
          <w:p w14:paraId="79D5707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0C47B43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r>
      <w:tr w:rsidR="004E10C1" w:rsidRPr="0044524F" w14:paraId="5BB85949" w14:textId="77777777">
        <w:tc>
          <w:tcPr>
            <w:tcW w:w="4928" w:type="dxa"/>
          </w:tcPr>
          <w:p w14:paraId="0E29452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604F428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3AF2F5D" w14:textId="77777777">
        <w:tc>
          <w:tcPr>
            <w:tcW w:w="4928" w:type="dxa"/>
          </w:tcPr>
          <w:p w14:paraId="4A46255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0013D3C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DD7561A" w14:textId="77777777">
        <w:tc>
          <w:tcPr>
            <w:tcW w:w="4928" w:type="dxa"/>
          </w:tcPr>
          <w:p w14:paraId="42B8C89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45F547F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DD1EBE0" w14:textId="77777777">
        <w:tc>
          <w:tcPr>
            <w:tcW w:w="4928" w:type="dxa"/>
          </w:tcPr>
          <w:p w14:paraId="790F0F3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51C6AC6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r>
    </w:tbl>
    <w:p w14:paraId="0952CA2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производится разработка эскизного проекта самолета. Находится в постройке макет.</w:t>
      </w:r>
    </w:p>
    <w:p w14:paraId="482191C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ВС2-2М52 (войсковой разведчик, корректиров. легкий химич., фотосъемщик, санитарный, пассажирский).</w:t>
      </w:r>
    </w:p>
    <w:p w14:paraId="4AE2832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6B7D4B2A" w14:textId="77777777">
        <w:tc>
          <w:tcPr>
            <w:tcW w:w="4928" w:type="dxa"/>
          </w:tcPr>
          <w:p w14:paraId="6ECED67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1006AF3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250/3000</w:t>
            </w:r>
          </w:p>
        </w:tc>
      </w:tr>
      <w:tr w:rsidR="004E10C1" w:rsidRPr="0044524F" w14:paraId="0A1AD35E" w14:textId="77777777">
        <w:tc>
          <w:tcPr>
            <w:tcW w:w="4928" w:type="dxa"/>
          </w:tcPr>
          <w:p w14:paraId="40B9773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261EE3E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12/3000</w:t>
            </w:r>
          </w:p>
        </w:tc>
      </w:tr>
      <w:tr w:rsidR="004E10C1" w:rsidRPr="0044524F" w14:paraId="7B9C5007" w14:textId="77777777">
        <w:tc>
          <w:tcPr>
            <w:tcW w:w="4928" w:type="dxa"/>
          </w:tcPr>
          <w:p w14:paraId="422B6F9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17643D9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D76D02E" w14:textId="77777777">
        <w:tc>
          <w:tcPr>
            <w:tcW w:w="4928" w:type="dxa"/>
          </w:tcPr>
          <w:p w14:paraId="36B70BE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274FDA4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пулеметы</w:t>
            </w:r>
          </w:p>
        </w:tc>
      </w:tr>
      <w:tr w:rsidR="004E10C1" w:rsidRPr="0044524F" w14:paraId="7230B69D" w14:textId="77777777">
        <w:tc>
          <w:tcPr>
            <w:tcW w:w="4928" w:type="dxa"/>
          </w:tcPr>
          <w:p w14:paraId="121D597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0AFEF60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r>
      <w:tr w:rsidR="004E10C1" w:rsidRPr="0044524F" w14:paraId="235B21A0" w14:textId="77777777">
        <w:tc>
          <w:tcPr>
            <w:tcW w:w="4928" w:type="dxa"/>
          </w:tcPr>
          <w:p w14:paraId="51DAA9F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4CB6FED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101E052" w14:textId="77777777">
        <w:tc>
          <w:tcPr>
            <w:tcW w:w="4928" w:type="dxa"/>
          </w:tcPr>
          <w:p w14:paraId="7A25AE5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129E612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года</w:t>
            </w:r>
          </w:p>
        </w:tc>
      </w:tr>
      <w:tr w:rsidR="004E10C1" w:rsidRPr="0044524F" w14:paraId="4E290EE5" w14:textId="77777777">
        <w:tc>
          <w:tcPr>
            <w:tcW w:w="4928" w:type="dxa"/>
          </w:tcPr>
          <w:p w14:paraId="20078AC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5C629CD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F5BE12B" w14:textId="77777777">
        <w:tc>
          <w:tcPr>
            <w:tcW w:w="4928" w:type="dxa"/>
          </w:tcPr>
          <w:p w14:paraId="182D590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1EBC783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r>
    </w:tbl>
    <w:p w14:paraId="42DA01A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Производится предварительное изыскание основных элементов самолета. Приступлено к компоновке и размещению нагрузки для выбора схемы самолета.</w:t>
      </w:r>
    </w:p>
    <w:p w14:paraId="407DD44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П3-М52 (перех. для школ, корпусной разведчик, самолет местной авиации).</w:t>
      </w:r>
    </w:p>
    <w:p w14:paraId="3646AB7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5946A9C2" w14:textId="77777777">
        <w:tc>
          <w:tcPr>
            <w:tcW w:w="4928" w:type="dxa"/>
          </w:tcPr>
          <w:p w14:paraId="502D137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6C50227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250/3000</w:t>
            </w:r>
          </w:p>
        </w:tc>
      </w:tr>
      <w:tr w:rsidR="004E10C1" w:rsidRPr="0044524F" w14:paraId="709460EC" w14:textId="77777777">
        <w:tc>
          <w:tcPr>
            <w:tcW w:w="4928" w:type="dxa"/>
          </w:tcPr>
          <w:p w14:paraId="06EB6DC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10DFB0F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2C70970" w14:textId="77777777">
        <w:tc>
          <w:tcPr>
            <w:tcW w:w="4928" w:type="dxa"/>
          </w:tcPr>
          <w:p w14:paraId="0757273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3588F90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12B35B8B" w14:textId="77777777">
        <w:tc>
          <w:tcPr>
            <w:tcW w:w="4928" w:type="dxa"/>
          </w:tcPr>
          <w:p w14:paraId="08C203D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161A86D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пулем.</w:t>
            </w:r>
          </w:p>
        </w:tc>
      </w:tr>
      <w:tr w:rsidR="004E10C1" w:rsidRPr="0044524F" w14:paraId="6AA73B9E" w14:textId="77777777">
        <w:tc>
          <w:tcPr>
            <w:tcW w:w="4928" w:type="dxa"/>
          </w:tcPr>
          <w:p w14:paraId="05CBA5E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70A7A66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5B7197E8" w14:textId="77777777">
        <w:tc>
          <w:tcPr>
            <w:tcW w:w="4928" w:type="dxa"/>
          </w:tcPr>
          <w:p w14:paraId="2CA70ED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1FF0296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E3E70CA" w14:textId="77777777">
        <w:tc>
          <w:tcPr>
            <w:tcW w:w="4928" w:type="dxa"/>
          </w:tcPr>
          <w:p w14:paraId="2FDD754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5DE9D28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w:t>
            </w:r>
          </w:p>
        </w:tc>
      </w:tr>
      <w:tr w:rsidR="004E10C1" w:rsidRPr="0044524F" w14:paraId="180D666C" w14:textId="77777777">
        <w:tc>
          <w:tcPr>
            <w:tcW w:w="4928" w:type="dxa"/>
          </w:tcPr>
          <w:p w14:paraId="6C79D6D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1934C24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2B878CD" w14:textId="77777777">
        <w:tc>
          <w:tcPr>
            <w:tcW w:w="4928" w:type="dxa"/>
          </w:tcPr>
          <w:p w14:paraId="551F0E2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236EF4F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29FF3ED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настоящего времени ГУГВФ не дало задание на проектирование самолета, которое должно вестись в Ленинграде в НИАИ, обладающим необходимой производственной базой и конструкторскими силами. Отказ дать задание ГУГВФ объясняет отсутствием кредитов. Мотивировка ГУГВФ не является обоснованной поскольку постройка самолета П3 возложена на ГУГВФ постановлением Правительства. Деньги не даны, работа не ведется.</w:t>
      </w:r>
    </w:p>
    <w:p w14:paraId="401AAD6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У3-М48 (учебн. самолет, он же для связи и сопровождения туризма, местн. авиации, легкий санитарный).</w:t>
      </w:r>
    </w:p>
    <w:p w14:paraId="5A7A0B9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381D54CD" w14:textId="77777777">
        <w:tc>
          <w:tcPr>
            <w:tcW w:w="4928" w:type="dxa"/>
          </w:tcPr>
          <w:p w14:paraId="171BD09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211EDD5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180/1000</w:t>
            </w:r>
          </w:p>
        </w:tc>
      </w:tr>
      <w:tr w:rsidR="004E10C1" w:rsidRPr="0044524F" w14:paraId="67858243" w14:textId="77777777">
        <w:tc>
          <w:tcPr>
            <w:tcW w:w="4928" w:type="dxa"/>
          </w:tcPr>
          <w:p w14:paraId="584B174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53C92B0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D3C2D9" w14:textId="77777777">
        <w:tc>
          <w:tcPr>
            <w:tcW w:w="4928" w:type="dxa"/>
          </w:tcPr>
          <w:p w14:paraId="07E33DC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33C6A5C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7E9EF81B" w14:textId="77777777">
        <w:tc>
          <w:tcPr>
            <w:tcW w:w="4928" w:type="dxa"/>
          </w:tcPr>
          <w:p w14:paraId="64E6F81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0BC779F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пулем.</w:t>
            </w:r>
          </w:p>
        </w:tc>
      </w:tr>
      <w:tr w:rsidR="004E10C1" w:rsidRPr="0044524F" w14:paraId="3E7B3DE9" w14:textId="77777777">
        <w:tc>
          <w:tcPr>
            <w:tcW w:w="4928" w:type="dxa"/>
          </w:tcPr>
          <w:p w14:paraId="33A11BE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46B8E6C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r>
      <w:tr w:rsidR="004E10C1" w:rsidRPr="0044524F" w14:paraId="38831D42" w14:textId="77777777">
        <w:tc>
          <w:tcPr>
            <w:tcW w:w="4928" w:type="dxa"/>
          </w:tcPr>
          <w:p w14:paraId="1902DBA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1DB15E8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2AEAD12" w14:textId="77777777">
        <w:tc>
          <w:tcPr>
            <w:tcW w:w="4928" w:type="dxa"/>
          </w:tcPr>
          <w:p w14:paraId="19062EC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1D3CDB1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года</w:t>
            </w:r>
          </w:p>
        </w:tc>
      </w:tr>
      <w:tr w:rsidR="004E10C1" w:rsidRPr="0044524F" w14:paraId="0F011B87" w14:textId="77777777">
        <w:tc>
          <w:tcPr>
            <w:tcW w:w="4928" w:type="dxa"/>
          </w:tcPr>
          <w:p w14:paraId="4232549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1FE428E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7EA80C3" w14:textId="77777777">
        <w:tc>
          <w:tcPr>
            <w:tcW w:w="4928" w:type="dxa"/>
          </w:tcPr>
          <w:p w14:paraId="3889D11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1A26A73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r>
    </w:tbl>
    <w:p w14:paraId="5A5A9C1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ГУАП снял задание с Харьковского института и передал на завод N 23, где работы еще не развернуты.</w:t>
      </w:r>
    </w:p>
    <w:p w14:paraId="61241E9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К7-7М34 (тяжелый бомбовоз, пассажирский).</w:t>
      </w:r>
    </w:p>
    <w:p w14:paraId="41B64B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0986764E" w14:textId="77777777">
        <w:tc>
          <w:tcPr>
            <w:tcW w:w="4928" w:type="dxa"/>
          </w:tcPr>
          <w:p w14:paraId="0983828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1534114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213</w:t>
            </w:r>
          </w:p>
        </w:tc>
      </w:tr>
      <w:tr w:rsidR="004E10C1" w:rsidRPr="0044524F" w14:paraId="3AFAEE62" w14:textId="77777777">
        <w:tc>
          <w:tcPr>
            <w:tcW w:w="4928" w:type="dxa"/>
          </w:tcPr>
          <w:p w14:paraId="06754EB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5D5903F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453967A" w14:textId="77777777">
        <w:tc>
          <w:tcPr>
            <w:tcW w:w="4928" w:type="dxa"/>
          </w:tcPr>
          <w:p w14:paraId="4797E78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299A6CF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3650</w:t>
            </w:r>
          </w:p>
        </w:tc>
      </w:tr>
      <w:tr w:rsidR="004E10C1" w:rsidRPr="0044524F" w14:paraId="5D0B0D76" w14:textId="77777777">
        <w:tc>
          <w:tcPr>
            <w:tcW w:w="4928" w:type="dxa"/>
          </w:tcPr>
          <w:p w14:paraId="35C0902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3765F23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 и легк. и тяж. пулем.</w:t>
            </w:r>
          </w:p>
        </w:tc>
      </w:tr>
      <w:tr w:rsidR="004E10C1" w:rsidRPr="0044524F" w14:paraId="55B068FB" w14:textId="77777777">
        <w:tc>
          <w:tcPr>
            <w:tcW w:w="4928" w:type="dxa"/>
          </w:tcPr>
          <w:p w14:paraId="0C10590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6A33863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0AEAFDA1" w14:textId="77777777">
        <w:tc>
          <w:tcPr>
            <w:tcW w:w="4928" w:type="dxa"/>
          </w:tcPr>
          <w:p w14:paraId="6BB85B3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1A8F6A3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E159ADD" w14:textId="77777777">
        <w:tc>
          <w:tcPr>
            <w:tcW w:w="4928" w:type="dxa"/>
          </w:tcPr>
          <w:p w14:paraId="7410B2B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3FA4531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 выход на аэродром</w:t>
            </w:r>
          </w:p>
        </w:tc>
      </w:tr>
      <w:tr w:rsidR="004E10C1" w:rsidRPr="0044524F" w14:paraId="0714CBB2" w14:textId="77777777">
        <w:tc>
          <w:tcPr>
            <w:tcW w:w="4928" w:type="dxa"/>
          </w:tcPr>
          <w:p w14:paraId="3DE2D88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42991DB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83EC99E" w14:textId="77777777">
        <w:tc>
          <w:tcPr>
            <w:tcW w:w="4928" w:type="dxa"/>
          </w:tcPr>
          <w:p w14:paraId="43D72E9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31229F1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август-сентябрь 1933 года</w:t>
            </w:r>
          </w:p>
        </w:tc>
      </w:tr>
    </w:tbl>
    <w:p w14:paraId="3BC9811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Заканчиваются консоли. Готовы хвостовые формы, моторы, оперение. Большой задел прочих деталей. Ведутся статиспытания готовых элементов. Макет самолета с размещением всего оборудования и вооружения утвержден, за исключением кабины летчиков. Ведутся поверочные расчеты прочности для выяснения возможно допустимой величины перегрузки самолета.</w:t>
      </w:r>
    </w:p>
    <w:p w14:paraId="3C69851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 самолеты</w:t>
      </w:r>
    </w:p>
    <w:p w14:paraId="3724100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Высотный самолет он же рекордный на высоту</w:t>
      </w:r>
    </w:p>
    <w:p w14:paraId="7D88F29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191632EF" w14:textId="77777777">
        <w:tc>
          <w:tcPr>
            <w:tcW w:w="4928" w:type="dxa"/>
          </w:tcPr>
          <w:p w14:paraId="09CEFD8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64E0A49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27EB25E" w14:textId="77777777">
        <w:tc>
          <w:tcPr>
            <w:tcW w:w="4928" w:type="dxa"/>
          </w:tcPr>
          <w:p w14:paraId="03ACAFA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12DB4F5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0C0A99C" w14:textId="77777777">
        <w:tc>
          <w:tcPr>
            <w:tcW w:w="4928" w:type="dxa"/>
          </w:tcPr>
          <w:p w14:paraId="518D6EC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39DEBB3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r>
      <w:tr w:rsidR="004E10C1" w:rsidRPr="0044524F" w14:paraId="0786B177" w14:textId="77777777">
        <w:tc>
          <w:tcPr>
            <w:tcW w:w="4928" w:type="dxa"/>
          </w:tcPr>
          <w:p w14:paraId="6A3798D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71EF61C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E7B929D" w14:textId="77777777">
        <w:tc>
          <w:tcPr>
            <w:tcW w:w="4928" w:type="dxa"/>
          </w:tcPr>
          <w:p w14:paraId="5552CF1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64E05DC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2DBB9CF" w14:textId="77777777">
        <w:tc>
          <w:tcPr>
            <w:tcW w:w="4928" w:type="dxa"/>
          </w:tcPr>
          <w:p w14:paraId="35B43E4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5EC691F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71FC0D" w14:textId="77777777">
        <w:tc>
          <w:tcPr>
            <w:tcW w:w="4928" w:type="dxa"/>
          </w:tcPr>
          <w:p w14:paraId="4273E95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73CB1F0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 года</w:t>
            </w:r>
          </w:p>
        </w:tc>
      </w:tr>
      <w:tr w:rsidR="004E10C1" w:rsidRPr="0044524F" w14:paraId="67B5E3C5" w14:textId="77777777">
        <w:tc>
          <w:tcPr>
            <w:tcW w:w="4928" w:type="dxa"/>
          </w:tcPr>
          <w:p w14:paraId="79DF54A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07BFE4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9DDBB96" w14:textId="77777777">
        <w:tc>
          <w:tcPr>
            <w:tcW w:w="4928" w:type="dxa"/>
          </w:tcPr>
          <w:p w14:paraId="47EFEB9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5A2EA0D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полов. 1934 года</w:t>
            </w:r>
          </w:p>
        </w:tc>
      </w:tr>
    </w:tbl>
    <w:p w14:paraId="5A72550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 самолета ЦАГИ готовы на 95%. Изготовлены некоторые детали. Производство в ЗОКе прекращено, т.к. бригада перешла на завод N 39. На этом заводе производство только разворачивается. Срок выхода двухступенчатого нагнетателя совершенно не ясен, поэтому самолет выйдет с мотором М34 с нагнетателем до 3500 м не ранее февраля-марта 1934 года. Для облета и испытания самого самолета и предварительных испытаний герметической кабины самолет выйдет с нормальным М34 к 1 декабря 1933 года.</w:t>
      </w:r>
    </w:p>
    <w:p w14:paraId="6F34470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БНК ввиду слияния БНК с ЦКБ завода N 39 дальнейшей проработкой прекращен. Вопрос о необходимости доработки проекта находится в стадии разрешения.</w:t>
      </w:r>
    </w:p>
    <w:p w14:paraId="4395C9C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Рекордный на дальность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07E8CE83" w14:textId="77777777">
        <w:tc>
          <w:tcPr>
            <w:tcW w:w="4928" w:type="dxa"/>
          </w:tcPr>
          <w:p w14:paraId="646BE43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1A1DE50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A4DF014" w14:textId="77777777">
        <w:tc>
          <w:tcPr>
            <w:tcW w:w="4928" w:type="dxa"/>
          </w:tcPr>
          <w:p w14:paraId="0947203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согласно пост. КО от 4 июля 1932 года</w:t>
            </w:r>
          </w:p>
        </w:tc>
        <w:tc>
          <w:tcPr>
            <w:tcW w:w="5386" w:type="dxa"/>
          </w:tcPr>
          <w:p w14:paraId="08AB2F9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август 1932 года</w:t>
            </w:r>
          </w:p>
        </w:tc>
      </w:tr>
      <w:tr w:rsidR="004E10C1" w:rsidRPr="0044524F" w14:paraId="4C816A4F" w14:textId="77777777">
        <w:tc>
          <w:tcPr>
            <w:tcW w:w="4928" w:type="dxa"/>
          </w:tcPr>
          <w:p w14:paraId="0AFFED8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1748521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6E096F" w14:textId="77777777">
        <w:tc>
          <w:tcPr>
            <w:tcW w:w="4928" w:type="dxa"/>
          </w:tcPr>
          <w:p w14:paraId="1BD8368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50B002F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года (зав. испыт.)</w:t>
            </w:r>
          </w:p>
        </w:tc>
      </w:tr>
    </w:tbl>
    <w:p w14:paraId="176CA30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 оперения, шасси и каркас крыла готовы. Производится пригонка лонжеронов крыла к узлам центроплана и клепка боков, что задерживает сборку крыльев. ЦАГИ имеет только тренировочный мотор (установлен на самолете). Мотор особо тщательной сборки ожидается получением в июле 1933 года, но без редуктора, что снизит дальность самолета.</w:t>
      </w:r>
    </w:p>
    <w:p w14:paraId="3DB7ADE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летающее крыло 2М-11 (парабола Чарановского).</w:t>
      </w:r>
    </w:p>
    <w:p w14:paraId="4A97F0C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p w14:paraId="41FDDFE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 - октября 1933 года</w:t>
      </w:r>
    </w:p>
    <w:p w14:paraId="4383B5A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p w14:paraId="2EDC908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p w14:paraId="5EA0474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Парабола с "Люцифером" передана в НИИ. После 3-х полетов поломалась моторная рама. Возможность дальнейших испытаний подлежит выяснению спец. комиссией. Первые полеты показали хорошие летные данные машины. ЦКБ завода N 39 и ГУАП вместо параболы с 2М11 предлагают построить летающее крыло с двумя моторами М34 со сроком выхода в начале 1934 года. Этот самолет намечается с треугольным крылом и будет более подходить на тип самолета "Лингица", чем на параболу Чарановского. Чарановский подрабатывает чертежи дублера уже летающей машины, но под мотор М11.</w:t>
      </w:r>
    </w:p>
    <w:p w14:paraId="45DA70C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особым типом разрезных крыльев (сист. Кричевского)</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5BE79E98" w14:textId="77777777">
        <w:tc>
          <w:tcPr>
            <w:tcW w:w="4928" w:type="dxa"/>
          </w:tcPr>
          <w:p w14:paraId="6824D51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68107F1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8E44313" w14:textId="77777777">
        <w:tc>
          <w:tcPr>
            <w:tcW w:w="4928" w:type="dxa"/>
          </w:tcPr>
          <w:p w14:paraId="5FBC0AE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4BFA358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1932 года</w:t>
            </w:r>
          </w:p>
        </w:tc>
      </w:tr>
      <w:tr w:rsidR="004E10C1" w:rsidRPr="0044524F" w14:paraId="1B2ED61F" w14:textId="77777777">
        <w:tc>
          <w:tcPr>
            <w:tcW w:w="4928" w:type="dxa"/>
          </w:tcPr>
          <w:p w14:paraId="47EE113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131802C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8F8A49F" w14:textId="77777777">
        <w:tc>
          <w:tcPr>
            <w:tcW w:w="4928" w:type="dxa"/>
          </w:tcPr>
          <w:p w14:paraId="6ED9309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1D29D5B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года (завод. испыт.)</w:t>
            </w:r>
          </w:p>
        </w:tc>
      </w:tr>
    </w:tbl>
    <w:p w14:paraId="25D04B1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Статич. испытания крыло типа "Моноспар" не выдержало. ЦКБ завода N 39 решило перепроектировать машину под 2-х лонжеронное крыло меньшего размаха, что повлекло за собой необходимость переделки фюзеляжа, уже почти сделанного. Срок выхода отодвинулся на 1 августа 1933 года.</w:t>
      </w:r>
    </w:p>
    <w:p w14:paraId="42DE923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ВГ-2 (геликоптер).</w:t>
      </w:r>
    </w:p>
    <w:p w14:paraId="6F9B48E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p w14:paraId="33489D5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 - 1 июля 1932 года</w:t>
      </w:r>
    </w:p>
    <w:p w14:paraId="03C9AB5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p w14:paraId="6ABFD99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p w14:paraId="5D0A4DC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проведенные в 3-ем квартале с.г. показали прекрасные данные с точки зрения достигнутой высоты подъема геликоптера (600 м), превосходящие во много раз известные заграничные достижения (18 м). Наряду с этим выяснилось, что геликоптер не обладает достаточной устойчивостью, благодаря чему аппарат потерпел аварию. К настоящему времени геликоптер восстановлен. Для улучшения устойчивости на нем был изменен принцип крепления лопастей (вместо 4-х лопастей с автоматом перекоса были поставлены 2 лопасти с автоматом перекоса и две укрепленные по принципу лопастей автожира). Однако проведенные на земле испытания показали недостаточную равномерность тяги, благодаря чему ЦАГИ в настоящее время прорабатывает вопрос об установке на геликоптер 3-х укрепленных по принципу лопастей винта автожира. Дублер геликоптера закончен постройкой.</w:t>
      </w:r>
    </w:p>
    <w:p w14:paraId="6F572E7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мотором М11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045428E2" w14:textId="77777777">
        <w:tc>
          <w:tcPr>
            <w:tcW w:w="4928" w:type="dxa"/>
          </w:tcPr>
          <w:p w14:paraId="7E9ECDF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2D50803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59FCB42" w14:textId="77777777">
        <w:tc>
          <w:tcPr>
            <w:tcW w:w="4928" w:type="dxa"/>
          </w:tcPr>
          <w:p w14:paraId="2BB12A9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46BB97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1932 года</w:t>
            </w:r>
          </w:p>
        </w:tc>
      </w:tr>
      <w:tr w:rsidR="004E10C1" w:rsidRPr="0044524F" w14:paraId="085EA6F0" w14:textId="77777777">
        <w:tc>
          <w:tcPr>
            <w:tcW w:w="4928" w:type="dxa"/>
          </w:tcPr>
          <w:p w14:paraId="7E45798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4A53B54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76D1F04" w14:textId="77777777">
        <w:tc>
          <w:tcPr>
            <w:tcW w:w="4928" w:type="dxa"/>
          </w:tcPr>
          <w:p w14:paraId="3236EA8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7FCF1BD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январь (завод. испыт.)</w:t>
            </w:r>
          </w:p>
        </w:tc>
      </w:tr>
    </w:tbl>
    <w:p w14:paraId="404BB09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с автожирами находятся в следующем положении: автожир с мотором М11 - самолет только выходит на аэродром - причина крайне медленная постройка БНК.</w:t>
      </w:r>
    </w:p>
    <w:p w14:paraId="32C2B6B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мотором М22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139C5EE3" w14:textId="77777777">
        <w:tc>
          <w:tcPr>
            <w:tcW w:w="4928" w:type="dxa"/>
          </w:tcPr>
          <w:p w14:paraId="72E99D1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073B93A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D3FF07A" w14:textId="77777777">
        <w:tc>
          <w:tcPr>
            <w:tcW w:w="4928" w:type="dxa"/>
          </w:tcPr>
          <w:p w14:paraId="70F0EF8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6622B9D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года</w:t>
            </w:r>
          </w:p>
        </w:tc>
      </w:tr>
      <w:tr w:rsidR="004E10C1" w:rsidRPr="0044524F" w14:paraId="53502469" w14:textId="77777777">
        <w:tc>
          <w:tcPr>
            <w:tcW w:w="4928" w:type="dxa"/>
          </w:tcPr>
          <w:p w14:paraId="78F958D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10D1950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43AB3D6" w14:textId="77777777">
        <w:tc>
          <w:tcPr>
            <w:tcW w:w="4928" w:type="dxa"/>
          </w:tcPr>
          <w:p w14:paraId="4491A05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21C02AE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май (завод. испыт.)</w:t>
            </w:r>
          </w:p>
        </w:tc>
      </w:tr>
    </w:tbl>
    <w:p w14:paraId="3B12035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мотором М22 задерживается выпуском до июня 1933 года из-за задержек в производстве и частично в проектировании. Головной автожир с М26 - находится на испытании в ОЭЛИД ЦАГИ. Основная задержка - выявленное биение лопастей.</w:t>
      </w:r>
    </w:p>
    <w:p w14:paraId="3D17F2D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реактивным двигателем</w:t>
      </w:r>
    </w:p>
    <w:p w14:paraId="5ACBAC5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реактивному двигателю на жидком топливе ведется в ГИДР ОСОАВИАХИМА и в Газово-динамической лаборатории. Двигатель ГИРД проходит исследовательские испытания. Срок окончания последних в настоящее время определить нельзя.</w:t>
      </w:r>
    </w:p>
    <w:p w14:paraId="52A08DE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положительного результата двигатель будет установлен на легкий самолет летающее крыло, уже построенный и испытанный. Двигатель Газодинамической лаборатории по окончании ведущихся испытаний его предложено установить на самолет И4. Этот двигатель будет способен в течении 1-1,5 минуты развивать тягу в тысячу килограмм, что позволит на короткий промежуток времени значительно повысить летные данные самолета.</w:t>
      </w:r>
    </w:p>
    <w:p w14:paraId="7471BFF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раздвижными крыльями (У3 бис М48)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11821D26" w14:textId="77777777">
        <w:tc>
          <w:tcPr>
            <w:tcW w:w="4928" w:type="dxa"/>
          </w:tcPr>
          <w:p w14:paraId="4ADF7FF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7B3DEB8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2779CD8" w14:textId="77777777">
        <w:tc>
          <w:tcPr>
            <w:tcW w:w="4928" w:type="dxa"/>
          </w:tcPr>
          <w:p w14:paraId="47A4F2C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1E028A1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w:t>
            </w:r>
          </w:p>
        </w:tc>
      </w:tr>
      <w:tr w:rsidR="004E10C1" w:rsidRPr="0044524F" w14:paraId="04F11C0D" w14:textId="77777777">
        <w:tc>
          <w:tcPr>
            <w:tcW w:w="4928" w:type="dxa"/>
          </w:tcPr>
          <w:p w14:paraId="21C8EF2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348C499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A9F3B93" w14:textId="77777777">
        <w:tc>
          <w:tcPr>
            <w:tcW w:w="4928" w:type="dxa"/>
          </w:tcPr>
          <w:p w14:paraId="30CDD68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63AC78B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r>
    </w:tbl>
    <w:p w14:paraId="79BD5A5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НИАИ вело работы за счет своих сумм и сумм ОСОАВИАХИМА. Схемы самолета и конструкции раздвижных крыльев утверждены. Проект готов на 30%. Дальнейшие работы прекращены из-за неотпуска ГУГВФ денег. (Срок НИАИ - 1 сентября 1933 года при отпуске денег).</w:t>
      </w:r>
    </w:p>
    <w:p w14:paraId="70403AB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нефтяным двигателем Паккард</w:t>
      </w:r>
    </w:p>
    <w:p w14:paraId="6B1A2AD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ГУГВФ не ведется.</w:t>
      </w:r>
    </w:p>
    <w:p w14:paraId="65EB682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Особой группы</w:t>
      </w:r>
    </w:p>
    <w:p w14:paraId="13069FF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Таран</w:t>
      </w:r>
    </w:p>
    <w:p w14:paraId="0033A8B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слияния БНК с ЦКБ завода N 39 работа приостановлена. Ведется выяснение возможности продолжения работы.</w:t>
      </w:r>
    </w:p>
    <w:p w14:paraId="58DD249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Модификации</w:t>
      </w:r>
    </w:p>
    <w:p w14:paraId="36D27F9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34A8BBFB" w14:textId="77777777">
        <w:tc>
          <w:tcPr>
            <w:tcW w:w="4928" w:type="dxa"/>
          </w:tcPr>
          <w:p w14:paraId="4475A2F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 модификации</w:t>
            </w:r>
          </w:p>
        </w:tc>
        <w:tc>
          <w:tcPr>
            <w:tcW w:w="5386" w:type="dxa"/>
          </w:tcPr>
          <w:p w14:paraId="6FF8BE4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мотора М34</w:t>
            </w:r>
          </w:p>
        </w:tc>
      </w:tr>
      <w:tr w:rsidR="004E10C1" w:rsidRPr="0044524F" w14:paraId="39466023" w14:textId="77777777">
        <w:tc>
          <w:tcPr>
            <w:tcW w:w="4928" w:type="dxa"/>
          </w:tcPr>
          <w:p w14:paraId="48404E5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w:t>
            </w:r>
          </w:p>
        </w:tc>
        <w:tc>
          <w:tcPr>
            <w:tcW w:w="5386" w:type="dxa"/>
          </w:tcPr>
          <w:p w14:paraId="660A6E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1932 года</w:t>
            </w:r>
          </w:p>
        </w:tc>
      </w:tr>
      <w:tr w:rsidR="004E10C1" w:rsidRPr="0044524F" w14:paraId="0BC03A21" w14:textId="77777777">
        <w:tc>
          <w:tcPr>
            <w:tcW w:w="4928" w:type="dxa"/>
          </w:tcPr>
          <w:p w14:paraId="5BE2E9A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2B2A2AF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январь 1933 года</w:t>
            </w:r>
          </w:p>
        </w:tc>
      </w:tr>
    </w:tbl>
    <w:p w14:paraId="6882AE0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проходит заводские испытания. Задержкой является неудовлетворительная работа водо-маслоохлаждающих систем.</w:t>
      </w:r>
    </w:p>
    <w:p w14:paraId="785AF23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ТШ-2 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1A15D73B" w14:textId="77777777">
        <w:tc>
          <w:tcPr>
            <w:tcW w:w="4928" w:type="dxa"/>
          </w:tcPr>
          <w:p w14:paraId="540A56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 модификации</w:t>
            </w:r>
          </w:p>
        </w:tc>
        <w:tc>
          <w:tcPr>
            <w:tcW w:w="5386" w:type="dxa"/>
          </w:tcPr>
          <w:p w14:paraId="2B954F7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мотора М34</w:t>
            </w:r>
          </w:p>
        </w:tc>
      </w:tr>
      <w:tr w:rsidR="004E10C1" w:rsidRPr="0044524F" w14:paraId="22B0AE3A" w14:textId="77777777">
        <w:tc>
          <w:tcPr>
            <w:tcW w:w="4928" w:type="dxa"/>
          </w:tcPr>
          <w:p w14:paraId="52EEADD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w:t>
            </w:r>
          </w:p>
        </w:tc>
        <w:tc>
          <w:tcPr>
            <w:tcW w:w="5386" w:type="dxa"/>
          </w:tcPr>
          <w:p w14:paraId="29905F9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 года</w:t>
            </w:r>
          </w:p>
        </w:tc>
      </w:tr>
    </w:tbl>
    <w:p w14:paraId="6F18B6A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p w14:paraId="2223AE0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ТШ-2 М17 строится малой серией (10 машин) на заводе N 16. Головная машина уже облетана и предъявлена для осмотра как эталон. Основной дефект ТШ-2 - перегрев масла по последним полетам в ОЭЛИД ЦАГИ устранен. Дефекты вооружения (отсутствие автоматической перезарядки) не разрешены.</w:t>
      </w:r>
    </w:p>
    <w:p w14:paraId="4DD85DD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ТШ-3 М34 - закончена проработка схем. После предварительных просчетов 6 вариантов выбрана Ц6Б завода N 39 схема моноплана. Приступлено к разработке эскизного проекта для предъявления в НИИ.</w:t>
      </w:r>
    </w:p>
    <w:p w14:paraId="0095FC3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2F8E3CB6" w14:textId="77777777">
        <w:tc>
          <w:tcPr>
            <w:tcW w:w="4928" w:type="dxa"/>
          </w:tcPr>
          <w:p w14:paraId="14FAB44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 модификации</w:t>
            </w:r>
          </w:p>
        </w:tc>
        <w:tc>
          <w:tcPr>
            <w:tcW w:w="5386" w:type="dxa"/>
          </w:tcPr>
          <w:p w14:paraId="70E22AB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подготовка эталона самолета</w:t>
            </w:r>
          </w:p>
        </w:tc>
      </w:tr>
      <w:tr w:rsidR="004E10C1" w:rsidRPr="0044524F" w14:paraId="739CD432" w14:textId="77777777">
        <w:tc>
          <w:tcPr>
            <w:tcW w:w="4928" w:type="dxa"/>
          </w:tcPr>
          <w:p w14:paraId="7EBBDC3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w:t>
            </w:r>
          </w:p>
        </w:tc>
        <w:tc>
          <w:tcPr>
            <w:tcW w:w="5386" w:type="dxa"/>
          </w:tcPr>
          <w:p w14:paraId="07FC42D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1932 года</w:t>
            </w:r>
          </w:p>
        </w:tc>
      </w:tr>
    </w:tbl>
    <w:p w14:paraId="628574C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Ориент. срок предъявления промышл.</w:t>
      </w:r>
    </w:p>
    <w:p w14:paraId="34DED96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в ЦАГИ заброшена. В ЦКБ завода N 39 работы по Р5-М34 в плане не стоят. НИИ настаивает перед начальником ГУАПа о передаче этой работы заводу N 1, который дал на это принципиальное согласие.</w:t>
      </w:r>
    </w:p>
    <w:p w14:paraId="6446303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758B0EB3" w14:textId="77777777">
        <w:tc>
          <w:tcPr>
            <w:tcW w:w="4928" w:type="dxa"/>
          </w:tcPr>
          <w:p w14:paraId="73B4568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 модификации</w:t>
            </w:r>
          </w:p>
        </w:tc>
        <w:tc>
          <w:tcPr>
            <w:tcW w:w="5386" w:type="dxa"/>
          </w:tcPr>
          <w:p w14:paraId="6867EA0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тормозных колес и разрезных крыльев</w:t>
            </w:r>
          </w:p>
        </w:tc>
      </w:tr>
      <w:tr w:rsidR="004E10C1" w:rsidRPr="0044524F" w14:paraId="1B25B1CD" w14:textId="77777777">
        <w:tc>
          <w:tcPr>
            <w:tcW w:w="4928" w:type="dxa"/>
          </w:tcPr>
          <w:p w14:paraId="72BFCD4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w:t>
            </w:r>
          </w:p>
        </w:tc>
        <w:tc>
          <w:tcPr>
            <w:tcW w:w="5386" w:type="dxa"/>
          </w:tcPr>
          <w:p w14:paraId="43331E7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1932 года</w:t>
            </w:r>
          </w:p>
        </w:tc>
      </w:tr>
      <w:tr w:rsidR="004E10C1" w:rsidRPr="0044524F" w14:paraId="1CF6B777" w14:textId="77777777">
        <w:tc>
          <w:tcPr>
            <w:tcW w:w="4928" w:type="dxa"/>
          </w:tcPr>
          <w:p w14:paraId="1022B9C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1F3DB28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1933 года (гос. испыт.)</w:t>
            </w:r>
          </w:p>
        </w:tc>
      </w:tr>
    </w:tbl>
    <w:p w14:paraId="3FE9229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с тормозными колесами - испытания на Юге позволили выбрать капотажный угол и место установки управления гидравлическими тормозами. Выявлена необходимость переделки механизма управления (насоса) и установки редукционного клапана, каковые ЦАГИ прорабатывает.</w:t>
      </w:r>
    </w:p>
    <w:p w14:paraId="6DE0532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Механическое управление тормозами оказалось неудовлетворительным.</w:t>
      </w:r>
    </w:p>
    <w:p w14:paraId="51E281F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с разрезными крыльями 2-й вариант заканчивает заводские испытания и в начале апреля будет передан на гос. испытания. В ЦКБ завода N 39 прорабатываются чертежи для серии.</w:t>
      </w:r>
    </w:p>
    <w:p w14:paraId="799FC9B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И-12 2 М22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7E5204C2" w14:textId="77777777">
        <w:tc>
          <w:tcPr>
            <w:tcW w:w="4928" w:type="dxa"/>
          </w:tcPr>
          <w:p w14:paraId="020BA45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 модификации</w:t>
            </w:r>
          </w:p>
        </w:tc>
        <w:tc>
          <w:tcPr>
            <w:tcW w:w="5386" w:type="dxa"/>
          </w:tcPr>
          <w:p w14:paraId="13AD66E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второго модифицированного экземпляра</w:t>
            </w:r>
          </w:p>
        </w:tc>
      </w:tr>
      <w:tr w:rsidR="004E10C1" w:rsidRPr="0044524F" w14:paraId="69E26C82" w14:textId="77777777">
        <w:tc>
          <w:tcPr>
            <w:tcW w:w="4928" w:type="dxa"/>
          </w:tcPr>
          <w:p w14:paraId="2B8D90F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w:t>
            </w:r>
          </w:p>
        </w:tc>
        <w:tc>
          <w:tcPr>
            <w:tcW w:w="5386" w:type="dxa"/>
          </w:tcPr>
          <w:p w14:paraId="70FE612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1932 года</w:t>
            </w:r>
          </w:p>
        </w:tc>
      </w:tr>
      <w:tr w:rsidR="004E10C1" w:rsidRPr="0044524F" w14:paraId="71D40E0D" w14:textId="77777777">
        <w:tc>
          <w:tcPr>
            <w:tcW w:w="4928" w:type="dxa"/>
          </w:tcPr>
          <w:p w14:paraId="2E69B8E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28E8460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6F2C04C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находится в постройке, последняя задерживается непредставлением ЦАГИ заводом N 8 второй пушки ДРП, которая одновременно служит основной хвостовой фермы. Общая готовность самолета около 60%.</w:t>
      </w:r>
    </w:p>
    <w:p w14:paraId="06C124E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2М17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68B717C8" w14:textId="77777777">
        <w:tc>
          <w:tcPr>
            <w:tcW w:w="4928" w:type="dxa"/>
          </w:tcPr>
          <w:p w14:paraId="3AB0C80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 модификации</w:t>
            </w:r>
          </w:p>
        </w:tc>
        <w:tc>
          <w:tcPr>
            <w:tcW w:w="5386" w:type="dxa"/>
          </w:tcPr>
          <w:p w14:paraId="2AF734F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емкости бака</w:t>
            </w:r>
          </w:p>
        </w:tc>
      </w:tr>
      <w:tr w:rsidR="004E10C1" w:rsidRPr="0044524F" w14:paraId="22D627FC" w14:textId="77777777">
        <w:tc>
          <w:tcPr>
            <w:tcW w:w="4928" w:type="dxa"/>
          </w:tcPr>
          <w:p w14:paraId="531834C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w:t>
            </w:r>
          </w:p>
        </w:tc>
        <w:tc>
          <w:tcPr>
            <w:tcW w:w="5386" w:type="dxa"/>
          </w:tcPr>
          <w:p w14:paraId="62AD064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1932 года</w:t>
            </w:r>
          </w:p>
        </w:tc>
      </w:tr>
      <w:tr w:rsidR="004E10C1" w:rsidRPr="0044524F" w14:paraId="2638B181" w14:textId="77777777">
        <w:tc>
          <w:tcPr>
            <w:tcW w:w="4928" w:type="dxa"/>
          </w:tcPr>
          <w:p w14:paraId="0CC8BAC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0BB1272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67FE78A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испытаниях на расход горючего самолет потерпел катастрофу и сгорел.</w:t>
      </w:r>
    </w:p>
    <w:p w14:paraId="28669F5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не вошедшие в план</w:t>
      </w:r>
    </w:p>
    <w:p w14:paraId="03FC9BB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ДИ4 Кертисс Конкверор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36C3F37B" w14:textId="77777777">
        <w:tc>
          <w:tcPr>
            <w:tcW w:w="4928" w:type="dxa"/>
          </w:tcPr>
          <w:p w14:paraId="0CED6DC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w:t>
            </w:r>
          </w:p>
        </w:tc>
        <w:tc>
          <w:tcPr>
            <w:tcW w:w="5386" w:type="dxa"/>
          </w:tcPr>
          <w:p w14:paraId="0B9A3A8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1931 года</w:t>
            </w:r>
          </w:p>
        </w:tc>
      </w:tr>
      <w:tr w:rsidR="004E10C1" w:rsidRPr="0044524F" w14:paraId="7429A2EA" w14:textId="77777777">
        <w:tc>
          <w:tcPr>
            <w:tcW w:w="4928" w:type="dxa"/>
          </w:tcPr>
          <w:p w14:paraId="1660967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по плану</w:t>
            </w:r>
          </w:p>
        </w:tc>
        <w:tc>
          <w:tcPr>
            <w:tcW w:w="5386" w:type="dxa"/>
          </w:tcPr>
          <w:p w14:paraId="127A2D5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январь 1933 года</w:t>
            </w:r>
          </w:p>
        </w:tc>
      </w:tr>
    </w:tbl>
    <w:p w14:paraId="7C5BDC1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сдаточном заводском полете самолет имел вынужденную посадку и поломал лыжу. Ремонт был закончен перед закрытием аэродрома. Испытание фактически не началось.</w:t>
      </w:r>
    </w:p>
    <w:p w14:paraId="6B16A27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 ЗЕТ с мотором М22</w:t>
      </w:r>
    </w:p>
    <w:p w14:paraId="5E646A4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самолета закончены.</w:t>
      </w:r>
    </w:p>
    <w:p w14:paraId="4D4F048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самолетам (морским).</w:t>
      </w:r>
    </w:p>
    <w:p w14:paraId="6B6DB93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очереди (основные по системе вооружения).</w:t>
      </w:r>
    </w:p>
    <w:p w14:paraId="6B67245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МДР3-3М34 РН</w:t>
      </w:r>
    </w:p>
    <w:p w14:paraId="6EEAABD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0921D2DA" w14:textId="77777777">
        <w:tc>
          <w:tcPr>
            <w:tcW w:w="4928" w:type="dxa"/>
          </w:tcPr>
          <w:p w14:paraId="3BD06AB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459BE80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225/3000</w:t>
            </w:r>
          </w:p>
        </w:tc>
      </w:tr>
      <w:tr w:rsidR="004E10C1" w:rsidRPr="0044524F" w14:paraId="0A296097" w14:textId="77777777">
        <w:tc>
          <w:tcPr>
            <w:tcW w:w="4928" w:type="dxa"/>
          </w:tcPr>
          <w:p w14:paraId="71A2BB6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0AFC3FD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20/3000</w:t>
            </w:r>
          </w:p>
        </w:tc>
      </w:tr>
      <w:tr w:rsidR="004E10C1" w:rsidRPr="0044524F" w14:paraId="0995C2EE" w14:textId="77777777">
        <w:tc>
          <w:tcPr>
            <w:tcW w:w="4928" w:type="dxa"/>
          </w:tcPr>
          <w:p w14:paraId="706B39A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5C8F895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r>
      <w:tr w:rsidR="004E10C1" w:rsidRPr="0044524F" w14:paraId="6978B241" w14:textId="77777777">
        <w:tc>
          <w:tcPr>
            <w:tcW w:w="4928" w:type="dxa"/>
          </w:tcPr>
          <w:p w14:paraId="5163C78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7BEA602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4х2 пулем.</w:t>
            </w:r>
          </w:p>
        </w:tc>
      </w:tr>
      <w:tr w:rsidR="004E10C1" w:rsidRPr="0044524F" w14:paraId="2B90B577" w14:textId="77777777">
        <w:tc>
          <w:tcPr>
            <w:tcW w:w="4928" w:type="dxa"/>
          </w:tcPr>
          <w:p w14:paraId="565B570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0926AB9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 кг бомб</w:t>
            </w:r>
          </w:p>
        </w:tc>
      </w:tr>
      <w:tr w:rsidR="004E10C1" w:rsidRPr="0044524F" w14:paraId="37CC0273" w14:textId="77777777">
        <w:tc>
          <w:tcPr>
            <w:tcW w:w="4928" w:type="dxa"/>
          </w:tcPr>
          <w:p w14:paraId="698E5D4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159CB4A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 км Н-3000</w:t>
            </w:r>
          </w:p>
        </w:tc>
      </w:tr>
      <w:tr w:rsidR="004E10C1" w:rsidRPr="0044524F" w14:paraId="727F5426" w14:textId="77777777">
        <w:tc>
          <w:tcPr>
            <w:tcW w:w="4928" w:type="dxa"/>
          </w:tcPr>
          <w:p w14:paraId="2886D90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5841E1C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060E03B" w14:textId="77777777">
        <w:tc>
          <w:tcPr>
            <w:tcW w:w="4928" w:type="dxa"/>
          </w:tcPr>
          <w:p w14:paraId="19CC333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49D6615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 плане не указан</w:t>
            </w:r>
          </w:p>
        </w:tc>
      </w:tr>
      <w:tr w:rsidR="004E10C1" w:rsidRPr="0044524F" w14:paraId="04E9700F" w14:textId="77777777">
        <w:tc>
          <w:tcPr>
            <w:tcW w:w="4928" w:type="dxa"/>
          </w:tcPr>
          <w:p w14:paraId="5F8715E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5C60B4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A6E8F03" w14:textId="77777777">
        <w:tc>
          <w:tcPr>
            <w:tcW w:w="4928" w:type="dxa"/>
          </w:tcPr>
          <w:p w14:paraId="0A7CAE8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6C40BBB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первон. 1 июля 1933 года перенес. на 1 декабря 1933 года</w:t>
            </w:r>
          </w:p>
        </w:tc>
      </w:tr>
    </w:tbl>
    <w:p w14:paraId="4E7121A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Приступлено к проектированию новых частей самолета: центроплана, консолей крыла и хвостовой части лодки самолета. В производство не сдано ни одного чертежа. По проектированию выполнено 5 % всей работы. Задержка объясняется тем, что самолет по плану 2 бриг. КОСОС ЦАГИ поставлен во 2-у очередь, рабочие чертежи должны быть сданы к 1 ноября 1933 года в производство. НИИ ВВС потребовало перенесения объекта постройки в 1-ю очередь с выходом на гос. испытания 1 ноября 1933 года.</w:t>
      </w:r>
    </w:p>
    <w:p w14:paraId="6525136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МК1-6М34 РН</w:t>
      </w:r>
    </w:p>
    <w:p w14:paraId="5A6558E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47895637" w14:textId="77777777">
        <w:tc>
          <w:tcPr>
            <w:tcW w:w="4928" w:type="dxa"/>
          </w:tcPr>
          <w:p w14:paraId="7D10D95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0A6E60E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215/4000</w:t>
            </w:r>
          </w:p>
        </w:tc>
      </w:tr>
      <w:tr w:rsidR="004E10C1" w:rsidRPr="0044524F" w14:paraId="6DA4730E" w14:textId="77777777">
        <w:tc>
          <w:tcPr>
            <w:tcW w:w="4928" w:type="dxa"/>
          </w:tcPr>
          <w:p w14:paraId="7ABD47F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4A7E62E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1CC96EE" w14:textId="77777777">
        <w:tc>
          <w:tcPr>
            <w:tcW w:w="4928" w:type="dxa"/>
          </w:tcPr>
          <w:p w14:paraId="58DEE30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79B9A3C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600870D5" w14:textId="77777777">
        <w:tc>
          <w:tcPr>
            <w:tcW w:w="4928" w:type="dxa"/>
          </w:tcPr>
          <w:p w14:paraId="00C704B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6E0C118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 вес воен. снаряж. и оборудов. 1850 кг</w:t>
            </w:r>
          </w:p>
        </w:tc>
      </w:tr>
      <w:tr w:rsidR="004E10C1" w:rsidRPr="0044524F" w14:paraId="2A0A1C5A" w14:textId="77777777">
        <w:tc>
          <w:tcPr>
            <w:tcW w:w="4928" w:type="dxa"/>
          </w:tcPr>
          <w:p w14:paraId="3EDD813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52B2A25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огнев. точек</w:t>
            </w:r>
          </w:p>
        </w:tc>
      </w:tr>
      <w:tr w:rsidR="004E10C1" w:rsidRPr="0044524F" w14:paraId="56706AE1" w14:textId="77777777">
        <w:tc>
          <w:tcPr>
            <w:tcW w:w="4928" w:type="dxa"/>
          </w:tcPr>
          <w:p w14:paraId="60EE662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34D1247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 бомб. емк. 2,5 т</w:t>
            </w:r>
          </w:p>
        </w:tc>
      </w:tr>
      <w:tr w:rsidR="004E10C1" w:rsidRPr="0044524F" w14:paraId="14C05C4C" w14:textId="77777777">
        <w:tc>
          <w:tcPr>
            <w:tcW w:w="4928" w:type="dxa"/>
          </w:tcPr>
          <w:p w14:paraId="31C1136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571326B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 при перегр. 15% 1200 км</w:t>
            </w:r>
          </w:p>
        </w:tc>
      </w:tr>
      <w:tr w:rsidR="004E10C1" w:rsidRPr="0044524F" w14:paraId="09473F36" w14:textId="77777777">
        <w:tc>
          <w:tcPr>
            <w:tcW w:w="4928" w:type="dxa"/>
          </w:tcPr>
          <w:p w14:paraId="32A19D1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7D1427C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1932 года вторично</w:t>
            </w:r>
          </w:p>
        </w:tc>
      </w:tr>
      <w:tr w:rsidR="004E10C1" w:rsidRPr="0044524F" w14:paraId="2AB728E9" w14:textId="77777777">
        <w:tc>
          <w:tcPr>
            <w:tcW w:w="4928" w:type="dxa"/>
          </w:tcPr>
          <w:p w14:paraId="0D50B16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6BB21AB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1932 года по пост. КО</w:t>
            </w:r>
          </w:p>
        </w:tc>
      </w:tr>
      <w:tr w:rsidR="004E10C1" w:rsidRPr="0044524F" w14:paraId="3D10AAFF" w14:textId="77777777">
        <w:tc>
          <w:tcPr>
            <w:tcW w:w="4928" w:type="dxa"/>
          </w:tcPr>
          <w:p w14:paraId="4FA92B1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27E5FC6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7624387" w14:textId="77777777">
        <w:tc>
          <w:tcPr>
            <w:tcW w:w="4928" w:type="dxa"/>
          </w:tcPr>
          <w:p w14:paraId="437CDF9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289A6D5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декабрь 1933 года</w:t>
            </w:r>
          </w:p>
        </w:tc>
      </w:tr>
    </w:tbl>
    <w:p w14:paraId="1FC57B7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марта 1933 года предъявлен макет самолета. Проектировочные работы выполнены на 35%. Производством начата сборка лодок на стапелях, изготовлены основные узлы д/производства статических испытаний. Обсуждение макета самолета состоялось 19 и 23, окончательные выводы даны будут 28 марта 1933 года. По частичным решениям макетной комиссии требуются переделки хвостовой части лодки, что вызовет ряд дополнительных работ.</w:t>
      </w:r>
    </w:p>
    <w:p w14:paraId="761E73D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МБР5-амфибия</w:t>
      </w:r>
    </w:p>
    <w:p w14:paraId="0950249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395393AA" w14:textId="77777777">
        <w:tc>
          <w:tcPr>
            <w:tcW w:w="4928" w:type="dxa"/>
          </w:tcPr>
          <w:p w14:paraId="6298114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7EDB2CD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5DF3B04D" w14:textId="77777777">
        <w:tc>
          <w:tcPr>
            <w:tcW w:w="4928" w:type="dxa"/>
          </w:tcPr>
          <w:p w14:paraId="5654A1B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07CCFC3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B344BB6" w14:textId="77777777">
        <w:tc>
          <w:tcPr>
            <w:tcW w:w="4928" w:type="dxa"/>
          </w:tcPr>
          <w:p w14:paraId="68BF654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119CE61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r>
      <w:tr w:rsidR="004E10C1" w:rsidRPr="0044524F" w14:paraId="047C31C6" w14:textId="77777777">
        <w:tc>
          <w:tcPr>
            <w:tcW w:w="4928" w:type="dxa"/>
          </w:tcPr>
          <w:p w14:paraId="30495DE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09A4707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и тяж. пулем.</w:t>
            </w:r>
          </w:p>
        </w:tc>
      </w:tr>
      <w:tr w:rsidR="004E10C1" w:rsidRPr="0044524F" w14:paraId="3CF32122" w14:textId="77777777">
        <w:tc>
          <w:tcPr>
            <w:tcW w:w="4928" w:type="dxa"/>
          </w:tcPr>
          <w:p w14:paraId="2B8E1B8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05C3A08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 при перегр. 800</w:t>
            </w:r>
          </w:p>
        </w:tc>
      </w:tr>
      <w:tr w:rsidR="004E10C1" w:rsidRPr="0044524F" w14:paraId="0D66A357" w14:textId="77777777">
        <w:tc>
          <w:tcPr>
            <w:tcW w:w="4928" w:type="dxa"/>
          </w:tcPr>
          <w:p w14:paraId="564ADC0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10E71D9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6E7951" w14:textId="77777777">
        <w:tc>
          <w:tcPr>
            <w:tcW w:w="4928" w:type="dxa"/>
          </w:tcPr>
          <w:p w14:paraId="3594FBA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2F86EE3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года</w:t>
            </w:r>
          </w:p>
        </w:tc>
      </w:tr>
      <w:tr w:rsidR="004E10C1" w:rsidRPr="0044524F" w14:paraId="271FBE00" w14:textId="77777777">
        <w:tc>
          <w:tcPr>
            <w:tcW w:w="4928" w:type="dxa"/>
          </w:tcPr>
          <w:p w14:paraId="37310C7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6FB8FF1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FE4111A" w14:textId="77777777">
        <w:tc>
          <w:tcPr>
            <w:tcW w:w="4928" w:type="dxa"/>
          </w:tcPr>
          <w:p w14:paraId="07C8BDF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3B2CC73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2B70F72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Разрабатывается эскизный проект в нескольких вариантах по тех. требов. НИИ ВВС представление эскизного проекта ожидается в апреле.</w:t>
      </w:r>
    </w:p>
    <w:p w14:paraId="27C64B7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 самолеты и модификации из сухопутных</w:t>
      </w:r>
    </w:p>
    <w:p w14:paraId="7D48F15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МДР2 2М17</w:t>
      </w:r>
    </w:p>
    <w:p w14:paraId="725F4E6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3CCC8B88" w14:textId="77777777">
        <w:tc>
          <w:tcPr>
            <w:tcW w:w="4928" w:type="dxa"/>
          </w:tcPr>
          <w:p w14:paraId="4D5091E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26F915F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178/2000</w:t>
            </w:r>
          </w:p>
        </w:tc>
      </w:tr>
      <w:tr w:rsidR="004E10C1" w:rsidRPr="0044524F" w14:paraId="2DF5F788" w14:textId="77777777">
        <w:tc>
          <w:tcPr>
            <w:tcW w:w="4928" w:type="dxa"/>
          </w:tcPr>
          <w:p w14:paraId="0E11C25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Скороподъемность на высоту</w:t>
            </w:r>
          </w:p>
        </w:tc>
        <w:tc>
          <w:tcPr>
            <w:tcW w:w="5386" w:type="dxa"/>
          </w:tcPr>
          <w:p w14:paraId="5A59469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39,5/3000</w:t>
            </w:r>
          </w:p>
        </w:tc>
      </w:tr>
      <w:tr w:rsidR="004E10C1" w:rsidRPr="0044524F" w14:paraId="0981DF3A" w14:textId="77777777">
        <w:tc>
          <w:tcPr>
            <w:tcW w:w="4928" w:type="dxa"/>
          </w:tcPr>
          <w:p w14:paraId="5025ECB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59F790F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3300</w:t>
            </w:r>
          </w:p>
        </w:tc>
      </w:tr>
      <w:tr w:rsidR="004E10C1" w:rsidRPr="0044524F" w14:paraId="646E0035" w14:textId="77777777">
        <w:tc>
          <w:tcPr>
            <w:tcW w:w="4928" w:type="dxa"/>
          </w:tcPr>
          <w:p w14:paraId="565D791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5AFAD94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пул./ 3 огн. точ.</w:t>
            </w:r>
          </w:p>
        </w:tc>
      </w:tr>
      <w:tr w:rsidR="004E10C1" w:rsidRPr="0044524F" w14:paraId="0480C9CD" w14:textId="77777777">
        <w:tc>
          <w:tcPr>
            <w:tcW w:w="4928" w:type="dxa"/>
          </w:tcPr>
          <w:p w14:paraId="6B0AF0C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1DC4085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 бомб. емк. 828 кг</w:t>
            </w:r>
          </w:p>
        </w:tc>
      </w:tr>
      <w:tr w:rsidR="004E10C1" w:rsidRPr="0044524F" w14:paraId="4A09605E" w14:textId="77777777">
        <w:tc>
          <w:tcPr>
            <w:tcW w:w="4928" w:type="dxa"/>
          </w:tcPr>
          <w:p w14:paraId="5BCA68E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7F2859C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r>
      <w:tr w:rsidR="004E10C1" w:rsidRPr="0044524F" w14:paraId="14B1D6C4" w14:textId="77777777">
        <w:tc>
          <w:tcPr>
            <w:tcW w:w="4928" w:type="dxa"/>
          </w:tcPr>
          <w:p w14:paraId="64C2C2C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1EB8055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1C4EB3" w14:textId="77777777">
        <w:tc>
          <w:tcPr>
            <w:tcW w:w="4928" w:type="dxa"/>
          </w:tcPr>
          <w:p w14:paraId="0588CFD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6C9AD64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1930 года</w:t>
            </w:r>
          </w:p>
        </w:tc>
      </w:tr>
      <w:tr w:rsidR="004E10C1" w:rsidRPr="0044524F" w14:paraId="3AB0E1E7" w14:textId="77777777">
        <w:tc>
          <w:tcPr>
            <w:tcW w:w="4928" w:type="dxa"/>
          </w:tcPr>
          <w:p w14:paraId="5803CCE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24D92D7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C7577E3" w14:textId="77777777">
        <w:tc>
          <w:tcPr>
            <w:tcW w:w="4928" w:type="dxa"/>
          </w:tcPr>
          <w:p w14:paraId="2ED727F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0F243E4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418540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после ремонта крыльев (из-за сильной коррозии, допущенной плохим уходом ЦАГИ) сдан распоряжением Наумова в Школу морск. летчиков.</w:t>
      </w:r>
    </w:p>
    <w:p w14:paraId="3010930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серию ГУАПом не пущен по соображениям перегрузки заводов.</w:t>
      </w:r>
    </w:p>
    <w:p w14:paraId="06E6737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ТБ1-2М17 с применен. ракет для ускорения взлета</w:t>
      </w:r>
    </w:p>
    <w:p w14:paraId="51E8DEA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 самолет серийной постройки</w:t>
      </w:r>
    </w:p>
    <w:p w14:paraId="6DB32DA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p w14:paraId="0DEBFA6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 1 февраля 1932 года</w:t>
      </w:r>
    </w:p>
    <w:p w14:paraId="30F0F51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p w14:paraId="26F7406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p w14:paraId="766DBEF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экспериментированию с ракетными установками продолжаются. Наблюдение за ходом работ передано 7 сектору НИИ ВВС.</w:t>
      </w:r>
    </w:p>
    <w:p w14:paraId="6B4357D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Р6-а 2М17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373C26F2" w14:textId="77777777">
        <w:tc>
          <w:tcPr>
            <w:tcW w:w="4928" w:type="dxa"/>
          </w:tcPr>
          <w:p w14:paraId="118D3B0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c>
        <w:tc>
          <w:tcPr>
            <w:tcW w:w="5386" w:type="dxa"/>
          </w:tcPr>
          <w:p w14:paraId="721F563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серийной постройки</w:t>
            </w:r>
          </w:p>
        </w:tc>
      </w:tr>
      <w:tr w:rsidR="004E10C1" w:rsidRPr="0044524F" w14:paraId="2B033268" w14:textId="77777777">
        <w:tc>
          <w:tcPr>
            <w:tcW w:w="4928" w:type="dxa"/>
          </w:tcPr>
          <w:p w14:paraId="19AEE22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65272D5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47A7EA8" w14:textId="77777777">
        <w:tc>
          <w:tcPr>
            <w:tcW w:w="4928" w:type="dxa"/>
          </w:tcPr>
          <w:p w14:paraId="34B1846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1931BF0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1932 года</w:t>
            </w:r>
          </w:p>
        </w:tc>
      </w:tr>
    </w:tbl>
    <w:p w14:paraId="0A59CA5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Прерванные вследствие поломок винтов испытания самолета вновь возобновлены. Испытания проводятся с двумя типами поплавков, окончание испытаний намечено в первой половине апреля 1933 года.</w:t>
      </w:r>
    </w:p>
    <w:p w14:paraId="31B39D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Р5а-М17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4715AF36" w14:textId="77777777">
        <w:tc>
          <w:tcPr>
            <w:tcW w:w="4928" w:type="dxa"/>
          </w:tcPr>
          <w:p w14:paraId="529DFAA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c>
        <w:tc>
          <w:tcPr>
            <w:tcW w:w="5386" w:type="dxa"/>
          </w:tcPr>
          <w:p w14:paraId="11A6CD1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7F1D551" w14:textId="77777777">
        <w:tc>
          <w:tcPr>
            <w:tcW w:w="4928" w:type="dxa"/>
          </w:tcPr>
          <w:p w14:paraId="25EF80A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7026B4C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164/3000</w:t>
            </w:r>
          </w:p>
        </w:tc>
      </w:tr>
      <w:tr w:rsidR="004E10C1" w:rsidRPr="0044524F" w14:paraId="0E1300E1" w14:textId="77777777">
        <w:tc>
          <w:tcPr>
            <w:tcW w:w="4928" w:type="dxa"/>
          </w:tcPr>
          <w:p w14:paraId="33913FB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66455D2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27/3000</w:t>
            </w:r>
          </w:p>
        </w:tc>
      </w:tr>
      <w:tr w:rsidR="004E10C1" w:rsidRPr="0044524F" w14:paraId="4F678821" w14:textId="77777777">
        <w:tc>
          <w:tcPr>
            <w:tcW w:w="4928" w:type="dxa"/>
          </w:tcPr>
          <w:p w14:paraId="0A15603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711861A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4350</w:t>
            </w:r>
          </w:p>
        </w:tc>
      </w:tr>
      <w:tr w:rsidR="004E10C1" w:rsidRPr="0044524F" w14:paraId="0E230376" w14:textId="77777777">
        <w:tc>
          <w:tcPr>
            <w:tcW w:w="4928" w:type="dxa"/>
          </w:tcPr>
          <w:p w14:paraId="51DE3E0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55FE0C1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пул. ( 2 ог. точ.)</w:t>
            </w:r>
          </w:p>
        </w:tc>
      </w:tr>
      <w:tr w:rsidR="004E10C1" w:rsidRPr="0044524F" w14:paraId="5A8D2B9F" w14:textId="77777777">
        <w:tc>
          <w:tcPr>
            <w:tcW w:w="4928" w:type="dxa"/>
          </w:tcPr>
          <w:p w14:paraId="70487A5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278954F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 кг бомб</w:t>
            </w:r>
          </w:p>
        </w:tc>
      </w:tr>
      <w:tr w:rsidR="004E10C1" w:rsidRPr="0044524F" w14:paraId="0BDEA18A" w14:textId="77777777">
        <w:tc>
          <w:tcPr>
            <w:tcW w:w="4928" w:type="dxa"/>
          </w:tcPr>
          <w:p w14:paraId="74CF4CD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4FC3213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 при перегр. 750</w:t>
            </w:r>
          </w:p>
        </w:tc>
      </w:tr>
      <w:tr w:rsidR="004E10C1" w:rsidRPr="0044524F" w14:paraId="44B21092" w14:textId="77777777">
        <w:tc>
          <w:tcPr>
            <w:tcW w:w="4928" w:type="dxa"/>
          </w:tcPr>
          <w:p w14:paraId="76E7DB1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37CCBE6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C0DA31A" w14:textId="77777777">
        <w:tc>
          <w:tcPr>
            <w:tcW w:w="4928" w:type="dxa"/>
          </w:tcPr>
          <w:p w14:paraId="7E329AF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7670AF9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июля 1932 года</w:t>
            </w:r>
          </w:p>
        </w:tc>
      </w:tr>
    </w:tbl>
    <w:p w14:paraId="1236F58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Прорабатываются вопросы об устранении дефектов по эталону серии 1932 года. Конструирование и производственные чертежи выполнены на 15% бригадой КОСОС ЦАГИ.</w:t>
      </w:r>
    </w:p>
    <w:p w14:paraId="6176617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СПЛ (с-т подлодок).</w:t>
      </w:r>
    </w:p>
    <w:p w14:paraId="1586AE4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31BAF599" w14:textId="77777777">
        <w:tc>
          <w:tcPr>
            <w:tcW w:w="4928" w:type="dxa"/>
          </w:tcPr>
          <w:p w14:paraId="6AD8F0F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1FA2559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180/2500</w:t>
            </w:r>
          </w:p>
        </w:tc>
      </w:tr>
      <w:tr w:rsidR="004E10C1" w:rsidRPr="0044524F" w14:paraId="487596A2" w14:textId="77777777">
        <w:tc>
          <w:tcPr>
            <w:tcW w:w="4928" w:type="dxa"/>
          </w:tcPr>
          <w:p w14:paraId="6C6CC3B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239C910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15/2000</w:t>
            </w:r>
          </w:p>
        </w:tc>
      </w:tr>
      <w:tr w:rsidR="004E10C1" w:rsidRPr="0044524F" w14:paraId="78CAAA15" w14:textId="77777777">
        <w:tc>
          <w:tcPr>
            <w:tcW w:w="4928" w:type="dxa"/>
          </w:tcPr>
          <w:p w14:paraId="6220A8C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19F8CC8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r>
      <w:tr w:rsidR="004E10C1" w:rsidRPr="0044524F" w14:paraId="2557031C" w14:textId="77777777">
        <w:tc>
          <w:tcPr>
            <w:tcW w:w="4928" w:type="dxa"/>
          </w:tcPr>
          <w:p w14:paraId="11EBE86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2240A71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пул. съемн.</w:t>
            </w:r>
          </w:p>
        </w:tc>
      </w:tr>
      <w:tr w:rsidR="004E10C1" w:rsidRPr="0044524F" w14:paraId="249AEFD2" w14:textId="77777777">
        <w:tc>
          <w:tcPr>
            <w:tcW w:w="4928" w:type="dxa"/>
          </w:tcPr>
          <w:p w14:paraId="161F164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41A651B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 кг бомб в перегрузку</w:t>
            </w:r>
          </w:p>
        </w:tc>
      </w:tr>
      <w:tr w:rsidR="004E10C1" w:rsidRPr="0044524F" w14:paraId="310724B0" w14:textId="77777777">
        <w:tc>
          <w:tcPr>
            <w:tcW w:w="4928" w:type="dxa"/>
          </w:tcPr>
          <w:p w14:paraId="66EF003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79E7146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600-800 в перегр. (техн. дальность)</w:t>
            </w:r>
          </w:p>
        </w:tc>
      </w:tr>
      <w:tr w:rsidR="004E10C1" w:rsidRPr="0044524F" w14:paraId="7884B7D4" w14:textId="77777777">
        <w:tc>
          <w:tcPr>
            <w:tcW w:w="4928" w:type="dxa"/>
          </w:tcPr>
          <w:p w14:paraId="7A17494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6A6324B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года</w:t>
            </w:r>
          </w:p>
        </w:tc>
      </w:tr>
      <w:tr w:rsidR="004E10C1" w:rsidRPr="0044524F" w14:paraId="74F5CBFE" w14:textId="77777777">
        <w:tc>
          <w:tcPr>
            <w:tcW w:w="4928" w:type="dxa"/>
          </w:tcPr>
          <w:p w14:paraId="168D2C1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40E038F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129C9A0" w14:textId="77777777">
        <w:tc>
          <w:tcPr>
            <w:tcW w:w="4928" w:type="dxa"/>
          </w:tcPr>
          <w:p w14:paraId="149FC9E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511296A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9AA213D" w14:textId="77777777">
        <w:tc>
          <w:tcPr>
            <w:tcW w:w="4928" w:type="dxa"/>
          </w:tcPr>
          <w:p w14:paraId="4B28D3D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7854D63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w:t>
            </w:r>
          </w:p>
        </w:tc>
      </w:tr>
    </w:tbl>
    <w:p w14:paraId="3ECA22B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самолета НИИ ГУГВФ замедлено вследствие отсутствия денежных средств. Возбуждено ходатайство о финансировании работ через РВС, решения еще нет. По проектированию работы выполнены на 70%, частично рабочие чертежи спущены в производство. Отсутствие конкретного решения по финансированию ставит исполнение задания под угрозу срыва по срокам.</w:t>
      </w:r>
    </w:p>
    <w:p w14:paraId="6BA27C2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4037FB23" w14:textId="77777777">
        <w:tc>
          <w:tcPr>
            <w:tcW w:w="4928" w:type="dxa"/>
          </w:tcPr>
          <w:p w14:paraId="5380D9E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c>
        <w:tc>
          <w:tcPr>
            <w:tcW w:w="5386" w:type="dxa"/>
          </w:tcPr>
          <w:p w14:paraId="11352E2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самолета С62б-АССО 750</w:t>
            </w:r>
          </w:p>
        </w:tc>
      </w:tr>
      <w:tr w:rsidR="004E10C1" w:rsidRPr="0044524F" w14:paraId="420B9D05" w14:textId="77777777">
        <w:tc>
          <w:tcPr>
            <w:tcW w:w="4928" w:type="dxa"/>
          </w:tcPr>
          <w:p w14:paraId="3EAA424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24BEAD5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1A3004" w14:textId="77777777">
        <w:tc>
          <w:tcPr>
            <w:tcW w:w="4928" w:type="dxa"/>
          </w:tcPr>
          <w:p w14:paraId="5293A32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04E7F7C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года</w:t>
            </w:r>
          </w:p>
        </w:tc>
      </w:tr>
      <w:tr w:rsidR="004E10C1" w:rsidRPr="0044524F" w14:paraId="6C78BEE1" w14:textId="77777777">
        <w:tc>
          <w:tcPr>
            <w:tcW w:w="4928" w:type="dxa"/>
          </w:tcPr>
          <w:p w14:paraId="51B0DA4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08B3957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D1418BD" w14:textId="77777777">
        <w:tc>
          <w:tcPr>
            <w:tcW w:w="4928" w:type="dxa"/>
          </w:tcPr>
          <w:p w14:paraId="6F3FABB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78AC17A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марта 1933 года</w:t>
            </w:r>
          </w:p>
        </w:tc>
      </w:tr>
    </w:tbl>
    <w:p w14:paraId="0705F7F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года опытная установка мотора ЦАГИ выполнена и передана заводу N 1. К концу апреля ожидается выпуск самолета с М34 на заводские испытания. В связи с опозданием предъявления самолета на гос. испытания неизбежен срыв производства завода N 31.</w:t>
      </w:r>
    </w:p>
    <w:p w14:paraId="0B0732A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 плановые</w:t>
      </w:r>
    </w:p>
    <w:p w14:paraId="2E2DE0D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МБР2-М17</w:t>
      </w:r>
    </w:p>
    <w:p w14:paraId="311690B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5386"/>
      </w:tblGrid>
      <w:tr w:rsidR="004E10C1" w:rsidRPr="0044524F" w14:paraId="2507C3D0" w14:textId="77777777">
        <w:tc>
          <w:tcPr>
            <w:tcW w:w="4928" w:type="dxa"/>
          </w:tcPr>
          <w:p w14:paraId="49BA675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 гориз. скорость на высоте</w:t>
            </w:r>
          </w:p>
        </w:tc>
        <w:tc>
          <w:tcPr>
            <w:tcW w:w="5386" w:type="dxa"/>
          </w:tcPr>
          <w:p w14:paraId="0F1B4A8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195/3000</w:t>
            </w:r>
          </w:p>
        </w:tc>
      </w:tr>
      <w:tr w:rsidR="004E10C1" w:rsidRPr="0044524F" w14:paraId="50C37894" w14:textId="77777777">
        <w:tc>
          <w:tcPr>
            <w:tcW w:w="4928" w:type="dxa"/>
          </w:tcPr>
          <w:p w14:paraId="35EFCC1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4B74894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209 у земли</w:t>
            </w:r>
          </w:p>
        </w:tc>
      </w:tr>
      <w:tr w:rsidR="004E10C1" w:rsidRPr="0044524F" w14:paraId="4033AAD5" w14:textId="77777777">
        <w:tc>
          <w:tcPr>
            <w:tcW w:w="4928" w:type="dxa"/>
          </w:tcPr>
          <w:p w14:paraId="75F5B56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высоту</w:t>
            </w:r>
          </w:p>
        </w:tc>
        <w:tc>
          <w:tcPr>
            <w:tcW w:w="5386" w:type="dxa"/>
          </w:tcPr>
          <w:p w14:paraId="6E3D495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20/3000</w:t>
            </w:r>
          </w:p>
        </w:tc>
      </w:tr>
      <w:tr w:rsidR="004E10C1" w:rsidRPr="0044524F" w14:paraId="0721535F" w14:textId="77777777">
        <w:tc>
          <w:tcPr>
            <w:tcW w:w="4928" w:type="dxa"/>
          </w:tcPr>
          <w:p w14:paraId="192D7C9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386" w:type="dxa"/>
          </w:tcPr>
          <w:p w14:paraId="0111136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5030</w:t>
            </w:r>
          </w:p>
        </w:tc>
      </w:tr>
      <w:tr w:rsidR="004E10C1" w:rsidRPr="0044524F" w14:paraId="14DF6349" w14:textId="77777777">
        <w:tc>
          <w:tcPr>
            <w:tcW w:w="4928" w:type="dxa"/>
          </w:tcPr>
          <w:p w14:paraId="248822E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5386" w:type="dxa"/>
          </w:tcPr>
          <w:p w14:paraId="15AFD08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пул. (2 ог. точ.)</w:t>
            </w:r>
          </w:p>
        </w:tc>
      </w:tr>
      <w:tr w:rsidR="004E10C1" w:rsidRPr="0044524F" w14:paraId="6E25BA74" w14:textId="77777777">
        <w:tc>
          <w:tcPr>
            <w:tcW w:w="4928" w:type="dxa"/>
          </w:tcPr>
          <w:p w14:paraId="58F0A4F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22F6B90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 кг бомб в счет перегрузки</w:t>
            </w:r>
          </w:p>
        </w:tc>
      </w:tr>
      <w:tr w:rsidR="004E10C1" w:rsidRPr="0044524F" w14:paraId="7DF152DB" w14:textId="77777777">
        <w:tc>
          <w:tcPr>
            <w:tcW w:w="4928" w:type="dxa"/>
          </w:tcPr>
          <w:p w14:paraId="386EDDB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386" w:type="dxa"/>
          </w:tcPr>
          <w:p w14:paraId="103C8CC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держ. на 1000 кг</w:t>
            </w:r>
          </w:p>
        </w:tc>
      </w:tr>
      <w:tr w:rsidR="004E10C1" w:rsidRPr="0044524F" w14:paraId="215593F8" w14:textId="77777777">
        <w:tc>
          <w:tcPr>
            <w:tcW w:w="4928" w:type="dxa"/>
          </w:tcPr>
          <w:p w14:paraId="2E048DFA"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5386" w:type="dxa"/>
          </w:tcPr>
          <w:p w14:paraId="7FC7716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r>
      <w:tr w:rsidR="004E10C1" w:rsidRPr="0044524F" w14:paraId="153AF10D" w14:textId="77777777">
        <w:tc>
          <w:tcPr>
            <w:tcW w:w="4928" w:type="dxa"/>
          </w:tcPr>
          <w:p w14:paraId="6B1A6323"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определения на гос. испытания</w:t>
            </w:r>
          </w:p>
        </w:tc>
        <w:tc>
          <w:tcPr>
            <w:tcW w:w="5386" w:type="dxa"/>
          </w:tcPr>
          <w:p w14:paraId="6E5A31F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41E544B" w14:textId="77777777">
        <w:tc>
          <w:tcPr>
            <w:tcW w:w="4928" w:type="dxa"/>
          </w:tcPr>
          <w:p w14:paraId="113E350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 КО от 4 июля 1932 года</w:t>
            </w:r>
          </w:p>
        </w:tc>
        <w:tc>
          <w:tcPr>
            <w:tcW w:w="5386" w:type="dxa"/>
          </w:tcPr>
          <w:p w14:paraId="1A83FA1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прошел в июне 1932 года</w:t>
            </w:r>
          </w:p>
        </w:tc>
      </w:tr>
      <w:tr w:rsidR="004E10C1" w:rsidRPr="0044524F" w14:paraId="0ACB14FA" w14:textId="77777777">
        <w:tc>
          <w:tcPr>
            <w:tcW w:w="4928" w:type="dxa"/>
          </w:tcPr>
          <w:p w14:paraId="2A94987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 срок предъявления промышл.</w:t>
            </w:r>
          </w:p>
        </w:tc>
        <w:tc>
          <w:tcPr>
            <w:tcW w:w="5386" w:type="dxa"/>
          </w:tcPr>
          <w:p w14:paraId="21A9D13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3CC8AA7" w14:textId="77777777">
        <w:tc>
          <w:tcPr>
            <w:tcW w:w="4928" w:type="dxa"/>
          </w:tcPr>
          <w:p w14:paraId="2BF07BE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w:t>
            </w:r>
          </w:p>
        </w:tc>
        <w:tc>
          <w:tcPr>
            <w:tcW w:w="5386" w:type="dxa"/>
          </w:tcPr>
          <w:p w14:paraId="43CF53BE"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58EFC7FD"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Предъявлено требование к бригаде ЦАГИ по доводке самолета (тех. треб. на этал. 1933 года) ЦАГИ не выполняет задания из-за отсутствия распоряжения ГУАП и прорабатывает пассажир. вариант. Необходимо распоряжение ГУАП о постройке серии на одном из заводов ГУАПа, но не на з-де N 45, который с поставленной ему программой на пассажир. вариант не справился, не говоря уже о военном, который в ГУАПе идет по 2 очереди.</w:t>
      </w:r>
    </w:p>
    <w:p w14:paraId="01D80BE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МБР4-АССО 750</w:t>
      </w:r>
    </w:p>
    <w:p w14:paraId="584D725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 данные самолета С62 бис АССО-750</w:t>
      </w:r>
    </w:p>
    <w:p w14:paraId="2E2829C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Принять решения по устранению дефектов согласно результатов испытания с-та. Дано задание ЦАГИ и зав. N 31 о проработке вопросов по улучшению устойчивости и облегчения самолета. Работы по первому заданию выполнены на 20-25%, по второму едва только начата: недостаток внимания треста.</w:t>
      </w:r>
    </w:p>
    <w:p w14:paraId="55D7B4A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А1-М11 амфибия</w:t>
      </w:r>
    </w:p>
    <w:p w14:paraId="4F3A19B9"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летно-технические данные: испытаний в ВВС самолет не проходил</w:t>
      </w:r>
    </w:p>
    <w:p w14:paraId="02F9AAB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Предъявленный эталон в марте 1933 года отклонен НИИ ВВС вследствие наличия многих дефектов. Исправление и вторичное предъявление ожидается в апреле 1933 года (3516,56-70).</w:t>
      </w:r>
    </w:p>
    <w:p w14:paraId="3F18216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p w14:paraId="1BC53E5D" w14:textId="77777777" w:rsidR="004A63B5"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8F64222" w14:textId="77777777" w:rsidR="004A63B5" w:rsidRPr="0044524F" w:rsidRDefault="004A63B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A541614" w14:textId="77777777" w:rsidR="004A63B5" w:rsidRPr="0044524F" w:rsidRDefault="004A63B5" w:rsidP="009654CF">
      <w:pPr>
        <w:pStyle w:val="rtejustify"/>
        <w:spacing w:before="0" w:after="0"/>
        <w:rPr>
          <w:color w:val="000000" w:themeColor="text1"/>
          <w:sz w:val="16"/>
          <w:szCs w:val="16"/>
        </w:rPr>
      </w:pPr>
      <w:r w:rsidRPr="0044524F">
        <w:rPr>
          <w:rStyle w:val="af0"/>
          <w:bCs/>
          <w:i w:val="0"/>
          <w:color w:val="000000" w:themeColor="text1"/>
          <w:sz w:val="16"/>
          <w:szCs w:val="16"/>
        </w:rPr>
        <w:t>2 апреля</w:t>
      </w:r>
      <w:r w:rsidRPr="0044524F">
        <w:rPr>
          <w:color w:val="000000" w:themeColor="text1"/>
          <w:sz w:val="16"/>
          <w:szCs w:val="16"/>
        </w:rPr>
        <w:t xml:space="preserve"> 1933. Постановление СТО СССР № 11сс/о «О строительстве опытного завода № 38 ВОАО». (ГА РФ. Ф. Р</w:t>
      </w:r>
      <w:r w:rsidRPr="0044524F">
        <w:rPr>
          <w:color w:val="000000" w:themeColor="text1"/>
          <w:sz w:val="16"/>
          <w:szCs w:val="16"/>
        </w:rPr>
        <w:noBreakHyphen/>
        <w:t>8418. Оп. 28. Д. 1. Л. 95) (15460).</w:t>
      </w:r>
    </w:p>
    <w:p w14:paraId="26DFBD55" w14:textId="77777777" w:rsidR="004A63B5" w:rsidRPr="0044524F" w:rsidRDefault="004A63B5" w:rsidP="009654CF">
      <w:pPr>
        <w:pStyle w:val="rtejustify"/>
        <w:spacing w:before="0" w:after="0"/>
        <w:rPr>
          <w:color w:val="000000" w:themeColor="text1"/>
          <w:sz w:val="16"/>
          <w:szCs w:val="16"/>
        </w:rPr>
      </w:pPr>
    </w:p>
    <w:p w14:paraId="706F24F7" w14:textId="77777777" w:rsidR="004A63B5" w:rsidRPr="0044524F" w:rsidRDefault="004A63B5" w:rsidP="009654CF">
      <w:pPr>
        <w:pStyle w:val="rtejustify"/>
        <w:spacing w:before="0" w:after="0"/>
        <w:rPr>
          <w:color w:val="000000" w:themeColor="text1"/>
          <w:sz w:val="16"/>
          <w:szCs w:val="16"/>
        </w:rPr>
      </w:pPr>
      <w:r w:rsidRPr="0044524F">
        <w:rPr>
          <w:rStyle w:val="af0"/>
          <w:bCs/>
          <w:i w:val="0"/>
          <w:color w:val="000000" w:themeColor="text1"/>
          <w:sz w:val="16"/>
          <w:szCs w:val="16"/>
        </w:rPr>
        <w:t>2 апреля</w:t>
      </w:r>
      <w:r w:rsidRPr="0044524F">
        <w:rPr>
          <w:color w:val="000000" w:themeColor="text1"/>
          <w:sz w:val="16"/>
          <w:szCs w:val="16"/>
        </w:rPr>
        <w:t xml:space="preserve"> 1933. Постановление СТО СССР № 12сс/о «О программе речного судостроения на 1933 г. (спецзаказы)». (ГА РФ. Ф. Р</w:t>
      </w:r>
      <w:r w:rsidRPr="0044524F">
        <w:rPr>
          <w:color w:val="000000" w:themeColor="text1"/>
          <w:sz w:val="16"/>
          <w:szCs w:val="16"/>
        </w:rPr>
        <w:noBreakHyphen/>
        <w:t>8418. Оп. 28. Д. 1. Л. 96) (15460).</w:t>
      </w:r>
    </w:p>
    <w:p w14:paraId="72EA15AF" w14:textId="77777777" w:rsidR="004A63B5" w:rsidRPr="0044524F" w:rsidRDefault="004A63B5" w:rsidP="009654CF">
      <w:pPr>
        <w:pStyle w:val="rtejustify"/>
        <w:spacing w:before="0" w:after="0"/>
        <w:rPr>
          <w:color w:val="000000" w:themeColor="text1"/>
          <w:sz w:val="16"/>
          <w:szCs w:val="16"/>
        </w:rPr>
      </w:pPr>
    </w:p>
    <w:p w14:paraId="194EC174" w14:textId="77777777" w:rsidR="004A63B5" w:rsidRPr="0044524F" w:rsidRDefault="004A63B5" w:rsidP="009654CF">
      <w:pPr>
        <w:pStyle w:val="rtejustify"/>
        <w:spacing w:before="0" w:after="0"/>
        <w:rPr>
          <w:color w:val="000000" w:themeColor="text1"/>
          <w:sz w:val="16"/>
          <w:szCs w:val="16"/>
        </w:rPr>
      </w:pPr>
      <w:r w:rsidRPr="0044524F">
        <w:rPr>
          <w:rStyle w:val="af0"/>
          <w:bCs/>
          <w:i w:val="0"/>
          <w:color w:val="000000" w:themeColor="text1"/>
          <w:sz w:val="16"/>
          <w:szCs w:val="16"/>
        </w:rPr>
        <w:t>2 апреля</w:t>
      </w:r>
      <w:r w:rsidRPr="0044524F">
        <w:rPr>
          <w:color w:val="000000" w:themeColor="text1"/>
          <w:sz w:val="16"/>
          <w:szCs w:val="16"/>
        </w:rPr>
        <w:t xml:space="preserve"> 1933. Постановление СТО СССР № 13сс/о «О выполнении заказов на 30 малых подлодок». (ГА РФ. Ф. Р</w:t>
      </w:r>
      <w:r w:rsidRPr="0044524F">
        <w:rPr>
          <w:color w:val="000000" w:themeColor="text1"/>
          <w:sz w:val="16"/>
          <w:szCs w:val="16"/>
        </w:rPr>
        <w:noBreakHyphen/>
        <w:t>8418. Оп. 28. Д. 1. Л. 97</w:t>
      </w:r>
      <w:r w:rsidRPr="0044524F">
        <w:rPr>
          <w:color w:val="000000" w:themeColor="text1"/>
          <w:sz w:val="16"/>
          <w:szCs w:val="16"/>
        </w:rPr>
        <w:noBreakHyphen/>
        <w:t>98) (15460).</w:t>
      </w:r>
    </w:p>
    <w:p w14:paraId="7D6041C0" w14:textId="77777777" w:rsidR="004A63B5" w:rsidRPr="0044524F" w:rsidRDefault="004A63B5" w:rsidP="009654CF">
      <w:pPr>
        <w:pStyle w:val="rtejustify"/>
        <w:spacing w:before="0" w:after="0"/>
        <w:rPr>
          <w:color w:val="000000" w:themeColor="text1"/>
          <w:sz w:val="16"/>
          <w:szCs w:val="16"/>
        </w:rPr>
      </w:pPr>
    </w:p>
    <w:p w14:paraId="70C74EF2" w14:textId="77777777" w:rsidR="004A63B5" w:rsidRPr="0044524F" w:rsidRDefault="004A63B5" w:rsidP="009654CF">
      <w:pPr>
        <w:pStyle w:val="rtejustify"/>
        <w:spacing w:before="0" w:after="0"/>
        <w:rPr>
          <w:color w:val="000000" w:themeColor="text1"/>
          <w:sz w:val="16"/>
          <w:szCs w:val="16"/>
        </w:rPr>
      </w:pPr>
      <w:r w:rsidRPr="0044524F">
        <w:rPr>
          <w:rStyle w:val="af0"/>
          <w:bCs/>
          <w:i w:val="0"/>
          <w:color w:val="000000" w:themeColor="text1"/>
          <w:sz w:val="16"/>
          <w:szCs w:val="16"/>
        </w:rPr>
        <w:t>2 апреля</w:t>
      </w:r>
      <w:r w:rsidRPr="0044524F">
        <w:rPr>
          <w:color w:val="000000" w:themeColor="text1"/>
          <w:sz w:val="16"/>
          <w:szCs w:val="16"/>
        </w:rPr>
        <w:t xml:space="preserve"> 1933. Постановление СТО СССР № 14сс/о «О производственной программе Союзверфи на 1933 г.». (ГА РФ. Ф. Р</w:t>
      </w:r>
      <w:r w:rsidRPr="0044524F">
        <w:rPr>
          <w:color w:val="000000" w:themeColor="text1"/>
          <w:sz w:val="16"/>
          <w:szCs w:val="16"/>
        </w:rPr>
        <w:noBreakHyphen/>
        <w:t>8418. Оп. 28. Д. 1. Л. 99</w:t>
      </w:r>
      <w:r w:rsidRPr="0044524F">
        <w:rPr>
          <w:color w:val="000000" w:themeColor="text1"/>
          <w:sz w:val="16"/>
          <w:szCs w:val="16"/>
        </w:rPr>
        <w:noBreakHyphen/>
        <w:t>104) (15460).</w:t>
      </w:r>
    </w:p>
    <w:p w14:paraId="292C7ED8" w14:textId="77777777" w:rsidR="004A63B5" w:rsidRPr="0044524F" w:rsidRDefault="004A63B5" w:rsidP="009654CF">
      <w:pPr>
        <w:pStyle w:val="rtejustify"/>
        <w:spacing w:before="0" w:after="0"/>
        <w:rPr>
          <w:color w:val="000000" w:themeColor="text1"/>
          <w:sz w:val="16"/>
          <w:szCs w:val="16"/>
        </w:rPr>
      </w:pPr>
    </w:p>
    <w:p w14:paraId="2B0AF1B9" w14:textId="77777777" w:rsidR="004A63B5" w:rsidRPr="0044524F" w:rsidRDefault="004A63B5" w:rsidP="009654CF">
      <w:pPr>
        <w:pStyle w:val="rtejustify"/>
        <w:spacing w:before="0" w:after="0"/>
        <w:rPr>
          <w:color w:val="000000" w:themeColor="text1"/>
          <w:sz w:val="16"/>
          <w:szCs w:val="16"/>
        </w:rPr>
      </w:pPr>
      <w:r w:rsidRPr="0044524F">
        <w:rPr>
          <w:rStyle w:val="af0"/>
          <w:bCs/>
          <w:i w:val="0"/>
          <w:color w:val="000000" w:themeColor="text1"/>
          <w:sz w:val="16"/>
          <w:szCs w:val="16"/>
        </w:rPr>
        <w:t>2 апреля</w:t>
      </w:r>
      <w:r w:rsidRPr="0044524F">
        <w:rPr>
          <w:color w:val="000000" w:themeColor="text1"/>
          <w:sz w:val="16"/>
          <w:szCs w:val="16"/>
        </w:rPr>
        <w:t xml:space="preserve"> 1933. Постановление СТО СССР № 15сс/о «О нормах мобилизационных запасов для восстановления железных дорог». (ГА РФ. Ф. Р</w:t>
      </w:r>
      <w:r w:rsidRPr="0044524F">
        <w:rPr>
          <w:color w:val="000000" w:themeColor="text1"/>
          <w:sz w:val="16"/>
          <w:szCs w:val="16"/>
        </w:rPr>
        <w:noBreakHyphen/>
        <w:t>8418. Оп. 28. Д. 1. Л. 106</w:t>
      </w:r>
      <w:r w:rsidRPr="0044524F">
        <w:rPr>
          <w:color w:val="000000" w:themeColor="text1"/>
          <w:sz w:val="16"/>
          <w:szCs w:val="16"/>
        </w:rPr>
        <w:noBreakHyphen/>
        <w:t>110) (15460).</w:t>
      </w:r>
    </w:p>
    <w:p w14:paraId="5DE80419" w14:textId="77777777" w:rsidR="004A63B5" w:rsidRPr="0044524F" w:rsidRDefault="004A63B5" w:rsidP="009654CF">
      <w:pPr>
        <w:pStyle w:val="rtejustify"/>
        <w:spacing w:before="0" w:after="0"/>
        <w:rPr>
          <w:color w:val="000000" w:themeColor="text1"/>
          <w:sz w:val="16"/>
          <w:szCs w:val="16"/>
        </w:rPr>
      </w:pPr>
    </w:p>
    <w:p w14:paraId="28F20E46" w14:textId="77777777" w:rsidR="0093069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91A4913" w14:textId="77777777" w:rsidR="00930697" w:rsidRPr="0044524F" w:rsidRDefault="0093069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F876FB7"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апреля 1933 г. опытный образец 76-мм универсальной пушки Л-3 был включен в план завода «Красный путиловец» и оформлен договором с УМА ГАУ № 204862.</w:t>
      </w:r>
    </w:p>
    <w:p w14:paraId="69D59E30"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Пушка была спроектирована КБ «Красного путиловца» (переименованного в 1934 г. в Кировский завод) под руководством Маханова. Длина ствола была уменьшена до 45 клб, но гильза была более мощная, чем у пушки обр. 1902 г.</w:t>
      </w:r>
    </w:p>
    <w:p w14:paraId="4322880E"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Ствол пушки двухслойный со свободной трубой, навинтным казенником и дульным тормозом. (Испытывалось не менее двух типов дульного тормоза.) Нарезы постоянной крутизны, имелись стволы с крутизной в 25 клб и 20 клб.</w:t>
      </w:r>
    </w:p>
    <w:p w14:paraId="1ECA5B27"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Затвор вертикальный клиновой полуавтоматический, подобный затвору 45-мм пушки большой мощности (системы Лендера).</w:t>
      </w:r>
    </w:p>
    <w:p w14:paraId="5417A761"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Л-3 имела оригинальные противооткатные устройства и нижний станок, которые встречались только в последующих типах кировских пушек, если так можно выразиться — «махановский почерк».</w:t>
      </w:r>
    </w:p>
    <w:p w14:paraId="2A7D27A1"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Компрессор и накатник были собраны в одном агрегате, неподвижном при откате. Откат переменный, то есть зависел от угла возвышения, при угле +85° его длина 600 мм, а при 0° — 1300 мм.</w:t>
      </w:r>
    </w:p>
    <w:p w14:paraId="1E661AD7"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Нижний станок Л-3 имел три станины — две задние и одну съемную переднюю. На походе съемная станина крепилась к пушке. Стрельба могла вестись в двух положениях: с колес с углом ГН 60° и в зенитном положении, упираясь на поддон, что обеспечивало круговой обстрел.</w:t>
      </w:r>
    </w:p>
    <w:p w14:paraId="4E206B4B"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стрельбе с колес задние станины раздвигались на угол 60°, а при зенитной стрельбе откреплялась третья станина, и угол между всеми станинами становился 120°. В «зенитном положении» системы ход в целом поднимался и оставался соединенным только с верхним станком.</w:t>
      </w:r>
    </w:p>
    <w:p w14:paraId="4CC0F722"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Боевая ось коленчатая. Колеса автомобильного типа с пневматическими шинами (с дополнительными ободами) (25213).</w:t>
      </w:r>
    </w:p>
    <w:p w14:paraId="21D5B9DB" w14:textId="77777777" w:rsidR="006A7D5C" w:rsidRPr="00142305" w:rsidRDefault="006A7D5C" w:rsidP="006A7D5C">
      <w:pPr>
        <w:spacing w:after="0" w:line="240" w:lineRule="auto"/>
        <w:jc w:val="both"/>
        <w:rPr>
          <w:rFonts w:ascii="Times New Roman" w:hAnsi="Times New Roman"/>
          <w:color w:val="0070C0"/>
          <w:sz w:val="16"/>
          <w:szCs w:val="16"/>
        </w:rPr>
      </w:pPr>
    </w:p>
    <w:p w14:paraId="3072603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апреля 1933 г. договором с УМА ГАУ № 204862 была оформлена и включена в план завода "Красный Путиловец" разработка опытного образца 76-мм универсальной пушки Л-3. Новый образец 76-мм универсальной пушки "Л-3" был спроектирован в КБ "Красного Путиловца" (переименованного в 1934 году в Кировский завод) под руководством Маханова. Длина ствола была уменьшена до 45 клб, но гильза была более мощная, чем у пушки обр. 1902 г. Ствол пушки двухслойный со свободной трубой, навинтным казенником и дульным тормозом. (Испытывалось не менее двух типов дульного тормоза). Нарезы постоянной крутизны, имелись стволы с крутизной в 25 клб и 20 клб. Затвор вертикальный клиновой полуавтоматический, подобный затвору 45-мм пушки большой мощности (системы Лендера). Л-3 имела оригинальные противооткатные устройства и нижний станок, которые встречались только в последующих типах Кировских пушек, если так можно выразиться "махановский почерк". Компрессор и накатник были собраны в одном агрегате, неподвижном при откате. Откат переменный, то есть зависел от угла возвышения, при угле +85 его длина 600 мм, а при 0 1300 мм. Нижний станок Л-3 имел три станины, две задние и одну съемную переднюю. На походе съемная станина крепилась к пушке. Стрельба могла вестись в двух положения: с колес с углом ГН 60 и в зенитном положении, упираясь на поддон, что обеспечивало круговой обстрел. При стрельбе с колес задние станины раздвигались на угол 60, а при зенитной стрельбе откреплялась третья станина и угол между всеми станинами становился 120. В "зенитном положении" системы ход в целом поднимался и оставался соединенным только с верхним станком. Боевая ось коленчатая. Колеса автомобильного типа с пневматическими шинами (с дополнительными ободами) (3861).</w:t>
      </w:r>
    </w:p>
    <w:p w14:paraId="2EE17FDC"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p w14:paraId="1BF2F404"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апреля 1933 г. опытный образец 76-мм универсальной пушки Л-3 был включен в план завода «Красный путиловец» и оформлен договором с УМА ГАУ № 204862.</w:t>
      </w:r>
    </w:p>
    <w:p w14:paraId="5287EFCE"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КБ «Красного путиловца» (переименованного в 1934 г. в Кировский завод) под руководством Маханова спроектировало новый образец 76-мм универсальной пушки «Л-3». Длина ствола была уменьшена до 45 клб, но гильза была более мощная, чем у пушки обр. 1902 г.</w:t>
      </w:r>
    </w:p>
    <w:p w14:paraId="44078E13"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Ствол пушки двухслойный со свободной трубой, навинтным казенником и дульным тормозом. (Испытывалось не менее двух типов дульного тормоза.) Нарезы постоянной крутизны, имелись стволы с крутизной в 25 клб и 20 клб.</w:t>
      </w:r>
    </w:p>
    <w:p w14:paraId="70E23961"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Затвор вертикальный клиновой полуавтоматический, подобный затвору 45-мм пушки большой мощности (системы Лендера).</w:t>
      </w:r>
    </w:p>
    <w:p w14:paraId="31C02D35"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Л-3 имела оригинальные противооткатные устройства и нижний станок, которые встречались только в последующих типах кировских пушек, если так можно выразиться — «махановский почерк».</w:t>
      </w:r>
    </w:p>
    <w:p w14:paraId="3493248B"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Компрессор и накатник были собраны в одном агрегате, неподвижном при откате. Откат переменный, то есть зависел от угла возвышения, при угле +85° его длина 600 мм, а при 0° — 1300 мм.</w:t>
      </w:r>
    </w:p>
    <w:p w14:paraId="0BEDBD9E"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Нижний станок Л-3 имел три станины — две задние и одну съемную переднюю. На походе съемная станина крепилась к пушке. Стрельба могла вестись в двух положениях: с колес с углом ГН 60° и в зенитном положении, упираясь на поддон, что обеспечивало круговой обстрел.</w:t>
      </w:r>
    </w:p>
    <w:p w14:paraId="3A901710"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стрельбе с колес задние станины раздвигались на угол 60°, а при зенитной стрельбе откреплялась третья станина, и угол между всеми станинами становился 120°. В «зенитном положении» системы ход в целом поднимался и оставался соединенным только с верхним станком.</w:t>
      </w:r>
    </w:p>
    <w:p w14:paraId="44D19149"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Боевая ось коленчатая. Колеса автомобильного типа с пневматическими шинами (с дополнительными ободами).</w:t>
      </w:r>
    </w:p>
    <w:p w14:paraId="36BF7A82"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Заводские испытания опытного образца 76-мм пушки Л-3 проходили на НИАПе с 19 декабря 1934 г. по 25 января 1935 г.</w:t>
      </w:r>
    </w:p>
    <w:p w14:paraId="6ACB90A9"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ходе стрельбы отмечены прорыв газов в затворе и повреждения ударника. Меткость неудовлетворительная. После доработок на заводе Л-3 23 мая 1935 г. вновь попала на НИАП для повторных испытаний. При стрельбе снарядом весом 7,1 кг начальная скорость 720 м/с, а дальность 13942 м.</w:t>
      </w:r>
    </w:p>
    <w:p w14:paraId="1E798F85"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вооружение Л-3 принята не была (15117).</w:t>
      </w:r>
    </w:p>
    <w:p w14:paraId="388398FD" w14:textId="77777777" w:rsidR="004A63B5" w:rsidRPr="0044524F" w:rsidRDefault="004A63B5" w:rsidP="009654CF">
      <w:pPr>
        <w:spacing w:after="0" w:line="240" w:lineRule="auto"/>
        <w:jc w:val="both"/>
        <w:rPr>
          <w:rFonts w:ascii="Times New Roman" w:hAnsi="Times New Roman"/>
          <w:color w:val="000000" w:themeColor="text1"/>
          <w:sz w:val="16"/>
          <w:szCs w:val="16"/>
        </w:rPr>
      </w:pPr>
    </w:p>
    <w:p w14:paraId="2B90FA2D" w14:textId="77777777" w:rsidR="005D434A" w:rsidRPr="0044524F" w:rsidRDefault="005D434A" w:rsidP="009654CF">
      <w:pPr>
        <w:pStyle w:val="rtejustify"/>
        <w:spacing w:before="0" w:after="0"/>
        <w:rPr>
          <w:color w:val="000000" w:themeColor="text1"/>
          <w:sz w:val="16"/>
          <w:szCs w:val="16"/>
        </w:rPr>
      </w:pPr>
      <w:r w:rsidRPr="0044524F">
        <w:rPr>
          <w:rStyle w:val="af0"/>
          <w:bCs/>
          <w:i w:val="0"/>
          <w:color w:val="000000" w:themeColor="text1"/>
          <w:sz w:val="16"/>
          <w:szCs w:val="16"/>
        </w:rPr>
        <w:t>3/4 апреля 1933 вышел приказ НКТП № 37с.</w:t>
      </w:r>
      <w:r w:rsidRPr="0044524F">
        <w:rPr>
          <w:color w:val="000000" w:themeColor="text1"/>
          <w:sz w:val="16"/>
          <w:szCs w:val="16"/>
        </w:rPr>
        <w:t xml:space="preserve"> Об улучшении работы и реконструкции Ижевского завода. (РГАЭ. Ф. 7297. Оп. 38. Д. 35. Л. 27</w:t>
      </w:r>
      <w:r w:rsidRPr="0044524F">
        <w:rPr>
          <w:color w:val="000000" w:themeColor="text1"/>
          <w:sz w:val="16"/>
          <w:szCs w:val="16"/>
        </w:rPr>
        <w:noBreakHyphen/>
        <w:t>23) (15246).</w:t>
      </w:r>
    </w:p>
    <w:p w14:paraId="73DA6923" w14:textId="77777777" w:rsidR="005D434A" w:rsidRPr="0044524F" w:rsidRDefault="005D434A" w:rsidP="009654CF">
      <w:pPr>
        <w:pStyle w:val="rtejustify"/>
        <w:spacing w:before="0" w:after="0"/>
        <w:rPr>
          <w:color w:val="000000" w:themeColor="text1"/>
          <w:sz w:val="16"/>
          <w:szCs w:val="16"/>
        </w:rPr>
      </w:pPr>
    </w:p>
    <w:p w14:paraId="1D0046EC" w14:textId="77777777" w:rsidR="0093069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EAD9218"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p w14:paraId="7779DBB7" w14:textId="77777777" w:rsidR="002C7BF8" w:rsidRPr="0044524F" w:rsidRDefault="002C7BF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3 апреля 1933 Совнарком СССР утвердил предложение ГУСМП: «1. Предложить Главному управлению Северного морского пути под личным руководством т. Шмидта О.Ю. повторить в 1933 году сплошное плавание по Ледовитому океану. 2. Обязать Главное управление Северного морского пути на том же пароходе выполнить задачу снабжения о. Врангеля (продовольствие, оборудование, персонал радиостанции и т. д.) и вывоз с острова Врангеля пушнины» (20467).</w:t>
      </w:r>
    </w:p>
    <w:p w14:paraId="18EF0307" w14:textId="77777777" w:rsidR="002C7BF8" w:rsidRPr="0044524F" w:rsidRDefault="002C7BF8" w:rsidP="009654CF">
      <w:pPr>
        <w:spacing w:after="0" w:line="240" w:lineRule="auto"/>
        <w:jc w:val="both"/>
        <w:rPr>
          <w:rFonts w:ascii="Times New Roman" w:hAnsi="Times New Roman"/>
          <w:color w:val="000000" w:themeColor="text1"/>
          <w:sz w:val="16"/>
          <w:szCs w:val="16"/>
        </w:rPr>
      </w:pPr>
    </w:p>
    <w:p w14:paraId="0D5A3069"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апреля 1933 г. Совнарком СССР принял следующее решение:</w:t>
      </w:r>
    </w:p>
    <w:p w14:paraId="57FFEE01" w14:textId="77777777" w:rsidR="006A7D5C" w:rsidRPr="00142305" w:rsidRDefault="006A7D5C" w:rsidP="006A7D5C">
      <w:pPr>
        <w:widowControl w:val="0"/>
        <w:tabs>
          <w:tab w:val="left" w:pos="591"/>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Предложить Гравному управлению Северного морского пути подлинным руководством т. Шмидта О.Ю. повторить в 1933 году сплошное плавание по Ледовитому океану.</w:t>
      </w:r>
    </w:p>
    <w:p w14:paraId="105A8F9B" w14:textId="77777777" w:rsidR="006A7D5C" w:rsidRPr="00142305" w:rsidRDefault="006A7D5C" w:rsidP="006A7D5C">
      <w:pPr>
        <w:widowControl w:val="0"/>
        <w:tabs>
          <w:tab w:val="left" w:pos="55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Обязать Главное управление Северного морского пути на том ж е пароходе выполнить задачу снабжения о. Врангеля (продовольствие, оборудование, персонал радиостанции и т.д.) и вывоз с острова Врангеля пушнины» (25653).</w:t>
      </w:r>
    </w:p>
    <w:p w14:paraId="7D43EEB8" w14:textId="77777777" w:rsidR="006A7D5C" w:rsidRPr="00142305" w:rsidRDefault="006A7D5C" w:rsidP="006A7D5C">
      <w:pPr>
        <w:spacing w:after="0" w:line="240" w:lineRule="auto"/>
        <w:jc w:val="both"/>
        <w:rPr>
          <w:rFonts w:ascii="Times New Roman" w:hAnsi="Times New Roman"/>
          <w:color w:val="0070C0"/>
          <w:sz w:val="16"/>
          <w:szCs w:val="16"/>
        </w:rPr>
      </w:pPr>
    </w:p>
    <w:p w14:paraId="2453EDA6" w14:textId="77777777" w:rsidR="002C7BF8" w:rsidRPr="0044524F" w:rsidRDefault="002C7BF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 апреля 1933 года русский хирург Юрий Юрьевич Вороной провел первую в мире операцию по пересадке почки (21177).</w:t>
      </w:r>
    </w:p>
    <w:p w14:paraId="42D0C56F" w14:textId="77777777" w:rsidR="002C7BF8" w:rsidRPr="0044524F" w:rsidRDefault="002C7BF8" w:rsidP="009654CF">
      <w:pPr>
        <w:spacing w:after="0" w:line="240" w:lineRule="auto"/>
        <w:jc w:val="both"/>
        <w:rPr>
          <w:rFonts w:ascii="Times New Roman" w:hAnsi="Times New Roman"/>
          <w:color w:val="000000" w:themeColor="text1"/>
          <w:sz w:val="16"/>
          <w:szCs w:val="16"/>
        </w:rPr>
      </w:pPr>
    </w:p>
    <w:p w14:paraId="53CA6BB3" w14:textId="77777777" w:rsidR="004A63B5" w:rsidRPr="0044524F" w:rsidRDefault="004A63B5"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3 апреля</w:t>
      </w:r>
      <w:r w:rsidRPr="0044524F">
        <w:rPr>
          <w:rFonts w:ascii="Times New Roman" w:hAnsi="Times New Roman"/>
          <w:color w:val="000000" w:themeColor="text1"/>
          <w:sz w:val="16"/>
          <w:szCs w:val="16"/>
        </w:rPr>
        <w:t xml:space="preserve"> в 1933 году советский хирург Юрий Вороной впервые в мире провел в клинике операцию по трансплантации почки. 26-летняя женщина, которой пересадили почку умершего 60-летнего мужчины, прожила с донорской почкой более двух суток. Этим был открыт современный этап развития трансплантологии, связанный с пересадками жизненно важных органов больным (15088).</w:t>
      </w:r>
    </w:p>
    <w:p w14:paraId="179288B9" w14:textId="77777777" w:rsidR="004A63B5" w:rsidRPr="0044524F" w:rsidRDefault="004A63B5" w:rsidP="009654CF">
      <w:pPr>
        <w:spacing w:after="0" w:line="240" w:lineRule="auto"/>
        <w:jc w:val="both"/>
        <w:rPr>
          <w:rFonts w:ascii="Times New Roman" w:hAnsi="Times New Roman"/>
          <w:color w:val="000000" w:themeColor="text1"/>
          <w:sz w:val="16"/>
          <w:szCs w:val="16"/>
        </w:rPr>
      </w:pPr>
    </w:p>
    <w:p w14:paraId="6B93DAC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апреля 1933 года приказом по лагерю № 72 регламентировался «Порядок предоставления свиданий», согласно которому «свидание заключенным [так] с родственниками является высшей формой поощрения лагерника за безукоризненное и примерное поведение и хорошую, добросовестную работу», предоставляется «только тем заключенным, которые... зарекомендовали себя исключительно добросовестными работниками-ударниками», и «дает право совместного проживания с семьей или родственниками на частной квартире или в специально отведенном помещении «Дома для приезжающих»» (7560).</w:t>
      </w:r>
    </w:p>
    <w:p w14:paraId="223BE4C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p w14:paraId="6EC43E7E" w14:textId="77777777" w:rsidR="0093069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99E5B4F" w14:textId="77777777" w:rsidR="00930697" w:rsidRPr="0044524F" w:rsidRDefault="0093069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B21E97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апреля 1933 г. Военным атташе Германии в Москве был назначен полковник О. Хартман, которого посол Дирксен представил первому заместителю наркома иностранных дел СССР Крестинскому. Крестинский заявил военному атташе: «Тесное сотрудничество между рейхсвером и Красной Армией продолжается уже более 10 лет. Я был у колыбели этого сотрудничества, продолжаю все время ему содействовать и хорошо знаком со всеми этапами развития этого сотрудничества, со всеми моментами улучшения и ухудшения отношений, и я должен сказать &lt;...&gt;, что никогда эти отношения не осуществлялись в столь тяжелой общеполитической атмосфере, чем сегодня». Крестинский говорил о многочисленных случаях насилия над гражданами СССР, «чинимых в Германии национал-социалистическими штурмовиками, а во многих случаях и органами полиции». Он напомнил об инцидентах с обысками гамбургского и ляйпцигского отделений советского торгпредства, о повальных обысках приходивших в Гамбург советских судах, о «настоящем походе» против общества «Дероп» по продаже советских нефтяных продуктов, правление и отделения которого в Берлине, Кельне, Дрездене, Штуттгарте, Мюнхене и других городах Германии подвергались многочисленным налетам и обыскам, в ходе которых производились аресты сотрудников, в том числе советских граждан, «которые подвергались грубейшим насилиям и издевательствам, и в конце концов освобождались ввиду полной неосновательности их ареста». Налетам и разграблениям подвергались и пункты розничной продажи бензина, принадлежавшие «Деропу», причем в некоторых случаях бензин «забирался бесплатно приезжавшими на автомобилях штурмовиками, в других случаях бензин просто выпускался, были случаи порчи и разрушения бензоколонок Деропа». В этой связи Крестинский напомнил Хартману, что «отношения между двумя государствами не укладываются в ведомственные рамки. Не может быть такого положения, при котором между военным министерством Германии и Народным комиссариатом по военным делам в СССР существуют отношения дружбы и сотрудничества, а другие правительственные органы Германии проводят по отношению к СССР враждебную политику, выражающуюся в насилиях над нашими гражданами, в налетах на наши органы и других эксцессах». Далее в довольно ультимативной форме Крестинский заявил: «Если Германия действительно хочет сохранить с СССР те отношения, о которых говорил рейхсканцлер и которые издавна существуют между военными ведомствами обеих стран, необходимо, чтобы правительство железной рукой немедленно положило конец всем этим эксцессам. У правительства есть для этого достаточно силы, надо лишь, чтобы было и достаточно желания. Если же правительство не вмешается и безобразия по отношению к СССР будут продолжаться, то я думаю, г. Гартман (Хартман.) понимает, что и его работа здесь будет сильно затруднена». Крестинский потребовал от Хартмана «немедленно через своего министра (В. фон Бломберг.) указать правительству на трудности создавшегося положения и создать в Германии благоприятный тыл для своей московской работы» (АВП РФ, ф. 082, оп. 16, п. 71, д. 1, л. 261-267.). При этом Крестинский намеренно обращался не к послу Дирксену, а к военному атташе с тем, чтобы его «заявление и предостережения были обязательно переданы в Берлин и по военной линии» (В ответ Хартман заявил, что «военное ведомство Германии, как один человек, стоит за сохранение дружеских отношений с СССР и что военный министр Бломберг в этом духе выступает на заседаниях правительства».). Другими словами, терпение в Москве было уже на пределе. И оно лопнуло. Спустя несколько дней, 8 апреля 1933 г. в Москву прибыл первый французский военный атташе полковник Мендрас, дружески принятый Ворошиловым, Егоровым и Литвиновым (В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Эррио.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6F079A74"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p w14:paraId="11BD54DF" w14:textId="77777777" w:rsidR="0093069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76DA4E3" w14:textId="77777777" w:rsidR="00930697" w:rsidRPr="0044524F" w:rsidRDefault="0093069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45B62F2"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апреля 1933 года в 19.30 дирижабль Акрон под командованием Франка С. Мак-Корда вылетел из Лейкхерста, чтобы принять участие в морских маневрах в Атлантическом океане. На борту находились 76 человек экипажа (19 офицеров и 57 матросов), адмирал Моффетт, его адъютант капитан Сессиль, начальник авиационной базы Дерри и капитан Мазури. До 1.30 ночи в Лейкхерсте исправно получали донесения с воздушного корабля, который в момент передачи очередного сообщения находился севернее Нью-Йорка на траверзе Новой Англии. </w:t>
      </w:r>
    </w:p>
    <w:p w14:paraId="30EFA68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Почти с самого начала полет проходил в сложных метеорологических условиях. Дирижабль непрерывно подвергался ударам мощных порывов ветра. Поскольку впереди по курсу находилась зона сильного шторма, на борт было передано распоряжение об изменении курса на 15°. Однако его неправильно поняли и изменили курс на 50°. В английском языке слова «пятнадцать» (fifteen) и «пятьдесят» (fifty) имеют схожее звучание. В результате этой ошибки дирижабль вошел в самый центр шквала, рожденного горизонтальным вихрем. Высота полета составляла около 500 м. Внезапно дирижабль начал быстро снижаться, однако после сброса части балласта на высоте 250 м удалось остановить спуск и затем набрать прежнюю высоту. Еще через 3 минуты, когда ZRS-4 проходил через центр вихря, с него сорвало верхний руль направления, после чего корабль опустил нос и начался быстрый повторный спуск. </w:t>
      </w:r>
    </w:p>
    <w:p w14:paraId="74D4168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Как утверждал спасшийся помощник командира капитан Герберт Уайли: ни пожара, ни взрыва на дирижабле не было, все двигатели работали нормально до самого последнего момента. Отрицательный дифферент достигал 20°, скорость снижения превышала 4 м/с. Попытки остановить спуск посредством отклонения руля высоты оказались безрезультатными. По-видимому, сорванная плоскость руля направления так легла на руль высоты, что последний оказался практически заклиненным. За полторы минуты дирижабль снизился до 120 м, т. е. находился на высоте, равной всего половине его длины. На высоте 30 м, когда стало ясно, что спуск остановить не удастся, была отдана команда готовиться к посадке на воду. После этого последовал сильный удар о поверхность океана, послуживший началом разрушения дирижабля, вода хлынула внутрь командирской рубки. Сам Герберт Уайли, по его словам, был выброшен в море и напрягая силы поплыл в сторону, чтобы не попасть под корпус тонущего корабля. Молнии освещали место катастрофы, но Уайли не видел никого из экипажа, а лишь слышал крики. Он ухватился за обломок доски и держался на воде. Дирижабль очень быстро затонул. Благодаря [439] тому что несущим газом на ZRS-4 был гелий, пожара, как это случилось при катастрофе R.101, не произошло. </w:t>
      </w:r>
    </w:p>
    <w:p w14:paraId="07712D8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Свидетелем крушения оказалась команда немецкого нефтеналивного судна «Фебус», которая заметила сначала огни находившегося на высоте дирижабля, а затем через некоторое время эти же огни — у самой воды. «Фебус» выдал сигнал «SOS» и приступил к спасательным работам. Но избавить от гибели ему удалось только четверых человек, из которых один позже умер. Несмотря на то что в спасательных работах приняли участие 52 судна и самолеты, никого больше не обнаружили. </w:t>
      </w:r>
    </w:p>
    <w:p w14:paraId="1BED8BD0"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Кроме того, в этот день вблизи Бич-Хейвена (Нью-Джерси), во время поиска уцелевших с «Акрона», потерпел аварию дирижабль J-3, вылетевший из Лейкхерста. Мягкий дирижабль J-3 построен в 1927 году. Его объем 1500 куб. м, длина 32,3 м, мидель 9,45 м, полезная нагрузка 480 кг, мощность мотора 60 л. с. С такими летно-техническими данными этот корабль не мог быть отправлен в полет во время шторма с экипажем в 6 человек на борту. Итак, к длинному списку погибших прибавилось еще две жертвы. </w:t>
      </w:r>
    </w:p>
    <w:p w14:paraId="03195B4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Объяснение крушения такого совершенного для своего времени дирижабля только ошибкой пилотирования, приведшей к полету в чрезвычайно тяжелых метеорологических условиях, малоубедительно, тем более, что все двигатели вплоть до удара о водную поверхность работали нормально. Условия сильного шторма, несомненно, способствовали катастрофе, но основные ее причины заключались не в этом. В схожие погодные условия попал и LZ-127 во время одного из перелетов через Атлантику в 1928 году. В ночь гибели R.101 дирижабль LZ-127, находившийся в это время в воздухе, успешно завершил полет, проходивший в сложной метеорологической обстановке.</w:t>
      </w:r>
    </w:p>
    <w:p w14:paraId="7ECF1C16"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Американское общество находилось в шоке из-за гибели дирижабля, бывшего символом страны. Руководство ВМС, а за ними и конгресс тщательно расследовали все обстоятельства катастрофы; комиссии отмечали, что в рабочих чертежах дирижабля было обнаружено около 600 дефектов. Качество материала, использованного в [440] отдельных элементах конструкции, также было признано неудовлетворительным. Дополнительным отягощающим фактором выступала и слишком малая высота полета. К тому же команда о посадке на воду была отдана слишком поздно. Большая доля вины была возложена на погибшего командира Мак-Корда, грубые навигационные ошибки которого, неуверенное управление дирижаблем и безответственное отношение к вопросу спасения экипажа в аварийной ситуации привели к гибели экипажа и воздушного корабля. На борту практически отсутствовали какие бы то ни было спасательные средства — имелась только одна резиновая лодка и совершенно не было индивидуальных спасательных жилетов. Итак, основные причины катастрофы — недостаточная прочность конструкции и ошибки пилотирования. В целом карьера ZRS-4 сопровождалась многими проблемами. Воздушный гигант, который должен был служить примером использования столь </w:t>
      </w:r>
      <w:r w:rsidRPr="0044524F">
        <w:rPr>
          <w:rFonts w:ascii="Times New Roman" w:hAnsi="Times New Roman"/>
          <w:color w:val="000000" w:themeColor="text1"/>
          <w:sz w:val="16"/>
          <w:szCs w:val="16"/>
        </w:rPr>
        <w:lastRenderedPageBreak/>
        <w:t xml:space="preserve">необходимых современных дирижаблей для ведения военно-морских операций, в конце концов просто разочаровал. До момента катастрофы корабль совершил 73 вылета и находился в воздухе 1659 часов, причем ни один из случаев его взаимодействия с кораблями ВМФ нельзя было отнести к бесспорным удачам. </w:t>
      </w:r>
    </w:p>
    <w:p w14:paraId="6A7576C5"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результате трагедии с «Акроном» настроения против развертывания дирижаблестроения одно время захватили даже правительственные круги. Так, морской министр США Свенсон выступил с заявлением, что в настоящее время не предполагается строить новых больших дирижаблей, так как первенствующей проблемой является модернизация крейсеров. Тем не менее морское министерство, долго занимавшее сдержанную позицию, было вынуждено под влиянием лихорадочного вооружения Японии высказаться за постройку двух новых дирижаблей для трансокеанских рейсов и для сообщения с Южной Америкой. </w:t>
      </w:r>
    </w:p>
    <w:p w14:paraId="375A615F"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Заместитель морского министра обратился к администрации общественных работ с заявлением о необходимости ассигнования средств на указанные линии, в том числе и на строительство баз на Гавайских и Филиппинских островах. Вполне естественно, что в первые дни после катастрофы очень многие считали нецелесообразным дальнейшее строительство дирижаблей, но в специальной прессе отмечалось, что нельзя делать такие скорополительные заключения, которые неблагоприятно повлияют на дальнейшее опытное строительство дирижаблей. Тем более, что в США было построено всего около 140 дирижаблей. Редакционная статья «Дирижабль — в воздух!» в журнале «U.S. Air Service» (1933. № 5) констатировала, что дело строительства дирижаблей не умерло и что в случае с «Акроном» имело место лишь ошибка. Поскольку гибель «Акрона» заинтересовала прессу и правительственные органы всех [441] стран, в особенности строящих дирижабли, приведем заключение комиссии: она рекомендовала морскому ведомству США поддерживать развитие дирижаблестроения и продолжать его, а также высказалась за необходимость постройки нового дирижабля вместо погибшего и предложила ввести в строй дирижабль «Лос-Анджелес» для тренировки кадров, пока не будет построен новый учебный воздушный корабль. Комиссия признала причиной гибели полет дирижабля в особо трудных метеорологических условиях (11324).</w:t>
      </w:r>
    </w:p>
    <w:p w14:paraId="21565261"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p w14:paraId="07A3170D" w14:textId="77777777" w:rsidR="00CB3050" w:rsidRPr="0044524F" w:rsidRDefault="00CB30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апреля 1933 г. дирижабль Акрон, построеннный в 1931, попал в шторм в открытом океане и разрушился в воздухе (15834).</w:t>
      </w:r>
    </w:p>
    <w:p w14:paraId="16B80FF6" w14:textId="77777777" w:rsidR="00CB3050" w:rsidRPr="0044524F" w:rsidRDefault="00CB3050" w:rsidP="009654CF">
      <w:pPr>
        <w:spacing w:after="0" w:line="240" w:lineRule="auto"/>
        <w:jc w:val="both"/>
        <w:rPr>
          <w:rFonts w:ascii="Times New Roman" w:hAnsi="Times New Roman"/>
          <w:color w:val="000000" w:themeColor="text1"/>
          <w:sz w:val="16"/>
          <w:szCs w:val="16"/>
        </w:rPr>
      </w:pPr>
    </w:p>
    <w:p w14:paraId="2E4919B9" w14:textId="77777777" w:rsidR="005D434A" w:rsidRPr="0044524F" w:rsidRDefault="005D43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3 апреля</w:t>
      </w:r>
      <w:r w:rsidRPr="0044524F">
        <w:rPr>
          <w:rFonts w:ascii="Times New Roman" w:hAnsi="Times New Roman"/>
          <w:color w:val="000000" w:themeColor="text1"/>
          <w:sz w:val="16"/>
          <w:szCs w:val="16"/>
        </w:rPr>
        <w:t xml:space="preserve"> в 1933 году поршневой самолет впервые перелетел через Эверест. В ноябре 1932 года поступило предложение от Географического общества Великобритании, предложившего фирме «Westland» использовать самолет «PV.3» (совестно с еще одним опытным – «PV.6») для экспедиции на Эверест. Для этой цели самолет модернизировали - установив двигатель «Pegasus» «IS3» мощностью 630 л.с. и сделав заднюю кабину закрытой. При этом «PV.3» был выдан гражданский регистрационный номер G-ACAZ. Опытный «PV.6», известный как "Хаустон Уоллэс", с гражданским обозначением G-ACBR в апреле 1933 года совершила первые полеты над самой высокой горой мира -Джомолунгмой (Эверестом). Для Гималайской экспедиции 1933 г. его переделали в высотный аэрофотосъемочный самолет. На месте стрелковой установки оборудовали закрытую кабину для фотографа с открывающимися окнами в полу и потолке. Кабины экипажа не отапливались - электричество грело кислородную аппаратуру, фотоаппараты и комбинезоны летчиков. Двигатель заменили на специальный высотный "Пегасус IS-3" мощностью 650 л.с, а для экономии веса обтекатели колес сняли. В ходе первого полета 3 апреля облачность не дала сделать снимок вершины. Зато 19 апреля экипаж вернулся с несколькими отснятыми пленками. Конечно, этот полет имел больше спортивное, чем практическое значение. Куда больше пользы принесла систематическая съемка прилегающих горных районов, позволившая составить их топографическую карту (15088).</w:t>
      </w:r>
    </w:p>
    <w:p w14:paraId="456CA161" w14:textId="77777777" w:rsidR="005D434A" w:rsidRPr="0044524F" w:rsidRDefault="005D434A" w:rsidP="009654CF">
      <w:pPr>
        <w:spacing w:after="0" w:line="240" w:lineRule="auto"/>
        <w:jc w:val="both"/>
        <w:rPr>
          <w:rFonts w:ascii="Times New Roman" w:hAnsi="Times New Roman"/>
          <w:color w:val="000000" w:themeColor="text1"/>
          <w:sz w:val="16"/>
          <w:szCs w:val="16"/>
        </w:rPr>
      </w:pPr>
    </w:p>
    <w:p w14:paraId="7377D18A" w14:textId="77777777" w:rsidR="00930697" w:rsidRPr="0044524F" w:rsidRDefault="0093069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апреля 1933 четыре английские летчика на двух бипланах совершили первый в мире полет над Эверестом (4962).</w:t>
      </w:r>
    </w:p>
    <w:p w14:paraId="56AE8A07" w14:textId="77777777" w:rsidR="00930697" w:rsidRPr="0044524F" w:rsidRDefault="00930697"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F201CB"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апреля 1933 самолет впервые пролетел над Эверестом (3263,160).</w:t>
      </w:r>
    </w:p>
    <w:p w14:paraId="5F3B74A7" w14:textId="77777777" w:rsidR="00930697" w:rsidRPr="0044524F" w:rsidRDefault="00930697" w:rsidP="009654CF">
      <w:pPr>
        <w:autoSpaceDE w:val="0"/>
        <w:autoSpaceDN w:val="0"/>
        <w:adjustRightInd w:val="0"/>
        <w:spacing w:after="0" w:line="240" w:lineRule="auto"/>
        <w:jc w:val="both"/>
        <w:rPr>
          <w:rFonts w:ascii="Times New Roman" w:hAnsi="Times New Roman"/>
          <w:color w:val="000000" w:themeColor="text1"/>
          <w:sz w:val="16"/>
          <w:szCs w:val="16"/>
        </w:rPr>
      </w:pPr>
    </w:p>
    <w:p w14:paraId="445BA408" w14:textId="77777777" w:rsidR="006A681E" w:rsidRPr="0044524F" w:rsidRDefault="006A6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апреля 1933 два британских самолета - Westland PV-3 и Westland PV-6, пилотируемые Squadron Leader маркизм Клайдсдейл и лейтенантом Дэвидом Макинтайр, выполнили первый полет над Эверестом (20802).</w:t>
      </w:r>
    </w:p>
    <w:p w14:paraId="0AB0AA1D" w14:textId="77777777" w:rsidR="006A681E" w:rsidRPr="0044524F" w:rsidRDefault="006A681E" w:rsidP="009654CF">
      <w:pPr>
        <w:spacing w:after="0" w:line="240" w:lineRule="auto"/>
        <w:jc w:val="both"/>
        <w:rPr>
          <w:rFonts w:ascii="Times New Roman" w:hAnsi="Times New Roman"/>
          <w:color w:val="000000" w:themeColor="text1"/>
          <w:sz w:val="16"/>
          <w:szCs w:val="16"/>
        </w:rPr>
      </w:pPr>
    </w:p>
    <w:p w14:paraId="367AE0E5" w14:textId="77777777" w:rsidR="006A681E" w:rsidRPr="0044524F" w:rsidRDefault="006A6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апреля 1933 года — первый высотный авиаперелёт над горой Эверест. /Великобритания/</w:t>
      </w:r>
    </w:p>
    <w:p w14:paraId="23127A2C" w14:textId="77777777" w:rsidR="006A681E" w:rsidRPr="0044524F" w:rsidRDefault="006A6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Ещё в 1918 году альпинист Александр Келлас (Alexander Kellas) описал идею воздушной экспедиции на Эверест в статье "The Possibility of Aerial Reconnaissance in the Himalaya". 14 лет спустя офицер Королевских ВВС Великобритании Дуглас Дуглас-Гамильтон (Douglas Douglas-Hamilton), лорд Клайдсдейл, задумал воплотить идею в жизнь. Он собирался проверить высотные характеристики самолётов и оценить способность пилотов выполнять полёты на большой высоте.</w:t>
      </w:r>
    </w:p>
    <w:p w14:paraId="16E5C0AE" w14:textId="77777777" w:rsidR="006A681E" w:rsidRPr="0044524F" w:rsidRDefault="006A6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экспедиции специально подготовили 2 биплана Westland — PV-3 с б/н G-ACAZ и PV-6 Wallace с б/н G-ACBR. В первом летели лорд Клайдсдейл и наблюдатель Стюарт Блэкер (Stewart Blacker), во втором — пилот Дэвид Макинтайр (David McIntyre) и фотограф Сидни Боннет (Sidney Bonnett).</w:t>
      </w:r>
    </w:p>
    <w:p w14:paraId="071D8CC2" w14:textId="77777777" w:rsidR="006A681E" w:rsidRPr="0044524F" w:rsidRDefault="006A6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Стартовав в 8:25 из города Пурния на севере Индии, авиаторы вернулись обратно через 3 часа. Они смогли подняться на высоту 9753 метра, перелететь Эверест и сфотографировать его (22300).</w:t>
      </w:r>
    </w:p>
    <w:p w14:paraId="13ADB523" w14:textId="77777777" w:rsidR="006A681E" w:rsidRPr="0044524F" w:rsidRDefault="006A681E" w:rsidP="009654CF">
      <w:pPr>
        <w:spacing w:after="0" w:line="240" w:lineRule="auto"/>
        <w:jc w:val="both"/>
        <w:rPr>
          <w:rFonts w:ascii="Times New Roman" w:hAnsi="Times New Roman"/>
          <w:color w:val="000000" w:themeColor="text1"/>
          <w:sz w:val="16"/>
          <w:szCs w:val="16"/>
        </w:rPr>
      </w:pPr>
    </w:p>
    <w:p w14:paraId="0A0ABE35" w14:textId="77A75175" w:rsidR="006A681E" w:rsidRPr="0044524F" w:rsidRDefault="006A681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апреля 1933</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Royal Air Force восстанавливает эскадрон, увеличенный от девяти до 12 самолетов в качестве основной организационной единицы для самолетов авианосцев Королевских ВМС, сохраняя шестисамолоетный состав в качестве основной организационной единицы только для самолетов, предназначенных для работы с линкоров и крейсеров с катапульты (20802). </w:t>
      </w:r>
    </w:p>
    <w:p w14:paraId="592FBD76" w14:textId="77777777" w:rsidR="006A681E" w:rsidRPr="0044524F" w:rsidRDefault="006A681E" w:rsidP="009654CF">
      <w:pPr>
        <w:spacing w:after="0" w:line="240" w:lineRule="auto"/>
        <w:jc w:val="both"/>
        <w:rPr>
          <w:rFonts w:ascii="Times New Roman" w:hAnsi="Times New Roman"/>
          <w:color w:val="000000" w:themeColor="text1"/>
          <w:sz w:val="16"/>
          <w:szCs w:val="16"/>
        </w:rPr>
      </w:pPr>
    </w:p>
    <w:p w14:paraId="06F71572"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FFE6F22"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6EFA587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апреля 1933 был утвержден макет МК-1 6М-34Р (2305,43).</w:t>
      </w:r>
    </w:p>
    <w:p w14:paraId="151FF93D"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06A95B53" w14:textId="77777777" w:rsidR="008E7A66" w:rsidRPr="0044524F" w:rsidRDefault="008E7A66"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4 апреля 1933 года на основании постановления Коллегии Аэрофлота СССР был создан Дирижаблестроительный учебный комбинат путем слияния Московского Дирижаблестроительного института, факультета дирижаблестроения Ленинградского учебного комбината ГВФ и Воздухоплавательной школы Дирижаблестроения. </w:t>
      </w:r>
    </w:p>
    <w:p w14:paraId="2A21418A" w14:textId="77777777" w:rsidR="008E7A66" w:rsidRPr="0044524F" w:rsidRDefault="008E7A66"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20 сентября 1935 года Постановлением Правительства СССР Дирижаблестроительному учебному комбинату Гражданского воздушного флота присвоено имя К. Э. Циолковского. </w:t>
      </w:r>
    </w:p>
    <w:p w14:paraId="58DC226C" w14:textId="77777777" w:rsidR="008E7A66" w:rsidRPr="0044524F" w:rsidRDefault="008E7A66"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8 мая 1939 года Совет Народных Комиссаров Союза ССР своим решением № УД-200-1 разрешил реорганизовать Московский Дирижаблестроительный институт имени К. Э. Циолковского в Московский институт инженеров Гражданского воздушного флота имени К. Э. Циолковского.</w:t>
      </w:r>
    </w:p>
    <w:p w14:paraId="10217A87" w14:textId="77777777" w:rsidR="008E7A66" w:rsidRPr="0044524F" w:rsidRDefault="008E7A66"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Постановлением ЦК ВКП (б) и Совета Народных Комиссаров СССР от 17 июня 1940 года № 1050 Московский институт инженеров Гражданского воздушного флота имени К. Э. Циолковского передан Наркомату авиационной промышлен В соответствии с постановлением Совета Министров РСФСР от 10 сентября 1973 года № 478 Московскому авиационному технологическому институту присвоено имя К. Э. Циолковского. передан Наркомату авиационной промышленности и на его базе создан Московский авиационный технологический институт (11269).</w:t>
      </w:r>
    </w:p>
    <w:p w14:paraId="6F665918"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p>
    <w:p w14:paraId="3960A7FE" w14:textId="77777777" w:rsidR="002453E1" w:rsidRPr="0044524F" w:rsidRDefault="002453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апреля 1933 г. коллегия ГУ ГВФ постанови</w:t>
      </w:r>
      <w:r w:rsidRPr="0044524F">
        <w:rPr>
          <w:rFonts w:ascii="Times New Roman" w:hAnsi="Times New Roman"/>
          <w:color w:val="000000" w:themeColor="text1"/>
          <w:sz w:val="16"/>
          <w:szCs w:val="16"/>
        </w:rPr>
        <w:softHyphen/>
        <w:t>ла организовать Дирижаблестроительный учеб</w:t>
      </w:r>
      <w:r w:rsidRPr="0044524F">
        <w:rPr>
          <w:rFonts w:ascii="Times New Roman" w:hAnsi="Times New Roman"/>
          <w:color w:val="000000" w:themeColor="text1"/>
          <w:sz w:val="16"/>
          <w:szCs w:val="16"/>
        </w:rPr>
        <w:softHyphen/>
        <w:t>ный комбинат (ДУК) на основе Московского дирижаблестроительного института и Воздухо</w:t>
      </w:r>
      <w:r w:rsidRPr="0044524F">
        <w:rPr>
          <w:rFonts w:ascii="Times New Roman" w:hAnsi="Times New Roman"/>
          <w:color w:val="000000" w:themeColor="text1"/>
          <w:sz w:val="16"/>
          <w:szCs w:val="16"/>
        </w:rPr>
        <w:softHyphen/>
        <w:t>плавательной школы «Дирижаблестроя». Пер</w:t>
      </w:r>
      <w:r w:rsidRPr="0044524F">
        <w:rPr>
          <w:rFonts w:ascii="Times New Roman" w:hAnsi="Times New Roman"/>
          <w:color w:val="000000" w:themeColor="text1"/>
          <w:sz w:val="16"/>
          <w:szCs w:val="16"/>
        </w:rPr>
        <w:softHyphen/>
        <w:t>вым начальником ДУК'а стал Д.М. Дулицкий, а его бессменным заместителем и начальником учебной части — В.В. Осинский. 20 сентября 1935 г. на основании правительственного поста</w:t>
      </w:r>
      <w:r w:rsidRPr="0044524F">
        <w:rPr>
          <w:rFonts w:ascii="Times New Roman" w:hAnsi="Times New Roman"/>
          <w:color w:val="000000" w:themeColor="text1"/>
          <w:sz w:val="16"/>
          <w:szCs w:val="16"/>
        </w:rPr>
        <w:softHyphen/>
        <w:t>новления ДУК получил имя К.Э. Циолковского.</w:t>
      </w:r>
    </w:p>
    <w:p w14:paraId="4C19A020" w14:textId="77777777" w:rsidR="002453E1" w:rsidRPr="0044524F" w:rsidRDefault="002453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учебной работой на кафедрах и в На</w:t>
      </w:r>
      <w:r w:rsidRPr="0044524F">
        <w:rPr>
          <w:rFonts w:ascii="Times New Roman" w:hAnsi="Times New Roman"/>
          <w:color w:val="000000" w:themeColor="text1"/>
          <w:sz w:val="16"/>
          <w:szCs w:val="16"/>
        </w:rPr>
        <w:softHyphen/>
        <w:t>учно-исследовательском отделе (НИО) ДУК ве</w:t>
      </w:r>
      <w:r w:rsidRPr="0044524F">
        <w:rPr>
          <w:rFonts w:ascii="Times New Roman" w:hAnsi="Times New Roman"/>
          <w:color w:val="000000" w:themeColor="text1"/>
          <w:sz w:val="16"/>
          <w:szCs w:val="16"/>
        </w:rPr>
        <w:softHyphen/>
        <w:t>лась научная работа и издавались труды по ме</w:t>
      </w:r>
      <w:r w:rsidRPr="0044524F">
        <w:rPr>
          <w:rFonts w:ascii="Times New Roman" w:hAnsi="Times New Roman"/>
          <w:color w:val="000000" w:themeColor="text1"/>
          <w:sz w:val="16"/>
          <w:szCs w:val="16"/>
        </w:rPr>
        <w:softHyphen/>
        <w:t>тодикам аэродинамического расчёта дирижа</w:t>
      </w:r>
      <w:r w:rsidRPr="0044524F">
        <w:rPr>
          <w:rFonts w:ascii="Times New Roman" w:hAnsi="Times New Roman"/>
          <w:color w:val="000000" w:themeColor="text1"/>
          <w:sz w:val="16"/>
          <w:szCs w:val="16"/>
        </w:rPr>
        <w:softHyphen/>
        <w:t>блей, методам расчёта на прочность баллонных конструкций и корпусов дирижаблей, проекти</w:t>
      </w:r>
      <w:r w:rsidRPr="0044524F">
        <w:rPr>
          <w:rFonts w:ascii="Times New Roman" w:hAnsi="Times New Roman"/>
          <w:color w:val="000000" w:themeColor="text1"/>
          <w:sz w:val="16"/>
          <w:szCs w:val="16"/>
        </w:rPr>
        <w:softHyphen/>
        <w:t>рованию дирижабельных баз и разработке тех</w:t>
      </w:r>
      <w:r w:rsidRPr="0044524F">
        <w:rPr>
          <w:rFonts w:ascii="Times New Roman" w:hAnsi="Times New Roman"/>
          <w:color w:val="000000" w:themeColor="text1"/>
          <w:sz w:val="16"/>
          <w:szCs w:val="16"/>
        </w:rPr>
        <w:softHyphen/>
        <w:t>нологии изготовления воздушных судов, проек</w:t>
      </w:r>
      <w:r w:rsidRPr="0044524F">
        <w:rPr>
          <w:rFonts w:ascii="Times New Roman" w:hAnsi="Times New Roman"/>
          <w:color w:val="000000" w:themeColor="text1"/>
          <w:sz w:val="16"/>
          <w:szCs w:val="16"/>
        </w:rPr>
        <w:softHyphen/>
        <w:t>тированию свободных аэростатов, устойчивости привязных аэростатов и ряду других вопросов воздухоплавательной техники.</w:t>
      </w:r>
    </w:p>
    <w:p w14:paraId="0E20D833" w14:textId="77777777" w:rsidR="002453E1" w:rsidRPr="0044524F" w:rsidRDefault="002453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Обучение в ДУК'е шло 5 лет 8 месяцев, в те</w:t>
      </w:r>
      <w:r w:rsidRPr="0044524F">
        <w:rPr>
          <w:rFonts w:ascii="Times New Roman" w:hAnsi="Times New Roman"/>
          <w:color w:val="000000" w:themeColor="text1"/>
          <w:sz w:val="16"/>
          <w:szCs w:val="16"/>
        </w:rPr>
        <w:softHyphen/>
        <w:t>чение которых студенты получали основатель</w:t>
      </w:r>
      <w:r w:rsidRPr="0044524F">
        <w:rPr>
          <w:rFonts w:ascii="Times New Roman" w:hAnsi="Times New Roman"/>
          <w:color w:val="000000" w:themeColor="text1"/>
          <w:sz w:val="16"/>
          <w:szCs w:val="16"/>
        </w:rPr>
        <w:softHyphen/>
        <w:t>ную подготовку в области общего машиностро</w:t>
      </w:r>
      <w:r w:rsidRPr="0044524F">
        <w:rPr>
          <w:rFonts w:ascii="Times New Roman" w:hAnsi="Times New Roman"/>
          <w:color w:val="000000" w:themeColor="text1"/>
          <w:sz w:val="16"/>
          <w:szCs w:val="16"/>
        </w:rPr>
        <w:softHyphen/>
        <w:t>ения, архитектуры воздушных судов, аэродина</w:t>
      </w:r>
      <w:r w:rsidRPr="0044524F">
        <w:rPr>
          <w:rFonts w:ascii="Times New Roman" w:hAnsi="Times New Roman"/>
          <w:color w:val="000000" w:themeColor="text1"/>
          <w:sz w:val="16"/>
          <w:szCs w:val="16"/>
        </w:rPr>
        <w:softHyphen/>
        <w:t>мики, аэростатики, прочности и теории упру</w:t>
      </w:r>
      <w:r w:rsidRPr="0044524F">
        <w:rPr>
          <w:rFonts w:ascii="Times New Roman" w:hAnsi="Times New Roman"/>
          <w:color w:val="000000" w:themeColor="text1"/>
          <w:sz w:val="16"/>
          <w:szCs w:val="16"/>
        </w:rPr>
        <w:softHyphen/>
        <w:t>гости, механики полёта, конструкции авиаци</w:t>
      </w:r>
      <w:r w:rsidRPr="0044524F">
        <w:rPr>
          <w:rFonts w:ascii="Times New Roman" w:hAnsi="Times New Roman"/>
          <w:color w:val="000000" w:themeColor="text1"/>
          <w:sz w:val="16"/>
          <w:szCs w:val="16"/>
        </w:rPr>
        <w:softHyphen/>
        <w:t>онных двигателей, штурманского дела и других наук. Под руководством преподавателей студен</w:t>
      </w:r>
      <w:r w:rsidRPr="0044524F">
        <w:rPr>
          <w:rFonts w:ascii="Times New Roman" w:hAnsi="Times New Roman"/>
          <w:color w:val="000000" w:themeColor="text1"/>
          <w:sz w:val="16"/>
          <w:szCs w:val="16"/>
        </w:rPr>
        <w:softHyphen/>
        <w:t>ты занимались разработкой проектов полужёст</w:t>
      </w:r>
      <w:r w:rsidRPr="0044524F">
        <w:rPr>
          <w:rFonts w:ascii="Times New Roman" w:hAnsi="Times New Roman"/>
          <w:color w:val="000000" w:themeColor="text1"/>
          <w:sz w:val="16"/>
          <w:szCs w:val="16"/>
        </w:rPr>
        <w:softHyphen/>
        <w:t>кого дирижабля «СССР В-7» (в 1933-1934 гг.) и полумягкого «ДП-15» (в 1935-1936 гг.). Сту</w:t>
      </w:r>
      <w:r w:rsidRPr="0044524F">
        <w:rPr>
          <w:rFonts w:ascii="Times New Roman" w:hAnsi="Times New Roman"/>
          <w:color w:val="000000" w:themeColor="text1"/>
          <w:sz w:val="16"/>
          <w:szCs w:val="16"/>
        </w:rPr>
        <w:softHyphen/>
        <w:t>денты не только участвовали в подготовке по</w:t>
      </w:r>
      <w:r w:rsidRPr="0044524F">
        <w:rPr>
          <w:rFonts w:ascii="Times New Roman" w:hAnsi="Times New Roman"/>
          <w:color w:val="000000" w:themeColor="text1"/>
          <w:sz w:val="16"/>
          <w:szCs w:val="16"/>
        </w:rPr>
        <w:softHyphen/>
        <w:t>лётов аэростатов (в том числе и стратостата «СССР ВР-60» «Комсомол»), но и сами соверша</w:t>
      </w:r>
      <w:r w:rsidRPr="0044524F">
        <w:rPr>
          <w:rFonts w:ascii="Times New Roman" w:hAnsi="Times New Roman"/>
          <w:color w:val="000000" w:themeColor="text1"/>
          <w:sz w:val="16"/>
          <w:szCs w:val="16"/>
        </w:rPr>
        <w:softHyphen/>
        <w:t>ли полёты на них.</w:t>
      </w:r>
    </w:p>
    <w:p w14:paraId="1D12D793" w14:textId="77777777" w:rsidR="002453E1" w:rsidRPr="0044524F" w:rsidRDefault="002453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Наиболее способным студентам в ДУК ре</w:t>
      </w:r>
      <w:r w:rsidRPr="0044524F">
        <w:rPr>
          <w:rFonts w:ascii="Times New Roman" w:hAnsi="Times New Roman"/>
          <w:color w:val="000000" w:themeColor="text1"/>
          <w:sz w:val="16"/>
          <w:szCs w:val="16"/>
        </w:rPr>
        <w:softHyphen/>
        <w:t>гулярно назначалась одна стипендия им. К.Э. Циолковского. Её стипендиатами с 1933 по 1940 годы стали М.А. Цайг, Е.И. Победоносцев, К.Л. Цейтлин, В.М. Иезуитов. Ежегодно ДУК выпускал 40-50 инженеров, направлявшихся на работу в «Дирижаблестрой», авиационные заво</w:t>
      </w:r>
      <w:r w:rsidRPr="0044524F">
        <w:rPr>
          <w:rFonts w:ascii="Times New Roman" w:hAnsi="Times New Roman"/>
          <w:color w:val="000000" w:themeColor="text1"/>
          <w:sz w:val="16"/>
          <w:szCs w:val="16"/>
        </w:rPr>
        <w:softHyphen/>
        <w:t>ды и институты, на предприятия резиновой про</w:t>
      </w:r>
      <w:r w:rsidRPr="0044524F">
        <w:rPr>
          <w:rFonts w:ascii="Times New Roman" w:hAnsi="Times New Roman"/>
          <w:color w:val="000000" w:themeColor="text1"/>
          <w:sz w:val="16"/>
          <w:szCs w:val="16"/>
        </w:rPr>
        <w:softHyphen/>
        <w:t>мышленности, выпускавшие аэростаты, в воин</w:t>
      </w:r>
      <w:r w:rsidRPr="0044524F">
        <w:rPr>
          <w:rFonts w:ascii="Times New Roman" w:hAnsi="Times New Roman"/>
          <w:color w:val="000000" w:themeColor="text1"/>
          <w:sz w:val="16"/>
          <w:szCs w:val="16"/>
        </w:rPr>
        <w:softHyphen/>
        <w:t>ские части и в ГВФ.</w:t>
      </w:r>
    </w:p>
    <w:p w14:paraId="76E4DAF8" w14:textId="77777777" w:rsidR="002453E1" w:rsidRPr="0044524F" w:rsidRDefault="002453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Выпускниками ДУК'а являлись дважды Герой Социалистического труда академик Г.П. Сви- щев, начальник ЦАГИ доктор технических наук В.В. Уткин, начальник ЛИИ МАП заслуженный деятель науки и техники доктор технических наук В.А. Федотов, руководитель Воздухопла</w:t>
      </w:r>
      <w:r w:rsidRPr="0044524F">
        <w:rPr>
          <w:rFonts w:ascii="Times New Roman" w:hAnsi="Times New Roman"/>
          <w:color w:val="000000" w:themeColor="text1"/>
          <w:sz w:val="16"/>
          <w:szCs w:val="16"/>
        </w:rPr>
        <w:softHyphen/>
        <w:t>вательного центра доктор технических наук В.М. Гарышев, Генеральный конструктор доктор технических наук В.А. Джапаридзе и другие из</w:t>
      </w:r>
      <w:r w:rsidRPr="0044524F">
        <w:rPr>
          <w:rFonts w:ascii="Times New Roman" w:hAnsi="Times New Roman"/>
          <w:color w:val="000000" w:themeColor="text1"/>
          <w:sz w:val="16"/>
          <w:szCs w:val="16"/>
        </w:rPr>
        <w:softHyphen/>
        <w:t>вестные специалисты (20120).</w:t>
      </w:r>
    </w:p>
    <w:p w14:paraId="44B1619E" w14:textId="77777777" w:rsidR="002453E1" w:rsidRPr="0044524F" w:rsidRDefault="002453E1" w:rsidP="009654CF">
      <w:pPr>
        <w:spacing w:after="0" w:line="240" w:lineRule="auto"/>
        <w:jc w:val="both"/>
        <w:rPr>
          <w:rFonts w:ascii="Times New Roman" w:hAnsi="Times New Roman"/>
          <w:color w:val="000000" w:themeColor="text1"/>
          <w:sz w:val="16"/>
          <w:szCs w:val="16"/>
        </w:rPr>
      </w:pPr>
    </w:p>
    <w:p w14:paraId="4474D592" w14:textId="77777777" w:rsidR="008E7A66" w:rsidRPr="0044524F" w:rsidRDefault="001A42D5" w:rsidP="009654CF">
      <w:pPr>
        <w:shd w:val="clear" w:color="auto" w:fill="FFFFFF"/>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1321296" w14:textId="77777777" w:rsidR="008E7A66" w:rsidRPr="0044524F" w:rsidRDefault="008E7A66" w:rsidP="009654CF">
      <w:pPr>
        <w:shd w:val="clear" w:color="auto" w:fill="FFFFFF"/>
        <w:spacing w:after="0" w:line="240" w:lineRule="auto"/>
        <w:jc w:val="both"/>
        <w:rPr>
          <w:rFonts w:ascii="Times New Roman" w:hAnsi="Times New Roman"/>
          <w:iCs/>
          <w:color w:val="000000" w:themeColor="text1"/>
          <w:sz w:val="16"/>
          <w:szCs w:val="16"/>
        </w:rPr>
      </w:pPr>
    </w:p>
    <w:p w14:paraId="08FFE873" w14:textId="77777777" w:rsidR="008E7A66" w:rsidRPr="0044524F" w:rsidRDefault="008E7A66"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lastRenderedPageBreak/>
        <w:t>4 апреля 1933 г. Приказом Наркомтяжпрома СССР № 329 от в связи с реорганизацией Главного топливного управления (Главтопа) было организовано Главное управление нефтяной промышленности (Главнефть), которое до сентября 1937 г. возглавлял М.В. Баринов.</w:t>
      </w:r>
    </w:p>
    <w:p w14:paraId="5C854317" w14:textId="77777777" w:rsidR="008E7A66" w:rsidRPr="0044524F" w:rsidRDefault="008E7A66"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Это Управление ведало разведкой, бурением, добычей, переработкой нефти, строительством и реконструкцией нефтеперегонных заводов, сбытом нефтепродуктов, строительством нефтепроводов.</w:t>
      </w:r>
    </w:p>
    <w:p w14:paraId="7F6BB5D9" w14:textId="77777777" w:rsidR="008E7A66" w:rsidRPr="0044524F" w:rsidRDefault="008E7A66"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Главному управлению нефтяной промышленности были подчинены объединения «Азнефть», «Грознефть», «Майнефть», тресты «Эмбанефть», «Сахалиннефть», «Грузнефть», «Средазнефть», «Туркменнефть», «Востокнефть», «Нефтезаводы», «Нефтепроводстрой», а также объединения «Союзнефтеторг», «Нефтеэкспорт», «Союзнефтесбыт», трест «Нефтепроект», Всесоюзная государственная контора «Орскнефть» и научно-исследовательские институты: АзНИИ, ГрозНИИ, ВГРИ и НИНИ (11522).</w:t>
      </w:r>
    </w:p>
    <w:p w14:paraId="622C46A2" w14:textId="77777777" w:rsidR="008E7A66" w:rsidRPr="0044524F" w:rsidRDefault="008E7A66" w:rsidP="009654CF">
      <w:pPr>
        <w:pStyle w:val="af2"/>
        <w:jc w:val="both"/>
        <w:rPr>
          <w:i w:val="0"/>
          <w:iCs w:val="0"/>
          <w:color w:val="000000" w:themeColor="text1"/>
          <w:spacing w:val="0"/>
          <w:kern w:val="0"/>
          <w:position w:val="0"/>
          <w:sz w:val="16"/>
          <w:szCs w:val="16"/>
          <w:lang w:val="ru-RU"/>
        </w:rPr>
      </w:pPr>
    </w:p>
    <w:p w14:paraId="579E97FB" w14:textId="77777777" w:rsidR="00CB3050" w:rsidRPr="0044524F" w:rsidRDefault="00CB3050" w:rsidP="009654CF">
      <w:pPr>
        <w:pStyle w:val="rtejustify"/>
        <w:spacing w:before="0" w:after="0"/>
        <w:rPr>
          <w:color w:val="000000" w:themeColor="text1"/>
          <w:sz w:val="16"/>
          <w:szCs w:val="16"/>
        </w:rPr>
      </w:pPr>
      <w:r w:rsidRPr="0044524F">
        <w:rPr>
          <w:rStyle w:val="af0"/>
          <w:bCs/>
          <w:i w:val="0"/>
          <w:color w:val="000000" w:themeColor="text1"/>
          <w:sz w:val="16"/>
          <w:szCs w:val="16"/>
        </w:rPr>
        <w:t>4 апреля</w:t>
      </w:r>
      <w:r w:rsidRPr="0044524F">
        <w:rPr>
          <w:color w:val="000000" w:themeColor="text1"/>
          <w:sz w:val="16"/>
          <w:szCs w:val="16"/>
        </w:rPr>
        <w:t xml:space="preserve"> 1933. Протокол заседания Политбюро ЦК ВКП (б) № 134. </w:t>
      </w:r>
      <w:hyperlink r:id="rId115" w:anchor="showunit&amp;id=86125" w:history="1">
        <w:r w:rsidRPr="0044524F">
          <w:rPr>
            <w:rStyle w:val="a5"/>
            <w:color w:val="000000" w:themeColor="text1"/>
            <w:sz w:val="16"/>
            <w:szCs w:val="16"/>
            <w:u w:val="none"/>
          </w:rPr>
          <w:t>6. О Челябинском тракторном заводе</w:t>
        </w:r>
      </w:hyperlink>
      <w:r w:rsidRPr="0044524F">
        <w:rPr>
          <w:color w:val="000000" w:themeColor="text1"/>
          <w:sz w:val="16"/>
          <w:szCs w:val="16"/>
        </w:rPr>
        <w:t xml:space="preserve">. Решено отложить. </w:t>
      </w:r>
      <w:hyperlink r:id="rId116" w:anchor="showunit&amp;id=86136" w:history="1">
        <w:r w:rsidRPr="0044524F">
          <w:rPr>
            <w:rStyle w:val="a5"/>
            <w:color w:val="000000" w:themeColor="text1"/>
            <w:sz w:val="16"/>
            <w:szCs w:val="16"/>
            <w:u w:val="none"/>
          </w:rPr>
          <w:t>7. О Магнитострое.</w:t>
        </w:r>
      </w:hyperlink>
      <w:r w:rsidRPr="0044524F">
        <w:rPr>
          <w:color w:val="000000" w:themeColor="text1"/>
          <w:sz w:val="16"/>
          <w:szCs w:val="16"/>
        </w:rPr>
        <w:t xml:space="preserve"> Решено отложить до следующего заседания Политбюро. 36/24. О договоре на поставку бензина (ПБ от 26 марта 1933 г.) — ОП. Решено: 1) принять предложение НКВТ о заключении Союзнефтеэкспортом монопольного договора с мукденским (японским) акционерным обществом воздушных сообщений на поставку бензина; 2) отпустить сверх плана для экспорта 2700 тонн авиабензина (грозненского), остальные виды нефтепродуктов выделить НКВнешторгу из утвержденных экспортных контингентов. </w:t>
      </w:r>
      <w:hyperlink r:id="rId117" w:anchor="showunit&amp;id=86150" w:history="1">
        <w:r w:rsidRPr="0044524F">
          <w:rPr>
            <w:rStyle w:val="a5"/>
            <w:color w:val="000000" w:themeColor="text1"/>
            <w:sz w:val="16"/>
            <w:szCs w:val="16"/>
            <w:u w:val="none"/>
          </w:rPr>
          <w:t>82/70. Об экспортно-импортном и валютном планах на II квартал 1933 г. и на апрель.</w:t>
        </w:r>
      </w:hyperlink>
      <w:r w:rsidRPr="0044524F">
        <w:rPr>
          <w:color w:val="000000" w:themeColor="text1"/>
          <w:sz w:val="16"/>
          <w:szCs w:val="16"/>
        </w:rPr>
        <w:t> — ОП. (ПБ от 31 марта 1933 г.). Решено: 1. Утвердить апрельский и квартальный экспортно-импортный и валютный планы, план сдачи на Торгсин и проект постановления, представленные Валютной комиссией со следующими поправками: а) прекратить экспорт зерновых культур урожая 1932 г. начиная с 1</w:t>
      </w:r>
      <w:r w:rsidRPr="0044524F">
        <w:rPr>
          <w:color w:val="000000" w:themeColor="text1"/>
          <w:sz w:val="16"/>
          <w:szCs w:val="16"/>
        </w:rPr>
        <w:noBreakHyphen/>
        <w:t>4</w:t>
      </w:r>
      <w:r w:rsidRPr="0044524F">
        <w:rPr>
          <w:color w:val="000000" w:themeColor="text1"/>
          <w:sz w:val="16"/>
          <w:szCs w:val="16"/>
        </w:rPr>
        <w:noBreakHyphen/>
        <w:t>1933; б) снять с экспорта растительное масло в количестве, обеспечивающем программу мыловарения 2 квартала 1933 г. Размер снятия растительного масла определить СТО; в) уменьшить апрельский план вывоза бензина на 25 тыс. тонн, установив его в 125 тыс. тонн; г) обязать НКВнешторг завезти во 2 квартале цветные металлы в точном соответствии с решением СТО от 20</w:t>
      </w:r>
      <w:r w:rsidRPr="0044524F">
        <w:rPr>
          <w:color w:val="000000" w:themeColor="text1"/>
          <w:sz w:val="16"/>
          <w:szCs w:val="16"/>
        </w:rPr>
        <w:noBreakHyphen/>
        <w:t>2</w:t>
      </w:r>
      <w:r w:rsidRPr="0044524F">
        <w:rPr>
          <w:color w:val="000000" w:themeColor="text1"/>
          <w:sz w:val="16"/>
          <w:szCs w:val="16"/>
        </w:rPr>
        <w:noBreakHyphen/>
        <w:t xml:space="preserve">1933 и дополнительно 100 тонн никеля и 600 тонн меди для Монетного двора и 300 тонн олова для НКСнаба; д) обязать НКВнешторг завезти во 2 квартале 2 тыс. тонн каучука сверх годового плана. 2. Поручить НКВнешторгу внести соответственные поправки в апрельский и квартальный валютные планы. </w:t>
      </w:r>
      <w:hyperlink r:id="rId118" w:anchor="showunit&amp;id=86170" w:history="1">
        <w:r w:rsidRPr="0044524F">
          <w:rPr>
            <w:rStyle w:val="a5"/>
            <w:color w:val="000000" w:themeColor="text1"/>
            <w:sz w:val="16"/>
            <w:szCs w:val="16"/>
            <w:u w:val="none"/>
          </w:rPr>
          <w:t>98/86. б) О распределении импортного контингента оборудования НКТП по отраслям промышленности</w:t>
        </w:r>
      </w:hyperlink>
      <w:r w:rsidRPr="0044524F">
        <w:rPr>
          <w:color w:val="000000" w:themeColor="text1"/>
          <w:sz w:val="16"/>
          <w:szCs w:val="16"/>
        </w:rPr>
        <w:t xml:space="preserve"> (ПБ от 31 марта 1933 г.). Решено передать на рассмотрение в комиссию Молотова по внешнеторговым вопросам (15462).</w:t>
      </w:r>
    </w:p>
    <w:p w14:paraId="7A395DEF" w14:textId="77777777" w:rsidR="00CB3050" w:rsidRPr="0044524F" w:rsidRDefault="00CB3050" w:rsidP="009654CF">
      <w:pPr>
        <w:pStyle w:val="rtejustify"/>
        <w:spacing w:before="0" w:after="0"/>
        <w:rPr>
          <w:color w:val="000000" w:themeColor="text1"/>
          <w:sz w:val="16"/>
          <w:szCs w:val="16"/>
        </w:rPr>
      </w:pPr>
    </w:p>
    <w:p w14:paraId="05D58D4B" w14:textId="77777777" w:rsidR="00CB3050" w:rsidRPr="0044524F" w:rsidRDefault="00CB3050" w:rsidP="009654CF">
      <w:pPr>
        <w:pStyle w:val="rtejustify"/>
        <w:spacing w:before="0" w:after="0"/>
        <w:rPr>
          <w:color w:val="000000" w:themeColor="text1"/>
          <w:sz w:val="16"/>
          <w:szCs w:val="16"/>
        </w:rPr>
      </w:pPr>
      <w:r w:rsidRPr="0044524F">
        <w:rPr>
          <w:rStyle w:val="af0"/>
          <w:bCs/>
          <w:i w:val="0"/>
          <w:color w:val="000000" w:themeColor="text1"/>
          <w:sz w:val="16"/>
          <w:szCs w:val="16"/>
        </w:rPr>
        <w:t>4 апреля 1933 вышел приказ НКТП № З6сс.</w:t>
      </w:r>
      <w:r w:rsidRPr="0044524F">
        <w:rPr>
          <w:color w:val="000000" w:themeColor="text1"/>
          <w:sz w:val="16"/>
          <w:szCs w:val="16"/>
        </w:rPr>
        <w:t xml:space="preserve"> О результатах обследования кооперирования Подольского механического завода с Тульским оружейным заводом по производству винтовок. (РГАЭ. Ф. 7297. Оп. 38. Д. 37. Л. 53</w:t>
      </w:r>
      <w:r w:rsidRPr="0044524F">
        <w:rPr>
          <w:color w:val="000000" w:themeColor="text1"/>
          <w:sz w:val="16"/>
          <w:szCs w:val="16"/>
        </w:rPr>
        <w:noBreakHyphen/>
        <w:t>50) (15246).</w:t>
      </w:r>
    </w:p>
    <w:p w14:paraId="6C9A2646" w14:textId="77777777" w:rsidR="00CB3050" w:rsidRPr="0044524F" w:rsidRDefault="00CB3050" w:rsidP="009654CF">
      <w:pPr>
        <w:pStyle w:val="rtejustify"/>
        <w:spacing w:before="0" w:after="0"/>
        <w:rPr>
          <w:color w:val="000000" w:themeColor="text1"/>
          <w:sz w:val="16"/>
          <w:szCs w:val="16"/>
        </w:rPr>
      </w:pPr>
    </w:p>
    <w:p w14:paraId="70BB35D3"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90CDD28"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5D8D2AF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апреля 1933 было первое письмо М.Шолохова И.Сталину, в котором писатель подробно рассказал о том, как местные власти изымают под пытками все колхозные запасы, оставляя крестьян голодными (10687).</w:t>
      </w:r>
    </w:p>
    <w:p w14:paraId="0BB5FAA2"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5F5CD578" w14:textId="77777777" w:rsidR="008E7A66" w:rsidRPr="0044524F" w:rsidRDefault="001A42D5" w:rsidP="009654CF">
      <w:pPr>
        <w:spacing w:after="0" w:line="240" w:lineRule="auto"/>
        <w:jc w:val="both"/>
        <w:rPr>
          <w:rFonts w:ascii="Times New Roman" w:hAnsi="Times New Roman"/>
          <w:iCs/>
          <w:color w:val="000000" w:themeColor="text1"/>
          <w:sz w:val="16"/>
          <w:szCs w:val="16"/>
          <w:lang w:val="en-US"/>
        </w:rPr>
      </w:pPr>
      <w:r w:rsidRPr="0044524F">
        <w:rPr>
          <w:rFonts w:ascii="Times New Roman" w:hAnsi="Times New Roman"/>
          <w:i/>
          <w:iCs/>
          <w:color w:val="000000" w:themeColor="text1"/>
          <w:sz w:val="16"/>
          <w:szCs w:val="16"/>
        </w:rPr>
        <w:t>За</w:t>
      </w:r>
      <w:r w:rsidRPr="0044524F">
        <w:rPr>
          <w:rFonts w:ascii="Times New Roman" w:hAnsi="Times New Roman"/>
          <w:i/>
          <w:iCs/>
          <w:color w:val="000000" w:themeColor="text1"/>
          <w:sz w:val="16"/>
          <w:szCs w:val="16"/>
          <w:lang w:val="en-US"/>
        </w:rPr>
        <w:t xml:space="preserve"> </w:t>
      </w:r>
      <w:r w:rsidRPr="0044524F">
        <w:rPr>
          <w:rFonts w:ascii="Times New Roman" w:hAnsi="Times New Roman"/>
          <w:i/>
          <w:iCs/>
          <w:color w:val="000000" w:themeColor="text1"/>
          <w:sz w:val="16"/>
          <w:szCs w:val="16"/>
        </w:rPr>
        <w:t>рубежом</w:t>
      </w:r>
      <w:r w:rsidRPr="0044524F">
        <w:rPr>
          <w:rFonts w:ascii="Times New Roman" w:hAnsi="Times New Roman"/>
          <w:i/>
          <w:iCs/>
          <w:color w:val="000000" w:themeColor="text1"/>
          <w:sz w:val="16"/>
          <w:szCs w:val="16"/>
          <w:lang w:val="en-US"/>
        </w:rPr>
        <w:t>:</w:t>
      </w:r>
    </w:p>
    <w:p w14:paraId="0776346A" w14:textId="77777777" w:rsidR="008E7A66" w:rsidRPr="0044524F" w:rsidRDefault="008E7A66" w:rsidP="009654CF">
      <w:pPr>
        <w:spacing w:after="0" w:line="240" w:lineRule="auto"/>
        <w:jc w:val="both"/>
        <w:rPr>
          <w:rFonts w:ascii="Times New Roman" w:hAnsi="Times New Roman"/>
          <w:iCs/>
          <w:color w:val="000000" w:themeColor="text1"/>
          <w:sz w:val="16"/>
          <w:szCs w:val="16"/>
          <w:lang w:val="en-US"/>
        </w:rPr>
      </w:pPr>
    </w:p>
    <w:p w14:paraId="5CC5757D" w14:textId="77777777" w:rsidR="008E7A66" w:rsidRPr="0044524F" w:rsidRDefault="008E7A66" w:rsidP="009654CF">
      <w:pPr>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April 4, 1933 The rigid airship Akron (ZRS-4) crashed in a severe storm off Barnegat Light, N.J. Among the 73 fatalities were Rear Admiral William A. Moffett, Chief, Bureau of Aeronautics, and Commander Frank C. McCord, Commanding Officer of the Akron (ZRS-4) (1090).</w:t>
      </w:r>
    </w:p>
    <w:p w14:paraId="1E3911FB" w14:textId="77777777" w:rsidR="008E7A66" w:rsidRPr="0044524F" w:rsidRDefault="008E7A66" w:rsidP="009654CF">
      <w:pPr>
        <w:spacing w:after="0" w:line="240" w:lineRule="auto"/>
        <w:jc w:val="both"/>
        <w:rPr>
          <w:rFonts w:ascii="Times New Roman" w:hAnsi="Times New Roman"/>
          <w:color w:val="000000" w:themeColor="text1"/>
          <w:sz w:val="16"/>
          <w:szCs w:val="16"/>
          <w:lang w:val="en-US"/>
        </w:rPr>
      </w:pPr>
    </w:p>
    <w:p w14:paraId="0E738E4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апреля 1933 жесткий американский дирижабль Акрон (ZRS-4) ударился о воду и сломался и погибло 73 чел. (1090).</w:t>
      </w:r>
    </w:p>
    <w:p w14:paraId="0226B15C"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216ECF4B"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апреля 1933 в Нью-Джерси (США) разбился самый большой американский дирижабль «Аркон» (4962).</w:t>
      </w:r>
    </w:p>
    <w:p w14:paraId="331344EB"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p>
    <w:p w14:paraId="0547BF98" w14:textId="36C067E9" w:rsidR="00CB3050" w:rsidRPr="0044524F" w:rsidRDefault="00CB30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апреля 1933 г. произошла катастрофа: «Акрон» упал в море [3, с.304]. Американское общество было потрясено [3, с.142]. В прессе началась истерия по поводу исключительной опасности дирижаблей [4, л. 132]. Это вызвало тревогу в Дирижаблестрое, так как в руководстве СССР мог быть поставлен вопрос о безопасности дирижаблей и целесообразности их производства и использования. По распоряжению начальника Дирижаблестроя И.А. Фельдмана секретарь Управления Дирижаблестроя В. Алексеев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стал периодически направлять руководству ГУГВФ сводки об авариях дирижаблей в мире и о расследовании их причин,</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первую очередь, последние данные о работе комиссии по расследованию гибели «Акрона» [4, л.105-107; 115-118; 132-133; 151-153; 154-157; 228; 229230; 235-а; 243-244]. Начальник Дирижаблестроя, призывая сотрудников КБ повысить</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производительность и качество работы, предостерегал: «… синьор Нобиле должен пониматъ, что больших друзей у дирижаблестроения довольно мало, в особенности после последних событий с иностранными кораблями [4, л.215]. Но в 1933 г. до полной утраты доверия к дирижаблям было ещё далеко - от их использования</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ожидались очень большие выгоды. И.А. Фельдман</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сообщил 21 апреля 1933 г. сотрудникам КБ, что «…на заседании коллегии ГУГВФ в связи с гибелью «Акрона» и других дирижаблей было подчёркнуто, что</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эти аварии не дают основания для пересмотра вопроса о дальнейших путях и темпах развития советского дирижаблестроения …» [4, л.223].</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США осуществление программы по дирижаблестроению продолжалось - надежды возлагались на новый жесткий дирижабль-авианосец Мэйкон [3, с. 157] (15797).</w:t>
      </w:r>
    </w:p>
    <w:p w14:paraId="2C8DE3FD" w14:textId="77777777" w:rsidR="00CB3050" w:rsidRPr="0044524F" w:rsidRDefault="00CB3050" w:rsidP="009654CF">
      <w:pPr>
        <w:spacing w:after="0" w:line="240" w:lineRule="auto"/>
        <w:jc w:val="both"/>
        <w:rPr>
          <w:rFonts w:ascii="Times New Roman" w:hAnsi="Times New Roman"/>
          <w:color w:val="000000" w:themeColor="text1"/>
          <w:sz w:val="16"/>
          <w:szCs w:val="16"/>
        </w:rPr>
      </w:pPr>
    </w:p>
    <w:p w14:paraId="5A703C79" w14:textId="77777777" w:rsidR="00CB3050" w:rsidRPr="0044524F" w:rsidRDefault="00CB30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4 апреля</w:t>
      </w:r>
      <w:r w:rsidRPr="0044524F">
        <w:rPr>
          <w:rFonts w:ascii="Times New Roman" w:hAnsi="Times New Roman"/>
          <w:color w:val="000000" w:themeColor="text1"/>
          <w:sz w:val="16"/>
          <w:szCs w:val="16"/>
        </w:rPr>
        <w:t xml:space="preserve"> в 1933 году 12:30, около Барнгейт, Нью Джерси, США. Во время крейсерского полета на высоте 1600 футов над морем у берегов Нью Джерси, сильный нисходящий поток бросает наполненный гелием дирижабль-авиаматку </w:t>
      </w:r>
      <w:hyperlink r:id="rId119" w:tgtFrame="_blank" w:history="1">
        <w:r w:rsidRPr="0044524F">
          <w:rPr>
            <w:rFonts w:ascii="Times New Roman" w:hAnsi="Times New Roman"/>
            <w:color w:val="000000" w:themeColor="text1"/>
            <w:sz w:val="16"/>
            <w:szCs w:val="16"/>
          </w:rPr>
          <w:t xml:space="preserve">«Акрон» </w:t>
        </w:r>
      </w:hyperlink>
      <w:r w:rsidRPr="0044524F">
        <w:rPr>
          <w:rFonts w:ascii="Times New Roman" w:hAnsi="Times New Roman"/>
          <w:color w:val="000000" w:themeColor="text1"/>
          <w:sz w:val="16"/>
          <w:szCs w:val="16"/>
        </w:rPr>
        <w:t>на 700 футов вниз, прежде чем оно может выровняться. Но до того, как дирижабль может набрать безопасную высоту, он падает в Атлантический океан. Из 76 человек на борту погибают 73. Возможной причиной падения является неправильно понятый приказ командира (15089).</w:t>
      </w:r>
    </w:p>
    <w:p w14:paraId="1ECCC673" w14:textId="77777777" w:rsidR="00CB3050" w:rsidRPr="0044524F" w:rsidRDefault="00CB3050" w:rsidP="009654CF">
      <w:pPr>
        <w:spacing w:after="0" w:line="240" w:lineRule="auto"/>
        <w:jc w:val="both"/>
        <w:rPr>
          <w:rFonts w:ascii="Times New Roman" w:hAnsi="Times New Roman"/>
          <w:color w:val="000000" w:themeColor="text1"/>
          <w:sz w:val="16"/>
          <w:szCs w:val="16"/>
        </w:rPr>
      </w:pPr>
    </w:p>
    <w:p w14:paraId="11B268EA" w14:textId="77777777" w:rsidR="002453E1" w:rsidRPr="0044524F" w:rsidRDefault="002453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апреля 1933 дирижабль ВМС США «Акрон» (ZRS-4) терпит крушение во время шторма у побережья Нью-Джерси, в результате чего погибли 73 из 76 членов экипажа. Это самая страшная авиационная катастрофа в истории того времени, и до 1950 года не будет больших человеческих жертв в одной авиакатастрофе (20802).</w:t>
      </w:r>
    </w:p>
    <w:p w14:paraId="046F9DF2" w14:textId="77777777" w:rsidR="002453E1" w:rsidRPr="0044524F" w:rsidRDefault="002453E1" w:rsidP="009654CF">
      <w:pPr>
        <w:spacing w:after="0" w:line="240" w:lineRule="auto"/>
        <w:jc w:val="both"/>
        <w:rPr>
          <w:rFonts w:ascii="Times New Roman" w:hAnsi="Times New Roman"/>
          <w:color w:val="000000" w:themeColor="text1"/>
          <w:sz w:val="16"/>
          <w:szCs w:val="16"/>
        </w:rPr>
      </w:pPr>
    </w:p>
    <w:p w14:paraId="490B0496" w14:textId="77777777" w:rsidR="002453E1" w:rsidRPr="0044524F" w:rsidRDefault="002453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ночь на 4 апреля 1933 года у дирижабля США «Акрона», летя</w:t>
      </w:r>
      <w:r w:rsidRPr="0044524F">
        <w:rPr>
          <w:rFonts w:ascii="Times New Roman" w:hAnsi="Times New Roman"/>
          <w:color w:val="000000" w:themeColor="text1"/>
          <w:sz w:val="16"/>
          <w:szCs w:val="16"/>
        </w:rPr>
        <w:softHyphen/>
        <w:t>щего на малой высоте над штормовым морем, при резком повороте деформируется стабили</w:t>
      </w:r>
      <w:r w:rsidRPr="0044524F">
        <w:rPr>
          <w:rFonts w:ascii="Times New Roman" w:hAnsi="Times New Roman"/>
          <w:color w:val="000000" w:themeColor="text1"/>
          <w:sz w:val="16"/>
          <w:szCs w:val="16"/>
        </w:rPr>
        <w:softHyphen/>
        <w:t xml:space="preserve">затор, который прорывает оболочку газового отсека. Повреждение оказывается смертельным и гигантская машина, переломившись пополам, падает в море, гибнет почти весь экипаж (из 76 человек удалось спасти лишь троих). Вахтенный немецкого танкера «Феб» </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Phoebus</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rPr>
        <w:t>находивше</w:t>
      </w:r>
      <w:r w:rsidRPr="0044524F">
        <w:rPr>
          <w:rFonts w:ascii="Times New Roman" w:hAnsi="Times New Roman"/>
          <w:color w:val="000000" w:themeColor="text1"/>
          <w:sz w:val="16"/>
          <w:szCs w:val="16"/>
        </w:rPr>
        <w:softHyphen/>
        <w:t>гося неподалеку, около 00:23 заметил огни, сни</w:t>
      </w:r>
      <w:r w:rsidRPr="0044524F">
        <w:rPr>
          <w:rFonts w:ascii="Times New Roman" w:hAnsi="Times New Roman"/>
          <w:color w:val="000000" w:themeColor="text1"/>
          <w:sz w:val="16"/>
          <w:szCs w:val="16"/>
        </w:rPr>
        <w:softHyphen/>
        <w:t>жающиеся к поверхности океана. По команде капитана, полагавшего, что он наблюдает кру</w:t>
      </w:r>
      <w:r w:rsidRPr="0044524F">
        <w:rPr>
          <w:rFonts w:ascii="Times New Roman" w:hAnsi="Times New Roman"/>
          <w:color w:val="000000" w:themeColor="text1"/>
          <w:sz w:val="16"/>
          <w:szCs w:val="16"/>
        </w:rPr>
        <w:softHyphen/>
        <w:t>шение самолета, корабль повернул к месту тра</w:t>
      </w:r>
      <w:r w:rsidRPr="0044524F">
        <w:rPr>
          <w:rFonts w:ascii="Times New Roman" w:hAnsi="Times New Roman"/>
          <w:color w:val="000000" w:themeColor="text1"/>
          <w:sz w:val="16"/>
          <w:szCs w:val="16"/>
        </w:rPr>
        <w:softHyphen/>
        <w:t>гедии и подобрал из воды четырех человек. Однако, несмотря на проведение искусствен</w:t>
      </w:r>
      <w:r w:rsidRPr="0044524F">
        <w:rPr>
          <w:rFonts w:ascii="Times New Roman" w:hAnsi="Times New Roman"/>
          <w:color w:val="000000" w:themeColor="text1"/>
          <w:sz w:val="16"/>
          <w:szCs w:val="16"/>
        </w:rPr>
        <w:softHyphen/>
        <w:t>ного дыхания, один матрос умер, не приходя в сознание. Увы, экипаж «Макрона» не имел спа</w:t>
      </w:r>
      <w:r w:rsidRPr="0044524F">
        <w:rPr>
          <w:rFonts w:ascii="Times New Roman" w:hAnsi="Times New Roman"/>
          <w:color w:val="000000" w:themeColor="text1"/>
          <w:sz w:val="16"/>
          <w:szCs w:val="16"/>
        </w:rPr>
        <w:softHyphen/>
        <w:t>сательных жилетов, а сбросить на воду над</w:t>
      </w:r>
      <w:r w:rsidRPr="0044524F">
        <w:rPr>
          <w:rFonts w:ascii="Times New Roman" w:hAnsi="Times New Roman"/>
          <w:color w:val="000000" w:themeColor="text1"/>
          <w:sz w:val="16"/>
          <w:szCs w:val="16"/>
        </w:rPr>
        <w:softHyphen/>
        <w:t>увные плоты у него не было времени. Среди погибших был контр-адмирал Уильям Э. Моф</w:t>
      </w:r>
      <w:r w:rsidRPr="0044524F">
        <w:rPr>
          <w:rFonts w:ascii="Times New Roman" w:hAnsi="Times New Roman"/>
          <w:color w:val="000000" w:themeColor="text1"/>
          <w:sz w:val="16"/>
          <w:szCs w:val="16"/>
        </w:rPr>
        <w:softHyphen/>
        <w:t xml:space="preserve">фетт </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William</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lang w:val="en-US" w:bidi="en-US"/>
        </w:rPr>
        <w:t>Adger</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lang w:val="en-US" w:bidi="en-US"/>
        </w:rPr>
        <w:t>Moffett</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rPr>
        <w:t>1869-1933), бес</w:t>
      </w:r>
      <w:r w:rsidRPr="0044524F">
        <w:rPr>
          <w:rFonts w:ascii="Times New Roman" w:hAnsi="Times New Roman"/>
          <w:color w:val="000000" w:themeColor="text1"/>
          <w:sz w:val="16"/>
          <w:szCs w:val="16"/>
        </w:rPr>
        <w:softHyphen/>
        <w:t>сменный руководитель Бюро Аэронавтики (22730).</w:t>
      </w:r>
    </w:p>
    <w:p w14:paraId="46BBC6C2" w14:textId="77777777" w:rsidR="002453E1" w:rsidRPr="0044524F" w:rsidRDefault="002453E1" w:rsidP="009654CF">
      <w:pPr>
        <w:spacing w:after="0" w:line="240" w:lineRule="auto"/>
        <w:jc w:val="both"/>
        <w:rPr>
          <w:rFonts w:ascii="Times New Roman" w:hAnsi="Times New Roman"/>
          <w:color w:val="000000" w:themeColor="text1"/>
          <w:sz w:val="16"/>
          <w:szCs w:val="16"/>
        </w:rPr>
      </w:pPr>
    </w:p>
    <w:p w14:paraId="14335B9E" w14:textId="77777777" w:rsidR="00B16375" w:rsidRPr="0044524F" w:rsidRDefault="00B163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ночь на 4 апреля 1933 года ди</w:t>
      </w:r>
      <w:r w:rsidRPr="0044524F">
        <w:rPr>
          <w:rFonts w:ascii="Times New Roman" w:hAnsi="Times New Roman"/>
          <w:color w:val="000000" w:themeColor="text1"/>
          <w:sz w:val="16"/>
          <w:szCs w:val="16"/>
        </w:rPr>
        <w:softHyphen/>
        <w:t>рижабль ZRS-4 «Акрон» (Akron) объемом оболочки 194 000 куб. метров при проведении маневров в Атлантическом океане попал в мощный ураган и потерпел катастро</w:t>
      </w:r>
      <w:r w:rsidRPr="0044524F">
        <w:rPr>
          <w:rFonts w:ascii="Times New Roman" w:hAnsi="Times New Roman"/>
          <w:color w:val="000000" w:themeColor="text1"/>
          <w:sz w:val="16"/>
          <w:szCs w:val="16"/>
        </w:rPr>
        <w:softHyphen/>
        <w:t>фу. Из 76 членов экипажа выжили три человека. При рассмотрении причин катастрофы «Акрона», кроме прочего, указывались недостаточная прочность дири</w:t>
      </w:r>
      <w:r w:rsidRPr="0044524F">
        <w:rPr>
          <w:rFonts w:ascii="Times New Roman" w:hAnsi="Times New Roman"/>
          <w:color w:val="000000" w:themeColor="text1"/>
          <w:sz w:val="16"/>
          <w:szCs w:val="16"/>
        </w:rPr>
        <w:softHyphen/>
        <w:t>жабля и ошибки пилотирования (23378).</w:t>
      </w:r>
    </w:p>
    <w:p w14:paraId="114E6A7C" w14:textId="77777777" w:rsidR="00B16375" w:rsidRPr="0044524F" w:rsidRDefault="00B16375" w:rsidP="009654CF">
      <w:pPr>
        <w:spacing w:after="0" w:line="240" w:lineRule="auto"/>
        <w:jc w:val="both"/>
        <w:rPr>
          <w:rFonts w:ascii="Times New Roman" w:hAnsi="Times New Roman"/>
          <w:color w:val="000000" w:themeColor="text1"/>
          <w:sz w:val="16"/>
          <w:szCs w:val="16"/>
        </w:rPr>
      </w:pPr>
    </w:p>
    <w:p w14:paraId="30E5F11C" w14:textId="77777777" w:rsidR="008D1795" w:rsidRPr="0044524F" w:rsidRDefault="008D179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4 апреля 1933 Гитлер объявил о создании Совета обороны рейха, призванного разработать новую секретную программу перевооружения. А спустя три месяца, 20 июля, канцлер издал новый закон об армии, освобождавший военнослужащих из-под юрисдикции гражданских судов и упразднявший выборные солдатские представительства, вернув таким образом офицерскому корпусу его исконные привилегии (17283).</w:t>
      </w:r>
    </w:p>
    <w:p w14:paraId="005F9605" w14:textId="77777777" w:rsidR="008D1795" w:rsidRPr="0044524F" w:rsidRDefault="008D1795" w:rsidP="009654CF">
      <w:pPr>
        <w:spacing w:after="0" w:line="240" w:lineRule="auto"/>
        <w:jc w:val="both"/>
        <w:rPr>
          <w:rFonts w:ascii="Times New Roman" w:hAnsi="Times New Roman"/>
          <w:iCs/>
          <w:color w:val="000000" w:themeColor="text1"/>
          <w:sz w:val="16"/>
          <w:szCs w:val="16"/>
        </w:rPr>
      </w:pPr>
    </w:p>
    <w:p w14:paraId="6E0ADEEF" w14:textId="77777777" w:rsidR="009870BF" w:rsidRPr="0044524F" w:rsidRDefault="009870BF"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bCs/>
          <w:color w:val="000000" w:themeColor="text1"/>
          <w:sz w:val="16"/>
          <w:szCs w:val="16"/>
        </w:rPr>
        <w:t>4 апреля 1933 г. правительство Гитлера направило в Ватикан Папена для переговоров о конкордате. Пока шли переговоры с папой, в Германии происходили преследования католиков и их организаций. Католической прессе, сообщавшей об этих гонениях, из Ватикана было предписано прекратить нападки на Гитлера. В июле 1933 г. такое же указание прессе дал архиепископ Бамбергский. Архиепископ Фрейбургский Конрад Гребер запретил духовенству критиковать даже те меры Гитлера, которые были прямо направлены против церковников. Вскоре Гребер отправился в Рим для участия в переговорах о конкордате. 20 июля конкордат был заключен. Благодарный папа наградил фон Папена «Большим крестом ордена Пия» и званием папского камергера (17325).</w:t>
      </w:r>
    </w:p>
    <w:p w14:paraId="32175B9B" w14:textId="77777777" w:rsidR="009870BF" w:rsidRPr="0044524F" w:rsidRDefault="009870BF" w:rsidP="009654CF">
      <w:pPr>
        <w:spacing w:after="0" w:line="240" w:lineRule="auto"/>
        <w:jc w:val="both"/>
        <w:rPr>
          <w:rFonts w:ascii="Times New Roman" w:hAnsi="Times New Roman"/>
          <w:iCs/>
          <w:color w:val="000000" w:themeColor="text1"/>
          <w:sz w:val="16"/>
          <w:szCs w:val="16"/>
        </w:rPr>
      </w:pPr>
    </w:p>
    <w:p w14:paraId="45221702"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7D98F6D"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0060316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апреля 1933 состоялось совещание комиссии по облегчению ТБ-3 (АНТ-6) и решили, что можно на 114 кг (1077,133).</w:t>
      </w:r>
    </w:p>
    <w:p w14:paraId="0554DA80"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234F00F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апреля 1933 года выписка из протокола № 7 заседания РВС</w:t>
      </w:r>
    </w:p>
    <w:p w14:paraId="28E41EB7" w14:textId="77777777" w:rsidR="008E7A66" w:rsidRPr="0044524F" w:rsidRDefault="008E7A66" w:rsidP="009654CF">
      <w:pPr>
        <w:pStyle w:val="24"/>
        <w:widowControl/>
        <w:rPr>
          <w:color w:val="000000" w:themeColor="text1"/>
        </w:rPr>
      </w:pPr>
      <w:r w:rsidRPr="0044524F">
        <w:rPr>
          <w:color w:val="000000" w:themeColor="text1"/>
        </w:rPr>
        <w:t>О включении в план опытного строительства самолета-звено Вахмистрова. Докладчик Вахмистров.</w:t>
      </w:r>
    </w:p>
    <w:p w14:paraId="527B1B1F" w14:textId="77777777" w:rsidR="008E7A66" w:rsidRPr="0044524F" w:rsidRDefault="008E7A66" w:rsidP="009654CF">
      <w:pPr>
        <w:numPr>
          <w:ilvl w:val="0"/>
          <w:numId w:val="14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инженера Вахмистрова В.С. по оборудованию самолета ТБ3 установками для помещения трех самолетов И5 и двух "ЗЕТ" и по посадке И5 на ТБ3 в воздухе – одобрить.</w:t>
      </w:r>
    </w:p>
    <w:p w14:paraId="57CC6524" w14:textId="77777777" w:rsidR="008E7A66" w:rsidRPr="0044524F" w:rsidRDefault="008E7A66" w:rsidP="009654CF">
      <w:pPr>
        <w:numPr>
          <w:ilvl w:val="0"/>
          <w:numId w:val="14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к сведению заявление Баранова П.И., что ГУАПом производство работ Вахмистрова (п. 1) будет обеспечено организационно и производственной базой.</w:t>
      </w:r>
    </w:p>
    <w:p w14:paraId="5750F563" w14:textId="77777777" w:rsidR="008E7A66" w:rsidRPr="0044524F" w:rsidRDefault="008E7A66" w:rsidP="009654CF">
      <w:pPr>
        <w:numPr>
          <w:ilvl w:val="0"/>
          <w:numId w:val="14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время производства этих работ командировать Вахмистрова в ЦАГИ с оставлением в кадрах РККА.</w:t>
      </w:r>
    </w:p>
    <w:p w14:paraId="57E2B29A" w14:textId="77777777" w:rsidR="008E7A66" w:rsidRPr="0044524F" w:rsidRDefault="008E7A66" w:rsidP="009654CF">
      <w:pPr>
        <w:numPr>
          <w:ilvl w:val="0"/>
          <w:numId w:val="14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Начальнику ВВС Алкснису обеспечить производство работ Вахмистрова необходимыми денежными средствами.</w:t>
      </w:r>
    </w:p>
    <w:p w14:paraId="2EEA9D68" w14:textId="77777777" w:rsidR="008E7A66" w:rsidRPr="0044524F" w:rsidRDefault="008E7A66" w:rsidP="009654CF">
      <w:pPr>
        <w:numPr>
          <w:ilvl w:val="0"/>
          <w:numId w:val="14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остальные предложения Вахмистрова рассмотреть и разрешить Тухачевскому, Алкснису и Баранову (7439, 205).</w:t>
      </w:r>
    </w:p>
    <w:p w14:paraId="79A561FD" w14:textId="77777777" w:rsidR="008E7A66" w:rsidRPr="0044524F" w:rsidRDefault="008E7A66" w:rsidP="009654CF">
      <w:pPr>
        <w:tabs>
          <w:tab w:val="left" w:pos="360"/>
        </w:tabs>
        <w:spacing w:after="0" w:line="240" w:lineRule="auto"/>
        <w:jc w:val="both"/>
        <w:rPr>
          <w:rFonts w:ascii="Times New Roman" w:hAnsi="Times New Roman"/>
          <w:color w:val="000000" w:themeColor="text1"/>
          <w:sz w:val="16"/>
          <w:szCs w:val="16"/>
        </w:rPr>
      </w:pPr>
    </w:p>
    <w:p w14:paraId="58AD247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апреля 1933 состоялось заседание РВС (прот. 7) "О состоянии опытного моторо- и самолетостроения" и поручили комиссии под председательством К.Е.Ворошилова (с заменой на Гамарника) разработать проект постановления РВС за 20 дней (1025,67).</w:t>
      </w:r>
    </w:p>
    <w:p w14:paraId="055DB9BD"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77AB3178" w14:textId="77777777" w:rsidR="00252726" w:rsidRPr="0044524F" w:rsidRDefault="00252726" w:rsidP="009654CF">
      <w:pPr>
        <w:pStyle w:val="rtejustify"/>
        <w:spacing w:before="0" w:after="0"/>
        <w:rPr>
          <w:color w:val="000000" w:themeColor="text1"/>
          <w:sz w:val="16"/>
          <w:szCs w:val="16"/>
        </w:rPr>
      </w:pPr>
      <w:r w:rsidRPr="0044524F">
        <w:rPr>
          <w:rStyle w:val="af0"/>
          <w:bCs/>
          <w:i w:val="0"/>
          <w:color w:val="000000" w:themeColor="text1"/>
          <w:sz w:val="16"/>
          <w:szCs w:val="16"/>
        </w:rPr>
        <w:t>5 апреля</w:t>
      </w:r>
      <w:r w:rsidRPr="0044524F">
        <w:rPr>
          <w:color w:val="000000" w:themeColor="text1"/>
          <w:sz w:val="16"/>
          <w:szCs w:val="16"/>
        </w:rPr>
        <w:t xml:space="preserve"> 1933 вышел приказ РВСС № 7. 1. О вооружении связи РККА (Синявский, Егоров). 4. О состоянии опытного моторо- и самолетостроения. (Аузан, Конерт, Петровский, Харламов, Ильюшин). (РГВА. Ф. 4. Оп. 18. Д. 23. Л. 107). 5. О включении в план опытного строительства самолета звена Вахмистрова. (Вахмистров). 6. О выполнении плана заказов ВВС РККА за 1</w:t>
      </w:r>
      <w:r w:rsidRPr="0044524F">
        <w:rPr>
          <w:color w:val="000000" w:themeColor="text1"/>
          <w:sz w:val="16"/>
          <w:szCs w:val="16"/>
        </w:rPr>
        <w:noBreakHyphen/>
        <w:t>й квартал 1933 г. (Баранов П. И.). 7. Об организации научно-исследовательской и конструкторской работы. (Ворошилов). 13. Сообщение о подписании председателем РВСС постановления РВСС «О железных патронных гильзах» от 28 марта 1933 г. (РГВА. Ф. 4. Оп. 18. Д. 23. Л. 106</w:t>
      </w:r>
      <w:r w:rsidRPr="0044524F">
        <w:rPr>
          <w:color w:val="000000" w:themeColor="text1"/>
          <w:sz w:val="16"/>
          <w:szCs w:val="16"/>
        </w:rPr>
        <w:noBreakHyphen/>
        <w:t>108) (15461).</w:t>
      </w:r>
    </w:p>
    <w:p w14:paraId="7D95B011" w14:textId="77777777" w:rsidR="00252726" w:rsidRPr="0044524F" w:rsidRDefault="00252726" w:rsidP="009654CF">
      <w:pPr>
        <w:pStyle w:val="rtejustify"/>
        <w:spacing w:before="0" w:after="0"/>
        <w:rPr>
          <w:rStyle w:val="af0"/>
          <w:bCs/>
          <w:i w:val="0"/>
          <w:color w:val="000000" w:themeColor="text1"/>
          <w:sz w:val="16"/>
          <w:szCs w:val="16"/>
        </w:rPr>
      </w:pPr>
    </w:p>
    <w:p w14:paraId="69C505B6" w14:textId="77777777" w:rsidR="001A3DF7" w:rsidRPr="0044524F" w:rsidRDefault="001A3D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апреля 1933 г. Н.А. Доровлев направил еще одно письмо Я. М. Железнякову, в котором указывал на острую необходимость собственной производственной базы. В этом письме им впервые была озвучена идея реализации организационной формы, наиболее подходящей для эффективной работы по созданию орудий сопровождения пехоты – образование конструкторского бюро при машиностроительном заводе, имеющего специализированное производство для изготовления минометов. Ввиду «нереалистичности», по оценке самого Н. А. Доровлева, такого плана, им было предложено организовать конструкторско-испытательное бюро при НИАПе, в задачи которого входила бы теоретическая разработка проектов минометных систем. Кроме этого, «При опытном отделе завода №7, по договоренности с ГВМУ, сформировать специальное конструкторское бюро «по выработке орудий сопровождения пехоты». Задачи этого бюро в том, чтобы на основании общих проектов («принципиальных»), даваемых Бюро НИАПа, разрабатывать детальные чертежи систем, разрабатывать технологический процесс, приспособления и строить их в опытных мастерских. После испытаний вносить соответствующие изменения и давать окончательный образец, вполне годный для массового производства (т. е. со всеми разработанными тетрадями и т. п.)».214 (см. Приложение Д) Таким образом, спустя восемь лет после предложения В. М. Трофимова об организации на Ленинградском механическом заводе №7 особой мастерской для опытных работ (в том числе и для изготовления опытных образцов минометов), Н. А. Доровлевым был представлен проект создания на базе данного предприятия специализированного конструкторского бюро с собственной производственной базой, основным предметом деятельности которого было бы проведение опытно-конструкторских работ по созданию минометного вооружения. (20074).</w:t>
      </w:r>
    </w:p>
    <w:p w14:paraId="46790723" w14:textId="77777777" w:rsidR="001A3DF7" w:rsidRPr="0044524F" w:rsidRDefault="001A3DF7" w:rsidP="009654CF">
      <w:pPr>
        <w:spacing w:after="0" w:line="240" w:lineRule="auto"/>
        <w:jc w:val="both"/>
        <w:rPr>
          <w:rFonts w:ascii="Times New Roman" w:hAnsi="Times New Roman"/>
          <w:color w:val="000000" w:themeColor="text1"/>
          <w:sz w:val="16"/>
          <w:szCs w:val="16"/>
        </w:rPr>
      </w:pPr>
    </w:p>
    <w:p w14:paraId="72907688"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B203113"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691D10EA"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апреля 1933 года в переписке впервые был упомянут танк Т-29, причем в контексте заказа на два образца.</w:t>
      </w:r>
    </w:p>
    <w:p w14:paraId="1B1EC351"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практике проекты Т-29 прорабатывались ранее - в марте 1933 года. Проработка шла по двум направлениям - прямое развитие ИТ-3, а также разработка аналога Т-28, то есть 3-башенный танк. Плюсом развития варианта на основе ИТ-3 было то, что такой танк получался короче и легче. При этом от курсового пулемета ДК отказывались, на что имелись объективные причины. Фактически ДК был еще в стадии опытного пулемета, с рядом проблемных моментов. Также отказывались от установки авиационных пулеметов ШКАС, вместо них ставились пулеметы ДТ.</w:t>
      </w:r>
    </w:p>
    <w:p w14:paraId="0637B9E5"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Т-29 не был тем же самым, что ИТ-3, но с другой башней. Проект заметно переработали, в результате длина корпуса сократилась до 5825 мм. Это позволило сократить боевую массу до 14790 кг в варианте с толщиной брони 15 мм. Данный образец получил индекс Т-29-1, или Т-29 по первому варианту. Интересно, что Т-29-2 не существовало, далее шел Т-29-3, или Т-29 по третьему варианту. Толщина лба корпуса и башни возрастала до 20 мм, толщина бортов и кормы составляла 15 мм. Боевая масса возрастала до 14415 кг, но динамические характеристики оставались те же - 80 км/ч на колесном ходу и 60 км/ч на гусеничном ходу. Начинка по МТО и ходовая часть сохранялись те же, что и у ИТ-3.</w:t>
      </w:r>
    </w:p>
    <w:p w14:paraId="22E333E6"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Руководство УММ КА проявляло куда больший интерес к другому проекту - трехбашенному Т-29. В связи с установкой двух пулеметных башен экипаж возрастал с 4 до 5 человек, а длина корпуса увеличивалась до 6325 мм. Но при этом ожидавшаяся боевая масса Т-29-4, или Т-29 по четвертому варианту, составляла 17135 кг, то есть даже меньше, чем у ИТ-3. И это при толщине брони до 20 мм. Пятый вариант, соответственно, был тем же самым, но толщина лба возрастала до 30 мм, а бортов - до 20 мм. При этом боевая масса составила 20135 кг. Скоростные данные Т-29-4 и Т-29-5 оставались те же, что у Т-29-1 и Т-29-3.</w:t>
      </w:r>
    </w:p>
    <w:p w14:paraId="014AD0C1"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этих проектов УММ КА утвердило трехбашенный концепт, причем в обоих вариантах. Логика такого решения заключалась в том, что более легкий танк будет иметь более высокие динамические характеристики. При этом ПТ-1 никуда не девался. По опыту испытаний ТП-1 был разработан доработанный проект танка, получивший обозначение ПТ-1А. Есть подозрение, что "пропавший" Т-29-2 - это на самом деле ПТ-1А. Кстати, Т-29 исходно указывали как ПТ-1, но далее их пути разошлись. Похожая ситуация сложилась с Т-29-4 и Т-29-5. Изготовленные в металле танки заметно отличались друг от друга (25753).</w:t>
      </w:r>
    </w:p>
    <w:p w14:paraId="2E37398E" w14:textId="77777777" w:rsidR="006A7D5C" w:rsidRPr="00142305" w:rsidRDefault="006A7D5C" w:rsidP="006A7D5C">
      <w:pPr>
        <w:spacing w:after="0" w:line="240" w:lineRule="auto"/>
        <w:jc w:val="both"/>
        <w:rPr>
          <w:rFonts w:ascii="Times New Roman" w:hAnsi="Times New Roman"/>
          <w:color w:val="0070C0"/>
          <w:sz w:val="16"/>
          <w:szCs w:val="16"/>
        </w:rPr>
      </w:pPr>
    </w:p>
    <w:p w14:paraId="0D076E83"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апреля 1933 закончились испытания первого экземпляра нового танкового двигателя завода № 174 мощностью 96 л.с. на стенде, которые проходили с 22 марта. Он продемонстрировал мощность 96 л.с. и проработал непрерывно в течение 5 Часов. Однако, будучи установленным в танк, мотор никак не желал работать нормально. Практически ни один из 30 мото</w:t>
      </w:r>
      <w:r w:rsidRPr="0044524F">
        <w:rPr>
          <w:rFonts w:ascii="Times New Roman" w:hAnsi="Times New Roman"/>
          <w:color w:val="000000" w:themeColor="text1"/>
          <w:sz w:val="16"/>
          <w:szCs w:val="16"/>
        </w:rPr>
        <w:softHyphen/>
        <w:t>ров установочной серии не выдержал гарантированной на</w:t>
      </w:r>
      <w:r w:rsidRPr="0044524F">
        <w:rPr>
          <w:rFonts w:ascii="Times New Roman" w:hAnsi="Times New Roman"/>
          <w:color w:val="000000" w:themeColor="text1"/>
          <w:sz w:val="16"/>
          <w:szCs w:val="16"/>
        </w:rPr>
        <w:softHyphen/>
        <w:t>работки (10733,217).</w:t>
      </w:r>
    </w:p>
    <w:p w14:paraId="71274B70"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p>
    <w:p w14:paraId="0B85FC34"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апреля 1933</w:t>
      </w:r>
    </w:p>
    <w:p w14:paraId="2E291BC0"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7A1A6BD0"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http://sovdoc.rusarchives.ru</w:t>
      </w:r>
    </w:p>
    <w:p w14:paraId="62A70D50"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3DB68E8E"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РГАСПИ. Ф. 17. Оп. 3. Д. 922. Л. 57; Оп. 162. Д. 14. Л. 139.</w:t>
      </w:r>
    </w:p>
    <w:p w14:paraId="1F87A4EC"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8</w:t>
      </w:r>
    </w:p>
    <w:p w14:paraId="31CEA237"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60/47 пр. ПБ № 137.</w:t>
      </w:r>
    </w:p>
    <w:p w14:paraId="5F31DF76"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увеличении выпуска тракторов.</w:t>
      </w:r>
    </w:p>
    <w:p w14:paraId="175696A6"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Утверждено Политбюро ЦК ВКП/б/ 4.V.1933 г.</w:t>
      </w:r>
    </w:p>
    <w:p w14:paraId="6FDE1D8B"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3а весь май вести усиленное производство тракторов для текущего сева.</w:t>
      </w:r>
    </w:p>
    <w:p w14:paraId="37204306"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целях своевременной подготовки сева 1934 г., считать необходимым увеличить с первого июня текущего года по 1</w:t>
      </w:r>
      <w:r w:rsidRPr="0044524F">
        <w:rPr>
          <w:rFonts w:ascii="Times New Roman" w:hAnsi="Times New Roman"/>
          <w:color w:val="000000" w:themeColor="text1"/>
          <w:sz w:val="16"/>
          <w:szCs w:val="16"/>
        </w:rPr>
        <w:noBreakHyphen/>
        <w:t>ое июня 1934 г. выпуск тракторов на ХТЗ и СТЗ и пустить Челябинский тракторный завод 1</w:t>
      </w:r>
      <w:r w:rsidRPr="0044524F">
        <w:rPr>
          <w:rFonts w:ascii="Times New Roman" w:hAnsi="Times New Roman"/>
          <w:color w:val="000000" w:themeColor="text1"/>
          <w:sz w:val="16"/>
          <w:szCs w:val="16"/>
        </w:rPr>
        <w:noBreakHyphen/>
        <w:t>го июня.</w:t>
      </w:r>
    </w:p>
    <w:p w14:paraId="6BB81BD0"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Установить программу выпуска тракторов, с 1 июня 1933 года по 1</w:t>
      </w:r>
      <w:r w:rsidRPr="0044524F">
        <w:rPr>
          <w:rFonts w:ascii="Times New Roman" w:hAnsi="Times New Roman"/>
          <w:color w:val="000000" w:themeColor="text1"/>
          <w:sz w:val="16"/>
          <w:szCs w:val="16"/>
        </w:rPr>
        <w:noBreakHyphen/>
        <w:t>ое июня 1934 г. по ХТЗ и СТЗ — 76.800 тракторов, из них сверх установленной планом 1933 г. — программы — 10.000 штук.</w:t>
      </w:r>
    </w:p>
    <w:p w14:paraId="110FE437"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Программу ЧТЗ установить с начала пуска — 1</w:t>
      </w:r>
      <w:r w:rsidRPr="0044524F">
        <w:rPr>
          <w:rFonts w:ascii="Times New Roman" w:hAnsi="Times New Roman"/>
          <w:color w:val="000000" w:themeColor="text1"/>
          <w:sz w:val="16"/>
          <w:szCs w:val="16"/>
        </w:rPr>
        <w:noBreakHyphen/>
        <w:t>го июня 1933 г. по 1</w:t>
      </w:r>
      <w:r w:rsidRPr="0044524F">
        <w:rPr>
          <w:rFonts w:ascii="Times New Roman" w:hAnsi="Times New Roman"/>
          <w:color w:val="000000" w:themeColor="text1"/>
          <w:sz w:val="16"/>
          <w:szCs w:val="16"/>
        </w:rPr>
        <w:noBreakHyphen/>
        <w:t>ое июня 1934 г. — 4.500 штук, из них 2.000 в текущем году и — 2.500 с первого января по первое июня 1934 г.</w:t>
      </w:r>
    </w:p>
    <w:p w14:paraId="29B2C9F4"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Общий выпуск тракторов за год (с 1</w:t>
      </w:r>
      <w:r w:rsidRPr="0044524F">
        <w:rPr>
          <w:rFonts w:ascii="Times New Roman" w:hAnsi="Times New Roman"/>
          <w:color w:val="000000" w:themeColor="text1"/>
          <w:sz w:val="16"/>
          <w:szCs w:val="16"/>
        </w:rPr>
        <w:noBreakHyphen/>
        <w:t>го июня 1933 года по 1</w:t>
      </w:r>
      <w:r w:rsidRPr="0044524F">
        <w:rPr>
          <w:rFonts w:ascii="Times New Roman" w:hAnsi="Times New Roman"/>
          <w:color w:val="000000" w:themeColor="text1"/>
          <w:sz w:val="16"/>
          <w:szCs w:val="16"/>
        </w:rPr>
        <w:noBreakHyphen/>
        <w:t>е июня 1934 г. определить в 81.300 штук или — 1.374 тыс. НР.</w:t>
      </w:r>
    </w:p>
    <w:p w14:paraId="4AFA636A"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Решение — особая папка.</w:t>
      </w:r>
    </w:p>
    <w:p w14:paraId="02C4C82E"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этой программы обязать лично тов. Розенгольца безусловно завезти полностью качественные стали в количестве 100 тыс. тонн, предусмотренных планом, не позже 15</w:t>
      </w:r>
      <w:r w:rsidRPr="0044524F">
        <w:rPr>
          <w:rFonts w:ascii="Times New Roman" w:hAnsi="Times New Roman"/>
          <w:color w:val="000000" w:themeColor="text1"/>
          <w:sz w:val="16"/>
          <w:szCs w:val="16"/>
        </w:rPr>
        <w:noBreakHyphen/>
        <w:t>го ноября.</w:t>
      </w:r>
    </w:p>
    <w:p w14:paraId="52404B0D"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Закупить сверх установленного плана для Наркомтяжпрома специально для этой программы 600 тонн олова и 1,5 тонны меди.</w:t>
      </w:r>
    </w:p>
    <w:p w14:paraId="078C105D"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235C73B6" w14:textId="77777777" w:rsidR="00252726" w:rsidRPr="0044524F" w:rsidRDefault="00252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Молотову, Орджоникидзе, Межлауку В., Свистуну, Яковлеву, Розенгольцу, Куйбышеву (18060).</w:t>
      </w:r>
    </w:p>
    <w:p w14:paraId="2CCFE23D" w14:textId="77777777" w:rsidR="00252726" w:rsidRPr="0044524F" w:rsidRDefault="00252726" w:rsidP="009654CF">
      <w:pPr>
        <w:spacing w:after="0" w:line="240" w:lineRule="auto"/>
        <w:jc w:val="both"/>
        <w:rPr>
          <w:rFonts w:ascii="Times New Roman" w:hAnsi="Times New Roman"/>
          <w:color w:val="000000" w:themeColor="text1"/>
          <w:sz w:val="16"/>
          <w:szCs w:val="16"/>
        </w:rPr>
      </w:pPr>
    </w:p>
    <w:p w14:paraId="3E26FED3"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90AB51F"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2AD3699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апреля 1933 в «Перековке» появилось объявление: «Литературных работников газет и журналов, работавших в периодических изданиях, просим сообщить о себе через КВЧ в КВО редакции «Перековка»» (7560).</w:t>
      </w:r>
    </w:p>
    <w:p w14:paraId="0B876F8D"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65CF1A95" w14:textId="77777777" w:rsidR="00CB3050"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53BC655" w14:textId="77777777" w:rsidR="00CB3050" w:rsidRPr="0044524F" w:rsidRDefault="00CB3050" w:rsidP="009654CF">
      <w:pPr>
        <w:spacing w:after="0" w:line="240" w:lineRule="auto"/>
        <w:jc w:val="both"/>
        <w:rPr>
          <w:rFonts w:ascii="Times New Roman" w:hAnsi="Times New Roman"/>
          <w:iCs/>
          <w:color w:val="000000" w:themeColor="text1"/>
          <w:sz w:val="16"/>
          <w:szCs w:val="16"/>
        </w:rPr>
      </w:pPr>
    </w:p>
    <w:p w14:paraId="71347C8C" w14:textId="77777777" w:rsidR="00CB3050" w:rsidRPr="0044524F" w:rsidRDefault="00CB30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5 апреля</w:t>
      </w:r>
      <w:r w:rsidRPr="0044524F">
        <w:rPr>
          <w:rFonts w:ascii="Times New Roman" w:hAnsi="Times New Roman"/>
          <w:color w:val="000000" w:themeColor="text1"/>
          <w:sz w:val="16"/>
          <w:szCs w:val="16"/>
        </w:rPr>
        <w:t xml:space="preserve"> в 1933 году международный суд в Гааге признает Гренландию принадлежащей Дании. На территорию острова пыталась претендовать Норвегия (15090).</w:t>
      </w:r>
    </w:p>
    <w:p w14:paraId="059B069E" w14:textId="77777777" w:rsidR="00CB3050" w:rsidRPr="0044524F" w:rsidRDefault="00CB3050" w:rsidP="009654CF">
      <w:pPr>
        <w:spacing w:after="0" w:line="240" w:lineRule="auto"/>
        <w:jc w:val="both"/>
        <w:rPr>
          <w:rFonts w:ascii="Times New Roman" w:hAnsi="Times New Roman"/>
          <w:color w:val="000000" w:themeColor="text1"/>
          <w:sz w:val="16"/>
          <w:szCs w:val="16"/>
        </w:rPr>
      </w:pPr>
    </w:p>
    <w:p w14:paraId="27598356"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0104CF7"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7C65679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апреля 1933 года шесть специалистов Остехбюро были награждены орденами, в том числе орденом Ленина— В.И.Бекаури, орденом Красной Звезды — В.М.Миткевич. К этому времени Остехбюро превратилось в крупную научно — исследовательскую и проектно — конструкторскую организацию с специализированными отделами, лабораториями и конструкторскими бюро, с хорошей производственной и экспериментальной базой, мастерскими, заводами, плавсредствами, в которые входили корабли, катера; были у Остехбюро самолеты и ангары, собственная радиостанция (10737).</w:t>
      </w:r>
    </w:p>
    <w:p w14:paraId="5943C6BF"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5104D4B7" w14:textId="77777777" w:rsidR="00F40D1C" w:rsidRPr="0044524F" w:rsidRDefault="00F40D1C"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1614F31" w14:textId="77777777" w:rsidR="00F40D1C" w:rsidRPr="0044524F" w:rsidRDefault="00F40D1C" w:rsidP="009654CF">
      <w:pPr>
        <w:spacing w:after="0" w:line="240" w:lineRule="auto"/>
        <w:jc w:val="both"/>
        <w:rPr>
          <w:rFonts w:ascii="Times New Roman" w:hAnsi="Times New Roman"/>
          <w:iCs/>
          <w:color w:val="000000" w:themeColor="text1"/>
          <w:sz w:val="16"/>
          <w:szCs w:val="16"/>
        </w:rPr>
      </w:pPr>
    </w:p>
    <w:p w14:paraId="6842783E"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апреля 1933 года</w:t>
      </w:r>
    </w:p>
    <w:p w14:paraId="590BDF34"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строго секретной записи Генриха Коппенберга, председателя наблюдательного совета концерна «Миттельдойче штальверке», от</w:t>
      </w:r>
    </w:p>
    <w:p w14:paraId="377EB152"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апреля 1933 года о переговорах с представителями авиационной промышленности</w:t>
      </w:r>
    </w:p>
    <w:p w14:paraId="1265720E"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Господин Фриц Тиссен, открыв заседание, приветствовал представителей частных фирм, производящих самолеты и авиационные моторы, и развеял очевидно возникшие у них опасения относительно поглощения их крупной промышленностью...</w:t>
      </w:r>
    </w:p>
    <w:p w14:paraId="58D53FB4"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Господин Мелих подробно остановился на вопросах конструирования и производства моторов и частей самолетов, предъявил высокие требования к моторостроению и забраковал дерево как строительный материал.</w:t>
      </w:r>
    </w:p>
    <w:p w14:paraId="07F9B436"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Он провел различие между технической и экономической сторонами производства, высказав мнение, что техническая сторона имеет главное значение и что экономические вопросы можно будет решить позднее. Он говорил об оперативном воздушном флоте, который должна иметь Германия в силу своего центрального положения в Европе и на который падает особая задача по противодействию и уничтожению вражеских воздушных сил соседних государств. Эта цель должна быть достигнута не сейчас, а только через несколько лет, и надо использовать имеющееся еще время. Для этого необходимо переподготовить технических специалистов и добиться духовного взаимодействия кадров, которые будут заниматься этим делом. На первых порах планируется выпускать продукцию на сумму 60 миллионов марок, тогда как прежде мы выпускали ее на 20 миллионов.</w:t>
      </w:r>
    </w:p>
    <w:p w14:paraId="11832A9A"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Большой угрозе подвергается промышленность на западе страны. Пограничные районы вообще беззащитны, поэтому они выпадают из расчетов. Защитить эти районы можно только с помощью обнаружения и уничтожения вражеских сил на месте.</w:t>
      </w:r>
    </w:p>
    <w:p w14:paraId="70060526"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Высказывания Мелиха были проникнуты более или менее идеалистическими представлениями. В них затрагивались технические, военные и психологические стороны проблемы и не получил детального освещения вопрос о создании достаточно активной противовоздушной обороны. Но все же его выступление было целеустремленным.</w:t>
      </w:r>
    </w:p>
    <w:p w14:paraId="32006D47"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Хейнкель, как делец, поставил на первый план достижения нашей авиационной промышленности в области аэродинамики и летной техники, имея, вероятно, в виду самого себя. В остальном он тоже широко осветил вопрос о материалах, поддержал Гельмута Хирта и подчеркнул необходимость строгого нормирования, что и так не вызывает сомнений.</w:t>
      </w:r>
    </w:p>
    <w:p w14:paraId="556D1AFA"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Господа Фёглер, Сименс и Тиссен остановились после этого на вопросах о материалах и разработке конструкций, поднятых на совещании, и подчеркнули необходимость совместной работы в деле создания наиболее совершенных образцов. Была достигнута договоренность учредить при фирме «Сименс» в Берлине опекунское бюро, в котором на первых порах будут заняты господа Хирт и д-р Дэвес. Доктор Дэвес при содействии господина Хирта будет заниматься вопросами равномерного привлечения всех заинтересованных сил и учреждений, (сталеплавильные заводы, заводы алюминиевой промышленности, моторостроительные фирмы, самолетостроительные предприятия, испытательные учреждения, научные институты, союзы авиационной промышленности, Имперский союз и т. д. и т. п.) к разработке, содействию и выполнению поставленных задач.</w:t>
      </w:r>
    </w:p>
    <w:p w14:paraId="55B0CF06"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последующем новом совещании должен быть обсужден весь затронутый круг вопросов...</w:t>
      </w:r>
    </w:p>
    <w:p w14:paraId="7B02E9B9"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совещании не представился случай объявить, что мы имеем авиационный завод, который построил 2500 самолетов — от одноместных истребителей до крупных бомбардировщиков с размахом крыльев 45 м (ежедневная производительность — 5 самолетов), который мы можем в любое время быстро ввести в действие [док. 30].</w:t>
      </w:r>
    </w:p>
    <w:p w14:paraId="39CD6886"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Главной комиссии, Процесс Круппа, док. НИ-10118 (20608).</w:t>
      </w:r>
    </w:p>
    <w:p w14:paraId="182FC283" w14:textId="77777777" w:rsidR="00F40D1C" w:rsidRPr="0044524F" w:rsidRDefault="00F40D1C" w:rsidP="009654CF">
      <w:pPr>
        <w:spacing w:after="0" w:line="240" w:lineRule="auto"/>
        <w:jc w:val="both"/>
        <w:rPr>
          <w:rFonts w:ascii="Times New Roman" w:hAnsi="Times New Roman"/>
          <w:color w:val="000000" w:themeColor="text1"/>
          <w:sz w:val="16"/>
          <w:szCs w:val="16"/>
        </w:rPr>
      </w:pPr>
    </w:p>
    <w:p w14:paraId="182C84E6"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EF33A87"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5419381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апреля 1933 г. СССР-HI сдали в ремонт на севастопольский завод № 45. В ближайшие дни бывший "Комсеверпуть-1" в связи с реорганизацией и появлением Главного Управления Северного морского пути успели перерегистрировать. Однако эта канцелярская забота оказалась неуместной. Повреждения конструкции, полученные при падении с крана, при тщательной дефектации определили как недопустимые для продолжения полетов, и Дорнье "Валь" СССР-HI сняли с эксплуатации (11970).</w:t>
      </w:r>
    </w:p>
    <w:p w14:paraId="668AA01A"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6F2CF10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апреля 1933 г. заместитель наркома тяжелой промышленности П.И. Баранов в письме секретарю Совета Труда и Обороны, писал: "Мотор М-34 к настоящему времени является надежным мотором и по своим данным стоит в ряду заграничных невысотных моторов. Надежность мотора доказана на большом количестве 100-часовых испытаний. На проводимых в настоящее время НИИ ВВС РККА эксплуатационных испытаниях мотор проработал в условиях работы на самолете 270 часов без разборки (с частичной переборкой после 230 часов работы с заменой 2-х клапанов, направляющей клапана и двух поршневых колец) и становится на дальнейшее испытание до 300 часов. Как эти испытания, так и проведенные испытания мотора № 2040 на полном газе в течение 80 часов дают основание считать, что в ближайшее время можно будет повысить мощность мотора и гарантировать срок службы между переборками до 200 часов.</w:t>
      </w:r>
    </w:p>
    <w:p w14:paraId="2A28068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имеют еще отдельные недостатки (кустарный способ заливки баббитом головок шатунов, дефекты масляных помп), над устранением которых завод работает. При обеспечении редуктором, нагнетателем, винтом переменного шага изготовляемый в ЦИАМе мотор становится в разряд первоклассных моторов.</w:t>
      </w:r>
    </w:p>
    <w:p w14:paraId="5C8FCA5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Предварительные работы по форсированию мотора показали, что мотор может развивать максимальную мощность 1000 л.с. Мотор испытан на самолете Р-5 и испытывается на ТБ-3 в полете с удовлетворительными результатами" (9028).</w:t>
      </w:r>
    </w:p>
    <w:p w14:paraId="1352BFF5"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689AC4A3" w14:textId="77777777" w:rsidR="00CB3050" w:rsidRPr="0044524F" w:rsidRDefault="00CB30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апреля 1933 г. опытные экземпляры моторов М-38 (600 л.с.) и М-58 (630 л.с.) проходили заводские испытания на станке, при этом М-38 наработал 260 часов, а М-58 — 53 часа, оба с большим количеством дефектов (15823).</w:t>
      </w:r>
    </w:p>
    <w:p w14:paraId="1476889E" w14:textId="77777777" w:rsidR="00CB3050" w:rsidRPr="0044524F" w:rsidRDefault="00CB3050" w:rsidP="009654CF">
      <w:pPr>
        <w:spacing w:after="0" w:line="240" w:lineRule="auto"/>
        <w:jc w:val="both"/>
        <w:rPr>
          <w:rFonts w:ascii="Times New Roman" w:hAnsi="Times New Roman"/>
          <w:color w:val="000000" w:themeColor="text1"/>
          <w:sz w:val="16"/>
          <w:szCs w:val="16"/>
        </w:rPr>
      </w:pPr>
    </w:p>
    <w:p w14:paraId="2263E25A" w14:textId="77777777" w:rsidR="001470B0" w:rsidRPr="0044524F" w:rsidRDefault="001470B0"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К началу апреля 1933 года опытные экземпляры моторов М-38 (600 л.с.) и М-58 (630 л.с.) проходили заводские испытания на станке, при этом М-38 наработал 260 часов, а М-58 – 53 часа, оба с большим количеством дефектов (19177).</w:t>
      </w:r>
    </w:p>
    <w:p w14:paraId="6CEF5F13" w14:textId="77777777" w:rsidR="001470B0" w:rsidRPr="0044524F" w:rsidRDefault="001470B0" w:rsidP="009654CF">
      <w:pPr>
        <w:pStyle w:val="ae"/>
        <w:shd w:val="clear" w:color="auto" w:fill="FFFFFF"/>
        <w:spacing w:before="0" w:after="0"/>
        <w:jc w:val="both"/>
        <w:textAlignment w:val="baseline"/>
        <w:rPr>
          <w:color w:val="000000" w:themeColor="text1"/>
          <w:sz w:val="16"/>
          <w:szCs w:val="16"/>
        </w:rPr>
      </w:pPr>
    </w:p>
    <w:p w14:paraId="207CCA71" w14:textId="77777777" w:rsidR="006A7D5C" w:rsidRPr="0044524F" w:rsidRDefault="006A7D5C" w:rsidP="006A7D5C">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E6F1A8E" w14:textId="77777777" w:rsidR="006A7D5C" w:rsidRPr="0044524F" w:rsidRDefault="006A7D5C" w:rsidP="006A7D5C">
      <w:pPr>
        <w:spacing w:after="0" w:line="240" w:lineRule="auto"/>
        <w:jc w:val="both"/>
        <w:rPr>
          <w:rFonts w:ascii="Times New Roman" w:hAnsi="Times New Roman"/>
          <w:iCs/>
          <w:color w:val="000000" w:themeColor="text1"/>
          <w:sz w:val="16"/>
          <w:szCs w:val="16"/>
        </w:rPr>
      </w:pPr>
    </w:p>
    <w:p w14:paraId="6A49E72F"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апреля 1933 года на основе проекта танка-истребителя ИТ-3, стали разрабатывать 20-тонный танк, который и получил название Т-29 (25089).</w:t>
      </w:r>
    </w:p>
    <w:p w14:paraId="3036EC16" w14:textId="77777777" w:rsidR="006A7D5C" w:rsidRPr="00142305" w:rsidRDefault="006A7D5C" w:rsidP="006A7D5C">
      <w:pPr>
        <w:spacing w:after="0" w:line="240" w:lineRule="auto"/>
        <w:jc w:val="both"/>
        <w:rPr>
          <w:rFonts w:ascii="Times New Roman" w:hAnsi="Times New Roman"/>
          <w:color w:val="0070C0"/>
          <w:sz w:val="16"/>
          <w:szCs w:val="16"/>
        </w:rPr>
      </w:pPr>
    </w:p>
    <w:p w14:paraId="361F4793" w14:textId="77777777" w:rsidR="001470B0" w:rsidRPr="0044524F" w:rsidRDefault="001470B0"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909ACFD" w14:textId="77777777" w:rsidR="001470B0" w:rsidRPr="0044524F" w:rsidRDefault="001470B0" w:rsidP="009654CF">
      <w:pPr>
        <w:spacing w:after="0" w:line="240" w:lineRule="auto"/>
        <w:jc w:val="both"/>
        <w:rPr>
          <w:rFonts w:ascii="Times New Roman" w:hAnsi="Times New Roman"/>
          <w:color w:val="000000" w:themeColor="text1"/>
          <w:sz w:val="16"/>
          <w:szCs w:val="16"/>
        </w:rPr>
      </w:pPr>
    </w:p>
    <w:p w14:paraId="333E56E7" w14:textId="77777777" w:rsidR="001470B0" w:rsidRPr="0044524F" w:rsidRDefault="001470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апреля 1933 г. впервые на трех шахтах Мясницкого радиуса наметился существенный прогресс. Прочие шахты и дистанции следовало сначала реконструировать, перестроить с закрытого на открытый способ работ или заложить заново. На Фрунзенском и Арбатском радиусе пока велись лишь подготовительные работы. С апреля по июль 1933 г. дистанции и некоторые новые шахты Мясницкого радиуса были буквально взяты с боем.</w:t>
      </w:r>
    </w:p>
    <w:p w14:paraId="7998B275" w14:textId="77777777" w:rsidR="001470B0" w:rsidRPr="0044524F" w:rsidRDefault="001470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шахтах, где столкнулись с водоносными слоями грунта и плавучими песками, оказался неприемлем способ проходки штольни с помощью деревянной крепи, практиковавшийся специалистами из Донбасса. Появились деформации, частичное обрушение и повреждение зданий. Ряд шахт пришлось законсервировать{491}до тех пор, пока благодаря кессонной технологии не появилась возможность прорыва в этой области. 22 апреля 1933 г. под руководством инженеров Кучеренко и Тесленко былсоздан кессонный отдел, в ведение которого перешли работы на «замороженных» шахтах{492}.По настоянию Хрущева на особо тяжелом участке южнее Казанского вокзала, где пришлось преодолевать подземную речку Ольховку, кессонную технику стали использоватьне только при проходке вертикальных шахт, но </w:t>
      </w:r>
      <w:r w:rsidRPr="0044524F">
        <w:rPr>
          <w:rFonts w:ascii="Times New Roman" w:hAnsi="Times New Roman"/>
          <w:color w:val="000000" w:themeColor="text1"/>
          <w:sz w:val="16"/>
          <w:szCs w:val="16"/>
        </w:rPr>
        <w:lastRenderedPageBreak/>
        <w:t>и при прокладке горизонтальных тоннелей. Для этого на поверхности изготавливали 25-метровые бетонные фрагменты тоннеля, которые укладывались друг за другом, пока кессон не достигал проектной глубины{493} (18299).</w:t>
      </w:r>
    </w:p>
    <w:p w14:paraId="72032AD6" w14:textId="77777777" w:rsidR="001470B0" w:rsidRPr="0044524F" w:rsidRDefault="001470B0" w:rsidP="009654CF">
      <w:pPr>
        <w:spacing w:after="0" w:line="240" w:lineRule="auto"/>
        <w:jc w:val="both"/>
        <w:rPr>
          <w:rFonts w:ascii="Times New Roman" w:hAnsi="Times New Roman"/>
          <w:color w:val="000000" w:themeColor="text1"/>
          <w:sz w:val="16"/>
          <w:szCs w:val="16"/>
        </w:rPr>
      </w:pPr>
    </w:p>
    <w:p w14:paraId="7E8F4927"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9F64F48"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594C6F9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апреля 1933 года Базилевич писал письмо № 484/ко в НК РКИ Куйбышеву Н.В.</w:t>
      </w:r>
    </w:p>
    <w:p w14:paraId="64611BE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указанию Куйбышева В.В., прошу доложить ему ваши соображения о возможности включения в число авиационных вопросов, подлежащих рассмотрению комиссии Куйбышева В.В., также и доклад о выполнении плана опытного самолето- и моторостроения (по справке Алкснис к заседанию РВС’С констатируется срыв задания Правительства).</w:t>
      </w:r>
    </w:p>
    <w:p w14:paraId="7C77CA3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комиссии Куйбышева В.В. состоится 10 апреля 1933 года в 7 часов вечера (4223, 39).</w:t>
      </w:r>
    </w:p>
    <w:p w14:paraId="1A95E917"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041BDEEA"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C437C64"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0407E9D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7 и 12 апреля 1933. Из протокола заседания Политбюро N 136, 1933 г.</w:t>
      </w:r>
    </w:p>
    <w:p w14:paraId="3EA1901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выдаче паспортов в г. Москве и 100-километровой зоне </w:t>
      </w:r>
    </w:p>
    <w:p w14:paraId="5722107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Утвердить следующие предложения комиссии тов. Калинина: </w:t>
      </w:r>
    </w:p>
    <w:p w14:paraId="50DF331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Признать, что каких-либо изменений в изданную инструкцию вносить в настоящее время не следует. </w:t>
      </w:r>
    </w:p>
    <w:p w14:paraId="1DB9107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Разъяснить, что все лица, не получившие паспортов в Москве и 100-километровой зоне и др. пунктах, где проводится паспортизация в первую очередь, имеют право свободного проживания во всех других местах Союза ССР и прописка их на жительство в местах их выбора обязательна. </w:t>
      </w:r>
    </w:p>
    <w:p w14:paraId="5FB8934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Учитывая возможное расширительное толкование и применение пунктов инструкции о невыдаче паспортов по судимости в сельских местностях (100-километровой зоне) по отдельным статьям УК (как, например, 107 ст. УК РСФСР и др., по которым не установлена норма репрессии), дать соответствующее разъяснение, устраняющее расширительное применение практики невыдачи паспортов в отношении постоянных жителей сельских местностей. </w:t>
      </w:r>
    </w:p>
    <w:p w14:paraId="46F69E3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 Также признать целесообразным выдавать паспорта в отдельных случаях тем лицам в сельских местностях (100-километровой зоне), в отношении которых старая судимость, хотя формально и не допускает выдачи паспорта, но может быть покрыта их добросовестным исполнением в настоящее время государственных обязательств и хорошим поведением... </w:t>
      </w:r>
    </w:p>
    <w:p w14:paraId="7E1FE61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Последнее в особенности должно проводиться в отношении крестьян-единоличников, имеющих озимый посев и выполнивших обязательства к весеннему севу. </w:t>
      </w:r>
    </w:p>
    <w:p w14:paraId="28CAD8D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Указать на необходимость особо внимательного подхода к разрешению вопросов о лишении паспортов стариков — отцов и матерей, детям которых паспорта выданы. </w:t>
      </w:r>
    </w:p>
    <w:p w14:paraId="08EDC43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 Бывшим служителям культов, снявшим с себя сан, но лишенным избирательных прав, как правило, паспорта выдавать. </w:t>
      </w:r>
    </w:p>
    <w:p w14:paraId="248E35F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е) Признать необходимым лицам многосемейным, не получившим паспорта и подлежащим выезду, предоставлять льготный срок для выезда с 10-ти дней до 1 месяца. </w:t>
      </w:r>
    </w:p>
    <w:p w14:paraId="7EB954D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Поручить Главному Управлению милиции дать указание своим местным органам в соответствии с п.п. "б" по "е" настоящего постановления (11652).</w:t>
      </w:r>
    </w:p>
    <w:p w14:paraId="26F7BB15"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08D0D08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7 и 12 апреля 1933. Из протокола заседания Политбюро N 34, 1933 г.</w:t>
      </w:r>
    </w:p>
    <w:p w14:paraId="4DDB76F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Северо-Кавказского крайкома </w:t>
      </w:r>
    </w:p>
    <w:p w14:paraId="7770ECD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Принять следующее предложение тт. Шеболдаева и Ларина: </w:t>
      </w:r>
    </w:p>
    <w:p w14:paraId="423A52D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Выслать в первую очередь до начала курортного сезона не позднее 15 апреля из Сочинского и Туапсинского районов 3000 семейств и из группы минводских курортов 2000 семейств контрреволюционных, паразитических и деклассированных элементов, засоряющих курортные районы (11652).</w:t>
      </w:r>
    </w:p>
    <w:p w14:paraId="5288C311"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63B04F85" w14:textId="77777777" w:rsidR="00CB1AF9" w:rsidRPr="0044524F" w:rsidRDefault="00CB1AF9"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DE7942E" w14:textId="77777777" w:rsidR="00CB1AF9" w:rsidRPr="0044524F" w:rsidRDefault="00CB1AF9" w:rsidP="009654CF">
      <w:pPr>
        <w:spacing w:after="0" w:line="240" w:lineRule="auto"/>
        <w:jc w:val="both"/>
        <w:rPr>
          <w:rFonts w:ascii="Times New Roman" w:hAnsi="Times New Roman"/>
          <w:iCs/>
          <w:color w:val="000000" w:themeColor="text1"/>
          <w:sz w:val="16"/>
          <w:szCs w:val="16"/>
        </w:rPr>
      </w:pPr>
    </w:p>
    <w:p w14:paraId="382C9402" w14:textId="77777777" w:rsidR="00CB1AF9" w:rsidRPr="0044524F" w:rsidRDefault="00CB1AF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апреля 1933 г. председатель правления Амторга П.А. Богданов обратился к Сталину с письмом о необходимости расширения техпомощи из США. 6 января 1934 г. об этом писал руководитель тяжелой промышленности С. Орджоникидзе, понимая важность использования высокой технологии США11. 15 февраля 1934 г. журнал "Анналист" отмечал, что признание СССР увеличивает надежду на немедленное расширение с ним торговли, поскольку он нуждается в оборудовании для промышленности, сельского хозяйства и транспорта. Производство автомобилей в СССР ежегодно 35 — 50 тыс. штук — это "только капля в море". "Анналист" признавал, что Советский Союз является крупным потенциальным рынком, но проблема состоит в платежах. Он желает получить долгосрочные кредиты. Резкое падение экспорта США в СССР в 1932 и 1933 гг. побуждает СССР перенести свои заказы в Европу. В 1933 г. товарооборот между США и СССР сократился до самого низкого уровня после 1923 г. (18280).</w:t>
      </w:r>
    </w:p>
    <w:p w14:paraId="2136EEC4" w14:textId="77777777" w:rsidR="00CB1AF9" w:rsidRPr="0044524F" w:rsidRDefault="00CB1AF9" w:rsidP="009654CF">
      <w:pPr>
        <w:spacing w:after="0" w:line="240" w:lineRule="auto"/>
        <w:jc w:val="both"/>
        <w:rPr>
          <w:rFonts w:ascii="Times New Roman" w:hAnsi="Times New Roman"/>
          <w:color w:val="000000" w:themeColor="text1"/>
          <w:sz w:val="16"/>
          <w:szCs w:val="16"/>
        </w:rPr>
      </w:pPr>
    </w:p>
    <w:p w14:paraId="5372871B"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BB5EF99"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3DB5A3C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апреля 1933 состоялось заседание комиссии К.Е.Ворошилова "Об опытном самолето- и моторостроении". Образовали три подкомиссии:</w:t>
      </w:r>
    </w:p>
    <w:p w14:paraId="7C5942B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самолето- и моторостроению - Егоров - пред. и был А.Н.Т.;</w:t>
      </w:r>
    </w:p>
    <w:p w14:paraId="07623C0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вооружению - пред. М.Н.Тухачевский и был А.Н.Т.;</w:t>
      </w:r>
    </w:p>
    <w:p w14:paraId="5EA4C93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 горючему (1025,68).</w:t>
      </w:r>
    </w:p>
    <w:p w14:paraId="72C7BDB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По-видимому где-то в 1933 эта комиссия проанализировала план опытного самолетостроения (351):</w:t>
      </w:r>
    </w:p>
    <w:p w14:paraId="73C6BA1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ОПЫТНОГО САМОЛЕТОСТРОЕНИЯ</w:t>
      </w:r>
    </w:p>
    <w:p w14:paraId="29DD509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СОСТОЯНИЕ ПЛАНОВЫХ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041"/>
        <w:gridCol w:w="1145"/>
        <w:gridCol w:w="5177"/>
      </w:tblGrid>
      <w:tr w:rsidR="004E10C1" w:rsidRPr="0044524F" w14:paraId="4A92437D" w14:textId="77777777">
        <w:tc>
          <w:tcPr>
            <w:tcW w:w="2235" w:type="dxa"/>
          </w:tcPr>
          <w:p w14:paraId="2A692A5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 п/п</w:t>
            </w:r>
          </w:p>
        </w:tc>
        <w:tc>
          <w:tcPr>
            <w:tcW w:w="2041" w:type="dxa"/>
          </w:tcPr>
          <w:p w14:paraId="1F8A06A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самолета</w:t>
            </w:r>
          </w:p>
        </w:tc>
        <w:tc>
          <w:tcPr>
            <w:tcW w:w="1145" w:type="dxa"/>
          </w:tcPr>
          <w:p w14:paraId="0D2DED3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утв. Правит.</w:t>
            </w:r>
          </w:p>
        </w:tc>
        <w:tc>
          <w:tcPr>
            <w:tcW w:w="5177" w:type="dxa"/>
          </w:tcPr>
          <w:p w14:paraId="35F31C5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установл.</w:t>
            </w:r>
          </w:p>
        </w:tc>
      </w:tr>
      <w:tr w:rsidR="004E10C1" w:rsidRPr="0044524F" w14:paraId="09019237" w14:textId="77777777">
        <w:tc>
          <w:tcPr>
            <w:tcW w:w="2235" w:type="dxa"/>
          </w:tcPr>
          <w:p w14:paraId="6833FA1C"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41" w:type="dxa"/>
          </w:tcPr>
          <w:p w14:paraId="2D0EECFF"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30A6D0E6"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77" w:type="dxa"/>
          </w:tcPr>
          <w:p w14:paraId="0AA8CE5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 Р.В.С.</w:t>
            </w:r>
          </w:p>
        </w:tc>
      </w:tr>
      <w:tr w:rsidR="004E10C1" w:rsidRPr="0044524F" w14:paraId="645573E0" w14:textId="77777777">
        <w:tc>
          <w:tcPr>
            <w:tcW w:w="2235" w:type="dxa"/>
          </w:tcPr>
          <w:p w14:paraId="1C5305F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041" w:type="dxa"/>
          </w:tcPr>
          <w:p w14:paraId="3817F71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 оп.</w:t>
            </w:r>
          </w:p>
        </w:tc>
        <w:tc>
          <w:tcPr>
            <w:tcW w:w="1145" w:type="dxa"/>
          </w:tcPr>
          <w:p w14:paraId="0A6E456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01.11.1932</w:t>
            </w:r>
          </w:p>
        </w:tc>
        <w:tc>
          <w:tcPr>
            <w:tcW w:w="5177" w:type="dxa"/>
          </w:tcPr>
          <w:p w14:paraId="436A694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15.05.1932</w:t>
            </w:r>
          </w:p>
        </w:tc>
      </w:tr>
      <w:tr w:rsidR="004E10C1" w:rsidRPr="0044524F" w14:paraId="56EB675C" w14:textId="77777777">
        <w:tc>
          <w:tcPr>
            <w:tcW w:w="2235" w:type="dxa"/>
          </w:tcPr>
          <w:p w14:paraId="3D4B4339"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41" w:type="dxa"/>
          </w:tcPr>
          <w:p w14:paraId="0B5EBC4D"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4C6A7A3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исп.</w:t>
            </w:r>
          </w:p>
        </w:tc>
        <w:tc>
          <w:tcPr>
            <w:tcW w:w="5177" w:type="dxa"/>
          </w:tcPr>
          <w:p w14:paraId="2BE04CB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исп.</w:t>
            </w:r>
          </w:p>
        </w:tc>
      </w:tr>
      <w:tr w:rsidR="004E10C1" w:rsidRPr="0044524F" w14:paraId="1E29D174" w14:textId="77777777">
        <w:tc>
          <w:tcPr>
            <w:tcW w:w="2235" w:type="dxa"/>
          </w:tcPr>
          <w:p w14:paraId="1FE929B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2041" w:type="dxa"/>
          </w:tcPr>
          <w:p w14:paraId="4EF102A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ТБ4-6М34Ф гол.</w:t>
            </w:r>
          </w:p>
        </w:tc>
        <w:tc>
          <w:tcPr>
            <w:tcW w:w="1145" w:type="dxa"/>
          </w:tcPr>
          <w:p w14:paraId="0F009A7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01.06.1933</w:t>
            </w:r>
          </w:p>
        </w:tc>
        <w:tc>
          <w:tcPr>
            <w:tcW w:w="5177" w:type="dxa"/>
          </w:tcPr>
          <w:p w14:paraId="2532852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15.11.1933</w:t>
            </w:r>
          </w:p>
        </w:tc>
      </w:tr>
      <w:tr w:rsidR="004E10C1" w:rsidRPr="0044524F" w14:paraId="21C16965" w14:textId="77777777">
        <w:tc>
          <w:tcPr>
            <w:tcW w:w="2235" w:type="dxa"/>
          </w:tcPr>
          <w:p w14:paraId="455504CA"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41" w:type="dxa"/>
          </w:tcPr>
          <w:p w14:paraId="69A59551"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105E3FC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w:t>
            </w:r>
          </w:p>
        </w:tc>
        <w:tc>
          <w:tcPr>
            <w:tcW w:w="5177" w:type="dxa"/>
          </w:tcPr>
          <w:p w14:paraId="0AC0CE9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исп.</w:t>
            </w:r>
          </w:p>
        </w:tc>
      </w:tr>
      <w:tr w:rsidR="004E10C1" w:rsidRPr="0044524F" w14:paraId="535E959C" w14:textId="77777777">
        <w:tc>
          <w:tcPr>
            <w:tcW w:w="2235" w:type="dxa"/>
          </w:tcPr>
          <w:p w14:paraId="13F4FD9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2041" w:type="dxa"/>
          </w:tcPr>
          <w:p w14:paraId="38B06E2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ТБ3-4М34РН</w:t>
            </w:r>
          </w:p>
        </w:tc>
        <w:tc>
          <w:tcPr>
            <w:tcW w:w="1145" w:type="dxa"/>
          </w:tcPr>
          <w:p w14:paraId="637EBD2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177" w:type="dxa"/>
          </w:tcPr>
          <w:p w14:paraId="102AC1E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01.10.1934</w:t>
            </w:r>
          </w:p>
        </w:tc>
      </w:tr>
      <w:tr w:rsidR="004E10C1" w:rsidRPr="0044524F" w14:paraId="09B779C8" w14:textId="77777777">
        <w:tc>
          <w:tcPr>
            <w:tcW w:w="2235" w:type="dxa"/>
          </w:tcPr>
          <w:p w14:paraId="6E9E6CD1"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41" w:type="dxa"/>
          </w:tcPr>
          <w:p w14:paraId="4EC18463"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7100AA8B"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77" w:type="dxa"/>
          </w:tcPr>
          <w:p w14:paraId="419B9BD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w:t>
            </w:r>
          </w:p>
        </w:tc>
      </w:tr>
      <w:tr w:rsidR="004E10C1" w:rsidRPr="0044524F" w14:paraId="1A0CFA63" w14:textId="77777777">
        <w:tc>
          <w:tcPr>
            <w:tcW w:w="2235" w:type="dxa"/>
          </w:tcPr>
          <w:p w14:paraId="5EC790D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2041" w:type="dxa"/>
          </w:tcPr>
          <w:p w14:paraId="290DA31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оп.</w:t>
            </w:r>
          </w:p>
        </w:tc>
        <w:tc>
          <w:tcPr>
            <w:tcW w:w="1145" w:type="dxa"/>
          </w:tcPr>
          <w:p w14:paraId="0B36684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01.01.1933</w:t>
            </w:r>
          </w:p>
        </w:tc>
        <w:tc>
          <w:tcPr>
            <w:tcW w:w="5177" w:type="dxa"/>
          </w:tcPr>
          <w:p w14:paraId="414BF54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01.09.1933</w:t>
            </w:r>
          </w:p>
        </w:tc>
      </w:tr>
      <w:tr w:rsidR="004E10C1" w:rsidRPr="0044524F" w14:paraId="6FE9DF1C" w14:textId="77777777">
        <w:tc>
          <w:tcPr>
            <w:tcW w:w="2235" w:type="dxa"/>
          </w:tcPr>
          <w:p w14:paraId="7EEE62C8"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41" w:type="dxa"/>
          </w:tcPr>
          <w:p w14:paraId="1A50830D"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1DC04EE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исп.</w:t>
            </w:r>
          </w:p>
        </w:tc>
        <w:tc>
          <w:tcPr>
            <w:tcW w:w="5177" w:type="dxa"/>
          </w:tcPr>
          <w:p w14:paraId="759F00A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w:t>
            </w:r>
          </w:p>
        </w:tc>
      </w:tr>
      <w:tr w:rsidR="004E10C1" w:rsidRPr="0044524F" w14:paraId="0CBEEAE8" w14:textId="77777777">
        <w:tc>
          <w:tcPr>
            <w:tcW w:w="2235" w:type="dxa"/>
          </w:tcPr>
          <w:p w14:paraId="7A21358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2041" w:type="dxa"/>
          </w:tcPr>
          <w:p w14:paraId="670F355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МК-6М34Р</w:t>
            </w:r>
          </w:p>
        </w:tc>
        <w:tc>
          <w:tcPr>
            <w:tcW w:w="1145" w:type="dxa"/>
          </w:tcPr>
          <w:p w14:paraId="4D7F08F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01.12.1933</w:t>
            </w:r>
          </w:p>
        </w:tc>
        <w:tc>
          <w:tcPr>
            <w:tcW w:w="5177" w:type="dxa"/>
          </w:tcPr>
          <w:p w14:paraId="1D8830A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01.08.1934</w:t>
            </w:r>
          </w:p>
        </w:tc>
      </w:tr>
      <w:tr w:rsidR="004E10C1" w:rsidRPr="0044524F" w14:paraId="664A9038" w14:textId="77777777">
        <w:tc>
          <w:tcPr>
            <w:tcW w:w="2235" w:type="dxa"/>
          </w:tcPr>
          <w:p w14:paraId="13468C44"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41" w:type="dxa"/>
          </w:tcPr>
          <w:p w14:paraId="147FD935"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07BC8B31"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77" w:type="dxa"/>
          </w:tcPr>
          <w:p w14:paraId="67348E7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w:t>
            </w:r>
          </w:p>
        </w:tc>
      </w:tr>
      <w:tr w:rsidR="004E10C1" w:rsidRPr="0044524F" w14:paraId="47BE21B3" w14:textId="77777777">
        <w:tc>
          <w:tcPr>
            <w:tcW w:w="2235" w:type="dxa"/>
          </w:tcPr>
          <w:p w14:paraId="558BB37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2041" w:type="dxa"/>
          </w:tcPr>
          <w:p w14:paraId="6B71F25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МДР4-3М34Р</w:t>
            </w:r>
          </w:p>
        </w:tc>
        <w:tc>
          <w:tcPr>
            <w:tcW w:w="1145" w:type="dxa"/>
          </w:tcPr>
          <w:p w14:paraId="0D6AE05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177" w:type="dxa"/>
          </w:tcPr>
          <w:p w14:paraId="582CBF9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01.07.1934</w:t>
            </w:r>
          </w:p>
        </w:tc>
      </w:tr>
      <w:tr w:rsidR="004E10C1" w:rsidRPr="0044524F" w14:paraId="429C2E89" w14:textId="77777777">
        <w:tc>
          <w:tcPr>
            <w:tcW w:w="2235" w:type="dxa"/>
          </w:tcPr>
          <w:p w14:paraId="641FABD0"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41" w:type="dxa"/>
          </w:tcPr>
          <w:p w14:paraId="2E0F37F6"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18E29357"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77" w:type="dxa"/>
          </w:tcPr>
          <w:p w14:paraId="473B223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w:t>
            </w:r>
          </w:p>
        </w:tc>
      </w:tr>
      <w:tr w:rsidR="004E10C1" w:rsidRPr="0044524F" w14:paraId="1213447B" w14:textId="77777777">
        <w:tc>
          <w:tcPr>
            <w:tcW w:w="2235" w:type="dxa"/>
          </w:tcPr>
          <w:p w14:paraId="7CB20B1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2041" w:type="dxa"/>
          </w:tcPr>
          <w:p w14:paraId="556082F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ЛР-М34</w:t>
            </w:r>
          </w:p>
        </w:tc>
        <w:tc>
          <w:tcPr>
            <w:tcW w:w="1145" w:type="dxa"/>
          </w:tcPr>
          <w:p w14:paraId="728C2EB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01.07.1933</w:t>
            </w:r>
          </w:p>
        </w:tc>
        <w:tc>
          <w:tcPr>
            <w:tcW w:w="5177" w:type="dxa"/>
          </w:tcPr>
          <w:p w14:paraId="06E81FA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01.09.1933</w:t>
            </w:r>
          </w:p>
        </w:tc>
      </w:tr>
      <w:tr w:rsidR="004E10C1" w:rsidRPr="0044524F" w14:paraId="3B464B31" w14:textId="77777777">
        <w:tc>
          <w:tcPr>
            <w:tcW w:w="2235" w:type="dxa"/>
          </w:tcPr>
          <w:p w14:paraId="0836CB00"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41" w:type="dxa"/>
          </w:tcPr>
          <w:p w14:paraId="391667D6"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2B9A565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испыт.</w:t>
            </w:r>
          </w:p>
        </w:tc>
        <w:tc>
          <w:tcPr>
            <w:tcW w:w="5177" w:type="dxa"/>
          </w:tcPr>
          <w:p w14:paraId="5AEFC43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w:t>
            </w:r>
          </w:p>
        </w:tc>
      </w:tr>
      <w:tr w:rsidR="004E10C1" w:rsidRPr="0044524F" w14:paraId="54A23BDC" w14:textId="77777777">
        <w:tc>
          <w:tcPr>
            <w:tcW w:w="2235" w:type="dxa"/>
          </w:tcPr>
          <w:p w14:paraId="12BF63E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2041" w:type="dxa"/>
          </w:tcPr>
          <w:p w14:paraId="53686B3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w:t>
            </w:r>
          </w:p>
        </w:tc>
        <w:tc>
          <w:tcPr>
            <w:tcW w:w="1145" w:type="dxa"/>
          </w:tcPr>
          <w:p w14:paraId="67E6C03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01.07.1933</w:t>
            </w:r>
          </w:p>
        </w:tc>
        <w:tc>
          <w:tcPr>
            <w:tcW w:w="5177" w:type="dxa"/>
          </w:tcPr>
          <w:p w14:paraId="1A694C5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01.02.1934</w:t>
            </w:r>
          </w:p>
        </w:tc>
      </w:tr>
      <w:tr w:rsidR="004E10C1" w:rsidRPr="0044524F" w14:paraId="74D655D2" w14:textId="77777777">
        <w:tc>
          <w:tcPr>
            <w:tcW w:w="2235" w:type="dxa"/>
          </w:tcPr>
          <w:p w14:paraId="6EDF3EB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2041" w:type="dxa"/>
          </w:tcPr>
          <w:p w14:paraId="0576AE0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БМеркур</w:t>
            </w:r>
          </w:p>
        </w:tc>
        <w:tc>
          <w:tcPr>
            <w:tcW w:w="1145" w:type="dxa"/>
          </w:tcPr>
          <w:p w14:paraId="34FE320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177" w:type="dxa"/>
          </w:tcPr>
          <w:p w14:paraId="16D141C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15.07.1933</w:t>
            </w:r>
          </w:p>
        </w:tc>
      </w:tr>
      <w:tr w:rsidR="004E10C1" w:rsidRPr="0044524F" w14:paraId="281C97B9" w14:textId="77777777">
        <w:tc>
          <w:tcPr>
            <w:tcW w:w="2235" w:type="dxa"/>
          </w:tcPr>
          <w:p w14:paraId="5DA75F42"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41" w:type="dxa"/>
          </w:tcPr>
          <w:p w14:paraId="78FE5E7C"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517BB062"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77" w:type="dxa"/>
          </w:tcPr>
          <w:p w14:paraId="112A8AD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w:t>
            </w:r>
          </w:p>
        </w:tc>
      </w:tr>
      <w:tr w:rsidR="004E10C1" w:rsidRPr="0044524F" w14:paraId="0A27D81E" w14:textId="77777777">
        <w:tc>
          <w:tcPr>
            <w:tcW w:w="2235" w:type="dxa"/>
          </w:tcPr>
          <w:p w14:paraId="6BF54A3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2041" w:type="dxa"/>
          </w:tcPr>
          <w:p w14:paraId="3C2D91D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РЦ</w:t>
            </w:r>
          </w:p>
        </w:tc>
        <w:tc>
          <w:tcPr>
            <w:tcW w:w="1145" w:type="dxa"/>
          </w:tcPr>
          <w:p w14:paraId="3B41188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177" w:type="dxa"/>
          </w:tcPr>
          <w:p w14:paraId="4B5800E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01.02.1934</w:t>
            </w:r>
          </w:p>
        </w:tc>
      </w:tr>
      <w:tr w:rsidR="004E10C1" w:rsidRPr="0044524F" w14:paraId="1968654B" w14:textId="77777777">
        <w:tc>
          <w:tcPr>
            <w:tcW w:w="2235" w:type="dxa"/>
          </w:tcPr>
          <w:p w14:paraId="359AB8D6"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41" w:type="dxa"/>
          </w:tcPr>
          <w:p w14:paraId="0BB1BD97"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3CC30726"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77" w:type="dxa"/>
          </w:tcPr>
          <w:p w14:paraId="20F6069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w:t>
            </w:r>
          </w:p>
        </w:tc>
      </w:tr>
      <w:tr w:rsidR="004E10C1" w:rsidRPr="0044524F" w14:paraId="32A1AD4E" w14:textId="77777777">
        <w:tc>
          <w:tcPr>
            <w:tcW w:w="2235" w:type="dxa"/>
          </w:tcPr>
          <w:p w14:paraId="5502A0D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2041" w:type="dxa"/>
          </w:tcPr>
          <w:p w14:paraId="60E0896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РЦ</w:t>
            </w:r>
          </w:p>
        </w:tc>
        <w:tc>
          <w:tcPr>
            <w:tcW w:w="1145" w:type="dxa"/>
          </w:tcPr>
          <w:p w14:paraId="2105257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177" w:type="dxa"/>
          </w:tcPr>
          <w:p w14:paraId="5D7A29C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01.12.1933</w:t>
            </w:r>
          </w:p>
        </w:tc>
      </w:tr>
      <w:tr w:rsidR="004E10C1" w:rsidRPr="0044524F" w14:paraId="6F18F831" w14:textId="77777777">
        <w:tc>
          <w:tcPr>
            <w:tcW w:w="2235" w:type="dxa"/>
          </w:tcPr>
          <w:p w14:paraId="7F82666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2041" w:type="dxa"/>
          </w:tcPr>
          <w:p w14:paraId="489F217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И-15-М58</w:t>
            </w:r>
          </w:p>
        </w:tc>
        <w:tc>
          <w:tcPr>
            <w:tcW w:w="1145" w:type="dxa"/>
          </w:tcPr>
          <w:p w14:paraId="1BD36D95"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77" w:type="dxa"/>
          </w:tcPr>
          <w:p w14:paraId="191FAC1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6 мес. после</w:t>
            </w:r>
          </w:p>
        </w:tc>
      </w:tr>
      <w:tr w:rsidR="004E10C1" w:rsidRPr="0044524F" w14:paraId="5CEE1F6B" w14:textId="77777777">
        <w:tc>
          <w:tcPr>
            <w:tcW w:w="2235" w:type="dxa"/>
          </w:tcPr>
          <w:p w14:paraId="2BF65ED9"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41" w:type="dxa"/>
          </w:tcPr>
          <w:p w14:paraId="25A165CD"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3BCB4170"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77" w:type="dxa"/>
          </w:tcPr>
          <w:p w14:paraId="7F9A48F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поставки мотора</w:t>
            </w:r>
          </w:p>
        </w:tc>
      </w:tr>
      <w:tr w:rsidR="004E10C1" w:rsidRPr="0044524F" w14:paraId="1EDA7FE5" w14:textId="77777777">
        <w:tc>
          <w:tcPr>
            <w:tcW w:w="2235" w:type="dxa"/>
          </w:tcPr>
          <w:p w14:paraId="3638371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С62-М34</w:t>
            </w:r>
          </w:p>
        </w:tc>
        <w:tc>
          <w:tcPr>
            <w:tcW w:w="2041" w:type="dxa"/>
          </w:tcPr>
          <w:p w14:paraId="25A66ACA"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5" w:type="dxa"/>
          </w:tcPr>
          <w:p w14:paraId="7C5B7D6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01.01.1933</w:t>
            </w:r>
          </w:p>
        </w:tc>
        <w:tc>
          <w:tcPr>
            <w:tcW w:w="5177" w:type="dxa"/>
          </w:tcPr>
          <w:p w14:paraId="5CE6D73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01.08.1933</w:t>
            </w:r>
          </w:p>
        </w:tc>
      </w:tr>
    </w:tbl>
    <w:p w14:paraId="3F6928C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ЭКСПЕРИМЕТАЛЬНЫЕ РАБОТЫ ПО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059"/>
        <w:gridCol w:w="1146"/>
        <w:gridCol w:w="5158"/>
      </w:tblGrid>
      <w:tr w:rsidR="004E10C1" w:rsidRPr="0044524F" w14:paraId="6A0F2DE8" w14:textId="77777777">
        <w:tc>
          <w:tcPr>
            <w:tcW w:w="2235" w:type="dxa"/>
          </w:tcPr>
          <w:p w14:paraId="404EBAD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w:t>
            </w:r>
          </w:p>
        </w:tc>
        <w:tc>
          <w:tcPr>
            <w:tcW w:w="2059" w:type="dxa"/>
          </w:tcPr>
          <w:p w14:paraId="2763257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ДИП-2М34</w:t>
            </w:r>
          </w:p>
        </w:tc>
        <w:tc>
          <w:tcPr>
            <w:tcW w:w="1146" w:type="dxa"/>
          </w:tcPr>
          <w:p w14:paraId="21A24CFC"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6A701CD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01.10.1933</w:t>
            </w:r>
          </w:p>
        </w:tc>
      </w:tr>
      <w:tr w:rsidR="004E10C1" w:rsidRPr="0044524F" w14:paraId="45F61824" w14:textId="77777777">
        <w:tc>
          <w:tcPr>
            <w:tcW w:w="2235" w:type="dxa"/>
          </w:tcPr>
          <w:p w14:paraId="63611A4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2059" w:type="dxa"/>
          </w:tcPr>
          <w:p w14:paraId="1F39554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СК-2М32</w:t>
            </w:r>
          </w:p>
        </w:tc>
        <w:tc>
          <w:tcPr>
            <w:tcW w:w="1146" w:type="dxa"/>
          </w:tcPr>
          <w:p w14:paraId="758975EF"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357E364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01.10.1933</w:t>
            </w:r>
          </w:p>
        </w:tc>
      </w:tr>
      <w:tr w:rsidR="004E10C1" w:rsidRPr="0044524F" w14:paraId="1DDA44C4" w14:textId="77777777">
        <w:tc>
          <w:tcPr>
            <w:tcW w:w="2235" w:type="dxa"/>
          </w:tcPr>
          <w:p w14:paraId="0D08F3B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2059" w:type="dxa"/>
          </w:tcPr>
          <w:p w14:paraId="2B79CC9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w:t>
            </w:r>
          </w:p>
        </w:tc>
        <w:tc>
          <w:tcPr>
            <w:tcW w:w="1146" w:type="dxa"/>
          </w:tcPr>
          <w:p w14:paraId="7AAB2115"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12212D7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01.06.1933</w:t>
            </w:r>
          </w:p>
        </w:tc>
      </w:tr>
      <w:tr w:rsidR="004E10C1" w:rsidRPr="0044524F" w14:paraId="3FEE57E3" w14:textId="77777777">
        <w:tc>
          <w:tcPr>
            <w:tcW w:w="2235" w:type="dxa"/>
          </w:tcPr>
          <w:p w14:paraId="598CC37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2059" w:type="dxa"/>
          </w:tcPr>
          <w:p w14:paraId="0833387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ВС-2М22</w:t>
            </w:r>
          </w:p>
        </w:tc>
        <w:tc>
          <w:tcPr>
            <w:tcW w:w="1146" w:type="dxa"/>
          </w:tcPr>
          <w:p w14:paraId="30093832"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6CBD944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01.07.1933</w:t>
            </w:r>
          </w:p>
        </w:tc>
      </w:tr>
      <w:tr w:rsidR="004E10C1" w:rsidRPr="0044524F" w14:paraId="41E42F11" w14:textId="77777777">
        <w:tc>
          <w:tcPr>
            <w:tcW w:w="2235" w:type="dxa"/>
          </w:tcPr>
          <w:p w14:paraId="35AE6F1D"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59" w:type="dxa"/>
          </w:tcPr>
          <w:p w14:paraId="7FE98898"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6" w:type="dxa"/>
          </w:tcPr>
          <w:p w14:paraId="3D2A1FFD"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1419EEA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аэрод.</w:t>
            </w:r>
          </w:p>
        </w:tc>
      </w:tr>
      <w:tr w:rsidR="004E10C1" w:rsidRPr="0044524F" w14:paraId="7982DF21" w14:textId="77777777">
        <w:tc>
          <w:tcPr>
            <w:tcW w:w="2235" w:type="dxa"/>
          </w:tcPr>
          <w:p w14:paraId="69EE68D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2059" w:type="dxa"/>
          </w:tcPr>
          <w:p w14:paraId="7A387C0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К-7-7М34</w:t>
            </w:r>
          </w:p>
        </w:tc>
        <w:tc>
          <w:tcPr>
            <w:tcW w:w="1146" w:type="dxa"/>
          </w:tcPr>
          <w:p w14:paraId="63FC2CA1"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5C490CF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01.05.1933</w:t>
            </w:r>
          </w:p>
        </w:tc>
      </w:tr>
      <w:tr w:rsidR="004E10C1" w:rsidRPr="0044524F" w14:paraId="1688151E" w14:textId="77777777">
        <w:tc>
          <w:tcPr>
            <w:tcW w:w="2235" w:type="dxa"/>
          </w:tcPr>
          <w:p w14:paraId="2CB6E3CF"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059" w:type="dxa"/>
          </w:tcPr>
          <w:p w14:paraId="7F4E488C"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6" w:type="dxa"/>
          </w:tcPr>
          <w:p w14:paraId="79422695"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79CF088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аэрод.</w:t>
            </w:r>
          </w:p>
        </w:tc>
      </w:tr>
      <w:tr w:rsidR="004E10C1" w:rsidRPr="0044524F" w14:paraId="36CD2B79" w14:textId="77777777">
        <w:tc>
          <w:tcPr>
            <w:tcW w:w="2235" w:type="dxa"/>
          </w:tcPr>
          <w:p w14:paraId="7D9ED82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2059" w:type="dxa"/>
          </w:tcPr>
          <w:p w14:paraId="51D7D34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Стат. сам. М34</w:t>
            </w:r>
          </w:p>
        </w:tc>
        <w:tc>
          <w:tcPr>
            <w:tcW w:w="1146" w:type="dxa"/>
          </w:tcPr>
          <w:p w14:paraId="5FD0DC66"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6AA4293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01.04.1933</w:t>
            </w:r>
          </w:p>
        </w:tc>
      </w:tr>
      <w:tr w:rsidR="004E10C1" w:rsidRPr="0044524F" w14:paraId="4AA56CB7" w14:textId="77777777">
        <w:tc>
          <w:tcPr>
            <w:tcW w:w="2235" w:type="dxa"/>
          </w:tcPr>
          <w:p w14:paraId="78097F4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2059" w:type="dxa"/>
          </w:tcPr>
          <w:p w14:paraId="1F65653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 крыло 2М11</w:t>
            </w:r>
          </w:p>
        </w:tc>
        <w:tc>
          <w:tcPr>
            <w:tcW w:w="1146" w:type="dxa"/>
          </w:tcPr>
          <w:p w14:paraId="0FE9E54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01.10.1933</w:t>
            </w:r>
          </w:p>
        </w:tc>
        <w:tc>
          <w:tcPr>
            <w:tcW w:w="5158" w:type="dxa"/>
          </w:tcPr>
          <w:p w14:paraId="1B0C870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установит ГУАП к 01.07.1933</w:t>
            </w:r>
          </w:p>
        </w:tc>
      </w:tr>
      <w:tr w:rsidR="004E10C1" w:rsidRPr="0044524F" w14:paraId="0D7194BC" w14:textId="77777777">
        <w:tc>
          <w:tcPr>
            <w:tcW w:w="2235" w:type="dxa"/>
          </w:tcPr>
          <w:p w14:paraId="4748796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2059" w:type="dxa"/>
          </w:tcPr>
          <w:p w14:paraId="426644D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 крыло Кричевского</w:t>
            </w:r>
          </w:p>
        </w:tc>
        <w:tc>
          <w:tcPr>
            <w:tcW w:w="1146" w:type="dxa"/>
          </w:tcPr>
          <w:p w14:paraId="686C304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01.07.1932</w:t>
            </w:r>
          </w:p>
        </w:tc>
        <w:tc>
          <w:tcPr>
            <w:tcW w:w="5158" w:type="dxa"/>
          </w:tcPr>
          <w:p w14:paraId="19848F13"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r w:rsidR="004E10C1" w:rsidRPr="0044524F" w14:paraId="77C09A23" w14:textId="77777777">
        <w:tc>
          <w:tcPr>
            <w:tcW w:w="2235" w:type="dxa"/>
          </w:tcPr>
          <w:p w14:paraId="5963B90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w:t>
            </w:r>
          </w:p>
        </w:tc>
        <w:tc>
          <w:tcPr>
            <w:tcW w:w="2059" w:type="dxa"/>
          </w:tcPr>
          <w:p w14:paraId="61BF0FD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w:t>
            </w:r>
          </w:p>
        </w:tc>
        <w:tc>
          <w:tcPr>
            <w:tcW w:w="1146" w:type="dxa"/>
          </w:tcPr>
          <w:p w14:paraId="79D0CA48"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59ED180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01.12.1934</w:t>
            </w:r>
          </w:p>
        </w:tc>
      </w:tr>
      <w:tr w:rsidR="004E10C1" w:rsidRPr="0044524F" w14:paraId="3F7453C7" w14:textId="77777777">
        <w:tc>
          <w:tcPr>
            <w:tcW w:w="2235" w:type="dxa"/>
          </w:tcPr>
          <w:p w14:paraId="32E634B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2059" w:type="dxa"/>
          </w:tcPr>
          <w:p w14:paraId="4482129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ВГ2</w:t>
            </w:r>
          </w:p>
        </w:tc>
        <w:tc>
          <w:tcPr>
            <w:tcW w:w="1146" w:type="dxa"/>
          </w:tcPr>
          <w:p w14:paraId="4D104C8D"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0555965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01.07.1932</w:t>
            </w:r>
          </w:p>
        </w:tc>
      </w:tr>
      <w:tr w:rsidR="004E10C1" w:rsidRPr="0044524F" w14:paraId="04FBFAEB" w14:textId="77777777">
        <w:tc>
          <w:tcPr>
            <w:tcW w:w="2235" w:type="dxa"/>
          </w:tcPr>
          <w:p w14:paraId="6CBED58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2059" w:type="dxa"/>
          </w:tcPr>
          <w:p w14:paraId="70128CE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М22</w:t>
            </w:r>
          </w:p>
        </w:tc>
        <w:tc>
          <w:tcPr>
            <w:tcW w:w="1146" w:type="dxa"/>
          </w:tcPr>
          <w:p w14:paraId="12B3A939"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116FB19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01.01.1933</w:t>
            </w:r>
          </w:p>
        </w:tc>
      </w:tr>
      <w:tr w:rsidR="004E10C1" w:rsidRPr="0044524F" w14:paraId="1F4B457E" w14:textId="77777777">
        <w:tc>
          <w:tcPr>
            <w:tcW w:w="2235" w:type="dxa"/>
          </w:tcPr>
          <w:p w14:paraId="51D5CAC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Среди работ, снятых с плана:</w:t>
            </w:r>
          </w:p>
        </w:tc>
        <w:tc>
          <w:tcPr>
            <w:tcW w:w="2059" w:type="dxa"/>
          </w:tcPr>
          <w:p w14:paraId="11D14A74"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6" w:type="dxa"/>
          </w:tcPr>
          <w:p w14:paraId="2521F7EB"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2330B98E"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r w:rsidR="004E10C1" w:rsidRPr="0044524F" w14:paraId="2A61F310" w14:textId="77777777">
        <w:tc>
          <w:tcPr>
            <w:tcW w:w="2235" w:type="dxa"/>
          </w:tcPr>
          <w:p w14:paraId="25B5C28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И13-М32</w:t>
            </w:r>
          </w:p>
        </w:tc>
        <w:tc>
          <w:tcPr>
            <w:tcW w:w="2059" w:type="dxa"/>
          </w:tcPr>
          <w:p w14:paraId="48F3662A"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6" w:type="dxa"/>
          </w:tcPr>
          <w:p w14:paraId="3CA345E8"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5EBD974B"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r w:rsidR="004E10C1" w:rsidRPr="0044524F" w14:paraId="55F6A128" w14:textId="77777777">
        <w:tc>
          <w:tcPr>
            <w:tcW w:w="2235" w:type="dxa"/>
          </w:tcPr>
          <w:p w14:paraId="0AB665F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У3-М48</w:t>
            </w:r>
          </w:p>
        </w:tc>
        <w:tc>
          <w:tcPr>
            <w:tcW w:w="2059" w:type="dxa"/>
          </w:tcPr>
          <w:p w14:paraId="12733EBB"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6" w:type="dxa"/>
          </w:tcPr>
          <w:p w14:paraId="6A3A38AA"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569CBC74"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r w:rsidR="004E10C1" w:rsidRPr="0044524F" w14:paraId="1A8F46B4" w14:textId="77777777">
        <w:tc>
          <w:tcPr>
            <w:tcW w:w="2235" w:type="dxa"/>
          </w:tcPr>
          <w:p w14:paraId="71914E6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И12-М22</w:t>
            </w:r>
          </w:p>
        </w:tc>
        <w:tc>
          <w:tcPr>
            <w:tcW w:w="2059" w:type="dxa"/>
          </w:tcPr>
          <w:p w14:paraId="6E799B35"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6" w:type="dxa"/>
          </w:tcPr>
          <w:p w14:paraId="4A443FB5"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374CDB8B"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r w:rsidR="004E10C1" w:rsidRPr="0044524F" w14:paraId="056590EE" w14:textId="77777777">
        <w:tc>
          <w:tcPr>
            <w:tcW w:w="2235" w:type="dxa"/>
          </w:tcPr>
          <w:p w14:paraId="05982DC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Р5-М34 эталон (351)</w:t>
            </w:r>
          </w:p>
        </w:tc>
        <w:tc>
          <w:tcPr>
            <w:tcW w:w="2059" w:type="dxa"/>
          </w:tcPr>
          <w:p w14:paraId="3A1FE7BB"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146" w:type="dxa"/>
          </w:tcPr>
          <w:p w14:paraId="7509C79F"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5158" w:type="dxa"/>
          </w:tcPr>
          <w:p w14:paraId="133C2509"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bl>
    <w:p w14:paraId="2475B8F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(351).</w:t>
      </w:r>
    </w:p>
    <w:p w14:paraId="53452ED9"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20231C3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апреля 1933 года начальник ВВС Алкснис писал письмо N 0061сс наркому по военным и морским делам, зам. наркома по военным и морским делам Гамарнику, зам. наркома по военным и морским делам Тухачевскому, начальнику штаба РККА Егорову.</w:t>
      </w:r>
    </w:p>
    <w:p w14:paraId="7DFF2F1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полном отсутствии крупно-калиберных пулеметов и авиационных пушек для вооружения самолетов.</w:t>
      </w:r>
    </w:p>
    <w:p w14:paraId="41BE8AE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Наш воздушный флот на сегодняшний день не имеет ни крупнокалиберных пулеметов, ни специальных авиационных автоматических пушек даже в опытных образцах, прошедших испытания в воздухе.</w:t>
      </w:r>
    </w:p>
    <w:p w14:paraId="45E2A79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Такое положение создалось несмотря на то, что вопрос о вооружении самолетов крупнокалиберными пулеметами и пушками был поставлен перед Артиллерийским управлением еще в 1926 году НТК УВВС и в 1930 году системой вооружения ВВС, утвержденной РВС 23 января 1930 года (см. протокол совещания РВС за N 2 от 23 января 1930 года).</w:t>
      </w:r>
    </w:p>
    <w:p w14:paraId="23441B2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Даже ожидаемые ШКАСЫ, хотя и увеличивают резко скорострельность, вопроса дальнобойности не решают, к тому же само поступление на снабжение ВВС ШКАСов сильно затягивается, т. к. образца, выдержавшего испытания в воздухе еще на сегодня нет.</w:t>
      </w:r>
    </w:p>
    <w:p w14:paraId="06D1A19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ВВС, зная положение ГАУ, при котором крупнокалиберные пулеметы для самолетов еще не закончены для подачи на испытание, а пушки даже не разработаны в приемлемой для авиации конструкции, вынуждены согласиться с положением ГАУ - испытать в воздухе зенитные и противотанковые пушки.</w:t>
      </w:r>
    </w:p>
    <w:p w14:paraId="33303D0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Переходя к отдельным объектам, следует отметить следующее:</w:t>
      </w:r>
    </w:p>
    <w:p w14:paraId="5CA2DB7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37 мм полуавтоматическая пушка РМ - не самолетная, приспособлена быть не может, гл. образом из-за веса - 300 кг и отдаче...</w:t>
      </w:r>
    </w:p>
    <w:p w14:paraId="6ECB13F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Проект 37 мм автоматической пушки ВАА по предварительному заключению - неудовлетворительна. Вес - 300 кг, сложность и сомнения в конструкции.</w:t>
      </w:r>
    </w:p>
    <w:p w14:paraId="7FCAB8F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20 мм автоматическая пушка РМ - не самолетная. В производстве 1930 года не освоена. Отсутствуют снаряды. Возможность использования весьма сомнительна.</w:t>
      </w:r>
    </w:p>
    <w:p w14:paraId="1F2780E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20 мм автоматическая пушка Мадсен - не самолетная. Имеется в 2-х экземплярах. Автоматика при нормальной работе надежна, но большой вес, габариты и сложность установки значительно ограничат возможность применения на самолете. Будет испытана в апреле.</w:t>
      </w:r>
    </w:p>
    <w:p w14:paraId="4989D4C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20 мм автоматическая пушка Эрликон - не самолетная. Имеется в 10-ти экземплярах, но запас снарядов весьма ограничен. Пушка испытывалась в Италии и Германии и признана неудовлетворительной.</w:t>
      </w:r>
    </w:p>
    <w:p w14:paraId="47B561A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Пушки АПК - 37, 65, 76 и 100 мм. Положение уточнено приказом РВС и НКТП за N 009. Следует лишь отметить:</w:t>
      </w:r>
    </w:p>
    <w:p w14:paraId="146F87A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АПК - 37 мм в компоновке еще не предъявлен, хотя самолет И-14 под эти системы уже строится и выйдет к 20 мая.</w:t>
      </w:r>
    </w:p>
    <w:p w14:paraId="15B3D88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АПК - 65 мм предъявляется на гос. испытания; за время отладки экспериментального образца, самолет И-4 успел устареть и прекращен в производстве.</w:t>
      </w:r>
    </w:p>
    <w:p w14:paraId="2F876C9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АПК - 76 мм (4 бис) в одном экземпляре отстрелян на самолете в воздухе. Будет предъявлен на гос. испытания 1 июня 1933 года. Готовые серийные самолеты типа ЗЕТ специально проектировавшиеся под эти системы с конца 1932 г. не могут быть нами приняты от завода.</w:t>
      </w:r>
    </w:p>
    <w:p w14:paraId="795EC99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АПК - 100 мм не предъявлены.</w:t>
      </w:r>
    </w:p>
    <w:p w14:paraId="446921D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 остро стоит вопрос со снарядами как по срокам подачи, так равно и по качеству. До сего времени все испытания проводились лафето-пробными снарядами.</w:t>
      </w:r>
    </w:p>
    <w:p w14:paraId="1044098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ГДЛ, ведущая работы над реактивными снарядами в течение 4-х лет, до сего времени ощутимых результатов не дала (нет определенной траектории).</w:t>
      </w:r>
    </w:p>
    <w:p w14:paraId="1D2F34E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Пулеметы калибра 12,7 мм разрабатываются 3-х видов:</w:t>
      </w:r>
    </w:p>
    <w:p w14:paraId="370D2AC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ДК по срокам должен быть подан еще в 1931 году. В настоящее время проходит полигонные испытания на земле. ВВС образцы годные для испытания в воздухе еще не поданы, несмотря на то, что самолет МИ-3 выходит на аэродром 15 мая.</w:t>
      </w:r>
    </w:p>
    <w:p w14:paraId="0F2E07B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ДАК (синхронный) для стрельбы через винт, по срокам должен быть подан еще в 1931 году. В конце февраля 1933 года ВВС подан один образец для проведения предварительных испытаний. Образец испытан - выяснилась недоработка образца и потребность в больших переделках.</w:t>
      </w:r>
    </w:p>
    <w:p w14:paraId="73EB4DB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ШВАК - авиационный скорострельный. Имеет виды на принятие на вооружение ВВС. По срокам должен быть подан еще в середине 1932 года. Последний срок подачи намечен 1 апреля. До сих пор образца нет.</w:t>
      </w:r>
    </w:p>
    <w:p w14:paraId="2510B1C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начальника ГАУ:</w:t>
      </w:r>
    </w:p>
    <w:p w14:paraId="0C8112E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Всеми мерами форсировать изготовление пулемета ШКАС со сроком предъявления образца на гос. испытания в воздухе к 10 мая 1933 года.</w:t>
      </w:r>
    </w:p>
    <w:p w14:paraId="4EBF328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То же по крупнокалиберному пулемету ШВАК со сроком подачи образца на гос. испытания к 1 июня 1933 года.</w:t>
      </w:r>
    </w:p>
    <w:p w14:paraId="18028CF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Немедленно приступить к форсированному проектированию и изготовлению специальных авиационных автоматических пушек калибров - 20 мм и 37 мм или 45 мм, предназначая их для истребителей и бомбардировщиков.</w:t>
      </w:r>
    </w:p>
    <w:p w14:paraId="34E66F0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Обеспечить, передающиеся в ВВС крупнокалиберные пулеметы и пушки авиационными снарядами (зажигательными, трассирующими и особо чувствительными взрывателями).</w:t>
      </w:r>
    </w:p>
    <w:p w14:paraId="073DC86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Незамедлительно командировать в Англию представителей для закупки образца 37 мм авиационной автоматической пушки, испытания ее на месте и приобретения технической помощи на постановку производства в СССР.</w:t>
      </w:r>
    </w:p>
    <w:p w14:paraId="683D794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Не дожидаясь результатов воздушных испытаний приспосабливаемых для ВВС пушек - пустить в производство 20 мм автоматическую танковую пушку Мадсена, как явно лучший образец для приспосабливаемых для самолетов пушек этого калибра. Но при этом следует иметь ввиду, что эта пушка требованиям ВВС не удовлетворяет и является паллиативом на то время, пока не будет сконструировано и организовано производство вооружения, удовлетворяющего современным требованиям ВВС (3516,17-21).</w:t>
      </w:r>
    </w:p>
    <w:p w14:paraId="196331B4"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0D7678BF" w14:textId="77777777" w:rsidR="00FA1468" w:rsidRPr="0044524F" w:rsidRDefault="00FA1468" w:rsidP="009654CF">
      <w:pPr>
        <w:pStyle w:val="rtejustify"/>
        <w:spacing w:before="0" w:after="0"/>
        <w:rPr>
          <w:color w:val="000000" w:themeColor="text1"/>
          <w:sz w:val="16"/>
          <w:szCs w:val="16"/>
        </w:rPr>
      </w:pPr>
      <w:r w:rsidRPr="0044524F">
        <w:rPr>
          <w:rStyle w:val="af0"/>
          <w:bCs/>
          <w:i w:val="0"/>
          <w:color w:val="000000" w:themeColor="text1"/>
          <w:sz w:val="16"/>
          <w:szCs w:val="16"/>
        </w:rPr>
        <w:t>8 апреля</w:t>
      </w:r>
      <w:r w:rsidRPr="0044524F">
        <w:rPr>
          <w:color w:val="000000" w:themeColor="text1"/>
          <w:sz w:val="16"/>
          <w:szCs w:val="16"/>
        </w:rPr>
        <w:t xml:space="preserve"> 1933. Постановление Комиссии обороны СССР № 2. Дополнение к постановлению КО № 1 от 5 марта 1933 г. «О приобретении образцов и технической помощи фирмы «Сперри»». (ГА РФ. Ф. Р</w:t>
      </w:r>
      <w:r w:rsidRPr="0044524F">
        <w:rPr>
          <w:color w:val="000000" w:themeColor="text1"/>
          <w:sz w:val="16"/>
          <w:szCs w:val="16"/>
        </w:rPr>
        <w:noBreakHyphen/>
        <w:t>8418. Оп. 28. Д. 25а. Л. 21) (15460).</w:t>
      </w:r>
    </w:p>
    <w:p w14:paraId="1502ED43" w14:textId="77777777" w:rsidR="00FA1468" w:rsidRPr="0044524F" w:rsidRDefault="00FA1468" w:rsidP="009654CF">
      <w:pPr>
        <w:pStyle w:val="rtejustify"/>
        <w:spacing w:before="0" w:after="0"/>
        <w:rPr>
          <w:color w:val="000000" w:themeColor="text1"/>
          <w:sz w:val="16"/>
          <w:szCs w:val="16"/>
        </w:rPr>
      </w:pPr>
    </w:p>
    <w:p w14:paraId="2C54EDD2" w14:textId="77777777" w:rsidR="00FA1468" w:rsidRPr="0044524F" w:rsidRDefault="00FA1468" w:rsidP="009654CF">
      <w:pPr>
        <w:pStyle w:val="ae"/>
        <w:spacing w:before="0" w:after="0"/>
        <w:jc w:val="both"/>
        <w:rPr>
          <w:color w:val="000000" w:themeColor="text1"/>
          <w:sz w:val="16"/>
          <w:szCs w:val="16"/>
        </w:rPr>
      </w:pPr>
      <w:r w:rsidRPr="0044524F">
        <w:rPr>
          <w:color w:val="000000" w:themeColor="text1"/>
          <w:sz w:val="16"/>
          <w:szCs w:val="16"/>
        </w:rPr>
        <w:t>8 апреля 1933 года Политбюро постановило: в дополнение к постановлению ПБ от 7 марта 1933 г. закупку образцов у фирмы «Сперри» произвести Наркомвоенмору за счет своего контингента на сумму 400 000 долларов. НКВМ не ограничивалось только одной фирмой: в его задачи входило еще и ознакомление с работами по усовершенствованию ПУАЗО и других фирм, в частности предполагалось закупить по одному прибору у германских фирм Герца, Газенмайера и Виккерса (15736).</w:t>
      </w:r>
    </w:p>
    <w:p w14:paraId="513459E5" w14:textId="77777777" w:rsidR="00FA1468" w:rsidRPr="0044524F" w:rsidRDefault="00FA1468" w:rsidP="009654CF">
      <w:pPr>
        <w:pStyle w:val="ae"/>
        <w:spacing w:before="0" w:after="0"/>
        <w:jc w:val="both"/>
        <w:rPr>
          <w:color w:val="000000" w:themeColor="text1"/>
          <w:sz w:val="16"/>
          <w:szCs w:val="16"/>
        </w:rPr>
      </w:pPr>
    </w:p>
    <w:p w14:paraId="60698067" w14:textId="77777777" w:rsidR="00FA146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A6FE3EE" w14:textId="77777777" w:rsidR="00FA1468" w:rsidRPr="0044524F" w:rsidRDefault="00FA1468" w:rsidP="009654CF">
      <w:pPr>
        <w:spacing w:after="0" w:line="240" w:lineRule="auto"/>
        <w:jc w:val="both"/>
        <w:rPr>
          <w:rFonts w:ascii="Times New Roman" w:hAnsi="Times New Roman"/>
          <w:iCs/>
          <w:color w:val="000000" w:themeColor="text1"/>
          <w:sz w:val="16"/>
          <w:szCs w:val="16"/>
        </w:rPr>
      </w:pPr>
    </w:p>
    <w:p w14:paraId="4DD21672"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апреля 1933 г.</w:t>
      </w:r>
    </w:p>
    <w:p w14:paraId="0FB3F726"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Политбюро ЦК ВКП(б) «Предложение Комиссии обороны»</w:t>
      </w:r>
    </w:p>
    <w:p w14:paraId="061D1738"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П135/23-опр.</w:t>
      </w:r>
      <w:r w:rsidRPr="0044524F">
        <w:rPr>
          <w:rFonts w:ascii="Times New Roman" w:hAnsi="Times New Roman"/>
          <w:color w:val="000000" w:themeColor="text1"/>
          <w:sz w:val="16"/>
          <w:szCs w:val="16"/>
        </w:rPr>
        <w:tab/>
        <w:t>8 апреля 1933 г.</w:t>
      </w:r>
    </w:p>
    <w:p w14:paraId="25106B7A"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Строго секретно</w:t>
      </w:r>
    </w:p>
    <w:p w14:paraId="01F800A4"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«Особой папки»</w:t>
      </w:r>
    </w:p>
    <w:p w14:paraId="223D3479"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26/23. В дополнение к постановлению ПБ от 7.03.33 г. закупку образцов у фирмы «Сперри» произвести Наркомвоенмору за счет своего контингента на сумму 200 тыс. долларов и за счет сверх контингента на сумму 400 тыс. долларов.</w:t>
      </w:r>
    </w:p>
    <w:p w14:paraId="2112D5D6"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Секретарь ЦК</w:t>
      </w:r>
    </w:p>
    <w:p w14:paraId="6AA22EFB"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 3. On. 66. Д. 343. Л. 100. Копия.</w:t>
      </w:r>
    </w:p>
    <w:p w14:paraId="6AF154E2"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Принято опросом членов Политбюро ЦК ВКП(б) 8 апреля 1933 г. Выписка</w:t>
      </w:r>
    </w:p>
    <w:p w14:paraId="47524C0D"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протокола № 135 заседания Политбюро ЦК ВКП(б) 8 апреля 1933 г., п. 26/23.</w:t>
      </w:r>
    </w:p>
    <w:p w14:paraId="3B3C6291"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Направлена К.Е. Ворошилову, Г.Д. Базилевичу, А.П. Розенгольцу (21038).</w:t>
      </w:r>
    </w:p>
    <w:p w14:paraId="169E3855" w14:textId="77777777" w:rsidR="00F40D1C" w:rsidRPr="0044524F" w:rsidRDefault="00F40D1C" w:rsidP="009654CF">
      <w:pPr>
        <w:spacing w:after="0" w:line="240" w:lineRule="auto"/>
        <w:jc w:val="both"/>
        <w:rPr>
          <w:rFonts w:ascii="Times New Roman" w:hAnsi="Times New Roman"/>
          <w:color w:val="000000" w:themeColor="text1"/>
          <w:sz w:val="16"/>
          <w:szCs w:val="16"/>
        </w:rPr>
      </w:pPr>
    </w:p>
    <w:p w14:paraId="4EE3DEAF"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апреля 1933 состоялось заседание ПБ и был оформлен протокол № 135</w:t>
      </w:r>
    </w:p>
    <w:p w14:paraId="16E2B632"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апреля 1933 опросом членов ПБ</w:t>
      </w:r>
    </w:p>
    <w:p w14:paraId="12744EBE"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26/23. В дополнение к постановлению ПБ от 7.03.33 г. закупку образцов у фирмы «Сперри» произвести Наркомвоенмору за счет своего контингента на сумму 200 тыс. долларов и за счет сверх контингента на сумму 400 тыс. долларов.</w:t>
      </w:r>
    </w:p>
    <w:p w14:paraId="12FD99CE"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Ворошилову, Базилевичу, Розенгольцу</w:t>
      </w:r>
    </w:p>
    <w:p w14:paraId="260231F4"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28/25.</w:t>
      </w:r>
    </w:p>
    <w:p w14:paraId="3D43275F"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договоре техпомощи с АФК</w:t>
      </w:r>
    </w:p>
    <w:p w14:paraId="544A3729"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Поручить т.Гуревичу в Париже, в случае невозмож</w:t>
      </w:r>
      <w:r w:rsidRPr="0044524F">
        <w:rPr>
          <w:rFonts w:ascii="Times New Roman" w:hAnsi="Times New Roman"/>
          <w:color w:val="000000" w:themeColor="text1"/>
          <w:sz w:val="16"/>
          <w:szCs w:val="16"/>
        </w:rPr>
        <w:softHyphen/>
        <w:t>ности отстоять рассрочку платеже : по договору о тех- помощи с Французской Аллюминиевой Компанией на три срока, согласиться на уплату 300.000 руб. теперь же и 300.000 рублей через три месяца.</w:t>
      </w:r>
    </w:p>
    <w:p w14:paraId="3E32FCF5" w14:textId="77777777" w:rsidR="00F40D1C" w:rsidRPr="0044524F" w:rsidRDefault="00F40D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Розенгольцу, Серебровскому, Орджоникидзе (22985).</w:t>
      </w:r>
    </w:p>
    <w:p w14:paraId="451F0D68" w14:textId="77777777" w:rsidR="00F40D1C" w:rsidRPr="0044524F" w:rsidRDefault="00F40D1C" w:rsidP="009654CF">
      <w:pPr>
        <w:spacing w:after="0" w:line="240" w:lineRule="auto"/>
        <w:jc w:val="both"/>
        <w:rPr>
          <w:rFonts w:ascii="Times New Roman" w:hAnsi="Times New Roman"/>
          <w:color w:val="000000" w:themeColor="text1"/>
          <w:sz w:val="16"/>
          <w:szCs w:val="16"/>
        </w:rPr>
      </w:pPr>
    </w:p>
    <w:p w14:paraId="41880C9C" w14:textId="77777777" w:rsidR="00FA1468" w:rsidRPr="0044524F" w:rsidRDefault="00FA1468" w:rsidP="009654CF">
      <w:pPr>
        <w:pStyle w:val="rtejustify"/>
        <w:spacing w:before="0" w:after="0"/>
        <w:rPr>
          <w:color w:val="000000" w:themeColor="text1"/>
          <w:sz w:val="16"/>
          <w:szCs w:val="16"/>
        </w:rPr>
      </w:pPr>
      <w:r w:rsidRPr="0044524F">
        <w:rPr>
          <w:rStyle w:val="af0"/>
          <w:bCs/>
          <w:i w:val="0"/>
          <w:color w:val="000000" w:themeColor="text1"/>
          <w:sz w:val="16"/>
          <w:szCs w:val="16"/>
        </w:rPr>
        <w:t>8 апреля</w:t>
      </w:r>
      <w:r w:rsidRPr="0044524F">
        <w:rPr>
          <w:color w:val="000000" w:themeColor="text1"/>
          <w:sz w:val="16"/>
          <w:szCs w:val="16"/>
        </w:rPr>
        <w:t xml:space="preserve"> 1933. Протокол заседания Политбюро ЦК ВКП (б) № 135. </w:t>
      </w:r>
      <w:hyperlink r:id="rId120" w:anchor="showunit&amp;id=86187" w:history="1">
        <w:r w:rsidRPr="0044524F">
          <w:rPr>
            <w:rStyle w:val="a5"/>
            <w:color w:val="000000" w:themeColor="text1"/>
            <w:sz w:val="16"/>
            <w:szCs w:val="16"/>
            <w:u w:val="none"/>
          </w:rPr>
          <w:t>24/21. Вопросы НКТП (о кадрах)</w:t>
        </w:r>
      </w:hyperlink>
      <w:r w:rsidRPr="0044524F">
        <w:rPr>
          <w:color w:val="000000" w:themeColor="text1"/>
          <w:sz w:val="16"/>
          <w:szCs w:val="16"/>
        </w:rPr>
        <w:t xml:space="preserve"> (ПБ от 8 апреля 1933 г.). а) Назначить директором Макеевского металлургического завода Гвахария, подчинив ему Макеевское строительство. б) Днепросталь упразднить. в) Манаенко откомандировать в распоряжение Наркомата тяжелой промышленности. </w:t>
      </w:r>
      <w:hyperlink r:id="rId121" w:anchor="showunit&amp;id=86189" w:history="1">
        <w:r w:rsidRPr="0044524F">
          <w:rPr>
            <w:rStyle w:val="a5"/>
            <w:color w:val="000000" w:themeColor="text1"/>
            <w:sz w:val="16"/>
            <w:szCs w:val="16"/>
            <w:u w:val="none"/>
          </w:rPr>
          <w:t>26/23. Предложения Комиссии обороны</w:t>
        </w:r>
      </w:hyperlink>
      <w:r w:rsidRPr="0044524F">
        <w:rPr>
          <w:color w:val="000000" w:themeColor="text1"/>
          <w:sz w:val="16"/>
          <w:szCs w:val="16"/>
        </w:rPr>
        <w:t xml:space="preserve"> (ПБ от 7 марта 1933 г., пр. № 132, п. 67/44). — ОП. Решено: в дополнение к постановлению ПБ от 7 марта 1933 г. закупку образцов у фирмы «Сперри» произвести Наркомвоенмору за счет своего контингента на сумму 200 000 долларов и за счет сверх контингента на сумму 400 000 долларов. </w:t>
      </w:r>
      <w:hyperlink r:id="rId122" w:anchor="showunit&amp;id=86191" w:history="1">
        <w:r w:rsidRPr="0044524F">
          <w:rPr>
            <w:rStyle w:val="a5"/>
            <w:color w:val="000000" w:themeColor="text1"/>
            <w:sz w:val="16"/>
            <w:szCs w:val="16"/>
            <w:u w:val="none"/>
          </w:rPr>
          <w:t>28/25. О договоре техпомощи с АФК.</w:t>
        </w:r>
      </w:hyperlink>
      <w:r w:rsidRPr="0044524F">
        <w:rPr>
          <w:color w:val="000000" w:themeColor="text1"/>
          <w:sz w:val="16"/>
          <w:szCs w:val="16"/>
        </w:rPr>
        <w:t> — ОП. Решено поручить Гуревичу в Париже, в случае невозможности отстоять рассрочку платежей по договору о техпомощи с Французской алюминиевой компанией на три срока, согласиться на уплату 300.000 рублей теперь же и 300.000 рублей через три месяца (15462).</w:t>
      </w:r>
    </w:p>
    <w:p w14:paraId="1B588CC6" w14:textId="77777777" w:rsidR="00FA1468" w:rsidRPr="0044524F" w:rsidRDefault="00FA1468" w:rsidP="009654CF">
      <w:pPr>
        <w:pStyle w:val="rtejustify"/>
        <w:spacing w:before="0" w:after="0"/>
        <w:rPr>
          <w:color w:val="000000" w:themeColor="text1"/>
          <w:sz w:val="16"/>
          <w:szCs w:val="16"/>
        </w:rPr>
      </w:pPr>
    </w:p>
    <w:p w14:paraId="2F1D4213"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07CAAF2"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19B6C9C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апреля 1933 г. в Москву прибыл первый французский военный атташе полковник Мендрас, дружески принятый Ворошиловым, Егоровым и Литвиновым (В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Эррио.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146886AE"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09038673"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74996F5"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0D312327"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апреля 1933 Англия наложила эмбарго на поставку в страну советских товаров (4962).</w:t>
      </w:r>
    </w:p>
    <w:p w14:paraId="311E4318"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p>
    <w:p w14:paraId="7100C4D6"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58C2CC5"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2D9E521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апреля 1933 года Базилевич писал письмо № 494/ко в НКВМ Тухачевскому</w:t>
      </w:r>
    </w:p>
    <w:p w14:paraId="2DC1067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включить препровождаемый материал на рассмотрение Комиссии РВС’С по опытному авиастроительству.</w:t>
      </w:r>
    </w:p>
    <w:p w14:paraId="6122CF1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письмо Гольцмана за № 6/сс от 2 апреля 1933 года и схемы самолетов все на 6-ти листах (3530,123).</w:t>
      </w:r>
    </w:p>
    <w:p w14:paraId="0F6F6B7E"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407B74D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апреля 1933 после многократных поломок запуски прекратили и испытания опытного образца мотоустановки для Д-1 или Г-1 - два спаренных М-27 (по фамилии конструктора основной редуктор в документах иногда именовали "агрегат т. Дзюбе"), которые шли с 23 января - приостановили. Затем вместо двух М-27 поставили пару М-17 меньшей мощности. С ними до 20 июня "агрегат" наработал 58 ч.</w:t>
      </w:r>
    </w:p>
    <w:p w14:paraId="5B3E8BE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0989624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768B0278"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4DEAB1E6" w14:textId="77777777" w:rsidR="00FA146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FB7AB95" w14:textId="77777777" w:rsidR="00FA1468" w:rsidRPr="0044524F" w:rsidRDefault="00FA1468" w:rsidP="009654CF">
      <w:pPr>
        <w:spacing w:after="0" w:line="240" w:lineRule="auto"/>
        <w:jc w:val="both"/>
        <w:rPr>
          <w:rFonts w:ascii="Times New Roman" w:hAnsi="Times New Roman"/>
          <w:iCs/>
          <w:color w:val="000000" w:themeColor="text1"/>
          <w:sz w:val="16"/>
          <w:szCs w:val="16"/>
        </w:rPr>
      </w:pPr>
    </w:p>
    <w:p w14:paraId="043E439B" w14:textId="77777777" w:rsidR="00FA1468" w:rsidRPr="0044524F" w:rsidRDefault="00FA14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апреля в 1933 году чрезвычайный банковский акт в США. Срочно созванная сессия конгресса приняла целый пакет реформ &lt;нового курса&gt;. Акт предлагал государственные льготы банкам, финансирующим промышленность (15094).</w:t>
      </w:r>
    </w:p>
    <w:p w14:paraId="63B447EE" w14:textId="77777777" w:rsidR="00FA1468" w:rsidRPr="0044524F" w:rsidRDefault="00FA1468" w:rsidP="009654CF">
      <w:pPr>
        <w:spacing w:after="0" w:line="240" w:lineRule="auto"/>
        <w:jc w:val="both"/>
        <w:rPr>
          <w:rFonts w:ascii="Times New Roman" w:hAnsi="Times New Roman"/>
          <w:color w:val="000000" w:themeColor="text1"/>
          <w:sz w:val="16"/>
          <w:szCs w:val="16"/>
        </w:rPr>
      </w:pPr>
    </w:p>
    <w:p w14:paraId="16385F43"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BAB531A"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469FC40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 апреля по 1 июля 1933 в рамках работы над Д-1 10М-34 А.Н.Т. испытывали передачу на винт от двух моторов, но на М-17 и наработали 55:10. Испытания показали, что передача создана, но требуется конструктивная доработка и макс. время между дефектами было 5:16 (2305,43).</w:t>
      </w:r>
    </w:p>
    <w:p w14:paraId="7A30AB4A"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3828392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апреля 1933 С.П.К. на заседании Бюро Президиума ЦС ОХА изложил свои соображения против передачи ГИРД в военное ведомство. Предложение принято не было (ЦГАОР, ф. 8355, № 71(3), л. 231) (10676).</w:t>
      </w:r>
    </w:p>
    <w:p w14:paraId="7A25965C"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0F0637A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апреля 1933 Г.П. Новиков сообщает М.Н. Тухачевскому об утверждении сметы ГИРД в размере 500 тыс.р. и предлагает перевести ГИРД из ОХА в УВВС (ААН, р. 4, оп. 14, № 242, л. 7) (10676).</w:t>
      </w:r>
    </w:p>
    <w:p w14:paraId="7C92527D"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36793985" w14:textId="77777777" w:rsidR="004D7C42" w:rsidRPr="0044524F" w:rsidRDefault="004D7C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10-15 апреля 1933 г. проходило обследование финансово-хозяйственной деятельности КБ «ГИРД» и в докладе начальника 3 сектора 1 Отдела Финансового управления РККА т. Смелли и начальника 8 Отдела УВИ т. Макаренко говорилось: «До августа 1932 г. ГИРД существовала, как кружок любителей при ЦС ОСОАВИАХИМ, периодически получая от последнего небольшие средства. После заключения в августе 1932 г. договора с УВИ НВ РККА «ГИРД» по существу является Конструкторским Бюро УВИ, при этом все время формально числится в системе ОСОАВИАХИМ...» (22685).</w:t>
      </w:r>
    </w:p>
    <w:p w14:paraId="63A0749D" w14:textId="77777777" w:rsidR="004D7C42" w:rsidRPr="0044524F" w:rsidRDefault="004D7C42" w:rsidP="009654CF">
      <w:pPr>
        <w:spacing w:after="0" w:line="240" w:lineRule="auto"/>
        <w:jc w:val="both"/>
        <w:rPr>
          <w:rFonts w:ascii="Times New Roman" w:hAnsi="Times New Roman"/>
          <w:color w:val="000000" w:themeColor="text1"/>
          <w:sz w:val="16"/>
          <w:szCs w:val="16"/>
        </w:rPr>
      </w:pPr>
    </w:p>
    <w:p w14:paraId="1DA687F3" w14:textId="77777777" w:rsidR="004D7C42" w:rsidRPr="0044524F" w:rsidRDefault="004D7C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апреля 1933 г. состоялось заседание Бюро Президиума ЦС ОСОАВИАХИМ СССР (протокол № 11) в полном составе: председатель ЦС ОСОАВИАХИМ член Реввоенсовета Р.П. Эйдеман, его два заместителя М.Л. Белоцкий и Л.П. Малиновский, ответственный инструктор ЦС Лайт, начальник авиационного отдела Гельфер, начальник сектора печати Гозюмов, начальник учебного центра А.А. Милонов, руководитель ГИРД С П. Королев, начальник финансово-планового отдела Кирин, начальник второго отдела УВИ НВ РККА ЯМ. Терентьев, начальник отдела ПВО Хамилис, начальник сектора авиапромышленности Раскин, Пром, Петров, Задерман (должности последних установить не удалось).</w:t>
      </w:r>
    </w:p>
    <w:p w14:paraId="18BA31BF" w14:textId="77777777" w:rsidR="004D7C42" w:rsidRPr="0044524F" w:rsidRDefault="004D7C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Заслушали доклад Королева о передаче ГИРД в ведение УВИ.</w:t>
      </w:r>
    </w:p>
    <w:p w14:paraId="3A133644" w14:textId="77777777" w:rsidR="004D7C42" w:rsidRPr="0044524F" w:rsidRDefault="004D7C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того же числа приняли Постановление Бюро Президиума ЦС ОСОАВИАХИМ о передаче ГИРД в ведение УВИ НВ РККА:</w:t>
      </w:r>
    </w:p>
    <w:p w14:paraId="0E15AC4B" w14:textId="77777777" w:rsidR="004D7C42" w:rsidRPr="0044524F" w:rsidRDefault="004D7C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В соответствии с письмом УВИ НВ РККА о передаче в Военвед ГИРДа, как организации имеющей значительную ценность для военного ведомства, согласиться на передачу ГИРД в УВИ НВ РККА со всем личным составом, материалами и оборудованием. </w:t>
      </w:r>
    </w:p>
    <w:p w14:paraId="707F67B3" w14:textId="77777777" w:rsidR="004D7C42" w:rsidRPr="0044524F" w:rsidRDefault="004D7C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2. Учитывая специфические условия работы по реактивной проблеме по линии УВИ оставить в системе ЦС ОСОАВИАХИМ оргмассовую работу, проводимую ныне отделом ГИРДа, сохранив за ним наименование «ГИРД». </w:t>
      </w:r>
    </w:p>
    <w:p w14:paraId="62BA2F8B" w14:textId="77777777" w:rsidR="004D7C42" w:rsidRPr="0044524F" w:rsidRDefault="004D7C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УВИ уплачивает ЦС как компенсацию за понесенные ОСОАВИАХИМом расходы на организацию ГИРД, за передаваемые оборудование, материалы, инвентарь и т.д.</w:t>
      </w:r>
    </w:p>
    <w:p w14:paraId="1BBEC888" w14:textId="77777777" w:rsidR="004D7C42" w:rsidRPr="0044524F" w:rsidRDefault="004D7C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Помещение, занимаемое ныне ГИРДом, предоставляется во временное пользование УВИ с тем, что при освобождении оно немедленно передается в ЦС. </w:t>
      </w:r>
    </w:p>
    <w:p w14:paraId="011FC581" w14:textId="77777777" w:rsidR="004D7C42" w:rsidRPr="0044524F" w:rsidRDefault="004D7C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Отмечая большую работу, проделанную работниками ГИРД со времени его организации, передать на разрешение Наградной комиссии вопрос о награждении ряда работников за работу по ГИРДу» (ГА РФ. Фонд Р-8355 . Оп. 1. Д. № 71. Л. 231-239 ' ГА РФ. Фонд Р-8355 . Оп. 1. Д. № 71. Л. 231-239) (22685).'</w:t>
      </w:r>
    </w:p>
    <w:p w14:paraId="3AE88CE7" w14:textId="77777777" w:rsidR="004D7C42" w:rsidRPr="0044524F" w:rsidRDefault="004D7C42" w:rsidP="009654CF">
      <w:pPr>
        <w:spacing w:after="0" w:line="240" w:lineRule="auto"/>
        <w:jc w:val="both"/>
        <w:rPr>
          <w:rFonts w:ascii="Times New Roman" w:hAnsi="Times New Roman"/>
          <w:color w:val="000000" w:themeColor="text1"/>
          <w:sz w:val="16"/>
          <w:szCs w:val="16"/>
        </w:rPr>
      </w:pPr>
    </w:p>
    <w:p w14:paraId="14738E88"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02FBA78"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321156E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апреля 1933 на о. Гарди Франческо л Анджело на Макки М.72 установил новый абсолютный мировой рекорд скорости в 682.402 км/час (4207).</w:t>
      </w:r>
    </w:p>
    <w:p w14:paraId="5E3E9B93"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22E34C31" w14:textId="77777777" w:rsidR="006B4FD0" w:rsidRPr="0044524F" w:rsidRDefault="006B4F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апреля в 1933 году на озере Гарди Франческо Аджелло пять раз пролетел на итальянском легком гоночном самолете «Macchi» «M.72» («MC.72») трехкилометровую дистанцию, и средняя скорость этих пяти заходов - 682,402 км/ч была зарегистрирована как новый мировой рекорд. Интересно отметить, что в одном из пролетов Аджелло прошел мерную базу со скоростью 692,529 км/ч. Итальянцы могли торжествовать. Ни в одной стране мира в это время не было самолета, который мог бы оспорить этот результат (15095).</w:t>
      </w:r>
    </w:p>
    <w:p w14:paraId="04EEBBF6" w14:textId="77777777" w:rsidR="006B4FD0" w:rsidRPr="0044524F" w:rsidRDefault="006B4FD0" w:rsidP="009654CF">
      <w:pPr>
        <w:spacing w:after="0" w:line="240" w:lineRule="auto"/>
        <w:jc w:val="both"/>
        <w:rPr>
          <w:rFonts w:ascii="Times New Roman" w:hAnsi="Times New Roman"/>
          <w:color w:val="000000" w:themeColor="text1"/>
          <w:sz w:val="16"/>
          <w:szCs w:val="16"/>
        </w:rPr>
      </w:pPr>
    </w:p>
    <w:p w14:paraId="301F1AE2"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апреля 1933 Франческо Аджелло устанавливает новый рекорд скорости в 682 км / ч (424 миль / ч) на итальянском гидросамолете Macchi MC72 (20802).</w:t>
      </w:r>
    </w:p>
    <w:p w14:paraId="3457254C" w14:textId="77777777" w:rsidR="00841CFC" w:rsidRPr="0044524F" w:rsidRDefault="00841CFC" w:rsidP="009654CF">
      <w:pPr>
        <w:spacing w:after="0" w:line="240" w:lineRule="auto"/>
        <w:jc w:val="both"/>
        <w:rPr>
          <w:rFonts w:ascii="Times New Roman" w:hAnsi="Times New Roman"/>
          <w:color w:val="000000" w:themeColor="text1"/>
          <w:sz w:val="16"/>
          <w:szCs w:val="16"/>
        </w:rPr>
      </w:pPr>
    </w:p>
    <w:p w14:paraId="6EF90EF5" w14:textId="77777777" w:rsidR="006A7D5C" w:rsidRPr="00142305" w:rsidRDefault="006A7D5C" w:rsidP="006A7D5C">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10 апреля 1933 г. Летчик Ф. Аджелло на самолете «Макки-Кастольди 72» фирмы «Макки» установил рекорд скорости 682,078 км/ч. На озере Гарди пилот пять раз пролетел трехкило</w:t>
      </w:r>
      <w:r w:rsidRPr="00142305">
        <w:rPr>
          <w:rStyle w:val="aff"/>
          <w:rFonts w:ascii="Times New Roman" w:hAnsi="Times New Roman" w:cs="Times New Roman"/>
          <w:color w:val="0070C0"/>
          <w:spacing w:val="0"/>
          <w:sz w:val="16"/>
          <w:szCs w:val="16"/>
        </w:rPr>
        <w:softHyphen/>
        <w:t>метровую дистанцию, показав среднюю скорость 682,402 км/ч, что было новым мировом рекордом (25675).</w:t>
      </w:r>
    </w:p>
    <w:p w14:paraId="63BFBDFE" w14:textId="77777777" w:rsidR="006A7D5C" w:rsidRPr="00142305" w:rsidRDefault="006A7D5C" w:rsidP="006A7D5C">
      <w:pPr>
        <w:spacing w:after="0" w:line="240" w:lineRule="auto"/>
        <w:jc w:val="both"/>
        <w:rPr>
          <w:rFonts w:ascii="Times New Roman" w:hAnsi="Times New Roman"/>
          <w:color w:val="0070C0"/>
          <w:sz w:val="16"/>
          <w:szCs w:val="16"/>
        </w:rPr>
      </w:pPr>
    </w:p>
    <w:p w14:paraId="05CCE8BD"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апреля 1933 состоялся первый полет - Airspeed Courier G-ABXN (20802).</w:t>
      </w:r>
    </w:p>
    <w:p w14:paraId="21095A94" w14:textId="77777777" w:rsidR="00841CFC" w:rsidRPr="0044524F" w:rsidRDefault="00841CFC" w:rsidP="009654CF">
      <w:pPr>
        <w:spacing w:after="0" w:line="240" w:lineRule="auto"/>
        <w:jc w:val="both"/>
        <w:rPr>
          <w:rFonts w:ascii="Times New Roman" w:hAnsi="Times New Roman"/>
          <w:color w:val="000000" w:themeColor="text1"/>
          <w:sz w:val="16"/>
          <w:szCs w:val="16"/>
        </w:rPr>
      </w:pPr>
    </w:p>
    <w:p w14:paraId="7EE490EA"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апреля 1933 года — первый полёт лёгкого самолёта Airspeed AS.5 Courier.</w:t>
      </w:r>
    </w:p>
    <w:p w14:paraId="21986735"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Создавался конструктором Хесселлем Тилтманом по заказу британского пионера авиации Алана Джона Кобхэма, который задумал беспосадочный перелёт в Индию. Отсюда одно из требований, предъявленных к новому самолёту — возможность дозаправки в воздухе.</w:t>
      </w:r>
    </w:p>
    <w:p w14:paraId="6EBC1C04"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AS.5 представлял собой одномоторный деревянный низкоплан с кабиной, рассчитанной на 1 пилота и 5 пассажиров. Впервые в английском авиастроении был построен серийный самолёт с убирающимся шасси. 7-цилиндровый двигатель Armstrong Siddeley Lynx IVC позволял развить скорость до 246 км/ч. Специальных устройств для заправки в воздухе у самолёта не было — пилот или его помощник должны были поймать шланг от воздушного танкера и присоединить к баку.</w:t>
      </w:r>
    </w:p>
    <w:p w14:paraId="418BB565"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Попытка перелёта сэра Алана Джона Кобхэма завершилась неудачно. Но это не помешало запустить Airspeed AS.5 Courier в серийное производство. Всего выпустили 16 самолётов, которые чаще всего использовались в роли «воздушных такси». Также «Курьеры» участвовали в авиационных гонках и различных исследовательских программах (22300).</w:t>
      </w:r>
    </w:p>
    <w:p w14:paraId="27BACBEB" w14:textId="77777777" w:rsidR="00841CFC" w:rsidRPr="0044524F" w:rsidRDefault="00841CFC" w:rsidP="009654CF">
      <w:pPr>
        <w:spacing w:after="0" w:line="240" w:lineRule="auto"/>
        <w:jc w:val="both"/>
        <w:rPr>
          <w:rFonts w:ascii="Times New Roman" w:hAnsi="Times New Roman"/>
          <w:color w:val="000000" w:themeColor="text1"/>
          <w:sz w:val="16"/>
          <w:szCs w:val="16"/>
        </w:rPr>
      </w:pPr>
    </w:p>
    <w:p w14:paraId="55AD7CC5"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B987871"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23516FF4" w14:textId="77777777" w:rsidR="006B4FD0" w:rsidRPr="0044524F" w:rsidRDefault="006B4F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апреля 1933 г. Инженер Ф.Трояни в докладе начальнику Дирижаблестроя Фельдману дал характеристику возникшим вследствие дефектов в чертежах недостаткам отдельных частей В-5, которые были «смягчены но не устранены» и сделал заключение: «Считаю, что дирижабль в настоящее время может пойти в испытательный полет с достаточной надежностью». В то же время Трояни указал на необходимость «после первых полетов перейти к тщательной проверке киля, чтобы судить - будет ли в состоянии дирижабль нести регулярную службу» [4, л.154-157] (15797).</w:t>
      </w:r>
    </w:p>
    <w:p w14:paraId="0640A282" w14:textId="77777777" w:rsidR="006B4FD0" w:rsidRPr="0044524F" w:rsidRDefault="006B4FD0" w:rsidP="009654CF">
      <w:pPr>
        <w:spacing w:after="0" w:line="240" w:lineRule="auto"/>
        <w:jc w:val="both"/>
        <w:rPr>
          <w:rFonts w:ascii="Times New Roman" w:hAnsi="Times New Roman"/>
          <w:color w:val="000000" w:themeColor="text1"/>
          <w:sz w:val="16"/>
          <w:szCs w:val="16"/>
        </w:rPr>
      </w:pPr>
    </w:p>
    <w:p w14:paraId="78A717E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апреля 1933 Нач. ВМС РККА Орлов писал письмо N 161830 ГУАП П.И.Б. о том, что опытный образец торпедного катера 5Г, построенный ЦАГИ, прибыл в Севастополь для ходовых испытаний 23 февраля 1933 и до сих пор не имеет ни одного выхода на испытания по причине совершенно неудовлетворительной подготовки к испытаниям со стороны работников ЦАГИ... (2305,26).</w:t>
      </w:r>
    </w:p>
    <w:p w14:paraId="3D4D38CF"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образец торпедного катера типа 5Г, построенный ЦАГИ, прибыл в Севастополь для производства ходовых испытаний еще 23.П.33 г. и до сих пор не имел ни одного выхода на испы</w:t>
      </w:r>
      <w:r w:rsidRPr="0044524F">
        <w:rPr>
          <w:rFonts w:ascii="Times New Roman" w:hAnsi="Times New Roman"/>
          <w:color w:val="000000" w:themeColor="text1"/>
          <w:sz w:val="16"/>
          <w:szCs w:val="16"/>
        </w:rPr>
        <w:softHyphen/>
        <w:t>тания, по причине совершенно неудовлетворительной подготовки к испытаниям со стороны работников ЦАГИ (несвоевременной высылки бригады рабочих, задержки в высылке инструментов, час</w:t>
      </w:r>
      <w:r w:rsidRPr="0044524F">
        <w:rPr>
          <w:rFonts w:ascii="Times New Roman" w:hAnsi="Times New Roman"/>
          <w:color w:val="000000" w:themeColor="text1"/>
          <w:sz w:val="16"/>
          <w:szCs w:val="16"/>
        </w:rPr>
        <w:softHyphen/>
        <w:t>тей реверсов и т.д.).</w:t>
      </w:r>
    </w:p>
    <w:p w14:paraId="56893E15"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Инженеры Управления Кораблестроения вынуждены сидеть в Севастополе в ожидании производства испытания катера.</w:t>
      </w:r>
    </w:p>
    <w:p w14:paraId="6A1F802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Ваших указаний Директору ЦАГИ на необходимость ускорения производства ходовых испытаний с тем, чтобы УВМС теперь-же могло приступить к серийной постройке этого типа катеров (2305,26).</w:t>
      </w:r>
    </w:p>
    <w:p w14:paraId="55840772"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451E91DB" w14:textId="77777777" w:rsidR="006B4FD0"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0CE588C" w14:textId="77777777" w:rsidR="006B4FD0" w:rsidRPr="0044524F" w:rsidRDefault="006B4FD0" w:rsidP="009654CF">
      <w:pPr>
        <w:spacing w:after="0" w:line="240" w:lineRule="auto"/>
        <w:jc w:val="both"/>
        <w:rPr>
          <w:rFonts w:ascii="Times New Roman" w:hAnsi="Times New Roman"/>
          <w:iCs/>
          <w:color w:val="000000" w:themeColor="text1"/>
          <w:sz w:val="16"/>
          <w:szCs w:val="16"/>
        </w:rPr>
      </w:pPr>
    </w:p>
    <w:p w14:paraId="4727D278" w14:textId="77777777" w:rsidR="006B4FD0" w:rsidRPr="0044524F" w:rsidRDefault="006B4FD0" w:rsidP="009654CF">
      <w:pPr>
        <w:pStyle w:val="rtejustify"/>
        <w:spacing w:before="0" w:after="0"/>
        <w:rPr>
          <w:color w:val="000000" w:themeColor="text1"/>
          <w:sz w:val="16"/>
          <w:szCs w:val="16"/>
        </w:rPr>
      </w:pPr>
      <w:r w:rsidRPr="0044524F">
        <w:rPr>
          <w:rStyle w:val="af0"/>
          <w:bCs/>
          <w:i w:val="0"/>
          <w:color w:val="000000" w:themeColor="text1"/>
          <w:sz w:val="16"/>
          <w:szCs w:val="16"/>
        </w:rPr>
        <w:t>11 апреля</w:t>
      </w:r>
      <w:r w:rsidRPr="0044524F">
        <w:rPr>
          <w:color w:val="000000" w:themeColor="text1"/>
          <w:sz w:val="16"/>
          <w:szCs w:val="16"/>
        </w:rPr>
        <w:t xml:space="preserve"> 1933 вышел приказ РВСС № 8. 1. О вооружении связи РККА. (Синявский, Жуков, Берг). 2. О качественном состоянии взрывателей. (Куйбышев, Ефимов). 8. — 3). Сообщение о подписании председателем РВСС постановления РВСС «Об итогах выполнения плана заказов НКВМора за 1932 г. от 11 апреля 1933 г.». (РГВА. Ф. 4. Оп. 18. Д. 23. Л. 133</w:t>
      </w:r>
      <w:r w:rsidRPr="0044524F">
        <w:rPr>
          <w:color w:val="000000" w:themeColor="text1"/>
          <w:sz w:val="16"/>
          <w:szCs w:val="16"/>
        </w:rPr>
        <w:noBreakHyphen/>
        <w:t>134) (15461).</w:t>
      </w:r>
    </w:p>
    <w:p w14:paraId="5DC216BD" w14:textId="77777777" w:rsidR="006B4FD0" w:rsidRPr="0044524F" w:rsidRDefault="006B4FD0" w:rsidP="009654CF">
      <w:pPr>
        <w:pStyle w:val="rtejustify"/>
        <w:spacing w:before="0" w:after="0"/>
        <w:rPr>
          <w:color w:val="000000" w:themeColor="text1"/>
          <w:sz w:val="16"/>
          <w:szCs w:val="16"/>
        </w:rPr>
      </w:pPr>
    </w:p>
    <w:p w14:paraId="79EF45FF" w14:textId="77777777" w:rsidR="006B4FD0" w:rsidRPr="0044524F" w:rsidRDefault="006B4FD0"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11 апреля 1933 г. </w:t>
      </w:r>
      <w:r w:rsidRPr="0044524F">
        <w:rPr>
          <w:rFonts w:ascii="Times New Roman" w:hAnsi="Times New Roman"/>
          <w:color w:val="000000" w:themeColor="text1"/>
          <w:sz w:val="16"/>
          <w:szCs w:val="16"/>
        </w:rPr>
        <w:t>Доклад начальника Военно-морской инспекции НК РКИ СССР¹* H. В. Куйбышева на заседании Реввоенсовета СССР о результатах проверки состояния качества взрывателей и дистанционных трубок для снарядов сухопутной артиллерии</w:t>
      </w:r>
    </w:p>
    <w:p w14:paraId="6B5D32B5" w14:textId="77777777" w:rsidR="006B4FD0" w:rsidRPr="0044524F" w:rsidRDefault="006B4FD0"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716F3952"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Произведенная проверка состояния качества взрывателей и дистанционных трубок для снарядов сухопутной артиллерии выявила следующее положение.</w:t>
      </w:r>
    </w:p>
    <w:p w14:paraId="52F6EA76"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А. По взрывателям</w:t>
      </w:r>
    </w:p>
    <w:p w14:paraId="658D8B74"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а) для мелкокалиберных снарядов</w:t>
      </w:r>
    </w:p>
    <w:p w14:paraId="022BD223"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1. Взрыватель МГ</w:t>
      </w:r>
      <w:r w:rsidRPr="0044524F">
        <w:rPr>
          <w:color w:val="000000" w:themeColor="text1"/>
          <w:sz w:val="16"/>
          <w:szCs w:val="16"/>
        </w:rPr>
        <w:noBreakHyphen/>
        <w:t>1 (мгновенного действия, головной). Для 20</w:t>
      </w:r>
      <w:r w:rsidRPr="0044524F">
        <w:rPr>
          <w:color w:val="000000" w:themeColor="text1"/>
          <w:sz w:val="16"/>
          <w:szCs w:val="16"/>
        </w:rPr>
        <w:noBreakHyphen/>
        <w:t>мм осколочных снарядов. Конструкция взрывателя имеется, но не проверена всесторонними испытаниями. На вооружение не принят, тем не менее ГАУ РККА выдало в 1932 г. валовой заказ на 60 тыс. шт. Изготовлено 60 300 шт. и уплачено за них 210 тыс. руб.</w:t>
      </w:r>
    </w:p>
    <w:p w14:paraId="662938E4"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2. Взрыватель МГ</w:t>
      </w:r>
      <w:r w:rsidRPr="0044524F">
        <w:rPr>
          <w:color w:val="000000" w:themeColor="text1"/>
          <w:sz w:val="16"/>
          <w:szCs w:val="16"/>
        </w:rPr>
        <w:noBreakHyphen/>
        <w:t>2 (мгновенного действия, головной). Для 37</w:t>
      </w:r>
      <w:r w:rsidRPr="0044524F">
        <w:rPr>
          <w:color w:val="000000" w:themeColor="text1"/>
          <w:sz w:val="16"/>
          <w:szCs w:val="16"/>
        </w:rPr>
        <w:noBreakHyphen/>
        <w:t>мм осколочных снарядов. Конструкция взрывателя не вызывает сомнений. Капсюль для этого взрывателя, применяемый и для взрывателя МГ</w:t>
      </w:r>
      <w:r w:rsidRPr="0044524F">
        <w:rPr>
          <w:color w:val="000000" w:themeColor="text1"/>
          <w:sz w:val="16"/>
          <w:szCs w:val="16"/>
        </w:rPr>
        <w:noBreakHyphen/>
        <w:t>1, для долговременного хранения не годен — коррозируется. Производство их приостановлено и ведутся опыты по новому капсюлю. Таким образом, для взрывателей МГ</w:t>
      </w:r>
      <w:r w:rsidRPr="0044524F">
        <w:rPr>
          <w:color w:val="000000" w:themeColor="text1"/>
          <w:sz w:val="16"/>
          <w:szCs w:val="16"/>
        </w:rPr>
        <w:noBreakHyphen/>
        <w:t>1 и МГ</w:t>
      </w:r>
      <w:r w:rsidRPr="0044524F">
        <w:rPr>
          <w:color w:val="000000" w:themeColor="text1"/>
          <w:sz w:val="16"/>
          <w:szCs w:val="16"/>
        </w:rPr>
        <w:noBreakHyphen/>
        <w:t>2 нет стойких капсюлей. На вооружение взрыватель не принят. Независимо от этого ГАУ РККА выдало в 1932 г. валовой заказ промышленности на 620 тыс. шт. Изготовлено около 500 тыс. корпусов, не обеспеченных капсюлями. За эти корпуса уплачено 1 млн. руб.</w:t>
      </w:r>
    </w:p>
    <w:p w14:paraId="56787B2A"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3. Взрыватель МГ</w:t>
      </w:r>
      <w:r w:rsidRPr="0044524F">
        <w:rPr>
          <w:color w:val="000000" w:themeColor="text1"/>
          <w:sz w:val="16"/>
          <w:szCs w:val="16"/>
        </w:rPr>
        <w:noBreakHyphen/>
        <w:t>1 (мгновенного действия, донный). Для 20</w:t>
      </w:r>
      <w:r w:rsidRPr="0044524F">
        <w:rPr>
          <w:color w:val="000000" w:themeColor="text1"/>
          <w:sz w:val="16"/>
          <w:szCs w:val="16"/>
        </w:rPr>
        <w:noBreakHyphen/>
        <w:t>мм бронебойных снарядов. Разработанной конструкции взрывателя нет.</w:t>
      </w:r>
    </w:p>
    <w:p w14:paraId="6719E029"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4. Взрыватель ИД</w:t>
      </w:r>
      <w:r w:rsidRPr="0044524F">
        <w:rPr>
          <w:color w:val="000000" w:themeColor="text1"/>
          <w:sz w:val="16"/>
          <w:szCs w:val="16"/>
        </w:rPr>
        <w:noBreakHyphen/>
        <w:t>2 (мгновенного действия, донный). Для 37 и 45</w:t>
      </w:r>
      <w:r w:rsidRPr="0044524F">
        <w:rPr>
          <w:color w:val="000000" w:themeColor="text1"/>
          <w:sz w:val="16"/>
          <w:szCs w:val="16"/>
        </w:rPr>
        <w:noBreakHyphen/>
        <w:t>мм бронебойных снарядов. Для применения к 37</w:t>
      </w:r>
      <w:r w:rsidRPr="0044524F">
        <w:rPr>
          <w:color w:val="000000" w:themeColor="text1"/>
          <w:sz w:val="16"/>
          <w:szCs w:val="16"/>
        </w:rPr>
        <w:noBreakHyphen/>
        <w:t>мм бронебойным снарядам не вызывает сомнений. Пригодность взрывателя для 45</w:t>
      </w:r>
      <w:r w:rsidRPr="0044524F">
        <w:rPr>
          <w:color w:val="000000" w:themeColor="text1"/>
          <w:sz w:val="16"/>
          <w:szCs w:val="16"/>
        </w:rPr>
        <w:noBreakHyphen/>
        <w:t>мм бронебойных снарядов — основной мелкокалиберной артиллерии — окончательно не установлена, т. к. не проведены всесторонние испытания. В конструкции взрывателя трасса не обеспечивает полностью пристрелку по местности на ближние дистанции, что надо отнести к существенному недостатку. Капсюль-воспламенитель не вызывает сомнений. Капсюль-детонатор не пригоден для долговременного хранения — коррозируется. Для взрывателя нет стойкого капсюля. На вооружение армии не принят.</w:t>
      </w:r>
    </w:p>
    <w:p w14:paraId="66B95FEE"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По программе 1932 г. ГАУ РККА выдало валовой заказ промышленности, главным образом для обеспечения 45</w:t>
      </w:r>
      <w:r w:rsidRPr="0044524F">
        <w:rPr>
          <w:color w:val="000000" w:themeColor="text1"/>
          <w:sz w:val="16"/>
          <w:szCs w:val="16"/>
        </w:rPr>
        <w:noBreakHyphen/>
        <w:t>мм снарядов, на 2 млн. 965 тыс. шт. взрывателей. Изготовлено свыше 1,5 млн. шт., на которых 1 млн. шт. не обеспечены капсюлями. За них уплачено 4,5 млн. руб.</w:t>
      </w:r>
    </w:p>
    <w:p w14:paraId="70A221E6"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5. Взрыватель для 37</w:t>
      </w:r>
      <w:r w:rsidRPr="0044524F">
        <w:rPr>
          <w:color w:val="000000" w:themeColor="text1"/>
          <w:sz w:val="16"/>
          <w:szCs w:val="16"/>
        </w:rPr>
        <w:noBreakHyphen/>
        <w:t>мм ружья Курчевского. Утвержденного и испытанного взрывателя нет. Таким образом, в настоящее время мелкокалиберная артиллерия не обеспечивается проверенными взрывателями.</w:t>
      </w:r>
    </w:p>
    <w:p w14:paraId="16FB58BD"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б) для снарядов средних и крупных калибров</w:t>
      </w:r>
    </w:p>
    <w:p w14:paraId="4387F897"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1. Взрыватель для снарядов к пушкам Курчевского — ЛМК и авиационным (заряжаемым с дула и с пояском Минье). Утвержденного и испытанного образца взрывателя нет. Взрыватель «КАТ» не пригоден, т. к. дает преждевременные разрывы, причины которых не изучены.</w:t>
      </w:r>
    </w:p>
    <w:p w14:paraId="52589FF5"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2. Взрыватель «КАТ» (мгновенного и обыкновенного действия). Применяется для калибров снарядов до 203 мм. Взрыватель не вызывает сомнений, однако еще не принят на вооружение армии. Производство капсюлей для взрывателя не освоено и сейчас свыше 1 млн. корпусов взрывателей не обеспечены капсюлями.</w:t>
      </w:r>
    </w:p>
    <w:p w14:paraId="2CFD5172"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lastRenderedPageBreak/>
        <w:t>3. Взрыватель РГ</w:t>
      </w:r>
      <w:r w:rsidRPr="0044524F">
        <w:rPr>
          <w:color w:val="000000" w:themeColor="text1"/>
          <w:sz w:val="16"/>
          <w:szCs w:val="16"/>
        </w:rPr>
        <w:noBreakHyphen/>
        <w:t>6 универсального типа (мгновенного, замедленного и обыкновенного действия). Постановлением РВС принят на вооружение армии как универсального типа для снарядов увеличенной дальности — осколочно-фугасных, осколочно-химических и осколочно-дымных 76, 107, 122 и 152</w:t>
      </w:r>
      <w:r w:rsidRPr="0044524F">
        <w:rPr>
          <w:color w:val="000000" w:themeColor="text1"/>
          <w:sz w:val="16"/>
          <w:szCs w:val="16"/>
        </w:rPr>
        <w:noBreakHyphen/>
        <w:t>мм пушек-гаубиц. До 1932 г. изготовлено и принято около 500 тыс. шт.</w:t>
      </w:r>
    </w:p>
    <w:p w14:paraId="0D2A5B48"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По программе 1932 г. ГАУ РККА выдало заказ на 2 867 200 шт., из которых принято примерно 2 млн. шт. с уплатой за них свыше 21 млн. руб. Все изготовленные 2,5 млн. шт. взрывателей являются сомнительными и безусловно негодными — опасными для стрельбы из пушек, т. к. дают преждевременные разрывы перед дулом. У всех изготовленных взрывателей вставленные капсюля-воспламенители имеют подрез фольги и негодны для стрельбы из пушек и гаубиц.</w:t>
      </w:r>
    </w:p>
    <w:p w14:paraId="2CFC9CF8"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Капсюль-детонатор окончательно не доработан. Во всех изготовленных взрывателях подлежат замене капсюля и, кроме того, взрыватели подлежат переборке для проверки сборки. Стоимость этой работы определяется около 2,5 млн. руб. В настоящем состоянии взрыватель не может быть использован для стрельбы. Конструкцию взрывателя надо считать недоработанной. На вооружение армии взрыватель был принят конструктивно недоработанным и без всесторонних испытаний.</w:t>
      </w:r>
    </w:p>
    <w:p w14:paraId="721E9854"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4. Взрыватель 5ДТ</w:t>
      </w:r>
      <w:r w:rsidRPr="0044524F">
        <w:rPr>
          <w:color w:val="000000" w:themeColor="text1"/>
          <w:sz w:val="16"/>
          <w:szCs w:val="16"/>
        </w:rPr>
        <w:noBreakHyphen/>
        <w:t>2 для 203</w:t>
      </w:r>
      <w:r w:rsidRPr="0044524F">
        <w:rPr>
          <w:color w:val="000000" w:themeColor="text1"/>
          <w:sz w:val="16"/>
          <w:szCs w:val="16"/>
        </w:rPr>
        <w:noBreakHyphen/>
        <w:t>мм снарядов. Взрыватель старого образца и как испытанный в минувших войнах не вызывает сомнений. Производство приостановлено за отсутствием импортного никеля для капсюлей.</w:t>
      </w:r>
    </w:p>
    <w:p w14:paraId="1AC6BE3C"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5. Взрыватель 24/31 казенного образца. Применяется для снарядов старого чертежа. В запасах ГАУ РККА имеется около 3 млн. шт., опасных для стрельбы. Все подлежат переделке, к которой только приступлено и лишь в опытном порядке.</w:t>
      </w:r>
    </w:p>
    <w:p w14:paraId="557CD70B"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6. Взрыватель для мин Стокса (107 мм). Разработанной конструкции нет. Ведется опытная разработка взрывателя.</w:t>
      </w:r>
    </w:p>
    <w:p w14:paraId="31529345"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7. Взрыватель для бетонно-бойных снарядов 122 мм, 152 и 203 мм. Разработанной и утвержденной конструкции взрывателя нет.</w:t>
      </w:r>
    </w:p>
    <w:p w14:paraId="47E8827A"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Б. По дистанционным трубкам</w:t>
      </w:r>
    </w:p>
    <w:p w14:paraId="3DE255F1"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1. Трубка «Д». Для 76, 107,122, 152</w:t>
      </w:r>
      <w:r w:rsidRPr="0044524F">
        <w:rPr>
          <w:color w:val="000000" w:themeColor="text1"/>
          <w:sz w:val="16"/>
          <w:szCs w:val="16"/>
        </w:rPr>
        <w:noBreakHyphen/>
        <w:t>мм орудий. Постановлением РВС принята на вооружение взамен 22, 34 и 45 секундных дистанционных трубок, производство которых прекращено. Трубка «Д» принята на вооружение конструктивно недоработанной и по своим качествам не лучше трубок старого образца. В последнее время трубка дает преждевременные разрывы, причины которых окончательно не установлены, и, кроме того, при хранении коррозируется. До 1931 г. изготавливались трубки с запрессовкой различными порохами и с различной накаткой, что создает затруднения при стрельбах. Для стрельбы по зенитным целям мало пригодна из-за большого рассеивания. Для снаряда к пушкам Курчевского, заряжаемых с дула и с пояском Минье (ЛМК и авиационных) трубка «Д» непригодна, т. к. дает преждевременные разрывы.</w:t>
      </w:r>
    </w:p>
    <w:p w14:paraId="2F07CD4D" w14:textId="77777777" w:rsidR="006B4FD0" w:rsidRPr="0044524F" w:rsidRDefault="006B4F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Трубка «Д» подлежит замене и для этой цели в опытном порядке разрабатывается трубка «Т</w:t>
      </w:r>
      <w:r w:rsidRPr="0044524F">
        <w:rPr>
          <w:rFonts w:ascii="Times New Roman" w:hAnsi="Times New Roman"/>
          <w:color w:val="000000" w:themeColor="text1"/>
          <w:sz w:val="16"/>
          <w:szCs w:val="16"/>
        </w:rPr>
        <w:noBreakHyphen/>
        <w:t>3». По программе 1932 г. ГАУ РККА выдало заказ на 2,8 млн. шт. трубок «Д». Всего этих трубок имеется около 3 млн. шт. стоимостью 24 млн. руб.</w:t>
      </w:r>
    </w:p>
    <w:p w14:paraId="595BD924"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2. Механическая трубка «Тилль-Крупп». Конструкция трубки не вызывает сомнений, как испытанная немцами. Изготовленная партия этих трубок нашими конструкторскими бюро при отстрелах показала удовлетворительные результаты по рассеиванию, но с большим процентом отказов, которые объясняются недостаточным освоением производства.</w:t>
      </w:r>
    </w:p>
    <w:p w14:paraId="33A60F93"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3. Механическая трубка Георгиева. Всесторонние испытания не произведены, и поэтому нельзя судить о достоинствах трубки. Следовательно, пока приходится базироваться на запасах старых дистанционных трубок, которые не обеспечивают современную стрельбу и особенно зенитную.</w:t>
      </w:r>
    </w:p>
    <w:p w14:paraId="04B0378C" w14:textId="77777777" w:rsidR="006B4FD0" w:rsidRPr="0044524F" w:rsidRDefault="006B4FD0" w:rsidP="009654CF">
      <w:pPr>
        <w:pStyle w:val="rtejustify"/>
        <w:spacing w:before="0" w:after="0"/>
        <w:rPr>
          <w:color w:val="000000" w:themeColor="text1"/>
          <w:sz w:val="16"/>
          <w:szCs w:val="16"/>
        </w:rPr>
      </w:pPr>
      <w:r w:rsidRPr="0044524F">
        <w:rPr>
          <w:rStyle w:val="a7"/>
          <w:rFonts w:eastAsiaTheme="majorEastAsia"/>
          <w:b w:val="0"/>
          <w:color w:val="000000" w:themeColor="text1"/>
          <w:sz w:val="16"/>
          <w:szCs w:val="16"/>
        </w:rPr>
        <w:t>В.</w:t>
      </w:r>
      <w:r w:rsidRPr="0044524F">
        <w:rPr>
          <w:color w:val="000000" w:themeColor="text1"/>
          <w:sz w:val="16"/>
          <w:szCs w:val="16"/>
        </w:rPr>
        <w:t xml:space="preserve"> Производство капсюлей для взрывателей и дистанционных трубок находится в тяжелом положении и заводы Вохимтреста не обеспечивают количественную и качественную подачу капсюлей. Производство капсюлей не освоено, технологический процесс не зафиксирован и отсутствует надлежащий технический контроль за капсюльным производством. Научно-исследовательские и конструкторские работы развернуты слабо и не увязываются с работой конструкторского бюро Патрубвзрыва, конструирующего взрыватели и дистанционные трубки. Необходимая опытная мастерская по капсюлям при ВХНИИ не создана. Не велась работа по созданию кадров по капсюльному производству. При необходимости для производства капсюлей высококачественного алюминия, заводы Вохимтреста снабжались алюминием низкого качества 2</w:t>
      </w:r>
      <w:r w:rsidRPr="0044524F">
        <w:rPr>
          <w:color w:val="000000" w:themeColor="text1"/>
          <w:sz w:val="16"/>
          <w:szCs w:val="16"/>
        </w:rPr>
        <w:noBreakHyphen/>
        <w:t>3 сорта с рядом вредных примесей, который в соединении с взрывчатым составом капсюлей вызывает коррозию их.</w:t>
      </w:r>
    </w:p>
    <w:p w14:paraId="774FB1B9"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Несмотря на неоднократное заострение вопроса о тяжелом положении с капсюльным производством, тем не менее ГВМУ НКТП, бывшее Вохимобъединение и Вохимтрест не принимали необходимых мер для выпуска в должном количестве и доброкачественных капсюлей.</w:t>
      </w:r>
    </w:p>
    <w:p w14:paraId="47620B6E" w14:textId="77777777" w:rsidR="006B4FD0" w:rsidRPr="0044524F" w:rsidRDefault="006B4FD0" w:rsidP="009654CF">
      <w:pPr>
        <w:pStyle w:val="rtejustify"/>
        <w:spacing w:before="0" w:after="0"/>
        <w:rPr>
          <w:color w:val="000000" w:themeColor="text1"/>
          <w:sz w:val="16"/>
          <w:szCs w:val="16"/>
        </w:rPr>
      </w:pPr>
      <w:r w:rsidRPr="0044524F">
        <w:rPr>
          <w:rStyle w:val="a7"/>
          <w:rFonts w:eastAsiaTheme="majorEastAsia"/>
          <w:b w:val="0"/>
          <w:color w:val="000000" w:themeColor="text1"/>
          <w:sz w:val="16"/>
          <w:szCs w:val="16"/>
        </w:rPr>
        <w:t>Г.</w:t>
      </w:r>
      <w:r w:rsidRPr="0044524F">
        <w:rPr>
          <w:color w:val="000000" w:themeColor="text1"/>
          <w:sz w:val="16"/>
          <w:szCs w:val="16"/>
        </w:rPr>
        <w:t xml:space="preserve"> При конструктивной недоработанности взрывателей и дистанционных трубок и без всесторонних испытаний их ГАУ РККА выдало валовые заказы на них промышленности и в настоящее время имеется изготовленных: а) взрывателей МГ</w:t>
      </w:r>
      <w:r w:rsidRPr="0044524F">
        <w:rPr>
          <w:color w:val="000000" w:themeColor="text1"/>
          <w:sz w:val="16"/>
          <w:szCs w:val="16"/>
        </w:rPr>
        <w:noBreakHyphen/>
        <w:t>1 — 60 300 шт. стоимостью 210 тыс. руб.; б) взрывателей МГ</w:t>
      </w:r>
      <w:r w:rsidRPr="0044524F">
        <w:rPr>
          <w:color w:val="000000" w:themeColor="text1"/>
          <w:sz w:val="16"/>
          <w:szCs w:val="16"/>
        </w:rPr>
        <w:noBreakHyphen/>
        <w:t>2 — 500 тыс. шт. стоимостью 1 млн. руб.; в) взрывателей ИД</w:t>
      </w:r>
      <w:r w:rsidRPr="0044524F">
        <w:rPr>
          <w:color w:val="000000" w:themeColor="text1"/>
          <w:sz w:val="16"/>
          <w:szCs w:val="16"/>
        </w:rPr>
        <w:noBreakHyphen/>
        <w:t>2 — 1,5 млн. шт. стоимостью 4,5 млн. руб.; г) взрывателей РГ</w:t>
      </w:r>
      <w:r w:rsidRPr="0044524F">
        <w:rPr>
          <w:color w:val="000000" w:themeColor="text1"/>
          <w:sz w:val="16"/>
          <w:szCs w:val="16"/>
        </w:rPr>
        <w:noBreakHyphen/>
        <w:t>6 — 2,5 млн. шт. стоимостью 28 млн. руб.; д) дистанционных трубок «Д» — 3 млн. шт. стоимостью 24 млн. руб.; е) требуется для исправления 2,5 млн. шт. взрывателей РГ</w:t>
      </w:r>
      <w:r w:rsidRPr="0044524F">
        <w:rPr>
          <w:color w:val="000000" w:themeColor="text1"/>
          <w:sz w:val="16"/>
          <w:szCs w:val="16"/>
        </w:rPr>
        <w:noBreakHyphen/>
        <w:t>6 стоимостью 2,5 млн. руб. Итого — 60 млн. 210 тыс. руб.</w:t>
      </w:r>
    </w:p>
    <w:p w14:paraId="175D534E"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Все это количество взрывателей и дистанционных трубок стоимостью 60 млн. 210 тыс. руб. не может быть использовано ввиду ненадежности действия, опасности для стрельбы и отсутствия проверенных и в необходимом количестве капсюлей. Докладывая об этом, прошу поставить данный вопрос на рассмотрение КО.</w:t>
      </w:r>
    </w:p>
    <w:p w14:paraId="725190BA" w14:textId="77777777" w:rsidR="006B4FD0" w:rsidRPr="0044524F" w:rsidRDefault="006B4FD0" w:rsidP="009654CF">
      <w:pPr>
        <w:pStyle w:val="ae"/>
        <w:spacing w:before="0" w:after="0"/>
        <w:jc w:val="both"/>
        <w:rPr>
          <w:color w:val="000000" w:themeColor="text1"/>
          <w:sz w:val="16"/>
          <w:szCs w:val="16"/>
        </w:rPr>
      </w:pPr>
      <w:r w:rsidRPr="0044524F">
        <w:rPr>
          <w:rStyle w:val="af0"/>
          <w:i w:val="0"/>
          <w:color w:val="000000" w:themeColor="text1"/>
          <w:sz w:val="16"/>
          <w:szCs w:val="16"/>
        </w:rPr>
        <w:t>Член коллегии НК РКИ СССР, начальник ВМИ Куйбышев</w:t>
      </w:r>
    </w:p>
    <w:p w14:paraId="3E2A3505" w14:textId="77777777" w:rsidR="006B4FD0" w:rsidRPr="0044524F" w:rsidRDefault="006B4FD0"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Примечание</w:t>
      </w:r>
      <w:r w:rsidRPr="0044524F">
        <w:rPr>
          <w:color w:val="000000" w:themeColor="text1"/>
          <w:sz w:val="16"/>
          <w:szCs w:val="16"/>
        </w:rPr>
        <w:t>:</w:t>
      </w:r>
    </w:p>
    <w:p w14:paraId="7440C79F"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¹* Наркомат рабоче-крестьянской инспекции (НК РКИ) был создан постановлением ВЦИК от 7 февраля 1920 г., как орган социалистического контроля. По решению XII съезда РКП(б) был образован двуединый орган партийно-государственного контроля ЦКК — НК РКИ. Решение съезда было законодательно закреплено постановлением Президиума ЦИК и СНК СССР от 6 сентября 1923 г. и постановлением 3</w:t>
      </w:r>
      <w:r w:rsidRPr="0044524F">
        <w:rPr>
          <w:color w:val="000000" w:themeColor="text1"/>
          <w:sz w:val="16"/>
          <w:szCs w:val="16"/>
        </w:rPr>
        <w:noBreakHyphen/>
        <w:t>й сессии ЦИК СССР от 12 ноября 1923 г., где было утверждено новое положение о Наркомате РКИ. Аппарат союзного народного комиссариата состоял из коллегии при наркоме, четырех центральных управлений, которые подразделялись на секции, инспекции и отделы, и трех самостоятельных отделов. В составе Оперативного управления НК РКИ работу военной промышленности контролировала Военно-морская инспекция. ЦКК — НК РКИ СССР был упразднен постановлением ЦИК и СНК СССР от 11 февраля 1934 г., в связи с созданием Комиссии партийного контроля при СНК СССР. (СУ РСФСР. 1920 1937 вышел приказ НКОП № 16. Ст. 94; ГА РФ. Ф. Р</w:t>
      </w:r>
      <w:r w:rsidRPr="0044524F">
        <w:rPr>
          <w:color w:val="000000" w:themeColor="text1"/>
          <w:sz w:val="16"/>
          <w:szCs w:val="16"/>
        </w:rPr>
        <w:noBreakHyphen/>
        <w:t>374. Оп. 1. Д. 1. Л. 19</w:t>
      </w:r>
      <w:r w:rsidRPr="0044524F">
        <w:rPr>
          <w:color w:val="000000" w:themeColor="text1"/>
          <w:sz w:val="16"/>
          <w:szCs w:val="16"/>
        </w:rPr>
        <w:noBreakHyphen/>
        <w:t>19 об.)</w:t>
      </w:r>
    </w:p>
    <w:p w14:paraId="7437118D"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РГАЭ. Ф. 7297. Оп. 41. Д. 28. Л. 128-122. Копия (15262).</w:t>
      </w:r>
    </w:p>
    <w:p w14:paraId="7FA9328C" w14:textId="77777777" w:rsidR="006B4FD0" w:rsidRPr="0044524F" w:rsidRDefault="006B4FD0" w:rsidP="009654CF">
      <w:pPr>
        <w:spacing w:after="0" w:line="240" w:lineRule="auto"/>
        <w:jc w:val="both"/>
        <w:rPr>
          <w:rStyle w:val="af0"/>
          <w:rFonts w:ascii="Times New Roman" w:hAnsi="Times New Roman"/>
          <w:i w:val="0"/>
          <w:color w:val="000000" w:themeColor="text1"/>
          <w:sz w:val="16"/>
          <w:szCs w:val="16"/>
        </w:rPr>
      </w:pPr>
    </w:p>
    <w:p w14:paraId="19052D75" w14:textId="77777777" w:rsidR="006B4FD0" w:rsidRPr="0044524F" w:rsidRDefault="006B4FD0" w:rsidP="009654CF">
      <w:pPr>
        <w:pStyle w:val="rtejustify"/>
        <w:spacing w:before="0" w:after="0"/>
        <w:rPr>
          <w:color w:val="000000" w:themeColor="text1"/>
          <w:sz w:val="16"/>
          <w:szCs w:val="16"/>
        </w:rPr>
      </w:pPr>
      <w:r w:rsidRPr="0044524F">
        <w:rPr>
          <w:rStyle w:val="af0"/>
          <w:bCs/>
          <w:i w:val="0"/>
          <w:color w:val="000000" w:themeColor="text1"/>
          <w:sz w:val="16"/>
          <w:szCs w:val="16"/>
        </w:rPr>
        <w:t>11 апреля</w:t>
      </w:r>
      <w:r w:rsidRPr="0044524F">
        <w:rPr>
          <w:color w:val="000000" w:themeColor="text1"/>
          <w:sz w:val="16"/>
          <w:szCs w:val="16"/>
        </w:rPr>
        <w:t xml:space="preserve"> 1933 Постановление РВСС «Об итогах выполнения плана заказов НКВМора за 1932 г.». (Ф. 4. Оп. 18. Д. 23. Л. 143</w:t>
      </w:r>
      <w:r w:rsidRPr="0044524F">
        <w:rPr>
          <w:color w:val="000000" w:themeColor="text1"/>
          <w:sz w:val="16"/>
          <w:szCs w:val="16"/>
        </w:rPr>
        <w:noBreakHyphen/>
        <w:t>147) (15461).</w:t>
      </w:r>
    </w:p>
    <w:p w14:paraId="76AD9A12" w14:textId="77777777" w:rsidR="006B4FD0" w:rsidRPr="0044524F" w:rsidRDefault="006B4FD0" w:rsidP="009654CF">
      <w:pPr>
        <w:pStyle w:val="rtejustify"/>
        <w:spacing w:before="0" w:after="0"/>
        <w:rPr>
          <w:rStyle w:val="af0"/>
          <w:bCs/>
          <w:i w:val="0"/>
          <w:color w:val="000000" w:themeColor="text1"/>
          <w:sz w:val="16"/>
          <w:szCs w:val="16"/>
        </w:rPr>
      </w:pPr>
    </w:p>
    <w:p w14:paraId="7CFCAA0F" w14:textId="77777777" w:rsidR="006B4FD0" w:rsidRPr="0044524F" w:rsidRDefault="006B4FD0" w:rsidP="009654CF">
      <w:pPr>
        <w:pStyle w:val="rtejustify"/>
        <w:spacing w:before="0" w:after="0"/>
        <w:rPr>
          <w:color w:val="000000" w:themeColor="text1"/>
          <w:sz w:val="16"/>
          <w:szCs w:val="16"/>
        </w:rPr>
      </w:pPr>
      <w:r w:rsidRPr="0044524F">
        <w:rPr>
          <w:rStyle w:val="af0"/>
          <w:i w:val="0"/>
          <w:color w:val="000000" w:themeColor="text1"/>
          <w:sz w:val="16"/>
          <w:szCs w:val="16"/>
        </w:rPr>
        <w:t xml:space="preserve">11 апреля 1933 г. </w:t>
      </w:r>
      <w:r w:rsidRPr="0044524F">
        <w:rPr>
          <w:color w:val="000000" w:themeColor="text1"/>
          <w:sz w:val="16"/>
          <w:szCs w:val="16"/>
        </w:rPr>
        <w:t>Постановление Реввоенсовета СССР «Об итогах выполнения заказов НКВМора за 1932 г.»</w:t>
      </w:r>
    </w:p>
    <w:p w14:paraId="0414F5AB"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Революционный военный совет Союза ССР отмечает значительные успехи в деле выполнения тяжелой промышленностью заказов НКВМора за 1932 г.:</w:t>
      </w:r>
    </w:p>
    <w:p w14:paraId="33214A1C"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1. Авиапромышленность подала около 1 тыс. боевых самолетов, среди которых 160 тяжелых бомбардировщиков.</w:t>
      </w:r>
    </w:p>
    <w:p w14:paraId="1F24D55D"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2. Танковая промышленность подала РККА около 3500 бронеединиц современных типов.</w:t>
      </w:r>
    </w:p>
    <w:p w14:paraId="631A054F"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3. Военная промышленность обеспечила РККА пулеметами всех систем и приступила к освоению производства мелкокалиберной артиллерии.</w:t>
      </w:r>
    </w:p>
    <w:p w14:paraId="784A8E33"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4. Освоено массовое производство сухопутных раций и др. технических средств вооружения.</w:t>
      </w:r>
    </w:p>
    <w:p w14:paraId="5F3E26F2"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Однако наряду с успехами в работе промышленности РВСС отмечает также наличие значительного недовыполнения установленного правительством плана заказов на 1932 г.:</w:t>
      </w:r>
    </w:p>
    <w:p w14:paraId="6E690BD2"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1) Заказ на боевые самолеты выполнен в размере 51%, на авиабомбы — 50%.</w:t>
      </w:r>
    </w:p>
    <w:p w14:paraId="4EF7656F"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2) Установленная правительством программа танкового производства выполнена: а) по танкам Т</w:t>
      </w:r>
      <w:r w:rsidRPr="0044524F">
        <w:rPr>
          <w:color w:val="000000" w:themeColor="text1"/>
          <w:sz w:val="16"/>
          <w:szCs w:val="16"/>
        </w:rPr>
        <w:noBreakHyphen/>
        <w:t>26 — на 85%, б) по танкам БТ — на 66%, в) по танкеткам Т</w:t>
      </w:r>
      <w:r w:rsidRPr="0044524F">
        <w:rPr>
          <w:color w:val="000000" w:themeColor="text1"/>
          <w:sz w:val="16"/>
          <w:szCs w:val="16"/>
        </w:rPr>
        <w:noBreakHyphen/>
        <w:t>27 — на 80%, г) по бронеавтомобилям — на 5,2%.</w:t>
      </w:r>
    </w:p>
    <w:p w14:paraId="03FB2DC4"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3) Тяжелые артсистемы выполнены в незначительном размере (152</w:t>
      </w:r>
      <w:r w:rsidRPr="0044524F">
        <w:rPr>
          <w:color w:val="000000" w:themeColor="text1"/>
          <w:sz w:val="16"/>
          <w:szCs w:val="16"/>
        </w:rPr>
        <w:noBreakHyphen/>
        <w:t>мм мортиры — 8%; 152</w:t>
      </w:r>
      <w:r w:rsidRPr="0044524F">
        <w:rPr>
          <w:color w:val="000000" w:themeColor="text1"/>
          <w:sz w:val="16"/>
          <w:szCs w:val="16"/>
        </w:rPr>
        <w:noBreakHyphen/>
        <w:t>мм пушки — 1%; 203</w:t>
      </w:r>
      <w:r w:rsidRPr="0044524F">
        <w:rPr>
          <w:color w:val="000000" w:themeColor="text1"/>
          <w:sz w:val="16"/>
          <w:szCs w:val="16"/>
        </w:rPr>
        <w:noBreakHyphen/>
        <w:t>мм гаубицы — 26%).</w:t>
      </w:r>
    </w:p>
    <w:p w14:paraId="561774E5"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4) Вместо заказанных 7 млн. снарядов промышленность подала только 2 млн., в том числе наибольший недодел падает на новые мелкокалиберные (бронебойные) и тяжелые снаряды.</w:t>
      </w:r>
    </w:p>
    <w:p w14:paraId="5CEC53F9"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5) Несмотря на развернувшееся производство, подача мелкокалиберных танковых пушек фактически отсутствовала из-за неотлаженности системы и несоблюдения принципа взаимосвязанности.</w:t>
      </w:r>
    </w:p>
    <w:p w14:paraId="715E6F0A"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6) Производство средств химического нападения не обеспечивает использование наличной материальной части: а) химвещество № 6 выполнено — на 30%; б) по минометам выполнено — на 0%; в) по минам выполнено — на 15%; г) ВАПы и БХМ не обеспечены достаточным количеством ОВ;</w:t>
      </w:r>
    </w:p>
    <w:p w14:paraId="4ED6CEF0"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7) Заказ на рации для самолетов выполнен на 25% и для аэродромов на 10%.</w:t>
      </w:r>
    </w:p>
    <w:p w14:paraId="21CDB437"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8) РВС СССР особо отмечает наличие некомплектности выполнения заказов НКВМ в 1932 г., в частности: а) построенные самолеты не обеспечены рациями, прицелами, фотоаппаратами, парашютами, цистернами и бочками; б) танки не обеспечены пушками, рациями, тракторами, цистернами; в) аэростаты заграждения не имеют лебедок; г) мелкокалиберные артсистемы не обеспечены достаточным количеством снарядов; д) телефонный кабель — без катушек.</w:t>
      </w:r>
    </w:p>
    <w:p w14:paraId="6B877273"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9) Качество продукции продолжает еще оставаться неудовлетворительным; особенно велики и часты отступления от кондиций по металлу и по взаимозаменяемости частей (деталей).</w:t>
      </w:r>
    </w:p>
    <w:p w14:paraId="463EA920"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10) Отсутствуют должная проработка и поверка предварительных и отчетных калькуляций, в результате чего, как правило, цены исполнительные намного превышают цены договорные. В итоге на заводах ослабляется действительная борьба за снижение себестоимости, а центральные довольствующие управления производят значительные переплаты, подрывающие финансовую дисциплину.</w:t>
      </w:r>
    </w:p>
    <w:p w14:paraId="6CEB1A7F"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lastRenderedPageBreak/>
        <w:t>РВС СССР считает, что указанные недочеты явились результатом недостаточной организации вопросов планирования и оперативного руководства заказами НКВМ со стороны НКТяжпрома, в частности:</w:t>
      </w:r>
    </w:p>
    <w:p w14:paraId="12646D3B"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1. Подчинение заводоуправлениям отделов технического контроля способствовало пропуску в сборку деталей некондиционного качества.</w:t>
      </w:r>
    </w:p>
    <w:p w14:paraId="31BF23E9"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2. Низкое качество инструмента и недостаточное удовлетворение военных заводов мерительным и калибровым инструментом со стороны общесоюзной промышленности.</w:t>
      </w:r>
    </w:p>
    <w:p w14:paraId="0CD17352"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3. Зачастую хаотическое состояние чертежей и лекального хозяйства, а также отсутствие необходимой дисциплины и требовательности к выполнению деталей по чертежам.</w:t>
      </w:r>
    </w:p>
    <w:p w14:paraId="5A41C3D0"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4. Неудовлетворительное планирование и увязка в выполнении межзаводских заказов.</w:t>
      </w:r>
    </w:p>
    <w:p w14:paraId="2801F727"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5. Недостаточное и несвоевременное снабжение заводов промышленности черным и цветным металлами, а в отдельных случаях позаимствование этих металлов из военных заказов для общегражданских.</w:t>
      </w:r>
    </w:p>
    <w:p w14:paraId="6E735EEB"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6. При отставании в выполнении отдельных номенклатур не принимались немедленные меры для развертывания производства.</w:t>
      </w:r>
    </w:p>
    <w:p w14:paraId="5B0D4FB6"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7. Виновные в нарушении договоров не привлекались к действительной ответственности.</w:t>
      </w:r>
    </w:p>
    <w:p w14:paraId="28B7DA27"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Одновременно начальники центральных и довольствующих управлений не приняли решительных мер в деле выполнения планов заказа промышленностью, допустив при этом: 1) несвоевременное заключение договоров с промышленностью; 2) сдачу в производство недоработанных образцов; 3) несвоевременную разработку и сдачу тех условий, описаний и чертежей; 4) приемку некондиционной продукции на заводах и 5) оплату за полученную продукцию, значительно превышающую заключенными договорами.</w:t>
      </w:r>
    </w:p>
    <w:p w14:paraId="3038C643"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РВС СССР постановляет:</w:t>
      </w:r>
    </w:p>
    <w:p w14:paraId="0D1AC5BF"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1. Просить народного комиссара тяжелой промышленности т. Орджоникидзе: а) установить систематический учет выполнения военных заказов по всем номенклатурам с представлением ежемесячных итоговых данных правительству и НКВМору (по Штабу РККА); б) обеспечить производством полную комплектность объектов вооружения по заказам НКВМ; в) усилить контроль за качеством обработки деталей внутри производства и качеством выпускаемых промышленностью объектов вооружения в целом.</w:t>
      </w:r>
    </w:p>
    <w:p w14:paraId="5720D5DA"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2. Обязать начальников ЦДУ: а) одновременно с окончанием договорной кампании обеспечить своевременную сдачу промышленности всех необходимых технических условий, описаний и чертежей; б) категорически воспретить сдачу в валовой заказ недоработанных образцов материальной части; в) поквартально представить Штабу РККА, наряду со сводками о ходе выполнения заказов, данные о причинах невыполнения или отставания в выполнении отдельных номенклатур; г) усилить внимание к качеству продукции, дав указания военным представителям на заводах о выполнении всех требований приемки и строгом соблюдении технических условий и кондиций по приему; д) по-настоящему организовать калькуляционную работу и установить порядок, чтобы одновременно с выдачей заказа составлялся калькуляционный подсчет, основанный на предварительной проработке непосредственно на заводе вопроса стоимости заказа; е) организовать поверку отчетных калькуляций таким порядком, чтобы увеличение накладных расходов, проистекающее от причин, не зависящих от военного ведомства (ошибки завода, повышенный брак, простои и т. п.) — не принималась бы к оплате за счет сметы НКВМ.</w:t>
      </w:r>
    </w:p>
    <w:p w14:paraId="21B8DF25"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3. Обязать Штаб РККА ежемесячно докладывать народному комиссару о ходе выполнения плана заказов.</w:t>
      </w:r>
    </w:p>
    <w:p w14:paraId="4C5544D7"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4. Обязать Штаб РККА поквартально представлять наркому для внесения в правительство итоги плана заказов с указанием необходимых мероприятий.</w:t>
      </w:r>
    </w:p>
    <w:p w14:paraId="7E3EC0FF"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5. Начальникам ЦДУ в декадный срок представить наркому календарный план выполнения настоящего постановления.</w:t>
      </w:r>
    </w:p>
    <w:p w14:paraId="487EEF1F" w14:textId="77777777" w:rsidR="006B4FD0" w:rsidRPr="0044524F" w:rsidRDefault="006B4FD0" w:rsidP="009654CF">
      <w:pPr>
        <w:pStyle w:val="ae"/>
        <w:spacing w:before="0" w:after="0"/>
        <w:jc w:val="both"/>
        <w:rPr>
          <w:color w:val="000000" w:themeColor="text1"/>
          <w:sz w:val="16"/>
          <w:szCs w:val="16"/>
        </w:rPr>
      </w:pPr>
      <w:r w:rsidRPr="0044524F">
        <w:rPr>
          <w:rStyle w:val="af0"/>
          <w:i w:val="0"/>
          <w:color w:val="000000" w:themeColor="text1"/>
          <w:sz w:val="16"/>
          <w:szCs w:val="16"/>
        </w:rPr>
        <w:t>Председатель РВС СССР Ворошилов</w:t>
      </w:r>
    </w:p>
    <w:p w14:paraId="48A85519" w14:textId="77777777" w:rsidR="006B4FD0" w:rsidRPr="0044524F" w:rsidRDefault="006B4FD0" w:rsidP="009654CF">
      <w:pPr>
        <w:pStyle w:val="ae"/>
        <w:spacing w:before="0" w:after="0"/>
        <w:jc w:val="both"/>
        <w:rPr>
          <w:color w:val="000000" w:themeColor="text1"/>
          <w:sz w:val="16"/>
          <w:szCs w:val="16"/>
        </w:rPr>
      </w:pPr>
      <w:r w:rsidRPr="0044524F">
        <w:rPr>
          <w:rStyle w:val="af0"/>
          <w:i w:val="0"/>
          <w:color w:val="000000" w:themeColor="text1"/>
          <w:sz w:val="16"/>
          <w:szCs w:val="16"/>
        </w:rPr>
        <w:t>Секретарь РВС СССР</w:t>
      </w:r>
      <w:r w:rsidRPr="0044524F">
        <w:rPr>
          <w:color w:val="000000" w:themeColor="text1"/>
          <w:sz w:val="16"/>
          <w:szCs w:val="16"/>
        </w:rPr>
        <w:t>¹*</w:t>
      </w:r>
    </w:p>
    <w:p w14:paraId="7CD57BF1" w14:textId="77777777" w:rsidR="006B4FD0" w:rsidRPr="0044524F" w:rsidRDefault="006B4FD0"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Примечание</w:t>
      </w:r>
      <w:r w:rsidRPr="0044524F">
        <w:rPr>
          <w:color w:val="000000" w:themeColor="text1"/>
          <w:sz w:val="16"/>
          <w:szCs w:val="16"/>
        </w:rPr>
        <w:t>:</w:t>
      </w:r>
    </w:p>
    <w:p w14:paraId="2500C0EB"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¹* Подпись неразборчива.</w:t>
      </w:r>
    </w:p>
    <w:p w14:paraId="28F5AE4C"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РГВА. Ф. 4. Оп. 18. Д. 23. Л. 143-147. Подлинник (15261).</w:t>
      </w:r>
    </w:p>
    <w:p w14:paraId="742C528D" w14:textId="77777777" w:rsidR="006B4FD0" w:rsidRPr="0044524F" w:rsidRDefault="006B4FD0" w:rsidP="009654CF">
      <w:pPr>
        <w:spacing w:after="0" w:line="240" w:lineRule="auto"/>
        <w:jc w:val="both"/>
        <w:rPr>
          <w:rStyle w:val="af0"/>
          <w:rFonts w:ascii="Times New Roman" w:hAnsi="Times New Roman"/>
          <w:i w:val="0"/>
          <w:color w:val="000000" w:themeColor="text1"/>
          <w:sz w:val="16"/>
          <w:szCs w:val="16"/>
        </w:rPr>
      </w:pPr>
    </w:p>
    <w:p w14:paraId="6367ED39" w14:textId="77777777" w:rsidR="006B4FD0" w:rsidRPr="0044524F" w:rsidRDefault="006B4FD0"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11 апреля 1933 г. </w:t>
      </w:r>
      <w:r w:rsidRPr="0044524F">
        <w:rPr>
          <w:rFonts w:ascii="Times New Roman" w:hAnsi="Times New Roman"/>
          <w:color w:val="000000" w:themeColor="text1"/>
          <w:sz w:val="16"/>
          <w:szCs w:val="16"/>
        </w:rPr>
        <w:t>Письмо наркома по военным и морским делам СССР и председателя Реввоенсовета СССР К. Е. Ворошилова председателю СТО СССР В. М. Молотову о развитии исследований ультракоротких волн и электронных потоков больших скоростей в военных целях</w:t>
      </w:r>
    </w:p>
    <w:p w14:paraId="2504833E" w14:textId="77777777" w:rsidR="006B4FD0" w:rsidRPr="0044524F" w:rsidRDefault="006B4FD0"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392BABB4"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13 декабря 1932 г. моим заместителем т. Тухачевским было проведено совещание по вопросам поражающих лучей с участием академиков А. Ф. Иоффе, А. А. Чернышева и Миткевича, профессора Шулейкина и научных работников НКВМ. Академик Иоффе и другие утверждают возможность применения ультракоротких волн и электронных потоков больших скоростей как поражающих средств. Решение этих проблем имеет колоссальное военное значение.</w:t>
      </w:r>
    </w:p>
    <w:p w14:paraId="5B66EB7C"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Чтобы не оказаться перед фактом неожиданного применения этого вида техники, нам необходимо активизировать указанную работу и привлечь для разрешения ряда задач узкую группу специалистов.</w:t>
      </w:r>
    </w:p>
    <w:p w14:paraId="1664DEBF"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РВСС считает целесообразным:</w:t>
      </w:r>
    </w:p>
    <w:p w14:paraId="36C2120A"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1) разработку вопроса о поражающих лучах поручить академику Иоффе с привлечением академика Чернышева, Миткевича и Шулейкина и 2</w:t>
      </w:r>
      <w:r w:rsidRPr="0044524F">
        <w:rPr>
          <w:color w:val="000000" w:themeColor="text1"/>
          <w:sz w:val="16"/>
          <w:szCs w:val="16"/>
        </w:rPr>
        <w:noBreakHyphen/>
        <w:t>3 молодых инженеров, работающих в этой области;</w:t>
      </w:r>
    </w:p>
    <w:p w14:paraId="4E3ADC81"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2) всю работу сосредоточить в Государственном физико-техническом институте. Остальные институты и заводы должны выполнять только отдельные и частные задания или агрегаты;</w:t>
      </w:r>
    </w:p>
    <w:p w14:paraId="432A16A8"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3) наблюдение за работой поручить комиссии в составе тт. Орджоникидзе (председатель), Бухарина, Павлуновского, Ягоды, Тухачевского, Уншлихта и Куйбышева Н.</w:t>
      </w:r>
    </w:p>
    <w:p w14:paraId="40B4040C"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Прошу этот вопрос поставить на обсуждение КО.</w:t>
      </w:r>
    </w:p>
    <w:p w14:paraId="550C121B" w14:textId="77777777" w:rsidR="006B4FD0" w:rsidRPr="0044524F" w:rsidRDefault="006B4FD0" w:rsidP="009654CF">
      <w:pPr>
        <w:pStyle w:val="ae"/>
        <w:spacing w:before="0" w:after="0"/>
        <w:jc w:val="both"/>
        <w:rPr>
          <w:color w:val="000000" w:themeColor="text1"/>
          <w:sz w:val="16"/>
          <w:szCs w:val="16"/>
        </w:rPr>
      </w:pPr>
      <w:r w:rsidRPr="0044524F">
        <w:rPr>
          <w:rStyle w:val="af0"/>
          <w:i w:val="0"/>
          <w:color w:val="000000" w:themeColor="text1"/>
          <w:sz w:val="16"/>
          <w:szCs w:val="16"/>
        </w:rPr>
        <w:t>Наркомвоенмор и председатель РВС СССР Ворошилов</w:t>
      </w:r>
    </w:p>
    <w:p w14:paraId="4B1F762B"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РГАЭ. Ф. 7297. Оп. 41. Д. 73. Л. 115. Заверенная копия (15263).</w:t>
      </w:r>
    </w:p>
    <w:p w14:paraId="110519BA" w14:textId="77777777" w:rsidR="006B4FD0" w:rsidRPr="0044524F" w:rsidRDefault="006B4FD0" w:rsidP="009654CF">
      <w:pPr>
        <w:spacing w:after="0" w:line="240" w:lineRule="auto"/>
        <w:jc w:val="both"/>
        <w:rPr>
          <w:rFonts w:ascii="Times New Roman" w:hAnsi="Times New Roman"/>
          <w:iCs/>
          <w:color w:val="000000" w:themeColor="text1"/>
          <w:sz w:val="16"/>
          <w:szCs w:val="16"/>
        </w:rPr>
      </w:pPr>
    </w:p>
    <w:p w14:paraId="0BB8C0B3" w14:textId="77777777" w:rsidR="001470B0" w:rsidRPr="0044524F" w:rsidRDefault="001470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апреля 1933 г. состоялось заседание РВС СССР, посвященное вопросам развития военно-морской связи во второй пятилетке, на котором с докладами выступили А.И. Берг и И.П. Жуков. В их выступлениях отмечалась узость производственной базы морского радиостроительства, что позволило за годы первой пятилетки освоить заводами только 78% выделенных для этих целей финансовых ресурсов. Эта же причина вынуждала сохранять на вооружении флота большое количество устаревших радиоустановок (184 комплекта искровых и 51 комплект ламповых образца 1923-1927 гг. станций). В качестве приоритетных задач совершенствования морской радиоаппаратуры ставилось: сохранение одновременной независимой работы раций одного корабля, расширение диапазонов волн, быстрая смена фиксированных волн, максимальная автоматизация управления, унификация типов радиостанций путем создания комбинированных диапазонов волн (объединение ДВ и КВ), форсирование разработок радиопеленгаторов для подлодок (18297).</w:t>
      </w:r>
    </w:p>
    <w:p w14:paraId="49C55B7C" w14:textId="77777777" w:rsidR="001470B0" w:rsidRPr="0044524F" w:rsidRDefault="001470B0" w:rsidP="009654CF">
      <w:pPr>
        <w:spacing w:after="0" w:line="240" w:lineRule="auto"/>
        <w:jc w:val="both"/>
        <w:rPr>
          <w:rFonts w:ascii="Times New Roman" w:hAnsi="Times New Roman"/>
          <w:color w:val="000000" w:themeColor="text1"/>
          <w:sz w:val="16"/>
          <w:szCs w:val="16"/>
        </w:rPr>
      </w:pPr>
    </w:p>
    <w:p w14:paraId="33537053"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308F68C"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29E71CE5" w14:textId="77777777" w:rsidR="006B4FD0" w:rsidRPr="0044524F" w:rsidRDefault="006B4F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апреля в 1933 году поднялся в воздух многоцелевой транспортный самолёт «Airspeed» «AS.5» «Courier», регистрационный номер G-ABXN (Разработчик: Airspeed, Великобритания). Был создан конструктором Хесселлем Тилтманом (Hessell Tiltman), соучредителем фирмы «Airspeed Ltd.» по личному заказу сэра Алана Кобхэма, пожелавшего получить самолет для беспосадочного полета в Индию, с возможностью дозаправки в воздухе. Представлял собой деревянный низкоплан с убирающимися шасси (он стал первым английским самолётом с таким шасси) и был оснащён двигателем «Armstrong Siddeley» «Lynx IVC» мощностью 240 л.с. В ходе испытаний самолёт потерпел две аварии, но каждый раз его восстанавливали (15096).</w:t>
      </w:r>
    </w:p>
    <w:p w14:paraId="224C5456" w14:textId="77777777" w:rsidR="006B4FD0" w:rsidRPr="0044524F" w:rsidRDefault="006B4FD0" w:rsidP="009654CF">
      <w:pPr>
        <w:spacing w:after="0" w:line="240" w:lineRule="auto"/>
        <w:jc w:val="both"/>
        <w:rPr>
          <w:rFonts w:ascii="Times New Roman" w:hAnsi="Times New Roman"/>
          <w:color w:val="000000" w:themeColor="text1"/>
          <w:sz w:val="16"/>
          <w:szCs w:val="16"/>
        </w:rPr>
      </w:pPr>
    </w:p>
    <w:p w14:paraId="11395631"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апреля 1933 вылетев из Англии на авиалайнере Avro Mark VIA Avian Southern Cross, Уильям Н. «Билл» Ланкастер начинает попытку установить рекорд скорости для полета в Южную Африку. Он терпит крушение в пустыне Сахара 12 апреля и умирает 20 апреля в ожидании спасения. Его мумифицированное тело и разбитый самолет будут обнаружены только в феврале 1962 года (20802).</w:t>
      </w:r>
    </w:p>
    <w:p w14:paraId="5FAC4993" w14:textId="77777777" w:rsidR="00841CFC" w:rsidRPr="0044524F" w:rsidRDefault="00841CFC" w:rsidP="009654CF">
      <w:pPr>
        <w:spacing w:after="0" w:line="240" w:lineRule="auto"/>
        <w:jc w:val="both"/>
        <w:rPr>
          <w:rFonts w:ascii="Times New Roman" w:hAnsi="Times New Roman"/>
          <w:color w:val="000000" w:themeColor="text1"/>
          <w:sz w:val="16"/>
          <w:szCs w:val="16"/>
        </w:rPr>
      </w:pPr>
    </w:p>
    <w:p w14:paraId="654C243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апреля 1933 Нацисты издали декрет, определяющий неарийца как "любого, рожденного от неарийца, особенно еврейских родителей и дедушек и бабушек. Один родитель или прорадитель определяет наследственность как неарийскую, в особенности если это еврейская кровь" (1798).</w:t>
      </w:r>
    </w:p>
    <w:p w14:paraId="3516E618"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4A85E775"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E0D4AF3"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2F00FEC8"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12-18 апреля 1933 состоялся процесс над инженерами, обвиненными в саботаже (4962).</w:t>
      </w:r>
    </w:p>
    <w:p w14:paraId="543B0277"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p>
    <w:p w14:paraId="76DA77D4" w14:textId="77777777" w:rsidR="00962982" w:rsidRPr="0044524F" w:rsidRDefault="009629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12-18 апреля 1933. Открытый судебный процесс "о вредительстве на электростанциях".</w:t>
      </w:r>
    </w:p>
    <w:p w14:paraId="3633EFBC" w14:textId="77777777" w:rsidR="00962982" w:rsidRPr="0044524F" w:rsidRDefault="009629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Служащий МГК ВКП(б) А. Г. Соловьев записывает: "Начался судебный процесс над 18 вредителями на электростанциях. Действовали по заданию из-за границы. Когда же закончим с прохвостами"</w:t>
      </w:r>
    </w:p>
    <w:p w14:paraId="0180D28C" w14:textId="77777777" w:rsidR="00962982" w:rsidRPr="0044524F" w:rsidRDefault="009629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книге "Прокуроры двух эпох. Андрей Вышинский и Роман Руденко" А. Звягинцев и Ю. Орлов пишут: "В. В. Ульрих открыл заседание Специального присутствия Верховного суда СССР. Государственное обвинение поддерживал Вышинский, помогал ему Ротинский. На скамье подсудимых находилось 18 руководителей и других работников крупных электростанций, а также сотрудники английской фирмы "Метрополитен-Виккерс" поставлявшей в Советский Союз турбины и оборудование для электростанций и оказавшей содействие в его наладке. Защищали подсудимых адвокаты Брауде, Ком-иодову Смирнов и другие. После интенсивных допросов в ОГПУ многие обвиняемые были сломлены. Во время суда все двенадцать подсудимых из числа советских граждан признались в содеянном, а из шести англичан - только один, да и тот в процессе судебного следствия от своих показаний отказался. Дело, квалифицированное следствием как вредительство и шпионаж, разваливалось буквально на глазах, и Вышинскому пришлось приложить немало усилий, чтобы "спасти процесс". В одном случае он даже сам чуть было не оказался в роли свидетеля, когда английский инженер в подтверждение своих слов о том, что он отказался от признательных показаний, данных им после изнурительного 18-часового допроса еще на следствии, стал ссылаться на разговор с Вышинским" (18722).</w:t>
      </w:r>
    </w:p>
    <w:p w14:paraId="4619F0C4" w14:textId="77777777" w:rsidR="00962982" w:rsidRPr="0044524F" w:rsidRDefault="00962982" w:rsidP="009654CF">
      <w:pPr>
        <w:spacing w:after="0" w:line="240" w:lineRule="auto"/>
        <w:jc w:val="both"/>
        <w:rPr>
          <w:rFonts w:ascii="Times New Roman" w:hAnsi="Times New Roman"/>
          <w:color w:val="000000" w:themeColor="text1"/>
          <w:sz w:val="16"/>
          <w:szCs w:val="16"/>
        </w:rPr>
      </w:pPr>
    </w:p>
    <w:p w14:paraId="6C3679FA" w14:textId="77777777" w:rsidR="006B4FD0" w:rsidRPr="0044524F" w:rsidRDefault="006B4F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12-18 апреля 1933 состоялся процесс над инженерами английской фирмы Метро-Виккерс, которые были объявлены вредителями на электростанциях СССР и это привело к охлаждению отношений с Англией (3908,340).</w:t>
      </w:r>
    </w:p>
    <w:p w14:paraId="00F24AE9" w14:textId="77777777" w:rsidR="006B4FD0" w:rsidRPr="0044524F" w:rsidRDefault="006B4FD0" w:rsidP="009654CF">
      <w:pPr>
        <w:spacing w:after="0" w:line="240" w:lineRule="auto"/>
        <w:jc w:val="both"/>
        <w:rPr>
          <w:rFonts w:ascii="Times New Roman" w:hAnsi="Times New Roman"/>
          <w:color w:val="000000" w:themeColor="text1"/>
          <w:sz w:val="16"/>
          <w:szCs w:val="16"/>
        </w:rPr>
      </w:pPr>
    </w:p>
    <w:p w14:paraId="6A306D16"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ED5D7C8"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5AD0451F"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апреля 1933 Spartan Air Lines начинает полеты с аэродрома Хестон за пределами Лондона до города Коус на острове Уайт с использованием трех авиалайнеров Spartan Cruiser (20802).</w:t>
      </w:r>
    </w:p>
    <w:p w14:paraId="02F89AE5" w14:textId="77777777" w:rsidR="00841CFC" w:rsidRPr="0044524F" w:rsidRDefault="00841CFC" w:rsidP="009654CF">
      <w:pPr>
        <w:spacing w:after="0" w:line="240" w:lineRule="auto"/>
        <w:jc w:val="both"/>
        <w:rPr>
          <w:rFonts w:ascii="Times New Roman" w:hAnsi="Times New Roman"/>
          <w:color w:val="000000" w:themeColor="text1"/>
          <w:sz w:val="16"/>
          <w:szCs w:val="16"/>
        </w:rPr>
      </w:pPr>
    </w:p>
    <w:p w14:paraId="165AF47F"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апреля 1933 Уильям Беслер совершает первый успешный полет на самолете, приводимым в движение паровым двигателем. Самолет, биплан Travel Air 2000, приводится в движение нефтяным реверсивным V-образным двухцилиндровым двигателем с углом наклона 90 °, разработанным им и его братом Джорджем. Семиминутный пробный полет сертифицирован Национальной авиационной ассоциацией (20802).</w:t>
      </w:r>
    </w:p>
    <w:p w14:paraId="3A62738C" w14:textId="77777777" w:rsidR="00841CFC" w:rsidRPr="0044524F" w:rsidRDefault="00841CFC" w:rsidP="009654CF">
      <w:pPr>
        <w:spacing w:after="0" w:line="240" w:lineRule="auto"/>
        <w:jc w:val="both"/>
        <w:rPr>
          <w:rFonts w:ascii="Times New Roman" w:hAnsi="Times New Roman"/>
          <w:color w:val="000000" w:themeColor="text1"/>
          <w:sz w:val="16"/>
          <w:szCs w:val="16"/>
        </w:rPr>
      </w:pPr>
    </w:p>
    <w:p w14:paraId="4CC40373" w14:textId="77777777" w:rsidR="006B4FD0" w:rsidRPr="0044524F" w:rsidRDefault="006B4F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апреля 1933 г., когда восставшие взяли под контроль практически всю провинцию, командующий Синьцзянскими войсками в районе Турфана генерал Шен Шицай, опи</w:t>
      </w:r>
      <w:r w:rsidRPr="0044524F">
        <w:rPr>
          <w:rFonts w:ascii="Times New Roman" w:hAnsi="Times New Roman"/>
          <w:color w:val="000000" w:themeColor="text1"/>
          <w:sz w:val="16"/>
          <w:szCs w:val="16"/>
        </w:rPr>
        <w:softHyphen/>
        <w:t>раясь на белогвардейские отряды и вернувшихся из СССР солдат генерала Ма Ду, сверг прежнего правителя Цзинь Шужэня и сам стал Председателем правительства. Повстанцам сразу же предложили перемирие и провозгласили равноправие всех на</w:t>
      </w:r>
      <w:r w:rsidRPr="0044524F">
        <w:rPr>
          <w:rFonts w:ascii="Times New Roman" w:hAnsi="Times New Roman"/>
          <w:color w:val="000000" w:themeColor="text1"/>
          <w:sz w:val="16"/>
          <w:szCs w:val="16"/>
        </w:rPr>
        <w:softHyphen/>
        <w:t>селявших Синьцзян национальностей, политические свободы и мероприятия, направ</w:t>
      </w:r>
      <w:r w:rsidRPr="0044524F">
        <w:rPr>
          <w:rFonts w:ascii="Times New Roman" w:hAnsi="Times New Roman"/>
          <w:color w:val="000000" w:themeColor="text1"/>
          <w:sz w:val="16"/>
          <w:szCs w:val="16"/>
        </w:rPr>
        <w:softHyphen/>
        <w:t>ленные на улучшение экономического положения народа. Новый губернатор направил в СССР представителей за материальной, финансовой и военной помощью (15802).</w:t>
      </w:r>
    </w:p>
    <w:p w14:paraId="16C52CEB" w14:textId="77777777" w:rsidR="006B4FD0" w:rsidRPr="0044524F" w:rsidRDefault="006B4FD0" w:rsidP="009654CF">
      <w:pPr>
        <w:spacing w:after="0" w:line="240" w:lineRule="auto"/>
        <w:jc w:val="both"/>
        <w:rPr>
          <w:rFonts w:ascii="Times New Roman" w:hAnsi="Times New Roman"/>
          <w:color w:val="000000" w:themeColor="text1"/>
          <w:sz w:val="16"/>
          <w:szCs w:val="16"/>
        </w:rPr>
      </w:pPr>
    </w:p>
    <w:p w14:paraId="2558FA8E"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190E27D"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0E4DCB8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состоялось техническое совещание начальников самолетных бригад под председательством А.Н.Т. и слушали доклад И.И.Петрова о состоянии проектирования и постройки самолетов, стоящих в программе опытного самолетостроения и по ТБ-4 хотели ускорить работы (1077,177).</w:t>
      </w:r>
    </w:p>
    <w:p w14:paraId="5984AB2A"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51A756E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года начальник Военно-химического управления и химических войск РККА писал письмо N 4/5/835/218с Алкснису.</w:t>
      </w:r>
    </w:p>
    <w:p w14:paraId="1BBDC44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в ЦАГИ будет изготовлен рекордный самолет марки РД (рекорд дальности). Самолет рассчитан на 45 часов полета и имеет у себя в крыльях большие вместилища (на 6 тонн) для бензина. Этот самолет может быть использован для целей воздушно-химического нападения. Для этого необходимо оставить хранилища для бензина на 1-2 т, а остальные хранилища приспособить под помещение в них жидкого ОВ (4-5 т). Кроме того в крыльях придется сделать несколько выливных люков для выливания ОВ.</w:t>
      </w:r>
    </w:p>
    <w:p w14:paraId="5A204C0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ЦАГИ примерно с мая пойдет в производство дублер указанного выше самолета. На этом дублере можно было бы безболезненно провести делаемое нами предложение. Все предполагаемые изменения и добавления в конструкции самолета легко можно учесть при его построении заранее... (3852,1).</w:t>
      </w:r>
    </w:p>
    <w:p w14:paraId="2412BAFC"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2AEF1430"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13 апреля 1933 г.в ЦАГИ «Слу</w:t>
      </w:r>
      <w:r w:rsidRPr="0044524F">
        <w:rPr>
          <w:rFonts w:ascii="Times New Roman" w:hAnsi="Times New Roman"/>
          <w:color w:val="000000" w:themeColor="text1"/>
          <w:sz w:val="16"/>
          <w:szCs w:val="16"/>
          <w:lang w:eastAsia="ru-RU" w:bidi="ru-RU"/>
        </w:rPr>
        <w:softHyphen/>
        <w:t>шали доклад Н.И. Петрова «О состоянии проектирования и постройке самолетов, стоящих в программе опытного самолетостроения 1933 г.». В отношении «МГ» по</w:t>
      </w:r>
      <w:r w:rsidRPr="0044524F">
        <w:rPr>
          <w:rFonts w:ascii="Times New Roman" w:hAnsi="Times New Roman"/>
          <w:color w:val="000000" w:themeColor="text1"/>
          <w:sz w:val="16"/>
          <w:szCs w:val="16"/>
          <w:lang w:eastAsia="ru-RU" w:bidi="ru-RU"/>
        </w:rPr>
        <w:softHyphen/>
        <w:t>становили: поручить В.М. Петлякову «пе</w:t>
      </w:r>
      <w:r w:rsidRPr="0044524F">
        <w:rPr>
          <w:rFonts w:ascii="Times New Roman" w:hAnsi="Times New Roman"/>
          <w:color w:val="000000" w:themeColor="text1"/>
          <w:sz w:val="16"/>
          <w:szCs w:val="16"/>
          <w:lang w:eastAsia="ru-RU" w:bidi="ru-RU"/>
        </w:rPr>
        <w:softHyphen/>
        <w:t>ресмотреть планировку в сторону умень</w:t>
      </w:r>
      <w:r w:rsidRPr="0044524F">
        <w:rPr>
          <w:rFonts w:ascii="Times New Roman" w:hAnsi="Times New Roman"/>
          <w:color w:val="000000" w:themeColor="text1"/>
          <w:sz w:val="16"/>
          <w:szCs w:val="16"/>
          <w:lang w:eastAsia="ru-RU" w:bidi="ru-RU"/>
        </w:rPr>
        <w:softHyphen/>
        <w:t>шения сроков подачи чертежей по отъем</w:t>
      </w:r>
      <w:r w:rsidRPr="0044524F">
        <w:rPr>
          <w:rFonts w:ascii="Times New Roman" w:hAnsi="Times New Roman"/>
          <w:color w:val="000000" w:themeColor="text1"/>
          <w:sz w:val="16"/>
          <w:szCs w:val="16"/>
          <w:lang w:eastAsia="ru-RU" w:bidi="ru-RU"/>
        </w:rPr>
        <w:softHyphen/>
        <w:t>ным частям крыла» (21240).</w:t>
      </w:r>
    </w:p>
    <w:p w14:paraId="30E63F05" w14:textId="77777777" w:rsidR="00841CFC" w:rsidRPr="0044524F" w:rsidRDefault="00841CFC" w:rsidP="009654CF">
      <w:pPr>
        <w:spacing w:after="0" w:line="240" w:lineRule="auto"/>
        <w:jc w:val="both"/>
        <w:rPr>
          <w:rFonts w:ascii="Times New Roman" w:hAnsi="Times New Roman"/>
          <w:color w:val="000000" w:themeColor="text1"/>
          <w:sz w:val="16"/>
          <w:szCs w:val="16"/>
        </w:rPr>
      </w:pPr>
    </w:p>
    <w:p w14:paraId="7D9C1FB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года выписка из протокола № 4 КО</w:t>
      </w:r>
    </w:p>
    <w:p w14:paraId="6979F5A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 производстве авиационных моторов на заводе № 24.</w:t>
      </w:r>
    </w:p>
    <w:p w14:paraId="06D26589" w14:textId="77777777" w:rsidR="008E7A66" w:rsidRPr="0044524F" w:rsidRDefault="008E7A66" w:rsidP="009654CF">
      <w:pPr>
        <w:numPr>
          <w:ilvl w:val="0"/>
          <w:numId w:val="14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Признать состояние производства авиамоторов неудовлетворительным, в силу отставания производственных мощностей авиамоторных заводов от самолетостроительных, для ликвидации чего форсировать строительство и оборудование заводов №№ 24 и 19.</w:t>
      </w:r>
    </w:p>
    <w:p w14:paraId="508DE60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 заключении договора с фирмой "Кертис Райт".</w:t>
      </w:r>
    </w:p>
    <w:p w14:paraId="6EBE694A" w14:textId="77777777" w:rsidR="008E7A66" w:rsidRPr="0044524F" w:rsidRDefault="008E7A66" w:rsidP="009654CF">
      <w:pPr>
        <w:numPr>
          <w:ilvl w:val="0"/>
          <w:numId w:val="14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вопроса о покупке техпомощи по моторам Райт Циклон и Кертис – 1800 отложить на 6 дней.</w:t>
      </w:r>
    </w:p>
    <w:p w14:paraId="19DA386B" w14:textId="77777777" w:rsidR="008E7A66" w:rsidRPr="0044524F" w:rsidRDefault="008E7A66" w:rsidP="009654CF">
      <w:pPr>
        <w:numPr>
          <w:ilvl w:val="0"/>
          <w:numId w:val="14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по предложению ГУАПа о проектировании новых заводов с консультацией американских фирм отложить на один год, развертывая работы по проектированию силами наших проекторганизаций (7503, 5).</w:t>
      </w:r>
    </w:p>
    <w:p w14:paraId="63B31026" w14:textId="77777777" w:rsidR="008E7A66" w:rsidRPr="0044524F" w:rsidRDefault="008E7A66" w:rsidP="009654CF">
      <w:pPr>
        <w:tabs>
          <w:tab w:val="left" w:pos="360"/>
        </w:tabs>
        <w:spacing w:after="0" w:line="240" w:lineRule="auto"/>
        <w:jc w:val="both"/>
        <w:rPr>
          <w:rFonts w:ascii="Times New Roman" w:hAnsi="Times New Roman"/>
          <w:color w:val="000000" w:themeColor="text1"/>
          <w:sz w:val="16"/>
          <w:szCs w:val="16"/>
        </w:rPr>
      </w:pPr>
    </w:p>
    <w:p w14:paraId="677F733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года начальник Глававиапрома Баранов писал письмо N Н-91 Базилевичу:</w:t>
      </w:r>
    </w:p>
    <w:p w14:paraId="1F7511E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Направляю к заседанию КО 13 апреля 1933 года материалы о состоянии производства мотора М-34 на заводе N 24.</w:t>
      </w:r>
    </w:p>
    <w:p w14:paraId="693B9DF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Оценка качества и основных данных мотора</w:t>
      </w:r>
    </w:p>
    <w:p w14:paraId="2F289DB2" w14:textId="77777777" w:rsidR="008E7A66" w:rsidRPr="0044524F" w:rsidRDefault="008E7A66" w:rsidP="009654CF">
      <w:pPr>
        <w:pStyle w:val="a3"/>
        <w:widowControl/>
        <w:rPr>
          <w:color w:val="000000" w:themeColor="text1"/>
          <w:lang w:val="ru-RU"/>
        </w:rPr>
      </w:pPr>
      <w:r w:rsidRPr="0044524F">
        <w:rPr>
          <w:color w:val="000000" w:themeColor="text1"/>
          <w:lang w:val="ru-RU"/>
        </w:rPr>
        <w:t>С каждой новой серией завод улучшает качество моторов, что в частности подтверждается оценкой работы завода по улучшению качества, сделанной УВВС.</w:t>
      </w:r>
    </w:p>
    <w:p w14:paraId="443684A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М-34 к настоящему времени является надежным мотором и по своим данным стоит в ряду современных заграничных невысотных моторов. Надежность мотора доказана на большом количестве 100 часовых испытаний.</w:t>
      </w:r>
    </w:p>
    <w:p w14:paraId="7A8B4C4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проводимых в настоящее время НИИ ВВС эксплуатационных испытаниях мотор проработал в условиях работы на самолете 270 часов без разборки (с частичной переборкой после 230 часов работы с заменой 2-х клапанов, направляющей клапана и поршневых колец) и становится на дальнейшее испытание до 300 часов. Как эти испытания, так и проведенные испытания мотора 2040 на полном газе в течение 80 часов дают основание считать, что в ближайшее время можно будет повысить мощность мотора и гарантировать срок службы между переборками до 200 часов.</w:t>
      </w:r>
    </w:p>
    <w:p w14:paraId="4CFA7C0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имеют еще отдельные недостатки (кустарный способ заливки баббитом головок шатунов, дефекты масляных помп), над устранением которых завод работает.</w:t>
      </w:r>
    </w:p>
    <w:p w14:paraId="407463B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обеспечении мотора редуктором, нагнетателем, винтом переменного шага, изготовляемый в ЦИАМе мотор становится в разряд первоклассных современных моторов.</w:t>
      </w:r>
    </w:p>
    <w:p w14:paraId="4C22618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Предварительные работы по форсированию мотора показали, что мотор может развивать максимальную мощность 1000 л.с.</w:t>
      </w:r>
    </w:p>
    <w:p w14:paraId="5E03A5F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испытан на самолете Р-5 и испытывается на ТБ-3 в полете с удовлетворительными результатами.</w:t>
      </w:r>
    </w:p>
    <w:p w14:paraId="4D04057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Новые задания заводу</w:t>
      </w:r>
    </w:p>
    <w:p w14:paraId="2E51D02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получил в 1933 году несколько новых заданий, выполнение которых требует напряжения всех сил, отвлекая внимание руководящих кадров от основной работы по улучшению производства и качества мотора М-34.</w:t>
      </w:r>
    </w:p>
    <w:p w14:paraId="13AAB3D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 задания следующие:</w:t>
      </w:r>
    </w:p>
    <w:p w14:paraId="16C32DB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ГМ-34 для морских катеров</w:t>
      </w:r>
    </w:p>
    <w:p w14:paraId="58BE2FD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Дизельный мотор ФЭД-8 (около 250 деталей).</w:t>
      </w:r>
    </w:p>
    <w:p w14:paraId="133EC4F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М-34 с редуктором</w:t>
      </w:r>
    </w:p>
    <w:p w14:paraId="6A18155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Серия моторов М-34 для рекорда дальности</w:t>
      </w:r>
    </w:p>
    <w:p w14:paraId="38F7BF5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разрабатывает сейчас технологический процесс для новых объектов и ряд деталей запустил уже в производство. Из всех новых объектов, основным мотором является М-34 с редуктором дающий серьезные преимущества при установке на тяжелых самолетах (4012,14-16).</w:t>
      </w:r>
    </w:p>
    <w:p w14:paraId="13743570"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6C32D271" w14:textId="77777777" w:rsidR="006B4FD0" w:rsidRPr="0044524F" w:rsidRDefault="006B4FD0"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13 апреля 1933 г. </w:t>
      </w:r>
      <w:r w:rsidRPr="0044524F">
        <w:rPr>
          <w:rFonts w:ascii="Times New Roman" w:hAnsi="Times New Roman"/>
          <w:color w:val="000000" w:themeColor="text1"/>
          <w:sz w:val="16"/>
          <w:szCs w:val="16"/>
        </w:rPr>
        <w:t>Справка Экономического управления ОГПУ СССР о причинах невыполнения плана авиационного моторостроения на заводе № 24</w:t>
      </w:r>
    </w:p>
    <w:p w14:paraId="74C02133" w14:textId="77777777" w:rsidR="006B4FD0" w:rsidRPr="0044524F" w:rsidRDefault="006B4FD0"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09C68DF4" w14:textId="77777777" w:rsidR="006B4FD0" w:rsidRPr="0044524F" w:rsidRDefault="006B4F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Выполнение программы</w:t>
      </w:r>
    </w:p>
    <w:p w14:paraId="214076D3"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lastRenderedPageBreak/>
        <w:t>Производственная программа завода № 24 за 1932 г. выполнена на 66,5% (вместо 964 моторов по плану выпущено — 641 мотор) — недодано 323 мотора. По официальным данным убыток по заводу составляет 17 млн. 983 тыс. руб., в действительности же убыток достигает 23 млн. руб., т. к. часть убытков списана за счет незавершенного производства, достигающего суммы в 10 млн. руб.</w:t>
      </w:r>
    </w:p>
    <w:p w14:paraId="411B446F"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Запроектированная стоимость мотора М</w:t>
      </w:r>
      <w:r w:rsidRPr="0044524F">
        <w:rPr>
          <w:color w:val="000000" w:themeColor="text1"/>
          <w:sz w:val="16"/>
          <w:szCs w:val="16"/>
        </w:rPr>
        <w:noBreakHyphen/>
        <w:t>34 — 53,7 тыс. руб., фактическая — 122 тыс. руб. Стоимость брака 8 млн. руб., перерасход по фонду зарплаты по валовой продукции 614,2 тыс. руб.</w:t>
      </w:r>
    </w:p>
    <w:p w14:paraId="4E1D309D"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Программа за I квартал 1933 г. выполнена на 58,3% (вместо 180 моторов по плану выпущено — 101 мотор), считая: моторы в узлах, учебные и прочие некондиционные моторы, сданные другим организациям (ЦИАМ¹* и проч.). Недодано 79 моторов.</w:t>
      </w:r>
    </w:p>
    <w:p w14:paraId="50DECC27"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II. Основные причины невыполнения программы</w:t>
      </w:r>
    </w:p>
    <w:p w14:paraId="0E4ADB33"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1. Плохое планирование производства. В результате большой некомплект по заделу готовых изделий, доходящий по отдельным деталям до 170 моторов, при наличии прорыва по ряду других деталей. Например: коленчатые валы на 160 моторов; крупное литье: от 140 до 170 моторов; среднее литье от 90 до 140 моторов; клапаны от 30 до 40 моторов; шатуны на 10 моторов; дефицитные детали на 15 моторов. Эти детали, хранясь в неприспособленных складах и проходах цехов, портятся и частично выходят в брак (коленчатые валы, картера).</w:t>
      </w:r>
    </w:p>
    <w:p w14:paraId="68C7DDA3"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2. Недостаточная продуманность конструкции ряда деталей, в результате чего мотор за год претерпел 1950 изменений. Благодаря этому имеющиеся в заделе детали становятся ненужными. Так, например: на складе готовых изделий лежат: 1800 шт. гильз на сумму 800 тыс. руб.; 1200 шт. поршней на сумму 24 тыс. руб.; колец поршневых на сумму 160 тыс. руб.; коленчатых валов 160 штук на сумму 80 тыс. руб.</w:t>
      </w:r>
    </w:p>
    <w:p w14:paraId="568E9333"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3. Брак по литью, механической и термической обработке достигает до 70</w:t>
      </w:r>
      <w:r w:rsidRPr="0044524F">
        <w:rPr>
          <w:color w:val="000000" w:themeColor="text1"/>
          <w:sz w:val="16"/>
          <w:szCs w:val="16"/>
        </w:rPr>
        <w:noBreakHyphen/>
        <w:t>80% по отдельным деталям. В особенности велик брак по литью крупных деталей (картера, блоки) — 40</w:t>
      </w:r>
      <w:r w:rsidRPr="0044524F">
        <w:rPr>
          <w:color w:val="000000" w:themeColor="text1"/>
          <w:sz w:val="16"/>
          <w:szCs w:val="16"/>
        </w:rPr>
        <w:noBreakHyphen/>
        <w:t>50% и по поршням — 80%.</w:t>
      </w:r>
    </w:p>
    <w:p w14:paraId="36B1F554"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4. Программа капитального строительства сорвана. Титульный список не выдержан, начато строительство всех зданий, не окончено ни одного. План, рассчитанный на 1200 моторов, исходя из расширения площадей цехов и увеличения оборудования (за счет перехода горячих цехов в новый завод) фактически к концу года будет сорван, т. к. оборудование приходит в незначительном количестве, да и ставить его негде.</w:t>
      </w:r>
    </w:p>
    <w:p w14:paraId="641D5D46"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Новое строительство на 75% законсервировано. В результате горячие цеха являются узким местом завода. Термический цех при настоящем оборудовании не сумеет пропустить программы механического цеха. По литейному цеху IV квартал будет идти по крупным деталям в обрез, и I квартал 1934 г. останется без задела. Механический цех может выпускать при существующем оборудовании и площади не более 80</w:t>
      </w:r>
      <w:r w:rsidRPr="0044524F">
        <w:rPr>
          <w:color w:val="000000" w:themeColor="text1"/>
          <w:sz w:val="16"/>
          <w:szCs w:val="16"/>
        </w:rPr>
        <w:noBreakHyphen/>
        <w:t>90 комплектов (коленчатые валы, цилиндры).</w:t>
      </w:r>
    </w:p>
    <w:p w14:paraId="55902464"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5. Узким местом выпуска моторов является также карбюратор, который до сих пор ввозился из-за границы. Импорт прекращен, а завод № 33 только к концу мая может дать первые экземпляры карбюратора. Следовательно, завод № 24 в мае месяце карбюраторами обеспечен не будет, т. к. запаса импортных хватит до середины мая.</w:t>
      </w:r>
    </w:p>
    <w:p w14:paraId="15D0E1A1"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Основной причиной плохого планирования производства и большого брака является засоренность решающих участков завода чуждыми элементами и неудовлетворительного руководства планированием и борьбой за брак со стороны дирекции завода. Планово-производственным отделом руководят бывший белый офицер Ростовцев, бывший дворянин Дмитриев, люди, настроенные антисоветски. Планирование производства ими производится вслепую, т. к. ряд цехов не имеет просчетов пропускной способности. Во главе литейного отдела и на руководящих участках его находятся также чуждые антисоветские элементы, дворяне, торговцы, бывшие белые офицеры, бывший вредитель и другие (инж. Бояновский, Титков, Сосновский, Лукьянов). Эти лица совершенно не борются за снижение брака. Причины брака ими не учитываются и не изучаются. В цеху процветает кустарщина, сводящая борьбу с браком к изменению методов заливки форм, меняя американский метод на немецкий и обратно. Состав сплава не выдерживается в рамках технических норм. За шихтой не ведут тщательного наблюдения.</w:t>
      </w:r>
    </w:p>
    <w:p w14:paraId="096C940A"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Существующая на заводе премиальная система не стимулирует борьбы за качество продукции и за снижение брака. Премии получает цех, выполнивший план на 100%, независимо от величины брака. В результате — погоня за количеством в ущерб качеству. Испытательная станция завода получает премию за каждый сданный мотор военной приемке. Благодаря такой установке проводится систематическое подсовывание дефектных моторов военным приемщикам (моторы №№ 2037, 2034, 2076, 2071 и ряд других). Заводской контроль игнорируется. Был случай снятия звания ударника с контролера завода, члена ВКП(б) Семина за указание дефектов в моторе военной приемке.</w:t>
      </w:r>
    </w:p>
    <w:p w14:paraId="2578001A"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Директор завода Марьямов вместо очищения ведущих участков завода от чуждых элементов отстаивает от сокращения инженера Сосновского, бывшего белого офицера, ходатайствует о выдаче паспорта бывшему белому офицеру Ростовцеву. Вместо борьбы за снижение брака и за качество, вместо руководства планированием и производством при всех случаях заявляет, что он только специалист, пришел на завод для технической помощи, а не хозяйственник, поэтому естественно, что руководство с его стороны недостаточное и что он с удовольствием освободится от этой должности.</w:t>
      </w:r>
    </w:p>
    <w:p w14:paraId="07A8AF54"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Существующее положение на заводе: кустарщина, брак, непроработанность технологического процесса — чрезвычайно опасно, т. к. завод № 24 является ведущим заводом и должен служить образцовой школой по передаче опыта вновь строящимся моторным заводам.</w:t>
      </w:r>
    </w:p>
    <w:p w14:paraId="6D5AE0BC" w14:textId="77777777" w:rsidR="006B4FD0" w:rsidRPr="0044524F" w:rsidRDefault="006B4FD0"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ЭКУ ОГПУ Миронов</w:t>
      </w:r>
    </w:p>
    <w:p w14:paraId="526C877A" w14:textId="77777777" w:rsidR="006B4FD0" w:rsidRPr="0044524F" w:rsidRDefault="006B4FD0"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4 отд. ЭКУ ОГПУ Калецкий</w:t>
      </w:r>
    </w:p>
    <w:p w14:paraId="289644D7" w14:textId="77777777" w:rsidR="006B4FD0" w:rsidRPr="0044524F" w:rsidRDefault="006B4FD0"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Примечание</w:t>
      </w:r>
      <w:r w:rsidRPr="0044524F">
        <w:rPr>
          <w:color w:val="000000" w:themeColor="text1"/>
          <w:sz w:val="16"/>
          <w:szCs w:val="16"/>
        </w:rPr>
        <w:t>:</w:t>
      </w:r>
    </w:p>
    <w:p w14:paraId="27DBA6B4" w14:textId="77777777" w:rsidR="006B4FD0" w:rsidRPr="0044524F" w:rsidRDefault="006B4FD0" w:rsidP="009654CF">
      <w:pPr>
        <w:pStyle w:val="rtejustify"/>
        <w:spacing w:before="0" w:after="0"/>
        <w:rPr>
          <w:color w:val="000000" w:themeColor="text1"/>
          <w:sz w:val="16"/>
          <w:szCs w:val="16"/>
        </w:rPr>
      </w:pPr>
      <w:r w:rsidRPr="0044524F">
        <w:rPr>
          <w:color w:val="000000" w:themeColor="text1"/>
          <w:sz w:val="16"/>
          <w:szCs w:val="16"/>
        </w:rPr>
        <w:t xml:space="preserve">¹* 3 декабря 1930 г. на заседании Реввоенсовета СССР было принято решение об объединении винтомоторного отдела ЦАГИ, авиационного отдела Научного автомоторного института (НАМИ) и отделов опытного моторостроения Авиационного завода № 24 им. М. В. Фрунзе, в единый Институт авиационных моторов (ИАМ). С 1932 г. он носит название </w:t>
      </w:r>
      <w:r w:rsidRPr="0044524F">
        <w:rPr>
          <w:rStyle w:val="af0"/>
          <w:bCs/>
          <w:i w:val="0"/>
          <w:color w:val="000000" w:themeColor="text1"/>
          <w:sz w:val="16"/>
          <w:szCs w:val="16"/>
        </w:rPr>
        <w:t>Центральный институт авиационного моторостроения (ЦИАМ)</w:t>
      </w:r>
      <w:r w:rsidRPr="0044524F">
        <w:rPr>
          <w:color w:val="000000" w:themeColor="text1"/>
          <w:sz w:val="16"/>
          <w:szCs w:val="16"/>
        </w:rPr>
        <w:t>. С 1932 г. ЦИАМ находился в ведении Наркомата тяжелой промышленности СССР, а с декабря 1936 г. — в ведении Наркомата оборонной промышленности СССР. В 1933 г. институту присвоено имя П. И. Баранова. В 1930</w:t>
      </w:r>
      <w:r w:rsidRPr="0044524F">
        <w:rPr>
          <w:color w:val="000000" w:themeColor="text1"/>
          <w:sz w:val="16"/>
          <w:szCs w:val="16"/>
        </w:rPr>
        <w:noBreakHyphen/>
        <w:t>е годы в институте исследовались и разрабатывались авиационные двигатели. В январе 1935 г. все проводимые в институте работы по опытному двигателестроению были переданы на серийные моторостроительные заводы, при которых начали создаваться ОКБ. Почти весь научно-технический состав этих ОКБ комплектовался из ведущих специалистов ЦИАМ. С этого времени ЦИАМ занялся теоретическими и экспериментальными исследованиями, а также оказанием научно-технической помощи ОКБ при создании опытных двигателей. (РГАНТД. Ф. 53.)</w:t>
      </w:r>
    </w:p>
    <w:p w14:paraId="3096FC84" w14:textId="77777777" w:rsidR="006B4FD0" w:rsidRPr="0044524F" w:rsidRDefault="006B4FD0" w:rsidP="009654CF">
      <w:pPr>
        <w:pStyle w:val="ae"/>
        <w:spacing w:before="0" w:after="0"/>
        <w:jc w:val="both"/>
        <w:rPr>
          <w:color w:val="000000" w:themeColor="text1"/>
          <w:sz w:val="16"/>
          <w:szCs w:val="16"/>
        </w:rPr>
      </w:pPr>
      <w:r w:rsidRPr="0044524F">
        <w:rPr>
          <w:color w:val="000000" w:themeColor="text1"/>
          <w:sz w:val="16"/>
          <w:szCs w:val="16"/>
        </w:rPr>
        <w:t>ЦА ФСБ РФ. Ф. 2. Оп. 11. Д. 407. Л. 47-50. Подлинник (15264).</w:t>
      </w:r>
    </w:p>
    <w:p w14:paraId="2B62257A" w14:textId="77777777" w:rsidR="006B4FD0" w:rsidRPr="0044524F" w:rsidRDefault="006B4FD0" w:rsidP="009654CF">
      <w:pPr>
        <w:spacing w:after="0" w:line="240" w:lineRule="auto"/>
        <w:jc w:val="both"/>
        <w:rPr>
          <w:rFonts w:ascii="Times New Roman" w:hAnsi="Times New Roman"/>
          <w:iCs/>
          <w:color w:val="000000" w:themeColor="text1"/>
          <w:sz w:val="16"/>
          <w:szCs w:val="16"/>
        </w:rPr>
      </w:pPr>
    </w:p>
    <w:p w14:paraId="6F4484C5" w14:textId="77777777" w:rsidR="006B4FD0" w:rsidRPr="0044524F" w:rsidRDefault="006B4FD0" w:rsidP="009654CF">
      <w:pPr>
        <w:pStyle w:val="rtejustify"/>
        <w:spacing w:before="0" w:after="0"/>
        <w:rPr>
          <w:color w:val="000000" w:themeColor="text1"/>
          <w:sz w:val="16"/>
          <w:szCs w:val="16"/>
        </w:rPr>
      </w:pPr>
      <w:r w:rsidRPr="0044524F">
        <w:rPr>
          <w:rStyle w:val="af0"/>
          <w:bCs/>
          <w:i w:val="0"/>
          <w:color w:val="000000" w:themeColor="text1"/>
          <w:sz w:val="16"/>
          <w:szCs w:val="16"/>
        </w:rPr>
        <w:t>13 апреля 1933 вышел приказ НКТП № 40сс.</w:t>
      </w:r>
      <w:r w:rsidRPr="0044524F">
        <w:rPr>
          <w:color w:val="000000" w:themeColor="text1"/>
          <w:sz w:val="16"/>
          <w:szCs w:val="16"/>
        </w:rPr>
        <w:t xml:space="preserve"> О реализации договора с фирмой «Сперри». (РГАЭ. Ф. 7297. Оп. 38. Д. 38. Л. 13</w:t>
      </w:r>
      <w:r w:rsidRPr="0044524F">
        <w:rPr>
          <w:color w:val="000000" w:themeColor="text1"/>
          <w:sz w:val="16"/>
          <w:szCs w:val="16"/>
        </w:rPr>
        <w:noBreakHyphen/>
        <w:t>13 об.) (15246).</w:t>
      </w:r>
    </w:p>
    <w:p w14:paraId="32A67666" w14:textId="77777777" w:rsidR="006B4FD0" w:rsidRPr="0044524F" w:rsidRDefault="006B4FD0" w:rsidP="009654CF">
      <w:pPr>
        <w:pStyle w:val="rtejustify"/>
        <w:spacing w:before="0" w:after="0"/>
        <w:rPr>
          <w:color w:val="000000" w:themeColor="text1"/>
          <w:sz w:val="16"/>
          <w:szCs w:val="16"/>
        </w:rPr>
      </w:pPr>
    </w:p>
    <w:p w14:paraId="3718F235"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310BC36"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59249765"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апреля 1933 года Комитет Обороны принял постановление о выпуске батареи из 5 76 мм пушек</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КБ Мотовилихинского завода. В течение 20-31 мая 1933 года они прошли испытания на НИАП. Далее батарею передали на войсковые испытания. В общем-то, получилось не то, что хотел Тухачевский. Но других вариантов не имелось, поскольку данная пушка хотя бы могла выпускаться серийно. В результате 23 сентября 1933 года было принято решение о запуске орудия в серию. Ему присвоили обозначение 76-мм дивизионная пушка Обр.1933 года (позже присвоен индекс ГАУ 52-П-363) (25508).</w:t>
      </w:r>
    </w:p>
    <w:p w14:paraId="6BD0DDE6" w14:textId="77777777" w:rsidR="006A7D5C" w:rsidRPr="00142305" w:rsidRDefault="006A7D5C" w:rsidP="006A7D5C">
      <w:pPr>
        <w:spacing w:after="0" w:line="240" w:lineRule="auto"/>
        <w:jc w:val="both"/>
        <w:rPr>
          <w:rFonts w:ascii="Times New Roman" w:hAnsi="Times New Roman"/>
          <w:color w:val="0070C0"/>
          <w:sz w:val="16"/>
          <w:szCs w:val="16"/>
        </w:rPr>
      </w:pPr>
    </w:p>
    <w:p w14:paraId="12FBE158"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г. на заседании Комиссии обороны СССР было принято Постановление о выполнении танковой программы 1932 г. И 1 квартале 1933 г. Относительно обеспечения двигателями танков БТ в этом постановлении было сказано:</w:t>
      </w:r>
    </w:p>
    <w:p w14:paraId="64009607"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Разрешить НКТяжпрому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 долларов.</w:t>
      </w:r>
    </w:p>
    <w:p w14:paraId="05887911"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Вопрос о закупке электрооборудования к моторам Либерти и запчастей для этих моторов рассмотреть по представлении НКТП и НКВМ точной заявки о необходимом импортном контингенте и валюте.</w:t>
      </w:r>
    </w:p>
    <w:p w14:paraId="5F993194"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 целях обеспечения производства танков БТ (Кристи) моторами отечественного производства, обязать НКТП построить опытные образцы танков БТ с дизель-моторами и М-17 с таким расчетом, чтобы все испытания их были закончены не позднее IV квартала 1933 г.».</w:t>
      </w:r>
    </w:p>
    <w:p w14:paraId="130FE1A5"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[ГАРФ. Ф. Р8418. Оп. 28. Д. 126. Л. 34]</w:t>
      </w:r>
    </w:p>
    <w:p w14:paraId="6350397A"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в дальнейшем закупки зарубежом двигателей «Либерти» для установки их в танки БТ запрещались (24856).</w:t>
      </w:r>
    </w:p>
    <w:p w14:paraId="17B9E28D" w14:textId="77777777" w:rsidR="007B03F0" w:rsidRPr="0044524F" w:rsidRDefault="007B03F0" w:rsidP="009654CF">
      <w:pPr>
        <w:spacing w:after="0" w:line="240" w:lineRule="auto"/>
        <w:jc w:val="both"/>
        <w:rPr>
          <w:rFonts w:ascii="Times New Roman" w:hAnsi="Times New Roman"/>
          <w:color w:val="000000" w:themeColor="text1"/>
          <w:sz w:val="16"/>
          <w:szCs w:val="16"/>
        </w:rPr>
      </w:pPr>
    </w:p>
    <w:p w14:paraId="5134FDE8"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г.</w:t>
      </w:r>
    </w:p>
    <w:p w14:paraId="78FDA071"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ГАРФ Фонд Р8418 Опись 28 Дело 126 Лист 25 </w:t>
      </w:r>
    </w:p>
    <w:p w14:paraId="35011639"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СОВ.СЕКРЕТНО. </w:t>
      </w:r>
    </w:p>
    <w:p w14:paraId="05BE5643"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Экз. № 1</w:t>
      </w:r>
    </w:p>
    <w:p w14:paraId="71FFFBBD"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ПРОТОКОЛ № 4 </w:t>
      </w:r>
    </w:p>
    <w:p w14:paraId="046972BB"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ЗАСЕДАНИЯ КОМИССИИ ОБОРОНЫ СССР </w:t>
      </w:r>
    </w:p>
    <w:p w14:paraId="5C632728"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г.</w:t>
      </w:r>
    </w:p>
    <w:p w14:paraId="62E1FE59"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ПРИСУТСТВУЮТ – т.т. МОЛОТОВ, СТАЛИН, ВОРОШИЛОВ, ОРДЖОНИКИДЗЕ, КУЙБЫШЕВ. </w:t>
      </w:r>
    </w:p>
    <w:p w14:paraId="12E78DDA"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ПРИГЛАШЕНЫ – </w:t>
      </w:r>
    </w:p>
    <w:p w14:paraId="58399ECA"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всем пунктам – т.т. ЯГОДА, ГАМАРНИК, ТУХАЧЕВСКИЙ, ЕГОРОВ, КУЙБЫШЕВ Н., ПАВЛУНОВСКИЙ. </w:t>
      </w:r>
    </w:p>
    <w:p w14:paraId="358D86DF"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п. 1-му – т.т. ЯНСОН, ОРЛОВ, МУКЛЕВИЧ, ГАЛЛЕР, ГРИШИН, ПАНЦЕРЖАНСКИЙ. </w:t>
      </w:r>
    </w:p>
    <w:p w14:paraId="117BEA89"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п. 2-му – т. ЕФИМОВ. </w:t>
      </w:r>
    </w:p>
    <w:p w14:paraId="59E15539"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п. 3-му – т.т. ОРЛОВ, МУКЛЕВИЧ, ЛЕОНОВ, ЖУКОВ, АРТАМОНОВ. </w:t>
      </w:r>
    </w:p>
    <w:p w14:paraId="348F422D"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п. 4 и 5 – т.т. БАРАНОВ, АЛКСНИС, МАКАРОВСКИЙ, МАРЬЯМОВ, КАЦВА, МИХАЙЛОВ, ПОБЕРЕЖСКИЙ. </w:t>
      </w:r>
    </w:p>
    <w:p w14:paraId="76EA8359"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п. 6-му – т.т. АЛКСНИС, ХАЛЕПСКИЙ, ЖУКОВ. </w:t>
      </w:r>
    </w:p>
    <w:p w14:paraId="1DBDE6B8"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&lt;…&gt; </w:t>
      </w:r>
    </w:p>
    <w:p w14:paraId="1948DE36"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7. ДОКЛАД РВС О НЕОТЛОЖНЫХ ПОПРАВКАХ В ПРОИЗВОДСТВЕ ТАНКОВ, </w:t>
      </w:r>
    </w:p>
    <w:p w14:paraId="1B818E64"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СОГЛАСНО п. 4 прот. КО №3. </w:t>
      </w:r>
    </w:p>
    <w:p w14:paraId="544064D3"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 т. Ворошилов.</w:t>
      </w:r>
    </w:p>
    <w:p w14:paraId="4568CBF8"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ПОСТАНОВИЛИ: </w:t>
      </w:r>
    </w:p>
    <w:p w14:paraId="6065B059"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Разрешить НКВМору принять сверх плана заказа 1933 г. 407 танкеток Т-27. </w:t>
      </w:r>
    </w:p>
    <w:p w14:paraId="382B3C92"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НКВМору доложить на следующем заседании КО, какие сокращения необходимо провести в заказах НКВМора по другим типам танков (в связи с принятием п. 1-го). </w:t>
      </w:r>
    </w:p>
    <w:p w14:paraId="6DBF78A4"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О ВЫПОЛНЕНИИ ТАНКОВОЙ ПРОГРАММЫ 1932 г. и 1 кв. 1933 г. </w:t>
      </w:r>
    </w:p>
    <w:p w14:paraId="65840FFB"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 т. Ворошилов.</w:t>
      </w:r>
    </w:p>
    <w:p w14:paraId="1665F950"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ПОСТАНОВИЛИ: </w:t>
      </w:r>
    </w:p>
    <w:p w14:paraId="611A1F78"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Утвердить предложение Комиссии т. Ворошилова с поправками в части моторов Либерти для танков БТ (см. приложение). </w:t>
      </w:r>
    </w:p>
    <w:p w14:paraId="42361B48"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Впредь покупку новых партий моторов Либерти воспретить. </w:t>
      </w:r>
    </w:p>
    <w:p w14:paraId="30C16715"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НКВМ совместно с НКТП в месячный срок разработать календарный план замены мотора Либерти мотором М-17 или другим мотором советского производства. </w:t>
      </w:r>
    </w:p>
    <w:p w14:paraId="069C66E0"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&lt;…&gt;</w:t>
      </w:r>
    </w:p>
    <w:p w14:paraId="39235579"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ПРЕДСЕДАТЕЛЬ КОМИСИИ ОБОРОНЫ СССР подпись (В. МОЛОТОВ/СКРЯБИН) </w:t>
      </w:r>
    </w:p>
    <w:p w14:paraId="1B92E258"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СЕКРЕТАРЬ подпись (БАЗИЛЕВИЧ)</w:t>
      </w:r>
    </w:p>
    <w:p w14:paraId="6D020635"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экз. </w:t>
      </w:r>
    </w:p>
    <w:p w14:paraId="01B520F5"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 – оригинал </w:t>
      </w:r>
    </w:p>
    <w:p w14:paraId="1CBE1AAB"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2 – т. Сталину </w:t>
      </w:r>
    </w:p>
    <w:p w14:paraId="4411C66C"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3 – т. Ворошилову </w:t>
      </w:r>
    </w:p>
    <w:p w14:paraId="78F605D5"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Дописано от руки: </w:t>
      </w:r>
    </w:p>
    <w:p w14:paraId="114AAC1A"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515/ко </w:t>
      </w:r>
    </w:p>
    <w:p w14:paraId="78B90E53"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14.4.33 </w:t>
      </w:r>
    </w:p>
    <w:p w14:paraId="6E677EC9"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ГАРФ Фонд Р8418 Опись 28 Дело 126 Лист 33 – 34 </w:t>
      </w:r>
    </w:p>
    <w:p w14:paraId="1377CFF2"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СОВ.СЕКРЕТНО. </w:t>
      </w:r>
    </w:p>
    <w:p w14:paraId="7671322E"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Экз. № 1</w:t>
      </w:r>
    </w:p>
    <w:p w14:paraId="6F9F028C"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ПРИЛОЖЕНИЕ к прот. КО № 4 </w:t>
      </w:r>
    </w:p>
    <w:p w14:paraId="4231AE2B"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От 13.4.33 г., п. 8 </w:t>
      </w:r>
    </w:p>
    <w:p w14:paraId="06F38476"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КОМИССИИ ОБОРОНЫ СОЮЗА ССР</w:t>
      </w:r>
    </w:p>
    <w:p w14:paraId="472D585E"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г.</w:t>
      </w:r>
    </w:p>
    <w:p w14:paraId="31A3DC26"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Кремль</w:t>
      </w:r>
    </w:p>
    <w:p w14:paraId="76417B03"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выполнении танковой программы 1932 г. и 1 кв. 1933 г. </w:t>
      </w:r>
    </w:p>
    <w:p w14:paraId="491920CB"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По запасным частям к танкам.</w:t>
      </w:r>
    </w:p>
    <w:p w14:paraId="640BEB94"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Считать, что главной задачей промышленности по исполнению танковой программы на 1933 г. является не только 100% сдача танков, но и обеспечение запчастями как уже сданных РККА танков, так и подлежащих дальнейшей поставке. </w:t>
      </w:r>
    </w:p>
    <w:p w14:paraId="385972D2"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Обязать НКТяжпром сдавать, НКВМору запасные части в количествах и в сроки, согласованные с НКВМ. </w:t>
      </w:r>
    </w:p>
    <w:p w14:paraId="5A96A4E6"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Одновременно предложить промышленности не допускать дальнейшего отставания по сдаче индивидуальных и ремонтных комплектов запчастей. </w:t>
      </w:r>
    </w:p>
    <w:p w14:paraId="6040F7C0"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Запретить НКВМору прием от промышленности боевых машин без полного комплекта инструмента и запасных частей. </w:t>
      </w:r>
    </w:p>
    <w:p w14:paraId="376D65AE"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По качеству.</w:t>
      </w:r>
    </w:p>
    <w:p w14:paraId="7AE29162"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Обязать НКТП со II-го квартала 1933 г. добиться полной кондиционности боевых машин, в соответствии с техническими требованиями, улучшения качества брони и особенно улучшения сборки моторов и коробок скоростей. </w:t>
      </w:r>
    </w:p>
    <w:p w14:paraId="60F06040"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По вооружению.</w:t>
      </w:r>
    </w:p>
    <w:p w14:paraId="00A956A3"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Предложить НКТП и НКВМ (т.т. Тухачевскому и Павлуновскому) разработать порядок сдачи в армию танков с полным боевым оснащением вооружения: оптика, радиоустановка и химприборы и внести его в КО 1 августа с.г. </w:t>
      </w:r>
    </w:p>
    <w:p w14:paraId="7B6D6774"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По моторам к "БТ" (Кристи).</w:t>
      </w:r>
    </w:p>
    <w:p w14:paraId="2F26CED8"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Разрешить НКТяжпрому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 долларов. </w:t>
      </w:r>
    </w:p>
    <w:p w14:paraId="7EDA03AA"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Вопрос о закупке электрооборудования к моторам Либерти и запчастей для этих моторов рассмотреть по представлении НКТП и НКВМ точной заявки о необходимом импортном контингенте и валюте. </w:t>
      </w:r>
    </w:p>
    <w:p w14:paraId="0CCB90BD"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В целях обеспечения производства танков БТ (Кристи) моторами отечественного производства, обязать НКТП построить опытные образцы танков БТ с дизель-моторами и М-17 с таким расчетом, чтобы все испытания их были закончены не позднее IV квартала 1933 г. </w:t>
      </w:r>
    </w:p>
    <w:p w14:paraId="787C5F6D"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 По новым образцам.</w:t>
      </w:r>
    </w:p>
    <w:p w14:paraId="5665BE59"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Обязать НКТП построить три опытных образца танка ПТ-1 к 15-му октября с.г. </w:t>
      </w:r>
    </w:p>
    <w:p w14:paraId="18444FF3"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НКВМору закончить сравнительные испытания опытных образцов ПТ-1 неплавающего и танка Т-28 к 15 ноября 1933 г. и результаты испытаний доложить в КО. </w:t>
      </w:r>
    </w:p>
    <w:p w14:paraId="0FBBDB2C"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 По недоделу 1932 г.</w:t>
      </w:r>
    </w:p>
    <w:p w14:paraId="34D3DBCF"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сдаче недодела по танку Т-26 и БТ еще раз обсудить в III квартале.</w:t>
      </w:r>
    </w:p>
    <w:p w14:paraId="3EA47036"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ПРЕДСЕДАТЕЛЬ КОМИСИИ ОБОРОНЫ СССР подпись (В. МОЛОТОВ/СКРЯБИН) </w:t>
      </w:r>
    </w:p>
    <w:p w14:paraId="4571A38E"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СЕКРЕТАРЬ подпись (БАЗИЛЕВИЧ)</w:t>
      </w:r>
    </w:p>
    <w:p w14:paraId="339C538E"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экз. </w:t>
      </w:r>
    </w:p>
    <w:p w14:paraId="0F3E47AE"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 – оригинал </w:t>
      </w:r>
    </w:p>
    <w:p w14:paraId="63509090"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2 – т. Сталину </w:t>
      </w:r>
    </w:p>
    <w:p w14:paraId="24C6C08D"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3 – т. Ворошилову </w:t>
      </w:r>
    </w:p>
    <w:p w14:paraId="77D5ABB3"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4 – т. Орджоникидзе </w:t>
      </w:r>
    </w:p>
    <w:p w14:paraId="5B28E0FF"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5 – т. Павлуновскому </w:t>
      </w:r>
    </w:p>
    <w:p w14:paraId="4A4C70ED"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6 – т. Халепскому </w:t>
      </w:r>
    </w:p>
    <w:p w14:paraId="71950937"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7 – т. Куйбышеву Н. </w:t>
      </w:r>
    </w:p>
    <w:p w14:paraId="7D8F6A01" w14:textId="77777777" w:rsidR="007B03F0" w:rsidRPr="0044524F" w:rsidRDefault="007B03F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8 – в дело (24881).</w:t>
      </w:r>
    </w:p>
    <w:p w14:paraId="01E29F47" w14:textId="77777777" w:rsidR="007B03F0" w:rsidRPr="0044524F" w:rsidRDefault="007B03F0" w:rsidP="009654CF">
      <w:pPr>
        <w:spacing w:after="0" w:line="240" w:lineRule="auto"/>
        <w:jc w:val="both"/>
        <w:rPr>
          <w:rFonts w:ascii="Times New Roman" w:hAnsi="Times New Roman"/>
          <w:color w:val="000000" w:themeColor="text1"/>
          <w:sz w:val="16"/>
          <w:szCs w:val="16"/>
        </w:rPr>
      </w:pPr>
    </w:p>
    <w:p w14:paraId="44113F1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г. вышло Постановление КО, согласно которому Пермский завод в апреле-мае 1933 изготовил 6 опытных образцов 76-мм пушки обр, 1902.30 г (3861).</w:t>
      </w:r>
    </w:p>
    <w:p w14:paraId="64AEC054"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1F154856" w14:textId="77777777" w:rsidR="006B4FD0" w:rsidRPr="0044524F" w:rsidRDefault="006B4FD0" w:rsidP="009654CF">
      <w:pPr>
        <w:widowControl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13 апреля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1933 г</w:t>
        </w:r>
      </w:smartTag>
      <w:r w:rsidRPr="0044524F">
        <w:rPr>
          <w:rFonts w:ascii="Times New Roman" w:hAnsi="Times New Roman"/>
          <w:color w:val="000000" w:themeColor="text1"/>
          <w:sz w:val="16"/>
          <w:szCs w:val="16"/>
        </w:rPr>
        <w:t>. Заводоуправление ГАЗ специально просило Наркомтяжпром письмом отменить посещение завода иностранцами, «так как до 3-го квартала будет сборка танкеток» и «нежелательно, чтобы это могли увидеть иностранные экскурсанты и делегации». Нижегородцы внесли в конструкцию танкеток важные изменения, главными из которых была замена импортных моторов и коробок передач на «газовские». Была повышена надежность машины в целом. Всего армия получила 3295 танкеток Т-27, которые быстро превратились в учебные машины, так как их реальные боевые возможности оказались чрезвычайно низкими (15218).</w:t>
      </w:r>
    </w:p>
    <w:p w14:paraId="0E84BB59" w14:textId="77777777" w:rsidR="006B4FD0" w:rsidRPr="0044524F" w:rsidRDefault="006B4FD0" w:rsidP="009654CF">
      <w:pPr>
        <w:widowControl w:val="0"/>
        <w:spacing w:after="0" w:line="240" w:lineRule="auto"/>
        <w:jc w:val="both"/>
        <w:rPr>
          <w:rFonts w:ascii="Times New Roman" w:hAnsi="Times New Roman"/>
          <w:color w:val="000000" w:themeColor="text1"/>
          <w:sz w:val="16"/>
          <w:szCs w:val="16"/>
        </w:rPr>
      </w:pPr>
    </w:p>
    <w:p w14:paraId="15141057" w14:textId="77777777" w:rsidR="006B4FD0"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3DC38643" w14:textId="77777777" w:rsidR="006B4FD0" w:rsidRPr="0044524F" w:rsidRDefault="006B4FD0" w:rsidP="009654CF">
      <w:pPr>
        <w:spacing w:after="0" w:line="240" w:lineRule="auto"/>
        <w:jc w:val="both"/>
        <w:rPr>
          <w:rFonts w:ascii="Times New Roman" w:hAnsi="Times New Roman"/>
          <w:iCs/>
          <w:color w:val="000000" w:themeColor="text1"/>
          <w:sz w:val="16"/>
          <w:szCs w:val="16"/>
        </w:rPr>
      </w:pPr>
    </w:p>
    <w:p w14:paraId="11029C13" w14:textId="77777777" w:rsidR="006B4FD0" w:rsidRPr="0044524F" w:rsidRDefault="006B4F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13 апреля в 1933 году для формирования морских сил в Заполярье СНК СССР принял решение об отправке в Мурманск по внутренним водным путям из Ленинграда нескольких отрядов военных кораблей. Экспедиция особого назначения (ЭОН-1, начальник 3.А.Закупнев) в составе эсминцев «Урицкий» и «Рыков», СКР «Ураган» и «Смерч», подводных лодок «Декабрист» и «Народоволец» выступила в поход 18 мая. 26 июля из Ленинграда вышли корабли ЭОН-2 (эсминцы «Карл Маркс», СКР «Гроза» и подводная лодка «Красногвардеец»). 5 августа корабли ЭОН-1, а 21 сентября — ЭОН-2 прибыли на рейд Мурманского порта (15098).</w:t>
      </w:r>
    </w:p>
    <w:p w14:paraId="2C2A2F50" w14:textId="77777777" w:rsidR="006B4FD0" w:rsidRPr="0044524F" w:rsidRDefault="006B4FD0" w:rsidP="009654CF">
      <w:pPr>
        <w:spacing w:after="0" w:line="240" w:lineRule="auto"/>
        <w:jc w:val="both"/>
        <w:rPr>
          <w:rFonts w:ascii="Times New Roman" w:hAnsi="Times New Roman"/>
          <w:color w:val="000000" w:themeColor="text1"/>
          <w:sz w:val="16"/>
          <w:szCs w:val="16"/>
        </w:rPr>
      </w:pPr>
    </w:p>
    <w:p w14:paraId="6965E28E"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4B16145"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23ED34F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приказом по Строительству № 50 в целях устранения его «различных наименований» объявлялись его официальные названия: полное - «Строительство канала Москва-Волга», сокращенное - «Москва-Волгострой», в связи с чем все прежние печати и штампы объявлялись недействительными, а Обще-административному отделу Дмитлага предписывалось «своевременно обеспечить Отделениям замену печатей, штампов, бланков и пр.» Тем самым уже фактически вышедшую из обращения аббревиатуру «МКС» сменила новая - «МВС», которая продержалась до самого окончания строительства канала (7560).</w:t>
      </w:r>
    </w:p>
    <w:p w14:paraId="5E15913D"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7C71C31F"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3578708"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3FE400A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г. уже после роспуска райхстага Гитлер ратифицировал Московский протокол от 24 июня 1931 г. о продлении Берлинского договора о ненападении и нейтралитете. Но поезд уже ушел. 7 мая 1933 г. Крестинский, стоявший весьма близко к «центру выработки политических решений» Советского Союза (и даже жил в Кремле), секретным письмом ориентировал полпреда в Берлине Хинчука о том, что ратификацию протокола и обмен ратификационными грамотами (Состоялся 5 мая 1933 г.) правительство Гитлера старается использовать для того, чтобы «пробить брешь в отношениях между СССР, с одной стороны, Францией и Польшей — с другой &lt;...&gt;. В тех же целях, противодействия сближению между нами и Францией, гермпра постарается использовать предстоящий на днях приезд сюда генерала Боккельберга, ведающего вооружением рейхсвера». «&lt;...&gt; Во Франции и в Польше совершено спокойно отнесутся к тому, что состоялась ратификация давно подписанного протокола, ратификация, фактически не вносящая ничего нового в советско-германские отношения. Я не боюсь поэтому внешнеполитического вреда (sic!) от вступления Московского протокола в силу» (АВП РФ, ф. 05, оп. 13, п. 91, Д. 27, л. 16-17.). Такие слова из-под пера одного из активнейших поборников и проводников «рапалльской политики», коим был Крестинский, означали только одно: отношение политического руководства СССР в пользу отхода от стратегического сотрудничества с Германией было уже определено, и нужен был лишь приемлемый повод. Тем не менее визит военной делегации Боккельберга в СССР 8 — 25 мая 1933 г. был проведен с большой помпой и, по свидетельству Хильгера, «в прежнем духе согласия и доброй воли» (Hilger Gustav. Op. cit. S. 246.). В ходе подготовки визита Берзин еще 29 марта 1933 г. представил обширный план показа военной промышленности Боккельбергу с указанием конкретных объектов. Документ Ворошилов переадресовал Сталину, сопроводив его припиской: «т.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on. 3, д. 497, л. 103,104-106.). Сталин не возражал. Боккельберга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артмастерские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Боккельберг отнесся внимательно к высказываниям Тухачевского 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Боккельберг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on. 3, д. 505, л. 135-137.) (11784).</w:t>
      </w:r>
    </w:p>
    <w:p w14:paraId="28FA73E5"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2B3CCE84" w14:textId="7351A95D" w:rsidR="00962982" w:rsidRPr="0044524F" w:rsidRDefault="009629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г. Гитлер, пытаясь удержать Москву от сближения с Францией, предпринял очередной жест в сторону СССР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уже после роспуска райхстага, ратифицировал Московский протокол от 24 июня 1931 г. о продлении Берлинского договора о ненападении и нейтралитете. Но поезд уже ушел. 7 мая 1933 г. Крестинский, стоявший весьма близко к «центру выработки политических решений» Советского Союза (и даже жил в Кремле), секретным письмом ориентировал полпреда в Берлине Хинчука о том, что ратификацию протокола и обмен ратификационными грамотами</w:t>
      </w:r>
      <w:hyperlink r:id="rId123" w:anchor="n_449" w:history="1">
        <w:r w:rsidRPr="0044524F">
          <w:rPr>
            <w:rStyle w:val="a5"/>
            <w:rFonts w:ascii="Times New Roman" w:hAnsi="Times New Roman"/>
            <w:color w:val="000000" w:themeColor="text1"/>
            <w:sz w:val="16"/>
            <w:szCs w:val="16"/>
          </w:rPr>
          <w:t>[449]</w:t>
        </w:r>
      </w:hyperlink>
      <w:r w:rsidRPr="0044524F">
        <w:rPr>
          <w:rFonts w:ascii="Times New Roman" w:hAnsi="Times New Roman"/>
          <w:color w:val="000000" w:themeColor="text1"/>
          <w:sz w:val="16"/>
          <w:szCs w:val="16"/>
        </w:rPr>
        <w:t> правительство Гитлера старается использовать для того, чтобы «пробить брешь в отношениях между СССР, с одной стороны, Францией и Польшей — с другой &lt;…&gt;. В тех же целях, противодействия сближению между нами и Францией, гермпра постарается использовать предстоящий на днях приезд сюда генерала Боккельберга, ведающего вооружением рейхсвера».</w:t>
      </w:r>
    </w:p>
    <w:p w14:paraId="56CB6BE1" w14:textId="77777777" w:rsidR="00962982" w:rsidRPr="0044524F" w:rsidRDefault="009629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«&lt;…&gt; Во Франции и в Польше совершено спокойно отнесутся к тому, что состоялась ратификация давно подписанного протокола, ратификация, фактически не вносящая ничего нового в советско-германские отношения. Я не боюсь поэтому внешнеполитического вреда (sic!) от вступления Московского протокола в силу» (18265).</w:t>
      </w:r>
    </w:p>
    <w:p w14:paraId="54F66CFB" w14:textId="77777777" w:rsidR="00962982" w:rsidRPr="0044524F" w:rsidRDefault="00962982" w:rsidP="009654CF">
      <w:pPr>
        <w:spacing w:after="0" w:line="240" w:lineRule="auto"/>
        <w:jc w:val="both"/>
        <w:rPr>
          <w:rFonts w:ascii="Times New Roman" w:hAnsi="Times New Roman"/>
          <w:color w:val="000000" w:themeColor="text1"/>
          <w:sz w:val="16"/>
          <w:szCs w:val="16"/>
        </w:rPr>
      </w:pPr>
    </w:p>
    <w:p w14:paraId="0CBFB5A6"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1A85A54"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229E04C3"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апреля 1933 лорд Клайдсдейл совершил первый авиаполет над Эверестом (4962).</w:t>
      </w:r>
    </w:p>
    <w:p w14:paraId="232961D1"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p>
    <w:p w14:paraId="059A5284"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C5C3F4A"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49F4A93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апреля 1933 г. вышло Постановление Совета Труда и Обороны, согласно которому все новые стволы 76-мм пушек в 30 и 40 калибров было положено «выполнять исключительно со свободной трубой или лейнером». Постановление это, правда, осталось на бумаге из-за сложностей с налаживанием производства лейнеров и переходом на изготовление новых дивизионных пушек (5746, 44)</w:t>
      </w:r>
    </w:p>
    <w:p w14:paraId="4A0D5B3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апреля 1933 КО приняла постановление по радиооборудованию танков РККА. Согласно постановлению радиостанцию 71ТК д.б. получить каждый пятый и 16-й танки БТ-5, а 72ТК - каждый пятидесятый (3880,7).</w:t>
      </w:r>
    </w:p>
    <w:p w14:paraId="7D70D61E"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6CD3433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апреля 1933 г. было принято Постановление Совета труда и обороны, согласно которому все новые стволы 76-мм пушек в 30 и 40 клб было положено "выполнять исключительно со свободной трубой или лейнером". Постановление это, правда, осталось на бумаге из-за сложностей с налаживанием производства лейнеров и переходом на изготовление новых дивизионных пушек (3861).</w:t>
      </w:r>
    </w:p>
    <w:p w14:paraId="7FC79595"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26C28345" w14:textId="77777777" w:rsidR="006B4FD0"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F32B793" w14:textId="77777777" w:rsidR="006B4FD0" w:rsidRPr="0044524F" w:rsidRDefault="006B4FD0" w:rsidP="009654CF">
      <w:pPr>
        <w:spacing w:after="0" w:line="240" w:lineRule="auto"/>
        <w:jc w:val="both"/>
        <w:rPr>
          <w:rFonts w:ascii="Times New Roman" w:hAnsi="Times New Roman"/>
          <w:iCs/>
          <w:color w:val="000000" w:themeColor="text1"/>
          <w:sz w:val="16"/>
          <w:szCs w:val="16"/>
        </w:rPr>
      </w:pPr>
    </w:p>
    <w:p w14:paraId="27B93D26" w14:textId="77777777" w:rsidR="006B4FD0" w:rsidRPr="0044524F" w:rsidRDefault="006B4FD0" w:rsidP="009654CF">
      <w:pPr>
        <w:pStyle w:val="rtejustify"/>
        <w:spacing w:before="0" w:after="0"/>
        <w:rPr>
          <w:color w:val="000000" w:themeColor="text1"/>
          <w:sz w:val="16"/>
          <w:szCs w:val="16"/>
        </w:rPr>
      </w:pPr>
      <w:r w:rsidRPr="0044524F">
        <w:rPr>
          <w:rStyle w:val="af0"/>
          <w:bCs/>
          <w:i w:val="0"/>
          <w:color w:val="000000" w:themeColor="text1"/>
          <w:sz w:val="16"/>
          <w:szCs w:val="16"/>
        </w:rPr>
        <w:t>14 апреля 1933 вышел приказ НКТП № 41с.</w:t>
      </w:r>
      <w:r w:rsidRPr="0044524F">
        <w:rPr>
          <w:color w:val="000000" w:themeColor="text1"/>
          <w:sz w:val="16"/>
          <w:szCs w:val="16"/>
        </w:rPr>
        <w:t xml:space="preserve"> Об окончании строительства заводов военной промышленности. (РГАЭ. Ф. 7297. Оп. 38. Д. 35. Л. 39) (15246).</w:t>
      </w:r>
    </w:p>
    <w:p w14:paraId="086B9DDF" w14:textId="77777777" w:rsidR="006B4FD0" w:rsidRPr="0044524F" w:rsidRDefault="006B4FD0" w:rsidP="009654CF">
      <w:pPr>
        <w:pStyle w:val="rtejustify"/>
        <w:spacing w:before="0" w:after="0"/>
        <w:rPr>
          <w:color w:val="000000" w:themeColor="text1"/>
          <w:sz w:val="16"/>
          <w:szCs w:val="16"/>
        </w:rPr>
      </w:pPr>
    </w:p>
    <w:p w14:paraId="239416EE"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34074AB"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5AC86D2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14 и 20 апреля 1933. Из протокола заседания Политбюро N 136, 1933 г.</w:t>
      </w:r>
    </w:p>
    <w:p w14:paraId="56116C3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Средней Волги </w:t>
      </w:r>
    </w:p>
    <w:p w14:paraId="7572013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Принять предложение Средне-Волжского крайкома: </w:t>
      </w:r>
    </w:p>
    <w:p w14:paraId="31A505B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изъятие и выселение за пределы края в течение мая-июня с. г. не менее 6 тыс. кулацких хозяйств и 1 тыс. хозяйств наиболее разложившихся единоличников (11652).</w:t>
      </w:r>
    </w:p>
    <w:p w14:paraId="22D88DC1"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68C2E3E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14 и 20 апреля 1933. Из протокола заседания Политбюро N 136, 1933 г.</w:t>
      </w:r>
    </w:p>
    <w:p w14:paraId="17ADF70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 отпуске средств Верхсуду СССР </w:t>
      </w:r>
    </w:p>
    <w:p w14:paraId="07E98BE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СНК СССР об отпуске из резервного фонда СНК СССР 35 тыс. рублей председателю Верхсуда тов. Винокурову на расходы, связанные с проведением процесса по вредительству на электростанциях (11652).</w:t>
      </w:r>
    </w:p>
    <w:p w14:paraId="25A9BD2B"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7BCAEBB1"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2C0D3AC"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256235B9"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1933 опросом членов ПБ</w:t>
      </w:r>
    </w:p>
    <w:p w14:paraId="43B3C1D7"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60/36.- Вопросы Комиссии Обороны.</w:t>
      </w:r>
    </w:p>
    <w:p w14:paraId="62202175"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1.а) Разрешить НКТП закупить в Америке 2.000 моторов "Либерти", организовав специальный и особо тщательный отбор. Для этой цели выделить НКТП дополни</w:t>
      </w:r>
      <w:r w:rsidRPr="0044524F">
        <w:rPr>
          <w:rFonts w:ascii="Times New Roman" w:hAnsi="Times New Roman"/>
          <w:color w:val="000000" w:themeColor="text1"/>
          <w:sz w:val="16"/>
          <w:szCs w:val="16"/>
        </w:rPr>
        <w:softHyphen/>
        <w:t>тельно соответствующий импортный контингент и валю</w:t>
      </w:r>
      <w:r w:rsidRPr="0044524F">
        <w:rPr>
          <w:rFonts w:ascii="Times New Roman" w:hAnsi="Times New Roman"/>
          <w:color w:val="000000" w:themeColor="text1"/>
          <w:sz w:val="16"/>
          <w:szCs w:val="16"/>
        </w:rPr>
        <w:softHyphen/>
        <w:t>те в размере 120 тыс. долларов.</w:t>
      </w:r>
    </w:p>
    <w:p w14:paraId="05B062DE"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закупке электрооборудования к моторам "Либерти" и запчастям для этих моторов распределить по представлению НКТП и НКВМ точной заявки о необходимом импортном контингенте и валюте.</w:t>
      </w:r>
    </w:p>
    <w:p w14:paraId="5ACD9E90"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Разрешить НКТП, за счет своего -контингента, ввоз из Америки на 159 т.р. электрооборудования для моторов Либерти.</w:t>
      </w:r>
    </w:p>
    <w:p w14:paraId="1D48D1D5" w14:textId="5F44207C"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2.а) В целях проверки и дублирования наших кон</w:t>
      </w:r>
      <w:r w:rsidRPr="0044524F">
        <w:rPr>
          <w:rFonts w:ascii="Times New Roman" w:hAnsi="Times New Roman"/>
          <w:color w:val="000000" w:themeColor="text1"/>
          <w:sz w:val="16"/>
          <w:szCs w:val="16"/>
        </w:rPr>
        <w:softHyphen/>
        <w:t>структорских работ разрешить НКВМору произвести закпку</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дивизионных пушек Шкода.</w:t>
      </w:r>
    </w:p>
    <w:p w14:paraId="0DA691DA"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закупки выделить особые средства в размере до 200 тыс. ам. долларов сверх контингента НКВМ.</w:t>
      </w:r>
    </w:p>
    <w:p w14:paraId="4A3617E2"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Одновременно разрешить НКВМ осмотреть уни</w:t>
      </w:r>
      <w:r w:rsidRPr="0044524F">
        <w:rPr>
          <w:rFonts w:ascii="Times New Roman" w:hAnsi="Times New Roman"/>
          <w:color w:val="000000" w:themeColor="text1"/>
          <w:sz w:val="16"/>
          <w:szCs w:val="16"/>
        </w:rPr>
        <w:softHyphen/>
        <w:t>версальные пушки CACШ, согласно их предложения, на предмет переговоров о покупке.</w:t>
      </w:r>
    </w:p>
    <w:p w14:paraId="183F2214"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Ворошилову, Орджоникидзе, Розенгольцу.</w:t>
      </w:r>
    </w:p>
    <w:p w14:paraId="490B1F19" w14:textId="77777777" w:rsidR="00841CFC" w:rsidRPr="0044524F" w:rsidRDefault="00841C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апреля 1933 состоялось заседание ПБ и был оформлен протокол № 136 (22986).</w:t>
      </w:r>
    </w:p>
    <w:p w14:paraId="4AB4E703" w14:textId="77777777" w:rsidR="00841CFC" w:rsidRPr="0044524F" w:rsidRDefault="00841CFC" w:rsidP="009654CF">
      <w:pPr>
        <w:spacing w:after="0" w:line="240" w:lineRule="auto"/>
        <w:jc w:val="both"/>
        <w:rPr>
          <w:rFonts w:ascii="Times New Roman" w:hAnsi="Times New Roman"/>
          <w:color w:val="000000" w:themeColor="text1"/>
          <w:sz w:val="16"/>
          <w:szCs w:val="16"/>
        </w:rPr>
      </w:pPr>
    </w:p>
    <w:p w14:paraId="282E0673"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1933 г.</w:t>
      </w:r>
    </w:p>
    <w:p w14:paraId="08BA3A41"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Политбюро ЦК ВКП(б)</w:t>
      </w:r>
    </w:p>
    <w:p w14:paraId="6B59863C"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«Вопросы Комиссии обороны»</w:t>
      </w:r>
    </w:p>
    <w:p w14:paraId="647F9598"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П136/36-опр.</w:t>
      </w:r>
      <w:r w:rsidRPr="0044524F">
        <w:rPr>
          <w:rFonts w:ascii="Times New Roman" w:hAnsi="Times New Roman"/>
          <w:color w:val="000000" w:themeColor="text1"/>
          <w:sz w:val="16"/>
          <w:szCs w:val="16"/>
        </w:rPr>
        <w:tab/>
        <w:t>15 апреля 1933 г.</w:t>
      </w:r>
    </w:p>
    <w:p w14:paraId="0D9AD458"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Строго секретно</w:t>
      </w:r>
    </w:p>
    <w:p w14:paraId="07D0EB92"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«Особой папки»</w:t>
      </w:r>
    </w:p>
    <w:p w14:paraId="74E9EAF8"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60/36. </w:t>
      </w:r>
    </w:p>
    <w:p w14:paraId="4CE82F5E"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 Разрешить НКТП закупить в Америке 2 000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тыс. долларов.</w:t>
      </w:r>
    </w:p>
    <w:p w14:paraId="026E0BFC"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закупке электрооборудования к моторам «Либерти» и запчастям для этих моторов рассмотреть по представлении НКТП и НКВМ точной заявки о необходимом импортном контингенте и валюте.</w:t>
      </w:r>
    </w:p>
    <w:p w14:paraId="52CE6610"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Разрешить НКТП за счет своего контингента ввоз из Америки на 150 тыс. руб. электрооборудования для моторов «Либерти».</w:t>
      </w:r>
    </w:p>
    <w:p w14:paraId="532E5166"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 В целях проверки и дублирования наших конструкторских работ разрешить НКВМору произвести закупку дивизионных пушек «Шкода». Для закупки выделить особые средства в размере до 200 тыс. американских долларов сверх контингента НКВМ.</w:t>
      </w:r>
    </w:p>
    <w:p w14:paraId="32F5A1E1"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Одновременно разрешить НКВМ осмотреть универсальные пушки САСШ согласно их предложению на предмет переговоров о покупке.</w:t>
      </w:r>
    </w:p>
    <w:p w14:paraId="144FF6D4"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Секретарь ЦК</w:t>
      </w:r>
    </w:p>
    <w:p w14:paraId="5ABCDE6F"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 3. On. 66. Д. 343. Л. 111-111 об. Копия.</w:t>
      </w:r>
    </w:p>
    <w:p w14:paraId="1AAE23BD"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Принято опросом членов Политбюро ЦК ВКП(б) 15 апреля 1933 г. Выписка из протокола № 136 заседания Политбюро ЦК ВКП(б) 23 апреля 1933 г., п. 60/36.</w:t>
      </w:r>
    </w:p>
    <w:p w14:paraId="259DD437"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Направлена Г.Д. Базилевичу, К.Е. Ворошилову, Г.К. Орджоникидзе, А.П. Розенгольцу (20844).</w:t>
      </w:r>
    </w:p>
    <w:p w14:paraId="32E3118E" w14:textId="77777777" w:rsidR="00A738D8" w:rsidRPr="0044524F" w:rsidRDefault="00A738D8" w:rsidP="009654CF">
      <w:pPr>
        <w:spacing w:after="0" w:line="240" w:lineRule="auto"/>
        <w:jc w:val="both"/>
        <w:rPr>
          <w:rFonts w:ascii="Times New Roman" w:hAnsi="Times New Roman"/>
          <w:color w:val="000000" w:themeColor="text1"/>
          <w:sz w:val="16"/>
          <w:szCs w:val="16"/>
        </w:rPr>
      </w:pPr>
    </w:p>
    <w:p w14:paraId="2A85366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1933 были проведены первые в СССР стендовые испытания ПВРД Ю.А.Победоносцева в ГИРД (237,166).</w:t>
      </w:r>
    </w:p>
    <w:p w14:paraId="53846A0D"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19E558C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1933 С.П.К. руководил испытаниями ВРД на газообразном топливе (сжатый воздух + водород). Результаты положительные (Там же, № 94, л. 19) (10676).</w:t>
      </w:r>
    </w:p>
    <w:p w14:paraId="0E8AAA66"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78B7CD10"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E42DFFD"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2697CC7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15 по 25 апреля 1933 САУ СУ-76К (СУ-3), разработанная на заводе № 7, на базе Т-27 и вооруженная ДРП и предназначенная для действий в составе разведотрядов и для сопрвождения конницы, прошла испытания на полигоне ВАММ им. Сталина в Кунцево. Произошел разрыв ствола из-за двойного заряжания (9527,271).</w:t>
      </w:r>
    </w:p>
    <w:p w14:paraId="288AFB98"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195198B3"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апреля 1933 г. на полигоне ВАММ им. Сталина был начат капитальный отстрел СУ-76К. После небольшого перерыва, 11 июля 1933 г., самоходную установку вновь представили военным. Комиссия в составе начальника 3-го отделения 3-го управления УММ РККА Сакс, помощника начальника 3-го отделения НТУ ГАУ Краузе, инженера 3-го отделения 3-го управления УММ РККА Сапрыкина и начальника ОКБ №1 ГАУ Курчевского произвела осмотр и опробование стрельбой 76-мм пушки «К», установленной на Т-27 (25554).</w:t>
      </w:r>
    </w:p>
    <w:p w14:paraId="6A5BBFED" w14:textId="77777777" w:rsidR="006A7D5C" w:rsidRPr="00142305" w:rsidRDefault="006A7D5C" w:rsidP="006A7D5C">
      <w:pPr>
        <w:spacing w:after="0" w:line="240" w:lineRule="auto"/>
        <w:jc w:val="both"/>
        <w:rPr>
          <w:rFonts w:ascii="Times New Roman" w:hAnsi="Times New Roman"/>
          <w:color w:val="0070C0"/>
          <w:sz w:val="16"/>
          <w:szCs w:val="16"/>
        </w:rPr>
      </w:pPr>
    </w:p>
    <w:p w14:paraId="76E2C950" w14:textId="77777777" w:rsidR="006B4FD0" w:rsidRPr="0044524F" w:rsidRDefault="006B4FD0" w:rsidP="009654CF">
      <w:pPr>
        <w:pStyle w:val="rtejustify"/>
        <w:spacing w:before="0" w:after="0"/>
        <w:rPr>
          <w:color w:val="000000" w:themeColor="text1"/>
          <w:sz w:val="16"/>
          <w:szCs w:val="16"/>
        </w:rPr>
      </w:pPr>
      <w:r w:rsidRPr="0044524F">
        <w:rPr>
          <w:rStyle w:val="af0"/>
          <w:bCs/>
          <w:i w:val="0"/>
          <w:color w:val="000000" w:themeColor="text1"/>
          <w:sz w:val="16"/>
          <w:szCs w:val="16"/>
        </w:rPr>
        <w:t>15 апреля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вооружении связи». (РГВА. Ф. 4. Оп. 18. Д. 23. Л. 135</w:t>
      </w:r>
      <w:r w:rsidRPr="0044524F">
        <w:rPr>
          <w:color w:val="000000" w:themeColor="text1"/>
          <w:sz w:val="16"/>
          <w:szCs w:val="16"/>
        </w:rPr>
        <w:noBreakHyphen/>
        <w:t>136) (15461).</w:t>
      </w:r>
    </w:p>
    <w:p w14:paraId="7551ECC2" w14:textId="120C0919" w:rsidR="006B4FD0" w:rsidRPr="0044524F" w:rsidRDefault="006B4FD0" w:rsidP="009654CF">
      <w:pPr>
        <w:pStyle w:val="rtejustify"/>
        <w:spacing w:before="0" w:after="0"/>
        <w:rPr>
          <w:rStyle w:val="af0"/>
          <w:bCs/>
          <w:i w:val="0"/>
          <w:color w:val="000000" w:themeColor="text1"/>
          <w:sz w:val="16"/>
          <w:szCs w:val="16"/>
        </w:rPr>
      </w:pPr>
    </w:p>
    <w:p w14:paraId="72C5BF7F" w14:textId="277203EE" w:rsidR="00A738D8" w:rsidRPr="0044524F" w:rsidRDefault="00A738D8" w:rsidP="009654CF">
      <w:pPr>
        <w:pStyle w:val="rtejustify"/>
        <w:spacing w:before="0" w:after="0"/>
        <w:rPr>
          <w:rStyle w:val="af0"/>
          <w:bCs/>
          <w:iCs w:val="0"/>
          <w:color w:val="000000" w:themeColor="text1"/>
          <w:sz w:val="16"/>
          <w:szCs w:val="16"/>
        </w:rPr>
      </w:pPr>
      <w:r w:rsidRPr="0044524F">
        <w:rPr>
          <w:rStyle w:val="af0"/>
          <w:bCs/>
          <w:iCs w:val="0"/>
          <w:color w:val="000000" w:themeColor="text1"/>
          <w:sz w:val="16"/>
          <w:szCs w:val="16"/>
        </w:rPr>
        <w:t>Армия:</w:t>
      </w:r>
    </w:p>
    <w:p w14:paraId="536F1790" w14:textId="77777777" w:rsidR="00A738D8" w:rsidRPr="0044524F" w:rsidRDefault="00A738D8" w:rsidP="009654CF">
      <w:pPr>
        <w:pStyle w:val="rtejustify"/>
        <w:spacing w:before="0" w:after="0"/>
        <w:rPr>
          <w:rStyle w:val="af0"/>
          <w:bCs/>
          <w:iCs w:val="0"/>
          <w:color w:val="000000" w:themeColor="text1"/>
          <w:sz w:val="16"/>
          <w:szCs w:val="16"/>
        </w:rPr>
      </w:pPr>
    </w:p>
    <w:p w14:paraId="65B94DC7" w14:textId="1C4C5B20"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1933 г. 11-й отдельный морской пограничный авиаотряд</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выделился из состава 2-й Камчатской авиаэскадрильи погранвойск и под командовани</w:t>
      </w:r>
      <w:r w:rsidRPr="0044524F">
        <w:rPr>
          <w:rFonts w:ascii="Times New Roman" w:hAnsi="Times New Roman"/>
          <w:color w:val="000000" w:themeColor="text1"/>
          <w:sz w:val="16"/>
          <w:szCs w:val="16"/>
        </w:rPr>
        <w:softHyphen/>
        <w:t>ем М. Репина был перебазирован на берег бухты Угловой, на ст. Океанская, близ Владивостока для усиления морских и сухопутных частей правого флан</w:t>
      </w:r>
      <w:r w:rsidRPr="0044524F">
        <w:rPr>
          <w:rFonts w:ascii="Times New Roman" w:hAnsi="Times New Roman"/>
          <w:color w:val="000000" w:themeColor="text1"/>
          <w:sz w:val="16"/>
          <w:szCs w:val="16"/>
        </w:rPr>
        <w:softHyphen/>
        <w:t>га Тихоокеанского пограничного округа. Эта дата и является официальным днем рождения Владивостокской пограничной авиационной части.</w:t>
      </w:r>
    </w:p>
    <w:p w14:paraId="10E9BACA"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Исторический формуляр части, заполненный в те далекие для нас годы, оставил нам свои пожелтевшие от времени страницы, которые рассказывают о людях, стоявших у истоков этой части, об их делах и службе в то непростое для страны время. Первоначально отряд состоял из 30 человек, из которых ко</w:t>
      </w:r>
      <w:r w:rsidRPr="0044524F">
        <w:rPr>
          <w:rFonts w:ascii="Times New Roman" w:hAnsi="Times New Roman"/>
          <w:color w:val="000000" w:themeColor="text1"/>
          <w:sz w:val="16"/>
          <w:szCs w:val="16"/>
        </w:rPr>
        <w:softHyphen/>
        <w:t>мандно-начальствующего состава было 12 человек, младшего командного со</w:t>
      </w:r>
      <w:r w:rsidRPr="0044524F">
        <w:rPr>
          <w:rFonts w:ascii="Times New Roman" w:hAnsi="Times New Roman"/>
          <w:color w:val="000000" w:themeColor="text1"/>
          <w:sz w:val="16"/>
          <w:szCs w:val="16"/>
        </w:rPr>
        <w:softHyphen/>
        <w:t>става — 3 человека, а рядового состава — 15 человек. Небезынтересен и тот факт, что в отряде грамотных было всего 17 человек, а малограмотных 13. Тем не менее личный состав отряда с чувством высокой ответственности, с полной отдачей сил решал стоящие задачи по охране государственной границы, обу</w:t>
      </w:r>
      <w:r w:rsidRPr="0044524F">
        <w:rPr>
          <w:rFonts w:ascii="Times New Roman" w:hAnsi="Times New Roman"/>
          <w:color w:val="000000" w:themeColor="text1"/>
          <w:sz w:val="16"/>
          <w:szCs w:val="16"/>
        </w:rPr>
        <w:softHyphen/>
        <w:t>стройству на новом месте дислокации. Первые летчики прибывали в часть из Тамбовской летной школы ГВФ, летчики-наблюдатели — из Оренбургской во</w:t>
      </w:r>
      <w:r w:rsidRPr="0044524F">
        <w:rPr>
          <w:rFonts w:ascii="Times New Roman" w:hAnsi="Times New Roman"/>
          <w:color w:val="000000" w:themeColor="text1"/>
          <w:sz w:val="16"/>
          <w:szCs w:val="16"/>
        </w:rPr>
        <w:softHyphen/>
        <w:t>енной школы летчиков и летчиков-наблюдателей, а рядовой состав — из раз</w:t>
      </w:r>
      <w:r w:rsidRPr="0044524F">
        <w:rPr>
          <w:rFonts w:ascii="Times New Roman" w:hAnsi="Times New Roman"/>
          <w:color w:val="000000" w:themeColor="text1"/>
          <w:sz w:val="16"/>
          <w:szCs w:val="16"/>
        </w:rPr>
        <w:softHyphen/>
        <w:t>ных частей пограничных и внутренних войск Дальневосточного края.</w:t>
      </w:r>
    </w:p>
    <w:p w14:paraId="71AF95A5" w14:textId="77777777" w:rsidR="00A738D8" w:rsidRPr="0044524F" w:rsidRDefault="00A738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вооружении авиационного отряда в то далекое время были самолеты По-2 и Ш-2 с двигателями М-11. Только спустя два года отряд был перефор</w:t>
      </w:r>
      <w:r w:rsidRPr="0044524F">
        <w:rPr>
          <w:rFonts w:ascii="Times New Roman" w:hAnsi="Times New Roman"/>
          <w:color w:val="000000" w:themeColor="text1"/>
          <w:sz w:val="16"/>
          <w:szCs w:val="16"/>
        </w:rPr>
        <w:softHyphen/>
        <w:t>мирован в соответствии с новым штатом, который предусматривал 169 чело</w:t>
      </w:r>
      <w:r w:rsidRPr="0044524F">
        <w:rPr>
          <w:rFonts w:ascii="Times New Roman" w:hAnsi="Times New Roman"/>
          <w:color w:val="000000" w:themeColor="text1"/>
          <w:sz w:val="16"/>
          <w:szCs w:val="16"/>
        </w:rPr>
        <w:softHyphen/>
        <w:t>век личного состава и 10 самолетов МБР-2 с двигателями М-17Б вместо само</w:t>
      </w:r>
      <w:r w:rsidRPr="0044524F">
        <w:rPr>
          <w:rFonts w:ascii="Times New Roman" w:hAnsi="Times New Roman"/>
          <w:color w:val="000000" w:themeColor="text1"/>
          <w:sz w:val="16"/>
          <w:szCs w:val="16"/>
        </w:rPr>
        <w:softHyphen/>
        <w:t>летов Ш-2 (20402).</w:t>
      </w:r>
    </w:p>
    <w:p w14:paraId="780CD8F8" w14:textId="77777777" w:rsidR="00A738D8" w:rsidRPr="0044524F" w:rsidRDefault="00A738D8" w:rsidP="009654CF">
      <w:pPr>
        <w:spacing w:after="0" w:line="240" w:lineRule="auto"/>
        <w:jc w:val="both"/>
        <w:rPr>
          <w:rFonts w:ascii="Times New Roman" w:hAnsi="Times New Roman"/>
          <w:color w:val="000000" w:themeColor="text1"/>
          <w:sz w:val="16"/>
          <w:szCs w:val="16"/>
        </w:rPr>
      </w:pPr>
    </w:p>
    <w:p w14:paraId="2F5A02B2"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апреля 1933 г. у станции Океанская в бухте Угловая под Владивостоком ор</w:t>
      </w:r>
      <w:r w:rsidRPr="00142305">
        <w:rPr>
          <w:rFonts w:ascii="Times New Roman" w:hAnsi="Times New Roman"/>
          <w:color w:val="0070C0"/>
          <w:sz w:val="16"/>
          <w:szCs w:val="16"/>
        </w:rPr>
        <w:softHyphen/>
        <w:t>ганизовали 2-й отдельный морской по</w:t>
      </w:r>
      <w:r w:rsidRPr="00142305">
        <w:rPr>
          <w:rFonts w:ascii="Times New Roman" w:hAnsi="Times New Roman"/>
          <w:color w:val="0070C0"/>
          <w:sz w:val="16"/>
          <w:szCs w:val="16"/>
        </w:rPr>
        <w:softHyphen/>
        <w:t>граничный авиаотряд (омао) под коман</w:t>
      </w:r>
      <w:r w:rsidRPr="00142305">
        <w:rPr>
          <w:rFonts w:ascii="Times New Roman" w:hAnsi="Times New Roman"/>
          <w:color w:val="0070C0"/>
          <w:sz w:val="16"/>
          <w:szCs w:val="16"/>
        </w:rPr>
        <w:softHyphen/>
        <w:t>дованием М.П. Репина, укомплектован</w:t>
      </w:r>
      <w:r w:rsidRPr="00142305">
        <w:rPr>
          <w:rFonts w:ascii="Times New Roman" w:hAnsi="Times New Roman"/>
          <w:color w:val="0070C0"/>
          <w:sz w:val="16"/>
          <w:szCs w:val="16"/>
        </w:rPr>
        <w:softHyphen/>
        <w:t>ный тремя Ш-2, к которым добавили три У-2. В 1935 г. его пополнили летающими лодками МБР-2 и переименовали в 11-й отдельный авиаотряд (оао).</w:t>
      </w:r>
    </w:p>
    <w:p w14:paraId="2B262EAC"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том же году в Хабаровске сформиро</w:t>
      </w:r>
      <w:r w:rsidRPr="00142305">
        <w:rPr>
          <w:rFonts w:ascii="Times New Roman" w:hAnsi="Times New Roman"/>
          <w:color w:val="0070C0"/>
          <w:sz w:val="16"/>
          <w:szCs w:val="16"/>
        </w:rPr>
        <w:softHyphen/>
        <w:t>вали звено под командованием А. Шес</w:t>
      </w:r>
      <w:r w:rsidRPr="00142305">
        <w:rPr>
          <w:rFonts w:ascii="Times New Roman" w:hAnsi="Times New Roman"/>
          <w:color w:val="0070C0"/>
          <w:sz w:val="16"/>
          <w:szCs w:val="16"/>
        </w:rPr>
        <w:softHyphen/>
        <w:t>това. Оно сначала имело три Ш-2, затем получило ещё три У-2. Позднее это звено преобразовали в 13-й оао (24952).</w:t>
      </w:r>
    </w:p>
    <w:p w14:paraId="72D94550" w14:textId="77777777" w:rsidR="006A7D5C" w:rsidRPr="00142305" w:rsidRDefault="006A7D5C" w:rsidP="006A7D5C">
      <w:pPr>
        <w:spacing w:after="0" w:line="240" w:lineRule="auto"/>
        <w:jc w:val="both"/>
        <w:rPr>
          <w:rFonts w:ascii="Times New Roman" w:hAnsi="Times New Roman"/>
          <w:color w:val="0070C0"/>
          <w:sz w:val="16"/>
          <w:szCs w:val="16"/>
        </w:rPr>
      </w:pPr>
    </w:p>
    <w:p w14:paraId="1FEC9004" w14:textId="77777777" w:rsidR="00A738D8" w:rsidRPr="0044524F" w:rsidRDefault="00A738D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15 апреля 1933 комиссия обороны утвердила подготовленный начальником Военно-морских сил В.М. Орловым и завизированный наркомом К.Е. Ворошиловым «Перечень мероприятий для обеспечения перевода военных судов из Балтийского моря в Белое море». Им потребовалось перевести из состава Морских сил Балтийского моря в Белое море эсминцы «Урицкий» и «Рыков» (в 1936 году переименован в «Куйбышев»), подлодки «Декабрист», «Народоволец» и сторожевые суда «Ураган» и «Смерч» к 1—15 июля 1933 года и одновременно обследовать Кольский залив, чтобы обеспечить базирование кораблей к их приходу (20467).</w:t>
      </w:r>
    </w:p>
    <w:p w14:paraId="515DAEE9" w14:textId="77777777" w:rsidR="00A738D8" w:rsidRPr="0044524F" w:rsidRDefault="00A738D8" w:rsidP="009654CF">
      <w:pPr>
        <w:spacing w:after="0" w:line="240" w:lineRule="auto"/>
        <w:jc w:val="both"/>
        <w:rPr>
          <w:rFonts w:ascii="Times New Roman" w:hAnsi="Times New Roman"/>
          <w:color w:val="000000" w:themeColor="text1"/>
          <w:sz w:val="16"/>
          <w:szCs w:val="16"/>
        </w:rPr>
      </w:pPr>
    </w:p>
    <w:p w14:paraId="62F4C17D"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2AFD1B8"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0E0D5C9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 декабря 1932 по 15 апреля 1933 умерло от голода 2420 тыс. чел. (70,221).</w:t>
      </w:r>
    </w:p>
    <w:p w14:paraId="31A67B34"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5AD14C0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1933 вышел приказ по МВС и лагерю за № 50 от, подписанный Коганом и Радецким, гласил:</w:t>
      </w:r>
    </w:p>
    <w:p w14:paraId="2A5DEBE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«Отдельные слова уголовного жаргона в лагерях начинают принимать права гражданства. Такие слова как «туфта», «блат», «филон» и т. п. становятся словами общеупотребительными, не изгоняемыми даже из официальной переписки, докладов, и т. д.</w:t>
      </w:r>
    </w:p>
    <w:p w14:paraId="7030BEF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Засорение языка словами взятыми из жаргона уголовного элемента представляет громадную опасность, которой к сожалению не понимают даже ответственные работники строительства и лагеря. Они не понимают, что введение в практику таких слов, как «туфта», «блат» и т. п. является следствием того, что явления ими определяемые стали обычными.</w:t>
      </w:r>
    </w:p>
    <w:p w14:paraId="191AB15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Самые отвратительные виды вредительства, борьба с которыми всеми мерами должна была бы вестись не только чекистами, но и всеми добросовестными лагерниками, из-за того, что эти виды вредительства квалифицируются новыми не мобилизующими внимания словами, не стали предметом немедленного пресечения их.</w:t>
      </w:r>
    </w:p>
    <w:p w14:paraId="3013406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Нет никакого сомнения, что при Правильной квалификации явлений, при квалификации, например, «туфта» как «очковтирательство», «дача заведомо ложных сведений» и т. п., «блата» - как «взятка», «использование служебного положения» и т. п., на них сразу же было бы обращено необходимое внимание и были бы приняты соответствующие меры воздействия как административного, так и общественного.</w:t>
      </w:r>
    </w:p>
    <w:p w14:paraId="6D9BC1A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...Предлагаю по линии КВО провести кампанию за изгнание из лагерного лексикона в первую очередь слов «туфта» и «блат».</w:t>
      </w:r>
    </w:p>
    <w:p w14:paraId="0B603F7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Лагерникам должны быть разъяснены причины этого. Должно быть внушено, что одним допущением этих слов они занимаются укрывательством ряда вредительских актов, со всеми вытекающими отсюда последствиями. Ответственные работники должны иметь в виду, что если указанное требуется от рядового лагерного работника, это тем более относится к ним. Они должны понять что изгнание указанных слов из обихода является необходимым для того, чтобы сами явления ими определяемые не могли бы в лагере иметь место.</w:t>
      </w:r>
    </w:p>
    <w:p w14:paraId="06707DF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частности, не оправданную разницу, которая будет получаться между ежедневными оперативными данными по земляным работам и данными контрольных инструментальных обмеров, в дальнейшем надлежит квалифицировать как заведомо ложные сведения» (7560).</w:t>
      </w:r>
    </w:p>
    <w:p w14:paraId="249C7718"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2191A6D1" w14:textId="77777777" w:rsidR="006B4FD0"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BB96442" w14:textId="77777777" w:rsidR="006B4FD0" w:rsidRPr="0044524F" w:rsidRDefault="006B4FD0" w:rsidP="009654CF">
      <w:pPr>
        <w:spacing w:after="0" w:line="240" w:lineRule="auto"/>
        <w:jc w:val="both"/>
        <w:rPr>
          <w:rFonts w:ascii="Times New Roman" w:hAnsi="Times New Roman"/>
          <w:iCs/>
          <w:color w:val="000000" w:themeColor="text1"/>
          <w:sz w:val="16"/>
          <w:szCs w:val="16"/>
        </w:rPr>
      </w:pPr>
    </w:p>
    <w:p w14:paraId="42482AFE" w14:textId="77777777" w:rsidR="006B4FD0" w:rsidRPr="0044524F" w:rsidRDefault="006B4F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в 1933 году Хосе Х.Родригесом поднял в воздух лёгкий транспортный самолёт «Ае.Т.1» (разработчик: «FMA», Аргентина). Самолёт был разработан начале 1930-х гг. совместными усилиями инженеров «Fabrica Militar de Aviones de Cordoba» и «Seccion Experimental de Transportes Aereos». Это была чисто коммерческая машина, хотя и строилась на военном предприятии. Испытания прошли вполне успешно, однако заказ на «Ае.Т.1» составил всего три экземпляра. Все самолёты поступили в эскадрилью "Sol de Maya" в течении 1933 - 1934 гг., причем каждая машина имела собственное название: "General San Martin", "Dean Funes" и "Jorge Newbery" (15100).</w:t>
      </w:r>
    </w:p>
    <w:p w14:paraId="65A62538" w14:textId="77777777" w:rsidR="006B4FD0" w:rsidRPr="0044524F" w:rsidRDefault="006B4FD0" w:rsidP="009654CF">
      <w:pPr>
        <w:spacing w:after="0" w:line="240" w:lineRule="auto"/>
        <w:jc w:val="both"/>
        <w:rPr>
          <w:rFonts w:ascii="Times New Roman" w:hAnsi="Times New Roman"/>
          <w:color w:val="000000" w:themeColor="text1"/>
          <w:sz w:val="16"/>
          <w:szCs w:val="16"/>
        </w:rPr>
      </w:pPr>
    </w:p>
    <w:p w14:paraId="2CE3657D" w14:textId="77777777" w:rsidR="0097131C" w:rsidRPr="0044524F" w:rsidRDefault="009713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1933 года — первый полёт пассажирского самолёта FMA Aé.T.1.</w:t>
      </w:r>
    </w:p>
    <w:p w14:paraId="2AB925BB" w14:textId="77777777" w:rsidR="0097131C" w:rsidRPr="0044524F" w:rsidRDefault="009713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являлся попыткой применить опыт, полученный во время постройки лёгкого бомбардировщика Aé.M.B.1, в мирных целях. Самолёт строился на военном предприятии Fabrica Militar de Aviones, и был разработан совместно с фирмой Sección Experimental de Transportes Aéreos.</w:t>
      </w:r>
    </w:p>
    <w:p w14:paraId="1BE94F0D" w14:textId="77777777" w:rsidR="0097131C" w:rsidRPr="0044524F" w:rsidRDefault="009713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Aé.T.1 представлял собой одномоторный низкоплан с неубирающимся шасси. Крыло выполнено из дерева, а корпус из стального каркаса, обшитого тканью. Внешне чем-то напоминал Junkers F.13. На Aé.T.1 была установлена радиостанция, поэтому экипаж состоял из 2 пилотов и радиста. На борту могло разместиться 5 пассажиров.</w:t>
      </w:r>
    </w:p>
    <w:p w14:paraId="608A7093" w14:textId="77777777" w:rsidR="0097131C" w:rsidRPr="0044524F" w:rsidRDefault="0097131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FMA AeT.1 стал первым авиалайнером, построенным в Аргентине. Но, несмотря на успешные испытательные полёты, заказчиков на новый самолёт не нашлось. Выпустили всего 3 авиалайнера, пополнивших эскадрилью "Sol de Mayo". Позже один был передан а/к Aero-Argentina и выполнял рейсы между Кордовой и Буэнос-Айресом. Судьба остальных самолётов неизвестна (22300).</w:t>
      </w:r>
    </w:p>
    <w:p w14:paraId="3A0DA2DA" w14:textId="77777777" w:rsidR="0097131C" w:rsidRPr="0044524F" w:rsidRDefault="0097131C" w:rsidP="009654CF">
      <w:pPr>
        <w:spacing w:after="0" w:line="240" w:lineRule="auto"/>
        <w:jc w:val="both"/>
        <w:rPr>
          <w:rFonts w:ascii="Times New Roman" w:hAnsi="Times New Roman"/>
          <w:color w:val="000000" w:themeColor="text1"/>
          <w:sz w:val="16"/>
          <w:szCs w:val="16"/>
        </w:rPr>
      </w:pPr>
    </w:p>
    <w:p w14:paraId="31EEB21B"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D338AB4"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2D5CED8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середины апреля 1933 эталон 1933 г. Р-5 простоял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6110976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Длительная возня с подготовкой эталона привела к тому, что большую часть самолетов выпуска 1933 г. сделали по стандарту предыдущего года. Лишь с лета начали внедрять отдельные новшества. С 18-й серии под крылом смонтировали держатели для так называемых ракет Хольца с автоматическим сбросом догоревших ракет (если маломощные фары не помогали, их можно было использовать для освещения, например, посадочной площадки). Чуть позже изменили короба для дисков пулеметов ДА, ввели усовершенствованный кольцевой прицел, переделали привод синхронизатора. Тормоза появились только с конца осени. Из-за нехватки колес до марта следующего года с завода периодически отправляли Р-5 с новыми осями, но колесами старого образца.</w:t>
      </w:r>
    </w:p>
    <w:p w14:paraId="548E0C7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воинских частях к первым самолетам с тормозными колесами отнеслись неодобрительно. Тормоза работали ненадежно. Вскоре начали ломаться оси. Оказалось, что на заводе их делали второпях, оставляли заусенцы, забывали снимать фаски. 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6880D8D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320C99D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2877654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07749B1A"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1F6EED2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середины апреля 1933 "эталон 1933 г." простоял в ангаре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7D8D515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Длительная возня с подготовкой эталона привела к тому, что большая часть самолетов выпуска 1933 г. делалась по стандарту предыдущего года. Лишь с лета начали внедрять отдельные изменения. С 18-й серии под крылом смонтировали ракетодержатели с автоматическим сбросом догоревших ракет. Чуть позже изменили короба для дисков пулеметов ДА, ввели усовершенствованный кольцевой прицел, переделали привод синхронизатора переднего пулемета. Тормоза появились с конца осени, но из-за нехватки колес до марта следующего года с завода периодически отправляли Р-5 с новыми осями, но с колесами старого образца. </w:t>
      </w:r>
    </w:p>
    <w:p w14:paraId="3176D58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Более того, из-за нехватки отечественных колес в августе-сентябре 1933 г. пришлось выпустить партию самолетов с импортными колесами "Палмер", правда, при этом завод письменно обязался заменить их при первой возможности.</w:t>
      </w:r>
    </w:p>
    <w:p w14:paraId="36EA117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Надо сказать, что в воинских частях к первым сериям самолетов с тормозными колесами отнеслись неодобрительно. Тормоза работали ненадежно. Вскоре начали ломаться оси. Оказалось, что на заводе их делают второпях, оставляют заусенцы, забывают снимать фаски. Смазки вообше не оказалось. Присланные самолеты перед эксплуатацией приходилось разбирать и проверять.</w:t>
      </w:r>
    </w:p>
    <w:p w14:paraId="4CAD5E1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31FEAFD5"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3D3B582C" w14:textId="0333DCA1" w:rsidR="00C26A6D" w:rsidRPr="0044524F" w:rsidRDefault="00C26A6D"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18C7E90" w14:textId="77777777" w:rsidR="00C26A6D" w:rsidRPr="0044524F" w:rsidRDefault="00C26A6D" w:rsidP="009654CF">
      <w:pPr>
        <w:spacing w:after="0" w:line="240" w:lineRule="auto"/>
        <w:jc w:val="both"/>
        <w:rPr>
          <w:rFonts w:ascii="Times New Roman" w:hAnsi="Times New Roman"/>
          <w:i/>
          <w:iCs/>
          <w:color w:val="000000" w:themeColor="text1"/>
          <w:sz w:val="16"/>
          <w:szCs w:val="16"/>
        </w:rPr>
      </w:pPr>
    </w:p>
    <w:p w14:paraId="65E0374C" w14:textId="77777777" w:rsidR="00C26A6D" w:rsidRPr="0044524F" w:rsidRDefault="00C26A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середину апреля 1933 года дизель ПГЕ требовал конструктивный доработки. Еще один «конкурент» дизеля БД-2 – опытный образец дизеля Д-300 все еще находился в стадии изготовления в ОКМО на заводе им. Ворошилова, и параллельно с этим специалисты Дизельного отдела НАТИ дорабатывали его конструкцию в целях повышения мощности с 300 до 400 л.с.</w:t>
      </w:r>
    </w:p>
    <w:p w14:paraId="65B64868" w14:textId="77777777" w:rsidR="00C26A6D" w:rsidRPr="0044524F" w:rsidRDefault="00C26A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Примерно в это же время в Москве на уровне правительства в очередной раз рассматривался вопрос об обеспечении отечественными двигателями программы по выпуску танков БТ.</w:t>
      </w:r>
    </w:p>
    <w:p w14:paraId="1D04A9E8" w14:textId="77777777" w:rsidR="00C26A6D" w:rsidRPr="0044524F" w:rsidRDefault="00C26A6D" w:rsidP="009654CF">
      <w:pPr>
        <w:spacing w:after="0" w:line="240" w:lineRule="auto"/>
        <w:jc w:val="both"/>
        <w:rPr>
          <w:rFonts w:ascii="Times New Roman" w:hAnsi="Times New Roman"/>
          <w:color w:val="000000" w:themeColor="text1"/>
          <w:sz w:val="16"/>
          <w:szCs w:val="16"/>
        </w:rPr>
      </w:pPr>
    </w:p>
    <w:p w14:paraId="12AC494F" w14:textId="28B27703"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68527C0"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6D52D89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апреля 1933 г. сдали центроплан И-14; консоли крыла сдали 25 апреля 1933 г.; 10 марта был полностью собран фюзеляж; 21 апреля установили шасси (правда, без подъемного механизма - его не успели довести в срок). Установка мотора на самолет состоялась 28 марта 1933 г. (12037).</w:t>
      </w:r>
    </w:p>
    <w:p w14:paraId="1E4C5C7F"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728531CD"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16 апреля 1933 года Начальник НИИ ВВС Зильберт утвердил протокол Тактико-технического совещания НИИ ВВС (Журнал № 1) от 7 апреля 1933 года (6788).</w:t>
      </w:r>
    </w:p>
    <w:p w14:paraId="7AD4721E"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разбиравшихся вопросов</w:t>
      </w:r>
    </w:p>
    <w:p w14:paraId="432AD16C" w14:textId="77777777" w:rsidR="008E7A66" w:rsidRPr="0044524F" w:rsidRDefault="008E7A66" w:rsidP="009654CF">
      <w:pPr>
        <w:tabs>
          <w:tab w:val="left" w:pos="360"/>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Тактические требования к передней кабине самолета ТБ6. Докладчик Вершинин.</w:t>
      </w:r>
    </w:p>
    <w:p w14:paraId="5CB1050F" w14:textId="77777777" w:rsidR="008E7A66" w:rsidRPr="0044524F" w:rsidRDefault="008E7A66" w:rsidP="009654CF">
      <w:pPr>
        <w:tabs>
          <w:tab w:val="left" w:pos="360"/>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Тактические требования к самолету сопровождения и учебному самолету. Докладчик Лебедев.</w:t>
      </w:r>
    </w:p>
    <w:p w14:paraId="0E1BEEB6" w14:textId="77777777" w:rsidR="008E7A66" w:rsidRPr="0044524F" w:rsidRDefault="008E7A66" w:rsidP="009654CF">
      <w:pPr>
        <w:tabs>
          <w:tab w:val="left" w:pos="360"/>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Тактические требования к легкому самолету для назначения в качестве: 1. оперативного разведчика; 2. двухместного истребителя; 3. легкого бомбардировщика. Докладчик Лебедев (6788).</w:t>
      </w:r>
    </w:p>
    <w:p w14:paraId="60A182EC" w14:textId="77777777" w:rsidR="008E7A66" w:rsidRPr="0044524F" w:rsidRDefault="008E7A66" w:rsidP="009654CF">
      <w:pPr>
        <w:tabs>
          <w:tab w:val="left" w:pos="360"/>
          <w:tab w:val="left" w:pos="11199"/>
        </w:tabs>
        <w:spacing w:after="0" w:line="240" w:lineRule="auto"/>
        <w:jc w:val="both"/>
        <w:rPr>
          <w:rFonts w:ascii="Times New Roman" w:hAnsi="Times New Roman"/>
          <w:color w:val="000000" w:themeColor="text1"/>
          <w:sz w:val="16"/>
          <w:szCs w:val="16"/>
        </w:rPr>
      </w:pPr>
    </w:p>
    <w:p w14:paraId="2F288A8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апреля 1933 Нач. 4 управления штаба РККА т. Берзин и Нач. 3 отдела Никонов писали письмо N 59180сс/III Нач. ГУАП П.И.Б.:</w:t>
      </w:r>
    </w:p>
    <w:p w14:paraId="41571B0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срочно сообщить, требуется ли ГУАП или его подразделениям такие материалы по скоростным двухмоторным бомбардировщикам Глен Мартин В-10 и Боинг В-9 (США):</w:t>
      </w:r>
    </w:p>
    <w:p w14:paraId="45B3FDE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Чертежи конструктивные основные (крыло, фюзеляж, шасси, оперение, мотоустановки).</w:t>
      </w:r>
    </w:p>
    <w:p w14:paraId="251F9EF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Полные расчеты на прочность.</w:t>
      </w:r>
    </w:p>
    <w:p w14:paraId="4923529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Полные аэродинамические расчеты (2305,24).</w:t>
      </w:r>
    </w:p>
    <w:p w14:paraId="6B2415F0"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626A830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апреля 1933 Чл. Коллегии НКРКИ, Нач. ВМИ Куйбышев писал Нач. ГУАП П.И.Б. письмо N 456/ма:</w:t>
      </w:r>
    </w:p>
    <w:p w14:paraId="2B31CB0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Президиума ЦКК и Коллегии НК РКИ УССР от 15 марта 1932 N 15/11 о состоянии Харьковского Авиазавода на Директора и Вас возлагалось выполнение ряда пунктов.</w:t>
      </w:r>
    </w:p>
    <w:p w14:paraId="3045E44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Вас поставить меня в известность о ходе выполнения указанного постановления ЦКК НК РКИ УССР." (2305,81).</w:t>
      </w:r>
    </w:p>
    <w:p w14:paraId="0453DF8D"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24FF1DC4" w14:textId="77777777" w:rsidR="006A7D5C" w:rsidRPr="0044524F" w:rsidRDefault="006A7D5C" w:rsidP="006A7D5C">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A25B381" w14:textId="77777777" w:rsidR="006A7D5C" w:rsidRPr="0044524F" w:rsidRDefault="006A7D5C" w:rsidP="006A7D5C">
      <w:pPr>
        <w:spacing w:after="0" w:line="240" w:lineRule="auto"/>
        <w:jc w:val="both"/>
        <w:rPr>
          <w:rFonts w:ascii="Times New Roman" w:hAnsi="Times New Roman"/>
          <w:iCs/>
          <w:color w:val="000000" w:themeColor="text1"/>
          <w:sz w:val="16"/>
          <w:szCs w:val="16"/>
        </w:rPr>
      </w:pPr>
    </w:p>
    <w:p w14:paraId="25C63FBE"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апреля 1934 года представителя УММ И.А.Лебедев в своем письме начальни</w:t>
      </w:r>
      <w:r w:rsidRPr="00142305">
        <w:rPr>
          <w:rFonts w:ascii="Times New Roman" w:hAnsi="Times New Roman"/>
          <w:color w:val="0070C0"/>
          <w:sz w:val="16"/>
          <w:szCs w:val="16"/>
        </w:rPr>
        <w:softHyphen/>
        <w:t>ку УММ РККА И. Халепскому предлагал начать изго</w:t>
      </w:r>
      <w:r w:rsidRPr="00142305">
        <w:rPr>
          <w:rFonts w:ascii="Times New Roman" w:hAnsi="Times New Roman"/>
          <w:color w:val="0070C0"/>
          <w:sz w:val="16"/>
          <w:szCs w:val="16"/>
        </w:rPr>
        <w:softHyphen/>
        <w:t>товление увеличенных кормовых баков для бензина и масла для установки их на БТ-5 и БТ-2, правда, это предложение поддержки нее нашло. Запас бен</w:t>
      </w:r>
      <w:r w:rsidRPr="00142305">
        <w:rPr>
          <w:rFonts w:ascii="Times New Roman" w:hAnsi="Times New Roman"/>
          <w:color w:val="0070C0"/>
          <w:sz w:val="16"/>
          <w:szCs w:val="16"/>
        </w:rPr>
        <w:softHyphen/>
        <w:t>зина увеличился на 400-500 л, масла — на 25 л. Две машины с такими баками с ус</w:t>
      </w:r>
      <w:r w:rsidRPr="00142305">
        <w:rPr>
          <w:rFonts w:ascii="Times New Roman" w:hAnsi="Times New Roman"/>
          <w:color w:val="0070C0"/>
          <w:sz w:val="16"/>
          <w:szCs w:val="16"/>
        </w:rPr>
        <w:softHyphen/>
        <w:t>пехом прошли испытания.</w:t>
      </w:r>
    </w:p>
    <w:p w14:paraId="418831F7"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свое время на ХПЗ мною с группой инженеров КБ Т2 и корпусного отделе</w:t>
      </w:r>
      <w:r w:rsidRPr="00142305">
        <w:rPr>
          <w:rFonts w:ascii="Times New Roman" w:hAnsi="Times New Roman"/>
          <w:color w:val="0070C0"/>
          <w:sz w:val="16"/>
          <w:szCs w:val="16"/>
        </w:rPr>
        <w:softHyphen/>
        <w:t>ния были сконструированы два варианта кормовых бензиновых баков для БТ-2 и БТ-5...</w:t>
      </w:r>
    </w:p>
    <w:p w14:paraId="20F1B7AF"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Машины были мною испытаны и да</w:t>
      </w:r>
      <w:r w:rsidRPr="00142305">
        <w:rPr>
          <w:rFonts w:ascii="Times New Roman" w:hAnsi="Times New Roman"/>
          <w:color w:val="0070C0"/>
          <w:sz w:val="16"/>
          <w:szCs w:val="16"/>
        </w:rPr>
        <w:softHyphen/>
        <w:t>ли отличные результаты. Одна из ма</w:t>
      </w:r>
      <w:r w:rsidRPr="00142305">
        <w:rPr>
          <w:rFonts w:ascii="Times New Roman" w:hAnsi="Times New Roman"/>
          <w:color w:val="0070C0"/>
          <w:sz w:val="16"/>
          <w:szCs w:val="16"/>
        </w:rPr>
        <w:softHyphen/>
        <w:t>шин находится на ХПЗ на ходу, и может быть испытана в г. Москве. При разра</w:t>
      </w:r>
      <w:r w:rsidRPr="00142305">
        <w:rPr>
          <w:rFonts w:ascii="Times New Roman" w:hAnsi="Times New Roman"/>
          <w:color w:val="0070C0"/>
          <w:sz w:val="16"/>
          <w:szCs w:val="16"/>
        </w:rPr>
        <w:softHyphen/>
        <w:t>ботке конструкции бака я стремился достичь максимальной простоты с тем, чтобы без особых переделок можно бы</w:t>
      </w:r>
      <w:r w:rsidRPr="00142305">
        <w:rPr>
          <w:rFonts w:ascii="Times New Roman" w:hAnsi="Times New Roman"/>
          <w:color w:val="0070C0"/>
          <w:sz w:val="16"/>
          <w:szCs w:val="16"/>
        </w:rPr>
        <w:softHyphen/>
        <w:t>ло установить нормальный бак даже в условиях части. Бак может быть изго</w:t>
      </w:r>
      <w:r w:rsidRPr="00142305">
        <w:rPr>
          <w:rFonts w:ascii="Times New Roman" w:hAnsi="Times New Roman"/>
          <w:color w:val="0070C0"/>
          <w:sz w:val="16"/>
          <w:szCs w:val="16"/>
        </w:rPr>
        <w:softHyphen/>
        <w:t>товлен на ХПЗ, Ижоре, а кормовое бронеприкрытие бака — на Ижоре и Мариуполе.</w:t>
      </w:r>
    </w:p>
    <w:p w14:paraId="74207E13"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Прошу Вашего разрешения довести эту работу до конца. Эту работу жела</w:t>
      </w:r>
      <w:r w:rsidRPr="00142305">
        <w:rPr>
          <w:rFonts w:ascii="Times New Roman" w:hAnsi="Times New Roman"/>
          <w:color w:val="0070C0"/>
          <w:sz w:val="16"/>
          <w:szCs w:val="16"/>
        </w:rPr>
        <w:softHyphen/>
        <w:t>тельно форсировать с тем, чтобы на рембазах можно было приступить к установ</w:t>
      </w:r>
      <w:r w:rsidRPr="00142305">
        <w:rPr>
          <w:rFonts w:ascii="Times New Roman" w:hAnsi="Times New Roman"/>
          <w:color w:val="0070C0"/>
          <w:sz w:val="16"/>
          <w:szCs w:val="16"/>
        </w:rPr>
        <w:softHyphen/>
        <w:t>ке кормовых баков» (25009).</w:t>
      </w:r>
    </w:p>
    <w:p w14:paraId="1D91A660" w14:textId="77777777" w:rsidR="006A7D5C" w:rsidRPr="00142305" w:rsidRDefault="006A7D5C" w:rsidP="006A7D5C">
      <w:pPr>
        <w:spacing w:after="0" w:line="240" w:lineRule="auto"/>
        <w:jc w:val="both"/>
        <w:rPr>
          <w:rFonts w:ascii="Times New Roman" w:hAnsi="Times New Roman"/>
          <w:color w:val="0070C0"/>
          <w:sz w:val="16"/>
          <w:szCs w:val="16"/>
        </w:rPr>
      </w:pPr>
    </w:p>
    <w:p w14:paraId="20B3D095"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D55ABFD"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4AB3C3CE"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апреля 1933 коллегия ГПУ приговорила к заключению участников «бухаринской школы» (4962).</w:t>
      </w:r>
    </w:p>
    <w:p w14:paraId="6D6B86D5"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p>
    <w:p w14:paraId="512080C7" w14:textId="77777777" w:rsidR="00D33C8E" w:rsidRPr="0044524F" w:rsidRDefault="00D33C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апреля в 1933 году коллегия ОГПУ приговорила к различным срокам заключения членов так называемой Антипартийной контрреволюционной группы правых Слепкова и других (так называемая бухаринская школа (15101).</w:t>
      </w:r>
    </w:p>
    <w:p w14:paraId="66F9459B" w14:textId="77777777" w:rsidR="00D33C8E" w:rsidRPr="0044524F" w:rsidRDefault="00D33C8E" w:rsidP="009654CF">
      <w:pPr>
        <w:spacing w:after="0" w:line="240" w:lineRule="auto"/>
        <w:jc w:val="both"/>
        <w:rPr>
          <w:rFonts w:ascii="Times New Roman" w:hAnsi="Times New Roman"/>
          <w:color w:val="000000" w:themeColor="text1"/>
          <w:sz w:val="16"/>
          <w:szCs w:val="16"/>
        </w:rPr>
      </w:pPr>
    </w:p>
    <w:p w14:paraId="03F03A0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апреля 1933 было отправлено второе письмо писателя М.Шолохова И.Сталину о возмутительных методах действий местных советских властей при заготовках зерна в Вешенском и других районах Дона (10687).</w:t>
      </w:r>
    </w:p>
    <w:p w14:paraId="31EFF065"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5CE62D34"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5610DEB"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775FA4A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апреля 1933 закончились гос. испытания АНТ-7 Р-6 N 2202 производства 22 завода, установленного на поплавки на 31 заводе, которые начались 10 декабря 1932. НИИ ВВС дал заключение, что самолет может быть использован как воздушный крейсер, дальний разведчик, бомбардировщик, торпедоносец (1017,198).</w:t>
      </w:r>
    </w:p>
    <w:p w14:paraId="2B3D2C1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проводились государственные доиспытания вооруженного самолета Р6 2М17 N 2202 на поплавках (3899).</w:t>
      </w:r>
    </w:p>
    <w:p w14:paraId="64D0F41F"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3F3248F1"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17 по 23 апреля 1933 проходили испытания вооруженного самолета У-2 № 3115 (эталон на 1933 год), мотор М-11 (6645).</w:t>
      </w:r>
    </w:p>
    <w:p w14:paraId="07250CD0"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33693113"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самолет – Мируц</w:t>
      </w:r>
    </w:p>
    <w:p w14:paraId="658C7181"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Петров, Долгов</w:t>
      </w:r>
    </w:p>
    <w:p w14:paraId="57EB4644"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77F387D3" w14:textId="77777777" w:rsidR="008E7A66" w:rsidRPr="0044524F" w:rsidRDefault="008E7A66" w:rsidP="009654CF">
      <w:pPr>
        <w:numPr>
          <w:ilvl w:val="0"/>
          <w:numId w:val="15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возможность использования самолета № 3115 в качестве образца (эталона) для серийной постройки.</w:t>
      </w:r>
    </w:p>
    <w:p w14:paraId="54AEA3C9" w14:textId="77777777" w:rsidR="008E7A66" w:rsidRPr="0044524F" w:rsidRDefault="008E7A66" w:rsidP="009654CF">
      <w:pPr>
        <w:numPr>
          <w:ilvl w:val="0"/>
          <w:numId w:val="15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летные данные вооруженного самолета У2-М11.</w:t>
      </w:r>
    </w:p>
    <w:p w14:paraId="4ACE32DB"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6381D76B" w14:textId="77777777" w:rsidR="008E7A66" w:rsidRPr="0044524F" w:rsidRDefault="008E7A66" w:rsidP="009654CF">
      <w:pPr>
        <w:numPr>
          <w:ilvl w:val="0"/>
          <w:numId w:val="15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 3115 после устранения дефектов может быть использован в качестве эталона вооруженного варианта У2 для вооружения самолетов У2 силами авиачастей.</w:t>
      </w:r>
    </w:p>
    <w:p w14:paraId="0732183D"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серийной постройки, ввиду наличия в турельной установке ряда дефектов (малая сфера обстрела, недостаточная устойчивость) требующих проектирования совершенно новой установки – представленный самолет эталоном служить не может.</w:t>
      </w:r>
    </w:p>
    <w:p w14:paraId="27D89302"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испытания – 6 дней (6645).</w:t>
      </w:r>
    </w:p>
    <w:p w14:paraId="3A8C8C11"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p>
    <w:p w14:paraId="3CE647E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апреля 1933 Р.П. Эйдеман в письме М.Н. Тухачевскому ставит вопрос о передаче ГИРД в военное ведомство (см.: 10 апреля (1) 1933 г.). Дает оценку работам ГИРД: организована экспериментальная база (мастерские), КБ в составе 40 инженерно-технических работников, построен и испытывается ряд объектов совершенно оригинальных конструкций. На курсах ГИРД в общественном порядке обучаются до 100 человек — инженеров и рабочих. В тот же день письмо такого же содержания было направлено К.Е. Ворошилову (Там же, № 242, л. 9) (10676).</w:t>
      </w:r>
    </w:p>
    <w:p w14:paraId="69627AE8"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02120362"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81865B3"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2B02461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апреля 1933-го было принято постановление ЦК ВКП(б) «Об организации трудовых поселений ОГПУ», оформленное постановлением СНК СССР № 775/146с от 20 апреля. Эти документы предписывали следующее:</w:t>
      </w:r>
    </w:p>
    <w:p w14:paraId="1148BF5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Возложить на ОГПУ организацию трудовых поселений по типу существующих спецпоселков для размещения в них и хозяйственного освоения вновь переселяемых контингентов.</w:t>
      </w:r>
    </w:p>
    <w:p w14:paraId="2EE0232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Реорганизовать Главное управление лагерей ОГПУ в Главное управление лагерей и трудовых поселений ОГПУ, увеличив штаты в центре и на местах по согласованию с РКИ. Одновременно реорганизовать аппараты по спецпереселенцам в Сибири и Казахстане, предложив ОГПУ в 2-декадный срок представить структуру организации трудовых поселений в этих областях и в местах расселения.</w:t>
      </w:r>
    </w:p>
    <w:p w14:paraId="67B1BBD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главного управления лагерей и трудовых поселений ОГПУ назначить тов. Бермана М., а его заместителями: по лагерям - тов. Рапопорта и по трудпоселениям - тов. Фирина.</w:t>
      </w:r>
    </w:p>
    <w:p w14:paraId="2880046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создаваемые трудпоселения должны быть направлены следующие контингенты:</w:t>
      </w:r>
    </w:p>
    <w:p w14:paraId="5236BF8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выселяемые из районов сплошной коллективизации - кулаки;</w:t>
      </w:r>
    </w:p>
    <w:p w14:paraId="195EC0D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выселяемые за срыв и саботаж хлебозаготовительных и др. кампаний;</w:t>
      </w:r>
    </w:p>
    <w:p w14:paraId="6319ACC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городской элемент, отказывающийся в связи с паспортизацией выезжать из Москвы и Ленинграда;</w:t>
      </w:r>
    </w:p>
    <w:p w14:paraId="6B0768D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бежавшие из деревень кулаки, снимаемые с промышленного производства;</w:t>
      </w:r>
    </w:p>
    <w:p w14:paraId="164D488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выселяемые в порядке очистки государственных границ (Запад и Украина);</w:t>
      </w:r>
    </w:p>
    <w:p w14:paraId="2DE385C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осужденные органами ОГПУ и судами на срок от 3-х до 5-ти лет включительно, кроме особо-социально опасных из них.</w:t>
      </w:r>
    </w:p>
    <w:p w14:paraId="0C8F37D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Трудовое использование выселяемых контингентов осуществляется непосредственно Главным управлением лагерей и трудовых поселений ОГПУ путем организации в местах расселения сельского хозяйства, рыболовства, кустарных промыслов и других видов хозяйственной деятельности.</w:t>
      </w:r>
    </w:p>
    <w:p w14:paraId="6D5E478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Возложить на ОГПУ организацию жилищного, культурно-бытового и санитарно-медицинского строительства в трудовых поселениях и обеспечения всеми видами снабжения (продовольствие, промтовары, сельхозоборудование, инвентарь и пр.). Поселки создавать в пределах от 300 до 500 семейств каждый.</w:t>
      </w:r>
    </w:p>
    <w:p w14:paraId="54EB4C7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наркоматы и хозорганы, обслуживающие спецпереселенцев старого расселения, занимающихся сельским хозяйством и рыболовством (Нарым и Северный Казахстан), не позднее 1 мая по балансу передать ОГПУ все денежные и натуральные средства, полученные, как в бюджетном порядке, так и по банковскому кредиту. Весь аппарат этих наркоматов и хозорганов, занятый обслуживанием спецпереселенцев, также передать ОГПУ.</w:t>
      </w:r>
    </w:p>
    <w:p w14:paraId="61E0D76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Контингент вновь переселяемых приравнять во всех отношениях к спецпереселенцам, расселенным в 1930-1931 гг....</w:t>
      </w:r>
    </w:p>
    <w:p w14:paraId="09B38AE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 Разрешить ОГПУ из числа осуждаемых судами и ОГПУ на срок от 3 до 5 лет включительно, кроме особо-социально опасных элементов, направлять не в лагеря ОГПУ, а в трудовые поселения с последующей доставкой туда и их семей» (7560).</w:t>
      </w:r>
    </w:p>
    <w:p w14:paraId="47E420D3"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15CC09E2" w14:textId="77777777" w:rsidR="00D33C8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FA3E4AA" w14:textId="77777777" w:rsidR="00D33C8E" w:rsidRPr="0044524F" w:rsidRDefault="00D33C8E" w:rsidP="009654CF">
      <w:pPr>
        <w:spacing w:after="0" w:line="240" w:lineRule="auto"/>
        <w:jc w:val="both"/>
        <w:rPr>
          <w:rFonts w:ascii="Times New Roman" w:hAnsi="Times New Roman"/>
          <w:iCs/>
          <w:color w:val="000000" w:themeColor="text1"/>
          <w:sz w:val="16"/>
          <w:szCs w:val="16"/>
        </w:rPr>
      </w:pPr>
    </w:p>
    <w:p w14:paraId="5D88251F" w14:textId="77777777" w:rsidR="00D33C8E" w:rsidRPr="0044524F" w:rsidRDefault="00D33C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апреля в 1933 году начались поставки американских серийных транспортных самолётов «T-32» «Condor II». Серийное производство было налажено на заводе в Сент-Луисе. Всего был изготовлен 21 самолёт модификации «T-32» (15102).</w:t>
      </w:r>
    </w:p>
    <w:p w14:paraId="4B050E85" w14:textId="77777777" w:rsidR="00D33C8E" w:rsidRPr="0044524F" w:rsidRDefault="00D33C8E" w:rsidP="009654CF">
      <w:pPr>
        <w:spacing w:after="0" w:line="240" w:lineRule="auto"/>
        <w:jc w:val="both"/>
        <w:rPr>
          <w:rFonts w:ascii="Times New Roman" w:hAnsi="Times New Roman"/>
          <w:color w:val="000000" w:themeColor="text1"/>
          <w:sz w:val="16"/>
          <w:szCs w:val="16"/>
        </w:rPr>
      </w:pPr>
    </w:p>
    <w:p w14:paraId="4142F66C" w14:textId="77777777" w:rsidR="0010273D" w:rsidRPr="0044524F" w:rsidRDefault="0010273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апреля 1933 в муниципальном аэропорту Окленда в Окленде, штат Калифорния, Джордж и Уильям Беслер впервые представляют публике свой авиационный паровой двигатель: Уильям пилотирует самолет с паровым двигателем Travel Air 2000 в рамках публичной демонстрации, состоящей из трех полетов общей продолжительностью полета. вместе взятые 15 минут в воздухе, пересекая залив Сан-Франциско, прежде чем вернуться в аэропорт. Двигатель практически бесшумный, что позволяет Уильяму окликать толпу, проходя над ней на высоте 200 футов (61 метр). Он разгоняется до 100 миль в час (161 км / час) и демонстрирует мощность торможения двигателя, переворачивая винт при посадке и останавливаясь всего на 100 футов (30,5 метров). Несмотря на успех двигателя и предположений авиационных репортеров о том, что паровые двигатели могут экономично приводить в действие самолеты будущего, Беслеры больше не совершают публичных полетов и не развивают двигатель (20802).</w:t>
      </w:r>
    </w:p>
    <w:p w14:paraId="40F45EE8" w14:textId="77777777" w:rsidR="0010273D" w:rsidRPr="0044524F" w:rsidRDefault="0010273D" w:rsidP="009654CF">
      <w:pPr>
        <w:spacing w:after="0" w:line="240" w:lineRule="auto"/>
        <w:jc w:val="both"/>
        <w:rPr>
          <w:rFonts w:ascii="Times New Roman" w:hAnsi="Times New Roman"/>
          <w:color w:val="000000" w:themeColor="text1"/>
          <w:sz w:val="16"/>
          <w:szCs w:val="16"/>
        </w:rPr>
      </w:pPr>
    </w:p>
    <w:p w14:paraId="1C0AF29D"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B0A32E5"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014F6E6F"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 по 21 апреля 1933 проходили испытания самолета ТБ3 4М17 с тормозными колесами по устранении дефектов согласно заключения по испытаниям 7 марта 1933 года (6638).</w:t>
      </w:r>
    </w:p>
    <w:p w14:paraId="5F4C59E3"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0F2130D6"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самолета ТБ3 4М17 с тормозными колесами по устранении дефектов гидравлического управления тормозами и установки тормозных колес согласно заключения по испытаниям от 7 марта 1933 года.</w:t>
      </w:r>
    </w:p>
    <w:p w14:paraId="075B38BE"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19C90F0"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Гидравлическое управление тормозами колес самолета ТБ3 4М17 размерами 1350х300 мм утверждается (6638).</w:t>
      </w:r>
    </w:p>
    <w:p w14:paraId="7E711EB3"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p>
    <w:p w14:paraId="54B3BF3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апреля 1933 г. в связи с реорганизацией Комсеверпути самолет ДВ СССР-Н2 перерегистрировали с тем же опознавательным знаком, но на другого владельца - ГУСМП. С начала навигации СССР-Н2 поддерживал регулярную почтово- пассажирскую связь с Игаркой, Дудинкой, Норильском и доставлял пушнину из самых отдаленных факторий (вплоть до Гальчихи) в Красноярск. Затем экипаж Алексеева перебросил изыскательскую партию Иголкина на Пясин- ское озеро и в верховье реки Пясины, грузы из Дудинки в Норильск, экстренным рейсом перевезли 1,5 тонны антицинготных продуктов в Игарку (11970).</w:t>
      </w:r>
    </w:p>
    <w:p w14:paraId="0EBBD3D6"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56BA8252"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апреля 1933 года главный инженер-механик ВВС Аузан писал письмо № с/с 0384 начальнику ВВС Алкснису.</w:t>
      </w:r>
    </w:p>
    <w:p w14:paraId="4C266BDD"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сверхвысотных самолетах ЦАГИ и БНК.</w:t>
      </w:r>
    </w:p>
    <w:p w14:paraId="7904E296" w14:textId="77777777" w:rsidR="008E7A66" w:rsidRPr="0044524F" w:rsidRDefault="008E7A66" w:rsidP="009654CF">
      <w:pPr>
        <w:numPr>
          <w:ilvl w:val="0"/>
          <w:numId w:val="15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плану опытного строительства, утвержденному СТО 4 июля 1932 года должен быть построен один свервысотный самолет. Во исполнение этого постановления ЦАГИ, а теперь завод № 39 проектирует свой сверхвысотный самолет.</w:t>
      </w:r>
    </w:p>
    <w:p w14:paraId="4B758482"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БНК планом не предусмотрен.</w:t>
      </w:r>
    </w:p>
    <w:p w14:paraId="76695E58" w14:textId="77777777" w:rsidR="008E7A66" w:rsidRPr="0044524F" w:rsidRDefault="008E7A66" w:rsidP="009654CF">
      <w:pPr>
        <w:numPr>
          <w:ilvl w:val="0"/>
          <w:numId w:val="15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Оба самолета должны дать приблизительно одинаковые летные данные. Коренная разница между ними винтомоторная группа. В то время как самолет завода № 39 запроектирован под мотор М34 с обычным нагнетателем, самолет БНК запроектирован под М34 с комбинацией нагнетателя и турбокомпрессора от выхлопных газов. По этой причине самолет БНК на сегодня не является реальным.</w:t>
      </w:r>
    </w:p>
    <w:p w14:paraId="43553E1F" w14:textId="77777777" w:rsidR="008E7A66" w:rsidRPr="0044524F" w:rsidRDefault="008E7A66" w:rsidP="009654CF">
      <w:pPr>
        <w:numPr>
          <w:ilvl w:val="0"/>
          <w:numId w:val="15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Считаю целесообразным ограничиться постройкой одного сверхвысотного самолета ЦКБ завода № 39.</w:t>
      </w:r>
    </w:p>
    <w:p w14:paraId="383CF152"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Проблему нагнетателя-компрессора поставить перед ЦИАМом или другой организацией в порядке очередности (6779, 36).</w:t>
      </w:r>
    </w:p>
    <w:p w14:paraId="1502AA43"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p>
    <w:p w14:paraId="26F03AC6" w14:textId="77777777" w:rsidR="0010273D" w:rsidRPr="0044524F" w:rsidRDefault="0010273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апреля 1933 опросом членов ПБ</w:t>
      </w:r>
    </w:p>
    <w:p w14:paraId="690B92D2" w14:textId="77777777" w:rsidR="0010273D" w:rsidRPr="0044524F" w:rsidRDefault="0010273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93/69 . - Предложение т . Баранова.</w:t>
      </w:r>
    </w:p>
    <w:p w14:paraId="7C0C7AC5" w14:textId="77777777" w:rsidR="0010273D" w:rsidRPr="0044524F" w:rsidRDefault="0010273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Договор с фирмой Кертис Райт утвердить.</w:t>
      </w:r>
    </w:p>
    <w:p w14:paraId="05CEDAC5" w14:textId="77777777" w:rsidR="0010273D" w:rsidRPr="0044524F" w:rsidRDefault="0010273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Замечания к договору т.т. Межлаука, Баранова и Макаровского учесть при реализации договора, а по §§ 3 и 10 договора сообщить -фирме наше толко</w:t>
      </w:r>
      <w:r w:rsidRPr="0044524F">
        <w:rPr>
          <w:rFonts w:ascii="Times New Roman" w:hAnsi="Times New Roman"/>
          <w:color w:val="000000" w:themeColor="text1"/>
          <w:sz w:val="16"/>
          <w:szCs w:val="16"/>
        </w:rPr>
        <w:softHyphen/>
        <w:t>вание при Извещении об утверждении договора.</w:t>
      </w:r>
    </w:p>
    <w:p w14:paraId="6BAB6D23" w14:textId="77777777" w:rsidR="0010273D" w:rsidRPr="0044524F" w:rsidRDefault="0010273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Реализовать техпомощь по мотору Райт - "Циклон" на 19 заводе в Перми.</w:t>
      </w:r>
    </w:p>
    <w:p w14:paraId="2A86D30C" w14:textId="77777777" w:rsidR="0010273D" w:rsidRPr="0044524F" w:rsidRDefault="0010273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мотору "Канкерер" 1800 на 26 заводе в Рыбинске.</w:t>
      </w:r>
    </w:p>
    <w:p w14:paraId="115B4C9A" w14:textId="77777777" w:rsidR="0010273D" w:rsidRPr="0044524F" w:rsidRDefault="0010273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посланы:-т.т. Базилевичу, Баранову, Побережскому, Орджоникидзе, Ворошилову.</w:t>
      </w:r>
    </w:p>
    <w:p w14:paraId="7696703B" w14:textId="77777777" w:rsidR="0010273D" w:rsidRPr="0044524F" w:rsidRDefault="0010273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апреля 1933 состоялось заседание ПБ и был оформлен протокол № 136 (22986).</w:t>
      </w:r>
    </w:p>
    <w:p w14:paraId="045C81CC" w14:textId="77777777" w:rsidR="0010273D" w:rsidRPr="0044524F" w:rsidRDefault="0010273D" w:rsidP="009654CF">
      <w:pPr>
        <w:spacing w:after="0" w:line="240" w:lineRule="auto"/>
        <w:jc w:val="both"/>
        <w:rPr>
          <w:rFonts w:ascii="Times New Roman" w:hAnsi="Times New Roman"/>
          <w:color w:val="000000" w:themeColor="text1"/>
          <w:sz w:val="16"/>
          <w:szCs w:val="16"/>
        </w:rPr>
      </w:pPr>
    </w:p>
    <w:p w14:paraId="224A8D28" w14:textId="77777777" w:rsidR="00AA59B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115EF94" w14:textId="77777777" w:rsidR="00AA59BC" w:rsidRPr="0044524F" w:rsidRDefault="00AA59BC" w:rsidP="009654CF">
      <w:pPr>
        <w:spacing w:after="0" w:line="240" w:lineRule="auto"/>
        <w:jc w:val="both"/>
        <w:rPr>
          <w:rFonts w:ascii="Times New Roman" w:hAnsi="Times New Roman"/>
          <w:iCs/>
          <w:color w:val="000000" w:themeColor="text1"/>
          <w:sz w:val="16"/>
          <w:szCs w:val="16"/>
        </w:rPr>
      </w:pPr>
    </w:p>
    <w:p w14:paraId="6194D582" w14:textId="77777777" w:rsidR="00AA59BC" w:rsidRPr="0044524F" w:rsidRDefault="00AA59BC" w:rsidP="009654CF">
      <w:pPr>
        <w:pStyle w:val="rtejustify"/>
        <w:spacing w:before="0" w:after="0"/>
        <w:rPr>
          <w:color w:val="000000" w:themeColor="text1"/>
          <w:sz w:val="16"/>
          <w:szCs w:val="16"/>
        </w:rPr>
      </w:pPr>
      <w:r w:rsidRPr="0044524F">
        <w:rPr>
          <w:rStyle w:val="af0"/>
          <w:bCs/>
          <w:i w:val="0"/>
          <w:color w:val="000000" w:themeColor="text1"/>
          <w:sz w:val="16"/>
          <w:szCs w:val="16"/>
        </w:rPr>
        <w:t>19 апреля</w:t>
      </w:r>
      <w:r w:rsidRPr="0044524F">
        <w:rPr>
          <w:color w:val="000000" w:themeColor="text1"/>
          <w:sz w:val="16"/>
          <w:szCs w:val="16"/>
        </w:rPr>
        <w:t xml:space="preserve"> 1933 вышел приказ РВСС № 9¹. 1. О строительстве вооруженных сил РККА во II пятилетку. (РГВА. Ф. 4. Оп. 18. Д. 23. Л. 156) (15461).</w:t>
      </w:r>
    </w:p>
    <w:p w14:paraId="25CFC6C7" w14:textId="77777777" w:rsidR="00AA59BC" w:rsidRPr="0044524F" w:rsidRDefault="00AA59BC" w:rsidP="009654CF">
      <w:pPr>
        <w:pStyle w:val="rtejustify"/>
        <w:spacing w:before="0" w:after="0"/>
        <w:rPr>
          <w:color w:val="000000" w:themeColor="text1"/>
          <w:sz w:val="16"/>
          <w:szCs w:val="16"/>
        </w:rPr>
      </w:pPr>
    </w:p>
    <w:p w14:paraId="2F097F02" w14:textId="77777777" w:rsidR="00AA59BC" w:rsidRPr="0044524F" w:rsidRDefault="00AA59BC" w:rsidP="009654CF">
      <w:pPr>
        <w:pStyle w:val="rtejustify"/>
        <w:spacing w:before="0" w:after="0"/>
        <w:rPr>
          <w:color w:val="000000" w:themeColor="text1"/>
          <w:sz w:val="16"/>
          <w:szCs w:val="16"/>
        </w:rPr>
      </w:pPr>
      <w:r w:rsidRPr="0044524F">
        <w:rPr>
          <w:rStyle w:val="af0"/>
          <w:bCs/>
          <w:i w:val="0"/>
          <w:color w:val="000000" w:themeColor="text1"/>
          <w:sz w:val="16"/>
          <w:szCs w:val="16"/>
        </w:rPr>
        <w:t>19 апреля</w:t>
      </w:r>
      <w:r w:rsidRPr="0044524F">
        <w:rPr>
          <w:color w:val="000000" w:themeColor="text1"/>
          <w:sz w:val="16"/>
          <w:szCs w:val="16"/>
        </w:rPr>
        <w:t xml:space="preserve"> 1933 Постановление РВСС «О противотанковой мине Нитца». (РГВА. Ф. 4. Оп. 18. Д. 23. Л. 162</w:t>
      </w:r>
      <w:r w:rsidRPr="0044524F">
        <w:rPr>
          <w:color w:val="000000" w:themeColor="text1"/>
          <w:sz w:val="16"/>
          <w:szCs w:val="16"/>
        </w:rPr>
        <w:noBreakHyphen/>
        <w:t>162 об.) (15461).</w:t>
      </w:r>
    </w:p>
    <w:p w14:paraId="1A5A4AD8" w14:textId="1BE46BD2" w:rsidR="00AA59BC" w:rsidRPr="0044524F" w:rsidRDefault="00AA59BC" w:rsidP="009654CF">
      <w:pPr>
        <w:pStyle w:val="rtejustify"/>
        <w:spacing w:before="0" w:after="0"/>
        <w:rPr>
          <w:rStyle w:val="af0"/>
          <w:bCs/>
          <w:i w:val="0"/>
          <w:color w:val="000000" w:themeColor="text1"/>
          <w:sz w:val="16"/>
          <w:szCs w:val="16"/>
        </w:rPr>
      </w:pPr>
    </w:p>
    <w:p w14:paraId="2509096B" w14:textId="20B81189" w:rsidR="0010273D" w:rsidRPr="0044524F" w:rsidRDefault="0010273D" w:rsidP="009654CF">
      <w:pPr>
        <w:pStyle w:val="rtejustify"/>
        <w:spacing w:before="0" w:after="0"/>
        <w:rPr>
          <w:rStyle w:val="af0"/>
          <w:bCs/>
          <w:iCs w:val="0"/>
          <w:color w:val="000000" w:themeColor="text1"/>
          <w:sz w:val="16"/>
          <w:szCs w:val="16"/>
        </w:rPr>
      </w:pPr>
      <w:r w:rsidRPr="0044524F">
        <w:rPr>
          <w:rStyle w:val="af0"/>
          <w:bCs/>
          <w:iCs w:val="0"/>
          <w:color w:val="000000" w:themeColor="text1"/>
          <w:sz w:val="16"/>
          <w:szCs w:val="16"/>
        </w:rPr>
        <w:t>Армия:</w:t>
      </w:r>
    </w:p>
    <w:p w14:paraId="322942BC" w14:textId="77777777" w:rsidR="0010273D" w:rsidRPr="0044524F" w:rsidRDefault="0010273D" w:rsidP="009654CF">
      <w:pPr>
        <w:pStyle w:val="rtejustify"/>
        <w:spacing w:before="0" w:after="0"/>
        <w:rPr>
          <w:rStyle w:val="af0"/>
          <w:bCs/>
          <w:iCs w:val="0"/>
          <w:color w:val="000000" w:themeColor="text1"/>
          <w:sz w:val="16"/>
          <w:szCs w:val="16"/>
        </w:rPr>
      </w:pPr>
    </w:p>
    <w:p w14:paraId="6AD36E18" w14:textId="77777777" w:rsidR="0010273D" w:rsidRPr="0044524F" w:rsidRDefault="0010273D"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19 апреля 1933 г. скорректированный проект плана на 2-ю пятилетку Штаба РККА был рассмотрен на закрытом заседании высшего военного руководства Подробному разбору подверглись прежде всего предложения по масштабам и структуре вооружений. В сжатые сроки Егорову поручалось "совместно с Начальниками Центральных Управлений и родов войск", "на основе обмена мнении и исправлений, внесенных на заседании, переработать объем плана заказов на 2-ю пятилетку по годам и моб[илизациониую] заявку РККА"; к началу мая эти документы следовало представил, на утверждение председателя РВСС. Вероятно, коррективы ожидались настолько значительными, что начальнику Штаба предписывалось "в месячный срок разработать план строительства РККА на 2-ю пятилетку", как если бы он не был им представлен. В постановлении отмечались однобокость и туманность основных посылок проекта Штаба. При разработке нового плана следовало исходить: "а) из возможного характера будущей войны (операции) с учетом особенностей отдельных театров военных действий; б) вооружения, поступившего в 1-ю пятилетку и подлежащего вводу во 2-ю пятилетку; в) производственных и экономических возможностей народного хозяйства" (Протокол № 9 закрытого заседания РВС СССР от 1904.1933 // РГВА Ф.4. Оп. 18. Д 23. Л. 156). Трудно не узнать в этой директиве выражения взглядов Ворошилова. Неясно, как отнеслись участники совещания к установке на нанесение "сокрушительного удара и поражения" "любой коалиции мировых капиталистических держав" как основополагающему принципу мобилизационного планирования на предстоящие годы. По существу, однако, решение Реввоенсовета ставило проблему с головы на ноги Отправным пунктом планирования предлагалось считать, с одной стороны, потребности вооруженной борьбы и конкретных театрах военных действий, а с другой - способность народного хозяйства выполнить заказы мирного времени и развить мобмощности для производства в военное время.</w:t>
      </w:r>
    </w:p>
    <w:p w14:paraId="4C338ACD" w14:textId="77777777" w:rsidR="0010273D" w:rsidRPr="0044524F" w:rsidRDefault="0010273D"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Эта кардинальная плановая проблема, как свидетельствуют материалы Госплана, к лету 1933 г. оставалась неразрешенной. Сомнительно поэтому, что Штаб РККА в мае смог представить наркомвоенмору новый вариант развития вооруженных сил на пятилетку (следов этого документа, во всяком случае, не обнаружено). В июне, после рассмотрения в РВС СССР, Ворошилов направил председателю Госплана Куйбышеву мобилизационную заявку НКВМ на конец второй пятилетки. В отличие от предложений Егорова конца марта - начала апреля номенклатура мобзаявки была подробно разработана, однако представленные в ней потребности года войны по </w:t>
      </w:r>
      <w:r w:rsidRPr="0044524F">
        <w:rPr>
          <w:rFonts w:ascii="Times New Roman" w:eastAsia="Times New Roman" w:hAnsi="Times New Roman"/>
          <w:color w:val="000000" w:themeColor="text1"/>
          <w:sz w:val="16"/>
          <w:szCs w:val="16"/>
          <w:lang w:eastAsia="ru-RU"/>
        </w:rPr>
        <w:lastRenderedPageBreak/>
        <w:t>самолетам, авиабомбам и танкам были сохранены на прежнем уровне. Запрос на производство в военное время орудий был уменьшен 48 до 41,6 тыс., а снарядов - со 170 до 160 млн. Мощности по выпуску пулеметов определялись в 206 тыс., винтовочных патронов - и 14 млрд штук (См.: SAMUELSON L Op. cit. P. 219-220). Другой необходимый для определения мобилизационных планов и организационного строительства РККА документ - план ежегодных военных заказов на оставшийся период пятилетки (1934-1937 г.г.) - Штаб подготовил к середине лета лишь вчерне (Примечательно, что он предусматривал в 1934-1937 гг. сокращение по сравнению с 1933 г. ежегодных заказов НКВМ по основной номенклатуре (самолетам, танкам, пулеметам); заказы на арторудия и боеприпасы к ним, напротив, резко увеличивались (см.: Ibid. Р. 222-224)).</w:t>
      </w:r>
    </w:p>
    <w:p w14:paraId="7060AC84" w14:textId="77777777" w:rsidR="0010273D" w:rsidRPr="0044524F" w:rsidRDefault="0010273D"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Вероятно, к этому времени подоспел мобилизационный план оборонной промышленности ГВМУ Наркомтяжпрома; он, однако, намечал задания лишь на период до начала 1936 г.</w:t>
      </w:r>
    </w:p>
    <w:p w14:paraId="47C7402F" w14:textId="77777777" w:rsidR="0010273D" w:rsidRPr="0044524F" w:rsidRDefault="0010273D"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lang w:eastAsia="ru-RU"/>
        </w:rPr>
        <w:t>В июле дело разработки мобилизационного плана перешло в комиссию Орджоникидзе, созданную для подготовки проекта постановления Совета Труда и Обороны СССР о перспективной программе развития военных производств и подачи НКВМ предметов боевого снабжения (22725).</w:t>
      </w:r>
    </w:p>
    <w:p w14:paraId="41F62B35" w14:textId="77777777" w:rsidR="0010273D" w:rsidRPr="0044524F" w:rsidRDefault="0010273D" w:rsidP="009654CF">
      <w:pPr>
        <w:spacing w:after="0" w:line="240" w:lineRule="auto"/>
        <w:jc w:val="both"/>
        <w:rPr>
          <w:rFonts w:ascii="Times New Roman" w:hAnsi="Times New Roman"/>
          <w:color w:val="000000" w:themeColor="text1"/>
          <w:sz w:val="16"/>
          <w:szCs w:val="16"/>
        </w:rPr>
      </w:pPr>
    </w:p>
    <w:p w14:paraId="14F5EF27" w14:textId="622EC45F" w:rsidR="00185C06" w:rsidRPr="0044524F" w:rsidRDefault="00185C06" w:rsidP="009654CF">
      <w:pPr>
        <w:spacing w:after="0" w:line="240" w:lineRule="auto"/>
        <w:jc w:val="both"/>
        <w:rPr>
          <w:rFonts w:ascii="Times New Roman" w:hAnsi="Times New Roman"/>
          <w:i/>
          <w:color w:val="000000" w:themeColor="text1"/>
          <w:sz w:val="16"/>
          <w:szCs w:val="16"/>
        </w:rPr>
      </w:pPr>
      <w:r w:rsidRPr="0044524F">
        <w:rPr>
          <w:rFonts w:ascii="Times New Roman" w:hAnsi="Times New Roman"/>
          <w:i/>
          <w:color w:val="000000" w:themeColor="text1"/>
          <w:sz w:val="16"/>
          <w:szCs w:val="16"/>
        </w:rPr>
        <w:t>Жизнь и внутре</w:t>
      </w:r>
      <w:r w:rsidR="00B15BD2" w:rsidRPr="0044524F">
        <w:rPr>
          <w:rFonts w:ascii="Times New Roman" w:hAnsi="Times New Roman"/>
          <w:i/>
          <w:color w:val="000000" w:themeColor="text1"/>
          <w:sz w:val="16"/>
          <w:szCs w:val="16"/>
        </w:rPr>
        <w:t>н</w:t>
      </w:r>
      <w:r w:rsidRPr="0044524F">
        <w:rPr>
          <w:rFonts w:ascii="Times New Roman" w:hAnsi="Times New Roman"/>
          <w:i/>
          <w:color w:val="000000" w:themeColor="text1"/>
          <w:sz w:val="16"/>
          <w:szCs w:val="16"/>
        </w:rPr>
        <w:t>няя политика:</w:t>
      </w:r>
    </w:p>
    <w:p w14:paraId="39E464DD" w14:textId="77777777" w:rsidR="00185C06" w:rsidRPr="0044524F" w:rsidRDefault="00185C06" w:rsidP="009654CF">
      <w:pPr>
        <w:spacing w:after="0" w:line="240" w:lineRule="auto"/>
        <w:jc w:val="both"/>
        <w:rPr>
          <w:rFonts w:ascii="Times New Roman" w:hAnsi="Times New Roman"/>
          <w:iCs/>
          <w:color w:val="000000" w:themeColor="text1"/>
          <w:sz w:val="16"/>
          <w:szCs w:val="16"/>
        </w:rPr>
      </w:pPr>
    </w:p>
    <w:p w14:paraId="09FE46E2"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апреля 1933 был завершен процесс о вредительстве на электростанциях (12629).</w:t>
      </w:r>
    </w:p>
    <w:p w14:paraId="7AF20259" w14:textId="77777777" w:rsidR="00185C06" w:rsidRPr="0044524F" w:rsidRDefault="00185C06" w:rsidP="009654CF">
      <w:pPr>
        <w:spacing w:after="0" w:line="240" w:lineRule="auto"/>
        <w:jc w:val="both"/>
        <w:rPr>
          <w:rFonts w:ascii="Times New Roman" w:hAnsi="Times New Roman"/>
          <w:iCs/>
          <w:color w:val="000000" w:themeColor="text1"/>
          <w:sz w:val="16"/>
          <w:szCs w:val="16"/>
        </w:rPr>
      </w:pPr>
    </w:p>
    <w:p w14:paraId="3150FDA7" w14:textId="77777777" w:rsidR="00C65CDA"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0B1FCA1C" w14:textId="77777777" w:rsidR="00C65CDA" w:rsidRPr="0044524F" w:rsidRDefault="00C65CDA" w:rsidP="009654CF">
      <w:pPr>
        <w:spacing w:after="0" w:line="240" w:lineRule="auto"/>
        <w:jc w:val="both"/>
        <w:rPr>
          <w:rFonts w:ascii="Times New Roman" w:hAnsi="Times New Roman"/>
          <w:iCs/>
          <w:color w:val="000000" w:themeColor="text1"/>
          <w:sz w:val="16"/>
          <w:szCs w:val="16"/>
          <w:u w:val="single"/>
        </w:rPr>
      </w:pPr>
    </w:p>
    <w:p w14:paraId="5D9950DD" w14:textId="77777777" w:rsidR="00C65CDA" w:rsidRPr="0044524F" w:rsidRDefault="00C65C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апреля 1933 в Лондоне вышел Королевский указ о запрещении ввоза в Великобританию товаров из СССР (10687).</w:t>
      </w:r>
    </w:p>
    <w:p w14:paraId="5DC00D11" w14:textId="77777777" w:rsidR="00C65CDA" w:rsidRPr="0044524F" w:rsidRDefault="00C65CDA" w:rsidP="009654CF">
      <w:pPr>
        <w:spacing w:after="0" w:line="240" w:lineRule="auto"/>
        <w:jc w:val="both"/>
        <w:rPr>
          <w:rFonts w:ascii="Times New Roman" w:hAnsi="Times New Roman"/>
          <w:color w:val="000000" w:themeColor="text1"/>
          <w:sz w:val="16"/>
          <w:szCs w:val="16"/>
        </w:rPr>
      </w:pPr>
    </w:p>
    <w:p w14:paraId="2BC23CC3" w14:textId="77777777" w:rsidR="00C65CDA" w:rsidRPr="0044524F" w:rsidRDefault="00C65CDA"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19 апреля 1933 г., согласно</w:t>
      </w:r>
      <w:r w:rsidRPr="0044524F">
        <w:rPr>
          <w:rFonts w:ascii="Times New Roman" w:eastAsia="Times New Roman" w:hAnsi="Times New Roman"/>
          <w:bCs/>
          <w:iCs/>
          <w:color w:val="000000" w:themeColor="text1"/>
          <w:sz w:val="16"/>
          <w:szCs w:val="16"/>
          <w:lang w:eastAsia="ru-RU"/>
        </w:rPr>
        <w:t xml:space="preserve"> газете «Правда» от 20 апреля 1933 г., </w:t>
      </w:r>
      <w:r w:rsidRPr="0044524F">
        <w:rPr>
          <w:rFonts w:ascii="Times New Roman" w:eastAsia="Times New Roman" w:hAnsi="Times New Roman"/>
          <w:color w:val="000000" w:themeColor="text1"/>
          <w:sz w:val="16"/>
          <w:szCs w:val="16"/>
          <w:lang w:eastAsia="ru-RU"/>
        </w:rPr>
        <w:t>Английское правительство наложило эмбарго на ввоз основных советских экспортных товаров в Англию (17325).</w:t>
      </w:r>
    </w:p>
    <w:p w14:paraId="55A1DAC8" w14:textId="77777777" w:rsidR="00C65CDA" w:rsidRPr="0044524F" w:rsidRDefault="00C65CDA" w:rsidP="009654CF">
      <w:pPr>
        <w:spacing w:after="0" w:line="240" w:lineRule="auto"/>
        <w:jc w:val="both"/>
        <w:rPr>
          <w:rFonts w:ascii="Times New Roman" w:hAnsi="Times New Roman"/>
          <w:iCs/>
          <w:color w:val="000000" w:themeColor="text1"/>
          <w:sz w:val="16"/>
          <w:szCs w:val="16"/>
          <w:u w:val="single"/>
        </w:rPr>
      </w:pPr>
    </w:p>
    <w:p w14:paraId="3D53119C"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6D7572D"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7E383A74"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апреля в 1933 году экипаж высотного аэрофотосъемочного самолета «PV.6» "Уопити" вернулся с несколькими отснятыми пленками самой высокой горы мира - Джомолунгмы (Эвереста). В паре с «PV.6» работал другой опытный вариант "Уопити" – «PV.3», создававшийся первоначально как палубный торпедоносец. Впоследствии, как уже писалось, «PV.6» переделали в "Уоллэс II". Его списали после аварии в декабре 1935 года (15104).</w:t>
      </w:r>
    </w:p>
    <w:p w14:paraId="4E275D90" w14:textId="77777777" w:rsidR="00AA59BC" w:rsidRPr="0044524F" w:rsidRDefault="00AA59BC" w:rsidP="009654CF">
      <w:pPr>
        <w:spacing w:after="0" w:line="240" w:lineRule="auto"/>
        <w:jc w:val="both"/>
        <w:rPr>
          <w:rFonts w:ascii="Times New Roman" w:hAnsi="Times New Roman"/>
          <w:color w:val="000000" w:themeColor="text1"/>
          <w:sz w:val="16"/>
          <w:szCs w:val="16"/>
        </w:rPr>
      </w:pPr>
    </w:p>
    <w:p w14:paraId="373060E8" w14:textId="77777777" w:rsidR="00B15BD2" w:rsidRPr="0044524F" w:rsidRDefault="00B15B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 апреля 1933 ВМС США совершают первый массовый перелет на гидросамолете с острова Оаху на французский фрегат-Шолс, протяженностью 759 миль. Самолет возвращается через Gardner Pinnacles, преодолев путь туда и обратно за 8 часов 10 минут (20802). </w:t>
      </w:r>
    </w:p>
    <w:p w14:paraId="56026970" w14:textId="77777777" w:rsidR="00B15BD2" w:rsidRPr="0044524F" w:rsidRDefault="00B15BD2" w:rsidP="009654CF">
      <w:pPr>
        <w:spacing w:after="0" w:line="240" w:lineRule="auto"/>
        <w:jc w:val="both"/>
        <w:rPr>
          <w:rFonts w:ascii="Times New Roman" w:hAnsi="Times New Roman"/>
          <w:color w:val="000000" w:themeColor="text1"/>
          <w:sz w:val="16"/>
          <w:szCs w:val="16"/>
        </w:rPr>
      </w:pPr>
    </w:p>
    <w:p w14:paraId="573D4D08"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апреля в 1933 году отмена золотого стандарта в США (15104).</w:t>
      </w:r>
    </w:p>
    <w:p w14:paraId="65C0FF13" w14:textId="77777777" w:rsidR="00AA59BC" w:rsidRPr="0044524F" w:rsidRDefault="00AA59BC" w:rsidP="009654CF">
      <w:pPr>
        <w:spacing w:after="0" w:line="240" w:lineRule="auto"/>
        <w:jc w:val="both"/>
        <w:rPr>
          <w:rFonts w:ascii="Times New Roman" w:hAnsi="Times New Roman"/>
          <w:color w:val="000000" w:themeColor="text1"/>
          <w:sz w:val="16"/>
          <w:szCs w:val="16"/>
        </w:rPr>
      </w:pPr>
    </w:p>
    <w:p w14:paraId="38066D92" w14:textId="77777777" w:rsidR="00C65CDA" w:rsidRPr="0044524F" w:rsidRDefault="00C65CDA"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19 апреля 1933 г. в США объявлено о прекращении экспорта золота. Правительство Рузвельта боролось с великой депрессией. Поскольку происходили большие утечки золота за границу, 5 апреля 1933 г. было издано правительственное распоряжение, которое предписывало гражданам </w:t>
      </w:r>
      <w:r w:rsidRPr="0044524F">
        <w:rPr>
          <w:rFonts w:ascii="Times New Roman" w:eastAsia="Times New Roman" w:hAnsi="Times New Roman"/>
          <w:bCs/>
          <w:iCs/>
          <w:color w:val="000000" w:themeColor="text1"/>
          <w:sz w:val="16"/>
          <w:szCs w:val="16"/>
          <w:lang w:eastAsia="ru-RU"/>
        </w:rPr>
        <w:t>сдать все золото в федеральные резервные банки</w:t>
      </w:r>
      <w:r w:rsidRPr="0044524F">
        <w:rPr>
          <w:rFonts w:ascii="Times New Roman" w:eastAsia="Times New Roman" w:hAnsi="Times New Roman"/>
          <w:color w:val="000000" w:themeColor="text1"/>
          <w:sz w:val="16"/>
          <w:szCs w:val="16"/>
          <w:lang w:eastAsia="ru-RU"/>
        </w:rPr>
        <w:t>. Оставлять у себя золото можно было на сумму не свыше 100 долларов. За сокрытие «излишков» сажали в тюрьму. 19 апреля 1933 г. было объявлено о прекращении экспорта золота за границу. Это было отходом от золотого стандарта. Этот день можно считать началом крупных изменений во всей мировой экономике, тесно связанной с американской валютой (17325).</w:t>
      </w:r>
    </w:p>
    <w:p w14:paraId="69A64291" w14:textId="77777777" w:rsidR="00C65CDA" w:rsidRPr="0044524F" w:rsidRDefault="00C65CDA" w:rsidP="009654CF">
      <w:pPr>
        <w:spacing w:after="0" w:line="240" w:lineRule="auto"/>
        <w:jc w:val="both"/>
        <w:rPr>
          <w:rFonts w:ascii="Times New Roman" w:hAnsi="Times New Roman"/>
          <w:color w:val="000000" w:themeColor="text1"/>
          <w:sz w:val="16"/>
          <w:szCs w:val="16"/>
        </w:rPr>
      </w:pPr>
    </w:p>
    <w:p w14:paraId="2A54AE49"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DAEF8CB"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0C8B482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апреля 1933 года начальник ПТЭС Зильберквит писал письмо N 149/124.</w:t>
      </w:r>
    </w:p>
    <w:p w14:paraId="565BFA2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Скорректированная программа по сдаче самолетов на 1933 год с учетом фактической сдачи за 1-й квартал.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09"/>
        <w:gridCol w:w="1409"/>
        <w:gridCol w:w="1409"/>
        <w:gridCol w:w="1409"/>
        <w:gridCol w:w="1409"/>
      </w:tblGrid>
      <w:tr w:rsidR="004E10C1" w:rsidRPr="0044524F" w14:paraId="47035E98" w14:textId="77777777">
        <w:tc>
          <w:tcPr>
            <w:tcW w:w="1409" w:type="dxa"/>
          </w:tcPr>
          <w:p w14:paraId="219878E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самолета</w:t>
            </w:r>
          </w:p>
        </w:tc>
        <w:tc>
          <w:tcPr>
            <w:tcW w:w="1409" w:type="dxa"/>
          </w:tcPr>
          <w:p w14:paraId="7163A58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кварталам</w:t>
            </w:r>
          </w:p>
        </w:tc>
        <w:tc>
          <w:tcPr>
            <w:tcW w:w="1409" w:type="dxa"/>
          </w:tcPr>
          <w:p w14:paraId="16D274A1"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409" w:type="dxa"/>
          </w:tcPr>
          <w:p w14:paraId="22D101B5"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409" w:type="dxa"/>
          </w:tcPr>
          <w:p w14:paraId="473B3F97"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r w:rsidR="004E10C1" w:rsidRPr="0044524F" w14:paraId="21BAD07C" w14:textId="77777777">
        <w:tc>
          <w:tcPr>
            <w:tcW w:w="1409" w:type="dxa"/>
          </w:tcPr>
          <w:p w14:paraId="6750C5C8"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1409" w:type="dxa"/>
          </w:tcPr>
          <w:p w14:paraId="20C07E5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09" w:type="dxa"/>
          </w:tcPr>
          <w:p w14:paraId="13BAE28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409" w:type="dxa"/>
          </w:tcPr>
          <w:p w14:paraId="0390837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409" w:type="dxa"/>
          </w:tcPr>
          <w:p w14:paraId="5A0F8DA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r>
      <w:tr w:rsidR="004E10C1" w:rsidRPr="0044524F" w14:paraId="1836FF00" w14:textId="77777777">
        <w:tc>
          <w:tcPr>
            <w:tcW w:w="1409" w:type="dxa"/>
          </w:tcPr>
          <w:p w14:paraId="16DCE61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tc>
        <w:tc>
          <w:tcPr>
            <w:tcW w:w="1409" w:type="dxa"/>
          </w:tcPr>
          <w:p w14:paraId="3373A6F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244</w:t>
            </w:r>
          </w:p>
        </w:tc>
        <w:tc>
          <w:tcPr>
            <w:tcW w:w="1409" w:type="dxa"/>
          </w:tcPr>
          <w:p w14:paraId="76D85A4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1409" w:type="dxa"/>
          </w:tcPr>
          <w:p w14:paraId="650CDAE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514</w:t>
            </w:r>
          </w:p>
        </w:tc>
        <w:tc>
          <w:tcPr>
            <w:tcW w:w="1409" w:type="dxa"/>
          </w:tcPr>
          <w:p w14:paraId="393743F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542</w:t>
            </w:r>
          </w:p>
        </w:tc>
      </w:tr>
      <w:tr w:rsidR="004E10C1" w:rsidRPr="0044524F" w14:paraId="48D31C11" w14:textId="77777777">
        <w:tc>
          <w:tcPr>
            <w:tcW w:w="1409" w:type="dxa"/>
          </w:tcPr>
          <w:p w14:paraId="10E1532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МР5-М17</w:t>
            </w:r>
          </w:p>
        </w:tc>
        <w:tc>
          <w:tcPr>
            <w:tcW w:w="1409" w:type="dxa"/>
          </w:tcPr>
          <w:p w14:paraId="2F40DDA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6685517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2393731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409" w:type="dxa"/>
          </w:tcPr>
          <w:p w14:paraId="6AB1FA1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r>
      <w:tr w:rsidR="004E10C1" w:rsidRPr="0044524F" w14:paraId="5ACEC706" w14:textId="77777777">
        <w:tc>
          <w:tcPr>
            <w:tcW w:w="1409" w:type="dxa"/>
          </w:tcPr>
          <w:p w14:paraId="65E8935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1409" w:type="dxa"/>
          </w:tcPr>
          <w:p w14:paraId="266A32C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w:t>
            </w:r>
          </w:p>
        </w:tc>
        <w:tc>
          <w:tcPr>
            <w:tcW w:w="1409" w:type="dxa"/>
          </w:tcPr>
          <w:p w14:paraId="532B980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1409" w:type="dxa"/>
          </w:tcPr>
          <w:p w14:paraId="4A74D95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1409" w:type="dxa"/>
          </w:tcPr>
          <w:p w14:paraId="7FC2449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w:t>
            </w:r>
          </w:p>
        </w:tc>
      </w:tr>
      <w:tr w:rsidR="004E10C1" w:rsidRPr="0044524F" w14:paraId="1A2A31A4" w14:textId="77777777">
        <w:tc>
          <w:tcPr>
            <w:tcW w:w="1409" w:type="dxa"/>
          </w:tcPr>
          <w:p w14:paraId="49B60D6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4М17</w:t>
            </w:r>
          </w:p>
        </w:tc>
        <w:tc>
          <w:tcPr>
            <w:tcW w:w="1409" w:type="dxa"/>
          </w:tcPr>
          <w:p w14:paraId="682D8C5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366E214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3A00613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409" w:type="dxa"/>
          </w:tcPr>
          <w:p w14:paraId="3B9D3C9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0C17A43B" w14:textId="77777777">
        <w:tc>
          <w:tcPr>
            <w:tcW w:w="1409" w:type="dxa"/>
          </w:tcPr>
          <w:p w14:paraId="5FBF30A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4М17</w:t>
            </w:r>
          </w:p>
        </w:tc>
        <w:tc>
          <w:tcPr>
            <w:tcW w:w="1409" w:type="dxa"/>
          </w:tcPr>
          <w:p w14:paraId="44BB3D5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w:t>
            </w:r>
          </w:p>
        </w:tc>
        <w:tc>
          <w:tcPr>
            <w:tcW w:w="1409" w:type="dxa"/>
          </w:tcPr>
          <w:p w14:paraId="5E2DA41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409" w:type="dxa"/>
          </w:tcPr>
          <w:p w14:paraId="17FD3D5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w:t>
            </w:r>
          </w:p>
        </w:tc>
        <w:tc>
          <w:tcPr>
            <w:tcW w:w="1409" w:type="dxa"/>
          </w:tcPr>
          <w:p w14:paraId="6926AF1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A20B701" w14:textId="77777777">
        <w:tc>
          <w:tcPr>
            <w:tcW w:w="1409" w:type="dxa"/>
          </w:tcPr>
          <w:p w14:paraId="0204189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4М34</w:t>
            </w:r>
          </w:p>
        </w:tc>
        <w:tc>
          <w:tcPr>
            <w:tcW w:w="1409" w:type="dxa"/>
          </w:tcPr>
          <w:p w14:paraId="72312D2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639F180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6968A41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409" w:type="dxa"/>
          </w:tcPr>
          <w:p w14:paraId="6E6D173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r w:rsidR="004E10C1" w:rsidRPr="0044524F" w14:paraId="318C2E38" w14:textId="77777777">
        <w:tc>
          <w:tcPr>
            <w:tcW w:w="1409" w:type="dxa"/>
          </w:tcPr>
          <w:p w14:paraId="04197E5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6М34</w:t>
            </w:r>
          </w:p>
        </w:tc>
        <w:tc>
          <w:tcPr>
            <w:tcW w:w="1409" w:type="dxa"/>
          </w:tcPr>
          <w:p w14:paraId="6111062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65250C1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594E6C2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309725A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021D1545" w14:textId="77777777">
        <w:tc>
          <w:tcPr>
            <w:tcW w:w="1409" w:type="dxa"/>
          </w:tcPr>
          <w:p w14:paraId="69D5D6C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2М34</w:t>
            </w:r>
          </w:p>
        </w:tc>
        <w:tc>
          <w:tcPr>
            <w:tcW w:w="1409" w:type="dxa"/>
          </w:tcPr>
          <w:p w14:paraId="4B9EB37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2256D3A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7801E90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409" w:type="dxa"/>
          </w:tcPr>
          <w:p w14:paraId="7C55C96B"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r w:rsidR="004E10C1" w:rsidRPr="0044524F" w14:paraId="54AA5815" w14:textId="77777777">
        <w:tc>
          <w:tcPr>
            <w:tcW w:w="1409" w:type="dxa"/>
          </w:tcPr>
          <w:p w14:paraId="30C5B43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 М22</w:t>
            </w:r>
          </w:p>
        </w:tc>
        <w:tc>
          <w:tcPr>
            <w:tcW w:w="1409" w:type="dxa"/>
          </w:tcPr>
          <w:p w14:paraId="2BA0362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409" w:type="dxa"/>
          </w:tcPr>
          <w:p w14:paraId="3C4AEE5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1409" w:type="dxa"/>
          </w:tcPr>
          <w:p w14:paraId="21A5FD2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tc>
        <w:tc>
          <w:tcPr>
            <w:tcW w:w="1409" w:type="dxa"/>
          </w:tcPr>
          <w:p w14:paraId="77ECDB6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r>
      <w:tr w:rsidR="004E10C1" w:rsidRPr="0044524F" w14:paraId="631D50D7" w14:textId="77777777">
        <w:tc>
          <w:tcPr>
            <w:tcW w:w="1409" w:type="dxa"/>
          </w:tcPr>
          <w:p w14:paraId="2602111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tc>
        <w:tc>
          <w:tcPr>
            <w:tcW w:w="1409" w:type="dxa"/>
          </w:tcPr>
          <w:p w14:paraId="38569C0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c>
          <w:tcPr>
            <w:tcW w:w="1409" w:type="dxa"/>
          </w:tcPr>
          <w:p w14:paraId="6DACE8B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423</w:t>
            </w:r>
          </w:p>
        </w:tc>
        <w:tc>
          <w:tcPr>
            <w:tcW w:w="1409" w:type="dxa"/>
          </w:tcPr>
          <w:p w14:paraId="1D67F64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444</w:t>
            </w:r>
          </w:p>
        </w:tc>
        <w:tc>
          <w:tcPr>
            <w:tcW w:w="1409" w:type="dxa"/>
          </w:tcPr>
          <w:p w14:paraId="3860580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444</w:t>
            </w:r>
          </w:p>
        </w:tc>
      </w:tr>
      <w:tr w:rsidR="004E10C1" w:rsidRPr="0044524F" w14:paraId="0B397C0D" w14:textId="77777777">
        <w:tc>
          <w:tcPr>
            <w:tcW w:w="1409" w:type="dxa"/>
          </w:tcPr>
          <w:p w14:paraId="76B33B9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АП-М11</w:t>
            </w:r>
          </w:p>
        </w:tc>
        <w:tc>
          <w:tcPr>
            <w:tcW w:w="1409" w:type="dxa"/>
          </w:tcPr>
          <w:p w14:paraId="5501265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w:t>
            </w:r>
          </w:p>
        </w:tc>
        <w:tc>
          <w:tcPr>
            <w:tcW w:w="1409" w:type="dxa"/>
          </w:tcPr>
          <w:p w14:paraId="2829547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549B1AA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5D5B1B7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708B3D5" w14:textId="77777777">
        <w:tc>
          <w:tcPr>
            <w:tcW w:w="1409" w:type="dxa"/>
          </w:tcPr>
          <w:p w14:paraId="3758ADB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 АССО</w:t>
            </w:r>
          </w:p>
        </w:tc>
        <w:tc>
          <w:tcPr>
            <w:tcW w:w="1409" w:type="dxa"/>
          </w:tcPr>
          <w:p w14:paraId="600CA7F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1409" w:type="dxa"/>
          </w:tcPr>
          <w:p w14:paraId="60944C7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409" w:type="dxa"/>
          </w:tcPr>
          <w:p w14:paraId="3446C26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199DD533"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r w:rsidR="004E10C1" w:rsidRPr="0044524F" w14:paraId="6D346872" w14:textId="77777777">
        <w:tc>
          <w:tcPr>
            <w:tcW w:w="1409" w:type="dxa"/>
          </w:tcPr>
          <w:p w14:paraId="03E7D5F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tc>
        <w:tc>
          <w:tcPr>
            <w:tcW w:w="1409" w:type="dxa"/>
          </w:tcPr>
          <w:p w14:paraId="7008013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409" w:type="dxa"/>
          </w:tcPr>
          <w:p w14:paraId="7E2302A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w:t>
            </w:r>
          </w:p>
        </w:tc>
        <w:tc>
          <w:tcPr>
            <w:tcW w:w="1409" w:type="dxa"/>
          </w:tcPr>
          <w:p w14:paraId="2028B32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c>
          <w:tcPr>
            <w:tcW w:w="1409" w:type="dxa"/>
          </w:tcPr>
          <w:p w14:paraId="546CCE55"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r w:rsidR="004E10C1" w:rsidRPr="0044524F" w14:paraId="28E414A7" w14:textId="77777777">
        <w:tc>
          <w:tcPr>
            <w:tcW w:w="1409" w:type="dxa"/>
          </w:tcPr>
          <w:p w14:paraId="0E97C7E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tc>
        <w:tc>
          <w:tcPr>
            <w:tcW w:w="1409" w:type="dxa"/>
          </w:tcPr>
          <w:p w14:paraId="6FDC2DA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9" w:type="dxa"/>
          </w:tcPr>
          <w:p w14:paraId="6CD01F8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409" w:type="dxa"/>
          </w:tcPr>
          <w:p w14:paraId="07558EC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1409" w:type="dxa"/>
          </w:tcPr>
          <w:p w14:paraId="785325F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r>
      <w:tr w:rsidR="004E10C1" w:rsidRPr="0044524F" w14:paraId="2D3A1851" w14:textId="77777777">
        <w:tc>
          <w:tcPr>
            <w:tcW w:w="1409" w:type="dxa"/>
          </w:tcPr>
          <w:p w14:paraId="50F90CD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 2М17</w:t>
            </w:r>
          </w:p>
        </w:tc>
        <w:tc>
          <w:tcPr>
            <w:tcW w:w="1409" w:type="dxa"/>
          </w:tcPr>
          <w:p w14:paraId="7D6E09C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409" w:type="dxa"/>
          </w:tcPr>
          <w:p w14:paraId="01797B8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1409" w:type="dxa"/>
          </w:tcPr>
          <w:p w14:paraId="2C83822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1409" w:type="dxa"/>
          </w:tcPr>
          <w:p w14:paraId="4C247219"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r w:rsidR="004E10C1" w:rsidRPr="0044524F" w14:paraId="35507EFE" w14:textId="77777777">
        <w:tc>
          <w:tcPr>
            <w:tcW w:w="1409" w:type="dxa"/>
          </w:tcPr>
          <w:p w14:paraId="28C3948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ЛШ-М11</w:t>
            </w:r>
          </w:p>
        </w:tc>
        <w:tc>
          <w:tcPr>
            <w:tcW w:w="1409" w:type="dxa"/>
          </w:tcPr>
          <w:p w14:paraId="72259BE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09" w:type="dxa"/>
          </w:tcPr>
          <w:p w14:paraId="27DA510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154</w:t>
            </w:r>
          </w:p>
        </w:tc>
        <w:tc>
          <w:tcPr>
            <w:tcW w:w="1409" w:type="dxa"/>
          </w:tcPr>
          <w:p w14:paraId="7D63FD5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1409" w:type="dxa"/>
          </w:tcPr>
          <w:p w14:paraId="7FFA02F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F1B2628" w14:textId="77777777">
        <w:tc>
          <w:tcPr>
            <w:tcW w:w="1409" w:type="dxa"/>
          </w:tcPr>
          <w:p w14:paraId="6C24B83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409" w:type="dxa"/>
          </w:tcPr>
          <w:p w14:paraId="57BB8C3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1409" w:type="dxa"/>
          </w:tcPr>
          <w:p w14:paraId="50FFE8F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1409" w:type="dxa"/>
          </w:tcPr>
          <w:p w14:paraId="0499E9D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1409" w:type="dxa"/>
          </w:tcPr>
          <w:p w14:paraId="1FAB7102"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r>
      <w:tr w:rsidR="004E10C1" w:rsidRPr="0044524F" w14:paraId="7479EFA5" w14:textId="77777777">
        <w:tc>
          <w:tcPr>
            <w:tcW w:w="1409" w:type="dxa"/>
          </w:tcPr>
          <w:p w14:paraId="1F938A8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К5-М22</w:t>
            </w:r>
          </w:p>
        </w:tc>
        <w:tc>
          <w:tcPr>
            <w:tcW w:w="1409" w:type="dxa"/>
          </w:tcPr>
          <w:p w14:paraId="7A350C4A"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09" w:type="dxa"/>
          </w:tcPr>
          <w:p w14:paraId="6025712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409" w:type="dxa"/>
          </w:tcPr>
          <w:p w14:paraId="1772281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tc>
        <w:tc>
          <w:tcPr>
            <w:tcW w:w="1409" w:type="dxa"/>
          </w:tcPr>
          <w:p w14:paraId="117945D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r>
      <w:tr w:rsidR="004E10C1" w:rsidRPr="0044524F" w14:paraId="067A6699" w14:textId="77777777">
        <w:tc>
          <w:tcPr>
            <w:tcW w:w="1409" w:type="dxa"/>
          </w:tcPr>
          <w:p w14:paraId="04EB8E4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409" w:type="dxa"/>
          </w:tcPr>
          <w:p w14:paraId="5BBDB45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528</w:t>
            </w:r>
          </w:p>
        </w:tc>
        <w:tc>
          <w:tcPr>
            <w:tcW w:w="1409" w:type="dxa"/>
          </w:tcPr>
          <w:p w14:paraId="17BBA40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1338</w:t>
            </w:r>
          </w:p>
        </w:tc>
        <w:tc>
          <w:tcPr>
            <w:tcW w:w="1409" w:type="dxa"/>
          </w:tcPr>
          <w:p w14:paraId="14906C2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1487</w:t>
            </w:r>
          </w:p>
        </w:tc>
        <w:tc>
          <w:tcPr>
            <w:tcW w:w="1409" w:type="dxa"/>
          </w:tcPr>
          <w:p w14:paraId="0391ABD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1399 (2286,42)</w:t>
            </w:r>
          </w:p>
        </w:tc>
      </w:tr>
    </w:tbl>
    <w:p w14:paraId="20BEA8FE"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4D65CE9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апреля 1933 состоялись повторные испытания ВРД (см.: 15 апреля 1933 г.) в присутствии Л. Раскина и Г.П. Новикова (Там же, № 94, л. 22) (10676).</w:t>
      </w:r>
    </w:p>
    <w:p w14:paraId="55B39182"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64E1FE7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апреля 1933 С.П.К. в письме М.Н. Тухачевскому доказывал, что перевод ГИРД в военное ведомство делу не поможет (см.: 10 апреля (1) 1933 г.). Радикальным считал решение о создании РНИИ. Приводил сведения об условиях работы ГИРД, о выполненных работах, об истории вопроса по организации РНИИ (Там же, № 242, л. 14) (10676).</w:t>
      </w:r>
    </w:p>
    <w:p w14:paraId="4CEC1E0E"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1949DE79"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апреля 1933 НАЧАЛЬНИК ЭАО Ц А Г И САБИНИН подготовил записку:</w:t>
      </w:r>
    </w:p>
    <w:p w14:paraId="41E88433"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ВОПРОСУ О НЕОБХОДИМОСТИ ПОСТРОЙКИ БОЛЬШИХ </w:t>
      </w:r>
      <w:r w:rsidRPr="0044524F">
        <w:rPr>
          <w:rFonts w:ascii="Times New Roman" w:hAnsi="Times New Roman"/>
          <w:smallCaps/>
          <w:color w:val="000000" w:themeColor="text1"/>
          <w:sz w:val="16"/>
          <w:szCs w:val="16"/>
        </w:rPr>
        <w:t>аэродинамических труб.</w:t>
      </w:r>
    </w:p>
    <w:p w14:paraId="102473DE"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размеров самолетов и их скоростей ставит пе</w:t>
      </w:r>
      <w:r w:rsidRPr="0044524F">
        <w:rPr>
          <w:rFonts w:ascii="Times New Roman" w:hAnsi="Times New Roman"/>
          <w:color w:val="000000" w:themeColor="text1"/>
          <w:sz w:val="16"/>
          <w:szCs w:val="16"/>
        </w:rPr>
        <w:softHyphen/>
        <w:t>ред экспериментальной аэродинамикой новые вопросы и задачи решить которые на старом оборудовании /аэродинамических тру</w:t>
      </w:r>
      <w:r w:rsidRPr="0044524F">
        <w:rPr>
          <w:rFonts w:ascii="Times New Roman" w:hAnsi="Times New Roman"/>
          <w:color w:val="000000" w:themeColor="text1"/>
          <w:sz w:val="16"/>
          <w:szCs w:val="16"/>
        </w:rPr>
        <w:softHyphen/>
        <w:t>бах/ невозможно. Результаты исследований свойств самолета в аэродинамической трубе в высшей степени зависят от величины модели самолета, чем последняя меньше, тем больше ошибки по</w:t>
      </w:r>
      <w:r w:rsidRPr="0044524F">
        <w:rPr>
          <w:rFonts w:ascii="Times New Roman" w:hAnsi="Times New Roman"/>
          <w:color w:val="000000" w:themeColor="text1"/>
          <w:sz w:val="16"/>
          <w:szCs w:val="16"/>
        </w:rPr>
        <w:softHyphen/>
        <w:t>лучаемые в результате эксперимента.</w:t>
      </w:r>
    </w:p>
    <w:p w14:paraId="617DCF3B"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размах самолетов, строящихся в СССР досиигает 50 и больше метров, испытания их моделей приходите? вести в единственной трубе в СССР, позволяющей испытывать модели с размахом до 1,5 метра /т.е. в масштабе 1/33/. Благо</w:t>
      </w:r>
      <w:r w:rsidRPr="0044524F">
        <w:rPr>
          <w:rFonts w:ascii="Times New Roman" w:hAnsi="Times New Roman"/>
          <w:color w:val="000000" w:themeColor="text1"/>
          <w:sz w:val="16"/>
          <w:szCs w:val="16"/>
        </w:rPr>
        <w:softHyphen/>
        <w:t>даря такому малому масштабу результаты получаются совершенно не соответствующие действительности.</w:t>
      </w:r>
    </w:p>
    <w:p w14:paraId="3284047E"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Многие эксперименты, имеющие крайне важное значение вообще, не могут быть проведены на моделях самолетов, а требует установки в трубе всего самолета в натуру или отдельных, его частей в натуру.</w:t>
      </w:r>
    </w:p>
    <w:p w14:paraId="0DAD2B7F"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Страны, имеющие сильно развитую и технически передовую авиацию за последние годы построили и строят громаднейшие аэродинамические трубы, в которых испытывают в натуру целые самолеты.</w:t>
      </w:r>
    </w:p>
    <w:p w14:paraId="476A52D2"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С.А.С.Ш. - занимающие ведущее место в воздушном флоте мира - имеют и наиболее крупные аэродинамические трубы.</w:t>
      </w:r>
    </w:p>
    <w:p w14:paraId="54F81828"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Винтовая труба с диаметром в 6,1 метра и со скоростью потока в 50 м/с дает возможность исследовать винт с рабо</w:t>
      </w:r>
      <w:r w:rsidRPr="0044524F">
        <w:rPr>
          <w:rFonts w:ascii="Times New Roman" w:hAnsi="Times New Roman"/>
          <w:color w:val="000000" w:themeColor="text1"/>
          <w:sz w:val="16"/>
          <w:szCs w:val="16"/>
        </w:rPr>
        <w:softHyphen/>
        <w:t>тающим мотором.</w:t>
      </w:r>
    </w:p>
    <w:p w14:paraId="4CC39684"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Самолетная труба с размерами 9,3 метра на 18.б метра /эллиптического сечения/ служит для исследования целых са</w:t>
      </w:r>
      <w:r w:rsidRPr="0044524F">
        <w:rPr>
          <w:rFonts w:ascii="Times New Roman" w:hAnsi="Times New Roman"/>
          <w:color w:val="000000" w:themeColor="text1"/>
          <w:sz w:val="16"/>
          <w:szCs w:val="16"/>
        </w:rPr>
        <w:softHyphen/>
        <w:t>молетов с работающим мотором в натуру.</w:t>
      </w:r>
    </w:p>
    <w:p w14:paraId="06721395"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АНГЛИЯ - имея ряд крупных труб, в 1932 году построи</w:t>
      </w:r>
      <w:r w:rsidRPr="0044524F">
        <w:rPr>
          <w:rFonts w:ascii="Times New Roman" w:hAnsi="Times New Roman"/>
          <w:color w:val="000000" w:themeColor="text1"/>
          <w:sz w:val="16"/>
          <w:szCs w:val="16"/>
        </w:rPr>
        <w:softHyphen/>
        <w:t>ла трубу с диаметром в 6,3 метра со скоростью потока свыше 54 м/с.</w:t>
      </w:r>
    </w:p>
    <w:p w14:paraId="6165F57F"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С С Р - имеет одну трубу в ЦАГИ диаметром в 6 метров, со скоростью потока всего 28 м/сек. Эта же труба в другой рабочей части имеет диаметр 3 м с рабочей скорость потока 50 м/сек.</w:t>
      </w:r>
    </w:p>
    <w:p w14:paraId="1F87F616"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6-ти метровая труба ЦАГИ имеет недостаточные размеры и малую скорость потока, и притом, эта тру</w:t>
      </w:r>
      <w:r w:rsidRPr="0044524F">
        <w:rPr>
          <w:rFonts w:ascii="Times New Roman" w:hAnsi="Times New Roman"/>
          <w:color w:val="000000" w:themeColor="text1"/>
          <w:sz w:val="16"/>
          <w:szCs w:val="16"/>
        </w:rPr>
        <w:softHyphen/>
        <w:t>ба закрытого типа и деревянная, в ней нельзя вести опыты с работающим; мот ором,е натуральными винтами и самолетами.</w:t>
      </w:r>
    </w:p>
    <w:p w14:paraId="3DF86184"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прилагаемой таблицы /приложение № 1/, в которой указаны основные характеристики главнейших аэродинамичес</w:t>
      </w:r>
      <w:r w:rsidRPr="0044524F">
        <w:rPr>
          <w:rFonts w:ascii="Times New Roman" w:hAnsi="Times New Roman"/>
          <w:color w:val="000000" w:themeColor="text1"/>
          <w:sz w:val="16"/>
          <w:szCs w:val="16"/>
        </w:rPr>
        <w:softHyphen/>
        <w:t>ких труб мира, видно, что аэродинамические трубы СССР по своим главным данным /отношение рейнольдсовых чисел модели самолета к натуре, см. прследний столбец/, являются уста</w:t>
      </w:r>
      <w:r w:rsidRPr="0044524F">
        <w:rPr>
          <w:rFonts w:ascii="Times New Roman" w:hAnsi="Times New Roman"/>
          <w:color w:val="000000" w:themeColor="text1"/>
          <w:sz w:val="16"/>
          <w:szCs w:val="16"/>
        </w:rPr>
        <w:softHyphen/>
        <w:t>релыми.</w:t>
      </w:r>
    </w:p>
    <w:p w14:paraId="7CC1CF47"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САСШ имеются 4 трубы превосходящие по своим качест</w:t>
      </w:r>
      <w:r w:rsidRPr="0044524F">
        <w:rPr>
          <w:rFonts w:ascii="Times New Roman" w:hAnsi="Times New Roman"/>
          <w:color w:val="000000" w:themeColor="text1"/>
          <w:sz w:val="16"/>
          <w:szCs w:val="16"/>
        </w:rPr>
        <w:softHyphen/>
        <w:t>вам наши трубы, в Англии - 2 грубы, во Фанции - 1 труба.</w:t>
      </w:r>
    </w:p>
    <w:p w14:paraId="3239DE31"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Трубы Японии, Испании, Польши по своим данным идут на уровне наших труб.</w:t>
      </w:r>
    </w:p>
    <w:p w14:paraId="710DB9F7"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вышеуказанные трубы /за исключением 1 трубы в САСШ и Англии, построены до 1927 года.</w:t>
      </w:r>
    </w:p>
    <w:p w14:paraId="36A43377"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во многих странах идут приготовле</w:t>
      </w:r>
      <w:r w:rsidRPr="0044524F">
        <w:rPr>
          <w:rFonts w:ascii="Times New Roman" w:hAnsi="Times New Roman"/>
          <w:color w:val="000000" w:themeColor="text1"/>
          <w:sz w:val="16"/>
          <w:szCs w:val="16"/>
        </w:rPr>
        <w:softHyphen/>
        <w:t>ния к постройке больших труб /Германия, Франция, Италия/.</w:t>
      </w:r>
    </w:p>
    <w:p w14:paraId="54572416"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Весьма характерно, что именно САСШ и Кнглия, особен</w:t>
      </w:r>
      <w:r w:rsidRPr="0044524F">
        <w:rPr>
          <w:rFonts w:ascii="Times New Roman" w:hAnsi="Times New Roman"/>
          <w:color w:val="000000" w:themeColor="text1"/>
          <w:sz w:val="16"/>
          <w:szCs w:val="16"/>
        </w:rPr>
        <w:softHyphen/>
        <w:t>но первая пользуясь широчайше поставленными аэродинамическ] ми исследованиями и хорошей моторной базой резко продвину</w:t>
      </w:r>
      <w:r w:rsidRPr="0044524F">
        <w:rPr>
          <w:rFonts w:ascii="Times New Roman" w:hAnsi="Times New Roman"/>
          <w:color w:val="000000" w:themeColor="text1"/>
          <w:sz w:val="16"/>
          <w:szCs w:val="16"/>
        </w:rPr>
        <w:softHyphen/>
        <w:t>ли за последние 3 года развитие опытного самолетостроения. Англичане добились того, что их серийные разведчики облада« ют максимальными скоростями полета 300 км/час, скорость серийных же истребителей достигла 350 кл/час. Американские самолеты, снабженные специальными моторными капотами, разр&lt; ботанными в большой трубе национальной аэродинамической ла</w:t>
      </w:r>
      <w:r w:rsidRPr="0044524F">
        <w:rPr>
          <w:rFonts w:ascii="Times New Roman" w:hAnsi="Times New Roman"/>
          <w:color w:val="000000" w:themeColor="text1"/>
          <w:sz w:val="16"/>
          <w:szCs w:val="16"/>
        </w:rPr>
        <w:softHyphen/>
        <w:t>боратории, обладают скоростью полета 350-360 клм/час, двух</w:t>
      </w:r>
      <w:r w:rsidRPr="0044524F">
        <w:rPr>
          <w:rFonts w:ascii="Times New Roman" w:hAnsi="Times New Roman"/>
          <w:color w:val="000000" w:themeColor="text1"/>
          <w:sz w:val="16"/>
          <w:szCs w:val="16"/>
        </w:rPr>
        <w:softHyphen/>
        <w:t>моторные бомбовозы скоростью 300 кл/час. В итоге Англия и САСШ обладают в настоящее время качественно самым высоким воздушным флотом.</w:t>
      </w:r>
    </w:p>
    <w:p w14:paraId="2E104140"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Слабость аэродинамической экспериментальной базы в СССР, безусловно отразилась на типах и особенно качестве опытного самолетостроения в 1-ю пятилетку и привела по не</w:t>
      </w:r>
      <w:r w:rsidRPr="0044524F">
        <w:rPr>
          <w:rFonts w:ascii="Times New Roman" w:hAnsi="Times New Roman"/>
          <w:color w:val="000000" w:themeColor="text1"/>
          <w:sz w:val="16"/>
          <w:szCs w:val="16"/>
        </w:rPr>
        <w:softHyphen/>
        <w:t>которым типам самолетов к прямому прорыву, так все самоле</w:t>
      </w:r>
      <w:r w:rsidRPr="0044524F">
        <w:rPr>
          <w:rFonts w:ascii="Times New Roman" w:hAnsi="Times New Roman"/>
          <w:color w:val="000000" w:themeColor="text1"/>
          <w:sz w:val="16"/>
          <w:szCs w:val="16"/>
        </w:rPr>
        <w:softHyphen/>
        <w:t>ты с установками винтов Тандем, один за другим не дали ожи</w:t>
      </w:r>
      <w:r w:rsidRPr="0044524F">
        <w:rPr>
          <w:rFonts w:ascii="Times New Roman" w:hAnsi="Times New Roman"/>
          <w:color w:val="000000" w:themeColor="text1"/>
          <w:sz w:val="16"/>
          <w:szCs w:val="16"/>
        </w:rPr>
        <w:softHyphen/>
        <w:t>даемых результатов.</w:t>
      </w:r>
    </w:p>
    <w:p w14:paraId="40A4053F"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 значительны расхождения по истребителю И-12. Ожидались: горизонтальная скорость на 5.000 метров по рас</w:t>
      </w:r>
      <w:r w:rsidRPr="0044524F">
        <w:rPr>
          <w:rFonts w:ascii="Times New Roman" w:hAnsi="Times New Roman"/>
          <w:color w:val="000000" w:themeColor="text1"/>
          <w:sz w:val="16"/>
          <w:szCs w:val="16"/>
        </w:rPr>
        <w:softHyphen/>
        <w:t>чету 300-317 клм, фактически у земли получено 265 км.час. Потолок по расчету 8500-9300 метров, фактически получено около 5000: На данные тяжелого бомбардировщика ТВ-5, кроме Тандемской установки оказало значительное влияние располо</w:t>
      </w:r>
      <w:r w:rsidRPr="0044524F">
        <w:rPr>
          <w:rFonts w:ascii="Times New Roman" w:hAnsi="Times New Roman"/>
          <w:color w:val="000000" w:themeColor="text1"/>
          <w:sz w:val="16"/>
          <w:szCs w:val="16"/>
        </w:rPr>
        <w:softHyphen/>
        <w:t>жение винтов под крылом. Продувки на малой модели показали ею влияние в меньшей степени.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4E10C1" w:rsidRPr="0044524F" w14:paraId="34FF9636" w14:textId="77777777">
        <w:tc>
          <w:tcPr>
            <w:tcW w:w="1915" w:type="dxa"/>
            <w:tcBorders>
              <w:top w:val="single" w:sz="12" w:space="0" w:color="auto"/>
            </w:tcBorders>
          </w:tcPr>
          <w:p w14:paraId="6F6A2949"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p>
        </w:tc>
        <w:tc>
          <w:tcPr>
            <w:tcW w:w="1915" w:type="dxa"/>
            <w:tcBorders>
              <w:top w:val="single" w:sz="12" w:space="0" w:color="auto"/>
            </w:tcBorders>
          </w:tcPr>
          <w:p w14:paraId="56BEC8D5"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у земли</w:t>
            </w:r>
          </w:p>
        </w:tc>
        <w:tc>
          <w:tcPr>
            <w:tcW w:w="1915" w:type="dxa"/>
            <w:tcBorders>
              <w:top w:val="single" w:sz="12" w:space="0" w:color="auto"/>
            </w:tcBorders>
          </w:tcPr>
          <w:p w14:paraId="702B8232"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3000 мт.</w:t>
            </w:r>
          </w:p>
        </w:tc>
        <w:tc>
          <w:tcPr>
            <w:tcW w:w="1915" w:type="dxa"/>
            <w:tcBorders>
              <w:top w:val="single" w:sz="12" w:space="0" w:color="auto"/>
            </w:tcBorders>
          </w:tcPr>
          <w:p w14:paraId="502EAACE"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1915" w:type="dxa"/>
            <w:tcBorders>
              <w:top w:val="single" w:sz="12" w:space="0" w:color="auto"/>
            </w:tcBorders>
          </w:tcPr>
          <w:p w14:paraId="295B7761"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под”ема на 3000 мт.</w:t>
            </w:r>
          </w:p>
        </w:tc>
      </w:tr>
      <w:tr w:rsidR="004E10C1" w:rsidRPr="0044524F" w14:paraId="1E20A7B9" w14:textId="77777777">
        <w:tc>
          <w:tcPr>
            <w:tcW w:w="1915" w:type="dxa"/>
          </w:tcPr>
          <w:p w14:paraId="4C326484"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Ожидалось</w:t>
            </w:r>
          </w:p>
        </w:tc>
        <w:tc>
          <w:tcPr>
            <w:tcW w:w="1915" w:type="dxa"/>
          </w:tcPr>
          <w:p w14:paraId="4447000F"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216</w:t>
            </w:r>
          </w:p>
        </w:tc>
        <w:tc>
          <w:tcPr>
            <w:tcW w:w="1915" w:type="dxa"/>
          </w:tcPr>
          <w:p w14:paraId="72DA0CB3"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w:t>
            </w:r>
          </w:p>
        </w:tc>
        <w:tc>
          <w:tcPr>
            <w:tcW w:w="1915" w:type="dxa"/>
          </w:tcPr>
          <w:p w14:paraId="32261348"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5180</w:t>
            </w:r>
          </w:p>
        </w:tc>
        <w:tc>
          <w:tcPr>
            <w:tcW w:w="1915" w:type="dxa"/>
          </w:tcPr>
          <w:p w14:paraId="79BE8C7E"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21,4</w:t>
            </w:r>
          </w:p>
        </w:tc>
      </w:tr>
      <w:tr w:rsidR="004E10C1" w:rsidRPr="0044524F" w14:paraId="67FC4D99" w14:textId="77777777">
        <w:tc>
          <w:tcPr>
            <w:tcW w:w="1915" w:type="dxa"/>
            <w:tcBorders>
              <w:bottom w:val="single" w:sz="12" w:space="0" w:color="auto"/>
            </w:tcBorders>
          </w:tcPr>
          <w:p w14:paraId="65CF380D"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Получено</w:t>
            </w:r>
          </w:p>
        </w:tc>
        <w:tc>
          <w:tcPr>
            <w:tcW w:w="1915" w:type="dxa"/>
            <w:tcBorders>
              <w:bottom w:val="single" w:sz="12" w:space="0" w:color="auto"/>
            </w:tcBorders>
          </w:tcPr>
          <w:p w14:paraId="59A62E60"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185-190</w:t>
            </w:r>
          </w:p>
        </w:tc>
        <w:tc>
          <w:tcPr>
            <w:tcW w:w="1915" w:type="dxa"/>
            <w:tcBorders>
              <w:bottom w:val="single" w:sz="12" w:space="0" w:color="auto"/>
            </w:tcBorders>
          </w:tcPr>
          <w:p w14:paraId="574E090B"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tc>
        <w:tc>
          <w:tcPr>
            <w:tcW w:w="1915" w:type="dxa"/>
            <w:tcBorders>
              <w:bottom w:val="single" w:sz="12" w:space="0" w:color="auto"/>
            </w:tcBorders>
          </w:tcPr>
          <w:p w14:paraId="67BDC19C"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3200-3510</w:t>
            </w:r>
          </w:p>
        </w:tc>
        <w:tc>
          <w:tcPr>
            <w:tcW w:w="1915" w:type="dxa"/>
            <w:tcBorders>
              <w:bottom w:val="single" w:sz="12" w:space="0" w:color="auto"/>
            </w:tcBorders>
          </w:tcPr>
          <w:p w14:paraId="75B97CF9"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r>
    </w:tbl>
    <w:p w14:paraId="5539CB36"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Указанные выше самолеты, выстроенные в течение последних 3-х лет, стоившие около 2.000.000 рублей и отнявшие большое количество конструкторских сил, оказались неудовлетворительными потому, что их расчеты не были обоснованы необхо</w:t>
      </w:r>
      <w:r w:rsidRPr="0044524F">
        <w:rPr>
          <w:rFonts w:ascii="Times New Roman" w:hAnsi="Times New Roman"/>
          <w:color w:val="000000" w:themeColor="text1"/>
          <w:sz w:val="16"/>
          <w:szCs w:val="16"/>
        </w:rPr>
        <w:softHyphen/>
        <w:t>димыми экспериментальными Данными, для получения же последних мы не обладали необходимым оборудованием.</w:t>
      </w:r>
    </w:p>
    <w:p w14:paraId="2535AE49"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Задачи, стоящие перед самолетостроением в СССР на вто-руд пятилетку и роль авиации в обороноспособности страны, требует во что бы то ни стало осуществления лозунга "пере</w:t>
      </w:r>
      <w:r w:rsidRPr="0044524F">
        <w:rPr>
          <w:rFonts w:ascii="Times New Roman" w:hAnsi="Times New Roman"/>
          <w:color w:val="000000" w:themeColor="text1"/>
          <w:sz w:val="16"/>
          <w:szCs w:val="16"/>
        </w:rPr>
        <w:softHyphen/>
        <w:t>гнать" иностранную авиационную технику и поставить Советс</w:t>
      </w:r>
      <w:r w:rsidRPr="0044524F">
        <w:rPr>
          <w:rFonts w:ascii="Times New Roman" w:hAnsi="Times New Roman"/>
          <w:color w:val="000000" w:themeColor="text1"/>
          <w:sz w:val="16"/>
          <w:szCs w:val="16"/>
        </w:rPr>
        <w:softHyphen/>
        <w:t>кую авиацию на первое место в мире, причем, в процесса опы' ного строительства должен быть сведен до минимума выпуск неудачных опытных самолетов.</w:t>
      </w:r>
    </w:p>
    <w:p w14:paraId="176BEDEE"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не выполнении указанной задачи Советское самолетостроение будет поставлено в отношении экспериментальной базы в условия значительно более худшие, чем Англия и Аме</w:t>
      </w:r>
      <w:r w:rsidRPr="0044524F">
        <w:rPr>
          <w:rFonts w:ascii="Times New Roman" w:hAnsi="Times New Roman"/>
          <w:color w:val="000000" w:themeColor="text1"/>
          <w:sz w:val="16"/>
          <w:szCs w:val="16"/>
        </w:rPr>
        <w:softHyphen/>
        <w:t>рика, что неизбежно будет иметь следствием снижение темпов опытного самолетостроения, и сможет привести к срыву пла</w:t>
      </w:r>
      <w:r w:rsidRPr="0044524F">
        <w:rPr>
          <w:rFonts w:ascii="Times New Roman" w:hAnsi="Times New Roman"/>
          <w:color w:val="000000" w:themeColor="text1"/>
          <w:sz w:val="16"/>
          <w:szCs w:val="16"/>
        </w:rPr>
        <w:softHyphen/>
        <w:t>на в отношении качественных показателей новых самолетов.</w:t>
      </w:r>
    </w:p>
    <w:p w14:paraId="22937AE9"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всего вышесказанного ЦАГИ считает необ</w:t>
      </w:r>
      <w:r w:rsidRPr="0044524F">
        <w:rPr>
          <w:rFonts w:ascii="Times New Roman" w:hAnsi="Times New Roman"/>
          <w:color w:val="000000" w:themeColor="text1"/>
          <w:sz w:val="16"/>
          <w:szCs w:val="16"/>
        </w:rPr>
        <w:softHyphen/>
        <w:t>ходимым во 2-й пятилетке построить две аэродинамические трубы, одну для исследования винтов и моторов в натуру, а другую для исследования самолетов в натуру, с размером ра</w:t>
      </w:r>
      <w:r w:rsidRPr="0044524F">
        <w:rPr>
          <w:rFonts w:ascii="Times New Roman" w:hAnsi="Times New Roman"/>
          <w:color w:val="000000" w:themeColor="text1"/>
          <w:sz w:val="16"/>
          <w:szCs w:val="16"/>
        </w:rPr>
        <w:softHyphen/>
        <w:t>бочей части для винтовой трубы 3 м. при скорости потока 100 м/с и для самолетной трубы размер рабочей части 12x24 при скорости потока 60 м/сек.</w:t>
      </w:r>
    </w:p>
    <w:p w14:paraId="0EDF0002"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Трубы должны быть построены в Центральном Аэро-Гидро-динамическом Институте, как крупнейшем Институте союза, имеющим большой опыт в СССР по проектированию, постройке и эксплоатации аэродинамических труб.</w:t>
      </w:r>
    </w:p>
    <w:p w14:paraId="1C100B85"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большой аэродинамической трубы с обору</w:t>
      </w:r>
      <w:r w:rsidRPr="0044524F">
        <w:rPr>
          <w:rFonts w:ascii="Times New Roman" w:hAnsi="Times New Roman"/>
          <w:color w:val="000000" w:themeColor="text1"/>
          <w:sz w:val="16"/>
          <w:szCs w:val="16"/>
        </w:rPr>
        <w:softHyphen/>
        <w:t>дованием даже при форсировании работы, займет около 1,5 го« да, постройка 2 года, а наладка минимум 1 год. Следователь</w:t>
      </w:r>
      <w:r w:rsidRPr="0044524F">
        <w:rPr>
          <w:rFonts w:ascii="Times New Roman" w:hAnsi="Times New Roman"/>
          <w:color w:val="000000" w:themeColor="text1"/>
          <w:sz w:val="16"/>
          <w:szCs w:val="16"/>
        </w:rPr>
        <w:softHyphen/>
        <w:t>но труба может войти в строй только к концу второй пятилетки.</w:t>
      </w:r>
    </w:p>
    <w:p w14:paraId="2E96A909"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немедленно начать разработку проектов этих труб с тем, чтобы постройку винтовой трубы начать с весны 1935 года, а постройку самолетной с весны 1934 года.</w:t>
      </w:r>
    </w:p>
    <w:p w14:paraId="64DF8F31"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Ориентировочная стоимость винтовой трубы - 8,000.000 руб. и самолетной 12.000.000 рублей.</w:t>
      </w:r>
    </w:p>
    <w:p w14:paraId="6F852B3B"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smallCaps/>
          <w:color w:val="000000" w:themeColor="text1"/>
          <w:sz w:val="16"/>
          <w:szCs w:val="16"/>
        </w:rPr>
        <w:t>приложение:</w:t>
      </w:r>
    </w:p>
    <w:p w14:paraId="62D86DDE"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Сравнительная таблица всех больших аэродинамических труб мира.</w:t>
      </w:r>
    </w:p>
    <w:p w14:paraId="23FBCC2B"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План строительства больших аэродина-1 мических труб СССР.</w:t>
      </w:r>
    </w:p>
    <w:p w14:paraId="0DD46464"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Альбом больших аэродинамических труб! мира.</w:t>
      </w:r>
    </w:p>
    <w:p w14:paraId="281C10D8"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ЭАО Ц А Г И САБИНИН 20/1У-83 год.</w:t>
      </w:r>
    </w:p>
    <w:p w14:paraId="57BEF101"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ЦГАОР. ф. 147с, оп. 15, д. 153, л. 5 (1026,161).</w:t>
      </w:r>
    </w:p>
    <w:p w14:paraId="53309897"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p>
    <w:p w14:paraId="0A5AC1E9" w14:textId="77777777" w:rsidR="00B75DE6" w:rsidRPr="0044524F" w:rsidRDefault="00B75DE6"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20 апреля 1933 г. </w:t>
      </w:r>
      <w:r w:rsidRPr="0044524F">
        <w:rPr>
          <w:rFonts w:ascii="Times New Roman" w:hAnsi="Times New Roman"/>
          <w:color w:val="000000" w:themeColor="text1"/>
          <w:sz w:val="16"/>
          <w:szCs w:val="16"/>
        </w:rPr>
        <w:t>Докладная записка экспериментально-аэродинамического отдела ЦАГИ заместителю наркома тяжелой промышленности СССР и начальнику Глававиапрома П. И. Баранову о необходимости постройки больших аэродинамических труб¹</w:t>
      </w:r>
    </w:p>
    <w:p w14:paraId="56CDAE15"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Секретно.</w:t>
      </w:r>
    </w:p>
    <w:p w14:paraId="2B9C3C70" w14:textId="77777777" w:rsidR="00AA59BC" w:rsidRPr="0044524F" w:rsidRDefault="00AA59BC" w:rsidP="009654CF">
      <w:pPr>
        <w:pStyle w:val="rtejustify"/>
        <w:spacing w:before="0" w:after="0"/>
        <w:rPr>
          <w:color w:val="000000" w:themeColor="text1"/>
          <w:sz w:val="16"/>
          <w:szCs w:val="16"/>
        </w:rPr>
      </w:pPr>
      <w:r w:rsidRPr="0044524F">
        <w:rPr>
          <w:color w:val="000000" w:themeColor="text1"/>
          <w:sz w:val="16"/>
          <w:szCs w:val="16"/>
        </w:rPr>
        <w:t>Увеличение размеров самолетов и их скоростей ставит перед экспериментальной аэродинамикой новые вопросы и задачи, решать которые на старом оборудовании (аэродинамических трубах) невозможно. Результаты исследований свойств самолета в аэродинамической трубе в высшей степени зависят от величины модели самолета, чем последняя меньше, тем больше ошибки, получаемые в результате эксперимента. В настоящее время размах самолетов, строящихся в СССР, достигает 50 и больше метров, испытания их моделей приходится вести в единственной трубе в СССР, позволяющей испытывать модели с размахом до 1,5 м (т. е. в масштабе 1 : 33). Благодаря такому малому масштабу результаты получаются совершенно не соответствующие действительности. Многие эксперименты, имеющие крайне важное значение, вообще не могут быть проведены на моделях самолетов, а требуют установки в трубе всего самолета в натуру или отдельных его частей в натуру.</w:t>
      </w:r>
    </w:p>
    <w:p w14:paraId="23C7623E" w14:textId="77777777" w:rsidR="00AA59BC" w:rsidRPr="0044524F" w:rsidRDefault="00AA59BC" w:rsidP="009654CF">
      <w:pPr>
        <w:pStyle w:val="rtejustify"/>
        <w:spacing w:before="0" w:after="0"/>
        <w:rPr>
          <w:color w:val="000000" w:themeColor="text1"/>
          <w:sz w:val="16"/>
          <w:szCs w:val="16"/>
        </w:rPr>
      </w:pPr>
      <w:r w:rsidRPr="0044524F">
        <w:rPr>
          <w:color w:val="000000" w:themeColor="text1"/>
          <w:sz w:val="16"/>
          <w:szCs w:val="16"/>
        </w:rPr>
        <w:t>Страны, имеющие сильно развитую и технически передовую авиацию за последние годы построили и строят громаднейшие аэродинамические трубы, в которых испытывают в натуру целые самолеты. САСШ, занимающие ведущее место в воздушном флоте мира, имеют и наиболее крупные аэродинамические трубы. Винтовая труба с диаметром в 6,1 м и со скоростью потока в 50 м/с дает возможность исследовать винт с работающим мотором. Самолетная труба с размерами 9,3 м на 18,6 м (эллиптического сечения) служит для исследования целых самолетов с работающим мотором в натуру. Англия, имея ряд крупных труб, в 1932 г. построила трубу с диаметром в 6,3 м со скоростью потока свыше 54 м/с.</w:t>
      </w:r>
    </w:p>
    <w:p w14:paraId="331097ED" w14:textId="77777777" w:rsidR="00AA59BC" w:rsidRPr="0044524F" w:rsidRDefault="00AA59BC" w:rsidP="009654CF">
      <w:pPr>
        <w:pStyle w:val="rtejustify"/>
        <w:spacing w:before="0" w:after="0"/>
        <w:rPr>
          <w:color w:val="000000" w:themeColor="text1"/>
          <w:sz w:val="16"/>
          <w:szCs w:val="16"/>
        </w:rPr>
      </w:pPr>
      <w:r w:rsidRPr="0044524F">
        <w:rPr>
          <w:color w:val="000000" w:themeColor="text1"/>
          <w:sz w:val="16"/>
          <w:szCs w:val="16"/>
        </w:rPr>
        <w:t>СССР имеет одну трубу в ЦАГИ диаметром в 6 м со скоростью потока всего 28 м/с. Эта же труба в другой рабочей части имеет диаметр 3 м с рабочей скоростью потока 50 м/с. Ввиду того, что шестиметровая труба ЦАГИ имеет недостаточные размеры и малую скорость потока, и притом эта труба закрытого типа и деревянная, в ней нельзя вести опыты с работающим мотором, с натуральными винтами и самолетами. Из прилагаемой таблицы (приложение № 1), в которой указаны основные характеристики главнейших аэродинамических труб мира, видно, что аэродинамические трубы СССР по своим главным данным (отношение Рейнольдсовых чисел модели самолета к натуре — см. последний столбец), являются устарелыми.</w:t>
      </w:r>
    </w:p>
    <w:p w14:paraId="1EA129CE" w14:textId="77777777" w:rsidR="00AA59BC" w:rsidRPr="0044524F" w:rsidRDefault="00AA59BC" w:rsidP="009654CF">
      <w:pPr>
        <w:pStyle w:val="rtejustify"/>
        <w:spacing w:before="0" w:after="0"/>
        <w:rPr>
          <w:color w:val="000000" w:themeColor="text1"/>
          <w:sz w:val="16"/>
          <w:szCs w:val="16"/>
        </w:rPr>
      </w:pPr>
      <w:r w:rsidRPr="0044524F">
        <w:rPr>
          <w:color w:val="000000" w:themeColor="text1"/>
          <w:sz w:val="16"/>
          <w:szCs w:val="16"/>
        </w:rPr>
        <w:t>В САСШ имеются 4 трубы, превосходящие по своим качествам наши трубы, в Англии — 2 трубы, во Франции — 1 труба. Трубы Японии, Испании, Польши по своим данным идут на уровне наших труб. Все вышеуказанные трубы (за исключением 1 трубы в САСШ и Англии) построены до 1927 г. В настоящее время во многих странах идут приготовления к постройке больших труб (Германия, Франция, Италия). Весьма характерно, что именно САСШ и Англия, особенно первая, пользуясь широчайше поставленными аэродинамическими исследованиями и хорошей моторной базой, резко продвинули за последние 3 года развитие опытного самолетостроения. Англичане добились того, что их серийные разведчики обладают максимальными скоростями полета 300 км/ч, скорость серийных же истребителей достигла 350 км/ч. Американские самолеты, снабженные специальными моторными капотами, разработанными в большой трубе национальной аэродинамической лаборатории, обладают скоростью полета 350</w:t>
      </w:r>
      <w:r w:rsidRPr="0044524F">
        <w:rPr>
          <w:color w:val="000000" w:themeColor="text1"/>
          <w:sz w:val="16"/>
          <w:szCs w:val="16"/>
        </w:rPr>
        <w:noBreakHyphen/>
        <w:t>360 км/ч, двухмоторные бомбовозы — скоростью 300 км/ч. В итоге Англия и САСШ обладают в настоящее время качественно самым высоким воздушным флотом.</w:t>
      </w:r>
    </w:p>
    <w:p w14:paraId="27CD7AFC" w14:textId="77777777" w:rsidR="00AA59BC" w:rsidRPr="0044524F" w:rsidRDefault="00AA59BC" w:rsidP="009654CF">
      <w:pPr>
        <w:pStyle w:val="rtejustify"/>
        <w:spacing w:before="0" w:after="0"/>
        <w:rPr>
          <w:color w:val="000000" w:themeColor="text1"/>
          <w:sz w:val="16"/>
          <w:szCs w:val="16"/>
        </w:rPr>
      </w:pPr>
      <w:r w:rsidRPr="0044524F">
        <w:rPr>
          <w:color w:val="000000" w:themeColor="text1"/>
          <w:sz w:val="16"/>
          <w:szCs w:val="16"/>
        </w:rPr>
        <w:t>Слабость аэродинамической экспериментальной базы в СССР безусловно отразилась на типах и особенно качестве опытного самолетостроения в первую пятилетку и привела по некоторым типам самолетов к прямому прорыву, так все самолеты с установками винтов тандем, один за другим, не дали ожидаемых результатов. Особенно значительны расхождения по истребителю И</w:t>
      </w:r>
      <w:r w:rsidRPr="0044524F">
        <w:rPr>
          <w:color w:val="000000" w:themeColor="text1"/>
          <w:sz w:val="16"/>
          <w:szCs w:val="16"/>
        </w:rPr>
        <w:noBreakHyphen/>
        <w:t>12. Ожидались: горизонтальная скорость на 5 тыс. м по расчету 300</w:t>
      </w:r>
      <w:r w:rsidRPr="0044524F">
        <w:rPr>
          <w:color w:val="000000" w:themeColor="text1"/>
          <w:sz w:val="16"/>
          <w:szCs w:val="16"/>
        </w:rPr>
        <w:noBreakHyphen/>
        <w:t xml:space="preserve">317 км, фактически у земли получено </w:t>
      </w:r>
      <w:r w:rsidRPr="0044524F">
        <w:rPr>
          <w:color w:val="000000" w:themeColor="text1"/>
          <w:sz w:val="16"/>
          <w:szCs w:val="16"/>
        </w:rPr>
        <w:lastRenderedPageBreak/>
        <w:t>265 км/ч. Потолок по расчету 8500</w:t>
      </w:r>
      <w:r w:rsidRPr="0044524F">
        <w:rPr>
          <w:color w:val="000000" w:themeColor="text1"/>
          <w:sz w:val="16"/>
          <w:szCs w:val="16"/>
        </w:rPr>
        <w:noBreakHyphen/>
        <w:t>9300 м, фактически получено около 5 тыс. На данные тяжелого бомбардировщика ТБ</w:t>
      </w:r>
      <w:r w:rsidRPr="0044524F">
        <w:rPr>
          <w:color w:val="000000" w:themeColor="text1"/>
          <w:sz w:val="16"/>
          <w:szCs w:val="16"/>
        </w:rPr>
        <w:noBreakHyphen/>
        <w:t>5 кроме тандемной установки оказало значительное влияние расположение винтов под крылом. Продувки на малой модели показали это влияние в меньшей степени.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88"/>
        <w:gridCol w:w="2295"/>
        <w:gridCol w:w="2714"/>
        <w:gridCol w:w="1351"/>
        <w:gridCol w:w="3474"/>
      </w:tblGrid>
      <w:tr w:rsidR="004E10C1" w:rsidRPr="0044524F" w14:paraId="39A3E08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F3E367"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78F53"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у земли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26A19"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3 тыс.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DD202B"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5E27D85A"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3 тыс. м</w:t>
            </w:r>
          </w:p>
        </w:tc>
      </w:tr>
      <w:tr w:rsidR="004E10C1" w:rsidRPr="0044524F" w14:paraId="4142A8B2"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E91067"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Ожидалось</w:t>
            </w:r>
          </w:p>
        </w:tc>
        <w:tc>
          <w:tcPr>
            <w:tcW w:w="0" w:type="auto"/>
            <w:tcBorders>
              <w:top w:val="outset" w:sz="6" w:space="0" w:color="auto"/>
              <w:left w:val="outset" w:sz="6" w:space="0" w:color="auto"/>
              <w:bottom w:val="outset" w:sz="6" w:space="0" w:color="auto"/>
              <w:right w:val="outset" w:sz="6" w:space="0" w:color="auto"/>
            </w:tcBorders>
            <w:vAlign w:val="center"/>
            <w:hideMark/>
          </w:tcPr>
          <w:p w14:paraId="2E272133"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317CF1"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w:t>
            </w:r>
          </w:p>
        </w:tc>
        <w:tc>
          <w:tcPr>
            <w:tcW w:w="0" w:type="auto"/>
            <w:tcBorders>
              <w:top w:val="outset" w:sz="6" w:space="0" w:color="auto"/>
              <w:left w:val="outset" w:sz="6" w:space="0" w:color="auto"/>
              <w:bottom w:val="outset" w:sz="6" w:space="0" w:color="auto"/>
              <w:right w:val="outset" w:sz="6" w:space="0" w:color="auto"/>
            </w:tcBorders>
            <w:vAlign w:val="center"/>
            <w:hideMark/>
          </w:tcPr>
          <w:p w14:paraId="3B92F41B"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AB7F63"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21,4</w:t>
            </w:r>
          </w:p>
        </w:tc>
      </w:tr>
      <w:tr w:rsidR="004E10C1" w:rsidRPr="0044524F" w14:paraId="501C076E"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54E8331"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00BB011"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w:t>
            </w:r>
            <w:r w:rsidRPr="0044524F">
              <w:rPr>
                <w:rFonts w:ascii="Times New Roman" w:hAnsi="Times New Roman"/>
                <w:color w:val="000000" w:themeColor="text1"/>
                <w:sz w:val="16"/>
                <w:szCs w:val="16"/>
              </w:rPr>
              <w:noBreakHyphen/>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6E37AA"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A7D80"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3200</w:t>
            </w:r>
            <w:r w:rsidRPr="0044524F">
              <w:rPr>
                <w:rFonts w:ascii="Times New Roman" w:hAnsi="Times New Roman"/>
                <w:color w:val="000000" w:themeColor="text1"/>
                <w:sz w:val="16"/>
                <w:szCs w:val="16"/>
              </w:rPr>
              <w:noBreakHyphen/>
              <w:t>3510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D8460"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r>
    </w:tbl>
    <w:p w14:paraId="5E55D569" w14:textId="77777777" w:rsidR="00AA59BC" w:rsidRPr="0044524F" w:rsidRDefault="00AA59BC" w:rsidP="009654CF">
      <w:pPr>
        <w:pStyle w:val="rtejustify"/>
        <w:spacing w:before="0" w:after="0"/>
        <w:rPr>
          <w:color w:val="000000" w:themeColor="text1"/>
          <w:sz w:val="16"/>
          <w:szCs w:val="16"/>
        </w:rPr>
      </w:pPr>
      <w:r w:rsidRPr="0044524F">
        <w:rPr>
          <w:color w:val="000000" w:themeColor="text1"/>
          <w:sz w:val="16"/>
          <w:szCs w:val="16"/>
        </w:rPr>
        <w:t>Указанные выше самолеты, выстроенные в течение последних трех лет, стоившие около 2 млн. руб. и отнявшие большое количество конструкторских сил, оказались неудовлетворительными потому, что их расчеты не были обоснованы необходимыми экспериментальными данными, для получения же последних мы не обладали необходимым оборудованием.</w:t>
      </w:r>
    </w:p>
    <w:p w14:paraId="1DE90945" w14:textId="77777777" w:rsidR="00AA59BC" w:rsidRPr="0044524F" w:rsidRDefault="00AA59BC" w:rsidP="009654CF">
      <w:pPr>
        <w:pStyle w:val="rtejustify"/>
        <w:spacing w:before="0" w:after="0"/>
        <w:rPr>
          <w:color w:val="000000" w:themeColor="text1"/>
          <w:sz w:val="16"/>
          <w:szCs w:val="16"/>
        </w:rPr>
      </w:pPr>
      <w:r w:rsidRPr="0044524F">
        <w:rPr>
          <w:color w:val="000000" w:themeColor="text1"/>
          <w:sz w:val="16"/>
          <w:szCs w:val="16"/>
        </w:rPr>
        <w:t>Задачи, стоящие перед самолетостроением СССР на вторую пятилетку, и роль авиации в обороноспособности страны требуют во что бы то ни стало осуществления лозунга «перегнать» иностранную авиационную технику и поставить советскую авиацию на первое место в мире, причем в процессе опытного строительства должен быть сведен до минимума выпуск неудачных опытных самолетов. При невыполнении указанной задачи советское самолетостроение будет поставлено в отношении экспериментальной базы в условия значительно более худшие, чем Англия и Америка, что неизбежно будет иметь следствием снижение темпов опытного самолетостроения и сможет привести к срыву плана в отношении качественных показателей новых самолетов.</w:t>
      </w:r>
    </w:p>
    <w:p w14:paraId="101553AB" w14:textId="77777777" w:rsidR="00AA59BC" w:rsidRPr="0044524F" w:rsidRDefault="00AA59BC" w:rsidP="009654CF">
      <w:pPr>
        <w:pStyle w:val="rtejustify"/>
        <w:spacing w:before="0" w:after="0"/>
        <w:rPr>
          <w:color w:val="000000" w:themeColor="text1"/>
          <w:sz w:val="16"/>
          <w:szCs w:val="16"/>
        </w:rPr>
      </w:pPr>
      <w:r w:rsidRPr="0044524F">
        <w:rPr>
          <w:color w:val="000000" w:themeColor="text1"/>
          <w:sz w:val="16"/>
          <w:szCs w:val="16"/>
        </w:rPr>
        <w:t>На основании всего вышесказанного ЦАГИ считает необходимым во второй пятилетке построить две аэродинамические трубы, одну для исследования винтов и моторов в натуру, а другую для исследования самолетов в натуру с размером рабочей части для винтовой трубы 3 м при скорости потока 100 м/с, и для самолетной трубы: размер рабочей части 12 х 24 [м] при скорости потока 60 м/с. Трубы должны быть построены в Центральном аэрогидродинамическом институте, как крупнейшем институте Союза, имеющем большой опыт в СССР по проектированию, постройке и эксплуатации аэродинамических труб. Проектирование большой аэродинамической трубы с оборудованием даже при форсировании работы займет около 1,5 года, постройка 2 года, а наладка минимум 1 год. Следовательно, труба может войти в строй только к концу второй пятилетки. Необходимо немедленно начать разработку проектов этих труб с тем, чтобы постройку винтовой трубы начать с весны 1935 г., а постройку самолетной — с весны 1934 г. Ориентировочная стоимость винтовой трубы — 8 млн. руб. и самолетной — 12 млн. руб.</w:t>
      </w:r>
    </w:p>
    <w:tbl>
      <w:tblPr>
        <w:tblW w:w="0" w:type="auto"/>
        <w:tblCellSpacing w:w="0" w:type="dxa"/>
        <w:tblCellMar>
          <w:left w:w="0" w:type="dxa"/>
          <w:right w:w="0" w:type="dxa"/>
        </w:tblCellMar>
        <w:tblLook w:val="04A0" w:firstRow="1" w:lastRow="0" w:firstColumn="1" w:lastColumn="0" w:noHBand="0" w:noVBand="1"/>
      </w:tblPr>
      <w:tblGrid>
        <w:gridCol w:w="910"/>
        <w:gridCol w:w="4839"/>
      </w:tblGrid>
      <w:tr w:rsidR="004E10C1" w:rsidRPr="0044524F" w14:paraId="15B29C78" w14:textId="77777777" w:rsidTr="003417C8">
        <w:trPr>
          <w:tblCellSpacing w:w="0" w:type="dxa"/>
        </w:trPr>
        <w:tc>
          <w:tcPr>
            <w:tcW w:w="0" w:type="auto"/>
            <w:vAlign w:val="center"/>
            <w:hideMark/>
          </w:tcPr>
          <w:p w14:paraId="1D37720F"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w:t>
            </w:r>
          </w:p>
        </w:tc>
        <w:tc>
          <w:tcPr>
            <w:tcW w:w="0" w:type="auto"/>
            <w:vAlign w:val="center"/>
            <w:hideMark/>
          </w:tcPr>
          <w:p w14:paraId="731F5FFF"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Сравнительная таблица всех больших аэродинамических труб мира.</w:t>
            </w:r>
          </w:p>
        </w:tc>
      </w:tr>
      <w:tr w:rsidR="004E10C1" w:rsidRPr="0044524F" w14:paraId="057B6F36" w14:textId="77777777" w:rsidTr="003417C8">
        <w:trPr>
          <w:tblCellSpacing w:w="0" w:type="dxa"/>
        </w:trPr>
        <w:tc>
          <w:tcPr>
            <w:tcW w:w="0" w:type="auto"/>
            <w:vAlign w:val="center"/>
            <w:hideMark/>
          </w:tcPr>
          <w:p w14:paraId="0029718D"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vAlign w:val="center"/>
            <w:hideMark/>
          </w:tcPr>
          <w:p w14:paraId="50F5EC6A"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План строительства больших аэродинамических труб СССР.</w:t>
            </w:r>
          </w:p>
        </w:tc>
      </w:tr>
      <w:tr w:rsidR="004E10C1" w:rsidRPr="0044524F" w14:paraId="67684FAE" w14:textId="77777777" w:rsidTr="003417C8">
        <w:trPr>
          <w:tblCellSpacing w:w="0" w:type="dxa"/>
        </w:trPr>
        <w:tc>
          <w:tcPr>
            <w:tcW w:w="0" w:type="auto"/>
            <w:vAlign w:val="center"/>
            <w:hideMark/>
          </w:tcPr>
          <w:p w14:paraId="6B661E2A"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vAlign w:val="center"/>
            <w:hideMark/>
          </w:tcPr>
          <w:p w14:paraId="47A03043" w14:textId="77777777" w:rsidR="00AA59BC" w:rsidRPr="0044524F" w:rsidRDefault="00AA59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Альбом больших аэродинамических труб мира²*.</w:t>
            </w:r>
          </w:p>
        </w:tc>
      </w:tr>
    </w:tbl>
    <w:p w14:paraId="27C5C225" w14:textId="77777777" w:rsidR="00AA59BC" w:rsidRPr="0044524F" w:rsidRDefault="00AA59BC"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ЭАО ЦАГИ Сабинин</w:t>
      </w:r>
    </w:p>
    <w:p w14:paraId="68B5C98D" w14:textId="77777777" w:rsidR="00AA59BC" w:rsidRPr="0044524F" w:rsidRDefault="00AA59BC"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21020456" w14:textId="77777777" w:rsidR="00AA59BC" w:rsidRPr="0044524F" w:rsidRDefault="00AA59BC" w:rsidP="009654CF">
      <w:pPr>
        <w:pStyle w:val="rtejustify"/>
        <w:spacing w:before="0" w:after="0"/>
        <w:rPr>
          <w:color w:val="000000" w:themeColor="text1"/>
          <w:sz w:val="16"/>
          <w:szCs w:val="16"/>
        </w:rPr>
      </w:pPr>
      <w:r w:rsidRPr="0044524F">
        <w:rPr>
          <w:color w:val="000000" w:themeColor="text1"/>
          <w:sz w:val="16"/>
          <w:szCs w:val="16"/>
        </w:rPr>
        <w:t xml:space="preserve">¹* Проблема строительства </w:t>
      </w:r>
      <w:r w:rsidRPr="0044524F">
        <w:rPr>
          <w:rStyle w:val="af0"/>
          <w:bCs/>
          <w:i w:val="0"/>
          <w:color w:val="000000" w:themeColor="text1"/>
          <w:sz w:val="16"/>
          <w:szCs w:val="16"/>
        </w:rPr>
        <w:t xml:space="preserve">аэродинамических труб </w:t>
      </w:r>
      <w:r w:rsidRPr="0044524F">
        <w:rPr>
          <w:color w:val="000000" w:themeColor="text1"/>
          <w:sz w:val="16"/>
          <w:szCs w:val="16"/>
        </w:rPr>
        <w:t>возникла особенно остро в 1933 г., когда самолетостроение в СССР было выдвинуто как приоритетная отрасль военной промышленности. В докладной записке ЦАГИ во Всесоюзное объединение авиационной промышленности «О постройке аэродинамических труб государственного значения» от 29 мая 1933 г. говорилось о том, что СССР существенно отстал в этой области от передовых капиталистических стран, и это негативно сказалось на качестве советского самолетостроения и обороноспособности страны. «Принимая во внимание большую программу строительства новых военных самолетов во II пятилетке, характеризующейся постройкой очень быстроходных машин с одной стороны, а с другой, машин колоссального размера, следует со всей категоричностью констатировать полное отсутствие экспериментальной базы для будущего самолетостроения, так как те исследования ведутся в трубах Союза на маленьких моделях, дают результаты, совершенно не отвечающие тому, что получается в натуре у скоростных машин и у машин гигантского размера, которые будут строиться во II пятилетке». В связи с вышеизложенным, ЦАГИ просил построить две большие аэродинамические трубы (винтовую и самолетную) на новом участке института, в Раменском. НКТП должен был включить в программу работ заводов необходимое оборудование по тяжелому машиностроению с таким расчетом, чтобы заказанное оборудование было готово по самолетной трубе в начале 1935 г., а по винтовой трубе к середине 1936 г., а также обеспечить необходимое энергоснабжение новых труб и командировать специалистов в Америку, Германию, Англию для ознакомления с большими трубами. Аналогичную записку ЦАГИ направил в ЦК ВКП(б) 25 ноября 1934 г. Постановлением СТО СССР № С</w:t>
      </w:r>
      <w:r w:rsidRPr="0044524F">
        <w:rPr>
          <w:color w:val="000000" w:themeColor="text1"/>
          <w:sz w:val="16"/>
          <w:szCs w:val="16"/>
        </w:rPr>
        <w:noBreakHyphen/>
        <w:t>108сс от 26 августа 1935 г. «О развитии научно-технических исследований по авиации» были утверждены объемы и сроки строительства лабораторий и аэродрома ЦАГИ на Раменском участке. Была образована комиссия под председательством Г. Л. Пятакова. Этим же постановлением ГУ АП обязывалось построить в 1936</w:t>
      </w:r>
      <w:r w:rsidRPr="0044524F">
        <w:rPr>
          <w:color w:val="000000" w:themeColor="text1"/>
          <w:sz w:val="16"/>
          <w:szCs w:val="16"/>
        </w:rPr>
        <w:noBreakHyphen/>
        <w:t>1937 гг. аэродинамические трубы и лаборатории в Харьковском и Казанском авиационных институтах, а также на заводах № 18, 22, 23, 31 и 125. Для усиления темпов работы научно-исследовательские отделы ЦАГИ объединялись в Научно-исследовательское управление, возглавлявшееся заместителем начальника ЦАГИ. (РГАЭ. Ф. 8328. Оп. 1. Д. 681. Л. 9</w:t>
      </w:r>
      <w:r w:rsidRPr="0044524F">
        <w:rPr>
          <w:color w:val="000000" w:themeColor="text1"/>
          <w:sz w:val="16"/>
          <w:szCs w:val="16"/>
        </w:rPr>
        <w:noBreakHyphen/>
        <w:t>8; АП РФ. Ф. 3. Оп. 46. Д. 95. Л. 144</w:t>
      </w:r>
      <w:r w:rsidRPr="0044524F">
        <w:rPr>
          <w:color w:val="000000" w:themeColor="text1"/>
          <w:sz w:val="16"/>
          <w:szCs w:val="16"/>
        </w:rPr>
        <w:noBreakHyphen/>
        <w:t>147; ГА РФ. Ф. Р</w:t>
      </w:r>
      <w:r w:rsidRPr="0044524F">
        <w:rPr>
          <w:color w:val="000000" w:themeColor="text1"/>
          <w:sz w:val="16"/>
          <w:szCs w:val="16"/>
        </w:rPr>
        <w:noBreakHyphen/>
        <w:t>8418. Оп. 28. Д. 7. Л. 79</w:t>
      </w:r>
      <w:r w:rsidRPr="0044524F">
        <w:rPr>
          <w:color w:val="000000" w:themeColor="text1"/>
          <w:sz w:val="16"/>
          <w:szCs w:val="16"/>
        </w:rPr>
        <w:noBreakHyphen/>
        <w:t>81).</w:t>
      </w:r>
    </w:p>
    <w:p w14:paraId="656D101C" w14:textId="77777777" w:rsidR="00AA59BC" w:rsidRPr="0044524F" w:rsidRDefault="00AA59BC" w:rsidP="009654CF">
      <w:pPr>
        <w:pStyle w:val="rtejustify"/>
        <w:spacing w:before="0" w:after="0"/>
        <w:rPr>
          <w:color w:val="000000" w:themeColor="text1"/>
          <w:sz w:val="16"/>
          <w:szCs w:val="16"/>
        </w:rPr>
      </w:pPr>
      <w:r w:rsidRPr="0044524F">
        <w:rPr>
          <w:color w:val="000000" w:themeColor="text1"/>
          <w:sz w:val="16"/>
          <w:szCs w:val="16"/>
        </w:rPr>
        <w:t>²* Приложение не публикуется (см. там же, л. 4</w:t>
      </w:r>
      <w:r w:rsidRPr="0044524F">
        <w:rPr>
          <w:color w:val="000000" w:themeColor="text1"/>
          <w:sz w:val="16"/>
          <w:szCs w:val="16"/>
        </w:rPr>
        <w:noBreakHyphen/>
        <w:t>3. Приложение № 3 в деле отсутствует).</w:t>
      </w:r>
    </w:p>
    <w:p w14:paraId="240FFD35" w14:textId="77777777" w:rsidR="00AA59BC" w:rsidRPr="0044524F" w:rsidRDefault="00AA59BC" w:rsidP="009654CF">
      <w:pPr>
        <w:pStyle w:val="ae"/>
        <w:spacing w:before="0" w:after="0"/>
        <w:jc w:val="both"/>
        <w:rPr>
          <w:color w:val="000000" w:themeColor="text1"/>
          <w:sz w:val="16"/>
          <w:szCs w:val="16"/>
        </w:rPr>
      </w:pPr>
      <w:r w:rsidRPr="0044524F">
        <w:rPr>
          <w:color w:val="000000" w:themeColor="text1"/>
          <w:sz w:val="16"/>
          <w:szCs w:val="16"/>
        </w:rPr>
        <w:t>РГАЭ. Ф. 8328. Оп. 1. Д. 681. Л. 6-5. Подлинник (15265).</w:t>
      </w:r>
    </w:p>
    <w:p w14:paraId="14719779" w14:textId="77777777" w:rsidR="00B75DE6" w:rsidRPr="0044524F" w:rsidRDefault="00B75DE6" w:rsidP="009654CF">
      <w:pPr>
        <w:shd w:val="clear" w:color="auto" w:fill="FFFFFF"/>
        <w:spacing w:after="0" w:line="240" w:lineRule="auto"/>
        <w:jc w:val="both"/>
        <w:rPr>
          <w:rFonts w:ascii="Times New Roman" w:hAnsi="Times New Roman"/>
          <w:color w:val="000000" w:themeColor="text1"/>
          <w:sz w:val="16"/>
          <w:szCs w:val="16"/>
        </w:rPr>
      </w:pPr>
    </w:p>
    <w:p w14:paraId="64CCBFCB"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апреля 1933 года был заклю</w:t>
      </w:r>
      <w:r w:rsidRPr="0044524F">
        <w:rPr>
          <w:rFonts w:ascii="Times New Roman" w:hAnsi="Times New Roman"/>
          <w:color w:val="000000" w:themeColor="text1"/>
          <w:sz w:val="16"/>
          <w:szCs w:val="16"/>
        </w:rPr>
        <w:softHyphen/>
        <w:t>чен Договор советской стороны с американской фирмой «Райт» сроком на пять лет. На основе этого договора в СССР было развернуто производство моторов М-2 5 на заводе № 19 (Пермь) (ГАРФ.Ф.8418.Оп. 23.Д.486.Л. 2.). По истечении его действия сотрудничество с фирмой продолжалось. Поста</w:t>
      </w:r>
      <w:r w:rsidRPr="0044524F">
        <w:rPr>
          <w:rFonts w:ascii="Times New Roman" w:hAnsi="Times New Roman"/>
          <w:color w:val="000000" w:themeColor="text1"/>
          <w:sz w:val="16"/>
          <w:szCs w:val="16"/>
        </w:rPr>
        <w:softHyphen/>
        <w:t>новлением КО при СНК СССР № 28сс от 7 февраля 1939 года «О покупке техпомощи по авиамоторам фирмы «Райт» указывалось на разрешение «заключить договор с фирмой «Райт» на техническую помощь по произ</w:t>
      </w:r>
      <w:r w:rsidRPr="0044524F">
        <w:rPr>
          <w:rFonts w:ascii="Times New Roman" w:hAnsi="Times New Roman"/>
          <w:color w:val="000000" w:themeColor="text1"/>
          <w:sz w:val="16"/>
          <w:szCs w:val="16"/>
        </w:rPr>
        <w:softHyphen/>
        <w:t>водству: а) однорядного, звездообразного 9-цилиндрового мотора К-1820 (ДЖИ-100 и ДЖИ-200); б) двухрядного, звездообразного 14-цилиндрового мотора К-2600» (ГАРФ.Ф.8418.Оп. 23.Д.486.Л. 2.). Предполагалось также отпустить 900000 долларов США на оплату фирме «Райт» за техпомощь по авиамоторам, причем разреша</w:t>
      </w:r>
      <w:r w:rsidRPr="0044524F">
        <w:rPr>
          <w:rFonts w:ascii="Times New Roman" w:hAnsi="Times New Roman"/>
          <w:color w:val="000000" w:themeColor="text1"/>
          <w:sz w:val="16"/>
          <w:szCs w:val="16"/>
        </w:rPr>
        <w:softHyphen/>
        <w:t>лось «включить в договор с фирмой «Райт», как опцион, право на покупку двухрядного 18-цилиндрового мотора К-3350» (11710,214).</w:t>
      </w:r>
    </w:p>
    <w:p w14:paraId="1DE6A97D"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p>
    <w:p w14:paraId="4336F13E"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20 апреля 1933 года был заключен договор с американ</w:t>
      </w:r>
      <w:r w:rsidRPr="00142305">
        <w:rPr>
          <w:rStyle w:val="aff"/>
          <w:rFonts w:ascii="Times New Roman" w:hAnsi="Times New Roman" w:cs="Times New Roman"/>
          <w:color w:val="0070C0"/>
          <w:spacing w:val="0"/>
          <w:sz w:val="16"/>
          <w:szCs w:val="16"/>
        </w:rPr>
        <w:softHyphen/>
        <w:t>ской фирмой «Райт» сроком на пять лет. На основе этого договора в СССР должно было быть развернуто производство моторов М-25 на заводе № 19 в Перми (</w:t>
      </w:r>
      <w:r w:rsidRPr="006A7D5C">
        <w:rPr>
          <w:rStyle w:val="aff3"/>
          <w:rFonts w:ascii="Times New Roman" w:hAnsi="Times New Roman" w:cs="Times New Roman"/>
          <w:i w:val="0"/>
          <w:iCs w:val="0"/>
          <w:color w:val="0070C0"/>
          <w:sz w:val="16"/>
          <w:szCs w:val="16"/>
          <w:lang w:val="ru-RU"/>
        </w:rPr>
        <w:t>ГАРФ. Ф. 8418.0п. 23. Д. 486. Л. 2.</w:t>
      </w:r>
      <w:r w:rsidRPr="00142305">
        <w:rPr>
          <w:rStyle w:val="aff"/>
          <w:rFonts w:ascii="Times New Roman" w:hAnsi="Times New Roman" w:cs="Times New Roman"/>
          <w:color w:val="0070C0"/>
          <w:spacing w:val="0"/>
          <w:sz w:val="16"/>
          <w:szCs w:val="16"/>
        </w:rPr>
        <w:t>). Еще девять месяцев ушло на решение различных организацион</w:t>
      </w:r>
      <w:r w:rsidRPr="00142305">
        <w:rPr>
          <w:rStyle w:val="aff"/>
          <w:rFonts w:ascii="Times New Roman" w:hAnsi="Times New Roman" w:cs="Times New Roman"/>
          <w:color w:val="0070C0"/>
          <w:spacing w:val="0"/>
          <w:sz w:val="16"/>
          <w:szCs w:val="16"/>
        </w:rPr>
        <w:softHyphen/>
        <w:t>но-финансовых вопросов, и лишь 30 декабря 1933 года (на минуточку – в день первого вы</w:t>
      </w:r>
      <w:r w:rsidRPr="00142305">
        <w:rPr>
          <w:rStyle w:val="aff"/>
          <w:rFonts w:ascii="Times New Roman" w:hAnsi="Times New Roman" w:cs="Times New Roman"/>
          <w:color w:val="0070C0"/>
          <w:spacing w:val="0"/>
          <w:sz w:val="16"/>
          <w:szCs w:val="16"/>
        </w:rPr>
        <w:softHyphen/>
        <w:t>лета ЦКБ-12 с М-22!) был выдан заказ на 50 моторов «Циклон» фирме «Райт» – 15 мото</w:t>
      </w:r>
      <w:r w:rsidRPr="00142305">
        <w:rPr>
          <w:rStyle w:val="aff"/>
          <w:rFonts w:ascii="Times New Roman" w:hAnsi="Times New Roman" w:cs="Times New Roman"/>
          <w:color w:val="0070C0"/>
          <w:spacing w:val="0"/>
          <w:sz w:val="16"/>
          <w:szCs w:val="16"/>
        </w:rPr>
        <w:softHyphen/>
        <w:t>ров «на ходу» и 35 комплектов деталей, полу</w:t>
      </w:r>
      <w:r w:rsidRPr="00142305">
        <w:rPr>
          <w:rStyle w:val="aff"/>
          <w:rFonts w:ascii="Times New Roman" w:hAnsi="Times New Roman" w:cs="Times New Roman"/>
          <w:color w:val="0070C0"/>
          <w:spacing w:val="0"/>
          <w:sz w:val="16"/>
          <w:szCs w:val="16"/>
        </w:rPr>
        <w:softHyphen/>
        <w:t>фабрикатов и заготовок в разных стадиях го</w:t>
      </w:r>
      <w:r w:rsidRPr="00142305">
        <w:rPr>
          <w:rStyle w:val="aff"/>
          <w:rFonts w:ascii="Times New Roman" w:hAnsi="Times New Roman" w:cs="Times New Roman"/>
          <w:color w:val="0070C0"/>
          <w:spacing w:val="0"/>
          <w:sz w:val="16"/>
          <w:szCs w:val="16"/>
        </w:rPr>
        <w:softHyphen/>
        <w:t>товности. За исключением одного мотора, весь заказ оформили с поставками в январе- марте следующего года. Серийное производ</w:t>
      </w:r>
      <w:r w:rsidRPr="00142305">
        <w:rPr>
          <w:rStyle w:val="aff"/>
          <w:rFonts w:ascii="Times New Roman" w:hAnsi="Times New Roman" w:cs="Times New Roman"/>
          <w:color w:val="0070C0"/>
          <w:spacing w:val="0"/>
          <w:sz w:val="16"/>
          <w:szCs w:val="16"/>
        </w:rPr>
        <w:softHyphen/>
        <w:t>ство на пермском заводе № 19 пока вообще оставалось «в тумане» (25519).</w:t>
      </w:r>
    </w:p>
    <w:p w14:paraId="2DD1B915"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Из</w:t>
      </w:r>
      <w:r w:rsidRPr="00142305">
        <w:rPr>
          <w:rStyle w:val="aff"/>
          <w:rFonts w:ascii="Times New Roman" w:hAnsi="Times New Roman" w:cs="Times New Roman"/>
          <w:color w:val="0070C0"/>
          <w:spacing w:val="0"/>
          <w:sz w:val="16"/>
          <w:szCs w:val="16"/>
        </w:rPr>
        <w:softHyphen/>
        <w:t>вестный конструктор авиадвигателей Е.В. Урмина дал высокую оценку контактам с американскими моторостроителями: "Договор с фирмой Райт, заключенный в начале 30-х годов, не только обеспечил создание одной из лучших баз серийного производства, но и одного из передовых ОКБ, давшего стране образцы новых полезных двигателей", отметив, что фронт работ этого конструкторского бюро "был особенно широк" (</w:t>
      </w:r>
      <w:r w:rsidRPr="006A7D5C">
        <w:rPr>
          <w:rStyle w:val="aff3"/>
          <w:rFonts w:ascii="Times New Roman" w:hAnsi="Times New Roman" w:cs="Times New Roman"/>
          <w:i w:val="0"/>
          <w:iCs w:val="0"/>
          <w:color w:val="0070C0"/>
          <w:sz w:val="16"/>
          <w:szCs w:val="16"/>
          <w:lang w:val="ru-RU"/>
        </w:rPr>
        <w:t xml:space="preserve">Опытное авиамоторостроение в СССР в 20-40-е гг. </w:t>
      </w:r>
      <w:r w:rsidRPr="00142305">
        <w:rPr>
          <w:rStyle w:val="aff3"/>
          <w:rFonts w:ascii="Times New Roman" w:hAnsi="Times New Roman" w:cs="Times New Roman"/>
          <w:i w:val="0"/>
          <w:iCs w:val="0"/>
          <w:color w:val="0070C0"/>
          <w:sz w:val="16"/>
          <w:szCs w:val="16"/>
        </w:rPr>
        <w:t>XX</w:t>
      </w:r>
      <w:r w:rsidRPr="006A7D5C">
        <w:rPr>
          <w:rStyle w:val="aff3"/>
          <w:rFonts w:ascii="Times New Roman" w:hAnsi="Times New Roman" w:cs="Times New Roman"/>
          <w:i w:val="0"/>
          <w:iCs w:val="0"/>
          <w:color w:val="0070C0"/>
          <w:sz w:val="16"/>
          <w:szCs w:val="16"/>
          <w:lang w:val="ru-RU"/>
        </w:rPr>
        <w:t xml:space="preserve"> в. Вып. 23. М., 1974. С.114.</w:t>
      </w:r>
      <w:r w:rsidRPr="00142305">
        <w:rPr>
          <w:rStyle w:val="aff"/>
          <w:rFonts w:ascii="Times New Roman" w:hAnsi="Times New Roman" w:cs="Times New Roman"/>
          <w:color w:val="0070C0"/>
          <w:spacing w:val="0"/>
          <w:sz w:val="16"/>
          <w:szCs w:val="16"/>
        </w:rPr>
        <w:t>) (25647).</w:t>
      </w:r>
    </w:p>
    <w:p w14:paraId="61B62122" w14:textId="77777777" w:rsidR="006A7D5C" w:rsidRPr="00142305" w:rsidRDefault="006A7D5C" w:rsidP="006A7D5C">
      <w:pPr>
        <w:spacing w:after="0" w:line="240" w:lineRule="auto"/>
        <w:jc w:val="both"/>
        <w:rPr>
          <w:rFonts w:ascii="Times New Roman" w:hAnsi="Times New Roman"/>
          <w:color w:val="0070C0"/>
          <w:sz w:val="16"/>
          <w:szCs w:val="16"/>
        </w:rPr>
      </w:pPr>
    </w:p>
    <w:p w14:paraId="5008723E" w14:textId="77777777" w:rsidR="00B15BD2" w:rsidRPr="0044524F" w:rsidRDefault="00B15B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апреля 1933 г. коммунисты ГИРД отправляют письмо в ЦК ВКП(б) И.В. Сталину (до Сталина письмо не дошло, вопрос о создании какого-то ракетного института считался слишком мелким, кроме того, «блеск подков» Клима Ворошилова не позволял руководству партии видеть дальше обычной артиллерии) и копию в Реввоенсовет М.Н. Тухачевскому В письме описывается история ГИРД, начиная с «кружка» Цандера, перечисляются успехи в конструкции двигателей и запусках ракет, красочно описаны трудности в работе и нищета организации, и в заключение - просьба ускорить решение о создании реактивного института. Письмо подписали: член ВКП(б) с 1917 г. старший инженер первой бригады Корнеев, член ВКП(б) с 1929 г. инженер второй бригады Ефремов, член ВКЩб) с 1928 г. инженер третьей бригады Иванов, член ВКП(б) с 1925 г. инженер второй бригады Голышев, член ВКЩб) с 1925 г. инженер первой бригады Грязнев, член ВКП(б) с 1926 г. начальник производства Буланов, член ВКП(б) с 1920 г. начальник оргмассового отдела Параев (' Архив РАН. Фонд 4,. Оп. 14. Д.242.) (22685).</w:t>
      </w:r>
    </w:p>
    <w:p w14:paraId="6F138D29" w14:textId="77777777" w:rsidR="00B15BD2" w:rsidRPr="0044524F" w:rsidRDefault="00B15BD2" w:rsidP="009654CF">
      <w:pPr>
        <w:spacing w:after="0" w:line="240" w:lineRule="auto"/>
        <w:jc w:val="both"/>
        <w:rPr>
          <w:rFonts w:ascii="Times New Roman" w:hAnsi="Times New Roman"/>
          <w:color w:val="000000" w:themeColor="text1"/>
          <w:sz w:val="16"/>
          <w:szCs w:val="16"/>
        </w:rPr>
      </w:pPr>
    </w:p>
    <w:p w14:paraId="3500D29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20 апреля 1933 согласно письма П.И.Б. были закончены заводские испытания торпедного катера ЦАГИ 5Г и Комиссия приступила к официальным испытаниям (2305,28).</w:t>
      </w:r>
    </w:p>
    <w:p w14:paraId="7B9C9F55"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429978F7" w14:textId="77777777" w:rsidR="00B75DE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4C26397" w14:textId="77777777" w:rsidR="00B75DE6" w:rsidRPr="0044524F" w:rsidRDefault="00B75DE6" w:rsidP="009654CF">
      <w:pPr>
        <w:spacing w:after="0" w:line="240" w:lineRule="auto"/>
        <w:jc w:val="both"/>
        <w:rPr>
          <w:rFonts w:ascii="Times New Roman" w:hAnsi="Times New Roman"/>
          <w:iCs/>
          <w:color w:val="000000" w:themeColor="text1"/>
          <w:sz w:val="16"/>
          <w:szCs w:val="16"/>
        </w:rPr>
      </w:pPr>
    </w:p>
    <w:p w14:paraId="23E56558" w14:textId="77777777" w:rsidR="00063988" w:rsidRPr="0044524F" w:rsidRDefault="000639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апреля 1933 г. начальник ПТЭС ГУАП Зильберквит письмом №149/124 в аппарат СНК сообщил, что с учетом фактической сдачи за 1-й квартал программа по сдаче самолетов на 1933 г. скорректирована: за I квартал сдано 17 самолетов И-7 вместо 60 по плану, далее будет сдано по кварталам 65, 90 и 78 самолетов этого типа, итого 250 машин, как предусмотрено заданием (24331).</w:t>
      </w:r>
    </w:p>
    <w:p w14:paraId="326DABAC" w14:textId="77777777" w:rsidR="00063988" w:rsidRPr="0044524F" w:rsidRDefault="00063988" w:rsidP="009654CF">
      <w:pPr>
        <w:spacing w:after="0" w:line="240" w:lineRule="auto"/>
        <w:jc w:val="both"/>
        <w:rPr>
          <w:rFonts w:ascii="Times New Roman" w:hAnsi="Times New Roman"/>
          <w:color w:val="000000" w:themeColor="text1"/>
          <w:sz w:val="16"/>
          <w:szCs w:val="16"/>
        </w:rPr>
      </w:pPr>
    </w:p>
    <w:p w14:paraId="345FC2FF" w14:textId="77777777" w:rsidR="00063988" w:rsidRPr="0044524F" w:rsidRDefault="000639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апреля 1933 г. в УММ РККА был разработан Планом выполнения решений правительства по танковой программе, в соответствии с которым промышленность должна была изготовить опытный образец танка БТ с двигателем М-17 к 1 августу 1933 г., и опытный образец танка с дизелем – к 1 сентября 1933 г. Ответственным за изготовление опытных образцов танков БТ со стороны УММ РККА назначался В.Д. Свиридов (24856).</w:t>
      </w:r>
    </w:p>
    <w:p w14:paraId="58C87E7C" w14:textId="77777777" w:rsidR="00063988" w:rsidRPr="0044524F" w:rsidRDefault="00063988" w:rsidP="009654CF">
      <w:pPr>
        <w:spacing w:after="0" w:line="240" w:lineRule="auto"/>
        <w:jc w:val="both"/>
        <w:rPr>
          <w:rFonts w:ascii="Times New Roman" w:hAnsi="Times New Roman"/>
          <w:color w:val="000000" w:themeColor="text1"/>
          <w:sz w:val="16"/>
          <w:szCs w:val="16"/>
        </w:rPr>
      </w:pPr>
    </w:p>
    <w:p w14:paraId="2119F7C1" w14:textId="77777777" w:rsidR="00EB24B6" w:rsidRPr="0044524F" w:rsidRDefault="00EB24B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20 апреля 1933 г. Н. А. Доровлев представил руководству АУ РККА предложения по пересмотру организационной принадлежности группы «Д», и включению ее в состав II отдела АНИИ в качестве отдельного сектора (Приложение Е).215 Благодаря его активной позиции, 1 июня 1933 г. группа «Д», бывшая 4 отделом ГДЛ, была переведена в состав АНИИ.216 (20074).</w:t>
      </w:r>
    </w:p>
    <w:p w14:paraId="7C425F58" w14:textId="77777777" w:rsidR="00EB24B6" w:rsidRPr="0044524F" w:rsidRDefault="00EB24B6" w:rsidP="009654CF">
      <w:pPr>
        <w:spacing w:after="0" w:line="240" w:lineRule="auto"/>
        <w:jc w:val="both"/>
        <w:rPr>
          <w:rFonts w:ascii="Times New Roman" w:hAnsi="Times New Roman"/>
          <w:color w:val="000000" w:themeColor="text1"/>
          <w:sz w:val="16"/>
          <w:szCs w:val="16"/>
        </w:rPr>
      </w:pPr>
    </w:p>
    <w:p w14:paraId="007352C1" w14:textId="77777777" w:rsidR="00B75DE6" w:rsidRPr="0044524F" w:rsidRDefault="00B75DE6" w:rsidP="009654CF">
      <w:pPr>
        <w:pStyle w:val="rtejustify"/>
        <w:spacing w:before="0" w:after="0"/>
        <w:rPr>
          <w:color w:val="000000" w:themeColor="text1"/>
          <w:sz w:val="16"/>
          <w:szCs w:val="16"/>
        </w:rPr>
      </w:pPr>
      <w:r w:rsidRPr="0044524F">
        <w:rPr>
          <w:rStyle w:val="af0"/>
          <w:bCs/>
          <w:i w:val="0"/>
          <w:color w:val="000000" w:themeColor="text1"/>
          <w:sz w:val="16"/>
          <w:szCs w:val="16"/>
        </w:rPr>
        <w:t>20/21 апреля 1933 вышел приказ НКТП № 44с.</w:t>
      </w:r>
      <w:r w:rsidRPr="0044524F">
        <w:rPr>
          <w:color w:val="000000" w:themeColor="text1"/>
          <w:sz w:val="16"/>
          <w:szCs w:val="16"/>
        </w:rPr>
        <w:t xml:space="preserve"> О порядке предоставления отчетности предприятиями НКТП по форме Э</w:t>
      </w:r>
      <w:r w:rsidRPr="0044524F">
        <w:rPr>
          <w:color w:val="000000" w:themeColor="text1"/>
          <w:sz w:val="16"/>
          <w:szCs w:val="16"/>
        </w:rPr>
        <w:noBreakHyphen/>
        <w:t>5. (РГАЭ. Ф. 7297. Оп. 38. Д. 37. Л. 45) (15246).</w:t>
      </w:r>
    </w:p>
    <w:p w14:paraId="633A60BF" w14:textId="77777777" w:rsidR="00B75DE6" w:rsidRPr="0044524F" w:rsidRDefault="00B75DE6" w:rsidP="009654CF">
      <w:pPr>
        <w:pStyle w:val="rtejustify"/>
        <w:spacing w:before="0" w:after="0"/>
        <w:rPr>
          <w:color w:val="000000" w:themeColor="text1"/>
          <w:sz w:val="16"/>
          <w:szCs w:val="16"/>
        </w:rPr>
      </w:pPr>
    </w:p>
    <w:p w14:paraId="519E66CA"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4DA2BCC"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00CF17D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апреля 1933 начался выпуск серии ЖЗЛ с книги А.Дейча о Гейне (3481).</w:t>
      </w:r>
    </w:p>
    <w:p w14:paraId="23D247B5" w14:textId="41F67775" w:rsidR="008E7A66" w:rsidRPr="0044524F" w:rsidRDefault="008E7A66" w:rsidP="009654CF">
      <w:pPr>
        <w:spacing w:after="0" w:line="240" w:lineRule="auto"/>
        <w:jc w:val="both"/>
        <w:rPr>
          <w:rFonts w:ascii="Times New Roman" w:hAnsi="Times New Roman"/>
          <w:color w:val="000000" w:themeColor="text1"/>
          <w:sz w:val="16"/>
          <w:szCs w:val="16"/>
        </w:rPr>
      </w:pPr>
    </w:p>
    <w:p w14:paraId="2751A67C" w14:textId="7A3BA3BF" w:rsidR="00EB24B6" w:rsidRPr="0044524F" w:rsidRDefault="00EB24B6"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204985A1" w14:textId="77777777" w:rsidR="00EB24B6" w:rsidRPr="0044524F" w:rsidRDefault="00EB24B6" w:rsidP="009654CF">
      <w:pPr>
        <w:spacing w:after="0" w:line="240" w:lineRule="auto"/>
        <w:jc w:val="both"/>
        <w:rPr>
          <w:rFonts w:ascii="Times New Roman" w:hAnsi="Times New Roman"/>
          <w:i/>
          <w:iCs/>
          <w:color w:val="000000" w:themeColor="text1"/>
          <w:sz w:val="16"/>
          <w:szCs w:val="16"/>
        </w:rPr>
      </w:pPr>
    </w:p>
    <w:p w14:paraId="6A234D5C" w14:textId="06FD9AE3" w:rsidR="00EB24B6" w:rsidRPr="0044524F" w:rsidRDefault="00EB24B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апреля 1933 прототип парового биплана Джорджа Д. Беслера и Уильяма Дж. Беслера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основанный на Travel Air 2000, совершает первый из нескольких демонстрационных полетов в аэропорту Окленда в районе залива Сан-Франциско (20802).</w:t>
      </w:r>
    </w:p>
    <w:p w14:paraId="675BA5DA" w14:textId="77777777" w:rsidR="00EB24B6" w:rsidRPr="0044524F" w:rsidRDefault="00EB24B6" w:rsidP="009654CF">
      <w:pPr>
        <w:spacing w:after="0" w:line="240" w:lineRule="auto"/>
        <w:jc w:val="both"/>
        <w:rPr>
          <w:rFonts w:ascii="Times New Roman" w:hAnsi="Times New Roman"/>
          <w:color w:val="000000" w:themeColor="text1"/>
          <w:sz w:val="16"/>
          <w:szCs w:val="16"/>
        </w:rPr>
      </w:pPr>
    </w:p>
    <w:p w14:paraId="5515B1DC"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C5538B9"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77BE409D" w14:textId="77777777" w:rsidR="004946F7" w:rsidRPr="0044524F" w:rsidRDefault="004946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г. на совещание у зам. Нач. ВВС по вопросу по эталонов на серийные самолеты отмечено отсутствие эталона для самолета И-7 и потребовали представить такой эталон к 15 мая 1933 г., хотя в этом качестве был определен головной серийный самолет выпуска 1931 г. Однако ГАУП принял замечание к сведению и в качестве эталона на 1933 г. определил И-7 сер. №4449, на котором вносились доработки (24331).</w:t>
      </w:r>
    </w:p>
    <w:p w14:paraId="58C1AE6F" w14:textId="77777777" w:rsidR="004946F7" w:rsidRPr="0044524F" w:rsidRDefault="004946F7" w:rsidP="009654CF">
      <w:pPr>
        <w:spacing w:after="0" w:line="240" w:lineRule="auto"/>
        <w:jc w:val="both"/>
        <w:rPr>
          <w:rFonts w:ascii="Times New Roman" w:hAnsi="Times New Roman"/>
          <w:color w:val="000000" w:themeColor="text1"/>
          <w:sz w:val="16"/>
          <w:szCs w:val="16"/>
        </w:rPr>
      </w:pPr>
    </w:p>
    <w:p w14:paraId="2C6DF3AA"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закончились испытания самолета ТБ3 4М17 с тормозными колесами по устранении дефектов согласно заключения по испытаниям 7 марта 1933 года, которые проходили с 19 апреля (6638).</w:t>
      </w:r>
    </w:p>
    <w:p w14:paraId="11298E29"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023F86BA"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самолета ТБ3 4М17 с тормозными колесами по устранении дефектов гидравлического управления тормозами и установки тормозных колес согласно заключения по испытаниям от 7 марта 1933 года.</w:t>
      </w:r>
    </w:p>
    <w:p w14:paraId="5A203A27"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163C6EF"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Гидравлическое управление тормозами колес самолета ТБ3 4М17 размерами 1350х300 мм утверждается (6638).</w:t>
      </w:r>
    </w:p>
    <w:p w14:paraId="0BD3845C" w14:textId="77777777" w:rsidR="008E7A66" w:rsidRPr="0044524F" w:rsidRDefault="008E7A66" w:rsidP="009654CF">
      <w:pPr>
        <w:tabs>
          <w:tab w:val="left" w:pos="11199"/>
        </w:tabs>
        <w:spacing w:after="0" w:line="240" w:lineRule="auto"/>
        <w:jc w:val="both"/>
        <w:rPr>
          <w:rFonts w:ascii="Times New Roman" w:hAnsi="Times New Roman"/>
          <w:color w:val="000000" w:themeColor="text1"/>
          <w:sz w:val="16"/>
          <w:szCs w:val="16"/>
        </w:rPr>
      </w:pPr>
    </w:p>
    <w:p w14:paraId="4C89867A"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г. за</w:t>
      </w:r>
      <w:r w:rsidRPr="0044524F">
        <w:rPr>
          <w:rFonts w:ascii="Times New Roman" w:hAnsi="Times New Roman"/>
          <w:color w:val="000000" w:themeColor="text1"/>
          <w:sz w:val="16"/>
          <w:szCs w:val="16"/>
        </w:rPr>
        <w:softHyphen/>
        <w:t>вершились заводские испыта</w:t>
      </w:r>
      <w:r w:rsidRPr="0044524F">
        <w:rPr>
          <w:rFonts w:ascii="Times New Roman" w:hAnsi="Times New Roman"/>
          <w:color w:val="000000" w:themeColor="text1"/>
          <w:sz w:val="16"/>
          <w:szCs w:val="16"/>
        </w:rPr>
        <w:softHyphen/>
        <w:t>ния мотора ГМ-34, 20 мая его выста</w:t>
      </w:r>
      <w:r w:rsidRPr="0044524F">
        <w:rPr>
          <w:rFonts w:ascii="Times New Roman" w:hAnsi="Times New Roman"/>
          <w:color w:val="000000" w:themeColor="text1"/>
          <w:sz w:val="16"/>
          <w:szCs w:val="16"/>
        </w:rPr>
        <w:softHyphen/>
        <w:t>вили на государственные. На 48-м часу полетела водяная помпа, позже лопнул вал ре</w:t>
      </w:r>
      <w:r w:rsidRPr="0044524F">
        <w:rPr>
          <w:rFonts w:ascii="Times New Roman" w:hAnsi="Times New Roman"/>
          <w:color w:val="000000" w:themeColor="text1"/>
          <w:sz w:val="16"/>
          <w:szCs w:val="16"/>
        </w:rPr>
        <w:softHyphen/>
        <w:t>верса. В ноябре 1933 г. на за</w:t>
      </w:r>
      <w:r w:rsidRPr="0044524F">
        <w:rPr>
          <w:rFonts w:ascii="Times New Roman" w:hAnsi="Times New Roman"/>
          <w:color w:val="000000" w:themeColor="text1"/>
          <w:sz w:val="16"/>
          <w:szCs w:val="16"/>
        </w:rPr>
        <w:softHyphen/>
        <w:t>воде им. Марти в Ленинграде пару опытных двигателей уста</w:t>
      </w:r>
      <w:r w:rsidRPr="0044524F">
        <w:rPr>
          <w:rFonts w:ascii="Times New Roman" w:hAnsi="Times New Roman"/>
          <w:color w:val="000000" w:themeColor="text1"/>
          <w:sz w:val="16"/>
          <w:szCs w:val="16"/>
        </w:rPr>
        <w:softHyphen/>
        <w:t>новили на головной торпедный катер типа Г-5. Один ГМ-34 был левого исполнения, другой -правого. 5 декабря катер при</w:t>
      </w:r>
      <w:r w:rsidRPr="0044524F">
        <w:rPr>
          <w:rFonts w:ascii="Times New Roman" w:hAnsi="Times New Roman"/>
          <w:color w:val="000000" w:themeColor="text1"/>
          <w:sz w:val="16"/>
          <w:szCs w:val="16"/>
        </w:rPr>
        <w:softHyphen/>
        <w:t>был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44524F">
        <w:rPr>
          <w:rFonts w:ascii="Times New Roman" w:hAnsi="Times New Roman"/>
          <w:color w:val="000000" w:themeColor="text1"/>
          <w:sz w:val="16"/>
          <w:szCs w:val="16"/>
        </w:rPr>
        <w:softHyphen/>
        <w:t>рийно, к 1 июля изготовили 21 ка</w:t>
      </w:r>
      <w:r w:rsidRPr="0044524F">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44524F">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44524F">
        <w:rPr>
          <w:rFonts w:ascii="Times New Roman" w:hAnsi="Times New Roman"/>
          <w:color w:val="000000" w:themeColor="text1"/>
          <w:sz w:val="16"/>
          <w:szCs w:val="16"/>
        </w:rPr>
        <w:softHyphen/>
        <w:t>вался параллельно с авиационным. Так, ГМ-34Ф имел коренные вклады</w:t>
      </w:r>
      <w:r w:rsidRPr="0044524F">
        <w:rPr>
          <w:rFonts w:ascii="Times New Roman" w:hAnsi="Times New Roman"/>
          <w:color w:val="000000" w:themeColor="text1"/>
          <w:sz w:val="16"/>
          <w:szCs w:val="16"/>
        </w:rPr>
        <w:softHyphen/>
        <w:t>ши из бронзы, коленчатый вал, го</w:t>
      </w:r>
      <w:r w:rsidRPr="0044524F">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44524F">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44524F">
        <w:rPr>
          <w:rFonts w:ascii="Times New Roman" w:hAnsi="Times New Roman"/>
          <w:color w:val="000000" w:themeColor="text1"/>
          <w:sz w:val="16"/>
          <w:szCs w:val="16"/>
        </w:rPr>
        <w:softHyphen/>
        <w:t>тельно, чтобы эта смесь использова</w:t>
      </w:r>
      <w:r w:rsidRPr="0044524F">
        <w:rPr>
          <w:rFonts w:ascii="Times New Roman" w:hAnsi="Times New Roman"/>
          <w:color w:val="000000" w:themeColor="text1"/>
          <w:sz w:val="16"/>
          <w:szCs w:val="16"/>
        </w:rPr>
        <w:softHyphen/>
        <w:t>лась для серий-ных двигателей на флотах. Первые два ГМ-34Ф выпус</w:t>
      </w:r>
      <w:r w:rsidRPr="0044524F">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44524F">
        <w:rPr>
          <w:rFonts w:ascii="Times New Roman" w:hAnsi="Times New Roman"/>
          <w:color w:val="000000" w:themeColor="text1"/>
          <w:sz w:val="16"/>
          <w:szCs w:val="16"/>
        </w:rPr>
        <w:softHyphen/>
        <w:t>вершенствованной маслосистемой. Степень сжатия у него опять понизи</w:t>
      </w:r>
      <w:r w:rsidRPr="0044524F">
        <w:rPr>
          <w:rFonts w:ascii="Times New Roman" w:hAnsi="Times New Roman"/>
          <w:color w:val="000000" w:themeColor="text1"/>
          <w:sz w:val="16"/>
          <w:szCs w:val="16"/>
        </w:rPr>
        <w:softHyphen/>
        <w:t>ли до 6,0, чтобы использовать низ</w:t>
      </w:r>
      <w:r w:rsidRPr="0044524F">
        <w:rPr>
          <w:rFonts w:ascii="Times New Roman" w:hAnsi="Times New Roman"/>
          <w:color w:val="000000" w:themeColor="text1"/>
          <w:sz w:val="16"/>
          <w:szCs w:val="16"/>
        </w:rPr>
        <w:softHyphen/>
        <w:t>кокачественное топливо, но мощ</w:t>
      </w:r>
      <w:r w:rsidRPr="0044524F">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44524F">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44524F">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44524F">
        <w:rPr>
          <w:rFonts w:ascii="Times New Roman" w:hAnsi="Times New Roman"/>
          <w:color w:val="000000" w:themeColor="text1"/>
          <w:sz w:val="16"/>
          <w:szCs w:val="16"/>
        </w:rPr>
        <w:softHyphen/>
        <w:t>тью 850 л.с. для танков с изменен</w:t>
      </w:r>
      <w:r w:rsidRPr="0044524F">
        <w:rPr>
          <w:rFonts w:ascii="Times New Roman" w:hAnsi="Times New Roman"/>
          <w:color w:val="000000" w:themeColor="text1"/>
          <w:sz w:val="16"/>
          <w:szCs w:val="16"/>
        </w:rPr>
        <w:softHyphen/>
        <w:t>ной системой охлаждения, вентиля</w:t>
      </w:r>
      <w:r w:rsidRPr="0044524F">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44524F">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44524F">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44524F">
        <w:rPr>
          <w:rFonts w:ascii="Times New Roman" w:hAnsi="Times New Roman"/>
          <w:color w:val="000000" w:themeColor="text1"/>
          <w:sz w:val="16"/>
          <w:szCs w:val="16"/>
        </w:rPr>
        <w:softHyphen/>
        <w:t>моходном орудии СУ-100у («Игрек», 1940 г.), применяв</w:t>
      </w:r>
      <w:r w:rsidRPr="0044524F">
        <w:rPr>
          <w:rFonts w:ascii="Times New Roman" w:hAnsi="Times New Roman"/>
          <w:color w:val="000000" w:themeColor="text1"/>
          <w:sz w:val="16"/>
          <w:szCs w:val="16"/>
        </w:rPr>
        <w:softHyphen/>
        <w:t>шемся в боях под Москвой зимой 1941 г. (11848).</w:t>
      </w:r>
    </w:p>
    <w:p w14:paraId="52F8D3FB"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p>
    <w:p w14:paraId="2EE91FF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на И-14 установили шасси (правда, без подъемного механизма - его не успели довести в срок); 28 марта 1933 г. состоялась установка мотора на самолет И-14; 10 марта 1933 был полностью собран фюзеляж И-14; 16 апреля 1933 г. сдали центроплан И-14; консоли крыла сдали 25 апреля 1933 г. (12037).</w:t>
      </w:r>
    </w:p>
    <w:p w14:paraId="407C5A7D"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7DA84EB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состоялось совещание у Зам. Нач. ВВС по вопросу по эталонов на самолеты.</w:t>
      </w:r>
    </w:p>
    <w:p w14:paraId="3CE1A6F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Определили наличие эталонов и установили предварительные сроки готовности:</w:t>
      </w:r>
    </w:p>
    <w:p w14:paraId="37D01B5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4E10C1" w:rsidRPr="0044524F" w14:paraId="4283AE4E" w14:textId="77777777">
        <w:tc>
          <w:tcPr>
            <w:tcW w:w="2254" w:type="dxa"/>
          </w:tcPr>
          <w:p w14:paraId="45B5B3D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ТБ3-М34</w:t>
            </w:r>
          </w:p>
        </w:tc>
        <w:tc>
          <w:tcPr>
            <w:tcW w:w="2254" w:type="dxa"/>
          </w:tcPr>
          <w:p w14:paraId="66C22EA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30.05.33 г.</w:t>
            </w:r>
          </w:p>
        </w:tc>
      </w:tr>
      <w:tr w:rsidR="004E10C1" w:rsidRPr="0044524F" w14:paraId="70B0D7C3" w14:textId="77777777">
        <w:tc>
          <w:tcPr>
            <w:tcW w:w="2254" w:type="dxa"/>
          </w:tcPr>
          <w:p w14:paraId="50C2BBA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Образцовый с-т ТБ4-М34</w:t>
            </w:r>
          </w:p>
        </w:tc>
        <w:tc>
          <w:tcPr>
            <w:tcW w:w="2254" w:type="dxa"/>
          </w:tcPr>
          <w:p w14:paraId="59A6D7C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1.07 по 1.08.33 г.</w:t>
            </w:r>
          </w:p>
        </w:tc>
      </w:tr>
      <w:tr w:rsidR="004E10C1" w:rsidRPr="0044524F" w14:paraId="3A673C47" w14:textId="77777777">
        <w:tc>
          <w:tcPr>
            <w:tcW w:w="2254" w:type="dxa"/>
          </w:tcPr>
          <w:p w14:paraId="4B52585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Образцовый с-т МИ3-М34</w:t>
            </w:r>
          </w:p>
        </w:tc>
        <w:tc>
          <w:tcPr>
            <w:tcW w:w="2254" w:type="dxa"/>
          </w:tcPr>
          <w:p w14:paraId="3112D44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1.07.33 г.</w:t>
            </w:r>
          </w:p>
        </w:tc>
      </w:tr>
      <w:tr w:rsidR="004E10C1" w:rsidRPr="0044524F" w14:paraId="178ABCDC" w14:textId="77777777">
        <w:tc>
          <w:tcPr>
            <w:tcW w:w="2254" w:type="dxa"/>
          </w:tcPr>
          <w:p w14:paraId="2580536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tc>
        <w:tc>
          <w:tcPr>
            <w:tcW w:w="2254" w:type="dxa"/>
          </w:tcPr>
          <w:p w14:paraId="470B4CB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1.06.33 г.</w:t>
            </w:r>
          </w:p>
        </w:tc>
      </w:tr>
      <w:tr w:rsidR="004E10C1" w:rsidRPr="0044524F" w14:paraId="3D3D11D2" w14:textId="77777777">
        <w:tc>
          <w:tcPr>
            <w:tcW w:w="2254" w:type="dxa"/>
          </w:tcPr>
          <w:p w14:paraId="407BF62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М-17</w:t>
            </w:r>
          </w:p>
        </w:tc>
        <w:tc>
          <w:tcPr>
            <w:tcW w:w="2254" w:type="dxa"/>
          </w:tcPr>
          <w:p w14:paraId="6E9DF7E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1.06.33 г.</w:t>
            </w:r>
          </w:p>
        </w:tc>
      </w:tr>
      <w:tr w:rsidR="004E10C1" w:rsidRPr="0044524F" w14:paraId="5858752C" w14:textId="77777777">
        <w:tc>
          <w:tcPr>
            <w:tcW w:w="2254" w:type="dxa"/>
          </w:tcPr>
          <w:p w14:paraId="6AE16D2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 М-11</w:t>
            </w:r>
          </w:p>
        </w:tc>
        <w:tc>
          <w:tcPr>
            <w:tcW w:w="2254" w:type="dxa"/>
          </w:tcPr>
          <w:p w14:paraId="652505B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1.05.33 г.</w:t>
            </w:r>
          </w:p>
        </w:tc>
      </w:tr>
      <w:tr w:rsidR="004E10C1" w:rsidRPr="0044524F" w14:paraId="59A2C96A" w14:textId="77777777">
        <w:tc>
          <w:tcPr>
            <w:tcW w:w="2254" w:type="dxa"/>
          </w:tcPr>
          <w:p w14:paraId="54940E5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 М-17</w:t>
            </w:r>
          </w:p>
        </w:tc>
        <w:tc>
          <w:tcPr>
            <w:tcW w:w="2254" w:type="dxa"/>
          </w:tcPr>
          <w:p w14:paraId="4EF64AD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15.05.33 г.</w:t>
            </w:r>
          </w:p>
        </w:tc>
      </w:tr>
      <w:tr w:rsidR="004E10C1" w:rsidRPr="0044524F" w14:paraId="39AAA102" w14:textId="77777777">
        <w:tc>
          <w:tcPr>
            <w:tcW w:w="2254" w:type="dxa"/>
          </w:tcPr>
          <w:p w14:paraId="5515CC2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М-17</w:t>
            </w:r>
          </w:p>
        </w:tc>
        <w:tc>
          <w:tcPr>
            <w:tcW w:w="2254" w:type="dxa"/>
          </w:tcPr>
          <w:p w14:paraId="4045326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10.05.33 г.</w:t>
            </w:r>
          </w:p>
        </w:tc>
      </w:tr>
      <w:tr w:rsidR="004E10C1" w:rsidRPr="0044524F" w14:paraId="5980F2ED" w14:textId="77777777">
        <w:tc>
          <w:tcPr>
            <w:tcW w:w="2254" w:type="dxa"/>
          </w:tcPr>
          <w:p w14:paraId="61EFA78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М-22</w:t>
            </w:r>
          </w:p>
        </w:tc>
        <w:tc>
          <w:tcPr>
            <w:tcW w:w="2254" w:type="dxa"/>
          </w:tcPr>
          <w:p w14:paraId="41FB1C7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15.05.33 г.</w:t>
            </w:r>
          </w:p>
        </w:tc>
      </w:tr>
      <w:tr w:rsidR="004E10C1" w:rsidRPr="0044524F" w14:paraId="7F0EB848" w14:textId="77777777">
        <w:tc>
          <w:tcPr>
            <w:tcW w:w="2254" w:type="dxa"/>
          </w:tcPr>
          <w:p w14:paraId="42F4502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Р5-а М-17</w:t>
            </w:r>
          </w:p>
        </w:tc>
        <w:tc>
          <w:tcPr>
            <w:tcW w:w="2254" w:type="dxa"/>
          </w:tcPr>
          <w:p w14:paraId="31B4C5A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1.08.33 г.</w:t>
            </w:r>
          </w:p>
        </w:tc>
      </w:tr>
      <w:tr w:rsidR="004E10C1" w:rsidRPr="0044524F" w14:paraId="2F6D4DB8" w14:textId="77777777">
        <w:tc>
          <w:tcPr>
            <w:tcW w:w="2254" w:type="dxa"/>
          </w:tcPr>
          <w:p w14:paraId="72C0999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 штурмовик</w:t>
            </w:r>
          </w:p>
        </w:tc>
        <w:tc>
          <w:tcPr>
            <w:tcW w:w="2254" w:type="dxa"/>
          </w:tcPr>
          <w:p w14:paraId="61D1245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Эталоном на 1933 г.</w:t>
            </w:r>
          </w:p>
        </w:tc>
      </w:tr>
      <w:tr w:rsidR="004E10C1" w:rsidRPr="0044524F" w14:paraId="41473F10" w14:textId="77777777">
        <w:tc>
          <w:tcPr>
            <w:tcW w:w="2254" w:type="dxa"/>
          </w:tcPr>
          <w:p w14:paraId="0F4B5354"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57C87BE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оставить самолет,</w:t>
            </w:r>
          </w:p>
        </w:tc>
      </w:tr>
      <w:tr w:rsidR="004E10C1" w:rsidRPr="0044524F" w14:paraId="26E993F1" w14:textId="77777777">
        <w:tc>
          <w:tcPr>
            <w:tcW w:w="2254" w:type="dxa"/>
          </w:tcPr>
          <w:p w14:paraId="654B2E57"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103D9E2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предъявленный з-дом</w:t>
            </w:r>
          </w:p>
        </w:tc>
      </w:tr>
      <w:tr w:rsidR="004E10C1" w:rsidRPr="0044524F" w14:paraId="64307303" w14:textId="77777777">
        <w:tc>
          <w:tcPr>
            <w:tcW w:w="2254" w:type="dxa"/>
          </w:tcPr>
          <w:p w14:paraId="69DD407E"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6800079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 1 в НИИ на испытан.</w:t>
            </w:r>
          </w:p>
        </w:tc>
      </w:tr>
      <w:tr w:rsidR="004E10C1" w:rsidRPr="0044524F" w14:paraId="25337FEA" w14:textId="77777777">
        <w:tc>
          <w:tcPr>
            <w:tcW w:w="2254" w:type="dxa"/>
          </w:tcPr>
          <w:p w14:paraId="31B932A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ЗЕТ М-22</w:t>
            </w:r>
          </w:p>
        </w:tc>
        <w:tc>
          <w:tcPr>
            <w:tcW w:w="2254" w:type="dxa"/>
          </w:tcPr>
          <w:p w14:paraId="28D8EE1C"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30.05.33 г.</w:t>
            </w:r>
          </w:p>
        </w:tc>
      </w:tr>
      <w:tr w:rsidR="004E10C1" w:rsidRPr="0044524F" w14:paraId="3DE157FB" w14:textId="77777777">
        <w:tc>
          <w:tcPr>
            <w:tcW w:w="2254" w:type="dxa"/>
          </w:tcPr>
          <w:p w14:paraId="43BF0262"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11CB434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предъявляется образц.</w:t>
            </w:r>
          </w:p>
        </w:tc>
      </w:tr>
      <w:tr w:rsidR="004E10C1" w:rsidRPr="0044524F" w14:paraId="20C72637" w14:textId="77777777">
        <w:tc>
          <w:tcPr>
            <w:tcW w:w="2254" w:type="dxa"/>
          </w:tcPr>
          <w:p w14:paraId="08F919D2"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57603467"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на испытание в</w:t>
            </w:r>
          </w:p>
        </w:tc>
      </w:tr>
      <w:tr w:rsidR="004E10C1" w:rsidRPr="0044524F" w14:paraId="44CD3AD4" w14:textId="77777777">
        <w:tc>
          <w:tcPr>
            <w:tcW w:w="2254" w:type="dxa"/>
          </w:tcPr>
          <w:p w14:paraId="1311DACF"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2F03EDF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w:t>
            </w:r>
          </w:p>
        </w:tc>
      </w:tr>
      <w:tr w:rsidR="004E10C1" w:rsidRPr="0044524F" w14:paraId="1DB7852D" w14:textId="77777777">
        <w:tc>
          <w:tcPr>
            <w:tcW w:w="2254" w:type="dxa"/>
          </w:tcPr>
          <w:p w14:paraId="1056BAE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 М-11</w:t>
            </w:r>
          </w:p>
        </w:tc>
        <w:tc>
          <w:tcPr>
            <w:tcW w:w="2254" w:type="dxa"/>
          </w:tcPr>
          <w:p w14:paraId="6A4CC1E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 предъявлен в</w:t>
            </w:r>
          </w:p>
        </w:tc>
      </w:tr>
      <w:tr w:rsidR="004E10C1" w:rsidRPr="0044524F" w14:paraId="5CDF8936" w14:textId="77777777">
        <w:tc>
          <w:tcPr>
            <w:tcW w:w="2254" w:type="dxa"/>
          </w:tcPr>
          <w:p w14:paraId="247CC30D"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615389EF"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и испытан.</w:t>
            </w:r>
          </w:p>
        </w:tc>
      </w:tr>
      <w:tr w:rsidR="004E10C1" w:rsidRPr="0044524F" w14:paraId="1B8C0F11" w14:textId="77777777">
        <w:tc>
          <w:tcPr>
            <w:tcW w:w="2254" w:type="dxa"/>
          </w:tcPr>
          <w:p w14:paraId="069FD255"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М-34</w:t>
            </w:r>
          </w:p>
        </w:tc>
        <w:tc>
          <w:tcPr>
            <w:tcW w:w="2254" w:type="dxa"/>
          </w:tcPr>
          <w:p w14:paraId="3C54C81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виду отказа </w:t>
            </w:r>
          </w:p>
        </w:tc>
      </w:tr>
      <w:tr w:rsidR="004E10C1" w:rsidRPr="0044524F" w14:paraId="36550485" w14:textId="77777777">
        <w:tc>
          <w:tcPr>
            <w:tcW w:w="2254" w:type="dxa"/>
          </w:tcPr>
          <w:p w14:paraId="672ABF50"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6DFA4C7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промышленности от</w:t>
            </w:r>
          </w:p>
        </w:tc>
      </w:tr>
      <w:tr w:rsidR="004E10C1" w:rsidRPr="0044524F" w14:paraId="37A6FCBB" w14:textId="77777777">
        <w:tc>
          <w:tcPr>
            <w:tcW w:w="2254" w:type="dxa"/>
          </w:tcPr>
          <w:p w14:paraId="769B2347"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38A5472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представления эталона</w:t>
            </w:r>
          </w:p>
        </w:tc>
      </w:tr>
      <w:tr w:rsidR="004E10C1" w:rsidRPr="0044524F" w14:paraId="5869E180" w14:textId="77777777">
        <w:tc>
          <w:tcPr>
            <w:tcW w:w="2254" w:type="dxa"/>
          </w:tcPr>
          <w:p w14:paraId="1C3A64CF"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073A08A2"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этого самолета и</w:t>
            </w:r>
          </w:p>
        </w:tc>
      </w:tr>
      <w:tr w:rsidR="004E10C1" w:rsidRPr="0044524F" w14:paraId="2004D52A" w14:textId="77777777">
        <w:tc>
          <w:tcPr>
            <w:tcW w:w="2254" w:type="dxa"/>
          </w:tcPr>
          <w:p w14:paraId="70FCE39B"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30B4B808"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постройки его в 1933 г.</w:t>
            </w:r>
          </w:p>
        </w:tc>
      </w:tr>
      <w:tr w:rsidR="004E10C1" w:rsidRPr="0044524F" w14:paraId="1866C13C" w14:textId="77777777">
        <w:tc>
          <w:tcPr>
            <w:tcW w:w="2254" w:type="dxa"/>
          </w:tcPr>
          <w:p w14:paraId="74725FF5"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62D8209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поставить в</w:t>
            </w:r>
          </w:p>
        </w:tc>
      </w:tr>
      <w:tr w:rsidR="004E10C1" w:rsidRPr="0044524F" w14:paraId="53D3BEF9" w14:textId="77777777">
        <w:tc>
          <w:tcPr>
            <w:tcW w:w="2254" w:type="dxa"/>
          </w:tcPr>
          <w:p w14:paraId="390FCAC0" w14:textId="77777777" w:rsidR="008E7A66" w:rsidRPr="0044524F" w:rsidRDefault="008E7A66" w:rsidP="009654CF">
            <w:pPr>
              <w:spacing w:after="0" w:line="240" w:lineRule="auto"/>
              <w:jc w:val="both"/>
              <w:rPr>
                <w:rFonts w:ascii="Times New Roman" w:hAnsi="Times New Roman"/>
                <w:color w:val="000000" w:themeColor="text1"/>
                <w:sz w:val="16"/>
                <w:szCs w:val="16"/>
              </w:rPr>
            </w:pPr>
          </w:p>
        </w:tc>
        <w:tc>
          <w:tcPr>
            <w:tcW w:w="2254" w:type="dxa"/>
          </w:tcPr>
          <w:p w14:paraId="2DE20B2E"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правительстве (3058).</w:t>
            </w:r>
          </w:p>
        </w:tc>
      </w:tr>
    </w:tbl>
    <w:p w14:paraId="7D52396F"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5672558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состоялось совещание у нач. ГУАП П.И.Б. (протокол 47):</w:t>
      </w:r>
    </w:p>
    <w:p w14:paraId="7B470B3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 "О претензиях завода 22 к ЦАГИ по машинам ТБ-3 М-34, ТБ-4 и МИ-3 (2291,251).</w:t>
      </w:r>
    </w:p>
    <w:p w14:paraId="6F85C5D2"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7A02F3E9"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дата присвоения опознавательного знака с литерой "Н" - СССР-Н5 - ПС-4 (Junkers W-33), зав. № 2567, мотор - Junkers L-5.Первоначальный владелец воздушного судна - УВС ГУСМП. Исключен из списков самолетного парка УПА приказом ГУСМП № 1759 от 29.12.39 г. (11955).</w:t>
      </w:r>
    </w:p>
    <w:p w14:paraId="5E541DC4"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5C06C63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Н.М.Харламов обратился к зам. наркома П.И.Баранову с письмом N Г-10/246/14 (1026,160) с просьбой об ассигнованиях для начала проектирования и строительства больших труб ЦАГИ (80,40). Хотел денег (1026,160).</w:t>
      </w:r>
    </w:p>
    <w:p w14:paraId="0AEFEA6E"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31013064"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года Нач. ЦАГИ Н.М.Харламов писал письмо № Г-10/246/14 Зам. Наркомтяжпрома и Нач. ГУАПа тов. БАРАНОВУ П.И.</w:t>
      </w:r>
    </w:p>
    <w:p w14:paraId="15AA292C"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начала строительства больших аэродинамических труб описанных в прилагаемой до</w:t>
      </w:r>
      <w:r w:rsidRPr="0044524F">
        <w:rPr>
          <w:rFonts w:ascii="Times New Roman" w:hAnsi="Times New Roman"/>
          <w:color w:val="000000" w:themeColor="text1"/>
          <w:sz w:val="16"/>
          <w:szCs w:val="16"/>
        </w:rPr>
        <w:softHyphen/>
        <w:t>кладной записке, в 1934 г. необходимо немедленное развертывание проектирования, для каковой цели прошу отпустить ЦАГИ в 1933 г. 225.000 руб. и 6.000 руб. в золотой валюте и увеличить число штатных единиц ЭАО ва 25 человек.</w:t>
      </w:r>
    </w:p>
    <w:p w14:paraId="3BFA4358"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прошу утвердить командировку на 3 месяца двух инженеров ЦАГИ /заграницу Германия, Англия и Америка/, для ознакомления и изучения боль-ших аэродинамических труб.</w:t>
      </w:r>
    </w:p>
    <w:p w14:paraId="0AF64FF4"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1» Предварительная смета на 225.000 руб.</w:t>
      </w:r>
    </w:p>
    <w:p w14:paraId="2665F3F9"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Докладная записка.</w:t>
      </w:r>
    </w:p>
    <w:p w14:paraId="304D5101"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ЦГАОР. ф. 147с, оп. 15, д. 153, л. 10 (1026,156).</w:t>
      </w:r>
    </w:p>
    <w:p w14:paraId="21295A06"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апреля 1933 НАЧАЛЬНИК ЭАО Ц А Г И САБИНИН подготовил записку:</w:t>
      </w:r>
    </w:p>
    <w:p w14:paraId="4A6F56AB"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ВОПРОСУ О НЕОБХОДИМОСТИ ПОСТРОЙКИ БОЛЬШИХ </w:t>
      </w:r>
      <w:r w:rsidRPr="0044524F">
        <w:rPr>
          <w:rFonts w:ascii="Times New Roman" w:hAnsi="Times New Roman"/>
          <w:smallCaps/>
          <w:color w:val="000000" w:themeColor="text1"/>
          <w:sz w:val="16"/>
          <w:szCs w:val="16"/>
        </w:rPr>
        <w:t>аэродинамических труб.</w:t>
      </w:r>
    </w:p>
    <w:p w14:paraId="2C5CCAB2"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размеров самолетов и их скоростей ставит пе</w:t>
      </w:r>
      <w:r w:rsidRPr="0044524F">
        <w:rPr>
          <w:rFonts w:ascii="Times New Roman" w:hAnsi="Times New Roman"/>
          <w:color w:val="000000" w:themeColor="text1"/>
          <w:sz w:val="16"/>
          <w:szCs w:val="16"/>
        </w:rPr>
        <w:softHyphen/>
        <w:t>ред экспериментальной аэродинамикой новые вопросы и задачи решить которые на старом оборудовании /аэродинамических тру</w:t>
      </w:r>
      <w:r w:rsidRPr="0044524F">
        <w:rPr>
          <w:rFonts w:ascii="Times New Roman" w:hAnsi="Times New Roman"/>
          <w:color w:val="000000" w:themeColor="text1"/>
          <w:sz w:val="16"/>
          <w:szCs w:val="16"/>
        </w:rPr>
        <w:softHyphen/>
        <w:t>бах/ невозможно. Результаты исследований свойств самолета в аэродинамической трубе в высшей степени зависят от величины модели самолета, чем последняя меньше, тем больше ошибки по</w:t>
      </w:r>
      <w:r w:rsidRPr="0044524F">
        <w:rPr>
          <w:rFonts w:ascii="Times New Roman" w:hAnsi="Times New Roman"/>
          <w:color w:val="000000" w:themeColor="text1"/>
          <w:sz w:val="16"/>
          <w:szCs w:val="16"/>
        </w:rPr>
        <w:softHyphen/>
        <w:t>лучаемые в результате эксперимента.</w:t>
      </w:r>
    </w:p>
    <w:p w14:paraId="7ED8C9B4"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размах самолетов, строящихся в СССР досиигает 50 и больше метров, испытания их моделей приходите? вести в единственной трубе в СССР, позволяющей испытывать модели с размахом до 1,5 метра /т.е. в масштабе 1/33/. Благо</w:t>
      </w:r>
      <w:r w:rsidRPr="0044524F">
        <w:rPr>
          <w:rFonts w:ascii="Times New Roman" w:hAnsi="Times New Roman"/>
          <w:color w:val="000000" w:themeColor="text1"/>
          <w:sz w:val="16"/>
          <w:szCs w:val="16"/>
        </w:rPr>
        <w:softHyphen/>
        <w:t>даря такому малому масштабу результаты получаются совершенно не соответствующие действительности.</w:t>
      </w:r>
    </w:p>
    <w:p w14:paraId="5DBF03B0"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Многие эксперименты, имеющие крайне важное значение вообще, не могут быть проведены на моделях самолетов, а требует установки в трубе всего самолета в натуру или отдельных, его частей в натуру.</w:t>
      </w:r>
    </w:p>
    <w:p w14:paraId="03FD562D"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Страны, имеющие сильно развитую и технически передовую авиацию за последние годы построили и строят громаднейшие аэродинамические трубы, в которых испытывают в натуру целые самолеты.</w:t>
      </w:r>
    </w:p>
    <w:p w14:paraId="28DFAAA8"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С.А.С.Ш. - занимающие ведущее место в воздушном флоте мира - имеют и наиболее крупные аэродинамические трубы.</w:t>
      </w:r>
    </w:p>
    <w:p w14:paraId="27A2AC40"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Винтовая труба с диаметром в 6,1 метра и со скоростью потока в 50 м/с дает возможность исследовать винт с рабо</w:t>
      </w:r>
      <w:r w:rsidRPr="0044524F">
        <w:rPr>
          <w:rFonts w:ascii="Times New Roman" w:hAnsi="Times New Roman"/>
          <w:color w:val="000000" w:themeColor="text1"/>
          <w:sz w:val="16"/>
          <w:szCs w:val="16"/>
        </w:rPr>
        <w:softHyphen/>
        <w:t>тающим мотором.</w:t>
      </w:r>
    </w:p>
    <w:p w14:paraId="26B6D617"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Самолетная труба с размерами 9,3 метра на 18.б метра /эллиптического сечения/ служит для исследования целых са</w:t>
      </w:r>
      <w:r w:rsidRPr="0044524F">
        <w:rPr>
          <w:rFonts w:ascii="Times New Roman" w:hAnsi="Times New Roman"/>
          <w:color w:val="000000" w:themeColor="text1"/>
          <w:sz w:val="16"/>
          <w:szCs w:val="16"/>
        </w:rPr>
        <w:softHyphen/>
        <w:t>молетов с работающим мотором в натуру.</w:t>
      </w:r>
    </w:p>
    <w:p w14:paraId="4F3FE4BB"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АНГЛИЯ - имея ряд крупных труб, в 1932 году построи</w:t>
      </w:r>
      <w:r w:rsidRPr="0044524F">
        <w:rPr>
          <w:rFonts w:ascii="Times New Roman" w:hAnsi="Times New Roman"/>
          <w:color w:val="000000" w:themeColor="text1"/>
          <w:sz w:val="16"/>
          <w:szCs w:val="16"/>
        </w:rPr>
        <w:softHyphen/>
        <w:t>ла трубу с диаметром в 6,3 метра со скоростью потока свыше 54 м/с.</w:t>
      </w:r>
    </w:p>
    <w:p w14:paraId="6136B27F"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С С Р - имеет одну трубу в ЦАГИ диаметром в 6 метров, со скоростью потока всего 28 м/сек. Эта же труба в другой рабочей части имеет диаметр 3 м с рабочей скорость потока 50 м/сек.</w:t>
      </w:r>
    </w:p>
    <w:p w14:paraId="0A6AA6CE"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6-ти метровая труба ЦАГИ имеет недостаточные размеры и малую скорость потока, и притом, эта тру</w:t>
      </w:r>
      <w:r w:rsidRPr="0044524F">
        <w:rPr>
          <w:rFonts w:ascii="Times New Roman" w:hAnsi="Times New Roman"/>
          <w:color w:val="000000" w:themeColor="text1"/>
          <w:sz w:val="16"/>
          <w:szCs w:val="16"/>
        </w:rPr>
        <w:softHyphen/>
        <w:t>ба закрытого типа и деревянная, в ней нельзя вести опыты с работающим; мот ором,е натуральными винтами и самолетами.</w:t>
      </w:r>
    </w:p>
    <w:p w14:paraId="388DD932"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прилагаемой таблицы /приложение № 1/, в которой указаны основные характеристики главнейших аэродинамичес</w:t>
      </w:r>
      <w:r w:rsidRPr="0044524F">
        <w:rPr>
          <w:rFonts w:ascii="Times New Roman" w:hAnsi="Times New Roman"/>
          <w:color w:val="000000" w:themeColor="text1"/>
          <w:sz w:val="16"/>
          <w:szCs w:val="16"/>
        </w:rPr>
        <w:softHyphen/>
        <w:t>ких труб мира, видно, что аэродинамические трубы СССР по своим главным данным /отношение рейнольдсовых чисел модели самолета к натуре, см. прследний столбец/, являются уста</w:t>
      </w:r>
      <w:r w:rsidRPr="0044524F">
        <w:rPr>
          <w:rFonts w:ascii="Times New Roman" w:hAnsi="Times New Roman"/>
          <w:color w:val="000000" w:themeColor="text1"/>
          <w:sz w:val="16"/>
          <w:szCs w:val="16"/>
        </w:rPr>
        <w:softHyphen/>
        <w:t>релыми.</w:t>
      </w:r>
    </w:p>
    <w:p w14:paraId="34D21B05"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САСШ имеются 4 трубы превосходящие по своим качест</w:t>
      </w:r>
      <w:r w:rsidRPr="0044524F">
        <w:rPr>
          <w:rFonts w:ascii="Times New Roman" w:hAnsi="Times New Roman"/>
          <w:color w:val="000000" w:themeColor="text1"/>
          <w:sz w:val="16"/>
          <w:szCs w:val="16"/>
        </w:rPr>
        <w:softHyphen/>
        <w:t>вам наши трубы, в Англии - 2 грубы, во Фанции - 1 труба.</w:t>
      </w:r>
    </w:p>
    <w:p w14:paraId="7B637012"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Трубы Японии, Испании, Польши по своим данным идут на уровне наших труб.</w:t>
      </w:r>
    </w:p>
    <w:p w14:paraId="30CF59E7"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вышеуказанные трубы /за исключением 1 трубы в САСШ и Англии, построены до 1927 года.</w:t>
      </w:r>
    </w:p>
    <w:p w14:paraId="1DB8B408"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во многих странах идут приготовле</w:t>
      </w:r>
      <w:r w:rsidRPr="0044524F">
        <w:rPr>
          <w:rFonts w:ascii="Times New Roman" w:hAnsi="Times New Roman"/>
          <w:color w:val="000000" w:themeColor="text1"/>
          <w:sz w:val="16"/>
          <w:szCs w:val="16"/>
        </w:rPr>
        <w:softHyphen/>
        <w:t>ния к постройке больших труб /Германия, Франция, Италия/.</w:t>
      </w:r>
    </w:p>
    <w:p w14:paraId="51DF6AD3"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Весьма характерно, что именно САСШ и Кнглия, особен</w:t>
      </w:r>
      <w:r w:rsidRPr="0044524F">
        <w:rPr>
          <w:rFonts w:ascii="Times New Roman" w:hAnsi="Times New Roman"/>
          <w:color w:val="000000" w:themeColor="text1"/>
          <w:sz w:val="16"/>
          <w:szCs w:val="16"/>
        </w:rPr>
        <w:softHyphen/>
        <w:t>но первая пользуясь широчайше поставленными аэродинамическ] ми исследованиями и хорошей моторной базой резко продвину</w:t>
      </w:r>
      <w:r w:rsidRPr="0044524F">
        <w:rPr>
          <w:rFonts w:ascii="Times New Roman" w:hAnsi="Times New Roman"/>
          <w:color w:val="000000" w:themeColor="text1"/>
          <w:sz w:val="16"/>
          <w:szCs w:val="16"/>
        </w:rPr>
        <w:softHyphen/>
        <w:t>ли за последние 3 года развитие опытного самолетостроения. Англичане добились того, что их серийные разведчики облада« ют максимальными скоростями полета 300 км/час, скорость серийных же истребителей достигла 350 кл/час. Американские самолеты, снабженные специальными моторными капотами, разр&lt; ботанными в большой трубе национальной аэродинамической ла</w:t>
      </w:r>
      <w:r w:rsidRPr="0044524F">
        <w:rPr>
          <w:rFonts w:ascii="Times New Roman" w:hAnsi="Times New Roman"/>
          <w:color w:val="000000" w:themeColor="text1"/>
          <w:sz w:val="16"/>
          <w:szCs w:val="16"/>
        </w:rPr>
        <w:softHyphen/>
        <w:t>боратории, обладают скоростью полета 350-360 клм/час, двух</w:t>
      </w:r>
      <w:r w:rsidRPr="0044524F">
        <w:rPr>
          <w:rFonts w:ascii="Times New Roman" w:hAnsi="Times New Roman"/>
          <w:color w:val="000000" w:themeColor="text1"/>
          <w:sz w:val="16"/>
          <w:szCs w:val="16"/>
        </w:rPr>
        <w:softHyphen/>
        <w:t>моторные бомбовозы скоростью 300 кл/час. В итоге Англия и САСШ обладают в настоящее время качественно самым высоким воздушным флотом.</w:t>
      </w:r>
    </w:p>
    <w:p w14:paraId="03120B48"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Слабость аэродинамической экспериментальной базы в СССР, безусловно отразилась на типах и особенно качестве опытного самолетостроения в 1-ю пятилетку и привела по не</w:t>
      </w:r>
      <w:r w:rsidRPr="0044524F">
        <w:rPr>
          <w:rFonts w:ascii="Times New Roman" w:hAnsi="Times New Roman"/>
          <w:color w:val="000000" w:themeColor="text1"/>
          <w:sz w:val="16"/>
          <w:szCs w:val="16"/>
        </w:rPr>
        <w:softHyphen/>
        <w:t>которым типам самолетов к прямому прорыву, так все самоле</w:t>
      </w:r>
      <w:r w:rsidRPr="0044524F">
        <w:rPr>
          <w:rFonts w:ascii="Times New Roman" w:hAnsi="Times New Roman"/>
          <w:color w:val="000000" w:themeColor="text1"/>
          <w:sz w:val="16"/>
          <w:szCs w:val="16"/>
        </w:rPr>
        <w:softHyphen/>
        <w:t>ты с установками винтов Тандем, один за другим не дали ожи</w:t>
      </w:r>
      <w:r w:rsidRPr="0044524F">
        <w:rPr>
          <w:rFonts w:ascii="Times New Roman" w:hAnsi="Times New Roman"/>
          <w:color w:val="000000" w:themeColor="text1"/>
          <w:sz w:val="16"/>
          <w:szCs w:val="16"/>
        </w:rPr>
        <w:softHyphen/>
        <w:t>даемых результатов.</w:t>
      </w:r>
    </w:p>
    <w:p w14:paraId="66476879"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 значительны расхождения по истребителю И-12. Ожидались: горизонтальная скорость на 5.000 метров по рас</w:t>
      </w:r>
      <w:r w:rsidRPr="0044524F">
        <w:rPr>
          <w:rFonts w:ascii="Times New Roman" w:hAnsi="Times New Roman"/>
          <w:color w:val="000000" w:themeColor="text1"/>
          <w:sz w:val="16"/>
          <w:szCs w:val="16"/>
        </w:rPr>
        <w:softHyphen/>
        <w:t>чету 300-317 клм, фактически у земли получено 265 км.час. Потолок по расчету 8500-9300 метров, фактически получено около 5000: На данные тяжелого бомбардировщика ТВ-5, кроме Тандемской установки оказало значительное влияние располо</w:t>
      </w:r>
      <w:r w:rsidRPr="0044524F">
        <w:rPr>
          <w:rFonts w:ascii="Times New Roman" w:hAnsi="Times New Roman"/>
          <w:color w:val="000000" w:themeColor="text1"/>
          <w:sz w:val="16"/>
          <w:szCs w:val="16"/>
        </w:rPr>
        <w:softHyphen/>
        <w:t>жение винтов под крылом. Продувки на малой модели показали ею влияние в меньшей степени.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4E10C1" w:rsidRPr="0044524F" w14:paraId="345030CD" w14:textId="77777777">
        <w:tc>
          <w:tcPr>
            <w:tcW w:w="1915" w:type="dxa"/>
            <w:tcBorders>
              <w:top w:val="single" w:sz="12" w:space="0" w:color="auto"/>
            </w:tcBorders>
          </w:tcPr>
          <w:p w14:paraId="5C7FE750"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p>
        </w:tc>
        <w:tc>
          <w:tcPr>
            <w:tcW w:w="1915" w:type="dxa"/>
            <w:tcBorders>
              <w:top w:val="single" w:sz="12" w:space="0" w:color="auto"/>
            </w:tcBorders>
          </w:tcPr>
          <w:p w14:paraId="31D9D47C"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у земли</w:t>
            </w:r>
          </w:p>
        </w:tc>
        <w:tc>
          <w:tcPr>
            <w:tcW w:w="1915" w:type="dxa"/>
            <w:tcBorders>
              <w:top w:val="single" w:sz="12" w:space="0" w:color="auto"/>
            </w:tcBorders>
          </w:tcPr>
          <w:p w14:paraId="0CB96C85"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3000 мт.</w:t>
            </w:r>
          </w:p>
        </w:tc>
        <w:tc>
          <w:tcPr>
            <w:tcW w:w="1915" w:type="dxa"/>
            <w:tcBorders>
              <w:top w:val="single" w:sz="12" w:space="0" w:color="auto"/>
            </w:tcBorders>
          </w:tcPr>
          <w:p w14:paraId="4084EB21"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1915" w:type="dxa"/>
            <w:tcBorders>
              <w:top w:val="single" w:sz="12" w:space="0" w:color="auto"/>
            </w:tcBorders>
          </w:tcPr>
          <w:p w14:paraId="463D2F66"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под”ема на 3000 мт.</w:t>
            </w:r>
          </w:p>
        </w:tc>
      </w:tr>
      <w:tr w:rsidR="004E10C1" w:rsidRPr="0044524F" w14:paraId="3DE85142" w14:textId="77777777">
        <w:tc>
          <w:tcPr>
            <w:tcW w:w="1915" w:type="dxa"/>
          </w:tcPr>
          <w:p w14:paraId="036CECA9"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Ожидалось</w:t>
            </w:r>
          </w:p>
        </w:tc>
        <w:tc>
          <w:tcPr>
            <w:tcW w:w="1915" w:type="dxa"/>
          </w:tcPr>
          <w:p w14:paraId="04BFCE1D"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216</w:t>
            </w:r>
          </w:p>
        </w:tc>
        <w:tc>
          <w:tcPr>
            <w:tcW w:w="1915" w:type="dxa"/>
          </w:tcPr>
          <w:p w14:paraId="4D52E349"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w:t>
            </w:r>
          </w:p>
        </w:tc>
        <w:tc>
          <w:tcPr>
            <w:tcW w:w="1915" w:type="dxa"/>
          </w:tcPr>
          <w:p w14:paraId="7FE63C8F"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5180</w:t>
            </w:r>
          </w:p>
        </w:tc>
        <w:tc>
          <w:tcPr>
            <w:tcW w:w="1915" w:type="dxa"/>
          </w:tcPr>
          <w:p w14:paraId="3EAE405F"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21,4</w:t>
            </w:r>
          </w:p>
        </w:tc>
      </w:tr>
      <w:tr w:rsidR="004E10C1" w:rsidRPr="0044524F" w14:paraId="60EB8C88" w14:textId="77777777">
        <w:tc>
          <w:tcPr>
            <w:tcW w:w="1915" w:type="dxa"/>
            <w:tcBorders>
              <w:bottom w:val="single" w:sz="12" w:space="0" w:color="auto"/>
            </w:tcBorders>
          </w:tcPr>
          <w:p w14:paraId="1482152A"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Получено</w:t>
            </w:r>
          </w:p>
        </w:tc>
        <w:tc>
          <w:tcPr>
            <w:tcW w:w="1915" w:type="dxa"/>
            <w:tcBorders>
              <w:bottom w:val="single" w:sz="12" w:space="0" w:color="auto"/>
            </w:tcBorders>
          </w:tcPr>
          <w:p w14:paraId="5D72AAF9"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185-190</w:t>
            </w:r>
          </w:p>
        </w:tc>
        <w:tc>
          <w:tcPr>
            <w:tcW w:w="1915" w:type="dxa"/>
            <w:tcBorders>
              <w:bottom w:val="single" w:sz="12" w:space="0" w:color="auto"/>
            </w:tcBorders>
          </w:tcPr>
          <w:p w14:paraId="1315ED93"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tc>
        <w:tc>
          <w:tcPr>
            <w:tcW w:w="1915" w:type="dxa"/>
            <w:tcBorders>
              <w:bottom w:val="single" w:sz="12" w:space="0" w:color="auto"/>
            </w:tcBorders>
          </w:tcPr>
          <w:p w14:paraId="4B47CF15"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3200-3510</w:t>
            </w:r>
          </w:p>
        </w:tc>
        <w:tc>
          <w:tcPr>
            <w:tcW w:w="1915" w:type="dxa"/>
            <w:tcBorders>
              <w:bottom w:val="single" w:sz="12" w:space="0" w:color="auto"/>
            </w:tcBorders>
          </w:tcPr>
          <w:p w14:paraId="1CE038B0"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r>
    </w:tbl>
    <w:p w14:paraId="477B1A04"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Указанные выше самолеты, выстроенные в течение последних 3-х лет, стоившие около 2.000.000 рублей и отнявшие большое количество конструкторских сил, оказались неудовлетворительными потому, что их расчеты не были обоснованы необхо</w:t>
      </w:r>
      <w:r w:rsidRPr="0044524F">
        <w:rPr>
          <w:rFonts w:ascii="Times New Roman" w:hAnsi="Times New Roman"/>
          <w:color w:val="000000" w:themeColor="text1"/>
          <w:sz w:val="16"/>
          <w:szCs w:val="16"/>
        </w:rPr>
        <w:softHyphen/>
        <w:t>димыми экспериментальными Данными, для получения же последних мы не обладали необходимым оборудованием.</w:t>
      </w:r>
    </w:p>
    <w:p w14:paraId="58A1F8C6"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Задачи, стоящие перед самолетостроением в СССР на вто-руд пятилетку и роль авиации в обороноспособности страны, требует во что бы то ни стало осуществления лозунга "пере</w:t>
      </w:r>
      <w:r w:rsidRPr="0044524F">
        <w:rPr>
          <w:rFonts w:ascii="Times New Roman" w:hAnsi="Times New Roman"/>
          <w:color w:val="000000" w:themeColor="text1"/>
          <w:sz w:val="16"/>
          <w:szCs w:val="16"/>
        </w:rPr>
        <w:softHyphen/>
        <w:t>гнать" иностранную авиационную технику и поставить Советс</w:t>
      </w:r>
      <w:r w:rsidRPr="0044524F">
        <w:rPr>
          <w:rFonts w:ascii="Times New Roman" w:hAnsi="Times New Roman"/>
          <w:color w:val="000000" w:themeColor="text1"/>
          <w:sz w:val="16"/>
          <w:szCs w:val="16"/>
        </w:rPr>
        <w:softHyphen/>
        <w:t>кую авиацию на первое место в мире, причем, в процесса опы' ного строительства должен быть сведен до минимума выпуск неудачных опытных самолетов.</w:t>
      </w:r>
    </w:p>
    <w:p w14:paraId="58D19E4B"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не выполнении указанной задачи Советское самолетостроение будет поставлено в отношении экспериментальной базы в условия значительно более худшие, чем Англия и Аме</w:t>
      </w:r>
      <w:r w:rsidRPr="0044524F">
        <w:rPr>
          <w:rFonts w:ascii="Times New Roman" w:hAnsi="Times New Roman"/>
          <w:color w:val="000000" w:themeColor="text1"/>
          <w:sz w:val="16"/>
          <w:szCs w:val="16"/>
        </w:rPr>
        <w:softHyphen/>
        <w:t>рика, что неизбежно будет иметь следствием снижение темпов опытного самолетостроения, и сможет привести к срыву пла</w:t>
      </w:r>
      <w:r w:rsidRPr="0044524F">
        <w:rPr>
          <w:rFonts w:ascii="Times New Roman" w:hAnsi="Times New Roman"/>
          <w:color w:val="000000" w:themeColor="text1"/>
          <w:sz w:val="16"/>
          <w:szCs w:val="16"/>
        </w:rPr>
        <w:softHyphen/>
        <w:t>на в отношении качественных показателей новых самолетов.</w:t>
      </w:r>
    </w:p>
    <w:p w14:paraId="7CB27F54"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всего вышесказанного ЦАГИ считает необ</w:t>
      </w:r>
      <w:r w:rsidRPr="0044524F">
        <w:rPr>
          <w:rFonts w:ascii="Times New Roman" w:hAnsi="Times New Roman"/>
          <w:color w:val="000000" w:themeColor="text1"/>
          <w:sz w:val="16"/>
          <w:szCs w:val="16"/>
        </w:rPr>
        <w:softHyphen/>
        <w:t>ходимым во 2-й пятилетке построить две аэродинамические трубы, одну для исследования винтов и моторов в натуру, а другую для исследования самолетов в натуру, с размером ра</w:t>
      </w:r>
      <w:r w:rsidRPr="0044524F">
        <w:rPr>
          <w:rFonts w:ascii="Times New Roman" w:hAnsi="Times New Roman"/>
          <w:color w:val="000000" w:themeColor="text1"/>
          <w:sz w:val="16"/>
          <w:szCs w:val="16"/>
        </w:rPr>
        <w:softHyphen/>
        <w:t>бочей части для винтовой трубы 3 м. при скорости потока 100 м/с и для самолетной трубы размер рабочей части 12x24 при скорости потока 60 м/сек.</w:t>
      </w:r>
    </w:p>
    <w:p w14:paraId="66CBC2C8"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Трубы должны быть построены в Центральном Аэро-Гидро-динамическом Институте, как крупнейшем Институте союза, имеющим большой опыт в СССР по проектированию, постройке и эксплоатации аэродинамических труб.</w:t>
      </w:r>
    </w:p>
    <w:p w14:paraId="31FC69DE"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большой аэродинамической трубы с обору</w:t>
      </w:r>
      <w:r w:rsidRPr="0044524F">
        <w:rPr>
          <w:rFonts w:ascii="Times New Roman" w:hAnsi="Times New Roman"/>
          <w:color w:val="000000" w:themeColor="text1"/>
          <w:sz w:val="16"/>
          <w:szCs w:val="16"/>
        </w:rPr>
        <w:softHyphen/>
        <w:t>дованием даже при форсировании работы, займет около 1,5 го« да, постройка 2 года, а наладка минимум 1 год. Следователь</w:t>
      </w:r>
      <w:r w:rsidRPr="0044524F">
        <w:rPr>
          <w:rFonts w:ascii="Times New Roman" w:hAnsi="Times New Roman"/>
          <w:color w:val="000000" w:themeColor="text1"/>
          <w:sz w:val="16"/>
          <w:szCs w:val="16"/>
        </w:rPr>
        <w:softHyphen/>
        <w:t>но труба может войти в строй только к концу второй пятилетки.</w:t>
      </w:r>
    </w:p>
    <w:p w14:paraId="3B76431D"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немедленно начать разработку проектов этих труб с тем, чтобы постройку винтовой трубы начать с весны 1935 года, а постройку самолетной с весны 1934 года.</w:t>
      </w:r>
    </w:p>
    <w:p w14:paraId="42F984BB"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Ориентировочная стоимость винтовой трубы - 8,000.000 руб. и самолетной 12.000.000 рублей.</w:t>
      </w:r>
    </w:p>
    <w:p w14:paraId="7965C190"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smallCaps/>
          <w:color w:val="000000" w:themeColor="text1"/>
          <w:sz w:val="16"/>
          <w:szCs w:val="16"/>
        </w:rPr>
        <w:t>приложение:</w:t>
      </w:r>
    </w:p>
    <w:p w14:paraId="4FBFA407"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Сравнительная таблица всех больших аэродинамических труб мира.</w:t>
      </w:r>
    </w:p>
    <w:p w14:paraId="06047DFB"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План строительства больших аэродина-1 мических труб СССР.</w:t>
      </w:r>
    </w:p>
    <w:p w14:paraId="7561CD10"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Альбом больших аэродинамических труб! мира.</w:t>
      </w:r>
    </w:p>
    <w:p w14:paraId="4404D892"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ЭАО Ц А Г И САБИНИН 20/1У-83 год.</w:t>
      </w:r>
    </w:p>
    <w:p w14:paraId="08F53953"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ЦГАОР. ф. 147с, оп. 15, д. 153, л. 5 (1026,161).</w:t>
      </w:r>
    </w:p>
    <w:p w14:paraId="42A4E84A" w14:textId="77777777" w:rsidR="008E7A66" w:rsidRPr="0044524F" w:rsidRDefault="008E7A66" w:rsidP="009654CF">
      <w:pPr>
        <w:shd w:val="clear" w:color="auto" w:fill="FFFFFF"/>
        <w:spacing w:after="0" w:line="240" w:lineRule="auto"/>
        <w:jc w:val="both"/>
        <w:rPr>
          <w:rFonts w:ascii="Times New Roman" w:hAnsi="Times New Roman"/>
          <w:color w:val="000000" w:themeColor="text1"/>
          <w:sz w:val="16"/>
          <w:szCs w:val="16"/>
        </w:rPr>
      </w:pPr>
    </w:p>
    <w:p w14:paraId="4B702F21" w14:textId="77777777" w:rsidR="00B75DE6" w:rsidRPr="0044524F" w:rsidRDefault="00B75DE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г. Комиссия по установлению годности к первому полёту корабля В-5 закончила работу. Как сообщил начальник Дирижаблестроя И.А. Фельдман в рапорте временно исполняющему должность (Врид) начальника ГУГВФ Анвельту, «корабль выйдет в полет 25-26 апреля с.г.» [4, л.165-166] (15797).</w:t>
      </w:r>
    </w:p>
    <w:p w14:paraId="29CCF36F" w14:textId="77777777" w:rsidR="00B75DE6" w:rsidRPr="0044524F" w:rsidRDefault="00B75DE6" w:rsidP="009654CF">
      <w:pPr>
        <w:spacing w:after="0" w:line="240" w:lineRule="auto"/>
        <w:jc w:val="both"/>
        <w:rPr>
          <w:rFonts w:ascii="Times New Roman" w:hAnsi="Times New Roman"/>
          <w:color w:val="000000" w:themeColor="text1"/>
          <w:sz w:val="16"/>
          <w:szCs w:val="16"/>
        </w:rPr>
      </w:pPr>
    </w:p>
    <w:p w14:paraId="36A3B920" w14:textId="630819B2" w:rsidR="00B75DE6" w:rsidRPr="0044524F" w:rsidRDefault="00B75DE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г. И.А. Фельдман</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сообщил сотрудникам КБ Дирижаблестроя, что «…на заседании коллегии ГУГВФ в связи с гибелью «Акрона» и других дирижаблей было подчёркнуто, что</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эти аварии не дают основания для пересмотра вопроса о дальнейших путях и темпах развития советского дирижаблестроения …» [4, л.223].</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США осуществление программы по дирижаблестроению продолжалось - надежды возлагались на новый жесткий дирижабль-авианосец Мэйкон [3, с. 157] (15797).</w:t>
      </w:r>
    </w:p>
    <w:p w14:paraId="4201C542" w14:textId="77777777" w:rsidR="00B75DE6" w:rsidRPr="0044524F" w:rsidRDefault="00B75DE6" w:rsidP="009654CF">
      <w:pPr>
        <w:spacing w:after="0" w:line="240" w:lineRule="auto"/>
        <w:jc w:val="both"/>
        <w:rPr>
          <w:rFonts w:ascii="Times New Roman" w:hAnsi="Times New Roman"/>
          <w:color w:val="000000" w:themeColor="text1"/>
          <w:sz w:val="16"/>
          <w:szCs w:val="16"/>
        </w:rPr>
      </w:pPr>
    </w:p>
    <w:p w14:paraId="58F95D80" w14:textId="77777777" w:rsidR="00B75DE6"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7184E03F" w14:textId="77777777" w:rsidR="00B75DE6" w:rsidRPr="0044524F" w:rsidRDefault="00B75DE6" w:rsidP="009654CF">
      <w:pPr>
        <w:shd w:val="clear" w:color="auto" w:fill="FFFFFF"/>
        <w:spacing w:after="0" w:line="240" w:lineRule="auto"/>
        <w:jc w:val="both"/>
        <w:rPr>
          <w:rFonts w:ascii="Times New Roman" w:hAnsi="Times New Roman"/>
          <w:color w:val="000000" w:themeColor="text1"/>
          <w:sz w:val="16"/>
          <w:szCs w:val="16"/>
        </w:rPr>
      </w:pPr>
    </w:p>
    <w:p w14:paraId="119BCE8B" w14:textId="77777777" w:rsidR="00B75DE6" w:rsidRPr="0044524F" w:rsidRDefault="00B75DE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bCs/>
          <w:iCs/>
          <w:color w:val="000000" w:themeColor="text1"/>
          <w:sz w:val="16"/>
          <w:szCs w:val="16"/>
        </w:rPr>
        <w:t>21 апреля 1933 г.</w:t>
      </w:r>
      <w:r w:rsidRPr="0044524F">
        <w:rPr>
          <w:rFonts w:ascii="Times New Roman" w:hAnsi="Times New Roman"/>
          <w:color w:val="000000" w:themeColor="text1"/>
          <w:sz w:val="16"/>
          <w:szCs w:val="16"/>
        </w:rPr>
        <w:t xml:space="preserve"> Приказ РВС СССР с объявлением плана учений с действительными ОВ, проводимых войсками СССР в 1932/1933 учебном году. Приказ был подписан М.Н.Тухачевским. Приказ относился ко </w:t>
      </w:r>
      <w:r w:rsidRPr="0044524F">
        <w:rPr>
          <w:rFonts w:ascii="Times New Roman" w:hAnsi="Times New Roman"/>
          <w:bCs/>
          <w:iCs/>
          <w:color w:val="000000" w:themeColor="text1"/>
          <w:sz w:val="16"/>
          <w:szCs w:val="16"/>
        </w:rPr>
        <w:t>всем</w:t>
      </w:r>
      <w:r w:rsidRPr="0044524F">
        <w:rPr>
          <w:rFonts w:ascii="Times New Roman" w:hAnsi="Times New Roman"/>
          <w:color w:val="000000" w:themeColor="text1"/>
          <w:sz w:val="16"/>
          <w:szCs w:val="16"/>
        </w:rPr>
        <w:t xml:space="preserve"> воинским частям, которые выводились в лагеря и он касался всех военных округов и флотов. При этом давались указания по безопасности, позволяющие выделить серьезные моменты: заражение местности СОВ путем подрыва химических фугасов (не более 10 штук одновременно) осуществлять не ближе 1000 м от населенных пунктов, а зараженный участок охранять до полной естественной дегазации; заражение местности СОВ путем обстрела химическими минами избранных площадок, расположенных не ближе 2000 м от населенных пунктов (неразорвавшиеся мины должны быть тотчас же подорваны; зараженный участок охраняется до полной естественной дегазации); заражение местности СОВ бомбометанием площадки, расположенной не ближе 2000 м от населенных пунктов (неразорвавшиеся бомбы должны быть тотчас же после показа подорваны; зараженный участок охраняется до полной естественной дегазации); заражение местности артснарядами с СОВ производится по площадке, в 500-750 м от которой не должно быть людей (неразорвавшиеся снаряды подрываются после стрельб, зараженный участок охраняется до полной естественной дегазации); при заражении местности ипритом с использованием самолетов штурмовой авиации высота выливания не должна превышать 100 м, а выделенный участок не должен быть ближе 5000 м от населенных пунктов; с наполненными ВАПами самолеты не должны пролетать над населенными пунктами, над местностью с большим движением и скоплением людей (зараженный участок охраняется до полной естественной дегазации); при заражении СОВ кораблей (учения должны быть проведены на каждом боевом корабле, за исключением подводных лодок) ипритом заражаются верхняя палуба и надстройки с использованием НПЗ, гидропультов или малярных кистей. После подобных учений на химически площадках не могли не оставаться утерянные и не подорванные химические фугасы, авиахимбомбы, химмины и артхимснаряды. Так называемая естественная дегазация, факт которой устанавливал начальник химической службы, была чревата поражением людей, которые оказывались на участке после снятия охраны. </w:t>
      </w:r>
      <w:r w:rsidRPr="0044524F">
        <w:rPr>
          <w:rFonts w:ascii="Times New Roman" w:hAnsi="Times New Roman"/>
          <w:bCs/>
          <w:iCs/>
          <w:color w:val="000000" w:themeColor="text1"/>
          <w:sz w:val="16"/>
          <w:szCs w:val="16"/>
        </w:rPr>
        <w:t>К выполнению приказа воинские части в 1933 году отнеслись серьезно и тотально</w:t>
      </w:r>
      <w:r w:rsidRPr="0044524F">
        <w:rPr>
          <w:rFonts w:ascii="Times New Roman" w:hAnsi="Times New Roman"/>
          <w:color w:val="000000" w:themeColor="text1"/>
          <w:sz w:val="16"/>
          <w:szCs w:val="16"/>
        </w:rPr>
        <w:t xml:space="preserve"> (17133).</w:t>
      </w:r>
    </w:p>
    <w:p w14:paraId="214F7580" w14:textId="77777777" w:rsidR="00B75DE6" w:rsidRPr="0044524F" w:rsidRDefault="00B75DE6" w:rsidP="009654CF">
      <w:pPr>
        <w:shd w:val="clear" w:color="auto" w:fill="FFFFFF"/>
        <w:spacing w:after="0" w:line="240" w:lineRule="auto"/>
        <w:jc w:val="both"/>
        <w:rPr>
          <w:rFonts w:ascii="Times New Roman" w:hAnsi="Times New Roman"/>
          <w:color w:val="000000" w:themeColor="text1"/>
          <w:sz w:val="16"/>
          <w:szCs w:val="16"/>
        </w:rPr>
      </w:pPr>
    </w:p>
    <w:p w14:paraId="005B8286" w14:textId="77777777" w:rsidR="008E7A6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1AB0C0C" w14:textId="77777777" w:rsidR="008E7A66" w:rsidRPr="0044524F" w:rsidRDefault="008E7A66" w:rsidP="009654CF">
      <w:pPr>
        <w:spacing w:after="0" w:line="240" w:lineRule="auto"/>
        <w:jc w:val="both"/>
        <w:rPr>
          <w:rFonts w:ascii="Times New Roman" w:hAnsi="Times New Roman"/>
          <w:iCs/>
          <w:color w:val="000000" w:themeColor="text1"/>
          <w:sz w:val="16"/>
          <w:szCs w:val="16"/>
        </w:rPr>
      </w:pPr>
    </w:p>
    <w:p w14:paraId="29F9F923"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21 апреля 1933 г. постановлением Наркомата тяжелой промышленности СССР была создана Всесоюзная контора по организации и рационализации районных электростанций и сетей "ОРГРЭС". В 1939 г. приказом наркомата контора преобразована во Всесоюзный государственный трест по организации и рационализации районных электростанций и сетей "ОРГРЭС". В 1941 - 1943 гг. </w:t>
      </w:r>
    </w:p>
    <w:p w14:paraId="75D76E3B"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Трест находился в эвакуации в г. Свердловске. Приказом Министерства энергетики и электрификации СССР от 3 июня 1977 г. трест был преобразован в Производственное объединение по наладке, совершенствованию технологии и эксплуатации электростанций и сетей "Союзтехэнерго" (12102).</w:t>
      </w:r>
    </w:p>
    <w:p w14:paraId="64ACC850" w14:textId="77777777" w:rsidR="00B75DE6" w:rsidRPr="0044524F" w:rsidRDefault="00B75DE6" w:rsidP="009654CF">
      <w:pPr>
        <w:spacing w:after="0" w:line="240" w:lineRule="auto"/>
        <w:jc w:val="both"/>
        <w:rPr>
          <w:rFonts w:ascii="Times New Roman" w:hAnsi="Times New Roman"/>
          <w:color w:val="000000" w:themeColor="text1"/>
          <w:sz w:val="16"/>
          <w:szCs w:val="16"/>
        </w:rPr>
      </w:pPr>
    </w:p>
    <w:p w14:paraId="538DA11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21 и 27 апреля 1933. Из протокола заседания Политбюро N 136, 1933 г.</w:t>
      </w:r>
    </w:p>
    <w:p w14:paraId="7B68FA9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днях заседаний Политбюро </w:t>
      </w:r>
    </w:p>
    <w:p w14:paraId="05635964"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заседания Политбюро три раза в месяц — 5, 15 и 25 числа (11652).</w:t>
      </w:r>
    </w:p>
    <w:p w14:paraId="4F690AA6" w14:textId="77777777" w:rsidR="008E7A66" w:rsidRPr="0044524F" w:rsidRDefault="008E7A66" w:rsidP="009654CF">
      <w:pPr>
        <w:spacing w:after="0" w:line="240" w:lineRule="auto"/>
        <w:jc w:val="both"/>
        <w:rPr>
          <w:rFonts w:ascii="Times New Roman" w:hAnsi="Times New Roman"/>
          <w:color w:val="000000" w:themeColor="text1"/>
          <w:sz w:val="16"/>
          <w:szCs w:val="16"/>
        </w:rPr>
      </w:pPr>
    </w:p>
    <w:p w14:paraId="0BCA5A6D"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21 и 27 апреля 1933. Из протокола заседания Политбюро N 136, 1933 г.</w:t>
      </w:r>
    </w:p>
    <w:p w14:paraId="6CFBAC16"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ликвидации задолженности по зарплате </w:t>
      </w:r>
    </w:p>
    <w:p w14:paraId="0E05B371"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Обязать наркоматы под личной ответственностью наркомов ликвидировать задолженность по зарплате к 1 мая с. г. </w:t>
      </w:r>
    </w:p>
    <w:p w14:paraId="0BC1BBD0" w14:textId="77777777" w:rsidR="008E7A66" w:rsidRPr="0044524F" w:rsidRDefault="008E7A6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Предложить Госбанку предоставить НКПС краткосрочный кредит в размере 40 млн руб. для погашения задолженности по зарплате (11652).</w:t>
      </w:r>
    </w:p>
    <w:p w14:paraId="224ED229" w14:textId="6D8961F8" w:rsidR="008E7A66" w:rsidRPr="0044524F" w:rsidRDefault="008E7A66" w:rsidP="009654CF">
      <w:pPr>
        <w:spacing w:after="0" w:line="240" w:lineRule="auto"/>
        <w:jc w:val="both"/>
        <w:rPr>
          <w:rFonts w:ascii="Times New Roman" w:hAnsi="Times New Roman"/>
          <w:color w:val="000000" w:themeColor="text1"/>
          <w:sz w:val="16"/>
          <w:szCs w:val="16"/>
        </w:rPr>
      </w:pPr>
    </w:p>
    <w:p w14:paraId="4A806C04" w14:textId="21575F46" w:rsidR="00EB24B6" w:rsidRPr="0044524F" w:rsidRDefault="00EB24B6"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51F69266" w14:textId="77777777" w:rsidR="00EB24B6" w:rsidRPr="0044524F" w:rsidRDefault="00EB24B6" w:rsidP="009654CF">
      <w:pPr>
        <w:spacing w:after="0" w:line="240" w:lineRule="auto"/>
        <w:jc w:val="both"/>
        <w:rPr>
          <w:rFonts w:ascii="Times New Roman" w:hAnsi="Times New Roman"/>
          <w:i/>
          <w:iCs/>
          <w:color w:val="000000" w:themeColor="text1"/>
          <w:sz w:val="16"/>
          <w:szCs w:val="16"/>
        </w:rPr>
      </w:pPr>
    </w:p>
    <w:p w14:paraId="4C6C722E" w14:textId="77777777" w:rsidR="00EB24B6" w:rsidRPr="0044524F" w:rsidRDefault="00EB24B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состоялся первый полет USS Macon (ZRS-5) (20802).</w:t>
      </w:r>
    </w:p>
    <w:p w14:paraId="77651F08" w14:textId="77777777" w:rsidR="00EB24B6" w:rsidRPr="0044524F" w:rsidRDefault="00EB24B6" w:rsidP="009654CF">
      <w:pPr>
        <w:spacing w:after="0" w:line="240" w:lineRule="auto"/>
        <w:jc w:val="both"/>
        <w:rPr>
          <w:rFonts w:ascii="Times New Roman" w:hAnsi="Times New Roman"/>
          <w:color w:val="000000" w:themeColor="text1"/>
          <w:sz w:val="16"/>
          <w:szCs w:val="16"/>
        </w:rPr>
      </w:pPr>
    </w:p>
    <w:p w14:paraId="7D646B51" w14:textId="77777777" w:rsidR="00EB24B6" w:rsidRPr="0044524F" w:rsidRDefault="00EB24B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года — первый полёт жёсткого дирижабля-авианосца USS Macon (ZRS-5).</w:t>
      </w:r>
    </w:p>
    <w:p w14:paraId="1075F48B" w14:textId="77777777" w:rsidR="00EB24B6" w:rsidRPr="0044524F" w:rsidRDefault="00EB24B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1928 году ВМС США для ведения дальней морской разведки заказало разработку «летающего авианосца» — большого дирижабля, способного нести на борту истребители для прикрытия. Спустя 3 года из эллинга вывели USS Akron (ZRS-4) и практически сразу началась постройка его более совершенной версии.</w:t>
      </w:r>
    </w:p>
    <w:p w14:paraId="1833448D" w14:textId="77777777" w:rsidR="00EB24B6" w:rsidRPr="0044524F" w:rsidRDefault="00EB24B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ZRS-5 стал одним из крупнейших в мире и крупнейшим в США дирижаблем жёсткой конструкции. Внутри дюралевого каркаса, обтянутого полотном, находилось 12 баллонетов, заполненных гелием. Силовая установка — 8 двигателей Maybach VL-2. Дирижабль был оборудован специальным устройством для запуска и подхвата истребителей Curtiss F9C Sparrowhawk через Т-образный люк в нижней части корпуса.</w:t>
      </w:r>
    </w:p>
    <w:p w14:paraId="01D996B7" w14:textId="77777777" w:rsidR="00EB24B6" w:rsidRPr="0044524F" w:rsidRDefault="00EB24B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USS Macon успешно служил в составе флота, но в итоге повторил карьеру своего предшественника. 12 февраля 1935 года дирижабль попал в шторм у мыса Пойнт-Сур (Калифорния) и потерпел крушение. Благодаря спасательным жилетам и шлюпкам, спаслись 81 из 83 членов экипажа. Эта авария привела к закрытию программы постройки подобных дирижаблей (22300).</w:t>
      </w:r>
    </w:p>
    <w:p w14:paraId="13779485" w14:textId="77777777" w:rsidR="00EB24B6" w:rsidRPr="0044524F" w:rsidRDefault="00EB24B6" w:rsidP="009654CF">
      <w:pPr>
        <w:spacing w:after="0" w:line="240" w:lineRule="auto"/>
        <w:jc w:val="both"/>
        <w:rPr>
          <w:rFonts w:ascii="Times New Roman" w:hAnsi="Times New Roman"/>
          <w:color w:val="000000" w:themeColor="text1"/>
          <w:sz w:val="16"/>
          <w:szCs w:val="16"/>
        </w:rPr>
      </w:pPr>
    </w:p>
    <w:p w14:paraId="78AE0ACD" w14:textId="77777777" w:rsidR="004946F7" w:rsidRPr="0044524F" w:rsidRDefault="004946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апреля 1933 года впервые полетел второй американский супердирижабль — ZRS-5 «Мэкон» (Macon) с объе</w:t>
      </w:r>
      <w:r w:rsidRPr="0044524F">
        <w:rPr>
          <w:rFonts w:ascii="Times New Roman" w:hAnsi="Times New Roman"/>
          <w:color w:val="000000" w:themeColor="text1"/>
          <w:sz w:val="16"/>
          <w:szCs w:val="16"/>
        </w:rPr>
        <w:softHyphen/>
        <w:t>мом оболочки 194 000 куб. метров. Он в основном соответствовал дижаблю «Акрон». К отличиям этого экземпляра мож</w:t>
      </w:r>
      <w:r w:rsidRPr="0044524F">
        <w:rPr>
          <w:rFonts w:ascii="Times New Roman" w:hAnsi="Times New Roman"/>
          <w:color w:val="000000" w:themeColor="text1"/>
          <w:sz w:val="16"/>
          <w:szCs w:val="16"/>
        </w:rPr>
        <w:softHyphen/>
        <w:t>но отнести дополнительные усовершенствования в причальном оборудовании самолетов. На нем также имелся ангар для пяти самолетов, однако на практике количество «припаркованных» самолетов по условиям безопасности не превышало четырех. К сожалению, «Мэкон» во многом повторил судьбу своего предшест</w:t>
      </w:r>
      <w:r w:rsidRPr="0044524F">
        <w:rPr>
          <w:rFonts w:ascii="Times New Roman" w:hAnsi="Times New Roman"/>
          <w:color w:val="000000" w:themeColor="text1"/>
          <w:sz w:val="16"/>
          <w:szCs w:val="16"/>
        </w:rPr>
        <w:softHyphen/>
        <w:t>венника и потерпел катастрофу 12 января 1935 года вблизи тихоокеанского побережья. Из 83 членов эки</w:t>
      </w:r>
      <w:r w:rsidRPr="0044524F">
        <w:rPr>
          <w:rFonts w:ascii="Times New Roman" w:hAnsi="Times New Roman"/>
          <w:color w:val="000000" w:themeColor="text1"/>
          <w:sz w:val="16"/>
          <w:szCs w:val="16"/>
        </w:rPr>
        <w:softHyphen/>
        <w:t>пажа удалось спастись 81 человеку. Вместе с дирижаб</w:t>
      </w:r>
      <w:r w:rsidRPr="0044524F">
        <w:rPr>
          <w:rFonts w:ascii="Times New Roman" w:hAnsi="Times New Roman"/>
          <w:color w:val="000000" w:themeColor="text1"/>
          <w:sz w:val="16"/>
          <w:szCs w:val="16"/>
        </w:rPr>
        <w:softHyphen/>
        <w:t>лем пропали 4 самолета, находившиеся на борту. Ос</w:t>
      </w:r>
      <w:r w:rsidRPr="0044524F">
        <w:rPr>
          <w:rFonts w:ascii="Times New Roman" w:hAnsi="Times New Roman"/>
          <w:color w:val="000000" w:themeColor="text1"/>
          <w:sz w:val="16"/>
          <w:szCs w:val="16"/>
        </w:rPr>
        <w:softHyphen/>
        <w:t>тальные «спарроухоуки» в дальнейшем эпизодически использовались без причального оборудования, одна</w:t>
      </w:r>
      <w:r w:rsidRPr="0044524F">
        <w:rPr>
          <w:rFonts w:ascii="Times New Roman" w:hAnsi="Times New Roman"/>
          <w:color w:val="000000" w:themeColor="text1"/>
          <w:sz w:val="16"/>
          <w:szCs w:val="16"/>
        </w:rPr>
        <w:softHyphen/>
        <w:t>ко позднее были списаны. Один F9C-2 (№9056) позд</w:t>
      </w:r>
      <w:r w:rsidRPr="0044524F">
        <w:rPr>
          <w:rFonts w:ascii="Times New Roman" w:hAnsi="Times New Roman"/>
          <w:color w:val="000000" w:themeColor="text1"/>
          <w:sz w:val="16"/>
          <w:szCs w:val="16"/>
        </w:rPr>
        <w:softHyphen/>
        <w:t>нее попал в Национальный музей авиации. На этом история американских дирижаблей и воздушных под</w:t>
      </w:r>
      <w:r w:rsidRPr="0044524F">
        <w:rPr>
          <w:rFonts w:ascii="Times New Roman" w:hAnsi="Times New Roman"/>
          <w:color w:val="000000" w:themeColor="text1"/>
          <w:sz w:val="16"/>
          <w:szCs w:val="16"/>
        </w:rPr>
        <w:softHyphen/>
        <w:t>цепок в интересах Военно-морского флота США за</w:t>
      </w:r>
      <w:r w:rsidRPr="0044524F">
        <w:rPr>
          <w:rFonts w:ascii="Times New Roman" w:hAnsi="Times New Roman"/>
          <w:color w:val="000000" w:themeColor="text1"/>
          <w:sz w:val="16"/>
          <w:szCs w:val="16"/>
        </w:rPr>
        <w:softHyphen/>
        <w:t>кончилась. Построенный в Германии дирижабль ZR-3 «Лос Анжелес» еще 4 года хранился в ангаре, однако в 1939 году и его разобрали (23378).</w:t>
      </w:r>
    </w:p>
    <w:p w14:paraId="47E14B8A" w14:textId="77777777" w:rsidR="004946F7" w:rsidRPr="0044524F" w:rsidRDefault="004946F7" w:rsidP="009654CF">
      <w:pPr>
        <w:spacing w:after="0" w:line="240" w:lineRule="auto"/>
        <w:jc w:val="both"/>
        <w:rPr>
          <w:rFonts w:ascii="Times New Roman" w:hAnsi="Times New Roman"/>
          <w:color w:val="000000" w:themeColor="text1"/>
          <w:sz w:val="16"/>
          <w:szCs w:val="16"/>
        </w:rPr>
      </w:pPr>
    </w:p>
    <w:p w14:paraId="696A5EF3"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21 апреля 1933 года авианесущий Масоп совершил свой первый полёт (пока без самолетов). Это был полёт над северным Огайо длительностью почти 13 часов. Пройдя серию учебных полётов на базе Лэйкхёрст, Масоп был введён в состав ВМС 23 июня 1933 года (25618).</w:t>
      </w:r>
    </w:p>
    <w:p w14:paraId="30C983E5" w14:textId="77777777" w:rsidR="006A7D5C" w:rsidRPr="00142305" w:rsidRDefault="006A7D5C" w:rsidP="006A7D5C">
      <w:pPr>
        <w:spacing w:after="0" w:line="240" w:lineRule="auto"/>
        <w:jc w:val="both"/>
        <w:rPr>
          <w:rStyle w:val="aff"/>
          <w:rFonts w:ascii="Times New Roman" w:hAnsi="Times New Roman" w:cs="Times New Roman"/>
          <w:color w:val="0070C0"/>
          <w:spacing w:val="0"/>
          <w:sz w:val="16"/>
          <w:szCs w:val="16"/>
        </w:rPr>
      </w:pPr>
    </w:p>
    <w:p w14:paraId="44E14031"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06874B7"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12524CF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апреля 1933 Зам. НКТП, Нач. ГУАП П.И.Б. направил написанную 7 апреля Пред. СТО В.М.М. Докладную записку N 277/219с по стратосферному самолету (2304,12):</w:t>
      </w:r>
    </w:p>
    <w:p w14:paraId="7A5ED02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вопроса полета в стратосферу находится в прямой зависимости от следующих задач:</w:t>
      </w:r>
    </w:p>
    <w:p w14:paraId="22646C1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Создания сверхвысотного мотора, могущего дать необходимую мощность в разряженной плотности воздуха на высотах 12-15 тыс. м.</w:t>
      </w:r>
    </w:p>
    <w:p w14:paraId="01948FC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Создания винта с переменным шагом, дающим необходимую тягу, как в атмосфере, так и в стратосфере.</w:t>
      </w:r>
    </w:p>
    <w:p w14:paraId="3B5D30D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Создания кабины, обеспечивающей безопасный полет на большой высоте при низкой температуре и недостаточном количестве кислорода.</w:t>
      </w:r>
    </w:p>
    <w:p w14:paraId="0128917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Разрешение вопроса по управлению самолетом из ГК</w:t>
      </w:r>
    </w:p>
    <w:p w14:paraId="0C62296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 оборудовании самолета специальными приборами, дающими необходимые показания в стратосфере.</w:t>
      </w:r>
    </w:p>
    <w:p w14:paraId="2CDA0DD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Создании самолета с достаточно хорошими аэродинамическими данными, требующими наименьшей мощности для подъема в стратосферу и полета в ней.</w:t>
      </w:r>
    </w:p>
    <w:p w14:paraId="445288E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Вопросы, относящиеся к самолету, проработаны в ЦАГИ и переданы для осуществления в ЦКБ 39. Чертежи самолета почти закончены (95%) и по ним изготовлены основные детали самолета. Постройка самолета в целом м.б. закончена в 4 кв. текущего года.</w:t>
      </w:r>
    </w:p>
    <w:p w14:paraId="2D5BBFA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же со сверхвысотным мотором и винтом требуют длительной и серьезной доработки. Опытный образец мотора М-34 с двухступенчатым импеллером может поступить на заводские испытания лишь с конца сего года. Поэтому в целях быстрейшего проведения испытаний самолета и проверки всех неясных вопросов целесообразно выпустить самолет в воздух, до выхода специального мотора, с мотором высотностью 5000 м. Последнее позволит достигнуть высоты 10-12 тыс. м, определить необходимые переделки и выявить новые вопросы, требующие разрешения.</w:t>
      </w:r>
    </w:p>
    <w:p w14:paraId="33D5549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1934 на основе всего изученного и проверенного, как теоретически, так и в полете, можно, при наличии доведенного мотора с двухступенчатым импеллером, выпустить второй вариант самолета с потолком не ниже 15 тыс. м.</w:t>
      </w:r>
    </w:p>
    <w:p w14:paraId="1A1C2C8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самолета оборудованием и приборами необходимо приобрести таковые за границей на сумму 15000 руб. в инвалюте.</w:t>
      </w:r>
    </w:p>
    <w:p w14:paraId="45E43B6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w:t>
      </w:r>
    </w:p>
    <w:p w14:paraId="5FC8103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стратосферному самолету</w:t>
      </w:r>
    </w:p>
    <w:p w14:paraId="192335D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вопроса полета в стратосфере находится в прямой зависимости от следующих задач:</w:t>
      </w:r>
    </w:p>
    <w:p w14:paraId="76D48E5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Создании сверхвысотного мотора, могущего дать необходимую мощность в разряженной плотности воздуха на высотах 12000-15000 м.</w:t>
      </w:r>
    </w:p>
    <w:p w14:paraId="536532F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Создании винта с переменным шагом, дающим необходимую тягу, как с тропосфере, так и в стратосфере.</w:t>
      </w:r>
    </w:p>
    <w:p w14:paraId="6C5FF5E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Создания кабины, обеспечивающей безопасный полет на большой высоте при низкой температуре и недостаточном количестве кислорода.</w:t>
      </w:r>
    </w:p>
    <w:p w14:paraId="386A960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Разрешение вопроса по управлению самолетом из герметической кабины.</w:t>
      </w:r>
    </w:p>
    <w:p w14:paraId="6C09AFF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 оборудовании самолета специальными приборами, дающими необходимые показания в стратосфере.</w:t>
      </w:r>
    </w:p>
    <w:p w14:paraId="4AB00CB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В создании самолета с достаточно хорошими аэродинамическими данными, требующими наименьшей мощности для подъема в стратосферу и полета в ней.</w:t>
      </w:r>
    </w:p>
    <w:p w14:paraId="5EE3AF4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Вопросы, относящиеся к самолету проработаны в ЦАГИ и переданы для осуществления в ЦКБ зав. N 39. Чертежи самолета почти закончены (95%) и по ним изготовлены основные детали самолета. Постройки самолета в целом может быть закончена в квартале текущего года.</w:t>
      </w:r>
    </w:p>
    <w:p w14:paraId="5FC718F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же со сверхскоростным мотором и винтом требуют длительной и серьезной доработки. Опытный образец мотора М-34 с двухступенчатым импеллером может поступить на заводские испытания лишь в конце сего года. Поэтому, в целях быстрейшего проведения испытания самолета и проверки всех неясных вопросов целесообразно выпустить самолет в воздух, до выхода специального мотора, с мотором высотностью до 5000 м. Последнее позволит достигнуть высоты 10-12 т.м., определить необходимые переделки и выявить новые вопросы, требующие разрешения.</w:t>
      </w:r>
    </w:p>
    <w:p w14:paraId="7416B3F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 году на основе всего изученного и проверенного, как теоретически, так и в полете, можно при наличии доведенного мотора с двухступенчатым импеллером, выпустить второй вариант мотора самолета с потолком не ниже 15000 м (3533,14).</w:t>
      </w:r>
    </w:p>
    <w:p w14:paraId="2602256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изучения, обеспечения и ускорения выпуска М-34 с нагнетателем до 8000 м необходимо заказать фирме Рато 10 шт. нагнетателей к М-34, для чего потребуется специальный контингент в 85 тыс. руб., как для оплаты заказа, так и расходов по доводке моторов М-34 до высотности 8000 м." (2304,7).</w:t>
      </w:r>
    </w:p>
    <w:p w14:paraId="3B62B09F"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541E9E6D"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апреля 1933 г. завершились переговоры с фирмой «Райт» в США, которые начались 7 декабря 1932. Делегация для во главе с И.И. Побережским, в которую входили также А.Д. Швецов и Н.П. Базилев. Фирма выразила согласие подготовить всю документацию в метрической системе, изготовить и испытать образцы метрических моторов (11852).</w:t>
      </w:r>
    </w:p>
    <w:p w14:paraId="35B08D32"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p>
    <w:p w14:paraId="51258996"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апреля 1933 г. было подписано соглашение о приобретении лицензии Райт Р-1820 «Циклон», оснащённый односкоростным приводным центробежным нагнетателем. По нему фирма предоставляла необходимый комплект документации, специально переведённый в метрическую систему, а также должна была изготовить и испытать образцы двигателей метрического варианта. Позднее этот договор дополнили контрактами на приобретение готовых моторов, комплектов узлов и на-иболее важных деталей (12261).</w:t>
      </w:r>
    </w:p>
    <w:p w14:paraId="281C11D7"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019C0CE2" w14:textId="77777777" w:rsidR="004946F7" w:rsidRPr="0044524F" w:rsidRDefault="004946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апреля 1933 г. было достигнуто соглашение между Главным управлением авиационной промышленности СССР и американской фирмой «Райт Мотор Ко.» о приобретении готовых двигателей SGR-1820-F3 «Циклон», документации, оборудования, комплектов деталей и агрегатов в метрической системе мер и лицензии на их производство в СССР под обозначением М-25. Фирма брала обязательство также сообщать обо всех изменениях, вводимых в производстве двигателей этой модификации на своем заводе, СССР о вводимых изменениях отчитываться был не обязан. Для выпуска моторов РФЦ-3 под обозначением М-25 выделен завод №19 в г. Пермь, при котором создается КБ для разработки модификаций мотора М-25 под руководством Швецова. Но завод находился еще в постройке.</w:t>
      </w:r>
    </w:p>
    <w:p w14:paraId="5AA6ECFA" w14:textId="77777777" w:rsidR="004946F7" w:rsidRPr="0044524F" w:rsidRDefault="004946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Оставался открытым вопрос действительных характеристик двигателя РЦФ-3 – в случае с М-22 имело место значительное несоответствие показателей мощности и ресурса, заявленных французской стороной и полученных на испытаниях в СССР двигателей этого типа как французского, так и отечественного производства (24115).</w:t>
      </w:r>
    </w:p>
    <w:p w14:paraId="50DE1979" w14:textId="77777777" w:rsidR="004946F7" w:rsidRPr="0044524F" w:rsidRDefault="004946F7" w:rsidP="009654CF">
      <w:pPr>
        <w:spacing w:after="0" w:line="240" w:lineRule="auto"/>
        <w:jc w:val="both"/>
        <w:rPr>
          <w:rFonts w:ascii="Times New Roman" w:hAnsi="Times New Roman"/>
          <w:color w:val="000000" w:themeColor="text1"/>
          <w:sz w:val="16"/>
          <w:szCs w:val="16"/>
        </w:rPr>
      </w:pPr>
    </w:p>
    <w:p w14:paraId="7384166A" w14:textId="77777777" w:rsidR="004946F7" w:rsidRPr="0044524F" w:rsidRDefault="004946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апреля 1933 г. советская делегация во главе с начальником ЦИАМ И.И. Побережским и главным инжене</w:t>
      </w:r>
      <w:r w:rsidRPr="0044524F">
        <w:rPr>
          <w:rFonts w:ascii="Times New Roman" w:hAnsi="Times New Roman"/>
          <w:color w:val="000000" w:themeColor="text1"/>
          <w:sz w:val="16"/>
          <w:szCs w:val="16"/>
        </w:rPr>
        <w:softHyphen/>
        <w:t>ром ГАЗ №24 А.Д. Швецовым завершила нелегкие пе</w:t>
      </w:r>
      <w:r w:rsidRPr="0044524F">
        <w:rPr>
          <w:rFonts w:ascii="Times New Roman" w:hAnsi="Times New Roman"/>
          <w:color w:val="000000" w:themeColor="text1"/>
          <w:sz w:val="16"/>
          <w:szCs w:val="16"/>
        </w:rPr>
        <w:softHyphen/>
        <w:t>реговоры с фирмой Райт. Фирма выразила согласие не только продать партию двига</w:t>
      </w:r>
      <w:r w:rsidRPr="0044524F">
        <w:rPr>
          <w:rFonts w:ascii="Times New Roman" w:hAnsi="Times New Roman"/>
          <w:color w:val="000000" w:themeColor="text1"/>
          <w:sz w:val="16"/>
          <w:szCs w:val="16"/>
        </w:rPr>
        <w:softHyphen/>
        <w:t>телей, но и подготовить всю доку</w:t>
      </w:r>
      <w:r w:rsidRPr="0044524F">
        <w:rPr>
          <w:rFonts w:ascii="Times New Roman" w:hAnsi="Times New Roman"/>
          <w:color w:val="000000" w:themeColor="text1"/>
          <w:sz w:val="16"/>
          <w:szCs w:val="16"/>
        </w:rPr>
        <w:softHyphen/>
        <w:t>ментацию на производство одного из лучших в те годы моторов Райт «Циклон» SGR-1820 F-3 в метриче</w:t>
      </w:r>
      <w:r w:rsidRPr="0044524F">
        <w:rPr>
          <w:rFonts w:ascii="Times New Roman" w:hAnsi="Times New Roman"/>
          <w:color w:val="000000" w:themeColor="text1"/>
          <w:sz w:val="16"/>
          <w:szCs w:val="16"/>
        </w:rPr>
        <w:softHyphen/>
        <w:t>ской системе, изготовить и испытать образцы метрических моторов.</w:t>
      </w:r>
    </w:p>
    <w:p w14:paraId="2D5CCA15" w14:textId="77777777" w:rsidR="004946F7" w:rsidRPr="0044524F" w:rsidRDefault="004946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это соглашение было под</w:t>
      </w:r>
      <w:r w:rsidRPr="0044524F">
        <w:rPr>
          <w:rFonts w:ascii="Times New Roman" w:hAnsi="Times New Roman"/>
          <w:color w:val="000000" w:themeColor="text1"/>
          <w:sz w:val="16"/>
          <w:szCs w:val="16"/>
        </w:rPr>
        <w:softHyphen/>
        <w:t>тверждено специальным решением советского Правительства. В поста</w:t>
      </w:r>
      <w:r w:rsidRPr="0044524F">
        <w:rPr>
          <w:rFonts w:ascii="Times New Roman" w:hAnsi="Times New Roman"/>
          <w:color w:val="000000" w:themeColor="text1"/>
          <w:sz w:val="16"/>
          <w:szCs w:val="16"/>
        </w:rPr>
        <w:softHyphen/>
        <w:t>новлении Совета Труда и Обороны от 28 ноября 1933 г. говорилось о закупке 150 готовых моторов,100</w:t>
      </w:r>
    </w:p>
    <w:p w14:paraId="5BC15EEB" w14:textId="77777777" w:rsidR="004946F7" w:rsidRPr="0044524F" w:rsidRDefault="004946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комплектов деталей (метрических) для запуска производства и о приобретении наиболее сложных в изготовлении деталей еще на 100 двигателей - всего на общую сумму 4350000 рублей. В январе 1934 г. фирма построила первый метрический мотор и установила его на стенд. В апреле он завершил 100-часовые испытания в США.</w:t>
      </w:r>
    </w:p>
    <w:p w14:paraId="24634EAA" w14:textId="77777777" w:rsidR="004946F7" w:rsidRPr="0044524F" w:rsidRDefault="004946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Фирма по соглашению поставляла в СССР документацию, все необходи</w:t>
      </w:r>
      <w:r w:rsidRPr="0044524F">
        <w:rPr>
          <w:rFonts w:ascii="Times New Roman" w:hAnsi="Times New Roman"/>
          <w:color w:val="000000" w:themeColor="text1"/>
          <w:sz w:val="16"/>
          <w:szCs w:val="16"/>
        </w:rPr>
        <w:softHyphen/>
        <w:t>мое станочное оборудование, приспо</w:t>
      </w:r>
      <w:r w:rsidRPr="0044524F">
        <w:rPr>
          <w:rFonts w:ascii="Times New Roman" w:hAnsi="Times New Roman"/>
          <w:color w:val="000000" w:themeColor="text1"/>
          <w:sz w:val="16"/>
          <w:szCs w:val="16"/>
        </w:rPr>
        <w:softHyphen/>
        <w:t>собления и технологии, необходимые для оснащения авиамоторного завода. По указанию Правительства в двух ки</w:t>
      </w:r>
      <w:r w:rsidRPr="0044524F">
        <w:rPr>
          <w:rFonts w:ascii="Times New Roman" w:hAnsi="Times New Roman"/>
          <w:color w:val="000000" w:themeColor="text1"/>
          <w:sz w:val="16"/>
          <w:szCs w:val="16"/>
        </w:rPr>
        <w:softHyphen/>
        <w:t>лометрах от южной окраины г. Перми было начато строительство одного из самых мощных в те годы авиационных предприятий - завода №19.</w:t>
      </w:r>
    </w:p>
    <w:p w14:paraId="10CD9BD0" w14:textId="77777777" w:rsidR="004946F7" w:rsidRPr="0044524F" w:rsidRDefault="004946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Райт «Циклон» SGR-1820 F-3 в СССР получил новое обозна</w:t>
      </w:r>
      <w:r w:rsidRPr="0044524F">
        <w:rPr>
          <w:rFonts w:ascii="Times New Roman" w:hAnsi="Times New Roman"/>
          <w:color w:val="000000" w:themeColor="text1"/>
          <w:sz w:val="16"/>
          <w:szCs w:val="16"/>
        </w:rPr>
        <w:softHyphen/>
        <w:t>чение - М-25 (23455).</w:t>
      </w:r>
    </w:p>
    <w:p w14:paraId="3ADF3C0D" w14:textId="77777777" w:rsidR="004946F7" w:rsidRPr="0044524F" w:rsidRDefault="004946F7" w:rsidP="009654CF">
      <w:pPr>
        <w:spacing w:after="0" w:line="240" w:lineRule="auto"/>
        <w:jc w:val="both"/>
        <w:rPr>
          <w:rFonts w:ascii="Times New Roman" w:hAnsi="Times New Roman"/>
          <w:color w:val="000000" w:themeColor="text1"/>
          <w:sz w:val="16"/>
          <w:szCs w:val="16"/>
        </w:rPr>
      </w:pPr>
    </w:p>
    <w:p w14:paraId="14CF4495" w14:textId="77777777" w:rsidR="006A7D5C" w:rsidRPr="00142305" w:rsidRDefault="006A7D5C" w:rsidP="006A7D5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22 апреля 1933 г. завершились переговоры по закупке</w:t>
      </w:r>
      <w:bookmarkStart w:id="9" w:name="_Hlk196746274"/>
      <w:r w:rsidRPr="00142305">
        <w:rPr>
          <w:rStyle w:val="30"/>
          <w:rFonts w:ascii="Times New Roman" w:eastAsia="Calibri" w:hAnsi="Times New Roman"/>
          <w:color w:val="0070C0"/>
          <w:sz w:val="16"/>
          <w:szCs w:val="16"/>
        </w:rPr>
        <w:t xml:space="preserve"> </w:t>
      </w:r>
      <w:r w:rsidRPr="00142305">
        <w:rPr>
          <w:rStyle w:val="aff"/>
          <w:rFonts w:ascii="Times New Roman" w:hAnsi="Times New Roman" w:cs="Times New Roman"/>
          <w:color w:val="0070C0"/>
          <w:spacing w:val="0"/>
          <w:sz w:val="16"/>
          <w:szCs w:val="16"/>
          <w:lang w:val="en-US"/>
        </w:rPr>
        <w:t>Wright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Cyclone</w:t>
      </w:r>
      <w:r w:rsidRPr="00142305">
        <w:rPr>
          <w:rStyle w:val="aff"/>
          <w:rFonts w:ascii="Times New Roman" w:hAnsi="Times New Roman" w:cs="Times New Roman"/>
          <w:color w:val="0070C0"/>
          <w:spacing w:val="0"/>
          <w:sz w:val="16"/>
          <w:szCs w:val="16"/>
        </w:rPr>
        <w:t xml:space="preserve">-9 </w:t>
      </w:r>
      <w:r w:rsidRPr="00142305">
        <w:rPr>
          <w:rStyle w:val="aff"/>
          <w:rFonts w:ascii="Times New Roman" w:hAnsi="Times New Roman" w:cs="Times New Roman"/>
          <w:color w:val="0070C0"/>
          <w:spacing w:val="0"/>
          <w:sz w:val="16"/>
          <w:szCs w:val="16"/>
          <w:lang w:val="en-US"/>
        </w:rPr>
        <w:t>R</w:t>
      </w:r>
      <w:r w:rsidRPr="00142305">
        <w:rPr>
          <w:rStyle w:val="aff"/>
          <w:rFonts w:ascii="Times New Roman" w:hAnsi="Times New Roman" w:cs="Times New Roman"/>
          <w:color w:val="0070C0"/>
          <w:spacing w:val="0"/>
          <w:sz w:val="16"/>
          <w:szCs w:val="16"/>
        </w:rPr>
        <w:t>-1820</w:t>
      </w:r>
      <w:bookmarkEnd w:id="9"/>
      <w:r w:rsidRPr="00142305">
        <w:rPr>
          <w:rStyle w:val="aff"/>
          <w:rFonts w:ascii="Times New Roman" w:hAnsi="Times New Roman" w:cs="Times New Roman"/>
          <w:color w:val="0070C0"/>
          <w:spacing w:val="0"/>
          <w:sz w:val="16"/>
          <w:szCs w:val="16"/>
        </w:rPr>
        <w:t>. Большую часть времени советские инженеры проводили на заводе «Райт» в Патерсоне, однако успевали побывать в других заводах, производивших детали мотора. Съездили в Бостон, где осмотрели авиамоторную лабораторию. Фирма выразила согласие подготовить всю документацию в метрической системе, изготовить и испытать образцы «метрических» моторов (25145).</w:t>
      </w:r>
    </w:p>
    <w:p w14:paraId="6E86CC16" w14:textId="77777777" w:rsidR="006A7D5C" w:rsidRPr="00142305" w:rsidRDefault="006A7D5C" w:rsidP="006A7D5C">
      <w:pPr>
        <w:spacing w:after="0" w:line="240" w:lineRule="auto"/>
        <w:jc w:val="both"/>
        <w:rPr>
          <w:rFonts w:ascii="Times New Roman" w:hAnsi="Times New Roman"/>
          <w:color w:val="0070C0"/>
          <w:sz w:val="16"/>
          <w:szCs w:val="16"/>
        </w:rPr>
      </w:pPr>
    </w:p>
    <w:p w14:paraId="57E5307B"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апреля 1933</w:t>
      </w:r>
    </w:p>
    <w:p w14:paraId="0E81D48D" w14:textId="77777777" w:rsidR="00237F26" w:rsidRPr="0044524F" w:rsidRDefault="00237F26" w:rsidP="009654CF">
      <w:pPr>
        <w:spacing w:after="0" w:line="240" w:lineRule="auto"/>
        <w:jc w:val="both"/>
        <w:rPr>
          <w:rFonts w:ascii="Times New Roman" w:hAnsi="Times New Roman"/>
          <w:color w:val="000000" w:themeColor="text1"/>
          <w:sz w:val="16"/>
          <w:szCs w:val="16"/>
        </w:rPr>
      </w:pPr>
      <w:hyperlink r:id="rId124" w:history="1">
        <w:r w:rsidRPr="0044524F">
          <w:rPr>
            <w:rFonts w:ascii="Times New Roman" w:hAnsi="Times New Roman"/>
            <w:color w:val="000000" w:themeColor="text1"/>
            <w:sz w:val="16"/>
            <w:szCs w:val="16"/>
          </w:rPr>
          <w:t>Протокол № 136 заседания Политбюро ЦК ВКП(б) от 23 апреля 1933 года</w:t>
        </w:r>
      </w:hyperlink>
    </w:p>
    <w:p w14:paraId="25C3CDFC"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60/36: Вопросы Комиссии Обороны</w:t>
      </w:r>
    </w:p>
    <w:p w14:paraId="63C20F31"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26CDB20E"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 Разрешить НКТП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тыс. долларов.</w:t>
      </w:r>
    </w:p>
    <w:p w14:paraId="3C34821A"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закупке электрооборудования к моторам “Либерти” и запчастям для этих моторов рассмотреть по представлении НКТП и НКВМ точной заявки о необходимом импортном контингенте и валюте.</w:t>
      </w:r>
    </w:p>
    <w:p w14:paraId="456FF011" w14:textId="3A83A646"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Разрешить НКТП</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за счет своего контингента, ввоз из Америки на 150 тыс. руб. электрооборудования для моторов Либерти.</w:t>
      </w:r>
    </w:p>
    <w:p w14:paraId="7259A719"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 В целях проверки и дублирования наших конструкторских работ разрешить НКВМору произвести закупку дивизионных пушек Шкода.</w:t>
      </w:r>
    </w:p>
    <w:p w14:paraId="746C4BA3"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закупки выделить особые средства в размере до 200 тыс. американских долларов сверх контингента НКВМ.</w:t>
      </w:r>
    </w:p>
    <w:p w14:paraId="799E993B"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Одновременно разрешить НКВМ осмотреть универсальные пушки САСШ, согласно их предложения, на предмет переговоров о покупке.</w:t>
      </w:r>
    </w:p>
    <w:p w14:paraId="546977B9"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6D22E7D2"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Базилевичу, Ворошилову, Орджоникидзе, Розенгольцу (18057).</w:t>
      </w:r>
    </w:p>
    <w:p w14:paraId="6F24478A" w14:textId="77777777" w:rsidR="00237F26" w:rsidRPr="0044524F" w:rsidRDefault="00237F26" w:rsidP="009654CF">
      <w:pPr>
        <w:spacing w:after="0" w:line="240" w:lineRule="auto"/>
        <w:jc w:val="both"/>
        <w:rPr>
          <w:rFonts w:ascii="Times New Roman" w:hAnsi="Times New Roman"/>
          <w:color w:val="000000" w:themeColor="text1"/>
          <w:sz w:val="16"/>
          <w:szCs w:val="16"/>
        </w:rPr>
      </w:pPr>
    </w:p>
    <w:p w14:paraId="5DD97AD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апреля 1933 у Нач. УМТСиВ ВВС состоялось совещание по вопросам согласования перечня эталонов вооружения (3058,31-36):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4524F" w14:paraId="4C567860" w14:textId="77777777">
        <w:tc>
          <w:tcPr>
            <w:tcW w:w="2818" w:type="dxa"/>
          </w:tcPr>
          <w:p w14:paraId="7B4A276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АО-10</w:t>
            </w:r>
          </w:p>
        </w:tc>
        <w:tc>
          <w:tcPr>
            <w:tcW w:w="2818" w:type="dxa"/>
          </w:tcPr>
          <w:p w14:paraId="66D6751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06F1A80D" w14:textId="77777777">
        <w:tc>
          <w:tcPr>
            <w:tcW w:w="2818" w:type="dxa"/>
          </w:tcPr>
          <w:p w14:paraId="2C54DB3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АО-8</w:t>
            </w:r>
          </w:p>
        </w:tc>
        <w:tc>
          <w:tcPr>
            <w:tcW w:w="2818" w:type="dxa"/>
          </w:tcPr>
          <w:p w14:paraId="4E6B56E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с вооружения</w:t>
            </w:r>
          </w:p>
        </w:tc>
      </w:tr>
      <w:tr w:rsidR="004E10C1" w:rsidRPr="0044524F" w14:paraId="5A3E036E" w14:textId="77777777">
        <w:tc>
          <w:tcPr>
            <w:tcW w:w="2818" w:type="dxa"/>
          </w:tcPr>
          <w:p w14:paraId="7FC89CD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АФ-50</w:t>
            </w:r>
          </w:p>
        </w:tc>
        <w:tc>
          <w:tcPr>
            <w:tcW w:w="2818" w:type="dxa"/>
          </w:tcPr>
          <w:p w14:paraId="4E34CA3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4DA8AC55" w14:textId="77777777">
        <w:tc>
          <w:tcPr>
            <w:tcW w:w="2818" w:type="dxa"/>
          </w:tcPr>
          <w:p w14:paraId="18168B4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АФ-32</w:t>
            </w:r>
          </w:p>
        </w:tc>
        <w:tc>
          <w:tcPr>
            <w:tcW w:w="2818" w:type="dxa"/>
          </w:tcPr>
          <w:p w14:paraId="33EAB18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с производства</w:t>
            </w:r>
          </w:p>
        </w:tc>
      </w:tr>
      <w:tr w:rsidR="004E10C1" w:rsidRPr="0044524F" w14:paraId="3CEF99B6" w14:textId="77777777">
        <w:tc>
          <w:tcPr>
            <w:tcW w:w="2818" w:type="dxa"/>
          </w:tcPr>
          <w:p w14:paraId="5AE8062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АФ-100</w:t>
            </w:r>
          </w:p>
        </w:tc>
        <w:tc>
          <w:tcPr>
            <w:tcW w:w="2818" w:type="dxa"/>
          </w:tcPr>
          <w:p w14:paraId="1240043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61E88111" w14:textId="77777777">
        <w:tc>
          <w:tcPr>
            <w:tcW w:w="2818" w:type="dxa"/>
          </w:tcPr>
          <w:p w14:paraId="4EE8B721" w14:textId="77777777" w:rsidR="003446BF" w:rsidRPr="0044524F" w:rsidRDefault="003446BF" w:rsidP="009654CF">
            <w:pPr>
              <w:spacing w:after="0" w:line="240" w:lineRule="auto"/>
              <w:jc w:val="both"/>
              <w:rPr>
                <w:rFonts w:ascii="Times New Roman" w:hAnsi="Times New Roman"/>
                <w:color w:val="000000" w:themeColor="text1"/>
                <w:sz w:val="16"/>
                <w:szCs w:val="16"/>
              </w:rPr>
            </w:pPr>
          </w:p>
        </w:tc>
        <w:tc>
          <w:tcPr>
            <w:tcW w:w="2818" w:type="dxa"/>
          </w:tcPr>
          <w:p w14:paraId="50C648E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w:t>
            </w:r>
          </w:p>
        </w:tc>
      </w:tr>
      <w:tr w:rsidR="004E10C1" w:rsidRPr="0044524F" w14:paraId="36CAFC1C" w14:textId="77777777">
        <w:tc>
          <w:tcPr>
            <w:tcW w:w="2818" w:type="dxa"/>
          </w:tcPr>
          <w:p w14:paraId="2FAC4244" w14:textId="77777777" w:rsidR="003446BF" w:rsidRPr="0044524F" w:rsidRDefault="003446BF" w:rsidP="009654CF">
            <w:pPr>
              <w:spacing w:after="0" w:line="240" w:lineRule="auto"/>
              <w:jc w:val="both"/>
              <w:rPr>
                <w:rFonts w:ascii="Times New Roman" w:hAnsi="Times New Roman"/>
                <w:color w:val="000000" w:themeColor="text1"/>
                <w:sz w:val="16"/>
                <w:szCs w:val="16"/>
              </w:rPr>
            </w:pPr>
          </w:p>
        </w:tc>
        <w:tc>
          <w:tcPr>
            <w:tcW w:w="2818" w:type="dxa"/>
          </w:tcPr>
          <w:p w14:paraId="7E77036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будут на 1934 г.</w:t>
            </w:r>
          </w:p>
        </w:tc>
      </w:tr>
      <w:tr w:rsidR="004E10C1" w:rsidRPr="0044524F" w14:paraId="2C0CBC89" w14:textId="77777777">
        <w:tc>
          <w:tcPr>
            <w:tcW w:w="2818" w:type="dxa"/>
          </w:tcPr>
          <w:p w14:paraId="243688B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АФ-82</w:t>
            </w:r>
          </w:p>
        </w:tc>
        <w:tc>
          <w:tcPr>
            <w:tcW w:w="2818" w:type="dxa"/>
          </w:tcPr>
          <w:p w14:paraId="5B28172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с валового</w:t>
            </w:r>
          </w:p>
        </w:tc>
      </w:tr>
      <w:tr w:rsidR="004E10C1" w:rsidRPr="0044524F" w14:paraId="5F1592F1" w14:textId="77777777">
        <w:tc>
          <w:tcPr>
            <w:tcW w:w="2818" w:type="dxa"/>
          </w:tcPr>
          <w:p w14:paraId="7FA9A24A" w14:textId="77777777" w:rsidR="003446BF" w:rsidRPr="0044524F" w:rsidRDefault="003446BF" w:rsidP="009654CF">
            <w:pPr>
              <w:spacing w:after="0" w:line="240" w:lineRule="auto"/>
              <w:jc w:val="both"/>
              <w:rPr>
                <w:rFonts w:ascii="Times New Roman" w:hAnsi="Times New Roman"/>
                <w:color w:val="000000" w:themeColor="text1"/>
                <w:sz w:val="16"/>
                <w:szCs w:val="16"/>
              </w:rPr>
            </w:pPr>
          </w:p>
        </w:tc>
        <w:tc>
          <w:tcPr>
            <w:tcW w:w="2818" w:type="dxa"/>
          </w:tcPr>
          <w:p w14:paraId="29C3FEE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производства</w:t>
            </w:r>
          </w:p>
        </w:tc>
      </w:tr>
      <w:tr w:rsidR="004E10C1" w:rsidRPr="0044524F" w14:paraId="13F317C2" w14:textId="77777777">
        <w:tc>
          <w:tcPr>
            <w:tcW w:w="2818" w:type="dxa"/>
          </w:tcPr>
          <w:p w14:paraId="59B310E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АФ-250</w:t>
            </w:r>
          </w:p>
        </w:tc>
        <w:tc>
          <w:tcPr>
            <w:tcW w:w="2818" w:type="dxa"/>
          </w:tcPr>
          <w:p w14:paraId="459C303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3DC1C85E" w14:textId="77777777">
        <w:tc>
          <w:tcPr>
            <w:tcW w:w="2818" w:type="dxa"/>
          </w:tcPr>
          <w:p w14:paraId="6FE33C8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АФ-500</w:t>
            </w:r>
          </w:p>
        </w:tc>
        <w:tc>
          <w:tcPr>
            <w:tcW w:w="2818" w:type="dxa"/>
          </w:tcPr>
          <w:p w14:paraId="7B95D2B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208BDEC4" w14:textId="77777777">
        <w:tc>
          <w:tcPr>
            <w:tcW w:w="2818" w:type="dxa"/>
          </w:tcPr>
          <w:p w14:paraId="4E308AC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Аэробомбы АФ-1000</w:t>
            </w:r>
          </w:p>
        </w:tc>
        <w:tc>
          <w:tcPr>
            <w:tcW w:w="2818" w:type="dxa"/>
          </w:tcPr>
          <w:p w14:paraId="3749AD5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349E76B2" w14:textId="77777777">
        <w:tc>
          <w:tcPr>
            <w:tcW w:w="2818" w:type="dxa"/>
          </w:tcPr>
          <w:p w14:paraId="30EDB7D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АФ-2000</w:t>
            </w:r>
          </w:p>
        </w:tc>
        <w:tc>
          <w:tcPr>
            <w:tcW w:w="2818" w:type="dxa"/>
          </w:tcPr>
          <w:p w14:paraId="2AB31E4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54EED61E" w14:textId="77777777">
        <w:tc>
          <w:tcPr>
            <w:tcW w:w="2818" w:type="dxa"/>
          </w:tcPr>
          <w:p w14:paraId="3E3C54C5" w14:textId="77777777" w:rsidR="003446BF" w:rsidRPr="0044524F" w:rsidRDefault="003446BF" w:rsidP="009654CF">
            <w:pPr>
              <w:spacing w:after="0" w:line="240" w:lineRule="auto"/>
              <w:jc w:val="both"/>
              <w:rPr>
                <w:rFonts w:ascii="Times New Roman" w:hAnsi="Times New Roman"/>
                <w:color w:val="000000" w:themeColor="text1"/>
                <w:sz w:val="16"/>
                <w:szCs w:val="16"/>
              </w:rPr>
            </w:pPr>
          </w:p>
        </w:tc>
        <w:tc>
          <w:tcPr>
            <w:tcW w:w="2818" w:type="dxa"/>
          </w:tcPr>
          <w:p w14:paraId="2B8CD5B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w:t>
            </w:r>
          </w:p>
        </w:tc>
      </w:tr>
      <w:tr w:rsidR="004E10C1" w:rsidRPr="0044524F" w14:paraId="01DEDA15" w14:textId="77777777">
        <w:tc>
          <w:tcPr>
            <w:tcW w:w="2818" w:type="dxa"/>
          </w:tcPr>
          <w:p w14:paraId="69992F89" w14:textId="77777777" w:rsidR="003446BF" w:rsidRPr="0044524F" w:rsidRDefault="003446BF" w:rsidP="009654CF">
            <w:pPr>
              <w:spacing w:after="0" w:line="240" w:lineRule="auto"/>
              <w:jc w:val="both"/>
              <w:rPr>
                <w:rFonts w:ascii="Times New Roman" w:hAnsi="Times New Roman"/>
                <w:color w:val="000000" w:themeColor="text1"/>
                <w:sz w:val="16"/>
                <w:szCs w:val="16"/>
              </w:rPr>
            </w:pPr>
          </w:p>
        </w:tc>
        <w:tc>
          <w:tcPr>
            <w:tcW w:w="2818" w:type="dxa"/>
          </w:tcPr>
          <w:p w14:paraId="34C1978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будут на 1934 г.</w:t>
            </w:r>
          </w:p>
        </w:tc>
      </w:tr>
      <w:tr w:rsidR="004E10C1" w:rsidRPr="0044524F" w14:paraId="1A776704" w14:textId="77777777">
        <w:tc>
          <w:tcPr>
            <w:tcW w:w="2818" w:type="dxa"/>
          </w:tcPr>
          <w:p w14:paraId="5D61086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АБР-250</w:t>
            </w:r>
          </w:p>
        </w:tc>
        <w:tc>
          <w:tcPr>
            <w:tcW w:w="2818" w:type="dxa"/>
          </w:tcPr>
          <w:p w14:paraId="6E8C612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41D7D6C5" w14:textId="77777777">
        <w:tc>
          <w:tcPr>
            <w:tcW w:w="2818" w:type="dxa"/>
          </w:tcPr>
          <w:p w14:paraId="71B7BC1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АБР-500</w:t>
            </w:r>
          </w:p>
        </w:tc>
        <w:tc>
          <w:tcPr>
            <w:tcW w:w="2818" w:type="dxa"/>
          </w:tcPr>
          <w:p w14:paraId="30B8EFE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5E3F4781" w14:textId="77777777">
        <w:tc>
          <w:tcPr>
            <w:tcW w:w="2818" w:type="dxa"/>
          </w:tcPr>
          <w:p w14:paraId="10570E5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АБР-1000</w:t>
            </w:r>
          </w:p>
        </w:tc>
        <w:tc>
          <w:tcPr>
            <w:tcW w:w="2818" w:type="dxa"/>
          </w:tcPr>
          <w:p w14:paraId="76CE2A7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04000618" w14:textId="77777777">
        <w:tc>
          <w:tcPr>
            <w:tcW w:w="2818" w:type="dxa"/>
          </w:tcPr>
          <w:p w14:paraId="3CA715E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АОХ-8</w:t>
            </w:r>
          </w:p>
        </w:tc>
        <w:tc>
          <w:tcPr>
            <w:tcW w:w="2818" w:type="dxa"/>
          </w:tcPr>
          <w:p w14:paraId="70FF0F6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с производства</w:t>
            </w:r>
          </w:p>
        </w:tc>
      </w:tr>
      <w:tr w:rsidR="004E10C1" w:rsidRPr="0044524F" w14:paraId="5421FF5B" w14:textId="77777777">
        <w:tc>
          <w:tcPr>
            <w:tcW w:w="2818" w:type="dxa"/>
          </w:tcPr>
          <w:p w14:paraId="0FF6886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АОХ-10</w:t>
            </w:r>
          </w:p>
        </w:tc>
        <w:tc>
          <w:tcPr>
            <w:tcW w:w="2818" w:type="dxa"/>
          </w:tcPr>
          <w:p w14:paraId="7FDCC94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106FDF69" w14:textId="77777777">
        <w:tc>
          <w:tcPr>
            <w:tcW w:w="2818" w:type="dxa"/>
          </w:tcPr>
          <w:p w14:paraId="374E352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АХ-25</w:t>
            </w:r>
          </w:p>
        </w:tc>
        <w:tc>
          <w:tcPr>
            <w:tcW w:w="2818" w:type="dxa"/>
          </w:tcPr>
          <w:p w14:paraId="4E5AE77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5E29E5D" w14:textId="77777777">
        <w:tc>
          <w:tcPr>
            <w:tcW w:w="2818" w:type="dxa"/>
          </w:tcPr>
          <w:p w14:paraId="2EDA84A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АХ-200</w:t>
            </w:r>
          </w:p>
        </w:tc>
        <w:tc>
          <w:tcPr>
            <w:tcW w:w="2818" w:type="dxa"/>
          </w:tcPr>
          <w:p w14:paraId="1020D04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191BD2A9" w14:textId="77777777">
        <w:tc>
          <w:tcPr>
            <w:tcW w:w="2818" w:type="dxa"/>
          </w:tcPr>
          <w:p w14:paraId="71E2319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АО-25ПР</w:t>
            </w:r>
          </w:p>
        </w:tc>
        <w:tc>
          <w:tcPr>
            <w:tcW w:w="2818" w:type="dxa"/>
          </w:tcPr>
          <w:p w14:paraId="0D949B7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3FDE57B3" w14:textId="77777777">
        <w:tc>
          <w:tcPr>
            <w:tcW w:w="2818" w:type="dxa"/>
          </w:tcPr>
          <w:p w14:paraId="5B6D4EF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АЗ-1</w:t>
            </w:r>
          </w:p>
        </w:tc>
        <w:tc>
          <w:tcPr>
            <w:tcW w:w="2818" w:type="dxa"/>
          </w:tcPr>
          <w:p w14:paraId="0B7C6FE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4D890ECB" w14:textId="77777777">
        <w:tc>
          <w:tcPr>
            <w:tcW w:w="2818" w:type="dxa"/>
          </w:tcPr>
          <w:p w14:paraId="4FD732E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АЗ-50</w:t>
            </w:r>
          </w:p>
        </w:tc>
        <w:tc>
          <w:tcPr>
            <w:tcW w:w="2818" w:type="dxa"/>
          </w:tcPr>
          <w:p w14:paraId="0DC8058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677B57B9" w14:textId="77777777">
        <w:tc>
          <w:tcPr>
            <w:tcW w:w="2818" w:type="dxa"/>
          </w:tcPr>
          <w:p w14:paraId="1E095A2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АС-5</w:t>
            </w:r>
          </w:p>
        </w:tc>
        <w:tc>
          <w:tcPr>
            <w:tcW w:w="2818" w:type="dxa"/>
          </w:tcPr>
          <w:p w14:paraId="67D4BD9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01A4EFA8" w14:textId="77777777">
        <w:tc>
          <w:tcPr>
            <w:tcW w:w="2818" w:type="dxa"/>
          </w:tcPr>
          <w:p w14:paraId="01E141A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АФДЗ-50</w:t>
            </w:r>
          </w:p>
        </w:tc>
        <w:tc>
          <w:tcPr>
            <w:tcW w:w="2818" w:type="dxa"/>
          </w:tcPr>
          <w:p w14:paraId="39A1722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27E5E78A" w14:textId="77777777">
        <w:tc>
          <w:tcPr>
            <w:tcW w:w="2818" w:type="dxa"/>
          </w:tcPr>
          <w:p w14:paraId="2F8AADF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ЗАМ-70</w:t>
            </w:r>
          </w:p>
        </w:tc>
        <w:tc>
          <w:tcPr>
            <w:tcW w:w="2818" w:type="dxa"/>
          </w:tcPr>
          <w:p w14:paraId="76409D7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Условно приняты</w:t>
            </w:r>
          </w:p>
        </w:tc>
      </w:tr>
      <w:tr w:rsidR="004E10C1" w:rsidRPr="0044524F" w14:paraId="330FFB3E" w14:textId="77777777">
        <w:tc>
          <w:tcPr>
            <w:tcW w:w="2818" w:type="dxa"/>
          </w:tcPr>
          <w:p w14:paraId="39F05A6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ПБМ-40</w:t>
            </w:r>
          </w:p>
        </w:tc>
        <w:tc>
          <w:tcPr>
            <w:tcW w:w="2818" w:type="dxa"/>
          </w:tcPr>
          <w:p w14:paraId="54C8B68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Условно приняты</w:t>
            </w:r>
          </w:p>
        </w:tc>
      </w:tr>
      <w:tr w:rsidR="004E10C1" w:rsidRPr="0044524F" w14:paraId="309D8836" w14:textId="77777777">
        <w:tc>
          <w:tcPr>
            <w:tcW w:w="2818" w:type="dxa"/>
          </w:tcPr>
          <w:p w14:paraId="07263FF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ПВ-1 7,62 мм</w:t>
            </w:r>
          </w:p>
        </w:tc>
        <w:tc>
          <w:tcPr>
            <w:tcW w:w="2818" w:type="dxa"/>
          </w:tcPr>
          <w:p w14:paraId="617069F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w:t>
            </w:r>
          </w:p>
        </w:tc>
      </w:tr>
      <w:tr w:rsidR="004E10C1" w:rsidRPr="0044524F" w14:paraId="27CFBD56" w14:textId="77777777">
        <w:tc>
          <w:tcPr>
            <w:tcW w:w="2818" w:type="dxa"/>
          </w:tcPr>
          <w:p w14:paraId="267F5FE7" w14:textId="77777777" w:rsidR="003446BF" w:rsidRPr="0044524F" w:rsidRDefault="003446BF" w:rsidP="009654CF">
            <w:pPr>
              <w:spacing w:after="0" w:line="240" w:lineRule="auto"/>
              <w:jc w:val="both"/>
              <w:rPr>
                <w:rFonts w:ascii="Times New Roman" w:hAnsi="Times New Roman"/>
                <w:color w:val="000000" w:themeColor="text1"/>
                <w:sz w:val="16"/>
                <w:szCs w:val="16"/>
              </w:rPr>
            </w:pPr>
          </w:p>
        </w:tc>
        <w:tc>
          <w:tcPr>
            <w:tcW w:w="2818" w:type="dxa"/>
          </w:tcPr>
          <w:p w14:paraId="7F8EE40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имеются</w:t>
            </w:r>
          </w:p>
        </w:tc>
      </w:tr>
      <w:tr w:rsidR="004E10C1" w:rsidRPr="0044524F" w14:paraId="4A1A962A" w14:textId="77777777">
        <w:tc>
          <w:tcPr>
            <w:tcW w:w="2818" w:type="dxa"/>
          </w:tcPr>
          <w:p w14:paraId="679F546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ДА-2 7,62 мм</w:t>
            </w:r>
          </w:p>
        </w:tc>
        <w:tc>
          <w:tcPr>
            <w:tcW w:w="2818" w:type="dxa"/>
          </w:tcPr>
          <w:p w14:paraId="6675A3D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w:t>
            </w:r>
          </w:p>
        </w:tc>
      </w:tr>
      <w:tr w:rsidR="004E10C1" w:rsidRPr="0044524F" w14:paraId="53E5349A" w14:textId="77777777">
        <w:tc>
          <w:tcPr>
            <w:tcW w:w="2818" w:type="dxa"/>
          </w:tcPr>
          <w:p w14:paraId="78FFB227" w14:textId="77777777" w:rsidR="003446BF" w:rsidRPr="0044524F" w:rsidRDefault="003446BF" w:rsidP="009654CF">
            <w:pPr>
              <w:spacing w:after="0" w:line="240" w:lineRule="auto"/>
              <w:jc w:val="both"/>
              <w:rPr>
                <w:rFonts w:ascii="Times New Roman" w:hAnsi="Times New Roman"/>
                <w:color w:val="000000" w:themeColor="text1"/>
                <w:sz w:val="16"/>
                <w:szCs w:val="16"/>
              </w:rPr>
            </w:pPr>
          </w:p>
        </w:tc>
        <w:tc>
          <w:tcPr>
            <w:tcW w:w="2818" w:type="dxa"/>
          </w:tcPr>
          <w:p w14:paraId="04628DC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имеются</w:t>
            </w:r>
          </w:p>
        </w:tc>
      </w:tr>
      <w:tr w:rsidR="004E10C1" w:rsidRPr="0044524F" w14:paraId="2D61278C" w14:textId="77777777">
        <w:tc>
          <w:tcPr>
            <w:tcW w:w="2818" w:type="dxa"/>
          </w:tcPr>
          <w:p w14:paraId="1B1FCBB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ШКАС 7,62 мм</w:t>
            </w:r>
          </w:p>
        </w:tc>
        <w:tc>
          <w:tcPr>
            <w:tcW w:w="2818" w:type="dxa"/>
          </w:tcPr>
          <w:p w14:paraId="2DD7082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Эталонов не имеется</w:t>
            </w:r>
          </w:p>
        </w:tc>
      </w:tr>
      <w:tr w:rsidR="004E10C1" w:rsidRPr="0044524F" w14:paraId="0F239CAC" w14:textId="77777777">
        <w:tc>
          <w:tcPr>
            <w:tcW w:w="2818" w:type="dxa"/>
          </w:tcPr>
          <w:p w14:paraId="0336FC1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ДАК 12,7 мм</w:t>
            </w:r>
          </w:p>
        </w:tc>
        <w:tc>
          <w:tcPr>
            <w:tcW w:w="2818" w:type="dxa"/>
          </w:tcPr>
          <w:p w14:paraId="6F724DE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Эталонов не имеется</w:t>
            </w:r>
          </w:p>
        </w:tc>
      </w:tr>
      <w:tr w:rsidR="004E10C1" w:rsidRPr="0044524F" w14:paraId="24FC92A5" w14:textId="77777777">
        <w:tc>
          <w:tcPr>
            <w:tcW w:w="2818" w:type="dxa"/>
          </w:tcPr>
          <w:p w14:paraId="643E1F5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ВАП-4</w:t>
            </w:r>
          </w:p>
        </w:tc>
        <w:tc>
          <w:tcPr>
            <w:tcW w:w="2818" w:type="dxa"/>
          </w:tcPr>
          <w:p w14:paraId="3E462B6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 есть</w:t>
            </w:r>
          </w:p>
        </w:tc>
      </w:tr>
      <w:tr w:rsidR="004E10C1" w:rsidRPr="0044524F" w14:paraId="2ED2C1FB" w14:textId="77777777">
        <w:tc>
          <w:tcPr>
            <w:tcW w:w="2818" w:type="dxa"/>
          </w:tcPr>
          <w:p w14:paraId="0892979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ДАП-100</w:t>
            </w:r>
          </w:p>
        </w:tc>
        <w:tc>
          <w:tcPr>
            <w:tcW w:w="2818" w:type="dxa"/>
          </w:tcPr>
          <w:p w14:paraId="7ACD3E0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 есть</w:t>
            </w:r>
          </w:p>
        </w:tc>
      </w:tr>
      <w:tr w:rsidR="004E10C1" w:rsidRPr="0044524F" w14:paraId="624C09B5" w14:textId="77777777">
        <w:tc>
          <w:tcPr>
            <w:tcW w:w="2818" w:type="dxa"/>
          </w:tcPr>
          <w:p w14:paraId="66688FD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ДАП-200</w:t>
            </w:r>
          </w:p>
        </w:tc>
        <w:tc>
          <w:tcPr>
            <w:tcW w:w="2818" w:type="dxa"/>
          </w:tcPr>
          <w:p w14:paraId="5462831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Имеются временные</w:t>
            </w:r>
          </w:p>
        </w:tc>
      </w:tr>
      <w:tr w:rsidR="004E10C1" w:rsidRPr="0044524F" w14:paraId="4496C3CC" w14:textId="77777777">
        <w:tc>
          <w:tcPr>
            <w:tcW w:w="2818" w:type="dxa"/>
          </w:tcPr>
          <w:p w14:paraId="1A1D445D" w14:textId="77777777" w:rsidR="003446BF" w:rsidRPr="0044524F" w:rsidRDefault="003446BF" w:rsidP="009654CF">
            <w:pPr>
              <w:spacing w:after="0" w:line="240" w:lineRule="auto"/>
              <w:jc w:val="both"/>
              <w:rPr>
                <w:rFonts w:ascii="Times New Roman" w:hAnsi="Times New Roman"/>
                <w:color w:val="000000" w:themeColor="text1"/>
                <w:sz w:val="16"/>
                <w:szCs w:val="16"/>
              </w:rPr>
            </w:pPr>
          </w:p>
        </w:tc>
        <w:tc>
          <w:tcPr>
            <w:tcW w:w="2818" w:type="dxa"/>
          </w:tcPr>
          <w:p w14:paraId="6FD474E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техусловия; заказывается</w:t>
            </w:r>
          </w:p>
        </w:tc>
      </w:tr>
      <w:tr w:rsidR="004E10C1" w:rsidRPr="0044524F" w14:paraId="4B057B4D" w14:textId="77777777">
        <w:tc>
          <w:tcPr>
            <w:tcW w:w="2818" w:type="dxa"/>
          </w:tcPr>
          <w:p w14:paraId="66E25454" w14:textId="77777777" w:rsidR="003446BF" w:rsidRPr="0044524F" w:rsidRDefault="003446BF" w:rsidP="009654CF">
            <w:pPr>
              <w:spacing w:after="0" w:line="240" w:lineRule="auto"/>
              <w:jc w:val="both"/>
              <w:rPr>
                <w:rFonts w:ascii="Times New Roman" w:hAnsi="Times New Roman"/>
                <w:color w:val="000000" w:themeColor="text1"/>
                <w:sz w:val="16"/>
                <w:szCs w:val="16"/>
              </w:rPr>
            </w:pPr>
          </w:p>
        </w:tc>
        <w:tc>
          <w:tcPr>
            <w:tcW w:w="2818" w:type="dxa"/>
          </w:tcPr>
          <w:p w14:paraId="13CA17F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опытная партия</w:t>
            </w:r>
          </w:p>
        </w:tc>
      </w:tr>
      <w:tr w:rsidR="004E10C1" w:rsidRPr="0044524F" w14:paraId="16D50644" w14:textId="77777777">
        <w:tc>
          <w:tcPr>
            <w:tcW w:w="2818" w:type="dxa"/>
          </w:tcPr>
          <w:p w14:paraId="2C58116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Разливочные станции</w:t>
            </w:r>
          </w:p>
        </w:tc>
        <w:tc>
          <w:tcPr>
            <w:tcW w:w="2818" w:type="dxa"/>
          </w:tcPr>
          <w:p w14:paraId="499FE9B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в стадии опытных</w:t>
            </w:r>
          </w:p>
        </w:tc>
      </w:tr>
      <w:tr w:rsidR="004E10C1" w:rsidRPr="0044524F" w14:paraId="527F2858" w14:textId="77777777">
        <w:tc>
          <w:tcPr>
            <w:tcW w:w="2818" w:type="dxa"/>
          </w:tcPr>
          <w:p w14:paraId="055E25D0" w14:textId="77777777" w:rsidR="003446BF" w:rsidRPr="0044524F" w:rsidRDefault="003446BF" w:rsidP="009654CF">
            <w:pPr>
              <w:spacing w:after="0" w:line="240" w:lineRule="auto"/>
              <w:jc w:val="both"/>
              <w:rPr>
                <w:rFonts w:ascii="Times New Roman" w:hAnsi="Times New Roman"/>
                <w:color w:val="000000" w:themeColor="text1"/>
                <w:sz w:val="16"/>
                <w:szCs w:val="16"/>
              </w:rPr>
            </w:pPr>
          </w:p>
        </w:tc>
        <w:tc>
          <w:tcPr>
            <w:tcW w:w="2818" w:type="dxa"/>
          </w:tcPr>
          <w:p w14:paraId="07DD5E8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w:t>
            </w:r>
          </w:p>
        </w:tc>
      </w:tr>
      <w:tr w:rsidR="004E10C1" w:rsidRPr="0044524F" w14:paraId="0CB90B28" w14:textId="77777777">
        <w:tc>
          <w:tcPr>
            <w:tcW w:w="2818" w:type="dxa"/>
          </w:tcPr>
          <w:p w14:paraId="733B9B9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Противогазы для летного</w:t>
            </w:r>
          </w:p>
        </w:tc>
        <w:tc>
          <w:tcPr>
            <w:tcW w:w="2818" w:type="dxa"/>
          </w:tcPr>
          <w:p w14:paraId="50CE12EE" w14:textId="77777777" w:rsidR="003446BF" w:rsidRPr="0044524F" w:rsidRDefault="003446BF" w:rsidP="009654CF">
            <w:pPr>
              <w:spacing w:after="0" w:line="240" w:lineRule="auto"/>
              <w:jc w:val="both"/>
              <w:rPr>
                <w:rFonts w:ascii="Times New Roman" w:hAnsi="Times New Roman"/>
                <w:color w:val="000000" w:themeColor="text1"/>
                <w:sz w:val="16"/>
                <w:szCs w:val="16"/>
              </w:rPr>
            </w:pPr>
          </w:p>
        </w:tc>
      </w:tr>
      <w:tr w:rsidR="004E10C1" w:rsidRPr="0044524F" w14:paraId="03E88298" w14:textId="77777777">
        <w:tc>
          <w:tcPr>
            <w:tcW w:w="2818" w:type="dxa"/>
          </w:tcPr>
          <w:p w14:paraId="31EDB71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состава</w:t>
            </w:r>
          </w:p>
        </w:tc>
        <w:tc>
          <w:tcPr>
            <w:tcW w:w="2818" w:type="dxa"/>
          </w:tcPr>
          <w:p w14:paraId="079540E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Эталонов не имеется (3058)</w:t>
            </w:r>
          </w:p>
        </w:tc>
      </w:tr>
    </w:tbl>
    <w:p w14:paraId="09E6A111"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6FBDC437"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E1D7747"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2B75BE07"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22 апреля 1933 г. сборка танка Т-35-2 закончилась, а 1 мая он прошел на параде по площади Урицкого в Ленинграде, тог</w:t>
      </w:r>
      <w:r w:rsidRPr="0044524F">
        <w:rPr>
          <w:rFonts w:ascii="Times New Roman" w:hAnsi="Times New Roman"/>
          <w:color w:val="000000" w:themeColor="text1"/>
          <w:sz w:val="16"/>
          <w:szCs w:val="16"/>
        </w:rPr>
        <w:softHyphen/>
        <w:t>да как Т-35-1 участвовал в параде в Москве. Новый танк Т-35-2 получил двигатель водяного охлаждения М-17, новую трансмиссию и КПП. Пневмоуправление было исключено, тележки ходовой час</w:t>
      </w:r>
      <w:r w:rsidRPr="0044524F">
        <w:rPr>
          <w:rFonts w:ascii="Times New Roman" w:hAnsi="Times New Roman"/>
          <w:color w:val="000000" w:themeColor="text1"/>
          <w:sz w:val="16"/>
          <w:szCs w:val="16"/>
        </w:rPr>
        <w:softHyphen/>
        <w:t>ти танка доработаны по типу тележек немецкого «Гросстрактора» фирмы «Крупп». Была установлена большая башня цилиндрической формы, оснащенная пушкой ПС-3 с прогрессивной нарезкой. Впрочем, с этим периодом в жизни Т-35 есть нестыковки. Дело в том, что к этому моменту Т-35-1 уже находился в распоряжении ЛБТКУКС, и пока нет строгих доказательств, что он пере</w:t>
      </w:r>
      <w:r w:rsidRPr="0044524F">
        <w:rPr>
          <w:rFonts w:ascii="Times New Roman" w:hAnsi="Times New Roman"/>
          <w:color w:val="000000" w:themeColor="text1"/>
          <w:sz w:val="16"/>
          <w:szCs w:val="16"/>
        </w:rPr>
        <w:softHyphen/>
        <w:t>давался оттуда в Москву. Так что вполне возможно, что участие Т-35-1 и Т-35-2 в парадах в Москве и Ленинграде было разнесено во времени. Например, Т-35-1 участвовал в первом параде в Москве не в мае 1933 г., а в ноябре 1932 г. В то время как шла сборка Т-35-2, ОКМО заканчивал работы над танком Т-35А, который должен был выпускать</w:t>
      </w:r>
      <w:r w:rsidRPr="0044524F">
        <w:rPr>
          <w:rFonts w:ascii="Times New Roman" w:hAnsi="Times New Roman"/>
          <w:color w:val="000000" w:themeColor="text1"/>
          <w:sz w:val="16"/>
          <w:szCs w:val="16"/>
        </w:rPr>
        <w:softHyphen/>
        <w:t>ся серийно. По силовой установке, ходовой части и транс</w:t>
      </w:r>
      <w:r w:rsidRPr="0044524F">
        <w:rPr>
          <w:rFonts w:ascii="Times New Roman" w:hAnsi="Times New Roman"/>
          <w:color w:val="000000" w:themeColor="text1"/>
          <w:sz w:val="16"/>
          <w:szCs w:val="16"/>
        </w:rPr>
        <w:softHyphen/>
        <w:t>миссии он был идентичен Т-35-2, однако корпус и башни были видоизменены для упрощения производства. Так, главная башня была унифицирована с башней среднего танка Т-28, а малые орудийные башни, оснащенные теперь 45-мм пушкой и пулеметом, представляли собой в целом башни танка Т-26 (БТ-5) без кормовой ниши. Интересно, что согласно документам УММ по танку Т-35 эта унифика</w:t>
      </w:r>
      <w:r w:rsidRPr="0044524F">
        <w:rPr>
          <w:rFonts w:ascii="Times New Roman" w:hAnsi="Times New Roman"/>
          <w:color w:val="000000" w:themeColor="text1"/>
          <w:sz w:val="16"/>
          <w:szCs w:val="16"/>
        </w:rPr>
        <w:softHyphen/>
        <w:t>ция была произведена по личному указанию тов. Сталина. Кроме того, Т-35А имел новые пулеметные башни, удли</w:t>
      </w:r>
      <w:r w:rsidRPr="0044524F">
        <w:rPr>
          <w:rFonts w:ascii="Times New Roman" w:hAnsi="Times New Roman"/>
          <w:color w:val="000000" w:themeColor="text1"/>
          <w:sz w:val="16"/>
          <w:szCs w:val="16"/>
        </w:rPr>
        <w:softHyphen/>
        <w:t>ненный корпус, измененные фальшборты. Согласно постановлению правительства СССР производство Т-35А со второго полугодия 1933 г должно бы-до быть передано на Харьковский паровозостроительный завод (ХПЗ), где в это время шло лихорадочное освоение быстроходного БТ-5 (10733,263).</w:t>
      </w:r>
    </w:p>
    <w:p w14:paraId="5F07E736"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p>
    <w:p w14:paraId="4D3DE632"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апреля 1933</w:t>
      </w:r>
    </w:p>
    <w:p w14:paraId="5AB4F55D"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6B35CB85"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http://sovdoc.rusarchives.ru</w:t>
      </w:r>
    </w:p>
    <w:p w14:paraId="09CDAC40"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3255BB56"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РГАСПИ. Ф. 17. Оп. 3. Д. 921. Л. 89</w:t>
      </w:r>
    </w:p>
    <w:p w14:paraId="1E00B2E7"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12</w:t>
      </w:r>
    </w:p>
    <w:p w14:paraId="1BDC0789"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115/91 пр. ПБ № 136.</w:t>
      </w:r>
    </w:p>
    <w:p w14:paraId="6319CE69"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22.IV.1933 г.</w:t>
      </w:r>
    </w:p>
    <w:p w14:paraId="70108276"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 Народного Комиссариата Тяжелой Промышленности.</w:t>
      </w:r>
    </w:p>
    <w:p w14:paraId="4469CD6C"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организации Главного управления по судостроению при НКТП</w:t>
      </w:r>
    </w:p>
    <w:p w14:paraId="29FA7915" w14:textId="77777777" w:rsidR="00244DD2" w:rsidRPr="0044524F" w:rsidRDefault="00244D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Москва.</w:t>
      </w:r>
    </w:p>
    <w:p w14:paraId="0903F419" w14:textId="77777777" w:rsidR="00244DD2" w:rsidRPr="0044524F" w:rsidRDefault="00244D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"__ " апреля 1933 г.</w:t>
      </w:r>
    </w:p>
    <w:p w14:paraId="77B811E9"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Произвести реорганизацию системы управления морской и речной судостроительной промышленности на следующих основаниях:</w:t>
      </w:r>
    </w:p>
    <w:p w14:paraId="6B9405A3"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Изъять из ведения Главтрансмаша объединения: Союзверфь и Речсоюзверфь со всеми входящими в их состав предприятиями и учреждениями.</w:t>
      </w:r>
    </w:p>
    <w:p w14:paraId="28A930EF"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Организовать в составе Наркомтяжпрома Главное Управление морской и речной судостроительной промышленности (ГУСП), с временным местонахождением Главка в г. Ленинграде.</w:t>
      </w:r>
    </w:p>
    <w:p w14:paraId="7DC6F7E5"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Начальнику ГУСП'а в декадный срок представить мне на утверждение согласованное с сектором ОРГРАЦ положение о функциях ГУСП'а, а также: штаты, а начальнику Главтрансмаша — положение и штаты по Главтрансмашу.</w:t>
      </w:r>
    </w:p>
    <w:p w14:paraId="5520F970"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Объединение Союзверфь упразднить, подчинив непосредственно ГУСП'у все предприятия, ныне входящие в состав Союзверфи.</w:t>
      </w:r>
    </w:p>
    <w:p w14:paraId="6D0E113B"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Речсоюзверфь преобразовать в трест речного судостроения “Речсудтрест” с подчинением означенного треста ГУСП'у.</w:t>
      </w:r>
    </w:p>
    <w:p w14:paraId="4FB7F294"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Гипроверфь ликвидировать, передав ее функции Проектверфи. Проектверфь, Судопроект, Научно-Исследовательский Институт судостроения и Центральное Инструкторское бюро судостроения, а также НТС'ы морского и речного судостроения передать ГУСП'у; Речсудопроект (с киевским филиалом) передать речсудотресту,</w:t>
      </w:r>
    </w:p>
    <w:p w14:paraId="5EE1F234"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Изъять из Управления новостроек Главтрансмаша и передать в ведение ГУСП'а новые строительства морского и речного судостроения.</w:t>
      </w:r>
    </w:p>
    <w:p w14:paraId="1D1597F3"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Начальником ГУСП'а назначить т. Кондратьева.</w:t>
      </w:r>
    </w:p>
    <w:p w14:paraId="6072FDB2" w14:textId="77777777" w:rsidR="00237F26" w:rsidRPr="0044524F" w:rsidRDefault="00237F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Народный Комиссар Тяжелой Промышленности — С. Орджоникидзе (18056).</w:t>
      </w:r>
    </w:p>
    <w:p w14:paraId="367B8D40" w14:textId="0BF7826B" w:rsidR="00237F26" w:rsidRPr="0044524F" w:rsidRDefault="00237F26" w:rsidP="009654CF">
      <w:pPr>
        <w:spacing w:after="0" w:line="240" w:lineRule="auto"/>
        <w:jc w:val="both"/>
        <w:rPr>
          <w:rFonts w:ascii="Times New Roman" w:hAnsi="Times New Roman"/>
          <w:color w:val="000000" w:themeColor="text1"/>
          <w:sz w:val="16"/>
          <w:szCs w:val="16"/>
        </w:rPr>
      </w:pPr>
    </w:p>
    <w:p w14:paraId="31530269" w14:textId="44D1495C" w:rsidR="00CA5E0A" w:rsidRPr="0044524F" w:rsidRDefault="00CA5E0A"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33874627" w14:textId="77777777" w:rsidR="00CA5E0A" w:rsidRPr="0044524F" w:rsidRDefault="00CA5E0A" w:rsidP="009654CF">
      <w:pPr>
        <w:spacing w:after="0" w:line="240" w:lineRule="auto"/>
        <w:jc w:val="both"/>
        <w:rPr>
          <w:rFonts w:ascii="Times New Roman" w:hAnsi="Times New Roman"/>
          <w:i/>
          <w:iCs/>
          <w:color w:val="000000" w:themeColor="text1"/>
          <w:sz w:val="16"/>
          <w:szCs w:val="16"/>
        </w:rPr>
      </w:pPr>
    </w:p>
    <w:p w14:paraId="21C7E42D" w14:textId="77777777" w:rsidR="00CA5E0A" w:rsidRPr="0044524F" w:rsidRDefault="00CA5E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апреля 1933 состоялся первый полет Farman F.370 (20802).</w:t>
      </w:r>
    </w:p>
    <w:p w14:paraId="0C8957BC" w14:textId="77777777" w:rsidR="00CA5E0A" w:rsidRPr="0044524F" w:rsidRDefault="00CA5E0A" w:rsidP="009654CF">
      <w:pPr>
        <w:spacing w:after="0" w:line="240" w:lineRule="auto"/>
        <w:jc w:val="both"/>
        <w:rPr>
          <w:rFonts w:ascii="Times New Roman" w:hAnsi="Times New Roman"/>
          <w:color w:val="000000" w:themeColor="text1"/>
          <w:sz w:val="16"/>
          <w:szCs w:val="16"/>
        </w:rPr>
      </w:pPr>
    </w:p>
    <w:p w14:paraId="3CE6A631"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7828CC0"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665E919E"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23 апреля 1933 закончились испытания вооруженного самолета У-2 № 3115 (эталон на 1933 год), мотор М-11, которые проходили с 17 апреля 1933 (6645).</w:t>
      </w:r>
    </w:p>
    <w:p w14:paraId="55053B94"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44CB8D28"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самолет – Мируц</w:t>
      </w:r>
    </w:p>
    <w:p w14:paraId="4FF3230D"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Петров, Долгов</w:t>
      </w:r>
    </w:p>
    <w:p w14:paraId="3D949CAA"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094AF1AA" w14:textId="77777777" w:rsidR="003446BF" w:rsidRPr="0044524F" w:rsidRDefault="003446BF" w:rsidP="009654CF">
      <w:pPr>
        <w:numPr>
          <w:ilvl w:val="0"/>
          <w:numId w:val="15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возможность использования самолета № 3115 в качестве образца (эталона) для серийной постройки.</w:t>
      </w:r>
    </w:p>
    <w:p w14:paraId="1B25BA50" w14:textId="77777777" w:rsidR="003446BF" w:rsidRPr="0044524F" w:rsidRDefault="003446BF" w:rsidP="009654CF">
      <w:pPr>
        <w:numPr>
          <w:ilvl w:val="0"/>
          <w:numId w:val="15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летные данные вооруженного самолета У2-М11.</w:t>
      </w:r>
    </w:p>
    <w:p w14:paraId="11694158"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0DFC7BE1" w14:textId="77777777" w:rsidR="003446BF" w:rsidRPr="0044524F" w:rsidRDefault="003446BF" w:rsidP="009654CF">
      <w:pPr>
        <w:numPr>
          <w:ilvl w:val="0"/>
          <w:numId w:val="15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 3115 после устранения дефектов может быть использован в качестве эталона вооруженного варианта У2 для вооружения самолетов У2 силами авиачастей.</w:t>
      </w:r>
    </w:p>
    <w:p w14:paraId="2A290EFA"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серийной постройки, ввиду наличия в турельной установке ряда дефектов (малая сфера обстрела, недостаточная устойчивость) требующих проектирования совершенно новой установки – представленный самолет эталоном служить не может.</w:t>
      </w:r>
    </w:p>
    <w:p w14:paraId="0430550E"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испытания – 6 дней (6645).</w:t>
      </w:r>
    </w:p>
    <w:p w14:paraId="4D3BB175"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p>
    <w:p w14:paraId="0613B84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апреля 1933 начальник военно-химического управления и химвойск РККА написал Я.И.Алкснису - начальнику ВВС. К маю 1933 будет изготовлен рекордный самолет марки РД. Рассчитан на 45 часов и в крыле вмешает 6 т. Этот самолет может быть использован для целей воздушно-химического нападения. Для этого необходимо оставить для бензина 1-2 т, а остальные приспособить под помещение в них жидкого ОВ (4-5 т) Резолюция Я.И.Алксниса: т. Горощенко. Одновременно проработать данное мною Петрову задание о возможности приспособления РД как дальнего бомбовоза. Идею военного применения РД дал инженер 7 сектора НИИ ВВС Жемчужин (160,27).</w:t>
      </w:r>
    </w:p>
    <w:p w14:paraId="3D90A540"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712069F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апреля 1933 было подготовлено письмо Начальнику ВВС РККА Т. Алкснису:</w:t>
      </w:r>
    </w:p>
    <w:p w14:paraId="038DB07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1933 г. будет изготовлен рекордный самолет марки РД (рекорд дальности). Самолет рассчитан на 45 часов полета и имеет у себя в крыльях большие вместилища (на 6 тонн) для бензина. Этот самолет может быть использован для целей воздушно-химического нападения. Для этого необходимо оставить хранилище для бензина 1-2 тонны, а остальные хранилища приспособить под помещения в них жидкого отравляющего вещества (4-5 тонн).</w:t>
      </w:r>
    </w:p>
    <w:p w14:paraId="6DB6FA8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военно-химического управления н химических войск РККА (подпись неразборчива)</w:t>
      </w:r>
    </w:p>
    <w:p w14:paraId="1FB5E33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Резолюция:</w:t>
      </w:r>
    </w:p>
    <w:p w14:paraId="1FDA644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 Горощенко. Одновременно проработать уже данное мною т.Петрову задание о возможности приспособления «РД» как дальнего бомбовоза.</w:t>
      </w:r>
    </w:p>
    <w:p w14:paraId="1845296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Идея военного варианта РД, как следует из архивных документов, принадлежала инженеру 7-го сектора НИИ ВВС Жемчужину. На что рассчитывали военные? Сейчас сказать трудно, ведь РД - тихоходный, низковысотный, неманевренный с большими габаритами самолет представлял собой идеальную мишень и для истребителей и для зенитной артиллерии. Так начиналась теневая история легендарного самолета РД, во второй раз открывшего американцам советскую Россию (160).</w:t>
      </w:r>
    </w:p>
    <w:p w14:paraId="3052C7DC"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72CA2287" w14:textId="77777777" w:rsidR="00185C06" w:rsidRPr="0044524F" w:rsidRDefault="00185C06"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Style w:val="114"/>
          <w:rFonts w:eastAsia="Calibri"/>
          <w:b w:val="0"/>
          <w:i w:val="0"/>
          <w:color w:val="000000" w:themeColor="text1"/>
          <w:sz w:val="16"/>
          <w:szCs w:val="16"/>
        </w:rPr>
        <w:t>23 апреля 1933 года начальник военно-хими</w:t>
      </w:r>
      <w:r w:rsidRPr="0044524F">
        <w:rPr>
          <w:rStyle w:val="114"/>
          <w:rFonts w:eastAsia="Calibri"/>
          <w:b w:val="0"/>
          <w:i w:val="0"/>
          <w:color w:val="000000" w:themeColor="text1"/>
          <w:sz w:val="16"/>
          <w:szCs w:val="16"/>
        </w:rPr>
        <w:softHyphen/>
        <w:t>ческою управления и химических войск РККА в письме начальнику ВВС РККА Якову Алкснису со</w:t>
      </w:r>
      <w:r w:rsidRPr="0044524F">
        <w:rPr>
          <w:rStyle w:val="114"/>
          <w:rFonts w:eastAsia="Calibri"/>
          <w:b w:val="0"/>
          <w:i w:val="0"/>
          <w:color w:val="000000" w:themeColor="text1"/>
          <w:sz w:val="16"/>
          <w:szCs w:val="16"/>
        </w:rPr>
        <w:softHyphen/>
        <w:t>общал:</w:t>
      </w:r>
      <w:r w:rsidRPr="0044524F">
        <w:rPr>
          <w:rFonts w:ascii="Times New Roman" w:hAnsi="Times New Roman" w:cs="Times New Roman"/>
          <w:b w:val="0"/>
          <w:color w:val="000000" w:themeColor="text1"/>
          <w:sz w:val="16"/>
          <w:szCs w:val="16"/>
        </w:rPr>
        <w:t xml:space="preserve"> «К 1 мая 1933 г. будет изготовлен рекордный самолет марки РД. Самолет рас</w:t>
      </w:r>
      <w:r w:rsidRPr="0044524F">
        <w:rPr>
          <w:rFonts w:ascii="Times New Roman" w:hAnsi="Times New Roman" w:cs="Times New Roman"/>
          <w:b w:val="0"/>
          <w:color w:val="000000" w:themeColor="text1"/>
          <w:sz w:val="16"/>
          <w:szCs w:val="16"/>
        </w:rPr>
        <w:softHyphen/>
        <w:t>считан на 45 часов полета и имеет у себя в крыльях большие вместилища (на 6 тонн) бензина. Этот самолет может быть ис</w:t>
      </w:r>
      <w:r w:rsidRPr="0044524F">
        <w:rPr>
          <w:rFonts w:ascii="Times New Roman" w:hAnsi="Times New Roman" w:cs="Times New Roman"/>
          <w:b w:val="0"/>
          <w:color w:val="000000" w:themeColor="text1"/>
          <w:sz w:val="16"/>
          <w:szCs w:val="16"/>
        </w:rPr>
        <w:softHyphen/>
        <w:t>пользован для целей воздушно-химического нападения. Для этого необходимо оставить хранилище для бензина 1—2 тонны, а осталь</w:t>
      </w:r>
      <w:r w:rsidRPr="0044524F">
        <w:rPr>
          <w:rFonts w:ascii="Times New Roman" w:hAnsi="Times New Roman" w:cs="Times New Roman"/>
          <w:b w:val="0"/>
          <w:color w:val="000000" w:themeColor="text1"/>
          <w:sz w:val="16"/>
          <w:szCs w:val="16"/>
        </w:rPr>
        <w:softHyphen/>
        <w:t>ные хранилища приспособить под помещения в них жидкого отравляющего вещества (4— 5 тонн)».</w:t>
      </w:r>
    </w:p>
    <w:p w14:paraId="4F9B8C8E" w14:textId="77777777" w:rsidR="00185C06" w:rsidRPr="0044524F" w:rsidRDefault="00185C06"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Style w:val="114"/>
          <w:rFonts w:eastAsia="Calibri"/>
          <w:b w:val="0"/>
          <w:i w:val="0"/>
          <w:color w:val="000000" w:themeColor="text1"/>
          <w:sz w:val="16"/>
          <w:szCs w:val="16"/>
        </w:rPr>
        <w:t>На этом письме Алкснис наложил резо</w:t>
      </w:r>
      <w:r w:rsidRPr="0044524F">
        <w:rPr>
          <w:rStyle w:val="114"/>
          <w:rFonts w:eastAsia="Calibri"/>
          <w:b w:val="0"/>
          <w:i w:val="0"/>
          <w:color w:val="000000" w:themeColor="text1"/>
          <w:sz w:val="16"/>
          <w:szCs w:val="16"/>
        </w:rPr>
        <w:softHyphen/>
        <w:t>люцию:</w:t>
      </w:r>
      <w:r w:rsidRPr="0044524F">
        <w:rPr>
          <w:rFonts w:ascii="Times New Roman" w:hAnsi="Times New Roman" w:cs="Times New Roman"/>
          <w:b w:val="0"/>
          <w:color w:val="000000" w:themeColor="text1"/>
          <w:sz w:val="16"/>
          <w:szCs w:val="16"/>
        </w:rPr>
        <w:t xml:space="preserve"> «т. Горощенко. Одновременно про</w:t>
      </w:r>
      <w:r w:rsidRPr="0044524F">
        <w:rPr>
          <w:rFonts w:ascii="Times New Roman" w:hAnsi="Times New Roman" w:cs="Times New Roman"/>
          <w:b w:val="0"/>
          <w:color w:val="000000" w:themeColor="text1"/>
          <w:sz w:val="16"/>
          <w:szCs w:val="16"/>
        </w:rPr>
        <w:softHyphen/>
        <w:t>работать уже данное мною т. Петрову за</w:t>
      </w:r>
      <w:r w:rsidRPr="0044524F">
        <w:rPr>
          <w:rFonts w:ascii="Times New Roman" w:hAnsi="Times New Roman" w:cs="Times New Roman"/>
          <w:b w:val="0"/>
          <w:color w:val="000000" w:themeColor="text1"/>
          <w:sz w:val="16"/>
          <w:szCs w:val="16"/>
        </w:rPr>
        <w:softHyphen/>
        <w:t>дание о возможности приспособления «РД» как дальнего бомбовоза».</w:t>
      </w:r>
    </w:p>
    <w:p w14:paraId="1D6BF2A3"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началась теневая история легендар</w:t>
      </w:r>
      <w:r w:rsidRPr="0044524F">
        <w:rPr>
          <w:rFonts w:ascii="Times New Roman" w:hAnsi="Times New Roman"/>
          <w:color w:val="000000" w:themeColor="text1"/>
          <w:sz w:val="16"/>
          <w:szCs w:val="16"/>
        </w:rPr>
        <w:softHyphen/>
        <w:t>ного самолета РД, или, как его еше в на</w:t>
      </w:r>
      <w:r w:rsidRPr="0044524F">
        <w:rPr>
          <w:rFonts w:ascii="Times New Roman" w:hAnsi="Times New Roman"/>
          <w:color w:val="000000" w:themeColor="text1"/>
          <w:sz w:val="16"/>
          <w:szCs w:val="16"/>
        </w:rPr>
        <w:softHyphen/>
        <w:t>чале проектирования называли, РД-ВВ. Согласно справке П.О. Сухого (РГАЭ, ф. 8044, д. 679, л. 291), первоначально даль</w:t>
      </w:r>
      <w:r w:rsidRPr="0044524F">
        <w:rPr>
          <w:rFonts w:ascii="Times New Roman" w:hAnsi="Times New Roman"/>
          <w:color w:val="000000" w:themeColor="text1"/>
          <w:sz w:val="16"/>
          <w:szCs w:val="16"/>
        </w:rPr>
        <w:softHyphen/>
        <w:t>ность полета ДБ-1 без нагрузки оценива</w:t>
      </w:r>
      <w:r w:rsidRPr="0044524F">
        <w:rPr>
          <w:rFonts w:ascii="Times New Roman" w:hAnsi="Times New Roman"/>
          <w:color w:val="000000" w:themeColor="text1"/>
          <w:sz w:val="16"/>
          <w:szCs w:val="16"/>
        </w:rPr>
        <w:softHyphen/>
        <w:t>лась в 10 ООО км, а с 1000 кг бомб и двумя пулеметами ДА - 4000 км. Максимальная скорость с мотором М-34 не превышала 225 км/ч, а с М-35 — 250 км/ч. Высота над целью — 5000 метров (12725).</w:t>
      </w:r>
    </w:p>
    <w:p w14:paraId="514822E4" w14:textId="77777777" w:rsidR="00185C06" w:rsidRPr="0044524F" w:rsidRDefault="00185C06" w:rsidP="009654CF">
      <w:pPr>
        <w:spacing w:after="0" w:line="240" w:lineRule="auto"/>
        <w:jc w:val="both"/>
        <w:rPr>
          <w:rFonts w:ascii="Times New Roman" w:hAnsi="Times New Roman"/>
          <w:color w:val="000000" w:themeColor="text1"/>
          <w:sz w:val="16"/>
          <w:szCs w:val="16"/>
        </w:rPr>
      </w:pPr>
    </w:p>
    <w:p w14:paraId="35907E51" w14:textId="77777777" w:rsidR="00C15370" w:rsidRPr="0044524F" w:rsidRDefault="00C153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апреля 1933 г. начальник военно</w:t>
      </w:r>
      <w:r w:rsidRPr="0044524F">
        <w:rPr>
          <w:rFonts w:ascii="Times New Roman" w:hAnsi="Times New Roman"/>
          <w:color w:val="000000" w:themeColor="text1"/>
          <w:sz w:val="16"/>
          <w:szCs w:val="16"/>
        </w:rPr>
        <w:softHyphen/>
        <w:t>химического управления и химических войск РККА сообщил Я.И. Алкснису:</w:t>
      </w:r>
    </w:p>
    <w:p w14:paraId="034AC212" w14:textId="77777777" w:rsidR="00C15370" w:rsidRPr="0044524F" w:rsidRDefault="00C153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1933 г. будет изготовлен ре</w:t>
      </w:r>
      <w:r w:rsidRPr="0044524F">
        <w:rPr>
          <w:rFonts w:ascii="Times New Roman" w:hAnsi="Times New Roman"/>
          <w:color w:val="000000" w:themeColor="text1"/>
          <w:sz w:val="16"/>
          <w:szCs w:val="16"/>
        </w:rPr>
        <w:softHyphen/>
        <w:t>кордный самолет марки РД (рекорд даль</w:t>
      </w:r>
      <w:r w:rsidRPr="0044524F">
        <w:rPr>
          <w:rFonts w:ascii="Times New Roman" w:hAnsi="Times New Roman"/>
          <w:color w:val="000000" w:themeColor="text1"/>
          <w:sz w:val="16"/>
          <w:szCs w:val="16"/>
        </w:rPr>
        <w:softHyphen/>
        <w:t>ности). Самолет рассчитан на 45 часов полета и имеет у себя в крыльях большие вместилища (на 6 тонн) для бензина. Этот самолет может быть использован для целей воздушно-химического напа</w:t>
      </w:r>
      <w:r w:rsidRPr="0044524F">
        <w:rPr>
          <w:rFonts w:ascii="Times New Roman" w:hAnsi="Times New Roman"/>
          <w:color w:val="000000" w:themeColor="text1"/>
          <w:sz w:val="16"/>
          <w:szCs w:val="16"/>
        </w:rPr>
        <w:softHyphen/>
        <w:t>дения. Для этого необходимо оставить хранилище для бензина 1—2 тонны, а ос</w:t>
      </w:r>
      <w:r w:rsidRPr="0044524F">
        <w:rPr>
          <w:rFonts w:ascii="Times New Roman" w:hAnsi="Times New Roman"/>
          <w:color w:val="000000" w:themeColor="text1"/>
          <w:sz w:val="16"/>
          <w:szCs w:val="16"/>
        </w:rPr>
        <w:softHyphen/>
        <w:t>тальные хранилища приспособить под помещение в них жидкого отравляющего вещества (4—5 тонн).»</w:t>
      </w:r>
    </w:p>
    <w:p w14:paraId="6603DB71" w14:textId="77777777" w:rsidR="00C15370" w:rsidRPr="0044524F" w:rsidRDefault="00C153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Алкснис на это послание наложил ре</w:t>
      </w:r>
      <w:r w:rsidRPr="0044524F">
        <w:rPr>
          <w:rFonts w:ascii="Times New Roman" w:hAnsi="Times New Roman"/>
          <w:color w:val="000000" w:themeColor="text1"/>
          <w:sz w:val="16"/>
          <w:szCs w:val="16"/>
        </w:rPr>
        <w:softHyphen/>
        <w:t>золюцию: «т. Горощенко. Одновременно проработать уже данное мною т. Петрову задание о возможности приспособления «РД» как дальнего бомбовоза».</w:t>
      </w:r>
    </w:p>
    <w:p w14:paraId="3D067304" w14:textId="77777777" w:rsidR="00C15370" w:rsidRPr="0044524F" w:rsidRDefault="00C153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на АНТ—25 предпола</w:t>
      </w:r>
      <w:r w:rsidRPr="0044524F">
        <w:rPr>
          <w:rFonts w:ascii="Times New Roman" w:hAnsi="Times New Roman"/>
          <w:color w:val="000000" w:themeColor="text1"/>
          <w:sz w:val="16"/>
          <w:szCs w:val="16"/>
        </w:rPr>
        <w:softHyphen/>
        <w:t>галось возложить задачи не только дальне</w:t>
      </w:r>
      <w:r w:rsidRPr="0044524F">
        <w:rPr>
          <w:rFonts w:ascii="Times New Roman" w:hAnsi="Times New Roman"/>
          <w:color w:val="000000" w:themeColor="text1"/>
          <w:sz w:val="16"/>
          <w:szCs w:val="16"/>
        </w:rPr>
        <w:softHyphen/>
        <w:t>го бомбардировщика, что и попытались сделать практически — АНТ—36 (ДБ—1), но и носителя химического оружия. Од</w:t>
      </w:r>
      <w:r w:rsidRPr="0044524F">
        <w:rPr>
          <w:rFonts w:ascii="Times New Roman" w:hAnsi="Times New Roman"/>
          <w:color w:val="000000" w:themeColor="text1"/>
          <w:sz w:val="16"/>
          <w:szCs w:val="16"/>
        </w:rPr>
        <w:softHyphen/>
        <w:t>нако РД остался исключительно мирной машиной.</w:t>
      </w:r>
    </w:p>
    <w:p w14:paraId="3B773FB0" w14:textId="77777777" w:rsidR="00C15370" w:rsidRPr="0044524F" w:rsidRDefault="00C15370" w:rsidP="009654CF">
      <w:pPr>
        <w:spacing w:after="0" w:line="240" w:lineRule="auto"/>
        <w:jc w:val="both"/>
        <w:rPr>
          <w:rFonts w:ascii="Times New Roman" w:hAnsi="Times New Roman"/>
          <w:color w:val="000000" w:themeColor="text1"/>
          <w:sz w:val="16"/>
          <w:szCs w:val="16"/>
        </w:rPr>
      </w:pPr>
    </w:p>
    <w:p w14:paraId="707310C0"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апреля 1933 г. начальник Военно</w:t>
      </w:r>
      <w:r w:rsidRPr="00142305">
        <w:rPr>
          <w:rFonts w:ascii="Times New Roman" w:hAnsi="Times New Roman"/>
          <w:color w:val="0070C0"/>
          <w:sz w:val="16"/>
          <w:szCs w:val="16"/>
        </w:rPr>
        <w:softHyphen/>
        <w:t>химического управления (ВОХИМУ) РККА Я М. Фишман предложил УВВС использо</w:t>
      </w:r>
      <w:r w:rsidRPr="00142305">
        <w:rPr>
          <w:rFonts w:ascii="Times New Roman" w:hAnsi="Times New Roman"/>
          <w:color w:val="0070C0"/>
          <w:sz w:val="16"/>
          <w:szCs w:val="16"/>
        </w:rPr>
        <w:softHyphen/>
        <w:t>вать АНТ-25 «для целей воздушно-хими</w:t>
      </w:r>
      <w:r w:rsidRPr="00142305">
        <w:rPr>
          <w:rFonts w:ascii="Times New Roman" w:hAnsi="Times New Roman"/>
          <w:color w:val="0070C0"/>
          <w:sz w:val="16"/>
          <w:szCs w:val="16"/>
        </w:rPr>
        <w:softHyphen/>
        <w:t>ческого нападения». Предусматривалось оставить 1000 - 2000 кг бензина, а осталь</w:t>
      </w:r>
      <w:r w:rsidRPr="00142305">
        <w:rPr>
          <w:rFonts w:ascii="Times New Roman" w:hAnsi="Times New Roman"/>
          <w:color w:val="0070C0"/>
          <w:sz w:val="16"/>
          <w:szCs w:val="16"/>
        </w:rPr>
        <w:softHyphen/>
        <w:t>ные баки приспособить под помещение в них 4000 - 5000 кг жидких отравляющих веществ. В крыльях прорезались люки для их выливания. «От такого приспособ</w:t>
      </w:r>
      <w:r w:rsidRPr="00142305">
        <w:rPr>
          <w:rFonts w:ascii="Times New Roman" w:hAnsi="Times New Roman"/>
          <w:color w:val="0070C0"/>
          <w:sz w:val="16"/>
          <w:szCs w:val="16"/>
        </w:rPr>
        <w:softHyphen/>
        <w:t>ления самолета РД можно будет ожидать большой эффект...», - писал Фишман. Данное предложение вызвало интерес у начальника штаба ВВС В.В. Хрипина. За</w:t>
      </w:r>
      <w:r w:rsidRPr="00142305">
        <w:rPr>
          <w:rFonts w:ascii="Times New Roman" w:hAnsi="Times New Roman"/>
          <w:color w:val="0070C0"/>
          <w:sz w:val="16"/>
          <w:szCs w:val="16"/>
        </w:rPr>
        <w:softHyphen/>
        <w:t>дание на химический вариант самолета выдали НИИ ВВС, ЦАГИ первоначально им не занималось.</w:t>
      </w:r>
    </w:p>
    <w:p w14:paraId="09568B51"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Первые прикидки этой модификации выполнили в мае 1933 г. Полетный вес взяли тем же, что у бомбардировщи</w:t>
      </w:r>
      <w:r w:rsidRPr="00142305">
        <w:rPr>
          <w:rFonts w:ascii="Times New Roman" w:hAnsi="Times New Roman"/>
          <w:color w:val="0070C0"/>
          <w:sz w:val="16"/>
          <w:szCs w:val="16"/>
        </w:rPr>
        <w:softHyphen/>
        <w:t>ка, - 7500 кг. При этом реальное коли</w:t>
      </w:r>
      <w:r w:rsidRPr="00142305">
        <w:rPr>
          <w:rFonts w:ascii="Times New Roman" w:hAnsi="Times New Roman"/>
          <w:color w:val="0070C0"/>
          <w:sz w:val="16"/>
          <w:szCs w:val="16"/>
        </w:rPr>
        <w:softHyphen/>
        <w:t>чество раствора, доставляемого к цели, не превышало 1000 кг. Из них само от</w:t>
      </w:r>
      <w:r w:rsidRPr="00142305">
        <w:rPr>
          <w:rFonts w:ascii="Times New Roman" w:hAnsi="Times New Roman"/>
          <w:color w:val="0070C0"/>
          <w:sz w:val="16"/>
          <w:szCs w:val="16"/>
        </w:rPr>
        <w:softHyphen/>
        <w:t>равляющее вещество - 800 кг, а осталь</w:t>
      </w:r>
      <w:r w:rsidRPr="00142305">
        <w:rPr>
          <w:rFonts w:ascii="Times New Roman" w:hAnsi="Times New Roman"/>
          <w:color w:val="0070C0"/>
          <w:sz w:val="16"/>
          <w:szCs w:val="16"/>
        </w:rPr>
        <w:softHyphen/>
        <w:t>ное - растворитель. В центроплане около разъема нижняя несущая обшивка между нервюрами заменялась люком, через ко</w:t>
      </w:r>
      <w:r w:rsidRPr="00142305">
        <w:rPr>
          <w:rFonts w:ascii="Times New Roman" w:hAnsi="Times New Roman"/>
          <w:color w:val="0070C0"/>
          <w:sz w:val="16"/>
          <w:szCs w:val="16"/>
        </w:rPr>
        <w:softHyphen/>
        <w:t>торый вставлялся бак для отравляющих веществ с жесткой нижней поверхностью. Этот бак крепился болтами к узлам, обес</w:t>
      </w:r>
      <w:r w:rsidRPr="00142305">
        <w:rPr>
          <w:rFonts w:ascii="Times New Roman" w:hAnsi="Times New Roman"/>
          <w:color w:val="0070C0"/>
          <w:sz w:val="16"/>
          <w:szCs w:val="16"/>
        </w:rPr>
        <w:softHyphen/>
        <w:t>печивая жесткость конструкции в этом месте. Такое решение способствовало быстрой смене назначения самолета при необходимости.</w:t>
      </w:r>
    </w:p>
    <w:p w14:paraId="582B55C0"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Предложение же Фишмана о разме</w:t>
      </w:r>
      <w:r w:rsidRPr="00142305">
        <w:rPr>
          <w:rFonts w:ascii="Times New Roman" w:hAnsi="Times New Roman"/>
          <w:color w:val="0070C0"/>
          <w:sz w:val="16"/>
          <w:szCs w:val="16"/>
        </w:rPr>
        <w:softHyphen/>
        <w:t>щении отравляющих веществ в крыле вызвало большие сомнения. Вот мне</w:t>
      </w:r>
      <w:r w:rsidRPr="00142305">
        <w:rPr>
          <w:rFonts w:ascii="Times New Roman" w:hAnsi="Times New Roman"/>
          <w:color w:val="0070C0"/>
          <w:sz w:val="16"/>
          <w:szCs w:val="16"/>
        </w:rPr>
        <w:softHyphen/>
        <w:t>ние инженера 7-го отдела НИИ ВВС Жемчужина: «Дальнейшее увеличение количества ОВ, вплоть до требования Начальника Хим. Управл. (4 - 5 т) может быть поставлено только после испыта</w:t>
      </w:r>
      <w:r w:rsidRPr="00142305">
        <w:rPr>
          <w:rFonts w:ascii="Times New Roman" w:hAnsi="Times New Roman"/>
          <w:color w:val="0070C0"/>
          <w:sz w:val="16"/>
          <w:szCs w:val="16"/>
        </w:rPr>
        <w:softHyphen/>
        <w:t>ния самолета и определения его взлет</w:t>
      </w:r>
      <w:r w:rsidRPr="00142305">
        <w:rPr>
          <w:rFonts w:ascii="Times New Roman" w:hAnsi="Times New Roman"/>
          <w:color w:val="0070C0"/>
          <w:sz w:val="16"/>
          <w:szCs w:val="16"/>
        </w:rPr>
        <w:softHyphen/>
        <w:t>ных качеств при больших весах, но во всяком случае самолет будет требовать очень больших аэродромов». Кроме то</w:t>
      </w:r>
      <w:r w:rsidRPr="00142305">
        <w:rPr>
          <w:rFonts w:ascii="Times New Roman" w:hAnsi="Times New Roman"/>
          <w:color w:val="0070C0"/>
          <w:sz w:val="16"/>
          <w:szCs w:val="16"/>
        </w:rPr>
        <w:softHyphen/>
        <w:t>го, предстояло спроектировать баки с системой опоражнивания, разработать их крепление и выливные устройства. Предполагалось, что высота полета хи</w:t>
      </w:r>
      <w:r w:rsidRPr="00142305">
        <w:rPr>
          <w:rFonts w:ascii="Times New Roman" w:hAnsi="Times New Roman"/>
          <w:color w:val="0070C0"/>
          <w:sz w:val="16"/>
          <w:szCs w:val="16"/>
        </w:rPr>
        <w:softHyphen/>
        <w:t>мического РД над целью будет порядка 4000 м, но при этом яд рассеивался на огромной площади, не создавая опас</w:t>
      </w:r>
      <w:r w:rsidRPr="00142305">
        <w:rPr>
          <w:rFonts w:ascii="Times New Roman" w:hAnsi="Times New Roman"/>
          <w:color w:val="0070C0"/>
          <w:sz w:val="16"/>
          <w:szCs w:val="16"/>
        </w:rPr>
        <w:softHyphen/>
        <w:t>ных концентраций. Значительная часть капель просто испарилась бы в процес</w:t>
      </w:r>
      <w:r w:rsidRPr="00142305">
        <w:rPr>
          <w:rFonts w:ascii="Times New Roman" w:hAnsi="Times New Roman"/>
          <w:color w:val="0070C0"/>
          <w:sz w:val="16"/>
          <w:szCs w:val="16"/>
        </w:rPr>
        <w:softHyphen/>
        <w:t>се падения. Затея казалась совершенно неэффективной. Для компенсации этого следовало обеспечить огромный расход выливных устройств (24946).</w:t>
      </w:r>
    </w:p>
    <w:p w14:paraId="118590DA" w14:textId="77777777" w:rsidR="00046E51" w:rsidRPr="00142305" w:rsidRDefault="00046E51" w:rsidP="00046E51">
      <w:pPr>
        <w:spacing w:after="0" w:line="240" w:lineRule="auto"/>
        <w:jc w:val="both"/>
        <w:rPr>
          <w:rFonts w:ascii="Times New Roman" w:hAnsi="Times New Roman"/>
          <w:color w:val="0070C0"/>
          <w:sz w:val="16"/>
          <w:szCs w:val="16"/>
        </w:rPr>
      </w:pPr>
    </w:p>
    <w:p w14:paraId="4C12B677"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апреля 1933 года начальник Военно-химического управле</w:t>
      </w:r>
      <w:r w:rsidRPr="00142305">
        <w:rPr>
          <w:rFonts w:ascii="Times New Roman" w:hAnsi="Times New Roman"/>
          <w:color w:val="0070C0"/>
          <w:sz w:val="16"/>
          <w:szCs w:val="16"/>
        </w:rPr>
        <w:softHyphen/>
        <w:t>ния и химических войск РККА докладывал начальнику ВВС Я.И Алкснису: «К 1 мая 1933 года будет изготовлен рекордный самолет марки РД (рекорд дальности). Самолет рассчи</w:t>
      </w:r>
      <w:r w:rsidRPr="00142305">
        <w:rPr>
          <w:rFonts w:ascii="Times New Roman" w:hAnsi="Times New Roman"/>
          <w:color w:val="0070C0"/>
          <w:sz w:val="16"/>
          <w:szCs w:val="16"/>
        </w:rPr>
        <w:softHyphen/>
        <w:t>тан на 45 часов полета и имеет у себя в крыльях большие вместилища (на 6 тонн) для бен</w:t>
      </w:r>
      <w:r w:rsidRPr="00142305">
        <w:rPr>
          <w:rFonts w:ascii="Times New Roman" w:hAnsi="Times New Roman"/>
          <w:color w:val="0070C0"/>
          <w:sz w:val="16"/>
          <w:szCs w:val="16"/>
        </w:rPr>
        <w:softHyphen/>
        <w:t>зина. Этот самолет может быть использован для целен воздушно-химического нападения. Для этого необходимо оставить хранилище для бензина I2 тонны, а остальные храни</w:t>
      </w:r>
      <w:r w:rsidRPr="00142305">
        <w:rPr>
          <w:rFonts w:ascii="Times New Roman" w:hAnsi="Times New Roman"/>
          <w:color w:val="0070C0"/>
          <w:sz w:val="16"/>
          <w:szCs w:val="16"/>
        </w:rPr>
        <w:softHyphen/>
        <w:t>лища приспособить под помещения в них жидкого отравляющего вещества (4 5 тонн)».</w:t>
      </w:r>
    </w:p>
    <w:p w14:paraId="04EEC0B6"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Алкснис, ознакомившись с документом, наложил резолюцию: «Т.Горощенко. Одновре</w:t>
      </w:r>
      <w:r w:rsidRPr="00142305">
        <w:rPr>
          <w:rFonts w:ascii="Times New Roman" w:hAnsi="Times New Roman"/>
          <w:color w:val="0070C0"/>
          <w:sz w:val="16"/>
          <w:szCs w:val="16"/>
        </w:rPr>
        <w:softHyphen/>
        <w:t>менно проработать уже данное мною т. Петрову задание о возможности приспособления РД как дальнего бомбовоза».</w:t>
      </w:r>
    </w:p>
    <w:p w14:paraId="5663B28C"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Идея военного варианта РД, как следует из архивных документов, принадлежала инже</w:t>
      </w:r>
      <w:r w:rsidRPr="00142305">
        <w:rPr>
          <w:rFonts w:ascii="Times New Roman" w:hAnsi="Times New Roman"/>
          <w:color w:val="0070C0"/>
          <w:sz w:val="16"/>
          <w:szCs w:val="16"/>
        </w:rPr>
        <w:softHyphen/>
        <w:t>неру 7-го сектора НИИ ВВС Н А.Жемчужина. На что рассчитывали военные? Сейчас сказать трудно, ведь РД-тихоходный, низковысотный, неманевренный с большими габаритами самолет - представлял собой идеальную мишень и для истребителей, и для зенитной артил</w:t>
      </w:r>
      <w:r w:rsidRPr="00142305">
        <w:rPr>
          <w:rFonts w:ascii="Times New Roman" w:hAnsi="Times New Roman"/>
          <w:color w:val="0070C0"/>
          <w:sz w:val="16"/>
          <w:szCs w:val="16"/>
        </w:rPr>
        <w:softHyphen/>
        <w:t>лерии противника (24991).</w:t>
      </w:r>
    </w:p>
    <w:p w14:paraId="49C59A0C" w14:textId="77777777" w:rsidR="00046E51" w:rsidRPr="00142305" w:rsidRDefault="00046E51" w:rsidP="00046E51">
      <w:pPr>
        <w:spacing w:after="0" w:line="240" w:lineRule="auto"/>
        <w:jc w:val="both"/>
        <w:rPr>
          <w:rFonts w:ascii="Times New Roman" w:hAnsi="Times New Roman"/>
          <w:color w:val="0070C0"/>
          <w:sz w:val="16"/>
          <w:szCs w:val="16"/>
        </w:rPr>
      </w:pPr>
    </w:p>
    <w:p w14:paraId="576F7033" w14:textId="77777777" w:rsidR="00CD140E" w:rsidRPr="0044524F" w:rsidRDefault="00CD140E" w:rsidP="009654CF">
      <w:pPr>
        <w:pStyle w:val="rtejustify"/>
        <w:spacing w:before="0" w:after="0"/>
        <w:rPr>
          <w:color w:val="000000" w:themeColor="text1"/>
          <w:sz w:val="16"/>
          <w:szCs w:val="16"/>
        </w:rPr>
      </w:pPr>
      <w:r w:rsidRPr="0044524F">
        <w:rPr>
          <w:rStyle w:val="af0"/>
          <w:bCs/>
          <w:i w:val="0"/>
          <w:color w:val="000000" w:themeColor="text1"/>
          <w:sz w:val="16"/>
          <w:szCs w:val="16"/>
        </w:rPr>
        <w:t>23 апреля</w:t>
      </w:r>
      <w:r w:rsidRPr="0044524F">
        <w:rPr>
          <w:color w:val="000000" w:themeColor="text1"/>
          <w:sz w:val="16"/>
          <w:szCs w:val="16"/>
        </w:rPr>
        <w:t xml:space="preserve"> 1933. Протокол заседания Политбюро ЦК ВКП (б) № 136. </w:t>
      </w:r>
      <w:hyperlink r:id="rId125" w:anchor="showunit&amp;id=86222" w:history="1">
        <w:r w:rsidRPr="0044524F">
          <w:rPr>
            <w:rStyle w:val="a5"/>
            <w:color w:val="000000" w:themeColor="text1"/>
            <w:sz w:val="16"/>
            <w:szCs w:val="16"/>
            <w:u w:val="none"/>
          </w:rPr>
          <w:t>12. О подвозе коксующегося угля к Магнитогорску</w:t>
        </w:r>
      </w:hyperlink>
      <w:r w:rsidRPr="0044524F">
        <w:rPr>
          <w:color w:val="000000" w:themeColor="text1"/>
          <w:sz w:val="16"/>
          <w:szCs w:val="16"/>
        </w:rPr>
        <w:t xml:space="preserve"> (ПБ от 20 марта 1933 г., пр. № 133. п. 86) (Андреев, Пятаков). Решено принять с поправками внесенный Пятаковым и Андреевым проект постановления об обеспечении подвоза коксующегося кузнецкого угля к Магнитогорску. </w:t>
      </w:r>
      <w:hyperlink r:id="rId126" w:anchor="showunit&amp;id=86241" w:history="1">
        <w:r w:rsidRPr="0044524F">
          <w:rPr>
            <w:rStyle w:val="a5"/>
            <w:color w:val="000000" w:themeColor="text1"/>
            <w:sz w:val="16"/>
            <w:szCs w:val="16"/>
            <w:u w:val="none"/>
          </w:rPr>
          <w:t>14. О Челябинском тракторном заводе</w:t>
        </w:r>
      </w:hyperlink>
      <w:r w:rsidRPr="0044524F">
        <w:rPr>
          <w:color w:val="000000" w:themeColor="text1"/>
          <w:sz w:val="16"/>
          <w:szCs w:val="16"/>
        </w:rPr>
        <w:t xml:space="preserve"> (ПБ от 23 апреля 1933 г.). Решено отложить вопрос до следующего заседания Политбюро. </w:t>
      </w:r>
      <w:hyperlink r:id="rId127" w:anchor="showunit&amp;id=86268" w:history="1">
        <w:r w:rsidRPr="0044524F">
          <w:rPr>
            <w:rStyle w:val="a5"/>
            <w:color w:val="000000" w:themeColor="text1"/>
            <w:sz w:val="16"/>
            <w:szCs w:val="16"/>
            <w:u w:val="none"/>
          </w:rPr>
          <w:t>22. О Магнитострое</w:t>
        </w:r>
      </w:hyperlink>
      <w:r w:rsidRPr="0044524F">
        <w:rPr>
          <w:color w:val="000000" w:themeColor="text1"/>
          <w:sz w:val="16"/>
          <w:szCs w:val="16"/>
        </w:rPr>
        <w:t xml:space="preserve"> (ПБ от 4 апреля 1933 г., пр. № 134., п. 7) (Орджоникидзе, Пятаков, Антипов, Гуревич, Мышков). Решено предложить Наркомату тяжелой промышленности в срочном порядке организовать комиссию для проведения экспертизы с выездом на место и доложить Политбюро. Срок — один месяц. </w:t>
      </w:r>
      <w:hyperlink r:id="rId128" w:anchor="showunit&amp;id=86299" w:history="1">
        <w:r w:rsidRPr="0044524F">
          <w:rPr>
            <w:rStyle w:val="a5"/>
            <w:color w:val="000000" w:themeColor="text1"/>
            <w:sz w:val="16"/>
            <w:szCs w:val="16"/>
            <w:u w:val="none"/>
          </w:rPr>
          <w:t>50/26. О перемещениях по НКТП</w:t>
        </w:r>
      </w:hyperlink>
      <w:r w:rsidRPr="0044524F">
        <w:rPr>
          <w:color w:val="000000" w:themeColor="text1"/>
          <w:sz w:val="16"/>
          <w:szCs w:val="16"/>
        </w:rPr>
        <w:t xml:space="preserve"> (ПБ от 14 апреля 1933 г.). Решено утвердить следующие перемещения по Наркомату тяжелой промышленности: 1) Петровского Д. А. из “Союзгеологоразведки” на работу заместителя начальника ГУМП. 2) Механика Налимова из “Союзтранстехпрома” на работу в ГУМП. 3) Инженера-металлурга-механика Фальковича из Всесоюзного объединения тяжелого машиностроения (ВОМТ) на работу в объединение “Сталь”. </w:t>
      </w:r>
      <w:hyperlink r:id="rId129" w:anchor="showunit&amp;id=86310" w:history="1">
        <w:r w:rsidRPr="0044524F">
          <w:rPr>
            <w:rStyle w:val="a5"/>
            <w:color w:val="000000" w:themeColor="text1"/>
            <w:sz w:val="16"/>
            <w:szCs w:val="16"/>
            <w:u w:val="none"/>
          </w:rPr>
          <w:t>60/36. Вопросы Комиссии обороны</w:t>
        </w:r>
      </w:hyperlink>
      <w:r w:rsidRPr="0044524F">
        <w:rPr>
          <w:color w:val="000000" w:themeColor="text1"/>
          <w:sz w:val="16"/>
          <w:szCs w:val="16"/>
        </w:rPr>
        <w:t xml:space="preserve"> (ПБ от 15 апреля 1933 г.). — ОП. Решено: 1. а) Разрешить НКТП закупить в Америке 2.000 моторов “Либерти”, организовав специальный и особо тщательный отбор. Для этой цели выделить НКТП </w:t>
      </w:r>
      <w:r w:rsidRPr="0044524F">
        <w:rPr>
          <w:color w:val="000000" w:themeColor="text1"/>
          <w:sz w:val="16"/>
          <w:szCs w:val="16"/>
        </w:rPr>
        <w:lastRenderedPageBreak/>
        <w:t xml:space="preserve">дополнительно соответствующий импортный контингент и валюту в размере 120 тысяч долларов. Вопрос о закупке электрооборудования к моторам “Либерти” и запчастей для этих моторов рассмотреть по представлении НКТП и НКВМ точной заявки о необходимом импортном контингенте и валюте. б) Разрешить НКТП, за счет своего контингента, ввоз из Америки на 150 тысяч рублей электрооборудования для моторов “Либерти”. 2. а) В целях проверки и дублирования наших конструкторских работ разрешить НКВМ произвести закупку дивизионных пушек Шкода. Для закупки выделить до 200 тысяч американских долларов сверх контингента НКВМ. б) Одновременно разрешить НКВМ осмотреть универсальные пушки САСШ, согласно их предложению, на предмет переговоров о покупке. </w:t>
      </w:r>
      <w:hyperlink r:id="rId130" w:anchor="showunit&amp;id=86346" w:history="1">
        <w:r w:rsidRPr="0044524F">
          <w:rPr>
            <w:rStyle w:val="a5"/>
            <w:color w:val="000000" w:themeColor="text1"/>
            <w:sz w:val="16"/>
            <w:szCs w:val="16"/>
            <w:u w:val="none"/>
          </w:rPr>
          <w:t>93/69. Предложение Баранова (о договоре с фирмой «Кертис Райт»)</w:t>
        </w:r>
      </w:hyperlink>
      <w:r w:rsidRPr="0044524F">
        <w:rPr>
          <w:color w:val="000000" w:themeColor="text1"/>
          <w:sz w:val="16"/>
          <w:szCs w:val="16"/>
        </w:rPr>
        <w:t xml:space="preserve"> (ПБ от 19 апреля 1933 г.). — ОП. Решено: а) Договор с фирмой Кертис Райт утвердить. б) Замечания к договору Межлаука, Баранова и Макаровского учесть при реализации договора, а по параграфам 3 и 10 договора сообщить фирме наше толкование при извещении об утверждении договора. в) Реализовать техпомощь по мотору “Циклон” на заводе в Перми. По мотору “Канкерер 1800” на заводе в Рыбинске. </w:t>
      </w:r>
      <w:hyperlink r:id="rId131" w:anchor="showunit&amp;id=86217" w:history="1">
        <w:r w:rsidRPr="0044524F">
          <w:rPr>
            <w:rStyle w:val="a5"/>
            <w:color w:val="000000" w:themeColor="text1"/>
            <w:sz w:val="16"/>
            <w:szCs w:val="16"/>
            <w:u w:val="none"/>
          </w:rPr>
          <w:t>115/91. Об организации Главного управления по судостроению при НКТП</w:t>
        </w:r>
      </w:hyperlink>
      <w:r w:rsidRPr="0044524F">
        <w:rPr>
          <w:color w:val="000000" w:themeColor="text1"/>
          <w:sz w:val="16"/>
          <w:szCs w:val="16"/>
        </w:rPr>
        <w:t xml:space="preserve"> (ПБ от 22 апреля 1933 г.). Решено утвердить проект приказа Наркомата тяжелой промышленности. Ввести Кондратьева в состав коллегии Наркомата тяжелой промышленности. </w:t>
      </w:r>
      <w:hyperlink r:id="rId132" w:anchor="showunit&amp;id=86353" w:history="1">
        <w:r w:rsidRPr="0044524F">
          <w:rPr>
            <w:rStyle w:val="a5"/>
            <w:color w:val="000000" w:themeColor="text1"/>
            <w:sz w:val="16"/>
            <w:szCs w:val="16"/>
            <w:u w:val="none"/>
          </w:rPr>
          <w:t>126/102. а) О мероприятиях по снижению себестоимости строительства</w:t>
        </w:r>
      </w:hyperlink>
      <w:r w:rsidRPr="0044524F">
        <w:rPr>
          <w:color w:val="000000" w:themeColor="text1"/>
          <w:sz w:val="16"/>
          <w:szCs w:val="16"/>
        </w:rPr>
        <w:t xml:space="preserve">; Решено снять вопрос. </w:t>
      </w:r>
      <w:hyperlink r:id="rId133" w:anchor="showunit&amp;id=86354" w:history="1">
        <w:r w:rsidRPr="0044524F">
          <w:rPr>
            <w:rStyle w:val="a5"/>
            <w:color w:val="000000" w:themeColor="text1"/>
            <w:sz w:val="16"/>
            <w:szCs w:val="16"/>
            <w:u w:val="none"/>
          </w:rPr>
          <w:t>б) о порядке финансирования промышленного капитального строительства</w:t>
        </w:r>
      </w:hyperlink>
      <w:r w:rsidRPr="0044524F">
        <w:rPr>
          <w:color w:val="000000" w:themeColor="text1"/>
          <w:sz w:val="16"/>
          <w:szCs w:val="16"/>
        </w:rPr>
        <w:t xml:space="preserve"> Решено снять вопрос. (ПБ от 23 октября 1932 г., пр. № 120, п. 9). </w:t>
      </w:r>
      <w:hyperlink r:id="rId134" w:anchor="showunit&amp;id=86229" w:history="1">
        <w:r w:rsidRPr="0044524F">
          <w:rPr>
            <w:rStyle w:val="a5"/>
            <w:color w:val="000000" w:themeColor="text1"/>
            <w:sz w:val="16"/>
            <w:szCs w:val="16"/>
            <w:u w:val="none"/>
          </w:rPr>
          <w:t>127/103. О программе капитальных работ и о плане импорта для нефтяной промышленности в 1933 г.</w:t>
        </w:r>
      </w:hyperlink>
      <w:r w:rsidRPr="0044524F">
        <w:rPr>
          <w:color w:val="000000" w:themeColor="text1"/>
          <w:sz w:val="16"/>
          <w:szCs w:val="16"/>
        </w:rPr>
        <w:t xml:space="preserve"> (ПБ от 1 февраля 1933 г., пр. № 129, п. 8, из приложений разд. 2, п. 1). Решено вопрос снять (15462).</w:t>
      </w:r>
    </w:p>
    <w:p w14:paraId="69303987" w14:textId="77777777" w:rsidR="00CD140E" w:rsidRPr="0044524F" w:rsidRDefault="00CD140E" w:rsidP="009654CF">
      <w:pPr>
        <w:pStyle w:val="rtejustify"/>
        <w:spacing w:before="0" w:after="0"/>
        <w:rPr>
          <w:color w:val="000000" w:themeColor="text1"/>
          <w:sz w:val="16"/>
          <w:szCs w:val="16"/>
        </w:rPr>
      </w:pPr>
    </w:p>
    <w:p w14:paraId="7A1BEA8C" w14:textId="77777777" w:rsidR="00CD140E" w:rsidRPr="0044524F" w:rsidRDefault="00CD14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апреля 1933 г. Протокол ПБ № 136 п.60/36: Вопросы Комиссии обороны - ОП. Решено: 1. а) Разрешить НКТП закупить в Америке 2.000 моторов "Либерти", организовав специальный и особо тщательный отбор. Для этой цели выделить НКТП дополнительно соответствующий импортный контингент и валюту в размере 120 тысяч долларов. Вопрос о закупке электрооборудования к моторам "Либерти" и запчастей для этих моторов рассмотреть по представлении НКТП и НКВМ точной заявки о необходимом импортном контингенте и валюте. б) Разрешить НКТП, за счет своего контингента, ввоз из Америки на 150 тысяч рублей электрооборудования для моторов "Либерти". 2. а) В целях проверки и дублирования наших конструкторских работ разрешить НКВМ произвести закупку дивизионных пушек Шкода. Для закупки выделить до 200 тысяч американских долларов сверх контингента НКВМ. б) Одновременно разрешить НКВМ осмотреть универсальные пушки САСШ, согласно их предложению, на предмет переговоров о покупке (15959).</w:t>
      </w:r>
    </w:p>
    <w:p w14:paraId="1C01FC64" w14:textId="77777777" w:rsidR="00CD140E" w:rsidRPr="0044524F" w:rsidRDefault="00CD140E" w:rsidP="009654CF">
      <w:pPr>
        <w:spacing w:after="0" w:line="240" w:lineRule="auto"/>
        <w:jc w:val="both"/>
        <w:rPr>
          <w:rFonts w:ascii="Times New Roman" w:hAnsi="Times New Roman"/>
          <w:color w:val="000000" w:themeColor="text1"/>
          <w:sz w:val="16"/>
          <w:szCs w:val="16"/>
        </w:rPr>
      </w:pPr>
    </w:p>
    <w:p w14:paraId="133C41CD"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9B5152A"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02F9AEE0" w14:textId="77777777" w:rsidR="00CD140E" w:rsidRPr="0044524F" w:rsidRDefault="00CD140E" w:rsidP="009654CF">
      <w:pPr>
        <w:pStyle w:val="rtejustify"/>
        <w:spacing w:before="0" w:after="0"/>
        <w:rPr>
          <w:color w:val="000000" w:themeColor="text1"/>
          <w:sz w:val="16"/>
          <w:szCs w:val="16"/>
        </w:rPr>
      </w:pPr>
      <w:r w:rsidRPr="0044524F">
        <w:rPr>
          <w:color w:val="000000" w:themeColor="text1"/>
          <w:sz w:val="16"/>
          <w:szCs w:val="16"/>
        </w:rPr>
        <w:t>23 апреля 1933 вышло постановление СНК «О реорганизации системы управления морской и речной судостроительной промышленности»</w:t>
      </w:r>
    </w:p>
    <w:p w14:paraId="3FB666D8" w14:textId="77777777" w:rsidR="00056252" w:rsidRPr="0044524F" w:rsidRDefault="00056252" w:rsidP="009654CF">
      <w:pPr>
        <w:pStyle w:val="rtejustify"/>
        <w:spacing w:before="0" w:after="0"/>
        <w:rPr>
          <w:color w:val="000000" w:themeColor="text1"/>
          <w:sz w:val="16"/>
          <w:szCs w:val="16"/>
        </w:rPr>
      </w:pPr>
      <w:r w:rsidRPr="0044524F">
        <w:rPr>
          <w:color w:val="000000" w:themeColor="text1"/>
          <w:sz w:val="16"/>
          <w:szCs w:val="16"/>
        </w:rPr>
        <w:t>Совет народных комиссаров Союза ССР постановляет: Разрешить Народному комиссариату тяжёлой промышленности произвести реорганизацию системы управления морской и речной судостроительной промышленности на следующих основаниях:</w:t>
      </w:r>
    </w:p>
    <w:p w14:paraId="53945166" w14:textId="77777777" w:rsidR="00056252" w:rsidRPr="0044524F" w:rsidRDefault="00056252" w:rsidP="009654CF">
      <w:pPr>
        <w:numPr>
          <w:ilvl w:val="0"/>
          <w:numId w:val="456"/>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Организовать в составе Народного комиссариата тяжёлой промышленности Главное управление морской и речной судостроительной промышленности (ГУСП).</w:t>
      </w:r>
    </w:p>
    <w:p w14:paraId="7C039A3B" w14:textId="77777777" w:rsidR="00056252" w:rsidRPr="0044524F" w:rsidRDefault="00056252" w:rsidP="009654CF">
      <w:pPr>
        <w:numPr>
          <w:ilvl w:val="0"/>
          <w:numId w:val="456"/>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Изъять из ведения Главного управления транспортного машиностроения Народного комиссариата тяжёлой промышленности объединения: Союзверфь и Речсоюзверфь со всеми входящими в их состав предприятиями и учреждениями.</w:t>
      </w:r>
    </w:p>
    <w:p w14:paraId="3140C404" w14:textId="77777777" w:rsidR="00056252" w:rsidRPr="0044524F" w:rsidRDefault="00056252" w:rsidP="009654CF">
      <w:pPr>
        <w:numPr>
          <w:ilvl w:val="0"/>
          <w:numId w:val="456"/>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Объединение Союзверфь упразднить, подчинив непосредственно ГУСП'у все предприятия, ныне входящие в состав Союзверфи.</w:t>
      </w:r>
    </w:p>
    <w:p w14:paraId="1CACAD97" w14:textId="77777777" w:rsidR="00056252" w:rsidRPr="0044524F" w:rsidRDefault="00056252" w:rsidP="009654CF">
      <w:pPr>
        <w:numPr>
          <w:ilvl w:val="0"/>
          <w:numId w:val="456"/>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Речеоюзверфь преобразовать в трест речного судостроения «Речсудотрест» с подчинением означенного треста ГУСП'у.</w:t>
      </w:r>
    </w:p>
    <w:p w14:paraId="278C2F0E" w14:textId="77777777" w:rsidR="00056252" w:rsidRPr="0044524F" w:rsidRDefault="00056252" w:rsidP="009654CF">
      <w:pPr>
        <w:numPr>
          <w:ilvl w:val="0"/>
          <w:numId w:val="456"/>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Гипроверфь ликвидировать, передав её функции Проектверфи. Проектверфь, Судопроект, Научно-исследовательский институт судостроения и Центральное конструкторское бюро судостроения, а также научно-технические советы морского и речного судостроения передать ГУСП'у; Речсудопроект (с Киевским филиалом) передать Речсудотресту.</w:t>
      </w:r>
    </w:p>
    <w:p w14:paraId="47F60493" w14:textId="77777777" w:rsidR="00056252" w:rsidRPr="0044524F" w:rsidRDefault="00056252" w:rsidP="009654CF">
      <w:pPr>
        <w:numPr>
          <w:ilvl w:val="0"/>
          <w:numId w:val="456"/>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Изъять из управления новостроек Главного управления транспортного машиностроения и передать в ведение ГУСП'а новые строительства морского и речного судостроения.</w:t>
      </w:r>
    </w:p>
    <w:p w14:paraId="441A6919" w14:textId="77777777" w:rsidR="00056252" w:rsidRPr="0044524F" w:rsidRDefault="00056252" w:rsidP="009654CF">
      <w:pPr>
        <w:pStyle w:val="rteright"/>
        <w:spacing w:before="0" w:after="0"/>
        <w:jc w:val="both"/>
        <w:rPr>
          <w:color w:val="000000" w:themeColor="text1"/>
          <w:sz w:val="16"/>
          <w:szCs w:val="16"/>
        </w:rPr>
      </w:pPr>
      <w:r w:rsidRPr="0044524F">
        <w:rPr>
          <w:color w:val="000000" w:themeColor="text1"/>
          <w:sz w:val="16"/>
          <w:szCs w:val="16"/>
        </w:rPr>
        <w:t>Председатель СНК Союза ССР В. Молотов (Скрябин).</w:t>
      </w:r>
    </w:p>
    <w:p w14:paraId="443EBAED" w14:textId="77777777" w:rsidR="00056252" w:rsidRPr="0044524F" w:rsidRDefault="00056252" w:rsidP="009654CF">
      <w:pPr>
        <w:pStyle w:val="rteright"/>
        <w:spacing w:before="0" w:after="0"/>
        <w:jc w:val="both"/>
        <w:rPr>
          <w:color w:val="000000" w:themeColor="text1"/>
          <w:sz w:val="16"/>
          <w:szCs w:val="16"/>
        </w:rPr>
      </w:pPr>
      <w:r w:rsidRPr="0044524F">
        <w:rPr>
          <w:color w:val="000000" w:themeColor="text1"/>
          <w:sz w:val="16"/>
          <w:szCs w:val="16"/>
        </w:rPr>
        <w:t>Управляющий делами СНК Союза ССР И. Мирошников.</w:t>
      </w:r>
    </w:p>
    <w:p w14:paraId="3595DD95" w14:textId="77777777" w:rsidR="00056252" w:rsidRPr="0044524F" w:rsidRDefault="00056252" w:rsidP="009654CF">
      <w:pPr>
        <w:pStyle w:val="ae"/>
        <w:spacing w:before="0" w:after="0"/>
        <w:jc w:val="both"/>
        <w:rPr>
          <w:color w:val="000000" w:themeColor="text1"/>
          <w:sz w:val="16"/>
          <w:szCs w:val="16"/>
        </w:rPr>
      </w:pPr>
      <w:r w:rsidRPr="0044524F">
        <w:rPr>
          <w:color w:val="000000" w:themeColor="text1"/>
          <w:sz w:val="16"/>
          <w:szCs w:val="16"/>
        </w:rPr>
        <w:t>Москва, Кремль. 23 апреля 1933 г. № 813 (12692).</w:t>
      </w:r>
    </w:p>
    <w:p w14:paraId="51625B8B" w14:textId="77777777" w:rsidR="00056252" w:rsidRPr="0044524F" w:rsidRDefault="00056252" w:rsidP="009654CF">
      <w:pPr>
        <w:pStyle w:val="ae"/>
        <w:spacing w:before="0" w:after="0"/>
        <w:jc w:val="both"/>
        <w:rPr>
          <w:color w:val="000000" w:themeColor="text1"/>
          <w:sz w:val="16"/>
          <w:szCs w:val="16"/>
        </w:rPr>
      </w:pPr>
    </w:p>
    <w:p w14:paraId="455EC91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апреля 1933 г. Центральный государственный научно-исследовательский институт цветных металлов, золота и платины переименовывается в Государственный центральный научно-исследовательский институт цветных металлов "Цгинцветмет"; 25 марта 1942 г. - в Государственный научно-исследовательский и производственный институт цветных металлов "Гинцветмет"; 21 марта 1946 г. - в Государственный научно-исследовательский институт цветных металлов "Гинцветмет". Приказом Государственного научно-экономического совета Совета Министров СССР от 12 сентября 1960 г. при институте организовано СКВ тяжелых цветных металлов на самостоятельном балансе (12102).</w:t>
      </w:r>
    </w:p>
    <w:p w14:paraId="6055A99C" w14:textId="77777777" w:rsidR="00DC337E" w:rsidRPr="0044524F" w:rsidRDefault="00DC337E" w:rsidP="009654CF">
      <w:pPr>
        <w:spacing w:after="0" w:line="240" w:lineRule="auto"/>
        <w:jc w:val="both"/>
        <w:rPr>
          <w:rFonts w:ascii="Times New Roman" w:hAnsi="Times New Roman"/>
          <w:iCs/>
          <w:color w:val="000000" w:themeColor="text1"/>
          <w:sz w:val="16"/>
          <w:szCs w:val="16"/>
        </w:rPr>
      </w:pPr>
    </w:p>
    <w:p w14:paraId="5158A43B"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0A14E1D"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573E90D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апреля 1933 Герингом в Пруссии было создано Гестапо (1798).</w:t>
      </w:r>
    </w:p>
    <w:p w14:paraId="16476DF0"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4D513DE5"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0C04C63"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2C3F55C5"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апреля 1933 закончилось эксплуатационное испытание опытного самолета И-15 с мотором Райт-Циклон Ф-2 650 НР металлический винт Гамильтон-Стандарт Д=3,0, которое проходило с 26 марта 1933 (6648).</w:t>
      </w:r>
    </w:p>
    <w:p w14:paraId="14CA3E4F"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2DC52B13" w14:textId="77777777" w:rsidR="003446BF" w:rsidRPr="0044524F" w:rsidRDefault="003446BF" w:rsidP="009654CF">
      <w:pPr>
        <w:numPr>
          <w:ilvl w:val="0"/>
          <w:numId w:val="15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различных мероприятий по улучшению устойчивости пути самолета.</w:t>
      </w:r>
    </w:p>
    <w:p w14:paraId="00125199" w14:textId="77777777" w:rsidR="003446BF" w:rsidRPr="0044524F" w:rsidRDefault="003446BF" w:rsidP="009654CF">
      <w:pPr>
        <w:numPr>
          <w:ilvl w:val="0"/>
          <w:numId w:val="16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Эксплуатационные испытания самолета.</w:t>
      </w:r>
    </w:p>
    <w:p w14:paraId="59D0F7F4" w14:textId="77777777" w:rsidR="003446BF" w:rsidRPr="0044524F" w:rsidRDefault="003446BF" w:rsidP="009654CF">
      <w:pPr>
        <w:numPr>
          <w:ilvl w:val="0"/>
          <w:numId w:val="16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самолета с передней центровкой, вызванной утяжелением моторов РЦ.</w:t>
      </w:r>
    </w:p>
    <w:p w14:paraId="40C52D46" w14:textId="77777777" w:rsidR="003446BF" w:rsidRPr="0044524F" w:rsidRDefault="003446BF" w:rsidP="009654CF">
      <w:pPr>
        <w:numPr>
          <w:ilvl w:val="0"/>
          <w:numId w:val="16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тормозных колес 700х100 и механического управления ими.</w:t>
      </w:r>
    </w:p>
    <w:p w14:paraId="6766B18A"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69B5F68A" w14:textId="77777777" w:rsidR="003446BF" w:rsidRPr="0044524F" w:rsidRDefault="003446BF" w:rsidP="009654CF">
      <w:pPr>
        <w:numPr>
          <w:ilvl w:val="0"/>
          <w:numId w:val="16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в процессе эксплуатационных испытаний опытного самолета И-15 РЦ не обнаружено дефектов, требующих коренных переделок основных элементов конструкции, следует считать, что эксплуатационные испытания И-15 РЦ выдержал удовлетворительно.</w:t>
      </w:r>
    </w:p>
    <w:p w14:paraId="04BFEC32"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4524F" w14:paraId="2390424C" w14:textId="77777777">
        <w:tc>
          <w:tcPr>
            <w:tcW w:w="2818" w:type="dxa"/>
          </w:tcPr>
          <w:p w14:paraId="51D4E865"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марта 1934 года</w:t>
            </w:r>
          </w:p>
        </w:tc>
        <w:tc>
          <w:tcPr>
            <w:tcW w:w="2818" w:type="dxa"/>
          </w:tcPr>
          <w:p w14:paraId="6FE4474D"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фигуры.</w:t>
            </w:r>
          </w:p>
        </w:tc>
      </w:tr>
      <w:tr w:rsidR="004E10C1" w:rsidRPr="0044524F" w14:paraId="49C8846C" w14:textId="77777777">
        <w:tc>
          <w:tcPr>
            <w:tcW w:w="2818" w:type="dxa"/>
          </w:tcPr>
          <w:p w14:paraId="704C11AF"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марта 1934 года</w:t>
            </w:r>
          </w:p>
        </w:tc>
        <w:tc>
          <w:tcPr>
            <w:tcW w:w="2818" w:type="dxa"/>
          </w:tcPr>
          <w:p w14:paraId="314F49A1"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Посадки.</w:t>
            </w:r>
          </w:p>
        </w:tc>
      </w:tr>
      <w:tr w:rsidR="004E10C1" w:rsidRPr="0044524F" w14:paraId="2D12A608" w14:textId="77777777">
        <w:tc>
          <w:tcPr>
            <w:tcW w:w="2818" w:type="dxa"/>
          </w:tcPr>
          <w:p w14:paraId="2C8D0265"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марта 1934 года</w:t>
            </w:r>
          </w:p>
        </w:tc>
        <w:tc>
          <w:tcPr>
            <w:tcW w:w="2818" w:type="dxa"/>
          </w:tcPr>
          <w:p w14:paraId="38A1AA65"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Посадки и фигуры.</w:t>
            </w:r>
          </w:p>
        </w:tc>
      </w:tr>
      <w:tr w:rsidR="004E10C1" w:rsidRPr="0044524F" w14:paraId="1002C1F4" w14:textId="77777777">
        <w:tc>
          <w:tcPr>
            <w:tcW w:w="2818" w:type="dxa"/>
          </w:tcPr>
          <w:p w14:paraId="3F78435E"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марта 1934 года</w:t>
            </w:r>
          </w:p>
        </w:tc>
        <w:tc>
          <w:tcPr>
            <w:tcW w:w="2818" w:type="dxa"/>
          </w:tcPr>
          <w:p w14:paraId="03BD4B6A"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Посадки.</w:t>
            </w:r>
          </w:p>
        </w:tc>
      </w:tr>
      <w:tr w:rsidR="004E10C1" w:rsidRPr="0044524F" w14:paraId="729CB104" w14:textId="77777777">
        <w:tc>
          <w:tcPr>
            <w:tcW w:w="2818" w:type="dxa"/>
          </w:tcPr>
          <w:p w14:paraId="54D77A11"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1934 года</w:t>
            </w:r>
          </w:p>
        </w:tc>
        <w:tc>
          <w:tcPr>
            <w:tcW w:w="2818" w:type="dxa"/>
          </w:tcPr>
          <w:p w14:paraId="6972C281"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фигуры.</w:t>
            </w:r>
          </w:p>
        </w:tc>
      </w:tr>
      <w:tr w:rsidR="004E10C1" w:rsidRPr="0044524F" w14:paraId="617ECD7E" w14:textId="77777777">
        <w:tc>
          <w:tcPr>
            <w:tcW w:w="2818" w:type="dxa"/>
          </w:tcPr>
          <w:p w14:paraId="003FE4B6"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9-10 апреля 1934 года</w:t>
            </w:r>
          </w:p>
        </w:tc>
        <w:tc>
          <w:tcPr>
            <w:tcW w:w="2818" w:type="dxa"/>
          </w:tcPr>
          <w:p w14:paraId="2E35D024"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Посадки.</w:t>
            </w:r>
          </w:p>
        </w:tc>
      </w:tr>
      <w:tr w:rsidR="004E10C1" w:rsidRPr="0044524F" w14:paraId="55255558" w14:textId="77777777">
        <w:tc>
          <w:tcPr>
            <w:tcW w:w="2818" w:type="dxa"/>
          </w:tcPr>
          <w:p w14:paraId="589E4FE3"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апреля 1934 года</w:t>
            </w:r>
          </w:p>
        </w:tc>
        <w:tc>
          <w:tcPr>
            <w:tcW w:w="2818" w:type="dxa"/>
          </w:tcPr>
          <w:p w14:paraId="4C6B8DA2"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и скорости по высотам.</w:t>
            </w:r>
          </w:p>
        </w:tc>
      </w:tr>
      <w:tr w:rsidR="004E10C1" w:rsidRPr="0044524F" w14:paraId="2793184C" w14:textId="77777777">
        <w:tc>
          <w:tcPr>
            <w:tcW w:w="2818" w:type="dxa"/>
          </w:tcPr>
          <w:p w14:paraId="1447F47A"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апреля 1934 года</w:t>
            </w:r>
          </w:p>
        </w:tc>
        <w:tc>
          <w:tcPr>
            <w:tcW w:w="2818" w:type="dxa"/>
          </w:tcPr>
          <w:p w14:paraId="277AA831"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из фотокейса.</w:t>
            </w:r>
          </w:p>
        </w:tc>
      </w:tr>
      <w:tr w:rsidR="004E10C1" w:rsidRPr="0044524F" w14:paraId="179A1193" w14:textId="77777777">
        <w:tc>
          <w:tcPr>
            <w:tcW w:w="2818" w:type="dxa"/>
          </w:tcPr>
          <w:p w14:paraId="5117F3CD"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апреля 1934 года</w:t>
            </w:r>
          </w:p>
        </w:tc>
        <w:tc>
          <w:tcPr>
            <w:tcW w:w="2818" w:type="dxa"/>
          </w:tcPr>
          <w:p w14:paraId="1EF0D14C"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и расход горючего.</w:t>
            </w:r>
          </w:p>
        </w:tc>
      </w:tr>
      <w:tr w:rsidR="004E10C1" w:rsidRPr="0044524F" w14:paraId="572AE487" w14:textId="77777777">
        <w:tc>
          <w:tcPr>
            <w:tcW w:w="2818" w:type="dxa"/>
          </w:tcPr>
          <w:p w14:paraId="0CA0FA64"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апреля 1934 года</w:t>
            </w:r>
          </w:p>
        </w:tc>
        <w:tc>
          <w:tcPr>
            <w:tcW w:w="2818" w:type="dxa"/>
          </w:tcPr>
          <w:p w14:paraId="16B27478"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и полеты с новой центровкой.</w:t>
            </w:r>
          </w:p>
        </w:tc>
      </w:tr>
      <w:tr w:rsidR="004E10C1" w:rsidRPr="0044524F" w14:paraId="4F346A32" w14:textId="77777777">
        <w:tc>
          <w:tcPr>
            <w:tcW w:w="2818" w:type="dxa"/>
          </w:tcPr>
          <w:p w14:paraId="238DED14"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апреля 1934 года</w:t>
            </w:r>
          </w:p>
        </w:tc>
        <w:tc>
          <w:tcPr>
            <w:tcW w:w="2818" w:type="dxa"/>
          </w:tcPr>
          <w:p w14:paraId="16CCF089"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с вымпелом.</w:t>
            </w:r>
          </w:p>
        </w:tc>
      </w:tr>
      <w:tr w:rsidR="004E10C1" w:rsidRPr="0044524F" w14:paraId="00BD28FF" w14:textId="77777777">
        <w:tc>
          <w:tcPr>
            <w:tcW w:w="2818" w:type="dxa"/>
          </w:tcPr>
          <w:p w14:paraId="28DAE35F"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апреля 1934 года</w:t>
            </w:r>
          </w:p>
        </w:tc>
        <w:tc>
          <w:tcPr>
            <w:tcW w:w="2818" w:type="dxa"/>
          </w:tcPr>
          <w:p w14:paraId="705179DE"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в Москву.</w:t>
            </w:r>
          </w:p>
        </w:tc>
      </w:tr>
    </w:tbl>
    <w:p w14:paraId="73DA6F1D"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(6648).</w:t>
      </w:r>
    </w:p>
    <w:p w14:paraId="1DE59962"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p>
    <w:p w14:paraId="0C3A0E8F"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A4D4224"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70EF2FC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24 апреля 1933 сборщики “Красного Путиловца” сдали п</w:t>
      </w:r>
      <w:r w:rsidRPr="0044524F">
        <w:rPr>
          <w:rStyle w:val="af0"/>
          <w:rFonts w:ascii="Times New Roman" w:hAnsi="Times New Roman"/>
          <w:i w:val="0"/>
          <w:iCs w:val="0"/>
          <w:color w:val="000000" w:themeColor="text1"/>
          <w:sz w:val="16"/>
          <w:szCs w:val="16"/>
        </w:rPr>
        <w:t>ервое шасси Л-1</w:t>
      </w:r>
      <w:r w:rsidRPr="0044524F">
        <w:rPr>
          <w:rFonts w:ascii="Times New Roman" w:hAnsi="Times New Roman"/>
          <w:color w:val="000000" w:themeColor="text1"/>
          <w:sz w:val="16"/>
          <w:szCs w:val="16"/>
        </w:rPr>
        <w:t xml:space="preserve">, еще без кузова. На пробную поездку его вывел М. Л. Тер-Асатуров. На первомайскую демонстрацию краснопутиловцы направили шесть автомобилей Л-1 с </w:t>
      </w:r>
      <w:r w:rsidRPr="0044524F">
        <w:rPr>
          <w:rStyle w:val="af0"/>
          <w:rFonts w:ascii="Times New Roman" w:hAnsi="Times New Roman"/>
          <w:i w:val="0"/>
          <w:iCs w:val="0"/>
          <w:color w:val="000000" w:themeColor="text1"/>
          <w:sz w:val="16"/>
          <w:szCs w:val="16"/>
        </w:rPr>
        <w:t>кузовами лимузин</w:t>
      </w:r>
      <w:r w:rsidRPr="0044524F">
        <w:rPr>
          <w:rFonts w:ascii="Times New Roman" w:hAnsi="Times New Roman"/>
          <w:color w:val="000000" w:themeColor="text1"/>
          <w:sz w:val="16"/>
          <w:szCs w:val="16"/>
        </w:rPr>
        <w:t xml:space="preserve">, окрашенными в черный цвет с обивкой салона из серого репса. Эти же шесть машин 19 мая 1933 г. приняли участие в испытательном пробеге в Москву и обратно. В столице их осматривал Г. К. Орджоникидзе, возглавлявший Наркомтяжпром. Он поставил перед коллективом завода задачу - дать в 1934 г. 2 тыс. </w:t>
      </w:r>
      <w:r w:rsidRPr="0044524F">
        <w:rPr>
          <w:rStyle w:val="a7"/>
          <w:rFonts w:ascii="Times New Roman" w:hAnsi="Times New Roman"/>
          <w:b w:val="0"/>
          <w:bCs w:val="0"/>
          <w:color w:val="000000" w:themeColor="text1"/>
          <w:sz w:val="16"/>
          <w:szCs w:val="16"/>
        </w:rPr>
        <w:t>легковых автомобилей</w:t>
      </w:r>
      <w:r w:rsidRPr="0044524F">
        <w:rPr>
          <w:rFonts w:ascii="Times New Roman" w:hAnsi="Times New Roman"/>
          <w:color w:val="000000" w:themeColor="text1"/>
          <w:sz w:val="16"/>
          <w:szCs w:val="16"/>
        </w:rPr>
        <w:t>. Позже приказом Наркомтяжпрома работы по автомобилям на "Красном пути ловце" были прекращены, и задание создать представительскую легковую модель дали московскому предприятию ЗИС. Такое решение объяснялось тем, что перед "Красным путилов-цем" стояла более важная народнохозяйственная задача: оперативно освоить выпуск пропашных тракторов с таким расчетом, чтобы к концу 1934 г. изготовить их 5 тыс. штук. Кроме того, завод с февраля 1933 г. приступил еще и к производству танков Т-28, и для выпуска автомобилей просто не оставалось производственных возможностей (12098).</w:t>
      </w:r>
    </w:p>
    <w:p w14:paraId="2308B0D3"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46B3758C"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апреля 1933 г. сборщики сдали первое шасси Л-1, еще без кузова. На пробную поездку его вывел сам Тер-Асатуров, а 29 апреля, как раз к майским праздникам, закончили шестую машину. На первомайскую демонстрацию заводчане направили все шесть автомобилей, которые успели закончить к тому времени. Семиместные кузова типа «лимузин» были отделаны никелированными деталями, ценными породами дерева и обиты изнутри репсом. Цвет тканевой обивки салона по данным тогдашнего корреспондента «За рулем» Аркадия Марковича Млодика (кстати, соавтора известной детской книги «Армия трясогузки») был коричневого цвета, по свидетельству историка автомобилестроения Л.М. Шугурова — серого, хотя не исключено применение обоих расцветок на разных автомобилях. Вопреки свидетельству Л. Шугурова, что все шесть машин первой партии были черного цвета, по имеющимся фотографиям можно утверждать, что как минимум две машины имели более светлый цвет кузова, контрастно выделяющийся на фоне черных крыльев автомобиля (25591).</w:t>
      </w:r>
    </w:p>
    <w:p w14:paraId="6DB16727" w14:textId="77777777" w:rsidR="00046E51" w:rsidRPr="00142305" w:rsidRDefault="00046E51" w:rsidP="00046E51">
      <w:pPr>
        <w:spacing w:after="0" w:line="240" w:lineRule="auto"/>
        <w:jc w:val="both"/>
        <w:rPr>
          <w:rFonts w:ascii="Times New Roman" w:hAnsi="Times New Roman"/>
          <w:color w:val="0070C0"/>
          <w:sz w:val="16"/>
          <w:szCs w:val="16"/>
        </w:rPr>
      </w:pPr>
    </w:p>
    <w:p w14:paraId="1F7445BA" w14:textId="77777777" w:rsidR="00CD140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AA3B774" w14:textId="77777777" w:rsidR="00CD140E" w:rsidRPr="0044524F" w:rsidRDefault="00CD140E" w:rsidP="009654CF">
      <w:pPr>
        <w:spacing w:after="0" w:line="240" w:lineRule="auto"/>
        <w:jc w:val="both"/>
        <w:rPr>
          <w:rFonts w:ascii="Times New Roman" w:hAnsi="Times New Roman"/>
          <w:iCs/>
          <w:color w:val="000000" w:themeColor="text1"/>
          <w:sz w:val="16"/>
          <w:szCs w:val="16"/>
        </w:rPr>
      </w:pPr>
    </w:p>
    <w:p w14:paraId="05C1B08A" w14:textId="77777777" w:rsidR="00CD140E" w:rsidRPr="0044524F" w:rsidRDefault="00CD14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апреля в 1933 году начались (по 1 ноября) поставки истребителей «FF-1» («G-5»), в ВМС США. В основу самолета лег опытный образец двухместного истребителя-биплана «Grumman» «XFF-1», первого самолета американского флота с убирающимся шасси. Компания «Grumman» ранее изготавливала поплавки, в частности для биплана «Vought Corsair», но затем, вместо установки своего оборудования на уже существующие палубные и морские истребители, решила спроектировать собственный самолет. Цельнометаллический истребитель-разведчик «XFF-1» был вооружен двумя пулеметами Browning калибра 7,62 мм, установленными сверху в передней части фюзеляжа. Такой же пулемет в задней части кабины был прикреплен к сиденью стрелка так, что оружие и кресло поворачивались вместе на карданном подвесе. Постройка опытного образца, оснащенного звездообразным двигателем «Wright» «R-1820E» мощностью 616 л.с., началась в мастерской компании «Грумман» в городе Болдуин, Лонг Айленд. Однако в ноябре 1931г. компания переехала в Кёртисс Филд, откуда 29 декабря самолет и совершил свой первый полет. Первоначальные испытания были быстро закончены, и в январе 1932г. опытный образец перелетел на авиационную базу «Анакостиа» Военно-морских сил для официальной оценки в испытательном центре. Самолет показал максимальную скорость на уровне моря 314 км/час (15109).</w:t>
      </w:r>
    </w:p>
    <w:p w14:paraId="729E57FA" w14:textId="77777777" w:rsidR="00CD140E" w:rsidRPr="0044524F" w:rsidRDefault="00CD140E" w:rsidP="009654CF">
      <w:pPr>
        <w:spacing w:after="0" w:line="240" w:lineRule="auto"/>
        <w:jc w:val="both"/>
        <w:rPr>
          <w:rFonts w:ascii="Times New Roman" w:hAnsi="Times New Roman"/>
          <w:color w:val="000000" w:themeColor="text1"/>
          <w:sz w:val="16"/>
          <w:szCs w:val="16"/>
        </w:rPr>
      </w:pPr>
    </w:p>
    <w:p w14:paraId="0DB6AF98" w14:textId="77777777" w:rsidR="00CA5E0A" w:rsidRPr="0044524F" w:rsidRDefault="00CA5E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апреля 1933 - Первый полет многоцелевого самолета-амфибии Grumman JF Duck, пилот Paul Hovgard. Машина имела цельнометаллический фюзеляж и поплавок, крыло с металлическим каркасом и полотняной обшивкой. Под узким капотом Тауненда размещался двигатель Пратт-Уиттни R-1535-62 Wasp мощностью 650 л. с. При испытаниях обнаружилось, что в комбинации с поплавком самолет имеет довольно высокое положение центра тяжести - в сочетании с узкой колеей шасси это делало его весьма неустойчивым и создавало большие проблемы при рулежке, разбеге и посадке. Постепенное совершенствование конструкции уменьшило эти недостатки до приемлемого уровня (22525).</w:t>
      </w:r>
    </w:p>
    <w:p w14:paraId="347B19AF" w14:textId="77777777" w:rsidR="00CA5E0A" w:rsidRPr="0044524F" w:rsidRDefault="00CA5E0A" w:rsidP="009654CF">
      <w:pPr>
        <w:spacing w:after="0" w:line="240" w:lineRule="auto"/>
        <w:jc w:val="both"/>
        <w:rPr>
          <w:rFonts w:ascii="Times New Roman" w:hAnsi="Times New Roman"/>
          <w:color w:val="000000" w:themeColor="text1"/>
          <w:sz w:val="16"/>
          <w:szCs w:val="16"/>
        </w:rPr>
      </w:pPr>
    </w:p>
    <w:p w14:paraId="3FA1F45A" w14:textId="77777777" w:rsidR="00CD140E" w:rsidRPr="0044524F" w:rsidRDefault="00CD14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апреля в 1933 году румынские представители подписали соглашение с польской фирмой «PZL» о поставке 50 истребителей «PZL» «P-11» с двигателями «Гном-Рон» «9Krsd» (515 л.с.). Вся партия должна была быть поставлена в течение шести месяцев. Чтобы уложиться в срок, пришлось даже затормозить сборку «Р-11а». Первые 20 самолетов для Румынии, модификация «P-11b-К», не имели коллектора выхлопных газов, выхлопная система на них выполнялась по образцу «P-11/II», с отдельными патрубками. Последующие машины, «P-11b-L», уже получили новый капот с коллектором (15109).</w:t>
      </w:r>
    </w:p>
    <w:p w14:paraId="4327F524" w14:textId="77777777" w:rsidR="00CD140E" w:rsidRPr="0044524F" w:rsidRDefault="00CD140E" w:rsidP="009654CF">
      <w:pPr>
        <w:spacing w:after="0" w:line="240" w:lineRule="auto"/>
        <w:jc w:val="both"/>
        <w:rPr>
          <w:rFonts w:ascii="Times New Roman" w:hAnsi="Times New Roman"/>
          <w:color w:val="000000" w:themeColor="text1"/>
          <w:sz w:val="16"/>
          <w:szCs w:val="16"/>
        </w:rPr>
      </w:pPr>
    </w:p>
    <w:p w14:paraId="6EF434C0"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9989F50"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5F2499C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апреля 1933 года выписка из протокола № 5 КО</w:t>
      </w:r>
    </w:p>
    <w:p w14:paraId="1A2B44DA" w14:textId="77777777" w:rsidR="003446BF" w:rsidRPr="0044524F" w:rsidRDefault="003446BF" w:rsidP="009654CF">
      <w:pPr>
        <w:numPr>
          <w:ilvl w:val="0"/>
          <w:numId w:val="16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рекордном полете на дальность.</w:t>
      </w:r>
    </w:p>
    <w:p w14:paraId="08FD1A78" w14:textId="77777777" w:rsidR="003446BF" w:rsidRPr="0044524F" w:rsidRDefault="003446BF" w:rsidP="009654CF">
      <w:pPr>
        <w:numPr>
          <w:ilvl w:val="0"/>
          <w:numId w:val="16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Организацию перелета возложить на ГУАП, УВВС и ГУГВФ.</w:t>
      </w:r>
    </w:p>
    <w:p w14:paraId="70ED14B4" w14:textId="77777777" w:rsidR="003446BF" w:rsidRPr="0044524F" w:rsidRDefault="003446BF" w:rsidP="009654CF">
      <w:pPr>
        <w:numPr>
          <w:ilvl w:val="0"/>
          <w:numId w:val="16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Руководство и обеспечение всех мероприятий по перелету возложить на комиссию в сотаве Ворошилова (председатель), Баранова, Алксниса, Гольцмана.</w:t>
      </w:r>
    </w:p>
    <w:p w14:paraId="5240368D" w14:textId="77777777" w:rsidR="003446BF" w:rsidRPr="0044524F" w:rsidRDefault="003446BF" w:rsidP="009654CF">
      <w:pPr>
        <w:numPr>
          <w:ilvl w:val="0"/>
          <w:numId w:val="16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Перелет на расстояние 10000 км без посадки организовать в августе 1933 года в пределах СССР.</w:t>
      </w:r>
    </w:p>
    <w:p w14:paraId="04798E20" w14:textId="77777777" w:rsidR="003446BF" w:rsidRPr="0044524F" w:rsidRDefault="003446BF" w:rsidP="009654CF">
      <w:pPr>
        <w:numPr>
          <w:ilvl w:val="0"/>
          <w:numId w:val="16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Расходы по организации перелета распределить равными долями между НКТП, НКВМ и ГУГВФ (7503, 6).</w:t>
      </w:r>
    </w:p>
    <w:p w14:paraId="464E1F5E" w14:textId="77777777" w:rsidR="003446BF" w:rsidRPr="0044524F" w:rsidRDefault="003446BF" w:rsidP="009654CF">
      <w:pPr>
        <w:tabs>
          <w:tab w:val="left" w:pos="360"/>
        </w:tabs>
        <w:spacing w:after="0" w:line="240" w:lineRule="auto"/>
        <w:jc w:val="both"/>
        <w:rPr>
          <w:rFonts w:ascii="Times New Roman" w:hAnsi="Times New Roman"/>
          <w:color w:val="000000" w:themeColor="text1"/>
          <w:sz w:val="16"/>
          <w:szCs w:val="16"/>
        </w:rPr>
      </w:pPr>
    </w:p>
    <w:p w14:paraId="3E16266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апреля 1933 состоялось заседание КО СССР (протокол 5).</w:t>
      </w:r>
    </w:p>
    <w:p w14:paraId="72CBFB4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Слушали/постановили:</w:t>
      </w:r>
    </w:p>
    <w:p w14:paraId="1674E0E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 рекордном полете на дальность.</w:t>
      </w:r>
    </w:p>
    <w:p w14:paraId="1CE4408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Организацию перелета возложить на ГУАП, УВВС и ГУГВФ</w:t>
      </w:r>
    </w:p>
    <w:p w14:paraId="7B8D442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Руководство о обеспечение всех мероприятий по перелету возложить на комиссию в составе тт. К.Е.В. (пред.), П.И.Б., Алксниса, Гольцмана.</w:t>
      </w:r>
    </w:p>
    <w:p w14:paraId="757B76D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Перелет на расстояние в 10 т км без посадки организовать в августе 1933 в пределах СССР.</w:t>
      </w:r>
    </w:p>
    <w:p w14:paraId="1C8AC94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расходы по организации перелета распределить равными долями между НКТП, НКВМ и ГУГВФ." (2282,12).</w:t>
      </w:r>
    </w:p>
    <w:p w14:paraId="1358AB65"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33BEA61D"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апреля 1933 г. Комитет обороны решил, что первый перелет на дальность 10 000 км следует провести в пределах СССР В кон</w:t>
      </w:r>
      <w:r w:rsidRPr="00142305">
        <w:rPr>
          <w:rFonts w:ascii="Times New Roman" w:hAnsi="Times New Roman"/>
          <w:color w:val="0070C0"/>
          <w:sz w:val="16"/>
          <w:szCs w:val="16"/>
        </w:rPr>
        <w:softHyphen/>
        <w:t>це мая нарком по военным и морским де</w:t>
      </w:r>
      <w:r w:rsidRPr="00142305">
        <w:rPr>
          <w:rFonts w:ascii="Times New Roman" w:hAnsi="Times New Roman"/>
          <w:color w:val="0070C0"/>
          <w:sz w:val="16"/>
          <w:szCs w:val="16"/>
        </w:rPr>
        <w:softHyphen/>
        <w:t>лам К.Е. Ворошилов утвердил маршрут Москва - Оренбург - Новосибирск - Чита - Новосибирск - Оренбург - Харьков - Мос</w:t>
      </w:r>
      <w:r w:rsidRPr="00142305">
        <w:rPr>
          <w:rFonts w:ascii="Times New Roman" w:hAnsi="Times New Roman"/>
          <w:color w:val="0070C0"/>
          <w:sz w:val="16"/>
          <w:szCs w:val="16"/>
        </w:rPr>
        <w:softHyphen/>
        <w:t>ква продолжительностью 10 150 км.</w:t>
      </w:r>
    </w:p>
    <w:p w14:paraId="33F78313"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этому времени уже стало ясно, что в установленные сроки машины готовы не будут (24946).</w:t>
      </w:r>
    </w:p>
    <w:p w14:paraId="396C2FE4" w14:textId="77777777" w:rsidR="00046E51" w:rsidRPr="00142305" w:rsidRDefault="00046E51" w:rsidP="00046E51">
      <w:pPr>
        <w:spacing w:after="0" w:line="240" w:lineRule="auto"/>
        <w:jc w:val="both"/>
        <w:rPr>
          <w:rFonts w:ascii="Times New Roman" w:hAnsi="Times New Roman"/>
          <w:color w:val="0070C0"/>
          <w:sz w:val="16"/>
          <w:szCs w:val="16"/>
        </w:rPr>
      </w:pPr>
    </w:p>
    <w:p w14:paraId="4BB40C2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апреля 1933 г. сдали консоли крыла И-14; центроплан - 16 апреля 1933 г.; 10 марта был полностью собран фюзеляж; 21 апреля установили шасси (правда, без подъемного механизма - его не успели довести в срок). Установка мотора на самолет состоялась 28 марта 1933 г. (12037).</w:t>
      </w:r>
    </w:p>
    <w:p w14:paraId="5543BC97"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22A6C71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апреля 1933 Нач. НТОС ГУАП Алмазов писал письмо N 282/227с Нач. НИИ ВВС РККА:</w:t>
      </w:r>
    </w:p>
    <w:p w14:paraId="732FCBB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передать через сотрудника НТОС ГУАП Гольдмана посланный мною Вам материал по эскизному проекту самолета ВС-2 для препровождения его Зам. директора завода 39 С.В.И. Ваше заключение по проекту прошу переслать непосредственно мне в НТОС ГУАП в ближайшее время.</w:t>
      </w:r>
    </w:p>
    <w:p w14:paraId="0BA60A1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готовности заключения просьба передать таковое сотруднику НТОС Гольдману." (2305,28).</w:t>
      </w:r>
    </w:p>
    <w:p w14:paraId="7BDDBE3D"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04D8189C"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апреля 1933 на самолете ЦКБ-3 второй закончились экс</w:t>
      </w:r>
      <w:r w:rsidRPr="0044524F">
        <w:rPr>
          <w:rFonts w:ascii="Times New Roman" w:hAnsi="Times New Roman"/>
          <w:color w:val="000000" w:themeColor="text1"/>
          <w:sz w:val="16"/>
          <w:szCs w:val="16"/>
        </w:rPr>
        <w:softHyphen/>
        <w:t>плуатационные испытания в Крыму, в Каче, которые проходили с 26 марта. От КБ ими руководил В.К.Таиров. За месяц летчики-испытате</w:t>
      </w:r>
      <w:r w:rsidRPr="0044524F">
        <w:rPr>
          <w:rFonts w:ascii="Times New Roman" w:hAnsi="Times New Roman"/>
          <w:color w:val="000000" w:themeColor="text1"/>
          <w:sz w:val="16"/>
          <w:szCs w:val="16"/>
        </w:rPr>
        <w:softHyphen/>
        <w:t>ли выполнили на истребителе 2100 фигур высшего пи</w:t>
      </w:r>
      <w:r w:rsidRPr="0044524F">
        <w:rPr>
          <w:rFonts w:ascii="Times New Roman" w:hAnsi="Times New Roman"/>
          <w:color w:val="000000" w:themeColor="text1"/>
          <w:sz w:val="16"/>
          <w:szCs w:val="16"/>
        </w:rPr>
        <w:softHyphen/>
        <w:t>лотажа, совершили 520 посадок. Были зафиксированы следующие летные характеристики самолета на лыжах: максимальная скорость у земли - 324 км/ч, на высоте 3000 м - 350 км/ч, а на высоте 5000 м - 325 км/ч, что в пе</w:t>
      </w:r>
      <w:r w:rsidRPr="0044524F">
        <w:rPr>
          <w:rFonts w:ascii="Times New Roman" w:hAnsi="Times New Roman"/>
          <w:color w:val="000000" w:themeColor="text1"/>
          <w:sz w:val="16"/>
          <w:szCs w:val="16"/>
        </w:rPr>
        <w:softHyphen/>
        <w:t>ресчете на колесное шасси дает, соответственно, 342 км/ч, 368 км/ч, 343 км/ч. Вес конструкции при этом со</w:t>
      </w:r>
      <w:r w:rsidRPr="0044524F">
        <w:rPr>
          <w:rFonts w:ascii="Times New Roman" w:hAnsi="Times New Roman"/>
          <w:color w:val="000000" w:themeColor="text1"/>
          <w:sz w:val="16"/>
          <w:szCs w:val="16"/>
        </w:rPr>
        <w:softHyphen/>
        <w:t>ставлял 942 кг, а взлетный вес - 1358 кг. Высоту 5000 м истребитель набирал за 6,2 мин. Время виража на вы</w:t>
      </w:r>
      <w:r w:rsidRPr="0044524F">
        <w:rPr>
          <w:rFonts w:ascii="Times New Roman" w:hAnsi="Times New Roman"/>
          <w:color w:val="000000" w:themeColor="text1"/>
          <w:sz w:val="16"/>
          <w:szCs w:val="16"/>
        </w:rPr>
        <w:softHyphen/>
        <w:t>соте 1000 м было рекордно малым - 8 секунд. Самолет отличался хорошими штопорными свойствами: запаз</w:t>
      </w:r>
      <w:r w:rsidRPr="0044524F">
        <w:rPr>
          <w:rFonts w:ascii="Times New Roman" w:hAnsi="Times New Roman"/>
          <w:color w:val="000000" w:themeColor="text1"/>
          <w:sz w:val="16"/>
          <w:szCs w:val="16"/>
        </w:rPr>
        <w:softHyphen/>
        <w:t>дывание на выходе не превышало двух витков. Нарека</w:t>
      </w:r>
      <w:r w:rsidRPr="0044524F">
        <w:rPr>
          <w:rFonts w:ascii="Times New Roman" w:hAnsi="Times New Roman"/>
          <w:color w:val="000000" w:themeColor="text1"/>
          <w:sz w:val="16"/>
          <w:szCs w:val="16"/>
        </w:rPr>
        <w:softHyphen/>
        <w:t>ния вызывала лишь небольшая неустойчивость по рысканью на скоростях свыше 270 км/ч.</w:t>
      </w:r>
    </w:p>
    <w:p w14:paraId="7134C241"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выводах по результатам испытаний записано:</w:t>
      </w:r>
    </w:p>
    <w:p w14:paraId="100D308D"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полученным летным данным (скорости по высотам, скороподъемности и маневренности) самолет И-15:</w:t>
      </w:r>
    </w:p>
    <w:p w14:paraId="650C4B4A"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далеко превосходит данные находящихся на во</w:t>
      </w:r>
      <w:r w:rsidRPr="0044524F">
        <w:rPr>
          <w:rFonts w:ascii="Times New Roman" w:hAnsi="Times New Roman"/>
          <w:color w:val="000000" w:themeColor="text1"/>
          <w:sz w:val="16"/>
          <w:szCs w:val="16"/>
        </w:rPr>
        <w:softHyphen/>
        <w:t>оружении СССР истребителей;</w:t>
      </w:r>
    </w:p>
    <w:p w14:paraId="23B14D52"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перекрывает гарантированные, утвержденные эс</w:t>
      </w:r>
      <w:r w:rsidRPr="0044524F">
        <w:rPr>
          <w:rFonts w:ascii="Times New Roman" w:hAnsi="Times New Roman"/>
          <w:color w:val="000000" w:themeColor="text1"/>
          <w:sz w:val="16"/>
          <w:szCs w:val="16"/>
        </w:rPr>
        <w:softHyphen/>
        <w:t>кизным проектом данные;</w:t>
      </w:r>
    </w:p>
    <w:p w14:paraId="63F00ACB"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маневренности превосходит, по скороподъем</w:t>
      </w:r>
      <w:r w:rsidRPr="0044524F">
        <w:rPr>
          <w:rFonts w:ascii="Times New Roman" w:hAnsi="Times New Roman"/>
          <w:color w:val="000000" w:themeColor="text1"/>
          <w:sz w:val="16"/>
          <w:szCs w:val="16"/>
        </w:rPr>
        <w:softHyphen/>
        <w:t>ности достигает уровня лучших современных опытных заграничных истребителей;</w:t>
      </w:r>
    </w:p>
    <w:p w14:paraId="0ADAFCF1"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 скорости на высоте 5000 м, благодаря схеме, обеспечивающей высокую маневренность, несколько уступает (на 20-30 км/ч) скорости лучших опытных од</w:t>
      </w:r>
      <w:r w:rsidRPr="0044524F">
        <w:rPr>
          <w:rFonts w:ascii="Times New Roman" w:hAnsi="Times New Roman"/>
          <w:color w:val="000000" w:themeColor="text1"/>
          <w:sz w:val="16"/>
          <w:szCs w:val="16"/>
        </w:rPr>
        <w:softHyphen/>
        <w:t>номестных заграничных истребителей.</w:t>
      </w:r>
    </w:p>
    <w:p w14:paraId="0E26724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Самолет И-15 по своим данным представляет удач</w:t>
      </w:r>
      <w:r w:rsidRPr="0044524F">
        <w:rPr>
          <w:rFonts w:ascii="Times New Roman" w:hAnsi="Times New Roman"/>
          <w:color w:val="000000" w:themeColor="text1"/>
          <w:sz w:val="16"/>
          <w:szCs w:val="16"/>
        </w:rPr>
        <w:softHyphen/>
        <w:t>ное разрешение вопроса о высокоманевренном истреби</w:t>
      </w:r>
      <w:r w:rsidRPr="0044524F">
        <w:rPr>
          <w:rFonts w:ascii="Times New Roman" w:hAnsi="Times New Roman"/>
          <w:color w:val="000000" w:themeColor="text1"/>
          <w:sz w:val="16"/>
          <w:szCs w:val="16"/>
        </w:rPr>
        <w:softHyphen/>
        <w:t>теле, обладающим в то же время достаточными горизон</w:t>
      </w:r>
      <w:r w:rsidRPr="0044524F">
        <w:rPr>
          <w:rFonts w:ascii="Times New Roman" w:hAnsi="Times New Roman"/>
          <w:color w:val="000000" w:themeColor="text1"/>
          <w:sz w:val="16"/>
          <w:szCs w:val="16"/>
        </w:rPr>
        <w:softHyphen/>
        <w:t>тальными скоростями. Соединение высокой маневрен</w:t>
      </w:r>
      <w:r w:rsidRPr="0044524F">
        <w:rPr>
          <w:rFonts w:ascii="Times New Roman" w:hAnsi="Times New Roman"/>
          <w:color w:val="000000" w:themeColor="text1"/>
          <w:sz w:val="16"/>
          <w:szCs w:val="16"/>
        </w:rPr>
        <w:softHyphen/>
        <w:t>ности, скороподъемности и достаточной скорости поз</w:t>
      </w:r>
      <w:r w:rsidRPr="0044524F">
        <w:rPr>
          <w:rFonts w:ascii="Times New Roman" w:hAnsi="Times New Roman"/>
          <w:color w:val="000000" w:themeColor="text1"/>
          <w:sz w:val="16"/>
          <w:szCs w:val="16"/>
        </w:rPr>
        <w:softHyphen/>
        <w:t>воляет считать, что самолет И-15 является современным истребителем.</w:t>
      </w:r>
    </w:p>
    <w:p w14:paraId="73FC027C"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 Самолет И-15 обладает достаточно мягким управле</w:t>
      </w:r>
      <w:r w:rsidRPr="0044524F">
        <w:rPr>
          <w:rFonts w:ascii="Times New Roman" w:hAnsi="Times New Roman"/>
          <w:color w:val="000000" w:themeColor="text1"/>
          <w:sz w:val="16"/>
          <w:szCs w:val="16"/>
        </w:rPr>
        <w:softHyphen/>
        <w:t>нием, простотой в пилотировании и хорошим обзором.</w:t>
      </w:r>
    </w:p>
    <w:p w14:paraId="25F83B52"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Основное испытание самолета И-15 показало, что конструкция самолета крупных, требующих больших переделок, дефектов не имеет...</w:t>
      </w:r>
    </w:p>
    <w:p w14:paraId="3F087E66"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Полетные качества самолета в отношении устой</w:t>
      </w:r>
      <w:r w:rsidRPr="0044524F">
        <w:rPr>
          <w:rFonts w:ascii="Times New Roman" w:hAnsi="Times New Roman"/>
          <w:color w:val="000000" w:themeColor="text1"/>
          <w:sz w:val="16"/>
          <w:szCs w:val="16"/>
        </w:rPr>
        <w:softHyphen/>
        <w:t>чивости пути являются недостаточно удовлетворитель</w:t>
      </w:r>
      <w:r w:rsidRPr="0044524F">
        <w:rPr>
          <w:rFonts w:ascii="Times New Roman" w:hAnsi="Times New Roman"/>
          <w:color w:val="000000" w:themeColor="text1"/>
          <w:sz w:val="16"/>
          <w:szCs w:val="16"/>
        </w:rPr>
        <w:softHyphen/>
        <w:t>ными. На скоростях 200-250 км/ч самолет имеет нейтральную устойчивость, на скоростях свыше 250 км/ч - неустойчив...».</w:t>
      </w:r>
    </w:p>
    <w:p w14:paraId="43E5DF1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результатов летных испытаний И-15 был рекомендован для серийного производства. Оно разворачивалось на заводах № 1 и № 39 (10667).</w:t>
      </w:r>
    </w:p>
    <w:p w14:paraId="64ABDBCE"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301C4A00"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84FA583"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328D5F5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апреля 1933 закончились полигонные испытания САУ СУ-76К (СУ-3), которые проходили с 15 апреля. Разработана на заводе № 7 на базе Т-27 и вооруженная ДРП. Предназначенная для действий в составе разведотрядов и для сопрвождения конницы. Испытывалась на полигоне ВАММ им. Сталина в Кунцево. Произошел разрыв ствола из-за двойного заряжания (9527,271).</w:t>
      </w:r>
    </w:p>
    <w:p w14:paraId="748E8043"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19DB8261" w14:textId="77777777" w:rsidR="002E1BE7" w:rsidRPr="0044524F" w:rsidRDefault="002E1BE7" w:rsidP="009654CF">
      <w:pPr>
        <w:pStyle w:val="a3"/>
        <w:rPr>
          <w:color w:val="000000" w:themeColor="text1"/>
          <w:lang w:val="ru-RU"/>
        </w:rPr>
      </w:pPr>
      <w:r w:rsidRPr="0044524F">
        <w:rPr>
          <w:color w:val="000000" w:themeColor="text1"/>
          <w:lang w:val="ru-RU"/>
        </w:rPr>
        <w:t>25 апреля 1933 г. постановлением СТО Наркомтяжпром обя</w:t>
      </w:r>
      <w:r w:rsidRPr="0044524F">
        <w:rPr>
          <w:color w:val="000000" w:themeColor="text1"/>
          <w:lang w:val="ru-RU"/>
        </w:rPr>
        <w:softHyphen/>
        <w:t>зывался выбрать тип пропашного трактора и организовать его производство с максималь</w:t>
      </w:r>
      <w:r w:rsidRPr="0044524F">
        <w:rPr>
          <w:color w:val="000000" w:themeColor="text1"/>
          <w:lang w:val="ru-RU"/>
        </w:rPr>
        <w:softHyphen/>
        <w:t>ным использованием действующих заводов. В результате были проведены государствен</w:t>
      </w:r>
      <w:r w:rsidRPr="0044524F">
        <w:rPr>
          <w:color w:val="000000" w:themeColor="text1"/>
          <w:lang w:val="ru-RU"/>
        </w:rPr>
        <w:softHyphen/>
        <w:t>ные испытания тракторов СХТЗ, доработанных ВИМЭ, ВИСХОМ и Омским заводом сельхоз</w:t>
      </w:r>
      <w:r w:rsidRPr="0044524F">
        <w:rPr>
          <w:color w:val="000000" w:themeColor="text1"/>
          <w:lang w:val="ru-RU"/>
        </w:rPr>
        <w:softHyphen/>
        <w:t>машин, а также импортного пропашного трак</w:t>
      </w:r>
      <w:r w:rsidRPr="0044524F">
        <w:rPr>
          <w:color w:val="000000" w:themeColor="text1"/>
          <w:lang w:val="ru-RU"/>
        </w:rPr>
        <w:softHyphen/>
        <w:t>тора «Фармол».</w:t>
      </w:r>
    </w:p>
    <w:p w14:paraId="1525766B" w14:textId="77777777" w:rsidR="002E1BE7" w:rsidRPr="0044524F" w:rsidRDefault="002E1BE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ходе испытаний однозначно установили, что все предложенные варианты трактора СХТЗ обладают существенными недостатками по сравнению с американской машиной и не от</w:t>
      </w:r>
      <w:r w:rsidRPr="0044524F">
        <w:rPr>
          <w:rFonts w:ascii="Times New Roman" w:hAnsi="Times New Roman"/>
          <w:color w:val="000000" w:themeColor="text1"/>
          <w:sz w:val="16"/>
          <w:szCs w:val="16"/>
        </w:rPr>
        <w:softHyphen/>
        <w:t>вечают ни одному из предъявляемых к ним тре</w:t>
      </w:r>
      <w:r w:rsidRPr="0044524F">
        <w:rPr>
          <w:rFonts w:ascii="Times New Roman" w:hAnsi="Times New Roman"/>
          <w:color w:val="000000" w:themeColor="text1"/>
          <w:sz w:val="16"/>
          <w:szCs w:val="16"/>
        </w:rPr>
        <w:softHyphen/>
        <w:t>бований. В этой связи на заседании комиссии политбюро 8 августа 1933 г. под председатель</w:t>
      </w:r>
      <w:r w:rsidRPr="0044524F">
        <w:rPr>
          <w:rFonts w:ascii="Times New Roman" w:hAnsi="Times New Roman"/>
          <w:color w:val="000000" w:themeColor="text1"/>
          <w:sz w:val="16"/>
          <w:szCs w:val="16"/>
        </w:rPr>
        <w:softHyphen/>
        <w:t>ством С.М. Куйбышева было принято решение ограничить выпуск партии приспособлений к трактору СХТЗ: четырехколесных — 100 шт., трехколесных — 500 шт. Для покрытия потреб</w:t>
      </w:r>
      <w:r w:rsidRPr="0044524F">
        <w:rPr>
          <w:rFonts w:ascii="Times New Roman" w:hAnsi="Times New Roman"/>
          <w:color w:val="000000" w:themeColor="text1"/>
          <w:sz w:val="16"/>
          <w:szCs w:val="16"/>
        </w:rPr>
        <w:softHyphen/>
        <w:t>ности народного хозяйства в пропашных трак</w:t>
      </w:r>
      <w:r w:rsidRPr="0044524F">
        <w:rPr>
          <w:rFonts w:ascii="Times New Roman" w:hAnsi="Times New Roman"/>
          <w:color w:val="000000" w:themeColor="text1"/>
          <w:sz w:val="16"/>
          <w:szCs w:val="16"/>
        </w:rPr>
        <w:softHyphen/>
        <w:t>торах следовало организовать производство советской версии трактора «Фармол» на заво</w:t>
      </w:r>
      <w:r w:rsidRPr="0044524F">
        <w:rPr>
          <w:rFonts w:ascii="Times New Roman" w:hAnsi="Times New Roman"/>
          <w:color w:val="000000" w:themeColor="text1"/>
          <w:sz w:val="16"/>
          <w:szCs w:val="16"/>
        </w:rPr>
        <w:softHyphen/>
        <w:t>де «Красный Путиловец».</w:t>
      </w:r>
    </w:p>
    <w:p w14:paraId="593C9CAB" w14:textId="77777777" w:rsidR="002E1BE7" w:rsidRPr="0044524F" w:rsidRDefault="002E1BE7" w:rsidP="009654CF">
      <w:pPr>
        <w:pStyle w:val="aff0"/>
        <w:shd w:val="clear" w:color="auto" w:fill="auto"/>
        <w:spacing w:line="240" w:lineRule="auto"/>
        <w:rPr>
          <w:rFonts w:ascii="Times New Roman" w:hAnsi="Times New Roman" w:cs="Times New Roman"/>
          <w:i w:val="0"/>
          <w:color w:val="000000" w:themeColor="text1"/>
          <w:sz w:val="16"/>
          <w:szCs w:val="16"/>
          <w:lang w:val="ru-RU"/>
        </w:rPr>
      </w:pPr>
      <w:r w:rsidRPr="0044524F">
        <w:rPr>
          <w:rFonts w:ascii="Times New Roman" w:hAnsi="Times New Roman" w:cs="Times New Roman"/>
          <w:i w:val="0"/>
          <w:color w:val="000000" w:themeColor="text1"/>
          <w:sz w:val="16"/>
          <w:szCs w:val="16"/>
          <w:lang w:val="ru-RU"/>
        </w:rPr>
        <w:t>Некоторые показатели пропашных тракторов по данным государственных испытаний</w:t>
      </w:r>
    </w:p>
    <w:tbl>
      <w:tblPr>
        <w:tblW w:w="0" w:type="auto"/>
        <w:tblInd w:w="5" w:type="dxa"/>
        <w:tblLayout w:type="fixed"/>
        <w:tblCellMar>
          <w:left w:w="0" w:type="dxa"/>
          <w:right w:w="0" w:type="dxa"/>
        </w:tblCellMar>
        <w:tblLook w:val="0000" w:firstRow="0" w:lastRow="0" w:firstColumn="0" w:lastColumn="0" w:noHBand="0" w:noVBand="0"/>
      </w:tblPr>
      <w:tblGrid>
        <w:gridCol w:w="1848"/>
        <w:gridCol w:w="1085"/>
        <w:gridCol w:w="1128"/>
        <w:gridCol w:w="1138"/>
        <w:gridCol w:w="1531"/>
      </w:tblGrid>
      <w:tr w:rsidR="004E10C1" w:rsidRPr="0044524F" w14:paraId="23E6AFCD" w14:textId="77777777" w:rsidTr="002E1BE7">
        <w:trPr>
          <w:trHeight w:val="44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05533600"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Модель трактора</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44B445D"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«Фармол»</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368A7DA0"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СХТЗ ВИМЭ, 3-колесный</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A0234CB"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СХТЗ ВИСХОМ, 4-колесный</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1B04F80"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СХТЗ,4-колесный омский</w:t>
            </w:r>
          </w:p>
        </w:tc>
      </w:tr>
      <w:tr w:rsidR="004E10C1" w:rsidRPr="0044524F" w14:paraId="4501382B" w14:textId="77777777" w:rsidTr="002E1BE7">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3F31E31"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Вес пропашника,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00DA2C06"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1913</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4CD79D13"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3409</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06B1B2E8"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 3489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6A29146B"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3650</w:t>
            </w:r>
          </w:p>
        </w:tc>
      </w:tr>
      <w:tr w:rsidR="004E10C1" w:rsidRPr="0044524F" w14:paraId="02D49403" w14:textId="77777777" w:rsidTr="002E1BE7">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5AD4A7A8"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Общий вес приспособлений,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B30B04C" w14:textId="77777777" w:rsidR="002E1BE7" w:rsidRPr="0044524F" w:rsidRDefault="002E1BE7" w:rsidP="009654CF">
            <w:pPr>
              <w:pStyle w:val="182"/>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5E82C67"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920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36FC2843"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811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02A158B4"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954</w:t>
            </w:r>
          </w:p>
        </w:tc>
      </w:tr>
      <w:tr w:rsidR="004E10C1" w:rsidRPr="0044524F" w14:paraId="248168D4"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303EE76C"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Вес передней часта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7840EAC6" w14:textId="77777777" w:rsidR="002E1BE7" w:rsidRPr="0044524F" w:rsidRDefault="002E1BE7" w:rsidP="009654CF">
            <w:pPr>
              <w:pStyle w:val="191"/>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D7BB09A"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357</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3D32FBC2"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248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67F10609"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391</w:t>
            </w:r>
          </w:p>
        </w:tc>
      </w:tr>
      <w:tr w:rsidR="004E10C1" w:rsidRPr="0044524F" w14:paraId="244193F7" w14:textId="77777777" w:rsidTr="002E1BE7">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139F5387"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Вес задней части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2541298" w14:textId="77777777" w:rsidR="002E1BE7" w:rsidRPr="0044524F" w:rsidRDefault="002E1BE7" w:rsidP="009654CF">
            <w:pPr>
              <w:pStyle w:val="182"/>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4E5A4608"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563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83D8190"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563</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6AA0574A"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563</w:t>
            </w:r>
          </w:p>
        </w:tc>
      </w:tr>
      <w:tr w:rsidR="004E10C1" w:rsidRPr="0044524F" w14:paraId="0A7F0022"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02D63BA8"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Нагрузка на переднюю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FBB5619"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565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0E2F486"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1084</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1DCB7167"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1418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20CA4327"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1392</w:t>
            </w:r>
          </w:p>
        </w:tc>
      </w:tr>
      <w:tr w:rsidR="004E10C1" w:rsidRPr="0044524F" w14:paraId="7821BF3C" w14:textId="77777777" w:rsidTr="002E1BE7">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534C2B9"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Нагрузка на заднюю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41F1567"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1348</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784D8A7"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2323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0E78360B"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2071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34BE0064"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2258</w:t>
            </w:r>
          </w:p>
        </w:tc>
      </w:tr>
      <w:tr w:rsidR="004E10C1" w:rsidRPr="0044524F" w14:paraId="2B3A06F7"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1B268DE"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Удельное давление на передние колеса, кг/см</w:t>
            </w:r>
            <w:r w:rsidRPr="0044524F">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746DE117"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1,15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36612465"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2,08</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7BE060A"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1,56</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5FFA952F"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1,5</w:t>
            </w:r>
          </w:p>
        </w:tc>
      </w:tr>
      <w:tr w:rsidR="004E10C1" w:rsidRPr="0044524F" w14:paraId="524C8E76" w14:textId="77777777" w:rsidTr="002E1BE7">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C29F1DE"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Удельное давление на задние колеса, кг/см</w:t>
            </w:r>
            <w:r w:rsidRPr="0044524F">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030BE12"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1,05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8F88C16"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1,90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222EFC6"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1,69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51555938"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1,84</w:t>
            </w:r>
          </w:p>
        </w:tc>
      </w:tr>
      <w:tr w:rsidR="004E10C1" w:rsidRPr="0044524F" w14:paraId="0E334E1C" w14:textId="77777777" w:rsidTr="002E1BE7">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5E022BE4"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Продольная база,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45AC0AB"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2159</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789E16BE"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2720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63DB60D2"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2100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721E4468"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2500</w:t>
            </w:r>
          </w:p>
        </w:tc>
      </w:tr>
      <w:tr w:rsidR="004E10C1" w:rsidRPr="0044524F" w14:paraId="7D1FD029" w14:textId="77777777" w:rsidTr="002E1BE7">
        <w:trPr>
          <w:trHeight w:val="250"/>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1483341"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Дорожный просвет,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9E32F76"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736</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BA09C76"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700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2B9EFF22"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610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0DAE91E6" w14:textId="77777777" w:rsidR="002E1BE7" w:rsidRPr="0044524F" w:rsidRDefault="002E1BE7"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700</w:t>
            </w:r>
          </w:p>
        </w:tc>
      </w:tr>
    </w:tbl>
    <w:p w14:paraId="4881AA28" w14:textId="77777777" w:rsidR="002E1BE7" w:rsidRPr="0044524F" w:rsidRDefault="002E1BE7" w:rsidP="009654CF">
      <w:pPr>
        <w:pStyle w:val="a3"/>
        <w:rPr>
          <w:color w:val="000000" w:themeColor="text1"/>
        </w:rPr>
      </w:pPr>
      <w:r w:rsidRPr="0044524F">
        <w:rPr>
          <w:color w:val="000000" w:themeColor="text1"/>
        </w:rPr>
        <w:t>(12620).</w:t>
      </w:r>
    </w:p>
    <w:p w14:paraId="3169A4B6" w14:textId="77777777" w:rsidR="002E1BE7" w:rsidRPr="0044524F" w:rsidRDefault="002E1BE7" w:rsidP="009654CF">
      <w:pPr>
        <w:spacing w:after="0" w:line="240" w:lineRule="auto"/>
        <w:jc w:val="both"/>
        <w:rPr>
          <w:rFonts w:ascii="Times New Roman" w:hAnsi="Times New Roman"/>
          <w:color w:val="000000" w:themeColor="text1"/>
          <w:sz w:val="16"/>
          <w:szCs w:val="16"/>
        </w:rPr>
      </w:pPr>
    </w:p>
    <w:p w14:paraId="51356AB3"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апреля 1933 г. постановлением СТО Наркомтяжпром обязывался выбрать тип пропашного трактора и организовать его производство с максимальным использованием действующих заводов. В результате были проведены государственные испытания тракторов СХТЗ, доработанных ВИМЭ, ВИСХОМ и Омским заводом сельхозмашин, а также импортного пропашного трактора «Фармол».</w:t>
      </w:r>
    </w:p>
    <w:p w14:paraId="094B46A0"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испытаний однозначно установили, что все предложенные варианты трактора СХТЗ обладают существенными недостатками по сравнению с американской машиной и не отвечают ни одному из предъявляемых к ним требований. В этой связи на заседании комиссии политбюро 8 августа 1933 г. под председательством С.М. Куйбышева было принято решение ограничить выпуск партии приспособлений к трактору СХТЗ: четырехколесных – 100 шт., трехколесных – 500 шт. Для покрытия потребности народного хозяйства в пропашных тракторах следовало организовать производство советской версии трактора «Фармол» на заводе «Красный Путиловец» (25583).</w:t>
      </w:r>
    </w:p>
    <w:p w14:paraId="27E11A54" w14:textId="77777777" w:rsidR="00046E51" w:rsidRPr="00142305" w:rsidRDefault="00046E51" w:rsidP="00046E51">
      <w:pPr>
        <w:spacing w:after="0" w:line="240" w:lineRule="auto"/>
        <w:jc w:val="both"/>
        <w:rPr>
          <w:rFonts w:ascii="Times New Roman" w:hAnsi="Times New Roman"/>
          <w:color w:val="0070C0"/>
          <w:sz w:val="16"/>
          <w:szCs w:val="16"/>
        </w:rPr>
      </w:pPr>
    </w:p>
    <w:p w14:paraId="3CE0AE56" w14:textId="77777777" w:rsidR="00DC337E" w:rsidRPr="0044524F" w:rsidRDefault="00DC337E" w:rsidP="009654CF">
      <w:pPr>
        <w:pStyle w:val="rtejustify"/>
        <w:spacing w:before="0" w:after="0"/>
        <w:rPr>
          <w:color w:val="000000" w:themeColor="text1"/>
          <w:sz w:val="16"/>
          <w:szCs w:val="16"/>
        </w:rPr>
      </w:pPr>
      <w:r w:rsidRPr="0044524F">
        <w:rPr>
          <w:rStyle w:val="af0"/>
          <w:bCs/>
          <w:i w:val="0"/>
          <w:color w:val="000000" w:themeColor="text1"/>
          <w:sz w:val="16"/>
          <w:szCs w:val="16"/>
        </w:rPr>
        <w:t>25/26 апреля 1933 вышел приказ НКТП № 43с.</w:t>
      </w:r>
      <w:r w:rsidRPr="0044524F">
        <w:rPr>
          <w:color w:val="000000" w:themeColor="text1"/>
          <w:sz w:val="16"/>
          <w:szCs w:val="16"/>
        </w:rPr>
        <w:t xml:space="preserve"> О мероприятиях по обеспечению строительства Сталинградского тракторного завода оборудованием и материалами. (РГАЭ. Ф. 7297. Оп. 38. Д. 35. Л. 28</w:t>
      </w:r>
      <w:r w:rsidRPr="0044524F">
        <w:rPr>
          <w:color w:val="000000" w:themeColor="text1"/>
          <w:sz w:val="16"/>
          <w:szCs w:val="16"/>
        </w:rPr>
        <w:noBreakHyphen/>
        <w:t>28 об.) (15246).</w:t>
      </w:r>
    </w:p>
    <w:p w14:paraId="128CF961" w14:textId="77777777" w:rsidR="00DC337E" w:rsidRPr="0044524F" w:rsidRDefault="00DC337E" w:rsidP="009654CF">
      <w:pPr>
        <w:pStyle w:val="rtejustify"/>
        <w:spacing w:before="0" w:after="0"/>
        <w:rPr>
          <w:color w:val="000000" w:themeColor="text1"/>
          <w:sz w:val="16"/>
          <w:szCs w:val="16"/>
        </w:rPr>
      </w:pPr>
    </w:p>
    <w:p w14:paraId="4547B370" w14:textId="77777777" w:rsidR="00F67B79" w:rsidRPr="0044524F" w:rsidRDefault="00F67B79"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ABBA82D" w14:textId="77777777" w:rsidR="00F67B79" w:rsidRPr="0044524F" w:rsidRDefault="00F67B79" w:rsidP="009654CF">
      <w:pPr>
        <w:spacing w:after="0" w:line="240" w:lineRule="auto"/>
        <w:jc w:val="both"/>
        <w:rPr>
          <w:rFonts w:ascii="Times New Roman" w:hAnsi="Times New Roman"/>
          <w:iCs/>
          <w:color w:val="000000" w:themeColor="text1"/>
          <w:sz w:val="16"/>
          <w:szCs w:val="16"/>
        </w:rPr>
      </w:pPr>
    </w:p>
    <w:p w14:paraId="3C2FB40B" w14:textId="77777777" w:rsidR="00F67B79" w:rsidRPr="0044524F" w:rsidRDefault="00F67B7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апреля 1933. Открылись 10 магазинов и 49 палаток Молокосбыта, торговавших молочными продуктами по коммерческим ценам (18722).</w:t>
      </w:r>
    </w:p>
    <w:p w14:paraId="0D1AE0D7" w14:textId="77777777" w:rsidR="00F67B79" w:rsidRPr="0044524F" w:rsidRDefault="00F67B79" w:rsidP="009654CF">
      <w:pPr>
        <w:spacing w:after="0" w:line="240" w:lineRule="auto"/>
        <w:jc w:val="both"/>
        <w:rPr>
          <w:rFonts w:ascii="Times New Roman" w:hAnsi="Times New Roman"/>
          <w:color w:val="000000" w:themeColor="text1"/>
          <w:sz w:val="16"/>
          <w:szCs w:val="16"/>
        </w:rPr>
      </w:pPr>
    </w:p>
    <w:p w14:paraId="5B305F96"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9CFE245"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672856A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1933 был готов МИ-3 (АНТ-21) - МИ-3 2М-34Н и выведен на аэродром. Опоздание было вызвано поздним получением моторов - 22 декабря 1932 вместо 1 сентября 1932 (2287,128).</w:t>
      </w:r>
    </w:p>
    <w:p w14:paraId="1191C3A7"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54AABA53" w14:textId="77777777" w:rsidR="002535BD" w:rsidRPr="0044524F" w:rsidRDefault="002535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1933 года в ЦАГИ была закончена постройка самолета МИ-3, АНТ-21 и самолет был отправлен на аэродром.</w:t>
      </w:r>
    </w:p>
    <w:p w14:paraId="34BADB8B" w14:textId="77777777" w:rsidR="002535BD" w:rsidRPr="0044524F" w:rsidRDefault="002535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 срока постройки была вызвана большим числом экспериментальных работ по шасси, моторному оборудованию и т.д. (23345).</w:t>
      </w:r>
    </w:p>
    <w:p w14:paraId="7F8531B8" w14:textId="77777777" w:rsidR="002535BD" w:rsidRPr="0044524F" w:rsidRDefault="002535BD" w:rsidP="009654CF">
      <w:pPr>
        <w:spacing w:after="0" w:line="240" w:lineRule="auto"/>
        <w:jc w:val="both"/>
        <w:rPr>
          <w:rFonts w:ascii="Times New Roman" w:hAnsi="Times New Roman"/>
          <w:color w:val="000000" w:themeColor="text1"/>
          <w:sz w:val="16"/>
          <w:szCs w:val="16"/>
        </w:rPr>
      </w:pPr>
    </w:p>
    <w:p w14:paraId="33D151F6" w14:textId="77777777" w:rsidR="002535BD" w:rsidRPr="0044524F" w:rsidRDefault="002535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1933 г. МИ-3 был готов. Воору</w:t>
      </w:r>
      <w:r w:rsidRPr="0044524F">
        <w:rPr>
          <w:rFonts w:ascii="Times New Roman" w:hAnsi="Times New Roman"/>
          <w:color w:val="000000" w:themeColor="text1"/>
          <w:sz w:val="16"/>
          <w:szCs w:val="16"/>
        </w:rPr>
        <w:softHyphen/>
        <w:t>жение не устанавливалось. Постройка самолета потребовала проведения большого объема экспери</w:t>
      </w:r>
      <w:r w:rsidRPr="0044524F">
        <w:rPr>
          <w:rFonts w:ascii="Times New Roman" w:hAnsi="Times New Roman"/>
          <w:color w:val="000000" w:themeColor="text1"/>
          <w:sz w:val="16"/>
          <w:szCs w:val="16"/>
        </w:rPr>
        <w:softHyphen/>
        <w:t>ментальных работ по шасси и моторному оборудованию (23474).</w:t>
      </w:r>
    </w:p>
    <w:p w14:paraId="0042166C" w14:textId="77777777" w:rsidR="002535BD" w:rsidRPr="0044524F" w:rsidRDefault="002535BD" w:rsidP="009654CF">
      <w:pPr>
        <w:spacing w:after="0" w:line="240" w:lineRule="auto"/>
        <w:jc w:val="both"/>
        <w:rPr>
          <w:rFonts w:ascii="Times New Roman" w:hAnsi="Times New Roman"/>
          <w:color w:val="000000" w:themeColor="text1"/>
          <w:sz w:val="16"/>
          <w:szCs w:val="16"/>
        </w:rPr>
      </w:pPr>
    </w:p>
    <w:p w14:paraId="0262EEBA" w14:textId="77777777" w:rsidR="002535BD" w:rsidRPr="0044524F" w:rsidRDefault="002535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1933 года постройка самолета МИ-3 (АНТ-21) была закончена.</w:t>
      </w:r>
    </w:p>
    <w:p w14:paraId="286CFF9C" w14:textId="77777777" w:rsidR="002535BD" w:rsidRPr="0044524F" w:rsidRDefault="002535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 срока постройки была вызвана большим числом экспериментальных работ по шасси, моторному оборудованию и т.д. (24197)</w:t>
      </w:r>
    </w:p>
    <w:p w14:paraId="7896C1B3" w14:textId="77777777" w:rsidR="002535BD" w:rsidRPr="0044524F" w:rsidRDefault="002535BD" w:rsidP="009654CF">
      <w:pPr>
        <w:spacing w:after="0" w:line="240" w:lineRule="auto"/>
        <w:jc w:val="both"/>
        <w:rPr>
          <w:rFonts w:ascii="Times New Roman" w:hAnsi="Times New Roman"/>
          <w:color w:val="000000" w:themeColor="text1"/>
          <w:sz w:val="16"/>
          <w:szCs w:val="16"/>
        </w:rPr>
      </w:pPr>
    </w:p>
    <w:p w14:paraId="4A91D944" w14:textId="77777777" w:rsidR="002535BD" w:rsidRPr="0044524F" w:rsidRDefault="002535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самолет МИ-3 (АНТ-21) был отправлен на аэродром (24197).</w:t>
      </w:r>
    </w:p>
    <w:p w14:paraId="5848D0DB" w14:textId="77777777" w:rsidR="002535BD" w:rsidRPr="0044524F" w:rsidRDefault="002535BD" w:rsidP="009654CF">
      <w:pPr>
        <w:spacing w:after="0" w:line="240" w:lineRule="auto"/>
        <w:jc w:val="both"/>
        <w:rPr>
          <w:rFonts w:ascii="Times New Roman" w:hAnsi="Times New Roman"/>
          <w:color w:val="000000" w:themeColor="text1"/>
          <w:sz w:val="16"/>
          <w:szCs w:val="16"/>
        </w:rPr>
      </w:pPr>
    </w:p>
    <w:p w14:paraId="200B95DE"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1933 г. Е.С.Петро</w:t>
      </w:r>
      <w:r w:rsidRPr="0044524F">
        <w:rPr>
          <w:rFonts w:ascii="Times New Roman" w:hAnsi="Times New Roman"/>
          <w:color w:val="000000" w:themeColor="text1"/>
          <w:sz w:val="16"/>
          <w:szCs w:val="16"/>
        </w:rPr>
        <w:softHyphen/>
        <w:t>в и В.А.Артемьев, у которых возникла мысль объединить все лучшее из обеих кон</w:t>
      </w:r>
      <w:r w:rsidRPr="0044524F">
        <w:rPr>
          <w:rFonts w:ascii="Times New Roman" w:hAnsi="Times New Roman"/>
          <w:color w:val="000000" w:themeColor="text1"/>
          <w:sz w:val="16"/>
          <w:szCs w:val="16"/>
        </w:rPr>
        <w:softHyphen/>
        <w:t>струкций и создать гибрид РС с корпусом, вращающимся на траектории вокруг своей продольной оси, и в то же время, с неподвижным в полете надкалиберным крестообразным оперением, подали заявку в отдел изобретений НКО СССР с описанием трех вариантов, как теперь говорят, «узлов развязки» корпу</w:t>
      </w:r>
      <w:r w:rsidRPr="0044524F">
        <w:rPr>
          <w:rFonts w:ascii="Times New Roman" w:hAnsi="Times New Roman"/>
          <w:color w:val="000000" w:themeColor="text1"/>
          <w:sz w:val="16"/>
          <w:szCs w:val="16"/>
        </w:rPr>
        <w:softHyphen/>
        <w:t>са ракетного боеприпаса с органами стабилизации (обратный адрес - Лихоборы, Лихачевское шоссе, 6, РНИИ).</w:t>
      </w:r>
    </w:p>
    <w:p w14:paraId="778121F6"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«Реактивные снаряды вообще имеют малый вес, по сравнению с арт-снарядами того же калибра, а потому для достаточной устойчивости требу</w:t>
      </w:r>
      <w:r w:rsidRPr="0044524F">
        <w:rPr>
          <w:rFonts w:ascii="Times New Roman" w:hAnsi="Times New Roman"/>
          <w:color w:val="000000" w:themeColor="text1"/>
          <w:sz w:val="16"/>
          <w:szCs w:val="16"/>
        </w:rPr>
        <w:softHyphen/>
        <w:t xml:space="preserve">ют затраты значительной доли ракетного заряда для сообщения им нужной вращательной скорости. Настоящее изобретение имеет целью обеспечить вращающимся снарядам </w:t>
      </w:r>
      <w:r w:rsidRPr="0044524F">
        <w:rPr>
          <w:rFonts w:ascii="Times New Roman" w:hAnsi="Times New Roman"/>
          <w:color w:val="000000" w:themeColor="text1"/>
          <w:sz w:val="16"/>
          <w:szCs w:val="16"/>
        </w:rPr>
        <w:lastRenderedPageBreak/>
        <w:t>устойчивость на полете при небольшом расходе энергии ракетного заряда. Эта цель достигается, согласно введению хво</w:t>
      </w:r>
      <w:r w:rsidRPr="0044524F">
        <w:rPr>
          <w:rFonts w:ascii="Times New Roman" w:hAnsi="Times New Roman"/>
          <w:color w:val="000000" w:themeColor="text1"/>
          <w:sz w:val="16"/>
          <w:szCs w:val="16"/>
        </w:rPr>
        <w:softHyphen/>
        <w:t>стового оперения, не принимающего участие во вращательном движении».</w:t>
      </w:r>
    </w:p>
    <w:p w14:paraId="3000E30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турборакетного снаряда первого варианта вращение камеры двига</w:t>
      </w:r>
      <w:r w:rsidRPr="0044524F">
        <w:rPr>
          <w:rFonts w:ascii="Times New Roman" w:hAnsi="Times New Roman"/>
          <w:color w:val="000000" w:themeColor="text1"/>
          <w:sz w:val="16"/>
          <w:szCs w:val="16"/>
        </w:rPr>
        <w:softHyphen/>
        <w:t>теля относительно неподвижного сопла с «наглухо соединенным с ним оперением» предусматривалось осуществить посредством муфты шари</w:t>
      </w:r>
      <w:r w:rsidRPr="0044524F">
        <w:rPr>
          <w:rFonts w:ascii="Times New Roman" w:hAnsi="Times New Roman"/>
          <w:color w:val="000000" w:themeColor="text1"/>
          <w:sz w:val="16"/>
          <w:szCs w:val="16"/>
        </w:rPr>
        <w:softHyphen/>
        <w:t>коподшипника. Во втором варианте соединительная муфта была выпол</w:t>
      </w:r>
      <w:r w:rsidRPr="0044524F">
        <w:rPr>
          <w:rFonts w:ascii="Times New Roman" w:hAnsi="Times New Roman"/>
          <w:color w:val="000000" w:themeColor="text1"/>
          <w:sz w:val="16"/>
          <w:szCs w:val="16"/>
        </w:rPr>
        <w:softHyphen/>
        <w:t>нена в виде продолжения соплового обтекателя. В третьем сопло было наглухо соединено с камерой, а хвостовое оперение крепилось на сопловом блоке с возможностью вращения. Таким образом, по мнению авторов, после старта снаряда хвостовое оперение вместе с соплом (первый и вто</w:t>
      </w:r>
      <w:r w:rsidRPr="0044524F">
        <w:rPr>
          <w:rFonts w:ascii="Times New Roman" w:hAnsi="Times New Roman"/>
          <w:color w:val="000000" w:themeColor="text1"/>
          <w:sz w:val="16"/>
          <w:szCs w:val="16"/>
        </w:rPr>
        <w:softHyphen/>
        <w:t>рой варианты) или одно хвостовое оперение (третий вариант) под дейст</w:t>
      </w:r>
      <w:r w:rsidRPr="0044524F">
        <w:rPr>
          <w:rFonts w:ascii="Times New Roman" w:hAnsi="Times New Roman"/>
          <w:color w:val="000000" w:themeColor="text1"/>
          <w:sz w:val="16"/>
          <w:szCs w:val="16"/>
        </w:rPr>
        <w:softHyphen/>
        <w:t>вием сопротивления воздуха не принимали бы участия во вращении.</w:t>
      </w:r>
    </w:p>
    <w:p w14:paraId="2D12B619"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заведенным правилам, из ОИ НКО СССР положительный или отрицательный отзыв должен был поступить в трехмесячный срок. Как ответили военные этим (в недалеком будущем уважаемым) ученым му</w:t>
      </w:r>
      <w:r w:rsidRPr="0044524F">
        <w:rPr>
          <w:rFonts w:ascii="Times New Roman" w:hAnsi="Times New Roman"/>
          <w:color w:val="000000" w:themeColor="text1"/>
          <w:sz w:val="16"/>
          <w:szCs w:val="16"/>
        </w:rPr>
        <w:softHyphen/>
        <w:t>жам, - неизвестно. Однако, первые два варианта снарядов, похоже, были абсолютно «нежизнеспособны». Во-первых, из-за неизбежной утечки продуктов сгорания РЗ через щель в стыке вращающейся и неподвижной частей сопла. И еще неизвестно, в какую сторону эти огненные факелы будут бить на активном участке траектории снаряда, сталкивая его с «баллистической прямой». Кроме того, максимальное значение внут</w:t>
      </w:r>
      <w:r w:rsidRPr="0044524F">
        <w:rPr>
          <w:rFonts w:ascii="Times New Roman" w:hAnsi="Times New Roman"/>
          <w:color w:val="000000" w:themeColor="text1"/>
          <w:sz w:val="16"/>
          <w:szCs w:val="16"/>
        </w:rPr>
        <w:softHyphen/>
        <w:t>реннего давления в двигателе, опять же, приходилось на его критическое сечение. Таким образом, сопла, сочлененные через шарикоподшипник, отрывало бы на старте очень часто.</w:t>
      </w:r>
    </w:p>
    <w:p w14:paraId="41E0B127"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Третий вариант снаряда имел больше всего «прав на жизнь», если бы его оперение не было таким тяжелым. Центр тяжести снаряда при этом перемещался назад, и оперение принятого размаха не смогло бы ком</w:t>
      </w:r>
      <w:r w:rsidRPr="0044524F">
        <w:rPr>
          <w:rFonts w:ascii="Times New Roman" w:hAnsi="Times New Roman"/>
          <w:color w:val="000000" w:themeColor="text1"/>
          <w:sz w:val="16"/>
          <w:szCs w:val="16"/>
        </w:rPr>
        <w:softHyphen/>
        <w:t>пенсировать потерю продольной устойчивости. Таким образом, узел раз</w:t>
      </w:r>
      <w:r w:rsidRPr="0044524F">
        <w:rPr>
          <w:rFonts w:ascii="Times New Roman" w:hAnsi="Times New Roman"/>
          <w:color w:val="000000" w:themeColor="text1"/>
          <w:sz w:val="16"/>
          <w:szCs w:val="16"/>
        </w:rPr>
        <w:softHyphen/>
        <w:t>вязки третьего варианта терял всякий смысл, поскольку требовал увели</w:t>
      </w:r>
      <w:r w:rsidRPr="0044524F">
        <w:rPr>
          <w:rFonts w:ascii="Times New Roman" w:hAnsi="Times New Roman"/>
          <w:color w:val="000000" w:themeColor="text1"/>
          <w:sz w:val="16"/>
          <w:szCs w:val="16"/>
        </w:rPr>
        <w:softHyphen/>
        <w:t>чения размаха оперения. Помимо того, себестоимость подобных бое</w:t>
      </w:r>
      <w:r w:rsidRPr="0044524F">
        <w:rPr>
          <w:rFonts w:ascii="Times New Roman" w:hAnsi="Times New Roman"/>
          <w:color w:val="000000" w:themeColor="text1"/>
          <w:sz w:val="16"/>
          <w:szCs w:val="16"/>
        </w:rPr>
        <w:softHyphen/>
        <w:t>припасов была бы намного выше штатных, а обещанная точность, кото</w:t>
      </w:r>
      <w:r w:rsidRPr="0044524F">
        <w:rPr>
          <w:rFonts w:ascii="Times New Roman" w:hAnsi="Times New Roman"/>
          <w:color w:val="000000" w:themeColor="text1"/>
          <w:sz w:val="16"/>
          <w:szCs w:val="16"/>
        </w:rPr>
        <w:softHyphen/>
        <w:t>рую предполагали получить, - эфемерной (11402).</w:t>
      </w:r>
    </w:p>
    <w:p w14:paraId="63F8F75D"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p>
    <w:p w14:paraId="68F28832" w14:textId="77777777" w:rsidR="00AA01CF" w:rsidRPr="0044524F" w:rsidRDefault="00AA01C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1933 г. Совет Народных Комиссаров СССР вынес постановление о ежегодном праздновании 18-го августа «Дня воздушного флота». Постановление СНК придавало "Дню воздушного флота" характер всенародного торжества, проводимого во всесоюзном масштабе. С 1933 года «День воздушного флота», или "День авиации" /праздник авиации/, отмечаемый ежегодно, стал самым любимым и самым массовым всенародным праздником. с установлением общевыходного дня в воскресенье празднование Дня воздушного флота часто не совпадает с 18 августа (переносится на одно из воскресений в июле-августе.</w:t>
      </w:r>
    </w:p>
    <w:p w14:paraId="3B5FD8CE" w14:textId="77777777" w:rsidR="00AA01CF" w:rsidRPr="0044524F" w:rsidRDefault="00AA01C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ЦИК СССР» за 4 мая 1933/(23370).</w:t>
      </w:r>
    </w:p>
    <w:p w14:paraId="670D2D3A" w14:textId="77777777" w:rsidR="00AA01CF" w:rsidRPr="0044524F" w:rsidRDefault="00AA01CF" w:rsidP="009654CF">
      <w:pPr>
        <w:spacing w:after="0" w:line="240" w:lineRule="auto"/>
        <w:jc w:val="both"/>
        <w:rPr>
          <w:rFonts w:ascii="Times New Roman" w:hAnsi="Times New Roman"/>
          <w:color w:val="000000" w:themeColor="text1"/>
          <w:sz w:val="16"/>
          <w:szCs w:val="16"/>
        </w:rPr>
      </w:pPr>
    </w:p>
    <w:p w14:paraId="61368E97"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5090E9A"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4781D1F5" w14:textId="77777777" w:rsidR="00DC337E" w:rsidRPr="0044524F" w:rsidRDefault="00DC33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в 1933 году поднялся в воздух «Potez 53» - рекордный самолет, разработанный французской фирмой «Societe des Avions Henri Potez». Этот самолет был построен в двух экземплярах специально для участия в гонках «Coupe Deutsch» 1933 года. Темпы строительств были тоже поистине рекордными - начало строительства в январе и окончание уже в апреле месяце. Фюзеляж самолета представлял собой цельный цилиндр, с единственным отверстием - кабиной пилота и использовался как топливный бак. Размеры самолета рассчитывались исходя из антропометрических данных пилотов - Жоржа Детре и Гюстава Лемоина. В связи с большой скоростью строительства статических испытаний самолета не проводилось, сразу преступили к летным испытаниям (15111).</w:t>
      </w:r>
    </w:p>
    <w:p w14:paraId="5A607DB1" w14:textId="77777777" w:rsidR="00DC337E" w:rsidRPr="0044524F" w:rsidRDefault="00DC337E" w:rsidP="009654CF">
      <w:pPr>
        <w:spacing w:after="0" w:line="240" w:lineRule="auto"/>
        <w:jc w:val="both"/>
        <w:rPr>
          <w:rFonts w:ascii="Times New Roman" w:hAnsi="Times New Roman"/>
          <w:color w:val="000000" w:themeColor="text1"/>
          <w:sz w:val="16"/>
          <w:szCs w:val="16"/>
        </w:rPr>
      </w:pPr>
    </w:p>
    <w:p w14:paraId="67CD34CA" w14:textId="77777777" w:rsidR="00CA5E0A" w:rsidRPr="0044524F" w:rsidRDefault="00CA5E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1933 состоялся первый полет Potez 53 (20802).</w:t>
      </w:r>
    </w:p>
    <w:p w14:paraId="466F0CF6" w14:textId="77777777" w:rsidR="00CA5E0A" w:rsidRPr="0044524F" w:rsidRDefault="00CA5E0A" w:rsidP="009654CF">
      <w:pPr>
        <w:spacing w:after="0" w:line="240" w:lineRule="auto"/>
        <w:jc w:val="both"/>
        <w:rPr>
          <w:rFonts w:ascii="Times New Roman" w:hAnsi="Times New Roman"/>
          <w:color w:val="000000" w:themeColor="text1"/>
          <w:sz w:val="16"/>
          <w:szCs w:val="16"/>
        </w:rPr>
      </w:pPr>
    </w:p>
    <w:p w14:paraId="2D512291" w14:textId="77777777" w:rsidR="00CA5E0A" w:rsidRPr="0044524F" w:rsidRDefault="00CA5E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1933 года — первый полёт гоночного самолёта Potez 53. /Франция/</w:t>
      </w:r>
    </w:p>
    <w:p w14:paraId="1CA7EF6B" w14:textId="77777777" w:rsidR="00CA5E0A" w:rsidRPr="0044524F" w:rsidRDefault="00CA5E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участия в популярных авиационных гонках 1930-х годов производители стремились построить лучшие самолёты. Ведь это была дополнительная реклама. Так в 1933 году поступила компания Potez, разработав Potez 53 для гонки Coupe Deutsch de la Meurthe.</w:t>
      </w:r>
    </w:p>
    <w:p w14:paraId="71988E12" w14:textId="77777777" w:rsidR="00CA5E0A" w:rsidRPr="0044524F" w:rsidRDefault="00CA5E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Самолёт построили всего за 3,5 месяца. Это был аэродинамически чистый низкоплан с убираемым шасси. Он проектировался сразу под антропометрические данные пилотов Жоржа Детре (Georges Détré) и Гюстава Лемоина (Gustave Lemoine). Устанавливался двигатель Potez 9B (310 л.с.) Максимальная скорость — 356 км/ч, дальность полёта — 2000+ км.</w:t>
      </w:r>
    </w:p>
    <w:p w14:paraId="048F3D35" w14:textId="77777777" w:rsidR="00CA5E0A" w:rsidRPr="0044524F" w:rsidRDefault="00CA5E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построенных самолёта участвовали в гонке Coupe Deutsch 1933 года. Жорж Детре на №10 занял 1 место, пролетев 2000 километров за 6 часов 11 минут и 45 секунд. На фоне этого, Potez построила ещё 2 варианта Potez 53, отличавшихся двигателем и размерами крыла. Но гонку Coupe Deutsch 1934 года оба новых самолёта завершить не смогли (22300).</w:t>
      </w:r>
    </w:p>
    <w:p w14:paraId="062BC6B1" w14:textId="77777777" w:rsidR="00CA5E0A" w:rsidRPr="0044524F" w:rsidRDefault="00CA5E0A" w:rsidP="009654CF">
      <w:pPr>
        <w:spacing w:after="0" w:line="240" w:lineRule="auto"/>
        <w:jc w:val="both"/>
        <w:rPr>
          <w:rFonts w:ascii="Times New Roman" w:hAnsi="Times New Roman"/>
          <w:color w:val="000000" w:themeColor="text1"/>
          <w:sz w:val="16"/>
          <w:szCs w:val="16"/>
        </w:rPr>
      </w:pPr>
    </w:p>
    <w:p w14:paraId="58721CC3" w14:textId="77777777" w:rsidR="00CA5E0A" w:rsidRPr="0044524F" w:rsidRDefault="00CA5E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1933 - Поднялся в воздух Potez 53 - рекордный самолет, разработанный французской фирмой Societe des Avions Henri Potez. Этот самолет был построен в двух экземплярах специально для участия в гонках Coupe Deutsch 1933 года. Темпы строительств были тоже поистине рекордными - начало строительства в январе и окончание уже в апреле месяце. Фюзеляж самолета представлял собой цельный цилиндр, с единственным отверстием - кабиной пилота и использовался как топливный бак. Размеры самолета рассчитывались исходя из антропометрических данных пилотов - Жоржа Детре и Гюстава Лемоина. В связи с большой скоростью строительства статических испытаний самолета не проводилось, сразу преступили к летным испытаниям (22523).</w:t>
      </w:r>
    </w:p>
    <w:p w14:paraId="2CC641FA" w14:textId="77777777" w:rsidR="00CA5E0A" w:rsidRPr="0044524F" w:rsidRDefault="00CA5E0A" w:rsidP="009654CF">
      <w:pPr>
        <w:spacing w:after="0" w:line="240" w:lineRule="auto"/>
        <w:jc w:val="both"/>
        <w:rPr>
          <w:rFonts w:ascii="Times New Roman" w:hAnsi="Times New Roman"/>
          <w:color w:val="000000" w:themeColor="text1"/>
          <w:sz w:val="16"/>
          <w:szCs w:val="16"/>
        </w:rPr>
      </w:pPr>
    </w:p>
    <w:p w14:paraId="42C2D966" w14:textId="77777777" w:rsidR="00DC337E" w:rsidRPr="0044524F" w:rsidRDefault="00DC33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в 1933 году в Германии образуется тайная полиция Гестапо (Geheim Staats Polizei). Руководит ее созданием после прихода к власти нацистов Герман Геринг, министр внутренних дел Пруссии. Формируется Гестапо на основе политического и разведывательного отделов прусской полиции, ряды которых пополняются тысячами нацистов. Аналогичные мероприятия проводятся в Баварии и других землях Германии Генрихом Гиммлером и его помощником Рейнхардом Гейдрихом. Через год на посту главы Гестапо Геринга сменит Гиммлер. С 1936 руководителем Гестапо станет группенфюрер Генрих Мюллер. Деятельность Гестапо не регламентируется никакими законами (15111).</w:t>
      </w:r>
    </w:p>
    <w:p w14:paraId="481AFFB0" w14:textId="77777777" w:rsidR="00DC337E" w:rsidRPr="0044524F" w:rsidRDefault="00DC337E" w:rsidP="009654CF">
      <w:pPr>
        <w:spacing w:after="0" w:line="240" w:lineRule="auto"/>
        <w:jc w:val="both"/>
        <w:rPr>
          <w:rFonts w:ascii="Times New Roman" w:hAnsi="Times New Roman"/>
          <w:color w:val="000000" w:themeColor="text1"/>
          <w:sz w:val="16"/>
          <w:szCs w:val="16"/>
        </w:rPr>
      </w:pPr>
    </w:p>
    <w:p w14:paraId="4ECFD06A"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апреля 1933 в Германии создана тайная полиция (гестапо) (4962).</w:t>
      </w:r>
    </w:p>
    <w:p w14:paraId="157B454E"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p>
    <w:p w14:paraId="351E9029"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08D5207"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7890CE4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N 17сс по выпуску в 4 кв. 1933 на аэродром стратосферного самолета под М-34 с нагнетателем до 5000 м и потолком самолета 10000-12000 м (2219).</w:t>
      </w:r>
    </w:p>
    <w:p w14:paraId="66465DD2"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348A2E03" w14:textId="77777777" w:rsidR="00DC337E" w:rsidRPr="0044524F" w:rsidRDefault="00DC337E" w:rsidP="009654CF">
      <w:pPr>
        <w:pStyle w:val="rtejustify"/>
        <w:spacing w:before="0" w:after="0"/>
        <w:rPr>
          <w:color w:val="000000" w:themeColor="text1"/>
          <w:sz w:val="16"/>
          <w:szCs w:val="16"/>
        </w:rPr>
      </w:pPr>
      <w:r w:rsidRPr="0044524F">
        <w:rPr>
          <w:rStyle w:val="af0"/>
          <w:bCs/>
          <w:i w:val="0"/>
          <w:color w:val="000000" w:themeColor="text1"/>
          <w:sz w:val="16"/>
          <w:szCs w:val="16"/>
        </w:rPr>
        <w:t>27 апреля</w:t>
      </w:r>
      <w:r w:rsidRPr="0044524F">
        <w:rPr>
          <w:color w:val="000000" w:themeColor="text1"/>
          <w:sz w:val="16"/>
          <w:szCs w:val="16"/>
        </w:rPr>
        <w:t xml:space="preserve"> 1933. </w:t>
      </w:r>
      <w:hyperlink r:id="rId135" w:history="1">
        <w:r w:rsidRPr="0044524F">
          <w:rPr>
            <w:rStyle w:val="a5"/>
            <w:color w:val="000000" w:themeColor="text1"/>
            <w:sz w:val="16"/>
            <w:szCs w:val="16"/>
          </w:rPr>
          <w:t>Постановление СТО СССР № 17сс/о «О полете в стратосферу»</w:t>
        </w:r>
      </w:hyperlink>
      <w:r w:rsidRPr="0044524F">
        <w:rPr>
          <w:color w:val="000000" w:themeColor="text1"/>
          <w:sz w:val="16"/>
          <w:szCs w:val="16"/>
        </w:rPr>
        <w:t>. (ГА РФ. Ф. Р</w:t>
      </w:r>
      <w:r w:rsidRPr="0044524F">
        <w:rPr>
          <w:color w:val="000000" w:themeColor="text1"/>
          <w:sz w:val="16"/>
          <w:szCs w:val="16"/>
        </w:rPr>
        <w:noBreakHyphen/>
        <w:t>8418. Оп. 28. Д. 1. Л. 112</w:t>
      </w:r>
      <w:r w:rsidRPr="0044524F">
        <w:rPr>
          <w:color w:val="000000" w:themeColor="text1"/>
          <w:sz w:val="16"/>
          <w:szCs w:val="16"/>
        </w:rPr>
        <w:noBreakHyphen/>
        <w:t>113) (15460).</w:t>
      </w:r>
    </w:p>
    <w:p w14:paraId="3413F212" w14:textId="77777777" w:rsidR="00DC337E" w:rsidRPr="0044524F" w:rsidRDefault="00DC337E" w:rsidP="009654CF">
      <w:pPr>
        <w:pStyle w:val="rtejustify"/>
        <w:spacing w:before="0" w:after="0"/>
        <w:rPr>
          <w:color w:val="000000" w:themeColor="text1"/>
          <w:sz w:val="16"/>
          <w:szCs w:val="16"/>
        </w:rPr>
      </w:pPr>
    </w:p>
    <w:p w14:paraId="7C3A733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года постановление № 17сс/о СТО</w:t>
      </w:r>
    </w:p>
    <w:p w14:paraId="69637E5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полете в стратосферу</w:t>
      </w:r>
    </w:p>
    <w:p w14:paraId="28F2BCA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033B2AFC" w14:textId="77777777" w:rsidR="003446BF" w:rsidRPr="0044524F" w:rsidRDefault="003446BF" w:rsidP="009654CF">
      <w:pPr>
        <w:numPr>
          <w:ilvl w:val="0"/>
          <w:numId w:val="16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Придавая большое военное и научное значение вопросу полета в стратосферу, признать работы, ведущиеся по высотным самолетам в ЦКБ завода № 39 и по соответствующим моторам в ЦИАМе особо важными.</w:t>
      </w:r>
    </w:p>
    <w:p w14:paraId="0FECA565" w14:textId="77777777" w:rsidR="003446BF" w:rsidRPr="0044524F" w:rsidRDefault="003446BF" w:rsidP="009654CF">
      <w:pPr>
        <w:numPr>
          <w:ilvl w:val="0"/>
          <w:numId w:val="17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быстрейшего производства предварительных испытаний и исследований сверхскоростного полета и связанных с ним вопросов (кабины, нагнетатели, кислородные приборы и проч.), во изменение постановления КО от 4 июля 1932 года, выпустить на аэродром высотный самолет с потолком 10-12000 м под мотор М-34 с высотностью 5000 м в IV квартале 1933 года для чего ЦИАМ обязан передать ЦКБ завода № 39 мотор М-34 РН 1 июля 1933 года.</w:t>
      </w:r>
    </w:p>
    <w:p w14:paraId="0491CEBE" w14:textId="77777777" w:rsidR="003446BF" w:rsidRPr="0044524F" w:rsidRDefault="003446BF" w:rsidP="009654CF">
      <w:pPr>
        <w:numPr>
          <w:ilvl w:val="0"/>
          <w:numId w:val="17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ЦИАМ выпустить в IV квартале 1933 года опытный образец мотора М-34 с двухступенчатым импеллером, редуктором и винтом с поворотными лопастями, предназначенными для полета в стратосфере.</w:t>
      </w:r>
    </w:p>
    <w:p w14:paraId="68B4F83B" w14:textId="77777777" w:rsidR="003446BF" w:rsidRPr="0044524F" w:rsidRDefault="003446BF" w:rsidP="009654CF">
      <w:pPr>
        <w:numPr>
          <w:ilvl w:val="0"/>
          <w:numId w:val="17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Глававиапром в 1934 году выпустить на аэродром последующий вариант сверхвысотного самолета с потолком не ниже 15000 м с доведенным мотором по п. 3.</w:t>
      </w:r>
    </w:p>
    <w:p w14:paraId="01A3EBE5" w14:textId="77777777" w:rsidR="003446BF" w:rsidRPr="0044524F" w:rsidRDefault="003446BF" w:rsidP="009654CF">
      <w:pPr>
        <w:numPr>
          <w:ilvl w:val="0"/>
          <w:numId w:val="17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089D585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оборудования утвердить в сумме 15000 рублей в инвалюте сверх утвержденного НКТП импортного контингента.</w:t>
      </w:r>
    </w:p>
    <w:p w14:paraId="17535C53" w14:textId="77777777" w:rsidR="003446BF" w:rsidRPr="0044524F" w:rsidRDefault="003446BF" w:rsidP="009654CF">
      <w:pPr>
        <w:numPr>
          <w:ilvl w:val="0"/>
          <w:numId w:val="17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изучения, обеспечения и ускорения выпуска мотора М-34 с нагнетателем до 8000 м, утвердить заказ фирме "Рато" 10 штук нагнетателей к мотору М-34 ……(7503, 11-12).</w:t>
      </w:r>
    </w:p>
    <w:p w14:paraId="7409A325" w14:textId="77777777" w:rsidR="003446BF" w:rsidRPr="0044524F" w:rsidRDefault="003446BF" w:rsidP="009654CF">
      <w:pPr>
        <w:tabs>
          <w:tab w:val="left" w:pos="360"/>
        </w:tabs>
        <w:spacing w:after="0" w:line="240" w:lineRule="auto"/>
        <w:jc w:val="both"/>
        <w:rPr>
          <w:rFonts w:ascii="Times New Roman" w:hAnsi="Times New Roman"/>
          <w:color w:val="000000" w:themeColor="text1"/>
          <w:sz w:val="16"/>
          <w:szCs w:val="16"/>
        </w:rPr>
      </w:pPr>
    </w:p>
    <w:p w14:paraId="30C4B379" w14:textId="77777777" w:rsidR="00DC337E" w:rsidRPr="0044524F" w:rsidRDefault="00DC337E"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27 апреля 1933 г. </w:t>
      </w:r>
      <w:r w:rsidRPr="0044524F">
        <w:rPr>
          <w:rFonts w:ascii="Times New Roman" w:hAnsi="Times New Roman"/>
          <w:color w:val="000000" w:themeColor="text1"/>
          <w:sz w:val="16"/>
          <w:szCs w:val="16"/>
        </w:rPr>
        <w:t>Постановление СТО СССР № 17сс/о «О полете в стратосферу»¹*</w:t>
      </w:r>
    </w:p>
    <w:p w14:paraId="0525EFEB" w14:textId="77777777" w:rsidR="00DC337E" w:rsidRPr="0044524F" w:rsidRDefault="00DC337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1B71BE60"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Совет труда и обороны постановляет:</w:t>
      </w:r>
    </w:p>
    <w:p w14:paraId="75A11E98"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lastRenderedPageBreak/>
        <w:t>1. Придавая большое военное и научное значение вопросу полета в стратосферу, признать работы, ведущиеся по высотным самолетам в ЦКБ завода № 39 по соответствующим моторам в ЦИАМе, особо важными.</w:t>
      </w:r>
    </w:p>
    <w:p w14:paraId="411FB67D"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2. 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г., выпустить на аэродром высотный самолет с потолком 10</w:t>
      </w:r>
      <w:r w:rsidRPr="0044524F">
        <w:rPr>
          <w:color w:val="000000" w:themeColor="text1"/>
          <w:sz w:val="16"/>
          <w:szCs w:val="16"/>
        </w:rPr>
        <w:noBreakHyphen/>
        <w:t>12 тыс. м под мотор М</w:t>
      </w:r>
      <w:r w:rsidRPr="0044524F">
        <w:rPr>
          <w:color w:val="000000" w:themeColor="text1"/>
          <w:sz w:val="16"/>
          <w:szCs w:val="16"/>
        </w:rPr>
        <w:noBreakHyphen/>
        <w:t>34 с высотностью 5 тыс. м в IV квартале 1933 г., для чего ЦИАМ обязан передать ЦКБ завода № 39 мотор М</w:t>
      </w:r>
      <w:r w:rsidRPr="0044524F">
        <w:rPr>
          <w:color w:val="000000" w:themeColor="text1"/>
          <w:sz w:val="16"/>
          <w:szCs w:val="16"/>
        </w:rPr>
        <w:noBreakHyphen/>
        <w:t>34 PH 1 июля 1933 г.</w:t>
      </w:r>
    </w:p>
    <w:p w14:paraId="78A8AA41"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3. Обязать ЦИАМ выпустить в IV квартале 1933 г. опытный образец мотора М</w:t>
      </w:r>
      <w:r w:rsidRPr="0044524F">
        <w:rPr>
          <w:color w:val="000000" w:themeColor="text1"/>
          <w:sz w:val="16"/>
          <w:szCs w:val="16"/>
        </w:rPr>
        <w:noBreakHyphen/>
        <w:t>34 с двухступенчатым импеллером, редуктором и винтом с поворотными лопастями, предназначенными для полета в стратосфере.</w:t>
      </w:r>
    </w:p>
    <w:p w14:paraId="79987F70"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4. Обязать Глававиапром в 1934 г. выпустить на аэродром последующий вариант сверхвысокого самолета с потолком не ниже 15 тыс. м с доведенным мотором по п. 3.</w:t>
      </w:r>
    </w:p>
    <w:p w14:paraId="6A5DE764"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5. Обязать ГУ АП приобрести 3 комплекта всех необходимых приборов для оборудования стратосферного самолета, а импортные организации реализовать и доставить [приборы] не позднее 15 мая²*. Стоимость оборудования утвердить в сумме 15 тыс. руб. в инвалюте сверх утвержденного НКТП импортного контингента.</w:t>
      </w:r>
    </w:p>
    <w:p w14:paraId="2F82E356"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6. В целях изучения, обеспечения и ускорения выпуска мотора М</w:t>
      </w:r>
      <w:r w:rsidRPr="0044524F">
        <w:rPr>
          <w:color w:val="000000" w:themeColor="text1"/>
          <w:sz w:val="16"/>
          <w:szCs w:val="16"/>
        </w:rPr>
        <w:noBreakHyphen/>
        <w:t>34 с нагнетателем до 8 тыс. м утвердить заказ фирме «Рато» 10 шт. нагнетателей к мотору М</w:t>
      </w:r>
      <w:r w:rsidRPr="0044524F">
        <w:rPr>
          <w:color w:val="000000" w:themeColor="text1"/>
          <w:sz w:val="16"/>
          <w:szCs w:val="16"/>
        </w:rPr>
        <w:noBreakHyphen/>
        <w:t>34, для чего отпустить специальный контингент в 85 тыс. руб. сверх утвержденного импортного контингента НКТП как для оплаты заказа, так и для расходов по доводке мотора М</w:t>
      </w:r>
      <w:r w:rsidRPr="0044524F">
        <w:rPr>
          <w:color w:val="000000" w:themeColor="text1"/>
          <w:sz w:val="16"/>
          <w:szCs w:val="16"/>
        </w:rPr>
        <w:noBreakHyphen/>
        <w:t>34 до высотности 8 тыс. м.</w:t>
      </w:r>
    </w:p>
    <w:p w14:paraId="4B582552" w14:textId="77777777" w:rsidR="00DC337E" w:rsidRPr="0044524F" w:rsidRDefault="00DC337E" w:rsidP="009654CF">
      <w:pPr>
        <w:pStyle w:val="ae"/>
        <w:spacing w:before="0" w:after="0"/>
        <w:jc w:val="both"/>
        <w:rPr>
          <w:color w:val="000000" w:themeColor="text1"/>
          <w:sz w:val="16"/>
          <w:szCs w:val="16"/>
        </w:rPr>
      </w:pPr>
      <w:r w:rsidRPr="0044524F">
        <w:rPr>
          <w:rStyle w:val="af0"/>
          <w:i w:val="0"/>
          <w:color w:val="000000" w:themeColor="text1"/>
          <w:sz w:val="16"/>
          <w:szCs w:val="16"/>
        </w:rPr>
        <w:t>Председатель Совета труда и обороны В. Молотов/Скрябин</w:t>
      </w:r>
    </w:p>
    <w:p w14:paraId="0F9C94C8" w14:textId="77777777" w:rsidR="00DC337E" w:rsidRPr="0044524F" w:rsidRDefault="00DC337E" w:rsidP="009654CF">
      <w:pPr>
        <w:pStyle w:val="ae"/>
        <w:spacing w:before="0" w:after="0"/>
        <w:jc w:val="both"/>
        <w:rPr>
          <w:color w:val="000000" w:themeColor="text1"/>
          <w:sz w:val="16"/>
          <w:szCs w:val="16"/>
        </w:rPr>
      </w:pPr>
      <w:r w:rsidRPr="0044524F">
        <w:rPr>
          <w:rStyle w:val="af0"/>
          <w:i w:val="0"/>
          <w:color w:val="000000" w:themeColor="text1"/>
          <w:sz w:val="16"/>
          <w:szCs w:val="16"/>
        </w:rPr>
        <w:t>Базилевич</w:t>
      </w:r>
    </w:p>
    <w:p w14:paraId="050475E8" w14:textId="77777777" w:rsidR="00DC337E" w:rsidRPr="0044524F" w:rsidRDefault="00DC337E"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172BF011"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 xml:space="preserve">¹* На основании постановления особого совещания при Секторе обороны Госплана СССР для объединения и руководства </w:t>
      </w:r>
      <w:r w:rsidRPr="0044524F">
        <w:rPr>
          <w:rStyle w:val="af0"/>
          <w:bCs/>
          <w:i w:val="0"/>
          <w:color w:val="000000" w:themeColor="text1"/>
          <w:sz w:val="16"/>
          <w:szCs w:val="16"/>
        </w:rPr>
        <w:t>работами по изучению стратосферы</w:t>
      </w:r>
      <w:r w:rsidRPr="0044524F">
        <w:rPr>
          <w:color w:val="000000" w:themeColor="text1"/>
          <w:sz w:val="16"/>
          <w:szCs w:val="16"/>
        </w:rPr>
        <w:t xml:space="preserve"> 14 ноября 1932 г. была образована постоянная рабочая комиссия при Государственном геофизическом институте. В состав комиссии вошли постоянные представители УВВС, Академии военного флота, НИИ УВВС, ГУГВФ, Дирижаблестроя, ГУАП, ЦАГИ, Осоавиахима, Сектора обороны Госплана и Геофизического института. Комиссия находилась в ведении Сектора обороны, подчинялась его директивам и должна была организовывать, планировать и распределять работы по изучению стратосферы между отдельными учреждениями. В докладной записке И. С. Уншлихта в СТО СССР от 17 января 1933 г. говорилось: «Супервысотная авиация, над созданием которой усиленно работают передовые капиталистические страны, имеет большое оборонное значение для СССР. Возможность получения больших скоростей полета в условиях наиболее благоприятных с метеорологической точки зрения, недосягаемость для зенитной артиллерии и скрытность самого полета, возможность открытия нового этапа в технике авиации — все это обуславливает необходимость максимального форсирования развития этого дела в нашей стране». Подчеркивалось, что для решения проблем «суперавиации», необходимо решать две задачи: изучение стратосферы и строительство самих летательных аппаратов. Предлагалось руководство работой возложить на специальную организацию, способную обеспечить форсированный темп проведения работ и выделить 2,5 млн. руб. для финансирования в плановом порядке. (РГАЭ. Ф. 4372. Оп. 91. Д. 1076. Л. 134</w:t>
      </w:r>
      <w:r w:rsidRPr="0044524F">
        <w:rPr>
          <w:color w:val="000000" w:themeColor="text1"/>
          <w:sz w:val="16"/>
          <w:szCs w:val="16"/>
        </w:rPr>
        <w:noBreakHyphen/>
        <w:t>132; Л. 147</w:t>
      </w:r>
      <w:r w:rsidRPr="0044524F">
        <w:rPr>
          <w:color w:val="000000" w:themeColor="text1"/>
          <w:sz w:val="16"/>
          <w:szCs w:val="16"/>
        </w:rPr>
        <w:noBreakHyphen/>
        <w:t>146).</w:t>
      </w:r>
    </w:p>
    <w:p w14:paraId="0BA58B27"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²* Над словом «мая» от руки вписано «июня».</w:t>
      </w:r>
    </w:p>
    <w:p w14:paraId="68D81BE0" w14:textId="77777777" w:rsidR="00DC337E" w:rsidRPr="0044524F" w:rsidRDefault="00DC337E" w:rsidP="009654CF">
      <w:pPr>
        <w:pStyle w:val="ae"/>
        <w:spacing w:before="0" w:after="0"/>
        <w:jc w:val="both"/>
        <w:rPr>
          <w:color w:val="000000" w:themeColor="text1"/>
          <w:sz w:val="16"/>
          <w:szCs w:val="16"/>
        </w:rPr>
      </w:pPr>
      <w:r w:rsidRPr="0044524F">
        <w:rPr>
          <w:color w:val="000000" w:themeColor="text1"/>
          <w:sz w:val="16"/>
          <w:szCs w:val="16"/>
        </w:rPr>
        <w:t>ГА РФ. Ф. Р-8418. Оп. 28. Д. 1. Л. 112-113. Подлинник (15266).</w:t>
      </w:r>
    </w:p>
    <w:p w14:paraId="45B24FDE" w14:textId="77777777" w:rsidR="00DC337E" w:rsidRPr="0044524F" w:rsidRDefault="00DC337E" w:rsidP="009654CF">
      <w:pPr>
        <w:spacing w:after="0" w:line="240" w:lineRule="auto"/>
        <w:jc w:val="both"/>
        <w:rPr>
          <w:rFonts w:ascii="Times New Roman" w:hAnsi="Times New Roman"/>
          <w:color w:val="000000" w:themeColor="text1"/>
          <w:sz w:val="16"/>
          <w:szCs w:val="16"/>
        </w:rPr>
      </w:pPr>
    </w:p>
    <w:p w14:paraId="64AEDC4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вышло постановление СТО N 17сс/о "О полете в стратосферу" (2282,16).</w:t>
      </w:r>
    </w:p>
    <w:p w14:paraId="2345677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389EE14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Придавая большое военное и научное значение вопросу полета в стратосферу, признать работы, ведущиеся по высотным самолетам в ЦКБ завода 39 и по соответствующим моторам в ЦИАМе, особо Важными.</w:t>
      </w:r>
    </w:p>
    <w:p w14:paraId="4235183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Для быстрейшего производства предварительных испытаний и исследований сверхвысотного полета и связанных с ним вопросов (кабины, нагнетатели, кислородные приборы и проч.), во изменение постановления КО от 4 июля 1932 выпустить на аэродром высотный самолет с потолком 10-12 т м под мотор М-34 с высотностью 6 м в 4 кв. 1933, для чего ЦИАМ обязать передать ЦКБ завода 39 мотор М-34РН 1 июля 1933.</w:t>
      </w:r>
    </w:p>
    <w:p w14:paraId="09EFC5E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Обязать ЦИАМ выпустить в 4 кв. 1933 опытный образец мотора М-34 с двухступенчатым импеллером, редуктором и винтом с поворотными лопастями, предназначенными для полета в стратосфере.</w:t>
      </w:r>
    </w:p>
    <w:p w14:paraId="4E87544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ГУАП в 1934 выпустить на аэродром вариант сверхвысотного самолета с потолком не ниже 15 т м с доведенным мотором по п. 3.</w:t>
      </w:r>
    </w:p>
    <w:p w14:paraId="38B823B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0B3E349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оборудования утвердить в сумме 15 т. руб. в инвалюте сверх утвержденного НКТП импортного контингента.</w:t>
      </w:r>
    </w:p>
    <w:p w14:paraId="6C743EE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В целях изучения и ускорения выпуска мотора М-34 с нагнетателем до 8 т м, утвердить заказ фирме Рато 10 шт. нагнетателей к М-34, для чего отпустить спец. контингент в 85 т руб. сверх утвержденного импортного контингента НКТП для оплаты заказа, так и для расходов по доводке М-34 до высоты 8 т м." (2282,17).</w:t>
      </w:r>
    </w:p>
    <w:p w14:paraId="429EDB2C"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2D1DBC3A" w14:textId="77777777" w:rsidR="00EC70B3" w:rsidRPr="0044524F" w:rsidRDefault="00EC70B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года вышло постановление № 23 СТО «О состоянии и развертывании работ по геликоптерам». Ввиду важности разрешения проблемы гели</w:t>
      </w:r>
      <w:r w:rsidRPr="0044524F">
        <w:rPr>
          <w:rFonts w:ascii="Times New Roman" w:hAnsi="Times New Roman"/>
          <w:color w:val="000000" w:themeColor="text1"/>
          <w:sz w:val="16"/>
          <w:szCs w:val="16"/>
        </w:rPr>
        <w:softHyphen/>
        <w:t>коптера, ГУАПу предписывалось оказывать всестороннее содействие успешно проводи</w:t>
      </w:r>
      <w:r w:rsidRPr="0044524F">
        <w:rPr>
          <w:rFonts w:ascii="Times New Roman" w:hAnsi="Times New Roman"/>
          <w:color w:val="000000" w:themeColor="text1"/>
          <w:sz w:val="16"/>
          <w:szCs w:val="16"/>
        </w:rPr>
        <w:softHyphen/>
        <w:t>мым ЦАГИ работам по строительству гелико</w:t>
      </w:r>
      <w:r w:rsidRPr="0044524F">
        <w:rPr>
          <w:rFonts w:ascii="Times New Roman" w:hAnsi="Times New Roman"/>
          <w:color w:val="000000" w:themeColor="text1"/>
          <w:sz w:val="16"/>
          <w:szCs w:val="16"/>
        </w:rPr>
        <w:softHyphen/>
        <w:t>птера. Исходя из решения Политбюро ЦК ВКП(б) о выводе ЦАГИ из Москвы, ГУАП обя</w:t>
      </w:r>
      <w:r w:rsidRPr="0044524F">
        <w:rPr>
          <w:rFonts w:ascii="Times New Roman" w:hAnsi="Times New Roman"/>
          <w:color w:val="000000" w:themeColor="text1"/>
          <w:sz w:val="16"/>
          <w:szCs w:val="16"/>
        </w:rPr>
        <w:softHyphen/>
        <w:t>зывали в первую очередь предусмотреть раз</w:t>
      </w:r>
      <w:r w:rsidRPr="0044524F">
        <w:rPr>
          <w:rFonts w:ascii="Times New Roman" w:hAnsi="Times New Roman"/>
          <w:color w:val="000000" w:themeColor="text1"/>
          <w:sz w:val="16"/>
          <w:szCs w:val="16"/>
        </w:rPr>
        <w:softHyphen/>
        <w:t>вертывание опытной базы строительства винтовых аппаратов (геликоптеры, автожи</w:t>
      </w:r>
      <w:r w:rsidRPr="0044524F">
        <w:rPr>
          <w:rFonts w:ascii="Times New Roman" w:hAnsi="Times New Roman"/>
          <w:color w:val="000000" w:themeColor="text1"/>
          <w:sz w:val="16"/>
          <w:szCs w:val="16"/>
        </w:rPr>
        <w:softHyphen/>
        <w:t>ры) на площадке близ Раменского у села Ново-Рождественское в составе Конструк</w:t>
      </w:r>
      <w:r w:rsidRPr="0044524F">
        <w:rPr>
          <w:rFonts w:ascii="Times New Roman" w:hAnsi="Times New Roman"/>
          <w:color w:val="000000" w:themeColor="text1"/>
          <w:sz w:val="16"/>
          <w:szCs w:val="16"/>
        </w:rPr>
        <w:softHyphen/>
        <w:t>торского отдела, опытных мастерских и аэро</w:t>
      </w:r>
      <w:r w:rsidRPr="0044524F">
        <w:rPr>
          <w:rFonts w:ascii="Times New Roman" w:hAnsi="Times New Roman"/>
          <w:color w:val="000000" w:themeColor="text1"/>
          <w:sz w:val="16"/>
          <w:szCs w:val="16"/>
        </w:rPr>
        <w:softHyphen/>
        <w:t xml:space="preserve">дрома с оборудованием. </w:t>
      </w:r>
      <w:r w:rsidRPr="0044524F">
        <w:rPr>
          <w:rStyle w:val="630"/>
          <w:rFonts w:ascii="Times New Roman" w:hAnsi="Times New Roman" w:cs="Times New Roman"/>
          <w:color w:val="000000" w:themeColor="text1"/>
          <w:sz w:val="16"/>
          <w:szCs w:val="16"/>
        </w:rPr>
        <w:t>ГУАПу уже в 1933 году надлежа</w:t>
      </w:r>
      <w:r w:rsidRPr="0044524F">
        <w:rPr>
          <w:rStyle w:val="630"/>
          <w:rFonts w:ascii="Times New Roman" w:hAnsi="Times New Roman" w:cs="Times New Roman"/>
          <w:color w:val="000000" w:themeColor="text1"/>
          <w:sz w:val="16"/>
          <w:szCs w:val="16"/>
        </w:rPr>
        <w:softHyphen/>
        <w:t>ло включить в план опытных работ по мото</w:t>
      </w:r>
      <w:r w:rsidRPr="0044524F">
        <w:rPr>
          <w:rStyle w:val="630"/>
          <w:rFonts w:ascii="Times New Roman" w:hAnsi="Times New Roman" w:cs="Times New Roman"/>
          <w:color w:val="000000" w:themeColor="text1"/>
          <w:sz w:val="16"/>
          <w:szCs w:val="16"/>
        </w:rPr>
        <w:softHyphen/>
        <w:t>ростроению создание специального мотора для геликоптеров. Для укрепления работ ЦАГИ по опытному строительству геликопте</w:t>
      </w:r>
      <w:r w:rsidRPr="0044524F">
        <w:rPr>
          <w:rStyle w:val="630"/>
          <w:rFonts w:ascii="Times New Roman" w:hAnsi="Times New Roman" w:cs="Times New Roman"/>
          <w:color w:val="000000" w:themeColor="text1"/>
          <w:sz w:val="16"/>
          <w:szCs w:val="16"/>
        </w:rPr>
        <w:softHyphen/>
        <w:t>ров, до перехода на новую территорию, НКВМ должен был передать ЦАГИ второй ангар в Ухтомском не позднее 15 мая 1933 года</w:t>
      </w:r>
      <w:r w:rsidRPr="0044524F">
        <w:rPr>
          <w:rFonts w:ascii="Times New Roman" w:hAnsi="Times New Roman"/>
          <w:color w:val="000000" w:themeColor="text1"/>
          <w:sz w:val="16"/>
          <w:szCs w:val="16"/>
        </w:rPr>
        <w:t xml:space="preserve"> (19868).</w:t>
      </w:r>
    </w:p>
    <w:p w14:paraId="68CAD8B5" w14:textId="77777777" w:rsidR="00EC70B3" w:rsidRPr="0044524F" w:rsidRDefault="00EC70B3" w:rsidP="009654CF">
      <w:pPr>
        <w:shd w:val="clear" w:color="auto" w:fill="FFFFFF"/>
        <w:spacing w:after="0" w:line="240" w:lineRule="auto"/>
        <w:jc w:val="both"/>
        <w:rPr>
          <w:rFonts w:ascii="Times New Roman" w:hAnsi="Times New Roman"/>
          <w:color w:val="000000" w:themeColor="text1"/>
          <w:sz w:val="16"/>
          <w:szCs w:val="16"/>
        </w:rPr>
      </w:pPr>
    </w:p>
    <w:p w14:paraId="634AEF2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года постановление № 18сс/о СТО</w:t>
      </w:r>
    </w:p>
    <w:p w14:paraId="4CC50ED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изготовлении автопилотов (7503, 8).</w:t>
      </w:r>
    </w:p>
    <w:p w14:paraId="3ED75B58"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66D827D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вышло постановление СТО N 18сс/о "Об изготовлении автопилотов" в развитие постановления СТО N 878/265сс от 26 июля 1932 и речь шла о ТБ-1, ТБ-3, Р-5, курсовом автопилоте для Р-5, автомате взлета и посадки, автомате авиамотора для разгрузки мотора и автомата авиамотора под радиоуправление. ВОТИ передавали один К-5 для устройства летающей лаборатории. НИИТ его должен был комплектовать экипажем (2282,13).</w:t>
      </w:r>
    </w:p>
    <w:p w14:paraId="0D7E54E1"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428AFE6D" w14:textId="77777777" w:rsidR="00DC337E" w:rsidRPr="0044524F" w:rsidRDefault="00DC337E" w:rsidP="009654CF">
      <w:pPr>
        <w:pStyle w:val="rtejustify"/>
        <w:spacing w:before="0" w:after="0"/>
        <w:rPr>
          <w:color w:val="000000" w:themeColor="text1"/>
          <w:sz w:val="16"/>
          <w:szCs w:val="16"/>
        </w:rPr>
      </w:pPr>
      <w:r w:rsidRPr="0044524F">
        <w:rPr>
          <w:rStyle w:val="af0"/>
          <w:bCs/>
          <w:i w:val="0"/>
          <w:color w:val="000000" w:themeColor="text1"/>
          <w:sz w:val="16"/>
          <w:szCs w:val="16"/>
        </w:rPr>
        <w:t>27 апреля</w:t>
      </w:r>
      <w:r w:rsidRPr="0044524F">
        <w:rPr>
          <w:color w:val="000000" w:themeColor="text1"/>
          <w:sz w:val="16"/>
          <w:szCs w:val="16"/>
        </w:rPr>
        <w:t xml:space="preserve"> 1933. Постановление СТО СССР № 18сс/о «Об изготовлении автопилотов». (ГА РФ. Ф. Р</w:t>
      </w:r>
      <w:r w:rsidRPr="0044524F">
        <w:rPr>
          <w:color w:val="000000" w:themeColor="text1"/>
          <w:sz w:val="16"/>
          <w:szCs w:val="16"/>
        </w:rPr>
        <w:noBreakHyphen/>
        <w:t>8418. Оп. 28. Д. 1. Л. 114</w:t>
      </w:r>
      <w:r w:rsidRPr="0044524F">
        <w:rPr>
          <w:color w:val="000000" w:themeColor="text1"/>
          <w:sz w:val="16"/>
          <w:szCs w:val="16"/>
        </w:rPr>
        <w:noBreakHyphen/>
        <w:t>116) (15460).</w:t>
      </w:r>
    </w:p>
    <w:p w14:paraId="694F6866" w14:textId="77777777" w:rsidR="00DC337E" w:rsidRPr="0044524F" w:rsidRDefault="00DC337E" w:rsidP="009654CF">
      <w:pPr>
        <w:pStyle w:val="rtejustify"/>
        <w:spacing w:before="0" w:after="0"/>
        <w:rPr>
          <w:color w:val="000000" w:themeColor="text1"/>
          <w:sz w:val="16"/>
          <w:szCs w:val="16"/>
        </w:rPr>
      </w:pPr>
    </w:p>
    <w:p w14:paraId="2664F1DD" w14:textId="77777777" w:rsidR="003446BF" w:rsidRPr="0044524F" w:rsidRDefault="003446BF"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года по ходатайству УВВС вопрос об автопилотах был поставлен в СТО (постановление № 24), который вынес постановление обязывающее ОКБ-ВОТИ выполнить следующие задачи:</w:t>
      </w:r>
    </w:p>
    <w:p w14:paraId="099F78D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работ ОКБ-ВОТИ на 1933 год</w:t>
      </w:r>
    </w:p>
    <w:p w14:paraId="45EB838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Автопилот для ТБ-3 – 15 декабря 1933 года.</w:t>
      </w:r>
    </w:p>
    <w:p w14:paraId="7720DCE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Тоже для ТБ-1 – 15 июня 1933 года.</w:t>
      </w:r>
    </w:p>
    <w:p w14:paraId="42C873F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Тоже для И-4 – 15 июля 1933 года.</w:t>
      </w:r>
    </w:p>
    <w:p w14:paraId="1F15E54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Курсовой для Р-5 - 15 июля 1933 года.</w:t>
      </w:r>
    </w:p>
    <w:p w14:paraId="260AD6F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Автомат взлета и посадки - 1 января 1934 года.</w:t>
      </w:r>
    </w:p>
    <w:p w14:paraId="08E5EF0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Автомат авиационного мотора М-34 - 1 января 1934 года.</w:t>
      </w:r>
    </w:p>
    <w:p w14:paraId="781031A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Тоже М-17 – 1 апреля 1934 года (4039,144).</w:t>
      </w:r>
    </w:p>
    <w:p w14:paraId="204D46B5"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4F9E576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вышло постановление СТО N 21сс/о "О производстве тормозных колес" (2282,19).</w:t>
      </w:r>
    </w:p>
    <w:p w14:paraId="088C1FD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02ADC2D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 Р-5 и 100 ТБ-3 на тормозных колесах (2282,21).</w:t>
      </w:r>
    </w:p>
    <w:p w14:paraId="5F1855C5"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439F521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года постановление № 21с/о СТО</w:t>
      </w:r>
    </w:p>
    <w:p w14:paraId="521D1FE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производстве тормозных колес</w:t>
      </w:r>
    </w:p>
    <w:p w14:paraId="425EFD0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511DA9EB" w14:textId="77777777" w:rsidR="003446BF" w:rsidRPr="0044524F" w:rsidRDefault="003446BF" w:rsidP="009654CF">
      <w:pPr>
        <w:numPr>
          <w:ilvl w:val="0"/>
          <w:numId w:val="17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что постановление СТО от 28 июля 1932 года о выпуске в 1932 году 100 самолетов Р-5 и 100 самолетов ТБ-3 на тормозных колесах не выполнено.</w:t>
      </w:r>
    </w:p>
    <w:p w14:paraId="7A0C74EF" w14:textId="77777777" w:rsidR="003446BF" w:rsidRPr="0044524F" w:rsidRDefault="003446BF" w:rsidP="009654CF">
      <w:pPr>
        <w:numPr>
          <w:ilvl w:val="0"/>
          <w:numId w:val="17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к сведению заявление Глававиапрома, что серийное производство тормозных колес будет поставлено на заводе № 121 ……………………….</w:t>
      </w:r>
    </w:p>
    <w:p w14:paraId="4AEEE97D" w14:textId="77777777" w:rsidR="003446BF" w:rsidRPr="0044524F" w:rsidRDefault="003446BF" w:rsidP="009654CF">
      <w:pPr>
        <w:numPr>
          <w:ilvl w:val="0"/>
          <w:numId w:val="17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Обязать завод "Манометр" для обеспечения выпуска тормозных колес провести в 1933 году мехобработку и сборку колес в количестве 3000 комплектов для самолетов ТБ-3 и 870 комплектов для самолетов Р-5.</w:t>
      </w:r>
    </w:p>
    <w:p w14:paraId="4A803335" w14:textId="77777777" w:rsidR="003446BF" w:rsidRPr="0044524F" w:rsidRDefault="003446BF" w:rsidP="009654CF">
      <w:pPr>
        <w:numPr>
          <w:ilvl w:val="0"/>
          <w:numId w:val="17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к сведению заявление Глававиапрома, что первая партия колес для Р-5 в количестве 5 комплектов будет готова в мае и 5 комплектов для ТБ3 – в июне 1933 года.</w:t>
      </w:r>
    </w:p>
    <w:p w14:paraId="33394714" w14:textId="77777777" w:rsidR="003446BF" w:rsidRPr="0044524F" w:rsidRDefault="003446BF" w:rsidP="009654CF">
      <w:pPr>
        <w:numPr>
          <w:ilvl w:val="0"/>
          <w:numId w:val="17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Глававиапром сдать в 1933 году 350 самолетов Р5 и 100 самолетов ТБ3 с тормозными колесами с тем, чтобы первые 5 самолетов Р5 были сданы не позднее 10 июля 1933 года, а первые 5 самолетов ТБ3 – не позднее 15 августа 1933 года.</w:t>
      </w:r>
    </w:p>
    <w:p w14:paraId="3768A767" w14:textId="77777777" w:rsidR="003446BF" w:rsidRPr="0044524F" w:rsidRDefault="003446BF" w:rsidP="009654CF">
      <w:pPr>
        <w:numPr>
          <w:ilvl w:val="0"/>
          <w:numId w:val="18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заявление Глававиапрома, что тормозные колеса в 1933 году будут выпускаться алюминиевые, а не электронные, что даст утяжеление для самолета Р5 на 10 кг и для самолетов ТБ3 на 39 кг.</w:t>
      </w:r>
    </w:p>
    <w:p w14:paraId="44EAEBCA" w14:textId="77777777" w:rsidR="003446BF" w:rsidRPr="0044524F" w:rsidRDefault="003446BF" w:rsidP="009654CF">
      <w:pPr>
        <w:numPr>
          <w:ilvl w:val="0"/>
          <w:numId w:val="18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Глававиапром , под ответственность Баранова, обеспечить выпуск и поставку НКВМ всех боевых самолетов и 50% учебных самолетов с 1 января 1934 года с тормозными колесами, в соответствии с чем в 1933 году обеспечить расширение завода № 121 (7503, 15).</w:t>
      </w:r>
    </w:p>
    <w:p w14:paraId="03648844" w14:textId="77777777" w:rsidR="003446BF" w:rsidRPr="0044524F" w:rsidRDefault="003446BF" w:rsidP="009654CF">
      <w:pPr>
        <w:tabs>
          <w:tab w:val="left" w:pos="360"/>
        </w:tabs>
        <w:spacing w:after="0" w:line="240" w:lineRule="auto"/>
        <w:jc w:val="both"/>
        <w:rPr>
          <w:rFonts w:ascii="Times New Roman" w:hAnsi="Times New Roman"/>
          <w:color w:val="000000" w:themeColor="text1"/>
          <w:sz w:val="16"/>
          <w:szCs w:val="16"/>
        </w:rPr>
      </w:pPr>
    </w:p>
    <w:p w14:paraId="42CC510D" w14:textId="77777777" w:rsidR="00DC337E" w:rsidRPr="0044524F" w:rsidRDefault="00DC337E" w:rsidP="009654CF">
      <w:pPr>
        <w:pStyle w:val="rtejustify"/>
        <w:spacing w:before="0" w:after="0"/>
        <w:rPr>
          <w:color w:val="000000" w:themeColor="text1"/>
          <w:sz w:val="16"/>
          <w:szCs w:val="16"/>
        </w:rPr>
      </w:pPr>
      <w:r w:rsidRPr="0044524F">
        <w:rPr>
          <w:rStyle w:val="af0"/>
          <w:bCs/>
          <w:i w:val="0"/>
          <w:color w:val="000000" w:themeColor="text1"/>
          <w:sz w:val="16"/>
          <w:szCs w:val="16"/>
        </w:rPr>
        <w:t>27 апреля</w:t>
      </w:r>
      <w:r w:rsidRPr="0044524F">
        <w:rPr>
          <w:color w:val="000000" w:themeColor="text1"/>
          <w:sz w:val="16"/>
          <w:szCs w:val="16"/>
        </w:rPr>
        <w:t xml:space="preserve"> 1933. Постановление СТО СССР№ 21с/о «О производстве тормозных колес». (ГА РФ. Ф. Р</w:t>
      </w:r>
      <w:r w:rsidRPr="0044524F">
        <w:rPr>
          <w:color w:val="000000" w:themeColor="text1"/>
          <w:sz w:val="16"/>
          <w:szCs w:val="16"/>
        </w:rPr>
        <w:noBreakHyphen/>
        <w:t>8418. Оп. 28. Д. 1. Л. 127</w:t>
      </w:r>
      <w:r w:rsidRPr="0044524F">
        <w:rPr>
          <w:color w:val="000000" w:themeColor="text1"/>
          <w:sz w:val="16"/>
          <w:szCs w:val="16"/>
        </w:rPr>
        <w:noBreakHyphen/>
        <w:t>128) (15460).</w:t>
      </w:r>
    </w:p>
    <w:p w14:paraId="334E29FA" w14:textId="77777777" w:rsidR="00DC337E" w:rsidRPr="0044524F" w:rsidRDefault="00DC337E" w:rsidP="009654CF">
      <w:pPr>
        <w:pStyle w:val="rtejustify"/>
        <w:spacing w:before="0" w:after="0"/>
        <w:rPr>
          <w:color w:val="000000" w:themeColor="text1"/>
          <w:sz w:val="16"/>
          <w:szCs w:val="16"/>
        </w:rPr>
      </w:pPr>
    </w:p>
    <w:p w14:paraId="58AD35E2" w14:textId="77777777" w:rsidR="00DC337E" w:rsidRPr="0044524F" w:rsidRDefault="00DC337E" w:rsidP="009654CF">
      <w:pPr>
        <w:pStyle w:val="rtejustify"/>
        <w:spacing w:before="0" w:after="0"/>
        <w:rPr>
          <w:color w:val="000000" w:themeColor="text1"/>
          <w:sz w:val="16"/>
          <w:szCs w:val="16"/>
        </w:rPr>
      </w:pPr>
      <w:r w:rsidRPr="0044524F">
        <w:rPr>
          <w:rStyle w:val="af0"/>
          <w:bCs/>
          <w:i w:val="0"/>
          <w:color w:val="000000" w:themeColor="text1"/>
          <w:sz w:val="16"/>
          <w:szCs w:val="16"/>
        </w:rPr>
        <w:t>27 апреля</w:t>
      </w:r>
      <w:r w:rsidRPr="0044524F">
        <w:rPr>
          <w:color w:val="000000" w:themeColor="text1"/>
          <w:sz w:val="16"/>
          <w:szCs w:val="16"/>
        </w:rPr>
        <w:t xml:space="preserve">. </w:t>
      </w:r>
      <w:hyperlink r:id="rId136" w:history="1">
        <w:r w:rsidRPr="0044524F">
          <w:rPr>
            <w:rStyle w:val="a5"/>
            <w:color w:val="000000" w:themeColor="text1"/>
            <w:sz w:val="16"/>
            <w:szCs w:val="16"/>
          </w:rPr>
          <w:t>Постановление СТО СССР № 23с/о «О состоянии и развертывании работ по геликоптерам»</w:t>
        </w:r>
      </w:hyperlink>
      <w:r w:rsidRPr="0044524F">
        <w:rPr>
          <w:color w:val="000000" w:themeColor="text1"/>
          <w:sz w:val="16"/>
          <w:szCs w:val="16"/>
        </w:rPr>
        <w:t>. (ГА РФ. Ф. Р</w:t>
      </w:r>
      <w:r w:rsidRPr="0044524F">
        <w:rPr>
          <w:color w:val="000000" w:themeColor="text1"/>
          <w:sz w:val="16"/>
          <w:szCs w:val="16"/>
        </w:rPr>
        <w:noBreakHyphen/>
        <w:t>8418. Оп. 28. Д. 1. Л. 131</w:t>
      </w:r>
      <w:r w:rsidRPr="0044524F">
        <w:rPr>
          <w:color w:val="000000" w:themeColor="text1"/>
          <w:sz w:val="16"/>
          <w:szCs w:val="16"/>
        </w:rPr>
        <w:noBreakHyphen/>
        <w:t>132) (15460).</w:t>
      </w:r>
    </w:p>
    <w:p w14:paraId="07F905AF" w14:textId="77777777" w:rsidR="00DC337E" w:rsidRPr="0044524F" w:rsidRDefault="00DC337E" w:rsidP="009654CF">
      <w:pPr>
        <w:pStyle w:val="rtejustify"/>
        <w:spacing w:before="0" w:after="0"/>
        <w:rPr>
          <w:color w:val="000000" w:themeColor="text1"/>
          <w:sz w:val="16"/>
          <w:szCs w:val="16"/>
        </w:rPr>
      </w:pPr>
    </w:p>
    <w:p w14:paraId="775BB13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вышло постановление СТО N 23сс/о "О состоянии и развертывании работ по геликоптерам" (2282,19).</w:t>
      </w:r>
    </w:p>
    <w:p w14:paraId="13AB408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2BD6A2D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Ввиду важности разрешения проблемы геликоптера, ГУАПу оказывать всемерное содействие успешно проводимым ЦАГИ работам по строительству геликоптеров... В первую очередь развернуть базу в новом ЦАГИ, спец. мотор, второй ангар в Ухтомской не позднее 15 мая 1933, наградить персонал секции Особых конструкций, А.М.Черемухину и Бункину - по автомашине, два Форда для бюро...(2282,19).</w:t>
      </w:r>
    </w:p>
    <w:p w14:paraId="6432670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Т.к. развитие опытного строительства геликоптеров упирается в отсутствие специального типа мотора, обязать Глававиапром уже в 1933 году включить в план опытных работ по моторостроению создание специального мотора для геликоптеров (3565,1-2).</w:t>
      </w:r>
    </w:p>
    <w:p w14:paraId="7CA8401A"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5DB0123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года постановление № 23с/о СТО</w:t>
      </w:r>
    </w:p>
    <w:p w14:paraId="46B8A47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состоянии и развертывании работ по геликоптерам</w:t>
      </w:r>
    </w:p>
    <w:p w14:paraId="348A888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41A48353" w14:textId="77777777" w:rsidR="003446BF" w:rsidRPr="0044524F" w:rsidRDefault="003446BF" w:rsidP="009654CF">
      <w:pPr>
        <w:numPr>
          <w:ilvl w:val="0"/>
          <w:numId w:val="18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важности разрешения проблемы геликоптера, ГУАПу оказывать всестороннее содействие успешно проводимым ЦАГИ работам по строительству геликоптера.</w:t>
      </w:r>
    </w:p>
    <w:p w14:paraId="5F4EF0A6" w14:textId="77777777" w:rsidR="003446BF" w:rsidRPr="0044524F" w:rsidRDefault="003446BF" w:rsidP="009654CF">
      <w:pPr>
        <w:numPr>
          <w:ilvl w:val="0"/>
          <w:numId w:val="18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из решения ПБ ЦК ВКП(б) о выводе ЦАГИ из Москвы, обязать Глававиапром, в первую очередь предусмотреть развертывание опытной базы строительства винтовых аппаратов (геликоптеры, автожиры) на площадке близь Раменского у села Ново-Рождественское в составе Конструкторского отдела, опытных мастерских и аэродрома с оборудованием с тем, чтобы закончить строительство к концу 1934 года.</w:t>
      </w:r>
    </w:p>
    <w:p w14:paraId="727306EA" w14:textId="77777777" w:rsidR="003446BF" w:rsidRPr="0044524F" w:rsidRDefault="003446BF" w:rsidP="009654CF">
      <w:pPr>
        <w:numPr>
          <w:ilvl w:val="0"/>
          <w:numId w:val="18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развитие опытного строительства геликоптеров упирается в отсутствие специального типа мотора, обязать Глававиапром уже в 1933 году включить в план опытных работ по моторостроению создание специального мотора для геликоптеров.</w:t>
      </w:r>
    </w:p>
    <w:p w14:paraId="41DD2D74" w14:textId="77777777" w:rsidR="003446BF" w:rsidRPr="0044524F" w:rsidRDefault="003446BF" w:rsidP="009654CF">
      <w:pPr>
        <w:numPr>
          <w:ilvl w:val="0"/>
          <w:numId w:val="18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укрепления работ ЦАГИ по опытному строительству геликоптеров, до перехода на новую территорию, обязать НКВМ передать ЦАГИ второй ангар в Ухтомском не позднее 15 мая 1933 года.</w:t>
      </w:r>
    </w:p>
    <w:p w14:paraId="5D258B1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…………………………………(7503, 13-14).</w:t>
      </w:r>
    </w:p>
    <w:p w14:paraId="0455C3EE"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694A3B61" w14:textId="77777777" w:rsidR="00DC337E" w:rsidRPr="0044524F" w:rsidRDefault="00DC337E" w:rsidP="009654CF">
      <w:pPr>
        <w:pStyle w:val="ae"/>
        <w:spacing w:before="0" w:after="0"/>
        <w:jc w:val="both"/>
        <w:rPr>
          <w:rStyle w:val="af0"/>
          <w:i w:val="0"/>
          <w:color w:val="000000" w:themeColor="text1"/>
          <w:sz w:val="16"/>
          <w:szCs w:val="16"/>
        </w:rPr>
      </w:pPr>
      <w:r w:rsidRPr="0044524F">
        <w:rPr>
          <w:rStyle w:val="af0"/>
          <w:i w:val="0"/>
          <w:color w:val="000000" w:themeColor="text1"/>
          <w:sz w:val="16"/>
          <w:szCs w:val="16"/>
        </w:rPr>
        <w:t xml:space="preserve">27 апреля 1933 г. </w:t>
      </w:r>
      <w:r w:rsidRPr="0044524F">
        <w:rPr>
          <w:color w:val="000000" w:themeColor="text1"/>
          <w:sz w:val="16"/>
          <w:szCs w:val="16"/>
        </w:rPr>
        <w:t>Постановление СТО СССР № 23с/о «О состоянии и развертывании работ по геликоптерам»</w:t>
      </w:r>
    </w:p>
    <w:p w14:paraId="5FD4E1BC" w14:textId="77777777" w:rsidR="00DC337E" w:rsidRPr="0044524F" w:rsidRDefault="00DC337E" w:rsidP="009654CF">
      <w:pPr>
        <w:pStyle w:val="ae"/>
        <w:spacing w:before="0" w:after="0"/>
        <w:jc w:val="both"/>
        <w:rPr>
          <w:color w:val="000000" w:themeColor="text1"/>
          <w:sz w:val="16"/>
          <w:szCs w:val="16"/>
        </w:rPr>
      </w:pPr>
      <w:r w:rsidRPr="0044524F">
        <w:rPr>
          <w:rStyle w:val="af0"/>
          <w:i w:val="0"/>
          <w:color w:val="000000" w:themeColor="text1"/>
          <w:sz w:val="16"/>
          <w:szCs w:val="16"/>
        </w:rPr>
        <w:t>Секретно.</w:t>
      </w:r>
    </w:p>
    <w:p w14:paraId="04E4DFEA"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Совет труда и обороны постановляет:</w:t>
      </w:r>
    </w:p>
    <w:p w14:paraId="5B6EB5B9"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1. Ввиду важности разрешения проблемы геликоптера ГУАПу оказывать всестороннее содействие успешно проводимым ЦАГИ работам по строительству геликоптера.</w:t>
      </w:r>
    </w:p>
    <w:p w14:paraId="413E705F"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2. Исходя из решения ПБ ЦК ВКП(б) о выводе ЦАГИ из Москвы, обязать Глававиапром в первую очередь предусмотреть развертывание опытной базы строительства винтовых аппаратов (геликоптеры, автожиры) на площадке близ Раменского, у села Ново-Рождественское, в составе конструкторского отдела, опытных мастерских и аэродрома с оборудованием с тем, чтобы закончить строительство к концу 1934 г.</w:t>
      </w:r>
    </w:p>
    <w:p w14:paraId="1369B126"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3. Так как развитие опытного строительства геликоптеров упирается в отсутствие специального типа мотора, обязать Глававиапром уже в 1933 г. включить в план опытных работ по моторостроению создание специального мотора для геликоптеров.</w:t>
      </w:r>
    </w:p>
    <w:p w14:paraId="58BDC0F7"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4. Для укрепления работ ЦАГИ по опытному строительству геликоптеров до перехода на новую территорию обязать НКВМ передать ЦАГИ второй ангар в Ухтомском не позднее 15 мая 1933 г.</w:t>
      </w:r>
    </w:p>
    <w:p w14:paraId="02A0AC7C"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5. Наградить руководящий, технический и рабочий персонал секции особых конструкций ЦАГИ: начальника секции особых конструкций ЦАГИ т. Изаксона А. М., зам. начальника секции особых конструкций т. Черемухина А. М., начальника группы ст. инженера Бункина К. А. — выдачей каждому легкового автомобиля из резерва СНК СССР. Прочих работников — денежными наградами распоряжением начальника ГУАПа т. Баранова.</w:t>
      </w:r>
    </w:p>
    <w:p w14:paraId="6905C1F9" w14:textId="77777777" w:rsidR="00DC337E" w:rsidRPr="0044524F" w:rsidRDefault="00DC337E" w:rsidP="009654CF">
      <w:pPr>
        <w:pStyle w:val="rtejustify"/>
        <w:spacing w:before="0" w:after="0"/>
        <w:rPr>
          <w:color w:val="000000" w:themeColor="text1"/>
          <w:sz w:val="16"/>
          <w:szCs w:val="16"/>
        </w:rPr>
      </w:pPr>
      <w:r w:rsidRPr="0044524F">
        <w:rPr>
          <w:color w:val="000000" w:themeColor="text1"/>
          <w:sz w:val="16"/>
          <w:szCs w:val="16"/>
        </w:rPr>
        <w:t>6. Для обеспечения работ Конструкторского бюро по геликоптерам выделить в распоряжение ЦАГИ из резерва СНК два легковых автомобиля «Форд».</w:t>
      </w:r>
    </w:p>
    <w:p w14:paraId="1CEF5EC1" w14:textId="77777777" w:rsidR="00DC337E" w:rsidRPr="0044524F" w:rsidRDefault="00DC337E" w:rsidP="009654CF">
      <w:pPr>
        <w:pStyle w:val="ae"/>
        <w:spacing w:before="0" w:after="0"/>
        <w:jc w:val="both"/>
        <w:rPr>
          <w:color w:val="000000" w:themeColor="text1"/>
          <w:sz w:val="16"/>
          <w:szCs w:val="16"/>
        </w:rPr>
      </w:pPr>
      <w:r w:rsidRPr="0044524F">
        <w:rPr>
          <w:rStyle w:val="af0"/>
          <w:i w:val="0"/>
          <w:color w:val="000000" w:themeColor="text1"/>
          <w:sz w:val="16"/>
          <w:szCs w:val="16"/>
        </w:rPr>
        <w:t>Председатель Совета труда и обороны В. Молотов/Скрябин</w:t>
      </w:r>
    </w:p>
    <w:p w14:paraId="2612CECF" w14:textId="77777777" w:rsidR="00DC337E" w:rsidRPr="0044524F" w:rsidRDefault="00DC337E" w:rsidP="009654CF">
      <w:pPr>
        <w:pStyle w:val="ae"/>
        <w:spacing w:before="0" w:after="0"/>
        <w:jc w:val="both"/>
        <w:rPr>
          <w:color w:val="000000" w:themeColor="text1"/>
          <w:sz w:val="16"/>
          <w:szCs w:val="16"/>
        </w:rPr>
      </w:pPr>
      <w:r w:rsidRPr="0044524F">
        <w:rPr>
          <w:rStyle w:val="af0"/>
          <w:i w:val="0"/>
          <w:color w:val="000000" w:themeColor="text1"/>
          <w:sz w:val="16"/>
          <w:szCs w:val="16"/>
        </w:rPr>
        <w:t>Базилевич</w:t>
      </w:r>
    </w:p>
    <w:p w14:paraId="3A94939F" w14:textId="77777777" w:rsidR="00DC337E" w:rsidRPr="0044524F" w:rsidRDefault="00DC337E" w:rsidP="009654CF">
      <w:pPr>
        <w:pStyle w:val="ae"/>
        <w:spacing w:before="0" w:after="0"/>
        <w:jc w:val="both"/>
        <w:rPr>
          <w:color w:val="000000" w:themeColor="text1"/>
          <w:sz w:val="16"/>
          <w:szCs w:val="16"/>
        </w:rPr>
      </w:pPr>
      <w:r w:rsidRPr="0044524F">
        <w:rPr>
          <w:color w:val="000000" w:themeColor="text1"/>
          <w:sz w:val="16"/>
          <w:szCs w:val="16"/>
        </w:rPr>
        <w:t>ГА РФ. Ф. Р-8418. Оп. 28. Д. 1. Л. 131-132. Подлинник (15267).</w:t>
      </w:r>
    </w:p>
    <w:p w14:paraId="70F00BFB" w14:textId="77777777" w:rsidR="00DC337E" w:rsidRPr="0044524F" w:rsidRDefault="00DC337E" w:rsidP="009654CF">
      <w:pPr>
        <w:pStyle w:val="rtejustify"/>
        <w:spacing w:before="0" w:after="0"/>
        <w:rPr>
          <w:rStyle w:val="af0"/>
          <w:bCs/>
          <w:i w:val="0"/>
          <w:color w:val="000000" w:themeColor="text1"/>
          <w:sz w:val="16"/>
          <w:szCs w:val="16"/>
        </w:rPr>
      </w:pPr>
    </w:p>
    <w:p w14:paraId="4408987D" w14:textId="77777777" w:rsidR="00DC337E" w:rsidRPr="0044524F" w:rsidRDefault="00DC337E" w:rsidP="009654CF">
      <w:pPr>
        <w:pStyle w:val="rtejustify"/>
        <w:spacing w:before="0" w:after="0"/>
        <w:rPr>
          <w:color w:val="000000" w:themeColor="text1"/>
          <w:sz w:val="16"/>
          <w:szCs w:val="16"/>
        </w:rPr>
      </w:pPr>
      <w:r w:rsidRPr="0044524F">
        <w:rPr>
          <w:rStyle w:val="af0"/>
          <w:bCs/>
          <w:i w:val="0"/>
          <w:color w:val="000000" w:themeColor="text1"/>
          <w:sz w:val="16"/>
          <w:szCs w:val="16"/>
        </w:rPr>
        <w:t>27 апреля</w:t>
      </w:r>
      <w:r w:rsidRPr="0044524F">
        <w:rPr>
          <w:color w:val="000000" w:themeColor="text1"/>
          <w:sz w:val="16"/>
          <w:szCs w:val="16"/>
        </w:rPr>
        <w:t xml:space="preserve"> 1933. Постановление СТО СССР № 24с/о «О самолетных рациях». (ГА РФ. Ф. Р</w:t>
      </w:r>
      <w:r w:rsidRPr="0044524F">
        <w:rPr>
          <w:color w:val="000000" w:themeColor="text1"/>
          <w:sz w:val="16"/>
          <w:szCs w:val="16"/>
        </w:rPr>
        <w:noBreakHyphen/>
        <w:t>8418. Оп. 28. Д. 1. Л. 133</w:t>
      </w:r>
      <w:r w:rsidRPr="0044524F">
        <w:rPr>
          <w:color w:val="000000" w:themeColor="text1"/>
          <w:sz w:val="16"/>
          <w:szCs w:val="16"/>
        </w:rPr>
        <w:noBreakHyphen/>
        <w:t>134) (15460).</w:t>
      </w:r>
    </w:p>
    <w:p w14:paraId="18CEDA70" w14:textId="77777777" w:rsidR="00DC337E" w:rsidRPr="0044524F" w:rsidRDefault="00DC337E" w:rsidP="009654CF">
      <w:pPr>
        <w:pStyle w:val="rtejustify"/>
        <w:spacing w:before="0" w:after="0"/>
        <w:rPr>
          <w:color w:val="000000" w:themeColor="text1"/>
          <w:sz w:val="16"/>
          <w:szCs w:val="16"/>
        </w:rPr>
      </w:pPr>
    </w:p>
    <w:p w14:paraId="529ECB2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года постановление № 24сс/о СТО</w:t>
      </w:r>
    </w:p>
    <w:p w14:paraId="30E4C0E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самолетных рациях (7503, 20).</w:t>
      </w:r>
    </w:p>
    <w:p w14:paraId="52C86189"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6C52B0E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вышло постановление СТО N 24сс/о "О самолетных рациях" (2282,25).</w:t>
      </w:r>
    </w:p>
    <w:p w14:paraId="3B58F8C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Отметили, что НКТП не выполнил постановление СТО от 5 апреля 1932 и постановление ЦК ВКП(б) от 5 июля 1932 самолетных и аэродромных радиостанциях (2282,26).</w:t>
      </w:r>
    </w:p>
    <w:p w14:paraId="5F4D2ED4"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2F0A65DD" w14:textId="77777777" w:rsidR="00DC337E" w:rsidRPr="0044524F" w:rsidRDefault="00DC337E" w:rsidP="009654CF">
      <w:pPr>
        <w:pStyle w:val="rtejustify"/>
        <w:spacing w:before="0" w:after="0"/>
        <w:rPr>
          <w:color w:val="000000" w:themeColor="text1"/>
          <w:sz w:val="16"/>
          <w:szCs w:val="16"/>
        </w:rPr>
      </w:pPr>
      <w:r w:rsidRPr="0044524F">
        <w:rPr>
          <w:rStyle w:val="af0"/>
          <w:bCs/>
          <w:i w:val="0"/>
          <w:color w:val="000000" w:themeColor="text1"/>
          <w:sz w:val="16"/>
          <w:szCs w:val="16"/>
        </w:rPr>
        <w:t>27 апреля</w:t>
      </w:r>
      <w:r w:rsidRPr="0044524F">
        <w:rPr>
          <w:color w:val="000000" w:themeColor="text1"/>
          <w:sz w:val="16"/>
          <w:szCs w:val="16"/>
        </w:rPr>
        <w:t xml:space="preserve"> 1933. Постановление СТО СССР № 25сс/о «О производстве разрезных крыльев». (ГА РФ. Ф. Р</w:t>
      </w:r>
      <w:r w:rsidRPr="0044524F">
        <w:rPr>
          <w:color w:val="000000" w:themeColor="text1"/>
          <w:sz w:val="16"/>
          <w:szCs w:val="16"/>
        </w:rPr>
        <w:noBreakHyphen/>
        <w:t>8418. Оп. 28. Д. 1. Л. 135) (15460).</w:t>
      </w:r>
    </w:p>
    <w:p w14:paraId="3CF2A9E0" w14:textId="77777777" w:rsidR="00DC337E" w:rsidRPr="0044524F" w:rsidRDefault="00DC337E" w:rsidP="009654CF">
      <w:pPr>
        <w:pStyle w:val="rtejustify"/>
        <w:spacing w:before="0" w:after="0"/>
        <w:rPr>
          <w:color w:val="000000" w:themeColor="text1"/>
          <w:sz w:val="16"/>
          <w:szCs w:val="16"/>
        </w:rPr>
      </w:pPr>
    </w:p>
    <w:p w14:paraId="446BC10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года постановление № 25сс/о СТО</w:t>
      </w:r>
    </w:p>
    <w:p w14:paraId="74D819E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производстве разрезных крыльев</w:t>
      </w:r>
    </w:p>
    <w:p w14:paraId="2166AB4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7AC4ABA9" w14:textId="77777777" w:rsidR="003446BF" w:rsidRPr="0044524F" w:rsidRDefault="003446BF" w:rsidP="009654CF">
      <w:pPr>
        <w:numPr>
          <w:ilvl w:val="0"/>
          <w:numId w:val="18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предъявить на госиспытание самолет Р-5 с мотором М-17 с разрезными крыльями не позднее 10 мая 1933 года.</w:t>
      </w:r>
    </w:p>
    <w:p w14:paraId="65FA646F" w14:textId="77777777" w:rsidR="003446BF" w:rsidRPr="0044524F" w:rsidRDefault="003446BF" w:rsidP="009654CF">
      <w:pPr>
        <w:numPr>
          <w:ilvl w:val="0"/>
          <w:numId w:val="18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УВВС закончить испытания не позже 15 июня 1933 года.</w:t>
      </w:r>
    </w:p>
    <w:p w14:paraId="51EBE1D8" w14:textId="77777777" w:rsidR="003446BF" w:rsidRPr="0044524F" w:rsidRDefault="003446BF" w:rsidP="009654CF">
      <w:pPr>
        <w:numPr>
          <w:ilvl w:val="0"/>
          <w:numId w:val="18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окончании испытаний ГУАП обязуется изготовлять для опытных образцов истребителей и разведчиков, одновременно с обычными крыльями, вторые комплекты разрезных крыльев.</w:t>
      </w:r>
    </w:p>
    <w:p w14:paraId="61440E68" w14:textId="77777777" w:rsidR="003446BF" w:rsidRPr="0044524F" w:rsidRDefault="003446BF" w:rsidP="009654CF">
      <w:pPr>
        <w:numPr>
          <w:ilvl w:val="0"/>
          <w:numId w:val="18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Закончить заводское испытание и передать для госиспытания в НИИ ВВС экспериментальный самолет конструкции Кричевского 1 октября 1933 года (7503, 22).</w:t>
      </w:r>
    </w:p>
    <w:p w14:paraId="0AE99E0D" w14:textId="77777777" w:rsidR="003446BF" w:rsidRPr="0044524F" w:rsidRDefault="003446BF" w:rsidP="009654CF">
      <w:pPr>
        <w:tabs>
          <w:tab w:val="left" w:pos="360"/>
        </w:tabs>
        <w:spacing w:after="0" w:line="240" w:lineRule="auto"/>
        <w:jc w:val="both"/>
        <w:rPr>
          <w:rFonts w:ascii="Times New Roman" w:hAnsi="Times New Roman"/>
          <w:color w:val="000000" w:themeColor="text1"/>
          <w:sz w:val="16"/>
          <w:szCs w:val="16"/>
        </w:rPr>
      </w:pPr>
    </w:p>
    <w:p w14:paraId="3F610C4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вышло постановление СТО N 25сс/о "О производстве разрезных крыльев" (2282,18).</w:t>
      </w:r>
    </w:p>
    <w:p w14:paraId="0920B21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465C31C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ГУАП предъявить на гос. испытания самолет Р-5 с М-17 с разрезными крыльями не позднее 20 мая 1933.</w:t>
      </w:r>
    </w:p>
    <w:p w14:paraId="59EFA0C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ВВС закончить испытания не позже 15 июня 1933.</w:t>
      </w:r>
    </w:p>
    <w:p w14:paraId="58F8A0B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 окончании испытаний ГУАП обязуется изготовить для опытных образцов истребителей и разведчиков, одновременно с обычными крыльями, вторые комплекты разрезных крыльев.</w:t>
      </w:r>
    </w:p>
    <w:p w14:paraId="5539F72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закончить заводское испытание и передать для гос. испытания в НИИ ВВС экспериментальный самолет конструкции Кричевского 1 октября 1933." (2282,18).</w:t>
      </w:r>
    </w:p>
    <w:p w14:paraId="2BCA6962"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0F399784" w14:textId="77777777" w:rsidR="00DC337E" w:rsidRPr="0044524F" w:rsidRDefault="00DC337E" w:rsidP="009654CF">
      <w:pPr>
        <w:pStyle w:val="rtejustify"/>
        <w:spacing w:before="0" w:after="0"/>
        <w:rPr>
          <w:color w:val="000000" w:themeColor="text1"/>
          <w:sz w:val="16"/>
          <w:szCs w:val="16"/>
        </w:rPr>
      </w:pPr>
      <w:r w:rsidRPr="0044524F">
        <w:rPr>
          <w:rStyle w:val="af0"/>
          <w:bCs/>
          <w:i w:val="0"/>
          <w:color w:val="000000" w:themeColor="text1"/>
          <w:sz w:val="16"/>
          <w:szCs w:val="16"/>
        </w:rPr>
        <w:lastRenderedPageBreak/>
        <w:t>27 апреля</w:t>
      </w:r>
      <w:r w:rsidRPr="0044524F">
        <w:rPr>
          <w:color w:val="000000" w:themeColor="text1"/>
          <w:sz w:val="16"/>
          <w:szCs w:val="16"/>
        </w:rPr>
        <w:t xml:space="preserve"> 1933. Постановление СТО СССР № 20сс/о «О механизации аэродромной службы ВВС РККА». (ГА РФ. Ф. Р</w:t>
      </w:r>
      <w:r w:rsidRPr="0044524F">
        <w:rPr>
          <w:color w:val="000000" w:themeColor="text1"/>
          <w:sz w:val="16"/>
          <w:szCs w:val="16"/>
        </w:rPr>
        <w:noBreakHyphen/>
        <w:t>8418. Оп. 28. Д. 1. Л. 125</w:t>
      </w:r>
      <w:r w:rsidRPr="0044524F">
        <w:rPr>
          <w:color w:val="000000" w:themeColor="text1"/>
          <w:sz w:val="16"/>
          <w:szCs w:val="16"/>
        </w:rPr>
        <w:noBreakHyphen/>
        <w:t>126) (15460).</w:t>
      </w:r>
    </w:p>
    <w:p w14:paraId="2F765E4C" w14:textId="77777777" w:rsidR="00DC337E" w:rsidRPr="0044524F" w:rsidRDefault="00DC337E" w:rsidP="009654CF">
      <w:pPr>
        <w:pStyle w:val="rtejustify"/>
        <w:spacing w:before="0" w:after="0"/>
        <w:rPr>
          <w:color w:val="000000" w:themeColor="text1"/>
          <w:sz w:val="16"/>
          <w:szCs w:val="16"/>
        </w:rPr>
      </w:pPr>
    </w:p>
    <w:p w14:paraId="6B0C5E0D" w14:textId="77777777" w:rsidR="00DC337E" w:rsidRPr="0044524F" w:rsidRDefault="00DC337E" w:rsidP="009654CF">
      <w:pPr>
        <w:pStyle w:val="rtejustify"/>
        <w:spacing w:before="0" w:after="0"/>
        <w:rPr>
          <w:color w:val="000000" w:themeColor="text1"/>
          <w:sz w:val="16"/>
          <w:szCs w:val="16"/>
        </w:rPr>
      </w:pPr>
      <w:r w:rsidRPr="0044524F">
        <w:rPr>
          <w:rStyle w:val="af0"/>
          <w:bCs/>
          <w:i w:val="0"/>
          <w:color w:val="000000" w:themeColor="text1"/>
          <w:sz w:val="16"/>
          <w:szCs w:val="16"/>
        </w:rPr>
        <w:t>27 апреля</w:t>
      </w:r>
      <w:r w:rsidRPr="0044524F">
        <w:rPr>
          <w:color w:val="000000" w:themeColor="text1"/>
          <w:sz w:val="16"/>
          <w:szCs w:val="16"/>
        </w:rPr>
        <w:t xml:space="preserve"> 1933. Постановление СТО СССР № 26сс/о «О строительстве и оборудовании завода 24 ГУАП». (ГА РФ. Ф. Р</w:t>
      </w:r>
      <w:r w:rsidRPr="0044524F">
        <w:rPr>
          <w:color w:val="000000" w:themeColor="text1"/>
          <w:sz w:val="16"/>
          <w:szCs w:val="16"/>
        </w:rPr>
        <w:noBreakHyphen/>
        <w:t>8418. Оп. 28. Д. 1. Л. 136</w:t>
      </w:r>
      <w:r w:rsidRPr="0044524F">
        <w:rPr>
          <w:color w:val="000000" w:themeColor="text1"/>
          <w:sz w:val="16"/>
          <w:szCs w:val="16"/>
        </w:rPr>
        <w:noBreakHyphen/>
        <w:t>137) (15460).</w:t>
      </w:r>
    </w:p>
    <w:p w14:paraId="54810DC2" w14:textId="77777777" w:rsidR="00DC337E" w:rsidRPr="0044524F" w:rsidRDefault="00DC337E" w:rsidP="009654CF">
      <w:pPr>
        <w:pStyle w:val="rtejustify"/>
        <w:spacing w:before="0" w:after="0"/>
        <w:rPr>
          <w:color w:val="000000" w:themeColor="text1"/>
          <w:sz w:val="16"/>
          <w:szCs w:val="16"/>
        </w:rPr>
      </w:pPr>
    </w:p>
    <w:p w14:paraId="75F9C13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933 года вышло Постановление N 26сс/о СТО О строительстве и оборудовании завода N 24 (4012,3).</w:t>
      </w:r>
    </w:p>
    <w:p w14:paraId="097535FE"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70A505F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года постановление № 26сс/о СТО</w:t>
      </w:r>
    </w:p>
    <w:p w14:paraId="05E2095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строительстве и оборудовании завода № 24 ГУАПа</w:t>
      </w:r>
    </w:p>
    <w:p w14:paraId="4B8DA60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14271657" w14:textId="77777777" w:rsidR="003446BF" w:rsidRPr="0044524F" w:rsidRDefault="003446BF" w:rsidP="009654CF">
      <w:pPr>
        <w:numPr>
          <w:ilvl w:val="0"/>
          <w:numId w:val="19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Строительство и оборудование завода № 24 форсировать, в связи с чем закончить строительство и оборудование к 1 июля 1934 года – на мощность в 8000 моторов и к 1 июля 1935 года – на полную мощность, т.е. на 15000 моторов.</w:t>
      </w:r>
    </w:p>
    <w:p w14:paraId="3A90B92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……………………………….(7503, 23).</w:t>
      </w:r>
    </w:p>
    <w:p w14:paraId="5D1B29A9"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761A303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было принято решение Политбюро ЦК ВКП(б) о строительстве нового ЦАГИ в Раменском (237,166) - интересно, в каком из постановлений СТО.</w:t>
      </w:r>
    </w:p>
    <w:p w14:paraId="65B825BD"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648C9E6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пом. нач. ГУАП Алмазов письмом N 257/234 сс Нач. Штаба РККА Егорову представил план опытного строительства по моторам и самолетам (1925,76), а 28 - то же - в ЦАГИ (утвержденный П.И.Барановым) (1025,77).</w:t>
      </w:r>
    </w:p>
    <w:p w14:paraId="01A587A0"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4650AD10" w14:textId="77777777" w:rsidR="00DC337E" w:rsidRPr="0044524F" w:rsidRDefault="00DC33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в 1933 году постановлением Совета труда и обороны СССР был организован Центральный институт авиационных топлив и масел (с 1954 г. Всесоюзный НИИ по переработке нефти и газа и получению искусственного жидкого топлива (ВНИИНП; с 26 марта 1966 г. Всесоюзный НИИ по переработке нефти). Ныне ОАО «Всероссийский НИИ по переработке нефти» (15112).</w:t>
      </w:r>
    </w:p>
    <w:p w14:paraId="200C1189" w14:textId="77777777" w:rsidR="00DC337E" w:rsidRPr="0044524F" w:rsidRDefault="00DC337E" w:rsidP="009654CF">
      <w:pPr>
        <w:spacing w:after="0" w:line="240" w:lineRule="auto"/>
        <w:jc w:val="both"/>
        <w:rPr>
          <w:rFonts w:ascii="Times New Roman" w:hAnsi="Times New Roman"/>
          <w:color w:val="000000" w:themeColor="text1"/>
          <w:sz w:val="16"/>
          <w:szCs w:val="16"/>
        </w:rPr>
      </w:pPr>
    </w:p>
    <w:p w14:paraId="0A098818" w14:textId="77777777" w:rsidR="00DC337E" w:rsidRPr="0044524F" w:rsidRDefault="00DC33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 Постановлением СТО № 381 и Постановлением НКТП СССР № 316 от 11 мая 1933 г. в системе Главнефти был учрежден Государственный союзный трест авиационных топлив и масел «Авиатоп». Управляющим трестом был назначен бывший управляющий трестом «Нефтезаводстрой» С.Н. Батулин. В 1934 г. в состав «Авиатопа» входило 8 заводов, все они были размещены вне Кавказа. Самым крупным (по выработке продукции) был Константиновский завод им. Менделеева в Ярославле, затем шли - по убывающей - «Нефтегаз № 1» в Москве, завод им. 26 коммунаров в Горьком, 4-й крекинг-завод в Саратове, заводы: им. Кошкина в Москве, им. Шаумяна в Ленинграде, «Нефтегаз № 2» в Горьком и «Химгаз» в Ленинграде. Кроме того, в трест входил Центральный институт авиационного топлива и масел (11232).</w:t>
      </w:r>
    </w:p>
    <w:p w14:paraId="2AB6B399" w14:textId="77777777" w:rsidR="00DC337E" w:rsidRPr="0044524F" w:rsidRDefault="00DC337E" w:rsidP="009654CF">
      <w:pPr>
        <w:spacing w:after="0" w:line="240" w:lineRule="auto"/>
        <w:jc w:val="both"/>
        <w:rPr>
          <w:rFonts w:ascii="Times New Roman" w:hAnsi="Times New Roman"/>
          <w:color w:val="000000" w:themeColor="text1"/>
          <w:sz w:val="16"/>
          <w:szCs w:val="16"/>
        </w:rPr>
      </w:pPr>
    </w:p>
    <w:p w14:paraId="3E14B4D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 постановлением Совета Труда и Обороны СССР был создан Центральный научно-исследовательский институт авиационных топлив и масел (ЦИАТИМ). Приказом Наркомата тяжелой промышленности СССР от 25 июня 1934 г. институту переданы лаборатории смазок и масел ликвидированного Государственного исследовательского нефтяного института (ГИНИ) (1924 - 1934). В 1941 - 1945 гг. находился в эвакуации в г. Уфе, где распоряжением Совета Народных Комиссаров СССР от 2 декабря 1941 г. был объединен с Государственным научно-исследовательским химическим институтом высоких давлений (ГИВД). Приказом Министерства нефтяной промышленности СССР от 15 ноября 1954 г. ЦИАТИМ был объединен с ВНИГИ и ВНИИТнефть (12102).</w:t>
      </w:r>
    </w:p>
    <w:p w14:paraId="3B6BA302" w14:textId="77777777" w:rsidR="00DC337E" w:rsidRPr="0044524F" w:rsidRDefault="00DC337E" w:rsidP="009654CF">
      <w:pPr>
        <w:spacing w:after="0" w:line="240" w:lineRule="auto"/>
        <w:jc w:val="both"/>
        <w:rPr>
          <w:rFonts w:ascii="Times New Roman" w:hAnsi="Times New Roman"/>
          <w:color w:val="000000" w:themeColor="text1"/>
          <w:sz w:val="16"/>
          <w:szCs w:val="16"/>
        </w:rPr>
      </w:pPr>
    </w:p>
    <w:p w14:paraId="2B594EF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состоялся первый полет дирижабля СССР В-5 (233,166). Не первый, тот был 10 февраля 1933, а длительный - под управлением И.Д.Обожзинского (438,630).</w:t>
      </w:r>
    </w:p>
    <w:p w14:paraId="1C36CE92"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7D9F680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года состоялся первый полет дирижабля В-5 продолжительностью 1 час 15 минут. Дирижабль имел небольшой объем, всего 2340 куб. м. Малые размеры В-5 объяснялись тем, что он задумывался как опытный образец полужесткого дирижабля, предназначенный для практического ознакомления советских специалистов с итальянской полужесткой системой и выявления трудностей, которые могли встретиться при постройке дирижабля значительно большей кубатуры. На нем также предполагалось проводить обучение пилотов и наземного персонала для приобретения опыта эксплуатации и обслуживания полужесткого дирижабля (10731).</w:t>
      </w:r>
    </w:p>
    <w:p w14:paraId="67673FE4"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7F0AFC32" w14:textId="6833050B" w:rsidR="00DC337E" w:rsidRPr="0044524F" w:rsidRDefault="00DC33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 Руководство Дирижаблестроя сообщало в рапорте на имя И.В. Сталина, А.А. Андреева, В.М. Молотова, Р.П. Эйдемана сообщало: «27 апреля 1933 г. первый советский учебный полужесткий дирижабль кубатурой 2100 м3 под управлением пилота Ободзинского совершил первый испытательный полет продолжительностью 1 час 15 минут, показав хорошие управляемость, устойчивость и маневренность» [4, л. 163]. Это сообщение передала также радиограмма № 158 Радиостанции Дирижаблестроя [4, л. 164]. Строительство В-5 обошлось более чем в 3 раза дороже предполагаемой суммы затрат (не 138,6, а 454,65 тыс. руб.) [8, л.12-15]. В 1933 г. В-5 совершил 76 полетов, [8, л. 16], в 1934 г.– 40 полетов [14, л. 24 27]. В-5 участвовал в параде физкультурников 12 июня 1933 г., пролетев в 15 часов 45 минут вместе с дирижаблем В-3 над Красной площадью [4, л.244]. В 1934 г. из-за непригодности В-5 к дальнейшей эксплуатации по решению технической комиссии [14, л. 9]</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он был разоружен [14, л. 74] и помещен в деревянный эллинг, где и сгорел во время пожара 16 августа 1934 г. (15797)</w:t>
      </w:r>
    </w:p>
    <w:p w14:paraId="6379F95B" w14:textId="77777777" w:rsidR="00DC337E" w:rsidRPr="0044524F" w:rsidRDefault="00DC337E" w:rsidP="009654CF">
      <w:pPr>
        <w:spacing w:after="0" w:line="240" w:lineRule="auto"/>
        <w:jc w:val="both"/>
        <w:rPr>
          <w:rFonts w:ascii="Times New Roman" w:hAnsi="Times New Roman"/>
          <w:color w:val="000000" w:themeColor="text1"/>
          <w:sz w:val="16"/>
          <w:szCs w:val="16"/>
        </w:rPr>
      </w:pPr>
    </w:p>
    <w:p w14:paraId="2942D2FA" w14:textId="77777777" w:rsidR="00EC70B3" w:rsidRPr="0044524F" w:rsidRDefault="00EC70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 состоялся первый полёт ДП-3 продолжительностью 1 ч 15 мин. До 20 мая «СССР В-5» выполнил пять заводских испы</w:t>
      </w:r>
      <w:r w:rsidRPr="0044524F">
        <w:rPr>
          <w:rFonts w:ascii="Times New Roman" w:hAnsi="Times New Roman"/>
          <w:color w:val="000000" w:themeColor="text1"/>
          <w:sz w:val="16"/>
          <w:szCs w:val="16"/>
        </w:rPr>
        <w:softHyphen/>
        <w:t>тательных полётов, в ходе которых устранили обнаружившиеся незначительные неполадки и недоделки в конструкции дирижабля. После успешного завершения государственных испы</w:t>
      </w:r>
      <w:r w:rsidRPr="0044524F">
        <w:rPr>
          <w:rFonts w:ascii="Times New Roman" w:hAnsi="Times New Roman"/>
          <w:color w:val="000000" w:themeColor="text1"/>
          <w:sz w:val="16"/>
          <w:szCs w:val="16"/>
        </w:rPr>
        <w:softHyphen/>
        <w:t>таний «СССР В-5» приняли на эксплуатацию в ГВФ.</w:t>
      </w:r>
    </w:p>
    <w:p w14:paraId="03A478DF" w14:textId="77777777" w:rsidR="00EC70B3" w:rsidRPr="0044524F" w:rsidRDefault="00EC70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«СССР В-5» выполнил более 100 полётов, показавших, что он обладал хо</w:t>
      </w:r>
      <w:r w:rsidRPr="0044524F">
        <w:rPr>
          <w:rFonts w:ascii="Times New Roman" w:hAnsi="Times New Roman"/>
          <w:color w:val="000000" w:themeColor="text1"/>
          <w:sz w:val="16"/>
          <w:szCs w:val="16"/>
        </w:rPr>
        <w:softHyphen/>
        <w:t>рошей устойчивостью и управляемостью при самых разных метеорологических условиях. Однако оболочка дирижабля, собиравшегося в зимних условиях, быстро потеряла газоне</w:t>
      </w:r>
      <w:r w:rsidRPr="0044524F">
        <w:rPr>
          <w:rFonts w:ascii="Times New Roman" w:hAnsi="Times New Roman"/>
          <w:color w:val="000000" w:themeColor="text1"/>
          <w:sz w:val="16"/>
          <w:szCs w:val="16"/>
        </w:rPr>
        <w:softHyphen/>
        <w:t>проницаемость. Уже в ноябре 1933 г., ввиду большой диффузии газа и быстрого падения его чистоты, на подполнение дирижабля израс</w:t>
      </w:r>
      <w:r w:rsidRPr="0044524F">
        <w:rPr>
          <w:rFonts w:ascii="Times New Roman" w:hAnsi="Times New Roman"/>
          <w:color w:val="000000" w:themeColor="text1"/>
          <w:sz w:val="16"/>
          <w:szCs w:val="16"/>
        </w:rPr>
        <w:softHyphen/>
        <w:t>ходовали в общей сложности 4905 м3 водорода (почти два объёма оболочки). По предложению У. Нобиле оболочку покрыли газонепроница</w:t>
      </w:r>
      <w:r w:rsidRPr="0044524F">
        <w:rPr>
          <w:rFonts w:ascii="Times New Roman" w:hAnsi="Times New Roman"/>
          <w:color w:val="000000" w:themeColor="text1"/>
          <w:sz w:val="16"/>
          <w:szCs w:val="16"/>
        </w:rPr>
        <w:softHyphen/>
        <w:t>емым лаком, что продлило время эксплуата</w:t>
      </w:r>
      <w:r w:rsidRPr="0044524F">
        <w:rPr>
          <w:rFonts w:ascii="Times New Roman" w:hAnsi="Times New Roman"/>
          <w:color w:val="000000" w:themeColor="text1"/>
          <w:sz w:val="16"/>
          <w:szCs w:val="16"/>
        </w:rPr>
        <w:softHyphen/>
        <w:t>ции дирижабля. В 1934 г. дирижабль находился в воздухе 44 часа (20120).</w:t>
      </w:r>
    </w:p>
    <w:p w14:paraId="57BDB164" w14:textId="77777777" w:rsidR="00EC70B3" w:rsidRPr="0044524F" w:rsidRDefault="00EC70B3" w:rsidP="009654CF">
      <w:pPr>
        <w:spacing w:after="0" w:line="240" w:lineRule="auto"/>
        <w:jc w:val="both"/>
        <w:rPr>
          <w:rFonts w:ascii="Times New Roman" w:hAnsi="Times New Roman"/>
          <w:color w:val="000000" w:themeColor="text1"/>
          <w:sz w:val="16"/>
          <w:szCs w:val="16"/>
        </w:rPr>
      </w:pPr>
    </w:p>
    <w:p w14:paraId="28352641" w14:textId="77777777" w:rsidR="00EC70B3" w:rsidRPr="0044524F" w:rsidRDefault="00EC70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 xml:space="preserve">27 апреля 1933 года первый советский полужёсткий дирижабль, собранный на Долгопрудной, получил опознавательный знак «СССР-В5» и поднялся в небо. Фотографии обнаруживают его внешнее сходство с итальянским кораблём </w:t>
      </w:r>
      <w:r w:rsidRPr="0044524F">
        <w:rPr>
          <w:rFonts w:ascii="Times New Roman" w:hAnsi="Times New Roman"/>
          <w:color w:val="000000" w:themeColor="text1"/>
          <w:sz w:val="16"/>
          <w:szCs w:val="16"/>
          <w:lang w:val="en-US" w:bidi="en-US"/>
        </w:rPr>
        <w:t>Mr</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lang w:eastAsia="ru-RU" w:bidi="ru-RU"/>
        </w:rPr>
        <w:t xml:space="preserve">объёмом около 1 тыс. кубометров, который выпустили на заводе </w:t>
      </w:r>
      <w:r w:rsidRPr="0044524F">
        <w:rPr>
          <w:rFonts w:ascii="Times New Roman" w:hAnsi="Times New Roman"/>
          <w:color w:val="000000" w:themeColor="text1"/>
          <w:sz w:val="16"/>
          <w:szCs w:val="16"/>
          <w:lang w:val="en-US" w:bidi="en-US"/>
        </w:rPr>
        <w:t>SCA</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lang w:eastAsia="ru-RU" w:bidi="ru-RU"/>
        </w:rPr>
        <w:t xml:space="preserve">в 1924 году, - он и по сей день остаётся самым маленьким полужёстким дирижаблем в мире и одним из самых миниатюрных дирижаблей вообще. Не исключено, что именно </w:t>
      </w:r>
      <w:r w:rsidRPr="0044524F">
        <w:rPr>
          <w:rFonts w:ascii="Times New Roman" w:hAnsi="Times New Roman"/>
          <w:color w:val="000000" w:themeColor="text1"/>
          <w:sz w:val="16"/>
          <w:szCs w:val="16"/>
          <w:lang w:val="en-US" w:bidi="en-US"/>
        </w:rPr>
        <w:t>Mr</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lang w:eastAsia="ru-RU" w:bidi="ru-RU"/>
        </w:rPr>
        <w:t>послужил отправной точкой для проекта «В5», хотя в их конструкциях имелись заметные различия.</w:t>
      </w:r>
    </w:p>
    <w:p w14:paraId="1A0960A9" w14:textId="77777777" w:rsidR="00EC70B3" w:rsidRPr="0044524F" w:rsidRDefault="00EC70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Долгопрудненский «карлик» не только увеличился в размерах и потребовал для постройки намного больше времени, чем ожидалось. Самым неприятным сюрпризом стало значительное превышение сметы: первоначально на создание «СССР-В5» отпускали не больше 250 тыс. рублей, тогда как фактические затраты составили около 830 тыс.</w:t>
      </w:r>
    </w:p>
    <w:p w14:paraId="74CDED16" w14:textId="77777777" w:rsidR="00EC70B3" w:rsidRPr="0044524F" w:rsidRDefault="00EC70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Более чем трёхкратный рост затрат на «СССР-В5» произвёл сильное впечатление. Этот факт привлёк внимание не только руководства Аэрофлота, но и контрольных органов - начальник Дирижаблестроя Илья Фельдман, который в ноябре 1932 года сменил на этом посту Пурмаля, вынужден был давать объяснения в Наркомфине (23192).</w:t>
      </w:r>
    </w:p>
    <w:p w14:paraId="1B0D5FF4" w14:textId="77777777" w:rsidR="00EC70B3" w:rsidRPr="0044524F" w:rsidRDefault="00EC70B3" w:rsidP="009654CF">
      <w:pPr>
        <w:spacing w:after="0" w:line="240" w:lineRule="auto"/>
        <w:jc w:val="both"/>
        <w:rPr>
          <w:rFonts w:ascii="Times New Roman" w:hAnsi="Times New Roman"/>
          <w:color w:val="000000" w:themeColor="text1"/>
          <w:sz w:val="16"/>
          <w:szCs w:val="16"/>
        </w:rPr>
      </w:pPr>
    </w:p>
    <w:p w14:paraId="1C1DC147" w14:textId="77777777" w:rsidR="00EC70B3" w:rsidRPr="0044524F" w:rsidRDefault="00EC70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С.П.Королев писла письмо начальнику Сектора авиапромышленности и авиации ОСОАВИАХИМ т. Раскину (№ 98с от 27.04.33) и 19 июля 1933 - начальником авиации ЦС ОСОАВИАХИМ т. Гельферу (№ 170с от 9.07.33) о работе по снарядуракете тт. Штерн и Разумова (оба из ЛенГИРД). Они разработали оригинальный ротативный ЖРД. Королев требует: «Снаряд разработан в рабочих чертежах и начался монтаж. Согласно договору с ОСОАВИАХИМ, требую сумму 5000 руб. на завершение проекта» (ГА РФ. Фонд Р-8355. Оп. 1. Д. № 374. Л. 20, 38.). Деньги перечислили, но до объекта они дошли не сразу, и весь июль 1933 г. идут отписки ученого секретаря Постоянного военно-научного Совещания (Комитета - по другим документам) ОСОАВИАХИМ Ленинградской области т. Шорина, что деньги еще не получены (№ 5/У11/2 от 2.07.33 и № 5/УП/5 от 5.07.33)1 С деньгами в Ленинградской ГИРД так же плохо, как и в Московской. Ракете Разумова-Штерна еще повезло, она была доработана до стадии монтажа. (22685).</w:t>
      </w:r>
    </w:p>
    <w:p w14:paraId="3C8C76E4" w14:textId="77777777" w:rsidR="00EC70B3" w:rsidRPr="0044524F" w:rsidRDefault="00EC70B3" w:rsidP="009654CF">
      <w:pPr>
        <w:spacing w:after="0" w:line="240" w:lineRule="auto"/>
        <w:jc w:val="both"/>
        <w:rPr>
          <w:rFonts w:ascii="Times New Roman" w:hAnsi="Times New Roman"/>
          <w:color w:val="000000" w:themeColor="text1"/>
          <w:sz w:val="16"/>
          <w:szCs w:val="16"/>
        </w:rPr>
      </w:pPr>
    </w:p>
    <w:p w14:paraId="5960072D" w14:textId="77777777" w:rsidR="00DC337E" w:rsidRPr="0044524F" w:rsidRDefault="00DC33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27-28 апреля 1933 г. в ГДЛ состоялась научная конференция по реактивным снарядам, с привлечением крупных специалистов, где были подвергнуты всестороннему обсуждению вопросы реактивного движения и полета. Б.С.Петропавловский на ней сделал доклад на тему: «Основные вопросы реактивного движения и применения ракет в военном деле», в котором говорил, что «современная артиллерия исчерпала техническую возможность в смысле решительного увеличения своего могущества». В дальнейшем развитие артиллерии должно идти по пути использования реактивного принципа создания реактивной артиллерии.</w:t>
      </w:r>
    </w:p>
    <w:p w14:paraId="5400317F" w14:textId="77777777" w:rsidR="00DC337E" w:rsidRPr="0044524F" w:rsidRDefault="00DC33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Благодаря самоотверженному труду Б.С.Петропавловского и других сотрудников ГДЛ к моменту организации Реактивного института и слияния Лаборатории с МосГИРД'ом, организация имела следующие достижения:</w:t>
      </w:r>
    </w:p>
    <w:p w14:paraId="2677C169" w14:textId="77777777" w:rsidR="00DC337E" w:rsidRPr="0044524F" w:rsidRDefault="00DC33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Первый отдел. Несмотря на довольно короткий срок работы над PC - четыре года, к концу 1933 г. была завершена основная доводка ряда реактивных снарядов, принято на вооружение 9 типов снарядов.</w:t>
      </w:r>
    </w:p>
    <w:p w14:paraId="5B439EAD" w14:textId="77777777" w:rsidR="00DC337E" w:rsidRPr="0044524F" w:rsidRDefault="00DC33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отдел. За время работы с 1929 г. по 1933 г. теоретически и экспериментально доказана принципиальная работоспособность первого в мире электрического ракетного двигателя электротермического типа, использующего и качестве рабочего тела твердые или жидкие проводники, изрываемые электрическим током в камере с соплом. В 1930 - 1931 гг. были разработаны, изготовлены и испытаны парные и СССР ЖРД - ОРМ (опытный ракетный мотор). В 1932 г. были разработаны конструкции экспериментальных двигателей от ОРМ-4 до ОРМ-22 для изыскания типа зажигания, метода запуска и систем смешения компонентов при испытании на различных топливах (окислители жидкий кислород, азотный тетроксид, азотная кислота, растворы азотного тетроксида в азотной кислоте; горючее - бензин, бензол, толуол, керосин). В 1933 г. были разработаны и испытаны на стенде двигатели от ОРМ-23 до ОРМ-52. Опытные двигатели ОРМ-50 с тягой 150 кг и ОРМ-52 с тягой 300 кг прошли в 1933 г. официальные стендовые испытания.</w:t>
      </w:r>
    </w:p>
    <w:p w14:paraId="4C2B4244" w14:textId="179972EB" w:rsidR="00DC337E" w:rsidRPr="0044524F" w:rsidRDefault="00DC33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Третий отдел. В период с 1930 по 1933 гг. отдел практически разрешил проблему реактивного разгона самолетов с помощью твердотопливных реактивных двигателей. Первоначальная опытная работа проводились с самолетом У-1. К концу 1931 г. были получены положительные результаты, после чего начались аналогичные работы на самолете ТБ-1. 14 октября 1933 г. с удовлетворительным результатом были проведены государственные испытания этого самолета: применение стартовых ракет сократило разбег самолета на 77% при стартовом весе 8 т. В 1933 г. были начаты работы по ракетному старту самолета ТБ-3 со стартовым весом 20 т. В статье «Старт и торможение самолета с помощью ракет» автор, бывший руководитель третьего отдела ГДЛ - В.И.Дудаков33, писал: «В отношении же устройства и расчета</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пороховых</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ракет отсыпаем читателя к книге Г.Э.Лангемака «Проектирование ракетных снарядов и тяжелых ракет», издание Артиллерийской академии, г. Ленинград, 1934 г.» Этот факт свидетельствует о том, что стартовые ракеты проектировались с участием первого отдела ГДЛ.</w:t>
      </w:r>
    </w:p>
    <w:p w14:paraId="329A085D" w14:textId="4B9B2BA8" w:rsidR="00DC337E" w:rsidRPr="0044524F" w:rsidRDefault="00DC33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Пятый отдел на протяжении всего существования ГДЛ (ленинградский период) обеспечивал потребности лаборатории в порохе нужной формы и состава. Отдел отрабатывал также технологию изготовления пороха, и эта технология внедрялась на серийных</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пороховых</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заводах. В 1932 г. предполагалось довести производство пороха в лаборатории до 12 т в год (15252).</w:t>
      </w:r>
    </w:p>
    <w:p w14:paraId="5A3FB392" w14:textId="77777777" w:rsidR="00DC337E" w:rsidRPr="0044524F" w:rsidRDefault="00DC337E" w:rsidP="009654CF">
      <w:pPr>
        <w:shd w:val="clear" w:color="auto" w:fill="FFFFFF"/>
        <w:spacing w:after="0" w:line="240" w:lineRule="auto"/>
        <w:jc w:val="both"/>
        <w:rPr>
          <w:rFonts w:ascii="Times New Roman" w:hAnsi="Times New Roman"/>
          <w:color w:val="000000" w:themeColor="text1"/>
          <w:sz w:val="16"/>
          <w:szCs w:val="16"/>
        </w:rPr>
      </w:pPr>
    </w:p>
    <w:p w14:paraId="58D8D56F"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180E4A9"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3BFCE6BF"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апре</w:t>
      </w:r>
      <w:r w:rsidRPr="00142305">
        <w:rPr>
          <w:rFonts w:ascii="Times New Roman" w:hAnsi="Times New Roman"/>
          <w:color w:val="0070C0"/>
          <w:sz w:val="16"/>
          <w:szCs w:val="16"/>
        </w:rPr>
        <w:softHyphen/>
        <w:t>ля 1933 года в письме №157007 Начальник УММ РККА Халепский сообщал В.В. Куйбышеву об итогах работы по бронетракторам.</w:t>
      </w:r>
    </w:p>
    <w:p w14:paraId="702D0919"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«Опытное бронирование гусеничных тракторов оказалось неудачным, и было также недоработано т. Дыренковым. Однако изготовленные образцы ясно доказали нецелесообразность брониро</w:t>
      </w:r>
      <w:r w:rsidRPr="00142305">
        <w:rPr>
          <w:rFonts w:ascii="Times New Roman" w:hAnsi="Times New Roman"/>
          <w:color w:val="0070C0"/>
          <w:sz w:val="16"/>
          <w:szCs w:val="16"/>
        </w:rPr>
        <w:softHyphen/>
        <w:t>вания серийных гусеничных тракторов с целью получения танков суррогативного типа. Поэтому все работы по бронирова</w:t>
      </w:r>
      <w:r w:rsidRPr="00142305">
        <w:rPr>
          <w:rFonts w:ascii="Times New Roman" w:hAnsi="Times New Roman"/>
          <w:color w:val="0070C0"/>
          <w:sz w:val="16"/>
          <w:szCs w:val="16"/>
        </w:rPr>
        <w:softHyphen/>
        <w:t>нию тракторов прекращены.</w:t>
      </w:r>
    </w:p>
    <w:p w14:paraId="0AC2EA83"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p w14:paraId="72AB62C0"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Бронированный транспортер пехо</w:t>
      </w:r>
      <w:r w:rsidRPr="00142305">
        <w:rPr>
          <w:rFonts w:ascii="Times New Roman" w:hAnsi="Times New Roman"/>
          <w:color w:val="0070C0"/>
          <w:sz w:val="16"/>
          <w:szCs w:val="16"/>
        </w:rPr>
        <w:softHyphen/>
        <w:t>ты на шасси трактора Коммунар /Д-14/. Образец был выполнен неудачно, и трак</w:t>
      </w:r>
      <w:r w:rsidRPr="00142305">
        <w:rPr>
          <w:rFonts w:ascii="Times New Roman" w:hAnsi="Times New Roman"/>
          <w:color w:val="0070C0"/>
          <w:sz w:val="16"/>
          <w:szCs w:val="16"/>
        </w:rPr>
        <w:softHyphen/>
        <w:t>тор при первых испытаниях сломался из-за перегрузки в задних катках подве</w:t>
      </w:r>
      <w:r w:rsidRPr="00142305">
        <w:rPr>
          <w:rFonts w:ascii="Times New Roman" w:hAnsi="Times New Roman"/>
          <w:color w:val="0070C0"/>
          <w:sz w:val="16"/>
          <w:szCs w:val="16"/>
        </w:rPr>
        <w:softHyphen/>
        <w:t>ски. Дальнейшие работы по созданию бронированных транспортеров на шасси трактора Коммунар были прекращены и была взята ориентировка на шасси тан</w:t>
      </w:r>
      <w:r w:rsidRPr="00142305">
        <w:rPr>
          <w:rFonts w:ascii="Times New Roman" w:hAnsi="Times New Roman"/>
          <w:color w:val="0070C0"/>
          <w:sz w:val="16"/>
          <w:szCs w:val="16"/>
        </w:rPr>
        <w:softHyphen/>
        <w:t>ка Т-26, как более подходящего для этой цели» (25003).</w:t>
      </w:r>
    </w:p>
    <w:p w14:paraId="33F864AD" w14:textId="77777777" w:rsidR="00046E51" w:rsidRPr="00142305" w:rsidRDefault="00046E51" w:rsidP="00046E51">
      <w:pPr>
        <w:spacing w:after="0" w:line="240" w:lineRule="auto"/>
        <w:jc w:val="both"/>
        <w:rPr>
          <w:rFonts w:ascii="Times New Roman" w:hAnsi="Times New Roman"/>
          <w:color w:val="0070C0"/>
          <w:sz w:val="16"/>
          <w:szCs w:val="16"/>
        </w:rPr>
      </w:pPr>
    </w:p>
    <w:p w14:paraId="18D0D900" w14:textId="77777777" w:rsidR="00DC337E" w:rsidRPr="0044524F" w:rsidRDefault="00DC337E" w:rsidP="009654CF">
      <w:pPr>
        <w:pStyle w:val="rtejustify"/>
        <w:spacing w:before="0" w:after="0"/>
        <w:rPr>
          <w:color w:val="000000" w:themeColor="text1"/>
          <w:sz w:val="16"/>
          <w:szCs w:val="16"/>
        </w:rPr>
      </w:pPr>
      <w:r w:rsidRPr="0044524F">
        <w:rPr>
          <w:rStyle w:val="af0"/>
          <w:bCs/>
          <w:i w:val="0"/>
          <w:color w:val="000000" w:themeColor="text1"/>
          <w:sz w:val="16"/>
          <w:szCs w:val="16"/>
        </w:rPr>
        <w:t>27 апреля</w:t>
      </w:r>
      <w:r w:rsidRPr="0044524F">
        <w:rPr>
          <w:color w:val="000000" w:themeColor="text1"/>
          <w:sz w:val="16"/>
          <w:szCs w:val="16"/>
        </w:rPr>
        <w:t xml:space="preserve"> 1933. Постановление СНК СССР № 848 «О порядке контроля, осуществляемого банками долгосрочных вложений при финансировании капитального строительства». (</w:t>
      </w:r>
      <w:hyperlink r:id="rId137" w:history="1">
        <w:r w:rsidRPr="0044524F">
          <w:rPr>
            <w:rStyle w:val="a5"/>
            <w:color w:val="000000" w:themeColor="text1"/>
            <w:sz w:val="16"/>
            <w:szCs w:val="16"/>
          </w:rPr>
          <w:t>СЗ. 1933 № 28. Ст. 169</w:t>
        </w:r>
      </w:hyperlink>
      <w:r w:rsidRPr="0044524F">
        <w:rPr>
          <w:color w:val="000000" w:themeColor="text1"/>
          <w:sz w:val="16"/>
          <w:szCs w:val="16"/>
        </w:rPr>
        <w:t>) (15460).</w:t>
      </w:r>
    </w:p>
    <w:p w14:paraId="1F2191EB" w14:textId="77777777" w:rsidR="00DC337E" w:rsidRPr="0044524F" w:rsidRDefault="00DC337E" w:rsidP="009654CF">
      <w:pPr>
        <w:pStyle w:val="rtejustify"/>
        <w:spacing w:before="0" w:after="0"/>
        <w:rPr>
          <w:color w:val="000000" w:themeColor="text1"/>
          <w:sz w:val="16"/>
          <w:szCs w:val="16"/>
        </w:rPr>
      </w:pPr>
    </w:p>
    <w:p w14:paraId="65E7B1B2"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 Докладная записка заведующего Организационно-распределительным отделом ЦК ВКП(б) Н. И. Ежова в ЦК ВКП(б) и СНК СССР о неудовлетворительном состоянии мобилизационных планов по кадрам военной промышленности</w:t>
      </w:r>
    </w:p>
    <w:p w14:paraId="0498E4E4" w14:textId="77777777" w:rsidR="006967A7" w:rsidRPr="0044524F" w:rsidRDefault="006967A7" w:rsidP="009654CF">
      <w:pPr>
        <w:pStyle w:val="ae"/>
        <w:spacing w:before="0" w:after="0"/>
        <w:jc w:val="both"/>
        <w:rPr>
          <w:color w:val="000000" w:themeColor="text1"/>
          <w:sz w:val="16"/>
          <w:szCs w:val="16"/>
        </w:rPr>
      </w:pPr>
      <w:r w:rsidRPr="0044524F">
        <w:rPr>
          <w:rStyle w:val="af0"/>
          <w:i w:val="0"/>
          <w:color w:val="000000" w:themeColor="text1"/>
          <w:sz w:val="16"/>
          <w:szCs w:val="16"/>
        </w:rPr>
        <w:t>Совершенно секретно.</w:t>
      </w:r>
    </w:p>
    <w:p w14:paraId="7891AF87"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Проведенное Распредотделом ЦК ознакомление с мобилизационными планами по кадрам объединений и заводов военной промышленности выявило совершенно неудовлетворительное состояние этой работы. Планы не гарантируют четкого и своевременного развертывания военного производства в условиях мобилизационного времени. Состояние их таково:</w:t>
      </w:r>
    </w:p>
    <w:p w14:paraId="0807D0CC"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1. По существующим мобпланам исчисление потребности в инженерно-технических кадрах и квалифицированных рабочих во всех трестах (Орудийное объединение, Ружейно-пулеметный, Вохимтрест, Снарядный, Патрубвзрыв) ведется обезличенно. В одну графу «административно-технический персонал» включены инженеры, техники, практики, администраторы и т. д. То же самое сделано и в отношении рабочих. Благодаря этому совершенно невозможно установить, сколько на случай мобилизации для того или иного завода потребуется дополнительно в отдельности техников, рабочих, каких специальностей, профессий и т. п.</w:t>
      </w:r>
    </w:p>
    <w:p w14:paraId="2EE1D43D"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Следующая таблица иллюстрирует, как исчислены Вохимтрестом потребность и покрытие адмтехперсонала и производственных рабочих завода № 12:</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40"/>
        <w:gridCol w:w="1547"/>
        <w:gridCol w:w="1410"/>
        <w:gridCol w:w="894"/>
        <w:gridCol w:w="535"/>
        <w:gridCol w:w="554"/>
        <w:gridCol w:w="2189"/>
        <w:gridCol w:w="668"/>
        <w:gridCol w:w="650"/>
        <w:gridCol w:w="1135"/>
      </w:tblGrid>
      <w:tr w:rsidR="004E10C1" w:rsidRPr="0044524F" w14:paraId="3E77E51F" w14:textId="77777777" w:rsidTr="003417C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897EF7E"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p w14:paraId="67CB8B9D"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специальностей</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6B7F3E2"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Наличие на 1 августа 1932 г.</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13E384"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Потреб</w:t>
            </w:r>
            <w:r w:rsidRPr="0044524F">
              <w:rPr>
                <w:rFonts w:ascii="Times New Roman" w:hAnsi="Times New Roman"/>
                <w:color w:val="000000" w:themeColor="text1"/>
                <w:sz w:val="16"/>
                <w:szCs w:val="16"/>
              </w:rPr>
              <w:softHyphen/>
              <w:t>ность по моб</w:t>
            </w:r>
            <w:r w:rsidRPr="0044524F">
              <w:rPr>
                <w:rFonts w:ascii="Times New Roman" w:hAnsi="Times New Roman"/>
                <w:color w:val="000000" w:themeColor="text1"/>
                <w:sz w:val="16"/>
                <w:szCs w:val="16"/>
              </w:rPr>
              <w:softHyphen/>
              <w:t>плану</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480C248E"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Ухо</w:t>
            </w:r>
            <w:r w:rsidRPr="0044524F">
              <w:rPr>
                <w:rFonts w:ascii="Times New Roman" w:hAnsi="Times New Roman"/>
                <w:color w:val="000000" w:themeColor="text1"/>
                <w:sz w:val="16"/>
                <w:szCs w:val="16"/>
              </w:rPr>
              <w:softHyphen/>
              <w:t>дит в РККА</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14E3411E"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Передвижка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D45D418"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Контин</w:t>
            </w:r>
            <w:r w:rsidRPr="0044524F">
              <w:rPr>
                <w:rFonts w:ascii="Times New Roman" w:hAnsi="Times New Roman"/>
                <w:color w:val="000000" w:themeColor="text1"/>
                <w:sz w:val="16"/>
                <w:szCs w:val="16"/>
              </w:rPr>
              <w:softHyphen/>
              <w:t>гент, подл. покр. по сл. пере</w:t>
            </w:r>
            <w:r w:rsidRPr="0044524F">
              <w:rPr>
                <w:rFonts w:ascii="Times New Roman" w:hAnsi="Times New Roman"/>
                <w:color w:val="000000" w:themeColor="text1"/>
                <w:sz w:val="16"/>
                <w:szCs w:val="16"/>
              </w:rPr>
              <w:softHyphen/>
              <w:t>движке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E67F67"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Переподготовка</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7B24E6F"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Заявки в НКТруд¹*</w:t>
            </w:r>
          </w:p>
        </w:tc>
      </w:tr>
      <w:tr w:rsidR="004E10C1" w:rsidRPr="0044524F" w14:paraId="7E3FEF02" w14:textId="77777777" w:rsidTr="003417C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189DA637" w14:textId="77777777" w:rsidR="006967A7" w:rsidRPr="0044524F" w:rsidRDefault="006967A7" w:rsidP="009654C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2FE382F" w14:textId="77777777" w:rsidR="006967A7" w:rsidRPr="0044524F" w:rsidRDefault="006967A7" w:rsidP="009654C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DBE69B9" w14:textId="77777777" w:rsidR="006967A7" w:rsidRPr="0044524F" w:rsidRDefault="006967A7" w:rsidP="009654CF">
            <w:pPr>
              <w:spacing w:after="0" w:line="240" w:lineRule="auto"/>
              <w:jc w:val="both"/>
              <w:rPr>
                <w:rFonts w:ascii="Times New Roman" w:hAnsi="Times New Roman"/>
                <w:color w:val="000000" w:themeColor="text1"/>
                <w:sz w:val="16"/>
                <w:szCs w:val="16"/>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EAA16B" w14:textId="77777777" w:rsidR="006967A7" w:rsidRPr="0044524F" w:rsidRDefault="006967A7"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03F5D17"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w:t>
            </w:r>
          </w:p>
          <w:p w14:paraId="59E2FF50"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данной</w:t>
            </w:r>
          </w:p>
          <w:p w14:paraId="74699699"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группы</w:t>
            </w:r>
          </w:p>
        </w:tc>
        <w:tc>
          <w:tcPr>
            <w:tcW w:w="0" w:type="auto"/>
            <w:tcBorders>
              <w:top w:val="outset" w:sz="6" w:space="0" w:color="auto"/>
              <w:left w:val="outset" w:sz="6" w:space="0" w:color="auto"/>
              <w:bottom w:val="outset" w:sz="6" w:space="0" w:color="auto"/>
              <w:right w:val="outset" w:sz="6" w:space="0" w:color="auto"/>
            </w:tcBorders>
            <w:vAlign w:val="center"/>
            <w:hideMark/>
          </w:tcPr>
          <w:p w14:paraId="11C35310"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w:t>
            </w:r>
          </w:p>
          <w:p w14:paraId="0D563A72"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данную</w:t>
            </w:r>
          </w:p>
          <w:p w14:paraId="400CF2A4"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группу</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C56581" w14:textId="77777777" w:rsidR="006967A7" w:rsidRPr="0044524F" w:rsidRDefault="006967A7"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ED3DD3A"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мирное</w:t>
            </w:r>
          </w:p>
          <w:p w14:paraId="50DAF254"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A8F6EE2"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воен</w:t>
            </w:r>
            <w:r w:rsidRPr="0044524F">
              <w:rPr>
                <w:rFonts w:ascii="Times New Roman" w:hAnsi="Times New Roman"/>
                <w:color w:val="000000" w:themeColor="text1"/>
                <w:sz w:val="16"/>
                <w:szCs w:val="16"/>
              </w:rPr>
              <w:softHyphen/>
              <w:t>ное</w:t>
            </w:r>
          </w:p>
          <w:p w14:paraId="6B9DC34B"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E5A035E" w14:textId="77777777" w:rsidR="006967A7" w:rsidRPr="0044524F" w:rsidRDefault="006967A7" w:rsidP="009654CF">
            <w:pPr>
              <w:spacing w:after="0" w:line="240" w:lineRule="auto"/>
              <w:jc w:val="both"/>
              <w:rPr>
                <w:rFonts w:ascii="Times New Roman" w:hAnsi="Times New Roman"/>
                <w:color w:val="000000" w:themeColor="text1"/>
                <w:sz w:val="16"/>
                <w:szCs w:val="16"/>
              </w:rPr>
            </w:pPr>
          </w:p>
        </w:tc>
      </w:tr>
      <w:tr w:rsidR="004E10C1" w:rsidRPr="0044524F" w14:paraId="7725F66A"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C112F7"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Адмтехперсонала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175A9"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B8579"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806</w:t>
            </w:r>
          </w:p>
        </w:tc>
        <w:tc>
          <w:tcPr>
            <w:tcW w:w="0" w:type="auto"/>
            <w:tcBorders>
              <w:top w:val="outset" w:sz="6" w:space="0" w:color="auto"/>
              <w:left w:val="outset" w:sz="6" w:space="0" w:color="auto"/>
              <w:bottom w:val="outset" w:sz="6" w:space="0" w:color="auto"/>
              <w:right w:val="outset" w:sz="6" w:space="0" w:color="auto"/>
            </w:tcBorders>
            <w:vAlign w:val="center"/>
            <w:hideMark/>
          </w:tcPr>
          <w:p w14:paraId="1F0C4BD3"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C5A177"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9D01477"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E08F3"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397</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A2586"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E57F3"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0F00D"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r>
      <w:tr w:rsidR="004E10C1" w:rsidRPr="0044524F" w14:paraId="6715782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6B3C98"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Производственных рабочих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B003EE7"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79F9C9"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8406</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07400"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w:t>
            </w:r>
          </w:p>
        </w:tc>
        <w:tc>
          <w:tcPr>
            <w:tcW w:w="0" w:type="auto"/>
            <w:tcBorders>
              <w:top w:val="outset" w:sz="6" w:space="0" w:color="auto"/>
              <w:left w:val="outset" w:sz="6" w:space="0" w:color="auto"/>
              <w:bottom w:val="outset" w:sz="6" w:space="0" w:color="auto"/>
              <w:right w:val="outset" w:sz="6" w:space="0" w:color="auto"/>
            </w:tcBorders>
            <w:vAlign w:val="center"/>
            <w:hideMark/>
          </w:tcPr>
          <w:p w14:paraId="1A1F17FE"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E825A5"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8F187"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67F90"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68A801"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020F66" w14:textId="77777777" w:rsidR="006967A7" w:rsidRPr="0044524F" w:rsidRDefault="006967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6713</w:t>
            </w:r>
          </w:p>
        </w:tc>
      </w:tr>
    </w:tbl>
    <w:p w14:paraId="3DAF1735"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Этими общими цифрами исчерпывается разработка Вохимтрестом мобплана для завода № 12.</w:t>
      </w:r>
    </w:p>
    <w:p w14:paraId="011A1816"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Другой пример: по данным мобплана Орудобъединения заводу № 8 на случай войны потребуется 436 инженеров и 714 техников. Наличие на 1 мая 1932 г. исчисляется в мобплане в 211 инженеров и 545 техников. Между тем, по состоянию на 1 марта 1933 г. на этом заводе имеется только 151 инженер и 140 техников. Как выяснилось, на заводе такого количества инженеров и техников вообще никогда не было.</w:t>
      </w:r>
    </w:p>
    <w:p w14:paraId="611AB093"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2. Просмотренные мобпланы по заводам № 67 и 70 также неудовлетворительные. Важнейшие дефекты их таковы:</w:t>
      </w:r>
    </w:p>
    <w:p w14:paraId="57F4D42A"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а) Потребность в рабочей силе почему-то исчислена, исходя не из существующей производительности труда, а из пониженных норм выработки, что влечет за собой явно преувеличенные требования на рабсилу.</w:t>
      </w:r>
    </w:p>
    <w:p w14:paraId="667C2F9D"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б) Мобпланы совершенно не учитывают изменений, происходящих на предприятии в наличном составе инженерно-технического персонала и рабочей силы. В результате в мобпланах фигурируют цифры, совершенно не отражающие действительное положение на предприятии. Например, по мобплану завода № 67 к моменту мобилизационной готовности некомплект намечался в 920 чел. квалифицированных рабочих и 23 чел. инженеров (исходя из наличия на 1 мая 1932 г.). Соответствующие этим цифрам заявки были посланы в органы НКТ. На 1 апреля 1933 г. в связи с сокращением рабочих и ИТР некомплект составляет уже 2121 рабочих и 69 чел. инженеров. Получившийся разрыв планами покрытия совершенно не предусматривается.</w:t>
      </w:r>
    </w:p>
    <w:p w14:paraId="453B8A81"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в) Расчеты мобплана на покрытие некомплектов за счет передвижки рабочих и ИТР внутри завода из низших категорий в высшие составлены формально и не отражают действительного положения на заводе, т. е. обезличено, без персонального учета людей, имеющихся в наличии. Нужно отметить еще одно обстоятельство. Большинство военных заводов подготовляли недостающее по мобплану количество рабочих, затрачивая на это значительные суммы денег. Рабочие, как правило, за военной промышленностью не закреплялись, и куда они ушли, заводы не знают.</w:t>
      </w:r>
    </w:p>
    <w:p w14:paraId="183D42FE"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3) Важнейшим вопросом мобплана является разработка плана покрытия имеющегося некомплекта органами Наркомтруда. В этом вопросе наибольшая неясность и запутанность. Формально дело обстоит очень просто: завод в ответ на заявку в органы труда получает подтверждение, что в момент мобилизации ему будет переброшено такое-то количество рабочих и инженеров с таких-то заводов. Заводы-«поставщики» подтверждают, что действительно у них имеются рабочие и инженерно-технический персонал, необходимый военному заводу. Этим ограничивается разработка плана покрытия. В дальнейшем уже никто не интересуется и не проверяет, находятся ли на заводе-«поставщике» перечисленные в мобзаявке рабочие и специалисты, или нет. Нередки случаи, когда завод-«поставщик» сам получает мобзадание, но никаких исправлений в его прежних обязательствах перед военным заводом не производится.</w:t>
      </w:r>
    </w:p>
    <w:p w14:paraId="013FD2BC"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Нереальность этих планов и их формальное содержание признается всеми мобработниками заводов. Мобработу по кадрам военной промышленности необходимо коренным образом перестроить. В основу этой перестройки следовало бы положить тот же принцип, какой существует на случай мобилизации в армию. На практике это должно быть осуществлено, примерно, в следующем виде: инженерно-технический персонал, мастера, бригадиры, высококвалифицированные рабочие и рабочие редких специальностей, примерно, до 6</w:t>
      </w:r>
      <w:r w:rsidRPr="0044524F">
        <w:rPr>
          <w:color w:val="000000" w:themeColor="text1"/>
          <w:sz w:val="16"/>
          <w:szCs w:val="16"/>
        </w:rPr>
        <w:noBreakHyphen/>
        <w:t>го разряда включительно, нужные для заводов военной промышленности, должны теперь же получить военно-производственный мобилизационный листок. Каждый из таких военно-производственно-обязанных прикрепляется к определенному военному заводу, что должно быть указано в его моблистке, а в момент мобилизации местным военкоматом направляется на соответствующий завод. Что касается остальных категорий рабочих и служащих, нужных военной промышленности, то для них можно сохранить существующий порядок прикрепления через органы Наркомтруда, разумеется, коренным образом улучшив организацию этого дела.</w:t>
      </w:r>
    </w:p>
    <w:p w14:paraId="08841C37"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По-моему следовало бы вопрос обсудить либо в закрытом заседании Оргбюро ЦК, либо в Комиссии обороны. Конкретную разработку вопросов следует поручить персонально т. Цихону (Наркомтруд), т. Павлуновскому (НКТяжпром) и т. Тухачевскому (Наркомвоенмор).</w:t>
      </w:r>
    </w:p>
    <w:p w14:paraId="4F3B1A03" w14:textId="77777777" w:rsidR="006967A7" w:rsidRPr="0044524F" w:rsidRDefault="006967A7" w:rsidP="009654CF">
      <w:pPr>
        <w:pStyle w:val="ae"/>
        <w:spacing w:before="0" w:after="0"/>
        <w:jc w:val="both"/>
        <w:rPr>
          <w:color w:val="000000" w:themeColor="text1"/>
          <w:sz w:val="16"/>
          <w:szCs w:val="16"/>
        </w:rPr>
      </w:pPr>
      <w:r w:rsidRPr="0044524F">
        <w:rPr>
          <w:rStyle w:val="af0"/>
          <w:i w:val="0"/>
          <w:color w:val="000000" w:themeColor="text1"/>
          <w:sz w:val="16"/>
          <w:szCs w:val="16"/>
        </w:rPr>
        <w:lastRenderedPageBreak/>
        <w:t>Зав[едующий] Распредотделом ЦК ВКП (б) Ежов</w:t>
      </w:r>
    </w:p>
    <w:p w14:paraId="2961B4A1" w14:textId="77777777" w:rsidR="006967A7" w:rsidRPr="0044524F" w:rsidRDefault="006967A7"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Примечание</w:t>
      </w:r>
      <w:r w:rsidRPr="0044524F">
        <w:rPr>
          <w:color w:val="000000" w:themeColor="text1"/>
          <w:sz w:val="16"/>
          <w:szCs w:val="16"/>
        </w:rPr>
        <w:t>:</w:t>
      </w:r>
    </w:p>
    <w:p w14:paraId="245B43E1" w14:textId="77777777" w:rsidR="006967A7" w:rsidRPr="0044524F" w:rsidRDefault="006967A7"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Народный комиссариат труда (Наркомтруд, НКТ) СССР</w:t>
      </w:r>
      <w:r w:rsidRPr="0044524F">
        <w:rPr>
          <w:color w:val="000000" w:themeColor="text1"/>
          <w:sz w:val="16"/>
          <w:szCs w:val="16"/>
        </w:rPr>
        <w:t xml:space="preserve"> был образован постановлением СНК СССР от 6 июля 1923 г. Первоначально в его задачи входили разработка и проведение мероприятий по организации труда, регулированию его условий и удовлетворению социально-бытовых нужд рабочих. Впоследствии к задачам наркомата были отнесены регулирование рынка труда и борьба с безработицей, регулирование и нормирование заработной платы, охрана труда, социальное страхование, разрешение трудовых споров, регистрация коллективных договоров, содействие строительству жилья для рабочих, борьба с безработицей и руководство социальным страхованием. Структура Наркомтруда включала управления, отделы и секции, количество которых менялось в связи с изменением задач, стоящих перед ним. При Наркомтруде имелись коллегия и ряд комитетов, межведомственных советов и комиссий, бюро, в том числе научно-исследовательские учреждения, музей, библиотеки. Постановлением ЦИК и СНК СССР, также ВЦСПС от 23 июня 1933 г. Наркомтруд СССР был ликвидирован и все его функции были переданы ВЦСПС. Процесс ликвидации затянулся до осени 1933 г., когда было принято совместное постановление СНК и ВЦСПС от 10 сентября 1933 г., по которому профсоюзам было передано все дело охраны труда, социального страхования и трудового законодательства.</w:t>
      </w:r>
    </w:p>
    <w:p w14:paraId="5C47DBD7" w14:textId="77777777" w:rsidR="006967A7" w:rsidRPr="0044524F" w:rsidRDefault="006967A7" w:rsidP="009654CF">
      <w:pPr>
        <w:pStyle w:val="ae"/>
        <w:spacing w:before="0" w:after="0"/>
        <w:jc w:val="both"/>
        <w:rPr>
          <w:color w:val="000000" w:themeColor="text1"/>
          <w:sz w:val="16"/>
          <w:szCs w:val="16"/>
        </w:rPr>
      </w:pPr>
      <w:r w:rsidRPr="0044524F">
        <w:rPr>
          <w:color w:val="000000" w:themeColor="text1"/>
          <w:sz w:val="16"/>
          <w:szCs w:val="16"/>
        </w:rPr>
        <w:t>АП РФ. Ф. 3. Оп. 46. Д. 335. Л. 79-82. Подлинник (15268).</w:t>
      </w:r>
    </w:p>
    <w:p w14:paraId="4BC99D6C" w14:textId="77777777" w:rsidR="00E31347" w:rsidRPr="0044524F" w:rsidRDefault="00E31347" w:rsidP="009654CF">
      <w:pPr>
        <w:spacing w:after="0" w:line="240" w:lineRule="auto"/>
        <w:jc w:val="both"/>
        <w:rPr>
          <w:rFonts w:ascii="Times New Roman" w:hAnsi="Times New Roman"/>
          <w:iCs/>
          <w:color w:val="000000" w:themeColor="text1"/>
          <w:sz w:val="16"/>
          <w:szCs w:val="16"/>
        </w:rPr>
      </w:pPr>
    </w:p>
    <w:p w14:paraId="10A91BAB"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2972405"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3B4DB6CC"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судебная тройка ГПУ СССР приговорила к казни четырех членов «украинского филиала вредительской организации в системе органов Наркомзема» (4962).</w:t>
      </w:r>
    </w:p>
    <w:p w14:paraId="2F6A87ED"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p>
    <w:p w14:paraId="24ED6471"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233189E"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3D444FDF"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в 1933 году потерпел аварию первый опытный итальянский штурмовик «Ар-1», имевший внутренне обозначение «Са.301» («ММ.242»), лётчик-испытатель Альберто Мараццани допустил грубую ошибку неправильно рассчитав посадочную дистанцию. Самолёт при посадке получил повреждения и был отправлен на ремонт (15112).</w:t>
      </w:r>
    </w:p>
    <w:p w14:paraId="00B8FC20" w14:textId="77777777" w:rsidR="00E31347" w:rsidRPr="0044524F" w:rsidRDefault="00E31347" w:rsidP="009654CF">
      <w:pPr>
        <w:spacing w:after="0" w:line="240" w:lineRule="auto"/>
        <w:jc w:val="both"/>
        <w:rPr>
          <w:rFonts w:ascii="Times New Roman" w:hAnsi="Times New Roman"/>
          <w:color w:val="000000" w:themeColor="text1"/>
          <w:sz w:val="16"/>
          <w:szCs w:val="16"/>
        </w:rPr>
      </w:pPr>
    </w:p>
    <w:p w14:paraId="717C1DEB" w14:textId="77777777" w:rsidR="002535BD" w:rsidRPr="0044524F" w:rsidRDefault="002535B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г. в Германии было создано рейхсминистер</w:t>
      </w:r>
      <w:r w:rsidRPr="0044524F">
        <w:rPr>
          <w:rFonts w:ascii="Times New Roman" w:hAnsi="Times New Roman"/>
          <w:color w:val="000000" w:themeColor="text1"/>
          <w:sz w:val="16"/>
          <w:szCs w:val="16"/>
        </w:rPr>
        <w:softHyphen/>
        <w:t>ство авиации (24191).</w:t>
      </w:r>
    </w:p>
    <w:p w14:paraId="4194ADEB" w14:textId="77777777" w:rsidR="002535BD" w:rsidRPr="0044524F" w:rsidRDefault="002535BD" w:rsidP="009654CF">
      <w:pPr>
        <w:spacing w:after="0" w:line="240" w:lineRule="auto"/>
        <w:jc w:val="both"/>
        <w:rPr>
          <w:rFonts w:ascii="Times New Roman" w:hAnsi="Times New Roman"/>
          <w:color w:val="000000" w:themeColor="text1"/>
          <w:sz w:val="16"/>
          <w:szCs w:val="16"/>
        </w:rPr>
      </w:pPr>
    </w:p>
    <w:p w14:paraId="53AD107F"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апреля 1933 в английской прессе впервые появилось сообщение о том, что рейхстаг подожгли нацисты (4962).</w:t>
      </w:r>
    </w:p>
    <w:p w14:paraId="315EACCF" w14:textId="77777777" w:rsidR="003446BF" w:rsidRPr="0044524F" w:rsidRDefault="003446BF" w:rsidP="009654CF">
      <w:pPr>
        <w:tabs>
          <w:tab w:val="left" w:pos="11199"/>
        </w:tabs>
        <w:spacing w:after="0" w:line="240" w:lineRule="auto"/>
        <w:jc w:val="both"/>
        <w:rPr>
          <w:rFonts w:ascii="Times New Roman" w:hAnsi="Times New Roman"/>
          <w:color w:val="000000" w:themeColor="text1"/>
          <w:sz w:val="16"/>
          <w:szCs w:val="16"/>
        </w:rPr>
      </w:pPr>
    </w:p>
    <w:p w14:paraId="181849E2" w14:textId="77777777" w:rsidR="003446B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6D71DEB" w14:textId="77777777" w:rsidR="003446BF" w:rsidRPr="0044524F" w:rsidRDefault="003446BF" w:rsidP="009654CF">
      <w:pPr>
        <w:spacing w:after="0" w:line="240" w:lineRule="auto"/>
        <w:jc w:val="both"/>
        <w:rPr>
          <w:rFonts w:ascii="Times New Roman" w:hAnsi="Times New Roman"/>
          <w:iCs/>
          <w:color w:val="000000" w:themeColor="text1"/>
          <w:sz w:val="16"/>
          <w:szCs w:val="16"/>
        </w:rPr>
      </w:pPr>
    </w:p>
    <w:p w14:paraId="35A3B0C4" w14:textId="77777777" w:rsidR="00F67B79" w:rsidRPr="0044524F" w:rsidRDefault="00F67B79"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28 апреля 1933 года на заседании подкомиссии РВС СССР, при обсуждении плана опытного самолетостроения на 1933 год, в Комиссию Обороны при СНК СССР внесено предложение о снятии самолета И-13 с плана опытного строительства, в связи с отсутствием доведенного мотора М-32 (19177).</w:t>
      </w:r>
    </w:p>
    <w:p w14:paraId="63C1145C" w14:textId="77777777" w:rsidR="00F67B79" w:rsidRPr="0044524F" w:rsidRDefault="00F67B79" w:rsidP="009654CF">
      <w:pPr>
        <w:pStyle w:val="ae"/>
        <w:shd w:val="clear" w:color="auto" w:fill="FFFFFF"/>
        <w:spacing w:before="0" w:after="0"/>
        <w:jc w:val="both"/>
        <w:textAlignment w:val="baseline"/>
        <w:rPr>
          <w:color w:val="000000" w:themeColor="text1"/>
          <w:sz w:val="16"/>
          <w:szCs w:val="16"/>
        </w:rPr>
      </w:pPr>
    </w:p>
    <w:p w14:paraId="0137005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на заседании моторно-самолетной секции РВС СССР совершенствование Р-5 было отнесено к числе первоочередных задач. Зам, наркома, нач. вооружений М.Н.Т. в мае 1933 отмечал "Следовало бы пересмотреть конструкцию Р-5 в сторону введения в него новейших аэродинамических достижений, осуществления убирающегося шасси..." (1805,9).</w:t>
      </w:r>
    </w:p>
    <w:p w14:paraId="3615BBB0"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7ACE28D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 Постановлением РВС СССР совершенствование самого массового самолета РККА отнесли к первоочередным работам. Еще в конце 1932 г. УВВС передало промышленности требования к эталону на следующий год. В них записали снижение массы сразу на 300 кг! Даже специалисты НИИ ВВС заявляли, что это требование невыполнимо. Более того, все остальные пункты приводили к возрастанию веса. Предусматривалось новое шасси с большим выносом колес вперед и тормозами. Предполагалась модернизация оборудования, электрификация бомбового вооружения.</w:t>
      </w:r>
    </w:p>
    <w:p w14:paraId="5202174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Снижать вес можно было либо применением новых материалов и изменением технологии, либо за счет снятия части оборудования и вооружения. УВВС оба варианта не устраивали: первый приводил к задержке массового выпуска, второй - к снижению боевой эффективности. Поэтому с ростом веса пришлось смириться. Самолет-эталон 1933 г. получил новое шасси и усиленную первую раму фюзеляжа, а в остальном планер не изменился.</w:t>
      </w:r>
    </w:p>
    <w:p w14:paraId="3544B23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Немало хлопот доставила модернизация оборудования. Многого просто не существовало. Вплоть до середины апреля эталон 1933 г. простоял без фотоаппарата, радиостанции и многих приборов. Даже новое шасси не могли опробовать - механизм управления тормозами мастерские ЦАГИ сдали только в мае.</w:t>
      </w:r>
    </w:p>
    <w:p w14:paraId="277618F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Длительная возня с подготовкой эталона привела к тому, что большую часть самолетов выпуска 1933 г. сделали по стандарту предыдущего года. Лишь с лета начали внедрять отдельные новшества. С 18-й серии под крылом смонтировали держатели для так называемых ракет Хольца с автоматическим сбросом догоревших ракет (если маломощные фары не помогали, их можно было использовать для освещения, например, посадочной площадки). Чуть позже изменили короба для дисков пулеметов ДА, ввели усовершенствованный кольцевой прицел, переделали привод синхронизатора. Тормоза появились только с конца осени. Из-за нехватки колес до марта следующего года с завода периодически отправляли Р-5 с новыми осями, но колесами старого образца.</w:t>
      </w:r>
    </w:p>
    <w:p w14:paraId="78A8708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воинских частях к первым самолетам с тормозными колесами отнеслись неодобрительно. Тормоза работали ненадежно. Вскоре начали ломаться оси. Оказалось, что на заводе их делали второпях, оставляли заусенцы, забывали снимать фаски. 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70F2D39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2EAC708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2865735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5707707B"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5372F34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 Постановлением заседания комиссии Реввоенсовета СССР, на котором председательствовал А.И. Егоров, совершенствование самого массового самолета РККА было отнесено к числу первоочередных работ. Требовалось поднять скорость и потолок, улучшить взлетно-посадочные характеристики, внедрить новое оборудование и вооружение. Конструкторы уже работали над этими проблемами (12034).</w:t>
      </w:r>
    </w:p>
    <w:p w14:paraId="7BEBC767"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774E2ECD"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апреля 1933 г. пос</w:t>
      </w:r>
      <w:r w:rsidRPr="00142305">
        <w:rPr>
          <w:rFonts w:ascii="Times New Roman" w:hAnsi="Times New Roman"/>
          <w:color w:val="0070C0"/>
          <w:sz w:val="16"/>
          <w:szCs w:val="16"/>
        </w:rPr>
        <w:softHyphen/>
        <w:t>тановлением комиссии Реввоенсовета СССР, на котором председательствовал А.И. Егоров, со</w:t>
      </w:r>
      <w:r w:rsidRPr="00142305">
        <w:rPr>
          <w:rFonts w:ascii="Times New Roman" w:hAnsi="Times New Roman"/>
          <w:color w:val="0070C0"/>
          <w:sz w:val="16"/>
          <w:szCs w:val="16"/>
        </w:rPr>
        <w:softHyphen/>
        <w:t>вершенствование самого массового самолета РККА Р-5 было отнесено к числу первоочередных работ. Требовалось поднять скорость и потолок, улучшить взлетно-посадочные характеристики, внедрить новое обо</w:t>
      </w:r>
      <w:r w:rsidRPr="00142305">
        <w:rPr>
          <w:rFonts w:ascii="Times New Roman" w:hAnsi="Times New Roman"/>
          <w:color w:val="0070C0"/>
          <w:sz w:val="16"/>
          <w:szCs w:val="16"/>
        </w:rPr>
        <w:softHyphen/>
        <w:t>рудование и вооружение. Конструкторы уже работали над этими проблемами (24990).</w:t>
      </w:r>
    </w:p>
    <w:p w14:paraId="0D66567A" w14:textId="77777777" w:rsidR="00046E51" w:rsidRPr="00142305" w:rsidRDefault="00046E51" w:rsidP="00046E51">
      <w:pPr>
        <w:spacing w:after="0" w:line="240" w:lineRule="auto"/>
        <w:jc w:val="both"/>
        <w:rPr>
          <w:rFonts w:ascii="Times New Roman" w:hAnsi="Times New Roman"/>
          <w:color w:val="0070C0"/>
          <w:sz w:val="16"/>
          <w:szCs w:val="16"/>
        </w:rPr>
      </w:pPr>
    </w:p>
    <w:p w14:paraId="1F4DA7B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года вр. начальника ГУГВФ Анвельт и начальник Сектора обороны Голубков писали письмо № 9сс в СНК Базилевичу</w:t>
      </w:r>
    </w:p>
    <w:p w14:paraId="0128D81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апреля 1933 года № 6сс ГУГВФ сообщено Вам о состоянии выполнения задания КО от 10 августа 1932 года по проектированию и постройке двух опытных самолетов: П3 М52 и У3бис М48 для НИИ ВВС, с приложением 4-х схем указанных машин и с просьбой отпуска 290000 рублей на реализацию этого задания.</w:t>
      </w:r>
    </w:p>
    <w:p w14:paraId="16F71A2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вопрос этот получил чрезвычайную затяжку и соответствующего разрешения в Штабе РККА, куда этот материал в конечном счете был направлен, до сих пор не получил, мною по ходатайству Ленинградского НИАИ, выполняющего задание ввиду неотпуска денег за свой счет, разрешено дальнейшие работы по обоим машинам прекратить.</w:t>
      </w:r>
    </w:p>
    <w:p w14:paraId="20B28F8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Сообщая изложенное, ходатайствую о снятии указанного задания КО с ГУГВФ и о последующем поставить меня в известность (3530,124).</w:t>
      </w:r>
    </w:p>
    <w:p w14:paraId="7D37FE38"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384C8992"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апреля 1933 г. в протоколе заседания само</w:t>
      </w:r>
      <w:r w:rsidRPr="00142305">
        <w:rPr>
          <w:rFonts w:ascii="Times New Roman" w:hAnsi="Times New Roman"/>
          <w:color w:val="0070C0"/>
          <w:sz w:val="16"/>
          <w:szCs w:val="16"/>
        </w:rPr>
        <w:softHyphen/>
        <w:t>летно-моторной комиссии РВС СССР было прямо записано: «... в число первоочередных задач от</w:t>
      </w:r>
      <w:r w:rsidRPr="00142305">
        <w:rPr>
          <w:rFonts w:ascii="Times New Roman" w:hAnsi="Times New Roman"/>
          <w:color w:val="0070C0"/>
          <w:sz w:val="16"/>
          <w:szCs w:val="16"/>
        </w:rPr>
        <w:softHyphen/>
        <w:t>нести... модификацию С-62 с М-34...» Но никак не могли добиться удовлетворитель</w:t>
      </w:r>
      <w:r w:rsidRPr="00142305">
        <w:rPr>
          <w:rFonts w:ascii="Times New Roman" w:hAnsi="Times New Roman"/>
          <w:color w:val="0070C0"/>
          <w:sz w:val="16"/>
          <w:szCs w:val="16"/>
        </w:rPr>
        <w:softHyphen/>
        <w:t>ного охлаждения мотора. Масло постоян</w:t>
      </w:r>
      <w:r w:rsidRPr="00142305">
        <w:rPr>
          <w:rFonts w:ascii="Times New Roman" w:hAnsi="Times New Roman"/>
          <w:color w:val="0070C0"/>
          <w:sz w:val="16"/>
          <w:szCs w:val="16"/>
        </w:rPr>
        <w:softHyphen/>
        <w:t xml:space="preserve">но перегревалось. Лишь в июле рискнули первый раз подняться </w:t>
      </w:r>
      <w:r w:rsidRPr="00142305">
        <w:rPr>
          <w:rFonts w:ascii="Times New Roman" w:hAnsi="Times New Roman"/>
          <w:color w:val="0070C0"/>
          <w:sz w:val="16"/>
          <w:szCs w:val="16"/>
        </w:rPr>
        <w:lastRenderedPageBreak/>
        <w:t>в воздух. С 1 августа предполагалось начать государственные испытания этого варианта, но 29 сентяб</w:t>
      </w:r>
      <w:r w:rsidRPr="00142305">
        <w:rPr>
          <w:rFonts w:ascii="Times New Roman" w:hAnsi="Times New Roman"/>
          <w:color w:val="0070C0"/>
          <w:sz w:val="16"/>
          <w:szCs w:val="16"/>
        </w:rPr>
        <w:softHyphen/>
        <w:t>ря только приступили к официальным за</w:t>
      </w:r>
      <w:r w:rsidRPr="00142305">
        <w:rPr>
          <w:rFonts w:ascii="Times New Roman" w:hAnsi="Times New Roman"/>
          <w:color w:val="0070C0"/>
          <w:sz w:val="16"/>
          <w:szCs w:val="16"/>
        </w:rPr>
        <w:softHyphen/>
        <w:t>водским испытаниям. Летные данные с двигателем М-34 получились хуже, чем с Ассо 750. 16 октября из Таганрога в Мос</w:t>
      </w:r>
      <w:r w:rsidRPr="00142305">
        <w:rPr>
          <w:rFonts w:ascii="Times New Roman" w:hAnsi="Times New Roman"/>
          <w:color w:val="0070C0"/>
          <w:sz w:val="16"/>
          <w:szCs w:val="16"/>
        </w:rPr>
        <w:softHyphen/>
        <w:t>кву доложили, что добились охлаждения «близкого к нормальному» (24948).</w:t>
      </w:r>
    </w:p>
    <w:p w14:paraId="6B4683C6" w14:textId="77777777" w:rsidR="00046E51" w:rsidRPr="00142305" w:rsidRDefault="00046E51" w:rsidP="00046E51">
      <w:pPr>
        <w:spacing w:after="0" w:line="240" w:lineRule="auto"/>
        <w:jc w:val="both"/>
        <w:rPr>
          <w:rFonts w:ascii="Times New Roman" w:hAnsi="Times New Roman"/>
          <w:color w:val="0070C0"/>
          <w:sz w:val="16"/>
          <w:szCs w:val="16"/>
        </w:rPr>
      </w:pPr>
    </w:p>
    <w:p w14:paraId="6820B54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Нач. ГУАП П.И.Б. писал Нач. 4 управления штаба РККА т. Берзину письмо N 282/328сс на вх. N 59180сс/III от 16 апреля 1933:</w:t>
      </w:r>
    </w:p>
    <w:p w14:paraId="49D80C1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"Предлагаемые Вами материалы по самолетам Мартин В-10 и Боинг В-9 желательно иметь опытным организациям ГУАП - ЦАГИ и ЦКБ завода 39.</w:t>
      </w:r>
    </w:p>
    <w:p w14:paraId="00547BE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направить имеющиеся у вас материалы в ГУАП на имя моего помошника Алмазова." (2305,25).</w:t>
      </w:r>
    </w:p>
    <w:p w14:paraId="44228444"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48E7FA1B" w14:textId="77777777" w:rsidR="00B01BFB" w:rsidRPr="0044524F" w:rsidRDefault="00B01BF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 ротор опытной машины А-4 после доработ</w:t>
      </w:r>
      <w:r w:rsidRPr="0044524F">
        <w:rPr>
          <w:rFonts w:ascii="Times New Roman" w:hAnsi="Times New Roman"/>
          <w:color w:val="000000" w:themeColor="text1"/>
          <w:sz w:val="16"/>
          <w:szCs w:val="16"/>
        </w:rPr>
        <w:softHyphen/>
        <w:t>ки вновь установили на серийный экзепляр № 4301. 11 мая Корзинщиков совершил успешный взлет по прямой, далее последовал 2-минутный полет и благополучная по</w:t>
      </w:r>
      <w:r w:rsidRPr="0044524F">
        <w:rPr>
          <w:rFonts w:ascii="Times New Roman" w:hAnsi="Times New Roman"/>
          <w:color w:val="000000" w:themeColor="text1"/>
          <w:sz w:val="16"/>
          <w:szCs w:val="16"/>
        </w:rPr>
        <w:softHyphen/>
        <w:t>садка. 13 мая были выполнены 2 круга над аэродромом на высоте 300 м в течение 10 минут. В период с 14 мая по 2 июня произвели 10 полетов, в том числе один полет на вы</w:t>
      </w:r>
      <w:r w:rsidRPr="0044524F">
        <w:rPr>
          <w:rFonts w:ascii="Times New Roman" w:hAnsi="Times New Roman"/>
          <w:color w:val="000000" w:themeColor="text1"/>
          <w:sz w:val="16"/>
          <w:szCs w:val="16"/>
        </w:rPr>
        <w:softHyphen/>
        <w:t>соту 3360 м. 12 июля ротор переставили на первый опыт</w:t>
      </w:r>
      <w:r w:rsidRPr="0044524F">
        <w:rPr>
          <w:rFonts w:ascii="Times New Roman" w:hAnsi="Times New Roman"/>
          <w:color w:val="000000" w:themeColor="text1"/>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0672CC8E" w14:textId="77777777" w:rsidR="00B01BFB" w:rsidRPr="0044524F" w:rsidRDefault="00B01BF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видим, испытательные полеты автожиров А-4 проис</w:t>
      </w:r>
      <w:r w:rsidRPr="0044524F">
        <w:rPr>
          <w:rFonts w:ascii="Times New Roman" w:hAnsi="Times New Roman"/>
          <w:color w:val="000000" w:themeColor="text1"/>
          <w:sz w:val="16"/>
          <w:szCs w:val="16"/>
        </w:rPr>
        <w:softHyphen/>
        <w:t>ходили с преодолением многочисленных трудностей. Ле</w:t>
      </w:r>
      <w:r w:rsidRPr="0044524F">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7D1E28E4" w14:textId="77777777" w:rsidR="00B01BFB" w:rsidRPr="0044524F" w:rsidRDefault="00B01BFB" w:rsidP="009654CF">
      <w:pPr>
        <w:spacing w:after="0" w:line="240" w:lineRule="auto"/>
        <w:jc w:val="both"/>
        <w:rPr>
          <w:rFonts w:ascii="Times New Roman" w:hAnsi="Times New Roman"/>
          <w:color w:val="000000" w:themeColor="text1"/>
          <w:sz w:val="16"/>
          <w:szCs w:val="16"/>
        </w:rPr>
      </w:pPr>
    </w:p>
    <w:p w14:paraId="7B3910B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года член коллегии НК-РКИ начальник ВМИ Куйбышев направил за № 515сс в СТО Молотову</w:t>
      </w:r>
    </w:p>
    <w:p w14:paraId="57447B2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По вопросу: об опытном строительстве авиадизелей</w:t>
      </w:r>
    </w:p>
    <w:p w14:paraId="793471A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СТО от 4 июля 1932 года был утвержден следующий план опытного строительства авиадизелей: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4E10C1" w:rsidRPr="0044524F" w14:paraId="2F926E33" w14:textId="77777777">
        <w:tc>
          <w:tcPr>
            <w:tcW w:w="2318" w:type="dxa"/>
          </w:tcPr>
          <w:p w14:paraId="6BFA387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2318" w:type="dxa"/>
          </w:tcPr>
          <w:p w14:paraId="79550AA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2318" w:type="dxa"/>
          </w:tcPr>
          <w:p w14:paraId="4E87091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2318" w:type="dxa"/>
          </w:tcPr>
          <w:p w14:paraId="2D741EB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2318" w:type="dxa"/>
          </w:tcPr>
          <w:p w14:paraId="5ACAC27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w:t>
            </w:r>
          </w:p>
        </w:tc>
      </w:tr>
      <w:tr w:rsidR="004E10C1" w:rsidRPr="0044524F" w14:paraId="0035222A" w14:textId="77777777">
        <w:tc>
          <w:tcPr>
            <w:tcW w:w="2318" w:type="dxa"/>
          </w:tcPr>
          <w:p w14:paraId="1F9A6BC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Н-1</w:t>
            </w:r>
          </w:p>
        </w:tc>
        <w:tc>
          <w:tcPr>
            <w:tcW w:w="2318" w:type="dxa"/>
          </w:tcPr>
          <w:p w14:paraId="02247AB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2318" w:type="dxa"/>
          </w:tcPr>
          <w:p w14:paraId="4C83BF4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c>
          <w:tcPr>
            <w:tcW w:w="2318" w:type="dxa"/>
          </w:tcPr>
          <w:p w14:paraId="754CEA1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318" w:type="dxa"/>
          </w:tcPr>
          <w:p w14:paraId="22BE790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w:t>
            </w:r>
          </w:p>
        </w:tc>
      </w:tr>
      <w:tr w:rsidR="004E10C1" w:rsidRPr="0044524F" w14:paraId="60BBDA24" w14:textId="77777777">
        <w:tc>
          <w:tcPr>
            <w:tcW w:w="2318" w:type="dxa"/>
          </w:tcPr>
          <w:p w14:paraId="116C4FF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Н-2</w:t>
            </w:r>
          </w:p>
        </w:tc>
        <w:tc>
          <w:tcPr>
            <w:tcW w:w="2318" w:type="dxa"/>
          </w:tcPr>
          <w:p w14:paraId="0344A51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2318" w:type="dxa"/>
          </w:tcPr>
          <w:p w14:paraId="7B7EADA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2318" w:type="dxa"/>
          </w:tcPr>
          <w:p w14:paraId="45D85EC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318" w:type="dxa"/>
          </w:tcPr>
          <w:p w14:paraId="18B7DD9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w:t>
            </w:r>
          </w:p>
        </w:tc>
      </w:tr>
      <w:tr w:rsidR="004E10C1" w:rsidRPr="0044524F" w14:paraId="535B8D13" w14:textId="77777777">
        <w:tc>
          <w:tcPr>
            <w:tcW w:w="2318" w:type="dxa"/>
          </w:tcPr>
          <w:p w14:paraId="21AC887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Н-3</w:t>
            </w:r>
          </w:p>
        </w:tc>
        <w:tc>
          <w:tcPr>
            <w:tcW w:w="2318" w:type="dxa"/>
          </w:tcPr>
          <w:p w14:paraId="72FB506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2318" w:type="dxa"/>
          </w:tcPr>
          <w:p w14:paraId="2E49960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c>
          <w:tcPr>
            <w:tcW w:w="2318" w:type="dxa"/>
          </w:tcPr>
          <w:p w14:paraId="580E67E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318" w:type="dxa"/>
          </w:tcPr>
          <w:p w14:paraId="3BB6154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w:t>
            </w:r>
          </w:p>
        </w:tc>
      </w:tr>
      <w:tr w:rsidR="004E10C1" w:rsidRPr="0044524F" w14:paraId="0B9319AF" w14:textId="77777777">
        <w:tc>
          <w:tcPr>
            <w:tcW w:w="2318" w:type="dxa"/>
          </w:tcPr>
          <w:p w14:paraId="7A3FFFE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Н-4</w:t>
            </w:r>
          </w:p>
        </w:tc>
        <w:tc>
          <w:tcPr>
            <w:tcW w:w="2318" w:type="dxa"/>
          </w:tcPr>
          <w:p w14:paraId="0448E6E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c>
          <w:tcPr>
            <w:tcW w:w="2318" w:type="dxa"/>
          </w:tcPr>
          <w:p w14:paraId="7BCF2FB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c>
          <w:tcPr>
            <w:tcW w:w="2318" w:type="dxa"/>
          </w:tcPr>
          <w:p w14:paraId="56666CB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2318" w:type="dxa"/>
          </w:tcPr>
          <w:p w14:paraId="3265EF1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w:t>
            </w:r>
          </w:p>
        </w:tc>
      </w:tr>
      <w:tr w:rsidR="004E10C1" w:rsidRPr="0044524F" w14:paraId="5763F87A" w14:textId="77777777">
        <w:tc>
          <w:tcPr>
            <w:tcW w:w="2318" w:type="dxa"/>
          </w:tcPr>
          <w:p w14:paraId="254D028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Н-5</w:t>
            </w:r>
          </w:p>
        </w:tc>
        <w:tc>
          <w:tcPr>
            <w:tcW w:w="2318" w:type="dxa"/>
          </w:tcPr>
          <w:p w14:paraId="1665BD9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2318" w:type="dxa"/>
          </w:tcPr>
          <w:p w14:paraId="58283D6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2318" w:type="dxa"/>
          </w:tcPr>
          <w:p w14:paraId="1AC94F1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2318" w:type="dxa"/>
          </w:tcPr>
          <w:p w14:paraId="37EB428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1932</w:t>
            </w:r>
          </w:p>
        </w:tc>
      </w:tr>
      <w:tr w:rsidR="004E10C1" w:rsidRPr="0044524F" w14:paraId="12DDAE36" w14:textId="77777777">
        <w:tc>
          <w:tcPr>
            <w:tcW w:w="2318" w:type="dxa"/>
          </w:tcPr>
          <w:p w14:paraId="31404C7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Н-6</w:t>
            </w:r>
          </w:p>
        </w:tc>
        <w:tc>
          <w:tcPr>
            <w:tcW w:w="2318" w:type="dxa"/>
          </w:tcPr>
          <w:p w14:paraId="0AC1690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2318" w:type="dxa"/>
          </w:tcPr>
          <w:p w14:paraId="38E6696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w:t>
            </w:r>
          </w:p>
        </w:tc>
        <w:tc>
          <w:tcPr>
            <w:tcW w:w="2318" w:type="dxa"/>
          </w:tcPr>
          <w:p w14:paraId="7A65D7D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2318" w:type="dxa"/>
          </w:tcPr>
          <w:p w14:paraId="30178F3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1932</w:t>
            </w:r>
          </w:p>
        </w:tc>
      </w:tr>
    </w:tbl>
    <w:p w14:paraId="5D710BC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порядке проверки настоящего постановления Военно-морская инспекция НК-РКИ провела специальное обследование опытного дизелестроения, в результате которого установлено, что несмотря на значительные затраты на проектирование и экспериментальные работы, постройка опытных авиадизелей находится в неудовлетворительном состоянии.</w:t>
      </w:r>
    </w:p>
    <w:p w14:paraId="54DED4E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 один из перечисленных в постановлении СТО двигателей не только не предъявлен в указанные сроки на гос. испытания, но большинство из них в основном еще не запущены даже в производство.</w:t>
      </w:r>
    </w:p>
    <w:p w14:paraId="039A471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отдельным объектам работы находятся в следующем положении:</w:t>
      </w:r>
    </w:p>
    <w:p w14:paraId="50A5CE10" w14:textId="77777777" w:rsidR="003446BF" w:rsidRPr="0044524F" w:rsidRDefault="003446BF" w:rsidP="009654CF">
      <w:pPr>
        <w:pStyle w:val="a3"/>
        <w:widowControl/>
        <w:rPr>
          <w:color w:val="000000" w:themeColor="text1"/>
          <w:lang w:val="ru-RU"/>
        </w:rPr>
      </w:pPr>
      <w:r w:rsidRPr="0044524F">
        <w:rPr>
          <w:color w:val="000000" w:themeColor="text1"/>
          <w:lang w:val="ru-RU"/>
        </w:rPr>
        <w:t>Двигатель Н-1.</w:t>
      </w:r>
    </w:p>
    <w:p w14:paraId="03DF291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Спроектирован в Центральном институте авиамоторостроения (ЦИАМе) под руководством инженера Чаромского. Изготовляется Н-1 на опытном заводе ЦИАМа. Рабочие чертежи были изготовлены и сданы в производство в ноябре 1932 года. Заказы на поковки размещены на заводах «Электросталь», Ижевском и Крематорском со сроками поставки начиная с 1 февраля 1933 года. Как сроки поступления поковок, так и сроки механической обработки деталей на заводе ЦИАМа сорваны. Особенно неудовлетворительно обстоит дело с цветными деталями – поставщиками которых являются заводы №№ 26 и 45.</w:t>
      </w:r>
    </w:p>
    <w:p w14:paraId="2336F7D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Н-2.</w:t>
      </w:r>
    </w:p>
    <w:p w14:paraId="0ECEF9A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Спроектирован Ленинградским дизельным институтом под руководством проф. Мартенса. Рабочие чертежи были готовы в ноябре 1932 года. В настоящее время двигатель находится в производстве (механическая обработка и цветное литье) на заводах №№ 24, 26, ЦИАМа и «Большевик». Поковки коленчатого вала размещены на заводе им. Молотова со сроком поставки 1 апреля 1933 года. Сборку и испытание предполагается проводить в Ленинграде в Дизельном институте, где почти полностью отсутствуют необходимые к тому условия.</w:t>
      </w:r>
    </w:p>
    <w:p w14:paraId="354D446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 показал, что необходимо строить не менее трех экземпляров двигателя со значительным количеством запасных частей.</w:t>
      </w:r>
    </w:p>
    <w:p w14:paraId="7045119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тем, дизель проф. Мартенса строится в одном экземпляре, т.е. повторяется ошибка, которая имела место с бензиновыми двигателями, когда незначительные поломки выводили двигатель из строя и прекращали испытания на длительный срок.</w:t>
      </w:r>
    </w:p>
    <w:p w14:paraId="24C1556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Н-3.</w:t>
      </w:r>
    </w:p>
    <w:p w14:paraId="27F53DA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Спроектирован Украинским институтом авиадизелей Аэрофлота под руководством проф. Майера. В проекте не предусмотрена высотность, как это указано в постановлении СТО и, кроме того, не выдержан вес мотора – вместо 1,2 кг/л.с. – 1,4 кг/л.с. Рабочие чертежи изготовлены к марту 1933 года. Заказы на поковки, крупное литье и мехобработку полностью еще не размещены. Размещенная же часть заказов (кол/вала и крупные стальные детали) не гарантированы сроками.</w:t>
      </w:r>
    </w:p>
    <w:p w14:paraId="064A501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Н-4.</w:t>
      </w:r>
    </w:p>
    <w:p w14:paraId="6BEE31F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Спроектирован Харьковским авиаинститутом ГУАПа под руководством проф. Цветкова. Рабочие чертежи были готовы к 1 марта 1933 года. Заказы размещены на 15-ти различных заводах. Поковки выполнены на 70%, модели на 70%. Приступлено к механической обработке мелких деталей. Качество работ внушает большие опасения, так как заказы размещены на заводах, которые вряд-ли сумеют обеспечить необходимую для авиадвигателя точность ………………………</w:t>
      </w:r>
    </w:p>
    <w:p w14:paraId="2C003E8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Н-5.</w:t>
      </w:r>
    </w:p>
    <w:p w14:paraId="206C957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Спроектирован Особым КБ ОГПУ под руководством проф. Бриллинга и Стечкина. Проектом не предусмотрена высотность двигателя, как указано в постановлении СТО. Рабочие чертежи закончены в апреле 1932 года; разместить же заказы удалось, после длительной волокиты, лишь в конце года, т. е. 9 месяцев спустя. Плана производства деталей нет и до настоящего времени. Опытный завод ЦИАМа выпустил пока еще 13 деталей из 1800; на заводе № 24, запущено в производство всего 15 деталей, из 290. Сроки поставки поковок (Ижевский завод, им. Молотова, Электросталь) не выдерживаются.</w:t>
      </w:r>
    </w:p>
    <w:p w14:paraId="00ADF15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Н-6.</w:t>
      </w:r>
    </w:p>
    <w:p w14:paraId="2C0F34B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Разработанный проект мотора ОКБ-ОГПУ под руководством инж. Бессонова, не отвечает заданным условиям (450 л. с. вместо 500 л. с. – 425 кг вместо 350 кг) в связи с чем к разработке рабочих чертежей еще не приступлено и вопрос о целесообразности его постройки не разрешен.</w:t>
      </w:r>
    </w:p>
    <w:p w14:paraId="5E65781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Основными причинами срыва плана опытного строительства авиадизелей, утвержденного Правительством, являются:</w:t>
      </w:r>
    </w:p>
    <w:p w14:paraId="75BBFCA0" w14:textId="77777777" w:rsidR="003446BF" w:rsidRPr="0044524F" w:rsidRDefault="003446BF" w:rsidP="009654CF">
      <w:pPr>
        <w:numPr>
          <w:ilvl w:val="0"/>
          <w:numId w:val="19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должного наблюдения за выполнением заданий Правительства со стороны НКТП и НКВМора.</w:t>
      </w:r>
    </w:p>
    <w:p w14:paraId="47D7838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 Наркомтяжпром в лице ГВМУ и Сектора контроля исполнения, ни Наркомвоенмор в лице УВВС не вели повседневного контроля проектирования и производства авиадизелей. Ряд категорических распоряжений и приказов Орджоникидзе о форсировании производства двигателей Н-2, Н-5 и Н-1 заводами не выполнялись и виновные не привлекались к ответственности.</w:t>
      </w:r>
    </w:p>
    <w:p w14:paraId="31DEBB2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военное мобуправление Наркомтяжпрома не имееет даже более или менее точных сведений о ходе выполнения заказов на поковки для авиадизелей и состоянии производства в целом. Научно-испытательный институт УВВС – одной из основных задач которого является наблюдение за опытным строительством, только в конце 1932 года выделил специальных лиц для контроля за ходом производства авиадизелей.</w:t>
      </w:r>
    </w:p>
    <w:p w14:paraId="48BD7A9D" w14:textId="77777777" w:rsidR="003446BF" w:rsidRPr="0044524F" w:rsidRDefault="003446BF" w:rsidP="009654CF">
      <w:pPr>
        <w:numPr>
          <w:ilvl w:val="0"/>
          <w:numId w:val="19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Неудовлетворительное руководство и наблюдение за ходом проектирования и производства со стороны учреждений и ведомств, в ведении которых находятся проектирующие организации</w:t>
      </w:r>
    </w:p>
    <w:p w14:paraId="2815B78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управление авиапромышленности уделяло внимание лишь производству двигателя Н-1 ЦИАМа, оставив совершенно без руководства работы Харьковского авиаинститута по Н-4, на том лишь основании, что финансирование этой работы производило УВВС НКВМора. ГУАП не только не помогал, но подчас просто тормозил размещение заказов на своих заводах по производству деталей для двигателя Н-2 проф. Мартенса и Н-5 ОКБ ОГПУ.</w:t>
      </w:r>
    </w:p>
    <w:p w14:paraId="642E450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управление Аэрофлота также недостаточно руководило и обеспечивало работы Харьковского дизельного института двигатель Н-3.</w:t>
      </w:r>
    </w:p>
    <w:p w14:paraId="5E1B03F8" w14:textId="77777777" w:rsidR="003446BF" w:rsidRPr="0044524F" w:rsidRDefault="003446BF" w:rsidP="009654CF">
      <w:pPr>
        <w:numPr>
          <w:ilvl w:val="0"/>
          <w:numId w:val="19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Безответственное отношение к заданиям Правительства со стороны проектирующих организаций.</w:t>
      </w:r>
    </w:p>
    <w:p w14:paraId="4D74268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Сроки выхода на гос. испытания, утвержденные постановлением СТО 4 июля 1932 года не только согласованы, но в основном предложены самими проектирующими организациями. Между тем, зная о срыве никто официально не ставил вопрос об их изменении. Точно также, отходя в проектах от техусловий, утвержденных указанным постановлением СТО (не выдержаны условия высотности, веса, мощности), проектные организации не чувствовали никакой ответственности в данном вопросе и смотрели на это как на нормальное положение дела.</w:t>
      </w:r>
    </w:p>
    <w:p w14:paraId="7BF7A072" w14:textId="77777777" w:rsidR="003446BF" w:rsidRPr="0044524F" w:rsidRDefault="003446BF" w:rsidP="009654CF">
      <w:pPr>
        <w:numPr>
          <w:ilvl w:val="0"/>
          <w:numId w:val="19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производственной и испытательной базы у всех проектных организаций (кроме ЦИАМа).</w:t>
      </w:r>
    </w:p>
    <w:p w14:paraId="65D34294" w14:textId="77777777" w:rsidR="003446BF" w:rsidRPr="0044524F" w:rsidRDefault="003446BF" w:rsidP="009654CF">
      <w:pPr>
        <w:pStyle w:val="a3"/>
        <w:widowControl/>
        <w:rPr>
          <w:color w:val="000000" w:themeColor="text1"/>
          <w:lang w:val="ru-RU"/>
        </w:rPr>
      </w:pPr>
      <w:r w:rsidRPr="0044524F">
        <w:rPr>
          <w:color w:val="000000" w:themeColor="text1"/>
          <w:lang w:val="ru-RU"/>
        </w:rPr>
        <w:t>Производство авиадвигателей сосредоточено более чем на ста различных предприятиях, причем в числе их имеются предприятия кустарные – с устаревшими оборудованием, не могущим обеспечить необходимой для деталей авиадвигателей точностью. Опыт показывает, что даже в случае производства мотора на одном заводе в процессе сборки и испытаний, требуются значительные переделки и доводки. При отсутствии же собственной производственной и испытательной базы, неизбежно удлинится срок сдачи моторов на гос. испытания.</w:t>
      </w:r>
    </w:p>
    <w:p w14:paraId="74AE09B2" w14:textId="77777777" w:rsidR="003446BF" w:rsidRPr="0044524F" w:rsidRDefault="003446BF" w:rsidP="009654CF">
      <w:pPr>
        <w:numPr>
          <w:ilvl w:val="0"/>
          <w:numId w:val="19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Невыполнение в срок заказов на поковки для авиадизелей.</w:t>
      </w:r>
    </w:p>
    <w:p w14:paraId="53B6DB0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Заводы-поставщики (Мотовилихинский, Ижевский, Электросталь и др.), несмотря на категорическое распоряжение НКТПрома, упорно не принимали заказов, а приняв всячески тормозили их выполнение. До сего времени нет поковок для двигателя Н-2 проф. Мартенса. Затянуто, против сроков, изготовление поковок для Н-5 ОКБ-ОГПУ, а поступившие поковки для двигателей Н-3 и Н-4 оказались некондиционными.</w:t>
      </w:r>
    </w:p>
    <w:p w14:paraId="28FCEAEB" w14:textId="77777777" w:rsidR="003446BF" w:rsidRPr="0044524F" w:rsidRDefault="003446BF" w:rsidP="009654CF">
      <w:pPr>
        <w:numPr>
          <w:ilvl w:val="0"/>
          <w:numId w:val="19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научно-исследовательской и экспериментальной базы у большинства проектных организаций для опытной проверки основных принципов новых конструкций.</w:t>
      </w:r>
    </w:p>
    <w:p w14:paraId="09CCF145" w14:textId="77777777" w:rsidR="003446BF" w:rsidRPr="0044524F" w:rsidRDefault="003446BF" w:rsidP="009654CF">
      <w:pPr>
        <w:pStyle w:val="a3"/>
        <w:widowControl/>
        <w:rPr>
          <w:color w:val="000000" w:themeColor="text1"/>
          <w:lang w:val="ru-RU"/>
        </w:rPr>
      </w:pPr>
      <w:r w:rsidRPr="0044524F">
        <w:rPr>
          <w:color w:val="000000" w:themeColor="text1"/>
          <w:lang w:val="ru-RU"/>
        </w:rPr>
        <w:t>Большинство проектирующих организаций не имеет ни научно-исследовательской базы, ни одноцилиндровых установок, на которых как правило, должны были проводиться опытные проверки основных элементов новых конструкций, прежде чем развертывать производство многоцилиндровой машины.</w:t>
      </w:r>
    </w:p>
    <w:p w14:paraId="1650AAE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данном случае повторяется то же положение, которое имело место с бензиновыми карбюраторами двигателя. В 1927-30 г.г. мы имели до 60 различных опытных моторов (Сторостина, Микулина, Бессонова, Киреева и др.) и ни один из них, как известно, не пошел. Между тем, на них были затрачены миллионные суммы. Объясняется это не только наличием организованного вредительства, но и отсутствием экспериментальной базы.</w:t>
      </w:r>
    </w:p>
    <w:p w14:paraId="2FB81FCE" w14:textId="77777777" w:rsidR="003446BF" w:rsidRPr="0044524F" w:rsidRDefault="003446BF" w:rsidP="009654CF">
      <w:pPr>
        <w:numPr>
          <w:ilvl w:val="0"/>
          <w:numId w:val="19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Неудовлетворительное финансирование опытного строительства дизелей.</w:t>
      </w:r>
    </w:p>
    <w:p w14:paraId="45A8DFC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Здесь имеется с одной стороны недостаточный контроль за расходованием средств, с другой стороны отсутствовала плановость и система. Отмечен факт, когда из-за ведомственной недоговоренности (ГУАП, ГУГВФ, НКВМ) организациям прекращался отпуск средств и работы из-за этого тормозились (пример Н-4 ХАН).</w:t>
      </w:r>
    </w:p>
    <w:p w14:paraId="7A9E9DA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следует констатировать, что:</w:t>
      </w:r>
    </w:p>
    <w:p w14:paraId="32120161" w14:textId="77777777" w:rsidR="003446BF" w:rsidRPr="0044524F" w:rsidRDefault="003446BF" w:rsidP="009654CF">
      <w:pPr>
        <w:numPr>
          <w:ilvl w:val="0"/>
          <w:numId w:val="19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Сроки предъявления на гос. испытания авиадизелей, утвержденные СТО не выполнены.</w:t>
      </w:r>
    </w:p>
    <w:p w14:paraId="77CBC29F" w14:textId="77777777" w:rsidR="003446BF" w:rsidRPr="0044524F" w:rsidRDefault="003446BF" w:rsidP="009654CF">
      <w:pPr>
        <w:numPr>
          <w:ilvl w:val="0"/>
          <w:numId w:val="19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Обеспеченность поковками и состояние производства находится в неудовлетворительном состоянии, не гарантирующем окончание работ в ближайшее время ни по одному двигателю.</w:t>
      </w:r>
    </w:p>
    <w:p w14:paraId="5EF64C8A" w14:textId="77777777" w:rsidR="003446BF" w:rsidRPr="0044524F" w:rsidRDefault="003446BF" w:rsidP="009654CF">
      <w:pPr>
        <w:numPr>
          <w:ilvl w:val="0"/>
          <w:numId w:val="20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Руководство, контроль и финансирование дизелестроением не обеспечено со стороны органов, на которых лежит эта обязанность (ГУАП, ГУГВФ, УВВС).</w:t>
      </w:r>
    </w:p>
    <w:p w14:paraId="29E330DC" w14:textId="77777777" w:rsidR="003446BF" w:rsidRPr="0044524F" w:rsidRDefault="003446BF" w:rsidP="009654CF">
      <w:pPr>
        <w:numPr>
          <w:ilvl w:val="0"/>
          <w:numId w:val="20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Большинство проектных организаций не имеет экспериментальной, производственной и испытательной базы.</w:t>
      </w:r>
    </w:p>
    <w:p w14:paraId="0BD642E3" w14:textId="77777777" w:rsidR="003446BF" w:rsidRPr="0044524F" w:rsidRDefault="003446BF" w:rsidP="009654CF">
      <w:pPr>
        <w:numPr>
          <w:ilvl w:val="0"/>
          <w:numId w:val="20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Проектирующие организации самовольно допускали изменения техусловий на дизеля.</w:t>
      </w:r>
    </w:p>
    <w:p w14:paraId="35D0C59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форсирования работ по опытному дизелестроению, необходим ряд мероприятий, которые и изложены в прилагаемом проекте постановления СТО (4223, 17-22).</w:t>
      </w:r>
    </w:p>
    <w:p w14:paraId="25385A5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Постановления СТО (к № 515).</w:t>
      </w:r>
    </w:p>
    <w:p w14:paraId="7DEE8F7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вопросу: Об опытном авиадизелестроении</w:t>
      </w:r>
    </w:p>
    <w:p w14:paraId="4402126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1E89F648" w14:textId="77777777" w:rsidR="003446BF" w:rsidRPr="0044524F" w:rsidRDefault="003446BF" w:rsidP="009654CF">
      <w:pPr>
        <w:numPr>
          <w:ilvl w:val="0"/>
          <w:numId w:val="20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Признать состояние опытного строительства авиадизелей неудовлетворительным.</w:t>
      </w:r>
    </w:p>
    <w:p w14:paraId="2DB9E659" w14:textId="77777777" w:rsidR="003446BF" w:rsidRPr="0044524F" w:rsidRDefault="003446BF" w:rsidP="009654CF">
      <w:pPr>
        <w:numPr>
          <w:ilvl w:val="0"/>
          <w:numId w:val="20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Указать Баранову – ГУАП, Анвельт – ГУГВФ, Горянову – ОГПУ, Павлуновскому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4FC6B50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151BBF70" w14:textId="77777777" w:rsidR="003446BF" w:rsidRPr="0044524F" w:rsidRDefault="003446BF" w:rsidP="009654CF">
      <w:pPr>
        <w:numPr>
          <w:ilvl w:val="0"/>
          <w:numId w:val="20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4E10C1" w:rsidRPr="0044524F" w14:paraId="1674F266" w14:textId="77777777">
        <w:tc>
          <w:tcPr>
            <w:tcW w:w="2318" w:type="dxa"/>
          </w:tcPr>
          <w:p w14:paraId="648BE2C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Название дизеля</w:t>
            </w:r>
          </w:p>
        </w:tc>
        <w:tc>
          <w:tcPr>
            <w:tcW w:w="2318" w:type="dxa"/>
          </w:tcPr>
          <w:p w14:paraId="658719B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w:t>
            </w:r>
          </w:p>
        </w:tc>
        <w:tc>
          <w:tcPr>
            <w:tcW w:w="2318" w:type="dxa"/>
          </w:tcPr>
          <w:p w14:paraId="0AF2A19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2318" w:type="dxa"/>
          </w:tcPr>
          <w:p w14:paraId="192E712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2318" w:type="dxa"/>
          </w:tcPr>
          <w:p w14:paraId="25B7C7B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r>
      <w:tr w:rsidR="004E10C1" w:rsidRPr="0044524F" w14:paraId="7C149163" w14:textId="77777777">
        <w:tc>
          <w:tcPr>
            <w:tcW w:w="2318" w:type="dxa"/>
          </w:tcPr>
          <w:p w14:paraId="1F83FAC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w:t>
            </w:r>
          </w:p>
        </w:tc>
        <w:tc>
          <w:tcPr>
            <w:tcW w:w="2318" w:type="dxa"/>
          </w:tcPr>
          <w:p w14:paraId="2537DE2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c>
          <w:tcPr>
            <w:tcW w:w="2318" w:type="dxa"/>
          </w:tcPr>
          <w:p w14:paraId="6B52A42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2318" w:type="dxa"/>
          </w:tcPr>
          <w:p w14:paraId="5C6F930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318" w:type="dxa"/>
          </w:tcPr>
          <w:p w14:paraId="3F67618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r>
      <w:tr w:rsidR="004E10C1" w:rsidRPr="0044524F" w14:paraId="223E31E3" w14:textId="77777777">
        <w:tc>
          <w:tcPr>
            <w:tcW w:w="2318" w:type="dxa"/>
          </w:tcPr>
          <w:p w14:paraId="3C1A8903"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Н-2</w:t>
            </w:r>
          </w:p>
        </w:tc>
        <w:tc>
          <w:tcPr>
            <w:tcW w:w="2318" w:type="dxa"/>
          </w:tcPr>
          <w:p w14:paraId="6107104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1934 года</w:t>
            </w:r>
          </w:p>
        </w:tc>
        <w:tc>
          <w:tcPr>
            <w:tcW w:w="2318" w:type="dxa"/>
          </w:tcPr>
          <w:p w14:paraId="67086BFA"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2318" w:type="dxa"/>
          </w:tcPr>
          <w:p w14:paraId="49233D25"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318" w:type="dxa"/>
          </w:tcPr>
          <w:p w14:paraId="67EDA0C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r>
      <w:tr w:rsidR="004E10C1" w:rsidRPr="0044524F" w14:paraId="4774E952" w14:textId="77777777">
        <w:tc>
          <w:tcPr>
            <w:tcW w:w="2318" w:type="dxa"/>
          </w:tcPr>
          <w:p w14:paraId="470C966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Н-3</w:t>
            </w:r>
          </w:p>
        </w:tc>
        <w:tc>
          <w:tcPr>
            <w:tcW w:w="2318" w:type="dxa"/>
          </w:tcPr>
          <w:p w14:paraId="48F2A517"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1934 года</w:t>
            </w:r>
          </w:p>
        </w:tc>
        <w:tc>
          <w:tcPr>
            <w:tcW w:w="2318" w:type="dxa"/>
          </w:tcPr>
          <w:p w14:paraId="1FB43BA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2318" w:type="dxa"/>
          </w:tcPr>
          <w:p w14:paraId="60601B8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318" w:type="dxa"/>
          </w:tcPr>
          <w:p w14:paraId="620DD36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r>
      <w:tr w:rsidR="004E10C1" w:rsidRPr="0044524F" w14:paraId="56A6DA33" w14:textId="77777777">
        <w:tc>
          <w:tcPr>
            <w:tcW w:w="2318" w:type="dxa"/>
          </w:tcPr>
          <w:p w14:paraId="6B27B7C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Н-4</w:t>
            </w:r>
          </w:p>
        </w:tc>
        <w:tc>
          <w:tcPr>
            <w:tcW w:w="2318" w:type="dxa"/>
          </w:tcPr>
          <w:p w14:paraId="6DC1D74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1934 года</w:t>
            </w:r>
          </w:p>
        </w:tc>
        <w:tc>
          <w:tcPr>
            <w:tcW w:w="2318" w:type="dxa"/>
          </w:tcPr>
          <w:p w14:paraId="406BDEF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c>
          <w:tcPr>
            <w:tcW w:w="2318" w:type="dxa"/>
          </w:tcPr>
          <w:p w14:paraId="0555511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2318" w:type="dxa"/>
          </w:tcPr>
          <w:p w14:paraId="3513E0E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r>
      <w:tr w:rsidR="004E10C1" w:rsidRPr="0044524F" w14:paraId="37058F61" w14:textId="77777777">
        <w:tc>
          <w:tcPr>
            <w:tcW w:w="2318" w:type="dxa"/>
          </w:tcPr>
          <w:p w14:paraId="5A0DB4C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w:t>
            </w:r>
          </w:p>
        </w:tc>
        <w:tc>
          <w:tcPr>
            <w:tcW w:w="2318" w:type="dxa"/>
          </w:tcPr>
          <w:p w14:paraId="5ADD7030"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c>
          <w:tcPr>
            <w:tcW w:w="2318" w:type="dxa"/>
          </w:tcPr>
          <w:p w14:paraId="7C25D43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2318" w:type="dxa"/>
          </w:tcPr>
          <w:p w14:paraId="524B996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2318" w:type="dxa"/>
          </w:tcPr>
          <w:p w14:paraId="3948C04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r>
    </w:tbl>
    <w:p w14:paraId="6B5A546D" w14:textId="77777777" w:rsidR="003446BF" w:rsidRPr="0044524F" w:rsidRDefault="003446BF" w:rsidP="009654CF">
      <w:pPr>
        <w:numPr>
          <w:ilvl w:val="0"/>
          <w:numId w:val="20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Подтвердить полную ответственность за своевременный выпуск дизелей:</w:t>
      </w:r>
    </w:p>
    <w:p w14:paraId="0365D1C9"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Баранова (ГУАП) дизелей Н-1 и Н-4</w:t>
      </w:r>
    </w:p>
    <w:p w14:paraId="742DCCFB"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Анвельта (ГУГВФ) дизелей Н-2 и Н-3</w:t>
      </w:r>
    </w:p>
    <w:p w14:paraId="1C1DA58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Миронова (ОГПУ) дизеля Н-5</w:t>
      </w:r>
    </w:p>
    <w:p w14:paraId="38641F0F" w14:textId="77777777" w:rsidR="003446BF" w:rsidRPr="0044524F" w:rsidRDefault="003446BF" w:rsidP="009654CF">
      <w:pPr>
        <w:numPr>
          <w:ilvl w:val="0"/>
          <w:numId w:val="20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7408555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мотору Н-1: под ответственность Побережского (ЦИАМ) закончить производство всех деталей к 1 июля 1933 года, сборку мотора к 15 августа 1933 года, своевременно сдать дизель на гос. испытание.</w:t>
      </w:r>
    </w:p>
    <w:p w14:paraId="7EBE0094"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мотору Н-2: 1. Под ответственность Мартенса (Ленинградский дизельный институт) своевременно сдать дизель на гос. испытание. 2. Под ответственность Побережского (ЦИАМ) выполнить: выданный ему заказ на механическую обработку и сборку узлов к 1 мая 1933 года, колено кривошипного механизма наддувочного компрессора (для хиртовского вала) – к 15 мая 1933 года. Коленчатый вал с комплектом пропеллерной втулки и кривоколенный механизм наддувочного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мая 1933 года, обеспечить сборку и испытание двигателя на заводе и начать таковую 20 мая 1933 года. 5. Директору (завод им. Молотова) Премудрову обеспечить выполнение заказов на поковки коленчатого вала со сроками подачи начиная с 1 мая 1933 года.</w:t>
      </w:r>
    </w:p>
    <w:p w14:paraId="5A292D3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78B89621"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Красильниковуразместить группу компрессоров к 1 мая 1933 года. 6. Сборку мотора, под ответственность Красильникова закончить к 1 декабря 1933 года.</w:t>
      </w:r>
    </w:p>
    <w:p w14:paraId="5C64798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По мотору Н-5: 1. Под ответственность Горянова своевременно сдать дизель на гос. испытание. 2. Под ответственность зам. директора завода № 24 Колосова выполнитьпроизводство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Побережского испытание импеллерной группы закончить к 1 июля 1933 года, а сборку моторов в целом к 1 августа 1933 года.</w:t>
      </w:r>
    </w:p>
    <w:p w14:paraId="1598294F" w14:textId="77777777" w:rsidR="003446BF" w:rsidRPr="0044524F" w:rsidRDefault="003446BF" w:rsidP="009654CF">
      <w:pPr>
        <w:numPr>
          <w:ilvl w:val="0"/>
          <w:numId w:val="20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097584AF" w14:textId="77777777" w:rsidR="003446BF" w:rsidRPr="0044524F" w:rsidRDefault="003446BF" w:rsidP="009654CF">
      <w:pPr>
        <w:numPr>
          <w:ilvl w:val="0"/>
          <w:numId w:val="20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авиадизели до тщательной проверки основных элементов конструкций.</w:t>
      </w:r>
    </w:p>
    <w:p w14:paraId="7C6FDDE6"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внедрении в производство опытных дизелей должен разрешаться в каждом отдельном случае замнаркомтяжпрома Барановым.</w:t>
      </w:r>
    </w:p>
    <w:p w14:paraId="6AA0C6D3" w14:textId="77777777" w:rsidR="003446BF" w:rsidRPr="0044524F" w:rsidRDefault="003446BF" w:rsidP="009654CF">
      <w:pPr>
        <w:numPr>
          <w:ilvl w:val="0"/>
          <w:numId w:val="21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в составе: Куйбышева Н.В. (председатель), Баранова, Алксниса, Гольцмана – к 1 августа 1933 года представить в СТО свои соображения об организации дизельного института и спецобъединен. производственной базы для опытного дизелестроения.</w:t>
      </w:r>
    </w:p>
    <w:p w14:paraId="34F879AD" w14:textId="77777777" w:rsidR="003446BF" w:rsidRPr="0044524F" w:rsidRDefault="003446BF" w:rsidP="009654CF">
      <w:pPr>
        <w:numPr>
          <w:ilvl w:val="0"/>
          <w:numId w:val="21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УВВС (Алкснису) и ГУГВФ (Анвельт) немедленно приступить к разработке условий гос. испытаний использования и эксплоатации дизелей.</w:t>
      </w:r>
    </w:p>
    <w:p w14:paraId="3B60A057" w14:textId="77777777" w:rsidR="003446BF" w:rsidRPr="0044524F" w:rsidRDefault="003446BF" w:rsidP="009654CF">
      <w:pPr>
        <w:numPr>
          <w:ilvl w:val="0"/>
          <w:numId w:val="21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Тресту Авиатопливо, УВВС (Зильберт) и ГУГВФ (Ангелов) – немедленно приступить к экспериментальным работам по подбору тяжелых топлив и обеспечить опытные установки и испытания авиадизелей необходимым количеством и требуемыми сортами топлив.</w:t>
      </w:r>
    </w:p>
    <w:p w14:paraId="04F3EFD1" w14:textId="77777777" w:rsidR="003446BF" w:rsidRPr="0044524F" w:rsidRDefault="003446BF" w:rsidP="009654CF">
      <w:pPr>
        <w:numPr>
          <w:ilvl w:val="0"/>
          <w:numId w:val="21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1D43DFF9" w14:textId="77777777" w:rsidR="003446BF" w:rsidRPr="0044524F" w:rsidRDefault="003446BF" w:rsidP="009654CF">
      <w:pPr>
        <w:numPr>
          <w:ilvl w:val="0"/>
          <w:numId w:val="21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4FF40C07" w14:textId="77777777" w:rsidR="003446BF" w:rsidRPr="0044524F" w:rsidRDefault="003446BF" w:rsidP="009654CF">
      <w:pPr>
        <w:numPr>
          <w:ilvl w:val="0"/>
          <w:numId w:val="21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607E47B3" w14:textId="77777777" w:rsidR="003446BF" w:rsidRPr="0044524F" w:rsidRDefault="003446BF" w:rsidP="009654CF">
      <w:pPr>
        <w:tabs>
          <w:tab w:val="left" w:pos="360"/>
        </w:tabs>
        <w:spacing w:after="0" w:line="240" w:lineRule="auto"/>
        <w:jc w:val="both"/>
        <w:rPr>
          <w:rFonts w:ascii="Times New Roman" w:hAnsi="Times New Roman"/>
          <w:color w:val="000000" w:themeColor="text1"/>
          <w:sz w:val="16"/>
          <w:szCs w:val="16"/>
        </w:rPr>
      </w:pPr>
    </w:p>
    <w:p w14:paraId="67919217" w14:textId="77777777" w:rsidR="00E31347" w:rsidRPr="0044524F" w:rsidRDefault="00E31347"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28 апреля 1933 г. </w:t>
      </w:r>
      <w:r w:rsidRPr="0044524F">
        <w:rPr>
          <w:rFonts w:ascii="Times New Roman" w:hAnsi="Times New Roman"/>
          <w:color w:val="000000" w:themeColor="text1"/>
          <w:sz w:val="16"/>
          <w:szCs w:val="16"/>
        </w:rPr>
        <w:t>Докладная записка Военно-морской инспекции НК РКИ СССР в СТО СССР об опытном строительстве авиационных двигателей</w:t>
      </w:r>
    </w:p>
    <w:p w14:paraId="569E640E"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157155EA"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Постановлением СТО от 4 июля 1932 г. был утвержден следующий план опытного строительства авиационных двигателей:</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57"/>
        <w:gridCol w:w="1949"/>
        <w:gridCol w:w="1456"/>
        <w:gridCol w:w="2182"/>
        <w:gridCol w:w="3078"/>
      </w:tblGrid>
      <w:tr w:rsidR="004E10C1" w:rsidRPr="0044524F" w14:paraId="2ADAA46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7F9A9E8"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Наименование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FF7F016"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26EC8"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0D2FC"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94AEFB4"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w:t>
            </w:r>
          </w:p>
        </w:tc>
      </w:tr>
      <w:tr w:rsidR="004E10C1" w:rsidRPr="0044524F" w14:paraId="58F5102B"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E2FA36"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w:t>
            </w:r>
            <w:r w:rsidRPr="0044524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5B2D3"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A0DE2"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839102"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EE7F2"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1933 г.</w:t>
            </w:r>
          </w:p>
        </w:tc>
      </w:tr>
      <w:tr w:rsidR="004E10C1" w:rsidRPr="0044524F" w14:paraId="64290275"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7A38FB"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w:t>
            </w:r>
            <w:r w:rsidRPr="0044524F">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07E8DC97"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33372"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7B964CB"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CAB6C"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w:t>
            </w:r>
          </w:p>
        </w:tc>
      </w:tr>
      <w:tr w:rsidR="004E10C1" w:rsidRPr="0044524F" w14:paraId="7F95948F"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503380"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w:t>
            </w:r>
            <w:r w:rsidRPr="0044524F">
              <w:rPr>
                <w:rFonts w:ascii="Times New Roman" w:hAnsi="Times New Roman"/>
                <w:color w:val="000000" w:themeColor="text1"/>
                <w:sz w:val="16"/>
                <w:szCs w:val="16"/>
              </w:rPr>
              <w:noBreakHyphen/>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465AD"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D962E"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757F9"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6CF8F"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1933 г.</w:t>
            </w:r>
          </w:p>
        </w:tc>
      </w:tr>
      <w:tr w:rsidR="004E10C1" w:rsidRPr="0044524F" w14:paraId="494609D8"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713C91"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w:t>
            </w:r>
            <w:r w:rsidRPr="0044524F">
              <w:rPr>
                <w:rFonts w:ascii="Times New Roman" w:hAnsi="Times New Roman"/>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D6204"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r w:rsidRPr="0044524F">
              <w:rPr>
                <w:rFonts w:ascii="Times New Roman" w:hAnsi="Times New Roman"/>
                <w:color w:val="000000" w:themeColor="text1"/>
                <w:sz w:val="16"/>
                <w:szCs w:val="16"/>
              </w:rPr>
              <w:noBreakHyphen/>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15F70A"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r w:rsidRPr="0044524F">
              <w:rPr>
                <w:rFonts w:ascii="Times New Roman" w:hAnsi="Times New Roman"/>
                <w:color w:val="000000" w:themeColor="text1"/>
                <w:sz w:val="16"/>
                <w:szCs w:val="16"/>
              </w:rPr>
              <w:noBreakHyphen/>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B30E53"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39823C"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w:t>
            </w:r>
          </w:p>
        </w:tc>
      </w:tr>
      <w:tr w:rsidR="004E10C1" w:rsidRPr="0044524F" w14:paraId="4F402119"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F47957"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w:t>
            </w:r>
            <w:r w:rsidRPr="0044524F">
              <w:rPr>
                <w:rFonts w:ascii="Times New Roman" w:hAnsi="Times New Roman"/>
                <w:color w:val="000000" w:themeColor="text1"/>
                <w:sz w:val="16"/>
                <w:szCs w:val="16"/>
              </w:rPr>
              <w:noBreakHyphen/>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FB83A"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B56B2"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29CB66"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CCEA4"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1932 г.</w:t>
            </w:r>
          </w:p>
        </w:tc>
      </w:tr>
      <w:tr w:rsidR="004E10C1" w:rsidRPr="0044524F" w14:paraId="3757C6F4" w14:textId="77777777" w:rsidTr="003417C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42ACC6"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Н</w:t>
            </w:r>
            <w:r w:rsidRPr="0044524F">
              <w:rPr>
                <w:rFonts w:ascii="Times New Roman" w:hAnsi="Times New Roman"/>
                <w:color w:val="000000" w:themeColor="text1"/>
                <w:sz w:val="16"/>
                <w:szCs w:val="16"/>
              </w:rPr>
              <w:noBreakHyphen/>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08F7"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3A7D3"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A170D"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33FE9" w14:textId="77777777" w:rsidR="00E31347" w:rsidRPr="0044524F" w:rsidRDefault="00E3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1932 г.</w:t>
            </w:r>
          </w:p>
        </w:tc>
      </w:tr>
    </w:tbl>
    <w:p w14:paraId="3D785B67"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В порядке проверки настоящего постановления Военно-морская инспекция НК РКИ СССР провела специальное обследование опытного дизелестроения, в результате которого установлено, что несмотря на значительные затраты на проектирование и экспериментальные работы, постройка опытных авиа-дизелей находится в неудовлетворительном состоянии. Ни один из перечисленных в постановлении СТО двигателей не только не предъявлен в указанные сроки на гос. испытания, но большинство из них в основном еще не запущены даже в производство.</w:t>
      </w:r>
    </w:p>
    <w:p w14:paraId="4D575350"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По отдельным объектам работы находятся в следующем положении:</w:t>
      </w:r>
    </w:p>
    <w:p w14:paraId="2A23F630" w14:textId="77777777" w:rsidR="00E31347" w:rsidRPr="0044524F" w:rsidRDefault="00E31347" w:rsidP="009654CF">
      <w:pPr>
        <w:pStyle w:val="rtejustify"/>
        <w:spacing w:before="0" w:after="0"/>
        <w:rPr>
          <w:color w:val="000000" w:themeColor="text1"/>
          <w:sz w:val="16"/>
          <w:szCs w:val="16"/>
        </w:rPr>
      </w:pPr>
      <w:r w:rsidRPr="0044524F">
        <w:rPr>
          <w:rStyle w:val="af0"/>
          <w:bCs/>
          <w:i w:val="0"/>
          <w:color w:val="000000" w:themeColor="text1"/>
          <w:sz w:val="16"/>
          <w:szCs w:val="16"/>
        </w:rPr>
        <w:t>Двигатель Н-1</w:t>
      </w:r>
      <w:r w:rsidRPr="0044524F">
        <w:rPr>
          <w:color w:val="000000" w:themeColor="text1"/>
          <w:sz w:val="16"/>
          <w:szCs w:val="16"/>
        </w:rPr>
        <w:t>. Спроектирован в Центральном институте авиамотостроения (ЦИАМе) под руководством инженера Чаромского. Изготовляется Н</w:t>
      </w:r>
      <w:r w:rsidRPr="0044524F">
        <w:rPr>
          <w:color w:val="000000" w:themeColor="text1"/>
          <w:sz w:val="16"/>
          <w:szCs w:val="16"/>
        </w:rPr>
        <w:noBreakHyphen/>
        <w:t>1 на опытном заводе ЦИАМа. Рабочие чертежи были изготовлены и сданы в производство в ноябре 1932 г. Заказы на поковки размещены на заводах «Электросталь», Ижевском и Краматорском со сроками поставки, начиная с 1 февраля 1933 г. Как сроки поступления поковок, так и сроки механической обработки деталей на заводе ЦИАМа сорваны. Особенно неудовлетворительно обстоит дело с цветными деталями, поставщиками которых является завод № 26 и 45.</w:t>
      </w:r>
    </w:p>
    <w:p w14:paraId="40A845E9" w14:textId="77777777" w:rsidR="00E31347" w:rsidRPr="0044524F" w:rsidRDefault="00E31347" w:rsidP="009654CF">
      <w:pPr>
        <w:pStyle w:val="rtejustify"/>
        <w:spacing w:before="0" w:after="0"/>
        <w:rPr>
          <w:color w:val="000000" w:themeColor="text1"/>
          <w:sz w:val="16"/>
          <w:szCs w:val="16"/>
        </w:rPr>
      </w:pPr>
      <w:r w:rsidRPr="0044524F">
        <w:rPr>
          <w:rStyle w:val="af0"/>
          <w:bCs/>
          <w:i w:val="0"/>
          <w:color w:val="000000" w:themeColor="text1"/>
          <w:sz w:val="16"/>
          <w:szCs w:val="16"/>
        </w:rPr>
        <w:t>Двигатель Н</w:t>
      </w:r>
      <w:r w:rsidRPr="0044524F">
        <w:rPr>
          <w:rStyle w:val="af0"/>
          <w:bCs/>
          <w:i w:val="0"/>
          <w:color w:val="000000" w:themeColor="text1"/>
          <w:sz w:val="16"/>
          <w:szCs w:val="16"/>
        </w:rPr>
        <w:noBreakHyphen/>
        <w:t>2</w:t>
      </w:r>
      <w:r w:rsidRPr="0044524F">
        <w:rPr>
          <w:color w:val="000000" w:themeColor="text1"/>
          <w:sz w:val="16"/>
          <w:szCs w:val="16"/>
        </w:rPr>
        <w:t>. Спроектирован Ленинградским дизельным институтом под руководством проф. Мартенса. Рабочие чертежи были готовы в ноябре 1932 г. В настоящее время двигатель находится в производстве (механическая обработка и цветное литье) на заводах № 24, 26, ЦИАМа и «Большевик». Поковки коленчатого вала размещены на заводе им. Молотова со сроком поставки 1 апреля 1933 г. Сборку и испытание предполагается проводить в Ленинграде в Дизельном институте, где почти полностью отсутствуют необходимые к тому условия.</w:t>
      </w:r>
    </w:p>
    <w:p w14:paraId="128ED782"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Опыт показал, что необходимо строить не менее трех экземпляров двигателей со значительным количеством запасных частей. Между тем, дизель проф. Мартенса строится в одном экземпляре, т. е. повторяется ошибка, которая имела место с бензиновыми двигателями, когда незначительные поломки выводили двигатель из строя и прекращали испытания на длительный срок.</w:t>
      </w:r>
    </w:p>
    <w:p w14:paraId="0CEE643B" w14:textId="77777777" w:rsidR="00E31347" w:rsidRPr="0044524F" w:rsidRDefault="00E31347" w:rsidP="009654CF">
      <w:pPr>
        <w:pStyle w:val="rtejustify"/>
        <w:spacing w:before="0" w:after="0"/>
        <w:rPr>
          <w:color w:val="000000" w:themeColor="text1"/>
          <w:sz w:val="16"/>
          <w:szCs w:val="16"/>
        </w:rPr>
      </w:pPr>
      <w:r w:rsidRPr="0044524F">
        <w:rPr>
          <w:rStyle w:val="af0"/>
          <w:bCs/>
          <w:i w:val="0"/>
          <w:color w:val="000000" w:themeColor="text1"/>
          <w:sz w:val="16"/>
          <w:szCs w:val="16"/>
        </w:rPr>
        <w:t>Двигатель Н</w:t>
      </w:r>
      <w:r w:rsidRPr="0044524F">
        <w:rPr>
          <w:rStyle w:val="af0"/>
          <w:bCs/>
          <w:i w:val="0"/>
          <w:color w:val="000000" w:themeColor="text1"/>
          <w:sz w:val="16"/>
          <w:szCs w:val="16"/>
        </w:rPr>
        <w:noBreakHyphen/>
        <w:t>3</w:t>
      </w:r>
      <w:r w:rsidRPr="0044524F">
        <w:rPr>
          <w:color w:val="000000" w:themeColor="text1"/>
          <w:sz w:val="16"/>
          <w:szCs w:val="16"/>
        </w:rPr>
        <w:t>. Спроектирован Украинским институтом авиадизелей Аэрофлота под руководством проф. Майера. В проекте не предусмотрена высотность, как это указано в постановлении СТО и, кроме того, не выдержан вес мотора — вместо 1,2 кг/л. с. — 1,4 кг/л. с. Рабочие чертежи изготовлены к марту 1933 г. Заказы на поковки, крупное литье и механическую обработку полностью еще не размещены. Размещенная же часть заказов (кол[енчатый] вал и крупные стальные детали) не гарантирована сроками.</w:t>
      </w:r>
    </w:p>
    <w:p w14:paraId="3087E248" w14:textId="77777777" w:rsidR="00E31347" w:rsidRPr="0044524F" w:rsidRDefault="00E31347" w:rsidP="009654CF">
      <w:pPr>
        <w:pStyle w:val="rtejustify"/>
        <w:spacing w:before="0" w:after="0"/>
        <w:rPr>
          <w:color w:val="000000" w:themeColor="text1"/>
          <w:sz w:val="16"/>
          <w:szCs w:val="16"/>
        </w:rPr>
      </w:pPr>
      <w:r w:rsidRPr="0044524F">
        <w:rPr>
          <w:rStyle w:val="af0"/>
          <w:bCs/>
          <w:i w:val="0"/>
          <w:color w:val="000000" w:themeColor="text1"/>
          <w:sz w:val="16"/>
          <w:szCs w:val="16"/>
        </w:rPr>
        <w:t>Двигатель Н</w:t>
      </w:r>
      <w:r w:rsidRPr="0044524F">
        <w:rPr>
          <w:rStyle w:val="af0"/>
          <w:bCs/>
          <w:i w:val="0"/>
          <w:color w:val="000000" w:themeColor="text1"/>
          <w:sz w:val="16"/>
          <w:szCs w:val="16"/>
        </w:rPr>
        <w:noBreakHyphen/>
        <w:t>4</w:t>
      </w:r>
      <w:r w:rsidRPr="0044524F">
        <w:rPr>
          <w:color w:val="000000" w:themeColor="text1"/>
          <w:sz w:val="16"/>
          <w:szCs w:val="16"/>
        </w:rPr>
        <w:t>. Спроектирован Харьковским авиаинститутом ГУАПа под руководством проф. Цветкова. Рабочие чертежи были готовы к 1 марта 1933 г. Заказы размещены на 15 различных заводах. Поковки выполнены на 70%, модели на 70%. Приступлено к механической обработке мелких деталей. Качество работ внушает большие опасения, т. к. заказы размещены на заводах, которые вряд ли сумеют обеспечить необходимую для авиадвигателя точность работы.</w:t>
      </w:r>
    </w:p>
    <w:p w14:paraId="6800BC7F" w14:textId="77777777" w:rsidR="00E31347" w:rsidRPr="0044524F" w:rsidRDefault="00E31347" w:rsidP="009654CF">
      <w:pPr>
        <w:pStyle w:val="rtejustify"/>
        <w:spacing w:before="0" w:after="0"/>
        <w:rPr>
          <w:color w:val="000000" w:themeColor="text1"/>
          <w:sz w:val="16"/>
          <w:szCs w:val="16"/>
        </w:rPr>
      </w:pPr>
      <w:r w:rsidRPr="0044524F">
        <w:rPr>
          <w:rStyle w:val="af0"/>
          <w:bCs/>
          <w:i w:val="0"/>
          <w:color w:val="000000" w:themeColor="text1"/>
          <w:sz w:val="16"/>
          <w:szCs w:val="16"/>
        </w:rPr>
        <w:t>Двигатель Н</w:t>
      </w:r>
      <w:r w:rsidRPr="0044524F">
        <w:rPr>
          <w:rStyle w:val="af0"/>
          <w:bCs/>
          <w:i w:val="0"/>
          <w:color w:val="000000" w:themeColor="text1"/>
          <w:sz w:val="16"/>
          <w:szCs w:val="16"/>
        </w:rPr>
        <w:noBreakHyphen/>
        <w:t>5</w:t>
      </w:r>
      <w:r w:rsidRPr="0044524F">
        <w:rPr>
          <w:color w:val="000000" w:themeColor="text1"/>
          <w:sz w:val="16"/>
          <w:szCs w:val="16"/>
        </w:rPr>
        <w:t>. Спроектирован Особым конструкторским бюро ОГПУ под руководством проф. Брилинга и Стечкина. Проектом не предусмотрена высотность двигателя, как указано в постановлении СТО. Рабочие чертежи закончены в апреле 1932 г.; разместить же заказы удалось, после длительной волокиты, лишь в конце года, т. е. 9 месяцев спустя. Плана производства деталей нет и до настоящего времени. Опытный завод ЦИАМа выпустил пока еще 13 деталей из 1800; на заводе № 24 запущено в производство всего 15 деталей из 290. Сроки поставки поковок (Ижевский завод, им. Молотова, «Электросталь») не выдерживаются.</w:t>
      </w:r>
    </w:p>
    <w:p w14:paraId="7F4C33E4" w14:textId="77777777" w:rsidR="00E31347" w:rsidRPr="0044524F" w:rsidRDefault="00E31347" w:rsidP="009654CF">
      <w:pPr>
        <w:pStyle w:val="rtejustify"/>
        <w:spacing w:before="0" w:after="0"/>
        <w:rPr>
          <w:color w:val="000000" w:themeColor="text1"/>
          <w:sz w:val="16"/>
          <w:szCs w:val="16"/>
        </w:rPr>
      </w:pPr>
      <w:r w:rsidRPr="0044524F">
        <w:rPr>
          <w:rStyle w:val="af0"/>
          <w:bCs/>
          <w:i w:val="0"/>
          <w:color w:val="000000" w:themeColor="text1"/>
          <w:sz w:val="16"/>
          <w:szCs w:val="16"/>
        </w:rPr>
        <w:t>Двигатель Н</w:t>
      </w:r>
      <w:r w:rsidRPr="0044524F">
        <w:rPr>
          <w:rStyle w:val="af0"/>
          <w:bCs/>
          <w:i w:val="0"/>
          <w:color w:val="000000" w:themeColor="text1"/>
          <w:sz w:val="16"/>
          <w:szCs w:val="16"/>
        </w:rPr>
        <w:noBreakHyphen/>
        <w:t>6</w:t>
      </w:r>
      <w:r w:rsidRPr="0044524F">
        <w:rPr>
          <w:color w:val="000000" w:themeColor="text1"/>
          <w:sz w:val="16"/>
          <w:szCs w:val="16"/>
        </w:rPr>
        <w:t>. Разработанный проект мотора ОКБ ОГПУ под руководством инженера Бессонова не отвечает заданным условиям (450 л. с. вместо 500 л. с., 425 кг вместо 350 кг) в связи с чем к разработке рабочих чертежей еще не приступлено, и вопрос о целесообразности его постройки не разрешен.</w:t>
      </w:r>
    </w:p>
    <w:p w14:paraId="296FB747"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Основными причинами срыва плана опытного строительства авиадизелей, утвержденного правительством, являются:</w:t>
      </w:r>
    </w:p>
    <w:p w14:paraId="3DD6E59A"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1. Отсутствие должного наблюдения за выполнением заданий правительства со стороны НКТП и НКВМора. Ни Наркомтяжпром в лице ГВМУ и Сектора контроля исполнения, ни Наркомвоенмор в лице УВВС не вели повседневного контроля проектирования и производства авиадизелей. Ряд категорических распоряжений и приказов т. Орджоникидзе о форсировании производства двигателей Н</w:t>
      </w:r>
      <w:r w:rsidRPr="0044524F">
        <w:rPr>
          <w:color w:val="000000" w:themeColor="text1"/>
          <w:sz w:val="16"/>
          <w:szCs w:val="16"/>
        </w:rPr>
        <w:noBreakHyphen/>
        <w:t>2, Н</w:t>
      </w:r>
      <w:r w:rsidRPr="0044524F">
        <w:rPr>
          <w:color w:val="000000" w:themeColor="text1"/>
          <w:sz w:val="16"/>
          <w:szCs w:val="16"/>
        </w:rPr>
        <w:noBreakHyphen/>
        <w:t>5 и Н</w:t>
      </w:r>
      <w:r w:rsidRPr="0044524F">
        <w:rPr>
          <w:color w:val="000000" w:themeColor="text1"/>
          <w:sz w:val="16"/>
          <w:szCs w:val="16"/>
        </w:rPr>
        <w:noBreakHyphen/>
        <w:t>1 заводами не выполнялись, и виновные не привлекались к ответственности. Главное военно-мобилизационное управление Наркомтяжпрома не имеет даже более или менее точных сведений о ходе выполнения заказов на поковки для авиадизелей и состоянии производства в целом. Научно-испытательный институт УВВС РККА, одной из основных задач которого является наблюдение за опытным строительством, только в конце 1932 г. выделил специальных лиц для контроля за ходом производства авиадизелей.</w:t>
      </w:r>
    </w:p>
    <w:p w14:paraId="7833115E"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2. Неудовлетворительное руководство и наблюдение за ходом проектирования и производства со стороны учреждений и ведомств, в ведении которых находятся проектирующие организации. Главное управление авиапромышленности уделяло внимание лишь производству двигателя Н</w:t>
      </w:r>
      <w:r w:rsidRPr="0044524F">
        <w:rPr>
          <w:color w:val="000000" w:themeColor="text1"/>
          <w:sz w:val="16"/>
          <w:szCs w:val="16"/>
        </w:rPr>
        <w:noBreakHyphen/>
        <w:t>1 ЦИАМа, оставив совершенно без руководства работы Харьковского авиационного института по Н</w:t>
      </w:r>
      <w:r w:rsidRPr="0044524F">
        <w:rPr>
          <w:color w:val="000000" w:themeColor="text1"/>
          <w:sz w:val="16"/>
          <w:szCs w:val="16"/>
        </w:rPr>
        <w:noBreakHyphen/>
        <w:t>4 на том лишь основании, что финансирование этой работы производило УВВС НКВМора. ГУАП не только не помогал, но подчас просто тормозил размещение заказов на своих заводах по производству деталей для двигателя Н</w:t>
      </w:r>
      <w:r w:rsidRPr="0044524F">
        <w:rPr>
          <w:color w:val="000000" w:themeColor="text1"/>
          <w:sz w:val="16"/>
          <w:szCs w:val="16"/>
        </w:rPr>
        <w:noBreakHyphen/>
        <w:t>2 проф. Мартенса и Н</w:t>
      </w:r>
      <w:r w:rsidRPr="0044524F">
        <w:rPr>
          <w:color w:val="000000" w:themeColor="text1"/>
          <w:sz w:val="16"/>
          <w:szCs w:val="16"/>
        </w:rPr>
        <w:noBreakHyphen/>
        <w:t>5 ОКБ ОГПУ. Главное управление Аэрофлота также недостаточно руководило и обеспечивало работы Харьковского дизельного института — двигатель Н</w:t>
      </w:r>
      <w:r w:rsidRPr="0044524F">
        <w:rPr>
          <w:color w:val="000000" w:themeColor="text1"/>
          <w:sz w:val="16"/>
          <w:szCs w:val="16"/>
        </w:rPr>
        <w:noBreakHyphen/>
        <w:t>3.</w:t>
      </w:r>
    </w:p>
    <w:p w14:paraId="5A2E4DD7"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3. Безответственное отношение к заданиям правительства со стороны проектирующих организаций. Сроки выхода на гос. испытания, утвержденные постановлением СТО 4 июля 1932 г. не только согласованы, но в основном предложены самими проектирующими организациями. Между тем, зная о срыве, никто официально не ставил вопрос об их изменении. Точно также, отходя в проектах от технических условий, утвержденных указанным постановлением СТО (не выдержаны условия высотности, веса, мощности), проектные организации не чувствовали никакой ответственности в данном вопросе и смотрели на это как на нормальное положение дела.</w:t>
      </w:r>
    </w:p>
    <w:p w14:paraId="3D6D1356"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4. Отсутствие производственной и испытательной базы у всех проектных организаций (кроме ЦИАМа). Производство авиадвигателей сосредоточено более чем на ста различных предприятиях, причем в числе их имеются предприятия кустарные, с устаревшим оборудованием, не могущим обеспечить необходимой для деталей авиадвигателей точности. Опыт показывает, что даже в случае производства мотора на одном заводе, в процессе сборки и испытаний требуются значительные переделки и доводки. При отсутствии же собственной производственной и испытательной базы неизбежно удлинится срок моторов на гос. испытания.</w:t>
      </w:r>
    </w:p>
    <w:p w14:paraId="1C8BA91B"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5. Невыполнение в срок заказов на поковки для авиадизелей. Заводы-поставщики (Мотовилихинский, Ижевский, «Электросталь» и др.), несмотря на категорическое распоряжение НКТПрома, упорно не принимали заказов, а приняв, всячески тормозили их выполнение. До сего времени нет поковок для двигателя Н</w:t>
      </w:r>
      <w:r w:rsidRPr="0044524F">
        <w:rPr>
          <w:color w:val="000000" w:themeColor="text1"/>
          <w:sz w:val="16"/>
          <w:szCs w:val="16"/>
        </w:rPr>
        <w:noBreakHyphen/>
        <w:t>2 проф. Мартенса. Затянуто против сроков изготовление поковок для Н</w:t>
      </w:r>
      <w:r w:rsidRPr="0044524F">
        <w:rPr>
          <w:color w:val="000000" w:themeColor="text1"/>
          <w:sz w:val="16"/>
          <w:szCs w:val="16"/>
        </w:rPr>
        <w:noBreakHyphen/>
        <w:t>5 ОКБ ОГПУ, а поступившие поковки для двигателей Н</w:t>
      </w:r>
      <w:r w:rsidRPr="0044524F">
        <w:rPr>
          <w:color w:val="000000" w:themeColor="text1"/>
          <w:sz w:val="16"/>
          <w:szCs w:val="16"/>
        </w:rPr>
        <w:noBreakHyphen/>
        <w:t>3 и Н</w:t>
      </w:r>
      <w:r w:rsidRPr="0044524F">
        <w:rPr>
          <w:color w:val="000000" w:themeColor="text1"/>
          <w:sz w:val="16"/>
          <w:szCs w:val="16"/>
        </w:rPr>
        <w:noBreakHyphen/>
        <w:t>4 оказались некондиционными.</w:t>
      </w:r>
    </w:p>
    <w:p w14:paraId="34E322A3"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6. Отсутствие научно-исследовательской и экспериментальной базы у большинства проектных организаций для опытной проверки основных принципов новых конструкций. Большинство проектирующих организаций не имеет ни научно-исследовательской базы, ни одноцилиндровых установок, на которых, как правило, должны были проводиться опытные проверки основных элементов новых конструкций, прежде чем развертывать производство многоцилиндровой машины. В данном случае повторяется то же положение, которое имело место с бензиновыми карбюраторными двигателями. В 1927</w:t>
      </w:r>
      <w:r w:rsidRPr="0044524F">
        <w:rPr>
          <w:color w:val="000000" w:themeColor="text1"/>
          <w:sz w:val="16"/>
          <w:szCs w:val="16"/>
        </w:rPr>
        <w:noBreakHyphen/>
        <w:t>1930 гг. мы имели до 60 различных опытных моторов (Старостина, Микулина, Бессонова, Киреева и др.), и ни один из них, как известно, не пошел. Между тем, на них были затрачены миллионные суммы. Объясняется это не только наличием организованного вредительства, но и отсутствием экспериментальной базы.</w:t>
      </w:r>
    </w:p>
    <w:p w14:paraId="08B4990A"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7. Неудовлетворительное финансирование опытного строительства дизелей. Здесь имеется, с одной стороны, недостаточный контроль за расходованием средств, с другой стороны, отсутствовали плановость и система. Отмечен факт, когда из-за ведомственной недоговоренности (ГУАП, ГУГВФ, НКВМ) организациям прекращался отпуск средств, и работы из-за этого тормозились (пример Н</w:t>
      </w:r>
      <w:r w:rsidRPr="0044524F">
        <w:rPr>
          <w:color w:val="000000" w:themeColor="text1"/>
          <w:sz w:val="16"/>
          <w:szCs w:val="16"/>
        </w:rPr>
        <w:noBreakHyphen/>
        <w:t>4 ХАН).</w:t>
      </w:r>
    </w:p>
    <w:p w14:paraId="135FD599"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Таким образом следует констатировать, что:</w:t>
      </w:r>
    </w:p>
    <w:p w14:paraId="5E921490"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1) Сроки предъявления на гос. испытания авиадизелей, утвержденные СТО, не выполнены.</w:t>
      </w:r>
    </w:p>
    <w:p w14:paraId="252BCB2E"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2) Обеспеченность поковками и состояние производства находится в неудовлетворительном состоянии, не гарантирующем успешное окончание работ в ближайшее время ни по одному двигателю.</w:t>
      </w:r>
    </w:p>
    <w:p w14:paraId="1C1E68A6"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3) Руководство, контроль и финансирование дизелестроением не обеспечено со стороны органов, на которых лежит эта обязанность (ГУАП, ГУГВФ, УВВС РККА).</w:t>
      </w:r>
    </w:p>
    <w:p w14:paraId="55A15FFA"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4) Большинство проектных организаций не имеет экспериментальной, производственной и испытательной базы.</w:t>
      </w:r>
    </w:p>
    <w:p w14:paraId="2AEBD216"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5) Проектирующие организации самовольно допускали изменения технических условий на дизели.</w:t>
      </w:r>
    </w:p>
    <w:p w14:paraId="33E76EC9"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В целях форсирования работ по опытному дизелестроению необходим ряд мероприятий, которые и изложены в прилагаемом проекте постановления СТО¹*.</w:t>
      </w:r>
    </w:p>
    <w:p w14:paraId="5091D1DC" w14:textId="77777777" w:rsidR="00E31347" w:rsidRPr="0044524F" w:rsidRDefault="00E31347" w:rsidP="009654CF">
      <w:pPr>
        <w:pStyle w:val="ae"/>
        <w:spacing w:before="0" w:after="0"/>
        <w:jc w:val="both"/>
        <w:rPr>
          <w:color w:val="000000" w:themeColor="text1"/>
          <w:sz w:val="16"/>
          <w:szCs w:val="16"/>
        </w:rPr>
      </w:pPr>
      <w:r w:rsidRPr="0044524F">
        <w:rPr>
          <w:rStyle w:val="af0"/>
          <w:i w:val="0"/>
          <w:color w:val="000000" w:themeColor="text1"/>
          <w:sz w:val="16"/>
          <w:szCs w:val="16"/>
        </w:rPr>
        <w:t>Член коллегии НК РКИ СССР, начальник ВМИ Куйбышев</w:t>
      </w:r>
    </w:p>
    <w:p w14:paraId="052CD1A6" w14:textId="77777777" w:rsidR="00E31347" w:rsidRPr="0044524F" w:rsidRDefault="00E31347"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Примечание</w:t>
      </w:r>
      <w:r w:rsidRPr="0044524F">
        <w:rPr>
          <w:color w:val="000000" w:themeColor="text1"/>
          <w:sz w:val="16"/>
          <w:szCs w:val="16"/>
        </w:rPr>
        <w:t>:</w:t>
      </w:r>
    </w:p>
    <w:p w14:paraId="23736FEC" w14:textId="77777777" w:rsidR="00E31347" w:rsidRPr="0044524F" w:rsidRDefault="00E31347" w:rsidP="009654CF">
      <w:pPr>
        <w:pStyle w:val="rtejustify"/>
        <w:spacing w:before="0" w:after="0"/>
        <w:rPr>
          <w:color w:val="000000" w:themeColor="text1"/>
          <w:sz w:val="16"/>
          <w:szCs w:val="16"/>
        </w:rPr>
      </w:pPr>
      <w:r w:rsidRPr="0044524F">
        <w:rPr>
          <w:color w:val="000000" w:themeColor="text1"/>
          <w:sz w:val="16"/>
          <w:szCs w:val="16"/>
        </w:rPr>
        <w:t>¹* Приложение не публикуется (см. там же, л. 23</w:t>
      </w:r>
      <w:r w:rsidRPr="0044524F">
        <w:rPr>
          <w:color w:val="000000" w:themeColor="text1"/>
          <w:sz w:val="16"/>
          <w:szCs w:val="16"/>
        </w:rPr>
        <w:noBreakHyphen/>
        <w:t>27).</w:t>
      </w:r>
    </w:p>
    <w:p w14:paraId="1E99876E" w14:textId="77777777" w:rsidR="00E31347" w:rsidRPr="0044524F" w:rsidRDefault="00E31347" w:rsidP="009654CF">
      <w:pPr>
        <w:pStyle w:val="ae"/>
        <w:spacing w:before="0" w:after="0"/>
        <w:jc w:val="both"/>
        <w:rPr>
          <w:color w:val="000000" w:themeColor="text1"/>
          <w:sz w:val="16"/>
          <w:szCs w:val="16"/>
        </w:rPr>
      </w:pPr>
      <w:r w:rsidRPr="0044524F">
        <w:rPr>
          <w:color w:val="000000" w:themeColor="text1"/>
          <w:sz w:val="16"/>
          <w:szCs w:val="16"/>
        </w:rPr>
        <w:t>ГА РФ. Ф. Р-8418. Оп. 9. Д. 56. Л. 17-22. Подлинник (15269).</w:t>
      </w:r>
    </w:p>
    <w:p w14:paraId="02ED4083" w14:textId="77777777" w:rsidR="00E31347" w:rsidRPr="0044524F" w:rsidRDefault="00E31347" w:rsidP="009654CF">
      <w:pPr>
        <w:spacing w:after="0" w:line="240" w:lineRule="auto"/>
        <w:jc w:val="both"/>
        <w:rPr>
          <w:rFonts w:ascii="Times New Roman" w:hAnsi="Times New Roman"/>
          <w:color w:val="000000" w:themeColor="text1"/>
          <w:sz w:val="16"/>
          <w:szCs w:val="16"/>
        </w:rPr>
      </w:pPr>
    </w:p>
    <w:p w14:paraId="62D081E2"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28 апреля 1933 вышло Постановление СНК о ежегодном праздновании 18 августа Всесоюзного дня Воздушного Флота (172,292). В первый раз решили сделать праздник 18 августа - выходной по шестидневке (24,74). К этому дню за заслуги в развитии планеризма С.В.И. был награжден орденом Красной Звезды. П.И.Баранов получил орден Ленина (24,75).</w:t>
      </w:r>
    </w:p>
    <w:p w14:paraId="74139FF4"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2FEC5737" w14:textId="77777777" w:rsidR="00360AC0" w:rsidRPr="0044524F" w:rsidRDefault="00360AC0" w:rsidP="009654CF">
      <w:pPr>
        <w:pStyle w:val="84"/>
        <w:shd w:val="clear" w:color="auto" w:fill="auto"/>
        <w:spacing w:after="0" w:line="240" w:lineRule="auto"/>
        <w:ind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 Совет народных комиссаров СССР принял постанов</w:t>
      </w:r>
      <w:r w:rsidRPr="0044524F">
        <w:rPr>
          <w:rFonts w:ascii="Times New Roman" w:hAnsi="Times New Roman"/>
          <w:color w:val="000000" w:themeColor="text1"/>
          <w:sz w:val="16"/>
          <w:szCs w:val="16"/>
        </w:rPr>
        <w:softHyphen/>
        <w:t>ление №859, в соответствии с кото</w:t>
      </w:r>
      <w:r w:rsidRPr="0044524F">
        <w:rPr>
          <w:rFonts w:ascii="Times New Roman" w:hAnsi="Times New Roman"/>
          <w:color w:val="000000" w:themeColor="text1"/>
          <w:sz w:val="16"/>
          <w:szCs w:val="16"/>
        </w:rPr>
        <w:softHyphen/>
        <w:t>рым празднование Дня воздушного флота СССР должно было проводить</w:t>
      </w:r>
      <w:r w:rsidRPr="0044524F">
        <w:rPr>
          <w:rFonts w:ascii="Times New Roman" w:hAnsi="Times New Roman"/>
          <w:color w:val="000000" w:themeColor="text1"/>
          <w:sz w:val="16"/>
          <w:szCs w:val="16"/>
        </w:rPr>
        <w:softHyphen/>
        <w:t>ся ежегодно 18 августа (12118).</w:t>
      </w:r>
    </w:p>
    <w:p w14:paraId="18DAB153" w14:textId="77777777" w:rsidR="00360AC0" w:rsidRPr="0044524F" w:rsidRDefault="00360AC0" w:rsidP="009654CF">
      <w:pPr>
        <w:pStyle w:val="84"/>
        <w:shd w:val="clear" w:color="auto" w:fill="auto"/>
        <w:spacing w:after="0" w:line="240" w:lineRule="auto"/>
        <w:ind w:firstLine="0"/>
        <w:jc w:val="both"/>
        <w:rPr>
          <w:rFonts w:ascii="Times New Roman" w:hAnsi="Times New Roman"/>
          <w:color w:val="000000" w:themeColor="text1"/>
          <w:sz w:val="16"/>
          <w:szCs w:val="16"/>
        </w:rPr>
      </w:pPr>
    </w:p>
    <w:p w14:paraId="18D1768D"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состоялось совещание по авиации у нач. штаба РККА Егорова (1025,78).</w:t>
      </w:r>
    </w:p>
    <w:p w14:paraId="36BDB7F2"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274685A6" w14:textId="77777777" w:rsidR="00185C06" w:rsidRPr="0044524F" w:rsidRDefault="00185C06" w:rsidP="009654CF">
      <w:pPr>
        <w:pStyle w:val="a3"/>
        <w:rPr>
          <w:color w:val="000000" w:themeColor="text1"/>
          <w:lang w:val="ru-RU"/>
        </w:rPr>
      </w:pPr>
      <w:r w:rsidRPr="0044524F">
        <w:rPr>
          <w:color w:val="000000" w:themeColor="text1"/>
          <w:lang w:val="ru-RU"/>
        </w:rPr>
        <w:t>28 апреля 1933 начальник «Дирижаблестроя» И.А. Фельдман обратился в НКИД СССР с требованием о досрочном рас</w:t>
      </w:r>
      <w:r w:rsidRPr="0044524F">
        <w:rPr>
          <w:color w:val="000000" w:themeColor="text1"/>
          <w:lang w:val="ru-RU"/>
        </w:rPr>
        <w:softHyphen/>
        <w:t>торжении контрактов с первыми четырьмя итальянскими специалистами, непригод</w:t>
      </w:r>
      <w:r w:rsidRPr="0044524F">
        <w:rPr>
          <w:color w:val="000000" w:themeColor="text1"/>
          <w:lang w:val="ru-RU"/>
        </w:rPr>
        <w:softHyphen/>
        <w:t>ными для исполнения своих обязанностей:</w:t>
      </w:r>
    </w:p>
    <w:p w14:paraId="5781F6C3" w14:textId="77777777" w:rsidR="00185C06" w:rsidRPr="0044524F" w:rsidRDefault="00185C06" w:rsidP="009654CF">
      <w:pPr>
        <w:pStyle w:val="a3"/>
        <w:widowControl/>
        <w:tabs>
          <w:tab w:val="left" w:pos="442"/>
        </w:tabs>
        <w:autoSpaceDE/>
        <w:autoSpaceDN/>
        <w:adjustRightInd/>
        <w:rPr>
          <w:color w:val="000000" w:themeColor="text1"/>
          <w:lang w:val="ru-RU"/>
        </w:rPr>
      </w:pPr>
      <w:r w:rsidRPr="0044524F">
        <w:rPr>
          <w:color w:val="000000" w:themeColor="text1"/>
          <w:lang w:val="ru-RU"/>
        </w:rPr>
        <w:t>Р. Палья оказался лишь хорошим чертежником, а вовсе не мастером-токарем;</w:t>
      </w:r>
    </w:p>
    <w:p w14:paraId="2FE47F4B" w14:textId="77777777" w:rsidR="00185C06" w:rsidRPr="0044524F" w:rsidRDefault="00185C06" w:rsidP="009654CF">
      <w:pPr>
        <w:pStyle w:val="a3"/>
        <w:widowControl/>
        <w:tabs>
          <w:tab w:val="left" w:pos="390"/>
        </w:tabs>
        <w:autoSpaceDE/>
        <w:autoSpaceDN/>
        <w:adjustRightInd/>
        <w:rPr>
          <w:color w:val="000000" w:themeColor="text1"/>
          <w:lang w:val="ru-RU"/>
        </w:rPr>
      </w:pPr>
      <w:r w:rsidRPr="0044524F">
        <w:rPr>
          <w:color w:val="000000" w:themeColor="text1"/>
          <w:lang w:val="ru-RU"/>
        </w:rPr>
        <w:t>Д. Белли - строительным десятником, а не механиком;</w:t>
      </w:r>
    </w:p>
    <w:p w14:paraId="6BF41BA9" w14:textId="77777777" w:rsidR="00185C06" w:rsidRPr="0044524F" w:rsidRDefault="00185C06" w:rsidP="009654CF">
      <w:pPr>
        <w:pStyle w:val="a3"/>
        <w:widowControl/>
        <w:tabs>
          <w:tab w:val="left" w:pos="385"/>
        </w:tabs>
        <w:autoSpaceDE/>
        <w:autoSpaceDN/>
        <w:adjustRightInd/>
        <w:rPr>
          <w:color w:val="000000" w:themeColor="text1"/>
          <w:lang w:val="ru-RU"/>
        </w:rPr>
      </w:pPr>
      <w:r w:rsidRPr="0044524F">
        <w:rPr>
          <w:color w:val="000000" w:themeColor="text1"/>
          <w:lang w:val="ru-RU"/>
        </w:rPr>
        <w:t>А. Каратти - совершенно неграмотным и бездарным сотрудником. Взят Нобиле в СССР из благотворительности к его брату, погибшему на «Италии»;</w:t>
      </w:r>
    </w:p>
    <w:p w14:paraId="0ED6242C"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 Високки - инженер, но не имел практики по специальности.</w:t>
      </w:r>
    </w:p>
    <w:p w14:paraId="4836768A" w14:textId="77777777" w:rsidR="00185C06" w:rsidRPr="0044524F" w:rsidRDefault="00185C06" w:rsidP="009654CF">
      <w:pPr>
        <w:pStyle w:val="a3"/>
        <w:rPr>
          <w:color w:val="000000" w:themeColor="text1"/>
          <w:lang w:val="ru-RU"/>
        </w:rPr>
      </w:pPr>
      <w:r w:rsidRPr="0044524F">
        <w:rPr>
          <w:color w:val="000000" w:themeColor="text1"/>
          <w:lang w:val="ru-RU"/>
        </w:rPr>
        <w:t>Суммарный месячный оклад всех чет</w:t>
      </w:r>
      <w:r w:rsidRPr="0044524F">
        <w:rPr>
          <w:color w:val="000000" w:themeColor="text1"/>
          <w:lang w:val="ru-RU"/>
        </w:rPr>
        <w:softHyphen/>
        <w:t>верых обходился Комбинату в 273$ и 2100 руб. В итоге, чтобы расстаться без скандала, итальянцам пришлось выплатить 16 валютных окладов отступных (1285$) (12732).</w:t>
      </w:r>
    </w:p>
    <w:p w14:paraId="6C6E5BB4" w14:textId="77777777" w:rsidR="00185C06" w:rsidRPr="0044524F" w:rsidRDefault="00185C06" w:rsidP="009654CF">
      <w:pPr>
        <w:pStyle w:val="a3"/>
        <w:rPr>
          <w:color w:val="000000" w:themeColor="text1"/>
          <w:lang w:val="ru-RU"/>
        </w:rPr>
      </w:pPr>
    </w:p>
    <w:p w14:paraId="60C104D8"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Нач. ГУАП П.И.Б. писал письмо № 28/239с Нач. ВМС РККА члену РВС Орлову:</w:t>
      </w:r>
    </w:p>
    <w:p w14:paraId="67E3C76E"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ответ на письмо № 161830 от 11 апреля 1933</w:t>
      </w:r>
    </w:p>
    <w:p w14:paraId="2866B58F"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...дорожного транспорта.</w:t>
      </w:r>
    </w:p>
    <w:p w14:paraId="074FE653" w14:textId="77777777" w:rsidR="003446BF" w:rsidRPr="0044524F" w:rsidRDefault="003446B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заводские в испытания прове</w:t>
      </w:r>
      <w:r w:rsidRPr="0044524F">
        <w:rPr>
          <w:rFonts w:ascii="Times New Roman" w:hAnsi="Times New Roman"/>
          <w:color w:val="000000" w:themeColor="text1"/>
          <w:sz w:val="16"/>
          <w:szCs w:val="16"/>
        </w:rPr>
        <w:softHyphen/>
        <w:t>дены и закончены к 20/1У и Комиссия уже приступила к официальным испытаниям.</w:t>
      </w:r>
    </w:p>
    <w:p w14:paraId="1F43BA8C" w14:textId="77777777" w:rsidR="003446BF" w:rsidRPr="0044524F" w:rsidRDefault="003446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Вынужденное ожидание инженеров Управления Кораблестроения произошло по независящим от ЦАГИ причинам, так как нэцелесообразность пребывания их предупреждалась ЦАГИ, ввиду задержек, могущих произойти при доводке к испытаниям катера (2305,27).</w:t>
      </w:r>
    </w:p>
    <w:p w14:paraId="04584FC6" w14:textId="77777777" w:rsidR="003446BF" w:rsidRPr="0044524F" w:rsidRDefault="003446BF" w:rsidP="009654CF">
      <w:pPr>
        <w:spacing w:after="0" w:line="240" w:lineRule="auto"/>
        <w:jc w:val="both"/>
        <w:rPr>
          <w:rFonts w:ascii="Times New Roman" w:hAnsi="Times New Roman"/>
          <w:color w:val="000000" w:themeColor="text1"/>
          <w:sz w:val="16"/>
          <w:szCs w:val="16"/>
        </w:rPr>
      </w:pPr>
    </w:p>
    <w:p w14:paraId="4AF91A46" w14:textId="77777777" w:rsidR="00F1507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171C3E0" w14:textId="77777777" w:rsidR="00F15071" w:rsidRPr="0044524F" w:rsidRDefault="00F1507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474370D"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на ХПЗ был собран первый 12-цилиндровый танковый дизель БД-2 (быстроходный дизель). Выпуск рабочих чертежей был с октября 1932 по февраль 1933, а проектирование - с июля 1931 (3879,40).</w:t>
      </w:r>
    </w:p>
    <w:p w14:paraId="4970BCEC"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050C835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собрали первый полноразмерный БД - 2, а в мае 1933 г. начались внутризаводские стендовые испытания. Для сборки первых БД-2 в дизельном отделе создали экспериментальную мастерскую под руководством Н.П. Богданова, молодого энергичного человека, в недавнем прошлом токаря-универсала. Впоследствии он руководил цехом приспособлений - и до войны, и в эвакуации, а в послевоенный период стал начальником про-изводства ЧТЗ. К работе активно подключился вернувшийся в 1933 г. из США И.Я. Трашутин, который защитил магистерскую диссертацию в Массачусетском технологическом институте на тему "Оптимальное проектирование основных деталей дизеля" (в 1927 г. он закончил ХТИ). Работа его оказалась успешной и уже в 1936 г. он возглавил конструкторскую секцию (11224). Следует заметить, что проект БД-2 в высших инстанциях не утверждался. Но ходом работ интересовались в Управлении моторизации и ме-ханизации РККА. На завод приезжал тогдашний начальник УММ И.А. Халепский вместе с начальником НТК наркомата обороны И.А. Лебедевым (11224).</w:t>
      </w:r>
    </w:p>
    <w:p w14:paraId="4C17D076"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48A5249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 на испытательном стенде ХПЗ был запущен первый опытный образец БД-2. Испытания длились полгода, выявив множество дефектов - как конструктивных, так и производственных. Головка блока цилиндров с двумя клапанами не обеспечивала нормального рабочего процесса и заданной мощности. Оказались недостаточно жесткими картер и коленвал. Картер давал трещины, в его соединениях появлялись течи масла, разрушались подшипники коленвала. Трещины появлялись также в опорах кулачкового вала, а в соединении головок блоков с гильзами цилиндров пробивались газы. Недостаточной оказалась жесткость самих цилиндров: их "вело", что сказывалось на качестве смазки поршневой группы; разрушались и поршневые кольца. Дизель работал неустойчиво, сильно вибрировал и потому нуждался в серьезной переделке конструкции. Тем не менее, сразу после переборки опытный БД-2 установили на танк БТ-5 вместо авиамотора М-5 (9021).</w:t>
      </w:r>
    </w:p>
    <w:p w14:paraId="027AB4D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3879589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28 апреля 1933 г. первый образец дизеля ХПЗ, получившего название БД-2, был размещен на стенде для испытаний. Испытания выявили много дефектов, конструктивных и производственных недостатков. Началась трудная, кропотливая конструкторская доводка дизеля. В ноябре 1933 г. вместо авиационного мотора «Либерти» в опытный танк БТ-2 был установлен быстроходный дизель БД-2 № 1. Пробные пробеговые испытания танка с новым двигателем по территории завода были «первыми шагами» нового типа танкового двигателя - дизель-мотора. </w:t>
      </w:r>
    </w:p>
    <w:p w14:paraId="2248EF6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 в танке работал устойчиво, но сильно дымил. На этих и последующих испытаниях было выявлено много недостатков. После проведения большого объема конструкторских работ большую часть из них удалось устранить.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6314282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1754C6F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28 апреля 1933 г. первый образец дизеля, получившего название «быстроходный дизель второй» - БД-2, был размещен на стенде для испытаний. Основными конструктивными особенностями опытного дизеля БД-2 были: картер, выполненный из алюминиевого сплава и с разъемом по оси коленчатого вала; общий на каждые шесть цилиндров алюминиевый блок со стальными «мокрыми» гильзами и общая алюминиевая распределительная головка и верхнеклапанный механизм газораспределения с одним впускным и одним выпускным клапанами. Нижний не несущий алюминиевый картер являлся поддоном для масла. Два шестисекционных насоса фирмы «Бош» располагались в развале цилиндров и соединялись трубопроводами с закрытыми форсунками «Бош», находившимися в головках цилиндров по оси поршня. Поршень - алюминиевый с камерой сгорания в поршне (типа Гессельмана). Коленчатый вал, шатуны, клапаны, шестерни - кованые, с последующей обработкой. Полгода проработал дизель БД-2 на стенде. </w:t>
      </w:r>
    </w:p>
    <w:p w14:paraId="2A62D6E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Испытания выявили много дефектов, конструктивных и производственных недостатков. Началась трудная, кропотливая конструкторская доводка дизеля. Наработка испытываемых на стенде двигателей до поломок сначала не превышала 10 - 15 часов. В ноябре 1933 г. вместо авиационного мотора «Либерти» в опытный танк БТ-2 был установлен быстроходный дизель БД-2 № 1 (этот опытный танк еще назывался БДТ-1). Ведущим инженером машины был Н.А. Кучеренко. Эксплуатационная мощность БД-2, установленного в танке БТ-2, составляла 360 л.с. (265 кВт). Пробные пробеговые испытания танка с новым двигателем по территории завода были «первыми шагами» нового типа танкового двигателя - дизель-мотора. Дизель в танке работал устойчиво, но сильно дымил. Танк трясло, сказывалась неуравновешенность двигателя. Вибрация вызывала неприятные ощущения у танкистов. На этих и последующих испытаниях было выявлено много недостатков. Ряд конструктивных решений необходимо было пересмотреть, отдельные детали и узлы требовали доработки. В 1934 г. в доводку дизеля активно включился И.Я. Трашутин, возвратившийся из США после стажировки. После испытаний на стенде и в танке опытного образца дизеля БД-2, конструкторы приступили к разработке улучшенной конструкции двигателя первой серии. КБ дизельного отдела завода, в целом, довольно малочисленное, в период 1932 - 1937 гг. вело большой объем работ по созданию одновременно нескольких модификаций быстроходного дизеля, имея в виду обеспечение различных транспортных машин дизелями одного семейства типа БД-2. Кроме того, 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2CDBA447"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11B0C283"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апреля 1933 года нача</w:t>
      </w:r>
      <w:r w:rsidRPr="00142305">
        <w:rPr>
          <w:rFonts w:ascii="Times New Roman" w:hAnsi="Times New Roman"/>
          <w:color w:val="0070C0"/>
          <w:sz w:val="16"/>
          <w:szCs w:val="16"/>
        </w:rPr>
        <w:softHyphen/>
        <w:t>лись стендовые испытания дизеля БД-2 («быстроходный дизель второй»), разра</w:t>
      </w:r>
      <w:r w:rsidRPr="00142305">
        <w:rPr>
          <w:rFonts w:ascii="Times New Roman" w:hAnsi="Times New Roman"/>
          <w:color w:val="0070C0"/>
          <w:sz w:val="16"/>
          <w:szCs w:val="16"/>
        </w:rPr>
        <w:softHyphen/>
        <w:t>ботанного конструкторами дизельного отдела ХПЗ под руководством К.Ф. Челпана. С 4 по 12 ноября состоялись пред</w:t>
      </w:r>
      <w:r w:rsidRPr="00142305">
        <w:rPr>
          <w:rFonts w:ascii="Times New Roman" w:hAnsi="Times New Roman"/>
          <w:color w:val="0070C0"/>
          <w:sz w:val="16"/>
          <w:szCs w:val="16"/>
        </w:rPr>
        <w:softHyphen/>
        <w:t>варительные испытания танка БДТ-1 (БТ-5 с дизелем БД-2), выявившие как достоинства новой силовой установки (возросший запас хода, надежность, меньшую пожароопасность), так и суще</w:t>
      </w:r>
      <w:r w:rsidRPr="00142305">
        <w:rPr>
          <w:rFonts w:ascii="Times New Roman" w:hAnsi="Times New Roman"/>
          <w:color w:val="0070C0"/>
          <w:sz w:val="16"/>
          <w:szCs w:val="16"/>
        </w:rPr>
        <w:softHyphen/>
        <w:t>ственные недостатки:</w:t>
      </w:r>
    </w:p>
    <w:p w14:paraId="4522CE9E"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Тактические свойства БДТ-1 (с мо</w:t>
      </w:r>
      <w:r w:rsidRPr="00142305">
        <w:rPr>
          <w:rFonts w:ascii="Times New Roman" w:hAnsi="Times New Roman"/>
          <w:color w:val="0070C0"/>
          <w:sz w:val="16"/>
          <w:szCs w:val="16"/>
        </w:rPr>
        <w:softHyphen/>
        <w:t>тором БД) несомненно выше БТ-5, осо</w:t>
      </w:r>
      <w:r w:rsidRPr="00142305">
        <w:rPr>
          <w:rFonts w:ascii="Times New Roman" w:hAnsi="Times New Roman"/>
          <w:color w:val="0070C0"/>
          <w:sz w:val="16"/>
          <w:szCs w:val="16"/>
        </w:rPr>
        <w:softHyphen/>
        <w:t>бенно в части надежности, увеличения радиуса действия, меньшей пожароопас</w:t>
      </w:r>
      <w:r w:rsidRPr="00142305">
        <w:rPr>
          <w:rFonts w:ascii="Times New Roman" w:hAnsi="Times New Roman"/>
          <w:color w:val="0070C0"/>
          <w:sz w:val="16"/>
          <w:szCs w:val="16"/>
        </w:rPr>
        <w:softHyphen/>
        <w:t>ности и т.д.</w:t>
      </w:r>
    </w:p>
    <w:p w14:paraId="635D519F" w14:textId="77777777" w:rsidR="00046E51" w:rsidRPr="00142305" w:rsidRDefault="00046E51" w:rsidP="00046E51">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Мотор БД-2 требует конструктивной и производственной доработки ряда мест.</w:t>
      </w:r>
    </w:p>
    <w:p w14:paraId="0E1132E2" w14:textId="77777777" w:rsidR="00046E51" w:rsidRPr="00142305" w:rsidRDefault="00046E51" w:rsidP="00046E51">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Установка мотора в машину БТ тре</w:t>
      </w:r>
      <w:r w:rsidRPr="00142305">
        <w:rPr>
          <w:rFonts w:ascii="Times New Roman" w:hAnsi="Times New Roman"/>
          <w:color w:val="0070C0"/>
          <w:sz w:val="16"/>
          <w:szCs w:val="16"/>
        </w:rPr>
        <w:softHyphen/>
        <w:t>бует ряда доработок».</w:t>
      </w:r>
    </w:p>
    <w:p w14:paraId="44D9ADB7"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1934 году после показа в Москве чле</w:t>
      </w:r>
      <w:r w:rsidRPr="00142305">
        <w:rPr>
          <w:rFonts w:ascii="Times New Roman" w:hAnsi="Times New Roman"/>
          <w:color w:val="0070C0"/>
          <w:sz w:val="16"/>
          <w:szCs w:val="16"/>
        </w:rPr>
        <w:softHyphen/>
        <w:t>нам правительства двух танков БТ-5 с дизелями БД-2 опытной партии было принято решение о создании на ХПЗ имени Коминтерна производственных мощностей по изготовлению дизеля БД-2 (25009).</w:t>
      </w:r>
    </w:p>
    <w:p w14:paraId="6DEA265C" w14:textId="77777777" w:rsidR="00046E51" w:rsidRPr="00142305" w:rsidRDefault="00046E51" w:rsidP="00046E51">
      <w:pPr>
        <w:spacing w:after="0" w:line="240" w:lineRule="auto"/>
        <w:jc w:val="both"/>
        <w:rPr>
          <w:rFonts w:ascii="Times New Roman" w:hAnsi="Times New Roman"/>
          <w:color w:val="0070C0"/>
          <w:sz w:val="16"/>
          <w:szCs w:val="16"/>
        </w:rPr>
      </w:pPr>
    </w:p>
    <w:p w14:paraId="4ACE924E"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апреля 1933 г. в Дизельном отделе ХПЗ был собран первый экспериментальный образец дизеля БД-2 и после стендовых испытаний 2 ноября 1933 г. был установлен в танк БТ-5 для проведения заводских испытаний. Хотелось бы отметить, что в проработке вопросов установки дизеля БД-2 в танк БТ И.С. Бер принимал самое непосредственное участие, причем не в качестве разработчика двигателя, а уже в должности заместителя начальника КБ Т2К Танкового отдела ХПЗ (25046).</w:t>
      </w:r>
    </w:p>
    <w:p w14:paraId="71CF8FFA" w14:textId="77777777" w:rsidR="00046E51" w:rsidRPr="00142305" w:rsidRDefault="00046E51" w:rsidP="00046E51">
      <w:pPr>
        <w:spacing w:after="0" w:line="240" w:lineRule="auto"/>
        <w:jc w:val="both"/>
        <w:rPr>
          <w:rFonts w:ascii="Times New Roman" w:hAnsi="Times New Roman"/>
          <w:color w:val="0070C0"/>
          <w:sz w:val="16"/>
          <w:szCs w:val="16"/>
        </w:rPr>
      </w:pPr>
    </w:p>
    <w:p w14:paraId="51E83B8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w:t>
      </w:r>
    </w:p>
    <w:p w14:paraId="553F956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ударных стройках на 1933 г.</w:t>
      </w:r>
    </w:p>
    <w:p w14:paraId="0352C26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18F9595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 1948 г.</w:t>
      </w:r>
    </w:p>
    <w:p w14:paraId="30E5299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сосредоточения внимания и материально-технических средств в первую очередь на объектах капитального строительства, быстрей</w:t>
      </w:r>
      <w:r w:rsidRPr="0044524F">
        <w:rPr>
          <w:rFonts w:ascii="Times New Roman" w:hAnsi="Times New Roman"/>
          <w:color w:val="000000" w:themeColor="text1"/>
          <w:sz w:val="16"/>
          <w:szCs w:val="16"/>
        </w:rPr>
        <w:softHyphen/>
        <w:t>ший ввод в эксплоатацию которых имеет особое народнохозяйственное значение, Совет народных комиссаров Союза ССР постановляет:</w:t>
      </w:r>
    </w:p>
    <w:p w14:paraId="627A2FB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Признать на 1933 год следующие объекты капитального строитель</w:t>
      </w:r>
      <w:r w:rsidRPr="0044524F">
        <w:rPr>
          <w:rFonts w:ascii="Times New Roman" w:hAnsi="Times New Roman"/>
          <w:color w:val="000000" w:themeColor="text1"/>
          <w:sz w:val="16"/>
          <w:szCs w:val="16"/>
        </w:rPr>
        <w:softHyphen/>
        <w:t>ства ударными стройками, для которых установить первоочерёдность снабжения стройматериалами, оборудованием и срочность перевозок-грузов.</w:t>
      </w:r>
    </w:p>
    <w:p w14:paraId="04849A5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НАРКОМТЯЖПРОМ</w:t>
      </w:r>
    </w:p>
    <w:p w14:paraId="6E215A1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Каменноугольная промышленность.</w:t>
      </w:r>
    </w:p>
    <w:p w14:paraId="108ADCF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Доделки шахт, сданных в эксплоатацию в 1931 г.</w:t>
      </w:r>
    </w:p>
    <w:tbl>
      <w:tblPr>
        <w:tblW w:w="8565" w:type="dxa"/>
        <w:tblCellMar>
          <w:left w:w="0" w:type="dxa"/>
          <w:right w:w="0" w:type="dxa"/>
        </w:tblCellMar>
        <w:tblLook w:val="04A0" w:firstRow="1" w:lastRow="0" w:firstColumn="1" w:lastColumn="0" w:noHBand="0" w:noVBand="1"/>
      </w:tblPr>
      <w:tblGrid>
        <w:gridCol w:w="3420"/>
        <w:gridCol w:w="5145"/>
      </w:tblGrid>
      <w:tr w:rsidR="004E10C1" w:rsidRPr="0044524F" w14:paraId="7BE1C912" w14:textId="77777777" w:rsidTr="00DC292A">
        <w:trPr>
          <w:trHeight w:val="300"/>
        </w:trPr>
        <w:tc>
          <w:tcPr>
            <w:tcW w:w="0" w:type="auto"/>
            <w:gridSpan w:val="2"/>
            <w:vAlign w:val="center"/>
            <w:hideMark/>
          </w:tcPr>
          <w:p w14:paraId="3A4B755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Артемуголь.</w:t>
            </w:r>
          </w:p>
        </w:tc>
      </w:tr>
      <w:tr w:rsidR="004E10C1" w:rsidRPr="0044524F" w14:paraId="475EE203" w14:textId="77777777" w:rsidTr="00DC292A">
        <w:trPr>
          <w:trHeight w:val="300"/>
        </w:trPr>
        <w:tc>
          <w:tcPr>
            <w:tcW w:w="0" w:type="auto"/>
            <w:vAlign w:val="center"/>
            <w:hideMark/>
          </w:tcPr>
          <w:p w14:paraId="1FEBAD6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Новая</w:t>
            </w:r>
          </w:p>
        </w:tc>
        <w:tc>
          <w:tcPr>
            <w:tcW w:w="0" w:type="auto"/>
            <w:vAlign w:val="center"/>
            <w:hideMark/>
          </w:tcPr>
          <w:p w14:paraId="2F68179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Щербинское</w:t>
            </w:r>
          </w:p>
        </w:tc>
      </w:tr>
      <w:tr w:rsidR="004E10C1" w:rsidRPr="0044524F" w14:paraId="1E0AFA19" w14:textId="77777777" w:rsidTr="00DC292A">
        <w:trPr>
          <w:trHeight w:val="300"/>
        </w:trPr>
        <w:tc>
          <w:tcPr>
            <w:tcW w:w="0" w:type="auto"/>
            <w:gridSpan w:val="2"/>
            <w:vAlign w:val="center"/>
            <w:hideMark/>
          </w:tcPr>
          <w:p w14:paraId="1E11703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Лугануголь.</w:t>
            </w:r>
          </w:p>
        </w:tc>
      </w:tr>
      <w:tr w:rsidR="004E10C1" w:rsidRPr="0044524F" w14:paraId="079B6AC3" w14:textId="77777777" w:rsidTr="00DC292A">
        <w:trPr>
          <w:trHeight w:val="300"/>
        </w:trPr>
        <w:tc>
          <w:tcPr>
            <w:tcW w:w="0" w:type="auto"/>
            <w:vAlign w:val="center"/>
            <w:hideMark/>
          </w:tcPr>
          <w:p w14:paraId="26295E2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24.</w:t>
            </w:r>
          </w:p>
        </w:tc>
        <w:tc>
          <w:tcPr>
            <w:tcW w:w="0" w:type="auto"/>
            <w:vAlign w:val="center"/>
            <w:hideMark/>
          </w:tcPr>
          <w:p w14:paraId="1C0F076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„Парижская коммуна"</w:t>
            </w:r>
          </w:p>
        </w:tc>
      </w:tr>
      <w:tr w:rsidR="004E10C1" w:rsidRPr="0044524F" w14:paraId="20B8D379" w14:textId="77777777" w:rsidTr="00DC292A">
        <w:trPr>
          <w:trHeight w:val="300"/>
        </w:trPr>
        <w:tc>
          <w:tcPr>
            <w:tcW w:w="0" w:type="auto"/>
            <w:vAlign w:val="center"/>
            <w:hideMark/>
          </w:tcPr>
          <w:p w14:paraId="705B6FB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26.</w:t>
            </w:r>
          </w:p>
        </w:tc>
        <w:tc>
          <w:tcPr>
            <w:tcW w:w="0" w:type="auto"/>
            <w:vAlign w:val="center"/>
            <w:hideMark/>
          </w:tcPr>
          <w:p w14:paraId="7EDA88A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„Парижская коммуна"</w:t>
            </w:r>
          </w:p>
        </w:tc>
      </w:tr>
      <w:tr w:rsidR="004E10C1" w:rsidRPr="0044524F" w14:paraId="643C434F" w14:textId="77777777" w:rsidTr="00DC292A">
        <w:trPr>
          <w:trHeight w:val="300"/>
        </w:trPr>
        <w:tc>
          <w:tcPr>
            <w:tcW w:w="0" w:type="auto"/>
            <w:vAlign w:val="center"/>
            <w:hideMark/>
          </w:tcPr>
          <w:p w14:paraId="6D957EF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Дельта № 2</w:t>
            </w:r>
          </w:p>
        </w:tc>
        <w:tc>
          <w:tcPr>
            <w:tcW w:w="0" w:type="auto"/>
            <w:vAlign w:val="center"/>
            <w:hideMark/>
          </w:tcPr>
          <w:p w14:paraId="1B353B9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„Парижская коммуна"</w:t>
            </w:r>
          </w:p>
        </w:tc>
      </w:tr>
      <w:tr w:rsidR="004E10C1" w:rsidRPr="0044524F" w14:paraId="78288EA8" w14:textId="77777777" w:rsidTr="00DC292A">
        <w:trPr>
          <w:trHeight w:val="300"/>
        </w:trPr>
        <w:tc>
          <w:tcPr>
            <w:tcW w:w="0" w:type="auto"/>
            <w:vAlign w:val="center"/>
            <w:hideMark/>
          </w:tcPr>
          <w:p w14:paraId="76EF08A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Дельта № 3</w:t>
            </w:r>
          </w:p>
        </w:tc>
        <w:tc>
          <w:tcPr>
            <w:tcW w:w="0" w:type="auto"/>
            <w:vAlign w:val="center"/>
            <w:hideMark/>
          </w:tcPr>
          <w:p w14:paraId="4B2C28D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,.Парижская коммуна"</w:t>
            </w:r>
          </w:p>
        </w:tc>
      </w:tr>
      <w:tr w:rsidR="004E10C1" w:rsidRPr="0044524F" w14:paraId="5D7504C9" w14:textId="77777777" w:rsidTr="00DC292A">
        <w:trPr>
          <w:trHeight w:val="300"/>
        </w:trPr>
        <w:tc>
          <w:tcPr>
            <w:tcW w:w="0" w:type="auto"/>
            <w:gridSpan w:val="2"/>
            <w:vAlign w:val="center"/>
            <w:hideMark/>
          </w:tcPr>
          <w:p w14:paraId="46F5C43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Сталинуголь.</w:t>
            </w:r>
          </w:p>
        </w:tc>
      </w:tr>
      <w:tr w:rsidR="004E10C1" w:rsidRPr="0044524F" w14:paraId="6C30C68D" w14:textId="77777777" w:rsidTr="00DC292A">
        <w:trPr>
          <w:trHeight w:val="300"/>
        </w:trPr>
        <w:tc>
          <w:tcPr>
            <w:tcW w:w="0" w:type="auto"/>
            <w:vAlign w:val="center"/>
            <w:hideMark/>
          </w:tcPr>
          <w:p w14:paraId="6D45838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17/17 „бис".</w:t>
            </w:r>
          </w:p>
        </w:tc>
        <w:tc>
          <w:tcPr>
            <w:tcW w:w="0" w:type="auto"/>
            <w:vAlign w:val="center"/>
            <w:hideMark/>
          </w:tcPr>
          <w:p w14:paraId="1ED4FE6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„Комсом. Укр."</w:t>
            </w:r>
          </w:p>
        </w:tc>
      </w:tr>
      <w:tr w:rsidR="004E10C1" w:rsidRPr="0044524F" w14:paraId="1070CD89" w14:textId="77777777" w:rsidTr="00DC292A">
        <w:trPr>
          <w:trHeight w:val="300"/>
        </w:trPr>
        <w:tc>
          <w:tcPr>
            <w:tcW w:w="0" w:type="auto"/>
            <w:vAlign w:val="center"/>
            <w:hideMark/>
          </w:tcPr>
          <w:p w14:paraId="263E093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„Красная звезда".</w:t>
            </w:r>
          </w:p>
        </w:tc>
        <w:tc>
          <w:tcPr>
            <w:tcW w:w="0" w:type="auto"/>
            <w:vAlign w:val="center"/>
            <w:hideMark/>
          </w:tcPr>
          <w:p w14:paraId="34F4050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Будённовске</w:t>
            </w:r>
          </w:p>
        </w:tc>
      </w:tr>
      <w:tr w:rsidR="004E10C1" w:rsidRPr="0044524F" w14:paraId="081297AF" w14:textId="77777777" w:rsidTr="00DC292A">
        <w:trPr>
          <w:trHeight w:val="300"/>
        </w:trPr>
        <w:tc>
          <w:tcPr>
            <w:tcW w:w="0" w:type="auto"/>
            <w:vAlign w:val="center"/>
            <w:hideMark/>
          </w:tcPr>
          <w:p w14:paraId="5289AFE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Ново-Бутовская.</w:t>
            </w:r>
          </w:p>
        </w:tc>
        <w:tc>
          <w:tcPr>
            <w:tcW w:w="0" w:type="auto"/>
            <w:vAlign w:val="center"/>
            <w:hideMark/>
          </w:tcPr>
          <w:p w14:paraId="072DEE1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Макеевское</w:t>
            </w:r>
          </w:p>
        </w:tc>
      </w:tr>
      <w:tr w:rsidR="004E10C1" w:rsidRPr="0044524F" w14:paraId="01DCEEC2" w14:textId="77777777" w:rsidTr="00DC292A">
        <w:trPr>
          <w:trHeight w:val="300"/>
        </w:trPr>
        <w:tc>
          <w:tcPr>
            <w:tcW w:w="0" w:type="auto"/>
            <w:vAlign w:val="center"/>
            <w:hideMark/>
          </w:tcPr>
          <w:p w14:paraId="4C51CD1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w:t>
            </w:r>
          </w:p>
        </w:tc>
        <w:tc>
          <w:tcPr>
            <w:tcW w:w="0" w:type="auto"/>
            <w:vAlign w:val="center"/>
            <w:hideMark/>
          </w:tcPr>
          <w:p w14:paraId="793503B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Петровское</w:t>
            </w:r>
          </w:p>
        </w:tc>
      </w:tr>
      <w:tr w:rsidR="004E10C1" w:rsidRPr="0044524F" w14:paraId="4C954EC6" w14:textId="77777777" w:rsidTr="00DC292A">
        <w:trPr>
          <w:trHeight w:val="300"/>
        </w:trPr>
        <w:tc>
          <w:tcPr>
            <w:tcW w:w="0" w:type="auto"/>
            <w:vAlign w:val="center"/>
            <w:hideMark/>
          </w:tcPr>
          <w:p w14:paraId="13C0497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Центральная,</w:t>
            </w:r>
          </w:p>
        </w:tc>
        <w:tc>
          <w:tcPr>
            <w:tcW w:w="0" w:type="auto"/>
            <w:vAlign w:val="center"/>
            <w:hideMark/>
          </w:tcPr>
          <w:p w14:paraId="52CE3A0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Гришинское</w:t>
            </w:r>
          </w:p>
        </w:tc>
      </w:tr>
      <w:tr w:rsidR="004E10C1" w:rsidRPr="0044524F" w14:paraId="586CD7C1" w14:textId="77777777" w:rsidTr="00DC292A">
        <w:trPr>
          <w:trHeight w:val="300"/>
        </w:trPr>
        <w:tc>
          <w:tcPr>
            <w:tcW w:w="0" w:type="auto"/>
            <w:gridSpan w:val="2"/>
            <w:vAlign w:val="center"/>
            <w:hideMark/>
          </w:tcPr>
          <w:p w14:paraId="16FBE42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Кадиевуголь.</w:t>
            </w:r>
          </w:p>
        </w:tc>
      </w:tr>
      <w:tr w:rsidR="004E10C1" w:rsidRPr="0044524F" w14:paraId="72DD36DB" w14:textId="77777777" w:rsidTr="00DC292A">
        <w:trPr>
          <w:trHeight w:val="300"/>
        </w:trPr>
        <w:tc>
          <w:tcPr>
            <w:tcW w:w="0" w:type="auto"/>
            <w:vAlign w:val="center"/>
            <w:hideMark/>
          </w:tcPr>
          <w:p w14:paraId="629DDF4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Ирмино 4/2 „бис"</w:t>
            </w:r>
          </w:p>
        </w:tc>
        <w:tc>
          <w:tcPr>
            <w:tcW w:w="0" w:type="auto"/>
            <w:vAlign w:val="center"/>
            <w:hideMark/>
          </w:tcPr>
          <w:p w14:paraId="5D8C852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Первомайское</w:t>
            </w:r>
          </w:p>
        </w:tc>
      </w:tr>
      <w:tr w:rsidR="004E10C1" w:rsidRPr="0044524F" w14:paraId="3BCC66B2" w14:textId="77777777" w:rsidTr="00DC292A">
        <w:trPr>
          <w:trHeight w:val="300"/>
        </w:trPr>
        <w:tc>
          <w:tcPr>
            <w:tcW w:w="0" w:type="auto"/>
            <w:vAlign w:val="center"/>
            <w:hideMark/>
          </w:tcPr>
          <w:p w14:paraId="2B8E5BE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„Первомайская"</w:t>
            </w:r>
          </w:p>
        </w:tc>
        <w:tc>
          <w:tcPr>
            <w:tcW w:w="0" w:type="auto"/>
            <w:vAlign w:val="center"/>
            <w:hideMark/>
          </w:tcPr>
          <w:p w14:paraId="0F689FF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Лисичанское</w:t>
            </w:r>
          </w:p>
        </w:tc>
      </w:tr>
      <w:tr w:rsidR="004E10C1" w:rsidRPr="0044524F" w14:paraId="4A8EB185" w14:textId="77777777" w:rsidTr="00DC292A">
        <w:trPr>
          <w:trHeight w:val="300"/>
        </w:trPr>
        <w:tc>
          <w:tcPr>
            <w:tcW w:w="0" w:type="auto"/>
            <w:gridSpan w:val="2"/>
            <w:vAlign w:val="center"/>
            <w:hideMark/>
          </w:tcPr>
          <w:p w14:paraId="2B8C907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Донбассантрацит.</w:t>
            </w:r>
          </w:p>
        </w:tc>
      </w:tr>
      <w:tr w:rsidR="004E10C1" w:rsidRPr="0044524F" w14:paraId="408C0517" w14:textId="77777777" w:rsidTr="00DC292A">
        <w:trPr>
          <w:trHeight w:val="300"/>
        </w:trPr>
        <w:tc>
          <w:tcPr>
            <w:tcW w:w="0" w:type="auto"/>
            <w:vAlign w:val="center"/>
            <w:hideMark/>
          </w:tcPr>
          <w:p w14:paraId="5F3D0D1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„Американка".</w:t>
            </w:r>
          </w:p>
        </w:tc>
        <w:tc>
          <w:tcPr>
            <w:tcW w:w="0" w:type="auto"/>
            <w:vAlign w:val="center"/>
            <w:hideMark/>
          </w:tcPr>
          <w:p w14:paraId="442AFF2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Шварцевское.</w:t>
            </w:r>
          </w:p>
        </w:tc>
      </w:tr>
      <w:tr w:rsidR="004E10C1" w:rsidRPr="0044524F" w14:paraId="627DB123" w14:textId="77777777" w:rsidTr="00DC292A">
        <w:trPr>
          <w:trHeight w:val="300"/>
        </w:trPr>
        <w:tc>
          <w:tcPr>
            <w:tcW w:w="0" w:type="auto"/>
            <w:vAlign w:val="center"/>
            <w:hideMark/>
          </w:tcPr>
          <w:p w14:paraId="56AC0F7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„Карл 7/8".</w:t>
            </w:r>
          </w:p>
        </w:tc>
        <w:tc>
          <w:tcPr>
            <w:tcW w:w="0" w:type="auto"/>
            <w:vAlign w:val="center"/>
            <w:hideMark/>
          </w:tcPr>
          <w:p w14:paraId="21DAD08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Хрустальское.</w:t>
            </w:r>
          </w:p>
        </w:tc>
      </w:tr>
      <w:tr w:rsidR="004E10C1" w:rsidRPr="0044524F" w14:paraId="4905E06A" w14:textId="77777777" w:rsidTr="00DC292A">
        <w:trPr>
          <w:trHeight w:val="300"/>
        </w:trPr>
        <w:tc>
          <w:tcPr>
            <w:tcW w:w="0" w:type="auto"/>
            <w:vAlign w:val="center"/>
            <w:hideMark/>
          </w:tcPr>
          <w:p w14:paraId="0B01887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Лутугина</w:t>
            </w:r>
          </w:p>
        </w:tc>
        <w:tc>
          <w:tcPr>
            <w:tcW w:w="0" w:type="auto"/>
            <w:vAlign w:val="center"/>
            <w:hideMark/>
          </w:tcPr>
          <w:p w14:paraId="54DD4DF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Чистлковское.</w:t>
            </w:r>
          </w:p>
        </w:tc>
      </w:tr>
      <w:tr w:rsidR="004E10C1" w:rsidRPr="0044524F" w14:paraId="05DC6395" w14:textId="77777777" w:rsidTr="00DC292A">
        <w:trPr>
          <w:trHeight w:val="300"/>
        </w:trPr>
        <w:tc>
          <w:tcPr>
            <w:tcW w:w="0" w:type="auto"/>
            <w:gridSpan w:val="2"/>
            <w:vAlign w:val="center"/>
            <w:hideMark/>
          </w:tcPr>
          <w:p w14:paraId="017F25D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Севкавуголь.</w:t>
            </w:r>
          </w:p>
        </w:tc>
      </w:tr>
      <w:tr w:rsidR="004E10C1" w:rsidRPr="0044524F" w14:paraId="58A62879" w14:textId="77777777" w:rsidTr="00DC292A">
        <w:trPr>
          <w:trHeight w:val="300"/>
        </w:trPr>
        <w:tc>
          <w:tcPr>
            <w:tcW w:w="0" w:type="auto"/>
            <w:vAlign w:val="center"/>
            <w:hideMark/>
          </w:tcPr>
          <w:p w14:paraId="72E50BD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15/16.</w:t>
            </w:r>
          </w:p>
        </w:tc>
        <w:tc>
          <w:tcPr>
            <w:tcW w:w="0" w:type="auto"/>
            <w:vAlign w:val="center"/>
            <w:hideMark/>
          </w:tcPr>
          <w:p w14:paraId="5805269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Гуковское.</w:t>
            </w:r>
          </w:p>
        </w:tc>
      </w:tr>
      <w:tr w:rsidR="004E10C1" w:rsidRPr="0044524F" w14:paraId="32BEFFF7" w14:textId="77777777" w:rsidTr="00DC292A">
        <w:trPr>
          <w:trHeight w:val="300"/>
        </w:trPr>
        <w:tc>
          <w:tcPr>
            <w:tcW w:w="0" w:type="auto"/>
            <w:vAlign w:val="center"/>
            <w:hideMark/>
          </w:tcPr>
          <w:p w14:paraId="796B9DF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ОГПУ.</w:t>
            </w:r>
          </w:p>
        </w:tc>
        <w:tc>
          <w:tcPr>
            <w:tcW w:w="0" w:type="auto"/>
            <w:vAlign w:val="center"/>
            <w:hideMark/>
          </w:tcPr>
          <w:p w14:paraId="30972DA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Несветаевское.</w:t>
            </w:r>
          </w:p>
        </w:tc>
      </w:tr>
      <w:tr w:rsidR="004E10C1" w:rsidRPr="0044524F" w14:paraId="520C4F6A" w14:textId="77777777" w:rsidTr="00DC292A">
        <w:trPr>
          <w:trHeight w:val="300"/>
        </w:trPr>
        <w:tc>
          <w:tcPr>
            <w:tcW w:w="0" w:type="auto"/>
            <w:vAlign w:val="center"/>
            <w:hideMark/>
          </w:tcPr>
          <w:p w14:paraId="646E653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14 „бис".</w:t>
            </w:r>
          </w:p>
        </w:tc>
        <w:tc>
          <w:tcPr>
            <w:tcW w:w="0" w:type="auto"/>
            <w:vAlign w:val="center"/>
            <w:hideMark/>
          </w:tcPr>
          <w:p w14:paraId="7A2E01E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Белокалитвенское.</w:t>
            </w:r>
          </w:p>
        </w:tc>
      </w:tr>
      <w:tr w:rsidR="004E10C1" w:rsidRPr="0044524F" w14:paraId="3982CF52" w14:textId="77777777" w:rsidTr="00DC292A">
        <w:trPr>
          <w:trHeight w:val="300"/>
        </w:trPr>
        <w:tc>
          <w:tcPr>
            <w:tcW w:w="0" w:type="auto"/>
            <w:vAlign w:val="center"/>
            <w:hideMark/>
          </w:tcPr>
          <w:p w14:paraId="3D4F747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13 Горняцкая.</w:t>
            </w:r>
          </w:p>
        </w:tc>
        <w:tc>
          <w:tcPr>
            <w:tcW w:w="0" w:type="auto"/>
            <w:vAlign w:val="center"/>
            <w:hideMark/>
          </w:tcPr>
          <w:p w14:paraId="2C32F23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Белокалитвенское.</w:t>
            </w:r>
          </w:p>
        </w:tc>
      </w:tr>
      <w:tr w:rsidR="004E10C1" w:rsidRPr="0044524F" w14:paraId="56543A73" w14:textId="77777777" w:rsidTr="00DC292A">
        <w:trPr>
          <w:trHeight w:val="300"/>
        </w:trPr>
        <w:tc>
          <w:tcPr>
            <w:tcW w:w="0" w:type="auto"/>
            <w:gridSpan w:val="2"/>
            <w:vAlign w:val="center"/>
            <w:hideMark/>
          </w:tcPr>
          <w:p w14:paraId="6A583E2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Кузбассуголь.</w:t>
            </w:r>
          </w:p>
        </w:tc>
      </w:tr>
      <w:tr w:rsidR="004E10C1" w:rsidRPr="0044524F" w14:paraId="427AB58E" w14:textId="77777777" w:rsidTr="00DC292A">
        <w:trPr>
          <w:trHeight w:val="300"/>
        </w:trPr>
        <w:tc>
          <w:tcPr>
            <w:tcW w:w="0" w:type="auto"/>
            <w:vAlign w:val="center"/>
            <w:hideMark/>
          </w:tcPr>
          <w:p w14:paraId="78532C0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„Тешев лог".</w:t>
            </w:r>
          </w:p>
        </w:tc>
        <w:tc>
          <w:tcPr>
            <w:tcW w:w="0" w:type="auto"/>
            <w:vAlign w:val="center"/>
            <w:hideMark/>
          </w:tcPr>
          <w:p w14:paraId="29CD427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Араличевское.</w:t>
            </w:r>
          </w:p>
        </w:tc>
      </w:tr>
      <w:tr w:rsidR="004E10C1" w:rsidRPr="0044524F" w14:paraId="11B1660A" w14:textId="77777777" w:rsidTr="00DC292A">
        <w:trPr>
          <w:trHeight w:val="300"/>
        </w:trPr>
        <w:tc>
          <w:tcPr>
            <w:tcW w:w="0" w:type="auto"/>
            <w:vAlign w:val="center"/>
            <w:hideMark/>
          </w:tcPr>
          <w:p w14:paraId="7893CD8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Штольня № 2.</w:t>
            </w:r>
          </w:p>
        </w:tc>
        <w:tc>
          <w:tcPr>
            <w:tcW w:w="0" w:type="auto"/>
            <w:vAlign w:val="center"/>
            <w:hideMark/>
          </w:tcPr>
          <w:p w14:paraId="5940455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Киселевское.</w:t>
            </w:r>
          </w:p>
        </w:tc>
      </w:tr>
      <w:tr w:rsidR="004E10C1" w:rsidRPr="0044524F" w14:paraId="477C0538" w14:textId="77777777" w:rsidTr="00DC292A">
        <w:trPr>
          <w:trHeight w:val="300"/>
        </w:trPr>
        <w:tc>
          <w:tcPr>
            <w:tcW w:w="0" w:type="auto"/>
            <w:vAlign w:val="center"/>
            <w:hideMark/>
          </w:tcPr>
          <w:p w14:paraId="5DA4470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Штольня № 3.</w:t>
            </w:r>
          </w:p>
        </w:tc>
        <w:tc>
          <w:tcPr>
            <w:tcW w:w="0" w:type="auto"/>
            <w:vAlign w:val="center"/>
            <w:hideMark/>
          </w:tcPr>
          <w:p w14:paraId="0245B6A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Ленинское.</w:t>
            </w:r>
          </w:p>
        </w:tc>
      </w:tr>
      <w:tr w:rsidR="004E10C1" w:rsidRPr="0044524F" w14:paraId="6645E9E8" w14:textId="77777777" w:rsidTr="00DC292A">
        <w:trPr>
          <w:trHeight w:val="300"/>
        </w:trPr>
        <w:tc>
          <w:tcPr>
            <w:tcW w:w="0" w:type="auto"/>
            <w:vAlign w:val="center"/>
            <w:hideMark/>
          </w:tcPr>
          <w:p w14:paraId="7BE1212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Байкаимская</w:t>
            </w:r>
          </w:p>
        </w:tc>
        <w:tc>
          <w:tcPr>
            <w:tcW w:w="0" w:type="auto"/>
            <w:vAlign w:val="center"/>
            <w:hideMark/>
          </w:tcPr>
          <w:p w14:paraId="06C247B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Ленинское. им. 7-е ноября с укл. № 27.</w:t>
            </w:r>
          </w:p>
        </w:tc>
      </w:tr>
      <w:tr w:rsidR="004E10C1" w:rsidRPr="0044524F" w14:paraId="6ADCD78B" w14:textId="77777777" w:rsidTr="00DC292A">
        <w:trPr>
          <w:trHeight w:val="300"/>
        </w:trPr>
        <w:tc>
          <w:tcPr>
            <w:tcW w:w="0" w:type="auto"/>
            <w:vAlign w:val="center"/>
            <w:hideMark/>
          </w:tcPr>
          <w:p w14:paraId="232B4C7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„Афонинск. штольня".</w:t>
            </w:r>
          </w:p>
        </w:tc>
        <w:tc>
          <w:tcPr>
            <w:tcW w:w="0" w:type="auto"/>
            <w:vAlign w:val="center"/>
            <w:hideMark/>
          </w:tcPr>
          <w:p w14:paraId="4F221DC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Киселевское.</w:t>
            </w:r>
          </w:p>
        </w:tc>
      </w:tr>
      <w:tr w:rsidR="004E10C1" w:rsidRPr="0044524F" w14:paraId="09B767E2" w14:textId="77777777" w:rsidTr="00DC292A">
        <w:trPr>
          <w:trHeight w:val="300"/>
        </w:trPr>
        <w:tc>
          <w:tcPr>
            <w:tcW w:w="0" w:type="auto"/>
            <w:vAlign w:val="center"/>
            <w:hideMark/>
          </w:tcPr>
          <w:p w14:paraId="3545EC8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Алыкаевская.</w:t>
            </w:r>
          </w:p>
        </w:tc>
        <w:tc>
          <w:tcPr>
            <w:tcW w:w="0" w:type="auto"/>
            <w:vAlign w:val="center"/>
            <w:hideMark/>
          </w:tcPr>
          <w:p w14:paraId="5690BD3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Кемеровское.</w:t>
            </w:r>
          </w:p>
        </w:tc>
      </w:tr>
      <w:tr w:rsidR="004E10C1" w:rsidRPr="0044524F" w14:paraId="0FA62F05" w14:textId="77777777" w:rsidTr="00DC292A">
        <w:trPr>
          <w:trHeight w:val="300"/>
        </w:trPr>
        <w:tc>
          <w:tcPr>
            <w:tcW w:w="0" w:type="auto"/>
            <w:vAlign w:val="center"/>
            <w:hideMark/>
          </w:tcPr>
          <w:p w14:paraId="5C19037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5/6.</w:t>
            </w:r>
          </w:p>
        </w:tc>
        <w:tc>
          <w:tcPr>
            <w:tcW w:w="0" w:type="auto"/>
            <w:vAlign w:val="center"/>
            <w:hideMark/>
          </w:tcPr>
          <w:p w14:paraId="46A6FF8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Прокопьевское.</w:t>
            </w:r>
          </w:p>
        </w:tc>
      </w:tr>
      <w:tr w:rsidR="004E10C1" w:rsidRPr="0044524F" w14:paraId="3F52857D" w14:textId="77777777" w:rsidTr="00DC292A">
        <w:trPr>
          <w:trHeight w:val="300"/>
        </w:trPr>
        <w:tc>
          <w:tcPr>
            <w:tcW w:w="0" w:type="auto"/>
            <w:vAlign w:val="center"/>
            <w:hideMark/>
          </w:tcPr>
          <w:p w14:paraId="75669D2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Центральная.</w:t>
            </w:r>
          </w:p>
        </w:tc>
        <w:tc>
          <w:tcPr>
            <w:tcW w:w="0" w:type="auto"/>
            <w:vAlign w:val="center"/>
            <w:hideMark/>
          </w:tcPr>
          <w:p w14:paraId="7CA7757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Араличевское.</w:t>
            </w:r>
          </w:p>
        </w:tc>
      </w:tr>
      <w:tr w:rsidR="004E10C1" w:rsidRPr="0044524F" w14:paraId="03DA003D" w14:textId="77777777" w:rsidTr="00DC292A">
        <w:trPr>
          <w:trHeight w:val="300"/>
        </w:trPr>
        <w:tc>
          <w:tcPr>
            <w:tcW w:w="0" w:type="auto"/>
            <w:gridSpan w:val="2"/>
            <w:vAlign w:val="center"/>
            <w:hideMark/>
          </w:tcPr>
          <w:p w14:paraId="5BD7E0D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Востсибуголь.</w:t>
            </w:r>
          </w:p>
        </w:tc>
      </w:tr>
      <w:tr w:rsidR="004E10C1" w:rsidRPr="0044524F" w14:paraId="03FE7662" w14:textId="77777777" w:rsidTr="00DC292A">
        <w:trPr>
          <w:trHeight w:val="300"/>
        </w:trPr>
        <w:tc>
          <w:tcPr>
            <w:tcW w:w="0" w:type="auto"/>
            <w:vAlign w:val="center"/>
            <w:hideMark/>
          </w:tcPr>
          <w:p w14:paraId="5D47CCF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Расушино.</w:t>
            </w:r>
          </w:p>
        </w:tc>
        <w:tc>
          <w:tcPr>
            <w:tcW w:w="0" w:type="auto"/>
            <w:vAlign w:val="center"/>
            <w:hideMark/>
          </w:tcPr>
          <w:p w14:paraId="26902C4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Черемхово.</w:t>
            </w:r>
          </w:p>
        </w:tc>
      </w:tr>
      <w:tr w:rsidR="004E10C1" w:rsidRPr="0044524F" w14:paraId="464B2E31" w14:textId="77777777" w:rsidTr="00DC292A">
        <w:trPr>
          <w:trHeight w:val="300"/>
        </w:trPr>
        <w:tc>
          <w:tcPr>
            <w:tcW w:w="0" w:type="auto"/>
            <w:vAlign w:val="center"/>
            <w:hideMark/>
          </w:tcPr>
          <w:p w14:paraId="54104CF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Шахта № 1 „бис".</w:t>
            </w:r>
          </w:p>
        </w:tc>
        <w:tc>
          <w:tcPr>
            <w:tcW w:w="0" w:type="auto"/>
            <w:vAlign w:val="center"/>
            <w:hideMark/>
          </w:tcPr>
          <w:p w14:paraId="1066796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Букачача.</w:t>
            </w:r>
          </w:p>
        </w:tc>
      </w:tr>
      <w:tr w:rsidR="004E10C1" w:rsidRPr="0044524F" w14:paraId="674E72A4" w14:textId="77777777" w:rsidTr="00DC292A">
        <w:trPr>
          <w:trHeight w:val="300"/>
        </w:trPr>
        <w:tc>
          <w:tcPr>
            <w:tcW w:w="0" w:type="auto"/>
            <w:vAlign w:val="center"/>
            <w:hideMark/>
          </w:tcPr>
          <w:p w14:paraId="4D37F13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2 „бис".</w:t>
            </w:r>
          </w:p>
        </w:tc>
        <w:tc>
          <w:tcPr>
            <w:tcW w:w="0" w:type="auto"/>
            <w:vAlign w:val="center"/>
            <w:hideMark/>
          </w:tcPr>
          <w:p w14:paraId="762E3FB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Букачача.</w:t>
            </w:r>
          </w:p>
        </w:tc>
      </w:tr>
      <w:tr w:rsidR="004E10C1" w:rsidRPr="0044524F" w14:paraId="2019F6B1" w14:textId="77777777" w:rsidTr="00DC292A">
        <w:trPr>
          <w:trHeight w:val="300"/>
        </w:trPr>
        <w:tc>
          <w:tcPr>
            <w:tcW w:w="0" w:type="auto"/>
            <w:gridSpan w:val="2"/>
            <w:vAlign w:val="center"/>
            <w:hideMark/>
          </w:tcPr>
          <w:p w14:paraId="4790FBD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Москвоуголь.</w:t>
            </w:r>
          </w:p>
        </w:tc>
      </w:tr>
      <w:tr w:rsidR="004E10C1" w:rsidRPr="0044524F" w14:paraId="14791763" w14:textId="77777777" w:rsidTr="00DC292A">
        <w:trPr>
          <w:trHeight w:val="300"/>
        </w:trPr>
        <w:tc>
          <w:tcPr>
            <w:tcW w:w="0" w:type="auto"/>
            <w:vAlign w:val="center"/>
            <w:hideMark/>
          </w:tcPr>
          <w:p w14:paraId="1F19B5C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54.</w:t>
            </w:r>
          </w:p>
        </w:tc>
        <w:tc>
          <w:tcPr>
            <w:tcW w:w="0" w:type="auto"/>
            <w:vAlign w:val="center"/>
            <w:hideMark/>
          </w:tcPr>
          <w:p w14:paraId="385E4B3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им. Кагановича.</w:t>
            </w:r>
          </w:p>
        </w:tc>
      </w:tr>
      <w:tr w:rsidR="004E10C1" w:rsidRPr="0044524F" w14:paraId="438E26D0" w14:textId="77777777" w:rsidTr="00DC292A">
        <w:trPr>
          <w:trHeight w:val="300"/>
        </w:trPr>
        <w:tc>
          <w:tcPr>
            <w:tcW w:w="0" w:type="auto"/>
            <w:vAlign w:val="center"/>
            <w:hideMark/>
          </w:tcPr>
          <w:p w14:paraId="0482FB9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40.</w:t>
            </w:r>
          </w:p>
        </w:tc>
        <w:tc>
          <w:tcPr>
            <w:tcW w:w="0" w:type="auto"/>
            <w:vAlign w:val="center"/>
            <w:hideMark/>
          </w:tcPr>
          <w:p w14:paraId="2FFACCC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им. Кагановича.</w:t>
            </w:r>
          </w:p>
        </w:tc>
      </w:tr>
      <w:tr w:rsidR="004E10C1" w:rsidRPr="0044524F" w14:paraId="03892FB6" w14:textId="77777777" w:rsidTr="00DC292A">
        <w:trPr>
          <w:trHeight w:val="300"/>
        </w:trPr>
        <w:tc>
          <w:tcPr>
            <w:tcW w:w="0" w:type="auto"/>
            <w:vAlign w:val="center"/>
            <w:hideMark/>
          </w:tcPr>
          <w:p w14:paraId="3F73C87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56.</w:t>
            </w:r>
          </w:p>
        </w:tc>
        <w:tc>
          <w:tcPr>
            <w:tcW w:w="0" w:type="auto"/>
            <w:vAlign w:val="center"/>
            <w:hideMark/>
          </w:tcPr>
          <w:p w14:paraId="57DE3AF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им. Кагановича.</w:t>
            </w:r>
          </w:p>
        </w:tc>
      </w:tr>
      <w:tr w:rsidR="004E10C1" w:rsidRPr="0044524F" w14:paraId="37862705" w14:textId="77777777" w:rsidTr="00DC292A">
        <w:trPr>
          <w:trHeight w:val="300"/>
        </w:trPr>
        <w:tc>
          <w:tcPr>
            <w:tcW w:w="0" w:type="auto"/>
            <w:vAlign w:val="center"/>
            <w:hideMark/>
          </w:tcPr>
          <w:p w14:paraId="40F8170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58.</w:t>
            </w:r>
          </w:p>
        </w:tc>
        <w:tc>
          <w:tcPr>
            <w:tcW w:w="0" w:type="auto"/>
            <w:vAlign w:val="center"/>
            <w:hideMark/>
          </w:tcPr>
          <w:p w14:paraId="089782E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им. Кагановича.</w:t>
            </w:r>
          </w:p>
        </w:tc>
      </w:tr>
      <w:tr w:rsidR="004E10C1" w:rsidRPr="0044524F" w14:paraId="231591B9" w14:textId="77777777" w:rsidTr="00DC292A">
        <w:trPr>
          <w:trHeight w:val="300"/>
        </w:trPr>
        <w:tc>
          <w:tcPr>
            <w:tcW w:w="0" w:type="auto"/>
            <w:vAlign w:val="center"/>
            <w:hideMark/>
          </w:tcPr>
          <w:p w14:paraId="3093C6C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16.</w:t>
            </w:r>
          </w:p>
        </w:tc>
        <w:tc>
          <w:tcPr>
            <w:tcW w:w="0" w:type="auto"/>
            <w:vAlign w:val="center"/>
            <w:hideMark/>
          </w:tcPr>
          <w:p w14:paraId="303CAF1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Шварцевское.</w:t>
            </w:r>
          </w:p>
        </w:tc>
      </w:tr>
      <w:tr w:rsidR="004E10C1" w:rsidRPr="0044524F" w14:paraId="17F3B5EB" w14:textId="77777777" w:rsidTr="00DC292A">
        <w:trPr>
          <w:trHeight w:val="300"/>
        </w:trPr>
        <w:tc>
          <w:tcPr>
            <w:tcW w:w="0" w:type="auto"/>
            <w:vAlign w:val="center"/>
            <w:hideMark/>
          </w:tcPr>
          <w:p w14:paraId="0D84189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12.</w:t>
            </w:r>
          </w:p>
        </w:tc>
        <w:tc>
          <w:tcPr>
            <w:tcW w:w="0" w:type="auto"/>
            <w:vAlign w:val="center"/>
            <w:hideMark/>
          </w:tcPr>
          <w:p w14:paraId="1FAF023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Рыковское.</w:t>
            </w:r>
          </w:p>
        </w:tc>
      </w:tr>
      <w:tr w:rsidR="004E10C1" w:rsidRPr="0044524F" w14:paraId="0978546C" w14:textId="77777777" w:rsidTr="00DC292A">
        <w:trPr>
          <w:trHeight w:val="300"/>
        </w:trPr>
        <w:tc>
          <w:tcPr>
            <w:tcW w:w="0" w:type="auto"/>
            <w:vAlign w:val="center"/>
            <w:hideMark/>
          </w:tcPr>
          <w:p w14:paraId="7B96C0F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13.</w:t>
            </w:r>
          </w:p>
        </w:tc>
        <w:tc>
          <w:tcPr>
            <w:tcW w:w="0" w:type="auto"/>
            <w:vAlign w:val="center"/>
            <w:hideMark/>
          </w:tcPr>
          <w:p w14:paraId="6176110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Рыковское.</w:t>
            </w:r>
          </w:p>
        </w:tc>
      </w:tr>
      <w:tr w:rsidR="004E10C1" w:rsidRPr="0044524F" w14:paraId="324827EA" w14:textId="77777777" w:rsidTr="00DC292A">
        <w:trPr>
          <w:trHeight w:val="300"/>
        </w:trPr>
        <w:tc>
          <w:tcPr>
            <w:tcW w:w="0" w:type="auto"/>
            <w:gridSpan w:val="2"/>
            <w:vAlign w:val="center"/>
            <w:hideMark/>
          </w:tcPr>
          <w:p w14:paraId="684B780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Дальуголь.</w:t>
            </w:r>
          </w:p>
        </w:tc>
      </w:tr>
      <w:tr w:rsidR="004E10C1" w:rsidRPr="0044524F" w14:paraId="5918B985" w14:textId="77777777" w:rsidTr="00DC292A">
        <w:trPr>
          <w:trHeight w:val="300"/>
        </w:trPr>
        <w:tc>
          <w:tcPr>
            <w:tcW w:w="0" w:type="auto"/>
            <w:vAlign w:val="center"/>
            <w:hideMark/>
          </w:tcPr>
          <w:p w14:paraId="15301C8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16.</w:t>
            </w:r>
          </w:p>
        </w:tc>
        <w:tc>
          <w:tcPr>
            <w:tcW w:w="0" w:type="auto"/>
            <w:vAlign w:val="center"/>
            <w:hideMark/>
          </w:tcPr>
          <w:p w14:paraId="71C2CBF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Сучанское.</w:t>
            </w:r>
          </w:p>
        </w:tc>
      </w:tr>
      <w:tr w:rsidR="004E10C1" w:rsidRPr="0044524F" w14:paraId="12F11371" w14:textId="77777777" w:rsidTr="00DC292A">
        <w:trPr>
          <w:trHeight w:val="300"/>
        </w:trPr>
        <w:tc>
          <w:tcPr>
            <w:tcW w:w="0" w:type="auto"/>
            <w:gridSpan w:val="2"/>
            <w:vAlign w:val="center"/>
            <w:hideMark/>
          </w:tcPr>
          <w:p w14:paraId="2492130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Средазуголь.</w:t>
            </w:r>
          </w:p>
        </w:tc>
      </w:tr>
      <w:tr w:rsidR="004E10C1" w:rsidRPr="0044524F" w14:paraId="40D4BC1A" w14:textId="77777777" w:rsidTr="00DC292A">
        <w:trPr>
          <w:trHeight w:val="300"/>
        </w:trPr>
        <w:tc>
          <w:tcPr>
            <w:tcW w:w="0" w:type="auto"/>
            <w:vAlign w:val="center"/>
            <w:hideMark/>
          </w:tcPr>
          <w:p w14:paraId="4583A15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„Ударник"</w:t>
            </w:r>
          </w:p>
        </w:tc>
        <w:tc>
          <w:tcPr>
            <w:tcW w:w="0" w:type="auto"/>
            <w:vAlign w:val="center"/>
            <w:hideMark/>
          </w:tcPr>
          <w:p w14:paraId="65D1E89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Сулюкта.</w:t>
            </w:r>
          </w:p>
        </w:tc>
      </w:tr>
      <w:tr w:rsidR="004E10C1" w:rsidRPr="0044524F" w14:paraId="25386E41" w14:textId="77777777" w:rsidTr="00DC292A">
        <w:trPr>
          <w:trHeight w:val="300"/>
        </w:trPr>
        <w:tc>
          <w:tcPr>
            <w:tcW w:w="0" w:type="auto"/>
            <w:gridSpan w:val="2"/>
            <w:vAlign w:val="center"/>
            <w:hideMark/>
          </w:tcPr>
          <w:p w14:paraId="3C4103B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Доделки шахт, сданных в эксплоатацию в 1932 г.</w:t>
            </w:r>
          </w:p>
        </w:tc>
      </w:tr>
      <w:tr w:rsidR="004E10C1" w:rsidRPr="0044524F" w14:paraId="4052D78C" w14:textId="77777777" w:rsidTr="00DC292A">
        <w:trPr>
          <w:trHeight w:val="300"/>
        </w:trPr>
        <w:tc>
          <w:tcPr>
            <w:tcW w:w="0" w:type="auto"/>
            <w:gridSpan w:val="2"/>
            <w:vAlign w:val="center"/>
            <w:hideMark/>
          </w:tcPr>
          <w:p w14:paraId="00EA873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Артемуголь.</w:t>
            </w:r>
          </w:p>
        </w:tc>
      </w:tr>
      <w:tr w:rsidR="004E10C1" w:rsidRPr="0044524F" w14:paraId="62CD6EFC" w14:textId="77777777" w:rsidTr="00DC292A">
        <w:trPr>
          <w:trHeight w:val="300"/>
        </w:trPr>
        <w:tc>
          <w:tcPr>
            <w:tcW w:w="0" w:type="auto"/>
            <w:vAlign w:val="center"/>
            <w:hideMark/>
          </w:tcPr>
          <w:p w14:paraId="4523EC0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8-а.</w:t>
            </w:r>
          </w:p>
        </w:tc>
        <w:tc>
          <w:tcPr>
            <w:tcW w:w="0" w:type="auto"/>
            <w:vAlign w:val="center"/>
            <w:hideMark/>
          </w:tcPr>
          <w:p w14:paraId="0E22A98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Горловскос.</w:t>
            </w:r>
          </w:p>
        </w:tc>
      </w:tr>
      <w:tr w:rsidR="004E10C1" w:rsidRPr="0044524F" w14:paraId="3CE03AD6" w14:textId="77777777" w:rsidTr="00DC292A">
        <w:trPr>
          <w:trHeight w:val="300"/>
        </w:trPr>
        <w:tc>
          <w:tcPr>
            <w:tcW w:w="0" w:type="auto"/>
            <w:vAlign w:val="center"/>
            <w:hideMark/>
          </w:tcPr>
          <w:p w14:paraId="7E27B16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Алекс. Западн.</w:t>
            </w:r>
          </w:p>
        </w:tc>
        <w:tc>
          <w:tcPr>
            <w:tcW w:w="0" w:type="auto"/>
            <w:vAlign w:val="center"/>
            <w:hideMark/>
          </w:tcPr>
          <w:p w14:paraId="53CEBAC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Калининское.</w:t>
            </w:r>
          </w:p>
        </w:tc>
      </w:tr>
      <w:tr w:rsidR="004E10C1" w:rsidRPr="0044524F" w14:paraId="74013957" w14:textId="77777777" w:rsidTr="00DC292A">
        <w:trPr>
          <w:trHeight w:val="300"/>
        </w:trPr>
        <w:tc>
          <w:tcPr>
            <w:tcW w:w="0" w:type="auto"/>
            <w:vAlign w:val="center"/>
            <w:hideMark/>
          </w:tcPr>
          <w:p w14:paraId="013DF5B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1/3.</w:t>
            </w:r>
          </w:p>
        </w:tc>
        <w:tc>
          <w:tcPr>
            <w:tcW w:w="0" w:type="auto"/>
            <w:vAlign w:val="center"/>
            <w:hideMark/>
          </w:tcPr>
          <w:p w14:paraId="41083C6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Горловское.</w:t>
            </w:r>
          </w:p>
        </w:tc>
      </w:tr>
      <w:tr w:rsidR="004E10C1" w:rsidRPr="0044524F" w14:paraId="53D6BECF" w14:textId="77777777" w:rsidTr="00DC292A">
        <w:trPr>
          <w:trHeight w:val="300"/>
        </w:trPr>
        <w:tc>
          <w:tcPr>
            <w:tcW w:w="0" w:type="auto"/>
            <w:gridSpan w:val="2"/>
            <w:vAlign w:val="center"/>
            <w:hideMark/>
          </w:tcPr>
          <w:p w14:paraId="6E01BDA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Кадиевуголь.</w:t>
            </w:r>
          </w:p>
        </w:tc>
      </w:tr>
      <w:tr w:rsidR="004E10C1" w:rsidRPr="0044524F" w14:paraId="57C02A33" w14:textId="77777777" w:rsidTr="00DC292A">
        <w:trPr>
          <w:trHeight w:val="300"/>
        </w:trPr>
        <w:tc>
          <w:tcPr>
            <w:tcW w:w="0" w:type="auto"/>
            <w:vAlign w:val="center"/>
            <w:hideMark/>
          </w:tcPr>
          <w:p w14:paraId="7062FC1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„Петр".</w:t>
            </w:r>
          </w:p>
        </w:tc>
        <w:tc>
          <w:tcPr>
            <w:tcW w:w="0" w:type="auto"/>
            <w:vAlign w:val="center"/>
            <w:hideMark/>
          </w:tcPr>
          <w:p w14:paraId="206EDA7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Зол. Тошковск.</w:t>
            </w:r>
          </w:p>
        </w:tc>
      </w:tr>
      <w:tr w:rsidR="004E10C1" w:rsidRPr="0044524F" w14:paraId="618A76DA" w14:textId="77777777" w:rsidTr="00DC292A">
        <w:trPr>
          <w:trHeight w:val="300"/>
        </w:trPr>
        <w:tc>
          <w:tcPr>
            <w:tcW w:w="0" w:type="auto"/>
            <w:vAlign w:val="center"/>
            <w:hideMark/>
          </w:tcPr>
          <w:p w14:paraId="021FC2F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Штольня № 3.</w:t>
            </w:r>
          </w:p>
        </w:tc>
        <w:tc>
          <w:tcPr>
            <w:tcW w:w="0" w:type="auto"/>
            <w:vAlign w:val="center"/>
            <w:hideMark/>
          </w:tcPr>
          <w:p w14:paraId="1788434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Голубовское.</w:t>
            </w:r>
          </w:p>
        </w:tc>
      </w:tr>
      <w:tr w:rsidR="004E10C1" w:rsidRPr="0044524F" w14:paraId="6856362F" w14:textId="77777777" w:rsidTr="00DC292A">
        <w:trPr>
          <w:trHeight w:val="300"/>
        </w:trPr>
        <w:tc>
          <w:tcPr>
            <w:tcW w:w="0" w:type="auto"/>
            <w:vAlign w:val="center"/>
            <w:hideMark/>
          </w:tcPr>
          <w:p w14:paraId="17FE7B8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„Томашевка".</w:t>
            </w:r>
          </w:p>
        </w:tc>
        <w:tc>
          <w:tcPr>
            <w:tcW w:w="0" w:type="auto"/>
            <w:vAlign w:val="center"/>
            <w:hideMark/>
          </w:tcPr>
          <w:p w14:paraId="18D617A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Лисичанское.</w:t>
            </w:r>
          </w:p>
        </w:tc>
      </w:tr>
      <w:tr w:rsidR="004E10C1" w:rsidRPr="0044524F" w14:paraId="45EEE1B5" w14:textId="77777777" w:rsidTr="00DC292A">
        <w:trPr>
          <w:trHeight w:val="300"/>
        </w:trPr>
        <w:tc>
          <w:tcPr>
            <w:tcW w:w="0" w:type="auto"/>
            <w:gridSpan w:val="2"/>
            <w:vAlign w:val="center"/>
            <w:hideMark/>
          </w:tcPr>
          <w:p w14:paraId="4E69A51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Сталинуголь.</w:t>
            </w:r>
          </w:p>
        </w:tc>
      </w:tr>
      <w:tr w:rsidR="004E10C1" w:rsidRPr="0044524F" w14:paraId="28E3F600" w14:textId="77777777" w:rsidTr="00DC292A">
        <w:trPr>
          <w:trHeight w:val="300"/>
        </w:trPr>
        <w:tc>
          <w:tcPr>
            <w:tcW w:w="0" w:type="auto"/>
            <w:vAlign w:val="center"/>
            <w:hideMark/>
          </w:tcPr>
          <w:p w14:paraId="7855B6B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16/17.</w:t>
            </w:r>
          </w:p>
        </w:tc>
        <w:tc>
          <w:tcPr>
            <w:tcW w:w="0" w:type="auto"/>
            <w:vAlign w:val="center"/>
            <w:hideMark/>
          </w:tcPr>
          <w:p w14:paraId="0B5076A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Будённовское.</w:t>
            </w:r>
          </w:p>
        </w:tc>
      </w:tr>
      <w:tr w:rsidR="004E10C1" w:rsidRPr="0044524F" w14:paraId="47073788" w14:textId="77777777" w:rsidTr="00DC292A">
        <w:trPr>
          <w:trHeight w:val="300"/>
        </w:trPr>
        <w:tc>
          <w:tcPr>
            <w:tcW w:w="0" w:type="auto"/>
            <w:gridSpan w:val="2"/>
            <w:vAlign w:val="center"/>
            <w:hideMark/>
          </w:tcPr>
          <w:p w14:paraId="4C612CF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Донбассантрацит.</w:t>
            </w:r>
          </w:p>
        </w:tc>
      </w:tr>
      <w:tr w:rsidR="004E10C1" w:rsidRPr="0044524F" w14:paraId="667069CB" w14:textId="77777777" w:rsidTr="00DC292A">
        <w:trPr>
          <w:trHeight w:val="300"/>
        </w:trPr>
        <w:tc>
          <w:tcPr>
            <w:tcW w:w="0" w:type="auto"/>
            <w:vAlign w:val="center"/>
            <w:hideMark/>
          </w:tcPr>
          <w:p w14:paraId="7AEA258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 „Первомайская".</w:t>
            </w:r>
          </w:p>
        </w:tc>
        <w:tc>
          <w:tcPr>
            <w:tcW w:w="0" w:type="auto"/>
            <w:vAlign w:val="center"/>
            <w:hideMark/>
          </w:tcPr>
          <w:p w14:paraId="03AEDD6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Фоминское.</w:t>
            </w:r>
          </w:p>
        </w:tc>
      </w:tr>
      <w:tr w:rsidR="004E10C1" w:rsidRPr="0044524F" w14:paraId="78107965" w14:textId="77777777" w:rsidTr="00DC292A">
        <w:trPr>
          <w:trHeight w:val="300"/>
        </w:trPr>
        <w:tc>
          <w:tcPr>
            <w:tcW w:w="0" w:type="auto"/>
            <w:vAlign w:val="center"/>
            <w:hideMark/>
          </w:tcPr>
          <w:p w14:paraId="0197857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53.</w:t>
            </w:r>
          </w:p>
        </w:tc>
        <w:tc>
          <w:tcPr>
            <w:tcW w:w="0" w:type="auto"/>
            <w:vAlign w:val="center"/>
            <w:hideMark/>
          </w:tcPr>
          <w:p w14:paraId="2CE8BFB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Боковское.</w:t>
            </w:r>
          </w:p>
        </w:tc>
      </w:tr>
      <w:tr w:rsidR="004E10C1" w:rsidRPr="0044524F" w14:paraId="37686B4F" w14:textId="77777777" w:rsidTr="00DC292A">
        <w:trPr>
          <w:trHeight w:val="300"/>
        </w:trPr>
        <w:tc>
          <w:tcPr>
            <w:tcW w:w="0" w:type="auto"/>
            <w:vAlign w:val="center"/>
            <w:hideMark/>
          </w:tcPr>
          <w:p w14:paraId="2B0E04D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21.</w:t>
            </w:r>
          </w:p>
        </w:tc>
        <w:tc>
          <w:tcPr>
            <w:tcW w:w="0" w:type="auto"/>
            <w:vAlign w:val="center"/>
            <w:hideMark/>
          </w:tcPr>
          <w:p w14:paraId="53DBEEE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Шварцевское.</w:t>
            </w:r>
          </w:p>
        </w:tc>
      </w:tr>
      <w:tr w:rsidR="004E10C1" w:rsidRPr="0044524F" w14:paraId="05E1FF60" w14:textId="77777777" w:rsidTr="00DC292A">
        <w:trPr>
          <w:trHeight w:val="300"/>
        </w:trPr>
        <w:tc>
          <w:tcPr>
            <w:tcW w:w="0" w:type="auto"/>
            <w:vAlign w:val="center"/>
            <w:hideMark/>
          </w:tcPr>
          <w:p w14:paraId="3BE97E4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22.</w:t>
            </w:r>
          </w:p>
        </w:tc>
        <w:tc>
          <w:tcPr>
            <w:tcW w:w="0" w:type="auto"/>
            <w:vAlign w:val="center"/>
            <w:hideMark/>
          </w:tcPr>
          <w:p w14:paraId="079F508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Шварцевское.</w:t>
            </w:r>
          </w:p>
        </w:tc>
      </w:tr>
      <w:tr w:rsidR="004E10C1" w:rsidRPr="0044524F" w14:paraId="67EB1347" w14:textId="77777777" w:rsidTr="00DC292A">
        <w:trPr>
          <w:trHeight w:val="300"/>
        </w:trPr>
        <w:tc>
          <w:tcPr>
            <w:tcW w:w="0" w:type="auto"/>
            <w:vAlign w:val="center"/>
            <w:hideMark/>
          </w:tcPr>
          <w:p w14:paraId="4A0ECAA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9.</w:t>
            </w:r>
          </w:p>
        </w:tc>
        <w:tc>
          <w:tcPr>
            <w:tcW w:w="0" w:type="auto"/>
            <w:vAlign w:val="center"/>
            <w:hideMark/>
          </w:tcPr>
          <w:p w14:paraId="3481857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Свердловское.</w:t>
            </w:r>
          </w:p>
        </w:tc>
      </w:tr>
      <w:tr w:rsidR="004E10C1" w:rsidRPr="0044524F" w14:paraId="464F2D6A" w14:textId="77777777" w:rsidTr="00DC292A">
        <w:trPr>
          <w:trHeight w:val="300"/>
        </w:trPr>
        <w:tc>
          <w:tcPr>
            <w:tcW w:w="0" w:type="auto"/>
            <w:gridSpan w:val="2"/>
            <w:vAlign w:val="center"/>
            <w:hideMark/>
          </w:tcPr>
          <w:p w14:paraId="404F893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Шахтстрой.</w:t>
            </w:r>
          </w:p>
        </w:tc>
      </w:tr>
      <w:tr w:rsidR="004E10C1" w:rsidRPr="0044524F" w14:paraId="4A7D3106" w14:textId="77777777" w:rsidTr="00DC292A">
        <w:trPr>
          <w:trHeight w:val="300"/>
        </w:trPr>
        <w:tc>
          <w:tcPr>
            <w:tcW w:w="0" w:type="auto"/>
            <w:vAlign w:val="center"/>
            <w:hideMark/>
          </w:tcPr>
          <w:p w14:paraId="668E04B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16/17 Евдокиев.</w:t>
            </w:r>
          </w:p>
        </w:tc>
        <w:tc>
          <w:tcPr>
            <w:tcW w:w="0" w:type="auto"/>
            <w:vAlign w:val="center"/>
            <w:hideMark/>
          </w:tcPr>
          <w:p w14:paraId="7157A5B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Буденновское.</w:t>
            </w:r>
          </w:p>
        </w:tc>
      </w:tr>
      <w:tr w:rsidR="004E10C1" w:rsidRPr="0044524F" w14:paraId="67A9790F" w14:textId="77777777" w:rsidTr="00DC292A">
        <w:trPr>
          <w:trHeight w:val="300"/>
        </w:trPr>
        <w:tc>
          <w:tcPr>
            <w:tcW w:w="0" w:type="auto"/>
            <w:vAlign w:val="center"/>
            <w:hideMark/>
          </w:tcPr>
          <w:p w14:paraId="3FCEA16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им. Киселева.</w:t>
            </w:r>
          </w:p>
        </w:tc>
        <w:tc>
          <w:tcPr>
            <w:tcW w:w="0" w:type="auto"/>
            <w:vAlign w:val="center"/>
            <w:hideMark/>
          </w:tcPr>
          <w:p w14:paraId="7512A74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Чистяковское.</w:t>
            </w:r>
          </w:p>
        </w:tc>
      </w:tr>
      <w:tr w:rsidR="004E10C1" w:rsidRPr="0044524F" w14:paraId="1877AF14" w14:textId="77777777" w:rsidTr="00DC292A">
        <w:trPr>
          <w:trHeight w:val="300"/>
        </w:trPr>
        <w:tc>
          <w:tcPr>
            <w:tcW w:w="0" w:type="auto"/>
            <w:vAlign w:val="center"/>
            <w:hideMark/>
          </w:tcPr>
          <w:p w14:paraId="6B961BE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„Узловая".</w:t>
            </w:r>
          </w:p>
        </w:tc>
        <w:tc>
          <w:tcPr>
            <w:tcW w:w="0" w:type="auto"/>
            <w:vAlign w:val="center"/>
            <w:hideMark/>
          </w:tcPr>
          <w:p w14:paraId="78BA270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Чистяковское.</w:t>
            </w:r>
          </w:p>
        </w:tc>
      </w:tr>
      <w:tr w:rsidR="004E10C1" w:rsidRPr="0044524F" w14:paraId="110B8261" w14:textId="77777777" w:rsidTr="00DC292A">
        <w:trPr>
          <w:trHeight w:val="300"/>
        </w:trPr>
        <w:tc>
          <w:tcPr>
            <w:tcW w:w="0" w:type="auto"/>
            <w:vAlign w:val="center"/>
            <w:hideMark/>
          </w:tcPr>
          <w:p w14:paraId="4284580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Горско-Ивановск.</w:t>
            </w:r>
          </w:p>
        </w:tc>
        <w:tc>
          <w:tcPr>
            <w:tcW w:w="0" w:type="auto"/>
            <w:vAlign w:val="center"/>
            <w:hideMark/>
          </w:tcPr>
          <w:p w14:paraId="6A31BC2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Зол. Тошковск.</w:t>
            </w:r>
          </w:p>
        </w:tc>
      </w:tr>
      <w:tr w:rsidR="004E10C1" w:rsidRPr="0044524F" w14:paraId="5E6DF6D9" w14:textId="77777777" w:rsidTr="00DC292A">
        <w:trPr>
          <w:trHeight w:val="300"/>
        </w:trPr>
        <w:tc>
          <w:tcPr>
            <w:tcW w:w="0" w:type="auto"/>
            <w:gridSpan w:val="2"/>
            <w:vAlign w:val="center"/>
            <w:hideMark/>
          </w:tcPr>
          <w:p w14:paraId="019579C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Кузбассуголь.</w:t>
            </w:r>
          </w:p>
        </w:tc>
      </w:tr>
      <w:tr w:rsidR="004E10C1" w:rsidRPr="0044524F" w14:paraId="79F82570" w14:textId="77777777" w:rsidTr="00DC292A">
        <w:trPr>
          <w:trHeight w:val="300"/>
        </w:trPr>
        <w:tc>
          <w:tcPr>
            <w:tcW w:w="0" w:type="auto"/>
            <w:vAlign w:val="center"/>
            <w:hideMark/>
          </w:tcPr>
          <w:p w14:paraId="3BA3D31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Ново-Журинская.</w:t>
            </w:r>
          </w:p>
        </w:tc>
        <w:tc>
          <w:tcPr>
            <w:tcW w:w="0" w:type="auto"/>
            <w:vAlign w:val="center"/>
            <w:hideMark/>
          </w:tcPr>
          <w:p w14:paraId="16E568F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Ленинское.</w:t>
            </w:r>
          </w:p>
        </w:tc>
      </w:tr>
      <w:tr w:rsidR="004E10C1" w:rsidRPr="0044524F" w14:paraId="40F8CCB9" w14:textId="77777777" w:rsidTr="00DC292A">
        <w:trPr>
          <w:trHeight w:val="300"/>
        </w:trPr>
        <w:tc>
          <w:tcPr>
            <w:tcW w:w="0" w:type="auto"/>
            <w:vAlign w:val="center"/>
            <w:hideMark/>
          </w:tcPr>
          <w:p w14:paraId="3FC140D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„А".</w:t>
            </w:r>
          </w:p>
        </w:tc>
        <w:tc>
          <w:tcPr>
            <w:tcW w:w="0" w:type="auto"/>
            <w:vAlign w:val="center"/>
            <w:hideMark/>
          </w:tcPr>
          <w:p w14:paraId="73E2057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Ленинское.</w:t>
            </w:r>
          </w:p>
        </w:tc>
      </w:tr>
      <w:tr w:rsidR="004E10C1" w:rsidRPr="0044524F" w14:paraId="306D1F2A" w14:textId="77777777" w:rsidTr="00DC292A">
        <w:trPr>
          <w:trHeight w:val="300"/>
        </w:trPr>
        <w:tc>
          <w:tcPr>
            <w:tcW w:w="0" w:type="auto"/>
            <w:vAlign w:val="center"/>
            <w:hideMark/>
          </w:tcPr>
          <w:p w14:paraId="23D2A01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9.</w:t>
            </w:r>
          </w:p>
        </w:tc>
        <w:tc>
          <w:tcPr>
            <w:tcW w:w="0" w:type="auto"/>
            <w:vAlign w:val="center"/>
            <w:hideMark/>
          </w:tcPr>
          <w:p w14:paraId="62534AE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Осиновское.</w:t>
            </w:r>
          </w:p>
        </w:tc>
      </w:tr>
      <w:tr w:rsidR="004E10C1" w:rsidRPr="0044524F" w14:paraId="36388DD4" w14:textId="77777777" w:rsidTr="00DC292A">
        <w:trPr>
          <w:trHeight w:val="300"/>
        </w:trPr>
        <w:tc>
          <w:tcPr>
            <w:tcW w:w="0" w:type="auto"/>
            <w:vAlign w:val="center"/>
            <w:hideMark/>
          </w:tcPr>
          <w:p w14:paraId="65515E4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10 Елбан.</w:t>
            </w:r>
          </w:p>
        </w:tc>
        <w:tc>
          <w:tcPr>
            <w:tcW w:w="0" w:type="auto"/>
            <w:vAlign w:val="center"/>
            <w:hideMark/>
          </w:tcPr>
          <w:p w14:paraId="7D9AC9B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Осиновское.</w:t>
            </w:r>
          </w:p>
        </w:tc>
      </w:tr>
      <w:tr w:rsidR="004E10C1" w:rsidRPr="0044524F" w14:paraId="5C62472F" w14:textId="77777777" w:rsidTr="00DC292A">
        <w:trPr>
          <w:trHeight w:val="300"/>
        </w:trPr>
        <w:tc>
          <w:tcPr>
            <w:tcW w:w="0" w:type="auto"/>
            <w:vAlign w:val="center"/>
            <w:hideMark/>
          </w:tcPr>
          <w:p w14:paraId="32A5C1A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10.</w:t>
            </w:r>
          </w:p>
        </w:tc>
        <w:tc>
          <w:tcPr>
            <w:tcW w:w="0" w:type="auto"/>
            <w:vAlign w:val="center"/>
            <w:hideMark/>
          </w:tcPr>
          <w:p w14:paraId="1C03E48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Прокопьевске.</w:t>
            </w:r>
          </w:p>
        </w:tc>
      </w:tr>
      <w:tr w:rsidR="004E10C1" w:rsidRPr="0044524F" w14:paraId="27064272" w14:textId="77777777" w:rsidTr="00DC292A">
        <w:trPr>
          <w:trHeight w:val="300"/>
        </w:trPr>
        <w:tc>
          <w:tcPr>
            <w:tcW w:w="0" w:type="auto"/>
            <w:vAlign w:val="center"/>
            <w:hideMark/>
          </w:tcPr>
          <w:p w14:paraId="4151CED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Акчурлинская.</w:t>
            </w:r>
          </w:p>
        </w:tc>
        <w:tc>
          <w:tcPr>
            <w:tcW w:w="0" w:type="auto"/>
            <w:vAlign w:val="center"/>
            <w:hideMark/>
          </w:tcPr>
          <w:p w14:paraId="7A79A04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Киселевское.</w:t>
            </w:r>
          </w:p>
        </w:tc>
      </w:tr>
      <w:tr w:rsidR="004E10C1" w:rsidRPr="0044524F" w14:paraId="77BE6CC7" w14:textId="77777777" w:rsidTr="00DC292A">
        <w:trPr>
          <w:trHeight w:val="300"/>
        </w:trPr>
        <w:tc>
          <w:tcPr>
            <w:tcW w:w="0" w:type="auto"/>
            <w:vAlign w:val="center"/>
            <w:hideMark/>
          </w:tcPr>
          <w:p w14:paraId="362FDF1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w:t>
            </w:r>
          </w:p>
        </w:tc>
        <w:tc>
          <w:tcPr>
            <w:tcW w:w="0" w:type="auto"/>
            <w:vAlign w:val="center"/>
            <w:hideMark/>
          </w:tcPr>
          <w:p w14:paraId="658D45D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Белевское.</w:t>
            </w:r>
          </w:p>
        </w:tc>
      </w:tr>
      <w:tr w:rsidR="004E10C1" w:rsidRPr="0044524F" w14:paraId="7F787994" w14:textId="77777777" w:rsidTr="00DC292A">
        <w:trPr>
          <w:trHeight w:val="300"/>
        </w:trPr>
        <w:tc>
          <w:tcPr>
            <w:tcW w:w="0" w:type="auto"/>
            <w:gridSpan w:val="2"/>
            <w:vAlign w:val="center"/>
            <w:hideMark/>
          </w:tcPr>
          <w:p w14:paraId="5F5FF64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Востсибуголь.</w:t>
            </w:r>
          </w:p>
        </w:tc>
      </w:tr>
      <w:tr w:rsidR="004E10C1" w:rsidRPr="0044524F" w14:paraId="3E0B40F0" w14:textId="77777777" w:rsidTr="00DC292A">
        <w:trPr>
          <w:trHeight w:val="300"/>
        </w:trPr>
        <w:tc>
          <w:tcPr>
            <w:tcW w:w="0" w:type="auto"/>
            <w:vAlign w:val="center"/>
            <w:hideMark/>
          </w:tcPr>
          <w:p w14:paraId="4BDD16E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„Головина".</w:t>
            </w:r>
          </w:p>
        </w:tc>
        <w:tc>
          <w:tcPr>
            <w:tcW w:w="0" w:type="auto"/>
            <w:vAlign w:val="center"/>
            <w:hideMark/>
          </w:tcPr>
          <w:p w14:paraId="7BC48AB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Головинское.</w:t>
            </w:r>
          </w:p>
        </w:tc>
      </w:tr>
      <w:tr w:rsidR="004E10C1" w:rsidRPr="0044524F" w14:paraId="1CD1E32F" w14:textId="77777777" w:rsidTr="00DC292A">
        <w:trPr>
          <w:trHeight w:val="300"/>
        </w:trPr>
        <w:tc>
          <w:tcPr>
            <w:tcW w:w="0" w:type="auto"/>
            <w:vAlign w:val="center"/>
            <w:hideMark/>
          </w:tcPr>
          <w:p w14:paraId="50C70DB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„Халяртин".</w:t>
            </w:r>
          </w:p>
        </w:tc>
        <w:tc>
          <w:tcPr>
            <w:tcW w:w="0" w:type="auto"/>
            <w:vAlign w:val="center"/>
            <w:hideMark/>
          </w:tcPr>
          <w:p w14:paraId="7F6690E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Халярта.</w:t>
            </w:r>
          </w:p>
        </w:tc>
      </w:tr>
      <w:tr w:rsidR="004E10C1" w:rsidRPr="0044524F" w14:paraId="5370E20C" w14:textId="77777777" w:rsidTr="00DC292A">
        <w:trPr>
          <w:trHeight w:val="300"/>
        </w:trPr>
        <w:tc>
          <w:tcPr>
            <w:tcW w:w="0" w:type="auto"/>
            <w:gridSpan w:val="2"/>
            <w:vAlign w:val="center"/>
            <w:hideMark/>
          </w:tcPr>
          <w:p w14:paraId="3B053FE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Москвоуголь.</w:t>
            </w:r>
          </w:p>
        </w:tc>
      </w:tr>
      <w:tr w:rsidR="004E10C1" w:rsidRPr="0044524F" w14:paraId="2AF4DABC" w14:textId="77777777" w:rsidTr="00DC292A">
        <w:trPr>
          <w:trHeight w:val="300"/>
        </w:trPr>
        <w:tc>
          <w:tcPr>
            <w:tcW w:w="0" w:type="auto"/>
            <w:vAlign w:val="center"/>
            <w:hideMark/>
          </w:tcPr>
          <w:p w14:paraId="2C9CC67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5 „бис".</w:t>
            </w:r>
          </w:p>
        </w:tc>
        <w:tc>
          <w:tcPr>
            <w:tcW w:w="0" w:type="auto"/>
            <w:vAlign w:val="center"/>
            <w:hideMark/>
          </w:tcPr>
          <w:p w14:paraId="1577AB5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Щекинское.</w:t>
            </w:r>
          </w:p>
        </w:tc>
      </w:tr>
      <w:tr w:rsidR="004E10C1" w:rsidRPr="0044524F" w14:paraId="1ED74C5D" w14:textId="77777777" w:rsidTr="00DC292A">
        <w:trPr>
          <w:trHeight w:val="300"/>
        </w:trPr>
        <w:tc>
          <w:tcPr>
            <w:tcW w:w="0" w:type="auto"/>
            <w:vAlign w:val="center"/>
            <w:hideMark/>
          </w:tcPr>
          <w:p w14:paraId="0E7825A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№46.</w:t>
            </w:r>
          </w:p>
        </w:tc>
        <w:tc>
          <w:tcPr>
            <w:tcW w:w="0" w:type="auto"/>
            <w:vAlign w:val="center"/>
            <w:hideMark/>
          </w:tcPr>
          <w:p w14:paraId="3248685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Побединское.</w:t>
            </w:r>
          </w:p>
        </w:tc>
      </w:tr>
      <w:tr w:rsidR="004E10C1" w:rsidRPr="0044524F" w14:paraId="3C011384" w14:textId="77777777" w:rsidTr="00DC292A">
        <w:trPr>
          <w:trHeight w:val="300"/>
        </w:trPr>
        <w:tc>
          <w:tcPr>
            <w:tcW w:w="0" w:type="auto"/>
            <w:vAlign w:val="center"/>
            <w:hideMark/>
          </w:tcPr>
          <w:p w14:paraId="44994A3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18.</w:t>
            </w:r>
          </w:p>
        </w:tc>
        <w:tc>
          <w:tcPr>
            <w:tcW w:w="0" w:type="auto"/>
            <w:vAlign w:val="center"/>
            <w:hideMark/>
          </w:tcPr>
          <w:p w14:paraId="47C06C2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Шварцевское.</w:t>
            </w:r>
          </w:p>
        </w:tc>
      </w:tr>
      <w:tr w:rsidR="004E10C1" w:rsidRPr="0044524F" w14:paraId="368CE260" w14:textId="77777777" w:rsidTr="00DC292A">
        <w:trPr>
          <w:trHeight w:val="300"/>
        </w:trPr>
        <w:tc>
          <w:tcPr>
            <w:tcW w:w="0" w:type="auto"/>
            <w:vAlign w:val="center"/>
            <w:hideMark/>
          </w:tcPr>
          <w:p w14:paraId="10568D8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15 "бис".</w:t>
            </w:r>
          </w:p>
        </w:tc>
        <w:tc>
          <w:tcPr>
            <w:tcW w:w="0" w:type="auto"/>
            <w:vAlign w:val="center"/>
            <w:hideMark/>
          </w:tcPr>
          <w:p w14:paraId="637FBD4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Шварцевское.</w:t>
            </w:r>
          </w:p>
        </w:tc>
      </w:tr>
      <w:tr w:rsidR="004E10C1" w:rsidRPr="0044524F" w14:paraId="6012240B" w14:textId="77777777" w:rsidTr="00DC292A">
        <w:trPr>
          <w:trHeight w:val="300"/>
        </w:trPr>
        <w:tc>
          <w:tcPr>
            <w:tcW w:w="0" w:type="auto"/>
            <w:vAlign w:val="center"/>
            <w:hideMark/>
          </w:tcPr>
          <w:p w14:paraId="55D53C5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Шахта № 7 Щекин.</w:t>
            </w:r>
          </w:p>
        </w:tc>
        <w:tc>
          <w:tcPr>
            <w:tcW w:w="0" w:type="auto"/>
            <w:vAlign w:val="center"/>
            <w:hideMark/>
          </w:tcPr>
          <w:p w14:paraId="7078A9A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Щекинское.</w:t>
            </w:r>
          </w:p>
        </w:tc>
      </w:tr>
      <w:tr w:rsidR="004E10C1" w:rsidRPr="0044524F" w14:paraId="48980B3F" w14:textId="77777777" w:rsidTr="00DC292A">
        <w:trPr>
          <w:trHeight w:val="300"/>
        </w:trPr>
        <w:tc>
          <w:tcPr>
            <w:tcW w:w="0" w:type="auto"/>
            <w:vAlign w:val="center"/>
            <w:hideMark/>
          </w:tcPr>
          <w:p w14:paraId="32FD9DE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57.</w:t>
            </w:r>
          </w:p>
        </w:tc>
        <w:tc>
          <w:tcPr>
            <w:tcW w:w="0" w:type="auto"/>
            <w:vAlign w:val="center"/>
            <w:hideMark/>
          </w:tcPr>
          <w:p w14:paraId="469E791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им. Кагановича.</w:t>
            </w:r>
          </w:p>
        </w:tc>
      </w:tr>
      <w:tr w:rsidR="004E10C1" w:rsidRPr="0044524F" w14:paraId="35C5D5DB" w14:textId="77777777" w:rsidTr="00DC292A">
        <w:trPr>
          <w:trHeight w:val="300"/>
        </w:trPr>
        <w:tc>
          <w:tcPr>
            <w:tcW w:w="0" w:type="auto"/>
            <w:gridSpan w:val="2"/>
            <w:vAlign w:val="center"/>
            <w:hideMark/>
          </w:tcPr>
          <w:p w14:paraId="0BF449F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Уралуголь.</w:t>
            </w:r>
          </w:p>
        </w:tc>
      </w:tr>
      <w:tr w:rsidR="004E10C1" w:rsidRPr="0044524F" w14:paraId="4490DBA8" w14:textId="77777777" w:rsidTr="00DC292A">
        <w:trPr>
          <w:trHeight w:val="300"/>
        </w:trPr>
        <w:tc>
          <w:tcPr>
            <w:tcW w:w="0" w:type="auto"/>
            <w:vAlign w:val="center"/>
            <w:hideMark/>
          </w:tcPr>
          <w:p w14:paraId="01A9FF9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21.</w:t>
            </w:r>
          </w:p>
        </w:tc>
        <w:tc>
          <w:tcPr>
            <w:tcW w:w="0" w:type="auto"/>
            <w:vAlign w:val="center"/>
            <w:hideMark/>
          </w:tcPr>
          <w:p w14:paraId="71BEECD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Кизеловское.</w:t>
            </w:r>
          </w:p>
        </w:tc>
      </w:tr>
      <w:tr w:rsidR="004E10C1" w:rsidRPr="0044524F" w14:paraId="16455999" w14:textId="77777777" w:rsidTr="00DC292A">
        <w:trPr>
          <w:trHeight w:val="300"/>
        </w:trPr>
        <w:tc>
          <w:tcPr>
            <w:tcW w:w="0" w:type="auto"/>
            <w:vAlign w:val="center"/>
            <w:hideMark/>
          </w:tcPr>
          <w:p w14:paraId="0447A27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23.</w:t>
            </w:r>
          </w:p>
        </w:tc>
        <w:tc>
          <w:tcPr>
            <w:tcW w:w="0" w:type="auto"/>
            <w:vAlign w:val="center"/>
            <w:hideMark/>
          </w:tcPr>
          <w:p w14:paraId="4B3047F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Кизеловское.</w:t>
            </w:r>
          </w:p>
        </w:tc>
      </w:tr>
      <w:tr w:rsidR="004E10C1" w:rsidRPr="0044524F" w14:paraId="655F60CF" w14:textId="77777777" w:rsidTr="00DC292A">
        <w:trPr>
          <w:trHeight w:val="300"/>
        </w:trPr>
        <w:tc>
          <w:tcPr>
            <w:tcW w:w="0" w:type="auto"/>
            <w:vAlign w:val="center"/>
            <w:hideMark/>
          </w:tcPr>
          <w:p w14:paraId="7D8B030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4.</w:t>
            </w:r>
          </w:p>
        </w:tc>
        <w:tc>
          <w:tcPr>
            <w:tcW w:w="0" w:type="auto"/>
            <w:vAlign w:val="center"/>
            <w:hideMark/>
          </w:tcPr>
          <w:p w14:paraId="58FFB8B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Кизеловское.</w:t>
            </w:r>
          </w:p>
        </w:tc>
      </w:tr>
      <w:tr w:rsidR="004E10C1" w:rsidRPr="0044524F" w14:paraId="214E4BE9" w14:textId="77777777" w:rsidTr="00DC292A">
        <w:trPr>
          <w:trHeight w:val="300"/>
        </w:trPr>
        <w:tc>
          <w:tcPr>
            <w:tcW w:w="0" w:type="auto"/>
            <w:vAlign w:val="center"/>
            <w:hideMark/>
          </w:tcPr>
          <w:p w14:paraId="1711D4D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204.</w:t>
            </w:r>
          </w:p>
        </w:tc>
        <w:tc>
          <w:tcPr>
            <w:tcW w:w="0" w:type="auto"/>
            <w:vAlign w:val="center"/>
            <w:hideMark/>
          </w:tcPr>
          <w:p w14:paraId="221F2EA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Челябинское.</w:t>
            </w:r>
          </w:p>
        </w:tc>
      </w:tr>
      <w:tr w:rsidR="004E10C1" w:rsidRPr="0044524F" w14:paraId="701F3709" w14:textId="77777777" w:rsidTr="00DC292A">
        <w:trPr>
          <w:trHeight w:val="300"/>
        </w:trPr>
        <w:tc>
          <w:tcPr>
            <w:tcW w:w="0" w:type="auto"/>
            <w:vAlign w:val="center"/>
            <w:hideMark/>
          </w:tcPr>
          <w:p w14:paraId="53C2F1C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23.</w:t>
            </w:r>
          </w:p>
        </w:tc>
        <w:tc>
          <w:tcPr>
            <w:tcW w:w="0" w:type="auto"/>
            <w:vAlign w:val="center"/>
            <w:hideMark/>
          </w:tcPr>
          <w:p w14:paraId="78C31C3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Челябинское.</w:t>
            </w:r>
          </w:p>
        </w:tc>
      </w:tr>
      <w:tr w:rsidR="004E10C1" w:rsidRPr="0044524F" w14:paraId="29C0DAB8" w14:textId="77777777" w:rsidTr="00DC292A">
        <w:trPr>
          <w:trHeight w:val="300"/>
        </w:trPr>
        <w:tc>
          <w:tcPr>
            <w:tcW w:w="0" w:type="auto"/>
            <w:vAlign w:val="center"/>
            <w:hideMark/>
          </w:tcPr>
          <w:p w14:paraId="788F3D3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205.</w:t>
            </w:r>
          </w:p>
        </w:tc>
        <w:tc>
          <w:tcPr>
            <w:tcW w:w="0" w:type="auto"/>
            <w:vAlign w:val="center"/>
            <w:hideMark/>
          </w:tcPr>
          <w:p w14:paraId="2A2D5FC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Челябинское.</w:t>
            </w:r>
          </w:p>
        </w:tc>
      </w:tr>
      <w:tr w:rsidR="004E10C1" w:rsidRPr="0044524F" w14:paraId="3D6C279A" w14:textId="77777777" w:rsidTr="00DC292A">
        <w:trPr>
          <w:trHeight w:val="300"/>
        </w:trPr>
        <w:tc>
          <w:tcPr>
            <w:tcW w:w="0" w:type="auto"/>
            <w:vAlign w:val="center"/>
            <w:hideMark/>
          </w:tcPr>
          <w:p w14:paraId="669394D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203.</w:t>
            </w:r>
          </w:p>
        </w:tc>
        <w:tc>
          <w:tcPr>
            <w:tcW w:w="0" w:type="auto"/>
            <w:vAlign w:val="center"/>
            <w:hideMark/>
          </w:tcPr>
          <w:p w14:paraId="46C2E23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Челябинское.</w:t>
            </w:r>
          </w:p>
        </w:tc>
      </w:tr>
      <w:tr w:rsidR="004E10C1" w:rsidRPr="0044524F" w14:paraId="7A2C2445" w14:textId="77777777" w:rsidTr="00DC292A">
        <w:trPr>
          <w:trHeight w:val="300"/>
        </w:trPr>
        <w:tc>
          <w:tcPr>
            <w:tcW w:w="0" w:type="auto"/>
            <w:vAlign w:val="center"/>
            <w:hideMark/>
          </w:tcPr>
          <w:p w14:paraId="7938027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„Делянка".</w:t>
            </w:r>
          </w:p>
        </w:tc>
        <w:tc>
          <w:tcPr>
            <w:tcW w:w="0" w:type="auto"/>
            <w:vAlign w:val="center"/>
            <w:hideMark/>
          </w:tcPr>
          <w:p w14:paraId="74C30F3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Челябинское.</w:t>
            </w:r>
          </w:p>
        </w:tc>
      </w:tr>
      <w:tr w:rsidR="004E10C1" w:rsidRPr="0044524F" w14:paraId="478195C8" w14:textId="77777777" w:rsidTr="00DC292A">
        <w:trPr>
          <w:trHeight w:val="300"/>
        </w:trPr>
        <w:tc>
          <w:tcPr>
            <w:tcW w:w="0" w:type="auto"/>
            <w:gridSpan w:val="2"/>
            <w:vAlign w:val="center"/>
            <w:hideMark/>
          </w:tcPr>
          <w:p w14:paraId="0A78632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Дальуголь.</w:t>
            </w:r>
          </w:p>
        </w:tc>
      </w:tr>
      <w:tr w:rsidR="004E10C1" w:rsidRPr="0044524F" w14:paraId="5A5E1961" w14:textId="77777777" w:rsidTr="00DC292A">
        <w:trPr>
          <w:trHeight w:val="300"/>
        </w:trPr>
        <w:tc>
          <w:tcPr>
            <w:tcW w:w="0" w:type="auto"/>
            <w:vAlign w:val="center"/>
            <w:hideMark/>
          </w:tcPr>
          <w:p w14:paraId="515BEAB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4.</w:t>
            </w:r>
          </w:p>
        </w:tc>
        <w:tc>
          <w:tcPr>
            <w:tcW w:w="0" w:type="auto"/>
            <w:vAlign w:val="center"/>
            <w:hideMark/>
          </w:tcPr>
          <w:p w14:paraId="4E48CFF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Артемовское.</w:t>
            </w:r>
          </w:p>
        </w:tc>
      </w:tr>
      <w:tr w:rsidR="004E10C1" w:rsidRPr="0044524F" w14:paraId="5EE31186" w14:textId="77777777" w:rsidTr="00DC292A">
        <w:trPr>
          <w:trHeight w:val="300"/>
        </w:trPr>
        <w:tc>
          <w:tcPr>
            <w:tcW w:w="0" w:type="auto"/>
            <w:vAlign w:val="center"/>
            <w:hideMark/>
          </w:tcPr>
          <w:p w14:paraId="67008D5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18.</w:t>
            </w:r>
          </w:p>
        </w:tc>
        <w:tc>
          <w:tcPr>
            <w:tcW w:w="0" w:type="auto"/>
            <w:vAlign w:val="center"/>
            <w:hideMark/>
          </w:tcPr>
          <w:p w14:paraId="1B3BC43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Сучанское.</w:t>
            </w:r>
          </w:p>
        </w:tc>
      </w:tr>
      <w:tr w:rsidR="004E10C1" w:rsidRPr="0044524F" w14:paraId="140408F4" w14:textId="77777777" w:rsidTr="00DC292A">
        <w:trPr>
          <w:trHeight w:val="300"/>
        </w:trPr>
        <w:tc>
          <w:tcPr>
            <w:tcW w:w="0" w:type="auto"/>
            <w:vAlign w:val="center"/>
            <w:hideMark/>
          </w:tcPr>
          <w:p w14:paraId="48242D9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15.</w:t>
            </w:r>
          </w:p>
        </w:tc>
        <w:tc>
          <w:tcPr>
            <w:tcW w:w="0" w:type="auto"/>
            <w:vAlign w:val="center"/>
            <w:hideMark/>
          </w:tcPr>
          <w:p w14:paraId="2EF54FD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Кивда.</w:t>
            </w:r>
          </w:p>
        </w:tc>
      </w:tr>
      <w:tr w:rsidR="004E10C1" w:rsidRPr="0044524F" w14:paraId="756C0934" w14:textId="77777777" w:rsidTr="00DC292A">
        <w:trPr>
          <w:trHeight w:val="300"/>
        </w:trPr>
        <w:tc>
          <w:tcPr>
            <w:tcW w:w="0" w:type="auto"/>
            <w:gridSpan w:val="2"/>
            <w:vAlign w:val="center"/>
            <w:hideMark/>
          </w:tcPr>
          <w:p w14:paraId="79D82E1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Средазуголь.</w:t>
            </w:r>
          </w:p>
        </w:tc>
      </w:tr>
      <w:tr w:rsidR="004E10C1" w:rsidRPr="0044524F" w14:paraId="22A924A8" w14:textId="77777777" w:rsidTr="00DC292A">
        <w:trPr>
          <w:trHeight w:val="300"/>
        </w:trPr>
        <w:tc>
          <w:tcPr>
            <w:tcW w:w="0" w:type="auto"/>
            <w:vAlign w:val="center"/>
            <w:hideMark/>
          </w:tcPr>
          <w:p w14:paraId="4CAA179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„Верхн. Горизонт".</w:t>
            </w:r>
          </w:p>
        </w:tc>
        <w:tc>
          <w:tcPr>
            <w:tcW w:w="0" w:type="auto"/>
            <w:vAlign w:val="center"/>
            <w:hideMark/>
          </w:tcPr>
          <w:p w14:paraId="3457AD8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Кок-Янгак.</w:t>
            </w:r>
          </w:p>
        </w:tc>
      </w:tr>
      <w:tr w:rsidR="004E10C1" w:rsidRPr="0044524F" w14:paraId="0CC58B66" w14:textId="77777777" w:rsidTr="00DC292A">
        <w:trPr>
          <w:trHeight w:val="300"/>
        </w:trPr>
        <w:tc>
          <w:tcPr>
            <w:tcW w:w="0" w:type="auto"/>
            <w:gridSpan w:val="2"/>
            <w:vAlign w:val="center"/>
            <w:hideMark/>
          </w:tcPr>
          <w:p w14:paraId="4DF00A3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КАРАГАНДА.</w:t>
            </w:r>
          </w:p>
        </w:tc>
      </w:tr>
      <w:tr w:rsidR="004E10C1" w:rsidRPr="0044524F" w14:paraId="500F33D7" w14:textId="77777777" w:rsidTr="00DC292A">
        <w:trPr>
          <w:trHeight w:val="300"/>
        </w:trPr>
        <w:tc>
          <w:tcPr>
            <w:tcW w:w="0" w:type="auto"/>
            <w:vAlign w:val="center"/>
            <w:hideMark/>
          </w:tcPr>
          <w:p w14:paraId="1181753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w:t>
            </w:r>
          </w:p>
        </w:tc>
        <w:tc>
          <w:tcPr>
            <w:tcW w:w="0" w:type="auto"/>
            <w:vAlign w:val="center"/>
            <w:hideMark/>
          </w:tcPr>
          <w:p w14:paraId="2E7B6CF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12.</w:t>
            </w:r>
          </w:p>
        </w:tc>
      </w:tr>
      <w:tr w:rsidR="004E10C1" w:rsidRPr="0044524F" w14:paraId="65D53DD8" w14:textId="77777777" w:rsidTr="00DC292A">
        <w:trPr>
          <w:trHeight w:val="300"/>
        </w:trPr>
        <w:tc>
          <w:tcPr>
            <w:tcW w:w="0" w:type="auto"/>
            <w:vAlign w:val="center"/>
            <w:hideMark/>
          </w:tcPr>
          <w:p w14:paraId="7244943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3.</w:t>
            </w:r>
          </w:p>
        </w:tc>
        <w:tc>
          <w:tcPr>
            <w:tcW w:w="0" w:type="auto"/>
            <w:vAlign w:val="center"/>
            <w:hideMark/>
          </w:tcPr>
          <w:p w14:paraId="4BF735B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15.</w:t>
            </w:r>
          </w:p>
        </w:tc>
      </w:tr>
      <w:tr w:rsidR="004E10C1" w:rsidRPr="0044524F" w14:paraId="1FCD1E25" w14:textId="77777777" w:rsidTr="00DC292A">
        <w:trPr>
          <w:trHeight w:val="300"/>
        </w:trPr>
        <w:tc>
          <w:tcPr>
            <w:tcW w:w="0" w:type="auto"/>
            <w:vAlign w:val="center"/>
            <w:hideMark/>
          </w:tcPr>
          <w:p w14:paraId="40B26B6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4.</w:t>
            </w:r>
          </w:p>
        </w:tc>
        <w:tc>
          <w:tcPr>
            <w:tcW w:w="0" w:type="auto"/>
            <w:vAlign w:val="center"/>
            <w:hideMark/>
          </w:tcPr>
          <w:p w14:paraId="17CFF3E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16.</w:t>
            </w:r>
          </w:p>
        </w:tc>
      </w:tr>
      <w:tr w:rsidR="004E10C1" w:rsidRPr="0044524F" w14:paraId="22955783" w14:textId="77777777" w:rsidTr="00DC292A">
        <w:trPr>
          <w:trHeight w:val="300"/>
        </w:trPr>
        <w:tc>
          <w:tcPr>
            <w:tcW w:w="0" w:type="auto"/>
            <w:vAlign w:val="center"/>
            <w:hideMark/>
          </w:tcPr>
          <w:p w14:paraId="1B0A258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10.</w:t>
            </w:r>
          </w:p>
        </w:tc>
        <w:tc>
          <w:tcPr>
            <w:tcW w:w="0" w:type="auto"/>
            <w:vAlign w:val="center"/>
            <w:hideMark/>
          </w:tcPr>
          <w:p w14:paraId="6F4E1C0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19.</w:t>
            </w:r>
          </w:p>
        </w:tc>
      </w:tr>
      <w:tr w:rsidR="004E10C1" w:rsidRPr="0044524F" w14:paraId="18609A61" w14:textId="77777777" w:rsidTr="00DC292A">
        <w:trPr>
          <w:trHeight w:val="300"/>
        </w:trPr>
        <w:tc>
          <w:tcPr>
            <w:tcW w:w="0" w:type="auto"/>
            <w:gridSpan w:val="2"/>
            <w:vAlign w:val="center"/>
            <w:hideMark/>
          </w:tcPr>
          <w:p w14:paraId="564B0DE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Шахты, пускаемые в 1933 году.</w:t>
            </w:r>
          </w:p>
        </w:tc>
      </w:tr>
      <w:tr w:rsidR="004E10C1" w:rsidRPr="0044524F" w14:paraId="2AC7F870" w14:textId="77777777" w:rsidTr="00DC292A">
        <w:trPr>
          <w:trHeight w:val="300"/>
        </w:trPr>
        <w:tc>
          <w:tcPr>
            <w:tcW w:w="0" w:type="auto"/>
            <w:vAlign w:val="center"/>
            <w:hideMark/>
          </w:tcPr>
          <w:p w14:paraId="4D0F37B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Артемуголь. Шахта Алекс. Вост.</w:t>
            </w:r>
          </w:p>
        </w:tc>
        <w:tc>
          <w:tcPr>
            <w:tcW w:w="0" w:type="auto"/>
            <w:vAlign w:val="center"/>
            <w:hideMark/>
          </w:tcPr>
          <w:p w14:paraId="5BD8E4A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Калининское.</w:t>
            </w:r>
          </w:p>
        </w:tc>
      </w:tr>
      <w:tr w:rsidR="004E10C1" w:rsidRPr="0044524F" w14:paraId="0209F533" w14:textId="77777777" w:rsidTr="00DC292A">
        <w:trPr>
          <w:trHeight w:val="300"/>
        </w:trPr>
        <w:tc>
          <w:tcPr>
            <w:tcW w:w="0" w:type="auto"/>
            <w:vAlign w:val="center"/>
            <w:hideMark/>
          </w:tcPr>
          <w:p w14:paraId="5492B58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Артемуголь Шахта Северная.</w:t>
            </w:r>
          </w:p>
        </w:tc>
        <w:tc>
          <w:tcPr>
            <w:tcW w:w="0" w:type="auto"/>
            <w:vAlign w:val="center"/>
            <w:hideMark/>
          </w:tcPr>
          <w:p w14:paraId="1B4A076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Калининское.</w:t>
            </w:r>
          </w:p>
        </w:tc>
      </w:tr>
      <w:tr w:rsidR="004E10C1" w:rsidRPr="0044524F" w14:paraId="062C5C43" w14:textId="77777777" w:rsidTr="00DC292A">
        <w:trPr>
          <w:trHeight w:val="300"/>
        </w:trPr>
        <w:tc>
          <w:tcPr>
            <w:tcW w:w="0" w:type="auto"/>
            <w:vAlign w:val="center"/>
            <w:hideMark/>
          </w:tcPr>
          <w:p w14:paraId="53105AA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Сталинуголь Шахта № 7/8.</w:t>
            </w:r>
          </w:p>
        </w:tc>
        <w:tc>
          <w:tcPr>
            <w:tcW w:w="0" w:type="auto"/>
            <w:vAlign w:val="center"/>
            <w:hideMark/>
          </w:tcPr>
          <w:p w14:paraId="35728A3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Краснигвардейск.</w:t>
            </w:r>
          </w:p>
        </w:tc>
      </w:tr>
      <w:tr w:rsidR="004E10C1" w:rsidRPr="0044524F" w14:paraId="31D7051F" w14:textId="77777777" w:rsidTr="00DC292A">
        <w:trPr>
          <w:trHeight w:val="300"/>
        </w:trPr>
        <w:tc>
          <w:tcPr>
            <w:tcW w:w="0" w:type="auto"/>
            <w:vAlign w:val="center"/>
            <w:hideMark/>
          </w:tcPr>
          <w:p w14:paraId="6EDC1D6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Сталинуголь Шахта „Новая Италия".</w:t>
            </w:r>
          </w:p>
        </w:tc>
        <w:tc>
          <w:tcPr>
            <w:tcW w:w="0" w:type="auto"/>
            <w:vAlign w:val="center"/>
            <w:hideMark/>
          </w:tcPr>
          <w:p w14:paraId="0D5FDE1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Макеевское.</w:t>
            </w:r>
          </w:p>
        </w:tc>
      </w:tr>
      <w:tr w:rsidR="004E10C1" w:rsidRPr="0044524F" w14:paraId="38A2C506" w14:textId="77777777" w:rsidTr="00DC292A">
        <w:trPr>
          <w:trHeight w:val="300"/>
        </w:trPr>
        <w:tc>
          <w:tcPr>
            <w:tcW w:w="0" w:type="auto"/>
            <w:vAlign w:val="center"/>
            <w:hideMark/>
          </w:tcPr>
          <w:p w14:paraId="20EC530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Сталинуголь Шахта "Иван".</w:t>
            </w:r>
          </w:p>
        </w:tc>
        <w:tc>
          <w:tcPr>
            <w:tcW w:w="0" w:type="auto"/>
            <w:vAlign w:val="center"/>
            <w:hideMark/>
          </w:tcPr>
          <w:p w14:paraId="2539E21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Макеевское.</w:t>
            </w:r>
          </w:p>
        </w:tc>
      </w:tr>
      <w:tr w:rsidR="004E10C1" w:rsidRPr="0044524F" w14:paraId="7635666C" w14:textId="77777777" w:rsidTr="00DC292A">
        <w:trPr>
          <w:trHeight w:val="300"/>
        </w:trPr>
        <w:tc>
          <w:tcPr>
            <w:tcW w:w="0" w:type="auto"/>
            <w:vAlign w:val="center"/>
            <w:hideMark/>
          </w:tcPr>
          <w:p w14:paraId="576D540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Шахтстрой. Шахта Центр. Белянск.</w:t>
            </w:r>
          </w:p>
        </w:tc>
        <w:tc>
          <w:tcPr>
            <w:tcW w:w="0" w:type="auto"/>
            <w:vAlign w:val="center"/>
            <w:hideMark/>
          </w:tcPr>
          <w:p w14:paraId="183CF95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Кадиевское.</w:t>
            </w:r>
          </w:p>
        </w:tc>
      </w:tr>
      <w:tr w:rsidR="004E10C1" w:rsidRPr="0044524F" w14:paraId="3B7016F7" w14:textId="77777777" w:rsidTr="00DC292A">
        <w:trPr>
          <w:trHeight w:val="300"/>
        </w:trPr>
        <w:tc>
          <w:tcPr>
            <w:tcW w:w="0" w:type="auto"/>
            <w:vAlign w:val="center"/>
            <w:hideMark/>
          </w:tcPr>
          <w:p w14:paraId="79A740C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Шахтстрой. Шахта № 3/3 „бис"</w:t>
            </w:r>
          </w:p>
        </w:tc>
        <w:tc>
          <w:tcPr>
            <w:tcW w:w="0" w:type="auto"/>
            <w:vAlign w:val="center"/>
            <w:hideMark/>
          </w:tcPr>
          <w:p w14:paraId="206E1D8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Кадиевское.</w:t>
            </w:r>
          </w:p>
        </w:tc>
      </w:tr>
      <w:tr w:rsidR="004E10C1" w:rsidRPr="0044524F" w14:paraId="3A21CCA2" w14:textId="77777777" w:rsidTr="00DC292A">
        <w:trPr>
          <w:trHeight w:val="300"/>
        </w:trPr>
        <w:tc>
          <w:tcPr>
            <w:tcW w:w="0" w:type="auto"/>
            <w:gridSpan w:val="2"/>
            <w:vAlign w:val="center"/>
            <w:hideMark/>
          </w:tcPr>
          <w:p w14:paraId="562DE7C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Кузбассуголь.</w:t>
            </w:r>
          </w:p>
        </w:tc>
      </w:tr>
      <w:tr w:rsidR="004E10C1" w:rsidRPr="0044524F" w14:paraId="12C5700B" w14:textId="77777777" w:rsidTr="00DC292A">
        <w:trPr>
          <w:trHeight w:val="300"/>
        </w:trPr>
        <w:tc>
          <w:tcPr>
            <w:tcW w:w="0" w:type="auto"/>
            <w:vAlign w:val="center"/>
            <w:hideMark/>
          </w:tcPr>
          <w:p w14:paraId="3DB428A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Центральная.</w:t>
            </w:r>
          </w:p>
        </w:tc>
        <w:tc>
          <w:tcPr>
            <w:tcW w:w="0" w:type="auto"/>
            <w:vAlign w:val="center"/>
            <w:hideMark/>
          </w:tcPr>
          <w:p w14:paraId="4389A68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Осиновское.</w:t>
            </w:r>
          </w:p>
        </w:tc>
      </w:tr>
      <w:tr w:rsidR="004E10C1" w:rsidRPr="0044524F" w14:paraId="087058DA" w14:textId="77777777" w:rsidTr="00DC292A">
        <w:trPr>
          <w:trHeight w:val="300"/>
        </w:trPr>
        <w:tc>
          <w:tcPr>
            <w:tcW w:w="0" w:type="auto"/>
            <w:vAlign w:val="center"/>
            <w:hideMark/>
          </w:tcPr>
          <w:p w14:paraId="3B680CE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15/15 „бис".</w:t>
            </w:r>
          </w:p>
        </w:tc>
        <w:tc>
          <w:tcPr>
            <w:tcW w:w="0" w:type="auto"/>
            <w:vAlign w:val="center"/>
            <w:hideMark/>
          </w:tcPr>
          <w:p w14:paraId="21C472A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Анжеро-Судженское.</w:t>
            </w:r>
          </w:p>
        </w:tc>
      </w:tr>
      <w:tr w:rsidR="004E10C1" w:rsidRPr="0044524F" w14:paraId="6F3F9BB8" w14:textId="77777777" w:rsidTr="00DC292A">
        <w:trPr>
          <w:trHeight w:val="300"/>
        </w:trPr>
        <w:tc>
          <w:tcPr>
            <w:tcW w:w="0" w:type="auto"/>
            <w:vAlign w:val="center"/>
            <w:hideMark/>
          </w:tcPr>
          <w:p w14:paraId="590D5C4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3/3 „бис".</w:t>
            </w:r>
          </w:p>
        </w:tc>
        <w:tc>
          <w:tcPr>
            <w:tcW w:w="0" w:type="auto"/>
            <w:vAlign w:val="center"/>
            <w:hideMark/>
          </w:tcPr>
          <w:p w14:paraId="709A6C7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Прокопьевское.</w:t>
            </w:r>
          </w:p>
        </w:tc>
      </w:tr>
      <w:tr w:rsidR="004E10C1" w:rsidRPr="0044524F" w14:paraId="653BFC2A" w14:textId="77777777" w:rsidTr="00DC292A">
        <w:trPr>
          <w:trHeight w:val="300"/>
        </w:trPr>
        <w:tc>
          <w:tcPr>
            <w:tcW w:w="0" w:type="auto"/>
            <w:vAlign w:val="center"/>
            <w:hideMark/>
          </w:tcPr>
          <w:p w14:paraId="7645CC2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„Коксовая".</w:t>
            </w:r>
          </w:p>
        </w:tc>
        <w:tc>
          <w:tcPr>
            <w:tcW w:w="0" w:type="auto"/>
            <w:vAlign w:val="center"/>
            <w:hideMark/>
          </w:tcPr>
          <w:p w14:paraId="6EB65DD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Прокопьевское.</w:t>
            </w:r>
          </w:p>
        </w:tc>
      </w:tr>
      <w:tr w:rsidR="004E10C1" w:rsidRPr="0044524F" w14:paraId="41C64AE5" w14:textId="77777777" w:rsidTr="00DC292A">
        <w:trPr>
          <w:trHeight w:val="300"/>
        </w:trPr>
        <w:tc>
          <w:tcPr>
            <w:tcW w:w="0" w:type="auto"/>
            <w:vAlign w:val="center"/>
            <w:hideMark/>
          </w:tcPr>
          <w:p w14:paraId="4945D47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5—6—7.</w:t>
            </w:r>
          </w:p>
        </w:tc>
        <w:tc>
          <w:tcPr>
            <w:tcW w:w="0" w:type="auto"/>
            <w:vAlign w:val="center"/>
            <w:hideMark/>
          </w:tcPr>
          <w:p w14:paraId="16F4A0B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Анжеро-Судженское.</w:t>
            </w:r>
          </w:p>
        </w:tc>
      </w:tr>
      <w:tr w:rsidR="004E10C1" w:rsidRPr="0044524F" w14:paraId="1578A111" w14:textId="77777777" w:rsidTr="00DC292A">
        <w:trPr>
          <w:trHeight w:val="300"/>
        </w:trPr>
        <w:tc>
          <w:tcPr>
            <w:tcW w:w="0" w:type="auto"/>
            <w:vAlign w:val="center"/>
            <w:hideMark/>
          </w:tcPr>
          <w:p w14:paraId="6F3418C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Центральная.</w:t>
            </w:r>
          </w:p>
        </w:tc>
        <w:tc>
          <w:tcPr>
            <w:tcW w:w="0" w:type="auto"/>
            <w:vAlign w:val="center"/>
            <w:hideMark/>
          </w:tcPr>
          <w:p w14:paraId="3CA8094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Кемеровское.</w:t>
            </w:r>
          </w:p>
        </w:tc>
      </w:tr>
      <w:tr w:rsidR="004E10C1" w:rsidRPr="0044524F" w14:paraId="3EFBA90D" w14:textId="77777777" w:rsidTr="00DC292A">
        <w:trPr>
          <w:trHeight w:val="300"/>
        </w:trPr>
        <w:tc>
          <w:tcPr>
            <w:tcW w:w="0" w:type="auto"/>
            <w:gridSpan w:val="2"/>
            <w:vAlign w:val="center"/>
            <w:hideMark/>
          </w:tcPr>
          <w:p w14:paraId="4FC7CC7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Дальуголь.</w:t>
            </w:r>
          </w:p>
        </w:tc>
      </w:tr>
      <w:tr w:rsidR="004E10C1" w:rsidRPr="0044524F" w14:paraId="263E06E6" w14:textId="77777777" w:rsidTr="00DC292A">
        <w:trPr>
          <w:trHeight w:val="300"/>
        </w:trPr>
        <w:tc>
          <w:tcPr>
            <w:tcW w:w="0" w:type="auto"/>
            <w:vAlign w:val="center"/>
            <w:hideMark/>
          </w:tcPr>
          <w:p w14:paraId="57913DE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46-В.</w:t>
            </w:r>
          </w:p>
        </w:tc>
        <w:tc>
          <w:tcPr>
            <w:tcW w:w="0" w:type="auto"/>
            <w:vAlign w:val="center"/>
            <w:hideMark/>
          </w:tcPr>
          <w:p w14:paraId="7A017DA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Тавричанское,</w:t>
            </w:r>
          </w:p>
        </w:tc>
      </w:tr>
      <w:tr w:rsidR="004E10C1" w:rsidRPr="0044524F" w14:paraId="55828AA9" w14:textId="77777777" w:rsidTr="00DC292A">
        <w:trPr>
          <w:trHeight w:val="300"/>
        </w:trPr>
        <w:tc>
          <w:tcPr>
            <w:tcW w:w="0" w:type="auto"/>
            <w:vAlign w:val="center"/>
            <w:hideMark/>
          </w:tcPr>
          <w:p w14:paraId="349B650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„Райчиха".</w:t>
            </w:r>
          </w:p>
        </w:tc>
        <w:tc>
          <w:tcPr>
            <w:tcW w:w="0" w:type="auto"/>
            <w:vAlign w:val="center"/>
            <w:hideMark/>
          </w:tcPr>
          <w:p w14:paraId="487F44E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Райчиха.</w:t>
            </w:r>
          </w:p>
        </w:tc>
      </w:tr>
      <w:tr w:rsidR="004E10C1" w:rsidRPr="0044524F" w14:paraId="71E91270" w14:textId="77777777" w:rsidTr="00DC292A">
        <w:trPr>
          <w:trHeight w:val="300"/>
        </w:trPr>
        <w:tc>
          <w:tcPr>
            <w:tcW w:w="0" w:type="auto"/>
            <w:vAlign w:val="center"/>
            <w:hideMark/>
          </w:tcPr>
          <w:p w14:paraId="0C0E593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Шахта № 19.</w:t>
            </w:r>
          </w:p>
        </w:tc>
        <w:tc>
          <w:tcPr>
            <w:tcW w:w="0" w:type="auto"/>
            <w:vAlign w:val="center"/>
            <w:hideMark/>
          </w:tcPr>
          <w:p w14:paraId="1D80D14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Рудоуправление Сучанское.</w:t>
            </w:r>
          </w:p>
        </w:tc>
      </w:tr>
    </w:tbl>
    <w:p w14:paraId="157552BE" w14:textId="77777777" w:rsidR="003C4CEF" w:rsidRPr="0044524F" w:rsidRDefault="003C4CEF" w:rsidP="009654CF">
      <w:pPr>
        <w:spacing w:after="0" w:line="240" w:lineRule="auto"/>
        <w:jc w:val="both"/>
        <w:rPr>
          <w:rFonts w:ascii="Times New Roman" w:hAnsi="Times New Roman"/>
          <w:color w:val="000000" w:themeColor="text1"/>
          <w:sz w:val="16"/>
          <w:szCs w:val="16"/>
        </w:rPr>
      </w:pPr>
    </w:p>
    <w:tbl>
      <w:tblPr>
        <w:tblW w:w="9900" w:type="dxa"/>
        <w:tblCellMar>
          <w:left w:w="0" w:type="dxa"/>
          <w:right w:w="0" w:type="dxa"/>
        </w:tblCellMar>
        <w:tblLook w:val="04A0" w:firstRow="1" w:lastRow="0" w:firstColumn="1" w:lastColumn="0" w:noHBand="0" w:noVBand="1"/>
      </w:tblPr>
      <w:tblGrid>
        <w:gridCol w:w="3806"/>
        <w:gridCol w:w="6094"/>
      </w:tblGrid>
      <w:tr w:rsidR="004E10C1" w:rsidRPr="0044524F" w14:paraId="53D3C38A" w14:textId="77777777" w:rsidTr="00DC292A">
        <w:trPr>
          <w:trHeight w:val="300"/>
        </w:trPr>
        <w:tc>
          <w:tcPr>
            <w:tcW w:w="0" w:type="auto"/>
            <w:vAlign w:val="center"/>
            <w:hideMark/>
          </w:tcPr>
          <w:p w14:paraId="50F406D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НЕФТЯНАЯ ПРОМЫШЛЕННОСТЬ.</w:t>
            </w:r>
          </w:p>
        </w:tc>
        <w:tc>
          <w:tcPr>
            <w:tcW w:w="0" w:type="auto"/>
            <w:vAlign w:val="center"/>
            <w:hideMark/>
          </w:tcPr>
          <w:p w14:paraId="3CB701F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2C1C9C4A" w14:textId="77777777" w:rsidTr="00DC292A">
        <w:trPr>
          <w:trHeight w:val="300"/>
        </w:trPr>
        <w:tc>
          <w:tcPr>
            <w:tcW w:w="0" w:type="auto"/>
            <w:vAlign w:val="center"/>
            <w:hideMark/>
          </w:tcPr>
          <w:p w14:paraId="7E01584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маслоочистительных трубчатки</w:t>
            </w:r>
          </w:p>
          <w:p w14:paraId="14A573A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системы АЛКО, Баку.</w:t>
            </w:r>
          </w:p>
        </w:tc>
        <w:tc>
          <w:tcPr>
            <w:tcW w:w="0" w:type="auto"/>
            <w:vAlign w:val="center"/>
            <w:hideMark/>
          </w:tcPr>
          <w:p w14:paraId="2A52232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совет. крекинга на старой террит.,Грозный.</w:t>
            </w:r>
          </w:p>
        </w:tc>
      </w:tr>
      <w:tr w:rsidR="004E10C1" w:rsidRPr="0044524F" w14:paraId="16E6A830" w14:textId="77777777" w:rsidTr="00DC292A">
        <w:trPr>
          <w:trHeight w:val="300"/>
        </w:trPr>
        <w:tc>
          <w:tcPr>
            <w:tcW w:w="0" w:type="auto"/>
            <w:vAlign w:val="center"/>
            <w:hideMark/>
          </w:tcPr>
          <w:p w14:paraId="60A4910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Маслоочист. отд, 1 и 2 очереди, Баку.</w:t>
            </w:r>
          </w:p>
        </w:tc>
        <w:tc>
          <w:tcPr>
            <w:tcW w:w="0" w:type="auto"/>
            <w:vAlign w:val="center"/>
            <w:hideMark/>
          </w:tcPr>
          <w:p w14:paraId="245CCB0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Газолиновый завод № 5, Грозный.</w:t>
            </w:r>
          </w:p>
        </w:tc>
      </w:tr>
      <w:tr w:rsidR="004E10C1" w:rsidRPr="0044524F" w14:paraId="194622DF" w14:textId="77777777" w:rsidTr="00DC292A">
        <w:trPr>
          <w:trHeight w:val="300"/>
        </w:trPr>
        <w:tc>
          <w:tcPr>
            <w:tcW w:w="0" w:type="auto"/>
            <w:vAlign w:val="center"/>
            <w:hideMark/>
          </w:tcPr>
          <w:p w14:paraId="29CEF39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Газовый завод им. Буденного, Баку.</w:t>
            </w:r>
          </w:p>
        </w:tc>
        <w:tc>
          <w:tcPr>
            <w:tcW w:w="0" w:type="auto"/>
            <w:vAlign w:val="center"/>
            <w:hideMark/>
          </w:tcPr>
          <w:p w14:paraId="0363732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сажевых завода, Майкоп.</w:t>
            </w:r>
          </w:p>
        </w:tc>
      </w:tr>
      <w:tr w:rsidR="004E10C1" w:rsidRPr="0044524F" w14:paraId="24826450" w14:textId="77777777" w:rsidTr="00DC292A">
        <w:trPr>
          <w:trHeight w:val="300"/>
        </w:trPr>
        <w:tc>
          <w:tcPr>
            <w:tcW w:w="0" w:type="auto"/>
            <w:vAlign w:val="center"/>
            <w:hideMark/>
          </w:tcPr>
          <w:p w14:paraId="32B48E3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Крекинг. завод, Саратов.</w:t>
            </w:r>
          </w:p>
        </w:tc>
        <w:tc>
          <w:tcPr>
            <w:tcW w:w="0" w:type="auto"/>
            <w:vAlign w:val="center"/>
            <w:hideMark/>
          </w:tcPr>
          <w:p w14:paraId="53C0BF9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Крекинг. завод, Хабаровск.</w:t>
            </w:r>
          </w:p>
        </w:tc>
      </w:tr>
      <w:tr w:rsidR="004E10C1" w:rsidRPr="0044524F" w14:paraId="7CB91797" w14:textId="77777777" w:rsidTr="00DC292A">
        <w:trPr>
          <w:trHeight w:val="300"/>
        </w:trPr>
        <w:tc>
          <w:tcPr>
            <w:tcW w:w="0" w:type="auto"/>
            <w:vAlign w:val="center"/>
            <w:hideMark/>
          </w:tcPr>
          <w:p w14:paraId="394F18D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нефтяного кокса, Грозный.</w:t>
            </w:r>
          </w:p>
        </w:tc>
        <w:tc>
          <w:tcPr>
            <w:tcW w:w="0" w:type="auto"/>
            <w:vAlign w:val="center"/>
            <w:hideMark/>
          </w:tcPr>
          <w:p w14:paraId="2A78F0C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36E83448" w14:textId="77777777" w:rsidTr="00DC292A">
        <w:trPr>
          <w:trHeight w:val="300"/>
        </w:trPr>
        <w:tc>
          <w:tcPr>
            <w:tcW w:w="0" w:type="auto"/>
            <w:vAlign w:val="center"/>
            <w:hideMark/>
          </w:tcPr>
          <w:p w14:paraId="63CB093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ГОРНОРУДНАЯ ПРОМЫШЛЕННОСТЬ.</w:t>
            </w:r>
          </w:p>
        </w:tc>
        <w:tc>
          <w:tcPr>
            <w:tcW w:w="0" w:type="auto"/>
            <w:vAlign w:val="center"/>
            <w:hideMark/>
          </w:tcPr>
          <w:p w14:paraId="7F2E866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C0FFD94" w14:textId="77777777" w:rsidTr="00DC292A">
        <w:trPr>
          <w:trHeight w:val="300"/>
        </w:trPr>
        <w:tc>
          <w:tcPr>
            <w:tcW w:w="0" w:type="auto"/>
            <w:vAlign w:val="center"/>
            <w:hideMark/>
          </w:tcPr>
          <w:p w14:paraId="052A6DA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Серный завод. Шорсу. Узб. ССР.</w:t>
            </w:r>
          </w:p>
        </w:tc>
        <w:tc>
          <w:tcPr>
            <w:tcW w:w="0" w:type="auto"/>
            <w:vAlign w:val="center"/>
            <w:hideMark/>
          </w:tcPr>
          <w:p w14:paraId="47BC40D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Серный завод. Гаурдак. Турк. ССР.</w:t>
            </w:r>
          </w:p>
        </w:tc>
      </w:tr>
      <w:tr w:rsidR="004E10C1" w:rsidRPr="0044524F" w14:paraId="03512104" w14:textId="77777777" w:rsidTr="00DC292A">
        <w:trPr>
          <w:trHeight w:val="300"/>
        </w:trPr>
        <w:tc>
          <w:tcPr>
            <w:tcW w:w="0" w:type="auto"/>
            <w:vAlign w:val="center"/>
            <w:hideMark/>
          </w:tcPr>
          <w:p w14:paraId="2C7FD43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ЧЕРНАЯ МЕТАЛЛУРГИЯ</w:t>
            </w:r>
          </w:p>
        </w:tc>
        <w:tc>
          <w:tcPr>
            <w:tcW w:w="0" w:type="auto"/>
            <w:vAlign w:val="center"/>
            <w:hideMark/>
          </w:tcPr>
          <w:p w14:paraId="3EFCCCF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397491F7" w14:textId="77777777" w:rsidTr="00DC292A">
        <w:trPr>
          <w:trHeight w:val="300"/>
        </w:trPr>
        <w:tc>
          <w:tcPr>
            <w:tcW w:w="0" w:type="auto"/>
            <w:vAlign w:val="center"/>
            <w:hideMark/>
          </w:tcPr>
          <w:p w14:paraId="5A6C49C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Магнитогорский завод.</w:t>
            </w:r>
          </w:p>
        </w:tc>
        <w:tc>
          <w:tcPr>
            <w:tcW w:w="0" w:type="auto"/>
            <w:vAlign w:val="center"/>
            <w:hideMark/>
          </w:tcPr>
          <w:p w14:paraId="0757416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Камышбурунское строительство.</w:t>
            </w:r>
          </w:p>
        </w:tc>
      </w:tr>
      <w:tr w:rsidR="004E10C1" w:rsidRPr="0044524F" w14:paraId="2B62D6C7" w14:textId="77777777" w:rsidTr="00DC292A">
        <w:trPr>
          <w:trHeight w:val="300"/>
        </w:trPr>
        <w:tc>
          <w:tcPr>
            <w:tcW w:w="0" w:type="auto"/>
            <w:vAlign w:val="center"/>
            <w:hideMark/>
          </w:tcPr>
          <w:p w14:paraId="4810752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Кузнецкий завод.</w:t>
            </w:r>
          </w:p>
        </w:tc>
        <w:tc>
          <w:tcPr>
            <w:tcW w:w="0" w:type="auto"/>
            <w:vAlign w:val="center"/>
            <w:hideMark/>
          </w:tcPr>
          <w:p w14:paraId="3A6AB9B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Мариупольский трубный и листопрокатный завод им. Ильича.</w:t>
            </w:r>
          </w:p>
        </w:tc>
      </w:tr>
      <w:tr w:rsidR="004E10C1" w:rsidRPr="0044524F" w14:paraId="196CB6EE" w14:textId="77777777" w:rsidTr="00DC292A">
        <w:trPr>
          <w:trHeight w:val="300"/>
        </w:trPr>
        <w:tc>
          <w:tcPr>
            <w:tcW w:w="0" w:type="auto"/>
            <w:vAlign w:val="center"/>
            <w:hideMark/>
          </w:tcPr>
          <w:p w14:paraId="09D6667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Запорожский завод.</w:t>
            </w:r>
          </w:p>
        </w:tc>
        <w:tc>
          <w:tcPr>
            <w:tcW w:w="0" w:type="auto"/>
            <w:vAlign w:val="center"/>
            <w:hideMark/>
          </w:tcPr>
          <w:p w14:paraId="0125925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Макеевский завод им. Томского.</w:t>
            </w:r>
          </w:p>
        </w:tc>
      </w:tr>
      <w:tr w:rsidR="004E10C1" w:rsidRPr="0044524F" w14:paraId="5A0F9C40" w14:textId="77777777" w:rsidTr="00DC292A">
        <w:trPr>
          <w:trHeight w:val="300"/>
        </w:trPr>
        <w:tc>
          <w:tcPr>
            <w:tcW w:w="0" w:type="auto"/>
            <w:vAlign w:val="center"/>
            <w:hideMark/>
          </w:tcPr>
          <w:p w14:paraId="7AB2845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Таганрогский трубный завод.</w:t>
            </w:r>
          </w:p>
        </w:tc>
        <w:tc>
          <w:tcPr>
            <w:tcW w:w="0" w:type="auto"/>
            <w:vAlign w:val="center"/>
            <w:hideMark/>
          </w:tcPr>
          <w:p w14:paraId="2D8B74E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им. Дзержинского.</w:t>
            </w:r>
          </w:p>
        </w:tc>
      </w:tr>
      <w:tr w:rsidR="004E10C1" w:rsidRPr="0044524F" w14:paraId="1C9182F5" w14:textId="77777777" w:rsidTr="00DC292A">
        <w:trPr>
          <w:trHeight w:val="300"/>
        </w:trPr>
        <w:tc>
          <w:tcPr>
            <w:tcW w:w="0" w:type="auto"/>
            <w:vAlign w:val="center"/>
            <w:hideMark/>
          </w:tcPr>
          <w:p w14:paraId="23EA2C2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Никопольский трубный завод.</w:t>
            </w:r>
          </w:p>
        </w:tc>
        <w:tc>
          <w:tcPr>
            <w:tcW w:w="0" w:type="auto"/>
            <w:vAlign w:val="center"/>
            <w:hideMark/>
          </w:tcPr>
          <w:p w14:paraId="69AC930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"Электросталь".</w:t>
            </w:r>
          </w:p>
        </w:tc>
      </w:tr>
      <w:tr w:rsidR="004E10C1" w:rsidRPr="0044524F" w14:paraId="7F624F7D" w14:textId="77777777" w:rsidTr="00DC292A">
        <w:trPr>
          <w:trHeight w:val="300"/>
        </w:trPr>
        <w:tc>
          <w:tcPr>
            <w:tcW w:w="0" w:type="auto"/>
            <w:vAlign w:val="center"/>
            <w:hideMark/>
          </w:tcPr>
          <w:p w14:paraId="1559BDC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Криворожстрой.</w:t>
            </w:r>
          </w:p>
        </w:tc>
        <w:tc>
          <w:tcPr>
            <w:tcW w:w="0" w:type="auto"/>
            <w:vAlign w:val="center"/>
            <w:hideMark/>
          </w:tcPr>
          <w:p w14:paraId="2ED368A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Златоустовский завод „Спецстали".</w:t>
            </w:r>
          </w:p>
        </w:tc>
      </w:tr>
      <w:tr w:rsidR="004E10C1" w:rsidRPr="0044524F" w14:paraId="13C7A512" w14:textId="77777777" w:rsidTr="00DC292A">
        <w:trPr>
          <w:trHeight w:val="300"/>
        </w:trPr>
        <w:tc>
          <w:tcPr>
            <w:tcW w:w="0" w:type="auto"/>
            <w:vAlign w:val="center"/>
            <w:hideMark/>
          </w:tcPr>
          <w:p w14:paraId="79906E8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Липецкстрой.</w:t>
            </w:r>
          </w:p>
        </w:tc>
        <w:tc>
          <w:tcPr>
            <w:tcW w:w="0" w:type="auto"/>
            <w:vAlign w:val="center"/>
            <w:hideMark/>
          </w:tcPr>
          <w:p w14:paraId="34ED6EF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Первоуральский трубный завод.</w:t>
            </w:r>
          </w:p>
        </w:tc>
      </w:tr>
      <w:tr w:rsidR="004E10C1" w:rsidRPr="0044524F" w14:paraId="4D2B6476" w14:textId="77777777" w:rsidTr="00DC292A">
        <w:trPr>
          <w:trHeight w:val="300"/>
        </w:trPr>
        <w:tc>
          <w:tcPr>
            <w:tcW w:w="0" w:type="auto"/>
            <w:vAlign w:val="center"/>
            <w:hideMark/>
          </w:tcPr>
          <w:p w14:paraId="6D14701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Тулстрой.</w:t>
            </w:r>
          </w:p>
        </w:tc>
        <w:tc>
          <w:tcPr>
            <w:tcW w:w="0" w:type="auto"/>
            <w:vAlign w:val="center"/>
            <w:hideMark/>
          </w:tcPr>
          <w:p w14:paraId="441DFAC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Челябинский эл.мет. комбинат.</w:t>
            </w:r>
          </w:p>
        </w:tc>
      </w:tr>
      <w:tr w:rsidR="004E10C1" w:rsidRPr="0044524F" w14:paraId="32ED5192" w14:textId="77777777" w:rsidTr="00DC292A">
        <w:trPr>
          <w:trHeight w:val="300"/>
        </w:trPr>
        <w:tc>
          <w:tcPr>
            <w:tcW w:w="0" w:type="auto"/>
            <w:vAlign w:val="center"/>
            <w:hideMark/>
          </w:tcPr>
          <w:p w14:paraId="14B9E27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Ново-Московский жестекатальный завод.</w:t>
            </w:r>
          </w:p>
        </w:tc>
        <w:tc>
          <w:tcPr>
            <w:tcW w:w="0" w:type="auto"/>
            <w:vAlign w:val="center"/>
            <w:hideMark/>
          </w:tcPr>
          <w:p w14:paraId="3A32337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„Красный Октябрь".</w:t>
            </w:r>
          </w:p>
        </w:tc>
      </w:tr>
      <w:tr w:rsidR="004E10C1" w:rsidRPr="0044524F" w14:paraId="4A4A545E" w14:textId="77777777" w:rsidTr="00DC292A">
        <w:trPr>
          <w:trHeight w:val="300"/>
        </w:trPr>
        <w:tc>
          <w:tcPr>
            <w:tcW w:w="0" w:type="auto"/>
            <w:vAlign w:val="center"/>
            <w:hideMark/>
          </w:tcPr>
          <w:p w14:paraId="555F12B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Азовсталь.</w:t>
            </w:r>
          </w:p>
        </w:tc>
        <w:tc>
          <w:tcPr>
            <w:tcW w:w="0" w:type="auto"/>
            <w:vAlign w:val="center"/>
            <w:hideMark/>
          </w:tcPr>
          <w:p w14:paraId="3B5F18E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Либкнехтский трубный завод.</w:t>
            </w:r>
          </w:p>
        </w:tc>
      </w:tr>
      <w:tr w:rsidR="004E10C1" w:rsidRPr="0044524F" w14:paraId="430568B0" w14:textId="77777777" w:rsidTr="00DC292A">
        <w:trPr>
          <w:trHeight w:val="300"/>
        </w:trPr>
        <w:tc>
          <w:tcPr>
            <w:tcW w:w="0" w:type="auto"/>
            <w:vAlign w:val="center"/>
            <w:hideMark/>
          </w:tcPr>
          <w:p w14:paraId="209371D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ЦВЕТНАЯ МЕТАЛЛУРГИЯ.</w:t>
            </w:r>
          </w:p>
        </w:tc>
        <w:tc>
          <w:tcPr>
            <w:tcW w:w="0" w:type="auto"/>
            <w:vAlign w:val="center"/>
            <w:hideMark/>
          </w:tcPr>
          <w:p w14:paraId="5382265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2E6C8DF1" w14:textId="77777777" w:rsidTr="00DC292A">
        <w:trPr>
          <w:trHeight w:val="300"/>
        </w:trPr>
        <w:tc>
          <w:tcPr>
            <w:tcW w:w="0" w:type="auto"/>
            <w:vAlign w:val="center"/>
            <w:hideMark/>
          </w:tcPr>
          <w:p w14:paraId="418E11A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„Казполиметалл".</w:t>
            </w:r>
          </w:p>
        </w:tc>
        <w:tc>
          <w:tcPr>
            <w:tcW w:w="0" w:type="auto"/>
            <w:vAlign w:val="center"/>
            <w:hideMark/>
          </w:tcPr>
          <w:p w14:paraId="0248658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Тихвинский бокситовый комбинат.</w:t>
            </w:r>
          </w:p>
        </w:tc>
      </w:tr>
      <w:tr w:rsidR="004E10C1" w:rsidRPr="0044524F" w14:paraId="0B859EB3" w14:textId="77777777" w:rsidTr="00DC292A">
        <w:trPr>
          <w:trHeight w:val="300"/>
        </w:trPr>
        <w:tc>
          <w:tcPr>
            <w:tcW w:w="0" w:type="auto"/>
            <w:vAlign w:val="center"/>
            <w:hideMark/>
          </w:tcPr>
          <w:p w14:paraId="158E277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Среднеуральский комбинат.</w:t>
            </w:r>
          </w:p>
        </w:tc>
        <w:tc>
          <w:tcPr>
            <w:tcW w:w="0" w:type="auto"/>
            <w:vAlign w:val="center"/>
            <w:hideMark/>
          </w:tcPr>
          <w:p w14:paraId="098D446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цинковый завод г. Орджоникидзе</w:t>
            </w:r>
          </w:p>
        </w:tc>
      </w:tr>
      <w:tr w:rsidR="004E10C1" w:rsidRPr="0044524F" w14:paraId="50D95DFF" w14:textId="77777777" w:rsidTr="00DC292A">
        <w:trPr>
          <w:trHeight w:val="300"/>
        </w:trPr>
        <w:tc>
          <w:tcPr>
            <w:tcW w:w="0" w:type="auto"/>
            <w:vAlign w:val="center"/>
            <w:hideMark/>
          </w:tcPr>
          <w:p w14:paraId="202601D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Красноуральский комбинат.</w:t>
            </w:r>
          </w:p>
        </w:tc>
        <w:tc>
          <w:tcPr>
            <w:tcW w:w="0" w:type="auto"/>
            <w:vAlign w:val="center"/>
            <w:hideMark/>
          </w:tcPr>
          <w:p w14:paraId="6D221DA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Уфалейский никелевый комбинат.</w:t>
            </w:r>
          </w:p>
        </w:tc>
      </w:tr>
      <w:tr w:rsidR="004E10C1" w:rsidRPr="0044524F" w14:paraId="7139F48B" w14:textId="77777777" w:rsidTr="00DC292A">
        <w:trPr>
          <w:trHeight w:val="300"/>
        </w:trPr>
        <w:tc>
          <w:tcPr>
            <w:tcW w:w="0" w:type="auto"/>
            <w:vAlign w:val="center"/>
            <w:hideMark/>
          </w:tcPr>
          <w:p w14:paraId="3DF7EC0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Днепровский алюминиевый комбинат.</w:t>
            </w:r>
          </w:p>
        </w:tc>
        <w:tc>
          <w:tcPr>
            <w:tcW w:w="0" w:type="auto"/>
            <w:vAlign w:val="center"/>
            <w:hideMark/>
          </w:tcPr>
          <w:p w14:paraId="6B27CEE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Электродный завод г. Москва.</w:t>
            </w:r>
          </w:p>
        </w:tc>
      </w:tr>
      <w:tr w:rsidR="004E10C1" w:rsidRPr="0044524F" w14:paraId="1BCBFD83" w14:textId="77777777" w:rsidTr="00DC292A">
        <w:trPr>
          <w:trHeight w:val="300"/>
        </w:trPr>
        <w:tc>
          <w:tcPr>
            <w:tcW w:w="0" w:type="auto"/>
            <w:vAlign w:val="center"/>
            <w:hideMark/>
          </w:tcPr>
          <w:p w14:paraId="57677D5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Волховский алюминиевый 1-й очереди.</w:t>
            </w:r>
          </w:p>
        </w:tc>
        <w:tc>
          <w:tcPr>
            <w:tcW w:w="0" w:type="auto"/>
            <w:vAlign w:val="center"/>
            <w:hideMark/>
          </w:tcPr>
          <w:p w14:paraId="384074C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50D93270" w14:textId="77777777" w:rsidTr="00DC292A">
        <w:trPr>
          <w:trHeight w:val="300"/>
        </w:trPr>
        <w:tc>
          <w:tcPr>
            <w:tcW w:w="0" w:type="auto"/>
            <w:vAlign w:val="center"/>
            <w:hideMark/>
          </w:tcPr>
          <w:p w14:paraId="7BC9458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МАШИНОСТРОЕНИЕ.</w:t>
            </w:r>
          </w:p>
        </w:tc>
        <w:tc>
          <w:tcPr>
            <w:tcW w:w="0" w:type="auto"/>
            <w:vAlign w:val="center"/>
            <w:hideMark/>
          </w:tcPr>
          <w:p w14:paraId="737E56E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7D9E13AE" w14:textId="77777777" w:rsidTr="00DC292A">
        <w:trPr>
          <w:trHeight w:val="300"/>
        </w:trPr>
        <w:tc>
          <w:tcPr>
            <w:tcW w:w="0" w:type="auto"/>
            <w:vAlign w:val="center"/>
            <w:hideMark/>
          </w:tcPr>
          <w:p w14:paraId="3770CE0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Уралмашстрой.</w:t>
            </w:r>
          </w:p>
        </w:tc>
        <w:tc>
          <w:tcPr>
            <w:tcW w:w="0" w:type="auto"/>
            <w:vAlign w:val="center"/>
            <w:hideMark/>
          </w:tcPr>
          <w:p w14:paraId="7D9CA62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Уралвагонострой.</w:t>
            </w:r>
          </w:p>
        </w:tc>
      </w:tr>
      <w:tr w:rsidR="004E10C1" w:rsidRPr="0044524F" w14:paraId="6804F5E0" w14:textId="77777777" w:rsidTr="00DC292A">
        <w:trPr>
          <w:trHeight w:val="300"/>
        </w:trPr>
        <w:tc>
          <w:tcPr>
            <w:tcW w:w="0" w:type="auto"/>
            <w:vAlign w:val="center"/>
            <w:hideMark/>
          </w:tcPr>
          <w:p w14:paraId="3465F65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Краммашстрой.</w:t>
            </w:r>
          </w:p>
        </w:tc>
        <w:tc>
          <w:tcPr>
            <w:tcW w:w="0" w:type="auto"/>
            <w:vAlign w:val="center"/>
            <w:hideMark/>
          </w:tcPr>
          <w:p w14:paraId="46A94D3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„Господшипник" №1</w:t>
            </w:r>
          </w:p>
        </w:tc>
      </w:tr>
      <w:tr w:rsidR="004E10C1" w:rsidRPr="0044524F" w14:paraId="22C55B90" w14:textId="77777777" w:rsidTr="00DC292A">
        <w:trPr>
          <w:trHeight w:val="300"/>
        </w:trPr>
        <w:tc>
          <w:tcPr>
            <w:tcW w:w="0" w:type="auto"/>
            <w:vAlign w:val="center"/>
            <w:hideMark/>
          </w:tcPr>
          <w:p w14:paraId="21596E9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Челябинский тракторный завод.</w:t>
            </w:r>
          </w:p>
        </w:tc>
        <w:tc>
          <w:tcPr>
            <w:tcW w:w="0" w:type="auto"/>
            <w:vAlign w:val="center"/>
            <w:hideMark/>
          </w:tcPr>
          <w:p w14:paraId="7EF5478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„Красный котельщик"</w:t>
            </w:r>
          </w:p>
        </w:tc>
      </w:tr>
      <w:tr w:rsidR="004E10C1" w:rsidRPr="0044524F" w14:paraId="680E4ED1" w14:textId="77777777" w:rsidTr="00DC292A">
        <w:trPr>
          <w:trHeight w:val="300"/>
        </w:trPr>
        <w:tc>
          <w:tcPr>
            <w:tcW w:w="0" w:type="auto"/>
            <w:vAlign w:val="center"/>
            <w:hideMark/>
          </w:tcPr>
          <w:p w14:paraId="0856573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Автозавод им. Молотова.</w:t>
            </w:r>
          </w:p>
        </w:tc>
        <w:tc>
          <w:tcPr>
            <w:tcW w:w="0" w:type="auto"/>
            <w:vAlign w:val="center"/>
            <w:hideMark/>
          </w:tcPr>
          <w:p w14:paraId="735D944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авто-тракторного электромашиностроения (ЗАТЭМ)</w:t>
            </w:r>
          </w:p>
        </w:tc>
      </w:tr>
      <w:tr w:rsidR="004E10C1" w:rsidRPr="0044524F" w14:paraId="64FEA157" w14:textId="77777777" w:rsidTr="00DC292A">
        <w:trPr>
          <w:trHeight w:val="300"/>
        </w:trPr>
        <w:tc>
          <w:tcPr>
            <w:tcW w:w="0" w:type="auto"/>
            <w:vAlign w:val="center"/>
            <w:hideMark/>
          </w:tcPr>
          <w:p w14:paraId="07F29ED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Луганский паровозный (новый) завод.</w:t>
            </w:r>
          </w:p>
        </w:tc>
        <w:tc>
          <w:tcPr>
            <w:tcW w:w="0" w:type="auto"/>
            <w:vAlign w:val="center"/>
            <w:hideMark/>
          </w:tcPr>
          <w:p w14:paraId="01C45BB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Турбинстрой.</w:t>
            </w:r>
          </w:p>
        </w:tc>
      </w:tr>
      <w:tr w:rsidR="004E10C1" w:rsidRPr="0044524F" w14:paraId="05D1E775" w14:textId="77777777" w:rsidTr="00DC292A">
        <w:trPr>
          <w:trHeight w:val="300"/>
        </w:trPr>
        <w:tc>
          <w:tcPr>
            <w:tcW w:w="0" w:type="auto"/>
            <w:vAlign w:val="center"/>
            <w:hideMark/>
          </w:tcPr>
          <w:p w14:paraId="1780731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Прожекторный завод.</w:t>
            </w:r>
          </w:p>
        </w:tc>
        <w:tc>
          <w:tcPr>
            <w:tcW w:w="0" w:type="auto"/>
            <w:vAlign w:val="center"/>
            <w:hideMark/>
          </w:tcPr>
          <w:p w14:paraId="35CC9DE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Дальпромстрой.</w:t>
            </w:r>
          </w:p>
        </w:tc>
      </w:tr>
      <w:tr w:rsidR="004E10C1" w:rsidRPr="0044524F" w14:paraId="43DE5087" w14:textId="77777777" w:rsidTr="00DC292A">
        <w:trPr>
          <w:trHeight w:val="300"/>
        </w:trPr>
        <w:tc>
          <w:tcPr>
            <w:tcW w:w="0" w:type="auto"/>
            <w:vAlign w:val="center"/>
            <w:hideMark/>
          </w:tcPr>
          <w:p w14:paraId="60A92CB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19.</w:t>
            </w:r>
          </w:p>
        </w:tc>
        <w:tc>
          <w:tcPr>
            <w:tcW w:w="0" w:type="auto"/>
            <w:vAlign w:val="center"/>
            <w:hideMark/>
          </w:tcPr>
          <w:p w14:paraId="552692E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Приборстрой.</w:t>
            </w:r>
          </w:p>
        </w:tc>
      </w:tr>
      <w:tr w:rsidR="004E10C1" w:rsidRPr="0044524F" w14:paraId="12F17F2D" w14:textId="77777777" w:rsidTr="00DC292A">
        <w:trPr>
          <w:trHeight w:val="300"/>
        </w:trPr>
        <w:tc>
          <w:tcPr>
            <w:tcW w:w="0" w:type="auto"/>
            <w:vAlign w:val="center"/>
            <w:hideMark/>
          </w:tcPr>
          <w:p w14:paraId="42C4361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ХИМИЯ.</w:t>
            </w:r>
          </w:p>
        </w:tc>
        <w:tc>
          <w:tcPr>
            <w:tcW w:w="0" w:type="auto"/>
            <w:vAlign w:val="center"/>
            <w:hideMark/>
          </w:tcPr>
          <w:p w14:paraId="7C5CE60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25CA989B" w14:textId="77777777" w:rsidTr="00DC292A">
        <w:trPr>
          <w:trHeight w:val="300"/>
        </w:trPr>
        <w:tc>
          <w:tcPr>
            <w:tcW w:w="0" w:type="auto"/>
            <w:vAlign w:val="center"/>
            <w:hideMark/>
          </w:tcPr>
          <w:p w14:paraId="55A892B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Березняковский комбинат.</w:t>
            </w:r>
          </w:p>
        </w:tc>
        <w:tc>
          <w:tcPr>
            <w:tcW w:w="0" w:type="auto"/>
            <w:vAlign w:val="center"/>
            <w:hideMark/>
          </w:tcPr>
          <w:p w14:paraId="3F11B7F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Калатанский комбинат.</w:t>
            </w:r>
          </w:p>
        </w:tc>
      </w:tr>
      <w:tr w:rsidR="004E10C1" w:rsidRPr="0044524F" w14:paraId="46F35EF7" w14:textId="77777777" w:rsidTr="00DC292A">
        <w:trPr>
          <w:trHeight w:val="300"/>
        </w:trPr>
        <w:tc>
          <w:tcPr>
            <w:tcW w:w="0" w:type="auto"/>
            <w:vAlign w:val="center"/>
            <w:hideMark/>
          </w:tcPr>
          <w:p w14:paraId="684D360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Бобриковский комбинат.</w:t>
            </w:r>
          </w:p>
        </w:tc>
        <w:tc>
          <w:tcPr>
            <w:tcW w:w="0" w:type="auto"/>
            <w:vAlign w:val="center"/>
            <w:hideMark/>
          </w:tcPr>
          <w:p w14:paraId="751F25A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Обогатительная фабрика г. Хибиногорск</w:t>
            </w:r>
          </w:p>
        </w:tc>
      </w:tr>
      <w:tr w:rsidR="004E10C1" w:rsidRPr="0044524F" w14:paraId="07611692" w14:textId="77777777" w:rsidTr="00DC292A">
        <w:trPr>
          <w:trHeight w:val="300"/>
        </w:trPr>
        <w:tc>
          <w:tcPr>
            <w:tcW w:w="0" w:type="auto"/>
            <w:vAlign w:val="center"/>
            <w:hideMark/>
          </w:tcPr>
          <w:p w14:paraId="018EFCA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Горловский комбинат.</w:t>
            </w:r>
          </w:p>
        </w:tc>
        <w:tc>
          <w:tcPr>
            <w:tcW w:w="0" w:type="auto"/>
            <w:vAlign w:val="center"/>
            <w:hideMark/>
          </w:tcPr>
          <w:p w14:paraId="6580559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37F2B90C" w14:textId="77777777" w:rsidTr="00DC292A">
        <w:trPr>
          <w:trHeight w:val="300"/>
        </w:trPr>
        <w:tc>
          <w:tcPr>
            <w:tcW w:w="0" w:type="auto"/>
            <w:vAlign w:val="center"/>
            <w:hideMark/>
          </w:tcPr>
          <w:p w14:paraId="32AB964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КОКС.</w:t>
            </w:r>
          </w:p>
        </w:tc>
        <w:tc>
          <w:tcPr>
            <w:tcW w:w="0" w:type="auto"/>
            <w:vAlign w:val="center"/>
            <w:hideMark/>
          </w:tcPr>
          <w:p w14:paraId="7BB05D2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71C30491" w14:textId="77777777" w:rsidTr="00DC292A">
        <w:trPr>
          <w:trHeight w:val="300"/>
        </w:trPr>
        <w:tc>
          <w:tcPr>
            <w:tcW w:w="0" w:type="auto"/>
            <w:vAlign w:val="center"/>
            <w:hideMark/>
          </w:tcPr>
          <w:p w14:paraId="75B1E26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Магнитогорский завод.</w:t>
            </w:r>
          </w:p>
        </w:tc>
        <w:tc>
          <w:tcPr>
            <w:tcW w:w="0" w:type="auto"/>
            <w:vAlign w:val="center"/>
            <w:hideMark/>
          </w:tcPr>
          <w:p w14:paraId="4446F8C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Углемойки.</w:t>
            </w:r>
          </w:p>
        </w:tc>
      </w:tr>
      <w:tr w:rsidR="004E10C1" w:rsidRPr="0044524F" w14:paraId="0C9ECE63" w14:textId="77777777" w:rsidTr="00DC292A">
        <w:trPr>
          <w:trHeight w:val="300"/>
        </w:trPr>
        <w:tc>
          <w:tcPr>
            <w:tcW w:w="0" w:type="auto"/>
            <w:vAlign w:val="center"/>
            <w:hideMark/>
          </w:tcPr>
          <w:p w14:paraId="61932EC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Запорожская фабрика.</w:t>
            </w:r>
          </w:p>
        </w:tc>
        <w:tc>
          <w:tcPr>
            <w:tcW w:w="0" w:type="auto"/>
            <w:vAlign w:val="center"/>
            <w:hideMark/>
          </w:tcPr>
          <w:p w14:paraId="66775FB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Енакневский коксовый завод.</w:t>
            </w:r>
          </w:p>
        </w:tc>
      </w:tr>
      <w:tr w:rsidR="004E10C1" w:rsidRPr="0044524F" w14:paraId="0BD50324" w14:textId="77777777" w:rsidTr="00DC292A">
        <w:trPr>
          <w:trHeight w:val="300"/>
        </w:trPr>
        <w:tc>
          <w:tcPr>
            <w:tcW w:w="0" w:type="auto"/>
            <w:vAlign w:val="center"/>
            <w:hideMark/>
          </w:tcPr>
          <w:p w14:paraId="4360719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Макеевская фабрика.</w:t>
            </w:r>
          </w:p>
        </w:tc>
        <w:tc>
          <w:tcPr>
            <w:tcW w:w="0" w:type="auto"/>
            <w:vAlign w:val="center"/>
            <w:hideMark/>
          </w:tcPr>
          <w:p w14:paraId="65F1E46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04248BFB" w14:textId="77777777" w:rsidTr="00DC292A">
        <w:trPr>
          <w:trHeight w:val="300"/>
        </w:trPr>
        <w:tc>
          <w:tcPr>
            <w:tcW w:w="0" w:type="auto"/>
            <w:vAlign w:val="center"/>
            <w:hideMark/>
          </w:tcPr>
          <w:p w14:paraId="05E631E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ОГНЕУПОРНАЯ.</w:t>
            </w:r>
          </w:p>
        </w:tc>
        <w:tc>
          <w:tcPr>
            <w:tcW w:w="0" w:type="auto"/>
            <w:vAlign w:val="center"/>
            <w:hideMark/>
          </w:tcPr>
          <w:p w14:paraId="6B14483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03485D92" w14:textId="77777777" w:rsidTr="00DC292A">
        <w:trPr>
          <w:trHeight w:val="300"/>
        </w:trPr>
        <w:tc>
          <w:tcPr>
            <w:tcW w:w="0" w:type="auto"/>
            <w:vAlign w:val="center"/>
            <w:hideMark/>
          </w:tcPr>
          <w:p w14:paraId="091ACFA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Магнезитовый завод, Сатка.</w:t>
            </w:r>
          </w:p>
        </w:tc>
        <w:tc>
          <w:tcPr>
            <w:tcW w:w="0" w:type="auto"/>
            <w:vAlign w:val="center"/>
            <w:hideMark/>
          </w:tcPr>
          <w:p w14:paraId="649D581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Шамотный завод, Богдановичи.</w:t>
            </w:r>
          </w:p>
        </w:tc>
      </w:tr>
      <w:tr w:rsidR="004E10C1" w:rsidRPr="0044524F" w14:paraId="098C6775" w14:textId="77777777" w:rsidTr="00DC292A">
        <w:trPr>
          <w:trHeight w:val="300"/>
        </w:trPr>
        <w:tc>
          <w:tcPr>
            <w:tcW w:w="0" w:type="auto"/>
            <w:vAlign w:val="center"/>
            <w:hideMark/>
          </w:tcPr>
          <w:p w14:paraId="0A3A51E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Динасовый завод, Гришино.</w:t>
            </w:r>
          </w:p>
        </w:tc>
        <w:tc>
          <w:tcPr>
            <w:tcW w:w="0" w:type="auto"/>
            <w:vAlign w:val="center"/>
            <w:hideMark/>
          </w:tcPr>
          <w:p w14:paraId="7A64D6A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Динасовый и шамотный завод, Красногоровка.</w:t>
            </w:r>
          </w:p>
        </w:tc>
      </w:tr>
      <w:tr w:rsidR="004E10C1" w:rsidRPr="0044524F" w14:paraId="58E59C1D" w14:textId="77777777" w:rsidTr="00DC292A">
        <w:trPr>
          <w:trHeight w:val="300"/>
        </w:trPr>
        <w:tc>
          <w:tcPr>
            <w:tcW w:w="0" w:type="auto"/>
            <w:vAlign w:val="center"/>
            <w:hideMark/>
          </w:tcPr>
          <w:p w14:paraId="6A69BC1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Первоуральский динасовый завод.</w:t>
            </w:r>
          </w:p>
        </w:tc>
        <w:tc>
          <w:tcPr>
            <w:tcW w:w="0" w:type="auto"/>
            <w:vAlign w:val="center"/>
            <w:hideMark/>
          </w:tcPr>
          <w:p w14:paraId="7562586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6051FD08" w14:textId="77777777" w:rsidTr="00DC292A">
        <w:trPr>
          <w:trHeight w:val="300"/>
        </w:trPr>
        <w:tc>
          <w:tcPr>
            <w:tcW w:w="0" w:type="auto"/>
            <w:vAlign w:val="center"/>
            <w:hideMark/>
          </w:tcPr>
          <w:p w14:paraId="7BA2EFC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ЦЕМЕНТНАЯ ПРОМЫШЛЕННОСТЬ.</w:t>
            </w:r>
          </w:p>
        </w:tc>
        <w:tc>
          <w:tcPr>
            <w:tcW w:w="0" w:type="auto"/>
            <w:vAlign w:val="center"/>
            <w:hideMark/>
          </w:tcPr>
          <w:p w14:paraId="34D4BC8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6F79695" w14:textId="77777777" w:rsidTr="00DC292A">
        <w:trPr>
          <w:trHeight w:val="300"/>
        </w:trPr>
        <w:tc>
          <w:tcPr>
            <w:tcW w:w="0" w:type="auto"/>
            <w:vAlign w:val="center"/>
            <w:hideMark/>
          </w:tcPr>
          <w:p w14:paraId="4465024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Новоспасский завод.</w:t>
            </w:r>
          </w:p>
        </w:tc>
        <w:tc>
          <w:tcPr>
            <w:tcW w:w="0" w:type="auto"/>
            <w:vAlign w:val="center"/>
            <w:hideMark/>
          </w:tcPr>
          <w:p w14:paraId="72147C7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4D36035" w14:textId="77777777" w:rsidTr="00DC292A">
        <w:trPr>
          <w:trHeight w:val="300"/>
        </w:trPr>
        <w:tc>
          <w:tcPr>
            <w:tcW w:w="0" w:type="auto"/>
            <w:vAlign w:val="center"/>
            <w:hideMark/>
          </w:tcPr>
          <w:p w14:paraId="3358923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АСБЕСТОВАЯ ПРОМЫШЛЕННОСТЬ.</w:t>
            </w:r>
          </w:p>
        </w:tc>
        <w:tc>
          <w:tcPr>
            <w:tcW w:w="0" w:type="auto"/>
            <w:vAlign w:val="center"/>
            <w:hideMark/>
          </w:tcPr>
          <w:p w14:paraId="67ED474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5E361C9" w14:textId="77777777" w:rsidTr="00DC292A">
        <w:trPr>
          <w:trHeight w:val="300"/>
        </w:trPr>
        <w:tc>
          <w:tcPr>
            <w:tcW w:w="0" w:type="auto"/>
            <w:vAlign w:val="center"/>
            <w:hideMark/>
          </w:tcPr>
          <w:p w14:paraId="0C1E91B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Сортировочная № 3, Баженово.</w:t>
            </w:r>
          </w:p>
        </w:tc>
        <w:tc>
          <w:tcPr>
            <w:tcW w:w="0" w:type="auto"/>
            <w:vAlign w:val="center"/>
            <w:hideMark/>
          </w:tcPr>
          <w:p w14:paraId="0BC8153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асбоцементных труб, Сухой Лог.</w:t>
            </w:r>
          </w:p>
        </w:tc>
      </w:tr>
      <w:tr w:rsidR="004E10C1" w:rsidRPr="0044524F" w14:paraId="1E4B60F1" w14:textId="77777777" w:rsidTr="00DC292A">
        <w:trPr>
          <w:trHeight w:val="300"/>
        </w:trPr>
        <w:tc>
          <w:tcPr>
            <w:tcW w:w="0" w:type="auto"/>
            <w:vAlign w:val="center"/>
            <w:hideMark/>
          </w:tcPr>
          <w:p w14:paraId="4F2B1E5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ЭЛЕКТРОСТРОИТЕЛЬСТВО.</w:t>
            </w:r>
          </w:p>
        </w:tc>
        <w:tc>
          <w:tcPr>
            <w:tcW w:w="0" w:type="auto"/>
            <w:vAlign w:val="center"/>
            <w:hideMark/>
          </w:tcPr>
          <w:p w14:paraId="4437733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0E04510F" w14:textId="77777777" w:rsidTr="00DC292A">
        <w:trPr>
          <w:trHeight w:val="300"/>
        </w:trPr>
        <w:tc>
          <w:tcPr>
            <w:tcW w:w="0" w:type="auto"/>
            <w:vAlign w:val="center"/>
            <w:hideMark/>
          </w:tcPr>
          <w:p w14:paraId="4CD2C93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Бобриковская ГЭС.</w:t>
            </w:r>
          </w:p>
        </w:tc>
        <w:tc>
          <w:tcPr>
            <w:tcW w:w="0" w:type="auto"/>
            <w:vAlign w:val="center"/>
            <w:hideMark/>
          </w:tcPr>
          <w:p w14:paraId="4D7EA17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Челябинская ГЭС.</w:t>
            </w:r>
          </w:p>
        </w:tc>
      </w:tr>
      <w:tr w:rsidR="004E10C1" w:rsidRPr="0044524F" w14:paraId="29336744" w14:textId="77777777" w:rsidTr="00DC292A">
        <w:trPr>
          <w:trHeight w:val="300"/>
        </w:trPr>
        <w:tc>
          <w:tcPr>
            <w:tcW w:w="0" w:type="auto"/>
            <w:vAlign w:val="center"/>
            <w:hideMark/>
          </w:tcPr>
          <w:p w14:paraId="56A65A3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ТЭЦ ВТИ.</w:t>
            </w:r>
          </w:p>
        </w:tc>
        <w:tc>
          <w:tcPr>
            <w:tcW w:w="0" w:type="auto"/>
            <w:vAlign w:val="center"/>
            <w:hideMark/>
          </w:tcPr>
          <w:p w14:paraId="46E0629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Закамская ГЭС.</w:t>
            </w:r>
          </w:p>
        </w:tc>
      </w:tr>
      <w:tr w:rsidR="004E10C1" w:rsidRPr="0044524F" w14:paraId="258EF287" w14:textId="77777777" w:rsidTr="00DC292A">
        <w:trPr>
          <w:trHeight w:val="300"/>
        </w:trPr>
        <w:tc>
          <w:tcPr>
            <w:tcW w:w="0" w:type="auto"/>
            <w:vAlign w:val="center"/>
            <w:hideMark/>
          </w:tcPr>
          <w:p w14:paraId="340D73D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Свирьстрой.</w:t>
            </w:r>
          </w:p>
        </w:tc>
        <w:tc>
          <w:tcPr>
            <w:tcW w:w="0" w:type="auto"/>
            <w:vAlign w:val="center"/>
            <w:hideMark/>
          </w:tcPr>
          <w:p w14:paraId="03210A2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Чирчикская ГЭС.</w:t>
            </w:r>
          </w:p>
        </w:tc>
      </w:tr>
      <w:tr w:rsidR="004E10C1" w:rsidRPr="0044524F" w14:paraId="21E05037" w14:textId="77777777" w:rsidTr="00DC292A">
        <w:trPr>
          <w:trHeight w:val="300"/>
        </w:trPr>
        <w:tc>
          <w:tcPr>
            <w:tcW w:w="0" w:type="auto"/>
            <w:vAlign w:val="center"/>
            <w:hideMark/>
          </w:tcPr>
          <w:p w14:paraId="77FAEAA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Дубровская ГЭС.</w:t>
            </w:r>
          </w:p>
        </w:tc>
        <w:tc>
          <w:tcPr>
            <w:tcW w:w="0" w:type="auto"/>
            <w:vAlign w:val="center"/>
            <w:hideMark/>
          </w:tcPr>
          <w:p w14:paraId="7008EFB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Канакирская ГЭС.</w:t>
            </w:r>
          </w:p>
        </w:tc>
      </w:tr>
      <w:tr w:rsidR="004E10C1" w:rsidRPr="0044524F" w14:paraId="6C1E53DD" w14:textId="77777777" w:rsidTr="00DC292A">
        <w:trPr>
          <w:trHeight w:val="300"/>
        </w:trPr>
        <w:tc>
          <w:tcPr>
            <w:tcW w:w="0" w:type="auto"/>
            <w:vAlign w:val="center"/>
            <w:hideMark/>
          </w:tcPr>
          <w:p w14:paraId="35720BA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Краснозаводская ТЭЦ.</w:t>
            </w:r>
          </w:p>
        </w:tc>
        <w:tc>
          <w:tcPr>
            <w:tcW w:w="0" w:type="auto"/>
            <w:vAlign w:val="center"/>
            <w:hideMark/>
          </w:tcPr>
          <w:p w14:paraId="7335A59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Электросети Москвы, Ленинграда и Урала.</w:t>
            </w:r>
          </w:p>
        </w:tc>
      </w:tr>
      <w:tr w:rsidR="004E10C1" w:rsidRPr="0044524F" w14:paraId="281C0F5C" w14:textId="77777777" w:rsidTr="00DC292A">
        <w:trPr>
          <w:trHeight w:val="300"/>
        </w:trPr>
        <w:tc>
          <w:tcPr>
            <w:tcW w:w="0" w:type="auto"/>
            <w:vAlign w:val="center"/>
            <w:hideMark/>
          </w:tcPr>
          <w:p w14:paraId="6284468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Кизеловская ГЭС.</w:t>
            </w:r>
          </w:p>
        </w:tc>
        <w:tc>
          <w:tcPr>
            <w:tcW w:w="0" w:type="auto"/>
            <w:vAlign w:val="center"/>
            <w:hideMark/>
          </w:tcPr>
          <w:p w14:paraId="0792DC5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4C7E6C1E" w14:textId="77777777" w:rsidTr="00DC292A">
        <w:trPr>
          <w:trHeight w:val="300"/>
        </w:trPr>
        <w:tc>
          <w:tcPr>
            <w:tcW w:w="0" w:type="auto"/>
            <w:gridSpan w:val="2"/>
            <w:vAlign w:val="center"/>
            <w:hideMark/>
          </w:tcPr>
          <w:p w14:paraId="57860BC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НАРКОМЛЕГПРОМ</w:t>
            </w:r>
          </w:p>
        </w:tc>
      </w:tr>
      <w:tr w:rsidR="004E10C1" w:rsidRPr="0044524F" w14:paraId="19ABA8BE" w14:textId="77777777" w:rsidTr="00DC292A">
        <w:trPr>
          <w:trHeight w:val="300"/>
        </w:trPr>
        <w:tc>
          <w:tcPr>
            <w:tcW w:w="0" w:type="auto"/>
            <w:vAlign w:val="center"/>
            <w:hideMark/>
          </w:tcPr>
          <w:p w14:paraId="290695C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Ташкентский х-б комбинат.</w:t>
            </w:r>
          </w:p>
        </w:tc>
        <w:tc>
          <w:tcPr>
            <w:tcW w:w="0" w:type="auto"/>
            <w:vAlign w:val="center"/>
            <w:hideMark/>
          </w:tcPr>
          <w:p w14:paraId="7CAD268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Швейная фабрика № 1 Моск. обл.</w:t>
            </w:r>
          </w:p>
        </w:tc>
      </w:tr>
      <w:tr w:rsidR="004E10C1" w:rsidRPr="0044524F" w14:paraId="2702868F" w14:textId="77777777" w:rsidTr="00DC292A">
        <w:trPr>
          <w:trHeight w:val="300"/>
        </w:trPr>
        <w:tc>
          <w:tcPr>
            <w:tcW w:w="0" w:type="auto"/>
            <w:vAlign w:val="center"/>
            <w:hideMark/>
          </w:tcPr>
          <w:p w14:paraId="69752E3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Барнаульский х-б комбинат.</w:t>
            </w:r>
          </w:p>
        </w:tc>
        <w:tc>
          <w:tcPr>
            <w:tcW w:w="0" w:type="auto"/>
            <w:vAlign w:val="center"/>
            <w:hideMark/>
          </w:tcPr>
          <w:p w14:paraId="4F7A6F0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Швейная фабрика № 2 Моск. обл.</w:t>
            </w:r>
          </w:p>
        </w:tc>
      </w:tr>
      <w:tr w:rsidR="004E10C1" w:rsidRPr="0044524F" w14:paraId="7EDD9B5C" w14:textId="77777777" w:rsidTr="00DC292A">
        <w:trPr>
          <w:trHeight w:val="300"/>
        </w:trPr>
        <w:tc>
          <w:tcPr>
            <w:tcW w:w="0" w:type="auto"/>
            <w:vAlign w:val="center"/>
            <w:hideMark/>
          </w:tcPr>
          <w:p w14:paraId="26F0F11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Верхнеудинский стеклозавод.</w:t>
            </w:r>
          </w:p>
        </w:tc>
        <w:tc>
          <w:tcPr>
            <w:tcW w:w="0" w:type="auto"/>
            <w:vAlign w:val="center"/>
            <w:hideMark/>
          </w:tcPr>
          <w:p w14:paraId="045D003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Льнокомбинат сист. Зворыкина, г. Кострома.</w:t>
            </w:r>
          </w:p>
        </w:tc>
      </w:tr>
      <w:tr w:rsidR="004E10C1" w:rsidRPr="0044524F" w14:paraId="671441C6" w14:textId="77777777" w:rsidTr="00DC292A">
        <w:trPr>
          <w:trHeight w:val="300"/>
        </w:trPr>
        <w:tc>
          <w:tcPr>
            <w:tcW w:w="0" w:type="auto"/>
            <w:vAlign w:val="center"/>
            <w:hideMark/>
          </w:tcPr>
          <w:p w14:paraId="169E1BC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Кунцевская игольная фабрика.</w:t>
            </w:r>
          </w:p>
        </w:tc>
        <w:tc>
          <w:tcPr>
            <w:tcW w:w="0" w:type="auto"/>
            <w:vAlign w:val="center"/>
            <w:hideMark/>
          </w:tcPr>
          <w:p w14:paraId="4A9C3E7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Казанская фабрика кинопленки.</w:t>
            </w:r>
          </w:p>
        </w:tc>
      </w:tr>
      <w:tr w:rsidR="004E10C1" w:rsidRPr="0044524F" w14:paraId="30FE6F06" w14:textId="77777777" w:rsidTr="00DC292A">
        <w:trPr>
          <w:trHeight w:val="300"/>
        </w:trPr>
        <w:tc>
          <w:tcPr>
            <w:tcW w:w="0" w:type="auto"/>
            <w:gridSpan w:val="2"/>
            <w:vAlign w:val="center"/>
            <w:hideMark/>
          </w:tcPr>
          <w:p w14:paraId="0F2C492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НАРКОМЛЕС</w:t>
            </w:r>
          </w:p>
        </w:tc>
      </w:tr>
      <w:tr w:rsidR="004E10C1" w:rsidRPr="0044524F" w14:paraId="3A28B175" w14:textId="77777777" w:rsidTr="00DC292A">
        <w:trPr>
          <w:trHeight w:val="300"/>
        </w:trPr>
        <w:tc>
          <w:tcPr>
            <w:tcW w:w="0" w:type="auto"/>
            <w:vAlign w:val="center"/>
            <w:hideMark/>
          </w:tcPr>
          <w:p w14:paraId="2BF6129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Камский бумажный комбинат.</w:t>
            </w:r>
          </w:p>
        </w:tc>
        <w:tc>
          <w:tcPr>
            <w:tcW w:w="0" w:type="auto"/>
            <w:vAlign w:val="center"/>
            <w:hideMark/>
          </w:tcPr>
          <w:p w14:paraId="1A33394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Черниковский комбинат, Башкирская АССР.</w:t>
            </w:r>
          </w:p>
        </w:tc>
      </w:tr>
      <w:tr w:rsidR="004E10C1" w:rsidRPr="0044524F" w14:paraId="4623AB32" w14:textId="77777777" w:rsidTr="00DC292A">
        <w:trPr>
          <w:trHeight w:val="300"/>
        </w:trPr>
        <w:tc>
          <w:tcPr>
            <w:tcW w:w="0" w:type="auto"/>
            <w:vAlign w:val="center"/>
            <w:hideMark/>
          </w:tcPr>
          <w:p w14:paraId="462CA17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Кондопожский бумажный комбинат.</w:t>
            </w:r>
          </w:p>
        </w:tc>
        <w:tc>
          <w:tcPr>
            <w:tcW w:w="0" w:type="auto"/>
            <w:vAlign w:val="center"/>
            <w:hideMark/>
          </w:tcPr>
          <w:p w14:paraId="393BCC9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Уссурийский лесной комбинат.</w:t>
            </w:r>
          </w:p>
        </w:tc>
      </w:tr>
      <w:tr w:rsidR="004E10C1" w:rsidRPr="0044524F" w14:paraId="59688FC8" w14:textId="77777777" w:rsidTr="00DC292A">
        <w:trPr>
          <w:trHeight w:val="300"/>
        </w:trPr>
        <w:tc>
          <w:tcPr>
            <w:tcW w:w="0" w:type="auto"/>
            <w:vAlign w:val="center"/>
            <w:hideMark/>
          </w:tcPr>
          <w:p w14:paraId="616B72C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Ижевский лесохимический комбинат.</w:t>
            </w:r>
          </w:p>
        </w:tc>
        <w:tc>
          <w:tcPr>
            <w:tcW w:w="0" w:type="auto"/>
            <w:vAlign w:val="center"/>
            <w:hideMark/>
          </w:tcPr>
          <w:p w14:paraId="72203A4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Черемховский комбинат, Восточная Сибирь.</w:t>
            </w:r>
          </w:p>
        </w:tc>
      </w:tr>
      <w:tr w:rsidR="004E10C1" w:rsidRPr="0044524F" w14:paraId="3649BEF9" w14:textId="77777777" w:rsidTr="00DC292A">
        <w:trPr>
          <w:trHeight w:val="300"/>
        </w:trPr>
        <w:tc>
          <w:tcPr>
            <w:tcW w:w="0" w:type="auto"/>
            <w:vAlign w:val="center"/>
            <w:hideMark/>
          </w:tcPr>
          <w:p w14:paraId="1B60CB5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Ельшанский дерево-обделочный завод,</w:t>
            </w:r>
          </w:p>
          <w:p w14:paraId="6B65A0B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Нижняя Волга.</w:t>
            </w:r>
          </w:p>
        </w:tc>
        <w:tc>
          <w:tcPr>
            <w:tcW w:w="0" w:type="auto"/>
            <w:vAlign w:val="center"/>
            <w:hideMark/>
          </w:tcPr>
          <w:p w14:paraId="34D3A41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Шумерлинский комбинат, Горьковский край</w:t>
            </w:r>
          </w:p>
        </w:tc>
      </w:tr>
      <w:tr w:rsidR="004E10C1" w:rsidRPr="0044524F" w14:paraId="3FBCDC2C" w14:textId="77777777" w:rsidTr="00DC292A">
        <w:trPr>
          <w:trHeight w:val="300"/>
        </w:trPr>
        <w:tc>
          <w:tcPr>
            <w:tcW w:w="0" w:type="auto"/>
            <w:gridSpan w:val="2"/>
            <w:vAlign w:val="center"/>
            <w:hideMark/>
          </w:tcPr>
          <w:p w14:paraId="4630230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Жеребовская опытная целлюлозная установка, БССР.</w:t>
            </w:r>
          </w:p>
        </w:tc>
      </w:tr>
      <w:tr w:rsidR="004E10C1" w:rsidRPr="0044524F" w14:paraId="71BA1931" w14:textId="77777777" w:rsidTr="00DC292A">
        <w:trPr>
          <w:trHeight w:val="300"/>
        </w:trPr>
        <w:tc>
          <w:tcPr>
            <w:tcW w:w="0" w:type="auto"/>
            <w:gridSpan w:val="2"/>
            <w:vAlign w:val="center"/>
            <w:hideMark/>
          </w:tcPr>
          <w:p w14:paraId="4B575DE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НАРКОМСНАБ</w:t>
            </w:r>
          </w:p>
        </w:tc>
      </w:tr>
      <w:tr w:rsidR="004E10C1" w:rsidRPr="0044524F" w14:paraId="3BEE6412" w14:textId="77777777" w:rsidTr="00DC292A">
        <w:trPr>
          <w:trHeight w:val="300"/>
        </w:trPr>
        <w:tc>
          <w:tcPr>
            <w:tcW w:w="0" w:type="auto"/>
            <w:vAlign w:val="center"/>
            <w:hideMark/>
          </w:tcPr>
          <w:p w14:paraId="0B65687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МЯСНАЯ ПРОМЫШЛЕННОСТЬ.</w:t>
            </w:r>
          </w:p>
        </w:tc>
        <w:tc>
          <w:tcPr>
            <w:tcW w:w="0" w:type="auto"/>
            <w:vAlign w:val="center"/>
            <w:hideMark/>
          </w:tcPr>
          <w:p w14:paraId="4C64391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0AE05861" w14:textId="77777777" w:rsidTr="00DC292A">
        <w:trPr>
          <w:trHeight w:val="300"/>
        </w:trPr>
        <w:tc>
          <w:tcPr>
            <w:tcW w:w="0" w:type="auto"/>
            <w:vAlign w:val="center"/>
            <w:hideMark/>
          </w:tcPr>
          <w:p w14:paraId="4381DC0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Мясокомбинат Москва.</w:t>
            </w:r>
          </w:p>
        </w:tc>
        <w:tc>
          <w:tcPr>
            <w:tcW w:w="0" w:type="auto"/>
            <w:vAlign w:val="center"/>
            <w:hideMark/>
          </w:tcPr>
          <w:p w14:paraId="67E3026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Мясокомбинат Ленинакан.</w:t>
            </w:r>
          </w:p>
        </w:tc>
      </w:tr>
      <w:tr w:rsidR="004E10C1" w:rsidRPr="0044524F" w14:paraId="7922C23B" w14:textId="77777777" w:rsidTr="00DC292A">
        <w:trPr>
          <w:trHeight w:val="300"/>
        </w:trPr>
        <w:tc>
          <w:tcPr>
            <w:tcW w:w="0" w:type="auto"/>
            <w:vAlign w:val="center"/>
            <w:hideMark/>
          </w:tcPr>
          <w:p w14:paraId="5BAB39B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Мясокомбинат Ленинград.</w:t>
            </w:r>
          </w:p>
        </w:tc>
        <w:tc>
          <w:tcPr>
            <w:tcW w:w="0" w:type="auto"/>
            <w:vAlign w:val="center"/>
            <w:hideMark/>
          </w:tcPr>
          <w:p w14:paraId="52D2B97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Мясокомбинат Верхнеудинск.</w:t>
            </w:r>
          </w:p>
        </w:tc>
      </w:tr>
      <w:tr w:rsidR="004E10C1" w:rsidRPr="0044524F" w14:paraId="33BA8907" w14:textId="77777777" w:rsidTr="00DC292A">
        <w:trPr>
          <w:trHeight w:val="300"/>
        </w:trPr>
        <w:tc>
          <w:tcPr>
            <w:tcW w:w="0" w:type="auto"/>
            <w:vAlign w:val="center"/>
            <w:hideMark/>
          </w:tcPr>
          <w:p w14:paraId="458238C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Мясокомбинат Семипалатинск.</w:t>
            </w:r>
          </w:p>
        </w:tc>
        <w:tc>
          <w:tcPr>
            <w:tcW w:w="0" w:type="auto"/>
            <w:vAlign w:val="center"/>
            <w:hideMark/>
          </w:tcPr>
          <w:p w14:paraId="2FC856E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6CC14F56" w14:textId="77777777" w:rsidTr="00DC292A">
        <w:trPr>
          <w:trHeight w:val="300"/>
        </w:trPr>
        <w:tc>
          <w:tcPr>
            <w:tcW w:w="0" w:type="auto"/>
            <w:vAlign w:val="center"/>
            <w:hideMark/>
          </w:tcPr>
          <w:p w14:paraId="1627925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РЫБНАЯ ПРОМЫШЛЕННОСТЬ.</w:t>
            </w:r>
          </w:p>
        </w:tc>
        <w:tc>
          <w:tcPr>
            <w:tcW w:w="0" w:type="auto"/>
            <w:vAlign w:val="center"/>
            <w:hideMark/>
          </w:tcPr>
          <w:p w14:paraId="07268B7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6B280BB8" w14:textId="77777777" w:rsidTr="00DC292A">
        <w:trPr>
          <w:trHeight w:val="300"/>
        </w:trPr>
        <w:tc>
          <w:tcPr>
            <w:tcW w:w="0" w:type="auto"/>
            <w:vAlign w:val="center"/>
            <w:hideMark/>
          </w:tcPr>
          <w:p w14:paraId="4F0D80C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Консервный комбинат, Лугань.</w:t>
            </w:r>
          </w:p>
        </w:tc>
        <w:tc>
          <w:tcPr>
            <w:tcW w:w="0" w:type="auto"/>
            <w:vAlign w:val="center"/>
            <w:hideMark/>
          </w:tcPr>
          <w:p w14:paraId="5412AA9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Судоремонтный завол, Астрахань.</w:t>
            </w:r>
          </w:p>
        </w:tc>
      </w:tr>
      <w:tr w:rsidR="004E10C1" w:rsidRPr="0044524F" w14:paraId="0CBAFB45" w14:textId="77777777" w:rsidTr="00DC292A">
        <w:trPr>
          <w:trHeight w:val="300"/>
        </w:trPr>
        <w:tc>
          <w:tcPr>
            <w:tcW w:w="0" w:type="auto"/>
            <w:vAlign w:val="center"/>
            <w:hideMark/>
          </w:tcPr>
          <w:p w14:paraId="7A56850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Консервный комбинат, Гурьев.</w:t>
            </w:r>
          </w:p>
        </w:tc>
        <w:tc>
          <w:tcPr>
            <w:tcW w:w="0" w:type="auto"/>
            <w:vAlign w:val="center"/>
            <w:hideMark/>
          </w:tcPr>
          <w:p w14:paraId="64397E9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Владивосток.</w:t>
            </w:r>
          </w:p>
        </w:tc>
      </w:tr>
      <w:tr w:rsidR="004E10C1" w:rsidRPr="0044524F" w14:paraId="5755A80A" w14:textId="77777777" w:rsidTr="00DC292A">
        <w:trPr>
          <w:trHeight w:val="300"/>
        </w:trPr>
        <w:tc>
          <w:tcPr>
            <w:tcW w:w="0" w:type="auto"/>
            <w:vAlign w:val="center"/>
            <w:hideMark/>
          </w:tcPr>
          <w:p w14:paraId="7C463C5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Судоремонтный завод, Мурманск.</w:t>
            </w:r>
          </w:p>
        </w:tc>
        <w:tc>
          <w:tcPr>
            <w:tcW w:w="0" w:type="auto"/>
            <w:vAlign w:val="center"/>
            <w:hideMark/>
          </w:tcPr>
          <w:p w14:paraId="2D84B66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5E2F4A6E" w14:textId="77777777" w:rsidTr="00DC292A">
        <w:trPr>
          <w:trHeight w:val="300"/>
        </w:trPr>
        <w:tc>
          <w:tcPr>
            <w:tcW w:w="0" w:type="auto"/>
            <w:vAlign w:val="center"/>
            <w:hideMark/>
          </w:tcPr>
          <w:p w14:paraId="0C1C6AB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САХАРНАЯ ПРОМЫШЛЕННОСТЬ.</w:t>
            </w:r>
          </w:p>
        </w:tc>
        <w:tc>
          <w:tcPr>
            <w:tcW w:w="0" w:type="auto"/>
            <w:vAlign w:val="center"/>
            <w:hideMark/>
          </w:tcPr>
          <w:p w14:paraId="3935C0B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2D973385" w14:textId="77777777" w:rsidTr="00DC292A">
        <w:trPr>
          <w:trHeight w:val="300"/>
        </w:trPr>
        <w:tc>
          <w:tcPr>
            <w:tcW w:w="0" w:type="auto"/>
            <w:vAlign w:val="center"/>
            <w:hideMark/>
          </w:tcPr>
          <w:p w14:paraId="574733E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Эртильский сахарный завод.</w:t>
            </w:r>
          </w:p>
        </w:tc>
        <w:tc>
          <w:tcPr>
            <w:tcW w:w="0" w:type="auto"/>
            <w:vAlign w:val="center"/>
            <w:hideMark/>
          </w:tcPr>
          <w:p w14:paraId="619F0BD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Меркенский сахарный завод.</w:t>
            </w:r>
          </w:p>
        </w:tc>
      </w:tr>
      <w:tr w:rsidR="004E10C1" w:rsidRPr="0044524F" w14:paraId="3CD592A8" w14:textId="77777777" w:rsidTr="00DC292A">
        <w:trPr>
          <w:trHeight w:val="300"/>
        </w:trPr>
        <w:tc>
          <w:tcPr>
            <w:tcW w:w="0" w:type="auto"/>
            <w:vAlign w:val="center"/>
            <w:hideMark/>
          </w:tcPr>
          <w:p w14:paraId="1CA0301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Нижне-Уссурийский сахарный завод.</w:t>
            </w:r>
          </w:p>
        </w:tc>
        <w:tc>
          <w:tcPr>
            <w:tcW w:w="0" w:type="auto"/>
            <w:vAlign w:val="center"/>
            <w:hideMark/>
          </w:tcPr>
          <w:p w14:paraId="486098E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Талды-Курганский сахарный завод.</w:t>
            </w:r>
          </w:p>
        </w:tc>
      </w:tr>
      <w:tr w:rsidR="004E10C1" w:rsidRPr="0044524F" w14:paraId="2F5026DD" w14:textId="77777777" w:rsidTr="00DC292A">
        <w:trPr>
          <w:trHeight w:val="300"/>
        </w:trPr>
        <w:tc>
          <w:tcPr>
            <w:tcW w:w="0" w:type="auto"/>
            <w:vAlign w:val="center"/>
            <w:hideMark/>
          </w:tcPr>
          <w:p w14:paraId="6868033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КОНСЕРВНАЯ ПРОМЫШЛЕННОСТЬ.</w:t>
            </w:r>
          </w:p>
        </w:tc>
        <w:tc>
          <w:tcPr>
            <w:tcW w:w="0" w:type="auto"/>
            <w:vAlign w:val="center"/>
            <w:hideMark/>
          </w:tcPr>
          <w:p w14:paraId="7950E43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7E3C305E" w14:textId="77777777" w:rsidTr="00DC292A">
        <w:trPr>
          <w:trHeight w:val="300"/>
        </w:trPr>
        <w:tc>
          <w:tcPr>
            <w:tcW w:w="0" w:type="auto"/>
            <w:vAlign w:val="center"/>
            <w:hideMark/>
          </w:tcPr>
          <w:p w14:paraId="30EFC32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Стеклотарный завод, г. Орджоникидзе.</w:t>
            </w:r>
          </w:p>
        </w:tc>
        <w:tc>
          <w:tcPr>
            <w:tcW w:w="0" w:type="auto"/>
            <w:vAlign w:val="center"/>
            <w:hideMark/>
          </w:tcPr>
          <w:p w14:paraId="791D907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28E4B623" w14:textId="77777777" w:rsidTr="00DC292A">
        <w:trPr>
          <w:trHeight w:val="300"/>
        </w:trPr>
        <w:tc>
          <w:tcPr>
            <w:tcW w:w="0" w:type="auto"/>
            <w:vAlign w:val="center"/>
            <w:hideMark/>
          </w:tcPr>
          <w:p w14:paraId="6618923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СПИРТОВАЯ ПРОМЫШЛЕННОСТЬ.</w:t>
            </w:r>
          </w:p>
        </w:tc>
        <w:tc>
          <w:tcPr>
            <w:tcW w:w="0" w:type="auto"/>
            <w:vAlign w:val="center"/>
            <w:hideMark/>
          </w:tcPr>
          <w:p w14:paraId="57AD280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45A490E9" w14:textId="77777777" w:rsidTr="00DC292A">
        <w:trPr>
          <w:trHeight w:val="300"/>
        </w:trPr>
        <w:tc>
          <w:tcPr>
            <w:tcW w:w="0" w:type="auto"/>
            <w:vAlign w:val="center"/>
            <w:hideMark/>
          </w:tcPr>
          <w:p w14:paraId="692C154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Винокуренный завод в Петровске.</w:t>
            </w:r>
          </w:p>
        </w:tc>
        <w:tc>
          <w:tcPr>
            <w:tcW w:w="0" w:type="auto"/>
            <w:vAlign w:val="center"/>
            <w:hideMark/>
          </w:tcPr>
          <w:p w14:paraId="5B3970A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Винокуренный завод в Сясьске.</w:t>
            </w:r>
          </w:p>
        </w:tc>
      </w:tr>
      <w:tr w:rsidR="004E10C1" w:rsidRPr="0044524F" w14:paraId="4482B402" w14:textId="77777777" w:rsidTr="00DC292A">
        <w:trPr>
          <w:trHeight w:val="300"/>
        </w:trPr>
        <w:tc>
          <w:tcPr>
            <w:tcW w:w="0" w:type="auto"/>
            <w:vAlign w:val="center"/>
            <w:hideMark/>
          </w:tcPr>
          <w:p w14:paraId="5558225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СОЛЯНАЯ ПРОМЫШЛЕННОСТЬ. </w:t>
            </w:r>
          </w:p>
        </w:tc>
        <w:tc>
          <w:tcPr>
            <w:tcW w:w="0" w:type="auto"/>
            <w:vAlign w:val="center"/>
            <w:hideMark/>
          </w:tcPr>
          <w:p w14:paraId="312A72C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4920557E" w14:textId="77777777" w:rsidTr="00DC292A">
        <w:trPr>
          <w:trHeight w:val="300"/>
        </w:trPr>
        <w:tc>
          <w:tcPr>
            <w:tcW w:w="0" w:type="auto"/>
            <w:vAlign w:val="center"/>
            <w:hideMark/>
          </w:tcPr>
          <w:p w14:paraId="6540778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Солезавод, Усолье.</w:t>
            </w:r>
          </w:p>
        </w:tc>
        <w:tc>
          <w:tcPr>
            <w:tcW w:w="0" w:type="auto"/>
            <w:vAlign w:val="center"/>
            <w:hideMark/>
          </w:tcPr>
          <w:p w14:paraId="75368F3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83CC10D" w14:textId="77777777" w:rsidTr="00DC292A">
        <w:trPr>
          <w:trHeight w:val="300"/>
        </w:trPr>
        <w:tc>
          <w:tcPr>
            <w:tcW w:w="0" w:type="auto"/>
            <w:vAlign w:val="center"/>
            <w:hideMark/>
          </w:tcPr>
          <w:p w14:paraId="787CA50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КОНДИТЕРСКАЯ ПРОМЫШЛЕННОСТЬ. </w:t>
            </w:r>
          </w:p>
        </w:tc>
        <w:tc>
          <w:tcPr>
            <w:tcW w:w="0" w:type="auto"/>
            <w:vAlign w:val="center"/>
            <w:hideMark/>
          </w:tcPr>
          <w:p w14:paraId="60D2F63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6EC8245A" w14:textId="77777777" w:rsidTr="00DC292A">
        <w:trPr>
          <w:trHeight w:val="300"/>
        </w:trPr>
        <w:tc>
          <w:tcPr>
            <w:tcW w:w="0" w:type="auto"/>
            <w:vAlign w:val="center"/>
            <w:hideMark/>
          </w:tcPr>
          <w:p w14:paraId="6DC6C91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Бисквитная фабрика, Хабаровск.</w:t>
            </w:r>
          </w:p>
        </w:tc>
        <w:tc>
          <w:tcPr>
            <w:tcW w:w="0" w:type="auto"/>
            <w:vAlign w:val="center"/>
            <w:hideMark/>
          </w:tcPr>
          <w:p w14:paraId="7E1E62F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5E865ECA" w14:textId="77777777" w:rsidTr="00DC292A">
        <w:trPr>
          <w:trHeight w:val="300"/>
        </w:trPr>
        <w:tc>
          <w:tcPr>
            <w:tcW w:w="0" w:type="auto"/>
            <w:vAlign w:val="center"/>
            <w:hideMark/>
          </w:tcPr>
          <w:p w14:paraId="0F27839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ХОЛОДИЛЬНАЯ ПРОМЫШЛЕННОСТЬ.</w:t>
            </w:r>
          </w:p>
        </w:tc>
        <w:tc>
          <w:tcPr>
            <w:tcW w:w="0" w:type="auto"/>
            <w:vAlign w:val="center"/>
            <w:hideMark/>
          </w:tcPr>
          <w:p w14:paraId="79EEF05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054053F6" w14:textId="77777777" w:rsidTr="00DC292A">
        <w:trPr>
          <w:trHeight w:val="300"/>
        </w:trPr>
        <w:tc>
          <w:tcPr>
            <w:tcW w:w="0" w:type="auto"/>
            <w:vAlign w:val="center"/>
            <w:hideMark/>
          </w:tcPr>
          <w:p w14:paraId="63EF65E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Великие Луки.</w:t>
            </w:r>
          </w:p>
        </w:tc>
        <w:tc>
          <w:tcPr>
            <w:tcW w:w="0" w:type="auto"/>
            <w:vAlign w:val="center"/>
            <w:hideMark/>
          </w:tcPr>
          <w:p w14:paraId="7224B4F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Москва № 7.</w:t>
            </w:r>
          </w:p>
        </w:tc>
      </w:tr>
      <w:tr w:rsidR="004E10C1" w:rsidRPr="0044524F" w14:paraId="5AE343DF" w14:textId="77777777" w:rsidTr="00DC292A">
        <w:trPr>
          <w:trHeight w:val="300"/>
        </w:trPr>
        <w:tc>
          <w:tcPr>
            <w:tcW w:w="0" w:type="auto"/>
            <w:vAlign w:val="center"/>
            <w:hideMark/>
          </w:tcPr>
          <w:p w14:paraId="0FE1B63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Кадиевка.</w:t>
            </w:r>
          </w:p>
        </w:tc>
        <w:tc>
          <w:tcPr>
            <w:tcW w:w="0" w:type="auto"/>
            <w:vAlign w:val="center"/>
            <w:hideMark/>
          </w:tcPr>
          <w:p w14:paraId="61176DF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ст. Узловая,</w:t>
            </w:r>
          </w:p>
        </w:tc>
      </w:tr>
      <w:tr w:rsidR="004E10C1" w:rsidRPr="0044524F" w14:paraId="685C0808" w14:textId="77777777" w:rsidTr="00DC292A">
        <w:trPr>
          <w:trHeight w:val="300"/>
        </w:trPr>
        <w:tc>
          <w:tcPr>
            <w:tcW w:w="0" w:type="auto"/>
            <w:vAlign w:val="center"/>
            <w:hideMark/>
          </w:tcPr>
          <w:p w14:paraId="5BAFAE5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Красный Луч.</w:t>
            </w:r>
          </w:p>
        </w:tc>
        <w:tc>
          <w:tcPr>
            <w:tcW w:w="0" w:type="auto"/>
            <w:vAlign w:val="center"/>
            <w:hideMark/>
          </w:tcPr>
          <w:p w14:paraId="7DC0CBE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Рязань.</w:t>
            </w:r>
          </w:p>
        </w:tc>
      </w:tr>
      <w:tr w:rsidR="004E10C1" w:rsidRPr="0044524F" w14:paraId="5839E3B7" w14:textId="77777777" w:rsidTr="00DC292A">
        <w:trPr>
          <w:trHeight w:val="300"/>
        </w:trPr>
        <w:tc>
          <w:tcPr>
            <w:tcW w:w="0" w:type="auto"/>
            <w:vAlign w:val="center"/>
            <w:hideMark/>
          </w:tcPr>
          <w:p w14:paraId="2DACF8F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Краматорская.</w:t>
            </w:r>
          </w:p>
        </w:tc>
        <w:tc>
          <w:tcPr>
            <w:tcW w:w="0" w:type="auto"/>
            <w:vAlign w:val="center"/>
            <w:hideMark/>
          </w:tcPr>
          <w:p w14:paraId="5FD70DD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Москва № 1.</w:t>
            </w:r>
          </w:p>
        </w:tc>
      </w:tr>
      <w:tr w:rsidR="004E10C1" w:rsidRPr="0044524F" w14:paraId="59677097" w14:textId="77777777" w:rsidTr="00DC292A">
        <w:trPr>
          <w:trHeight w:val="300"/>
        </w:trPr>
        <w:tc>
          <w:tcPr>
            <w:tcW w:w="0" w:type="auto"/>
            <w:vAlign w:val="center"/>
            <w:hideMark/>
          </w:tcPr>
          <w:p w14:paraId="3FE1C6B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Макеевка.</w:t>
            </w:r>
          </w:p>
        </w:tc>
        <w:tc>
          <w:tcPr>
            <w:tcW w:w="0" w:type="auto"/>
            <w:vAlign w:val="center"/>
            <w:hideMark/>
          </w:tcPr>
          <w:p w14:paraId="5390144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Никитовка.</w:t>
            </w:r>
          </w:p>
        </w:tc>
      </w:tr>
      <w:tr w:rsidR="004E10C1" w:rsidRPr="0044524F" w14:paraId="220B1D3A" w14:textId="77777777" w:rsidTr="00DC292A">
        <w:trPr>
          <w:trHeight w:val="300"/>
        </w:trPr>
        <w:tc>
          <w:tcPr>
            <w:tcW w:w="0" w:type="auto"/>
            <w:vAlign w:val="center"/>
            <w:hideMark/>
          </w:tcPr>
          <w:p w14:paraId="7057278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Енакиево.</w:t>
            </w:r>
          </w:p>
        </w:tc>
        <w:tc>
          <w:tcPr>
            <w:tcW w:w="0" w:type="auto"/>
            <w:vAlign w:val="center"/>
            <w:hideMark/>
          </w:tcPr>
          <w:p w14:paraId="5A9505C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Холодильник Сталино.</w:t>
            </w:r>
          </w:p>
        </w:tc>
      </w:tr>
      <w:tr w:rsidR="004E10C1" w:rsidRPr="0044524F" w14:paraId="32887285" w14:textId="77777777" w:rsidTr="00DC292A">
        <w:trPr>
          <w:trHeight w:val="300"/>
        </w:trPr>
        <w:tc>
          <w:tcPr>
            <w:tcW w:w="0" w:type="auto"/>
            <w:gridSpan w:val="2"/>
            <w:vAlign w:val="center"/>
            <w:hideMark/>
          </w:tcPr>
          <w:p w14:paraId="1F6CF89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 НАРКОМВНЕШТОРГ</w:t>
            </w:r>
          </w:p>
        </w:tc>
      </w:tr>
      <w:tr w:rsidR="004E10C1" w:rsidRPr="0044524F" w14:paraId="01B13D3E" w14:textId="77777777" w:rsidTr="00DC292A">
        <w:trPr>
          <w:trHeight w:val="300"/>
        </w:trPr>
        <w:tc>
          <w:tcPr>
            <w:tcW w:w="0" w:type="auto"/>
            <w:vAlign w:val="center"/>
            <w:hideMark/>
          </w:tcPr>
          <w:p w14:paraId="379E39B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ЭКСПОРТЛЕС.</w:t>
            </w:r>
          </w:p>
        </w:tc>
        <w:tc>
          <w:tcPr>
            <w:tcW w:w="0" w:type="auto"/>
            <w:vAlign w:val="center"/>
            <w:hideMark/>
          </w:tcPr>
          <w:p w14:paraId="4C194D2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572E4094" w14:textId="77777777" w:rsidTr="00DC292A">
        <w:trPr>
          <w:trHeight w:val="300"/>
        </w:trPr>
        <w:tc>
          <w:tcPr>
            <w:tcW w:w="0" w:type="auto"/>
            <w:vAlign w:val="center"/>
            <w:hideMark/>
          </w:tcPr>
          <w:p w14:paraId="07871AD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Ящичная фабрика, Ленинград.</w:t>
            </w:r>
          </w:p>
        </w:tc>
        <w:tc>
          <w:tcPr>
            <w:tcW w:w="0" w:type="auto"/>
            <w:vAlign w:val="center"/>
            <w:hideMark/>
          </w:tcPr>
          <w:p w14:paraId="651E519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4228F5AD" w14:textId="77777777" w:rsidTr="00DC292A">
        <w:trPr>
          <w:trHeight w:val="300"/>
        </w:trPr>
        <w:tc>
          <w:tcPr>
            <w:tcW w:w="0" w:type="auto"/>
            <w:vAlign w:val="center"/>
            <w:hideMark/>
          </w:tcPr>
          <w:p w14:paraId="24705A0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СОЮЗПУШНИНА.</w:t>
            </w:r>
          </w:p>
        </w:tc>
        <w:tc>
          <w:tcPr>
            <w:tcW w:w="0" w:type="auto"/>
            <w:vAlign w:val="center"/>
            <w:hideMark/>
          </w:tcPr>
          <w:p w14:paraId="053AF72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3ECF0D34" w14:textId="77777777" w:rsidTr="00DC292A">
        <w:trPr>
          <w:trHeight w:val="300"/>
        </w:trPr>
        <w:tc>
          <w:tcPr>
            <w:tcW w:w="0" w:type="auto"/>
            <w:vAlign w:val="center"/>
            <w:hideMark/>
          </w:tcPr>
          <w:p w14:paraId="3865CB8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Казанская меховая фабрика</w:t>
            </w:r>
          </w:p>
          <w:p w14:paraId="343D160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(производственное строительство)</w:t>
            </w:r>
          </w:p>
        </w:tc>
        <w:tc>
          <w:tcPr>
            <w:tcW w:w="0" w:type="auto"/>
            <w:vAlign w:val="center"/>
            <w:hideMark/>
          </w:tcPr>
          <w:p w14:paraId="26825E7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Каракулеводческие совхозы</w:t>
            </w:r>
          </w:p>
          <w:p w14:paraId="726F9C6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(производственные постройки)</w:t>
            </w:r>
          </w:p>
        </w:tc>
      </w:tr>
      <w:tr w:rsidR="004E10C1" w:rsidRPr="0044524F" w14:paraId="3B9525B4" w14:textId="77777777" w:rsidTr="00DC292A">
        <w:trPr>
          <w:trHeight w:val="300"/>
        </w:trPr>
        <w:tc>
          <w:tcPr>
            <w:tcW w:w="0" w:type="auto"/>
            <w:vAlign w:val="center"/>
            <w:hideMark/>
          </w:tcPr>
          <w:p w14:paraId="283A675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ЭКСПОРТЛЕН.</w:t>
            </w:r>
          </w:p>
        </w:tc>
        <w:tc>
          <w:tcPr>
            <w:tcW w:w="0" w:type="auto"/>
            <w:vAlign w:val="center"/>
            <w:hideMark/>
          </w:tcPr>
          <w:p w14:paraId="639A900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5B758326" w14:textId="77777777" w:rsidTr="00DC292A">
        <w:trPr>
          <w:trHeight w:val="300"/>
        </w:trPr>
        <w:tc>
          <w:tcPr>
            <w:tcW w:w="0" w:type="auto"/>
            <w:vAlign w:val="center"/>
            <w:hideMark/>
          </w:tcPr>
          <w:p w14:paraId="63D4423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Железобетонный склад, Мурманск.</w:t>
            </w:r>
          </w:p>
        </w:tc>
        <w:tc>
          <w:tcPr>
            <w:tcW w:w="0" w:type="auto"/>
            <w:vAlign w:val="center"/>
            <w:hideMark/>
          </w:tcPr>
          <w:p w14:paraId="60FCC09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01FD08E8" w14:textId="77777777" w:rsidTr="00DC292A">
        <w:trPr>
          <w:trHeight w:val="300"/>
        </w:trPr>
        <w:tc>
          <w:tcPr>
            <w:tcW w:w="0" w:type="auto"/>
            <w:gridSpan w:val="2"/>
            <w:vAlign w:val="center"/>
            <w:hideMark/>
          </w:tcPr>
          <w:p w14:paraId="4635334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 НКПС</w:t>
            </w:r>
          </w:p>
        </w:tc>
      </w:tr>
      <w:tr w:rsidR="004E10C1" w:rsidRPr="0044524F" w14:paraId="5E745DD6" w14:textId="77777777" w:rsidTr="00DC292A">
        <w:trPr>
          <w:trHeight w:val="300"/>
        </w:trPr>
        <w:tc>
          <w:tcPr>
            <w:tcW w:w="0" w:type="auto"/>
            <w:gridSpan w:val="2"/>
            <w:vAlign w:val="center"/>
            <w:hideMark/>
          </w:tcPr>
          <w:p w14:paraId="634B652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НОВОЕ ЖЕЛЕЗНОДОРОЖНОЕ СТРОИТЕЛЬСТВО.</w:t>
            </w:r>
          </w:p>
        </w:tc>
      </w:tr>
      <w:tr w:rsidR="004E10C1" w:rsidRPr="0044524F" w14:paraId="29521915" w14:textId="77777777" w:rsidTr="00DC292A">
        <w:trPr>
          <w:trHeight w:val="300"/>
        </w:trPr>
        <w:tc>
          <w:tcPr>
            <w:tcW w:w="0" w:type="auto"/>
            <w:vAlign w:val="center"/>
            <w:hideMark/>
          </w:tcPr>
          <w:p w14:paraId="3140D55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Москва-Донбасс.</w:t>
            </w:r>
          </w:p>
        </w:tc>
        <w:tc>
          <w:tcPr>
            <w:tcW w:w="0" w:type="auto"/>
            <w:vAlign w:val="center"/>
            <w:hideMark/>
          </w:tcPr>
          <w:p w14:paraId="1F44B14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Брянск—Вязьма.</w:t>
            </w:r>
          </w:p>
        </w:tc>
      </w:tr>
      <w:tr w:rsidR="004E10C1" w:rsidRPr="0044524F" w14:paraId="23B6C510" w14:textId="77777777" w:rsidTr="00DC292A">
        <w:trPr>
          <w:trHeight w:val="300"/>
        </w:trPr>
        <w:tc>
          <w:tcPr>
            <w:tcW w:w="0" w:type="auto"/>
            <w:vAlign w:val="center"/>
            <w:hideMark/>
          </w:tcPr>
          <w:p w14:paraId="4D99131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Новосибирск—Ленинск.</w:t>
            </w:r>
          </w:p>
        </w:tc>
        <w:tc>
          <w:tcPr>
            <w:tcW w:w="0" w:type="auto"/>
            <w:vAlign w:val="center"/>
            <w:hideMark/>
          </w:tcPr>
          <w:p w14:paraId="047F539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Еманжелинская ветка.</w:t>
            </w:r>
          </w:p>
        </w:tc>
      </w:tr>
      <w:tr w:rsidR="004E10C1" w:rsidRPr="0044524F" w14:paraId="697B53C8" w14:textId="77777777" w:rsidTr="00DC292A">
        <w:trPr>
          <w:trHeight w:val="300"/>
        </w:trPr>
        <w:tc>
          <w:tcPr>
            <w:tcW w:w="0" w:type="auto"/>
            <w:vAlign w:val="center"/>
            <w:hideMark/>
          </w:tcPr>
          <w:p w14:paraId="35B2BE4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Свердловск—Курган.</w:t>
            </w:r>
          </w:p>
        </w:tc>
        <w:tc>
          <w:tcPr>
            <w:tcW w:w="0" w:type="auto"/>
            <w:vAlign w:val="center"/>
            <w:hideMark/>
          </w:tcPr>
          <w:p w14:paraId="253B280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Саратовский мост.</w:t>
            </w:r>
          </w:p>
        </w:tc>
      </w:tr>
      <w:tr w:rsidR="004E10C1" w:rsidRPr="0044524F" w14:paraId="53C5BB88" w14:textId="77777777" w:rsidTr="00DC292A">
        <w:trPr>
          <w:trHeight w:val="300"/>
        </w:trPr>
        <w:tc>
          <w:tcPr>
            <w:tcW w:w="0" w:type="auto"/>
            <w:vAlign w:val="center"/>
            <w:hideMark/>
          </w:tcPr>
          <w:p w14:paraId="3B4A052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Нижнеднепровский мост.</w:t>
            </w:r>
          </w:p>
        </w:tc>
        <w:tc>
          <w:tcPr>
            <w:tcW w:w="0" w:type="auto"/>
            <w:vAlign w:val="center"/>
            <w:hideMark/>
          </w:tcPr>
          <w:p w14:paraId="21B5BAA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Горьковский мост через Волгу и Горьковский железнодорожный узел.</w:t>
            </w:r>
          </w:p>
        </w:tc>
      </w:tr>
      <w:tr w:rsidR="004E10C1" w:rsidRPr="0044524F" w14:paraId="05B3F8FD" w14:textId="77777777" w:rsidTr="00DC292A">
        <w:trPr>
          <w:trHeight w:val="300"/>
        </w:trPr>
        <w:tc>
          <w:tcPr>
            <w:tcW w:w="0" w:type="auto"/>
            <w:vAlign w:val="center"/>
            <w:hideMark/>
          </w:tcPr>
          <w:p w14:paraId="63B832B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Кузнецк—Мундыбаш.</w:t>
            </w:r>
          </w:p>
        </w:tc>
        <w:tc>
          <w:tcPr>
            <w:tcW w:w="0" w:type="auto"/>
            <w:vAlign w:val="center"/>
            <w:hideMark/>
          </w:tcPr>
          <w:p w14:paraId="2C7E55F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8D6DDC2" w14:textId="77777777" w:rsidTr="00DC292A">
        <w:trPr>
          <w:trHeight w:val="300"/>
        </w:trPr>
        <w:tc>
          <w:tcPr>
            <w:tcW w:w="0" w:type="auto"/>
            <w:vAlign w:val="center"/>
            <w:hideMark/>
          </w:tcPr>
          <w:p w14:paraId="6463ADB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ВТОРЫЕ ПУТИ.</w:t>
            </w:r>
          </w:p>
        </w:tc>
        <w:tc>
          <w:tcPr>
            <w:tcW w:w="0" w:type="auto"/>
            <w:vAlign w:val="center"/>
            <w:hideMark/>
          </w:tcPr>
          <w:p w14:paraId="5F0D35D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A6AED34" w14:textId="77777777" w:rsidTr="00DC292A">
        <w:trPr>
          <w:trHeight w:val="300"/>
        </w:trPr>
        <w:tc>
          <w:tcPr>
            <w:tcW w:w="0" w:type="auto"/>
            <w:vAlign w:val="center"/>
            <w:hideMark/>
          </w:tcPr>
          <w:p w14:paraId="060629D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Челябинск—Омск.</w:t>
            </w:r>
          </w:p>
        </w:tc>
        <w:tc>
          <w:tcPr>
            <w:tcW w:w="0" w:type="auto"/>
            <w:vAlign w:val="center"/>
            <w:hideMark/>
          </w:tcPr>
          <w:p w14:paraId="358069E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Валуйки—Балашев—Пенза.</w:t>
            </w:r>
          </w:p>
        </w:tc>
      </w:tr>
      <w:tr w:rsidR="004E10C1" w:rsidRPr="0044524F" w14:paraId="0932D050" w14:textId="77777777" w:rsidTr="00DC292A">
        <w:trPr>
          <w:trHeight w:val="300"/>
        </w:trPr>
        <w:tc>
          <w:tcPr>
            <w:tcW w:w="0" w:type="auto"/>
            <w:vAlign w:val="center"/>
            <w:hideMark/>
          </w:tcPr>
          <w:p w14:paraId="131A9F2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Еманжелинск—Магнитогорск.</w:t>
            </w:r>
          </w:p>
        </w:tc>
        <w:tc>
          <w:tcPr>
            <w:tcW w:w="0" w:type="auto"/>
            <w:vAlign w:val="center"/>
            <w:hideMark/>
          </w:tcPr>
          <w:p w14:paraId="7F58B55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2BD8B731" w14:textId="77777777" w:rsidTr="00DC292A">
        <w:trPr>
          <w:trHeight w:val="300"/>
        </w:trPr>
        <w:tc>
          <w:tcPr>
            <w:tcW w:w="0" w:type="auto"/>
            <w:vAlign w:val="center"/>
            <w:hideMark/>
          </w:tcPr>
          <w:p w14:paraId="7D6E359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ЭЛЕКТРИФИКАЦИЯ.</w:t>
            </w:r>
          </w:p>
        </w:tc>
        <w:tc>
          <w:tcPr>
            <w:tcW w:w="0" w:type="auto"/>
            <w:vAlign w:val="center"/>
            <w:hideMark/>
          </w:tcPr>
          <w:p w14:paraId="080B12B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14CE46D" w14:textId="77777777" w:rsidTr="00DC292A">
        <w:trPr>
          <w:trHeight w:val="300"/>
        </w:trPr>
        <w:tc>
          <w:tcPr>
            <w:tcW w:w="0" w:type="auto"/>
            <w:vAlign w:val="center"/>
            <w:hideMark/>
          </w:tcPr>
          <w:p w14:paraId="33F890B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Кизел—Чусовая.</w:t>
            </w:r>
          </w:p>
        </w:tc>
        <w:tc>
          <w:tcPr>
            <w:tcW w:w="0" w:type="auto"/>
            <w:vAlign w:val="center"/>
            <w:hideMark/>
          </w:tcPr>
          <w:p w14:paraId="61D3B17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7D4BCBC" w14:textId="77777777" w:rsidTr="00DC292A">
        <w:trPr>
          <w:trHeight w:val="300"/>
        </w:trPr>
        <w:tc>
          <w:tcPr>
            <w:tcW w:w="0" w:type="auto"/>
            <w:vAlign w:val="center"/>
            <w:hideMark/>
          </w:tcPr>
          <w:p w14:paraId="4DE3DF2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УЗЛЫ.</w:t>
            </w:r>
          </w:p>
        </w:tc>
        <w:tc>
          <w:tcPr>
            <w:tcW w:w="0" w:type="auto"/>
            <w:vAlign w:val="center"/>
            <w:hideMark/>
          </w:tcPr>
          <w:p w14:paraId="39F56FF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50C2E4F9" w14:textId="77777777" w:rsidTr="00DC292A">
        <w:trPr>
          <w:trHeight w:val="300"/>
        </w:trPr>
        <w:tc>
          <w:tcPr>
            <w:tcW w:w="0" w:type="auto"/>
            <w:vAlign w:val="center"/>
            <w:hideMark/>
          </w:tcPr>
          <w:p w14:paraId="57592AA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Ясиноватая.</w:t>
            </w:r>
          </w:p>
        </w:tc>
        <w:tc>
          <w:tcPr>
            <w:tcW w:w="0" w:type="auto"/>
            <w:vAlign w:val="center"/>
            <w:hideMark/>
          </w:tcPr>
          <w:p w14:paraId="12C5FE8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7FA4F7B6" w14:textId="77777777" w:rsidTr="00DC292A">
        <w:trPr>
          <w:trHeight w:val="300"/>
        </w:trPr>
        <w:tc>
          <w:tcPr>
            <w:tcW w:w="0" w:type="auto"/>
            <w:vAlign w:val="center"/>
            <w:hideMark/>
          </w:tcPr>
          <w:p w14:paraId="5FD7136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ЗАВОДЫ.</w:t>
            </w:r>
          </w:p>
        </w:tc>
        <w:tc>
          <w:tcPr>
            <w:tcW w:w="0" w:type="auto"/>
            <w:vAlign w:val="center"/>
            <w:hideMark/>
          </w:tcPr>
          <w:p w14:paraId="591116C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5E78A4CC" w14:textId="77777777" w:rsidTr="00DC292A">
        <w:trPr>
          <w:trHeight w:val="300"/>
        </w:trPr>
        <w:tc>
          <w:tcPr>
            <w:tcW w:w="0" w:type="auto"/>
            <w:vAlign w:val="center"/>
            <w:hideMark/>
          </w:tcPr>
          <w:p w14:paraId="76BFEC4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Верхнеудинский завод.</w:t>
            </w:r>
          </w:p>
        </w:tc>
        <w:tc>
          <w:tcPr>
            <w:tcW w:w="0" w:type="auto"/>
            <w:vAlign w:val="center"/>
            <w:hideMark/>
          </w:tcPr>
          <w:p w14:paraId="3BD7BCF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„Можерез".</w:t>
            </w:r>
          </w:p>
        </w:tc>
      </w:tr>
      <w:tr w:rsidR="004E10C1" w:rsidRPr="0044524F" w14:paraId="05300441" w14:textId="77777777" w:rsidTr="00DC292A">
        <w:trPr>
          <w:trHeight w:val="300"/>
        </w:trPr>
        <w:tc>
          <w:tcPr>
            <w:tcW w:w="0" w:type="auto"/>
            <w:gridSpan w:val="2"/>
            <w:vAlign w:val="center"/>
            <w:hideMark/>
          </w:tcPr>
          <w:p w14:paraId="5556FCE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VII. НАРКОМВОД</w:t>
            </w:r>
          </w:p>
        </w:tc>
      </w:tr>
      <w:tr w:rsidR="004E10C1" w:rsidRPr="0044524F" w14:paraId="7D738AF4" w14:textId="77777777" w:rsidTr="00DC292A">
        <w:trPr>
          <w:trHeight w:val="300"/>
        </w:trPr>
        <w:tc>
          <w:tcPr>
            <w:tcW w:w="0" w:type="auto"/>
            <w:vAlign w:val="center"/>
            <w:hideMark/>
          </w:tcPr>
          <w:p w14:paraId="1E1FF42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Сорокский порт.</w:t>
            </w:r>
          </w:p>
        </w:tc>
        <w:tc>
          <w:tcPr>
            <w:tcW w:w="0" w:type="auto"/>
            <w:vAlign w:val="center"/>
            <w:hideMark/>
          </w:tcPr>
          <w:p w14:paraId="4AE63B0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Мастерские, Владивосток.</w:t>
            </w:r>
          </w:p>
        </w:tc>
      </w:tr>
      <w:tr w:rsidR="004E10C1" w:rsidRPr="0044524F" w14:paraId="120F575E" w14:textId="77777777" w:rsidTr="00DC292A">
        <w:trPr>
          <w:trHeight w:val="300"/>
        </w:trPr>
        <w:tc>
          <w:tcPr>
            <w:tcW w:w="0" w:type="auto"/>
            <w:vAlign w:val="center"/>
            <w:hideMark/>
          </w:tcPr>
          <w:p w14:paraId="54A6A5C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Повенецкий порт.</w:t>
            </w:r>
          </w:p>
        </w:tc>
        <w:tc>
          <w:tcPr>
            <w:tcW w:w="0" w:type="auto"/>
            <w:vAlign w:val="center"/>
            <w:hideMark/>
          </w:tcPr>
          <w:p w14:paraId="1833B0B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Причалы, Сахалин.</w:t>
            </w:r>
          </w:p>
        </w:tc>
      </w:tr>
      <w:tr w:rsidR="004E10C1" w:rsidRPr="0044524F" w14:paraId="5EF584C5" w14:textId="77777777" w:rsidTr="00DC292A">
        <w:trPr>
          <w:trHeight w:val="300"/>
        </w:trPr>
        <w:tc>
          <w:tcPr>
            <w:tcW w:w="0" w:type="auto"/>
            <w:vAlign w:val="center"/>
            <w:hideMark/>
          </w:tcPr>
          <w:p w14:paraId="7197606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Печерский порт, причалы и канал.</w:t>
            </w:r>
          </w:p>
        </w:tc>
        <w:tc>
          <w:tcPr>
            <w:tcW w:w="0" w:type="auto"/>
            <w:vAlign w:val="center"/>
            <w:hideMark/>
          </w:tcPr>
          <w:p w14:paraId="575B270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Причалы, Владивосток.</w:t>
            </w:r>
          </w:p>
        </w:tc>
      </w:tr>
      <w:tr w:rsidR="004E10C1" w:rsidRPr="0044524F" w14:paraId="69639AC6" w14:textId="77777777" w:rsidTr="00DC292A">
        <w:trPr>
          <w:trHeight w:val="300"/>
        </w:trPr>
        <w:tc>
          <w:tcPr>
            <w:tcW w:w="0" w:type="auto"/>
            <w:vAlign w:val="center"/>
            <w:hideMark/>
          </w:tcPr>
          <w:p w14:paraId="0BF3671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Мурманский порт, пирс № 2.</w:t>
            </w:r>
          </w:p>
        </w:tc>
        <w:tc>
          <w:tcPr>
            <w:tcW w:w="0" w:type="auto"/>
            <w:vAlign w:val="center"/>
            <w:hideMark/>
          </w:tcPr>
          <w:p w14:paraId="13C78C7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Сталелитейная на заводе „Теплоход".</w:t>
            </w:r>
          </w:p>
        </w:tc>
      </w:tr>
      <w:tr w:rsidR="004E10C1" w:rsidRPr="0044524F" w14:paraId="189F48AF" w14:textId="77777777" w:rsidTr="00DC292A">
        <w:trPr>
          <w:trHeight w:val="300"/>
        </w:trPr>
        <w:tc>
          <w:tcPr>
            <w:tcW w:w="0" w:type="auto"/>
            <w:vAlign w:val="center"/>
            <w:hideMark/>
          </w:tcPr>
          <w:p w14:paraId="2D3581F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Астраханский слип и завод при нем.</w:t>
            </w:r>
          </w:p>
        </w:tc>
        <w:tc>
          <w:tcPr>
            <w:tcW w:w="0" w:type="auto"/>
            <w:vAlign w:val="center"/>
            <w:hideMark/>
          </w:tcPr>
          <w:p w14:paraId="78C780A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64C0A395" w14:textId="77777777" w:rsidTr="00DC292A">
        <w:trPr>
          <w:trHeight w:val="300"/>
        </w:trPr>
        <w:tc>
          <w:tcPr>
            <w:tcW w:w="0" w:type="auto"/>
            <w:gridSpan w:val="2"/>
            <w:vAlign w:val="center"/>
            <w:hideMark/>
          </w:tcPr>
          <w:p w14:paraId="31B4161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VIII. ЦУДОРТРАНС</w:t>
            </w:r>
          </w:p>
        </w:tc>
      </w:tr>
      <w:tr w:rsidR="004E10C1" w:rsidRPr="0044524F" w14:paraId="65BD807A" w14:textId="77777777" w:rsidTr="00DC292A">
        <w:trPr>
          <w:trHeight w:val="300"/>
        </w:trPr>
        <w:tc>
          <w:tcPr>
            <w:tcW w:w="0" w:type="auto"/>
            <w:vAlign w:val="center"/>
            <w:hideMark/>
          </w:tcPr>
          <w:p w14:paraId="4D50778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ДОРОЖНОЕ СТРОИТЕЛЬСТВО.</w:t>
            </w:r>
          </w:p>
        </w:tc>
        <w:tc>
          <w:tcPr>
            <w:tcW w:w="0" w:type="auto"/>
            <w:vAlign w:val="center"/>
            <w:hideMark/>
          </w:tcPr>
          <w:p w14:paraId="23072FB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36905F66" w14:textId="77777777" w:rsidTr="00DC292A">
        <w:trPr>
          <w:trHeight w:val="300"/>
        </w:trPr>
        <w:tc>
          <w:tcPr>
            <w:tcW w:w="0" w:type="auto"/>
            <w:vAlign w:val="center"/>
            <w:hideMark/>
          </w:tcPr>
          <w:p w14:paraId="31F6A6B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Москва—Горький.</w:t>
            </w:r>
          </w:p>
        </w:tc>
        <w:tc>
          <w:tcPr>
            <w:tcW w:w="0" w:type="auto"/>
            <w:vAlign w:val="center"/>
            <w:hideMark/>
          </w:tcPr>
          <w:p w14:paraId="5E6728A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Ангаро-Ленский тракт.</w:t>
            </w:r>
          </w:p>
        </w:tc>
      </w:tr>
      <w:tr w:rsidR="004E10C1" w:rsidRPr="0044524F" w14:paraId="1F022242" w14:textId="77777777" w:rsidTr="00DC292A">
        <w:trPr>
          <w:trHeight w:val="300"/>
        </w:trPr>
        <w:tc>
          <w:tcPr>
            <w:tcW w:w="0" w:type="auto"/>
            <w:vAlign w:val="center"/>
            <w:hideMark/>
          </w:tcPr>
          <w:p w14:paraId="5BA88AC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Западное шоссе.</w:t>
            </w:r>
          </w:p>
        </w:tc>
        <w:tc>
          <w:tcPr>
            <w:tcW w:w="0" w:type="auto"/>
            <w:vAlign w:val="center"/>
            <w:hideMark/>
          </w:tcPr>
          <w:p w14:paraId="6BE082A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Аягуз—Вахты.</w:t>
            </w:r>
          </w:p>
        </w:tc>
      </w:tr>
      <w:tr w:rsidR="004E10C1" w:rsidRPr="0044524F" w14:paraId="06A383C5" w14:textId="77777777" w:rsidTr="00DC292A">
        <w:trPr>
          <w:trHeight w:val="300"/>
        </w:trPr>
        <w:tc>
          <w:tcPr>
            <w:tcW w:w="0" w:type="auto"/>
            <w:vAlign w:val="center"/>
            <w:hideMark/>
          </w:tcPr>
          <w:p w14:paraId="2FE8F7B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Чуйский тракт.</w:t>
            </w:r>
          </w:p>
        </w:tc>
        <w:tc>
          <w:tcPr>
            <w:tcW w:w="0" w:type="auto"/>
            <w:vAlign w:val="center"/>
            <w:hideMark/>
          </w:tcPr>
          <w:p w14:paraId="177535F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Гунгинский тракт.</w:t>
            </w:r>
          </w:p>
        </w:tc>
      </w:tr>
      <w:tr w:rsidR="004E10C1" w:rsidRPr="0044524F" w14:paraId="1BBAA18A" w14:textId="77777777" w:rsidTr="00DC292A">
        <w:trPr>
          <w:trHeight w:val="300"/>
        </w:trPr>
        <w:tc>
          <w:tcPr>
            <w:tcW w:w="0" w:type="auto"/>
            <w:vAlign w:val="center"/>
            <w:hideMark/>
          </w:tcPr>
          <w:p w14:paraId="4A02E3E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Памирский тракт.</w:t>
            </w:r>
          </w:p>
        </w:tc>
        <w:tc>
          <w:tcPr>
            <w:tcW w:w="0" w:type="auto"/>
            <w:vAlign w:val="center"/>
            <w:hideMark/>
          </w:tcPr>
          <w:p w14:paraId="6BEDC56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Фрунзе—Рыбачье.</w:t>
            </w:r>
          </w:p>
        </w:tc>
      </w:tr>
      <w:tr w:rsidR="004E10C1" w:rsidRPr="0044524F" w14:paraId="73A0B92C" w14:textId="77777777" w:rsidTr="00DC292A">
        <w:trPr>
          <w:trHeight w:val="300"/>
        </w:trPr>
        <w:tc>
          <w:tcPr>
            <w:tcW w:w="0" w:type="auto"/>
            <w:vAlign w:val="center"/>
            <w:hideMark/>
          </w:tcPr>
          <w:p w14:paraId="61D3E9B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АВТОРЕМСНАБ.</w:t>
            </w:r>
          </w:p>
        </w:tc>
        <w:tc>
          <w:tcPr>
            <w:tcW w:w="0" w:type="auto"/>
            <w:vAlign w:val="center"/>
            <w:hideMark/>
          </w:tcPr>
          <w:p w14:paraId="19B9453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4B2249A8" w14:textId="77777777" w:rsidTr="00DC292A">
        <w:trPr>
          <w:trHeight w:val="300"/>
        </w:trPr>
        <w:tc>
          <w:tcPr>
            <w:tcW w:w="0" w:type="auto"/>
            <w:vAlign w:val="center"/>
            <w:hideMark/>
          </w:tcPr>
          <w:p w14:paraId="77ECD2A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завод № 2.</w:t>
            </w:r>
          </w:p>
        </w:tc>
        <w:tc>
          <w:tcPr>
            <w:tcW w:w="0" w:type="auto"/>
            <w:vAlign w:val="center"/>
            <w:hideMark/>
          </w:tcPr>
          <w:p w14:paraId="535A52A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Ленинград, завод № 3.</w:t>
            </w:r>
          </w:p>
        </w:tc>
      </w:tr>
      <w:tr w:rsidR="004E10C1" w:rsidRPr="0044524F" w14:paraId="5F59F6B6" w14:textId="77777777" w:rsidTr="00DC292A">
        <w:trPr>
          <w:trHeight w:val="300"/>
        </w:trPr>
        <w:tc>
          <w:tcPr>
            <w:tcW w:w="0" w:type="auto"/>
            <w:gridSpan w:val="2"/>
            <w:vAlign w:val="center"/>
            <w:hideMark/>
          </w:tcPr>
          <w:p w14:paraId="7D707C3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IX. НАРКОМСВЯЗЬ</w:t>
            </w:r>
          </w:p>
        </w:tc>
      </w:tr>
      <w:tr w:rsidR="004E10C1" w:rsidRPr="0044524F" w14:paraId="42289473" w14:textId="77777777" w:rsidTr="00DC292A">
        <w:trPr>
          <w:trHeight w:val="300"/>
        </w:trPr>
        <w:tc>
          <w:tcPr>
            <w:tcW w:w="0" w:type="auto"/>
            <w:gridSpan w:val="2"/>
            <w:vAlign w:val="center"/>
            <w:hideMark/>
          </w:tcPr>
          <w:p w14:paraId="195A8EE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Международные телеграфно-телефонные сообщения.</w:t>
            </w:r>
          </w:p>
        </w:tc>
      </w:tr>
      <w:tr w:rsidR="004E10C1" w:rsidRPr="0044524F" w14:paraId="4700D81C" w14:textId="77777777" w:rsidTr="00DC292A">
        <w:trPr>
          <w:trHeight w:val="300"/>
        </w:trPr>
        <w:tc>
          <w:tcPr>
            <w:tcW w:w="0" w:type="auto"/>
            <w:vAlign w:val="center"/>
            <w:hideMark/>
          </w:tcPr>
          <w:p w14:paraId="29D3CE8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БИМЕТАЛЛИЧЕСКИЕ ЦЕПИ.</w:t>
            </w:r>
          </w:p>
        </w:tc>
        <w:tc>
          <w:tcPr>
            <w:tcW w:w="0" w:type="auto"/>
            <w:vAlign w:val="center"/>
            <w:hideMark/>
          </w:tcPr>
          <w:p w14:paraId="3DA6E73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5691C620" w14:textId="77777777" w:rsidTr="00DC292A">
        <w:trPr>
          <w:trHeight w:val="300"/>
        </w:trPr>
        <w:tc>
          <w:tcPr>
            <w:tcW w:w="0" w:type="auto"/>
            <w:vAlign w:val="center"/>
            <w:hideMark/>
          </w:tcPr>
          <w:p w14:paraId="066F8DA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 Тагил —Кушва—Надеждинск.</w:t>
            </w:r>
          </w:p>
        </w:tc>
        <w:tc>
          <w:tcPr>
            <w:tcW w:w="0" w:type="auto"/>
            <w:vAlign w:val="center"/>
            <w:hideMark/>
          </w:tcPr>
          <w:p w14:paraId="009B081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Челябинск—Миньяр.</w:t>
            </w:r>
          </w:p>
        </w:tc>
      </w:tr>
      <w:tr w:rsidR="004E10C1" w:rsidRPr="0044524F" w14:paraId="31D4E2ED" w14:textId="77777777" w:rsidTr="00DC292A">
        <w:trPr>
          <w:trHeight w:val="300"/>
        </w:trPr>
        <w:tc>
          <w:tcPr>
            <w:tcW w:w="0" w:type="auto"/>
            <w:vAlign w:val="center"/>
            <w:hideMark/>
          </w:tcPr>
          <w:p w14:paraId="316A91D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Каспий—Орск.</w:t>
            </w:r>
          </w:p>
        </w:tc>
        <w:tc>
          <w:tcPr>
            <w:tcW w:w="0" w:type="auto"/>
            <w:vAlign w:val="center"/>
            <w:hideMark/>
          </w:tcPr>
          <w:p w14:paraId="6068DC3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08AD5B1" w14:textId="77777777" w:rsidTr="00DC292A">
        <w:trPr>
          <w:trHeight w:val="300"/>
        </w:trPr>
        <w:tc>
          <w:tcPr>
            <w:tcW w:w="0" w:type="auto"/>
            <w:vAlign w:val="center"/>
            <w:hideMark/>
          </w:tcPr>
          <w:p w14:paraId="4F1279B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ЖЕЛЕЗНЫЕ ЦЕПИ.</w:t>
            </w:r>
          </w:p>
        </w:tc>
        <w:tc>
          <w:tcPr>
            <w:tcW w:w="0" w:type="auto"/>
            <w:vAlign w:val="center"/>
            <w:hideMark/>
          </w:tcPr>
          <w:p w14:paraId="12D500C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603F83F2" w14:textId="77777777" w:rsidTr="00DC292A">
        <w:trPr>
          <w:trHeight w:val="300"/>
        </w:trPr>
        <w:tc>
          <w:tcPr>
            <w:tcW w:w="0" w:type="auto"/>
            <w:vAlign w:val="center"/>
            <w:hideMark/>
          </w:tcPr>
          <w:p w14:paraId="3934982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Москва—Хабаровск.</w:t>
            </w:r>
          </w:p>
        </w:tc>
        <w:tc>
          <w:tcPr>
            <w:tcW w:w="0" w:type="auto"/>
            <w:vAlign w:val="center"/>
            <w:hideMark/>
          </w:tcPr>
          <w:p w14:paraId="31BDFA7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Новосибирск—Иркутск.</w:t>
            </w:r>
          </w:p>
        </w:tc>
      </w:tr>
      <w:tr w:rsidR="004E10C1" w:rsidRPr="0044524F" w14:paraId="2944905A" w14:textId="77777777" w:rsidTr="00DC292A">
        <w:trPr>
          <w:trHeight w:val="300"/>
        </w:trPr>
        <w:tc>
          <w:tcPr>
            <w:tcW w:w="0" w:type="auto"/>
            <w:vAlign w:val="center"/>
            <w:hideMark/>
          </w:tcPr>
          <w:p w14:paraId="7FB5C26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Москва—Валуйки—</w:t>
            </w:r>
          </w:p>
          <w:p w14:paraId="7AEF4A3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Горловка—Сталино</w:t>
            </w:r>
          </w:p>
        </w:tc>
        <w:tc>
          <w:tcPr>
            <w:tcW w:w="0" w:type="auto"/>
            <w:vAlign w:val="center"/>
            <w:hideMark/>
          </w:tcPr>
          <w:p w14:paraId="49003D8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Иркутск—Чита.</w:t>
            </w:r>
          </w:p>
        </w:tc>
      </w:tr>
      <w:tr w:rsidR="004E10C1" w:rsidRPr="0044524F" w14:paraId="7FC06B67" w14:textId="77777777" w:rsidTr="00DC292A">
        <w:trPr>
          <w:trHeight w:val="300"/>
        </w:trPr>
        <w:tc>
          <w:tcPr>
            <w:tcW w:w="0" w:type="auto"/>
            <w:vAlign w:val="center"/>
            <w:hideMark/>
          </w:tcPr>
          <w:p w14:paraId="4662844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Москва—Самара—Челябинск.</w:t>
            </w:r>
          </w:p>
        </w:tc>
        <w:tc>
          <w:tcPr>
            <w:tcW w:w="0" w:type="auto"/>
            <w:vAlign w:val="center"/>
            <w:hideMark/>
          </w:tcPr>
          <w:p w14:paraId="4C7A028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34902D77" w14:textId="77777777" w:rsidTr="00DC292A">
        <w:trPr>
          <w:trHeight w:val="300"/>
        </w:trPr>
        <w:tc>
          <w:tcPr>
            <w:tcW w:w="0" w:type="auto"/>
            <w:vAlign w:val="center"/>
            <w:hideMark/>
          </w:tcPr>
          <w:p w14:paraId="13E5579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ГОРОДСКИЕ ТЕЛЕФОННЫЕ СЕТИ.</w:t>
            </w:r>
          </w:p>
        </w:tc>
        <w:tc>
          <w:tcPr>
            <w:tcW w:w="0" w:type="auto"/>
            <w:vAlign w:val="center"/>
            <w:hideMark/>
          </w:tcPr>
          <w:p w14:paraId="605EEBF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7404B658" w14:textId="77777777" w:rsidTr="00DC292A">
        <w:trPr>
          <w:trHeight w:val="300"/>
        </w:trPr>
        <w:tc>
          <w:tcPr>
            <w:tcW w:w="0" w:type="auto"/>
            <w:vAlign w:val="center"/>
            <w:hideMark/>
          </w:tcPr>
          <w:p w14:paraId="1A2CFEE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Харьков 1-я АТС.</w:t>
            </w:r>
          </w:p>
        </w:tc>
        <w:tc>
          <w:tcPr>
            <w:tcW w:w="0" w:type="auto"/>
            <w:vAlign w:val="center"/>
            <w:hideMark/>
          </w:tcPr>
          <w:p w14:paraId="4B3CBBF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Березняки ЦБ.</w:t>
            </w:r>
          </w:p>
        </w:tc>
      </w:tr>
      <w:tr w:rsidR="004E10C1" w:rsidRPr="0044524F" w14:paraId="387F82E6" w14:textId="77777777" w:rsidTr="00DC292A">
        <w:trPr>
          <w:trHeight w:val="300"/>
        </w:trPr>
        <w:tc>
          <w:tcPr>
            <w:tcW w:w="0" w:type="auto"/>
            <w:vAlign w:val="center"/>
            <w:hideMark/>
          </w:tcPr>
          <w:p w14:paraId="73D43B3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Харьков 2-я АТС.</w:t>
            </w:r>
          </w:p>
        </w:tc>
        <w:tc>
          <w:tcPr>
            <w:tcW w:w="0" w:type="auto"/>
            <w:vAlign w:val="center"/>
            <w:hideMark/>
          </w:tcPr>
          <w:p w14:paraId="2FF0808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Кизел ЦБ.</w:t>
            </w:r>
          </w:p>
        </w:tc>
      </w:tr>
      <w:tr w:rsidR="004E10C1" w:rsidRPr="0044524F" w14:paraId="53B68359" w14:textId="77777777" w:rsidTr="00DC292A">
        <w:trPr>
          <w:trHeight w:val="300"/>
        </w:trPr>
        <w:tc>
          <w:tcPr>
            <w:tcW w:w="0" w:type="auto"/>
            <w:vAlign w:val="center"/>
            <w:hideMark/>
          </w:tcPr>
          <w:p w14:paraId="0ECD92D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Днепрокомбинат АТС.</w:t>
            </w:r>
          </w:p>
        </w:tc>
        <w:tc>
          <w:tcPr>
            <w:tcW w:w="0" w:type="auto"/>
            <w:vAlign w:val="center"/>
            <w:hideMark/>
          </w:tcPr>
          <w:p w14:paraId="7F86068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Лысьва ЦБ.</w:t>
            </w:r>
          </w:p>
        </w:tc>
      </w:tr>
      <w:tr w:rsidR="004E10C1" w:rsidRPr="0044524F" w14:paraId="67360D3E" w14:textId="77777777" w:rsidTr="00DC292A">
        <w:trPr>
          <w:trHeight w:val="300"/>
        </w:trPr>
        <w:tc>
          <w:tcPr>
            <w:tcW w:w="0" w:type="auto"/>
            <w:vAlign w:val="center"/>
            <w:hideMark/>
          </w:tcPr>
          <w:p w14:paraId="1BD9E0A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Свердловск АТС.</w:t>
            </w:r>
          </w:p>
        </w:tc>
        <w:tc>
          <w:tcPr>
            <w:tcW w:w="0" w:type="auto"/>
            <w:vAlign w:val="center"/>
            <w:hideMark/>
          </w:tcPr>
          <w:p w14:paraId="108C08B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Горловка ЦБ.</w:t>
            </w:r>
          </w:p>
        </w:tc>
      </w:tr>
      <w:tr w:rsidR="004E10C1" w:rsidRPr="0044524F" w14:paraId="47F684EE" w14:textId="77777777" w:rsidTr="00DC292A">
        <w:trPr>
          <w:trHeight w:val="300"/>
        </w:trPr>
        <w:tc>
          <w:tcPr>
            <w:tcW w:w="0" w:type="auto"/>
            <w:vAlign w:val="center"/>
            <w:hideMark/>
          </w:tcPr>
          <w:p w14:paraId="1FA7046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РАДИОСТРОИТЕЛЬСТВО.</w:t>
            </w:r>
          </w:p>
        </w:tc>
        <w:tc>
          <w:tcPr>
            <w:tcW w:w="0" w:type="auto"/>
            <w:vAlign w:val="center"/>
            <w:hideMark/>
          </w:tcPr>
          <w:p w14:paraId="6560A71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FBB5A5C" w14:textId="77777777" w:rsidTr="00DC292A">
        <w:trPr>
          <w:trHeight w:val="300"/>
        </w:trPr>
        <w:tc>
          <w:tcPr>
            <w:tcW w:w="0" w:type="auto"/>
            <w:vAlign w:val="center"/>
            <w:hideMark/>
          </w:tcPr>
          <w:p w14:paraId="5756700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Минск, вещательная.</w:t>
            </w:r>
          </w:p>
        </w:tc>
        <w:tc>
          <w:tcPr>
            <w:tcW w:w="0" w:type="auto"/>
            <w:vAlign w:val="center"/>
            <w:hideMark/>
          </w:tcPr>
          <w:p w14:paraId="2A15C1D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Хабаровск, радио-телегр. центр.</w:t>
            </w:r>
          </w:p>
        </w:tc>
      </w:tr>
      <w:tr w:rsidR="004E10C1" w:rsidRPr="0044524F" w14:paraId="6E2720A7" w14:textId="77777777" w:rsidTr="00DC292A">
        <w:trPr>
          <w:trHeight w:val="300"/>
        </w:trPr>
        <w:tc>
          <w:tcPr>
            <w:tcW w:w="0" w:type="auto"/>
            <w:vAlign w:val="center"/>
            <w:hideMark/>
          </w:tcPr>
          <w:p w14:paraId="718646C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Свердловск, тел.-телегр., 15 квт.</w:t>
            </w:r>
          </w:p>
        </w:tc>
        <w:tc>
          <w:tcPr>
            <w:tcW w:w="0" w:type="auto"/>
            <w:vAlign w:val="center"/>
            <w:hideMark/>
          </w:tcPr>
          <w:p w14:paraId="4756F5F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Оха тел. телегр. 1 квт.</w:t>
            </w:r>
          </w:p>
        </w:tc>
      </w:tr>
      <w:tr w:rsidR="004E10C1" w:rsidRPr="0044524F" w14:paraId="0213F75F" w14:textId="77777777" w:rsidTr="00DC292A">
        <w:trPr>
          <w:trHeight w:val="300"/>
        </w:trPr>
        <w:tc>
          <w:tcPr>
            <w:tcW w:w="0" w:type="auto"/>
            <w:vAlign w:val="center"/>
            <w:hideMark/>
          </w:tcPr>
          <w:p w14:paraId="6E1CA6A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Обдорск, тел.-телегр., 1 квт,</w:t>
            </w:r>
          </w:p>
        </w:tc>
        <w:tc>
          <w:tcPr>
            <w:tcW w:w="0" w:type="auto"/>
            <w:vAlign w:val="center"/>
            <w:hideMark/>
          </w:tcPr>
          <w:p w14:paraId="5C31EB1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Владивосток радио-телегр. центр.</w:t>
            </w:r>
          </w:p>
        </w:tc>
      </w:tr>
      <w:tr w:rsidR="004E10C1" w:rsidRPr="0044524F" w14:paraId="0D19D3F2" w14:textId="77777777" w:rsidTr="00DC292A">
        <w:trPr>
          <w:trHeight w:val="300"/>
        </w:trPr>
        <w:tc>
          <w:tcPr>
            <w:tcW w:w="0" w:type="auto"/>
            <w:vAlign w:val="center"/>
            <w:hideMark/>
          </w:tcPr>
          <w:p w14:paraId="5305A53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Самарово. тел.-телегр., 1 квт.</w:t>
            </w:r>
          </w:p>
        </w:tc>
        <w:tc>
          <w:tcPr>
            <w:tcW w:w="0" w:type="auto"/>
            <w:vAlign w:val="center"/>
            <w:hideMark/>
          </w:tcPr>
          <w:p w14:paraId="1AA0278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Александровск. тел.-телегр. 1 квт.</w:t>
            </w:r>
          </w:p>
        </w:tc>
      </w:tr>
      <w:tr w:rsidR="004E10C1" w:rsidRPr="0044524F" w14:paraId="05E51BAF" w14:textId="77777777" w:rsidTr="00DC292A">
        <w:trPr>
          <w:trHeight w:val="300"/>
        </w:trPr>
        <w:tc>
          <w:tcPr>
            <w:tcW w:w="0" w:type="auto"/>
            <w:vAlign w:val="center"/>
            <w:hideMark/>
          </w:tcPr>
          <w:p w14:paraId="32E4933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Новосибирск, тел,-телегр., 15 квт.</w:t>
            </w:r>
          </w:p>
        </w:tc>
        <w:tc>
          <w:tcPr>
            <w:tcW w:w="0" w:type="auto"/>
            <w:vAlign w:val="center"/>
            <w:hideMark/>
          </w:tcPr>
          <w:p w14:paraId="05F0E74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Совгавань тел.-телегр. 1 квт.</w:t>
            </w:r>
          </w:p>
        </w:tc>
      </w:tr>
      <w:tr w:rsidR="004E10C1" w:rsidRPr="0044524F" w14:paraId="47C71686" w14:textId="77777777" w:rsidTr="00DC292A">
        <w:trPr>
          <w:trHeight w:val="300"/>
        </w:trPr>
        <w:tc>
          <w:tcPr>
            <w:tcW w:w="0" w:type="auto"/>
            <w:vAlign w:val="center"/>
            <w:hideMark/>
          </w:tcPr>
          <w:p w14:paraId="4163C55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Чита, тел.-телегр., 2 квт.</w:t>
            </w:r>
          </w:p>
        </w:tc>
        <w:tc>
          <w:tcPr>
            <w:tcW w:w="0" w:type="auto"/>
            <w:vAlign w:val="center"/>
            <w:hideMark/>
          </w:tcPr>
          <w:p w14:paraId="2B96805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Алма-Ата тел.-телегр. 15 квт.</w:t>
            </w:r>
          </w:p>
        </w:tc>
      </w:tr>
      <w:tr w:rsidR="004E10C1" w:rsidRPr="0044524F" w14:paraId="54290170" w14:textId="77777777" w:rsidTr="00DC292A">
        <w:trPr>
          <w:trHeight w:val="300"/>
        </w:trPr>
        <w:tc>
          <w:tcPr>
            <w:tcW w:w="0" w:type="auto"/>
            <w:vAlign w:val="center"/>
            <w:hideMark/>
          </w:tcPr>
          <w:p w14:paraId="3BB7E8F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Игарка, тел.-телегр., 1 квт,</w:t>
            </w:r>
          </w:p>
        </w:tc>
        <w:tc>
          <w:tcPr>
            <w:tcW w:w="0" w:type="auto"/>
            <w:vAlign w:val="center"/>
            <w:hideMark/>
          </w:tcPr>
          <w:p w14:paraId="1972621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Николаевск н/Амуре тел.-телегр. 1 квт.</w:t>
            </w:r>
          </w:p>
        </w:tc>
      </w:tr>
      <w:tr w:rsidR="004E10C1" w:rsidRPr="0044524F" w14:paraId="74F34F87" w14:textId="77777777" w:rsidTr="00DC292A">
        <w:trPr>
          <w:trHeight w:val="300"/>
        </w:trPr>
        <w:tc>
          <w:tcPr>
            <w:tcW w:w="0" w:type="auto"/>
            <w:vAlign w:val="center"/>
            <w:hideMark/>
          </w:tcPr>
          <w:p w14:paraId="442908A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Незаметный, тел.-телегр., 1 квт.</w:t>
            </w:r>
          </w:p>
        </w:tc>
        <w:tc>
          <w:tcPr>
            <w:tcW w:w="0" w:type="auto"/>
            <w:vAlign w:val="center"/>
            <w:hideMark/>
          </w:tcPr>
          <w:p w14:paraId="753E5FE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Благовещенск, тел. 1 квт.</w:t>
            </w:r>
          </w:p>
        </w:tc>
      </w:tr>
      <w:tr w:rsidR="004E10C1" w:rsidRPr="0044524F" w14:paraId="76BED554" w14:textId="77777777" w:rsidTr="00DC292A">
        <w:trPr>
          <w:trHeight w:val="300"/>
        </w:trPr>
        <w:tc>
          <w:tcPr>
            <w:tcW w:w="0" w:type="auto"/>
            <w:vAlign w:val="center"/>
            <w:hideMark/>
          </w:tcPr>
          <w:p w14:paraId="353EEA0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ГРАЖДАНСКОЕ СТРОИТЕЛЬСТВО.</w:t>
            </w:r>
          </w:p>
        </w:tc>
        <w:tc>
          <w:tcPr>
            <w:tcW w:w="0" w:type="auto"/>
            <w:vAlign w:val="center"/>
            <w:hideMark/>
          </w:tcPr>
          <w:p w14:paraId="49A5BFE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7DABDDCE" w14:textId="77777777" w:rsidTr="00DC292A">
        <w:trPr>
          <w:trHeight w:val="300"/>
        </w:trPr>
        <w:tc>
          <w:tcPr>
            <w:tcW w:w="0" w:type="auto"/>
            <w:vAlign w:val="center"/>
            <w:hideMark/>
          </w:tcPr>
          <w:p w14:paraId="120AF95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Свердловск, Дом связи.</w:t>
            </w:r>
          </w:p>
        </w:tc>
        <w:tc>
          <w:tcPr>
            <w:tcW w:w="0" w:type="auto"/>
            <w:vAlign w:val="center"/>
            <w:hideMark/>
          </w:tcPr>
          <w:p w14:paraId="4A0D5CB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Мурманск, Дом связи.</w:t>
            </w:r>
          </w:p>
        </w:tc>
      </w:tr>
      <w:tr w:rsidR="004E10C1" w:rsidRPr="0044524F" w14:paraId="75EBE187" w14:textId="77777777" w:rsidTr="00DC292A">
        <w:trPr>
          <w:trHeight w:val="300"/>
        </w:trPr>
        <w:tc>
          <w:tcPr>
            <w:tcW w:w="0" w:type="auto"/>
            <w:vAlign w:val="center"/>
            <w:hideMark/>
          </w:tcPr>
          <w:p w14:paraId="4569208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Челябинск, Дом связи.</w:t>
            </w:r>
          </w:p>
        </w:tc>
        <w:tc>
          <w:tcPr>
            <w:tcW w:w="0" w:type="auto"/>
            <w:vAlign w:val="center"/>
            <w:hideMark/>
          </w:tcPr>
          <w:p w14:paraId="6D12664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Днепрокомбинат, АТС.</w:t>
            </w:r>
          </w:p>
        </w:tc>
      </w:tr>
      <w:tr w:rsidR="004E10C1" w:rsidRPr="0044524F" w14:paraId="3527C6B7" w14:textId="77777777" w:rsidTr="00DC292A">
        <w:trPr>
          <w:trHeight w:val="300"/>
        </w:trPr>
        <w:tc>
          <w:tcPr>
            <w:tcW w:w="0" w:type="auto"/>
            <w:vAlign w:val="center"/>
            <w:hideMark/>
          </w:tcPr>
          <w:p w14:paraId="7537E98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Хабаровск, АТС.</w:t>
            </w:r>
          </w:p>
        </w:tc>
        <w:tc>
          <w:tcPr>
            <w:tcW w:w="0" w:type="auto"/>
            <w:vAlign w:val="center"/>
            <w:hideMark/>
          </w:tcPr>
          <w:p w14:paraId="7D07F3F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Горловка, Дом связи.</w:t>
            </w:r>
          </w:p>
        </w:tc>
      </w:tr>
      <w:tr w:rsidR="004E10C1" w:rsidRPr="0044524F" w14:paraId="40356321" w14:textId="77777777" w:rsidTr="00DC292A">
        <w:trPr>
          <w:trHeight w:val="300"/>
        </w:trPr>
        <w:tc>
          <w:tcPr>
            <w:tcW w:w="0" w:type="auto"/>
            <w:vAlign w:val="center"/>
            <w:hideMark/>
          </w:tcPr>
          <w:p w14:paraId="51FF2EE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ПРОМСВЯЗЬ.</w:t>
            </w:r>
          </w:p>
        </w:tc>
        <w:tc>
          <w:tcPr>
            <w:tcW w:w="0" w:type="auto"/>
            <w:vAlign w:val="center"/>
            <w:hideMark/>
          </w:tcPr>
          <w:p w14:paraId="45B808C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3604CBA8" w14:textId="77777777" w:rsidTr="00DC292A">
        <w:trPr>
          <w:trHeight w:val="300"/>
        </w:trPr>
        <w:tc>
          <w:tcPr>
            <w:tcW w:w="0" w:type="auto"/>
            <w:vAlign w:val="center"/>
            <w:hideMark/>
          </w:tcPr>
          <w:p w14:paraId="5B28C29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Александровский радиозавод.</w:t>
            </w:r>
          </w:p>
        </w:tc>
        <w:tc>
          <w:tcPr>
            <w:tcW w:w="0" w:type="auto"/>
            <w:vAlign w:val="center"/>
            <w:hideMark/>
          </w:tcPr>
          <w:p w14:paraId="45BE711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039C23AC" w14:textId="77777777" w:rsidTr="00DC292A">
        <w:trPr>
          <w:trHeight w:val="300"/>
        </w:trPr>
        <w:tc>
          <w:tcPr>
            <w:tcW w:w="0" w:type="auto"/>
            <w:gridSpan w:val="2"/>
            <w:vAlign w:val="center"/>
            <w:hideMark/>
          </w:tcPr>
          <w:p w14:paraId="7105B92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X. ЦЕНТРОСОЮЗ</w:t>
            </w:r>
          </w:p>
        </w:tc>
      </w:tr>
      <w:tr w:rsidR="004E10C1" w:rsidRPr="0044524F" w14:paraId="65388E06" w14:textId="77777777" w:rsidTr="00DC292A">
        <w:trPr>
          <w:trHeight w:val="300"/>
        </w:trPr>
        <w:tc>
          <w:tcPr>
            <w:tcW w:w="0" w:type="auto"/>
            <w:vAlign w:val="center"/>
            <w:hideMark/>
          </w:tcPr>
          <w:p w14:paraId="18113A8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ХЛЕБОЗАВОДЫ.</w:t>
            </w:r>
          </w:p>
        </w:tc>
        <w:tc>
          <w:tcPr>
            <w:tcW w:w="0" w:type="auto"/>
            <w:vAlign w:val="center"/>
            <w:hideMark/>
          </w:tcPr>
          <w:p w14:paraId="68000E7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359064C6" w14:textId="77777777" w:rsidTr="00DC292A">
        <w:trPr>
          <w:trHeight w:val="300"/>
        </w:trPr>
        <w:tc>
          <w:tcPr>
            <w:tcW w:w="0" w:type="auto"/>
            <w:vAlign w:val="center"/>
            <w:hideMark/>
          </w:tcPr>
          <w:p w14:paraId="45AD7A5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Мурманск.</w:t>
            </w:r>
          </w:p>
        </w:tc>
        <w:tc>
          <w:tcPr>
            <w:tcW w:w="0" w:type="auto"/>
            <w:vAlign w:val="center"/>
            <w:hideMark/>
          </w:tcPr>
          <w:p w14:paraId="2B3BF0C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Ленинград, № 10.</w:t>
            </w:r>
          </w:p>
        </w:tc>
      </w:tr>
      <w:tr w:rsidR="004E10C1" w:rsidRPr="0044524F" w14:paraId="10230543" w14:textId="77777777" w:rsidTr="00DC292A">
        <w:trPr>
          <w:trHeight w:val="300"/>
        </w:trPr>
        <w:tc>
          <w:tcPr>
            <w:tcW w:w="0" w:type="auto"/>
            <w:vAlign w:val="center"/>
            <w:hideMark/>
          </w:tcPr>
          <w:p w14:paraId="7F76C40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Хибиногорск.</w:t>
            </w:r>
          </w:p>
        </w:tc>
        <w:tc>
          <w:tcPr>
            <w:tcW w:w="0" w:type="auto"/>
            <w:vAlign w:val="center"/>
            <w:hideMark/>
          </w:tcPr>
          <w:p w14:paraId="0A4B91B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Ленинград, № 11.</w:t>
            </w:r>
          </w:p>
        </w:tc>
      </w:tr>
      <w:tr w:rsidR="004E10C1" w:rsidRPr="0044524F" w14:paraId="2B5E7184" w14:textId="77777777" w:rsidTr="00DC292A">
        <w:trPr>
          <w:trHeight w:val="300"/>
        </w:trPr>
        <w:tc>
          <w:tcPr>
            <w:tcW w:w="0" w:type="auto"/>
            <w:vAlign w:val="center"/>
            <w:hideMark/>
          </w:tcPr>
          <w:p w14:paraId="2A8D89A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Подольск.</w:t>
            </w:r>
          </w:p>
        </w:tc>
        <w:tc>
          <w:tcPr>
            <w:tcW w:w="0" w:type="auto"/>
            <w:vAlign w:val="center"/>
            <w:hideMark/>
          </w:tcPr>
          <w:p w14:paraId="12E6628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Н.-Уссурийск.</w:t>
            </w:r>
          </w:p>
        </w:tc>
      </w:tr>
      <w:tr w:rsidR="004E10C1" w:rsidRPr="0044524F" w14:paraId="56C89FF3" w14:textId="77777777" w:rsidTr="00DC292A">
        <w:trPr>
          <w:trHeight w:val="300"/>
        </w:trPr>
        <w:tc>
          <w:tcPr>
            <w:tcW w:w="0" w:type="auto"/>
            <w:vAlign w:val="center"/>
            <w:hideMark/>
          </w:tcPr>
          <w:p w14:paraId="6135AFB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Коломна.</w:t>
            </w:r>
          </w:p>
        </w:tc>
        <w:tc>
          <w:tcPr>
            <w:tcW w:w="0" w:type="auto"/>
            <w:vAlign w:val="center"/>
            <w:hideMark/>
          </w:tcPr>
          <w:p w14:paraId="63A1F1D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Владивосток.</w:t>
            </w:r>
          </w:p>
        </w:tc>
      </w:tr>
      <w:tr w:rsidR="004E10C1" w:rsidRPr="0044524F" w14:paraId="0630FDD2" w14:textId="77777777" w:rsidTr="00DC292A">
        <w:trPr>
          <w:trHeight w:val="300"/>
        </w:trPr>
        <w:tc>
          <w:tcPr>
            <w:tcW w:w="0" w:type="auto"/>
            <w:vAlign w:val="center"/>
            <w:hideMark/>
          </w:tcPr>
          <w:p w14:paraId="69ACFFF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 9.</w:t>
            </w:r>
          </w:p>
        </w:tc>
        <w:tc>
          <w:tcPr>
            <w:tcW w:w="0" w:type="auto"/>
            <w:vAlign w:val="center"/>
            <w:hideMark/>
          </w:tcPr>
          <w:p w14:paraId="2CE5C7D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Мариуполь.</w:t>
            </w:r>
          </w:p>
        </w:tc>
      </w:tr>
      <w:tr w:rsidR="004E10C1" w:rsidRPr="0044524F" w14:paraId="5A36BFAA" w14:textId="77777777" w:rsidTr="00DC292A">
        <w:trPr>
          <w:trHeight w:val="300"/>
        </w:trPr>
        <w:tc>
          <w:tcPr>
            <w:tcW w:w="0" w:type="auto"/>
            <w:vAlign w:val="center"/>
            <w:hideMark/>
          </w:tcPr>
          <w:p w14:paraId="20860BE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 10.</w:t>
            </w:r>
          </w:p>
        </w:tc>
        <w:tc>
          <w:tcPr>
            <w:tcW w:w="0" w:type="auto"/>
            <w:vAlign w:val="center"/>
            <w:hideMark/>
          </w:tcPr>
          <w:p w14:paraId="5184442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Днепропетровск.</w:t>
            </w:r>
          </w:p>
        </w:tc>
      </w:tr>
      <w:tr w:rsidR="004E10C1" w:rsidRPr="0044524F" w14:paraId="72D2477F" w14:textId="77777777" w:rsidTr="00DC292A">
        <w:trPr>
          <w:trHeight w:val="300"/>
        </w:trPr>
        <w:tc>
          <w:tcPr>
            <w:tcW w:w="0" w:type="auto"/>
            <w:vAlign w:val="center"/>
            <w:hideMark/>
          </w:tcPr>
          <w:p w14:paraId="0163CB8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 12.</w:t>
            </w:r>
          </w:p>
        </w:tc>
        <w:tc>
          <w:tcPr>
            <w:tcW w:w="0" w:type="auto"/>
            <w:vAlign w:val="center"/>
            <w:hideMark/>
          </w:tcPr>
          <w:p w14:paraId="6C82D92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Каменское</w:t>
            </w:r>
          </w:p>
        </w:tc>
      </w:tr>
      <w:tr w:rsidR="004E10C1" w:rsidRPr="0044524F" w14:paraId="1393DA95" w14:textId="77777777" w:rsidTr="00DC292A">
        <w:trPr>
          <w:trHeight w:val="300"/>
        </w:trPr>
        <w:tc>
          <w:tcPr>
            <w:tcW w:w="0" w:type="auto"/>
            <w:vAlign w:val="center"/>
            <w:hideMark/>
          </w:tcPr>
          <w:p w14:paraId="080DC8B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Иваново.</w:t>
            </w:r>
          </w:p>
        </w:tc>
        <w:tc>
          <w:tcPr>
            <w:tcW w:w="0" w:type="auto"/>
            <w:vAlign w:val="center"/>
            <w:hideMark/>
          </w:tcPr>
          <w:p w14:paraId="13D954B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Орша.</w:t>
            </w:r>
          </w:p>
        </w:tc>
      </w:tr>
      <w:tr w:rsidR="004E10C1" w:rsidRPr="0044524F" w14:paraId="13663B34" w14:textId="77777777" w:rsidTr="00DC292A">
        <w:trPr>
          <w:trHeight w:val="300"/>
        </w:trPr>
        <w:tc>
          <w:tcPr>
            <w:tcW w:w="0" w:type="auto"/>
            <w:vAlign w:val="center"/>
            <w:hideMark/>
          </w:tcPr>
          <w:p w14:paraId="2A35416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Сормово.</w:t>
            </w:r>
          </w:p>
        </w:tc>
        <w:tc>
          <w:tcPr>
            <w:tcW w:w="0" w:type="auto"/>
            <w:vAlign w:val="center"/>
            <w:hideMark/>
          </w:tcPr>
          <w:p w14:paraId="581AB38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Витебск.</w:t>
            </w:r>
          </w:p>
        </w:tc>
      </w:tr>
      <w:tr w:rsidR="004E10C1" w:rsidRPr="0044524F" w14:paraId="72D54BC5" w14:textId="77777777" w:rsidTr="00DC292A">
        <w:trPr>
          <w:trHeight w:val="300"/>
        </w:trPr>
        <w:tc>
          <w:tcPr>
            <w:tcW w:w="0" w:type="auto"/>
            <w:vAlign w:val="center"/>
            <w:hideMark/>
          </w:tcPr>
          <w:p w14:paraId="53FA08B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Свердловск.</w:t>
            </w:r>
          </w:p>
        </w:tc>
        <w:tc>
          <w:tcPr>
            <w:tcW w:w="0" w:type="auto"/>
            <w:vAlign w:val="center"/>
            <w:hideMark/>
          </w:tcPr>
          <w:p w14:paraId="3A2D319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Жлобин.</w:t>
            </w:r>
          </w:p>
        </w:tc>
      </w:tr>
      <w:tr w:rsidR="004E10C1" w:rsidRPr="0044524F" w14:paraId="13C201D4" w14:textId="77777777" w:rsidTr="00DC292A">
        <w:trPr>
          <w:trHeight w:val="300"/>
        </w:trPr>
        <w:tc>
          <w:tcPr>
            <w:tcW w:w="0" w:type="auto"/>
            <w:vAlign w:val="center"/>
            <w:hideMark/>
          </w:tcPr>
          <w:p w14:paraId="7BC8A87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Магнитогорск.</w:t>
            </w:r>
          </w:p>
        </w:tc>
        <w:tc>
          <w:tcPr>
            <w:tcW w:w="0" w:type="auto"/>
            <w:vAlign w:val="center"/>
            <w:hideMark/>
          </w:tcPr>
          <w:p w14:paraId="5BF2FC3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Баку, № 3.</w:t>
            </w:r>
          </w:p>
        </w:tc>
      </w:tr>
      <w:tr w:rsidR="004E10C1" w:rsidRPr="0044524F" w14:paraId="4C8F2852" w14:textId="77777777" w:rsidTr="00DC292A">
        <w:trPr>
          <w:trHeight w:val="300"/>
        </w:trPr>
        <w:tc>
          <w:tcPr>
            <w:tcW w:w="0" w:type="auto"/>
            <w:vAlign w:val="center"/>
            <w:hideMark/>
          </w:tcPr>
          <w:p w14:paraId="14CCD89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Сталинград.</w:t>
            </w:r>
          </w:p>
        </w:tc>
        <w:tc>
          <w:tcPr>
            <w:tcW w:w="0" w:type="auto"/>
            <w:vAlign w:val="center"/>
            <w:hideMark/>
          </w:tcPr>
          <w:p w14:paraId="119CEF2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Баку, № 2.</w:t>
            </w:r>
          </w:p>
        </w:tc>
      </w:tr>
      <w:tr w:rsidR="004E10C1" w:rsidRPr="0044524F" w14:paraId="3DCAD9D1" w14:textId="77777777" w:rsidTr="00DC292A">
        <w:trPr>
          <w:trHeight w:val="300"/>
        </w:trPr>
        <w:tc>
          <w:tcPr>
            <w:tcW w:w="0" w:type="auto"/>
            <w:vAlign w:val="center"/>
            <w:hideMark/>
          </w:tcPr>
          <w:p w14:paraId="2B0AAF6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Караганда.</w:t>
            </w:r>
          </w:p>
        </w:tc>
        <w:tc>
          <w:tcPr>
            <w:tcW w:w="0" w:type="auto"/>
            <w:vAlign w:val="center"/>
            <w:hideMark/>
          </w:tcPr>
          <w:p w14:paraId="53F6CAB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Тифлис.</w:t>
            </w:r>
          </w:p>
        </w:tc>
      </w:tr>
      <w:tr w:rsidR="004E10C1" w:rsidRPr="0044524F" w14:paraId="38AE2661" w14:textId="77777777" w:rsidTr="00DC292A">
        <w:trPr>
          <w:trHeight w:val="300"/>
        </w:trPr>
        <w:tc>
          <w:tcPr>
            <w:tcW w:w="0" w:type="auto"/>
            <w:vAlign w:val="center"/>
            <w:hideMark/>
          </w:tcPr>
          <w:p w14:paraId="2A1307E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Сталинск.</w:t>
            </w:r>
          </w:p>
        </w:tc>
        <w:tc>
          <w:tcPr>
            <w:tcW w:w="0" w:type="auto"/>
            <w:vAlign w:val="center"/>
            <w:hideMark/>
          </w:tcPr>
          <w:p w14:paraId="3722449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Ташкент.</w:t>
            </w:r>
          </w:p>
        </w:tc>
      </w:tr>
      <w:tr w:rsidR="004E10C1" w:rsidRPr="0044524F" w14:paraId="6CAE6E91" w14:textId="77777777" w:rsidTr="00DC292A">
        <w:trPr>
          <w:trHeight w:val="300"/>
        </w:trPr>
        <w:tc>
          <w:tcPr>
            <w:tcW w:w="0" w:type="auto"/>
            <w:vAlign w:val="center"/>
            <w:hideMark/>
          </w:tcPr>
          <w:p w14:paraId="0C0322B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ФАБРИКИ-КУХНИ И СТОЛОВЫЕ.</w:t>
            </w:r>
          </w:p>
        </w:tc>
        <w:tc>
          <w:tcPr>
            <w:tcW w:w="0" w:type="auto"/>
            <w:vAlign w:val="center"/>
            <w:hideMark/>
          </w:tcPr>
          <w:p w14:paraId="6F56B6C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658A3051" w14:textId="77777777" w:rsidTr="00DC292A">
        <w:trPr>
          <w:trHeight w:val="300"/>
        </w:trPr>
        <w:tc>
          <w:tcPr>
            <w:tcW w:w="0" w:type="auto"/>
            <w:vAlign w:val="center"/>
            <w:hideMark/>
          </w:tcPr>
          <w:p w14:paraId="7AD4AA2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Кронштадт, фабрика-кухня.</w:t>
            </w:r>
          </w:p>
        </w:tc>
        <w:tc>
          <w:tcPr>
            <w:tcW w:w="0" w:type="auto"/>
            <w:vAlign w:val="center"/>
            <w:hideMark/>
          </w:tcPr>
          <w:p w14:paraId="4B8FC52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Караганда, 3 столовых.</w:t>
            </w:r>
          </w:p>
        </w:tc>
      </w:tr>
      <w:tr w:rsidR="004E10C1" w:rsidRPr="0044524F" w14:paraId="3610934D" w14:textId="77777777" w:rsidTr="00DC292A">
        <w:trPr>
          <w:trHeight w:val="300"/>
        </w:trPr>
        <w:tc>
          <w:tcPr>
            <w:tcW w:w="0" w:type="auto"/>
            <w:vAlign w:val="center"/>
            <w:hideMark/>
          </w:tcPr>
          <w:p w14:paraId="016C8F8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Подольск, фабрика-кухня.</w:t>
            </w:r>
          </w:p>
        </w:tc>
        <w:tc>
          <w:tcPr>
            <w:tcW w:w="0" w:type="auto"/>
            <w:vAlign w:val="center"/>
            <w:hideMark/>
          </w:tcPr>
          <w:p w14:paraId="3CCA404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Хабаровск, 2 столовых.</w:t>
            </w:r>
          </w:p>
        </w:tc>
      </w:tr>
      <w:tr w:rsidR="004E10C1" w:rsidRPr="0044524F" w14:paraId="7DD5C678" w14:textId="77777777" w:rsidTr="00DC292A">
        <w:trPr>
          <w:trHeight w:val="300"/>
        </w:trPr>
        <w:tc>
          <w:tcPr>
            <w:tcW w:w="0" w:type="auto"/>
            <w:vAlign w:val="center"/>
            <w:hideMark/>
          </w:tcPr>
          <w:p w14:paraId="34EFB60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Иваново, фабрика-кухня.</w:t>
            </w:r>
          </w:p>
        </w:tc>
        <w:tc>
          <w:tcPr>
            <w:tcW w:w="0" w:type="auto"/>
            <w:vAlign w:val="center"/>
            <w:hideMark/>
          </w:tcPr>
          <w:p w14:paraId="6B28230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Баку, фабрика-кухня при заводе им. Шмидта.</w:t>
            </w:r>
          </w:p>
        </w:tc>
      </w:tr>
      <w:tr w:rsidR="004E10C1" w:rsidRPr="0044524F" w14:paraId="4B07F25A" w14:textId="77777777" w:rsidTr="00DC292A">
        <w:trPr>
          <w:trHeight w:val="300"/>
        </w:trPr>
        <w:tc>
          <w:tcPr>
            <w:tcW w:w="0" w:type="auto"/>
            <w:vAlign w:val="center"/>
            <w:hideMark/>
          </w:tcPr>
          <w:p w14:paraId="0D2BE98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Кольчугино, фабрика-кухня.</w:t>
            </w:r>
          </w:p>
        </w:tc>
        <w:tc>
          <w:tcPr>
            <w:tcW w:w="0" w:type="auto"/>
            <w:vAlign w:val="center"/>
            <w:hideMark/>
          </w:tcPr>
          <w:p w14:paraId="68A9895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bl>
    <w:p w14:paraId="0AE955AB" w14:textId="1B28E833"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XI. HAPKOMЗEM</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СССР</w:t>
      </w:r>
    </w:p>
    <w:p w14:paraId="348834F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Ремонтные мастерские и льно-пенькозаводы</w:t>
      </w:r>
    </w:p>
    <w:tbl>
      <w:tblPr>
        <w:tblW w:w="100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67"/>
        <w:gridCol w:w="929"/>
        <w:gridCol w:w="983"/>
        <w:gridCol w:w="998"/>
        <w:gridCol w:w="1181"/>
        <w:gridCol w:w="677"/>
        <w:gridCol w:w="677"/>
        <w:gridCol w:w="1243"/>
        <w:gridCol w:w="810"/>
      </w:tblGrid>
      <w:tr w:rsidR="004E10C1" w:rsidRPr="0044524F" w14:paraId="64242583" w14:textId="77777777" w:rsidTr="00DC292A">
        <w:trPr>
          <w:trHeight w:val="2700"/>
        </w:trPr>
        <w:tc>
          <w:tcPr>
            <w:tcW w:w="0" w:type="auto"/>
            <w:tcBorders>
              <w:top w:val="outset" w:sz="6" w:space="0" w:color="auto"/>
              <w:left w:val="outset" w:sz="6" w:space="0" w:color="auto"/>
              <w:bottom w:val="outset" w:sz="6" w:space="0" w:color="auto"/>
              <w:right w:val="outset" w:sz="6" w:space="0" w:color="auto"/>
            </w:tcBorders>
            <w:vAlign w:val="center"/>
            <w:hideMark/>
          </w:tcPr>
          <w:p w14:paraId="6865029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Местонахождение объекта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621DF7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Зерно-тракторо-</w:t>
            </w:r>
          </w:p>
          <w:p w14:paraId="5C865B9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5037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Свекло-тракторо-</w:t>
            </w:r>
          </w:p>
          <w:p w14:paraId="0912512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EC13BF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Хлопко-тракторо-</w:t>
            </w:r>
          </w:p>
          <w:p w14:paraId="7626159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E166DA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Овоще-карт. тракторо-</w:t>
            </w:r>
          </w:p>
          <w:p w14:paraId="2D78D9C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D5A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Льно-</w:t>
            </w:r>
          </w:p>
          <w:p w14:paraId="087E0F0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тракторо-</w:t>
            </w:r>
          </w:p>
          <w:p w14:paraId="67143AD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2312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Сено-</w:t>
            </w:r>
          </w:p>
          <w:p w14:paraId="50C3B5D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тракторо-</w:t>
            </w:r>
          </w:p>
          <w:p w14:paraId="7F233CA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5DA230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p w14:paraId="1C7E163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ремонтных мастерских</w:t>
            </w:r>
          </w:p>
          <w:p w14:paraId="2C26F39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всем тракторо-</w:t>
            </w:r>
          </w:p>
          <w:p w14:paraId="6D5B460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BB0B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Льно-</w:t>
            </w:r>
          </w:p>
          <w:p w14:paraId="2CD78C0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пенько-заводы</w:t>
            </w:r>
          </w:p>
        </w:tc>
      </w:tr>
      <w:tr w:rsidR="004E10C1" w:rsidRPr="0044524F" w14:paraId="6F5E063B"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9BFF02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Северный край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DC32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513C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3473E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EA6F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67B02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66DE06B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B44A9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E278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r>
      <w:tr w:rsidR="004E10C1" w:rsidRPr="0044524F" w14:paraId="458CDD2D"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521F02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Карелия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0206150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09A3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9C59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E21D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6570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6954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9421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97E3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4D080E6"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80DDA3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Ленинградская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6C2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653B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6FEA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5399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0E602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038B379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FA48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6686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r>
      <w:tr w:rsidR="004E10C1" w:rsidRPr="0044524F" w14:paraId="18F4E3D8"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DEDE1F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224C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9F00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89776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5D1B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03ABDD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16D3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E18CDD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389DCE0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r>
      <w:tr w:rsidR="004E10C1" w:rsidRPr="0044524F" w14:paraId="7EF463DD"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5D5830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Московская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B1067C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6B0F8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F387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65C3F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1A832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6A5D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5232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4512D7F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r>
      <w:tr w:rsidR="004E10C1" w:rsidRPr="0044524F" w14:paraId="7FB158D0" w14:textId="77777777" w:rsidTr="00DC292A">
        <w:trPr>
          <w:trHeight w:val="495"/>
        </w:trPr>
        <w:tc>
          <w:tcPr>
            <w:tcW w:w="0" w:type="auto"/>
            <w:tcBorders>
              <w:top w:val="outset" w:sz="6" w:space="0" w:color="auto"/>
              <w:left w:val="outset" w:sz="6" w:space="0" w:color="auto"/>
              <w:bottom w:val="outset" w:sz="6" w:space="0" w:color="auto"/>
              <w:right w:val="outset" w:sz="6" w:space="0" w:color="auto"/>
            </w:tcBorders>
            <w:vAlign w:val="center"/>
            <w:hideMark/>
          </w:tcPr>
          <w:p w14:paraId="00A8118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Ивановская промышленная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4D51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5F888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6938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56FAD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0C3B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05E1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6EE8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1558834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r>
      <w:tr w:rsidR="004E10C1" w:rsidRPr="0044524F" w14:paraId="01FCED86"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1A926D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Горьковский край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143C29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7F8C4B4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0E6B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0DBE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D1987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3F69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89A8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D47E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w:t>
            </w:r>
          </w:p>
        </w:tc>
      </w:tr>
      <w:tr w:rsidR="004E10C1" w:rsidRPr="0044524F" w14:paraId="2E225217"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F30D76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ЦЧО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4DE0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w:t>
            </w:r>
          </w:p>
        </w:tc>
        <w:tc>
          <w:tcPr>
            <w:tcW w:w="0" w:type="auto"/>
            <w:tcBorders>
              <w:top w:val="outset" w:sz="6" w:space="0" w:color="auto"/>
              <w:left w:val="outset" w:sz="6" w:space="0" w:color="auto"/>
              <w:bottom w:val="outset" w:sz="6" w:space="0" w:color="auto"/>
              <w:right w:val="outset" w:sz="6" w:space="0" w:color="auto"/>
            </w:tcBorders>
            <w:vAlign w:val="center"/>
            <w:hideMark/>
          </w:tcPr>
          <w:p w14:paraId="6E862E7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CB29F7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9C96A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214BAF1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F8941A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868E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CD397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3043212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5B3F75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Уральская область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4031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8795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366C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3AC34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22C3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448423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7321A70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w:t>
            </w:r>
          </w:p>
        </w:tc>
        <w:tc>
          <w:tcPr>
            <w:tcW w:w="0" w:type="auto"/>
            <w:tcBorders>
              <w:top w:val="outset" w:sz="6" w:space="0" w:color="auto"/>
              <w:left w:val="outset" w:sz="6" w:space="0" w:color="auto"/>
              <w:bottom w:val="outset" w:sz="6" w:space="0" w:color="auto"/>
              <w:right w:val="outset" w:sz="6" w:space="0" w:color="auto"/>
            </w:tcBorders>
            <w:vAlign w:val="center"/>
            <w:hideMark/>
          </w:tcPr>
          <w:p w14:paraId="6D10957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r>
      <w:tr w:rsidR="004E10C1" w:rsidRPr="0044524F" w14:paraId="4F1DB56A"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1A5B485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Башкирия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3A29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w:t>
            </w:r>
          </w:p>
        </w:tc>
        <w:tc>
          <w:tcPr>
            <w:tcW w:w="0" w:type="auto"/>
            <w:tcBorders>
              <w:top w:val="outset" w:sz="6" w:space="0" w:color="auto"/>
              <w:left w:val="outset" w:sz="6" w:space="0" w:color="auto"/>
              <w:bottom w:val="outset" w:sz="6" w:space="0" w:color="auto"/>
              <w:right w:val="outset" w:sz="6" w:space="0" w:color="auto"/>
            </w:tcBorders>
            <w:vAlign w:val="center"/>
            <w:hideMark/>
          </w:tcPr>
          <w:p w14:paraId="2FB0C13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200D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176DC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DC640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66BD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93BDE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11E9BDA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06717BC"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1C5861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Татария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6E1D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411F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731DE0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F20E19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7BD05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7F3D1E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844E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088F1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AE4B932"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3E067D2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Средняя Волга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C5D1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C3B5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CD0F0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4C5A57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2D6A385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5EFF9D6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F4706D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32DE07F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5C16DF7A"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3A16F8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Нижняя Волга </w:t>
            </w:r>
          </w:p>
        </w:tc>
        <w:tc>
          <w:tcPr>
            <w:tcW w:w="0" w:type="auto"/>
            <w:tcBorders>
              <w:top w:val="outset" w:sz="6" w:space="0" w:color="auto"/>
              <w:left w:val="outset" w:sz="6" w:space="0" w:color="auto"/>
              <w:bottom w:val="outset" w:sz="6" w:space="0" w:color="auto"/>
              <w:right w:val="outset" w:sz="6" w:space="0" w:color="auto"/>
            </w:tcBorders>
            <w:vAlign w:val="center"/>
            <w:hideMark/>
          </w:tcPr>
          <w:p w14:paraId="634183D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C70A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229A4E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9338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984B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4A0A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396B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9838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6939034"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4882F9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Северный Кавказ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2795F59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w:t>
            </w:r>
          </w:p>
        </w:tc>
        <w:tc>
          <w:tcPr>
            <w:tcW w:w="0" w:type="auto"/>
            <w:tcBorders>
              <w:top w:val="outset" w:sz="6" w:space="0" w:color="auto"/>
              <w:left w:val="outset" w:sz="6" w:space="0" w:color="auto"/>
              <w:bottom w:val="outset" w:sz="6" w:space="0" w:color="auto"/>
              <w:right w:val="outset" w:sz="6" w:space="0" w:color="auto"/>
            </w:tcBorders>
            <w:vAlign w:val="center"/>
            <w:hideMark/>
          </w:tcPr>
          <w:p w14:paraId="3EFB7DF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11B697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97E5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11C2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2261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C07F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2ECB414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E9039BE"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260FE97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B7BDF1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A2AF21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9629A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9E36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6F06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108D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DECA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C07B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2C4F9E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E03EE1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Казакстан</w:t>
            </w:r>
          </w:p>
        </w:tc>
        <w:tc>
          <w:tcPr>
            <w:tcW w:w="0" w:type="auto"/>
            <w:tcBorders>
              <w:top w:val="outset" w:sz="6" w:space="0" w:color="auto"/>
              <w:left w:val="outset" w:sz="6" w:space="0" w:color="auto"/>
              <w:bottom w:val="outset" w:sz="6" w:space="0" w:color="auto"/>
              <w:right w:val="outset" w:sz="6" w:space="0" w:color="auto"/>
            </w:tcBorders>
            <w:vAlign w:val="center"/>
            <w:hideMark/>
          </w:tcPr>
          <w:p w14:paraId="27D1A77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1982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0704E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411F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F42413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BD67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25EE2DC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5FE44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BF8D29D"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9B37CF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Западная Сибирь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5CDE11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641867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0BCA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E3284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98C965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1499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0536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DAAA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r>
      <w:tr w:rsidR="004E10C1" w:rsidRPr="0044524F" w14:paraId="0AC67D98"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53B493D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Восточная Сибирь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199ACC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851A5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F63B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1A94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B86A1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B571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D85B1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2AECA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r>
      <w:tr w:rsidR="004E10C1" w:rsidRPr="0044524F" w14:paraId="5B9500C0"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BCCF47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Якутия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BD85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8654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2AB3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C022F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9E06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F3A41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EBE9A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005A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3ADC28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7E4AAAF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18E21D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634F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AB01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E30DD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6F1F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E143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A0FE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17BF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605DBD16"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2C0C319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AD786C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A9C7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w:t>
            </w:r>
          </w:p>
        </w:tc>
        <w:tc>
          <w:tcPr>
            <w:tcW w:w="0" w:type="auto"/>
            <w:tcBorders>
              <w:top w:val="outset" w:sz="6" w:space="0" w:color="auto"/>
              <w:left w:val="outset" w:sz="6" w:space="0" w:color="auto"/>
              <w:bottom w:val="outset" w:sz="6" w:space="0" w:color="auto"/>
              <w:right w:val="outset" w:sz="6" w:space="0" w:color="auto"/>
            </w:tcBorders>
            <w:vAlign w:val="center"/>
            <w:hideMark/>
          </w:tcPr>
          <w:p w14:paraId="5430899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1A7CC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432D1B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6CA41C0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D3AAA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7BE5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7AB16CF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72BD8A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823221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6E062C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3AB85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12E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62E918F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236E9F4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E15CC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227E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w:t>
            </w:r>
          </w:p>
        </w:tc>
      </w:tr>
      <w:tr w:rsidR="004E10C1" w:rsidRPr="0044524F" w14:paraId="43CDAF05"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3ADDB0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ЗСФСР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793B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AA07C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A322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273C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E00A9C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EA2B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53BE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478BD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3042873"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44C037D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УзбССР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1D2A477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3467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B4091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DB5E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87D7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B82258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7A4E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63AF315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494FB9A"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190A1D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ТуркССР</w:t>
            </w:r>
          </w:p>
        </w:tc>
        <w:tc>
          <w:tcPr>
            <w:tcW w:w="0" w:type="auto"/>
            <w:tcBorders>
              <w:top w:val="outset" w:sz="6" w:space="0" w:color="auto"/>
              <w:left w:val="outset" w:sz="6" w:space="0" w:color="auto"/>
              <w:bottom w:val="outset" w:sz="6" w:space="0" w:color="auto"/>
              <w:right w:val="outset" w:sz="6" w:space="0" w:color="auto"/>
            </w:tcBorders>
            <w:vAlign w:val="center"/>
            <w:hideMark/>
          </w:tcPr>
          <w:p w14:paraId="049C80D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071DC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F4B0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EAB5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C0A20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54D9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4FAD7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5BFA7C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D86E5AE"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0285092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Таджикия </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CFE9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7F2C5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4D56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0BBB6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21BA0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EAADA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914DD5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7B841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8398E73"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6B262C0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Киргизия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5325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9D77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B436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D066E9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ACE317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D419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5D9BB5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5CF398C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D9E69BF" w14:textId="77777777" w:rsidTr="00DC292A">
        <w:trPr>
          <w:trHeight w:val="300"/>
        </w:trPr>
        <w:tc>
          <w:tcPr>
            <w:tcW w:w="0" w:type="auto"/>
            <w:tcBorders>
              <w:top w:val="outset" w:sz="6" w:space="0" w:color="auto"/>
              <w:left w:val="outset" w:sz="6" w:space="0" w:color="auto"/>
              <w:bottom w:val="outset" w:sz="6" w:space="0" w:color="auto"/>
              <w:right w:val="outset" w:sz="6" w:space="0" w:color="auto"/>
            </w:tcBorders>
            <w:vAlign w:val="center"/>
            <w:hideMark/>
          </w:tcPr>
          <w:p w14:paraId="231A781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Каракалпакия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7CF70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A1E5D2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9E87A2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42ED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50EA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FC06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F5484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26DE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EE91575" w14:textId="77777777" w:rsidTr="00DC292A">
        <w:trPr>
          <w:trHeight w:val="900"/>
        </w:trPr>
        <w:tc>
          <w:tcPr>
            <w:tcW w:w="0" w:type="auto"/>
            <w:tcBorders>
              <w:top w:val="outset" w:sz="6" w:space="0" w:color="auto"/>
              <w:left w:val="outset" w:sz="6" w:space="0" w:color="auto"/>
              <w:bottom w:val="outset" w:sz="6" w:space="0" w:color="auto"/>
              <w:right w:val="outset" w:sz="6" w:space="0" w:color="auto"/>
            </w:tcBorders>
            <w:vAlign w:val="center"/>
            <w:hideMark/>
          </w:tcPr>
          <w:p w14:paraId="114B746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ремонтных мастерских и льно-пенькозаводов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DF0E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711</w:t>
            </w:r>
          </w:p>
        </w:tc>
        <w:tc>
          <w:tcPr>
            <w:tcW w:w="0" w:type="auto"/>
            <w:tcBorders>
              <w:top w:val="outset" w:sz="6" w:space="0" w:color="auto"/>
              <w:left w:val="outset" w:sz="6" w:space="0" w:color="auto"/>
              <w:bottom w:val="outset" w:sz="6" w:space="0" w:color="auto"/>
              <w:right w:val="outset" w:sz="6" w:space="0" w:color="auto"/>
            </w:tcBorders>
            <w:vAlign w:val="center"/>
            <w:hideMark/>
          </w:tcPr>
          <w:p w14:paraId="0FCFCB6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BD19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4622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1632E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ABC5B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w:t>
            </w:r>
          </w:p>
        </w:tc>
        <w:tc>
          <w:tcPr>
            <w:tcW w:w="0" w:type="auto"/>
            <w:tcBorders>
              <w:top w:val="outset" w:sz="6" w:space="0" w:color="auto"/>
              <w:left w:val="outset" w:sz="6" w:space="0" w:color="auto"/>
              <w:bottom w:val="outset" w:sz="6" w:space="0" w:color="auto"/>
              <w:right w:val="outset" w:sz="6" w:space="0" w:color="auto"/>
            </w:tcBorders>
            <w:vAlign w:val="center"/>
            <w:hideMark/>
          </w:tcPr>
          <w:p w14:paraId="65CD231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C753D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410</w:t>
            </w:r>
          </w:p>
        </w:tc>
      </w:tr>
    </w:tbl>
    <w:p w14:paraId="0EE910F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ЗАВОДЫ ЗАПЧАСТЕЙ.</w:t>
      </w:r>
    </w:p>
    <w:tbl>
      <w:tblPr>
        <w:tblW w:w="7695" w:type="dxa"/>
        <w:tblCellMar>
          <w:left w:w="0" w:type="dxa"/>
          <w:right w:w="0" w:type="dxa"/>
        </w:tblCellMar>
        <w:tblLook w:val="04A0" w:firstRow="1" w:lastRow="0" w:firstColumn="1" w:lastColumn="0" w:noHBand="0" w:noVBand="1"/>
      </w:tblPr>
      <w:tblGrid>
        <w:gridCol w:w="3239"/>
        <w:gridCol w:w="4456"/>
      </w:tblGrid>
      <w:tr w:rsidR="004E10C1" w:rsidRPr="0044524F" w14:paraId="65201138" w14:textId="77777777" w:rsidTr="00DC292A">
        <w:trPr>
          <w:trHeight w:val="300"/>
        </w:trPr>
        <w:tc>
          <w:tcPr>
            <w:tcW w:w="0" w:type="auto"/>
            <w:vAlign w:val="center"/>
            <w:hideMark/>
          </w:tcPr>
          <w:p w14:paraId="1E3D411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Средняя Волга, Бузулук</w:t>
            </w:r>
          </w:p>
        </w:tc>
        <w:tc>
          <w:tcPr>
            <w:tcW w:w="0" w:type="auto"/>
            <w:vAlign w:val="center"/>
            <w:hideMark/>
          </w:tcPr>
          <w:p w14:paraId="2EF76D1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Воронеж, ЦЧО</w:t>
            </w:r>
          </w:p>
        </w:tc>
      </w:tr>
      <w:tr w:rsidR="004E10C1" w:rsidRPr="0044524F" w14:paraId="50C477F3" w14:textId="77777777" w:rsidTr="00DC292A">
        <w:trPr>
          <w:trHeight w:val="300"/>
        </w:trPr>
        <w:tc>
          <w:tcPr>
            <w:tcW w:w="0" w:type="auto"/>
            <w:vAlign w:val="center"/>
            <w:hideMark/>
          </w:tcPr>
          <w:p w14:paraId="1A418EB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Оренбург</w:t>
            </w:r>
          </w:p>
        </w:tc>
        <w:tc>
          <w:tcPr>
            <w:tcW w:w="0" w:type="auto"/>
            <w:vAlign w:val="center"/>
            <w:hideMark/>
          </w:tcPr>
          <w:p w14:paraId="600C3E7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Николаевские производственные мастерские</w:t>
            </w:r>
          </w:p>
        </w:tc>
      </w:tr>
      <w:tr w:rsidR="004E10C1" w:rsidRPr="0044524F" w14:paraId="0CEC952C" w14:textId="77777777" w:rsidTr="00DC292A">
        <w:trPr>
          <w:trHeight w:val="300"/>
        </w:trPr>
        <w:tc>
          <w:tcPr>
            <w:tcW w:w="0" w:type="auto"/>
            <w:vAlign w:val="center"/>
            <w:hideMark/>
          </w:tcPr>
          <w:p w14:paraId="1C3A8BA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Северный Кавказ, ст. Морозовка</w:t>
            </w:r>
          </w:p>
        </w:tc>
        <w:tc>
          <w:tcPr>
            <w:tcW w:w="0" w:type="auto"/>
            <w:vAlign w:val="center"/>
            <w:hideMark/>
          </w:tcPr>
          <w:p w14:paraId="0D0B7DF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bl>
    <w:p w14:paraId="6B23790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ВЕТСНАБПРОМ.</w:t>
      </w:r>
    </w:p>
    <w:tbl>
      <w:tblPr>
        <w:tblW w:w="7695" w:type="dxa"/>
        <w:tblCellMar>
          <w:left w:w="0" w:type="dxa"/>
          <w:right w:w="0" w:type="dxa"/>
        </w:tblCellMar>
        <w:tblLook w:val="04A0" w:firstRow="1" w:lastRow="0" w:firstColumn="1" w:lastColumn="0" w:noHBand="0" w:noVBand="1"/>
      </w:tblPr>
      <w:tblGrid>
        <w:gridCol w:w="3641"/>
        <w:gridCol w:w="4054"/>
      </w:tblGrid>
      <w:tr w:rsidR="004E10C1" w:rsidRPr="0044524F" w14:paraId="68BD7ECE" w14:textId="77777777" w:rsidTr="00DC292A">
        <w:trPr>
          <w:trHeight w:val="600"/>
        </w:trPr>
        <w:tc>
          <w:tcPr>
            <w:tcW w:w="0" w:type="auto"/>
            <w:vAlign w:val="center"/>
            <w:hideMark/>
          </w:tcPr>
          <w:p w14:paraId="4AE7A6D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Западно-Сибирский край,</w:t>
            </w:r>
          </w:p>
          <w:p w14:paraId="33F7514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Омск — биофабрика.</w:t>
            </w:r>
          </w:p>
        </w:tc>
        <w:tc>
          <w:tcPr>
            <w:tcW w:w="0" w:type="auto"/>
            <w:vAlign w:val="center"/>
            <w:hideMark/>
          </w:tcPr>
          <w:p w14:paraId="31F6EBB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ЦЧО, Курск — биофабрика.</w:t>
            </w:r>
          </w:p>
        </w:tc>
      </w:tr>
      <w:tr w:rsidR="004E10C1" w:rsidRPr="0044524F" w14:paraId="24FBD8FB" w14:textId="77777777" w:rsidTr="00DC292A">
        <w:trPr>
          <w:trHeight w:val="600"/>
        </w:trPr>
        <w:tc>
          <w:tcPr>
            <w:tcW w:w="0" w:type="auto"/>
            <w:vAlign w:val="center"/>
            <w:hideMark/>
          </w:tcPr>
          <w:p w14:paraId="48B68EE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Западно-Сибирский край,</w:t>
            </w:r>
          </w:p>
          <w:p w14:paraId="1E96487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Новосибирск — ветеринарный склад.</w:t>
            </w:r>
          </w:p>
        </w:tc>
        <w:tc>
          <w:tcPr>
            <w:tcW w:w="0" w:type="auto"/>
            <w:vAlign w:val="center"/>
            <w:hideMark/>
          </w:tcPr>
          <w:p w14:paraId="06667DF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Северный Кавказ, Армавир — биофабрика.</w:t>
            </w:r>
          </w:p>
        </w:tc>
      </w:tr>
      <w:tr w:rsidR="004E10C1" w:rsidRPr="0044524F" w14:paraId="4DCC68C8" w14:textId="77777777" w:rsidTr="00DC292A">
        <w:trPr>
          <w:trHeight w:val="600"/>
        </w:trPr>
        <w:tc>
          <w:tcPr>
            <w:tcW w:w="0" w:type="auto"/>
            <w:vAlign w:val="center"/>
            <w:hideMark/>
          </w:tcPr>
          <w:p w14:paraId="6CBFE40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Казакcкая АССР,</w:t>
            </w:r>
          </w:p>
          <w:p w14:paraId="189AFDD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Алма-Ата — биофабрика.</w:t>
            </w:r>
          </w:p>
        </w:tc>
        <w:tc>
          <w:tcPr>
            <w:tcW w:w="0" w:type="auto"/>
            <w:vAlign w:val="center"/>
            <w:hideMark/>
          </w:tcPr>
          <w:p w14:paraId="0D09D8B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ДВК, Хабаровск — ветеринарный склад.</w:t>
            </w:r>
          </w:p>
        </w:tc>
      </w:tr>
      <w:tr w:rsidR="004E10C1" w:rsidRPr="0044524F" w14:paraId="27D79A2F" w14:textId="77777777" w:rsidTr="00DC292A">
        <w:trPr>
          <w:trHeight w:val="600"/>
        </w:trPr>
        <w:tc>
          <w:tcPr>
            <w:tcW w:w="0" w:type="auto"/>
            <w:vAlign w:val="center"/>
            <w:hideMark/>
          </w:tcPr>
          <w:p w14:paraId="35DC9B3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Московская область,</w:t>
            </w:r>
          </w:p>
          <w:p w14:paraId="6B3C8A8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Щелково — биофабрика.</w:t>
            </w:r>
          </w:p>
        </w:tc>
        <w:tc>
          <w:tcPr>
            <w:tcW w:w="0" w:type="auto"/>
            <w:vAlign w:val="center"/>
            <w:hideMark/>
          </w:tcPr>
          <w:p w14:paraId="0C9AC08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БССР, Лосовица — биофабрика.</w:t>
            </w:r>
          </w:p>
        </w:tc>
      </w:tr>
      <w:tr w:rsidR="004E10C1" w:rsidRPr="0044524F" w14:paraId="6473A36C" w14:textId="77777777" w:rsidTr="00DC292A">
        <w:trPr>
          <w:trHeight w:val="600"/>
        </w:trPr>
        <w:tc>
          <w:tcPr>
            <w:tcW w:w="0" w:type="auto"/>
            <w:vAlign w:val="center"/>
            <w:hideMark/>
          </w:tcPr>
          <w:p w14:paraId="1542D2F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Московская область,</w:t>
            </w:r>
          </w:p>
          <w:p w14:paraId="3FA3478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 биофабрика.</w:t>
            </w:r>
          </w:p>
        </w:tc>
        <w:tc>
          <w:tcPr>
            <w:tcW w:w="0" w:type="auto"/>
            <w:vAlign w:val="center"/>
            <w:hideMark/>
          </w:tcPr>
          <w:p w14:paraId="75FC206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БССР, Гомель — ветеринарный склад.</w:t>
            </w:r>
          </w:p>
        </w:tc>
      </w:tr>
      <w:tr w:rsidR="004E10C1" w:rsidRPr="0044524F" w14:paraId="20CB87E2" w14:textId="77777777" w:rsidTr="00DC292A">
        <w:trPr>
          <w:trHeight w:val="900"/>
        </w:trPr>
        <w:tc>
          <w:tcPr>
            <w:tcW w:w="0" w:type="auto"/>
            <w:vAlign w:val="center"/>
            <w:hideMark/>
          </w:tcPr>
          <w:p w14:paraId="4351534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Западная область, Смоленск —</w:t>
            </w:r>
          </w:p>
          <w:p w14:paraId="21F3C97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ящурный институт и ветеринарный склад.</w:t>
            </w:r>
          </w:p>
        </w:tc>
        <w:tc>
          <w:tcPr>
            <w:tcW w:w="0" w:type="auto"/>
            <w:vAlign w:val="center"/>
            <w:hideMark/>
          </w:tcPr>
          <w:p w14:paraId="2084C6C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УССР, ст. Новая заря — биофабрика.</w:t>
            </w:r>
          </w:p>
        </w:tc>
      </w:tr>
      <w:tr w:rsidR="004E10C1" w:rsidRPr="0044524F" w14:paraId="168D3848" w14:textId="77777777" w:rsidTr="00DC292A">
        <w:trPr>
          <w:trHeight w:val="600"/>
        </w:trPr>
        <w:tc>
          <w:tcPr>
            <w:tcW w:w="0" w:type="auto"/>
            <w:vAlign w:val="center"/>
            <w:hideMark/>
          </w:tcPr>
          <w:p w14:paraId="3B28A1A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Ивановская промышленная область,</w:t>
            </w:r>
          </w:p>
          <w:p w14:paraId="20CF22A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Владимир — ветеринарный склад.</w:t>
            </w:r>
          </w:p>
        </w:tc>
        <w:tc>
          <w:tcPr>
            <w:tcW w:w="0" w:type="auto"/>
            <w:vAlign w:val="center"/>
            <w:hideMark/>
          </w:tcPr>
          <w:p w14:paraId="4570E1A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УССР, Сумы — биофабрика.</w:t>
            </w:r>
          </w:p>
        </w:tc>
      </w:tr>
      <w:tr w:rsidR="004E10C1" w:rsidRPr="0044524F" w14:paraId="2AC0A052" w14:textId="77777777" w:rsidTr="00DC292A">
        <w:trPr>
          <w:trHeight w:val="600"/>
        </w:trPr>
        <w:tc>
          <w:tcPr>
            <w:tcW w:w="0" w:type="auto"/>
            <w:vAlign w:val="center"/>
            <w:hideMark/>
          </w:tcPr>
          <w:p w14:paraId="42B4E49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Средне-Волжский край,</w:t>
            </w:r>
          </w:p>
          <w:p w14:paraId="30B35FA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Воскресенск — биофабрика.</w:t>
            </w:r>
          </w:p>
        </w:tc>
        <w:tc>
          <w:tcPr>
            <w:tcW w:w="0" w:type="auto"/>
            <w:vAlign w:val="center"/>
            <w:hideMark/>
          </w:tcPr>
          <w:p w14:paraId="6C699D3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УССР, Харьков — ветеринарный склад.</w:t>
            </w:r>
          </w:p>
        </w:tc>
      </w:tr>
      <w:tr w:rsidR="004E10C1" w:rsidRPr="0044524F" w14:paraId="5A6FA3F5" w14:textId="77777777" w:rsidTr="00DC292A">
        <w:trPr>
          <w:trHeight w:val="600"/>
        </w:trPr>
        <w:tc>
          <w:tcPr>
            <w:tcW w:w="0" w:type="auto"/>
            <w:vAlign w:val="center"/>
            <w:hideMark/>
          </w:tcPr>
          <w:p w14:paraId="3AD327C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ЦЧО, Нижегольск — биофабрика.</w:t>
            </w:r>
          </w:p>
        </w:tc>
        <w:tc>
          <w:tcPr>
            <w:tcW w:w="0" w:type="auto"/>
            <w:vAlign w:val="center"/>
            <w:hideMark/>
          </w:tcPr>
          <w:p w14:paraId="51A8F94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УССР, Кременчуг — ветеринарный склад.</w:t>
            </w:r>
          </w:p>
        </w:tc>
      </w:tr>
      <w:tr w:rsidR="004E10C1" w:rsidRPr="0044524F" w14:paraId="1C7093DD" w14:textId="77777777" w:rsidTr="00DC292A">
        <w:trPr>
          <w:trHeight w:val="600"/>
        </w:trPr>
        <w:tc>
          <w:tcPr>
            <w:tcW w:w="0" w:type="auto"/>
            <w:vAlign w:val="center"/>
            <w:hideMark/>
          </w:tcPr>
          <w:p w14:paraId="07F1CA5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ЦЧО, Орел — биофабрика,</w:t>
            </w:r>
          </w:p>
        </w:tc>
        <w:tc>
          <w:tcPr>
            <w:tcW w:w="0" w:type="auto"/>
            <w:vAlign w:val="center"/>
            <w:hideMark/>
          </w:tcPr>
          <w:p w14:paraId="61EB56D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ТаджССР, Сталинабад — ветеринарный склад.</w:t>
            </w:r>
          </w:p>
        </w:tc>
      </w:tr>
    </w:tbl>
    <w:p w14:paraId="25E5398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СОЮЗСЕМЕНОВОД.</w:t>
      </w:r>
    </w:p>
    <w:tbl>
      <w:tblPr>
        <w:tblW w:w="9615" w:type="dxa"/>
        <w:tblCellMar>
          <w:left w:w="0" w:type="dxa"/>
          <w:right w:w="0" w:type="dxa"/>
        </w:tblCellMar>
        <w:tblLook w:val="04A0" w:firstRow="1" w:lastRow="0" w:firstColumn="1" w:lastColumn="0" w:noHBand="0" w:noVBand="1"/>
      </w:tblPr>
      <w:tblGrid>
        <w:gridCol w:w="4266"/>
        <w:gridCol w:w="5349"/>
      </w:tblGrid>
      <w:tr w:rsidR="004E10C1" w:rsidRPr="0044524F" w14:paraId="35B3D170" w14:textId="77777777" w:rsidTr="00DC292A">
        <w:trPr>
          <w:trHeight w:val="300"/>
        </w:trPr>
        <w:tc>
          <w:tcPr>
            <w:tcW w:w="0" w:type="auto"/>
            <w:vAlign w:val="center"/>
            <w:hideMark/>
          </w:tcPr>
          <w:p w14:paraId="65DC213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Мологский элеватор, г. Молога.</w:t>
            </w:r>
          </w:p>
        </w:tc>
        <w:tc>
          <w:tcPr>
            <w:tcW w:w="0" w:type="auto"/>
            <w:vAlign w:val="center"/>
            <w:hideMark/>
          </w:tcPr>
          <w:p w14:paraId="48F337E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Сев.-Зап. селекц. центр, Детское Село в Ленинграде.</w:t>
            </w:r>
          </w:p>
        </w:tc>
      </w:tr>
      <w:tr w:rsidR="004E10C1" w:rsidRPr="0044524F" w14:paraId="3D5EC3A2" w14:textId="77777777" w:rsidTr="00DC292A">
        <w:trPr>
          <w:trHeight w:val="300"/>
        </w:trPr>
        <w:tc>
          <w:tcPr>
            <w:tcW w:w="0" w:type="auto"/>
            <w:vAlign w:val="center"/>
            <w:hideMark/>
          </w:tcPr>
          <w:p w14:paraId="4E76849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Семенохранилище системы Козловского</w:t>
            </w:r>
          </w:p>
          <w:p w14:paraId="33C9529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Истоки и Шули, Уральской области.</w:t>
            </w:r>
          </w:p>
        </w:tc>
        <w:tc>
          <w:tcPr>
            <w:tcW w:w="0" w:type="auto"/>
            <w:vAlign w:val="center"/>
            <w:hideMark/>
          </w:tcPr>
          <w:p w14:paraId="4D7284D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Саратовский селекц. центр., Саратов.</w:t>
            </w:r>
          </w:p>
        </w:tc>
      </w:tr>
      <w:tr w:rsidR="004E10C1" w:rsidRPr="0044524F" w14:paraId="7383FDB4" w14:textId="77777777" w:rsidTr="00DC292A">
        <w:trPr>
          <w:trHeight w:val="600"/>
        </w:trPr>
        <w:tc>
          <w:tcPr>
            <w:tcW w:w="0" w:type="auto"/>
            <w:vAlign w:val="center"/>
            <w:hideMark/>
          </w:tcPr>
          <w:p w14:paraId="7783F90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Люцерно-очистительный завод,</w:t>
            </w:r>
          </w:p>
          <w:p w14:paraId="1CF5D0A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Нукус—Кара-Калпакск. АССР.</w:t>
            </w:r>
          </w:p>
        </w:tc>
        <w:tc>
          <w:tcPr>
            <w:tcW w:w="0" w:type="auto"/>
            <w:vAlign w:val="center"/>
            <w:hideMark/>
          </w:tcPr>
          <w:p w14:paraId="1D5225E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Сев.-Кавк. селекц. центр., Краснодар.</w:t>
            </w:r>
          </w:p>
        </w:tc>
      </w:tr>
      <w:tr w:rsidR="004E10C1" w:rsidRPr="0044524F" w14:paraId="167BFB01" w14:textId="77777777" w:rsidTr="00DC292A">
        <w:trPr>
          <w:trHeight w:val="2100"/>
        </w:trPr>
        <w:tc>
          <w:tcPr>
            <w:tcW w:w="0" w:type="auto"/>
            <w:vAlign w:val="center"/>
            <w:hideMark/>
          </w:tcPr>
          <w:p w14:paraId="29A8E1D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Семенохранилище системы Козловского</w:t>
            </w:r>
          </w:p>
          <w:p w14:paraId="4EECF44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57 точек (Западная область, Московская,</w:t>
            </w:r>
          </w:p>
          <w:p w14:paraId="73636B2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Ивановская. Средняя Волга, Нижняя Волга,</w:t>
            </w:r>
          </w:p>
          <w:p w14:paraId="4813B06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ЦЧО, Северный Кавказ, Крым, Казакстан,</w:t>
            </w:r>
          </w:p>
          <w:p w14:paraId="36645B6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Западная Сибирь, Восточная Сибирь, ДВК,</w:t>
            </w:r>
          </w:p>
          <w:p w14:paraId="431275E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УССР, БССР и ЗСФСР).</w:t>
            </w:r>
          </w:p>
        </w:tc>
        <w:tc>
          <w:tcPr>
            <w:tcW w:w="0" w:type="auto"/>
            <w:vAlign w:val="center"/>
            <w:hideMark/>
          </w:tcPr>
          <w:p w14:paraId="3641D45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Степной Укр. селекц. центр, Одесса.</w:t>
            </w:r>
          </w:p>
        </w:tc>
      </w:tr>
      <w:tr w:rsidR="004E10C1" w:rsidRPr="0044524F" w14:paraId="3DC72820" w14:textId="77777777" w:rsidTr="00DC292A">
        <w:trPr>
          <w:trHeight w:val="900"/>
        </w:trPr>
        <w:tc>
          <w:tcPr>
            <w:tcW w:w="0" w:type="auto"/>
            <w:vAlign w:val="center"/>
            <w:hideMark/>
          </w:tcPr>
          <w:p w14:paraId="2D59105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Мукохранилище—11 точек (Ивановская</w:t>
            </w:r>
          </w:p>
          <w:p w14:paraId="4CD464D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промышленная область, Средняя Волга</w:t>
            </w:r>
          </w:p>
          <w:p w14:paraId="0B2D95C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ЦЧО).</w:t>
            </w:r>
          </w:p>
        </w:tc>
        <w:tc>
          <w:tcPr>
            <w:tcW w:w="0" w:type="auto"/>
            <w:vAlign w:val="center"/>
            <w:hideMark/>
          </w:tcPr>
          <w:p w14:paraId="6ED6B41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ЦЧО селекц. центр, Воронеж.</w:t>
            </w:r>
          </w:p>
        </w:tc>
      </w:tr>
      <w:tr w:rsidR="004E10C1" w:rsidRPr="0044524F" w14:paraId="35D3CFB3" w14:textId="77777777" w:rsidTr="00DC292A">
        <w:trPr>
          <w:trHeight w:val="600"/>
        </w:trPr>
        <w:tc>
          <w:tcPr>
            <w:tcW w:w="0" w:type="auto"/>
            <w:vAlign w:val="center"/>
            <w:hideMark/>
          </w:tcPr>
          <w:p w14:paraId="1C5B2AC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Арахисохранилища: Грузия</w:t>
            </w:r>
          </w:p>
          <w:p w14:paraId="7084848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Азербайджан.</w:t>
            </w:r>
          </w:p>
        </w:tc>
        <w:tc>
          <w:tcPr>
            <w:tcW w:w="0" w:type="auto"/>
            <w:vAlign w:val="center"/>
            <w:hideMark/>
          </w:tcPr>
          <w:p w14:paraId="26DE363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Минск, селекц. центр, Минск.</w:t>
            </w:r>
          </w:p>
        </w:tc>
      </w:tr>
      <w:tr w:rsidR="004E10C1" w:rsidRPr="0044524F" w14:paraId="2CDF7383" w14:textId="77777777" w:rsidTr="00DC292A">
        <w:trPr>
          <w:trHeight w:val="300"/>
        </w:trPr>
        <w:tc>
          <w:tcPr>
            <w:tcW w:w="0" w:type="auto"/>
            <w:vAlign w:val="center"/>
            <w:hideMark/>
          </w:tcPr>
          <w:p w14:paraId="19D3E47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Моск. селекц. центр, ст. Немчиновка.</w:t>
            </w:r>
          </w:p>
        </w:tc>
        <w:tc>
          <w:tcPr>
            <w:tcW w:w="0" w:type="auto"/>
            <w:vAlign w:val="center"/>
            <w:hideMark/>
          </w:tcPr>
          <w:p w14:paraId="70EF716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Семенохранилища в совхозах.</w:t>
            </w:r>
          </w:p>
        </w:tc>
      </w:tr>
    </w:tbl>
    <w:p w14:paraId="135F277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КОНЕВОДТРЕСТ.</w:t>
      </w:r>
    </w:p>
    <w:tbl>
      <w:tblPr>
        <w:tblW w:w="7695" w:type="dxa"/>
        <w:tblCellMar>
          <w:left w:w="0" w:type="dxa"/>
          <w:right w:w="0" w:type="dxa"/>
        </w:tblCellMar>
        <w:tblLook w:val="04A0" w:firstRow="1" w:lastRow="0" w:firstColumn="1" w:lastColumn="0" w:noHBand="0" w:noVBand="1"/>
      </w:tblPr>
      <w:tblGrid>
        <w:gridCol w:w="4508"/>
        <w:gridCol w:w="3187"/>
      </w:tblGrid>
      <w:tr w:rsidR="004E10C1" w:rsidRPr="0044524F" w14:paraId="4764EFAB" w14:textId="77777777" w:rsidTr="00DC292A">
        <w:trPr>
          <w:trHeight w:val="300"/>
        </w:trPr>
        <w:tc>
          <w:tcPr>
            <w:tcW w:w="0" w:type="auto"/>
            <w:vAlign w:val="center"/>
            <w:hideMark/>
          </w:tcPr>
          <w:p w14:paraId="4479763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vAlign w:val="center"/>
            <w:hideMark/>
          </w:tcPr>
          <w:p w14:paraId="02B8029B"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Вложения в строительство 1933 г.</w:t>
            </w:r>
          </w:p>
          <w:p w14:paraId="6848AEC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тыс. руб.)</w:t>
            </w:r>
          </w:p>
        </w:tc>
      </w:tr>
      <w:tr w:rsidR="004E10C1" w:rsidRPr="0044524F" w14:paraId="5BA6628B" w14:textId="77777777" w:rsidTr="00DC292A">
        <w:trPr>
          <w:trHeight w:val="300"/>
        </w:trPr>
        <w:tc>
          <w:tcPr>
            <w:tcW w:w="0" w:type="auto"/>
            <w:vAlign w:val="center"/>
            <w:hideMark/>
          </w:tcPr>
          <w:p w14:paraId="064B3D8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Конюшни, базы, ветеринарн. лазареты и изолят.</w:t>
            </w:r>
          </w:p>
        </w:tc>
        <w:tc>
          <w:tcPr>
            <w:tcW w:w="0" w:type="auto"/>
            <w:vAlign w:val="center"/>
            <w:hideMark/>
          </w:tcPr>
          <w:p w14:paraId="0F8425A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4.200.0</w:t>
            </w:r>
          </w:p>
        </w:tc>
      </w:tr>
      <w:tr w:rsidR="004E10C1" w:rsidRPr="0044524F" w14:paraId="00810606" w14:textId="77777777" w:rsidTr="00DC292A">
        <w:trPr>
          <w:trHeight w:val="300"/>
        </w:trPr>
        <w:tc>
          <w:tcPr>
            <w:tcW w:w="0" w:type="auto"/>
            <w:vAlign w:val="center"/>
            <w:hideMark/>
          </w:tcPr>
          <w:p w14:paraId="191F62A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Хлопкосовхозы</w:t>
            </w:r>
          </w:p>
        </w:tc>
        <w:tc>
          <w:tcPr>
            <w:tcW w:w="0" w:type="auto"/>
            <w:vAlign w:val="center"/>
            <w:hideMark/>
          </w:tcPr>
          <w:p w14:paraId="6417CF8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5.000,0</w:t>
            </w:r>
          </w:p>
        </w:tc>
      </w:tr>
      <w:tr w:rsidR="004E10C1" w:rsidRPr="0044524F" w14:paraId="5D1ADC52" w14:textId="77777777" w:rsidTr="00DC292A">
        <w:trPr>
          <w:trHeight w:val="300"/>
        </w:trPr>
        <w:tc>
          <w:tcPr>
            <w:tcW w:w="0" w:type="auto"/>
            <w:vAlign w:val="center"/>
            <w:hideMark/>
          </w:tcPr>
          <w:p w14:paraId="70D0CC7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Зоответсеть </w:t>
            </w:r>
          </w:p>
        </w:tc>
        <w:tc>
          <w:tcPr>
            <w:tcW w:w="0" w:type="auto"/>
            <w:vAlign w:val="center"/>
            <w:hideMark/>
          </w:tcPr>
          <w:p w14:paraId="1540416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5.000,0</w:t>
            </w:r>
          </w:p>
        </w:tc>
      </w:tr>
      <w:tr w:rsidR="004E10C1" w:rsidRPr="0044524F" w14:paraId="12ED24C7" w14:textId="77777777" w:rsidTr="00DC292A">
        <w:trPr>
          <w:trHeight w:val="300"/>
        </w:trPr>
        <w:tc>
          <w:tcPr>
            <w:tcW w:w="0" w:type="auto"/>
            <w:vAlign w:val="center"/>
            <w:hideMark/>
          </w:tcPr>
          <w:p w14:paraId="6A831AF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 землеустройства и переселения</w:t>
            </w:r>
          </w:p>
        </w:tc>
        <w:tc>
          <w:tcPr>
            <w:tcW w:w="0" w:type="auto"/>
            <w:vAlign w:val="center"/>
            <w:hideMark/>
          </w:tcPr>
          <w:p w14:paraId="42AD71A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7.800,0</w:t>
            </w:r>
          </w:p>
        </w:tc>
      </w:tr>
    </w:tbl>
    <w:p w14:paraId="2EA8A05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ЧАИ-ГРУЗИЯ.</w:t>
      </w:r>
    </w:p>
    <w:tbl>
      <w:tblPr>
        <w:tblW w:w="7695" w:type="dxa"/>
        <w:tblCellMar>
          <w:left w:w="0" w:type="dxa"/>
          <w:right w:w="0" w:type="dxa"/>
        </w:tblCellMar>
        <w:tblLook w:val="04A0" w:firstRow="1" w:lastRow="0" w:firstColumn="1" w:lastColumn="0" w:noHBand="0" w:noVBand="1"/>
      </w:tblPr>
      <w:tblGrid>
        <w:gridCol w:w="4829"/>
        <w:gridCol w:w="2866"/>
      </w:tblGrid>
      <w:tr w:rsidR="004E10C1" w:rsidRPr="0044524F" w14:paraId="1334B64B" w14:textId="77777777" w:rsidTr="00DC292A">
        <w:trPr>
          <w:trHeight w:val="300"/>
        </w:trPr>
        <w:tc>
          <w:tcPr>
            <w:tcW w:w="0" w:type="auto"/>
            <w:vAlign w:val="center"/>
            <w:hideMark/>
          </w:tcPr>
          <w:p w14:paraId="161CE0D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Насакиральская чайная фабрика</w:t>
            </w:r>
          </w:p>
        </w:tc>
        <w:tc>
          <w:tcPr>
            <w:tcW w:w="0" w:type="auto"/>
            <w:vAlign w:val="center"/>
            <w:hideMark/>
          </w:tcPr>
          <w:p w14:paraId="6CEB1FE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Озургетский район</w:t>
            </w:r>
          </w:p>
        </w:tc>
      </w:tr>
      <w:tr w:rsidR="004E10C1" w:rsidRPr="0044524F" w14:paraId="65B52A13" w14:textId="77777777" w:rsidTr="00DC292A">
        <w:trPr>
          <w:trHeight w:val="300"/>
        </w:trPr>
        <w:tc>
          <w:tcPr>
            <w:tcW w:w="0" w:type="auto"/>
            <w:vAlign w:val="center"/>
            <w:hideMark/>
          </w:tcPr>
          <w:p w14:paraId="6842240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Магалиацерская чайная фабрика</w:t>
            </w:r>
          </w:p>
        </w:tc>
        <w:tc>
          <w:tcPr>
            <w:tcW w:w="0" w:type="auto"/>
            <w:vAlign w:val="center"/>
            <w:hideMark/>
          </w:tcPr>
          <w:p w14:paraId="4C6BFC2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Озургетский район</w:t>
            </w:r>
          </w:p>
        </w:tc>
      </w:tr>
      <w:tr w:rsidR="004E10C1" w:rsidRPr="0044524F" w14:paraId="3183ABC8" w14:textId="77777777" w:rsidTr="00DC292A">
        <w:trPr>
          <w:trHeight w:val="300"/>
        </w:trPr>
        <w:tc>
          <w:tcPr>
            <w:tcW w:w="0" w:type="auto"/>
            <w:vAlign w:val="center"/>
            <w:hideMark/>
          </w:tcPr>
          <w:p w14:paraId="721C06C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Шромская чайная фабрика</w:t>
            </w:r>
          </w:p>
        </w:tc>
        <w:tc>
          <w:tcPr>
            <w:tcW w:w="0" w:type="auto"/>
            <w:vAlign w:val="center"/>
            <w:hideMark/>
          </w:tcPr>
          <w:p w14:paraId="383DAF8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Озургетский район</w:t>
            </w:r>
          </w:p>
        </w:tc>
      </w:tr>
      <w:tr w:rsidR="004E10C1" w:rsidRPr="0044524F" w14:paraId="4BAE5D8F" w14:textId="77777777" w:rsidTr="00DC292A">
        <w:trPr>
          <w:trHeight w:val="300"/>
        </w:trPr>
        <w:tc>
          <w:tcPr>
            <w:tcW w:w="0" w:type="auto"/>
            <w:vAlign w:val="center"/>
            <w:hideMark/>
          </w:tcPr>
          <w:p w14:paraId="2361D40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Ачисварская чайная фабрика</w:t>
            </w:r>
          </w:p>
        </w:tc>
        <w:tc>
          <w:tcPr>
            <w:tcW w:w="0" w:type="auto"/>
            <w:vAlign w:val="center"/>
            <w:hideMark/>
          </w:tcPr>
          <w:p w14:paraId="7B10B9A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Гальский район</w:t>
            </w:r>
          </w:p>
        </w:tc>
      </w:tr>
      <w:tr w:rsidR="004E10C1" w:rsidRPr="0044524F" w14:paraId="4AB7157F" w14:textId="77777777" w:rsidTr="00DC292A">
        <w:trPr>
          <w:trHeight w:val="300"/>
        </w:trPr>
        <w:tc>
          <w:tcPr>
            <w:tcW w:w="0" w:type="auto"/>
            <w:vAlign w:val="center"/>
            <w:hideMark/>
          </w:tcPr>
          <w:p w14:paraId="7B480B6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Зугдитская чайная фабрика</w:t>
            </w:r>
          </w:p>
        </w:tc>
        <w:tc>
          <w:tcPr>
            <w:tcW w:w="0" w:type="auto"/>
            <w:vAlign w:val="center"/>
            <w:hideMark/>
          </w:tcPr>
          <w:p w14:paraId="15E9F05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Зугдитский район</w:t>
            </w:r>
          </w:p>
        </w:tc>
      </w:tr>
      <w:tr w:rsidR="004E10C1" w:rsidRPr="0044524F" w14:paraId="4889A73B" w14:textId="77777777" w:rsidTr="00DC292A">
        <w:trPr>
          <w:trHeight w:val="300"/>
        </w:trPr>
        <w:tc>
          <w:tcPr>
            <w:tcW w:w="0" w:type="auto"/>
            <w:vAlign w:val="center"/>
            <w:hideMark/>
          </w:tcPr>
          <w:p w14:paraId="6CC090A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Назаретская чайная фабрика</w:t>
            </w:r>
          </w:p>
        </w:tc>
        <w:tc>
          <w:tcPr>
            <w:tcW w:w="0" w:type="auto"/>
            <w:vAlign w:val="center"/>
            <w:hideMark/>
          </w:tcPr>
          <w:p w14:paraId="327B8AD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Зугдитский район</w:t>
            </w:r>
          </w:p>
        </w:tc>
      </w:tr>
      <w:tr w:rsidR="004E10C1" w:rsidRPr="0044524F" w14:paraId="3016F288" w14:textId="77777777" w:rsidTr="00DC292A">
        <w:trPr>
          <w:trHeight w:val="300"/>
        </w:trPr>
        <w:tc>
          <w:tcPr>
            <w:tcW w:w="0" w:type="auto"/>
            <w:vAlign w:val="center"/>
            <w:hideMark/>
          </w:tcPr>
          <w:p w14:paraId="63E14F7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Хонская чайная фабрика</w:t>
            </w:r>
          </w:p>
        </w:tc>
        <w:tc>
          <w:tcPr>
            <w:tcW w:w="0" w:type="auto"/>
            <w:vAlign w:val="center"/>
            <w:hideMark/>
          </w:tcPr>
          <w:p w14:paraId="55B2313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Хонский район</w:t>
            </w:r>
          </w:p>
        </w:tc>
      </w:tr>
      <w:tr w:rsidR="004E10C1" w:rsidRPr="0044524F" w14:paraId="760718CE" w14:textId="77777777" w:rsidTr="00DC292A">
        <w:trPr>
          <w:trHeight w:val="300"/>
        </w:trPr>
        <w:tc>
          <w:tcPr>
            <w:tcW w:w="0" w:type="auto"/>
            <w:vAlign w:val="center"/>
            <w:hideMark/>
          </w:tcPr>
          <w:p w14:paraId="7B63264A"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Падент-Жикская чайная фабрика</w:t>
            </w:r>
          </w:p>
        </w:tc>
        <w:tc>
          <w:tcPr>
            <w:tcW w:w="0" w:type="auto"/>
            <w:vAlign w:val="center"/>
            <w:hideMark/>
          </w:tcPr>
          <w:p w14:paraId="25C0F1C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Хонский район</w:t>
            </w:r>
          </w:p>
        </w:tc>
      </w:tr>
      <w:tr w:rsidR="004E10C1" w:rsidRPr="0044524F" w14:paraId="2CEF1CC3" w14:textId="77777777" w:rsidTr="00DC292A">
        <w:trPr>
          <w:trHeight w:val="300"/>
        </w:trPr>
        <w:tc>
          <w:tcPr>
            <w:tcW w:w="0" w:type="auto"/>
            <w:vAlign w:val="center"/>
            <w:hideMark/>
          </w:tcPr>
          <w:p w14:paraId="094F90A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Дидичковская чайная фабрика</w:t>
            </w:r>
          </w:p>
        </w:tc>
        <w:tc>
          <w:tcPr>
            <w:tcW w:w="0" w:type="auto"/>
            <w:vAlign w:val="center"/>
            <w:hideMark/>
          </w:tcPr>
          <w:p w14:paraId="4C6DD77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Мартвильский район</w:t>
            </w:r>
          </w:p>
        </w:tc>
      </w:tr>
      <w:tr w:rsidR="004E10C1" w:rsidRPr="0044524F" w14:paraId="250F98F4" w14:textId="77777777" w:rsidTr="00DC292A">
        <w:trPr>
          <w:trHeight w:val="300"/>
        </w:trPr>
        <w:tc>
          <w:tcPr>
            <w:tcW w:w="0" w:type="auto"/>
            <w:vAlign w:val="center"/>
            <w:hideMark/>
          </w:tcPr>
          <w:p w14:paraId="6C2F315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Ушанарская чайная фабрика</w:t>
            </w:r>
          </w:p>
        </w:tc>
        <w:tc>
          <w:tcPr>
            <w:tcW w:w="0" w:type="auto"/>
            <w:vAlign w:val="center"/>
            <w:hideMark/>
          </w:tcPr>
          <w:p w14:paraId="6984C1E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Синарский район</w:t>
            </w:r>
          </w:p>
        </w:tc>
      </w:tr>
    </w:tbl>
    <w:p w14:paraId="626BA0E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ГЛАВВОДХОЗ.</w:t>
      </w:r>
    </w:p>
    <w:p w14:paraId="5608BD1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Вахшстрой — Термез, Ср.-Аз. ж. д. (головное сооружение, маг. канал с сооружен., основные ветки маг, кан. с сооружен., основные распред. сооружен. на сети и основные сбросы).</w:t>
      </w:r>
    </w:p>
    <w:p w14:paraId="284A3EB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Муганьстрой — Азербайджан (ст. Сараджаб, Джульер - Бакинская ж. д. Азисбек - коллектор, перекачечная станция, реконструкция Хаки-Кзыл-Арх, реконструкция 3-го распред.</w:t>
      </w:r>
    </w:p>
    <w:p w14:paraId="4355EBBF"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Магистральный канал — Армения (ст. Эривань, Алаверьянь).</w:t>
      </w:r>
    </w:p>
    <w:p w14:paraId="5241C75E"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Канал им. Орджоникидзе — Даш-Буруи (магистр, канал, основной коллектор, сеть на площади 10000 га).</w:t>
      </w:r>
    </w:p>
    <w:p w14:paraId="408A37D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Плавстрой — ст. Полтавск. Сев.-Кав. ж. д. (магистральный канал с сооружениями).</w:t>
      </w:r>
    </w:p>
    <w:p w14:paraId="118D1304"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XII. НК СОВХОЗОВ.</w:t>
      </w:r>
    </w:p>
    <w:p w14:paraId="6C1F471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млн. руб.)</w:t>
      </w:r>
    </w:p>
    <w:tbl>
      <w:tblPr>
        <w:tblW w:w="11207"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76"/>
        <w:gridCol w:w="1276"/>
        <w:gridCol w:w="1354"/>
        <w:gridCol w:w="1116"/>
        <w:gridCol w:w="768"/>
        <w:gridCol w:w="885"/>
        <w:gridCol w:w="604"/>
        <w:gridCol w:w="565"/>
        <w:gridCol w:w="1001"/>
        <w:gridCol w:w="870"/>
        <w:gridCol w:w="492"/>
      </w:tblGrid>
      <w:tr w:rsidR="004E10C1" w:rsidRPr="0044524F" w14:paraId="58AB8831" w14:textId="77777777" w:rsidTr="00DC292A">
        <w:trPr>
          <w:trHeight w:val="1200"/>
        </w:trPr>
        <w:tc>
          <w:tcPr>
            <w:tcW w:w="2276" w:type="dxa"/>
            <w:tcBorders>
              <w:top w:val="outset" w:sz="6" w:space="0" w:color="auto"/>
              <w:left w:val="outset" w:sz="6" w:space="0" w:color="auto"/>
              <w:bottom w:val="outset" w:sz="6" w:space="0" w:color="auto"/>
              <w:right w:val="outset" w:sz="6" w:space="0" w:color="auto"/>
            </w:tcBorders>
            <w:vAlign w:val="center"/>
            <w:hideMark/>
          </w:tcPr>
          <w:p w14:paraId="06F7E20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Местонахождение объекта</w:t>
            </w:r>
          </w:p>
        </w:tc>
        <w:tc>
          <w:tcPr>
            <w:tcW w:w="1276" w:type="dxa"/>
            <w:tcBorders>
              <w:top w:val="outset" w:sz="6" w:space="0" w:color="auto"/>
              <w:left w:val="outset" w:sz="6" w:space="0" w:color="auto"/>
              <w:bottom w:val="outset" w:sz="6" w:space="0" w:color="auto"/>
              <w:right w:val="outset" w:sz="6" w:space="0" w:color="auto"/>
            </w:tcBorders>
            <w:vAlign w:val="center"/>
            <w:hideMark/>
          </w:tcPr>
          <w:p w14:paraId="6EA6ECE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Ремонтые мастерские</w:t>
            </w:r>
          </w:p>
        </w:tc>
        <w:tc>
          <w:tcPr>
            <w:tcW w:w="1354" w:type="dxa"/>
            <w:tcBorders>
              <w:top w:val="outset" w:sz="6" w:space="0" w:color="auto"/>
              <w:left w:val="outset" w:sz="6" w:space="0" w:color="auto"/>
              <w:bottom w:val="outset" w:sz="6" w:space="0" w:color="auto"/>
              <w:right w:val="outset" w:sz="6" w:space="0" w:color="auto"/>
            </w:tcBorders>
            <w:vAlign w:val="center"/>
            <w:hideMark/>
          </w:tcPr>
          <w:p w14:paraId="14DB22E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Зерно-</w:t>
            </w:r>
          </w:p>
          <w:p w14:paraId="35D6A86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хранилища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707188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Скотные дворы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5248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Телятники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597F47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Свинарники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A386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Кошары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EA2594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Силосы</w:t>
            </w:r>
          </w:p>
        </w:tc>
        <w:tc>
          <w:tcPr>
            <w:tcW w:w="1001" w:type="dxa"/>
            <w:tcBorders>
              <w:top w:val="outset" w:sz="6" w:space="0" w:color="auto"/>
              <w:left w:val="outset" w:sz="6" w:space="0" w:color="auto"/>
              <w:bottom w:val="outset" w:sz="6" w:space="0" w:color="auto"/>
              <w:right w:val="outset" w:sz="6" w:space="0" w:color="auto"/>
            </w:tcBorders>
            <w:vAlign w:val="center"/>
            <w:hideMark/>
          </w:tcPr>
          <w:p w14:paraId="2546CEE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Ветеринарные постройки</w:t>
            </w:r>
          </w:p>
        </w:tc>
        <w:tc>
          <w:tcPr>
            <w:tcW w:w="870" w:type="dxa"/>
            <w:tcBorders>
              <w:top w:val="outset" w:sz="6" w:space="0" w:color="auto"/>
              <w:left w:val="outset" w:sz="6" w:space="0" w:color="auto"/>
              <w:bottom w:val="outset" w:sz="6" w:space="0" w:color="auto"/>
              <w:right w:val="outset" w:sz="6" w:space="0" w:color="auto"/>
            </w:tcBorders>
            <w:vAlign w:val="center"/>
            <w:hideMark/>
          </w:tcPr>
          <w:p w14:paraId="287D6E4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Мелиорация</w:t>
            </w:r>
          </w:p>
        </w:tc>
        <w:tc>
          <w:tcPr>
            <w:tcW w:w="492" w:type="dxa"/>
            <w:tcBorders>
              <w:top w:val="outset" w:sz="6" w:space="0" w:color="auto"/>
              <w:left w:val="outset" w:sz="6" w:space="0" w:color="auto"/>
              <w:bottom w:val="outset" w:sz="6" w:space="0" w:color="auto"/>
              <w:right w:val="outset" w:sz="6" w:space="0" w:color="auto"/>
            </w:tcBorders>
            <w:vAlign w:val="center"/>
            <w:hideMark/>
          </w:tcPr>
          <w:p w14:paraId="6EFC1B2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r>
      <w:tr w:rsidR="004E10C1" w:rsidRPr="0044524F" w14:paraId="25ABFF52"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794A52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Северный край</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C91A65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AA6F5C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309B0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8486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EE16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AE10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1F86A0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208019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0,14</w:t>
            </w:r>
          </w:p>
        </w:tc>
        <w:tc>
          <w:tcPr>
            <w:tcW w:w="870" w:type="dxa"/>
            <w:tcBorders>
              <w:top w:val="outset" w:sz="6" w:space="0" w:color="auto"/>
              <w:left w:val="outset" w:sz="6" w:space="0" w:color="auto"/>
              <w:bottom w:val="outset" w:sz="6" w:space="0" w:color="auto"/>
              <w:right w:val="outset" w:sz="6" w:space="0" w:color="auto"/>
            </w:tcBorders>
            <w:vAlign w:val="center"/>
            <w:hideMark/>
          </w:tcPr>
          <w:p w14:paraId="48317AB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2D3D59D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0,14</w:t>
            </w:r>
          </w:p>
        </w:tc>
      </w:tr>
      <w:tr w:rsidR="004E10C1" w:rsidRPr="0044524F" w14:paraId="352DB4E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526EB67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Западная область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C59FC1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32905E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0,05</w:t>
            </w:r>
          </w:p>
        </w:tc>
        <w:tc>
          <w:tcPr>
            <w:tcW w:w="0" w:type="auto"/>
            <w:tcBorders>
              <w:top w:val="outset" w:sz="6" w:space="0" w:color="auto"/>
              <w:left w:val="outset" w:sz="6" w:space="0" w:color="auto"/>
              <w:bottom w:val="outset" w:sz="6" w:space="0" w:color="auto"/>
              <w:right w:val="outset" w:sz="6" w:space="0" w:color="auto"/>
            </w:tcBorders>
            <w:vAlign w:val="center"/>
            <w:hideMark/>
          </w:tcPr>
          <w:p w14:paraId="77D4390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9C674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2340A2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61766CC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39179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44AE64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0,15</w:t>
            </w:r>
          </w:p>
        </w:tc>
        <w:tc>
          <w:tcPr>
            <w:tcW w:w="870" w:type="dxa"/>
            <w:tcBorders>
              <w:top w:val="outset" w:sz="6" w:space="0" w:color="auto"/>
              <w:left w:val="outset" w:sz="6" w:space="0" w:color="auto"/>
              <w:bottom w:val="outset" w:sz="6" w:space="0" w:color="auto"/>
              <w:right w:val="outset" w:sz="6" w:space="0" w:color="auto"/>
            </w:tcBorders>
            <w:vAlign w:val="center"/>
            <w:hideMark/>
          </w:tcPr>
          <w:p w14:paraId="487022C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w:t>
            </w:r>
          </w:p>
        </w:tc>
        <w:tc>
          <w:tcPr>
            <w:tcW w:w="492" w:type="dxa"/>
            <w:tcBorders>
              <w:top w:val="outset" w:sz="6" w:space="0" w:color="auto"/>
              <w:left w:val="outset" w:sz="6" w:space="0" w:color="auto"/>
              <w:bottom w:val="outset" w:sz="6" w:space="0" w:color="auto"/>
              <w:right w:val="outset" w:sz="6" w:space="0" w:color="auto"/>
            </w:tcBorders>
            <w:vAlign w:val="center"/>
            <w:hideMark/>
          </w:tcPr>
          <w:p w14:paraId="10F2297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w:t>
            </w:r>
          </w:p>
        </w:tc>
      </w:tr>
      <w:tr w:rsidR="004E10C1" w:rsidRPr="0044524F" w14:paraId="3757DB3A" w14:textId="77777777" w:rsidTr="00DC292A">
        <w:trPr>
          <w:trHeight w:val="540"/>
        </w:trPr>
        <w:tc>
          <w:tcPr>
            <w:tcW w:w="2276" w:type="dxa"/>
            <w:tcBorders>
              <w:top w:val="outset" w:sz="6" w:space="0" w:color="auto"/>
              <w:left w:val="outset" w:sz="6" w:space="0" w:color="auto"/>
              <w:bottom w:val="outset" w:sz="6" w:space="0" w:color="auto"/>
              <w:right w:val="outset" w:sz="6" w:space="0" w:color="auto"/>
            </w:tcBorders>
            <w:vAlign w:val="center"/>
            <w:hideMark/>
          </w:tcPr>
          <w:p w14:paraId="35814F9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Ивановская промышленная область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3CD6451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032668C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8DEB0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BAB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FF8B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2A6155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88EA58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0,07</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370A82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70" w:type="dxa"/>
            <w:tcBorders>
              <w:top w:val="outset" w:sz="6" w:space="0" w:color="auto"/>
              <w:left w:val="outset" w:sz="6" w:space="0" w:color="auto"/>
              <w:bottom w:val="outset" w:sz="6" w:space="0" w:color="auto"/>
              <w:right w:val="outset" w:sz="6" w:space="0" w:color="auto"/>
            </w:tcBorders>
            <w:vAlign w:val="center"/>
            <w:hideMark/>
          </w:tcPr>
          <w:p w14:paraId="43EF828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670902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0,09</w:t>
            </w:r>
          </w:p>
        </w:tc>
      </w:tr>
      <w:tr w:rsidR="004E10C1" w:rsidRPr="0044524F" w14:paraId="0849A7A0"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082017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Горьковский край</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67FBB7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7D48117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0D2A30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BC5F2C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3FF99F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2016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D9FF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5AFB49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0,05</w:t>
            </w:r>
          </w:p>
        </w:tc>
        <w:tc>
          <w:tcPr>
            <w:tcW w:w="870" w:type="dxa"/>
            <w:tcBorders>
              <w:top w:val="outset" w:sz="6" w:space="0" w:color="auto"/>
              <w:left w:val="outset" w:sz="6" w:space="0" w:color="auto"/>
              <w:bottom w:val="outset" w:sz="6" w:space="0" w:color="auto"/>
              <w:right w:val="outset" w:sz="6" w:space="0" w:color="auto"/>
            </w:tcBorders>
            <w:vAlign w:val="center"/>
            <w:hideMark/>
          </w:tcPr>
          <w:p w14:paraId="40B0764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4CB64A3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0,07</w:t>
            </w:r>
          </w:p>
        </w:tc>
      </w:tr>
      <w:tr w:rsidR="004E10C1" w:rsidRPr="0044524F" w14:paraId="3D0B1D2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CB06CD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ЦЧО</w:t>
            </w:r>
          </w:p>
        </w:tc>
        <w:tc>
          <w:tcPr>
            <w:tcW w:w="1276" w:type="dxa"/>
            <w:tcBorders>
              <w:top w:val="outset" w:sz="6" w:space="0" w:color="auto"/>
              <w:left w:val="outset" w:sz="6" w:space="0" w:color="auto"/>
              <w:bottom w:val="outset" w:sz="6" w:space="0" w:color="auto"/>
              <w:right w:val="outset" w:sz="6" w:space="0" w:color="auto"/>
            </w:tcBorders>
            <w:vAlign w:val="center"/>
            <w:hideMark/>
          </w:tcPr>
          <w:p w14:paraId="674BFAB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8DD7E4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441DD5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5C00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35A45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ED78F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7594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5938CAB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0,46</w:t>
            </w:r>
          </w:p>
        </w:tc>
        <w:tc>
          <w:tcPr>
            <w:tcW w:w="870" w:type="dxa"/>
            <w:tcBorders>
              <w:top w:val="outset" w:sz="6" w:space="0" w:color="auto"/>
              <w:left w:val="outset" w:sz="6" w:space="0" w:color="auto"/>
              <w:bottom w:val="outset" w:sz="6" w:space="0" w:color="auto"/>
              <w:right w:val="outset" w:sz="6" w:space="0" w:color="auto"/>
            </w:tcBorders>
            <w:vAlign w:val="center"/>
            <w:hideMark/>
          </w:tcPr>
          <w:p w14:paraId="72C4B04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7EAC8F8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3,09</w:t>
            </w:r>
          </w:p>
        </w:tc>
      </w:tr>
      <w:tr w:rsidR="004E10C1" w:rsidRPr="0044524F" w14:paraId="6B143B63" w14:textId="77777777" w:rsidTr="00DC292A">
        <w:trPr>
          <w:trHeight w:val="495"/>
        </w:trPr>
        <w:tc>
          <w:tcPr>
            <w:tcW w:w="2276" w:type="dxa"/>
            <w:tcBorders>
              <w:top w:val="outset" w:sz="6" w:space="0" w:color="auto"/>
              <w:left w:val="outset" w:sz="6" w:space="0" w:color="auto"/>
              <w:bottom w:val="outset" w:sz="6" w:space="0" w:color="auto"/>
              <w:right w:val="outset" w:sz="6" w:space="0" w:color="auto"/>
            </w:tcBorders>
            <w:vAlign w:val="center"/>
            <w:hideMark/>
          </w:tcPr>
          <w:p w14:paraId="6E6A961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Уральская область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A0DF02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3C256A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6182A8F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81DC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22BC7C7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00D60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E8AE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1C29B2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w:t>
            </w:r>
          </w:p>
        </w:tc>
        <w:tc>
          <w:tcPr>
            <w:tcW w:w="870" w:type="dxa"/>
            <w:tcBorders>
              <w:top w:val="outset" w:sz="6" w:space="0" w:color="auto"/>
              <w:left w:val="outset" w:sz="6" w:space="0" w:color="auto"/>
              <w:bottom w:val="outset" w:sz="6" w:space="0" w:color="auto"/>
              <w:right w:val="outset" w:sz="6" w:space="0" w:color="auto"/>
            </w:tcBorders>
            <w:vAlign w:val="center"/>
            <w:hideMark/>
          </w:tcPr>
          <w:p w14:paraId="51C6F09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w:t>
            </w:r>
          </w:p>
        </w:tc>
        <w:tc>
          <w:tcPr>
            <w:tcW w:w="492" w:type="dxa"/>
            <w:tcBorders>
              <w:top w:val="outset" w:sz="6" w:space="0" w:color="auto"/>
              <w:left w:val="outset" w:sz="6" w:space="0" w:color="auto"/>
              <w:bottom w:val="outset" w:sz="6" w:space="0" w:color="auto"/>
              <w:right w:val="outset" w:sz="6" w:space="0" w:color="auto"/>
            </w:tcBorders>
            <w:vAlign w:val="center"/>
            <w:hideMark/>
          </w:tcPr>
          <w:p w14:paraId="5808F7B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0,08</w:t>
            </w:r>
          </w:p>
        </w:tc>
      </w:tr>
      <w:tr w:rsidR="004E10C1" w:rsidRPr="0044524F" w14:paraId="2A4D50A6"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237343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Башкирия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ADBB19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0,37</w:t>
            </w:r>
          </w:p>
        </w:tc>
        <w:tc>
          <w:tcPr>
            <w:tcW w:w="1354" w:type="dxa"/>
            <w:tcBorders>
              <w:top w:val="outset" w:sz="6" w:space="0" w:color="auto"/>
              <w:left w:val="outset" w:sz="6" w:space="0" w:color="auto"/>
              <w:bottom w:val="outset" w:sz="6" w:space="0" w:color="auto"/>
              <w:right w:val="outset" w:sz="6" w:space="0" w:color="auto"/>
            </w:tcBorders>
            <w:vAlign w:val="center"/>
            <w:hideMark/>
          </w:tcPr>
          <w:p w14:paraId="7938FF3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AA3E08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E8BB1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A5D148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85B7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0A1D2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5F0D461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0,12</w:t>
            </w:r>
          </w:p>
        </w:tc>
        <w:tc>
          <w:tcPr>
            <w:tcW w:w="870" w:type="dxa"/>
            <w:tcBorders>
              <w:top w:val="outset" w:sz="6" w:space="0" w:color="auto"/>
              <w:left w:val="outset" w:sz="6" w:space="0" w:color="auto"/>
              <w:bottom w:val="outset" w:sz="6" w:space="0" w:color="auto"/>
              <w:right w:val="outset" w:sz="6" w:space="0" w:color="auto"/>
            </w:tcBorders>
            <w:vAlign w:val="center"/>
            <w:hideMark/>
          </w:tcPr>
          <w:p w14:paraId="1B46FA4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0CFB934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0,54</w:t>
            </w:r>
          </w:p>
        </w:tc>
      </w:tr>
      <w:tr w:rsidR="004E10C1" w:rsidRPr="0044524F" w14:paraId="3929726B"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731BCBF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Татария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C6BBC0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1C18827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515AE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1A3E8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0DE2B7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7682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6A4534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91C795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w:t>
            </w:r>
          </w:p>
        </w:tc>
        <w:tc>
          <w:tcPr>
            <w:tcW w:w="870" w:type="dxa"/>
            <w:tcBorders>
              <w:top w:val="outset" w:sz="6" w:space="0" w:color="auto"/>
              <w:left w:val="outset" w:sz="6" w:space="0" w:color="auto"/>
              <w:bottom w:val="outset" w:sz="6" w:space="0" w:color="auto"/>
              <w:right w:val="outset" w:sz="6" w:space="0" w:color="auto"/>
            </w:tcBorders>
            <w:vAlign w:val="center"/>
            <w:hideMark/>
          </w:tcPr>
          <w:p w14:paraId="64685D5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12D2B9A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0,4</w:t>
            </w:r>
          </w:p>
        </w:tc>
      </w:tr>
      <w:tr w:rsidR="004E10C1" w:rsidRPr="0044524F" w14:paraId="7ED04A2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6174D8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Средняя Волга</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706525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0,42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892B29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95D6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E06A5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C817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5EDFA7B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32107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0,4</w:t>
            </w:r>
          </w:p>
        </w:tc>
        <w:tc>
          <w:tcPr>
            <w:tcW w:w="1001" w:type="dxa"/>
            <w:tcBorders>
              <w:top w:val="outset" w:sz="6" w:space="0" w:color="auto"/>
              <w:left w:val="outset" w:sz="6" w:space="0" w:color="auto"/>
              <w:bottom w:val="outset" w:sz="6" w:space="0" w:color="auto"/>
              <w:right w:val="outset" w:sz="6" w:space="0" w:color="auto"/>
            </w:tcBorders>
            <w:vAlign w:val="center"/>
            <w:hideMark/>
          </w:tcPr>
          <w:p w14:paraId="2CAF72A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0,55</w:t>
            </w:r>
          </w:p>
        </w:tc>
        <w:tc>
          <w:tcPr>
            <w:tcW w:w="870" w:type="dxa"/>
            <w:tcBorders>
              <w:top w:val="outset" w:sz="6" w:space="0" w:color="auto"/>
              <w:left w:val="outset" w:sz="6" w:space="0" w:color="auto"/>
              <w:bottom w:val="outset" w:sz="6" w:space="0" w:color="auto"/>
              <w:right w:val="outset" w:sz="6" w:space="0" w:color="auto"/>
            </w:tcBorders>
            <w:vAlign w:val="center"/>
            <w:hideMark/>
          </w:tcPr>
          <w:p w14:paraId="61CEA2C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4F47568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r>
      <w:tr w:rsidR="004E10C1" w:rsidRPr="0044524F" w14:paraId="04B4229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17B94F0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Нижняя Волга</w:t>
            </w:r>
          </w:p>
        </w:tc>
        <w:tc>
          <w:tcPr>
            <w:tcW w:w="1276" w:type="dxa"/>
            <w:tcBorders>
              <w:top w:val="outset" w:sz="6" w:space="0" w:color="auto"/>
              <w:left w:val="outset" w:sz="6" w:space="0" w:color="auto"/>
              <w:bottom w:val="outset" w:sz="6" w:space="0" w:color="auto"/>
              <w:right w:val="outset" w:sz="6" w:space="0" w:color="auto"/>
            </w:tcBorders>
            <w:vAlign w:val="center"/>
            <w:hideMark/>
          </w:tcPr>
          <w:p w14:paraId="3B1879A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0,71</w:t>
            </w:r>
          </w:p>
        </w:tc>
        <w:tc>
          <w:tcPr>
            <w:tcW w:w="1354" w:type="dxa"/>
            <w:tcBorders>
              <w:top w:val="outset" w:sz="6" w:space="0" w:color="auto"/>
              <w:left w:val="outset" w:sz="6" w:space="0" w:color="auto"/>
              <w:bottom w:val="outset" w:sz="6" w:space="0" w:color="auto"/>
              <w:right w:val="outset" w:sz="6" w:space="0" w:color="auto"/>
            </w:tcBorders>
            <w:vAlign w:val="center"/>
            <w:hideMark/>
          </w:tcPr>
          <w:p w14:paraId="350006E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4F8A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94BFE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26CC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3540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A51B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113D27B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0,63</w:t>
            </w:r>
          </w:p>
        </w:tc>
        <w:tc>
          <w:tcPr>
            <w:tcW w:w="870" w:type="dxa"/>
            <w:tcBorders>
              <w:top w:val="outset" w:sz="6" w:space="0" w:color="auto"/>
              <w:left w:val="outset" w:sz="6" w:space="0" w:color="auto"/>
              <w:bottom w:val="outset" w:sz="6" w:space="0" w:color="auto"/>
              <w:right w:val="outset" w:sz="6" w:space="0" w:color="auto"/>
            </w:tcBorders>
            <w:vAlign w:val="center"/>
            <w:hideMark/>
          </w:tcPr>
          <w:p w14:paraId="7229F36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4E6B47F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3,49</w:t>
            </w:r>
          </w:p>
        </w:tc>
      </w:tr>
      <w:tr w:rsidR="004E10C1" w:rsidRPr="0044524F" w14:paraId="03BA98E9"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DA021F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Северный Кавказ</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3431D0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0BC6BE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84742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7EF7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15A0A5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664B4CD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71D0F9B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90931E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0,55</w:t>
            </w:r>
          </w:p>
        </w:tc>
        <w:tc>
          <w:tcPr>
            <w:tcW w:w="870" w:type="dxa"/>
            <w:tcBorders>
              <w:top w:val="outset" w:sz="6" w:space="0" w:color="auto"/>
              <w:left w:val="outset" w:sz="6" w:space="0" w:color="auto"/>
              <w:bottom w:val="outset" w:sz="6" w:space="0" w:color="auto"/>
              <w:right w:val="outset" w:sz="6" w:space="0" w:color="auto"/>
            </w:tcBorders>
            <w:vAlign w:val="center"/>
            <w:hideMark/>
          </w:tcPr>
          <w:p w14:paraId="70CD5DE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0,13</w:t>
            </w:r>
          </w:p>
        </w:tc>
        <w:tc>
          <w:tcPr>
            <w:tcW w:w="492" w:type="dxa"/>
            <w:tcBorders>
              <w:top w:val="outset" w:sz="6" w:space="0" w:color="auto"/>
              <w:left w:val="outset" w:sz="6" w:space="0" w:color="auto"/>
              <w:bottom w:val="outset" w:sz="6" w:space="0" w:color="auto"/>
              <w:right w:val="outset" w:sz="6" w:space="0" w:color="auto"/>
            </w:tcBorders>
            <w:vAlign w:val="center"/>
            <w:hideMark/>
          </w:tcPr>
          <w:p w14:paraId="1197B2F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7,76</w:t>
            </w:r>
          </w:p>
        </w:tc>
      </w:tr>
      <w:tr w:rsidR="004E10C1" w:rsidRPr="0044524F" w14:paraId="1E6DF2E2"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2888E5E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Крым</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6E9B9A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F83D52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94BCF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319F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F8D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4EBE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EFAE5B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A4C884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0,02</w:t>
            </w:r>
          </w:p>
        </w:tc>
        <w:tc>
          <w:tcPr>
            <w:tcW w:w="870" w:type="dxa"/>
            <w:tcBorders>
              <w:top w:val="outset" w:sz="6" w:space="0" w:color="auto"/>
              <w:left w:val="outset" w:sz="6" w:space="0" w:color="auto"/>
              <w:bottom w:val="outset" w:sz="6" w:space="0" w:color="auto"/>
              <w:right w:val="outset" w:sz="6" w:space="0" w:color="auto"/>
            </w:tcBorders>
            <w:vAlign w:val="center"/>
            <w:hideMark/>
          </w:tcPr>
          <w:p w14:paraId="35151F5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w:t>
            </w:r>
          </w:p>
        </w:tc>
        <w:tc>
          <w:tcPr>
            <w:tcW w:w="492" w:type="dxa"/>
            <w:tcBorders>
              <w:top w:val="outset" w:sz="6" w:space="0" w:color="auto"/>
              <w:left w:val="outset" w:sz="6" w:space="0" w:color="auto"/>
              <w:bottom w:val="outset" w:sz="6" w:space="0" w:color="auto"/>
              <w:right w:val="outset" w:sz="6" w:space="0" w:color="auto"/>
            </w:tcBorders>
            <w:vAlign w:val="center"/>
            <w:hideMark/>
          </w:tcPr>
          <w:p w14:paraId="065FA5F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0,32</w:t>
            </w:r>
          </w:p>
        </w:tc>
      </w:tr>
      <w:tr w:rsidR="004E10C1" w:rsidRPr="0044524F" w14:paraId="3283DA76"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7B0B83E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Казакстан</w:t>
            </w:r>
          </w:p>
        </w:tc>
        <w:tc>
          <w:tcPr>
            <w:tcW w:w="1276" w:type="dxa"/>
            <w:tcBorders>
              <w:top w:val="outset" w:sz="6" w:space="0" w:color="auto"/>
              <w:left w:val="outset" w:sz="6" w:space="0" w:color="auto"/>
              <w:bottom w:val="outset" w:sz="6" w:space="0" w:color="auto"/>
              <w:right w:val="outset" w:sz="6" w:space="0" w:color="auto"/>
            </w:tcBorders>
            <w:vAlign w:val="center"/>
            <w:hideMark/>
          </w:tcPr>
          <w:p w14:paraId="03CFC01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w:t>
            </w:r>
          </w:p>
        </w:tc>
        <w:tc>
          <w:tcPr>
            <w:tcW w:w="1354" w:type="dxa"/>
            <w:tcBorders>
              <w:top w:val="outset" w:sz="6" w:space="0" w:color="auto"/>
              <w:left w:val="outset" w:sz="6" w:space="0" w:color="auto"/>
              <w:bottom w:val="outset" w:sz="6" w:space="0" w:color="auto"/>
              <w:right w:val="outset" w:sz="6" w:space="0" w:color="auto"/>
            </w:tcBorders>
            <w:vAlign w:val="center"/>
            <w:hideMark/>
          </w:tcPr>
          <w:p w14:paraId="5408C20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6F07EBD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08A6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F95FE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1621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7CA3C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0,15</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1A5106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tc>
        <w:tc>
          <w:tcPr>
            <w:tcW w:w="870" w:type="dxa"/>
            <w:tcBorders>
              <w:top w:val="outset" w:sz="6" w:space="0" w:color="auto"/>
              <w:left w:val="outset" w:sz="6" w:space="0" w:color="auto"/>
              <w:bottom w:val="outset" w:sz="6" w:space="0" w:color="auto"/>
              <w:right w:val="outset" w:sz="6" w:space="0" w:color="auto"/>
            </w:tcBorders>
            <w:vAlign w:val="center"/>
            <w:hideMark/>
          </w:tcPr>
          <w:p w14:paraId="6473B90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0,6</w:t>
            </w:r>
          </w:p>
        </w:tc>
        <w:tc>
          <w:tcPr>
            <w:tcW w:w="492" w:type="dxa"/>
            <w:tcBorders>
              <w:top w:val="outset" w:sz="6" w:space="0" w:color="auto"/>
              <w:left w:val="outset" w:sz="6" w:space="0" w:color="auto"/>
              <w:bottom w:val="outset" w:sz="6" w:space="0" w:color="auto"/>
              <w:right w:val="outset" w:sz="6" w:space="0" w:color="auto"/>
            </w:tcBorders>
            <w:vAlign w:val="center"/>
            <w:hideMark/>
          </w:tcPr>
          <w:p w14:paraId="468D370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8,13</w:t>
            </w:r>
          </w:p>
        </w:tc>
      </w:tr>
      <w:tr w:rsidR="004E10C1" w:rsidRPr="0044524F" w14:paraId="151E80B3"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760A41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Западная Сибирь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1836A7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998DB0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0816ABE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8CD7E0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E68CCD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6A54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97F5A7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0,18</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5BED15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w:t>
            </w:r>
          </w:p>
        </w:tc>
        <w:tc>
          <w:tcPr>
            <w:tcW w:w="870" w:type="dxa"/>
            <w:tcBorders>
              <w:top w:val="outset" w:sz="6" w:space="0" w:color="auto"/>
              <w:left w:val="outset" w:sz="6" w:space="0" w:color="auto"/>
              <w:bottom w:val="outset" w:sz="6" w:space="0" w:color="auto"/>
              <w:right w:val="outset" w:sz="6" w:space="0" w:color="auto"/>
            </w:tcBorders>
            <w:vAlign w:val="center"/>
            <w:hideMark/>
          </w:tcPr>
          <w:p w14:paraId="4470BF7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46EAE3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9,25</w:t>
            </w:r>
          </w:p>
        </w:tc>
      </w:tr>
      <w:tr w:rsidR="004E10C1" w:rsidRPr="0044524F" w14:paraId="7A1CDEC5"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E3C0B2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Восточная Сибирь</w:t>
            </w:r>
          </w:p>
        </w:tc>
        <w:tc>
          <w:tcPr>
            <w:tcW w:w="1276" w:type="dxa"/>
            <w:tcBorders>
              <w:top w:val="outset" w:sz="6" w:space="0" w:color="auto"/>
              <w:left w:val="outset" w:sz="6" w:space="0" w:color="auto"/>
              <w:bottom w:val="outset" w:sz="6" w:space="0" w:color="auto"/>
              <w:right w:val="outset" w:sz="6" w:space="0" w:color="auto"/>
            </w:tcBorders>
            <w:vAlign w:val="center"/>
            <w:hideMark/>
          </w:tcPr>
          <w:p w14:paraId="70848C8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80F8A6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C90C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8A8DC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36D54A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6145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558115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0,07</w:t>
            </w:r>
          </w:p>
        </w:tc>
        <w:tc>
          <w:tcPr>
            <w:tcW w:w="1001" w:type="dxa"/>
            <w:tcBorders>
              <w:top w:val="outset" w:sz="6" w:space="0" w:color="auto"/>
              <w:left w:val="outset" w:sz="6" w:space="0" w:color="auto"/>
              <w:bottom w:val="outset" w:sz="6" w:space="0" w:color="auto"/>
              <w:right w:val="outset" w:sz="6" w:space="0" w:color="auto"/>
            </w:tcBorders>
            <w:vAlign w:val="center"/>
            <w:hideMark/>
          </w:tcPr>
          <w:p w14:paraId="5E9F3E5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0,26</w:t>
            </w:r>
          </w:p>
        </w:tc>
        <w:tc>
          <w:tcPr>
            <w:tcW w:w="870" w:type="dxa"/>
            <w:tcBorders>
              <w:top w:val="outset" w:sz="6" w:space="0" w:color="auto"/>
              <w:left w:val="outset" w:sz="6" w:space="0" w:color="auto"/>
              <w:bottom w:val="outset" w:sz="6" w:space="0" w:color="auto"/>
              <w:right w:val="outset" w:sz="6" w:space="0" w:color="auto"/>
            </w:tcBorders>
            <w:vAlign w:val="center"/>
            <w:hideMark/>
          </w:tcPr>
          <w:p w14:paraId="1E270E0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B5229D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0,73</w:t>
            </w:r>
          </w:p>
        </w:tc>
      </w:tr>
      <w:tr w:rsidR="004E10C1" w:rsidRPr="0044524F" w14:paraId="3320EB9E"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09B237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Якутия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AABE49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F6D71A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F37F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101EB9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B723C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E40D5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CE0951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7EC4F6C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70" w:type="dxa"/>
            <w:tcBorders>
              <w:top w:val="outset" w:sz="6" w:space="0" w:color="auto"/>
              <w:left w:val="outset" w:sz="6" w:space="0" w:color="auto"/>
              <w:bottom w:val="outset" w:sz="6" w:space="0" w:color="auto"/>
              <w:right w:val="outset" w:sz="6" w:space="0" w:color="auto"/>
            </w:tcBorders>
            <w:vAlign w:val="center"/>
            <w:hideMark/>
          </w:tcPr>
          <w:p w14:paraId="653B7B7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5FC825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0,04</w:t>
            </w:r>
          </w:p>
        </w:tc>
      </w:tr>
      <w:tr w:rsidR="004E10C1" w:rsidRPr="0044524F" w14:paraId="18E585E7"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10FBE61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ДВК </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AB6C41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0,94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08D87F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10A6C26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7C22C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E61A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0593E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789A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0,08</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4381D1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0,13</w:t>
            </w:r>
          </w:p>
        </w:tc>
        <w:tc>
          <w:tcPr>
            <w:tcW w:w="870" w:type="dxa"/>
            <w:tcBorders>
              <w:top w:val="outset" w:sz="6" w:space="0" w:color="auto"/>
              <w:left w:val="outset" w:sz="6" w:space="0" w:color="auto"/>
              <w:bottom w:val="outset" w:sz="6" w:space="0" w:color="auto"/>
              <w:right w:val="outset" w:sz="6" w:space="0" w:color="auto"/>
            </w:tcBorders>
            <w:vAlign w:val="center"/>
            <w:hideMark/>
          </w:tcPr>
          <w:p w14:paraId="57BFC96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492" w:type="dxa"/>
            <w:tcBorders>
              <w:top w:val="outset" w:sz="6" w:space="0" w:color="auto"/>
              <w:left w:val="outset" w:sz="6" w:space="0" w:color="auto"/>
              <w:bottom w:val="outset" w:sz="6" w:space="0" w:color="auto"/>
              <w:right w:val="outset" w:sz="6" w:space="0" w:color="auto"/>
            </w:tcBorders>
            <w:vAlign w:val="center"/>
            <w:hideMark/>
          </w:tcPr>
          <w:p w14:paraId="739E3F0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6,65</w:t>
            </w:r>
          </w:p>
        </w:tc>
      </w:tr>
      <w:tr w:rsidR="004E10C1" w:rsidRPr="0044524F" w14:paraId="38191465"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384EC0F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404D999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7C0A629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4224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54C4B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60B1A5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2FE332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FC435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0,4</w:t>
            </w:r>
          </w:p>
        </w:tc>
        <w:tc>
          <w:tcPr>
            <w:tcW w:w="1001" w:type="dxa"/>
            <w:tcBorders>
              <w:top w:val="outset" w:sz="6" w:space="0" w:color="auto"/>
              <w:left w:val="outset" w:sz="6" w:space="0" w:color="auto"/>
              <w:bottom w:val="outset" w:sz="6" w:space="0" w:color="auto"/>
              <w:right w:val="outset" w:sz="6" w:space="0" w:color="auto"/>
            </w:tcBorders>
            <w:vAlign w:val="center"/>
            <w:hideMark/>
          </w:tcPr>
          <w:p w14:paraId="34AF5B7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w:t>
            </w:r>
          </w:p>
        </w:tc>
        <w:tc>
          <w:tcPr>
            <w:tcW w:w="870" w:type="dxa"/>
            <w:tcBorders>
              <w:top w:val="outset" w:sz="6" w:space="0" w:color="auto"/>
              <w:left w:val="outset" w:sz="6" w:space="0" w:color="auto"/>
              <w:bottom w:val="outset" w:sz="6" w:space="0" w:color="auto"/>
              <w:right w:val="outset" w:sz="6" w:space="0" w:color="auto"/>
            </w:tcBorders>
            <w:vAlign w:val="center"/>
            <w:hideMark/>
          </w:tcPr>
          <w:p w14:paraId="465479F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1D79FC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w:t>
            </w:r>
          </w:p>
        </w:tc>
      </w:tr>
      <w:tr w:rsidR="004E10C1" w:rsidRPr="0044524F" w14:paraId="6A3A45F8"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353039A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БССР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61FFEF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0,15</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48591B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EB9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E24FC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B879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D2DA73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3B58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107D4C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0,35</w:t>
            </w:r>
          </w:p>
        </w:tc>
        <w:tc>
          <w:tcPr>
            <w:tcW w:w="870" w:type="dxa"/>
            <w:tcBorders>
              <w:top w:val="outset" w:sz="6" w:space="0" w:color="auto"/>
              <w:left w:val="outset" w:sz="6" w:space="0" w:color="auto"/>
              <w:bottom w:val="outset" w:sz="6" w:space="0" w:color="auto"/>
              <w:right w:val="outset" w:sz="6" w:space="0" w:color="auto"/>
            </w:tcBorders>
            <w:vAlign w:val="center"/>
            <w:hideMark/>
          </w:tcPr>
          <w:p w14:paraId="6479F2B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356120F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w:t>
            </w:r>
          </w:p>
        </w:tc>
      </w:tr>
      <w:tr w:rsidR="004E10C1" w:rsidRPr="0044524F" w14:paraId="72CAFFC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589B3BA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ЗСФСР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564D03A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0,04</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39148F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A551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8F809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4F8E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90D537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46DF4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0,03</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CEFAC3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0,23</w:t>
            </w:r>
          </w:p>
        </w:tc>
        <w:tc>
          <w:tcPr>
            <w:tcW w:w="870" w:type="dxa"/>
            <w:tcBorders>
              <w:top w:val="outset" w:sz="6" w:space="0" w:color="auto"/>
              <w:left w:val="outset" w:sz="6" w:space="0" w:color="auto"/>
              <w:bottom w:val="outset" w:sz="6" w:space="0" w:color="auto"/>
              <w:right w:val="outset" w:sz="6" w:space="0" w:color="auto"/>
            </w:tcBorders>
            <w:vAlign w:val="center"/>
            <w:hideMark/>
          </w:tcPr>
          <w:p w14:paraId="41AE672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AB87E1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w:t>
            </w:r>
          </w:p>
        </w:tc>
      </w:tr>
      <w:tr w:rsidR="004E10C1" w:rsidRPr="0044524F" w14:paraId="17603472"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70C3DFB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Средняя Азия в целом.</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56B6380"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0,39</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3D4F97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C74485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408FFB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6C07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5326F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9D9E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36F9FB9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0,13</w:t>
            </w:r>
          </w:p>
        </w:tc>
        <w:tc>
          <w:tcPr>
            <w:tcW w:w="870" w:type="dxa"/>
            <w:tcBorders>
              <w:top w:val="outset" w:sz="6" w:space="0" w:color="auto"/>
              <w:left w:val="outset" w:sz="6" w:space="0" w:color="auto"/>
              <w:bottom w:val="outset" w:sz="6" w:space="0" w:color="auto"/>
              <w:right w:val="outset" w:sz="6" w:space="0" w:color="auto"/>
            </w:tcBorders>
            <w:vAlign w:val="center"/>
            <w:hideMark/>
          </w:tcPr>
          <w:p w14:paraId="2F34B26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0,07</w:t>
            </w:r>
          </w:p>
        </w:tc>
        <w:tc>
          <w:tcPr>
            <w:tcW w:w="492" w:type="dxa"/>
            <w:tcBorders>
              <w:top w:val="outset" w:sz="6" w:space="0" w:color="auto"/>
              <w:left w:val="outset" w:sz="6" w:space="0" w:color="auto"/>
              <w:bottom w:val="outset" w:sz="6" w:space="0" w:color="auto"/>
              <w:right w:val="outset" w:sz="6" w:space="0" w:color="auto"/>
            </w:tcBorders>
            <w:vAlign w:val="center"/>
            <w:hideMark/>
          </w:tcPr>
          <w:p w14:paraId="13AE0E1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w:t>
            </w:r>
          </w:p>
        </w:tc>
      </w:tr>
      <w:tr w:rsidR="004E10C1" w:rsidRPr="0044524F" w14:paraId="51A049C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60C8BEF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УзбССР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052395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0,02</w:t>
            </w:r>
          </w:p>
        </w:tc>
        <w:tc>
          <w:tcPr>
            <w:tcW w:w="1354" w:type="dxa"/>
            <w:tcBorders>
              <w:top w:val="outset" w:sz="6" w:space="0" w:color="auto"/>
              <w:left w:val="outset" w:sz="6" w:space="0" w:color="auto"/>
              <w:bottom w:val="outset" w:sz="6" w:space="0" w:color="auto"/>
              <w:right w:val="outset" w:sz="6" w:space="0" w:color="auto"/>
            </w:tcBorders>
            <w:vAlign w:val="center"/>
            <w:hideMark/>
          </w:tcPr>
          <w:p w14:paraId="3D6E4F8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BEE3CE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3F0C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8708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20FB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2829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44D8351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0,05</w:t>
            </w:r>
          </w:p>
        </w:tc>
        <w:tc>
          <w:tcPr>
            <w:tcW w:w="870" w:type="dxa"/>
            <w:tcBorders>
              <w:top w:val="outset" w:sz="6" w:space="0" w:color="auto"/>
              <w:left w:val="outset" w:sz="6" w:space="0" w:color="auto"/>
              <w:bottom w:val="outset" w:sz="6" w:space="0" w:color="auto"/>
              <w:right w:val="outset" w:sz="6" w:space="0" w:color="auto"/>
            </w:tcBorders>
            <w:vAlign w:val="center"/>
            <w:hideMark/>
          </w:tcPr>
          <w:p w14:paraId="35799E9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15C56AD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0,07</w:t>
            </w:r>
          </w:p>
        </w:tc>
      </w:tr>
      <w:tr w:rsidR="004E10C1" w:rsidRPr="0044524F" w14:paraId="3A66A2E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D3ABC9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Киргизия</w:t>
            </w:r>
          </w:p>
        </w:tc>
        <w:tc>
          <w:tcPr>
            <w:tcW w:w="1276" w:type="dxa"/>
            <w:tcBorders>
              <w:top w:val="outset" w:sz="6" w:space="0" w:color="auto"/>
              <w:left w:val="outset" w:sz="6" w:space="0" w:color="auto"/>
              <w:bottom w:val="outset" w:sz="6" w:space="0" w:color="auto"/>
              <w:right w:val="outset" w:sz="6" w:space="0" w:color="auto"/>
            </w:tcBorders>
            <w:vAlign w:val="center"/>
            <w:hideMark/>
          </w:tcPr>
          <w:p w14:paraId="2162E02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693D069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53295F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FE6AA"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573101F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5446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6BD53C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843832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0,18</w:t>
            </w:r>
          </w:p>
        </w:tc>
        <w:tc>
          <w:tcPr>
            <w:tcW w:w="870" w:type="dxa"/>
            <w:tcBorders>
              <w:top w:val="outset" w:sz="6" w:space="0" w:color="auto"/>
              <w:left w:val="outset" w:sz="6" w:space="0" w:color="auto"/>
              <w:bottom w:val="outset" w:sz="6" w:space="0" w:color="auto"/>
              <w:right w:val="outset" w:sz="6" w:space="0" w:color="auto"/>
            </w:tcBorders>
            <w:vAlign w:val="center"/>
            <w:hideMark/>
          </w:tcPr>
          <w:p w14:paraId="010C7B05"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92" w:type="dxa"/>
            <w:tcBorders>
              <w:top w:val="outset" w:sz="6" w:space="0" w:color="auto"/>
              <w:left w:val="outset" w:sz="6" w:space="0" w:color="auto"/>
              <w:bottom w:val="outset" w:sz="6" w:space="0" w:color="auto"/>
              <w:right w:val="outset" w:sz="6" w:space="0" w:color="auto"/>
            </w:tcBorders>
            <w:vAlign w:val="center"/>
            <w:hideMark/>
          </w:tcPr>
          <w:p w14:paraId="56D8133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0,36</w:t>
            </w:r>
          </w:p>
        </w:tc>
      </w:tr>
      <w:tr w:rsidR="004E10C1" w:rsidRPr="0044524F" w14:paraId="55D433FA"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0E84C03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Нераспред. по СССР</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5CE5286"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0,43</w:t>
            </w:r>
          </w:p>
        </w:tc>
        <w:tc>
          <w:tcPr>
            <w:tcW w:w="1354" w:type="dxa"/>
            <w:tcBorders>
              <w:top w:val="outset" w:sz="6" w:space="0" w:color="auto"/>
              <w:left w:val="outset" w:sz="6" w:space="0" w:color="auto"/>
              <w:bottom w:val="outset" w:sz="6" w:space="0" w:color="auto"/>
              <w:right w:val="outset" w:sz="6" w:space="0" w:color="auto"/>
            </w:tcBorders>
            <w:vAlign w:val="center"/>
            <w:hideMark/>
          </w:tcPr>
          <w:p w14:paraId="2740AB0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w:t>
            </w:r>
          </w:p>
        </w:tc>
        <w:tc>
          <w:tcPr>
            <w:tcW w:w="0" w:type="auto"/>
            <w:tcBorders>
              <w:top w:val="outset" w:sz="6" w:space="0" w:color="auto"/>
              <w:left w:val="outset" w:sz="6" w:space="0" w:color="auto"/>
              <w:bottom w:val="outset" w:sz="6" w:space="0" w:color="auto"/>
              <w:right w:val="outset" w:sz="6" w:space="0" w:color="auto"/>
            </w:tcBorders>
            <w:vAlign w:val="center"/>
            <w:hideMark/>
          </w:tcPr>
          <w:p w14:paraId="76EE2F4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9829F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w:t>
            </w:r>
          </w:p>
        </w:tc>
        <w:tc>
          <w:tcPr>
            <w:tcW w:w="0" w:type="auto"/>
            <w:tcBorders>
              <w:top w:val="outset" w:sz="6" w:space="0" w:color="auto"/>
              <w:left w:val="outset" w:sz="6" w:space="0" w:color="auto"/>
              <w:bottom w:val="outset" w:sz="6" w:space="0" w:color="auto"/>
              <w:right w:val="outset" w:sz="6" w:space="0" w:color="auto"/>
            </w:tcBorders>
            <w:vAlign w:val="center"/>
            <w:hideMark/>
          </w:tcPr>
          <w:p w14:paraId="2A8F59C7"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873E7B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DD2D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0,02</w:t>
            </w:r>
          </w:p>
        </w:tc>
        <w:tc>
          <w:tcPr>
            <w:tcW w:w="1001" w:type="dxa"/>
            <w:tcBorders>
              <w:top w:val="outset" w:sz="6" w:space="0" w:color="auto"/>
              <w:left w:val="outset" w:sz="6" w:space="0" w:color="auto"/>
              <w:bottom w:val="outset" w:sz="6" w:space="0" w:color="auto"/>
              <w:right w:val="outset" w:sz="6" w:space="0" w:color="auto"/>
            </w:tcBorders>
            <w:vAlign w:val="center"/>
            <w:hideMark/>
          </w:tcPr>
          <w:p w14:paraId="68DF51A2"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870" w:type="dxa"/>
            <w:tcBorders>
              <w:top w:val="outset" w:sz="6" w:space="0" w:color="auto"/>
              <w:left w:val="outset" w:sz="6" w:space="0" w:color="auto"/>
              <w:bottom w:val="outset" w:sz="6" w:space="0" w:color="auto"/>
              <w:right w:val="outset" w:sz="6" w:space="0" w:color="auto"/>
            </w:tcBorders>
            <w:vAlign w:val="center"/>
            <w:hideMark/>
          </w:tcPr>
          <w:p w14:paraId="5A4B9CAD"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w:t>
            </w:r>
          </w:p>
        </w:tc>
        <w:tc>
          <w:tcPr>
            <w:tcW w:w="492" w:type="dxa"/>
            <w:tcBorders>
              <w:top w:val="outset" w:sz="6" w:space="0" w:color="auto"/>
              <w:left w:val="outset" w:sz="6" w:space="0" w:color="auto"/>
              <w:bottom w:val="outset" w:sz="6" w:space="0" w:color="auto"/>
              <w:right w:val="outset" w:sz="6" w:space="0" w:color="auto"/>
            </w:tcBorders>
            <w:vAlign w:val="center"/>
            <w:hideMark/>
          </w:tcPr>
          <w:p w14:paraId="21C6771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6,95</w:t>
            </w:r>
          </w:p>
        </w:tc>
      </w:tr>
      <w:tr w:rsidR="004E10C1" w:rsidRPr="0044524F" w14:paraId="2D5B0094" w14:textId="77777777" w:rsidTr="00DC292A">
        <w:trPr>
          <w:trHeight w:val="300"/>
        </w:trPr>
        <w:tc>
          <w:tcPr>
            <w:tcW w:w="2276" w:type="dxa"/>
            <w:tcBorders>
              <w:top w:val="outset" w:sz="6" w:space="0" w:color="auto"/>
              <w:left w:val="outset" w:sz="6" w:space="0" w:color="auto"/>
              <w:bottom w:val="outset" w:sz="6" w:space="0" w:color="auto"/>
              <w:right w:val="outset" w:sz="6" w:space="0" w:color="auto"/>
            </w:tcBorders>
            <w:vAlign w:val="center"/>
            <w:hideMark/>
          </w:tcPr>
          <w:p w14:paraId="48DAF09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Итого</w:t>
            </w:r>
          </w:p>
        </w:tc>
        <w:tc>
          <w:tcPr>
            <w:tcW w:w="1276" w:type="dxa"/>
            <w:tcBorders>
              <w:top w:val="outset" w:sz="6" w:space="0" w:color="auto"/>
              <w:left w:val="outset" w:sz="6" w:space="0" w:color="auto"/>
              <w:bottom w:val="outset" w:sz="6" w:space="0" w:color="auto"/>
              <w:right w:val="outset" w:sz="6" w:space="0" w:color="auto"/>
            </w:tcBorders>
            <w:vAlign w:val="center"/>
            <w:hideMark/>
          </w:tcPr>
          <w:p w14:paraId="124D750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w:t>
            </w:r>
          </w:p>
        </w:tc>
        <w:tc>
          <w:tcPr>
            <w:tcW w:w="1354" w:type="dxa"/>
            <w:tcBorders>
              <w:top w:val="outset" w:sz="6" w:space="0" w:color="auto"/>
              <w:left w:val="outset" w:sz="6" w:space="0" w:color="auto"/>
              <w:bottom w:val="outset" w:sz="6" w:space="0" w:color="auto"/>
              <w:right w:val="outset" w:sz="6" w:space="0" w:color="auto"/>
            </w:tcBorders>
            <w:vAlign w:val="center"/>
            <w:hideMark/>
          </w:tcPr>
          <w:p w14:paraId="408E6328"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ECD6C"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9B848B"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38C04F"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5B2E"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554F4A9"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001" w:type="dxa"/>
            <w:tcBorders>
              <w:top w:val="outset" w:sz="6" w:space="0" w:color="auto"/>
              <w:left w:val="outset" w:sz="6" w:space="0" w:color="auto"/>
              <w:bottom w:val="outset" w:sz="6" w:space="0" w:color="auto"/>
              <w:right w:val="outset" w:sz="6" w:space="0" w:color="auto"/>
            </w:tcBorders>
            <w:vAlign w:val="center"/>
            <w:hideMark/>
          </w:tcPr>
          <w:p w14:paraId="073AE864"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w:t>
            </w:r>
          </w:p>
        </w:tc>
        <w:tc>
          <w:tcPr>
            <w:tcW w:w="870" w:type="dxa"/>
            <w:tcBorders>
              <w:top w:val="outset" w:sz="6" w:space="0" w:color="auto"/>
              <w:left w:val="outset" w:sz="6" w:space="0" w:color="auto"/>
              <w:bottom w:val="outset" w:sz="6" w:space="0" w:color="auto"/>
              <w:right w:val="outset" w:sz="6" w:space="0" w:color="auto"/>
            </w:tcBorders>
            <w:vAlign w:val="center"/>
            <w:hideMark/>
          </w:tcPr>
          <w:p w14:paraId="79F1F481"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492" w:type="dxa"/>
            <w:tcBorders>
              <w:top w:val="outset" w:sz="6" w:space="0" w:color="auto"/>
              <w:left w:val="outset" w:sz="6" w:space="0" w:color="auto"/>
              <w:bottom w:val="outset" w:sz="6" w:space="0" w:color="auto"/>
              <w:right w:val="outset" w:sz="6" w:space="0" w:color="auto"/>
            </w:tcBorders>
            <w:vAlign w:val="center"/>
            <w:hideMark/>
          </w:tcPr>
          <w:p w14:paraId="523DF133" w14:textId="77777777" w:rsidR="009217C6" w:rsidRPr="0044524F" w:rsidRDefault="00921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bl>
    <w:p w14:paraId="1731F97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XIII. КОМИТЕТ ПО ЗАГОТОВКАМ ПРИ СНК СОЮЗА ССР.</w:t>
      </w:r>
    </w:p>
    <w:tbl>
      <w:tblPr>
        <w:tblW w:w="5805" w:type="dxa"/>
        <w:tblCellMar>
          <w:left w:w="0" w:type="dxa"/>
          <w:right w:w="0" w:type="dxa"/>
        </w:tblCellMar>
        <w:tblLook w:val="04A0" w:firstRow="1" w:lastRow="0" w:firstColumn="1" w:lastColumn="0" w:noHBand="0" w:noVBand="1"/>
      </w:tblPr>
      <w:tblGrid>
        <w:gridCol w:w="2365"/>
        <w:gridCol w:w="3440"/>
      </w:tblGrid>
      <w:tr w:rsidR="004E10C1" w:rsidRPr="0044524F" w14:paraId="7982434D" w14:textId="77777777" w:rsidTr="00DC292A">
        <w:trPr>
          <w:trHeight w:val="300"/>
        </w:trPr>
        <w:tc>
          <w:tcPr>
            <w:tcW w:w="0" w:type="auto"/>
            <w:vAlign w:val="center"/>
            <w:hideMark/>
          </w:tcPr>
          <w:p w14:paraId="733B4F6C"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Мелькомбинат Прокопьевск.</w:t>
            </w:r>
          </w:p>
        </w:tc>
        <w:tc>
          <w:tcPr>
            <w:tcW w:w="0" w:type="auto"/>
            <w:vAlign w:val="center"/>
            <w:hideMark/>
          </w:tcPr>
          <w:p w14:paraId="4562C73D"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Мелькомбинат Баку.</w:t>
            </w:r>
          </w:p>
        </w:tc>
      </w:tr>
      <w:tr w:rsidR="004E10C1" w:rsidRPr="0044524F" w14:paraId="2F1E98EF" w14:textId="77777777" w:rsidTr="00DC292A">
        <w:trPr>
          <w:trHeight w:val="300"/>
        </w:trPr>
        <w:tc>
          <w:tcPr>
            <w:tcW w:w="0" w:type="auto"/>
            <w:vAlign w:val="center"/>
            <w:hideMark/>
          </w:tcPr>
          <w:p w14:paraId="155CE08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Мелькобинат Магнитогорск.</w:t>
            </w:r>
          </w:p>
        </w:tc>
        <w:tc>
          <w:tcPr>
            <w:tcW w:w="0" w:type="auto"/>
            <w:vAlign w:val="center"/>
            <w:hideMark/>
          </w:tcPr>
          <w:p w14:paraId="271D6E5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Достройка 34 элеваторов „Заготзерно"</w:t>
            </w:r>
          </w:p>
        </w:tc>
      </w:tr>
      <w:tr w:rsidR="004E10C1" w:rsidRPr="0044524F" w14:paraId="54F4CC3E" w14:textId="77777777" w:rsidTr="00DC292A">
        <w:trPr>
          <w:trHeight w:val="300"/>
        </w:trPr>
        <w:tc>
          <w:tcPr>
            <w:tcW w:w="0" w:type="auto"/>
            <w:vAlign w:val="center"/>
            <w:hideMark/>
          </w:tcPr>
          <w:p w14:paraId="43DDCB7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Мелькомбинат Канск.</w:t>
            </w:r>
          </w:p>
        </w:tc>
        <w:tc>
          <w:tcPr>
            <w:tcW w:w="0" w:type="auto"/>
            <w:vAlign w:val="center"/>
            <w:hideMark/>
          </w:tcPr>
          <w:p w14:paraId="2ED24D8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Достройка зерноскладов на 145 тыс. тонн.</w:t>
            </w:r>
          </w:p>
        </w:tc>
      </w:tr>
      <w:tr w:rsidR="004E10C1" w:rsidRPr="0044524F" w14:paraId="31F29F64" w14:textId="77777777" w:rsidTr="00DC292A">
        <w:trPr>
          <w:trHeight w:val="540"/>
        </w:trPr>
        <w:tc>
          <w:tcPr>
            <w:tcW w:w="0" w:type="auto"/>
            <w:vAlign w:val="center"/>
            <w:hideMark/>
          </w:tcPr>
          <w:p w14:paraId="4E4C5A1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Мелькомбинат Красноярск.</w:t>
            </w:r>
          </w:p>
        </w:tc>
        <w:tc>
          <w:tcPr>
            <w:tcW w:w="0" w:type="auto"/>
            <w:vAlign w:val="center"/>
            <w:hideMark/>
          </w:tcPr>
          <w:p w14:paraId="6227F519"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bl>
    <w:p w14:paraId="43D99AF7"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XIV. КОММУНАЛЬНОЕ СТРОИТЕЛЬСТВО.</w:t>
      </w:r>
    </w:p>
    <w:tbl>
      <w:tblPr>
        <w:tblW w:w="5805" w:type="dxa"/>
        <w:tblCellMar>
          <w:left w:w="0" w:type="dxa"/>
          <w:right w:w="0" w:type="dxa"/>
        </w:tblCellMar>
        <w:tblLook w:val="04A0" w:firstRow="1" w:lastRow="0" w:firstColumn="1" w:lastColumn="0" w:noHBand="0" w:noVBand="1"/>
      </w:tblPr>
      <w:tblGrid>
        <w:gridCol w:w="3135"/>
        <w:gridCol w:w="2670"/>
      </w:tblGrid>
      <w:tr w:rsidR="004E10C1" w:rsidRPr="0044524F" w14:paraId="3AAF564F" w14:textId="77777777" w:rsidTr="00DC292A">
        <w:trPr>
          <w:trHeight w:val="300"/>
        </w:trPr>
        <w:tc>
          <w:tcPr>
            <w:tcW w:w="0" w:type="auto"/>
            <w:vAlign w:val="center"/>
            <w:hideMark/>
          </w:tcPr>
          <w:p w14:paraId="0E1AD53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Водопровод Владивосток.</w:t>
            </w:r>
          </w:p>
        </w:tc>
        <w:tc>
          <w:tcPr>
            <w:tcW w:w="0" w:type="auto"/>
            <w:vAlign w:val="center"/>
            <w:hideMark/>
          </w:tcPr>
          <w:p w14:paraId="36717C03"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Водопровод, Харьков.</w:t>
            </w:r>
          </w:p>
        </w:tc>
      </w:tr>
      <w:tr w:rsidR="004E10C1" w:rsidRPr="0044524F" w14:paraId="79CEF14C" w14:textId="77777777" w:rsidTr="00DC292A">
        <w:trPr>
          <w:trHeight w:val="300"/>
        </w:trPr>
        <w:tc>
          <w:tcPr>
            <w:tcW w:w="0" w:type="auto"/>
            <w:vAlign w:val="center"/>
            <w:hideMark/>
          </w:tcPr>
          <w:p w14:paraId="738ED8A8"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Водопровод Баку.</w:t>
            </w:r>
          </w:p>
        </w:tc>
        <w:tc>
          <w:tcPr>
            <w:tcW w:w="0" w:type="auto"/>
            <w:vAlign w:val="center"/>
            <w:hideMark/>
          </w:tcPr>
          <w:p w14:paraId="4A1A9B9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Метрострой, Москва.</w:t>
            </w:r>
          </w:p>
        </w:tc>
      </w:tr>
    </w:tbl>
    <w:p w14:paraId="130BF8D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XV. СТРОИТЕЛЬСТВО ПО КАДРАМ.</w:t>
      </w:r>
    </w:p>
    <w:tbl>
      <w:tblPr>
        <w:tblStyle w:val="affe"/>
        <w:tblW w:w="11554" w:type="dxa"/>
        <w:tblLook w:val="04A0" w:firstRow="1" w:lastRow="0" w:firstColumn="1" w:lastColumn="0" w:noHBand="0" w:noVBand="1"/>
      </w:tblPr>
      <w:tblGrid>
        <w:gridCol w:w="5777"/>
        <w:gridCol w:w="5777"/>
      </w:tblGrid>
      <w:tr w:rsidR="004E10C1" w:rsidRPr="0044524F" w14:paraId="026DC925" w14:textId="77777777" w:rsidTr="003C4CEF">
        <w:tc>
          <w:tcPr>
            <w:tcW w:w="5777" w:type="dxa"/>
            <w:vAlign w:val="center"/>
          </w:tcPr>
          <w:p w14:paraId="4D55BF8C" w14:textId="77777777" w:rsidR="003C4CEF" w:rsidRPr="0044524F" w:rsidRDefault="003C4CEF"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 Сталинский металлургический институт Наркомтяжпрома.</w:t>
            </w:r>
          </w:p>
        </w:tc>
        <w:tc>
          <w:tcPr>
            <w:tcW w:w="5777" w:type="dxa"/>
            <w:vAlign w:val="center"/>
          </w:tcPr>
          <w:p w14:paraId="6DA2323A" w14:textId="77777777" w:rsidR="003C4CEF" w:rsidRPr="0044524F" w:rsidRDefault="003C4CEF"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4. Ташкентский текстильн. ин-т Нар-комлегпрома.</w:t>
            </w:r>
          </w:p>
        </w:tc>
      </w:tr>
      <w:tr w:rsidR="004E10C1" w:rsidRPr="0044524F" w14:paraId="0875E3CC" w14:textId="77777777" w:rsidTr="003C4CEF">
        <w:tc>
          <w:tcPr>
            <w:tcW w:w="5777" w:type="dxa"/>
            <w:vAlign w:val="center"/>
          </w:tcPr>
          <w:p w14:paraId="48CA3D79" w14:textId="77777777" w:rsidR="003C4CEF" w:rsidRPr="0044524F" w:rsidRDefault="003C4CEF"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 Днепропетровский металлургический институт Наркомтяжпрома.</w:t>
            </w:r>
          </w:p>
        </w:tc>
        <w:tc>
          <w:tcPr>
            <w:tcW w:w="5777" w:type="dxa"/>
            <w:vAlign w:val="center"/>
          </w:tcPr>
          <w:p w14:paraId="11A52B2C" w14:textId="77777777" w:rsidR="003C4CEF" w:rsidRPr="0044524F" w:rsidRDefault="003C4CEF"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 Московский ветеринарный институт Наркомзема.</w:t>
            </w:r>
          </w:p>
        </w:tc>
      </w:tr>
      <w:tr w:rsidR="004E10C1" w:rsidRPr="0044524F" w14:paraId="41611DDC" w14:textId="77777777" w:rsidTr="003C4CEF">
        <w:tc>
          <w:tcPr>
            <w:tcW w:w="5777" w:type="dxa"/>
            <w:vAlign w:val="center"/>
          </w:tcPr>
          <w:p w14:paraId="2DB0AE0D" w14:textId="77777777" w:rsidR="003C4CEF" w:rsidRPr="0044524F" w:rsidRDefault="003C4CEF"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 Красноярский лесотехнический институт Наркомлеса.</w:t>
            </w:r>
          </w:p>
        </w:tc>
        <w:tc>
          <w:tcPr>
            <w:tcW w:w="5777" w:type="dxa"/>
            <w:vAlign w:val="center"/>
          </w:tcPr>
          <w:p w14:paraId="6E11F140" w14:textId="77777777" w:rsidR="003C4CEF" w:rsidRPr="0044524F" w:rsidRDefault="003C4CEF"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6. Высшая комм. с.-х. школа им. Свердлова.</w:t>
            </w:r>
          </w:p>
        </w:tc>
      </w:tr>
    </w:tbl>
    <w:p w14:paraId="45C35345"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XVI. ПРОЧИЕ ГОСУДАРСТВЕННЫЕ И ОБЩЕСТВЕННЫЕ ОРГАНИЗАЦИИ.</w:t>
      </w:r>
    </w:p>
    <w:tbl>
      <w:tblPr>
        <w:tblStyle w:val="affe"/>
        <w:tblW w:w="11554" w:type="dxa"/>
        <w:tblLook w:val="04A0" w:firstRow="1" w:lastRow="0" w:firstColumn="1" w:lastColumn="0" w:noHBand="0" w:noVBand="1"/>
      </w:tblPr>
      <w:tblGrid>
        <w:gridCol w:w="5777"/>
        <w:gridCol w:w="5777"/>
      </w:tblGrid>
      <w:tr w:rsidR="004E10C1" w:rsidRPr="0044524F" w14:paraId="7AD00534" w14:textId="77777777" w:rsidTr="003C4CEF">
        <w:tc>
          <w:tcPr>
            <w:tcW w:w="5777" w:type="dxa"/>
            <w:vAlign w:val="center"/>
          </w:tcPr>
          <w:p w14:paraId="715E4971" w14:textId="77777777" w:rsidR="003C4CEF" w:rsidRPr="0044524F" w:rsidRDefault="003C4CEF"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 Московский стадион.</w:t>
            </w:r>
          </w:p>
        </w:tc>
        <w:tc>
          <w:tcPr>
            <w:tcW w:w="5777" w:type="dxa"/>
            <w:vAlign w:val="center"/>
          </w:tcPr>
          <w:p w14:paraId="493469EA" w14:textId="77777777" w:rsidR="003C4CEF" w:rsidRPr="0044524F" w:rsidRDefault="003C4CEF"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 Ангарский мост, Иркутск.</w:t>
            </w:r>
          </w:p>
        </w:tc>
      </w:tr>
      <w:tr w:rsidR="004E10C1" w:rsidRPr="0044524F" w14:paraId="3025960C" w14:textId="77777777" w:rsidTr="003C4CEF">
        <w:tc>
          <w:tcPr>
            <w:tcW w:w="5777" w:type="dxa"/>
            <w:vAlign w:val="center"/>
          </w:tcPr>
          <w:p w14:paraId="19649BDF" w14:textId="77777777" w:rsidR="003C4CEF" w:rsidRPr="0044524F" w:rsidRDefault="003C4CEF"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 Камская бумажная фабрика Наркомфина.</w:t>
            </w:r>
          </w:p>
        </w:tc>
        <w:tc>
          <w:tcPr>
            <w:tcW w:w="5777" w:type="dxa"/>
            <w:vAlign w:val="center"/>
          </w:tcPr>
          <w:p w14:paraId="43BC76C7" w14:textId="77777777" w:rsidR="003C4CEF" w:rsidRPr="0044524F" w:rsidRDefault="003C4CEF"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 </w:t>
            </w:r>
          </w:p>
        </w:tc>
      </w:tr>
    </w:tbl>
    <w:p w14:paraId="2CFA1776"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СНК Союза ССР В. Молотов (Скрябин).</w:t>
      </w:r>
    </w:p>
    <w:p w14:paraId="1162E030"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Управляющий делами СНК Союза ССР И. Мирошников.</w:t>
      </w:r>
    </w:p>
    <w:p w14:paraId="193F4E82"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Кремль. 28 апреля 1933 г. № 857.</w:t>
      </w:r>
    </w:p>
    <w:p w14:paraId="2CB38621" w14:textId="77777777" w:rsidR="003C4CEF" w:rsidRPr="0044524F" w:rsidRDefault="003C4C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Опубликовано в № 113 «Известий ЦИК Союза ССР и ВЦИК» от 30 апреля 1933 г. (18462).</w:t>
      </w:r>
    </w:p>
    <w:p w14:paraId="7E2D5C9A" w14:textId="77777777" w:rsidR="003C4CEF" w:rsidRPr="0044524F" w:rsidRDefault="003C4CEF" w:rsidP="009654CF">
      <w:pPr>
        <w:spacing w:after="0" w:line="240" w:lineRule="auto"/>
        <w:jc w:val="both"/>
        <w:rPr>
          <w:rFonts w:ascii="Times New Roman" w:hAnsi="Times New Roman"/>
          <w:color w:val="000000" w:themeColor="text1"/>
          <w:sz w:val="16"/>
          <w:szCs w:val="16"/>
        </w:rPr>
      </w:pPr>
    </w:p>
    <w:p w14:paraId="3DE81322" w14:textId="104DF243" w:rsidR="00046E51" w:rsidRPr="0044524F" w:rsidRDefault="00046E51" w:rsidP="00046E51">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44524F">
        <w:rPr>
          <w:rFonts w:ascii="Times New Roman" w:hAnsi="Times New Roman"/>
          <w:i/>
          <w:iCs/>
          <w:color w:val="000000" w:themeColor="text1"/>
          <w:sz w:val="16"/>
          <w:szCs w:val="16"/>
        </w:rPr>
        <w:t>:</w:t>
      </w:r>
    </w:p>
    <w:p w14:paraId="0B32C6FD" w14:textId="77777777" w:rsidR="00046E51" w:rsidRPr="0044524F" w:rsidRDefault="00046E51" w:rsidP="00046E51">
      <w:pPr>
        <w:autoSpaceDE w:val="0"/>
        <w:autoSpaceDN w:val="0"/>
        <w:adjustRightInd w:val="0"/>
        <w:spacing w:after="0" w:line="240" w:lineRule="auto"/>
        <w:jc w:val="both"/>
        <w:rPr>
          <w:rFonts w:ascii="Times New Roman" w:hAnsi="Times New Roman"/>
          <w:iCs/>
          <w:color w:val="000000" w:themeColor="text1"/>
          <w:sz w:val="16"/>
          <w:szCs w:val="16"/>
        </w:rPr>
      </w:pPr>
    </w:p>
    <w:p w14:paraId="27CD4523"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апреля 1933 года Совет народных комиссаров принял постановление за № 859, которое называлось «О праздновании дня воздушного флота Союза ССР». Документ этот невелик и достаточно важен, чтобы процитировать его текст целиком: «В честь выдающихся достижений ученых, авиаконструкторов, работников авиапромышленности, летного и технического состава ВВС в деле укрепления обороноспособности Советского государства, Совет народных комиссаров Союза ССР постановляет: Проводить ежегодно 18 августа празднование дня воздушного флота Союза ССР (дня авиации)». Подписали постановление председатель Совнаркома Вячеслав Молотов и управделами Совнаркома Иван Мирошников (25156).</w:t>
      </w:r>
    </w:p>
    <w:p w14:paraId="08E21600" w14:textId="77777777" w:rsidR="00046E51" w:rsidRPr="00142305" w:rsidRDefault="00046E51" w:rsidP="00046E51">
      <w:pPr>
        <w:spacing w:after="0" w:line="240" w:lineRule="auto"/>
        <w:jc w:val="both"/>
        <w:rPr>
          <w:rFonts w:ascii="Times New Roman" w:hAnsi="Times New Roman"/>
          <w:color w:val="0070C0"/>
          <w:sz w:val="16"/>
          <w:szCs w:val="16"/>
        </w:rPr>
      </w:pPr>
    </w:p>
    <w:p w14:paraId="2D467E20" w14:textId="77777777" w:rsidR="00F1507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46166F9" w14:textId="77777777" w:rsidR="00F15071" w:rsidRPr="0044524F" w:rsidRDefault="00F1507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7B80DA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года к категориям, подлежащим чистке, постановлением ЦК и ЦКК от были отнесены, в частности, "двурушники, живущие обманом партии, скрывающие от неё свои действительные стремления и под прикрытием лживой клятвы в "верности" партии пытающиеся сорвать на деле политику партии", а также "открытые и скрытые нарушители железной дисциплины партии и государства, не выполняющие решений партии и правительства, подвергающие сомнению и дискредитирующие решения и установленные партией планы болтовней об их "нереальности" и "неосуществимости". Согласно духу и букве этих положений, из партии должен был быть изгнан всякий, кто высказывал сомнения в правильности не только "генеральной линии", но даже отдельных практических мероприятий сталинского руководства (9492).</w:t>
      </w:r>
    </w:p>
    <w:p w14:paraId="5AF0F6D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693B80C2"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года постановлением Совнаркома СССР № 861 “О выдаче гражданам Союза ССР паспортов на территории СССР” к режимным были отнесены города Киев, Одесса, Минск, Ростов-на-Дону, Сталинград, Сталинск, Баку, Горький, Сормово, Магнитогорск, Челябинск, Грозный, Севастополь, Сталино, Пермь, Днепропетровск, Свердловск, Владивосток, Хабаровск, Никольско-Уссурийск, Спасск, Благовещенск, Анжеро-Судженск, Прокопьевск, Ленинск, а также населенные пункты в пределах стокилометровой западноевропейской пограничной полосы СССР. В этих местностях запрещалось выдавать паспорта и проживать лицам, в которых советская власть видела прямую или косвенную угрозу своему существованию. Эти люди под контролем органов милиции подлежали выдворению в другие местности страны в течение десяти дней, где им предоставлялось “право беспрепятственного проживания” с выдачей паспорта. В сельских местностях паспорта выдавались только в совхозах и на территориях, объявленных “режимными”. Остальные сельчане паспортов не получили. Оба предписания устанавливали длинную, сопряженную со многими трудностями процедуру получения паспортов для стремящихся покинуть деревню. Формально закон определял, что “в тех случаях, когда лица, проживающие в сельских местностях, выбывают на длительное или постоянное жительство в местности, где введена паспортная система, они получают паспорта в районных или городских управлениях рабоче-крестьянской милиции по месту своего прежнего жительства сроком на один год. По истечении годичного срока лица, приехавшие на постоянное жительство, получают по новому месту жительства паспорта на общих основаниях” (пункт 3-й постановления СНК СССР № 861 от 28 апреля 1933 года) (9985).</w:t>
      </w:r>
    </w:p>
    <w:p w14:paraId="2AC771B6"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406227C9" w14:textId="77777777" w:rsidR="00F1507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09D2D9A" w14:textId="77777777" w:rsidR="00F15071" w:rsidRPr="0044524F" w:rsidRDefault="00F1507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EB2FC7" w14:textId="77777777" w:rsidR="00371007" w:rsidRPr="0044524F" w:rsidRDefault="0037100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в 1933 году (начиная с 14 апреля) летчик "Люфтганзы" Унтухт установил на «Не-70b» восемь мировых рекордов на дистанции от 100 км до 2000 км с нагрузкой в 500 и 1000 кг. Наибольший результат был достигнут на дистанции в 100 км с нагрузкой в тонну - здесь скорость составила 357 км/ч. Цифра для того времени очень впечатляющая, ведь пассажирская машина летала быстрее лучшего английского серийного, истребителя Хаукер "Фьюри". Рекорды установили после замены мотора на более мощный «BMW» VI 7,3Z (750 л. с.), и нового обтекаемого фонаря кабины пилота. Двухлопастный винт с установкой лопастей на земле заменили на трехлопастный с изменяемым в полете шагом (15113).</w:t>
      </w:r>
    </w:p>
    <w:p w14:paraId="7194E664" w14:textId="77777777" w:rsidR="00371007" w:rsidRPr="0044524F" w:rsidRDefault="00371007" w:rsidP="009654CF">
      <w:pPr>
        <w:spacing w:after="0" w:line="240" w:lineRule="auto"/>
        <w:jc w:val="both"/>
        <w:rPr>
          <w:rFonts w:ascii="Times New Roman" w:hAnsi="Times New Roman"/>
          <w:color w:val="000000" w:themeColor="text1"/>
          <w:sz w:val="16"/>
          <w:szCs w:val="16"/>
        </w:rPr>
      </w:pPr>
    </w:p>
    <w:p w14:paraId="0708961B" w14:textId="77777777" w:rsidR="00EA74B3" w:rsidRPr="0044524F" w:rsidRDefault="00EA74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года — первый полёт истребителя Fiat CR.32.</w:t>
      </w:r>
    </w:p>
    <w:p w14:paraId="6F733138" w14:textId="77777777" w:rsidR="00EA74B3" w:rsidRPr="0044524F" w:rsidRDefault="00EA74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Развивая успех истребителя CR.30, конструкторы авиационного отдела Fiat во главе с Челестино Розателли в 1932 году приступили к работе над новым проектом. За счёт уменьшения размеров и облегчения самолёта планировалось существенно улучшить скоростные показатели.</w:t>
      </w:r>
    </w:p>
    <w:p w14:paraId="31342004" w14:textId="77777777" w:rsidR="00EA74B3" w:rsidRPr="0044524F" w:rsidRDefault="00EA74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и его предшественник, CR.32 представлял собой одноместный биплан (а точнее — полутораплан) с неубирающимся шасси. Каркас фюзеляжа был сделан из дюралевых и стальных труб и обтянут полотном (кроме капота из дюрали). Вооружение — 2 × 7.7-мм или 12.7-мм пулемёта Breda-SAFAT. Имелась возможность подвесить до 100 кг бомб.</w:t>
      </w:r>
    </w:p>
    <w:p w14:paraId="37BCF7DF" w14:textId="77777777" w:rsidR="00EA74B3" w:rsidRPr="0044524F" w:rsidRDefault="00EA74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успешных испытаний новый истребитель был принят на вооружение Regia Aeronautica (итальянских ВВС), заменив CR.30. Кроме того, CR.32 хорошо продавался зарубеж — в Австрию, Китай, Венгрию, Парагвай, Венесуэлу. Истребитель получил боевое крещение во время гражданской войны в Испании. Всего выпустили 1312 экземпляра Fiat CR.32 всех модификаций, два из которых сегодня можно увидеть в музеях (22300).</w:t>
      </w:r>
    </w:p>
    <w:p w14:paraId="677DE540" w14:textId="77777777" w:rsidR="00EA74B3" w:rsidRPr="0044524F" w:rsidRDefault="00EA74B3" w:rsidP="009654CF">
      <w:pPr>
        <w:spacing w:after="0" w:line="240" w:lineRule="auto"/>
        <w:jc w:val="both"/>
        <w:rPr>
          <w:rFonts w:ascii="Times New Roman" w:hAnsi="Times New Roman"/>
          <w:color w:val="000000" w:themeColor="text1"/>
          <w:sz w:val="16"/>
          <w:szCs w:val="16"/>
        </w:rPr>
      </w:pPr>
    </w:p>
    <w:p w14:paraId="78578954" w14:textId="77777777" w:rsidR="00371007" w:rsidRPr="0044524F" w:rsidRDefault="0037100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в 1933 году опытный итальянский истребитель «CR.32» совершил свой первый 30-минутный полете заводского аэродрома под Турином. Машину пилотировал испытатель Франческо Брак-Папа. В первый же день стало ясно, что машина удалась. Сохранив все достоинства, присущие «CR.30», новый истребитель выиграл в скорости и управляемости (15113).</w:t>
      </w:r>
    </w:p>
    <w:p w14:paraId="513C5739" w14:textId="77777777" w:rsidR="00371007" w:rsidRPr="0044524F" w:rsidRDefault="00371007" w:rsidP="009654CF">
      <w:pPr>
        <w:spacing w:after="0" w:line="240" w:lineRule="auto"/>
        <w:jc w:val="both"/>
        <w:rPr>
          <w:rFonts w:ascii="Times New Roman" w:hAnsi="Times New Roman"/>
          <w:color w:val="000000" w:themeColor="text1"/>
          <w:sz w:val="16"/>
          <w:szCs w:val="16"/>
        </w:rPr>
      </w:pPr>
    </w:p>
    <w:p w14:paraId="22A31917" w14:textId="77777777" w:rsidR="00447DDC" w:rsidRPr="0044524F" w:rsidRDefault="00447DD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 фирменный пилот-испытатель «Фиата» Франческо Брак Папа (Francesco Brach Papa) впервые поднял в воздух прототип CR.32, несший обозначение ММ201. Испытания показали, что CR.32 существенно превосходит предшественника в манев</w:t>
      </w:r>
      <w:r w:rsidRPr="0044524F">
        <w:rPr>
          <w:rFonts w:ascii="Times New Roman" w:hAnsi="Times New Roman"/>
          <w:color w:val="000000" w:themeColor="text1"/>
          <w:sz w:val="16"/>
          <w:szCs w:val="16"/>
        </w:rPr>
        <w:softHyphen/>
        <w:t>ренности и управляемости, а некоторое увеличение скорости срыва и посадочной скорости сочли прием</w:t>
      </w:r>
      <w:r w:rsidRPr="0044524F">
        <w:rPr>
          <w:rFonts w:ascii="Times New Roman" w:hAnsi="Times New Roman"/>
          <w:color w:val="000000" w:themeColor="text1"/>
          <w:sz w:val="16"/>
          <w:szCs w:val="16"/>
        </w:rPr>
        <w:softHyphen/>
        <w:t>лемой платой за достигнутое улучшение маневренных характеристик. ВВС Италии сразу же заказали 50 ма</w:t>
      </w:r>
      <w:r w:rsidRPr="0044524F">
        <w:rPr>
          <w:rFonts w:ascii="Times New Roman" w:hAnsi="Times New Roman"/>
          <w:color w:val="000000" w:themeColor="text1"/>
          <w:sz w:val="16"/>
          <w:szCs w:val="16"/>
        </w:rPr>
        <w:softHyphen/>
        <w:t>шин. Но первые серийные CR.32 попали не в «Реджиа Аэронаутика», а в ВВС Китая, закупившие 16 самоле</w:t>
      </w:r>
      <w:r w:rsidRPr="0044524F">
        <w:rPr>
          <w:rFonts w:ascii="Times New Roman" w:hAnsi="Times New Roman"/>
          <w:color w:val="000000" w:themeColor="text1"/>
          <w:sz w:val="16"/>
          <w:szCs w:val="16"/>
        </w:rPr>
        <w:softHyphen/>
        <w:t>тов. Китайские машины отличались вооружением - на них установили английские 7,7-мм пулеметы «Вик</w:t>
      </w:r>
      <w:r w:rsidRPr="0044524F">
        <w:rPr>
          <w:rFonts w:ascii="Times New Roman" w:hAnsi="Times New Roman"/>
          <w:color w:val="000000" w:themeColor="text1"/>
          <w:sz w:val="16"/>
          <w:szCs w:val="16"/>
        </w:rPr>
        <w:softHyphen/>
        <w:t>керс». Однако в Китае эти истребители не пользова</w:t>
      </w:r>
      <w:r w:rsidRPr="0044524F">
        <w:rPr>
          <w:rFonts w:ascii="Times New Roman" w:hAnsi="Times New Roman"/>
          <w:color w:val="000000" w:themeColor="text1"/>
          <w:sz w:val="16"/>
          <w:szCs w:val="16"/>
        </w:rPr>
        <w:softHyphen/>
        <w:t>лись популярностью - двигатели A.30RA работали на бензино-бензольно-</w:t>
      </w:r>
      <w:r w:rsidRPr="0044524F">
        <w:rPr>
          <w:rFonts w:ascii="Times New Roman" w:hAnsi="Times New Roman"/>
          <w:color w:val="000000" w:themeColor="text1"/>
          <w:sz w:val="16"/>
          <w:szCs w:val="16"/>
        </w:rPr>
        <w:lastRenderedPageBreak/>
        <w:t>спиртовой смеси, не применяе</w:t>
      </w:r>
      <w:r w:rsidRPr="0044524F">
        <w:rPr>
          <w:rFonts w:ascii="Times New Roman" w:hAnsi="Times New Roman"/>
          <w:color w:val="000000" w:themeColor="text1"/>
          <w:sz w:val="16"/>
          <w:szCs w:val="16"/>
        </w:rPr>
        <w:softHyphen/>
        <w:t>мой ни на каком другом типе самолетов Китайских ВВС. В итоге CR.32, успев послужить во 2, 8 и 14-й авиагруппах, к концу 1936 г. были списаны (24178).</w:t>
      </w:r>
    </w:p>
    <w:p w14:paraId="66064E9C" w14:textId="77777777" w:rsidR="00447DDC" w:rsidRPr="0044524F" w:rsidRDefault="00447DDC" w:rsidP="009654CF">
      <w:pPr>
        <w:spacing w:after="0" w:line="240" w:lineRule="auto"/>
        <w:jc w:val="both"/>
        <w:rPr>
          <w:rFonts w:ascii="Times New Roman" w:hAnsi="Times New Roman"/>
          <w:color w:val="000000" w:themeColor="text1"/>
          <w:sz w:val="16"/>
          <w:szCs w:val="16"/>
        </w:rPr>
      </w:pPr>
    </w:p>
    <w:p w14:paraId="12EAFB5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апреля 1933 Г.Геринг основал и возглавил Reichsluftschutzbund - имперский союз противовоздушной обороны (2814,3).</w:t>
      </w:r>
    </w:p>
    <w:p w14:paraId="5BB976C6"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750E63EA" w14:textId="77777777" w:rsidR="000E38DB" w:rsidRPr="0044524F" w:rsidRDefault="000E38DB"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41C0DFB" w14:textId="77777777" w:rsidR="000E38DB" w:rsidRPr="0044524F" w:rsidRDefault="000E38DB" w:rsidP="009654CF">
      <w:pPr>
        <w:spacing w:after="0" w:line="240" w:lineRule="auto"/>
        <w:jc w:val="both"/>
        <w:rPr>
          <w:rFonts w:ascii="Times New Roman" w:hAnsi="Times New Roman"/>
          <w:iCs/>
          <w:color w:val="000000" w:themeColor="text1"/>
          <w:sz w:val="16"/>
          <w:szCs w:val="16"/>
        </w:rPr>
      </w:pPr>
    </w:p>
    <w:p w14:paraId="03512756"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апреля 1933</w:t>
      </w:r>
    </w:p>
    <w:p w14:paraId="5B5EB6DA"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5B99B445"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http://sovdoc.rusarchives.ru</w:t>
      </w:r>
    </w:p>
    <w:p w14:paraId="32A59B33"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163FCF18"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РГАСПИ. Ф. 17. Оп. 162. Д. 14. Л. 138.</w:t>
      </w:r>
    </w:p>
    <w:p w14:paraId="28F87DD9"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1-ОП</w:t>
      </w:r>
    </w:p>
    <w:p w14:paraId="6000B52A"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36/23 (о. п.) пр. ПБ № 137.</w:t>
      </w:r>
    </w:p>
    <w:p w14:paraId="1632E31A"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строительстве и оборудовании завода № 24 ГУАП'а.</w:t>
      </w:r>
    </w:p>
    <w:p w14:paraId="393F23ED"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Совета Труда и Обороны.</w:t>
      </w:r>
    </w:p>
    <w:p w14:paraId="46521FE0"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(Утверждено Политбюро ЦК ВКП(б) 29 апреля 1933 г.).</w:t>
      </w:r>
    </w:p>
    <w:p w14:paraId="579DB9FA"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 Труда и Обороны постановляет:</w:t>
      </w:r>
    </w:p>
    <w:p w14:paraId="58F49159"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Строительство и оборудование завода № 24 форсировать, в связи с чем закончить строительство и оборудование к 1.VII.1934 г. — на мощность в 3.000 моторов и к 1.VII.1935 г. — на полную мощность, т. е. на 15.000 моторов.</w:t>
      </w:r>
    </w:p>
    <w:p w14:paraId="3978E1E4"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1933 году дополнительно ассигновать заводу № 24 12.050.000 руб., из них:</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197"/>
        <w:gridCol w:w="2131"/>
      </w:tblGrid>
      <w:tr w:rsidR="004E10C1" w:rsidRPr="0044524F" w14:paraId="0D5FAA3D" w14:textId="77777777" w:rsidTr="00B4260E">
        <w:trPr>
          <w:tblCellSpacing w:w="0" w:type="dxa"/>
        </w:trPr>
        <w:tc>
          <w:tcPr>
            <w:tcW w:w="0" w:type="auto"/>
            <w:vAlign w:val="center"/>
            <w:hideMark/>
          </w:tcPr>
          <w:p w14:paraId="6D7ECA82"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производство строительных работ и монтаж оборудования</w:t>
            </w:r>
          </w:p>
        </w:tc>
        <w:tc>
          <w:tcPr>
            <w:tcW w:w="0" w:type="auto"/>
            <w:vAlign w:val="center"/>
            <w:hideMark/>
          </w:tcPr>
          <w:p w14:paraId="342BBF89"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7.500.000 руб.</w:t>
            </w:r>
          </w:p>
        </w:tc>
      </w:tr>
      <w:tr w:rsidR="004E10C1" w:rsidRPr="0044524F" w14:paraId="3E4BAB46" w14:textId="77777777" w:rsidTr="00B4260E">
        <w:trPr>
          <w:tblCellSpacing w:w="0" w:type="dxa"/>
        </w:trPr>
        <w:tc>
          <w:tcPr>
            <w:tcW w:w="0" w:type="auto"/>
            <w:vAlign w:val="center"/>
            <w:hideMark/>
          </w:tcPr>
          <w:p w14:paraId="2A1293DE"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импортное оборудование</w:t>
            </w:r>
          </w:p>
        </w:tc>
        <w:tc>
          <w:tcPr>
            <w:tcW w:w="0" w:type="auto"/>
            <w:vAlign w:val="center"/>
            <w:hideMark/>
          </w:tcPr>
          <w:p w14:paraId="25BF7DD9"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3.250.000 руб.</w:t>
            </w:r>
          </w:p>
        </w:tc>
      </w:tr>
      <w:tr w:rsidR="004E10C1" w:rsidRPr="0044524F" w14:paraId="026FC544" w14:textId="77777777" w:rsidTr="00B4260E">
        <w:trPr>
          <w:tblCellSpacing w:w="0" w:type="dxa"/>
        </w:trPr>
        <w:tc>
          <w:tcPr>
            <w:tcW w:w="0" w:type="auto"/>
            <w:vAlign w:val="center"/>
            <w:hideMark/>
          </w:tcPr>
          <w:p w14:paraId="77F6742B"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советское оборудование</w:t>
            </w:r>
          </w:p>
        </w:tc>
        <w:tc>
          <w:tcPr>
            <w:tcW w:w="0" w:type="auto"/>
            <w:vAlign w:val="center"/>
            <w:hideMark/>
          </w:tcPr>
          <w:p w14:paraId="44D38A5C"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1.300.000 руб.</w:t>
            </w:r>
          </w:p>
        </w:tc>
      </w:tr>
    </w:tbl>
    <w:p w14:paraId="14EF6D04"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общей суммы дополнительно ассигнуемых заводу № 24 в 8.800 тыс. руб. (без импорта) 4.400 тыс. руб. отпустить по общесоюзному бюджету сверх бюджета НКТП, а остальные 4.400 тыс. руб. — по бюджету НКТП.</w:t>
      </w:r>
    </w:p>
    <w:p w14:paraId="4035E57B"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Объем импортного оборудования для завода установить в 4.850.000 руб., из них — 3.250.000 руб. ассигновать в 1933 г., с расчетом получения и монтажа оборудования до 1.VII.1934 г., и на 1.600.000 руб. — в 1934 г., с расчетом получения и монтажа оборудования к 1.VII.1935 г. Из общей суммы импортного контингента в 3.250.000 руб. на 1933 г. — 1.625.000 руб. отпустить дополнительно сверх контингента НКТП и 1.625.000 руб. за счет контингента НКТП.</w:t>
      </w:r>
    </w:p>
    <w:p w14:paraId="6EB184E9"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НКВнешторг немедленно приступить к размещению заказов на оборудование первой очереди на 3.250.000 руб., а Глававиапрому выделить специальную комиссию для реализации этого оборудования.</w:t>
      </w:r>
    </w:p>
    <w:p w14:paraId="2B44C7B2"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НКВнешторг в начале 1934 г. приступить к размещению оборудования второй очереди на 1.600.000 руб.</w:t>
      </w:r>
    </w:p>
    <w:p w14:paraId="08ADC49E"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Совета Труда и Обороны — В. Молотов (Скрябин) (18058).</w:t>
      </w:r>
    </w:p>
    <w:p w14:paraId="0D5CA9C8" w14:textId="77777777" w:rsidR="000E38DB" w:rsidRPr="0044524F" w:rsidRDefault="000E38DB" w:rsidP="009654CF">
      <w:pPr>
        <w:spacing w:after="0" w:line="240" w:lineRule="auto"/>
        <w:jc w:val="both"/>
        <w:rPr>
          <w:rFonts w:ascii="Times New Roman" w:hAnsi="Times New Roman"/>
          <w:color w:val="000000" w:themeColor="text1"/>
          <w:sz w:val="16"/>
          <w:szCs w:val="16"/>
        </w:rPr>
      </w:pPr>
    </w:p>
    <w:p w14:paraId="36EA22F7"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апреля 1933</w:t>
      </w:r>
    </w:p>
    <w:p w14:paraId="4F4C383E"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Опросом членов Политбюро от 29.IV.1933 г.</w:t>
      </w:r>
    </w:p>
    <w:p w14:paraId="3A168C8C"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36/23: Вопросы К. О.</w:t>
      </w:r>
    </w:p>
    <w:p w14:paraId="0E1AB187"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137 заседания Политбюро ЦК ВКП(б) от 10 мая 1933 года</w:t>
      </w:r>
    </w:p>
    <w:p w14:paraId="31193347"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10</w:t>
      </w:r>
      <w:r w:rsidRPr="0044524F">
        <w:rPr>
          <w:rFonts w:ascii="Times New Roman" w:hAnsi="Times New Roman"/>
          <w:color w:val="000000" w:themeColor="text1"/>
          <w:sz w:val="16"/>
          <w:szCs w:val="16"/>
        </w:rPr>
        <w:noBreakHyphen/>
        <w:t>го мая 1933 года.</w:t>
      </w:r>
    </w:p>
    <w:p w14:paraId="2ED0FD37"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 полетах на тяжелых самолетах</w:t>
      </w:r>
    </w:p>
    <w:p w14:paraId="228EF954"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 заводе № 24 ГУАП</w:t>
      </w:r>
    </w:p>
    <w:p w14:paraId="61FFD6E4"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 договоре с фирмой J.V.S.</w:t>
      </w:r>
    </w:p>
    <w:p w14:paraId="2EE3DEB1"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О договоре с фирмой “Сперри”</w:t>
      </w:r>
    </w:p>
    <w:p w14:paraId="76E2FB6C"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О полете в стратосферу</w:t>
      </w:r>
    </w:p>
    <w:p w14:paraId="7CD4573D"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7923CCD9"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Во изменение п. 12 постановления ЦК от 5.VII.1932 г. (пр. № 107, п. 46/3) установить запрещение полетов на тяжелых самолетах без радиостанции с 1.VII.1933 г.</w:t>
      </w:r>
    </w:p>
    <w:p w14:paraId="6D768D40"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Утвердить следующее постановление СТО (</w:t>
      </w:r>
      <w:hyperlink r:id="rId138" w:history="1">
        <w:r w:rsidRPr="0044524F">
          <w:rPr>
            <w:rFonts w:ascii="Times New Roman" w:hAnsi="Times New Roman"/>
            <w:color w:val="000000" w:themeColor="text1"/>
            <w:sz w:val="16"/>
            <w:szCs w:val="16"/>
          </w:rPr>
          <w:t>см. приложение № 1</w:t>
        </w:r>
        <w:r w:rsidRPr="0044524F">
          <w:rPr>
            <w:rFonts w:ascii="Times New Roman" w:hAnsi="Times New Roman"/>
            <w:color w:val="000000" w:themeColor="text1"/>
            <w:sz w:val="16"/>
            <w:szCs w:val="16"/>
          </w:rPr>
          <w:noBreakHyphen/>
          <w:t>ОП</w:t>
        </w:r>
      </w:hyperlink>
      <w:r w:rsidRPr="0044524F">
        <w:rPr>
          <w:rFonts w:ascii="Times New Roman" w:hAnsi="Times New Roman"/>
          <w:color w:val="000000" w:themeColor="text1"/>
          <w:sz w:val="16"/>
          <w:szCs w:val="16"/>
        </w:rPr>
        <w:t>).</w:t>
      </w:r>
    </w:p>
    <w:p w14:paraId="7815CA28"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 Договор НКТП с германской фирмой подтвердить.</w:t>
      </w:r>
    </w:p>
    <w:p w14:paraId="76F94EBF"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Предложить НКТП и НКВМ послать комиссию в составе 5</w:t>
      </w:r>
      <w:r w:rsidRPr="0044524F">
        <w:rPr>
          <w:rFonts w:ascii="Times New Roman" w:hAnsi="Times New Roman"/>
          <w:color w:val="000000" w:themeColor="text1"/>
          <w:sz w:val="16"/>
          <w:szCs w:val="16"/>
        </w:rPr>
        <w:noBreakHyphen/>
        <w:t>7 человек для испытаний подлодки Е</w:t>
      </w:r>
      <w:r w:rsidRPr="0044524F">
        <w:rPr>
          <w:rFonts w:ascii="Times New Roman" w:hAnsi="Times New Roman"/>
          <w:color w:val="000000" w:themeColor="text1"/>
          <w:sz w:val="16"/>
          <w:szCs w:val="16"/>
        </w:rPr>
        <w:noBreakHyphen/>
        <w:t>1.</w:t>
      </w:r>
    </w:p>
    <w:p w14:paraId="554EFD15"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Результаты испытаний НКТП и НКВМ доложить КО для принятия окончательного решения по договору.</w:t>
      </w:r>
    </w:p>
    <w:p w14:paraId="524FE6AB"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Договор, заключенный т. Халепским с фирмой “Сперри” по покупке образцов и техпомощи, — утвердить.</w:t>
      </w:r>
    </w:p>
    <w:p w14:paraId="5E51185E"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6820BDB7"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оборудования утвердить в сумме 15.000 руб. в инвалюте сверх утвержденного НКТП импортного контингента.</w:t>
      </w:r>
    </w:p>
    <w:p w14:paraId="4B1B0114"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целях изучения, обеспечения и ускорения выпуска мотора М</w:t>
      </w:r>
      <w:r w:rsidRPr="0044524F">
        <w:rPr>
          <w:rFonts w:ascii="Times New Roman" w:hAnsi="Times New Roman"/>
          <w:color w:val="000000" w:themeColor="text1"/>
          <w:sz w:val="16"/>
          <w:szCs w:val="16"/>
        </w:rPr>
        <w:noBreakHyphen/>
        <w:t>34 с нагнетателем до 8.000 метров, утвердить заказ фирме “РАТО” 10 шт. нагнетателей к мотору М</w:t>
      </w:r>
      <w:r w:rsidRPr="0044524F">
        <w:rPr>
          <w:rFonts w:ascii="Times New Roman" w:hAnsi="Times New Roman"/>
          <w:color w:val="000000" w:themeColor="text1"/>
          <w:sz w:val="16"/>
          <w:szCs w:val="16"/>
        </w:rPr>
        <w:noBreakHyphen/>
        <w:t>34, для чего отпустить специальный контингент в 85.000 руб. сверх утвержденного импортного контингента НКТП как для оплаты заказа, так и для расходов по доводке мотора М</w:t>
      </w:r>
      <w:r w:rsidRPr="0044524F">
        <w:rPr>
          <w:rFonts w:ascii="Times New Roman" w:hAnsi="Times New Roman"/>
          <w:color w:val="000000" w:themeColor="text1"/>
          <w:sz w:val="16"/>
          <w:szCs w:val="16"/>
        </w:rPr>
        <w:noBreakHyphen/>
        <w:t>34 до высотности 8.000 метров.</w:t>
      </w:r>
    </w:p>
    <w:p w14:paraId="66052FCF"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70080657"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Базилевичу, Ворошилову — все;</w:t>
      </w:r>
    </w:p>
    <w:p w14:paraId="7EE83841" w14:textId="77777777" w:rsidR="000E38DB" w:rsidRPr="0044524F" w:rsidRDefault="000E38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Розенгольцу, Орджоникидзе — п.п. “б”, “в”, “г”, “д” (18059).</w:t>
      </w:r>
    </w:p>
    <w:p w14:paraId="2DC3112C" w14:textId="77777777" w:rsidR="000E38DB" w:rsidRPr="0044524F" w:rsidRDefault="000E38DB" w:rsidP="009654CF">
      <w:pPr>
        <w:spacing w:after="0" w:line="240" w:lineRule="auto"/>
        <w:jc w:val="both"/>
        <w:rPr>
          <w:rFonts w:ascii="Times New Roman" w:hAnsi="Times New Roman"/>
          <w:color w:val="000000" w:themeColor="text1"/>
          <w:sz w:val="16"/>
          <w:szCs w:val="16"/>
        </w:rPr>
      </w:pPr>
    </w:p>
    <w:p w14:paraId="195DF8F6"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апреля 1933 опросом членов ПБ</w:t>
      </w:r>
    </w:p>
    <w:p w14:paraId="4524B714"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36/23.-Вопросы К.О.</w:t>
      </w:r>
    </w:p>
    <w:p w14:paraId="2C905F92"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 полетах на тяжелых самолетах</w:t>
      </w:r>
    </w:p>
    <w:p w14:paraId="39AF2DB2"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 заводе № 24 ГУАП</w:t>
      </w:r>
    </w:p>
    <w:p w14:paraId="1078CE59"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 договоре с фирмой JVS</w:t>
      </w:r>
    </w:p>
    <w:p w14:paraId="0590E728"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О договоре с фирмой Сперри</w:t>
      </w:r>
    </w:p>
    <w:p w14:paraId="23008D33"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О полете в стратосферу</w:t>
      </w:r>
    </w:p>
    <w:p w14:paraId="6735A2AF"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Во исполнение п. 12 постановления ЦК от 5.УП.1932 г.(ПБ, Пр № 107, п. 10/3) установить запрещение полетов на тяжелых самолетах без радиостанции с 1.УП.1933 г.</w:t>
      </w:r>
    </w:p>
    <w:p w14:paraId="0FAF0684"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Утвердить следующее постановление СТО (см. приложение)</w:t>
      </w:r>
    </w:p>
    <w:p w14:paraId="4899C1DB"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w:t>
      </w:r>
    </w:p>
    <w:p w14:paraId="4DAEC879"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36-23-опр. (о.п.) пр. ПБ № 137.</w:t>
      </w:r>
    </w:p>
    <w:p w14:paraId="454DA299"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СТРОИТЕЛЬСТВЕ И ОБОРУДОВАЛИ ЗАВОДА № 24 ГУАП"а.</w:t>
      </w:r>
    </w:p>
    <w:p w14:paraId="4E639CDA"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Совета Труда и Обороны.</w:t>
      </w:r>
    </w:p>
    <w:p w14:paraId="5E8525CB"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(Утверждено Политбюро ЦК ВКП(б) 29 апреля 1933 г.).</w:t>
      </w:r>
    </w:p>
    <w:p w14:paraId="3507CB57"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 Труда и Оборони постановляет:</w:t>
      </w:r>
    </w:p>
    <w:p w14:paraId="0710A658"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Строительство и оборудование завода 24 форсировать, в связи с чем закончить строительство и оборудование к 1.УП.34 г.- на мощность в 8000 моторов и к 1.УП.35 г.- на полную мощность, т.-е. на 15.000 моторов.</w:t>
      </w:r>
    </w:p>
    <w:p w14:paraId="24CA3A5D"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В 1933 году дополнительно ассигновать заводу № 24 </w:t>
      </w:r>
      <w:r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TOC \o "1-5" \h \z </w:instrText>
      </w:r>
      <w:r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rPr>
        <w:t>12.050.000 руб., из них:</w:t>
      </w:r>
    </w:p>
    <w:p w14:paraId="7D2DC4B1"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производство строительных работ и монтаж оборудования </w:t>
      </w:r>
      <w:r w:rsidRPr="0044524F">
        <w:rPr>
          <w:rFonts w:ascii="Times New Roman" w:hAnsi="Times New Roman"/>
          <w:color w:val="000000" w:themeColor="text1"/>
          <w:sz w:val="16"/>
          <w:szCs w:val="16"/>
        </w:rPr>
        <w:tab/>
        <w:t xml:space="preserve"> 7.500.000</w:t>
      </w:r>
      <w:r w:rsidRPr="0044524F">
        <w:rPr>
          <w:rFonts w:ascii="Times New Roman" w:hAnsi="Times New Roman"/>
          <w:color w:val="000000" w:themeColor="text1"/>
          <w:sz w:val="16"/>
          <w:szCs w:val="16"/>
        </w:rPr>
        <w:tab/>
        <w:t>р.</w:t>
      </w:r>
    </w:p>
    <w:p w14:paraId="5FDFC25E"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импортное оборудование </w:t>
      </w:r>
      <w:r w:rsidRPr="0044524F">
        <w:rPr>
          <w:rFonts w:ascii="Times New Roman" w:hAnsi="Times New Roman"/>
          <w:color w:val="000000" w:themeColor="text1"/>
          <w:sz w:val="16"/>
          <w:szCs w:val="16"/>
        </w:rPr>
        <w:tab/>
        <w:t xml:space="preserve"> 3.250.000</w:t>
      </w:r>
      <w:r w:rsidRPr="0044524F">
        <w:rPr>
          <w:rFonts w:ascii="Times New Roman" w:hAnsi="Times New Roman"/>
          <w:color w:val="000000" w:themeColor="text1"/>
          <w:sz w:val="16"/>
          <w:szCs w:val="16"/>
        </w:rPr>
        <w:tab/>
        <w:t>р.</w:t>
      </w:r>
    </w:p>
    <w:p w14:paraId="26308AF5"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советское оборудование </w:t>
      </w:r>
      <w:r w:rsidRPr="0044524F">
        <w:rPr>
          <w:rFonts w:ascii="Times New Roman" w:hAnsi="Times New Roman"/>
          <w:color w:val="000000" w:themeColor="text1"/>
          <w:sz w:val="16"/>
          <w:szCs w:val="16"/>
        </w:rPr>
        <w:tab/>
        <w:t xml:space="preserve"> 1.300.000</w:t>
      </w:r>
      <w:r w:rsidRPr="0044524F">
        <w:rPr>
          <w:rFonts w:ascii="Times New Roman" w:hAnsi="Times New Roman"/>
          <w:color w:val="000000" w:themeColor="text1"/>
          <w:sz w:val="16"/>
          <w:szCs w:val="16"/>
        </w:rPr>
        <w:tab/>
        <w:t>р.</w:t>
      </w:r>
      <w:r w:rsidRPr="0044524F">
        <w:rPr>
          <w:rFonts w:ascii="Times New Roman" w:hAnsi="Times New Roman"/>
          <w:color w:val="000000" w:themeColor="text1"/>
          <w:sz w:val="16"/>
          <w:szCs w:val="16"/>
        </w:rPr>
        <w:fldChar w:fldCharType="end"/>
      </w:r>
    </w:p>
    <w:p w14:paraId="2F4FA7AE"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Из общей суммы дополнительно ассигнуемых заводу 24 в 8.800 т.р.(без импорта) 4.400 т.р. отпустить по общесоюзному бюд</w:t>
      </w:r>
      <w:r w:rsidRPr="0044524F">
        <w:rPr>
          <w:rFonts w:ascii="Times New Roman" w:hAnsi="Times New Roman"/>
          <w:color w:val="000000" w:themeColor="text1"/>
          <w:sz w:val="16"/>
          <w:szCs w:val="16"/>
        </w:rPr>
        <w:softHyphen/>
        <w:t>жету сверх бюджета НКТП, а остальные 4.400 т.п. - по бюджету НКТП.</w:t>
      </w:r>
    </w:p>
    <w:p w14:paraId="1DE08D6A"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Об”ем импортного оборудования для завода установить в 4.850.000 р., из них - 3.250.000 р. ассигновать в 1933 г., с рас</w:t>
      </w:r>
      <w:r w:rsidRPr="0044524F">
        <w:rPr>
          <w:rFonts w:ascii="Times New Roman" w:hAnsi="Times New Roman"/>
          <w:color w:val="000000" w:themeColor="text1"/>
          <w:sz w:val="16"/>
          <w:szCs w:val="16"/>
        </w:rPr>
        <w:softHyphen/>
        <w:t>четом получения и монтажа оборудования до 1.УП.34 г., и на 1.000.000 р. - в 1934 г.,с расчетом получения и монтажа оборудо</w:t>
      </w:r>
      <w:r w:rsidRPr="0044524F">
        <w:rPr>
          <w:rFonts w:ascii="Times New Roman" w:hAnsi="Times New Roman"/>
          <w:color w:val="000000" w:themeColor="text1"/>
          <w:sz w:val="16"/>
          <w:szCs w:val="16"/>
        </w:rPr>
        <w:softHyphen/>
        <w:t>вания к 1.УП.35 г. Из общей суммы импортного контингента в 3.250.000 п. на 1933 х.- 1.625.000 р. отпустить дополнительно сверх контингента НКТП и 1.625.000 р. за счет контингента НКТП.</w:t>
      </w:r>
    </w:p>
    <w:p w14:paraId="4A9DCEC2"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НКВнешторг немедленно приступить к размещению заказов на оборудование первой очереди на 3.250.000 р., а Глав</w:t>
      </w:r>
      <w:r w:rsidRPr="0044524F">
        <w:rPr>
          <w:rFonts w:ascii="Times New Roman" w:hAnsi="Times New Roman"/>
          <w:color w:val="000000" w:themeColor="text1"/>
          <w:sz w:val="16"/>
          <w:szCs w:val="16"/>
        </w:rPr>
        <w:softHyphen/>
        <w:t>авиапрому выделить специальную комиссию для реализации этого обо</w:t>
      </w:r>
      <w:r w:rsidRPr="0044524F">
        <w:rPr>
          <w:rFonts w:ascii="Times New Roman" w:hAnsi="Times New Roman"/>
          <w:color w:val="000000" w:themeColor="text1"/>
          <w:sz w:val="16"/>
          <w:szCs w:val="16"/>
        </w:rPr>
        <w:softHyphen/>
        <w:t>рудования.</w:t>
      </w:r>
    </w:p>
    <w:p w14:paraId="2311CB9C"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НКВнегторг в начале 1934 г. приступить к размеще</w:t>
      </w:r>
      <w:r w:rsidRPr="0044524F">
        <w:rPr>
          <w:rFonts w:ascii="Times New Roman" w:hAnsi="Times New Roman"/>
          <w:color w:val="000000" w:themeColor="text1"/>
          <w:sz w:val="16"/>
          <w:szCs w:val="16"/>
        </w:rPr>
        <w:softHyphen/>
        <w:t>нию оборудования второй очереди на 1.600.000 р.</w:t>
      </w:r>
    </w:p>
    <w:p w14:paraId="7CBCDF0F"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СОВЕТА ТРУДА и ОБОРОНЫ -В.МОЛОТОВ (СКРЯБИН).</w:t>
      </w:r>
    </w:p>
    <w:p w14:paraId="74C635E9"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Договор НКТП с германской фирмоq JVS подтвердить.</w:t>
      </w:r>
    </w:p>
    <w:p w14:paraId="730F2866"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Предложить НКТП и НКВМ послать коммисию в составе 5-7 человек для испытаний подлодки Е-1.</w:t>
      </w:r>
    </w:p>
    <w:p w14:paraId="278DBB88"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Результаты испытаний НКТП и НКВМ доложить К.О. для принятия окончательного решения по договору.</w:t>
      </w:r>
    </w:p>
    <w:p w14:paraId="0360083B"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Договор, заключенный т. Халепским с фирмой "Сперри" по покупке образцов и техпомощи - утвердить.</w:t>
      </w:r>
    </w:p>
    <w:p w14:paraId="16287F46"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июля.</w:t>
      </w:r>
    </w:p>
    <w:p w14:paraId="2AA770FB"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оборудования утвердить в сумме 15.000 руб. в инвалюте сверх утвержденного НКТП импортного контингента.</w:t>
      </w:r>
    </w:p>
    <w:p w14:paraId="74A60AC6"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целях изучения, обеспечения и ускорения выпуска мотора М-34 с нагнетателем до 8.000 мтр. ут</w:t>
      </w:r>
      <w:r w:rsidRPr="0044524F">
        <w:rPr>
          <w:rFonts w:ascii="Times New Roman" w:hAnsi="Times New Roman"/>
          <w:color w:val="000000" w:themeColor="text1"/>
          <w:sz w:val="16"/>
          <w:szCs w:val="16"/>
        </w:rPr>
        <w:softHyphen/>
        <w:t>вердить заказ фирме "РАТО" на 10 шт. нагнетателей к мо</w:t>
      </w:r>
      <w:r w:rsidRPr="0044524F">
        <w:rPr>
          <w:rFonts w:ascii="Times New Roman" w:hAnsi="Times New Roman"/>
          <w:color w:val="000000" w:themeColor="text1"/>
          <w:sz w:val="16"/>
          <w:szCs w:val="16"/>
        </w:rPr>
        <w:softHyphen/>
        <w:t>тору М-34, для чего отпустить специальный контингент в 85.000 руб. сверх утвержденного импортного контин</w:t>
      </w:r>
      <w:r w:rsidRPr="0044524F">
        <w:rPr>
          <w:rFonts w:ascii="Times New Roman" w:hAnsi="Times New Roman"/>
          <w:color w:val="000000" w:themeColor="text1"/>
          <w:sz w:val="16"/>
          <w:szCs w:val="16"/>
        </w:rPr>
        <w:softHyphen/>
        <w:t>гента НКТП как для оплаты заказа, так и для расходов по доводке мотора М-34 до высотности 8.000 мтр.</w:t>
      </w:r>
    </w:p>
    <w:p w14:paraId="20F8339C"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Базилевичу, Ворошилову - все; Розенгольцу, Орджоникидзе – б, в, г, д</w:t>
      </w:r>
    </w:p>
    <w:p w14:paraId="6CE0ADE1"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состоялось заседание ПБ и был оформлен протокол № 137 (22987).</w:t>
      </w:r>
    </w:p>
    <w:p w14:paraId="027B7226" w14:textId="77777777" w:rsidR="00431D7D" w:rsidRPr="0044524F" w:rsidRDefault="00431D7D" w:rsidP="009654CF">
      <w:pPr>
        <w:spacing w:after="0" w:line="240" w:lineRule="auto"/>
        <w:jc w:val="both"/>
        <w:rPr>
          <w:rFonts w:ascii="Times New Roman" w:hAnsi="Times New Roman"/>
          <w:color w:val="000000" w:themeColor="text1"/>
          <w:sz w:val="16"/>
          <w:szCs w:val="16"/>
        </w:rPr>
      </w:pPr>
    </w:p>
    <w:p w14:paraId="2F768CB1" w14:textId="77777777" w:rsidR="0037100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200359E" w14:textId="77777777" w:rsidR="00371007" w:rsidRPr="0044524F" w:rsidRDefault="0037100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D15EE01" w14:textId="77777777" w:rsidR="00371007" w:rsidRPr="0044524F" w:rsidRDefault="0037100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апреля 1933, как раз к майским праздникам, закончили шестую машину Л-1. На первомайскую демонстрацию заводчане направили все шесть автомобилей, которые успели закончить к тому времени. Семиместные кузова типа «лимузин» были отделаны никелированными деталями, ценными породами дерева и обиты изнутри репсом. Цвет тканевой обивки салона по данным тогдашнего корреспондента «За рулем» Аркадия Марковича Млодика был коричневого цвета, по свидетельству историка автомобилестроения Л.М. Шугурова - серого, хотя не исключено применение обоих расцветок на разных автомобилях. Вопреки свидетельству Л. Шугурова, что все шесть машин первой партии были черного цвета, по имеющимся фотографиям можно утверждать, что как минимум две машины имели более светлый цвет кузова, контрастно выделяющийся на фоне черных крыльев автомобиля (15591).</w:t>
      </w:r>
    </w:p>
    <w:p w14:paraId="1D585CBB" w14:textId="77777777" w:rsidR="00371007" w:rsidRPr="0044524F" w:rsidRDefault="00371007" w:rsidP="009654CF">
      <w:pPr>
        <w:spacing w:after="0" w:line="240" w:lineRule="auto"/>
        <w:jc w:val="both"/>
        <w:rPr>
          <w:rFonts w:ascii="Times New Roman" w:hAnsi="Times New Roman"/>
          <w:color w:val="000000" w:themeColor="text1"/>
          <w:sz w:val="16"/>
          <w:szCs w:val="16"/>
        </w:rPr>
      </w:pPr>
    </w:p>
    <w:p w14:paraId="3F267C5A" w14:textId="77777777" w:rsidR="00046E51" w:rsidRPr="00142305" w:rsidRDefault="00046E51" w:rsidP="00046E5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апреля 1933 г., как раз к майским праздникам, на Красном Путиловце закончили шестую машину Л-1. На первомайскую демонстрацию заводчане направили все шесть автомобилей, которые успели закончить к тому времени. Семиместные кузова типа «лимузин» были отделаны никелированными деталями, ценными породами дерева и обиты изнутри репсом. Цвет тканевой обивки салона по данным тогдашнего корреспондента «За рулем» Аркадия Марковича Млодика (кстати, соавтора известной детской книги «Армия трясогузки») был коричневого цвета, по свидетельству историка автомобилестроения Л.М. Шугурова — серого, хотя не исключено применение обоих расцветок на разных автомобилях. Вопреки свидетельству Л. Шугурова, что все шесть машин первой партии были черного цвета, по имеющимся фотографиям можно утверждать, что как минимум две машины имели более светлый цвет кузова, контрастно выделяющийся на фоне черных крыльев автомобиля (25591).</w:t>
      </w:r>
    </w:p>
    <w:p w14:paraId="427D6981" w14:textId="77777777" w:rsidR="00046E51" w:rsidRPr="00142305" w:rsidRDefault="00046E51" w:rsidP="00046E51">
      <w:pPr>
        <w:spacing w:after="0" w:line="240" w:lineRule="auto"/>
        <w:jc w:val="both"/>
        <w:rPr>
          <w:rFonts w:ascii="Times New Roman" w:hAnsi="Times New Roman"/>
          <w:color w:val="0070C0"/>
          <w:sz w:val="16"/>
          <w:szCs w:val="16"/>
        </w:rPr>
      </w:pPr>
    </w:p>
    <w:p w14:paraId="61EA2688" w14:textId="77777777" w:rsidR="00F1507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ED51CE0" w14:textId="77777777" w:rsidR="00F15071" w:rsidRPr="0044524F" w:rsidRDefault="00F1507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0C1A5AE" w14:textId="77777777" w:rsidR="00F15071" w:rsidRPr="0044524F" w:rsidRDefault="00F1507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апреля 1933 при ЦК ВКП(б) создана Центральная комиссия по чистке партии (4962).</w:t>
      </w:r>
    </w:p>
    <w:p w14:paraId="1FFDB1B2" w14:textId="77777777" w:rsidR="00F15071" w:rsidRPr="0044524F" w:rsidRDefault="00F1507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C1BCC7"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апреля 1933 года при ЦК ВКП(б) создана Центральная комиссия по чистке партии от классово чуждых элементов, перерожденцев и карьеристов.</w:t>
      </w:r>
    </w:p>
    <w:p w14:paraId="5073D058"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пятилетки в 4 года, победа индустриализации в СССР, успехи колхозного движения и огромный численный рост рабочего класса вызвали новый подъем политической активности пролетариата и крестьянства.</w:t>
      </w:r>
    </w:p>
    <w:p w14:paraId="060CA6B3"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основе этого подъема партия увеличила свои ряды за последние 2 1/2 года на 1400 000 человек, доведя их до 3 200 000 (членов партии — 2 000 000 человек и кандидатов — 1200 000 человек).</w:t>
      </w:r>
    </w:p>
    <w:p w14:paraId="2E63D5A1"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при массовом приеме в партию, проводившемся на местах зачастую огульно и без тщательной проверки, в ряды партии проникли чуждые элементы, использующие свое пребывание в партии в карьеристских и шкурнических интересах, проникли двурушнические элементы, на словах клянущиеся в верности партии, а на деле пытающиеся сорвать проведение ее политики.</w:t>
      </w:r>
    </w:p>
    <w:p w14:paraId="47074898"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другой стороны, из-за неудовлетворительного состояния дела марксистско-ленинского воспитания членов партии в составе партии оказалось немалое число хотя и честных, готовых защищать Советскую власть товарищей, но либо недостаточно устойчивых, не понимающих духа и требований партийной дисциплины, либо политически малограмотных, не знающих Программы, Устава, основных решений партии и не могущих ввиду этого активно проводить политику партии.</w:t>
      </w:r>
    </w:p>
    <w:p w14:paraId="7D78D784"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партии вычищаются:</w:t>
      </w:r>
    </w:p>
    <w:p w14:paraId="1FF0DD2A"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классово чуждые и враждебные элементы, обманным путем пробравшиеся в партию и остающиеся там для разложения партийных рядов;</w:t>
      </w:r>
    </w:p>
    <w:p w14:paraId="7661519F"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двурушники, живущие обманом партии, скрывающие от нее свои действительные стремления и под прикрытием лживой клятвы в «верности» партии пытающиеся сорвать на деле политику партии;</w:t>
      </w:r>
    </w:p>
    <w:p w14:paraId="0E8537E7"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открытые и скрытые нарушители железной дисциплины партии и государства, не выполняющие решений партии и правительства, подвергающие сомнению и дискредитирующие решения и установленные партией планы, болтовней об их «нереальности» и «неосуществимости»;</w:t>
      </w:r>
    </w:p>
    <w:p w14:paraId="27BE4534"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«перерожденцы» сросшиеся с буржуазными элементами, не желающие бороться на деле с классовыми врагами, пе борющиеся на деле с кулацкими элементами, рвачами, лодырями, ворами и расхитителями общественной собственности;</w:t>
      </w:r>
    </w:p>
    <w:p w14:paraId="49719CC7"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карьеристы, шкурники и обюрократившиеся элементы, использующие пребывание в партии и службу у Советского государства для своих личных шкурнических целей, оторвавшиеся от масс и пренебрегающие нуждами и запросами рабочих и крестьян;</w:t>
      </w:r>
    </w:p>
    <w:p w14:paraId="269863AC"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морально разложившиеся, роняющие своим неблаговидным поведением достоинство партии, пачкающие знамя партии.</w:t>
      </w:r>
    </w:p>
    <w:p w14:paraId="3F348E1C"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среди членов партии, вступивших за последнее время в ряды ВКП(б), имеется часть товарищей, преданвых делу рабочего класса и показавших на деле — на производстве, в колхозах — свою преданность, но не усвоивших самых элементарных политических знаний, необходимых для члена Коммунистической партии — Программы, Устава, важнейших решений партии, Центральный Комитет и Центральная Контрольная Комиссия партии рекомендуют при чистке переводить таких коммунистов в кандидаты партии не в виде партвзысканий, а в целях их политического воспитания и лучшей подготовки, с тем чтобы через год поставить вопрос об их обратном переводе в члены партии, если они сумеют за этот год повысить свою политическую грамотность, необходимую для члена партии.</w:t>
      </w:r>
    </w:p>
    <w:p w14:paraId="5E3C8CBB" w14:textId="77777777" w:rsidR="00431D7D" w:rsidRPr="0044524F" w:rsidRDefault="00431D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вследствие тех же обстоятельств в составе кандидатов партии оказалось немалое количество товарищей, которые не только не имеют элементарных политических знаний, необходимых для кандидата, но страдают еще неустойчивостью и отсутствием достаточной выдержанности с точки зрения партийной дисциплины, Центральный Комитет и Центральная Контрольная Комиссия партии рекомендуют при чистке переводить таких товарищей из разряда кандидатов в разряд сочувствующих, с тем чтобы через год поставить вопрос об их обратном переводе в кандидаты или о приеме их в члены партии, если проверка покажет, что они вполне созрели для этого (21177).</w:t>
      </w:r>
    </w:p>
    <w:p w14:paraId="53EFC37D" w14:textId="77777777" w:rsidR="00431D7D" w:rsidRPr="0044524F" w:rsidRDefault="00431D7D" w:rsidP="009654CF">
      <w:pPr>
        <w:spacing w:after="0" w:line="240" w:lineRule="auto"/>
        <w:jc w:val="both"/>
        <w:rPr>
          <w:rFonts w:ascii="Times New Roman" w:hAnsi="Times New Roman"/>
          <w:color w:val="000000" w:themeColor="text1"/>
          <w:sz w:val="16"/>
          <w:szCs w:val="16"/>
        </w:rPr>
      </w:pPr>
    </w:p>
    <w:p w14:paraId="6296B6F4" w14:textId="77777777" w:rsidR="000E63D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AF5AA4F" w14:textId="77777777" w:rsidR="000E63D3" w:rsidRPr="0044524F" w:rsidRDefault="000E63D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D937E00"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апреля в 1933 году состоялся первый полет прототипа «Late 55.0», оборудованного четырьмя двигателями «Gnome-Rhone» «9Kbr» «Mistral» мощностью 500 л.с. «Late-550» - бомбардировщик-торпедоносец, разработанный французской фирмой «Societe Industrielle d'Aviation Latecoere». В 1932 году французская комиссия «CEPANA» («Commission d'examen des Prototypes et Appareils Nouveaux de l'Aeronautique») опубликовала спецификацию 698/2 на тяжелый четырехмоторный бомбардировщик. Фирма «Latecoere» в конце 1932 года начала разработку своего бомбардировщика «Late 55.0» согласно этой спецификации. Испытание бомбардировщика не впечатлили военных и было решено переделать самолет в торпедоносец, сменив у него шасси на поплавки. Однако и этот вариант не стал более удачным (15114).</w:t>
      </w:r>
    </w:p>
    <w:p w14:paraId="2E55B605" w14:textId="77777777" w:rsidR="000E63D3" w:rsidRPr="0044524F" w:rsidRDefault="000E63D3" w:rsidP="009654CF">
      <w:pPr>
        <w:spacing w:after="0" w:line="240" w:lineRule="auto"/>
        <w:jc w:val="both"/>
        <w:rPr>
          <w:rFonts w:ascii="Times New Roman" w:hAnsi="Times New Roman"/>
          <w:color w:val="000000" w:themeColor="text1"/>
          <w:sz w:val="16"/>
          <w:szCs w:val="16"/>
        </w:rPr>
      </w:pPr>
    </w:p>
    <w:p w14:paraId="320AD6CE" w14:textId="77777777" w:rsidR="00430310" w:rsidRPr="0044524F" w:rsidRDefault="004303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29 апреля 1933 состоялся первый полет Latécoère 550 (20802).</w:t>
      </w:r>
    </w:p>
    <w:p w14:paraId="64DF6524" w14:textId="77777777" w:rsidR="00430310" w:rsidRPr="0044524F" w:rsidRDefault="00430310" w:rsidP="009654CF">
      <w:pPr>
        <w:spacing w:after="0" w:line="240" w:lineRule="auto"/>
        <w:jc w:val="both"/>
        <w:rPr>
          <w:rFonts w:ascii="Times New Roman" w:hAnsi="Times New Roman"/>
          <w:color w:val="000000" w:themeColor="text1"/>
          <w:sz w:val="16"/>
          <w:szCs w:val="16"/>
        </w:rPr>
      </w:pPr>
    </w:p>
    <w:p w14:paraId="0A8861F8" w14:textId="77777777" w:rsidR="00430310" w:rsidRPr="0044524F" w:rsidRDefault="004303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апреля 1933 нацистское правительство в Германии формирует Reichsluftfahrtministerium («Рейхсское министерство авиации») (20802).</w:t>
      </w:r>
    </w:p>
    <w:p w14:paraId="2D231ED8" w14:textId="77777777" w:rsidR="00430310" w:rsidRPr="0044524F" w:rsidRDefault="00430310" w:rsidP="009654CF">
      <w:pPr>
        <w:spacing w:after="0" w:line="240" w:lineRule="auto"/>
        <w:jc w:val="both"/>
        <w:rPr>
          <w:rFonts w:ascii="Times New Roman" w:hAnsi="Times New Roman"/>
          <w:color w:val="000000" w:themeColor="text1"/>
          <w:sz w:val="16"/>
          <w:szCs w:val="16"/>
        </w:rPr>
      </w:pPr>
    </w:p>
    <w:p w14:paraId="2934A680" w14:textId="77777777" w:rsidR="00F1507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3E43751" w14:textId="77777777" w:rsidR="00F15071" w:rsidRPr="0044524F" w:rsidRDefault="00F1507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52B0ED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апреля 1933 состоялся первый полет Сталь-3 А.И.Путилова - модификации Саль-2 с М-22 480 нр на 6 пассажиров. Летал Я.Г.Пауль (438,643).</w:t>
      </w:r>
    </w:p>
    <w:p w14:paraId="1FE4537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15622F5B"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апреля в 1933 году первый полет пассажирского самолета А.И.Путилова «Сталь-3» из нержавеющей стали, пилот Я.Г.Пауль; Самолет "Сталь-З" серийно строился в количестве 80 экземпляров, на нем были осуществлены новые конструкторские решения: установлен элерон-закрылок и особый капот с профилированной щелью для улучшения охлаждения двигателя. Эти самолеты эксплуатировались на линиях ГВФ и показал хорошую надёжность и простоту ремонта (15115).</w:t>
      </w:r>
    </w:p>
    <w:p w14:paraId="72BF81F5" w14:textId="77777777" w:rsidR="000E63D3" w:rsidRPr="0044524F" w:rsidRDefault="000E63D3" w:rsidP="009654CF">
      <w:pPr>
        <w:spacing w:after="0" w:line="240" w:lineRule="auto"/>
        <w:jc w:val="both"/>
        <w:rPr>
          <w:rFonts w:ascii="Times New Roman" w:hAnsi="Times New Roman"/>
          <w:color w:val="000000" w:themeColor="text1"/>
          <w:sz w:val="16"/>
          <w:szCs w:val="16"/>
        </w:rPr>
      </w:pPr>
    </w:p>
    <w:p w14:paraId="3C93794D" w14:textId="77777777" w:rsidR="00427C3C" w:rsidRPr="0044524F" w:rsidRDefault="00427C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апреля 1933 г. состоялся первый испытательный полет пассажирского самолета Сталь-3 конструкции» A.И.Путилова. Сталь-3 представляет собой модификацию самолета 'Сталь-2 того же конструктора, несколько увеличенную в размерах. Пассажирских мест - 6; мотор М-22 мощностью 480 л.с.; полетный вес - 2,6 т, скорость - 200 км/ч. Испытание проводил летчик Гауль Яков Георгиевич. Самолет строился серийно и эксплуатировался на линиях ГВФ вплоть до начала ВОВ.</w:t>
      </w:r>
    </w:p>
    <w:p w14:paraId="00A163FB" w14:textId="77777777" w:rsidR="00427C3C" w:rsidRPr="0044524F" w:rsidRDefault="00427C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/«Гражданская авиация», 1933 № 6; "Самолет", 1934 № 1/ (23370).</w:t>
      </w:r>
    </w:p>
    <w:p w14:paraId="4A8541F7" w14:textId="77777777" w:rsidR="00427C3C" w:rsidRPr="0044524F" w:rsidRDefault="00427C3C" w:rsidP="009654CF">
      <w:pPr>
        <w:spacing w:after="0" w:line="240" w:lineRule="auto"/>
        <w:jc w:val="both"/>
        <w:rPr>
          <w:rFonts w:ascii="Times New Roman" w:hAnsi="Times New Roman"/>
          <w:color w:val="000000" w:themeColor="text1"/>
          <w:sz w:val="16"/>
          <w:szCs w:val="16"/>
        </w:rPr>
      </w:pPr>
    </w:p>
    <w:p w14:paraId="37E99448" w14:textId="77777777" w:rsidR="00F1507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6EA66CD" w14:textId="77777777" w:rsidR="00F15071" w:rsidRPr="0044524F" w:rsidRDefault="00F1507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D9BAC17" w14:textId="77777777" w:rsidR="00430310" w:rsidRPr="0044524F" w:rsidRDefault="004303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апреля 1933 - Состоялся первый полет прототипа Late 55.0, оборудованного четырьмя двигателями Gnome-Rhone 9Kbr Mistral мощностью 500 л.с.</w:t>
      </w:r>
    </w:p>
    <w:p w14:paraId="6825C7F8" w14:textId="77777777" w:rsidR="00430310" w:rsidRPr="0044524F" w:rsidRDefault="004303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Late-550 - бомбардировщик-торпедоносец, разработанный французской фирмой Societe Industrielle d'Aviation Latecoere. В 1932 году французская комиссия CEPANA (Commission d'examen des Prototypes et Appareils Nouveaux de l'Aeronautique) опубликовала спецификацию 698/2 на тяжелый четырехмоторный бомбардировщик. Фирма Latecoere в конце 1932 года начала разработку своего бомбардировщика Late 55.0 согласно этой спецификации. Испытание бомбардировщика не впечатлили военных и было решено переделать самолет в торпедоносец, сменив у него шасси на поплавки. Однако и этот вариант не стал более удачным (22520).</w:t>
      </w:r>
    </w:p>
    <w:p w14:paraId="0C75583A" w14:textId="77777777" w:rsidR="00430310" w:rsidRPr="0044524F" w:rsidRDefault="00430310" w:rsidP="009654CF">
      <w:pPr>
        <w:spacing w:after="0" w:line="240" w:lineRule="auto"/>
        <w:jc w:val="both"/>
        <w:rPr>
          <w:rFonts w:ascii="Times New Roman" w:hAnsi="Times New Roman"/>
          <w:color w:val="000000" w:themeColor="text1"/>
          <w:sz w:val="16"/>
          <w:szCs w:val="16"/>
        </w:rPr>
      </w:pPr>
    </w:p>
    <w:p w14:paraId="0CC66877" w14:textId="77777777" w:rsidR="00430310" w:rsidRPr="0044524F" w:rsidRDefault="004303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апреля 1933 открывается первое внутреннее воздушное сообщение между Шотландией, Ренфрю - Кэмпбелтаун, которым управляет Midland &amp; Scottish Air Ferries Ltd. (20802)</w:t>
      </w:r>
    </w:p>
    <w:p w14:paraId="32A243F8" w14:textId="77777777" w:rsidR="00430310" w:rsidRPr="0044524F" w:rsidRDefault="00430310" w:rsidP="009654CF">
      <w:pPr>
        <w:spacing w:after="0" w:line="240" w:lineRule="auto"/>
        <w:jc w:val="both"/>
        <w:rPr>
          <w:rFonts w:ascii="Times New Roman" w:hAnsi="Times New Roman"/>
          <w:color w:val="000000" w:themeColor="text1"/>
          <w:sz w:val="16"/>
          <w:szCs w:val="16"/>
        </w:rPr>
      </w:pPr>
    </w:p>
    <w:p w14:paraId="1616576A" w14:textId="77777777" w:rsidR="00430310" w:rsidRPr="0044524F" w:rsidRDefault="004303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апреля 1933 Уинифред Дринкуотер, «первая в мире женщина-пилот-коммерсант», нанята для выполнения полета по маршруту (20802).</w:t>
      </w:r>
    </w:p>
    <w:p w14:paraId="72243A92" w14:textId="77777777" w:rsidR="00430310" w:rsidRPr="0044524F" w:rsidRDefault="00430310" w:rsidP="009654CF">
      <w:pPr>
        <w:spacing w:after="0" w:line="240" w:lineRule="auto"/>
        <w:jc w:val="both"/>
        <w:rPr>
          <w:rFonts w:ascii="Times New Roman" w:hAnsi="Times New Roman"/>
          <w:color w:val="000000" w:themeColor="text1"/>
          <w:sz w:val="16"/>
          <w:szCs w:val="16"/>
        </w:rPr>
      </w:pPr>
    </w:p>
    <w:p w14:paraId="39767561" w14:textId="77777777" w:rsidR="00F15071" w:rsidRPr="0044524F" w:rsidRDefault="00F1507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апреля 1933 убит президент Перу Луис Санчес Керро (4962).</w:t>
      </w:r>
    </w:p>
    <w:p w14:paraId="1081D8D7" w14:textId="77777777" w:rsidR="00F15071" w:rsidRPr="0044524F" w:rsidRDefault="00F1507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687856" w14:textId="77777777" w:rsidR="00F1507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2DD58FB" w14:textId="77777777" w:rsidR="00F15071" w:rsidRPr="0044524F" w:rsidRDefault="00F1507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0AB519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второй половине апреля 1933 на опытной верфи завода Дирижаблестрой был построен первый советский дирижабль полужесткой схемы СССР В-5 (233,68).</w:t>
      </w:r>
    </w:p>
    <w:p w14:paraId="67655DAD"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Нет, это было еще 10 апреля 1933</w:t>
      </w:r>
    </w:p>
    <w:p w14:paraId="36C7978E" w14:textId="77777777" w:rsidR="00F15071" w:rsidRPr="0044524F" w:rsidRDefault="00F1507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20DF708" w14:textId="77777777" w:rsidR="00F1507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CCABC96" w14:textId="77777777" w:rsidR="00F15071" w:rsidRPr="0044524F" w:rsidRDefault="00F1507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8B16F5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апреля 1933 был подготовлен:</w:t>
      </w:r>
    </w:p>
    <w:p w14:paraId="2A08C322"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Постановления СТО (к № 515).</w:t>
      </w:r>
    </w:p>
    <w:p w14:paraId="2D32AC1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вопросу: Об опытном авиадизелестроении</w:t>
      </w:r>
    </w:p>
    <w:p w14:paraId="0C01E0A8"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3F1433C5"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Признать состояние опытного строительства авиадизелей неудовлетворительным.</w:t>
      </w:r>
    </w:p>
    <w:p w14:paraId="0512E2E3"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Указать Баранову – ГУАП, Анвельт – ГУГВФ, Горянову – ОГПУ, Павлуновскому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4096DB88"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7670CBAA"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4E10C1" w:rsidRPr="0044524F" w14:paraId="511012DA" w14:textId="77777777">
        <w:tc>
          <w:tcPr>
            <w:tcW w:w="2318" w:type="dxa"/>
          </w:tcPr>
          <w:p w14:paraId="6042421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Название дизеля</w:t>
            </w:r>
          </w:p>
        </w:tc>
        <w:tc>
          <w:tcPr>
            <w:tcW w:w="2318" w:type="dxa"/>
          </w:tcPr>
          <w:p w14:paraId="68EEB756"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w:t>
            </w:r>
          </w:p>
        </w:tc>
        <w:tc>
          <w:tcPr>
            <w:tcW w:w="2318" w:type="dxa"/>
          </w:tcPr>
          <w:p w14:paraId="28FC3A8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2318" w:type="dxa"/>
          </w:tcPr>
          <w:p w14:paraId="6F5F2B08"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2318" w:type="dxa"/>
          </w:tcPr>
          <w:p w14:paraId="3102BCC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r>
      <w:tr w:rsidR="004E10C1" w:rsidRPr="0044524F" w14:paraId="31045B22" w14:textId="77777777">
        <w:tc>
          <w:tcPr>
            <w:tcW w:w="2318" w:type="dxa"/>
          </w:tcPr>
          <w:p w14:paraId="70B00DC2"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w:t>
            </w:r>
          </w:p>
        </w:tc>
        <w:tc>
          <w:tcPr>
            <w:tcW w:w="2318" w:type="dxa"/>
          </w:tcPr>
          <w:p w14:paraId="2D0CC02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c>
          <w:tcPr>
            <w:tcW w:w="2318" w:type="dxa"/>
          </w:tcPr>
          <w:p w14:paraId="5D33F7D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2318" w:type="dxa"/>
          </w:tcPr>
          <w:p w14:paraId="2DB91B3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318" w:type="dxa"/>
          </w:tcPr>
          <w:p w14:paraId="315550A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r>
      <w:tr w:rsidR="004E10C1" w:rsidRPr="0044524F" w14:paraId="5C8140BB" w14:textId="77777777">
        <w:tc>
          <w:tcPr>
            <w:tcW w:w="2318" w:type="dxa"/>
          </w:tcPr>
          <w:p w14:paraId="0F28E4D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Н-2</w:t>
            </w:r>
          </w:p>
        </w:tc>
        <w:tc>
          <w:tcPr>
            <w:tcW w:w="2318" w:type="dxa"/>
          </w:tcPr>
          <w:p w14:paraId="2EE0F75C"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1934 года</w:t>
            </w:r>
          </w:p>
        </w:tc>
        <w:tc>
          <w:tcPr>
            <w:tcW w:w="2318" w:type="dxa"/>
          </w:tcPr>
          <w:p w14:paraId="077E4EA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2318" w:type="dxa"/>
          </w:tcPr>
          <w:p w14:paraId="139D1CE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318" w:type="dxa"/>
          </w:tcPr>
          <w:p w14:paraId="0D6AFD3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r>
      <w:tr w:rsidR="004E10C1" w:rsidRPr="0044524F" w14:paraId="66550081" w14:textId="77777777">
        <w:tc>
          <w:tcPr>
            <w:tcW w:w="2318" w:type="dxa"/>
          </w:tcPr>
          <w:p w14:paraId="659D3BA5"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Н-3</w:t>
            </w:r>
          </w:p>
        </w:tc>
        <w:tc>
          <w:tcPr>
            <w:tcW w:w="2318" w:type="dxa"/>
          </w:tcPr>
          <w:p w14:paraId="5C06107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1934 года</w:t>
            </w:r>
          </w:p>
        </w:tc>
        <w:tc>
          <w:tcPr>
            <w:tcW w:w="2318" w:type="dxa"/>
          </w:tcPr>
          <w:p w14:paraId="6FB38CA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2318" w:type="dxa"/>
          </w:tcPr>
          <w:p w14:paraId="562815E5"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318" w:type="dxa"/>
          </w:tcPr>
          <w:p w14:paraId="5ADCDE9D"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r>
      <w:tr w:rsidR="004E10C1" w:rsidRPr="0044524F" w14:paraId="7432E710" w14:textId="77777777">
        <w:tc>
          <w:tcPr>
            <w:tcW w:w="2318" w:type="dxa"/>
          </w:tcPr>
          <w:p w14:paraId="66013C0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Н-4</w:t>
            </w:r>
          </w:p>
        </w:tc>
        <w:tc>
          <w:tcPr>
            <w:tcW w:w="2318" w:type="dxa"/>
          </w:tcPr>
          <w:p w14:paraId="58692A0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1934 года</w:t>
            </w:r>
          </w:p>
        </w:tc>
        <w:tc>
          <w:tcPr>
            <w:tcW w:w="2318" w:type="dxa"/>
          </w:tcPr>
          <w:p w14:paraId="557EBCBD"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c>
          <w:tcPr>
            <w:tcW w:w="2318" w:type="dxa"/>
          </w:tcPr>
          <w:p w14:paraId="7A1B893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2318" w:type="dxa"/>
          </w:tcPr>
          <w:p w14:paraId="0D6B9B56"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r>
      <w:tr w:rsidR="004E10C1" w:rsidRPr="0044524F" w14:paraId="7F7E79FE" w14:textId="77777777">
        <w:tc>
          <w:tcPr>
            <w:tcW w:w="2318" w:type="dxa"/>
          </w:tcPr>
          <w:p w14:paraId="5FD75330"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w:t>
            </w:r>
          </w:p>
        </w:tc>
        <w:tc>
          <w:tcPr>
            <w:tcW w:w="2318" w:type="dxa"/>
          </w:tcPr>
          <w:p w14:paraId="629F345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c>
          <w:tcPr>
            <w:tcW w:w="2318" w:type="dxa"/>
          </w:tcPr>
          <w:p w14:paraId="10A91BD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2318" w:type="dxa"/>
          </w:tcPr>
          <w:p w14:paraId="429E068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2318" w:type="dxa"/>
          </w:tcPr>
          <w:p w14:paraId="436E74A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r>
    </w:tbl>
    <w:p w14:paraId="321AF61E"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Подтвердить полную ответственность за своевременный выпуск дизелей:</w:t>
      </w:r>
    </w:p>
    <w:p w14:paraId="4F60A5A7"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Баранова (ГУАП) дизелей Н-1 и Н-4</w:t>
      </w:r>
    </w:p>
    <w:p w14:paraId="49BFDFD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Анвельта (ГУГВФ) дизелей Н-2 и Н-3</w:t>
      </w:r>
    </w:p>
    <w:p w14:paraId="60FA4132"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Миронова (ОГПУ) дизеля Н-5</w:t>
      </w:r>
    </w:p>
    <w:p w14:paraId="7BA4070F"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5EAFB9D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мотору Н-1: под ответственность Побережского (ЦИАМ) закончить производство всех деталей к 1 июля 1933 года, сборку мотора к 15 августа 1933 года, своевременно сдать дизель на гос. испытание.</w:t>
      </w:r>
    </w:p>
    <w:p w14:paraId="167A576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мотору Н-2: 1. Под ответственность Мартенса (Ленинградский дизельный институт) своевременно сдать дизель на гос. испытание. 2. Под ответственность Побережского (ЦИАМ) выполнить: выданный ему заказ на механическую обработку и сборку узлов к 1 мая 1933 года, колено кривошипного механизма наддувочного компрессора (для хиртовского вала) – к 15 мая 1933 года. Коленчатый вал с комплектом пропеллерной втулки и кривоколенный механизм наддувочного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мая 1933 года, обеспечить сборку и испытание двигателя на заводе и начать таковую 20 мая 1933 года. 5. Директору (завод им. Молотова) Премудрову обеспечить выполнение заказов на поковки коленчатого вала со сроками подачи начиная с 1 мая 1933 года.</w:t>
      </w:r>
    </w:p>
    <w:p w14:paraId="6E772D5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6D13E555"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Красильниковуразместить группу компрессоров к 1 мая 1933 года. 6. Сборку мотора, под ответственность Красильникова закончить к 1 декабря 1933 года.</w:t>
      </w:r>
    </w:p>
    <w:p w14:paraId="2F51CFA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По мотору Н-5: 1. Под ответственность Горянова своевременно сдать дизель на гос. испытание. 2. Под ответственность зам. директора завода № 24 Колосова выполнитьпроизводство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Побережского испытание импеллерной группы закончить к 1 июля 1933 года, а сборку моторов в целом к 1 августа 1933 года.</w:t>
      </w:r>
    </w:p>
    <w:p w14:paraId="709861E1"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20EFECA0"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авиадизели до тщательной проверки основных элементов конструкций.</w:t>
      </w:r>
    </w:p>
    <w:p w14:paraId="2F55819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внедрении в производство опытных дизелей должен разрешаться в каждом отдельном случае замнаркомтяжпрома Барановым.</w:t>
      </w:r>
    </w:p>
    <w:p w14:paraId="7E58E13B"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в составе: Куйбышева Н.В. (председатель), Баранова, Алксниса, Гольцмана – к 1 августа 1933 года представить в СТО свои соображения об организации дизельного института и спецобъединен. производственной базы для опытного дизелестроения.</w:t>
      </w:r>
    </w:p>
    <w:p w14:paraId="32C585CD"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УВВС (Алкснису) и ГУГВФ (Анвельт) немедленно приступить к разработке условий гос. испытаний использования и эксплоатации дизелей.</w:t>
      </w:r>
    </w:p>
    <w:p w14:paraId="5EAADC91"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Тресту Авиатопливо, УВВС (Зильберт) и ГУГВФ (Ангелов) – немедленно приступить к экспериментальным работам по подбору тяжелых топлив и обеспечить опытные установки и испытания авиадизелей необходимым количеством и требуемыми сортами топлив.</w:t>
      </w:r>
    </w:p>
    <w:p w14:paraId="5BDC915F"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37C1DC87"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2335F9EA"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68C15BCC"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CEBA07C"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апреля 1933 Член коллегии НК-РКИ писал письмо председателю СТО Молотову в сопровождении Докладной записки (вх. № 1478 от 7 мая 1933 года):</w:t>
      </w:r>
    </w:p>
    <w:p w14:paraId="5678AD28"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обследования выполнения решения Правительства от 4 августа 1932 года по постройке авиадизелей бригада ознакомилась с работой, производимой ОКБ Техотдела ЭКУ ОГПУ по конструированию и постройке дизель-моторов различного типа для различных целей.</w:t>
      </w:r>
    </w:p>
    <w:p w14:paraId="6E97B7E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сегодняшний день ОКБ Техотдела Эку ОГПУ спроектированы, частично изготовляются и внедряются в массовое производство следующие дизель-моторы:</w:t>
      </w:r>
    </w:p>
    <w:p w14:paraId="4D766FEF"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Дизель-мотор в 60 л. с. для трактора «Катерпиллер». Дизель-мотор изготовлялся по конструкции и под техническим руководством ОКБ Техотдела ЭКУ ОГПУ на заводе «Красный пролетарий». Дизель прошел испытания и сейчас внедряется в массовое производство на Челябинском тракторном заводе.</w:t>
      </w:r>
    </w:p>
    <w:p w14:paraId="53B0F007"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Спроектирован и запущен в производство дизель-мотор в 80 л. с. для Ярославского грузового автомобиля.</w:t>
      </w:r>
    </w:p>
    <w:p w14:paraId="45F50BF8"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Сконструирован и построен дизель-мотор в 400 л. с. для танка. В настоящий момент мотор проходит испытания.</w:t>
      </w:r>
    </w:p>
    <w:p w14:paraId="64D8F13F"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Сконструирован, построен и заканчивается в сборке дизель-мотор в 3200 л. с. для подводной лодки (на Коломенском заводе).</w:t>
      </w:r>
    </w:p>
    <w:p w14:paraId="71ABFB0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моторы конструируются и строятся с расчетом на изготовление из советских материалов на советских заводах.</w:t>
      </w:r>
    </w:p>
    <w:p w14:paraId="6DC9AF5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Перечисленные моторы построены по одному и тому же принципу, как и авиамотор ФЭД-8 в 2000 л. с., ныне запущенный в производство и являются проверкой всех основных положений ФЭД-8.</w:t>
      </w:r>
    </w:p>
    <w:p w14:paraId="6D58127D"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производственной базы тормозит работу ОКБ Техотдела ЭКУ ОГПУ.</w:t>
      </w:r>
    </w:p>
    <w:p w14:paraId="66CA31A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отметить продуктивность проделанной ОКБ Техотдела ЭКУ ОГПУ работы в сравнительно короткий промежуток времени и поощрить его руководителей и конструкторов (4223, 30).</w:t>
      </w:r>
    </w:p>
    <w:p w14:paraId="75E0CC2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4C05F719" w14:textId="77777777" w:rsidR="000E63D3" w:rsidRPr="0044524F" w:rsidRDefault="000E63D3" w:rsidP="009654CF">
      <w:pPr>
        <w:pStyle w:val="a3"/>
        <w:rPr>
          <w:rStyle w:val="184"/>
          <w:rFonts w:ascii="Times New Roman" w:hAnsi="Times New Roman" w:cs="Times New Roman"/>
          <w:i w:val="0"/>
          <w:color w:val="000000" w:themeColor="text1"/>
          <w:sz w:val="16"/>
          <w:szCs w:val="16"/>
          <w:lang w:val="ru-RU"/>
        </w:rPr>
      </w:pPr>
      <w:r w:rsidRPr="0044524F">
        <w:rPr>
          <w:color w:val="000000" w:themeColor="text1"/>
          <w:lang w:val="ru-RU"/>
        </w:rPr>
        <w:t>В конце апреля 1933 г. в постановлении СТО говорилось:</w:t>
      </w:r>
      <w:r w:rsidRPr="0044524F">
        <w:rPr>
          <w:rStyle w:val="184"/>
          <w:rFonts w:ascii="Times New Roman" w:hAnsi="Times New Roman" w:cs="Times New Roman"/>
          <w:i w:val="0"/>
          <w:color w:val="000000" w:themeColor="text1"/>
          <w:sz w:val="16"/>
          <w:szCs w:val="16"/>
          <w:lang w:val="ru-RU"/>
        </w:rPr>
        <w:t xml:space="preserve"> «Придавая большое военное и научное значение вопросу полета в стратосферу, при</w:t>
      </w:r>
      <w:r w:rsidRPr="0044524F">
        <w:rPr>
          <w:rStyle w:val="184"/>
          <w:rFonts w:ascii="Times New Roman" w:hAnsi="Times New Roman" w:cs="Times New Roman"/>
          <w:i w:val="0"/>
          <w:color w:val="000000" w:themeColor="text1"/>
          <w:sz w:val="16"/>
          <w:szCs w:val="16"/>
          <w:lang w:val="ru-RU"/>
        </w:rPr>
        <w:softHyphen/>
        <w:t>знать работы, ведущиеся в ЦКБ завода №39 по высотным самолетам, особо важными» (15749).</w:t>
      </w:r>
    </w:p>
    <w:p w14:paraId="1BE553A0" w14:textId="77777777" w:rsidR="000E63D3" w:rsidRPr="0044524F" w:rsidRDefault="000E63D3" w:rsidP="009654CF">
      <w:pPr>
        <w:pStyle w:val="a3"/>
        <w:rPr>
          <w:rStyle w:val="184"/>
          <w:rFonts w:ascii="Times New Roman" w:hAnsi="Times New Roman" w:cs="Times New Roman"/>
          <w:i w:val="0"/>
          <w:color w:val="000000" w:themeColor="text1"/>
          <w:sz w:val="16"/>
          <w:szCs w:val="16"/>
          <w:lang w:val="ru-RU"/>
        </w:rPr>
      </w:pPr>
    </w:p>
    <w:p w14:paraId="47C5D6EC" w14:textId="77777777" w:rsidR="00F1507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BD3059D" w14:textId="77777777" w:rsidR="00F15071" w:rsidRPr="0044524F" w:rsidRDefault="00F1507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4557104" w14:textId="77777777" w:rsidR="00B020D5" w:rsidRPr="00142305" w:rsidRDefault="00B020D5" w:rsidP="00B020D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апреля 1933 года на Красном Путиловце удалось собрать первые 12 танков Т-28. Десять из них прошли на первомайском параде в Москве, а два в Ленинграде. После парадов машины вернулись на завод для доделок и устранения выявленных недостатков (24998).</w:t>
      </w:r>
    </w:p>
    <w:p w14:paraId="3CDD85EA" w14:textId="77777777" w:rsidR="00B020D5" w:rsidRPr="00142305" w:rsidRDefault="00B020D5" w:rsidP="00B020D5">
      <w:pPr>
        <w:spacing w:after="0" w:line="240" w:lineRule="auto"/>
        <w:jc w:val="both"/>
        <w:rPr>
          <w:rFonts w:ascii="Times New Roman" w:hAnsi="Times New Roman"/>
          <w:color w:val="0070C0"/>
          <w:sz w:val="16"/>
          <w:szCs w:val="16"/>
        </w:rPr>
      </w:pPr>
    </w:p>
    <w:p w14:paraId="08595776"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апреля 1933 г. первый опытный образец танкового дизеля БД-2 – дизель БД-2 № 1 был собран в Дизельном отдела ХПЗ и поставлен на стенд для испытаний.</w:t>
      </w:r>
    </w:p>
    <w:p w14:paraId="667CF04E"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дизель БД-2 стал вторым по счету, после дизеля ПГЕ, изготовленным в металле танковым быстроходным дизелем большой мощности. Стендовые испытания дизеля ПГЕ в это время продолжались в Ленинграде в ОКМО завода им. Ворошилова. На испытаниях дизеля ПГЕ 12 апреля 1933 г. в присутствии начальника НТУ УММ РККА И.А. Лебедева были зафиксированы следующие результаты:</w:t>
      </w:r>
    </w:p>
    <w:p w14:paraId="621BC124"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Максимальная мощность достигла 445 л.с. при 1460 оборотах в минуту.</w:t>
      </w:r>
    </w:p>
    <w:p w14:paraId="5DCD75FE"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Двигатель показал устойчивую работу по мощности 320 л.с. при 1300 оборотах в минуту. Эту мощность следует считать эксплоатационной мощностью этого двигателя.</w:t>
      </w:r>
    </w:p>
    <w:p w14:paraId="2E346B0A"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Во время испытания двигателя были произведены замеры расхода горючего, которые показали большую экономичность, дающую возможность поставить этот двигатель на ряду с лучшими двухтактными заграничными образцами дизель-моторов. Расход топлива выражается в 170 – 180 гр. л.с. в час, что является исключительным достижением.</w:t>
      </w:r>
    </w:p>
    <w:p w14:paraId="2BFB2956"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настоящем виде двигатель не является доработанной конструкцией и требует изменений:</w:t>
      </w:r>
    </w:p>
    <w:p w14:paraId="5D6DA5C0"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 приводе распределительного механизма;</w:t>
      </w:r>
    </w:p>
    <w:p w14:paraId="527CAAF7"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доработки водяной помпы и масляной системы.</w:t>
      </w:r>
    </w:p>
    <w:p w14:paraId="13B79502"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предусмотрено в чертежах и новые образцы двигателя ПГЕ будут изготовлены с учетом выявленных дефектов. Основные же узлы двигателя, как-то кривошипный механизм, поршни, кольца и клапана – работаю вполне надежно».</w:t>
      </w:r>
    </w:p>
    <w:p w14:paraId="04DC27F3"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[РГВА. Ф. 31811. Оп. 3. Д. 152. Л. 18 с об.] (24856)</w:t>
      </w:r>
    </w:p>
    <w:p w14:paraId="0CF54DED" w14:textId="77777777" w:rsidR="001B1619" w:rsidRPr="0044524F" w:rsidRDefault="001B1619" w:rsidP="009654CF">
      <w:pPr>
        <w:spacing w:after="0" w:line="240" w:lineRule="auto"/>
        <w:jc w:val="both"/>
        <w:rPr>
          <w:rFonts w:ascii="Times New Roman" w:hAnsi="Times New Roman"/>
          <w:color w:val="000000" w:themeColor="text1"/>
          <w:sz w:val="16"/>
          <w:szCs w:val="16"/>
        </w:rPr>
      </w:pPr>
    </w:p>
    <w:p w14:paraId="0175F21B"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апреля 1933 г. было решено разместить заказ на изготовление трех доработанных дизелей ПГЕ конструкции ТО ЭКУ ОГПУ, получивших индекс ПГЕ-2, для окончательной проверки их в текущем году в условиях работы в танках. Однако проверить дизель «в условиях работы в танке» в 1933 г. удастся только коллективу ХПЗ, который осенью этого года установит дизель БД-2 № 1 в танк БТ-5. Этот первый опытный образец дизеля БД-2 был собран в Дизельном отделе ХПЗ в конце апреля 1933 г. (24856).</w:t>
      </w:r>
    </w:p>
    <w:p w14:paraId="24D5A53D" w14:textId="77777777" w:rsidR="001B1619" w:rsidRPr="0044524F" w:rsidRDefault="001B1619" w:rsidP="009654CF">
      <w:pPr>
        <w:spacing w:after="0" w:line="240" w:lineRule="auto"/>
        <w:jc w:val="both"/>
        <w:rPr>
          <w:rFonts w:ascii="Times New Roman" w:hAnsi="Times New Roman"/>
          <w:color w:val="000000" w:themeColor="text1"/>
          <w:sz w:val="16"/>
          <w:szCs w:val="16"/>
        </w:rPr>
      </w:pPr>
    </w:p>
    <w:p w14:paraId="398AFE66"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апреля 1933 года изготовили первый образец нового бронеавтомобиля, получившего обозначе</w:t>
      </w:r>
      <w:r w:rsidRPr="0044524F">
        <w:rPr>
          <w:rFonts w:ascii="Times New Roman" w:hAnsi="Times New Roman"/>
          <w:color w:val="000000" w:themeColor="text1"/>
          <w:sz w:val="16"/>
          <w:szCs w:val="16"/>
        </w:rPr>
        <w:softHyphen/>
        <w:t>ние БА-3, да и то из обычной (не броневой) стали. Тем не менее, 1 мая БА-3 участвовал в параде на площади Урицкого (ны</w:t>
      </w:r>
      <w:r w:rsidRPr="0044524F">
        <w:rPr>
          <w:rFonts w:ascii="Times New Roman" w:hAnsi="Times New Roman"/>
          <w:color w:val="000000" w:themeColor="text1"/>
          <w:sz w:val="16"/>
          <w:szCs w:val="16"/>
        </w:rPr>
        <w:softHyphen/>
        <w:t>не Дворцовая) в Ленинграде.</w:t>
      </w:r>
    </w:p>
    <w:p w14:paraId="244E68E5"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Корпус машины, сваренный из 4-8 мм листов незна</w:t>
      </w:r>
      <w:r w:rsidRPr="0044524F">
        <w:rPr>
          <w:rFonts w:ascii="Times New Roman" w:hAnsi="Times New Roman"/>
          <w:color w:val="000000" w:themeColor="text1"/>
          <w:sz w:val="16"/>
          <w:szCs w:val="16"/>
        </w:rPr>
        <w:softHyphen/>
        <w:t>чительно отличался от БАИ - была на 50 мм удлинена кор</w:t>
      </w:r>
      <w:r w:rsidRPr="0044524F">
        <w:rPr>
          <w:rFonts w:ascii="Times New Roman" w:hAnsi="Times New Roman"/>
          <w:color w:val="000000" w:themeColor="text1"/>
          <w:sz w:val="16"/>
          <w:szCs w:val="16"/>
        </w:rPr>
        <w:softHyphen/>
        <w:t>ма, в бортах моторного отделения появились окна (по од</w:t>
      </w:r>
      <w:r w:rsidRPr="0044524F">
        <w:rPr>
          <w:rFonts w:ascii="Times New Roman" w:hAnsi="Times New Roman"/>
          <w:color w:val="000000" w:themeColor="text1"/>
          <w:sz w:val="16"/>
          <w:szCs w:val="16"/>
        </w:rPr>
        <w:softHyphen/>
        <w:t>ному на сторону) для выброса воздуха. Откидные щитки в боковых дверях устанавливались на внутренних петлях (у БАИ на внешних) и в открытом положении удержива</w:t>
      </w:r>
      <w:r w:rsidRPr="0044524F">
        <w:rPr>
          <w:rFonts w:ascii="Times New Roman" w:hAnsi="Times New Roman"/>
          <w:color w:val="000000" w:themeColor="text1"/>
          <w:sz w:val="16"/>
          <w:szCs w:val="16"/>
        </w:rPr>
        <w:softHyphen/>
        <w:t>лись специальными защелками. Для наблюдения в бою в щитках имелись смотровые щели, закрываемые изнутри броневыми заслонками. Кроме того, на крыльях задних колес смонтировали специальное приспособление для ук</w:t>
      </w:r>
      <w:r w:rsidRPr="0044524F">
        <w:rPr>
          <w:rFonts w:ascii="Times New Roman" w:hAnsi="Times New Roman"/>
          <w:color w:val="000000" w:themeColor="text1"/>
          <w:sz w:val="16"/>
          <w:szCs w:val="16"/>
        </w:rPr>
        <w:softHyphen/>
        <w:t>ладки вездеходных цепей и укоротили подножки под боко</w:t>
      </w:r>
      <w:r w:rsidRPr="0044524F">
        <w:rPr>
          <w:rFonts w:ascii="Times New Roman" w:hAnsi="Times New Roman"/>
          <w:color w:val="000000" w:themeColor="text1"/>
          <w:sz w:val="16"/>
          <w:szCs w:val="16"/>
        </w:rPr>
        <w:softHyphen/>
        <w:t>выми дверями.</w:t>
      </w:r>
    </w:p>
    <w:p w14:paraId="6F1AEADC"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Главным отличием БА-3 от БАИ была башня от танка Т-26, но с уменьшением толщины брони до 8 мм (на опыт</w:t>
      </w:r>
      <w:r w:rsidRPr="0044524F">
        <w:rPr>
          <w:rFonts w:ascii="Times New Roman" w:hAnsi="Times New Roman"/>
          <w:color w:val="000000" w:themeColor="text1"/>
          <w:sz w:val="16"/>
          <w:szCs w:val="16"/>
        </w:rPr>
        <w:softHyphen/>
        <w:t>ном образце, изготовленном из неброневой стали - 9 мм). Она крепилась болтами при помощи 6 захватов к нижнему погону и крыше корпуса. Поворотный механизм башни имел 2 передачи, позволяя ее вращать с разными скоростями. В крыше имелись два люка для посадки экипажа, люч</w:t>
      </w:r>
      <w:r w:rsidRPr="0044524F">
        <w:rPr>
          <w:rFonts w:ascii="Times New Roman" w:hAnsi="Times New Roman"/>
          <w:color w:val="000000" w:themeColor="text1"/>
          <w:sz w:val="16"/>
          <w:szCs w:val="16"/>
        </w:rPr>
        <w:softHyphen/>
        <w:t>ки для вытяжного вентилятора, флажковой сигнализации и прибора ПТК. Наблюдение за полем боя можно было ве</w:t>
      </w:r>
      <w:r w:rsidRPr="0044524F">
        <w:rPr>
          <w:rFonts w:ascii="Times New Roman" w:hAnsi="Times New Roman"/>
          <w:color w:val="000000" w:themeColor="text1"/>
          <w:sz w:val="16"/>
          <w:szCs w:val="16"/>
        </w:rPr>
        <w:softHyphen/>
        <w:t>сти через две смотровые щели со стеклами «Триплекс», рас</w:t>
      </w:r>
      <w:r w:rsidRPr="0044524F">
        <w:rPr>
          <w:rFonts w:ascii="Times New Roman" w:hAnsi="Times New Roman"/>
          <w:color w:val="000000" w:themeColor="text1"/>
          <w:sz w:val="16"/>
          <w:szCs w:val="16"/>
        </w:rPr>
        <w:softHyphen/>
        <w:t>положенные в бортах. Кроме того, имелось три отверстия для стрельбы из револьвера, закрывающиеся броневыми за</w:t>
      </w:r>
      <w:r w:rsidRPr="0044524F">
        <w:rPr>
          <w:rFonts w:ascii="Times New Roman" w:hAnsi="Times New Roman"/>
          <w:color w:val="000000" w:themeColor="text1"/>
          <w:sz w:val="16"/>
          <w:szCs w:val="16"/>
        </w:rPr>
        <w:softHyphen/>
        <w:t>слонками. Вооружение бронемашины состояло из 45-мм танковой пушки образца 1932 года (20К) и спаренного пу</w:t>
      </w:r>
      <w:r w:rsidRPr="0044524F">
        <w:rPr>
          <w:rFonts w:ascii="Times New Roman" w:hAnsi="Times New Roman"/>
          <w:color w:val="000000" w:themeColor="text1"/>
          <w:sz w:val="16"/>
          <w:szCs w:val="16"/>
        </w:rPr>
        <w:softHyphen/>
        <w:t>лемета ДТ в штатной башенной установке и еще одного ДТ в лобовом листе корпуса. Прицельные приспособления со</w:t>
      </w:r>
      <w:r w:rsidRPr="0044524F">
        <w:rPr>
          <w:rFonts w:ascii="Times New Roman" w:hAnsi="Times New Roman"/>
          <w:color w:val="000000" w:themeColor="text1"/>
          <w:sz w:val="16"/>
          <w:szCs w:val="16"/>
        </w:rPr>
        <w:softHyphen/>
        <w:t>стояли из телескопического прицела ТОП, кроме того пре</w:t>
      </w:r>
      <w:r w:rsidRPr="0044524F">
        <w:rPr>
          <w:rFonts w:ascii="Times New Roman" w:hAnsi="Times New Roman"/>
          <w:color w:val="000000" w:themeColor="text1"/>
          <w:sz w:val="16"/>
          <w:szCs w:val="16"/>
        </w:rPr>
        <w:softHyphen/>
        <w:t>дусматривалась и установка перископического ПТ-1 (прав</w:t>
      </w:r>
      <w:r w:rsidRPr="0044524F">
        <w:rPr>
          <w:rFonts w:ascii="Times New Roman" w:hAnsi="Times New Roman"/>
          <w:color w:val="000000" w:themeColor="text1"/>
          <w:sz w:val="16"/>
          <w:szCs w:val="16"/>
        </w:rPr>
        <w:softHyphen/>
        <w:t>да, на БА-3 их так и не установили). В корме башни имелся люк для демонтажа пушки при ремонте.</w:t>
      </w:r>
    </w:p>
    <w:p w14:paraId="76B0F9AC"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пушке имелось 60 снарядов, из них 52 находились в башне (2 укладки по 20 штук в кормовой нише и 12 по бор</w:t>
      </w:r>
      <w:r w:rsidRPr="0044524F">
        <w:rPr>
          <w:rFonts w:ascii="Times New Roman" w:hAnsi="Times New Roman"/>
          <w:color w:val="000000" w:themeColor="text1"/>
          <w:sz w:val="16"/>
          <w:szCs w:val="16"/>
        </w:rPr>
        <w:softHyphen/>
        <w:t>там) и две стойки по 4 снаряда в корпусе. 54 магазина к пу</w:t>
      </w:r>
      <w:r w:rsidRPr="0044524F">
        <w:rPr>
          <w:rFonts w:ascii="Times New Roman" w:hAnsi="Times New Roman"/>
          <w:color w:val="000000" w:themeColor="text1"/>
          <w:sz w:val="16"/>
          <w:szCs w:val="16"/>
        </w:rPr>
        <w:softHyphen/>
        <w:t>леметам (3402 патрона) размещались в башне справа (6 штук) и в 48 стеллажах на бортах корпуса. Здесь же специ</w:t>
      </w:r>
      <w:r w:rsidRPr="0044524F">
        <w:rPr>
          <w:rFonts w:ascii="Times New Roman" w:hAnsi="Times New Roman"/>
          <w:color w:val="000000" w:themeColor="text1"/>
          <w:sz w:val="16"/>
          <w:szCs w:val="16"/>
        </w:rPr>
        <w:softHyphen/>
        <w:t>альными зажимами крепились лопата, топор, лом и двуруч</w:t>
      </w:r>
      <w:r w:rsidRPr="0044524F">
        <w:rPr>
          <w:rFonts w:ascii="Times New Roman" w:hAnsi="Times New Roman"/>
          <w:color w:val="000000" w:themeColor="text1"/>
          <w:sz w:val="16"/>
          <w:szCs w:val="16"/>
        </w:rPr>
        <w:softHyphen/>
        <w:t>ная пила. Кроме того, в полу боевого отделения имелся ин</w:t>
      </w:r>
      <w:r w:rsidRPr="0044524F">
        <w:rPr>
          <w:rFonts w:ascii="Times New Roman" w:hAnsi="Times New Roman"/>
          <w:color w:val="000000" w:themeColor="text1"/>
          <w:sz w:val="16"/>
          <w:szCs w:val="16"/>
        </w:rPr>
        <w:softHyphen/>
        <w:t>струментальный ящик и ящик ЗИП к пушке и пулеметам.</w:t>
      </w:r>
    </w:p>
    <w:p w14:paraId="7E673025"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Боевая масса БА-3 с экипажем из 4 человек составляла 5820 кг, 40-сильный двигатель «Форд» позволял броневику разгоняться до 60 км/ч на прямой передаче и до 70 км/ч с демультипликатором на пониженной (11284).</w:t>
      </w:r>
    </w:p>
    <w:p w14:paraId="57AEF499"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92FFC0" w14:textId="77777777" w:rsidR="00B020D5" w:rsidRPr="00142305" w:rsidRDefault="00B020D5" w:rsidP="00B020D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апреля 1933 года Ижорский завод выпустил усовершенствованную модель БАИ - БА-3. Корпус БАИ при этом подвергся незна</w:t>
      </w:r>
      <w:r w:rsidRPr="00142305">
        <w:rPr>
          <w:rStyle w:val="aff"/>
          <w:rFonts w:ascii="Times New Roman" w:hAnsi="Times New Roman" w:cs="Times New Roman"/>
          <w:color w:val="0070C0"/>
          <w:spacing w:val="0"/>
          <w:sz w:val="16"/>
          <w:szCs w:val="16"/>
        </w:rPr>
        <w:softHyphen/>
        <w:t>чительным изменениям: на 50 мм была удли</w:t>
      </w:r>
      <w:r w:rsidRPr="00142305">
        <w:rPr>
          <w:rStyle w:val="aff"/>
          <w:rFonts w:ascii="Times New Roman" w:hAnsi="Times New Roman" w:cs="Times New Roman"/>
          <w:color w:val="0070C0"/>
          <w:spacing w:val="0"/>
          <w:sz w:val="16"/>
          <w:szCs w:val="16"/>
        </w:rPr>
        <w:softHyphen/>
        <w:t>нена корма, в моторном отделении появились окна для выхода воздуха, была укорочена подножка и на задних крыльях предусмотрены крепления для вездеходных гусеничных це</w:t>
      </w:r>
      <w:r w:rsidRPr="00142305">
        <w:rPr>
          <w:rStyle w:val="aff"/>
          <w:rFonts w:ascii="Times New Roman" w:hAnsi="Times New Roman" w:cs="Times New Roman"/>
          <w:color w:val="0070C0"/>
          <w:spacing w:val="0"/>
          <w:sz w:val="16"/>
          <w:szCs w:val="16"/>
        </w:rPr>
        <w:softHyphen/>
        <w:t>пей. Крепление корпуса на шасси автомобиля «Форд-Тимкен» осуществлялось с помощью 10 кронштейнов, которые через резиновые прокладки фиксировались болтами к лонже</w:t>
      </w:r>
      <w:r w:rsidRPr="00142305">
        <w:rPr>
          <w:rStyle w:val="aff"/>
          <w:rFonts w:ascii="Times New Roman" w:hAnsi="Times New Roman" w:cs="Times New Roman"/>
          <w:color w:val="0070C0"/>
          <w:spacing w:val="0"/>
          <w:sz w:val="16"/>
          <w:szCs w:val="16"/>
        </w:rPr>
        <w:softHyphen/>
        <w:t>ронам шасси.</w:t>
      </w:r>
    </w:p>
    <w:p w14:paraId="2A6A2EA9" w14:textId="77777777" w:rsidR="00B020D5" w:rsidRPr="00142305" w:rsidRDefault="00B020D5" w:rsidP="00B020D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Главным отличием новой машины стала башня с вооружением. БА-3 получил башню от танка Т-26 с уменьшением толщины брони до 8 мм (по альбому «Бронемашины» НИБТ Полигона ГБТУ КА 1944 года)</w:t>
      </w:r>
      <w:r w:rsidRPr="00142305">
        <w:rPr>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(25663).</w:t>
      </w:r>
    </w:p>
    <w:p w14:paraId="468CCEEE" w14:textId="77777777" w:rsidR="00B020D5" w:rsidRPr="00142305" w:rsidRDefault="00B020D5" w:rsidP="00B020D5">
      <w:pPr>
        <w:spacing w:after="0" w:line="240" w:lineRule="auto"/>
        <w:jc w:val="both"/>
        <w:rPr>
          <w:rStyle w:val="aff"/>
          <w:rFonts w:ascii="Times New Roman" w:hAnsi="Times New Roman" w:cs="Times New Roman"/>
          <w:color w:val="0070C0"/>
          <w:spacing w:val="0"/>
          <w:sz w:val="16"/>
          <w:szCs w:val="16"/>
        </w:rPr>
      </w:pPr>
    </w:p>
    <w:p w14:paraId="4DD335B1" w14:textId="4E63CB88" w:rsidR="001B1619" w:rsidRPr="0044524F" w:rsidRDefault="001B1619"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66534B2B" w14:textId="77777777" w:rsidR="001B1619" w:rsidRPr="0044524F" w:rsidRDefault="001B1619"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24778F68"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апреле 1933-го был готов CR.32, заказанный Министерством авиации. Принципиально конструкция целиком повторяла CR.30. Верхние плос</w:t>
      </w:r>
      <w:r w:rsidRPr="0044524F">
        <w:rPr>
          <w:rFonts w:ascii="Times New Roman" w:hAnsi="Times New Roman"/>
          <w:color w:val="000000" w:themeColor="text1"/>
          <w:sz w:val="16"/>
          <w:szCs w:val="16"/>
        </w:rPr>
        <w:softHyphen/>
        <w:t>кости имели существенно больший размах и хорду, чем нижние. Каждое крыло имело два трубчатых дю</w:t>
      </w:r>
      <w:r w:rsidRPr="0044524F">
        <w:rPr>
          <w:rFonts w:ascii="Times New Roman" w:hAnsi="Times New Roman"/>
          <w:color w:val="000000" w:themeColor="text1"/>
          <w:sz w:val="16"/>
          <w:szCs w:val="16"/>
        </w:rPr>
        <w:softHyphen/>
        <w:t>ралевых лонжерона, перпендикулярно которым уста</w:t>
      </w:r>
      <w:r w:rsidRPr="0044524F">
        <w:rPr>
          <w:rFonts w:ascii="Times New Roman" w:hAnsi="Times New Roman"/>
          <w:color w:val="000000" w:themeColor="text1"/>
          <w:sz w:val="16"/>
          <w:szCs w:val="16"/>
        </w:rPr>
        <w:softHyphen/>
        <w:t>навливался густой набор ферменных нервюр из алю</w:t>
      </w:r>
      <w:r w:rsidRPr="0044524F">
        <w:rPr>
          <w:rFonts w:ascii="Times New Roman" w:hAnsi="Times New Roman"/>
          <w:color w:val="000000" w:themeColor="text1"/>
          <w:sz w:val="16"/>
          <w:szCs w:val="16"/>
        </w:rPr>
        <w:softHyphen/>
        <w:t>миниевых трубок квадратного сечения. Для жесткости набор стягивался диагональными расчалками. Консо</w:t>
      </w:r>
      <w:r w:rsidRPr="0044524F">
        <w:rPr>
          <w:rFonts w:ascii="Times New Roman" w:hAnsi="Times New Roman"/>
          <w:color w:val="000000" w:themeColor="text1"/>
          <w:sz w:val="16"/>
          <w:szCs w:val="16"/>
        </w:rPr>
        <w:softHyphen/>
        <w:t>ли верхней плоскости соединялась по центральному обтекателю, в который были упрятаны дополнитель</w:t>
      </w:r>
      <w:r w:rsidRPr="0044524F">
        <w:rPr>
          <w:rFonts w:ascii="Times New Roman" w:hAnsi="Times New Roman"/>
          <w:color w:val="000000" w:themeColor="text1"/>
          <w:sz w:val="16"/>
          <w:szCs w:val="16"/>
        </w:rPr>
        <w:softHyphen/>
        <w:t>ный бензобак и электрогенератор с приводом от вет</w:t>
      </w:r>
      <w:r w:rsidRPr="0044524F">
        <w:rPr>
          <w:rFonts w:ascii="Times New Roman" w:hAnsi="Times New Roman"/>
          <w:color w:val="000000" w:themeColor="text1"/>
          <w:sz w:val="16"/>
          <w:szCs w:val="16"/>
        </w:rPr>
        <w:softHyphen/>
        <w:t>рянки. Нижнее крыло крепилось к фюзеляжу. Обшивка полотняная. Верхняя плоскость несла элероны с выне</w:t>
      </w:r>
      <w:r w:rsidRPr="0044524F">
        <w:rPr>
          <w:rFonts w:ascii="Times New Roman" w:hAnsi="Times New Roman"/>
          <w:color w:val="000000" w:themeColor="text1"/>
          <w:sz w:val="16"/>
          <w:szCs w:val="16"/>
        </w:rPr>
        <w:softHyphen/>
        <w:t>сенными вверх на стойках балансирами. Межкрыль</w:t>
      </w:r>
      <w:r w:rsidRPr="0044524F">
        <w:rPr>
          <w:rFonts w:ascii="Times New Roman" w:hAnsi="Times New Roman"/>
          <w:color w:val="000000" w:themeColor="text1"/>
          <w:sz w:val="16"/>
          <w:szCs w:val="16"/>
        </w:rPr>
        <w:softHyphen/>
        <w:t>ные стойки выполнялись по схеме так называемой фермы Уоррена, обеспечивающей большую жест</w:t>
      </w:r>
      <w:r w:rsidRPr="0044524F">
        <w:rPr>
          <w:rFonts w:ascii="Times New Roman" w:hAnsi="Times New Roman"/>
          <w:color w:val="000000" w:themeColor="text1"/>
          <w:sz w:val="16"/>
          <w:szCs w:val="16"/>
        </w:rPr>
        <w:softHyphen/>
        <w:t>кость, необходимую для осуществления маневров с высокими перегрузками. Между двумя рядами подко</w:t>
      </w:r>
      <w:r w:rsidRPr="0044524F">
        <w:rPr>
          <w:rFonts w:ascii="Times New Roman" w:hAnsi="Times New Roman"/>
          <w:color w:val="000000" w:themeColor="text1"/>
          <w:sz w:val="16"/>
          <w:szCs w:val="16"/>
        </w:rPr>
        <w:softHyphen/>
        <w:t>сов натягивались крест-накрест диагональные расчал</w:t>
      </w:r>
      <w:r w:rsidRPr="0044524F">
        <w:rPr>
          <w:rFonts w:ascii="Times New Roman" w:hAnsi="Times New Roman"/>
          <w:color w:val="000000" w:themeColor="text1"/>
          <w:sz w:val="16"/>
          <w:szCs w:val="16"/>
        </w:rPr>
        <w:softHyphen/>
        <w:t>ки. Верхнее крыло крепилось к фюзеляжу N-образными стойками.</w:t>
      </w:r>
    </w:p>
    <w:p w14:paraId="19C55A02"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Силовую основу фюзеляжа составляла четырехгран</w:t>
      </w:r>
      <w:r w:rsidRPr="0044524F">
        <w:rPr>
          <w:rFonts w:ascii="Times New Roman" w:hAnsi="Times New Roman"/>
          <w:color w:val="000000" w:themeColor="text1"/>
          <w:sz w:val="16"/>
          <w:szCs w:val="16"/>
        </w:rPr>
        <w:softHyphen/>
        <w:t>ная клепаная ферма из дюралевых и стальных труб. Сверху на нее надставили каркас из полукруглых дуг. Размещение агрегатов сугубо традиционно: двига</w:t>
      </w:r>
      <w:r w:rsidRPr="0044524F">
        <w:rPr>
          <w:rFonts w:ascii="Times New Roman" w:hAnsi="Times New Roman"/>
          <w:color w:val="000000" w:themeColor="text1"/>
          <w:sz w:val="16"/>
          <w:szCs w:val="16"/>
        </w:rPr>
        <w:softHyphen/>
        <w:t>тель, за ним основной бензобак, пилотская кабина и далее пустой фюзеляж до самого хвоста. Мотор «Фи</w:t>
      </w:r>
      <w:r w:rsidRPr="0044524F">
        <w:rPr>
          <w:rFonts w:ascii="Times New Roman" w:hAnsi="Times New Roman"/>
          <w:color w:val="000000" w:themeColor="text1"/>
          <w:sz w:val="16"/>
          <w:szCs w:val="16"/>
        </w:rPr>
        <w:softHyphen/>
        <w:t>ат» A.30RA V-образный, 12-цилиндровый жидкостного охлаждения, лежал на двух балках, усиленных систе</w:t>
      </w:r>
      <w:r w:rsidRPr="0044524F">
        <w:rPr>
          <w:rFonts w:ascii="Times New Roman" w:hAnsi="Times New Roman"/>
          <w:color w:val="000000" w:themeColor="text1"/>
          <w:sz w:val="16"/>
          <w:szCs w:val="16"/>
        </w:rPr>
        <w:softHyphen/>
        <w:t>мой подкосов. A.30RA развивал на номинальном ре</w:t>
      </w:r>
      <w:r w:rsidRPr="0044524F">
        <w:rPr>
          <w:rFonts w:ascii="Times New Roman" w:hAnsi="Times New Roman"/>
          <w:color w:val="000000" w:themeColor="text1"/>
          <w:sz w:val="16"/>
          <w:szCs w:val="16"/>
        </w:rPr>
        <w:softHyphen/>
        <w:t>жиме мощность 600 л.с., что в целом соответствовало сравнительно небольшой массе планера. Вращал он двухлопастный металлический винт «Фиат», имевший два шага - большой и поменьше, но установить тот или иной режим можно было только на земле. Водя</w:t>
      </w:r>
      <w:r w:rsidRPr="0044524F">
        <w:rPr>
          <w:rFonts w:ascii="Times New Roman" w:hAnsi="Times New Roman"/>
          <w:color w:val="000000" w:themeColor="text1"/>
          <w:sz w:val="16"/>
          <w:szCs w:val="16"/>
        </w:rPr>
        <w:softHyphen/>
        <w:t>ной и масляный радиаторы располагались за общим круглым воздухозаборником под носком картера. Приток воздуха регулировался решеткой жалюзи. Кро</w:t>
      </w:r>
      <w:r w:rsidRPr="0044524F">
        <w:rPr>
          <w:rFonts w:ascii="Times New Roman" w:hAnsi="Times New Roman"/>
          <w:color w:val="000000" w:themeColor="text1"/>
          <w:sz w:val="16"/>
          <w:szCs w:val="16"/>
        </w:rPr>
        <w:softHyphen/>
        <w:t>ме того, на капоте сразу за коком находилась входная решетка, через которую обдувался маслобак. Основные агрегаты мотоустановки поместили под двигате</w:t>
      </w:r>
      <w:r w:rsidRPr="0044524F">
        <w:rPr>
          <w:rFonts w:ascii="Times New Roman" w:hAnsi="Times New Roman"/>
          <w:color w:val="000000" w:themeColor="text1"/>
          <w:sz w:val="16"/>
          <w:szCs w:val="16"/>
        </w:rPr>
        <w:softHyphen/>
        <w:t>лем. Пилот сидел в открытой кабине за задней кром</w:t>
      </w:r>
      <w:r w:rsidRPr="0044524F">
        <w:rPr>
          <w:rFonts w:ascii="Times New Roman" w:hAnsi="Times New Roman"/>
          <w:color w:val="000000" w:themeColor="text1"/>
          <w:sz w:val="16"/>
          <w:szCs w:val="16"/>
        </w:rPr>
        <w:softHyphen/>
        <w:t>кой крыла. Спереди его прикрывал прозрачный козы</w:t>
      </w:r>
      <w:r w:rsidRPr="0044524F">
        <w:rPr>
          <w:rFonts w:ascii="Times New Roman" w:hAnsi="Times New Roman"/>
          <w:color w:val="000000" w:themeColor="text1"/>
          <w:sz w:val="16"/>
          <w:szCs w:val="16"/>
        </w:rPr>
        <w:softHyphen/>
        <w:t>рек, а сзади, за заголовником сиденья, сделали не</w:t>
      </w:r>
      <w:r w:rsidRPr="0044524F">
        <w:rPr>
          <w:rFonts w:ascii="Times New Roman" w:hAnsi="Times New Roman"/>
          <w:color w:val="000000" w:themeColor="text1"/>
          <w:sz w:val="16"/>
          <w:szCs w:val="16"/>
        </w:rPr>
        <w:softHyphen/>
        <w:t>большой гаргрот для улучшения аэродинамики. Сиденье пилота регулировалось по высоте и, разуме</w:t>
      </w:r>
      <w:r w:rsidRPr="0044524F">
        <w:rPr>
          <w:rFonts w:ascii="Times New Roman" w:hAnsi="Times New Roman"/>
          <w:color w:val="000000" w:themeColor="text1"/>
          <w:sz w:val="16"/>
          <w:szCs w:val="16"/>
        </w:rPr>
        <w:softHyphen/>
        <w:t>ется, не имело никакой бронезащиты - тогда это счи</w:t>
      </w:r>
      <w:r w:rsidRPr="0044524F">
        <w:rPr>
          <w:rFonts w:ascii="Times New Roman" w:hAnsi="Times New Roman"/>
          <w:color w:val="000000" w:themeColor="text1"/>
          <w:sz w:val="16"/>
          <w:szCs w:val="16"/>
        </w:rPr>
        <w:softHyphen/>
        <w:t>талось необязательным. Итальянский парашют, оде</w:t>
      </w:r>
      <w:r w:rsidRPr="0044524F">
        <w:rPr>
          <w:rFonts w:ascii="Times New Roman" w:hAnsi="Times New Roman"/>
          <w:color w:val="000000" w:themeColor="text1"/>
          <w:sz w:val="16"/>
          <w:szCs w:val="16"/>
        </w:rPr>
        <w:softHyphen/>
        <w:t>вавшийся на спину летчика, делал ненужной мягкую обивку, за исключением подушки снизу. За спинкой предусматривалось пространство, куда можно было втиснуть радиостанцию, фотоаппарат или кассету для мелких бомб - по желанию. Весь фюзеляж, кроме ка</w:t>
      </w:r>
      <w:r w:rsidRPr="0044524F">
        <w:rPr>
          <w:rFonts w:ascii="Times New Roman" w:hAnsi="Times New Roman"/>
          <w:color w:val="000000" w:themeColor="text1"/>
          <w:sz w:val="16"/>
          <w:szCs w:val="16"/>
        </w:rPr>
        <w:softHyphen/>
        <w:t>пота, обтягивался полотном. Спереди же съемные дю</w:t>
      </w:r>
      <w:r w:rsidRPr="0044524F">
        <w:rPr>
          <w:rFonts w:ascii="Times New Roman" w:hAnsi="Times New Roman"/>
          <w:color w:val="000000" w:themeColor="text1"/>
          <w:sz w:val="16"/>
          <w:szCs w:val="16"/>
        </w:rPr>
        <w:softHyphen/>
        <w:t>ралевые панели обеспечивали легкий доступ ко всем основным узлам и агрегатам. Хвостовое оперение име</w:t>
      </w:r>
      <w:r w:rsidRPr="0044524F">
        <w:rPr>
          <w:rFonts w:ascii="Times New Roman" w:hAnsi="Times New Roman"/>
          <w:color w:val="000000" w:themeColor="text1"/>
          <w:sz w:val="16"/>
          <w:szCs w:val="16"/>
        </w:rPr>
        <w:softHyphen/>
        <w:t>ло каркас из легких сплавов и полотняную обтяжку. Стабилизатор снизу подпирали подкосы, а сверху - держали расчалки, прикрепленные к килю.</w:t>
      </w:r>
    </w:p>
    <w:p w14:paraId="431AAE4E"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стойки шасси - пирамидальные, из сталь</w:t>
      </w:r>
      <w:r w:rsidRPr="0044524F">
        <w:rPr>
          <w:rFonts w:ascii="Times New Roman" w:hAnsi="Times New Roman"/>
          <w:color w:val="000000" w:themeColor="text1"/>
          <w:sz w:val="16"/>
          <w:szCs w:val="16"/>
        </w:rPr>
        <w:softHyphen/>
        <w:t>ных труб в обтекателях каплевидного сечения. Амор</w:t>
      </w:r>
      <w:r w:rsidRPr="0044524F">
        <w:rPr>
          <w:rFonts w:ascii="Times New Roman" w:hAnsi="Times New Roman"/>
          <w:color w:val="000000" w:themeColor="text1"/>
          <w:sz w:val="16"/>
          <w:szCs w:val="16"/>
        </w:rPr>
        <w:softHyphen/>
        <w:t>тизация - гидравлическая. Колеса прикрыты больши</w:t>
      </w:r>
      <w:r w:rsidRPr="0044524F">
        <w:rPr>
          <w:rFonts w:ascii="Times New Roman" w:hAnsi="Times New Roman"/>
          <w:color w:val="000000" w:themeColor="text1"/>
          <w:sz w:val="16"/>
          <w:szCs w:val="16"/>
        </w:rPr>
        <w:softHyphen/>
        <w:t>ми обтекателями, с наружной стороны которых име</w:t>
      </w:r>
      <w:r w:rsidRPr="0044524F">
        <w:rPr>
          <w:rFonts w:ascii="Times New Roman" w:hAnsi="Times New Roman"/>
          <w:color w:val="000000" w:themeColor="text1"/>
          <w:sz w:val="16"/>
          <w:szCs w:val="16"/>
        </w:rPr>
        <w:softHyphen/>
        <w:t>лись съемные панели. Сами колеса снабжались пневматическими тормозами. Хвостовое колесо вмес</w:t>
      </w:r>
      <w:r w:rsidRPr="0044524F">
        <w:rPr>
          <w:rFonts w:ascii="Times New Roman" w:hAnsi="Times New Roman"/>
          <w:color w:val="000000" w:themeColor="text1"/>
          <w:sz w:val="16"/>
          <w:szCs w:val="16"/>
        </w:rPr>
        <w:softHyphen/>
        <w:t>те со стойкой тоже было тщательно закапотировано.</w:t>
      </w:r>
    </w:p>
    <w:p w14:paraId="719DCD49" w14:textId="77777777" w:rsidR="001B1619" w:rsidRPr="0044524F" w:rsidRDefault="001B161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CR.32 состояло из двух синхронных пу</w:t>
      </w:r>
      <w:r w:rsidRPr="0044524F">
        <w:rPr>
          <w:rFonts w:ascii="Times New Roman" w:hAnsi="Times New Roman"/>
          <w:color w:val="000000" w:themeColor="text1"/>
          <w:sz w:val="16"/>
          <w:szCs w:val="16"/>
        </w:rPr>
        <w:softHyphen/>
        <w:t>леметов, установленных над основным бензобаком. Короба для боезапаса располагались под ними, в вы</w:t>
      </w:r>
      <w:r w:rsidRPr="0044524F">
        <w:rPr>
          <w:rFonts w:ascii="Times New Roman" w:hAnsi="Times New Roman"/>
          <w:color w:val="000000" w:themeColor="text1"/>
          <w:sz w:val="16"/>
          <w:szCs w:val="16"/>
        </w:rPr>
        <w:softHyphen/>
        <w:t>емке бака. Предполагалось, что можно будет монти</w:t>
      </w:r>
      <w:r w:rsidRPr="0044524F">
        <w:rPr>
          <w:rFonts w:ascii="Times New Roman" w:hAnsi="Times New Roman"/>
          <w:color w:val="000000" w:themeColor="text1"/>
          <w:sz w:val="16"/>
          <w:szCs w:val="16"/>
        </w:rPr>
        <w:softHyphen/>
        <w:t>ровать и обычные, и крупнокалиберные пулеметы, но стандартным считалось вооружение из 12,7-мм пуле</w:t>
      </w:r>
      <w:r w:rsidRPr="0044524F">
        <w:rPr>
          <w:rFonts w:ascii="Times New Roman" w:hAnsi="Times New Roman"/>
          <w:color w:val="000000" w:themeColor="text1"/>
          <w:sz w:val="16"/>
          <w:szCs w:val="16"/>
        </w:rPr>
        <w:softHyphen/>
        <w:t>метов «Бреда-САФАТ». Для прицеливания имелся те</w:t>
      </w:r>
      <w:r w:rsidRPr="0044524F">
        <w:rPr>
          <w:rFonts w:ascii="Times New Roman" w:hAnsi="Times New Roman"/>
          <w:color w:val="000000" w:themeColor="text1"/>
          <w:sz w:val="16"/>
          <w:szCs w:val="16"/>
        </w:rPr>
        <w:softHyphen/>
        <w:t>лескопический прицел «Сан-Джорджо». При необходи</w:t>
      </w:r>
      <w:r w:rsidRPr="0044524F">
        <w:rPr>
          <w:rFonts w:ascii="Times New Roman" w:hAnsi="Times New Roman"/>
          <w:color w:val="000000" w:themeColor="text1"/>
          <w:sz w:val="16"/>
          <w:szCs w:val="16"/>
        </w:rPr>
        <w:softHyphen/>
        <w:t>мости над корневой частью верхнего левого крыла монтировался фотокинопулемет ОМИ FM.62 (24178).</w:t>
      </w:r>
    </w:p>
    <w:p w14:paraId="4DD95963" w14:textId="77777777" w:rsidR="001B1619" w:rsidRPr="0044524F" w:rsidRDefault="001B1619" w:rsidP="009654CF">
      <w:pPr>
        <w:spacing w:after="0" w:line="240" w:lineRule="auto"/>
        <w:jc w:val="both"/>
        <w:rPr>
          <w:rFonts w:ascii="Times New Roman" w:hAnsi="Times New Roman"/>
          <w:color w:val="000000" w:themeColor="text1"/>
          <w:sz w:val="16"/>
          <w:szCs w:val="16"/>
        </w:rPr>
      </w:pPr>
    </w:p>
    <w:p w14:paraId="6DEA86D8" w14:textId="3ABFACC1" w:rsidR="00F1507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943F092" w14:textId="77777777" w:rsidR="00F15071" w:rsidRPr="0044524F" w:rsidRDefault="00F1507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E7104A8"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К.А.К. представил в НИИ ВВС предварительные эскизные проекты самолета ВС-2 в трех вариантах: 1 - традиционный, 2-й - двухбалочный, 3 - ЛК и каждый разрабатывался под три двигателя: М-22, М-52, М-59 (70,257).</w:t>
      </w:r>
    </w:p>
    <w:p w14:paraId="70CC5EE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6B625EE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в Хазосс бы готов эскизный проект ВС в трех вариантах под М-22, М-49, М-52. Последний вариант был близок к двухвостке, но все же был короткохвосткой. НИИ ВВС проект на принял из-за недостаточно полного объема представленного материала и увеличенной по сравнению с ТЗ нагрузки, но слему ЛК - согласовали. Возражение вызвал и М-52 и поручили передалать под М-22 и М-49 (7570, 2).</w:t>
      </w:r>
    </w:p>
    <w:p w14:paraId="37E05FD2"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57108F80" w14:textId="46FE2076" w:rsidR="00084A10" w:rsidRPr="0044524F" w:rsidRDefault="00084A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НИИ ВВС был представлен эскизный проект К-12 во всех шести вариантах (компоновки и ВМГ). Заключение НИИ ВВС: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материалы проекта не достаточны для рассмотрения;</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расчетные данные самолета не соответствуют ТЗ;</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двигатели М-52 не могут быть применены на самолете, требуется оставить варианты с М-22 и М-49. Проект был отправлен на доработку, тем не менее, общее заключение было положительным, была выбрана схема летающего крыла, ВМГ с моторами М-22 или М-52.</w:t>
      </w:r>
    </w:p>
    <w:p w14:paraId="315E0322" w14:textId="77777777" w:rsidR="00084A10" w:rsidRPr="0044524F" w:rsidRDefault="00084A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Также проект был рассмотрен в комиссии К.Е. Ворошилова «Об опытном самолето- и моторостроении» при РВС СССР. Она установила срок выхода самолета на ЗИ – 01.07.33 г. с постройкой ХАЗОС и сдачу на ГИ к 01.08.33 г.</w:t>
      </w:r>
    </w:p>
    <w:p w14:paraId="7EAAFCD3" w14:textId="77777777" w:rsidR="00084A10" w:rsidRPr="0044524F" w:rsidRDefault="00084A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ГК и ГИ ХАЗОС Калинин не только не обеспечил постройку самолета в указанное время, но и не закончил эскизный проект, продолжая уточнение компоновки самолета и продувки моделей в АДТ ХАИ.</w:t>
      </w:r>
    </w:p>
    <w:p w14:paraId="00B223D1" w14:textId="77777777" w:rsidR="00084A10" w:rsidRPr="0044524F" w:rsidRDefault="00084A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самолет был включен в список важнейших работ по опытному самолетостроению на 1934 г. под № 1 в плане, представленном УВВС. Были утверждены компоновка в виде летающего крыла и уточненное ТЗ, см. табл. Срок сдачи самолета на ГИ сдвинут на 01.05.34 г. (23157).</w:t>
      </w:r>
    </w:p>
    <w:p w14:paraId="4D14B176" w14:textId="77777777" w:rsidR="00084A10" w:rsidRPr="0044524F" w:rsidRDefault="00084A10" w:rsidP="009654CF">
      <w:pPr>
        <w:spacing w:after="0" w:line="240" w:lineRule="auto"/>
        <w:jc w:val="both"/>
        <w:rPr>
          <w:rFonts w:ascii="Times New Roman" w:hAnsi="Times New Roman"/>
          <w:color w:val="000000" w:themeColor="text1"/>
          <w:sz w:val="16"/>
          <w:szCs w:val="16"/>
          <w:lang w:eastAsia="ru-RU" w:bidi="ru-RU"/>
        </w:rPr>
      </w:pPr>
    </w:p>
    <w:p w14:paraId="35C8DE45"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года харьковчане представили экспертам НИИ ВВС предварительные эскизные проекты будущего самолета К-12. Причем на их суд было вынесено три равнозначных варианта. Первый был скомпонован по традиционной схеме. Второй представлял собой двухбалочный рамный самолет с хвостовой пулеметной установкой и экипажем внутри крыла. И, наконец, третий — самолет-бесхвостка. Последний вариант казался Калинину наиболее интересным.</w:t>
      </w:r>
    </w:p>
    <w:p w14:paraId="7603D4E1"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Специалисты подвергли чертежи и расчеты скрупулезной проверке. Не раз обсуждался проект и на совещаниях у начальника штаба ВВС В. К. Лаврова. Доводы К. А. Калинина оказались достаточно убедительными, чтобы остановиться на схеме “летающее крыло”. Это был действительно смелый шаг: проблема создания самолетов-бесхвосток к тому времени практически и теоретически еще не была решена. И в нашей стране, и за рубежом ею занимались многие конструкторы, но дальше постройки бесхвостых планеров и экспериментальных машин дело не шло (15552).</w:t>
      </w:r>
    </w:p>
    <w:p w14:paraId="0C0AB773" w14:textId="77777777" w:rsidR="000E63D3" w:rsidRPr="0044524F" w:rsidRDefault="000E63D3" w:rsidP="009654CF">
      <w:pPr>
        <w:spacing w:after="0" w:line="240" w:lineRule="auto"/>
        <w:jc w:val="both"/>
        <w:rPr>
          <w:rFonts w:ascii="Times New Roman" w:hAnsi="Times New Roman"/>
          <w:color w:val="000000" w:themeColor="text1"/>
          <w:sz w:val="16"/>
          <w:szCs w:val="16"/>
        </w:rPr>
      </w:pPr>
    </w:p>
    <w:p w14:paraId="531E4695" w14:textId="77777777" w:rsidR="004949CB" w:rsidRPr="00142305" w:rsidRDefault="004949CB" w:rsidP="004949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1933 года харьковчане представили экспертам НИИ ВВС предварительные эскизные проекты будущего самолета ВС К-12. Причем на их суд было вынесено три равнозначных варианта. Первый был скомпонован по традиционной схеме. Второй представлял собой двухбалочный рамный самолет с хвостовой пулеметной установкой и экипажем внутри крыла. И, наконец, третий — самолет-бесхвостка. Последний вариант казался Калинину наиболее интересным.</w:t>
      </w:r>
    </w:p>
    <w:p w14:paraId="4B86AE40" w14:textId="77777777" w:rsidR="004949CB" w:rsidRPr="00142305" w:rsidRDefault="004949CB" w:rsidP="004949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Специалисты подвергли чертежи и расчеты скрупулезной проверке. Не раз обсуждался проект и на совещаниях у начальника штаба ВВС В. К. Лаврова. Доводы К. А. Калинина оказались достаточно убедительными, чтобы остановиться на схеме “летающее крыло”. Это был действительно смелый шаг: проблема создания самолетов-бесхвосток к тому времени практически и теоретически еще не была решена. И в нашей стране, и за рубежом ею занимались многие конструкторы, но дальше постройки бесхвостых планеров и экспериментальных машин дело не шло (25251).</w:t>
      </w:r>
    </w:p>
    <w:p w14:paraId="08D7AB37" w14:textId="77777777" w:rsidR="004949CB" w:rsidRPr="00142305" w:rsidRDefault="004949CB" w:rsidP="004949CB">
      <w:pPr>
        <w:spacing w:after="0" w:line="240" w:lineRule="auto"/>
        <w:jc w:val="both"/>
        <w:rPr>
          <w:rFonts w:ascii="Times New Roman" w:hAnsi="Times New Roman"/>
          <w:color w:val="0070C0"/>
          <w:sz w:val="16"/>
          <w:szCs w:val="16"/>
        </w:rPr>
      </w:pPr>
    </w:p>
    <w:p w14:paraId="122C660F"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года харьковчане представили экспертам НИИ ВВС предварительные эскизные проекты будущего самолета ВС-2. Причем на их суд было вынесено три равнозначных варианта. Первый был скомпонован по традиционной схеме. Второй представлял собой двухбалочный рамный самолет с хвостовой пулеметной установкой и экипажем внутри крыла. И, наконец, третий — самолет-бесхвостка. Последний вариант казался Калинину наиболее интересным. Специалисты подвергли чертежи и расчеты скрупулезной проверке. Не раз обсуждался проект и на совещаниях у начальника штаба ВВС В. К. Лаврова. Доводы К. А. Калинина оказались достаточно убедительными, чтобы остановиться на схеме «летающее крыло». Это был действительно смелый шаг: проблема создания самолетов-бесхвосток к тому времени практически и теоретически еще не была решена. И в нашей стране, и за рубежом ею занимались многие конструкторы, но дальше постройки бесхвостых планеров и экспериментальных машин дело не шло. Несколько позже, когда К-12 уже летал, Константин Алексеевич так характеризовал возможности своего детища: «Самолет без хвоста, или иначе «бесхвостка», имеет много преимуществ перед обычным самолетом. При военном применении он особенно ценен своей маневренностью и возможностью огневой защиты». Действительно, отсутствие за крылом хвостового оперения давало возможность разместить сзади кормовую стрелковую башню для полной круговой обороны, что не удавалось сделать на самолетах обычных типов. Кроме того, машина такой схемы обладала меньшим лобовым сопротивлением, а значит — и большей скоростью, дальностью полета, грузоподъемностью. При силовых установках одинаковой мощности с самолетом традиционной схемы в «летающем крыле» вес распределяется по большей площади крыла, и его конструкция получается значительно легче (15128).</w:t>
      </w:r>
    </w:p>
    <w:p w14:paraId="4C541887" w14:textId="77777777" w:rsidR="000E63D3" w:rsidRPr="0044524F" w:rsidRDefault="000E63D3" w:rsidP="009654CF">
      <w:pPr>
        <w:spacing w:after="0" w:line="240" w:lineRule="auto"/>
        <w:jc w:val="both"/>
        <w:rPr>
          <w:rFonts w:ascii="Times New Roman" w:hAnsi="Times New Roman"/>
          <w:color w:val="000000" w:themeColor="text1"/>
          <w:sz w:val="16"/>
          <w:szCs w:val="16"/>
        </w:rPr>
      </w:pPr>
    </w:p>
    <w:p w14:paraId="513DCD08"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Н.Н.П. подготовил эскизный проект И-16, который разрабатывался с конца 1932. Задержка вышла из-за переезда в январе 1933 (129,2).</w:t>
      </w:r>
    </w:p>
    <w:p w14:paraId="4AEF8B8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62C81819"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завершилась проводимая в инициативном по</w:t>
      </w:r>
      <w:r w:rsidRPr="0044524F">
        <w:rPr>
          <w:rFonts w:ascii="Times New Roman" w:hAnsi="Times New Roman"/>
          <w:color w:val="000000" w:themeColor="text1"/>
          <w:sz w:val="16"/>
          <w:szCs w:val="16"/>
        </w:rPr>
        <w:softHyphen/>
        <w:t>рядке разработка первого варианта эскизного проекта с двигателем будущего И-16 Райт «Циклон» Р-3 или «Циклон» Р-5. Само</w:t>
      </w:r>
      <w:r w:rsidRPr="0044524F">
        <w:rPr>
          <w:rFonts w:ascii="Times New Roman" w:hAnsi="Times New Roman"/>
          <w:color w:val="000000" w:themeColor="text1"/>
          <w:sz w:val="16"/>
          <w:szCs w:val="16"/>
        </w:rPr>
        <w:softHyphen/>
        <w:t>лет имел фюзеляж обтекаемой формы и закрытую каби</w:t>
      </w:r>
      <w:r w:rsidRPr="0044524F">
        <w:rPr>
          <w:rFonts w:ascii="Times New Roman" w:hAnsi="Times New Roman"/>
          <w:color w:val="000000" w:themeColor="text1"/>
          <w:sz w:val="16"/>
          <w:szCs w:val="16"/>
        </w:rPr>
        <w:softHyphen/>
        <w:t xml:space="preserve">ну летчика со сдвигаемой назад крышкой фонаря. Шасси убиралось. Головки цилиндров </w:t>
      </w:r>
      <w:r w:rsidRPr="0044524F">
        <w:rPr>
          <w:rFonts w:ascii="Times New Roman" w:hAnsi="Times New Roman"/>
          <w:color w:val="000000" w:themeColor="text1"/>
          <w:sz w:val="16"/>
          <w:szCs w:val="16"/>
        </w:rPr>
        <w:lastRenderedPageBreak/>
        <w:t>двигателя закрывало кольцо Тауненда. Командование ВВС ознакомили с ха</w:t>
      </w:r>
      <w:r w:rsidRPr="0044524F">
        <w:rPr>
          <w:rFonts w:ascii="Times New Roman" w:hAnsi="Times New Roman"/>
          <w:color w:val="000000" w:themeColor="text1"/>
          <w:sz w:val="16"/>
          <w:szCs w:val="16"/>
        </w:rPr>
        <w:softHyphen/>
        <w:t>рактеристиками проектируемого самолета, но оно не проявило к нему особого интереса, так как большие на</w:t>
      </w:r>
      <w:r w:rsidRPr="0044524F">
        <w:rPr>
          <w:rFonts w:ascii="Times New Roman" w:hAnsi="Times New Roman"/>
          <w:color w:val="000000" w:themeColor="text1"/>
          <w:sz w:val="16"/>
          <w:szCs w:val="16"/>
        </w:rPr>
        <w:softHyphen/>
        <w:t>дежды возлагались на разрабатываемый в ЦАГИ истре</w:t>
      </w:r>
      <w:r w:rsidRPr="0044524F">
        <w:rPr>
          <w:rFonts w:ascii="Times New Roman" w:hAnsi="Times New Roman"/>
          <w:color w:val="000000" w:themeColor="text1"/>
          <w:sz w:val="16"/>
          <w:szCs w:val="16"/>
        </w:rPr>
        <w:softHyphen/>
        <w:t>битель И-14 (10667).</w:t>
      </w:r>
    </w:p>
    <w:p w14:paraId="31516C6C"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2D7036" w14:textId="77777777" w:rsidR="00FF380E" w:rsidRPr="0044524F" w:rsidRDefault="00FF38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была завершена про</w:t>
      </w:r>
      <w:r w:rsidRPr="0044524F">
        <w:rPr>
          <w:rFonts w:ascii="Times New Roman" w:hAnsi="Times New Roman"/>
          <w:color w:val="000000" w:themeColor="text1"/>
          <w:sz w:val="16"/>
          <w:szCs w:val="16"/>
        </w:rPr>
        <w:softHyphen/>
        <w:t>водимая в инициативном порядке разработка первого варианта эскизного проекта истребителя И-16 с двигателем Райт «Циклон» F-3 или «Циклон» F-5. Самолет имел фюзеляж обтекаемой формы и закрытую кабину летчика со сдвигаемой назад крышкой фонаря. Шасси убиралось. Головки цилин</w:t>
      </w:r>
      <w:r w:rsidRPr="0044524F">
        <w:rPr>
          <w:rFonts w:ascii="Times New Roman" w:hAnsi="Times New Roman"/>
          <w:color w:val="000000" w:themeColor="text1"/>
          <w:sz w:val="16"/>
          <w:szCs w:val="16"/>
        </w:rPr>
        <w:softHyphen/>
        <w:t>дров двигателя закрывало кольцо Тауненда. Командование ВВС было ознакомлено с характеристиками проектируемого самолета, но не проявило к нему большого инте</w:t>
      </w:r>
      <w:r w:rsidRPr="0044524F">
        <w:rPr>
          <w:rFonts w:ascii="Times New Roman" w:hAnsi="Times New Roman"/>
          <w:color w:val="000000" w:themeColor="text1"/>
          <w:sz w:val="16"/>
          <w:szCs w:val="16"/>
        </w:rPr>
        <w:softHyphen/>
        <w:t>реса, так как большие надежды возлагались на разрабатываемый в ЦАГИ истребитель И-14 (23455).</w:t>
      </w:r>
    </w:p>
    <w:p w14:paraId="1F369F10" w14:textId="77777777" w:rsidR="00FF380E" w:rsidRPr="0044524F" w:rsidRDefault="00FF380E" w:rsidP="009654CF">
      <w:pPr>
        <w:spacing w:after="0" w:line="240" w:lineRule="auto"/>
        <w:jc w:val="both"/>
        <w:rPr>
          <w:rFonts w:ascii="Times New Roman" w:hAnsi="Times New Roman"/>
          <w:color w:val="000000" w:themeColor="text1"/>
          <w:sz w:val="16"/>
          <w:szCs w:val="16"/>
        </w:rPr>
      </w:pPr>
    </w:p>
    <w:p w14:paraId="0D80E6C8" w14:textId="77777777" w:rsidR="00FF380E" w:rsidRPr="0044524F" w:rsidRDefault="00FF38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был завершён первый вариант эскизного проекта И-16, а второй - в июле 1933 года.</w:t>
      </w:r>
    </w:p>
    <w:p w14:paraId="25224273" w14:textId="77777777" w:rsidR="00FF380E" w:rsidRPr="0044524F" w:rsidRDefault="00FF38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Организационные трудности, связанные с переба</w:t>
      </w:r>
      <w:r w:rsidRPr="0044524F">
        <w:rPr>
          <w:rFonts w:ascii="Times New Roman" w:hAnsi="Times New Roman"/>
          <w:color w:val="000000" w:themeColor="text1"/>
          <w:sz w:val="16"/>
          <w:szCs w:val="16"/>
        </w:rPr>
        <w:softHyphen/>
        <w:t>зированием ЦКБ на завод № 39, и срочная работа над И-15 отодви</w:t>
      </w:r>
      <w:r w:rsidRPr="0044524F">
        <w:rPr>
          <w:rFonts w:ascii="Times New Roman" w:hAnsi="Times New Roman"/>
          <w:color w:val="000000" w:themeColor="text1"/>
          <w:sz w:val="16"/>
          <w:szCs w:val="16"/>
        </w:rPr>
        <w:softHyphen/>
        <w:t xml:space="preserve">нули проектирование И-16 на несколько месяцев. </w:t>
      </w:r>
    </w:p>
    <w:p w14:paraId="2E5C0DAB" w14:textId="77777777" w:rsidR="00FF380E" w:rsidRPr="0044524F" w:rsidRDefault="00FF38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втором варианте проекта И-16 вместо предусмотренного, но ещё не освоенного у нас мотора Райт «Циклон» F-3 (712 л.с. - будущий М-25), решили использовать серийный М-22. Такое решение оказалось правиль</w:t>
      </w:r>
      <w:r w:rsidRPr="0044524F">
        <w:rPr>
          <w:rFonts w:ascii="Times New Roman" w:hAnsi="Times New Roman"/>
          <w:color w:val="000000" w:themeColor="text1"/>
          <w:sz w:val="16"/>
          <w:szCs w:val="16"/>
        </w:rPr>
        <w:softHyphen/>
        <w:t>ным, т. к. экономило время. В отличие от первого варианта, мотор закрывался капотом NACA, а не кольцом Тауненда, фонарь сдвигался вперёд. С августа 1933 г. началась постройка, и 30 декабря Чкалов выполнил первый полёт на И-16 с М-22 (23595).</w:t>
      </w:r>
    </w:p>
    <w:p w14:paraId="1C85356F" w14:textId="77777777" w:rsidR="00FF380E" w:rsidRPr="0044524F" w:rsidRDefault="00FF380E" w:rsidP="009654CF">
      <w:pPr>
        <w:spacing w:after="0" w:line="240" w:lineRule="auto"/>
        <w:jc w:val="both"/>
        <w:rPr>
          <w:rFonts w:ascii="Times New Roman" w:hAnsi="Times New Roman"/>
          <w:color w:val="000000" w:themeColor="text1"/>
          <w:sz w:val="16"/>
          <w:szCs w:val="16"/>
        </w:rPr>
      </w:pPr>
    </w:p>
    <w:p w14:paraId="199887C0"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1932 г. эскизный проект самолета ЦКБ-12 с мотором Райт «Циклон» в первой редакции был закончен и подписан Поликарповым. О разработке самолета доложено в Народный комиссариат СССР по военным и морским делам и лично Генеральному секретарю ЦК ВКП(б) И.В. Сталину (24115).</w:t>
      </w:r>
    </w:p>
    <w:p w14:paraId="0B9C8667" w14:textId="77777777" w:rsidR="00AB0377" w:rsidRPr="0044524F" w:rsidRDefault="00AB0377" w:rsidP="009654CF">
      <w:pPr>
        <w:spacing w:after="0" w:line="240" w:lineRule="auto"/>
        <w:jc w:val="both"/>
        <w:rPr>
          <w:rFonts w:ascii="Times New Roman" w:hAnsi="Times New Roman"/>
          <w:color w:val="000000" w:themeColor="text1"/>
          <w:sz w:val="16"/>
          <w:szCs w:val="16"/>
        </w:rPr>
      </w:pPr>
    </w:p>
    <w:p w14:paraId="3DB8B3C2" w14:textId="77777777" w:rsidR="004949CB" w:rsidRPr="00142305" w:rsidRDefault="004949CB" w:rsidP="004949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1933 г. была завершена проводимая в инициативном порядке разработка первого варианта эскизного проекта И-16 с двигателем Райт «Циклон» F-3 или «Циклон» F-5. Самолет имел фюзеляж обтекаемой формы и закрытую кабину летчика со сдвигаемой назад крышкой фонаря. Шасси убиралось. Головки цилиндров двигателя закрывало кольцо Тауненда. Командование ВВС было ознакомлено с характеристиками проектируемого самолета, но не проявило к нему большого интереса, так как большие надежды возлагались на разрабатываемый в ЦАГИ истребитель И-14 (25035).</w:t>
      </w:r>
    </w:p>
    <w:p w14:paraId="71D4E168" w14:textId="77777777" w:rsidR="004949CB" w:rsidRPr="00142305" w:rsidRDefault="004949CB" w:rsidP="004949CB">
      <w:pPr>
        <w:spacing w:after="0" w:line="240" w:lineRule="auto"/>
        <w:jc w:val="both"/>
        <w:rPr>
          <w:rFonts w:ascii="Times New Roman" w:hAnsi="Times New Roman"/>
          <w:color w:val="0070C0"/>
          <w:sz w:val="16"/>
          <w:szCs w:val="16"/>
        </w:rPr>
      </w:pPr>
    </w:p>
    <w:p w14:paraId="2BE9C45C" w14:textId="77777777" w:rsidR="004949CB" w:rsidRPr="00142305" w:rsidRDefault="004949CB" w:rsidP="004949C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1933 г. машина, получившая обозна</w:t>
      </w:r>
      <w:r w:rsidRPr="00142305">
        <w:rPr>
          <w:rFonts w:ascii="Times New Roman" w:hAnsi="Times New Roman"/>
          <w:color w:val="0070C0"/>
          <w:sz w:val="16"/>
          <w:szCs w:val="16"/>
        </w:rPr>
        <w:softHyphen/>
        <w:t>чение МИ-3 (АНТ-21) была построена и в мае совершила первый полет. При тех же двигателях М - 17 (2x680 л.с.) самолет имел значительно меньшие размеры, лучшую аэродинамику, убирающиеся шасси, двух</w:t>
      </w:r>
      <w:r w:rsidRPr="00142305">
        <w:rPr>
          <w:rFonts w:ascii="Times New Roman" w:hAnsi="Times New Roman"/>
          <w:color w:val="0070C0"/>
          <w:sz w:val="16"/>
          <w:szCs w:val="16"/>
        </w:rPr>
        <w:softHyphen/>
        <w:t>килевое оперение... Правда, обшивка кры</w:t>
      </w:r>
      <w:r w:rsidRPr="00142305">
        <w:rPr>
          <w:rFonts w:ascii="Times New Roman" w:hAnsi="Times New Roman"/>
          <w:color w:val="0070C0"/>
          <w:sz w:val="16"/>
          <w:szCs w:val="16"/>
        </w:rPr>
        <w:softHyphen/>
        <w:t>ла и оперения оставалась гофрированной, обтянутой сверху полотном. Скорость воз</w:t>
      </w:r>
      <w:r w:rsidRPr="00142305">
        <w:rPr>
          <w:rFonts w:ascii="Times New Roman" w:hAnsi="Times New Roman"/>
          <w:color w:val="0070C0"/>
          <w:sz w:val="16"/>
          <w:szCs w:val="16"/>
        </w:rPr>
        <w:softHyphen/>
        <w:t>росла до 350 км/ч. АНТ-21 был первым са</w:t>
      </w:r>
      <w:r w:rsidRPr="00142305">
        <w:rPr>
          <w:rFonts w:ascii="Times New Roman" w:hAnsi="Times New Roman"/>
          <w:color w:val="0070C0"/>
          <w:sz w:val="16"/>
          <w:szCs w:val="16"/>
        </w:rPr>
        <w:softHyphen/>
        <w:t>молетом туполевского КБ, на котором отра</w:t>
      </w:r>
      <w:r w:rsidRPr="00142305">
        <w:rPr>
          <w:rFonts w:ascii="Times New Roman" w:hAnsi="Times New Roman"/>
          <w:color w:val="0070C0"/>
          <w:sz w:val="16"/>
          <w:szCs w:val="16"/>
        </w:rPr>
        <w:softHyphen/>
        <w:t>батывались и реализовались признаки ско</w:t>
      </w:r>
      <w:r w:rsidRPr="00142305">
        <w:rPr>
          <w:rFonts w:ascii="Times New Roman" w:hAnsi="Times New Roman"/>
          <w:color w:val="0070C0"/>
          <w:sz w:val="16"/>
          <w:szCs w:val="16"/>
        </w:rPr>
        <w:softHyphen/>
        <w:t>ростного самолета (24976).</w:t>
      </w:r>
    </w:p>
    <w:p w14:paraId="421ED6F6" w14:textId="77777777" w:rsidR="004949CB" w:rsidRPr="00142305" w:rsidRDefault="004949CB" w:rsidP="004949CB">
      <w:pPr>
        <w:spacing w:after="0" w:line="240" w:lineRule="auto"/>
        <w:jc w:val="both"/>
        <w:rPr>
          <w:rFonts w:ascii="Times New Roman" w:hAnsi="Times New Roman"/>
          <w:color w:val="0070C0"/>
          <w:sz w:val="16"/>
          <w:szCs w:val="16"/>
        </w:rPr>
      </w:pPr>
    </w:p>
    <w:p w14:paraId="1BB92FF2" w14:textId="77777777" w:rsidR="004876B8" w:rsidRPr="0044524F" w:rsidRDefault="004876B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 апреле 1933 г. членам Реввоенсовета (РВС) СССР на Центральном аэродроме в Москве продемонстрировали И-4 с двумя 67-мм гладкоствольными пушками АПК-3 под верхним крылом. Эта пушка использовала снаряды весом 2,5 кг, выходная скорость же по сравнению с АПК-1 выросла вдвое. Магазины рассчитывались на пять выстрелов. Снаряды подавались в ствол с дула сложным механизмом, использовавшим сжатый воздух. Орудие вместе с боезапасом весило 37 кг. Предназначалась АПК-3 для стрельбы в воздухе по самолетам картечью. Впечатление от показа нового оружия, очевидно, оказалось настолько сильным, что в мае вышло постановление РВС о вооружении эскадрильи истребителей усовершенствованными пушками АПК-65 калибра 65 мм до конца года. Но до реализации этого распоряжения дело не дошло. Возможно, здесь сказалась авария, произошедшая на полигонных испытаниях 18 мая, когда у летчика Т. Сузи в правой пушке АПК-3бис взорвался снаряд. Перебило один из лонжеронов крыла, несколько нервюр, сорвало часть обшивки. Вдобавок повреждения получил руль направления, а в фюзеляже возникла пробоина. Но пилоту удалось сесть на изувеченном самолете. А, возможно, «наверху» просто проанализировали недостатки динамореактивных пушек - низкую скорострельность, малую выходную скорость снаряда и низкую точность, а также сложность в обращении (19100).</w:t>
      </w:r>
    </w:p>
    <w:p w14:paraId="2A71200C" w14:textId="77777777" w:rsidR="004876B8" w:rsidRPr="0044524F" w:rsidRDefault="004876B8" w:rsidP="009654CF">
      <w:pPr>
        <w:pStyle w:val="a8"/>
        <w:jc w:val="both"/>
        <w:rPr>
          <w:rFonts w:ascii="Times New Roman" w:hAnsi="Times New Roman" w:cs="Times New Roman"/>
          <w:color w:val="000000" w:themeColor="text1"/>
        </w:rPr>
      </w:pPr>
    </w:p>
    <w:p w14:paraId="50E72AA0"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В.Б.Ш. сделал поплавки для АИР-6 (1076,826).</w:t>
      </w:r>
    </w:p>
    <w:p w14:paraId="4F5B13C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74131A26"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членам РВС на ЦА был продемонстрирован И-4 с АПК-3 (1060,53).</w:t>
      </w:r>
    </w:p>
    <w:p w14:paraId="1BDF27F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5B0D8B8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на ТБ-3 (АНТ-6) В.А.Степанченок сумел сесть на истребителе (271,133).</w:t>
      </w:r>
    </w:p>
    <w:p w14:paraId="31AF38A7"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2A1D1A6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был рассмотрен эскизный проект АНТ-20 (МГ). Хотели, чтобы помимо агитационного мог бы быть и передвижным штабом для высших военных и политических властей (2072,66).</w:t>
      </w:r>
    </w:p>
    <w:p w14:paraId="398A18E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01E99CE7"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был утвержден макет МГ 6М-34РН А.Н.Т. (2287,128).</w:t>
      </w:r>
    </w:p>
    <w:p w14:paraId="7A34F4A0"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1C017B57"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Техсовет рассмотрел эскизный проект МГ. Он опирался на расчеты и кон</w:t>
      </w:r>
      <w:r w:rsidRPr="0044524F">
        <w:rPr>
          <w:rFonts w:ascii="Times New Roman" w:hAnsi="Times New Roman"/>
          <w:color w:val="000000" w:themeColor="text1"/>
          <w:sz w:val="16"/>
          <w:szCs w:val="16"/>
        </w:rPr>
        <w:softHyphen/>
        <w:t>структивные решения, принятые для «старого» АНТ—20. Будучи его дальнейшим развитием, «МГ» отличался увеличен</w:t>
      </w:r>
      <w:r w:rsidRPr="0044524F">
        <w:rPr>
          <w:rFonts w:ascii="Times New Roman" w:hAnsi="Times New Roman"/>
          <w:color w:val="000000" w:themeColor="text1"/>
          <w:sz w:val="16"/>
          <w:szCs w:val="16"/>
        </w:rPr>
        <w:softHyphen/>
        <w:t>ным на 10—12 м размахом крыла, коли</w:t>
      </w:r>
      <w:r w:rsidRPr="0044524F">
        <w:rPr>
          <w:rFonts w:ascii="Times New Roman" w:hAnsi="Times New Roman"/>
          <w:color w:val="000000" w:themeColor="text1"/>
          <w:sz w:val="16"/>
          <w:szCs w:val="16"/>
        </w:rPr>
        <w:softHyphen/>
        <w:t>чеством двигателей, новым вертикальным оперением. В проекте предусматрива</w:t>
      </w:r>
      <w:r w:rsidRPr="0044524F">
        <w:rPr>
          <w:rFonts w:ascii="Times New Roman" w:hAnsi="Times New Roman"/>
          <w:color w:val="000000" w:themeColor="text1"/>
          <w:sz w:val="16"/>
          <w:szCs w:val="16"/>
        </w:rPr>
        <w:softHyphen/>
        <w:t>лась возможность использования само</w:t>
      </w:r>
      <w:r w:rsidRPr="0044524F">
        <w:rPr>
          <w:rFonts w:ascii="Times New Roman" w:hAnsi="Times New Roman"/>
          <w:color w:val="000000" w:themeColor="text1"/>
          <w:sz w:val="16"/>
          <w:szCs w:val="16"/>
        </w:rPr>
        <w:softHyphen/>
        <w:t>лета в качестве агитационного, пасса</w:t>
      </w:r>
      <w:r w:rsidRPr="0044524F">
        <w:rPr>
          <w:rFonts w:ascii="Times New Roman" w:hAnsi="Times New Roman"/>
          <w:color w:val="000000" w:themeColor="text1"/>
          <w:sz w:val="16"/>
          <w:szCs w:val="16"/>
        </w:rPr>
        <w:softHyphen/>
        <w:t>жирского, транспортного, бомбовоза, он мог служить передвижным штабом для высших военных и политических структур власти.</w:t>
      </w:r>
    </w:p>
    <w:p w14:paraId="7FE57A9D"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расчетам КБ основные варианты «МГ» могли иметь неплохие данные:</w:t>
      </w:r>
    </w:p>
    <w:tbl>
      <w:tblPr>
        <w:tblOverlap w:val="never"/>
        <w:tblW w:w="0" w:type="auto"/>
        <w:tblLayout w:type="fixed"/>
        <w:tblCellMar>
          <w:left w:w="10" w:type="dxa"/>
          <w:right w:w="10" w:type="dxa"/>
        </w:tblCellMar>
        <w:tblLook w:val="04A0" w:firstRow="1" w:lastRow="0" w:firstColumn="1" w:lastColumn="0" w:noHBand="0" w:noVBand="1"/>
      </w:tblPr>
      <w:tblGrid>
        <w:gridCol w:w="1656"/>
        <w:gridCol w:w="1080"/>
        <w:gridCol w:w="648"/>
      </w:tblGrid>
      <w:tr w:rsidR="00AB0377" w:rsidRPr="0044524F" w14:paraId="6421346D" w14:textId="77777777" w:rsidTr="00E9136F">
        <w:trPr>
          <w:trHeight w:val="274"/>
        </w:trPr>
        <w:tc>
          <w:tcPr>
            <w:tcW w:w="1656" w:type="dxa"/>
            <w:tcBorders>
              <w:top w:val="single" w:sz="4" w:space="0" w:color="auto"/>
              <w:left w:val="single" w:sz="4" w:space="0" w:color="auto"/>
            </w:tcBorders>
            <w:vAlign w:val="center"/>
          </w:tcPr>
          <w:p w14:paraId="219DDA37"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tc>
        <w:tc>
          <w:tcPr>
            <w:tcW w:w="1080" w:type="dxa"/>
            <w:tcBorders>
              <w:top w:val="single" w:sz="4" w:space="0" w:color="auto"/>
              <w:left w:val="single" w:sz="4" w:space="0" w:color="auto"/>
            </w:tcBorders>
            <w:vAlign w:val="center"/>
          </w:tcPr>
          <w:p w14:paraId="3FC92927"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агитационный</w:t>
            </w:r>
          </w:p>
        </w:tc>
        <w:tc>
          <w:tcPr>
            <w:tcW w:w="648" w:type="dxa"/>
            <w:tcBorders>
              <w:top w:val="single" w:sz="4" w:space="0" w:color="auto"/>
              <w:left w:val="single" w:sz="4" w:space="0" w:color="auto"/>
              <w:right w:val="single" w:sz="4" w:space="0" w:color="auto"/>
            </w:tcBorders>
            <w:vAlign w:val="center"/>
          </w:tcPr>
          <w:p w14:paraId="233C8759"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Военный</w:t>
            </w:r>
          </w:p>
        </w:tc>
      </w:tr>
      <w:tr w:rsidR="00AB0377" w:rsidRPr="0044524F" w14:paraId="05389A6A" w14:textId="77777777" w:rsidTr="00E9136F">
        <w:trPr>
          <w:trHeight w:val="250"/>
        </w:trPr>
        <w:tc>
          <w:tcPr>
            <w:tcW w:w="1656" w:type="dxa"/>
            <w:tcBorders>
              <w:top w:val="single" w:sz="4" w:space="0" w:color="auto"/>
              <w:left w:val="single" w:sz="4" w:space="0" w:color="auto"/>
            </w:tcBorders>
          </w:tcPr>
          <w:p w14:paraId="68E5244B"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 моторов, м</w:t>
            </w:r>
          </w:p>
        </w:tc>
        <w:tc>
          <w:tcPr>
            <w:tcW w:w="1080" w:type="dxa"/>
            <w:tcBorders>
              <w:top w:val="single" w:sz="4" w:space="0" w:color="auto"/>
              <w:left w:val="single" w:sz="4" w:space="0" w:color="auto"/>
            </w:tcBorders>
          </w:tcPr>
          <w:p w14:paraId="39AE4443"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648" w:type="dxa"/>
            <w:tcBorders>
              <w:top w:val="single" w:sz="4" w:space="0" w:color="auto"/>
              <w:left w:val="single" w:sz="4" w:space="0" w:color="auto"/>
              <w:right w:val="single" w:sz="4" w:space="0" w:color="auto"/>
            </w:tcBorders>
          </w:tcPr>
          <w:p w14:paraId="6D7D9135"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r>
      <w:tr w:rsidR="00AB0377" w:rsidRPr="0044524F" w14:paraId="49CDA192" w14:textId="77777777" w:rsidTr="00E9136F">
        <w:trPr>
          <w:trHeight w:val="245"/>
        </w:trPr>
        <w:tc>
          <w:tcPr>
            <w:tcW w:w="1656" w:type="dxa"/>
            <w:tcBorders>
              <w:top w:val="single" w:sz="4" w:space="0" w:color="auto"/>
              <w:left w:val="single" w:sz="4" w:space="0" w:color="auto"/>
            </w:tcBorders>
          </w:tcPr>
          <w:p w14:paraId="6788873B"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м</w:t>
            </w:r>
          </w:p>
        </w:tc>
        <w:tc>
          <w:tcPr>
            <w:tcW w:w="1080" w:type="dxa"/>
            <w:tcBorders>
              <w:top w:val="single" w:sz="4" w:space="0" w:color="auto"/>
              <w:left w:val="single" w:sz="4" w:space="0" w:color="auto"/>
            </w:tcBorders>
          </w:tcPr>
          <w:p w14:paraId="7BB8E182"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6500</w:t>
            </w:r>
          </w:p>
        </w:tc>
        <w:tc>
          <w:tcPr>
            <w:tcW w:w="648" w:type="dxa"/>
            <w:tcBorders>
              <w:top w:val="single" w:sz="4" w:space="0" w:color="auto"/>
              <w:left w:val="single" w:sz="4" w:space="0" w:color="auto"/>
              <w:right w:val="single" w:sz="4" w:space="0" w:color="auto"/>
            </w:tcBorders>
          </w:tcPr>
          <w:p w14:paraId="7EB03AD3"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6300</w:t>
            </w:r>
          </w:p>
        </w:tc>
      </w:tr>
      <w:tr w:rsidR="00AB0377" w:rsidRPr="0044524F" w14:paraId="6F703F3B" w14:textId="77777777" w:rsidTr="00E9136F">
        <w:trPr>
          <w:trHeight w:val="259"/>
        </w:trPr>
        <w:tc>
          <w:tcPr>
            <w:tcW w:w="1656" w:type="dxa"/>
            <w:tcBorders>
              <w:top w:val="single" w:sz="4" w:space="0" w:color="auto"/>
              <w:left w:val="single" w:sz="4" w:space="0" w:color="auto"/>
              <w:bottom w:val="single" w:sz="4" w:space="0" w:color="auto"/>
            </w:tcBorders>
          </w:tcPr>
          <w:p w14:paraId="70BC2DAF"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 км/ч</w:t>
            </w:r>
          </w:p>
        </w:tc>
        <w:tc>
          <w:tcPr>
            <w:tcW w:w="1080" w:type="dxa"/>
            <w:tcBorders>
              <w:top w:val="single" w:sz="4" w:space="0" w:color="auto"/>
              <w:left w:val="single" w:sz="4" w:space="0" w:color="auto"/>
              <w:bottom w:val="single" w:sz="4" w:space="0" w:color="auto"/>
            </w:tcBorders>
          </w:tcPr>
          <w:p w14:paraId="7E3195FF"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w:t>
            </w:r>
          </w:p>
        </w:tc>
        <w:tc>
          <w:tcPr>
            <w:tcW w:w="648" w:type="dxa"/>
            <w:tcBorders>
              <w:top w:val="single" w:sz="4" w:space="0" w:color="auto"/>
              <w:left w:val="single" w:sz="4" w:space="0" w:color="auto"/>
              <w:bottom w:val="single" w:sz="4" w:space="0" w:color="auto"/>
              <w:right w:val="single" w:sz="4" w:space="0" w:color="auto"/>
            </w:tcBorders>
          </w:tcPr>
          <w:p w14:paraId="4F54488E"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224</w:t>
            </w:r>
          </w:p>
        </w:tc>
      </w:tr>
    </w:tbl>
    <w:p w14:paraId="4036BDDC"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пассажирского самолет мог перевозить 72 человека (23474).</w:t>
      </w:r>
    </w:p>
    <w:p w14:paraId="0F1E6B7B" w14:textId="77777777" w:rsidR="00AB0377" w:rsidRPr="0044524F" w:rsidRDefault="00AB0377" w:rsidP="009654CF">
      <w:pPr>
        <w:spacing w:after="0" w:line="240" w:lineRule="auto"/>
        <w:jc w:val="both"/>
        <w:rPr>
          <w:rFonts w:ascii="Times New Roman" w:hAnsi="Times New Roman"/>
          <w:color w:val="000000" w:themeColor="text1"/>
          <w:sz w:val="16"/>
          <w:szCs w:val="16"/>
        </w:rPr>
      </w:pPr>
    </w:p>
    <w:p w14:paraId="5C998C7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собрали и закончили мелкие доработки АНТ-16 (ТБ-4), который в феврале 1933 начали перевозить частями на аэродром (2072,64).</w:t>
      </w:r>
    </w:p>
    <w:p w14:paraId="09AFC3F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15A88F7D"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апреля 1933 на ЦА проводили сборку, занимались мелкими доработками АНТ-16.</w:t>
      </w:r>
    </w:p>
    <w:p w14:paraId="7E9577D6" w14:textId="77777777" w:rsidR="00AB0377" w:rsidRPr="0044524F" w:rsidRDefault="00AB03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г. М.М. Громов впервые поднял ТБ—4 в воздух. Он отметил про</w:t>
      </w:r>
      <w:r w:rsidRPr="0044524F">
        <w:rPr>
          <w:rFonts w:ascii="Times New Roman" w:hAnsi="Times New Roman"/>
          <w:color w:val="000000" w:themeColor="text1"/>
          <w:sz w:val="16"/>
          <w:szCs w:val="16"/>
        </w:rPr>
        <w:softHyphen/>
        <w:t>стоту взлета и посадки, устойчивость машины при наборе высоты и в гори</w:t>
      </w:r>
      <w:r w:rsidRPr="0044524F">
        <w:rPr>
          <w:rFonts w:ascii="Times New Roman" w:hAnsi="Times New Roman"/>
          <w:color w:val="000000" w:themeColor="text1"/>
          <w:sz w:val="16"/>
          <w:szCs w:val="16"/>
        </w:rPr>
        <w:softHyphen/>
        <w:t>зонтальном полете. Однако усилия на педалях оказались чрезмерными, и при</w:t>
      </w:r>
      <w:r w:rsidRPr="0044524F">
        <w:rPr>
          <w:rFonts w:ascii="Times New Roman" w:hAnsi="Times New Roman"/>
          <w:color w:val="000000" w:themeColor="text1"/>
          <w:sz w:val="16"/>
          <w:szCs w:val="16"/>
        </w:rPr>
        <w:softHyphen/>
        <w:t>шлось изменить степень аэродинамиче</w:t>
      </w:r>
      <w:r w:rsidRPr="0044524F">
        <w:rPr>
          <w:rFonts w:ascii="Times New Roman" w:hAnsi="Times New Roman"/>
          <w:color w:val="000000" w:themeColor="text1"/>
          <w:sz w:val="16"/>
          <w:szCs w:val="16"/>
        </w:rPr>
        <w:softHyphen/>
        <w:t>ской компенсации руля направления (23474).</w:t>
      </w:r>
    </w:p>
    <w:p w14:paraId="47234D3E" w14:textId="77777777" w:rsidR="00AB0377" w:rsidRPr="0044524F" w:rsidRDefault="00AB0377" w:rsidP="009654CF">
      <w:pPr>
        <w:spacing w:after="0" w:line="240" w:lineRule="auto"/>
        <w:jc w:val="both"/>
        <w:rPr>
          <w:rFonts w:ascii="Times New Roman" w:hAnsi="Times New Roman"/>
          <w:color w:val="000000" w:themeColor="text1"/>
          <w:sz w:val="16"/>
          <w:szCs w:val="16"/>
        </w:rPr>
      </w:pPr>
    </w:p>
    <w:p w14:paraId="36FDE726"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состоялись опытные стрельбы по Р-1 из различных пушек и в заключении было сказано, что 20-мм снаряд слаб по любому самолету; 37-мм - требуется от двух до пяти попаданий для вывода самолета из строя, а для 45 мм снаряда достаточно одного попадания (1246,109):</w:t>
      </w:r>
    </w:p>
    <w:p w14:paraId="45995F6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“20-мм снаряд слаб по любому самолету, требуется от 2 до 5 попаданий для вывода из строя с-та, а для 45 мм снаряда достаточно и одного попадания...” (3996, 78).</w:t>
      </w:r>
    </w:p>
    <w:p w14:paraId="27EE51B5"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14F3FD95" w14:textId="77777777" w:rsidR="0066440B" w:rsidRPr="0044524F" w:rsidRDefault="00664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маю 1933 г. комиссия по снижению веса АНТ-6 под руководством В.М. Петлякова, в которую вошли представители НИИ ВВС, завода №22 и КБ А.Н.Т., соста</w:t>
      </w:r>
      <w:r w:rsidRPr="0044524F">
        <w:rPr>
          <w:rFonts w:ascii="Times New Roman" w:hAnsi="Times New Roman"/>
          <w:color w:val="000000" w:themeColor="text1"/>
          <w:sz w:val="16"/>
          <w:szCs w:val="16"/>
        </w:rPr>
        <w:softHyphen/>
        <w:t>вила перечень агрегатов и отдельных час</w:t>
      </w:r>
      <w:r w:rsidRPr="0044524F">
        <w:rPr>
          <w:rFonts w:ascii="Times New Roman" w:hAnsi="Times New Roman"/>
          <w:color w:val="000000" w:themeColor="text1"/>
          <w:sz w:val="16"/>
          <w:szCs w:val="16"/>
        </w:rPr>
        <w:softHyphen/>
        <w:t>тей конструкции, за счет снятия которых масса машины могла быть уменьшена. Для подтверждения принятых решений КБ передали два серийных самолета — №22243 и №22250 с двигателями М—17. Каждую машину облегчили на 721,8 кг. По сравнению с головным серийным са</w:t>
      </w:r>
      <w:r w:rsidRPr="0044524F">
        <w:rPr>
          <w:rFonts w:ascii="Times New Roman" w:hAnsi="Times New Roman"/>
          <w:color w:val="000000" w:themeColor="text1"/>
          <w:sz w:val="16"/>
          <w:szCs w:val="16"/>
        </w:rPr>
        <w:softHyphen/>
        <w:t>молетом №3901 скорость облегченного ТБ—3 (№22243) возросла на 15,8 км/ч, потолок увеличился на 600 м (23474).</w:t>
      </w:r>
    </w:p>
    <w:p w14:paraId="6F53FF4A" w14:textId="77777777" w:rsidR="0066440B" w:rsidRPr="0044524F" w:rsidRDefault="0066440B" w:rsidP="009654CF">
      <w:pPr>
        <w:spacing w:after="0" w:line="240" w:lineRule="auto"/>
        <w:jc w:val="both"/>
        <w:rPr>
          <w:rFonts w:ascii="Times New Roman" w:hAnsi="Times New Roman"/>
          <w:color w:val="000000" w:themeColor="text1"/>
          <w:sz w:val="16"/>
          <w:szCs w:val="16"/>
        </w:rPr>
      </w:pPr>
    </w:p>
    <w:p w14:paraId="7CC14B5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начались гос. испытания М-34Р, которые шли до 2 мая 1933 (2281,67).</w:t>
      </w:r>
    </w:p>
    <w:p w14:paraId="1E7355F8"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76CA039A"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проходили госиспытания М-50 (ЗМ-11). Самый мощный мотор семейства, М-49, проходил заводские испытания. В 1933 г. уже планировали заменить М-11 в серии на М-51 (11852).</w:t>
      </w:r>
    </w:p>
    <w:p w14:paraId="3EF925AE"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118C9A9"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1933 г. аэродинамический отдел ЦАГИ докладывал заместителю наркома НКТП СССР и начальнику Глававиапрома П.И. Баранову о слабости аэродинамической экспериментальной базы СССР, что отразилось на качестве опытного самолетостроения. В связи с этим «ЦАГИ считает необходимым во второй пятилетке построить две аэродинамические трубы, одну для исследования винтов и моторов в натуру, а другую для исследования самолетов в натуру с размером рабочей части для винтовой трубы 3 м при скорости потока 100 м/с, и для самолетной трубы: размер рабочей части 12 х 24 [м] при скорости потока 60 м/с»</w:t>
      </w:r>
      <w:bookmarkStart w:id="10" w:name="_ftnref5"/>
      <w:r w:rsidRPr="00142305">
        <w:rPr>
          <w:rFonts w:ascii="Times New Roman" w:hAnsi="Times New Roman"/>
          <w:color w:val="0070C0"/>
          <w:sz w:val="16"/>
          <w:szCs w:val="16"/>
        </w:rPr>
        <w:t xml:space="preserve"> (25126)</w:t>
      </w:r>
      <w:bookmarkEnd w:id="10"/>
      <w:r w:rsidRPr="00142305">
        <w:rPr>
          <w:rFonts w:ascii="Times New Roman" w:hAnsi="Times New Roman"/>
          <w:color w:val="0070C0"/>
          <w:sz w:val="16"/>
          <w:szCs w:val="16"/>
        </w:rPr>
        <w:t>.</w:t>
      </w:r>
    </w:p>
    <w:p w14:paraId="4EFD28F1" w14:textId="77777777" w:rsidR="00C16590" w:rsidRPr="00142305" w:rsidRDefault="00C16590" w:rsidP="00C16590">
      <w:pPr>
        <w:spacing w:after="0" w:line="240" w:lineRule="auto"/>
        <w:jc w:val="both"/>
        <w:rPr>
          <w:rFonts w:ascii="Times New Roman" w:hAnsi="Times New Roman"/>
          <w:color w:val="0070C0"/>
          <w:sz w:val="16"/>
          <w:szCs w:val="16"/>
        </w:rPr>
      </w:pPr>
    </w:p>
    <w:p w14:paraId="77274C10"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апреля 1933 г. двигатель включили в государственный план опытно-конструкторских работ. На последующих опытных образцах ввели вы</w:t>
      </w:r>
      <w:r w:rsidRPr="0044524F">
        <w:rPr>
          <w:rFonts w:ascii="Times New Roman" w:hAnsi="Times New Roman"/>
          <w:color w:val="000000" w:themeColor="text1"/>
          <w:sz w:val="16"/>
          <w:szCs w:val="16"/>
        </w:rPr>
        <w:softHyphen/>
        <w:t>хлоп назад, а не вбок, усилили головки цилиндров, раздвинули гнезда под свечи, заменили воздушное охлаждение выхлопных клапанов натрие</w:t>
      </w:r>
      <w:r w:rsidRPr="0044524F">
        <w:rPr>
          <w:rFonts w:ascii="Times New Roman" w:hAnsi="Times New Roman"/>
          <w:color w:val="000000" w:themeColor="text1"/>
          <w:sz w:val="16"/>
          <w:szCs w:val="16"/>
        </w:rPr>
        <w:softHyphen/>
        <w:t>вым, усилили шатуны и крепления противовесов коленвала. В связи с ненадежной работой ПЦН перешли к уменьшенному наддуву, для чего уменьшили обороты крыльчатки и ее диаметр. Одновременно с этим вме</w:t>
      </w:r>
      <w:r w:rsidRPr="0044524F">
        <w:rPr>
          <w:rFonts w:ascii="Times New Roman" w:hAnsi="Times New Roman"/>
          <w:color w:val="000000" w:themeColor="text1"/>
          <w:sz w:val="16"/>
          <w:szCs w:val="16"/>
        </w:rPr>
        <w:softHyphen/>
        <w:t>сто переднего подшипника скольжения смонтировали роликовый. В таком виде мотор М-58МН с апреля 1934 г. проходил стендовые испытания. В апреле — мае его испытывали без наддува, а в июле — августе двига</w:t>
      </w:r>
      <w:r w:rsidRPr="0044524F">
        <w:rPr>
          <w:rFonts w:ascii="Times New Roman" w:hAnsi="Times New Roman"/>
          <w:color w:val="000000" w:themeColor="text1"/>
          <w:sz w:val="16"/>
          <w:szCs w:val="16"/>
        </w:rPr>
        <w:softHyphen/>
        <w:t>тель прошел 50-часовые заводские испытания с ПЦН. В сентябре того же года М-58МН проходил государственные испытания. Выявлены поломки привода ПЦН, обрывы клапанов, трещины картера, поломки поршневых колец и клапанных пружин. В 1934 г. предлагалось выпустить малую се</w:t>
      </w:r>
      <w:r w:rsidRPr="0044524F">
        <w:rPr>
          <w:rFonts w:ascii="Times New Roman" w:hAnsi="Times New Roman"/>
          <w:color w:val="000000" w:themeColor="text1"/>
          <w:sz w:val="16"/>
          <w:szCs w:val="16"/>
        </w:rPr>
        <w:softHyphen/>
        <w:t>рию из 15-20 М-58МН. Один из моторов этой модификации в октябре 1935 г. на заводе № 22 в Горьком установили на самолет УТИ-3. С 30 ноября 1935 г. по 25 мая 1936 г. он испытывался в НИИ ВВС. В Запорожье готовили модификацию М-58Н с полным наддувом. Опыт</w:t>
      </w:r>
      <w:r w:rsidRPr="0044524F">
        <w:rPr>
          <w:rFonts w:ascii="Times New Roman" w:hAnsi="Times New Roman"/>
          <w:color w:val="000000" w:themeColor="text1"/>
          <w:sz w:val="16"/>
          <w:szCs w:val="16"/>
        </w:rPr>
        <w:softHyphen/>
        <w:t>ный образец такого двигателя был собран, но данных о его испытаниях нет. Работы по М-58 прекратили в июне 1936 г.</w:t>
      </w:r>
    </w:p>
    <w:p w14:paraId="399E096F"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7EDCB878"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9-цилиндровый, звездообразный, четырехтактный, воздушного охлаж</w:t>
      </w:r>
      <w:r w:rsidRPr="0044524F">
        <w:rPr>
          <w:rFonts w:ascii="Times New Roman" w:hAnsi="Times New Roman"/>
          <w:color w:val="000000" w:themeColor="text1"/>
          <w:sz w:val="16"/>
          <w:szCs w:val="16"/>
        </w:rPr>
        <w:softHyphen/>
        <w:t>дения, безредукторный, с одноступенчатым односкоростным ПЦН;</w:t>
      </w:r>
    </w:p>
    <w:p w14:paraId="749DC8EE"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160/190 мм;</w:t>
      </w:r>
    </w:p>
    <w:p w14:paraId="64323DAE"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объем 34,4 л;</w:t>
      </w:r>
    </w:p>
    <w:p w14:paraId="767539B6"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5,5;</w:t>
      </w:r>
    </w:p>
    <w:p w14:paraId="0A3404D7"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по проекту 630/800 л.с., реально 630/785 л.с.;</w:t>
      </w:r>
    </w:p>
    <w:p w14:paraId="08AA5A3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вес в зависимости от модификации. Известны модификации:</w:t>
      </w:r>
    </w:p>
    <w:p w14:paraId="0A52B21E"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М-58Н</w:t>
      </w:r>
    </w:p>
    <w:p w14:paraId="2187D1BD"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М-58, три первых опытных экземпляра с полным наддувом, 630/680 л.с., вес 445^450 кг.</w:t>
      </w:r>
    </w:p>
    <w:p w14:paraId="7285F2E9"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М-58МН, последующие два (возможно, три) образца с уменьшенным наддувом. Мощность 630/785 л.с., вес 465^476 кг.</w:t>
      </w:r>
    </w:p>
    <w:p w14:paraId="17C4B7C7"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М-58Н, отличался от М-58МН передачей к ПЦН, крыльчаткой и диф</w:t>
      </w:r>
      <w:r w:rsidRPr="0044524F">
        <w:rPr>
          <w:rFonts w:ascii="Times New Roman" w:hAnsi="Times New Roman"/>
          <w:color w:val="000000" w:themeColor="text1"/>
          <w:sz w:val="16"/>
          <w:szCs w:val="16"/>
        </w:rPr>
        <w:softHyphen/>
        <w:t>фузором.</w:t>
      </w:r>
    </w:p>
    <w:p w14:paraId="70CB0CC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было изготовлено шесть (по другим данным, восемь) М-58. М-58 планировалось устанавливать на истребителях И-14, И-15, ДИ-6, И-16 (11852).</w:t>
      </w:r>
    </w:p>
    <w:p w14:paraId="38B5428C" w14:textId="77777777" w:rsidR="00F15071" w:rsidRPr="0044524F" w:rsidRDefault="00F1507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C6C735"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года согласно Технико-экономическому паспорту влился в систему ГВФ Киевский филиал НИИ авиадвигателей ГВФ До этого времени был филиалом Всеукраинского института двигателей внутреннего сгорания</w:t>
      </w:r>
    </w:p>
    <w:p w14:paraId="10D507A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Адрес: Киев, Прорезная, 26</w:t>
      </w:r>
    </w:p>
    <w:p w14:paraId="5792A15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Цели и задачи филиала:</w:t>
      </w:r>
    </w:p>
    <w:p w14:paraId="2F44C8D2"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конструкции советского авиадизеля.</w:t>
      </w:r>
    </w:p>
    <w:p w14:paraId="7CD8F2E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Тематический план 1932 года в основном заключался в проектировании и постройке дизелей для глиссеров мощностью 80НР и 300НР. Вся остальная тематика исследовательская подчинена этим задачам. Кроме этого темплан 1932 года включал ряд заданий по маломощным бензиновым моторам специального назначения.</w:t>
      </w:r>
    </w:p>
    <w:p w14:paraId="29ECA21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Темплан 1933 года предусматривает заканчивание двигателей 80НР и 300НР. Сверхплановой работой 1932 года явилась подготовительная работа по созданию советской конструкции нефтяного насоса и форсунки. Кроме этого Институт в 1933 году должен осуществить постройку двух маломощных бензиновых двигателей для дирижаблей (вспомогательное обслуживание).</w:t>
      </w:r>
    </w:p>
    <w:p w14:paraId="7612986D"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Оборонное значение филиала:</w:t>
      </w:r>
    </w:p>
    <w:p w14:paraId="426E9285"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течение 1932 года Институтом было запроектировано 4 двигателя специального назначения для военно-инженерного управления и Управления связи РККА. Двигатели эти сейчас осуществляются постройкой, а часть испытывается силами Института. Эта работа будет продолжена в 1933 году.</w:t>
      </w:r>
    </w:p>
    <w:p w14:paraId="26F7DB26"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работам оборонного значения также относится проектирование и постройка дизеля для дирижабля и двух вспомогательных бензиновых моторов для авиации.</w:t>
      </w:r>
    </w:p>
    <w:p w14:paraId="0D9F0AB0"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2969B92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начала своего существования филиал работает над осуществлением легкого быстроходного дизеля. Идет по пути уменьшения веса.</w:t>
      </w:r>
    </w:p>
    <w:p w14:paraId="57F12EB6"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…………………….(7726, 65-69).</w:t>
      </w:r>
    </w:p>
    <w:p w14:paraId="5A99EDA2"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5E3E40C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был подготовлен проект Постановления СТО</w:t>
      </w:r>
    </w:p>
    <w:p w14:paraId="154920B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вопросу: Об опытном авиадизелестроении</w:t>
      </w:r>
    </w:p>
    <w:p w14:paraId="3177D176"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5CAB6752"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Признать состояние опытного строительства авиадизелей неудовлетворительным.</w:t>
      </w:r>
    </w:p>
    <w:p w14:paraId="36A78B42"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Указать Баранову – ГУАП, Анвельт – ГУГВФ, Горянову – ОГПУ, Павлуновскому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54962DF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206EC935"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4E10C1" w:rsidRPr="0044524F" w14:paraId="7A67EAC6" w14:textId="77777777">
        <w:tc>
          <w:tcPr>
            <w:tcW w:w="2318" w:type="dxa"/>
          </w:tcPr>
          <w:p w14:paraId="5529B39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Название дизеля</w:t>
            </w:r>
          </w:p>
        </w:tc>
        <w:tc>
          <w:tcPr>
            <w:tcW w:w="2318" w:type="dxa"/>
          </w:tcPr>
          <w:p w14:paraId="3BDCAB8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w:t>
            </w:r>
          </w:p>
        </w:tc>
        <w:tc>
          <w:tcPr>
            <w:tcW w:w="2318" w:type="dxa"/>
          </w:tcPr>
          <w:p w14:paraId="1BAD7945"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2318" w:type="dxa"/>
          </w:tcPr>
          <w:p w14:paraId="6911FF0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2318" w:type="dxa"/>
          </w:tcPr>
          <w:p w14:paraId="72712A12"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r>
      <w:tr w:rsidR="004E10C1" w:rsidRPr="0044524F" w14:paraId="4E7C27A4" w14:textId="77777777">
        <w:tc>
          <w:tcPr>
            <w:tcW w:w="2318" w:type="dxa"/>
          </w:tcPr>
          <w:p w14:paraId="7FA6A00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w:t>
            </w:r>
          </w:p>
        </w:tc>
        <w:tc>
          <w:tcPr>
            <w:tcW w:w="2318" w:type="dxa"/>
          </w:tcPr>
          <w:p w14:paraId="3656B86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c>
          <w:tcPr>
            <w:tcW w:w="2318" w:type="dxa"/>
          </w:tcPr>
          <w:p w14:paraId="37ED7C12"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2318" w:type="dxa"/>
          </w:tcPr>
          <w:p w14:paraId="2CBD95E8"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318" w:type="dxa"/>
          </w:tcPr>
          <w:p w14:paraId="002CB72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r>
      <w:tr w:rsidR="004E10C1" w:rsidRPr="0044524F" w14:paraId="173A58F3" w14:textId="77777777">
        <w:tc>
          <w:tcPr>
            <w:tcW w:w="2318" w:type="dxa"/>
          </w:tcPr>
          <w:p w14:paraId="0C09A6C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Н-2</w:t>
            </w:r>
          </w:p>
        </w:tc>
        <w:tc>
          <w:tcPr>
            <w:tcW w:w="2318" w:type="dxa"/>
          </w:tcPr>
          <w:p w14:paraId="6951081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1934 года</w:t>
            </w:r>
          </w:p>
        </w:tc>
        <w:tc>
          <w:tcPr>
            <w:tcW w:w="2318" w:type="dxa"/>
          </w:tcPr>
          <w:p w14:paraId="64B08A0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2318" w:type="dxa"/>
          </w:tcPr>
          <w:p w14:paraId="63AD5FA0"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318" w:type="dxa"/>
          </w:tcPr>
          <w:p w14:paraId="0D3A78D6"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r>
      <w:tr w:rsidR="004E10C1" w:rsidRPr="0044524F" w14:paraId="02BCD9EA" w14:textId="77777777">
        <w:tc>
          <w:tcPr>
            <w:tcW w:w="2318" w:type="dxa"/>
          </w:tcPr>
          <w:p w14:paraId="3473266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Н-3</w:t>
            </w:r>
          </w:p>
        </w:tc>
        <w:tc>
          <w:tcPr>
            <w:tcW w:w="2318" w:type="dxa"/>
          </w:tcPr>
          <w:p w14:paraId="4094821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1934 года</w:t>
            </w:r>
          </w:p>
        </w:tc>
        <w:tc>
          <w:tcPr>
            <w:tcW w:w="2318" w:type="dxa"/>
          </w:tcPr>
          <w:p w14:paraId="1C4EF22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2318" w:type="dxa"/>
          </w:tcPr>
          <w:p w14:paraId="1BABFD6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318" w:type="dxa"/>
          </w:tcPr>
          <w:p w14:paraId="30247C2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r>
      <w:tr w:rsidR="004E10C1" w:rsidRPr="0044524F" w14:paraId="70386E13" w14:textId="77777777">
        <w:tc>
          <w:tcPr>
            <w:tcW w:w="2318" w:type="dxa"/>
          </w:tcPr>
          <w:p w14:paraId="22009A6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Н-4</w:t>
            </w:r>
          </w:p>
        </w:tc>
        <w:tc>
          <w:tcPr>
            <w:tcW w:w="2318" w:type="dxa"/>
          </w:tcPr>
          <w:p w14:paraId="0C2F7A2C"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1934 года</w:t>
            </w:r>
          </w:p>
        </w:tc>
        <w:tc>
          <w:tcPr>
            <w:tcW w:w="2318" w:type="dxa"/>
          </w:tcPr>
          <w:p w14:paraId="146EA8ED"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c>
          <w:tcPr>
            <w:tcW w:w="2318" w:type="dxa"/>
          </w:tcPr>
          <w:p w14:paraId="745355C0"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2318" w:type="dxa"/>
          </w:tcPr>
          <w:p w14:paraId="3C0D95C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r>
      <w:tr w:rsidR="004E10C1" w:rsidRPr="0044524F" w14:paraId="69FC8AF2" w14:textId="77777777">
        <w:tc>
          <w:tcPr>
            <w:tcW w:w="2318" w:type="dxa"/>
          </w:tcPr>
          <w:p w14:paraId="3FE3CD3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w:t>
            </w:r>
          </w:p>
        </w:tc>
        <w:tc>
          <w:tcPr>
            <w:tcW w:w="2318" w:type="dxa"/>
          </w:tcPr>
          <w:p w14:paraId="214533D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c>
          <w:tcPr>
            <w:tcW w:w="2318" w:type="dxa"/>
          </w:tcPr>
          <w:p w14:paraId="76E3808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2318" w:type="dxa"/>
          </w:tcPr>
          <w:p w14:paraId="10C75DD8"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2318" w:type="dxa"/>
          </w:tcPr>
          <w:p w14:paraId="4B67D8F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r>
    </w:tbl>
    <w:p w14:paraId="186B5DBA"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Подтвердить полную ответственность за своевременный выпуск дизелей:</w:t>
      </w:r>
    </w:p>
    <w:p w14:paraId="69F76D0D"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Баранова (ГУАП) дизелей Н-1 и Н-4</w:t>
      </w:r>
    </w:p>
    <w:p w14:paraId="541F8CAC"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Анвельта (ГУГВФ) дизелей Н-2 и Н-3</w:t>
      </w:r>
    </w:p>
    <w:p w14:paraId="5964937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Миронова (ОГПУ) дизеля Н-5</w:t>
      </w:r>
    </w:p>
    <w:p w14:paraId="027A85DE"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316E4142"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мотору Н-1: под ответственность Побережского (ЦИАМ) закончить производство всех деталей к 1 июля 1933 года, сборку мотора к 15 августа 1933 года, своевременно сдать дизель на гос. испытание.</w:t>
      </w:r>
    </w:p>
    <w:p w14:paraId="6DCA4FE0"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мотору Н-2: 1. Под ответственность Мартенса (Ленинградский дизельный институт) своевременно сдать дизель на гос. испытание. 2. Под ответственность Побережского (ЦИАМ) выполнить: выданный ему заказ на механическую обработку и сборку узлов к 1 мая 1933 года, колено кривошипного механизма наддувочного компрессора (для хиртовского вала) – к 15 мая 1933 года. Коленчатый вал с комплектом пропеллерной втулки и кривоколенный механизм наддувочного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мая 1933 года, обеспечить сборку и испытание двигателя на заводе и начать таковую 20 мая 1933 года. 5. Директору (завод им. Молотова) Премудрову обеспечить выполнение заказов на поковки коленчатого вала со сроками подачи начиная с 1 мая 1933 года.</w:t>
      </w:r>
    </w:p>
    <w:p w14:paraId="05673F7C"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64FB3C4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Красильниковуразместить группу компрессоров к 1 мая 1933 года. 6. Сборку мотора, под ответственность Красильникова закончить к 1 декабря 1933 года.</w:t>
      </w:r>
    </w:p>
    <w:p w14:paraId="15456863"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По мотору Н-5: 1. Под ответственность Горянова своевременно сдать дизель на гос. испытание. 2. Под ответственность зам. директора завода № 24 Колосова выполнитьпроизводство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Побережского испытание импеллерной группы закончить к 1 июля 1933 года, а сборку моторов в целом к 1 августа 1933 года.</w:t>
      </w:r>
    </w:p>
    <w:p w14:paraId="22C24E98"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134DF2A4"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авиадизели до тщательной проверки основных элементов конструкций.</w:t>
      </w:r>
    </w:p>
    <w:p w14:paraId="306233C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внедрении в производство опытных дизелей должен разрешаться в каждом отдельном случае замнаркомтяжпрома Барановым.</w:t>
      </w:r>
    </w:p>
    <w:p w14:paraId="4268331A"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в составе: Куйбышева Н.В. (председатель), Баранова, Алксниса, Гольцмана – к 1 августа 1933 года представить в СТО свои соображения об организации дизельного института и спецобъединен. производственной базы для опытного дизелестроения.</w:t>
      </w:r>
    </w:p>
    <w:p w14:paraId="327D4AEE"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УВВС (Алкснису) и ГУГВФ (Анвельт) немедленно приступить к разработке условий гос. испытаний использования и эксплоатации дизелей.</w:t>
      </w:r>
    </w:p>
    <w:p w14:paraId="0BB0682D"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Тресту Авиатопливо, УВВС (Зильберт) и ГУГВФ (Ангелов) – немедленно приступить к экспериментальным работам по подбору тяжелых топлив и обеспечить опытные установки и испытания авиадизелей необходимым количеством и требуемыми сортами топлив.</w:t>
      </w:r>
    </w:p>
    <w:p w14:paraId="0999466A"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582F0F99"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2076382D"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7255D6C9" w14:textId="77777777" w:rsidR="00F15071" w:rsidRPr="0044524F" w:rsidRDefault="00F15071"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21DBEF3" w14:textId="77777777" w:rsidR="000E63D3" w:rsidRPr="0044524F" w:rsidRDefault="000E63D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года начальник ВВС Алкснис писал письмо № 133 сс наркому по военным и морским делам и председателю РВС.</w:t>
      </w:r>
    </w:p>
    <w:p w14:paraId="2A3359B4" w14:textId="77777777" w:rsidR="000E63D3" w:rsidRPr="0044524F" w:rsidRDefault="000E63D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работах по созданию самолета с вращающимися крыльями.</w:t>
      </w:r>
    </w:p>
    <w:p w14:paraId="0F0517AC" w14:textId="77777777" w:rsidR="000E63D3" w:rsidRPr="0044524F" w:rsidRDefault="000E63D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Около года тому назад по заданию зам. председателя РВС Тухачевского инженер ВВС Попов, реализуя предложение инженера Максимова, начал работы по изучению возможности постройки самолета с вращающимися крыльями.</w:t>
      </w:r>
    </w:p>
    <w:p w14:paraId="5169EDB0" w14:textId="77777777" w:rsidR="000E63D3" w:rsidRPr="0044524F" w:rsidRDefault="000E63D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Построенная и испытанная модель показала возможность постройки такого самолета.</w:t>
      </w:r>
    </w:p>
    <w:p w14:paraId="67D0485C" w14:textId="77777777" w:rsidR="000E63D3" w:rsidRPr="0044524F" w:rsidRDefault="000E63D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Сейчас группа инженера Попова по заданию Тухачевского, заканчивая испытания построенной и несколько переделанной модели, приступила к проектированию одноместного самолета с вращающимися крыльями.</w:t>
      </w:r>
    </w:p>
    <w:p w14:paraId="3C74DFF1" w14:textId="77777777" w:rsidR="000E63D3" w:rsidRPr="0044524F" w:rsidRDefault="000E63D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6ABFF751" w14:textId="77777777" w:rsidR="000E63D3" w:rsidRPr="0044524F" w:rsidRDefault="000E63D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(6782, 17-18).</w:t>
      </w:r>
    </w:p>
    <w:p w14:paraId="617FC54D" w14:textId="77777777" w:rsidR="000E63D3" w:rsidRPr="0044524F" w:rsidRDefault="000E63D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C103DE"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года испытания моделей «высотной торпеды Камова», согласно отчету, дало «плохие» результаты вследствие того, что автор проекта «применил способ раскручивания отличный от намеченного в нормальных образцах».</w:t>
      </w:r>
    </w:p>
    <w:p w14:paraId="70BE673D"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Исправив ошибку, Камов осенью провел повторное испытание и на этот раз получил вполне приличные результаты - 100% раскрытий винта на «дистанциях» от двух до 14 секунд. Впрочем, выявился недостаток прочности лопастей на «дистанциях» раскрытия более 10 секунд. Опыты с большими образцами дали тот же эффект (раскрытие, но недостаточная прочность лопастей) (15598).</w:t>
      </w:r>
    </w:p>
    <w:p w14:paraId="538B7849" w14:textId="77777777" w:rsidR="000E63D3" w:rsidRPr="0044524F" w:rsidRDefault="000E63D3" w:rsidP="009654CF">
      <w:pPr>
        <w:spacing w:after="0" w:line="240" w:lineRule="auto"/>
        <w:jc w:val="both"/>
        <w:rPr>
          <w:rFonts w:ascii="Times New Roman" w:hAnsi="Times New Roman"/>
          <w:color w:val="000000" w:themeColor="text1"/>
          <w:sz w:val="16"/>
          <w:szCs w:val="16"/>
        </w:rPr>
      </w:pPr>
    </w:p>
    <w:p w14:paraId="28925C5E"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состоялась демонстрация приборов и Майзеля членам РВС на ЦА в Москве. Использовали старые ЗАМы, испытывающиеся еще в Евпатории (8908,36)</w:t>
      </w:r>
    </w:p>
    <w:p w14:paraId="11EE3F7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66549C74"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1933 года был представлен доработанный вариант пулемета ШКАС, известный под внутризаводским обозначением КМ-33 (конструкторская модель 1933 года), который пошел в производство в июле. Переход с полукустарного на серийное производство произошел только в начале 1934 года. Поэтому пулемет больше известен под обозначением «7,62-мм авиационный скорострельный пулемет системы Шпитального – Комарицкого обр. 1934 г. (ШКАС)». Доводка продолжалась и после постановки производства. Большую работу в этом направлении провела группа специалистов под руководством отечественного инженера-оружейника П. И. Майна. Проблемы приходилось решать на ходу. Как известно, витые пружины при высоких циклических скоростях теряют свои упругие свойства, становясь, по сути, твердым телом. В пулемете ШКАС возвратная пружина газового поршня, которая как раз работала в подобных условиях, быстро выходила из строя. Пришлось применить многожильную пружину, что значительно повысило ее стойкость. Для облегчения экстракции гильзы и предотвращения ее обрыва в каморе патронника ввели канавки Ревелли. При выстреле часть пороховых газов устремлялась в канавки, уменьшая силу сцепления гильзы со стенками патронника и облегчая тем самым ее экстракцию. Были введены также пружинные буфера затворной рамы и затвора, которые смягчали удар подвижной системы в заднем положении и повышали скорость ее возврата вперед. В спусковой механизм для увеличения живучести ввели буферную пружину шептала (25380).</w:t>
      </w:r>
    </w:p>
    <w:p w14:paraId="57030B58" w14:textId="77777777" w:rsidR="00C16590" w:rsidRPr="00142305" w:rsidRDefault="00C16590" w:rsidP="00C16590">
      <w:pPr>
        <w:spacing w:after="0" w:line="240" w:lineRule="auto"/>
        <w:jc w:val="both"/>
        <w:rPr>
          <w:rFonts w:ascii="Times New Roman" w:hAnsi="Times New Roman"/>
          <w:color w:val="0070C0"/>
          <w:sz w:val="16"/>
          <w:szCs w:val="16"/>
        </w:rPr>
      </w:pPr>
    </w:p>
    <w:p w14:paraId="2AD71CD1"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1933 года первые испытания 20-килограммовой модели «высотной торпеда» Камова, согласно отчету, дало «плохие» результаты вследствие того, что автор проекта «применил способ раскручивания отличный от намеченного в нормальных образцах».</w:t>
      </w:r>
    </w:p>
    <w:p w14:paraId="19793C58"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Исправив ошибку, Камов осенью провел повторное испытание и на этот раз получил вполне приличные результаты — 100% раскрытий винта на «дистанциях» от двух до 14 секунд. Впрочем, выявился недостаток прочности лопастей на «дистанциях» раскрытия более 10 секунд. Опыты с большими образцами дали тот же эффект (раскрытие, но недостаточная прочность лопастей) (25314).</w:t>
      </w:r>
    </w:p>
    <w:p w14:paraId="5B0CBB35" w14:textId="77777777" w:rsidR="00C16590" w:rsidRPr="00142305" w:rsidRDefault="00C16590" w:rsidP="00C16590">
      <w:pPr>
        <w:spacing w:after="0" w:line="240" w:lineRule="auto"/>
        <w:jc w:val="both"/>
        <w:rPr>
          <w:rFonts w:ascii="Times New Roman" w:hAnsi="Times New Roman"/>
          <w:color w:val="0070C0"/>
          <w:sz w:val="16"/>
          <w:szCs w:val="16"/>
        </w:rPr>
      </w:pPr>
    </w:p>
    <w:p w14:paraId="7C049BD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года помощник начальника ЭКУ ОГПУ Минаев и начальник 4 отдела ЭКУ ОГРУ Калецкий писали письмо № 288102 в Кремль Базилевичу</w:t>
      </w:r>
    </w:p>
    <w:p w14:paraId="57DBF72D"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Настоящим препровождается справка о реконструкции завода № 32.</w:t>
      </w:r>
    </w:p>
    <w:p w14:paraId="2CA6524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упомянутое на 2-х листах (3530,125).</w:t>
      </w:r>
    </w:p>
    <w:p w14:paraId="03AFABA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реконструкции завода № 32</w:t>
      </w:r>
    </w:p>
    <w:p w14:paraId="055956E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32 является единственным заводом в СССР по изготовлению авиавооружений для самолетных заводов и сейчас по распоряжению ГУАПа должен быть реконструирован.</w:t>
      </w:r>
    </w:p>
    <w:p w14:paraId="4F66991B"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реконструкции по генеральному плану определяется суммой 35 млн. рублей, за вычетом стоимости по оценке «Гипроавиа», ныне существующих зданий и оборудования в сумме 6 млн. рублей, также 5 млн. рублей на жилищно-культурное и бытовое строительство, чистая реконструкция выразится в сумме 24 млн. рублей – 80% стоимости завода.</w:t>
      </w:r>
    </w:p>
    <w:p w14:paraId="2E0C7075"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мнению специалистов, это не реконструкция, а «пришивка пиджака к пуговице».</w:t>
      </w:r>
    </w:p>
    <w:p w14:paraId="2E43159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имеющимся в ЭКУ ОГПУ сведениям представленный «Гипроавиа», утвержденный ГУАПом проект реконструкции, имеет целый ряд недостатков, а именно:</w:t>
      </w:r>
    </w:p>
    <w:p w14:paraId="5E9F2614"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Расстановка существующих заводских зданий носит бессистемный, хаотический характер.</w:t>
      </w:r>
    </w:p>
    <w:p w14:paraId="1A84B545"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Скученность на заводской территории и необходимость сноса вклинившихся частновладельческих хозяйств требует новой перепланировки, что удорожает строительство порядка на 4,5 млн. рублей.</w:t>
      </w:r>
    </w:p>
    <w:p w14:paraId="702AD00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Главный корпус завода ставится на русло протекающей по территории завода речки «Синички», что удорожает стоимость строительных работ – создает ненадежность самой постройки.</w:t>
      </w:r>
    </w:p>
    <w:p w14:paraId="357BDD6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Состояние грунта к моменту утверждения проекта не выявлено.</w:t>
      </w:r>
    </w:p>
    <w:p w14:paraId="6BE9CD9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также отметить, что номенклатура производства завода разработана менее чем на 50%. Благодаря этому произведен лишь поверхностный подсчет оборудования в том числе и импортного на сумму порядка 2-3 млн. рублей без точного учета его потребности.</w:t>
      </w:r>
    </w:p>
    <w:p w14:paraId="0381593A"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мнению ряда специалистов намеченные проектом сроки ввода в эксплуатацию новых производственных площадей (1934 г. и достижение полной проектной мощности в 1935 году) не реальны и по указанным выше причинам целесообразнее было бы не расширяя завода № 32, производственную мощность существующих и работающих цехов (при некоторой перепланировке оборудования и правильной организационной структуре) увеличить до 5-6 тысяч комплектов вооружения и одновременно с этим разработать проект и приступить к строительству на другой более удобной площадке нового завода, который по своей стоимости не превысит реконструируемый завод № 32.</w:t>
      </w:r>
    </w:p>
    <w:p w14:paraId="1448B641"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Критика проекта в части целесообразности выбора площадки техническим руководством ГУАПа (Макаровским) не допускается под предлогом того, что этот вопрос уже окончательно решен Правительством (3530,126-127).</w:t>
      </w:r>
    </w:p>
    <w:p w14:paraId="4484873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2B44649C"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апреле 1933 г. Центральный Совет Осоавиахима признал, что в деле постройки стратостата Осоавиахим-1 допущена «недопустимая обезличка». Он пытался выправить эту обезличку назначением т. ИЛЬИНА председателем шефского комитета над постройкой стратостата. По существу это не улучшило дела руководства технической стороной, т. к. в этой части т. Ильин мог только приглашать технических консультантов из Москвы, которые по отдельным вопросам высказывали мнение, делали указания по мелочам и в конечном счете создали обстановку, позволяющую уменьшить ответственность и инженеров исполнителей и консультационного совета ЛОСО. </w:t>
      </w:r>
    </w:p>
    <w:p w14:paraId="79D4726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Предварительное освоение стратостата в отношении изучения его поведения при различных режимах полета находилось в непосредственном ведении т. Федосеенко. Предварительное втягивание в работу при нахождении в герметически закрытой кабине было проведено организованно при Военно-Медицинской Академии (11611).</w:t>
      </w:r>
    </w:p>
    <w:p w14:paraId="663619C2"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44870BCE"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из 370 чертежей пассажирской гондолы дирижабля В-6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винто-моторной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0BDCBFFF" w14:textId="77777777" w:rsidR="000E63D3" w:rsidRPr="0044524F" w:rsidRDefault="000E63D3" w:rsidP="009654CF">
      <w:pPr>
        <w:spacing w:after="0" w:line="240" w:lineRule="auto"/>
        <w:jc w:val="both"/>
        <w:rPr>
          <w:rFonts w:ascii="Times New Roman" w:hAnsi="Times New Roman"/>
          <w:color w:val="000000" w:themeColor="text1"/>
          <w:sz w:val="16"/>
          <w:szCs w:val="16"/>
        </w:rPr>
      </w:pPr>
    </w:p>
    <w:p w14:paraId="2EBE4B2A" w14:textId="3B0BFD1B"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на заседании коллегии ГУГВФ «…важнейшей задачей на ближайшие 2 года (1933-1934 гг.) для Дирижаблестроя» было поставлено «…освоение техники полужесткого дирижаблестроения и эксплуатации кораблей этого типа» [4, л.223]. Таким образом, 1933 и 1934 годы образуют отдельный, единый и неразрывный, «второй» период деятельности Дирижаблестроя, связанный с решением вышеназванной задачи. Для технического руководства новым направлением отечественного дирижаблестроения в СССР был приглашен итальянский конструктор Умберто Нобиле, занявший в 1932 г. пост начальника Конструкторского бюро Дирижаблестроя [1, с. 148]. Дирижаблестрой в 1933 – 1934 гг. имел следующие основные звенья: Конструкторское Бюро ( КБ); Опытную Верфь, включавшую цеха: механический, слесарно-сборочный, баллонный и ремонтно-монтажный; Конструкторское Бюро цельнометаллического каркасного дирижабля (БЦМКД) с экспериментальным цехом по постройке цельнометаллического каркасного дирижабля; Конструкторское Бюро Циолковского по постройке цельнометаллического бескаркасного корабля (системы Циолковского) с экспериментальным цехом; Центральный Московский порт с подразделениями (Ленинградский порт, радиостанция и ремонтные мастерские); Опытно-эксплуатационный отдел; Научно-исследовательский отдел (НИО) с лабораториями [15, л.1]. В число объектов проектирования Конструкторского бюро (КБ) Дирижаблестроя в 1933 г. входили: дирижабли полужесткие объемом 2100 м3, 7500 м3,18500 м3, 55000 м3, 50000 м3; дирижабль жесткий объемом 125000 м3; дирижабль металлический каркасный 8000 м3; сфероаэростат 250 м3; начальные работы по дирижаблям 20000 м3 и 100000 м3; ремонт дирижаблей В-1, В-3 и В-4. Всего КБ за 1933 г. было выпущено 3744 чертежей [8, л. 3 - 5]. В 1934 г. основными объектами работ КБ были следующие: полное завершение работ по дирижаблю В-6 объемом 18500 м3, проект</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полужесткого дирижабля В-7 объемом 9150 м3, продолжение работ по полужесткому дирижаблю B-10 (50 000 м3), изготовление 20% проекта жесткого дирижабля большой кубатуры 100 000 м3 (ДЖ-1), перепроектировка оболочки и кормового развития по полужесткому дирижаблю В-5 (2150 м3) (15797).</w:t>
      </w:r>
    </w:p>
    <w:p w14:paraId="55566692" w14:textId="77777777" w:rsidR="000E63D3" w:rsidRPr="0044524F" w:rsidRDefault="000E63D3" w:rsidP="009654CF">
      <w:pPr>
        <w:spacing w:after="0" w:line="240" w:lineRule="auto"/>
        <w:jc w:val="both"/>
        <w:rPr>
          <w:rFonts w:ascii="Times New Roman" w:hAnsi="Times New Roman"/>
          <w:color w:val="000000" w:themeColor="text1"/>
          <w:sz w:val="16"/>
          <w:szCs w:val="16"/>
        </w:rPr>
      </w:pPr>
    </w:p>
    <w:p w14:paraId="6EA9C07C"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дирижабль В-5 был собран. Инженер Ф.Трояни в докладе начальнику Дирижаблестроя Фельдману от 11 апреля 1933 г. дал характеристику возникшим вследствие дефектов в чертежах недостаткам отдельных частей В-5, которые были «смягчены но не устранены» и сделал заключение: «Считаю, что дирижабль в настоящее время может пойти в испытательный полет с достаточной надежностью». В то же время Трояни указал на необходимость «после первых полетов перейти к тщательной проверке киля, чтобы судить - будет ли в состоянии дирижабль нести регулярную службу» [4, л.154-157] (15797).</w:t>
      </w:r>
    </w:p>
    <w:p w14:paraId="014A3FE6" w14:textId="77777777" w:rsidR="000E63D3" w:rsidRPr="0044524F" w:rsidRDefault="000E63D3" w:rsidP="009654CF">
      <w:pPr>
        <w:spacing w:after="0" w:line="240" w:lineRule="auto"/>
        <w:jc w:val="both"/>
        <w:rPr>
          <w:rFonts w:ascii="Times New Roman" w:hAnsi="Times New Roman"/>
          <w:color w:val="000000" w:themeColor="text1"/>
          <w:sz w:val="16"/>
          <w:szCs w:val="16"/>
        </w:rPr>
      </w:pPr>
    </w:p>
    <w:p w14:paraId="18820EEF"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Шпитальный и Комарицкий представили образец, который отличался от своего предшественника не только лучшей живучестью, но и некоторыми изменениями, положительно ска</w:t>
      </w:r>
      <w:r w:rsidRPr="0044524F">
        <w:rPr>
          <w:rFonts w:ascii="Times New Roman" w:hAnsi="Times New Roman"/>
          <w:color w:val="000000" w:themeColor="text1"/>
          <w:sz w:val="16"/>
          <w:szCs w:val="16"/>
        </w:rPr>
        <w:softHyphen/>
        <w:t>завшимися на простоте конструкции пулемета. В новой модели была существенно изменена ее основная деталь — коробка, введе</w:t>
      </w:r>
      <w:r w:rsidRPr="0044524F">
        <w:rPr>
          <w:rFonts w:ascii="Times New Roman" w:hAnsi="Times New Roman"/>
          <w:color w:val="000000" w:themeColor="text1"/>
          <w:sz w:val="16"/>
          <w:szCs w:val="16"/>
        </w:rPr>
        <w:softHyphen/>
        <w:t>ны пять новых деталей вместо тринадцати упраздненных. Эти пе</w:t>
      </w:r>
      <w:r w:rsidRPr="0044524F">
        <w:rPr>
          <w:rFonts w:ascii="Times New Roman" w:hAnsi="Times New Roman"/>
          <w:color w:val="000000" w:themeColor="text1"/>
          <w:sz w:val="16"/>
          <w:szCs w:val="16"/>
        </w:rPr>
        <w:softHyphen/>
        <w:t>ределки повлекли за собой значительное количество изменений размеров и допусков сопряженных деталей (10695).</w:t>
      </w:r>
    </w:p>
    <w:p w14:paraId="50839907"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63927B58"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апреля по ноябрь 1933 г. катер АНТ-5 прошел заводские испытания в Севастополе,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0592C061"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69EB01CF"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77B1415B"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6625341F"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«Изотто-Фраскини»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3C4D710A"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01F65611"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62507DF3"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44FCC0D3" w14:textId="77777777" w:rsidR="000E63D3" w:rsidRPr="0044524F" w:rsidRDefault="000E63D3" w:rsidP="009654CF">
      <w:pPr>
        <w:spacing w:after="0" w:line="240" w:lineRule="auto"/>
        <w:jc w:val="both"/>
        <w:rPr>
          <w:rFonts w:ascii="Times New Roman" w:hAnsi="Times New Roman"/>
          <w:color w:val="000000" w:themeColor="text1"/>
          <w:sz w:val="16"/>
          <w:szCs w:val="16"/>
        </w:rPr>
      </w:pPr>
    </w:p>
    <w:p w14:paraId="2F7E3E90"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в УВИ подготовлена справка, которая дает представление о трудностях создания РНИИ (Там же, № 243, л. 33) (10676).</w:t>
      </w:r>
    </w:p>
    <w:p w14:paraId="1932E0F9" w14:textId="77777777" w:rsidR="00F15071" w:rsidRPr="0044524F" w:rsidRDefault="00F15071" w:rsidP="009654CF">
      <w:pPr>
        <w:autoSpaceDE w:val="0"/>
        <w:autoSpaceDN w:val="0"/>
        <w:adjustRightInd w:val="0"/>
        <w:spacing w:after="0" w:line="240" w:lineRule="auto"/>
        <w:jc w:val="both"/>
        <w:rPr>
          <w:rFonts w:ascii="Times New Roman" w:hAnsi="Times New Roman"/>
          <w:color w:val="000000" w:themeColor="text1"/>
          <w:sz w:val="16"/>
          <w:szCs w:val="16"/>
        </w:rPr>
      </w:pPr>
    </w:p>
    <w:p w14:paraId="6ECA052F" w14:textId="77777777" w:rsidR="00084A10" w:rsidRPr="0044524F" w:rsidRDefault="00084A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согласно Акту об обследовании финансово-хозяйственной деятельности КБ ГИРД, адресованному начальнику УВИ Т.П. Новикову и начальнику ФУ РККА А.В Хрулеву, в ГИРД работало 87 человек. (35 рабочих, 33 работника ИГР, 7 служащих, 12 - вспомогательные службы и ученики.) (ГА РФ. Фонд Р-8355 . Оп. 1. Д. № 374. Л.73.).</w:t>
      </w:r>
    </w:p>
    <w:p w14:paraId="5735CB0B" w14:textId="77777777" w:rsidR="00084A10" w:rsidRPr="0044524F" w:rsidRDefault="00084A1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претензии по результатам ревизии: неразбериха в учетных формах и отчетности, не экономное расходование государственных средств, полное отсутствие плановости (вспомним, финансовый отдел ОСОАВИАХИМ уже пытался давать объяснения по аналогичному поводу). Ведомства РККА опять подошли к работе ГИРД, как к производству, например, артиллерийских снарядов, сказывается отсутствие практики работы с научными институтами, ведущими фундаментальные исследования. Самое страшное обвинение выдвинутое в адрес Королева, заключалось в том, что он своей волей сам себе повысил оклад с 600 до 900 рублей, а своим инженерам Буланову и Корнееву - с 450 до 600 руб, при том , что максимальная ставка на этих должностях не должна была превышать 550 руб (ГА РФ. Фонд Р-8355 . Он. 1. Д. № 374. Л.74-78) (33685).</w:t>
      </w:r>
    </w:p>
    <w:p w14:paraId="45BB3F49" w14:textId="77777777" w:rsidR="00084A10" w:rsidRPr="0044524F" w:rsidRDefault="00084A10" w:rsidP="009654CF">
      <w:pPr>
        <w:spacing w:after="0" w:line="240" w:lineRule="auto"/>
        <w:jc w:val="both"/>
        <w:rPr>
          <w:rFonts w:ascii="Times New Roman" w:hAnsi="Times New Roman"/>
          <w:color w:val="000000" w:themeColor="text1"/>
          <w:sz w:val="16"/>
          <w:szCs w:val="16"/>
        </w:rPr>
      </w:pPr>
    </w:p>
    <w:p w14:paraId="1AC1A3C6"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маю 1933 г. изготовили все детали ракеты 07 ГИРД, в июне начали сборку и отладку. Но в это время бригаде № 2 поручили форсированное создание ракеты 09 и доводку «седьмой» надолго отложили.</w:t>
      </w:r>
    </w:p>
    <w:p w14:paraId="11B4A70B"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Первые два пуска состоялись только летом 1935 г., когда ГИРД уже превратился в РНИИ. В первом полете на 8-й секунде заго</w:t>
      </w:r>
      <w:r w:rsidRPr="0044524F">
        <w:rPr>
          <w:rFonts w:ascii="Times New Roman" w:hAnsi="Times New Roman"/>
          <w:color w:val="000000" w:themeColor="text1"/>
          <w:sz w:val="16"/>
          <w:szCs w:val="16"/>
        </w:rPr>
        <w:softHyphen/>
        <w:t>релся и взорвался топливный бак внутри одного из стабилизато</w:t>
      </w:r>
      <w:r w:rsidRPr="0044524F">
        <w:rPr>
          <w:rFonts w:ascii="Times New Roman" w:hAnsi="Times New Roman"/>
          <w:color w:val="000000" w:themeColor="text1"/>
          <w:sz w:val="16"/>
          <w:szCs w:val="16"/>
        </w:rPr>
        <w:softHyphen/>
        <w:t>ров. Ракета упала на землю. Во втором пуске она поднялась по вертикали примерно на 400 метров, потом отклонилась и улетела далеко в лес. Её не нашли (23550).</w:t>
      </w:r>
    </w:p>
    <w:p w14:paraId="5A7908BE" w14:textId="77777777" w:rsidR="00307FF7" w:rsidRPr="0044524F" w:rsidRDefault="00307FF7" w:rsidP="009654CF">
      <w:pPr>
        <w:spacing w:after="0" w:line="240" w:lineRule="auto"/>
        <w:jc w:val="both"/>
        <w:rPr>
          <w:rFonts w:ascii="Times New Roman" w:hAnsi="Times New Roman"/>
          <w:color w:val="000000" w:themeColor="text1"/>
          <w:sz w:val="16"/>
          <w:szCs w:val="16"/>
        </w:rPr>
      </w:pPr>
    </w:p>
    <w:p w14:paraId="5AA0ED4A" w14:textId="77777777" w:rsidR="004C6249" w:rsidRPr="0044524F" w:rsidRDefault="004C624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был сформирован Дирижаблестроительный учебный комбинат /ДУК/ в составе Дирижаблестроительного института и Воздухоплавательной школы. ДУК был связан с намеченной большой программой дирижаблестроения, но просуществовал недолго, так как надобность в пилотах и инженерах-дирижаблистах миновала с связи с прекращением постройки дитнижаблей.</w:t>
      </w:r>
    </w:p>
    <w:p w14:paraId="6ABC1914" w14:textId="77777777" w:rsidR="004C6249" w:rsidRPr="0044524F" w:rsidRDefault="004C624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лет гражданского воздушного флота",1935, стр. №/ (23370).</w:t>
      </w:r>
    </w:p>
    <w:p w14:paraId="4D1B155E" w14:textId="77777777" w:rsidR="004C6249" w:rsidRPr="0044524F" w:rsidRDefault="004C6249" w:rsidP="009654CF">
      <w:pPr>
        <w:spacing w:after="0" w:line="240" w:lineRule="auto"/>
        <w:jc w:val="both"/>
        <w:rPr>
          <w:rFonts w:ascii="Times New Roman" w:hAnsi="Times New Roman"/>
          <w:color w:val="000000" w:themeColor="text1"/>
          <w:sz w:val="16"/>
          <w:szCs w:val="16"/>
        </w:rPr>
      </w:pPr>
    </w:p>
    <w:p w14:paraId="4FED6EF2"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2C6267C"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6BF447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апреле 1933 года на Котовском заводе начато производство целлулоида —триплексного, технического, галантерейного.</w:t>
      </w:r>
    </w:p>
    <w:p w14:paraId="52B1F51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Рост объемов производства с 1931 по 1935 год составил более 160%. Темпы развернувшегося строительства и реконструкции завода потребовали от коллектива большой творческой работы, появилась необходимость в квалифицированных кадрах. Эту задачу тоже пришлось решать заводу. Идет подготовка специалистов в ФЗУ. В 1931 году все учебные заведения завода объединены в учебный комбинат, который в 1933 году реорганизуется в отдел подготовки кадров. Его окончили В. Карлинский, Н. Лободанов, В. Пошухонина, И. Дьячков.</w:t>
      </w:r>
    </w:p>
    <w:p w14:paraId="1013B91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1927 по 1935 год начальниками завода были М. Моисеев, Ш. Зайденберг, П. Козловский.</w:t>
      </w:r>
    </w:p>
    <w:p w14:paraId="5FAF688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Приход в Германии к власти фашистов, непрерывно нарастающая угроза войны требовали быстрого развития оборонных отраслей. Основной задачей для коллектива завода в то время было, не снижая объемов текущего производства, создать условия устойчивой и экономичной работы в мобилизационный период, повысить производительность труда. Поэтому вплоть до начала Великой Отечественной войны шла реконструкция отдельных цехов, интенсификация процессов.</w:t>
      </w:r>
    </w:p>
    <w:p w14:paraId="6749514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Увеличиваются выпуск и освоение новых видов боеприпасов, производство которых к началу войны завод удвоил. В результате мероприятий по реконструкции длительность технологических циклов сократилась в 4 раза. Благодаря внедрению рекуперационной техники снизились расходы на производство.</w:t>
      </w:r>
    </w:p>
    <w:p w14:paraId="02C06CB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1936 году начато производство изделий из целлулоида.</w:t>
      </w:r>
    </w:p>
    <w:p w14:paraId="2B173A0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промышленно-производственного персонала доведена до 8000 человек. Выработка на одного рабочего возросла вдвое. Пример в работе показывают Яковцев, Подледников, Гурова. Они довели выполнение норм выработки до 700 процентов.</w:t>
      </w:r>
    </w:p>
    <w:p w14:paraId="3519724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Больших успехов добивается коллектив завода. Задание правительства выполнено по всем показателям. </w:t>
      </w:r>
    </w:p>
    <w:p w14:paraId="2C4157C5"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Указом Президиума Верховного Совета СССР награждены: </w:t>
      </w:r>
    </w:p>
    <w:p w14:paraId="61D0FBD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орденом Ленина — Фекла Сергеевна Сергеева, </w:t>
      </w:r>
    </w:p>
    <w:p w14:paraId="2959D6F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орденами Трудового Красно­го Знамени — А. Абакумов, Г. Балашов, </w:t>
      </w:r>
    </w:p>
    <w:p w14:paraId="7699CC7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орденом Красной Звезды — Е. Лукьянов. </w:t>
      </w:r>
    </w:p>
    <w:p w14:paraId="0545537D"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Многие заводчане награждены медалями.</w:t>
      </w:r>
    </w:p>
    <w:p w14:paraId="4FA091B0"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Всерьез начинается подготовка собственных кадров. Перед самой войной 20 июня 1941 года на базе завода открывается техникум. Открыто ремесленное училище.</w:t>
      </w:r>
    </w:p>
    <w:p w14:paraId="5E01FE6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Улучшились экономические показатели работы завода. Перестает расти себестоимость продукции, с 1936 по 1940 год получена прибыль более 5 миллионов рублей.</w:t>
      </w:r>
    </w:p>
    <w:p w14:paraId="0D88A93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тридцатых годов площадь жилья поселка, который 16 апреля 1940 года становится городом Котовском, увеличивается в 10 раз. Население — более 16 тысяч человек.</w:t>
      </w:r>
    </w:p>
    <w:p w14:paraId="4ED0F5A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завода в то время — Н. Семенов и М. Дынкин (11831).</w:t>
      </w:r>
    </w:p>
    <w:p w14:paraId="416DE55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3004C96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года заводу "Баррикады" был заказан ствол 152-мм пушки обр. 1910/1930 г. с крутой глубокой нарезкой. Ствол был предназначен для опытов с беспоясковыми (нарезными) снарядами (3861).</w:t>
      </w:r>
    </w:p>
    <w:p w14:paraId="42AF12C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516FB255"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заводу «Баррикады» был заказан ствол 152-мм пушки обр. 1910/1930 г. с крутой глубокой нарезкой. Ствол был предназначен для опытов с беспоясковыми (нарезными) снарядами.</w:t>
      </w:r>
    </w:p>
    <w:p w14:paraId="45194B82" w14:textId="77777777" w:rsidR="000E63D3" w:rsidRPr="0044524F" w:rsidRDefault="000E63D3" w:rsidP="009654CF">
      <w:pPr>
        <w:spacing w:after="0" w:line="240" w:lineRule="auto"/>
        <w:jc w:val="both"/>
        <w:rPr>
          <w:rFonts w:ascii="Times New Roman" w:hAnsi="Times New Roman"/>
          <w:bCs/>
          <w:color w:val="000000" w:themeColor="text1"/>
          <w:sz w:val="16"/>
          <w:szCs w:val="16"/>
        </w:rPr>
      </w:pPr>
      <w:bookmarkStart w:id="11" w:name="label108"/>
      <w:bookmarkEnd w:id="11"/>
      <w:r w:rsidRPr="0044524F">
        <w:rPr>
          <w:rFonts w:ascii="Times New Roman" w:hAnsi="Times New Roman"/>
          <w:bCs/>
          <w:color w:val="000000" w:themeColor="text1"/>
          <w:sz w:val="16"/>
          <w:szCs w:val="16"/>
        </w:rPr>
        <w:t>Данные опытного ствола</w:t>
      </w:r>
    </w:p>
    <w:p w14:paraId="767291E4"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 мм …… 152,4</w:t>
      </w:r>
    </w:p>
    <w:p w14:paraId="2453C59A"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Крутизна нарезов, клб …… 12</w:t>
      </w:r>
    </w:p>
    <w:p w14:paraId="3CD05C78"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нарезов …… 36</w:t>
      </w:r>
    </w:p>
    <w:p w14:paraId="207831ED"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Глубина нареза, мм …… 2,8</w:t>
      </w:r>
    </w:p>
    <w:p w14:paraId="3E200BC4"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нареза, мм …… 9,0</w:t>
      </w:r>
    </w:p>
    <w:p w14:paraId="6E7040A8"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поля, мм …… 4,23</w:t>
      </w:r>
    </w:p>
    <w:p w14:paraId="636D60CB"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Такой ствол был изготовлен и испытан в сентябре 1934 г. Для стрельбы из этого ствола заводу № 73 было заказано 100 нарезных снарядов чертежа 5996 и 100 снарядов чертежа 5719.</w:t>
      </w:r>
    </w:p>
    <w:p w14:paraId="76273E02" w14:textId="77777777" w:rsidR="000E63D3" w:rsidRPr="0044524F" w:rsidRDefault="000E63D3" w:rsidP="009654CF">
      <w:pPr>
        <w:spacing w:after="0" w:line="240" w:lineRule="auto"/>
        <w:jc w:val="both"/>
        <w:rPr>
          <w:rFonts w:ascii="Times New Roman" w:hAnsi="Times New Roman"/>
          <w:bCs/>
          <w:color w:val="000000" w:themeColor="text1"/>
          <w:sz w:val="16"/>
          <w:szCs w:val="16"/>
        </w:rPr>
      </w:pPr>
      <w:bookmarkStart w:id="12" w:name="label109"/>
      <w:bookmarkStart w:id="13" w:name="label110"/>
      <w:bookmarkEnd w:id="12"/>
      <w:bookmarkEnd w:id="13"/>
      <w:r w:rsidRPr="0044524F">
        <w:rPr>
          <w:rFonts w:ascii="Times New Roman" w:hAnsi="Times New Roman"/>
          <w:bCs/>
          <w:color w:val="000000" w:themeColor="text1"/>
          <w:sz w:val="16"/>
          <w:szCs w:val="16"/>
        </w:rPr>
        <w:t>Данные нарезных снарядов</w:t>
      </w:r>
    </w:p>
    <w:p w14:paraId="5A82D301" w14:textId="77777777" w:rsidR="000E63D3" w:rsidRPr="0044524F" w:rsidRDefault="000E63D3" w:rsidP="009654CF">
      <w:pPr>
        <w:spacing w:after="0" w:line="240" w:lineRule="auto"/>
        <w:jc w:val="both"/>
        <w:rPr>
          <w:rFonts w:ascii="Times New Roman" w:hAnsi="Times New Roman"/>
          <w:bCs/>
          <w:color w:val="000000" w:themeColor="text1"/>
          <w:sz w:val="16"/>
          <w:szCs w:val="16"/>
        </w:rPr>
      </w:pPr>
      <w:bookmarkStart w:id="14" w:name="label111"/>
      <w:bookmarkEnd w:id="14"/>
      <w:r w:rsidRPr="0044524F">
        <w:rPr>
          <w:rFonts w:ascii="Times New Roman" w:hAnsi="Times New Roman"/>
          <w:bCs/>
          <w:color w:val="000000" w:themeColor="text1"/>
          <w:sz w:val="16"/>
          <w:szCs w:val="16"/>
          <w:vertAlign w:val="superscript"/>
        </w:rPr>
        <w:t>Снаряды …… Чертежа 5996 / Чертежа 5719</w:t>
      </w:r>
    </w:p>
    <w:p w14:paraId="67E5A600"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снаряда, кг …… 70,0 / 90,68</w:t>
      </w:r>
    </w:p>
    <w:p w14:paraId="701E49A1"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ВВ в снаряде, кг …… 10,65 / 8,765</w:t>
      </w:r>
    </w:p>
    <w:p w14:paraId="54FB9A73"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снаряда, клб …… 6,9 / 7,5</w:t>
      </w:r>
    </w:p>
    <w:p w14:paraId="53611C72"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Глубина нарезов на снаряде, мм …… 2,55 / 2,55</w:t>
      </w:r>
    </w:p>
    <w:p w14:paraId="4F8D261E"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нарезов на снаряде …… 36 / 36</w:t>
      </w:r>
    </w:p>
    <w:p w14:paraId="74FC2B88" w14:textId="77777777" w:rsidR="000E63D3" w:rsidRPr="0044524F" w:rsidRDefault="000E63D3" w:rsidP="009654CF">
      <w:pPr>
        <w:spacing w:after="0" w:line="240" w:lineRule="auto"/>
        <w:jc w:val="both"/>
        <w:rPr>
          <w:rFonts w:ascii="Times New Roman" w:hAnsi="Times New Roman"/>
          <w:color w:val="000000" w:themeColor="text1"/>
          <w:sz w:val="16"/>
          <w:szCs w:val="16"/>
        </w:rPr>
      </w:pPr>
      <w:bookmarkStart w:id="15" w:name="label112"/>
      <w:bookmarkEnd w:id="15"/>
    </w:p>
    <w:p w14:paraId="035C3D31"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апреле 1933 г. заводу «Баррикады» был заказан ствол 152-мм пушки обр. 1910/1930 г. с крутой глубокой нарезкой. Ствол был предназначен для опытов с беспоясковыми (нарезными) снарядами.</w:t>
      </w:r>
    </w:p>
    <w:p w14:paraId="04A442E4"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Данные опытного ствола</w:t>
      </w:r>
    </w:p>
    <w:p w14:paraId="2CA6E03F"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Калибр, мм 152,4</w:t>
      </w:r>
    </w:p>
    <w:p w14:paraId="18F5AC4D"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Крутизна нарезов, клб 12</w:t>
      </w:r>
    </w:p>
    <w:p w14:paraId="23DFD087"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Число нарезов 36</w:t>
      </w:r>
    </w:p>
    <w:p w14:paraId="5C4F9A9E"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Глубина нареза, мм 2,8</w:t>
      </w:r>
    </w:p>
    <w:p w14:paraId="74EB757D"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Ширина нареза, мм 9,0</w:t>
      </w:r>
    </w:p>
    <w:p w14:paraId="0807314D"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Ширина поля, мм 4,23</w:t>
      </w:r>
    </w:p>
    <w:p w14:paraId="16FB183D" w14:textId="77777777" w:rsidR="00C16590" w:rsidRPr="00142305" w:rsidRDefault="00C16590" w:rsidP="00C1659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Такой ствол был изготовлен и испытан в сентябре 1934 г. Для стрельбы из этого ствола заводу № 73 было заказано 100 нарезных снарядов чертежа 5996 и 100 снарядов чертежа 5719 (25213).</w:t>
      </w:r>
    </w:p>
    <w:p w14:paraId="39DD97A7" w14:textId="77777777" w:rsidR="00C16590" w:rsidRPr="00142305" w:rsidRDefault="00C16590" w:rsidP="00C16590">
      <w:pPr>
        <w:spacing w:after="0" w:line="240" w:lineRule="auto"/>
        <w:jc w:val="both"/>
        <w:rPr>
          <w:rFonts w:ascii="Times New Roman" w:hAnsi="Times New Roman"/>
          <w:color w:val="0070C0"/>
          <w:sz w:val="16"/>
          <w:szCs w:val="16"/>
        </w:rPr>
      </w:pPr>
    </w:p>
    <w:p w14:paraId="091EEA0F" w14:textId="77777777" w:rsidR="000E63D3" w:rsidRPr="0044524F" w:rsidRDefault="000E63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апреле </w:t>
      </w:r>
      <w:r w:rsidRPr="0044524F">
        <w:rPr>
          <w:rStyle w:val="0pt0"/>
          <w:rFonts w:eastAsia="Arial Narrow"/>
          <w:b w:val="0"/>
          <w:color w:val="000000" w:themeColor="text1"/>
          <w:spacing w:val="0"/>
          <w:sz w:val="16"/>
          <w:szCs w:val="16"/>
        </w:rPr>
        <w:t>1933 г. Ефимов,</w:t>
      </w:r>
      <w:r w:rsidRPr="0044524F">
        <w:rPr>
          <w:rFonts w:ascii="Times New Roman" w:hAnsi="Times New Roman"/>
          <w:color w:val="000000" w:themeColor="text1"/>
          <w:sz w:val="16"/>
          <w:szCs w:val="16"/>
        </w:rPr>
        <w:t xml:space="preserve"> став начальником АУ РККА, в сво</w:t>
      </w:r>
      <w:r w:rsidRPr="0044524F">
        <w:rPr>
          <w:rFonts w:ascii="Times New Roman" w:hAnsi="Times New Roman"/>
          <w:color w:val="000000" w:themeColor="text1"/>
          <w:sz w:val="16"/>
          <w:szCs w:val="16"/>
        </w:rPr>
        <w:softHyphen/>
      </w:r>
      <w:r w:rsidRPr="0044524F">
        <w:rPr>
          <w:rStyle w:val="0pt0"/>
          <w:rFonts w:eastAsia="Arial Narrow"/>
          <w:b w:val="0"/>
          <w:color w:val="000000" w:themeColor="text1"/>
          <w:spacing w:val="0"/>
          <w:sz w:val="16"/>
          <w:szCs w:val="16"/>
        </w:rPr>
        <w:t>ем докладе в</w:t>
      </w:r>
      <w:r w:rsidRPr="0044524F">
        <w:rPr>
          <w:rFonts w:ascii="Times New Roman" w:hAnsi="Times New Roman"/>
          <w:color w:val="000000" w:themeColor="text1"/>
          <w:sz w:val="16"/>
          <w:szCs w:val="16"/>
        </w:rPr>
        <w:t xml:space="preserve"> Реввоенсовет о</w:t>
      </w:r>
      <w:r w:rsidRPr="0044524F">
        <w:rPr>
          <w:rStyle w:val="aff5"/>
          <w:rFonts w:ascii="Times New Roman" w:eastAsia="Arial Narrow" w:hAnsi="Times New Roman" w:cs="Times New Roman"/>
          <w:i w:val="0"/>
          <w:color w:val="000000" w:themeColor="text1"/>
        </w:rPr>
        <w:t xml:space="preserve"> «пересмотре си</w:t>
      </w:r>
      <w:r w:rsidRPr="0044524F">
        <w:rPr>
          <w:rStyle w:val="aff5"/>
          <w:rFonts w:ascii="Times New Roman" w:eastAsia="Arial Narrow" w:hAnsi="Times New Roman" w:cs="Times New Roman"/>
          <w:i w:val="0"/>
          <w:color w:val="000000" w:themeColor="text1"/>
        </w:rPr>
        <w:softHyphen/>
      </w:r>
      <w:r w:rsidRPr="0044524F">
        <w:rPr>
          <w:rStyle w:val="affb"/>
          <w:rFonts w:ascii="Times New Roman" w:hAnsi="Times New Roman" w:cs="Times New Roman"/>
          <w:b w:val="0"/>
          <w:i w:val="0"/>
          <w:color w:val="000000" w:themeColor="text1"/>
          <w:sz w:val="16"/>
          <w:szCs w:val="16"/>
        </w:rPr>
        <w:t>стемы</w:t>
      </w:r>
      <w:r w:rsidRPr="0044524F">
        <w:rPr>
          <w:rStyle w:val="aff5"/>
          <w:rFonts w:ascii="Times New Roman" w:eastAsia="Arial Narrow" w:hAnsi="Times New Roman" w:cs="Times New Roman"/>
          <w:i w:val="0"/>
          <w:color w:val="000000" w:themeColor="text1"/>
        </w:rPr>
        <w:t xml:space="preserve"> артиллерийского вооружения» </w:t>
      </w:r>
      <w:r w:rsidRPr="0044524F">
        <w:rPr>
          <w:rStyle w:val="0pt0"/>
          <w:rFonts w:eastAsia="Arial Narrow"/>
          <w:b w:val="0"/>
          <w:color w:val="000000" w:themeColor="text1"/>
          <w:spacing w:val="0"/>
          <w:sz w:val="16"/>
          <w:szCs w:val="16"/>
        </w:rPr>
        <w:t>не</w:t>
      </w:r>
      <w:r w:rsidRPr="0044524F">
        <w:rPr>
          <w:rFonts w:ascii="Times New Roman" w:hAnsi="Times New Roman"/>
          <w:color w:val="000000" w:themeColor="text1"/>
          <w:sz w:val="16"/>
          <w:szCs w:val="16"/>
        </w:rPr>
        <w:t xml:space="preserve"> назвал пистолет или пистолет-пуле</w:t>
      </w:r>
      <w:r w:rsidRPr="0044524F">
        <w:rPr>
          <w:rStyle w:val="0pt0"/>
          <w:rFonts w:eastAsia="Arial Narrow"/>
          <w:b w:val="0"/>
          <w:color w:val="000000" w:themeColor="text1"/>
          <w:spacing w:val="0"/>
          <w:sz w:val="16"/>
          <w:szCs w:val="16"/>
        </w:rPr>
        <w:t>мет в</w:t>
      </w:r>
      <w:r w:rsidRPr="0044524F">
        <w:rPr>
          <w:rFonts w:ascii="Times New Roman" w:hAnsi="Times New Roman"/>
          <w:color w:val="000000" w:themeColor="text1"/>
          <w:sz w:val="16"/>
          <w:szCs w:val="16"/>
        </w:rPr>
        <w:t xml:space="preserve"> числе</w:t>
      </w:r>
      <w:r w:rsidRPr="0044524F">
        <w:rPr>
          <w:rStyle w:val="aff5"/>
          <w:rFonts w:ascii="Times New Roman" w:eastAsia="Arial Narrow" w:hAnsi="Times New Roman" w:cs="Times New Roman"/>
          <w:i w:val="0"/>
          <w:color w:val="000000" w:themeColor="text1"/>
        </w:rPr>
        <w:t xml:space="preserve"> «основных направлений системы», </w:t>
      </w:r>
      <w:r w:rsidRPr="0044524F">
        <w:rPr>
          <w:rStyle w:val="0pt0"/>
          <w:rFonts w:eastAsia="Arial Narrow"/>
          <w:b w:val="0"/>
          <w:color w:val="000000" w:themeColor="text1"/>
          <w:spacing w:val="0"/>
          <w:sz w:val="16"/>
          <w:szCs w:val="16"/>
        </w:rPr>
        <w:t>хотя</w:t>
      </w:r>
      <w:r w:rsidRPr="0044524F">
        <w:rPr>
          <w:rFonts w:ascii="Times New Roman" w:hAnsi="Times New Roman"/>
          <w:color w:val="000000" w:themeColor="text1"/>
          <w:sz w:val="16"/>
          <w:szCs w:val="16"/>
        </w:rPr>
        <w:t xml:space="preserve"> работы по ним велись (15766).</w:t>
      </w:r>
    </w:p>
    <w:p w14:paraId="0205F96D" w14:textId="77777777" w:rsidR="000E63D3" w:rsidRPr="0044524F" w:rsidRDefault="000E63D3" w:rsidP="009654CF">
      <w:pPr>
        <w:pStyle w:val="66"/>
        <w:shd w:val="clear" w:color="auto" w:fill="auto"/>
        <w:spacing w:before="0" w:line="240" w:lineRule="auto"/>
        <w:jc w:val="both"/>
        <w:rPr>
          <w:b w:val="0"/>
          <w:color w:val="000000" w:themeColor="text1"/>
          <w:sz w:val="16"/>
          <w:szCs w:val="16"/>
        </w:rPr>
      </w:pPr>
    </w:p>
    <w:p w14:paraId="3A3E7203"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прошла общезаводская конференция рабочих и ИТР по выполнению заданий партии. На ней сразу было отмечено, что «завод „Новое Сормово“ в отличие от ГАЗа и завода № 21 не в состоянии пока выполнять плановые задания». С большими трудностями работал кузнечно-прессовый цех, проект которого во время постройки изменялся семнадцать раз. Негативной оценке подверглась деятельность первого директора Лисянского. Отмечалась также полная нереальность плана, нехватка снабжения. Завод имел дефицит денег в четыре миллиона рублей, из-за чего постоянно задерживалась выплата зарплаты. [14 — ГУ ЦАНО, Ф. 2491, Оп. 1, Д. 111, Л. 13.] (11741).</w:t>
      </w:r>
    </w:p>
    <w:p w14:paraId="08A8A567"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DE0F6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НИО ВАММ под руководством М.В.Данченко и Я.М.Степаницкого был разработан проект колесно-гусеничного танка КТ-26. Не пошло дальша макета (9527,92).</w:t>
      </w:r>
    </w:p>
    <w:p w14:paraId="0A0191A0"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793C6B3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по заданию ВОХИМУ РККА был разработан проект гусеничной боевой химической машины, предназначенной для заражения местности и дымопуска, а также дегазации. Забронированная цисцерна на гусеничном шасси. Броня - 13-14 мм. Не построили (9527,180).</w:t>
      </w:r>
    </w:p>
    <w:p w14:paraId="1DEABAE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5111358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был создан опытный Т-18 с подвеской Т-26 (4243,17).</w:t>
      </w:r>
    </w:p>
    <w:p w14:paraId="1C3EDDA0"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32C90058" w14:textId="77777777" w:rsidR="00B4260E" w:rsidRPr="0044524F" w:rsidRDefault="00B4260E" w:rsidP="009654CF">
      <w:pPr>
        <w:pStyle w:val="ae"/>
        <w:shd w:val="clear" w:color="auto" w:fill="FFFFFF"/>
        <w:spacing w:before="0" w:after="0"/>
        <w:jc w:val="both"/>
        <w:rPr>
          <w:color w:val="000000" w:themeColor="text1"/>
          <w:sz w:val="16"/>
          <w:szCs w:val="16"/>
        </w:rPr>
      </w:pPr>
      <w:r w:rsidRPr="0044524F">
        <w:rPr>
          <w:iCs/>
          <w:color w:val="000000" w:themeColor="text1"/>
          <w:sz w:val="16"/>
          <w:szCs w:val="16"/>
        </w:rPr>
        <w:t>В апреле 1933 года началась разработка 20-тонного танка на основе танка-</w:t>
      </w:r>
      <w:hyperlink r:id="rId139" w:history="1">
        <w:r w:rsidRPr="0044524F">
          <w:rPr>
            <w:rStyle w:val="a5"/>
            <w:iCs/>
            <w:color w:val="000000" w:themeColor="text1"/>
            <w:sz w:val="16"/>
            <w:szCs w:val="16"/>
          </w:rPr>
          <w:t>амфибии</w:t>
        </w:r>
      </w:hyperlink>
      <w:r w:rsidRPr="0044524F">
        <w:rPr>
          <w:iCs/>
          <w:color w:val="000000" w:themeColor="text1"/>
          <w:sz w:val="16"/>
          <w:szCs w:val="16"/>
        </w:rPr>
        <w:t xml:space="preserve"> ПТ-1. Поначалу машина прорабатывалась в двух вариантах, а позже их число выросло до четырёх. Приоритетными оказались варианты Т-29-4 и Т-29-5, тогда как варианта Т-29-2 и вовсе не существовало. Подобных странностей в истории создания Т-29 более чем достаточно. </w:t>
      </w:r>
    </w:p>
    <w:p w14:paraId="641EF2CE" w14:textId="77777777" w:rsidR="00B4260E" w:rsidRPr="0044524F" w:rsidRDefault="00B4260E" w:rsidP="009654CF">
      <w:pPr>
        <w:pStyle w:val="ae"/>
        <w:shd w:val="clear" w:color="auto" w:fill="FFFFFF"/>
        <w:spacing w:before="0" w:after="0"/>
        <w:jc w:val="both"/>
        <w:rPr>
          <w:iCs/>
          <w:color w:val="000000" w:themeColor="text1"/>
          <w:sz w:val="16"/>
          <w:szCs w:val="16"/>
        </w:rPr>
      </w:pPr>
      <w:r w:rsidRPr="0044524F">
        <w:rPr>
          <w:iCs/>
          <w:color w:val="000000" w:themeColor="text1"/>
          <w:sz w:val="16"/>
          <w:szCs w:val="16"/>
        </w:rPr>
        <w:t>Первоначально Т-29 разрабатывался в Москве техотделом Экономического управления Объединённого государственного политического управления (ЭКУ ОГПУ) под руководством Н.А. Астрова. Участвовал в разработке и Н.В. Цейц, который, как и Астров, некоторое время пробыл в статусе конструктора-заключённого. Далее разработка переместилась в Ленинград, куда также отправился Цейц, позже ставший главным конструктором Т-29. При таком старте простой судьба у машины быть просто не могла.</w:t>
      </w:r>
    </w:p>
    <w:p w14:paraId="1255A394" w14:textId="77777777" w:rsidR="00B4260E" w:rsidRPr="0044524F" w:rsidRDefault="00B4260E" w:rsidP="009654CF">
      <w:pPr>
        <w:pStyle w:val="ae"/>
        <w:shd w:val="clear" w:color="auto" w:fill="FFFFFF"/>
        <w:spacing w:before="0" w:after="0"/>
        <w:jc w:val="both"/>
        <w:rPr>
          <w:color w:val="000000" w:themeColor="text1"/>
          <w:sz w:val="16"/>
          <w:szCs w:val="16"/>
        </w:rPr>
      </w:pPr>
      <w:r w:rsidRPr="0044524F">
        <w:rPr>
          <w:color w:val="000000" w:themeColor="text1"/>
          <w:sz w:val="16"/>
          <w:szCs w:val="16"/>
        </w:rPr>
        <w:t xml:space="preserve">Особенностью Т-29 было то, что его варианты с самого начала проектирования дублировались. Например, Т-29-1 и Т-29-3 практически ничем не отличались друг от </w:t>
      </w:r>
      <w:r w:rsidRPr="0044524F">
        <w:rPr>
          <w:color w:val="000000" w:themeColor="text1"/>
          <w:sz w:val="16"/>
          <w:szCs w:val="16"/>
        </w:rPr>
        <w:lastRenderedPageBreak/>
        <w:t>друга, кроме брони и боевой массы. Согласно проекту, Т-29-1 имел толщину лобовых листов 15 мм, а бортов — 13 мм, боевая масса оценивалась в 14 790 кг. У Т-29-3 толщина лобовой брони составляла 20 мм, бортов — до 15 мм, а боевая масса выросла до 15 415 кг. Как и танк-истребитель ИТ-3, конструкция которого во многом стала отправной точкой при разработке Т-29, эти два варианта имели только по одной башне. Также в лобовом листе корпуса предусматривалось размещение курсового пулемёта ДТ.</w:t>
      </w:r>
    </w:p>
    <w:p w14:paraId="7A7116F7" w14:textId="77777777" w:rsidR="00B4260E" w:rsidRPr="0044524F" w:rsidRDefault="00B4260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А вот варианты Т-29-4 и Т-29-5 были трёхбашенными. Т-29-4 имел ту же толщину брони, что и Т-29-3, его боевая масса увеличилась до 17185 килограмм. Максимальная скорость Т-29-1, Т-29-3 и Т-29-4 на гусеницах должна была составлять 60 км/ч, а на колёсном ходу 80 км/ч. Самым тяжёлым вариантом должен был стать Т-29-5. Толщина лобового листа его корпуса и башни составляла 30 мм, что теоретически позволяло «держать» снаряды малокалиберной артиллерии. Толщина бортов увеличивалась до 20 мм, а боевая масса — до 20 145 кг. Максимальная скорость этого танка на гусеничном ходу должна была составить 50 км/ч, а на колёсном увеличивалась до 70 км/ч.</w:t>
      </w:r>
    </w:p>
    <w:p w14:paraId="5F8AF664" w14:textId="77777777" w:rsidR="00B4260E" w:rsidRPr="0044524F" w:rsidRDefault="00B4260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Одной из причин появления проекта Т-29 стало желание Управления по механизации и моторизации Рабоче-крестьянской Красной армии (УММ РККА) подстраховаться. Ситуация со средними танками у Красной армии долгое время было непростой. Первенцами здесь были Т-12 и последовавший за ним серийный Т-24, которые разработали в Главном конструкторском бюро Орудийно-арсенального треста (ГКБ ОАТ) под руководством С.П. Шукалова. Эти машины получились не самыми удачными, вместо них на Харьковском паровозостроительном заводе (ХПЗ) освоили производство лёгких колёсно-гусеничных танков БТ-2.</w:t>
      </w:r>
    </w:p>
    <w:p w14:paraId="711B537C" w14:textId="77777777" w:rsidR="00B4260E" w:rsidRPr="0044524F" w:rsidRDefault="00B4260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Опыт привлечения зарубежных специалистов тоже оказался неудачным. Разработанный под руководством Эдварда Гроте средний (иногда именуется тяжёлым) танк ТГ, он же «танк Г», оказался передовым по конструкции, но слишком «сырым».</w:t>
      </w:r>
    </w:p>
    <w:p w14:paraId="405EB13C" w14:textId="77777777" w:rsidR="00B4260E" w:rsidRPr="0044524F" w:rsidRDefault="00B4260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Наконец с 1931 года начались работы по среднему танку Т-28. Руководил работами С.А. Гинзбург, имевший к тому моменту достаточно богатый опыт работы на танкостроительном поприще. Кроме того, у Семёна Александровича имелся опыт поездки за рубеж в составе закупочной комиссии.</w:t>
      </w:r>
    </w:p>
    <w:p w14:paraId="0BC227F0" w14:textId="77777777" w:rsidR="00B4260E" w:rsidRPr="0044524F" w:rsidRDefault="00B4260E" w:rsidP="009654CF">
      <w:pPr>
        <w:pStyle w:val="ae"/>
        <w:shd w:val="clear" w:color="auto" w:fill="FFFFFF"/>
        <w:spacing w:before="0" w:after="0"/>
        <w:jc w:val="both"/>
        <w:rPr>
          <w:color w:val="000000" w:themeColor="text1"/>
          <w:sz w:val="16"/>
          <w:szCs w:val="16"/>
        </w:rPr>
      </w:pPr>
      <w:r w:rsidRPr="0044524F">
        <w:rPr>
          <w:color w:val="000000" w:themeColor="text1"/>
          <w:sz w:val="16"/>
          <w:szCs w:val="16"/>
        </w:rPr>
        <w:t xml:space="preserve">В отличие от Шукалова, который выступал резко против заимствования зарубежных конструкций, Гинзбург внимательно изучал иностранные танки. Это касалось как машин, увиденных за рубежом, так и немецких танков, </w:t>
      </w:r>
      <w:hyperlink r:id="rId140" w:history="1">
        <w:r w:rsidRPr="0044524F">
          <w:rPr>
            <w:rStyle w:val="a5"/>
            <w:color w:val="000000" w:themeColor="text1"/>
            <w:sz w:val="16"/>
            <w:szCs w:val="16"/>
            <w:u w:val="none"/>
          </w:rPr>
          <w:t>которые испытывались</w:t>
        </w:r>
      </w:hyperlink>
      <w:r w:rsidRPr="0044524F">
        <w:rPr>
          <w:color w:val="000000" w:themeColor="text1"/>
          <w:sz w:val="16"/>
          <w:szCs w:val="16"/>
        </w:rPr>
        <w:t xml:space="preserve"> на курсах ТЕКО под Казанью. Эту точку зрения разделял и Н.В. Барыков, с февраля 1932 года возглавивший ОКМО (Опытный конструкторско-машиностроительный отдел) на заводе «Большевик». Барыков, к слову, имел отношение и к проекту ТГ.</w:t>
      </w:r>
    </w:p>
    <w:p w14:paraId="3282CD33" w14:textId="77777777" w:rsidR="00B4260E" w:rsidRPr="0044524F" w:rsidRDefault="00B4260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1932 году Гинзбург переехал из Москвы в Ленинград, где стал работать под началом Барыкова. Тандем талантливых инженеров-конструкторов сыграл важнейшую роль в советском предвоенном танкостроении.</w:t>
      </w:r>
    </w:p>
    <w:p w14:paraId="5F06DB0B" w14:textId="77777777" w:rsidR="00B4260E" w:rsidRPr="0044524F" w:rsidRDefault="00B4260E" w:rsidP="009654CF">
      <w:pPr>
        <w:pStyle w:val="ae"/>
        <w:shd w:val="clear" w:color="auto" w:fill="FFFFFF"/>
        <w:spacing w:before="0" w:after="0"/>
        <w:jc w:val="both"/>
        <w:rPr>
          <w:color w:val="000000" w:themeColor="text1"/>
          <w:sz w:val="16"/>
          <w:szCs w:val="16"/>
        </w:rPr>
      </w:pPr>
      <w:r w:rsidRPr="0044524F">
        <w:rPr>
          <w:color w:val="000000" w:themeColor="text1"/>
          <w:sz w:val="16"/>
          <w:szCs w:val="16"/>
        </w:rPr>
        <w:t xml:space="preserve">Безусловно, на облик Т-28 оказала влияние информация об английском </w:t>
      </w:r>
      <w:hyperlink r:id="rId141" w:history="1">
        <w:r w:rsidRPr="0044524F">
          <w:rPr>
            <w:rStyle w:val="a5"/>
            <w:color w:val="000000" w:themeColor="text1"/>
            <w:sz w:val="16"/>
            <w:szCs w:val="16"/>
            <w:u w:val="none"/>
          </w:rPr>
          <w:t>Medium Tank Mk.III</w:t>
        </w:r>
      </w:hyperlink>
      <w:r w:rsidRPr="0044524F">
        <w:rPr>
          <w:color w:val="000000" w:themeColor="text1"/>
          <w:sz w:val="16"/>
          <w:szCs w:val="16"/>
        </w:rPr>
        <w:t>. Больше того, боевая масса в 16-17 тонн прямо указывает на этот источник вдохновения. Но не следует забывать о том, насколько плотным в те годы было советско-германское сотрудничество. Подвеска Т-28 почти без изменений перекочевала на этот танк с Großtraktor Krupp. При этом гусеничные ленты и ряд других элементов разрабатывались по образцу Т-26, поскольку аналогичные элементы на немецкой машине показали себя плохо. Определённое влияние на ходовую часть Т-28 оказал и Т-24, к созданию которого Гинзбург имел прямое отношение.</w:t>
      </w:r>
    </w:p>
    <w:p w14:paraId="250E13B5" w14:textId="77777777" w:rsidR="00B4260E" w:rsidRPr="0044524F" w:rsidRDefault="00B4260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процессе разработки боевая масса Т-28 постепенно росла, а подвеску Großtraktor Krupp можно назвать удачной довольно условно. Поэтому и появилась идея разработки ещё одного среднего танка. Кроме того, на тот момент для танков считалась перспективной схема колёсно-гусеничного движителя.</w:t>
      </w:r>
    </w:p>
    <w:p w14:paraId="2816D102" w14:textId="77777777" w:rsidR="00B4260E" w:rsidRPr="0044524F" w:rsidRDefault="00B4260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конце 1933 года работами по Т-29 руководил Н.А. Астров. Между тем, у Авто-танкового бюро (АТБ) ЭКУ ОГПУ, находившегося в Москве, не имелось достаточных мощностей ни для постройки Т-29, ни для ПТ-1А. С ноября 1933 года к работе по этой теме начинает привлекаться ОКМО. 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44524F">
        <w:rPr>
          <w:iCs/>
          <w:color w:val="000000" w:themeColor="text1"/>
          <w:sz w:val="16"/>
          <w:szCs w:val="16"/>
        </w:rPr>
        <w:t xml:space="preserve"> (17708).</w:t>
      </w:r>
    </w:p>
    <w:p w14:paraId="0E5D13CB" w14:textId="77777777" w:rsidR="00B4260E" w:rsidRPr="0044524F" w:rsidRDefault="00B4260E" w:rsidP="009654CF">
      <w:pPr>
        <w:spacing w:after="0" w:line="240" w:lineRule="auto"/>
        <w:jc w:val="both"/>
        <w:rPr>
          <w:rFonts w:ascii="Times New Roman" w:eastAsia="Times New Roman" w:hAnsi="Times New Roman"/>
          <w:color w:val="000000" w:themeColor="text1"/>
          <w:sz w:val="16"/>
          <w:szCs w:val="16"/>
          <w:lang w:eastAsia="ru-RU"/>
        </w:rPr>
      </w:pPr>
    </w:p>
    <w:p w14:paraId="23CD12F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в Москве под руководством Н.Н.Козырева был разработан плавающий танк Т-37 с учетом конструкции Т-37 ОКМО и Т-41 (9527,44).</w:t>
      </w:r>
    </w:p>
    <w:p w14:paraId="0D5D346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4BAFD60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УНС РККА были разработаны ТТТ на создание телемеханического оборудования ждя плавающего малого танка Т-37, предназначенного для применения с качестве телетанка форсирования и разведки водных преград (ТФВП). Согласно заданию Т-37 с телеоборудованием д.б.:</w:t>
      </w:r>
    </w:p>
    <w:p w14:paraId="33B3252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варианте танка-брандера, управляемого с самолета, осуществлять подрыв мостов и судов на рейде,</w:t>
      </w:r>
    </w:p>
    <w:p w14:paraId="7AA656F5"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варианте кинжального танка, управляемого из Т-26 с ПАУТ или наземного НП - подрыв тяжелых и сверхтяжелых танков противника,</w:t>
      </w:r>
    </w:p>
    <w:p w14:paraId="5A6301D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варианте ТФВП, управляемого с ПУАТ на Т-26, стоящем в укрытии, или с выносного пульта на НП - разведку наличия противотанковых фугасов или речных противотанковых мин, проеладки проходов в легких проволочных заграждениях, дымопуск, векдение пулеметного огня во время переправы и после выхода на берег (9527,199).</w:t>
      </w:r>
    </w:p>
    <w:p w14:paraId="234B8E1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24961C0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года завершили сборку Т-35-2. Параллельно со сборкой Т-35-2 в ОКМО велась разработка чертежей серийного танка Т-35А. Причем Т-35-2 рассматривался лишь как переходная модель, идентичная серийному образцу лишь в части трансмиссии (3862).</w:t>
      </w:r>
    </w:p>
    <w:p w14:paraId="2DBD5FE7"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0B06D9B8" w14:textId="77777777" w:rsidR="000D03EE" w:rsidRPr="0044524F" w:rsidRDefault="000D03EE" w:rsidP="000D03EE">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завершили сборку Т-35—2 и 1 мая он прошел во главе парада по площади Урицкого (Дворцовая площадь) в Ленинграде, а Т-35—1 по Красной площади в Москве (15117).</w:t>
      </w:r>
    </w:p>
    <w:p w14:paraId="20DB2EBA" w14:textId="77777777" w:rsidR="000D03EE" w:rsidRPr="0044524F" w:rsidRDefault="000D03EE" w:rsidP="000D03EE">
      <w:pPr>
        <w:spacing w:after="0" w:line="240" w:lineRule="auto"/>
        <w:jc w:val="both"/>
        <w:rPr>
          <w:rFonts w:ascii="Times New Roman" w:hAnsi="Times New Roman"/>
          <w:color w:val="000000" w:themeColor="text1"/>
          <w:sz w:val="16"/>
          <w:szCs w:val="16"/>
        </w:rPr>
      </w:pPr>
    </w:p>
    <w:p w14:paraId="5379088F" w14:textId="77777777" w:rsidR="000D03EE" w:rsidRPr="00142305" w:rsidRDefault="000D03EE" w:rsidP="000D03E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w:t>
      </w:r>
      <w:r w:rsidRPr="00142305">
        <w:rPr>
          <w:rFonts w:ascii="Times New Roman" w:hAnsi="Times New Roman"/>
          <w:color w:val="0070C0"/>
          <w:sz w:val="16"/>
          <w:szCs w:val="16"/>
        </w:rPr>
        <w:softHyphen/>
        <w:t>ле 1933 года сборку Т-35-2 завершили, 1 мая она прошла во главе парада по площади имени Урицкого (так в те годы называлась Дворцовая площадь) в Ленинграде, а Т-35-1 в это время высе</w:t>
      </w:r>
      <w:r w:rsidRPr="00142305">
        <w:rPr>
          <w:rFonts w:ascii="Times New Roman" w:hAnsi="Times New Roman"/>
          <w:color w:val="0070C0"/>
          <w:sz w:val="16"/>
          <w:szCs w:val="16"/>
        </w:rPr>
        <w:softHyphen/>
        <w:t>кал искры из брусчатки Красной площади в Москве (25014).</w:t>
      </w:r>
    </w:p>
    <w:p w14:paraId="654A2525" w14:textId="77777777" w:rsidR="000D03EE" w:rsidRPr="00142305" w:rsidRDefault="000D03EE" w:rsidP="000D03EE">
      <w:pPr>
        <w:spacing w:after="0" w:line="240" w:lineRule="auto"/>
        <w:jc w:val="both"/>
        <w:rPr>
          <w:rFonts w:ascii="Times New Roman" w:hAnsi="Times New Roman"/>
          <w:color w:val="0070C0"/>
          <w:sz w:val="16"/>
          <w:szCs w:val="16"/>
        </w:rPr>
      </w:pPr>
    </w:p>
    <w:p w14:paraId="687FFC6B" w14:textId="77777777" w:rsidR="000D03EE" w:rsidRPr="00142305" w:rsidRDefault="000D03EE" w:rsidP="000D03E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1933 г. в то время, когда шла сборка опытного образца Т-35-2, в ОКМО заканчивали ра</w:t>
      </w:r>
      <w:r w:rsidRPr="00142305">
        <w:rPr>
          <w:rFonts w:ascii="Times New Roman" w:hAnsi="Times New Roman"/>
          <w:color w:val="0070C0"/>
          <w:sz w:val="16"/>
          <w:szCs w:val="16"/>
        </w:rPr>
        <w:softHyphen/>
        <w:t>боты над проектом танка Т-35А, который должен был выпускаться серийно. Причем Т-35-2 рассматривался лишь как «переход</w:t>
      </w:r>
      <w:r w:rsidRPr="00142305">
        <w:rPr>
          <w:rFonts w:ascii="Times New Roman" w:hAnsi="Times New Roman"/>
          <w:color w:val="0070C0"/>
          <w:sz w:val="16"/>
          <w:szCs w:val="16"/>
        </w:rPr>
        <w:softHyphen/>
        <w:t>ный, идентичный в части трансмиссии се</w:t>
      </w:r>
      <w:r w:rsidRPr="00142305">
        <w:rPr>
          <w:rFonts w:ascii="Times New Roman" w:hAnsi="Times New Roman"/>
          <w:color w:val="0070C0"/>
          <w:sz w:val="16"/>
          <w:szCs w:val="16"/>
        </w:rPr>
        <w:softHyphen/>
        <w:t>рийному образцу». По силовой установке, ходовой части и трансмиссии новая машина была подобна Т-35-2, но имела удлиненный корпус измененной конструкции, усиленную на одну тележку ходовую часть, малые пуле</w:t>
      </w:r>
      <w:r w:rsidRPr="00142305">
        <w:rPr>
          <w:rFonts w:ascii="Times New Roman" w:hAnsi="Times New Roman"/>
          <w:color w:val="0070C0"/>
          <w:sz w:val="16"/>
          <w:szCs w:val="16"/>
        </w:rPr>
        <w:softHyphen/>
        <w:t>метные башни новой конструкции, средние башни увеличенного размера с 45-мм оруди</w:t>
      </w:r>
      <w:r w:rsidRPr="00142305">
        <w:rPr>
          <w:rFonts w:ascii="Times New Roman" w:hAnsi="Times New Roman"/>
          <w:color w:val="0070C0"/>
          <w:sz w:val="16"/>
          <w:szCs w:val="16"/>
        </w:rPr>
        <w:softHyphen/>
        <w:t>ями, измененную форму корпуса и т.д. (25014).</w:t>
      </w:r>
    </w:p>
    <w:p w14:paraId="11037801" w14:textId="77777777" w:rsidR="000D03EE" w:rsidRPr="00142305" w:rsidRDefault="000D03EE" w:rsidP="000D03EE">
      <w:pPr>
        <w:spacing w:after="0" w:line="240" w:lineRule="auto"/>
        <w:jc w:val="both"/>
        <w:rPr>
          <w:rFonts w:ascii="Times New Roman" w:hAnsi="Times New Roman"/>
          <w:color w:val="0070C0"/>
          <w:sz w:val="16"/>
          <w:szCs w:val="16"/>
        </w:rPr>
      </w:pPr>
    </w:p>
    <w:p w14:paraId="5514FF54"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завод «Красный Путиловец» сдал первые 12 машин Т-28, приняв</w:t>
      </w:r>
      <w:r w:rsidRPr="0044524F">
        <w:rPr>
          <w:rFonts w:ascii="Times New Roman" w:hAnsi="Times New Roman"/>
          <w:color w:val="000000" w:themeColor="text1"/>
          <w:sz w:val="16"/>
          <w:szCs w:val="16"/>
        </w:rPr>
        <w:softHyphen/>
        <w:t>ших участие в парадах гг. Москвы и Ленинграда. Правда, указанные танки были приняты условно, так как требовали многочисленных доработок в узлах и механизмах, не имели оптических прицелов, устройств внутренней и внешней связи, части электрооборудования. Окончательно эти танки, вместе с еще двумя изготов</w:t>
      </w:r>
      <w:r w:rsidRPr="0044524F">
        <w:rPr>
          <w:rFonts w:ascii="Times New Roman" w:hAnsi="Times New Roman"/>
          <w:color w:val="000000" w:themeColor="text1"/>
          <w:sz w:val="16"/>
          <w:szCs w:val="16"/>
        </w:rPr>
        <w:softHyphen/>
        <w:t>ленными сначала, были приняты Заказчиком только 30 сентября 1933 г., а к концу года при плане 90 танков была сдана 41 машина из 44-изготовленных. Правда, цех МХ-2 уже перестраивался. Для его оснаще</w:t>
      </w:r>
      <w:r w:rsidRPr="0044524F">
        <w:rPr>
          <w:rFonts w:ascii="Times New Roman" w:hAnsi="Times New Roman"/>
          <w:color w:val="000000" w:themeColor="text1"/>
          <w:sz w:val="16"/>
          <w:szCs w:val="16"/>
        </w:rPr>
        <w:softHyphen/>
        <w:t>ния в США и Великобритании были закуплены более трех десятков станков и приспособлений для выпуска тракто</w:t>
      </w:r>
      <w:r w:rsidRPr="0044524F">
        <w:rPr>
          <w:rFonts w:ascii="Times New Roman" w:hAnsi="Times New Roman"/>
          <w:color w:val="000000" w:themeColor="text1"/>
          <w:sz w:val="16"/>
          <w:szCs w:val="16"/>
        </w:rPr>
        <w:softHyphen/>
        <w:t>ров. На заводе были созданы восемь специальных стапелей для сборки больших танков (10733,241).</w:t>
      </w:r>
    </w:p>
    <w:p w14:paraId="21940E43"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B634DA" w14:textId="77777777" w:rsidR="000D03EE" w:rsidRPr="00142305" w:rsidRDefault="000D03EE" w:rsidP="000D03E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1933 года был готов первый образец модернизированной бронемашины БАИ с корпусом и башней из конструкционной стали. Он получил индекс БА-3 (бронемашина Ижорского завода, третий тип). Главным его отличием стала башня, аналогичная Т-26. Логичный шаг, поскольку на Ижорском заводе выпускались башни Т-26 (25118).</w:t>
      </w:r>
    </w:p>
    <w:p w14:paraId="521684D5" w14:textId="77777777" w:rsidR="000D03EE" w:rsidRPr="00142305" w:rsidRDefault="000D03EE" w:rsidP="000D03EE">
      <w:pPr>
        <w:spacing w:after="0" w:line="240" w:lineRule="auto"/>
        <w:jc w:val="both"/>
        <w:rPr>
          <w:rFonts w:ascii="Times New Roman" w:hAnsi="Times New Roman"/>
          <w:color w:val="0070C0"/>
          <w:sz w:val="16"/>
          <w:szCs w:val="16"/>
        </w:rPr>
      </w:pPr>
    </w:p>
    <w:p w14:paraId="44F2C01D" w14:textId="77777777" w:rsidR="000D03EE" w:rsidRPr="00142305" w:rsidRDefault="000D03EE" w:rsidP="000D03E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апреле 1933 года в 3-м секторе НТУ ВОХИМУ РККА составили тактико-технические требования на разработку «танкезированной боевой химической машины (ТБХ) на базе ХТ-27». Но эти проекты не были реализованы (25021).</w:t>
      </w:r>
    </w:p>
    <w:p w14:paraId="2FC0DF1E" w14:textId="77777777" w:rsidR="000D03EE" w:rsidRPr="00142305" w:rsidRDefault="000D03EE" w:rsidP="000D03EE">
      <w:pPr>
        <w:spacing w:after="0" w:line="240" w:lineRule="auto"/>
        <w:jc w:val="both"/>
        <w:rPr>
          <w:rFonts w:ascii="Times New Roman" w:hAnsi="Times New Roman"/>
          <w:color w:val="0070C0"/>
          <w:sz w:val="16"/>
          <w:szCs w:val="16"/>
        </w:rPr>
      </w:pPr>
    </w:p>
    <w:p w14:paraId="54A70CE7" w14:textId="77777777" w:rsidR="00B90A61" w:rsidRPr="0044524F" w:rsidRDefault="00B90A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года СТЗ дал рекордный выпуск машин, сняв с конвейеров 4 055 тракторов, т.е. по 165 машин в день. Всего же Сталинградский тракторный завод дал стране в 1933 году 40 тысяч тракторов. План выпуска запасных частей был выполнен на 101%, а моторов для комбайнов выпущено сверх плана 1400 штук. Производительность труда увеличилась по сравнению с 1932 годом на 24,8%, число ударников выросло с 6 000 в 1932 г. до 7 500 в 1933 году. Секретарь крайкома партии В.В. Птуха подчеркнул: «Секрет успеха заключается в том, что руководство тракторного завода сумело поднять массы на овладение новой техникой и добилось решающих успехов. Победами тракторного гордится вся страна» (21519).</w:t>
      </w:r>
    </w:p>
    <w:p w14:paraId="27A6EA89" w14:textId="77777777" w:rsidR="00B90A61" w:rsidRPr="0044524F" w:rsidRDefault="00B90A61" w:rsidP="009654CF">
      <w:pPr>
        <w:spacing w:after="0" w:line="240" w:lineRule="auto"/>
        <w:jc w:val="both"/>
        <w:rPr>
          <w:rFonts w:ascii="Times New Roman" w:hAnsi="Times New Roman"/>
          <w:color w:val="000000" w:themeColor="text1"/>
          <w:sz w:val="16"/>
          <w:szCs w:val="16"/>
        </w:rPr>
      </w:pPr>
    </w:p>
    <w:p w14:paraId="47F3E486" w14:textId="455F790A"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на Путиловском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Ленинград;</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Челябинск/ /198097</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Ленинград,</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Санкт-Петербург пр. Стачек, д. 47 тел. 183-80-01/) выпущены первые 12 танков Т-35.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p>
    <w:p w14:paraId="7292CDC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 войной на заводе прекращен выпуск тракторов, тракторные цеха переоборудованы под производство авиационных дизелей (11982).</w:t>
      </w:r>
    </w:p>
    <w:p w14:paraId="04EC6698"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23C6D1C8" w14:textId="77777777" w:rsidR="004876B8" w:rsidRPr="0044524F" w:rsidRDefault="004876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апреле</w:t>
      </w:r>
      <w:hyperlink r:id="rId142" w:history="1">
        <w:r w:rsidRPr="0044524F">
          <w:rPr>
            <w:rStyle w:val="a5"/>
            <w:rFonts w:ascii="Times New Roman" w:hAnsi="Times New Roman"/>
            <w:color w:val="000000" w:themeColor="text1"/>
            <w:sz w:val="16"/>
            <w:szCs w:val="16"/>
            <w:u w:val="none"/>
          </w:rPr>
          <w:t> 1933 года </w:t>
        </w:r>
      </w:hyperlink>
      <w:hyperlink r:id="rId143" w:history="1">
        <w:r w:rsidRPr="0044524F">
          <w:rPr>
            <w:rStyle w:val="a5"/>
            <w:rFonts w:ascii="Times New Roman" w:hAnsi="Times New Roman"/>
            <w:color w:val="000000" w:themeColor="text1"/>
            <w:sz w:val="16"/>
            <w:szCs w:val="16"/>
            <w:u w:val="none"/>
          </w:rPr>
          <w:t>«Союзверфь»</w:t>
        </w:r>
      </w:hyperlink>
      <w:r w:rsidRPr="0044524F">
        <w:rPr>
          <w:rFonts w:ascii="Times New Roman" w:hAnsi="Times New Roman"/>
          <w:color w:val="000000" w:themeColor="text1"/>
          <w:sz w:val="16"/>
          <w:szCs w:val="16"/>
        </w:rPr>
        <w:t> и </w:t>
      </w:r>
      <w:hyperlink r:id="rId144" w:history="1">
        <w:r w:rsidRPr="0044524F">
          <w:rPr>
            <w:rStyle w:val="a5"/>
            <w:rFonts w:ascii="Times New Roman" w:hAnsi="Times New Roman"/>
            <w:color w:val="000000" w:themeColor="text1"/>
            <w:sz w:val="16"/>
            <w:szCs w:val="16"/>
            <w:u w:val="none"/>
          </w:rPr>
          <w:t>«Дешимаг»</w:t>
        </w:r>
      </w:hyperlink>
      <w:r w:rsidRPr="0044524F">
        <w:rPr>
          <w:rFonts w:ascii="Times New Roman" w:hAnsi="Times New Roman"/>
          <w:color w:val="000000" w:themeColor="text1"/>
          <w:sz w:val="16"/>
          <w:szCs w:val="16"/>
        </w:rPr>
        <w:t> («I v S» примерно тогда же была расформирована и вошла в состав «Дешимаг») заключили договор на разработку проекта. Договор вступил в сил</w:t>
      </w:r>
      <w:hyperlink r:id="rId145" w:history="1">
        <w:r w:rsidRPr="0044524F">
          <w:rPr>
            <w:rStyle w:val="a5"/>
            <w:rFonts w:ascii="Times New Roman" w:hAnsi="Times New Roman"/>
            <w:color w:val="000000" w:themeColor="text1"/>
            <w:sz w:val="16"/>
            <w:szCs w:val="16"/>
            <w:u w:val="none"/>
          </w:rPr>
          <w:t>у 12 августа </w:t>
        </w:r>
      </w:hyperlink>
      <w:r w:rsidRPr="0044524F">
        <w:rPr>
          <w:rFonts w:ascii="Times New Roman" w:hAnsi="Times New Roman"/>
          <w:color w:val="000000" w:themeColor="text1"/>
          <w:sz w:val="16"/>
          <w:szCs w:val="16"/>
        </w:rPr>
        <w:t>1933 года, после завершения серии испытаний, показавших реальность гарантий, предоставляемых немецкой стороной (18262).</w:t>
      </w:r>
    </w:p>
    <w:p w14:paraId="1D6AA9D8" w14:textId="77777777" w:rsidR="004876B8" w:rsidRPr="0044524F" w:rsidRDefault="004876B8" w:rsidP="009654CF">
      <w:pPr>
        <w:spacing w:after="0" w:line="240" w:lineRule="auto"/>
        <w:jc w:val="both"/>
        <w:rPr>
          <w:rFonts w:ascii="Times New Roman" w:hAnsi="Times New Roman"/>
          <w:color w:val="000000" w:themeColor="text1"/>
          <w:sz w:val="16"/>
          <w:szCs w:val="16"/>
        </w:rPr>
      </w:pPr>
    </w:p>
    <w:p w14:paraId="06F9FE42" w14:textId="77777777" w:rsidR="00B90A61" w:rsidRPr="0044524F" w:rsidRDefault="00B90A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w:t>
      </w:r>
      <w:hyperlink r:id="rId146" w:history="1">
        <w:r w:rsidRPr="0044524F">
          <w:rPr>
            <w:rStyle w:val="a5"/>
            <w:rFonts w:ascii="Times New Roman" w:hAnsi="Times New Roman"/>
            <w:color w:val="000000" w:themeColor="text1"/>
            <w:sz w:val="16"/>
            <w:szCs w:val="16"/>
          </w:rPr>
          <w:t> 1933 года </w:t>
        </w:r>
      </w:hyperlink>
      <w:hyperlink r:id="rId147" w:history="1">
        <w:r w:rsidRPr="0044524F">
          <w:rPr>
            <w:rStyle w:val="a5"/>
            <w:rFonts w:ascii="Times New Roman" w:hAnsi="Times New Roman"/>
            <w:color w:val="000000" w:themeColor="text1"/>
            <w:sz w:val="16"/>
            <w:szCs w:val="16"/>
          </w:rPr>
          <w:t>«Союзверфь»</w:t>
        </w:r>
      </w:hyperlink>
      <w:r w:rsidRPr="0044524F">
        <w:rPr>
          <w:rFonts w:ascii="Times New Roman" w:hAnsi="Times New Roman"/>
          <w:color w:val="000000" w:themeColor="text1"/>
          <w:sz w:val="16"/>
          <w:szCs w:val="16"/>
        </w:rPr>
        <w:t> и </w:t>
      </w:r>
      <w:hyperlink r:id="rId148" w:history="1">
        <w:r w:rsidRPr="0044524F">
          <w:rPr>
            <w:rStyle w:val="a5"/>
            <w:rFonts w:ascii="Times New Roman" w:hAnsi="Times New Roman"/>
            <w:color w:val="000000" w:themeColor="text1"/>
            <w:sz w:val="16"/>
            <w:szCs w:val="16"/>
          </w:rPr>
          <w:t>«Дешимаг»</w:t>
        </w:r>
      </w:hyperlink>
      <w:r w:rsidRPr="0044524F">
        <w:rPr>
          <w:rFonts w:ascii="Times New Roman" w:hAnsi="Times New Roman"/>
          <w:color w:val="000000" w:themeColor="text1"/>
          <w:sz w:val="16"/>
          <w:szCs w:val="16"/>
        </w:rPr>
        <w:t> («I v S» примерно тогда же была расформирована и вошла в состав «Дешимаг») заключили договор на разработку проекта. Договор вступил в сил</w:t>
      </w:r>
      <w:hyperlink r:id="rId149" w:history="1">
        <w:r w:rsidRPr="0044524F">
          <w:rPr>
            <w:rStyle w:val="a5"/>
            <w:rFonts w:ascii="Times New Roman" w:hAnsi="Times New Roman"/>
            <w:color w:val="000000" w:themeColor="text1"/>
            <w:sz w:val="16"/>
            <w:szCs w:val="16"/>
          </w:rPr>
          <w:t>у 12 августа </w:t>
        </w:r>
      </w:hyperlink>
      <w:r w:rsidRPr="0044524F">
        <w:rPr>
          <w:rFonts w:ascii="Times New Roman" w:hAnsi="Times New Roman"/>
          <w:color w:val="000000" w:themeColor="text1"/>
          <w:sz w:val="16"/>
          <w:szCs w:val="16"/>
        </w:rPr>
        <w:t>1933 года, после завершения серии испытаний, показавших реальность гарантий, предоставляемых немецкой стороной.</w:t>
      </w:r>
    </w:p>
    <w:p w14:paraId="3F9BEB3D" w14:textId="77777777" w:rsidR="00B90A61" w:rsidRPr="0044524F" w:rsidRDefault="00B90A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Договорные обязательства Советский Союз выполнял неукоснительно. Так, 28 ноября 1933 года вышло Постановление Комитета обороны (КО) Совета народных комиссаров (СНК) СССР «Об иностранной технической помощи по постройке подводной лодки типа ―Е-1‖». Данным постановлением указывалось НКТП С. Г. Орджоникидзе продолжить выполнение договора на техническую помощь по постройке подводной лодки типа «Е-1» с фирмой «Дешимаг», уплатив очередной денежный взнос по договору в размере 20 тысяч долларов США [Там же, д. 498, л. 202] (21528).</w:t>
      </w:r>
    </w:p>
    <w:p w14:paraId="5B9C6504" w14:textId="77777777" w:rsidR="00B90A61" w:rsidRPr="0044524F" w:rsidRDefault="00B90A61" w:rsidP="009654CF">
      <w:pPr>
        <w:spacing w:after="0" w:line="240" w:lineRule="auto"/>
        <w:jc w:val="both"/>
        <w:rPr>
          <w:rFonts w:ascii="Times New Roman" w:hAnsi="Times New Roman"/>
          <w:color w:val="000000" w:themeColor="text1"/>
          <w:sz w:val="16"/>
          <w:szCs w:val="16"/>
        </w:rPr>
      </w:pPr>
    </w:p>
    <w:p w14:paraId="20028230" w14:textId="77777777" w:rsidR="000E63D3" w:rsidRPr="0044524F" w:rsidRDefault="000E63D3" w:rsidP="009654CF">
      <w:pPr>
        <w:pStyle w:val="rtejustify"/>
        <w:spacing w:before="0" w:after="0"/>
        <w:rPr>
          <w:color w:val="000000" w:themeColor="text1"/>
          <w:sz w:val="16"/>
          <w:szCs w:val="16"/>
        </w:rPr>
      </w:pPr>
      <w:r w:rsidRPr="0044524F">
        <w:rPr>
          <w:color w:val="000000" w:themeColor="text1"/>
          <w:sz w:val="16"/>
          <w:szCs w:val="16"/>
        </w:rPr>
        <w:t>В апреле 1933 г. в системе Наркомата тяжелой промышленности СССРбыло создано</w:t>
      </w:r>
      <w:r w:rsidRPr="0044524F">
        <w:rPr>
          <w:rStyle w:val="af0"/>
          <w:bCs/>
          <w:i w:val="0"/>
          <w:color w:val="000000" w:themeColor="text1"/>
          <w:sz w:val="16"/>
          <w:szCs w:val="16"/>
        </w:rPr>
        <w:t xml:space="preserve"> Главное управление судостроительной промышленности (ГУСП)</w:t>
      </w:r>
      <w:r w:rsidRPr="0044524F">
        <w:rPr>
          <w:color w:val="000000" w:themeColor="text1"/>
          <w:sz w:val="16"/>
          <w:szCs w:val="16"/>
        </w:rPr>
        <w:t>. 21 декабря 1933 г. постановлением СНК СССР № 2734 ГУСП было разделено на два главка: Главное управление морской судостроительной промышленности (Главморпром) и Главное управление речного судостроения (Главречпром). Начальником Главморпрома стал Р. А. Муклевич, Главречпрома — Д. Е. Березин (15273).</w:t>
      </w:r>
    </w:p>
    <w:p w14:paraId="1B492031" w14:textId="77777777" w:rsidR="000E63D3" w:rsidRPr="0044524F" w:rsidRDefault="000E63D3" w:rsidP="009654CF">
      <w:pPr>
        <w:pStyle w:val="rtejustify"/>
        <w:spacing w:before="0" w:after="0"/>
        <w:rPr>
          <w:color w:val="000000" w:themeColor="text1"/>
          <w:sz w:val="16"/>
          <w:szCs w:val="16"/>
        </w:rPr>
      </w:pPr>
    </w:p>
    <w:p w14:paraId="5F64A67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СССР было заключено соглашение с фактическим хозяином фирмы N.V.Ingenieurkantoor voor Scheepsbouw (IvS) - немецкой фирмой Дешимаг о проектировании средней п/л на лицензионных началах. Заказчиком выступала фирма Судоверфь. Договор вступил в силу 12 августа 1933 (4145,29).</w:t>
      </w:r>
    </w:p>
    <w:p w14:paraId="33539CBE" w14:textId="7A2804FE"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7DBF5C7F" w14:textId="77777777" w:rsidR="00B35148" w:rsidRPr="0044524F" w:rsidRDefault="00B3514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в Наркомтяжпроме было создано Главное уп</w:t>
      </w:r>
      <w:r w:rsidRPr="0044524F">
        <w:rPr>
          <w:rFonts w:ascii="Times New Roman" w:hAnsi="Times New Roman"/>
          <w:color w:val="000000" w:themeColor="text1"/>
          <w:sz w:val="16"/>
          <w:szCs w:val="16"/>
        </w:rPr>
        <w:softHyphen/>
        <w:t>равление судостроительной промышленности, несколько позже разделенное на два Главка: Главное управление морского судостро</w:t>
      </w:r>
      <w:r w:rsidRPr="0044524F">
        <w:rPr>
          <w:rFonts w:ascii="Times New Roman" w:hAnsi="Times New Roman"/>
          <w:color w:val="000000" w:themeColor="text1"/>
          <w:sz w:val="16"/>
          <w:szCs w:val="16"/>
        </w:rPr>
        <w:softHyphen/>
        <w:t>ения (Главморпром) и Главное управление речного судостроения (Главречпром). Начальником Главморпрома стал Р. А. Муклевич, а Главречпрома — Д. Е. Березин.</w:t>
      </w:r>
    </w:p>
    <w:p w14:paraId="314C7D08" w14:textId="77777777" w:rsidR="00B35148" w:rsidRPr="0044524F" w:rsidRDefault="00B3514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Главморпром из Союзверфи перешли восемь основных судо</w:t>
      </w:r>
      <w:r w:rsidRPr="0044524F">
        <w:rPr>
          <w:rFonts w:ascii="Times New Roman" w:hAnsi="Times New Roman"/>
          <w:color w:val="000000" w:themeColor="text1"/>
          <w:sz w:val="16"/>
          <w:szCs w:val="16"/>
        </w:rPr>
        <w:softHyphen/>
        <w:t>строительных заводов (Балтийский, им. А. Марти, Северная верфь и "Судомех" в Ленинграде, им. А. Марти и им. 61 Коммунара в Ни</w:t>
      </w:r>
      <w:r w:rsidRPr="0044524F">
        <w:rPr>
          <w:rFonts w:ascii="Times New Roman" w:hAnsi="Times New Roman"/>
          <w:color w:val="000000" w:themeColor="text1"/>
          <w:sz w:val="16"/>
          <w:szCs w:val="16"/>
        </w:rPr>
        <w:softHyphen/>
        <w:t>колаеве, Севморзавод и Дальзавод). Кроме того, в связи с развер</w:t>
      </w:r>
      <w:r w:rsidRPr="0044524F">
        <w:rPr>
          <w:rFonts w:ascii="Times New Roman" w:hAnsi="Times New Roman"/>
          <w:color w:val="000000" w:themeColor="text1"/>
          <w:sz w:val="16"/>
          <w:szCs w:val="16"/>
        </w:rPr>
        <w:softHyphen/>
        <w:t>тыванием большой программы строительства подводньк лодок в этот главк были включены Осиповский затон в Хабаровске и завод № 6 в Ленинграде, специализировавшийся на производстве тор</w:t>
      </w:r>
      <w:r w:rsidRPr="0044524F">
        <w:rPr>
          <w:rFonts w:ascii="Times New Roman" w:hAnsi="Times New Roman"/>
          <w:color w:val="000000" w:themeColor="text1"/>
          <w:sz w:val="16"/>
          <w:szCs w:val="16"/>
        </w:rPr>
        <w:softHyphen/>
        <w:t>педного вооружения (бывший Лесснера). По состоянию на 1934 г. в Главморпроме было около 43 000 рабочих, 7350 инженерно-тех</w:t>
      </w:r>
      <w:r w:rsidRPr="0044524F">
        <w:rPr>
          <w:rFonts w:ascii="Times New Roman" w:hAnsi="Times New Roman"/>
          <w:color w:val="000000" w:themeColor="text1"/>
          <w:sz w:val="16"/>
          <w:szCs w:val="16"/>
        </w:rPr>
        <w:softHyphen/>
        <w:t>нических работников и 4860 служащих и младшего обслуживаю</w:t>
      </w:r>
      <w:r w:rsidRPr="0044524F">
        <w:rPr>
          <w:rFonts w:ascii="Times New Roman" w:hAnsi="Times New Roman"/>
          <w:color w:val="000000" w:themeColor="text1"/>
          <w:sz w:val="16"/>
          <w:szCs w:val="16"/>
        </w:rPr>
        <w:softHyphen/>
        <w:t>щего персонала.</w:t>
      </w:r>
    </w:p>
    <w:p w14:paraId="5E657059" w14:textId="77777777" w:rsidR="00B35148" w:rsidRPr="0044524F" w:rsidRDefault="00B3514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Главречпром первоначально объединил 16 заводов и верфей, на которых на момент создания главка работало более 36 000 чел., в том числе 23 700 рабочих. С 1934 г. в состав Главречпрома це</w:t>
      </w:r>
      <w:r w:rsidRPr="0044524F">
        <w:rPr>
          <w:rFonts w:ascii="Times New Roman" w:hAnsi="Times New Roman"/>
          <w:color w:val="000000" w:themeColor="text1"/>
          <w:sz w:val="16"/>
          <w:szCs w:val="16"/>
        </w:rPr>
        <w:softHyphen/>
        <w:t>ликом вошел крупнейший внутренний судостроительный и маши</w:t>
      </w:r>
      <w:r w:rsidRPr="0044524F">
        <w:rPr>
          <w:rFonts w:ascii="Times New Roman" w:hAnsi="Times New Roman"/>
          <w:color w:val="000000" w:themeColor="text1"/>
          <w:sz w:val="16"/>
          <w:szCs w:val="16"/>
        </w:rPr>
        <w:softHyphen/>
        <w:t>ностроительный завод — "Красное Сормово" и судостроительная верфь Коломенского завода им. В. В. Куйбышева (3898).</w:t>
      </w:r>
    </w:p>
    <w:p w14:paraId="7493FB5E" w14:textId="77777777" w:rsidR="00B35148" w:rsidRPr="0044524F" w:rsidRDefault="00B35148" w:rsidP="009654CF">
      <w:pPr>
        <w:autoSpaceDE w:val="0"/>
        <w:autoSpaceDN w:val="0"/>
        <w:adjustRightInd w:val="0"/>
        <w:spacing w:after="0" w:line="240" w:lineRule="auto"/>
        <w:jc w:val="both"/>
        <w:rPr>
          <w:rFonts w:ascii="Times New Roman" w:hAnsi="Times New Roman"/>
          <w:color w:val="000000" w:themeColor="text1"/>
          <w:sz w:val="16"/>
          <w:szCs w:val="16"/>
        </w:rPr>
      </w:pPr>
    </w:p>
    <w:p w14:paraId="6C1F3AB5" w14:textId="77777777" w:rsidR="00B35148" w:rsidRPr="0044524F" w:rsidRDefault="00B3514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предполагая даль</w:t>
      </w:r>
      <w:r w:rsidRPr="0044524F">
        <w:rPr>
          <w:rFonts w:ascii="Times New Roman" w:hAnsi="Times New Roman"/>
          <w:color w:val="000000" w:themeColor="text1"/>
          <w:sz w:val="16"/>
          <w:szCs w:val="16"/>
        </w:rPr>
        <w:softHyphen/>
        <w:t>нейшую постройку подобных судов (III серия), замнаморси СССР И. М. Лудри утвердил оперативно-тактические задания на "крымско-кавказские теплоходы, переоборудоваемые по мобилизации под вспомогательные крейсера" на базе Абхазии и Аджарии. Моряки предложили довести скорость лайнера до 17,5-18 уз, предусмотрев возможность его ча</w:t>
      </w:r>
      <w:r w:rsidRPr="0044524F">
        <w:rPr>
          <w:rFonts w:ascii="Times New Roman" w:hAnsi="Times New Roman"/>
          <w:color w:val="000000" w:themeColor="text1"/>
          <w:sz w:val="16"/>
          <w:szCs w:val="16"/>
        </w:rPr>
        <w:softHyphen/>
        <w:t>стичного бронирования и вооружения пятью 152-мм орудиями, 76-мм и 45-мм зенитными пушками и двумя самолетами. Буду</w:t>
      </w:r>
      <w:r w:rsidRPr="0044524F">
        <w:rPr>
          <w:rFonts w:ascii="Times New Roman" w:hAnsi="Times New Roman"/>
          <w:color w:val="000000" w:themeColor="text1"/>
          <w:sz w:val="16"/>
          <w:szCs w:val="16"/>
        </w:rPr>
        <w:softHyphen/>
        <w:t>щий вспомогательный крейсер должен был принимать 150— 200 мин и иметь минимум надстроек.</w:t>
      </w:r>
    </w:p>
    <w:p w14:paraId="051C31CF" w14:textId="77777777" w:rsidR="00B35148" w:rsidRPr="0044524F" w:rsidRDefault="00B3514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судна вело ЦКБ "Судопроект" (ранее ЦБМС), но оно не было построено из-за переключения промышленности на боевые корабли. В то же время Я. А. Копержинский использовал "Абхазию" в качестве прототипа для меньших по размерам (водо</w:t>
      </w:r>
      <w:r w:rsidRPr="0044524F">
        <w:rPr>
          <w:rFonts w:ascii="Times New Roman" w:hAnsi="Times New Roman"/>
          <w:color w:val="000000" w:themeColor="text1"/>
          <w:sz w:val="16"/>
          <w:szCs w:val="16"/>
        </w:rPr>
        <w:softHyphen/>
        <w:t>измещение около 3000 т), но также быстроходных теплоходов для работы на линии Баку—Красноводск. Двухвинтовое двухпалубное судно дедвейтом 960 т (вместимость — 2575 брт) рассчитывалось на 284 классных, 100 сидячих и 216 палубных мест. Главная энер</w:t>
      </w:r>
      <w:r w:rsidRPr="0044524F">
        <w:rPr>
          <w:rFonts w:ascii="Times New Roman" w:hAnsi="Times New Roman"/>
          <w:color w:val="000000" w:themeColor="text1"/>
          <w:sz w:val="16"/>
          <w:szCs w:val="16"/>
        </w:rPr>
        <w:softHyphen/>
        <w:t>гетическая установка — два бескомпрессорных дизеля МАН эф</w:t>
      </w:r>
      <w:r w:rsidRPr="0044524F">
        <w:rPr>
          <w:rFonts w:ascii="Times New Roman" w:hAnsi="Times New Roman"/>
          <w:color w:val="000000" w:themeColor="text1"/>
          <w:sz w:val="16"/>
          <w:szCs w:val="16"/>
        </w:rPr>
        <w:softHyphen/>
        <w:t>фективной мощностью по 1300 л. с., скорость — 14 уз.</w:t>
      </w:r>
    </w:p>
    <w:p w14:paraId="25AF9603" w14:textId="77777777" w:rsidR="00B35148" w:rsidRPr="0044524F" w:rsidRDefault="00B3514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этому проекту в 1932—1934 гг. Коломенский завод постро</w:t>
      </w:r>
      <w:r w:rsidRPr="0044524F">
        <w:rPr>
          <w:rFonts w:ascii="Times New Roman" w:hAnsi="Times New Roman"/>
          <w:color w:val="000000" w:themeColor="text1"/>
          <w:sz w:val="16"/>
          <w:szCs w:val="16"/>
        </w:rPr>
        <w:softHyphen/>
        <w:t>ил (с дизелями собственного изготовления) два судна — "Дагестан" и "Туркменистан", которые унаследовали лучшие качества прото</w:t>
      </w:r>
      <w:r w:rsidRPr="0044524F">
        <w:rPr>
          <w:rFonts w:ascii="Times New Roman" w:hAnsi="Times New Roman"/>
          <w:color w:val="000000" w:themeColor="text1"/>
          <w:sz w:val="16"/>
          <w:szCs w:val="16"/>
        </w:rPr>
        <w:softHyphen/>
        <w:t>типа.</w:t>
      </w:r>
    </w:p>
    <w:p w14:paraId="5C1AB353" w14:textId="77777777" w:rsidR="00B35148" w:rsidRPr="0044524F" w:rsidRDefault="00B3514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отметить, что теплоходы типа "Абхазия", хотя и не получили явно выраженного "военного" продолжения, сыграли важ</w:t>
      </w:r>
      <w:r w:rsidRPr="0044524F">
        <w:rPr>
          <w:rFonts w:ascii="Times New Roman" w:hAnsi="Times New Roman"/>
          <w:color w:val="000000" w:themeColor="text1"/>
          <w:sz w:val="16"/>
          <w:szCs w:val="16"/>
        </w:rPr>
        <w:softHyphen/>
        <w:t>ную роль во время Великой Отечественной войны. Они оказались почти единственными судами на Черном море, которые могли эф</w:t>
      </w:r>
      <w:r w:rsidRPr="0044524F">
        <w:rPr>
          <w:rFonts w:ascii="Times New Roman" w:hAnsi="Times New Roman"/>
          <w:color w:val="000000" w:themeColor="text1"/>
          <w:sz w:val="16"/>
          <w:szCs w:val="16"/>
        </w:rPr>
        <w:softHyphen/>
        <w:t>фективно использоваться в качестве быстроходных военных и са</w:t>
      </w:r>
      <w:r w:rsidRPr="0044524F">
        <w:rPr>
          <w:rFonts w:ascii="Times New Roman" w:hAnsi="Times New Roman"/>
          <w:color w:val="000000" w:themeColor="text1"/>
          <w:sz w:val="16"/>
          <w:szCs w:val="16"/>
        </w:rPr>
        <w:softHyphen/>
        <w:t>нитарных транспортов. Например, "Абхазия", переоборудованная в санитарный транспорт на 400 коек, менее чем за год совершила 36 рейсов и эвакуировала 32 325 чел. Пять теплоходов из шести по</w:t>
      </w:r>
      <w:r w:rsidRPr="0044524F">
        <w:rPr>
          <w:rFonts w:ascii="Times New Roman" w:hAnsi="Times New Roman"/>
          <w:color w:val="000000" w:themeColor="text1"/>
          <w:sz w:val="16"/>
          <w:szCs w:val="16"/>
        </w:rPr>
        <w:softHyphen/>
        <w:t>гибли в 1941—1942 гг., а "Крым" был поврежден и выведен из строя. Гибель "Армении" 7 ноября 1941 г. от торпеды самолета-торпедоносца стала крупнейшей в истории Великой Отечественно войны морской катастрофой, в которой погибло 5000 чел. (3898)</w:t>
      </w:r>
    </w:p>
    <w:p w14:paraId="075E66E0" w14:textId="77777777" w:rsidR="00B35148" w:rsidRPr="0044524F" w:rsidRDefault="00B3514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C546DC5" w14:textId="2ADCF2C9" w:rsidR="00B90A61" w:rsidRPr="0044524F" w:rsidRDefault="00B90A61"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7DAD4DDD" w14:textId="77777777" w:rsidR="00B90A61" w:rsidRPr="0044524F" w:rsidRDefault="00B90A61"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50C8924C" w14:textId="77777777" w:rsidR="00B90A61" w:rsidRPr="0044524F" w:rsidRDefault="00B90A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состоялось решение Советского правительства о переводе части кораблей из Балтийского моря на Север, которые послужили основой для создания Северной военной флотилии. В мае 1937 г. Северная военная флотилия была переименована в Северный флот. В сентябре 1936 г. из Ленинграда в Мурманск по железной дороге прибыло 7-е отдельное авиационное звено в составе 3 гидросамолетов МБР-2 (командир — старший лейтенант В. П. Степанов, комиссар — В. П. Соловьев). В дальнейшем с поступлением новой техники и летного состава авиазвено было преобразовано сначала в 29-ю, а затем в 45-ю ближнеразведывательную морскую авиаэскадрилью (19929).</w:t>
      </w:r>
    </w:p>
    <w:p w14:paraId="39A1402E" w14:textId="77777777" w:rsidR="00B90A61" w:rsidRPr="0044524F" w:rsidRDefault="00B90A61" w:rsidP="009654CF">
      <w:pPr>
        <w:spacing w:after="0" w:line="240" w:lineRule="auto"/>
        <w:jc w:val="both"/>
        <w:rPr>
          <w:rFonts w:ascii="Times New Roman" w:hAnsi="Times New Roman"/>
          <w:color w:val="000000" w:themeColor="text1"/>
          <w:sz w:val="16"/>
          <w:szCs w:val="16"/>
        </w:rPr>
      </w:pPr>
    </w:p>
    <w:p w14:paraId="29B0F99F"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564FF04"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97DD0D"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на госиспытаниях Хейнкель Н-70 показал максимальную скорость у земли 377 км/ч. А ведь на машине стоял считавшийся устаревшим мотор BMW-VI. Авиационных экспертов не могло ввести в заблуждение утверждение немцев о том, что Не70 является почтово-пассажирской машиной. Во французской печати инженером Веллэем были опубликованы расчеты вариантов боевых самолетов на основе Не70 с 860-сильным французским мотором Испано-Сюи-за HS-12. Так, двухместный легкий разведчик и бомбардировщик мог иметь скорость 420-430 км/ч на высоте 4000 м, практический потолок 9000 м и максимальную дальность 1500 км. Разумно предположить, что не случайно аналогичные цифры были положены в основу советских «Ивановых». Оказали влияние на заложенные характеристики и расчеты КОСОС ЦАГИ, выполненные в 1935 г. (5360).</w:t>
      </w:r>
    </w:p>
    <w:p w14:paraId="7307EFB8"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1284684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в Германии создано министерство авиации во главе с Г.Герингом (78,63).</w:t>
      </w:r>
    </w:p>
    <w:p w14:paraId="7CA1E83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6A56D0E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Ф.Тиссен по поручению А.Гитлера провел совещание руководителей авиапромышленности, на котором было решено резко увеличить производство боевых самолетом всех типов и в особенности бомбардировщиков (24,95).</w:t>
      </w:r>
    </w:p>
    <w:p w14:paraId="1F9869C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351FFFC5"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апреле 1933 года генерал Лутц определил сроки начала крупносерийного производства намацкого легкого танка – 1 апреля 1934 года. Позже было принято решение, что, помимо Krupp, в производстве будут задействованы и другие немецкие компании – Rheinmetall-Borsig, MAN, Henschel, Daimler-Benz и Grusonwerk (последняя являлась дочерней структурой Krupp). По вполне понятным причинам, наиболее активно при дележе бюджетного пирога в виде контрактов на производство вёл себя концерн Krupp, который 1 июля объявил о готовности заключить контракт на выпуск 150 танков первой серии. Тогда же впервые было использовано и обозначение, которое закрепилось за машиной – La.S. (Landwirtschaftliche Schlepper, то есть «сельскохозяйственный трактор»).</w:t>
      </w:r>
    </w:p>
    <w:p w14:paraId="27A3ECAE"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Позже концерн Krupp расщедрился и снизил объём выпуска «своих» 1.Serie/La.S. до 135 машин, остальным участникам серийного производства с барского плеча предлагалось изготовить по 3 La.S. Поставки машин ожидались с декабря 1933 года, но реально первый La.S. был отправлен в Меппен только к 20 января 1934 года. 1.Serie/La.S. выпуска концерна Krupp имели серийные номера 8011–8145, Grusonwerk – 8401–8403, MAN – 8501–8503, Rheinmetall – 8601–8603, Henschel – 8701–8703 и Daimler-Benz – 8801–8803.</w:t>
      </w:r>
    </w:p>
    <w:p w14:paraId="56BB86F5"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От установочной партии Kleinetrakror эти машины отличались довольно существенно. Их длина достигла 4 метров, масса составляла 4 тонны. Была переработана ходовая часть, на танк установили более мощный двигатель Krupp M 305 мощностью 60 лошадиных сил. С ним максимальная скорость машины составляла 37,5 км/ч.</w:t>
      </w:r>
    </w:p>
    <w:p w14:paraId="7335443C"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Несмотря на сопутствующие проблемы, постройка партии 1.Serie/La.S. стала первым случаем, когда производство немецких танков оказалось не только массовым, но и распределённым среди целого ряда производителей.</w:t>
      </w:r>
    </w:p>
    <w:p w14:paraId="5D87ACD4"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Если в случае с шасси танка концерн Krupp более-менее сохранял монополию, то с вооружением вышло иначе. Для начала, первоначальную версию с 20-мм автоматической пушкой с октября 1932 года заказчики стали потихоньку задвигать на второй план. Такой вариант вооружения пал жертвой настойчивого желания военных запихнуть в La.S. третьего члена экипажа.</w:t>
      </w:r>
    </w:p>
    <w:p w14:paraId="38FE24BF"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 xml:space="preserve">Что же касается варианта с одноместной башней и двумя пулемётами, то поначалу для концерна Krupp все складывалось неплохо. Уже 18 ноября 1932 года была </w:t>
      </w:r>
      <w:r w:rsidRPr="0044524F">
        <w:rPr>
          <w:color w:val="000000" w:themeColor="text1"/>
          <w:sz w:val="16"/>
          <w:szCs w:val="16"/>
        </w:rPr>
        <w:lastRenderedPageBreak/>
        <w:t>продемонстрирована деревянная модель башни и подбашенной коробки, созданная конструкторами компании. Но в марте 1933 года к разработке подключилась фирма Daimler-Benz, и в конце концов, военные отдали предпочтение башне и подбашенной коробке именно этого производителя.</w:t>
      </w:r>
    </w:p>
    <w:p w14:paraId="08D4842A"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 xml:space="preserve">Подобное решение выглядело вполне логично. Башня Krupp получилась существенно меньшей по размеру. Да и крупповская подбашенная коробка выглядела далеко не последним словом инженерной мысли. Борта её были выполнены под прямым углом, что уменьшало возможность рикошета пули, а откидная выемка-люк под голову механика-водителя выглядела довольно странно. Впрочем, это не помешало Krupp построить 20 комплектов башен и подбашенных коробок, </w:t>
      </w:r>
    </w:p>
    <w:p w14:paraId="5BDEEB64"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Конструкция, созданная специалистами Daimler-Benz, разительно отличалась от того, что сделали инженеры Krupp. Вместо простых форм подбашенную коробку здесь выполнили в виде восьмиугольной конструкции с бортовыми листами, расположенными под наклоном. При этом в шести из восьми бортовых листов имелись смотровые приборы, что явно пошло на пользу обзорности. Сверху коробки располагалась достаточно просторная башня, также не обделённая смотровыми приборами. Ещё одним существенным отличием конструкции Daimler-Benz стала крыша моторного отделения. Её переделали, увеличив по высоте и расположив немного под наклоном. Тем самым был не только увеличен объём моторного отделения, но и улучшилась его защищённость от вражеского огня.</w:t>
      </w:r>
    </w:p>
    <w:p w14:paraId="11F934A5"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Из-за различных метаморфоз, которые происходили с La.S., производство машин первой серии затянулось. Сказалось это и на планах по запуску в производство второй серии, которая уже с самого начала планировалась не просто как гусеничное шасси, а как вполне сформировавшийся лёгкий танк поддержки. Первоначальный заказ на 150 2.Serie/La.S. по мере продолжения разработки только увеличивался.</w:t>
      </w:r>
    </w:p>
    <w:p w14:paraId="20656533" w14:textId="77777777" w:rsidR="00A2543A"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Хотя здесь сыграл свою роль и приход нацистов к власти в Германии, были у этого роста объёмов заказа и другие причины. Немецкие военные обнаружили, что промышленность Германии, наконец, выдала им что-то похожее на современный танк. В январе 1934 года заказ вырос до 200 танков, а в середине июля до 300. Впрочем, уже 12 июля планы изменились в сторону ещё большего, радикального увеличения производства. Теперь заказчику требовалось, ни много ни мало, целая тысяча новых La.S.</w:t>
      </w:r>
    </w:p>
    <w:p w14:paraId="6CE82566" w14:textId="77777777" w:rsidR="00A2543A" w:rsidRPr="0044524F" w:rsidRDefault="00A2543A" w:rsidP="009654CF">
      <w:pPr>
        <w:pStyle w:val="ae"/>
        <w:shd w:val="clear" w:color="auto" w:fill="FFFFFF"/>
        <w:spacing w:before="0" w:after="0"/>
        <w:jc w:val="both"/>
        <w:rPr>
          <w:color w:val="000000" w:themeColor="text1"/>
          <w:sz w:val="16"/>
          <w:szCs w:val="16"/>
        </w:rPr>
      </w:pPr>
      <w:r w:rsidRPr="0044524F">
        <w:rPr>
          <w:color w:val="000000" w:themeColor="text1"/>
          <w:sz w:val="16"/>
          <w:szCs w:val="16"/>
        </w:rPr>
        <w:t>От идеи выпуска танков в Эссене производители отказались. Теперь Krupp переориентировал на танковое производство предприятие Grusonwerk в Магдебурге. Согласно финальному варианту заказа, Grusonwerk выпускал 205 танков с серийными номерами 9001–9205, 27 с номерами 9207–9233 и 81 с номерами 9235–9315. MAN получал контракт на выпуск 160 2.Serie/La.S. с серийными номерами 9501–9660. Rheinmetall достался контракт на 110 танков с номерами 9801–9910. Не остался в стороне и Henschel – он получил контракт на 150 2.Serie/La.S. с номерами 10001–10150. Наконец, Daimler-Benz выпускала 115 танков с серийными номерами 10301–10415. При этом самый жирный кусок всё равно оказывался в руках у Daimler-Benz, поскольку башни и подбашенные коробки для танков делали только там.</w:t>
      </w:r>
    </w:p>
    <w:p w14:paraId="20EFAC06" w14:textId="77777777" w:rsidR="00A2543A" w:rsidRPr="0044524F" w:rsidRDefault="00A2543A" w:rsidP="009654CF">
      <w:pPr>
        <w:pStyle w:val="ae"/>
        <w:shd w:val="clear" w:color="auto" w:fill="FFFFFF"/>
        <w:spacing w:before="0" w:after="0"/>
        <w:jc w:val="both"/>
        <w:rPr>
          <w:color w:val="000000" w:themeColor="text1"/>
          <w:sz w:val="16"/>
          <w:szCs w:val="16"/>
        </w:rPr>
      </w:pPr>
      <w:r w:rsidRPr="0044524F">
        <w:rPr>
          <w:color w:val="000000" w:themeColor="text1"/>
          <w:sz w:val="16"/>
          <w:szCs w:val="16"/>
        </w:rPr>
        <w:t>Конструкция 2.Serie/La.S. в целом повторяла финальную конфигурацию машин предыдущей серии. Одним из главных отличий стало появление усиленного переднего опорного катка, на который после установки башни с подбашенной коробкой стало приходиться больше нагрузки. После всех улучшений от исходной концепции Kleinetraktor почти ничего не осталось. Вместо 3-тонной машины с 3-местным экипажем и 20-мм автоматической пушкой получился 2-местный танк боевой массой 5,4 тонн с вооружением в виде двух пулемётов MG-13.</w:t>
      </w:r>
    </w:p>
    <w:p w14:paraId="25A7204C" w14:textId="77777777" w:rsidR="00F473A0" w:rsidRPr="0044524F" w:rsidRDefault="00A2543A" w:rsidP="009654CF">
      <w:pPr>
        <w:pStyle w:val="ae"/>
        <w:shd w:val="clear" w:color="auto" w:fill="FFFFFF"/>
        <w:spacing w:before="0" w:after="0"/>
        <w:jc w:val="both"/>
        <w:rPr>
          <w:color w:val="000000" w:themeColor="text1"/>
          <w:sz w:val="16"/>
          <w:szCs w:val="16"/>
        </w:rPr>
      </w:pPr>
      <w:r w:rsidRPr="0044524F">
        <w:rPr>
          <w:color w:val="000000" w:themeColor="text1"/>
          <w:sz w:val="16"/>
          <w:szCs w:val="16"/>
        </w:rPr>
        <w:t xml:space="preserve">Несмотря на это, какие-либо разговоры об «учебном» предназначении La.S. являются не более чем попыткой выдать желаемое за действительное. На самом деле немецкие военные получили вполне современный лёгкий танк поддержки пехоты, имевший надёжную защиту от пуль винтовочного калибра. Примерно в это же время англичане выпускали танки, которые имели похожее вооружение, которые что по броне, что по огневой мощи уступали немецкому танку. Все La.S. имели радиостанции, что в то время вообще было редкостью. Вряд ли учебные танки стали бы поголовно оснащать таким дорогим оборудованием </w:t>
      </w:r>
      <w:r w:rsidR="00F473A0" w:rsidRPr="0044524F">
        <w:rPr>
          <w:color w:val="000000" w:themeColor="text1"/>
          <w:sz w:val="16"/>
          <w:szCs w:val="16"/>
        </w:rPr>
        <w:t>(17463).</w:t>
      </w:r>
    </w:p>
    <w:p w14:paraId="178ECD57" w14:textId="77777777" w:rsidR="00F473A0" w:rsidRPr="0044524F" w:rsidRDefault="00F473A0" w:rsidP="009654CF">
      <w:pPr>
        <w:autoSpaceDE w:val="0"/>
        <w:autoSpaceDN w:val="0"/>
        <w:adjustRightInd w:val="0"/>
        <w:spacing w:after="0" w:line="240" w:lineRule="auto"/>
        <w:jc w:val="both"/>
        <w:rPr>
          <w:rFonts w:ascii="Times New Roman" w:hAnsi="Times New Roman"/>
          <w:color w:val="000000" w:themeColor="text1"/>
          <w:sz w:val="16"/>
          <w:szCs w:val="16"/>
        </w:rPr>
      </w:pPr>
    </w:p>
    <w:p w14:paraId="5C68524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 1933 г. Германия подписала конкордат с папой Пием ХI. Германское правительство сделало ряд послаблений деятельности католических общественных и религиозных организаций в Германии, а Святейший престол обещал испрашивать предварительное согласие германских властей на назначение католических епископов и архиепископов в Германии (3871).</w:t>
      </w:r>
    </w:p>
    <w:p w14:paraId="292864AD"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3AB56E4C" w14:textId="77777777" w:rsidR="000D03EE" w:rsidRPr="00142305" w:rsidRDefault="000D03EE" w:rsidP="000D03E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апреле 1933 года после крушения дирижабля </w:t>
      </w:r>
      <w:r w:rsidRPr="00142305">
        <w:rPr>
          <w:rStyle w:val="aff"/>
          <w:rFonts w:ascii="Times New Roman" w:hAnsi="Times New Roman" w:cs="Times New Roman"/>
          <w:color w:val="0070C0"/>
          <w:spacing w:val="0"/>
          <w:sz w:val="16"/>
          <w:szCs w:val="16"/>
          <w:lang w:val="en-US"/>
        </w:rPr>
        <w:t>Akron</w:t>
      </w:r>
      <w:r w:rsidRPr="00142305">
        <w:rPr>
          <w:rStyle w:val="aff"/>
          <w:rFonts w:ascii="Times New Roman" w:hAnsi="Times New Roman" w:cs="Times New Roman"/>
          <w:color w:val="0070C0"/>
          <w:spacing w:val="0"/>
          <w:sz w:val="16"/>
          <w:szCs w:val="16"/>
        </w:rPr>
        <w:t xml:space="preserve"> дирижабль </w:t>
      </w:r>
      <w:bookmarkStart w:id="16" w:name="_Hlk212187681"/>
      <w:r w:rsidRPr="00142305">
        <w:rPr>
          <w:rStyle w:val="aff"/>
          <w:rFonts w:ascii="Times New Roman" w:hAnsi="Times New Roman" w:cs="Times New Roman"/>
          <w:color w:val="0070C0"/>
          <w:spacing w:val="0"/>
          <w:sz w:val="16"/>
          <w:szCs w:val="16"/>
          <w:lang w:val="en-US"/>
        </w:rPr>
        <w:t>Los</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Angeles</w:t>
      </w:r>
      <w:bookmarkEnd w:id="16"/>
      <w:r w:rsidRPr="00142305">
        <w:rPr>
          <w:rStyle w:val="aff"/>
          <w:rFonts w:ascii="Times New Roman" w:hAnsi="Times New Roman" w:cs="Times New Roman"/>
          <w:color w:val="0070C0"/>
          <w:spacing w:val="0"/>
          <w:sz w:val="16"/>
          <w:szCs w:val="16"/>
        </w:rPr>
        <w:t>, вывкдкнный из эксплуатации в 1932, был вновь введён в эксплуатацию, пролетал ещё несколько лет, после чего находился в своём ангаре на базе в Лейкхёрсте. 24 октября 1939 году он был исключён из военно-морского регистра и в том же году разобран на металлолом (25618).</w:t>
      </w:r>
    </w:p>
    <w:p w14:paraId="5D553D0A" w14:textId="77777777" w:rsidR="000D03EE" w:rsidRPr="00142305" w:rsidRDefault="000D03EE" w:rsidP="000D03EE">
      <w:pPr>
        <w:spacing w:after="0" w:line="240" w:lineRule="auto"/>
        <w:jc w:val="both"/>
        <w:rPr>
          <w:rFonts w:ascii="Times New Roman" w:hAnsi="Times New Roman"/>
          <w:color w:val="0070C0"/>
          <w:sz w:val="16"/>
          <w:szCs w:val="16"/>
        </w:rPr>
      </w:pPr>
    </w:p>
    <w:p w14:paraId="0DAB0B41"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5DB7E3F"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0873B97"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апреле-мае 1933 ЦКБ-3 с мотором Райт «Циклон» Р-3 (в нашей документации он часто сокращенно обозначал</w:t>
      </w:r>
      <w:r w:rsidRPr="0044524F">
        <w:rPr>
          <w:rFonts w:ascii="Times New Roman" w:hAnsi="Times New Roman"/>
          <w:color w:val="000000" w:themeColor="text1"/>
          <w:sz w:val="16"/>
          <w:szCs w:val="16"/>
        </w:rPr>
        <w:softHyphen/>
        <w:t>ся как Р.Ц. Р-3 или Р.Ц. Ф-3) испытывался с колесным шасси. Результаты испытаний подтвердили их близость к расчетам и соответствие требованием ВВС. По макси</w:t>
      </w:r>
      <w:r w:rsidRPr="0044524F">
        <w:rPr>
          <w:rFonts w:ascii="Times New Roman" w:hAnsi="Times New Roman"/>
          <w:color w:val="000000" w:themeColor="text1"/>
          <w:sz w:val="16"/>
          <w:szCs w:val="16"/>
        </w:rPr>
        <w:softHyphen/>
        <w:t>мальной скорости 368 км/ч на высоте 3000 м и 350 км/ч на 5000 м истребитель-полутораплан И-15 ненамного усту</w:t>
      </w:r>
      <w:r w:rsidRPr="0044524F">
        <w:rPr>
          <w:rFonts w:ascii="Times New Roman" w:hAnsi="Times New Roman"/>
          <w:color w:val="000000" w:themeColor="text1"/>
          <w:sz w:val="16"/>
          <w:szCs w:val="16"/>
        </w:rPr>
        <w:softHyphen/>
        <w:t>пал моноплану И-14 П.О.Сухого (383 км/ч на 5000 м). В это же время проходил испытания И-15 с мотором Райт «Циклон» Р-2 (с меньшей высотностью). Он отли</w:t>
      </w:r>
      <w:r w:rsidRPr="0044524F">
        <w:rPr>
          <w:rFonts w:ascii="Times New Roman" w:hAnsi="Times New Roman"/>
          <w:color w:val="000000" w:themeColor="text1"/>
          <w:sz w:val="16"/>
          <w:szCs w:val="16"/>
        </w:rPr>
        <w:softHyphen/>
        <w:t>чался кольцом Тауненда несколько измененной формы. Колеса на шасси были закрыты обтекателями. В процес</w:t>
      </w:r>
      <w:r w:rsidRPr="0044524F">
        <w:rPr>
          <w:rFonts w:ascii="Times New Roman" w:hAnsi="Times New Roman"/>
          <w:color w:val="000000" w:themeColor="text1"/>
          <w:sz w:val="16"/>
          <w:szCs w:val="16"/>
        </w:rPr>
        <w:softHyphen/>
        <w:t>се испытаний на самолет поставили киль, увеличенный по площади на 17%, что улучшило путевую устойчи</w:t>
      </w:r>
      <w:r w:rsidRPr="0044524F">
        <w:rPr>
          <w:rFonts w:ascii="Times New Roman" w:hAnsi="Times New Roman"/>
          <w:color w:val="000000" w:themeColor="text1"/>
          <w:sz w:val="16"/>
          <w:szCs w:val="16"/>
        </w:rPr>
        <w:softHyphen/>
        <w:t>вость. Решили строить серийные самолеты именно с та</w:t>
      </w:r>
      <w:r w:rsidRPr="0044524F">
        <w:rPr>
          <w:rFonts w:ascii="Times New Roman" w:hAnsi="Times New Roman"/>
          <w:color w:val="000000" w:themeColor="text1"/>
          <w:sz w:val="16"/>
          <w:szCs w:val="16"/>
        </w:rPr>
        <w:softHyphen/>
        <w:t>ким килем (10667).</w:t>
      </w:r>
    </w:p>
    <w:p w14:paraId="5F05B757"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07B3F" w14:textId="77777777" w:rsidR="00C16590" w:rsidRPr="0044524F" w:rsidRDefault="00C16590" w:rsidP="00C165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w:t>
      </w:r>
      <w:r w:rsidRPr="0044524F">
        <w:rPr>
          <w:rFonts w:ascii="Times New Roman" w:hAnsi="Times New Roman"/>
          <w:color w:val="000000" w:themeColor="text1"/>
          <w:sz w:val="16"/>
          <w:szCs w:val="16"/>
        </w:rPr>
        <w:softHyphen/>
        <w:t>ле-мае 1933 г. прошли государствен</w:t>
      </w:r>
      <w:r w:rsidRPr="0044524F">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44524F">
        <w:rPr>
          <w:rFonts w:ascii="Times New Roman" w:hAnsi="Times New Roman"/>
          <w:color w:val="000000" w:themeColor="text1"/>
          <w:sz w:val="16"/>
          <w:szCs w:val="16"/>
        </w:rPr>
        <w:softHyphen/>
        <w:t>шали замену и вторую попытку. В итоге — «удовлетворительно» (11848).</w:t>
      </w:r>
    </w:p>
    <w:p w14:paraId="76851991" w14:textId="77777777" w:rsidR="00C16590" w:rsidRPr="0044524F" w:rsidRDefault="00C16590" w:rsidP="00C16590">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577A3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апреля по ноябрь 1933 г. катер АНТ-5 прошел заводские испытания в Севастополе (10675).</w:t>
      </w:r>
    </w:p>
    <w:p w14:paraId="2BF9889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77439A51" w14:textId="77777777" w:rsidR="000D03EE" w:rsidRPr="00142305" w:rsidRDefault="000D03EE" w:rsidP="000D03E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 апреля по ноябрь 1933 г. катер АНТ-5 прошел заводские испытания в Севастополе,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 3 узла.</w:t>
      </w:r>
    </w:p>
    <w:p w14:paraId="77841A1F" w14:textId="77777777" w:rsidR="000D03EE" w:rsidRPr="00142305" w:rsidRDefault="000D03EE" w:rsidP="000D03E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Завод им. Марти, начиная с </w:t>
      </w:r>
      <w:r w:rsidRPr="00142305">
        <w:rPr>
          <w:rStyle w:val="aff"/>
          <w:rFonts w:ascii="Times New Roman" w:hAnsi="Times New Roman" w:cs="Times New Roman"/>
          <w:color w:val="0070C0"/>
          <w:spacing w:val="0"/>
          <w:sz w:val="16"/>
          <w:szCs w:val="16"/>
          <w:lang w:val="en-US"/>
        </w:rPr>
        <w:t>V</w:t>
      </w:r>
      <w:r w:rsidRPr="00142305">
        <w:rPr>
          <w:rStyle w:val="aff"/>
          <w:rFonts w:ascii="Times New Roman" w:hAnsi="Times New Roman" w:cs="Times New Roman"/>
          <w:color w:val="0070C0"/>
          <w:spacing w:val="0"/>
          <w:sz w:val="16"/>
          <w:szCs w:val="16"/>
        </w:rPr>
        <w:t xml:space="preserve">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w:t>
      </w:r>
      <w:r w:rsidRPr="00142305">
        <w:rPr>
          <w:rStyle w:val="aff"/>
          <w:rFonts w:ascii="Times New Roman" w:hAnsi="Times New Roman" w:cs="Times New Roman"/>
          <w:color w:val="0070C0"/>
          <w:spacing w:val="0"/>
          <w:sz w:val="16"/>
          <w:szCs w:val="16"/>
          <w:lang w:val="en-US"/>
        </w:rPr>
        <w:t>VI</w:t>
      </w:r>
      <w:r w:rsidRPr="00142305">
        <w:rPr>
          <w:rStyle w:val="aff"/>
          <w:rFonts w:ascii="Times New Roman" w:hAnsi="Times New Roman" w:cs="Times New Roman"/>
          <w:color w:val="0070C0"/>
          <w:spacing w:val="0"/>
          <w:sz w:val="16"/>
          <w:szCs w:val="16"/>
        </w:rPr>
        <w:t xml:space="preserve"> по </w:t>
      </w:r>
      <w:r w:rsidRPr="00142305">
        <w:rPr>
          <w:rStyle w:val="aff"/>
          <w:rFonts w:ascii="Times New Roman" w:hAnsi="Times New Roman" w:cs="Times New Roman"/>
          <w:color w:val="0070C0"/>
          <w:spacing w:val="0"/>
          <w:sz w:val="16"/>
          <w:szCs w:val="16"/>
          <w:lang w:val="en-US"/>
        </w:rPr>
        <w:t>XII</w:t>
      </w:r>
      <w:r w:rsidRPr="00142305">
        <w:rPr>
          <w:rStyle w:val="aff"/>
          <w:rFonts w:ascii="Times New Roman" w:hAnsi="Times New Roman" w:cs="Times New Roman"/>
          <w:color w:val="0070C0"/>
          <w:spacing w:val="0"/>
          <w:sz w:val="16"/>
          <w:szCs w:val="16"/>
        </w:rPr>
        <w:t xml:space="preserve">, включая XIбис). </w:t>
      </w:r>
      <w:r w:rsidRPr="00142305">
        <w:rPr>
          <w:rStyle w:val="aff"/>
          <w:rFonts w:ascii="Times New Roman" w:hAnsi="Times New Roman" w:cs="Times New Roman"/>
          <w:b/>
          <w:bCs/>
          <w:color w:val="0070C0"/>
          <w:spacing w:val="0"/>
          <w:sz w:val="16"/>
          <w:szCs w:val="16"/>
        </w:rPr>
        <w:t>(Сх. 23)</w:t>
      </w:r>
    </w:p>
    <w:p w14:paraId="21EB0B7A" w14:textId="77777777" w:rsidR="000D03EE" w:rsidRPr="00142305" w:rsidRDefault="000D03EE" w:rsidP="000D03E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512416AB" w14:textId="77777777" w:rsidR="000D03EE" w:rsidRPr="00142305" w:rsidRDefault="000D03EE" w:rsidP="000D03E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708685AB" w14:textId="77777777" w:rsidR="000D03EE" w:rsidRPr="00142305" w:rsidRDefault="000D03EE" w:rsidP="000D03E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Водоизмещение катеров Г-5 колебалось от 14,91 т (</w:t>
      </w:r>
      <w:r w:rsidRPr="00142305">
        <w:rPr>
          <w:rStyle w:val="aff"/>
          <w:rFonts w:ascii="Times New Roman" w:hAnsi="Times New Roman" w:cs="Times New Roman"/>
          <w:color w:val="0070C0"/>
          <w:spacing w:val="0"/>
          <w:sz w:val="16"/>
          <w:szCs w:val="16"/>
          <w:lang w:val="en-US"/>
        </w:rPr>
        <w:t>VI</w:t>
      </w:r>
      <w:r w:rsidRPr="00142305">
        <w:rPr>
          <w:rStyle w:val="aff"/>
          <w:rFonts w:ascii="Times New Roman" w:hAnsi="Times New Roman" w:cs="Times New Roman"/>
          <w:color w:val="0070C0"/>
          <w:spacing w:val="0"/>
          <w:sz w:val="16"/>
          <w:szCs w:val="16"/>
        </w:rPr>
        <w:t xml:space="preserve"> серии) до 19,94 т (</w:t>
      </w:r>
      <w:r w:rsidRPr="00142305">
        <w:rPr>
          <w:rStyle w:val="aff"/>
          <w:rFonts w:ascii="Times New Roman" w:hAnsi="Times New Roman" w:cs="Times New Roman"/>
          <w:color w:val="0070C0"/>
          <w:spacing w:val="0"/>
          <w:sz w:val="16"/>
          <w:szCs w:val="16"/>
          <w:lang w:val="en-US"/>
        </w:rPr>
        <w:t>XI</w:t>
      </w:r>
      <w:r w:rsidRPr="00142305">
        <w:rPr>
          <w:rStyle w:val="aff"/>
          <w:rFonts w:ascii="Times New Roman" w:hAnsi="Times New Roman" w:cs="Times New Roman"/>
          <w:color w:val="0070C0"/>
          <w:spacing w:val="0"/>
          <w:sz w:val="16"/>
          <w:szCs w:val="16"/>
        </w:rPr>
        <w:t xml:space="preserve"> серии). Большинство катеров имело по два отечественных бензиновых двигателя ГАМ-34БП и БС мощностью 850 л. с. каждый. 25 катеров </w:t>
      </w:r>
      <w:r w:rsidRPr="00142305">
        <w:rPr>
          <w:rStyle w:val="aff"/>
          <w:rFonts w:ascii="Times New Roman" w:hAnsi="Times New Roman" w:cs="Times New Roman"/>
          <w:color w:val="0070C0"/>
          <w:spacing w:val="0"/>
          <w:sz w:val="16"/>
          <w:szCs w:val="16"/>
          <w:lang w:val="en-US"/>
        </w:rPr>
        <w:t>IX</w:t>
      </w:r>
      <w:r w:rsidRPr="00142305">
        <w:rPr>
          <w:rStyle w:val="aff"/>
          <w:rFonts w:ascii="Times New Roman" w:hAnsi="Times New Roman" w:cs="Times New Roman"/>
          <w:color w:val="0070C0"/>
          <w:spacing w:val="0"/>
          <w:sz w:val="16"/>
          <w:szCs w:val="16"/>
        </w:rPr>
        <w:t xml:space="preserve"> серии были оснащены итальянскими двигателями «Изотто- Фраскини» А 550—1000. 40 катеров серии XIбис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73C2F25F" w14:textId="77777777" w:rsidR="000D03EE" w:rsidRPr="00142305" w:rsidRDefault="000D03EE" w:rsidP="000D03E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Скорость хода катеров составляла от 45 до 52 узлов. А стоимость постройки — от 475 тыс. руб. (первые серии) до 620 тыс. руб. (начиная</w:t>
      </w:r>
      <w:r w:rsidRPr="00142305">
        <w:rPr>
          <w:rStyle w:val="30"/>
          <w:rFonts w:ascii="Times New Roman" w:eastAsia="Calibri" w:hAnsi="Times New Roman"/>
          <w:color w:val="0070C0"/>
          <w:sz w:val="16"/>
          <w:szCs w:val="16"/>
        </w:rPr>
        <w:t xml:space="preserve"> </w:t>
      </w:r>
      <w:r w:rsidRPr="00142305">
        <w:rPr>
          <w:rStyle w:val="aff"/>
          <w:rFonts w:ascii="Times New Roman" w:hAnsi="Times New Roman" w:cs="Times New Roman"/>
          <w:color w:val="0070C0"/>
          <w:spacing w:val="0"/>
          <w:sz w:val="16"/>
          <w:szCs w:val="16"/>
        </w:rPr>
        <w:t xml:space="preserve">с </w:t>
      </w:r>
      <w:r w:rsidRPr="00142305">
        <w:rPr>
          <w:rStyle w:val="aff"/>
          <w:rFonts w:ascii="Times New Roman" w:hAnsi="Times New Roman" w:cs="Times New Roman"/>
          <w:color w:val="0070C0"/>
          <w:spacing w:val="0"/>
          <w:sz w:val="16"/>
          <w:szCs w:val="16"/>
          <w:lang w:val="en-US"/>
        </w:rPr>
        <w:t>XI</w:t>
      </w:r>
      <w:r w:rsidRPr="00142305">
        <w:rPr>
          <w:rStyle w:val="aff"/>
          <w:rFonts w:ascii="Times New Roman" w:hAnsi="Times New Roman" w:cs="Times New Roman"/>
          <w:color w:val="0070C0"/>
          <w:spacing w:val="0"/>
          <w:sz w:val="16"/>
          <w:szCs w:val="16"/>
        </w:rPr>
        <w:t xml:space="preserve"> серии (25213).</w:t>
      </w:r>
    </w:p>
    <w:p w14:paraId="18D90D17" w14:textId="77777777" w:rsidR="000D03EE" w:rsidRPr="00142305" w:rsidRDefault="000D03EE" w:rsidP="000D03EE">
      <w:pPr>
        <w:spacing w:after="0" w:line="240" w:lineRule="auto"/>
        <w:jc w:val="both"/>
        <w:rPr>
          <w:rFonts w:ascii="Times New Roman" w:hAnsi="Times New Roman"/>
          <w:color w:val="0070C0"/>
          <w:sz w:val="16"/>
          <w:szCs w:val="16"/>
        </w:rPr>
      </w:pPr>
    </w:p>
    <w:p w14:paraId="1EF9202F"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6546811"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FE1725C" w14:textId="77777777" w:rsidR="00C16590" w:rsidRPr="0044524F" w:rsidRDefault="00C16590" w:rsidP="00C16590">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апреля 1933 по октябрь 1934 в конструкцию танкового дизеля БД-2 было внесено 1150 конструктивных изменений (3880,17).</w:t>
      </w:r>
    </w:p>
    <w:p w14:paraId="56ECDB22" w14:textId="77777777" w:rsidR="00C16590" w:rsidRPr="0044524F" w:rsidRDefault="00C16590" w:rsidP="00C16590">
      <w:pPr>
        <w:autoSpaceDE w:val="0"/>
        <w:autoSpaceDN w:val="0"/>
        <w:adjustRightInd w:val="0"/>
        <w:spacing w:after="0" w:line="240" w:lineRule="auto"/>
        <w:jc w:val="both"/>
        <w:rPr>
          <w:rFonts w:ascii="Times New Roman" w:hAnsi="Times New Roman"/>
          <w:color w:val="000000" w:themeColor="text1"/>
          <w:sz w:val="16"/>
          <w:szCs w:val="16"/>
        </w:rPr>
      </w:pPr>
    </w:p>
    <w:p w14:paraId="7F292877"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апреле-мае 1933 согласно Постановление КО, которое вышло 13 апреля 1933 г. Пермский завод в апреле-мае 1933 изготовил 6 опытных образцов 76-мм пушки обр, 1902/30 г (3861).</w:t>
      </w:r>
    </w:p>
    <w:p w14:paraId="69026AB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1CC4061C"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72B12AD"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A783AA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маю 1933 комиссия под руководством В.М.Петлякова, начавшая работать еще в 1932, составила перечень агрегатов и отдельных частей конструкции ТБ-3 (АНТ-6), за счет изъятия которых можно было бы снизить вес машины. Для подтверждения получили 2 серийных машины 22 завода - NN 22243 и 22250 с М-17. Облегчили на 722 кг каждую. По сравнению с серийным скорость возросла на 15 км/ч, а высота - на 600 м (346,28).</w:t>
      </w:r>
    </w:p>
    <w:p w14:paraId="316F27A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10503B3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маю 1933 ГВФ не получил ни одного серийного АНТ-14, но заказал промышленности постройку 60 с М-34 с поставкой до июля 1935. Предполагали строить в Химках на заводе № 84 и хотели сдать два в 1934 (8863,7).</w:t>
      </w:r>
    </w:p>
    <w:p w14:paraId="70FC336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3AFC8D82" w14:textId="77777777" w:rsidR="00077B5F" w:rsidRPr="00142305" w:rsidRDefault="00077B5F" w:rsidP="00077B5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К маю 1933-го ГВФ не получил ни одной серийной машины АНТ-14, но заказал промышленности постройку 60 АНТ-14 с моторами М-34 с поставкой их до июля 1935-го. Самолет предполагалось строить на заводе №84 в подмосковных Химках, причем в 1934-м заказчику должны были сдать две машины (25604).</w:t>
      </w:r>
    </w:p>
    <w:p w14:paraId="05CD817B" w14:textId="77777777" w:rsidR="00077B5F" w:rsidRPr="00142305" w:rsidRDefault="00077B5F" w:rsidP="00077B5F">
      <w:pPr>
        <w:spacing w:after="0" w:line="240" w:lineRule="auto"/>
        <w:jc w:val="both"/>
        <w:rPr>
          <w:rFonts w:ascii="Times New Roman" w:hAnsi="Times New Roman"/>
          <w:color w:val="0070C0"/>
          <w:sz w:val="16"/>
          <w:szCs w:val="16"/>
        </w:rPr>
      </w:pPr>
    </w:p>
    <w:p w14:paraId="3EC6BA56" w14:textId="77777777" w:rsidR="00BF040B" w:rsidRPr="0044524F" w:rsidRDefault="00BF0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маю 1933 г. оболочка стратостата объёмом 24500 м3 (диа</w:t>
      </w:r>
      <w:r w:rsidRPr="0044524F">
        <w:rPr>
          <w:rFonts w:ascii="Times New Roman" w:hAnsi="Times New Roman"/>
          <w:color w:val="000000" w:themeColor="text1"/>
          <w:sz w:val="16"/>
          <w:szCs w:val="16"/>
        </w:rPr>
        <w:softHyphen/>
        <w:t>метр на высоте выполнения 36 м) весом 950 кг была готова. Оболочку изготовили на заводе «Каучук» (г. Москва) по проекту началь</w:t>
      </w:r>
      <w:r w:rsidRPr="0044524F">
        <w:rPr>
          <w:rFonts w:ascii="Times New Roman" w:hAnsi="Times New Roman"/>
          <w:color w:val="000000" w:themeColor="text1"/>
          <w:sz w:val="16"/>
          <w:szCs w:val="16"/>
        </w:rPr>
        <w:softHyphen/>
        <w:t>ника его конструкторского отдела К.Д. Годунова. В качестве материала использовалась прорези</w:t>
      </w:r>
      <w:r w:rsidRPr="0044524F">
        <w:rPr>
          <w:rFonts w:ascii="Times New Roman" w:hAnsi="Times New Roman"/>
          <w:color w:val="000000" w:themeColor="text1"/>
          <w:sz w:val="16"/>
          <w:szCs w:val="16"/>
        </w:rPr>
        <w:softHyphen/>
        <w:t>ненная лёгкая шёлковая ткань производства Бо- городско-Глуховской мануфактуры. Для защиты оболочки от ультрафиолетовых лучей и умень</w:t>
      </w:r>
      <w:r w:rsidRPr="0044524F">
        <w:rPr>
          <w:rFonts w:ascii="Times New Roman" w:hAnsi="Times New Roman"/>
          <w:color w:val="000000" w:themeColor="text1"/>
          <w:sz w:val="16"/>
          <w:szCs w:val="16"/>
        </w:rPr>
        <w:softHyphen/>
        <w:t>шения нагрева газа внешнюю поверхность тка</w:t>
      </w:r>
      <w:r w:rsidRPr="0044524F">
        <w:rPr>
          <w:rFonts w:ascii="Times New Roman" w:hAnsi="Times New Roman"/>
          <w:color w:val="000000" w:themeColor="text1"/>
          <w:sz w:val="16"/>
          <w:szCs w:val="16"/>
        </w:rPr>
        <w:softHyphen/>
        <w:t>ни покрыли алюминиевой пудрой. Рецептуру и технологические процессы изготовления ткани разработали сотрудники НИИРП Е.Н. Кузина и Г.К. Левитина. Ткань успешно выдержала все</w:t>
      </w:r>
      <w:r w:rsidRPr="0044524F">
        <w:rPr>
          <w:rFonts w:ascii="Times New Roman" w:hAnsi="Times New Roman"/>
          <w:color w:val="000000" w:themeColor="text1"/>
          <w:sz w:val="16"/>
          <w:szCs w:val="16"/>
        </w:rPr>
        <w:softHyphen/>
        <w:t>сторонние испытания.</w:t>
      </w:r>
    </w:p>
    <w:p w14:paraId="68E740D8" w14:textId="77777777" w:rsidR="00BF040B" w:rsidRPr="0044524F" w:rsidRDefault="00BF0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Герметическая гондола должна была обеспе</w:t>
      </w:r>
      <w:r w:rsidRPr="0044524F">
        <w:rPr>
          <w:rFonts w:ascii="Times New Roman" w:hAnsi="Times New Roman"/>
          <w:color w:val="000000" w:themeColor="text1"/>
          <w:sz w:val="16"/>
          <w:szCs w:val="16"/>
        </w:rPr>
        <w:softHyphen/>
        <w:t>чить нормальные условия для длительного пре</w:t>
      </w:r>
      <w:r w:rsidRPr="0044524F">
        <w:rPr>
          <w:rFonts w:ascii="Times New Roman" w:hAnsi="Times New Roman"/>
          <w:color w:val="000000" w:themeColor="text1"/>
          <w:sz w:val="16"/>
          <w:szCs w:val="16"/>
        </w:rPr>
        <w:softHyphen/>
        <w:t>бывания людей в сильно разреженном воздухе при очень низкой температуре среды и интен</w:t>
      </w:r>
      <w:r w:rsidRPr="0044524F">
        <w:rPr>
          <w:rFonts w:ascii="Times New Roman" w:hAnsi="Times New Roman"/>
          <w:color w:val="000000" w:themeColor="text1"/>
          <w:sz w:val="16"/>
          <w:szCs w:val="16"/>
        </w:rPr>
        <w:softHyphen/>
        <w:t>сивном солнечном облучении. Её конструкцию разработал выпускник ВВИА им. Н.Е. Жуков</w:t>
      </w:r>
      <w:r w:rsidRPr="0044524F">
        <w:rPr>
          <w:rFonts w:ascii="Times New Roman" w:hAnsi="Times New Roman"/>
          <w:color w:val="000000" w:themeColor="text1"/>
          <w:sz w:val="16"/>
          <w:szCs w:val="16"/>
        </w:rPr>
        <w:softHyphen/>
        <w:t>ского, начальник бригады № 3 ЦКБ завода № 39 им. Менжинского В.А. Чижевский со своими по</w:t>
      </w:r>
      <w:r w:rsidRPr="0044524F">
        <w:rPr>
          <w:rFonts w:ascii="Times New Roman" w:hAnsi="Times New Roman"/>
          <w:color w:val="000000" w:themeColor="text1"/>
          <w:sz w:val="16"/>
          <w:szCs w:val="16"/>
        </w:rPr>
        <w:softHyphen/>
        <w:t>мощниками Н.Н. Каштановым, А.Я. Левиным, И.Лапицким, И.И. Цебриковым и В.Г. Фроло</w:t>
      </w:r>
      <w:r w:rsidRPr="0044524F">
        <w:rPr>
          <w:rFonts w:ascii="Times New Roman" w:hAnsi="Times New Roman"/>
          <w:color w:val="000000" w:themeColor="text1"/>
          <w:sz w:val="16"/>
          <w:szCs w:val="16"/>
        </w:rPr>
        <w:softHyphen/>
        <w:t>вым. Изготовили гондолу на московском авиаза</w:t>
      </w:r>
      <w:r w:rsidRPr="0044524F">
        <w:rPr>
          <w:rFonts w:ascii="Times New Roman" w:hAnsi="Times New Roman"/>
          <w:color w:val="000000" w:themeColor="text1"/>
          <w:sz w:val="16"/>
          <w:szCs w:val="16"/>
        </w:rPr>
        <w:softHyphen/>
        <w:t>воде № 39. Для ускорения работ начальник ЦКБ В.Ильюшин выделил в помощь Чижевскому комсомольско-молодёжную бригаду (В.Н. Семё</w:t>
      </w:r>
      <w:r w:rsidRPr="0044524F">
        <w:rPr>
          <w:rFonts w:ascii="Times New Roman" w:hAnsi="Times New Roman"/>
          <w:color w:val="000000" w:themeColor="text1"/>
          <w:sz w:val="16"/>
          <w:szCs w:val="16"/>
        </w:rPr>
        <w:softHyphen/>
        <w:t>нов, З.З. Жевагина и С.М. Егер).</w:t>
      </w:r>
    </w:p>
    <w:p w14:paraId="0AAF82E0" w14:textId="77777777" w:rsidR="00BF040B" w:rsidRPr="0044524F" w:rsidRDefault="00BF0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Шарообразная гондола диаметром 2,3 м была склёпана из выколоченных по форме шара ли</w:t>
      </w:r>
      <w:r w:rsidRPr="0044524F">
        <w:rPr>
          <w:rFonts w:ascii="Times New Roman" w:hAnsi="Times New Roman"/>
          <w:color w:val="000000" w:themeColor="text1"/>
          <w:sz w:val="16"/>
          <w:szCs w:val="16"/>
        </w:rPr>
        <w:softHyphen/>
        <w:t>стов дюралюминия толщиной 2 м. Каркас гондо</w:t>
      </w:r>
      <w:r w:rsidRPr="0044524F">
        <w:rPr>
          <w:rFonts w:ascii="Times New Roman" w:hAnsi="Times New Roman"/>
          <w:color w:val="000000" w:themeColor="text1"/>
          <w:sz w:val="16"/>
          <w:szCs w:val="16"/>
        </w:rPr>
        <w:softHyphen/>
        <w:t>лы состоял из вертикальных стоек, проходивших через обшивку и склепанных с ней фланцами. К нижним ушкам стоек (под гондолой) крепи</w:t>
      </w:r>
      <w:r w:rsidRPr="0044524F">
        <w:rPr>
          <w:rFonts w:ascii="Times New Roman" w:hAnsi="Times New Roman"/>
          <w:color w:val="000000" w:themeColor="text1"/>
          <w:sz w:val="16"/>
          <w:szCs w:val="16"/>
        </w:rPr>
        <w:softHyphen/>
        <w:t>лось стальное кольцо с узлами для посадочно</w:t>
      </w:r>
      <w:r w:rsidRPr="0044524F">
        <w:rPr>
          <w:rFonts w:ascii="Times New Roman" w:hAnsi="Times New Roman"/>
          <w:color w:val="000000" w:themeColor="text1"/>
          <w:sz w:val="16"/>
          <w:szCs w:val="16"/>
        </w:rPr>
        <w:softHyphen/>
        <w:t>го устройства и кольцо для подвески балласта, а к верхним ушкам — кольцо для крепления стро</w:t>
      </w:r>
      <w:r w:rsidRPr="0044524F">
        <w:rPr>
          <w:rFonts w:ascii="Times New Roman" w:hAnsi="Times New Roman"/>
          <w:color w:val="000000" w:themeColor="text1"/>
          <w:sz w:val="16"/>
          <w:szCs w:val="16"/>
        </w:rPr>
        <w:softHyphen/>
        <w:t>пов от оболочки. Внутри гондолы с каркасом со</w:t>
      </w:r>
      <w:r w:rsidRPr="0044524F">
        <w:rPr>
          <w:rFonts w:ascii="Times New Roman" w:hAnsi="Times New Roman"/>
          <w:color w:val="000000" w:themeColor="text1"/>
          <w:sz w:val="16"/>
          <w:szCs w:val="16"/>
        </w:rPr>
        <w:softHyphen/>
        <w:t>единялся пол для экипажа. Каркас, осуществляя связь между оболочкой и посадочным устрой</w:t>
      </w:r>
      <w:r w:rsidRPr="0044524F">
        <w:rPr>
          <w:rFonts w:ascii="Times New Roman" w:hAnsi="Times New Roman"/>
          <w:color w:val="000000" w:themeColor="text1"/>
          <w:sz w:val="16"/>
          <w:szCs w:val="16"/>
        </w:rPr>
        <w:softHyphen/>
        <w:t>ством, воспринимал местные нагрузки от массы балласта, приборов, экипажа. Обшивка гондолы испытывала только давление воздуха изнутри.</w:t>
      </w:r>
    </w:p>
    <w:p w14:paraId="0A3C8E24" w14:textId="77777777" w:rsidR="00BF040B" w:rsidRPr="0044524F" w:rsidRDefault="00BF0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гондоле было девять иллюминаторов диа</w:t>
      </w:r>
      <w:r w:rsidRPr="0044524F">
        <w:rPr>
          <w:rFonts w:ascii="Times New Roman" w:hAnsi="Times New Roman"/>
          <w:color w:val="000000" w:themeColor="text1"/>
          <w:sz w:val="16"/>
          <w:szCs w:val="16"/>
        </w:rPr>
        <w:softHyphen/>
        <w:t>метром 120 и 150 мм. Несмотря на значительный запас прочности стёкол, выдерживавших при толщине 10-15 мм давление 0,6-0,7 МПа, каждый иллюминатор имел аварийную заслонку.</w:t>
      </w:r>
    </w:p>
    <w:p w14:paraId="5025A87C" w14:textId="77777777" w:rsidR="00BF040B" w:rsidRPr="0044524F" w:rsidRDefault="00BF0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входных люка диаметром 750 мм обору</w:t>
      </w:r>
      <w:r w:rsidRPr="0044524F">
        <w:rPr>
          <w:rFonts w:ascii="Times New Roman" w:hAnsi="Times New Roman"/>
          <w:color w:val="000000" w:themeColor="text1"/>
          <w:sz w:val="16"/>
          <w:szCs w:val="16"/>
        </w:rPr>
        <w:softHyphen/>
        <w:t>довали запорными механизмами, закрывавшими и открывавшими их за 5-6 с. В центре крышки люка, отлитой из алюминиевого сплава, имел</w:t>
      </w:r>
      <w:r w:rsidRPr="0044524F">
        <w:rPr>
          <w:rFonts w:ascii="Times New Roman" w:hAnsi="Times New Roman"/>
          <w:color w:val="000000" w:themeColor="text1"/>
          <w:sz w:val="16"/>
          <w:szCs w:val="16"/>
        </w:rPr>
        <w:softHyphen/>
        <w:t>ся герметичный сальник с проходящим через него валиком с внутренней и наружной ручками управления. При повороте ручки зубчатый ме</w:t>
      </w:r>
      <w:r w:rsidRPr="0044524F">
        <w:rPr>
          <w:rFonts w:ascii="Times New Roman" w:hAnsi="Times New Roman"/>
          <w:color w:val="000000" w:themeColor="text1"/>
          <w:sz w:val="16"/>
          <w:szCs w:val="16"/>
        </w:rPr>
        <w:softHyphen/>
        <w:t>ханизм с двумя передаточными валиками по</w:t>
      </w:r>
      <w:r w:rsidRPr="0044524F">
        <w:rPr>
          <w:rFonts w:ascii="Times New Roman" w:hAnsi="Times New Roman"/>
          <w:color w:val="000000" w:themeColor="text1"/>
          <w:sz w:val="16"/>
          <w:szCs w:val="16"/>
        </w:rPr>
        <w:softHyphen/>
        <w:t>ворачивал кольцо у внешнего обвода крышки с шестью конусными бобышками, которые при закрывании входили под ролики на кольце об</w:t>
      </w:r>
      <w:r w:rsidRPr="0044524F">
        <w:rPr>
          <w:rFonts w:ascii="Times New Roman" w:hAnsi="Times New Roman"/>
          <w:color w:val="000000" w:themeColor="text1"/>
          <w:sz w:val="16"/>
          <w:szCs w:val="16"/>
        </w:rPr>
        <w:softHyphen/>
        <w:t>шивки, прижимая крышку к резиновому уплот</w:t>
      </w:r>
      <w:r w:rsidRPr="0044524F">
        <w:rPr>
          <w:rFonts w:ascii="Times New Roman" w:hAnsi="Times New Roman"/>
          <w:color w:val="000000" w:themeColor="text1"/>
          <w:sz w:val="16"/>
          <w:szCs w:val="16"/>
        </w:rPr>
        <w:softHyphen/>
        <w:t>нению. При обратном повороте ручки конуса выходили из-под роликов, крышка открывалась и на петлях откидывалась вниз.</w:t>
      </w:r>
    </w:p>
    <w:p w14:paraId="4FBD79BC" w14:textId="77777777" w:rsidR="00BF040B" w:rsidRPr="0044524F" w:rsidRDefault="00BF0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Вяземский промколхоз им. Кагановича, специализировавшийся на плетёной мебели, из</w:t>
      </w:r>
      <w:r w:rsidRPr="0044524F">
        <w:rPr>
          <w:rFonts w:ascii="Times New Roman" w:hAnsi="Times New Roman"/>
          <w:color w:val="000000" w:themeColor="text1"/>
          <w:sz w:val="16"/>
          <w:szCs w:val="16"/>
        </w:rPr>
        <w:softHyphen/>
        <w:t>готовил посадочное устройство в виде усечённой пирамиды из ивовых прутьев, на которую уста</w:t>
      </w:r>
      <w:r w:rsidRPr="0044524F">
        <w:rPr>
          <w:rFonts w:ascii="Times New Roman" w:hAnsi="Times New Roman"/>
          <w:color w:val="000000" w:themeColor="text1"/>
          <w:sz w:val="16"/>
          <w:szCs w:val="16"/>
        </w:rPr>
        <w:softHyphen/>
        <w:t>навливалась гондола. Это устройство служило амортизатором при посадке: при столкновении с землёй со скоростью 5-7 м/с пирамида лома</w:t>
      </w:r>
      <w:r w:rsidRPr="0044524F">
        <w:rPr>
          <w:rFonts w:ascii="Times New Roman" w:hAnsi="Times New Roman"/>
          <w:color w:val="000000" w:themeColor="text1"/>
          <w:sz w:val="16"/>
          <w:szCs w:val="16"/>
        </w:rPr>
        <w:softHyphen/>
        <w:t>лась, поглощая силу удара. При стоянке гондо</w:t>
      </w:r>
      <w:r w:rsidRPr="0044524F">
        <w:rPr>
          <w:rFonts w:ascii="Times New Roman" w:hAnsi="Times New Roman"/>
          <w:color w:val="000000" w:themeColor="text1"/>
          <w:sz w:val="16"/>
          <w:szCs w:val="16"/>
        </w:rPr>
        <w:softHyphen/>
        <w:t>лы на земле устройство служило подставкой, размеры которой позволяли поместить внутри неё мешки с балластом.</w:t>
      </w:r>
    </w:p>
    <w:p w14:paraId="32F3EF39" w14:textId="77777777" w:rsidR="00BF040B" w:rsidRPr="0044524F" w:rsidRDefault="00BF0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Балластом служила 1 т мелкой свинцовой дро</w:t>
      </w:r>
      <w:r w:rsidRPr="0044524F">
        <w:rPr>
          <w:rFonts w:ascii="Times New Roman" w:hAnsi="Times New Roman"/>
          <w:color w:val="000000" w:themeColor="text1"/>
          <w:sz w:val="16"/>
          <w:szCs w:val="16"/>
        </w:rPr>
        <w:softHyphen/>
        <w:t>би в 40 мешках, подвешенных к кольцу гондолы внутри посадочного устройства. Каждый мешок удерживался на кольце штырьком, при вытаски</w:t>
      </w:r>
      <w:r w:rsidRPr="0044524F">
        <w:rPr>
          <w:rFonts w:ascii="Times New Roman" w:hAnsi="Times New Roman"/>
          <w:color w:val="000000" w:themeColor="text1"/>
          <w:sz w:val="16"/>
          <w:szCs w:val="16"/>
        </w:rPr>
        <w:softHyphen/>
        <w:t>вании которого он освобождался, но не падал, а, будучи привязан снизу, опрокидывался, высы</w:t>
      </w:r>
      <w:r w:rsidRPr="0044524F">
        <w:rPr>
          <w:rFonts w:ascii="Times New Roman" w:hAnsi="Times New Roman"/>
          <w:color w:val="000000" w:themeColor="text1"/>
          <w:sz w:val="16"/>
          <w:szCs w:val="16"/>
        </w:rPr>
        <w:softHyphen/>
        <w:t>пая содержимое. Штырьки вытаскивались тросом, наматывавшимся на барабан, вал которого прохо</w:t>
      </w:r>
      <w:r w:rsidRPr="0044524F">
        <w:rPr>
          <w:rFonts w:ascii="Times New Roman" w:hAnsi="Times New Roman"/>
          <w:color w:val="000000" w:themeColor="text1"/>
          <w:sz w:val="16"/>
          <w:szCs w:val="16"/>
        </w:rPr>
        <w:softHyphen/>
        <w:t>дил внутрь гондолы через герметичный сальник и заканчивался рукояткой. Весь балласт можно было сбросить за 1-2 минуты.</w:t>
      </w:r>
    </w:p>
    <w:p w14:paraId="532D33F3" w14:textId="77777777" w:rsidR="00BF040B" w:rsidRPr="0044524F" w:rsidRDefault="00BF0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Газовый клапан, расположенный в верхней точке оболочки, управлялся аналогично (бара</w:t>
      </w:r>
      <w:r w:rsidRPr="0044524F">
        <w:rPr>
          <w:rFonts w:ascii="Times New Roman" w:hAnsi="Times New Roman"/>
          <w:color w:val="000000" w:themeColor="text1"/>
          <w:sz w:val="16"/>
          <w:szCs w:val="16"/>
        </w:rPr>
        <w:softHyphen/>
        <w:t>бан — вне гондолы, а штурвал — внутри). Ба</w:t>
      </w:r>
      <w:r w:rsidRPr="0044524F">
        <w:rPr>
          <w:rFonts w:ascii="Times New Roman" w:hAnsi="Times New Roman"/>
          <w:color w:val="000000" w:themeColor="text1"/>
          <w:sz w:val="16"/>
          <w:szCs w:val="16"/>
        </w:rPr>
        <w:softHyphen/>
        <w:t>рабан связывался с клапаном прочным шнуром, проходившим через аппендикс внутрь оболочки.</w:t>
      </w:r>
    </w:p>
    <w:p w14:paraId="082ECDBE" w14:textId="77777777" w:rsidR="00BF040B" w:rsidRPr="0044524F" w:rsidRDefault="00BF0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Жизнеобеспечение экипажа требовало со</w:t>
      </w:r>
      <w:r w:rsidRPr="0044524F">
        <w:rPr>
          <w:rFonts w:ascii="Times New Roman" w:hAnsi="Times New Roman"/>
          <w:color w:val="000000" w:themeColor="text1"/>
          <w:sz w:val="16"/>
          <w:szCs w:val="16"/>
        </w:rPr>
        <w:softHyphen/>
        <w:t>хранения в гондоле нормального атмосферно</w:t>
      </w:r>
      <w:r w:rsidRPr="0044524F">
        <w:rPr>
          <w:rFonts w:ascii="Times New Roman" w:hAnsi="Times New Roman"/>
          <w:color w:val="000000" w:themeColor="text1"/>
          <w:sz w:val="16"/>
          <w:szCs w:val="16"/>
        </w:rPr>
        <w:softHyphen/>
        <w:t>го давления, обеспечения кислородом, очистки воздуха от углекислоты и других токсичных ве</w:t>
      </w:r>
      <w:r w:rsidRPr="0044524F">
        <w:rPr>
          <w:rFonts w:ascii="Times New Roman" w:hAnsi="Times New Roman"/>
          <w:color w:val="000000" w:themeColor="text1"/>
          <w:sz w:val="16"/>
          <w:szCs w:val="16"/>
        </w:rPr>
        <w:softHyphen/>
        <w:t>ществ, поддержания нормальной температуры и влажности. Плотная клёпка и прокраска швов, резиновые уплотнения иллюминаторов и люков, сальники для выходящих наружу валов обеспе</w:t>
      </w:r>
      <w:r w:rsidRPr="0044524F">
        <w:rPr>
          <w:rFonts w:ascii="Times New Roman" w:hAnsi="Times New Roman"/>
          <w:color w:val="000000" w:themeColor="text1"/>
          <w:sz w:val="16"/>
          <w:szCs w:val="16"/>
        </w:rPr>
        <w:softHyphen/>
        <w:t>чили надёжную герметизацию гондолы.</w:t>
      </w:r>
    </w:p>
    <w:p w14:paraId="0697AB0C" w14:textId="77777777" w:rsidR="00BF040B" w:rsidRPr="0044524F" w:rsidRDefault="00BF0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теплоизоляции гондолу покрыли снару</w:t>
      </w:r>
      <w:r w:rsidRPr="0044524F">
        <w:rPr>
          <w:rFonts w:ascii="Times New Roman" w:hAnsi="Times New Roman"/>
          <w:color w:val="000000" w:themeColor="text1"/>
          <w:sz w:val="16"/>
          <w:szCs w:val="16"/>
        </w:rPr>
        <w:softHyphen/>
        <w:t>жи слоем оленьего войлока, а затем — тонким полотном, окрашенным в шаровый (серо-голу</w:t>
      </w:r>
      <w:r w:rsidRPr="0044524F">
        <w:rPr>
          <w:rFonts w:ascii="Times New Roman" w:hAnsi="Times New Roman"/>
          <w:color w:val="000000" w:themeColor="text1"/>
          <w:sz w:val="16"/>
          <w:szCs w:val="16"/>
        </w:rPr>
        <w:softHyphen/>
        <w:t>бой) цвет, обеспечивший её умеренный нагрев лучами солнца. Всё это позволило весь полёт поддерживать в гондоле температуру +22^30°С при наружной температуре -67°С. Запас кисло</w:t>
      </w:r>
      <w:r w:rsidRPr="0044524F">
        <w:rPr>
          <w:rFonts w:ascii="Times New Roman" w:hAnsi="Times New Roman"/>
          <w:color w:val="000000" w:themeColor="text1"/>
          <w:sz w:val="16"/>
          <w:szCs w:val="16"/>
        </w:rPr>
        <w:softHyphen/>
        <w:t>рода хранился в сжатом виде в баллонах и в жид</w:t>
      </w:r>
      <w:r w:rsidRPr="0044524F">
        <w:rPr>
          <w:rFonts w:ascii="Times New Roman" w:hAnsi="Times New Roman"/>
          <w:color w:val="000000" w:themeColor="text1"/>
          <w:sz w:val="16"/>
          <w:szCs w:val="16"/>
        </w:rPr>
        <w:softHyphen/>
        <w:t>ком — в сосудах Дьюара. Вентиляционная уста</w:t>
      </w:r>
      <w:r w:rsidRPr="0044524F">
        <w:rPr>
          <w:rFonts w:ascii="Times New Roman" w:hAnsi="Times New Roman"/>
          <w:color w:val="000000" w:themeColor="text1"/>
          <w:sz w:val="16"/>
          <w:szCs w:val="16"/>
        </w:rPr>
        <w:softHyphen/>
        <w:t>новка прогоняла воздух гондолы через химичес</w:t>
      </w:r>
      <w:r w:rsidRPr="0044524F">
        <w:rPr>
          <w:rFonts w:ascii="Times New Roman" w:hAnsi="Times New Roman"/>
          <w:color w:val="000000" w:themeColor="text1"/>
          <w:sz w:val="16"/>
          <w:szCs w:val="16"/>
        </w:rPr>
        <w:softHyphen/>
        <w:t>кие патроны, поглощавшие углекислоту, другие токсичные вещества и излишнюю влагу. Для экипажа предусматривались откидные сидения.</w:t>
      </w:r>
    </w:p>
    <w:p w14:paraId="0389A79B" w14:textId="77777777" w:rsidR="00BF040B" w:rsidRPr="0044524F" w:rsidRDefault="00BF04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гондоле находилась самолётная коротковол</w:t>
      </w:r>
      <w:r w:rsidRPr="0044524F">
        <w:rPr>
          <w:rFonts w:ascii="Times New Roman" w:hAnsi="Times New Roman"/>
          <w:color w:val="000000" w:themeColor="text1"/>
          <w:sz w:val="16"/>
          <w:szCs w:val="16"/>
        </w:rPr>
        <w:softHyphen/>
        <w:t>новая радиостанция, работавшая в телеграфном и телефонном режимах, а также научные и нави</w:t>
      </w:r>
      <w:r w:rsidRPr="0044524F">
        <w:rPr>
          <w:rFonts w:ascii="Times New Roman" w:hAnsi="Times New Roman"/>
          <w:color w:val="000000" w:themeColor="text1"/>
          <w:sz w:val="16"/>
          <w:szCs w:val="16"/>
        </w:rPr>
        <w:softHyphen/>
        <w:t>гационные приборы (20120).</w:t>
      </w:r>
    </w:p>
    <w:p w14:paraId="52EF9A48" w14:textId="77777777" w:rsidR="00BF040B" w:rsidRPr="0044524F" w:rsidRDefault="00BF040B" w:rsidP="009654CF">
      <w:pPr>
        <w:spacing w:after="0" w:line="240" w:lineRule="auto"/>
        <w:jc w:val="both"/>
        <w:rPr>
          <w:rFonts w:ascii="Times New Roman" w:hAnsi="Times New Roman"/>
          <w:color w:val="000000" w:themeColor="text1"/>
          <w:sz w:val="16"/>
          <w:szCs w:val="16"/>
        </w:rPr>
      </w:pPr>
    </w:p>
    <w:p w14:paraId="164DA7E7"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C2F1186"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4C01BE4"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маю 1913 Д-13 были сданы и по</w:t>
      </w:r>
      <w:r w:rsidRPr="0044524F">
        <w:rPr>
          <w:rFonts w:ascii="Times New Roman" w:hAnsi="Times New Roman"/>
          <w:color w:val="000000" w:themeColor="text1"/>
          <w:sz w:val="16"/>
          <w:szCs w:val="16"/>
        </w:rPr>
        <w:softHyphen/>
        <w:t>ступили в войска. Таким образом, всего изготовили 13 бро</w:t>
      </w:r>
      <w:r w:rsidRPr="0044524F">
        <w:rPr>
          <w:rFonts w:ascii="Times New Roman" w:hAnsi="Times New Roman"/>
          <w:color w:val="000000" w:themeColor="text1"/>
          <w:sz w:val="16"/>
          <w:szCs w:val="16"/>
        </w:rPr>
        <w:softHyphen/>
        <w:t>немашин конструкции Дыренкова: 12 Д-13 (считая 2 опыт</w:t>
      </w:r>
      <w:r w:rsidRPr="0044524F">
        <w:rPr>
          <w:rFonts w:ascii="Times New Roman" w:hAnsi="Times New Roman"/>
          <w:color w:val="000000" w:themeColor="text1"/>
          <w:sz w:val="16"/>
          <w:szCs w:val="16"/>
        </w:rPr>
        <w:softHyphen/>
        <w:t>ных образца) и 1 Д-9 (11284).</w:t>
      </w:r>
    </w:p>
    <w:p w14:paraId="08FAEE58"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C3EECF" w14:textId="77777777" w:rsidR="00BF040B" w:rsidRPr="0044524F" w:rsidRDefault="00BF040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 маю 1933 г. было подготовлено мобилизационное расписание, которое, как и мобплан 1932 г., страдало необеспеченностью людскими и материальными ресурсами. При наличии достаточного числа военнообязанных начальнику ГУ РККА Б. М. Фельдману приходилось констатировать "несовпадение ресурсов с мобпотребностью по дислокации и квалификации". Неразрешенной проблемой оставалась подготовка начальствующего состава, которого по расписанию на 1933 г. требовалось 383 500 человек, по MP-11 - 306 000 человек (без учета морских сил). К тому же некомплект младшего командного состава в некоторых округах доходил до 60%. В наихудшем положении сточки зрения кадрового обеспечения мобрасписания находились танковые части, уровень необеспеченности которых по младшему начсоставу составил 29%, а по рядовому - 51% (Доклад Начальника Главного Управления РККА Фельдмана Начальнику Штаба РККА Егорову "О проработке МР-33 г.", [ранее 13].05.1933 //Там же. Л. 164-165). Другим критически важным для войсковой мобилизации являлось состояние транспорта. В MP-15 пришлось заложить нетерпимо высокий уровень мобилизационного изъятия автотранспорта из народного хозяйства, однако и при этом мобпотребность РККА по грузовым автомобилям оказалась обеспеченной лишь на 61,5%, а по гусеничным тракторам - на 39% (причем их действительное местонахождение было удалено от требуемого по мобплану). В результате, отмечал Фельдман, "мощность подвоза отстает от степени технического оснащения армии и машинизации вооружения" (Доклад Начальника Главного Управления РККА Фельдмана Начальнику Штаба РККА Егорову "О проработке МР-33 г.", [ранее 13].05.1933 //Там же. Л. 168-173).</w:t>
      </w:r>
    </w:p>
    <w:p w14:paraId="6FAD6B37" w14:textId="77777777" w:rsidR="00BF040B" w:rsidRPr="0044524F" w:rsidRDefault="00BF040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Обеспечение мобилизационной потребности в основных системах вооружения по-прежнему оставляло желать лучшего. Мобзаявка на обеспечение варианта 1933 г. составила, в частности, 11500 самолетов, 40 000 танков всех типов, 28 615 артиллерийских орудий, а также 84 млн выстрелов и 200 000 т авиабомб (Доклад Начальника Штаба РККА Егорова Народному Комиссару по Военным и Морским Делам Ворошилову "О втором пятилетнем плане развития РККА", 30.03/2.04.1933 //Там же. Л. 57) (22725).</w:t>
      </w:r>
    </w:p>
    <w:p w14:paraId="6AF70C06" w14:textId="77777777" w:rsidR="00BF040B" w:rsidRPr="0044524F" w:rsidRDefault="00BF040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D966AD5" w14:textId="77777777" w:rsidR="00323684" w:rsidRPr="0044524F" w:rsidRDefault="00323684" w:rsidP="009654C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маю 1933 г. от услуг иностранных работников под тем или иным предлогом отказались Металлостройпроект, Союзстандартжилстрой, Востоксоюзстрой, Союзтранстехпром, и др. организации (Приказ по Наркомтяжпрому СССР о работе и условиях труда иностранных специалистов на предприятиях отрасли от 23 мая 1933 г. // Индустриализация Советского союза. Новые документы. Новые факты. Новые подходы. Часть 2. Институт Российской истории РАН. Москва, 1999. С. 246 — 250) (11596).</w:t>
      </w:r>
    </w:p>
    <w:p w14:paraId="2E8D1E15" w14:textId="77777777" w:rsidR="00323684" w:rsidRPr="0044524F" w:rsidRDefault="00323684" w:rsidP="009654C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06E7D33B" w14:textId="29F68B5E" w:rsidR="00077B5F" w:rsidRPr="0044524F" w:rsidRDefault="00077B5F" w:rsidP="00077B5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44524F">
        <w:rPr>
          <w:rFonts w:ascii="Times New Roman" w:hAnsi="Times New Roman"/>
          <w:i/>
          <w:iCs/>
          <w:color w:val="000000" w:themeColor="text1"/>
          <w:sz w:val="16"/>
          <w:szCs w:val="16"/>
        </w:rPr>
        <w:t>:</w:t>
      </w:r>
    </w:p>
    <w:p w14:paraId="069F32E3" w14:textId="77777777" w:rsidR="00077B5F" w:rsidRPr="0044524F" w:rsidRDefault="00077B5F" w:rsidP="00077B5F">
      <w:pPr>
        <w:autoSpaceDE w:val="0"/>
        <w:autoSpaceDN w:val="0"/>
        <w:adjustRightInd w:val="0"/>
        <w:spacing w:after="0" w:line="240" w:lineRule="auto"/>
        <w:jc w:val="both"/>
        <w:rPr>
          <w:rFonts w:ascii="Times New Roman" w:hAnsi="Times New Roman"/>
          <w:iCs/>
          <w:color w:val="000000" w:themeColor="text1"/>
          <w:sz w:val="16"/>
          <w:szCs w:val="16"/>
        </w:rPr>
      </w:pPr>
    </w:p>
    <w:p w14:paraId="41BC1F08" w14:textId="77777777" w:rsidR="00077B5F" w:rsidRPr="00142305" w:rsidRDefault="00077B5F" w:rsidP="00077B5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маю 1933 года было закончено формирование мобильного подразделения ВВС Красной Армии - воинской частм п/я 1139. Это была передвижная производственная база, предназначенная для капитального ремонта 4-х моторных тяжёлых бомбардировщиков </w:t>
      </w:r>
      <w:r w:rsidRPr="00142305">
        <w:rPr>
          <w:rFonts w:ascii="Times New Roman" w:hAnsi="Times New Roman"/>
          <w:b/>
          <w:bCs/>
          <w:color w:val="0070C0"/>
          <w:sz w:val="16"/>
          <w:szCs w:val="16"/>
        </w:rPr>
        <w:t>ТБ-3</w:t>
      </w:r>
      <w:r w:rsidRPr="00142305">
        <w:rPr>
          <w:rFonts w:ascii="Times New Roman" w:hAnsi="Times New Roman"/>
          <w:color w:val="0070C0"/>
          <w:sz w:val="16"/>
          <w:szCs w:val="16"/>
        </w:rPr>
        <w:t> в полевых условиях вдали от мастерских и авиапредприятий, представляла собой «авиаремонтный поезд», который «состоял из 44 специально оборудованных 4-осных Пульмановских вагонов, в которых размещены: новая электростанция, центральное и индивидуальное отопление, производственные цехи всех авиаспециальностей, складские, технические и хозяйственные службы. Кроме того, авиапоезд мог по мере надобности к месту ремонта самолётов выделять ж.д. летучки и автолетучки из имеющихся 16 единиц автомашин» (http://www.soldat.ru/files/3/27/62/ И. П. Бирюков «Воспоминания об учёбе и первых авиационно-технических учебных заведениях»).</w:t>
      </w:r>
    </w:p>
    <w:p w14:paraId="68FF4BFF" w14:textId="77777777" w:rsidR="00077B5F" w:rsidRPr="00142305" w:rsidRDefault="00077B5F" w:rsidP="00077B5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Практически сразу после окончания первомайского воздушного парада железнодорожный состав, предназначенный, главным образом, для технического обслуживания тяжёлых бомбардировщиков ТБ-3, защищающих восточные рубежи нашей Родины, прибыл на станцию Монино. Здесь была проведена погрузка всего необходимого имущества, включая автомобильную технику в дополнительные вагоны. В июне месяце того же года авиационно-ремонтный поезд тремя эшелонами направился на Дальний Восток (25652).</w:t>
      </w:r>
    </w:p>
    <w:p w14:paraId="25136A87" w14:textId="77777777" w:rsidR="00077B5F" w:rsidRPr="00142305" w:rsidRDefault="00077B5F" w:rsidP="00077B5F">
      <w:pPr>
        <w:spacing w:after="0" w:line="240" w:lineRule="auto"/>
        <w:jc w:val="both"/>
        <w:rPr>
          <w:rFonts w:ascii="Times New Roman" w:hAnsi="Times New Roman"/>
          <w:color w:val="0070C0"/>
          <w:sz w:val="16"/>
          <w:szCs w:val="16"/>
        </w:rPr>
      </w:pPr>
    </w:p>
    <w:p w14:paraId="76C7E803"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E1CB9DE"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F136060"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 мая 1933 на парад в Москве в 1933 г. выпустили 169 Р-5 - очень внушительное зрелище. Эти машины собрали из шести бригад трех разных округов. Это был самый большой до того времени воздушный парад. При этом ряд авиачастей оставался недоукомплектованным. Особенно это касалось считавшихся "второсортными" отдельных авиаотрядов, придававшихся стрелковым и кавалерийским корпусам, а также корректировочных отрядов (12034).</w:t>
      </w:r>
    </w:p>
    <w:p w14:paraId="05651DE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3E9F42DA" w14:textId="77777777" w:rsidR="00077B5F" w:rsidRPr="00142305" w:rsidRDefault="00077B5F" w:rsidP="00077B5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мая 1933 г. на первомайский парад в Москве в 1933 г. выпустили I69 Р-5 - очень внушительное зрелище. Эти машины собрали из шести бригад трех разных округов. Это был самый большой до того времени воздушный парад (24990).</w:t>
      </w:r>
    </w:p>
    <w:p w14:paraId="7ED47045" w14:textId="77777777" w:rsidR="00077B5F" w:rsidRPr="00142305" w:rsidRDefault="00077B5F" w:rsidP="00077B5F">
      <w:pPr>
        <w:spacing w:after="0" w:line="240" w:lineRule="auto"/>
        <w:jc w:val="both"/>
        <w:rPr>
          <w:rFonts w:ascii="Times New Roman" w:hAnsi="Times New Roman"/>
          <w:color w:val="0070C0"/>
          <w:sz w:val="16"/>
          <w:szCs w:val="16"/>
        </w:rPr>
      </w:pPr>
    </w:p>
    <w:p w14:paraId="13396816" w14:textId="77777777" w:rsidR="004876B8" w:rsidRPr="0044524F" w:rsidRDefault="004876B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1 мая 1933 г. И-4 впервые выпустили на первомайский парад в Москве; в строю над Красной площадью прошли девять самолетов 403-й бригады. В следующем году для этого выделили 33 машины - с запасом на неисправности (19100).</w:t>
      </w:r>
    </w:p>
    <w:p w14:paraId="1C5AD1CF" w14:textId="77777777" w:rsidR="004876B8" w:rsidRPr="0044524F" w:rsidRDefault="004876B8" w:rsidP="009654CF">
      <w:pPr>
        <w:pStyle w:val="a8"/>
        <w:jc w:val="both"/>
        <w:rPr>
          <w:rFonts w:ascii="Times New Roman" w:hAnsi="Times New Roman" w:cs="Times New Roman"/>
          <w:color w:val="000000" w:themeColor="text1"/>
        </w:rPr>
      </w:pPr>
    </w:p>
    <w:p w14:paraId="632FC66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во время радиопередачи с КП была включена Калуга и К.Э.Ц. обратился с приветственной речью к трудящимся. "Теперь, товарищи, я точно уверен, что и моя другая мечта - межпланетные путешествия - мною теоретически обоснованная, превратится в действительность" (505,100).</w:t>
      </w:r>
    </w:p>
    <w:p w14:paraId="3ADBD70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1ED41CEE"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A668896"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A92D030"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1933 завод Красный Путиловец выпустил первые 12 танков Т-28 (3547).</w:t>
      </w:r>
    </w:p>
    <w:p w14:paraId="4D499847"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1B63C9A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1933 завод "Красный Путиловец" выпустил 12 танков Т-28, 10 из которых приняли участие в первомайском параде в Москве, а два в Ленинграде (3862).</w:t>
      </w:r>
    </w:p>
    <w:p w14:paraId="5E3B56F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258533E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1933 г. были выпущены первые 12 танков Т-28. Максимальная скорость танка с боевой массой 28 т достигала 37 км/час. На нем стоял двигатель М-17Т. Имелась механическая коробка передач, бортовые фрикционы. Подвеска сблокированная, на четыре катка. Главная башня имела цилиндрическую форму. Почти сразу в ней стали устанавливать пушку калибра 76 мм с длиной ствола 16,5 калибров. Перед главной башней по обе стороны "будки" водителя размещались пулеметные башенки с сектором обстрела до 220 градусов у каждой. Всего на танке устанавливали до четырех пулеметов. Обеспечивал боевую деятельность танка экипаж из шести человек. Достаточно продуманной и мощной для своего времени была схема бронирования танка. Лобовой лист корпуса-30 мм, бортовой-20 мм. Башня бронировалась 20-мм листом. Подвеска закрывалась броневым фальшбортом. В 1938 г. на танк стали ставить 76-мм пушку Л-10 с длиной ствола 26 калибров. Башня приобрела коническую форму, более снарядостойкую. В ходе боев на Карельском перешейке в декабре 1939 г. выявилась недостаточность бронезащиты и танки стали оборудовать экранами из листов толщиной 30-50 мм. Бронирование лобовое корпуса и башни возросло до 50-80 мм, борта и кормы - до 40 мм. Боевая масса увеличилась до 32 т. В процессе отработки, производства и эксплуатации в течение шести с лишним лет танк Т-28 превратился в надежную, достаточно эффективную боевую машину. Имелись возможности дальнейшего повышения энерговооруженности, оптимизации бронезащиты, огневой мощи. Последнее обстоятельство, очень важное с точки зрения перспектив использования танка Т-28 войсками, подтвердил весной 1940 г. коллектив КБ Грабина. На серийный Т-28 установили опытный образец пушки Ф-39 калибра 85 мм. Дульная энергия пушки составляла 300 тм., т.е. втрое превышала показатели Л-10. Бронепробиваемость также увеличилась почти втрое. Испытания прошли успешно. Но танк сняли с производства еще в декабре 1939 г. Этот шаг представляется несколько поспешным. Ведь завод выпустил 523 машины. И мог их выпускать дальше, модернизируя и улучшая. Войска накопили опыт эксплуатации, технического обслуживания и ремонта Т-28. Особенно привлекательным было то, что машина имела надежный двигатель, трансмиссию. И без ухудшения показателей безотказности существенно можно было повысить боевую эффективность за счет установки новой пушки и экранной брони (11224).</w:t>
      </w:r>
    </w:p>
    <w:p w14:paraId="0223FDE8"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0A1EF2FB" w14:textId="77777777" w:rsidR="00077B5F" w:rsidRPr="00142305" w:rsidRDefault="00077B5F" w:rsidP="00077B5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мая 1933 г. десять Т-28 прошли на перво</w:t>
      </w:r>
      <w:r w:rsidRPr="00142305">
        <w:rPr>
          <w:rFonts w:ascii="Times New Roman" w:hAnsi="Times New Roman"/>
          <w:color w:val="0070C0"/>
          <w:sz w:val="16"/>
          <w:szCs w:val="16"/>
        </w:rPr>
        <w:softHyphen/>
        <w:t>майском параде в Москве, а два в Ленингра</w:t>
      </w:r>
      <w:r w:rsidRPr="00142305">
        <w:rPr>
          <w:rFonts w:ascii="Times New Roman" w:hAnsi="Times New Roman"/>
          <w:color w:val="0070C0"/>
          <w:sz w:val="16"/>
          <w:szCs w:val="16"/>
        </w:rPr>
        <w:softHyphen/>
        <w:t>де. После парадов машины вернулись на за</w:t>
      </w:r>
      <w:r w:rsidRPr="00142305">
        <w:rPr>
          <w:rFonts w:ascii="Times New Roman" w:hAnsi="Times New Roman"/>
          <w:color w:val="0070C0"/>
          <w:sz w:val="16"/>
          <w:szCs w:val="16"/>
        </w:rPr>
        <w:softHyphen/>
        <w:t>вод для доделок и устранения выявленных недостатков (25016).</w:t>
      </w:r>
    </w:p>
    <w:p w14:paraId="605C3530" w14:textId="77777777" w:rsidR="00077B5F" w:rsidRPr="00142305" w:rsidRDefault="00077B5F" w:rsidP="00077B5F">
      <w:pPr>
        <w:spacing w:after="0" w:line="240" w:lineRule="auto"/>
        <w:jc w:val="both"/>
        <w:rPr>
          <w:rFonts w:ascii="Times New Roman" w:hAnsi="Times New Roman"/>
          <w:color w:val="0070C0"/>
          <w:sz w:val="16"/>
          <w:szCs w:val="16"/>
        </w:rPr>
      </w:pPr>
    </w:p>
    <w:p w14:paraId="504A1397" w14:textId="77777777" w:rsidR="00077B5F" w:rsidRPr="0044524F" w:rsidRDefault="00077B5F" w:rsidP="00077B5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на параде на КП в Москве были впервые показано 10 танков Т-28 (1068,22), а в Ленинграде - оставшиеся два.</w:t>
      </w:r>
    </w:p>
    <w:p w14:paraId="44DE672A" w14:textId="77777777" w:rsidR="00077B5F" w:rsidRPr="0044524F" w:rsidRDefault="00077B5F" w:rsidP="00077B5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в первомайском параде приняли участие первые 10 танков Т-28 (176,40).</w:t>
      </w:r>
    </w:p>
    <w:p w14:paraId="232891E6" w14:textId="77777777" w:rsidR="00077B5F" w:rsidRPr="0044524F" w:rsidRDefault="00077B5F" w:rsidP="00077B5F">
      <w:pPr>
        <w:autoSpaceDE w:val="0"/>
        <w:autoSpaceDN w:val="0"/>
        <w:adjustRightInd w:val="0"/>
        <w:spacing w:after="0" w:line="240" w:lineRule="auto"/>
        <w:jc w:val="both"/>
        <w:rPr>
          <w:rFonts w:ascii="Times New Roman" w:hAnsi="Times New Roman"/>
          <w:color w:val="000000" w:themeColor="text1"/>
          <w:sz w:val="16"/>
          <w:szCs w:val="16"/>
        </w:rPr>
      </w:pPr>
    </w:p>
    <w:p w14:paraId="39D0657A"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танк Т-35-2 прошел на параде по площади Урицкого в Ленинграде, тог</w:t>
      </w:r>
      <w:r w:rsidRPr="0044524F">
        <w:rPr>
          <w:rFonts w:ascii="Times New Roman" w:hAnsi="Times New Roman"/>
          <w:color w:val="000000" w:themeColor="text1"/>
          <w:sz w:val="16"/>
          <w:szCs w:val="16"/>
        </w:rPr>
        <w:softHyphen/>
        <w:t>да как Т-35-1 участвовал в параде в Москве. Новый танк Т-35-2 получил двигатель водяного охлаждения М-17, новую трансмиссию и КПП. Пневмоуправление было исключено, тележки ходовой час</w:t>
      </w:r>
      <w:r w:rsidRPr="0044524F">
        <w:rPr>
          <w:rFonts w:ascii="Times New Roman" w:hAnsi="Times New Roman"/>
          <w:color w:val="000000" w:themeColor="text1"/>
          <w:sz w:val="16"/>
          <w:szCs w:val="16"/>
        </w:rPr>
        <w:softHyphen/>
        <w:t>ти танка доработаны по типу тележек немецкого «Гросстрактора» фирмы «Крупп». Была установлена большая башня цилиндрической формы, оснащенная пушкой ПС-3 с прогрессивной нарезкой. Впрочем, с этим периодом в жизни Т-35 есть нестыковки. Дело в том, что к этому моменту Т-35-1 уже находился в распоряжении ЛБТКУКС, и пока нет строгих доказательств, что он пере</w:t>
      </w:r>
      <w:r w:rsidRPr="0044524F">
        <w:rPr>
          <w:rFonts w:ascii="Times New Roman" w:hAnsi="Times New Roman"/>
          <w:color w:val="000000" w:themeColor="text1"/>
          <w:sz w:val="16"/>
          <w:szCs w:val="16"/>
        </w:rPr>
        <w:softHyphen/>
        <w:t>давался оттуда в Москву. Так что вполне возможно, что участие Т-35-1 и Т-35-2 в парадах в Москве и Ленинграде было разнесено во времени. Например, Т-35-1 участвовал в первом параде в Москве не в мае 1933 г., а в ноябре 1932 г. В то время как шла сборка Т-35-2, ОКМО заканчивал работы над танком Т-35А, который должен был выпускать</w:t>
      </w:r>
      <w:r w:rsidRPr="0044524F">
        <w:rPr>
          <w:rFonts w:ascii="Times New Roman" w:hAnsi="Times New Roman"/>
          <w:color w:val="000000" w:themeColor="text1"/>
          <w:sz w:val="16"/>
          <w:szCs w:val="16"/>
        </w:rPr>
        <w:softHyphen/>
        <w:t>ся серийно. По силовой установке, ходовой части и транс</w:t>
      </w:r>
      <w:r w:rsidRPr="0044524F">
        <w:rPr>
          <w:rFonts w:ascii="Times New Roman" w:hAnsi="Times New Roman"/>
          <w:color w:val="000000" w:themeColor="text1"/>
          <w:sz w:val="16"/>
          <w:szCs w:val="16"/>
        </w:rPr>
        <w:softHyphen/>
        <w:t>миссии он был идентичен Т-35-2, однако корпус и башни были видоизменены для упрощения производства. Так, главная башня была унифицирована с башней среднего танка Т-28, а малые орудийные башни, оснащенные теперь 45-мм пушкой и пулеметом, представляли собой в целом башни танка Т-26 (БТ-5) без кормовой ниши. Интересно, что согласно документам УММ по танку Т-35 эта унифика</w:t>
      </w:r>
      <w:r w:rsidRPr="0044524F">
        <w:rPr>
          <w:rFonts w:ascii="Times New Roman" w:hAnsi="Times New Roman"/>
          <w:color w:val="000000" w:themeColor="text1"/>
          <w:sz w:val="16"/>
          <w:szCs w:val="16"/>
        </w:rPr>
        <w:softHyphen/>
        <w:t>ция была произведена по личному указанию тов. Сталина. Кроме того, Т-35А имел новые пулеметные башни, удли</w:t>
      </w:r>
      <w:r w:rsidRPr="0044524F">
        <w:rPr>
          <w:rFonts w:ascii="Times New Roman" w:hAnsi="Times New Roman"/>
          <w:color w:val="000000" w:themeColor="text1"/>
          <w:sz w:val="16"/>
          <w:szCs w:val="16"/>
        </w:rPr>
        <w:softHyphen/>
        <w:t>ненный корпус, измененные фальшборты. Согласно постановлению правительства СССР производство Т-35А со второго полугодия 1933 г должно бы-до быть передано на Харьковский паровозостроительный завод (ХПЗ), где в это время шло лихорадочное освоение быстроходного БТ-5 (10733,263).</w:t>
      </w:r>
    </w:p>
    <w:p w14:paraId="0AD1DC02"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FF1E54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Т-35 прошел во главе парада по площади Урицкого (Дворцовая площадь) в Ленинграде, а Т-35-1 в это время высекал искры из брусчатки Красной площади в Москве (3862).</w:t>
      </w:r>
    </w:p>
    <w:p w14:paraId="6DF6E475"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2B79DFA5" w14:textId="77777777" w:rsidR="00077B5F" w:rsidRPr="00142305" w:rsidRDefault="00077B5F" w:rsidP="00077B5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мая 1933 г. Т-35-2 прошел во главе парада по площади имени Урицкого (так в те годы называлась Дворцовая площадь) в Ленинграде, а Т-35-1 в это время высе</w:t>
      </w:r>
      <w:r w:rsidRPr="00142305">
        <w:rPr>
          <w:rFonts w:ascii="Times New Roman" w:hAnsi="Times New Roman"/>
          <w:color w:val="0070C0"/>
          <w:sz w:val="16"/>
          <w:szCs w:val="16"/>
        </w:rPr>
        <w:softHyphen/>
        <w:t>кал искры из брусчатки Красной площади в Москве (25014).</w:t>
      </w:r>
    </w:p>
    <w:p w14:paraId="7D857F8D" w14:textId="77777777" w:rsidR="00077B5F" w:rsidRPr="00142305" w:rsidRDefault="00077B5F" w:rsidP="00077B5F">
      <w:pPr>
        <w:spacing w:after="0" w:line="240" w:lineRule="auto"/>
        <w:jc w:val="both"/>
        <w:rPr>
          <w:rFonts w:ascii="Times New Roman" w:hAnsi="Times New Roman"/>
          <w:color w:val="0070C0"/>
          <w:sz w:val="16"/>
          <w:szCs w:val="16"/>
        </w:rPr>
      </w:pPr>
    </w:p>
    <w:p w14:paraId="12A82FA5"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1933 года быстроходный дизель БД-1 был собран. Помня свой богатый опыт неудач, начиная с Д-40, Челпан и Вихман приготовились к тому, что, во-первых, он сразу же не запустится, а во-вторых, долго не проработает. А проработать на испытаниях согласно техническому зада</w:t>
      </w:r>
      <w:r w:rsidRPr="0044524F">
        <w:rPr>
          <w:rFonts w:ascii="Times New Roman" w:hAnsi="Times New Roman"/>
          <w:color w:val="000000" w:themeColor="text1"/>
          <w:sz w:val="16"/>
          <w:szCs w:val="16"/>
        </w:rPr>
        <w:softHyphen/>
        <w:t>нию на дизель Д-300 мотор должен был целых 150 часов. Неожиданно мотор сразу запустился и начал работать, словно это на</w:t>
      </w:r>
      <w:r w:rsidRPr="0044524F">
        <w:rPr>
          <w:rFonts w:ascii="Times New Roman" w:hAnsi="Times New Roman"/>
          <w:color w:val="000000" w:themeColor="text1"/>
          <w:sz w:val="16"/>
          <w:szCs w:val="16"/>
        </w:rPr>
        <w:softHyphen/>
        <w:t>дежный серийный двигатель. Первый опытный мотор БД-1 был поставлен на специальный обкаточ</w:t>
      </w:r>
      <w:r w:rsidRPr="0044524F">
        <w:rPr>
          <w:rFonts w:ascii="Times New Roman" w:hAnsi="Times New Roman"/>
          <w:color w:val="000000" w:themeColor="text1"/>
          <w:sz w:val="16"/>
          <w:szCs w:val="16"/>
        </w:rPr>
        <w:softHyphen/>
        <w:t>ный стенд, на котором он с мая по сентябрь 1933 года проходил стендо</w:t>
      </w:r>
      <w:r w:rsidRPr="0044524F">
        <w:rPr>
          <w:rFonts w:ascii="Times New Roman" w:hAnsi="Times New Roman"/>
          <w:color w:val="000000" w:themeColor="text1"/>
          <w:sz w:val="16"/>
          <w:szCs w:val="16"/>
        </w:rPr>
        <w:softHyphen/>
        <w:t>вые испытания.</w:t>
      </w:r>
    </w:p>
    <w:p w14:paraId="59389B51"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 БД-1 был установлен на специальный обкаточный стенд. После того, как его запустили, около него остался дежурный механик ис</w:t>
      </w:r>
      <w:r w:rsidRPr="0044524F">
        <w:rPr>
          <w:rFonts w:ascii="Times New Roman" w:hAnsi="Times New Roman"/>
          <w:color w:val="000000" w:themeColor="text1"/>
          <w:sz w:val="16"/>
          <w:szCs w:val="16"/>
        </w:rPr>
        <w:softHyphen/>
        <w:t>пытательной лаборатории дизельного отдела. Он стал прохаживаться под навесом, ни к чему не прикасаясь, лишь поглядывая на стрелки прибо</w:t>
      </w:r>
      <w:r w:rsidRPr="0044524F">
        <w:rPr>
          <w:rFonts w:ascii="Times New Roman" w:hAnsi="Times New Roman"/>
          <w:color w:val="000000" w:themeColor="text1"/>
          <w:sz w:val="16"/>
          <w:szCs w:val="16"/>
        </w:rPr>
        <w:softHyphen/>
        <w:t>ров, размещенных на длинной панели. Стрелки приборов дрожали, по</w:t>
      </w:r>
      <w:r w:rsidRPr="0044524F">
        <w:rPr>
          <w:rFonts w:ascii="Times New Roman" w:hAnsi="Times New Roman"/>
          <w:color w:val="000000" w:themeColor="text1"/>
          <w:sz w:val="16"/>
          <w:szCs w:val="16"/>
        </w:rPr>
        <w:softHyphen/>
        <w:t>казывая количество оборотов в минуту, мощность, развиваемую двигате</w:t>
      </w:r>
      <w:r w:rsidRPr="0044524F">
        <w:rPr>
          <w:rFonts w:ascii="Times New Roman" w:hAnsi="Times New Roman"/>
          <w:color w:val="000000" w:themeColor="text1"/>
          <w:sz w:val="16"/>
          <w:szCs w:val="16"/>
        </w:rPr>
        <w:softHyphen/>
        <w:t>лем, давление масла и т.д.</w:t>
      </w:r>
    </w:p>
    <w:p w14:paraId="6BAB4C1D"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БД-1 ревел под навесом на открытом воздухе. Из его выхлопных труб вылетали огненные языки, прорезая темноту навеса. В любом помеще</w:t>
      </w:r>
      <w:r w:rsidRPr="0044524F">
        <w:rPr>
          <w:rFonts w:ascii="Times New Roman" w:hAnsi="Times New Roman"/>
          <w:color w:val="000000" w:themeColor="text1"/>
          <w:sz w:val="16"/>
          <w:szCs w:val="16"/>
        </w:rPr>
        <w:softHyphen/>
        <w:t>нии от этих сгорающих отработанных газов задохнулись бы не только люди, но и сам мотор, тоже требующий кислорода...</w:t>
      </w:r>
    </w:p>
    <w:p w14:paraId="2593DEA3"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 ревел, сотрясая бетонный фундамент под собой, сотрясая воз</w:t>
      </w:r>
      <w:r w:rsidRPr="0044524F">
        <w:rPr>
          <w:rFonts w:ascii="Times New Roman" w:hAnsi="Times New Roman"/>
          <w:color w:val="000000" w:themeColor="text1"/>
          <w:sz w:val="16"/>
          <w:szCs w:val="16"/>
        </w:rPr>
        <w:softHyphen/>
        <w:t>дух. Вот так — без перерыва, без единой остановки хотя бы на минуту — мотор должен был проработать 150 часов на государственных испытаниях, к которым должны были его подготовить конструкторы и инженеры отде</w:t>
      </w:r>
      <w:r w:rsidRPr="0044524F">
        <w:rPr>
          <w:rFonts w:ascii="Times New Roman" w:hAnsi="Times New Roman"/>
          <w:color w:val="000000" w:themeColor="text1"/>
          <w:sz w:val="16"/>
          <w:szCs w:val="16"/>
        </w:rPr>
        <w:softHyphen/>
        <w:t>ла. Танковый дизель, по существу, еще не был создан, не был доведен.</w:t>
      </w:r>
    </w:p>
    <w:p w14:paraId="34D0CE7C"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Никто из создателей танкового дизеля не предполагал тогда, что для того, чтобы довести дизель до его непрерывной 150 часовой работы по</w:t>
      </w:r>
      <w:r w:rsidRPr="0044524F">
        <w:rPr>
          <w:rFonts w:ascii="Times New Roman" w:hAnsi="Times New Roman"/>
          <w:color w:val="000000" w:themeColor="text1"/>
          <w:sz w:val="16"/>
          <w:szCs w:val="16"/>
        </w:rPr>
        <w:softHyphen/>
        <w:t>требуется долгих 6,5 лет.</w:t>
      </w:r>
    </w:p>
    <w:p w14:paraId="498E3886"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рабочего дня около дизеля собрались конструкторы и инже</w:t>
      </w:r>
      <w:r w:rsidRPr="0044524F">
        <w:rPr>
          <w:rFonts w:ascii="Times New Roman" w:hAnsi="Times New Roman"/>
          <w:color w:val="000000" w:themeColor="text1"/>
          <w:sz w:val="16"/>
          <w:szCs w:val="16"/>
        </w:rPr>
        <w:softHyphen/>
        <w:t>неры дизельного отдела. Пришел ярый поборник установки дизеля на танк военпред на ХПЗ М.Н.Федоров. Подошли и Челпан с Вихманом.</w:t>
      </w:r>
    </w:p>
    <w:p w14:paraId="701B3F79"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Константин Федорович стоял у ярко освещенной панели, где по при-</w:t>
      </w:r>
    </w:p>
    <w:p w14:paraId="605EFA25"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борам можно было увидеть, как работает БД-1, но сейчас, сдержанно улы</w:t>
      </w:r>
      <w:r w:rsidRPr="0044524F">
        <w:rPr>
          <w:rFonts w:ascii="Times New Roman" w:hAnsi="Times New Roman"/>
          <w:color w:val="000000" w:themeColor="text1"/>
          <w:sz w:val="16"/>
          <w:szCs w:val="16"/>
        </w:rPr>
        <w:softHyphen/>
        <w:t>баясь, смотрел не на приборы, а на молодых конструкторов, которые сто</w:t>
      </w:r>
      <w:r w:rsidRPr="0044524F">
        <w:rPr>
          <w:rFonts w:ascii="Times New Roman" w:hAnsi="Times New Roman"/>
          <w:color w:val="000000" w:themeColor="text1"/>
          <w:sz w:val="16"/>
          <w:szCs w:val="16"/>
        </w:rPr>
        <w:softHyphen/>
        <w:t>яли в ожидании команды, чтобы отметить двойное событие: начало за</w:t>
      </w:r>
      <w:r w:rsidRPr="0044524F">
        <w:rPr>
          <w:rFonts w:ascii="Times New Roman" w:hAnsi="Times New Roman"/>
          <w:color w:val="000000" w:themeColor="text1"/>
          <w:sz w:val="16"/>
          <w:szCs w:val="16"/>
        </w:rPr>
        <w:softHyphen/>
        <w:t>рождения танкового дизеля и наступающий праздник 1 Мая 1933 года. Вихман прокричал на ухо дежурному механику:</w:t>
      </w:r>
    </w:p>
    <w:p w14:paraId="36AF3A94"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Сбросьте газ до малого!</w:t>
      </w:r>
    </w:p>
    <w:p w14:paraId="7B671122"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полагаясь на свой голос, Вихман еще и жестами скомандовал, что</w:t>
      </w:r>
      <w:r w:rsidRPr="0044524F">
        <w:rPr>
          <w:rFonts w:ascii="Times New Roman" w:hAnsi="Times New Roman"/>
          <w:color w:val="000000" w:themeColor="text1"/>
          <w:sz w:val="16"/>
          <w:szCs w:val="16"/>
        </w:rPr>
        <w:softHyphen/>
        <w:t>бы мотор гудел потише.</w:t>
      </w:r>
    </w:p>
    <w:p w14:paraId="3C094F98"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Снизьте обороты! — прокричал на этот раз Челпан.</w:t>
      </w:r>
    </w:p>
    <w:p w14:paraId="4C3F5901"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Он жестами изобразил, что представляет слово главному конструкто</w:t>
      </w:r>
      <w:r w:rsidRPr="0044524F">
        <w:rPr>
          <w:rFonts w:ascii="Times New Roman" w:hAnsi="Times New Roman"/>
          <w:color w:val="000000" w:themeColor="text1"/>
          <w:sz w:val="16"/>
          <w:szCs w:val="16"/>
        </w:rPr>
        <w:softHyphen/>
        <w:t>ру. И опять не обошлось без назидательной, но весьма разумной фило</w:t>
      </w:r>
      <w:r w:rsidRPr="0044524F">
        <w:rPr>
          <w:rFonts w:ascii="Times New Roman" w:hAnsi="Times New Roman"/>
          <w:color w:val="000000" w:themeColor="text1"/>
          <w:sz w:val="16"/>
          <w:szCs w:val="16"/>
        </w:rPr>
        <w:softHyphen/>
        <w:t>софской лекции Якова Вихмана.</w:t>
      </w:r>
    </w:p>
    <w:p w14:paraId="35464C96"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Друзья мои, — начал он с пафосом, — посмотрите на это свое желез</w:t>
      </w:r>
      <w:r w:rsidRPr="0044524F">
        <w:rPr>
          <w:rFonts w:ascii="Times New Roman" w:hAnsi="Times New Roman"/>
          <w:color w:val="000000" w:themeColor="text1"/>
          <w:sz w:val="16"/>
          <w:szCs w:val="16"/>
        </w:rPr>
        <w:softHyphen/>
        <w:t>ное творение, в котором скрыта силища в целый табун из четырехсот ло</w:t>
      </w:r>
      <w:r w:rsidRPr="0044524F">
        <w:rPr>
          <w:rFonts w:ascii="Times New Roman" w:hAnsi="Times New Roman"/>
          <w:color w:val="000000" w:themeColor="text1"/>
          <w:sz w:val="16"/>
          <w:szCs w:val="16"/>
        </w:rPr>
        <w:softHyphen/>
        <w:t>шадей. А теперь послушайте, что могут нам преподнести эти строптивые «лошадки», дабы испортить нам спокойную кабинетную жизнь.</w:t>
      </w:r>
    </w:p>
    <w:p w14:paraId="64F4EC6F"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Альтернативы, возникающие при исследовании опытного образца, — продолжал Вихман, — примерно таковы:</w:t>
      </w:r>
    </w:p>
    <w:p w14:paraId="231F4547"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Первое. Известны причины и источник неблагополучия, а также изве</w:t>
      </w:r>
      <w:r w:rsidRPr="0044524F">
        <w:rPr>
          <w:rFonts w:ascii="Times New Roman" w:hAnsi="Times New Roman"/>
          <w:color w:val="000000" w:themeColor="text1"/>
          <w:sz w:val="16"/>
          <w:szCs w:val="16"/>
        </w:rPr>
        <w:softHyphen/>
        <w:t>стно, что необходимо предпринять для устранения неблагоприятных про</w:t>
      </w:r>
      <w:r w:rsidRPr="0044524F">
        <w:rPr>
          <w:rFonts w:ascii="Times New Roman" w:hAnsi="Times New Roman"/>
          <w:color w:val="000000" w:themeColor="text1"/>
          <w:sz w:val="16"/>
          <w:szCs w:val="16"/>
        </w:rPr>
        <w:softHyphen/>
        <w:t>явлений.</w:t>
      </w:r>
    </w:p>
    <w:p w14:paraId="01B17E4D"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Второе. Известны причины и источник неудовлетворительной рабо</w:t>
      </w:r>
      <w:r w:rsidRPr="0044524F">
        <w:rPr>
          <w:rFonts w:ascii="Times New Roman" w:hAnsi="Times New Roman"/>
          <w:color w:val="000000" w:themeColor="text1"/>
          <w:sz w:val="16"/>
          <w:szCs w:val="16"/>
        </w:rPr>
        <w:softHyphen/>
        <w:t>ты опытного образца БД-1, но неизвестно, что именно следует предпри</w:t>
      </w:r>
      <w:r w:rsidRPr="0044524F">
        <w:rPr>
          <w:rFonts w:ascii="Times New Roman" w:hAnsi="Times New Roman"/>
          <w:color w:val="000000" w:themeColor="text1"/>
          <w:sz w:val="16"/>
          <w:szCs w:val="16"/>
        </w:rPr>
        <w:softHyphen/>
        <w:t>нять для устранения дефектов. Не видно приемлемых решений, по край</w:t>
      </w:r>
      <w:r w:rsidRPr="0044524F">
        <w:rPr>
          <w:rFonts w:ascii="Times New Roman" w:hAnsi="Times New Roman"/>
          <w:color w:val="000000" w:themeColor="text1"/>
          <w:sz w:val="16"/>
          <w:szCs w:val="16"/>
        </w:rPr>
        <w:softHyphen/>
        <w:t>ней мере, таких, которые не требуют коренной реконструкции опытного образца двигателя.</w:t>
      </w:r>
    </w:p>
    <w:p w14:paraId="11470AB8"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Третье. Неизвестны причины и источник помех, однако известно, что следует предпринять для устранения неблагоприятных проявлений. И наконец, четвертое. Неизвестны ни причины, ни источник неудовлетво</w:t>
      </w:r>
      <w:r w:rsidRPr="0044524F">
        <w:rPr>
          <w:rFonts w:ascii="Times New Roman" w:hAnsi="Times New Roman"/>
          <w:color w:val="000000" w:themeColor="text1"/>
          <w:sz w:val="16"/>
          <w:szCs w:val="16"/>
        </w:rPr>
        <w:softHyphen/>
        <w:t>рительного функционирования образца, ни средства, которые могут ис</w:t>
      </w:r>
      <w:r w:rsidRPr="0044524F">
        <w:rPr>
          <w:rFonts w:ascii="Times New Roman" w:hAnsi="Times New Roman"/>
          <w:color w:val="000000" w:themeColor="text1"/>
          <w:sz w:val="16"/>
          <w:szCs w:val="16"/>
        </w:rPr>
        <w:softHyphen/>
        <w:t>править положение.</w:t>
      </w:r>
    </w:p>
    <w:p w14:paraId="6D72F7E8"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Вихман обвел всех внимательным взглядом и с не меньшим пафосом закончил свои рассуждения словами:</w:t>
      </w:r>
    </w:p>
    <w:p w14:paraId="6E9D5F90"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 общем, друзья мои, я уже вам говорил, что мы идем по пути проб и ошибок — самому горькому пути, так что не ждите легкой жизни.</w:t>
      </w:r>
    </w:p>
    <w:p w14:paraId="266800E3"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Яков Ефимович окажется пророком, изо дня в день почти полных 80 месяцев будут заниматься танковым дизелем конструкторы и инженеры ХПЗ, пока его 19 декабря 1939 года не примет государственная комиссия к серийному производству.</w:t>
      </w:r>
    </w:p>
    <w:p w14:paraId="7EF6DBC1"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пока БД-1 гудел. К мотору подошел военпред Федоров, постоял, на</w:t>
      </w:r>
      <w:r w:rsidRPr="0044524F">
        <w:rPr>
          <w:rFonts w:ascii="Times New Roman" w:hAnsi="Times New Roman"/>
          <w:color w:val="000000" w:themeColor="text1"/>
          <w:sz w:val="16"/>
          <w:szCs w:val="16"/>
        </w:rPr>
        <w:softHyphen/>
        <w:t>клонился к Челпану и что-то прокричал. Вихман, смеясь подставил ухо.</w:t>
      </w:r>
    </w:p>
    <w:p w14:paraId="5F596C67"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Когда же он сломается? — весело крикнул Федоров.</w:t>
      </w:r>
    </w:p>
    <w:p w14:paraId="04A09DD6"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Сломается, не беспокойтесь! — так же весело заорал в ответ Вихман.</w:t>
      </w:r>
    </w:p>
    <w:p w14:paraId="20D3DC3B"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Он уже не был новичком в своем деле, твердо знал, что поломки обяза</w:t>
      </w:r>
      <w:r w:rsidRPr="0044524F">
        <w:rPr>
          <w:rFonts w:ascii="Times New Roman" w:hAnsi="Times New Roman"/>
          <w:color w:val="000000" w:themeColor="text1"/>
          <w:sz w:val="16"/>
          <w:szCs w:val="16"/>
        </w:rPr>
        <w:softHyphen/>
        <w:t>тельно будут, и запасся терпением, упорством, по его выражению, «ульт</w:t>
      </w:r>
      <w:r w:rsidRPr="0044524F">
        <w:rPr>
          <w:rFonts w:ascii="Times New Roman" w:hAnsi="Times New Roman"/>
          <w:color w:val="000000" w:themeColor="text1"/>
          <w:sz w:val="16"/>
          <w:szCs w:val="16"/>
        </w:rPr>
        <w:softHyphen/>
        <w:t>раупорством» чтобы «доводить и доводить» мотор.</w:t>
      </w:r>
    </w:p>
    <w:p w14:paraId="7AB493D4"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Оставайтесь с нами до утра! — прокричал Челпан Федорову. — Тог</w:t>
      </w:r>
      <w:r w:rsidRPr="0044524F">
        <w:rPr>
          <w:rFonts w:ascii="Times New Roman" w:hAnsi="Times New Roman"/>
          <w:color w:val="000000" w:themeColor="text1"/>
          <w:sz w:val="16"/>
          <w:szCs w:val="16"/>
        </w:rPr>
        <w:softHyphen/>
        <w:t>да, может быть, дождетесь...</w:t>
      </w:r>
    </w:p>
    <w:p w14:paraId="7C982865"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Федоров отрицательно повел головой.</w:t>
      </w:r>
    </w:p>
    <w:p w14:paraId="7452989C"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Он так и не дождался поломки. Еще некоторое время он пробыл у мотора, потом попрощался со всеми и уехал.</w:t>
      </w:r>
    </w:p>
    <w:p w14:paraId="1FB5847F"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действительно сломался к утру, беспрерывно проработав мень</w:t>
      </w:r>
      <w:r w:rsidRPr="0044524F">
        <w:rPr>
          <w:rFonts w:ascii="Times New Roman" w:hAnsi="Times New Roman"/>
          <w:color w:val="000000" w:themeColor="text1"/>
          <w:sz w:val="16"/>
          <w:szCs w:val="16"/>
        </w:rPr>
        <w:softHyphen/>
        <w:t>ше суток. Это было 1 мая 1933 года (11504).</w:t>
      </w:r>
    </w:p>
    <w:p w14:paraId="11A8BE4D"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99525D"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БА-3 участвовал в параде на площади Урицкого (ны</w:t>
      </w:r>
      <w:r w:rsidRPr="0044524F">
        <w:rPr>
          <w:rFonts w:ascii="Times New Roman" w:hAnsi="Times New Roman"/>
          <w:color w:val="000000" w:themeColor="text1"/>
          <w:sz w:val="16"/>
          <w:szCs w:val="16"/>
        </w:rPr>
        <w:softHyphen/>
        <w:t>не Дворцовая) в Ленинграде.</w:t>
      </w:r>
    </w:p>
    <w:p w14:paraId="41F96AB7"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Корпус машины, сваренный из 4-8 мм листов незна</w:t>
      </w:r>
      <w:r w:rsidRPr="0044524F">
        <w:rPr>
          <w:rFonts w:ascii="Times New Roman" w:hAnsi="Times New Roman"/>
          <w:color w:val="000000" w:themeColor="text1"/>
          <w:sz w:val="16"/>
          <w:szCs w:val="16"/>
        </w:rPr>
        <w:softHyphen/>
        <w:t>чительно отличался от БАИ - была на 50 мм удлинена кор</w:t>
      </w:r>
      <w:r w:rsidRPr="0044524F">
        <w:rPr>
          <w:rFonts w:ascii="Times New Roman" w:hAnsi="Times New Roman"/>
          <w:color w:val="000000" w:themeColor="text1"/>
          <w:sz w:val="16"/>
          <w:szCs w:val="16"/>
        </w:rPr>
        <w:softHyphen/>
        <w:t>ма, в бортах моторного отделения появились окна (по од</w:t>
      </w:r>
      <w:r w:rsidRPr="0044524F">
        <w:rPr>
          <w:rFonts w:ascii="Times New Roman" w:hAnsi="Times New Roman"/>
          <w:color w:val="000000" w:themeColor="text1"/>
          <w:sz w:val="16"/>
          <w:szCs w:val="16"/>
        </w:rPr>
        <w:softHyphen/>
        <w:t>ному на сторону) для выброса воздуха. Откидные щитки в боковых дверях устанавливались на внутренних петлях (у БАИ на внешних) и в открытом положении удержива</w:t>
      </w:r>
      <w:r w:rsidRPr="0044524F">
        <w:rPr>
          <w:rFonts w:ascii="Times New Roman" w:hAnsi="Times New Roman"/>
          <w:color w:val="000000" w:themeColor="text1"/>
          <w:sz w:val="16"/>
          <w:szCs w:val="16"/>
        </w:rPr>
        <w:softHyphen/>
        <w:t>лись специальными защелками. Для наблюдения в бою в щитках имелись смотровые щели, закрываемые изнутри броневыми заслонками. Кроме того, на крыльях задних колес смонтировали специальное приспособление для ук</w:t>
      </w:r>
      <w:r w:rsidRPr="0044524F">
        <w:rPr>
          <w:rFonts w:ascii="Times New Roman" w:hAnsi="Times New Roman"/>
          <w:color w:val="000000" w:themeColor="text1"/>
          <w:sz w:val="16"/>
          <w:szCs w:val="16"/>
        </w:rPr>
        <w:softHyphen/>
        <w:t>ладки вездеходных цепей и укоротили подножки под боко</w:t>
      </w:r>
      <w:r w:rsidRPr="0044524F">
        <w:rPr>
          <w:rFonts w:ascii="Times New Roman" w:hAnsi="Times New Roman"/>
          <w:color w:val="000000" w:themeColor="text1"/>
          <w:sz w:val="16"/>
          <w:szCs w:val="16"/>
        </w:rPr>
        <w:softHyphen/>
        <w:t>выми дверями.</w:t>
      </w:r>
    </w:p>
    <w:p w14:paraId="187FB969"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Главным отличием БА-3 от БАИ была башня от танка Т-26, но с уменьшением толщины брони до 8 мм (на опыт</w:t>
      </w:r>
      <w:r w:rsidRPr="0044524F">
        <w:rPr>
          <w:rFonts w:ascii="Times New Roman" w:hAnsi="Times New Roman"/>
          <w:color w:val="000000" w:themeColor="text1"/>
          <w:sz w:val="16"/>
          <w:szCs w:val="16"/>
        </w:rPr>
        <w:softHyphen/>
        <w:t>ном образце, изготовленном из неброневой стали - 9 мм). Она крепилась болтами при помощи 6 захватов к нижнему погону и крыше корпуса. Поворотный механизм башни имел 2 передачи, позволяя ее вращать с разными скоростями. В крыше имелись два люка для посадки экипажа, люч</w:t>
      </w:r>
      <w:r w:rsidRPr="0044524F">
        <w:rPr>
          <w:rFonts w:ascii="Times New Roman" w:hAnsi="Times New Roman"/>
          <w:color w:val="000000" w:themeColor="text1"/>
          <w:sz w:val="16"/>
          <w:szCs w:val="16"/>
        </w:rPr>
        <w:softHyphen/>
        <w:t>ки для вытяжного вентилятора, флажковой сигнализации и прибора ПТК. Наблюдение за полем боя можно было ве</w:t>
      </w:r>
      <w:r w:rsidRPr="0044524F">
        <w:rPr>
          <w:rFonts w:ascii="Times New Roman" w:hAnsi="Times New Roman"/>
          <w:color w:val="000000" w:themeColor="text1"/>
          <w:sz w:val="16"/>
          <w:szCs w:val="16"/>
        </w:rPr>
        <w:softHyphen/>
        <w:t>сти через две смотровые щели со стеклами «Триплекс», рас</w:t>
      </w:r>
      <w:r w:rsidRPr="0044524F">
        <w:rPr>
          <w:rFonts w:ascii="Times New Roman" w:hAnsi="Times New Roman"/>
          <w:color w:val="000000" w:themeColor="text1"/>
          <w:sz w:val="16"/>
          <w:szCs w:val="16"/>
        </w:rPr>
        <w:softHyphen/>
        <w:t>положенные в бортах. Кроме того, имелось три отверстия для стрельбы из револьвера, закрывающиеся броневыми за</w:t>
      </w:r>
      <w:r w:rsidRPr="0044524F">
        <w:rPr>
          <w:rFonts w:ascii="Times New Roman" w:hAnsi="Times New Roman"/>
          <w:color w:val="000000" w:themeColor="text1"/>
          <w:sz w:val="16"/>
          <w:szCs w:val="16"/>
        </w:rPr>
        <w:softHyphen/>
        <w:t>слонками. Вооружение бронемашины состояло из 45-мм танковой пушки образца 1932 года (20К) и спаренного пу</w:t>
      </w:r>
      <w:r w:rsidRPr="0044524F">
        <w:rPr>
          <w:rFonts w:ascii="Times New Roman" w:hAnsi="Times New Roman"/>
          <w:color w:val="000000" w:themeColor="text1"/>
          <w:sz w:val="16"/>
          <w:szCs w:val="16"/>
        </w:rPr>
        <w:softHyphen/>
        <w:t>лемета ДТ в штатной башенной установке и еще одного ДТ в лобовом листе корпуса. Прицельные приспособления со</w:t>
      </w:r>
      <w:r w:rsidRPr="0044524F">
        <w:rPr>
          <w:rFonts w:ascii="Times New Roman" w:hAnsi="Times New Roman"/>
          <w:color w:val="000000" w:themeColor="text1"/>
          <w:sz w:val="16"/>
          <w:szCs w:val="16"/>
        </w:rPr>
        <w:softHyphen/>
        <w:t>стояли из телескопического прицела ТОП, кроме того пре</w:t>
      </w:r>
      <w:r w:rsidRPr="0044524F">
        <w:rPr>
          <w:rFonts w:ascii="Times New Roman" w:hAnsi="Times New Roman"/>
          <w:color w:val="000000" w:themeColor="text1"/>
          <w:sz w:val="16"/>
          <w:szCs w:val="16"/>
        </w:rPr>
        <w:softHyphen/>
        <w:t>дусматривалась и установка перископического ПТ-1 (прав</w:t>
      </w:r>
      <w:r w:rsidRPr="0044524F">
        <w:rPr>
          <w:rFonts w:ascii="Times New Roman" w:hAnsi="Times New Roman"/>
          <w:color w:val="000000" w:themeColor="text1"/>
          <w:sz w:val="16"/>
          <w:szCs w:val="16"/>
        </w:rPr>
        <w:softHyphen/>
        <w:t>да, на БА-3 их так и не установили). В корме башни имелся люк для демонтажа пушки при ремонте.</w:t>
      </w:r>
    </w:p>
    <w:p w14:paraId="76F8BD32"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пушке имелось 60 снарядов, из них 52 находились в башне (2 укладки по 20 штук в кормовой нише и 12 по бор</w:t>
      </w:r>
      <w:r w:rsidRPr="0044524F">
        <w:rPr>
          <w:rFonts w:ascii="Times New Roman" w:hAnsi="Times New Roman"/>
          <w:color w:val="000000" w:themeColor="text1"/>
          <w:sz w:val="16"/>
          <w:szCs w:val="16"/>
        </w:rPr>
        <w:softHyphen/>
        <w:t>там) и две стойки по 4 снаряда в корпусе. 54 магазина к пу</w:t>
      </w:r>
      <w:r w:rsidRPr="0044524F">
        <w:rPr>
          <w:rFonts w:ascii="Times New Roman" w:hAnsi="Times New Roman"/>
          <w:color w:val="000000" w:themeColor="text1"/>
          <w:sz w:val="16"/>
          <w:szCs w:val="16"/>
        </w:rPr>
        <w:softHyphen/>
        <w:t>леметам (3402 патрона) размещались в башне справа (6 штук) и в 48 стеллажах на бортах корпуса. Здесь же специ</w:t>
      </w:r>
      <w:r w:rsidRPr="0044524F">
        <w:rPr>
          <w:rFonts w:ascii="Times New Roman" w:hAnsi="Times New Roman"/>
          <w:color w:val="000000" w:themeColor="text1"/>
          <w:sz w:val="16"/>
          <w:szCs w:val="16"/>
        </w:rPr>
        <w:softHyphen/>
        <w:t>альными зажимами крепились лопата, топор, лом и двуруч</w:t>
      </w:r>
      <w:r w:rsidRPr="0044524F">
        <w:rPr>
          <w:rFonts w:ascii="Times New Roman" w:hAnsi="Times New Roman"/>
          <w:color w:val="000000" w:themeColor="text1"/>
          <w:sz w:val="16"/>
          <w:szCs w:val="16"/>
        </w:rPr>
        <w:softHyphen/>
        <w:t>ная пила. Кроме того, в полу боевого отделения имелся ин</w:t>
      </w:r>
      <w:r w:rsidRPr="0044524F">
        <w:rPr>
          <w:rFonts w:ascii="Times New Roman" w:hAnsi="Times New Roman"/>
          <w:color w:val="000000" w:themeColor="text1"/>
          <w:sz w:val="16"/>
          <w:szCs w:val="16"/>
        </w:rPr>
        <w:softHyphen/>
        <w:t>струментальный ящик и ящик ЗИП к пушке и пулеметам.</w:t>
      </w:r>
    </w:p>
    <w:p w14:paraId="3F7F0F04"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Боевая масса БА-3 с экипажем из 4 человек составляла 5820 кг, 40-сильный двигатель «Форд» позволял броневику разгоняться до 60 км/ч на прямой передаче и до 70 км/ч с демультипликатором на пониженной (11284).</w:t>
      </w:r>
    </w:p>
    <w:p w14:paraId="086FDD01"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7E2CF4"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года БАД-2 вместе с БАД-1 показали во время военного парада на площади Урицкого (ныне Дворцовая) в Ленинграде, после чего на гла</w:t>
      </w:r>
      <w:r w:rsidRPr="0044524F">
        <w:rPr>
          <w:rFonts w:ascii="Times New Roman" w:hAnsi="Times New Roman"/>
          <w:color w:val="000000" w:themeColor="text1"/>
          <w:sz w:val="16"/>
          <w:szCs w:val="16"/>
        </w:rPr>
        <w:softHyphen/>
        <w:t>зах советских и иностранных военных броневик переплыл Неву. Дальнейшая судьба машины неизвестна, но, по неко</w:t>
      </w:r>
      <w:r w:rsidRPr="0044524F">
        <w:rPr>
          <w:rFonts w:ascii="Times New Roman" w:hAnsi="Times New Roman"/>
          <w:color w:val="000000" w:themeColor="text1"/>
          <w:sz w:val="16"/>
          <w:szCs w:val="16"/>
        </w:rPr>
        <w:softHyphen/>
        <w:t>торым данным, осенью того же года она была разобрана (11284).</w:t>
      </w:r>
    </w:p>
    <w:p w14:paraId="718F7251"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2179E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на опытном мотозаводе им. Автодора в Ижевске собрали первые 4 тяжелых мотоцикла НАТИ-А-750 и потом передали Подольскому заводу, где выпускали в 1933-1938 (3398,167).</w:t>
      </w:r>
    </w:p>
    <w:p w14:paraId="4A4F2D2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5A84D40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1933г. газета "Ижевская правда" сообщила своим читателям о пуске в канун первомайских праздников механического цеха "первого в СССР мотозавода" и изготовлении двух опытных мотоциклов. 1 июля 1933г. предприятие вошло в систему Наркомата тяжелой промышленности СССР, получив статус завода всесоюзного значения (11397).</w:t>
      </w:r>
    </w:p>
    <w:p w14:paraId="34C7626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60177417" w14:textId="77777777" w:rsidR="00235986" w:rsidRPr="0044524F" w:rsidRDefault="00235986"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1933 года на ОМЗ собрали первые четыре мотоцикла НАТИ-А-750, которые, по заведенной традиции, отправили в испытательный пробег по маршруту Ижевск — Нижний Новгород — Москва. Вместе с ними шли американский мотоцикл «Харлей-Давидсон» последней модели, немецкий БМВ-Р-16 и мотоцикл ижевской конструкции ИЖ-7, также собранный, на ОМЗ (об этой машине мы расскажем в следующем выпуске «Исторической серии»).</w:t>
      </w:r>
    </w:p>
    <w:p w14:paraId="7ECD92A8" w14:textId="77777777" w:rsidR="00235986" w:rsidRPr="0044524F" w:rsidRDefault="00235986"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столице участников пробега торжественно встречали председатель Центрального совета Автодора С. С. Каменев, представители общественности, мотоциклисты спортивного общества «Динамо» и .московского автомотоклуба.</w:t>
      </w:r>
    </w:p>
    <w:p w14:paraId="2F804459" w14:textId="77777777" w:rsidR="00235986" w:rsidRPr="0044524F" w:rsidRDefault="00235986"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Потом НАТИ-А-750 испытывали в различных дорожных условиях, зимой и летом под Москвой и Ленинградом. Машина произвела на водителей и специалистов очень хорошее впечатление. Особенно им понравилась система батарейного, с аккумулятором и генератором постоянного тока, зажигания.</w:t>
      </w:r>
    </w:p>
    <w:p w14:paraId="66CAD3FC" w14:textId="77777777" w:rsidR="00235986" w:rsidRPr="0044524F" w:rsidRDefault="00235986"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Итак, мотоциклы успешно выдержали суровую проверку. А вот инженеры не успели подготовить необходимую для их серийного выпуска документацию. Поэтому производственники, не теряя времени даром, поспешили загрузить мощности ОМЗ массовым изготовлением полностью подготовленного к серийному выпуску ИЖ-7.</w:t>
      </w:r>
    </w:p>
    <w:p w14:paraId="0E335998" w14:textId="77777777" w:rsidR="00235986" w:rsidRPr="0044524F" w:rsidRDefault="00235986"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Тогда Наркомат тяжелой промышленности принял решение передать всю документацию на НАТИ-А-750 Подольскому механическому заводу (ПМЗ), в цехах которого уже в марте 1934 года начали делать первую детсятку тяжелых мотоциклов. В июле девять из них продемонстрировали наркому Серго Орджоникидзе. Узнав, что в следующем году работники подольского завода собираются изготовить 500 таких машин, он возразил:</w:t>
      </w:r>
    </w:p>
    <w:p w14:paraId="6300D709" w14:textId="77777777" w:rsidR="00235986" w:rsidRPr="0044524F" w:rsidRDefault="00235986"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«Таких мотоциклов необходимо выпустить не менее полутора тысяч!»</w:t>
      </w:r>
    </w:p>
    <w:p w14:paraId="324664AA" w14:textId="77777777" w:rsidR="00235986" w:rsidRPr="0044524F" w:rsidRDefault="00235986"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Вскоре НАТИ-А-750 стали производить и на другом заводе. Эти машины быстро завоевали популярность в стране, их охотно приобретали горожане и сельские жители, их применяли, например, для перевозки почты, использовали их и в Красной Армии. А выпускали ПМЗ-А-750 (такое обозначение получил тяжелый мотоцикл) до конца 1938 года.</w:t>
      </w:r>
    </w:p>
    <w:p w14:paraId="519092EA" w14:textId="77777777" w:rsidR="00235986" w:rsidRPr="0044524F" w:rsidRDefault="00235986"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Сейчас сохранилось лишь с десяток таких машин, одну из них можно увидеть в московском Политехническом музее (11396).</w:t>
      </w:r>
    </w:p>
    <w:p w14:paraId="32610DF3" w14:textId="77777777" w:rsidR="00235986" w:rsidRPr="0044524F" w:rsidRDefault="00235986"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5060EF2E"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1933 г. в Ижевске на заводе Автодора удалось сделать лишь четыре мотоцикла НАТИ-А-750, из 10 запланированных, с коляской -только две машины, и один ИЖ-7 [4.66]. Обно</w:t>
      </w:r>
      <w:r w:rsidRPr="0044524F">
        <w:rPr>
          <w:rFonts w:ascii="Times New Roman" w:hAnsi="Times New Roman"/>
          <w:color w:val="000000" w:themeColor="text1"/>
          <w:sz w:val="16"/>
          <w:szCs w:val="16"/>
        </w:rPr>
        <w:softHyphen/>
        <w:t>влённую модель Л-300 назвали ИЖ-7. По откорректированным чертежам изготавливали два экземпляра опытного мотоцикла. Этими работами тоже руководил П.В. Можаров. На ИжМЗ одно</w:t>
      </w:r>
      <w:r w:rsidRPr="0044524F">
        <w:rPr>
          <w:rFonts w:ascii="Times New Roman" w:hAnsi="Times New Roman"/>
          <w:color w:val="000000" w:themeColor="text1"/>
          <w:sz w:val="16"/>
          <w:szCs w:val="16"/>
        </w:rPr>
        <w:softHyphen/>
        <w:t>временно с изготовлением опытных мотоциклов и автомобилей продолжалось строительство нового корпуса завода и оснащение его станками, а также слесарным и другим оборудованием. Из-за того, что строительство запаздывало, суровой зимой 1932-1933 гг. приходилось работать в неотапливаемых помеще</w:t>
      </w:r>
      <w:r w:rsidRPr="0044524F">
        <w:rPr>
          <w:rFonts w:ascii="Times New Roman" w:hAnsi="Times New Roman"/>
          <w:color w:val="000000" w:themeColor="text1"/>
          <w:sz w:val="16"/>
          <w:szCs w:val="16"/>
        </w:rPr>
        <w:softHyphen/>
        <w:t>ниях, при недостаче материалов и комплектующих изделий, по ходу дела вносить изменения в чертежи и переделывать детали. Недоставало опытных инженеров и конструкторов. Сделанные мотоциклы производили на специалистов незначи</w:t>
      </w:r>
      <w:r w:rsidRPr="0044524F">
        <w:rPr>
          <w:rFonts w:ascii="Times New Roman" w:hAnsi="Times New Roman"/>
          <w:color w:val="000000" w:themeColor="text1"/>
          <w:sz w:val="16"/>
          <w:szCs w:val="16"/>
        </w:rPr>
        <w:softHyphen/>
        <w:t>тельное впечатление. Для достижения приемлемой динамики мо</w:t>
      </w:r>
      <w:r w:rsidRPr="0044524F">
        <w:rPr>
          <w:rFonts w:ascii="Times New Roman" w:hAnsi="Times New Roman"/>
          <w:color w:val="000000" w:themeColor="text1"/>
          <w:sz w:val="16"/>
          <w:szCs w:val="16"/>
        </w:rPr>
        <w:softHyphen/>
        <w:t>тоциклов с коляской и без неё требовались разные передаточные отношения в главной передаче. Так, на мотоцикле-одиночке его устанавливали 4,63, а с коляской - 5,23. Это достигалось установ</w:t>
      </w:r>
      <w:r w:rsidRPr="0044524F">
        <w:rPr>
          <w:rFonts w:ascii="Times New Roman" w:hAnsi="Times New Roman"/>
          <w:color w:val="000000" w:themeColor="text1"/>
          <w:sz w:val="16"/>
          <w:szCs w:val="16"/>
        </w:rPr>
        <w:softHyphen/>
        <w:t>кой ведущих звёздочек главной передачи с различным числом зубь</w:t>
      </w:r>
      <w:r w:rsidRPr="0044524F">
        <w:rPr>
          <w:rFonts w:ascii="Times New Roman" w:hAnsi="Times New Roman"/>
          <w:color w:val="000000" w:themeColor="text1"/>
          <w:sz w:val="16"/>
          <w:szCs w:val="16"/>
        </w:rPr>
        <w:softHyphen/>
        <w:t>ев. Для увеличения её долговечности цепь привода заднего колеса поместили в герметически закрытую масляную ванну. Подвеска пе</w:t>
      </w:r>
      <w:r w:rsidRPr="0044524F">
        <w:rPr>
          <w:rFonts w:ascii="Times New Roman" w:hAnsi="Times New Roman"/>
          <w:color w:val="000000" w:themeColor="text1"/>
          <w:sz w:val="16"/>
          <w:szCs w:val="16"/>
        </w:rPr>
        <w:softHyphen/>
        <w:t>реднего колеса обладала наименьшей из возможных вариантов не</w:t>
      </w:r>
      <w:r w:rsidRPr="0044524F">
        <w:rPr>
          <w:rFonts w:ascii="Times New Roman" w:hAnsi="Times New Roman"/>
          <w:color w:val="000000" w:themeColor="text1"/>
          <w:sz w:val="16"/>
          <w:szCs w:val="16"/>
        </w:rPr>
        <w:softHyphen/>
        <w:t>подрессоренной массой. Колесо коляски установили на рычажной подвеске с рессорой [4.67]. Всё это обеспечило приемлемый ком</w:t>
      </w:r>
      <w:r w:rsidRPr="0044524F">
        <w:rPr>
          <w:rFonts w:ascii="Times New Roman" w:hAnsi="Times New Roman"/>
          <w:color w:val="000000" w:themeColor="text1"/>
          <w:sz w:val="16"/>
          <w:szCs w:val="16"/>
        </w:rPr>
        <w:softHyphen/>
        <w:t>форт движения и хорошее «держание дороги» при движении (11429).</w:t>
      </w:r>
    </w:p>
    <w:p w14:paraId="31C491A0"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137FC4" w14:textId="77777777" w:rsidR="00024803" w:rsidRPr="0044524F" w:rsidRDefault="00024803"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 мая</w:t>
      </w:r>
      <w:r w:rsidRPr="0044524F">
        <w:rPr>
          <w:rFonts w:ascii="Times New Roman" w:hAnsi="Times New Roman"/>
          <w:color w:val="000000" w:themeColor="text1"/>
          <w:sz w:val="16"/>
          <w:szCs w:val="16"/>
        </w:rPr>
        <w:t xml:space="preserve"> в 1933 году был образован Ижевский мотозавод (ныне – ОАО «Ижевский мотозавод «Аксион-холдинг» Росавиакосмоса, Удмуртия) – одно из крупнейших АО по производству товаров народного потребления, медицинской техники и средств связи для космических аппаратов, один из лидеров в области приборостроения. Предприятие "Ижевский мотозавод" (ныне ОАО "Ижевский мотозавод "Аксион-холдинг") было основано в 1933 г. как опытно-экспериментальный завод для выпуска первых отечественных мотоциклов. С 1933 по 1941 г. на "Ижевском мотозаводе" были разработаны и запущены в серийное производство мотоциклы "ИЖ-7", "ИЖ-</w:t>
      </w:r>
      <w:r w:rsidRPr="0044524F">
        <w:rPr>
          <w:rFonts w:ascii="Times New Roman" w:hAnsi="Times New Roman"/>
          <w:color w:val="000000" w:themeColor="text1"/>
          <w:sz w:val="16"/>
          <w:szCs w:val="16"/>
        </w:rPr>
        <w:lastRenderedPageBreak/>
        <w:t>8", "ИЖ-9", "ИЖ-12". В годы Великой Отечественной войны производство мотоциклов было передано на другое предприятие, а перед "Ижевским мотозаводом" была поставлена задача наладить выпуск пулеметов "максим". После войны предприятие перешло к выпуску охотничьих ружей. В 1945 г. было выпущено двуствольное ружье "ИЖ-Б-36" с замком новой конструкции, в 1946 г. создана "Школа оружейного мастерства", разработаны новые образцы ружей: "ИЖ-Б-46", "ИЖ-Б-47", "ИЖ-Б-49". Последняя модель получила очень высокую оценку специалистов и была запущена в массовое производство. В 1948 г. именно на "Ижевском мотозаводе" под руководством еще совсем молодого конструктора старшего сержанта М.Т.Калашникова был разработан первый комплект конструкторской документации и выпущена опытная партия знаменитого «АК-47». В 1949 г. "Ижевский мотозавод" был перепрофилирован на выпуск сложных приборов для ракетной, а затем и космической техники. С этого времени предприятие "Ижевский мотозавод" неразрывно связано с историей освоения космического пространства. Здесь была изготовлена аппаратура связи и телеметрии для обеспечения полета первого искусственного спутника Земли и первого космонавта Юрия Гагарина, и в дальнейшем ни одна космическая программа не обходилась без участия предприятия. Среди крупнейших можно назвать программы "Восток", "Восход", "Венера", "Марс", "Салют", "Мир", "Союз", "Прогресс", "Фобос", "Вега", "Гермес", "Союз-Аполлон", "Интеркосмос", "Буран-Энергия". "Ижевский мотозавод" производил высокоточную аппаратуру связи и телеметрии для космических и военных целей, являясь одним из лидеров в этой области приборостроения. В 1994 г. на предприятии было проведено акционирование. Итогом его стало выделение основных производств в самостоятельные дочерние акционерные общества. Производством продукции специального назначения стало заниматься ОАО "Ижевский мотозавод", а предприятия, занятые в производстве гражданской продукции, в 1999 г. были объединены в ЗАО "Концерн "Аксион" (14878).</w:t>
      </w:r>
    </w:p>
    <w:p w14:paraId="50195779" w14:textId="77777777" w:rsidR="00024803" w:rsidRPr="0044524F" w:rsidRDefault="00024803" w:rsidP="009654CF">
      <w:pPr>
        <w:spacing w:after="0" w:line="240" w:lineRule="auto"/>
        <w:jc w:val="both"/>
        <w:rPr>
          <w:rFonts w:ascii="Times New Roman" w:hAnsi="Times New Roman"/>
          <w:color w:val="000000" w:themeColor="text1"/>
          <w:sz w:val="16"/>
          <w:szCs w:val="16"/>
        </w:rPr>
      </w:pPr>
    </w:p>
    <w:p w14:paraId="773D8B8E"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1933 г. на ИжМЗ изготовили пять мотоциклов. Это событие воспринимали как большое достижение и трудовую по</w:t>
      </w:r>
      <w:r w:rsidRPr="0044524F">
        <w:rPr>
          <w:rFonts w:ascii="Times New Roman" w:hAnsi="Times New Roman"/>
          <w:color w:val="000000" w:themeColor="text1"/>
          <w:sz w:val="16"/>
          <w:szCs w:val="16"/>
        </w:rPr>
        <w:softHyphen/>
        <w:t>беду. Другим важным успехом стал пуск в эксплуатацию механи</w:t>
      </w:r>
      <w:r w:rsidRPr="0044524F">
        <w:rPr>
          <w:rFonts w:ascii="Times New Roman" w:hAnsi="Times New Roman"/>
          <w:color w:val="000000" w:themeColor="text1"/>
          <w:sz w:val="16"/>
          <w:szCs w:val="16"/>
        </w:rPr>
        <w:softHyphen/>
        <w:t>ческого цеха с 28-ю станками [4.110]. До этого производственные площади ИжМЗ размещались в тех же мастерских, где когда-то собирали ружья на фабрике Н.И. Берзина. И если героем созда</w:t>
      </w:r>
      <w:r w:rsidRPr="0044524F">
        <w:rPr>
          <w:rFonts w:ascii="Times New Roman" w:hAnsi="Times New Roman"/>
          <w:color w:val="000000" w:themeColor="text1"/>
          <w:sz w:val="16"/>
          <w:szCs w:val="16"/>
        </w:rPr>
        <w:softHyphen/>
        <w:t>ния мотоциклов НАТИ-А-750 и ИЖ-7 считали П.В. Можарова, то создателем цеха - директора завода И.И. Чекмарёва. В этом цехе начали изготавливать первые мотоциклы ИЖ-7, которых к концу 1933 г. сделали 10 экземпляров [4.111], что не сочли нача</w:t>
      </w:r>
      <w:r w:rsidRPr="0044524F">
        <w:rPr>
          <w:rFonts w:ascii="Times New Roman" w:hAnsi="Times New Roman"/>
          <w:color w:val="000000" w:themeColor="text1"/>
          <w:sz w:val="16"/>
          <w:szCs w:val="16"/>
        </w:rPr>
        <w:softHyphen/>
        <w:t>лом серийного производства этой продукции (11429).</w:t>
      </w:r>
    </w:p>
    <w:p w14:paraId="0F1FB52F"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AD7717" w14:textId="77777777" w:rsidR="007A024B" w:rsidRPr="0044524F" w:rsidRDefault="007A0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1933 в Ижев</w:t>
      </w:r>
      <w:r w:rsidRPr="0044524F">
        <w:rPr>
          <w:rFonts w:ascii="Times New Roman" w:hAnsi="Times New Roman"/>
          <w:color w:val="000000" w:themeColor="text1"/>
          <w:sz w:val="16"/>
          <w:szCs w:val="16"/>
        </w:rPr>
        <w:softHyphen/>
        <w:t>ске изготовлено пять первых мотоциклов НАТИ-А-750, создан</w:t>
      </w:r>
      <w:r w:rsidRPr="0044524F">
        <w:rPr>
          <w:rFonts w:ascii="Times New Roman" w:hAnsi="Times New Roman"/>
          <w:color w:val="000000" w:themeColor="text1"/>
          <w:sz w:val="16"/>
          <w:szCs w:val="16"/>
        </w:rPr>
        <w:softHyphen/>
        <w:t>ных под руководством инженера П.В. Можарова, из них два с коляской. Это были тяжёлые мотоциклы со штампованной сварной рамой, имеющие 2-цилинд</w:t>
      </w:r>
      <w:r w:rsidRPr="0044524F">
        <w:rPr>
          <w:rFonts w:ascii="Times New Roman" w:hAnsi="Times New Roman"/>
          <w:color w:val="000000" w:themeColor="text1"/>
          <w:sz w:val="16"/>
          <w:szCs w:val="16"/>
        </w:rPr>
        <w:softHyphen/>
        <w:t>ровый V-образный 4-тактный двигатель рабочим объемом 750 см3, параллелограммную переднюю вилку, подрессоренное анатомическое седло (по тер</w:t>
      </w:r>
      <w:r w:rsidRPr="0044524F">
        <w:rPr>
          <w:rFonts w:ascii="Times New Roman" w:hAnsi="Times New Roman"/>
          <w:color w:val="000000" w:themeColor="text1"/>
          <w:sz w:val="16"/>
          <w:szCs w:val="16"/>
        </w:rPr>
        <w:softHyphen/>
        <w:t>минологии тех лет - кавалерийское) и цепной привод заднего колеса, помещённый в герметичный кожух (22518).</w:t>
      </w:r>
    </w:p>
    <w:p w14:paraId="29BE9C2D" w14:textId="77777777" w:rsidR="007A024B" w:rsidRPr="0044524F" w:rsidRDefault="007A024B" w:rsidP="009654CF">
      <w:pPr>
        <w:spacing w:after="0" w:line="240" w:lineRule="auto"/>
        <w:jc w:val="both"/>
        <w:rPr>
          <w:rFonts w:ascii="Times New Roman" w:hAnsi="Times New Roman"/>
          <w:color w:val="000000" w:themeColor="text1"/>
          <w:sz w:val="16"/>
          <w:szCs w:val="16"/>
        </w:rPr>
      </w:pPr>
    </w:p>
    <w:p w14:paraId="4E768372" w14:textId="77777777" w:rsidR="004876B8" w:rsidRPr="0044524F" w:rsidRDefault="004876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1 мая 1933 г. при наличии в войсках 6951 радиостанции обеспеченность войск этими средствами составляла всего 33%3.</w:t>
      </w:r>
    </w:p>
    <w:p w14:paraId="339D8F2C" w14:textId="77777777" w:rsidR="004876B8" w:rsidRPr="0044524F" w:rsidRDefault="004876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Главным негативным итогом первой пятилетки для электрослаботочной промышленности стало несоответствие темпов развертывания ее производства и капитальных затрат на развитие, необеспеченность принятых темпов соответствующим материально-техническим снабжением. Уже в начале пятилетки рост производства в отрасли составил 487%, при том, что аналогичный показатель в целом для машиностроения равнялся 355%, а, например, для производства метизов – 244%. Между тем капитальные вложения в машиностроение оценивались в сумме 900 млн. руб., в производство метиз 105 млн. руб., а в электропромышленность не превышали 165 млн. руб. Несмотря на большой рост выпускаемой продукции (с 64 млн. руб. в 1928/1929 г. до 297 млн. руб. в 1932 г. в ценах 1926/27 г.) электропромышленность не смогла в достаточной мере удовлетворить спрос на средства связи ни народного хозяйства, ни силовых ведомств. Общая потребность в изделиях слабого тока к началу второй пятилетки определялась ориентировочно в 1300 млн. руб., между тем как производственные возможности заводов всего в 500 млн. руб. (18297).</w:t>
      </w:r>
    </w:p>
    <w:p w14:paraId="3E8A4DE5" w14:textId="77777777" w:rsidR="004876B8" w:rsidRPr="0044524F" w:rsidRDefault="004876B8" w:rsidP="009654CF">
      <w:pPr>
        <w:spacing w:after="0" w:line="240" w:lineRule="auto"/>
        <w:jc w:val="both"/>
        <w:rPr>
          <w:rFonts w:ascii="Times New Roman" w:hAnsi="Times New Roman"/>
          <w:color w:val="000000" w:themeColor="text1"/>
          <w:sz w:val="16"/>
          <w:szCs w:val="16"/>
        </w:rPr>
      </w:pPr>
    </w:p>
    <w:p w14:paraId="5ADB2BE6" w14:textId="77777777" w:rsidR="004876B8" w:rsidRPr="0044524F" w:rsidRDefault="004876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мая 1933 г. при на</w:t>
      </w:r>
      <w:r w:rsidRPr="0044524F">
        <w:rPr>
          <w:rFonts w:ascii="Times New Roman" w:hAnsi="Times New Roman"/>
          <w:color w:val="000000" w:themeColor="text1"/>
          <w:sz w:val="16"/>
          <w:szCs w:val="16"/>
        </w:rPr>
        <w:softHyphen/>
        <w:t>личии в войсках 6951 радиостанции обеспеченность войск этими средствами со</w:t>
      </w:r>
      <w:r w:rsidRPr="0044524F">
        <w:rPr>
          <w:rFonts w:ascii="Times New Roman" w:hAnsi="Times New Roman"/>
          <w:color w:val="000000" w:themeColor="text1"/>
          <w:sz w:val="16"/>
          <w:szCs w:val="16"/>
        </w:rPr>
        <w:softHyphen/>
        <w:t>ставляла всего 33% (19098).</w:t>
      </w:r>
    </w:p>
    <w:p w14:paraId="252FEB00" w14:textId="77777777" w:rsidR="004876B8" w:rsidRPr="0044524F" w:rsidRDefault="004876B8" w:rsidP="009654CF">
      <w:pPr>
        <w:spacing w:after="0" w:line="240" w:lineRule="auto"/>
        <w:jc w:val="both"/>
        <w:rPr>
          <w:rFonts w:ascii="Times New Roman" w:hAnsi="Times New Roman"/>
          <w:color w:val="000000" w:themeColor="text1"/>
          <w:sz w:val="16"/>
          <w:szCs w:val="16"/>
        </w:rPr>
      </w:pPr>
    </w:p>
    <w:p w14:paraId="3A572DAD" w14:textId="77777777" w:rsidR="00235986"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3D80150C"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5B446F8"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ввели должность помошника командующего МСДВ по ВВС (1085,94).</w:t>
      </w:r>
    </w:p>
    <w:p w14:paraId="2013A197"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2C2ADD52" w14:textId="3B8E6E85"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г. ввели должность помощника командующего МСДВ по ВВС, на которую назначили комкора Л.И.Никифорова. Ему переда</w:t>
      </w:r>
      <w:r w:rsidRPr="0044524F">
        <w:rPr>
          <w:rFonts w:ascii="Times New Roman" w:hAnsi="Times New Roman"/>
          <w:color w:val="000000" w:themeColor="text1"/>
          <w:sz w:val="16"/>
          <w:szCs w:val="16"/>
        </w:rPr>
        <w:softHyphen/>
        <w:t>ли в подчинение все объединения и части ВВС МСДВ, а в октябре сфор</w:t>
      </w:r>
      <w:r w:rsidRPr="0044524F">
        <w:rPr>
          <w:rFonts w:ascii="Times New Roman" w:hAnsi="Times New Roman"/>
          <w:color w:val="000000" w:themeColor="text1"/>
          <w:sz w:val="16"/>
          <w:szCs w:val="16"/>
        </w:rPr>
        <w:softHyphen/>
        <w:t>мировали Управление и штаб ВВС МСДВ, которые в июне 1935 г. пе</w:t>
      </w:r>
      <w:r w:rsidRPr="0044524F">
        <w:rPr>
          <w:rFonts w:ascii="Times New Roman" w:hAnsi="Times New Roman"/>
          <w:color w:val="000000" w:themeColor="text1"/>
          <w:sz w:val="16"/>
          <w:szCs w:val="16"/>
        </w:rPr>
        <w:softHyphen/>
        <w:t>реименовали в Управление ВВС ТОФ (12084).</w:t>
      </w:r>
    </w:p>
    <w:p w14:paraId="037966DD"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636BD81E" w14:textId="77777777" w:rsidR="00DD4F9F" w:rsidRPr="0044524F" w:rsidRDefault="00DD4F9F"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По состоянию на 1 мая 1933 года в Красной Армии всего имелось 5729 танков и танкеток, из них Т-27 – 2430 шт., Т-37 – 50 шт., МС-1 (Т-18) – 950 шт., Т-26 – 1550 шт., БТ-2 и БТ-5 – 710 шт., Т-24 – 25 шт., Т-28 – 12 шт. и Т-35 – 2 шт. При этом 1897 танков и танкеток входило в состав механизированных соединений и частей – двух мехкорпусов, шести отдельных мехбригад, четырнадцати мехполков и семи мехдивизионов конницы; 849 танков и танкеток входило в состав танкового резерва Главного Командования (ТРГК), остальные танки и танкетки в качестве отдельных танковых и танкетных батальонов и рот были внедрены в общевойсковые соединения, в основном в стрелковые дивизии (17501). </w:t>
      </w:r>
    </w:p>
    <w:p w14:paraId="3B4EDAB4" w14:textId="77777777" w:rsidR="00DD4F9F" w:rsidRPr="0044524F" w:rsidRDefault="00DD4F9F" w:rsidP="009654CF">
      <w:pPr>
        <w:spacing w:after="0" w:line="240" w:lineRule="auto"/>
        <w:jc w:val="both"/>
        <w:rPr>
          <w:rFonts w:ascii="Times New Roman" w:eastAsia="Times New Roman" w:hAnsi="Times New Roman"/>
          <w:color w:val="000000" w:themeColor="text1"/>
          <w:sz w:val="16"/>
          <w:szCs w:val="16"/>
          <w:lang w:eastAsia="ru-RU"/>
        </w:rPr>
      </w:pPr>
    </w:p>
    <w:p w14:paraId="659A3F00" w14:textId="77777777" w:rsidR="007A024B" w:rsidRPr="0044524F" w:rsidRDefault="007A024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 1 мая (1933) ряд войсковых частей... к отмобилизованию не готов, главным образом вследствие материальной необеспеченности" – утверждал Начальник Главного управления РККА. Поэтому он предлагал не задерживать переход на мобрасписание № 15, поскольку оно в лучшую сторону отличается от фактически несуществующего МР-11 (Доклад Начальника Главного Управления РККА Фельдмана Начальнику Штаба РККА Егорову "О проработке МР-33 г.", [ранее 13].05.1933 // Там же. Л. 188).</w:t>
      </w:r>
    </w:p>
    <w:p w14:paraId="696FE260" w14:textId="77777777" w:rsidR="007A024B" w:rsidRPr="0044524F" w:rsidRDefault="007A024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основных чертах повторилась ситуация 1931 г., когда необходимость перехода на расписание № 11 обосновывалась нежизненностью варианта № 10. Однако па этот раз руководство заранее не питало больших иллюзий в отношении способности вооруженных сил отмобилизоваться по последнему в первой пятилетке мобплану. Решения, принятые военным ведомством в июле 1932 г. и направленные на замедление наращивания масштабов Красной Армии мирного и военного времени, на приближение мобилизационного планирования к действительному состоянию экономики страны, оказались в лучшем случае паллиативом. Будучи основаны на ложных посылках относительно механизации армии и территориальной системы ее комплектования, они вместе с тем были чреваты полной разбалансировкой и дестабилизацией военного организма (22725).</w:t>
      </w:r>
    </w:p>
    <w:p w14:paraId="044C74FD" w14:textId="77777777" w:rsidR="007A024B" w:rsidRPr="0044524F" w:rsidRDefault="007A024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B29032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1 мая 1933 г. при на личии в войсках 6951 радиостанции обеспеченность войск этими средствами со ставляла всего 33%. Такое состояние дел в отрасли заставило высшие органы государственной власти СССР принять срочные меры к его исправлению. Для выполнения напряженной пятилетней программы целый ряд меро приятий был проведен в самом Главэспроме. В целях скорейшего освоения но вой техники, объем которой возрастал из года в год, была проведена перестрой ка научно- исследовательской работы путем реорганизации центральных лабора торий с приданием им узкого профиля, отвечающего запросам заводов (ЦГАИПД СПб., ф. 24, оп. 13, д. 186, л. 9.). Благодаря развертыванию строительства новых предприятий в различных регионах страны к 1936 г. в структуре Главэспрома действовало уже 16 заводов, 3 центральные лаборатории, несколько институтов, контор и строительных орга низаций. При этом Ленинград продолжал оставаться крупнейшим промышлен ным и научно-исследовательским центром, где располагались 7 заводов, 2 цен тральные лаборатории и выпускалось более 62% всей валовой продукции элек трослаботочной отрасли (ЦГАИПД СПб., ф. 24, оп. 13, д. 186, л. 17.) (11870).</w:t>
      </w:r>
    </w:p>
    <w:p w14:paraId="4F69FDB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3037A243"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158A81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2134C28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ко дню «международного пролетарского праздника» предполагалось досрочно освободить всех наказанных в дисциплинарном порядке на срок до 20 суток заключенных, «в/н» (вольнонаемных) и работников ВОХР. Однако в процессе редактирования соответствующего документа упоминание «в/н», ВОХР и гауптвахты для них было вычеркнуто: мини-амнистия коснулась лишь заключенных (7560).</w:t>
      </w:r>
    </w:p>
    <w:p w14:paraId="0017CF40"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2C7676AF"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7B3E666"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B9AC1D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НИИ ВВС посетили Вильгельм Пик - чл. Президиума и Секретариата ИККИ, ГК Красной армии Китая Джу Дэ, Секретарь ИККИ О.Куусинен и чл. Президиума ЦИК М.Г.Цхакая (172,51).</w:t>
      </w:r>
    </w:p>
    <w:p w14:paraId="6B0AB5A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14E6FCF8"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C8365F8"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7EBDDE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1933 была установлена телефонная связь между Англией и Индией (3481).</w:t>
      </w:r>
    </w:p>
    <w:p w14:paraId="0EAD5FE8"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2C45117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 мая 1933 были разгромлены независимые профсоюзы в Германии (3960, 172).</w:t>
      </w:r>
    </w:p>
    <w:p w14:paraId="70BBAEF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6B33FE10"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4A69ED4"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727FDF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мая 1933 закончились гос. испытания М-34Р (438,644), которые шли с апреля 1933 (2281,67).</w:t>
      </w:r>
    </w:p>
    <w:p w14:paraId="6446A320"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04ECFDE3" w14:textId="77777777" w:rsidR="00851A97" w:rsidRPr="0044524F" w:rsidRDefault="00851A9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мая в 1933 году закончились госиспытания мотора </w:t>
      </w:r>
      <w:hyperlink r:id="rId150" w:tgtFrame="_blank" w:history="1">
        <w:r w:rsidRPr="0044524F">
          <w:rPr>
            <w:rFonts w:ascii="Times New Roman" w:hAnsi="Times New Roman"/>
            <w:color w:val="000000" w:themeColor="text1"/>
            <w:sz w:val="16"/>
            <w:szCs w:val="16"/>
          </w:rPr>
          <w:t>«М-34Р» (редукторный).</w:t>
        </w:r>
      </w:hyperlink>
    </w:p>
    <w:p w14:paraId="12D4993A" w14:textId="77777777" w:rsidR="00851A97" w:rsidRPr="0044524F" w:rsidRDefault="00851A97" w:rsidP="009654CF">
      <w:pPr>
        <w:spacing w:after="0" w:line="240" w:lineRule="auto"/>
        <w:jc w:val="both"/>
        <w:rPr>
          <w:rFonts w:ascii="Times New Roman" w:hAnsi="Times New Roman"/>
          <w:color w:val="000000" w:themeColor="text1"/>
          <w:sz w:val="16"/>
          <w:szCs w:val="16"/>
        </w:rPr>
      </w:pPr>
    </w:p>
    <w:p w14:paraId="349A54EB" w14:textId="77777777" w:rsidR="00D90281" w:rsidRPr="0044524F" w:rsidRDefault="00D9028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мая 1933 г. прошел государственные испытания редукторный авиадвигатель М-34Р мощностью 850 л.с. конструктор двигателя – А.М.Микулин, конструктор редуктора - В.А.Доллежаль. Вскоре прошел испытания М-34РН мощностью 950 л.с. с редуктором Доллежаля и нагнетателем Данилевского. С постройкой двигателя М-34РН советская авиация нашла возможность выйти на международную арену и ставить там на мировом уровне международные рекорды.</w:t>
      </w:r>
    </w:p>
    <w:p w14:paraId="1FB88F25" w14:textId="77777777" w:rsidR="00D90281" w:rsidRPr="0044524F" w:rsidRDefault="00D9028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/"Техника воздушного флота", 1941 №₽ г/ (23370).</w:t>
      </w:r>
    </w:p>
    <w:p w14:paraId="065834C5" w14:textId="77777777" w:rsidR="00D90281" w:rsidRPr="0044524F" w:rsidRDefault="00D90281" w:rsidP="009654CF">
      <w:pPr>
        <w:spacing w:after="0" w:line="240" w:lineRule="auto"/>
        <w:jc w:val="both"/>
        <w:rPr>
          <w:rFonts w:ascii="Times New Roman" w:hAnsi="Times New Roman"/>
          <w:color w:val="000000" w:themeColor="text1"/>
          <w:sz w:val="16"/>
          <w:szCs w:val="16"/>
        </w:rPr>
      </w:pPr>
    </w:p>
    <w:p w14:paraId="0106FC8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мая 1933 - И.В.С. приезжал на ЦА. Первый раз видел В.П.Ч. Спрашивал о И-16 и об испытаниях. Пилотаж - понравился (74,87).</w:t>
      </w:r>
    </w:p>
    <w:p w14:paraId="04133C5D" w14:textId="3F79AD35"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672291F9"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мая 1933 г. Сталин приехал на Центральный аэродром в Москве, где сосредоточенные вокруг него опытные авиазаводы, в т.ч. и №39 представили свои новые разработки. В вопросах, которые он задавал, основное место заняли скоростные истребители и, в частности, проект ЦКБ-12 (24115).</w:t>
      </w:r>
    </w:p>
    <w:p w14:paraId="3446DB7E" w14:textId="77777777" w:rsidR="00307FF7" w:rsidRPr="0044524F" w:rsidRDefault="00307FF7" w:rsidP="009654CF">
      <w:pPr>
        <w:spacing w:after="0" w:line="240" w:lineRule="auto"/>
        <w:jc w:val="both"/>
        <w:rPr>
          <w:rFonts w:ascii="Times New Roman" w:hAnsi="Times New Roman"/>
          <w:color w:val="000000" w:themeColor="text1"/>
          <w:sz w:val="16"/>
          <w:szCs w:val="16"/>
        </w:rPr>
      </w:pPr>
    </w:p>
    <w:p w14:paraId="39F68E11" w14:textId="76444EF4" w:rsidR="007A024B" w:rsidRPr="0044524F" w:rsidRDefault="007A024B"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30AB7FDD" w14:textId="77777777" w:rsidR="007A024B" w:rsidRPr="0044524F" w:rsidRDefault="007A024B"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40F30760" w14:textId="77777777" w:rsidR="007A024B" w:rsidRPr="0044524F" w:rsidRDefault="007A024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 мая 1933 в выступлении перед участниками первомайского парада 1933 г. Сталин совместил свое рассуждение двухлетней давности об извечной военной отсталости России с утверждением, что "новая власть, власть Советов, организовала и технически перевооружила свою армию - страну". Оптимизм Генерального секретаря подразумевал ненужность выделения новых значительных ресурсов на военные приготовления.</w:t>
      </w:r>
    </w:p>
    <w:p w14:paraId="466ED4FA" w14:textId="77777777" w:rsidR="007A024B" w:rsidRPr="0044524F" w:rsidRDefault="007A024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Сталин поспешил заверить: "Я знаю, что у нас еще много трудностей, я знаю, что мы их преодолеваем, эти трудности, я знаю, что не все гладко и сейчас мы сделали так, чтобы нас никто не бил, никто не посмел бы бить, и мы сделаем так, чтобы этот год был последним годом, чтобы кое-кто перестал брюзжать по этому поводу. Знайте, что большевики слов даром на ветер не бросают. Год пройдет, и мы изживем наши трудности, мы заживем весело, бодро" (Конспективная запись Р. П. Хмельницкого, 02.05.1933 // Застольные речи Сталина: Документы и материалы / Вступ. ст., сост., комм, прилож. В. А Невежина. М., 2003. С. 44-45). Что это означало, не знал, вероятно, и сам оратор (22725).</w:t>
      </w:r>
    </w:p>
    <w:p w14:paraId="24ED5243" w14:textId="77777777" w:rsidR="007A024B" w:rsidRPr="0044524F" w:rsidRDefault="007A024B" w:rsidP="009654CF">
      <w:pPr>
        <w:spacing w:after="0" w:line="240" w:lineRule="auto"/>
        <w:jc w:val="both"/>
        <w:rPr>
          <w:rFonts w:ascii="Times New Roman" w:hAnsi="Times New Roman"/>
          <w:color w:val="000000" w:themeColor="text1"/>
          <w:sz w:val="16"/>
          <w:szCs w:val="16"/>
        </w:rPr>
      </w:pPr>
    </w:p>
    <w:p w14:paraId="70FF636C"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0960EF2"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7C812E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мая 1933 были разгромлены независимые союзы в Германии (2443,407).</w:t>
      </w:r>
    </w:p>
    <w:p w14:paraId="018B3D6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55C0804C" w14:textId="77777777" w:rsidR="00235986" w:rsidRPr="0044524F" w:rsidRDefault="002359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мая 1933 в Германии запрещены независимые профсоюзы (4962).</w:t>
      </w:r>
    </w:p>
    <w:p w14:paraId="5506CD8F" w14:textId="77777777" w:rsidR="00235986" w:rsidRPr="0044524F" w:rsidRDefault="002359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08C61D" w14:textId="77777777" w:rsidR="00851A97" w:rsidRPr="0044524F" w:rsidRDefault="00851A9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мая в 1933 году в Германии запрещается деятельность всех профсоюзов. Их руководство арестовывается. Образуется Германский трудовой фронт (14879).</w:t>
      </w:r>
    </w:p>
    <w:p w14:paraId="48A4EDDF" w14:textId="77777777" w:rsidR="00851A97" w:rsidRPr="0044524F" w:rsidRDefault="00851A97" w:rsidP="009654CF">
      <w:pPr>
        <w:spacing w:after="0" w:line="240" w:lineRule="auto"/>
        <w:jc w:val="both"/>
        <w:rPr>
          <w:rFonts w:ascii="Times New Roman" w:hAnsi="Times New Roman"/>
          <w:color w:val="000000" w:themeColor="text1"/>
          <w:sz w:val="16"/>
          <w:szCs w:val="16"/>
        </w:rPr>
      </w:pPr>
    </w:p>
    <w:p w14:paraId="7A466BB6" w14:textId="77777777" w:rsidR="007937A6" w:rsidRPr="0044524F" w:rsidRDefault="007937A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мая 1933 центры профсоюзов были закрыты, профсоюзные фонды конфискованы, сами профсоюзы запрещены, а их руководители арестованы. Многих избили и бросили в концентрационные лагеря. Теодор Лейпарт и Петер Грассман, председатели Всеобщего немецкого объединения профсоюзов, открыто заявили о согласии сотрудничать с нацистским режимом. Но их все равно арестовали. "Пусть все эти лейпарты и грассманы лицемерно болтают, сколько им влезет, о своей преданности фюреру, - заявил нацистский лидер из Кельна, алкоголик д-р Роберт Лей, которому Гитлер поручил разогнать профсоюзы и учредить "Немецкий трудовой фронт", - а все же лучше, если они сядут в тюрьму". Там они и оказались (17283).</w:t>
      </w:r>
    </w:p>
    <w:p w14:paraId="7A9F1967" w14:textId="77777777" w:rsidR="007937A6" w:rsidRPr="0044524F" w:rsidRDefault="007937A6" w:rsidP="009654CF">
      <w:pPr>
        <w:autoSpaceDE w:val="0"/>
        <w:autoSpaceDN w:val="0"/>
        <w:adjustRightInd w:val="0"/>
        <w:spacing w:after="0" w:line="240" w:lineRule="auto"/>
        <w:jc w:val="both"/>
        <w:rPr>
          <w:rFonts w:ascii="Times New Roman" w:hAnsi="Times New Roman"/>
          <w:color w:val="000000" w:themeColor="text1"/>
          <w:sz w:val="16"/>
          <w:szCs w:val="16"/>
        </w:rPr>
      </w:pPr>
    </w:p>
    <w:p w14:paraId="449E8106" w14:textId="77777777" w:rsidR="004876B8" w:rsidRPr="0044524F" w:rsidRDefault="004876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мая 1933 года, на следующий день после Дня национального труда, помещения профсоюзов были захвачены, имущество конфисковано, а ведущие деятели арестованы. 10 мая был образован Германский трудовой фронт (ДАФ) под руководством Роберта Лея, в дальнейшем осуществляющий формальное посредничество между рабочими и предприятиями. Закон «О порядке национальной работы» от 20 января 1934 года ввел новые понятия: отныне работодатель именовался руководителем производства («Betriebsf?hrer»), а наемные работники — свитой («Gefolgschaft»). ДАФ по возможности жестко проводил линию по повышению производительности труда и приобщению «свиты» к господствующей идеологии. Часто используемым инструментом пропаганды было объединение «Сила через радость», занимавшееся вопросами организации и контроля досуга населения. С 1936 года произошли изменения в порядке трудоустройства, а также было введено понятие исправительных работ. С целью большей управляемости рабочими были введены трудовые книжки, в связи с чем при смене места работы ограничивались возможности карьерного роста (18291).</w:t>
      </w:r>
    </w:p>
    <w:p w14:paraId="0FC89FB8" w14:textId="77777777" w:rsidR="004876B8" w:rsidRPr="0044524F" w:rsidRDefault="004876B8" w:rsidP="009654CF">
      <w:pPr>
        <w:spacing w:after="0" w:line="240" w:lineRule="auto"/>
        <w:jc w:val="both"/>
        <w:rPr>
          <w:rFonts w:ascii="Times New Roman" w:hAnsi="Times New Roman"/>
          <w:color w:val="000000" w:themeColor="text1"/>
          <w:sz w:val="16"/>
          <w:szCs w:val="16"/>
        </w:rPr>
      </w:pPr>
    </w:p>
    <w:p w14:paraId="1EA415D6"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7E66ADE"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9E7BF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 мая 1933 состоялось заседание комиссии ЦАГИ по вопросу облегчения ТБ-3 (АНТ-6) М-17 и В.М.П. поручили выяснить экономию веса за счет окраски в один слой вместо двух (1077,127).</w:t>
      </w:r>
    </w:p>
    <w:p w14:paraId="4407CC10"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7A2C675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мая 1933 Пом. Нач. ГУАП Алмазов писал письмо N 277/244с Нач. ЦКБ Завода 39 С.В.И. с просьбой в срочном порядке представить в ИНО ГУАП с копией НТОС спецификацию на приборы для высотного самолета и ТТ на них...(2304,10).</w:t>
      </w:r>
    </w:p>
    <w:p w14:paraId="1485532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59D45516"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1D11D3C"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5B646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мая 1933 г. на заводе «Водтрансприбор» (Ленинград) открылся цех по производству гидроакустической аппаратуры, но уже через год приняли решение о реконструкции завода с целью увеличения его мощностей в 2,5 раза, которая закончилась в 1939 г. (11079)</w:t>
      </w:r>
    </w:p>
    <w:p w14:paraId="6326D86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6449726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мая 1933 № 87 приказом Речсоюзверфи Гипроверфь была передана в состав Союзверфи на правах Московского отделе</w:t>
      </w:r>
      <w:r w:rsidRPr="0044524F">
        <w:rPr>
          <w:rFonts w:ascii="Times New Roman" w:hAnsi="Times New Roman"/>
          <w:color w:val="000000" w:themeColor="text1"/>
          <w:sz w:val="16"/>
          <w:szCs w:val="16"/>
        </w:rPr>
        <w:softHyphen/>
        <w:t>ния Проектверфи (3898).</w:t>
      </w:r>
    </w:p>
    <w:p w14:paraId="70B620E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1619D93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мая 1933 г. московская Гипроверфь, созданная в 1931, по приказу «Речсоюзверфи» № 87 была передана в состав «Союзверфи» на правах Московского отделения Проектверфи (11982).</w:t>
      </w:r>
    </w:p>
    <w:p w14:paraId="78AF314D" w14:textId="77777777" w:rsidR="00291347" w:rsidRPr="0044524F" w:rsidRDefault="00291347" w:rsidP="009654CF">
      <w:pPr>
        <w:spacing w:after="0" w:line="240" w:lineRule="auto"/>
        <w:jc w:val="both"/>
        <w:rPr>
          <w:rFonts w:ascii="Times New Roman" w:hAnsi="Times New Roman"/>
          <w:color w:val="000000" w:themeColor="text1"/>
          <w:sz w:val="16"/>
          <w:szCs w:val="16"/>
        </w:rPr>
      </w:pPr>
    </w:p>
    <w:p w14:paraId="74034FC1" w14:textId="77777777" w:rsidR="0029134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E1797D3" w14:textId="77777777" w:rsidR="00291347" w:rsidRPr="0044524F" w:rsidRDefault="0029134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A28451B" w14:textId="77777777" w:rsidR="00291347" w:rsidRPr="0044524F" w:rsidRDefault="0029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мая в 1933 году поднялся в воздух </w:t>
      </w:r>
      <w:hyperlink r:id="rId151" w:tgtFrame="_blank" w:history="1">
        <w:r w:rsidRPr="0044524F">
          <w:rPr>
            <w:rFonts w:ascii="Times New Roman" w:hAnsi="Times New Roman"/>
            <w:color w:val="000000" w:themeColor="text1"/>
            <w:sz w:val="16"/>
            <w:szCs w:val="16"/>
          </w:rPr>
          <w:t xml:space="preserve">«DoJ II f bos», </w:t>
        </w:r>
      </w:hyperlink>
      <w:r w:rsidRPr="0044524F">
        <w:rPr>
          <w:rFonts w:ascii="Times New Roman" w:hAnsi="Times New Roman"/>
          <w:color w:val="000000" w:themeColor="text1"/>
          <w:sz w:val="16"/>
          <w:szCs w:val="16"/>
        </w:rPr>
        <w:t>этот тип иногда еще называли "Валь-33". «DoJ II f bos», имел увеличенный до 27,2 м размах крыла, поддерживаемый дополнительными подкосами, редукторные моторы «BMW» VIU (750 л. с.) и полностью закрытую пилотскую кабину. Эти самолеты также строились в Манцеле. Запас горючего у них достигал 4720 л, что увеличило дальность полета до 3600 км - более чем в полтора раза по сравнению с «DoJII a Bos». А грузоподъемность возросла до 10 тонн (14880).</w:t>
      </w:r>
    </w:p>
    <w:p w14:paraId="65EFF346" w14:textId="77777777" w:rsidR="00291347" w:rsidRPr="0044524F" w:rsidRDefault="00291347" w:rsidP="009654CF">
      <w:pPr>
        <w:spacing w:after="0" w:line="240" w:lineRule="auto"/>
        <w:jc w:val="both"/>
        <w:rPr>
          <w:rFonts w:ascii="Times New Roman" w:hAnsi="Times New Roman"/>
          <w:color w:val="000000" w:themeColor="text1"/>
          <w:sz w:val="16"/>
          <w:szCs w:val="16"/>
        </w:rPr>
      </w:pPr>
    </w:p>
    <w:p w14:paraId="4154B5CC"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9CF2621"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AF6A3B8"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мая 1933 был подготовлен проект письма Зам. НКОП П.И.Б. Чл. Коллегии НК РКИ СССР и Нач. ВМИ В.В.Куйбышеву о проверке положения на заводе ХАЗ - потом было повторено 26 июня 1933, но так и не было отправлено (2305,91). В ответ на письмо N456/ма от 16 апреля 1933 (2305,81).</w:t>
      </w:r>
    </w:p>
    <w:p w14:paraId="72F39A9D"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26 июня 1933 Зам. НКТП П.И.Б. писал письмо Чл. Коллегии НК РКИ СССР, Нач. ВМИ В.В.Куйбышеву по вопросу реализации постановления ЦКК НК РКИ УССР N 15/11 от 16 марта 1933 по обследованию ХАЗ и реализации ряда мероприятий. Отмечал, что ГУАП начал эту работу еще до выхода постановления с тем, чтобы К.А.К. сосредоточился на К-7 во 2 кв. 1933, однако соглашался, что положение с опытным самолетостроением не совсем нормальная. Кроме К-5 нет ничего и прежде </w:t>
      </w:r>
      <w:r w:rsidRPr="0044524F">
        <w:rPr>
          <w:rFonts w:ascii="Times New Roman" w:hAnsi="Times New Roman"/>
          <w:color w:val="000000" w:themeColor="text1"/>
          <w:sz w:val="16"/>
          <w:szCs w:val="16"/>
        </w:rPr>
        <w:lastRenderedPageBreak/>
        <w:t>всего современного образца для запуска в производство в 1934. Единственная загрузка на 1934 - внедрение маломощного К-9. Текст почти не отличается от письма 4 мая 1933 - письмо так и не появилось (2305,93).</w:t>
      </w:r>
    </w:p>
    <w:p w14:paraId="067F71E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вх./№ 456Мс по вопросу постановления ЦКК НК РКИ УССР за № 15/11 от 16 марта 1933 г., связанное с обследованием ХАЗ с указанием ряда мероприятий, необходимых к проведению на ХАЗе с целью оздоровления его работы.</w:t>
      </w:r>
    </w:p>
    <w:p w14:paraId="6241379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своей стороны мною еще до обследования ХАЗа НК РКИ УССР в связи с невыполнением заводом программы как следствие несвоевременной подготовки производства со стороны директора завода и его помошников по техчасти, неоднократно высылались бригады ответственных технических работников для выяснения всех ненормальностей в работе завода и устранения их непосредственно на месте. - с целью производства соответствующего задела, каковой совершенно отсутствовал в начале 1-го квартала 1933 г. Мною изменена годовая разбивка сдачи самолетов с последующей загрузкой 3-го и 4-го кварталов и одновременно дать возможность т. Калинину сосредоточить все внимание на выпуске опытного с-та К-7 во втором квартале.</w:t>
      </w:r>
    </w:p>
    <w:p w14:paraId="7AFE1D5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Соответствующими Секторами ГУВА произведены:</w:t>
      </w:r>
    </w:p>
    <w:p w14:paraId="01B8F7D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расчеты квартальных норм на единицу изделия выпускаемой продукции заводом,</w:t>
      </w:r>
    </w:p>
    <w:p w14:paraId="3007B29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оказана техническая помощь по внедрению технорм, пересматриваемых заводом, согласно постановления НКТП от 13 февраля 1933,</w:t>
      </w:r>
    </w:p>
    <w:p w14:paraId="325C18E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годовая программа разбита на серии с целью выявления себестоимости с-тов,</w:t>
      </w:r>
    </w:p>
    <w:p w14:paraId="1233A3D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в пределах утвержденных мною годовых лимитов произведено сокращение излишней рабсилы и административно-технического состава в пределах задела.</w:t>
      </w:r>
    </w:p>
    <w:p w14:paraId="6222489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срыв подготовки производства моим распоряжением снят с работы техдиректор т. Петров, с объявлением ему выговора по заводу.</w:t>
      </w:r>
    </w:p>
    <w:p w14:paraId="5848045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целью укрепления технического аппарата завода по серийному производству произведен ряд перемещений техперсонала с целью укрепления слабых участков в работе завода.</w:t>
      </w:r>
    </w:p>
    <w:p w14:paraId="5DDACFD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Считая, что принятые мною меры по исжитию ряда нездоровых явлений в работе ХАЗа и считаясь с положением, в котором находится задел, надо отметить, что все эти мероприятия вывели задел из хронического прорывного состояния - результат выполнения программы за 5 мес. Текущего года.</w:t>
      </w:r>
    </w:p>
    <w:p w14:paraId="2E63AC2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же касается опытного самолетостроения, то положение на ХАЗе не совсем нормальное.</w:t>
      </w:r>
    </w:p>
    <w:p w14:paraId="40D0B148"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Калинин является не только директором з-да, но и ГК, а потому сам должен подготавливать для серийного пр-ва новые образцы, улучшающие год от года гражданское самолетостроение.</w:t>
      </w:r>
    </w:p>
    <w:p w14:paraId="212DF1D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тем, кроме как выпускаемого с-та К-5, ХАХом мы ничего не имеем современного с-та для подготовки производства по выпуску в 1934 г. Потребность же в более современных гражданских с-тах имеется большая.</w:t>
      </w:r>
    </w:p>
    <w:p w14:paraId="7AA2D6E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Единственная загрузка з-да на 1934 конструкциями ХАЗв, это внедрение маломощного с-та К-9, при условии форсирования выпуска со стороны т. Калинина эталона на линии производства и производство летных испытаний в воздухе.Только после этого можно будет говорить об образце типа каковой загрузит цеха завода.Срок и установки мною даны и все будет зависить от завода и от тех заказчиков, которые должны будут приняты на снабжение этот тип с-та.</w:t>
      </w:r>
    </w:p>
    <w:p w14:paraId="541A94E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дальнейшего существования завода ХАЗ, то он как был, так и остается опытно-серийным з-дом в системе ГУАП, причем серийная программа давалась и будет даваться в пределах существующей мощности и никакой больше реорганизации ХАЗа не предусматривается в 1933 г., за исключением тех необходимых мероприятий в пределах предусмотренных лимитов по капитальному строительству на 1933 г. (2305,93).</w:t>
      </w:r>
    </w:p>
    <w:p w14:paraId="1ACE9AD0"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0315E8F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мая 1933 года была подготовлена записка главы ОГПУ Г. Ягоды и начальника экономического управления ОГПУ Миронова.</w:t>
      </w:r>
    </w:p>
    <w:p w14:paraId="7A96350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документе говорится о том, что ОГПУ получило информацию о многих случаях сдачи промышленностью вооружений с "крупными дефектами". Дефекты были обнаружены в бомбардировщиках ТБ-3, которые производил авиазавод № 22 (Москва), с отклонениями сдавалось артвооружение, пулеметы, винтовки и ряд других видов военной продукции. Как пишут авторы, "при проверке танков Т-26 в механизмах танков и моторах были обнаружены посторонние предметы". По мнению чекистов, дефекты в советской технике приводят к созданию атмосферы недоверия к ней со стороны военнослужащих. </w:t>
      </w:r>
    </w:p>
    <w:p w14:paraId="6F7E02D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Каким же образом военная приемка допускала такие нарушения? По мнению работников компетентных органов, основных причин было две: отсутствие стимулирования работников военных предприятий военного наркомата (НКВМ) и заводов Наркомата тяжелой промышленности (НКТП), а также процветающая коррупционная система. Например, некоторые заводы платили регулярно военпредам взятки. Так, предприятие «Большевик» (Ленинград) на 32 тыс. рублей отремонтировало квартиру военпреду Петрухину. Военпред бесплатно снабжался дровами, зимней одеждой, деликатесами. Ему и другим сотрудникам военприемки завод выплачивал деньги за "сверхурочную работу". </w:t>
      </w:r>
    </w:p>
    <w:p w14:paraId="5040288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упоминавшемся выше авиазаводе № 22 работники военприемки взятки маскировали под "подарки к праздникам". Например, ко дню Октябрьской революции или 15-летию РККА. </w:t>
      </w:r>
    </w:p>
    <w:p w14:paraId="4860B4D0"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этих причин были и другие. К примеру, халтура. На Кировском заводе им. Ворошилова в Ленинграде моторы танков "проверяли на слух". При этом одновременно запускалось по 5-6 моторов, да еще посреди шума всего цеха. В итоге, понять какой мотор был дефектен, было невозможно. В армию же поступали часто моторы с отклонениями, тогда как некоторые хорошие моторы - браковались.</w:t>
      </w:r>
    </w:p>
    <w:p w14:paraId="4105789D"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Данные записки ОГПУ стали причиной расследования и создания правительственной спецкомиссии. Ее выводы были закреплены в постановлении Совета труда и обороны от 28.11. 1934 года "Об организации приемки военной продукции". Постановление запрещало, в частности, получение военпредами каких-либо денежных средств от предприятий и ужесточало требования к результатам их работы. Однако быстрых изменений за этим не последовало – предприятия продолжали гнать брак. И.В. Сталин в одном из писем главе НКТП С. Орджоникидзе (от 08.04.1936) требовал "зверски нажимать на…качество продукции". </w:t>
      </w:r>
    </w:p>
    <w:p w14:paraId="09F0EBD7"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Впрочем, помимо брака, между военными и военной промышленностью неурегулированной долгое время была еще одна тяжба. Она была связана с завышением предприятиями цен на свою продукцию. К примеру, было установлено, что Николаевские судостроительные заводы им. Марти и завод № 61 завышали цены на 1 малую подводную лодку на 500 – 700 тыс. рублей. Вплоть до начала дробления НКТП на ряд более мелких наркоматов, а также до вала репрессий в промышленности и армии в 1937-1938 годах, все эти проблемы были нерешенными. Несмотря на ряд постановлений СТО.</w:t>
      </w:r>
    </w:p>
    <w:p w14:paraId="7A94518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Существенно улучшить ситуацию удалось лишь с соблюдением норм секретности. В 1933 году проверки чекистов вскрыли факты передачи данных о суточном выпуске продукции, которые по городским телефонным сетям передавали сотрудники ряда авиазаводов, а также случаи выноса рабочих тетрадей и блокнотов с предприятий. Чистки во второй половине 30-х годов несколько снизили количество таких зафиксированных нарушений. </w:t>
      </w:r>
    </w:p>
    <w:p w14:paraId="27095BC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 РФ. Ф. 8418. Оп.8. Д.175. Л. 36 - 40 (11582).</w:t>
      </w:r>
    </w:p>
    <w:p w14:paraId="2D1294C5"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02209A2B" w14:textId="5C737513" w:rsidR="00493616" w:rsidRPr="0044524F" w:rsidRDefault="00493616" w:rsidP="00493616">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44524F">
        <w:rPr>
          <w:rFonts w:ascii="Times New Roman" w:hAnsi="Times New Roman"/>
          <w:i/>
          <w:iCs/>
          <w:color w:val="000000" w:themeColor="text1"/>
          <w:sz w:val="16"/>
          <w:szCs w:val="16"/>
        </w:rPr>
        <w:t>:</w:t>
      </w:r>
    </w:p>
    <w:p w14:paraId="37C71C58" w14:textId="77777777" w:rsidR="00493616" w:rsidRPr="0044524F" w:rsidRDefault="00493616" w:rsidP="00493616">
      <w:pPr>
        <w:autoSpaceDE w:val="0"/>
        <w:autoSpaceDN w:val="0"/>
        <w:adjustRightInd w:val="0"/>
        <w:spacing w:after="0" w:line="240" w:lineRule="auto"/>
        <w:jc w:val="both"/>
        <w:rPr>
          <w:rFonts w:ascii="Times New Roman" w:hAnsi="Times New Roman"/>
          <w:iCs/>
          <w:color w:val="000000" w:themeColor="text1"/>
          <w:sz w:val="16"/>
          <w:szCs w:val="16"/>
        </w:rPr>
      </w:pPr>
    </w:p>
    <w:p w14:paraId="531B7513"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мая 1933 г. в Липецке истребительная группа приступила к обучению летчи</w:t>
      </w:r>
      <w:r w:rsidRPr="00142305">
        <w:rPr>
          <w:rFonts w:ascii="Times New Roman" w:hAnsi="Times New Roman"/>
          <w:color w:val="0070C0"/>
          <w:sz w:val="16"/>
          <w:szCs w:val="16"/>
        </w:rPr>
        <w:softHyphen/>
        <w:t>ков. Пять инструкторов тренировали 15 юнгмеркеров, летавших прежде в Германии на двухместных самолетах. Износ техники и не</w:t>
      </w:r>
      <w:r w:rsidRPr="00142305">
        <w:rPr>
          <w:rFonts w:ascii="Times New Roman" w:hAnsi="Times New Roman"/>
          <w:color w:val="0070C0"/>
          <w:sz w:val="16"/>
          <w:szCs w:val="16"/>
        </w:rPr>
        <w:softHyphen/>
        <w:t>желание немцев, предчувствующих скорое закрытие авиашколы, беречь оставшиеся «Фоккеры» привели к большому числу аварий. «Обучение истрогруппы идет по прежнему, т. е. почти каждый день с происшествиями: или аварии, или мелкие поломки. Причем аварии чрезмерно грубые, как, например, грубая посадка до того, что ломается ось шасси; подвесят машину на высоте 10 метров, по</w:t>
      </w:r>
      <w:r w:rsidRPr="00142305">
        <w:rPr>
          <w:rFonts w:ascii="Times New Roman" w:hAnsi="Times New Roman"/>
          <w:color w:val="0070C0"/>
          <w:sz w:val="16"/>
          <w:szCs w:val="16"/>
        </w:rPr>
        <w:softHyphen/>
        <w:t>сле чего с большим «плюхом» ломают ее. Абсолютное невнимание к показаниям приборов в воздухе, отчего происходит ряд случаев горения моторов. ...Есть случаи, когда кое-кто из немцев (Фосс и Фелингер — техники, умеющие летать, но отставленные от полетов) демонстративно, в присутствии русского персонала, высказывают сожаление, если после грубой посадки кто-либо из молодых не раз</w:t>
      </w:r>
      <w:r w:rsidRPr="00142305">
        <w:rPr>
          <w:rFonts w:ascii="Times New Roman" w:hAnsi="Times New Roman"/>
          <w:color w:val="0070C0"/>
          <w:sz w:val="16"/>
          <w:szCs w:val="16"/>
        </w:rPr>
        <w:softHyphen/>
        <w:t>бил машину», — жаловался Томсон.</w:t>
      </w:r>
    </w:p>
    <w:p w14:paraId="5F672D98"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нехватки исправных самолетов программа 1933 г. не была выполнена полностью — во избежание дальнейших потерь решили отказаться от групповых полетов и уже 23 августа прекра</w:t>
      </w:r>
      <w:r w:rsidRPr="00142305">
        <w:rPr>
          <w:rFonts w:ascii="Times New Roman" w:hAnsi="Times New Roman"/>
          <w:color w:val="0070C0"/>
          <w:sz w:val="16"/>
          <w:szCs w:val="16"/>
        </w:rPr>
        <w:softHyphen/>
        <w:t>тили обучение (25025).</w:t>
      </w:r>
    </w:p>
    <w:p w14:paraId="144D1C4E" w14:textId="77777777" w:rsidR="00493616" w:rsidRPr="00142305" w:rsidRDefault="00493616" w:rsidP="00493616">
      <w:pPr>
        <w:spacing w:after="0" w:line="240" w:lineRule="auto"/>
        <w:jc w:val="both"/>
        <w:rPr>
          <w:rFonts w:ascii="Times New Roman" w:hAnsi="Times New Roman"/>
          <w:color w:val="0070C0"/>
          <w:sz w:val="16"/>
          <w:szCs w:val="16"/>
        </w:rPr>
      </w:pPr>
    </w:p>
    <w:p w14:paraId="3CE21B3D" w14:textId="77777777" w:rsidR="0029134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93BCC8D" w14:textId="77777777" w:rsidR="00291347" w:rsidRPr="0044524F" w:rsidRDefault="0029134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6230B73" w14:textId="77777777" w:rsidR="00291347" w:rsidRPr="0044524F" w:rsidRDefault="002913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мая в 1933 году впервые взлетел прототип новой американской многоцелевой амфибии - биплан </w:t>
      </w:r>
      <w:hyperlink r:id="rId152" w:tgtFrame="_blank" w:history="1">
        <w:r w:rsidRPr="0044524F">
          <w:rPr>
            <w:rFonts w:ascii="Times New Roman" w:hAnsi="Times New Roman"/>
            <w:color w:val="000000" w:themeColor="text1"/>
            <w:sz w:val="16"/>
            <w:szCs w:val="16"/>
          </w:rPr>
          <w:t xml:space="preserve">«XJF-1». </w:t>
        </w:r>
      </w:hyperlink>
      <w:r w:rsidRPr="0044524F">
        <w:rPr>
          <w:rFonts w:ascii="Times New Roman" w:hAnsi="Times New Roman"/>
          <w:color w:val="000000" w:themeColor="text1"/>
          <w:sz w:val="16"/>
          <w:szCs w:val="16"/>
        </w:rPr>
        <w:t>Машина имела цельнометаллический фюзеляж и поплавок, крыло с металлическим каркасом и полотняной обшивкой. Под узким капотом Тауненда размещался двигатель «Пратт-Уиттни» «R-1535-62» «Wasp» мощностью 650 л. с. При испытаниях обнаружилось, что в комбинации с поплавком самолет имеет довольно высокое положение центра тяжести - в сочетании с узкой колеей шасси это делало его весьма неустойчивым и создавало большие проблемы при рулежке, разбеге и посадке. Постепенное совершенствование конструкции уменьшило эти недостатки до приемлемого уровня. Вскоре авиация ВМС США заказала 27 машин под обозначением «JF-1», со значительно более мощным двигателем - двухрядной звездой «R-1830-62» «Twin Wasp» мощностью 950 л. с. Пространство между поплавком и фюзеляжем использовалось для размещения двух пассажиров, здесь же была установлена радиостанция и фотооборудование. В случае необходимости вместо двух пассажиров можно было взять носилки с раненым (14881).</w:t>
      </w:r>
    </w:p>
    <w:p w14:paraId="597B0687" w14:textId="77777777" w:rsidR="00291347" w:rsidRPr="0044524F" w:rsidRDefault="00291347" w:rsidP="009654CF">
      <w:pPr>
        <w:spacing w:after="0" w:line="240" w:lineRule="auto"/>
        <w:jc w:val="both"/>
        <w:rPr>
          <w:rFonts w:ascii="Times New Roman" w:hAnsi="Times New Roman"/>
          <w:color w:val="000000" w:themeColor="text1"/>
          <w:sz w:val="16"/>
          <w:szCs w:val="16"/>
        </w:rPr>
      </w:pPr>
    </w:p>
    <w:p w14:paraId="53C7531B" w14:textId="77777777" w:rsidR="004750BC" w:rsidRPr="0044524F" w:rsidRDefault="004750B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мая 1933 состоялся первый полет Grumman XJF-1, прототип Grumman JF Duck и J2F Duck (20802).</w:t>
      </w:r>
    </w:p>
    <w:p w14:paraId="20CC2227" w14:textId="77777777" w:rsidR="004750BC" w:rsidRPr="0044524F" w:rsidRDefault="004750BC" w:rsidP="009654CF">
      <w:pPr>
        <w:spacing w:after="0" w:line="240" w:lineRule="auto"/>
        <w:jc w:val="both"/>
        <w:rPr>
          <w:rFonts w:ascii="Times New Roman" w:hAnsi="Times New Roman"/>
          <w:color w:val="000000" w:themeColor="text1"/>
          <w:sz w:val="16"/>
          <w:szCs w:val="16"/>
        </w:rPr>
      </w:pPr>
    </w:p>
    <w:p w14:paraId="5FB65B62"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1DC9F7B"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7DF2C9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5 мая 1933 состоялось совещание у начальника Глававиапрома П.И.Б. о возможности облегчения веса ТБ-3 (АНТ-6) (1977,128).</w:t>
      </w:r>
    </w:p>
    <w:p w14:paraId="07BD8C5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0DBCF0DF"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машину Д-4 доставили с завода № 39 на Центральный аэродром, а 7 мая пе</w:t>
      </w:r>
      <w:r w:rsidRPr="0044524F">
        <w:rPr>
          <w:rFonts w:ascii="Times New Roman" w:hAnsi="Times New Roman"/>
          <w:color w:val="000000" w:themeColor="text1"/>
          <w:sz w:val="16"/>
          <w:szCs w:val="16"/>
        </w:rPr>
        <w:softHyphen/>
        <w:t>регнали в Щелково, на аэродром НИИ ВВС. Государственные испытания велись в период с 8-го по 22 мая 1933 г. (11134).</w:t>
      </w:r>
    </w:p>
    <w:p w14:paraId="24714EA4"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E2A2D3" w14:textId="77777777" w:rsidR="00360AC0" w:rsidRPr="0044524F" w:rsidRDefault="00360AC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машину ДИ-4 доставили с за</w:t>
      </w:r>
      <w:r w:rsidRPr="0044524F">
        <w:rPr>
          <w:rFonts w:ascii="Times New Roman" w:hAnsi="Times New Roman"/>
          <w:color w:val="000000" w:themeColor="text1"/>
          <w:sz w:val="16"/>
          <w:szCs w:val="16"/>
        </w:rPr>
        <w:softHyphen/>
        <w:t>вода №39 на Центральный аэродром, а 7 мая перегнали в Щелково, на аэродром НИИ ВВС. Государственные испытания велись в периоде 8-го по 22 мая 1933 г.</w:t>
      </w:r>
    </w:p>
    <w:p w14:paraId="768D49CC" w14:textId="77777777" w:rsidR="00360AC0" w:rsidRPr="0044524F" w:rsidRDefault="00360AC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Признавалось, что ДИ-4 выполнен по не</w:t>
      </w:r>
      <w:r w:rsidRPr="0044524F">
        <w:rPr>
          <w:rFonts w:ascii="Times New Roman" w:hAnsi="Times New Roman"/>
          <w:color w:val="000000" w:themeColor="text1"/>
          <w:sz w:val="16"/>
          <w:szCs w:val="16"/>
        </w:rPr>
        <w:softHyphen/>
        <w:t>современной схеме, с подкосами, крепящи</w:t>
      </w:r>
      <w:r w:rsidRPr="0044524F">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44524F">
        <w:rPr>
          <w:rFonts w:ascii="Times New Roman" w:hAnsi="Times New Roman"/>
          <w:color w:val="000000" w:themeColor="text1"/>
          <w:sz w:val="16"/>
          <w:szCs w:val="16"/>
        </w:rPr>
        <w:softHyphen/>
        <w:t>не использованного толстого профиля. Лет</w:t>
      </w:r>
      <w:r w:rsidRPr="0044524F">
        <w:rPr>
          <w:rFonts w:ascii="Times New Roman" w:hAnsi="Times New Roman"/>
          <w:color w:val="000000" w:themeColor="text1"/>
          <w:sz w:val="16"/>
          <w:szCs w:val="16"/>
        </w:rPr>
        <w:softHyphen/>
        <w:t>ные характеристики оценивались как невы</w:t>
      </w:r>
      <w:r w:rsidRPr="0044524F">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25550C73" w14:textId="77777777" w:rsidR="00360AC0" w:rsidRPr="0044524F" w:rsidRDefault="00360AC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дальнейшем предлагалось вместо двига</w:t>
      </w:r>
      <w:r w:rsidRPr="0044524F">
        <w:rPr>
          <w:rFonts w:ascii="Times New Roman" w:hAnsi="Times New Roman"/>
          <w:color w:val="000000" w:themeColor="text1"/>
          <w:sz w:val="16"/>
          <w:szCs w:val="16"/>
        </w:rPr>
        <w:softHyphen/>
        <w:t>теля Кертисс «Конкверор» использовать оте</w:t>
      </w:r>
      <w:r w:rsidRPr="0044524F">
        <w:rPr>
          <w:rFonts w:ascii="Times New Roman" w:hAnsi="Times New Roman"/>
          <w:color w:val="000000" w:themeColor="text1"/>
          <w:sz w:val="16"/>
          <w:szCs w:val="16"/>
        </w:rPr>
        <w:softHyphen/>
        <w:t>чественный двигатель М-32. Однако пере</w:t>
      </w:r>
      <w:r w:rsidRPr="0044524F">
        <w:rPr>
          <w:rFonts w:ascii="Times New Roman" w:hAnsi="Times New Roman"/>
          <w:color w:val="000000" w:themeColor="text1"/>
          <w:sz w:val="16"/>
          <w:szCs w:val="16"/>
        </w:rPr>
        <w:softHyphen/>
        <w:t>делки при этом могли оказаться столь суще</w:t>
      </w:r>
      <w:r w:rsidRPr="0044524F">
        <w:rPr>
          <w:rFonts w:ascii="Times New Roman" w:hAnsi="Times New Roman"/>
          <w:color w:val="000000" w:themeColor="text1"/>
          <w:sz w:val="16"/>
          <w:szCs w:val="16"/>
        </w:rPr>
        <w:softHyphen/>
        <w:t>ственными, что от совершенствования ма</w:t>
      </w:r>
      <w:r w:rsidRPr="0044524F">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44524F">
        <w:rPr>
          <w:rFonts w:ascii="Times New Roman" w:hAnsi="Times New Roman"/>
          <w:color w:val="000000" w:themeColor="text1"/>
          <w:sz w:val="16"/>
          <w:szCs w:val="16"/>
        </w:rPr>
        <w:softHyphen/>
        <w:t>ной постройке. Опытный экземпляр остави</w:t>
      </w:r>
      <w:r w:rsidRPr="0044524F">
        <w:rPr>
          <w:rFonts w:ascii="Times New Roman" w:hAnsi="Times New Roman"/>
          <w:color w:val="000000" w:themeColor="text1"/>
          <w:sz w:val="16"/>
          <w:szCs w:val="16"/>
        </w:rPr>
        <w:softHyphen/>
        <w:t>ли в НИИ ВВС, где с июля 1934 г. ДИ-4 ис</w:t>
      </w:r>
      <w:r w:rsidRPr="0044524F">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4ACB5CA3" w14:textId="77777777" w:rsidR="00360AC0" w:rsidRPr="0044524F" w:rsidRDefault="00360AC0" w:rsidP="009654CF">
      <w:pPr>
        <w:pStyle w:val="59"/>
        <w:shd w:val="clear" w:color="auto" w:fill="auto"/>
        <w:spacing w:line="240" w:lineRule="auto"/>
        <w:jc w:val="both"/>
        <w:rPr>
          <w:color w:val="000000" w:themeColor="text1"/>
          <w:szCs w:val="16"/>
        </w:rPr>
      </w:pPr>
      <w:r w:rsidRPr="0044524F">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4E10C1" w:rsidRPr="0044524F" w14:paraId="2EAC2AFD" w14:textId="77777777" w:rsidTr="00CE35D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6ADB047"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050968C"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13,36</w:t>
            </w:r>
          </w:p>
        </w:tc>
      </w:tr>
      <w:tr w:rsidR="004E10C1" w:rsidRPr="0044524F" w14:paraId="1BD98CCD"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DF9F33F"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8F576C1"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8,50</w:t>
            </w:r>
          </w:p>
        </w:tc>
      </w:tr>
      <w:tr w:rsidR="004E10C1" w:rsidRPr="0044524F" w14:paraId="008340B7"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3FB6147"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Площадь крыла (м</w:t>
            </w:r>
            <w:r w:rsidRPr="0044524F">
              <w:rPr>
                <w:rFonts w:ascii="Times New Roman" w:hAnsi="Times New Roman" w:cs="Times New Roman"/>
                <w:b w:val="0"/>
                <w:color w:val="000000" w:themeColor="text1"/>
                <w:sz w:val="16"/>
                <w:szCs w:val="16"/>
                <w:vertAlign w:val="superscript"/>
              </w:rPr>
              <w:t>2</w:t>
            </w:r>
            <w:r w:rsidRPr="0044524F">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DCF9B3C"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23,90</w:t>
            </w:r>
          </w:p>
        </w:tc>
      </w:tr>
      <w:tr w:rsidR="004E10C1" w:rsidRPr="0044524F" w14:paraId="470266CF"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6565FE2"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AA92BCE"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2,0</w:t>
            </w:r>
          </w:p>
        </w:tc>
      </w:tr>
      <w:tr w:rsidR="004E10C1" w:rsidRPr="0044524F" w14:paraId="75CCCCD3"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22EFF79"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00B8A7E"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1441,0</w:t>
            </w:r>
          </w:p>
        </w:tc>
      </w:tr>
      <w:tr w:rsidR="004E10C1" w:rsidRPr="0044524F" w14:paraId="51F6C9FD"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CDABEAD"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ED1CEC8"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1949</w:t>
            </w:r>
          </w:p>
        </w:tc>
      </w:tr>
      <w:tr w:rsidR="004E10C1" w:rsidRPr="0044524F" w14:paraId="171B9C80"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3AFC827"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99E4076"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266</w:t>
            </w:r>
          </w:p>
        </w:tc>
      </w:tr>
      <w:tr w:rsidR="004E10C1" w:rsidRPr="0044524F" w14:paraId="4DD3B781"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94FA5BB"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F95B880"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248,7</w:t>
            </w:r>
          </w:p>
        </w:tc>
      </w:tr>
      <w:tr w:rsidR="004E10C1" w:rsidRPr="0044524F" w14:paraId="58D2D6CA"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E33A1C2"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DD17DC6"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237,0</w:t>
            </w:r>
          </w:p>
        </w:tc>
      </w:tr>
      <w:tr w:rsidR="004E10C1" w:rsidRPr="0044524F" w14:paraId="45D08C90"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B86F6A0"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3B01989"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7,4</w:t>
            </w:r>
          </w:p>
        </w:tc>
      </w:tr>
      <w:tr w:rsidR="004E10C1" w:rsidRPr="0044524F" w14:paraId="68D53835"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CAD4A73"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F0E0B52"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17,0</w:t>
            </w:r>
          </w:p>
        </w:tc>
      </w:tr>
      <w:tr w:rsidR="004E10C1" w:rsidRPr="0044524F" w14:paraId="31F1EB25"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6DA26EA"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A13BACC"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6440</w:t>
            </w:r>
          </w:p>
        </w:tc>
      </w:tr>
      <w:tr w:rsidR="004E10C1" w:rsidRPr="0044524F" w14:paraId="55C36673" w14:textId="77777777" w:rsidTr="00CE35D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8D6A569"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D94851C"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15,0</w:t>
            </w:r>
          </w:p>
        </w:tc>
      </w:tr>
    </w:tbl>
    <w:p w14:paraId="443E3D77" w14:textId="77777777" w:rsidR="00360AC0" w:rsidRPr="0044524F" w:rsidRDefault="00360AC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(12295)</w:t>
      </w:r>
    </w:p>
    <w:p w14:paraId="22C8E974" w14:textId="77777777" w:rsidR="00360AC0" w:rsidRPr="0044524F" w:rsidRDefault="00360AC0" w:rsidP="009654CF">
      <w:pPr>
        <w:spacing w:after="0" w:line="240" w:lineRule="auto"/>
        <w:jc w:val="both"/>
        <w:rPr>
          <w:rFonts w:ascii="Times New Roman" w:hAnsi="Times New Roman"/>
          <w:color w:val="000000" w:themeColor="text1"/>
          <w:sz w:val="16"/>
          <w:szCs w:val="16"/>
        </w:rPr>
      </w:pPr>
    </w:p>
    <w:p w14:paraId="10B0DE3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состоялось совещание у начальника Глававиапрома П.И.Б. по вопросу рекордного полета на дальность 5 мая 1933 (2292,111).</w:t>
      </w:r>
    </w:p>
    <w:p w14:paraId="6C4973A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58E632F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П.О.С. подписал данные АНТ-36 (военного варианта РД) (1102).</w:t>
      </w:r>
    </w:p>
    <w:p w14:paraId="123F210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1AE1D7F7" w14:textId="77777777" w:rsidR="00235986" w:rsidRPr="0044524F" w:rsidRDefault="002359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года состоялось совещание у начальника ГУАП Баранова по вопросу рекордного полета на дальность (6779):</w:t>
      </w:r>
    </w:p>
    <w:p w14:paraId="6526E5D6" w14:textId="77777777" w:rsidR="00235986" w:rsidRPr="0044524F" w:rsidRDefault="002359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52</w:t>
      </w:r>
    </w:p>
    <w:p w14:paraId="204C2B0B" w14:textId="77777777" w:rsidR="00235986" w:rsidRPr="0044524F" w:rsidRDefault="002359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совещания у начальника ГУАП Баранова по вопросу рекордного полета на дальность от 5 мая 1933 года</w:t>
      </w:r>
    </w:p>
    <w:p w14:paraId="251C18D8" w14:textId="77777777" w:rsidR="00235986" w:rsidRPr="0044524F" w:rsidRDefault="002359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w:t>
      </w:r>
    </w:p>
    <w:p w14:paraId="41F1D3C3"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маршруте полета.</w:t>
      </w:r>
    </w:p>
    <w:p w14:paraId="7555A9A4"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экипаже предназначаемого для перелета.</w:t>
      </w:r>
    </w:p>
    <w:p w14:paraId="7259F58E"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смете для проведения всех работ по перелету.</w:t>
      </w:r>
    </w:p>
    <w:p w14:paraId="002E47E5"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тренировке экипажа и обслуживанию самолетов.</w:t>
      </w:r>
    </w:p>
    <w:p w14:paraId="0A88C0AF"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работах по подготовке к перелету.</w:t>
      </w:r>
    </w:p>
    <w:p w14:paraId="3B54BEA9"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проведении всех технических работ (6779, 32-33).</w:t>
      </w:r>
    </w:p>
    <w:p w14:paraId="3D232D61"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90C48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года начальник Глававиапрома Баранов писал письмо Ворошилову.</w:t>
      </w:r>
    </w:p>
    <w:p w14:paraId="11D0EE5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Вашего задания ЦАГИ проработал вопрос об использовании рекордно-дальнего полета для военных целей.</w:t>
      </w:r>
    </w:p>
    <w:p w14:paraId="1753BA3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из вашего задания достигнуть дальность полета в 4000 км - можно получить следующую характеристику самолета:</w:t>
      </w:r>
    </w:p>
    <w:p w14:paraId="021BEEE8"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- 3 человека</w:t>
      </w:r>
    </w:p>
    <w:p w14:paraId="04A8F7B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2 пулемета, 1000 патрон, 10 100 кг бомб или около 400 штук одно кг зажигательных бомб.</w:t>
      </w:r>
    </w:p>
    <w:p w14:paraId="61344BF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машина будет обладать максимальной скоростью 210 км и иметь потолок около 4000 м.</w:t>
      </w:r>
    </w:p>
    <w:p w14:paraId="2E528EA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сравнению с рекордной машиной в самолете необходимо будет произвести ряд существенных переделок, которые однако, возможны и значительно машину не изменят.</w:t>
      </w:r>
    </w:p>
    <w:p w14:paraId="303737A5"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до летных испытаний машины нельзя предвидеть возможных и неизбежных переделок и неприятностей, могущих быть из-за новизны конструкции машины.</w:t>
      </w:r>
    </w:p>
    <w:p w14:paraId="515E7767"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испытания предполагается произвести в течение мая, после чего выявятся основные качества машины и можно будет решать вопрос о производстве специальных военных типов машины.</w:t>
      </w:r>
    </w:p>
    <w:p w14:paraId="301788A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в начале июня можно будет определить целесообразность серийной постройки военного типа этой машины, а также количество и срок поставки.</w:t>
      </w:r>
    </w:p>
    <w:p w14:paraId="11E34205"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согласно вашего пожелания - мною даны все указания о подготовке производства военного типа этой машины в серии (3899,410).</w:t>
      </w:r>
    </w:p>
    <w:p w14:paraId="5668863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12547FC6"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мая 1933 г. начальник ГУАП ПИ. Ба</w:t>
      </w:r>
      <w:r w:rsidRPr="00142305">
        <w:rPr>
          <w:rFonts w:ascii="Times New Roman" w:hAnsi="Times New Roman"/>
          <w:color w:val="0070C0"/>
          <w:sz w:val="16"/>
          <w:szCs w:val="16"/>
        </w:rPr>
        <w:softHyphen/>
        <w:t>ранов отправил наркому К.Е. Ворошилову докладную записку, в которой сообщил: «Согласно Вашего задания, ЦАГИ про</w:t>
      </w:r>
      <w:r w:rsidRPr="00142305">
        <w:rPr>
          <w:rFonts w:ascii="Times New Roman" w:hAnsi="Times New Roman"/>
          <w:color w:val="0070C0"/>
          <w:sz w:val="16"/>
          <w:szCs w:val="16"/>
        </w:rPr>
        <w:softHyphen/>
        <w:t>работал вопрос об использовании рекордно-дальнего самолета для военных целей». Там же сообщались ориентиро</w:t>
      </w:r>
      <w:r w:rsidRPr="00142305">
        <w:rPr>
          <w:rFonts w:ascii="Times New Roman" w:hAnsi="Times New Roman"/>
          <w:color w:val="0070C0"/>
          <w:sz w:val="16"/>
          <w:szCs w:val="16"/>
        </w:rPr>
        <w:softHyphen/>
        <w:t>вочные данные машины: максимальная скорость 210 км/ч, практический потолок около 4000 м и дальность полета 4000 км. Кроме варианта нагрузки с десятью бом</w:t>
      </w:r>
      <w:r w:rsidRPr="00142305">
        <w:rPr>
          <w:rFonts w:ascii="Times New Roman" w:hAnsi="Times New Roman"/>
          <w:color w:val="0070C0"/>
          <w:sz w:val="16"/>
          <w:szCs w:val="16"/>
        </w:rPr>
        <w:softHyphen/>
        <w:t>бами по 100 кг, предусматривался вариант с 400 мелкими зажигательными бомбами по 1 кг (видимо, в кассетах). Про «автома</w:t>
      </w:r>
      <w:r w:rsidRPr="00142305">
        <w:rPr>
          <w:rFonts w:ascii="Times New Roman" w:hAnsi="Times New Roman"/>
          <w:color w:val="0070C0"/>
          <w:sz w:val="16"/>
          <w:szCs w:val="16"/>
        </w:rPr>
        <w:softHyphen/>
        <w:t>тическое ружье» в этом документе ничего не говорилось, только о двух пулеметах ДА с запасом в 1000 патронов (24946).</w:t>
      </w:r>
    </w:p>
    <w:p w14:paraId="4EB68374" w14:textId="77777777" w:rsidR="00493616" w:rsidRPr="00142305" w:rsidRDefault="00493616" w:rsidP="00493616">
      <w:pPr>
        <w:spacing w:after="0" w:line="240" w:lineRule="auto"/>
        <w:jc w:val="both"/>
        <w:rPr>
          <w:rFonts w:ascii="Times New Roman" w:hAnsi="Times New Roman"/>
          <w:color w:val="0070C0"/>
          <w:sz w:val="16"/>
          <w:szCs w:val="16"/>
        </w:rPr>
      </w:pPr>
    </w:p>
    <w:p w14:paraId="1875C99A"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мая 1933 г. двигатель М-34Р прошел государственные испытания [46]. Редуктор состоял из пары цилиндрических шестерен, одна из которых укреплена на носке коленчатого вала. Другая, ведомая, сидит на вале винта, ось которого смещена по отношению к оси двигателя. Обод ведомой шестерни передает усилия через систему пружин для уменьшения ударной нагрузки на зубья шестерен.</w:t>
      </w:r>
    </w:p>
    <w:p w14:paraId="79C3E2AC"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окончания государственных испытаний самолета ТБ-3 с двигателем М-34Р самолет и двигатель были утверждены как эталон для серийного производства на 1934 г. (25039).</w:t>
      </w:r>
    </w:p>
    <w:p w14:paraId="6ADBE1FF" w14:textId="77777777" w:rsidR="00493616" w:rsidRPr="00142305" w:rsidRDefault="00493616" w:rsidP="00493616">
      <w:pPr>
        <w:spacing w:after="0" w:line="240" w:lineRule="auto"/>
        <w:jc w:val="both"/>
        <w:rPr>
          <w:rFonts w:ascii="Times New Roman" w:hAnsi="Times New Roman"/>
          <w:color w:val="0070C0"/>
          <w:sz w:val="16"/>
          <w:szCs w:val="16"/>
        </w:rPr>
      </w:pPr>
    </w:p>
    <w:p w14:paraId="5924C0BF" w14:textId="77777777" w:rsidR="00881227" w:rsidRPr="0044524F" w:rsidRDefault="008812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5 мая 1933 года в День печати Агитэскадрилья начала свою практическую деятельность — на следующий день по заданию Наркомзема СССР самолеты вылетели на Северный Кавказ и Украину, для того чтобы развернуть широкую агитационную работу во время весенней посевной кампании. Эскадрилья успешно справилась с порученным делом, о чем говорят отзывы, появившиеся в пе</w:t>
      </w:r>
      <w:r w:rsidRPr="0044524F">
        <w:rPr>
          <w:rFonts w:ascii="Times New Roman" w:hAnsi="Times New Roman"/>
          <w:color w:val="000000" w:themeColor="text1"/>
          <w:sz w:val="16"/>
          <w:szCs w:val="16"/>
          <w:lang w:eastAsia="ru-RU" w:bidi="ru-RU"/>
        </w:rPr>
        <w:softHyphen/>
        <w:t>чати в те дни. Вот некоторые из них:</w:t>
      </w:r>
    </w:p>
    <w:p w14:paraId="7203449D" w14:textId="77777777" w:rsidR="00881227" w:rsidRPr="0044524F" w:rsidRDefault="008812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«Прилет аэроплана был организован</w:t>
      </w:r>
      <w:r w:rsidRPr="0044524F">
        <w:rPr>
          <w:rFonts w:ascii="Times New Roman" w:hAnsi="Times New Roman"/>
          <w:color w:val="000000" w:themeColor="text1"/>
          <w:sz w:val="16"/>
          <w:szCs w:val="16"/>
          <w:lang w:eastAsia="ru-RU" w:bidi="ru-RU"/>
        </w:rPr>
        <w:softHyphen/>
        <w:t>ным звеном в нашей работе. Колхозная мас</w:t>
      </w:r>
      <w:r w:rsidRPr="0044524F">
        <w:rPr>
          <w:rFonts w:ascii="Times New Roman" w:hAnsi="Times New Roman"/>
          <w:color w:val="000000" w:themeColor="text1"/>
          <w:sz w:val="16"/>
          <w:szCs w:val="16"/>
          <w:lang w:eastAsia="ru-RU" w:bidi="ru-RU"/>
        </w:rPr>
        <w:softHyphen/>
        <w:t>са действительно по-большевистски боро</w:t>
      </w:r>
      <w:r w:rsidRPr="0044524F">
        <w:rPr>
          <w:rFonts w:ascii="Times New Roman" w:hAnsi="Times New Roman"/>
          <w:color w:val="000000" w:themeColor="text1"/>
          <w:sz w:val="16"/>
          <w:szCs w:val="16"/>
          <w:lang w:eastAsia="ru-RU" w:bidi="ru-RU"/>
        </w:rPr>
        <w:softHyphen/>
        <w:t>лась за выполнение своего плана за право принятия в своем колхозе аэроплана эскад</w:t>
      </w:r>
      <w:r w:rsidRPr="0044524F">
        <w:rPr>
          <w:rFonts w:ascii="Times New Roman" w:hAnsi="Times New Roman"/>
          <w:color w:val="000000" w:themeColor="text1"/>
          <w:sz w:val="16"/>
          <w:szCs w:val="16"/>
          <w:lang w:eastAsia="ru-RU" w:bidi="ru-RU"/>
        </w:rPr>
        <w:softHyphen/>
        <w:t>рильи им. Максима Горького».</w:t>
      </w:r>
    </w:p>
    <w:p w14:paraId="026C2417" w14:textId="77777777" w:rsidR="00881227" w:rsidRPr="0044524F" w:rsidRDefault="008812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«Самолет явился наилучшим орудием агитработы из всех, с какими приходилось иметь дело».</w:t>
      </w:r>
    </w:p>
    <w:p w14:paraId="09B12CF2" w14:textId="77777777" w:rsidR="00881227" w:rsidRPr="0044524F" w:rsidRDefault="008812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Выполняла эскадрилья и важные за</w:t>
      </w:r>
      <w:r w:rsidRPr="0044524F">
        <w:rPr>
          <w:rFonts w:ascii="Times New Roman" w:hAnsi="Times New Roman"/>
          <w:color w:val="000000" w:themeColor="text1"/>
          <w:sz w:val="16"/>
          <w:szCs w:val="16"/>
          <w:lang w:eastAsia="ru-RU" w:bidi="ru-RU"/>
        </w:rPr>
        <w:softHyphen/>
        <w:t>дания по оказанию помоши промышлен</w:t>
      </w:r>
      <w:r w:rsidRPr="0044524F">
        <w:rPr>
          <w:rFonts w:ascii="Times New Roman" w:hAnsi="Times New Roman"/>
          <w:color w:val="000000" w:themeColor="text1"/>
          <w:sz w:val="16"/>
          <w:szCs w:val="16"/>
          <w:lang w:eastAsia="ru-RU" w:bidi="ru-RU"/>
        </w:rPr>
        <w:softHyphen/>
        <w:t>ности. Так, два ее самолета участововали в решении задач, связанных с ремонтом оборудования сахарных заводов. Нарком снабжения СССР А.И. Микоян потом сказал: «...тем сахаром, который страна получила в /933 году, мы во многом обязаны работе эскадрильи им. Максима Горького» (21240).</w:t>
      </w:r>
    </w:p>
    <w:p w14:paraId="6D16084B" w14:textId="77777777" w:rsidR="00881227" w:rsidRPr="0044524F" w:rsidRDefault="00881227" w:rsidP="009654CF">
      <w:pPr>
        <w:spacing w:after="0" w:line="240" w:lineRule="auto"/>
        <w:jc w:val="both"/>
        <w:rPr>
          <w:rFonts w:ascii="Times New Roman" w:hAnsi="Times New Roman"/>
          <w:color w:val="000000" w:themeColor="text1"/>
          <w:sz w:val="16"/>
          <w:szCs w:val="16"/>
        </w:rPr>
      </w:pPr>
    </w:p>
    <w:p w14:paraId="02F2DCD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начала работать первая советская стюардесса - Эльза Городецкая на рейсе Москва - Ашхабад (1845,24).</w:t>
      </w:r>
    </w:p>
    <w:p w14:paraId="3A0F795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7EAF499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в газете "Вечерняя Москва" опубликована редакционная заметка "Реабилитация ракеты", в которой СПК подчеркнул слова: "Ракета, подлинная зарница грядущих технических побед коммунизма, должна быть реабилитирована" (АММК, "Сборник газетных вырезок") (10676).</w:t>
      </w:r>
    </w:p>
    <w:p w14:paraId="25A6F2C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10BDB7A8"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93B744F"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8E9D117"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года в г.Ижевске был организован мотоциклетный завод. На заводе создаются одна за другой новые модели мотоциклов Иж-7, Иж-32, Иж-9. В 1941 году завод усиленно готовился к переходу на выпуск еще более усовершенствованной модели. Постановлением правительства (постановление ГКО от 4 декабря 1941) на завод была возложена почетная задача обеспечения Красной Армии пулеметом "Максим".</w:t>
      </w:r>
    </w:p>
    <w:p w14:paraId="1D0749C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Инженеры и служащие ИМЗ в небывало короткий срок закончили подготовку производства, освоили сложное производство и через 5 месяцев завод № 524 достигнул проектной мощности. ЦДНИ УР, ф. 306, оп.1, д.41, л.31, Копия. Машинопись (9681).</w:t>
      </w:r>
    </w:p>
    <w:p w14:paraId="3BA5484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4ED1C8F8" w14:textId="77777777" w:rsidR="0003446D" w:rsidRPr="0044524F" w:rsidRDefault="0003446D"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117A663" w14:textId="77777777" w:rsidR="0003446D" w:rsidRPr="0044524F" w:rsidRDefault="0003446D" w:rsidP="009654CF">
      <w:pPr>
        <w:autoSpaceDE w:val="0"/>
        <w:autoSpaceDN w:val="0"/>
        <w:adjustRightInd w:val="0"/>
        <w:spacing w:after="0" w:line="240" w:lineRule="auto"/>
        <w:jc w:val="both"/>
        <w:rPr>
          <w:rFonts w:ascii="Times New Roman" w:hAnsi="Times New Roman"/>
          <w:color w:val="000000" w:themeColor="text1"/>
          <w:sz w:val="16"/>
          <w:szCs w:val="16"/>
        </w:rPr>
      </w:pPr>
    </w:p>
    <w:p w14:paraId="63570B10" w14:textId="77777777" w:rsidR="0003446D" w:rsidRPr="0044524F" w:rsidRDefault="000344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Газета "Вечерняя Москва" сообщала: "Паспортизация в Москве в основном закончена. Всего выдано 2 миллиона 362 тысячи 748 паспортов" (18722).</w:t>
      </w:r>
    </w:p>
    <w:p w14:paraId="1D50629F" w14:textId="77777777" w:rsidR="0003446D" w:rsidRPr="0044524F" w:rsidRDefault="0003446D" w:rsidP="009654CF">
      <w:pPr>
        <w:spacing w:after="0" w:line="240" w:lineRule="auto"/>
        <w:jc w:val="both"/>
        <w:rPr>
          <w:rFonts w:ascii="Times New Roman" w:hAnsi="Times New Roman"/>
          <w:color w:val="000000" w:themeColor="text1"/>
          <w:sz w:val="16"/>
          <w:szCs w:val="16"/>
        </w:rPr>
      </w:pPr>
    </w:p>
    <w:p w14:paraId="2FE42044"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DB69483"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06C4E31" w14:textId="77777777" w:rsidR="00A47E93" w:rsidRPr="0044524F" w:rsidRDefault="00A47E9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мая в 1933 году Заказаны 10 самолетов (разведчик-корректировщик) новой версии </w:t>
      </w:r>
      <w:hyperlink r:id="rId153" w:tgtFrame="_blank" w:history="1">
        <w:r w:rsidRPr="0044524F">
          <w:rPr>
            <w:rFonts w:ascii="Times New Roman" w:hAnsi="Times New Roman"/>
            <w:color w:val="000000" w:themeColor="text1"/>
            <w:sz w:val="16"/>
            <w:szCs w:val="16"/>
          </w:rPr>
          <w:t xml:space="preserve">«Lublin» «R-XIII» «ter/hidro» </w:t>
        </w:r>
      </w:hyperlink>
      <w:r w:rsidRPr="0044524F">
        <w:rPr>
          <w:rFonts w:ascii="Times New Roman" w:hAnsi="Times New Roman"/>
          <w:color w:val="000000" w:themeColor="text1"/>
          <w:sz w:val="16"/>
          <w:szCs w:val="16"/>
        </w:rPr>
        <w:t>(разработчик: «Lublin», Польша). Это были машины версии «R-XIIID» с поплавками типа «KZA». Кроме поплавков самолеты могли нести лыжи и колеса. Весной и летом 1934 года эти машины поступили на вооружение Эскадры Речной Пинской флотилии с базированием в Пинске. А когда в 1937 году эскадру разогнали самолеты перегнали в Пучка, где демонтировали (14882).</w:t>
      </w:r>
    </w:p>
    <w:p w14:paraId="16007729" w14:textId="77777777" w:rsidR="00A47E93" w:rsidRPr="0044524F" w:rsidRDefault="00A47E93" w:rsidP="009654CF">
      <w:pPr>
        <w:spacing w:after="0" w:line="240" w:lineRule="auto"/>
        <w:jc w:val="both"/>
        <w:rPr>
          <w:rFonts w:ascii="Times New Roman" w:hAnsi="Times New Roman"/>
          <w:color w:val="000000" w:themeColor="text1"/>
          <w:sz w:val="16"/>
          <w:szCs w:val="16"/>
        </w:rPr>
      </w:pPr>
    </w:p>
    <w:p w14:paraId="2AE80CB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Г.Геринг возглавил Министерство авиации (2814,3).</w:t>
      </w:r>
    </w:p>
    <w:p w14:paraId="233C20B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54BF153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г. А.Гитлер ясно заявил, что Договор и протокол 1931 года будут действовать и впредь. В мире это было расценено как признак стремления Берлина сохранять стабильные отношения с Москвой (3871).</w:t>
      </w:r>
    </w:p>
    <w:p w14:paraId="419CF26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3D0C786B"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2746548"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65E4EC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мая 1933 МИ-3 2М-34 совершил пробную рулежку и полет по прямой. дальнейшие испытания обнаружили крупные дефекты (вибрация оперения, недостаточность элеронов, большая минимальная скорость, тенденция валиться на нос, трудность посадки без моторов) (2310,143).</w:t>
      </w:r>
    </w:p>
    <w:p w14:paraId="4B00F70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7F12372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мая 1933 началась регулярная работа Агитэскадрильи имени МГ (271,134).</w:t>
      </w:r>
    </w:p>
    <w:p w14:paraId="78DB1BB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3205601D" w14:textId="77777777" w:rsidR="00881227" w:rsidRPr="0044524F" w:rsidRDefault="00881227"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6 мая 1933 года на Центральном аэродро</w:t>
      </w:r>
      <w:r w:rsidRPr="0044524F">
        <w:rPr>
          <w:rFonts w:ascii="Times New Roman" w:hAnsi="Times New Roman"/>
          <w:color w:val="000000" w:themeColor="text1"/>
          <w:sz w:val="16"/>
          <w:szCs w:val="16"/>
          <w:lang w:eastAsia="ru-RU" w:bidi="ru-RU"/>
        </w:rPr>
        <w:softHyphen/>
        <w:t>ме выстроились самолеты агитэскадрильи им. Максима Горького: АНТ-14 «Правда», У-2 «Комсомольская правда», К-5 «Огонек», АНТ-9 «Крокодил», Сталь-2 «Известия», дирижабль В-3 «Красная звез</w:t>
      </w:r>
      <w:r w:rsidRPr="0044524F">
        <w:rPr>
          <w:rFonts w:ascii="Times New Roman" w:hAnsi="Times New Roman"/>
          <w:color w:val="000000" w:themeColor="text1"/>
          <w:sz w:val="16"/>
          <w:szCs w:val="16"/>
          <w:lang w:eastAsia="ru-RU" w:bidi="ru-RU"/>
        </w:rPr>
        <w:softHyphen/>
        <w:t>да» (21240).</w:t>
      </w:r>
    </w:p>
    <w:p w14:paraId="13451320" w14:textId="77777777" w:rsidR="00881227" w:rsidRPr="0044524F" w:rsidRDefault="00881227" w:rsidP="009654CF">
      <w:pPr>
        <w:spacing w:after="0" w:line="240" w:lineRule="auto"/>
        <w:jc w:val="both"/>
        <w:rPr>
          <w:rFonts w:ascii="Times New Roman" w:hAnsi="Times New Roman"/>
          <w:color w:val="000000" w:themeColor="text1"/>
          <w:sz w:val="16"/>
          <w:szCs w:val="16"/>
        </w:rPr>
      </w:pPr>
    </w:p>
    <w:p w14:paraId="6ADA302C" w14:textId="77777777" w:rsidR="00602186" w:rsidRPr="0044524F" w:rsidRDefault="0060218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мая 1933 г. агитэскадрилия имени Максима Горького начала делать свою работу по обслуживанию важнейших мероприятий партий</w:t>
      </w:r>
      <w:r w:rsidRPr="0044524F">
        <w:rPr>
          <w:rFonts w:ascii="Times New Roman" w:hAnsi="Times New Roman"/>
          <w:color w:val="000000" w:themeColor="text1"/>
          <w:sz w:val="16"/>
          <w:szCs w:val="16"/>
        </w:rPr>
        <w:softHyphen/>
        <w:t>ных и государственных органов. Успех первых полетов по проведению посевной кампании превзошел все ожидания. Авиация оказалась лучшим средством агит-массовой работы. За два года своего существования атитэскадрилия совершила 15 тысяч полетов общей ^продолжительно</w:t>
      </w:r>
      <w:r w:rsidRPr="0044524F">
        <w:rPr>
          <w:rFonts w:ascii="Times New Roman" w:hAnsi="Times New Roman"/>
          <w:color w:val="000000" w:themeColor="text1"/>
          <w:sz w:val="16"/>
          <w:szCs w:val="16"/>
        </w:rPr>
        <w:softHyphen/>
        <w:t>стью 6300 часов, провела 3000 докладов, митингов и бесед в 2600 пунктах, распространила 8 тонн агитлитературы. Самолеты ее побывали в самых отдаленных местах советского союза, налетали более трех мил</w:t>
      </w:r>
      <w:r w:rsidRPr="0044524F">
        <w:rPr>
          <w:rFonts w:ascii="Times New Roman" w:hAnsi="Times New Roman"/>
          <w:color w:val="000000" w:themeColor="text1"/>
          <w:sz w:val="16"/>
          <w:szCs w:val="16"/>
        </w:rPr>
        <w:softHyphen/>
        <w:t>лионов километров и перевезли 53 тысячи пассажиров. В 1935 г. эскадрилья была расформирована с передачей ее функций территориальным правлениям ГВФ.</w:t>
      </w:r>
    </w:p>
    <w:p w14:paraId="4F7701E4" w14:textId="77777777" w:rsidR="00602186" w:rsidRPr="0044524F" w:rsidRDefault="0060218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/«Гражданская авиация», 1933, № 4; 1935 № 6; «Самолет»,1937, № 6/ (33370).</w:t>
      </w:r>
    </w:p>
    <w:p w14:paraId="2390760D" w14:textId="77777777" w:rsidR="00602186" w:rsidRPr="0044524F" w:rsidRDefault="00602186" w:rsidP="009654CF">
      <w:pPr>
        <w:spacing w:after="0" w:line="240" w:lineRule="auto"/>
        <w:jc w:val="both"/>
        <w:rPr>
          <w:rFonts w:ascii="Times New Roman" w:hAnsi="Times New Roman"/>
          <w:color w:val="000000" w:themeColor="text1"/>
          <w:sz w:val="16"/>
          <w:szCs w:val="16"/>
        </w:rPr>
      </w:pPr>
    </w:p>
    <w:p w14:paraId="08C47855"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44917C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33228217"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мая 1933 приказом по МВС и лагерю за № 64 всем, кроме «специально на это уполномоченных лиц», категорически запрещалось «фотографирование трассы канала, мест сооружений, сооружений, производимых работ всех видов, поселков и лиц из числа лагерного населения... У лиц, нарушивших указанные правила, фотоаппараты будут отбираться и виновные будут увольняться с работы» (такая практика на трассе канала намного пережила Дмитлаг и продержалась до середины 1980-х) (7560).</w:t>
      </w:r>
    </w:p>
    <w:p w14:paraId="4DE580CD"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788B0725"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мая 1933 появился Ответ И.Сталина писателю М.Шолохову: "Дорогой тов. Шолохов! Оба ваших письма получены, как вам известно. Помощь, какую требовали, оказана уже. Для разбора дела прибудет к вам в Вешенский район т.Шкирятов, которому очень прошу Вас оказать помощь. Это так. Но это не все, т.Шолохов. Дело в том, что Ваши письма производят несколько однобокое впечатление. Об этом я хочу написать вам несколько слов. Я поблагодарил вас за письма, так как они вскрывают болячку нашей партийно-советской работы, вскрывают то, как иногда наши работники, желая обуздать врага, бьют нечаянно по друзьям и докатываются до садизма. Но это не значит, что я во всем согласен с вами. Вы видите одну сторону, видите неплохо. Но это только одна сторона дела. Чтобы не ошибиться в политике (ваши письма не беллетристика, а сплошная политика), надо обозреть, надо уметь увидеть и другую сторону. А другая сторона состоит в том, что уважаемые хлеборобы вашего района проводили "итальянку" (саботаж!) и не прочь были оставить рабочих и Красную армию без хлеба. Тот факт, что саботаж был тихий и внешне безобидный (без крови), - этот факт не меняет того, что уважаемые хлеборобы по сути дела вели "тихую" войну с советской властью... Войну на измор, тов.Шолохов... Конечно, это обстоятельство ни в какой мере не может оправдать тех безобразий, которые были допущены, как уверяете Вы, нашими работниками. И виновные в этих безобразиях должны понести должное наказание. Но все же ясно, как божий день, что уважаемые хлеборобы не такие уж безобидные люди, как это могло показаться издали. Ну, всего хорошего и жму Вашу руку" (10687).</w:t>
      </w:r>
    </w:p>
    <w:p w14:paraId="089E0C0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323F5C0E"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3BB48D2"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E798DC"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начале мая 1933 г. по распоряжению П.И. Баранова, завод № 39 им. В.Р. Менжинского приступил к подготовке серийного производства 40 самолетов РД в военном варианте РД ВВ или АНТ-36. Все работы по внедрению его в серию возложили на бригаду № 3 КОСОС ЦАГИ (25667).</w:t>
      </w:r>
    </w:p>
    <w:p w14:paraId="65DFDEC0" w14:textId="77777777" w:rsidR="00493616" w:rsidRPr="00142305" w:rsidRDefault="00493616" w:rsidP="00493616">
      <w:pPr>
        <w:spacing w:after="0" w:line="240" w:lineRule="auto"/>
        <w:jc w:val="both"/>
        <w:rPr>
          <w:rFonts w:ascii="Times New Roman" w:hAnsi="Times New Roman"/>
          <w:color w:val="0070C0"/>
          <w:sz w:val="16"/>
          <w:szCs w:val="16"/>
        </w:rPr>
      </w:pPr>
    </w:p>
    <w:p w14:paraId="587159BE"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мая 1933 для проведения испытаний и выпол</w:t>
      </w:r>
      <w:r w:rsidRPr="00142305">
        <w:rPr>
          <w:rFonts w:ascii="Times New Roman" w:hAnsi="Times New Roman"/>
          <w:color w:val="0070C0"/>
          <w:sz w:val="16"/>
          <w:szCs w:val="16"/>
        </w:rPr>
        <w:softHyphen/>
        <w:t>нения дальних перелетов в НИИ ВВС решили сформировать два эки</w:t>
      </w:r>
      <w:r w:rsidRPr="00142305">
        <w:rPr>
          <w:rFonts w:ascii="Times New Roman" w:hAnsi="Times New Roman"/>
          <w:color w:val="0070C0"/>
          <w:sz w:val="16"/>
          <w:szCs w:val="16"/>
        </w:rPr>
        <w:softHyphen/>
        <w:t>пажа из испытателей с большим опытом. В первый рекомендовали ММ. Громова, И.Ф. Петрова и И.Т. Спирина, а во второй - А.Б. Юмашева, Жилина и Б.В. Стерлиго</w:t>
      </w:r>
      <w:r w:rsidRPr="00142305">
        <w:rPr>
          <w:rFonts w:ascii="Times New Roman" w:hAnsi="Times New Roman"/>
          <w:color w:val="0070C0"/>
          <w:sz w:val="16"/>
          <w:szCs w:val="16"/>
        </w:rPr>
        <w:softHyphen/>
        <w:t>ва. Позднее Петрова заменили А.И. Фи</w:t>
      </w:r>
      <w:r w:rsidRPr="00142305">
        <w:rPr>
          <w:rFonts w:ascii="Times New Roman" w:hAnsi="Times New Roman"/>
          <w:color w:val="0070C0"/>
          <w:sz w:val="16"/>
          <w:szCs w:val="16"/>
        </w:rPr>
        <w:softHyphen/>
        <w:t>линым, Жилина - П.М. Стефановским, Стерлигова - С.А. Данилиным (24946).</w:t>
      </w:r>
    </w:p>
    <w:p w14:paraId="0F8CC0BE" w14:textId="77777777" w:rsidR="00493616" w:rsidRPr="00142305" w:rsidRDefault="00493616" w:rsidP="00493616">
      <w:pPr>
        <w:spacing w:after="0" w:line="240" w:lineRule="auto"/>
        <w:jc w:val="both"/>
        <w:rPr>
          <w:rFonts w:ascii="Times New Roman" w:hAnsi="Times New Roman"/>
          <w:color w:val="0070C0"/>
          <w:sz w:val="16"/>
          <w:szCs w:val="16"/>
        </w:rPr>
      </w:pPr>
    </w:p>
    <w:p w14:paraId="02E581ED"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мая 1933 Нач. бригады № 3 Чижевским была подготовлена объяснительная записка к заявке на заграничное оборудование для стратосферного самолета ЦКБ-2 (завод 39) (2304,39).</w:t>
      </w:r>
    </w:p>
    <w:p w14:paraId="39B6083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Высокий полет предъявляет целый ряд новых требований к аэронавигационным и измерительным приборам, помещаемым на самолете. Отсутствие этих приборов на Советском рынке вынуждает составить настоящую заявку.</w:t>
      </w:r>
    </w:p>
    <w:p w14:paraId="1765D26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Кислородные приборы</w:t>
      </w:r>
    </w:p>
    <w:p w14:paraId="38461256"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Кислородный прибор Гейланда. Прибор является оригинальным и до настоящего времени образца, сделанного у нас, не имеется. Прибор замечателен тем, что имеет специальную насадку для продуапния воздуха кабины, который увлекается выходящей струей кислорода.</w:t>
      </w:r>
    </w:p>
    <w:p w14:paraId="733A414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Воздух продувается через регенеративный патрон, который поглощает углекислоту.</w:t>
      </w:r>
    </w:p>
    <w:p w14:paraId="1CE86C4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Регенеративные патроны Гейланда выписываются в количестве 5-ти шт., как необходимый комплект для полета и образщцы, по которым можно будет изготовить последующие экземпляры у нас в СССР.</w:t>
      </w:r>
    </w:p>
    <w:p w14:paraId="1B8E03D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Кислородный прибор с сухим кислородом также не имеется в СССР и покупка его позволяет обойтись без сжатого и жидкого кислорода, отсутствие которых могло бы задержать высотный полет.</w:t>
      </w:r>
    </w:p>
    <w:p w14:paraId="3236C745"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Приборы, регулирующие давление</w:t>
      </w:r>
    </w:p>
    <w:p w14:paraId="7A876C5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Точный прибор записи давления до двух атмосфер позволит заснять полную картину изменения давления в кабине, что весьма важно, как для характеристики герметичности гондолы, так и для проверки работы автоматического регулятора давления кислородного прибора.</w:t>
      </w:r>
    </w:p>
    <w:p w14:paraId="38535FD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Автоматический регулятор давлениея имеет своим назначением поддерживать заданное давление и должен быть выполнен весьма надежно, т.к. сообщается с наружной атмосферой.</w:t>
      </w:r>
    </w:p>
    <w:p w14:paraId="719114E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Аэронавигационные приборы</w:t>
      </w:r>
    </w:p>
    <w:p w14:paraId="65DC7CB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Безинерционный компас (с катодной лампой) разрешит весьма трудный в настоящее время вопрос пользования обычным компасом, который подвержен действию расположенных вокруг него стальных деталей. Безинерционный компас представляет очень интересный новый прибор, который необходимо изучить и внедрить у нас в Союзе...(2304,39).</w:t>
      </w:r>
    </w:p>
    <w:p w14:paraId="56A8A648"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1F000E65"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035044B"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CF295A6"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 1933 машину Д-4 перегнали с Центрального аэродрома в Щелково, на аэродром НИИ ВВС. Государственные испытания велись в период с 8-го по 22 мая 1933 г. (11134).</w:t>
      </w:r>
    </w:p>
    <w:p w14:paraId="3163EA6E" w14:textId="77777777" w:rsidR="00235986" w:rsidRPr="0044524F" w:rsidRDefault="0023598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2551C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7 по 22 мая 1933 проходили гос. испытания опытного самолета ДИ4 с мотором Кертисс Конкверор Е=7,5 N 521 Винт стандарт стиль Д=2,66 м. Шаг винта переменный. Испытания производись на 17,5 делений.</w:t>
      </w:r>
    </w:p>
    <w:p w14:paraId="6FC02F7D"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3AEABE9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самолет - Холодов И.</w:t>
      </w:r>
    </w:p>
    <w:p w14:paraId="5A9E0A75"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Коккинаки</w:t>
      </w:r>
    </w:p>
    <w:p w14:paraId="7C040A6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42104B2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06206F3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556519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ДИ4 - Кертисс Конкверор не может быть допущен к серийной постройке как не отвечающий требованиям к современным двухместным истребителям.</w:t>
      </w:r>
    </w:p>
    <w:p w14:paraId="7B85D15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w:t>
      </w:r>
    </w:p>
    <w:p w14:paraId="57BC161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прохождения испытаний самолета ДИ4-КК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4524F" w14:paraId="2B4D358C" w14:textId="77777777">
        <w:tc>
          <w:tcPr>
            <w:tcW w:w="2818" w:type="dxa"/>
          </w:tcPr>
          <w:p w14:paraId="65A898B8"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 1933 года</w:t>
            </w:r>
          </w:p>
        </w:tc>
        <w:tc>
          <w:tcPr>
            <w:tcW w:w="2818" w:type="dxa"/>
          </w:tcPr>
          <w:p w14:paraId="0FF7AA4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Перелет в Щелково</w:t>
            </w:r>
          </w:p>
        </w:tc>
      </w:tr>
      <w:tr w:rsidR="004E10C1" w:rsidRPr="0044524F" w14:paraId="1343433F" w14:textId="77777777">
        <w:tc>
          <w:tcPr>
            <w:tcW w:w="2818" w:type="dxa"/>
          </w:tcPr>
          <w:p w14:paraId="4C0C131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года</w:t>
            </w:r>
          </w:p>
        </w:tc>
        <w:tc>
          <w:tcPr>
            <w:tcW w:w="2818" w:type="dxa"/>
          </w:tcPr>
          <w:p w14:paraId="0644AA3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Фактическое начало испытаний</w:t>
            </w:r>
          </w:p>
        </w:tc>
      </w:tr>
      <w:tr w:rsidR="004E10C1" w:rsidRPr="0044524F" w14:paraId="712A59FE" w14:textId="77777777">
        <w:tc>
          <w:tcPr>
            <w:tcW w:w="2818" w:type="dxa"/>
          </w:tcPr>
          <w:p w14:paraId="1677890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года</w:t>
            </w:r>
          </w:p>
        </w:tc>
        <w:tc>
          <w:tcPr>
            <w:tcW w:w="2818" w:type="dxa"/>
          </w:tcPr>
          <w:p w14:paraId="02CF98E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Фактическое окончание испытаний</w:t>
            </w:r>
          </w:p>
        </w:tc>
      </w:tr>
    </w:tbl>
    <w:p w14:paraId="00CB515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испытание 15 календарных дней, из них летных 8 дней.</w:t>
      </w:r>
    </w:p>
    <w:p w14:paraId="12FBA4DD"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время нахождения самолета в НИИ ВВС налетано 13 час. 25 мин.</w:t>
      </w:r>
    </w:p>
    <w:p w14:paraId="5AF05F3E"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Сделано посадок - 19 (3914).</w:t>
      </w:r>
    </w:p>
    <w:p w14:paraId="5282B24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7AFDA9AD" w14:textId="77777777" w:rsidR="00360AC0" w:rsidRPr="0044524F" w:rsidRDefault="00360AC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 1933 ДИ-4 перегнали в Щелково, на аэродром НИИ ВВС. Государственные испытания велись в периоде 8-го по 22 мая 1933 г.</w:t>
      </w:r>
    </w:p>
    <w:p w14:paraId="70633CEB" w14:textId="77777777" w:rsidR="00360AC0" w:rsidRPr="0044524F" w:rsidRDefault="00360AC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Признавалось, что ДИ-4 выполнен по не</w:t>
      </w:r>
      <w:r w:rsidRPr="0044524F">
        <w:rPr>
          <w:rFonts w:ascii="Times New Roman" w:hAnsi="Times New Roman"/>
          <w:color w:val="000000" w:themeColor="text1"/>
          <w:sz w:val="16"/>
          <w:szCs w:val="16"/>
        </w:rPr>
        <w:softHyphen/>
        <w:t>современной схеме, с подкосами, крепящи</w:t>
      </w:r>
      <w:r w:rsidRPr="0044524F">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44524F">
        <w:rPr>
          <w:rFonts w:ascii="Times New Roman" w:hAnsi="Times New Roman"/>
          <w:color w:val="000000" w:themeColor="text1"/>
          <w:sz w:val="16"/>
          <w:szCs w:val="16"/>
        </w:rPr>
        <w:softHyphen/>
        <w:t>не использованного толстого профиля. Лет</w:t>
      </w:r>
      <w:r w:rsidRPr="0044524F">
        <w:rPr>
          <w:rFonts w:ascii="Times New Roman" w:hAnsi="Times New Roman"/>
          <w:color w:val="000000" w:themeColor="text1"/>
          <w:sz w:val="16"/>
          <w:szCs w:val="16"/>
        </w:rPr>
        <w:softHyphen/>
        <w:t>ные характеристики оценивались как невы</w:t>
      </w:r>
      <w:r w:rsidRPr="0044524F">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2A24F2F1" w14:textId="77777777" w:rsidR="00360AC0" w:rsidRPr="0044524F" w:rsidRDefault="00360AC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дальнейшем предлагалось вместо двига</w:t>
      </w:r>
      <w:r w:rsidRPr="0044524F">
        <w:rPr>
          <w:rFonts w:ascii="Times New Roman" w:hAnsi="Times New Roman"/>
          <w:color w:val="000000" w:themeColor="text1"/>
          <w:sz w:val="16"/>
          <w:szCs w:val="16"/>
        </w:rPr>
        <w:softHyphen/>
        <w:t>теля Кертисс «Конкверор» использовать оте</w:t>
      </w:r>
      <w:r w:rsidRPr="0044524F">
        <w:rPr>
          <w:rFonts w:ascii="Times New Roman" w:hAnsi="Times New Roman"/>
          <w:color w:val="000000" w:themeColor="text1"/>
          <w:sz w:val="16"/>
          <w:szCs w:val="16"/>
        </w:rPr>
        <w:softHyphen/>
        <w:t>чественный двигатель М-32. Однако пере</w:t>
      </w:r>
      <w:r w:rsidRPr="0044524F">
        <w:rPr>
          <w:rFonts w:ascii="Times New Roman" w:hAnsi="Times New Roman"/>
          <w:color w:val="000000" w:themeColor="text1"/>
          <w:sz w:val="16"/>
          <w:szCs w:val="16"/>
        </w:rPr>
        <w:softHyphen/>
        <w:t>делки при этом могли оказаться столь суще</w:t>
      </w:r>
      <w:r w:rsidRPr="0044524F">
        <w:rPr>
          <w:rFonts w:ascii="Times New Roman" w:hAnsi="Times New Roman"/>
          <w:color w:val="000000" w:themeColor="text1"/>
          <w:sz w:val="16"/>
          <w:szCs w:val="16"/>
        </w:rPr>
        <w:softHyphen/>
        <w:t>ственными, что от совершенствования ма</w:t>
      </w:r>
      <w:r w:rsidRPr="0044524F">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44524F">
        <w:rPr>
          <w:rFonts w:ascii="Times New Roman" w:hAnsi="Times New Roman"/>
          <w:color w:val="000000" w:themeColor="text1"/>
          <w:sz w:val="16"/>
          <w:szCs w:val="16"/>
        </w:rPr>
        <w:softHyphen/>
        <w:t>ной постройке. Опытный экземпляр остави</w:t>
      </w:r>
      <w:r w:rsidRPr="0044524F">
        <w:rPr>
          <w:rFonts w:ascii="Times New Roman" w:hAnsi="Times New Roman"/>
          <w:color w:val="000000" w:themeColor="text1"/>
          <w:sz w:val="16"/>
          <w:szCs w:val="16"/>
        </w:rPr>
        <w:softHyphen/>
        <w:t>ли в НИИ ВВС, где с июля 1934 г. ДИ-4 ис</w:t>
      </w:r>
      <w:r w:rsidRPr="0044524F">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6688CCDC" w14:textId="77777777" w:rsidR="00360AC0" w:rsidRPr="0044524F" w:rsidRDefault="00360AC0" w:rsidP="009654CF">
      <w:pPr>
        <w:pStyle w:val="59"/>
        <w:shd w:val="clear" w:color="auto" w:fill="auto"/>
        <w:spacing w:line="240" w:lineRule="auto"/>
        <w:jc w:val="both"/>
        <w:rPr>
          <w:color w:val="000000" w:themeColor="text1"/>
          <w:szCs w:val="16"/>
        </w:rPr>
      </w:pPr>
      <w:r w:rsidRPr="0044524F">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4E10C1" w:rsidRPr="0044524F" w14:paraId="34ADEAFF" w14:textId="77777777" w:rsidTr="00CE35D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927EE70"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BF30258"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13,36</w:t>
            </w:r>
          </w:p>
        </w:tc>
      </w:tr>
      <w:tr w:rsidR="004E10C1" w:rsidRPr="0044524F" w14:paraId="4F9D7478"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F1D0A63"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82431F5"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8,50</w:t>
            </w:r>
          </w:p>
        </w:tc>
      </w:tr>
      <w:tr w:rsidR="004E10C1" w:rsidRPr="0044524F" w14:paraId="329F6E0E"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68A1215"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Площадь крыла (м</w:t>
            </w:r>
            <w:r w:rsidRPr="0044524F">
              <w:rPr>
                <w:rFonts w:ascii="Times New Roman" w:hAnsi="Times New Roman" w:cs="Times New Roman"/>
                <w:b w:val="0"/>
                <w:color w:val="000000" w:themeColor="text1"/>
                <w:sz w:val="16"/>
                <w:szCs w:val="16"/>
                <w:vertAlign w:val="superscript"/>
              </w:rPr>
              <w:t>2</w:t>
            </w:r>
            <w:r w:rsidRPr="0044524F">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9E49E72"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23,90</w:t>
            </w:r>
          </w:p>
        </w:tc>
      </w:tr>
      <w:tr w:rsidR="004E10C1" w:rsidRPr="0044524F" w14:paraId="622360FC"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94DE57B"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C6963B8"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2,0</w:t>
            </w:r>
          </w:p>
        </w:tc>
      </w:tr>
      <w:tr w:rsidR="004E10C1" w:rsidRPr="0044524F" w14:paraId="4D409EB8"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24C86E8"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CE02036"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1441,0</w:t>
            </w:r>
          </w:p>
        </w:tc>
      </w:tr>
      <w:tr w:rsidR="004E10C1" w:rsidRPr="0044524F" w14:paraId="2FB6EB36"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315E74A"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A56D1AF"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1949</w:t>
            </w:r>
          </w:p>
        </w:tc>
      </w:tr>
      <w:tr w:rsidR="004E10C1" w:rsidRPr="0044524F" w14:paraId="67146449"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76A38C8"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111130B"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266</w:t>
            </w:r>
          </w:p>
        </w:tc>
      </w:tr>
      <w:tr w:rsidR="004E10C1" w:rsidRPr="0044524F" w14:paraId="2429C6E3"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45835D0"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715389E"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248,7</w:t>
            </w:r>
          </w:p>
        </w:tc>
      </w:tr>
      <w:tr w:rsidR="004E10C1" w:rsidRPr="0044524F" w14:paraId="6CCB6DE4"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71BFC2DC"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4A36E4D"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237,0</w:t>
            </w:r>
          </w:p>
        </w:tc>
      </w:tr>
      <w:tr w:rsidR="004E10C1" w:rsidRPr="0044524F" w14:paraId="0EAA32C0"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343AF93"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6B37C08"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7,4</w:t>
            </w:r>
          </w:p>
        </w:tc>
      </w:tr>
      <w:tr w:rsidR="004E10C1" w:rsidRPr="0044524F" w14:paraId="54B2A5B1"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2699C2F"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89985E7"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17,0</w:t>
            </w:r>
          </w:p>
        </w:tc>
      </w:tr>
      <w:tr w:rsidR="004E10C1" w:rsidRPr="0044524F" w14:paraId="32E6187F"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48B48AC"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4E6FD25D"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6440</w:t>
            </w:r>
          </w:p>
        </w:tc>
      </w:tr>
      <w:tr w:rsidR="004E10C1" w:rsidRPr="0044524F" w14:paraId="1740FAE8" w14:textId="77777777" w:rsidTr="00CE35D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0468A64"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D37F864" w14:textId="77777777" w:rsidR="00360AC0" w:rsidRPr="0044524F" w:rsidRDefault="00360AC0"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15,0</w:t>
            </w:r>
          </w:p>
        </w:tc>
      </w:tr>
    </w:tbl>
    <w:p w14:paraId="32E66362" w14:textId="77777777" w:rsidR="00360AC0" w:rsidRPr="0044524F" w:rsidRDefault="00360AC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(12295)</w:t>
      </w:r>
    </w:p>
    <w:p w14:paraId="4B7F7CEB" w14:textId="77777777" w:rsidR="00360AC0" w:rsidRPr="0044524F" w:rsidRDefault="00360AC0" w:rsidP="009654CF">
      <w:pPr>
        <w:spacing w:after="0" w:line="240" w:lineRule="auto"/>
        <w:jc w:val="both"/>
        <w:rPr>
          <w:rFonts w:ascii="Times New Roman" w:hAnsi="Times New Roman"/>
          <w:color w:val="000000" w:themeColor="text1"/>
          <w:sz w:val="16"/>
          <w:szCs w:val="16"/>
        </w:rPr>
      </w:pPr>
    </w:p>
    <w:p w14:paraId="74E826CC" w14:textId="77777777" w:rsidR="00235986" w:rsidRPr="0044524F" w:rsidRDefault="002359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 1933 года Начальник НИИ ВВС Зильберт утвердил протокол Тактико-технического совещания НИИ ВВС (Журнал № 2) от 25 апреля 1933 года (6788).</w:t>
      </w:r>
    </w:p>
    <w:p w14:paraId="092561BD" w14:textId="77777777" w:rsidR="00235986" w:rsidRPr="0044524F" w:rsidRDefault="0023598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разбиравшихся вопросов</w:t>
      </w:r>
    </w:p>
    <w:p w14:paraId="7A234C6C"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физиологии Таран» и рассмотрение требований на специальный самолет ПВО. Докладчик Вершинин.</w:t>
      </w:r>
    </w:p>
    <w:p w14:paraId="3737D75A"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требования на специальный самолет конструкции Заславского. Докладчик Гребенев.</w:t>
      </w:r>
    </w:p>
    <w:p w14:paraId="744D64F2"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Схема самолета В.С. 2 (модель и 2 чертежа). Докладчик Гребенев.</w:t>
      </w:r>
    </w:p>
    <w:p w14:paraId="58267C2B"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требования на самолет 3-х назначений (О.Р., Д.И. и Л.Б.). Докладчик Жемчужин (6788).</w:t>
      </w:r>
    </w:p>
    <w:p w14:paraId="577658F5" w14:textId="77777777" w:rsidR="00235986" w:rsidRPr="0044524F" w:rsidRDefault="00235986"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23F98F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 1934 года № 223/оп была подготовлена Справка о состоянии производства моторов М-34 с редуктором на заводе № 24 им. Фрунзе</w:t>
      </w:r>
    </w:p>
    <w:p w14:paraId="0CDB9C57"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736"/>
        <w:gridCol w:w="2016"/>
      </w:tblGrid>
      <w:tr w:rsidR="004E10C1" w:rsidRPr="0044524F" w14:paraId="3C9D3944" w14:textId="77777777">
        <w:tc>
          <w:tcPr>
            <w:tcW w:w="2736" w:type="dxa"/>
          </w:tcPr>
          <w:p w14:paraId="60096509"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16" w:type="dxa"/>
          </w:tcPr>
          <w:p w14:paraId="6375E348"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Сдать</w:t>
            </w:r>
          </w:p>
        </w:tc>
      </w:tr>
      <w:tr w:rsidR="004E10C1" w:rsidRPr="0044524F" w14:paraId="2AF18C93" w14:textId="77777777">
        <w:tc>
          <w:tcPr>
            <w:tcW w:w="2736" w:type="dxa"/>
          </w:tcPr>
          <w:p w14:paraId="76AAC60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Январь 1934 года</w:t>
            </w:r>
          </w:p>
        </w:tc>
        <w:tc>
          <w:tcPr>
            <w:tcW w:w="2016" w:type="dxa"/>
          </w:tcPr>
          <w:p w14:paraId="107D1DEB"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моторов</w:t>
            </w:r>
          </w:p>
        </w:tc>
      </w:tr>
      <w:tr w:rsidR="004E10C1" w:rsidRPr="0044524F" w14:paraId="37A069C1" w14:textId="77777777">
        <w:tc>
          <w:tcPr>
            <w:tcW w:w="2736" w:type="dxa"/>
          </w:tcPr>
          <w:p w14:paraId="0FAAB2D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Февраль 1934 года</w:t>
            </w:r>
          </w:p>
        </w:tc>
        <w:tc>
          <w:tcPr>
            <w:tcW w:w="2016" w:type="dxa"/>
          </w:tcPr>
          <w:p w14:paraId="229B372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моторов</w:t>
            </w:r>
          </w:p>
        </w:tc>
      </w:tr>
      <w:tr w:rsidR="004E10C1" w:rsidRPr="0044524F" w14:paraId="50045B68" w14:textId="77777777">
        <w:tc>
          <w:tcPr>
            <w:tcW w:w="2736" w:type="dxa"/>
          </w:tcPr>
          <w:p w14:paraId="2005D1A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Март 1934 года</w:t>
            </w:r>
          </w:p>
        </w:tc>
        <w:tc>
          <w:tcPr>
            <w:tcW w:w="2016" w:type="dxa"/>
          </w:tcPr>
          <w:p w14:paraId="1A47D007"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 моторов</w:t>
            </w:r>
          </w:p>
        </w:tc>
      </w:tr>
      <w:tr w:rsidR="004E10C1" w:rsidRPr="0044524F" w14:paraId="6A355284" w14:textId="77777777">
        <w:tc>
          <w:tcPr>
            <w:tcW w:w="2736" w:type="dxa"/>
          </w:tcPr>
          <w:p w14:paraId="52338DD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Апрель 1934 года</w:t>
            </w:r>
          </w:p>
        </w:tc>
        <w:tc>
          <w:tcPr>
            <w:tcW w:w="2016" w:type="dxa"/>
          </w:tcPr>
          <w:p w14:paraId="1ED4F12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 моторов</w:t>
            </w:r>
          </w:p>
        </w:tc>
      </w:tr>
      <w:tr w:rsidR="004E10C1" w:rsidRPr="0044524F" w14:paraId="202E0037" w14:textId="77777777">
        <w:tc>
          <w:tcPr>
            <w:tcW w:w="2736" w:type="dxa"/>
          </w:tcPr>
          <w:p w14:paraId="1AAB85DF"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2016" w:type="dxa"/>
          </w:tcPr>
          <w:p w14:paraId="413B6F6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 моторов</w:t>
            </w:r>
          </w:p>
        </w:tc>
      </w:tr>
    </w:tbl>
    <w:p w14:paraId="1FCAF521"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на 1 мая 1934 года:</w:t>
      </w:r>
    </w:p>
    <w:p w14:paraId="482AC0D7"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в узлах 100 моторов</w:t>
      </w:r>
    </w:p>
    <w:p w14:paraId="2B34C762"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Прошло 3-х часовые испытания – 69 моторов</w:t>
      </w:r>
    </w:p>
    <w:p w14:paraId="22D1B4D3"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Прошло 20 м. сдаточных испытания 42 мотора (4267,37-38).</w:t>
      </w:r>
    </w:p>
    <w:p w14:paraId="6212BB4C"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03A838BE" w14:textId="77777777" w:rsidR="00A47E93" w:rsidRPr="0044524F" w:rsidRDefault="00A47E93" w:rsidP="009654CF">
      <w:pPr>
        <w:pStyle w:val="rtejustify"/>
        <w:spacing w:before="0" w:after="0"/>
        <w:rPr>
          <w:color w:val="000000" w:themeColor="text1"/>
          <w:sz w:val="16"/>
          <w:szCs w:val="16"/>
        </w:rPr>
      </w:pPr>
      <w:r w:rsidRPr="0044524F">
        <w:rPr>
          <w:rStyle w:val="af0"/>
          <w:bCs/>
          <w:i w:val="0"/>
          <w:color w:val="000000" w:themeColor="text1"/>
          <w:sz w:val="16"/>
          <w:szCs w:val="16"/>
        </w:rPr>
        <w:t>7 мая</w:t>
      </w:r>
      <w:r w:rsidRPr="0044524F">
        <w:rPr>
          <w:color w:val="000000" w:themeColor="text1"/>
          <w:sz w:val="16"/>
          <w:szCs w:val="16"/>
        </w:rPr>
        <w:t xml:space="preserve"> 1933. Постановление СТО СССР № 29сс/о «Об ассигновании заводу «Красный двигатель» на узкооборонное строительство в 1933 г. 250 тыс. руб.». (ГА РФ. Ф. Р</w:t>
      </w:r>
      <w:r w:rsidRPr="0044524F">
        <w:rPr>
          <w:color w:val="000000" w:themeColor="text1"/>
          <w:sz w:val="16"/>
          <w:szCs w:val="16"/>
        </w:rPr>
        <w:noBreakHyphen/>
        <w:t>8418. Оп. 28. Д. 1. Л. 140) (15460).</w:t>
      </w:r>
    </w:p>
    <w:p w14:paraId="6795743D" w14:textId="77777777" w:rsidR="00A47E93" w:rsidRPr="0044524F" w:rsidRDefault="00A47E93" w:rsidP="009654CF">
      <w:pPr>
        <w:pStyle w:val="rtejustify"/>
        <w:spacing w:before="0" w:after="0"/>
        <w:rPr>
          <w:color w:val="000000" w:themeColor="text1"/>
          <w:sz w:val="16"/>
          <w:szCs w:val="16"/>
        </w:rPr>
      </w:pPr>
    </w:p>
    <w:p w14:paraId="646558C3" w14:textId="77777777" w:rsidR="00881227" w:rsidRPr="0044524F" w:rsidRDefault="0088122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 xml:space="preserve">На 7 мая 1933 назначили начало деятельности эскадрильи имени М.Горького — именно в этот день состоялся воздушный парад на Центральном аэродроме Москвы, в котором участвовали все самолеты во главе с АНТ-14 «Правда». Между тем, на ряде фотографий, выполненных 7 мая, в строю между АНТ-14 СССР-Ш001 и К-5 </w:t>
      </w:r>
      <w:r w:rsidRPr="0044524F">
        <w:rPr>
          <w:rFonts w:ascii="Times New Roman" w:hAnsi="Times New Roman"/>
          <w:color w:val="000000" w:themeColor="text1"/>
          <w:sz w:val="16"/>
          <w:szCs w:val="16"/>
          <w:lang w:val="en-US" w:bidi="en-US"/>
        </w:rPr>
        <w:t>CCGP</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 xml:space="preserve">410 </w:t>
      </w:r>
      <w:r w:rsidRPr="0044524F">
        <w:rPr>
          <w:rFonts w:ascii="Times New Roman" w:hAnsi="Times New Roman"/>
          <w:color w:val="000000" w:themeColor="text1"/>
          <w:sz w:val="16"/>
          <w:szCs w:val="16"/>
          <w:lang w:eastAsia="ru-RU" w:bidi="ru-RU"/>
        </w:rPr>
        <w:t>находится Сталь-2 с двигателем М-26 и бортовым номером СССР-Ш003. Изве</w:t>
      </w:r>
      <w:r w:rsidRPr="0044524F">
        <w:rPr>
          <w:rFonts w:ascii="Times New Roman" w:hAnsi="Times New Roman"/>
          <w:color w:val="000000" w:themeColor="text1"/>
          <w:sz w:val="16"/>
          <w:szCs w:val="16"/>
          <w:lang w:eastAsia="ru-RU" w:bidi="ru-RU"/>
        </w:rPr>
        <w:softHyphen/>
        <w:t>стно, что машину СССР-Ш003 зарегистрировали в эскад</w:t>
      </w:r>
      <w:r w:rsidRPr="0044524F">
        <w:rPr>
          <w:rFonts w:ascii="Times New Roman" w:hAnsi="Times New Roman"/>
          <w:color w:val="000000" w:themeColor="text1"/>
          <w:sz w:val="16"/>
          <w:szCs w:val="16"/>
          <w:lang w:eastAsia="ru-RU" w:bidi="ru-RU"/>
        </w:rPr>
        <w:softHyphen/>
        <w:t>рилье буквально накануне - 6 мая. Однако более удивитель</w:t>
      </w:r>
      <w:r w:rsidRPr="0044524F">
        <w:rPr>
          <w:rFonts w:ascii="Times New Roman" w:hAnsi="Times New Roman"/>
          <w:color w:val="000000" w:themeColor="text1"/>
          <w:sz w:val="16"/>
          <w:szCs w:val="16"/>
          <w:lang w:eastAsia="ru-RU" w:bidi="ru-RU"/>
        </w:rPr>
        <w:softHyphen/>
        <w:t>ным моментом является надпись «Известия» на борту фюзеляжа. Получается, что было два самолета с одним назва</w:t>
      </w:r>
      <w:r w:rsidRPr="0044524F">
        <w:rPr>
          <w:rFonts w:ascii="Times New Roman" w:hAnsi="Times New Roman"/>
          <w:color w:val="000000" w:themeColor="text1"/>
          <w:sz w:val="16"/>
          <w:szCs w:val="16"/>
          <w:lang w:eastAsia="ru-RU" w:bidi="ru-RU"/>
        </w:rPr>
        <w:softHyphen/>
        <w:t>нием, что не вполне естест</w:t>
      </w:r>
      <w:r w:rsidRPr="0044524F">
        <w:rPr>
          <w:rFonts w:ascii="Times New Roman" w:hAnsi="Times New Roman"/>
          <w:color w:val="000000" w:themeColor="text1"/>
          <w:sz w:val="16"/>
          <w:szCs w:val="16"/>
          <w:lang w:eastAsia="ru-RU" w:bidi="ru-RU"/>
        </w:rPr>
        <w:softHyphen/>
        <w:t xml:space="preserve">венно. Возможно, считалось, что опытный экземпляр уже поизносился, и ему заранее готовили замену. Но, как бы то ни было, 7 мая Фарих с Шекуровым вылетели из Москвы именно на </w:t>
      </w:r>
      <w:r w:rsidRPr="0044524F">
        <w:rPr>
          <w:rFonts w:ascii="Times New Roman" w:hAnsi="Times New Roman"/>
          <w:color w:val="000000" w:themeColor="text1"/>
          <w:sz w:val="16"/>
          <w:szCs w:val="16"/>
          <w:lang w:val="en-US" w:bidi="en-US"/>
        </w:rPr>
        <w:t>URSS</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 xml:space="preserve">800 </w:t>
      </w:r>
      <w:r w:rsidRPr="0044524F">
        <w:rPr>
          <w:rFonts w:ascii="Times New Roman" w:hAnsi="Times New Roman"/>
          <w:color w:val="000000" w:themeColor="text1"/>
          <w:sz w:val="16"/>
          <w:szCs w:val="16"/>
          <w:lang w:eastAsia="ru-RU" w:bidi="ru-RU"/>
        </w:rPr>
        <w:t>в направлении Харькова и в последующие дни совершили «большой рейс» по Украине. Особых по</w:t>
      </w:r>
      <w:r w:rsidRPr="0044524F">
        <w:rPr>
          <w:rFonts w:ascii="Times New Roman" w:hAnsi="Times New Roman"/>
          <w:color w:val="000000" w:themeColor="text1"/>
          <w:sz w:val="16"/>
          <w:szCs w:val="16"/>
          <w:lang w:eastAsia="ru-RU" w:bidi="ru-RU"/>
        </w:rPr>
        <w:softHyphen/>
        <w:t>дробностей этого путешест</w:t>
      </w:r>
      <w:r w:rsidRPr="0044524F">
        <w:rPr>
          <w:rFonts w:ascii="Times New Roman" w:hAnsi="Times New Roman"/>
          <w:color w:val="000000" w:themeColor="text1"/>
          <w:sz w:val="16"/>
          <w:szCs w:val="16"/>
          <w:lang w:eastAsia="ru-RU" w:bidi="ru-RU"/>
        </w:rPr>
        <w:softHyphen/>
        <w:t>вия обнаружить не удалось, но отмечалось, что среди на</w:t>
      </w:r>
      <w:r w:rsidRPr="0044524F">
        <w:rPr>
          <w:rFonts w:ascii="Times New Roman" w:hAnsi="Times New Roman"/>
          <w:color w:val="000000" w:themeColor="text1"/>
          <w:sz w:val="16"/>
          <w:szCs w:val="16"/>
          <w:lang w:eastAsia="ru-RU" w:bidi="ru-RU"/>
        </w:rPr>
        <w:softHyphen/>
        <w:t>селения проводилась лотерея на право совершения озна</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eastAsia="ru-RU" w:bidi="ru-RU"/>
        </w:rPr>
        <w:t>комительного полета на самолете. Забегая вперед, отметим, что такая практика подъема в воздух явилась одним из ос</w:t>
      </w:r>
      <w:r w:rsidRPr="0044524F">
        <w:rPr>
          <w:rFonts w:ascii="Times New Roman" w:hAnsi="Times New Roman"/>
          <w:color w:val="000000" w:themeColor="text1"/>
          <w:sz w:val="16"/>
          <w:szCs w:val="16"/>
          <w:lang w:eastAsia="ru-RU" w:bidi="ru-RU"/>
        </w:rPr>
        <w:softHyphen/>
        <w:t>новных методов агитационного воздействия на население, за время существования агитационной эскадрильи «воздуш</w:t>
      </w:r>
      <w:r w:rsidRPr="0044524F">
        <w:rPr>
          <w:rFonts w:ascii="Times New Roman" w:hAnsi="Times New Roman"/>
          <w:color w:val="000000" w:themeColor="text1"/>
          <w:sz w:val="16"/>
          <w:szCs w:val="16"/>
          <w:lang w:eastAsia="ru-RU" w:bidi="ru-RU"/>
        </w:rPr>
        <w:softHyphen/>
        <w:t>ное крещение» получили свыше 100 тысяч человек.</w:t>
      </w:r>
    </w:p>
    <w:p w14:paraId="1F0B1505" w14:textId="77777777" w:rsidR="00881227" w:rsidRPr="0044524F" w:rsidRDefault="00881227"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В летний сезон 1933 года агитационные полеты продол</w:t>
      </w:r>
      <w:r w:rsidRPr="0044524F">
        <w:rPr>
          <w:rFonts w:ascii="Times New Roman" w:hAnsi="Times New Roman"/>
          <w:color w:val="000000" w:themeColor="text1"/>
          <w:sz w:val="16"/>
          <w:szCs w:val="16"/>
          <w:lang w:eastAsia="ru-RU" w:bidi="ru-RU"/>
        </w:rPr>
        <w:softHyphen/>
        <w:t xml:space="preserve">жились. В записях о делах эскадрильи указывается, что Сталь-2 </w:t>
      </w:r>
      <w:r w:rsidRPr="0044524F">
        <w:rPr>
          <w:rFonts w:ascii="Times New Roman" w:hAnsi="Times New Roman"/>
          <w:color w:val="000000" w:themeColor="text1"/>
          <w:sz w:val="16"/>
          <w:szCs w:val="16"/>
          <w:lang w:val="en-US" w:bidi="en-US"/>
        </w:rPr>
        <w:t>URSS</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 xml:space="preserve">800 </w:t>
      </w:r>
      <w:r w:rsidRPr="0044524F">
        <w:rPr>
          <w:rFonts w:ascii="Times New Roman" w:hAnsi="Times New Roman"/>
          <w:color w:val="000000" w:themeColor="text1"/>
          <w:sz w:val="16"/>
          <w:szCs w:val="16"/>
          <w:lang w:eastAsia="ru-RU" w:bidi="ru-RU"/>
        </w:rPr>
        <w:t>вылетал в экспедиции в июне-июле те</w:t>
      </w:r>
      <w:r w:rsidRPr="0044524F">
        <w:rPr>
          <w:rFonts w:ascii="Times New Roman" w:hAnsi="Times New Roman"/>
          <w:color w:val="000000" w:themeColor="text1"/>
          <w:sz w:val="16"/>
          <w:szCs w:val="16"/>
          <w:lang w:eastAsia="ru-RU" w:bidi="ru-RU"/>
        </w:rPr>
        <w:softHyphen/>
        <w:t>кущего года (20365).</w:t>
      </w:r>
    </w:p>
    <w:p w14:paraId="0732350A" w14:textId="77777777" w:rsidR="00881227" w:rsidRPr="0044524F" w:rsidRDefault="00881227" w:rsidP="009654CF">
      <w:pPr>
        <w:spacing w:after="0" w:line="240" w:lineRule="auto"/>
        <w:jc w:val="both"/>
        <w:rPr>
          <w:rFonts w:ascii="Times New Roman" w:hAnsi="Times New Roman"/>
          <w:color w:val="000000" w:themeColor="text1"/>
          <w:sz w:val="16"/>
          <w:szCs w:val="16"/>
          <w:lang w:eastAsia="ru-RU" w:bidi="ru-RU"/>
        </w:rPr>
      </w:pPr>
    </w:p>
    <w:p w14:paraId="6B99303C" w14:textId="77777777" w:rsidR="0023598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EDC5319" w14:textId="77777777" w:rsidR="00235986" w:rsidRPr="0044524F" w:rsidRDefault="0023598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56CD61A"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 1934 на Амуре была создана Еврейская автономная область с центром в Биробиджане (3960, 179).</w:t>
      </w:r>
    </w:p>
    <w:p w14:paraId="0B5E6C34" w14:textId="77777777" w:rsidR="00235986" w:rsidRPr="0044524F" w:rsidRDefault="00235986" w:rsidP="009654CF">
      <w:pPr>
        <w:autoSpaceDE w:val="0"/>
        <w:autoSpaceDN w:val="0"/>
        <w:adjustRightInd w:val="0"/>
        <w:spacing w:after="0" w:line="240" w:lineRule="auto"/>
        <w:jc w:val="both"/>
        <w:rPr>
          <w:rFonts w:ascii="Times New Roman" w:hAnsi="Times New Roman"/>
          <w:color w:val="000000" w:themeColor="text1"/>
          <w:sz w:val="16"/>
          <w:szCs w:val="16"/>
        </w:rPr>
      </w:pPr>
    </w:p>
    <w:p w14:paraId="4069C8AE"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544811F"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01A47C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 1933 г. Крестинский, стоявший весьма близко к «центру выработки политических решений» Советского Союза (и даже жил в Кремле), секретным письмом ориентировал полпреда в Берлине Хинчука о том, что ратификацию протокола и обмен ратификационными грамотами (Состоялся 5 мая 1933 г.) правительство Гитлера старается использовать для того, чтобы «пробить брешь в отношениях между СССР, с одной стороны, Францией и Польшей — с другой &lt;...&gt;. В тех же целях, противодействия сближению между нами и Францией, гермпра постарается использовать предстоящий на днях приезд сюда генерала Боккельберга, ведающего вооружением рейхсвера». «&lt;...&gt; Во Франции и в Польше совершено спокойно отнесутся к тому, что состоялась ратификация давно подписанного протокола, ратификация, фактически не вносящая ничего нового в советско-германские отношения. Я не боюсь поэтому внешнеполитического вреда (sic!) от вступления Московского протокола в силу» (АВП РФ, ф. 05, оп. 13, п. 91, Д. 27, л. 16-17.). Такие слова из-под пера одного из активнейших поборников и проводников «рапалльской политики», коим был Крестинский, означали только одно: отношение политического руководства СССР в пользу отхода от стратегического сотрудничества с Германией было уже определено, и нужен был лишь приемлемый повод. Тем не менее визит военной делегации Боккельберга в СССР 8 — 25 мая 1933 г. был проведен с большой помпой и, по свидетельству Хильгера, «в прежнем духе согласия и доброй воли» (Hilger Gustav. Op. cit. S. 246.). В ходе подготовки визита Берзин еще 29 марта 1933 г. представил обширный план показа военной промышленности Боккельбергу с указанием конкретных объектов. Документ Ворошилов переадресовал Сталину, сопроводив его припиской: «т.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on. 3, д. 497, л. 103,104-106.). Сталин не возражал. Боккельберга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артмастерские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Боккельберг отнесся внимательно к высказываниям Тухачевского 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Боккельберг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on. 3, д. 505, л. 135-137.) (11784).</w:t>
      </w:r>
    </w:p>
    <w:p w14:paraId="2B41262B" w14:textId="2017D7AE"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4DB9EA27" w14:textId="15ADEE92" w:rsidR="00DE4AED" w:rsidRPr="0044524F" w:rsidRDefault="00DE4AED"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17CA6DB6" w14:textId="77777777" w:rsidR="00DE4AED" w:rsidRPr="0044524F" w:rsidRDefault="00DE4AED"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375B1F39" w14:textId="77777777" w:rsidR="00DE4AED" w:rsidRPr="0044524F" w:rsidRDefault="00DE4A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 мая 1933 Станислав Скаржински совершает перелет через Южную Атлантику из Сенегала в Бразилию на небольшом одноместном туристическом самолете RWD-5bis за 20 часов 30 минут на расстояние 3582 км (2226 миль). RWD-5bis был самым маленьким самолетом, который когда-либо летал над Атлантикой - пустой вес менее 450 кг (990 фунтов), с нагрузклй - 1100 кг. С 27 апреля по 24 июня он является частью рейса Варшава - Рио-де-Жанейро протяженностью 17 885 км (20802).</w:t>
      </w:r>
    </w:p>
    <w:p w14:paraId="3DC9A3F3" w14:textId="77777777" w:rsidR="00DE4AED" w:rsidRPr="0044524F" w:rsidRDefault="00DE4AED" w:rsidP="009654CF">
      <w:pPr>
        <w:spacing w:after="0" w:line="240" w:lineRule="auto"/>
        <w:jc w:val="both"/>
        <w:rPr>
          <w:rFonts w:ascii="Times New Roman" w:hAnsi="Times New Roman"/>
          <w:color w:val="000000" w:themeColor="text1"/>
          <w:sz w:val="16"/>
          <w:szCs w:val="16"/>
        </w:rPr>
      </w:pPr>
    </w:p>
    <w:p w14:paraId="7D61F6EA"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24A7129"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CE3F900"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с 8-го по 22 мая 1933 г. проходили госиспытания ДИ-4</w:t>
      </w:r>
    </w:p>
    <w:p w14:paraId="00D45D4E"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Признавалось, что ДИ-4 выполнен по не</w:t>
      </w:r>
      <w:r w:rsidRPr="0044524F">
        <w:rPr>
          <w:rFonts w:ascii="Times New Roman" w:hAnsi="Times New Roman"/>
          <w:color w:val="000000" w:themeColor="text1"/>
          <w:sz w:val="16"/>
          <w:szCs w:val="16"/>
        </w:rPr>
        <w:softHyphen/>
        <w:t>современной схеме, с подкосами, крепящи</w:t>
      </w:r>
      <w:r w:rsidRPr="0044524F">
        <w:rPr>
          <w:rFonts w:ascii="Times New Roman" w:hAnsi="Times New Roman"/>
          <w:color w:val="000000" w:themeColor="text1"/>
          <w:sz w:val="16"/>
          <w:szCs w:val="16"/>
        </w:rPr>
        <w:softHyphen/>
        <w:t>мися на шасси. Само шасси очень сложное и неудобное в обслуживании. Как недостаток указывался большой вес конструкции, крыло в виде «чайки» не улучшало обзор по причи</w:t>
      </w:r>
      <w:r w:rsidRPr="0044524F">
        <w:rPr>
          <w:rFonts w:ascii="Times New Roman" w:hAnsi="Times New Roman"/>
          <w:color w:val="000000" w:themeColor="text1"/>
          <w:sz w:val="16"/>
          <w:szCs w:val="16"/>
        </w:rPr>
        <w:softHyphen/>
        <w:t>не использованного толстого профиля. Лет</w:t>
      </w:r>
      <w:r w:rsidRPr="0044524F">
        <w:rPr>
          <w:rFonts w:ascii="Times New Roman" w:hAnsi="Times New Roman"/>
          <w:color w:val="000000" w:themeColor="text1"/>
          <w:sz w:val="16"/>
          <w:szCs w:val="16"/>
        </w:rPr>
        <w:softHyphen/>
        <w:t>ные характеристики оценивались как невы</w:t>
      </w:r>
      <w:r w:rsidRPr="0044524F">
        <w:rPr>
          <w:rFonts w:ascii="Times New Roman" w:hAnsi="Times New Roman"/>
          <w:color w:val="000000" w:themeColor="text1"/>
          <w:sz w:val="16"/>
          <w:szCs w:val="16"/>
        </w:rPr>
        <w:softHyphen/>
        <w:t>сокие. Впрочем, самолет с трудом входил в штопор, однако прекрасно из него выходил.</w:t>
      </w:r>
    </w:p>
    <w:p w14:paraId="6E0C26D1"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дальнейшем предлагалось вместо двига</w:t>
      </w:r>
      <w:r w:rsidRPr="0044524F">
        <w:rPr>
          <w:rFonts w:ascii="Times New Roman" w:hAnsi="Times New Roman"/>
          <w:color w:val="000000" w:themeColor="text1"/>
          <w:sz w:val="16"/>
          <w:szCs w:val="16"/>
        </w:rPr>
        <w:softHyphen/>
        <w:t>теля Кертисс «Конкверор» использовать оте</w:t>
      </w:r>
      <w:r w:rsidRPr="0044524F">
        <w:rPr>
          <w:rFonts w:ascii="Times New Roman" w:hAnsi="Times New Roman"/>
          <w:color w:val="000000" w:themeColor="text1"/>
          <w:sz w:val="16"/>
          <w:szCs w:val="16"/>
        </w:rPr>
        <w:softHyphen/>
        <w:t>чественный двигатель М-32. Однако пере</w:t>
      </w:r>
      <w:r w:rsidRPr="0044524F">
        <w:rPr>
          <w:rFonts w:ascii="Times New Roman" w:hAnsi="Times New Roman"/>
          <w:color w:val="000000" w:themeColor="text1"/>
          <w:sz w:val="16"/>
          <w:szCs w:val="16"/>
        </w:rPr>
        <w:softHyphen/>
        <w:t>делки при этом могли оказаться столь суще</w:t>
      </w:r>
      <w:r w:rsidRPr="0044524F">
        <w:rPr>
          <w:rFonts w:ascii="Times New Roman" w:hAnsi="Times New Roman"/>
          <w:color w:val="000000" w:themeColor="text1"/>
          <w:sz w:val="16"/>
          <w:szCs w:val="16"/>
        </w:rPr>
        <w:softHyphen/>
        <w:t>ственными, что от совершенствования ма</w:t>
      </w:r>
      <w:r w:rsidRPr="0044524F">
        <w:rPr>
          <w:rFonts w:ascii="Times New Roman" w:hAnsi="Times New Roman"/>
          <w:color w:val="000000" w:themeColor="text1"/>
          <w:sz w:val="16"/>
          <w:szCs w:val="16"/>
        </w:rPr>
        <w:softHyphen/>
        <w:t>шины отказались. В результате было решено, что самолет не может быть допущен к серий</w:t>
      </w:r>
      <w:r w:rsidRPr="0044524F">
        <w:rPr>
          <w:rFonts w:ascii="Times New Roman" w:hAnsi="Times New Roman"/>
          <w:color w:val="000000" w:themeColor="text1"/>
          <w:sz w:val="16"/>
          <w:szCs w:val="16"/>
        </w:rPr>
        <w:softHyphen/>
        <w:t>ной постройке. Опытный экземпляр остави</w:t>
      </w:r>
      <w:r w:rsidRPr="0044524F">
        <w:rPr>
          <w:rFonts w:ascii="Times New Roman" w:hAnsi="Times New Roman"/>
          <w:color w:val="000000" w:themeColor="text1"/>
          <w:sz w:val="16"/>
          <w:szCs w:val="16"/>
        </w:rPr>
        <w:softHyphen/>
        <w:t>ли в НИИ ВВС, где с июля 1934 г. ДИ-4 ис</w:t>
      </w:r>
      <w:r w:rsidRPr="0044524F">
        <w:rPr>
          <w:rFonts w:ascii="Times New Roman" w:hAnsi="Times New Roman"/>
          <w:color w:val="000000" w:themeColor="text1"/>
          <w:sz w:val="16"/>
          <w:szCs w:val="16"/>
        </w:rPr>
        <w:softHyphen/>
        <w:t>пользовался в испытательных полетах для сравнения с другими истребителями.</w:t>
      </w:r>
    </w:p>
    <w:p w14:paraId="633A0394" w14:textId="77777777" w:rsidR="0058354C" w:rsidRPr="0044524F" w:rsidRDefault="0058354C" w:rsidP="009654CF">
      <w:pPr>
        <w:pStyle w:val="59"/>
        <w:shd w:val="clear" w:color="auto" w:fill="auto"/>
        <w:spacing w:line="240" w:lineRule="auto"/>
        <w:jc w:val="both"/>
        <w:rPr>
          <w:color w:val="000000" w:themeColor="text1"/>
          <w:szCs w:val="16"/>
        </w:rPr>
      </w:pPr>
      <w:r w:rsidRPr="0044524F">
        <w:rPr>
          <w:rStyle w:val="50pt"/>
          <w:color w:val="000000" w:themeColor="text1"/>
          <w:spacing w:val="0"/>
          <w:szCs w:val="16"/>
        </w:rPr>
        <w:t>Основные технические характеристики ДИ-4</w:t>
      </w:r>
    </w:p>
    <w:tbl>
      <w:tblPr>
        <w:tblW w:w="0" w:type="auto"/>
        <w:tblLayout w:type="fixed"/>
        <w:tblCellMar>
          <w:left w:w="10" w:type="dxa"/>
          <w:right w:w="10" w:type="dxa"/>
        </w:tblCellMar>
        <w:tblLook w:val="0000" w:firstRow="0" w:lastRow="0" w:firstColumn="0" w:lastColumn="0" w:noHBand="0" w:noVBand="0"/>
      </w:tblPr>
      <w:tblGrid>
        <w:gridCol w:w="3931"/>
        <w:gridCol w:w="1836"/>
      </w:tblGrid>
      <w:tr w:rsidR="004E10C1" w:rsidRPr="0044524F" w14:paraId="2464FA28" w14:textId="77777777" w:rsidTr="00CE35D9">
        <w:trPr>
          <w:trHeight w:val="252"/>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3A84079"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Размах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8BE3787"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13,36</w:t>
            </w:r>
          </w:p>
        </w:tc>
      </w:tr>
      <w:tr w:rsidR="004E10C1" w:rsidRPr="0044524F" w14:paraId="73624036"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50DD8847"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Длина(м)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DC1EB06"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8,50</w:t>
            </w:r>
          </w:p>
        </w:tc>
      </w:tr>
      <w:tr w:rsidR="004E10C1" w:rsidRPr="0044524F" w14:paraId="41846865"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B463B33"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Площадь крыла (м</w:t>
            </w:r>
            <w:r w:rsidRPr="0044524F">
              <w:rPr>
                <w:rFonts w:ascii="Times New Roman" w:hAnsi="Times New Roman" w:cs="Times New Roman"/>
                <w:b w:val="0"/>
                <w:color w:val="000000" w:themeColor="text1"/>
                <w:sz w:val="16"/>
                <w:szCs w:val="16"/>
                <w:vertAlign w:val="superscript"/>
              </w:rPr>
              <w:t>2</w:t>
            </w:r>
            <w:r w:rsidRPr="0044524F">
              <w:rPr>
                <w:rFonts w:ascii="Times New Roman" w:hAnsi="Times New Roman" w:cs="Times New Roman"/>
                <w:b w:val="0"/>
                <w:color w:val="000000" w:themeColor="text1"/>
                <w:sz w:val="16"/>
                <w:szCs w:val="16"/>
              </w:rPr>
              <w:t>)</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059D670"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23,90</w:t>
            </w:r>
          </w:p>
        </w:tc>
      </w:tr>
      <w:tr w:rsidR="004E10C1" w:rsidRPr="0044524F" w14:paraId="46BE7B87"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FA5BF24"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Хорда крыла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64A27063"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2,0</w:t>
            </w:r>
          </w:p>
        </w:tc>
      </w:tr>
      <w:tr w:rsidR="004E10C1" w:rsidRPr="0044524F" w14:paraId="55D3F5A5"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1495C3A9"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Вес пустого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07FE729"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1441,0</w:t>
            </w:r>
          </w:p>
        </w:tc>
      </w:tr>
      <w:tr w:rsidR="004E10C1" w:rsidRPr="0044524F" w14:paraId="14457C84"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3F83AE68"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Полетный вес (кг)</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39C6A219"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1949</w:t>
            </w:r>
          </w:p>
        </w:tc>
      </w:tr>
      <w:tr w:rsidR="004E10C1" w:rsidRPr="0044524F" w14:paraId="6BFCF429"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48C688DA"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37CF62E"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266</w:t>
            </w:r>
          </w:p>
        </w:tc>
      </w:tr>
      <w:tr w:rsidR="004E10C1" w:rsidRPr="0044524F" w14:paraId="62F9F4EF"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22FC499"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Н=3000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5D961D96"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248,7</w:t>
            </w:r>
          </w:p>
        </w:tc>
      </w:tr>
      <w:tr w:rsidR="004E10C1" w:rsidRPr="0044524F" w14:paraId="71EEA621"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A364ED1"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Скорость максимальная Н=5000 (км/ч)</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007A612D"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237,0</w:t>
            </w:r>
          </w:p>
        </w:tc>
      </w:tr>
      <w:tr w:rsidR="004E10C1" w:rsidRPr="0044524F" w14:paraId="077AD25D"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B683553"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набора высоты 3000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7D2A7C4"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7,4</w:t>
            </w:r>
          </w:p>
        </w:tc>
      </w:tr>
      <w:tr w:rsidR="004E10C1" w:rsidRPr="0044524F" w14:paraId="6C7357F6" w14:textId="77777777" w:rsidTr="00CE35D9">
        <w:trPr>
          <w:trHeight w:val="241"/>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0DE4EA31"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набора высоты 5000 м (мин.)</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21F91A51"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17,0</w:t>
            </w:r>
          </w:p>
        </w:tc>
      </w:tr>
      <w:tr w:rsidR="004E10C1" w:rsidRPr="0044524F" w14:paraId="06B4F8BE" w14:textId="77777777" w:rsidTr="00CE35D9">
        <w:trPr>
          <w:trHeight w:val="245"/>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20025D99"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Практический потолок (м)</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15CD7959"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6440</w:t>
            </w:r>
          </w:p>
        </w:tc>
      </w:tr>
      <w:tr w:rsidR="004E10C1" w:rsidRPr="0044524F" w14:paraId="0C3F8D39" w14:textId="77777777" w:rsidTr="00CE35D9">
        <w:trPr>
          <w:trHeight w:val="259"/>
        </w:trPr>
        <w:tc>
          <w:tcPr>
            <w:tcW w:w="3931" w:type="dxa"/>
            <w:tcBorders>
              <w:top w:val="single" w:sz="6" w:space="0" w:color="auto"/>
              <w:left w:val="single" w:sz="6" w:space="0" w:color="auto"/>
              <w:bottom w:val="single" w:sz="6" w:space="0" w:color="auto"/>
              <w:right w:val="single" w:sz="6" w:space="0" w:color="auto"/>
            </w:tcBorders>
            <w:shd w:val="clear" w:color="auto" w:fill="FFFFFF"/>
          </w:tcPr>
          <w:p w14:paraId="67B74758"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Время виража на 100 м (сек.)</w:t>
            </w:r>
          </w:p>
        </w:tc>
        <w:tc>
          <w:tcPr>
            <w:tcW w:w="1836" w:type="dxa"/>
            <w:tcBorders>
              <w:top w:val="single" w:sz="6" w:space="0" w:color="auto"/>
              <w:left w:val="single" w:sz="6" w:space="0" w:color="auto"/>
              <w:bottom w:val="single" w:sz="6" w:space="0" w:color="auto"/>
              <w:right w:val="single" w:sz="6" w:space="0" w:color="auto"/>
            </w:tcBorders>
            <w:shd w:val="clear" w:color="auto" w:fill="FFFFFF"/>
          </w:tcPr>
          <w:p w14:paraId="7D38EF41" w14:textId="77777777" w:rsidR="0058354C" w:rsidRPr="0044524F" w:rsidRDefault="0058354C" w:rsidP="009654CF">
            <w:pPr>
              <w:pStyle w:val="113"/>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15,0</w:t>
            </w:r>
          </w:p>
        </w:tc>
      </w:tr>
    </w:tbl>
    <w:p w14:paraId="7D1979E0"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(12295)</w:t>
      </w:r>
    </w:p>
    <w:p w14:paraId="55659317"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34C8B7FE" w14:textId="77777777" w:rsidR="00185C06" w:rsidRPr="0044524F" w:rsidRDefault="00185C0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8-го по 22 мая 1933 г. на аэродроме НИИ ВВС в Щелково проходили Государственные испытания Д-4 Лавиля (11134).</w:t>
      </w:r>
    </w:p>
    <w:p w14:paraId="13474E90" w14:textId="77777777" w:rsidR="00185C06" w:rsidRPr="0044524F" w:rsidRDefault="00185C0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9DA22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дата присвоения опознавательного знака с литерой "Н" - СССР-Н8 - Дорнье "Валь", зав. № 131, моторы - 2 М-17. Первоначальный гражданский владелец воздушного судна - ГУСМП, Восточный сектор. В летнюю навигацию 1941 г. находился в составе Игарского авиаотряда УПА, шел на линейную работу, как дежурная машина (11955).</w:t>
      </w:r>
    </w:p>
    <w:p w14:paraId="0761D88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4FBD902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года зам. председателя СНК УССР Любченко писал письмо № 4293 председателю СНК СССР Молотову В.М.</w:t>
      </w:r>
    </w:p>
    <w:p w14:paraId="364F4C4F" w14:textId="77777777" w:rsidR="00BB0DBE" w:rsidRPr="0044524F" w:rsidRDefault="00BB0DBE"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ХАИ является в настоящее время крупной учебной и научно-исследовательской единицей. На Всесоюзной конференции по кадрам институт квалифицирован как лучший ВТУЗ в системе ГУАПа.</w:t>
      </w:r>
    </w:p>
    <w:p w14:paraId="1B2F320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Институтом спроектирован и изготовлен самолет ХАИ-1, показавший скорость 291 км/час.</w:t>
      </w:r>
    </w:p>
    <w:p w14:paraId="7C9E899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СНК от 9 февраля 1932 года строительство указанного института отнесено к сверхударным стройкам и исчислено в сумме 17 млн. рублей.</w:t>
      </w:r>
    </w:p>
    <w:p w14:paraId="691119E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институтом проектировалось вложить в строительство 7 млн. рублей, а Глававиапромом отпущено всего лишь 1 млн. рублей.</w:t>
      </w:r>
    </w:p>
    <w:p w14:paraId="501CA29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что при этих кредитах институт не сможет обеспечить себя минимальной учебной площадью и построить моторную и аэродинамическую лаборатории, крайне необходимые для окончания оборонных работ, СНК УССР просит Ваших распоряжений Глававиапрому об отпуске в 1933 году 3 млн. рублей для осуществления хотя бы в половинном размере программы строительства на 1933 год.</w:t>
      </w:r>
    </w:p>
    <w:p w14:paraId="7596609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Кроме указанного, ХАИ в настоящее время ведет оборонные работы, заключающиеся в проектировании, постройке и испытании авиационного дизеля на 600 НР (Правительственная марка Н-4) и авиационных турбин «А» – 6000 НР и «В» – 15000 НР.</w:t>
      </w:r>
    </w:p>
    <w:p w14:paraId="25050DC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Прекращение со стороны НИИ ВВС финансирования дизеля Н-4 (267000 рублей) и неперевод Глававиапромом 250000 рублей на турбину «А» – срывает сроки выполнения оборонных работ, проводимых Авиаинститутом.</w:t>
      </w:r>
    </w:p>
    <w:p w14:paraId="4DEE3B5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СНК УССР, учитывая необходимость произвести Авиаинститутом в течение мая 1933 года оплату расходов по указанным работам в сумме 517000 рублей, просит Ваших распоряжений о переводе Глававиапромом институту 250000 рублей и НИИ ВВС – 267000 рублей (3530,132).</w:t>
      </w:r>
    </w:p>
    <w:p w14:paraId="4766A33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478F3F9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года зам. председателя СНК УССР Любченко писал письмо № 4293 председателю СНК СССР Молотову В.М.</w:t>
      </w:r>
    </w:p>
    <w:p w14:paraId="5D86F41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Украинский научно-исследовательский авиадизельный институт по заданию СТО запроектировал в 1932 году авиадизель Н-3 (регистрационная марка СТО) и приступил к его изготовлению.</w:t>
      </w:r>
    </w:p>
    <w:p w14:paraId="1D501D8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ускорения работ и подведения производственной базы под Институт, СНК УССР передал Институту небольшой металлообрабатывающий завод в Харькове.</w:t>
      </w:r>
    </w:p>
    <w:p w14:paraId="258AB7B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этот может обеспечить изготовление опытных конструкций Института (кроме крупного литья и крупных повозок) при некотором дооборудовании завода и лаборатории.</w:t>
      </w:r>
    </w:p>
    <w:p w14:paraId="55B5B26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Институт в настоящем году на капитальные работы получил совершенно недостаточную сумму (75000 рублей), что не дало ему возможности должным образом перестроить работу завода на выполнение порученной Институту задачи – построение двигателя Н-3.</w:t>
      </w:r>
    </w:p>
    <w:p w14:paraId="36890C1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Крупное литье для двигателя изготовляется заводом № 26 в Рыбинске. Несмотря на то, что для ускорения дела Институтом была послана на завод своя рабтехсила и для выполнения заказов требуется 2-3 месяца, завод за 5 месяцев не сдал Институту ни одного заказа.</w:t>
      </w:r>
    </w:p>
    <w:p w14:paraId="42A22B9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Чрезвычайно затянувшееся изготовление отливок на заводе № 26 создало значительные затруднения при изготовлении двигателя, лимитируя сроки готовности двигателя в целом.</w:t>
      </w:r>
    </w:p>
    <w:p w14:paraId="627034F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что институт своими предварительными работами в достаточной степени доказал умение справиться с порученной ему работой, прошу Вашего содействия в предоставлении ему дополнительных ассигнований на капработы в сумме 350000 рублей и оказать воздействие на завод № 26 в смысле срочного (не позднее 1 июня 1933 года) выполнения взятого им заказа на крупное алюминиевое литье (3530,133).</w:t>
      </w:r>
    </w:p>
    <w:p w14:paraId="05AE0A5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67CE5845" w14:textId="77777777" w:rsidR="00DE4AED" w:rsidRPr="0044524F" w:rsidRDefault="00DE4A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8-20 мая 1933 г. испытания С-1 возобновили. М.А. Гараканидзе со</w:t>
      </w:r>
      <w:r w:rsidRPr="0044524F">
        <w:rPr>
          <w:rFonts w:ascii="Times New Roman" w:hAnsi="Times New Roman"/>
          <w:color w:val="000000" w:themeColor="text1"/>
          <w:sz w:val="16"/>
          <w:szCs w:val="16"/>
        </w:rPr>
        <w:softHyphen/>
        <w:t>вершил семь полётов. Во время шестого полё</w:t>
      </w:r>
      <w:r w:rsidRPr="0044524F">
        <w:rPr>
          <w:rFonts w:ascii="Times New Roman" w:hAnsi="Times New Roman"/>
          <w:color w:val="000000" w:themeColor="text1"/>
          <w:sz w:val="16"/>
          <w:szCs w:val="16"/>
        </w:rPr>
        <w:softHyphen/>
        <w:t>та «С-1» за 3 ч 15 мин облетел вокруг Москвы по маршруту Кунцево — Люблино — Новоги</w:t>
      </w:r>
      <w:r w:rsidRPr="0044524F">
        <w:rPr>
          <w:rFonts w:ascii="Times New Roman" w:hAnsi="Times New Roman"/>
          <w:color w:val="000000" w:themeColor="text1"/>
          <w:sz w:val="16"/>
          <w:szCs w:val="16"/>
        </w:rPr>
        <w:softHyphen/>
        <w:t>реево — Лосиноостровское — Долгопрудная — Тушино — Кунцево.</w:t>
      </w:r>
    </w:p>
    <w:p w14:paraId="721D3112" w14:textId="77777777" w:rsidR="00DE4AED" w:rsidRPr="0044524F" w:rsidRDefault="00DE4A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Сборка, стоянка на биваке и лётная работа «С-1» проходили в течение восьми месяцев в са</w:t>
      </w:r>
      <w:r w:rsidRPr="0044524F">
        <w:rPr>
          <w:rFonts w:ascii="Times New Roman" w:hAnsi="Times New Roman"/>
          <w:color w:val="000000" w:themeColor="text1"/>
          <w:sz w:val="16"/>
          <w:szCs w:val="16"/>
        </w:rPr>
        <w:softHyphen/>
        <w:t>мых тяжёлых условиях — мороз, дожди, ветер и бивак под открытым небом. Он перенёс две аварии: по одной в воздухе и на земле. Последняя случилась 29 апреля 1933 г., когда порывом ветра «С-1» сорвало с бивака. При этом разорвался пра</w:t>
      </w:r>
      <w:r w:rsidRPr="0044524F">
        <w:rPr>
          <w:rFonts w:ascii="Times New Roman" w:hAnsi="Times New Roman"/>
          <w:color w:val="000000" w:themeColor="text1"/>
          <w:sz w:val="16"/>
          <w:szCs w:val="16"/>
        </w:rPr>
        <w:softHyphen/>
        <w:t>вый бок оболочки, в десяти местах порвалась об</w:t>
      </w:r>
      <w:r w:rsidRPr="0044524F">
        <w:rPr>
          <w:rFonts w:ascii="Times New Roman" w:hAnsi="Times New Roman"/>
          <w:color w:val="000000" w:themeColor="text1"/>
          <w:sz w:val="16"/>
          <w:szCs w:val="16"/>
        </w:rPr>
        <w:softHyphen/>
        <w:t>тяжка хвостового оперения, погнулся его каркас. В течение двух суток повреждения устранили (20120).</w:t>
      </w:r>
    </w:p>
    <w:p w14:paraId="64F06FDB" w14:textId="77777777" w:rsidR="00DE4AED" w:rsidRPr="0044524F" w:rsidRDefault="00DE4AED" w:rsidP="009654CF">
      <w:pPr>
        <w:spacing w:after="0" w:line="240" w:lineRule="auto"/>
        <w:jc w:val="both"/>
        <w:rPr>
          <w:rFonts w:ascii="Times New Roman" w:hAnsi="Times New Roman"/>
          <w:color w:val="000000" w:themeColor="text1"/>
          <w:sz w:val="16"/>
          <w:szCs w:val="16"/>
        </w:rPr>
      </w:pPr>
    </w:p>
    <w:p w14:paraId="00D0183C" w14:textId="77777777" w:rsidR="00A47E9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A3E5ABC" w14:textId="77777777" w:rsidR="00A47E93" w:rsidRPr="0044524F" w:rsidRDefault="00A47E9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52BCD31" w14:textId="77777777" w:rsidR="00A47E93" w:rsidRPr="0044524F" w:rsidRDefault="00A47E93" w:rsidP="009654CF">
      <w:pPr>
        <w:pStyle w:val="rtejustify"/>
        <w:spacing w:before="0" w:after="0"/>
        <w:rPr>
          <w:color w:val="000000" w:themeColor="text1"/>
          <w:sz w:val="16"/>
          <w:szCs w:val="16"/>
        </w:rPr>
      </w:pPr>
      <w:r w:rsidRPr="0044524F">
        <w:rPr>
          <w:rStyle w:val="af0"/>
          <w:bCs/>
          <w:i w:val="0"/>
          <w:color w:val="000000" w:themeColor="text1"/>
          <w:sz w:val="16"/>
          <w:szCs w:val="16"/>
        </w:rPr>
        <w:t>8 мая 1933 вышел приказ НКТП № 54сс.</w:t>
      </w:r>
      <w:r w:rsidRPr="0044524F">
        <w:rPr>
          <w:color w:val="000000" w:themeColor="text1"/>
          <w:sz w:val="16"/>
          <w:szCs w:val="16"/>
        </w:rPr>
        <w:t xml:space="preserve"> О порядке расчетов за передаваемые мобзапасы с одного предприятия НКТП СССР на другое. (РГАЭ. Ф. 7297. Оп. 38. Д. 38. Л. 239) (15246).</w:t>
      </w:r>
    </w:p>
    <w:p w14:paraId="0C6BAF83" w14:textId="77777777" w:rsidR="00A47E93" w:rsidRPr="0044524F" w:rsidRDefault="00A47E93" w:rsidP="009654CF">
      <w:pPr>
        <w:pStyle w:val="rtejustify"/>
        <w:spacing w:before="0" w:after="0"/>
        <w:rPr>
          <w:color w:val="000000" w:themeColor="text1"/>
          <w:sz w:val="16"/>
          <w:szCs w:val="16"/>
        </w:rPr>
      </w:pPr>
    </w:p>
    <w:p w14:paraId="1A38FED9"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7957E89"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D240DF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И.В.С. и В.М.М. распорядились прекратить массовые аресты вычищенных коммунистов (1348,120).</w:t>
      </w:r>
    </w:p>
    <w:p w14:paraId="4B39499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6FC85BC0"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вышло секретное распоряжение Сталина и Молотова прекратить массовые аресты (12629).</w:t>
      </w:r>
    </w:p>
    <w:p w14:paraId="7474BC4C" w14:textId="77777777" w:rsidR="00185C06" w:rsidRPr="0044524F" w:rsidRDefault="00185C06"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68B103"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вышло секретное распоряжение И.В.С. прекратить массовые и беспорядочные аресты.</w:t>
      </w:r>
    </w:p>
    <w:p w14:paraId="745B8E3D"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76CA54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Приказом ОГПУ № 00174 органы военизированной пожарной охраны были наделены оперативными функциями. С целью своевременного выявления причин пожарной опасности в отделах военизированной пожарной охраны были учреждены оперативные отделения для руководства специальной агентурно-информационной сетью. Общее руководство этими оперативными отделениями было возложено на ЭКУ в центре и на экономические отделы (ЭКО) полпредств ОГПУ на местах (7557).</w:t>
      </w:r>
    </w:p>
    <w:p w14:paraId="1E0E97F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30E80D6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года СНК СССР и ЦК ВКП(б) выпустили разосланную всем партийным, советским работникам, всем органам ОГПУ, суда и прокуратуры инструкцию № П 6028 «Об упорядочении производства арестов», где, в частности, говорилось и о прекращении массовых выселений крестьян. В главе «О разгрузке мест заключения» в числе прочего предписывалось:</w:t>
      </w:r>
    </w:p>
    <w:p w14:paraId="5158321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Установить, что максимальное количество лиц, могущих содержаться под стражей в местах заключения НКЮ, ОГПУ и Главного управления милиции (кроме лагерей и колоний) не должно превышать 400 тысяч человек на весь Союз ССР.</w:t>
      </w:r>
    </w:p>
    <w:p w14:paraId="3F86833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ОГПУ, НКЮ союзных республик и прокуратуру СССР немедленно приступить к разгрузке мест заключения и довести в двухмесячный срок общее число лишенных свободы с 800 тысяч фактически заключенных ныне до 400 тысяч...</w:t>
      </w:r>
    </w:p>
    <w:p w14:paraId="2665575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p w14:paraId="18D43D1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всем осужденным по суду до 3 лет заменить лишение свободы принудительными работами до 1 года, а остальной срок считать условным.</w:t>
      </w:r>
    </w:p>
    <w:p w14:paraId="21391DD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осужденных на срок от 3 до 5 лет включительно - направить в трудовые поселки ОГПУ.</w:t>
      </w:r>
    </w:p>
    <w:p w14:paraId="273B4DB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осужденных на срок свыше 5 лет - направить в лагеря ОГПУ» (7560).</w:t>
      </w:r>
    </w:p>
    <w:p w14:paraId="2921930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0811CE0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вышла "Инстpукция ЦК ВКП(б) всем паpтийно-советским pаботникам и всем оpганам ОГПУ, суда и пpокуpатуpы". Этот документ, подписанный И.Сталиным и В.Молотовым, констатировал, что с мест "все еще продолжают поступать требования о массовом выселении из деревни и применении острых форм репрессий. В ЦК и СНК имеются заявки на немедленное выселение из краев и областей около ста тысяч семей". В инструкции разъяснялось, что, хотя "классовая борьба в деревне будет неизбежно обостряться" и в дальнейшем, тем не менее ее старые методы "изжили себя". "В результате наших успехов в деревне наступил момент, когда мы не нуждаемся в массовых репрессиях, задевающих, как известно, не только кулаков, но и единоличников и часть колхозников". В связи с этим было принято решение "немедленно прекратить" всякие массовые выселения крестьян. Выселения должны были производиться "только в индивидуальном и частичном порядке и в отношении только тех хозяйств, главы которых ведут активную борьбу против колхозов и организуют отказ от сева и заготовок". Этот же циркуляр ЦК признал необходимость "упорядочить осуществляемые неизвестно кем аресты": "Арестовывают председатели колхозов и члены правлений колхозов. Арестовывают председатели сельсоветов и секретари ячеек. Арестовывают районные и краевые уполномоченные. Арестовывают все, кому не лень и кто, собственно говоря, не имеет никакого права арестовывать. И неудивительно, что при таком разгуле практики арестов органы ОГПУ, и особенно милиция, теряют чувство меры и зачастую производят аресты без всякого основания, действуя по правилу:" сначала арестовать, а потом разобраться ". Инструкция потребовала разгрузить места заключения и "снизить в двухмесячный срок общее число заключенных с 800.000 до 400.000" (10687).</w:t>
      </w:r>
    </w:p>
    <w:p w14:paraId="2E18D62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09DB7AB2"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43FEB5D0"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D91BA6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 25 мая 1933 г. был проведен с большой помпой визит военной делегации Боккельберга в СССР, по свидетельству Хильгера, «в прежнем духе согласия и доброй воли» (Hilger Gustav. Op. cit. S. 246.). В ходе подготовки визита Берзин еще 29 марта 1933 г. представил обширный план показа военной промышленности Боккельбергу с указанием конкретных объектов. Документ Ворошилов переадресовал Сталину, сопроводив его припиской: «т. Сталину. В порядке взаимности приходится немцам </w:t>
      </w:r>
      <w:r w:rsidRPr="0044524F">
        <w:rPr>
          <w:rFonts w:ascii="Times New Roman" w:hAnsi="Times New Roman"/>
          <w:color w:val="000000" w:themeColor="text1"/>
          <w:sz w:val="16"/>
          <w:szCs w:val="16"/>
        </w:rPr>
        <w:lastRenderedPageBreak/>
        <w:t>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 (РГВА, ф. 33987, on. 3, д. 497, л. 103,104-106.). Сталин не возражал. Боккельберга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артмастерские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 Боккельберг отнесся внимательно к высказываниям Тухачевского относительно авиации и танков: «Для того, чтобы Германии выйти из затруднительной политической ситуации, он желает ей как можно скорее иметь воздушный флот в составе 2000 бомбовозов». «Наилучшим средством против танка является танк &lt;...&gt;». Вывод, который сделал Боккельберг в своем отчете по визиту, был следующим: «Совместная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(РГВА, ф. 33987, on. 3, д. 505, л. 135-137.) (11784).</w:t>
      </w:r>
    </w:p>
    <w:p w14:paraId="7AA943C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4A9A303D" w14:textId="77777777" w:rsidR="0003446D" w:rsidRPr="0044524F" w:rsidRDefault="000344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 25 мая 1933 г. визит военной делегации Боккельберга в СССР был проведен с большой помпой и, по свидетельству Хильгера, «в прежнем духе согласия и доброй воли»</w:t>
      </w:r>
      <w:hyperlink r:id="rId154" w:anchor="n_451" w:history="1">
        <w:r w:rsidRPr="0044524F">
          <w:rPr>
            <w:rStyle w:val="a5"/>
            <w:rFonts w:ascii="Times New Roman" w:hAnsi="Times New Roman"/>
            <w:color w:val="000000" w:themeColor="text1"/>
            <w:sz w:val="16"/>
            <w:szCs w:val="16"/>
          </w:rPr>
          <w:t>[451]</w:t>
        </w:r>
      </w:hyperlink>
      <w:r w:rsidRPr="0044524F">
        <w:rPr>
          <w:rFonts w:ascii="Times New Roman" w:hAnsi="Times New Roman"/>
          <w:color w:val="000000" w:themeColor="text1"/>
          <w:sz w:val="16"/>
          <w:szCs w:val="16"/>
        </w:rPr>
        <w:t>. В ходе подготовки визита Берзин еще 29 марта 1933 г. представил обширный план показа военной промышленности Боккельбергу с указанием конкретных объектов. Документ Ворошилов переадресовал Сталину, сопроводив его припиской:</w:t>
      </w:r>
    </w:p>
    <w:p w14:paraId="1839733F" w14:textId="77777777" w:rsidR="0003446D" w:rsidRPr="0044524F" w:rsidRDefault="000344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 Сталину. В порядке взаимности приходится немцам показывать и заводы и кое-какие воинские части. Если нет возражений, я дам соответствующим лицам, указания сопровождающим лицам как себя держать при объезде «гостем» нашей страны. Ворошилов»</w:t>
      </w:r>
      <w:hyperlink r:id="rId155" w:anchor="n_452" w:history="1">
        <w:r w:rsidRPr="0044524F">
          <w:rPr>
            <w:rStyle w:val="a5"/>
            <w:rFonts w:ascii="Times New Roman" w:hAnsi="Times New Roman"/>
            <w:color w:val="000000" w:themeColor="text1"/>
            <w:sz w:val="16"/>
            <w:szCs w:val="16"/>
          </w:rPr>
          <w:t>[452]</w:t>
        </w:r>
      </w:hyperlink>
      <w:r w:rsidRPr="0044524F">
        <w:rPr>
          <w:rFonts w:ascii="Times New Roman" w:hAnsi="Times New Roman"/>
          <w:color w:val="000000" w:themeColor="text1"/>
          <w:sz w:val="16"/>
          <w:szCs w:val="16"/>
        </w:rPr>
        <w:t>.</w:t>
      </w:r>
    </w:p>
    <w:p w14:paraId="6F06FE9E" w14:textId="77777777" w:rsidR="0003446D" w:rsidRPr="0044524F" w:rsidRDefault="000344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Сталин не возражал.</w:t>
      </w:r>
    </w:p>
    <w:p w14:paraId="7A62DF38" w14:textId="77777777" w:rsidR="0003446D" w:rsidRPr="0044524F" w:rsidRDefault="000344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Боккельберга принимали Ворошилов, Егоров, Тухачевский. По программе визита ему были показаны школа летчиков в Каче, ЦАГИ, авиационный завод ГАЗ № 1 (бывший завод Дукса) производительностью 60 самолетов в месяц, ремонтные артмастерские в Голутвине, химкомбинат в Бобриках, Тульский оружейный завод, тракторный завод в Харькове, авиазавод в Александровске, оружейный завод в Калинине. Он побывал в Севастополе и на Днепрогэсе.</w:t>
      </w:r>
    </w:p>
    <w:p w14:paraId="3E1A4FDF" w14:textId="77777777" w:rsidR="0003446D" w:rsidRPr="0044524F" w:rsidRDefault="000344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Боккельберг отнесся внимательно к высказываниям Тухачевского относительно авиации и танков:</w:t>
      </w:r>
    </w:p>
    <w:p w14:paraId="1276E07A" w14:textId="77777777" w:rsidR="0003446D" w:rsidRPr="0044524F" w:rsidRDefault="000344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того, чтобы Германии выйти из затруднительной политической ситуации, он желает ей как можно скорее иметь воздушный флот в составе 2000 бомбовозов».</w:t>
      </w:r>
    </w:p>
    <w:p w14:paraId="758E6037" w14:textId="77777777" w:rsidR="0003446D" w:rsidRPr="0044524F" w:rsidRDefault="000344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«Наилучшим средством против танка является танк &lt;…&gt;».</w:t>
      </w:r>
    </w:p>
    <w:p w14:paraId="720E0B26" w14:textId="77777777" w:rsidR="0003446D" w:rsidRPr="0044524F" w:rsidRDefault="000344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 который сделал Боккельберг в своем отчете по визиту, был следующим:</w:t>
      </w:r>
    </w:p>
    <w:p w14:paraId="1FCEA3AC" w14:textId="77777777" w:rsidR="0003446D" w:rsidRPr="0044524F" w:rsidRDefault="000344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«Совместная работа с Красной Армией и советской военной промышленностью, учитывая грандиозность советских планов, крайне желательна, не только по военно-политическим соображениям, но и по военно-техническим» (18265).</w:t>
      </w:r>
    </w:p>
    <w:p w14:paraId="5569C27E" w14:textId="77777777" w:rsidR="0003446D" w:rsidRPr="0044524F" w:rsidRDefault="0003446D" w:rsidP="009654CF">
      <w:pPr>
        <w:spacing w:after="0" w:line="240" w:lineRule="auto"/>
        <w:jc w:val="both"/>
        <w:rPr>
          <w:rFonts w:ascii="Times New Roman" w:hAnsi="Times New Roman"/>
          <w:color w:val="000000" w:themeColor="text1"/>
          <w:sz w:val="16"/>
          <w:szCs w:val="16"/>
        </w:rPr>
      </w:pPr>
    </w:p>
    <w:p w14:paraId="555740C7"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F5CE671"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746523" w14:textId="77777777" w:rsidR="00DE4AED" w:rsidRPr="0044524F" w:rsidRDefault="00DE4A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вышла "Инстpукция ЦК ВКП(б) всем паpтийно-советским pаботникам и всем оpганам ОГПУ, суда и пpокуpатуpы". Этот документ, подписанный И.В.Сталиным и В.Молотовым, констатировал, что с мест "все еще продолжают поступать требования о массовом выселении из деревни и применении острых форм репрессий. В ЦК и СНК имеются заявки на немедленное выселение из краев и областей около ста тысяч семей". В инструкции разъяснялось, что, хотя "классовая борьба в деревне будет неизбежно обостряться" и в дальнейшем, тем не менее ее старые методы "изжили себя":</w:t>
      </w:r>
    </w:p>
    <w:p w14:paraId="5D589A46" w14:textId="77777777" w:rsidR="00DE4AED" w:rsidRPr="0044524F" w:rsidRDefault="00DE4A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наших успехов в деревне наступил момент, когда мы не нуждаемся в массовых репрессиях, задевающих, как известно, не только кулаков, но и единоличников и часть колхозников".</w:t>
      </w:r>
    </w:p>
    <w:p w14:paraId="2B234FDD" w14:textId="77777777" w:rsidR="00DE4AED" w:rsidRPr="0044524F" w:rsidRDefault="00DE4A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этим было принято решение "немедленно прекратить" всякие массовые выселения крестьян. Выселения должны были производиться "только в индивидуальном и частичном порядке и в отношении только тех хозяйств, главы которых ведут активную борьбу против колхозов и организуют отказ от сева и заготовок". Этот же циркуляр ЦК признал необходимость "упорядочить осуществляемые неизвестно кем аресты":</w:t>
      </w:r>
    </w:p>
    <w:p w14:paraId="04BBA25D" w14:textId="77777777" w:rsidR="00DE4AED" w:rsidRPr="0044524F" w:rsidRDefault="00DE4A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"Арестовывают председатели колхозов и члены правлений колхозов. Арестовывают председатели сельсоветов и секретари ячеек. Арестовывают районные и краевые уполномоченные. Арестовывают все, кому не лень и кто, собственно говоря, не имеет никакого права арестовывать. И неудивительно, что при таком разгуле практики арестов органы ОГПУ, и особенно милиция, теряют чувство меры и зачастую производят аресты без всякого основания, действуя по правилу:" сначала арестовать, а потом разобраться ".</w:t>
      </w:r>
    </w:p>
    <w:p w14:paraId="2D506B6E" w14:textId="77777777" w:rsidR="00DE4AED" w:rsidRPr="0044524F" w:rsidRDefault="00DE4A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Инструкция потребовала разгрузить места заключения и "снизить в двухмесячный срок общее число заключенных с 800.000 до 400.000" (21177).</w:t>
      </w:r>
    </w:p>
    <w:p w14:paraId="013623CC" w14:textId="77777777" w:rsidR="00DE4AED" w:rsidRPr="0044524F" w:rsidRDefault="00DE4AED" w:rsidP="009654CF">
      <w:pPr>
        <w:spacing w:after="0" w:line="240" w:lineRule="auto"/>
        <w:jc w:val="both"/>
        <w:rPr>
          <w:rFonts w:ascii="Times New Roman" w:hAnsi="Times New Roman"/>
          <w:color w:val="000000" w:themeColor="text1"/>
          <w:sz w:val="16"/>
          <w:szCs w:val="16"/>
        </w:rPr>
      </w:pPr>
    </w:p>
    <w:p w14:paraId="7A012FD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Ганди начал голодовку (2100).</w:t>
      </w:r>
    </w:p>
    <w:p w14:paraId="1A959DE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78D698ED"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BB5B448"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4D2157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мая 1933 года выписка из протокола № 6 КО</w:t>
      </w:r>
    </w:p>
    <w:p w14:paraId="6A8EFC07" w14:textId="77777777" w:rsidR="00BB0DBE" w:rsidRPr="0044524F" w:rsidRDefault="00BB0DBE"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облегчении конструкции ТБ-3.</w:t>
      </w:r>
    </w:p>
    <w:p w14:paraId="0A678B69" w14:textId="77777777" w:rsidR="00BB0DBE" w:rsidRPr="0044524F" w:rsidRDefault="00BB0DBE"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Алкснису и Баранову, на основе обмена мнений, разработать проект постановления с учетом необходимости дальнейшего максимального облегчения конструкции самолета, увеличения дальности и радиуса его действия при бомбовой нагрузке не менее 1 тонны.</w:t>
      </w:r>
    </w:p>
    <w:p w14:paraId="415C001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работы – 5 дней.</w:t>
      </w:r>
    </w:p>
    <w:p w14:paraId="017BDD4E" w14:textId="77777777" w:rsidR="00BB0DBE" w:rsidRPr="0044524F" w:rsidRDefault="00BB0DBE"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о производстве самолета на рекордную дальность, как военного типа, отложить до получения результатов испытания опытного образца этого самолета (7503, 25).</w:t>
      </w:r>
    </w:p>
    <w:p w14:paraId="07E5AB3E" w14:textId="77777777" w:rsidR="00BB0DBE" w:rsidRPr="0044524F" w:rsidRDefault="00BB0DBE"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0E71BF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мая 1933 г. самолет Р-5 с поворотными стойками потерпел катастрофу. Подобные испытания продолжались уже на других машинах. Р-5 с поворотными стойками для ускорения выхода са</w:t>
      </w:r>
      <w:r w:rsidRPr="0044524F">
        <w:rPr>
          <w:rFonts w:ascii="Times New Roman" w:hAnsi="Times New Roman"/>
          <w:color w:val="000000" w:themeColor="text1"/>
          <w:sz w:val="16"/>
          <w:szCs w:val="16"/>
        </w:rPr>
        <w:softHyphen/>
        <w:t>молета из штопора был построен в 1933 г. Эксперименты проводил ЦАГИ. В том же 1933 г. на Р-5 испытывались приборы ВАП кон</w:t>
      </w:r>
      <w:r w:rsidRPr="0044524F">
        <w:rPr>
          <w:rFonts w:ascii="Times New Roman" w:hAnsi="Times New Roman"/>
          <w:color w:val="000000" w:themeColor="text1"/>
          <w:sz w:val="16"/>
          <w:szCs w:val="16"/>
        </w:rPr>
        <w:softHyphen/>
        <w:t>струкции Вахмистрова для распыления отравляющих веществ (10667).</w:t>
      </w:r>
    </w:p>
    <w:p w14:paraId="0D2827F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5892C38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мая 1933 г. Р-5 №5215 потерпел катастрофу. Наблюдатель эксперимента А.В.Чесалов выпрыгнул с парашютом на 17-18 витке штопора. Летчик М.А.Волковойнов, надеясь вывести самолет, покинул его слишком близко от земли. Его парашют не успел наполниться, и Волковойнов погиб. Это была машина, доработанная специалистами ЦАГИ на основании обширных исследований по выходу Р-5 из штопора, проводимых в 1932-34 гг. Как вариант улучшения штопорных характеристик было предложено выполнить задние крыльевые стойки поворотными. Стойки шириной 200 мм поворачивались от педалей ножного управления и представляли собой по сути незатененный дополнительный руль поворота. При испытаниях выяснилось, что Р-5 выходит из штопора замедленно за счет большой устойчивости на скольжении. Машина прекращала ротацию за счет выхода на малые углы атаки. Применение поворотных стоек ощутимых результатов не давало, лишь ускоряло переход на малью углы (5016).</w:t>
      </w:r>
    </w:p>
    <w:p w14:paraId="1164E7F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67244B9E"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мая в 1933 году погиб заслуженный летчик CCCР М.А.Волковойнов. Проводились испытания противоштопорного устройства. На передние межкрыльные стойки биплана «Р-5» No.5215 слева и справа устанавливались поворотные щитки-профили шириной 35-40 сантиметров. При вращении самолета в левом штопоре летчик мог отклонить против потока профиль-щиток правой стойки, создав воздушное торможение и способствуя этим выводу из штопора. При правом штопоре должен быть отклонен профиль-щиток на левой стойке крыла. Наблюдатель эксперимента А.В.Чесалов выпрыгнул с парашютом на 17-18 витке штопора. Летчик М.А.Волковойнов, надеясь вывести самолет, покинул его слишком близко от земли. Его парашют не успел наполниться, и Волковойнов погиб (14886).</w:t>
      </w:r>
    </w:p>
    <w:p w14:paraId="7675D884" w14:textId="77777777" w:rsidR="00810511" w:rsidRPr="0044524F" w:rsidRDefault="00810511" w:rsidP="009654CF">
      <w:pPr>
        <w:spacing w:after="0" w:line="240" w:lineRule="auto"/>
        <w:jc w:val="both"/>
        <w:rPr>
          <w:rFonts w:ascii="Times New Roman" w:hAnsi="Times New Roman"/>
          <w:color w:val="000000" w:themeColor="text1"/>
          <w:sz w:val="16"/>
          <w:szCs w:val="16"/>
        </w:rPr>
      </w:pPr>
    </w:p>
    <w:p w14:paraId="0C182070"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мая 1933 г. самолет Р-5 с поворотными стойками для ускорения выхода самолета из штопора, потерпел катастрофу. Подобные испытания продолжались уже на других машинах (25035).</w:t>
      </w:r>
    </w:p>
    <w:p w14:paraId="14A125E8" w14:textId="77777777" w:rsidR="00493616" w:rsidRPr="00142305" w:rsidRDefault="00493616" w:rsidP="00493616">
      <w:pPr>
        <w:spacing w:after="0" w:line="240" w:lineRule="auto"/>
        <w:jc w:val="both"/>
        <w:rPr>
          <w:rFonts w:ascii="Times New Roman" w:hAnsi="Times New Roman"/>
          <w:color w:val="0070C0"/>
          <w:sz w:val="16"/>
          <w:szCs w:val="16"/>
        </w:rPr>
      </w:pPr>
    </w:p>
    <w:p w14:paraId="2200444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мая 1933 ЦАГИ написал П.И.Б. докладную записку Изаксона (пред. всесоюзного совета по аэродинамике) о строительстве больших труб государственного значения (1026,169).</w:t>
      </w:r>
    </w:p>
    <w:p w14:paraId="7F48293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0E62F403"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мая 1933 года ПРЕДСЕДАТЕЛЬ ВСЕСОЮЗНОГО СОВЕТА ПО АЭРОДИНАМИКЕ ИЗАКСОН писал Зам.Наркомтяжпром и Нач. Глававиапром П.И.Б.:</w:t>
      </w:r>
    </w:p>
    <w:p w14:paraId="0537CB78"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 О строительства больших аэродинамических труб государственного значения.</w:t>
      </w:r>
    </w:p>
    <w:p w14:paraId="48856CCC"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Развитие летных свойств самолетов, определяющее их боеспособность и наиболее совершенное применение в частях военно-воздушного флота, зависит от усовершенствования авиационных моторов и от выбора наиболее рациональной аэроди</w:t>
      </w:r>
      <w:r w:rsidRPr="0044524F">
        <w:rPr>
          <w:rFonts w:ascii="Times New Roman" w:hAnsi="Times New Roman"/>
          <w:color w:val="000000" w:themeColor="text1"/>
          <w:sz w:val="16"/>
          <w:szCs w:val="16"/>
        </w:rPr>
        <w:softHyphen/>
        <w:t>намической схемы машины и создания наиболее удачной аэро</w:t>
      </w:r>
      <w:r w:rsidRPr="0044524F">
        <w:rPr>
          <w:rFonts w:ascii="Times New Roman" w:hAnsi="Times New Roman"/>
          <w:color w:val="000000" w:themeColor="text1"/>
          <w:sz w:val="16"/>
          <w:szCs w:val="16"/>
        </w:rPr>
        <w:softHyphen/>
        <w:t>динамической формы самолета.</w:t>
      </w:r>
    </w:p>
    <w:p w14:paraId="41AB9C69"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Изыскания наиболее рациональной аэродинамической фор</w:t>
      </w:r>
      <w:r w:rsidRPr="0044524F">
        <w:rPr>
          <w:rFonts w:ascii="Times New Roman" w:hAnsi="Times New Roman"/>
          <w:color w:val="000000" w:themeColor="text1"/>
          <w:sz w:val="16"/>
          <w:szCs w:val="16"/>
        </w:rPr>
        <w:softHyphen/>
        <w:t>мы самолета и прояснение целого ряда вопросов аэродинами</w:t>
      </w:r>
      <w:r w:rsidRPr="0044524F">
        <w:rPr>
          <w:rFonts w:ascii="Times New Roman" w:hAnsi="Times New Roman"/>
          <w:color w:val="000000" w:themeColor="text1"/>
          <w:sz w:val="16"/>
          <w:szCs w:val="16"/>
        </w:rPr>
        <w:softHyphen/>
        <w:t>ческой схемы машины в полной мере зависят от технического состояния экспериментально - исследовательского оборудова</w:t>
      </w:r>
      <w:r w:rsidRPr="0044524F">
        <w:rPr>
          <w:rFonts w:ascii="Times New Roman" w:hAnsi="Times New Roman"/>
          <w:color w:val="000000" w:themeColor="text1"/>
          <w:sz w:val="16"/>
          <w:szCs w:val="16"/>
        </w:rPr>
        <w:softHyphen/>
        <w:t>ния, в первую очередь наиболее совершенных аэродинамичес</w:t>
      </w:r>
      <w:r w:rsidRPr="0044524F">
        <w:rPr>
          <w:rFonts w:ascii="Times New Roman" w:hAnsi="Times New Roman"/>
          <w:color w:val="000000" w:themeColor="text1"/>
          <w:sz w:val="16"/>
          <w:szCs w:val="16"/>
        </w:rPr>
        <w:softHyphen/>
        <w:t>ких труб. Передевые капиталистические страны /Америка, Англия и, в настоящее время также, Германия/ в достаточно! мере отдают себе отчет в непосредственной зависимости летных свойств военных самолетов от наличия технически совер</w:t>
      </w:r>
      <w:r w:rsidRPr="0044524F">
        <w:rPr>
          <w:rFonts w:ascii="Times New Roman" w:hAnsi="Times New Roman"/>
          <w:color w:val="000000" w:themeColor="text1"/>
          <w:sz w:val="16"/>
          <w:szCs w:val="16"/>
        </w:rPr>
        <w:softHyphen/>
        <w:t>шенных аэродинамических труб и, несмотря на кризис, постр( «или в период 1936-32 г, ряд мощных аэродинамических труб по последнему слову техники, позволяющих приводить все не</w:t>
      </w:r>
      <w:r w:rsidRPr="0044524F">
        <w:rPr>
          <w:rFonts w:ascii="Times New Roman" w:hAnsi="Times New Roman"/>
          <w:color w:val="000000" w:themeColor="text1"/>
          <w:sz w:val="16"/>
          <w:szCs w:val="16"/>
        </w:rPr>
        <w:softHyphen/>
        <w:t>обходимые исследования отдельных аг^регатов самолетов и це</w:t>
      </w:r>
      <w:r w:rsidRPr="0044524F">
        <w:rPr>
          <w:rFonts w:ascii="Times New Roman" w:hAnsi="Times New Roman"/>
          <w:color w:val="000000" w:themeColor="text1"/>
          <w:sz w:val="16"/>
          <w:szCs w:val="16"/>
        </w:rPr>
        <w:softHyphen/>
        <w:t>лых самолетов в натуральную величину, что в очень сильной степени расширило экспериментальные возможности анализа проектируемых и предназначаемых к постройке аппаратов, сделало более надежными все предварительные эксперимеаталь* ныв и теоретические выводы и в очень сильной степени уско» рило выпуск опытных образцов, доведя до минимума выпуск неудачных не оправдавших себя аппаратов.</w:t>
      </w:r>
    </w:p>
    <w:p w14:paraId="6F9C3ADD"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Этим в значительной доле обгоняется то обстоятельство, что указанные капиталистические страны имеют в настоя</w:t>
      </w:r>
      <w:r w:rsidRPr="0044524F">
        <w:rPr>
          <w:rFonts w:ascii="Times New Roman" w:hAnsi="Times New Roman"/>
          <w:color w:val="000000" w:themeColor="text1"/>
          <w:sz w:val="16"/>
          <w:szCs w:val="16"/>
        </w:rPr>
        <w:softHyphen/>
        <w:t>щее время качественно наилучший военный и гражданский воздушный флот.</w:t>
      </w:r>
    </w:p>
    <w:p w14:paraId="578B1E81"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СССР, построив в 1925-году большую аэродинамическую трубу /Москва, ЦАГИ/, был в тот момент обладателем наибольшей аэродинамической трубы в мире. С 1925 года в Советском Союзе больших аэродинамических труб не строилось и к на</w:t>
      </w:r>
      <w:r w:rsidRPr="0044524F">
        <w:rPr>
          <w:rFonts w:ascii="Times New Roman" w:hAnsi="Times New Roman"/>
          <w:color w:val="000000" w:themeColor="text1"/>
          <w:sz w:val="16"/>
          <w:szCs w:val="16"/>
        </w:rPr>
        <w:softHyphen/>
        <w:t xml:space="preserve">стоящему времени экспериментальное оборудование в части аэродинамики самолета чрезвычайно устарело и очень отстало от все возрастающих требований авиационной </w:t>
      </w:r>
      <w:r w:rsidRPr="0044524F">
        <w:rPr>
          <w:rFonts w:ascii="Times New Roman" w:hAnsi="Times New Roman"/>
          <w:smallCaps/>
          <w:color w:val="000000" w:themeColor="text1"/>
          <w:sz w:val="16"/>
          <w:szCs w:val="16"/>
        </w:rPr>
        <w:t xml:space="preserve">техники, </w:t>
      </w:r>
      <w:r w:rsidRPr="0044524F">
        <w:rPr>
          <w:rFonts w:ascii="Times New Roman" w:hAnsi="Times New Roman"/>
          <w:color w:val="000000" w:themeColor="text1"/>
          <w:sz w:val="16"/>
          <w:szCs w:val="16"/>
        </w:rPr>
        <w:t>тем мым далеко не обеспечивая надлежащую постановку аэродина</w:t>
      </w:r>
      <w:r w:rsidRPr="0044524F">
        <w:rPr>
          <w:rFonts w:ascii="Times New Roman" w:hAnsi="Times New Roman"/>
          <w:color w:val="000000" w:themeColor="text1"/>
          <w:sz w:val="16"/>
          <w:szCs w:val="16"/>
        </w:rPr>
        <w:softHyphen/>
        <w:t>мических изысканий для нашего опытного самолетостроения.</w:t>
      </w:r>
    </w:p>
    <w:p w14:paraId="0F1E1C33"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обстоятельство влечет за собой затяжку сроков выпуска опытных образцов, увеличивает риск выпуска неудачных машин, недающих нужных летных результатов, как это имело место частично при выпуска ТБ-5, И-12 и других.</w:t>
      </w:r>
    </w:p>
    <w:p w14:paraId="112C8222"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этим у нас получается опасный разрыв между запросами опытного самолетостроения и наличной эксперимен</w:t>
      </w:r>
      <w:r w:rsidRPr="0044524F">
        <w:rPr>
          <w:rFonts w:ascii="Times New Roman" w:hAnsi="Times New Roman"/>
          <w:color w:val="000000" w:themeColor="text1"/>
          <w:sz w:val="16"/>
          <w:szCs w:val="16"/>
        </w:rPr>
        <w:softHyphen/>
        <w:t>тально теоретической базой, что чревато большими опасностями.</w:t>
      </w:r>
    </w:p>
    <w:p w14:paraId="73890F44"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Ответстввнные задания в области опытного самолетостроеия на вторую пятилетку, характеризующиеся постройкой очень быстроходных машин и машин сверхтяжелых, выдвигают в пол</w:t>
      </w:r>
      <w:r w:rsidRPr="0044524F">
        <w:rPr>
          <w:rFonts w:ascii="Times New Roman" w:hAnsi="Times New Roman"/>
          <w:color w:val="000000" w:themeColor="text1"/>
          <w:sz w:val="16"/>
          <w:szCs w:val="16"/>
        </w:rPr>
        <w:softHyphen/>
        <w:t>ном об"емв вопрос о наличии указанного выше отставания нашей экспериментально-технической базы от запросов опытного строительства и необходимости ликвидации имеющегося разры</w:t>
      </w:r>
      <w:r w:rsidRPr="0044524F">
        <w:rPr>
          <w:rFonts w:ascii="Times New Roman" w:hAnsi="Times New Roman"/>
          <w:color w:val="000000" w:themeColor="text1"/>
          <w:sz w:val="16"/>
          <w:szCs w:val="16"/>
        </w:rPr>
        <w:softHyphen/>
        <w:t>ва в этой области.</w:t>
      </w:r>
    </w:p>
    <w:p w14:paraId="6C1B9764"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вопрос приобретает тем большую остроту, что про-ектирование технически совершенного современного экспери</w:t>
      </w:r>
      <w:r w:rsidRPr="0044524F">
        <w:rPr>
          <w:rFonts w:ascii="Times New Roman" w:hAnsi="Times New Roman"/>
          <w:color w:val="000000" w:themeColor="text1"/>
          <w:sz w:val="16"/>
          <w:szCs w:val="16"/>
        </w:rPr>
        <w:softHyphen/>
        <w:t>ментального оборудования /аэродинамических груб/» их по</w:t>
      </w:r>
      <w:r w:rsidRPr="0044524F">
        <w:rPr>
          <w:rFonts w:ascii="Times New Roman" w:hAnsi="Times New Roman"/>
          <w:color w:val="000000" w:themeColor="text1"/>
          <w:sz w:val="16"/>
          <w:szCs w:val="16"/>
        </w:rPr>
        <w:softHyphen/>
        <w:t>стройка, оборудование труб, создание соответствующих тех</w:t>
      </w:r>
      <w:r w:rsidRPr="0044524F">
        <w:rPr>
          <w:rFonts w:ascii="Times New Roman" w:hAnsi="Times New Roman"/>
          <w:color w:val="000000" w:themeColor="text1"/>
          <w:sz w:val="16"/>
          <w:szCs w:val="16"/>
        </w:rPr>
        <w:softHyphen/>
        <w:t>нических кадров для обслуживания этих труб и освоение это</w:t>
      </w:r>
      <w:r w:rsidRPr="0044524F">
        <w:rPr>
          <w:rFonts w:ascii="Times New Roman" w:hAnsi="Times New Roman"/>
          <w:color w:val="000000" w:themeColor="text1"/>
          <w:sz w:val="16"/>
          <w:szCs w:val="16"/>
        </w:rPr>
        <w:softHyphen/>
        <w:t>го оборудования - дело весьма трудное, поскольку в этом де</w:t>
      </w:r>
      <w:r w:rsidRPr="0044524F">
        <w:rPr>
          <w:rFonts w:ascii="Times New Roman" w:hAnsi="Times New Roman"/>
          <w:color w:val="000000" w:themeColor="text1"/>
          <w:sz w:val="16"/>
          <w:szCs w:val="16"/>
        </w:rPr>
        <w:softHyphen/>
        <w:t>ла опыта у нас совершенно недостаточно и оно потребует ми</w:t>
      </w:r>
      <w:r w:rsidRPr="0044524F">
        <w:rPr>
          <w:rFonts w:ascii="Times New Roman" w:hAnsi="Times New Roman"/>
          <w:color w:val="000000" w:themeColor="text1"/>
          <w:sz w:val="16"/>
          <w:szCs w:val="16"/>
        </w:rPr>
        <w:softHyphen/>
        <w:t>нимум 3-4 года.</w:t>
      </w:r>
    </w:p>
    <w:p w14:paraId="798BC28C"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Принимая во внимание все вышеизложенное следует приз</w:t>
      </w:r>
      <w:r w:rsidRPr="0044524F">
        <w:rPr>
          <w:rFonts w:ascii="Times New Roman" w:hAnsi="Times New Roman"/>
          <w:color w:val="000000" w:themeColor="text1"/>
          <w:sz w:val="16"/>
          <w:szCs w:val="16"/>
        </w:rPr>
        <w:softHyphen/>
        <w:t>нать, строительство больших аэродинамических труб делом жизненно необходимым для качественного роста советского воздушного флота и не терпящим отлагательства в своем осу</w:t>
      </w:r>
      <w:r w:rsidRPr="0044524F">
        <w:rPr>
          <w:rFonts w:ascii="Times New Roman" w:hAnsi="Times New Roman"/>
          <w:color w:val="000000" w:themeColor="text1"/>
          <w:sz w:val="16"/>
          <w:szCs w:val="16"/>
        </w:rPr>
        <w:softHyphen/>
        <w:t>ществлении,</w:t>
      </w:r>
    </w:p>
    <w:p w14:paraId="01B3725E"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а союзный Совет по Аэродинамике организация, об"единяющая и координирующая все работы аэродинамических лабо</w:t>
      </w:r>
      <w:r w:rsidRPr="0044524F">
        <w:rPr>
          <w:rFonts w:ascii="Times New Roman" w:hAnsi="Times New Roman"/>
          <w:color w:val="000000" w:themeColor="text1"/>
          <w:sz w:val="16"/>
          <w:szCs w:val="16"/>
        </w:rPr>
        <w:softHyphen/>
        <w:t>раторий и институтов в чаоги аэродинамики самолета разра</w:t>
      </w:r>
      <w:r w:rsidRPr="0044524F">
        <w:rPr>
          <w:rFonts w:ascii="Times New Roman" w:hAnsi="Times New Roman"/>
          <w:color w:val="000000" w:themeColor="text1"/>
          <w:sz w:val="16"/>
          <w:szCs w:val="16"/>
        </w:rPr>
        <w:softHyphen/>
        <w:t>ботал в первом варианте план строительства больших аэродинамических труб государстве иного значения, который бы обес</w:t>
      </w:r>
      <w:r w:rsidRPr="0044524F">
        <w:rPr>
          <w:rFonts w:ascii="Times New Roman" w:hAnsi="Times New Roman"/>
          <w:color w:val="000000" w:themeColor="text1"/>
          <w:sz w:val="16"/>
          <w:szCs w:val="16"/>
        </w:rPr>
        <w:softHyphen/>
        <w:t xml:space="preserve">печил устранение указанного выше опасного разрыва между </w:t>
      </w:r>
      <w:r w:rsidRPr="0044524F">
        <w:rPr>
          <w:rFonts w:ascii="Times New Roman" w:hAnsi="Times New Roman"/>
          <w:color w:val="000000" w:themeColor="text1"/>
          <w:sz w:val="16"/>
          <w:szCs w:val="16"/>
          <w:vertAlign w:val="subscript"/>
        </w:rPr>
        <w:t xml:space="preserve">; </w:t>
      </w:r>
      <w:r w:rsidRPr="0044524F">
        <w:rPr>
          <w:rFonts w:ascii="Times New Roman" w:hAnsi="Times New Roman"/>
          <w:color w:val="000000" w:themeColor="text1"/>
          <w:sz w:val="16"/>
          <w:szCs w:val="16"/>
        </w:rPr>
        <w:t>запросами опытного самолетостроения и возможностями налич</w:t>
      </w:r>
      <w:r w:rsidRPr="0044524F">
        <w:rPr>
          <w:rFonts w:ascii="Times New Roman" w:hAnsi="Times New Roman"/>
          <w:color w:val="000000" w:themeColor="text1"/>
          <w:sz w:val="16"/>
          <w:szCs w:val="16"/>
        </w:rPr>
        <w:softHyphen/>
        <w:t>ной экспериментально-теоретической базы.</w:t>
      </w:r>
    </w:p>
    <w:p w14:paraId="5C373D37"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Всесоюзный Совет по аэродинамике, со всей тщательностью рассмотрев указанный вопрос с представителями наи</w:t>
      </w:r>
      <w:r w:rsidRPr="0044524F">
        <w:rPr>
          <w:rFonts w:ascii="Times New Roman" w:hAnsi="Times New Roman"/>
          <w:color w:val="000000" w:themeColor="text1"/>
          <w:sz w:val="16"/>
          <w:szCs w:val="16"/>
        </w:rPr>
        <w:softHyphen/>
        <w:t>более крупных аэродинамических авиационных организаций, выдвигая на Ваше рассмотрение весь разработанный материал просит Вас:</w:t>
      </w:r>
    </w:p>
    <w:p w14:paraId="4E34423F"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представить на утверждение Народного Комиссара тяжелой промышленности тов. Орджоникидзе разработанный план строительства в течение второй пятилетки больших аэроди</w:t>
      </w:r>
      <w:r w:rsidRPr="0044524F">
        <w:rPr>
          <w:rFonts w:ascii="Times New Roman" w:hAnsi="Times New Roman"/>
          <w:color w:val="000000" w:themeColor="text1"/>
          <w:sz w:val="16"/>
          <w:szCs w:val="16"/>
        </w:rPr>
        <w:softHyphen/>
        <w:t>намических труб в составе указанных в приложении об"ектов;</w:t>
      </w:r>
    </w:p>
    <w:p w14:paraId="45DE3E82"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дать задание ЦАГИ и Харьковскому Авиационному ин</w:t>
      </w:r>
      <w:r w:rsidRPr="0044524F">
        <w:rPr>
          <w:rFonts w:ascii="Times New Roman" w:hAnsi="Times New Roman"/>
          <w:color w:val="000000" w:themeColor="text1"/>
          <w:sz w:val="16"/>
          <w:szCs w:val="16"/>
        </w:rPr>
        <w:softHyphen/>
        <w:t>ституту приступить уже в течение 1933 года вплотную к не</w:t>
      </w:r>
      <w:r w:rsidRPr="0044524F">
        <w:rPr>
          <w:rFonts w:ascii="Times New Roman" w:hAnsi="Times New Roman"/>
          <w:color w:val="000000" w:themeColor="text1"/>
          <w:sz w:val="16"/>
          <w:szCs w:val="16"/>
        </w:rPr>
        <w:softHyphen/>
        <w:t>посредственному проектированию основных наиболее трудоем</w:t>
      </w:r>
      <w:r w:rsidRPr="0044524F">
        <w:rPr>
          <w:rFonts w:ascii="Times New Roman" w:hAnsi="Times New Roman"/>
          <w:color w:val="000000" w:themeColor="text1"/>
          <w:sz w:val="16"/>
          <w:szCs w:val="16"/>
        </w:rPr>
        <w:softHyphen/>
        <w:t>ких об"ектов по плану строительства аэродинамических труб, ассигновав для этой цели дополнительно 225.000 рублей /200.000 р. Для ЦАГИ и 25.000 для Харьковского Авиацион</w:t>
      </w:r>
      <w:r w:rsidRPr="0044524F">
        <w:rPr>
          <w:rFonts w:ascii="Times New Roman" w:hAnsi="Times New Roman"/>
          <w:color w:val="000000" w:themeColor="text1"/>
          <w:sz w:val="16"/>
          <w:szCs w:val="16"/>
        </w:rPr>
        <w:softHyphen/>
        <w:t>ного института через ЦАГИ/ в соответствии с подготовленной в ЦАГИ детализированной сметой;</w:t>
      </w:r>
    </w:p>
    <w:p w14:paraId="7A10CFF9"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разрешить послать в течение 1933 года заграницу /Англия, Германия,Америка/ двух инженеров для ознакомле</w:t>
      </w:r>
      <w:r w:rsidRPr="0044524F">
        <w:rPr>
          <w:rFonts w:ascii="Times New Roman" w:hAnsi="Times New Roman"/>
          <w:color w:val="000000" w:themeColor="text1"/>
          <w:sz w:val="16"/>
          <w:szCs w:val="16"/>
        </w:rPr>
        <w:softHyphen/>
        <w:t>ния с соответствующими заграничными наиболее совершенными, аэродинамическими трубами, а также для предварительного выяснения возможностей получения от наиболее видных ино</w:t>
      </w:r>
      <w:r w:rsidRPr="0044524F">
        <w:rPr>
          <w:rFonts w:ascii="Times New Roman" w:hAnsi="Times New Roman"/>
          <w:color w:val="000000" w:themeColor="text1"/>
          <w:sz w:val="16"/>
          <w:szCs w:val="16"/>
        </w:rPr>
        <w:softHyphen/>
        <w:t>странных специалистов технической консультации по разра</w:t>
      </w:r>
      <w:r w:rsidRPr="0044524F">
        <w:rPr>
          <w:rFonts w:ascii="Times New Roman" w:hAnsi="Times New Roman"/>
          <w:color w:val="000000" w:themeColor="text1"/>
          <w:sz w:val="16"/>
          <w:szCs w:val="16"/>
        </w:rPr>
        <w:softHyphen/>
        <w:t>батываемым у нас проектам аэродинамических труб и их оборудования» на что вместе с предполагаемой возможностью пригласить для прочтения цикла лекций по аэродинамическим трубам т ах или иных крупных иностранных социалистов, по</w:t>
      </w:r>
      <w:r w:rsidRPr="0044524F">
        <w:rPr>
          <w:rFonts w:ascii="Times New Roman" w:hAnsi="Times New Roman"/>
          <w:color w:val="000000" w:themeColor="text1"/>
          <w:sz w:val="16"/>
          <w:szCs w:val="16"/>
        </w:rPr>
        <w:softHyphen/>
        <w:t>требуется в течение 1933 года примерно 6.000 рублей валю</w:t>
      </w:r>
      <w:r w:rsidRPr="0044524F">
        <w:rPr>
          <w:rFonts w:ascii="Times New Roman" w:hAnsi="Times New Roman"/>
          <w:color w:val="000000" w:themeColor="text1"/>
          <w:sz w:val="16"/>
          <w:szCs w:val="16"/>
        </w:rPr>
        <w:softHyphen/>
        <w:t>той;</w:t>
      </w:r>
    </w:p>
    <w:p w14:paraId="72077FFC"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дать задание ЦАГИ или Всесоюзному Совету по Аэродианимике /с привлечением всех необходимых для этого организаций/ приступить к разработке календарного плана строи</w:t>
      </w:r>
      <w:r w:rsidRPr="0044524F">
        <w:rPr>
          <w:rFonts w:ascii="Times New Roman" w:hAnsi="Times New Roman"/>
          <w:color w:val="000000" w:themeColor="text1"/>
          <w:sz w:val="16"/>
          <w:szCs w:val="16"/>
        </w:rPr>
        <w:softHyphen/>
        <w:t>тельства больших аэродинамических труб на вторую пятила тку| и всего комплекса необходимых для этого мероприятий, а же плана финансовоых затрат, как в советских рублях, так и в иностранной валюте с предварительной подработкой одновременно организационных форм проектирования и строитвльства указанных выше об"ектов.</w:t>
      </w:r>
    </w:p>
    <w:p w14:paraId="24C5E28E"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w:t>
      </w:r>
    </w:p>
    <w:p w14:paraId="56912CBD"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Ориентировочный план строительства аэродинамических труб государственного значения с графиками ориантировочных сроков строительства и финансовых! затрат;</w:t>
      </w:r>
    </w:p>
    <w:p w14:paraId="1A6E2F9F"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альбом фотографий современных загра</w:t>
      </w:r>
      <w:r w:rsidRPr="0044524F">
        <w:rPr>
          <w:rFonts w:ascii="Times New Roman" w:hAnsi="Times New Roman"/>
          <w:color w:val="000000" w:themeColor="text1"/>
          <w:sz w:val="16"/>
          <w:szCs w:val="16"/>
        </w:rPr>
        <w:softHyphen/>
        <w:t>ничных аэродинамических груб, а также фотографий, характеризующих непосред</w:t>
      </w:r>
      <w:r w:rsidRPr="0044524F">
        <w:rPr>
          <w:rFonts w:ascii="Times New Roman" w:hAnsi="Times New Roman"/>
          <w:color w:val="000000" w:themeColor="text1"/>
          <w:sz w:val="16"/>
          <w:szCs w:val="16"/>
        </w:rPr>
        <w:softHyphen/>
        <w:t>ственную связь опытного самолетостроения и экспериментально аэродинамических изысканий</w:t>
      </w:r>
    </w:p>
    <w:p w14:paraId="10259BE4"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ЦГАОР. ф. 147с, оп. 15, д. 153, л. 1 (1026,169).</w:t>
      </w:r>
    </w:p>
    <w:p w14:paraId="0DDA24F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04C9C95E" w14:textId="77777777" w:rsidR="0081051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C3ECB41" w14:textId="77777777" w:rsidR="00810511" w:rsidRPr="0044524F" w:rsidRDefault="0081051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008479E"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мая в 1933 году взлетел первый прототип самолета </w:t>
      </w:r>
      <w:hyperlink r:id="rId156" w:tgtFrame="_blank" w:history="1">
        <w:r w:rsidRPr="0044524F">
          <w:rPr>
            <w:rFonts w:ascii="Times New Roman" w:hAnsi="Times New Roman"/>
            <w:color w:val="000000" w:themeColor="text1"/>
            <w:sz w:val="16"/>
            <w:szCs w:val="16"/>
          </w:rPr>
          <w:t xml:space="preserve">«XF3U-1». </w:t>
        </w:r>
      </w:hyperlink>
      <w:r w:rsidRPr="0044524F">
        <w:rPr>
          <w:rFonts w:ascii="Times New Roman" w:hAnsi="Times New Roman"/>
          <w:color w:val="000000" w:themeColor="text1"/>
          <w:sz w:val="16"/>
          <w:szCs w:val="16"/>
        </w:rPr>
        <w:t>Это был двухместный цельнометаллический биплан (самолет стал первым цельнометаллическим самолетом «Vought»), оснащенный двигателем «Pratt &amp; Whitney» «R-1535-64» «Twin Wasp Junior» мощностью 700 л.с. Вооружение самолета состояло из двух передних 7.62-мм пулеметов, установленных над верхней центральной секцией крыла, и такого же пулемета, в задней кабине на подвижной турели (14886).</w:t>
      </w:r>
    </w:p>
    <w:p w14:paraId="78B04B6A" w14:textId="77777777" w:rsidR="00810511" w:rsidRPr="0044524F" w:rsidRDefault="00810511" w:rsidP="009654CF">
      <w:pPr>
        <w:spacing w:after="0" w:line="240" w:lineRule="auto"/>
        <w:jc w:val="both"/>
        <w:rPr>
          <w:rFonts w:ascii="Times New Roman" w:hAnsi="Times New Roman"/>
          <w:color w:val="000000" w:themeColor="text1"/>
          <w:sz w:val="16"/>
          <w:szCs w:val="16"/>
        </w:rPr>
      </w:pPr>
    </w:p>
    <w:p w14:paraId="662320EC"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мая 1933 состоялся первый полет Vought XF3U-1 (20802).</w:t>
      </w:r>
    </w:p>
    <w:p w14:paraId="6CB2ED73" w14:textId="77777777" w:rsidR="00C7460D" w:rsidRPr="0044524F" w:rsidRDefault="00C7460D" w:rsidP="009654CF">
      <w:pPr>
        <w:spacing w:after="0" w:line="240" w:lineRule="auto"/>
        <w:jc w:val="both"/>
        <w:rPr>
          <w:rFonts w:ascii="Times New Roman" w:hAnsi="Times New Roman"/>
          <w:color w:val="000000" w:themeColor="text1"/>
          <w:sz w:val="16"/>
          <w:szCs w:val="16"/>
        </w:rPr>
      </w:pPr>
    </w:p>
    <w:p w14:paraId="1E4A2B9A"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E7783CC"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A07DC35"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года было подписано Заключение в Отчете об испытании самолета И5 М22 на штопор с поворотной стойкой</w:t>
      </w:r>
    </w:p>
    <w:p w14:paraId="4A97D8CF"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Исполнители:</w:t>
      </w:r>
    </w:p>
    <w:p w14:paraId="3E656B32"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 Петров И.Ф.</w:t>
      </w:r>
    </w:p>
    <w:p w14:paraId="53CE2984"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Сузи</w:t>
      </w:r>
    </w:p>
    <w:p w14:paraId="271B8A51"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66960556"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степени безопасности производства штопоров на самолете И5 М22 при применении поворотной стойки и без нее.</w:t>
      </w:r>
    </w:p>
    <w:p w14:paraId="2457B220"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3592F18"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на введение в серийной постройке поворотных стоек на самолете И5 М22 принять после испытания эталона И5 на 1933 год, т.к. на эталоне введены ряд изменений конструкции и стойки и механизма управления (6641).</w:t>
      </w:r>
    </w:p>
    <w:p w14:paraId="1F7091C6"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951B8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года начальник и военком НИИ ВВС Зильберт и начальник штаба НИИ Трунов писали письмо N 0468 сс начальнику штаба ВВС.</w:t>
      </w:r>
    </w:p>
    <w:p w14:paraId="3F4E695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физиономии "ТАРАН" и тактические требования к нему</w:t>
      </w:r>
    </w:p>
    <w:p w14:paraId="3E2BA07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термином "ТАРАН" следует понимать самолет без пилота, управляемый на расстоянии и поражающий цель ударом всей машины или взрывом в непосредственной близости от цели.</w:t>
      </w:r>
    </w:p>
    <w:p w14:paraId="2AB7029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Использование такого самолета наиболее целесообразно исключительно против воздушного противника и главным образом против его тяжелобомбардировочной авиации.</w:t>
      </w:r>
    </w:p>
    <w:p w14:paraId="49EB382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и атака одиночными самолетами.</w:t>
      </w:r>
    </w:p>
    <w:p w14:paraId="5FD59C6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перечисленных выше задач "ТАРАН" должен обладать следующими летно-тактическими данными:</w:t>
      </w:r>
    </w:p>
    <w:p w14:paraId="20DD5D9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применения "ТАРАН" должна перекрывать наибольшую боевую высоту тяжелых бомбардировщиков. Судя по итогам первой пятилетки, в течение второй пятилетки нормальными высотами применения ТБ нужно считать 6-7000 м.</w:t>
      </w:r>
    </w:p>
    <w:p w14:paraId="675CBC6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"Таран" имеющий своим назначением нападать, должен преобладать в высоте на 1000-1500 м, что обеспечит наилучший способ атаки. Таким образом "Таран" должен иметь боевую высоту 8000-8500.</w:t>
      </w:r>
    </w:p>
    <w:p w14:paraId="6BB4A4F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Горизонтальная скорость тяжелых и средних бомбардировщиков по лучшим зарубежным образцам достигает 230-260 км. В течение второй пятилетки не исключена возможность роста эксплуатационных скоростей до 270-300 км.</w:t>
      </w:r>
    </w:p>
    <w:p w14:paraId="0C2A7B7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"Таран" по своему назначению должен преобладать над скоростью противника с тем, чтобы иметь запас для догона. Таким образом горизонтальная скорость "Тарана" на боевой высоте применения должна быть не менее 360 км/час. С тактической точки зрения не будет возражений против значительного увеличения скорости, которая может быть достигнута конструкторами за счет крайне незначительного веса оборудования, свободного выбора наивыгоднейших аэродинамических форм машины и возможностью полного _зализывания_ и отсутствием претензий к величине посадочной скорости в связи с тем, что на посадку "Таран" не рассчитывается.</w:t>
      </w:r>
    </w:p>
    <w:p w14:paraId="54D054B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 полете слагающаяся из взлета, догона и атаки максимально выразится в 1 час, отсюда следует требование к запасу горючего и продолжительности срока службы мотора.</w:t>
      </w:r>
    </w:p>
    <w:p w14:paraId="574F807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взрывчатого вещества следует подчинить конструктивным возможностям и в последствии это отразится на дистанции взрыва от цели.</w:t>
      </w:r>
    </w:p>
    <w:p w14:paraId="2000631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Защитные свойства "Тарана" от расстрела противником должны базироваться на принципе скоротечности атаки и большой скорости пикирования.</w:t>
      </w:r>
    </w:p>
    <w:p w14:paraId="49E57D7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Прочность и маневренность должна допускать глубокий вираж и крутое пикирование.</w:t>
      </w:r>
    </w:p>
    <w:p w14:paraId="040ADC2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Крайне желательно в пределах технических возможностей придать "Тарану" устойчивость и даже самонаправляемость на цель, после ввода в атаку приборами управления на расстояние.</w:t>
      </w:r>
    </w:p>
    <w:p w14:paraId="2FABA3A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Требований к обзору и обстрелу не предъявляется.</w:t>
      </w:r>
    </w:p>
    <w:p w14:paraId="66B2D47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отсутствует. Оборудование должно состоять только в приборах управления.</w:t>
      </w:r>
    </w:p>
    <w:p w14:paraId="758E21B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Бронированный истребитель ПВО</w:t>
      </w:r>
    </w:p>
    <w:p w14:paraId="68B12C3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числа воздушных целей, составляющих воздушные силы противника, в смысле создания новых средств противодействия, заслуживает особого внимания тяжелобомбардировочная авиация, которая мощностью своего оружия может повлиять не только на исход операции, но и на исход всей кампании.</w:t>
      </w:r>
    </w:p>
    <w:p w14:paraId="6FF9609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основного противодействующего средства, для данного вида целей, в момент нахождения их в воздухе, противопоставляется истребительная авиация всех видов и наземные средства ПВО.</w:t>
      </w:r>
    </w:p>
    <w:p w14:paraId="4CFB664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основной способ поражения воздушного противника зиждется на поражении пулей, снарядом и бомбой, выбрасываемыми с некоторой дистанции и впоследствии не управляемыми. Величина на дистанции выбрасывания обусловлена огневым сопротивлением противника.</w:t>
      </w:r>
    </w:p>
    <w:p w14:paraId="6390BC7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Основной недостаток такого способа заключается в том, что вероятность поражения цели зависит от: дистанции, меткости огня, убойной силы пули или снаряда, скорости и маневренности цели, ее живучести и ни в одном случае не может быть заранее дано гарантии, что цель будет разрушена или по меньшей мере не допущена к охраняемому объекту. Кроме того, этот способ принуждает иметь значительный перевес в силах и длительности воздействия.</w:t>
      </w:r>
    </w:p>
    <w:p w14:paraId="429A096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Оставляя указанный способ борьбы с воздушным противником главным, в ряде случаев возникает необходимость каким бы то ни было способом не допустить противника к цели, предотвратить бомбардирование охраняемого объекта.</w:t>
      </w:r>
    </w:p>
    <w:p w14:paraId="2A68744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этого вопроса может быть найдено в применении такого средства, которое допускало бы постоянную управляемость до самого момента соприкосновения с противником.</w:t>
      </w:r>
    </w:p>
    <w:p w14:paraId="0441FE9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данные средства должны обладать:</w:t>
      </w:r>
    </w:p>
    <w:p w14:paraId="72D1D50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Достаточной скоростью, обеспечивающей догон во всех случаях взаимоположения между целью и используемыми средствами.</w:t>
      </w:r>
    </w:p>
    <w:p w14:paraId="76E6616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Достаточной разрушительной силой снаряда или удара, гарантирующей наверняка поражение цели.</w:t>
      </w:r>
    </w:p>
    <w:p w14:paraId="7F32BF8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Гарантированной живучестью, неподверженностью огневому сопротивлению противника до момента выполнения задачи.</w:t>
      </w:r>
    </w:p>
    <w:p w14:paraId="58EB3AB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 это средство может быть выполнено в виде:</w:t>
      </w:r>
    </w:p>
    <w:p w14:paraId="53379A9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Планирующей мины, управляемой по радио.</w:t>
      </w:r>
    </w:p>
    <w:p w14:paraId="1732DAE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Летающей мины (самолет без пилота), управляемой по радио.</w:t>
      </w:r>
    </w:p>
    <w:p w14:paraId="15051C1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Специального самолета, управляемого живым пилотом. Специальный самолет по способу действия в свою очередь может быть в следующих вариантах:</w:t>
      </w:r>
    </w:p>
    <w:p w14:paraId="0013C3C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Поражение цели собственным корпусом с предварительным выпрыгиванием пилота на парашюте.</w:t>
      </w:r>
    </w:p>
    <w:p w14:paraId="114B455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Поражение цели специальным приспособлением, с которого в момент удара собственно самолет соскальзывает и в основном должен совершить нормальную посадку и как исключение в случае потери управления - выпрыгивание пилота.</w:t>
      </w:r>
    </w:p>
    <w:p w14:paraId="0FB031D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Поражение цели специальным, подвешиваемым на тросах грузом и отрывающимся от буксируемого самолета в момент удара о цель. Указанный груз может поражать или живой силой или взрывом.</w:t>
      </w:r>
    </w:p>
    <w:p w14:paraId="7573CED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таком способе самолет должен как правило совершать нормальную посадку.</w:t>
      </w:r>
    </w:p>
    <w:p w14:paraId="76D2494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Поражение цели "кинжальным" огнем с минимальной дистанции, обеспечивающей верное поражение цели. После завершения атаки самолет должен, как правило, совершать нормальную посадку и как исключение, в случае повреждения, пилот выпрыгивает на парашюте.</w:t>
      </w:r>
    </w:p>
    <w:p w14:paraId="7C518A9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всех перечисленных случаях самолет должен иметь сильную броню, защищающую пилота от всех средств поражения, которыми располагает цель.</w:t>
      </w:r>
    </w:p>
    <w:p w14:paraId="5F3EE1C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перечисленные средства несомненно будут обладать известными недостатками, однако, характер недостатков будет различен. В одних случаях он ставит под сомнение возможность выполнения поставленной задачи, в других затруднит выполнение задачи, но все же гарантия выполнения останется 100%.</w:t>
      </w:r>
    </w:p>
    <w:p w14:paraId="0A68732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виды мин, перечисленные в п.п. 1 и 2 будут иметь следующие крупные недостатки:</w:t>
      </w:r>
    </w:p>
    <w:p w14:paraId="64173DB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затруднительность точного управления, в смысле детальной наводки мины на цель, имея в виду, что пункт управления миной будет находится в значительном удалении от цели и расстояния между миной и целью на этой дистанции, тем более в 3-х измерениях, будут представляться со значительными ошибками; 2. Управление миной, основанное на принципах телемеханики предполагает использование радиоволн, что не исключает возможности противодействия со стороны противника этим же средствам.</w:t>
      </w:r>
    </w:p>
    <w:p w14:paraId="6AA69FE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Быстрота практического осуществления мины, управляемой надежно на расстоянии, при данной ступени развития телемеханики несомненно будет носить затяжной характер.</w:t>
      </w:r>
    </w:p>
    <w:p w14:paraId="1551D47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недостаткам спецсамолета всех вариантов в первую очередь относится, при наличии достаточной практической гарантии, неполная психологическая гарантия спасания жизни пилота. Однако, этот недостаток во многих случаях будет отсутствовать, имея в виду высокую революционную сознательность и твердое боевое воспитание летного состава.</w:t>
      </w:r>
    </w:p>
    <w:p w14:paraId="7F4F8CE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всех перечисленных недостатков, нужно иметь в виду материальный ущерб, приносимый неполной гарантией сохранения самолета после атаки.</w:t>
      </w:r>
    </w:p>
    <w:p w14:paraId="29DD46F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относить это к разряду недостатков в полном смысле этого слова будут односторонне, т.к. борьба любым видом оружия содержит в себе известную долю материальных затрат.</w:t>
      </w:r>
    </w:p>
    <w:p w14:paraId="28F7814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сравнение материального ущерба, приносимого потерей спецсамолета с материальным же ущербом, наносимым противнику (потеря легкого самолета и потеря тяжелого корабля) относительно последнего представляет большие выгоды.</w:t>
      </w:r>
    </w:p>
    <w:p w14:paraId="3A26CEE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Основное оправдание подобной материальной затраты несомненно окупается оперативными выгодами.</w:t>
      </w:r>
    </w:p>
    <w:p w14:paraId="7DDBDBB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из приведенного выше анализа, Тактический сектор пришел к выводу, что в данное время наиболее целесообразно и возможно приступить к осуществлению специального самолета ПВО, действующего огнестрельным оружием в упор.</w:t>
      </w:r>
    </w:p>
    <w:p w14:paraId="7688E1F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указанным выводом и имея в виду, что самолеты специального типа ПВО в основных своих частях имеют абсолютное сходство, ниже даются тактические требования только на один вариант, вооруженный огнестрельным оружием.</w:t>
      </w:r>
    </w:p>
    <w:p w14:paraId="7C52469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Тактические требования к специальному самолету ПВО</w:t>
      </w:r>
    </w:p>
    <w:p w14:paraId="7B6B7BD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p w14:paraId="657B486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Уничтожение тяжелых и сверхтяжелых бомбардировщиков противника, летающих авиаматок и боевых дирижаблей.</w:t>
      </w:r>
    </w:p>
    <w:p w14:paraId="4595EBD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Метод применения</w:t>
      </w:r>
    </w:p>
    <w:p w14:paraId="23856F1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Использование исключительно над своей территорией в районе важных объектов и на важнейших оперативных направлениях. Полет - звеном, атака - в одиночку.</w:t>
      </w:r>
    </w:p>
    <w:p w14:paraId="5102E8D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Основа боя внезапность и максимальная быстрота атаки, производимой только сверху и доводимой обязательно до конца. Средство поражения - стрелково-артиллерийское оружие и бомбы. Время применения - днем и ночью, в основном днем.</w:t>
      </w:r>
    </w:p>
    <w:p w14:paraId="77AA8D9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Летно-тактические требования</w:t>
      </w:r>
    </w:p>
    <w:p w14:paraId="6507AB4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Горизонтальная скорость на боевой высоте 360-400 км</w:t>
      </w:r>
    </w:p>
    <w:p w14:paraId="7241DA1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7000 м не более 10 минут</w:t>
      </w:r>
    </w:p>
    <w:p w14:paraId="6359944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8500 м</w:t>
      </w:r>
    </w:p>
    <w:p w14:paraId="7E99560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не более 115 км/час</w:t>
      </w:r>
    </w:p>
    <w:p w14:paraId="5B874C1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горючего - на 1,0 часа полет</w:t>
      </w:r>
    </w:p>
    <w:p w14:paraId="708036F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Требования к конструкции</w:t>
      </w:r>
    </w:p>
    <w:p w14:paraId="01C9D60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допускать крутое пикирование до 90 градусов продолжительностью до 1000 м.</w:t>
      </w:r>
    </w:p>
    <w:p w14:paraId="3723E5C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Должна быть максимальная обеспеченность свободного выпрыгивания на парашюте при любом положении самолета, в любой эволюции или при непроизвольном падении.</w:t>
      </w:r>
    </w:p>
    <w:p w14:paraId="77325E4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пилотского сиденья должен быть достаточный обзор вперед. Обеспечивающий производство атаки, однако, без ущерба неуязвимости от огня противника со стороны атакуемой цели.</w:t>
      </w:r>
    </w:p>
    <w:p w14:paraId="6257C4F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Обзор вниз должен обеспечить атаку, нормальный взлет и нормальную посадку.</w:t>
      </w:r>
    </w:p>
    <w:p w14:paraId="5C2C75F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Обзор назад должен допускать в пределах возможности (в зависимости от брони) наблюдение для ухода от возможной атаки противника.</w:t>
      </w:r>
    </w:p>
    <w:p w14:paraId="30B6B26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Броня должна обеспечить безопасность летчика.</w:t>
      </w:r>
    </w:p>
    <w:p w14:paraId="6BE767F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Противопожарное оборудование должно автоматически прекращать пожар в любой точке самолета.</w:t>
      </w:r>
    </w:p>
    <w:p w14:paraId="278D732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Вооружение</w:t>
      </w:r>
    </w:p>
    <w:p w14:paraId="7887B75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Направление огня только вперед. Угол установки оружия постоянный. Количество и калибр вооружения:</w:t>
      </w:r>
    </w:p>
    <w:p w14:paraId="0991A7C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один пулемет нормального калибра и один крупного калибра и кроме того, 2-3 бомбы, выбрасываемые в последний момент атаки, или</w:t>
      </w:r>
    </w:p>
    <w:p w14:paraId="33DF2EA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пулемета крупного калибра и 2-3 бомбы для тех же целей;</w:t>
      </w:r>
    </w:p>
    <w:p w14:paraId="140C911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один пулемет нормального калибра и одна крупнокалиберная пушка.</w:t>
      </w:r>
    </w:p>
    <w:p w14:paraId="4126AE1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Количество патронов для пулеметов нормального калибра - 500 шт. на пулемет, крупного калибра _ 100-150 шт. на пулемет, снарядов _ 2-4 шт. на пушку и бомб 2-3 шт.</w:t>
      </w:r>
    </w:p>
    <w:p w14:paraId="03F2866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Перезаряжание обязательно автоматическое на весь запас патрон и снарядов. Приведение в действие спускового механизма ни в коем случае не должно отвлекать от прицеливания и пилотирования.</w:t>
      </w:r>
    </w:p>
    <w:p w14:paraId="0A1BA8B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(3903, 66-74).</w:t>
      </w:r>
    </w:p>
    <w:p w14:paraId="62233E6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68586631"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мая 1933 появилось распоряжение помощника начальника НКАП Беленковича, направленное началь</w:t>
      </w:r>
      <w:r w:rsidRPr="00142305">
        <w:rPr>
          <w:rFonts w:ascii="Times New Roman" w:hAnsi="Times New Roman"/>
          <w:color w:val="0070C0"/>
          <w:sz w:val="16"/>
          <w:szCs w:val="16"/>
        </w:rPr>
        <w:softHyphen/>
        <w:t>нику КОСОС Туполеву и директору за</w:t>
      </w:r>
      <w:r w:rsidRPr="00142305">
        <w:rPr>
          <w:rFonts w:ascii="Times New Roman" w:hAnsi="Times New Roman"/>
          <w:color w:val="0070C0"/>
          <w:sz w:val="16"/>
          <w:szCs w:val="16"/>
        </w:rPr>
        <w:softHyphen/>
        <w:t>вода № 39 Марголину: «На основании отданных мне распоряжений нач. ГУАП т. Барановым - немедленно приступить к развертыванию работ по РД на заводе п/я 411 в 40 - 50 штук». П/я 411 - это и есть завод № 39. Получается, что реше</w:t>
      </w:r>
      <w:r w:rsidRPr="00142305">
        <w:rPr>
          <w:rFonts w:ascii="Times New Roman" w:hAnsi="Times New Roman"/>
          <w:color w:val="0070C0"/>
          <w:sz w:val="16"/>
          <w:szCs w:val="16"/>
        </w:rPr>
        <w:softHyphen/>
        <w:t>ние о серийном производстве приняли примерно на месяц раньше (24946).</w:t>
      </w:r>
    </w:p>
    <w:p w14:paraId="22556375" w14:textId="77777777" w:rsidR="00493616" w:rsidRPr="00142305" w:rsidRDefault="00493616" w:rsidP="00493616">
      <w:pPr>
        <w:spacing w:after="0" w:line="240" w:lineRule="auto"/>
        <w:jc w:val="both"/>
        <w:rPr>
          <w:rFonts w:ascii="Times New Roman" w:hAnsi="Times New Roman"/>
          <w:color w:val="0070C0"/>
          <w:sz w:val="16"/>
          <w:szCs w:val="16"/>
        </w:rPr>
      </w:pPr>
    </w:p>
    <w:p w14:paraId="7D1DE6C8"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года ГУАП направило в ЦКБ сформулированные Технические требования на самолет местной авиации с мотором в 300 л. с. (15535).</w:t>
      </w:r>
    </w:p>
    <w:p w14:paraId="7F2B8009" w14:textId="77777777" w:rsidR="00810511" w:rsidRPr="0044524F" w:rsidRDefault="00810511" w:rsidP="009654CF">
      <w:pPr>
        <w:spacing w:after="0" w:line="240" w:lineRule="auto"/>
        <w:jc w:val="both"/>
        <w:rPr>
          <w:rFonts w:ascii="Times New Roman" w:hAnsi="Times New Roman"/>
          <w:color w:val="000000" w:themeColor="text1"/>
          <w:sz w:val="16"/>
          <w:szCs w:val="16"/>
        </w:rPr>
      </w:pPr>
    </w:p>
    <w:p w14:paraId="42DBE35D" w14:textId="77777777" w:rsidR="00CE35D9" w:rsidRPr="0044524F" w:rsidRDefault="00CE35D9" w:rsidP="009654CF">
      <w:pPr>
        <w:pStyle w:val="ae"/>
        <w:shd w:val="clear" w:color="auto" w:fill="FFFFFF"/>
        <w:spacing w:before="0" w:after="0"/>
        <w:jc w:val="both"/>
        <w:rPr>
          <w:color w:val="000000" w:themeColor="text1"/>
          <w:sz w:val="16"/>
          <w:szCs w:val="16"/>
        </w:rPr>
      </w:pPr>
      <w:r w:rsidRPr="0044524F">
        <w:rPr>
          <w:color w:val="000000" w:themeColor="text1"/>
          <w:sz w:val="16"/>
          <w:szCs w:val="16"/>
        </w:rPr>
        <w:t>10 мая 1933 года ГУАП направило, наконец, в ЦКБ сформулированные Технические требования на самолет местной авиации с мотором в 300 л. с.</w:t>
      </w:r>
    </w:p>
    <w:p w14:paraId="08AE37A3" w14:textId="77777777" w:rsidR="00CE35D9" w:rsidRPr="0044524F" w:rsidRDefault="00CE35D9" w:rsidP="009654CF">
      <w:pPr>
        <w:pStyle w:val="ae"/>
        <w:shd w:val="clear" w:color="auto" w:fill="FFFFFF"/>
        <w:spacing w:before="0" w:after="0"/>
        <w:jc w:val="both"/>
        <w:rPr>
          <w:color w:val="000000" w:themeColor="text1"/>
          <w:sz w:val="16"/>
          <w:szCs w:val="16"/>
        </w:rPr>
      </w:pPr>
      <w:r w:rsidRPr="0044524F">
        <w:rPr>
          <w:color w:val="000000" w:themeColor="text1"/>
          <w:sz w:val="16"/>
          <w:szCs w:val="16"/>
        </w:rPr>
        <w:t>Хотя после совещания в ВАО и прошло почти пять месяцев, технические требования оказались недоработанными, и Ильюшин с Поликарповым незамедлительно направили свои замечания:</w:t>
      </w:r>
    </w:p>
    <w:p w14:paraId="1E991B51"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Замечания к техническим требованиям на самолет местной авиации под мотор 300 НР.</w:t>
      </w:r>
    </w:p>
    <w:p w14:paraId="72B9C79E"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(Отношение ГУАП от 10 мая 1933 года)</w:t>
      </w:r>
    </w:p>
    <w:p w14:paraId="5C2BE664"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N АП 80/229</w:t>
      </w:r>
    </w:p>
    <w:p w14:paraId="1B327D0C"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2 раздела первого:-</w:t>
      </w:r>
    </w:p>
    <w:p w14:paraId="7AF3EC5A"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 понимаем выражение "самолет местной авиации", как самолет местных воздушных сообщений, работающий главным образом по обслуживанию местных линий от крупного центра к областным и районым центрам.</w:t>
      </w:r>
    </w:p>
    <w:p w14:paraId="7ABF4555"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 не предлагаем делать складных крыльев, ввиду утяжеления таковых и усложнения конструкции, особенно принимая во внимание то, что самолет ЦКБ-6 будет иметь опускающиеся элероны с жестким и сложным управлением.</w:t>
      </w:r>
    </w:p>
    <w:p w14:paraId="16D3CBD6"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 Обязательных требований к самолетам ГУ ГВФа.</w:t>
      </w:r>
    </w:p>
    <w:p w14:paraId="563F9141"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уменьшения посадочных скоростей мы предлагаем установить опускающиеся элероны.</w:t>
      </w:r>
    </w:p>
    <w:p w14:paraId="5FB45383"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2. Мы понимаем выражение "комбинированное лыжно-колесное шасси" как конструкцию шасси, допускающую возможность установки колес для летнего аэродрома и замену их лыжами для зимнего аэродрома.</w:t>
      </w:r>
    </w:p>
    <w:p w14:paraId="23F4ADD2"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7CBD13F9"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6. Так как самолет ЦКБ-6 понимается нами как самолет местных воздушных сообщений, то нормальная его работа будет проходить днем, вследствие чего установка "полного ночного оборудования с управляемыми фарами" совершенно излишняя, как утяжеляющая и удорожающая самолет. Если же по особому заданию это будет нужно, то это можно будет сделать на отдельно избранном самолете во время постройки.</w:t>
      </w:r>
    </w:p>
    <w:p w14:paraId="7CB42A9E"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Делать же на все без исключения самолеты, летающие днем, ночное оборудование, да еще и полное, считаем нецелесообразным.</w:t>
      </w:r>
    </w:p>
    <w:p w14:paraId="26D3F6A5"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7. Нам предложено установить на самолет ЦКБ-6 мотор М49 воздушного охлаждения, никакого другого мотора для установки не указано. Поскольку и в этом отношении ГУАПа нет конкретных указаний на другие моторы, мы по этому пункту ничего не предусматриваем, за исключением того, что мотоустановка у нас будет съемной. Во всяком случае замена на таком небольшом самолете одного мотора другим связана с большой работой, так как весь самолет увязан под этот мотор.</w:t>
      </w:r>
    </w:p>
    <w:p w14:paraId="2CA9EC89"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8. Мы полагаем, что для самолета местных воздушных сообщений, имеющего экипажем всего одного пилота, ставить радиоустановку совершенно нецелесообразно, ибо помимо утяжеления и удорожания самолета, не понятно, кто же будет работать на радиоустановке, ведь летчик очень занят своей работой, а пассажиры совершенно не обязаны обслуживать радио.</w:t>
      </w:r>
    </w:p>
    <w:p w14:paraId="0DE42062"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9. Было бы желательно, более конкретно выставить особые требования к самолетам в южных районах СССР и на Севере, так как обычные мероприятия в этом отношении нами в ЦКБ-6 не предусматриваются.</w:t>
      </w:r>
    </w:p>
    <w:p w14:paraId="03BB1690"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ЦКБ Ильюшин</w:t>
      </w:r>
    </w:p>
    <w:p w14:paraId="3B5D4650"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бригады 2 Поликарпов</w:t>
      </w:r>
    </w:p>
    <w:p w14:paraId="045F4727"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Отпечатано 4 экз.</w:t>
      </w:r>
    </w:p>
    <w:p w14:paraId="56395FB6" w14:textId="77777777" w:rsidR="00CE35D9" w:rsidRPr="0044524F" w:rsidRDefault="00CE35D9" w:rsidP="009654CF">
      <w:pPr>
        <w:pStyle w:val="ae"/>
        <w:shd w:val="clear" w:color="auto" w:fill="FFFFFF"/>
        <w:spacing w:before="0" w:after="0"/>
        <w:jc w:val="both"/>
        <w:rPr>
          <w:color w:val="000000" w:themeColor="text1"/>
          <w:sz w:val="16"/>
          <w:szCs w:val="16"/>
        </w:rPr>
      </w:pPr>
      <w:r w:rsidRPr="0044524F">
        <w:rPr>
          <w:color w:val="000000" w:themeColor="text1"/>
          <w:sz w:val="16"/>
          <w:szCs w:val="16"/>
        </w:rPr>
        <w:t>Два месяца ушло на проработку проекта. Есть основание предполагать, что в ЦКБ-6 были использованы технические новинки, примененные на самолете "Валти".</w:t>
      </w:r>
    </w:p>
    <w:p w14:paraId="721999F6" w14:textId="77777777" w:rsidR="00CE35D9" w:rsidRPr="0044524F" w:rsidRDefault="00CE35D9" w:rsidP="009654CF">
      <w:pPr>
        <w:pStyle w:val="ae"/>
        <w:shd w:val="clear" w:color="auto" w:fill="FFFFFF"/>
        <w:spacing w:before="0" w:after="0"/>
        <w:jc w:val="both"/>
        <w:rPr>
          <w:color w:val="000000" w:themeColor="text1"/>
          <w:sz w:val="16"/>
          <w:szCs w:val="16"/>
        </w:rPr>
      </w:pPr>
      <w:r w:rsidRPr="0044524F">
        <w:rPr>
          <w:color w:val="000000" w:themeColor="text1"/>
          <w:sz w:val="16"/>
          <w:szCs w:val="16"/>
        </w:rPr>
        <w:t>Первые прорисовки ЦКБ-6 делал лично Н. Н. Поликарпов, а последующие и окончательную - совместно с С. В. Ильюшиным. Надо сказать, что двух конструкторов связывала многолетняя дружба. С высоты своего положения Сергей Владимирович неоднократно помогал и даже выручал Поликарпова, а Николай Николаевич охотно делился техническими идеями с Ильюшиным.</w:t>
      </w:r>
    </w:p>
    <w:p w14:paraId="5B347232" w14:textId="77777777" w:rsidR="00CE35D9" w:rsidRPr="0044524F" w:rsidRDefault="00CE35D9" w:rsidP="009654CF">
      <w:pPr>
        <w:pStyle w:val="ae"/>
        <w:shd w:val="clear" w:color="auto" w:fill="FFFFFF"/>
        <w:spacing w:before="0" w:after="0"/>
        <w:jc w:val="both"/>
        <w:rPr>
          <w:color w:val="000000" w:themeColor="text1"/>
          <w:sz w:val="16"/>
          <w:szCs w:val="16"/>
        </w:rPr>
      </w:pPr>
      <w:r w:rsidRPr="0044524F">
        <w:rPr>
          <w:color w:val="000000" w:themeColor="text1"/>
          <w:sz w:val="16"/>
          <w:szCs w:val="16"/>
        </w:rPr>
        <w:t>Как видно из докладной записки, С. В. Ильюшин и Н. Н. Поликарпов предлагали максимально технологичную машину - простую в изготовлении и эксплуатации. С позиции наших дней интересны и, в какой-то мере, немного смешны рассуждения о необходимости, вернее ее отсутствии, установки радиосвязного оборудования на самолет ЦКБ-6.</w:t>
      </w:r>
    </w:p>
    <w:p w14:paraId="060DBD83" w14:textId="77777777" w:rsidR="00CE35D9" w:rsidRPr="0044524F" w:rsidRDefault="00CE35D9" w:rsidP="009654CF">
      <w:pPr>
        <w:pStyle w:val="ae"/>
        <w:shd w:val="clear" w:color="auto" w:fill="FFFFFF"/>
        <w:spacing w:before="0" w:after="0"/>
        <w:jc w:val="both"/>
        <w:rPr>
          <w:color w:val="000000" w:themeColor="text1"/>
          <w:sz w:val="16"/>
          <w:szCs w:val="16"/>
        </w:rPr>
      </w:pPr>
      <w:r w:rsidRPr="0044524F">
        <w:rPr>
          <w:color w:val="000000" w:themeColor="text1"/>
          <w:sz w:val="16"/>
          <w:szCs w:val="16"/>
        </w:rPr>
        <w:t>Не совсем понятна ситуация с настоятельным требованием ГУАПа о применении на ЦКБ-6 мотора воздушного охлаждения М-49.</w:t>
      </w:r>
    </w:p>
    <w:p w14:paraId="582BF9CB" w14:textId="77777777" w:rsidR="00CE35D9" w:rsidRPr="0044524F" w:rsidRDefault="00CE35D9" w:rsidP="009654CF">
      <w:pPr>
        <w:pStyle w:val="ae"/>
        <w:shd w:val="clear" w:color="auto" w:fill="FFFFFF"/>
        <w:spacing w:before="0" w:after="0"/>
        <w:jc w:val="both"/>
        <w:rPr>
          <w:color w:val="000000" w:themeColor="text1"/>
          <w:sz w:val="16"/>
          <w:szCs w:val="16"/>
        </w:rPr>
      </w:pPr>
      <w:r w:rsidRPr="0044524F">
        <w:rPr>
          <w:color w:val="000000" w:themeColor="text1"/>
          <w:sz w:val="16"/>
          <w:szCs w:val="16"/>
        </w:rPr>
        <w:t>Этот двигатель разрабатывали в отделе бензиновых двигателей Научно-исследовательского института авиадвигателей ГВФ, который был создан для проектирования и постройки маломощных двигателей для гражданских, учебных и спортивных самолетов.</w:t>
      </w:r>
    </w:p>
    <w:p w14:paraId="2A1ACB39" w14:textId="77777777" w:rsidR="00CE35D9" w:rsidRPr="0044524F" w:rsidRDefault="00CE35D9" w:rsidP="009654CF">
      <w:pPr>
        <w:pStyle w:val="ae"/>
        <w:shd w:val="clear" w:color="auto" w:fill="FFFFFF"/>
        <w:spacing w:before="0" w:after="0"/>
        <w:jc w:val="both"/>
        <w:rPr>
          <w:color w:val="000000" w:themeColor="text1"/>
          <w:sz w:val="16"/>
          <w:szCs w:val="16"/>
        </w:rPr>
      </w:pPr>
      <w:r w:rsidRPr="0044524F">
        <w:rPr>
          <w:color w:val="000000" w:themeColor="text1"/>
          <w:sz w:val="16"/>
          <w:szCs w:val="16"/>
        </w:rPr>
        <w:t>НИИ АД ГВФ просуществовал всего восемь лет и в 1940 году был закрыт. Коллектив опытного завода под руководством М. А. Коссова успел разработать целое семейство двигателей МГ.</w:t>
      </w:r>
    </w:p>
    <w:p w14:paraId="60F30174" w14:textId="77777777" w:rsidR="00CE35D9" w:rsidRPr="0044524F" w:rsidRDefault="00CE35D9" w:rsidP="009654CF">
      <w:pPr>
        <w:pStyle w:val="ae"/>
        <w:shd w:val="clear" w:color="auto" w:fill="FFFFFF"/>
        <w:spacing w:before="0" w:after="0"/>
        <w:jc w:val="both"/>
        <w:rPr>
          <w:color w:val="000000" w:themeColor="text1"/>
          <w:sz w:val="16"/>
          <w:szCs w:val="16"/>
        </w:rPr>
      </w:pPr>
      <w:r w:rsidRPr="0044524F">
        <w:rPr>
          <w:color w:val="000000" w:themeColor="text1"/>
          <w:sz w:val="16"/>
          <w:szCs w:val="16"/>
        </w:rPr>
        <w:t>Однако с двигателем М-49 изначально возникли многочисленные проблемы, и он так и не был доведен "до ума". Ильюшин и Поликарпов не зря ссылались в своих записках на полную неопределенность с этим мотором. По мнению авторов, именно неясность с двигателем, под который был увязан весь самолет, и оставила его на лишь на бумаге (12707).</w:t>
      </w:r>
    </w:p>
    <w:p w14:paraId="658B9E5F" w14:textId="77777777" w:rsidR="00CE35D9" w:rsidRPr="0044524F" w:rsidRDefault="00CE35D9" w:rsidP="009654CF">
      <w:pPr>
        <w:pStyle w:val="rtecenter"/>
        <w:shd w:val="clear" w:color="auto" w:fill="FFFFFF"/>
        <w:spacing w:before="0" w:after="0"/>
        <w:jc w:val="both"/>
        <w:rPr>
          <w:color w:val="000000" w:themeColor="text1"/>
          <w:sz w:val="16"/>
          <w:szCs w:val="16"/>
        </w:rPr>
      </w:pPr>
    </w:p>
    <w:p w14:paraId="3E5A77C5"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мая 1933 года ГУАП направило, наконец, в ЦКБ сформулированные Технические требования на самолет местной авиации с мотором в 300 л. с.</w:t>
      </w:r>
    </w:p>
    <w:p w14:paraId="2FB196E3"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Технические требования оказались недоработанными, и Ильюшин с Поликарповым незамедлительно направили свои замечания:</w:t>
      </w:r>
    </w:p>
    <w:p w14:paraId="4AF63F88"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Замечания к техническим требованиям на самолет местной авиации под мотор 300 НР.</w:t>
      </w:r>
    </w:p>
    <w:p w14:paraId="63F01FAB"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(Отношение ГУАП от 10 мая 1933 года) за N АП 80/229П. 2 раздела первого:-</w:t>
      </w:r>
    </w:p>
    <w:p w14:paraId="0DFBC61B"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Мы понимаем выражение "самолет местной авиации", как самолет местных воздушных сообщений, работающий главным образом по обслуживанию местных линий от крупного центра к областным и районым центрам.</w:t>
      </w:r>
    </w:p>
    <w:p w14:paraId="0EEBAB44"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Мы не предлагаем делать складных крыльев, ввиду утяжеления таковых и усложнения конструкции, особенно принимая во внимание то, что самолет ЦКБ-6 будет иметь опускающиеся элероны с жестким и сложным управлением.</w:t>
      </w:r>
    </w:p>
    <w:p w14:paraId="0215FEB0"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 1. Обязательных требований к самолетам ГУ ГВФа.</w:t>
      </w:r>
    </w:p>
    <w:p w14:paraId="20D85525"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уменьшения посадочных скоростей мы предлагаем установить опускающиеся элероны.</w:t>
      </w:r>
    </w:p>
    <w:p w14:paraId="2647308E"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 2. Мы понимаем выражение "комбинированное лыжно-колесное шасси" как конструкцию шасси, допускающую возможность установки колес для летнего аэродрома и замену их лыжами для зимнего аэродрома.</w:t>
      </w:r>
    </w:p>
    <w:p w14:paraId="141E8657"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p w14:paraId="72146768"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п. 6. Так как самолет ЦКБ-6 понимается нами как самолет местных воздушных сообщений, то нормальная его работа будет проходить днем, вследствие чего установка "полного ночного оборудования с управляемыми фарами" совершенно излишняя, как утяжеляющая и удорожающая самолет. Если же по особому заданию это будет нужно, то это можно будет сделать на отдельно избранном самолете во время постройки.</w:t>
      </w:r>
    </w:p>
    <w:p w14:paraId="13CFFCA4"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Делать же на все без исключения самолеты, летающие днем, ночное оборудование, да еще и полное, считаем нецелесообразным.</w:t>
      </w:r>
    </w:p>
    <w:p w14:paraId="2D1BDCCC"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п. 7. Нам предложено установить на самолет ЦКБ-6 мотор М49 воздушного охлаждения, никакого другого мотора для установки не указано. Поскольку и в этом отношении ГУАПа нет конкретных указаний на другие моторы, мы по этому пункту ничего не предусматриваем, за исключением того, что мотоустановка у нас будет съемной. Во всяком случае замена на таком небольшом самолете одного мотора другим связана с большой работой, так как весь самолет увязан под этот мотор.</w:t>
      </w:r>
    </w:p>
    <w:p w14:paraId="20F240F3"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п. 8. Мы полагаем, что для самолета местных воздушных сообщений, имеющего экипажем всего одного пилота, ставить радиоустановку совершенно нецелесообразно, ибо помимо утяжеления и удорожания самолета, не понятно, кто же будет работать на радиоустановке, ведь летчик очень занят своей работой, а пассажиры совершенно не обязаны обслуживать радио.</w:t>
      </w:r>
    </w:p>
    <w:p w14:paraId="08B25EA8"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п. 9. Было бы желательно, более конкретно выставить особые требования к самолетам в южных районах СССР и на Севере, так как обычные мероприятия в этом отношении нами в ЦКБ-6 не предусматриваются.</w:t>
      </w:r>
    </w:p>
    <w:p w14:paraId="3DE6053C"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 ЦКБ Ильюшин</w:t>
      </w:r>
    </w:p>
    <w:p w14:paraId="3C639D19"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 бригады 2 Поликарпов</w:t>
      </w:r>
    </w:p>
    <w:p w14:paraId="548E9ACD"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Отпечатано 4 экз.</w:t>
      </w:r>
    </w:p>
    <w:p w14:paraId="7DD598B0"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Два месяца ушло на проработку проекта. Есть основание предполагать, что в ЦКБ-6 были использованы технические новинки, примененные на самолете "Валти".</w:t>
      </w:r>
    </w:p>
    <w:p w14:paraId="064F9F90"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Первые прорисовки ЦКБ-6 делал лично Н. Н. Поликарпов, а последующие и окончательную — совместно с С. В. Ильюшиным. Надо сказать, что двух конструкторов связывала многолетняя дружба. С высоты своего положения Сергей Владимирович неоднократно помогал и даже выручал Поликарпова, а Николай Николаевич охотно делился техническими идеями с Ильюшиным (25424).</w:t>
      </w:r>
    </w:p>
    <w:p w14:paraId="37A90219" w14:textId="77777777" w:rsidR="00493616" w:rsidRPr="00142305" w:rsidRDefault="00493616" w:rsidP="00493616">
      <w:pPr>
        <w:spacing w:after="0" w:line="240" w:lineRule="auto"/>
        <w:jc w:val="both"/>
        <w:rPr>
          <w:rFonts w:ascii="Times New Roman" w:hAnsi="Times New Roman"/>
          <w:color w:val="0070C0"/>
          <w:sz w:val="16"/>
          <w:szCs w:val="16"/>
        </w:rPr>
      </w:pPr>
    </w:p>
    <w:p w14:paraId="38479D8B"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г. Протокол ПБ № 137 п.36/23: Вопросы Комитета обороны – ОП. а) О полетах на тяжелых самолетах. б) О заводе № 24 ГУАП. в) О договоре с фирмой I.V.S. г) О договоре с фирмой «Сперри». д) О полете в стратосферу. Решено: а) Установить запрещение полетов на тяжелых самолетах без радиостанций с 1-7-1933, во изменение п.12 постановления ЦК от 5-7-1932 (протокол № 107,п.46/3). б) Утвердить постановление СТО «О строительстве и оборудовании завода № 24 ГУАП». в) 1. Подтвердить договор НКТП с германской фирмой I.V.S.; 2. Предложить НКТП и НКВМ послать комиссию в составе 5-7 человек для испытаний подлодки Е-1. 3. Доложить результаты испытаний НКТП и НКВМ для принятия окончательного решения по договору. г) Утвердить договор, заключенный Калепским с фирмой «Сперри» по покупке образцов и техпомощи. 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 Стоимость оборудования утвердить в сумме 15 тысяч рублей в инвалюте сверх утвержденного НКТП импортного контингента. 2. Утвердить заказ фирме «РАТО» с целью изучения, обеспечения и ускорения выпуска мотора М-34 с нагнетателем; отпустить специальный контингент в 85 тысяч рублей сверх утвержденного импортного контингента НКТП для оплаты заказа и для расходов по доводке мотора М-34 (15907).</w:t>
      </w:r>
    </w:p>
    <w:p w14:paraId="2E73C114" w14:textId="77777777" w:rsidR="00810511" w:rsidRPr="0044524F" w:rsidRDefault="00810511" w:rsidP="009654CF">
      <w:pPr>
        <w:spacing w:after="0" w:line="240" w:lineRule="auto"/>
        <w:jc w:val="both"/>
        <w:rPr>
          <w:rFonts w:ascii="Times New Roman" w:hAnsi="Times New Roman"/>
          <w:color w:val="000000" w:themeColor="text1"/>
          <w:sz w:val="16"/>
          <w:szCs w:val="16"/>
        </w:rPr>
      </w:pPr>
    </w:p>
    <w:p w14:paraId="29C2DF1A"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w:t>
      </w:r>
    </w:p>
    <w:p w14:paraId="33F5C32F"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137 заседания Политбюро ЦК ВКП(б) от 10 мая 1933 года</w:t>
      </w:r>
    </w:p>
    <w:p w14:paraId="764DBAA3"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10</w:t>
      </w:r>
      <w:r w:rsidRPr="0044524F">
        <w:rPr>
          <w:rFonts w:ascii="Times New Roman" w:hAnsi="Times New Roman"/>
          <w:color w:val="000000" w:themeColor="text1"/>
          <w:sz w:val="16"/>
          <w:szCs w:val="16"/>
        </w:rPr>
        <w:noBreakHyphen/>
        <w:t>го мая 1933 года</w:t>
      </w:r>
    </w:p>
    <w:p w14:paraId="1EFDF3E1"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Опросом членов Политбюро от 29.IV.1933 г.</w:t>
      </w:r>
    </w:p>
    <w:p w14:paraId="0F81D18A"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36/23: Вопросы К. О.</w:t>
      </w:r>
    </w:p>
    <w:p w14:paraId="02504399"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 полетах на тяжелых самолетах</w:t>
      </w:r>
    </w:p>
    <w:p w14:paraId="5C3DFB5A"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 заводе № 24 ГУАП</w:t>
      </w:r>
    </w:p>
    <w:p w14:paraId="50E0A36F"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 договоре с фирмой J.V.S.</w:t>
      </w:r>
    </w:p>
    <w:p w14:paraId="54EAADD8"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О договоре с фирмой “Сперри”</w:t>
      </w:r>
    </w:p>
    <w:p w14:paraId="4A1C0D1D"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О полете в стратосферу</w:t>
      </w:r>
    </w:p>
    <w:p w14:paraId="312FDC9D"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142F4D07"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Во изменение п. 12 постановления ЦК от 5.VII.1932 г. (пр. № 107, п. 46/3) установить запрещение полетов на тяжелых самолетах без радиостанции с 1.VII.1933 г.</w:t>
      </w:r>
    </w:p>
    <w:p w14:paraId="75AABEC9"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Утвердить следующее постановление СТО (</w:t>
      </w:r>
      <w:hyperlink r:id="rId157" w:history="1">
        <w:r w:rsidRPr="0044524F">
          <w:rPr>
            <w:rStyle w:val="a5"/>
            <w:rFonts w:ascii="Times New Roman" w:hAnsi="Times New Roman"/>
            <w:color w:val="000000" w:themeColor="text1"/>
            <w:sz w:val="16"/>
            <w:szCs w:val="16"/>
          </w:rPr>
          <w:t>см. приложение № 1</w:t>
        </w:r>
        <w:r w:rsidRPr="0044524F">
          <w:rPr>
            <w:rStyle w:val="a5"/>
            <w:rFonts w:ascii="Times New Roman" w:hAnsi="Times New Roman"/>
            <w:color w:val="000000" w:themeColor="text1"/>
            <w:sz w:val="16"/>
            <w:szCs w:val="16"/>
          </w:rPr>
          <w:noBreakHyphen/>
          <w:t>ОП</w:t>
        </w:r>
      </w:hyperlink>
      <w:r w:rsidRPr="0044524F">
        <w:rPr>
          <w:rFonts w:ascii="Times New Roman" w:hAnsi="Times New Roman"/>
          <w:color w:val="000000" w:themeColor="text1"/>
          <w:sz w:val="16"/>
          <w:szCs w:val="16"/>
        </w:rPr>
        <w:t>).</w:t>
      </w:r>
    </w:p>
    <w:p w14:paraId="32661C88"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 Договор НКТП с германской фирмой подтвердить.</w:t>
      </w:r>
    </w:p>
    <w:p w14:paraId="12615C75"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Предложить НКТП и НКВМ послать комиссию в составе 5</w:t>
      </w:r>
      <w:r w:rsidRPr="0044524F">
        <w:rPr>
          <w:rFonts w:ascii="Times New Roman" w:hAnsi="Times New Roman"/>
          <w:color w:val="000000" w:themeColor="text1"/>
          <w:sz w:val="16"/>
          <w:szCs w:val="16"/>
        </w:rPr>
        <w:noBreakHyphen/>
        <w:t>7 человек для испытаний подлодки Е</w:t>
      </w:r>
      <w:r w:rsidRPr="0044524F">
        <w:rPr>
          <w:rFonts w:ascii="Times New Roman" w:hAnsi="Times New Roman"/>
          <w:color w:val="000000" w:themeColor="text1"/>
          <w:sz w:val="16"/>
          <w:szCs w:val="16"/>
        </w:rPr>
        <w:noBreakHyphen/>
        <w:t>1.</w:t>
      </w:r>
    </w:p>
    <w:p w14:paraId="3C24C02F"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Результаты испытаний НКТП и НКВМ доложить КО для принятия окончательного решения по договору.</w:t>
      </w:r>
    </w:p>
    <w:p w14:paraId="68ED9015"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Договор, заключенный т. Халепским с фирмой “Сперри” по покупке образцов и техпомощи, — утвердить.</w:t>
      </w:r>
    </w:p>
    <w:p w14:paraId="7CBD5AA1"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w:t>
      </w:r>
    </w:p>
    <w:p w14:paraId="074ACD00"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оборудования утвердить в сумме 15.000 руб. в инвалюте сверх утвержденного НКТП импортного контингента.</w:t>
      </w:r>
    </w:p>
    <w:p w14:paraId="5BA72BE0"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целях изучения, обеспечения и ускорения выпуска мотора М</w:t>
      </w:r>
      <w:r w:rsidRPr="0044524F">
        <w:rPr>
          <w:rFonts w:ascii="Times New Roman" w:hAnsi="Times New Roman"/>
          <w:color w:val="000000" w:themeColor="text1"/>
          <w:sz w:val="16"/>
          <w:szCs w:val="16"/>
        </w:rPr>
        <w:noBreakHyphen/>
        <w:t>34 с нагнетателем до 8.000 метров, утвердить заказ фирме “РАТО” 10 шт. нагнетателей к мотору М</w:t>
      </w:r>
      <w:r w:rsidRPr="0044524F">
        <w:rPr>
          <w:rFonts w:ascii="Times New Roman" w:hAnsi="Times New Roman"/>
          <w:color w:val="000000" w:themeColor="text1"/>
          <w:sz w:val="16"/>
          <w:szCs w:val="16"/>
        </w:rPr>
        <w:noBreakHyphen/>
        <w:t>34, для чего отпустить специальный контингент в 85.000 руб. сверх утвержденного импортного контингента НКТП как для оплаты заказа, так и для расходов по доводке мотора М</w:t>
      </w:r>
      <w:r w:rsidRPr="0044524F">
        <w:rPr>
          <w:rFonts w:ascii="Times New Roman" w:hAnsi="Times New Roman"/>
          <w:color w:val="000000" w:themeColor="text1"/>
          <w:sz w:val="16"/>
          <w:szCs w:val="16"/>
        </w:rPr>
        <w:noBreakHyphen/>
        <w:t>34 до высотности 8.000 метров.</w:t>
      </w:r>
    </w:p>
    <w:p w14:paraId="374B1707"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56BF3B89"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Базилевичу, Ворошилову — все;</w:t>
      </w:r>
    </w:p>
    <w:p w14:paraId="015BE85D"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Розенгольцу, Орджоникидзе — п.п. “б”, “в”, “г”, “д”.</w:t>
      </w:r>
    </w:p>
    <w:p w14:paraId="3DEDF959"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(18140).</w:t>
      </w:r>
    </w:p>
    <w:p w14:paraId="6D83A2B2"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1-ОП</w:t>
      </w:r>
    </w:p>
    <w:p w14:paraId="6E058A63"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36/23 (о. п.) пр. ПБ № 137.</w:t>
      </w:r>
    </w:p>
    <w:p w14:paraId="659ADE64"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строительстве и оборудовании завода № 24 ГУАП'а.</w:t>
      </w:r>
    </w:p>
    <w:p w14:paraId="015287DC"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Совета Труда и Обороны.</w:t>
      </w:r>
    </w:p>
    <w:p w14:paraId="5632BB1E"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(Утверждено Политбюро ЦК ВКП(б) 29 апреля 1933 г.).</w:t>
      </w:r>
    </w:p>
    <w:p w14:paraId="73415094"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 Труда и Обороны постановляет:</w:t>
      </w:r>
    </w:p>
    <w:p w14:paraId="2BBD2B8A"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Строительство и оборудование завода № 24 форсировать, в связи с чем закончить строительство и оборудование к 1.VII.1934 г. — на мощность в 3.000 моторов и к 1.VII.1935 г. — на полную мощность, т. е. на 15.000 моторов.</w:t>
      </w:r>
    </w:p>
    <w:p w14:paraId="133C04A8"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1933 году дополнительно ассигновать заводу № 24 12.050.000 руб., из них:</w:t>
      </w:r>
    </w:p>
    <w:tbl>
      <w:tblPr>
        <w:tblW w:w="5000" w:type="pct"/>
        <w:shd w:val="clear" w:color="auto" w:fill="F2EEE1"/>
        <w:tblCellMar>
          <w:left w:w="0" w:type="dxa"/>
          <w:right w:w="0" w:type="dxa"/>
        </w:tblCellMar>
        <w:tblLook w:val="04A0" w:firstRow="1" w:lastRow="0" w:firstColumn="1" w:lastColumn="0" w:noHBand="0" w:noVBand="1"/>
      </w:tblPr>
      <w:tblGrid>
        <w:gridCol w:w="9233"/>
        <w:gridCol w:w="2105"/>
      </w:tblGrid>
      <w:tr w:rsidR="004E10C1" w:rsidRPr="0044524F" w14:paraId="1980099A" w14:textId="77777777" w:rsidTr="00DC292A">
        <w:tc>
          <w:tcPr>
            <w:tcW w:w="0" w:type="auto"/>
            <w:vAlign w:val="center"/>
            <w:hideMark/>
          </w:tcPr>
          <w:p w14:paraId="008B6B5D"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производство строительных работ и монтаж оборудования</w:t>
            </w:r>
          </w:p>
        </w:tc>
        <w:tc>
          <w:tcPr>
            <w:tcW w:w="0" w:type="auto"/>
            <w:vAlign w:val="center"/>
            <w:hideMark/>
          </w:tcPr>
          <w:p w14:paraId="7FA28973"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7.500.000 руб.</w:t>
            </w:r>
          </w:p>
        </w:tc>
      </w:tr>
      <w:tr w:rsidR="004E10C1" w:rsidRPr="0044524F" w14:paraId="3AF612FC" w14:textId="77777777" w:rsidTr="00DC292A">
        <w:tc>
          <w:tcPr>
            <w:tcW w:w="0" w:type="auto"/>
            <w:vAlign w:val="center"/>
            <w:hideMark/>
          </w:tcPr>
          <w:p w14:paraId="5FFD0B85"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импортное оборудование</w:t>
            </w:r>
          </w:p>
        </w:tc>
        <w:tc>
          <w:tcPr>
            <w:tcW w:w="0" w:type="auto"/>
            <w:vAlign w:val="center"/>
            <w:hideMark/>
          </w:tcPr>
          <w:p w14:paraId="09AFDE76"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3.250.000 руб.</w:t>
            </w:r>
          </w:p>
        </w:tc>
      </w:tr>
      <w:tr w:rsidR="004E10C1" w:rsidRPr="0044524F" w14:paraId="085CA21E" w14:textId="77777777" w:rsidTr="00DC292A">
        <w:tc>
          <w:tcPr>
            <w:tcW w:w="0" w:type="auto"/>
            <w:vAlign w:val="center"/>
            <w:hideMark/>
          </w:tcPr>
          <w:p w14:paraId="0D431748"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советское оборудование</w:t>
            </w:r>
          </w:p>
        </w:tc>
        <w:tc>
          <w:tcPr>
            <w:tcW w:w="0" w:type="auto"/>
            <w:vAlign w:val="center"/>
            <w:hideMark/>
          </w:tcPr>
          <w:p w14:paraId="61E0CE71"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1.300.000 руб.</w:t>
            </w:r>
          </w:p>
        </w:tc>
      </w:tr>
    </w:tbl>
    <w:p w14:paraId="64C3FCF0"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общей суммы дополнительно ассигнуемых заводу № 24 в 8.800 тыс. руб. (без импорта) 4.400 тыс. руб. отпустить по общесоюзному бюджету сверх бюджета НКТП, а остальные 4.400 тыс. руб. — по бюджету НКТП.</w:t>
      </w:r>
    </w:p>
    <w:p w14:paraId="4DCB6B30"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Объем импортного оборудования для завода установить в 4.850.000 руб., из них — 3.250.000 руб. ассигновать в 1933 г., с расчетом получения и монтажа оборудования до 1.VII.1934 г., и на 1.600.000 руб. — в 1934 г., с расчетом получения и монтажа оборудования к 1.VII.1935 г. Из общей суммы импортного контингента в 3.250.000 руб. на 1933 г. — 1.625.000 руб. отпустить дополнительно сверх контингента НКТП и 1.625.000 руб. за счет контингента НКТП.</w:t>
      </w:r>
    </w:p>
    <w:p w14:paraId="0FDBEEC7"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НКВнешторг немедленно приступить к размещению заказов на оборудование первой очереди на 3.250.000 руб., а Глававиапрому выделить специальную комиссию для реализации этого оборудования.</w:t>
      </w:r>
    </w:p>
    <w:p w14:paraId="0363EFB6"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НКВнешторг в начале 1934 г. приступить к размещению оборудования второй очереди на 1.600.000 руб.</w:t>
      </w:r>
    </w:p>
    <w:p w14:paraId="2BEFBB10"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Совета Труда и Обороны — В. Молотов (Скрябин)</w:t>
      </w:r>
    </w:p>
    <w:p w14:paraId="26E81328"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(18141).</w:t>
      </w:r>
    </w:p>
    <w:p w14:paraId="30339DCE" w14:textId="77777777" w:rsidR="00153F88" w:rsidRPr="0044524F" w:rsidRDefault="00153F88" w:rsidP="009654CF">
      <w:pPr>
        <w:spacing w:after="0" w:line="240" w:lineRule="auto"/>
        <w:jc w:val="both"/>
        <w:rPr>
          <w:rFonts w:ascii="Times New Roman" w:hAnsi="Times New Roman"/>
          <w:color w:val="000000" w:themeColor="text1"/>
          <w:sz w:val="16"/>
          <w:szCs w:val="16"/>
        </w:rPr>
      </w:pPr>
    </w:p>
    <w:p w14:paraId="4739AB1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г. участвовавший в приемке самолетов в Италии механик Эренпрейс совместно с известным летчиком А.С.Демченко подал заместителю начальника Главного управления ГВФ Анвельту письмо с предложением о перегонке одной машины Савойя С.55 в СССР по воздуху, совершив перелет Сесто-Календе - Хабаровск. Наряду с пропагандистским эффектом это обещало сэкономить время доставки «Савойи» на Дальний Восток. Представители фирмы брались обеспечить всем необходимым участок Сесто-Календе - Одесса в счет средств, заложенных в смету на упаковку и перевозку. Предложение было принято. Демченко прибыл в Италию и начал готовиться к перелету. Для полета выделили последний самолет из партии. Экипаж был смешанный: двое русских и два итальянца (5486,3).</w:t>
      </w:r>
    </w:p>
    <w:p w14:paraId="0A66A27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39FB801B"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мая 1933 г. участвовавший в прием</w:t>
      </w:r>
      <w:r w:rsidRPr="00142305">
        <w:rPr>
          <w:rFonts w:ascii="Times New Roman" w:hAnsi="Times New Roman"/>
          <w:color w:val="0070C0"/>
          <w:sz w:val="16"/>
          <w:szCs w:val="16"/>
        </w:rPr>
        <w:softHyphen/>
        <w:t>ке машин в Италии механик И.М. Эренпрейс совместно с известным летчиком А.С. Демченко отправил заместителю начальника Главного управления ГВФ Я.Я. Анвельту письмо с предложением о перегонке одного самолета по возду</w:t>
      </w:r>
      <w:r w:rsidRPr="00142305">
        <w:rPr>
          <w:rFonts w:ascii="Times New Roman" w:hAnsi="Times New Roman"/>
          <w:color w:val="0070C0"/>
          <w:sz w:val="16"/>
          <w:szCs w:val="16"/>
        </w:rPr>
        <w:softHyphen/>
        <w:t>ху, совершив перелет Сесто-Календе - Хабаровск. Наряду с пропагандистским эффектом это обещало сэкономить время доставки S.55 на Дальний Вос</w:t>
      </w:r>
      <w:r w:rsidRPr="00142305">
        <w:rPr>
          <w:rFonts w:ascii="Times New Roman" w:hAnsi="Times New Roman"/>
          <w:color w:val="0070C0"/>
          <w:sz w:val="16"/>
          <w:szCs w:val="16"/>
        </w:rPr>
        <w:softHyphen/>
        <w:t>ток. Представители итальянской фирмы брались обеспечить всем необходимым участок Сесто-Календе - Одесса за счет средств, заложенных в смету на упаковку и перевозку.</w:t>
      </w:r>
    </w:p>
    <w:p w14:paraId="006E51F2"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Предложение приняли. Демченко при</w:t>
      </w:r>
      <w:r w:rsidRPr="00142305">
        <w:rPr>
          <w:rFonts w:ascii="Times New Roman" w:hAnsi="Times New Roman"/>
          <w:color w:val="0070C0"/>
          <w:sz w:val="16"/>
          <w:szCs w:val="16"/>
        </w:rPr>
        <w:softHyphen/>
        <w:t>был в Италию и стал готовиться к пе</w:t>
      </w:r>
      <w:r w:rsidRPr="00142305">
        <w:rPr>
          <w:rFonts w:ascii="Times New Roman" w:hAnsi="Times New Roman"/>
          <w:color w:val="0070C0"/>
          <w:sz w:val="16"/>
          <w:szCs w:val="16"/>
        </w:rPr>
        <w:softHyphen/>
        <w:t>релету. Для него выдели последний са</w:t>
      </w:r>
      <w:r w:rsidRPr="00142305">
        <w:rPr>
          <w:rFonts w:ascii="Times New Roman" w:hAnsi="Times New Roman"/>
          <w:color w:val="0070C0"/>
          <w:sz w:val="16"/>
          <w:szCs w:val="16"/>
        </w:rPr>
        <w:softHyphen/>
        <w:t>молет серии. Экипаж был смешанный: двое советских и два итальянца. 8 июля «савойя» стартовала в Сесто-Календе и после промежуточной посадки в Бринди</w:t>
      </w:r>
      <w:r w:rsidRPr="00142305">
        <w:rPr>
          <w:rFonts w:ascii="Times New Roman" w:hAnsi="Times New Roman"/>
          <w:color w:val="0070C0"/>
          <w:sz w:val="16"/>
          <w:szCs w:val="16"/>
        </w:rPr>
        <w:softHyphen/>
        <w:t>зи в тот же день приводнилась в Афинах. На следующий день одолели этап Афи</w:t>
      </w:r>
      <w:r w:rsidRPr="00142305">
        <w:rPr>
          <w:rFonts w:ascii="Times New Roman" w:hAnsi="Times New Roman"/>
          <w:color w:val="0070C0"/>
          <w:sz w:val="16"/>
          <w:szCs w:val="16"/>
        </w:rPr>
        <w:softHyphen/>
        <w:t>ны - Стамбул. 10 июля самолет выле</w:t>
      </w:r>
      <w:r w:rsidRPr="00142305">
        <w:rPr>
          <w:rFonts w:ascii="Times New Roman" w:hAnsi="Times New Roman"/>
          <w:color w:val="0070C0"/>
          <w:sz w:val="16"/>
          <w:szCs w:val="16"/>
        </w:rPr>
        <w:softHyphen/>
        <w:t>тел в Одессу. Родная земля встретила летчиков пулеметными очередями. Не получивший соответствующего предуп</w:t>
      </w:r>
      <w:r w:rsidRPr="00142305">
        <w:rPr>
          <w:rFonts w:ascii="Times New Roman" w:hAnsi="Times New Roman"/>
          <w:color w:val="0070C0"/>
          <w:sz w:val="16"/>
          <w:szCs w:val="16"/>
        </w:rPr>
        <w:softHyphen/>
        <w:t>реждения погранотряд открыл огонь по незнакомой машине странных очертаний. Но пулеметчики стреляли плохо, и ни од</w:t>
      </w:r>
      <w:r w:rsidRPr="00142305">
        <w:rPr>
          <w:rFonts w:ascii="Times New Roman" w:hAnsi="Times New Roman"/>
          <w:color w:val="0070C0"/>
          <w:sz w:val="16"/>
          <w:szCs w:val="16"/>
        </w:rPr>
        <w:softHyphen/>
        <w:t>ной пробоины потом не нашли. Летающая лодка благополучно села в бухте. Затем неразберихи, нарушившей так четко соблюдавшийся график перелета. Да</w:t>
      </w:r>
      <w:r w:rsidRPr="00142305">
        <w:rPr>
          <w:rFonts w:ascii="Times New Roman" w:hAnsi="Times New Roman"/>
          <w:color w:val="0070C0"/>
          <w:sz w:val="16"/>
          <w:szCs w:val="16"/>
        </w:rPr>
        <w:softHyphen/>
        <w:t>лее предстояло лететь в Севастополь, для чего требовалось дозаправиться. За бензином сначала полетели в лиман (где горючего не оказалось), затем опять вернулись в бухту, где и прождали четверо суток. Лишь после этого «савойя» смогла продолжить свой путь.</w:t>
      </w:r>
    </w:p>
    <w:p w14:paraId="234A64FE"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Экипаж остался вполне доволен по</w:t>
      </w:r>
      <w:r w:rsidRPr="00142305">
        <w:rPr>
          <w:rFonts w:ascii="Times New Roman" w:hAnsi="Times New Roman"/>
          <w:color w:val="0070C0"/>
          <w:sz w:val="16"/>
          <w:szCs w:val="16"/>
        </w:rPr>
        <w:softHyphen/>
        <w:t>ведением S.55 на воде и воздухе, что отмечалось в докладной записке И.Я. Фи</w:t>
      </w:r>
      <w:r w:rsidRPr="00142305">
        <w:rPr>
          <w:rFonts w:ascii="Times New Roman" w:hAnsi="Times New Roman"/>
          <w:color w:val="0070C0"/>
          <w:sz w:val="16"/>
          <w:szCs w:val="16"/>
        </w:rPr>
        <w:softHyphen/>
        <w:t>липповича. «Килеватые лодки нашего гидросамолета показали свое преиму</w:t>
      </w:r>
      <w:r w:rsidRPr="00142305">
        <w:rPr>
          <w:rFonts w:ascii="Times New Roman" w:hAnsi="Times New Roman"/>
          <w:color w:val="0070C0"/>
          <w:sz w:val="16"/>
          <w:szCs w:val="16"/>
        </w:rPr>
        <w:softHyphen/>
        <w:t>щество при посадке на волну. Общее по</w:t>
      </w:r>
      <w:r w:rsidRPr="00142305">
        <w:rPr>
          <w:rFonts w:ascii="Times New Roman" w:hAnsi="Times New Roman"/>
          <w:color w:val="0070C0"/>
          <w:sz w:val="16"/>
          <w:szCs w:val="16"/>
        </w:rPr>
        <w:softHyphen/>
        <w:t>ведение аппарата в воздухе - хорошее: легкая управляемость и устойчивость, хорошая скорость при наличии запаса мощности моторов. Что же касается ру</w:t>
      </w:r>
      <w:r w:rsidRPr="00142305">
        <w:rPr>
          <w:rFonts w:ascii="Times New Roman" w:hAnsi="Times New Roman"/>
          <w:color w:val="0070C0"/>
          <w:sz w:val="16"/>
          <w:szCs w:val="16"/>
        </w:rPr>
        <w:softHyphen/>
        <w:t>лежки на воде, то при наличии двух киле- ватых лодок, достаточно глубоко сидящих в воде, подтвердилась наблюдаемая и раньше неважная маневренность аппа</w:t>
      </w:r>
      <w:r w:rsidRPr="00142305">
        <w:rPr>
          <w:rFonts w:ascii="Times New Roman" w:hAnsi="Times New Roman"/>
          <w:color w:val="0070C0"/>
          <w:sz w:val="16"/>
          <w:szCs w:val="16"/>
        </w:rPr>
        <w:softHyphen/>
        <w:t>рата на воде».</w:t>
      </w:r>
    </w:p>
    <w:p w14:paraId="781120F7"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Севастополе предстояло задержать</w:t>
      </w:r>
      <w:r w:rsidRPr="00142305">
        <w:rPr>
          <w:rFonts w:ascii="Times New Roman" w:hAnsi="Times New Roman"/>
          <w:color w:val="0070C0"/>
          <w:sz w:val="16"/>
          <w:szCs w:val="16"/>
        </w:rPr>
        <w:softHyphen/>
        <w:t>ся. Во-первых, хотелось получше испы</w:t>
      </w:r>
      <w:r w:rsidRPr="00142305">
        <w:rPr>
          <w:rFonts w:ascii="Times New Roman" w:hAnsi="Times New Roman"/>
          <w:color w:val="0070C0"/>
          <w:sz w:val="16"/>
          <w:szCs w:val="16"/>
        </w:rPr>
        <w:softHyphen/>
        <w:t>тать самолет. Во-вторых, возникли но</w:t>
      </w:r>
      <w:r w:rsidRPr="00142305">
        <w:rPr>
          <w:rFonts w:ascii="Times New Roman" w:hAnsi="Times New Roman"/>
          <w:color w:val="0070C0"/>
          <w:sz w:val="16"/>
          <w:szCs w:val="16"/>
        </w:rPr>
        <w:softHyphen/>
        <w:t>вые проблемы с бомбовым вооружением. Инженер Ефимов из Управления ВВС, осматривавший в Севастополе первую прибывшую из Италии летающую лодку после сборки, установил, что наши бом</w:t>
      </w:r>
      <w:r w:rsidRPr="00142305">
        <w:rPr>
          <w:rFonts w:ascii="Times New Roman" w:hAnsi="Times New Roman"/>
          <w:color w:val="0070C0"/>
          <w:sz w:val="16"/>
          <w:szCs w:val="16"/>
        </w:rPr>
        <w:softHyphen/>
        <w:t>бодержатели на ушках, поставленных фирмой, смонтировать невозможно - они рассчитаны на балки итальянско</w:t>
      </w:r>
      <w:r w:rsidRPr="00142305">
        <w:rPr>
          <w:rFonts w:ascii="Times New Roman" w:hAnsi="Times New Roman"/>
          <w:color w:val="0070C0"/>
          <w:sz w:val="16"/>
          <w:szCs w:val="16"/>
        </w:rPr>
        <w:softHyphen/>
        <w:t>го образца. Поэтому хотели задержать последнюю машину на две-три недели для снятия эскизов - как приспособить к «савойе» советские бомбодержатели и как вести внутреннюю проводку от бом</w:t>
      </w:r>
      <w:r w:rsidRPr="00142305">
        <w:rPr>
          <w:rFonts w:ascii="Times New Roman" w:hAnsi="Times New Roman"/>
          <w:color w:val="0070C0"/>
          <w:sz w:val="16"/>
          <w:szCs w:val="16"/>
        </w:rPr>
        <w:softHyphen/>
        <w:t>босбрасывателя.</w:t>
      </w:r>
    </w:p>
    <w:p w14:paraId="442A8E04"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Пятый С-55 (так обозначались итальянс</w:t>
      </w:r>
      <w:r w:rsidRPr="00142305">
        <w:rPr>
          <w:rFonts w:ascii="Times New Roman" w:hAnsi="Times New Roman"/>
          <w:color w:val="0070C0"/>
          <w:sz w:val="16"/>
          <w:szCs w:val="16"/>
        </w:rPr>
        <w:softHyphen/>
        <w:t>кие самолеты в советских документах и та</w:t>
      </w:r>
      <w:r w:rsidRPr="00142305">
        <w:rPr>
          <w:rFonts w:ascii="Times New Roman" w:hAnsi="Times New Roman"/>
          <w:color w:val="0070C0"/>
          <w:sz w:val="16"/>
          <w:szCs w:val="16"/>
        </w:rPr>
        <w:softHyphen/>
        <w:t>кая надпись красовалась на носу каждой лодки) успешно прошел в Севастополе контрольные испытания, проводившиеся под эгидой НИИ ГВФ. Демченко даже на</w:t>
      </w:r>
      <w:r w:rsidRPr="00142305">
        <w:rPr>
          <w:rFonts w:ascii="Times New Roman" w:hAnsi="Times New Roman"/>
          <w:color w:val="0070C0"/>
          <w:sz w:val="16"/>
          <w:szCs w:val="16"/>
        </w:rPr>
        <w:softHyphen/>
        <w:t>меренно вошел в грозу между Севастопо</w:t>
      </w:r>
      <w:r w:rsidRPr="00142305">
        <w:rPr>
          <w:rFonts w:ascii="Times New Roman" w:hAnsi="Times New Roman"/>
          <w:color w:val="0070C0"/>
          <w:sz w:val="16"/>
          <w:szCs w:val="16"/>
        </w:rPr>
        <w:softHyphen/>
        <w:t>лем и Евпаторией, проверяя устойчивость машины в турбулентных потоках.</w:t>
      </w:r>
    </w:p>
    <w:p w14:paraId="2F970F70"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июля перелет возобновился. Само</w:t>
      </w:r>
      <w:r w:rsidRPr="00142305">
        <w:rPr>
          <w:rFonts w:ascii="Times New Roman" w:hAnsi="Times New Roman"/>
          <w:color w:val="0070C0"/>
          <w:sz w:val="16"/>
          <w:szCs w:val="16"/>
        </w:rPr>
        <w:softHyphen/>
        <w:t>лет вылетел с новым экипажем: Демчен</w:t>
      </w:r>
      <w:r w:rsidRPr="00142305">
        <w:rPr>
          <w:rFonts w:ascii="Times New Roman" w:hAnsi="Times New Roman"/>
          <w:color w:val="0070C0"/>
          <w:sz w:val="16"/>
          <w:szCs w:val="16"/>
        </w:rPr>
        <w:softHyphen/>
        <w:t>ко - командир, Конкин - второй пилот, Петров - штурман и Эренпрейс - борт- механик. Дорога была длинной: Севас</w:t>
      </w:r>
      <w:r w:rsidRPr="00142305">
        <w:rPr>
          <w:rFonts w:ascii="Times New Roman" w:hAnsi="Times New Roman"/>
          <w:color w:val="0070C0"/>
          <w:sz w:val="16"/>
          <w:szCs w:val="16"/>
        </w:rPr>
        <w:softHyphen/>
        <w:t>тополь - Вольск - Казань - Свердловск - Тобольск - Новосибирск - Красноярск - Стрелка - Братск- Иркутск- Чита - Бла</w:t>
      </w:r>
      <w:r w:rsidRPr="00142305">
        <w:rPr>
          <w:rFonts w:ascii="Times New Roman" w:hAnsi="Times New Roman"/>
          <w:color w:val="0070C0"/>
          <w:sz w:val="16"/>
          <w:szCs w:val="16"/>
        </w:rPr>
        <w:softHyphen/>
        <w:t>говещенск - Хабаровск - Владивосток. Всего 10 500 км, а если считать от Сес- то-Календе в Италии - 15 000 км. Значи</w:t>
      </w:r>
      <w:r w:rsidRPr="00142305">
        <w:rPr>
          <w:rFonts w:ascii="Times New Roman" w:hAnsi="Times New Roman"/>
          <w:color w:val="0070C0"/>
          <w:sz w:val="16"/>
          <w:szCs w:val="16"/>
        </w:rPr>
        <w:softHyphen/>
        <w:t>тельная часть маршрута пролегала над сушей, где вынужденная посадка гидро</w:t>
      </w:r>
      <w:r w:rsidRPr="00142305">
        <w:rPr>
          <w:rFonts w:ascii="Times New Roman" w:hAnsi="Times New Roman"/>
          <w:color w:val="0070C0"/>
          <w:sz w:val="16"/>
          <w:szCs w:val="16"/>
        </w:rPr>
        <w:softHyphen/>
        <w:t>плана была бы невозможна.</w:t>
      </w:r>
    </w:p>
    <w:p w14:paraId="51380950"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пути не обошлось без накладок. В Казани двое встречающих, обязанных выложить при появлении самолета по</w:t>
      </w:r>
      <w:r w:rsidRPr="00142305">
        <w:rPr>
          <w:rFonts w:ascii="Times New Roman" w:hAnsi="Times New Roman"/>
          <w:color w:val="0070C0"/>
          <w:sz w:val="16"/>
          <w:szCs w:val="16"/>
        </w:rPr>
        <w:softHyphen/>
        <w:t>садочный знак, от долгого ожидания за</w:t>
      </w:r>
      <w:r w:rsidRPr="00142305">
        <w:rPr>
          <w:rFonts w:ascii="Times New Roman" w:hAnsi="Times New Roman"/>
          <w:color w:val="0070C0"/>
          <w:sz w:val="16"/>
          <w:szCs w:val="16"/>
        </w:rPr>
        <w:softHyphen/>
        <w:t>снули. Демченко не смог их разбудить, даже пройдя над спящими на малой высоте. В Красноярске местный уполно</w:t>
      </w:r>
      <w:r w:rsidRPr="00142305">
        <w:rPr>
          <w:rFonts w:ascii="Times New Roman" w:hAnsi="Times New Roman"/>
          <w:color w:val="0070C0"/>
          <w:sz w:val="16"/>
          <w:szCs w:val="16"/>
        </w:rPr>
        <w:softHyphen/>
        <w:t>моченный не придумал ничего лучшего, как переправиться на лодке на лежащий посреди Енисея маленький, поросший густым лесом островок, откуда и начал махать руками, давая пилотам «ценные указания».</w:t>
      </w:r>
    </w:p>
    <w:p w14:paraId="6DCA22CB"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августа 1933 г. «савойя» бла</w:t>
      </w:r>
      <w:r w:rsidRPr="00142305">
        <w:rPr>
          <w:rFonts w:ascii="Times New Roman" w:hAnsi="Times New Roman"/>
          <w:color w:val="0070C0"/>
          <w:sz w:val="16"/>
          <w:szCs w:val="16"/>
        </w:rPr>
        <w:softHyphen/>
        <w:t>гополучно прибыла во Владивосток, а 18 августа Демченко за перелет награ</w:t>
      </w:r>
      <w:r w:rsidRPr="00142305">
        <w:rPr>
          <w:rFonts w:ascii="Times New Roman" w:hAnsi="Times New Roman"/>
          <w:color w:val="0070C0"/>
          <w:sz w:val="16"/>
          <w:szCs w:val="16"/>
        </w:rPr>
        <w:softHyphen/>
        <w:t>дили орденом Красной звезды. В конце сентября он совершил пробный рейс Вла</w:t>
      </w:r>
      <w:r w:rsidRPr="00142305">
        <w:rPr>
          <w:rFonts w:ascii="Times New Roman" w:hAnsi="Times New Roman"/>
          <w:color w:val="0070C0"/>
          <w:sz w:val="16"/>
          <w:szCs w:val="16"/>
        </w:rPr>
        <w:softHyphen/>
        <w:t>дивосток- Петропавловск-Камчатский и обратно, занявший четверо суток. Ближе к зиме самолет разобрали и оставили на хранение в одном из складов Влади</w:t>
      </w:r>
      <w:r w:rsidRPr="00142305">
        <w:rPr>
          <w:rFonts w:ascii="Times New Roman" w:hAnsi="Times New Roman"/>
          <w:color w:val="0070C0"/>
          <w:sz w:val="16"/>
          <w:szCs w:val="16"/>
        </w:rPr>
        <w:softHyphen/>
        <w:t>востокского порта, где к тому времени находились еще три летающих лодки, доставленных морем. Пятый самолет выгрузили в Одессе, затем перевезли в Севастополь и там собрали. Эту машину передали Управлению Воздушной служ</w:t>
      </w:r>
      <w:r w:rsidRPr="00142305">
        <w:rPr>
          <w:rFonts w:ascii="Times New Roman" w:hAnsi="Times New Roman"/>
          <w:color w:val="0070C0"/>
          <w:sz w:val="16"/>
          <w:szCs w:val="16"/>
        </w:rPr>
        <w:softHyphen/>
        <w:t>бы ГУСМП (24944).</w:t>
      </w:r>
    </w:p>
    <w:p w14:paraId="7EA5B2B0" w14:textId="77777777" w:rsidR="00493616" w:rsidRPr="00142305" w:rsidRDefault="00493616" w:rsidP="00493616">
      <w:pPr>
        <w:spacing w:after="0" w:line="240" w:lineRule="auto"/>
        <w:jc w:val="both"/>
        <w:rPr>
          <w:rFonts w:ascii="Times New Roman" w:hAnsi="Times New Roman"/>
          <w:color w:val="0070C0"/>
          <w:sz w:val="16"/>
          <w:szCs w:val="16"/>
        </w:rPr>
      </w:pPr>
    </w:p>
    <w:p w14:paraId="66AE5DA9"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состоялось заседание ПБ и был оформлен протокол № 137</w:t>
      </w:r>
    </w:p>
    <w:p w14:paraId="4A4C188D"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апреля 1933 опросом членов ПБ</w:t>
      </w:r>
    </w:p>
    <w:p w14:paraId="6456B23C"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36/23.-Вопросы К.О.</w:t>
      </w:r>
    </w:p>
    <w:p w14:paraId="6D009FE8"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 полетах на тяжелых самолетах</w:t>
      </w:r>
    </w:p>
    <w:p w14:paraId="4C0367A3"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 заводе № 24 ГУАП</w:t>
      </w:r>
    </w:p>
    <w:p w14:paraId="39ABC8D5"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 договоре с фирмой JVS</w:t>
      </w:r>
    </w:p>
    <w:p w14:paraId="0E446D72"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О договоре с фирмой Сперри</w:t>
      </w:r>
    </w:p>
    <w:p w14:paraId="72276EA0"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О полете в стратосферу</w:t>
      </w:r>
    </w:p>
    <w:p w14:paraId="6DCBE383"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Во исполнение п. 12 постановления ЦК от 5.УП.1932 г.(ПБ, Пр № 107, п. 10/3) установить запрещение полетов на тяжелых самолетах без радиостанции с 1.УП.1933 г.</w:t>
      </w:r>
    </w:p>
    <w:p w14:paraId="41E40E4D"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Утвердить следующее постановление СТО (см. приложение)</w:t>
      </w:r>
    </w:p>
    <w:p w14:paraId="65058799"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w:t>
      </w:r>
    </w:p>
    <w:p w14:paraId="202FDA71"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36-23-опр. (о.п.) пр. ПБ № 137.</w:t>
      </w:r>
    </w:p>
    <w:p w14:paraId="66DBDD11"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СТРОИТЕЛЬСТВЕ И ОБОРУДОВАЛИ ЗАВОДА № 24 ГУАП"а.</w:t>
      </w:r>
    </w:p>
    <w:p w14:paraId="1BBCC1F9"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Совета Труда и Обороны.</w:t>
      </w:r>
    </w:p>
    <w:p w14:paraId="336A3D68"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(Утверждено Политбюро ЦК ВКП(б) 29 апреля 1933 г.).</w:t>
      </w:r>
    </w:p>
    <w:p w14:paraId="0DC2915B"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 Труда и Оборони постановляет:</w:t>
      </w:r>
    </w:p>
    <w:p w14:paraId="7C4F09FA"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Строительство и оборудование завода 24 форсировать, в связи с чем закончить строительство и оборудование к 1.УП.34 г.- на мощность в 8000 моторов и к 1.УП.35 г.- на полную мощность, т.-е. на 15.000 моторов.</w:t>
      </w:r>
    </w:p>
    <w:p w14:paraId="7F3EA551"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В 1933 году дополнительно ассигновать заводу № 24 </w:t>
      </w:r>
      <w:r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TOC \o "1-5" \h \z </w:instrText>
      </w:r>
      <w:r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rPr>
        <w:t>12.050.000 руб., из них:</w:t>
      </w:r>
    </w:p>
    <w:p w14:paraId="21590B0A"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производство строительных работ и монтаж оборудования </w:t>
      </w:r>
      <w:r w:rsidRPr="0044524F">
        <w:rPr>
          <w:rFonts w:ascii="Times New Roman" w:hAnsi="Times New Roman"/>
          <w:color w:val="000000" w:themeColor="text1"/>
          <w:sz w:val="16"/>
          <w:szCs w:val="16"/>
        </w:rPr>
        <w:tab/>
        <w:t xml:space="preserve"> 7.500.000</w:t>
      </w:r>
      <w:r w:rsidRPr="0044524F">
        <w:rPr>
          <w:rFonts w:ascii="Times New Roman" w:hAnsi="Times New Roman"/>
          <w:color w:val="000000" w:themeColor="text1"/>
          <w:sz w:val="16"/>
          <w:szCs w:val="16"/>
        </w:rPr>
        <w:tab/>
        <w:t>р.</w:t>
      </w:r>
    </w:p>
    <w:p w14:paraId="700946C9"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импортное оборудование </w:t>
      </w:r>
      <w:r w:rsidRPr="0044524F">
        <w:rPr>
          <w:rFonts w:ascii="Times New Roman" w:hAnsi="Times New Roman"/>
          <w:color w:val="000000" w:themeColor="text1"/>
          <w:sz w:val="16"/>
          <w:szCs w:val="16"/>
        </w:rPr>
        <w:tab/>
        <w:t xml:space="preserve"> 3.250.000</w:t>
      </w:r>
      <w:r w:rsidRPr="0044524F">
        <w:rPr>
          <w:rFonts w:ascii="Times New Roman" w:hAnsi="Times New Roman"/>
          <w:color w:val="000000" w:themeColor="text1"/>
          <w:sz w:val="16"/>
          <w:szCs w:val="16"/>
        </w:rPr>
        <w:tab/>
        <w:t>р.</w:t>
      </w:r>
    </w:p>
    <w:p w14:paraId="2EED8A27"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советское оборудование </w:t>
      </w:r>
      <w:r w:rsidRPr="0044524F">
        <w:rPr>
          <w:rFonts w:ascii="Times New Roman" w:hAnsi="Times New Roman"/>
          <w:color w:val="000000" w:themeColor="text1"/>
          <w:sz w:val="16"/>
          <w:szCs w:val="16"/>
        </w:rPr>
        <w:tab/>
        <w:t xml:space="preserve"> 1.300.000</w:t>
      </w:r>
      <w:r w:rsidRPr="0044524F">
        <w:rPr>
          <w:rFonts w:ascii="Times New Roman" w:hAnsi="Times New Roman"/>
          <w:color w:val="000000" w:themeColor="text1"/>
          <w:sz w:val="16"/>
          <w:szCs w:val="16"/>
        </w:rPr>
        <w:tab/>
        <w:t>р.</w:t>
      </w:r>
      <w:r w:rsidRPr="0044524F">
        <w:rPr>
          <w:rFonts w:ascii="Times New Roman" w:hAnsi="Times New Roman"/>
          <w:color w:val="000000" w:themeColor="text1"/>
          <w:sz w:val="16"/>
          <w:szCs w:val="16"/>
        </w:rPr>
        <w:fldChar w:fldCharType="end"/>
      </w:r>
    </w:p>
    <w:p w14:paraId="69D9BAD4"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общей суммы дополнительно ассигнуемых заводу 24 в 8.800 т.р.(без импорта) 4.400 т.р. отпустить по общесоюзному бюд</w:t>
      </w:r>
      <w:r w:rsidRPr="0044524F">
        <w:rPr>
          <w:rFonts w:ascii="Times New Roman" w:hAnsi="Times New Roman"/>
          <w:color w:val="000000" w:themeColor="text1"/>
          <w:sz w:val="16"/>
          <w:szCs w:val="16"/>
        </w:rPr>
        <w:softHyphen/>
        <w:t>жету сверх бюджета НКТП, а остальные 4.400 т.п. - по бюджету НКТП.</w:t>
      </w:r>
    </w:p>
    <w:p w14:paraId="60E14DDA"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Об”ем импортного оборудования для завода установить в 4.850.000 р., из них - 3.250.000 р. ассигновать в 1933 г., с рас</w:t>
      </w:r>
      <w:r w:rsidRPr="0044524F">
        <w:rPr>
          <w:rFonts w:ascii="Times New Roman" w:hAnsi="Times New Roman"/>
          <w:color w:val="000000" w:themeColor="text1"/>
          <w:sz w:val="16"/>
          <w:szCs w:val="16"/>
        </w:rPr>
        <w:softHyphen/>
        <w:t>четом получения и монтажа оборудования до 1.УП.34 г., и на 1.000.000 р. - в 1934 г.,с расчетом получения и монтажа оборудо</w:t>
      </w:r>
      <w:r w:rsidRPr="0044524F">
        <w:rPr>
          <w:rFonts w:ascii="Times New Roman" w:hAnsi="Times New Roman"/>
          <w:color w:val="000000" w:themeColor="text1"/>
          <w:sz w:val="16"/>
          <w:szCs w:val="16"/>
        </w:rPr>
        <w:softHyphen/>
        <w:t>вания к 1.УП.35 г. Из общей суммы импортного контингента в 3.250.000 п. на 1933 х.- 1.625.000 р. отпустить дополнительно сверх контингента НКТП и 1.625.000 р. за счет контингента НКТП.</w:t>
      </w:r>
    </w:p>
    <w:p w14:paraId="3E74812F"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НКВнешторг немедленно приступить к размещению заказов на оборудование первой очереди на 3.250.000 р., а Глав</w:t>
      </w:r>
      <w:r w:rsidRPr="0044524F">
        <w:rPr>
          <w:rFonts w:ascii="Times New Roman" w:hAnsi="Times New Roman"/>
          <w:color w:val="000000" w:themeColor="text1"/>
          <w:sz w:val="16"/>
          <w:szCs w:val="16"/>
        </w:rPr>
        <w:softHyphen/>
        <w:t>авиапрому выделить специальную комиссию для реализации этого обо</w:t>
      </w:r>
      <w:r w:rsidRPr="0044524F">
        <w:rPr>
          <w:rFonts w:ascii="Times New Roman" w:hAnsi="Times New Roman"/>
          <w:color w:val="000000" w:themeColor="text1"/>
          <w:sz w:val="16"/>
          <w:szCs w:val="16"/>
        </w:rPr>
        <w:softHyphen/>
        <w:t>рудования.</w:t>
      </w:r>
    </w:p>
    <w:p w14:paraId="168CAB83"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НКВнегторг в начале 1934 г. приступить к размеще</w:t>
      </w:r>
      <w:r w:rsidRPr="0044524F">
        <w:rPr>
          <w:rFonts w:ascii="Times New Roman" w:hAnsi="Times New Roman"/>
          <w:color w:val="000000" w:themeColor="text1"/>
          <w:sz w:val="16"/>
          <w:szCs w:val="16"/>
        </w:rPr>
        <w:softHyphen/>
        <w:t>нию оборудования второй очереди на 1.600.000 р.</w:t>
      </w:r>
    </w:p>
    <w:p w14:paraId="2D9C8659"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СОВЕТА ТРУДА и ОБОРОНЫ -В.МОЛОТОВ (СКРЯБИН).</w:t>
      </w:r>
    </w:p>
    <w:p w14:paraId="68DAE24A"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Договор НКТП с германской фирмоq JVS подтвердить.</w:t>
      </w:r>
    </w:p>
    <w:p w14:paraId="3028288B"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Предложить НКТП и НКВМ послать коммисию в составе 5-7 человек для испытаний подлодки Е-1.</w:t>
      </w:r>
    </w:p>
    <w:p w14:paraId="0FA83969"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Результаты испытаний НКТП и НКВМ доложить К.О. для принятия окончательного решения по договору.</w:t>
      </w:r>
    </w:p>
    <w:p w14:paraId="43AF2D9D"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Договор, заключенный т. Халепским с фирмой "Сперри" по покупке образцов и техпомощи - утвердить.</w:t>
      </w:r>
    </w:p>
    <w:p w14:paraId="3275A9EA"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июля.</w:t>
      </w:r>
    </w:p>
    <w:p w14:paraId="67045397"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оборудования утвердить в сумме 15.000 руб. в инвалюте сверх утвержденного НКТП импортного контингента.</w:t>
      </w:r>
    </w:p>
    <w:p w14:paraId="2C07C30A"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целях изучения, обеспечения и ускорения выпуска мотора М-34 с нагнетателем до 8.000 мтр. ут</w:t>
      </w:r>
      <w:r w:rsidRPr="0044524F">
        <w:rPr>
          <w:rFonts w:ascii="Times New Roman" w:hAnsi="Times New Roman"/>
          <w:color w:val="000000" w:themeColor="text1"/>
          <w:sz w:val="16"/>
          <w:szCs w:val="16"/>
        </w:rPr>
        <w:softHyphen/>
        <w:t>вердить заказ фирме "РАТО" на 10 шт. нагнетателей к мо</w:t>
      </w:r>
      <w:r w:rsidRPr="0044524F">
        <w:rPr>
          <w:rFonts w:ascii="Times New Roman" w:hAnsi="Times New Roman"/>
          <w:color w:val="000000" w:themeColor="text1"/>
          <w:sz w:val="16"/>
          <w:szCs w:val="16"/>
        </w:rPr>
        <w:softHyphen/>
        <w:t>тору М-34, для чего отпустить специальный контингент в 85.000 руб. сверх утвержденного импортного контин</w:t>
      </w:r>
      <w:r w:rsidRPr="0044524F">
        <w:rPr>
          <w:rFonts w:ascii="Times New Roman" w:hAnsi="Times New Roman"/>
          <w:color w:val="000000" w:themeColor="text1"/>
          <w:sz w:val="16"/>
          <w:szCs w:val="16"/>
        </w:rPr>
        <w:softHyphen/>
        <w:t>гента НКТП как для оплаты заказа, так и для расходов по доводке мотора М-34 до высотности 8.000 мтр.</w:t>
      </w:r>
    </w:p>
    <w:p w14:paraId="40D221C9"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Базилевичу, Ворошилову - все; Розенгольцу, Орджоникидзе – б, в, г, д (22987).</w:t>
      </w:r>
    </w:p>
    <w:p w14:paraId="5866FCFA" w14:textId="77777777" w:rsidR="00C7460D" w:rsidRPr="0044524F" w:rsidRDefault="00C7460D" w:rsidP="009654CF">
      <w:pPr>
        <w:spacing w:after="0" w:line="240" w:lineRule="auto"/>
        <w:jc w:val="both"/>
        <w:rPr>
          <w:rFonts w:ascii="Times New Roman" w:hAnsi="Times New Roman"/>
          <w:color w:val="000000" w:themeColor="text1"/>
          <w:sz w:val="16"/>
          <w:szCs w:val="16"/>
        </w:rPr>
      </w:pPr>
    </w:p>
    <w:p w14:paraId="7BC2751E" w14:textId="77777777" w:rsidR="00C7460D" w:rsidRPr="0044524F" w:rsidRDefault="00C7460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года в Пушкино была построена силами бойцов 3-й авиадесантной бригады по проекту ОКБ Гроховского первая в СССР металлическая парашютная вышка высотой 25 м (21402).</w:t>
      </w:r>
    </w:p>
    <w:p w14:paraId="6E13F994" w14:textId="77777777" w:rsidR="00C7460D" w:rsidRPr="0044524F" w:rsidRDefault="00C7460D" w:rsidP="009654CF">
      <w:pPr>
        <w:spacing w:after="0" w:line="240" w:lineRule="auto"/>
        <w:jc w:val="both"/>
        <w:rPr>
          <w:rFonts w:ascii="Times New Roman" w:hAnsi="Times New Roman"/>
          <w:color w:val="000000" w:themeColor="text1"/>
          <w:sz w:val="16"/>
          <w:szCs w:val="16"/>
        </w:rPr>
      </w:pPr>
    </w:p>
    <w:p w14:paraId="1E72D59E"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679DEF2"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C6ACDD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10 мая 1933 года закончили сборку первого опытного «Комсомольца» на СТЗ. Внешне он ничем не напоминал трактор. Коробчатая, как у танкетки, рама, впереди кабина, сзади кузов, половину которого занимал дизель М-7, сделанный по типу «Ганомага». Помимо чисто конструкторских недоработок — неравномерное распределение веса на гусеницы, ненадежная система охлаждения двигателя, увеличенный по сравнению с заданием вес, — «Комсомолец» обладал недостатком, делавшим его непригодным для сельского хозяйства: кузов закрывал от тракториста прицепные орудия. </w:t>
      </w:r>
    </w:p>
    <w:p w14:paraId="2868A35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Отставание проектирования от намеченного графика вызвало беспокойство в Главном управлении тракторной и автомобильной промышленности (ГУТАП) — преемнике ВАТО (11418).</w:t>
      </w:r>
    </w:p>
    <w:p w14:paraId="514E93B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4E86019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г. официально вступил в строй “Велозавод”. В 12.1938 г. Московский велозавод - в ведении НКМ. В 03.1941 г. завод переведен на производство мотоциклов для КА и переименован в Московский мотоциклетный завод.</w:t>
      </w:r>
    </w:p>
    <w:p w14:paraId="05F8C2F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01.1932 г. выпущено 180 первых отечественных велосипедов. Далее выпускались мужские, дамские, гоночные, спортивно-шоссейные и легкие велосипеды. К концу 1939 г. выпущен 1 млн. велосипедов.</w:t>
      </w:r>
    </w:p>
    <w:p w14:paraId="335C8341" w14:textId="4DA234F0"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10.1941 г. основная часть ММЗ эвакуирована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Ирбит на площадку пивоваренного завода и послужила основой для Ирбитского мотоциклетного завода. Оставшаяся в Москве часть завода продолжила работу. В годы войны выпускались взрыватели, механизм автомата ППШ, направляющие для ПУ БМ-13 «Катюша». В 1942 г. организован монтаж колясок для получаемых из США мотоциклов "</w:t>
      </w:r>
      <w:r w:rsidRPr="0044524F">
        <w:rPr>
          <w:rFonts w:ascii="Times New Roman" w:hAnsi="Times New Roman"/>
          <w:color w:val="000000" w:themeColor="text1"/>
          <w:sz w:val="16"/>
          <w:szCs w:val="16"/>
          <w:lang w:val="en-US"/>
        </w:rPr>
        <w:t>HarleyDawidson</w:t>
      </w:r>
      <w:r w:rsidRPr="0044524F">
        <w:rPr>
          <w:rFonts w:ascii="Times New Roman" w:hAnsi="Times New Roman"/>
          <w:color w:val="000000" w:themeColor="text1"/>
          <w:sz w:val="16"/>
          <w:szCs w:val="16"/>
        </w:rPr>
        <w:t>". 11.03.1944 г. вышло распоряжение ГКО № 5364 о мерах по обеспечению производства малолитражных бензиновых двигателей на заводе. 29.03.1946 г. ММЗ было поручено освоение производства мотоцикла «Москвич-М-1А».</w:t>
      </w:r>
    </w:p>
    <w:p w14:paraId="7F24224F" w14:textId="3A6F2C26"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СМ СССР от 6.05.1951 г. ММЗ был перепрофилирован на производство бортовой радиоаппаратуры для ЗУР В-300 и переименован в ГС завод № 663 МПСС (ГС Завод № 663 МПСС, Московский велозавод ВСНХ, НКМ, Московский мотоциклетный завод (ММЗ), Московский приборный завод («Мосприбор») МРП, ГП, ФГУП «Московский приборный завод» /г. Москва Симоновская слобода; ул. Велозаводская/ /129348</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Москва Ярославское ш., 19 тел. 188-64-38/). Мотоциклетное производство передано в Минск. Выпускал бортовую радиоаппаратуру для ракет и противоракет систем С-25, С-75, С-125, А- 35 и А-135.</w:t>
      </w:r>
    </w:p>
    <w:p w14:paraId="28453EC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w:t>
      </w:r>
    </w:p>
    <w:p w14:paraId="0385A7A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1965 г. завод № 663 переименован в Московский приборный завод («Мосприбор»), В 1972 г. «Мосприбор» вошел в состав ЦКБ «Алмаз». 26.03.1973 г. завод «Мосприбор», ОКБ-41 и СКБ-39 выведены из состава ЦКБ «Алмаз» и объединены в ЦНИИ «Комета», разместившемся на базе завода «Мосприбор». В 2004 г. ФГУП «Московский приборный завод» входил в состав Концерна радиостроения «Вега».</w:t>
      </w:r>
      <w:r w:rsidRPr="0044524F">
        <w:rPr>
          <w:rFonts w:ascii="Times New Roman" w:hAnsi="Times New Roman"/>
          <w:color w:val="000000" w:themeColor="text1"/>
          <w:sz w:val="16"/>
          <w:szCs w:val="16"/>
          <w:vertAlign w:val="superscript"/>
        </w:rPr>
        <w:t>102</w:t>
      </w:r>
    </w:p>
    <w:p w14:paraId="397E030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(1951 г.)- И.З. Соколов (на протяжении 27 лет), (2000 г.)- В.А. Ковалев.</w:t>
      </w:r>
    </w:p>
    <w:p w14:paraId="32469DA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велосипеды (1932-41), мотоциклы: М-72 (1941-), «Москвич-М-1А» (1946-);</w:t>
      </w:r>
    </w:p>
    <w:p w14:paraId="5A19CF8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радиоаппаратура для ЗУР В-ЗОО;</w:t>
      </w:r>
      <w:r w:rsidRPr="0044524F">
        <w:rPr>
          <w:rFonts w:ascii="Times New Roman" w:hAnsi="Times New Roman"/>
          <w:color w:val="000000" w:themeColor="text1"/>
          <w:sz w:val="16"/>
          <w:szCs w:val="16"/>
          <w:vertAlign w:val="superscript"/>
        </w:rPr>
        <w:t>104</w:t>
      </w:r>
      <w:r w:rsidRPr="0044524F">
        <w:rPr>
          <w:rFonts w:ascii="Times New Roman" w:hAnsi="Times New Roman"/>
          <w:color w:val="000000" w:themeColor="text1"/>
          <w:sz w:val="16"/>
          <w:szCs w:val="16"/>
        </w:rPr>
        <w:t xml:space="preserve"> космический РЖ обзора морской поверхности «Чайка» (1970-е); радиоприемники: «Москвич-В», «Звезда-54», «Маяк»; телевизор «Электроника 32ВТЦ-201».</w:t>
      </w:r>
    </w:p>
    <w:p w14:paraId="2B3C388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Проектно-конструкторское бюро (ПКБ) завода № 663 МПСС</w:t>
      </w:r>
    </w:p>
    <w:p w14:paraId="40525B6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1951 г. на завод переведен основной коллектив ПКБ-886 для освоения производства радиоаппаратуры, и образовано ПКБ завода. В 1959 г. начата разработка контрольно-измерительной аппаратуры для контроля бортовых систем КА «ИС» и «УС». 9.12.1972 г. ПКБ было переведено в состав ЦКБ «Алмаз» и переименовано в СКБ-39.</w:t>
      </w:r>
    </w:p>
    <w:p w14:paraId="32887021" w14:textId="78BCE875"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Руководитель (1951 г.-)- И.З. Соколов, (1960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Г.И. Сосна.</w:t>
      </w:r>
      <w:r w:rsidRPr="0044524F">
        <w:rPr>
          <w:rFonts w:ascii="Times New Roman" w:hAnsi="Times New Roman"/>
          <w:color w:val="000000" w:themeColor="text1"/>
          <w:sz w:val="16"/>
          <w:szCs w:val="16"/>
          <w:vertAlign w:val="superscript"/>
        </w:rPr>
        <w:t>104</w:t>
      </w:r>
    </w:p>
    <w:p w14:paraId="37427E4D" w14:textId="57F58DEA"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ЦНИИ «Комета» МРП, НПО, ЦНПО «Комета», ФГУП «Ордена Трудового Красного Знамени ЦНИИ «Комета» /115280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Москва ул. Велозаводская, 5 тел. 675-07-01/</w:t>
      </w:r>
    </w:p>
    <w:p w14:paraId="0CF4216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ЦНИИ «Комета» в ведении МРП образован 26.03.1973 г. на базе ОКБ-41, СКБ-39 ЦКБ «Алмаз» и завода «Мосприбор» с ПКБ, ставшего основной производственной базой ЦНИИ. СБ-410 ОКБ-41 преобразовано в СКБ- 32, СБ-411 - в СКБ-42, СБ-412 - в СКБ-43, отдел № 40 - в СКБ-40. Затем коллектив ОКБ-41 перебазировался из ЦКБ «Алмаз» на территорию завода «Мосприбор».</w:t>
      </w:r>
    </w:p>
    <w:p w14:paraId="0CB2F0B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Продолжена разработка системы противоспутниковой обороны ИС-М, начатая 13.02.1973 г. По ПСМ от 14.11.1978 г. ИС-М принята в эксплуатацию, 1.06.1979 г. поставлена на боевое дежурство. 14.11.1978 г. начата разработка системы ИС-МУ с КА 14Ф10 перехвата маневрирующих целей, пост, правительства в 04.1991 г. она принята в эксплуатацию. Начата разработка системы ИС-МД перехвата геостационарных спутников.</w:t>
      </w:r>
    </w:p>
    <w:p w14:paraId="47C99D6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1975 г. было принято решение о разработке системы УС-КМО, в 1978 г. в институте начаты работы по системе с геостационарным спутником. По указу Президента от 25.12.1996 г. система пнв.</w:t>
      </w:r>
    </w:p>
    <w:p w14:paraId="1CA975F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1979 г. на базе ЦНИИ «Комета» образовано НПО «Комета». В 1985 г. НПО преобразовано в Центральное НПО (ЦНПО) «Комета», в которое также вошли филиалы в Ереване, Рязани, Ленинграде (был в 2001 г.), Киеве, заводы в Алма-Ате и Вышнем Волочке, отдельные подразделения в Московской обл. и Тбилиси.</w:t>
      </w:r>
    </w:p>
    <w:p w14:paraId="2C1EE82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Создана комплексная самолетная лаборатория «Шельф-5» на базе Ан-12. Принимал участие в программе создания ОК «Буран».</w:t>
      </w:r>
    </w:p>
    <w:p w14:paraId="38BE250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1978 г. ЦНИИ определен головным по созданию системы морской космической разведки и целеуказания (МКРЦ), которую планировалось создать в два этапа: «Пирс-1»- обнаружение надводных кораблей, «Пирс-2»- обнаружение погруженных ПЛ. Создана система МКРЦ «Легенда».</w:t>
      </w:r>
      <w:r w:rsidRPr="0044524F">
        <w:rPr>
          <w:rFonts w:ascii="Times New Roman" w:hAnsi="Times New Roman"/>
          <w:color w:val="000000" w:themeColor="text1"/>
          <w:sz w:val="16"/>
          <w:szCs w:val="16"/>
          <w:vertAlign w:val="superscript"/>
        </w:rPr>
        <w:t>63</w:t>
      </w:r>
      <w:r w:rsidRPr="0044524F">
        <w:rPr>
          <w:rFonts w:ascii="Times New Roman" w:hAnsi="Times New Roman"/>
          <w:color w:val="000000" w:themeColor="text1"/>
          <w:sz w:val="16"/>
          <w:szCs w:val="16"/>
        </w:rPr>
        <w:t xml:space="preserve"> Разработан Главный информационный центр системы освещения обстановки ВМФ (в 2003-04 г. принят в эксплуатацию).</w:t>
      </w:r>
    </w:p>
    <w:p w14:paraId="71A00C4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составе ЦНИИ: филиал - научно-технический внедренческий центр (НТВЦ).</w:t>
      </w:r>
    </w:p>
    <w:p w14:paraId="2403241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278C06E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(2005 г.): единая космическая система раннего обнаружения стартов БР (ЕКС); системы всепогодного космического мониторинга Мирового океана в интересах обнаружения надводных объектов; системы наблюдения и инспекции космических объектов; системы обнаружения техногенных катастроф; информационно- управляющие центры спецназначения (является головным по данным направлениям).</w:t>
      </w:r>
    </w:p>
    <w:p w14:paraId="41F0C9F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(1973 г.-)- академик (1984 г.) А.И. Савин. Гендиректор (-1999 г.)- А.И. Савин, (1999-2004 г.-)- В.П. Мисник.</w:t>
      </w:r>
    </w:p>
    <w:p w14:paraId="4D81F07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зам. гендиректора (2003 г.)- Б.С. Лобанов. Зам. гендиректора- Б.С. Лобанов.</w:t>
      </w:r>
    </w:p>
    <w:p w14:paraId="0CF2BAE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Ген. конструктор (03.1973-99 г.)- А.И. Савин, (1999-2005 г.-)-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II</w:t>
      </w:r>
      <w:r w:rsidRPr="0044524F">
        <w:rPr>
          <w:rFonts w:ascii="Times New Roman" w:hAnsi="Times New Roman"/>
          <w:color w:val="000000" w:themeColor="text1"/>
          <w:sz w:val="16"/>
          <w:szCs w:val="16"/>
        </w:rPr>
        <w:t>. Мисник {26.05.1948-}.</w:t>
      </w:r>
    </w:p>
    <w:p w14:paraId="56F825AD" w14:textId="26FC2491"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ген. конструктора (2004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Г.В. Давыдов.</w:t>
      </w:r>
    </w:p>
    <w:p w14:paraId="08CA32D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Научный руководитель (1999-2004 г.)- А.И. Савин.</w:t>
      </w:r>
    </w:p>
    <w:p w14:paraId="500C550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(1992-99 г.)- В.П. Мисник.</w:t>
      </w:r>
    </w:p>
    <w:p w14:paraId="0426532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Гл. конструкторы: (1973-82 г.-&gt; В. Г. Хлибко (УС-К, УС-КМО), (1.12.1973-2004 г.-)- К.А. Власко-Власов (ИС- М, УС-КМО), (1973-80 Г.)- В.В. Крохин, (1982 г.-)- Л.С. Легезо (ИС-МУ), (1999 г.-)- </w:t>
      </w:r>
      <w:r w:rsidRPr="0044524F">
        <w:rPr>
          <w:rFonts w:ascii="Times New Roman" w:hAnsi="Times New Roman"/>
          <w:color w:val="000000" w:themeColor="text1"/>
          <w:sz w:val="16"/>
          <w:szCs w:val="16"/>
          <w:lang w:val="en-US"/>
        </w:rPr>
        <w:t>A</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w:t>
      </w:r>
      <w:r w:rsidRPr="0044524F">
        <w:rPr>
          <w:rFonts w:ascii="Times New Roman" w:hAnsi="Times New Roman"/>
          <w:color w:val="000000" w:themeColor="text1"/>
          <w:sz w:val="16"/>
          <w:szCs w:val="16"/>
        </w:rPr>
        <w:t>. Бычков (УС-КМО), (1990-е)- С.А. Мишуков, В.Б. Фролов, С.И. Шамаев.</w:t>
      </w:r>
    </w:p>
    <w:p w14:paraId="4D5174D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гл. конструкторов: (1975 г.-)- Б.С. Лобанов, В.М. Пожидаев, (1973 г.-)- С.И. Шамаев.</w:t>
      </w:r>
    </w:p>
    <w:p w14:paraId="48FCE66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тематико-отраслевого подразделения (1973-80 г.)- В.В. Крохин; тематико-производственного центра (2004 г.)- Л.С. Легезо; НТВЦ- Б.С. Лобанов; НИО (1993-95 г.)- Ц. Г. Литовченко.</w:t>
      </w:r>
    </w:p>
    <w:p w14:paraId="291FC60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радиоприемных устройств (1973-2004 г.-)- А.В. Гореликов; В.П. Мисник, В.М. Пожидаев, (1973 г.-)- С.И. Шамаев, (1973-2004 г.-)- К.С. Щеглов.</w:t>
      </w:r>
    </w:p>
    <w:p w14:paraId="42FCAE6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секторов: В.П. Мисник, В.М. Пожидаев.</w:t>
      </w:r>
    </w:p>
    <w:p w14:paraId="72BB26D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лабораторий: (1973-93 г.)- Е. Г. Зелкин, (1970-е)- К.С. Щеглов.</w:t>
      </w:r>
    </w:p>
    <w:p w14:paraId="10CDF14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лаборатории: (1970-е)-Л.П. Мизикин.</w:t>
      </w:r>
    </w:p>
    <w:p w14:paraId="47AD1ADD" w14:textId="32B6EC5C"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бригад: (1970-е)-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Г.В. Давыдов.</w:t>
      </w:r>
      <w:r w:rsidRPr="0044524F">
        <w:rPr>
          <w:rFonts w:ascii="Times New Roman" w:hAnsi="Times New Roman"/>
          <w:color w:val="000000" w:themeColor="text1"/>
          <w:sz w:val="16"/>
          <w:szCs w:val="16"/>
          <w:vertAlign w:val="superscript"/>
        </w:rPr>
        <w:t>102</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vertAlign w:val="superscript"/>
        </w:rPr>
        <w:t>504</w:t>
      </w:r>
      <w:r w:rsidRPr="0044524F">
        <w:rPr>
          <w:rFonts w:ascii="Times New Roman" w:hAnsi="Times New Roman"/>
          <w:color w:val="000000" w:themeColor="text1"/>
          <w:sz w:val="16"/>
          <w:szCs w:val="16"/>
        </w:rPr>
        <w:t xml:space="preserve"> Начальники групп: (1974 г.-)- В.М. Пожидаев.</w:t>
      </w:r>
    </w:p>
    <w:p w14:paraId="56EC585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Научные руководители НИР: А.В. Гореликов.</w:t>
      </w:r>
      <w:r w:rsidRPr="0044524F">
        <w:rPr>
          <w:rFonts w:ascii="Times New Roman" w:hAnsi="Times New Roman"/>
          <w:color w:val="000000" w:themeColor="text1"/>
          <w:sz w:val="16"/>
          <w:szCs w:val="16"/>
          <w:vertAlign w:val="superscript"/>
        </w:rPr>
        <w:t>ьо</w:t>
      </w:r>
    </w:p>
    <w:p w14:paraId="4406DDF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 ВКРС МРП</w:t>
      </w:r>
    </w:p>
    <w:p w14:paraId="567D77E9" w14:textId="58365181"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1970-е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являлось головной организацией по космической системе телевизионной глобальной разведки (ТГР).</w:t>
      </w:r>
    </w:p>
    <w:p w14:paraId="266E0E2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Ген. Конструктор (1970-е)- А.И. Савин.</w:t>
      </w:r>
      <w:r w:rsidRPr="0044524F">
        <w:rPr>
          <w:rFonts w:ascii="Times New Roman" w:hAnsi="Times New Roman"/>
          <w:color w:val="000000" w:themeColor="text1"/>
          <w:sz w:val="16"/>
          <w:szCs w:val="16"/>
          <w:vertAlign w:val="superscript"/>
        </w:rPr>
        <w:t>120</w:t>
      </w:r>
    </w:p>
    <w:p w14:paraId="6722705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«Комета» /г. Киев/</w:t>
      </w:r>
    </w:p>
    <w:p w14:paraId="2F3DC3C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1979 г. вошел в состав ЦНПО «Вымпел» в качестве филиала.</w:t>
      </w:r>
    </w:p>
    <w:p w14:paraId="6F8D80C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(1950-е)- С.А. Гегечкори (С.Л. Берия).</w:t>
      </w:r>
      <w:r w:rsidRPr="0044524F">
        <w:rPr>
          <w:rFonts w:ascii="Times New Roman" w:hAnsi="Times New Roman"/>
          <w:color w:val="000000" w:themeColor="text1"/>
          <w:sz w:val="16"/>
          <w:szCs w:val="16"/>
          <w:vertAlign w:val="superscript"/>
        </w:rPr>
        <w:t>3</w:t>
      </w:r>
    </w:p>
    <w:p w14:paraId="2291AB4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(1950-е-90 г.-)- С.А. Гегечкори (С.Л. Берия) (11982).</w:t>
      </w:r>
    </w:p>
    <w:p w14:paraId="4963C48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1377B981"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 15 мая 1933 Боккельберг договорился о возобновлении опытно-испытательных работ на полигоне «Томка» в период с 15.08 по 1.11 (18265).</w:t>
      </w:r>
    </w:p>
    <w:p w14:paraId="73143565" w14:textId="77777777" w:rsidR="00153F88" w:rsidRPr="0044524F" w:rsidRDefault="00153F88" w:rsidP="009654CF">
      <w:pPr>
        <w:spacing w:after="0" w:line="240" w:lineRule="auto"/>
        <w:jc w:val="both"/>
        <w:rPr>
          <w:rFonts w:ascii="Times New Roman" w:hAnsi="Times New Roman"/>
          <w:color w:val="000000" w:themeColor="text1"/>
          <w:sz w:val="16"/>
          <w:szCs w:val="16"/>
        </w:rPr>
      </w:pPr>
    </w:p>
    <w:p w14:paraId="695151FC" w14:textId="77777777" w:rsidR="00810511" w:rsidRPr="0044524F" w:rsidRDefault="00810511" w:rsidP="009654CF">
      <w:pPr>
        <w:pStyle w:val="rtejustify"/>
        <w:spacing w:before="0" w:after="0"/>
        <w:rPr>
          <w:color w:val="000000" w:themeColor="text1"/>
          <w:sz w:val="16"/>
          <w:szCs w:val="16"/>
        </w:rPr>
      </w:pPr>
      <w:r w:rsidRPr="0044524F">
        <w:rPr>
          <w:rStyle w:val="af0"/>
          <w:bCs/>
          <w:i w:val="0"/>
          <w:color w:val="000000" w:themeColor="text1"/>
          <w:sz w:val="16"/>
          <w:szCs w:val="16"/>
        </w:rPr>
        <w:t>10 мая</w:t>
      </w:r>
      <w:r w:rsidRPr="0044524F">
        <w:rPr>
          <w:color w:val="000000" w:themeColor="text1"/>
          <w:sz w:val="16"/>
          <w:szCs w:val="16"/>
        </w:rPr>
        <w:t xml:space="preserve"> 1933. Протокол заседания Политбюро ЦК ВКП (б) № 137. </w:t>
      </w:r>
      <w:hyperlink r:id="rId158" w:anchor="showunit&amp;id=86434" w:history="1">
        <w:r w:rsidRPr="0044524F">
          <w:rPr>
            <w:rStyle w:val="a5"/>
            <w:color w:val="000000" w:themeColor="text1"/>
            <w:sz w:val="16"/>
            <w:szCs w:val="16"/>
          </w:rPr>
          <w:t>5. О постройке завода синтетического каучука в Эривани</w:t>
        </w:r>
      </w:hyperlink>
      <w:r w:rsidRPr="0044524F">
        <w:rPr>
          <w:color w:val="000000" w:themeColor="text1"/>
          <w:sz w:val="16"/>
          <w:szCs w:val="16"/>
        </w:rPr>
        <w:t xml:space="preserve"> (Орджоникидзе). Решено: а) Согласиться с предложением Орджоникидзе о постройке завода для производства синтетического каучука из карбид-кальция в Эривани. б) Разрешить НКТПрому перенести 20 миллионов рублей за счет общего годового лимита НКТПрома с 3 квартала на 2 квартал, и на эти средства развернуть работу по Балхашстрою, постройке завода синтетического каучука в Эривани и т. п. </w:t>
      </w:r>
      <w:hyperlink r:id="rId159" w:anchor="showunit&amp;id=86419" w:history="1">
        <w:r w:rsidRPr="0044524F">
          <w:rPr>
            <w:rStyle w:val="a5"/>
            <w:color w:val="000000" w:themeColor="text1"/>
            <w:sz w:val="16"/>
            <w:szCs w:val="16"/>
          </w:rPr>
          <w:t>36/23. Вопросы КО</w:t>
        </w:r>
      </w:hyperlink>
      <w:r w:rsidRPr="0044524F">
        <w:rPr>
          <w:color w:val="000000" w:themeColor="text1"/>
          <w:sz w:val="16"/>
          <w:szCs w:val="16"/>
        </w:rPr>
        <w:t xml:space="preserve"> (ПБ от 29 апреля 1933 г.). — ОП. Решено: а) Установить запрещение полетов на тяжелых самолетах без радиостанций с 1</w:t>
      </w:r>
      <w:r w:rsidRPr="0044524F">
        <w:rPr>
          <w:color w:val="000000" w:themeColor="text1"/>
          <w:sz w:val="16"/>
          <w:szCs w:val="16"/>
        </w:rPr>
        <w:noBreakHyphen/>
        <w:t>7</w:t>
      </w:r>
      <w:r w:rsidRPr="0044524F">
        <w:rPr>
          <w:color w:val="000000" w:themeColor="text1"/>
          <w:sz w:val="16"/>
          <w:szCs w:val="16"/>
        </w:rPr>
        <w:noBreakHyphen/>
        <w:t>1933, во изменение п. 12 постановления ЦК от 5</w:t>
      </w:r>
      <w:r w:rsidRPr="0044524F">
        <w:rPr>
          <w:color w:val="000000" w:themeColor="text1"/>
          <w:sz w:val="16"/>
          <w:szCs w:val="16"/>
        </w:rPr>
        <w:noBreakHyphen/>
        <w:t>7</w:t>
      </w:r>
      <w:r w:rsidRPr="0044524F">
        <w:rPr>
          <w:color w:val="000000" w:themeColor="text1"/>
          <w:sz w:val="16"/>
          <w:szCs w:val="16"/>
        </w:rPr>
        <w:noBreakHyphen/>
        <w:t xml:space="preserve">1932 (протокол № 107, п. 46/3). б) Утвердить постановление СТО «О строительстве и оборудовании завода № 24 ГУАП». в) 1. Подтвердить договор НКТП с германской фирмой I.V.S.; 2. Предложить НКТП и НКВМ послать комиссию в составе </w:t>
      </w:r>
      <w:r w:rsidRPr="0044524F">
        <w:rPr>
          <w:color w:val="000000" w:themeColor="text1"/>
          <w:sz w:val="16"/>
          <w:szCs w:val="16"/>
        </w:rPr>
        <w:lastRenderedPageBreak/>
        <w:t>5</w:t>
      </w:r>
      <w:r w:rsidRPr="0044524F">
        <w:rPr>
          <w:color w:val="000000" w:themeColor="text1"/>
          <w:sz w:val="16"/>
          <w:szCs w:val="16"/>
        </w:rPr>
        <w:noBreakHyphen/>
        <w:t>7 человек для испытаний подлодки Е</w:t>
      </w:r>
      <w:r w:rsidRPr="0044524F">
        <w:rPr>
          <w:color w:val="000000" w:themeColor="text1"/>
          <w:sz w:val="16"/>
          <w:szCs w:val="16"/>
        </w:rPr>
        <w:noBreakHyphen/>
        <w:t>1. 3. Доложить результаты испытаний НКТП и НКВМ для принятия окончательного решения по договору. г) Утвердить договор, заключенный Халепским с фирмой «Сперри» по покупке образцов и техпомощи. д) 1. Обязать ГУАП приобрести 3 комплекта всех необходимых приборов для оборудования стратосферного самолета, а импортные организации реализовать и доставить не позднее 15 июня. Стоимость оборудования утвердить в сумме 15 тысяч рублей в инвалюте сверх утвержденного НКТП импортного контингента. 2. Утвердить заказ фирме «РАТО» с целью изучения, обеспечения и ускорения выпуска мотора М</w:t>
      </w:r>
      <w:r w:rsidRPr="0044524F">
        <w:rPr>
          <w:color w:val="000000" w:themeColor="text1"/>
          <w:sz w:val="16"/>
          <w:szCs w:val="16"/>
        </w:rPr>
        <w:noBreakHyphen/>
        <w:t>34 с нагнетателем; отпустить специальный контингент в 85 тысяч рублей сверх утвержденного импортного контингента НКТП для оплаты заказа и для расходов по доводке мотора М</w:t>
      </w:r>
      <w:r w:rsidRPr="0044524F">
        <w:rPr>
          <w:color w:val="000000" w:themeColor="text1"/>
          <w:sz w:val="16"/>
          <w:szCs w:val="16"/>
        </w:rPr>
        <w:noBreakHyphen/>
        <w:t xml:space="preserve">34. </w:t>
      </w:r>
      <w:hyperlink r:id="rId160" w:anchor="showunit&amp;id=86433" w:history="1">
        <w:r w:rsidRPr="0044524F">
          <w:rPr>
            <w:rStyle w:val="a5"/>
            <w:color w:val="000000" w:themeColor="text1"/>
            <w:sz w:val="16"/>
            <w:szCs w:val="16"/>
          </w:rPr>
          <w:t>49/36. О завозе нефтепродуктов в Западную Сибирь</w:t>
        </w:r>
      </w:hyperlink>
      <w:r w:rsidRPr="0044524F">
        <w:rPr>
          <w:color w:val="000000" w:themeColor="text1"/>
          <w:sz w:val="16"/>
          <w:szCs w:val="16"/>
        </w:rPr>
        <w:t xml:space="preserve"> (ПБ от 30 апреля 1933 г.). Решено: Обязать Благонравова и Ягоду взять под особое наблюдение продвижение нефтепродуктов для Западной Сибири. </w:t>
      </w:r>
      <w:hyperlink r:id="rId161" w:anchor="showunit&amp;id=86447" w:history="1">
        <w:r w:rsidRPr="0044524F">
          <w:rPr>
            <w:rStyle w:val="a5"/>
            <w:color w:val="000000" w:themeColor="text1"/>
            <w:sz w:val="16"/>
            <w:szCs w:val="16"/>
          </w:rPr>
          <w:t>61/48. О выделении специальных заводов по производству запасных частей для автомашин</w:t>
        </w:r>
      </w:hyperlink>
      <w:r w:rsidRPr="0044524F">
        <w:rPr>
          <w:color w:val="000000" w:themeColor="text1"/>
          <w:sz w:val="16"/>
          <w:szCs w:val="16"/>
        </w:rPr>
        <w:t xml:space="preserve"> (ПБ от 4 мая 1933 г.). Решено: Утвердить комиссию в составе Свистуна (председатель), Дьяконова, Лихачева, Фельдмана, Островского, Бирна, Бокиса и Серебрякова для разработки вопроса о необходимости выделения специальных заводов по производству запасных частей для автомашин. </w:t>
      </w:r>
      <w:hyperlink r:id="rId162" w:anchor="showunit&amp;id=86481" w:history="1">
        <w:r w:rsidRPr="0044524F">
          <w:rPr>
            <w:rStyle w:val="a5"/>
            <w:color w:val="000000" w:themeColor="text1"/>
            <w:sz w:val="16"/>
            <w:szCs w:val="16"/>
          </w:rPr>
          <w:t>92/79. О Челябинском тракторном заводе</w:t>
        </w:r>
      </w:hyperlink>
      <w:r w:rsidRPr="0044524F">
        <w:rPr>
          <w:color w:val="000000" w:themeColor="text1"/>
          <w:sz w:val="16"/>
          <w:szCs w:val="16"/>
        </w:rPr>
        <w:t xml:space="preserve"> (ПБ от 23 апреля 1933 г., пр. № 136, п. 14), (ПБ от 8 мая 1933 г.). Решено вопрос снять с обсуждения. </w:t>
      </w:r>
      <w:hyperlink r:id="rId163" w:anchor="showunit&amp;id=86482" w:history="1">
        <w:r w:rsidRPr="0044524F">
          <w:rPr>
            <w:rStyle w:val="a5"/>
            <w:color w:val="000000" w:themeColor="text1"/>
            <w:sz w:val="16"/>
            <w:szCs w:val="16"/>
          </w:rPr>
          <w:t>93/80. О создании треста цветных металлов в ВосточноСибирском крае (записка Восточносибирского крайкома)</w:t>
        </w:r>
      </w:hyperlink>
      <w:r w:rsidRPr="0044524F">
        <w:rPr>
          <w:color w:val="000000" w:themeColor="text1"/>
          <w:sz w:val="16"/>
          <w:szCs w:val="16"/>
        </w:rPr>
        <w:t xml:space="preserve"> (ПБ от 8 мая 1933 г.). Решено передать вопрос на разрешение в СТО. </w:t>
      </w:r>
      <w:hyperlink r:id="rId164" w:anchor="showunit&amp;id=86490" w:history="1">
        <w:r w:rsidRPr="0044524F">
          <w:rPr>
            <w:rStyle w:val="a5"/>
            <w:color w:val="000000" w:themeColor="text1"/>
            <w:sz w:val="16"/>
            <w:szCs w:val="16"/>
          </w:rPr>
          <w:t>106/93. б) Об импортном плане II квартала</w:t>
        </w:r>
      </w:hyperlink>
      <w:r w:rsidRPr="0044524F">
        <w:rPr>
          <w:color w:val="000000" w:themeColor="text1"/>
          <w:sz w:val="16"/>
          <w:szCs w:val="16"/>
        </w:rPr>
        <w:t xml:space="preserve">; Решено: Вопрос передать на рассмотрение в комиссию Молотова по внешнеторговым вопросам. </w:t>
      </w:r>
      <w:hyperlink r:id="rId165" w:anchor="showunit&amp;id=86491" w:history="1">
        <w:r w:rsidRPr="0044524F">
          <w:rPr>
            <w:rStyle w:val="a5"/>
            <w:color w:val="000000" w:themeColor="text1"/>
            <w:sz w:val="16"/>
            <w:szCs w:val="16"/>
          </w:rPr>
          <w:t>в) об импорте для НКТяжпрома</w:t>
        </w:r>
      </w:hyperlink>
      <w:r w:rsidRPr="0044524F">
        <w:rPr>
          <w:color w:val="000000" w:themeColor="text1"/>
          <w:sz w:val="16"/>
          <w:szCs w:val="16"/>
        </w:rPr>
        <w:t xml:space="preserve"> Решено: Вопрос передать на рассмотрение в комиссию Молотова по внешнеторговым вопросам. (ПБ от 8 мая 1933 г.). </w:t>
      </w:r>
      <w:hyperlink r:id="rId166" w:anchor="showunit&amp;id=86387" w:history="1">
        <w:r w:rsidRPr="0044524F">
          <w:rPr>
            <w:rStyle w:val="a5"/>
            <w:color w:val="000000" w:themeColor="text1"/>
            <w:sz w:val="16"/>
            <w:szCs w:val="16"/>
          </w:rPr>
          <w:t>119/106. О Блявинском комбинате.</w:t>
        </w:r>
      </w:hyperlink>
      <w:r w:rsidRPr="0044524F">
        <w:rPr>
          <w:color w:val="000000" w:themeColor="text1"/>
          <w:sz w:val="16"/>
          <w:szCs w:val="16"/>
        </w:rPr>
        <w:t xml:space="preserve"> Решено: а) Разрешить НКТП финансировать работы по Бляминскому комбинату (геологоразведочные, проектные, научно-исследовательские и подготовительные) в 1933 году в пределах 2,5 миллионов рублей за счет общих лимитов НКТП по капитальному строительству. б) Предложить НКТП войти в Политбюро в октябре 1933 года с докладом о плане развертывания работ по Бляминскому комбинату и, в частности, о плане на 1934 год (15462).</w:t>
      </w:r>
    </w:p>
    <w:p w14:paraId="6FC318C5" w14:textId="77777777" w:rsidR="00810511" w:rsidRPr="0044524F" w:rsidRDefault="00810511" w:rsidP="009654CF">
      <w:pPr>
        <w:pStyle w:val="rtejustify"/>
        <w:spacing w:before="0" w:after="0"/>
        <w:rPr>
          <w:color w:val="000000" w:themeColor="text1"/>
          <w:sz w:val="16"/>
          <w:szCs w:val="16"/>
        </w:rPr>
      </w:pPr>
    </w:p>
    <w:p w14:paraId="2A9A30CF"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84F36C2"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1F4AE36"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в 1933 году на заседании Совета строительства Дворца Советов при президиуме ЦИК СССР было принято Постановление:</w:t>
      </w:r>
    </w:p>
    <w:p w14:paraId="72CBF94C"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Принять проект тов. Иофана Б.М. в основу проекта Дворца Советов.</w:t>
      </w:r>
    </w:p>
    <w:p w14:paraId="1627D4D8"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Верхнюю часть Дворца Советов завершить мощной скульптурой Ленина величиной 50–75 метров с тем, чтобы Дворец Советов представлял вид пьедестала для фигуры Ленина.</w:t>
      </w:r>
    </w:p>
    <w:p w14:paraId="111D1C3E"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Поручить тов. Иофану продолжить разработку проекта Дворца Советов на основе настоящего решения с тем, чтобы при этом были использованы лучшие части проектов и других архитекторов.</w:t>
      </w:r>
    </w:p>
    <w:p w14:paraId="24D12BB9"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Считать возможным привлечение к дальнейшей работе над проектом и других архитекторов.</w:t>
      </w:r>
    </w:p>
    <w:p w14:paraId="078730B3"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 строительства Дворца Советов»</w:t>
      </w:r>
    </w:p>
    <w:p w14:paraId="68640A5B"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Дворец Советов был задуман как грандиозное сооружение высотой (вместе со скульптурой) 420 метров. Большой зал Дворца был рассчитан на 21000 человек, а Малый — на 6 тысяч. Кроме того, предусматривалось наличие залов палат Верховного Совета СССР и Президиума, зал Конституции, валы, посвященные теме героики гражданской войны и строительства социализма, залы правительственных приемов и других. Кроме того, во Дворце Советов должны были разместиться государственный документальный архив, библиотека и специальные аудитории для работы депутатов. Строительство Дворца было прервано из-за начала Великой Отечественной войны. В послевоенное время от идеи Сталин формально не отказался, но такой гигантский проект был не под силу обескровленной стране. Уникальный опыт архитекторов был использован при строительстве многоэтажных зданий, а затем Останкинской телебашни (14887).</w:t>
      </w:r>
    </w:p>
    <w:p w14:paraId="60EE4243" w14:textId="77777777" w:rsidR="00810511" w:rsidRPr="0044524F" w:rsidRDefault="00810511" w:rsidP="009654CF">
      <w:pPr>
        <w:spacing w:after="0" w:line="240" w:lineRule="auto"/>
        <w:jc w:val="both"/>
        <w:rPr>
          <w:rFonts w:ascii="Times New Roman" w:hAnsi="Times New Roman"/>
          <w:color w:val="000000" w:themeColor="text1"/>
          <w:sz w:val="16"/>
          <w:szCs w:val="16"/>
        </w:rPr>
      </w:pPr>
    </w:p>
    <w:p w14:paraId="2F70F230"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w:t>
      </w:r>
    </w:p>
    <w:p w14:paraId="1B07D9DB"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137 заседания Политбюро ЦК ВКП(б) от 10 мая 1933 года</w:t>
      </w:r>
    </w:p>
    <w:p w14:paraId="173D65CD"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10</w:t>
      </w:r>
      <w:r w:rsidRPr="0044524F">
        <w:rPr>
          <w:rFonts w:ascii="Times New Roman" w:hAnsi="Times New Roman"/>
          <w:color w:val="000000" w:themeColor="text1"/>
          <w:sz w:val="16"/>
          <w:szCs w:val="16"/>
        </w:rPr>
        <w:noBreakHyphen/>
        <w:t>го мая 1933 года</w:t>
      </w:r>
    </w:p>
    <w:p w14:paraId="297728A4"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56/43: О Дворце Советов</w:t>
      </w:r>
    </w:p>
    <w:p w14:paraId="5B5ED3C6"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Принять проект т. Иофана в основу проекта Дворца Советов.</w:t>
      </w:r>
    </w:p>
    <w:p w14:paraId="5FEF359C"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Верхнюю часть Дворца Советов завершить мощной скульптурой Ленина (величиной 50</w:t>
      </w:r>
      <w:r w:rsidRPr="0044524F">
        <w:rPr>
          <w:rFonts w:ascii="Times New Roman" w:hAnsi="Times New Roman"/>
          <w:color w:val="000000" w:themeColor="text1"/>
          <w:sz w:val="16"/>
          <w:szCs w:val="16"/>
        </w:rPr>
        <w:noBreakHyphen/>
        <w:t>75 метров) с тем, чтобы Дворец Советов представлял вид пьедестала для фигуры Ленина.</w:t>
      </w:r>
    </w:p>
    <w:p w14:paraId="76E883FA"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На этой основе (п.п. 1 и 2) поручить т. Иофану продолжить разработку проекта Дворца Советов с тем, чтобы при этом были использованы лучшие части проектов и других архитекторов.</w:t>
      </w:r>
    </w:p>
    <w:p w14:paraId="511BF3A6"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Считать возможным привлечение к дальнейшей работе над проектом и других архитекторов.</w:t>
      </w:r>
    </w:p>
    <w:p w14:paraId="385EFB73"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Поручить Совету строительства Дворца Советов утвердить срок окончания разработки Дверца Советов и внести свое решение в декадный срок на утверждение Политбюро.</w:t>
      </w:r>
    </w:p>
    <w:p w14:paraId="2EE143F2"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(18140).</w:t>
      </w:r>
    </w:p>
    <w:p w14:paraId="12F8543D" w14:textId="77777777" w:rsidR="00153F88" w:rsidRPr="0044524F" w:rsidRDefault="00153F88" w:rsidP="009654CF">
      <w:pPr>
        <w:spacing w:after="0" w:line="240" w:lineRule="auto"/>
        <w:jc w:val="both"/>
        <w:rPr>
          <w:rFonts w:ascii="Times New Roman" w:hAnsi="Times New Roman"/>
          <w:color w:val="000000" w:themeColor="text1"/>
          <w:sz w:val="16"/>
          <w:szCs w:val="16"/>
        </w:rPr>
      </w:pPr>
    </w:p>
    <w:p w14:paraId="5BC459E9" w14:textId="77777777" w:rsidR="00153F88" w:rsidRPr="0044524F" w:rsidRDefault="00153F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Началась прописка населения в домовых книгах (18722).</w:t>
      </w:r>
    </w:p>
    <w:p w14:paraId="16BA30DD" w14:textId="77777777" w:rsidR="00153F88" w:rsidRPr="0044524F" w:rsidRDefault="00153F88" w:rsidP="009654CF">
      <w:pPr>
        <w:spacing w:after="0" w:line="240" w:lineRule="auto"/>
        <w:jc w:val="both"/>
        <w:rPr>
          <w:rFonts w:ascii="Times New Roman" w:hAnsi="Times New Roman"/>
          <w:color w:val="000000" w:themeColor="text1"/>
          <w:sz w:val="16"/>
          <w:szCs w:val="16"/>
        </w:rPr>
      </w:pPr>
    </w:p>
    <w:p w14:paraId="7FF1535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приказом по лагерю № 116 объявлялось о наказаниях провинившимся заключенным. В частности, зав. шорным складом Дмитровского лагпункта И. И. Беспрозванного «за нарушения положения о Исправительно-Трудовых Лагерях, выразившиеся в нелегальном свидании с женой в течение месяца и помещении ребенка в барак заключенных» предписывалось «заключить в штрафизолятор сроком на 6-ть месяцев»; начальника Лагпункта 70 километра Пономарева «за организацию неоднократных пьянок заключенных» - «перевести в штрафной Л/П сроком на 3 месяца.., с использованием на общих работах»; шофера Автобазы з/к Кинько «за дебош в пьяном виде, неподчинение стрелку и удар стрелка по лицу» - «подвергнуть содержанию в штрафлагпунте сроком на 4 месяца с использованием исключительно на тяжелых работах», и т. п (7560).</w:t>
      </w:r>
    </w:p>
    <w:p w14:paraId="6818291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01EE5A5D"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00D5BEE"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B8C918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 15 мая 1933 в беседах с Тухачевским и Фишманом Боккельберг договорился о возобновлении опытно-испытательных работ на полигоне «Томка» в период с 15. 08 по 1. 11. (ADAP, Ser.C, Bd.I,2, Dok. № 252, Anlage 2.) (11784).</w:t>
      </w:r>
    </w:p>
    <w:p w14:paraId="2AB6DCC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443F9841"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6C0BBAC"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AEC88F5" w14:textId="77777777" w:rsidR="00810511" w:rsidRPr="0044524F" w:rsidRDefault="00810511" w:rsidP="009654CF">
      <w:pPr>
        <w:pStyle w:val="aff2"/>
        <w:shd w:val="clear" w:color="auto" w:fill="auto"/>
        <w:spacing w:line="240" w:lineRule="auto"/>
        <w:rPr>
          <w:rFonts w:ascii="Times New Roman" w:hAnsi="Times New Roman" w:cs="Times New Roman"/>
          <w:i w:val="0"/>
          <w:color w:val="000000" w:themeColor="text1"/>
          <w:sz w:val="16"/>
          <w:szCs w:val="16"/>
          <w:lang w:val="ru-RU"/>
        </w:rPr>
      </w:pPr>
      <w:r w:rsidRPr="0044524F">
        <w:rPr>
          <w:rFonts w:ascii="Times New Roman" w:hAnsi="Times New Roman" w:cs="Times New Roman"/>
          <w:i w:val="0"/>
          <w:color w:val="000000" w:themeColor="text1"/>
          <w:sz w:val="16"/>
          <w:szCs w:val="16"/>
          <w:lang w:val="ru-RU"/>
        </w:rPr>
        <w:t xml:space="preserve">10 мая 1933 г. взлетел спортивный </w:t>
      </w:r>
      <w:r w:rsidRPr="0044524F">
        <w:rPr>
          <w:rFonts w:ascii="Times New Roman" w:hAnsi="Times New Roman" w:cs="Times New Roman"/>
          <w:i w:val="0"/>
          <w:color w:val="000000" w:themeColor="text1"/>
          <w:sz w:val="16"/>
          <w:szCs w:val="16"/>
        </w:rPr>
        <w:t>FarmanF</w:t>
      </w:r>
      <w:r w:rsidRPr="0044524F">
        <w:rPr>
          <w:rFonts w:ascii="Times New Roman" w:hAnsi="Times New Roman" w:cs="Times New Roman"/>
          <w:i w:val="0"/>
          <w:color w:val="000000" w:themeColor="text1"/>
          <w:sz w:val="16"/>
          <w:szCs w:val="16"/>
          <w:lang w:val="ru-RU"/>
        </w:rPr>
        <w:t>.380, который стал первым в мире самолётом с велосипедной схемой шасси. Правильность выбора схемы шасси для рекордного</w:t>
      </w:r>
      <w:r w:rsidRPr="0044524F">
        <w:rPr>
          <w:rStyle w:val="85pt"/>
          <w:rFonts w:ascii="Times New Roman" w:eastAsia="Arial Unicode MS" w:hAnsi="Times New Roman" w:cs="Times New Roman"/>
          <w:i w:val="0"/>
          <w:color w:val="000000" w:themeColor="text1"/>
          <w:sz w:val="16"/>
          <w:szCs w:val="16"/>
          <w:lang w:val="ru-RU"/>
        </w:rPr>
        <w:t xml:space="preserve"> самолёта </w:t>
      </w:r>
      <w:r w:rsidRPr="0044524F">
        <w:rPr>
          <w:rFonts w:ascii="Times New Roman" w:hAnsi="Times New Roman" w:cs="Times New Roman"/>
          <w:i w:val="0"/>
          <w:color w:val="000000" w:themeColor="text1"/>
          <w:sz w:val="16"/>
          <w:szCs w:val="16"/>
          <w:lang w:val="ru-RU"/>
        </w:rPr>
        <w:t xml:space="preserve">подтвердилась тем, что уже 22 мая 1933 г. пилот </w:t>
      </w:r>
      <w:r w:rsidRPr="0044524F">
        <w:rPr>
          <w:rFonts w:ascii="Times New Roman" w:hAnsi="Times New Roman" w:cs="Times New Roman"/>
          <w:i w:val="0"/>
          <w:color w:val="000000" w:themeColor="text1"/>
          <w:sz w:val="16"/>
          <w:szCs w:val="16"/>
        </w:rPr>
        <w:t>MauriceArnoux</w:t>
      </w:r>
      <w:r w:rsidRPr="0044524F">
        <w:rPr>
          <w:rFonts w:ascii="Times New Roman" w:hAnsi="Times New Roman" w:cs="Times New Roman"/>
          <w:i w:val="0"/>
          <w:color w:val="000000" w:themeColor="text1"/>
          <w:sz w:val="16"/>
          <w:szCs w:val="16"/>
          <w:lang w:val="ru-RU"/>
        </w:rPr>
        <w:t xml:space="preserve"> установил рекорд в</w:t>
      </w:r>
      <w:r w:rsidRPr="0044524F">
        <w:rPr>
          <w:rStyle w:val="85pt"/>
          <w:rFonts w:ascii="Times New Roman" w:eastAsia="Arial Unicode MS" w:hAnsi="Times New Roman" w:cs="Times New Roman"/>
          <w:i w:val="0"/>
          <w:color w:val="000000" w:themeColor="text1"/>
          <w:sz w:val="16"/>
          <w:szCs w:val="16"/>
          <w:lang w:val="ru-RU"/>
        </w:rPr>
        <w:t xml:space="preserve"> своём клас</w:t>
      </w:r>
      <w:r w:rsidRPr="0044524F">
        <w:rPr>
          <w:rStyle w:val="85pt"/>
          <w:rFonts w:ascii="Times New Roman" w:eastAsia="Arial Unicode MS" w:hAnsi="Times New Roman" w:cs="Times New Roman"/>
          <w:i w:val="0"/>
          <w:color w:val="000000" w:themeColor="text1"/>
          <w:sz w:val="16"/>
          <w:szCs w:val="16"/>
          <w:lang w:val="ru-RU"/>
        </w:rPr>
        <w:softHyphen/>
        <w:t>се,</w:t>
      </w:r>
      <w:r w:rsidRPr="0044524F">
        <w:rPr>
          <w:rFonts w:ascii="Times New Roman" w:hAnsi="Times New Roman" w:cs="Times New Roman"/>
          <w:i w:val="0"/>
          <w:color w:val="000000" w:themeColor="text1"/>
          <w:sz w:val="16"/>
          <w:szCs w:val="16"/>
          <w:lang w:val="ru-RU"/>
        </w:rPr>
        <w:t xml:space="preserve"> пролетев 100 км со скоростью 303,387 км/ч. Рекорд в определённом смысле был</w:t>
      </w:r>
      <w:r w:rsidRPr="0044524F">
        <w:rPr>
          <w:rStyle w:val="85pt"/>
          <w:rFonts w:ascii="Times New Roman" w:eastAsia="Arial Unicode MS" w:hAnsi="Times New Roman" w:cs="Times New Roman"/>
          <w:i w:val="0"/>
          <w:color w:val="000000" w:themeColor="text1"/>
          <w:sz w:val="16"/>
          <w:szCs w:val="16"/>
          <w:lang w:val="ru-RU"/>
        </w:rPr>
        <w:t xml:space="preserve"> уникален: он </w:t>
      </w:r>
      <w:r w:rsidRPr="0044524F">
        <w:rPr>
          <w:rFonts w:ascii="Times New Roman" w:hAnsi="Times New Roman" w:cs="Times New Roman"/>
          <w:i w:val="0"/>
          <w:color w:val="000000" w:themeColor="text1"/>
          <w:sz w:val="16"/>
          <w:szCs w:val="16"/>
          <w:lang w:val="ru-RU"/>
        </w:rPr>
        <w:t xml:space="preserve">продержался лишь 30 минут, а затем его побил пилот </w:t>
      </w:r>
      <w:r w:rsidRPr="0044524F">
        <w:rPr>
          <w:rFonts w:ascii="Times New Roman" w:hAnsi="Times New Roman" w:cs="Times New Roman"/>
          <w:i w:val="0"/>
          <w:color w:val="000000" w:themeColor="text1"/>
          <w:sz w:val="16"/>
          <w:szCs w:val="16"/>
        </w:rPr>
        <w:t>Delmotte</w:t>
      </w:r>
      <w:r w:rsidRPr="0044524F">
        <w:rPr>
          <w:rFonts w:ascii="Times New Roman" w:hAnsi="Times New Roman" w:cs="Times New Roman"/>
          <w:i w:val="0"/>
          <w:color w:val="000000" w:themeColor="text1"/>
          <w:sz w:val="16"/>
          <w:szCs w:val="16"/>
          <w:lang w:val="ru-RU"/>
        </w:rPr>
        <w:t xml:space="preserve">, прошедший на </w:t>
      </w:r>
      <w:r w:rsidRPr="0044524F">
        <w:rPr>
          <w:rFonts w:ascii="Times New Roman" w:hAnsi="Times New Roman" w:cs="Times New Roman"/>
          <w:i w:val="0"/>
          <w:color w:val="000000" w:themeColor="text1"/>
          <w:sz w:val="16"/>
          <w:szCs w:val="16"/>
        </w:rPr>
        <w:t>Caudron</w:t>
      </w:r>
      <w:r w:rsidRPr="0044524F">
        <w:rPr>
          <w:rStyle w:val="85pt"/>
          <w:rFonts w:ascii="Times New Roman" w:eastAsia="Arial Unicode MS" w:hAnsi="Times New Roman" w:cs="Times New Roman"/>
          <w:i w:val="0"/>
          <w:color w:val="000000" w:themeColor="text1"/>
          <w:sz w:val="16"/>
          <w:szCs w:val="16"/>
          <w:lang w:val="ru-RU"/>
        </w:rPr>
        <w:t xml:space="preserve"> 362 ту же </w:t>
      </w:r>
      <w:r w:rsidRPr="0044524F">
        <w:rPr>
          <w:rFonts w:ascii="Times New Roman" w:hAnsi="Times New Roman" w:cs="Times New Roman"/>
          <w:i w:val="0"/>
          <w:color w:val="000000" w:themeColor="text1"/>
          <w:sz w:val="16"/>
          <w:szCs w:val="16"/>
          <w:lang w:val="ru-RU"/>
        </w:rPr>
        <w:t>дистанцию уже со скоростью 333,765 км/ч. Поэтому Сталь-6 был только вторым (15844).</w:t>
      </w:r>
    </w:p>
    <w:p w14:paraId="1F4EDFD2" w14:textId="77777777" w:rsidR="00810511" w:rsidRPr="0044524F" w:rsidRDefault="00810511" w:rsidP="009654CF">
      <w:pPr>
        <w:spacing w:after="0" w:line="240" w:lineRule="auto"/>
        <w:jc w:val="both"/>
        <w:rPr>
          <w:rFonts w:ascii="Times New Roman" w:hAnsi="Times New Roman"/>
          <w:color w:val="000000" w:themeColor="text1"/>
          <w:sz w:val="16"/>
          <w:szCs w:val="16"/>
        </w:rPr>
      </w:pPr>
    </w:p>
    <w:p w14:paraId="2FED3356"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на площади Опера в Берлине нацистами сожжены 20 тысяч книг «неарийского духа» (4962).</w:t>
      </w:r>
    </w:p>
    <w:p w14:paraId="39D73EFD"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198341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May 10 1933 Nazis burn books in Germany (1050).</w:t>
      </w:r>
    </w:p>
    <w:p w14:paraId="171361C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lang w:val="en-US"/>
        </w:rPr>
      </w:pPr>
    </w:p>
    <w:p w14:paraId="5D9BAA3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нацисты начали сжигать книги (1050).</w:t>
      </w:r>
    </w:p>
    <w:p w14:paraId="37DE21C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5FC1A2CE"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10 мая в 1933 году в Берлине перед зданием Государственной оперы и в некоторых других немецких городах произошла варварская акция сожжения национал-социалистами книг, неугодных гитлеровскому режиму. Акция эта планировалась в недрах министерства пропаганды Германии еще в феврале 1933 года. Авторство ее приписывают филологу-германисту, доктору Геббельсу, незадолго до этого назначенному министром пропаганды. названного выше ведомства. Публичное сожжение книг было направлено, во-первых, на запугивание «среднего человека», привыкшего относиться с уважением к печатному слову, во-вторых, на привлечение молодежи на сторону национал-социалистов. Она давала возможность почувствовать молодежи радикализм новой власти, а так же то, что новая власть возлагает на нее большие надежды. Именно студентам предписывалась основная роль в чудовищной акции. Публичные акции сожжения книг проходили во многих, в основном университетских городах страны: Бонне, Франкфурте-на-Майне, Мюнхене. На «празднике костра» обязаны были присутствовать преподаватели и ректоры университетов. Нацисты сожгли на костре книги всемирно известных прогрессивных авторов. Произведения 149 писателей, по мнению власть имущих, содержали «чуждые немцам идеи». Среди них - труды Альберта Эйнштейна, Карла Маркса, сочинения Томаса и Генриха Маннов, Штефана Цвейга, Эриха Кестнера, Зигмунда Фрейда и других. «Праздник костра» послужил отправной точкой введения тотальной цензуры. За годы нацистской диктатуры список запрещенных книг вырос до </w:t>
      </w:r>
      <w:r w:rsidRPr="0044524F">
        <w:rPr>
          <w:rFonts w:ascii="Times New Roman" w:hAnsi="Times New Roman"/>
          <w:color w:val="000000" w:themeColor="text1"/>
          <w:sz w:val="16"/>
          <w:szCs w:val="16"/>
        </w:rPr>
        <w:lastRenderedPageBreak/>
        <w:t>5,5 тысяч произведений. Некоторых авторов запрещают полностью, других частично. Под пресс государственной пропаганды попали и писатели, и поэты, и ученые. В эмиграцию уехали почти все видные писатели - семья Манн (Томас и Генрих), Ремарк, Фейхтвангер, Стефан Георге, Бертольт Брехт. Те же, кто остался, либо перестали писать, либо стали жертвами неизвестных убийц. Судьба немецких эмигрантов тоже сложилась драматично: Курт Тухольский, Карл Ейнштейн, Вальтер Беньямин, Стефан Цвейг добровольно расстались с жизнью. 20 марта 1995 года в Берлине был открыт мемориал «Библиотека». На памятной доске начертаны пророческие слова Генриха Гейне, написавшего еще в 1834 году: «Там, где сжигают книги, в конце сжигают и людей». День книги в Германии отмечается с 1947 года, проводится в день сожжения фашистами в 1933 году книг писателей-гуманистов (14887).</w:t>
      </w:r>
    </w:p>
    <w:p w14:paraId="228FB3CC" w14:textId="77777777" w:rsidR="00810511" w:rsidRPr="0044524F" w:rsidRDefault="00810511" w:rsidP="009654CF">
      <w:pPr>
        <w:spacing w:after="0" w:line="240" w:lineRule="auto"/>
        <w:jc w:val="both"/>
        <w:rPr>
          <w:rFonts w:ascii="Times New Roman" w:hAnsi="Times New Roman"/>
          <w:color w:val="000000" w:themeColor="text1"/>
          <w:sz w:val="16"/>
          <w:szCs w:val="16"/>
        </w:rPr>
      </w:pPr>
    </w:p>
    <w:p w14:paraId="7DF14F5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созданный нацистами Трудовой фронт был объявлен главной организацией всех трудящихся (3186).</w:t>
      </w:r>
    </w:p>
    <w:p w14:paraId="2D7E436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5FEBBAAD"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1933 в Германии создан профашистский профсоюз «Германский трудовой фронт» (4962).</w:t>
      </w:r>
    </w:p>
    <w:p w14:paraId="716561E6"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69B9B3" w14:textId="77777777" w:rsidR="00810511" w:rsidRPr="0044524F" w:rsidRDefault="008105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мая в 1933 году Нельсон Рокфеллер уволил мексиканского художника Диего Риверу, приглашенного для создания стенной росписи нового здания компании RCA. Причиной конфликта стал отказ художника убрать со стены портрет Ленина (14887).</w:t>
      </w:r>
    </w:p>
    <w:p w14:paraId="4805FFB0" w14:textId="77777777" w:rsidR="00810511" w:rsidRPr="0044524F" w:rsidRDefault="00810511" w:rsidP="009654CF">
      <w:pPr>
        <w:spacing w:after="0" w:line="240" w:lineRule="auto"/>
        <w:jc w:val="both"/>
        <w:rPr>
          <w:rFonts w:ascii="Times New Roman" w:hAnsi="Times New Roman"/>
          <w:color w:val="000000" w:themeColor="text1"/>
          <w:sz w:val="16"/>
          <w:szCs w:val="16"/>
        </w:rPr>
      </w:pPr>
    </w:p>
    <w:p w14:paraId="2ECC2B10" w14:textId="77777777" w:rsidR="00E9787D" w:rsidRPr="0044524F" w:rsidRDefault="00E9787D"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99CC4F3" w14:textId="77777777" w:rsidR="00E9787D" w:rsidRPr="0044524F" w:rsidRDefault="00E9787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1149103" w14:textId="77777777" w:rsidR="00E9787D" w:rsidRPr="0044524F" w:rsidRDefault="00E978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мая 1933 Корзинщиков совершил успешный взлет по прямой, далее последовал 2-минутный полет и благополучная по</w:t>
      </w:r>
      <w:r w:rsidRPr="0044524F">
        <w:rPr>
          <w:rFonts w:ascii="Times New Roman" w:hAnsi="Times New Roman"/>
          <w:color w:val="000000" w:themeColor="text1"/>
          <w:sz w:val="16"/>
          <w:szCs w:val="16"/>
        </w:rPr>
        <w:softHyphen/>
        <w:t>садка автожира А-4. 13 мая были выполнены 2 круга над аэродромом на высоте 300 м в течение 10 минут. В период с 14 мая по 2 июня произвели 10 полетов, в том числе один полет на вы</w:t>
      </w:r>
      <w:r w:rsidRPr="0044524F">
        <w:rPr>
          <w:rFonts w:ascii="Times New Roman" w:hAnsi="Times New Roman"/>
          <w:color w:val="000000" w:themeColor="text1"/>
          <w:sz w:val="16"/>
          <w:szCs w:val="16"/>
        </w:rPr>
        <w:softHyphen/>
        <w:t>соту 3360 м. 12 июля ротор переставили на первый опыт</w:t>
      </w:r>
      <w:r w:rsidRPr="0044524F">
        <w:rPr>
          <w:rFonts w:ascii="Times New Roman" w:hAnsi="Times New Roman"/>
          <w:color w:val="000000" w:themeColor="text1"/>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0D0BDE49" w14:textId="77777777" w:rsidR="00E9787D" w:rsidRPr="0044524F" w:rsidRDefault="00E978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видим, испытательные полеты автожиров А-4 проис</w:t>
      </w:r>
      <w:r w:rsidRPr="0044524F">
        <w:rPr>
          <w:rFonts w:ascii="Times New Roman" w:hAnsi="Times New Roman"/>
          <w:color w:val="000000" w:themeColor="text1"/>
          <w:sz w:val="16"/>
          <w:szCs w:val="16"/>
        </w:rPr>
        <w:softHyphen/>
        <w:t>ходили с преодолением многочисленных трудностей. Ле</w:t>
      </w:r>
      <w:r w:rsidRPr="0044524F">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1B5B40DC" w14:textId="77777777" w:rsidR="00E9787D" w:rsidRPr="0044524F" w:rsidRDefault="00E9787D" w:rsidP="009654CF">
      <w:pPr>
        <w:spacing w:after="0" w:line="240" w:lineRule="auto"/>
        <w:jc w:val="both"/>
        <w:rPr>
          <w:rFonts w:ascii="Times New Roman" w:hAnsi="Times New Roman"/>
          <w:color w:val="000000" w:themeColor="text1"/>
          <w:sz w:val="16"/>
          <w:szCs w:val="16"/>
        </w:rPr>
      </w:pPr>
    </w:p>
    <w:p w14:paraId="292EDFDA"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64E6AAB"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95EC5A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мая 1933 г. Ствол № 2 152-мм дальнобойной пушки Б-10 был подан на полигон с завода "Большевик" , его наложили на лафет № 1. Существенным недостатком Б-10 (со штатным лафетом) был медленный подъем и спуск орудия, производившийся вручную. Так, чтобы придать угол возвышения от 0 до +43 требовалось 1 минута 20 секунд, чтобы опустить обратно 55 секунд. В связи с тем, что угол заряжания пушки был близок к 0, это существенно снижало скорострельность орудия (3861).</w:t>
      </w:r>
    </w:p>
    <w:p w14:paraId="13D0DBC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4E8D1C4A"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мая 1933 г. М. Тухачевский на совеща</w:t>
      </w:r>
      <w:r w:rsidRPr="0044524F">
        <w:rPr>
          <w:rFonts w:ascii="Times New Roman" w:hAnsi="Times New Roman"/>
          <w:color w:val="000000" w:themeColor="text1"/>
          <w:sz w:val="16"/>
          <w:szCs w:val="16"/>
        </w:rPr>
        <w:softHyphen/>
        <w:t>нии еще раз подчеркнул, что именно двухбашенные машины Т-26 являются наиболее подходящими для це</w:t>
      </w:r>
      <w:r w:rsidRPr="0044524F">
        <w:rPr>
          <w:rFonts w:ascii="Times New Roman" w:hAnsi="Times New Roman"/>
          <w:color w:val="000000" w:themeColor="text1"/>
          <w:sz w:val="16"/>
          <w:szCs w:val="16"/>
        </w:rPr>
        <w:softHyphen/>
        <w:t>лей сопровождения пехоты, и именно они должны состав</w:t>
      </w:r>
      <w:r w:rsidRPr="0044524F">
        <w:rPr>
          <w:rFonts w:ascii="Times New Roman" w:hAnsi="Times New Roman"/>
          <w:color w:val="000000" w:themeColor="text1"/>
          <w:sz w:val="16"/>
          <w:szCs w:val="16"/>
        </w:rPr>
        <w:softHyphen/>
        <w:t>лять костяк танковых сил. Даже в черновиках штатов меха</w:t>
      </w:r>
      <w:r w:rsidRPr="0044524F">
        <w:rPr>
          <w:rFonts w:ascii="Times New Roman" w:hAnsi="Times New Roman"/>
          <w:color w:val="000000" w:themeColor="text1"/>
          <w:sz w:val="16"/>
          <w:szCs w:val="16"/>
        </w:rPr>
        <w:softHyphen/>
        <w:t>низированных полков, разработанных им в 1932 г., имелась фраза: «Танковый взвод состоит из четырех легких танков, вооруженных пулеметами (или аналогичного числа танкеток) и одного танка усиления, вооруженного пушкой...». Выпуск двухбашенных Т-26 планировался и в 1934 г., но фактически план был скорректирован в пользу выпуска химических, саперных боевых машин и бронированных тя</w:t>
      </w:r>
      <w:r w:rsidRPr="0044524F">
        <w:rPr>
          <w:rFonts w:ascii="Times New Roman" w:hAnsi="Times New Roman"/>
          <w:color w:val="000000" w:themeColor="text1"/>
          <w:sz w:val="16"/>
          <w:szCs w:val="16"/>
        </w:rPr>
        <w:softHyphen/>
        <w:t>гачей-транспортеров вместо пулеметных танков (10733,180).</w:t>
      </w:r>
    </w:p>
    <w:p w14:paraId="16833467" w14:textId="77777777" w:rsidR="00BB0DBE" w:rsidRPr="0044524F" w:rsidRDefault="00BB0DB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27E0E03"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8EC6493"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FDB534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мая 1933 впервые было отчетливо увидено и описано Лох-Несское чудовище (2621,131).</w:t>
      </w:r>
    </w:p>
    <w:p w14:paraId="3C17095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5ACDFEB5"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мая в 1933 году Замечают первое появление Несси – чудовища озера Лох-Несс в Шотландии. В настоящее время зарегистрировано свыше 3 тысяч свидетельств очевидцев (14888).</w:t>
      </w:r>
    </w:p>
    <w:p w14:paraId="2BB1571F" w14:textId="77777777" w:rsidR="000768A2" w:rsidRPr="0044524F" w:rsidRDefault="000768A2" w:rsidP="009654CF">
      <w:pPr>
        <w:spacing w:after="0" w:line="240" w:lineRule="auto"/>
        <w:jc w:val="both"/>
        <w:rPr>
          <w:rFonts w:ascii="Times New Roman" w:hAnsi="Times New Roman"/>
          <w:color w:val="000000" w:themeColor="text1"/>
          <w:sz w:val="16"/>
          <w:szCs w:val="16"/>
        </w:rPr>
      </w:pPr>
    </w:p>
    <w:p w14:paraId="4D681348"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CB894E3"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034993D" w14:textId="77777777" w:rsidR="00197613" w:rsidRPr="0044524F" w:rsidRDefault="001976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мая 1933. Гигант советского самолетостроения "АНТ-14" возобновил круговые полеты над Москвой (18722).</w:t>
      </w:r>
    </w:p>
    <w:p w14:paraId="3CE78BA8" w14:textId="77777777" w:rsidR="00197613" w:rsidRPr="0044524F" w:rsidRDefault="00197613" w:rsidP="009654CF">
      <w:pPr>
        <w:spacing w:after="0" w:line="240" w:lineRule="auto"/>
        <w:jc w:val="both"/>
        <w:rPr>
          <w:rFonts w:ascii="Times New Roman" w:hAnsi="Times New Roman"/>
          <w:color w:val="000000" w:themeColor="text1"/>
          <w:sz w:val="16"/>
          <w:szCs w:val="16"/>
        </w:rPr>
      </w:pPr>
    </w:p>
    <w:p w14:paraId="19E5855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мая 1933 Открылся Центральный клуб Осоавиахима в Тушино (274) на базе высшей парашютной школы (2628,5).</w:t>
      </w:r>
    </w:p>
    <w:p w14:paraId="15396E9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62C2561E" w14:textId="77777777" w:rsidR="005611E5" w:rsidRPr="0044524F" w:rsidRDefault="005611E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мая 1933 г. в Тушино, под Москвой открылся центральный аэроклуб Осоавнахпма СССР, ставший центром массовой подготовки воздушных спорт</w:t>
      </w:r>
      <w:r w:rsidRPr="0044524F">
        <w:rPr>
          <w:rFonts w:ascii="Times New Roman" w:hAnsi="Times New Roman"/>
          <w:color w:val="000000" w:themeColor="text1"/>
          <w:sz w:val="16"/>
          <w:szCs w:val="16"/>
        </w:rPr>
        <w:softHyphen/>
        <w:t>сменов, организатором авиационных соревнований и регистратором все</w:t>
      </w:r>
      <w:r w:rsidRPr="0044524F">
        <w:rPr>
          <w:rFonts w:ascii="Times New Roman" w:hAnsi="Times New Roman"/>
          <w:color w:val="000000" w:themeColor="text1"/>
          <w:sz w:val="16"/>
          <w:szCs w:val="16"/>
        </w:rPr>
        <w:softHyphen/>
        <w:t>союзных рекордов по воем видом воздушного спорта. Он же представ</w:t>
      </w:r>
      <w:r w:rsidRPr="0044524F">
        <w:rPr>
          <w:rFonts w:ascii="Times New Roman" w:hAnsi="Times New Roman"/>
          <w:color w:val="000000" w:themeColor="text1"/>
          <w:sz w:val="16"/>
          <w:szCs w:val="16"/>
        </w:rPr>
        <w:softHyphen/>
        <w:t>ит СССР в ФАИ. До 1939 года цак носил имя секретаря ЦК ВЛКСМ А.В.Косарева, а после был переименован в «имени В.П.Чкалова».</w:t>
      </w:r>
    </w:p>
    <w:p w14:paraId="546EB4A2" w14:textId="77777777" w:rsidR="005611E5" w:rsidRPr="0044524F" w:rsidRDefault="005611E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12 мая 1933 г./ (23370).</w:t>
      </w:r>
    </w:p>
    <w:p w14:paraId="36148EBB" w14:textId="77777777" w:rsidR="005611E5" w:rsidRPr="0044524F" w:rsidRDefault="005611E5" w:rsidP="009654CF">
      <w:pPr>
        <w:spacing w:after="0" w:line="240" w:lineRule="auto"/>
        <w:jc w:val="both"/>
        <w:rPr>
          <w:rFonts w:ascii="Times New Roman" w:hAnsi="Times New Roman"/>
          <w:color w:val="000000" w:themeColor="text1"/>
          <w:sz w:val="16"/>
          <w:szCs w:val="16"/>
        </w:rPr>
      </w:pPr>
    </w:p>
    <w:p w14:paraId="575466BA"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BF5DF89"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28D6F2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12 и 18 мая 1933. Из протокола заседания Политбюро N 138, 1933 г.</w:t>
      </w:r>
    </w:p>
    <w:p w14:paraId="06EED41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борьбе с саранчой в Средней Азии </w:t>
      </w:r>
    </w:p>
    <w:p w14:paraId="134C09F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Ввиду угрожающего залета саранчи, особенно из Афганистана, на всю территорию Средней Азии разрешить командованию САВО по мере необходимости использовать воинские части на помощь местному населению по борьбе с саранчой. </w:t>
      </w:r>
    </w:p>
    <w:p w14:paraId="6726563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 целях усиления борьбы химическим способом немедленно перебросить химический батальон в распоряжение командования САВО (11652).</w:t>
      </w:r>
    </w:p>
    <w:p w14:paraId="44C6F16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1F280E61"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EBC72C8"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8C50C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мая 1933 в США приняли закон об общественных работах. установили гарантированную оплату и заняли 3 млн. чел. (3481).</w:t>
      </w:r>
    </w:p>
    <w:p w14:paraId="6804A2C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14E4E809"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CA668E7"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5D83D28" w14:textId="77777777" w:rsidR="00E9787D" w:rsidRPr="0044524F" w:rsidRDefault="00E9787D"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13 мая 1933 г. один МБР-4 с двигателем с М-34 его поднял в воздух эки</w:t>
      </w:r>
      <w:r w:rsidRPr="0044524F">
        <w:rPr>
          <w:rFonts w:ascii="Times New Roman" w:hAnsi="Times New Roman"/>
          <w:color w:val="000000" w:themeColor="text1"/>
          <w:sz w:val="16"/>
          <w:szCs w:val="16"/>
          <w:lang w:eastAsia="ru-RU" w:bidi="ru-RU"/>
        </w:rPr>
        <w:softHyphen/>
        <w:t>паж в составе летчика-испытателя Б.Л. Бухгольца и летнаба инженера М.С. Владимирова. В первом же полете «об</w:t>
      </w:r>
      <w:r w:rsidRPr="0044524F">
        <w:rPr>
          <w:rFonts w:ascii="Times New Roman" w:hAnsi="Times New Roman"/>
          <w:color w:val="000000" w:themeColor="text1"/>
          <w:sz w:val="16"/>
          <w:szCs w:val="16"/>
          <w:lang w:eastAsia="ru-RU" w:bidi="ru-RU"/>
        </w:rPr>
        <w:softHyphen/>
        <w:t>наружилась непригодность масляного радиатора из-за высокой температуры масла». В целом же испытания по</w:t>
      </w:r>
      <w:r w:rsidRPr="0044524F">
        <w:rPr>
          <w:rFonts w:ascii="Times New Roman" w:hAnsi="Times New Roman"/>
          <w:color w:val="000000" w:themeColor="text1"/>
          <w:sz w:val="16"/>
          <w:szCs w:val="16"/>
          <w:lang w:eastAsia="ru-RU" w:bidi="ru-RU"/>
        </w:rPr>
        <w:softHyphen/>
        <w:t>казали, что особых преимуществ у МБР-4 с новым двига</w:t>
      </w:r>
      <w:r w:rsidRPr="0044524F">
        <w:rPr>
          <w:rFonts w:ascii="Times New Roman" w:hAnsi="Times New Roman"/>
          <w:color w:val="000000" w:themeColor="text1"/>
          <w:sz w:val="16"/>
          <w:szCs w:val="16"/>
          <w:lang w:eastAsia="ru-RU" w:bidi="ru-RU"/>
        </w:rPr>
        <w:softHyphen/>
        <w:t>телем нет (20325).</w:t>
      </w:r>
    </w:p>
    <w:p w14:paraId="23AEE13A" w14:textId="77777777" w:rsidR="00E9787D" w:rsidRPr="0044524F" w:rsidRDefault="00E9787D" w:rsidP="009654CF">
      <w:pPr>
        <w:spacing w:after="0" w:line="240" w:lineRule="auto"/>
        <w:jc w:val="both"/>
        <w:rPr>
          <w:rFonts w:ascii="Times New Roman" w:hAnsi="Times New Roman"/>
          <w:color w:val="000000" w:themeColor="text1"/>
          <w:sz w:val="16"/>
          <w:szCs w:val="16"/>
          <w:lang w:eastAsia="ru-RU" w:bidi="ru-RU"/>
        </w:rPr>
      </w:pPr>
    </w:p>
    <w:p w14:paraId="1926ADD5"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мая 1933 г. в Таганроге приняли на испытания в ОМО НИИ ВВС образец А1-М11 -военного варианта Ш-2 и в тот же день перегнана в Крым; испытания шли до 23 мая. Она отличалась наличием фотоаппарата и посадочных мест под радиостанцию 14СК и динамо-машину (генератор) с ветрянкой к ней; вооружение отсутствовало. Крес</w:t>
      </w:r>
      <w:r w:rsidRPr="00142305">
        <w:rPr>
          <w:rFonts w:ascii="Times New Roman" w:hAnsi="Times New Roman"/>
          <w:color w:val="0070C0"/>
          <w:sz w:val="16"/>
          <w:szCs w:val="16"/>
        </w:rPr>
        <w:softHyphen/>
        <w:t>ла стояли такие же, как на гражданском варианте; размещение в них парашюта не предусматривалось. Как и другие ам</w:t>
      </w:r>
      <w:r w:rsidRPr="00142305">
        <w:rPr>
          <w:rFonts w:ascii="Times New Roman" w:hAnsi="Times New Roman"/>
          <w:color w:val="0070C0"/>
          <w:sz w:val="16"/>
          <w:szCs w:val="16"/>
        </w:rPr>
        <w:softHyphen/>
        <w:t>фибии выпуска 1933 г., данный экземпляр комплектовался огнетушителем «Тай</w:t>
      </w:r>
      <w:r w:rsidRPr="00142305">
        <w:rPr>
          <w:rFonts w:ascii="Times New Roman" w:hAnsi="Times New Roman"/>
          <w:color w:val="0070C0"/>
          <w:sz w:val="16"/>
          <w:szCs w:val="16"/>
        </w:rPr>
        <w:softHyphen/>
        <w:t>фун». Вес пустого А1 равнялся 671 кг, полётный - 936 кг.</w:t>
      </w:r>
    </w:p>
    <w:p w14:paraId="7BE773BB"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Получили максимальную скорость 134 км/ч и практический потолок 2400 м. По заключению специалистов ОМО, как военный учебный самолёт А1 был не</w:t>
      </w:r>
      <w:r w:rsidRPr="00142305">
        <w:rPr>
          <w:rFonts w:ascii="Times New Roman" w:hAnsi="Times New Roman"/>
          <w:color w:val="0070C0"/>
          <w:sz w:val="16"/>
          <w:szCs w:val="16"/>
        </w:rPr>
        <w:softHyphen/>
        <w:t>пригоден из-за плохой скороподъёмнос</w:t>
      </w:r>
      <w:r w:rsidRPr="00142305">
        <w:rPr>
          <w:rFonts w:ascii="Times New Roman" w:hAnsi="Times New Roman"/>
          <w:color w:val="0070C0"/>
          <w:sz w:val="16"/>
          <w:szCs w:val="16"/>
        </w:rPr>
        <w:softHyphen/>
        <w:t>ти и недостаточной мореходности. Также обратили внимание на быстрое появле-</w:t>
      </w:r>
    </w:p>
    <w:p w14:paraId="794FC557"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ние люфтов в соединениях, требующее постоянного надзора. Продольную устой</w:t>
      </w:r>
      <w:r w:rsidRPr="00142305">
        <w:rPr>
          <w:rFonts w:ascii="Times New Roman" w:hAnsi="Times New Roman"/>
          <w:color w:val="0070C0"/>
          <w:sz w:val="16"/>
          <w:szCs w:val="16"/>
        </w:rPr>
        <w:softHyphen/>
        <w:t>чивость сочли недостаточной и решили провести дополнительные испытания в этом отношении.</w:t>
      </w:r>
    </w:p>
    <w:p w14:paraId="045296EA"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тем, отмечалось, что самолёт прост в пилотировании, несложен в экс</w:t>
      </w:r>
      <w:r w:rsidRPr="00142305">
        <w:rPr>
          <w:rFonts w:ascii="Times New Roman" w:hAnsi="Times New Roman"/>
          <w:color w:val="0070C0"/>
          <w:sz w:val="16"/>
          <w:szCs w:val="16"/>
        </w:rPr>
        <w:softHyphen/>
        <w:t>плуатации, прост и дёшев в производст</w:t>
      </w:r>
      <w:r w:rsidRPr="00142305">
        <w:rPr>
          <w:rFonts w:ascii="Times New Roman" w:hAnsi="Times New Roman"/>
          <w:color w:val="0070C0"/>
          <w:sz w:val="16"/>
          <w:szCs w:val="16"/>
        </w:rPr>
        <w:softHyphen/>
        <w:t>ве. Лётчик имел хороший обзор в полёте. Амфибию отличала высокая весовая от</w:t>
      </w:r>
      <w:r w:rsidRPr="00142305">
        <w:rPr>
          <w:rFonts w:ascii="Times New Roman" w:hAnsi="Times New Roman"/>
          <w:color w:val="0070C0"/>
          <w:sz w:val="16"/>
          <w:szCs w:val="16"/>
        </w:rPr>
        <w:softHyphen/>
        <w:t>дача, то есть значительная по отношению к весу конструкции полезная нагрузка, а также хороший доступ ко всем узлам. Машина легко собиралась и разбиралась. Со сложенным крылом Ш-2 занимал мало места.</w:t>
      </w:r>
    </w:p>
    <w:p w14:paraId="6F744FAB"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Кабина была достаточно просторной, хотя высота приборной доски мешала пилоту большого роста убрать колени. Низкие спинки сидений не обеспечивали достаточной опоры спине.</w:t>
      </w:r>
    </w:p>
    <w:p w14:paraId="5C2149F5"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Специалисты ОМО рекомендовали все-таки смонтировать вооружение и оснастить амфибию мотором М-48. Это был семицилиндровый двигатель, уни</w:t>
      </w:r>
      <w:r w:rsidRPr="00142305">
        <w:rPr>
          <w:rFonts w:ascii="Times New Roman" w:hAnsi="Times New Roman"/>
          <w:color w:val="0070C0"/>
          <w:sz w:val="16"/>
          <w:szCs w:val="16"/>
        </w:rPr>
        <w:softHyphen/>
        <w:t>фицированный с М-11. Но довести М-48 до серийного производства не смогли, и этот совет выполнен не был.</w:t>
      </w:r>
    </w:p>
    <w:p w14:paraId="041F1925"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дальнейшего изучения пригоднос</w:t>
      </w:r>
      <w:r w:rsidRPr="00142305">
        <w:rPr>
          <w:rFonts w:ascii="Times New Roman" w:hAnsi="Times New Roman"/>
          <w:color w:val="0070C0"/>
          <w:sz w:val="16"/>
          <w:szCs w:val="16"/>
        </w:rPr>
        <w:softHyphen/>
        <w:t>ти Ш-2 к использованию в ВВС предпи</w:t>
      </w:r>
      <w:r w:rsidRPr="00142305">
        <w:rPr>
          <w:rFonts w:ascii="Times New Roman" w:hAnsi="Times New Roman"/>
          <w:color w:val="0070C0"/>
          <w:sz w:val="16"/>
          <w:szCs w:val="16"/>
        </w:rPr>
        <w:softHyphen/>
        <w:t>сали провести войсковые испытания, сформировав звено из трёх самолётов. Проходили ли они на самом деле, уста</w:t>
      </w:r>
      <w:r w:rsidRPr="00142305">
        <w:rPr>
          <w:rFonts w:ascii="Times New Roman" w:hAnsi="Times New Roman"/>
          <w:color w:val="0070C0"/>
          <w:sz w:val="16"/>
          <w:szCs w:val="16"/>
        </w:rPr>
        <w:softHyphen/>
        <w:t>новить не удалось.</w:t>
      </w:r>
    </w:p>
    <w:p w14:paraId="38144B73"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Поставки Ш-2 в подразделения ВВС осуществлялись в 1932-1934 гг., но ком</w:t>
      </w:r>
      <w:r w:rsidRPr="00142305">
        <w:rPr>
          <w:rFonts w:ascii="Times New Roman" w:hAnsi="Times New Roman"/>
          <w:color w:val="0070C0"/>
          <w:sz w:val="16"/>
          <w:szCs w:val="16"/>
        </w:rPr>
        <w:softHyphen/>
        <w:t>плектация этих машин была той же, что и для гражданской авиации (24952).</w:t>
      </w:r>
    </w:p>
    <w:p w14:paraId="7D9F5EA7" w14:textId="77777777" w:rsidR="00493616" w:rsidRPr="00142305" w:rsidRDefault="00493616" w:rsidP="00493616">
      <w:pPr>
        <w:spacing w:after="0" w:line="240" w:lineRule="auto"/>
        <w:jc w:val="both"/>
        <w:rPr>
          <w:rFonts w:ascii="Times New Roman" w:hAnsi="Times New Roman"/>
          <w:color w:val="0070C0"/>
          <w:sz w:val="16"/>
          <w:szCs w:val="16"/>
        </w:rPr>
      </w:pPr>
    </w:p>
    <w:p w14:paraId="65DAB678" w14:textId="77777777" w:rsidR="00E9787D" w:rsidRPr="0044524F" w:rsidRDefault="00E978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мая 1933 Корзинщиков на А-4 были выполнены 2 круга над аэродромом на высоте 300 м в течение 10 минут. В период с 14 мая по 2 июня произвели 10 полетов, в том числе один полет на вы</w:t>
      </w:r>
      <w:r w:rsidRPr="0044524F">
        <w:rPr>
          <w:rFonts w:ascii="Times New Roman" w:hAnsi="Times New Roman"/>
          <w:color w:val="000000" w:themeColor="text1"/>
          <w:sz w:val="16"/>
          <w:szCs w:val="16"/>
        </w:rPr>
        <w:softHyphen/>
        <w:t>соту 3360 м. 12 июля ротор переставили на первый опыт</w:t>
      </w:r>
      <w:r w:rsidRPr="0044524F">
        <w:rPr>
          <w:rFonts w:ascii="Times New Roman" w:hAnsi="Times New Roman"/>
          <w:color w:val="000000" w:themeColor="text1"/>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129714B4" w14:textId="77777777" w:rsidR="00E9787D" w:rsidRPr="0044524F" w:rsidRDefault="00E978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видим, испытательные полеты автожиров А-4 проис</w:t>
      </w:r>
      <w:r w:rsidRPr="0044524F">
        <w:rPr>
          <w:rFonts w:ascii="Times New Roman" w:hAnsi="Times New Roman"/>
          <w:color w:val="000000" w:themeColor="text1"/>
          <w:sz w:val="16"/>
          <w:szCs w:val="16"/>
        </w:rPr>
        <w:softHyphen/>
        <w:t>ходили с преодолением многочисленных трудностей. Ле</w:t>
      </w:r>
      <w:r w:rsidRPr="0044524F">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49020193" w14:textId="77777777" w:rsidR="00E9787D" w:rsidRPr="0044524F" w:rsidRDefault="00E9787D" w:rsidP="009654CF">
      <w:pPr>
        <w:spacing w:after="0" w:line="240" w:lineRule="auto"/>
        <w:jc w:val="both"/>
        <w:rPr>
          <w:rFonts w:ascii="Times New Roman" w:hAnsi="Times New Roman"/>
          <w:color w:val="000000" w:themeColor="text1"/>
          <w:sz w:val="16"/>
          <w:szCs w:val="16"/>
        </w:rPr>
      </w:pPr>
    </w:p>
    <w:p w14:paraId="0713324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мая 1933 года Начальник НИИ ВВС Алкснис утвердил Ведомость по эталонам на самолеты, оборудование и предметы вооружения ВВС.</w:t>
      </w:r>
    </w:p>
    <w:p w14:paraId="067C5E6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tblGrid>
      <w:tr w:rsidR="004E10C1" w:rsidRPr="0044524F" w14:paraId="05DAFBAA" w14:textId="77777777">
        <w:tc>
          <w:tcPr>
            <w:tcW w:w="2254" w:type="dxa"/>
          </w:tcPr>
          <w:p w14:paraId="6C3F61D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69AA5E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Наличие эталонов и становленные сроки готовности</w:t>
            </w:r>
          </w:p>
        </w:tc>
      </w:tr>
      <w:tr w:rsidR="004E10C1" w:rsidRPr="0044524F" w14:paraId="0B2BB02A" w14:textId="77777777">
        <w:tc>
          <w:tcPr>
            <w:tcW w:w="2254" w:type="dxa"/>
          </w:tcPr>
          <w:p w14:paraId="3CF5687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ТБ3-М34</w:t>
            </w:r>
          </w:p>
        </w:tc>
        <w:tc>
          <w:tcPr>
            <w:tcW w:w="2254" w:type="dxa"/>
          </w:tcPr>
          <w:p w14:paraId="2DB4C66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30.05.33 г.</w:t>
            </w:r>
          </w:p>
        </w:tc>
      </w:tr>
      <w:tr w:rsidR="004E10C1" w:rsidRPr="0044524F" w14:paraId="0223024E" w14:textId="77777777">
        <w:tc>
          <w:tcPr>
            <w:tcW w:w="2254" w:type="dxa"/>
          </w:tcPr>
          <w:p w14:paraId="2611F9D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Образцовый с-т ТБ4-М34</w:t>
            </w:r>
          </w:p>
        </w:tc>
        <w:tc>
          <w:tcPr>
            <w:tcW w:w="2254" w:type="dxa"/>
          </w:tcPr>
          <w:p w14:paraId="1AA9E0D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1.07 по 1.08.33 г.</w:t>
            </w:r>
          </w:p>
        </w:tc>
      </w:tr>
      <w:tr w:rsidR="004E10C1" w:rsidRPr="0044524F" w14:paraId="222ECE36" w14:textId="77777777">
        <w:tc>
          <w:tcPr>
            <w:tcW w:w="2254" w:type="dxa"/>
          </w:tcPr>
          <w:p w14:paraId="141C234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Образцовый с-т МИ3-М34</w:t>
            </w:r>
          </w:p>
        </w:tc>
        <w:tc>
          <w:tcPr>
            <w:tcW w:w="2254" w:type="dxa"/>
          </w:tcPr>
          <w:p w14:paraId="16825CC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1.07.33 г.</w:t>
            </w:r>
          </w:p>
        </w:tc>
      </w:tr>
      <w:tr w:rsidR="004E10C1" w:rsidRPr="0044524F" w14:paraId="4E559110" w14:textId="77777777">
        <w:tc>
          <w:tcPr>
            <w:tcW w:w="2254" w:type="dxa"/>
          </w:tcPr>
          <w:p w14:paraId="78A9A7C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tc>
        <w:tc>
          <w:tcPr>
            <w:tcW w:w="2254" w:type="dxa"/>
          </w:tcPr>
          <w:p w14:paraId="1F95BBE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1.06.33 г.</w:t>
            </w:r>
          </w:p>
        </w:tc>
      </w:tr>
      <w:tr w:rsidR="004E10C1" w:rsidRPr="0044524F" w14:paraId="69DD4B19" w14:textId="77777777">
        <w:tc>
          <w:tcPr>
            <w:tcW w:w="2254" w:type="dxa"/>
          </w:tcPr>
          <w:p w14:paraId="43AAE2F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М-17</w:t>
            </w:r>
          </w:p>
        </w:tc>
        <w:tc>
          <w:tcPr>
            <w:tcW w:w="2254" w:type="dxa"/>
          </w:tcPr>
          <w:p w14:paraId="0DD2C50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1.06.33 г.</w:t>
            </w:r>
          </w:p>
        </w:tc>
      </w:tr>
      <w:tr w:rsidR="004E10C1" w:rsidRPr="0044524F" w14:paraId="4D5DF8AE" w14:textId="77777777">
        <w:tc>
          <w:tcPr>
            <w:tcW w:w="2254" w:type="dxa"/>
          </w:tcPr>
          <w:p w14:paraId="6996E8B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 М-11</w:t>
            </w:r>
          </w:p>
        </w:tc>
        <w:tc>
          <w:tcPr>
            <w:tcW w:w="2254" w:type="dxa"/>
          </w:tcPr>
          <w:p w14:paraId="5D6A2D7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1.05.33 г.</w:t>
            </w:r>
          </w:p>
        </w:tc>
      </w:tr>
      <w:tr w:rsidR="004E10C1" w:rsidRPr="0044524F" w14:paraId="6C75B588" w14:textId="77777777">
        <w:tc>
          <w:tcPr>
            <w:tcW w:w="2254" w:type="dxa"/>
          </w:tcPr>
          <w:p w14:paraId="291A00A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 М-17</w:t>
            </w:r>
          </w:p>
        </w:tc>
        <w:tc>
          <w:tcPr>
            <w:tcW w:w="2254" w:type="dxa"/>
          </w:tcPr>
          <w:p w14:paraId="6596FD0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15.05.33 г.</w:t>
            </w:r>
          </w:p>
        </w:tc>
      </w:tr>
      <w:tr w:rsidR="004E10C1" w:rsidRPr="0044524F" w14:paraId="126FA282" w14:textId="77777777">
        <w:tc>
          <w:tcPr>
            <w:tcW w:w="2254" w:type="dxa"/>
          </w:tcPr>
          <w:p w14:paraId="7AC200E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М-17</w:t>
            </w:r>
          </w:p>
        </w:tc>
        <w:tc>
          <w:tcPr>
            <w:tcW w:w="2254" w:type="dxa"/>
          </w:tcPr>
          <w:p w14:paraId="7FA9069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10.05.33 г.</w:t>
            </w:r>
          </w:p>
        </w:tc>
      </w:tr>
      <w:tr w:rsidR="004E10C1" w:rsidRPr="0044524F" w14:paraId="6AFA84FD" w14:textId="77777777">
        <w:tc>
          <w:tcPr>
            <w:tcW w:w="2254" w:type="dxa"/>
          </w:tcPr>
          <w:p w14:paraId="5FBA173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М-22</w:t>
            </w:r>
          </w:p>
        </w:tc>
        <w:tc>
          <w:tcPr>
            <w:tcW w:w="2254" w:type="dxa"/>
          </w:tcPr>
          <w:p w14:paraId="011A59F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15.05.33 г.</w:t>
            </w:r>
          </w:p>
        </w:tc>
      </w:tr>
      <w:tr w:rsidR="004E10C1" w:rsidRPr="0044524F" w14:paraId="188B9395" w14:textId="77777777">
        <w:tc>
          <w:tcPr>
            <w:tcW w:w="2254" w:type="dxa"/>
          </w:tcPr>
          <w:p w14:paraId="27CCCE7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Р5-а М-17</w:t>
            </w:r>
          </w:p>
        </w:tc>
        <w:tc>
          <w:tcPr>
            <w:tcW w:w="2254" w:type="dxa"/>
          </w:tcPr>
          <w:p w14:paraId="771916C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1.08.33 г.</w:t>
            </w:r>
          </w:p>
        </w:tc>
      </w:tr>
      <w:tr w:rsidR="004E10C1" w:rsidRPr="0044524F" w14:paraId="3BAAA503" w14:textId="77777777">
        <w:tc>
          <w:tcPr>
            <w:tcW w:w="2254" w:type="dxa"/>
          </w:tcPr>
          <w:p w14:paraId="3DA9731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 штурмовик</w:t>
            </w:r>
          </w:p>
        </w:tc>
        <w:tc>
          <w:tcPr>
            <w:tcW w:w="2254" w:type="dxa"/>
          </w:tcPr>
          <w:p w14:paraId="28B17A3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Эталоном на 1933 г.</w:t>
            </w:r>
          </w:p>
        </w:tc>
      </w:tr>
      <w:tr w:rsidR="004E10C1" w:rsidRPr="0044524F" w14:paraId="60C2DCE3" w14:textId="77777777">
        <w:tc>
          <w:tcPr>
            <w:tcW w:w="2254" w:type="dxa"/>
          </w:tcPr>
          <w:p w14:paraId="1C8948C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9BA726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оставить самолет,</w:t>
            </w:r>
          </w:p>
        </w:tc>
      </w:tr>
      <w:tr w:rsidR="004E10C1" w:rsidRPr="0044524F" w14:paraId="1994F7C7" w14:textId="77777777">
        <w:tc>
          <w:tcPr>
            <w:tcW w:w="2254" w:type="dxa"/>
          </w:tcPr>
          <w:p w14:paraId="2EA0CEA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A249C8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предъявленный з-дом</w:t>
            </w:r>
          </w:p>
        </w:tc>
      </w:tr>
      <w:tr w:rsidR="004E10C1" w:rsidRPr="0044524F" w14:paraId="52F7AFCA" w14:textId="77777777">
        <w:tc>
          <w:tcPr>
            <w:tcW w:w="2254" w:type="dxa"/>
          </w:tcPr>
          <w:p w14:paraId="02F24AE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42FA5C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 1 в НИИ на испытан.</w:t>
            </w:r>
          </w:p>
        </w:tc>
      </w:tr>
      <w:tr w:rsidR="004E10C1" w:rsidRPr="0044524F" w14:paraId="7676DC30" w14:textId="77777777">
        <w:tc>
          <w:tcPr>
            <w:tcW w:w="2254" w:type="dxa"/>
          </w:tcPr>
          <w:p w14:paraId="031FC9D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ЗЕТ М-22</w:t>
            </w:r>
          </w:p>
        </w:tc>
        <w:tc>
          <w:tcPr>
            <w:tcW w:w="2254" w:type="dxa"/>
          </w:tcPr>
          <w:p w14:paraId="758E7DA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30.05.33 г.</w:t>
            </w:r>
          </w:p>
        </w:tc>
      </w:tr>
      <w:tr w:rsidR="004E10C1" w:rsidRPr="0044524F" w14:paraId="66E2697F" w14:textId="77777777">
        <w:tc>
          <w:tcPr>
            <w:tcW w:w="2254" w:type="dxa"/>
          </w:tcPr>
          <w:p w14:paraId="48EA05A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4E817B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предъявляется образц.</w:t>
            </w:r>
          </w:p>
        </w:tc>
      </w:tr>
      <w:tr w:rsidR="004E10C1" w:rsidRPr="0044524F" w14:paraId="1C230B25" w14:textId="77777777">
        <w:tc>
          <w:tcPr>
            <w:tcW w:w="2254" w:type="dxa"/>
          </w:tcPr>
          <w:p w14:paraId="16F618D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A2297B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на испытание в</w:t>
            </w:r>
          </w:p>
        </w:tc>
      </w:tr>
      <w:tr w:rsidR="004E10C1" w:rsidRPr="0044524F" w14:paraId="4184A013" w14:textId="77777777">
        <w:tc>
          <w:tcPr>
            <w:tcW w:w="2254" w:type="dxa"/>
          </w:tcPr>
          <w:p w14:paraId="076F3ED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1C9B07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w:t>
            </w:r>
          </w:p>
        </w:tc>
      </w:tr>
      <w:tr w:rsidR="004E10C1" w:rsidRPr="0044524F" w14:paraId="1655FE72" w14:textId="77777777">
        <w:tc>
          <w:tcPr>
            <w:tcW w:w="2254" w:type="dxa"/>
          </w:tcPr>
          <w:p w14:paraId="17FDCBA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 М-11</w:t>
            </w:r>
          </w:p>
        </w:tc>
        <w:tc>
          <w:tcPr>
            <w:tcW w:w="2254" w:type="dxa"/>
          </w:tcPr>
          <w:p w14:paraId="7E7980F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 предъявлен в</w:t>
            </w:r>
          </w:p>
        </w:tc>
      </w:tr>
      <w:tr w:rsidR="004E10C1" w:rsidRPr="0044524F" w14:paraId="73D996B8" w14:textId="77777777">
        <w:tc>
          <w:tcPr>
            <w:tcW w:w="2254" w:type="dxa"/>
          </w:tcPr>
          <w:p w14:paraId="7C0F063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76DA18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и испытан.</w:t>
            </w:r>
          </w:p>
        </w:tc>
      </w:tr>
      <w:tr w:rsidR="004E10C1" w:rsidRPr="0044524F" w14:paraId="017C3D29" w14:textId="77777777">
        <w:tc>
          <w:tcPr>
            <w:tcW w:w="2254" w:type="dxa"/>
          </w:tcPr>
          <w:p w14:paraId="7D780E4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М-34</w:t>
            </w:r>
          </w:p>
        </w:tc>
        <w:tc>
          <w:tcPr>
            <w:tcW w:w="2254" w:type="dxa"/>
          </w:tcPr>
          <w:p w14:paraId="01C86FF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виду отказа </w:t>
            </w:r>
          </w:p>
        </w:tc>
      </w:tr>
      <w:tr w:rsidR="004E10C1" w:rsidRPr="0044524F" w14:paraId="71691F52" w14:textId="77777777">
        <w:tc>
          <w:tcPr>
            <w:tcW w:w="2254" w:type="dxa"/>
          </w:tcPr>
          <w:p w14:paraId="16430CF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25560E2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промышленности от</w:t>
            </w:r>
          </w:p>
        </w:tc>
      </w:tr>
      <w:tr w:rsidR="004E10C1" w:rsidRPr="0044524F" w14:paraId="1DDF01A3" w14:textId="77777777">
        <w:tc>
          <w:tcPr>
            <w:tcW w:w="2254" w:type="dxa"/>
          </w:tcPr>
          <w:p w14:paraId="68E3918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7D54160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представления эталона</w:t>
            </w:r>
          </w:p>
        </w:tc>
      </w:tr>
      <w:tr w:rsidR="004E10C1" w:rsidRPr="0044524F" w14:paraId="031EC93B" w14:textId="77777777">
        <w:tc>
          <w:tcPr>
            <w:tcW w:w="2254" w:type="dxa"/>
          </w:tcPr>
          <w:p w14:paraId="0F4E891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2EDAD5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этого самолета и</w:t>
            </w:r>
          </w:p>
        </w:tc>
      </w:tr>
      <w:tr w:rsidR="004E10C1" w:rsidRPr="0044524F" w14:paraId="095A1EA7" w14:textId="77777777">
        <w:tc>
          <w:tcPr>
            <w:tcW w:w="2254" w:type="dxa"/>
          </w:tcPr>
          <w:p w14:paraId="4F1A96E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4A1B034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постройки его в 1933 г.</w:t>
            </w:r>
          </w:p>
        </w:tc>
      </w:tr>
      <w:tr w:rsidR="004E10C1" w:rsidRPr="0044524F" w14:paraId="55AAC842" w14:textId="77777777">
        <w:tc>
          <w:tcPr>
            <w:tcW w:w="2254" w:type="dxa"/>
          </w:tcPr>
          <w:p w14:paraId="6156AE4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5569C4A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поставить в</w:t>
            </w:r>
          </w:p>
        </w:tc>
      </w:tr>
      <w:tr w:rsidR="004E10C1" w:rsidRPr="0044524F" w14:paraId="49CEC893" w14:textId="77777777">
        <w:tc>
          <w:tcPr>
            <w:tcW w:w="2254" w:type="dxa"/>
          </w:tcPr>
          <w:p w14:paraId="13D17AA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4" w:type="dxa"/>
          </w:tcPr>
          <w:p w14:paraId="665AF0A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правительстве (3058).</w:t>
            </w:r>
          </w:p>
        </w:tc>
      </w:tr>
    </w:tbl>
    <w:p w14:paraId="1CF1990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Основание: Протокол заседания у зам. начальника ВВС от 21.04.33 года.</w:t>
      </w:r>
    </w:p>
    <w:p w14:paraId="7B8965E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Предметы вооружения.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4524F" w14:paraId="7D0ECF2B" w14:textId="77777777">
        <w:tc>
          <w:tcPr>
            <w:tcW w:w="2818" w:type="dxa"/>
          </w:tcPr>
          <w:p w14:paraId="61175B7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АО-10</w:t>
            </w:r>
          </w:p>
        </w:tc>
        <w:tc>
          <w:tcPr>
            <w:tcW w:w="2818" w:type="dxa"/>
          </w:tcPr>
          <w:p w14:paraId="581D749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2E08F823" w14:textId="77777777">
        <w:tc>
          <w:tcPr>
            <w:tcW w:w="2818" w:type="dxa"/>
          </w:tcPr>
          <w:p w14:paraId="3C2EB0A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АО-8</w:t>
            </w:r>
          </w:p>
        </w:tc>
        <w:tc>
          <w:tcPr>
            <w:tcW w:w="2818" w:type="dxa"/>
          </w:tcPr>
          <w:p w14:paraId="663C2FF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с вооружения</w:t>
            </w:r>
          </w:p>
        </w:tc>
      </w:tr>
      <w:tr w:rsidR="004E10C1" w:rsidRPr="0044524F" w14:paraId="25BDA2EF" w14:textId="77777777">
        <w:tc>
          <w:tcPr>
            <w:tcW w:w="2818" w:type="dxa"/>
          </w:tcPr>
          <w:p w14:paraId="292435A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АФ-50</w:t>
            </w:r>
          </w:p>
        </w:tc>
        <w:tc>
          <w:tcPr>
            <w:tcW w:w="2818" w:type="dxa"/>
          </w:tcPr>
          <w:p w14:paraId="6D2B007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3F795FFF" w14:textId="77777777">
        <w:tc>
          <w:tcPr>
            <w:tcW w:w="2818" w:type="dxa"/>
          </w:tcPr>
          <w:p w14:paraId="77206C3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АФ-32</w:t>
            </w:r>
          </w:p>
        </w:tc>
        <w:tc>
          <w:tcPr>
            <w:tcW w:w="2818" w:type="dxa"/>
          </w:tcPr>
          <w:p w14:paraId="31E5299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с производства</w:t>
            </w:r>
          </w:p>
        </w:tc>
      </w:tr>
      <w:tr w:rsidR="004E10C1" w:rsidRPr="0044524F" w14:paraId="2B366AE4" w14:textId="77777777">
        <w:tc>
          <w:tcPr>
            <w:tcW w:w="2818" w:type="dxa"/>
          </w:tcPr>
          <w:p w14:paraId="2E6480D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АФ-100</w:t>
            </w:r>
          </w:p>
        </w:tc>
        <w:tc>
          <w:tcPr>
            <w:tcW w:w="2818" w:type="dxa"/>
          </w:tcPr>
          <w:p w14:paraId="60AEC13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783B013E" w14:textId="77777777">
        <w:tc>
          <w:tcPr>
            <w:tcW w:w="2818" w:type="dxa"/>
          </w:tcPr>
          <w:p w14:paraId="61AF6A7E"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2195506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w:t>
            </w:r>
          </w:p>
        </w:tc>
      </w:tr>
      <w:tr w:rsidR="004E10C1" w:rsidRPr="0044524F" w14:paraId="50C8F07E" w14:textId="77777777">
        <w:tc>
          <w:tcPr>
            <w:tcW w:w="2818" w:type="dxa"/>
          </w:tcPr>
          <w:p w14:paraId="0AABA8B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673BA8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будут на 1934 г.</w:t>
            </w:r>
          </w:p>
        </w:tc>
      </w:tr>
      <w:tr w:rsidR="004E10C1" w:rsidRPr="0044524F" w14:paraId="119D0DC5" w14:textId="77777777">
        <w:tc>
          <w:tcPr>
            <w:tcW w:w="2818" w:type="dxa"/>
          </w:tcPr>
          <w:p w14:paraId="47BEE50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АФ-82</w:t>
            </w:r>
          </w:p>
        </w:tc>
        <w:tc>
          <w:tcPr>
            <w:tcW w:w="2818" w:type="dxa"/>
          </w:tcPr>
          <w:p w14:paraId="0164C31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с валового</w:t>
            </w:r>
          </w:p>
        </w:tc>
      </w:tr>
      <w:tr w:rsidR="004E10C1" w:rsidRPr="0044524F" w14:paraId="1E6B9DC6" w14:textId="77777777">
        <w:tc>
          <w:tcPr>
            <w:tcW w:w="2818" w:type="dxa"/>
          </w:tcPr>
          <w:p w14:paraId="5125EBD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6D4D7E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производства</w:t>
            </w:r>
          </w:p>
        </w:tc>
      </w:tr>
      <w:tr w:rsidR="004E10C1" w:rsidRPr="0044524F" w14:paraId="6BA6B732" w14:textId="77777777">
        <w:tc>
          <w:tcPr>
            <w:tcW w:w="2818" w:type="dxa"/>
          </w:tcPr>
          <w:p w14:paraId="21907B2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АФ-250</w:t>
            </w:r>
          </w:p>
        </w:tc>
        <w:tc>
          <w:tcPr>
            <w:tcW w:w="2818" w:type="dxa"/>
          </w:tcPr>
          <w:p w14:paraId="3ED0CF1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0F4C13B7" w14:textId="77777777">
        <w:tc>
          <w:tcPr>
            <w:tcW w:w="2818" w:type="dxa"/>
          </w:tcPr>
          <w:p w14:paraId="75CED85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АФ-500</w:t>
            </w:r>
          </w:p>
        </w:tc>
        <w:tc>
          <w:tcPr>
            <w:tcW w:w="2818" w:type="dxa"/>
          </w:tcPr>
          <w:p w14:paraId="1B4DB60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2162964E" w14:textId="77777777">
        <w:tc>
          <w:tcPr>
            <w:tcW w:w="2818" w:type="dxa"/>
          </w:tcPr>
          <w:p w14:paraId="749D14A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АФ-1000</w:t>
            </w:r>
          </w:p>
        </w:tc>
        <w:tc>
          <w:tcPr>
            <w:tcW w:w="2818" w:type="dxa"/>
          </w:tcPr>
          <w:p w14:paraId="492EBF0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57C375E7" w14:textId="77777777">
        <w:tc>
          <w:tcPr>
            <w:tcW w:w="2818" w:type="dxa"/>
          </w:tcPr>
          <w:p w14:paraId="5E2CFB5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АФ-2000</w:t>
            </w:r>
          </w:p>
        </w:tc>
        <w:tc>
          <w:tcPr>
            <w:tcW w:w="2818" w:type="dxa"/>
          </w:tcPr>
          <w:p w14:paraId="7EB3EE2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1AE1B573" w14:textId="77777777">
        <w:tc>
          <w:tcPr>
            <w:tcW w:w="2818" w:type="dxa"/>
          </w:tcPr>
          <w:p w14:paraId="008EF9F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817FA1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w:t>
            </w:r>
          </w:p>
        </w:tc>
      </w:tr>
      <w:tr w:rsidR="004E10C1" w:rsidRPr="0044524F" w14:paraId="5BDF655D" w14:textId="77777777">
        <w:tc>
          <w:tcPr>
            <w:tcW w:w="2818" w:type="dxa"/>
          </w:tcPr>
          <w:p w14:paraId="5FFAB62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302A252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будут на 1934 г.</w:t>
            </w:r>
          </w:p>
        </w:tc>
      </w:tr>
      <w:tr w:rsidR="004E10C1" w:rsidRPr="0044524F" w14:paraId="14108971" w14:textId="77777777">
        <w:tc>
          <w:tcPr>
            <w:tcW w:w="2818" w:type="dxa"/>
          </w:tcPr>
          <w:p w14:paraId="24407CB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АБР-250</w:t>
            </w:r>
          </w:p>
        </w:tc>
        <w:tc>
          <w:tcPr>
            <w:tcW w:w="2818" w:type="dxa"/>
          </w:tcPr>
          <w:p w14:paraId="58FD9A2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2B0A4C83" w14:textId="77777777">
        <w:tc>
          <w:tcPr>
            <w:tcW w:w="2818" w:type="dxa"/>
          </w:tcPr>
          <w:p w14:paraId="5975666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АБР-500</w:t>
            </w:r>
          </w:p>
        </w:tc>
        <w:tc>
          <w:tcPr>
            <w:tcW w:w="2818" w:type="dxa"/>
          </w:tcPr>
          <w:p w14:paraId="07E659A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4DD80563" w14:textId="77777777">
        <w:tc>
          <w:tcPr>
            <w:tcW w:w="2818" w:type="dxa"/>
          </w:tcPr>
          <w:p w14:paraId="4526063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АБР-1000</w:t>
            </w:r>
          </w:p>
        </w:tc>
        <w:tc>
          <w:tcPr>
            <w:tcW w:w="2818" w:type="dxa"/>
          </w:tcPr>
          <w:p w14:paraId="5EC8866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29B85170" w14:textId="77777777">
        <w:tc>
          <w:tcPr>
            <w:tcW w:w="2818" w:type="dxa"/>
          </w:tcPr>
          <w:p w14:paraId="7353921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АОХ-8</w:t>
            </w:r>
          </w:p>
        </w:tc>
        <w:tc>
          <w:tcPr>
            <w:tcW w:w="2818" w:type="dxa"/>
          </w:tcPr>
          <w:p w14:paraId="681932A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с производства</w:t>
            </w:r>
          </w:p>
        </w:tc>
      </w:tr>
      <w:tr w:rsidR="004E10C1" w:rsidRPr="0044524F" w14:paraId="25D82B4F" w14:textId="77777777">
        <w:tc>
          <w:tcPr>
            <w:tcW w:w="2818" w:type="dxa"/>
          </w:tcPr>
          <w:p w14:paraId="1F18EE5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АОХ-10</w:t>
            </w:r>
          </w:p>
        </w:tc>
        <w:tc>
          <w:tcPr>
            <w:tcW w:w="2818" w:type="dxa"/>
          </w:tcPr>
          <w:p w14:paraId="1A7C190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1AC2B16F" w14:textId="77777777">
        <w:tc>
          <w:tcPr>
            <w:tcW w:w="2818" w:type="dxa"/>
          </w:tcPr>
          <w:p w14:paraId="7102376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АХ-25</w:t>
            </w:r>
          </w:p>
        </w:tc>
        <w:tc>
          <w:tcPr>
            <w:tcW w:w="2818" w:type="dxa"/>
          </w:tcPr>
          <w:p w14:paraId="7D149C7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65B31C8" w14:textId="77777777">
        <w:tc>
          <w:tcPr>
            <w:tcW w:w="2818" w:type="dxa"/>
          </w:tcPr>
          <w:p w14:paraId="3A1DB81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АХ-200</w:t>
            </w:r>
          </w:p>
        </w:tc>
        <w:tc>
          <w:tcPr>
            <w:tcW w:w="2818" w:type="dxa"/>
          </w:tcPr>
          <w:p w14:paraId="212BBF6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74227237" w14:textId="77777777">
        <w:tc>
          <w:tcPr>
            <w:tcW w:w="2818" w:type="dxa"/>
          </w:tcPr>
          <w:p w14:paraId="13918B3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АО-25ПР</w:t>
            </w:r>
          </w:p>
        </w:tc>
        <w:tc>
          <w:tcPr>
            <w:tcW w:w="2818" w:type="dxa"/>
          </w:tcPr>
          <w:p w14:paraId="51959FD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6F61EDCD" w14:textId="77777777">
        <w:tc>
          <w:tcPr>
            <w:tcW w:w="2818" w:type="dxa"/>
          </w:tcPr>
          <w:p w14:paraId="6884AA2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АЗ-1</w:t>
            </w:r>
          </w:p>
        </w:tc>
        <w:tc>
          <w:tcPr>
            <w:tcW w:w="2818" w:type="dxa"/>
          </w:tcPr>
          <w:p w14:paraId="447FA17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2BA6AF53" w14:textId="77777777">
        <w:tc>
          <w:tcPr>
            <w:tcW w:w="2818" w:type="dxa"/>
          </w:tcPr>
          <w:p w14:paraId="1AECCBA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АЗ-50</w:t>
            </w:r>
          </w:p>
        </w:tc>
        <w:tc>
          <w:tcPr>
            <w:tcW w:w="2818" w:type="dxa"/>
          </w:tcPr>
          <w:p w14:paraId="094EB5F2"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0BD70D06" w14:textId="77777777">
        <w:tc>
          <w:tcPr>
            <w:tcW w:w="2818" w:type="dxa"/>
          </w:tcPr>
          <w:p w14:paraId="34A0D5A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АС-5</w:t>
            </w:r>
          </w:p>
        </w:tc>
        <w:tc>
          <w:tcPr>
            <w:tcW w:w="2818" w:type="dxa"/>
          </w:tcPr>
          <w:p w14:paraId="19311A9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Имеется ВСТ</w:t>
            </w:r>
          </w:p>
        </w:tc>
      </w:tr>
      <w:tr w:rsidR="004E10C1" w:rsidRPr="0044524F" w14:paraId="34117753" w14:textId="77777777">
        <w:tc>
          <w:tcPr>
            <w:tcW w:w="2818" w:type="dxa"/>
          </w:tcPr>
          <w:p w14:paraId="541B48B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АФДЗ-50</w:t>
            </w:r>
          </w:p>
        </w:tc>
        <w:tc>
          <w:tcPr>
            <w:tcW w:w="2818" w:type="dxa"/>
          </w:tcPr>
          <w:p w14:paraId="35C079E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Временные техусловия</w:t>
            </w:r>
          </w:p>
        </w:tc>
      </w:tr>
      <w:tr w:rsidR="004E10C1" w:rsidRPr="0044524F" w14:paraId="046A17FC" w14:textId="77777777">
        <w:tc>
          <w:tcPr>
            <w:tcW w:w="2818" w:type="dxa"/>
          </w:tcPr>
          <w:p w14:paraId="1D1B6DE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ЗАМ-70</w:t>
            </w:r>
          </w:p>
        </w:tc>
        <w:tc>
          <w:tcPr>
            <w:tcW w:w="2818" w:type="dxa"/>
          </w:tcPr>
          <w:p w14:paraId="40547DC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Условно приняты</w:t>
            </w:r>
          </w:p>
        </w:tc>
      </w:tr>
      <w:tr w:rsidR="004E10C1" w:rsidRPr="0044524F" w14:paraId="4D1C1D0B" w14:textId="77777777">
        <w:tc>
          <w:tcPr>
            <w:tcW w:w="2818" w:type="dxa"/>
          </w:tcPr>
          <w:p w14:paraId="7526C61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ПБМ-40</w:t>
            </w:r>
          </w:p>
        </w:tc>
        <w:tc>
          <w:tcPr>
            <w:tcW w:w="2818" w:type="dxa"/>
          </w:tcPr>
          <w:p w14:paraId="6B8AF66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Условно приняты</w:t>
            </w:r>
          </w:p>
        </w:tc>
      </w:tr>
      <w:tr w:rsidR="004E10C1" w:rsidRPr="0044524F" w14:paraId="14ABF888" w14:textId="77777777">
        <w:tc>
          <w:tcPr>
            <w:tcW w:w="2818" w:type="dxa"/>
          </w:tcPr>
          <w:p w14:paraId="4A93156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ПВ-1 7,62 мм</w:t>
            </w:r>
          </w:p>
        </w:tc>
        <w:tc>
          <w:tcPr>
            <w:tcW w:w="2818" w:type="dxa"/>
          </w:tcPr>
          <w:p w14:paraId="07A9B5B1"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w:t>
            </w:r>
          </w:p>
        </w:tc>
      </w:tr>
      <w:tr w:rsidR="004E10C1" w:rsidRPr="0044524F" w14:paraId="3C883368" w14:textId="77777777">
        <w:tc>
          <w:tcPr>
            <w:tcW w:w="2818" w:type="dxa"/>
          </w:tcPr>
          <w:p w14:paraId="246A39D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1A39F56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имеются</w:t>
            </w:r>
          </w:p>
        </w:tc>
      </w:tr>
      <w:tr w:rsidR="004E10C1" w:rsidRPr="0044524F" w14:paraId="5D54B10B" w14:textId="77777777">
        <w:tc>
          <w:tcPr>
            <w:tcW w:w="2818" w:type="dxa"/>
          </w:tcPr>
          <w:p w14:paraId="5028DF1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ДА-2 7,62 мм</w:t>
            </w:r>
          </w:p>
        </w:tc>
        <w:tc>
          <w:tcPr>
            <w:tcW w:w="2818" w:type="dxa"/>
          </w:tcPr>
          <w:p w14:paraId="4B036C0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w:t>
            </w:r>
          </w:p>
        </w:tc>
      </w:tr>
      <w:tr w:rsidR="004E10C1" w:rsidRPr="0044524F" w14:paraId="5A08F995" w14:textId="77777777">
        <w:tc>
          <w:tcPr>
            <w:tcW w:w="2818" w:type="dxa"/>
          </w:tcPr>
          <w:p w14:paraId="1518E50A"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771775A4"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имеются</w:t>
            </w:r>
          </w:p>
        </w:tc>
      </w:tr>
      <w:tr w:rsidR="004E10C1" w:rsidRPr="0044524F" w14:paraId="043929E8" w14:textId="77777777">
        <w:tc>
          <w:tcPr>
            <w:tcW w:w="2818" w:type="dxa"/>
          </w:tcPr>
          <w:p w14:paraId="255B9D46"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ШКАС 7,62 мм</w:t>
            </w:r>
          </w:p>
        </w:tc>
        <w:tc>
          <w:tcPr>
            <w:tcW w:w="2818" w:type="dxa"/>
          </w:tcPr>
          <w:p w14:paraId="46AD5F9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Эталонов не имеется</w:t>
            </w:r>
          </w:p>
        </w:tc>
      </w:tr>
      <w:tr w:rsidR="004E10C1" w:rsidRPr="0044524F" w14:paraId="7D1417B5" w14:textId="77777777">
        <w:tc>
          <w:tcPr>
            <w:tcW w:w="2818" w:type="dxa"/>
          </w:tcPr>
          <w:p w14:paraId="20095B0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Пулеметы ДАК 12,7 мм</w:t>
            </w:r>
          </w:p>
        </w:tc>
        <w:tc>
          <w:tcPr>
            <w:tcW w:w="2818" w:type="dxa"/>
          </w:tcPr>
          <w:p w14:paraId="21F6332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Эталонов не имеется</w:t>
            </w:r>
          </w:p>
        </w:tc>
      </w:tr>
      <w:tr w:rsidR="004E10C1" w:rsidRPr="0044524F" w14:paraId="32D429A1" w14:textId="77777777">
        <w:tc>
          <w:tcPr>
            <w:tcW w:w="2818" w:type="dxa"/>
          </w:tcPr>
          <w:p w14:paraId="06DE66B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ВАП-4</w:t>
            </w:r>
          </w:p>
        </w:tc>
        <w:tc>
          <w:tcPr>
            <w:tcW w:w="2818" w:type="dxa"/>
          </w:tcPr>
          <w:p w14:paraId="1D17BDA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 есть</w:t>
            </w:r>
          </w:p>
        </w:tc>
      </w:tr>
      <w:tr w:rsidR="004E10C1" w:rsidRPr="0044524F" w14:paraId="0DEBFC74" w14:textId="77777777">
        <w:tc>
          <w:tcPr>
            <w:tcW w:w="2818" w:type="dxa"/>
          </w:tcPr>
          <w:p w14:paraId="104DDD8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ДАП-100</w:t>
            </w:r>
          </w:p>
        </w:tc>
        <w:tc>
          <w:tcPr>
            <w:tcW w:w="2818" w:type="dxa"/>
          </w:tcPr>
          <w:p w14:paraId="16386E4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Эталоны и чертежи есть</w:t>
            </w:r>
          </w:p>
        </w:tc>
      </w:tr>
      <w:tr w:rsidR="004E10C1" w:rsidRPr="0044524F" w14:paraId="7AF72003" w14:textId="77777777">
        <w:tc>
          <w:tcPr>
            <w:tcW w:w="2818" w:type="dxa"/>
          </w:tcPr>
          <w:p w14:paraId="3140B36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ДАП-200</w:t>
            </w:r>
          </w:p>
        </w:tc>
        <w:tc>
          <w:tcPr>
            <w:tcW w:w="2818" w:type="dxa"/>
          </w:tcPr>
          <w:p w14:paraId="1A2E3D6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Имеются временные</w:t>
            </w:r>
          </w:p>
        </w:tc>
      </w:tr>
      <w:tr w:rsidR="004E10C1" w:rsidRPr="0044524F" w14:paraId="6AF46D0C" w14:textId="77777777">
        <w:tc>
          <w:tcPr>
            <w:tcW w:w="2818" w:type="dxa"/>
          </w:tcPr>
          <w:p w14:paraId="759413BD"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CC63537"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техусловия; заказывается</w:t>
            </w:r>
          </w:p>
        </w:tc>
      </w:tr>
      <w:tr w:rsidR="004E10C1" w:rsidRPr="0044524F" w14:paraId="59E99E73" w14:textId="77777777">
        <w:tc>
          <w:tcPr>
            <w:tcW w:w="2818" w:type="dxa"/>
          </w:tcPr>
          <w:p w14:paraId="3E085F0B"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6233023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опытная партия</w:t>
            </w:r>
          </w:p>
        </w:tc>
      </w:tr>
      <w:tr w:rsidR="004E10C1" w:rsidRPr="0044524F" w14:paraId="72D6FE74" w14:textId="77777777">
        <w:tc>
          <w:tcPr>
            <w:tcW w:w="2818" w:type="dxa"/>
          </w:tcPr>
          <w:p w14:paraId="727075C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Разливочные станции</w:t>
            </w:r>
          </w:p>
        </w:tc>
        <w:tc>
          <w:tcPr>
            <w:tcW w:w="2818" w:type="dxa"/>
          </w:tcPr>
          <w:p w14:paraId="5F62F82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в стадии опытных</w:t>
            </w:r>
          </w:p>
        </w:tc>
      </w:tr>
      <w:tr w:rsidR="004E10C1" w:rsidRPr="0044524F" w14:paraId="7E87CB50" w14:textId="77777777">
        <w:tc>
          <w:tcPr>
            <w:tcW w:w="2818" w:type="dxa"/>
          </w:tcPr>
          <w:p w14:paraId="3CECA5D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5DA42E0F"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w:t>
            </w:r>
          </w:p>
        </w:tc>
      </w:tr>
      <w:tr w:rsidR="004E10C1" w:rsidRPr="0044524F" w14:paraId="0BFA5D2C" w14:textId="77777777">
        <w:tc>
          <w:tcPr>
            <w:tcW w:w="2818" w:type="dxa"/>
          </w:tcPr>
          <w:p w14:paraId="3A8FC26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Противогазы для летного</w:t>
            </w:r>
          </w:p>
        </w:tc>
        <w:tc>
          <w:tcPr>
            <w:tcW w:w="2818" w:type="dxa"/>
          </w:tcPr>
          <w:p w14:paraId="382203D9"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44975A8" w14:textId="77777777">
        <w:tc>
          <w:tcPr>
            <w:tcW w:w="2818" w:type="dxa"/>
          </w:tcPr>
          <w:p w14:paraId="1ED52373"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состава</w:t>
            </w:r>
          </w:p>
        </w:tc>
        <w:tc>
          <w:tcPr>
            <w:tcW w:w="2818" w:type="dxa"/>
          </w:tcPr>
          <w:p w14:paraId="71BDAAAC"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Эталонов не имеется (3058)</w:t>
            </w:r>
          </w:p>
        </w:tc>
      </w:tr>
    </w:tbl>
    <w:p w14:paraId="61337A8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Основание: Протокол совещания у начальника УМТСиВ ВВС от 22.04.1933 года. (3058,31-36).</w:t>
      </w:r>
    </w:p>
    <w:p w14:paraId="0EF09EB5"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40053D6D"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мая 1933 г.</w:t>
      </w:r>
    </w:p>
    <w:p w14:paraId="241256DD"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БЮРО ПРЕЗИДИУМА ЦЕНТРАЛЬНОГО СОВЕТА СОЮЗА ОСОАВИАХИМ СССР</w:t>
      </w:r>
    </w:p>
    <w:p w14:paraId="6E9B3513"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 Об увековечении памяти т. Цандера и обеспечении его семьи.</w:t>
      </w:r>
    </w:p>
    <w:p w14:paraId="534FFD1B"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 1. Присвоить ГИРД"у, основоположником которого и руководителем головной бригады по реактивному двигателю был т. ЦАНДЕР, - имя т. ЦАНДЕРА.</w:t>
      </w:r>
    </w:p>
    <w:p w14:paraId="3EADE188"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Широко осветить в печати проделанную т. Ф.А.ЦАНДЕР работу в области реактивного двигателя.</w:t>
      </w:r>
    </w:p>
    <w:p w14:paraId="2FB1E763"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Изучить, разработать и издать труды т. ЦАНДЕРА по реактивному движению.</w:t>
      </w:r>
    </w:p>
    <w:p w14:paraId="570697A8"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Войти в Правительство с ходатайством об установлении семье покойного - персональной пенсии.</w:t>
      </w:r>
    </w:p>
    <w:p w14:paraId="32F4E7F1"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Установить в Московском Авиаинституте одну стипендию имени Цандера для слушателей реактивной специальности.</w:t>
      </w:r>
    </w:p>
    <w:p w14:paraId="7872CF34"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На могиле т. Ф.А.ЦАНДЕРА установить памятник.</w:t>
      </w:r>
    </w:p>
    <w:p w14:paraId="6784091B"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Впредь до разрешения правительством вопроса о персональной пенсии семье т. Цандера, Нач. ГИРД"а выплачивать жене т. Цандера ставку, получающуюся т. Цандером.</w:t>
      </w:r>
    </w:p>
    <w:p w14:paraId="4F5E3D87"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Выдать из резерва Президиума ЦС единовременное пособие семье т. Цандера в размере 2000 р.</w:t>
      </w:r>
    </w:p>
    <w:p w14:paraId="6D6B5362"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Ассигновать из резерва Президиума необходимую сумму на обеспечение стипендии и установку памятника.</w:t>
      </w:r>
    </w:p>
    <w:p w14:paraId="496AD3A8"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Секретариатом (Шестарикова)</w:t>
      </w:r>
    </w:p>
    <w:p w14:paraId="2246B404" w14:textId="77777777" w:rsidR="000768A2" w:rsidRPr="0044524F" w:rsidRDefault="000768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ГАРФ. Ф. Р-9545. Оп. 1. Д. 2. Л. 25 (15814).</w:t>
      </w:r>
    </w:p>
    <w:p w14:paraId="0D74CB15" w14:textId="77777777" w:rsidR="000768A2" w:rsidRPr="0044524F" w:rsidRDefault="000768A2" w:rsidP="009654CF">
      <w:pPr>
        <w:spacing w:after="0" w:line="240" w:lineRule="auto"/>
        <w:jc w:val="both"/>
        <w:rPr>
          <w:rFonts w:ascii="Times New Roman" w:hAnsi="Times New Roman"/>
          <w:color w:val="000000" w:themeColor="text1"/>
          <w:sz w:val="16"/>
          <w:szCs w:val="16"/>
        </w:rPr>
      </w:pPr>
    </w:p>
    <w:p w14:paraId="549F9EFF" w14:textId="77777777" w:rsidR="001B0090"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AA38996" w14:textId="77777777" w:rsidR="001B0090" w:rsidRPr="0044524F" w:rsidRDefault="001B0090"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EE1F704" w14:textId="77777777" w:rsidR="001B0090" w:rsidRPr="0044524F" w:rsidRDefault="001B0090" w:rsidP="009654CF">
      <w:pPr>
        <w:pStyle w:val="rtejustify"/>
        <w:spacing w:before="0" w:after="0"/>
        <w:rPr>
          <w:color w:val="000000" w:themeColor="text1"/>
          <w:sz w:val="16"/>
          <w:szCs w:val="16"/>
        </w:rPr>
      </w:pPr>
      <w:r w:rsidRPr="0044524F">
        <w:rPr>
          <w:color w:val="000000" w:themeColor="text1"/>
          <w:sz w:val="16"/>
          <w:szCs w:val="16"/>
        </w:rPr>
        <w:t>13 мая 1933 г. Приказ РВС СССР № 046 «О порядке эксплуатации боевых машин в мотомехвойсках РККА» потребовал 50% всех боевых машин (танков, танкетак, бронемашин и трехосных автомобилей), состоящих на вооружении каждой части, содержать в неприкосновенном запасе в постоянной полной боевой готовности. Эти машины, говорилось в приказе, могут быть использованы лишь с разрешения наркома по военным и морским делам распоряжением начальника Управления механизации и моторизации РККА и командующих войсками округов только для маневров, опытных учений и инспекторских смотров по утвержденной наркомом программе. Норма эксплуатации для этой (первой) категории машин устанавливалась не более 50 мото-ро-часов в год.</w:t>
      </w:r>
    </w:p>
    <w:p w14:paraId="7DCE1EC7" w14:textId="77777777" w:rsidR="001B0090" w:rsidRPr="0044524F" w:rsidRDefault="001B0090" w:rsidP="009654CF">
      <w:pPr>
        <w:pStyle w:val="rtejustify"/>
        <w:spacing w:before="0" w:after="0"/>
        <w:rPr>
          <w:color w:val="000000" w:themeColor="text1"/>
          <w:sz w:val="16"/>
          <w:szCs w:val="16"/>
        </w:rPr>
      </w:pPr>
      <w:r w:rsidRPr="0044524F">
        <w:rPr>
          <w:color w:val="000000" w:themeColor="text1"/>
          <w:sz w:val="16"/>
          <w:szCs w:val="16"/>
        </w:rPr>
        <w:t>Оставшиеся боевые машины входили во вторую и третью категории эксплуатации. Вторую категорию машин (25%) разрешалось использовать только для строевой и тактической подготовки частей с расходом не более 100 моторо-часов на машину в год, а третью категорию (также 25% боевых машин) использовать для всех видов боевой учебы, обучения вождению личного состава, технических сборов и т.д. С расходом для этого не более 200 моторо-часов на машину в год (РГВА. Ф. 4. Оп. 15 а. Д. 352. Л. 75) (12605).</w:t>
      </w:r>
    </w:p>
    <w:p w14:paraId="677FBFB0" w14:textId="77777777" w:rsidR="001B0090" w:rsidRPr="0044524F" w:rsidRDefault="001B0090" w:rsidP="009654CF">
      <w:pPr>
        <w:spacing w:after="0" w:line="240" w:lineRule="auto"/>
        <w:jc w:val="both"/>
        <w:rPr>
          <w:rFonts w:ascii="Times New Roman" w:hAnsi="Times New Roman"/>
          <w:color w:val="000000" w:themeColor="text1"/>
          <w:sz w:val="16"/>
          <w:szCs w:val="16"/>
        </w:rPr>
      </w:pPr>
    </w:p>
    <w:p w14:paraId="2AE9A578"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07DC0F6"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3608B70"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мая 1933 покончил с собой украинский писатель Николай Хвылевый (4962).</w:t>
      </w:r>
    </w:p>
    <w:p w14:paraId="39D21B02" w14:textId="77777777" w:rsidR="00BB0DBE" w:rsidRPr="0044524F" w:rsidRDefault="00BB0DB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62F4F7" w14:textId="77777777" w:rsidR="00BB0DB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0B5C8E63" w14:textId="77777777" w:rsidR="00BB0DBE" w:rsidRPr="0044524F" w:rsidRDefault="00BB0DB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CF1998"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мая 1933 г. на обеде у Дирксена по случаю визита присутствовал почти полный состав Реввоенсовета СССР (Ворошилов, Тухачевский, Егоров, Буденный, Орлов, а также Корк, Ефимов, Меженинов, Сухоруков). Царило приподнятое настроение. Ворошилов во всеуслышание дал понять свое намерение сохранить связи между двумя армиями (Hilger Gustav. Op. cit. S. 246.). Присутствовавший на приеме Крестинский также отмечал, что «вечер прошел задушевно, военные старались подчеркнуть не только то, что рейхсвер хочет сохранить прежние германо-советские отношения, но что ему удается оказать в этом отношении соответствующее влияние на Гитлеpa» (АВП РФ, ф. 05, on. 13, п.91, д. 27, л. 39.). В беседах с Тухачевским и Фишманом 10 и 15 мая Боккельберг договорился о возобновлении опытно-испытательных работ на полигоне «Томка» в период с 15. 08 по 1. 11. (ADAP, Ser.C, Bd.I,2, Dok. № 252, Anlage 2.) (11784).</w:t>
      </w:r>
    </w:p>
    <w:p w14:paraId="3C15CDD0" w14:textId="77777777" w:rsidR="00BB0DBE" w:rsidRPr="0044524F" w:rsidRDefault="00BB0DBE" w:rsidP="009654CF">
      <w:pPr>
        <w:autoSpaceDE w:val="0"/>
        <w:autoSpaceDN w:val="0"/>
        <w:adjustRightInd w:val="0"/>
        <w:spacing w:after="0" w:line="240" w:lineRule="auto"/>
        <w:jc w:val="both"/>
        <w:rPr>
          <w:rFonts w:ascii="Times New Roman" w:hAnsi="Times New Roman"/>
          <w:color w:val="000000" w:themeColor="text1"/>
          <w:sz w:val="16"/>
          <w:szCs w:val="16"/>
        </w:rPr>
      </w:pPr>
    </w:p>
    <w:p w14:paraId="2B856620" w14:textId="77777777" w:rsidR="00197613" w:rsidRPr="0044524F" w:rsidRDefault="001976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мая 1933 г. на обеде у Дирксена по случаю визита присутствовал почти полный состав Реввоенсовета СССР (Ворошилов, Тухачевский, Егоров, Буденный, Орлов, а также Корк, Ефимов, Меженинов, Сухоруков). Царило приподнятое настроение. Ворошилов во всеуслышание дал понять свое намерение сохранить связи между двумя армиями</w:t>
      </w:r>
      <w:hyperlink r:id="rId167" w:anchor="n_454" w:history="1">
        <w:r w:rsidRPr="0044524F">
          <w:rPr>
            <w:rStyle w:val="a5"/>
            <w:rFonts w:ascii="Times New Roman" w:hAnsi="Times New Roman"/>
            <w:color w:val="000000" w:themeColor="text1"/>
            <w:sz w:val="16"/>
            <w:szCs w:val="16"/>
          </w:rPr>
          <w:t>[454]</w:t>
        </w:r>
      </w:hyperlink>
      <w:r w:rsidRPr="0044524F">
        <w:rPr>
          <w:rFonts w:ascii="Times New Roman" w:hAnsi="Times New Roman"/>
          <w:color w:val="000000" w:themeColor="text1"/>
          <w:sz w:val="16"/>
          <w:szCs w:val="16"/>
        </w:rPr>
        <w:t>. Присутствовавший на приеме Крестинский также отмечал, что «вечер прошел задушевно, военные старались подчеркнуть не только то, что рейхсвер хочет сохранить прежние германо-советские отношения, но что ему удается оказать в этом отношении соответствующее влияние на Гитлеpa» (19269).</w:t>
      </w:r>
    </w:p>
    <w:p w14:paraId="37ABB0FE" w14:textId="2595DF18" w:rsidR="00197613" w:rsidRPr="0044524F" w:rsidRDefault="00197613" w:rsidP="009654CF">
      <w:pPr>
        <w:spacing w:after="0" w:line="240" w:lineRule="auto"/>
        <w:jc w:val="both"/>
        <w:rPr>
          <w:rFonts w:ascii="Times New Roman" w:hAnsi="Times New Roman"/>
          <w:color w:val="000000" w:themeColor="text1"/>
          <w:sz w:val="16"/>
          <w:szCs w:val="16"/>
        </w:rPr>
      </w:pPr>
    </w:p>
    <w:p w14:paraId="019C5844" w14:textId="24BE4DC8" w:rsidR="00E9787D" w:rsidRPr="0044524F" w:rsidRDefault="00E9787D"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2F9CB1E8" w14:textId="77777777" w:rsidR="00E9787D" w:rsidRPr="0044524F" w:rsidRDefault="00E9787D" w:rsidP="009654CF">
      <w:pPr>
        <w:spacing w:after="0" w:line="240" w:lineRule="auto"/>
        <w:jc w:val="both"/>
        <w:rPr>
          <w:rFonts w:ascii="Times New Roman" w:hAnsi="Times New Roman"/>
          <w:i/>
          <w:iCs/>
          <w:color w:val="000000" w:themeColor="text1"/>
          <w:sz w:val="16"/>
          <w:szCs w:val="16"/>
        </w:rPr>
      </w:pPr>
    </w:p>
    <w:p w14:paraId="50151378" w14:textId="77777777" w:rsidR="00E9787D" w:rsidRPr="0044524F" w:rsidRDefault="00E978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мая 1933 Основатель британской Aircraft Company, Charles H. Lowe-Wylde, погиб во время полета BAC Planette в аэропорту Мейдстона возле Западной Маллинг, Кент, Англия (20802).</w:t>
      </w:r>
    </w:p>
    <w:p w14:paraId="5398BCF5" w14:textId="77777777" w:rsidR="00E9787D" w:rsidRPr="0044524F" w:rsidRDefault="00E9787D" w:rsidP="009654CF">
      <w:pPr>
        <w:spacing w:after="0" w:line="240" w:lineRule="auto"/>
        <w:jc w:val="both"/>
        <w:rPr>
          <w:rFonts w:ascii="Times New Roman" w:hAnsi="Times New Roman"/>
          <w:color w:val="000000" w:themeColor="text1"/>
          <w:sz w:val="16"/>
          <w:szCs w:val="16"/>
        </w:rPr>
      </w:pPr>
    </w:p>
    <w:p w14:paraId="50B1D22B"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0D8A9EA"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2FB5E3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 16 мая 1933 состоялись совещания (прот. 69 и 61) у начальника Глававиапрома П.И.Б. по вопросу облегчения веса ТБ-3 (АНТ-6) (1077,128).</w:t>
      </w:r>
    </w:p>
    <w:p w14:paraId="205AF0A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BCFDE4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мая 1933 года.</w:t>
      </w:r>
    </w:p>
    <w:p w14:paraId="508E79C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w:t>
      </w:r>
    </w:p>
    <w:p w14:paraId="04E254B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испытанию вооруженного самолета Р6 2М17 N 2202</w:t>
      </w:r>
    </w:p>
    <w:p w14:paraId="79D86AE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7E8B421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самолет Кудрявцев</w:t>
      </w:r>
    </w:p>
    <w:p w14:paraId="3F73628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Рябенко</w:t>
      </w:r>
    </w:p>
    <w:p w14:paraId="48974D0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6F72CEA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Снятие летно-тактических характеристик самолета для оценки возможности принятия данного типа на вооружение ВВС.</w:t>
      </w:r>
    </w:p>
    <w:p w14:paraId="226F811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прошел гос. испытание в двух вариантах:</w:t>
      </w:r>
    </w:p>
    <w:p w14:paraId="2AB90D4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Многоместный истребитель с бомбовой нагрузкой - 6х32=192 кг - полная нагрузка - 1770 кг.</w:t>
      </w:r>
    </w:p>
    <w:p w14:paraId="183F2B2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Морской разведчик с бомбовой нагрузкой 6х32=192 кг. Полная нагрузка - 2860 кг.</w:t>
      </w:r>
    </w:p>
    <w:p w14:paraId="4A67EA4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0F94C2C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Р6а-2М17 может быть принят на вооружение ВВС морей в качестве морского базового многоместного истребителя.</w:t>
      </w:r>
    </w:p>
    <w:p w14:paraId="5901EDB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N 2202 после устранения дефектов указанных в отчете и выполнения работ по пунктам 4 и 5 Выводов может быть использован в качестве эталона серии.</w:t>
      </w:r>
    </w:p>
    <w:p w14:paraId="3A0A5F8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Для применения самолета в условиях морских театров в качестве дальнего разведчика и воздушного крейсера необходимо использовать достигнутое перегружение в 1090 кг (полетный вес 7500 кг) в специализированных сериях; путем увеличения емкости баков горючего с 1660 л до 2000 л, что дает радиус действия 900 км и увеличения стрелкового вооружения по калибру пулеметов и количеству патрон.</w:t>
      </w:r>
    </w:p>
    <w:p w14:paraId="3AFE844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использования самолета как бомбардировщика и торпедоносца низкого торпедометания предложить ЦАГИ проработать вопрос о возможности увеличения бомбовой нагрузки до 1000 кг и подвески торпед.</w:t>
      </w:r>
    </w:p>
    <w:p w14:paraId="5126266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постройке принят по плану 4 июля 1932 года</w:t>
      </w:r>
    </w:p>
    <w:p w14:paraId="3F9D4D7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Предъявление по плану было назначено 1 сентября 1932 года</w:t>
      </w:r>
    </w:p>
    <w:p w14:paraId="10B1793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 предъявлено в НИИ ВВС 9 декабря 1932 года</w:t>
      </w:r>
    </w:p>
    <w:p w14:paraId="0384FD0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Заводские испытания с 19 октября 1932 года оп 1 ноября 1932 года</w:t>
      </w:r>
    </w:p>
    <w:p w14:paraId="1FEC475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 на гос. испытания 10 декабря 1932 года</w:t>
      </w:r>
    </w:p>
    <w:p w14:paraId="4679C53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закончены 27 декабря 1932 года</w:t>
      </w:r>
    </w:p>
    <w:p w14:paraId="488FF5C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Доиспытан 17 апреля 1933 года (3899,340-366).</w:t>
      </w:r>
    </w:p>
    <w:p w14:paraId="55D46D2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16BF17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мая 1933 года начальник 7 сектора НИИ ВВС писал письмо начальнику штаба ВВС.</w:t>
      </w:r>
    </w:p>
    <w:p w14:paraId="351B57F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Доношу, что УВИ НВ РККА развертывает работу по проектированию и постройке одноместного самолета, вооруженного ракетными снарядами.</w:t>
      </w:r>
    </w:p>
    <w:p w14:paraId="7509A01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требования к боевому самолету особого назначения под мотор М-34 НР - 750 л.с.</w:t>
      </w:r>
    </w:p>
    <w:p w14:paraId="0D4FE05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высотностью до 5000 м).</w:t>
      </w:r>
    </w:p>
    <w:p w14:paraId="4C5E037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самолета</w:t>
      </w:r>
    </w:p>
    <w:p w14:paraId="4DB76C8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Борьба с воздушным противником, главным образом, с его тяжелыми кораблями.</w:t>
      </w:r>
    </w:p>
    <w:p w14:paraId="10CB6CC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Применение в основном над своей территорией, в районе охраняемых объектов и на важных оперативных направлениях.</w:t>
      </w:r>
    </w:p>
    <w:p w14:paraId="67180FA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Использование отдельных машин для сопровождения своих тяжелых кораблей в качестве самолетов звена.</w:t>
      </w:r>
    </w:p>
    <w:p w14:paraId="211DC7A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Поражение наземных целей открытого и полузакрытого характера как в ближнем тылу противника, так и десантных групп противника на своей территории.</w:t>
      </w:r>
    </w:p>
    <w:p w14:paraId="0E80EB7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Метод применения.</w:t>
      </w:r>
    </w:p>
    <w:p w14:paraId="02D53A7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в группе: звеном, отрядом, эскадрильей, Воздушный бой звеном, отрядом и одиночными самолетами (последнее как исключение).</w:t>
      </w:r>
    </w:p>
    <w:p w14:paraId="4931076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Ведение воздушного боя днем и ночью, как самостоятельного, так совместно с другими родами авиации и наземными средствами ПВО.</w:t>
      </w:r>
    </w:p>
    <w:p w14:paraId="78F6C7C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Летно-тактические данные</w:t>
      </w:r>
    </w:p>
    <w:p w14:paraId="2E5AEC5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полезной нагрузкой 321 кг и запасом горючего и смазочного обеспечивающими дальность полета 600 км на боевой высоте 7000 м должен обладать нижеследующими летными данными:</w:t>
      </w:r>
    </w:p>
    <w:p w14:paraId="7129B7B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максимальной горизонтальной скоростью на высоте 7000 м - 400 км/час</w:t>
      </w:r>
    </w:p>
    <w:p w14:paraId="687A002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временем подъема на 7000 м при нормальном пользовании газом 9-10 мин.</w:t>
      </w:r>
    </w:p>
    <w:p w14:paraId="2B65EC1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практическим потолком - 10000-12000 м</w:t>
      </w:r>
    </w:p>
    <w:p w14:paraId="001FAA4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посадочной скоростью - 70-90 км/час.</w:t>
      </w:r>
    </w:p>
    <w:p w14:paraId="59D3C01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Емкость баков самолета должна обеспечивать дальность полета 700 км.</w:t>
      </w:r>
    </w:p>
    <w:p w14:paraId="2B7D97A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 Конструкция</w:t>
      </w:r>
    </w:p>
    <w:p w14:paraId="0C2F298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иметь закрытую (герметическая не требуется) кабину с хорошим обзором и с запасом кислорода, обеспечивающим полет на высоте 7000-8000 м продолжительностью на всю дальность полета.</w:t>
      </w:r>
    </w:p>
    <w:p w14:paraId="0859B7D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Обзор вперед (в интересах навигации и воздушного боя) должен быть обеспечен в полную полусферу, назад и в стороны должен обеспечить беспрепятственное хождение в строю и гарантировать от внезапного нападения противника.</w:t>
      </w:r>
    </w:p>
    <w:p w14:paraId="74EDFCE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Предусмотреть и выполнить обогрев пилота от мотора.</w:t>
      </w:r>
    </w:p>
    <w:p w14:paraId="690D2A2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фюзеляжа должна предусматривать защиту летчика при капоте.</w:t>
      </w:r>
    </w:p>
    <w:p w14:paraId="3916DF0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Должна быть обеспечена возможность легкого выпрыгивания летчика на парашюте.</w:t>
      </w:r>
    </w:p>
    <w:p w14:paraId="3D76E69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Сиденье должно быть регулирующимся под рост летчика и обеспечивать ему полное удобство пилотирования и стрельбы в зимнем полетном обмундировании с парашютом.</w:t>
      </w:r>
    </w:p>
    <w:p w14:paraId="1579CB1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обладать тормозными колесами.</w:t>
      </w:r>
    </w:p>
    <w:p w14:paraId="7C6FD6D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__</w:t>
      </w:r>
    </w:p>
    <w:p w14:paraId="6992C30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Требования к вооружению:</w:t>
      </w:r>
    </w:p>
    <w:p w14:paraId="3E50252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должно обеспечить ведение прицельного огня снарядами на дистанцию не менее 1500 м и пулеметного не менее 1000 м.</w:t>
      </w:r>
    </w:p>
    <w:p w14:paraId="23AD311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должно состоять из:</w:t>
      </w:r>
    </w:p>
    <w:p w14:paraId="464016F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Жестко установленного пулемета Шкасс с 1000 тыс. патрон к нему.</w:t>
      </w:r>
    </w:p>
    <w:p w14:paraId="23BEE27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Двух барабанного типа (в каждом по 6 снарядов) ракетных орудий под снаряды ракетного действия калибром 82 мм (3899,215-233).</w:t>
      </w:r>
    </w:p>
    <w:p w14:paraId="6D03DBE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25B4AB7A" w14:textId="77777777" w:rsidR="00EC1465" w:rsidRPr="0044524F" w:rsidRDefault="00EC1465" w:rsidP="009654CF">
      <w:pPr>
        <w:spacing w:after="0" w:line="240" w:lineRule="auto"/>
        <w:jc w:val="both"/>
        <w:rPr>
          <w:rFonts w:ascii="Times New Roman" w:eastAsia="Times New Roman" w:hAnsi="Times New Roman"/>
          <w:color w:val="000000" w:themeColor="text1"/>
          <w:sz w:val="16"/>
          <w:szCs w:val="16"/>
          <w:shd w:val="clear" w:color="auto" w:fill="DCDCDC"/>
          <w:lang w:eastAsia="ru-RU"/>
        </w:rPr>
      </w:pPr>
      <w:r w:rsidRPr="0044524F">
        <w:rPr>
          <w:rFonts w:ascii="Times New Roman" w:hAnsi="Times New Roman"/>
          <w:color w:val="000000" w:themeColor="text1"/>
          <w:sz w:val="16"/>
          <w:szCs w:val="16"/>
        </w:rPr>
        <w:t>14 мая 1933 хвостовая балка Г-37 разрушилась под нагрузкой в 1004 кг. За две недели конструкцию доработали, выполнив ряд местных усилений, и 29 мая балка выдержала нагрузку уже более 1400 кг (19841).</w:t>
      </w:r>
    </w:p>
    <w:p w14:paraId="1F232942" w14:textId="77777777" w:rsidR="00EC1465" w:rsidRPr="0044524F" w:rsidRDefault="00EC1465" w:rsidP="009654CF">
      <w:pPr>
        <w:spacing w:after="0" w:line="240" w:lineRule="auto"/>
        <w:jc w:val="both"/>
        <w:rPr>
          <w:rFonts w:ascii="Times New Roman" w:eastAsia="Times New Roman" w:hAnsi="Times New Roman"/>
          <w:color w:val="000000" w:themeColor="text1"/>
          <w:sz w:val="16"/>
          <w:szCs w:val="16"/>
          <w:shd w:val="clear" w:color="auto" w:fill="DCDCDC"/>
          <w:lang w:eastAsia="ru-RU"/>
        </w:rPr>
      </w:pPr>
    </w:p>
    <w:p w14:paraId="123E1B8F" w14:textId="77777777" w:rsidR="00EC1465" w:rsidRPr="0044524F" w:rsidRDefault="00EC14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с 14 мая по 2 июня 1933 на автожире А-4 произвели 10 полетов, в том числе один полет на вы</w:t>
      </w:r>
      <w:r w:rsidRPr="0044524F">
        <w:rPr>
          <w:rFonts w:ascii="Times New Roman" w:hAnsi="Times New Roman"/>
          <w:color w:val="000000" w:themeColor="text1"/>
          <w:sz w:val="16"/>
          <w:szCs w:val="16"/>
        </w:rPr>
        <w:softHyphen/>
        <w:t>соту 3360 м. 12 июля ротор переставили на первый опыт</w:t>
      </w:r>
      <w:r w:rsidRPr="0044524F">
        <w:rPr>
          <w:rFonts w:ascii="Times New Roman" w:hAnsi="Times New Roman"/>
          <w:color w:val="000000" w:themeColor="text1"/>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73B3E9E7" w14:textId="77777777" w:rsidR="00EC1465" w:rsidRPr="0044524F" w:rsidRDefault="00EC14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видим, испытательные полеты автожиров А-4 проис</w:t>
      </w:r>
      <w:r w:rsidRPr="0044524F">
        <w:rPr>
          <w:rFonts w:ascii="Times New Roman" w:hAnsi="Times New Roman"/>
          <w:color w:val="000000" w:themeColor="text1"/>
          <w:sz w:val="16"/>
          <w:szCs w:val="16"/>
        </w:rPr>
        <w:softHyphen/>
        <w:t>ходили с преодолением многочисленных трудностей. Ле</w:t>
      </w:r>
      <w:r w:rsidRPr="0044524F">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58214285" w14:textId="77777777" w:rsidR="00EC1465" w:rsidRPr="0044524F" w:rsidRDefault="00EC1465" w:rsidP="009654CF">
      <w:pPr>
        <w:spacing w:after="0" w:line="240" w:lineRule="auto"/>
        <w:jc w:val="both"/>
        <w:rPr>
          <w:rFonts w:ascii="Times New Roman" w:hAnsi="Times New Roman"/>
          <w:color w:val="000000" w:themeColor="text1"/>
          <w:sz w:val="16"/>
          <w:szCs w:val="16"/>
        </w:rPr>
      </w:pPr>
    </w:p>
    <w:p w14:paraId="7D96819F" w14:textId="77777777" w:rsidR="005611E5" w:rsidRPr="0044524F" w:rsidRDefault="005611E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14-15 мая 1933 г. группа ответственных работников ЦК ВЛКСМ /Харченко, Ислентъев, Прахов и др./ совершили прыжки с парашютом, показав при</w:t>
      </w:r>
      <w:r w:rsidRPr="0044524F">
        <w:rPr>
          <w:rFonts w:ascii="Times New Roman" w:hAnsi="Times New Roman"/>
          <w:color w:val="000000" w:themeColor="text1"/>
          <w:sz w:val="16"/>
          <w:szCs w:val="16"/>
        </w:rPr>
        <w:softHyphen/>
        <w:t>мер рядовым комсомольцам. Этим было положено начало сдаче норм по прыжкам во втором комплексе ГТО. Все прыжки были выполнены удачно.</w:t>
      </w:r>
    </w:p>
    <w:p w14:paraId="11F7B8E9" w14:textId="77777777" w:rsidR="005611E5" w:rsidRPr="0044524F" w:rsidRDefault="005611E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/«Комсомольская правда» за 20 мая 1933 г»/ (27370).</w:t>
      </w:r>
    </w:p>
    <w:p w14:paraId="677D77C4" w14:textId="77777777" w:rsidR="005611E5" w:rsidRPr="0044524F" w:rsidRDefault="005611E5" w:rsidP="009654CF">
      <w:pPr>
        <w:spacing w:after="0" w:line="240" w:lineRule="auto"/>
        <w:jc w:val="both"/>
        <w:rPr>
          <w:rFonts w:ascii="Times New Roman" w:hAnsi="Times New Roman"/>
          <w:color w:val="000000" w:themeColor="text1"/>
          <w:sz w:val="16"/>
          <w:szCs w:val="16"/>
        </w:rPr>
      </w:pPr>
    </w:p>
    <w:p w14:paraId="76ADDA65" w14:textId="0A21A2EB" w:rsidR="005611E5" w:rsidRPr="0044524F" w:rsidRDefault="005611E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мая 1933 г. Коллегия Аэрофлота приняла постановление о введении во всех учебных заведениях ГВФ обязательного преподавания воздушного права. В этом же году воздушное права было введено в программуигмму всех ВТУЗОВ, авкатехникумов и объединенных школ ГВФ, однако, отсутствие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учебников и преподавателей воздушного права тормозило это постановление. Изучение воздушного права сводилось к изучению воздушного кодекса СССР.</w:t>
      </w:r>
    </w:p>
    <w:p w14:paraId="06A03CB2" w14:textId="77777777" w:rsidR="005611E5" w:rsidRPr="0044524F" w:rsidRDefault="005611E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/"Гражданская апнация",1933 № 10/ (23370).</w:t>
      </w:r>
    </w:p>
    <w:p w14:paraId="4C4530A3" w14:textId="77777777" w:rsidR="005611E5" w:rsidRPr="0044524F" w:rsidRDefault="005611E5" w:rsidP="009654CF">
      <w:pPr>
        <w:spacing w:after="0" w:line="240" w:lineRule="auto"/>
        <w:jc w:val="both"/>
        <w:rPr>
          <w:rFonts w:ascii="Times New Roman" w:hAnsi="Times New Roman"/>
          <w:color w:val="000000" w:themeColor="text1"/>
          <w:sz w:val="16"/>
          <w:szCs w:val="16"/>
        </w:rPr>
      </w:pPr>
    </w:p>
    <w:p w14:paraId="48182ED8"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2C9ED1B"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79A207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мая 1933 в ш Нью Йорк, США, Американское межпланетное общество осуществило пуск ракеты своей конструкции N 2. Полет продолжался 2 сек. и была достигнута высота 80 м (2990).</w:t>
      </w:r>
    </w:p>
    <w:p w14:paraId="6EDB5DA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2F93563B" w14:textId="71823A6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мая 1933</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экспериментаторы AIS в сопровождении съемочной группы кинохроники доставили на пляжа пустынного острова Стейтен (Staten Island) ракету AIS № 2. После короткой проверки её заправили жидким кислородом и бензином,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11.20 утра зажгли снизу воспламенитель. После того, как ракета поднялась всего лишь на 5 м выше пусковой установки, она развернулась против ветра, на 90° в сторону от запланированной траектории в сторону моря. Предполагалось, что двигатель будет работать от 20 до 30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секунд (как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ракете AIS-1) и за это время ракета поднимется на высоту около 1,6 км. Но через 2 секунды, когда ракета достигла высоты 76 м, взорвался кислородный баллон, вслед за ним топливный бак. Ракета развалилась, двигатель и бак упали в воду примерно в 122 м от пусковой площадки, где 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были обнаружены. Оператор студии кинохроники «Universal Newsreels» снял все это на пленку (23372).</w:t>
      </w:r>
    </w:p>
    <w:p w14:paraId="425FECF3" w14:textId="77777777" w:rsidR="00307FF7" w:rsidRPr="0044524F" w:rsidRDefault="00307FF7" w:rsidP="009654CF">
      <w:pPr>
        <w:spacing w:after="0" w:line="240" w:lineRule="auto"/>
        <w:jc w:val="both"/>
        <w:rPr>
          <w:rFonts w:ascii="Times New Roman" w:hAnsi="Times New Roman"/>
          <w:color w:val="000000" w:themeColor="text1"/>
          <w:sz w:val="16"/>
          <w:szCs w:val="16"/>
        </w:rPr>
      </w:pPr>
    </w:p>
    <w:p w14:paraId="70A497F9"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567103C"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DE6B37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началась постройка АНТ-31бис (И-14бис) (514).</w:t>
      </w:r>
    </w:p>
    <w:p w14:paraId="6680158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AC6BD7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на гос. испытания был сдан Р-5 с разрезным крылом (2287,231).</w:t>
      </w:r>
    </w:p>
    <w:p w14:paraId="155EC3B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6F86FC46"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года ЦАГИ был предъявлен 2-й вариант разрезных крыльев на самолет Р-5 для производства гос. испытаний (4235).</w:t>
      </w:r>
    </w:p>
    <w:p w14:paraId="2888FD7F"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A71B28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состоялось заседание у Врид нач. ГУАП Макаровского (протокол 60):</w:t>
      </w:r>
    </w:p>
    <w:p w14:paraId="66DB94A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 Сроки утверждения эталонов самолетов" (2291,142).</w:t>
      </w:r>
    </w:p>
    <w:p w14:paraId="10E2A4C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w:t>
      </w:r>
    </w:p>
    <w:p w14:paraId="61D9606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И-5</w:t>
      </w:r>
    </w:p>
    <w:p w14:paraId="6B53588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ЦАГИ эталон И-5 М-22 сдать в полет УВВС 30 мая</w:t>
      </w:r>
    </w:p>
    <w:p w14:paraId="777742F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Р-5</w:t>
      </w:r>
    </w:p>
    <w:p w14:paraId="3550484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завод 1 эталон Р-5 20 мая передать с лета в НИИ УВВС</w:t>
      </w:r>
    </w:p>
    <w:p w14:paraId="63F2C50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И-7</w:t>
      </w:r>
    </w:p>
    <w:p w14:paraId="737E996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Принять к сведению заявление Косткина о том, что эталон И-7 будет сдан с лета НИИ УВВС 20 мая</w:t>
      </w:r>
    </w:p>
    <w:p w14:paraId="5AD0E7A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МБР-4</w:t>
      </w:r>
    </w:p>
    <w:p w14:paraId="1B53D1A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Принять к сведению заявление Косткина о том, что эталон МБР-4 будет сдан с лета НИИ УВВС 1 июня." (2291).</w:t>
      </w:r>
    </w:p>
    <w:p w14:paraId="799EC14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A6A3AF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Нач. бригады 3 ЦКБ завода 39 Чижевским была подготовлена заявка на приборы для высотного самолета (2304,12).</w:t>
      </w:r>
    </w:p>
    <w:p w14:paraId="386575D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Высокий полет предъявляет целый ряд новых требований к аэронавигационным и измерительным приборам, помещаемым на самолете. Отсутствие этих приборов на Советском рынке вынуждает составить настоящую заявку.</w:t>
      </w:r>
    </w:p>
    <w:p w14:paraId="27669DF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Кислородные приборы</w:t>
      </w:r>
    </w:p>
    <w:p w14:paraId="26C6AC9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Кислородный прибор Гейланда. Прибор является оригинальным и до настоящего времени образца, сделанного у нас, не имеется. Прибор замечателен тем, что имеет специальную насадку для продуапния воздуха кабины, который увлекается выходящей струей кислорода.</w:t>
      </w:r>
    </w:p>
    <w:p w14:paraId="2ED764C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Воздух продувается через регенеративный патрон, который поглощает углекислоту.</w:t>
      </w:r>
    </w:p>
    <w:p w14:paraId="1843382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Регенеративные патроны Гейланда выписываются в количестве 5-ти шт., как необходимый комплект для полета и образщцы, по которым можно будет изготовить последующие экземпляры у нас в СССР.</w:t>
      </w:r>
    </w:p>
    <w:p w14:paraId="65CD4F8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Кислородный прибор с сухим кислородом также не имеется в СССР и покупка его позволяет обойтись без сжатого и жидкого кислорода, отсутствие которых могло бы задержать высотный полет.</w:t>
      </w:r>
    </w:p>
    <w:p w14:paraId="1070224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Приборы, регулирующие давление</w:t>
      </w:r>
    </w:p>
    <w:p w14:paraId="38E0589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Точный прибор записи давления до двух атмосфер позволит заснять полную картину изменения давления в кабине, что весьма важно, как для характеристики герметичности гондолы, так и для проверки работы автоматического регулятора давления кислородного прибора.</w:t>
      </w:r>
    </w:p>
    <w:p w14:paraId="11B334F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Автоматический регулятор давлениея имеет своим назначением поддерживать заданное давление и должен быть выполнен весьма надежно, т.к. сообщается с наружной атмосферой.</w:t>
      </w:r>
    </w:p>
    <w:p w14:paraId="230352E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Аэронавигационные приборы</w:t>
      </w:r>
    </w:p>
    <w:p w14:paraId="51902EB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Безинерционный компас (с катодной лампой) разрешит весьма трудный в настоящее время вопрос пользования обычным компасом, который подвержен действию расположенных вокруг него стальных деталей. Безинерционный компас представляет очень интересный новый прибор, который необходимо изучить и внедрить у нас в Союзе...(2304,39).</w:t>
      </w:r>
    </w:p>
    <w:p w14:paraId="235D620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08557F7" w14:textId="77777777" w:rsidR="00185C06" w:rsidRPr="0044524F" w:rsidRDefault="00185C06" w:rsidP="009654CF">
      <w:pPr>
        <w:pStyle w:val="a3"/>
        <w:rPr>
          <w:color w:val="000000" w:themeColor="text1"/>
          <w:lang w:val="ru-RU"/>
        </w:rPr>
      </w:pPr>
      <w:r w:rsidRPr="0044524F">
        <w:rPr>
          <w:color w:val="000000" w:themeColor="text1"/>
          <w:lang w:val="ru-RU"/>
        </w:rPr>
        <w:t>15 мая 1933 г. было письмо заместителя генерала Нобиле по КБ лейтенанта Ф. Трояни на имя министра авиации Италии, которое стало известным. Неза</w:t>
      </w:r>
      <w:r w:rsidRPr="0044524F">
        <w:rPr>
          <w:color w:val="000000" w:themeColor="text1"/>
          <w:lang w:val="ru-RU"/>
        </w:rPr>
        <w:softHyphen/>
        <w:t>служенно третируемый своим тщеславным начальником инженер, 6 недель (за время болезни Нобиле) несший скандальную ответственность за сборку В-5, весьма корректно поведал маршалу о просчетах генерала, как специалиста. Для себя же автор письма просил лишь поддержки и совета от соратника по партии.</w:t>
      </w:r>
    </w:p>
    <w:p w14:paraId="268C80E3" w14:textId="77777777" w:rsidR="00185C06" w:rsidRPr="0044524F" w:rsidRDefault="00185C06" w:rsidP="009654CF">
      <w:pPr>
        <w:pStyle w:val="a3"/>
        <w:rPr>
          <w:color w:val="000000" w:themeColor="text1"/>
          <w:lang w:val="ru-RU"/>
        </w:rPr>
      </w:pPr>
      <w:r w:rsidRPr="0044524F">
        <w:rPr>
          <w:color w:val="000000" w:themeColor="text1"/>
          <w:lang w:val="ru-RU"/>
        </w:rPr>
        <w:t>Тем не менее, в КБ Нобиле полным ходом шла не только разработка рабочих чертежей по В-6, но решались и другие сложные и срочные задачи:</w:t>
      </w:r>
    </w:p>
    <w:p w14:paraId="77395C5A" w14:textId="77777777" w:rsidR="00185C06" w:rsidRPr="0044524F" w:rsidRDefault="00185C06" w:rsidP="009654CF">
      <w:pPr>
        <w:pStyle w:val="a3"/>
        <w:widowControl/>
        <w:tabs>
          <w:tab w:val="left" w:pos="433"/>
        </w:tabs>
        <w:autoSpaceDE/>
        <w:autoSpaceDN/>
        <w:adjustRightInd/>
        <w:rPr>
          <w:color w:val="000000" w:themeColor="text1"/>
          <w:lang w:val="ru-RU"/>
        </w:rPr>
      </w:pPr>
      <w:r w:rsidRPr="0044524F">
        <w:rPr>
          <w:color w:val="000000" w:themeColor="text1"/>
          <w:lang w:val="ru-RU"/>
        </w:rPr>
        <w:t>-по проектам жесткого и полужесткого дирижаблей объемом в 100000 и 56000 м</w:t>
      </w:r>
      <w:r w:rsidRPr="0044524F">
        <w:rPr>
          <w:color w:val="000000" w:themeColor="text1"/>
          <w:vertAlign w:val="superscript"/>
          <w:lang w:val="ru-RU"/>
        </w:rPr>
        <w:t>3</w:t>
      </w:r>
      <w:r w:rsidRPr="0044524F">
        <w:rPr>
          <w:color w:val="000000" w:themeColor="text1"/>
          <w:lang w:val="ru-RU"/>
        </w:rPr>
        <w:t>;</w:t>
      </w:r>
    </w:p>
    <w:p w14:paraId="6E98EB5E" w14:textId="77777777" w:rsidR="00185C06" w:rsidRPr="0044524F" w:rsidRDefault="00185C06" w:rsidP="009654CF">
      <w:pPr>
        <w:pStyle w:val="a3"/>
        <w:widowControl/>
        <w:tabs>
          <w:tab w:val="left" w:pos="433"/>
        </w:tabs>
        <w:autoSpaceDE/>
        <w:autoSpaceDN/>
        <w:adjustRightInd/>
        <w:rPr>
          <w:color w:val="000000" w:themeColor="text1"/>
          <w:lang w:val="ru-RU"/>
        </w:rPr>
      </w:pPr>
      <w:r w:rsidRPr="0044524F">
        <w:rPr>
          <w:color w:val="000000" w:themeColor="text1"/>
          <w:lang w:val="ru-RU"/>
        </w:rPr>
        <w:t>- исследовались варианты двух полу</w:t>
      </w:r>
      <w:r w:rsidRPr="0044524F">
        <w:rPr>
          <w:color w:val="000000" w:themeColor="text1"/>
          <w:lang w:val="ru-RU"/>
        </w:rPr>
        <w:softHyphen/>
        <w:t>жестких кораблей объемом в 28000 (для высотных) и в 100000 м</w:t>
      </w:r>
      <w:r w:rsidRPr="0044524F">
        <w:rPr>
          <w:color w:val="000000" w:themeColor="text1"/>
          <w:vertAlign w:val="superscript"/>
          <w:lang w:val="ru-RU"/>
        </w:rPr>
        <w:t>3</w:t>
      </w:r>
      <w:r w:rsidRPr="0044524F">
        <w:rPr>
          <w:color w:val="000000" w:themeColor="text1"/>
          <w:lang w:val="ru-RU"/>
        </w:rPr>
        <w:t xml:space="preserve"> (для стратосферных полетов-до 11000 м).</w:t>
      </w:r>
    </w:p>
    <w:p w14:paraId="7B8A6CF5" w14:textId="77777777" w:rsidR="00185C06" w:rsidRPr="0044524F" w:rsidRDefault="00185C06" w:rsidP="009654CF">
      <w:pPr>
        <w:pStyle w:val="a3"/>
        <w:rPr>
          <w:color w:val="000000" w:themeColor="text1"/>
          <w:lang w:val="ru-RU"/>
        </w:rPr>
      </w:pPr>
      <w:r w:rsidRPr="0044524F">
        <w:rPr>
          <w:color w:val="000000" w:themeColor="text1"/>
          <w:lang w:val="ru-RU"/>
        </w:rPr>
        <w:t>К концу августа почти весь проект В-6 (3500 чертежей) был передан в произ</w:t>
      </w:r>
      <w:r w:rsidRPr="0044524F">
        <w:rPr>
          <w:color w:val="000000" w:themeColor="text1"/>
          <w:lang w:val="ru-RU"/>
        </w:rPr>
        <w:softHyphen/>
        <w:t>водство. Но не готовым оказался первый металлический эллинг для сборки корабля, доставленный на площадку из Бердичева. По требованию Нобиле, помня просчеты по В-5, его размеры были увеличены по высоте до 33,28 м и в длину до 178,0 м (на два пролета колонн). Так что сборка В-6 откладывалась до января 1934 г.</w:t>
      </w:r>
    </w:p>
    <w:p w14:paraId="0882DDEE" w14:textId="77777777" w:rsidR="00185C06" w:rsidRPr="0044524F" w:rsidRDefault="00185C06" w:rsidP="009654CF">
      <w:pPr>
        <w:pStyle w:val="a3"/>
        <w:rPr>
          <w:color w:val="000000" w:themeColor="text1"/>
          <w:lang w:val="ru-RU"/>
        </w:rPr>
      </w:pPr>
      <w:r w:rsidRPr="0044524F">
        <w:rPr>
          <w:color w:val="000000" w:themeColor="text1"/>
          <w:lang w:val="ru-RU"/>
        </w:rPr>
        <w:t>Надо заметить, что нужды и заботы «Дирижаблестроя» с самого начала, в силу своей специфики не находили должного понимания в «Аэрофлоте», изначально нацеленного на задачи стремительно разви</w:t>
      </w:r>
      <w:r w:rsidRPr="0044524F">
        <w:rPr>
          <w:color w:val="000000" w:themeColor="text1"/>
          <w:lang w:val="ru-RU"/>
        </w:rPr>
        <w:softHyphen/>
        <w:t>вающейся гражданской авиации с ее аэро</w:t>
      </w:r>
      <w:r w:rsidRPr="0044524F">
        <w:rPr>
          <w:color w:val="000000" w:themeColor="text1"/>
          <w:lang w:val="ru-RU"/>
        </w:rPr>
        <w:softHyphen/>
        <w:t>дромной инфраструктурой по городам и весям необъятного СССР. Воздухоплавание оставалось, какбы, падчерицей ведомства, у которого и собственных проблем хватало выше крыши. Достаточно сказать хотябы о том, что 5 сентября 1933 г. в авиационной катастрофе погибли начальники ГУ ГВФ и ГУАП А.З. Гольцман и П.И. Баранов. Мы не располагаем полными данными по авариям и катастрофам в ГВФ СССР за 1933 г. Но соотнесем их с рассекреченным отчетом за 1934 г., когда «Аэрофлотом» руководил, сменивший А.З. Гольцмана, не</w:t>
      </w:r>
      <w:r w:rsidRPr="0044524F">
        <w:rPr>
          <w:color w:val="000000" w:themeColor="text1"/>
          <w:lang w:val="ru-RU"/>
        </w:rPr>
        <w:softHyphen/>
        <w:t>давний заместитель наркомвоенмора СССР И.С. Уншлихт. Тогда было разбито само</w:t>
      </w:r>
      <w:r w:rsidRPr="0044524F">
        <w:rPr>
          <w:color w:val="000000" w:themeColor="text1"/>
          <w:lang w:val="ru-RU"/>
        </w:rPr>
        <w:softHyphen/>
        <w:t>летов - 348, погибло и ранено - 132 чел.; признаны виновными - 507 специалистов, в т.ч. привлечено ксуду- 190(РГАЭ.Ф. 9527, оп.2,д. 3, л. 45) (12732).</w:t>
      </w:r>
    </w:p>
    <w:p w14:paraId="1F88AEBB" w14:textId="77777777" w:rsidR="00185C06" w:rsidRPr="0044524F" w:rsidRDefault="00185C06" w:rsidP="009654CF">
      <w:pPr>
        <w:pStyle w:val="a3"/>
        <w:rPr>
          <w:color w:val="000000" w:themeColor="text1"/>
          <w:lang w:val="ru-RU"/>
        </w:rPr>
      </w:pPr>
    </w:p>
    <w:p w14:paraId="5A58A308" w14:textId="77777777" w:rsidR="00EC1465" w:rsidRPr="0044524F" w:rsidRDefault="00EC14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опросом членов ПБ</w:t>
      </w:r>
    </w:p>
    <w:p w14:paraId="157357FB" w14:textId="77777777" w:rsidR="00EC1465" w:rsidRPr="0044524F" w:rsidRDefault="00EC14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52/31.- О продлении линии "Дерулюфта"</w:t>
      </w:r>
    </w:p>
    <w:p w14:paraId="0502E525" w14:textId="77777777" w:rsidR="00EC1465" w:rsidRPr="0044524F" w:rsidRDefault="00EC14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(ПБ от 23.1У.33 г.,пр. № 136, пI. 143/119).</w:t>
      </w:r>
    </w:p>
    <w:p w14:paraId="5B1D6F51" w14:textId="77777777" w:rsidR="00EC1465" w:rsidRPr="0044524F" w:rsidRDefault="00EC14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Отклонить предложение "Люфтганза" о продлении линии "Дерулюфта" до китайской границы.</w:t>
      </w:r>
    </w:p>
    <w:p w14:paraId="13445D15" w14:textId="77777777" w:rsidR="00EC1465" w:rsidRPr="0044524F" w:rsidRDefault="00EC14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тов.Гольцману.</w:t>
      </w:r>
    </w:p>
    <w:p w14:paraId="40B39C43" w14:textId="77777777" w:rsidR="00EC1465" w:rsidRPr="0044524F" w:rsidRDefault="00EC14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состоялось заседание ПБ и был оформлен протокол № 138 (22988).</w:t>
      </w:r>
    </w:p>
    <w:p w14:paraId="457E8191" w14:textId="77777777" w:rsidR="00EC1465" w:rsidRPr="0044524F" w:rsidRDefault="00EC1465" w:rsidP="009654CF">
      <w:pPr>
        <w:spacing w:after="0" w:line="240" w:lineRule="auto"/>
        <w:jc w:val="both"/>
        <w:rPr>
          <w:rFonts w:ascii="Times New Roman" w:hAnsi="Times New Roman"/>
          <w:color w:val="000000" w:themeColor="text1"/>
          <w:sz w:val="16"/>
          <w:szCs w:val="16"/>
        </w:rPr>
      </w:pPr>
    </w:p>
    <w:p w14:paraId="59A40969" w14:textId="77777777" w:rsidR="0058354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509D3F2" w14:textId="77777777" w:rsidR="0058354C" w:rsidRPr="0044524F" w:rsidRDefault="0058354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5149360"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г. с конвейера ЧТЗ сошел первый серийный «Сталинец» С-60. В качестве прототипа серийной машины был окончательно утвержден трактор №4.</w:t>
      </w:r>
    </w:p>
    <w:p w14:paraId="6166A702"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3A21EF76"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г. с конвейера ЧТЗ сошел первый трактор промышленного производства «Стапинец-60» (С-60), а 1 июня завод полностью вошел в строй. К тому времени собрали 13 машин установочной партии. К 7 ноября 1933 г. на ЧТЗ выпустили тысячный трактор С-60. Всего за 1933 г. изготовили 1650 машин, за 1934 г. — 10100, за 1935 г. - 20450, за 1936 г. - 29059, до 31 марта 1937 г. - 8002 (в марте - 2810) (12258).</w:t>
      </w:r>
    </w:p>
    <w:p w14:paraId="42EC65BF"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5F261F4B" w14:textId="77777777" w:rsidR="00493616" w:rsidRPr="00142305" w:rsidRDefault="00493616" w:rsidP="004936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мая 1933 г. с конвейера ЧТЗ сошел первый серийный «Сталинец» С-60 (25588).</w:t>
      </w:r>
    </w:p>
    <w:p w14:paraId="548B61CD" w14:textId="77777777" w:rsidR="00493616" w:rsidRPr="00142305" w:rsidRDefault="00493616" w:rsidP="00493616">
      <w:pPr>
        <w:spacing w:after="0" w:line="240" w:lineRule="auto"/>
        <w:jc w:val="both"/>
        <w:rPr>
          <w:rFonts w:ascii="Times New Roman" w:hAnsi="Times New Roman"/>
          <w:color w:val="0070C0"/>
          <w:sz w:val="16"/>
          <w:szCs w:val="16"/>
        </w:rPr>
      </w:pPr>
    </w:p>
    <w:p w14:paraId="02082F1A" w14:textId="77777777" w:rsidR="00180F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F039C57" w14:textId="77777777" w:rsidR="00180F83" w:rsidRPr="0044524F" w:rsidRDefault="00180F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916950" w14:textId="77777777" w:rsidR="00180F83" w:rsidRPr="0044524F" w:rsidRDefault="00180F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в 1933 году были утверждены единые для всех регионов страны «Правила движения автомобильного и гужевого транспорта по дорогам СССР» (14892).</w:t>
      </w:r>
    </w:p>
    <w:p w14:paraId="1D81D2EB" w14:textId="77777777" w:rsidR="00180F83" w:rsidRPr="0044524F" w:rsidRDefault="00180F83" w:rsidP="009654CF">
      <w:pPr>
        <w:spacing w:after="0" w:line="240" w:lineRule="auto"/>
        <w:jc w:val="both"/>
        <w:rPr>
          <w:rFonts w:ascii="Times New Roman" w:hAnsi="Times New Roman"/>
          <w:color w:val="000000" w:themeColor="text1"/>
          <w:sz w:val="16"/>
          <w:szCs w:val="16"/>
        </w:rPr>
      </w:pPr>
    </w:p>
    <w:p w14:paraId="18854555" w14:textId="77777777" w:rsidR="0042145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BC19E0D" w14:textId="77777777" w:rsidR="00421459" w:rsidRPr="0044524F" w:rsidRDefault="0042145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DD94032" w14:textId="77777777" w:rsidR="00DD6690" w:rsidRPr="0044524F" w:rsidRDefault="0042145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15 мая 1933 г. министр обороны Германии Вернер фон Бломберг издал приказ об обязательной отдаче нацистского приветствия нацистскому флагу и шествиям национальных союзов – т.е. СА, СС, гитлерюгенту и «Стальному шлему». За неисполнение данных приказов полагались взыскания, вплоть до арестов. </w:t>
      </w:r>
      <w:r w:rsidR="00DD6690" w:rsidRPr="0044524F">
        <w:rPr>
          <w:rFonts w:ascii="Times New Roman" w:hAnsi="Times New Roman"/>
          <w:color w:val="000000" w:themeColor="text1"/>
          <w:sz w:val="16"/>
          <w:szCs w:val="16"/>
        </w:rPr>
        <w:t xml:space="preserve">19 сентября 1933 г. </w:t>
      </w:r>
      <w:r w:rsidRPr="0044524F">
        <w:rPr>
          <w:rFonts w:ascii="Times New Roman" w:hAnsi="Times New Roman"/>
          <w:color w:val="000000" w:themeColor="text1"/>
          <w:sz w:val="16"/>
          <w:szCs w:val="16"/>
        </w:rPr>
        <w:t xml:space="preserve">он </w:t>
      </w:r>
      <w:r w:rsidR="00DD6690" w:rsidRPr="0044524F">
        <w:rPr>
          <w:rFonts w:ascii="Times New Roman" w:hAnsi="Times New Roman"/>
          <w:color w:val="000000" w:themeColor="text1"/>
          <w:sz w:val="16"/>
          <w:szCs w:val="16"/>
        </w:rPr>
        <w:t xml:space="preserve">отдал приказ, который фактически </w:t>
      </w:r>
      <w:r w:rsidR="00DD6690" w:rsidRPr="0044524F">
        <w:rPr>
          <w:rFonts w:ascii="Times New Roman" w:hAnsi="Times New Roman"/>
          <w:bCs/>
          <w:iCs/>
          <w:color w:val="000000" w:themeColor="text1"/>
          <w:sz w:val="16"/>
          <w:szCs w:val="16"/>
        </w:rPr>
        <w:t>нацифицировал вермахт</w:t>
      </w:r>
      <w:r w:rsidR="00DD6690" w:rsidRPr="0044524F">
        <w:rPr>
          <w:rFonts w:ascii="Times New Roman" w:hAnsi="Times New Roman"/>
          <w:color w:val="000000" w:themeColor="text1"/>
          <w:sz w:val="16"/>
          <w:szCs w:val="16"/>
        </w:rPr>
        <w:t>. Этот приказ требовал от военнослужащих в военной форме отдавать честь членам НСДАП, одетым в нацистскую форму, а от военнослужащих в штатской форме приветствовать нацистов нацистским приветствием. Это было беспрецедентное для военной практики решение</w:t>
      </w:r>
      <w:r w:rsidRPr="0044524F">
        <w:rPr>
          <w:rFonts w:ascii="Times New Roman" w:hAnsi="Times New Roman"/>
          <w:color w:val="000000" w:themeColor="text1"/>
          <w:sz w:val="16"/>
          <w:szCs w:val="16"/>
        </w:rPr>
        <w:t xml:space="preserve"> (17325)</w:t>
      </w:r>
      <w:r w:rsidR="00DD6690" w:rsidRPr="0044524F">
        <w:rPr>
          <w:rFonts w:ascii="Times New Roman" w:hAnsi="Times New Roman"/>
          <w:color w:val="000000" w:themeColor="text1"/>
          <w:sz w:val="16"/>
          <w:szCs w:val="16"/>
        </w:rPr>
        <w:t>.</w:t>
      </w:r>
    </w:p>
    <w:p w14:paraId="7280B872" w14:textId="77777777" w:rsidR="00DD6690" w:rsidRPr="0044524F" w:rsidRDefault="00DD6690" w:rsidP="009654CF">
      <w:pPr>
        <w:spacing w:after="0" w:line="240" w:lineRule="auto"/>
        <w:jc w:val="both"/>
        <w:rPr>
          <w:rFonts w:ascii="Times New Roman" w:hAnsi="Times New Roman"/>
          <w:color w:val="000000" w:themeColor="text1"/>
          <w:sz w:val="16"/>
          <w:szCs w:val="16"/>
        </w:rPr>
      </w:pPr>
    </w:p>
    <w:p w14:paraId="4F30D809"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FDCBD65"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25A834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мая 1933 был готов И-14 (1454,24) c Бристоль IVS2 мощностью 500 нр (1719,46).</w:t>
      </w:r>
    </w:p>
    <w:p w14:paraId="156B7F2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7FAE4B2"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середине мая 1933 завершилась постройка первого экземпляра самолета И-14. Председателем комиссии главка по приемке его на испытания назначили Н.Н.По</w:t>
      </w:r>
      <w:r w:rsidRPr="0044524F">
        <w:rPr>
          <w:rFonts w:ascii="Times New Roman" w:hAnsi="Times New Roman"/>
          <w:color w:val="000000" w:themeColor="text1"/>
          <w:sz w:val="16"/>
          <w:szCs w:val="16"/>
        </w:rPr>
        <w:softHyphen/>
        <w:t>ликарпова. Как вспоминал один из ветеранов КБ, В.И.Тарасов, Павел Осипович Сухой очень нервничал, услышав об этом. Н.Н.Поликарпов, числившийся его заместителем по конструкторской бригаде, прекрасно знал все достоинства и недостатки машины и при жела</w:t>
      </w:r>
      <w:r w:rsidRPr="0044524F">
        <w:rPr>
          <w:rFonts w:ascii="Times New Roman" w:hAnsi="Times New Roman"/>
          <w:color w:val="000000" w:themeColor="text1"/>
          <w:sz w:val="16"/>
          <w:szCs w:val="16"/>
        </w:rPr>
        <w:softHyphen/>
        <w:t>нии мог «зарубить» передачу истребителя на испыта</w:t>
      </w:r>
      <w:r w:rsidRPr="0044524F">
        <w:rPr>
          <w:rFonts w:ascii="Times New Roman" w:hAnsi="Times New Roman"/>
          <w:color w:val="000000" w:themeColor="text1"/>
          <w:sz w:val="16"/>
          <w:szCs w:val="16"/>
        </w:rPr>
        <w:softHyphen/>
        <w:t>ния. Сухой встретил Поликарпова на аэродроме.</w:t>
      </w:r>
    </w:p>
    <w:p w14:paraId="4F246A76"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Как Вам машина, Николай Николаевич? - спросил Сухой.</w:t>
      </w:r>
    </w:p>
    <w:p w14:paraId="43151CFD"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Ничего машина, - односложно отвечает Поликар</w:t>
      </w:r>
      <w:r w:rsidRPr="0044524F">
        <w:rPr>
          <w:rFonts w:ascii="Times New Roman" w:hAnsi="Times New Roman"/>
          <w:color w:val="000000" w:themeColor="text1"/>
          <w:sz w:val="16"/>
          <w:szCs w:val="16"/>
        </w:rPr>
        <w:softHyphen/>
        <w:t>пов.</w:t>
      </w:r>
    </w:p>
    <w:p w14:paraId="1C05F3DF"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 крыло мы сделали с металлической обшивкой, хотя и гофрированной. Как Вам крыло?</w:t>
      </w:r>
    </w:p>
    <w:p w14:paraId="2B69834F"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Ничего крыло.</w:t>
      </w:r>
    </w:p>
    <w:p w14:paraId="09DF4A9D"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Сухой подводит гостя к шасси.</w:t>
      </w:r>
    </w:p>
    <w:p w14:paraId="563E2580"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Вот видите, шасси мы сделали убирающимся. Как Вам шасси? - спрашивает Павел Осипович.</w:t>
      </w:r>
    </w:p>
    <w:p w14:paraId="29318FBF"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Ничего шасси, - слышится в ответ спокойный го</w:t>
      </w:r>
      <w:r w:rsidRPr="0044524F">
        <w:rPr>
          <w:rFonts w:ascii="Times New Roman" w:hAnsi="Times New Roman"/>
          <w:color w:val="000000" w:themeColor="text1"/>
          <w:sz w:val="16"/>
          <w:szCs w:val="16"/>
        </w:rPr>
        <w:softHyphen/>
        <w:t>лос Поликарпова.</w:t>
      </w:r>
    </w:p>
    <w:p w14:paraId="6D64499B"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Сухой сажает Поликарпова в кабину, показывает расположение оборудования и приборов.</w:t>
      </w:r>
    </w:p>
    <w:p w14:paraId="3B68BA7E"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Как Вам кабина, Николай Николаевич, как обзор, что видно?</w:t>
      </w:r>
    </w:p>
    <w:p w14:paraId="3BC73EE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Да ничего из нее не видно, - невозмутимо отвечает Поликарпов и после этого также невозмутимо подпи</w:t>
      </w:r>
      <w:r w:rsidRPr="0044524F">
        <w:rPr>
          <w:rFonts w:ascii="Times New Roman" w:hAnsi="Times New Roman"/>
          <w:color w:val="000000" w:themeColor="text1"/>
          <w:sz w:val="16"/>
          <w:szCs w:val="16"/>
        </w:rPr>
        <w:softHyphen/>
        <w:t>сывает акт о допуске самолета к первому полету (10667).</w:t>
      </w:r>
    </w:p>
    <w:p w14:paraId="65C5EB0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BF5FF98"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середине мая 1933 завершилась по</w:t>
      </w:r>
      <w:r w:rsidRPr="0044524F">
        <w:rPr>
          <w:rFonts w:ascii="Times New Roman" w:hAnsi="Times New Roman"/>
          <w:color w:val="000000" w:themeColor="text1"/>
          <w:sz w:val="16"/>
          <w:szCs w:val="16"/>
        </w:rPr>
        <w:softHyphen/>
        <w:t>стройка первого экземпляра И-14. Председателем комиссии главка по приемке его на испытания назначили Н.Н. Поликарпова. Как вспоминал один из ветеранов КБ В.И. Тарасов, Павел Осипович Сухой очень нервничал, услышав об этом. Н.Н. Поликарпов, числившийся его заместителем по кон</w:t>
      </w:r>
      <w:r w:rsidRPr="0044524F">
        <w:rPr>
          <w:rFonts w:ascii="Times New Roman" w:hAnsi="Times New Roman"/>
          <w:color w:val="000000" w:themeColor="text1"/>
          <w:sz w:val="16"/>
          <w:szCs w:val="16"/>
        </w:rPr>
        <w:softHyphen/>
        <w:t>структорской бригаде, прекрасно знал все достоинства и недостатки машины и при желании мог «зарубить» передачу истребителя на испытания. Сухой встре</w:t>
      </w:r>
      <w:r w:rsidRPr="0044524F">
        <w:rPr>
          <w:rFonts w:ascii="Times New Roman" w:hAnsi="Times New Roman"/>
          <w:color w:val="000000" w:themeColor="text1"/>
          <w:sz w:val="16"/>
          <w:szCs w:val="16"/>
        </w:rPr>
        <w:softHyphen/>
        <w:t>тил Поликарпова на аэродроме.</w:t>
      </w:r>
    </w:p>
    <w:p w14:paraId="075B4735"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Вам машина, Николай Никола</w:t>
      </w:r>
      <w:r w:rsidRPr="0044524F">
        <w:rPr>
          <w:rFonts w:ascii="Times New Roman" w:hAnsi="Times New Roman"/>
          <w:color w:val="000000" w:themeColor="text1"/>
          <w:sz w:val="16"/>
          <w:szCs w:val="16"/>
        </w:rPr>
        <w:softHyphen/>
        <w:t>евич? - спросил Сухой.</w:t>
      </w:r>
    </w:p>
    <w:p w14:paraId="53C77FB0"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Ничего машина, - односложно от</w:t>
      </w:r>
      <w:r w:rsidRPr="0044524F">
        <w:rPr>
          <w:rFonts w:ascii="Times New Roman" w:hAnsi="Times New Roman"/>
          <w:color w:val="000000" w:themeColor="text1"/>
          <w:sz w:val="16"/>
          <w:szCs w:val="16"/>
        </w:rPr>
        <w:softHyphen/>
        <w:t>вечает Поликарпов.</w:t>
      </w:r>
    </w:p>
    <w:p w14:paraId="277A6F10"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крыло мы сделали с металличе</w:t>
      </w:r>
      <w:r w:rsidRPr="0044524F">
        <w:rPr>
          <w:rFonts w:ascii="Times New Roman" w:hAnsi="Times New Roman"/>
          <w:color w:val="000000" w:themeColor="text1"/>
          <w:sz w:val="16"/>
          <w:szCs w:val="16"/>
        </w:rPr>
        <w:softHyphen/>
        <w:t>ской обшивкой, хотя и гофрированной. Как Вам крыло?</w:t>
      </w:r>
    </w:p>
    <w:p w14:paraId="1F037069"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Ничего крыло.</w:t>
      </w:r>
    </w:p>
    <w:p w14:paraId="61FC3D71"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Сухой подводит гостя к шасси.</w:t>
      </w:r>
    </w:p>
    <w:p w14:paraId="24CDF4F7"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Вот видите, шасси мы сделали убирающимся. Как Вам шасси? - спра</w:t>
      </w:r>
      <w:r w:rsidRPr="0044524F">
        <w:rPr>
          <w:rFonts w:ascii="Times New Roman" w:hAnsi="Times New Roman"/>
          <w:color w:val="000000" w:themeColor="text1"/>
          <w:sz w:val="16"/>
          <w:szCs w:val="16"/>
        </w:rPr>
        <w:softHyphen/>
        <w:t>шивает Павел Осипович.</w:t>
      </w:r>
    </w:p>
    <w:p w14:paraId="0C3B6433"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Ничего шасси, - слышится в ответ спокойный голос Поликарпова.</w:t>
      </w:r>
    </w:p>
    <w:p w14:paraId="5D7FC268"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Сухой сажает Поликарпова в кабину, показывает расположение оборудования и приборов.</w:t>
      </w:r>
    </w:p>
    <w:p w14:paraId="0951ED5F"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Как Вам кабина, Николай Николае</w:t>
      </w:r>
      <w:r w:rsidRPr="0044524F">
        <w:rPr>
          <w:rFonts w:ascii="Times New Roman" w:hAnsi="Times New Roman"/>
          <w:color w:val="000000" w:themeColor="text1"/>
          <w:sz w:val="16"/>
          <w:szCs w:val="16"/>
        </w:rPr>
        <w:softHyphen/>
        <w:t>вич, как обзор, что видно?</w:t>
      </w:r>
    </w:p>
    <w:p w14:paraId="270C03F8" w14:textId="77777777" w:rsidR="00307FF7" w:rsidRPr="0044524F" w:rsidRDefault="00307F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Да ничего из нее не видно! - невозмутимо отвечает Поликарпов и после этого также невозмутимо подписывает акт о допуске само</w:t>
      </w:r>
      <w:r w:rsidRPr="0044524F">
        <w:rPr>
          <w:rFonts w:ascii="Times New Roman" w:hAnsi="Times New Roman"/>
          <w:color w:val="000000" w:themeColor="text1"/>
          <w:sz w:val="16"/>
          <w:szCs w:val="16"/>
        </w:rPr>
        <w:softHyphen/>
        <w:t>лета к первому полету (23455).</w:t>
      </w:r>
    </w:p>
    <w:p w14:paraId="13010C40" w14:textId="77777777" w:rsidR="00307FF7" w:rsidRPr="0044524F" w:rsidRDefault="00307FF7" w:rsidP="009654CF">
      <w:pPr>
        <w:spacing w:after="0" w:line="240" w:lineRule="auto"/>
        <w:jc w:val="both"/>
        <w:rPr>
          <w:rFonts w:ascii="Times New Roman" w:hAnsi="Times New Roman"/>
          <w:color w:val="000000" w:themeColor="text1"/>
          <w:sz w:val="16"/>
          <w:szCs w:val="16"/>
        </w:rPr>
      </w:pPr>
    </w:p>
    <w:p w14:paraId="7C41ECA8"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середине мая 1933 г. завершилась постройка первого экземпляра самолета И-14. Председателем комиссии Главка по приемке его на испытания назначили Н. Н. Поликарпова. Как вспоминал один из ветеранов КБ В. И. Тарасов, Павел Осипович Сухой очень нервничал, услышав об этом.</w:t>
      </w:r>
    </w:p>
    <w:p w14:paraId="0820DE26"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 Н. Поликарпов, числившийся его заместителем по конструкторской бригаде, прекрасно знал все достоинства и недостатки машины и при желании мог «зарубить» передачу истребителя на испытания. Сухой встретил Поликарпова на аэродроме.</w:t>
      </w:r>
    </w:p>
    <w:p w14:paraId="6FF707AE"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Как Вам машина, Николай Николаевич? — спросил Сухой.</w:t>
      </w:r>
    </w:p>
    <w:p w14:paraId="72EEA108"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Ничего машина, — односложно отвечает Поликарпов.</w:t>
      </w:r>
    </w:p>
    <w:p w14:paraId="47A4B5CE"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А крыло мы сделали с металлической обшивкой, хотя и гофрированной. Как Вам крыло?</w:t>
      </w:r>
    </w:p>
    <w:p w14:paraId="14DF6A18"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Ничего крыло.</w:t>
      </w:r>
    </w:p>
    <w:p w14:paraId="59F5CE6B"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Сухой подводит гостя к шасси.</w:t>
      </w:r>
    </w:p>
    <w:p w14:paraId="45FCC573"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Вот видите, шасси мы сделали убирающимся. Как Вам шасси? — спрашивает Павел Осипович.</w:t>
      </w:r>
    </w:p>
    <w:p w14:paraId="0D2F99CF"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Ничего шасси, — слышится в ответ спокойный голос Поликарпова.</w:t>
      </w:r>
    </w:p>
    <w:p w14:paraId="762C432F"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Сухой сажает Поликарпова в кабину, показывает расположение оборудования и приборов.</w:t>
      </w:r>
    </w:p>
    <w:p w14:paraId="1B1A49A1"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Как Вам кабина, Николай Николаевич, как обзор, что видно?</w:t>
      </w:r>
    </w:p>
    <w:p w14:paraId="5A875A29"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Да ничего из нее не видно, — невозмутимо отвечает Поликарпов и после этого так же невозмутимо подписывает акт о допуске самолета к первому полету.</w:t>
      </w:r>
    </w:p>
    <w:p w14:paraId="159ACB56"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Выпущенный на испытания И-14 имел цельнометаллическую конструкцию, но своеобразную, свойственную переходному периоду в развитии отечественной авиации. Лонжероны крыла были ферменные из труб, нервюры, шпангоуты из профилей. Фюзеляж и киль имели гладкую металлическую обшивку, крыло и оперение — гофрированную. Длина самолета равнялась 6,1 м, размах крыла — 11,2 м, площадь крыла — 16,8 кв. м, но омываемая площадь крыла из-за гофра была значительно больше. Двигатель Бристоль «Меркур» VS2 закрывал капот НАКА. Фонарь кабины не сдвигался, летчик попадал в нее через откидную крышку и боковину фонаря. Самолет предполагалось вооружить двумя динамореактивными пушками АПК-37, но к первому полету они установлены не были (25035).</w:t>
      </w:r>
    </w:p>
    <w:p w14:paraId="6E77600E" w14:textId="77777777" w:rsidR="00BE7B0D" w:rsidRPr="00142305" w:rsidRDefault="00BE7B0D" w:rsidP="00BE7B0D">
      <w:pPr>
        <w:spacing w:after="0" w:line="240" w:lineRule="auto"/>
        <w:jc w:val="both"/>
        <w:rPr>
          <w:rFonts w:ascii="Times New Roman" w:hAnsi="Times New Roman"/>
          <w:color w:val="0070C0"/>
          <w:sz w:val="16"/>
          <w:szCs w:val="16"/>
        </w:rPr>
      </w:pPr>
    </w:p>
    <w:p w14:paraId="74D75392" w14:textId="77777777" w:rsidR="00197613" w:rsidRPr="0044524F" w:rsidRDefault="001976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середине мая 1933 бригада № 2 ЦКБ выпустила проект маневренного истребителя И-15 (ЦКБ-3) с мотором Райт «Циклон» SGR- 1820 F-3. Самолет-полутораплан с изогнутым верхним крылом типа «чайка» имел длину 6,1 метра, размах верхнего крыла составлял 9,75 метра, взлетный вес – 1340 кг. Вес самолета уменьшился в результате применения новых конструкционных материалов: хромомолибденовых труб, листового электрона. Профиль крыла Геттинген 436 (10% – на верхнем крыле и 12% – на нижнем) (18254).</w:t>
      </w:r>
    </w:p>
    <w:p w14:paraId="03ADFFEE" w14:textId="77777777" w:rsidR="00197613" w:rsidRPr="0044524F" w:rsidRDefault="00197613" w:rsidP="009654CF">
      <w:pPr>
        <w:spacing w:after="0" w:line="240" w:lineRule="auto"/>
        <w:jc w:val="both"/>
        <w:rPr>
          <w:rFonts w:ascii="Times New Roman" w:hAnsi="Times New Roman"/>
          <w:color w:val="000000" w:themeColor="text1"/>
          <w:sz w:val="16"/>
          <w:szCs w:val="16"/>
        </w:rPr>
      </w:pPr>
    </w:p>
    <w:p w14:paraId="453FF28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середине мая 1933 бригада № 2 выпустила проект маневренного истребителя И-15 (ЦКБ-3) с мотором Райт «Циклон» SGR-1820 F-3. Самолет-полутораплан с изогнутым верхним крылом типа «чайка» имел длину 6,1 метра, размах верхнего крыла составлял 9,75 метра, взлетный вес - 1340 кг. Вес самолета уменьшился в результате применения новых конструкционных материалов: хромомолибдено-выхтруб, листового электрона. Профиль крыла Геттинген 436 (10% - на верхнем крыле и 12% - на нижнем).</w:t>
      </w:r>
    </w:p>
    <w:p w14:paraId="4148E1B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атмосфере, царившей в конструкторском бюро, писал Дмитрий Людвигович Томашевич в своих воспоминаниях:</w:t>
      </w:r>
    </w:p>
    <w:p w14:paraId="24070E4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«Здесь я... не ощущал никакого давления. Просто говорил Николаю Николаевичу: «На таком-то самолете сделано так-то и, мне кажется, лучше, чем на таком-то», и обычно получал согласие или слушал сомнения в добротности конструкции, обоснованные технологически. Это заставляло и самого подумать еще раз, прежде чем принимать решение.</w:t>
      </w:r>
    </w:p>
    <w:p w14:paraId="3DBC995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не было хороших образцов, то искали сами, делали образцы, испытывали. Так было и с нервюрами, которые удалось сделать простыми и надежными. И всегда получал немногословное и ненапыщенное одобрение. Свои предложения Николай Николаевич излагал в виде желания посоветоваться... Работу выполняли весело и напористо...</w:t>
      </w:r>
    </w:p>
    <w:p w14:paraId="07541BC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И-15 было реализовано несколько моих изобретений и рацпредложений. Они были приняты Николаем Николаевичем как-то естественно, без грохота и без препон, как теперь часто бывает» (9536,5).</w:t>
      </w:r>
    </w:p>
    <w:p w14:paraId="40BAE52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CF60207"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мая 1933 состоялась встреча руководства РККА и делегацией рейхсвера во главе с г А.Боккельбергом, новым нач. Вооружений. ВОХИМУ в качекстве главного условия продолжения экспериментов выдвигало требования доставить на Томку новые, более стойкие и эффективные по воздействию ОВ с обеспеченим доступа к ним советских специалистов. Отказались и встал вопрос о свертывании объекта, но решили продолжить эксперименты до сентября-ноября 1933, при условии, что немцы представят новейшие противогазы, защитные костюмы и газометы. Немцы опять утверждали, что новых ОВ у них нет (6121).</w:t>
      </w:r>
    </w:p>
    <w:p w14:paraId="64B89FDB"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9D9822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мая 1933 г. на территории Советского Союза потерпел катастрофу немецкий стратостат "Deutshland". Стратонавты Мартин Шренк и Виктор Мазух погибли. Их тела встретили 18 мая на Ржевском вокзале Москвы и в этот же день отправили через Александровский вокзал в Германию. Очевидно, причиной неудачи стала недостаточная тщательность подготовки полета, "Deutshland" назывался спортивным стратостатом, не имел герметической кабины, а необходимая жизнедеятельность стратонавтов обеспечивалась стандартной кислородной аппаратурой для высотных полетов самолетов. Согласно данным самописцев, обнаруженных на этом разбившемся аппарате, он сумел достичь максимальной высоты 9750 м. Полет немецкого стратостата производился для добычи высотного рекорда, однако, как показывают события, имел определенное отношение к теме нашего повествования (11941).</w:t>
      </w:r>
    </w:p>
    <w:p w14:paraId="4863EE9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63DF7B2C" w14:textId="77777777" w:rsidR="00EC1465" w:rsidRPr="0044524F" w:rsidRDefault="00EC146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F8536C8" w14:textId="77777777" w:rsidR="00EC1465" w:rsidRPr="0044524F" w:rsidRDefault="00EC146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D12E4F6" w14:textId="77777777" w:rsidR="00EC1465" w:rsidRPr="0044524F" w:rsidRDefault="00EC14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середине мая 1933 г. на совещании у за</w:t>
      </w:r>
      <w:r w:rsidRPr="0044524F">
        <w:rPr>
          <w:rFonts w:ascii="Times New Roman" w:hAnsi="Times New Roman"/>
          <w:color w:val="000000" w:themeColor="text1"/>
          <w:sz w:val="16"/>
          <w:szCs w:val="16"/>
        </w:rPr>
        <w:softHyphen/>
        <w:t>местителя Наркома тяжелой промышленности по вопросу проведения международного конкурса ди</w:t>
      </w:r>
      <w:r w:rsidRPr="0044524F">
        <w:rPr>
          <w:rFonts w:ascii="Times New Roman" w:hAnsi="Times New Roman"/>
          <w:color w:val="000000" w:themeColor="text1"/>
          <w:sz w:val="16"/>
          <w:szCs w:val="16"/>
        </w:rPr>
        <w:softHyphen/>
        <w:t>зельных моторов автотракторного типа постано</w:t>
      </w:r>
      <w:r w:rsidRPr="0044524F">
        <w:rPr>
          <w:rFonts w:ascii="Times New Roman" w:hAnsi="Times New Roman"/>
          <w:color w:val="000000" w:themeColor="text1"/>
          <w:sz w:val="16"/>
          <w:szCs w:val="16"/>
        </w:rPr>
        <w:softHyphen/>
        <w:t>вили: фирме, занявшей первое место, выплатить 100 тыс. долларов: за мотор, комплект рабочих чер</w:t>
      </w:r>
      <w:r w:rsidRPr="0044524F">
        <w:rPr>
          <w:rFonts w:ascii="Times New Roman" w:hAnsi="Times New Roman"/>
          <w:color w:val="000000" w:themeColor="text1"/>
          <w:sz w:val="16"/>
          <w:szCs w:val="16"/>
        </w:rPr>
        <w:softHyphen/>
        <w:t>тежей, технико-производственных и конструктор</w:t>
      </w:r>
      <w:r w:rsidRPr="0044524F">
        <w:rPr>
          <w:rFonts w:ascii="Times New Roman" w:hAnsi="Times New Roman"/>
          <w:color w:val="000000" w:themeColor="text1"/>
          <w:sz w:val="16"/>
          <w:szCs w:val="16"/>
        </w:rPr>
        <w:softHyphen/>
        <w:t>ских указаний -15-20 тыс. долларов, и за 100 шт. дизельмоторов - остальные 80-85 тыс. долларов (22518).</w:t>
      </w:r>
    </w:p>
    <w:p w14:paraId="28E6794D" w14:textId="77777777" w:rsidR="00EC1465" w:rsidRPr="0044524F" w:rsidRDefault="00EC1465" w:rsidP="009654CF">
      <w:pPr>
        <w:spacing w:after="0" w:line="240" w:lineRule="auto"/>
        <w:jc w:val="both"/>
        <w:rPr>
          <w:rFonts w:ascii="Times New Roman" w:hAnsi="Times New Roman"/>
          <w:color w:val="000000" w:themeColor="text1"/>
          <w:sz w:val="16"/>
          <w:szCs w:val="16"/>
        </w:rPr>
      </w:pPr>
    </w:p>
    <w:p w14:paraId="3CC4BC18" w14:textId="77777777" w:rsidR="00197613" w:rsidRPr="0044524F" w:rsidRDefault="00197613"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6270C91F" w14:textId="77777777" w:rsidR="00197613" w:rsidRPr="0044524F" w:rsidRDefault="0019761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BE09363" w14:textId="77777777" w:rsidR="00197613" w:rsidRPr="0044524F" w:rsidRDefault="001976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мая 1933 г. в Москве состоялась встреча между руководством РККА и делегацией рейхсвера, возглавляемой генерал-лейтенантом А. Боккельбергом, новым начальником управления вооружений рейхсвера. Главным условием продолжения совместных экспериментов ВОХИМУ выдвигало требование: доставить на «Томку» новые, более стойкие, эффективные по своему воздействию отравляющие вещества с обеспечением доступа к ним советских специалистов. Однако немцы не спешили реагировать на это требование. И тогда весной 1933 г. встал вопрос о свертывании объекта «Томка» по инициативе Москвы. Возникшая напряженность в политических отношениях между двумя странами, в связи с приходом Гитлера к власти, делала позицию руководства РККА, в частности, Наркома К.Е. Ворошилова, начальника штаба РККА А.И. Егорова, начальника вооружений РККА М.Н. Тухачевского, в вопросах военного сотрудничества с рейхсвером довольно жесткой (18271).</w:t>
      </w:r>
    </w:p>
    <w:p w14:paraId="118310BD" w14:textId="77777777" w:rsidR="00197613" w:rsidRPr="0044524F" w:rsidRDefault="00197613" w:rsidP="009654CF">
      <w:pPr>
        <w:spacing w:after="0" w:line="240" w:lineRule="auto"/>
        <w:jc w:val="both"/>
        <w:rPr>
          <w:rFonts w:ascii="Times New Roman" w:hAnsi="Times New Roman"/>
          <w:color w:val="000000" w:themeColor="text1"/>
          <w:sz w:val="16"/>
          <w:szCs w:val="16"/>
        </w:rPr>
      </w:pPr>
    </w:p>
    <w:p w14:paraId="6C25D8FB"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302097A"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0323D3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16-17 мая 1933 польские летчики Г.Баян и П.Дудзинский, участники звездного слета в Вене совершили перелет на двух спортивных машинах с механиками по маршруту Варшава-Харьков-Ленинград. 17 мая - вылетели назад в Вену (438,646).</w:t>
      </w:r>
    </w:p>
    <w:p w14:paraId="2262A9F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68C6FCC8" w14:textId="77777777" w:rsidR="00EC7268" w:rsidRPr="0044524F" w:rsidRDefault="00EC72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мая 1933 г. польские летчики Георг Баян и Петр Дудзннокий, участники звездного слета в Вене, совершили перелет Варшава-Харьков-Ленинград. Перелет совершался на двух самолетах спортивных с механиками. 17-го мая летчики вылетели в Вену. Благодаря четкому обслуживанию в пун</w:t>
      </w:r>
      <w:r w:rsidRPr="0044524F">
        <w:rPr>
          <w:rFonts w:ascii="Times New Roman" w:hAnsi="Times New Roman"/>
          <w:color w:val="000000" w:themeColor="text1"/>
          <w:sz w:val="16"/>
          <w:szCs w:val="16"/>
        </w:rPr>
        <w:softHyphen/>
        <w:t>ктах посадки летчики имели выигрыш во времени и в срок закончили свой перелет .Поляки остались довольны своим посещением СССР.</w:t>
      </w:r>
    </w:p>
    <w:p w14:paraId="34DC7A98" w14:textId="77777777" w:rsidR="00EC7268" w:rsidRPr="0044524F" w:rsidRDefault="00EC72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КИК СССР" за 16-18 мая 1933 г./ (23370).</w:t>
      </w:r>
    </w:p>
    <w:p w14:paraId="0957EF51" w14:textId="77777777" w:rsidR="00EC7268" w:rsidRPr="0044524F" w:rsidRDefault="00EC7268" w:rsidP="009654CF">
      <w:pPr>
        <w:spacing w:after="0" w:line="240" w:lineRule="auto"/>
        <w:jc w:val="both"/>
        <w:rPr>
          <w:rFonts w:ascii="Times New Roman" w:hAnsi="Times New Roman"/>
          <w:color w:val="000000" w:themeColor="text1"/>
          <w:sz w:val="16"/>
          <w:szCs w:val="16"/>
        </w:rPr>
      </w:pPr>
    </w:p>
    <w:p w14:paraId="133B5B98" w14:textId="77777777" w:rsidR="00FD33CB" w:rsidRPr="0044524F" w:rsidRDefault="00FD33CB"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16 мая 1933 в 5 часов утра экипажи двух самолетов PZL-19: пилот Ежи Баян (Jerzy Bajan) с механиком Густавом Покживкой (Gustaw Pokrzywka) и пилот Петр Дудзиньский (Piotr Dudzi;ski) со штурманом Войцеховским (O. Wojciechowski) вылетели с варшавского аэродрома Мокотув. Советско-польскую границу экипажи пролетели в 8 часов, затем они прошли над Брестом, Пинском, Мозырем, Черниговом и в 13.30 приземлились в Харькове. Заправившись, поляки собрались лететь в Ленинград, но представленные советскими метеорологами сводки предвещали крайне неблагоприятную погоду по маршруту и авиаторы были вынуждены направиться в Москву. Вероятно, погода за это время немного улучшилась и до конца дня летчики смогли из Москвы долететь до Ленинграда. Более того, в Ленинграде они успели поучаствовать в банкете, данном советскими авиационными руководителями в честь польских друзей, а затем отдохнуть в номерах гостиницы «Астория».</w:t>
      </w:r>
    </w:p>
    <w:p w14:paraId="67358F63" w14:textId="77777777" w:rsidR="00FD33CB" w:rsidRPr="0044524F" w:rsidRDefault="00FD33CB"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Вылет из Ленинграда состоялся в 5 часов утра. Экипаж Баяна произвел посадку во Львове в 12.16, а через 40 минут уже вылетел по направлению к Вене. Экипаж Дудзиньского приземлился на львовском аэродроме в 13.20, а в 13.50 – вновь взлетел.</w:t>
      </w:r>
    </w:p>
    <w:p w14:paraId="0CCAB983" w14:textId="77777777" w:rsidR="00FD33CB" w:rsidRPr="0044524F" w:rsidRDefault="00FD33CB"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В 16.25 самолет под управлением Ежи Баяна произвел посадку в Асперне. Самолет Дудзиньского попал в аварию (экипаж не пострадал), однако по сумме балов именно он в «Альпийском рейсе» занял третье место.</w:t>
      </w:r>
    </w:p>
    <w:p w14:paraId="583B8352" w14:textId="77777777" w:rsidR="00FD33CB" w:rsidRPr="0044524F" w:rsidRDefault="00FD3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«Альпийский рейс» (Alpenflug). В гонках участвовали многие известные авиаторы Европы на туристических легкомоторных самолетах. Состязания проходили по, так называемой звездной схеме, когда самолеты вылетали со своих аэродромов, прокладывали маршрут равной длины и прибывали на аэродром назначения в строго определенное время. В «Альпийском рейсе» все самолеты должны были финишировать в венском аэропорту Асперн (21438).</w:t>
      </w:r>
    </w:p>
    <w:p w14:paraId="7E29CB7C" w14:textId="77777777" w:rsidR="00FD33CB" w:rsidRPr="0044524F" w:rsidRDefault="00FD33CB" w:rsidP="009654CF">
      <w:pPr>
        <w:spacing w:after="0" w:line="240" w:lineRule="auto"/>
        <w:jc w:val="both"/>
        <w:rPr>
          <w:rFonts w:ascii="Times New Roman" w:hAnsi="Times New Roman"/>
          <w:color w:val="000000" w:themeColor="text1"/>
          <w:sz w:val="16"/>
          <w:szCs w:val="16"/>
        </w:rPr>
      </w:pPr>
    </w:p>
    <w:p w14:paraId="3E20454B"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70F1786"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906623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мая 1933 датирован подшитый к делам Дмитлага приказ ГУЛАГа № 50 «О запрещении использования на административной и культурно-воспитательной работе заключенных, осужденных за к.-р. преступления». Как показало обследование ряда лагерей, «указанный контингент» занимал в них должности начальников и помощников начальников лагпунктов, работал в аппаратах аттестационных комиссий и т. п. Впредь категорически запрещалось допускать политзаключенных «на какую бы то ни было работу в 3-их отделах Управлений лагерей и их филиалов», на административные должности выше начальника командировок, «на работу по линии связи в качестве радистов и телеграфистов», «в УРО выше должности нарядчика» и т. д (7560).</w:t>
      </w:r>
    </w:p>
    <w:p w14:paraId="24F3DA6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3A0DD717"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0016000"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FCCC74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мая 1933 К.А.Попов на ЦА выполнил первый полет на АНТ-31 (И-14) с Бристоль Меркурием, деревянным ВФШ, с 1хПВ-1 под капотом и без АПК (4020,11).</w:t>
      </w:r>
    </w:p>
    <w:p w14:paraId="3E04C7A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86B3C1C" w14:textId="37943C0B" w:rsidR="00180F83" w:rsidRPr="0044524F" w:rsidRDefault="00180F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мая 1933 г. сотрудник Дирижаблестроя Б. Воробьев в рапорте начальнику Дирижаблестроя И.А. Фельдману сделал вывод о том, что в Германии следует ожидать « поворота в сторону уделения большего внимания дирижаблестроению» [4, л. 232-233]. В 1933 г. дирижаблестроение пережило мощный удар, нанесенный гибелью «Акрона», но этот удар, как выяснилось позже, не был последним. Основными объектами работ верфи на 1934 г. были: строительство полужесткого дирижабля В-6 с окончанием к 1 октября 1934 г. и строительство полужесткого дирижабля</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В-7 объемом 9150 м3. В отличие от В-5, имевшего скорее учебное значение, дирижабль В-6 был предназначен для транспортного использования [1, с.148-150]. Выпуск В-6 объемом 18500 м3., ставшего крупнейшим советским дирижаблем, был наиболее важным итогом рассматриваемого периода (15797).</w:t>
      </w:r>
    </w:p>
    <w:p w14:paraId="24EDE919" w14:textId="77777777" w:rsidR="00180F83" w:rsidRPr="0044524F" w:rsidRDefault="00180F83" w:rsidP="009654CF">
      <w:pPr>
        <w:spacing w:after="0" w:line="240" w:lineRule="auto"/>
        <w:jc w:val="both"/>
        <w:rPr>
          <w:rFonts w:ascii="Times New Roman" w:hAnsi="Times New Roman"/>
          <w:color w:val="000000" w:themeColor="text1"/>
          <w:sz w:val="16"/>
          <w:szCs w:val="16"/>
        </w:rPr>
      </w:pPr>
    </w:p>
    <w:p w14:paraId="56141F46" w14:textId="77777777" w:rsidR="00180F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D00AD4D" w14:textId="77777777" w:rsidR="00180F83" w:rsidRPr="0044524F" w:rsidRDefault="00180F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0539E3" w14:textId="77777777" w:rsidR="00180F83" w:rsidRPr="0044524F" w:rsidRDefault="00180F83" w:rsidP="009654CF">
      <w:pPr>
        <w:pStyle w:val="rtejustify"/>
        <w:spacing w:before="0" w:after="0"/>
        <w:rPr>
          <w:color w:val="000000" w:themeColor="text1"/>
          <w:sz w:val="16"/>
          <w:szCs w:val="16"/>
        </w:rPr>
      </w:pPr>
      <w:r w:rsidRPr="0044524F">
        <w:rPr>
          <w:rStyle w:val="af0"/>
          <w:bCs/>
          <w:i w:val="0"/>
          <w:color w:val="000000" w:themeColor="text1"/>
          <w:sz w:val="16"/>
          <w:szCs w:val="16"/>
        </w:rPr>
        <w:t>17 мая</w:t>
      </w:r>
      <w:r w:rsidRPr="0044524F">
        <w:rPr>
          <w:color w:val="000000" w:themeColor="text1"/>
          <w:sz w:val="16"/>
          <w:szCs w:val="16"/>
        </w:rPr>
        <w:t xml:space="preserve"> 1933. Постановление Комиссии обороны СССР № 4 «О взрывателях и дистанционных трубках». (ГА РФ. Ф. Р</w:t>
      </w:r>
      <w:r w:rsidRPr="0044524F">
        <w:rPr>
          <w:color w:val="000000" w:themeColor="text1"/>
          <w:sz w:val="16"/>
          <w:szCs w:val="16"/>
        </w:rPr>
        <w:noBreakHyphen/>
        <w:t>8418. Оп. 28. Д. 25а. Л. 23</w:t>
      </w:r>
      <w:r w:rsidRPr="0044524F">
        <w:rPr>
          <w:color w:val="000000" w:themeColor="text1"/>
          <w:sz w:val="16"/>
          <w:szCs w:val="16"/>
        </w:rPr>
        <w:noBreakHyphen/>
        <w:t>30) (15460).</w:t>
      </w:r>
    </w:p>
    <w:p w14:paraId="298AAE48" w14:textId="77777777" w:rsidR="00180F83" w:rsidRPr="0044524F" w:rsidRDefault="00180F83" w:rsidP="009654CF">
      <w:pPr>
        <w:pStyle w:val="rtejustify"/>
        <w:spacing w:before="0" w:after="0"/>
        <w:rPr>
          <w:color w:val="000000" w:themeColor="text1"/>
          <w:sz w:val="16"/>
          <w:szCs w:val="16"/>
        </w:rPr>
      </w:pPr>
    </w:p>
    <w:p w14:paraId="484CBA86" w14:textId="77777777" w:rsidR="00180F83" w:rsidRPr="0044524F" w:rsidRDefault="00180F83" w:rsidP="009654CF">
      <w:pPr>
        <w:pStyle w:val="rtejustify"/>
        <w:spacing w:before="0" w:after="0"/>
        <w:rPr>
          <w:color w:val="000000" w:themeColor="text1"/>
          <w:sz w:val="16"/>
          <w:szCs w:val="16"/>
        </w:rPr>
      </w:pPr>
      <w:r w:rsidRPr="0044524F">
        <w:rPr>
          <w:rStyle w:val="af0"/>
          <w:bCs/>
          <w:i w:val="0"/>
          <w:color w:val="000000" w:themeColor="text1"/>
          <w:sz w:val="16"/>
          <w:szCs w:val="16"/>
        </w:rPr>
        <w:t>17 мая</w:t>
      </w:r>
      <w:r w:rsidRPr="0044524F">
        <w:rPr>
          <w:color w:val="000000" w:themeColor="text1"/>
          <w:sz w:val="16"/>
          <w:szCs w:val="16"/>
        </w:rPr>
        <w:t xml:space="preserve"> 1933. Постановление СТО СССР № 30сс/о «О размере бюджетного ассигнования на научно-исследовательские работы НКВМ в 1933 г.». (ГА РФ. Ф. Р</w:t>
      </w:r>
      <w:r w:rsidRPr="0044524F">
        <w:rPr>
          <w:color w:val="000000" w:themeColor="text1"/>
          <w:sz w:val="16"/>
          <w:szCs w:val="16"/>
        </w:rPr>
        <w:noBreakHyphen/>
        <w:t>8418. Оп. 28. Д. 1. Л. 141) (15460).</w:t>
      </w:r>
    </w:p>
    <w:p w14:paraId="429C93A0" w14:textId="77777777" w:rsidR="00180F83" w:rsidRPr="0044524F" w:rsidRDefault="00180F83" w:rsidP="009654CF">
      <w:pPr>
        <w:pStyle w:val="rtejustify"/>
        <w:spacing w:before="0" w:after="0"/>
        <w:rPr>
          <w:color w:val="000000" w:themeColor="text1"/>
          <w:sz w:val="16"/>
          <w:szCs w:val="16"/>
        </w:rPr>
      </w:pPr>
    </w:p>
    <w:p w14:paraId="0BD83F03"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1F6206C"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A4689E7"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мая 1933 в Германии запрещены забастовки (4962).</w:t>
      </w:r>
    </w:p>
    <w:p w14:paraId="5F254560"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E35848" w14:textId="77777777" w:rsidR="00362C4F" w:rsidRPr="0044524F" w:rsidRDefault="008D179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17 мая 1933 года Гитлер выступил в рейхстаге с "мирной речью" - одной из самых эффектных за все годы его деятельности; это был шедевр лживой пропаганды, глубоко взволновавший немецкий народ и сплотивший его вокруг фюрера. Большое впечатление произвела эта речь и за рубежом. Она была произнесена через день после того, как президент Рузвельт обратился к главам сорока четырех государств с сенсационным посланием, выразив в нем стремление Соединенных Штатов к разоружению и миру и призвав запретить всякое наступательное оружие - бомбардировщики, танки, подвижную тяжелую артиллерию. Гитлер не замедлил подхватить этот призыв и использовать его наилучшим образом."Предложение, внесенное президентом Рузвельтом, о котором я узнал вчера вечером, заслуживает самых теплых слов благодарности германского правительства. Оно готово одобрить такой способ преодоления международного кризиса... Предложение президента - это луч надежды для каждого, кто желает сотрудничать в деле сохранения мира... Германия целиком и полностью за запрещение всякого наступательного оружия, если вооруженные страны в свою очередь уничтожат наступательное оружие... Германия также готова ликвидировать все свои вооруженные силы и уничтожить те небольшие запасы оружия, которые у нас еще имеются, если также поступят соседние государства... Германия готова пойти на любой торжественный договор о ненападении, ибо думает она не о нападении, с о собственной безопасности"</w:t>
      </w:r>
    </w:p>
    <w:p w14:paraId="33BE84EB" w14:textId="77777777" w:rsidR="008D1795" w:rsidRPr="0044524F" w:rsidRDefault="00362C4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hAnsi="Times New Roman"/>
          <w:color w:val="000000" w:themeColor="text1"/>
          <w:sz w:val="16"/>
          <w:szCs w:val="16"/>
        </w:rPr>
        <w:t>Но в речи прозвучало одно предупреждение. Германия требует равенства с другими странами и прежде всего - в области вооружений. Если равенства не будет, она предпочтет уйти с конференции по разоружению и выйти из Лиги Наций</w:t>
      </w:r>
      <w:r w:rsidR="008D1795" w:rsidRPr="0044524F">
        <w:rPr>
          <w:rFonts w:ascii="Times New Roman" w:eastAsia="Times New Roman" w:hAnsi="Times New Roman"/>
          <w:color w:val="000000" w:themeColor="text1"/>
          <w:sz w:val="16"/>
          <w:szCs w:val="16"/>
          <w:lang w:eastAsia="ru-RU"/>
        </w:rPr>
        <w:t xml:space="preserve"> (17283).</w:t>
      </w:r>
    </w:p>
    <w:p w14:paraId="2EFDFF24" w14:textId="77777777" w:rsidR="008D1795" w:rsidRPr="0044524F" w:rsidRDefault="008D179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131E4C3" w14:textId="77777777" w:rsidR="005B4FE8" w:rsidRPr="0044524F" w:rsidRDefault="005B4FE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17 мая 1933 г. во Франции путем объединения четырех авиакомпаний образована государственная авиакомпания Эйр-Франс (17325).</w:t>
      </w:r>
    </w:p>
    <w:p w14:paraId="52220121" w14:textId="77777777" w:rsidR="005B4FE8" w:rsidRPr="0044524F" w:rsidRDefault="005B4FE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92253A"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AAB24E5"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2B344B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специальная комиссия рассмотрела И-4 N 1649 с 2хАПК-3бис (65 мм) под верхним крылом. Провели наземные испытания с зарядами различной мощности. При заряде 425 г наблюдалось разрушение обшивки. Выхлопные газу отсасывали обшивку (2693,14).</w:t>
      </w:r>
    </w:p>
    <w:p w14:paraId="72605DB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75F961D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мая 1933 Т.П.Сузи вылетел на И-4 с двумя АПК-36бис над верхнем правом (1060,53) крылом - через 2 с после выстрела - взрыв (203,28). Это происходило в Ленинграде и после взрыва, разрушившего 0.5 кв. м обшивки, - сел на Комендантский аэродром. По фото явно видно, что не над, а под крылом. Курчевский предлагал для И-4 и 67 мм гладкоствольную под картечь, но интереса пушка не вызвала (2693,14).</w:t>
      </w:r>
    </w:p>
    <w:p w14:paraId="7B2B863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этого специальная комиссия осмотрела машину (3996, 100).</w:t>
      </w:r>
    </w:p>
    <w:p w14:paraId="4FC9CC3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0BAC5624"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мая 1933 года в 14 ч 40 мин выстрел в воздухе привел к разрыву ствола правой пушки, и образованию в крыле И-4 под управлением Сузи рва</w:t>
      </w:r>
      <w:r w:rsidRPr="0044524F">
        <w:rPr>
          <w:rFonts w:ascii="Times New Roman" w:hAnsi="Times New Roman"/>
          <w:color w:val="000000" w:themeColor="text1"/>
          <w:sz w:val="16"/>
          <w:szCs w:val="16"/>
        </w:rPr>
        <w:softHyphen/>
        <w:t>ной дыры площадью более полуметра. Пи</w:t>
      </w:r>
      <w:r w:rsidRPr="0044524F">
        <w:rPr>
          <w:rFonts w:ascii="Times New Roman" w:hAnsi="Times New Roman"/>
          <w:color w:val="000000" w:themeColor="text1"/>
          <w:sz w:val="16"/>
          <w:szCs w:val="16"/>
        </w:rPr>
        <w:softHyphen/>
        <w:t>лоту удалось посадить поврежденный истре</w:t>
      </w:r>
      <w:r w:rsidRPr="0044524F">
        <w:rPr>
          <w:rFonts w:ascii="Times New Roman" w:hAnsi="Times New Roman"/>
          <w:color w:val="000000" w:themeColor="text1"/>
          <w:sz w:val="16"/>
          <w:szCs w:val="16"/>
        </w:rPr>
        <w:softHyphen/>
        <w:t>битель на Комендантский аэродром, что подтвердило высокую живучесть многолон- жеронного крыла этого самолета. Хотя ис</w:t>
      </w:r>
      <w:r w:rsidRPr="0044524F">
        <w:rPr>
          <w:rFonts w:ascii="Times New Roman" w:hAnsi="Times New Roman"/>
          <w:color w:val="000000" w:themeColor="text1"/>
          <w:sz w:val="16"/>
          <w:szCs w:val="16"/>
        </w:rPr>
        <w:softHyphen/>
        <w:t>пытания И-4 с АП К-Збис продолжились, однако вопрос о массовом перевооружении ис</w:t>
      </w:r>
      <w:r w:rsidRPr="0044524F">
        <w:rPr>
          <w:rFonts w:ascii="Times New Roman" w:hAnsi="Times New Roman"/>
          <w:color w:val="000000" w:themeColor="text1"/>
          <w:sz w:val="16"/>
          <w:szCs w:val="16"/>
        </w:rPr>
        <w:softHyphen/>
        <w:t>требителя более не поднимется. Известно, что позднее Курчевский предлагал для воо</w:t>
      </w:r>
      <w:r w:rsidRPr="0044524F">
        <w:rPr>
          <w:rFonts w:ascii="Times New Roman" w:hAnsi="Times New Roman"/>
          <w:color w:val="000000" w:themeColor="text1"/>
          <w:sz w:val="16"/>
          <w:szCs w:val="16"/>
        </w:rPr>
        <w:softHyphen/>
        <w:t>ружения И-4 гладкоствольную АПК калибра 67 мм, стреляющую картечью. Интереса это его предложение уже не вызвало (12295).</w:t>
      </w:r>
    </w:p>
    <w:p w14:paraId="6D7155BA"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2FF2B8A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мая 1933 г. в 14 ч. 40 мин. местного времени при выполнении стрельбы в воздухе произошел разрыв ствола правой пушки на расстоянии 38 см от казенного среза. При осмотре после посадки на комендантском аэродроме выяснилось, что непосредственно за местом разрыва ствола к дульной части заклинен снаряд. Снаряд раздут, с отпечатками нарезов на его поверхности вблизи центрирующего утолщения. Вокруг заклинившего снаряда в стволе обнаружены остатки деревянного донышка (поддона) и нитроклетчатки от гильзы. В правом крыле обнаружена рваная дыра площадью около квадратного метра.</w:t>
      </w:r>
    </w:p>
    <w:p w14:paraId="0DA3CBA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специальная комиссия осматривала И-4 № 1649 с установленными под верхними крыльями АПКЗбис. По внешнему виду пушки были признаны годными к стрельбе. Испытания проводились с различными по мощности зарядами, испытывалось не только орудие, но и влияние стрельбы на конструкцию самолета. Так, при использовании зарядов весом 425 г отмечалось разрушение обшивки фюзеляжа. Происходило так, что исходящие газы буквально «отсасывали» обшивку от конструкции самолета. Летные испытания и воздушные стрельбы на НИАПе вел летчик Сузи.</w:t>
      </w:r>
    </w:p>
    <w:p w14:paraId="5FC84A0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разрыва в ОКБ-1 началось изготовление двух новых пушек АПК-Збис. Первая из них была закончена к июню 1933 г., и летные испытания продолжились. Однако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АПК-Збис размещению не подлежит (12091).</w:t>
      </w:r>
    </w:p>
    <w:p w14:paraId="21CC437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3CC23BDA"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18 мая 1933 г. в ходе летных испытания и воздушные стрельбы с И-4 с АПК-3 бис Курчевского на НИАПе (летал летчик Сузи) в 14 ч. 40 мин. местного времени при выполнении стрельбы в воздухе произошел разрыв ствола правой пушки на расстоянии 38 см от казенного среза. При осмотре после посадки на комендантском аэродроме выяснилось, что непосредственно за местом разрыва ствола к дульной части заклинен снаряд. Снаряд раздут, с отпечатками нарезов на его поверхности вблизи центрирующего утолщения. Вокруг заклинившего снаряда в стволе обнаружены остатки деревянного донышка (поддона) и нитроклетчатки от гильзы. В правом крыле обнаружена рваная дыра площадью около квадратного метра.</w:t>
      </w:r>
    </w:p>
    <w:p w14:paraId="027EF2D7"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После разрыва в ОКБ-1 началось изготовление двух новых пушек АПК-3бис. Первая из них была закончена к июню 1933 г., и летные испытания продолжились.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АПК-3бис размещению не подлежит (25213).</w:t>
      </w:r>
    </w:p>
    <w:p w14:paraId="5B36D102" w14:textId="77777777" w:rsidR="00BE7B0D" w:rsidRPr="00142305" w:rsidRDefault="00BE7B0D" w:rsidP="00BE7B0D">
      <w:pPr>
        <w:spacing w:after="0" w:line="240" w:lineRule="auto"/>
        <w:jc w:val="both"/>
        <w:rPr>
          <w:rFonts w:ascii="Times New Roman" w:hAnsi="Times New Roman"/>
          <w:color w:val="0070C0"/>
          <w:sz w:val="16"/>
          <w:szCs w:val="16"/>
        </w:rPr>
      </w:pPr>
    </w:p>
    <w:p w14:paraId="3444CEB3" w14:textId="77777777" w:rsidR="00180F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EBA71C8" w14:textId="77777777" w:rsidR="00180F83" w:rsidRPr="0044524F" w:rsidRDefault="00180F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1ABEDCE" w14:textId="77777777" w:rsidR="00180F83" w:rsidRPr="0044524F" w:rsidRDefault="00180F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18 мая</w:t>
      </w:r>
      <w:r w:rsidRPr="0044524F">
        <w:rPr>
          <w:rStyle w:val="selected1"/>
          <w:rFonts w:ascii="Times New Roman" w:hAnsi="Times New Roman"/>
          <w:color w:val="000000" w:themeColor="text1"/>
          <w:sz w:val="16"/>
          <w:szCs w:val="16"/>
        </w:rPr>
        <w:t xml:space="preserve"> 1933 </w:t>
      </w:r>
      <w:r w:rsidRPr="0044524F">
        <w:rPr>
          <w:rFonts w:ascii="Times New Roman" w:hAnsi="Times New Roman"/>
          <w:color w:val="000000" w:themeColor="text1"/>
          <w:sz w:val="16"/>
          <w:szCs w:val="16"/>
        </w:rPr>
        <w:t>- Начало экспедиции ЭОН-1 (14895).</w:t>
      </w:r>
    </w:p>
    <w:p w14:paraId="1BCEE41C" w14:textId="77777777" w:rsidR="00180F83" w:rsidRPr="0044524F" w:rsidRDefault="00180F83" w:rsidP="009654CF">
      <w:pPr>
        <w:spacing w:after="0" w:line="240" w:lineRule="auto"/>
        <w:jc w:val="both"/>
        <w:rPr>
          <w:rFonts w:ascii="Times New Roman" w:hAnsi="Times New Roman"/>
          <w:color w:val="000000" w:themeColor="text1"/>
          <w:sz w:val="16"/>
          <w:szCs w:val="16"/>
        </w:rPr>
      </w:pPr>
    </w:p>
    <w:p w14:paraId="6B11CBB4" w14:textId="77777777" w:rsidR="008524B2"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24C0A7D0"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DF28DF0"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мая 1933 г. для создания Северной флотилии начался перевод по Беломоро-Балтийскому каналу из Кронштадта в Мурманск военных кораблей Балтфлота (экспедиция особого назначения ЭОН-1). В состав экспедиции, завершившейся 5 августа, входили эсминцы "Урицкий" и "Куйбышев", СКР "Ураган" и "Смерч", подводные лодки Д-1 и Д-2. (6395).</w:t>
      </w:r>
    </w:p>
    <w:p w14:paraId="2D3BEC95"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C0270E" w14:textId="77777777" w:rsidR="00FD33CB" w:rsidRPr="0044524F" w:rsidRDefault="00FD33C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18 мая 1933 начался переход кораблей из Кронштадта, а завершился швартовкой в торговом порту Мурманска 5 августа. Но еще до прихода в Кольский залив, 1 июня, приказ штаба РККА объявил о создании флотилии. Уже после официального открытия канала по нему в августе — сентябре провели и второй отряд: эсминец «Карл Либкнехт», подводную лодку «Красногвардеец», сторожевик «Гроза» и два траулера треста Главрыба — «Налим» и «Форель», срочно вооруженные и ставшие тральщиками Т-31 и Т-32.</w:t>
      </w:r>
    </w:p>
    <w:p w14:paraId="2EA72D36" w14:textId="77777777" w:rsidR="00FD33CB" w:rsidRPr="0044524F" w:rsidRDefault="00FD33C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Северная флотилия теперь могла выполнять боевые задачи. Охранять если не всю акваторию Баренцева моря, то хотя бы подходы к Мурманскому побережью и горлу Белого моря31. К тому времени было определено и место для военно-морской базы. Им стал Александровский порт, основанный еще в 1899 году на левом берегу залива, при выходе его в Баренцево море (20467).</w:t>
      </w:r>
    </w:p>
    <w:p w14:paraId="5E7E4463" w14:textId="77777777" w:rsidR="00FD33CB" w:rsidRPr="0044524F" w:rsidRDefault="00FD33CB" w:rsidP="009654CF">
      <w:pPr>
        <w:spacing w:after="0" w:line="240" w:lineRule="auto"/>
        <w:jc w:val="both"/>
        <w:rPr>
          <w:rFonts w:ascii="Times New Roman" w:hAnsi="Times New Roman"/>
          <w:color w:val="000000" w:themeColor="text1"/>
          <w:sz w:val="16"/>
          <w:szCs w:val="16"/>
        </w:rPr>
      </w:pPr>
    </w:p>
    <w:p w14:paraId="6EEFD30A"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1800858"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7CCC60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мая 1933 новый начальник Дмитлага Я. Д. Рапопорт подписал приказ по лагерю № 127. «При личном ознакомлении с состоянием подлагпункта 69 километра отдельного Дмитровского лагпункта» он обнаружил «антисанитарное состояние лагеря» и «безобразное содержание оружия во 2-м взводе 3-й команды ВОХР». В частности, тех «стрелков из з/к.., у коих в стволах винтовок была обнаружена грязь и ржавчина», равно как и вольнонаемного стрелка ВОХР - «за отдачу мне рапорта будучи одетым не по форме и за недисциплинированность», - предписывалось арестовать каждого на пять суток с содержанием на гауптвахте.</w:t>
      </w:r>
    </w:p>
    <w:p w14:paraId="75D6AF6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Аналогичный по содержанию приказ № 129 появился под впечатлением «личного ознакомления» Я. Д. Рапопорта «с состоянием Фоминского 1-го лагпункта 7 Отделения» Дмитлага (7560).</w:t>
      </w:r>
    </w:p>
    <w:p w14:paraId="4813B6C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3756F27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18 мая 1933 г., когда на ББК заканчивали 18-й и 19-й шлюзы, из Ленинграда вышли эскадренные миноносцы "Урицкий", "Валериан Куйбышев", сторожевые корабли "Смерч" и "Ураган", подводные лодки Д-1, Д-2. Для обеспечения прохода по фарватеру с кораблей было снято вооружение и выгружена часть топлива. Первая экспедиция часто отстаивалась в ожидании окончания работ, поэтому ее переход длился довольно долго. Но все же к 21 июля 1933 г. эскадра, перевооруженная и в полной боевой готовности, уже смогла принять на борт руководителей советского государства в Сорокской губе. Ядро Северной Военной флотилии было создано. </w:t>
      </w:r>
    </w:p>
    <w:p w14:paraId="1DA1803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Каково было значение Беломорско-Балтийского канала? Если до открытия канала суда тратили на переход из Ленинграда в Архангельск 17 дней, то с начала навигации такой путь стал занимать не больше 4 дней. Судовой путь пролегал по советской территории, что создало условия для усиления советской военно-морской мощи на Севере путем межтеатрового маневра кораблей Балтфлота. При отсутствии канала создание сколько-нибудь значительных морских сил было невозможно. Семнадцатидневный переход вокруг Скандинавии при полном отсутствии промежуточных баз, невозможности пополнения запасов был не под силу военным кораблям среднего и малого водоизмещения. Дальность плавания советских эскадренных миноносцев того времени составляла 1700 миль, а между Кронштадтом и Полярным лежали 2300 миль штормового моря. </w:t>
      </w:r>
    </w:p>
    <w:p w14:paraId="57C0EA3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Открытие навигации по ББК дало стратегический выигрыш почти немедленно. Все 20-е годы в Белом море продолжалась "тюленья война": конфликт между СССР и Норвегией из-за биологических ресурсов. Каждую весну сотни норвежских и английских траулеров входили в горло Белого моря и методично выбивали беломорского тюленя. Попытки слабых судов морской пограничной охраны вмешаться в ситуацию немедленно пресекались норвежскими и британскими военными кораблями. Насколько широко была поставлена "силовая поддержка", видно из того, что на границе территориальных вод СССР в путину постоянно находилась эскадра британского флота, с крейсером в качестве флагмана. Дело дважды, в 1929 и 1930 годах, доходило до обстрела советской территории норвежскими кораблями. </w:t>
      </w:r>
    </w:p>
    <w:p w14:paraId="1EE716B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Урегулировать конфликт политическим путем было невозможно: королевство Норвегия не признавало СССР. Зато летом 1933 г., с переброской по каналу подводных лодок, норвежская сторона настолько изменила свою позицию, что стало возможным восстановление между странами дипломатических отношений. До начала Великой Отечественной войны было проведено б операций по переброске каналом эскадренных миноносцев, 2 операции по переброске сторожевых кораблей и 9 (!) перебросок подводных лодок. Три корабля, эсминцы "Сталин" и "Войков" и подводная лодка Щ-404, по Северному морскому пути перешли на Дальний Восток и вошли в состав ТОФ (переброска кораблей этого класса другим путем для СССР в 30-е гг. была невозможна). </w:t>
      </w:r>
    </w:p>
    <w:p w14:paraId="225ECA7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Всего в 1933–1941 гг. по каналу было переведено на Север 10 эсминцев, 3 сторожевых корабля и 26 подводных лодок. Последние корабли прошли по трассе 29 августа 1941 г. </w:t>
      </w:r>
    </w:p>
    <w:p w14:paraId="298AE1B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Значение ББК для обороны СССР вполне осознавалось военными деятелями Запада. В 1940 г., когда Англия и Франция готовились в порядке помощи Финляндии высадить десант на севере СССР, командующий французским флотом адмирал Ж. Дарлан настаивал на захвате канала неповрежденным, считая его использование союзниками ключевым фактором для захвата Ленинграда. Все оперативные планы финской армии, составлявшиеся в 1940–1941 гг., непременно предусматривали захват либо вывод из строя сооружений канала, который считался в Хельсинки "главной опорой" Советской власти в Карелии. А военно-морской атташе Германии в мае 1941 г. высказывал тревогу по поводу того, что "Балтийский и Северный флоты русских благодаря Беломорскому каналу служат резервом друг для друга". В том, что в годы Великой Отечественной войны успешные действия Северного флота способствовали удержанию Советского Заполярья, тоже состоит значение Беломорско-Балтийского канала (12107).</w:t>
      </w:r>
    </w:p>
    <w:p w14:paraId="5003290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244A3781"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4E4025A8"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DF1770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мая 1933 СССР ратифицировал договор о ненападении с Францией (1348,242).</w:t>
      </w:r>
    </w:p>
    <w:p w14:paraId="0370D91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1B45C12B"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мая 1933 состоялась ратификация советско-французского договора о ненападении (4962).</w:t>
      </w:r>
    </w:p>
    <w:p w14:paraId="5E1058B9"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28A3B3" w14:textId="77777777" w:rsidR="004907C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61CD27C" w14:textId="77777777" w:rsidR="004907CB" w:rsidRPr="0044524F" w:rsidRDefault="004907C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AC3AB52" w14:textId="77777777" w:rsidR="004907CB" w:rsidRPr="0044524F" w:rsidRDefault="004907CB"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bCs/>
          <w:color w:val="000000" w:themeColor="text1"/>
          <w:sz w:val="16"/>
          <w:szCs w:val="16"/>
        </w:rPr>
        <w:t>18 мая 1933 г. на речь Рузвельта (от 16 мая) отозвался и Гинденбург. Приветствуя инициативу Рузвельта в деле сокращения вооружений, Гинденбург, тем не менее, заявил, что ответом Германии является Речь Гитлера, произнесённая накануне в Рейхстаге (17325).</w:t>
      </w:r>
    </w:p>
    <w:p w14:paraId="6F90658B" w14:textId="77777777" w:rsidR="004907CB" w:rsidRPr="0044524F" w:rsidRDefault="004907C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1946FE6"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6957B56"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FA94F3C"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мая 1934 года Постановлением СНК СССР «О реорганизации органов управления гражданского воздушного флота» от были образованы 12 территориальных управлений Граж</w:t>
      </w:r>
      <w:r w:rsidRPr="0044524F">
        <w:rPr>
          <w:rFonts w:ascii="Times New Roman" w:hAnsi="Times New Roman"/>
          <w:color w:val="000000" w:themeColor="text1"/>
          <w:sz w:val="16"/>
          <w:szCs w:val="16"/>
        </w:rPr>
        <w:softHyphen/>
        <w:t>данской авиации СССР: Московское, Украинское, Среднеазиатское, Закавказс</w:t>
      </w:r>
      <w:r w:rsidRPr="0044524F">
        <w:rPr>
          <w:rFonts w:ascii="Times New Roman" w:hAnsi="Times New Roman"/>
          <w:color w:val="000000" w:themeColor="text1"/>
          <w:sz w:val="16"/>
          <w:szCs w:val="16"/>
        </w:rPr>
        <w:softHyphen/>
        <w:t>кое, Казахское, Северо-Кавказское, Западно-Сибирское, Волжское, Уральское, Восточно-Сибирское, Дальневосточное, Северное. ГУГВФ были переданы из Наркомзема СССР сельскохозяйственная авиация (в ноябре 1932-го) и из Наркомздрава СССР санитарная авиация (в ноябре 1937-го) ('История гражданской авиации. Научно-популярный очерк. Под общ. ред. Бугаева Б.П. С. 58,60, 75,85.) (11710,355).</w:t>
      </w:r>
    </w:p>
    <w:p w14:paraId="0D518518"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6BAA76"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мая 1933 года утвердили ТУ на М-34, ког</w:t>
      </w:r>
      <w:r w:rsidRPr="0044524F">
        <w:rPr>
          <w:rFonts w:ascii="Times New Roman" w:hAnsi="Times New Roman"/>
          <w:color w:val="000000" w:themeColor="text1"/>
          <w:sz w:val="16"/>
          <w:szCs w:val="16"/>
        </w:rPr>
        <w:softHyphen/>
        <w:t>да М-34 уже шли из цехов сотнями! Их писали на за</w:t>
      </w:r>
      <w:r w:rsidRPr="0044524F">
        <w:rPr>
          <w:rFonts w:ascii="Times New Roman" w:hAnsi="Times New Roman"/>
          <w:color w:val="000000" w:themeColor="text1"/>
          <w:sz w:val="16"/>
          <w:szCs w:val="16"/>
        </w:rPr>
        <w:softHyphen/>
        <w:t>воде и в УВВС их отправили только в декабре 1932 г.(11848).</w:t>
      </w:r>
    </w:p>
    <w:p w14:paraId="3C7721F2"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5E19C7" w14:textId="77777777" w:rsidR="0049110B" w:rsidRPr="0044524F" w:rsidRDefault="004911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19 мая</w:t>
      </w:r>
      <w:r w:rsidRPr="0044524F">
        <w:rPr>
          <w:rFonts w:ascii="Times New Roman" w:hAnsi="Times New Roman"/>
          <w:color w:val="000000" w:themeColor="text1"/>
          <w:sz w:val="16"/>
          <w:szCs w:val="16"/>
        </w:rPr>
        <w:t xml:space="preserve"> в 1933 году испытание высотного скафандра </w:t>
      </w:r>
      <w:hyperlink r:id="rId168" w:tgtFrame="_blank" w:history="1">
        <w:r w:rsidRPr="0044524F">
          <w:rPr>
            <w:rFonts w:ascii="Times New Roman" w:hAnsi="Times New Roman"/>
            <w:color w:val="000000" w:themeColor="text1"/>
            <w:sz w:val="16"/>
            <w:szCs w:val="16"/>
          </w:rPr>
          <w:t xml:space="preserve">«Ч-3» </w:t>
        </w:r>
      </w:hyperlink>
      <w:r w:rsidRPr="0044524F">
        <w:rPr>
          <w:rFonts w:ascii="Times New Roman" w:hAnsi="Times New Roman"/>
          <w:color w:val="000000" w:themeColor="text1"/>
          <w:sz w:val="16"/>
          <w:szCs w:val="16"/>
        </w:rPr>
        <w:t>Е.Е.Чертовского, С.М.Коробов на «ТБ-3» (14896).</w:t>
      </w:r>
    </w:p>
    <w:p w14:paraId="520FD177" w14:textId="77777777" w:rsidR="0049110B" w:rsidRPr="0044524F" w:rsidRDefault="0049110B" w:rsidP="009654CF">
      <w:pPr>
        <w:spacing w:after="0" w:line="240" w:lineRule="auto"/>
        <w:jc w:val="both"/>
        <w:rPr>
          <w:rFonts w:ascii="Times New Roman" w:hAnsi="Times New Roman"/>
          <w:color w:val="000000" w:themeColor="text1"/>
          <w:sz w:val="16"/>
          <w:szCs w:val="16"/>
        </w:rPr>
      </w:pPr>
    </w:p>
    <w:p w14:paraId="43E3AAD5"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01D76BD"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560DD7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мая 1933 опытный Т-18 с подвеской от Т-26 поступил на испытания, но получилось неудачно (4243,17).</w:t>
      </w:r>
    </w:p>
    <w:p w14:paraId="001D0FE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75F7B315"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 мая по 14 июня 1933 г. прошли Государственные испытания МС-1А в Кубинке под руководством начальника полигона т. Штагина,начальника испытательного отде</w:t>
      </w:r>
      <w:r w:rsidRPr="0044524F">
        <w:rPr>
          <w:rFonts w:ascii="Times New Roman" w:hAnsi="Times New Roman"/>
          <w:color w:val="000000" w:themeColor="text1"/>
          <w:sz w:val="16"/>
          <w:szCs w:val="16"/>
        </w:rPr>
        <w:softHyphen/>
        <w:t>ла т. Воробьева,представителей 1 -й станции Лаврентьева и Кульчицкого.</w:t>
      </w:r>
    </w:p>
    <w:p w14:paraId="3A9E263D"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итогам испытаний было составлено следующее заключение:</w:t>
      </w:r>
    </w:p>
    <w:p w14:paraId="602DD2E4"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Общий вид танка МС-1 А с ходовой частью типа Т-26.МС-1А преодолевает танковый окоп шириной 500 мм на 1 -й передаче.</w:t>
      </w:r>
    </w:p>
    <w:p w14:paraId="590061C6"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Продольные колебания танка уста</w:t>
      </w:r>
      <w:r w:rsidRPr="0044524F">
        <w:rPr>
          <w:rFonts w:ascii="Times New Roman" w:hAnsi="Times New Roman"/>
          <w:color w:val="000000" w:themeColor="text1"/>
          <w:sz w:val="16"/>
          <w:szCs w:val="16"/>
        </w:rPr>
        <w:softHyphen/>
        <w:t>новкой подвески Т-26 не устранены, так как задняя часть подвески несет на себе основную нагрузку, оставляя переднюю часть загруженной значительно меньше. Для уменьшения продольных колебаний танка необходимо распределить нагруз</w:t>
      </w:r>
      <w:r w:rsidRPr="0044524F">
        <w:rPr>
          <w:rFonts w:ascii="Times New Roman" w:hAnsi="Times New Roman"/>
          <w:color w:val="000000" w:themeColor="text1"/>
          <w:sz w:val="16"/>
          <w:szCs w:val="16"/>
        </w:rPr>
        <w:softHyphen/>
        <w:t>ку более равномерно на все несущие кат</w:t>
      </w:r>
      <w:r w:rsidRPr="0044524F">
        <w:rPr>
          <w:rFonts w:ascii="Times New Roman" w:hAnsi="Times New Roman"/>
          <w:color w:val="000000" w:themeColor="text1"/>
          <w:sz w:val="16"/>
          <w:szCs w:val="16"/>
        </w:rPr>
        <w:softHyphen/>
        <w:t>ки подвески.</w:t>
      </w:r>
    </w:p>
    <w:p w14:paraId="7EB3C6D0"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 заменой движителя изменились скорости движения танка, так как диаметр ведущего колеса увеличен по сравнению со старым. Передаточные числа остались без изменений...</w:t>
      </w:r>
    </w:p>
    <w:p w14:paraId="51DF0A41"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Недостатком новой подвески также является близкое расположение задних кат</w:t>
      </w:r>
      <w:r w:rsidRPr="0044524F">
        <w:rPr>
          <w:rFonts w:ascii="Times New Roman" w:hAnsi="Times New Roman"/>
          <w:color w:val="000000" w:themeColor="text1"/>
          <w:sz w:val="16"/>
          <w:szCs w:val="16"/>
        </w:rPr>
        <w:softHyphen/>
        <w:t>ков к ведущим колесам танка, что ведет при прохождении неровностей к набеганию зу</w:t>
      </w:r>
      <w:r w:rsidRPr="0044524F">
        <w:rPr>
          <w:rFonts w:ascii="Times New Roman" w:hAnsi="Times New Roman"/>
          <w:color w:val="000000" w:themeColor="text1"/>
          <w:sz w:val="16"/>
          <w:szCs w:val="16"/>
        </w:rPr>
        <w:softHyphen/>
        <w:t>бьев ведущего колеса на бандаж катка. Это будет устранено с уменьшением диаметра ведущего колеса. Передние рессоры жела</w:t>
      </w:r>
      <w:r w:rsidRPr="0044524F">
        <w:rPr>
          <w:rFonts w:ascii="Times New Roman" w:hAnsi="Times New Roman"/>
          <w:color w:val="000000" w:themeColor="text1"/>
          <w:sz w:val="16"/>
          <w:szCs w:val="16"/>
        </w:rPr>
        <w:softHyphen/>
      </w:r>
    </w:p>
    <w:p w14:paraId="749940A4"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Фактические скорости движения тан</w:t>
      </w:r>
      <w:r w:rsidRPr="0044524F">
        <w:rPr>
          <w:rFonts w:ascii="Times New Roman" w:hAnsi="Times New Roman"/>
          <w:color w:val="000000" w:themeColor="text1"/>
          <w:sz w:val="16"/>
          <w:szCs w:val="16"/>
        </w:rPr>
        <w:softHyphen/>
        <w:t>ка с новой подвеской составили 2,4 км/ч и 11,5 км/ч на 1-й и 2-й передачах соответ</w:t>
      </w:r>
      <w:r w:rsidRPr="0044524F">
        <w:rPr>
          <w:rFonts w:ascii="Times New Roman" w:hAnsi="Times New Roman"/>
          <w:color w:val="000000" w:themeColor="text1"/>
          <w:sz w:val="16"/>
          <w:szCs w:val="16"/>
        </w:rPr>
        <w:softHyphen/>
        <w:t>ственно. Вследствие большого диаметра ведущего колеса в новой подвеске мощно- тельно укоротить для более надежной рабо</w:t>
      </w:r>
      <w:r w:rsidRPr="0044524F">
        <w:rPr>
          <w:rFonts w:ascii="Times New Roman" w:hAnsi="Times New Roman"/>
          <w:color w:val="000000" w:themeColor="text1"/>
          <w:sz w:val="16"/>
          <w:szCs w:val="16"/>
        </w:rPr>
        <w:softHyphen/>
        <w:t>ты на скручивание при поворотах и устране</w:t>
      </w:r>
      <w:r w:rsidRPr="0044524F">
        <w:rPr>
          <w:rFonts w:ascii="Times New Roman" w:hAnsi="Times New Roman"/>
          <w:color w:val="000000" w:themeColor="text1"/>
          <w:sz w:val="16"/>
          <w:szCs w:val="16"/>
        </w:rPr>
        <w:softHyphen/>
        <w:t>ния набегания катка на направляющее ко</w:t>
      </w:r>
      <w:r w:rsidRPr="0044524F">
        <w:rPr>
          <w:rFonts w:ascii="Times New Roman" w:hAnsi="Times New Roman"/>
          <w:color w:val="000000" w:themeColor="text1"/>
          <w:sz w:val="16"/>
          <w:szCs w:val="16"/>
        </w:rPr>
        <w:softHyphen/>
        <w:t>лесо при прохождении неровностей»</w:t>
      </w:r>
    </w:p>
    <w:p w14:paraId="3651DC66"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Расчетные скорости движения</w:t>
      </w:r>
    </w:p>
    <w:tbl>
      <w:tblPr>
        <w:tblW w:w="0" w:type="auto"/>
        <w:tblInd w:w="-18" w:type="dxa"/>
        <w:tblLayout w:type="fixed"/>
        <w:tblCellMar>
          <w:left w:w="10" w:type="dxa"/>
          <w:right w:w="10" w:type="dxa"/>
        </w:tblCellMar>
        <w:tblLook w:val="0000" w:firstRow="0" w:lastRow="0" w:firstColumn="0" w:lastColumn="0" w:noHBand="0" w:noVBand="0"/>
      </w:tblPr>
      <w:tblGrid>
        <w:gridCol w:w="1925"/>
        <w:gridCol w:w="1862"/>
        <w:gridCol w:w="1834"/>
      </w:tblGrid>
      <w:tr w:rsidR="004E10C1" w:rsidRPr="0044524F" w14:paraId="0336CC91" w14:textId="77777777" w:rsidTr="00CE35D9">
        <w:trPr>
          <w:trHeight w:val="197"/>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7D81029A"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Скорости движения</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594DCE12"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Новая подвеска</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18E779C2"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Старая подвеска</w:t>
            </w:r>
          </w:p>
        </w:tc>
      </w:tr>
      <w:tr w:rsidR="004E10C1" w:rsidRPr="0044524F" w14:paraId="16D347EA" w14:textId="77777777" w:rsidTr="00CE35D9">
        <w:trPr>
          <w:trHeight w:val="192"/>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685275EB"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3E82AEC3"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2,96</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36773905"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w:t>
            </w:r>
          </w:p>
        </w:tc>
      </w:tr>
      <w:tr w:rsidR="004E10C1" w:rsidRPr="0044524F" w14:paraId="5BF166CB" w14:textId="77777777" w:rsidTr="00CE35D9">
        <w:trPr>
          <w:trHeight w:val="192"/>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427AA058"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75661C9E"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12,43</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6964D2A1"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8,14</w:t>
            </w:r>
          </w:p>
        </w:tc>
      </w:tr>
      <w:tr w:rsidR="004E10C1" w:rsidRPr="0044524F" w14:paraId="404DE104" w14:textId="77777777" w:rsidTr="00CE35D9">
        <w:trPr>
          <w:trHeight w:val="187"/>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570160B2"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6AE77C88"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24,87</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4DA14E83"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16,38</w:t>
            </w:r>
          </w:p>
        </w:tc>
      </w:tr>
      <w:tr w:rsidR="004E10C1" w:rsidRPr="0044524F" w14:paraId="068E8842" w14:textId="77777777" w:rsidTr="00CE35D9">
        <w:trPr>
          <w:trHeight w:val="206"/>
        </w:trPr>
        <w:tc>
          <w:tcPr>
            <w:tcW w:w="1925" w:type="dxa"/>
            <w:tcBorders>
              <w:top w:val="single" w:sz="6" w:space="0" w:color="auto"/>
              <w:left w:val="single" w:sz="6" w:space="0" w:color="auto"/>
              <w:bottom w:val="single" w:sz="6" w:space="0" w:color="auto"/>
              <w:right w:val="single" w:sz="6" w:space="0" w:color="auto"/>
            </w:tcBorders>
            <w:shd w:val="clear" w:color="auto" w:fill="FFFFFF"/>
          </w:tcPr>
          <w:p w14:paraId="06BE1FBD"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Задний ход</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46D43B80"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14:paraId="56FB6CEC"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bl>
    <w:p w14:paraId="250DFC62"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целом по итогам испытаний конста</w:t>
      </w:r>
      <w:r w:rsidRPr="0044524F">
        <w:rPr>
          <w:rFonts w:ascii="Times New Roman" w:hAnsi="Times New Roman"/>
          <w:color w:val="000000" w:themeColor="text1"/>
          <w:sz w:val="16"/>
          <w:szCs w:val="16"/>
        </w:rPr>
        <w:softHyphen/>
        <w:t>тировалось, что использование на МС-1 подвески типа Т-26 могло снизить (но не исключить) продольные колебания, повы</w:t>
      </w:r>
      <w:r w:rsidRPr="0044524F">
        <w:rPr>
          <w:rFonts w:ascii="Times New Roman" w:hAnsi="Times New Roman"/>
          <w:color w:val="000000" w:themeColor="text1"/>
          <w:sz w:val="16"/>
          <w:szCs w:val="16"/>
        </w:rPr>
        <w:softHyphen/>
        <w:t>сить надежность танка «в отношении сбра</w:t>
      </w:r>
      <w:r w:rsidRPr="0044524F">
        <w:rPr>
          <w:rFonts w:ascii="Times New Roman" w:hAnsi="Times New Roman"/>
          <w:color w:val="000000" w:themeColor="text1"/>
          <w:sz w:val="16"/>
          <w:szCs w:val="16"/>
        </w:rPr>
        <w:softHyphen/>
        <w:t>сывания гусениц, что является больным ме</w:t>
      </w:r>
      <w:r w:rsidRPr="0044524F">
        <w:rPr>
          <w:rFonts w:ascii="Times New Roman" w:hAnsi="Times New Roman"/>
          <w:color w:val="000000" w:themeColor="text1"/>
          <w:sz w:val="16"/>
          <w:szCs w:val="16"/>
        </w:rPr>
        <w:softHyphen/>
        <w:t>стом на Т-18». Однако эффект от модер</w:t>
      </w:r>
      <w:r w:rsidRPr="0044524F">
        <w:rPr>
          <w:rFonts w:ascii="Times New Roman" w:hAnsi="Times New Roman"/>
          <w:color w:val="000000" w:themeColor="text1"/>
          <w:sz w:val="16"/>
          <w:szCs w:val="16"/>
        </w:rPr>
        <w:softHyphen/>
        <w:t>низации оказался не столь существенным, как ожидалось, и от внедрения новшества воздержались.сти двигателя для движения на 3-й переда</w:t>
      </w:r>
      <w:r w:rsidRPr="0044524F">
        <w:rPr>
          <w:rFonts w:ascii="Times New Roman" w:hAnsi="Times New Roman"/>
          <w:color w:val="000000" w:themeColor="text1"/>
          <w:sz w:val="16"/>
          <w:szCs w:val="16"/>
        </w:rPr>
        <w:softHyphen/>
        <w:t>че стало недостаточно.</w:t>
      </w:r>
    </w:p>
    <w:p w14:paraId="2497FC1E"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приведенных материалов видно, что повышенные скорости использовать при существующей мощности двигателя нель</w:t>
      </w:r>
      <w:r w:rsidRPr="0044524F">
        <w:rPr>
          <w:rFonts w:ascii="Times New Roman" w:hAnsi="Times New Roman"/>
          <w:color w:val="000000" w:themeColor="text1"/>
          <w:sz w:val="16"/>
          <w:szCs w:val="16"/>
        </w:rPr>
        <w:softHyphen/>
        <w:t>зя. Кроме того, увеличение диаметра ве</w:t>
      </w:r>
      <w:r w:rsidRPr="0044524F">
        <w:rPr>
          <w:rFonts w:ascii="Times New Roman" w:hAnsi="Times New Roman"/>
          <w:color w:val="000000" w:themeColor="text1"/>
          <w:sz w:val="16"/>
          <w:szCs w:val="16"/>
        </w:rPr>
        <w:softHyphen/>
        <w:t>дущего колеса уменьшило запас мощно</w:t>
      </w:r>
      <w:r w:rsidRPr="0044524F">
        <w:rPr>
          <w:rFonts w:ascii="Times New Roman" w:hAnsi="Times New Roman"/>
          <w:color w:val="000000" w:themeColor="text1"/>
          <w:sz w:val="16"/>
          <w:szCs w:val="16"/>
        </w:rPr>
        <w:softHyphen/>
        <w:t>сти двигателя, что резко сказывается во всех условиях работы танка. Необходимо сохранить прежний диаметр ведущего ко</w:t>
      </w:r>
      <w:r w:rsidRPr="0044524F">
        <w:rPr>
          <w:rFonts w:ascii="Times New Roman" w:hAnsi="Times New Roman"/>
          <w:color w:val="000000" w:themeColor="text1"/>
          <w:sz w:val="16"/>
          <w:szCs w:val="16"/>
        </w:rPr>
        <w:softHyphen/>
        <w:t>леса или увеличить мощность двигателя, так как одним увеличением диаметра ко</w:t>
      </w:r>
      <w:r w:rsidRPr="0044524F">
        <w:rPr>
          <w:rFonts w:ascii="Times New Roman" w:hAnsi="Times New Roman"/>
          <w:color w:val="000000" w:themeColor="text1"/>
          <w:sz w:val="16"/>
          <w:szCs w:val="16"/>
        </w:rPr>
        <w:softHyphen/>
        <w:t>леса (при существующей мощности двига</w:t>
      </w:r>
      <w:r w:rsidRPr="0044524F">
        <w:rPr>
          <w:rFonts w:ascii="Times New Roman" w:hAnsi="Times New Roman"/>
          <w:color w:val="000000" w:themeColor="text1"/>
          <w:sz w:val="16"/>
          <w:szCs w:val="16"/>
        </w:rPr>
        <w:softHyphen/>
        <w:t>теля) повышения скоростей движения до</w:t>
      </w:r>
      <w:r w:rsidRPr="0044524F">
        <w:rPr>
          <w:rFonts w:ascii="Times New Roman" w:hAnsi="Times New Roman"/>
          <w:color w:val="000000" w:themeColor="text1"/>
          <w:sz w:val="16"/>
          <w:szCs w:val="16"/>
        </w:rPr>
        <w:softHyphen/>
        <w:t>стигнуть нельзя (12267).</w:t>
      </w:r>
    </w:p>
    <w:p w14:paraId="75AFCD6F"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7469008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мая 1933 г. первые шесть машин Л-1 приняли участие в испытательном пробеге в Москву и обратно. В столице их осматривал Г. К. Орджоникидзе, возглавлявший Наркомтяжпром. Он поставил перед коллективом завода задачу - дать в 1934 г. 2 тыс. легковых автомобилей. Позже приказом Наркомтяжпрома работы по автомобилям на "Красном путиловце" были прекращены, и задание создать представительскую легковую модель дали московскому предприятию ЗИС. Такое решение объяснялось тем, что перед "Красным путилов-цем" стояла более важная народнохозяйственная задача: оперативно освоить выпуск пропашных тракторов с таким расчетом, чтобы к концу 1934 г. изготовить их 5 тыс. штук. Кроме того, завод с февраля 1933 г. приступил еще и к производству танков Т-28, и для выпуска автомобилей просто не оставалось производственных возможностей. Нужно подчеркнуть, что в конструкции Л-1 впервые в нашем автомобилестроении нашли применение такие технические новшества, как восьмицилиндровый двигатель, сдвоенный карбюратор, синхронизаторы, термостат в системе охлаждения. После НАМИ-1 это была вторая модель с газораспределением с помощью подвесных клапанов, приводимых толкающими штангами. Если в отечественных автомобильных двигателях поверхность камеры сгорания оставалась шероховатой после отливки, то на Л-1 ее поверхность полностью механически обрабатывалась. Умеренная (4,4) степень сжатия позволяла работать на любом сорте бензина. У восьмицилиндрового двигателя с чугунным блоком коленчатый вал был сделан пятиопорным. Зависимая подвеска всех колес на полуэллиптических рессорах, трехступенчатая коробка передач, массивная рама с развитыми поперечинами, одношарнирный карданный вал, служивший для передачи толкающих усилий от заднего моста, отражали технические тенденции в легковом автомобилестроении тех лет. Основные параметры автомобиля Л-1: количество мест - 7; количество цилиндров двигателя - 8; рабочий объем - 5641 см1'; мощность - 105 л. с. при 2900 об/мин; число передач - 3; размер шин - 7,50-17"; длина - 5300 мм, ширина - 1890 мм, высота- 1860 мм; колесная база - 3380 мм; колея колес: передних-1520 мм, задних - 1500 мм. Масса в снаряженном состоянии - 2300 кг. Наибольшая скорость - 115 км/ч. Дальнейшие работы по представительскому автомобилю вел уже коллектив московского ЗИСа. Общую конструкцию "Бьюика-32-90" он сохранил, но отказался от сложных в доводке узлов: дистанционного управления амортизаторами, автоматического управления сцеплением и некоторых других. Более того, конструкторы ЗИСа во главе с Е. И. Ва-жинским творчески переосмыслили технические решения, заложенные в прототипе. В итоге получилась модель, мало похожая на "Бьюик", но сохранившая с ним конструктивную преемственность. Однако производство столь сложного изделия, как легковой автомобиль высшего класса, наше машиностроение еще не могло обеспечить штампами для панелей кузова и лонжеронов рамы, сварочными кондукторами для кузова, специальными станками и сложной оснасткой. Их заказали в США кузовной фирме "Бадд", уплатив почти полтора миллиона долларов (в ценах тех лет) (12098).</w:t>
      </w:r>
    </w:p>
    <w:p w14:paraId="7B470A5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65879FC2"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мая 1933 года «советские бюики» Л-1 отправились в испытательный пробег из Ленинграда до Москвы и обратно (номера государственной регистрации этих машин: А-66-47, А-66-48, А-66-49, А-66-50, А-66-51 и А-66-52). Заметным внешним отличием Л-1 в этот период стало появление мягких кожухов запасных колес с надписью «Красный Путиловец», полностью закрывающих «запаски». Кожухи заменили плоскую крышку в центре колеса с обозначением «Л-1», заметную на первомайских фотографиях опытных лимузинов. На следующий день колонна прибыла в Москву. В ходе пробега машины двигались в разнообразных дорожных условиях со скоростью от 20 до 85 км/ч. В столице их осматривал Г.К. Орджоникидзе, возглавлявший Наркомтяжпром. Он поставил перед коллективом завода задачу — дать в следующем 1934 году две тысячи легковых автомобилей (25591).</w:t>
      </w:r>
    </w:p>
    <w:p w14:paraId="1F08D382" w14:textId="77777777" w:rsidR="00BE7B0D" w:rsidRPr="00142305" w:rsidRDefault="00BE7B0D" w:rsidP="00BE7B0D">
      <w:pPr>
        <w:spacing w:after="0" w:line="240" w:lineRule="auto"/>
        <w:jc w:val="both"/>
        <w:rPr>
          <w:rFonts w:ascii="Times New Roman" w:hAnsi="Times New Roman"/>
          <w:color w:val="0070C0"/>
          <w:sz w:val="16"/>
          <w:szCs w:val="16"/>
        </w:rPr>
      </w:pPr>
    </w:p>
    <w:p w14:paraId="6F64CC2D" w14:textId="77777777" w:rsidR="0049110B" w:rsidRPr="0044524F" w:rsidRDefault="0049110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bCs/>
          <w:iCs/>
          <w:color w:val="000000" w:themeColor="text1"/>
          <w:sz w:val="16"/>
          <w:szCs w:val="16"/>
        </w:rPr>
        <w:t>19 мая 1933 г.</w:t>
      </w:r>
      <w:r w:rsidRPr="0044524F">
        <w:rPr>
          <w:rFonts w:ascii="Times New Roman" w:hAnsi="Times New Roman"/>
          <w:color w:val="000000" w:themeColor="text1"/>
          <w:sz w:val="16"/>
          <w:szCs w:val="16"/>
        </w:rPr>
        <w:t xml:space="preserve"> Утверждение заместителем председателя РВС СССР М.Н.Тухачевским «</w:t>
      </w:r>
      <w:r w:rsidRPr="0044524F">
        <w:rPr>
          <w:rFonts w:ascii="Times New Roman" w:hAnsi="Times New Roman"/>
          <w:iCs/>
          <w:color w:val="000000" w:themeColor="text1"/>
          <w:sz w:val="16"/>
          <w:szCs w:val="16"/>
        </w:rPr>
        <w:t>Перечня вопросов, составляющих военную тайну по военно-химическому вооружению и военно-химической подготовке РККА</w:t>
      </w:r>
      <w:r w:rsidRPr="0044524F">
        <w:rPr>
          <w:rFonts w:ascii="Times New Roman" w:hAnsi="Times New Roman"/>
          <w:color w:val="000000" w:themeColor="text1"/>
          <w:sz w:val="16"/>
          <w:szCs w:val="16"/>
        </w:rPr>
        <w:t>». О боевых химических машинах от БХМ-1 до БХМ-4 враг не должен был знать из открытых источников ничего. О шашках ядовитого дыма ЯМ-21, ЯМ-31 и ЯМ-41 и об их применении никто не должен был знать ничего — все шло только под грифом «секретно». За исключением того, что прятали под гриф «совершенно секретно», а на этот уровень тайны тянула такая информация, как «</w:t>
      </w:r>
      <w:r w:rsidRPr="0044524F">
        <w:rPr>
          <w:rFonts w:ascii="Times New Roman" w:hAnsi="Times New Roman"/>
          <w:iCs/>
          <w:color w:val="000000" w:themeColor="text1"/>
          <w:sz w:val="16"/>
          <w:szCs w:val="16"/>
        </w:rPr>
        <w:t>действие дымовой волны на дальности свыше 10 км и в сверхминимальных концентрациях</w:t>
      </w:r>
      <w:r w:rsidRPr="0044524F">
        <w:rPr>
          <w:rFonts w:ascii="Times New Roman" w:hAnsi="Times New Roman"/>
          <w:color w:val="000000" w:themeColor="text1"/>
          <w:sz w:val="16"/>
          <w:szCs w:val="16"/>
        </w:rPr>
        <w:t>». Напомним, что дальность могла достигать 80 км и более. О таком оружии, как химический фугас ХФ: боевые нормы — это «секретно», не говоря уж о «</w:t>
      </w:r>
      <w:r w:rsidRPr="0044524F">
        <w:rPr>
          <w:rFonts w:ascii="Times New Roman" w:hAnsi="Times New Roman"/>
          <w:iCs/>
          <w:color w:val="000000" w:themeColor="text1"/>
          <w:sz w:val="16"/>
          <w:szCs w:val="16"/>
        </w:rPr>
        <w:t>телемеханическом способе подрыва</w:t>
      </w:r>
      <w:r w:rsidRPr="0044524F">
        <w:rPr>
          <w:rFonts w:ascii="Times New Roman" w:hAnsi="Times New Roman"/>
          <w:color w:val="000000" w:themeColor="text1"/>
          <w:sz w:val="16"/>
          <w:szCs w:val="16"/>
        </w:rPr>
        <w:t>», который проходил как тайна уровня «совершенно секретно». О ВАПах как о химическом оружии авиации никому нельзя было знать ничего: применение этого средства распыления ОВ до высот 1000 метров было тайной уровня «секретно», а вот использование с высот выше 1000 метров было тайной «совершенно секретно». Столь же высокой тайной была окружена возможность применения авиацией из ВАПов таких ОВ, как синильная кислота и фосген. Под грифом «совершенно секретно» проходили любые рецептуры ОВ — для химических и осколочно-химических авиационных бомб и артиллерийских снарядов, а также для применения всеми иными способами. Что касается самих ОВ, то о ранее известных из прессы широкой публике дозволялось знать то и только то, что уже было опубликовано после первой мировой войны. Скажем, в отношении синильной кислоты режим «секретно» распространялся на «</w:t>
      </w:r>
      <w:r w:rsidRPr="0044524F">
        <w:rPr>
          <w:rFonts w:ascii="Times New Roman" w:hAnsi="Times New Roman"/>
          <w:iCs/>
          <w:color w:val="000000" w:themeColor="text1"/>
          <w:sz w:val="16"/>
          <w:szCs w:val="16"/>
        </w:rPr>
        <w:t>все работы, проводимые в СССР, и вопросы боевого применения</w:t>
      </w:r>
      <w:r w:rsidRPr="0044524F">
        <w:rPr>
          <w:rFonts w:ascii="Times New Roman" w:hAnsi="Times New Roman"/>
          <w:color w:val="000000" w:themeColor="text1"/>
          <w:sz w:val="16"/>
          <w:szCs w:val="16"/>
        </w:rPr>
        <w:t>», а режим «совершенно секретно» — на «</w:t>
      </w:r>
      <w:r w:rsidRPr="0044524F">
        <w:rPr>
          <w:rFonts w:ascii="Times New Roman" w:hAnsi="Times New Roman"/>
          <w:iCs/>
          <w:color w:val="000000" w:themeColor="text1"/>
          <w:sz w:val="16"/>
          <w:szCs w:val="16"/>
        </w:rPr>
        <w:t>применение синильной кислоты авиацией и другими холодными способами</w:t>
      </w:r>
      <w:r w:rsidRPr="0044524F">
        <w:rPr>
          <w:rFonts w:ascii="Times New Roman" w:hAnsi="Times New Roman"/>
          <w:color w:val="000000" w:themeColor="text1"/>
          <w:sz w:val="16"/>
          <w:szCs w:val="16"/>
        </w:rPr>
        <w:t>». В отношении адамсита и дифенилхлорарсина режим «совершенно секретно» действовал по такому боевому вопросу, как «</w:t>
      </w:r>
      <w:r w:rsidRPr="0044524F">
        <w:rPr>
          <w:rFonts w:ascii="Times New Roman" w:hAnsi="Times New Roman"/>
          <w:iCs/>
          <w:color w:val="000000" w:themeColor="text1"/>
          <w:sz w:val="16"/>
          <w:szCs w:val="16"/>
        </w:rPr>
        <w:t>действие на организм сверхминимальных концентраций</w:t>
      </w:r>
      <w:r w:rsidRPr="0044524F">
        <w:rPr>
          <w:rFonts w:ascii="Times New Roman" w:hAnsi="Times New Roman"/>
          <w:color w:val="000000" w:themeColor="text1"/>
          <w:sz w:val="16"/>
          <w:szCs w:val="16"/>
        </w:rPr>
        <w:t>». А в отношении практически всех известных ОВ (иприта, фосгена, дифосгена, хлора, адамсита, дифенилхлорарсина, хлорацетофенона, бромбензилцианида) в режиме «секретно» должно было оставаться все, что касалось усовершенствования технологических процессов, а в режиме «совершенно секретно» — сведения о боевых рецептурах. Что касается новых, ранее не известных ОВ, то публикации о них типографские или литографские публикации запрещались вообще, даже под грифом «совершенно секретно». О химических войсках и их работе в режиме химического нападения нельзя было знать ничего. В отношении факта существования «</w:t>
      </w:r>
      <w:r w:rsidRPr="0044524F">
        <w:rPr>
          <w:rFonts w:ascii="Times New Roman" w:hAnsi="Times New Roman"/>
          <w:iCs/>
          <w:color w:val="000000" w:themeColor="text1"/>
          <w:sz w:val="16"/>
          <w:szCs w:val="16"/>
        </w:rPr>
        <w:t>химических частей и подразделений больше взвода</w:t>
      </w:r>
      <w:r w:rsidRPr="0044524F">
        <w:rPr>
          <w:rFonts w:ascii="Times New Roman" w:hAnsi="Times New Roman"/>
          <w:color w:val="000000" w:themeColor="text1"/>
          <w:sz w:val="16"/>
          <w:szCs w:val="16"/>
        </w:rPr>
        <w:t>», равно как и об их технике и тактике при заражении местности действовал режим «секретно». Ну а в отношении мест размещения химвойск нельзя было знать ничего — даже о взводах (17133).</w:t>
      </w:r>
    </w:p>
    <w:p w14:paraId="08F9BE15" w14:textId="77777777" w:rsidR="0049110B" w:rsidRPr="0044524F" w:rsidRDefault="0049110B" w:rsidP="009654CF">
      <w:pPr>
        <w:shd w:val="clear" w:color="auto" w:fill="FFFFFF"/>
        <w:spacing w:after="0" w:line="240" w:lineRule="auto"/>
        <w:jc w:val="both"/>
        <w:rPr>
          <w:rFonts w:ascii="Times New Roman" w:hAnsi="Times New Roman"/>
          <w:color w:val="000000" w:themeColor="text1"/>
          <w:sz w:val="16"/>
          <w:szCs w:val="16"/>
        </w:rPr>
      </w:pPr>
    </w:p>
    <w:p w14:paraId="6FFDD61C"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80BEFFF"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03055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19 и 25 мая 1933. Из протокола заседания Политбюро N 138, 1933 г.</w:t>
      </w:r>
    </w:p>
    <w:p w14:paraId="77F0D69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Монголии </w:t>
      </w:r>
    </w:p>
    <w:p w14:paraId="6D66103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Поручить тов. Ворошилову послать от имени правительства СССР в подарок монголам Гендуну и Амору персонально в подарок по одному автомобилю (Бьюик) и по одной машине в гаражи Сов. Мин. и ЦК НРП. </w:t>
      </w:r>
    </w:p>
    <w:p w14:paraId="7F87E27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Машины временно взять у Наркомвоенмора. </w:t>
      </w:r>
    </w:p>
    <w:p w14:paraId="1B07F82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Наркомвнешторгу ввезти из Америки четыре машины тех же марок для возмещения НКВМ (11652).</w:t>
      </w:r>
    </w:p>
    <w:p w14:paraId="1BC6B81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31905937" w14:textId="77777777" w:rsidR="005B4FE8" w:rsidRPr="0044524F" w:rsidRDefault="005B4FE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мая 1933 г. Калинин поддержал предложения Рузвельта (от 1</w:t>
      </w:r>
      <w:r w:rsidR="004907CB" w:rsidRPr="0044524F">
        <w:rPr>
          <w:rFonts w:ascii="Times New Roman" w:hAnsi="Times New Roman"/>
          <w:color w:val="000000" w:themeColor="text1"/>
          <w:sz w:val="16"/>
          <w:szCs w:val="16"/>
        </w:rPr>
        <w:t>6</w:t>
      </w:r>
      <w:r w:rsidRPr="0044524F">
        <w:rPr>
          <w:rFonts w:ascii="Times New Roman" w:hAnsi="Times New Roman"/>
          <w:color w:val="000000" w:themeColor="text1"/>
          <w:sz w:val="16"/>
          <w:szCs w:val="16"/>
        </w:rPr>
        <w:t xml:space="preserve"> мая) по разоружению (17325).</w:t>
      </w:r>
    </w:p>
    <w:p w14:paraId="09BB622F" w14:textId="77777777" w:rsidR="005B4FE8" w:rsidRPr="0044524F" w:rsidRDefault="005B4FE8" w:rsidP="009654CF">
      <w:pPr>
        <w:autoSpaceDE w:val="0"/>
        <w:autoSpaceDN w:val="0"/>
        <w:adjustRightInd w:val="0"/>
        <w:spacing w:after="0" w:line="240" w:lineRule="auto"/>
        <w:jc w:val="both"/>
        <w:rPr>
          <w:rFonts w:ascii="Times New Roman" w:hAnsi="Times New Roman"/>
          <w:color w:val="000000" w:themeColor="text1"/>
          <w:sz w:val="16"/>
          <w:szCs w:val="16"/>
        </w:rPr>
      </w:pPr>
    </w:p>
    <w:p w14:paraId="74B25853" w14:textId="77777777" w:rsidR="009A796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8F34B48" w14:textId="77777777" w:rsidR="009A7962" w:rsidRPr="0044524F" w:rsidRDefault="009A796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89BEEFC" w14:textId="77777777" w:rsidR="009A7962" w:rsidRPr="0044524F" w:rsidRDefault="009A79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19 мая</w:t>
      </w:r>
      <w:r w:rsidRPr="0044524F">
        <w:rPr>
          <w:rFonts w:ascii="Times New Roman" w:hAnsi="Times New Roman"/>
          <w:color w:val="000000" w:themeColor="text1"/>
          <w:sz w:val="16"/>
          <w:szCs w:val="16"/>
        </w:rPr>
        <w:t xml:space="preserve"> в 1933 году взлетел одноместный истребитель </w:t>
      </w:r>
      <w:hyperlink r:id="rId169" w:tgtFrame="_blank" w:history="1">
        <w:r w:rsidRPr="0044524F">
          <w:rPr>
            <w:rFonts w:ascii="Times New Roman" w:hAnsi="Times New Roman"/>
            <w:color w:val="000000" w:themeColor="text1"/>
            <w:sz w:val="16"/>
            <w:szCs w:val="16"/>
          </w:rPr>
          <w:t xml:space="preserve">«V-80P». </w:t>
        </w:r>
      </w:hyperlink>
      <w:r w:rsidRPr="0044524F">
        <w:rPr>
          <w:rFonts w:ascii="Times New Roman" w:hAnsi="Times New Roman"/>
          <w:color w:val="000000" w:themeColor="text1"/>
          <w:sz w:val="16"/>
          <w:szCs w:val="16"/>
        </w:rPr>
        <w:t>Было изготовлено три экземпляра «V-80P» для ВВС Перу. Это вариант самолета с двигателем «R-1690-T1D1» «Hornet» мощностью 700 л.с. Вооружение состояло из двух передних 7.62-мм пулеметов, установленных над верхней центральной секцией крыла, и двух таких же, стреляющих через радиатор двигателя. Кроме того истребитель мог нести одну 227-кг бомбу. Колесное шасси могло заменяться поплавком (14896).</w:t>
      </w:r>
    </w:p>
    <w:p w14:paraId="012C0DB2" w14:textId="77777777" w:rsidR="009A7962" w:rsidRPr="0044524F" w:rsidRDefault="009A7962" w:rsidP="009654CF">
      <w:pPr>
        <w:spacing w:after="0" w:line="240" w:lineRule="auto"/>
        <w:jc w:val="both"/>
        <w:rPr>
          <w:rFonts w:ascii="Times New Roman" w:hAnsi="Times New Roman"/>
          <w:color w:val="000000" w:themeColor="text1"/>
          <w:sz w:val="16"/>
          <w:szCs w:val="16"/>
        </w:rPr>
      </w:pPr>
    </w:p>
    <w:p w14:paraId="12161878" w14:textId="77777777" w:rsidR="007937A6" w:rsidRPr="0044524F" w:rsidRDefault="00793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мая 1933 года социал-демократы (те, кто остался на свободе и не эмигрировал) без единого возражения проголосовали в рейхстаге за одобрение внешней политики Гитлера. За девять дней до этого полиция захватила помещения социал-демократической партии и редакций газет, конфисковала их имущество. Тем не менее социалисты, продолжая потакать Гитлеру, выступили с осуждением своих товарищей, находившихся в эмиграции, за их нападки на фюрера. 19 июня они избрали новый партийный комитет. Но Фрик три дня спустя лишил их всякой надежды на компромисс, запретив социал-демократическую партию как "подрывную и враждебную государству". Пауль Лобе, уцелевший руководитель, и несколько членов партии - депутатов рейхстага были арестованы (17283).</w:t>
      </w:r>
    </w:p>
    <w:p w14:paraId="74B56CEA" w14:textId="77777777" w:rsidR="007937A6" w:rsidRPr="0044524F" w:rsidRDefault="007937A6" w:rsidP="009654CF">
      <w:pPr>
        <w:spacing w:after="0" w:line="240" w:lineRule="auto"/>
        <w:jc w:val="both"/>
        <w:rPr>
          <w:rFonts w:ascii="Times New Roman" w:hAnsi="Times New Roman"/>
          <w:color w:val="000000" w:themeColor="text1"/>
          <w:sz w:val="16"/>
          <w:szCs w:val="16"/>
        </w:rPr>
      </w:pPr>
    </w:p>
    <w:p w14:paraId="6F20309F"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0F643AA"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28EACF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мая 1933 состоялось заседание представителей ЦАГИ и завода 39 по самолету РД - военный вариант (1102).</w:t>
      </w:r>
    </w:p>
    <w:p w14:paraId="768F7D1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603F4A67"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мая 1933 г. на заседании у начальника ЦАГИ Н.М. Харламова, на котором КОСОС представляли А Н. Туполев и П О. Су</w:t>
      </w:r>
      <w:r w:rsidRPr="00142305">
        <w:rPr>
          <w:rFonts w:ascii="Times New Roman" w:hAnsi="Times New Roman"/>
          <w:color w:val="0070C0"/>
          <w:sz w:val="16"/>
          <w:szCs w:val="16"/>
        </w:rPr>
        <w:softHyphen/>
        <w:t>хой. а завод № 39 - Марголин и Колганов, обсудили план и сроки сдачи чертежей по РД-ВВ. Ответственным за военный ва</w:t>
      </w:r>
      <w:r w:rsidRPr="00142305">
        <w:rPr>
          <w:rFonts w:ascii="Times New Roman" w:hAnsi="Times New Roman"/>
          <w:color w:val="0070C0"/>
          <w:sz w:val="16"/>
          <w:szCs w:val="16"/>
        </w:rPr>
        <w:softHyphen/>
        <w:t>риант назначили старшего инженера 3-й бригады КОСОС Н.А. Фомина (24946).</w:t>
      </w:r>
    </w:p>
    <w:p w14:paraId="77164ACC" w14:textId="77777777" w:rsidR="00BE7B0D" w:rsidRPr="00142305" w:rsidRDefault="00BE7B0D" w:rsidP="00BE7B0D">
      <w:pPr>
        <w:spacing w:after="0" w:line="240" w:lineRule="auto"/>
        <w:jc w:val="both"/>
        <w:rPr>
          <w:rFonts w:ascii="Times New Roman" w:hAnsi="Times New Roman"/>
          <w:color w:val="0070C0"/>
          <w:sz w:val="16"/>
          <w:szCs w:val="16"/>
        </w:rPr>
      </w:pPr>
    </w:p>
    <w:p w14:paraId="79BFB08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мая 1933 ВМ-34 для глиссеров был предъявлен на 50 час. гос. испытания, но на 48 часу произошла авария (2310,130).</w:t>
      </w:r>
    </w:p>
    <w:p w14:paraId="49E31F2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292EF05D"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мая 1933 ГМ-34 выста</w:t>
      </w:r>
      <w:r w:rsidRPr="0044524F">
        <w:rPr>
          <w:rFonts w:ascii="Times New Roman" w:hAnsi="Times New Roman"/>
          <w:color w:val="000000" w:themeColor="text1"/>
          <w:sz w:val="16"/>
          <w:szCs w:val="16"/>
        </w:rPr>
        <w:softHyphen/>
        <w:t>вили на государственные. На 48-м часу полетела водяная помпа, позже лопнул вал ре</w:t>
      </w:r>
      <w:r w:rsidRPr="0044524F">
        <w:rPr>
          <w:rFonts w:ascii="Times New Roman" w:hAnsi="Times New Roman"/>
          <w:color w:val="000000" w:themeColor="text1"/>
          <w:sz w:val="16"/>
          <w:szCs w:val="16"/>
        </w:rPr>
        <w:softHyphen/>
        <w:t>верса. В ноябре 1933 г. на за</w:t>
      </w:r>
      <w:r w:rsidRPr="0044524F">
        <w:rPr>
          <w:rFonts w:ascii="Times New Roman" w:hAnsi="Times New Roman"/>
          <w:color w:val="000000" w:themeColor="text1"/>
          <w:sz w:val="16"/>
          <w:szCs w:val="16"/>
        </w:rPr>
        <w:softHyphen/>
        <w:t>воде им. Марти в Ленинграде пару опытных двигателей уста</w:t>
      </w:r>
      <w:r w:rsidRPr="0044524F">
        <w:rPr>
          <w:rFonts w:ascii="Times New Roman" w:hAnsi="Times New Roman"/>
          <w:color w:val="000000" w:themeColor="text1"/>
          <w:sz w:val="16"/>
          <w:szCs w:val="16"/>
        </w:rPr>
        <w:softHyphen/>
        <w:t>новили на головной торпедный катер типа Г-5. Один ГМ-34 был левого исполнения, другой -правого. 5 декабря катер при</w:t>
      </w:r>
      <w:r w:rsidRPr="0044524F">
        <w:rPr>
          <w:rFonts w:ascii="Times New Roman" w:hAnsi="Times New Roman"/>
          <w:color w:val="000000" w:themeColor="text1"/>
          <w:sz w:val="16"/>
          <w:szCs w:val="16"/>
        </w:rPr>
        <w:softHyphen/>
        <w:t>был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44524F">
        <w:rPr>
          <w:rFonts w:ascii="Times New Roman" w:hAnsi="Times New Roman"/>
          <w:color w:val="000000" w:themeColor="text1"/>
          <w:sz w:val="16"/>
          <w:szCs w:val="16"/>
        </w:rPr>
        <w:softHyphen/>
        <w:t>рийно, к 1 июля изготовили 21 ка</w:t>
      </w:r>
      <w:r w:rsidRPr="0044524F">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44524F">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44524F">
        <w:rPr>
          <w:rFonts w:ascii="Times New Roman" w:hAnsi="Times New Roman"/>
          <w:color w:val="000000" w:themeColor="text1"/>
          <w:sz w:val="16"/>
          <w:szCs w:val="16"/>
        </w:rPr>
        <w:softHyphen/>
        <w:t>вался параллельно с авиационным. Так, ГМ-34Ф имел коренные вклады</w:t>
      </w:r>
      <w:r w:rsidRPr="0044524F">
        <w:rPr>
          <w:rFonts w:ascii="Times New Roman" w:hAnsi="Times New Roman"/>
          <w:color w:val="000000" w:themeColor="text1"/>
          <w:sz w:val="16"/>
          <w:szCs w:val="16"/>
        </w:rPr>
        <w:softHyphen/>
        <w:t>ши из бронзы, коленчатый вал, го</w:t>
      </w:r>
      <w:r w:rsidRPr="0044524F">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44524F">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44524F">
        <w:rPr>
          <w:rFonts w:ascii="Times New Roman" w:hAnsi="Times New Roman"/>
          <w:color w:val="000000" w:themeColor="text1"/>
          <w:sz w:val="16"/>
          <w:szCs w:val="16"/>
        </w:rPr>
        <w:softHyphen/>
        <w:t>тельно, чтобы эта смесь использова</w:t>
      </w:r>
      <w:r w:rsidRPr="0044524F">
        <w:rPr>
          <w:rFonts w:ascii="Times New Roman" w:hAnsi="Times New Roman"/>
          <w:color w:val="000000" w:themeColor="text1"/>
          <w:sz w:val="16"/>
          <w:szCs w:val="16"/>
        </w:rPr>
        <w:softHyphen/>
        <w:t>лась для серий-ных двигателей на флотах. Первые два ГМ-34Ф выпус</w:t>
      </w:r>
      <w:r w:rsidRPr="0044524F">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44524F">
        <w:rPr>
          <w:rFonts w:ascii="Times New Roman" w:hAnsi="Times New Roman"/>
          <w:color w:val="000000" w:themeColor="text1"/>
          <w:sz w:val="16"/>
          <w:szCs w:val="16"/>
        </w:rPr>
        <w:softHyphen/>
        <w:t>вершенствованной маслосистемой. Степень сжатия у него опять понизи</w:t>
      </w:r>
      <w:r w:rsidRPr="0044524F">
        <w:rPr>
          <w:rFonts w:ascii="Times New Roman" w:hAnsi="Times New Roman"/>
          <w:color w:val="000000" w:themeColor="text1"/>
          <w:sz w:val="16"/>
          <w:szCs w:val="16"/>
        </w:rPr>
        <w:softHyphen/>
        <w:t>ли до 6,0, чтобы использовать низ</w:t>
      </w:r>
      <w:r w:rsidRPr="0044524F">
        <w:rPr>
          <w:rFonts w:ascii="Times New Roman" w:hAnsi="Times New Roman"/>
          <w:color w:val="000000" w:themeColor="text1"/>
          <w:sz w:val="16"/>
          <w:szCs w:val="16"/>
        </w:rPr>
        <w:softHyphen/>
        <w:t>кокачественное топливо, но мощ</w:t>
      </w:r>
      <w:r w:rsidRPr="0044524F">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44524F">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44524F">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44524F">
        <w:rPr>
          <w:rFonts w:ascii="Times New Roman" w:hAnsi="Times New Roman"/>
          <w:color w:val="000000" w:themeColor="text1"/>
          <w:sz w:val="16"/>
          <w:szCs w:val="16"/>
        </w:rPr>
        <w:softHyphen/>
        <w:t>тью 850 л.с. для танков с изменен</w:t>
      </w:r>
      <w:r w:rsidRPr="0044524F">
        <w:rPr>
          <w:rFonts w:ascii="Times New Roman" w:hAnsi="Times New Roman"/>
          <w:color w:val="000000" w:themeColor="text1"/>
          <w:sz w:val="16"/>
          <w:szCs w:val="16"/>
        </w:rPr>
        <w:softHyphen/>
        <w:t>ной системой охлаждения, вентиля</w:t>
      </w:r>
      <w:r w:rsidRPr="0044524F">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44524F">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44524F">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44524F">
        <w:rPr>
          <w:rFonts w:ascii="Times New Roman" w:hAnsi="Times New Roman"/>
          <w:color w:val="000000" w:themeColor="text1"/>
          <w:sz w:val="16"/>
          <w:szCs w:val="16"/>
        </w:rPr>
        <w:softHyphen/>
        <w:t>моходном орудии СУ-100у («Игрек», 1940 г.), применяв</w:t>
      </w:r>
      <w:r w:rsidRPr="0044524F">
        <w:rPr>
          <w:rFonts w:ascii="Times New Roman" w:hAnsi="Times New Roman"/>
          <w:color w:val="000000" w:themeColor="text1"/>
          <w:sz w:val="16"/>
          <w:szCs w:val="16"/>
        </w:rPr>
        <w:softHyphen/>
        <w:t>шемся в боях под Москвой зимой 1941 г. (11848).</w:t>
      </w:r>
    </w:p>
    <w:p w14:paraId="08C7E76C"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05C038"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FAC2812"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A89FA9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20 по 31 мая 1933 года на НИАПе были проведены полигонные испытания 76-мм пушки обр. 1933 г.. Причем стрельбы велись гранатами 6,5 кг и 7,1 кг (3861).</w:t>
      </w:r>
    </w:p>
    <w:p w14:paraId="7A5FCB6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1AE88BFE"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течение 20-31 мая 1933 года батарея из 5 76 мм пушек</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КБ Мотовилихинского завода прошла испытания на НИАП. Далее батарею передали на войсковые испытания. В общем-то, получилось не то, что хотел Тухачевский. Но других вариантов не имелось, поскольку данная пушка хотя бы могла выпускаться серийно. В результате 23 сентября 1933 года было принято решение о запуске орудия в серию. Ему присвоили обозначение 76-мм дивизионная пушка Обр.1933 года (позже присвоен индекс ГАУ 52-П-363) (25508).</w:t>
      </w:r>
    </w:p>
    <w:p w14:paraId="664F4765" w14:textId="77777777" w:rsidR="00BE7B0D" w:rsidRPr="00142305" w:rsidRDefault="00BE7B0D" w:rsidP="00BE7B0D">
      <w:pPr>
        <w:spacing w:after="0" w:line="240" w:lineRule="auto"/>
        <w:jc w:val="both"/>
        <w:rPr>
          <w:rFonts w:ascii="Times New Roman" w:hAnsi="Times New Roman"/>
          <w:color w:val="0070C0"/>
          <w:sz w:val="16"/>
          <w:szCs w:val="16"/>
        </w:rPr>
      </w:pPr>
    </w:p>
    <w:p w14:paraId="480ADFA5"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Жизнь и внутренняя политика:</w:t>
      </w:r>
    </w:p>
    <w:p w14:paraId="6432A3D1"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C371D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мая 1933 приказом № 133 «в целях активной борьбы с внутрилагерной преступностью, изоляции отрицательного и разложившегося элемента и заключенных, склонных к побегу, 2-й Лагпункт 3-го Отделения (Полуденная Сторожка)» реорганизовывался в Отдельный Лагерный Пункт усиленного режима со штрафизолятором (ШИЗО) в его составе. Приложенное к приказу Положение об этом лагпункте подписал начальник 3 отдела Дмитлага В. А. Барабанов (7560).</w:t>
      </w:r>
    </w:p>
    <w:p w14:paraId="35F290E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35ACF0CA"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69E422F"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05DE5E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мая 1933 Дуглас получил заказ на XP3D, а через 5 месяцев - Консолидейтед на XP3Y (1049,106).</w:t>
      </w:r>
    </w:p>
    <w:p w14:paraId="6D48DCA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1F45CC6F"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3C0892D"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C5B6EC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мая 1933 года Базилевич писал письмо № 724/ко в НКВМ Тухачевскому, НКТП Павлуковскому, ГУАП Баранову, ОГПУ Горянову, ГУГВФ Анвельт</w:t>
      </w:r>
    </w:p>
    <w:p w14:paraId="7AB64DB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Препровождая копию проекта постановления СТО по вопросу об опытном авиадизелестроении, внесенному НК РКИ, прошу для доклада Молотову срочно сообщить Ваше заключение.</w:t>
      </w:r>
    </w:p>
    <w:p w14:paraId="3ED05BD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на 3 листах (4223, 41).</w:t>
      </w:r>
    </w:p>
    <w:p w14:paraId="5A612D3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апреля 1933 был подготовлен:</w:t>
      </w:r>
    </w:p>
    <w:p w14:paraId="5D0F669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Постановления СТО (к № 515).</w:t>
      </w:r>
    </w:p>
    <w:p w14:paraId="32DFE57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вопросу: Об опытном авиадизелестроении</w:t>
      </w:r>
    </w:p>
    <w:p w14:paraId="5272863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0E945F47"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Признать состояние опытного строительства авиадизелей неудовлетворительным.</w:t>
      </w:r>
    </w:p>
    <w:p w14:paraId="6D17D219"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Указать Баранову – ГУАП, Анвельт – ГУГВФ, Горянову – ОГПУ, Павлуновскому – НКТП на невыполнение постановления СТО от 4 августа 1932 года по опытному строительству, в результате чего опытное дизелестроение не было обеспечено производственными базами, отсутствовал контроль за выполнением сроков проектирования и производства.</w:t>
      </w:r>
    </w:p>
    <w:p w14:paraId="45E408D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Обратить внимание Тухачевского на отсутствие с его стороны наблюдения за состоянием опытных работ по дизелестроению.</w:t>
      </w:r>
    </w:p>
    <w:p w14:paraId="5833C80B"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следующие окончательные сроки предъявления дизелей на гос. испытания.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18"/>
        <w:gridCol w:w="2318"/>
        <w:gridCol w:w="2318"/>
        <w:gridCol w:w="2318"/>
        <w:gridCol w:w="2318"/>
      </w:tblGrid>
      <w:tr w:rsidR="004E10C1" w:rsidRPr="0044524F" w14:paraId="02BC09E2" w14:textId="77777777">
        <w:tc>
          <w:tcPr>
            <w:tcW w:w="2318" w:type="dxa"/>
          </w:tcPr>
          <w:p w14:paraId="558E20B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Название дизеля</w:t>
            </w:r>
          </w:p>
        </w:tc>
        <w:tc>
          <w:tcPr>
            <w:tcW w:w="2318" w:type="dxa"/>
          </w:tcPr>
          <w:p w14:paraId="4889FAB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w:t>
            </w:r>
          </w:p>
        </w:tc>
        <w:tc>
          <w:tcPr>
            <w:tcW w:w="2318" w:type="dxa"/>
          </w:tcPr>
          <w:p w14:paraId="7063864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2318" w:type="dxa"/>
          </w:tcPr>
          <w:p w14:paraId="35236F8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2318" w:type="dxa"/>
          </w:tcPr>
          <w:p w14:paraId="2B7A026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r>
      <w:tr w:rsidR="004E10C1" w:rsidRPr="0044524F" w14:paraId="6659AEB0" w14:textId="77777777">
        <w:tc>
          <w:tcPr>
            <w:tcW w:w="2318" w:type="dxa"/>
          </w:tcPr>
          <w:p w14:paraId="02D3E75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w:t>
            </w:r>
          </w:p>
        </w:tc>
        <w:tc>
          <w:tcPr>
            <w:tcW w:w="2318" w:type="dxa"/>
          </w:tcPr>
          <w:p w14:paraId="165FA07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c>
          <w:tcPr>
            <w:tcW w:w="2318" w:type="dxa"/>
          </w:tcPr>
          <w:p w14:paraId="6D9C099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2318" w:type="dxa"/>
          </w:tcPr>
          <w:p w14:paraId="1628843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318" w:type="dxa"/>
          </w:tcPr>
          <w:p w14:paraId="2B65401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r>
      <w:tr w:rsidR="004E10C1" w:rsidRPr="0044524F" w14:paraId="4B9D6FF6" w14:textId="77777777">
        <w:tc>
          <w:tcPr>
            <w:tcW w:w="2318" w:type="dxa"/>
          </w:tcPr>
          <w:p w14:paraId="198F967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Н-2</w:t>
            </w:r>
          </w:p>
        </w:tc>
        <w:tc>
          <w:tcPr>
            <w:tcW w:w="2318" w:type="dxa"/>
          </w:tcPr>
          <w:p w14:paraId="348B343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1934 года</w:t>
            </w:r>
          </w:p>
        </w:tc>
        <w:tc>
          <w:tcPr>
            <w:tcW w:w="2318" w:type="dxa"/>
          </w:tcPr>
          <w:p w14:paraId="5B5FAAB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2318" w:type="dxa"/>
          </w:tcPr>
          <w:p w14:paraId="00248B1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318" w:type="dxa"/>
          </w:tcPr>
          <w:p w14:paraId="14F9BB9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r>
      <w:tr w:rsidR="004E10C1" w:rsidRPr="0044524F" w14:paraId="50095B2E" w14:textId="77777777">
        <w:tc>
          <w:tcPr>
            <w:tcW w:w="2318" w:type="dxa"/>
          </w:tcPr>
          <w:p w14:paraId="71DD00B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Н-3</w:t>
            </w:r>
          </w:p>
        </w:tc>
        <w:tc>
          <w:tcPr>
            <w:tcW w:w="2318" w:type="dxa"/>
          </w:tcPr>
          <w:p w14:paraId="46727D4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1934 года</w:t>
            </w:r>
          </w:p>
        </w:tc>
        <w:tc>
          <w:tcPr>
            <w:tcW w:w="2318" w:type="dxa"/>
          </w:tcPr>
          <w:p w14:paraId="313CB0D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2318" w:type="dxa"/>
          </w:tcPr>
          <w:p w14:paraId="0058C36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318" w:type="dxa"/>
          </w:tcPr>
          <w:p w14:paraId="684C3E9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r>
      <w:tr w:rsidR="004E10C1" w:rsidRPr="0044524F" w14:paraId="107BD279" w14:textId="77777777">
        <w:tc>
          <w:tcPr>
            <w:tcW w:w="2318" w:type="dxa"/>
          </w:tcPr>
          <w:p w14:paraId="11FBCA6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Н-4</w:t>
            </w:r>
          </w:p>
        </w:tc>
        <w:tc>
          <w:tcPr>
            <w:tcW w:w="2318" w:type="dxa"/>
          </w:tcPr>
          <w:p w14:paraId="0390B15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1934 года</w:t>
            </w:r>
          </w:p>
        </w:tc>
        <w:tc>
          <w:tcPr>
            <w:tcW w:w="2318" w:type="dxa"/>
          </w:tcPr>
          <w:p w14:paraId="60EFAA2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c>
          <w:tcPr>
            <w:tcW w:w="2318" w:type="dxa"/>
          </w:tcPr>
          <w:p w14:paraId="65603ED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2318" w:type="dxa"/>
          </w:tcPr>
          <w:p w14:paraId="3857845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500-600</w:t>
            </w:r>
          </w:p>
        </w:tc>
      </w:tr>
      <w:tr w:rsidR="004E10C1" w:rsidRPr="0044524F" w14:paraId="7090F8E2" w14:textId="77777777">
        <w:tc>
          <w:tcPr>
            <w:tcW w:w="2318" w:type="dxa"/>
          </w:tcPr>
          <w:p w14:paraId="7946248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w:t>
            </w:r>
          </w:p>
        </w:tc>
        <w:tc>
          <w:tcPr>
            <w:tcW w:w="2318" w:type="dxa"/>
          </w:tcPr>
          <w:p w14:paraId="12F42E3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c>
          <w:tcPr>
            <w:tcW w:w="2318" w:type="dxa"/>
          </w:tcPr>
          <w:p w14:paraId="3C9D4EB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2318" w:type="dxa"/>
          </w:tcPr>
          <w:p w14:paraId="79E29E4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2318" w:type="dxa"/>
          </w:tcPr>
          <w:p w14:paraId="05DFAA3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r>
    </w:tbl>
    <w:p w14:paraId="04A8E333"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Подтвердить полную ответственность за своевременный выпуск дизелей:</w:t>
      </w:r>
    </w:p>
    <w:p w14:paraId="5E20E0F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Баранова (ГУАП) дизелей Н-1 и Н-4</w:t>
      </w:r>
    </w:p>
    <w:p w14:paraId="2E640C0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Анвельта (ГУГВФ) дизелей Н-2 и Н-3</w:t>
      </w:r>
    </w:p>
    <w:p w14:paraId="4F2D176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Миронова (ОГПУ) дизеля Н-5</w:t>
      </w:r>
    </w:p>
    <w:p w14:paraId="0FE83F49"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Возложить персональную ответственность за своевременное производство, сборку дизелей и сдачу дизелей на гос. испытания на лиц:</w:t>
      </w:r>
    </w:p>
    <w:p w14:paraId="5BD09E1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мотору Н-1: под ответственность Побережского (ЦИАМ) закончить производство всех деталей к 1 июля 1933 года, сборку мотора к 15 августа 1933 года, своевременно сдать дизель на гос. испытание.</w:t>
      </w:r>
    </w:p>
    <w:p w14:paraId="6D4D0E7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мотору Н-2: 1. Под ответственность Мартенса (Ленинградский дизельный институт) своевременно сдать дизель на гос. испытание. 2. Под ответственность Побережского (ЦИАМ) выполнить: выданный ему заказ на механическую обработку и сборку узлов к 1 мая 1933 года, колено кривошипного механизма наддувочного компрессора (для хиртовского вала) – к 15 мая 1933 года. Коленчатый вал с комплектом пропеллерной втулки и кривоколенный механизм наддувочного компрессора – к 1 августа 1933 года; топливные насосы к 1 июня 1933 года. 3. Под ответственность директора завода № 26 Королева выполнить узлы золотникового картера и распределительных валов к 1 мая 1933 года. 4. Под ответственность директора завода им. Ворошилова Барыкова обеспечить подачу деталей по заказу ВНИДИ к 10 мая 1933 года, обеспечить сборку и испытание двигателя на заводе и начать таковую 20 мая 1933 года. 5. Директору (завод им. Молотова) Премудрову обеспечить выполнение заказов на поковки коленчатого вала со сроками подачи начиная с 1 мая 1933 года.</w:t>
      </w:r>
    </w:p>
    <w:p w14:paraId="4031346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мотору Н-3: 1. Под ответственность Майера (Харьковский дизельный институт) своевременно сдать дизель на гос. испытание. 2. Под ответственность директора завода № 26 Королева , цветное литье (картеры, блоки и головки) закончить к 1 июня 1933 года. 3.. Под ответственность директора ХАЗ Владимирова закончить механическую обработку всех крупных деталей к 1 августа 1933 года. 4. Под ответственность директора Ижевского завода Максимова к 1 июля 1933 года закончить поковку коленчатого вала.</w:t>
      </w:r>
    </w:p>
    <w:p w14:paraId="3AB4951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 мотору Н-4: 1. Под ответственность Красильникова (Харьковский авиационный институт) своевременно сдать дизель на гос. испытание. 2. Под ответственность директора Ижевского завода Максимова поковку коленвала закончить к 1 июля 1933 года. 3. Под ответственность директора ХПЗ Владимирова обработку вала и картера закончить 1 сентября 1933 года. 4. Под ответственность директора завода № 29 Александрова С-литье поршней, блоков и головок закончить к 1 июля 1933 года. 5. Предложить Красильниковуразместить группу компрессоров к 1 мая 1933 года. 6. Сборку мотора, под ответственность Красильникова закончить к 1 декабря 1933 года.</w:t>
      </w:r>
    </w:p>
    <w:p w14:paraId="3CC91B6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По мотору Н-5: 1. Под ответственность Горянова своевременно сдать дизель на гос. испытание. 2. Под ответственность зам. директора завода № 24 Колосова выполнитьпроизводство шатунов, блоков и втулок для винтов к 1 июня 1933 года. 3. Под ответственность директора завода № 26 Королева , отлить и обработать цветное литье к 1 июня 1933 года. 4. Под ответственность директора ЦИАМ Побережского испытание импеллерной группы закончить к 1 июля 1933 года, а сборку моторов в целом к 1 августа 1933 года.</w:t>
      </w:r>
    </w:p>
    <w:p w14:paraId="0A2D1C28"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что работы по проектированию двигателя Н-6 не привела к положительным результатам (мотор имеет пониженную мощность и высотность). Дальнейшие работы по двигателю Н-6 прекратить.</w:t>
      </w:r>
    </w:p>
    <w:p w14:paraId="7F9DE6EB"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недочеты проектирования и отсутствие ответственности в организации производства опытных дизелей, приведшие к самовольному изменению заданий и технических норм, затруднениям в размещении деталей на заводах и срыву плана опытного дизелестроения – впредь запретить запускать в производство опытные авиадизели до тщательной проверки основных элементов конструкций.</w:t>
      </w:r>
    </w:p>
    <w:p w14:paraId="67B0D50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внедрении в производство опытных дизелей должен разрешаться в каждом отдельном случае замнаркомтяжпрома Барановым.</w:t>
      </w:r>
    </w:p>
    <w:p w14:paraId="05E88F83"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в составе: Куйбышева Н.В. (председатель), Баранова, Алксниса, Гольцмана – к 1 августа 1933 года представить в СТО свои соображения об организации дизельного института и спецобъединен. производственной базы для опытного дизелестроения.</w:t>
      </w:r>
    </w:p>
    <w:p w14:paraId="45D649A4"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УВВС (Алкснису) и ГУГВФ (Анвельт) немедленно приступить к разработке условий гос. испытаний использования и эксплоатации дизелей.</w:t>
      </w:r>
    </w:p>
    <w:p w14:paraId="48D3E322"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Тресту Авиатопливо, УВВС (Зильберт) и ГУГВФ (Ангелов) – немедленно приступить к экспериментальным работам по подбору тяжелых топлив и обеспечить опытные установки и испытания авиадизелей необходимым количеством и требуемыми сортами топлив.</w:t>
      </w:r>
    </w:p>
    <w:p w14:paraId="03BD5EEE"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зам. НКТП Баранова подготовить базу к производству дизельной аппаратуры (насосы, форсунки) с расчетом обеспечения серийного производства дизелей в 1934 году.</w:t>
      </w:r>
    </w:p>
    <w:p w14:paraId="12EF8031"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НКТП Баранову не позднее 1 мая 1933 года представить в СТО план финансирования опытных работ по дизелестроению.</w:t>
      </w:r>
    </w:p>
    <w:p w14:paraId="0915A654"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Военно-морской инспекции НК-РКИ поквартально докладывать в СТО о ходе выполнения настоящего постановления (4223, 23-25).</w:t>
      </w:r>
    </w:p>
    <w:p w14:paraId="1E9AA5C8" w14:textId="77777777" w:rsidR="008524B2" w:rsidRPr="0044524F" w:rsidRDefault="008524B2"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DD6A527" w14:textId="77777777" w:rsidR="009A796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E8A8530" w14:textId="77777777" w:rsidR="009A7962" w:rsidRPr="0044524F" w:rsidRDefault="009A796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32448DF" w14:textId="77777777" w:rsidR="009A7962" w:rsidRPr="0044524F" w:rsidRDefault="009A7962" w:rsidP="009654CF">
      <w:pPr>
        <w:pStyle w:val="rtejustify"/>
        <w:spacing w:before="0" w:after="0"/>
        <w:rPr>
          <w:color w:val="000000" w:themeColor="text1"/>
          <w:sz w:val="16"/>
          <w:szCs w:val="16"/>
        </w:rPr>
      </w:pPr>
      <w:r w:rsidRPr="0044524F">
        <w:rPr>
          <w:rStyle w:val="af0"/>
          <w:bCs/>
          <w:i w:val="0"/>
          <w:color w:val="000000" w:themeColor="text1"/>
          <w:sz w:val="16"/>
          <w:szCs w:val="16"/>
        </w:rPr>
        <w:t>21 мая 1933 вышел приказ НКТП № 62с.</w:t>
      </w:r>
      <w:r w:rsidRPr="0044524F">
        <w:rPr>
          <w:color w:val="000000" w:themeColor="text1"/>
          <w:sz w:val="16"/>
          <w:szCs w:val="16"/>
        </w:rPr>
        <w:t xml:space="preserve"> О передаче трестов ВИВ и Вохимтреста в ведение Главхимпрома и улучшении их работы. (РГАЭ. Ф. 7297. Оп. 38. Д. 38. Л. 21) (15246).</w:t>
      </w:r>
    </w:p>
    <w:p w14:paraId="620C62F5" w14:textId="77777777" w:rsidR="009A7962" w:rsidRPr="0044524F" w:rsidRDefault="009A7962" w:rsidP="009654CF">
      <w:pPr>
        <w:pStyle w:val="rtejustify"/>
        <w:spacing w:before="0" w:after="0"/>
        <w:rPr>
          <w:color w:val="000000" w:themeColor="text1"/>
          <w:sz w:val="16"/>
          <w:szCs w:val="16"/>
        </w:rPr>
      </w:pPr>
    </w:p>
    <w:p w14:paraId="103D49F1"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A4A5C79"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1CA511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состоялось заседание комиссии ГУАП по выработке мероприятий по снижению веса ТБ-3 (АНТ-6) (1077,128).</w:t>
      </w:r>
    </w:p>
    <w:p w14:paraId="3995D5F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443E532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22 мая 1933 НИИ ВВС писал письмо N 2/0646с Нач. НТОС ГУАП (копия - ХАЗОСС К.А.К.):</w:t>
      </w:r>
    </w:p>
    <w:p w14:paraId="2609B52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полученным сведениям К-7 будет выпущен с колесами Пальмер размерами 2000х450 и 1750х350.</w:t>
      </w:r>
    </w:p>
    <w:p w14:paraId="5D77377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 установки этих колес (2000х450) на ТБ-3 показал, что из-за недоброкачественной резины пришлось прекратить полеты.</w:t>
      </w:r>
    </w:p>
    <w:p w14:paraId="4196AC3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Поэтому НИИ ВВС, предупреждая о выявленной уже негодности колес фирмы Пальмер, сообщает, что К-7 с упомянутыми колесами на гос. испытания принят быть не может.</w:t>
      </w:r>
    </w:p>
    <w:p w14:paraId="4C597C5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учесть, что завод 32 в будущем сможет изготовить колеса 2000х450 и 1600-350 и поэтому замена колес 1750 х 350 не обеспечена." (2206,43).</w:t>
      </w:r>
    </w:p>
    <w:p w14:paraId="2004F97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79E22EF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г. на утверждение помощнику начальника НИИ ВВС была направлена докладная записка к эскизно</w:t>
      </w:r>
      <w:r w:rsidRPr="0044524F">
        <w:rPr>
          <w:rFonts w:ascii="Times New Roman" w:hAnsi="Times New Roman"/>
          <w:color w:val="000000" w:themeColor="text1"/>
          <w:sz w:val="16"/>
          <w:szCs w:val="16"/>
        </w:rPr>
        <w:softHyphen/>
        <w:t>му проекту самолета ЦКБ-3, подписанная начальником бригады № 2 Н.Н.Поликарповым и начальником ЦКБ С.В.Ильюшиным (10667).</w:t>
      </w:r>
    </w:p>
    <w:p w14:paraId="75311F3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36592AAE"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мая 1933 г. помощнику начальника НИИ ВВС была направлена на утверждение докладная записка к эскизному проекту самолета ЦКБ-3, подписанная начальником бригады № 2 Н. Н. Поликарповым и начальником ЦКБ С. В. Ильюшиным.</w:t>
      </w:r>
    </w:p>
    <w:p w14:paraId="15C71786"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то, что с возможностью установки на И-15 мотора Райт «Циклон» SGR-1820 F-3 согласились, окончательного решения по типу двигателя так и не было принято, по этой причине утверждение эскизного проекта не состоялось. Тем не менее в начале июня 1933 г. был построен макет машины (25035).</w:t>
      </w:r>
    </w:p>
    <w:p w14:paraId="11DE4002" w14:textId="77777777" w:rsidR="00BE7B0D" w:rsidRPr="00142305" w:rsidRDefault="00BE7B0D" w:rsidP="00BE7B0D">
      <w:pPr>
        <w:spacing w:after="0" w:line="240" w:lineRule="auto"/>
        <w:jc w:val="both"/>
        <w:rPr>
          <w:rFonts w:ascii="Times New Roman" w:hAnsi="Times New Roman"/>
          <w:color w:val="0070C0"/>
          <w:sz w:val="16"/>
          <w:szCs w:val="16"/>
        </w:rPr>
      </w:pPr>
    </w:p>
    <w:p w14:paraId="788828B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закончились гос. испытания опытного самолета ДИ4 с мотором Кертисс Конкверор Е=7,5 N 521 Винт стандарт стиль Д=2,66 м. Шаг винта переменный. Испытания производились на 17,5 делений, которые проходили с 7 мая 1933.</w:t>
      </w:r>
    </w:p>
    <w:p w14:paraId="1A8F18A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7EB1713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самолет - Холодов И.</w:t>
      </w:r>
    </w:p>
    <w:p w14:paraId="785248A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Кокинаки</w:t>
      </w:r>
    </w:p>
    <w:p w14:paraId="07BA866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19C25BB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5044FD2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01AFB4A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ДИ4 - Кертисс Конкверор не может быть допущен к серийной постройке как не отвечающий требованиям к современным двухместным истребителям.</w:t>
      </w:r>
    </w:p>
    <w:p w14:paraId="4CB33AF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 самолета ДИ4-КК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4524F" w14:paraId="0D390557" w14:textId="77777777">
        <w:tc>
          <w:tcPr>
            <w:tcW w:w="2818" w:type="dxa"/>
          </w:tcPr>
          <w:p w14:paraId="12E9378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 1933 года</w:t>
            </w:r>
          </w:p>
        </w:tc>
        <w:tc>
          <w:tcPr>
            <w:tcW w:w="2818" w:type="dxa"/>
          </w:tcPr>
          <w:p w14:paraId="1804DA5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Перелет в Щелково</w:t>
            </w:r>
          </w:p>
        </w:tc>
      </w:tr>
      <w:tr w:rsidR="004E10C1" w:rsidRPr="0044524F" w14:paraId="70EA5B3B" w14:textId="77777777">
        <w:tc>
          <w:tcPr>
            <w:tcW w:w="2818" w:type="dxa"/>
          </w:tcPr>
          <w:p w14:paraId="5F8E83E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года</w:t>
            </w:r>
          </w:p>
        </w:tc>
        <w:tc>
          <w:tcPr>
            <w:tcW w:w="2818" w:type="dxa"/>
          </w:tcPr>
          <w:p w14:paraId="79669EE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Фактическое начало испытаний</w:t>
            </w:r>
          </w:p>
        </w:tc>
      </w:tr>
      <w:tr w:rsidR="004E10C1" w:rsidRPr="0044524F" w14:paraId="63E8A8EE" w14:textId="77777777">
        <w:tc>
          <w:tcPr>
            <w:tcW w:w="2818" w:type="dxa"/>
          </w:tcPr>
          <w:p w14:paraId="69BACE8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года</w:t>
            </w:r>
          </w:p>
        </w:tc>
        <w:tc>
          <w:tcPr>
            <w:tcW w:w="2818" w:type="dxa"/>
          </w:tcPr>
          <w:p w14:paraId="3E91369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Фактическое окончание испытаний</w:t>
            </w:r>
          </w:p>
        </w:tc>
      </w:tr>
    </w:tbl>
    <w:p w14:paraId="6FA59D6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испытание 15 календарных дней, из них летных 8 дней.</w:t>
      </w:r>
    </w:p>
    <w:p w14:paraId="3F939A2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время нахождения самолета в НИИ ВВС налетано 13 час. 25 мин.</w:t>
      </w:r>
    </w:p>
    <w:p w14:paraId="1C8DDD8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Сделано посадок - 19 (3914).</w:t>
      </w:r>
    </w:p>
    <w:p w14:paraId="09794F1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0DDB787A"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г. на аэродроме НИИ ВВС в Щелково закончились Государственные испытания Д-4 Лавиля, которые проходили с 8-го мая (11134).</w:t>
      </w:r>
    </w:p>
    <w:p w14:paraId="37A99B5D"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Было признано, что ДИ-4 построен по ус</w:t>
      </w:r>
      <w:r w:rsidRPr="0044524F">
        <w:rPr>
          <w:rFonts w:ascii="Times New Roman" w:hAnsi="Times New Roman"/>
          <w:color w:val="000000" w:themeColor="text1"/>
          <w:sz w:val="16"/>
          <w:szCs w:val="16"/>
        </w:rPr>
        <w:softHyphen/>
        <w:t>таревшей схеме (крепящиеся на шасси под</w:t>
      </w:r>
      <w:r w:rsidRPr="0044524F">
        <w:rPr>
          <w:rFonts w:ascii="Times New Roman" w:hAnsi="Times New Roman"/>
          <w:color w:val="000000" w:themeColor="text1"/>
          <w:sz w:val="16"/>
          <w:szCs w:val="16"/>
        </w:rPr>
        <w:softHyphen/>
        <w:t>косы); отмечалось, что само шасси очень сложное и неудобное в обслуживании. Зна</w:t>
      </w:r>
      <w:r w:rsidRPr="0044524F">
        <w:rPr>
          <w:rFonts w:ascii="Times New Roman" w:hAnsi="Times New Roman"/>
          <w:color w:val="000000" w:themeColor="text1"/>
          <w:sz w:val="16"/>
          <w:szCs w:val="16"/>
        </w:rPr>
        <w:softHyphen/>
        <w:t>чительным недостатком виделся большой вес конструкции, а кроме того, нарекания вызвало и крыло: сделанное в виде «чайки» для улучшения обзора, оно на самом деле не обнаружило этого преимущества по причине использованного толстого профиля. Само</w:t>
      </w:r>
      <w:r w:rsidRPr="0044524F">
        <w:rPr>
          <w:rFonts w:ascii="Times New Roman" w:hAnsi="Times New Roman"/>
          <w:color w:val="000000" w:themeColor="text1"/>
          <w:sz w:val="16"/>
          <w:szCs w:val="16"/>
        </w:rPr>
        <w:softHyphen/>
        <w:t>лет с трудом входил в штопор, однако пре</w:t>
      </w:r>
      <w:r w:rsidRPr="0044524F">
        <w:rPr>
          <w:rFonts w:ascii="Times New Roman" w:hAnsi="Times New Roman"/>
          <w:color w:val="000000" w:themeColor="text1"/>
          <w:sz w:val="16"/>
          <w:szCs w:val="16"/>
        </w:rPr>
        <w:softHyphen/>
        <w:t>красно из него выходил; в остальном летные качества оценивались как невысокие.</w:t>
      </w:r>
    </w:p>
    <w:p w14:paraId="00BA1DB9"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дальнейшем намечалось использовать вместо двигателя Кертисс «Конкверор» отечественный М-32. Однако после того как выяснилось, что переделки при этом потребуются весьма и весьма существен</w:t>
      </w:r>
      <w:r w:rsidRPr="0044524F">
        <w:rPr>
          <w:rFonts w:ascii="Times New Roman" w:hAnsi="Times New Roman"/>
          <w:color w:val="000000" w:themeColor="text1"/>
          <w:sz w:val="16"/>
          <w:szCs w:val="16"/>
        </w:rPr>
        <w:softHyphen/>
        <w:t>ные, совершенствование машины решили не продолжать и от ее серийного производ</w:t>
      </w:r>
      <w:r w:rsidRPr="0044524F">
        <w:rPr>
          <w:rFonts w:ascii="Times New Roman" w:hAnsi="Times New Roman"/>
          <w:color w:val="000000" w:themeColor="text1"/>
          <w:sz w:val="16"/>
          <w:szCs w:val="16"/>
        </w:rPr>
        <w:softHyphen/>
        <w:t>ства отказаться. Опытный экземпляр оста</w:t>
      </w:r>
      <w:r w:rsidRPr="0044524F">
        <w:rPr>
          <w:rFonts w:ascii="Times New Roman" w:hAnsi="Times New Roman"/>
          <w:color w:val="000000" w:themeColor="text1"/>
          <w:sz w:val="16"/>
          <w:szCs w:val="16"/>
        </w:rPr>
        <w:softHyphen/>
        <w:t>вили в НИИ ВВС, где, начиная с июля 1934 г., ДИ-4 использовался в испытатель</w:t>
      </w:r>
      <w:r w:rsidRPr="0044524F">
        <w:rPr>
          <w:rFonts w:ascii="Times New Roman" w:hAnsi="Times New Roman"/>
          <w:color w:val="000000" w:themeColor="text1"/>
          <w:sz w:val="16"/>
          <w:szCs w:val="16"/>
        </w:rPr>
        <w:softHyphen/>
        <w:t>ных полетах для сравнения характеристик других опытных истребителей.</w:t>
      </w:r>
    </w:p>
    <w:p w14:paraId="7F12FB00"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и технические характеристики самолета ДИ-4</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4E10C1" w:rsidRPr="0044524F" w14:paraId="40A18A5F" w14:textId="77777777">
        <w:tc>
          <w:tcPr>
            <w:tcW w:w="4788" w:type="dxa"/>
            <w:tcBorders>
              <w:top w:val="single" w:sz="12" w:space="0" w:color="auto"/>
            </w:tcBorders>
            <w:shd w:val="clear" w:color="auto" w:fill="FFFFFF"/>
          </w:tcPr>
          <w:p w14:paraId="1634231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(м)</w:t>
            </w:r>
          </w:p>
        </w:tc>
        <w:tc>
          <w:tcPr>
            <w:tcW w:w="4788" w:type="dxa"/>
            <w:tcBorders>
              <w:top w:val="single" w:sz="12" w:space="0" w:color="auto"/>
            </w:tcBorders>
            <w:shd w:val="clear" w:color="auto" w:fill="FFFFFF"/>
          </w:tcPr>
          <w:p w14:paraId="6932102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13,36</w:t>
            </w:r>
          </w:p>
        </w:tc>
      </w:tr>
      <w:tr w:rsidR="004E10C1" w:rsidRPr="0044524F" w14:paraId="3A59E77F" w14:textId="77777777">
        <w:tc>
          <w:tcPr>
            <w:tcW w:w="4788" w:type="dxa"/>
            <w:shd w:val="clear" w:color="auto" w:fill="FFFFFF"/>
          </w:tcPr>
          <w:p w14:paraId="104623D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(м)</w:t>
            </w:r>
          </w:p>
        </w:tc>
        <w:tc>
          <w:tcPr>
            <w:tcW w:w="4788" w:type="dxa"/>
            <w:shd w:val="clear" w:color="auto" w:fill="FFFFFF"/>
          </w:tcPr>
          <w:p w14:paraId="6DD909C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8,50</w:t>
            </w:r>
          </w:p>
        </w:tc>
      </w:tr>
      <w:tr w:rsidR="004E10C1" w:rsidRPr="0044524F" w14:paraId="17BF05DB" w14:textId="77777777">
        <w:tc>
          <w:tcPr>
            <w:tcW w:w="4788" w:type="dxa"/>
            <w:shd w:val="clear" w:color="auto" w:fill="FFFFFF"/>
          </w:tcPr>
          <w:p w14:paraId="2612CDE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tc>
        <w:tc>
          <w:tcPr>
            <w:tcW w:w="4788" w:type="dxa"/>
            <w:shd w:val="clear" w:color="auto" w:fill="FFFFFF"/>
          </w:tcPr>
          <w:p w14:paraId="3A70E2F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23,90</w:t>
            </w:r>
          </w:p>
        </w:tc>
      </w:tr>
      <w:tr w:rsidR="004E10C1" w:rsidRPr="0044524F" w14:paraId="1C027354" w14:textId="77777777">
        <w:tc>
          <w:tcPr>
            <w:tcW w:w="4788" w:type="dxa"/>
            <w:shd w:val="clear" w:color="auto" w:fill="FFFFFF"/>
          </w:tcPr>
          <w:p w14:paraId="16504EE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Хорда крыла (м)</w:t>
            </w:r>
          </w:p>
        </w:tc>
        <w:tc>
          <w:tcPr>
            <w:tcW w:w="4788" w:type="dxa"/>
            <w:shd w:val="clear" w:color="auto" w:fill="FFFFFF"/>
          </w:tcPr>
          <w:p w14:paraId="21F0553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2,0</w:t>
            </w:r>
          </w:p>
        </w:tc>
      </w:tr>
      <w:tr w:rsidR="004E10C1" w:rsidRPr="0044524F" w14:paraId="6A156339" w14:textId="77777777">
        <w:tc>
          <w:tcPr>
            <w:tcW w:w="4788" w:type="dxa"/>
            <w:shd w:val="clear" w:color="auto" w:fill="FFFFFF"/>
          </w:tcPr>
          <w:p w14:paraId="250F2E8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(кг)</w:t>
            </w:r>
          </w:p>
        </w:tc>
        <w:tc>
          <w:tcPr>
            <w:tcW w:w="4788" w:type="dxa"/>
            <w:shd w:val="clear" w:color="auto" w:fill="FFFFFF"/>
          </w:tcPr>
          <w:p w14:paraId="52783EF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1441,0</w:t>
            </w:r>
          </w:p>
        </w:tc>
      </w:tr>
      <w:tr w:rsidR="004E10C1" w:rsidRPr="0044524F" w14:paraId="34D0314B" w14:textId="77777777">
        <w:tc>
          <w:tcPr>
            <w:tcW w:w="4788" w:type="dxa"/>
            <w:shd w:val="clear" w:color="auto" w:fill="FFFFFF"/>
          </w:tcPr>
          <w:p w14:paraId="518C707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(кг)</w:t>
            </w:r>
          </w:p>
        </w:tc>
        <w:tc>
          <w:tcPr>
            <w:tcW w:w="4788" w:type="dxa"/>
            <w:shd w:val="clear" w:color="auto" w:fill="FFFFFF"/>
          </w:tcPr>
          <w:p w14:paraId="13C2D77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1949</w:t>
            </w:r>
          </w:p>
        </w:tc>
      </w:tr>
      <w:tr w:rsidR="004E10C1" w:rsidRPr="0044524F" w14:paraId="1C227083" w14:textId="77777777">
        <w:tc>
          <w:tcPr>
            <w:tcW w:w="4788" w:type="dxa"/>
            <w:shd w:val="clear" w:color="auto" w:fill="FFFFFF"/>
          </w:tcPr>
          <w:p w14:paraId="31FFCDE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 Н=0 (км/ч)</w:t>
            </w:r>
          </w:p>
        </w:tc>
        <w:tc>
          <w:tcPr>
            <w:tcW w:w="4788" w:type="dxa"/>
            <w:shd w:val="clear" w:color="auto" w:fill="FFFFFF"/>
          </w:tcPr>
          <w:p w14:paraId="3D8B17F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266</w:t>
            </w:r>
          </w:p>
        </w:tc>
      </w:tr>
      <w:tr w:rsidR="004E10C1" w:rsidRPr="0044524F" w14:paraId="7978E923" w14:textId="77777777">
        <w:tc>
          <w:tcPr>
            <w:tcW w:w="4788" w:type="dxa"/>
            <w:shd w:val="clear" w:color="auto" w:fill="FFFFFF"/>
          </w:tcPr>
          <w:p w14:paraId="7043240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 Н=3000 (км/ч)</w:t>
            </w:r>
          </w:p>
        </w:tc>
        <w:tc>
          <w:tcPr>
            <w:tcW w:w="4788" w:type="dxa"/>
            <w:shd w:val="clear" w:color="auto" w:fill="FFFFFF"/>
          </w:tcPr>
          <w:p w14:paraId="5AC9596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248,7</w:t>
            </w:r>
          </w:p>
        </w:tc>
      </w:tr>
      <w:tr w:rsidR="004E10C1" w:rsidRPr="0044524F" w14:paraId="15FA220D" w14:textId="77777777">
        <w:tc>
          <w:tcPr>
            <w:tcW w:w="4788" w:type="dxa"/>
            <w:shd w:val="clear" w:color="auto" w:fill="FFFFFF"/>
          </w:tcPr>
          <w:p w14:paraId="2E94E08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 Н=5000 (км/ч)</w:t>
            </w:r>
          </w:p>
        </w:tc>
        <w:tc>
          <w:tcPr>
            <w:tcW w:w="4788" w:type="dxa"/>
            <w:shd w:val="clear" w:color="auto" w:fill="FFFFFF"/>
          </w:tcPr>
          <w:p w14:paraId="2077260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237,0</w:t>
            </w:r>
          </w:p>
        </w:tc>
      </w:tr>
      <w:tr w:rsidR="004E10C1" w:rsidRPr="0044524F" w14:paraId="3C957583" w14:textId="77777777">
        <w:tc>
          <w:tcPr>
            <w:tcW w:w="4788" w:type="dxa"/>
            <w:shd w:val="clear" w:color="auto" w:fill="FFFFFF"/>
          </w:tcPr>
          <w:p w14:paraId="37F901D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3000 м (мин)</w:t>
            </w:r>
          </w:p>
        </w:tc>
        <w:tc>
          <w:tcPr>
            <w:tcW w:w="4788" w:type="dxa"/>
            <w:shd w:val="clear" w:color="auto" w:fill="FFFFFF"/>
          </w:tcPr>
          <w:p w14:paraId="66C8B35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7,4</w:t>
            </w:r>
          </w:p>
        </w:tc>
      </w:tr>
      <w:tr w:rsidR="004E10C1" w:rsidRPr="0044524F" w14:paraId="597A5829" w14:textId="77777777">
        <w:tc>
          <w:tcPr>
            <w:tcW w:w="4788" w:type="dxa"/>
            <w:shd w:val="clear" w:color="auto" w:fill="FFFFFF"/>
          </w:tcPr>
          <w:p w14:paraId="4CC9F90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5000 м (мин)</w:t>
            </w:r>
          </w:p>
        </w:tc>
        <w:tc>
          <w:tcPr>
            <w:tcW w:w="4788" w:type="dxa"/>
            <w:shd w:val="clear" w:color="auto" w:fill="FFFFFF"/>
          </w:tcPr>
          <w:p w14:paraId="7B647F7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17,0</w:t>
            </w:r>
          </w:p>
        </w:tc>
      </w:tr>
      <w:tr w:rsidR="004E10C1" w:rsidRPr="0044524F" w14:paraId="1085AC0E" w14:textId="77777777">
        <w:tc>
          <w:tcPr>
            <w:tcW w:w="4788" w:type="dxa"/>
            <w:shd w:val="clear" w:color="auto" w:fill="FFFFFF"/>
          </w:tcPr>
          <w:p w14:paraId="459500A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(м)</w:t>
            </w:r>
          </w:p>
        </w:tc>
        <w:tc>
          <w:tcPr>
            <w:tcW w:w="4788" w:type="dxa"/>
            <w:shd w:val="clear" w:color="auto" w:fill="FFFFFF"/>
          </w:tcPr>
          <w:p w14:paraId="0045CAE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6440</w:t>
            </w:r>
          </w:p>
        </w:tc>
      </w:tr>
      <w:tr w:rsidR="004E10C1" w:rsidRPr="0044524F" w14:paraId="74201FEB" w14:textId="77777777">
        <w:tc>
          <w:tcPr>
            <w:tcW w:w="4788" w:type="dxa"/>
            <w:tcBorders>
              <w:bottom w:val="single" w:sz="12" w:space="0" w:color="auto"/>
            </w:tcBorders>
            <w:shd w:val="clear" w:color="auto" w:fill="FFFFFF"/>
          </w:tcPr>
          <w:p w14:paraId="7326480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виража на 100 м (сек)</w:t>
            </w:r>
          </w:p>
        </w:tc>
        <w:tc>
          <w:tcPr>
            <w:tcW w:w="4788" w:type="dxa"/>
            <w:tcBorders>
              <w:bottom w:val="single" w:sz="12" w:space="0" w:color="auto"/>
            </w:tcBorders>
            <w:shd w:val="clear" w:color="auto" w:fill="FFFFFF"/>
          </w:tcPr>
          <w:p w14:paraId="1EA67D4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15,0 (11134)</w:t>
            </w:r>
          </w:p>
        </w:tc>
      </w:tr>
    </w:tbl>
    <w:p w14:paraId="0F757D80"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5C462F" w14:textId="77777777" w:rsidR="009A7962" w:rsidRPr="0044524F" w:rsidRDefault="009A79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22 мая</w:t>
      </w:r>
      <w:r w:rsidRPr="0044524F">
        <w:rPr>
          <w:rFonts w:ascii="Times New Roman" w:hAnsi="Times New Roman"/>
          <w:color w:val="000000" w:themeColor="text1"/>
          <w:sz w:val="16"/>
          <w:szCs w:val="16"/>
        </w:rPr>
        <w:t xml:space="preserve"> в 1933 году завершились (с 8 мая) Государственные испытания истребителя «ДИ-4» на аэродромн НИИ ВВС. Для самолета выбрали новый двигатель - американский Кертисс "Конкверор" мощностью 625/700 л.с. «ДИ-4» был выполнен по схеме подкосного высокоплана, в котором подкосы опирались на элементы шасси. Конструкция - цельнометаллическая, в основном дюралевая. Обшивка гладкая, тонкая, с редкими подкреплениями, что при недостатке опыта изготовления приводило к появлению хлопунов и неровностей. Крыло спроектировано в виде "чайки" для улучшения обзора из кабины пилота; ребра нервюр снаружи. Топливо размещалось в двух фюзеляжных баках общей емкостью 230 кг. Вооружение состояло из 4-х синхронных пулеметов «ПВ-1» и одного кормового пулемета «ДА» на шкворневой установке. В противоположность обычной практике изготовление «ДИ-4» длилось достаточно долго: сказывалась новизна конструкции и необходимость освоения технологии гладких металлических обшивок (14899).</w:t>
      </w:r>
    </w:p>
    <w:p w14:paraId="53FD32C5" w14:textId="77777777" w:rsidR="009A7962" w:rsidRPr="0044524F" w:rsidRDefault="009A7962" w:rsidP="009654CF">
      <w:pPr>
        <w:spacing w:after="0" w:line="240" w:lineRule="auto"/>
        <w:jc w:val="both"/>
        <w:rPr>
          <w:rFonts w:ascii="Times New Roman" w:hAnsi="Times New Roman"/>
          <w:color w:val="000000" w:themeColor="text1"/>
          <w:sz w:val="16"/>
          <w:szCs w:val="16"/>
        </w:rPr>
      </w:pPr>
    </w:p>
    <w:p w14:paraId="3391842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22 мая 1933 С.Н.Анохин участвует в первом буксировочном перелёте трёх планеров Г-9 за самолётом Р-5 (пилоты планеров-С.Н.Анохин, Н.Я.Симонов, И.И.Шелест; пилот Р-5 - Н Д.Федосеев). Аэропоезд стартовал из Москвы и вскоре с промежуточными посадками достиг Коктебеля (5996).</w:t>
      </w:r>
    </w:p>
    <w:p w14:paraId="7087F58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64C26D6B"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 23 мая 1933 г. И.С. Бер, находясь в Москве в УММ РККА, участвовал в работе совещания по рассмотрению специальных технических условий на поставку авиационным заводом № 26 двигателей М-17 для заводов «Красный Путиловец» и ХПЗ. При рассмотрении технических условий было учтено предложение И.С. Бера о снижении степени сжатия двигателя М-17 с 6 до 5,3 единиц. В дальнейшем по данным техническим условиям завод № 26 изготавливал и поставлял на ХПЗ двигатели М-17л, которые устанавливались в серийные танки Т-35А (25046).</w:t>
      </w:r>
    </w:p>
    <w:p w14:paraId="11EC9F01" w14:textId="77777777" w:rsidR="00BE7B0D" w:rsidRPr="00142305" w:rsidRDefault="00BE7B0D" w:rsidP="00BE7B0D">
      <w:pPr>
        <w:spacing w:after="0" w:line="240" w:lineRule="auto"/>
        <w:jc w:val="both"/>
        <w:rPr>
          <w:rFonts w:ascii="Times New Roman" w:hAnsi="Times New Roman"/>
          <w:color w:val="0070C0"/>
          <w:sz w:val="16"/>
          <w:szCs w:val="16"/>
        </w:rPr>
      </w:pPr>
    </w:p>
    <w:p w14:paraId="2AE2432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года начальник 2 управления УММ РККА Бокис и начальник 4 отдела Магидов писали письмо № 155168с в Кремль, секретариат Базилевичу</w:t>
      </w:r>
    </w:p>
    <w:p w14:paraId="45383C8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по делу о передаче участка территории склада № 37 (два участка) в распоряжение ЦАГИ.</w:t>
      </w:r>
    </w:p>
    <w:p w14:paraId="197650A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году часть территории склада № 37 (два участка) были переданы в распоряжение ЦАГИ и Авиазавода.</w:t>
      </w:r>
    </w:p>
    <w:p w14:paraId="6B00A8B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постановления КО от 4 июля 1932 года часть территории Склада должна быть отрезана в распоряжение ЦАГИ.</w:t>
      </w:r>
    </w:p>
    <w:p w14:paraId="1355B8C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тем, что намеченный к выделению ЦАГИ участок его не удовлетворил и он претендовал на большой участок, на котором расположена часть хранилищ и проходит ветка подъездного ж/д пути Склада, начальник УММ РККА Халепский лично выезжал на место и согласовал с ЦАГИ передачу участка, причем: по согласованию с начальником УММ, ЦАГИ обязалось компенсировать все расходы, связанные с выделением этого участка, как-то: постройка новых хранилищ взамен представленных ЦАГИ, перенос подъездных путей, а также и расходы по переброске имущества из хранилищ отошедших ЦАГИ.</w:t>
      </w:r>
    </w:p>
    <w:p w14:paraId="5A9F19B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сих пор, однако, ЦАГИ своего обязательства не выполнило, новые хранилища взамен подлежащих передачи не построены, не произведен также перенос подъездных путей, вследствие этого УММ не имеет возможности освободить подлежащий передаче участок, так как свободной крытой площадки на Складе 37 нет, а выбрасывать имущество и укладывать его под открытым небом не считаю возможным.</w:t>
      </w:r>
    </w:p>
    <w:p w14:paraId="24A95BE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При осуществлении ЦАГИ своих обязательств по компенсациям, КЭУ РККА ведающее этим вопросом будет произведено оформление передачи ЦАГИ, участка территории Склада 37 (3530,128).</w:t>
      </w:r>
    </w:p>
    <w:p w14:paraId="1037035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2987B4FD"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63710F8"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992E9BD" w14:textId="77777777" w:rsidR="009A7962" w:rsidRPr="0044524F" w:rsidRDefault="009A7962" w:rsidP="009654CF">
      <w:pPr>
        <w:pStyle w:val="rtejustify"/>
        <w:spacing w:before="0" w:after="0"/>
        <w:rPr>
          <w:color w:val="000000" w:themeColor="text1"/>
          <w:sz w:val="16"/>
          <w:szCs w:val="16"/>
        </w:rPr>
      </w:pPr>
      <w:r w:rsidRPr="0044524F">
        <w:rPr>
          <w:rStyle w:val="af0"/>
          <w:bCs/>
          <w:i w:val="0"/>
          <w:color w:val="000000" w:themeColor="text1"/>
          <w:sz w:val="16"/>
          <w:szCs w:val="16"/>
        </w:rPr>
        <w:t>22 мая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необходимости ввода на вооружение РККА усовершенствованной модели МТГ (механическая трубка инженера Георгиева) и планомерного развертывания производства МТГ на заводе «Прогресс»». (РГВА. Ф. 4. Оп. 18. Д. 23. Л. 180</w:t>
      </w:r>
      <w:r w:rsidRPr="0044524F">
        <w:rPr>
          <w:color w:val="000000" w:themeColor="text1"/>
          <w:sz w:val="16"/>
          <w:szCs w:val="16"/>
        </w:rPr>
        <w:noBreakHyphen/>
        <w:t>181) (15461).</w:t>
      </w:r>
    </w:p>
    <w:p w14:paraId="341DC3DD" w14:textId="77777777" w:rsidR="009A7962" w:rsidRPr="0044524F" w:rsidRDefault="009A7962" w:rsidP="009654CF">
      <w:pPr>
        <w:pStyle w:val="rtejustify"/>
        <w:spacing w:before="0" w:after="0"/>
        <w:rPr>
          <w:rStyle w:val="af0"/>
          <w:bCs/>
          <w:i w:val="0"/>
          <w:color w:val="000000" w:themeColor="text1"/>
          <w:sz w:val="16"/>
          <w:szCs w:val="16"/>
        </w:rPr>
      </w:pPr>
    </w:p>
    <w:p w14:paraId="74EFC4B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была подготовлена оперативная сводка военпреда на ХПЗ в/и Гинсбурга о состоянии опытных работ на заводе на 22 мая и там была сказано “КБ отдела Т-2О (2-й танковый опытный) ХПЗ приступило к разработке в чертежах” - к конструктивной проработки установки 76-мм пушки в БТ (3881,3) -</w:t>
      </w:r>
    </w:p>
    <w:p w14:paraId="2D5A424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“Корпус машины - конструктивно меняются в передней части все броневые листы;</w:t>
      </w:r>
    </w:p>
    <w:p w14:paraId="7AAD4E4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Нос машины закругляется по радиусу приблизительно 230 мм. Ширина в самом узком месте носа - 500 мм вместо 250 мм на БТ и БТ-5. Длинна корпуса машины не меняется. Нос - сварной, на основе конструкции сварного корпуса (опытного танка) БТ-6. Сидение водителя перенесено вперед вместе с кулисой, рычагами управления, бортовыми фрикционами и управлением зажиганием, причем боевое помещение увеличилось на 100 мм.</w:t>
      </w:r>
    </w:p>
    <w:p w14:paraId="65A09AE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Ведется работа по изменению кормы машины в целях увеличения запаса горючего и улучшения бронировки незащищенных листов.” (3881,3).</w:t>
      </w:r>
    </w:p>
    <w:p w14:paraId="5D63C19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705F194"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A11980E"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0030A0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приказом № 141 предписывалось «сконцентрировать нацменов, в особенности восточных национальностей, в отдельные бригады, коллективы, артели и лагпункты», обеспечив их национальной литературой, особыми котлами на кухнях (подразумевалось, - чтобы готовить пищу для мусульман) и т. п.; отмечалось, что «население лагеря имеет в своем составе большое число украинцев,...различных народностей Северного Кавказа и народностей Востока. Так, например,: 3-е и 8-е отделения почти полностью укомплектованы украинцами, 13-е отделение имеет большой состав татар и башкир и т. д. Почти все отделения достаточно не учитывают этого... Со стороны несознательных лагерников наблюдались и имели место случаи проявления «великодержавного российского» шовинизма (в марте месяце на 69 километре Дмитровского пункта)» (7560).</w:t>
      </w:r>
    </w:p>
    <w:p w14:paraId="7FA4B08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6C15A3F4"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53FB15E"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7842203" w14:textId="77777777" w:rsidR="009A7962" w:rsidRPr="0044524F" w:rsidRDefault="009A79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23 мая</w:t>
      </w:r>
      <w:r w:rsidRPr="0044524F">
        <w:rPr>
          <w:rFonts w:ascii="Times New Roman" w:hAnsi="Times New Roman"/>
          <w:color w:val="000000" w:themeColor="text1"/>
          <w:sz w:val="16"/>
          <w:szCs w:val="16"/>
        </w:rPr>
        <w:t xml:space="preserve"> в 1933 году первый полет многоместного истребителя </w:t>
      </w:r>
      <w:hyperlink r:id="rId170" w:tgtFrame="_blank" w:history="1">
        <w:r w:rsidRPr="0044524F">
          <w:rPr>
            <w:rFonts w:ascii="Times New Roman" w:hAnsi="Times New Roman"/>
            <w:color w:val="000000" w:themeColor="text1"/>
            <w:sz w:val="16"/>
            <w:szCs w:val="16"/>
          </w:rPr>
          <w:t xml:space="preserve">«Ми-3» («АНТ-21»), </w:t>
        </w:r>
      </w:hyperlink>
      <w:r w:rsidRPr="0044524F">
        <w:rPr>
          <w:rFonts w:ascii="Times New Roman" w:hAnsi="Times New Roman"/>
          <w:color w:val="000000" w:themeColor="text1"/>
          <w:sz w:val="16"/>
          <w:szCs w:val="16"/>
        </w:rPr>
        <w:t>пилот И.Ф.Козлов (14900).</w:t>
      </w:r>
    </w:p>
    <w:p w14:paraId="3319B624" w14:textId="77777777" w:rsidR="009A7962" w:rsidRPr="0044524F" w:rsidRDefault="009A7962" w:rsidP="009654CF">
      <w:pPr>
        <w:spacing w:after="0" w:line="240" w:lineRule="auto"/>
        <w:jc w:val="both"/>
        <w:rPr>
          <w:rFonts w:ascii="Times New Roman" w:hAnsi="Times New Roman"/>
          <w:color w:val="000000" w:themeColor="text1"/>
          <w:sz w:val="16"/>
          <w:szCs w:val="16"/>
        </w:rPr>
      </w:pPr>
    </w:p>
    <w:p w14:paraId="7C6D4FE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мая 1933 был выполнен первый полет МИ-3 (АНТ-21). Потребовались доработки (80,236). Летал И.Ф.Козлов (6200, 8).</w:t>
      </w:r>
    </w:p>
    <w:p w14:paraId="089E4B8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самолет МИ-3 (АНТ-21) был построен только 1 июня, а заводские испытания начались только осенью 1933.</w:t>
      </w:r>
    </w:p>
    <w:p w14:paraId="3BC50769"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B568166"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мая 1933 г. был произведен первый полет МИ-3, АНТ-21 (23345).</w:t>
      </w:r>
    </w:p>
    <w:p w14:paraId="40AF189F" w14:textId="77777777" w:rsidR="00BB5429" w:rsidRPr="0044524F" w:rsidRDefault="00BB5429" w:rsidP="009654CF">
      <w:pPr>
        <w:spacing w:after="0" w:line="240" w:lineRule="auto"/>
        <w:jc w:val="both"/>
        <w:rPr>
          <w:rFonts w:ascii="Times New Roman" w:hAnsi="Times New Roman"/>
          <w:color w:val="000000" w:themeColor="text1"/>
          <w:sz w:val="16"/>
          <w:szCs w:val="16"/>
        </w:rPr>
      </w:pPr>
    </w:p>
    <w:p w14:paraId="18505B43"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мая 1933 года состоялся первый полет опытного самолета МИ-3 А.Н.Т..</w:t>
      </w:r>
    </w:p>
    <w:p w14:paraId="5DC9E876"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Машина неоднократно дорабатывалась, но устранить недостатки так и не удалось. К этому времени уже заканчивалась постройка более совершенного самолета — АНТ— 40, от которого ждали лучших характеристик.</w:t>
      </w:r>
    </w:p>
    <w:p w14:paraId="25E7EFE1"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Построено три опытных экземпляра (23474).</w:t>
      </w:r>
    </w:p>
    <w:p w14:paraId="4DEA4BA0" w14:textId="77777777" w:rsidR="00BB5429" w:rsidRPr="0044524F" w:rsidRDefault="00BB5429" w:rsidP="009654CF">
      <w:pPr>
        <w:spacing w:after="0" w:line="240" w:lineRule="auto"/>
        <w:jc w:val="both"/>
        <w:rPr>
          <w:rFonts w:ascii="Times New Roman" w:hAnsi="Times New Roman"/>
          <w:color w:val="000000" w:themeColor="text1"/>
          <w:sz w:val="16"/>
          <w:szCs w:val="16"/>
        </w:rPr>
      </w:pPr>
    </w:p>
    <w:p w14:paraId="30641E81"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мая 1933 г. летчик И.Ф. Козлов впервые поднял АНТ—21 в воздух. На</w:t>
      </w:r>
      <w:r w:rsidRPr="0044524F">
        <w:rPr>
          <w:rFonts w:ascii="Times New Roman" w:hAnsi="Times New Roman"/>
          <w:color w:val="000000" w:themeColor="text1"/>
          <w:sz w:val="16"/>
          <w:szCs w:val="16"/>
        </w:rPr>
        <w:softHyphen/>
        <w:t>чавшиеся заводские испытания принес</w:t>
      </w:r>
      <w:r w:rsidRPr="0044524F">
        <w:rPr>
          <w:rFonts w:ascii="Times New Roman" w:hAnsi="Times New Roman"/>
          <w:color w:val="000000" w:themeColor="text1"/>
          <w:sz w:val="16"/>
          <w:szCs w:val="16"/>
        </w:rPr>
        <w:softHyphen/>
        <w:t>ли летчикам и конструкторам немало неприятностей:</w:t>
      </w:r>
    </w:p>
    <w:p w14:paraId="0BF30B7D"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плохо планировал;</w:t>
      </w:r>
    </w:p>
    <w:p w14:paraId="060C7EF9"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вибрировало оперение на скоростях 180 км/ч и ниже;</w:t>
      </w:r>
    </w:p>
    <w:p w14:paraId="286FD1A7"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оказалась вы</w:t>
      </w:r>
      <w:r w:rsidRPr="0044524F">
        <w:rPr>
          <w:rFonts w:ascii="Times New Roman" w:hAnsi="Times New Roman"/>
          <w:color w:val="000000" w:themeColor="text1"/>
          <w:sz w:val="16"/>
          <w:szCs w:val="16"/>
        </w:rPr>
        <w:softHyphen/>
        <w:t>сокой — порядка 135—140 км/ч;</w:t>
      </w:r>
    </w:p>
    <w:p w14:paraId="64CABA2C"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эффективность рулей была явно не</w:t>
      </w:r>
      <w:r w:rsidRPr="0044524F">
        <w:rPr>
          <w:rFonts w:ascii="Times New Roman" w:hAnsi="Times New Roman"/>
          <w:color w:val="000000" w:themeColor="text1"/>
          <w:sz w:val="16"/>
          <w:szCs w:val="16"/>
        </w:rPr>
        <w:softHyphen/>
        <w:t>достаточной.</w:t>
      </w:r>
    </w:p>
    <w:p w14:paraId="50552744"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возвратили на завод для уст</w:t>
      </w:r>
      <w:r w:rsidRPr="0044524F">
        <w:rPr>
          <w:rFonts w:ascii="Times New Roman" w:hAnsi="Times New Roman"/>
          <w:color w:val="000000" w:themeColor="text1"/>
          <w:sz w:val="16"/>
          <w:szCs w:val="16"/>
        </w:rPr>
        <w:softHyphen/>
        <w:t>ранения дефектов. Основные доработки состояли в следующем:</w:t>
      </w:r>
    </w:p>
    <w:p w14:paraId="6DD02A27"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увеличили площадь крыла за счет удлинения консолей;</w:t>
      </w:r>
    </w:p>
    <w:p w14:paraId="65EDFAD3"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установили посадочные щитки;</w:t>
      </w:r>
    </w:p>
    <w:p w14:paraId="75BC56C7"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увеличили площади килей и рулей направления;</w:t>
      </w:r>
    </w:p>
    <w:p w14:paraId="555A003C"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установили зализы на месте соеди</w:t>
      </w:r>
      <w:r w:rsidRPr="0044524F">
        <w:rPr>
          <w:rFonts w:ascii="Times New Roman" w:hAnsi="Times New Roman"/>
          <w:color w:val="000000" w:themeColor="text1"/>
          <w:sz w:val="16"/>
          <w:szCs w:val="16"/>
        </w:rPr>
        <w:softHyphen/>
        <w:t>нения крыла с фюзеляжем для устране</w:t>
      </w:r>
      <w:r w:rsidRPr="0044524F">
        <w:rPr>
          <w:rFonts w:ascii="Times New Roman" w:hAnsi="Times New Roman"/>
          <w:color w:val="000000" w:themeColor="text1"/>
          <w:sz w:val="16"/>
          <w:szCs w:val="16"/>
        </w:rPr>
        <w:softHyphen/>
        <w:t>ния срыва потока;</w:t>
      </w:r>
    </w:p>
    <w:p w14:paraId="78C7E605"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гофрированную поверхность крыла сделали гладкой, обшив гофр полотном.</w:t>
      </w:r>
    </w:p>
    <w:p w14:paraId="27D0410F"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самолета усилили, заме</w:t>
      </w:r>
      <w:r w:rsidRPr="0044524F">
        <w:rPr>
          <w:rFonts w:ascii="Times New Roman" w:hAnsi="Times New Roman"/>
          <w:color w:val="000000" w:themeColor="text1"/>
          <w:sz w:val="16"/>
          <w:szCs w:val="16"/>
        </w:rPr>
        <w:softHyphen/>
        <w:t>нив носовые пулеметы пушкой Oerlikon с боезапасом 150 снарядов, на верхней по</w:t>
      </w:r>
      <w:r w:rsidRPr="0044524F">
        <w:rPr>
          <w:rFonts w:ascii="Times New Roman" w:hAnsi="Times New Roman"/>
          <w:color w:val="000000" w:themeColor="text1"/>
          <w:sz w:val="16"/>
          <w:szCs w:val="16"/>
        </w:rPr>
        <w:softHyphen/>
        <w:t>движной установке предполагалось уста</w:t>
      </w:r>
      <w:r w:rsidRPr="0044524F">
        <w:rPr>
          <w:rFonts w:ascii="Times New Roman" w:hAnsi="Times New Roman"/>
          <w:color w:val="000000" w:themeColor="text1"/>
          <w:sz w:val="16"/>
          <w:szCs w:val="16"/>
        </w:rPr>
        <w:softHyphen/>
        <w:t>новить более современный пулемет ШКАС (боезапас 1000 патронов). Осталь</w:t>
      </w:r>
      <w:r w:rsidRPr="0044524F">
        <w:rPr>
          <w:rFonts w:ascii="Times New Roman" w:hAnsi="Times New Roman"/>
          <w:color w:val="000000" w:themeColor="text1"/>
          <w:sz w:val="16"/>
          <w:szCs w:val="16"/>
        </w:rPr>
        <w:softHyphen/>
        <w:t>ное вооружение сохранялось: два ПВ—1 с боезапасом по 2000 патронов — в крыле и один ДА с боезапасом 1000 патронов — на нижней люковой установке.</w:t>
      </w:r>
    </w:p>
    <w:p w14:paraId="7B5C9E02"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снова передали на испыта</w:t>
      </w:r>
      <w:r w:rsidRPr="0044524F">
        <w:rPr>
          <w:rFonts w:ascii="Times New Roman" w:hAnsi="Times New Roman"/>
          <w:color w:val="000000" w:themeColor="text1"/>
          <w:sz w:val="16"/>
          <w:szCs w:val="16"/>
        </w:rPr>
        <w:softHyphen/>
        <w:t>ния. Их проводили летчики И.Ф. Козлов, Б.Л. Бухгольц, К.К. Попов. К сожале</w:t>
      </w:r>
      <w:r w:rsidRPr="0044524F">
        <w:rPr>
          <w:rFonts w:ascii="Times New Roman" w:hAnsi="Times New Roman"/>
          <w:color w:val="000000" w:themeColor="text1"/>
          <w:sz w:val="16"/>
          <w:szCs w:val="16"/>
        </w:rPr>
        <w:softHyphen/>
        <w:t>нию, смогли устранить не все дефекты. Остался самый неприятный — тряска типа бафтинга. Полеты признали опас</w:t>
      </w:r>
      <w:r w:rsidRPr="0044524F">
        <w:rPr>
          <w:rFonts w:ascii="Times New Roman" w:hAnsi="Times New Roman"/>
          <w:color w:val="000000" w:themeColor="text1"/>
          <w:sz w:val="16"/>
          <w:szCs w:val="16"/>
        </w:rPr>
        <w:softHyphen/>
        <w:t>ными, но решили их продолжить, чтобы выяснить причины тряски. Для опреде</w:t>
      </w:r>
      <w:r w:rsidRPr="0044524F">
        <w:rPr>
          <w:rFonts w:ascii="Times New Roman" w:hAnsi="Times New Roman"/>
          <w:color w:val="000000" w:themeColor="text1"/>
          <w:sz w:val="16"/>
          <w:szCs w:val="16"/>
        </w:rPr>
        <w:softHyphen/>
        <w:t>ления зон срыва потока верхнюю часть крыла до элерона оклеили шелковинка</w:t>
      </w:r>
      <w:r w:rsidRPr="0044524F">
        <w:rPr>
          <w:rFonts w:ascii="Times New Roman" w:hAnsi="Times New Roman"/>
          <w:color w:val="000000" w:themeColor="text1"/>
          <w:sz w:val="16"/>
          <w:szCs w:val="16"/>
        </w:rPr>
        <w:softHyphen/>
        <w:t>ми. Их положение в полете фиксирова</w:t>
      </w:r>
      <w:r w:rsidRPr="0044524F">
        <w:rPr>
          <w:rFonts w:ascii="Times New Roman" w:hAnsi="Times New Roman"/>
          <w:color w:val="000000" w:themeColor="text1"/>
          <w:sz w:val="16"/>
          <w:szCs w:val="16"/>
        </w:rPr>
        <w:softHyphen/>
        <w:t>лось фотоаппаратом, установленным в задней кабине. Испытания до конца до</w:t>
      </w:r>
      <w:r w:rsidRPr="0044524F">
        <w:rPr>
          <w:rFonts w:ascii="Times New Roman" w:hAnsi="Times New Roman"/>
          <w:color w:val="000000" w:themeColor="text1"/>
          <w:sz w:val="16"/>
          <w:szCs w:val="16"/>
        </w:rPr>
        <w:softHyphen/>
        <w:t>вести не удалось. 14 сентября 1933 г. на скорости около 350 км/ч одновременно разрушились верхние узлы крепления рулей направления. Верхние части ру</w:t>
      </w:r>
      <w:r w:rsidRPr="0044524F">
        <w:rPr>
          <w:rFonts w:ascii="Times New Roman" w:hAnsi="Times New Roman"/>
          <w:color w:val="000000" w:themeColor="text1"/>
          <w:sz w:val="16"/>
          <w:szCs w:val="16"/>
        </w:rPr>
        <w:softHyphen/>
        <w:t>лей с роговыми компенсаторами сложи</w:t>
      </w:r>
      <w:r w:rsidRPr="0044524F">
        <w:rPr>
          <w:rFonts w:ascii="Times New Roman" w:hAnsi="Times New Roman"/>
          <w:color w:val="000000" w:themeColor="text1"/>
          <w:sz w:val="16"/>
          <w:szCs w:val="16"/>
        </w:rPr>
        <w:softHyphen/>
        <w:t>лись внутрь на 180 градусов. Управление ими было нарушено. И.Ф. Козлов с тру</w:t>
      </w:r>
      <w:r w:rsidRPr="0044524F">
        <w:rPr>
          <w:rFonts w:ascii="Times New Roman" w:hAnsi="Times New Roman"/>
          <w:color w:val="000000" w:themeColor="text1"/>
          <w:sz w:val="16"/>
          <w:szCs w:val="16"/>
        </w:rPr>
        <w:softHyphen/>
        <w:t>дом посадил поврежденную машину, сломав при этом шасси.</w:t>
      </w:r>
    </w:p>
    <w:p w14:paraId="2B26B075"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эта авария привела к важному решению. Как обычно в таких случаях, сделали повторный расчет. Проведенный по принятой в те годы методике, он под</w:t>
      </w:r>
      <w:r w:rsidRPr="0044524F">
        <w:rPr>
          <w:rFonts w:ascii="Times New Roman" w:hAnsi="Times New Roman"/>
          <w:color w:val="000000" w:themeColor="text1"/>
          <w:sz w:val="16"/>
          <w:szCs w:val="16"/>
        </w:rPr>
        <w:softHyphen/>
        <w:t>твердил, что узлы крепления выполнены в соответствии с нормами. Не было пре</w:t>
      </w:r>
      <w:r w:rsidRPr="0044524F">
        <w:rPr>
          <w:rFonts w:ascii="Times New Roman" w:hAnsi="Times New Roman"/>
          <w:color w:val="000000" w:themeColor="text1"/>
          <w:sz w:val="16"/>
          <w:szCs w:val="16"/>
        </w:rPr>
        <w:softHyphen/>
        <w:t>тензий к материалу узлов и со стороны ме</w:t>
      </w:r>
      <w:r w:rsidRPr="0044524F">
        <w:rPr>
          <w:rFonts w:ascii="Times New Roman" w:hAnsi="Times New Roman"/>
          <w:color w:val="000000" w:themeColor="text1"/>
          <w:sz w:val="16"/>
          <w:szCs w:val="16"/>
        </w:rPr>
        <w:softHyphen/>
        <w:t>таллографов. Отчего же они разрушились? Изучение материалов летных испытаний и анализ действующих на оперение на</w:t>
      </w:r>
      <w:r w:rsidRPr="0044524F">
        <w:rPr>
          <w:rFonts w:ascii="Times New Roman" w:hAnsi="Times New Roman"/>
          <w:color w:val="000000" w:themeColor="text1"/>
          <w:sz w:val="16"/>
          <w:szCs w:val="16"/>
        </w:rPr>
        <w:softHyphen/>
        <w:t>грузок заставили по иному взглянуть на методику расчета. Выяснилось, что для скоростных самолетов, а МИ—3 отно</w:t>
      </w:r>
      <w:r w:rsidRPr="0044524F">
        <w:rPr>
          <w:rFonts w:ascii="Times New Roman" w:hAnsi="Times New Roman"/>
          <w:color w:val="000000" w:themeColor="text1"/>
          <w:sz w:val="16"/>
          <w:szCs w:val="16"/>
        </w:rPr>
        <w:softHyphen/>
        <w:t>сился к ним, необходимо обеспечивать не только статическую, но и динамичес</w:t>
      </w:r>
      <w:r w:rsidRPr="0044524F">
        <w:rPr>
          <w:rFonts w:ascii="Times New Roman" w:hAnsi="Times New Roman"/>
          <w:color w:val="000000" w:themeColor="text1"/>
          <w:sz w:val="16"/>
          <w:szCs w:val="16"/>
        </w:rPr>
        <w:softHyphen/>
        <w:t>кую прочность агрегатов планера (23474).</w:t>
      </w:r>
    </w:p>
    <w:p w14:paraId="064C4A8E" w14:textId="77777777" w:rsidR="00BB5429" w:rsidRPr="0044524F" w:rsidRDefault="00BB5429" w:rsidP="009654CF">
      <w:pPr>
        <w:spacing w:after="0" w:line="240" w:lineRule="auto"/>
        <w:jc w:val="both"/>
        <w:rPr>
          <w:rFonts w:ascii="Times New Roman" w:hAnsi="Times New Roman"/>
          <w:color w:val="000000" w:themeColor="text1"/>
          <w:sz w:val="16"/>
          <w:szCs w:val="16"/>
        </w:rPr>
      </w:pPr>
    </w:p>
    <w:p w14:paraId="37D4D917" w14:textId="77777777" w:rsidR="00BB5429" w:rsidRPr="0044524F" w:rsidRDefault="00BB54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мая 1933 г. был произведен первый полет МИ-3 (АНТ-21) (24197).</w:t>
      </w:r>
    </w:p>
    <w:p w14:paraId="7B992756" w14:textId="77777777" w:rsidR="00BB5429" w:rsidRPr="0044524F" w:rsidRDefault="00BB5429" w:rsidP="009654CF">
      <w:pPr>
        <w:spacing w:after="0" w:line="240" w:lineRule="auto"/>
        <w:jc w:val="both"/>
        <w:rPr>
          <w:rFonts w:ascii="Times New Roman" w:hAnsi="Times New Roman"/>
          <w:color w:val="000000" w:themeColor="text1"/>
          <w:sz w:val="16"/>
          <w:szCs w:val="16"/>
        </w:rPr>
      </w:pPr>
    </w:p>
    <w:p w14:paraId="10BA20E9" w14:textId="77777777" w:rsidR="0058354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F8D5559" w14:textId="77777777" w:rsidR="0058354C" w:rsidRPr="0044524F" w:rsidRDefault="0058354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C1014D7" w14:textId="77777777" w:rsidR="009A7962" w:rsidRPr="0044524F" w:rsidRDefault="009A7962" w:rsidP="009654CF">
      <w:pPr>
        <w:pStyle w:val="rtejustify"/>
        <w:spacing w:before="0" w:after="0"/>
        <w:rPr>
          <w:color w:val="000000" w:themeColor="text1"/>
          <w:sz w:val="16"/>
          <w:szCs w:val="16"/>
        </w:rPr>
      </w:pPr>
      <w:r w:rsidRPr="0044524F">
        <w:rPr>
          <w:rStyle w:val="af0"/>
          <w:bCs/>
          <w:i w:val="0"/>
          <w:color w:val="000000" w:themeColor="text1"/>
          <w:sz w:val="16"/>
          <w:szCs w:val="16"/>
        </w:rPr>
        <w:t>23 мая 1933 вышел приказ НКТП № 66сс.</w:t>
      </w:r>
      <w:r w:rsidRPr="0044524F">
        <w:rPr>
          <w:color w:val="000000" w:themeColor="text1"/>
          <w:sz w:val="16"/>
          <w:szCs w:val="16"/>
        </w:rPr>
        <w:t xml:space="preserve"> О переводе Специального снарядного бюро на завод «Большевик» с целью оказания непосредственной помощи по производству опытных партий снарядов. (РГАЭ. Ф. 7297. Оп. 38. Д. 37. Л. 101) (15246).</w:t>
      </w:r>
    </w:p>
    <w:p w14:paraId="0FFC7053" w14:textId="77777777" w:rsidR="009A7962" w:rsidRPr="0044524F" w:rsidRDefault="009A7962" w:rsidP="009654CF">
      <w:pPr>
        <w:pStyle w:val="rtejustify"/>
        <w:spacing w:before="0" w:after="0"/>
        <w:rPr>
          <w:color w:val="000000" w:themeColor="text1"/>
          <w:sz w:val="16"/>
          <w:szCs w:val="16"/>
        </w:rPr>
      </w:pPr>
    </w:p>
    <w:p w14:paraId="626DC923" w14:textId="77777777" w:rsidR="009A7962" w:rsidRPr="0044524F" w:rsidRDefault="009A7962" w:rsidP="009654CF">
      <w:pPr>
        <w:pStyle w:val="rtejustify"/>
        <w:spacing w:before="0" w:after="0"/>
        <w:rPr>
          <w:color w:val="000000" w:themeColor="text1"/>
          <w:sz w:val="16"/>
          <w:szCs w:val="16"/>
        </w:rPr>
      </w:pPr>
      <w:r w:rsidRPr="0044524F">
        <w:rPr>
          <w:rStyle w:val="af0"/>
          <w:bCs/>
          <w:i w:val="0"/>
          <w:color w:val="000000" w:themeColor="text1"/>
          <w:sz w:val="16"/>
          <w:szCs w:val="16"/>
        </w:rPr>
        <w:t>23 мая 1933 вышел приказ НКТП № 63с.</w:t>
      </w:r>
      <w:r w:rsidRPr="0044524F">
        <w:rPr>
          <w:color w:val="000000" w:themeColor="text1"/>
          <w:sz w:val="16"/>
          <w:szCs w:val="16"/>
        </w:rPr>
        <w:t xml:space="preserve"> О порядке увольнения иностранных работников с предприятий военной промышленности. (РГАЭ. Ф. 7297. Оп. 38. Д. 37. Л. 57</w:t>
      </w:r>
      <w:r w:rsidRPr="0044524F">
        <w:rPr>
          <w:color w:val="000000" w:themeColor="text1"/>
          <w:sz w:val="16"/>
          <w:szCs w:val="16"/>
        </w:rPr>
        <w:noBreakHyphen/>
        <w:t>59) (15246).</w:t>
      </w:r>
    </w:p>
    <w:p w14:paraId="28CA2B44" w14:textId="77777777" w:rsidR="009A7962" w:rsidRPr="0044524F" w:rsidRDefault="009A7962" w:rsidP="009654CF">
      <w:pPr>
        <w:pStyle w:val="rtejustify"/>
        <w:spacing w:before="0" w:after="0"/>
        <w:rPr>
          <w:color w:val="000000" w:themeColor="text1"/>
          <w:sz w:val="16"/>
          <w:szCs w:val="16"/>
        </w:rPr>
      </w:pPr>
    </w:p>
    <w:p w14:paraId="6EEAAA97" w14:textId="77777777" w:rsidR="009A7962" w:rsidRPr="0044524F" w:rsidRDefault="009A7962" w:rsidP="009654CF">
      <w:pPr>
        <w:pStyle w:val="rtejustify"/>
        <w:spacing w:before="0" w:after="0"/>
        <w:rPr>
          <w:color w:val="000000" w:themeColor="text1"/>
          <w:sz w:val="16"/>
          <w:szCs w:val="16"/>
        </w:rPr>
      </w:pPr>
      <w:r w:rsidRPr="0044524F">
        <w:rPr>
          <w:color w:val="000000" w:themeColor="text1"/>
          <w:sz w:val="16"/>
          <w:szCs w:val="16"/>
        </w:rPr>
        <w:t>23 мая 1933 г. — Приказ по Наркомтяжпрому СССР о работе и условиях труда иностранных специалистов на предприятиях отрасли</w:t>
      </w:r>
    </w:p>
    <w:p w14:paraId="3B9F495C"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Коллегия Наркомтяжпрома в заседании от 5.III. с. г. констатировала, что подавляющее большинство работающих в тяжелой промышленности иностранных рабочих и инженеров оказали существенную помощь в строительстве, пуске и освоении новых видов производств на крупнейших гигантах (Магнитострой, Кузнецкстрой, ХТЗ, СТЗ, ГАЗ им. тов. Молотова, автозавод им. тов. Сталина, Электрокомбинат, Электроаппарат, Челябинский ферросплавный, Электросталь, Красноуральский медеплавильный комбинат и др.).</w:t>
      </w:r>
    </w:p>
    <w:p w14:paraId="68CE147A"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Не менее значительную помощь оказали иностранные кадры в обучении нашего персонала, обслуживании дорогостоящего импортного оборудования.</w:t>
      </w:r>
    </w:p>
    <w:p w14:paraId="44F48627"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Несмотря на это, руководители целого ряда предприятий и хозорганов, недооценивая роль иностранных кадров, не уделяют должного внимания вопросам использования и материально-бытового обслуживания иностранных кадров, а в последнее время пошли по неправильному пути освобождения под тем или иным предлогом от иностранных работников вообще (Востоксоюзстрой, Союзстандартжилстрой, Металлостройпроект, Союзтранстехпром, завод фрезерных станков).</w:t>
      </w:r>
    </w:p>
    <w:p w14:paraId="73CB6D57"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Это отношение хозяйственников не имело должного отпора со стороны главных управлений НКТП, которые в большинстве совершенно не занимаются вопросами контроля за использованием иноработников.</w:t>
      </w:r>
    </w:p>
    <w:p w14:paraId="5E2EA760"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lastRenderedPageBreak/>
        <w:t>В результате такого положения, мы имеем за последнее время резкое повышение текучести среди иноработников и отъезд их на родину, что, кроме хозяйственного ущерба производству, наносит нам и значительный политический вред: так за три квартала 32 года выбыло из тяжелой промышленности 392 иноработника, за IV</w:t>
      </w:r>
      <w:r w:rsidRPr="0044524F">
        <w:rPr>
          <w:color w:val="000000" w:themeColor="text1"/>
          <w:sz w:val="16"/>
          <w:szCs w:val="16"/>
        </w:rPr>
        <w:noBreakHyphen/>
        <w:t>й квартал 1932 г. — 586 иноработников и за первый квартал 1933 г. — уже свыше 700 иноработников, причем в виду указанного отношения хозяйственников к вопросам использования и материально-бытового обслуживания иноработников, количество отъезжающих заграницу и в данное время продолжает увеличиваться.</w:t>
      </w:r>
    </w:p>
    <w:p w14:paraId="3ED808FC"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Особенно неблагополучными по текучести иноработников являются: Кузбассуголь, ГАЗ, Магнитострой, Тагилкомбинатстрой, Стандартгорпроект, Березникхимстрой, Востоксоюзстрой, Востокосталь и Электрокомбинат.</w:t>
      </w:r>
    </w:p>
    <w:p w14:paraId="00DD6FBC"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Считая такое положение абсолютно недопустимым и учитывая необходимость как в сохранении уже работающих в тяжелой промышленности квалифицированных инокадров, так и в создании условий для вновь приглашаемых на отдельные новые предприятия иностранных рабочих и инженеров, ПРИКАЗЫВАЮ:</w:t>
      </w:r>
    </w:p>
    <w:p w14:paraId="4A143E03"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1. Увольнение иноработников производить в исключительных случаях и только с предварительного согласия иностранного сектора НКТП.</w:t>
      </w:r>
    </w:p>
    <w:p w14:paraId="059BD435"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При заявлениях квалифицированных иноработников об уходе по собственному желанию руководители предприятий и хозорганов обязаны лично выяснять действительные причины ухода иноработников, и о всех случаях ухода иноработников по собственному желанию, либо в порядке увольнения, в 5</w:t>
      </w:r>
      <w:r w:rsidRPr="0044524F">
        <w:rPr>
          <w:color w:val="000000" w:themeColor="text1"/>
          <w:sz w:val="16"/>
          <w:szCs w:val="16"/>
        </w:rPr>
        <w:noBreakHyphen/>
        <w:t>ти дневный срок сообщать в ИНО НКТП с приложением характеризующего материала.</w:t>
      </w:r>
    </w:p>
    <w:p w14:paraId="4628AF66"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2. Учитывая невозможность для ряда высококвалифицированных иностранных рабочих приспособиться к сдельной оплате труда, ввиду незнания ими наших условий и языка — предоставить право директорам предприятий устанавливать для высококвалифицированных рабочих гарантированные оклады по машиностроению и металлургии не ниже 6</w:t>
      </w:r>
      <w:r w:rsidRPr="0044524F">
        <w:rPr>
          <w:color w:val="000000" w:themeColor="text1"/>
          <w:sz w:val="16"/>
          <w:szCs w:val="16"/>
        </w:rPr>
        <w:noBreakHyphen/>
        <w:t>го разряда и по каменноугольной промышленности не ниже 9</w:t>
      </w:r>
      <w:r w:rsidRPr="0044524F">
        <w:rPr>
          <w:color w:val="000000" w:themeColor="text1"/>
          <w:sz w:val="16"/>
          <w:szCs w:val="16"/>
        </w:rPr>
        <w:noBreakHyphen/>
        <w:t>й ставки.</w:t>
      </w:r>
    </w:p>
    <w:p w14:paraId="21DDB419"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3. Имея в виду жесткое лимитирование фонда заработной платы и повышенные ставки некоторых высокоценных иностранных инженеров, сектору труда, по представлению хозорганов, повышать фонды зарплаты отдельных предприятий и хозорганизаций для покрытия разницы между средней ставкой специалистов данного хозоргана и повышенными ставками отдельных иноспециалистов.</w:t>
      </w:r>
    </w:p>
    <w:p w14:paraId="5152E6F7"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Сектору труда, совместно с ИНО НКТП, в 5</w:t>
      </w:r>
      <w:r w:rsidRPr="0044524F">
        <w:rPr>
          <w:color w:val="000000" w:themeColor="text1"/>
          <w:sz w:val="16"/>
          <w:szCs w:val="16"/>
        </w:rPr>
        <w:noBreakHyphen/>
        <w:t>ти дневный срок дать практические указания предприятиям и хозорганам по выполнению пунктов 2 и 3 настоящего приказа.</w:t>
      </w:r>
    </w:p>
    <w:p w14:paraId="7473814C"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4. В связи со снижением норм по централизованному снабжению иноработников и перебоями по самому снабжению системой Инснаба, руководителям предприятий и хозорганов дополнять снабжение иноработников за счет общих фондов снабжения, главным образом, за счет самозаготовок, для чего: зам. наркома по рабочему снабжению тов. ПИТЕРСКОМУ, совместно с финсектором в декадный срок определить потребные дополнительные средства предприятиям и хозорганам, где сконцентрировано значительное количество иноработников на пополнение получаемого ими централизованного снабжения, удешевление общественного питания и т. д., и финансовому сектору эти средства выделить в распоряжение руководителей предприятий. Тов. Питерскому, совместно с ИНО НКТП, дать в двухдекадный срок указания хозорганам о проведении этих мероприятий в жизнь.</w:t>
      </w:r>
    </w:p>
    <w:p w14:paraId="0E342C36"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5. Учитывая пуск в текущем году ряда новых предприятий (Краммашкомбинат, ЧТЗ, Уралмашзавод, Уралвагонстрой, заводы ГУАПа), и необходимость обеспечения их высококвалифицированными кадрами в текущем году:</w:t>
      </w:r>
    </w:p>
    <w:p w14:paraId="0290C0CE"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а) директорам указанных предприятий в декадный срок уточнить, совместно с главными управлениями, заявки на инокадры.</w:t>
      </w:r>
    </w:p>
    <w:p w14:paraId="06414042"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б) Иносектору в месячный срок проверить возможность производственного и жилищно-бытового освоения вновь приглашаемых иноработников на этих предприятиях.</w:t>
      </w:r>
    </w:p>
    <w:p w14:paraId="104AD7E8"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6. Директорам предприятий под их персональную ответственность подготовить к указанным в заявках на инокадры срокам все виды материально-бытового обслуживания (снабжение, жилище и т. д.) и производственные условия для полного освоения приглашаемых на указанные предприятия иноработников.</w:t>
      </w:r>
    </w:p>
    <w:p w14:paraId="2249A508"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7. Главным управлениям НКТП практически заняться вопросами контроля, наблюдения за использованием иноработников и перераспределением их совместно с ИНО по отдельным предприятиям своей отрасли промышленности, таким образом, чтобы иностранные работники были сконцентрированы на ограниченном количестве новых или реконструированных предприятий компактными группами.</w:t>
      </w:r>
    </w:p>
    <w:p w14:paraId="7E4CF29D"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Ответственность за организацию этой работы в главных управлениях возложить на одного из заместителей начальника главка, фамилию которого в декадный срок сообщить в ИНО НКТП.</w:t>
      </w:r>
    </w:p>
    <w:p w14:paraId="69047D43"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8. Ответственность за использование иноработников на предприятиях и в хозорганах возлагается персонально на технических директоров и начальников цехов с оставлением за директорами предприятий и руководителями хозорганов общего руководства работой по инокадрам.</w:t>
      </w:r>
    </w:p>
    <w:p w14:paraId="6C465E1C"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9. Руководителям предприятий и начальникам цехов, в целях создания условия для обучения и повышения квалификации советских кадров, а также внедрения иностранного технического опыта, практиковать назначение лучших иноработников на должности мастеров, инструкторов и бригадиров.</w:t>
      </w:r>
    </w:p>
    <w:p w14:paraId="62955227"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10. Руководителям предприятий и хозорганов в месячный срок пересмотреть и укрепить личные составы работников иностранных отделов предприятий и хозорганизаций, представив сектору кадров и ИНО НКТП данные о состоянии этих аппаратов.</w:t>
      </w:r>
    </w:p>
    <w:p w14:paraId="157D9749"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Сектору кадров НКТП оказать всемерное содействие в укомплектовании иноотделов предприятий и хозорганизаций, технически грамотными и политически проверенными переводчиками.</w:t>
      </w:r>
    </w:p>
    <w:p w14:paraId="0E217B54"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11. Управлению делами НКТП:</w:t>
      </w:r>
    </w:p>
    <w:p w14:paraId="3584F4A6"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а) Обеспечить в Москве в двухдекадный срок общежитие для проезжающих через Москву иноработников.</w:t>
      </w:r>
    </w:p>
    <w:p w14:paraId="48AA4172"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б) Создать при Управлении делами в тресте Хозстрой группу для обслуживания проезжающих через Москву иноработников из двух единиц с отнесением всех расходов за счет заинтересованных хозорганов и предприятий.</w:t>
      </w:r>
    </w:p>
    <w:p w14:paraId="469D94A5"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Наблюдение за выполнением настоящего приказа возлагаю на ИНО и СЕКТОР ПРОВЕРКИ ИСПОЛНЕНИЯ НКТП, которым на местах проверить выполнение и к 1</w:t>
      </w:r>
      <w:r w:rsidRPr="0044524F">
        <w:rPr>
          <w:color w:val="000000" w:themeColor="text1"/>
          <w:sz w:val="16"/>
          <w:szCs w:val="16"/>
        </w:rPr>
        <w:noBreakHyphen/>
        <w:t>му августа доложить мне о результатах проверки.</w:t>
      </w:r>
    </w:p>
    <w:p w14:paraId="265C5CCD" w14:textId="77777777" w:rsidR="0058354C" w:rsidRPr="0044524F" w:rsidRDefault="0058354C" w:rsidP="009654CF">
      <w:pPr>
        <w:pStyle w:val="rteright"/>
        <w:spacing w:before="0" w:after="0"/>
        <w:jc w:val="both"/>
        <w:rPr>
          <w:color w:val="000000" w:themeColor="text1"/>
          <w:sz w:val="16"/>
          <w:szCs w:val="16"/>
        </w:rPr>
      </w:pPr>
      <w:r w:rsidRPr="0044524F">
        <w:rPr>
          <w:color w:val="000000" w:themeColor="text1"/>
          <w:sz w:val="16"/>
          <w:szCs w:val="16"/>
        </w:rPr>
        <w:t xml:space="preserve">П. п. зам. наркома тяжелой промышленности СССР — </w:t>
      </w:r>
      <w:r w:rsidRPr="0044524F">
        <w:rPr>
          <w:rStyle w:val="af0"/>
          <w:i w:val="0"/>
          <w:color w:val="000000" w:themeColor="text1"/>
          <w:sz w:val="16"/>
          <w:szCs w:val="16"/>
        </w:rPr>
        <w:t>Каганович [М. М.]</w:t>
      </w:r>
    </w:p>
    <w:p w14:paraId="4060FCAA" w14:textId="77777777" w:rsidR="0058354C" w:rsidRPr="0044524F" w:rsidRDefault="0058354C" w:rsidP="009654CF">
      <w:pPr>
        <w:pStyle w:val="rteindent1"/>
        <w:spacing w:before="0" w:after="0"/>
        <w:ind w:left="0"/>
        <w:jc w:val="both"/>
        <w:rPr>
          <w:color w:val="000000" w:themeColor="text1"/>
          <w:sz w:val="16"/>
          <w:szCs w:val="16"/>
        </w:rPr>
      </w:pPr>
      <w:r w:rsidRPr="0044524F">
        <w:rPr>
          <w:color w:val="000000" w:themeColor="text1"/>
          <w:sz w:val="16"/>
          <w:szCs w:val="16"/>
        </w:rPr>
        <w:t>РГАЭ. Ф. 7297. Оп. 38. Д. 37. Л. 57-54. Заверенная копия.</w:t>
      </w:r>
    </w:p>
    <w:p w14:paraId="63C9D794"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Индустриализация Советского Союза. Новые документы. Новые факты. Новые подходы. Институт российской истории РАН, М. 1999. Ч. II. стр. 221-225.</w:t>
      </w:r>
    </w:p>
    <w:p w14:paraId="51603017"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РГАЭ. Ф. 7297. Оп. 38. Д. 37. Л. 57-54. Заверенная копия (12177)</w:t>
      </w:r>
    </w:p>
    <w:p w14:paraId="7221CEB3"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16039BE5" w14:textId="77777777" w:rsidR="009A7962" w:rsidRPr="0044524F" w:rsidRDefault="009A79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23 мая</w:t>
      </w:r>
      <w:r w:rsidRPr="0044524F">
        <w:rPr>
          <w:rFonts w:ascii="Times New Roman" w:hAnsi="Times New Roman"/>
          <w:color w:val="000000" w:themeColor="text1"/>
          <w:sz w:val="16"/>
          <w:szCs w:val="16"/>
        </w:rPr>
        <w:t xml:space="preserve"> в 1933 году основано ОАО "Судостроительная фирма "Алмаз". Город Санкт-Петербург. Судостроительная фирма специализируется на создании патрульных и боевых катеров. За всю историю предприятия корабелами "Алмаза" построено и передано заказчикам более 1000 катеров и малых кораблей. "Алмаз" многие годы специализировался на постройке головных образцов современной морской техники с отработкой передовых достижений в области военного кораблестроения и передачей заказов в серийное производство. На Судостроительной фирме "Алмаз" были построены первые в мире ракетные катера и малые ракетные корабли, уникальный ракетный катер с автоматической системой управления подводными крыльями. На верфи освоено серийное строительство кораблей на воздушной подушке, в том числе самых больших в мире десантных кораблей. В 1992 году судостроительное объединение "Алмаз" было преобразовано в ОАО "Судостроительная фирма "Алмаз". В настоящее время "Алмаз" входит в состав ОАО "Объединенные Машиностроительные Заводы" (14900).</w:t>
      </w:r>
    </w:p>
    <w:p w14:paraId="23806534" w14:textId="77777777" w:rsidR="009A7962" w:rsidRPr="0044524F" w:rsidRDefault="009A7962" w:rsidP="009654CF">
      <w:pPr>
        <w:spacing w:after="0" w:line="240" w:lineRule="auto"/>
        <w:jc w:val="both"/>
        <w:rPr>
          <w:rFonts w:ascii="Times New Roman" w:hAnsi="Times New Roman"/>
          <w:color w:val="000000" w:themeColor="text1"/>
          <w:sz w:val="16"/>
          <w:szCs w:val="16"/>
        </w:rPr>
      </w:pPr>
    </w:p>
    <w:p w14:paraId="0FB73A89"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34D478E"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6BEC56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мая 1933 нарком путей сообщения СССР А. А. Андреев направил на имя зампреда ОГПУ Ягоды следующее письмо:</w:t>
      </w:r>
    </w:p>
    <w:p w14:paraId="1FA746A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«НКПС («Трансуголь») должен приступить в текущем году к освоению нового угольного района в ДВК [Дальневосточном крае] на Райчихинском угольном месторождении, для чего специально построена ж. д. ветка на 32 км., направлено 3 экскаватора, завозится оборудование, материалы и т. д. Программа добычи на 33 г. утверждена Правительством в 230.000 тонн.</w:t>
      </w:r>
    </w:p>
    <w:p w14:paraId="6F4E3D6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Райчихинское угольное предприятие должно явиться основным по снабжению топливом Уссурийской ж. д., на западном ее участке, что крайне важно в части обеспечения обороноспособности ДВК, имея в виду, что Уссурийская ж. д. сейчас живет только 4-х дневными запасами топлива.</w:t>
      </w:r>
    </w:p>
    <w:p w14:paraId="2797406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29.04.33 ГУЛАГ ОГПУ дал свое согласие на завоз 3.100 человек на Райчиху с организацией там специального лагеря по освоению добычи угля. Сейчас ГУЛАГ от этого отказывается по мотивам невозможности обеспечить эти работы рабсилой.</w:t>
      </w:r>
    </w:p>
    <w:p w14:paraId="708DDC0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времени для вскрышных работ по угольному пласту осталось всего 4-5 месяцев, причем надо учесть 1-2 месяца на переброску рабочих, вербовка туда вольнонаемной рабочей силы невозможна, то отсюда весь операционный текущий год и первый квартал 34 года для Райчихинского месторождения может оказаться сорванным.</w:t>
      </w:r>
    </w:p>
    <w:p w14:paraId="0D3EA5A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Единственный исход для форсирования работ по вскрышке туфов и добыче угля - это срочная переброска 3.100 человек ГУЛАГом, о чем я убедительно прошу Ваших распоряжений, дабы не поставить Уссурийскую ж. д. в безвыходное положение с топливом» (7560).</w:t>
      </w:r>
    </w:p>
    <w:p w14:paraId="3765B8A2" w14:textId="123E1D31"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56100CB" w14:textId="77777777" w:rsidR="00045F60" w:rsidRPr="0044524F" w:rsidRDefault="00045F60"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05684690" w14:textId="77777777" w:rsidR="00045F60" w:rsidRPr="0044524F" w:rsidRDefault="00045F60"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38FFDD6B"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мая 1933 г. было получено письмо Э. Мильха, предписывающее постройку двух прото</w:t>
      </w:r>
      <w:r w:rsidRPr="0044524F">
        <w:rPr>
          <w:rFonts w:ascii="Times New Roman" w:hAnsi="Times New Roman"/>
          <w:color w:val="000000" w:themeColor="text1"/>
          <w:sz w:val="16"/>
          <w:szCs w:val="16"/>
        </w:rPr>
        <w:softHyphen/>
        <w:t xml:space="preserve">типов Дорнье До-17 — гражданского и военного. Особо оговаривалось то, что обе машины должны быть максимально унифицированы. На них предполагалось установить моторы BMW VI, хотя конструкторы и предлагали более легкие и </w:t>
      </w:r>
      <w:r w:rsidRPr="0044524F">
        <w:rPr>
          <w:rFonts w:ascii="Times New Roman" w:hAnsi="Times New Roman"/>
          <w:color w:val="000000" w:themeColor="text1"/>
          <w:sz w:val="16"/>
          <w:szCs w:val="16"/>
        </w:rPr>
        <w:lastRenderedPageBreak/>
        <w:t>мощные двигатели французской фирмы «Испано-Сьюиза» HS 12. И хотя военные настояли на применении отечес</w:t>
      </w:r>
      <w:r w:rsidRPr="0044524F">
        <w:rPr>
          <w:rFonts w:ascii="Times New Roman" w:hAnsi="Times New Roman"/>
          <w:color w:val="000000" w:themeColor="text1"/>
          <w:sz w:val="16"/>
          <w:szCs w:val="16"/>
        </w:rPr>
        <w:softHyphen/>
        <w:t>твенной силовой установки, руководитель компании Клод Дорнье (Claude Dornier) 2 октября 1933 г. предложил построить тре</w:t>
      </w:r>
      <w:r w:rsidRPr="0044524F">
        <w:rPr>
          <w:rFonts w:ascii="Times New Roman" w:hAnsi="Times New Roman"/>
          <w:color w:val="000000" w:themeColor="text1"/>
          <w:sz w:val="16"/>
          <w:szCs w:val="16"/>
        </w:rPr>
        <w:softHyphen/>
        <w:t>тий прототип в пассажирском исполнении с моторами HS 12Ybrs. Уже 4 ноября эта ма</w:t>
      </w:r>
      <w:r w:rsidRPr="0044524F">
        <w:rPr>
          <w:rFonts w:ascii="Times New Roman" w:hAnsi="Times New Roman"/>
          <w:color w:val="000000" w:themeColor="text1"/>
          <w:sz w:val="16"/>
          <w:szCs w:val="16"/>
        </w:rPr>
        <w:softHyphen/>
        <w:t>шина была официально заказана, получив обозначение Do 17d. Прототип гражданс</w:t>
      </w:r>
      <w:r w:rsidRPr="0044524F">
        <w:rPr>
          <w:rFonts w:ascii="Times New Roman" w:hAnsi="Times New Roman"/>
          <w:color w:val="000000" w:themeColor="text1"/>
          <w:sz w:val="16"/>
          <w:szCs w:val="16"/>
        </w:rPr>
        <w:softHyphen/>
        <w:t>кого самолета с моторами BMW VI 6,0 (660 л.с.) теперь обозначался Do 17а, а военного с более мощными двигателями BMW IV 7,3 (700 л.с.) — Do 17с. Кроме того, для сравне</w:t>
      </w:r>
      <w:r w:rsidRPr="0044524F">
        <w:rPr>
          <w:rFonts w:ascii="Times New Roman" w:hAnsi="Times New Roman"/>
          <w:color w:val="000000" w:themeColor="text1"/>
          <w:sz w:val="16"/>
          <w:szCs w:val="16"/>
        </w:rPr>
        <w:softHyphen/>
        <w:t>ния различных конструкторских решений на Do 17а решили применить двухкилевое оперение, довольно редко встречавшееся в то время, а на Do 17с — однокилевое.</w:t>
      </w:r>
    </w:p>
    <w:p w14:paraId="4ADE190D"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трех прототипов велась прак</w:t>
      </w:r>
      <w:r w:rsidRPr="0044524F">
        <w:rPr>
          <w:rFonts w:ascii="Times New Roman" w:hAnsi="Times New Roman"/>
          <w:color w:val="000000" w:themeColor="text1"/>
          <w:sz w:val="16"/>
          <w:szCs w:val="16"/>
        </w:rPr>
        <w:softHyphen/>
        <w:t>тически параллельно. Правда, при этом в переговорах с рейхсминистерством ави</w:t>
      </w:r>
      <w:r w:rsidRPr="0044524F">
        <w:rPr>
          <w:rFonts w:ascii="Times New Roman" w:hAnsi="Times New Roman"/>
          <w:color w:val="000000" w:themeColor="text1"/>
          <w:sz w:val="16"/>
          <w:szCs w:val="16"/>
        </w:rPr>
        <w:softHyphen/>
        <w:t>ации продолжали согласовывать различ</w:t>
      </w:r>
      <w:r w:rsidRPr="0044524F">
        <w:rPr>
          <w:rFonts w:ascii="Times New Roman" w:hAnsi="Times New Roman"/>
          <w:color w:val="000000" w:themeColor="text1"/>
          <w:sz w:val="16"/>
          <w:szCs w:val="16"/>
        </w:rPr>
        <w:softHyphen/>
        <w:t>ные технические детали, так что техничес</w:t>
      </w:r>
      <w:r w:rsidRPr="0044524F">
        <w:rPr>
          <w:rFonts w:ascii="Times New Roman" w:hAnsi="Times New Roman"/>
          <w:color w:val="000000" w:themeColor="text1"/>
          <w:sz w:val="16"/>
          <w:szCs w:val="16"/>
        </w:rPr>
        <w:softHyphen/>
        <w:t>кие требования к Do 17 были окончатель</w:t>
      </w:r>
      <w:r w:rsidRPr="0044524F">
        <w:rPr>
          <w:rFonts w:ascii="Times New Roman" w:hAnsi="Times New Roman"/>
          <w:color w:val="000000" w:themeColor="text1"/>
          <w:sz w:val="16"/>
          <w:szCs w:val="16"/>
        </w:rPr>
        <w:softHyphen/>
        <w:t>но утверждены лишь в июне 1934 г. В соот</w:t>
      </w:r>
      <w:r w:rsidRPr="0044524F">
        <w:rPr>
          <w:rFonts w:ascii="Times New Roman" w:hAnsi="Times New Roman"/>
          <w:color w:val="000000" w:themeColor="text1"/>
          <w:sz w:val="16"/>
          <w:szCs w:val="16"/>
        </w:rPr>
        <w:softHyphen/>
        <w:t>ветствии с ними, военные хотели получить скоростной высотный разведывательный самолет с возможностью применения в ка</w:t>
      </w:r>
      <w:r w:rsidRPr="0044524F">
        <w:rPr>
          <w:rFonts w:ascii="Times New Roman" w:hAnsi="Times New Roman"/>
          <w:color w:val="000000" w:themeColor="text1"/>
          <w:sz w:val="16"/>
          <w:szCs w:val="16"/>
        </w:rPr>
        <w:softHyphen/>
        <w:t>честве бомбардировщика и оборонитель</w:t>
      </w:r>
      <w:r w:rsidRPr="0044524F">
        <w:rPr>
          <w:rFonts w:ascii="Times New Roman" w:hAnsi="Times New Roman"/>
          <w:color w:val="000000" w:themeColor="text1"/>
          <w:sz w:val="16"/>
          <w:szCs w:val="16"/>
        </w:rPr>
        <w:softHyphen/>
        <w:t>ным вооружением, ограниченным одним пулеметом. Создание такой машины, призванной заменить одномоторный дальний разведчик «Хейнкель» Не 70, было призна</w:t>
      </w:r>
      <w:r w:rsidRPr="0044524F">
        <w:rPr>
          <w:rFonts w:ascii="Times New Roman" w:hAnsi="Times New Roman"/>
          <w:color w:val="000000" w:themeColor="text1"/>
          <w:sz w:val="16"/>
          <w:szCs w:val="16"/>
        </w:rPr>
        <w:softHyphen/>
        <w:t>но более целесообразным, чем чистого бом</w:t>
      </w:r>
      <w:r w:rsidRPr="0044524F">
        <w:rPr>
          <w:rFonts w:ascii="Times New Roman" w:hAnsi="Times New Roman"/>
          <w:color w:val="000000" w:themeColor="text1"/>
          <w:sz w:val="16"/>
          <w:szCs w:val="16"/>
        </w:rPr>
        <w:softHyphen/>
        <w:t>бардировщика.</w:t>
      </w:r>
    </w:p>
    <w:p w14:paraId="4573F6FE"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Согласование облика машины позволи</w:t>
      </w:r>
      <w:r w:rsidRPr="0044524F">
        <w:rPr>
          <w:rFonts w:ascii="Times New Roman" w:hAnsi="Times New Roman"/>
          <w:color w:val="000000" w:themeColor="text1"/>
          <w:sz w:val="16"/>
          <w:szCs w:val="16"/>
        </w:rPr>
        <w:softHyphen/>
        <w:t>ло в быстром темпе завершить построй</w:t>
      </w:r>
      <w:r w:rsidRPr="0044524F">
        <w:rPr>
          <w:rFonts w:ascii="Times New Roman" w:hAnsi="Times New Roman"/>
          <w:color w:val="000000" w:themeColor="text1"/>
          <w:sz w:val="16"/>
          <w:szCs w:val="16"/>
        </w:rPr>
        <w:softHyphen/>
        <w:t>ку прототипа Do 17с (W.Nr. 256, гражданс</w:t>
      </w:r>
      <w:r w:rsidRPr="0044524F">
        <w:rPr>
          <w:rFonts w:ascii="Times New Roman" w:hAnsi="Times New Roman"/>
          <w:color w:val="000000" w:themeColor="text1"/>
          <w:sz w:val="16"/>
          <w:szCs w:val="16"/>
        </w:rPr>
        <w:softHyphen/>
        <w:t>кая регистрация D-AJUN).(24192).</w:t>
      </w:r>
    </w:p>
    <w:p w14:paraId="0CD73E00" w14:textId="77777777" w:rsidR="00045F60" w:rsidRPr="0044524F" w:rsidRDefault="00045F60" w:rsidP="009654CF">
      <w:pPr>
        <w:spacing w:after="0" w:line="240" w:lineRule="auto"/>
        <w:jc w:val="both"/>
        <w:rPr>
          <w:rFonts w:ascii="Times New Roman" w:hAnsi="Times New Roman"/>
          <w:color w:val="000000" w:themeColor="text1"/>
          <w:sz w:val="16"/>
          <w:szCs w:val="16"/>
        </w:rPr>
      </w:pPr>
    </w:p>
    <w:p w14:paraId="73F289B5" w14:textId="0FC1C04F" w:rsidR="002D5408" w:rsidRPr="0044524F" w:rsidRDefault="002D5408"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3DF4111D" w14:textId="77777777" w:rsidR="002D5408" w:rsidRPr="0044524F" w:rsidRDefault="002D5408"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762D651D" w14:textId="77777777" w:rsidR="00FD33CB" w:rsidRPr="0044524F" w:rsidRDefault="00FD3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мая 1933 французский пионер межконтинентальной авиации Людовик Аррачар погибает в результате отказа двигателя его Caudron C.362 во время предварительных полетов к гонке Coupe Deutsch de la Meurthe 1933 года (20802).</w:t>
      </w:r>
    </w:p>
    <w:p w14:paraId="468CF67B" w14:textId="77777777" w:rsidR="00FD33CB" w:rsidRPr="0044524F" w:rsidRDefault="00FD33CB" w:rsidP="009654CF">
      <w:pPr>
        <w:spacing w:after="0" w:line="240" w:lineRule="auto"/>
        <w:jc w:val="both"/>
        <w:rPr>
          <w:rFonts w:ascii="Times New Roman" w:hAnsi="Times New Roman"/>
          <w:color w:val="000000" w:themeColor="text1"/>
          <w:sz w:val="16"/>
          <w:szCs w:val="16"/>
        </w:rPr>
      </w:pPr>
    </w:p>
    <w:p w14:paraId="331D71DB"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мая 1933 года закончилась мало</w:t>
      </w:r>
      <w:r w:rsidRPr="0044524F">
        <w:rPr>
          <w:rFonts w:ascii="Times New Roman" w:hAnsi="Times New Roman"/>
          <w:color w:val="000000" w:themeColor="text1"/>
          <w:sz w:val="16"/>
          <w:szCs w:val="16"/>
        </w:rPr>
        <w:softHyphen/>
        <w:t>удачная для Перу война с Колумбией, в которой существенную роль, несмотря на свою малочисленность, сыграли ВВС обеих стран. «Осмотревшись», перуан</w:t>
      </w:r>
      <w:r w:rsidRPr="0044524F">
        <w:rPr>
          <w:rFonts w:ascii="Times New Roman" w:hAnsi="Times New Roman"/>
          <w:color w:val="000000" w:themeColor="text1"/>
          <w:sz w:val="16"/>
          <w:szCs w:val="16"/>
        </w:rPr>
        <w:softHyphen/>
        <w:t>ские военные «вдруг заметили», что в составе «Куерпо Авиасьон дель Перу» («Сиегро Aviacion del Peru», САР, ВВС Перу) имеется только восемь боевых самолетов - один истребитель «Кертисс Хок» II («Curtiss Hawk» II) и семь много целевых бипланов (4 «Воут» O2U-1E «Корсар» и три «Дуглас» 0-38Р), в то время как ВВС Колумбии заказали в США 30 истребителей «Хок» II, часть которых уже прибыла в страну. Было принято решение о срочной модерниза</w:t>
      </w:r>
      <w:r w:rsidRPr="0044524F">
        <w:rPr>
          <w:rFonts w:ascii="Times New Roman" w:hAnsi="Times New Roman"/>
          <w:color w:val="000000" w:themeColor="text1"/>
          <w:sz w:val="16"/>
          <w:szCs w:val="16"/>
        </w:rPr>
        <w:softHyphen/>
        <w:t>ции ВВС и создании фактически отсут</w:t>
      </w:r>
      <w:r w:rsidRPr="0044524F">
        <w:rPr>
          <w:rFonts w:ascii="Times New Roman" w:hAnsi="Times New Roman"/>
          <w:color w:val="000000" w:themeColor="text1"/>
          <w:sz w:val="16"/>
          <w:szCs w:val="16"/>
        </w:rPr>
        <w:softHyphen/>
        <w:t>ствующей на тот момент истребительной авиации. В поисках подходящего само</w:t>
      </w:r>
      <w:r w:rsidRPr="0044524F">
        <w:rPr>
          <w:rFonts w:ascii="Times New Roman" w:hAnsi="Times New Roman"/>
          <w:color w:val="000000" w:themeColor="text1"/>
          <w:sz w:val="16"/>
          <w:szCs w:val="16"/>
        </w:rPr>
        <w:softHyphen/>
        <w:t>лета - сравнительно современного, но в то же время достаточно дешевого и надежного - взор перуанских военных обратился к Италии. SIEA предложила перуанцам закупить партию истребите</w:t>
      </w:r>
      <w:r w:rsidRPr="0044524F">
        <w:rPr>
          <w:rFonts w:ascii="Times New Roman" w:hAnsi="Times New Roman"/>
          <w:color w:val="000000" w:themeColor="text1"/>
          <w:sz w:val="16"/>
          <w:szCs w:val="16"/>
        </w:rPr>
        <w:softHyphen/>
        <w:t>лей. На выбор были предложены FIAT CR.30 и «Капрони» Са.114. Для приня</w:t>
      </w:r>
      <w:r w:rsidRPr="0044524F">
        <w:rPr>
          <w:rFonts w:ascii="Times New Roman" w:hAnsi="Times New Roman"/>
          <w:color w:val="000000" w:themeColor="text1"/>
          <w:sz w:val="16"/>
          <w:szCs w:val="16"/>
        </w:rPr>
        <w:softHyphen/>
        <w:t>тия окончательного решения на Апен</w:t>
      </w:r>
      <w:r w:rsidRPr="0044524F">
        <w:rPr>
          <w:rFonts w:ascii="Times New Roman" w:hAnsi="Times New Roman"/>
          <w:color w:val="000000" w:themeColor="text1"/>
          <w:sz w:val="16"/>
          <w:szCs w:val="16"/>
        </w:rPr>
        <w:softHyphen/>
        <w:t>нины срочно выехала представительная перуанская делегация.</w:t>
      </w:r>
    </w:p>
    <w:p w14:paraId="0BA5AEBC"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Прибыв в Италию, перуанцы до</w:t>
      </w:r>
      <w:r w:rsidRPr="0044524F">
        <w:rPr>
          <w:rFonts w:ascii="Times New Roman" w:hAnsi="Times New Roman"/>
          <w:color w:val="000000" w:themeColor="text1"/>
          <w:sz w:val="16"/>
          <w:szCs w:val="16"/>
        </w:rPr>
        <w:softHyphen/>
        <w:t>статочно быстро отказались от закупки истребителей FIAT. Их не устроили высо</w:t>
      </w:r>
      <w:r w:rsidRPr="0044524F">
        <w:rPr>
          <w:rFonts w:ascii="Times New Roman" w:hAnsi="Times New Roman"/>
          <w:color w:val="000000" w:themeColor="text1"/>
          <w:sz w:val="16"/>
          <w:szCs w:val="16"/>
        </w:rPr>
        <w:softHyphen/>
        <w:t>кая цена, недостаточная маневренность и сложный в эксплуатации двигатель FIAT А.30. «Капрони» же произвел бла</w:t>
      </w:r>
      <w:r w:rsidRPr="0044524F">
        <w:rPr>
          <w:rFonts w:ascii="Times New Roman" w:hAnsi="Times New Roman"/>
          <w:color w:val="000000" w:themeColor="text1"/>
          <w:sz w:val="16"/>
          <w:szCs w:val="16"/>
        </w:rPr>
        <w:softHyphen/>
        <w:t>гоприятное впечатление, но перуанцы все-таки потребовали внести в его кон</w:t>
      </w:r>
      <w:r w:rsidRPr="0044524F">
        <w:rPr>
          <w:rFonts w:ascii="Times New Roman" w:hAnsi="Times New Roman"/>
          <w:color w:val="000000" w:themeColor="text1"/>
          <w:sz w:val="16"/>
          <w:szCs w:val="16"/>
        </w:rPr>
        <w:softHyphen/>
        <w:t>струкцию ряд модернизаций, главной из которых была замена 460-сильного ПД «Пьяджио Стелла» IX RC.1 на 540-силь</w:t>
      </w:r>
      <w:r w:rsidRPr="0044524F">
        <w:rPr>
          <w:rFonts w:ascii="Times New Roman" w:hAnsi="Times New Roman"/>
          <w:color w:val="000000" w:themeColor="text1"/>
          <w:sz w:val="16"/>
          <w:szCs w:val="16"/>
        </w:rPr>
        <w:softHyphen/>
        <w:t>ный «Альфа Ромео Меркуриус» («Alfa Romeo Mercurius») -лицензионную ко</w:t>
      </w:r>
      <w:r w:rsidRPr="0044524F">
        <w:rPr>
          <w:rFonts w:ascii="Times New Roman" w:hAnsi="Times New Roman"/>
          <w:color w:val="000000" w:themeColor="text1"/>
          <w:sz w:val="16"/>
          <w:szCs w:val="16"/>
        </w:rPr>
        <w:softHyphen/>
        <w:t>пию британского «Бристоль Меркьюри». Первоначально рассматривался вопрос о закупке 36 самолетов (из них шесть - на поплавках), но затем заказчикам пришлось «урезать осетра», и они огра</w:t>
      </w:r>
      <w:r w:rsidRPr="0044524F">
        <w:rPr>
          <w:rFonts w:ascii="Times New Roman" w:hAnsi="Times New Roman"/>
          <w:color w:val="000000" w:themeColor="text1"/>
          <w:sz w:val="16"/>
          <w:szCs w:val="16"/>
        </w:rPr>
        <w:softHyphen/>
        <w:t>ничились 12 истребителями и шестью комплектами поплавков. Забегая вперед, скажу, что этот заказ так и остался един</w:t>
      </w:r>
      <w:r w:rsidRPr="0044524F">
        <w:rPr>
          <w:rFonts w:ascii="Times New Roman" w:hAnsi="Times New Roman"/>
          <w:color w:val="000000" w:themeColor="text1"/>
          <w:sz w:val="16"/>
          <w:szCs w:val="16"/>
        </w:rPr>
        <w:softHyphen/>
        <w:t>ственным для Са.114 (23457).</w:t>
      </w:r>
    </w:p>
    <w:p w14:paraId="6E2D2368" w14:textId="77777777" w:rsidR="00045F60" w:rsidRPr="0044524F" w:rsidRDefault="00045F60" w:rsidP="009654CF">
      <w:pPr>
        <w:spacing w:after="0" w:line="240" w:lineRule="auto"/>
        <w:jc w:val="both"/>
        <w:rPr>
          <w:rFonts w:ascii="Times New Roman" w:hAnsi="Times New Roman"/>
          <w:color w:val="000000" w:themeColor="text1"/>
          <w:sz w:val="16"/>
          <w:szCs w:val="16"/>
        </w:rPr>
      </w:pPr>
    </w:p>
    <w:p w14:paraId="5468E4D5"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71FB23E"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605DFD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мая 1933 года зам. председателя ОГПУ Прокофьев и начальник ЭКУ ОГПУ Миронов писали письмо № 50314 в СТО</w:t>
      </w:r>
    </w:p>
    <w:p w14:paraId="5A68595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 724/КО от 21 мая 1933 года</w:t>
      </w:r>
    </w:p>
    <w:p w14:paraId="70379D7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проекту постановления СТО об опытном авиадизелестроении ОГПУ сообщает следующее:</w:t>
      </w:r>
    </w:p>
    <w:p w14:paraId="20A1CA8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2 ОГПУ собственной производственной базы не имеет и в организации такой базы Техотделу ЭКУ ОГПУ было отказано. В силу этого Техотдел ЭКУ ОГПУ может отвечать только за конструкцию мотора, но никак за сроки производства, тем более, что для размещения заказов на Н-5 потребовалось двукратное распоряжение Наркомтяжпрома.</w:t>
      </w:r>
    </w:p>
    <w:p w14:paraId="79E3A2A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мотора Н-5 проводится на авиазаводах, находящихся в ведении ГУАПа. Задержки в чертежах по Н-5, выполняемых Техотделом ЭКУ ОГПУ не было.</w:t>
      </w:r>
    </w:p>
    <w:p w14:paraId="2CE3424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Техотдел ЭКУ ОГПУ выполнил постановление СТО.</w:t>
      </w:r>
    </w:p>
    <w:p w14:paraId="25714E9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3. В пункте 3 указано, что мотор Н-5 имеет высотность 3000 м. Мотор Н-5 высотности не имеет; его проект, доложенный представителям УВВС, ЦИАМ и др., высотности никакой не имел. Высотность мотора Н-5 будет достигнута (для высоты 5000 м и выше) постановкой турбокомпрессора, расчет которого ведется в Техотделе ЭКУ ОГПУ и который может быть сделан после получения данных испытаний мотора Н-5. Строящийся ЦИАМом мотор Н-1, после проведенной длительной лабораторной работы и испытаний на опытных образцах, предполагается невысотным с весом 1,4 кг на силу. Не ясно почему мотор Н-1, проектировавшийся на 800 сил, сдается в 600 сил, а требование высотности вовсе отсутствует.</w:t>
      </w:r>
    </w:p>
    <w:p w14:paraId="06E1D42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Просим изменить данные мотора Н-5 на следующие: «мощность – 2000 л.с., высотность – нет».</w:t>
      </w:r>
    </w:p>
    <w:p w14:paraId="20956E7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4. Своевременный выпуск мотора Н-5 производства должен быть обеспечен ГУАПом под ответственность начальника ГУАПа Баранова. Своевременная подача чертежей и техническое наблюдение за производством и испытанием мотора должно быть обеспечено Техотделом ЭКУ ОГПУ.</w:t>
      </w:r>
    </w:p>
    <w:p w14:paraId="1FBC3E0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5. Своевременная сдача мотора на гос. испытание определяется сроком его производства и, следовательно, ответственность за производство необходимо возложить на производящие организации, т. е. директоров заводов №№ 24 и 26, а также на начальника ЦИАМа.</w:t>
      </w:r>
    </w:p>
    <w:p w14:paraId="13A34D4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должно быть закончено к 1 июля 1933 года, заводские испытания должны начаться 1 августа 1933 года (4223, 28-29).</w:t>
      </w:r>
    </w:p>
    <w:p w14:paraId="7AD7ACD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3F0EF2CC"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B856097"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6D74A97"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мая 1933 лодка «Комсомолец» завода Красное Сормово в доке начала движение по Волге, а затем — по Мариинской системе каналов, и 1 июня 1933 г. прибыла в Ленинград. «Балтийцы» быстро поняли, что им прислали не «почти готовую» субмарину, а всего лишь полуфабрикат. После начала достроечных работ выявилось огромное количество дефектов: было необходимо заново изготовить и установить валы горизонтальных рулей, устранить дефекты топливных цистерн, заменить кабели и т. д. Согласно акту от 9 июля 1933 г., было выявлено, что «соединительные швы топливных цистерн зашпаклеваны смесью гудрона и сурика черного цвета. Это маскировка брака, могущая привести к течи». [160 — ГУ ЦАНО, Ф. 15, Оп. 3, Д. 135, Л. 142.] А в акте от 11 сентября того же года говорилось: «…при испытании гидравлическим давлением жесткого корпуса обнаружилось 250 течей». [161 — Там же, Д. 136, Л. 16.] Когда прибыли торпедные аппараты, долго задерживавшиеся заводом № 6, оказалось, что подлодка не готова к их установке. Кроме того, 40 % электромонтажных работ подлежали демонтажу и переделке, из-за брака пришлось заменить и 90 % арматуры. [162 — Там же, Д. 135, Л. 177.]. В связи с переходом «Красного Сормова» на производство спецсудов — так в целях секретности именовали подлодки, которое должно было стать его основным профилем, с 1933 г. стал сокращаться выпуск железнодорожных вагонов и платформ, а также трамваев. Начались командировки на Балтийский завод рабочего и технического персонала с последующей сдачей экзамена. Впоследствии в ноябре 1933 — мае 1934 гг. филиал учебно-курсового комбината в Ленинграде организовал курсы повышения квалификации инженеров — строителей подлодок. На них была отправлена группа ИТР с «Красного Сормова»: корпусники, механики и электротехники. Пять дней в неделю они работали на предприятиях Ленинграда, а один день проводились теоретические занятия. Основными темами занятий были общее устройство подлодок, технологические процессы и монтаж (11741).</w:t>
      </w:r>
    </w:p>
    <w:p w14:paraId="0C552C25" w14:textId="77777777" w:rsidR="008524B2" w:rsidRPr="0044524F" w:rsidRDefault="008524B2"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A8B3E24"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ADBB57C"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9CE17B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мая 1933 И-14 Бристоль-Марк был перевезен на аэродром, но при пробе мотора обнаружился его перегрев и детонации (2310,143).</w:t>
      </w:r>
    </w:p>
    <w:p w14:paraId="626F72E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6898226B" w14:textId="77777777" w:rsidR="009A7962" w:rsidRPr="0044524F" w:rsidRDefault="009A79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26 мая 1933 г. опытный самолёт И-14 (АНТ-31, заказ 7057) с мотором </w:t>
      </w:r>
      <w:r w:rsidRPr="0044524F">
        <w:rPr>
          <w:rFonts w:ascii="Times New Roman" w:hAnsi="Times New Roman"/>
          <w:color w:val="000000" w:themeColor="text1"/>
          <w:sz w:val="16"/>
          <w:szCs w:val="16"/>
          <w:lang w:val="en-US"/>
        </w:rPr>
        <w:t>Bristol</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Mer</w:t>
      </w:r>
      <w:r w:rsidRPr="0044524F">
        <w:rPr>
          <w:rFonts w:ascii="Times New Roman" w:hAnsi="Times New Roman"/>
          <w:color w:val="000000" w:themeColor="text1"/>
          <w:sz w:val="16"/>
          <w:szCs w:val="16"/>
        </w:rPr>
        <w:softHyphen/>
      </w:r>
      <w:r w:rsidRPr="0044524F">
        <w:rPr>
          <w:rFonts w:ascii="Times New Roman" w:hAnsi="Times New Roman"/>
          <w:color w:val="000000" w:themeColor="text1"/>
          <w:sz w:val="16"/>
          <w:szCs w:val="16"/>
          <w:lang w:val="en-US"/>
        </w:rPr>
        <w:t>cury</w:t>
      </w:r>
      <w:r w:rsidRPr="0044524F">
        <w:rPr>
          <w:rFonts w:ascii="Times New Roman" w:hAnsi="Times New Roman"/>
          <w:color w:val="000000" w:themeColor="text1"/>
          <w:sz w:val="16"/>
          <w:szCs w:val="16"/>
        </w:rPr>
        <w:t xml:space="preserve"> IV </w:t>
      </w:r>
      <w:r w:rsidRPr="0044524F">
        <w:rPr>
          <w:rFonts w:ascii="Times New Roman" w:hAnsi="Times New Roman"/>
          <w:color w:val="000000" w:themeColor="text1"/>
          <w:sz w:val="16"/>
          <w:szCs w:val="16"/>
          <w:lang w:val="en-US"/>
        </w:rPr>
        <w:t>S</w:t>
      </w:r>
      <w:r w:rsidRPr="0044524F">
        <w:rPr>
          <w:rFonts w:ascii="Times New Roman" w:hAnsi="Times New Roman"/>
          <w:color w:val="000000" w:themeColor="text1"/>
          <w:sz w:val="16"/>
          <w:szCs w:val="16"/>
        </w:rPr>
        <w:t>2 перевезли на Центральный аэродром, а 27 мая лётчик-испытатель К.К. По</w:t>
      </w:r>
      <w:r w:rsidRPr="0044524F">
        <w:rPr>
          <w:rFonts w:ascii="Times New Roman" w:hAnsi="Times New Roman"/>
          <w:color w:val="000000" w:themeColor="text1"/>
          <w:sz w:val="16"/>
          <w:szCs w:val="16"/>
        </w:rPr>
        <w:softHyphen/>
        <w:t>пов совершил первый вылет (15823).</w:t>
      </w:r>
    </w:p>
    <w:p w14:paraId="2F6D518B" w14:textId="77777777" w:rsidR="009A7962" w:rsidRPr="0044524F" w:rsidRDefault="009A7962" w:rsidP="009654CF">
      <w:pPr>
        <w:spacing w:after="0" w:line="240" w:lineRule="auto"/>
        <w:jc w:val="both"/>
        <w:rPr>
          <w:rFonts w:ascii="Times New Roman" w:hAnsi="Times New Roman"/>
          <w:color w:val="000000" w:themeColor="text1"/>
          <w:sz w:val="16"/>
          <w:szCs w:val="16"/>
        </w:rPr>
      </w:pPr>
    </w:p>
    <w:p w14:paraId="0FDDFFD7" w14:textId="77777777" w:rsidR="00197613" w:rsidRPr="0044524F" w:rsidRDefault="00197613"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26 мая 1933 года опытный самолет И-14 (АНТ-31, заказ 7057) с мотором Bristol-Mercury IV S2 перевезли на Центральный аэродром, а 27 мая летчик испытатель К. К. Попов совершил на нем первый вылет (19177).</w:t>
      </w:r>
    </w:p>
    <w:p w14:paraId="52AC9360" w14:textId="77777777" w:rsidR="00197613" w:rsidRPr="0044524F" w:rsidRDefault="00197613" w:rsidP="009654CF">
      <w:pPr>
        <w:pStyle w:val="ae"/>
        <w:shd w:val="clear" w:color="auto" w:fill="FFFFFF"/>
        <w:spacing w:before="0" w:after="0"/>
        <w:jc w:val="both"/>
        <w:textAlignment w:val="baseline"/>
        <w:rPr>
          <w:color w:val="000000" w:themeColor="text1"/>
          <w:sz w:val="16"/>
          <w:szCs w:val="16"/>
        </w:rPr>
      </w:pPr>
    </w:p>
    <w:p w14:paraId="419EB38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мая 1933 г. головной И-14 была отправлен ранним утром на Центральный аэродром, где размещался Отдел экспериментов, летных испытаний и доводок (ОЭЛИД) ЦАГИ, а уже вечером следующего дня состоялся первый полет без уборки шасси. Летчик К.Попов сделал два круга над Центральным аэродромом.</w:t>
      </w:r>
    </w:p>
    <w:p w14:paraId="0059F9D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июня 1933 г. первая фаза испытаний завершилась и 17 июля машина была передана обратно в ЦАГИ, поскольку в акте было записано, что самолет имеет ряд конструктивных недостатков.</w:t>
      </w:r>
    </w:p>
    <w:p w14:paraId="16D3797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цехе ЗОК на головном самолете произвели регулировку убирающегося шасси, заменили консоли с полотняной обшивкой на новые, умевшие метеллическую гофрированную обшивку. Поскольку радиатор не отвечал требованиям эффективного охлаждения масла, его заменили на более мощный. Заодно переделали </w:t>
      </w:r>
      <w:r w:rsidRPr="0044524F">
        <w:rPr>
          <w:rFonts w:ascii="Times New Roman" w:hAnsi="Times New Roman"/>
          <w:color w:val="000000" w:themeColor="text1"/>
          <w:sz w:val="16"/>
          <w:szCs w:val="16"/>
        </w:rPr>
        <w:lastRenderedPageBreak/>
        <w:t>коллектор выпускной системы мотора. В таком виде И-14 30 сентября 1933 г. вновь отправили на аэродром, где летчикииспытатели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ЗОКдлн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49E880F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77A82953" w14:textId="77777777" w:rsidR="009A796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9463DE8" w14:textId="77777777" w:rsidR="009A7962" w:rsidRPr="0044524F" w:rsidRDefault="009A7962" w:rsidP="009654CF">
      <w:pPr>
        <w:spacing w:after="0" w:line="240" w:lineRule="auto"/>
        <w:jc w:val="both"/>
        <w:rPr>
          <w:rFonts w:ascii="Times New Roman" w:hAnsi="Times New Roman"/>
          <w:iCs/>
          <w:color w:val="000000" w:themeColor="text1"/>
          <w:sz w:val="16"/>
          <w:szCs w:val="16"/>
        </w:rPr>
      </w:pPr>
    </w:p>
    <w:p w14:paraId="66C19E5B" w14:textId="77777777" w:rsidR="009A7962" w:rsidRPr="0044524F" w:rsidRDefault="009A7962" w:rsidP="009654CF">
      <w:pPr>
        <w:pStyle w:val="rtejustify"/>
        <w:spacing w:before="0" w:after="0"/>
        <w:rPr>
          <w:color w:val="000000" w:themeColor="text1"/>
          <w:sz w:val="16"/>
          <w:szCs w:val="16"/>
        </w:rPr>
      </w:pPr>
      <w:r w:rsidRPr="0044524F">
        <w:rPr>
          <w:color w:val="000000" w:themeColor="text1"/>
          <w:sz w:val="16"/>
          <w:szCs w:val="16"/>
        </w:rPr>
        <w:t xml:space="preserve">26 мая 1933 г. член коллегии НК РКИ СССР и начальник Военно-морской инспекции Н. В. Куйбышев представил в СТО СССР докладную записку </w:t>
      </w:r>
      <w:r w:rsidRPr="0044524F">
        <w:rPr>
          <w:rStyle w:val="af0"/>
          <w:bCs/>
          <w:i w:val="0"/>
          <w:color w:val="000000" w:themeColor="text1"/>
          <w:sz w:val="16"/>
          <w:szCs w:val="16"/>
        </w:rPr>
        <w:t>о производстве крупнокалиберных снарядов</w:t>
      </w:r>
      <w:r w:rsidRPr="0044524F">
        <w:rPr>
          <w:color w:val="000000" w:themeColor="text1"/>
          <w:sz w:val="16"/>
          <w:szCs w:val="16"/>
        </w:rPr>
        <w:t>. В ней говорилось, что в 1933 г. к техническим условиям для производства крупнокалиберных снарядов предъявлены повышенные требования, но оборудование осталось старым и изношенным. За исключением завода «Большевик» на всех остальных заводах вовсе не было специалистов, металлургов по производству сталей для снарядных корпусов. Кадры старых рабочих потеряны. В результате заводы не получили требуемую для крупнокалиберных снарядов высококачественную сталь. В январе 1933 г. было создано бюро при ВОАО для восстановления потерянных навыков по производству крупнокалиберных снарядов. Бюро развернуло работы и разработало инструкции по всем стадиям металлургии производства крупнокалиберных снарядов, поставило исследовательскую работу по технике производства, но имело слабую связь с заводами. Н. В. Куйбышев констатировал, что на начало 1933 г.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44524F">
        <w:rPr>
          <w:color w:val="000000" w:themeColor="text1"/>
          <w:sz w:val="16"/>
          <w:szCs w:val="16"/>
        </w:rPr>
        <w:noBreakHyphen/>
        <w:t>8418. Оп. 28. Д. 1. Л. 155</w:t>
      </w:r>
      <w:r w:rsidRPr="0044524F">
        <w:rPr>
          <w:color w:val="000000" w:themeColor="text1"/>
          <w:sz w:val="16"/>
          <w:szCs w:val="16"/>
        </w:rPr>
        <w:noBreakHyphen/>
        <w:t>158) (15270).</w:t>
      </w:r>
    </w:p>
    <w:p w14:paraId="2CE5084A" w14:textId="77777777" w:rsidR="009A7962" w:rsidRPr="0044524F" w:rsidRDefault="009A7962" w:rsidP="009654CF">
      <w:pPr>
        <w:pStyle w:val="rtejustify"/>
        <w:spacing w:before="0" w:after="0"/>
        <w:rPr>
          <w:rStyle w:val="af0"/>
          <w:bCs/>
          <w:i w:val="0"/>
          <w:color w:val="000000" w:themeColor="text1"/>
          <w:sz w:val="16"/>
          <w:szCs w:val="16"/>
        </w:rPr>
      </w:pPr>
    </w:p>
    <w:p w14:paraId="697BC2B1" w14:textId="77777777" w:rsidR="009A7962" w:rsidRPr="0044524F" w:rsidRDefault="009A7962" w:rsidP="009654CF">
      <w:pPr>
        <w:pStyle w:val="rtejustify"/>
        <w:spacing w:before="0" w:after="0"/>
        <w:rPr>
          <w:color w:val="000000" w:themeColor="text1"/>
          <w:sz w:val="16"/>
          <w:szCs w:val="16"/>
        </w:rPr>
      </w:pPr>
      <w:r w:rsidRPr="0044524F">
        <w:rPr>
          <w:rStyle w:val="af0"/>
          <w:bCs/>
          <w:i w:val="0"/>
          <w:color w:val="000000" w:themeColor="text1"/>
          <w:sz w:val="16"/>
          <w:szCs w:val="16"/>
        </w:rPr>
        <w:t>26 мая</w:t>
      </w:r>
      <w:r w:rsidRPr="0044524F">
        <w:rPr>
          <w:color w:val="000000" w:themeColor="text1"/>
          <w:sz w:val="16"/>
          <w:szCs w:val="16"/>
        </w:rPr>
        <w:t xml:space="preserve"> 1933 вышел приказ РВСС № 11. 1. Об артиллерийском вооружении: а) итоги выполнения системы вооружения в первой пятилетке; б) основные установки для работы по системе вооружения во вторую пятилетку; в) состояние вооружения; г) использование и применение артвооружения. (Ефимов, Егоров, Роговский). 2. О конструктивных изменениях в производстве 152</w:t>
      </w:r>
      <w:r w:rsidRPr="0044524F">
        <w:rPr>
          <w:color w:val="000000" w:themeColor="text1"/>
          <w:sz w:val="16"/>
          <w:szCs w:val="16"/>
        </w:rPr>
        <w:noBreakHyphen/>
        <w:t>мм мортиры 1931 г. и о 45</w:t>
      </w:r>
      <w:r w:rsidRPr="0044524F">
        <w:rPr>
          <w:color w:val="000000" w:themeColor="text1"/>
          <w:sz w:val="16"/>
          <w:szCs w:val="16"/>
        </w:rPr>
        <w:noBreakHyphen/>
        <w:t>мм танковой пушке. (Ефимов). (РГВА. Ф. 4. Оп. 18. Д. 23. Л. 177</w:t>
      </w:r>
      <w:r w:rsidRPr="0044524F">
        <w:rPr>
          <w:color w:val="000000" w:themeColor="text1"/>
          <w:sz w:val="16"/>
          <w:szCs w:val="16"/>
        </w:rPr>
        <w:noBreakHyphen/>
        <w:t>178) (15461).</w:t>
      </w:r>
    </w:p>
    <w:p w14:paraId="4BE8E8E6" w14:textId="77777777" w:rsidR="009A7962" w:rsidRPr="0044524F" w:rsidRDefault="009A7962" w:rsidP="009654CF">
      <w:pPr>
        <w:pStyle w:val="rtejustify"/>
        <w:spacing w:before="0" w:after="0"/>
        <w:rPr>
          <w:color w:val="000000" w:themeColor="text1"/>
          <w:sz w:val="16"/>
          <w:szCs w:val="16"/>
        </w:rPr>
      </w:pPr>
    </w:p>
    <w:p w14:paraId="413BAF46"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9BFE39A"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8B564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мая 1933 была запрещена компартия Австрии (3186).</w:t>
      </w:r>
    </w:p>
    <w:p w14:paraId="19789DC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4349D4E7"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2797431"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86B4037"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закончились гос. испытания опытного самолета ДИ4 с мотором Кертис Конкверор, которые проходили с 5 мая 1933 (6820).</w:t>
      </w:r>
    </w:p>
    <w:p w14:paraId="158B2B3E"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1706A8E8"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самолет – Холодов</w:t>
      </w:r>
    </w:p>
    <w:p w14:paraId="758A8A22"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Кокинаки</w:t>
      </w:r>
    </w:p>
    <w:p w14:paraId="5EE2253C"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24BB602A"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4364FE47"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47BCD87" w14:textId="77777777" w:rsidR="008524B2" w:rsidRPr="0044524F" w:rsidRDefault="008524B2"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ДИ4 – Кертис Конкверор не может быть допущен к серийной постройке как не отвечающий требованиям к современным двухместным истребителям.</w:t>
      </w:r>
    </w:p>
    <w:p w14:paraId="6C885E73"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469C5AA3"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года – самолет поступил с завода № 39 для прохождения гос. испытаний.</w:t>
      </w:r>
    </w:p>
    <w:p w14:paraId="774DF89A"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 1933 года – перелет в Щелково.</w:t>
      </w:r>
    </w:p>
    <w:p w14:paraId="0547208A"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года – фактическое начало испытаний.</w:t>
      </w:r>
    </w:p>
    <w:p w14:paraId="14B7F386"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года – окончание испытаний</w:t>
      </w:r>
    </w:p>
    <w:p w14:paraId="700627A8"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испытание 15 календарных дней, испытание проведено в 7 летных дней. Налетано 13 час. 25 мин. (6820).</w:t>
      </w:r>
    </w:p>
    <w:p w14:paraId="372C38EA"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903D9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состоялся первый полет И-14 (АНТ-31) с Бристоль-Марк (2310,143). Заводские испытания шли долго и на гос. испытания передали только 2 января 1934 (80,148) Небольшая серия. Первый серийный истребитель с убирающимся шасси и летал К.К.Попов (109,237).</w:t>
      </w:r>
    </w:p>
    <w:p w14:paraId="5698198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в мае 1933 И-14 П.О.С. был только построен (а не полет) в ЗОК (92,464). Н.М.Харламов якобы предложил отметить в ресторанчике на Динамо. А.Н.Т. - в Национале. П.О.С. - исчез тихонечко. Поехали в Националь (84,26).</w:t>
      </w:r>
    </w:p>
    <w:p w14:paraId="241949E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третьим данным И-14 (АНТ-31) строили с мая 1933 по декабрь 1933 (80,128).</w:t>
      </w:r>
    </w:p>
    <w:p w14:paraId="793523A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первый полет выполнил И.Ф.Козлов, но машину возвратили на доработку (2072,68).</w:t>
      </w:r>
    </w:p>
    <w:p w14:paraId="06A54D08"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0E88E88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К.Попов выполнил первый полет на И-14 (1454,24).</w:t>
      </w:r>
    </w:p>
    <w:p w14:paraId="354D347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6DE3C17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г. летчик К.А.Попов поднял И-14 в воз</w:t>
      </w:r>
      <w:r w:rsidRPr="0044524F">
        <w:rPr>
          <w:rFonts w:ascii="Times New Roman" w:hAnsi="Times New Roman"/>
          <w:color w:val="000000" w:themeColor="text1"/>
          <w:sz w:val="16"/>
          <w:szCs w:val="16"/>
        </w:rPr>
        <w:softHyphen/>
        <w:t>дух. Результаты первых полетов оказались обескуражи</w:t>
      </w:r>
      <w:r w:rsidRPr="0044524F">
        <w:rPr>
          <w:rFonts w:ascii="Times New Roman" w:hAnsi="Times New Roman"/>
          <w:color w:val="000000" w:themeColor="text1"/>
          <w:sz w:val="16"/>
          <w:szCs w:val="16"/>
        </w:rPr>
        <w:softHyphen/>
        <w:t>вающими. Наблюдался перегрев мотора, детонация, шасси убирались плохо, управление было тугим, а само</w:t>
      </w:r>
      <w:r w:rsidRPr="0044524F">
        <w:rPr>
          <w:rFonts w:ascii="Times New Roman" w:hAnsi="Times New Roman"/>
          <w:color w:val="000000" w:themeColor="text1"/>
          <w:sz w:val="16"/>
          <w:szCs w:val="16"/>
        </w:rPr>
        <w:softHyphen/>
        <w:t>лет неустойчивым. Выявился ряд других недостатков в конструкции. В итоге 17 июля 1933 г. заводские испыта</w:t>
      </w:r>
      <w:r w:rsidRPr="0044524F">
        <w:rPr>
          <w:rFonts w:ascii="Times New Roman" w:hAnsi="Times New Roman"/>
          <w:color w:val="000000" w:themeColor="text1"/>
          <w:sz w:val="16"/>
          <w:szCs w:val="16"/>
        </w:rPr>
        <w:softHyphen/>
        <w:t>ния прервали и самолет возвратили в ЦАГИ для дорабо</w:t>
      </w:r>
      <w:r w:rsidRPr="0044524F">
        <w:rPr>
          <w:rFonts w:ascii="Times New Roman" w:hAnsi="Times New Roman"/>
          <w:color w:val="000000" w:themeColor="text1"/>
          <w:sz w:val="16"/>
          <w:szCs w:val="16"/>
        </w:rPr>
        <w:softHyphen/>
        <w:t>ток. Полеты возобновились 30 сентября 1933 г., но продолжались они недолго: 25 октября 1933 г. И-14 вновь вернули в ЦАГИ для устранения выявленных не</w:t>
      </w:r>
      <w:r w:rsidRPr="0044524F">
        <w:rPr>
          <w:rFonts w:ascii="Times New Roman" w:hAnsi="Times New Roman"/>
          <w:color w:val="000000" w:themeColor="text1"/>
          <w:sz w:val="16"/>
          <w:szCs w:val="16"/>
        </w:rPr>
        <w:softHyphen/>
        <w:t>достатков (10667).</w:t>
      </w:r>
    </w:p>
    <w:p w14:paraId="5582614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05D9BEE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г. состоялся первый полет головного И-14, который ранним утром 26 мая поступил на Центральный аэродром, где размещался Отдел экспериментов, летных испытаний и доводок (ОЭЛИД) ЦАГИ, а уже вечером следующего дня состоялся первый полет без уборки шасси. Летчик К.Попов сделал два круга над Центральным аэродромом.</w:t>
      </w:r>
    </w:p>
    <w:p w14:paraId="0D7C5D1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июня 1933 г. первая фаза испытаний завершилась и 17 июля машина была передана обратно в ЦАГИ, поскольку в акте было записано, что самолет имеет ряд конструктивных недостатков.</w:t>
      </w:r>
    </w:p>
    <w:p w14:paraId="770ADF7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цехе ЗОК на головном самолете произвели регулировку убирающегося шасси, заменили консоли с полотняной обшивкой на новые, умевшие метеллическую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 таком виде И-14 30 сентября 1933 г. вновь отправили на аэродром, где летчикииспытатели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ЗОКдлн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772AC77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3F332321" w14:textId="77777777" w:rsidR="00E81C2C" w:rsidRPr="0044524F" w:rsidRDefault="00E81C2C"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27 мая</w:t>
      </w:r>
      <w:r w:rsidRPr="0044524F">
        <w:rPr>
          <w:rFonts w:ascii="Times New Roman" w:hAnsi="Times New Roman"/>
          <w:color w:val="000000" w:themeColor="text1"/>
          <w:sz w:val="16"/>
          <w:szCs w:val="16"/>
        </w:rPr>
        <w:t xml:space="preserve"> в 1933 году первый полет истребителя </w:t>
      </w:r>
      <w:hyperlink r:id="rId171" w:tgtFrame="_blank" w:history="1">
        <w:r w:rsidRPr="0044524F">
          <w:rPr>
            <w:rFonts w:ascii="Times New Roman" w:hAnsi="Times New Roman"/>
            <w:color w:val="000000" w:themeColor="text1"/>
            <w:sz w:val="16"/>
            <w:szCs w:val="16"/>
          </w:rPr>
          <w:t xml:space="preserve">«АНТ-31» («И-14») </w:t>
        </w:r>
      </w:hyperlink>
      <w:r w:rsidRPr="0044524F">
        <w:rPr>
          <w:rFonts w:ascii="Times New Roman" w:hAnsi="Times New Roman"/>
          <w:color w:val="000000" w:themeColor="text1"/>
          <w:sz w:val="16"/>
          <w:szCs w:val="16"/>
        </w:rPr>
        <w:t>с мотором "Бристоль-Меркур" VS2 мощностью 500 л. с., пилот К.К.Попов. Первый советский цельнометаллический самолет-истребитель со свободнонесущим монопланным крылом. Впервые на истребителе было применено убираемое в полете шасси, закрываемый фонарь, отапливаемая кабина Самолет состоял на вооружении ВВС. Было построено 18 самолетов (14904).</w:t>
      </w:r>
    </w:p>
    <w:p w14:paraId="27D78F6B" w14:textId="77777777" w:rsidR="00E81C2C" w:rsidRPr="0044524F" w:rsidRDefault="00E81C2C" w:rsidP="009654CF">
      <w:pPr>
        <w:spacing w:after="0" w:line="240" w:lineRule="auto"/>
        <w:jc w:val="both"/>
        <w:rPr>
          <w:rFonts w:ascii="Times New Roman" w:hAnsi="Times New Roman"/>
          <w:color w:val="000000" w:themeColor="text1"/>
          <w:sz w:val="16"/>
          <w:szCs w:val="16"/>
        </w:rPr>
      </w:pPr>
    </w:p>
    <w:p w14:paraId="13A5BAF7" w14:textId="77777777" w:rsidR="00E81C2C" w:rsidRPr="0044524F" w:rsidRDefault="00E81C2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лётчик-испытатель К.К. По</w:t>
      </w:r>
      <w:r w:rsidRPr="0044524F">
        <w:rPr>
          <w:rFonts w:ascii="Times New Roman" w:hAnsi="Times New Roman"/>
          <w:color w:val="000000" w:themeColor="text1"/>
          <w:sz w:val="16"/>
          <w:szCs w:val="16"/>
        </w:rPr>
        <w:softHyphen/>
        <w:t xml:space="preserve">пов совершил первый вылет на опытном самолёте И-14 (АНТ-31, заказ 7057) с мотором </w:t>
      </w:r>
      <w:r w:rsidRPr="0044524F">
        <w:rPr>
          <w:rFonts w:ascii="Times New Roman" w:hAnsi="Times New Roman"/>
          <w:color w:val="000000" w:themeColor="text1"/>
          <w:sz w:val="16"/>
          <w:szCs w:val="16"/>
          <w:lang w:val="en-US"/>
        </w:rPr>
        <w:t>Bristol</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Mer</w:t>
      </w:r>
      <w:r w:rsidRPr="0044524F">
        <w:rPr>
          <w:rFonts w:ascii="Times New Roman" w:hAnsi="Times New Roman"/>
          <w:color w:val="000000" w:themeColor="text1"/>
          <w:sz w:val="16"/>
          <w:szCs w:val="16"/>
        </w:rPr>
        <w:softHyphen/>
      </w:r>
      <w:r w:rsidRPr="0044524F">
        <w:rPr>
          <w:rFonts w:ascii="Times New Roman" w:hAnsi="Times New Roman"/>
          <w:color w:val="000000" w:themeColor="text1"/>
          <w:sz w:val="16"/>
          <w:szCs w:val="16"/>
          <w:lang w:val="en-US"/>
        </w:rPr>
        <w:t>cury</w:t>
      </w:r>
      <w:r w:rsidRPr="0044524F">
        <w:rPr>
          <w:rFonts w:ascii="Times New Roman" w:hAnsi="Times New Roman"/>
          <w:color w:val="000000" w:themeColor="text1"/>
          <w:sz w:val="16"/>
          <w:szCs w:val="16"/>
        </w:rPr>
        <w:t xml:space="preserve"> IV </w:t>
      </w:r>
      <w:r w:rsidRPr="0044524F">
        <w:rPr>
          <w:rFonts w:ascii="Times New Roman" w:hAnsi="Times New Roman"/>
          <w:color w:val="000000" w:themeColor="text1"/>
          <w:sz w:val="16"/>
          <w:szCs w:val="16"/>
          <w:lang w:val="en-US"/>
        </w:rPr>
        <w:t>S</w:t>
      </w:r>
      <w:r w:rsidRPr="0044524F">
        <w:rPr>
          <w:rFonts w:ascii="Times New Roman" w:hAnsi="Times New Roman"/>
          <w:color w:val="000000" w:themeColor="text1"/>
          <w:sz w:val="16"/>
          <w:szCs w:val="16"/>
        </w:rPr>
        <w:t>2 (15823).</w:t>
      </w:r>
    </w:p>
    <w:p w14:paraId="580246F5" w14:textId="77777777" w:rsidR="00E81C2C" w:rsidRPr="0044524F" w:rsidRDefault="00E81C2C" w:rsidP="009654CF">
      <w:pPr>
        <w:spacing w:after="0" w:line="240" w:lineRule="auto"/>
        <w:jc w:val="both"/>
        <w:rPr>
          <w:rFonts w:ascii="Times New Roman" w:hAnsi="Times New Roman"/>
          <w:color w:val="000000" w:themeColor="text1"/>
          <w:sz w:val="16"/>
          <w:szCs w:val="16"/>
        </w:rPr>
      </w:pPr>
    </w:p>
    <w:p w14:paraId="7515DA2A"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г. летчик К.А. Попов поднял И-14 в воздух. Результаты первых полетов были обескуражи</w:t>
      </w:r>
      <w:r w:rsidRPr="0044524F">
        <w:rPr>
          <w:rFonts w:ascii="Times New Roman" w:hAnsi="Times New Roman"/>
          <w:color w:val="000000" w:themeColor="text1"/>
          <w:sz w:val="16"/>
          <w:szCs w:val="16"/>
        </w:rPr>
        <w:softHyphen/>
        <w:t>вающими. Наблюдался перегрев мотора, его детонация, шасси убира</w:t>
      </w:r>
      <w:r w:rsidRPr="0044524F">
        <w:rPr>
          <w:rFonts w:ascii="Times New Roman" w:hAnsi="Times New Roman"/>
          <w:color w:val="000000" w:themeColor="text1"/>
          <w:sz w:val="16"/>
          <w:szCs w:val="16"/>
        </w:rPr>
        <w:softHyphen/>
        <w:t>лись плохо, управление было тугим, а самолет неустойчивым. Выявился ряд других недостатков в конструкции, в частности, оказалась недостаточной жесткость крыла. В итоге 17 июля 1933 г. заводские испытания были прерваны и самолет возвратили в ЦАГИ для доработок. Испытания возобновились 30 сентября 1933 г., но продолжались они недолго: 25 октября 1933 г. И-14 вновь вернули в ЦАГИ для устранения выявленных недостатков (23455).</w:t>
      </w:r>
    </w:p>
    <w:p w14:paraId="625F67F5" w14:textId="77777777" w:rsidR="00045F60" w:rsidRPr="0044524F" w:rsidRDefault="00045F60" w:rsidP="009654CF">
      <w:pPr>
        <w:spacing w:after="0" w:line="240" w:lineRule="auto"/>
        <w:jc w:val="both"/>
        <w:rPr>
          <w:rFonts w:ascii="Times New Roman" w:hAnsi="Times New Roman"/>
          <w:color w:val="000000" w:themeColor="text1"/>
          <w:sz w:val="16"/>
          <w:szCs w:val="16"/>
        </w:rPr>
      </w:pPr>
    </w:p>
    <w:p w14:paraId="2098DDAF"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27 мая 1933 года состоялся первый полет И-14 (с гофрированной обшивкой крыла, поскольку, не имея опыта, остереглись внедрять новинку), пилотируемого К.А. Поповым,. Самолет оказался очень строгим в управлении, требовавшим отточенных действий летчика. Заводские испытания, в ходе которых была достигнута </w:t>
      </w:r>
      <w:r w:rsidRPr="00142305">
        <w:rPr>
          <w:rFonts w:ascii="Times New Roman" w:hAnsi="Times New Roman"/>
          <w:color w:val="0070C0"/>
          <w:sz w:val="16"/>
          <w:szCs w:val="16"/>
        </w:rPr>
        <w:lastRenderedPageBreak/>
        <w:t>рекордная для СССР скорость - 384 км/ч, и доводка машины, связанная, в частности, с обеспечением температурного режима работы двигателя, затянулись до 1934 года, и лишь 2 января ее на лыжном шасси (аэродромы тогда зимой не укатывали) передали на государственные испытания, но без вооружения, поскольку динамореактивные пушки АПК-11 к тому времени не успели довести до конди</w:t>
      </w:r>
      <w:r w:rsidRPr="00142305">
        <w:rPr>
          <w:rFonts w:ascii="Times New Roman" w:hAnsi="Times New Roman"/>
          <w:color w:val="0070C0"/>
          <w:sz w:val="16"/>
          <w:szCs w:val="16"/>
        </w:rPr>
        <w:softHyphen/>
        <w:t>ции (24991).</w:t>
      </w:r>
    </w:p>
    <w:p w14:paraId="237D3C7F" w14:textId="77777777" w:rsidR="00BE7B0D" w:rsidRPr="00142305" w:rsidRDefault="00BE7B0D" w:rsidP="00BE7B0D">
      <w:pPr>
        <w:spacing w:after="0" w:line="240" w:lineRule="auto"/>
        <w:jc w:val="both"/>
        <w:rPr>
          <w:rFonts w:ascii="Times New Roman" w:hAnsi="Times New Roman"/>
          <w:color w:val="0070C0"/>
          <w:sz w:val="16"/>
          <w:szCs w:val="16"/>
        </w:rPr>
      </w:pPr>
    </w:p>
    <w:p w14:paraId="16869746"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мая 1933 г. летчик К. А. Попов поднял И-14 в воздух. Результаты первых полетов были обескураживающими. Наблюдался перегрев мотора, детонация, шасси убирались плохо, управление было тугим, а самолет неустойчивым. Выявился ряд других недостатков в конструкции. В итоге 17 июля 1933 г. заводские испытания были прерваны и самолет возвратили в ЦАГИ для доработок. Испытания возобновились 30 сентября 1933 г., но продолжались они недолго: 25 октября 1933 г. И-14 вновь вернули в ЦАГИ для устранения выявленных недостатков.</w:t>
      </w:r>
    </w:p>
    <w:p w14:paraId="446628AE" w14:textId="77777777" w:rsidR="00BE7B0D" w:rsidRPr="00142305" w:rsidRDefault="00BE7B0D" w:rsidP="00BE7B0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Неудачное начало заводских испытаний И-14 показало, что процесс доводки конструкции может потребовать много времени без твердой гарантии его успешного завершения. В этих условиях руководство ВВС было вынуждено выдать задание Н. Н. Поликарпову на проектирование альтернативного скоростного истребителя-моноплана И-16 (25035).</w:t>
      </w:r>
    </w:p>
    <w:p w14:paraId="1E33634B" w14:textId="77777777" w:rsidR="00BE7B0D" w:rsidRPr="00142305" w:rsidRDefault="00BE7B0D" w:rsidP="00BE7B0D">
      <w:pPr>
        <w:spacing w:after="0" w:line="240" w:lineRule="auto"/>
        <w:jc w:val="both"/>
        <w:rPr>
          <w:rFonts w:ascii="Times New Roman" w:hAnsi="Times New Roman"/>
          <w:color w:val="0070C0"/>
          <w:sz w:val="16"/>
          <w:szCs w:val="16"/>
        </w:rPr>
      </w:pPr>
    </w:p>
    <w:p w14:paraId="093612E0"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г., на 7 месяцев раньше И-16 (т. к. Поликарпов работу над И-16 прервал в связи со срочным заданием на И-15 И-14 вышел на испыта</w:t>
      </w:r>
      <w:r w:rsidRPr="0044524F">
        <w:rPr>
          <w:rFonts w:ascii="Times New Roman" w:hAnsi="Times New Roman"/>
          <w:color w:val="000000" w:themeColor="text1"/>
          <w:sz w:val="16"/>
          <w:szCs w:val="16"/>
        </w:rPr>
        <w:softHyphen/>
        <w:t>ния) И-14 вышел на испытания.</w:t>
      </w:r>
    </w:p>
    <w:p w14:paraId="7A7EDBE3"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своей концепции И-14 и И-16 были близки и имели все при</w:t>
      </w:r>
      <w:r w:rsidRPr="0044524F">
        <w:rPr>
          <w:rFonts w:ascii="Times New Roman" w:hAnsi="Times New Roman"/>
          <w:color w:val="000000" w:themeColor="text1"/>
          <w:sz w:val="16"/>
          <w:szCs w:val="16"/>
        </w:rPr>
        <w:softHyphen/>
        <w:t>знаки скоростного моноплана: убирающееся шасси, закрытая каби</w:t>
      </w:r>
      <w:r w:rsidRPr="0044524F">
        <w:rPr>
          <w:rFonts w:ascii="Times New Roman" w:hAnsi="Times New Roman"/>
          <w:color w:val="000000" w:themeColor="text1"/>
          <w:sz w:val="16"/>
          <w:szCs w:val="16"/>
        </w:rPr>
        <w:softHyphen/>
        <w:t>на, повышенная нагрузка на крыло... Единственным старомодным элементом первого экземпляра И-14 являлась гофрированная об</w:t>
      </w:r>
      <w:r w:rsidRPr="0044524F">
        <w:rPr>
          <w:rFonts w:ascii="Times New Roman" w:hAnsi="Times New Roman"/>
          <w:color w:val="000000" w:themeColor="text1"/>
          <w:sz w:val="16"/>
          <w:szCs w:val="16"/>
        </w:rPr>
        <w:softHyphen/>
        <w:t>шивка крыла и оперения.</w:t>
      </w:r>
    </w:p>
    <w:p w14:paraId="6FC67C5D"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проектировании И-14 остро стоял вопрос с выбором дви</w:t>
      </w:r>
      <w:r w:rsidRPr="0044524F">
        <w:rPr>
          <w:rFonts w:ascii="Times New Roman" w:hAnsi="Times New Roman"/>
          <w:color w:val="000000" w:themeColor="text1"/>
          <w:sz w:val="16"/>
          <w:szCs w:val="16"/>
        </w:rPr>
        <w:softHyphen/>
        <w:t>гателя. Для первого опытного самолёта остановились на англий</w:t>
      </w:r>
      <w:r w:rsidRPr="0044524F">
        <w:rPr>
          <w:rFonts w:ascii="Times New Roman" w:hAnsi="Times New Roman"/>
          <w:color w:val="000000" w:themeColor="text1"/>
          <w:sz w:val="16"/>
          <w:szCs w:val="16"/>
        </w:rPr>
        <w:softHyphen/>
        <w:t>ском Бристоль «Меркур-IV» (540 л.с.), который имел редуктор и большую высотность - 4000 м. Вооружение - один синхронный пу</w:t>
      </w:r>
      <w:r w:rsidRPr="0044524F">
        <w:rPr>
          <w:rFonts w:ascii="Times New Roman" w:hAnsi="Times New Roman"/>
          <w:color w:val="000000" w:themeColor="text1"/>
          <w:sz w:val="16"/>
          <w:szCs w:val="16"/>
        </w:rPr>
        <w:softHyphen/>
        <w:t>лемёт ПВ-1, предусматривалась установка АПК-37.</w:t>
      </w:r>
    </w:p>
    <w:p w14:paraId="2C9DE104"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истребителя - цельнометаллическая, лонжероны крыла - ферменные из труб, нервюры и шпангоуты из профилей, обшивка фюзеляжа гладкая, как и киля, остальная - гофрированная (со второго экземпляра - тоже гладкая). Шасси убиралось тросовой лебёдкой. Капот мотора типа NACA, винт - деревянный. Крышка фонаря кабины не сдвижная, а откидная.</w:t>
      </w:r>
    </w:p>
    <w:p w14:paraId="3FCE1937"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г. лётчик-испытатель К. А. Попов выполнил первый полёт. Машина долго испытывалась и доводилась, госиспытания на</w:t>
      </w:r>
      <w:r w:rsidRPr="0044524F">
        <w:rPr>
          <w:rFonts w:ascii="Times New Roman" w:hAnsi="Times New Roman"/>
          <w:color w:val="000000" w:themeColor="text1"/>
          <w:sz w:val="16"/>
          <w:szCs w:val="16"/>
        </w:rPr>
        <w:softHyphen/>
        <w:t>чались только в марте 1934 г. По скоростным характеристикам - 316 км/ч у земли и 389 км/ч на высоте 4550 м - истребитель вполне устраивал военных. Вместе с тем, отмечались строгость пилотирова</w:t>
      </w:r>
      <w:r w:rsidRPr="0044524F">
        <w:rPr>
          <w:rFonts w:ascii="Times New Roman" w:hAnsi="Times New Roman"/>
          <w:color w:val="000000" w:themeColor="text1"/>
          <w:sz w:val="16"/>
          <w:szCs w:val="16"/>
        </w:rPr>
        <w:softHyphen/>
        <w:t>ния, недоведенность системы уборки шасси, плохая конструкция фонаря...(23595).</w:t>
      </w:r>
    </w:p>
    <w:p w14:paraId="60AA26C0" w14:textId="77777777" w:rsidR="00045F60" w:rsidRPr="0044524F" w:rsidRDefault="00045F60" w:rsidP="009654CF">
      <w:pPr>
        <w:spacing w:after="0" w:line="240" w:lineRule="auto"/>
        <w:jc w:val="both"/>
        <w:rPr>
          <w:rFonts w:ascii="Times New Roman" w:hAnsi="Times New Roman"/>
          <w:color w:val="000000" w:themeColor="text1"/>
          <w:sz w:val="16"/>
          <w:szCs w:val="16"/>
        </w:rPr>
      </w:pPr>
    </w:p>
    <w:p w14:paraId="49FA791F"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г. летчик К.К. Попов впервые поднял АНТ—31 в воздух. Заводские ис</w:t>
      </w:r>
      <w:r w:rsidRPr="0044524F">
        <w:rPr>
          <w:rFonts w:ascii="Times New Roman" w:hAnsi="Times New Roman"/>
          <w:color w:val="000000" w:themeColor="text1"/>
          <w:sz w:val="16"/>
          <w:szCs w:val="16"/>
        </w:rPr>
        <w:softHyphen/>
        <w:t>пытания из-за выявившихся неполадок удалось провести только к концу года — с 6 октября по 13 декабря 1933 г. На госу</w:t>
      </w:r>
      <w:r w:rsidRPr="0044524F">
        <w:rPr>
          <w:rFonts w:ascii="Times New Roman" w:hAnsi="Times New Roman"/>
          <w:color w:val="000000" w:themeColor="text1"/>
          <w:sz w:val="16"/>
          <w:szCs w:val="16"/>
        </w:rPr>
        <w:softHyphen/>
        <w:t>дарственные испытания машину переда</w:t>
      </w:r>
      <w:r w:rsidRPr="0044524F">
        <w:rPr>
          <w:rFonts w:ascii="Times New Roman" w:hAnsi="Times New Roman"/>
          <w:color w:val="000000" w:themeColor="text1"/>
          <w:sz w:val="16"/>
          <w:szCs w:val="16"/>
        </w:rPr>
        <w:softHyphen/>
        <w:t>ли уже в следующем году — 2 января. В НИИ ВВС АНТ—31 летал с неубирающимся лыжным шасси. Испытатели отметили большую скорость истребителя, но одновременно указывали и на недо</w:t>
      </w:r>
      <w:r w:rsidRPr="0044524F">
        <w:rPr>
          <w:rFonts w:ascii="Times New Roman" w:hAnsi="Times New Roman"/>
          <w:color w:val="000000" w:themeColor="text1"/>
          <w:sz w:val="16"/>
          <w:szCs w:val="16"/>
        </w:rPr>
        <w:softHyphen/>
        <w:t>статки: строгость в выполнении виража, недоведенность механизма уборки шас</w:t>
      </w:r>
      <w:r w:rsidRPr="0044524F">
        <w:rPr>
          <w:rFonts w:ascii="Times New Roman" w:hAnsi="Times New Roman"/>
          <w:color w:val="000000" w:themeColor="text1"/>
          <w:sz w:val="16"/>
          <w:szCs w:val="16"/>
        </w:rPr>
        <w:softHyphen/>
        <w:t>си, неудовлетворительную конструкцию фонаря кабины. Требовалась основатель</w:t>
      </w:r>
      <w:r w:rsidRPr="0044524F">
        <w:rPr>
          <w:rFonts w:ascii="Times New Roman" w:hAnsi="Times New Roman"/>
          <w:color w:val="000000" w:themeColor="text1"/>
          <w:sz w:val="16"/>
          <w:szCs w:val="16"/>
        </w:rPr>
        <w:softHyphen/>
        <w:t>ная доводка.</w:t>
      </w:r>
    </w:p>
    <w:p w14:paraId="29057933"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Проводить доработку первого опыт</w:t>
      </w:r>
      <w:r w:rsidRPr="0044524F">
        <w:rPr>
          <w:rFonts w:ascii="Times New Roman" w:hAnsi="Times New Roman"/>
          <w:color w:val="000000" w:themeColor="text1"/>
          <w:sz w:val="16"/>
          <w:szCs w:val="16"/>
        </w:rPr>
        <w:softHyphen/>
        <w:t>ного самолета не было смысла, поскольку к этому времени стало ясно, что будет куплена лицензия на производство сов</w:t>
      </w:r>
      <w:r w:rsidRPr="0044524F">
        <w:rPr>
          <w:rFonts w:ascii="Times New Roman" w:hAnsi="Times New Roman"/>
          <w:color w:val="000000" w:themeColor="text1"/>
          <w:sz w:val="16"/>
          <w:szCs w:val="16"/>
        </w:rPr>
        <w:softHyphen/>
        <w:t>сем другого двигателя — Wright Cyclone. Именно под этот двигатель в те годы и стали строить все советские истребители. В августе 1933 г. началась постройка дуб</w:t>
      </w:r>
      <w:r w:rsidRPr="0044524F">
        <w:rPr>
          <w:rFonts w:ascii="Times New Roman" w:hAnsi="Times New Roman"/>
          <w:color w:val="000000" w:themeColor="text1"/>
          <w:sz w:val="16"/>
          <w:szCs w:val="16"/>
        </w:rPr>
        <w:softHyphen/>
        <w:t>лера (АНТ—31 бис, И —14 бис) под мотор Wright R—1820F—3 Cyclone (в документах он носил обозначение РЦФ—3). В конст</w:t>
      </w:r>
      <w:r w:rsidRPr="0044524F">
        <w:rPr>
          <w:rFonts w:ascii="Times New Roman" w:hAnsi="Times New Roman"/>
          <w:color w:val="000000" w:themeColor="text1"/>
          <w:sz w:val="16"/>
          <w:szCs w:val="16"/>
        </w:rPr>
        <w:softHyphen/>
        <w:t>рукцию самолета внесли целый ряд изме</w:t>
      </w:r>
      <w:r w:rsidRPr="0044524F">
        <w:rPr>
          <w:rFonts w:ascii="Times New Roman" w:hAnsi="Times New Roman"/>
          <w:color w:val="000000" w:themeColor="text1"/>
          <w:sz w:val="16"/>
          <w:szCs w:val="16"/>
        </w:rPr>
        <w:softHyphen/>
        <w:t>нений. Обшивку всего каркаса сделали гладкой с применением клепки впотай. Основные стойки шасси крепились к фюзеляжу, а убирались поворотом в сто</w:t>
      </w:r>
      <w:r w:rsidRPr="0044524F">
        <w:rPr>
          <w:rFonts w:ascii="Times New Roman" w:hAnsi="Times New Roman"/>
          <w:color w:val="000000" w:themeColor="text1"/>
          <w:sz w:val="16"/>
          <w:szCs w:val="16"/>
        </w:rPr>
        <w:softHyphen/>
        <w:t>рону консолей крыла. Закрывающийся фонарь кабины заменили более привыч</w:t>
      </w:r>
      <w:r w:rsidRPr="0044524F">
        <w:rPr>
          <w:rFonts w:ascii="Times New Roman" w:hAnsi="Times New Roman"/>
          <w:color w:val="000000" w:themeColor="text1"/>
          <w:sz w:val="16"/>
          <w:szCs w:val="16"/>
        </w:rPr>
        <w:softHyphen/>
        <w:t>ным для летчиков козырьком и заголов</w:t>
      </w:r>
      <w:r w:rsidRPr="0044524F">
        <w:rPr>
          <w:rFonts w:ascii="Times New Roman" w:hAnsi="Times New Roman"/>
          <w:color w:val="000000" w:themeColor="text1"/>
          <w:sz w:val="16"/>
          <w:szCs w:val="16"/>
        </w:rPr>
        <w:softHyphen/>
        <w:t>ником. Вооружение тоже изменилось: два пулемета П В— 1 и две пушки АПК— 11 (калибра 45 мм).</w:t>
      </w:r>
    </w:p>
    <w:p w14:paraId="52075252" w14:textId="77777777" w:rsidR="00045F60" w:rsidRPr="0044524F" w:rsidRDefault="00045F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мотора РЦФ—3 еще не бы</w:t>
      </w:r>
      <w:r w:rsidRPr="0044524F">
        <w:rPr>
          <w:rFonts w:ascii="Times New Roman" w:hAnsi="Times New Roman"/>
          <w:color w:val="000000" w:themeColor="text1"/>
          <w:sz w:val="16"/>
          <w:szCs w:val="16"/>
        </w:rPr>
        <w:softHyphen/>
        <w:t>ло, испытания решили провести с менее высотным двигателем РЦФ—2 (23474).</w:t>
      </w:r>
    </w:p>
    <w:p w14:paraId="7DEE07D9" w14:textId="77777777" w:rsidR="00045F60" w:rsidRPr="0044524F" w:rsidRDefault="00045F60" w:rsidP="009654CF">
      <w:pPr>
        <w:spacing w:after="0" w:line="240" w:lineRule="auto"/>
        <w:jc w:val="both"/>
        <w:rPr>
          <w:rFonts w:ascii="Times New Roman" w:hAnsi="Times New Roman"/>
          <w:color w:val="000000" w:themeColor="text1"/>
          <w:sz w:val="16"/>
          <w:szCs w:val="16"/>
        </w:rPr>
      </w:pPr>
    </w:p>
    <w:p w14:paraId="6A690BC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Пом. Нач. ГУАП Алмазов писал письмо Нач. ЦАГИ Харламову, Нач. ЦИАМ Побережскому и Дир. завода 39 Марголину:</w:t>
      </w:r>
    </w:p>
    <w:p w14:paraId="5AF6BFC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опытного самолето- и моторостроения, принятый комиссией РВС СССР под пред. Егорова, подлежит выполнению в 1933 не дожидаясь утверждения его РВС ССС, в соответствии с чем предлагаю произвести перестройку ваших работ." (2286).</w:t>
      </w:r>
    </w:p>
    <w:p w14:paraId="4727AB8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57ED28E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года врид начальника ГУГВФ Анвельт писал письмо № 11сс в СТО Базилевичу</w:t>
      </w:r>
    </w:p>
    <w:p w14:paraId="4046CFE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проекту постановления СТО об опытном дизелестроении имею следующие замечания:</w:t>
      </w:r>
    </w:p>
    <w:p w14:paraId="77A1B9C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1. – Постройка Н3 (Майер) не была в полной мере обеспечена производственной базой в системе ГУГВФ. Гольцман просил письмом от 11 августа 1932 года СТО вынести постановление об обеспечении постройки некоторых деталей дизеля в системе Наркомтяжмаша. По этому ходатайству, однако, не было принято решения. Детали изготовлялись а порядке договорных отношений, почему постройка дизеля и затянулась.</w:t>
      </w:r>
    </w:p>
    <w:p w14:paraId="1261461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4. – Дизель Н2 проектируется Мартенсом не работающим в ГУГВФ и строится Ленинградским дизельным институтом не находящимся в системе Аэрофлота; поэтому Гл. управление ГУГВФ не может принять на себя ответственности за сроки изготовления этого дизеля.</w:t>
      </w:r>
    </w:p>
    <w:p w14:paraId="38C998F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7. – Очевидно второй обзац должен быть сформулирован таким образом: «Вопрос о внедрении в производство опытных дизелей в системе Наркомтяжпрома должен разрешаться в каждом отдельном случае зам. НКТП Барановым».</w:t>
      </w:r>
    </w:p>
    <w:p w14:paraId="28FE5509"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8. – Концентрация проектирования и постройки опытных конструкций исключетельно в одном предприятии является неправильной. Так, на опыте постройки самолетов и бензиновых моторов мы убедились, что кроме ЦАГИ и ЦИАМа ряд организаций дал новые конструкции, являющимися большим достижением в авиатехнике (самолет из нержавеющей стали на электросварке ГУГВФ, транспортный самолет с убирающимися шасси Харьковского авиационного института, моторы завода № 29 и т.д.). Особенно вредно было бы собрать в одном институте всех конструкторов по дизелям, когда каждая конструкторская группа добивается разрешения проблемы дизеля своим особым методом. По крайней мере в данный момент создание единого Дизельного института является преждевременным и этот пункт необходимо из постановления исключить.</w:t>
      </w:r>
    </w:p>
    <w:p w14:paraId="4011062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10. – Вместо «ГУГВФ (Ангелов)» ………………. следует написать «ГУГВФ (Майер) ……………..».</w:t>
      </w:r>
    </w:p>
    <w:p w14:paraId="68269FE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12. – п 12 целесообразно изложить в следующей редакции: «Зам. НКТП Баранову не позднее ………………… представить в СТО план финансирования работ по дизелестроению в системе Наркомтяжпрома, а начальнику ГУГВФ Гольцману – в системе Аэрофлота» (4223, 31).</w:t>
      </w:r>
    </w:p>
    <w:p w14:paraId="2CD11332"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6BDA3A6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датирован чертеж планера-парителя С.П.К. тип 7 (105,77).</w:t>
      </w:r>
    </w:p>
    <w:p w14:paraId="2E0082E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64AB866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был завершен предварительный проект планера-парителя "тип-7" (см. Приложение 1). Планировалась установка мотора (АМЖ, ф. 5300, № 11) (10676).</w:t>
      </w:r>
    </w:p>
    <w:p w14:paraId="2350022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4F6E3DE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г. С.П.К. подготовил еще один проект СК-7. Майский вариант имел вполне конкретные "планерлетные" черты: предусматривалась установка маломощного мотора — 38 л.с., с толкающим винтом. Похожими январский и майский варианты делает двухбалочная схема, однако в майском варианте предлагаются два фюзеляжа, для которых хвостовые балки служат силовыми элементами. Конструктивные характеристики майского и январского вариантов существенно различались. С.П. Королев принял для майского варианта не только размах, но и удлинение крыла, как у "Коктебеля". Видимо, он хотел воспользоваться опробованной конструкцией крыла для нового варианта планера.</w:t>
      </w:r>
    </w:p>
    <w:p w14:paraId="534963D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Конструктивные данные планера "типа 7" (майский вариант):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070"/>
        <w:gridCol w:w="990"/>
        <w:gridCol w:w="2160"/>
        <w:gridCol w:w="990"/>
      </w:tblGrid>
      <w:tr w:rsidR="004E10C1" w:rsidRPr="0044524F" w14:paraId="4E748577" w14:textId="77777777">
        <w:tc>
          <w:tcPr>
            <w:tcW w:w="2070" w:type="dxa"/>
            <w:tcBorders>
              <w:top w:val="single" w:sz="12" w:space="0" w:color="auto"/>
              <w:bottom w:val="single" w:sz="12" w:space="0" w:color="auto"/>
            </w:tcBorders>
          </w:tcPr>
          <w:p w14:paraId="41880D4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Максимальное качество</w:t>
            </w:r>
          </w:p>
          <w:p w14:paraId="1B72B61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Скорость, м/с </w:t>
            </w:r>
          </w:p>
          <w:p w14:paraId="1AC03A8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снижения </w:t>
            </w:r>
          </w:p>
          <w:p w14:paraId="5B92A41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полета </w:t>
            </w:r>
          </w:p>
          <w:p w14:paraId="23ADC5A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w:t>
            </w:r>
          </w:p>
        </w:tc>
        <w:tc>
          <w:tcPr>
            <w:tcW w:w="990" w:type="dxa"/>
            <w:tcBorders>
              <w:top w:val="single" w:sz="12" w:space="0" w:color="auto"/>
              <w:bottom w:val="single" w:sz="12" w:space="0" w:color="auto"/>
            </w:tcBorders>
          </w:tcPr>
          <w:p w14:paraId="5C851D9E"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p w14:paraId="79CE10D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7168C4C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0,66 </w:t>
            </w:r>
          </w:p>
          <w:p w14:paraId="5B52A50B"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 </w:t>
            </w:r>
          </w:p>
          <w:p w14:paraId="0C92763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2160" w:type="dxa"/>
            <w:tcBorders>
              <w:top w:val="single" w:sz="12" w:space="0" w:color="auto"/>
              <w:bottom w:val="single" w:sz="12" w:space="0" w:color="auto"/>
            </w:tcBorders>
          </w:tcPr>
          <w:p w14:paraId="69CE8A1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Вес в полете, кг </w:t>
            </w:r>
          </w:p>
          <w:p w14:paraId="3394EB0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крыло, кг/м</w:t>
            </w:r>
            <w:r w:rsidRPr="0044524F">
              <w:rPr>
                <w:rFonts w:ascii="Times New Roman" w:hAnsi="Times New Roman"/>
                <w:color w:val="000000" w:themeColor="text1"/>
                <w:sz w:val="16"/>
                <w:szCs w:val="16"/>
                <w:vertAlign w:val="superscript"/>
              </w:rPr>
              <w:t>2</w:t>
            </w:r>
          </w:p>
          <w:p w14:paraId="73092E60"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Удлинение</w:t>
            </w:r>
          </w:p>
        </w:tc>
        <w:tc>
          <w:tcPr>
            <w:tcW w:w="990" w:type="dxa"/>
            <w:tcBorders>
              <w:top w:val="single" w:sz="12" w:space="0" w:color="auto"/>
              <w:bottom w:val="single" w:sz="12" w:space="0" w:color="auto"/>
            </w:tcBorders>
          </w:tcPr>
          <w:p w14:paraId="424519FA"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w:t>
            </w:r>
          </w:p>
          <w:p w14:paraId="7002647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26D4D823"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w:t>
            </w:r>
          </w:p>
        </w:tc>
      </w:tr>
    </w:tbl>
    <w:p w14:paraId="6730FC65"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Конструктивные данные планера "типа 7" с мотором "Черуб-IIIА":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710"/>
        <w:gridCol w:w="990"/>
      </w:tblGrid>
      <w:tr w:rsidR="00F26F01" w:rsidRPr="0044524F" w14:paraId="366503A7" w14:textId="77777777">
        <w:tc>
          <w:tcPr>
            <w:tcW w:w="1710" w:type="dxa"/>
            <w:tcBorders>
              <w:top w:val="single" w:sz="12" w:space="0" w:color="auto"/>
              <w:bottom w:val="single" w:sz="12" w:space="0" w:color="auto"/>
            </w:tcBorders>
          </w:tcPr>
          <w:p w14:paraId="5D4FAA8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Скорость, км/ч </w:t>
            </w:r>
          </w:p>
          <w:p w14:paraId="544EA05D"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полета </w:t>
            </w:r>
          </w:p>
          <w:p w14:paraId="676AF204"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посадки</w:t>
            </w:r>
            <w:r w:rsidRPr="0044524F">
              <w:rPr>
                <w:rFonts w:ascii="Times New Roman" w:hAnsi="Times New Roman"/>
                <w:color w:val="000000" w:themeColor="text1"/>
                <w:sz w:val="16"/>
                <w:szCs w:val="16"/>
              </w:rPr>
              <w:br/>
              <w:t>Потолок, м</w:t>
            </w:r>
          </w:p>
        </w:tc>
        <w:tc>
          <w:tcPr>
            <w:tcW w:w="990" w:type="dxa"/>
            <w:tcBorders>
              <w:top w:val="single" w:sz="12" w:space="0" w:color="auto"/>
              <w:bottom w:val="single" w:sz="12" w:space="0" w:color="auto"/>
            </w:tcBorders>
          </w:tcPr>
          <w:p w14:paraId="0CD3625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246F6F4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120 </w:t>
            </w:r>
          </w:p>
          <w:p w14:paraId="620BE26F"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50 </w:t>
            </w:r>
          </w:p>
          <w:p w14:paraId="7CFAA3A6"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(10676)</w:t>
            </w:r>
          </w:p>
        </w:tc>
      </w:tr>
    </w:tbl>
    <w:p w14:paraId="5C49EA51"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1AAF1EAA" w14:textId="77777777" w:rsidR="000B1B0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B380F30" w14:textId="77777777" w:rsidR="000B1B08" w:rsidRPr="0044524F" w:rsidRDefault="000B1B08" w:rsidP="009654CF">
      <w:pPr>
        <w:spacing w:after="0" w:line="240" w:lineRule="auto"/>
        <w:jc w:val="both"/>
        <w:rPr>
          <w:rFonts w:ascii="Times New Roman" w:hAnsi="Times New Roman"/>
          <w:iCs/>
          <w:color w:val="000000" w:themeColor="text1"/>
          <w:sz w:val="16"/>
          <w:szCs w:val="16"/>
        </w:rPr>
      </w:pPr>
    </w:p>
    <w:p w14:paraId="40AB7D74" w14:textId="77777777" w:rsidR="000B1B08" w:rsidRPr="0044524F" w:rsidRDefault="000B1B08" w:rsidP="009654CF">
      <w:pPr>
        <w:pStyle w:val="rtejustify"/>
        <w:spacing w:before="0" w:after="0"/>
        <w:rPr>
          <w:color w:val="000000" w:themeColor="text1"/>
          <w:sz w:val="16"/>
          <w:szCs w:val="16"/>
        </w:rPr>
      </w:pPr>
      <w:r w:rsidRPr="0044524F">
        <w:rPr>
          <w:rStyle w:val="af0"/>
          <w:bCs/>
          <w:i w:val="0"/>
          <w:color w:val="000000" w:themeColor="text1"/>
          <w:sz w:val="16"/>
          <w:szCs w:val="16"/>
        </w:rPr>
        <w:lastRenderedPageBreak/>
        <w:t>27 мая</w:t>
      </w:r>
      <w:r w:rsidRPr="0044524F">
        <w:rPr>
          <w:color w:val="000000" w:themeColor="text1"/>
          <w:sz w:val="16"/>
          <w:szCs w:val="16"/>
        </w:rPr>
        <w:t xml:space="preserve"> 1933. Постановление СТО СССР № 31сс/о «Об оплате Паттрубвзрывтресту продукции по взрывателям без капсюлей». (ГА РФ. Ф. Р</w:t>
      </w:r>
      <w:r w:rsidRPr="0044524F">
        <w:rPr>
          <w:color w:val="000000" w:themeColor="text1"/>
          <w:sz w:val="16"/>
          <w:szCs w:val="16"/>
        </w:rPr>
        <w:noBreakHyphen/>
        <w:t>8418. Оп. 28. Д. 1. Л. 142) (15460).</w:t>
      </w:r>
    </w:p>
    <w:p w14:paraId="0DF89CE4" w14:textId="77777777" w:rsidR="000B1B08" w:rsidRPr="0044524F" w:rsidRDefault="000B1B08" w:rsidP="009654CF">
      <w:pPr>
        <w:pStyle w:val="rtejustify"/>
        <w:spacing w:before="0" w:after="0"/>
        <w:rPr>
          <w:color w:val="000000" w:themeColor="text1"/>
          <w:sz w:val="16"/>
          <w:szCs w:val="16"/>
        </w:rPr>
      </w:pPr>
    </w:p>
    <w:p w14:paraId="15A790D3" w14:textId="77777777" w:rsidR="000B1B08" w:rsidRPr="0044524F" w:rsidRDefault="000B1B08" w:rsidP="009654CF">
      <w:pPr>
        <w:pStyle w:val="rtejustify"/>
        <w:spacing w:before="0" w:after="0"/>
        <w:rPr>
          <w:color w:val="000000" w:themeColor="text1"/>
          <w:sz w:val="16"/>
          <w:szCs w:val="16"/>
        </w:rPr>
      </w:pPr>
      <w:r w:rsidRPr="0044524F">
        <w:rPr>
          <w:rStyle w:val="af0"/>
          <w:bCs/>
          <w:i w:val="0"/>
          <w:color w:val="000000" w:themeColor="text1"/>
          <w:sz w:val="16"/>
          <w:szCs w:val="16"/>
        </w:rPr>
        <w:t>27 мая 1933</w:t>
      </w:r>
      <w:r w:rsidRPr="0044524F">
        <w:rPr>
          <w:color w:val="000000" w:themeColor="text1"/>
          <w:sz w:val="16"/>
          <w:szCs w:val="16"/>
        </w:rPr>
        <w:t xml:space="preserve">. </w:t>
      </w:r>
      <w:hyperlink r:id="rId172" w:history="1">
        <w:r w:rsidRPr="0044524F">
          <w:rPr>
            <w:rStyle w:val="a5"/>
            <w:color w:val="000000" w:themeColor="text1"/>
            <w:sz w:val="16"/>
            <w:szCs w:val="16"/>
          </w:rPr>
          <w:t>Постановление СТО СССР № ЗЗсс/о «По крупнокалиберным снарядам»</w:t>
        </w:r>
      </w:hyperlink>
      <w:r w:rsidRPr="0044524F">
        <w:rPr>
          <w:color w:val="000000" w:themeColor="text1"/>
          <w:sz w:val="16"/>
          <w:szCs w:val="16"/>
        </w:rPr>
        <w:t>. (ГА РФ. Ф. Р</w:t>
      </w:r>
      <w:r w:rsidRPr="0044524F">
        <w:rPr>
          <w:color w:val="000000" w:themeColor="text1"/>
          <w:sz w:val="16"/>
          <w:szCs w:val="16"/>
        </w:rPr>
        <w:noBreakHyphen/>
        <w:t>8418. Оп. 28. Д. 1. Л. 150</w:t>
      </w:r>
      <w:r w:rsidRPr="0044524F">
        <w:rPr>
          <w:color w:val="000000" w:themeColor="text1"/>
          <w:sz w:val="16"/>
          <w:szCs w:val="16"/>
        </w:rPr>
        <w:noBreakHyphen/>
        <w:t>154) (15460).</w:t>
      </w:r>
    </w:p>
    <w:p w14:paraId="586BB8C1" w14:textId="77777777" w:rsidR="000B1B08" w:rsidRPr="0044524F" w:rsidRDefault="000B1B08" w:rsidP="009654CF">
      <w:pPr>
        <w:pStyle w:val="rtejustify"/>
        <w:spacing w:before="0" w:after="0"/>
        <w:rPr>
          <w:color w:val="000000" w:themeColor="text1"/>
          <w:sz w:val="16"/>
          <w:szCs w:val="16"/>
        </w:rPr>
      </w:pPr>
    </w:p>
    <w:p w14:paraId="379BB69B" w14:textId="77777777" w:rsidR="000B1B08" w:rsidRPr="0044524F" w:rsidRDefault="000B1B08"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27 мая 1933 г. </w:t>
      </w:r>
      <w:r w:rsidRPr="0044524F">
        <w:rPr>
          <w:rFonts w:ascii="Times New Roman" w:hAnsi="Times New Roman"/>
          <w:color w:val="000000" w:themeColor="text1"/>
          <w:sz w:val="16"/>
          <w:szCs w:val="16"/>
        </w:rPr>
        <w:t>Постановление СТО СССР № ЗЗсс/о «По крупнокалиберным снарядам»</w:t>
      </w:r>
    </w:p>
    <w:p w14:paraId="6BB920C3" w14:textId="77777777" w:rsidR="000B1B08" w:rsidRPr="0044524F" w:rsidRDefault="000B1B08"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382ACB7B"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1. Отметить, что после выполнения промышленностью полностью программы 1933 г. по крупнокалиберным снарядам тяжелая крупнокалиберная артиллерия будет обеспечена положенными в запасах НКВМ выстрелами на первый период войны:</w:t>
      </w:r>
    </w:p>
    <w:p w14:paraId="5CCD0439"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а) новая сухопутная на 16% и старых образцов 280</w:t>
      </w:r>
      <w:r w:rsidRPr="0044524F">
        <w:rPr>
          <w:color w:val="000000" w:themeColor="text1"/>
          <w:sz w:val="16"/>
          <w:szCs w:val="16"/>
        </w:rPr>
        <w:noBreakHyphen/>
        <w:t>мм на 191% и 305</w:t>
      </w:r>
      <w:r w:rsidRPr="0044524F">
        <w:rPr>
          <w:color w:val="000000" w:themeColor="text1"/>
          <w:sz w:val="16"/>
          <w:szCs w:val="16"/>
        </w:rPr>
        <w:noBreakHyphen/>
        <w:t>мм на 88%;</w:t>
      </w:r>
    </w:p>
    <w:p w14:paraId="4027F70B"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б) новая морская 180</w:t>
      </w:r>
      <w:r w:rsidRPr="0044524F">
        <w:rPr>
          <w:color w:val="000000" w:themeColor="text1"/>
          <w:sz w:val="16"/>
          <w:szCs w:val="16"/>
        </w:rPr>
        <w:noBreakHyphen/>
        <w:t>мм на 40%, 305</w:t>
      </w:r>
      <w:r w:rsidRPr="0044524F">
        <w:rPr>
          <w:color w:val="000000" w:themeColor="text1"/>
          <w:sz w:val="16"/>
          <w:szCs w:val="16"/>
        </w:rPr>
        <w:noBreakHyphen/>
        <w:t>мм 40 кал. — на 51%, 356</w:t>
      </w:r>
      <w:r w:rsidRPr="0044524F">
        <w:rPr>
          <w:color w:val="000000" w:themeColor="text1"/>
          <w:sz w:val="16"/>
          <w:szCs w:val="16"/>
        </w:rPr>
        <w:noBreakHyphen/>
        <w:t>мм на 58% и старых образцов — 203</w:t>
      </w:r>
      <w:r w:rsidRPr="0044524F">
        <w:rPr>
          <w:color w:val="000000" w:themeColor="text1"/>
          <w:sz w:val="16"/>
          <w:szCs w:val="16"/>
        </w:rPr>
        <w:noBreakHyphen/>
        <w:t>мм на 121%, 254</w:t>
      </w:r>
      <w:r w:rsidRPr="0044524F">
        <w:rPr>
          <w:color w:val="000000" w:themeColor="text1"/>
          <w:sz w:val="16"/>
          <w:szCs w:val="16"/>
        </w:rPr>
        <w:noBreakHyphen/>
        <w:t>мм на 100%, 305</w:t>
      </w:r>
      <w:r w:rsidRPr="0044524F">
        <w:rPr>
          <w:color w:val="000000" w:themeColor="text1"/>
          <w:sz w:val="16"/>
          <w:szCs w:val="16"/>
        </w:rPr>
        <w:noBreakHyphen/>
        <w:t>мм в 52 кал. на 127%. Кроме того, в запасах НКВМ будут храниться не скомплектованными в выстрелах: а) снаряженных снарядов для сухопутной артиллерии крупных калибров 17 460 шт. и для морской артиллерии крупных калибров 3874 шт.; б) неснаряженных корпусов для сухопутной артиллерии тяжелых калибров 11 500 шт. и для морской артиллерии крупных калибров — 9082 шт.</w:t>
      </w:r>
    </w:p>
    <w:p w14:paraId="583D2FE5"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2. Констатировать, что НКТП базирует производство крупнокалиберных снарядов на заводах «Большевик», МЗМ, «Красное Сормово», «Красный Профинтерн» и Верхне-Туринском и по номинальным мощностям этих заводов наметил удовлетворение крупнокалиберными выстрелами заявки НКВМ по МВ</w:t>
      </w:r>
      <w:r w:rsidRPr="0044524F">
        <w:rPr>
          <w:color w:val="000000" w:themeColor="text1"/>
          <w:sz w:val="16"/>
          <w:szCs w:val="16"/>
        </w:rPr>
        <w:noBreakHyphen/>
        <w:t>10: а) для новой сухопутной артиллерии тяжелых калибров на 13% и для старых образцов артиллерии тяжелых калибров на 23%; б) для новой морской артиллерии тяжелых калибров 180</w:t>
      </w:r>
      <w:r w:rsidRPr="0044524F">
        <w:rPr>
          <w:color w:val="000000" w:themeColor="text1"/>
          <w:sz w:val="16"/>
          <w:szCs w:val="16"/>
        </w:rPr>
        <w:noBreakHyphen/>
        <w:t>мм на 77%, 305 мм 40 кал. на 0%, 356</w:t>
      </w:r>
      <w:r w:rsidRPr="0044524F">
        <w:rPr>
          <w:color w:val="000000" w:themeColor="text1"/>
          <w:sz w:val="16"/>
          <w:szCs w:val="16"/>
        </w:rPr>
        <w:noBreakHyphen/>
        <w:t>мм на 0% и для старых образцов артиллерии тяжелых калибров 305</w:t>
      </w:r>
      <w:r w:rsidRPr="0044524F">
        <w:rPr>
          <w:color w:val="000000" w:themeColor="text1"/>
          <w:sz w:val="16"/>
          <w:szCs w:val="16"/>
        </w:rPr>
        <w:noBreakHyphen/>
        <w:t>мм 52 кал. на 22%, без подачи дальнобойных и осколочных выстрелов.</w:t>
      </w:r>
    </w:p>
    <w:p w14:paraId="3E63484C"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3. Отметить, что намеченная НКТП подача крупнокалиберных выстрелов совершенно не удовлетворяет заявки НКВМ по МВ</w:t>
      </w:r>
      <w:r w:rsidRPr="0044524F">
        <w:rPr>
          <w:color w:val="000000" w:themeColor="text1"/>
          <w:sz w:val="16"/>
          <w:szCs w:val="16"/>
        </w:rPr>
        <w:noBreakHyphen/>
        <w:t>10 и что даже и она является нереальной, т. к.: а) вследствие потери старых производственных навыков производство крупнокалиберных снарядов и, особенно, бронебойных не только по новым техническим условиям, но и по техническим условиям дореволюционного периода 1911 г., значительно облегченным, не освоено; б) не созданы необходимая металлургическая база и условия для получения высококачественной стали для производства крупнокалиберных снарядов; в) заводы не обеспечены соответствующей квалификации инженерно-техническим персоналом и рабочими; г) недостает необходимого оборудования для валового производства; д) текущие программы и, особенно, по снарядам, требующим при испытаниях пробития плиты, не выполняются; е) созданное в начале 1933 г. бюро при ВОАО для восстановления и организации производства крупнокалиберных снарядов хотя и развернуло работы в этом направлении, но реальных результатов еще не достигнуто.</w:t>
      </w:r>
    </w:p>
    <w:p w14:paraId="01D958DD"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Совет труда и обороны постановляет:</w:t>
      </w:r>
    </w:p>
    <w:p w14:paraId="0A32D42E"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1. Обязать НКВМ тт. Тухачевского и Орлова использовать годные, хранящиеся в запасах, снаряженные корпуса для комплектации их в выстрелы — срок 1 октября 1933 г.</w:t>
      </w:r>
    </w:p>
    <w:p w14:paraId="5B029D89"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2. Обязать НКТП т. Павлуновского и НКВМ тт. Тухачевского и Орлова в соответствии с п. 1 — “а” и “б” произвести тщательную разбраковку нескомплектованных снарядов и годные для использования снарядить и скомплектовать. О сроках выполнения этой работы НКВМ договориться с НКТП и доложить в СТО.</w:t>
      </w:r>
    </w:p>
    <w:p w14:paraId="0E6283C7"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3. Учитывая состояние производства крупнокалиберных снарядов и предъявляемые НКВМ технические условия для изготовления их, по которым заводы до сих пор не могут освоить производство, допустить как временную меру освоение валового производства по переходным техническим условиям от старых к современным.</w:t>
      </w:r>
    </w:p>
    <w:p w14:paraId="74662CE0"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В соответствии с этим обязать НКВМ тт. Тухачевского и Орлова разработать временные переходные технические условия и передать их промышленности к 5 июня 1933 г.</w:t>
      </w:r>
    </w:p>
    <w:p w14:paraId="0ED48770"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4. Обязать НКТП т. Павлуновского: а) в течение 1933 г. добиться валового производства крупнокалиберных снарядов по переходным техническим условиям с тем, чтобы с 1 марта 1934 г. перейти на валовое производство по основным техническим условиям; б) в течение третьего квартала 1933 г. обеспечить валовое производство крупнокалиберных снарядов необходимым оборудованием и создать условия для получения высококачественной стали, для чего снабжать металлургию завода «Большевик» и МЗМ отборными чистыми чугуном, болванками и чистыми по сере и фосфору ферросплавами и высококачественными огнеупорными материалами; в) разрешить вопрос с обеспечением Челябинского снарядного завода оборудованием, электро- и теплоснабжением и металлургической базой — срок 1 июля 1933 г.; г) закончить строительство первой очереди Челябинского снарядного завода на 15% мощности к 1 апреля 1934 г.</w:t>
      </w:r>
    </w:p>
    <w:p w14:paraId="0A5C831F"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5. НКТруда т. Цихону и НКТП т. Орджоникидзе перебросить на производство крупнокалиберных снарядов ранее работавших на нем инженеров-специалистов и квалифицированных рабочих.</w:t>
      </w:r>
    </w:p>
    <w:p w14:paraId="1A1EEEEA"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6. Для концентрации всех технических сил и единого руководства всем снарядным производством на заводах военной и гражданской промышленности реорганизовать Снарядный трест в Главное управление снарядных производств с возложением на него, кроме руководства подчиненными ему заводами: а) непосредственного руководства по установлению всего технологического процесса и рационализацией снарядного производства; б) непосредственного технико-организационного контроля за снарядным производством; в) обеспечение снарядных производств инженерно-техническим персоналом и квалифицированной рабочей силой; г) руководство всеми научно-исследовательскими и опытными работами.</w:t>
      </w:r>
    </w:p>
    <w:p w14:paraId="2FC058C2"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7. В соответствии с п. 6 создать в Научно-исследовательском снарядном институте¹* мощную научно-техническую базу для разработки вопросов усовершенствования конструкции и техники производства всех калибров и типов снарядов и возложить на НИСИ руководство отдельными научно-исследовательскими группами, работающими в различных учреждениях по снарядному производству, которое будет признано необходимым сохранить.</w:t>
      </w:r>
    </w:p>
    <w:p w14:paraId="0119C47A"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8. Снарядное бюро ВОАО передать в Главное управление снарядных производств, но до окончания периода настройки валового производства бронебойных и морских фугасных снарядов не вливать в состав НИСИ и сохранить за ним права, предоставленные приказом НКТП и НКВМ от 27 февраля и 2 марта 1933 г. за №№ 15 и 19с.</w:t>
      </w:r>
    </w:p>
    <w:p w14:paraId="5493200F"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9. НКТП т. Орджоникидзе установить денежные премии специалистам, привлеченным для восстановления потерянных навыков по производству крупнокалиберных снарядов, за быстрое налаживание валового производства как по старым, так и по новым техническим условиям. Кроме того, установить для них и для инженерно-технического персонала и мастеров заводов денежные вознаграждения за выполнение в срок валовых заказов по текущим программам в общей сумме, не превышающей для всех 2% стоимости выданного валового заказа²*.</w:t>
      </w:r>
    </w:p>
    <w:p w14:paraId="2B41D1F1" w14:textId="77777777" w:rsidR="000B1B08" w:rsidRPr="0044524F" w:rsidRDefault="000B1B08" w:rsidP="009654CF">
      <w:pPr>
        <w:pStyle w:val="ae"/>
        <w:spacing w:before="0" w:after="0"/>
        <w:jc w:val="both"/>
        <w:rPr>
          <w:color w:val="000000" w:themeColor="text1"/>
          <w:sz w:val="16"/>
          <w:szCs w:val="16"/>
        </w:rPr>
      </w:pPr>
      <w:r w:rsidRPr="0044524F">
        <w:rPr>
          <w:rStyle w:val="af0"/>
          <w:i w:val="0"/>
          <w:color w:val="000000" w:themeColor="text1"/>
          <w:sz w:val="16"/>
          <w:szCs w:val="16"/>
        </w:rPr>
        <w:t>Председатель Совета труда и обороны В. Молотов/Скрябин</w:t>
      </w:r>
    </w:p>
    <w:p w14:paraId="171FDE79" w14:textId="77777777" w:rsidR="000B1B08" w:rsidRPr="0044524F" w:rsidRDefault="000B1B08" w:rsidP="009654CF">
      <w:pPr>
        <w:pStyle w:val="ae"/>
        <w:spacing w:before="0" w:after="0"/>
        <w:jc w:val="both"/>
        <w:rPr>
          <w:color w:val="000000" w:themeColor="text1"/>
          <w:sz w:val="16"/>
          <w:szCs w:val="16"/>
        </w:rPr>
      </w:pPr>
      <w:r w:rsidRPr="0044524F">
        <w:rPr>
          <w:rStyle w:val="af0"/>
          <w:i w:val="0"/>
          <w:color w:val="000000" w:themeColor="text1"/>
          <w:sz w:val="16"/>
          <w:szCs w:val="16"/>
        </w:rPr>
        <w:t>За секретаря Совета труда и обороны Базилевич</w:t>
      </w:r>
    </w:p>
    <w:p w14:paraId="3CA68C38" w14:textId="77777777" w:rsidR="000B1B08" w:rsidRPr="0044524F" w:rsidRDefault="000B1B08"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5C5E0607"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Научно-исследовательский снарядный институт (НИСИ)</w:t>
      </w:r>
      <w:r w:rsidRPr="0044524F">
        <w:rPr>
          <w:color w:val="000000" w:themeColor="text1"/>
          <w:sz w:val="16"/>
          <w:szCs w:val="16"/>
        </w:rPr>
        <w:t xml:space="preserve"> был создан в ноябре 1932 г. на базе завода № 75 и занимался разработкой и проектированием артиллерийских снарядов. Организация работы по созданию НИСИ была поручена М. Е. Максимову, который стал первым его директором. Перед вновь созданным институтом были поставлены задачи: в кратчайшие сроки разработать и снабдить новые и модернизированные артиллерийские системы современными боеприпасами. Предусматривалось, прежде всего, увеличение мощности снарядов за счет улучшения конструктивных характеристик, применения новых, более прочных материалов для корпусов, изменения технологии снаряжения взрывчатыми веществами, разработки новых прогрессивных технологий производства снарядов, применения новых менее дефицитных материалов. Были организованы следующие подразделения института: 1. Специальное бюро для конструирования снарядов по заданным тактико-техническим требованиям и под контролем ГАУ РККА. 2. Технологическое бюро, основной задачей которого было совершенствование технологии изготовления штампованных и литых снарядов. 3. Подразделение по обмену опытом между заводами, выпускающими снаряды. 4. Бюро информации о достижениях науки и техники в области создания и производства боеприпасов в СССР и за рубежом. С 7 по 11 сентября 1933 г., НИСИ организовал и провел Всесоюзную снарядную конференцию, где особое внимание уделялось вопросам создания менее трудоемких, дешевых методов изготовления снарядов без ущерба для качества и эффективности разрабатываемых образцов. После включения в состав НИСИ в 1934 г. ОКБ</w:t>
      </w:r>
      <w:r w:rsidRPr="0044524F">
        <w:rPr>
          <w:color w:val="000000" w:themeColor="text1"/>
          <w:sz w:val="16"/>
          <w:szCs w:val="16"/>
        </w:rPr>
        <w:noBreakHyphen/>
        <w:t>3 РККА (проектирование боеприпасов) и организации отдела «Станкокалибр» (производство оборудования, оснастки и специального инструмента для производства снарядов) была создана возможность комплексного решения вопросов создания и производства боеприпасов.</w:t>
      </w:r>
    </w:p>
    <w:p w14:paraId="1E1A118A"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 xml:space="preserve">²* 26 мая 1933 г. член коллегии НК РКИ СССР и начальник Военно-морской инспекции Н. В. Куйбышев представил в СТО СССР докладную записку </w:t>
      </w:r>
      <w:r w:rsidRPr="0044524F">
        <w:rPr>
          <w:rStyle w:val="af0"/>
          <w:bCs/>
          <w:i w:val="0"/>
          <w:color w:val="000000" w:themeColor="text1"/>
          <w:sz w:val="16"/>
          <w:szCs w:val="16"/>
        </w:rPr>
        <w:t>о производстве крупнокалиберных снарядов</w:t>
      </w:r>
      <w:r w:rsidRPr="0044524F">
        <w:rPr>
          <w:color w:val="000000" w:themeColor="text1"/>
          <w:sz w:val="16"/>
          <w:szCs w:val="16"/>
        </w:rPr>
        <w:t>. В ней говорилось, что в 1933 г. к техническим условиям для производства крупнокалиберных снарядов предъявлены повышенные требования, но оборудование осталось старым и изношенным. За исключением завода «Большевик» на всех остальных заводах вовсе не было специалистов, металлургов по производству сталей для снарядных корпусов. Кадры старых рабочих потеряны. В результате заводы не получили требуемую для крупнокалиберных снарядов высококачественную сталь. В январе 1933 г. было создано бюро при ВОАО для восстановления потерянных навыков по производству крупнокалиберных снарядов. Бюро развернуло работы и разработало инструкции по всем стадиям металлургии производства крупнокалиберных снарядов, поставило исследовательскую работу по технике производства, но имело слабую связь с заводами. Н. В. Куйбышев констатировал, что на начало 1933 г. производство крупнокалиберных снарядов по новым техническим условиям не освоено и не обеспечено в потребном количестве оборудованием для валового производства и соответствующей металлургической базой. Чтобы избежать полного срыва обеспечения крупнокалиберной артиллерии выстрелами он предлагал разработать переходные технические условия от старых норм к новым, ускорить строительство Челябинского снарядного завода, как основной базы по крупнокалиберным снарядам, ускорить освоение капитальных вложений в размере 40 млн. руб., разместить 1100 станков и обеспечить производство металлом в 35 тыс. т. (ГАРФ. Ф. Р</w:t>
      </w:r>
      <w:r w:rsidRPr="0044524F">
        <w:rPr>
          <w:color w:val="000000" w:themeColor="text1"/>
          <w:sz w:val="16"/>
          <w:szCs w:val="16"/>
        </w:rPr>
        <w:noBreakHyphen/>
        <w:t>8418. Оп. 28. Д. 1. Л. 155</w:t>
      </w:r>
      <w:r w:rsidRPr="0044524F">
        <w:rPr>
          <w:color w:val="000000" w:themeColor="text1"/>
          <w:sz w:val="16"/>
          <w:szCs w:val="16"/>
        </w:rPr>
        <w:noBreakHyphen/>
        <w:t>158).</w:t>
      </w:r>
    </w:p>
    <w:p w14:paraId="691F8A30" w14:textId="77777777" w:rsidR="000B1B08" w:rsidRPr="0044524F" w:rsidRDefault="000B1B08" w:rsidP="009654CF">
      <w:pPr>
        <w:pStyle w:val="ae"/>
        <w:spacing w:before="0" w:after="0"/>
        <w:jc w:val="both"/>
        <w:rPr>
          <w:color w:val="000000" w:themeColor="text1"/>
          <w:sz w:val="16"/>
          <w:szCs w:val="16"/>
        </w:rPr>
      </w:pPr>
      <w:r w:rsidRPr="0044524F">
        <w:rPr>
          <w:color w:val="000000" w:themeColor="text1"/>
          <w:sz w:val="16"/>
          <w:szCs w:val="16"/>
        </w:rPr>
        <w:t>ГА РФ. Ф. Р-8418. Оп. 28. Д. 1. Л. 150-154. Подлинник (15270).</w:t>
      </w:r>
    </w:p>
    <w:p w14:paraId="7A052FF9" w14:textId="77777777" w:rsidR="000B1B08" w:rsidRPr="0044524F" w:rsidRDefault="000B1B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40E49CF" w14:textId="77777777" w:rsidR="008524B2"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233268D6"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FEC9D07" w14:textId="6CD20FBB" w:rsidR="000B1B08" w:rsidRPr="0044524F" w:rsidRDefault="000B1B08" w:rsidP="009654CF">
      <w:pPr>
        <w:pStyle w:val="rtejustify"/>
        <w:spacing w:before="0" w:after="0"/>
        <w:rPr>
          <w:color w:val="000000" w:themeColor="text1"/>
          <w:sz w:val="16"/>
          <w:szCs w:val="16"/>
        </w:rPr>
      </w:pPr>
      <w:r w:rsidRPr="0044524F">
        <w:rPr>
          <w:rStyle w:val="af0"/>
          <w:bCs/>
          <w:i w:val="0"/>
          <w:color w:val="000000" w:themeColor="text1"/>
          <w:sz w:val="16"/>
          <w:szCs w:val="16"/>
        </w:rPr>
        <w:t>27 мая</w:t>
      </w:r>
      <w:r w:rsidRPr="0044524F">
        <w:rPr>
          <w:color w:val="000000" w:themeColor="text1"/>
          <w:sz w:val="16"/>
          <w:szCs w:val="16"/>
        </w:rPr>
        <w:t xml:space="preserve"> 1933. Постановление СТО</w:t>
      </w:r>
      <w:r w:rsidR="0088747B">
        <w:rPr>
          <w:color w:val="000000" w:themeColor="text1"/>
          <w:sz w:val="16"/>
          <w:szCs w:val="16"/>
        </w:rPr>
        <w:t xml:space="preserve"> </w:t>
      </w:r>
      <w:r w:rsidRPr="0044524F">
        <w:rPr>
          <w:color w:val="000000" w:themeColor="text1"/>
          <w:sz w:val="16"/>
          <w:szCs w:val="16"/>
        </w:rPr>
        <w:t>СССР № 32сс/о «О мероприятиях первой очереди по усилению ОКДВА». (ГА РФ. Ф. Р</w:t>
      </w:r>
      <w:r w:rsidRPr="0044524F">
        <w:rPr>
          <w:color w:val="000000" w:themeColor="text1"/>
          <w:sz w:val="16"/>
          <w:szCs w:val="16"/>
        </w:rPr>
        <w:noBreakHyphen/>
        <w:t>8418. Оп. 28. Д. 1. Л. 143</w:t>
      </w:r>
      <w:r w:rsidRPr="0044524F">
        <w:rPr>
          <w:color w:val="000000" w:themeColor="text1"/>
          <w:sz w:val="16"/>
          <w:szCs w:val="16"/>
        </w:rPr>
        <w:noBreakHyphen/>
        <w:t>149) (15460).</w:t>
      </w:r>
    </w:p>
    <w:p w14:paraId="1350F3BB" w14:textId="77777777" w:rsidR="000B1B08" w:rsidRPr="0044524F" w:rsidRDefault="000B1B08" w:rsidP="009654CF">
      <w:pPr>
        <w:pStyle w:val="rtejustify"/>
        <w:spacing w:before="0" w:after="0"/>
        <w:rPr>
          <w:color w:val="000000" w:themeColor="text1"/>
          <w:sz w:val="16"/>
          <w:szCs w:val="16"/>
        </w:rPr>
      </w:pPr>
    </w:p>
    <w:p w14:paraId="23A30CC6" w14:textId="77777777" w:rsidR="000B1B08" w:rsidRPr="0044524F" w:rsidRDefault="000B1B08" w:rsidP="009654CF">
      <w:pPr>
        <w:pStyle w:val="rtejustify"/>
        <w:spacing w:before="0" w:after="0"/>
        <w:rPr>
          <w:color w:val="000000" w:themeColor="text1"/>
          <w:sz w:val="16"/>
          <w:szCs w:val="16"/>
        </w:rPr>
      </w:pPr>
      <w:r w:rsidRPr="0044524F">
        <w:rPr>
          <w:rStyle w:val="af0"/>
          <w:bCs/>
          <w:i w:val="0"/>
          <w:color w:val="000000" w:themeColor="text1"/>
          <w:sz w:val="16"/>
          <w:szCs w:val="16"/>
        </w:rPr>
        <w:t>27 мая</w:t>
      </w:r>
      <w:r w:rsidRPr="0044524F">
        <w:rPr>
          <w:color w:val="000000" w:themeColor="text1"/>
          <w:sz w:val="16"/>
          <w:szCs w:val="16"/>
        </w:rPr>
        <w:t xml:space="preserve"> 1933. Постановление СТО СССР № 34сс/о «О состоянии и развитии берегового оборонительного строительства Черного, Балтийского морей и Севера». (ГА РФ. Ф. Р</w:t>
      </w:r>
      <w:r w:rsidRPr="0044524F">
        <w:rPr>
          <w:color w:val="000000" w:themeColor="text1"/>
          <w:sz w:val="16"/>
          <w:szCs w:val="16"/>
        </w:rPr>
        <w:noBreakHyphen/>
        <w:t>8418. Оп. 28. Д. 1. Л. 160</w:t>
      </w:r>
      <w:r w:rsidRPr="0044524F">
        <w:rPr>
          <w:color w:val="000000" w:themeColor="text1"/>
          <w:sz w:val="16"/>
          <w:szCs w:val="16"/>
        </w:rPr>
        <w:noBreakHyphen/>
        <w:t>164) (15460).</w:t>
      </w:r>
    </w:p>
    <w:p w14:paraId="412DD87A" w14:textId="77777777" w:rsidR="000B1B08" w:rsidRPr="0044524F" w:rsidRDefault="000B1B08" w:rsidP="009654CF">
      <w:pPr>
        <w:pStyle w:val="rtejustify"/>
        <w:spacing w:before="0" w:after="0"/>
        <w:rPr>
          <w:color w:val="000000" w:themeColor="text1"/>
          <w:sz w:val="16"/>
          <w:szCs w:val="16"/>
        </w:rPr>
      </w:pPr>
    </w:p>
    <w:p w14:paraId="16D6A447"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в связи с агрессией Японии в Китае СНК СССР принял решение об увеличении численности войск на ДВ: развертывании строительства дорог, укреплений, аэродромов (3908,340).</w:t>
      </w:r>
    </w:p>
    <w:p w14:paraId="4368F71C" w14:textId="77777777" w:rsidR="008524B2" w:rsidRPr="0044524F" w:rsidRDefault="008524B2" w:rsidP="009654CF">
      <w:pPr>
        <w:autoSpaceDE w:val="0"/>
        <w:autoSpaceDN w:val="0"/>
        <w:adjustRightInd w:val="0"/>
        <w:spacing w:after="0" w:line="240" w:lineRule="auto"/>
        <w:jc w:val="both"/>
        <w:rPr>
          <w:rFonts w:ascii="Times New Roman" w:hAnsi="Times New Roman"/>
          <w:color w:val="000000" w:themeColor="text1"/>
          <w:sz w:val="16"/>
          <w:szCs w:val="16"/>
        </w:rPr>
      </w:pPr>
    </w:p>
    <w:p w14:paraId="2CDCB34E" w14:textId="77777777" w:rsidR="008524B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9D791C7" w14:textId="77777777" w:rsidR="008524B2" w:rsidRPr="0044524F" w:rsidRDefault="008524B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E003BFC" w14:textId="77777777" w:rsidR="000B1B08" w:rsidRPr="0044524F" w:rsidRDefault="000B1B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27 мая</w:t>
      </w:r>
      <w:r w:rsidRPr="0044524F">
        <w:rPr>
          <w:rFonts w:ascii="Times New Roman" w:hAnsi="Times New Roman"/>
          <w:color w:val="000000" w:themeColor="text1"/>
          <w:sz w:val="16"/>
          <w:szCs w:val="16"/>
        </w:rPr>
        <w:t xml:space="preserve"> в 1933 году закончена поставка американских палубных истребителей </w:t>
      </w:r>
      <w:hyperlink r:id="rId173" w:tgtFrame="_blank" w:history="1">
        <w:r w:rsidRPr="0044524F">
          <w:rPr>
            <w:rFonts w:ascii="Times New Roman" w:hAnsi="Times New Roman"/>
            <w:color w:val="000000" w:themeColor="text1"/>
            <w:sz w:val="16"/>
            <w:szCs w:val="16"/>
          </w:rPr>
          <w:t xml:space="preserve">«F11C» «Goshawk», </w:t>
        </w:r>
      </w:hyperlink>
      <w:r w:rsidRPr="0044524F">
        <w:rPr>
          <w:rFonts w:ascii="Times New Roman" w:hAnsi="Times New Roman"/>
          <w:color w:val="000000" w:themeColor="text1"/>
          <w:sz w:val="16"/>
          <w:szCs w:val="16"/>
        </w:rPr>
        <w:t>а первым подразделением, получившим эти самолеты, стала истребительная эскадра VF-1B, базировавшаяся на авианосце "Саратога". Кроме этого, небольшое количество «F11C-2» поступило на "Энтерпрайз" (14904).</w:t>
      </w:r>
    </w:p>
    <w:p w14:paraId="7A0A1154" w14:textId="77777777" w:rsidR="000B1B08" w:rsidRPr="0044524F" w:rsidRDefault="000B1B08" w:rsidP="009654CF">
      <w:pPr>
        <w:spacing w:after="0" w:line="240" w:lineRule="auto"/>
        <w:jc w:val="both"/>
        <w:rPr>
          <w:rFonts w:ascii="Times New Roman" w:hAnsi="Times New Roman"/>
          <w:color w:val="000000" w:themeColor="text1"/>
          <w:sz w:val="16"/>
          <w:szCs w:val="16"/>
        </w:rPr>
      </w:pPr>
    </w:p>
    <w:p w14:paraId="6F47BB19" w14:textId="77777777" w:rsidR="000B1B08" w:rsidRPr="0044524F" w:rsidRDefault="000B1B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27 мая</w:t>
      </w:r>
      <w:r w:rsidRPr="0044524F">
        <w:rPr>
          <w:rFonts w:ascii="Times New Roman" w:hAnsi="Times New Roman"/>
          <w:color w:val="000000" w:themeColor="text1"/>
          <w:sz w:val="16"/>
          <w:szCs w:val="16"/>
        </w:rPr>
        <w:t xml:space="preserve"> в 1933 году в Стэг Лэйне совершил первый полет прототип </w:t>
      </w:r>
      <w:hyperlink r:id="rId174" w:tgtFrame="_blank" w:history="1">
        <w:r w:rsidRPr="0044524F">
          <w:rPr>
            <w:rFonts w:ascii="Times New Roman" w:hAnsi="Times New Roman"/>
            <w:color w:val="000000" w:themeColor="text1"/>
            <w:sz w:val="16"/>
            <w:szCs w:val="16"/>
          </w:rPr>
          <w:t xml:space="preserve">«de Havilland» «D.H.85» «Leopard Moth», </w:t>
        </w:r>
      </w:hyperlink>
      <w:r w:rsidRPr="0044524F">
        <w:rPr>
          <w:rFonts w:ascii="Times New Roman" w:hAnsi="Times New Roman"/>
          <w:color w:val="000000" w:themeColor="text1"/>
          <w:sz w:val="16"/>
          <w:szCs w:val="16"/>
        </w:rPr>
        <w:t>а cпустя всего две недели выиграл гонку на Королевский кубок в Хэтфилде; еще два самолета «D.H.85» финишировали третьим и шестым. Самолет «de Havilland» «D.H.85» «Leopard Moth» имел фюзеляж коробчатой конструкции из ели и клееной фанеры, которая стала стандартной на самолетах компании de Havilland. В фюзеляже размещались пилот и два пассажира, которые располагались бок о бок в задней части кабины. Использовались новые трапециевидные складывающиеся крылья со стреловидными передними кромками. Верхнее крепление амортизаторов основных стоек шасси было перенесено в другое место. В результате трехлетнего серийного производства сначала в Стэг Лэйне, а затем в Хэтфилде было выпущено 132 машины (14904).</w:t>
      </w:r>
    </w:p>
    <w:p w14:paraId="2DE1AA64" w14:textId="77777777" w:rsidR="000B1B08" w:rsidRPr="0044524F" w:rsidRDefault="000B1B08" w:rsidP="009654CF">
      <w:pPr>
        <w:spacing w:after="0" w:line="240" w:lineRule="auto"/>
        <w:jc w:val="both"/>
        <w:rPr>
          <w:rFonts w:ascii="Times New Roman" w:hAnsi="Times New Roman"/>
          <w:color w:val="000000" w:themeColor="text1"/>
          <w:sz w:val="16"/>
          <w:szCs w:val="16"/>
        </w:rPr>
      </w:pPr>
    </w:p>
    <w:p w14:paraId="4A219D30" w14:textId="77777777" w:rsidR="00EB09F2" w:rsidRPr="0044524F" w:rsidRDefault="00EB09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состоялся первый полет Леопардовый мотылек De Havilland (20802).</w:t>
      </w:r>
    </w:p>
    <w:p w14:paraId="06982331" w14:textId="77777777" w:rsidR="00EB09F2" w:rsidRPr="0044524F" w:rsidRDefault="00EB09F2" w:rsidP="009654CF">
      <w:pPr>
        <w:spacing w:after="0" w:line="240" w:lineRule="auto"/>
        <w:jc w:val="both"/>
        <w:rPr>
          <w:rFonts w:ascii="Times New Roman" w:hAnsi="Times New Roman"/>
          <w:color w:val="000000" w:themeColor="text1"/>
          <w:sz w:val="16"/>
          <w:szCs w:val="16"/>
        </w:rPr>
      </w:pPr>
    </w:p>
    <w:p w14:paraId="45527EFE" w14:textId="77777777" w:rsidR="000B1B08" w:rsidRPr="0044524F" w:rsidRDefault="000B1B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27 мая</w:t>
      </w:r>
      <w:r w:rsidRPr="0044524F">
        <w:rPr>
          <w:rFonts w:ascii="Times New Roman" w:hAnsi="Times New Roman"/>
          <w:color w:val="000000" w:themeColor="text1"/>
          <w:sz w:val="16"/>
          <w:szCs w:val="16"/>
        </w:rPr>
        <w:t xml:space="preserve"> в 1933 году разбился английский транспортный самолет «Airspeed» «AS.4» «Ferry», восстановлению не подлежал (14904).</w:t>
      </w:r>
    </w:p>
    <w:p w14:paraId="08DEA6C0" w14:textId="77777777" w:rsidR="000B1B08" w:rsidRPr="0044524F" w:rsidRDefault="000B1B08" w:rsidP="009654CF">
      <w:pPr>
        <w:spacing w:after="0" w:line="240" w:lineRule="auto"/>
        <w:jc w:val="both"/>
        <w:rPr>
          <w:rFonts w:ascii="Times New Roman" w:hAnsi="Times New Roman"/>
          <w:color w:val="000000" w:themeColor="text1"/>
          <w:sz w:val="16"/>
          <w:szCs w:val="16"/>
        </w:rPr>
      </w:pPr>
    </w:p>
    <w:p w14:paraId="60AFCA5F"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мая 1933 состоялась премьера мультфильма Уолта Диснея «Три поросенка» (4962).</w:t>
      </w:r>
    </w:p>
    <w:p w14:paraId="52F3884F" w14:textId="77777777" w:rsidR="008524B2" w:rsidRPr="0044524F" w:rsidRDefault="008524B2"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3C12AD2" w14:textId="77777777" w:rsidR="008C5AAD"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4949841" w14:textId="77777777" w:rsidR="008C5AAD" w:rsidRPr="0044524F" w:rsidRDefault="008C5AAD" w:rsidP="009654CF">
      <w:pPr>
        <w:spacing w:after="0" w:line="240" w:lineRule="auto"/>
        <w:jc w:val="both"/>
        <w:rPr>
          <w:rFonts w:ascii="Times New Roman" w:hAnsi="Times New Roman"/>
          <w:iCs/>
          <w:color w:val="000000" w:themeColor="text1"/>
          <w:sz w:val="16"/>
          <w:szCs w:val="16"/>
        </w:rPr>
      </w:pPr>
    </w:p>
    <w:p w14:paraId="59A37F74"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мая 1933 г. самолет МИ-3 (АНТ-21) был сдан в ОЭЛИД для испытаний.</w:t>
      </w:r>
    </w:p>
    <w:p w14:paraId="705D699E"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испытаний выявился ряд дефектов как например: большая посадочная скорость, плохая планирующая способность и т. для устранения отмеченных недостатков на самолете были произведены следующие конструктивные изменения:</w:t>
      </w:r>
    </w:p>
    <w:p w14:paraId="4AA9C27E"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Нарощены отъемные части крыла.</w:t>
      </w:r>
    </w:p>
    <w:p w14:paraId="6D972B6B"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Нарощены кили и рули поворота.</w:t>
      </w:r>
    </w:p>
    <w:p w14:paraId="5B69AB4B"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Установлены щитки для уменьшения посадочной скорости.</w:t>
      </w:r>
    </w:p>
    <w:p w14:paraId="7FDD4D29"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Установлены зализы на месте соединения центроплана с отъемными частями крыла.</w:t>
      </w:r>
    </w:p>
    <w:p w14:paraId="67E613D4"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указанных изменений, в процессе испытаний ЦАГИ все время проводил работы по устранению дефектов и усовершенствованию самолета, например: облегчению его конструкции, отработки действия механизма подъема шасси и т.д.</w:t>
      </w:r>
    </w:p>
    <w:p w14:paraId="0093A8A0"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первых полетов летчиком Козловым было сделано заключение, что: "Взлет - нормальный. При наборе высоты самолет несколько болтало, и при V = 160-170 км/час самолет плохо реагировал на элероны. При прибавлении скорости, элероны при отклонении работали впустую, и ручка совершенно свободно болталась. На V= 140-133 км/час самолет имел тенденцию свалиться на левое крыло".</w:t>
      </w:r>
    </w:p>
    <w:p w14:paraId="3BB8B839"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Козлова, самолет испытывали летчики Бухгольц и Попов, показания которых сводились к следующему:</w:t>
      </w:r>
    </w:p>
    <w:p w14:paraId="38804218"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опасен, вследствие наличия резких ударов и вздрагивания оперения на режимах от 180 км/час и ниже. Без моторов самолет малоуправляем, при посадке на сбавленных оборотах самолет теряет эффективность руля высоты. Полет на одном моторе невозможен. При планировании на скорости V = 180 км/час не хватает стабилизатора и рулей высоты. Посадочная скорость в момент приземления чрезвычайно велика. Считать недопустимым в таком виде продолжать испытания".</w:t>
      </w:r>
    </w:p>
    <w:p w14:paraId="2B745A6D"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указанные заключения летчиков, испытания самолета продолжались и 14 сентября 1933 года самолет потерпел аварию.</w:t>
      </w:r>
    </w:p>
    <w:p w14:paraId="29BDDAEB"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по расследованию причин аварии установила следующие дефекты самолета:</w:t>
      </w:r>
    </w:p>
    <w:p w14:paraId="7384429C"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Неудовлетворительность нормам прочности.</w:t>
      </w:r>
    </w:p>
    <w:p w14:paraId="33FC4153"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Несоответствие профиля и сечения лонжерона нагрузкам.</w:t>
      </w:r>
    </w:p>
    <w:p w14:paraId="6F62E14B"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Недостаточную прочность материала.</w:t>
      </w:r>
    </w:p>
    <w:p w14:paraId="3F69F9C6"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установления точной причины поломки компенсаторов, приведшей к аварии, комиссия предложила ЦАРИ провести следующую работу:</w:t>
      </w:r>
    </w:p>
    <w:p w14:paraId="5FA000C3"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Проверить расчеты рулей поворота</w:t>
      </w:r>
    </w:p>
    <w:p w14:paraId="184A1EE5"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статиспытания рулей поворота.</w:t>
      </w:r>
    </w:p>
    <w:p w14:paraId="6E8FF9CD"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Произвести аэродинамическое исследование распределения давления по рулям поворота.</w:t>
      </w:r>
    </w:p>
    <w:p w14:paraId="246F19AC"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решения комиссии, ЦАГИ немедленно приступил к изучению причин аварии самолета.</w:t>
      </w:r>
    </w:p>
    <w:p w14:paraId="55389A0C"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Были проверены расчеты на прочность рулей поворота и установлена правильность расчетов, соответствовавших нормам прочности, применявшимся до октября 1933 года.</w:t>
      </w:r>
    </w:p>
    <w:p w14:paraId="777AB1E5"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Было произведено статическое испытание рулей поворота, подтвердившее правильность расчетов и установившее, что поломка балки нарощенного руля произошла при нагрузке соответствовавшей напряжению материала балки равной 12,5 кг/мм.</w:t>
      </w:r>
    </w:p>
    <w:p w14:paraId="3907A1D7"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 аэродинамическом исследовании распределения давления по рулям поворота никаких документов не сохранилось.</w:t>
      </w:r>
    </w:p>
    <w:p w14:paraId="74D8947C"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Позднее, в 1934 году произведенный в ЦАГИ проверочный расчет на прочность самолета с полетным весом 5400 кг показал, что прочность самолета не соответствовала нормам прочности для данной группы самолетов (23345).</w:t>
      </w:r>
    </w:p>
    <w:p w14:paraId="33C56204" w14:textId="77777777" w:rsidR="00004CEE" w:rsidRPr="0044524F" w:rsidRDefault="00004CEE" w:rsidP="009654CF">
      <w:pPr>
        <w:spacing w:after="0" w:line="240" w:lineRule="auto"/>
        <w:jc w:val="both"/>
        <w:rPr>
          <w:rFonts w:ascii="Times New Roman" w:hAnsi="Times New Roman"/>
          <w:color w:val="000000" w:themeColor="text1"/>
          <w:sz w:val="16"/>
          <w:szCs w:val="16"/>
        </w:rPr>
      </w:pPr>
    </w:p>
    <w:p w14:paraId="364E0ECB" w14:textId="472BA20B"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мая 1933 г. самолет МИ-3 (АНТ-21)</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был сдан в ОЭЛИД для испытаний (24197).</w:t>
      </w:r>
    </w:p>
    <w:p w14:paraId="6B9A4554"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испытаний выявился ряд дефектов как например: большая посадочная скорость,плохая планирующая способность и т. для устранения отмеченных недостатков на самолете были произведены следующие конструктивные изменения:</w:t>
      </w:r>
    </w:p>
    <w:p w14:paraId="1862A194"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Нарощены отъемные части крыла.</w:t>
      </w:r>
    </w:p>
    <w:p w14:paraId="1ADD5A33"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Нарощены кили и рули поворота.</w:t>
      </w:r>
    </w:p>
    <w:p w14:paraId="38DA092E"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Установлены щитки для уменьшения посадочной скорости.</w:t>
      </w:r>
    </w:p>
    <w:p w14:paraId="1F9EFB76"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Установлены зализы на месте соединения центроплана с отъемными частями крыла.</w:t>
      </w:r>
    </w:p>
    <w:p w14:paraId="312197DD"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указанных изменений, в процессе испытаний ЦАГИ все время проводил работы по устранению дефектов и усовершенствованию самолета, например: облегчению его конструкции, отработки действия механизма подъема шасси и т.д.</w:t>
      </w:r>
    </w:p>
    <w:p w14:paraId="70CBC363"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первых полетов летчиком Козловым было сделано заключение, что: "Взлет - нормальный. При наборе высоты самолет несколько болтало, и при V = 160-170 км/час самолет плохо реагировал на элероны. При прибавлении скорости, элероны при отклонении работали впустую, и ручка совершенно свободно болталась. На V= 140-133 км/час самолет имел тенденцию свалиться на левое крыло".</w:t>
      </w:r>
    </w:p>
    <w:p w14:paraId="54139F74"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Козлова, самолет испытывали летчики Бухгольц и Попов, показания которых сводились к следующему:</w:t>
      </w:r>
    </w:p>
    <w:p w14:paraId="0FD913F6"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опасен, вследствие наличия резких ударов и вздрагивания оперения на режимах от 180 км/час и ниже. Без моторов самолет малоуправляем, при посадке на сбавленных оборотах самолет теряет эффективность руля высоты. Полет на одном моторе невозможен. При планировании на скорости V = 180 км/час не хватает стабилизатора и рулей высоты. Посадочная скорость в момент приземления чрезвычайно велика. Считать недопустимым в таком виде продолжать испытания".</w:t>
      </w:r>
    </w:p>
    <w:p w14:paraId="15DF90A6"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указанные заключения летчиков, испытания самолета продолжались и 14 сентября 1933 года самолет МИ-3 (АНТ-21) потерпел аварию (24197).</w:t>
      </w:r>
    </w:p>
    <w:p w14:paraId="3CBCE056" w14:textId="77777777" w:rsidR="00004CEE" w:rsidRPr="0044524F" w:rsidRDefault="00004CEE" w:rsidP="009654CF">
      <w:pPr>
        <w:spacing w:after="0" w:line="240" w:lineRule="auto"/>
        <w:jc w:val="both"/>
        <w:rPr>
          <w:rFonts w:ascii="Times New Roman" w:hAnsi="Times New Roman"/>
          <w:color w:val="000000" w:themeColor="text1"/>
          <w:sz w:val="16"/>
          <w:szCs w:val="16"/>
        </w:rPr>
      </w:pPr>
    </w:p>
    <w:p w14:paraId="53A1A08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28 мая 1933 г. на первом из 10 заказанных Р-5 иранский летчик А. Макуи, выпускник Качинской летной школы, совершил перелет Москва-Тегеран, прибыв на место Остальные Р-5 из Москвы везли по железной дороге, а затем по Каспию в иранский порт Пехлеви. Все машины имели моторы BMW VI и пулеметы "Льюис" в задней кабине. Они успешно эксплуатировались в иранских ВВС сначала как боевые, а с конца 1934 г. как тренировочные (11936).</w:t>
      </w:r>
    </w:p>
    <w:p w14:paraId="7A98F7C4"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59662365" w14:textId="77777777" w:rsidR="00197613" w:rsidRPr="0044524F" w:rsidRDefault="001976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мая 1933 г. успешно завершил на Р-5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(18261).</w:t>
      </w:r>
    </w:p>
    <w:p w14:paraId="3E68CA02" w14:textId="77777777" w:rsidR="00197613" w:rsidRPr="0044524F" w:rsidRDefault="00197613" w:rsidP="009654CF">
      <w:pPr>
        <w:spacing w:after="0" w:line="240" w:lineRule="auto"/>
        <w:jc w:val="both"/>
        <w:rPr>
          <w:rFonts w:ascii="Times New Roman" w:hAnsi="Times New Roman"/>
          <w:color w:val="000000" w:themeColor="text1"/>
          <w:sz w:val="16"/>
          <w:szCs w:val="16"/>
        </w:rPr>
      </w:pPr>
    </w:p>
    <w:p w14:paraId="392E9C93" w14:textId="77777777" w:rsidR="00004CEE" w:rsidRPr="0044524F" w:rsidRDefault="00004C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мая 1933 г. на первом из 10 заказанных самолетов Р-5 успешно завершил перелет Москва-Тегеран иранский летчик А. Макуи, выпускник Качинской летной школы, остальные машины перевозились в разобранном виде по железной дороге, а затем – через Каспийское море в порт Пехлеви. В качестве боевых они использовались в ВВС Ирана до конца 1934 г. Гораздо дольше Р-5 служили в Иране в качестве тренировочных машин (24334).</w:t>
      </w:r>
    </w:p>
    <w:p w14:paraId="4C397749" w14:textId="77777777" w:rsidR="00004CEE" w:rsidRPr="0044524F" w:rsidRDefault="00004CEE" w:rsidP="009654CF">
      <w:pPr>
        <w:spacing w:after="0" w:line="240" w:lineRule="auto"/>
        <w:jc w:val="both"/>
        <w:rPr>
          <w:rFonts w:ascii="Times New Roman" w:hAnsi="Times New Roman"/>
          <w:color w:val="000000" w:themeColor="text1"/>
          <w:sz w:val="16"/>
          <w:szCs w:val="16"/>
        </w:rPr>
      </w:pPr>
    </w:p>
    <w:p w14:paraId="7C58A5CE" w14:textId="77777777" w:rsidR="00D91C1A" w:rsidRPr="00142305" w:rsidRDefault="00D91C1A" w:rsidP="00D91C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мая 1933 г. первый Р-5 из 10, заказанных Ираном, прибыл в Тегеран. Первый самолет доставили в Иран по воздуху. На нем иранский летчик А. Макуи, выпускник Качинской летной школы, успешно совершил перелет Москва — Тегеран. Остальные Р-5 перевози</w:t>
      </w:r>
      <w:r w:rsidRPr="00142305">
        <w:rPr>
          <w:rFonts w:ascii="Times New Roman" w:hAnsi="Times New Roman"/>
          <w:color w:val="0070C0"/>
          <w:sz w:val="16"/>
          <w:szCs w:val="16"/>
        </w:rPr>
        <w:softHyphen/>
        <w:t>лись в разобранном виде. Из Москвы их везли по желез</w:t>
      </w:r>
      <w:r w:rsidRPr="00142305">
        <w:rPr>
          <w:rFonts w:ascii="Times New Roman" w:hAnsi="Times New Roman"/>
          <w:color w:val="0070C0"/>
          <w:sz w:val="16"/>
          <w:szCs w:val="16"/>
        </w:rPr>
        <w:softHyphen/>
        <w:t>ной дороге, а затем по Каспию в иранский порт Пехлеви.</w:t>
      </w:r>
    </w:p>
    <w:p w14:paraId="6FDDBDC1" w14:textId="77777777" w:rsidR="00D91C1A" w:rsidRPr="00142305" w:rsidRDefault="00D91C1A" w:rsidP="00D91C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Советские Р-5 успешно эксплуатировались в иранских ВВС сначала как боевые, а с конца 1934 г. как трениро</w:t>
      </w:r>
      <w:r w:rsidRPr="00142305">
        <w:rPr>
          <w:rFonts w:ascii="Times New Roman" w:hAnsi="Times New Roman"/>
          <w:color w:val="0070C0"/>
          <w:sz w:val="16"/>
          <w:szCs w:val="16"/>
        </w:rPr>
        <w:softHyphen/>
        <w:t>вочные. В отличие от поставлявшихся иранцам Р-1 в бое</w:t>
      </w:r>
      <w:r w:rsidRPr="00142305">
        <w:rPr>
          <w:rFonts w:ascii="Times New Roman" w:hAnsi="Times New Roman"/>
          <w:color w:val="0070C0"/>
          <w:sz w:val="16"/>
          <w:szCs w:val="16"/>
        </w:rPr>
        <w:softHyphen/>
        <w:t>вых действиях они никогда не участвовали. Когда в Иране списали последние Р-5 — неизвестно (24990).</w:t>
      </w:r>
    </w:p>
    <w:p w14:paraId="28C580F0" w14:textId="77777777" w:rsidR="00D91C1A" w:rsidRPr="00142305" w:rsidRDefault="00D91C1A" w:rsidP="00D91C1A">
      <w:pPr>
        <w:spacing w:after="0" w:line="240" w:lineRule="auto"/>
        <w:jc w:val="both"/>
        <w:rPr>
          <w:rFonts w:ascii="Times New Roman" w:hAnsi="Times New Roman"/>
          <w:color w:val="0070C0"/>
          <w:sz w:val="16"/>
          <w:szCs w:val="16"/>
        </w:rPr>
      </w:pPr>
    </w:p>
    <w:p w14:paraId="551A934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мая 1933 Дорнье "Валь" СССР-Н8 - заводской № 131, двигатели - 2 М-17, дата приемки - 14.09.28 г, дата присвоения опознавательного знака с литерой "Н" - 08.05.33 г., который получил экипаж С.А.Леваневского (второй пилот - Г.М.Чернявский, штурман В.И.Левченко), вылетел из Севастополя, далее по маршруту Вольск - Свердловск - Омск - Новосибирск - Красноярск - Иркутск - Верхнеудинск - Чита - Джалинда - Благовещенск дошел до Хабаровска. По прибытию самолет мобилизовали для выполнения специальных заданий. После их выполнения СССР-Н8 встал на смену моторов, а далее Леваневский получил правительственное распоряжение направиться в Анадырь для доставки американского пилота Маттерна на Аляску. В тяжелых метеоусловиях самолет совершил перелет по маршруту: Хабаровск - Николаевск - Охотск - б. Нагаево - Янек - Пенжин- ская губа - Марково - Анадырь. Захватив Маттерна и оборудование его машины, Леваневский 20 июля прибыл на Аляску в Ном. Затем СССР-Н8 прошел по северному побережью Чукотки и выполнил ряд ледовых разведок для судов Колымской экспедиции 1933 г. и зимующего каравана судов Колымской экспедиции 1932 г.</w:t>
      </w:r>
    </w:p>
    <w:p w14:paraId="779101D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Дальнейшие полеты самолета:</w:t>
      </w:r>
    </w:p>
    <w:p w14:paraId="1100FA1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12-го августа - летал на о. Врангеля; привез сведения, что зимовщики здоровы и что зимовка прошла благополучно.</w:t>
      </w:r>
    </w:p>
    <w:p w14:paraId="6D86FB6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18-го августа - вылетал к м. Биллингс навстречу судам.</w:t>
      </w:r>
    </w:p>
    <w:p w14:paraId="6E6871D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r w:rsidRPr="0044524F">
        <w:rPr>
          <w:rFonts w:ascii="Times New Roman" w:hAnsi="Times New Roman"/>
          <w:color w:val="000000" w:themeColor="text1"/>
          <w:sz w:val="16"/>
          <w:szCs w:val="16"/>
        </w:rPr>
        <w:tab/>
        <w:t>го</w:t>
      </w:r>
      <w:r w:rsidRPr="0044524F">
        <w:rPr>
          <w:rFonts w:ascii="Times New Roman" w:hAnsi="Times New Roman"/>
          <w:color w:val="000000" w:themeColor="text1"/>
          <w:sz w:val="16"/>
          <w:szCs w:val="16"/>
        </w:rPr>
        <w:tab/>
        <w:t>августа - на м. Северный, встретив в пути шквал с пургой.</w:t>
      </w:r>
    </w:p>
    <w:p w14:paraId="37E43F0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r w:rsidRPr="0044524F">
        <w:rPr>
          <w:rFonts w:ascii="Times New Roman" w:hAnsi="Times New Roman"/>
          <w:color w:val="000000" w:themeColor="text1"/>
          <w:sz w:val="16"/>
          <w:szCs w:val="16"/>
        </w:rPr>
        <w:tab/>
        <w:t>го</w:t>
      </w:r>
      <w:r w:rsidRPr="0044524F">
        <w:rPr>
          <w:rFonts w:ascii="Times New Roman" w:hAnsi="Times New Roman"/>
          <w:color w:val="000000" w:themeColor="text1"/>
          <w:sz w:val="16"/>
          <w:szCs w:val="16"/>
        </w:rPr>
        <w:tab/>
        <w:t>- вылетел на м. Ванкарем для разведки проходов судам "Сунчан" и "Партизан".</w:t>
      </w:r>
    </w:p>
    <w:p w14:paraId="4A52444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25-го августа самолет находился на мысе Северном, а к 27 августа прошел в устье Лены.</w:t>
      </w:r>
    </w:p>
    <w:p w14:paraId="51136BF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навигации, 24 сентября, СССР-Н8 прибыл в Иркутск, где экипаж сдал его в авиаремонтные мастерские Аэрофлота. Налет за год составил 222 часа, пройденное расстояние - свыше 37000 км.</w:t>
      </w:r>
    </w:p>
    <w:p w14:paraId="7121670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1934 г. СССР-Н8 использовался для проведения ледовой разведки в море Лаптевых. Командир П.Г.Головин, штурман А.П.Ште- пенко (у него это был первый сезон работы в Арктике, поэтому вылетел в легоньком кителе) бортмеханики Н.Л.Кекушев и Краснопевков (11970).</w:t>
      </w:r>
    </w:p>
    <w:p w14:paraId="29795267"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5ADA1457" w14:textId="77777777" w:rsidR="002D5408" w:rsidRPr="0044524F" w:rsidRDefault="002D54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мая 1933 опросом членов ПБ</w:t>
      </w:r>
    </w:p>
    <w:p w14:paraId="7B4B414B" w14:textId="77777777" w:rsidR="002D5408" w:rsidRPr="0044524F" w:rsidRDefault="002D54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131/110.- О перелете немецких аэропланов.</w:t>
      </w:r>
    </w:p>
    <w:p w14:paraId="1114DC7A" w14:textId="77777777" w:rsidR="002D5408" w:rsidRPr="0044524F" w:rsidRDefault="002D54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однократный перелет через СССР в Западный Китай по маршруту Дерулюфта до Москвы, а затем через Казань-Свердловск-Семипалатинск- Сергиополь трех аэропланов, принадлежащих гер</w:t>
      </w:r>
      <w:r w:rsidRPr="0044524F">
        <w:rPr>
          <w:rFonts w:ascii="Times New Roman" w:hAnsi="Times New Roman"/>
          <w:color w:val="000000" w:themeColor="text1"/>
          <w:sz w:val="16"/>
          <w:szCs w:val="16"/>
        </w:rPr>
        <w:softHyphen/>
        <w:t>манскому обществу воздушных сообщений - "Люфт- ханза".</w:t>
      </w:r>
    </w:p>
    <w:p w14:paraId="685ADC1B" w14:textId="77777777" w:rsidR="002D5408" w:rsidRPr="0044524F" w:rsidRDefault="002D54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Крестинскому,Анвельту, Артузову.</w:t>
      </w:r>
    </w:p>
    <w:p w14:paraId="00BAE2F6" w14:textId="77777777" w:rsidR="002D5408" w:rsidRPr="0044524F" w:rsidRDefault="002D54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132/111.- Вопросы Комиссии обороны.</w:t>
      </w:r>
    </w:p>
    <w:p w14:paraId="1CA1A11B" w14:textId="0EBF3A8B" w:rsidR="002D5408" w:rsidRPr="0044524F" w:rsidRDefault="002D54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закупки за границей недостающего коли</w:t>
      </w:r>
      <w:r w:rsidRPr="0044524F">
        <w:rPr>
          <w:rFonts w:ascii="Times New Roman" w:hAnsi="Times New Roman"/>
          <w:color w:val="000000" w:themeColor="text1"/>
          <w:sz w:val="16"/>
          <w:szCs w:val="16"/>
        </w:rPr>
        <w:softHyphen/>
        <w:t>чества дальномеров (8 и 6 метровых) для батарей выделить НКВМ валютные контингенты в раэмере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300.000 руб.</w:t>
      </w:r>
    </w:p>
    <w:p w14:paraId="7FAE42F3" w14:textId="77777777" w:rsidR="002D5408" w:rsidRPr="0044524F" w:rsidRDefault="002D54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Заказ произвести немедленно.</w:t>
      </w:r>
    </w:p>
    <w:p w14:paraId="5B4B6E2E" w14:textId="77777777" w:rsidR="002D5408" w:rsidRPr="0044524F" w:rsidRDefault="002D54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НКВТ т. Розенгольц немедленно ввезти металлического калия, металлического натрия, бромис</w:t>
      </w:r>
      <w:r w:rsidRPr="0044524F">
        <w:rPr>
          <w:rFonts w:ascii="Times New Roman" w:hAnsi="Times New Roman"/>
          <w:color w:val="000000" w:themeColor="text1"/>
          <w:sz w:val="16"/>
          <w:szCs w:val="16"/>
        </w:rPr>
        <w:softHyphen/>
        <w:t>того натрия и химически-чистого свинца на общую сумму 300.000 р. (валютой) для выполнения програм</w:t>
      </w:r>
      <w:r w:rsidRPr="0044524F">
        <w:rPr>
          <w:rFonts w:ascii="Times New Roman" w:hAnsi="Times New Roman"/>
          <w:color w:val="000000" w:themeColor="text1"/>
          <w:sz w:val="16"/>
          <w:szCs w:val="16"/>
        </w:rPr>
        <w:softHyphen/>
        <w:t>мы по этиловой жидкости.</w:t>
      </w:r>
    </w:p>
    <w:p w14:paraId="77CED3B8" w14:textId="77777777" w:rsidR="002D5408" w:rsidRPr="0044524F" w:rsidRDefault="002D54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Розенгольцу, Ворошилову.</w:t>
      </w:r>
    </w:p>
    <w:p w14:paraId="549D2118" w14:textId="77777777" w:rsidR="002D5408" w:rsidRPr="0044524F" w:rsidRDefault="002D54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состоялось заседание ПБ и был оформлен протокол № 138 (22988).</w:t>
      </w:r>
    </w:p>
    <w:p w14:paraId="2B0B7B40" w14:textId="77777777" w:rsidR="002D5408" w:rsidRPr="0044524F" w:rsidRDefault="002D5408" w:rsidP="009654CF">
      <w:pPr>
        <w:spacing w:after="0" w:line="240" w:lineRule="auto"/>
        <w:jc w:val="both"/>
        <w:rPr>
          <w:rFonts w:ascii="Times New Roman" w:hAnsi="Times New Roman"/>
          <w:color w:val="000000" w:themeColor="text1"/>
          <w:sz w:val="16"/>
          <w:szCs w:val="16"/>
        </w:rPr>
      </w:pPr>
    </w:p>
    <w:p w14:paraId="2E5B065F" w14:textId="77777777" w:rsidR="008C5AAD"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51032E4"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097D408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мая 1933 зампред ОГПУ, Г. Е. Прокофьев, ответил наркому путей сообщения:</w:t>
      </w:r>
    </w:p>
    <w:p w14:paraId="2520491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переговоров между НКПС и Гл. упр. лагерей ОГПУ, происходивших в конце апреля, действительно было дано принципиальное согласие на предоставление 3.100 человек заключенных для разработки Райчихинских каменноугольных месторождений.</w:t>
      </w:r>
    </w:p>
    <w:p w14:paraId="62A0C1F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в связи с постановлением СНК и ЦК ВКП(б) от 08.05.33 должно произойти резкое сокращение числа заключенных и перед ОГПУ стоит задача обеспечения рабочей силой тех работ, которые уже возложены на ОГПУ Правительством.</w:t>
      </w:r>
    </w:p>
    <w:p w14:paraId="4C3EB71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положение является основным мотивом, по которому ОГПУ не может взять на себя работ по освоению добычи угля на Райчихинском месторождении» (7560).</w:t>
      </w:r>
    </w:p>
    <w:p w14:paraId="1D02BF54"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0D72C86B" w14:textId="77777777" w:rsidR="008C5AAD" w:rsidRPr="0044524F" w:rsidRDefault="008C5AAD"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28 мая 1933 г. Демонстрационная передача механического ТВ 30 строк на установке в Политехническом музее (Москва) на экране 1 х 1,3 м. Разработка ВЭИ (11482).</w:t>
      </w:r>
    </w:p>
    <w:p w14:paraId="077F6E9E" w14:textId="77777777" w:rsidR="008C5AAD" w:rsidRPr="0044524F" w:rsidRDefault="008C5AAD" w:rsidP="009654CF">
      <w:pPr>
        <w:pStyle w:val="af2"/>
        <w:jc w:val="both"/>
        <w:rPr>
          <w:i w:val="0"/>
          <w:iCs w:val="0"/>
          <w:color w:val="000000" w:themeColor="text1"/>
          <w:spacing w:val="0"/>
          <w:kern w:val="0"/>
          <w:position w:val="0"/>
          <w:sz w:val="16"/>
          <w:szCs w:val="16"/>
          <w:lang w:val="ru-RU"/>
        </w:rPr>
      </w:pPr>
    </w:p>
    <w:p w14:paraId="3EC34A4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мая 1933 года началась навигация на Беломоро-Балтийском канале (9046)</w:t>
      </w:r>
    </w:p>
    <w:p w14:paraId="6505B6C6" w14:textId="77777777" w:rsidR="008C5AAD" w:rsidRPr="0044524F" w:rsidRDefault="008C5AAD" w:rsidP="009654CF">
      <w:pPr>
        <w:spacing w:after="0" w:line="240" w:lineRule="auto"/>
        <w:jc w:val="both"/>
        <w:rPr>
          <w:rFonts w:ascii="Times New Roman" w:hAnsi="Times New Roman"/>
          <w:iCs/>
          <w:color w:val="000000" w:themeColor="text1"/>
          <w:sz w:val="16"/>
          <w:szCs w:val="16"/>
        </w:rPr>
      </w:pPr>
    </w:p>
    <w:p w14:paraId="2741A51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28 мая 1933 г. по каналу начал движение первый караван судов. Караван сопровождался землечерпалками, доводившими глубину на фарватере до проектных 12 футов. </w:t>
      </w:r>
    </w:p>
    <w:p w14:paraId="1C684BE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Беломорско-Балтийский канал был построен. Он обошелся в 101 316 тыс. рублей, из которых 17 316 тыс. рублей было покрыто за счет выполнения Беломорстроем работ по договорам с другими организациями. Строители полностью уложились в проектную смету. Постановлением ЦК ВКП(б) от 2 августа 1933 г. канал был официально зачислен в число действующих водных путей Союза 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w:t>
      </w:r>
    </w:p>
    <w:p w14:paraId="6835059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Тем временем к переходу по трассе канала готовилась первая группа военных кораблей Балтийского флота. Хотя официально канал был принят в эксплуатацию только 2 августа 1933 г., интересы обороны страны требовали скорейшего создания на Севере военно-морской группировки. </w:t>
      </w:r>
    </w:p>
    <w:p w14:paraId="5523FA1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Еще 18 мая 1933 г., когда на ББК заканчивали 18-й и 19-й шлюзы, из Ленинграда вышли эскадренные миноносцы "Урицкий", "Валериан Куйбышев", сторожевые корабли "Смерч" и "Ураган", подводные лодки Д-1, Д-2. Для обеспечения прохода по фарватеру с кораблей было снято вооружение и выгружена часть топлива. Первая экспедиция часто отстаивалась в ожидании окончания работ, поэтому ее переход длился довольно долго. Но все же к 21 июля 1933 г. эскадра, перевооруженная и в полной боевой готовности, уже смогла принять на борт руководителей советского государства в Сорокской губе. Ядро Северной Военной флотилии было создано. </w:t>
      </w:r>
    </w:p>
    <w:p w14:paraId="603E6A2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Каково было значение Беломорско-Балтийского канала? Если до открытия канала суда тратили на переход из Ленинграда в Архангельск 17 дней, то с начала навигации такой путь стал занимать не больше 4 дней. Судовой путь пролегал по советской территории, что создало условия для усиления советской военно-морской мощи на Севере путем межтеатрового маневра кораблей Балтфлота. При отсутствии канала создание сколько-нибудь значительных морских сил было невозможно. Семнадцатидневный переход вокруг Скандинавии при полном отсутствии промежуточных баз, невозможности пополнения запасов был не под силу военным кораблям среднего и малого водоизмещения. Дальность плавания советских эскадренных миноносцев того времени составляла 1700 миль, а между Кронштадтом и Полярным лежали 2300 миль штормового моря. </w:t>
      </w:r>
    </w:p>
    <w:p w14:paraId="557BF2B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Открытие навигации по ББК дало стратегический выигрыш почти немедленно. Все 20-е годы в Белом море продолжалась "тюленья война": конфликт между СССР и Норвегией из-за биологических ресурсов. Каждую весну сотни норвежских и английских траулеров входили в горло Белого моря и методично выбивали беломорского </w:t>
      </w:r>
      <w:r w:rsidRPr="0044524F">
        <w:rPr>
          <w:rFonts w:ascii="Times New Roman" w:hAnsi="Times New Roman"/>
          <w:color w:val="000000" w:themeColor="text1"/>
          <w:sz w:val="16"/>
          <w:szCs w:val="16"/>
        </w:rPr>
        <w:lastRenderedPageBreak/>
        <w:t xml:space="preserve">тюленя. Попытки слабых судов морской пограничной охраны вмешаться в ситуацию немедленно пресекались норвежскими и британскими военными кораблями. Насколько широко была поставлена "силовая поддержка", видно из того, что на границе территориальных вод СССР в путину постоянно находилась эскадра британского флота, с крейсером в качестве флагмана. Дело дважды, в 1929 и 1930 годах, доходило до обстрела советской территории норвежскими кораблями. </w:t>
      </w:r>
    </w:p>
    <w:p w14:paraId="0F1A994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Урегулировать конфликт политическим путем было невозможно: королевство Норвегия не признавало СССР. Зато летом 1933 г., с переброской по каналу подводных лодок, норвежская сторона настолько изменила свою позицию, что стало возможным восстановление между странами дипломатических отношений. До начала Великой Отечественной войны было проведено б операций по переброске каналом эскадренных миноносцев, 2 операции по переброске сторожевых кораблей и 9 (!) перебросок подводных лодок. Три корабля, эсминцы "Сталин" и "Войков" и подводная лодка Щ-404, по Северному морскому пути перешли на Дальний Восток и вошли в состав ТОФ (переброска кораблей этого класса другим путем для СССР в 30-е гг. была невозможна). </w:t>
      </w:r>
    </w:p>
    <w:p w14:paraId="0A76902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Всего в 1933–1941 гг. по каналу было переведено на Север 10 эсминцев, 3 сторожевых корабля и 26 подводных лодок. Последние корабли прошли по трассе 29 августа 1941 г. </w:t>
      </w:r>
    </w:p>
    <w:p w14:paraId="018623A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Значение ББК для обороны СССР вполне осознавалось военными деятелями Запада. В 1940 г., когда Англия и Франция готовились в порядке помощи Финляндии высадить десант на севере СССР, командующий французским флотом адмирал Ж. Дарлан настаивал на захвате канала неповрежденным, считая его использование союзниками ключевым фактором для захвата Ленинграда. Все оперативные планы финской армии, составлявшиеся в 1940–1941 гг., непременно предусматривали захват либо вывод из строя сооружений канала, который считался в Хельсинки "главной опорой" Советской власти в Карелии. А военно-морской атташе Германии в мае 1941 г. высказывал тревогу по поводу того, что "Балтийский и Северный флоты русских благодаря Беломорскому каналу служат резервом друг для друга". В том, что в годы Великой Отечественной войны успешные действия Северного флота способствовали удержанию Советского Заполярья, тоже состоит значение Беломорско-Балтийского канала (12107).</w:t>
      </w:r>
    </w:p>
    <w:p w14:paraId="1213A46D"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1697B7C0" w14:textId="77777777" w:rsidR="008C5AAD"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5711109" w14:textId="77777777" w:rsidR="008C5AAD" w:rsidRPr="0044524F" w:rsidRDefault="008C5AAD" w:rsidP="009654CF">
      <w:pPr>
        <w:spacing w:after="0" w:line="240" w:lineRule="auto"/>
        <w:jc w:val="both"/>
        <w:rPr>
          <w:rFonts w:ascii="Times New Roman" w:hAnsi="Times New Roman"/>
          <w:iCs/>
          <w:color w:val="000000" w:themeColor="text1"/>
          <w:sz w:val="16"/>
          <w:szCs w:val="16"/>
        </w:rPr>
      </w:pPr>
    </w:p>
    <w:p w14:paraId="6DA7650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мая 1933 г. «Боккельберг отбыл, сопровождаемый добрыми пожеланиями своих друзей, но еще до прибытия его группы в Берлин. Красная Армия внезапно потребовала, чтобы райхсвер полностью ликвидировал все свои предприятия в России. Вскоре русские в резкой форме отказались от дальнейшего прохождения каких-либо курсов в германской военной академии». Так описывал ситуацию Хильгер (Hilger Gustav. Op. cit. S. 246.). 30 мая заместитель военного атташе в Берлине Шниттман заявил немцам об отказе в проведении совместных опытов на полигоне «Томка» и посылке советских курсантов в танковую школу в Казани (РГВА, ф. 33987, on. 3, д. 497, л. 146-147.) (11784).</w:t>
      </w:r>
    </w:p>
    <w:p w14:paraId="49DB2B69"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781D36C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мая 1933 г. первый из 10 закупленных в СССР Р-5 прибыл в Тегеран. На нем иранский летчик А. Макуи, выпускник Качинской летной школы, успешно совершил перелет . Остальные Р-5 перевозились в разобранном виде. Из Москвы их везли по железной дороге, а затем по Каспию в иранский порт Пехлеви. Советские Р-5 успешно эксплуатировались в иранских ВВС сначала как боевые, а с конца 1934 г. как тренировочные. В отличие от поставлявшихся иранцам Р-1 в боевых действиях они никогда не участвовали. Когда в Иране списали последние Р-5 - неизвестно (12034).</w:t>
      </w:r>
    </w:p>
    <w:p w14:paraId="13CB761E"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7F7F2041" w14:textId="77777777" w:rsidR="008C5AAD"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B056921" w14:textId="77777777" w:rsidR="008C5AAD" w:rsidRPr="0044524F" w:rsidRDefault="008C5AAD" w:rsidP="009654CF">
      <w:pPr>
        <w:spacing w:after="0" w:line="240" w:lineRule="auto"/>
        <w:jc w:val="both"/>
        <w:rPr>
          <w:rFonts w:ascii="Times New Roman" w:hAnsi="Times New Roman"/>
          <w:iCs/>
          <w:color w:val="000000" w:themeColor="text1"/>
          <w:sz w:val="16"/>
          <w:szCs w:val="16"/>
        </w:rPr>
      </w:pPr>
    </w:p>
    <w:p w14:paraId="299EF93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мая 1933 ТБ-3 (АНТ-6) N 2221 с М-34 закончились заводские испытания, которые шли с 8 марта 1933. Скорость выросла всего на 10 км/час (1854,8).</w:t>
      </w:r>
    </w:p>
    <w:p w14:paraId="52CBB834"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6C667B1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мая 1933 ТБ-3 (АНТ-6) N 2221с 4М-34 ОЭЛИД ЦАГИ на самом деле потерпел аварию на ЦА (2331,220).</w:t>
      </w:r>
    </w:p>
    <w:p w14:paraId="328CA674"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58DA711A" w14:textId="77777777" w:rsidR="008C5AAD" w:rsidRPr="0044524F" w:rsidRDefault="008C5AAD"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мая 1933 М.М. Громову не хватило тяги для взлета, машина рухнула вниз и встала на нос. Взамен списанного прислали новый ТБ-3 и к нему комп</w:t>
      </w:r>
      <w:r w:rsidRPr="0044524F">
        <w:rPr>
          <w:rFonts w:ascii="Times New Roman" w:hAnsi="Times New Roman"/>
          <w:color w:val="000000" w:themeColor="text1"/>
          <w:sz w:val="16"/>
          <w:szCs w:val="16"/>
        </w:rPr>
        <w:softHyphen/>
        <w:t>лект моторов, уже из 3-й серии. При монтаже обнаружили, что габариты и посадочные места для двигателей разных серий не совпадают: при</w:t>
      </w:r>
      <w:r w:rsidRPr="0044524F">
        <w:rPr>
          <w:rFonts w:ascii="Times New Roman" w:hAnsi="Times New Roman"/>
          <w:color w:val="000000" w:themeColor="text1"/>
          <w:sz w:val="16"/>
          <w:szCs w:val="16"/>
        </w:rPr>
        <w:softHyphen/>
        <w:t>шлось резать капоты и переделывать моторамы. Результат испытаний: ско</w:t>
      </w:r>
      <w:r w:rsidRPr="0044524F">
        <w:rPr>
          <w:rFonts w:ascii="Times New Roman" w:hAnsi="Times New Roman"/>
          <w:color w:val="000000" w:themeColor="text1"/>
          <w:sz w:val="16"/>
          <w:szCs w:val="16"/>
        </w:rPr>
        <w:softHyphen/>
        <w:t>рость по сравнению с серийными машинами с М-17 не изменилась, потолок - упал. У многих возникал резонный воп</w:t>
      </w:r>
      <w:r w:rsidRPr="0044524F">
        <w:rPr>
          <w:rFonts w:ascii="Times New Roman" w:hAnsi="Times New Roman"/>
          <w:color w:val="000000" w:themeColor="text1"/>
          <w:sz w:val="16"/>
          <w:szCs w:val="16"/>
        </w:rPr>
        <w:softHyphen/>
        <w:t>рос: а нужно ли было внедрять М-34 в производство? В УВВС решили, что все-таки стоит. Пришли к выводу, что в настоящем виде микулинский мо</w:t>
      </w:r>
      <w:r w:rsidRPr="0044524F">
        <w:rPr>
          <w:rFonts w:ascii="Times New Roman" w:hAnsi="Times New Roman"/>
          <w:color w:val="000000" w:themeColor="text1"/>
          <w:sz w:val="16"/>
          <w:szCs w:val="16"/>
        </w:rPr>
        <w:softHyphen/>
        <w:t>тор выгод не дает, но имеет перс</w:t>
      </w:r>
      <w:r w:rsidRPr="0044524F">
        <w:rPr>
          <w:rFonts w:ascii="Times New Roman" w:hAnsi="Times New Roman"/>
          <w:color w:val="000000" w:themeColor="text1"/>
          <w:sz w:val="16"/>
          <w:szCs w:val="16"/>
        </w:rPr>
        <w:softHyphen/>
        <w:t>пективы совершенствования в буду</w:t>
      </w:r>
      <w:r w:rsidRPr="0044524F">
        <w:rPr>
          <w:rFonts w:ascii="Times New Roman" w:hAnsi="Times New Roman"/>
          <w:color w:val="000000" w:themeColor="text1"/>
          <w:sz w:val="16"/>
          <w:szCs w:val="16"/>
        </w:rPr>
        <w:softHyphen/>
        <w:t>щем. Производство же следует про</w:t>
      </w:r>
      <w:r w:rsidRPr="0044524F">
        <w:rPr>
          <w:rFonts w:ascii="Times New Roman" w:hAnsi="Times New Roman"/>
          <w:color w:val="000000" w:themeColor="text1"/>
          <w:sz w:val="16"/>
          <w:szCs w:val="16"/>
        </w:rPr>
        <w:softHyphen/>
        <w:t>должать для того, чтобы и промыш</w:t>
      </w:r>
      <w:r w:rsidRPr="0044524F">
        <w:rPr>
          <w:rFonts w:ascii="Times New Roman" w:hAnsi="Times New Roman"/>
          <w:color w:val="000000" w:themeColor="text1"/>
          <w:sz w:val="16"/>
          <w:szCs w:val="16"/>
        </w:rPr>
        <w:softHyphen/>
        <w:t>ленность освоила необходимую тех</w:t>
      </w:r>
      <w:r w:rsidRPr="0044524F">
        <w:rPr>
          <w:rFonts w:ascii="Times New Roman" w:hAnsi="Times New Roman"/>
          <w:color w:val="000000" w:themeColor="text1"/>
          <w:sz w:val="16"/>
          <w:szCs w:val="16"/>
        </w:rPr>
        <w:softHyphen/>
        <w:t>нологию, а ВВС - эксплуатацию. А кроме того - тогда ничего лучшего наши моторостроители предложить просто не могли. Далее успехи производственников перемежались с неудачами. 4-я се</w:t>
      </w:r>
      <w:r w:rsidRPr="0044524F">
        <w:rPr>
          <w:rFonts w:ascii="Times New Roman" w:hAnsi="Times New Roman"/>
          <w:color w:val="000000" w:themeColor="text1"/>
          <w:sz w:val="16"/>
          <w:szCs w:val="16"/>
        </w:rPr>
        <w:softHyphen/>
        <w:t>рия («Г») была забракована полнос</w:t>
      </w:r>
      <w:r w:rsidRPr="0044524F">
        <w:rPr>
          <w:rFonts w:ascii="Times New Roman" w:hAnsi="Times New Roman"/>
          <w:color w:val="000000" w:themeColor="text1"/>
          <w:sz w:val="16"/>
          <w:szCs w:val="16"/>
        </w:rPr>
        <w:softHyphen/>
        <w:t>тью - на контрольных испытаниях вышли из строя подряд три мотора. В них выявили трещины коленчатого вала, картера, разрушение головок шатунов, задиры поршней, течь воды в картер (то есть в масло). В итоге все 145 двигателей серии отправи</w:t>
      </w:r>
      <w:r w:rsidRPr="0044524F">
        <w:rPr>
          <w:rFonts w:ascii="Times New Roman" w:hAnsi="Times New Roman"/>
          <w:color w:val="000000" w:themeColor="text1"/>
          <w:sz w:val="16"/>
          <w:szCs w:val="16"/>
        </w:rPr>
        <w:softHyphen/>
        <w:t>ли на переборку, а производство временно приостановили. Серию «Д» в июле приемщики пропустили, а «Е» в сентябре опять была забракована. Инспектор Уп</w:t>
      </w:r>
      <w:r w:rsidRPr="0044524F">
        <w:rPr>
          <w:rFonts w:ascii="Times New Roman" w:hAnsi="Times New Roman"/>
          <w:color w:val="000000" w:themeColor="text1"/>
          <w:sz w:val="16"/>
          <w:szCs w:val="16"/>
        </w:rPr>
        <w:softHyphen/>
        <w:t>равления материально-технического снабжения в июле 1933 г. доклады</w:t>
      </w:r>
      <w:r w:rsidRPr="0044524F">
        <w:rPr>
          <w:rFonts w:ascii="Times New Roman" w:hAnsi="Times New Roman"/>
          <w:color w:val="000000" w:themeColor="text1"/>
          <w:sz w:val="16"/>
          <w:szCs w:val="16"/>
        </w:rPr>
        <w:softHyphen/>
        <w:t>вал в УВВС: «Качество моторов М-34, выпускаемых заводом, с начала производства оставляет желать мно</w:t>
      </w:r>
      <w:r w:rsidRPr="0044524F">
        <w:rPr>
          <w:rFonts w:ascii="Times New Roman" w:hAnsi="Times New Roman"/>
          <w:color w:val="000000" w:themeColor="text1"/>
          <w:sz w:val="16"/>
          <w:szCs w:val="16"/>
        </w:rPr>
        <w:softHyphen/>
        <w:t>го лучшего» (11848).</w:t>
      </w:r>
    </w:p>
    <w:p w14:paraId="4F31DECB" w14:textId="77777777" w:rsidR="008C5AAD" w:rsidRPr="0044524F" w:rsidRDefault="008C5AAD" w:rsidP="009654CF">
      <w:pPr>
        <w:shd w:val="clear" w:color="auto" w:fill="FFFFFF"/>
        <w:spacing w:after="0" w:line="240" w:lineRule="auto"/>
        <w:jc w:val="both"/>
        <w:rPr>
          <w:rFonts w:ascii="Times New Roman" w:hAnsi="Times New Roman"/>
          <w:color w:val="000000" w:themeColor="text1"/>
          <w:sz w:val="16"/>
          <w:szCs w:val="16"/>
        </w:rPr>
      </w:pPr>
    </w:p>
    <w:p w14:paraId="473CDE3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мая 1933 года зам. начальника ГУАП Макаровский писал письмо № Н-151/сс в СНК Базилевичу, копия НК РКИ Куйбышеву</w:t>
      </w:r>
    </w:p>
    <w:p w14:paraId="0527023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 724/КО от 21 мая 1933 года</w:t>
      </w:r>
    </w:p>
    <w:p w14:paraId="448BA31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проекту постановления СТО об опытном дизелестроении, внесенного НК РКИ, считаю необходимым внести следующие изменения:</w:t>
      </w:r>
    </w:p>
    <w:p w14:paraId="3BFD417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2 – указание Баранову (ГУАП) в части невыполнения постановления СТО от 4 июля 1932 года по опытному строительству должно быть снято, так как со стороны ГУАП были приняты все меры по развертыванию в ЦИАМе опытных и научно-исследовательских работ и созданию собственной производственной базы.</w:t>
      </w:r>
    </w:p>
    <w:p w14:paraId="7DC43E7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Основными причинами невыполнения в сроки плана, утвержденного Правительством явилось то, что в вопросах дизелестроения не только у нас, но и за границей нет еще достаточно накопленного опыта, который позволил бы иметь на сегодня вполне годный к эксплоатации двигатель. Ряд заграничных фирм (Паккард, Юнкерс, Даймлер-Бенц и др.), работающих над этой проблемой в течение многих лет, до настоящего времени не имеют серийного выпуска двигателей и их работы еще не вышли из опытной стадии.</w:t>
      </w:r>
    </w:p>
    <w:p w14:paraId="6C9DB18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ускорения разрешения проблемы дизелестроения ГУАП предполагал пригласить иностранных специалистов, но эта возможность отпала, так как требуемых специалистов пригласить не представилось возможным из-за отсутствия их за границей. Кроме того, имеющийся опыт приглашения специалистов по самолетостроению (Ришар, Лявилль) не дал положительных результатов.</w:t>
      </w:r>
    </w:p>
    <w:p w14:paraId="78B04E6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опыта вызвало необходимость пойти по пути развития предварительного, широкого экспериментирования для последовательного разрешения задач.</w:t>
      </w:r>
    </w:p>
    <w:p w14:paraId="1EBC8E7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Велись предварительные усиленные работы по изучению процесса сгорания, впрыска топлива, по изучению форм камеры сгорания, что потребовало изготовления и изучения нескольких одноцилиндровых установок (ОН-1, ОН-3, ОН-3а, ОН-3в, Т-17).</w:t>
      </w:r>
    </w:p>
    <w:p w14:paraId="42B295B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Только на базе собственного экспериментирования и накопления опыта были развернуты работы по проектированию нефтяного двигателя Н-1. В настоящее время проектные работы закончены и авиадизель Н-1 находится в производстве на опытном заводе ЦИАМ и в текущем году мотор выходит на заводские испытания. Таким образом со стороны ГУАП приняты все меры к созданию кадра собственных конструкторов и развертыванию производственной базы на опытном заводе ЦИАМ.</w:t>
      </w:r>
    </w:p>
    <w:p w14:paraId="58258A0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3. Не фиксировать срок предъявления дизелей на гос. испытание, а установить срок выхода на заводские испытания, так как работы в области дизелестроения находятся в сугубо определенной экспериментальной стадии.</w:t>
      </w:r>
    </w:p>
    <w:p w14:paraId="332E245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 испытаний будет определяться в процессе производства заводских испытаний, после доработки двигателя и внесения в него изменений на основе результатов испытаний.</w:t>
      </w:r>
    </w:p>
    <w:p w14:paraId="0C35BF2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4. Подтвердить полную ответственность за своевременный выпуск дизеля Н-4 на УВВС Алксниса, являющегося заказчиком данного типа.</w:t>
      </w:r>
    </w:p>
    <w:p w14:paraId="04F2297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5, п. а) По мотору Н-1 под ответственность Побережского закончить производство всех деталей к 15 сентября 1933 года, а ……….. и постановку на заводские испытания к 1 ноября 1933 года. п. б) По мотору Н-2 под ответственность Побережского – 1. Выполнить заказ на механическую обработку и сборку к 15 июня; колено кривошипного механизма наддувочного компрессора (для Хиртовского вала) к 1 июля 1933 года (поковки поданы 26 мая 1933 года).</w:t>
      </w:r>
    </w:p>
    <w:p w14:paraId="592C55F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Коленчатый вал с комплектом пропел. втулки и кривоколенный механизм наддувного компрессора – через 2,5 месяца после подачи поковок (поковки не поданы). Топливные насосы к 15 июня 1933 года.</w:t>
      </w:r>
    </w:p>
    <w:p w14:paraId="14EC0D3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Пункт д, 4. Под ответственность Побережского испытания импеллерной группы закончить к 1 августа 1933 года, а сборку мотора в …………………. Закончить к 1 сентября 1933 года.</w:t>
      </w:r>
    </w:p>
    <w:p w14:paraId="3EC3372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12. Зам. НКТП Баранову представить в СТО план финансирования опытных работ по дизелестроению к 1 июля 1933 года (4223, 32).</w:t>
      </w:r>
    </w:p>
    <w:p w14:paraId="62274335"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174A2E02" w14:textId="77777777" w:rsidR="000B1B08" w:rsidRPr="0044524F" w:rsidRDefault="000B1B08" w:rsidP="009654CF">
      <w:pPr>
        <w:pStyle w:val="rtejustify"/>
        <w:spacing w:before="0" w:after="0"/>
        <w:rPr>
          <w:color w:val="000000" w:themeColor="text1"/>
          <w:sz w:val="16"/>
          <w:szCs w:val="16"/>
        </w:rPr>
      </w:pPr>
      <w:r w:rsidRPr="0044524F">
        <w:rPr>
          <w:color w:val="000000" w:themeColor="text1"/>
          <w:sz w:val="16"/>
          <w:szCs w:val="16"/>
        </w:rPr>
        <w:t xml:space="preserve">29 мая 1933 г. в докладной записке ЦАГИ во Всесоюзное объединение авиационной промышленности «О постройке аэродинамических труб государственного значения» говорилось о том, что СССР существенно отстал в этой области от передовых капиталистических стран, и это негативно сказалось на качестве советского самолетостроения и обороноспособности страны. «Принимая во внимание большую программу строительства новых военных самолетов во II пятилетке, характеризующейся постройкой очень быстроходных машин с одной стороны, а с другой, машин колоссального размера, следует со всей категоричностью констатировать полное отсутствие экспериментальной базы для будущего самолетостроения, так как те исследования ведутся в трубах Союза на маленьких моделях, </w:t>
      </w:r>
      <w:r w:rsidRPr="0044524F">
        <w:rPr>
          <w:color w:val="000000" w:themeColor="text1"/>
          <w:sz w:val="16"/>
          <w:szCs w:val="16"/>
        </w:rPr>
        <w:lastRenderedPageBreak/>
        <w:t>дают результаты, совершенно не отвечающие тому, что получается в натуре у скоростных машин и у машин гигантского размера, которые будут строиться во II пятилетке». В связи с вышеизложенным, ЦАГИ просил построить две большие аэродинамические трубы (винтовую и самолетную) на новом участке института, в Раменском. НКТП должен был включить в программу работ заводов необходимое оборудование по тяжелому машиностроению с таким расчетом, чтобы заказанное оборудование было готово по самолетной трубе в начале 1935 г., а по винтовой трубе к середине 1936 г., а также обеспечить необходимое энергоснабжение новых труб и командировать специалистов в Америку, Германию, Англию для ознакомления с большими трубами. Аналогичную записку ЦАГИ направил в ЦК ВКП(б) 25 ноября 1934 г. Постановлением СТО СССР № С</w:t>
      </w:r>
      <w:r w:rsidRPr="0044524F">
        <w:rPr>
          <w:color w:val="000000" w:themeColor="text1"/>
          <w:sz w:val="16"/>
          <w:szCs w:val="16"/>
        </w:rPr>
        <w:noBreakHyphen/>
        <w:t>108сс от 26 августа 1935 г. «О развитии научно-технических исследований по авиации» были утверждены объемы и сроки строительства лабораторий и аэродрома ЦАГИ на Раменском участке. Была образована комиссия под председательством Г. Л. Пятакова. Этим же постановлением ГУ АП обязывалось построить в 1936</w:t>
      </w:r>
      <w:r w:rsidRPr="0044524F">
        <w:rPr>
          <w:color w:val="000000" w:themeColor="text1"/>
          <w:sz w:val="16"/>
          <w:szCs w:val="16"/>
        </w:rPr>
        <w:noBreakHyphen/>
        <w:t>1937 гг. аэродинамические трубы и лаборатории в Харьковском и Казанском авиационных институтах, а также на заводах № 18, 22, 23, 31 и 125. Для усиления темпов работы научно-исследовательские отделы ЦАГИ объединялись в Научно-исследовательское управление, возглавлявшееся заместителем начальника ЦАГИ. (РГАЭ. Ф. 8328. Оп. 1. Д. 681. Л. 9</w:t>
      </w:r>
      <w:r w:rsidRPr="0044524F">
        <w:rPr>
          <w:color w:val="000000" w:themeColor="text1"/>
          <w:sz w:val="16"/>
          <w:szCs w:val="16"/>
        </w:rPr>
        <w:noBreakHyphen/>
        <w:t>8; АП РФ. Ф. 3. Оп. 46. Д. 95. Л. 144</w:t>
      </w:r>
      <w:r w:rsidRPr="0044524F">
        <w:rPr>
          <w:color w:val="000000" w:themeColor="text1"/>
          <w:sz w:val="16"/>
          <w:szCs w:val="16"/>
        </w:rPr>
        <w:noBreakHyphen/>
        <w:t>147; ГА РФ. Ф. Р</w:t>
      </w:r>
      <w:r w:rsidRPr="0044524F">
        <w:rPr>
          <w:color w:val="000000" w:themeColor="text1"/>
          <w:sz w:val="16"/>
          <w:szCs w:val="16"/>
        </w:rPr>
        <w:noBreakHyphen/>
        <w:t>8418. Оп. 28. Д. 7. Л. 79</w:t>
      </w:r>
      <w:r w:rsidRPr="0044524F">
        <w:rPr>
          <w:color w:val="000000" w:themeColor="text1"/>
          <w:sz w:val="16"/>
          <w:szCs w:val="16"/>
        </w:rPr>
        <w:noBreakHyphen/>
        <w:t>81) (15265).</w:t>
      </w:r>
    </w:p>
    <w:p w14:paraId="13D3CFD5" w14:textId="77777777" w:rsidR="000B1B08" w:rsidRPr="0044524F" w:rsidRDefault="000B1B08" w:rsidP="009654CF">
      <w:pPr>
        <w:spacing w:after="0" w:line="240" w:lineRule="auto"/>
        <w:jc w:val="both"/>
        <w:rPr>
          <w:rFonts w:ascii="Times New Roman" w:hAnsi="Times New Roman"/>
          <w:iCs/>
          <w:color w:val="000000" w:themeColor="text1"/>
          <w:sz w:val="16"/>
          <w:szCs w:val="16"/>
        </w:rPr>
      </w:pPr>
    </w:p>
    <w:p w14:paraId="3FD8CE55" w14:textId="77777777" w:rsidR="000B1B0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B70764E" w14:textId="77777777" w:rsidR="000B1B08" w:rsidRPr="0044524F" w:rsidRDefault="000B1B08" w:rsidP="009654CF">
      <w:pPr>
        <w:spacing w:after="0" w:line="240" w:lineRule="auto"/>
        <w:jc w:val="both"/>
        <w:rPr>
          <w:rFonts w:ascii="Times New Roman" w:hAnsi="Times New Roman"/>
          <w:iCs/>
          <w:color w:val="000000" w:themeColor="text1"/>
          <w:sz w:val="16"/>
          <w:szCs w:val="16"/>
        </w:rPr>
      </w:pPr>
    </w:p>
    <w:p w14:paraId="24778FF7" w14:textId="77777777" w:rsidR="000B1B08" w:rsidRPr="0044524F" w:rsidRDefault="000B1B08" w:rsidP="009654CF">
      <w:pPr>
        <w:pStyle w:val="rtejustify"/>
        <w:spacing w:before="0" w:after="0"/>
        <w:rPr>
          <w:color w:val="000000" w:themeColor="text1"/>
          <w:sz w:val="16"/>
          <w:szCs w:val="16"/>
        </w:rPr>
      </w:pPr>
      <w:r w:rsidRPr="0044524F">
        <w:rPr>
          <w:rStyle w:val="af0"/>
          <w:bCs/>
          <w:i w:val="0"/>
          <w:color w:val="000000" w:themeColor="text1"/>
          <w:sz w:val="16"/>
          <w:szCs w:val="16"/>
        </w:rPr>
        <w:t>29 мая 1933 вышел приказ НКТП № 68с.</w:t>
      </w:r>
      <w:r w:rsidRPr="0044524F">
        <w:rPr>
          <w:color w:val="000000" w:themeColor="text1"/>
          <w:sz w:val="16"/>
          <w:szCs w:val="16"/>
        </w:rPr>
        <w:t xml:space="preserve"> Об укреплении дисциплины на предприятиях военной промышленности. (РГАЭ. Ф. 7297. Оп. 38. Д. 38. Л. 18) (15246).</w:t>
      </w:r>
    </w:p>
    <w:p w14:paraId="19DAB380" w14:textId="2E5B2BEE" w:rsidR="000B1B08" w:rsidRPr="0044524F" w:rsidRDefault="000B1B08" w:rsidP="009654CF">
      <w:pPr>
        <w:pStyle w:val="rtejustify"/>
        <w:spacing w:before="0" w:after="0"/>
        <w:rPr>
          <w:color w:val="000000" w:themeColor="text1"/>
          <w:sz w:val="16"/>
          <w:szCs w:val="16"/>
        </w:rPr>
      </w:pPr>
    </w:p>
    <w:p w14:paraId="7AB10ED7" w14:textId="1B109330" w:rsidR="00EB09F2" w:rsidRPr="0044524F" w:rsidRDefault="00EB09F2" w:rsidP="009654CF">
      <w:pPr>
        <w:pStyle w:val="rtejustify"/>
        <w:spacing w:before="0" w:after="0"/>
        <w:rPr>
          <w:i/>
          <w:iCs/>
          <w:color w:val="000000" w:themeColor="text1"/>
          <w:sz w:val="16"/>
          <w:szCs w:val="16"/>
        </w:rPr>
      </w:pPr>
      <w:r w:rsidRPr="0044524F">
        <w:rPr>
          <w:i/>
          <w:iCs/>
          <w:color w:val="000000" w:themeColor="text1"/>
          <w:sz w:val="16"/>
          <w:szCs w:val="16"/>
        </w:rPr>
        <w:t>За рубежом:</w:t>
      </w:r>
    </w:p>
    <w:p w14:paraId="30553142" w14:textId="77777777" w:rsidR="00EB09F2" w:rsidRPr="0044524F" w:rsidRDefault="00EB09F2" w:rsidP="009654CF">
      <w:pPr>
        <w:pStyle w:val="rtejustify"/>
        <w:spacing w:before="0" w:after="0"/>
        <w:rPr>
          <w:i/>
          <w:iCs/>
          <w:color w:val="000000" w:themeColor="text1"/>
          <w:sz w:val="16"/>
          <w:szCs w:val="16"/>
        </w:rPr>
      </w:pPr>
    </w:p>
    <w:p w14:paraId="3DCAE11E" w14:textId="77777777" w:rsidR="00EB09F2" w:rsidRPr="0044524F" w:rsidRDefault="00EB09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мая 1933 на POTEZ 53 Джордж Детре выигрывает 1933 Coupe Deutsch де ла Мерт - гонки, охватывающие 2000 км (1243 миль) за два этапа по замкнутой за 6 часов 11 минут 45 секунд со средней скоростью 322.81 км / ч (200,58 миль / ч) (20802).</w:t>
      </w:r>
    </w:p>
    <w:p w14:paraId="2B2B11EB" w14:textId="77777777" w:rsidR="00EB09F2" w:rsidRPr="0044524F" w:rsidRDefault="00EB09F2" w:rsidP="009654CF">
      <w:pPr>
        <w:spacing w:after="0" w:line="240" w:lineRule="auto"/>
        <w:jc w:val="both"/>
        <w:rPr>
          <w:rFonts w:ascii="Times New Roman" w:hAnsi="Times New Roman"/>
          <w:color w:val="000000" w:themeColor="text1"/>
          <w:sz w:val="16"/>
          <w:szCs w:val="16"/>
        </w:rPr>
      </w:pPr>
    </w:p>
    <w:p w14:paraId="7624F4E3" w14:textId="77777777" w:rsidR="008C5AAD"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2D39BEF" w14:textId="77777777" w:rsidR="008C5AAD" w:rsidRPr="0044524F" w:rsidRDefault="008C5AAD" w:rsidP="009654CF">
      <w:pPr>
        <w:spacing w:after="0" w:line="240" w:lineRule="auto"/>
        <w:jc w:val="both"/>
        <w:rPr>
          <w:rFonts w:ascii="Times New Roman" w:hAnsi="Times New Roman"/>
          <w:iCs/>
          <w:color w:val="000000" w:themeColor="text1"/>
          <w:sz w:val="16"/>
          <w:szCs w:val="16"/>
        </w:rPr>
      </w:pPr>
    </w:p>
    <w:p w14:paraId="0B11CFD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30 мая по 18 июня 1933 С.А.Леваневский со ш В.И.Левченко и вторым пилотом Г.А.Страубе совершил перелет из Севастополя в Хабаровск для перегонки самолета Дорнье-Валь (Н-8). Из Хабаровска вылетел спасать Маттерна (438,647).</w:t>
      </w:r>
    </w:p>
    <w:p w14:paraId="455FC899"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069F5D5C" w14:textId="77777777" w:rsidR="008C5AAD"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ACD3710" w14:textId="77777777" w:rsidR="008C5AAD" w:rsidRPr="0044524F" w:rsidRDefault="008C5AAD" w:rsidP="009654CF">
      <w:pPr>
        <w:spacing w:after="0" w:line="240" w:lineRule="auto"/>
        <w:jc w:val="both"/>
        <w:rPr>
          <w:rFonts w:ascii="Times New Roman" w:hAnsi="Times New Roman"/>
          <w:iCs/>
          <w:color w:val="000000" w:themeColor="text1"/>
          <w:sz w:val="16"/>
          <w:szCs w:val="16"/>
        </w:rPr>
      </w:pPr>
    </w:p>
    <w:p w14:paraId="1DC633D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мая 1933 г. по приказу директора завода было создано Бюро конструирования объектов нового вооружения (Бюро конструирования объектов нового вооружения, Отдел Главного конструктора, Конструкторско-оружейный центр ОАО «Ижмаш»)</w:t>
      </w:r>
    </w:p>
    <w:p w14:paraId="57BF561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(конец 1940-х-58 г.)- В(Н).И. Лавренов, И. Семеновых, (1990-е)- Н. Безбородов.</w:t>
      </w:r>
    </w:p>
    <w:p w14:paraId="625740F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(2006 г.)- Ю.А. Широбоков.</w:t>
      </w:r>
    </w:p>
    <w:p w14:paraId="4863566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Ведущие конструкторы: (1945 г.-)- Е.Ф. Драгунов (С-49, МЦВ-50, ЦВ-50, СМ, «Биатлон», «Зенит», «Стрела», «Тайга», СВД), (2002 г.)- В.М. Калашников (ПП-19).</w:t>
      </w:r>
    </w:p>
    <w:p w14:paraId="25F6D37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снайперская винтовка СВД; автомат АН-94 «Абакан»; винтовка «Биатлон»; охотничье оружие: карабин «Сайга» (11982).</w:t>
      </w:r>
    </w:p>
    <w:p w14:paraId="091B1D21"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6A8C058A" w14:textId="77777777" w:rsidR="00D91C1A" w:rsidRPr="00142305" w:rsidRDefault="00D91C1A" w:rsidP="00D91C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мая 1933 г. в Ленинграде И.С. Бер главный конструктор Опытного завода Спецмаштреста С.А. Гинзбург подписали акта приема от ОКМО чертежей для серийного производства танка Т-35А на ХПЗ. Необходимо отметить, что задержка с получением чертежей более чем на 4 месяца (по плану ХПЗ должен был получить все чертежи до 15 января 1933 г.). была вызвана в основном их переделкой. В регулярных сообщениях о ходе приема чертежей танка Т-35А И.С Бер докладывал руководству ХПЗ о множестве вносимых в них по его требованию изменений и исправлений</w:t>
      </w:r>
    </w:p>
    <w:p w14:paraId="5096DCB7" w14:textId="77777777" w:rsidR="00D91C1A" w:rsidRDefault="00D91C1A" w:rsidP="00D91C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марта 1933 г. в письме И.С. Бер сообщил: «Группа 58 [″Средняя башня с 45-мм пушкой″] задержана по моему требованию для внесения изменений в конструкцию сварной рамки 45-мм установки. Работы по проверке в настоящее время чрезвычайно много. Работаем также вечерами».</w:t>
      </w:r>
    </w:p>
    <w:p w14:paraId="7565260D" w14:textId="77777777" w:rsidR="00D91C1A" w:rsidRDefault="00D91C1A" w:rsidP="00D91C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письма И.С. Бера от 18 марта 1933 г.: «Мною проверены группы 41 [″Приводы коробки передач″], 58 и 59 [″Механизмы средней башни″] и переданы для внесения исправлений. Исправлений, весьма серьезных, очень много. Сегодня заканчиваю проверки 42-й группы [″Приводы управления″]. В этой группе мною также намечен целый ряд изменений и исправлений».</w:t>
      </w:r>
    </w:p>
    <w:p w14:paraId="18BD75AC" w14:textId="4471B96F" w:rsidR="00D91C1A" w:rsidRPr="00142305" w:rsidRDefault="00D91C1A" w:rsidP="00D91C1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письма И.С. Бера от 22 марта 1933 г.: «Проверенные мною 42, 58 и 59 группы задерживаются в Конструкторском Бюро ОКМО, т. к. содержат значительное количество переделок и исправлений» (25046).</w:t>
      </w:r>
    </w:p>
    <w:p w14:paraId="37580899" w14:textId="77777777" w:rsidR="00D91C1A" w:rsidRPr="00142305" w:rsidRDefault="00D91C1A" w:rsidP="00D91C1A">
      <w:pPr>
        <w:spacing w:after="0" w:line="240" w:lineRule="auto"/>
        <w:jc w:val="both"/>
        <w:rPr>
          <w:rFonts w:ascii="Times New Roman" w:hAnsi="Times New Roman"/>
          <w:color w:val="0070C0"/>
          <w:sz w:val="16"/>
          <w:szCs w:val="16"/>
        </w:rPr>
      </w:pPr>
    </w:p>
    <w:p w14:paraId="7039247F" w14:textId="77777777" w:rsidR="00197613" w:rsidRPr="0044524F" w:rsidRDefault="001976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мая и 13 июня 1933 Москвы отказалась от совместного производства химических опытов («Томка») и дальнейшей деятельности танковой школы в Казани (18265).</w:t>
      </w:r>
    </w:p>
    <w:p w14:paraId="5B3A0E1A" w14:textId="77777777" w:rsidR="00197613" w:rsidRPr="0044524F" w:rsidRDefault="00197613" w:rsidP="009654CF">
      <w:pPr>
        <w:spacing w:after="0" w:line="240" w:lineRule="auto"/>
        <w:jc w:val="both"/>
        <w:rPr>
          <w:rFonts w:ascii="Times New Roman" w:hAnsi="Times New Roman"/>
          <w:color w:val="000000" w:themeColor="text1"/>
          <w:sz w:val="16"/>
          <w:szCs w:val="16"/>
        </w:rPr>
      </w:pPr>
    </w:p>
    <w:p w14:paraId="5D3BDFEC" w14:textId="77777777" w:rsidR="008C5AAD"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D0A50D3"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6FCBA4A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мая 1933 приказом № 165 трехмесячному заключению в штрафизолятор подвергались 16 заключенных, «замеченных в саботаже и симуляции на производстве», а именно в членовредительстве путем создания себе «искусственных заболеваний путем употребления соли, овса, сырого кофе и разных отбросов, уксусной эссенции и других растравляющих и вредно действующих на организм веществ, вызывая тем самым злокачественные опухоли и отеки конечностей» (7560).</w:t>
      </w:r>
    </w:p>
    <w:p w14:paraId="7278EAD1"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23D544D8" w14:textId="77777777" w:rsidR="008C5AAD"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47BEE21E" w14:textId="77777777" w:rsidR="008C5AAD" w:rsidRPr="0044524F" w:rsidRDefault="008C5AAD" w:rsidP="009654CF">
      <w:pPr>
        <w:spacing w:after="0" w:line="240" w:lineRule="auto"/>
        <w:jc w:val="both"/>
        <w:rPr>
          <w:rFonts w:ascii="Times New Roman" w:hAnsi="Times New Roman"/>
          <w:iCs/>
          <w:color w:val="000000" w:themeColor="text1"/>
          <w:sz w:val="16"/>
          <w:szCs w:val="16"/>
        </w:rPr>
      </w:pPr>
    </w:p>
    <w:p w14:paraId="00F575F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мая 1933 заместитель военного атташе в Берлине Шниттман заявил немцам об отказе в проведении совместных опытов на полигоне «Томка» и посылке советских курсантов в танковую школу в Казани (РГВА, ф. 33987, on. 3, д. 497, л. 146-147.) (11784).</w:t>
      </w:r>
    </w:p>
    <w:p w14:paraId="63BB28C5"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1E17F59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мая и 13 июня 1933 Москва отказалась от совместного производства химических опытов («Томка») и дальнейшей деятельности танковой школы в Казани и германский военный атташе Хартман 22 июля 1933 г.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1834A57A"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36BCFF14" w14:textId="77777777" w:rsidR="000B1B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B92803B" w14:textId="77777777" w:rsidR="000B1B08" w:rsidRPr="0044524F" w:rsidRDefault="000B1B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4E025F" w14:textId="77777777" w:rsidR="000B1B08" w:rsidRPr="0044524F" w:rsidRDefault="000B1B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lastRenderedPageBreak/>
        <w:t>30 мая</w:t>
      </w:r>
      <w:r w:rsidRPr="0044524F">
        <w:rPr>
          <w:rFonts w:ascii="Times New Roman" w:hAnsi="Times New Roman"/>
          <w:color w:val="000000" w:themeColor="text1"/>
          <w:sz w:val="16"/>
          <w:szCs w:val="16"/>
        </w:rPr>
        <w:t xml:space="preserve"> в 1933 году состоялся первый полет прототипа «G.5/1» самолета </w:t>
      </w:r>
      <w:hyperlink r:id="rId175" w:tgtFrame="_blank" w:history="1">
        <w:r w:rsidRPr="0044524F">
          <w:rPr>
            <w:rFonts w:ascii="Times New Roman" w:hAnsi="Times New Roman"/>
            <w:color w:val="000000" w:themeColor="text1"/>
            <w:sz w:val="16"/>
            <w:szCs w:val="16"/>
          </w:rPr>
          <w:t xml:space="preserve">«Fiat» «G.5». </w:t>
        </w:r>
      </w:hyperlink>
      <w:r w:rsidRPr="0044524F">
        <w:rPr>
          <w:rFonts w:ascii="Times New Roman" w:hAnsi="Times New Roman"/>
          <w:color w:val="000000" w:themeColor="text1"/>
          <w:sz w:val="16"/>
          <w:szCs w:val="16"/>
        </w:rPr>
        <w:t>После проведения испытаний фирма получила контракт на 34 экземпляра модифицированных самолетов «G.5bis» с двигателем «Fiat A».70 мощностью 200 л.с. Строительством самолетов занималась дочерняя фирма CMASA. Из построенных машин лишь одна пережила Вторую Мировую войну (14907).</w:t>
      </w:r>
    </w:p>
    <w:p w14:paraId="61BDAD0F" w14:textId="77777777" w:rsidR="000B1B08" w:rsidRPr="0044524F" w:rsidRDefault="000B1B08" w:rsidP="009654CF">
      <w:pPr>
        <w:spacing w:after="0" w:line="240" w:lineRule="auto"/>
        <w:jc w:val="both"/>
        <w:rPr>
          <w:rFonts w:ascii="Times New Roman" w:hAnsi="Times New Roman"/>
          <w:color w:val="000000" w:themeColor="text1"/>
          <w:sz w:val="16"/>
          <w:szCs w:val="16"/>
        </w:rPr>
      </w:pPr>
    </w:p>
    <w:p w14:paraId="44A4FB48" w14:textId="77777777" w:rsidR="008C5AAD"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848C30A" w14:textId="77777777" w:rsidR="008C5AAD" w:rsidRPr="0044524F" w:rsidRDefault="008C5AAD" w:rsidP="009654CF">
      <w:pPr>
        <w:spacing w:after="0" w:line="240" w:lineRule="auto"/>
        <w:jc w:val="both"/>
        <w:rPr>
          <w:rFonts w:ascii="Times New Roman" w:hAnsi="Times New Roman"/>
          <w:iCs/>
          <w:color w:val="000000" w:themeColor="text1"/>
          <w:sz w:val="16"/>
          <w:szCs w:val="16"/>
        </w:rPr>
      </w:pPr>
    </w:p>
    <w:p w14:paraId="6A6F0DD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года вышло Постановление N 35сс/о СТО О предельном радиусе действия ТБ-3:</w:t>
      </w:r>
    </w:p>
    <w:p w14:paraId="41735F6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021ED76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к сведению следующие заявления Баранова и Алксниса.</w:t>
      </w:r>
    </w:p>
    <w:p w14:paraId="7439F848" w14:textId="77777777" w:rsidR="008C5AAD" w:rsidRPr="0044524F" w:rsidRDefault="008C5AAD" w:rsidP="009654CF">
      <w:pPr>
        <w:numPr>
          <w:ilvl w:val="0"/>
          <w:numId w:val="21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серийного производства ТБ-3 с 4-мя моторами М-17 для увеличения радиуса действия должен быть облегчен путем снятия: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77"/>
        <w:gridCol w:w="1418"/>
      </w:tblGrid>
      <w:tr w:rsidR="004E10C1" w:rsidRPr="0044524F" w14:paraId="66EDC513" w14:textId="77777777">
        <w:tc>
          <w:tcPr>
            <w:tcW w:w="4077" w:type="dxa"/>
          </w:tcPr>
          <w:p w14:paraId="6EF6E40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 веса конструкции</w:t>
            </w:r>
          </w:p>
        </w:tc>
        <w:tc>
          <w:tcPr>
            <w:tcW w:w="1418" w:type="dxa"/>
          </w:tcPr>
          <w:p w14:paraId="1096094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214 кг</w:t>
            </w:r>
          </w:p>
        </w:tc>
      </w:tr>
      <w:tr w:rsidR="004E10C1" w:rsidRPr="0044524F" w14:paraId="4BA76A9A" w14:textId="77777777">
        <w:tc>
          <w:tcPr>
            <w:tcW w:w="4077" w:type="dxa"/>
          </w:tcPr>
          <w:p w14:paraId="4AAE482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 веса вооружения и оборудования</w:t>
            </w:r>
          </w:p>
        </w:tc>
        <w:tc>
          <w:tcPr>
            <w:tcW w:w="1418" w:type="dxa"/>
          </w:tcPr>
          <w:p w14:paraId="1B133A1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 кг</w:t>
            </w:r>
          </w:p>
        </w:tc>
      </w:tr>
      <w:tr w:rsidR="004E10C1" w:rsidRPr="0044524F" w14:paraId="73259F88" w14:textId="77777777">
        <w:tc>
          <w:tcPr>
            <w:tcW w:w="4077" w:type="dxa"/>
          </w:tcPr>
          <w:p w14:paraId="70B17A4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 веса экипажа (вместо 8 чел. оставить 6)</w:t>
            </w:r>
          </w:p>
        </w:tc>
        <w:tc>
          <w:tcPr>
            <w:tcW w:w="1418" w:type="dxa"/>
          </w:tcPr>
          <w:p w14:paraId="63ACB19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 кг</w:t>
            </w:r>
          </w:p>
        </w:tc>
      </w:tr>
      <w:tr w:rsidR="004E10C1" w:rsidRPr="0044524F" w14:paraId="21E10523" w14:textId="77777777">
        <w:tc>
          <w:tcPr>
            <w:tcW w:w="4077" w:type="dxa"/>
          </w:tcPr>
          <w:p w14:paraId="05660EA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418" w:type="dxa"/>
          </w:tcPr>
          <w:p w14:paraId="374D0C6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1090 кг</w:t>
            </w:r>
          </w:p>
        </w:tc>
      </w:tr>
    </w:tbl>
    <w:p w14:paraId="508EDB04" w14:textId="77777777" w:rsidR="008C5AAD" w:rsidRPr="0044524F" w:rsidRDefault="008C5AAD" w:rsidP="009654CF">
      <w:pPr>
        <w:numPr>
          <w:ilvl w:val="0"/>
          <w:numId w:val="21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Серийный самолет ТБ-3 с 4-мя моторами М-17, имея нормальный полетный вес в 17200 кг допускает перегрузку на 2,1 т и увеличение этим путем полетного веса до 19300 кг.</w:t>
      </w:r>
    </w:p>
    <w:p w14:paraId="1375175A" w14:textId="77777777" w:rsidR="008C5AAD" w:rsidRPr="0044524F" w:rsidRDefault="008C5AAD" w:rsidP="009654CF">
      <w:pPr>
        <w:numPr>
          <w:ilvl w:val="0"/>
          <w:numId w:val="21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полетном весе с перегрузкой 19300 кг и указанном в п. 1 облегчении самолет ТБ-3 имеет: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20"/>
        <w:gridCol w:w="2160"/>
        <w:gridCol w:w="2160"/>
      </w:tblGrid>
      <w:tr w:rsidR="004E10C1" w:rsidRPr="0044524F" w14:paraId="5433C19D" w14:textId="77777777">
        <w:tc>
          <w:tcPr>
            <w:tcW w:w="4320" w:type="dxa"/>
          </w:tcPr>
          <w:p w14:paraId="0E0D8495"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2160" w:type="dxa"/>
          </w:tcPr>
          <w:p w14:paraId="37A3F40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Техническая дальность действия</w:t>
            </w:r>
          </w:p>
        </w:tc>
        <w:tc>
          <w:tcPr>
            <w:tcW w:w="2160" w:type="dxa"/>
          </w:tcPr>
          <w:p w14:paraId="27D5E80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Технический радиус действия</w:t>
            </w:r>
          </w:p>
        </w:tc>
      </w:tr>
      <w:tr w:rsidR="004E10C1" w:rsidRPr="0044524F" w14:paraId="039BBAC9" w14:textId="77777777">
        <w:tc>
          <w:tcPr>
            <w:tcW w:w="4320" w:type="dxa"/>
          </w:tcPr>
          <w:p w14:paraId="6097992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бомбовой нагрузке в 1 т на 4-х держателях Дер-13 под крыльями</w:t>
            </w:r>
          </w:p>
        </w:tc>
        <w:tc>
          <w:tcPr>
            <w:tcW w:w="2160" w:type="dxa"/>
          </w:tcPr>
          <w:p w14:paraId="32DB1CF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2600 км</w:t>
            </w:r>
          </w:p>
        </w:tc>
        <w:tc>
          <w:tcPr>
            <w:tcW w:w="2160" w:type="dxa"/>
          </w:tcPr>
          <w:p w14:paraId="1AF351F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 км</w:t>
            </w:r>
          </w:p>
        </w:tc>
      </w:tr>
      <w:tr w:rsidR="004E10C1" w:rsidRPr="0044524F" w14:paraId="107F80CB" w14:textId="77777777">
        <w:tc>
          <w:tcPr>
            <w:tcW w:w="4320" w:type="dxa"/>
          </w:tcPr>
          <w:p w14:paraId="08596CE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бомбовой нагрузке на тех же 4-х Дер-13 в 2 т</w:t>
            </w:r>
          </w:p>
        </w:tc>
        <w:tc>
          <w:tcPr>
            <w:tcW w:w="2160" w:type="dxa"/>
          </w:tcPr>
          <w:p w14:paraId="69B31F5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2200 км</w:t>
            </w:r>
          </w:p>
        </w:tc>
        <w:tc>
          <w:tcPr>
            <w:tcW w:w="2160" w:type="dxa"/>
          </w:tcPr>
          <w:p w14:paraId="17C58B5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1100 км</w:t>
            </w:r>
          </w:p>
        </w:tc>
      </w:tr>
    </w:tbl>
    <w:p w14:paraId="067CACB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начальнику Глававиапрома и начальнику ВВС продолжать изыскивать пути и способы дальнейшего облегчения конструкции и вооружения ТБ-3, уменьшения удельного расхода горючего и дальнейшего увеличения за этот счет радиуса действия и бомбовой нагрузки.</w:t>
      </w:r>
    </w:p>
    <w:p w14:paraId="77FA881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(4014,1-2).</w:t>
      </w:r>
    </w:p>
    <w:p w14:paraId="614419F2"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0CA4444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года постановление № 35сс/о СТО</w:t>
      </w:r>
    </w:p>
    <w:p w14:paraId="14DC898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предельном радиусе действия ТБ-3</w:t>
      </w:r>
    </w:p>
    <w:p w14:paraId="6B94ADD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41DD50D1" w14:textId="77777777" w:rsidR="008C5AAD" w:rsidRPr="0044524F" w:rsidRDefault="008C5AAD" w:rsidP="009654CF">
      <w:pPr>
        <w:numPr>
          <w:ilvl w:val="0"/>
          <w:numId w:val="21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к сведению следующие заявления Баранова и Алксниса:</w:t>
      </w:r>
    </w:p>
    <w:p w14:paraId="627241C2" w14:textId="77777777" w:rsidR="008C5AAD" w:rsidRPr="0044524F" w:rsidRDefault="008C5AAD" w:rsidP="009654CF">
      <w:pPr>
        <w:pStyle w:val="24"/>
        <w:widowControl/>
        <w:numPr>
          <w:ilvl w:val="0"/>
          <w:numId w:val="219"/>
        </w:numPr>
        <w:tabs>
          <w:tab w:val="left" w:pos="360"/>
        </w:tabs>
        <w:ind w:left="0" w:firstLine="0"/>
        <w:rPr>
          <w:color w:val="000000" w:themeColor="text1"/>
        </w:rPr>
      </w:pPr>
      <w:r w:rsidRPr="0044524F">
        <w:rPr>
          <w:color w:val="000000" w:themeColor="text1"/>
        </w:rPr>
        <w:t>Самолет серийного производства ТБ-3 с 4-мя моторами М-17 для увеличения радиуса действия должен быть облегчен путем снятия:</w:t>
      </w:r>
    </w:p>
    <w:p w14:paraId="5451958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 веса конструкции – 214 кг</w:t>
      </w:r>
    </w:p>
    <w:p w14:paraId="58E2450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 веса вооружения и оборудования – 700 кг</w:t>
      </w:r>
    </w:p>
    <w:p w14:paraId="7B7E96A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 веса экипажа (вместо 8 человек оставить 6 человек) – 176 кг</w:t>
      </w:r>
    </w:p>
    <w:p w14:paraId="4266433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 1090 кг</w:t>
      </w:r>
    </w:p>
    <w:p w14:paraId="682E220C" w14:textId="77777777" w:rsidR="008C5AAD" w:rsidRPr="0044524F" w:rsidRDefault="008C5AAD" w:rsidP="009654CF">
      <w:pPr>
        <w:numPr>
          <w:ilvl w:val="0"/>
          <w:numId w:val="22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Серийный самолет ТБ-3 с 4-мя моторами М-17, имея нормальный полетный вес в 17200 кг, допускает перегрузку на 2,1 тн и увеличение этим путем полетного веса до 19300 кг.</w:t>
      </w:r>
    </w:p>
    <w:p w14:paraId="4CDD0A9D" w14:textId="77777777" w:rsidR="008C5AAD" w:rsidRPr="0044524F" w:rsidRDefault="008C5AAD" w:rsidP="009654CF">
      <w:pPr>
        <w:numPr>
          <w:ilvl w:val="0"/>
          <w:numId w:val="22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полетном весе с перегрузкой 19300 кг и указанном в п. 1 облегчении самолет ТБ-3 имеет: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868"/>
        <w:gridCol w:w="3868"/>
        <w:gridCol w:w="3868"/>
      </w:tblGrid>
      <w:tr w:rsidR="004E10C1" w:rsidRPr="0044524F" w14:paraId="4D0AEDA0" w14:textId="77777777">
        <w:tc>
          <w:tcPr>
            <w:tcW w:w="3868" w:type="dxa"/>
          </w:tcPr>
          <w:p w14:paraId="56ED0439"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3868" w:type="dxa"/>
          </w:tcPr>
          <w:p w14:paraId="5DC7DAB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Техническая дальность действия</w:t>
            </w:r>
          </w:p>
        </w:tc>
        <w:tc>
          <w:tcPr>
            <w:tcW w:w="3868" w:type="dxa"/>
          </w:tcPr>
          <w:p w14:paraId="571EA0C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Технический радиус действия</w:t>
            </w:r>
          </w:p>
        </w:tc>
      </w:tr>
      <w:tr w:rsidR="004E10C1" w:rsidRPr="0044524F" w14:paraId="365EB266" w14:textId="77777777">
        <w:tc>
          <w:tcPr>
            <w:tcW w:w="3868" w:type="dxa"/>
          </w:tcPr>
          <w:p w14:paraId="374AEC3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бомбовой нагрузке в 1 тн на 4-х держателях Дер-13 под крыльями</w:t>
            </w:r>
          </w:p>
        </w:tc>
        <w:tc>
          <w:tcPr>
            <w:tcW w:w="3868" w:type="dxa"/>
          </w:tcPr>
          <w:p w14:paraId="5054D2B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2600 км</w:t>
            </w:r>
          </w:p>
        </w:tc>
        <w:tc>
          <w:tcPr>
            <w:tcW w:w="3868" w:type="dxa"/>
          </w:tcPr>
          <w:p w14:paraId="6123D2E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 км</w:t>
            </w:r>
          </w:p>
        </w:tc>
      </w:tr>
      <w:tr w:rsidR="004E10C1" w:rsidRPr="0044524F" w14:paraId="1E191570" w14:textId="77777777">
        <w:tc>
          <w:tcPr>
            <w:tcW w:w="3868" w:type="dxa"/>
          </w:tcPr>
          <w:p w14:paraId="69EEBBA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бомбовой нагрузке на тех же 4-х держателях Дер-13 в 2 тонны</w:t>
            </w:r>
          </w:p>
        </w:tc>
        <w:tc>
          <w:tcPr>
            <w:tcW w:w="3868" w:type="dxa"/>
          </w:tcPr>
          <w:p w14:paraId="06A21C9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2200</w:t>
            </w:r>
          </w:p>
        </w:tc>
        <w:tc>
          <w:tcPr>
            <w:tcW w:w="3868" w:type="dxa"/>
          </w:tcPr>
          <w:p w14:paraId="14305AD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1100</w:t>
            </w:r>
          </w:p>
        </w:tc>
      </w:tr>
    </w:tbl>
    <w:p w14:paraId="435839C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………………………………………(7503, 26-27).</w:t>
      </w:r>
    </w:p>
    <w:p w14:paraId="2AADB487"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64F3771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вышло постановление СТО N 35сс "О предельном радиусе действия ТБ-3" (2282,27).</w:t>
      </w:r>
    </w:p>
    <w:p w14:paraId="6B2C4AE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1D4162F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к сведению следующие заявления П.И.Б. и Алксниса:</w:t>
      </w:r>
    </w:p>
    <w:p w14:paraId="707DA33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самолет серийного производства ТБ-3 4М-17 для увеличения радиуса действия д.б. облегчен путем снятия:</w:t>
      </w:r>
    </w:p>
    <w:p w14:paraId="1EEB9C3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 веса конструкции - 214 кг</w:t>
      </w:r>
    </w:p>
    <w:p w14:paraId="4FD4FA5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 веса вооружения и оборудования - 700 кг</w:t>
      </w:r>
    </w:p>
    <w:p w14:paraId="3895C2D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 веса экипажа (6 вместо 8) - 176 кг</w:t>
      </w:r>
    </w:p>
    <w:p w14:paraId="645F772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- 1090 кг</w:t>
      </w:r>
    </w:p>
    <w:p w14:paraId="3D6B325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Серийный самолет ТБ-3 4М-17, имея нормальный полетный вес 17200 кг, допускает перегрузку на 271 т и увеличение этим путем полетного веса до 19300 кг.</w:t>
      </w:r>
    </w:p>
    <w:p w14:paraId="54761FC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При полетном весе с перегрузкой 19300 и указанным в п. 1 облегчении самолет ТБ-3 имеет: с 1 т - 2600 км, с 2 т - 2200 км..." (2282,27).</w:t>
      </w:r>
    </w:p>
    <w:p w14:paraId="52ADBA4F"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6DD13832" w14:textId="77777777" w:rsidR="000B1B08" w:rsidRPr="0044524F" w:rsidRDefault="000B1B08" w:rsidP="009654CF">
      <w:pPr>
        <w:pStyle w:val="rtejustify"/>
        <w:spacing w:before="0" w:after="0"/>
        <w:rPr>
          <w:color w:val="000000" w:themeColor="text1"/>
          <w:sz w:val="16"/>
          <w:szCs w:val="16"/>
        </w:rPr>
      </w:pPr>
      <w:r w:rsidRPr="0044524F">
        <w:rPr>
          <w:rStyle w:val="af0"/>
          <w:bCs/>
          <w:i w:val="0"/>
          <w:color w:val="000000" w:themeColor="text1"/>
          <w:sz w:val="16"/>
          <w:szCs w:val="16"/>
        </w:rPr>
        <w:t>31 мая</w:t>
      </w:r>
      <w:r w:rsidRPr="0044524F">
        <w:rPr>
          <w:color w:val="000000" w:themeColor="text1"/>
          <w:sz w:val="16"/>
          <w:szCs w:val="16"/>
        </w:rPr>
        <w:t xml:space="preserve"> 1933. Постановление СТО СССР № 35сс/о «О предельном радиусе действия ТБ</w:t>
      </w:r>
      <w:r w:rsidRPr="0044524F">
        <w:rPr>
          <w:color w:val="000000" w:themeColor="text1"/>
          <w:sz w:val="16"/>
          <w:szCs w:val="16"/>
        </w:rPr>
        <w:noBreakHyphen/>
        <w:t>3». (ГА РФ. Ф. Р</w:t>
      </w:r>
      <w:r w:rsidRPr="0044524F">
        <w:rPr>
          <w:color w:val="000000" w:themeColor="text1"/>
          <w:sz w:val="16"/>
          <w:szCs w:val="16"/>
        </w:rPr>
        <w:noBreakHyphen/>
        <w:t>8418. Оп. 28. Д. 1. Л. 169</w:t>
      </w:r>
      <w:r w:rsidRPr="0044524F">
        <w:rPr>
          <w:color w:val="000000" w:themeColor="text1"/>
          <w:sz w:val="16"/>
          <w:szCs w:val="16"/>
        </w:rPr>
        <w:noBreakHyphen/>
        <w:t>170) (15460).</w:t>
      </w:r>
    </w:p>
    <w:p w14:paraId="0E65CBA8" w14:textId="77777777" w:rsidR="000B1B08" w:rsidRPr="0044524F" w:rsidRDefault="000B1B08" w:rsidP="009654CF">
      <w:pPr>
        <w:pStyle w:val="rtejustify"/>
        <w:spacing w:before="0" w:after="0"/>
        <w:rPr>
          <w:color w:val="000000" w:themeColor="text1"/>
          <w:sz w:val="16"/>
          <w:szCs w:val="16"/>
        </w:rPr>
      </w:pPr>
    </w:p>
    <w:p w14:paraId="72429850" w14:textId="77777777" w:rsidR="000B1B08" w:rsidRPr="0044524F" w:rsidRDefault="000B1B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31 мая 1933 г. Ворошилов был проинформировали о ходе работ по детающему танку Рафаэлянца, при этом отмечалось, что «проблема летающего </w:t>
      </w:r>
      <w:hyperlink r:id="rId176"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в настоящее время оформилась в виде 3-х предложений», каковые имели следующие ТТХ (представлены в таблице 1).</w:t>
      </w:r>
    </w:p>
    <w:p w14:paraId="7FDA1C4F" w14:textId="77777777" w:rsidR="000B1B08" w:rsidRPr="0044524F" w:rsidRDefault="000B1B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Товарищ Ворошилов, ознакомившись с присланными материалами, и, в частности, с особым мнением начальника 7-го сектора НИИ ВВС Горощенко «летающий </w:t>
      </w:r>
      <w:hyperlink r:id="rId177"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 технически осуществим, но требует очень длительного времени для получения положительных результатов работы его», пришел к выводу о том, что проще подвешивать </w:t>
      </w:r>
      <w:hyperlink r:id="rId178"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 под многомоторный бомбовоз, нежели делать «самолетающий». Таким образом, к лету 1933 г. все работы по летающим </w:t>
      </w:r>
      <w:hyperlink r:id="rId179"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ам Рафаэлянца, Камова и Самсонова-Добровольского были прекращены.</w:t>
      </w:r>
    </w:p>
    <w:p w14:paraId="6D7D0E97" w14:textId="77777777" w:rsidR="000B1B08" w:rsidRPr="0044524F" w:rsidRDefault="000B1B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Основные усилия конструкторов были направлены на создание устройств для подвески </w:t>
      </w:r>
      <w:hyperlink r:id="rId180"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ов под самолет. Так, в техтребования на перспективный бомардировщик ТБ-4 внесли дополнения. Уже в июле в ЦАГИ формально началась работа по приспособлению ТБ-4 для перевозки по воздуху </w:t>
      </w:r>
      <w:hyperlink r:id="rId181"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ов по две штуки Т-18, Т-34, Т-26, Т-37 или сразу четырёх </w:t>
      </w:r>
      <w:hyperlink r:id="rId182"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еток Т-27. Через некоторое время системы внешней подвески </w:t>
      </w:r>
      <w:hyperlink r:id="rId183"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ов к самолету были доведены до работоспособного состояния и приняты на снабжение армии. Позднее конструкторы М.Смалько (в 1937 г.) и О.Антонов (в 1941 г.) занимались конструированием летающих </w:t>
      </w:r>
      <w:hyperlink r:id="rId184"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ов (15632).</w:t>
      </w:r>
    </w:p>
    <w:p w14:paraId="71A5957D" w14:textId="77777777" w:rsidR="000B1B08" w:rsidRPr="0044524F" w:rsidRDefault="000B1B08" w:rsidP="009654CF">
      <w:pPr>
        <w:spacing w:after="0" w:line="240" w:lineRule="auto"/>
        <w:jc w:val="both"/>
        <w:rPr>
          <w:rFonts w:ascii="Times New Roman" w:hAnsi="Times New Roman"/>
          <w:color w:val="000000" w:themeColor="text1"/>
          <w:sz w:val="16"/>
          <w:szCs w:val="16"/>
        </w:rPr>
      </w:pPr>
    </w:p>
    <w:p w14:paraId="7864C622" w14:textId="79636B7D" w:rsidR="00197613" w:rsidRPr="0044524F" w:rsidRDefault="0019761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31 мая 1933 о ходе работ проинформировали Наркома Ворошилова (по всем трём направлениям, по которым на тот момент имелись какие-либо наработки). Ознакомившись с предоставленное информацией, а также мнением конструкторов о том, что проект технически осуществить можно, но это потребует много времени и расходов, Ворошилов принимает решение, что для РККА легче подвесить танк под бомбовоз, чем копаться с «самолетающим». И в июне 1933</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работы Рафаэлянца, а также групп Камова и Самсонова-Добровольского свернули (19529).</w:t>
      </w:r>
    </w:p>
    <w:p w14:paraId="4D11EB94" w14:textId="77777777" w:rsidR="00197613" w:rsidRPr="0044524F" w:rsidRDefault="00197613" w:rsidP="009654CF">
      <w:pPr>
        <w:spacing w:after="0" w:line="240" w:lineRule="auto"/>
        <w:jc w:val="both"/>
        <w:rPr>
          <w:rFonts w:ascii="Times New Roman" w:hAnsi="Times New Roman"/>
          <w:color w:val="000000" w:themeColor="text1"/>
          <w:sz w:val="16"/>
          <w:szCs w:val="16"/>
        </w:rPr>
      </w:pPr>
    </w:p>
    <w:p w14:paraId="438775E4" w14:textId="77777777" w:rsidR="00197613" w:rsidRPr="0044524F" w:rsidRDefault="00197613" w:rsidP="009654CF">
      <w:pPr>
        <w:pStyle w:val="ae"/>
        <w:shd w:val="clear" w:color="auto" w:fill="FFFFFF"/>
        <w:spacing w:before="0" w:after="0"/>
        <w:jc w:val="both"/>
        <w:rPr>
          <w:color w:val="000000" w:themeColor="text1"/>
          <w:sz w:val="16"/>
          <w:szCs w:val="16"/>
        </w:rPr>
      </w:pPr>
      <w:r w:rsidRPr="0044524F">
        <w:rPr>
          <w:color w:val="000000" w:themeColor="text1"/>
          <w:sz w:val="16"/>
          <w:szCs w:val="16"/>
        </w:rPr>
        <w:t>31 мая 1933 г. проинформировали Первого Красного Офицера Ворошилова о ходе работ по летающему танку Рафаэлянца, при этом отмечалось, что «проблема летающего танка в настоящее время оформилась в виде 3-х предложений», каковые имели следующие ТТХ (представлены в таблице 1).</w:t>
      </w:r>
    </w:p>
    <w:p w14:paraId="3EC27F99" w14:textId="77777777" w:rsidR="00197613" w:rsidRPr="0044524F" w:rsidRDefault="00197613" w:rsidP="009654CF">
      <w:pPr>
        <w:pStyle w:val="ae"/>
        <w:shd w:val="clear" w:color="auto" w:fill="FFFFFF"/>
        <w:spacing w:before="0" w:after="0"/>
        <w:jc w:val="both"/>
        <w:rPr>
          <w:color w:val="000000" w:themeColor="text1"/>
          <w:sz w:val="16"/>
          <w:szCs w:val="16"/>
        </w:rPr>
      </w:pPr>
      <w:r w:rsidRPr="0044524F">
        <w:rPr>
          <w:color w:val="000000" w:themeColor="text1"/>
          <w:sz w:val="16"/>
          <w:szCs w:val="16"/>
        </w:rPr>
        <w:t>Товарищ Ворошилов, ознакомившись с присланными материалами, и, в частности, с особым мнением начальника 7-го сектора НИИ ВВС Горощенко</w:t>
      </w:r>
    </w:p>
    <w:p w14:paraId="46A5ED45" w14:textId="77777777" w:rsidR="00197613" w:rsidRPr="0044524F" w:rsidRDefault="00197613" w:rsidP="009654CF">
      <w:pPr>
        <w:pStyle w:val="ae"/>
        <w:shd w:val="clear" w:color="auto" w:fill="FFFFFF"/>
        <w:spacing w:before="0" w:after="0"/>
        <w:jc w:val="both"/>
        <w:rPr>
          <w:iCs/>
          <w:color w:val="000000" w:themeColor="text1"/>
          <w:sz w:val="16"/>
          <w:szCs w:val="16"/>
        </w:rPr>
      </w:pPr>
      <w:r w:rsidRPr="0044524F">
        <w:rPr>
          <w:iCs/>
          <w:color w:val="000000" w:themeColor="text1"/>
          <w:sz w:val="16"/>
          <w:szCs w:val="16"/>
        </w:rPr>
        <w:t>«летающий танк технически осуществим, но требует очень длительного времени для получения положительных результатов работы его»</w:t>
      </w:r>
    </w:p>
    <w:p w14:paraId="668C3DFD" w14:textId="77777777" w:rsidR="00197613" w:rsidRPr="0044524F" w:rsidRDefault="00197613" w:rsidP="009654CF">
      <w:pPr>
        <w:pStyle w:val="ae"/>
        <w:shd w:val="clear" w:color="auto" w:fill="FFFFFF"/>
        <w:spacing w:before="0" w:after="0"/>
        <w:jc w:val="both"/>
        <w:rPr>
          <w:color w:val="000000" w:themeColor="text1"/>
          <w:sz w:val="16"/>
          <w:szCs w:val="16"/>
        </w:rPr>
      </w:pPr>
      <w:r w:rsidRPr="0044524F">
        <w:rPr>
          <w:color w:val="000000" w:themeColor="text1"/>
          <w:sz w:val="16"/>
          <w:szCs w:val="16"/>
        </w:rPr>
        <w:t>, пришел к выводу о том, что проще подвешивать танк под многомоторный бомбовоз, нежели делать «самолетающий».</w:t>
      </w:r>
    </w:p>
    <w:p w14:paraId="2D330F84" w14:textId="77777777" w:rsidR="00197613" w:rsidRPr="0044524F" w:rsidRDefault="00197613" w:rsidP="009654CF">
      <w:pPr>
        <w:pStyle w:val="ae"/>
        <w:shd w:val="clear" w:color="auto" w:fill="FFFFFF"/>
        <w:spacing w:before="0" w:after="0"/>
        <w:jc w:val="both"/>
        <w:rPr>
          <w:color w:val="000000" w:themeColor="text1"/>
          <w:sz w:val="16"/>
          <w:szCs w:val="16"/>
        </w:rPr>
      </w:pPr>
      <w:r w:rsidRPr="0044524F">
        <w:rPr>
          <w:color w:val="000000" w:themeColor="text1"/>
          <w:sz w:val="16"/>
          <w:szCs w:val="16"/>
        </w:rPr>
        <w:t>Таким образом, к лету 1933 г. все работы по летающим танкам Рафаэлянца, Камова и Самсонова-Добровольского были прекращены (19530).</w:t>
      </w:r>
    </w:p>
    <w:p w14:paraId="1AE7176B" w14:textId="77777777" w:rsidR="00197613" w:rsidRPr="0044524F" w:rsidRDefault="00197613" w:rsidP="009654CF">
      <w:pPr>
        <w:pStyle w:val="ae"/>
        <w:shd w:val="clear" w:color="auto" w:fill="FFFFFF"/>
        <w:spacing w:before="0" w:after="0"/>
        <w:jc w:val="both"/>
        <w:rPr>
          <w:color w:val="000000" w:themeColor="text1"/>
          <w:sz w:val="16"/>
          <w:szCs w:val="16"/>
        </w:rPr>
      </w:pPr>
    </w:p>
    <w:p w14:paraId="2E7A1CE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года Главный инженер-механик ВВС Аузан утвердил Технические требования к двухместному самолету трех назначений с мотором М34 НР</w:t>
      </w:r>
    </w:p>
    <w:p w14:paraId="1DB3397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самолета.</w:t>
      </w:r>
    </w:p>
    <w:p w14:paraId="7FAF32A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оперативного разведчика.</w:t>
      </w:r>
    </w:p>
    <w:p w14:paraId="7F37675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 Разведка глубокого тыла противника с целью выявления его оперативных намерений (ж/д переброски, инженерные сооружения, изменение в дислокации тыловых учреждений и дислокации ВВС противника).</w:t>
      </w:r>
    </w:p>
    <w:p w14:paraId="0B846ED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Разведка в интересах бомбардировочной авиации (объектов предназначенных к бомбардированию).</w:t>
      </w:r>
    </w:p>
    <w:p w14:paraId="729C054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двухместного истребителя.</w:t>
      </w:r>
    </w:p>
    <w:p w14:paraId="6683DF0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Активный наступательный и оборонительный воздушный бой как одиночными самолетами, так и в соединенных (преимущественно).</w:t>
      </w:r>
    </w:p>
    <w:p w14:paraId="6C0F957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Сопровождение и прикрытие подвижных наступательных средств (авиация, мото-тех. части, конница).</w:t>
      </w:r>
    </w:p>
    <w:p w14:paraId="2CE5B71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Прикрытие малоподвижных объектов (крупные соединения наземных войск, резервы).</w:t>
      </w:r>
    </w:p>
    <w:p w14:paraId="03AEDF6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легкого бомбардировщика.</w:t>
      </w:r>
    </w:p>
    <w:p w14:paraId="66BE372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Разрушение укреплений полевого типа и поражение мотомех, бронечастей артиллерии и живых сил противника.</w:t>
      </w:r>
    </w:p>
    <w:p w14:paraId="2A56DC3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Разрушение объектов в ближнем тылу противника, общевойсковые базы, авиабазы, аэродромы, легкие ж/д сооружения и т.д.).</w:t>
      </w:r>
    </w:p>
    <w:p w14:paraId="614AE5E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Разрушения речных переправ.</w:t>
      </w:r>
    </w:p>
    <w:p w14:paraId="1163749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Метод применения.</w:t>
      </w:r>
    </w:p>
    <w:p w14:paraId="2F7B8C6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оперативного разведчика.</w:t>
      </w:r>
    </w:p>
    <w:p w14:paraId="31C55DC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Основной метод фоторазведка с больших высот объектов удаленных от фронта.</w:t>
      </w:r>
    </w:p>
    <w:p w14:paraId="7BAC3EE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оперативного разведчика будет строиться на принципе внезапности, что предполагает полет одиночным самолетом и реже в соединении (звено, отряд).</w:t>
      </w:r>
    </w:p>
    <w:p w14:paraId="19F66EC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днем и ночью.</w:t>
      </w:r>
    </w:p>
    <w:p w14:paraId="1E038A3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Большая вероятность встречи с воздушным противником и неизбежное противодействие истребителей и других средств. ПВО предъявляют к самолету требования возможно большой скорости горизонтального полета на высоте 6000 м как основному средству для самозащиты и выполнения задания.</w:t>
      </w:r>
    </w:p>
    <w:p w14:paraId="08D9A73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Бой оборонительный вынужденный, при невозможности пользуясь преимуществом скорости уйти от боя.</w:t>
      </w:r>
    </w:p>
    <w:p w14:paraId="20EF9C0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двухместного истребителя.</w:t>
      </w:r>
    </w:p>
    <w:p w14:paraId="234280B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самолет сопровождения легкобомбардировочной авиации соединением (звено, отряд) и отдельными самолетами на больших высотах. Полет днем и ночью.</w:t>
      </w:r>
    </w:p>
    <w:p w14:paraId="49514FE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обеспечении подвижных объектов - бой наступательный как одиночный, так и соединением. Полет преимущественно днем на средних и малых высотах.</w:t>
      </w:r>
    </w:p>
    <w:p w14:paraId="4F729C0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легкого бомбардировщика.</w:t>
      </w:r>
    </w:p>
    <w:p w14:paraId="7AD83C8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в составе соединения (отряд, эскадрилья). Бомбардирование с больших и средних высот. Полет днем и ночью. Оборонительный.</w:t>
      </w:r>
    </w:p>
    <w:p w14:paraId="54965F7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Применение в качестве установщика дымовых завес. Полет в составе бомбардировочного соединения.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992"/>
        <w:gridCol w:w="1134"/>
        <w:gridCol w:w="1277"/>
      </w:tblGrid>
      <w:tr w:rsidR="004E10C1" w:rsidRPr="0044524F" w14:paraId="4BEEC2CF" w14:textId="77777777">
        <w:tc>
          <w:tcPr>
            <w:tcW w:w="2802" w:type="dxa"/>
          </w:tcPr>
          <w:p w14:paraId="27D9CF1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Летно-тактические данные:</w:t>
            </w:r>
          </w:p>
        </w:tc>
        <w:tc>
          <w:tcPr>
            <w:tcW w:w="992" w:type="dxa"/>
          </w:tcPr>
          <w:p w14:paraId="69EB9F24"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1134" w:type="dxa"/>
          </w:tcPr>
          <w:p w14:paraId="0F4521D7"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1277" w:type="dxa"/>
          </w:tcPr>
          <w:p w14:paraId="6A2FEEF3"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r>
      <w:tr w:rsidR="004E10C1" w:rsidRPr="0044524F" w14:paraId="66C69BEC" w14:textId="77777777">
        <w:tc>
          <w:tcPr>
            <w:tcW w:w="2802" w:type="dxa"/>
          </w:tcPr>
          <w:p w14:paraId="21B45392"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992" w:type="dxa"/>
          </w:tcPr>
          <w:p w14:paraId="1DF6CFB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w:t>
            </w:r>
          </w:p>
        </w:tc>
        <w:tc>
          <w:tcPr>
            <w:tcW w:w="1134" w:type="dxa"/>
          </w:tcPr>
          <w:p w14:paraId="208CA5B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ЛБ</w:t>
            </w:r>
          </w:p>
        </w:tc>
        <w:tc>
          <w:tcPr>
            <w:tcW w:w="1277" w:type="dxa"/>
          </w:tcPr>
          <w:p w14:paraId="4EBDE9F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w:t>
            </w:r>
          </w:p>
        </w:tc>
      </w:tr>
      <w:tr w:rsidR="004E10C1" w:rsidRPr="0044524F" w14:paraId="534C7001" w14:textId="77777777">
        <w:tc>
          <w:tcPr>
            <w:tcW w:w="2802" w:type="dxa"/>
          </w:tcPr>
          <w:p w14:paraId="6C58A71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горизонтальная скорость</w:t>
            </w:r>
          </w:p>
        </w:tc>
        <w:tc>
          <w:tcPr>
            <w:tcW w:w="992" w:type="dxa"/>
          </w:tcPr>
          <w:p w14:paraId="200F0EF3"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1134" w:type="dxa"/>
          </w:tcPr>
          <w:p w14:paraId="7CBD41D6"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1277" w:type="dxa"/>
          </w:tcPr>
          <w:p w14:paraId="0393AC7A"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r>
      <w:tr w:rsidR="004E10C1" w:rsidRPr="0044524F" w14:paraId="723D7E97" w14:textId="77777777">
        <w:tc>
          <w:tcPr>
            <w:tcW w:w="2802" w:type="dxa"/>
          </w:tcPr>
          <w:p w14:paraId="3671AC3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5000 м</w:t>
            </w:r>
          </w:p>
        </w:tc>
        <w:tc>
          <w:tcPr>
            <w:tcW w:w="992" w:type="dxa"/>
          </w:tcPr>
          <w:p w14:paraId="41E9336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420-450</w:t>
            </w:r>
          </w:p>
        </w:tc>
        <w:tc>
          <w:tcPr>
            <w:tcW w:w="1134" w:type="dxa"/>
          </w:tcPr>
          <w:p w14:paraId="2A665D8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350-380</w:t>
            </w:r>
          </w:p>
        </w:tc>
        <w:tc>
          <w:tcPr>
            <w:tcW w:w="1277" w:type="dxa"/>
          </w:tcPr>
          <w:p w14:paraId="341DB1D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370-400</w:t>
            </w:r>
          </w:p>
        </w:tc>
      </w:tr>
      <w:tr w:rsidR="004E10C1" w:rsidRPr="0044524F" w14:paraId="28473913" w14:textId="77777777">
        <w:tc>
          <w:tcPr>
            <w:tcW w:w="2802" w:type="dxa"/>
          </w:tcPr>
          <w:p w14:paraId="3C2E6B1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5000 м не более</w:t>
            </w:r>
          </w:p>
        </w:tc>
        <w:tc>
          <w:tcPr>
            <w:tcW w:w="992" w:type="dxa"/>
          </w:tcPr>
          <w:p w14:paraId="5BCFB53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1134" w:type="dxa"/>
          </w:tcPr>
          <w:p w14:paraId="4A67C09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1277" w:type="dxa"/>
          </w:tcPr>
          <w:p w14:paraId="09554BB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56997657" w14:textId="77777777">
        <w:tc>
          <w:tcPr>
            <w:tcW w:w="2802" w:type="dxa"/>
          </w:tcPr>
          <w:p w14:paraId="4F65563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w:t>
            </w:r>
          </w:p>
        </w:tc>
        <w:tc>
          <w:tcPr>
            <w:tcW w:w="992" w:type="dxa"/>
          </w:tcPr>
          <w:p w14:paraId="7DA913F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1134" w:type="dxa"/>
          </w:tcPr>
          <w:p w14:paraId="5A6F7CA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w:t>
            </w:r>
          </w:p>
        </w:tc>
        <w:tc>
          <w:tcPr>
            <w:tcW w:w="1277" w:type="dxa"/>
          </w:tcPr>
          <w:p w14:paraId="020D62F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9500</w:t>
            </w:r>
          </w:p>
        </w:tc>
      </w:tr>
      <w:tr w:rsidR="004E10C1" w:rsidRPr="0044524F" w14:paraId="6294D39B" w14:textId="77777777">
        <w:tc>
          <w:tcPr>
            <w:tcW w:w="2802" w:type="dxa"/>
          </w:tcPr>
          <w:p w14:paraId="585DC9B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Техническая дальность</w:t>
            </w:r>
          </w:p>
        </w:tc>
        <w:tc>
          <w:tcPr>
            <w:tcW w:w="992" w:type="dxa"/>
          </w:tcPr>
          <w:p w14:paraId="210F4CD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134" w:type="dxa"/>
          </w:tcPr>
          <w:p w14:paraId="630491A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277" w:type="dxa"/>
          </w:tcPr>
          <w:p w14:paraId="4154859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r>
      <w:tr w:rsidR="004E10C1" w:rsidRPr="0044524F" w14:paraId="697305DA" w14:textId="77777777">
        <w:tc>
          <w:tcPr>
            <w:tcW w:w="2802" w:type="dxa"/>
          </w:tcPr>
          <w:p w14:paraId="0286C98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Емкость бака из расчета технической </w:t>
            </w:r>
          </w:p>
        </w:tc>
        <w:tc>
          <w:tcPr>
            <w:tcW w:w="992" w:type="dxa"/>
          </w:tcPr>
          <w:p w14:paraId="07EE59A6"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1134" w:type="dxa"/>
          </w:tcPr>
          <w:p w14:paraId="5DF1F6B8"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1277" w:type="dxa"/>
          </w:tcPr>
          <w:p w14:paraId="2692D145"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r>
      <w:tr w:rsidR="004E10C1" w:rsidRPr="0044524F" w14:paraId="7A5B1FD1" w14:textId="77777777">
        <w:tc>
          <w:tcPr>
            <w:tcW w:w="2802" w:type="dxa"/>
          </w:tcPr>
          <w:p w14:paraId="7CB4687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дальности</w:t>
            </w:r>
          </w:p>
        </w:tc>
        <w:tc>
          <w:tcPr>
            <w:tcW w:w="992" w:type="dxa"/>
          </w:tcPr>
          <w:p w14:paraId="3018892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134" w:type="dxa"/>
          </w:tcPr>
          <w:p w14:paraId="3851800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277" w:type="dxa"/>
          </w:tcPr>
          <w:p w14:paraId="29AA03A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r>
      <w:tr w:rsidR="004E10C1" w:rsidRPr="0044524F" w14:paraId="549B2C05" w14:textId="77777777">
        <w:tc>
          <w:tcPr>
            <w:tcW w:w="2802" w:type="dxa"/>
          </w:tcPr>
          <w:p w14:paraId="14E0825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w:t>
            </w:r>
          </w:p>
        </w:tc>
        <w:tc>
          <w:tcPr>
            <w:tcW w:w="992" w:type="dxa"/>
          </w:tcPr>
          <w:p w14:paraId="03F4652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90-100</w:t>
            </w:r>
          </w:p>
        </w:tc>
        <w:tc>
          <w:tcPr>
            <w:tcW w:w="1134" w:type="dxa"/>
          </w:tcPr>
          <w:p w14:paraId="51D82E3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80-90</w:t>
            </w:r>
          </w:p>
        </w:tc>
        <w:tc>
          <w:tcPr>
            <w:tcW w:w="1277" w:type="dxa"/>
          </w:tcPr>
          <w:p w14:paraId="6D724A5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90-100</w:t>
            </w:r>
          </w:p>
        </w:tc>
      </w:tr>
      <w:tr w:rsidR="004E10C1" w:rsidRPr="0044524F" w14:paraId="29FC4276" w14:textId="77777777">
        <w:tc>
          <w:tcPr>
            <w:tcW w:w="2802" w:type="dxa"/>
          </w:tcPr>
          <w:p w14:paraId="5FF4A70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разбега</w:t>
            </w:r>
          </w:p>
        </w:tc>
        <w:tc>
          <w:tcPr>
            <w:tcW w:w="992" w:type="dxa"/>
          </w:tcPr>
          <w:p w14:paraId="47B901B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134" w:type="dxa"/>
          </w:tcPr>
          <w:p w14:paraId="1F830C6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100-120</w:t>
            </w:r>
          </w:p>
        </w:tc>
        <w:tc>
          <w:tcPr>
            <w:tcW w:w="1277" w:type="dxa"/>
          </w:tcPr>
          <w:p w14:paraId="018016E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r>
      <w:tr w:rsidR="004E10C1" w:rsidRPr="0044524F" w14:paraId="4635C226" w14:textId="77777777">
        <w:tc>
          <w:tcPr>
            <w:tcW w:w="2802" w:type="dxa"/>
          </w:tcPr>
          <w:p w14:paraId="4D8E83D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пробега с тормозом</w:t>
            </w:r>
          </w:p>
        </w:tc>
        <w:tc>
          <w:tcPr>
            <w:tcW w:w="992" w:type="dxa"/>
          </w:tcPr>
          <w:p w14:paraId="6F6454F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90-110</w:t>
            </w:r>
          </w:p>
        </w:tc>
        <w:tc>
          <w:tcPr>
            <w:tcW w:w="1134" w:type="dxa"/>
          </w:tcPr>
          <w:p w14:paraId="771D3E8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90-110</w:t>
            </w:r>
          </w:p>
        </w:tc>
        <w:tc>
          <w:tcPr>
            <w:tcW w:w="1277" w:type="dxa"/>
          </w:tcPr>
          <w:p w14:paraId="37F4D25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90-110</w:t>
            </w:r>
          </w:p>
        </w:tc>
      </w:tr>
      <w:tr w:rsidR="004E10C1" w:rsidRPr="0044524F" w14:paraId="00597D86" w14:textId="77777777">
        <w:tc>
          <w:tcPr>
            <w:tcW w:w="2802" w:type="dxa"/>
          </w:tcPr>
          <w:p w14:paraId="1765F94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Последовательность требований для вариантов назначения</w:t>
            </w:r>
          </w:p>
        </w:tc>
        <w:tc>
          <w:tcPr>
            <w:tcW w:w="992" w:type="dxa"/>
          </w:tcPr>
          <w:p w14:paraId="3E1911F4"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1134" w:type="dxa"/>
          </w:tcPr>
          <w:p w14:paraId="62D28C77"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1277" w:type="dxa"/>
          </w:tcPr>
          <w:p w14:paraId="42638E5E"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r>
      <w:tr w:rsidR="004E10C1" w:rsidRPr="0044524F" w14:paraId="6898BCE5" w14:textId="77777777">
        <w:tc>
          <w:tcPr>
            <w:tcW w:w="2802" w:type="dxa"/>
          </w:tcPr>
          <w:p w14:paraId="04313B33"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992" w:type="dxa"/>
          </w:tcPr>
          <w:p w14:paraId="6FB8CBD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w:t>
            </w:r>
          </w:p>
        </w:tc>
        <w:tc>
          <w:tcPr>
            <w:tcW w:w="1134" w:type="dxa"/>
          </w:tcPr>
          <w:p w14:paraId="1F72290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1277" w:type="dxa"/>
          </w:tcPr>
          <w:p w14:paraId="799BC9C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w:t>
            </w:r>
          </w:p>
        </w:tc>
      </w:tr>
      <w:tr w:rsidR="004E10C1" w:rsidRPr="0044524F" w14:paraId="429FF1CB" w14:textId="77777777">
        <w:tc>
          <w:tcPr>
            <w:tcW w:w="2802" w:type="dxa"/>
          </w:tcPr>
          <w:p w14:paraId="469382B8"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992" w:type="dxa"/>
          </w:tcPr>
          <w:p w14:paraId="240AAB6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w:t>
            </w:r>
          </w:p>
        </w:tc>
        <w:tc>
          <w:tcPr>
            <w:tcW w:w="1134" w:type="dxa"/>
          </w:tcPr>
          <w:p w14:paraId="485E711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w:t>
            </w:r>
          </w:p>
        </w:tc>
        <w:tc>
          <w:tcPr>
            <w:tcW w:w="1277" w:type="dxa"/>
          </w:tcPr>
          <w:p w14:paraId="6A25AE6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r>
      <w:tr w:rsidR="004E10C1" w:rsidRPr="0044524F" w14:paraId="3814CDBF" w14:textId="77777777">
        <w:tc>
          <w:tcPr>
            <w:tcW w:w="2802" w:type="dxa"/>
          </w:tcPr>
          <w:p w14:paraId="0D0BCCD2"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992" w:type="dxa"/>
          </w:tcPr>
          <w:p w14:paraId="18BD402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действий</w:t>
            </w:r>
          </w:p>
        </w:tc>
        <w:tc>
          <w:tcPr>
            <w:tcW w:w="1134" w:type="dxa"/>
          </w:tcPr>
          <w:p w14:paraId="2F51C911"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1277" w:type="dxa"/>
          </w:tcPr>
          <w:p w14:paraId="6F9B68EA"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r>
      <w:tr w:rsidR="004E10C1" w:rsidRPr="0044524F" w14:paraId="390745EC" w14:textId="77777777">
        <w:tc>
          <w:tcPr>
            <w:tcW w:w="2802" w:type="dxa"/>
          </w:tcPr>
          <w:p w14:paraId="1125F23B"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992" w:type="dxa"/>
          </w:tcPr>
          <w:p w14:paraId="77CA6CB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w:t>
            </w:r>
          </w:p>
        </w:tc>
        <w:tc>
          <w:tcPr>
            <w:tcW w:w="1134" w:type="dxa"/>
          </w:tcPr>
          <w:p w14:paraId="2BBA8E6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w:t>
            </w:r>
          </w:p>
        </w:tc>
        <w:tc>
          <w:tcPr>
            <w:tcW w:w="1277" w:type="dxa"/>
          </w:tcPr>
          <w:p w14:paraId="2EF646C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маневренность</w:t>
            </w:r>
          </w:p>
        </w:tc>
      </w:tr>
      <w:tr w:rsidR="004E10C1" w:rsidRPr="0044524F" w14:paraId="0E8ACB27" w14:textId="77777777">
        <w:tc>
          <w:tcPr>
            <w:tcW w:w="2802" w:type="dxa"/>
          </w:tcPr>
          <w:p w14:paraId="67123697"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992" w:type="dxa"/>
          </w:tcPr>
          <w:p w14:paraId="40C5201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1134" w:type="dxa"/>
          </w:tcPr>
          <w:p w14:paraId="656DC98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действий</w:t>
            </w:r>
          </w:p>
        </w:tc>
        <w:tc>
          <w:tcPr>
            <w:tcW w:w="1277" w:type="dxa"/>
          </w:tcPr>
          <w:p w14:paraId="3FD94DCF"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r>
      <w:tr w:rsidR="004E10C1" w:rsidRPr="0044524F" w14:paraId="74EAC43E" w14:textId="77777777">
        <w:tc>
          <w:tcPr>
            <w:tcW w:w="2802" w:type="dxa"/>
          </w:tcPr>
          <w:p w14:paraId="7DA05F8C"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992" w:type="dxa"/>
          </w:tcPr>
          <w:p w14:paraId="0C7E698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маневренность</w:t>
            </w:r>
          </w:p>
        </w:tc>
        <w:tc>
          <w:tcPr>
            <w:tcW w:w="1134" w:type="dxa"/>
          </w:tcPr>
          <w:p w14:paraId="68A360F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маневренность</w:t>
            </w:r>
          </w:p>
        </w:tc>
        <w:tc>
          <w:tcPr>
            <w:tcW w:w="1277" w:type="dxa"/>
          </w:tcPr>
          <w:p w14:paraId="5ECCE14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w:t>
            </w:r>
          </w:p>
        </w:tc>
      </w:tr>
      <w:tr w:rsidR="004E10C1" w:rsidRPr="0044524F" w14:paraId="74064F3F" w14:textId="77777777">
        <w:tc>
          <w:tcPr>
            <w:tcW w:w="2802" w:type="dxa"/>
          </w:tcPr>
          <w:p w14:paraId="6D7776DB"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992" w:type="dxa"/>
          </w:tcPr>
          <w:p w14:paraId="1B17A4F9"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1134" w:type="dxa"/>
          </w:tcPr>
          <w:p w14:paraId="7520B035" w14:textId="77777777" w:rsidR="008C5AAD" w:rsidRPr="0044524F" w:rsidRDefault="008C5AAD" w:rsidP="009654CF">
            <w:pPr>
              <w:spacing w:after="0" w:line="240" w:lineRule="auto"/>
              <w:jc w:val="both"/>
              <w:rPr>
                <w:rFonts w:ascii="Times New Roman" w:hAnsi="Times New Roman"/>
                <w:color w:val="000000" w:themeColor="text1"/>
                <w:sz w:val="16"/>
                <w:szCs w:val="16"/>
              </w:rPr>
            </w:pPr>
          </w:p>
        </w:tc>
        <w:tc>
          <w:tcPr>
            <w:tcW w:w="1277" w:type="dxa"/>
          </w:tcPr>
          <w:p w14:paraId="0214D39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действий</w:t>
            </w:r>
          </w:p>
        </w:tc>
      </w:tr>
    </w:tbl>
    <w:p w14:paraId="311B2CB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самолета.</w:t>
      </w:r>
    </w:p>
    <w:p w14:paraId="7A8F003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конструировании самолета должна быть осуществлена основная цель создания унифицированного в производстве типа, позволяющего путем установки того или иного специализированного оборудования, отвечающего назначению самолета или замены определенных элементов конструкции самолета выпускать самолет одним и тем же серийным заводом в трех вариантах.</w:t>
      </w:r>
    </w:p>
    <w:p w14:paraId="5B08C78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7ADB55B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Допускается создание 3-х типов самолетов при наличии двух разных фюзеляжей и 2-х комплектов крыльев. Пример: основные типы: ОР и ЛБ. Фюзеляж Л6 вместе с комплектом крыльев ОР дают самолет ДИ.</w:t>
      </w:r>
    </w:p>
    <w:p w14:paraId="4B73445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20126E5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иметь убирающиеся в полете шасси. Механизм убирания должен быть снабжен контрольным прибором, показывающим положение шасси.</w:t>
      </w:r>
    </w:p>
    <w:p w14:paraId="7E1FCF2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255BEDC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представлении эскизного проекта, конструктор обязан представить мотивировку и обоснование применения того или другого материала в особенности в случае отказа от применения новых легких материалов.</w:t>
      </w:r>
    </w:p>
    <w:p w14:paraId="52BEC66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Также должны быть представлены материалы, характеризующие насколько полно отражены в данном самолете новейшие достижения авиатехники как в отношении аэродинамики, так и в конструкции основных элементов и отдельных деталей (3899,397-404).</w:t>
      </w:r>
    </w:p>
    <w:p w14:paraId="7BCF7EEA"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6244DB1B"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года Главный инженер-механик ВВС Аузан утвердил Технические требования к 2-х местному самолету трех назначений с мотором М34 НР с нагнетателем до 5000 м и винтом с переменным в полете шагом (6649).</w:t>
      </w:r>
    </w:p>
    <w:p w14:paraId="06967DA5"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самолета</w:t>
      </w:r>
    </w:p>
    <w:p w14:paraId="565EC675" w14:textId="77777777" w:rsidR="008C5AAD" w:rsidRPr="0044524F" w:rsidRDefault="008C5AAD" w:rsidP="009654CF">
      <w:pPr>
        <w:numPr>
          <w:ilvl w:val="0"/>
          <w:numId w:val="22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оперативного разведчика.</w:t>
      </w:r>
    </w:p>
    <w:p w14:paraId="0CF05418"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Разведка глубокого тыла противника с целью выявления его оперативных намерений (ж/д переброски, инженерные сооружения, изменение в дислокации тыловых учреждений и дислокации противника).</w:t>
      </w:r>
    </w:p>
    <w:p w14:paraId="7AD6CB2C"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Разведка в интересах бомбардировочной авиации (объектов намеченных к бомбардированию).</w:t>
      </w:r>
    </w:p>
    <w:p w14:paraId="1D3D4881" w14:textId="77777777" w:rsidR="008C5AAD" w:rsidRPr="0044524F" w:rsidRDefault="008C5AAD" w:rsidP="009654CF">
      <w:pPr>
        <w:numPr>
          <w:ilvl w:val="0"/>
          <w:numId w:val="22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двухместного истребителя.</w:t>
      </w:r>
    </w:p>
    <w:p w14:paraId="53133788"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Активный наступательный и оборонительный воздушный бой как одиночными самолетами, так и в соединениях (преимущественно).</w:t>
      </w:r>
    </w:p>
    <w:p w14:paraId="23463EDD"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Сопровождение и прикрытие подвижных наступательных средств (авиация, мото-мех. части, конница).</w:t>
      </w:r>
    </w:p>
    <w:p w14:paraId="58E671AF"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Прикрытие малоподвижных объектов (крупные соединения наземных войск, резервы …).</w:t>
      </w:r>
    </w:p>
    <w:p w14:paraId="1BA438C4" w14:textId="77777777" w:rsidR="008C5AAD" w:rsidRPr="0044524F" w:rsidRDefault="008C5AAD" w:rsidP="009654CF">
      <w:pPr>
        <w:numPr>
          <w:ilvl w:val="0"/>
          <w:numId w:val="22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легкого бомбардировщика.</w:t>
      </w:r>
    </w:p>
    <w:p w14:paraId="06228A27"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Разрушение укреплений полевого типа и поражение мотомех., бронечастей, артиллерии и живых сил противника.</w:t>
      </w:r>
    </w:p>
    <w:p w14:paraId="761AB090"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Разрушение объектов в ближнем тылу противника (общевойсковые базы, авиабазы, аэродромы, легкие ж/д сооружения и т.д.).</w:t>
      </w:r>
    </w:p>
    <w:p w14:paraId="78F47F91"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Разрушение речных переправ.</w:t>
      </w:r>
    </w:p>
    <w:p w14:paraId="56CED63C"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Летно-тактические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85"/>
        <w:gridCol w:w="1134"/>
        <w:gridCol w:w="1134"/>
        <w:gridCol w:w="1134"/>
      </w:tblGrid>
      <w:tr w:rsidR="004E10C1" w:rsidRPr="0044524F" w14:paraId="43A0C938" w14:textId="77777777">
        <w:tc>
          <w:tcPr>
            <w:tcW w:w="3085" w:type="dxa"/>
          </w:tcPr>
          <w:p w14:paraId="57FD9FAD"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p>
        </w:tc>
        <w:tc>
          <w:tcPr>
            <w:tcW w:w="1134" w:type="dxa"/>
          </w:tcPr>
          <w:p w14:paraId="37E38E8F"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w:t>
            </w:r>
          </w:p>
        </w:tc>
        <w:tc>
          <w:tcPr>
            <w:tcW w:w="1134" w:type="dxa"/>
          </w:tcPr>
          <w:p w14:paraId="2FE0CE34"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Л6</w:t>
            </w:r>
          </w:p>
        </w:tc>
        <w:tc>
          <w:tcPr>
            <w:tcW w:w="1134" w:type="dxa"/>
          </w:tcPr>
          <w:p w14:paraId="5E537AF4"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w:t>
            </w:r>
          </w:p>
        </w:tc>
      </w:tr>
      <w:tr w:rsidR="004E10C1" w:rsidRPr="0044524F" w14:paraId="6E1734F8" w14:textId="77777777">
        <w:tc>
          <w:tcPr>
            <w:tcW w:w="3085" w:type="dxa"/>
          </w:tcPr>
          <w:p w14:paraId="0A543660"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горизонтальная скорость</w:t>
            </w:r>
          </w:p>
        </w:tc>
        <w:tc>
          <w:tcPr>
            <w:tcW w:w="1134" w:type="dxa"/>
          </w:tcPr>
          <w:p w14:paraId="5BB6A9DC"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p>
        </w:tc>
        <w:tc>
          <w:tcPr>
            <w:tcW w:w="1134" w:type="dxa"/>
          </w:tcPr>
          <w:p w14:paraId="099F447A"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p>
        </w:tc>
        <w:tc>
          <w:tcPr>
            <w:tcW w:w="1134" w:type="dxa"/>
          </w:tcPr>
          <w:p w14:paraId="3E12B0D8"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p>
        </w:tc>
      </w:tr>
      <w:tr w:rsidR="004E10C1" w:rsidRPr="0044524F" w14:paraId="0DE6C589" w14:textId="77777777">
        <w:tc>
          <w:tcPr>
            <w:tcW w:w="3085" w:type="dxa"/>
          </w:tcPr>
          <w:p w14:paraId="0B57FA85"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5000 м</w:t>
            </w:r>
          </w:p>
        </w:tc>
        <w:tc>
          <w:tcPr>
            <w:tcW w:w="1134" w:type="dxa"/>
          </w:tcPr>
          <w:p w14:paraId="49326D7F"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420-450</w:t>
            </w:r>
          </w:p>
        </w:tc>
        <w:tc>
          <w:tcPr>
            <w:tcW w:w="1134" w:type="dxa"/>
          </w:tcPr>
          <w:p w14:paraId="2E9F8F48"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350-380</w:t>
            </w:r>
          </w:p>
        </w:tc>
        <w:tc>
          <w:tcPr>
            <w:tcW w:w="1134" w:type="dxa"/>
          </w:tcPr>
          <w:p w14:paraId="3A489772"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370-400</w:t>
            </w:r>
          </w:p>
        </w:tc>
      </w:tr>
      <w:tr w:rsidR="004E10C1" w:rsidRPr="0044524F" w14:paraId="60907813" w14:textId="77777777">
        <w:tc>
          <w:tcPr>
            <w:tcW w:w="3085" w:type="dxa"/>
          </w:tcPr>
          <w:p w14:paraId="6934D96E"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Время подъема на 5000 м не более</w:t>
            </w:r>
          </w:p>
        </w:tc>
        <w:tc>
          <w:tcPr>
            <w:tcW w:w="1134" w:type="dxa"/>
          </w:tcPr>
          <w:p w14:paraId="2B8647CC"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мин.</w:t>
            </w:r>
          </w:p>
        </w:tc>
        <w:tc>
          <w:tcPr>
            <w:tcW w:w="1134" w:type="dxa"/>
          </w:tcPr>
          <w:p w14:paraId="597D3A18"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мин.</w:t>
            </w:r>
          </w:p>
        </w:tc>
        <w:tc>
          <w:tcPr>
            <w:tcW w:w="1134" w:type="dxa"/>
          </w:tcPr>
          <w:p w14:paraId="342A9485"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мин.</w:t>
            </w:r>
          </w:p>
        </w:tc>
      </w:tr>
      <w:tr w:rsidR="004E10C1" w:rsidRPr="0044524F" w14:paraId="0A3D0B1D" w14:textId="77777777">
        <w:tc>
          <w:tcPr>
            <w:tcW w:w="3085" w:type="dxa"/>
          </w:tcPr>
          <w:p w14:paraId="215B4EDD"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w:t>
            </w:r>
          </w:p>
        </w:tc>
        <w:tc>
          <w:tcPr>
            <w:tcW w:w="1134" w:type="dxa"/>
          </w:tcPr>
          <w:p w14:paraId="46ED4595"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1134" w:type="dxa"/>
          </w:tcPr>
          <w:p w14:paraId="1793420B"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w:t>
            </w:r>
          </w:p>
        </w:tc>
        <w:tc>
          <w:tcPr>
            <w:tcW w:w="1134" w:type="dxa"/>
          </w:tcPr>
          <w:p w14:paraId="07595C78"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9500</w:t>
            </w:r>
          </w:p>
        </w:tc>
      </w:tr>
      <w:tr w:rsidR="004E10C1" w:rsidRPr="0044524F" w14:paraId="72F59198" w14:textId="77777777">
        <w:tc>
          <w:tcPr>
            <w:tcW w:w="3085" w:type="dxa"/>
          </w:tcPr>
          <w:p w14:paraId="62E00EC1"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Техническая дальность</w:t>
            </w:r>
          </w:p>
        </w:tc>
        <w:tc>
          <w:tcPr>
            <w:tcW w:w="1134" w:type="dxa"/>
          </w:tcPr>
          <w:p w14:paraId="48A2FD4C"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134" w:type="dxa"/>
          </w:tcPr>
          <w:p w14:paraId="2FDC17C4"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134" w:type="dxa"/>
          </w:tcPr>
          <w:p w14:paraId="298874CC"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r>
      <w:tr w:rsidR="004E10C1" w:rsidRPr="0044524F" w14:paraId="635C83EA" w14:textId="77777777">
        <w:tc>
          <w:tcPr>
            <w:tcW w:w="3085" w:type="dxa"/>
          </w:tcPr>
          <w:p w14:paraId="51DF6C1A"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w:t>
            </w:r>
          </w:p>
        </w:tc>
        <w:tc>
          <w:tcPr>
            <w:tcW w:w="1134" w:type="dxa"/>
          </w:tcPr>
          <w:p w14:paraId="03431344"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90-100</w:t>
            </w:r>
          </w:p>
        </w:tc>
        <w:tc>
          <w:tcPr>
            <w:tcW w:w="1134" w:type="dxa"/>
          </w:tcPr>
          <w:p w14:paraId="3F46C7CF"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80-90</w:t>
            </w:r>
          </w:p>
        </w:tc>
        <w:tc>
          <w:tcPr>
            <w:tcW w:w="1134" w:type="dxa"/>
          </w:tcPr>
          <w:p w14:paraId="196C1B35"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90-100</w:t>
            </w:r>
          </w:p>
        </w:tc>
      </w:tr>
      <w:tr w:rsidR="004E10C1" w:rsidRPr="0044524F" w14:paraId="67994ACE" w14:textId="77777777">
        <w:tc>
          <w:tcPr>
            <w:tcW w:w="3085" w:type="dxa"/>
          </w:tcPr>
          <w:p w14:paraId="6F3D82AB"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разбега</w:t>
            </w:r>
          </w:p>
        </w:tc>
        <w:tc>
          <w:tcPr>
            <w:tcW w:w="1134" w:type="dxa"/>
          </w:tcPr>
          <w:p w14:paraId="25CAD215"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134" w:type="dxa"/>
          </w:tcPr>
          <w:p w14:paraId="70EA421F"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100-120</w:t>
            </w:r>
          </w:p>
        </w:tc>
        <w:tc>
          <w:tcPr>
            <w:tcW w:w="1134" w:type="dxa"/>
          </w:tcPr>
          <w:p w14:paraId="65F79EF0"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r>
      <w:tr w:rsidR="004E10C1" w:rsidRPr="0044524F" w14:paraId="101A73AE" w14:textId="77777777">
        <w:tc>
          <w:tcPr>
            <w:tcW w:w="3085" w:type="dxa"/>
          </w:tcPr>
          <w:p w14:paraId="7ED7B712"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пробега с тормозами</w:t>
            </w:r>
          </w:p>
        </w:tc>
        <w:tc>
          <w:tcPr>
            <w:tcW w:w="1134" w:type="dxa"/>
          </w:tcPr>
          <w:p w14:paraId="34971F82"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90-110</w:t>
            </w:r>
          </w:p>
        </w:tc>
        <w:tc>
          <w:tcPr>
            <w:tcW w:w="1134" w:type="dxa"/>
          </w:tcPr>
          <w:p w14:paraId="24A07C58"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90-110</w:t>
            </w:r>
          </w:p>
        </w:tc>
        <w:tc>
          <w:tcPr>
            <w:tcW w:w="1134" w:type="dxa"/>
          </w:tcPr>
          <w:p w14:paraId="3BCF05B3"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90-110</w:t>
            </w:r>
          </w:p>
        </w:tc>
      </w:tr>
    </w:tbl>
    <w:p w14:paraId="61D490E8"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Последовательность требований для вариантов назначения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4E10C1" w:rsidRPr="0044524F" w14:paraId="2EE1F841" w14:textId="77777777">
        <w:tc>
          <w:tcPr>
            <w:tcW w:w="1878" w:type="dxa"/>
          </w:tcPr>
          <w:p w14:paraId="32C8050D"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Оперативный разведчик</w:t>
            </w:r>
          </w:p>
        </w:tc>
        <w:tc>
          <w:tcPr>
            <w:tcW w:w="1878" w:type="dxa"/>
          </w:tcPr>
          <w:p w14:paraId="3E76855C"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бомбардировщик</w:t>
            </w:r>
          </w:p>
        </w:tc>
        <w:tc>
          <w:tcPr>
            <w:tcW w:w="1878" w:type="dxa"/>
          </w:tcPr>
          <w:p w14:paraId="63E6F8C1"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2-х местный истребитель</w:t>
            </w:r>
          </w:p>
        </w:tc>
      </w:tr>
      <w:tr w:rsidR="004E10C1" w:rsidRPr="0044524F" w14:paraId="760EF97E" w14:textId="77777777">
        <w:tc>
          <w:tcPr>
            <w:tcW w:w="1878" w:type="dxa"/>
          </w:tcPr>
          <w:p w14:paraId="2DFD9DEC"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w:t>
            </w:r>
          </w:p>
        </w:tc>
        <w:tc>
          <w:tcPr>
            <w:tcW w:w="1878" w:type="dxa"/>
          </w:tcPr>
          <w:p w14:paraId="75A02512"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1878" w:type="dxa"/>
          </w:tcPr>
          <w:p w14:paraId="1BBB288A"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w:t>
            </w:r>
          </w:p>
        </w:tc>
      </w:tr>
      <w:tr w:rsidR="004E10C1" w:rsidRPr="0044524F" w14:paraId="7DBDF910" w14:textId="77777777">
        <w:tc>
          <w:tcPr>
            <w:tcW w:w="1878" w:type="dxa"/>
          </w:tcPr>
          <w:p w14:paraId="37863BED"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1878" w:type="dxa"/>
          </w:tcPr>
          <w:p w14:paraId="33B5D554"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w:t>
            </w:r>
          </w:p>
        </w:tc>
        <w:tc>
          <w:tcPr>
            <w:tcW w:w="1878" w:type="dxa"/>
          </w:tcPr>
          <w:p w14:paraId="61C5D660"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r>
      <w:tr w:rsidR="004E10C1" w:rsidRPr="0044524F" w14:paraId="00DDFCEF" w14:textId="77777777">
        <w:tc>
          <w:tcPr>
            <w:tcW w:w="1878" w:type="dxa"/>
          </w:tcPr>
          <w:p w14:paraId="7C08D2FE"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потолок</w:t>
            </w:r>
          </w:p>
        </w:tc>
        <w:tc>
          <w:tcPr>
            <w:tcW w:w="1878" w:type="dxa"/>
          </w:tcPr>
          <w:p w14:paraId="799367F6"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c>
          <w:tcPr>
            <w:tcW w:w="1878" w:type="dxa"/>
          </w:tcPr>
          <w:p w14:paraId="270834CA"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маневренность</w:t>
            </w:r>
          </w:p>
        </w:tc>
      </w:tr>
      <w:tr w:rsidR="004E10C1" w:rsidRPr="0044524F" w14:paraId="59720073" w14:textId="77777777">
        <w:tc>
          <w:tcPr>
            <w:tcW w:w="1878" w:type="dxa"/>
          </w:tcPr>
          <w:p w14:paraId="5F3CFE3E"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маневренность</w:t>
            </w:r>
          </w:p>
        </w:tc>
        <w:tc>
          <w:tcPr>
            <w:tcW w:w="1878" w:type="dxa"/>
          </w:tcPr>
          <w:p w14:paraId="41F26AD0"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маневренность</w:t>
            </w:r>
          </w:p>
        </w:tc>
        <w:tc>
          <w:tcPr>
            <w:tcW w:w="1878" w:type="dxa"/>
          </w:tcPr>
          <w:p w14:paraId="0BF88E26"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w:t>
            </w:r>
          </w:p>
        </w:tc>
      </w:tr>
    </w:tbl>
    <w:p w14:paraId="058821E9"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самолета</w:t>
      </w:r>
    </w:p>
    <w:p w14:paraId="52898ADC"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конструировании самолета должна быть осуществлена основная цель создания унифицированного в производстве типа, позволяющего путем установки того или другого специализированного оборудования, отвечающего назначению самолета или замены отдельных элементов конструкции самолета, выпускать самолет одним и тем серийным заводом в трех вариантах.</w:t>
      </w:r>
    </w:p>
    <w:p w14:paraId="01A10200"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Допускается создание 3-х типов самолетов при наличии 2-х основных фюзеляжей и 2-х комплектов крыльев.</w:t>
      </w:r>
    </w:p>
    <w:p w14:paraId="18D678F1"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Пример: основные типы «ОР» и «ЛБ». Фюзеляж «ЛБ» вместе с комплектом крыльев «ОР» дают самолет «ДИ».</w:t>
      </w:r>
    </w:p>
    <w:p w14:paraId="76EA7F34"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Высокие летно-тактические требования к самолету ставят особо необходимым широкое применение новых легких материалов и требуют наряду с конструированием самолета производство соответствующих широких исследований и экспериментальных работ.</w:t>
      </w:r>
    </w:p>
    <w:p w14:paraId="1D1EE870"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45C7DA31"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Стреловое вооружение</w:t>
      </w:r>
    </w:p>
    <w:p w14:paraId="1F0A6AE9" w14:textId="77777777" w:rsidR="008C5AAD" w:rsidRPr="0044524F" w:rsidRDefault="008C5AAD" w:rsidP="009654CF">
      <w:pPr>
        <w:numPr>
          <w:ilvl w:val="0"/>
          <w:numId w:val="22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Передний огонь</w:t>
      </w:r>
    </w:p>
    <w:p w14:paraId="6DB42FB4"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типа О.Р., Л.Б. и Д.И. (2-й вариант).</w:t>
      </w:r>
    </w:p>
    <w:p w14:paraId="3496FC09"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Синхронизированный Шкасс – 1 шт.</w:t>
      </w:r>
    </w:p>
    <w:p w14:paraId="1F4FB1A0"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Патронов – 1000 шт.</w:t>
      </w:r>
    </w:p>
    <w:p w14:paraId="4F5DFE1F"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типа 2-х местного истребителя (ДИ) (1-й вариант).</w:t>
      </w:r>
    </w:p>
    <w:p w14:paraId="63EAD189"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Синхронизированный ДАК – 1 шт.</w:t>
      </w:r>
    </w:p>
    <w:p w14:paraId="427572A6"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Патронов в металлических звеньях – 200 шт.</w:t>
      </w:r>
    </w:p>
    <w:p w14:paraId="2EBC2A24" w14:textId="77777777" w:rsidR="008C5AAD" w:rsidRPr="0044524F" w:rsidRDefault="008C5AAD" w:rsidP="009654CF">
      <w:pPr>
        <w:numPr>
          <w:ilvl w:val="0"/>
          <w:numId w:val="22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Задний огонь</w:t>
      </w:r>
    </w:p>
    <w:p w14:paraId="03A966C5"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типа О.Р. Дублер и ЛБ</w:t>
      </w:r>
    </w:p>
    <w:p w14:paraId="14D8562E"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пулемет ШКАСС</w:t>
      </w:r>
    </w:p>
    <w:p w14:paraId="4A6EE88B"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Патронов в металлических звеньях – 1500 шт.</w:t>
      </w:r>
    </w:p>
    <w:p w14:paraId="1BDC016D"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типа ДИ (1-й вариант).</w:t>
      </w:r>
    </w:p>
    <w:p w14:paraId="622F7FC6"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 ШКАСС с 1000 патронами</w:t>
      </w:r>
    </w:p>
    <w:p w14:paraId="5345AC37"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типа ДИ (2-й вариант).</w:t>
      </w:r>
    </w:p>
    <w:p w14:paraId="32EC994A"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Спарка пулеметов ШКАСС</w:t>
      </w:r>
    </w:p>
    <w:p w14:paraId="39C18785"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 патрон, экранированный</w:t>
      </w:r>
    </w:p>
    <w:p w14:paraId="5078D8C6"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Бомбардировочное вооружение</w:t>
      </w:r>
    </w:p>
    <w:p w14:paraId="47210D81"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Дымовой прибор (только для ЛБ при отсутствии бомб).</w:t>
      </w:r>
    </w:p>
    <w:p w14:paraId="5A0FE514"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Дымовой прибор ДАП ДХ-1 с двумя баллонами по 23 литра каждый (6649).</w:t>
      </w:r>
    </w:p>
    <w:p w14:paraId="2ED41A97" w14:textId="77777777" w:rsidR="008C5AAD" w:rsidRPr="0044524F" w:rsidRDefault="008C5AAD" w:rsidP="009654CF">
      <w:pPr>
        <w:tabs>
          <w:tab w:val="left" w:pos="11199"/>
        </w:tabs>
        <w:spacing w:after="0" w:line="240" w:lineRule="auto"/>
        <w:jc w:val="both"/>
        <w:rPr>
          <w:rFonts w:ascii="Times New Roman" w:hAnsi="Times New Roman"/>
          <w:color w:val="000000" w:themeColor="text1"/>
          <w:sz w:val="16"/>
          <w:szCs w:val="16"/>
        </w:rPr>
      </w:pPr>
    </w:p>
    <w:p w14:paraId="1A0CE30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года Гл. инженер-механик ВВС Аузан утвердил Тактико-технические требования к учебному самолету У3 под мотор М-48 - 185 л.с.</w:t>
      </w:r>
    </w:p>
    <w:p w14:paraId="7B6E6B0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Настоящие тактико-технические требования являются дальнейшим развитием тактико-технических требований на самолеты У3 (имеющихся в промышленности), согласно постановления РВС от 3 марта 1933 года.</w:t>
      </w:r>
    </w:p>
    <w:p w14:paraId="560C72B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Изменения и дополнения в существующие требования внесены на специальном заседании тактико-технического совета ВВС от 3 мая 1933 года.</w:t>
      </w:r>
    </w:p>
    <w:p w14:paraId="369A80E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Летно-тактические данные</w:t>
      </w:r>
    </w:p>
    <w:p w14:paraId="6050A36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в варианте учебного самолета с полезной нагрузкой 206 кг и запасом горючего смазочного, обеспечивающим техническую дальность полета 600 км на высоте применения 1000 м должен обладать нижеследующими летными данными:</w:t>
      </w:r>
    </w:p>
    <w:p w14:paraId="109A16D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Максимальная горизонтальная скорость на высоте 1000 м - 180 км/час</w:t>
      </w:r>
    </w:p>
    <w:p w14:paraId="026BF1B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Посадочная скорость 50-60 км/час</w:t>
      </w:r>
    </w:p>
    <w:p w14:paraId="022462E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Практический потолок не менее 5000 м</w:t>
      </w:r>
    </w:p>
    <w:p w14:paraId="48F4047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варианте самолета связи сопровождения должен обладать:</w:t>
      </w:r>
    </w:p>
    <w:p w14:paraId="545BA54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Максимальной горизонтальной скоростью не менее 200 км/час</w:t>
      </w:r>
    </w:p>
    <w:p w14:paraId="5ADFC65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Посадочной скоростью не более 60 км/час</w:t>
      </w:r>
    </w:p>
    <w:p w14:paraId="55C8F0F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предназначается прежде всего как учебный самолет, но должен быть приспособлен к использованию его: для связи сопровождения, для туризма, для спорта, как легкий санитарный самолет, как самолет местной авиации.</w:t>
      </w:r>
    </w:p>
    <w:p w14:paraId="18D1FDA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Последовательность требований</w:t>
      </w:r>
    </w:p>
    <w:p w14:paraId="4AFC4D5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Взлетно-посадочные качества и диапазоны скоростей.</w:t>
      </w:r>
    </w:p>
    <w:p w14:paraId="4C30483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Маневренность.</w:t>
      </w:r>
    </w:p>
    <w:p w14:paraId="734E591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и потолок.</w:t>
      </w:r>
    </w:p>
    <w:p w14:paraId="1FBD9B2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Простота ухода, сборка и разборка (3899,265-280).</w:t>
      </w:r>
    </w:p>
    <w:p w14:paraId="47F61D7B"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47D5CA4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года врид. начальник ВВС Хрипин УБП N 31/001078.</w:t>
      </w:r>
    </w:p>
    <w:p w14:paraId="6FBCFFE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истекшем зимнем периоде полеты на предельный радиус действия были проведены лишь в ОКДВА и то без цельных выводов.</w:t>
      </w:r>
    </w:p>
    <w:p w14:paraId="40B1DDB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Высотные полеты не проводились.</w:t>
      </w:r>
    </w:p>
    <w:p w14:paraId="02929F8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текущем летнем периоде провести опыты дальних и высотных перелетов по следующему плану.</w:t>
      </w:r>
    </w:p>
    <w:p w14:paraId="4DFFAC4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Перелеты:</w:t>
      </w:r>
    </w:p>
    <w:p w14:paraId="6481FC2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с-ту Р5, как легкому бомбардировщику.</w:t>
      </w:r>
    </w:p>
    <w:p w14:paraId="69B2A65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 НИИ ВВС немедленно испытать два облегченных Р5 из бригады НИИ на полетах на предельный радиус с предельно возможной нагрузкой, комбинируя нагрузки бомбовые и запасы горючего.</w:t>
      </w:r>
    </w:p>
    <w:p w14:paraId="05A4AA2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дополнительные баки на двух самолетах Р5 и испытать на предельный радиус действия также с разной бомбовой нагрузкой.</w:t>
      </w:r>
    </w:p>
    <w:p w14:paraId="192083B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Р5 произвести также в летных бригадах.</w:t>
      </w:r>
    </w:p>
    <w:p w14:paraId="0F6AE73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Р5 как штурмовик.</w:t>
      </w:r>
    </w:p>
    <w:p w14:paraId="1335F97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отряд, загруженный бомбами с новыми (40 бомб) бомбодержателями (возможно снять одну или две пары подкрыльных пулеметов и уменьшить запас патронов).</w:t>
      </w:r>
    </w:p>
    <w:p w14:paraId="18B0DA39"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отряд, максимально загруженный пулеметами и патронами с минимальной бомбовой нагрузкой.</w:t>
      </w:r>
    </w:p>
    <w:p w14:paraId="53B07DD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Третий отряд, загруженный ВАПами при минимальной нагрузке пулеметами и бомбами.</w:t>
      </w:r>
    </w:p>
    <w:p w14:paraId="34D7B53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каждого отряда участвуют в испытаниях 3 самолета.</w:t>
      </w:r>
    </w:p>
    <w:p w14:paraId="524F9CE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проводить в полетах на малых высотах штурмовых действий и подхода к цели.</w:t>
      </w:r>
    </w:p>
    <w:p w14:paraId="5342296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Р5 как разведчик.</w:t>
      </w:r>
    </w:p>
    <w:p w14:paraId="2C3BEB3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Произвести испытания Р: как разведчика на предельном потолке, на предельную дальность действия звеньями, выделяя в каждой назначенной для испытания эскадрильи одно звено с нормальными баками и одно звено с дополнительными баками.</w:t>
      </w:r>
    </w:p>
    <w:p w14:paraId="11BBE57E"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Разведчикам иметь на борту фотоаппарат и нормальный запас патронов для пулеметов на турели. Задачу разведчик выполняет на оперативном фоне с обязательной фоторазведкой и доставкой снимков заданного пункта.</w:t>
      </w:r>
    </w:p>
    <w:p w14:paraId="705FC8F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полеты по этим заданиям закончить 15.08.33 года.</w:t>
      </w:r>
    </w:p>
    <w:p w14:paraId="25ACD245"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Тяжелый бомбардировщик ТБ1.</w:t>
      </w:r>
    </w:p>
    <w:p w14:paraId="720B595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Произвести в Едровской АБ испытания на предельный радиус действия с разной бомбовой нагрузкой ТБ1.</w:t>
      </w:r>
    </w:p>
    <w:p w14:paraId="386F21E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Окончание испытаний 15.08.1933 года.</w:t>
      </w:r>
    </w:p>
    <w:p w14:paraId="1A74062A"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Тяжелый бомбардировщик ТБ3.</w:t>
      </w:r>
    </w:p>
    <w:p w14:paraId="701D470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постановления СТО нач. НИИ ВВС совместно с ЦАГИ провести испытание двух кораблей ТБ3 на предельный радиус действия.</w:t>
      </w:r>
    </w:p>
    <w:p w14:paraId="2E3AEC94"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Наладить систематические перелеты по маршруту Хабаровск, Петропавловск-на-Камчатке и обратно, согласно указаний наркома.</w:t>
      </w:r>
    </w:p>
    <w:p w14:paraId="2592A82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Наметить в 9 и 18 АБ по одной эскадрильи для испытаний ТБ3 на дальний перелет (на восток) на предельный радиус действия согласно особого плана и программы, высылаемой дополнительно. Конец испытаниям к 20.08.33 года.</w:t>
      </w:r>
    </w:p>
    <w:p w14:paraId="064AD251"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Помкомвойск по ВВС УВО представить к 15.06 мне план полетов двух сухопутных ТБ3 на морем на радиус, близкий к предельному. Начало полетов по утверждении мною плана.</w:t>
      </w:r>
    </w:p>
    <w:p w14:paraId="7F732C9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Использовать для выявления предельного радиуса действий предполагаемые перелеты эскадрилий Шестакова и Широкого. Материалы по опытным перелетам представить мне не позднее 20.07.33 года.</w:t>
      </w:r>
    </w:p>
    <w:p w14:paraId="00827B6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По самолету Р6.</w:t>
      </w:r>
    </w:p>
    <w:p w14:paraId="28C57457"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Испытать на предельный радиус действия, согласно особых указаний штаба ВВС. Срок окончания испытаний 15.08.33 года.</w:t>
      </w:r>
    </w:p>
    <w:p w14:paraId="3A0CF77D"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По самолету И7.</w:t>
      </w:r>
    </w:p>
    <w:p w14:paraId="1E7F392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Организовать в эскадрильях 453 и 201 АБ испытания И7 на предельный радиус действия и на больших высотах (не ниже 4500 м) по расчету - звено на каждую эскадрилью.</w:t>
      </w:r>
    </w:p>
    <w:p w14:paraId="11BFB0D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закончить 15.08.</w:t>
      </w:r>
    </w:p>
    <w:p w14:paraId="01F0A3CB"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По самолету И5.</w:t>
      </w:r>
    </w:p>
    <w:p w14:paraId="07C85B3F"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аналогичных основаниях с испытаниями И7 произвести испытания И5 (в ЛВО - на восток). Срок тот же.</w:t>
      </w:r>
    </w:p>
    <w:p w14:paraId="2C6131B8"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 высотных полетах.</w:t>
      </w:r>
    </w:p>
    <w:p w14:paraId="27BD224C"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Произвести испытания Р5 на высотах не ниже 5000 м (кислородные приборы). Привлечь одно звено. Испытываются как легко-бомбардировщики.</w:t>
      </w:r>
    </w:p>
    <w:p w14:paraId="1DD98CA0"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То же. Полет разведывательный на высоте не ниже 5000 м.</w:t>
      </w:r>
    </w:p>
    <w:p w14:paraId="3DF48B23"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Окончание всех испытаний 15.08.33 года. (3059,1-2).</w:t>
      </w:r>
    </w:p>
    <w:p w14:paraId="698A97F7"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04F4C396"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народный комиссар по военным и морским делам К.Е. Вороши</w:t>
      </w:r>
      <w:r w:rsidRPr="0044524F">
        <w:rPr>
          <w:rFonts w:ascii="Times New Roman" w:hAnsi="Times New Roman"/>
          <w:color w:val="000000" w:themeColor="text1"/>
          <w:sz w:val="16"/>
          <w:szCs w:val="16"/>
        </w:rPr>
        <w:softHyphen/>
        <w:t>лов сообщил началь</w:t>
      </w:r>
      <w:r w:rsidRPr="0044524F">
        <w:rPr>
          <w:rFonts w:ascii="Times New Roman" w:hAnsi="Times New Roman"/>
          <w:color w:val="000000" w:themeColor="text1"/>
          <w:sz w:val="16"/>
          <w:szCs w:val="16"/>
        </w:rPr>
        <w:softHyphen/>
        <w:t>нику Главного управления авиационной промышленности (ГУАП) П.И. Барано</w:t>
      </w:r>
      <w:r w:rsidRPr="0044524F">
        <w:rPr>
          <w:rFonts w:ascii="Times New Roman" w:hAnsi="Times New Roman"/>
          <w:color w:val="000000" w:themeColor="text1"/>
          <w:sz w:val="16"/>
          <w:szCs w:val="16"/>
        </w:rPr>
        <w:softHyphen/>
        <w:t>ву, что он дал согласие на рекордно дальний пере</w:t>
      </w:r>
      <w:r w:rsidRPr="0044524F">
        <w:rPr>
          <w:rFonts w:ascii="Times New Roman" w:hAnsi="Times New Roman"/>
          <w:color w:val="000000" w:themeColor="text1"/>
          <w:sz w:val="16"/>
          <w:szCs w:val="16"/>
        </w:rPr>
        <w:softHyphen/>
        <w:t>лет по маршруту Москва - Оренбург - Но</w:t>
      </w:r>
      <w:r w:rsidRPr="0044524F">
        <w:rPr>
          <w:rFonts w:ascii="Times New Roman" w:hAnsi="Times New Roman"/>
          <w:color w:val="000000" w:themeColor="text1"/>
          <w:sz w:val="16"/>
          <w:szCs w:val="16"/>
        </w:rPr>
        <w:softHyphen/>
        <w:t>восибирск — Чита — Новосибирск — Орен</w:t>
      </w:r>
      <w:r w:rsidRPr="0044524F">
        <w:rPr>
          <w:rFonts w:ascii="Times New Roman" w:hAnsi="Times New Roman"/>
          <w:color w:val="000000" w:themeColor="text1"/>
          <w:sz w:val="16"/>
          <w:szCs w:val="16"/>
        </w:rPr>
        <w:softHyphen/>
        <w:t>бург— Харьков — Москва, протяженностью 10 150 км и. Взлет по указанию наркома следовало производить с аэродрома, расположенного вблизи железнодорожной станции Томская (ныне Чкаловская) недалеко от подмосков</w:t>
      </w:r>
      <w:r w:rsidRPr="0044524F">
        <w:rPr>
          <w:rFonts w:ascii="Times New Roman" w:hAnsi="Times New Roman"/>
          <w:color w:val="000000" w:themeColor="text1"/>
          <w:sz w:val="16"/>
          <w:szCs w:val="16"/>
        </w:rPr>
        <w:softHyphen/>
        <w:t>ного города Щелково, где надлежало по</w:t>
      </w:r>
      <w:r w:rsidRPr="0044524F">
        <w:rPr>
          <w:rFonts w:ascii="Times New Roman" w:hAnsi="Times New Roman"/>
          <w:color w:val="000000" w:themeColor="text1"/>
          <w:sz w:val="16"/>
          <w:szCs w:val="16"/>
        </w:rPr>
        <w:softHyphen/>
        <w:t>строить бетонированную взлетную дорож</w:t>
      </w:r>
      <w:r w:rsidRPr="0044524F">
        <w:rPr>
          <w:rFonts w:ascii="Times New Roman" w:hAnsi="Times New Roman"/>
          <w:color w:val="000000" w:themeColor="text1"/>
          <w:sz w:val="16"/>
          <w:szCs w:val="16"/>
        </w:rPr>
        <w:softHyphen/>
        <w:t>ку. Техническое задание на строительство было угверждено ориентировочно 7 июня 1933 года.</w:t>
      </w:r>
    </w:p>
    <w:p w14:paraId="3D0017B3"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Спустя шесть дней разработали техниче</w:t>
      </w:r>
      <w:r w:rsidRPr="0044524F">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44524F">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44524F">
        <w:rPr>
          <w:rFonts w:ascii="Times New Roman" w:hAnsi="Times New Roman"/>
          <w:color w:val="000000" w:themeColor="text1"/>
          <w:sz w:val="16"/>
          <w:szCs w:val="16"/>
        </w:rPr>
        <w:softHyphen/>
        <w:t>ризонтальную части с площадкой разме</w:t>
      </w:r>
      <w:r w:rsidRPr="0044524F">
        <w:rPr>
          <w:rFonts w:ascii="Times New Roman" w:hAnsi="Times New Roman"/>
          <w:color w:val="000000" w:themeColor="text1"/>
          <w:sz w:val="16"/>
          <w:szCs w:val="16"/>
        </w:rPr>
        <w:softHyphen/>
        <w:t>ром 25x25 метров, расположенной на вер</w:t>
      </w:r>
      <w:r w:rsidRPr="0044524F">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44524F">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44524F">
        <w:rPr>
          <w:rFonts w:ascii="Times New Roman" w:hAnsi="Times New Roman"/>
          <w:color w:val="000000" w:themeColor="text1"/>
          <w:sz w:val="16"/>
          <w:szCs w:val="16"/>
        </w:rPr>
        <w:softHyphen/>
        <w:t>ность бетонной дорожки возросла с 1500 до 1800 метров. Наклонная часть старто</w:t>
      </w:r>
      <w:r w:rsidRPr="0044524F">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44524F">
        <w:rPr>
          <w:rFonts w:ascii="Times New Roman" w:hAnsi="Times New Roman"/>
          <w:color w:val="000000" w:themeColor="text1"/>
          <w:sz w:val="16"/>
          <w:szCs w:val="16"/>
        </w:rPr>
        <w:softHyphen/>
        <w:t>вовала до середины 1960-х годов. Этот па</w:t>
      </w:r>
      <w:r w:rsidRPr="0044524F">
        <w:rPr>
          <w:rFonts w:ascii="Times New Roman" w:hAnsi="Times New Roman"/>
          <w:color w:val="000000" w:themeColor="text1"/>
          <w:sz w:val="16"/>
          <w:szCs w:val="16"/>
        </w:rPr>
        <w:softHyphen/>
        <w:t>мятник истории снесли по нелепому рас</w:t>
      </w:r>
      <w:r w:rsidRPr="0044524F">
        <w:rPr>
          <w:rFonts w:ascii="Times New Roman" w:hAnsi="Times New Roman"/>
          <w:color w:val="000000" w:themeColor="text1"/>
          <w:sz w:val="16"/>
          <w:szCs w:val="16"/>
        </w:rPr>
        <w:softHyphen/>
        <w:t>поряжению генерала Н. Пушко, совме</w:t>
      </w:r>
      <w:r w:rsidRPr="0044524F">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44524F">
        <w:rPr>
          <w:rFonts w:ascii="Times New Roman" w:hAnsi="Times New Roman"/>
          <w:color w:val="000000" w:themeColor="text1"/>
          <w:sz w:val="16"/>
          <w:szCs w:val="16"/>
        </w:rPr>
        <w:softHyphen/>
        <w:t>ющей к аэродрому, и начальника Щелков</w:t>
      </w:r>
      <w:r w:rsidRPr="0044524F">
        <w:rPr>
          <w:rFonts w:ascii="Times New Roman" w:hAnsi="Times New Roman"/>
          <w:color w:val="000000" w:themeColor="text1"/>
          <w:sz w:val="16"/>
          <w:szCs w:val="16"/>
        </w:rPr>
        <w:softHyphen/>
        <w:t>ского гарнизона.</w:t>
      </w:r>
    </w:p>
    <w:p w14:paraId="479A0F6F"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со строительством поло</w:t>
      </w:r>
      <w:r w:rsidRPr="0044524F">
        <w:rPr>
          <w:rFonts w:ascii="Times New Roman" w:hAnsi="Times New Roman"/>
          <w:color w:val="000000" w:themeColor="text1"/>
          <w:sz w:val="16"/>
          <w:szCs w:val="16"/>
        </w:rPr>
        <w:softHyphen/>
        <w:t>сы 2000 рабочих и красноармейцев в те</w:t>
      </w:r>
      <w:r w:rsidRPr="0044524F">
        <w:rPr>
          <w:rFonts w:ascii="Times New Roman" w:hAnsi="Times New Roman"/>
          <w:color w:val="000000" w:themeColor="text1"/>
          <w:sz w:val="16"/>
          <w:szCs w:val="16"/>
        </w:rPr>
        <w:softHyphen/>
        <w:t>чение 15 суток сравнивали большой зем</w:t>
      </w:r>
      <w:r w:rsidRPr="0044524F">
        <w:rPr>
          <w:rFonts w:ascii="Times New Roman" w:hAnsi="Times New Roman"/>
          <w:color w:val="000000" w:themeColor="text1"/>
          <w:sz w:val="16"/>
          <w:szCs w:val="16"/>
        </w:rPr>
        <w:softHyphen/>
        <w:t>ляной холм, лежавший на пути самоле</w:t>
      </w:r>
      <w:r w:rsidRPr="0044524F">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44524F">
        <w:rPr>
          <w:rFonts w:ascii="Times New Roman" w:hAnsi="Times New Roman"/>
          <w:color w:val="000000" w:themeColor="text1"/>
          <w:sz w:val="16"/>
          <w:szCs w:val="16"/>
        </w:rPr>
        <w:softHyphen/>
        <w:t>венное препятствие.</w:t>
      </w:r>
    </w:p>
    <w:p w14:paraId="7C4EF441"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Подобных бетонных дорожек со старто</w:t>
      </w:r>
      <w:r w:rsidRPr="0044524F">
        <w:rPr>
          <w:rFonts w:ascii="Times New Roman" w:hAnsi="Times New Roman"/>
          <w:color w:val="000000" w:themeColor="text1"/>
          <w:sz w:val="16"/>
          <w:szCs w:val="16"/>
        </w:rPr>
        <w:softHyphen/>
        <w:t>вой горкой не было ни в одной стране ми</w:t>
      </w:r>
      <w:r w:rsidRPr="0044524F">
        <w:rPr>
          <w:rFonts w:ascii="Times New Roman" w:hAnsi="Times New Roman"/>
          <w:color w:val="000000" w:themeColor="text1"/>
          <w:sz w:val="16"/>
          <w:szCs w:val="16"/>
        </w:rPr>
        <w:softHyphen/>
        <w:t>ра, и причиной ее появления было отсутст</w:t>
      </w:r>
      <w:r w:rsidRPr="0044524F">
        <w:rPr>
          <w:rFonts w:ascii="Times New Roman" w:hAnsi="Times New Roman"/>
          <w:color w:val="000000" w:themeColor="text1"/>
          <w:sz w:val="16"/>
          <w:szCs w:val="16"/>
        </w:rPr>
        <w:softHyphen/>
        <w:t>вие тормозов колес у самолета РД. Послед</w:t>
      </w:r>
      <w:r w:rsidRPr="0044524F">
        <w:rPr>
          <w:rFonts w:ascii="Times New Roman" w:hAnsi="Times New Roman"/>
          <w:color w:val="000000" w:themeColor="text1"/>
          <w:sz w:val="16"/>
          <w:szCs w:val="16"/>
        </w:rPr>
        <w:softHyphen/>
        <w:t>нее обстоятельство усложняло выдержива</w:t>
      </w:r>
      <w:r w:rsidRPr="0044524F">
        <w:rPr>
          <w:rFonts w:ascii="Times New Roman" w:hAnsi="Times New Roman"/>
          <w:color w:val="000000" w:themeColor="text1"/>
          <w:sz w:val="16"/>
          <w:szCs w:val="16"/>
        </w:rPr>
        <w:softHyphen/>
        <w:t>ние направления разбега тяжелой маши</w:t>
      </w:r>
      <w:r w:rsidRPr="0044524F">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44524F">
        <w:rPr>
          <w:rFonts w:ascii="Times New Roman" w:hAnsi="Times New Roman"/>
          <w:color w:val="000000" w:themeColor="text1"/>
          <w:sz w:val="16"/>
          <w:szCs w:val="16"/>
        </w:rPr>
        <w:softHyphen/>
        <w:t>хранять его направление с помощью аэро</w:t>
      </w:r>
      <w:r w:rsidRPr="0044524F">
        <w:rPr>
          <w:rFonts w:ascii="Times New Roman" w:hAnsi="Times New Roman"/>
          <w:color w:val="000000" w:themeColor="text1"/>
          <w:sz w:val="16"/>
          <w:szCs w:val="16"/>
        </w:rPr>
        <w:softHyphen/>
        <w:t>динамического руля.</w:t>
      </w:r>
    </w:p>
    <w:p w14:paraId="7BFD6722" w14:textId="77777777" w:rsidR="00185C06" w:rsidRPr="0044524F" w:rsidRDefault="00185C06" w:rsidP="009654CF">
      <w:pPr>
        <w:pStyle w:val="txt1"/>
        <w:shd w:val="clear" w:color="auto" w:fill="FFFFFF"/>
        <w:spacing w:before="0" w:beforeAutospacing="0" w:after="0" w:afterAutospacing="0" w:line="240" w:lineRule="auto"/>
        <w:ind w:firstLine="0"/>
        <w:rPr>
          <w:color w:val="000000" w:themeColor="text1"/>
          <w:sz w:val="16"/>
          <w:szCs w:val="16"/>
        </w:rPr>
      </w:pPr>
      <w:r w:rsidRPr="0044524F">
        <w:rPr>
          <w:color w:val="000000" w:themeColor="text1"/>
          <w:sz w:val="16"/>
          <w:szCs w:val="16"/>
        </w:rPr>
        <w:t>Впоследствии аэродром НИИ ВВС стали называть Чкаловская в соответствии с од</w:t>
      </w:r>
      <w:r w:rsidRPr="0044524F">
        <w:rPr>
          <w:color w:val="000000" w:themeColor="text1"/>
          <w:sz w:val="16"/>
          <w:szCs w:val="16"/>
        </w:rPr>
        <w:softHyphen/>
        <w:t>ноименной железнодорожной станцией (12725).</w:t>
      </w:r>
    </w:p>
    <w:p w14:paraId="436A7791" w14:textId="77777777" w:rsidR="00185C06" w:rsidRPr="0044524F" w:rsidRDefault="00185C06" w:rsidP="009654CF">
      <w:pPr>
        <w:pStyle w:val="txt1"/>
        <w:shd w:val="clear" w:color="auto" w:fill="FFFFFF"/>
        <w:spacing w:before="0" w:beforeAutospacing="0" w:after="0" w:afterAutospacing="0" w:line="240" w:lineRule="auto"/>
        <w:ind w:firstLine="0"/>
        <w:rPr>
          <w:color w:val="000000" w:themeColor="text1"/>
          <w:sz w:val="16"/>
          <w:szCs w:val="16"/>
        </w:rPr>
      </w:pPr>
    </w:p>
    <w:p w14:paraId="2C82463E" w14:textId="77777777" w:rsidR="00EB09F2" w:rsidRPr="0044524F" w:rsidRDefault="00EB09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опросом членов ПБ</w:t>
      </w:r>
    </w:p>
    <w:p w14:paraId="1CCD72D2" w14:textId="77777777" w:rsidR="00EB09F2" w:rsidRPr="0044524F" w:rsidRDefault="00EB09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158/137.-О ГУГВФ (записка т. Куйбышева В.)</w:t>
      </w:r>
    </w:p>
    <w:p w14:paraId="10BAA1E8" w14:textId="77777777" w:rsidR="00EB09F2" w:rsidRPr="0044524F" w:rsidRDefault="00EB09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Поручить т.т. Куйбышеву и Ворошилову пред</w:t>
      </w:r>
      <w:r w:rsidRPr="0044524F">
        <w:rPr>
          <w:rFonts w:ascii="Times New Roman" w:hAnsi="Times New Roman"/>
          <w:color w:val="000000" w:themeColor="text1"/>
          <w:sz w:val="16"/>
          <w:szCs w:val="16"/>
        </w:rPr>
        <w:softHyphen/>
        <w:t xml:space="preserve">ставить проект постановления по следующим вопросам: </w:t>
      </w:r>
    </w:p>
    <w:p w14:paraId="62E1FCEC" w14:textId="77777777" w:rsidR="00EB09F2" w:rsidRPr="0044524F" w:rsidRDefault="00EB09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 создании политорганов в системе Аэро-флота.</w:t>
      </w:r>
    </w:p>
    <w:p w14:paraId="12B0DA0E" w14:textId="753C58F8" w:rsidR="00EB09F2" w:rsidRPr="0044524F" w:rsidRDefault="00EB09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 переводе на работу в транспортной авиации квалифицированных работников из системы ГУАП и НКВоен</w:t>
      </w:r>
      <w:r w:rsidR="00A82C31"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t>ора.</w:t>
      </w:r>
    </w:p>
    <w:p w14:paraId="25AA0947" w14:textId="77777777" w:rsidR="00EB09F2" w:rsidRPr="0044524F" w:rsidRDefault="00EB09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Bыписки посланы:</w:t>
      </w:r>
    </w:p>
    <w:p w14:paraId="0732B97F" w14:textId="77777777" w:rsidR="00EB09F2" w:rsidRPr="0044524F" w:rsidRDefault="00EB09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т.т. Куйбышеву, Ворошилову</w:t>
      </w:r>
    </w:p>
    <w:p w14:paraId="4002E24D" w14:textId="77777777" w:rsidR="00EB09F2" w:rsidRPr="0044524F" w:rsidRDefault="00EB09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состоялось заседание ПБ и был оформлен протокол № 138 (22988).</w:t>
      </w:r>
    </w:p>
    <w:p w14:paraId="49B08168" w14:textId="77777777" w:rsidR="00EB09F2" w:rsidRPr="0044524F" w:rsidRDefault="00EB09F2" w:rsidP="009654CF">
      <w:pPr>
        <w:spacing w:after="0" w:line="240" w:lineRule="auto"/>
        <w:jc w:val="both"/>
        <w:rPr>
          <w:rFonts w:ascii="Times New Roman" w:hAnsi="Times New Roman"/>
          <w:color w:val="000000" w:themeColor="text1"/>
          <w:sz w:val="16"/>
          <w:szCs w:val="16"/>
        </w:rPr>
      </w:pPr>
    </w:p>
    <w:p w14:paraId="6679C506"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открылась Высшая парашютная школа Осоавиахима. В мае 1933 в Москве в ПГ была построена первая в СССР парашютная вышка (271,134).</w:t>
      </w:r>
    </w:p>
    <w:p w14:paraId="68885EBA"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63F64378" w14:textId="77777777" w:rsidR="0084779D" w:rsidRPr="0044524F" w:rsidRDefault="008477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г. в Тушино открылась Высшая парашютная школа Осоавиахима для подготовки инструкторов парашютного дела. Организатором и начальником школы был военный летчик и парашютист Яков Давидович Мошковский. К концу года школа подготовила десятки инструкторов, провела ряд показательных групповых прыжкор, организовала сеть парашютных кружков на крупнейших предприятиях Москвы, оборудовала в центральном парке культуры и отдыха парашютную вышку, организовала рад прыжков с самолета для своих кружковцев и т.п. Школа сыграла большую роль в развитии массового парашютного спорта.</w:t>
      </w:r>
    </w:p>
    <w:p w14:paraId="79874083" w14:textId="77777777" w:rsidR="0084779D" w:rsidRPr="0044524F" w:rsidRDefault="008477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1934 № 3/ (23370).</w:t>
      </w:r>
    </w:p>
    <w:p w14:paraId="54C2CD56" w14:textId="77777777" w:rsidR="0084779D" w:rsidRPr="0044524F" w:rsidRDefault="0084779D" w:rsidP="009654CF">
      <w:pPr>
        <w:spacing w:after="0" w:line="240" w:lineRule="auto"/>
        <w:jc w:val="both"/>
        <w:rPr>
          <w:rFonts w:ascii="Times New Roman" w:hAnsi="Times New Roman"/>
          <w:color w:val="000000" w:themeColor="text1"/>
          <w:sz w:val="16"/>
          <w:szCs w:val="16"/>
        </w:rPr>
      </w:pPr>
    </w:p>
    <w:p w14:paraId="52A706D2" w14:textId="77777777" w:rsidR="008C5AAD" w:rsidRPr="0044524F" w:rsidRDefault="008C5A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в НКВМД состоялось совещание начальников управлений Штаба РККА, посвященное немецким военным центрам в России и в т.ч. Липецкой школе. Председательствовал Я.Берзин - военная разведка. Решили снизить до минимума состав служащих и ограничить их передвижения, а также организовать ликвидационную комиссию (1131,32).</w:t>
      </w:r>
    </w:p>
    <w:p w14:paraId="6CBD8CCA" w14:textId="77777777" w:rsidR="008C5AAD" w:rsidRPr="0044524F" w:rsidRDefault="008C5AAD" w:rsidP="009654CF">
      <w:pPr>
        <w:spacing w:after="0" w:line="240" w:lineRule="auto"/>
        <w:jc w:val="both"/>
        <w:rPr>
          <w:rFonts w:ascii="Times New Roman" w:hAnsi="Times New Roman"/>
          <w:color w:val="000000" w:themeColor="text1"/>
          <w:sz w:val="16"/>
          <w:szCs w:val="16"/>
        </w:rPr>
      </w:pPr>
    </w:p>
    <w:p w14:paraId="3ECF0DCE" w14:textId="77777777" w:rsidR="006E56A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8516B62" w14:textId="77777777" w:rsidR="006E56A1" w:rsidRPr="0044524F" w:rsidRDefault="006E56A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6915662"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года на НИАП был подан первый однобашенный танк Т-26 с 45-мм пушкой обр. 1932 года - 20К, созданной на основе 37-мм противотанковой пушки Рейнметалл (3861).</w:t>
      </w:r>
    </w:p>
    <w:p w14:paraId="20ABC7E4" w14:textId="7BA1B1A4"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3A5D2A43" w14:textId="3F140A0C" w:rsidR="001B3BDD" w:rsidRPr="0044524F" w:rsidRDefault="001B3BDD"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47FD348C" w14:textId="77777777" w:rsidR="001B3BDD" w:rsidRPr="0044524F" w:rsidRDefault="001B3BDD"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57D5C8A8" w14:textId="77777777" w:rsidR="001B3BDD" w:rsidRPr="0044524F" w:rsidRDefault="001B3BD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г. врид. начальник ВВС Хрипин приказом по боевой подготовке УБП №31/001078, отметил, что (цитата) «В истекшем зимнем периоде полеты на предельный радиус действия были проведены лишь в ОКДВА и то без цельных выводов. Высотные полеты не проводились. В текущем летнем периоде провести опыты дальних и высотных перелетов по следующему плану… Организовать в эскадрильях 453 и 201 АБ испытания И7 на предельный радиус действия и на больших высотах (не ниже 4500 м) по расчету - звено на каждую эскадрилью. Испытания закончить 15.08» (24331).</w:t>
      </w:r>
    </w:p>
    <w:p w14:paraId="3F7FC127" w14:textId="77777777" w:rsidR="001B3BDD" w:rsidRPr="0044524F" w:rsidRDefault="001B3BDD" w:rsidP="009654CF">
      <w:pPr>
        <w:spacing w:after="0" w:line="240" w:lineRule="auto"/>
        <w:jc w:val="both"/>
        <w:rPr>
          <w:rFonts w:ascii="Times New Roman" w:hAnsi="Times New Roman"/>
          <w:color w:val="000000" w:themeColor="text1"/>
          <w:sz w:val="16"/>
          <w:szCs w:val="16"/>
        </w:rPr>
      </w:pPr>
    </w:p>
    <w:p w14:paraId="0D8230E5" w14:textId="77777777" w:rsidR="0000440B" w:rsidRPr="00142305" w:rsidRDefault="0000440B" w:rsidP="0000440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мая 1933 г. на совещании начальников Управлений Штаба РККА приняли решение максимально ограничить передвижение герман</w:t>
      </w:r>
      <w:r w:rsidRPr="00142305">
        <w:rPr>
          <w:rFonts w:ascii="Times New Roman" w:hAnsi="Times New Roman"/>
          <w:color w:val="0070C0"/>
          <w:sz w:val="16"/>
          <w:szCs w:val="16"/>
        </w:rPr>
        <w:softHyphen/>
        <w:t>ских летчиков по территории СССР, сократить до минимума коли</w:t>
      </w:r>
      <w:r w:rsidRPr="00142305">
        <w:rPr>
          <w:rFonts w:ascii="Times New Roman" w:hAnsi="Times New Roman"/>
          <w:color w:val="0070C0"/>
          <w:sz w:val="16"/>
          <w:szCs w:val="16"/>
        </w:rPr>
        <w:softHyphen/>
        <w:t>чество русского персонала, отказать в льготном воинском тарифе при перевозке грузов из Германии, запретить использование поли</w:t>
      </w:r>
      <w:r w:rsidRPr="00142305">
        <w:rPr>
          <w:rFonts w:ascii="Times New Roman" w:hAnsi="Times New Roman"/>
          <w:color w:val="0070C0"/>
          <w:sz w:val="16"/>
          <w:szCs w:val="16"/>
        </w:rPr>
        <w:softHyphen/>
        <w:t>гона для учебных стрельб и бомбометаний.</w:t>
      </w:r>
    </w:p>
    <w:p w14:paraId="569A7E68" w14:textId="77777777" w:rsidR="0000440B" w:rsidRPr="00142305" w:rsidRDefault="0000440B" w:rsidP="0000440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Ужесточилось наблюдение за поведением немецких служа</w:t>
      </w:r>
      <w:r w:rsidRPr="00142305">
        <w:rPr>
          <w:rFonts w:ascii="Times New Roman" w:hAnsi="Times New Roman"/>
          <w:color w:val="0070C0"/>
          <w:sz w:val="16"/>
          <w:szCs w:val="16"/>
        </w:rPr>
        <w:softHyphen/>
        <w:t>щих. В одном из донесений Томсона говорится: «За последнее вре</w:t>
      </w:r>
      <w:r w:rsidRPr="00142305">
        <w:rPr>
          <w:rFonts w:ascii="Times New Roman" w:hAnsi="Times New Roman"/>
          <w:color w:val="0070C0"/>
          <w:sz w:val="16"/>
          <w:szCs w:val="16"/>
        </w:rPr>
        <w:softHyphen/>
        <w:t>мя «друзья» начинают проявлять свою обычную наглость. Повторя</w:t>
      </w:r>
      <w:r w:rsidRPr="00142305">
        <w:rPr>
          <w:rFonts w:ascii="Times New Roman" w:hAnsi="Times New Roman"/>
          <w:color w:val="0070C0"/>
          <w:sz w:val="16"/>
          <w:szCs w:val="16"/>
        </w:rPr>
        <w:softHyphen/>
        <w:t>ются прошлогодние картины связи с русскими женщинами на реке Воронеж. В каждой женщине видят проститутку и предлагают за связь шелковые чулки, бутерброды, граммофон и т. д. Перед вы</w:t>
      </w:r>
      <w:r w:rsidRPr="00142305">
        <w:rPr>
          <w:rFonts w:ascii="Times New Roman" w:hAnsi="Times New Roman"/>
          <w:color w:val="0070C0"/>
          <w:sz w:val="16"/>
          <w:szCs w:val="16"/>
        </w:rPr>
        <w:softHyphen/>
        <w:t xml:space="preserve">ходными днями «друзья» устраивают на реке шалаши-палатки, приглашают русских женщин, угощают их </w:t>
      </w:r>
      <w:r w:rsidRPr="00142305">
        <w:rPr>
          <w:rFonts w:ascii="Times New Roman" w:hAnsi="Times New Roman"/>
          <w:color w:val="0070C0"/>
          <w:sz w:val="16"/>
          <w:szCs w:val="16"/>
        </w:rPr>
        <w:lastRenderedPageBreak/>
        <w:t>вином и т. д, в то же вре</w:t>
      </w:r>
      <w:r w:rsidRPr="00142305">
        <w:rPr>
          <w:rFonts w:ascii="Times New Roman" w:hAnsi="Times New Roman"/>
          <w:color w:val="0070C0"/>
          <w:sz w:val="16"/>
          <w:szCs w:val="16"/>
        </w:rPr>
        <w:softHyphen/>
        <w:t>мя стараются выпытать кое-какие сведения о наших трудностях. Есть случаи, когда немцы фотографируют нищих и детей-попроша</w:t>
      </w:r>
      <w:r w:rsidRPr="00142305">
        <w:rPr>
          <w:rFonts w:ascii="Times New Roman" w:hAnsi="Times New Roman"/>
          <w:color w:val="0070C0"/>
          <w:sz w:val="16"/>
          <w:szCs w:val="16"/>
        </w:rPr>
        <w:softHyphen/>
        <w:t>ек. ...Я решил в этом году запретить «друзьям» охоту, потому что под маркой охоты собирались разные сведения и налаживалась дружба с нежелательными для нас элементами» (25025).</w:t>
      </w:r>
    </w:p>
    <w:p w14:paraId="7FF044FA" w14:textId="77777777" w:rsidR="0000440B" w:rsidRPr="00142305" w:rsidRDefault="0000440B" w:rsidP="0000440B">
      <w:pPr>
        <w:spacing w:after="0" w:line="240" w:lineRule="auto"/>
        <w:jc w:val="both"/>
        <w:rPr>
          <w:rFonts w:ascii="Times New Roman" w:hAnsi="Times New Roman"/>
          <w:color w:val="0070C0"/>
          <w:sz w:val="16"/>
          <w:szCs w:val="16"/>
        </w:rPr>
      </w:pPr>
    </w:p>
    <w:p w14:paraId="0528C882" w14:textId="232B1CD1" w:rsidR="00A82C31" w:rsidRPr="0044524F" w:rsidRDefault="00A82C31"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1CFD8D34" w14:textId="77777777" w:rsidR="00A82C31" w:rsidRPr="0044524F" w:rsidRDefault="00A82C31"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41259A0F" w14:textId="77777777" w:rsidR="00A82C31" w:rsidRPr="0044524F" w:rsidRDefault="00A82C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начинается первое регулярное гражданское воздушное сообщение из Северной Ирландии в аэропорт Ренфрю в Глазго, Шотландия (20802).</w:t>
      </w:r>
    </w:p>
    <w:p w14:paraId="5A940571" w14:textId="77777777" w:rsidR="00A82C31" w:rsidRPr="0044524F" w:rsidRDefault="00A82C31" w:rsidP="009654CF">
      <w:pPr>
        <w:spacing w:after="0" w:line="240" w:lineRule="auto"/>
        <w:jc w:val="both"/>
        <w:rPr>
          <w:rFonts w:ascii="Times New Roman" w:hAnsi="Times New Roman"/>
          <w:color w:val="000000" w:themeColor="text1"/>
          <w:sz w:val="16"/>
          <w:szCs w:val="16"/>
        </w:rPr>
      </w:pPr>
    </w:p>
    <w:p w14:paraId="79204AF2" w14:textId="77777777" w:rsidR="006E56A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6E80CF0" w14:textId="77777777" w:rsidR="006E56A1" w:rsidRPr="0044524F" w:rsidRDefault="006E56A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F454A19"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мая 1933 был утвержден Отчет по гос. испытаниям опытного самолета ДИ4 с мотором Кертис Конкверор (6820).</w:t>
      </w:r>
    </w:p>
    <w:p w14:paraId="50388509"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23549019"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самолет – Холодов</w:t>
      </w:r>
    </w:p>
    <w:p w14:paraId="7E28E326"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Кокинаки</w:t>
      </w:r>
    </w:p>
    <w:p w14:paraId="019F215E"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50CFD0AA"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4F84E878"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8D71950" w14:textId="77777777" w:rsidR="006E56A1" w:rsidRPr="0044524F" w:rsidRDefault="006E56A1"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ДИ4 – Кертис Конкверор не может быть допущен к серийной постройке как не отвечающий требованиям к современным двухместным истребителям.</w:t>
      </w:r>
    </w:p>
    <w:p w14:paraId="2EF2E41C"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3725DC0A"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мая 1933 года – самолет поступил с завода № 39 для прохождения гос. испытаний.</w:t>
      </w:r>
    </w:p>
    <w:p w14:paraId="42774B9E"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 1933 года – перелет в Щелково.</w:t>
      </w:r>
    </w:p>
    <w:p w14:paraId="759CBA05"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года – фактическое начало испытаний.</w:t>
      </w:r>
    </w:p>
    <w:p w14:paraId="189958EA"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года – окончание испытаний</w:t>
      </w:r>
    </w:p>
    <w:p w14:paraId="4DF4CFAA"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испытание 15 календарных дней, испытание проведено в 7 летных дней. Налетано 13 час. 25 мин. (6820).</w:t>
      </w:r>
    </w:p>
    <w:p w14:paraId="43CF919D"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D11FA3F"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мая 1933 ХАЗОС представил эскизный проект ВС 2М-22, но после рассмотрения установили необходимость серьезных управлений (2310,143).</w:t>
      </w:r>
    </w:p>
    <w:p w14:paraId="05B9FDEF"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4B4F726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мая 1933 после ряда технических оценок проекта летающего танка Рафаэлянца НИИ ВВС стало окончательно ясно, что М-17 не хватает для обеспечения требуемых ЛТД. Сложно было подготовить и танкиста-летчика. В заключении отметили: “проект вызывает большие сомнения как с тактической, так и с экономической стороны в сравнении с другими уже имеющимися способами переброски танков (высадка с самолета, сбрасывание на парашюте.)” (3879,39).</w:t>
      </w:r>
    </w:p>
    <w:p w14:paraId="41E46BDA" w14:textId="6A5BBA0C"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5BFD5CB0" w14:textId="05C2EC73" w:rsidR="00297268" w:rsidRPr="0044524F" w:rsidRDefault="00297268"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3723C4AC" w14:textId="77777777" w:rsidR="00297268" w:rsidRPr="0044524F" w:rsidRDefault="00297268"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71CEE885" w14:textId="77777777" w:rsidR="00537F9D" w:rsidRPr="00142305" w:rsidRDefault="00537F9D" w:rsidP="00537F9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w:t>
      </w:r>
      <w:r w:rsidRPr="00142305">
        <w:rPr>
          <w:rFonts w:ascii="Times New Roman" w:hAnsi="Times New Roman"/>
          <w:color w:val="0070C0"/>
          <w:sz w:val="16"/>
          <w:szCs w:val="16"/>
        </w:rPr>
        <w:softHyphen/>
        <w:t>це мая 1933 г. нарком по военным и морским де</w:t>
      </w:r>
      <w:r w:rsidRPr="00142305">
        <w:rPr>
          <w:rFonts w:ascii="Times New Roman" w:hAnsi="Times New Roman"/>
          <w:color w:val="0070C0"/>
          <w:sz w:val="16"/>
          <w:szCs w:val="16"/>
        </w:rPr>
        <w:softHyphen/>
        <w:t>лам К.Е. Ворошилов утвердил маршрут РД Москва - Оренбург - Новосибирск - Чита - Новосибирск - Оренбург - Харьков - Мос</w:t>
      </w:r>
      <w:r w:rsidRPr="00142305">
        <w:rPr>
          <w:rFonts w:ascii="Times New Roman" w:hAnsi="Times New Roman"/>
          <w:color w:val="0070C0"/>
          <w:sz w:val="16"/>
          <w:szCs w:val="16"/>
        </w:rPr>
        <w:softHyphen/>
        <w:t>ква продолжительностью 10 150 км.</w:t>
      </w:r>
    </w:p>
    <w:p w14:paraId="29BB2F41" w14:textId="77777777" w:rsidR="00537F9D" w:rsidRPr="00142305" w:rsidRDefault="00537F9D" w:rsidP="00537F9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этому времени уже стало ясно, что в установленные сроки машины готовы не будут (24946).</w:t>
      </w:r>
    </w:p>
    <w:p w14:paraId="0D108AB0" w14:textId="77777777" w:rsidR="00537F9D" w:rsidRPr="00142305" w:rsidRDefault="00537F9D" w:rsidP="00537F9D">
      <w:pPr>
        <w:spacing w:after="0" w:line="240" w:lineRule="auto"/>
        <w:jc w:val="both"/>
        <w:rPr>
          <w:rFonts w:ascii="Times New Roman" w:hAnsi="Times New Roman"/>
          <w:color w:val="0070C0"/>
          <w:sz w:val="16"/>
          <w:szCs w:val="16"/>
        </w:rPr>
      </w:pPr>
    </w:p>
    <w:p w14:paraId="2F162352" w14:textId="77777777" w:rsidR="00297268" w:rsidRPr="0044524F" w:rsidRDefault="002972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мая 1933 года на Монинском военном аэродроме начались сборы десантных отделений стрелковых дивизий Московского военного округа.</w:t>
      </w:r>
    </w:p>
    <w:p w14:paraId="7F55CA71" w14:textId="77777777" w:rsidR="00297268" w:rsidRPr="0044524F" w:rsidRDefault="002972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Прыжки с парашютом осуществлялись из самолётов ТБ-1, оборудованных подвесными кабинами системы выдающегося советского инженера и конструктора Павла Игнатьевича Гроховского, возглавлявшего в те годы Особое конструкторское производственное бюро Военно-воздушных сил Красной Армии. Подвесная десантная кабина КП-1 крепилась непосредственно под фюзеляжем самолёта. Она была рассчитана на шестнадцать человек и весила около тонны. Всё это, безусловно, негативно отражалось на лётных характеристиках ТБ-1, увеличивая разбег, ухудшая манёвренность и уменьшая скорость тяжёлого бомбардировщика (21535).</w:t>
      </w:r>
    </w:p>
    <w:p w14:paraId="19444019" w14:textId="77777777" w:rsidR="00297268" w:rsidRPr="0044524F" w:rsidRDefault="00297268" w:rsidP="009654CF">
      <w:pPr>
        <w:spacing w:after="0" w:line="240" w:lineRule="auto"/>
        <w:jc w:val="both"/>
        <w:rPr>
          <w:rFonts w:ascii="Times New Roman" w:hAnsi="Times New Roman"/>
          <w:color w:val="000000" w:themeColor="text1"/>
          <w:sz w:val="16"/>
          <w:szCs w:val="16"/>
        </w:rPr>
      </w:pPr>
    </w:p>
    <w:p w14:paraId="727061C1" w14:textId="77777777" w:rsidR="00537F9D" w:rsidRPr="00142305" w:rsidRDefault="00537F9D" w:rsidP="00537F9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мая 1933 года на Монинском военном аэродроме начались сборы десантных отделений стрелковых дивизий Московского военного округа.</w:t>
      </w:r>
    </w:p>
    <w:p w14:paraId="5C6316BB" w14:textId="77777777" w:rsidR="00537F9D" w:rsidRPr="00142305" w:rsidRDefault="00537F9D" w:rsidP="00537F9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Прыжки с парашютом осуществлялись из самолётов ТБ-1, оборудованных подвесными кабинами системы выдающегося советского инженера и конструктора Павла Игнатьевича Гроховского, возглавлявшего в те годы Особое конструкторское производственное бюро Военно-воздушных сил Красной Армии. Подвесная десантная кабина КП-1 крепилась непосредственно под фюзеляжем самолёта. Она была рассчитана на шестнадцать человек и весила около тонны. Всё это, безусловно, негативно отражалось на лётных характеристиках ТБ-1, увеличивая разбег, ухудшая манёвренность и уменьшая скорость тяжёлого бомбардировщика (25652).</w:t>
      </w:r>
    </w:p>
    <w:p w14:paraId="606BFA3E" w14:textId="77777777" w:rsidR="00537F9D" w:rsidRPr="00142305" w:rsidRDefault="00537F9D" w:rsidP="00537F9D">
      <w:pPr>
        <w:spacing w:after="0" w:line="240" w:lineRule="auto"/>
        <w:jc w:val="both"/>
        <w:rPr>
          <w:rFonts w:ascii="Times New Roman" w:hAnsi="Times New Roman"/>
          <w:color w:val="0070C0"/>
          <w:sz w:val="16"/>
          <w:szCs w:val="16"/>
        </w:rPr>
      </w:pPr>
    </w:p>
    <w:p w14:paraId="730A57E5" w14:textId="77777777" w:rsidR="006E56A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EDAD3E4" w14:textId="77777777" w:rsidR="006E56A1" w:rsidRPr="0044524F" w:rsidRDefault="006E56A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BFFBAA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второй половине мая 1933 КБ отдела Т-2О (2-й танковый опытный) ХПЗ приступил к конструктивной проработки установки 76-мм пушки в БТ (3881,3).</w:t>
      </w:r>
    </w:p>
    <w:p w14:paraId="7CA87700"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65EA2F23" w14:textId="77777777" w:rsidR="006E56A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41F4088" w14:textId="77777777" w:rsidR="006E56A1" w:rsidRPr="0044524F" w:rsidRDefault="006E56A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DFB940D"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был подготовлен Отчет по испытанию самолета ТБ3 4М17 с тормозными колесами по устранении дефектов согласно заключения по испытаниям 7 марта 1933 года (6638).</w:t>
      </w:r>
    </w:p>
    <w:p w14:paraId="576B66C0"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4E51BE26"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самолета ТБ3 4М17 с тормозными колесами по устранении дефектов гидравлического управления тормозами и установки тормозных колес согласно заключения по испытаниям от 7 марта 1933 года.</w:t>
      </w:r>
    </w:p>
    <w:p w14:paraId="30F88EF3"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4A90BD45" w14:textId="77777777" w:rsidR="006E56A1" w:rsidRPr="0044524F" w:rsidRDefault="006E56A1"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Гидравлическое управление тормозами колес самолета ТБ3 4М17 размерами 1350х300 мм утверждается.</w:t>
      </w:r>
    </w:p>
    <w:p w14:paraId="2DB9D45D"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начато 19 апреля 1933 года</w:t>
      </w:r>
    </w:p>
    <w:p w14:paraId="4D14B486"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окончено 21 апреля 1933 года (6638).</w:t>
      </w:r>
    </w:p>
    <w:p w14:paraId="2E5E501F"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348E20"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командующий Приволж</w:t>
      </w:r>
      <w:r w:rsidRPr="0044524F">
        <w:rPr>
          <w:rFonts w:ascii="Times New Roman" w:hAnsi="Times New Roman"/>
          <w:color w:val="000000" w:themeColor="text1"/>
          <w:sz w:val="16"/>
          <w:szCs w:val="16"/>
        </w:rPr>
        <w:softHyphen/>
        <w:t>ским военным округом командарм Федько написал письмо заместителю наркома по военным и морским делам Тухачев</w:t>
      </w:r>
      <w:r w:rsidRPr="0044524F">
        <w:rPr>
          <w:rFonts w:ascii="Times New Roman" w:hAnsi="Times New Roman"/>
          <w:color w:val="000000" w:themeColor="text1"/>
          <w:sz w:val="16"/>
          <w:szCs w:val="16"/>
        </w:rPr>
        <w:softHyphen/>
        <w:t>скому. В нем он выдвинул идею создания «линейного воздушного флота» - большого соединения тяжелых бомбардировщиков, вооруженных пушками крупных калибров. Пушечное вооружение на самолетах тогда уже не являлось новостью. Еще в Первую мировую войну на некоторых аэро</w:t>
      </w:r>
      <w:r w:rsidRPr="0044524F">
        <w:rPr>
          <w:rFonts w:ascii="Times New Roman" w:hAnsi="Times New Roman"/>
          <w:color w:val="000000" w:themeColor="text1"/>
          <w:sz w:val="16"/>
          <w:szCs w:val="16"/>
        </w:rPr>
        <w:softHyphen/>
        <w:t>планах монтировали небольшие пушки. В частности, французы применяли глад</w:t>
      </w:r>
      <w:r w:rsidRPr="0044524F">
        <w:rPr>
          <w:rFonts w:ascii="Times New Roman" w:hAnsi="Times New Roman"/>
          <w:color w:val="000000" w:themeColor="text1"/>
          <w:sz w:val="16"/>
          <w:szCs w:val="16"/>
        </w:rPr>
        <w:softHyphen/>
        <w:t>коствольные 37-мм орудия, стрелявшие картечью. Позже в употребление вошли автоматические пушки калибра 20 мм или 23 мм. Но все это оружие предназначалось для воздушного боя одного самолета против другого или поражения небольших наземных целей.</w:t>
      </w:r>
    </w:p>
    <w:p w14:paraId="423D4BCC"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Новая же концепция выходила совсем на другой уровень. Если сражаться с самолетами, то уже не с одним, а с целой группой или даже соединением, если стрелять по земле, то не по танку, а по целому заводу, порту, городу. Эти возможности должна была обеспечить значительно возросшая огневая мощь. От «линейного флота» требовали установки орудий калибром от 76 мм до 245 мм! И таких пушек намеревались устанавливать от двух до шести!</w:t>
      </w:r>
    </w:p>
    <w:p w14:paraId="4491B9C9"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Разумеется, взять такое громоздкое и тяжелое оружие вместе с боезапасом мог только большой самолет. А такая машина в Советском Союзе имелась всего одна - четырехмоторный бомбардировщик ТБ-3, созданный в ЦАГИ под руководством А.Н. Туполева. Его и стали рассматривать как базу для будущего «линейного воз</w:t>
      </w:r>
      <w:r w:rsidRPr="0044524F">
        <w:rPr>
          <w:rFonts w:ascii="Times New Roman" w:hAnsi="Times New Roman"/>
          <w:color w:val="000000" w:themeColor="text1"/>
          <w:sz w:val="16"/>
          <w:szCs w:val="16"/>
        </w:rPr>
        <w:softHyphen/>
        <w:t>душного корабля».</w:t>
      </w:r>
    </w:p>
    <w:p w14:paraId="25912458"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Существовали две концепции создания «воздушного линкора». Одни специалисты ратовали за использование динаморе- активных (безоткатных) пушек (ДРП), обеспечивающих при крупном калибре сравнительно малый вес. Но при этом ДРП отличались малой начальной скоростью, что приводило к низкой точности стрельбы, а выходная реактивная струя</w:t>
      </w:r>
      <w:r w:rsidRPr="0044524F">
        <w:rPr>
          <w:rFonts w:ascii="Times New Roman" w:hAnsi="Times New Roman"/>
          <w:color w:val="000000" w:themeColor="text1"/>
          <w:sz w:val="16"/>
          <w:szCs w:val="16"/>
          <w:vertAlign w:val="subscript"/>
        </w:rPr>
        <w:t>&gt;</w:t>
      </w:r>
      <w:r w:rsidRPr="0044524F">
        <w:rPr>
          <w:rFonts w:ascii="Times New Roman" w:hAnsi="Times New Roman"/>
          <w:color w:val="000000" w:themeColor="text1"/>
          <w:sz w:val="16"/>
          <w:szCs w:val="16"/>
        </w:rPr>
        <w:t xml:space="preserve"> могла повредить обшивку самолета. Еще легче были пуско</w:t>
      </w:r>
      <w:r w:rsidRPr="0044524F">
        <w:rPr>
          <w:rFonts w:ascii="Times New Roman" w:hAnsi="Times New Roman"/>
          <w:color w:val="000000" w:themeColor="text1"/>
          <w:sz w:val="16"/>
          <w:szCs w:val="16"/>
        </w:rPr>
        <w:softHyphen/>
        <w:t>вые установки с неуправляемыми ракетами, но с точностью у них было еще хуже. Поэтому другие специалисты предпочитали классические нарезные орудия.</w:t>
      </w:r>
    </w:p>
    <w:p w14:paraId="4C2C1305"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ДРП предлагали попробовать еще на трехмоторном немецком бомбардировщике ЮГ-1 в феврале 1928 г. На этом самолете намеревались смонтировать 76-мм безот</w:t>
      </w:r>
      <w:r w:rsidRPr="0044524F">
        <w:rPr>
          <w:rFonts w:ascii="Times New Roman" w:hAnsi="Times New Roman"/>
          <w:color w:val="000000" w:themeColor="text1"/>
          <w:sz w:val="16"/>
          <w:szCs w:val="16"/>
        </w:rPr>
        <w:softHyphen/>
        <w:t>катную гаубицу. Но затея сорвалась - ЮГ-1 имелось немного и Управление ВВС дать один из них для экспериментов отказалось.В декабре 1930 г. московский завод №39 поставил 76-мм ДРП на двухмоторный бомбардировщик ТБ-1. Пушка весом 88 кг стояла вертикально в бомбоотсеке на специальной ферме - «пауке». Ее ствол выступал на 770 мм вниз, а конус выходного сопла на 400 мм торчал вверх над обшивкой. Крепление допускало ограниченное пере</w:t>
      </w:r>
      <w:r w:rsidRPr="0044524F">
        <w:rPr>
          <w:rFonts w:ascii="Times New Roman" w:hAnsi="Times New Roman"/>
          <w:color w:val="000000" w:themeColor="text1"/>
          <w:sz w:val="16"/>
          <w:szCs w:val="16"/>
        </w:rPr>
        <w:softHyphen/>
        <w:t>мещение вперед-назад по полету, вбок же ствол не двигался. Какие-либо прицельные приспособления отсутствовали.</w:t>
      </w:r>
    </w:p>
    <w:p w14:paraId="51E2727E"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Стрелять собирались по наземным целям с горизонтального полета. Огонь вел пилот, дергавший за шнур. Возле пушки располагался заряжающий, при стрельбе стоявший на маленькой квадратной пло</w:t>
      </w:r>
      <w:r w:rsidRPr="0044524F">
        <w:rPr>
          <w:rFonts w:ascii="Times New Roman" w:hAnsi="Times New Roman"/>
          <w:color w:val="000000" w:themeColor="text1"/>
          <w:sz w:val="16"/>
          <w:szCs w:val="16"/>
        </w:rPr>
        <w:softHyphen/>
        <w:t>щадке. Снаряды хранились в ящиках у мест воздушных стрелков.</w:t>
      </w:r>
    </w:p>
    <w:p w14:paraId="774F3725"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велись на Кунцевском полигоне в марте 1931 г. Всего за три дня сделали 18 выстрелов шрапнелью по земле без прицеливания. На пилотирование самолета стрельба не повлияла, но при осмотре выявились деформации обшивки и подкрепляющих профилей. Вылетели некоторые заклепки.</w:t>
      </w:r>
    </w:p>
    <w:p w14:paraId="35036B72"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 летчик, ни заряжающий не видели, куда стреляют. Отсутствие связи между ними вызвало немало нестыковок. Заря</w:t>
      </w:r>
      <w:r w:rsidRPr="0044524F">
        <w:rPr>
          <w:rFonts w:ascii="Times New Roman" w:hAnsi="Times New Roman"/>
          <w:color w:val="000000" w:themeColor="text1"/>
          <w:sz w:val="16"/>
          <w:szCs w:val="16"/>
        </w:rPr>
        <w:softHyphen/>
        <w:t>жающему приходилось лазать по тесному проходу на четвереньках, таская снаряды. Но этот эксперимент доказал, что воору</w:t>
      </w:r>
      <w:r w:rsidRPr="0044524F">
        <w:rPr>
          <w:rFonts w:ascii="Times New Roman" w:hAnsi="Times New Roman"/>
          <w:color w:val="000000" w:themeColor="text1"/>
          <w:sz w:val="16"/>
          <w:szCs w:val="16"/>
        </w:rPr>
        <w:softHyphen/>
        <w:t>жить бомбардировщик ДРП можно, хотя эффективность этого оружия оставалась спорной.</w:t>
      </w:r>
    </w:p>
    <w:p w14:paraId="5F3DC88F"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 специально для ТБ-1 спро</w:t>
      </w:r>
      <w:r w:rsidRPr="0044524F">
        <w:rPr>
          <w:rFonts w:ascii="Times New Roman" w:hAnsi="Times New Roman"/>
          <w:color w:val="000000" w:themeColor="text1"/>
          <w:sz w:val="16"/>
          <w:szCs w:val="16"/>
        </w:rPr>
        <w:softHyphen/>
        <w:t>ектировали 76-мм нарезную «безоткатку» ДРП-76. Два таких орудия собирались установить по бортам снаружи у средней турели, за крылом. Саму пушку изготовили, но на самолете не испытывали. В плане Осо</w:t>
      </w:r>
      <w:r w:rsidRPr="0044524F">
        <w:rPr>
          <w:rFonts w:ascii="Times New Roman" w:hAnsi="Times New Roman"/>
          <w:color w:val="000000" w:themeColor="text1"/>
          <w:sz w:val="16"/>
          <w:szCs w:val="16"/>
        </w:rPr>
        <w:softHyphen/>
        <w:t>бого конструкторского бюро (Осконбюро) ВВС на 1932 г. значилась некая «ротативная батарея» из четырех стволов калибра 76 мм. Как она должна была выглядеть - остается загадкой.</w:t>
      </w:r>
    </w:p>
    <w:p w14:paraId="6043EF1D"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1934 г. было выдвинуто предложение вооружить бомбардировщик Туполева четырьмя-шестью ДРП «крупного калибра». Часть пушек должна была крепиться неподвижно, другая часть - рас</w:t>
      </w:r>
      <w:r w:rsidRPr="0044524F">
        <w:rPr>
          <w:rFonts w:ascii="Times New Roman" w:hAnsi="Times New Roman"/>
          <w:color w:val="000000" w:themeColor="text1"/>
          <w:sz w:val="16"/>
          <w:szCs w:val="16"/>
        </w:rPr>
        <w:softHyphen/>
        <w:t>полагаться на вращающихся турелях. При этом хотели оснастить самолет системой управления огнем на корабельный манер. Более того, планировалось создать систему управления артиллерией целой группы «воздушных линкоров». Но даже толкового задания на подобную машину разработать не сумели. Немалую роль в этом сыграла недоведенность самих динамо-реактивных пушек, которые в то время так и не дошли до уровня надежной серийной продукции.</w:t>
      </w:r>
    </w:p>
    <w:p w14:paraId="29390B38"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Гораздо дальше продвинулись с клас</w:t>
      </w:r>
      <w:r w:rsidRPr="0044524F">
        <w:rPr>
          <w:rFonts w:ascii="Times New Roman" w:hAnsi="Times New Roman"/>
          <w:color w:val="000000" w:themeColor="text1"/>
          <w:sz w:val="16"/>
          <w:szCs w:val="16"/>
        </w:rPr>
        <w:softHyphen/>
        <w:t>сической артиллерией (12613).</w:t>
      </w:r>
    </w:p>
    <w:p w14:paraId="0C703B77"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1A0CF0D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ЦАГИ облегчил два серийных ТБ-3 (АНТ-6) на 722 кг (156,21).</w:t>
      </w:r>
    </w:p>
    <w:p w14:paraId="7D80D19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510A592B" w14:textId="77777777" w:rsidR="00537F9D" w:rsidRPr="0044524F" w:rsidRDefault="00537F9D" w:rsidP="00537F9D">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было начато проектирование ДБ-1 (АНТ-36) - военного варианта АНТ-25. Работы велись в бригаде П.О.С. (1102).</w:t>
      </w:r>
    </w:p>
    <w:p w14:paraId="150B9DB1" w14:textId="77777777" w:rsidR="00537F9D" w:rsidRPr="0044524F" w:rsidRDefault="00537F9D" w:rsidP="00537F9D">
      <w:pPr>
        <w:autoSpaceDE w:val="0"/>
        <w:autoSpaceDN w:val="0"/>
        <w:adjustRightInd w:val="0"/>
        <w:spacing w:after="0" w:line="240" w:lineRule="auto"/>
        <w:jc w:val="both"/>
        <w:rPr>
          <w:rFonts w:ascii="Times New Roman" w:hAnsi="Times New Roman"/>
          <w:color w:val="000000" w:themeColor="text1"/>
          <w:sz w:val="16"/>
          <w:szCs w:val="16"/>
        </w:rPr>
      </w:pPr>
    </w:p>
    <w:p w14:paraId="79AD4552" w14:textId="77777777" w:rsidR="00537F9D" w:rsidRPr="0044524F" w:rsidRDefault="00537F9D" w:rsidP="00537F9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П.И. Баранов распорядил</w:t>
      </w:r>
      <w:r w:rsidRPr="0044524F">
        <w:rPr>
          <w:rFonts w:ascii="Times New Roman" w:hAnsi="Times New Roman"/>
          <w:color w:val="000000" w:themeColor="text1"/>
          <w:sz w:val="16"/>
          <w:szCs w:val="16"/>
        </w:rPr>
        <w:softHyphen/>
        <w:t>ся о немедленной подготовке серийного производства ДБ—1 на Воронежском заво</w:t>
      </w:r>
      <w:r w:rsidRPr="0044524F">
        <w:rPr>
          <w:rFonts w:ascii="Times New Roman" w:hAnsi="Times New Roman"/>
          <w:color w:val="000000" w:themeColor="text1"/>
          <w:sz w:val="16"/>
          <w:szCs w:val="16"/>
        </w:rPr>
        <w:softHyphen/>
        <w:t>де № 18. 20 мая на совещании работников ЦАГИ (Харламов, Туполев, Сухой) и за</w:t>
      </w:r>
      <w:r w:rsidRPr="0044524F">
        <w:rPr>
          <w:rFonts w:ascii="Times New Roman" w:hAnsi="Times New Roman"/>
          <w:color w:val="000000" w:themeColor="text1"/>
          <w:sz w:val="16"/>
          <w:szCs w:val="16"/>
        </w:rPr>
        <w:softHyphen/>
        <w:t>вода (Марголин, Калганов) были согла</w:t>
      </w:r>
      <w:r w:rsidRPr="0044524F">
        <w:rPr>
          <w:rFonts w:ascii="Times New Roman" w:hAnsi="Times New Roman"/>
          <w:color w:val="000000" w:themeColor="text1"/>
          <w:sz w:val="16"/>
          <w:szCs w:val="16"/>
        </w:rPr>
        <w:softHyphen/>
        <w:t>сованы сроки сдачи чертежей, определены агрегаты, идущие с РД на РД—ВВ без изменений. Ответственным пред</w:t>
      </w:r>
      <w:r w:rsidRPr="0044524F">
        <w:rPr>
          <w:rFonts w:ascii="Times New Roman" w:hAnsi="Times New Roman"/>
          <w:color w:val="000000" w:themeColor="text1"/>
          <w:sz w:val="16"/>
          <w:szCs w:val="16"/>
        </w:rPr>
        <w:softHyphen/>
        <w:t>ставителем от ЦАГИ на заводе № 18 по самолету РД—ВВ назначили старшего инженера бригады №3 Н.А. Фомина (23474).</w:t>
      </w:r>
    </w:p>
    <w:p w14:paraId="07495992" w14:textId="77777777" w:rsidR="00537F9D" w:rsidRPr="0044524F" w:rsidRDefault="00537F9D" w:rsidP="00537F9D">
      <w:pPr>
        <w:spacing w:after="0" w:line="240" w:lineRule="auto"/>
        <w:jc w:val="both"/>
        <w:rPr>
          <w:rFonts w:ascii="Times New Roman" w:hAnsi="Times New Roman"/>
          <w:color w:val="000000" w:themeColor="text1"/>
          <w:sz w:val="16"/>
          <w:szCs w:val="16"/>
        </w:rPr>
      </w:pPr>
    </w:p>
    <w:p w14:paraId="23FDF668" w14:textId="77777777" w:rsidR="00537F9D" w:rsidRPr="00142305" w:rsidRDefault="00537F9D" w:rsidP="00537F9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1933 г. в ЦАГИ уже определились с основными данными боевой машины - ДБ. Полетный вес ограни</w:t>
      </w:r>
      <w:r w:rsidRPr="00142305">
        <w:rPr>
          <w:rFonts w:ascii="Times New Roman" w:hAnsi="Times New Roman"/>
          <w:color w:val="0070C0"/>
          <w:sz w:val="16"/>
          <w:szCs w:val="16"/>
        </w:rPr>
        <w:softHyphen/>
        <w:t>чивался 7500 кг при весе пустого само</w:t>
      </w:r>
      <w:r w:rsidRPr="00142305">
        <w:rPr>
          <w:rFonts w:ascii="Times New Roman" w:hAnsi="Times New Roman"/>
          <w:color w:val="0070C0"/>
          <w:sz w:val="16"/>
          <w:szCs w:val="16"/>
        </w:rPr>
        <w:softHyphen/>
        <w:t>лета - 3190 кг.</w:t>
      </w:r>
    </w:p>
    <w:p w14:paraId="60E2A861" w14:textId="77777777" w:rsidR="00537F9D" w:rsidRPr="00142305" w:rsidRDefault="00537F9D" w:rsidP="00537F9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Экипаж, как и у рекордного варианта, состоял из трех человек. Оборонитель</w:t>
      </w:r>
      <w:r w:rsidRPr="00142305">
        <w:rPr>
          <w:rFonts w:ascii="Times New Roman" w:hAnsi="Times New Roman"/>
          <w:color w:val="0070C0"/>
          <w:sz w:val="16"/>
          <w:szCs w:val="16"/>
        </w:rPr>
        <w:softHyphen/>
        <w:t>ное вооружение складывалось из двух 7,62-мм пулеметов и «автоматического ружья». Вместо бензобаков в средней части фюзеляжа размещался бомбоотсек с вертикальной подвеской десяти бомб ФАБ-100, ФАБ-50 или ХАБ-25. Убирались и бензобаки в центроплане, а баки в кон</w:t>
      </w:r>
      <w:r w:rsidRPr="00142305">
        <w:rPr>
          <w:rFonts w:ascii="Times New Roman" w:hAnsi="Times New Roman"/>
          <w:color w:val="0070C0"/>
          <w:sz w:val="16"/>
          <w:szCs w:val="16"/>
        </w:rPr>
        <w:softHyphen/>
        <w:t>солях укорачивались на метр. Поскольку баки входили в силовую конструкцию кры</w:t>
      </w:r>
      <w:r w:rsidRPr="00142305">
        <w:rPr>
          <w:rFonts w:ascii="Times New Roman" w:hAnsi="Times New Roman"/>
          <w:color w:val="0070C0"/>
          <w:sz w:val="16"/>
          <w:szCs w:val="16"/>
        </w:rPr>
        <w:softHyphen/>
        <w:t>ла, требовалось ставить дополнительные нервюры и усиливать обшивку. Всего при этом могли взять до 3000 кг бензина, но, по расчетам, предусматривалось брать 2340 кг бензина и 290 кг масла (24946).</w:t>
      </w:r>
    </w:p>
    <w:p w14:paraId="72627EB5" w14:textId="77777777" w:rsidR="00537F9D" w:rsidRPr="00142305" w:rsidRDefault="00537F9D" w:rsidP="00537F9D">
      <w:pPr>
        <w:spacing w:after="0" w:line="240" w:lineRule="auto"/>
        <w:jc w:val="both"/>
        <w:rPr>
          <w:rFonts w:ascii="Times New Roman" w:hAnsi="Times New Roman"/>
          <w:color w:val="0070C0"/>
          <w:sz w:val="16"/>
          <w:szCs w:val="16"/>
        </w:rPr>
      </w:pPr>
    </w:p>
    <w:p w14:paraId="51F51AAB" w14:textId="77777777" w:rsidR="00323684" w:rsidRPr="0044524F" w:rsidRDefault="00323684"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 мае 1933 вышло постановление РВС о вооружении эскадрильи истребителей усовершенствованными пушками АПК-65 калибра 65 мм до конца года. Но до реализации этого распоряжения дело не дошло. Возможно, здесь сказалась авария, произошедшая на полигонных испытаниях 18 мая, когда у летчика Т. Сузи в правой пушке АПК-3бис взорвался снаряд. Перебило один из лонжеронов крыла, несколько нервюр, сорвало часть обшивки. Вдобавок повреждения получил руль направления, а в фюзеляже возникла пробоина. Но пилоту удалось сесть на изувеченном самолете. А, возможно, «наверху» просто проанализировали недостатки динамореактивных пушек - низкую скорострельность, малую выходную скорость снаряда и низкую точность, а также сложность в обращении (19100).</w:t>
      </w:r>
    </w:p>
    <w:p w14:paraId="430CEE5C" w14:textId="77777777" w:rsidR="00323684" w:rsidRPr="0044524F" w:rsidRDefault="00323684" w:rsidP="009654CF">
      <w:pPr>
        <w:pStyle w:val="a8"/>
        <w:jc w:val="both"/>
        <w:rPr>
          <w:rFonts w:ascii="Times New Roman" w:hAnsi="Times New Roman" w:cs="Times New Roman"/>
          <w:color w:val="000000" w:themeColor="text1"/>
        </w:rPr>
      </w:pPr>
    </w:p>
    <w:p w14:paraId="622109E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была проведена первая в СССР опытная дозаправка самолета в воздухе: ТБ-1 с Р-5 (237,166). Л Р-5 - И.П.Белозеров. руководил и НИИ ВВС А.К.Запанованный, предложивший схему (438,646).</w:t>
      </w:r>
    </w:p>
    <w:p w14:paraId="2885AB8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67B34DD8" w14:textId="77777777" w:rsidR="00BE79A3" w:rsidRPr="0044524F" w:rsidRDefault="00BE79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была проведена первая в СССР опытная дозаправка горючим в полете само</w:t>
      </w:r>
    </w:p>
    <w:p w14:paraId="64BE5160" w14:textId="77777777" w:rsidR="00BE79A3" w:rsidRPr="0044524F" w:rsidRDefault="00BE79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 ТБ-1 с самолета Р-5. Самолетом-заправщиком управлял летчик НИИ ВВС Иван Павлович Белозеров. Операцией по заправке руководил инженер того же НИИ Алексей Кондратьевич Запакованный. В дальнейшем по схеме Запакованного производилась дозаправка в воздухе и других самолетов и другими самолетами-заправщиками.</w:t>
      </w:r>
    </w:p>
    <w:p w14:paraId="7444BE04" w14:textId="77777777" w:rsidR="00BE79A3" w:rsidRPr="0044524F" w:rsidRDefault="00BE79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/"Советская авиация" за 28 мая 1957 г./ (23370).</w:t>
      </w:r>
    </w:p>
    <w:p w14:paraId="0C3AA01C" w14:textId="77777777" w:rsidR="00BE79A3" w:rsidRPr="0044524F" w:rsidRDefault="00BE79A3" w:rsidP="009654CF">
      <w:pPr>
        <w:spacing w:after="0" w:line="240" w:lineRule="auto"/>
        <w:jc w:val="both"/>
        <w:rPr>
          <w:rFonts w:ascii="Times New Roman" w:hAnsi="Times New Roman"/>
          <w:color w:val="000000" w:themeColor="text1"/>
          <w:sz w:val="16"/>
          <w:szCs w:val="16"/>
        </w:rPr>
      </w:pPr>
    </w:p>
    <w:p w14:paraId="2258AB8B" w14:textId="77777777" w:rsidR="00297268" w:rsidRPr="0044524F" w:rsidRDefault="002972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на двухмоторном ТБ-1 начались испытания дозаправки в воздухе с Р-5 первой серии, на котором были установлены лебедки с бронированным (т.е. имеющим защитную металлическую оплетку) шлангом, который стабилизировался тяжелой «грузовой грушей» на конце (23013).</w:t>
      </w:r>
    </w:p>
    <w:p w14:paraId="3EB9C3D2" w14:textId="77777777" w:rsidR="00297268" w:rsidRPr="0044524F" w:rsidRDefault="00297268" w:rsidP="009654CF">
      <w:pPr>
        <w:spacing w:after="0" w:line="240" w:lineRule="auto"/>
        <w:jc w:val="both"/>
        <w:rPr>
          <w:rFonts w:ascii="Times New Roman" w:hAnsi="Times New Roman"/>
          <w:color w:val="000000" w:themeColor="text1"/>
          <w:sz w:val="16"/>
          <w:szCs w:val="16"/>
        </w:rPr>
      </w:pPr>
    </w:p>
    <w:p w14:paraId="2B120DE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был готов ТБ-4 (437,111).</w:t>
      </w:r>
    </w:p>
    <w:p w14:paraId="6EABD85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51976CC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на заводе № 39 по своему проекту переоборудовали один самолет Р-5 с увеличенным запасом горючего. УВВС распорядилось с привлечением завода № 1 сделать еще четыре такие же машины (но под один пулемет ДА в задней кабине и с дополнительными маслобаками), и сдать все пять в НИИ ВВС. На них хотели проверить возможность осуществить рекордный перелет. Но данных об этом нет. Рассматривались также варианты с подвесными баками, о которых толком ничего не известно (12034).</w:t>
      </w:r>
    </w:p>
    <w:p w14:paraId="3933F85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5A007EE5"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1933 г. на заводе № 39 по своему проекту переобо</w:t>
      </w:r>
      <w:r w:rsidRPr="00142305">
        <w:rPr>
          <w:rFonts w:ascii="Times New Roman" w:hAnsi="Times New Roman"/>
          <w:color w:val="0070C0"/>
          <w:sz w:val="16"/>
          <w:szCs w:val="16"/>
        </w:rPr>
        <w:softHyphen/>
        <w:t>рудовали один самолет Р-5 для увеличения дальности.</w:t>
      </w:r>
    </w:p>
    <w:p w14:paraId="60110F99"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расчетам НАГИ, вес горючего на Р-5 можно было довес</w:t>
      </w:r>
      <w:r w:rsidRPr="00142305">
        <w:rPr>
          <w:rFonts w:ascii="Times New Roman" w:hAnsi="Times New Roman"/>
          <w:color w:val="0070C0"/>
          <w:sz w:val="16"/>
          <w:szCs w:val="16"/>
        </w:rPr>
        <w:softHyphen/>
        <w:t>ти максимально до 1300 кг. При этом полетный вес маши</w:t>
      </w:r>
      <w:r w:rsidRPr="00142305">
        <w:rPr>
          <w:rFonts w:ascii="Times New Roman" w:hAnsi="Times New Roman"/>
          <w:color w:val="0070C0"/>
          <w:sz w:val="16"/>
          <w:szCs w:val="16"/>
        </w:rPr>
        <w:softHyphen/>
        <w:t>ны получался около 4000 кг. При таком весе самолет дол</w:t>
      </w:r>
      <w:r w:rsidRPr="00142305">
        <w:rPr>
          <w:rFonts w:ascii="Times New Roman" w:hAnsi="Times New Roman"/>
          <w:color w:val="0070C0"/>
          <w:sz w:val="16"/>
          <w:szCs w:val="16"/>
        </w:rPr>
        <w:softHyphen/>
        <w:t>жен был разбегаться 600 м. Вот это и сочли главным огра</w:t>
      </w:r>
      <w:r w:rsidRPr="00142305">
        <w:rPr>
          <w:rFonts w:ascii="Times New Roman" w:hAnsi="Times New Roman"/>
          <w:color w:val="0070C0"/>
          <w:sz w:val="16"/>
          <w:szCs w:val="16"/>
        </w:rPr>
        <w:softHyphen/>
        <w:t>ничением — аэродромов больших размеров в стране име</w:t>
      </w:r>
      <w:r w:rsidRPr="00142305">
        <w:rPr>
          <w:rFonts w:ascii="Times New Roman" w:hAnsi="Times New Roman"/>
          <w:color w:val="0070C0"/>
          <w:sz w:val="16"/>
          <w:szCs w:val="16"/>
        </w:rPr>
        <w:softHyphen/>
        <w:t>лось немного.</w:t>
      </w:r>
    </w:p>
    <w:p w14:paraId="09905CD1"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Исходя из этой цифры, на заводе № 39 выполнили про</w:t>
      </w:r>
      <w:r w:rsidRPr="00142305">
        <w:rPr>
          <w:rFonts w:ascii="Times New Roman" w:hAnsi="Times New Roman"/>
          <w:color w:val="0070C0"/>
          <w:sz w:val="16"/>
          <w:szCs w:val="16"/>
        </w:rPr>
        <w:softHyphen/>
        <w:t>ект модификации Р-5 с увеличенными баками в центроп</w:t>
      </w:r>
      <w:r w:rsidRPr="00142305">
        <w:rPr>
          <w:rFonts w:ascii="Times New Roman" w:hAnsi="Times New Roman"/>
          <w:color w:val="0070C0"/>
          <w:sz w:val="16"/>
          <w:szCs w:val="16"/>
        </w:rPr>
        <w:softHyphen/>
        <w:t>лане объемом 700 л. Вместе с дополнительными баками в фюзеляже они как раз обеспечивали запас в 1300 кг. Ес</w:t>
      </w:r>
      <w:r w:rsidRPr="00142305">
        <w:rPr>
          <w:rFonts w:ascii="Times New Roman" w:hAnsi="Times New Roman"/>
          <w:color w:val="0070C0"/>
          <w:sz w:val="16"/>
          <w:szCs w:val="16"/>
        </w:rPr>
        <w:softHyphen/>
        <w:t>ли на бомбардировщике подвесить 100 кг бомб, взять два пулемета ДА, от радиостанции оставить только приемник и урезать список электрооборудования, на этом бензине биплан мог пролететь 2900 км.</w:t>
      </w:r>
    </w:p>
    <w:p w14:paraId="0245778D"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УВВС распорядилось с привлече</w:t>
      </w:r>
      <w:r w:rsidRPr="00142305">
        <w:rPr>
          <w:rFonts w:ascii="Times New Roman" w:hAnsi="Times New Roman"/>
          <w:color w:val="0070C0"/>
          <w:sz w:val="16"/>
          <w:szCs w:val="16"/>
        </w:rPr>
        <w:softHyphen/>
        <w:t>нием завода № I сделать еще четыре такие же машины (но под один пулемет ДА в задней кабине и с дополнительны</w:t>
      </w:r>
      <w:r w:rsidRPr="00142305">
        <w:rPr>
          <w:rFonts w:ascii="Times New Roman" w:hAnsi="Times New Roman"/>
          <w:color w:val="0070C0"/>
          <w:sz w:val="16"/>
          <w:szCs w:val="16"/>
        </w:rPr>
        <w:softHyphen/>
        <w:t>ми маслобаками), и сдать все пять в НИИ ВВС. На них хо</w:t>
      </w:r>
      <w:r w:rsidRPr="00142305">
        <w:rPr>
          <w:rFonts w:ascii="Times New Roman" w:hAnsi="Times New Roman"/>
          <w:color w:val="0070C0"/>
          <w:sz w:val="16"/>
          <w:szCs w:val="16"/>
        </w:rPr>
        <w:softHyphen/>
        <w:t>тели проверить возможность осуществить рекордный пе</w:t>
      </w:r>
      <w:r w:rsidRPr="00142305">
        <w:rPr>
          <w:rFonts w:ascii="Times New Roman" w:hAnsi="Times New Roman"/>
          <w:color w:val="0070C0"/>
          <w:sz w:val="16"/>
          <w:szCs w:val="16"/>
        </w:rPr>
        <w:softHyphen/>
        <w:t>релет. Но данных об этом нет (24990).</w:t>
      </w:r>
    </w:p>
    <w:p w14:paraId="3E08037C" w14:textId="77777777" w:rsidR="00D513BA" w:rsidRPr="00142305" w:rsidRDefault="00D513BA" w:rsidP="00D513BA">
      <w:pPr>
        <w:spacing w:after="0" w:line="240" w:lineRule="auto"/>
        <w:jc w:val="both"/>
        <w:rPr>
          <w:rFonts w:ascii="Times New Roman" w:hAnsi="Times New Roman"/>
          <w:color w:val="0070C0"/>
          <w:sz w:val="16"/>
          <w:szCs w:val="16"/>
        </w:rPr>
      </w:pPr>
    </w:p>
    <w:p w14:paraId="19CBCFDE"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руководство ГВФ составило список требований к модернизации П-5. В нем предусматривались как раз закрытая кабина с остеклением из целлулоида, усиление каркаса фюзеляжа, тормозные колеса и улучшенное приборное оснащение. Дальнейшие ЛП-5 изготовлялись уже на базе Р-5 образца 1934 г. и соответствовали этим требованиям (12034).</w:t>
      </w:r>
    </w:p>
    <w:p w14:paraId="3AF2477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5EB96156"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1933 г. руководство ГВФ составило список требо</w:t>
      </w:r>
      <w:r w:rsidRPr="00142305">
        <w:rPr>
          <w:rFonts w:ascii="Times New Roman" w:hAnsi="Times New Roman"/>
          <w:color w:val="0070C0"/>
          <w:sz w:val="16"/>
          <w:szCs w:val="16"/>
        </w:rPr>
        <w:softHyphen/>
        <w:t>ваний к модернизации П-5. В нем предусматривались как раз закрытая кабина с остеклением из целлулоида, усиле</w:t>
      </w:r>
      <w:r w:rsidRPr="00142305">
        <w:rPr>
          <w:rFonts w:ascii="Times New Roman" w:hAnsi="Times New Roman"/>
          <w:color w:val="0070C0"/>
          <w:sz w:val="16"/>
          <w:szCs w:val="16"/>
        </w:rPr>
        <w:softHyphen/>
        <w:t>ние каркаса фюзеляжа, тормозные колеса и улучшенное приборное оснащение. Дальнейшие Л П-5 изготовлялись уже на базе Р-5 образца 1934 г. и соответствовали этим тре</w:t>
      </w:r>
      <w:r w:rsidRPr="00142305">
        <w:rPr>
          <w:rFonts w:ascii="Times New Roman" w:hAnsi="Times New Roman"/>
          <w:color w:val="0070C0"/>
          <w:sz w:val="16"/>
          <w:szCs w:val="16"/>
        </w:rPr>
        <w:softHyphen/>
        <w:t>бованиям (24990).</w:t>
      </w:r>
    </w:p>
    <w:p w14:paraId="08D817FB" w14:textId="77777777" w:rsidR="00D513BA" w:rsidRPr="00142305" w:rsidRDefault="00D513BA" w:rsidP="00D513BA">
      <w:pPr>
        <w:spacing w:after="0" w:line="240" w:lineRule="auto"/>
        <w:jc w:val="both"/>
        <w:rPr>
          <w:rFonts w:ascii="Times New Roman" w:hAnsi="Times New Roman"/>
          <w:color w:val="0070C0"/>
          <w:sz w:val="16"/>
          <w:szCs w:val="16"/>
        </w:rPr>
      </w:pPr>
    </w:p>
    <w:p w14:paraId="7BABCB69"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совершил первый полет Ми-3 (АНТ-21) (2693,15).</w:t>
      </w:r>
    </w:p>
    <w:p w14:paraId="08A763A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18A77FF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в аэродинамической лаборатории ХАИ продували модель бесхвостки ХАИ-4 П.Г.Бенинга (553,154).</w:t>
      </w:r>
    </w:p>
    <w:p w14:paraId="6CE4452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0C3E9629"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К-5 под именем Огонек и под управлением В.В.Осипова участвовал в агитперелете Москва-Харьков-Ростов на Дону-Харьков-Москва, которым начала работу эскадрилья им. МГ (70,168).</w:t>
      </w:r>
    </w:p>
    <w:p w14:paraId="58134908"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30DF30DB" w14:textId="77777777" w:rsidR="00537F9D" w:rsidRPr="00142305" w:rsidRDefault="00537F9D" w:rsidP="00537F9D">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мае 1933 г. специальная комиссия осматривала И-4 № 1649 с установленными под верхними крыльями АПК-3бис. По внешнему виду пушки были признаны годными к стрельбе. Испытания проводились с различными по мощности зарядами, испытывалось не только орудие, но и влияние стрельбы на конструкцию самолета. Так, при использовании зарядов весом 425 г отмечалось разрушение обшивки фюзеляжа. Происходило так, что исходящие газы буквально «отсасывали» обшивку от конструкции самолета.</w:t>
      </w:r>
    </w:p>
    <w:p w14:paraId="7D61FFBF" w14:textId="77777777" w:rsidR="00537F9D" w:rsidRPr="00142305" w:rsidRDefault="00537F9D" w:rsidP="00537F9D">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Летные испытания и воздушные стрельбы были продолжены на НИАПе. Летал летчик Сузи. (25213).</w:t>
      </w:r>
    </w:p>
    <w:p w14:paraId="339D3973" w14:textId="77777777" w:rsidR="00537F9D" w:rsidRPr="00142305" w:rsidRDefault="00537F9D" w:rsidP="00537F9D">
      <w:pPr>
        <w:spacing w:after="0" w:line="240" w:lineRule="auto"/>
        <w:jc w:val="both"/>
        <w:rPr>
          <w:rStyle w:val="aff"/>
          <w:rFonts w:ascii="Times New Roman" w:hAnsi="Times New Roman" w:cs="Times New Roman"/>
          <w:color w:val="0070C0"/>
          <w:spacing w:val="0"/>
          <w:sz w:val="16"/>
          <w:szCs w:val="16"/>
        </w:rPr>
      </w:pPr>
    </w:p>
    <w:p w14:paraId="76E5A33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был готов эскизный проект ЭМАИ-1-34 (Э-1) (Серго Орджоникидзе) С.О.Зоншайна и А.Л.Гиммельфарба (1076,786).</w:t>
      </w:r>
    </w:p>
    <w:p w14:paraId="62B2DFE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47DB7D8A" w14:textId="77777777" w:rsidR="00297268" w:rsidRPr="0044524F" w:rsidRDefault="0029726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постановлением Совета Труда и Обороны СССР, ведущие сотрудники ООК А.М. Черемухин, К.А. Бункин и А.М. Изаксон за участие в создании первого совет</w:t>
      </w:r>
      <w:r w:rsidRPr="0044524F">
        <w:rPr>
          <w:rFonts w:ascii="Times New Roman" w:hAnsi="Times New Roman"/>
          <w:color w:val="000000" w:themeColor="text1"/>
          <w:sz w:val="16"/>
          <w:szCs w:val="16"/>
        </w:rPr>
        <w:softHyphen/>
        <w:t>ского вертолета были премированы легковыми автомоби</w:t>
      </w:r>
      <w:r w:rsidRPr="0044524F">
        <w:rPr>
          <w:rFonts w:ascii="Times New Roman" w:hAnsi="Times New Roman"/>
          <w:color w:val="000000" w:themeColor="text1"/>
          <w:sz w:val="16"/>
          <w:szCs w:val="16"/>
        </w:rPr>
        <w:softHyphen/>
        <w:t>лями. В конце года они были награждены орденами Крас</w:t>
      </w:r>
      <w:r w:rsidRPr="0044524F">
        <w:rPr>
          <w:rFonts w:ascii="Times New Roman" w:hAnsi="Times New Roman"/>
          <w:color w:val="000000" w:themeColor="text1"/>
          <w:sz w:val="16"/>
          <w:szCs w:val="16"/>
        </w:rPr>
        <w:softHyphen/>
        <w:t>ной Звезды, вместе с ними эти ордена получили Б.Н. Юрьев и Д.И. Антонов (20361).</w:t>
      </w:r>
    </w:p>
    <w:p w14:paraId="4A6BFDEF" w14:textId="77777777" w:rsidR="00297268" w:rsidRPr="0044524F" w:rsidRDefault="00297268" w:rsidP="009654CF">
      <w:pPr>
        <w:shd w:val="clear" w:color="auto" w:fill="FFFFFF"/>
        <w:spacing w:after="0" w:line="240" w:lineRule="auto"/>
        <w:jc w:val="both"/>
        <w:rPr>
          <w:rFonts w:ascii="Times New Roman" w:hAnsi="Times New Roman"/>
          <w:color w:val="000000" w:themeColor="text1"/>
          <w:sz w:val="16"/>
          <w:szCs w:val="16"/>
        </w:rPr>
      </w:pPr>
    </w:p>
    <w:p w14:paraId="03455F7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впервые испытали поворотные стойки на переделанном старом И-5 из установочной серии завода № 39. При правильном управлении стойками запаздывание уменьшалось вдвое, но механизм был тяжеловат и не очень надёжен; на испытаниях его трижды заедало (11997).</w:t>
      </w:r>
    </w:p>
    <w:p w14:paraId="176B2B7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056E938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ВВС проявили интерес к проекту И-16 и выдали Н.Н.П. задание (1808,3).</w:t>
      </w:r>
    </w:p>
    <w:p w14:paraId="7E1D733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4ADAA78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ВВС проявляют интерес к самолету-моноплану Н.Н.П., поэтому выдают Поликарпову на него задание, не включая, однако, при этом в уже сверстанный план опытных работ Главного Управления авиапромышленности (ГУАП) (12015).</w:t>
      </w:r>
    </w:p>
    <w:p w14:paraId="415AB5A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139CF993" w14:textId="77777777" w:rsidR="00CC3D5D" w:rsidRPr="0044524F" w:rsidRDefault="00CC3D5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Начальник ВВС РККА Я.И. Алкснис ознакомился с выпущенными к тому времени материалами по истребителю-моноплану и одобрил их в основном, но, поскольку проект еще не был завершен, это не могло быть основанием для включения его в план работ ГУАП.</w:t>
      </w:r>
    </w:p>
    <w:p w14:paraId="081F2EE9" w14:textId="77777777" w:rsidR="00CC3D5D" w:rsidRPr="0044524F" w:rsidRDefault="00CC3D5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Алкснис выразил сомнение в возможности приобретения в США готовых двигателей РЦФ-3 или достаточно быстрого начала выпуска таких двигателей в СССР по лицензии. Его опасения относительно этого подтверждались историей внедрения в СССР двигателя Гном-Рон G.R.9Aq под обозначением М-22 (24115).</w:t>
      </w:r>
    </w:p>
    <w:p w14:paraId="2F574998" w14:textId="77777777" w:rsidR="00CC3D5D" w:rsidRPr="0044524F" w:rsidRDefault="00CC3D5D" w:rsidP="009654CF">
      <w:pPr>
        <w:spacing w:after="0" w:line="240" w:lineRule="auto"/>
        <w:jc w:val="both"/>
        <w:rPr>
          <w:rFonts w:ascii="Times New Roman" w:hAnsi="Times New Roman"/>
          <w:color w:val="000000" w:themeColor="text1"/>
          <w:sz w:val="16"/>
          <w:szCs w:val="16"/>
        </w:rPr>
      </w:pPr>
    </w:p>
    <w:p w14:paraId="42AF1D1B" w14:textId="77777777" w:rsidR="00CC3D5D" w:rsidRPr="0044524F" w:rsidRDefault="00CC3D5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с учетом ситуации с двигателем, Поликарпов согласился рассчитать характеристики самолета ЦКБ-12 с заменой двигателя РЦФ-3 на М-22, хотя второй имел следующие недостатки - по удельному весу, приведенному к боевой мощности, двигатель РЦФ-3 лучше М-22 при работе последнего на номинальном режиме 480 л.с. был лучше на 33%, по литровой мощности – на 44%, при работе М-22 на полной мощности 580 л.с. преимущество РФЦ-3 оставалось существенным – по этим показателям на 10% и на 19% соответственно. Двигатель РЦФ-3 был мощнее М-22 на этих режимах на 50% и на 24% соответственно, но сухой вес его был больше на 13% (24115).</w:t>
      </w:r>
    </w:p>
    <w:p w14:paraId="52FC5E93" w14:textId="77777777" w:rsidR="00CC3D5D" w:rsidRPr="0044524F" w:rsidRDefault="00CC3D5D" w:rsidP="009654CF">
      <w:pPr>
        <w:spacing w:after="0" w:line="240" w:lineRule="auto"/>
        <w:jc w:val="both"/>
        <w:rPr>
          <w:rFonts w:ascii="Times New Roman" w:hAnsi="Times New Roman"/>
          <w:color w:val="000000" w:themeColor="text1"/>
          <w:sz w:val="16"/>
          <w:szCs w:val="16"/>
        </w:rPr>
      </w:pPr>
    </w:p>
    <w:p w14:paraId="7B20BFCD"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мая 1933 г. ВВС начали проявлять заинтересованность в проекте будущего И-16 (25062).</w:t>
      </w:r>
    </w:p>
    <w:p w14:paraId="326B1755" w14:textId="77777777" w:rsidR="00D513BA" w:rsidRPr="00142305" w:rsidRDefault="00D513BA" w:rsidP="00D513BA">
      <w:pPr>
        <w:spacing w:after="0" w:line="240" w:lineRule="auto"/>
        <w:jc w:val="both"/>
        <w:rPr>
          <w:rStyle w:val="aff"/>
          <w:rFonts w:ascii="Times New Roman" w:hAnsi="Times New Roman" w:cs="Times New Roman"/>
          <w:color w:val="0070C0"/>
          <w:spacing w:val="0"/>
          <w:sz w:val="16"/>
          <w:szCs w:val="16"/>
        </w:rPr>
      </w:pPr>
    </w:p>
    <w:p w14:paraId="516AD518"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мае 1933 г. ВВС проявляют интерес к истребителю-моноплану Н.Н.П. и поэтому выдают Поли</w:t>
      </w:r>
      <w:r w:rsidRPr="00142305">
        <w:rPr>
          <w:rStyle w:val="aff"/>
          <w:rFonts w:ascii="Times New Roman" w:hAnsi="Times New Roman" w:cs="Times New Roman"/>
          <w:color w:val="0070C0"/>
          <w:spacing w:val="0"/>
          <w:sz w:val="16"/>
          <w:szCs w:val="16"/>
        </w:rPr>
        <w:softHyphen/>
        <w:t>карпову на него задание, не включая, одна</w:t>
      </w:r>
      <w:r w:rsidRPr="00142305">
        <w:rPr>
          <w:rStyle w:val="aff"/>
          <w:rFonts w:ascii="Times New Roman" w:hAnsi="Times New Roman" w:cs="Times New Roman"/>
          <w:color w:val="0070C0"/>
          <w:spacing w:val="0"/>
          <w:sz w:val="16"/>
          <w:szCs w:val="16"/>
        </w:rPr>
        <w:softHyphen/>
        <w:t>ко, при этом в уже сверстанный план опыт</w:t>
      </w:r>
      <w:r w:rsidRPr="00142305">
        <w:rPr>
          <w:rStyle w:val="aff"/>
          <w:rFonts w:ascii="Times New Roman" w:hAnsi="Times New Roman" w:cs="Times New Roman"/>
          <w:color w:val="0070C0"/>
          <w:spacing w:val="0"/>
          <w:sz w:val="16"/>
          <w:szCs w:val="16"/>
        </w:rPr>
        <w:softHyphen/>
        <w:t>ных работ Главного управления авиапро</w:t>
      </w:r>
      <w:r w:rsidRPr="00142305">
        <w:rPr>
          <w:rStyle w:val="aff"/>
          <w:rFonts w:ascii="Times New Roman" w:hAnsi="Times New Roman" w:cs="Times New Roman"/>
          <w:color w:val="0070C0"/>
          <w:spacing w:val="0"/>
          <w:sz w:val="16"/>
          <w:szCs w:val="16"/>
        </w:rPr>
        <w:softHyphen/>
        <w:t>мышленности (ГУАП) (25415).</w:t>
      </w:r>
    </w:p>
    <w:p w14:paraId="0A7DE2EC" w14:textId="77777777" w:rsidR="00D513BA" w:rsidRPr="00142305" w:rsidRDefault="00D513BA" w:rsidP="00D513BA">
      <w:pPr>
        <w:spacing w:after="0" w:line="240" w:lineRule="auto"/>
        <w:jc w:val="both"/>
        <w:rPr>
          <w:rFonts w:ascii="Times New Roman" w:hAnsi="Times New Roman"/>
          <w:color w:val="0070C0"/>
          <w:sz w:val="16"/>
          <w:szCs w:val="16"/>
        </w:rPr>
      </w:pPr>
    </w:p>
    <w:p w14:paraId="1A772C1D"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1933 года и конструкторское бюро под руководством Поликарпова приступило к работе над революционным проектом истребителя ЦКБ</w:t>
      </w:r>
      <w:r w:rsidRPr="00142305">
        <w:rPr>
          <w:rFonts w:ascii="Times New Roman" w:hAnsi="Times New Roman"/>
          <w:color w:val="0070C0"/>
          <w:sz w:val="16"/>
          <w:szCs w:val="16"/>
        </w:rPr>
        <w:noBreakHyphen/>
        <w:t>12, который позже получил обозначение И</w:t>
      </w:r>
      <w:r w:rsidRPr="00142305">
        <w:rPr>
          <w:rFonts w:ascii="Times New Roman" w:hAnsi="Times New Roman"/>
          <w:color w:val="0070C0"/>
          <w:sz w:val="16"/>
          <w:szCs w:val="16"/>
        </w:rPr>
        <w:noBreakHyphen/>
        <w:t>16. Фактически же Поликарпов разработал первые чертежи будущего истребителя еще летом 1932 года. Предварительный проект представлял собой моноплан с низко расположенным крылом и убирающимися стойками шасси. Размеры самолета были сравнительно небольшими – длина фюзеляжа – 6 метров, а размах крыла – 9 метров.</w:t>
      </w:r>
    </w:p>
    <w:p w14:paraId="68E406BC"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 истребителя моноплана ЦКБ</w:t>
      </w:r>
      <w:r w:rsidRPr="00142305">
        <w:rPr>
          <w:rFonts w:ascii="Times New Roman" w:hAnsi="Times New Roman"/>
          <w:color w:val="0070C0"/>
          <w:sz w:val="16"/>
          <w:szCs w:val="16"/>
        </w:rPr>
        <w:noBreakHyphen/>
        <w:t xml:space="preserve"> 12, стал воплощением собственных идей Поликарпова о том, как должен выглядеть современный истребитель, и его уверенности, что для достижения существенного увеличения скорости истребителя необходимо отказаться от бипланной схемы, и сделать его монопланом.</w:t>
      </w:r>
    </w:p>
    <w:p w14:paraId="0EE34EF7"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тот момент, проект истребителя</w:t>
      </w:r>
      <w:r w:rsidRPr="00142305">
        <w:rPr>
          <w:rFonts w:ascii="Times New Roman" w:hAnsi="Times New Roman"/>
          <w:color w:val="0070C0"/>
          <w:sz w:val="16"/>
          <w:szCs w:val="16"/>
        </w:rPr>
        <w:noBreakHyphen/>
        <w:t>моноплана с убирающимся шасси, и с обтекаемым, закрывающимся фонарем кабины пилота, несомненно, был революционным. И приступив к постройке такого истребителя Советский Союз, опередил другие страны – подобных проектов в мире еще не существовало (25070).</w:t>
      </w:r>
    </w:p>
    <w:p w14:paraId="41590617" w14:textId="77777777" w:rsidR="00D513BA" w:rsidRPr="00142305" w:rsidRDefault="00D513BA" w:rsidP="00D513BA">
      <w:pPr>
        <w:spacing w:after="0" w:line="240" w:lineRule="auto"/>
        <w:jc w:val="both"/>
        <w:rPr>
          <w:rStyle w:val="aff"/>
          <w:rFonts w:ascii="Times New Roman" w:hAnsi="Times New Roman" w:cs="Times New Roman"/>
          <w:color w:val="0070C0"/>
          <w:spacing w:val="0"/>
          <w:sz w:val="16"/>
          <w:szCs w:val="16"/>
        </w:rPr>
      </w:pPr>
    </w:p>
    <w:p w14:paraId="0F4B6837"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мае 1933 года ВВС подтвердили свою заинтересованность в машине и выдали Поликарпову соот</w:t>
      </w:r>
      <w:r w:rsidRPr="00142305">
        <w:rPr>
          <w:rStyle w:val="aff"/>
          <w:rFonts w:ascii="Times New Roman" w:hAnsi="Times New Roman" w:cs="Times New Roman"/>
          <w:color w:val="0070C0"/>
          <w:spacing w:val="0"/>
          <w:sz w:val="16"/>
          <w:szCs w:val="16"/>
        </w:rPr>
        <w:softHyphen/>
        <w:t>ветствующее задание. Спустя полгода заказчик утвердил макет самолёта, и в том же месяце Совет Труда и Обороны (СТО) СССР принял решение о запуске его под обозначением И-16 в серийное производство (27721).</w:t>
      </w:r>
    </w:p>
    <w:p w14:paraId="5AE9C0DF" w14:textId="77777777" w:rsidR="00D513BA" w:rsidRPr="00142305" w:rsidRDefault="00D513BA" w:rsidP="00D513BA">
      <w:pPr>
        <w:spacing w:after="0" w:line="240" w:lineRule="auto"/>
        <w:jc w:val="both"/>
        <w:rPr>
          <w:rFonts w:ascii="Times New Roman" w:hAnsi="Times New Roman"/>
          <w:color w:val="0070C0"/>
          <w:sz w:val="16"/>
          <w:szCs w:val="16"/>
        </w:rPr>
      </w:pPr>
    </w:p>
    <w:p w14:paraId="4FF76A9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был закончен И-14 П.О.С. (2869,23).</w:t>
      </w:r>
    </w:p>
    <w:p w14:paraId="61C0C8B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3BE0241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была закончена постройка опытного И-14 (АНТ-31) (1102) м Бристоль IVS-2 Меркюри и без пушек АПК-5 37 мм, но с одним ПВ под капотом и его перевезли на ЦА (4020,10).</w:t>
      </w:r>
    </w:p>
    <w:p w14:paraId="20D54E8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3231CE5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ДИ-4 КК БНК прошел гос. испытания и показал низкие данные, не был принят ВВС на снабжение (2287,131).</w:t>
      </w:r>
    </w:p>
    <w:p w14:paraId="3BC65FF0"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445B3CB9" w14:textId="77777777" w:rsidR="000B1B08" w:rsidRPr="0044524F" w:rsidRDefault="000B1B08"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истребитель ДИ-4 доставили с завода № 39 в Щелково, на аэродром НИИ ВВС для проведения Государственных испытаний. В ходе этих испытаний было признано, что ДИ-4 создан по устаревшей схеме. Отмечалось, что его шасси очень сложное и неудобное в обслуживании. Значительным недостатком являлся большой вес конструкции. Кроме того, нарекания вызвало и крыло: сделанное в виде «чайки» для улучшения обзора, оно на самом деле не обнаружило этого преимущества по причине использования толстого профиля. Истребитель с трудом входил в штопор, но прекрасно из него выходил; остальные летные качества машины оценивались как невысокие (15223).</w:t>
      </w:r>
    </w:p>
    <w:p w14:paraId="7B356A6F" w14:textId="77777777" w:rsidR="000B1B08" w:rsidRPr="0044524F" w:rsidRDefault="000B1B08" w:rsidP="009654CF">
      <w:pPr>
        <w:shd w:val="clear" w:color="auto" w:fill="FFFFFF"/>
        <w:spacing w:after="0" w:line="240" w:lineRule="auto"/>
        <w:jc w:val="both"/>
        <w:rPr>
          <w:rFonts w:ascii="Times New Roman" w:hAnsi="Times New Roman"/>
          <w:color w:val="000000" w:themeColor="text1"/>
          <w:sz w:val="16"/>
          <w:szCs w:val="16"/>
        </w:rPr>
      </w:pPr>
    </w:p>
    <w:p w14:paraId="4B410D60"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после демонстрации в апреле 1933 членам РВС на ЦА был И-4 с АПК-3 РВС постановил вооружить эскадрилью И-4 пушками АПК-65 (1060,53).</w:t>
      </w:r>
    </w:p>
    <w:p w14:paraId="19AAE8D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4CB2D56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Курчевского назначили начальником Особого конструкторского бюро Главного артиллерийского управления (ОКБ ГАУ), обосновавшегося на заводе № 8 в Подлипках. Далее Курчевский добился передачи ему ещё одного предприятия-завода № 38, располагавшегося поблизости. В конце года "хозяйство" ОКБ ГАУ полностью перебралось на территорию завода № 38. Там же, неподалеку, оборудовали полигон и аэродром, с которого проводили отдельные испытания.</w:t>
      </w:r>
    </w:p>
    <w:p w14:paraId="03B16F5E"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многочисленные проблемы и весьма условные достижения в деле создания динамореактивных пушек, считалось, что буквально "вот-вот" - и Красная Армия будет обладать чудо-ору- жием. Курчевский продолжал фонтанировать идеями и увеличивать ассортимент предложений. Для вооружения самолётов под его руководством были спроектированы и строились ДРП калибров 37, 65, 76 и 102 мм. Разрабатывались варианты пушек для установки на корабли, танки и автомобили, безоткатные системы для пехоты и воздушных десантников.</w:t>
      </w:r>
    </w:p>
    <w:p w14:paraId="490A1D4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Деятельность Курчевского одобрительно воспринималась И.В. Сталиным, который лично распорядился выделить ему в качестве поощрения американский легковой автомобиль. При непосредственной поддержке начальника вооружений РККА М.Н. Тухачевского и наркома тяжёлой промышленности Г.К. Орджоникидзе для расширения деятельности Курчевского в 1934 г. создается Управление уполномоченного по специальным работам (сокращенно УСР - Управление специальных работ) при НКТП. Авиационный отдел в УСР возглавил Д.П. Григорович, который после испытаний и запуска в серию И-Z приступил к проектированию более совершенного пушечного истребителя ПИ-1, получившего также обозначение ДГ-52 ("Дмитрий Григорович - 52"). </w:t>
      </w:r>
    </w:p>
    <w:p w14:paraId="2412D6A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самолёт создавался как скоростной моноплан с убираемым шасси и двигателем Райт R-1820F-3 "Циклон" мощностью 625 л.с. (у нас этот мотор выпускался позже в Перми как М-25), рассчитывался под установку двух ди- намореактивных пушек АПК-4 и двух пулемётов ШКАС. История появления ПИ-1 (ДГ-52) по имеющимся документам полностью не просматривается. Известно, что Алкснис требовал подготовить задание на машину, условно именовавшуюся тогда "ЗЕТ-бис", к 15 января 1934 г.</w:t>
      </w:r>
    </w:p>
    <w:p w14:paraId="01C0DF8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требования к ней сформулировали еще в декабре 1933 г. Ка новом самолёте хотели исправить главные недостатки И-ЗЕТ: малый радиус действия, недостаточные скорость и потолок, неэффективное вооружение. "ЗЕТ-бис" должен был иметь максимальную скорость 350 км/ч, продолжительность полёта 3 - 4 ч, практический потолок 7000 - 8000 м, новые пушки с дальностью прицельной стрельбы 2000 - 2500 м</w:t>
      </w:r>
    </w:p>
    <w:p w14:paraId="5F4B9C8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документах конструкторского бюро Григоровича периода 1934 - 1935 гг. указывались расчётные характеристики этой машины. Они вполне укладывались в рамки задания, а скорость даже превосходила требуемую. Но новых ДРП с увеличенной дальностью стрельбы не имелось, поэтому в проект заложили всё те же АПК-4.</w:t>
      </w:r>
    </w:p>
    <w:p w14:paraId="72C19FA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Расчётные характеристики ДГ-52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4E10C1" w:rsidRPr="0044524F" w14:paraId="489DB703" w14:textId="77777777">
        <w:tc>
          <w:tcPr>
            <w:tcW w:w="5605" w:type="dxa"/>
            <w:tcBorders>
              <w:top w:val="single" w:sz="12" w:space="0" w:color="auto"/>
            </w:tcBorders>
          </w:tcPr>
          <w:p w14:paraId="0916664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конструкции, кг</w:t>
            </w:r>
          </w:p>
        </w:tc>
        <w:tc>
          <w:tcPr>
            <w:tcW w:w="5605" w:type="dxa"/>
            <w:tcBorders>
              <w:top w:val="single" w:sz="12" w:space="0" w:color="auto"/>
            </w:tcBorders>
          </w:tcPr>
          <w:p w14:paraId="3B5F0DB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568,7</w:t>
            </w:r>
          </w:p>
        </w:tc>
      </w:tr>
      <w:tr w:rsidR="004E10C1" w:rsidRPr="0044524F" w14:paraId="0AA6F489" w14:textId="77777777">
        <w:tc>
          <w:tcPr>
            <w:tcW w:w="5605" w:type="dxa"/>
          </w:tcPr>
          <w:p w14:paraId="6582DB42"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Полная нагрузка, кг</w:t>
            </w:r>
          </w:p>
        </w:tc>
        <w:tc>
          <w:tcPr>
            <w:tcW w:w="5605" w:type="dxa"/>
          </w:tcPr>
          <w:p w14:paraId="682265C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565</w:t>
            </w:r>
          </w:p>
        </w:tc>
      </w:tr>
      <w:tr w:rsidR="004E10C1" w:rsidRPr="0044524F" w14:paraId="2B154234" w14:textId="77777777">
        <w:tc>
          <w:tcPr>
            <w:tcW w:w="5605" w:type="dxa"/>
          </w:tcPr>
          <w:p w14:paraId="41FFE790"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м2</w:t>
            </w:r>
          </w:p>
        </w:tc>
        <w:tc>
          <w:tcPr>
            <w:tcW w:w="5605" w:type="dxa"/>
          </w:tcPr>
          <w:p w14:paraId="1163573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19,98</w:t>
            </w:r>
          </w:p>
        </w:tc>
      </w:tr>
      <w:tr w:rsidR="004E10C1" w:rsidRPr="0044524F" w14:paraId="7F58E8F1" w14:textId="77777777">
        <w:tc>
          <w:tcPr>
            <w:tcW w:w="5605" w:type="dxa"/>
          </w:tcPr>
          <w:p w14:paraId="6999965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крыло, кг/м2</w:t>
            </w:r>
          </w:p>
        </w:tc>
        <w:tc>
          <w:tcPr>
            <w:tcW w:w="5605" w:type="dxa"/>
          </w:tcPr>
          <w:p w14:paraId="44294C1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94,0</w:t>
            </w:r>
          </w:p>
        </w:tc>
      </w:tr>
      <w:tr w:rsidR="004E10C1" w:rsidRPr="0044524F" w14:paraId="2281F69B" w14:textId="77777777">
        <w:tc>
          <w:tcPr>
            <w:tcW w:w="5605" w:type="dxa"/>
          </w:tcPr>
          <w:p w14:paraId="10ED568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Весовая отдача</w:t>
            </w:r>
          </w:p>
        </w:tc>
        <w:tc>
          <w:tcPr>
            <w:tcW w:w="5605" w:type="dxa"/>
          </w:tcPr>
          <w:p w14:paraId="7C1DE909"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32,4 %</w:t>
            </w:r>
          </w:p>
        </w:tc>
      </w:tr>
      <w:tr w:rsidR="004E10C1" w:rsidRPr="0044524F" w14:paraId="7D80AA9A" w14:textId="77777777">
        <w:tc>
          <w:tcPr>
            <w:tcW w:w="5605" w:type="dxa"/>
          </w:tcPr>
          <w:p w14:paraId="6EDE675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 км/ч:</w:t>
            </w:r>
          </w:p>
        </w:tc>
        <w:tc>
          <w:tcPr>
            <w:tcW w:w="5605" w:type="dxa"/>
          </w:tcPr>
          <w:p w14:paraId="65300019"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0C47CD" w14:textId="77777777">
        <w:tc>
          <w:tcPr>
            <w:tcW w:w="5605" w:type="dxa"/>
          </w:tcPr>
          <w:p w14:paraId="4C1DC8E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земли</w:t>
            </w:r>
          </w:p>
        </w:tc>
        <w:tc>
          <w:tcPr>
            <w:tcW w:w="5605" w:type="dxa"/>
          </w:tcPr>
          <w:p w14:paraId="2DB0788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368</w:t>
            </w:r>
          </w:p>
        </w:tc>
      </w:tr>
      <w:tr w:rsidR="004E10C1" w:rsidRPr="0044524F" w14:paraId="70A08A7B" w14:textId="77777777">
        <w:tc>
          <w:tcPr>
            <w:tcW w:w="5605" w:type="dxa"/>
          </w:tcPr>
          <w:p w14:paraId="002B7A3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3000 м</w:t>
            </w:r>
          </w:p>
        </w:tc>
        <w:tc>
          <w:tcPr>
            <w:tcW w:w="5605" w:type="dxa"/>
          </w:tcPr>
          <w:p w14:paraId="1EFD25D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410</w:t>
            </w:r>
          </w:p>
        </w:tc>
      </w:tr>
      <w:tr w:rsidR="004E10C1" w:rsidRPr="0044524F" w14:paraId="796E24B3" w14:textId="77777777">
        <w:tc>
          <w:tcPr>
            <w:tcW w:w="5605" w:type="dxa"/>
          </w:tcPr>
          <w:p w14:paraId="59ED8AD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5000 м</w:t>
            </w:r>
          </w:p>
        </w:tc>
        <w:tc>
          <w:tcPr>
            <w:tcW w:w="5605" w:type="dxa"/>
          </w:tcPr>
          <w:p w14:paraId="08F350C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389</w:t>
            </w:r>
          </w:p>
        </w:tc>
      </w:tr>
      <w:tr w:rsidR="004E10C1" w:rsidRPr="0044524F" w14:paraId="56E52E58" w14:textId="77777777">
        <w:tc>
          <w:tcPr>
            <w:tcW w:w="5605" w:type="dxa"/>
          </w:tcPr>
          <w:p w14:paraId="1182DB6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посадочная, км/ч:</w:t>
            </w:r>
          </w:p>
        </w:tc>
        <w:tc>
          <w:tcPr>
            <w:tcW w:w="5605" w:type="dxa"/>
          </w:tcPr>
          <w:p w14:paraId="6427689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1F8E6C7" w14:textId="77777777">
        <w:tc>
          <w:tcPr>
            <w:tcW w:w="5605" w:type="dxa"/>
          </w:tcPr>
          <w:p w14:paraId="312FC19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 щитков</w:t>
            </w:r>
          </w:p>
        </w:tc>
        <w:tc>
          <w:tcPr>
            <w:tcW w:w="5605" w:type="dxa"/>
          </w:tcPr>
          <w:p w14:paraId="102336C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w:t>
            </w:r>
          </w:p>
        </w:tc>
      </w:tr>
      <w:tr w:rsidR="004E10C1" w:rsidRPr="0044524F" w14:paraId="2EB4D166" w14:textId="77777777">
        <w:tc>
          <w:tcPr>
            <w:tcW w:w="5605" w:type="dxa"/>
          </w:tcPr>
          <w:p w14:paraId="34BA378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щитками</w:t>
            </w:r>
          </w:p>
        </w:tc>
        <w:tc>
          <w:tcPr>
            <w:tcW w:w="5605" w:type="dxa"/>
          </w:tcPr>
          <w:p w14:paraId="66F0608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w:t>
            </w:r>
          </w:p>
        </w:tc>
      </w:tr>
      <w:tr w:rsidR="004E10C1" w:rsidRPr="0044524F" w14:paraId="2F9598C2" w14:textId="77777777">
        <w:tc>
          <w:tcPr>
            <w:tcW w:w="5605" w:type="dxa"/>
          </w:tcPr>
          <w:p w14:paraId="69D1F72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5000 м, мин</w:t>
            </w:r>
          </w:p>
        </w:tc>
        <w:tc>
          <w:tcPr>
            <w:tcW w:w="5605" w:type="dxa"/>
          </w:tcPr>
          <w:p w14:paraId="3704008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r>
      <w:tr w:rsidR="004E10C1" w:rsidRPr="0044524F" w14:paraId="375498E2" w14:textId="77777777">
        <w:tc>
          <w:tcPr>
            <w:tcW w:w="5605" w:type="dxa"/>
          </w:tcPr>
          <w:p w14:paraId="1912102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практический, м</w:t>
            </w:r>
          </w:p>
        </w:tc>
        <w:tc>
          <w:tcPr>
            <w:tcW w:w="5605" w:type="dxa"/>
          </w:tcPr>
          <w:p w14:paraId="6502CBE2"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7700</w:t>
            </w:r>
          </w:p>
        </w:tc>
      </w:tr>
      <w:tr w:rsidR="004E10C1" w:rsidRPr="0044524F" w14:paraId="126CC22A" w14:textId="77777777">
        <w:tc>
          <w:tcPr>
            <w:tcW w:w="5605" w:type="dxa"/>
          </w:tcPr>
          <w:p w14:paraId="4379F2A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пробега, м (продолжительность, с)</w:t>
            </w:r>
          </w:p>
        </w:tc>
        <w:tc>
          <w:tcPr>
            <w:tcW w:w="5605" w:type="dxa"/>
          </w:tcPr>
          <w:p w14:paraId="385E3D9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 (11,0)</w:t>
            </w:r>
          </w:p>
        </w:tc>
      </w:tr>
      <w:tr w:rsidR="004E10C1" w:rsidRPr="0044524F" w14:paraId="56A37BD3" w14:textId="77777777">
        <w:tc>
          <w:tcPr>
            <w:tcW w:w="5605" w:type="dxa"/>
          </w:tcPr>
          <w:p w14:paraId="71617A9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полёта, км:</w:t>
            </w:r>
          </w:p>
        </w:tc>
        <w:tc>
          <w:tcPr>
            <w:tcW w:w="5605" w:type="dxa"/>
          </w:tcPr>
          <w:p w14:paraId="43A972B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A53A3EA" w14:textId="77777777">
        <w:tc>
          <w:tcPr>
            <w:tcW w:w="5605" w:type="dxa"/>
          </w:tcPr>
          <w:p w14:paraId="58D22C3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нормальная</w:t>
            </w:r>
          </w:p>
        </w:tc>
        <w:tc>
          <w:tcPr>
            <w:tcW w:w="5605" w:type="dxa"/>
          </w:tcPr>
          <w:p w14:paraId="11F6F64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13B983C3" w14:textId="77777777">
        <w:tc>
          <w:tcPr>
            <w:tcW w:w="5605" w:type="dxa"/>
            <w:tcBorders>
              <w:bottom w:val="single" w:sz="12" w:space="0" w:color="auto"/>
            </w:tcBorders>
          </w:tcPr>
          <w:p w14:paraId="05C42DD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w:t>
            </w:r>
          </w:p>
        </w:tc>
        <w:tc>
          <w:tcPr>
            <w:tcW w:w="5605" w:type="dxa"/>
            <w:tcBorders>
              <w:bottom w:val="single" w:sz="12" w:space="0" w:color="auto"/>
            </w:tcBorders>
          </w:tcPr>
          <w:p w14:paraId="521F3ED0"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bl>
    <w:p w14:paraId="4F008D48"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(12005).</w:t>
      </w:r>
    </w:p>
    <w:p w14:paraId="6338DAE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173277EF"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специальная комиссия осматривала И-4 № 1649 с установленными под верхними крыльями АПКЗбис. По внешнему виду пушки были признаны годными к стрельбе. Испытания проводились с различными по мощности зарядами, испытывалось не только орудие, но и влияние стрельбы на конструкцию самолета. Так, при использовании зарядов весом 425 г отмечалось разрушение обшивки фюзеляжа. Происходило так, что исходящие газы буквально «отсасывали» обшивку от конструкции самолета.</w:t>
      </w:r>
    </w:p>
    <w:p w14:paraId="062FBF2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испытания и воздушные стрельбы были продолжены на НИАПе. Летал летчик Сузи. 18 мая 1933 г. в 14 ч. 40 мин. местного времени при выполнении стрельбы в воздухе произошел разрыв ствола правой пушки на расстоянии 38 см от казенного среза. При осмотре после посадки на комендантском аэродроме выяснилось, что непосредственно за местом разрыва ствола к дульной части заклинен снаряд. Снаряд раздут, с отпечатками нарезов на его поверхности вблизи центрирующего утолщения. Вокруг заклинившего снаряда в стволе обнаружены остатки деревянного донышка (поддона) и нитроклетчатки от гильзы. В правом крыле обнаружена рваная дыра площадью около квадратного метра.</w:t>
      </w:r>
    </w:p>
    <w:p w14:paraId="70C4FEE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разрыва в ОКБ-1 началось изготовление двух новых пушек АПК-Збис. Первая из них была закончена к июню 1933 г., и летные испытания продолжились. Однако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АПК-Збис размещению не подлежит (12091).</w:t>
      </w:r>
    </w:p>
    <w:p w14:paraId="5073C58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046E7FC7"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специальная комиссия осмотрела И-4 № 1649 с двумя АП К-Збис, установленными под вер</w:t>
      </w:r>
      <w:r w:rsidRPr="0044524F">
        <w:rPr>
          <w:rFonts w:ascii="Times New Roman" w:hAnsi="Times New Roman"/>
          <w:color w:val="000000" w:themeColor="text1"/>
          <w:sz w:val="16"/>
          <w:szCs w:val="16"/>
        </w:rPr>
        <w:softHyphen/>
        <w:t>хним крылом. После проведения внешне</w:t>
      </w:r>
      <w:r w:rsidRPr="0044524F">
        <w:rPr>
          <w:rFonts w:ascii="Times New Roman" w:hAnsi="Times New Roman"/>
          <w:color w:val="000000" w:themeColor="text1"/>
          <w:sz w:val="16"/>
          <w:szCs w:val="16"/>
        </w:rPr>
        <w:softHyphen/>
        <w:t>го осмотра пушки были признаны годными к стрельбе. Наземные испытания проводи</w:t>
      </w:r>
      <w:r w:rsidRPr="0044524F">
        <w:rPr>
          <w:rFonts w:ascii="Times New Roman" w:hAnsi="Times New Roman"/>
          <w:color w:val="000000" w:themeColor="text1"/>
          <w:sz w:val="16"/>
          <w:szCs w:val="16"/>
        </w:rPr>
        <w:softHyphen/>
        <w:t>лись с зарядами различной мощности. При использовании зарядов массой 425 г отмеча</w:t>
      </w:r>
      <w:r w:rsidRPr="0044524F">
        <w:rPr>
          <w:rFonts w:ascii="Times New Roman" w:hAnsi="Times New Roman"/>
          <w:color w:val="000000" w:themeColor="text1"/>
          <w:sz w:val="16"/>
          <w:szCs w:val="16"/>
        </w:rPr>
        <w:softHyphen/>
        <w:t>лось разрушение обшивки фюзеляжа — исхо</w:t>
      </w:r>
      <w:r w:rsidRPr="0044524F">
        <w:rPr>
          <w:rFonts w:ascii="Times New Roman" w:hAnsi="Times New Roman"/>
          <w:color w:val="000000" w:themeColor="text1"/>
          <w:sz w:val="16"/>
          <w:szCs w:val="16"/>
        </w:rPr>
        <w:softHyphen/>
        <w:t>дящие газы буквально «отсасывали» гофри</w:t>
      </w:r>
      <w:r w:rsidRPr="0044524F">
        <w:rPr>
          <w:rFonts w:ascii="Times New Roman" w:hAnsi="Times New Roman"/>
          <w:color w:val="000000" w:themeColor="text1"/>
          <w:sz w:val="16"/>
          <w:szCs w:val="16"/>
        </w:rPr>
        <w:softHyphen/>
        <w:t>рованные листы от конструкции. Тем не ме</w:t>
      </w:r>
      <w:r w:rsidRPr="0044524F">
        <w:rPr>
          <w:rFonts w:ascii="Times New Roman" w:hAnsi="Times New Roman"/>
          <w:color w:val="000000" w:themeColor="text1"/>
          <w:sz w:val="16"/>
          <w:szCs w:val="16"/>
        </w:rPr>
        <w:softHyphen/>
        <w:t>нее, опыты продолжились.</w:t>
      </w:r>
    </w:p>
    <w:p w14:paraId="1E28A8B2"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практической истории И-4 имеются два знаковых эпизода, удачное завершение кото</w:t>
      </w:r>
      <w:r w:rsidRPr="0044524F">
        <w:rPr>
          <w:rFonts w:ascii="Times New Roman" w:hAnsi="Times New Roman"/>
          <w:color w:val="000000" w:themeColor="text1"/>
          <w:sz w:val="16"/>
          <w:szCs w:val="16"/>
        </w:rPr>
        <w:softHyphen/>
        <w:t>рых могло заметно повысить практическую ценность его как боевого самолета. Пер</w:t>
      </w:r>
      <w:r w:rsidRPr="0044524F">
        <w:rPr>
          <w:rFonts w:ascii="Times New Roman" w:hAnsi="Times New Roman"/>
          <w:color w:val="000000" w:themeColor="text1"/>
          <w:sz w:val="16"/>
          <w:szCs w:val="16"/>
        </w:rPr>
        <w:softHyphen/>
        <w:t>вый эпизод относился к попытке внедрения в практику ВВС безоткатных, так называе</w:t>
      </w:r>
      <w:r w:rsidRPr="0044524F">
        <w:rPr>
          <w:rFonts w:ascii="Times New Roman" w:hAnsi="Times New Roman"/>
          <w:color w:val="000000" w:themeColor="text1"/>
          <w:sz w:val="16"/>
          <w:szCs w:val="16"/>
        </w:rPr>
        <w:softHyphen/>
        <w:t>мых динамореактивных пушек (ДРП), инте</w:t>
      </w:r>
      <w:r w:rsidRPr="0044524F">
        <w:rPr>
          <w:rFonts w:ascii="Times New Roman" w:hAnsi="Times New Roman"/>
          <w:color w:val="000000" w:themeColor="text1"/>
          <w:sz w:val="16"/>
          <w:szCs w:val="16"/>
        </w:rPr>
        <w:softHyphen/>
        <w:t>рес к использованию которых отмечался как раз в начале 1930-х годов. Он был обусловлен осознаваемой необходимостью сушествен- ного усиления огневой мощи самолетов-ис- требителей, так как обычные пулеметы вин</w:t>
      </w:r>
      <w:r w:rsidRPr="0044524F">
        <w:rPr>
          <w:rFonts w:ascii="Times New Roman" w:hAnsi="Times New Roman"/>
          <w:color w:val="000000" w:themeColor="text1"/>
          <w:sz w:val="16"/>
          <w:szCs w:val="16"/>
        </w:rPr>
        <w:softHyphen/>
        <w:t>товочного калибра уже считались малоэф</w:t>
      </w:r>
      <w:r w:rsidRPr="0044524F">
        <w:rPr>
          <w:rFonts w:ascii="Times New Roman" w:hAnsi="Times New Roman"/>
          <w:color w:val="000000" w:themeColor="text1"/>
          <w:sz w:val="16"/>
          <w:szCs w:val="16"/>
        </w:rPr>
        <w:softHyphen/>
        <w:t>фективными в борьбе с тяжелыми цельно</w:t>
      </w:r>
      <w:r w:rsidRPr="0044524F">
        <w:rPr>
          <w:rFonts w:ascii="Times New Roman" w:hAnsi="Times New Roman"/>
          <w:color w:val="000000" w:themeColor="text1"/>
          <w:sz w:val="16"/>
          <w:szCs w:val="16"/>
        </w:rPr>
        <w:softHyphen/>
        <w:t>металлическими бомбардировщиками. Наи</w:t>
      </w:r>
      <w:r w:rsidRPr="0044524F">
        <w:rPr>
          <w:rFonts w:ascii="Times New Roman" w:hAnsi="Times New Roman"/>
          <w:color w:val="000000" w:themeColor="text1"/>
          <w:sz w:val="16"/>
          <w:szCs w:val="16"/>
        </w:rPr>
        <w:softHyphen/>
        <w:t>более мощными такими ДРП считались ору</w:t>
      </w:r>
      <w:r w:rsidRPr="0044524F">
        <w:rPr>
          <w:rFonts w:ascii="Times New Roman" w:hAnsi="Times New Roman"/>
          <w:color w:val="000000" w:themeColor="text1"/>
          <w:sz w:val="16"/>
          <w:szCs w:val="16"/>
        </w:rPr>
        <w:softHyphen/>
        <w:t>дия калибра 76-мм, однако для них требова</w:t>
      </w:r>
      <w:r w:rsidRPr="0044524F">
        <w:rPr>
          <w:rFonts w:ascii="Times New Roman" w:hAnsi="Times New Roman"/>
          <w:color w:val="000000" w:themeColor="text1"/>
          <w:sz w:val="16"/>
          <w:szCs w:val="16"/>
        </w:rPr>
        <w:softHyphen/>
        <w:t>лось создавать специальные самолеты. Од</w:t>
      </w:r>
      <w:r w:rsidRPr="0044524F">
        <w:rPr>
          <w:rFonts w:ascii="Times New Roman" w:hAnsi="Times New Roman"/>
          <w:color w:val="000000" w:themeColor="text1"/>
          <w:sz w:val="16"/>
          <w:szCs w:val="16"/>
        </w:rPr>
        <w:softHyphen/>
        <w:t>новременно, состоящий на вооружении ВВС И-4 являлся единственным советским цель</w:t>
      </w:r>
      <w:r w:rsidRPr="0044524F">
        <w:rPr>
          <w:rFonts w:ascii="Times New Roman" w:hAnsi="Times New Roman"/>
          <w:color w:val="000000" w:themeColor="text1"/>
          <w:sz w:val="16"/>
          <w:szCs w:val="16"/>
        </w:rPr>
        <w:softHyphen/>
        <w:t>нометаллическим истребителем, считался наиболее прочным по сравнению с самоле</w:t>
      </w:r>
      <w:r w:rsidRPr="0044524F">
        <w:rPr>
          <w:rFonts w:ascii="Times New Roman" w:hAnsi="Times New Roman"/>
          <w:color w:val="000000" w:themeColor="text1"/>
          <w:sz w:val="16"/>
          <w:szCs w:val="16"/>
        </w:rPr>
        <w:softHyphen/>
        <w:t>тами смешанной конструкции, поэтому бо</w:t>
      </w:r>
      <w:r w:rsidRPr="0044524F">
        <w:rPr>
          <w:rFonts w:ascii="Times New Roman" w:hAnsi="Times New Roman"/>
          <w:color w:val="000000" w:themeColor="text1"/>
          <w:sz w:val="16"/>
          <w:szCs w:val="16"/>
        </w:rPr>
        <w:softHyphen/>
        <w:t>лее подходил для оснащения ДРП. Меж</w:t>
      </w:r>
      <w:r w:rsidRPr="0044524F">
        <w:rPr>
          <w:rFonts w:ascii="Times New Roman" w:hAnsi="Times New Roman"/>
          <w:color w:val="000000" w:themeColor="text1"/>
          <w:sz w:val="16"/>
          <w:szCs w:val="16"/>
        </w:rPr>
        <w:softHyphen/>
        <w:t>ду тем 76-миллиметровые АПК-4 конструк</w:t>
      </w:r>
      <w:r w:rsidRPr="0044524F">
        <w:rPr>
          <w:rFonts w:ascii="Times New Roman" w:hAnsi="Times New Roman"/>
          <w:color w:val="000000" w:themeColor="text1"/>
          <w:sz w:val="16"/>
          <w:szCs w:val="16"/>
        </w:rPr>
        <w:softHyphen/>
        <w:t>ции Курчевского были для И-4 слишком ве</w:t>
      </w:r>
      <w:r w:rsidRPr="0044524F">
        <w:rPr>
          <w:rFonts w:ascii="Times New Roman" w:hAnsi="Times New Roman"/>
          <w:color w:val="000000" w:themeColor="text1"/>
          <w:sz w:val="16"/>
          <w:szCs w:val="16"/>
        </w:rPr>
        <w:softHyphen/>
        <w:t>лики. Поэтому спроектировали и построили уменьшенную систему калибра 65 мм, полу</w:t>
      </w:r>
      <w:r w:rsidRPr="0044524F">
        <w:rPr>
          <w:rFonts w:ascii="Times New Roman" w:hAnsi="Times New Roman"/>
          <w:color w:val="000000" w:themeColor="text1"/>
          <w:sz w:val="16"/>
          <w:szCs w:val="16"/>
        </w:rPr>
        <w:softHyphen/>
        <w:t>чившую обозначение АП К-3 бис. Расчет был прост — в случае удачи появлялась возмож</w:t>
      </w:r>
      <w:r w:rsidRPr="0044524F">
        <w:rPr>
          <w:rFonts w:ascii="Times New Roman" w:hAnsi="Times New Roman"/>
          <w:color w:val="000000" w:themeColor="text1"/>
          <w:sz w:val="16"/>
          <w:szCs w:val="16"/>
        </w:rPr>
        <w:softHyphen/>
        <w:t>ность перевооружить этими пушками все строевые И-4. Об этом говорилось на сове</w:t>
      </w:r>
      <w:r w:rsidRPr="0044524F">
        <w:rPr>
          <w:rFonts w:ascii="Times New Roman" w:hAnsi="Times New Roman"/>
          <w:color w:val="000000" w:themeColor="text1"/>
          <w:sz w:val="16"/>
          <w:szCs w:val="16"/>
        </w:rPr>
        <w:softHyphen/>
        <w:t>щании, которое проводил начальник ВВС РККА Я.И.Алкснис: «Ускорить работу по установке пушек калибра 65 мм на И-4. Если получим удовлетворительные результаты, то нужно в кратчайший срок вооружить имею</w:t>
      </w:r>
      <w:r w:rsidRPr="0044524F">
        <w:rPr>
          <w:rFonts w:ascii="Times New Roman" w:hAnsi="Times New Roman"/>
          <w:color w:val="000000" w:themeColor="text1"/>
          <w:sz w:val="16"/>
          <w:szCs w:val="16"/>
        </w:rPr>
        <w:softHyphen/>
        <w:t>щиеся самолеты И-4 этими пушками. ...Кур- чевскому доработать АПК-3, чтобы в апре</w:t>
      </w:r>
      <w:r w:rsidRPr="0044524F">
        <w:rPr>
          <w:rFonts w:ascii="Times New Roman" w:hAnsi="Times New Roman"/>
          <w:color w:val="000000" w:themeColor="text1"/>
          <w:sz w:val="16"/>
          <w:szCs w:val="16"/>
        </w:rPr>
        <w:softHyphen/>
        <w:t>ле-мае 1933 года провести госиспытания. ...ЦАГИ установить пушки на самолет И-4 и предъявить в НИИ ВВС».</w:t>
      </w:r>
    </w:p>
    <w:p w14:paraId="18DC7F5F"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испытания и воздушные стрель</w:t>
      </w:r>
      <w:r w:rsidRPr="0044524F">
        <w:rPr>
          <w:rFonts w:ascii="Times New Roman" w:hAnsi="Times New Roman"/>
          <w:color w:val="000000" w:themeColor="text1"/>
          <w:sz w:val="16"/>
          <w:szCs w:val="16"/>
        </w:rPr>
        <w:softHyphen/>
        <w:t>бы проходили в Ленинграде. Пушечным И-4 №1649 управлял летчик-испытатель Томас Павлович Сузи. 18 мая 1933 года в 14 ч 40 мин выстрел в воздухе привел к разрыву ствола правой пушки, и образованию в крыле рва</w:t>
      </w:r>
      <w:r w:rsidRPr="0044524F">
        <w:rPr>
          <w:rFonts w:ascii="Times New Roman" w:hAnsi="Times New Roman"/>
          <w:color w:val="000000" w:themeColor="text1"/>
          <w:sz w:val="16"/>
          <w:szCs w:val="16"/>
        </w:rPr>
        <w:softHyphen/>
        <w:t>ной дыры площадью более полуметра. Пи</w:t>
      </w:r>
      <w:r w:rsidRPr="0044524F">
        <w:rPr>
          <w:rFonts w:ascii="Times New Roman" w:hAnsi="Times New Roman"/>
          <w:color w:val="000000" w:themeColor="text1"/>
          <w:sz w:val="16"/>
          <w:szCs w:val="16"/>
        </w:rPr>
        <w:softHyphen/>
        <w:t>лоту удалось посадить поврежденный истре</w:t>
      </w:r>
      <w:r w:rsidRPr="0044524F">
        <w:rPr>
          <w:rFonts w:ascii="Times New Roman" w:hAnsi="Times New Roman"/>
          <w:color w:val="000000" w:themeColor="text1"/>
          <w:sz w:val="16"/>
          <w:szCs w:val="16"/>
        </w:rPr>
        <w:softHyphen/>
        <w:t>битель на Комендантский аэродром, что подтвердило высокую живучесть многолон- жеронного крыла этого самолета. Хотя ис</w:t>
      </w:r>
      <w:r w:rsidRPr="0044524F">
        <w:rPr>
          <w:rFonts w:ascii="Times New Roman" w:hAnsi="Times New Roman"/>
          <w:color w:val="000000" w:themeColor="text1"/>
          <w:sz w:val="16"/>
          <w:szCs w:val="16"/>
        </w:rPr>
        <w:softHyphen/>
        <w:t>пытания И-4 с АП К-Збис продолжились, однако вопрос о массовом перевооружении ис</w:t>
      </w:r>
      <w:r w:rsidRPr="0044524F">
        <w:rPr>
          <w:rFonts w:ascii="Times New Roman" w:hAnsi="Times New Roman"/>
          <w:color w:val="000000" w:themeColor="text1"/>
          <w:sz w:val="16"/>
          <w:szCs w:val="16"/>
        </w:rPr>
        <w:softHyphen/>
        <w:t>требителя более не поднимется. Известно, что позднее Курчевский предлагал для воо</w:t>
      </w:r>
      <w:r w:rsidRPr="0044524F">
        <w:rPr>
          <w:rFonts w:ascii="Times New Roman" w:hAnsi="Times New Roman"/>
          <w:color w:val="000000" w:themeColor="text1"/>
          <w:sz w:val="16"/>
          <w:szCs w:val="16"/>
        </w:rPr>
        <w:softHyphen/>
        <w:t>ружения И-4 гладкоствольную АПК калибра 67 мм, стреляющую картечью. Интереса это его предложение уже не вызвало (12295).</w:t>
      </w:r>
    </w:p>
    <w:p w14:paraId="5E0F16A8"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03E51F40"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Зам. наркома, нач. вооружений М.Н.Т. отмечал "Следовало бы пересмотреть конструкцию Р-5 в сторону введения в него новейших аэродинамических достижений, осуществления убирающегося шасси..." (1805,9).</w:t>
      </w:r>
    </w:p>
    <w:p w14:paraId="07EC832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17709C7B"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был утвержден Отчет по испытанию вооруженного самолета У-2 № 3115 (эталон на 1933 год), мотор М-11 (6645).</w:t>
      </w:r>
    </w:p>
    <w:p w14:paraId="562FD354"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03CB23A6"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самолет – Мируц</w:t>
      </w:r>
    </w:p>
    <w:p w14:paraId="23233A86"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Петров, Долгов</w:t>
      </w:r>
    </w:p>
    <w:p w14:paraId="1988E865"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344829A2" w14:textId="77777777" w:rsidR="006E56A1" w:rsidRPr="0044524F" w:rsidRDefault="006E56A1"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возможность использования самолета № 3115 в качестве образца (эталона) для серийной постройки.</w:t>
      </w:r>
    </w:p>
    <w:p w14:paraId="4F71F581" w14:textId="77777777" w:rsidR="006E56A1" w:rsidRPr="0044524F" w:rsidRDefault="006E56A1"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летные данные вооруженного самолета У2-М11.</w:t>
      </w:r>
    </w:p>
    <w:p w14:paraId="61E444E8"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0D345977" w14:textId="77777777" w:rsidR="006E56A1" w:rsidRPr="0044524F" w:rsidRDefault="006E56A1"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 3115 после устранения дефектов может быть использован в качестве эталона вооруженного варианта У2 для вооружения самолетов У2 силами авиачастей.</w:t>
      </w:r>
    </w:p>
    <w:p w14:paraId="2C58F443"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серийной постройки, ввиду наличия в турельной установке ряда дефектов (малая сфера обстрела, недостаточная устойчивость) требующих проектирования совершенно новой установки – представленный самолет эталоном служить не может.</w:t>
      </w:r>
    </w:p>
    <w:p w14:paraId="6B9F737F"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начато 17 апреля 1933 года</w:t>
      </w:r>
    </w:p>
    <w:p w14:paraId="5F1EC213"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закончено 23 апреля 1933 года</w:t>
      </w:r>
    </w:p>
    <w:p w14:paraId="3A084552"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испытания – 6 дней (6645).</w:t>
      </w:r>
    </w:p>
    <w:p w14:paraId="6A581C46" w14:textId="77777777" w:rsidR="006E56A1" w:rsidRPr="0044524F" w:rsidRDefault="006E56A1"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41A03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Начальник ЦКБ ЦАГИ С.Н.Ильюшин докладывает в ГУАП о бесхвостках:</w:t>
      </w:r>
    </w:p>
    <w:p w14:paraId="5DAB4DD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подобной схемы на опыте не проверены. Подобного рода поперечное управление (элероны, вынесенные поверх крыла) имеется на американском самолете «Нортроп-Гама», сделанное в комбинации с закрылками типа «Цапа». Каких-либо сведений об управляемости этого самолета нет (7570,2).</w:t>
      </w:r>
    </w:p>
    <w:p w14:paraId="0FD538D9"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Продувки, произведенные в ЦАГИ при аэродинамических исследованиях, показывают очень низкую эффективность конструкции подобных элеронов. По аналогии с указанными продувками можно ожидать ухудшения эффективности горизонтального оперения, расположенного под обрезом задней кромки (7570,2).</w:t>
      </w:r>
    </w:p>
    <w:p w14:paraId="01F2A238"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 считает, что самолет подобной конструкции является сугубо экспериментальным, и поэтому сразу строить самолет большого тоннажа (4-5 т) нецелесообразно. Необходимо провести продувки в аэродинамической трубе, и в случае благоприятных результатов построить самолет с мотором в 75-100 л.с. для опытной проверки» (7570,2).</w:t>
      </w:r>
    </w:p>
    <w:p w14:paraId="5445F97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1B8009C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началось проектирование МДР-4 3М-34РН и было закончено 15 ноября 1933 (2287,128).</w:t>
      </w:r>
    </w:p>
    <w:p w14:paraId="1A03BC9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6AE3962C"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1933 г. в ОМО НИИ ВВС в Се</w:t>
      </w:r>
      <w:r w:rsidRPr="00142305">
        <w:rPr>
          <w:rFonts w:ascii="Times New Roman" w:hAnsi="Times New Roman"/>
          <w:color w:val="0070C0"/>
          <w:sz w:val="16"/>
          <w:szCs w:val="16"/>
        </w:rPr>
        <w:softHyphen/>
        <w:t>вастополе испытывали образец А1-М11 -военного варианта Ш-2. Машина была принята военными в Та</w:t>
      </w:r>
      <w:r w:rsidRPr="00142305">
        <w:rPr>
          <w:rFonts w:ascii="Times New Roman" w:hAnsi="Times New Roman"/>
          <w:color w:val="0070C0"/>
          <w:sz w:val="16"/>
          <w:szCs w:val="16"/>
        </w:rPr>
        <w:softHyphen/>
        <w:t>ганроге 13 мая и в тот же день перегнана в Крым; испытания шли до 23 мая. Она отличалась наличием фотоаппарата и посадочных мест под радиостанцию 14СК и динамо-машину (генератор) с ветрянкой к ней; вооружение отсутствовало. Крес</w:t>
      </w:r>
      <w:r w:rsidRPr="00142305">
        <w:rPr>
          <w:rFonts w:ascii="Times New Roman" w:hAnsi="Times New Roman"/>
          <w:color w:val="0070C0"/>
          <w:sz w:val="16"/>
          <w:szCs w:val="16"/>
        </w:rPr>
        <w:softHyphen/>
        <w:t>ла стояли такие же, как на гражданском варианте; размещение в них парашюта не предусматривалось. Как и другие ам</w:t>
      </w:r>
      <w:r w:rsidRPr="00142305">
        <w:rPr>
          <w:rFonts w:ascii="Times New Roman" w:hAnsi="Times New Roman"/>
          <w:color w:val="0070C0"/>
          <w:sz w:val="16"/>
          <w:szCs w:val="16"/>
        </w:rPr>
        <w:softHyphen/>
        <w:t>фибии выпуска 1933 г., данный экземпляр комплектовался огнетушителем «Тай</w:t>
      </w:r>
      <w:r w:rsidRPr="00142305">
        <w:rPr>
          <w:rFonts w:ascii="Times New Roman" w:hAnsi="Times New Roman"/>
          <w:color w:val="0070C0"/>
          <w:sz w:val="16"/>
          <w:szCs w:val="16"/>
        </w:rPr>
        <w:softHyphen/>
        <w:t>фун». Вес пустого А1 равнялся 671 кг, полётный - 936 кг.</w:t>
      </w:r>
    </w:p>
    <w:p w14:paraId="38050674"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Получили максимальную скорость 134 км/ч и практический потолок 2400 м. По заключению специалистов ОМО, как военный учебный самолёт А1 был не</w:t>
      </w:r>
      <w:r w:rsidRPr="00142305">
        <w:rPr>
          <w:rFonts w:ascii="Times New Roman" w:hAnsi="Times New Roman"/>
          <w:color w:val="0070C0"/>
          <w:sz w:val="16"/>
          <w:szCs w:val="16"/>
        </w:rPr>
        <w:softHyphen/>
        <w:t>пригоден из-за плохой скороподъёмнос</w:t>
      </w:r>
      <w:r w:rsidRPr="00142305">
        <w:rPr>
          <w:rFonts w:ascii="Times New Roman" w:hAnsi="Times New Roman"/>
          <w:color w:val="0070C0"/>
          <w:sz w:val="16"/>
          <w:szCs w:val="16"/>
        </w:rPr>
        <w:softHyphen/>
        <w:t>ти и недостаточной мореходности. Также обратили внимание на быстрое появле-</w:t>
      </w:r>
    </w:p>
    <w:p w14:paraId="33D55C58"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ние люфтов в соединениях, требующее постоянного надзора. Продольную устой</w:t>
      </w:r>
      <w:r w:rsidRPr="00142305">
        <w:rPr>
          <w:rFonts w:ascii="Times New Roman" w:hAnsi="Times New Roman"/>
          <w:color w:val="0070C0"/>
          <w:sz w:val="16"/>
          <w:szCs w:val="16"/>
        </w:rPr>
        <w:softHyphen/>
        <w:t>чивость сочли недостаточной и решили провести дополнительные испытания в этом отношении.</w:t>
      </w:r>
    </w:p>
    <w:p w14:paraId="1B446B65"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тем, отмечалось, что самолёт прост в пилотировании, несложен в экс</w:t>
      </w:r>
      <w:r w:rsidRPr="00142305">
        <w:rPr>
          <w:rFonts w:ascii="Times New Roman" w:hAnsi="Times New Roman"/>
          <w:color w:val="0070C0"/>
          <w:sz w:val="16"/>
          <w:szCs w:val="16"/>
        </w:rPr>
        <w:softHyphen/>
        <w:t>плуатации, прост и дёшев в производст</w:t>
      </w:r>
      <w:r w:rsidRPr="00142305">
        <w:rPr>
          <w:rFonts w:ascii="Times New Roman" w:hAnsi="Times New Roman"/>
          <w:color w:val="0070C0"/>
          <w:sz w:val="16"/>
          <w:szCs w:val="16"/>
        </w:rPr>
        <w:softHyphen/>
        <w:t>ве. Лётчик имел хороший обзор в полёте. Амфибию отличала высокая весовая от</w:t>
      </w:r>
      <w:r w:rsidRPr="00142305">
        <w:rPr>
          <w:rFonts w:ascii="Times New Roman" w:hAnsi="Times New Roman"/>
          <w:color w:val="0070C0"/>
          <w:sz w:val="16"/>
          <w:szCs w:val="16"/>
        </w:rPr>
        <w:softHyphen/>
        <w:t>дача, то есть значительная по отношению к весу конструкции полезная нагрузка, а также хороший доступ ко всем узлам. Машина легко собиралась и разбиралась. Со сложенным крылом Ш-2 занимал мало места.</w:t>
      </w:r>
    </w:p>
    <w:p w14:paraId="2AD8C9D9"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Кабина была достаточно просторной, хотя высота приборной доски мешала пилоту большого роста убрать колени. Низкие спинки сидений не обеспечивали достаточной опоры спине.</w:t>
      </w:r>
    </w:p>
    <w:p w14:paraId="59C46099"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Специалисты ОМО рекомендовали все-таки смонтировать вооружение и оснастить амфибию мотором М-48. Это был семицилиндровый двигатель, уни</w:t>
      </w:r>
      <w:r w:rsidRPr="00142305">
        <w:rPr>
          <w:rFonts w:ascii="Times New Roman" w:hAnsi="Times New Roman"/>
          <w:color w:val="0070C0"/>
          <w:sz w:val="16"/>
          <w:szCs w:val="16"/>
        </w:rPr>
        <w:softHyphen/>
        <w:t>фицированный с М-11. Но довести М-48 до серийного производства не смогли, и этот совет выполнен не был.</w:t>
      </w:r>
    </w:p>
    <w:p w14:paraId="5DBAB475"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дальнейшего изучения пригоднос</w:t>
      </w:r>
      <w:r w:rsidRPr="00142305">
        <w:rPr>
          <w:rFonts w:ascii="Times New Roman" w:hAnsi="Times New Roman"/>
          <w:color w:val="0070C0"/>
          <w:sz w:val="16"/>
          <w:szCs w:val="16"/>
        </w:rPr>
        <w:softHyphen/>
        <w:t>ти Ш-2 к использованию в ВВС предпи</w:t>
      </w:r>
      <w:r w:rsidRPr="00142305">
        <w:rPr>
          <w:rFonts w:ascii="Times New Roman" w:hAnsi="Times New Roman"/>
          <w:color w:val="0070C0"/>
          <w:sz w:val="16"/>
          <w:szCs w:val="16"/>
        </w:rPr>
        <w:softHyphen/>
        <w:t>сали провести войсковые испытания, сформировав звено из трёх самолётов. Проходили ли они на самом деле, уста</w:t>
      </w:r>
      <w:r w:rsidRPr="00142305">
        <w:rPr>
          <w:rFonts w:ascii="Times New Roman" w:hAnsi="Times New Roman"/>
          <w:color w:val="0070C0"/>
          <w:sz w:val="16"/>
          <w:szCs w:val="16"/>
        </w:rPr>
        <w:softHyphen/>
        <w:t>новить не удалось.</w:t>
      </w:r>
    </w:p>
    <w:p w14:paraId="5EA9D567" w14:textId="77777777" w:rsidR="00D513BA" w:rsidRPr="00142305" w:rsidRDefault="00D513BA" w:rsidP="00D513B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Поставки Ш-2 в подразделения ВВС осуществлялись в 1932-1934 гг., но ком</w:t>
      </w:r>
      <w:r w:rsidRPr="00142305">
        <w:rPr>
          <w:rFonts w:ascii="Times New Roman" w:hAnsi="Times New Roman"/>
          <w:color w:val="0070C0"/>
          <w:sz w:val="16"/>
          <w:szCs w:val="16"/>
        </w:rPr>
        <w:softHyphen/>
        <w:t>плектация этих машин была той же, что и для гражданской авиации (24952).</w:t>
      </w:r>
    </w:p>
    <w:p w14:paraId="346CB5A6" w14:textId="77777777" w:rsidR="00D513BA" w:rsidRPr="00142305" w:rsidRDefault="00D513BA" w:rsidP="00D513BA">
      <w:pPr>
        <w:spacing w:after="0" w:line="240" w:lineRule="auto"/>
        <w:jc w:val="both"/>
        <w:rPr>
          <w:rFonts w:ascii="Times New Roman" w:hAnsi="Times New Roman"/>
          <w:color w:val="0070C0"/>
          <w:sz w:val="16"/>
          <w:szCs w:val="16"/>
        </w:rPr>
      </w:pPr>
    </w:p>
    <w:p w14:paraId="6F425AB8" w14:textId="77777777" w:rsidR="00AB1DA9" w:rsidRPr="00142305" w:rsidRDefault="00AB1DA9" w:rsidP="00AB1D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1933 г. десятью Ш-2 хотели укомплектовать от</w:t>
      </w:r>
      <w:r w:rsidRPr="00142305">
        <w:rPr>
          <w:rFonts w:ascii="Times New Roman" w:hAnsi="Times New Roman"/>
          <w:color w:val="0070C0"/>
          <w:sz w:val="16"/>
          <w:szCs w:val="16"/>
        </w:rPr>
        <w:softHyphen/>
        <w:t>ряд ближней разведки и связи на Амуре. В 1934 г. рассчитывали сформировать на амфибиях Шаврова два звена особого назначения в Петропавловске-Камчат</w:t>
      </w:r>
      <w:r w:rsidRPr="00142305">
        <w:rPr>
          <w:rFonts w:ascii="Times New Roman" w:hAnsi="Times New Roman"/>
          <w:color w:val="0070C0"/>
          <w:sz w:val="16"/>
          <w:szCs w:val="16"/>
        </w:rPr>
        <w:softHyphen/>
        <w:t>ском (24952).</w:t>
      </w:r>
    </w:p>
    <w:p w14:paraId="5F9F328A" w14:textId="77777777" w:rsidR="00AB1DA9" w:rsidRPr="00142305" w:rsidRDefault="00AB1DA9" w:rsidP="00AB1DA9">
      <w:pPr>
        <w:spacing w:after="0" w:line="240" w:lineRule="auto"/>
        <w:jc w:val="both"/>
        <w:rPr>
          <w:rFonts w:ascii="Times New Roman" w:hAnsi="Times New Roman"/>
          <w:color w:val="0070C0"/>
          <w:sz w:val="16"/>
          <w:szCs w:val="16"/>
        </w:rPr>
      </w:pPr>
    </w:p>
    <w:p w14:paraId="1C6771AF"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года были закончены испытания самолета с гребными воздушными колесами инженера ВВС Попова, причем результаты вполне совпали с результатами первых испытаний весной 1932. Так как средств и людей на разработку проекта самолета не хватало, Попов приступил к проектированию универсальной модели, позволяющей испытание различных гребных колес. Кроме того спроектировали специальные аэродинамические весы для испытания гребных колес в трубе Т-1 аэродинамической лаборатории ВВА.</w:t>
      </w:r>
    </w:p>
    <w:p w14:paraId="4781053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3BB1E320"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исследованы все детали вопроса и мы вплотную подошли к созданию проекта самолета с вращающимися крыльями, способного вертикально взлетать и спускаться, висеть в воздухе и передвигаться со скоростями современных самолетов………….(4015,3-10).</w:t>
      </w:r>
    </w:p>
    <w:p w14:paraId="32631BC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1F2DF412"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опытная серия М-34Р, которая была изготовлена июле 1932 на заводе № 24, прошла госиспытания, с конца 1933 М-34Р выпускались в серии и с апреля 1934 стали ставиться на ТБ-3 (9086).</w:t>
      </w:r>
    </w:p>
    <w:p w14:paraId="40F9084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2CBFF01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был построен и поставлен на заводские испытания упрощенный нагнетатель с высотностью 3500 м для М-34 (2281,66).</w:t>
      </w:r>
    </w:p>
    <w:p w14:paraId="5A6ADA8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504E590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года ГУАП и завод № 24 еще получили все необходимые данные (образцы, чертежи и спецификации) для организации производства редуктора к мотору М-34, при чем РВС Союза еще 17 июля 1933 года подтвердил Наркомтяжпрому, что с 1 января 1934 года не будет принимать ни одного М-34 без редуктора для тяжелых самолетов (4267,15-17).</w:t>
      </w:r>
    </w:p>
    <w:p w14:paraId="68B9BE79"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38CD27D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прошел гос. испытания М-34Р и в конце года его запустили в серию также на 24 заводе, где ГК был В.А.Добрынин, а с 1936 - сам А.А.М. (80,74).</w:t>
      </w:r>
    </w:p>
    <w:p w14:paraId="317EFF1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700CB280"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М-34Р прошел государственные испытания, а с конца года выпускалась серийно, но только в апреле 1934 г. из цехов начали выходить первые, вполне годные моторы (7668).</w:t>
      </w:r>
    </w:p>
    <w:p w14:paraId="3228CB9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621739B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года соглашение с фирмой «Райт» в США, подписанное 22 апреля 1933 делегацией во главе с И.И. Побережским, в которую входили также А.Д. Швецов и Н.П. Базилев, было подтверждено специальным решением советского правительства. Впоследствии вышло еще несколь</w:t>
      </w:r>
      <w:r w:rsidRPr="0044524F">
        <w:rPr>
          <w:rFonts w:ascii="Times New Roman" w:hAnsi="Times New Roman"/>
          <w:color w:val="000000" w:themeColor="text1"/>
          <w:sz w:val="16"/>
          <w:szCs w:val="16"/>
        </w:rPr>
        <w:softHyphen/>
        <w:t xml:space="preserve">ко постановлений Комитета обороны и Совета труда и обороны СССР, </w:t>
      </w:r>
      <w:r w:rsidRPr="0044524F">
        <w:rPr>
          <w:rFonts w:ascii="Times New Roman" w:hAnsi="Times New Roman"/>
          <w:smallCaps/>
          <w:color w:val="000000" w:themeColor="text1"/>
          <w:sz w:val="16"/>
          <w:szCs w:val="16"/>
        </w:rPr>
        <w:t xml:space="preserve">уточнявших </w:t>
      </w:r>
      <w:r w:rsidRPr="0044524F">
        <w:rPr>
          <w:rFonts w:ascii="Times New Roman" w:hAnsi="Times New Roman"/>
          <w:color w:val="000000" w:themeColor="text1"/>
          <w:sz w:val="16"/>
          <w:szCs w:val="16"/>
        </w:rPr>
        <w:t>количество закупавшихся в США двигателей дюймового и метрического стандартов, комплектов деталей и наиболее важных узлов. В частности, постановление Совета труда и обороны от 28 ноября 1933 г. говорило о 150 готовых моторах, 100 комплектах деталей и приобретении наиболее сложных в изготовлении деталей еще на 100 двигателей — все на общую сумму 4 350 000 рублей. В конце декабря 1933 г. первый «Циклон» отправили в СССР. Примерно в это же время конструкторы фирмы «Райт» подготовили чертежи метрического варианта мотора, построили опытный образец и в январе 1934 г. поставили его на стенд. В апреле он завершил 100-часовые испытания в США. Для освоения производства американских моторов выделили новый за</w:t>
      </w:r>
      <w:r w:rsidRPr="0044524F">
        <w:rPr>
          <w:rFonts w:ascii="Times New Roman" w:hAnsi="Times New Roman"/>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300D335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057743A3" w14:textId="77777777" w:rsidR="006E56A1" w:rsidRPr="0044524F" w:rsidRDefault="006E56A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приняли принципиальное решение о приобретении подходящих двигателей за рубежом. Среди отобранных советскими специалистами конструкций оказался французский 12-цилиндровый У-образный двигатель водяного охлаждения Испано-Сюиза 12У. Это был по тому времени вполне современный мотор — мощный, легкий, снабженный редуктором и ПЦН. Номинальная мощность его со</w:t>
      </w:r>
      <w:r w:rsidRPr="0044524F">
        <w:rPr>
          <w:rFonts w:ascii="Times New Roman" w:hAnsi="Times New Roman"/>
          <w:color w:val="000000" w:themeColor="text1"/>
          <w:sz w:val="16"/>
          <w:szCs w:val="16"/>
        </w:rPr>
        <w:softHyphen/>
        <w:t>ставляла 750 л.с., а максимальная — 850 л.с. при сухом весе 438 кг. Он выпускался в ряде модификаций, включая специальную модель для истре</w:t>
      </w:r>
      <w:r w:rsidRPr="0044524F">
        <w:rPr>
          <w:rFonts w:ascii="Times New Roman" w:hAnsi="Times New Roman"/>
          <w:color w:val="000000" w:themeColor="text1"/>
          <w:sz w:val="16"/>
          <w:szCs w:val="16"/>
        </w:rPr>
        <w:softHyphen/>
        <w:t>бителей 12Усг§, предусматривавшую крепление пушки в развале блоков цилиндров. Пушка при этом стреляла через полый вал редуктора. Выбор французской компании определялся как политическими причина</w:t>
      </w:r>
      <w:r w:rsidRPr="0044524F">
        <w:rPr>
          <w:rFonts w:ascii="Times New Roman" w:hAnsi="Times New Roman"/>
          <w:color w:val="000000" w:themeColor="text1"/>
          <w:sz w:val="16"/>
          <w:szCs w:val="16"/>
        </w:rPr>
        <w:softHyphen/>
        <w:t>ми (в этот период отношения между Францией и СССР существенно улуч</w:t>
      </w:r>
      <w:r w:rsidRPr="0044524F">
        <w:rPr>
          <w:rFonts w:ascii="Times New Roman" w:hAnsi="Times New Roman"/>
          <w:color w:val="000000" w:themeColor="text1"/>
          <w:sz w:val="16"/>
          <w:szCs w:val="16"/>
        </w:rPr>
        <w:softHyphen/>
        <w:t>шились), так и техническими: считалось, что французские двигатели по применяемой технологии и материалам ближе к возможностям советской промышленности, чем, скажем, английские. Кроме этого, не возникало не</w:t>
      </w:r>
      <w:r w:rsidRPr="0044524F">
        <w:rPr>
          <w:rFonts w:ascii="Times New Roman" w:hAnsi="Times New Roman"/>
          <w:color w:val="000000" w:themeColor="text1"/>
          <w:sz w:val="16"/>
          <w:szCs w:val="16"/>
        </w:rPr>
        <w:softHyphen/>
        <w:t>обходимости пересчитывать дюймовые размеры в метрические (11852).</w:t>
      </w:r>
    </w:p>
    <w:p w14:paraId="4B6A6C14" w14:textId="77777777" w:rsidR="006E56A1" w:rsidRPr="0044524F" w:rsidRDefault="006E56A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4F8C7E2" w14:textId="77777777" w:rsidR="00AB1DA9" w:rsidRPr="00142305" w:rsidRDefault="00AB1DA9" w:rsidP="00AB1DA9">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мае 1933 года Правительством разрешено за</w:t>
      </w:r>
      <w:r w:rsidRPr="00142305">
        <w:rPr>
          <w:rStyle w:val="aff"/>
          <w:rFonts w:ascii="Times New Roman" w:hAnsi="Times New Roman" w:cs="Times New Roman"/>
          <w:color w:val="0070C0"/>
          <w:spacing w:val="0"/>
          <w:sz w:val="16"/>
          <w:szCs w:val="16"/>
        </w:rPr>
        <w:softHyphen/>
        <w:t>ключить договор на приобретении лицензии и техпомощи на мотор Райт-Циклон для про</w:t>
      </w:r>
      <w:r w:rsidRPr="00142305">
        <w:rPr>
          <w:rStyle w:val="aff"/>
          <w:rFonts w:ascii="Times New Roman" w:hAnsi="Times New Roman" w:cs="Times New Roman"/>
          <w:color w:val="0070C0"/>
          <w:spacing w:val="0"/>
          <w:sz w:val="16"/>
          <w:szCs w:val="16"/>
        </w:rPr>
        <w:softHyphen/>
        <w:t>изводства его в Союзе (25519).</w:t>
      </w:r>
    </w:p>
    <w:p w14:paraId="5718ED5C" w14:textId="77777777" w:rsidR="00AB1DA9" w:rsidRPr="00142305" w:rsidRDefault="00AB1DA9" w:rsidP="00AB1DA9">
      <w:pPr>
        <w:spacing w:after="0" w:line="240" w:lineRule="auto"/>
        <w:jc w:val="both"/>
        <w:rPr>
          <w:rFonts w:ascii="Times New Roman" w:hAnsi="Times New Roman"/>
          <w:color w:val="0070C0"/>
          <w:sz w:val="16"/>
          <w:szCs w:val="16"/>
        </w:rPr>
      </w:pPr>
    </w:p>
    <w:p w14:paraId="2D748E08" w14:textId="77777777" w:rsidR="00AB1DA9" w:rsidRPr="00142305" w:rsidRDefault="00AB1DA9" w:rsidP="00AB1DA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мае 1933 года соглашение с фирмой Райт было подтверждено специальным решением советского правительства. Впоследствии вышло еще несколько постановлений Комитета обороны и Совета Труда и Обороны (СТО) СССР, уточнявших количество закупав</w:t>
      </w:r>
      <w:r w:rsidRPr="00142305">
        <w:rPr>
          <w:rStyle w:val="aff"/>
          <w:rFonts w:ascii="Times New Roman" w:hAnsi="Times New Roman" w:cs="Times New Roman"/>
          <w:color w:val="0070C0"/>
          <w:spacing w:val="0"/>
          <w:sz w:val="16"/>
          <w:szCs w:val="16"/>
        </w:rPr>
        <w:softHyphen/>
        <w:t>шихся в США двигателей дюймового и метрического стандартов, комплектов деталей и наиболее важных узлов. В частности, постановлением СТО от 28 ноября 1933 г. предусматривалась закупка 150 готовых моторов, 100 комплектов деталей и приобретение наиболее сложных в изготовлении деталей еще на 100 двигателей – все на общую сумму 4 350 000 рублей (25145).</w:t>
      </w:r>
    </w:p>
    <w:p w14:paraId="6B79872B" w14:textId="77777777" w:rsidR="00AB1DA9" w:rsidRPr="00142305" w:rsidRDefault="00AB1DA9" w:rsidP="00AB1DA9">
      <w:pPr>
        <w:spacing w:after="0" w:line="240" w:lineRule="auto"/>
        <w:jc w:val="both"/>
        <w:rPr>
          <w:rFonts w:ascii="Times New Roman" w:hAnsi="Times New Roman"/>
          <w:color w:val="0070C0"/>
          <w:sz w:val="16"/>
          <w:szCs w:val="16"/>
        </w:rPr>
      </w:pPr>
    </w:p>
    <w:p w14:paraId="4CC1070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Г.К.Орджоникидзе посетил ЦАГИ и ознакомился с исследованиями в области создания новых типов военных самолетов (149,32).</w:t>
      </w:r>
    </w:p>
    <w:p w14:paraId="243716C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70724AA0"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Авиазавод ГРОСС был переименован в ХАЗОСС (Харьковский завод опытного самолетостроения) и передан в подчинение вновь образованного ВАО. 21.05.1932 г. ХАЗОСС объединён с серийным ХАЗом в единый опытный ХАЗ, директором/ гл. конструктором которого стал К.А. Калинин.</w:t>
      </w:r>
    </w:p>
    <w:p w14:paraId="6BA5D70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07.1934 г. ОКБ Калинина переведено в Воронеж на завод № 18.</w:t>
      </w:r>
    </w:p>
    <w:p w14:paraId="54363D5E"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1926-35 г. в КБ работал А.Я. Щербаков, возглавивший затем ОСК на заводе № 1.</w:t>
      </w:r>
    </w:p>
    <w:p w14:paraId="3FDD30A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1934-35 г. спроектированы истребители И-</w:t>
      </w:r>
      <w:r w:rsidRPr="0044524F">
        <w:rPr>
          <w:rFonts w:ascii="Times New Roman" w:hAnsi="Times New Roman"/>
          <w:color w:val="000000" w:themeColor="text1"/>
          <w:sz w:val="16"/>
          <w:szCs w:val="16"/>
          <w:lang w:val="en-US"/>
        </w:rPr>
        <w:t>Z</w:t>
      </w:r>
      <w:r w:rsidRPr="0044524F">
        <w:rPr>
          <w:rFonts w:ascii="Times New Roman" w:hAnsi="Times New Roman"/>
          <w:color w:val="000000" w:themeColor="text1"/>
          <w:sz w:val="16"/>
          <w:szCs w:val="16"/>
        </w:rPr>
        <w:t xml:space="preserve"> и ИП-1. В 06.1936 г. - проект ИП-2, в 09.1936 г. - ИП-3 (не были построены). В 1936-38 г. И. Г. Неманом разработан ХАИ-5 (Р-Ю). В 1938 г. - работы по достройке и испытаниям ХАИ-51 и ХАИ-52, в 1939 г. прекращены в связи с началом освоения Су-2.</w:t>
      </w:r>
    </w:p>
    <w:p w14:paraId="23A0CAB8"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(16.10.1929-21.05.32 г.)- К.А. Калинин.</w:t>
      </w:r>
    </w:p>
    <w:p w14:paraId="6A8DA9F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(12.12.1926-07.1934 г.)- К.А. Калинин, (1934-35 г.)- Д.П. Григорович {6.02.1883-26.07.1938}, (1936-11.12.1938 г.)- И. Г. Неман (репрессирован) {26.02.1903-52}, (12.1938 г.)- А.А. Дубровин (отказался от должности и уехал в Москву).</w:t>
      </w:r>
    </w:p>
    <w:p w14:paraId="57BE609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гл. конструктора (1933 г.)- А.Т. Руденко.</w:t>
      </w:r>
    </w:p>
    <w:p w14:paraId="3D8D58D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самолеты: К-1 (26.07.1925 г.), пассажирские К-2 (12.05.1927 г.), К-3, К-4, К-5 (18.10.1929 г.), К-6, бомбардировщик К-7 (21.08.1933 г.), К-9, К-10, К-12, К-13, К-14, разведчик ХАИ-5 (Р-10) (11982).</w:t>
      </w:r>
    </w:p>
    <w:p w14:paraId="729679A9"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11C639C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Л.В.Курчевский стал Нач. ОКБ ГАУ и полностью занял завод 8 в Подлипках и еще и получил завод 38 - через ж/д (2693,17).</w:t>
      </w:r>
    </w:p>
    <w:p w14:paraId="7CA2C0EF"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0AD07B8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реорганизовали авиацию ЧМ и все Дорнье Валь сосредоточились в 123 эскадрилье (2543,13).</w:t>
      </w:r>
    </w:p>
    <w:p w14:paraId="7B1F905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04F0DFC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были произведены организационно-штатные преобразования в морской авиации и переименования (1085,105).</w:t>
      </w:r>
    </w:p>
    <w:p w14:paraId="27C49EB2"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3D08D34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в Москве в Парке Горького установили первую в СССР парашютную вышку (271,1340).</w:t>
      </w:r>
    </w:p>
    <w:p w14:paraId="169D2E1F"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26FF1602"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года по постановлению правительства Красносельская мебельная фабрика № 1 была переоборудована для изготовления деревянных самолетных винтов, что по объему производства заняло 2-ой корпус фабрики.</w:t>
      </w:r>
    </w:p>
    <w:p w14:paraId="22FC0DC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1935 года фабрика № 1 была по постановлению Экономсовета переименована в завод № 161. В июле 1940 года завод № 161 на основании Постановления Правительства от 5 июля 1940 года № 1169-456с из системы Наркомлеса был передан в систему НКАП для производства авиасвечей и магнето.</w:t>
      </w:r>
    </w:p>
    <w:p w14:paraId="3AA9C7A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оборудование и приспособления для деревообработки были сняты. Завод подвергся полной реконструкции и 23 сентября 1940 года был пущен один цех № 6 (штамповочный) для выпуска новой продукции (9286).</w:t>
      </w:r>
    </w:p>
    <w:p w14:paraId="1E5D90F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068EFCCC" w14:textId="77777777" w:rsidR="00323684" w:rsidRPr="0044524F" w:rsidRDefault="00323684"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мае 1933 года закончили изготовление оболочки. Объем оболочки стратостата «СССР-1» составил 24340 м3 (обычно это значение округляли и писали 25000 м3), при подъеме на расчетную высоту оболочка расширялась и принимала форму шара диаметром 36 м.</w:t>
      </w:r>
    </w:p>
    <w:p w14:paraId="3684BFE7" w14:textId="77777777" w:rsidR="00323684" w:rsidRPr="0044524F" w:rsidRDefault="00323684" w:rsidP="009654CF">
      <w:pPr>
        <w:pStyle w:val="ae"/>
        <w:shd w:val="clear" w:color="auto" w:fill="FFFFFF"/>
        <w:spacing w:before="0" w:after="0"/>
        <w:jc w:val="both"/>
        <w:rPr>
          <w:color w:val="000000" w:themeColor="text1"/>
          <w:sz w:val="16"/>
          <w:szCs w:val="16"/>
        </w:rPr>
      </w:pPr>
      <w:r w:rsidRPr="0044524F">
        <w:rPr>
          <w:color w:val="000000" w:themeColor="text1"/>
          <w:sz w:val="16"/>
          <w:szCs w:val="16"/>
        </w:rPr>
        <w:t xml:space="preserve">Проектирование оболочки произвел начальник конструкторского отдела московского завода «Каучук» инженер К.Д.Годунов. Рабочее проектирование, разработку технологии, изготовление и предварительные испытания оболочки велись Научно-исследовательским институтом резиновой промышленности (НИИРП). Одновременно решались вопросы обеспечения прочности оболочки, покрытия внешней поверхности специальной краской на основе алюминиевой пудры для защиты от ультрафиолетового облучения и уменьшения нагрева газа. Когда опытные работы завершились, практическое изготовление оболочки перенесли на завод «Каучук». Особо отмечалось, что при значительном объеме удалось добиться ее незначительного веса – всего 950 кг. На неё пошло примерно 5000 погонных метров перкалевой материи производства Богородско-Глуховской мануфактуры, на которую нанесли тонкие слои специального резинового состава. Рецептуру и технологические процессы для изготовления ткани оболочки разработали сотрудники Научно-исследовательского института резиновой промышленности Е.Н.Кузина и Г.К.Левитина (19614). </w:t>
      </w:r>
    </w:p>
    <w:p w14:paraId="1DC2D7B0" w14:textId="77777777" w:rsidR="00323684" w:rsidRPr="0044524F" w:rsidRDefault="00323684" w:rsidP="009654CF">
      <w:pPr>
        <w:spacing w:after="0" w:line="240" w:lineRule="auto"/>
        <w:jc w:val="both"/>
        <w:rPr>
          <w:rFonts w:ascii="Times New Roman" w:hAnsi="Times New Roman"/>
          <w:color w:val="000000" w:themeColor="text1"/>
          <w:sz w:val="16"/>
          <w:szCs w:val="16"/>
        </w:rPr>
      </w:pPr>
    </w:p>
    <w:p w14:paraId="56D93B7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того же года после успешного завершения государственных приемных испытаний, которые подтвердили, что дирижабль В-5 удовлетворяет всем техническим требованиям, оговоренным в техническом задании на проектирование, В-5 был принят на эксплуатацию в гражданский воздушный флот. По конструкции В-5 во многом был схож с хорошо себя зарекомендовавшими итальянскими полужесткими дирижаблями. Неизменяемость формы мягкой оболочки, выполненной из двухслойной прорезиненной ткани и разделенной двумя поперечными перегородками на три отсека, обеспечивалась помимо перепада давления газа, поддерживаемого баллонетами, жесткой килевой фермой. Ферма была расположена под оболочкой, имела в поперечном сечении форму равнобедренного треугольника, обращенного вершиной вниз, и представляла собой набор жестких поперечных шпангоутов, соединенных по вершинам продольными стрингерами. К килевой ферме крепились носовое усиление, кормовое развитие с горизонтальными стабилизаторами и рулями высоты и нижний вертикальный стабилизатор с рулем направления. Верхний вертикальный стабилизатор был присоединен непосредственно к мягкой оболочке посредством матерчатых поясов и расчаливался по обе стороны тремя парами тросов. Гондола удобообтекаемой каплеобразной формы подвешивалась к килевой ферме с помощью пяти пар тросов. На борту имелся водяной балласт, помещавшийся в двух баках, емкостью 0,09 куб. м каждый. В 1933 году было выполнено более 100 полетов, показавших, что дирижабль В-5 обладал хорошими характеристиками устойчивости и управляемости во всем диапазоне встреченных метеорологических условий. В целом дирижабль выполнил поставленные перед ним задачи (10731).</w:t>
      </w:r>
    </w:p>
    <w:p w14:paraId="66CA93A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0490391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проект аэростата Осоавиахим-1 был пересмотрен в сторону увеличения: объем до 22.450 м</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xml:space="preserve"> при подъемной силе газа 1,15 кг/м3, предусматривался потолок 20.000 м. Причем, по заявлению инженера Васенко «все элементы, повышающие потолок, при расчете не учитывались», т. е. потолок за счет нагрева газа мог быть достигнут и выше 20.000 м. </w:t>
      </w:r>
    </w:p>
    <w:p w14:paraId="2BEA76F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июне месяце проект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кгр достигал зоны равновесия на 19.500 м. </w:t>
      </w:r>
    </w:p>
    <w:p w14:paraId="5CE23B7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17 августа 1934 г.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6E0F3ED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59EB4B79"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32BB3AC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53CB75C8"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Так в тексте; правильно: Васенко. </w:t>
      </w:r>
    </w:p>
    <w:p w14:paraId="3F72530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 Так в тексте; правильно: 1933 г. </w:t>
      </w:r>
    </w:p>
    <w:p w14:paraId="1FE8C19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 * Так в тексте; правильно: 1933 г. </w:t>
      </w:r>
    </w:p>
    <w:p w14:paraId="3F57633F"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 * Так в тексте; правильно: Васенко (11611).</w:t>
      </w:r>
    </w:p>
    <w:p w14:paraId="168733DE"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0EE2AB97"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Бюро по постройке стратостата «Осоавиахим-1» («ОАХ-1») было преобразовано в бригаду по строительству и эксплу</w:t>
      </w:r>
      <w:r w:rsidRPr="0044524F">
        <w:rPr>
          <w:rFonts w:ascii="Times New Roman" w:hAnsi="Times New Roman"/>
          <w:color w:val="000000" w:themeColor="text1"/>
          <w:sz w:val="16"/>
          <w:szCs w:val="16"/>
        </w:rPr>
        <w:softHyphen/>
        <w:t>атации стратостата, которую возглавил инже</w:t>
      </w:r>
      <w:r w:rsidRPr="0044524F">
        <w:rPr>
          <w:rFonts w:ascii="Times New Roman" w:hAnsi="Times New Roman"/>
          <w:color w:val="000000" w:themeColor="text1"/>
          <w:sz w:val="16"/>
          <w:szCs w:val="16"/>
        </w:rPr>
        <w:softHyphen/>
        <w:t>нер-пилот П.Ф. Федосеенко. В бригаду вошли: начальник работ — инженер Е.Е. Чертовской, старший инженер — А.Б. Васенко; руководи</w:t>
      </w:r>
      <w:r w:rsidRPr="0044524F">
        <w:rPr>
          <w:rFonts w:ascii="Times New Roman" w:hAnsi="Times New Roman"/>
          <w:color w:val="000000" w:themeColor="text1"/>
          <w:sz w:val="16"/>
          <w:szCs w:val="16"/>
        </w:rPr>
        <w:softHyphen/>
        <w:t>тель по внутреннему оборудованию — инженер Ю.К. Юцевич; руководитель по испытаниям — инженер К.С. Кирпичников; руководитель груп</w:t>
      </w:r>
      <w:r w:rsidRPr="0044524F">
        <w:rPr>
          <w:rFonts w:ascii="Times New Roman" w:hAnsi="Times New Roman"/>
          <w:color w:val="000000" w:themeColor="text1"/>
          <w:sz w:val="16"/>
          <w:szCs w:val="16"/>
        </w:rPr>
        <w:softHyphen/>
        <w:t>пы научно-полётной и аэронавигационной — В.Ю. Веспе; руководитель эксплуатационно-тех</w:t>
      </w:r>
      <w:r w:rsidRPr="0044524F">
        <w:rPr>
          <w:rFonts w:ascii="Times New Roman" w:hAnsi="Times New Roman"/>
          <w:color w:val="000000" w:themeColor="text1"/>
          <w:sz w:val="16"/>
          <w:szCs w:val="16"/>
        </w:rPr>
        <w:softHyphen/>
        <w:t>нической группы — Н.С. Дмитриев. Метеороло</w:t>
      </w:r>
      <w:r w:rsidRPr="0044524F">
        <w:rPr>
          <w:rFonts w:ascii="Times New Roman" w:hAnsi="Times New Roman"/>
          <w:color w:val="000000" w:themeColor="text1"/>
          <w:sz w:val="16"/>
          <w:szCs w:val="16"/>
        </w:rPr>
        <w:softHyphen/>
        <w:t>гическое обеспечение возлагалось на профессора П.А. Молчанова. Руководство научной програм</w:t>
      </w:r>
      <w:r w:rsidRPr="0044524F">
        <w:rPr>
          <w:rFonts w:ascii="Times New Roman" w:hAnsi="Times New Roman"/>
          <w:color w:val="000000" w:themeColor="text1"/>
          <w:sz w:val="16"/>
          <w:szCs w:val="16"/>
        </w:rPr>
        <w:softHyphen/>
        <w:t>мой полёта осуществлял академик А.Ф. Иоффе.</w:t>
      </w:r>
    </w:p>
    <w:p w14:paraId="28DD8B9C"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Тренировка экипажа и медицинская под</w:t>
      </w:r>
      <w:r w:rsidRPr="0044524F">
        <w:rPr>
          <w:rFonts w:ascii="Times New Roman" w:hAnsi="Times New Roman"/>
          <w:color w:val="000000" w:themeColor="text1"/>
          <w:sz w:val="16"/>
          <w:szCs w:val="16"/>
        </w:rPr>
        <w:softHyphen/>
        <w:t>готовка к полёту велась группой врачей Воен</w:t>
      </w:r>
      <w:r w:rsidRPr="0044524F">
        <w:rPr>
          <w:rFonts w:ascii="Times New Roman" w:hAnsi="Times New Roman"/>
          <w:color w:val="000000" w:themeColor="text1"/>
          <w:sz w:val="16"/>
          <w:szCs w:val="16"/>
        </w:rPr>
        <w:softHyphen/>
        <w:t>но-медицинской академии под руководством начальника кафедры физиологии академика Л.А. Орбели. Основные вопросы, связанные со строительством и подготовкой к полёту, реша</w:t>
      </w:r>
      <w:r w:rsidRPr="0044524F">
        <w:rPr>
          <w:rFonts w:ascii="Times New Roman" w:hAnsi="Times New Roman"/>
          <w:color w:val="000000" w:themeColor="text1"/>
          <w:sz w:val="16"/>
          <w:szCs w:val="16"/>
        </w:rPr>
        <w:softHyphen/>
        <w:t>лись Консультационным советом, составленным из представителей научных и инженерно-техни</w:t>
      </w:r>
      <w:r w:rsidRPr="0044524F">
        <w:rPr>
          <w:rFonts w:ascii="Times New Roman" w:hAnsi="Times New Roman"/>
          <w:color w:val="000000" w:themeColor="text1"/>
          <w:sz w:val="16"/>
          <w:szCs w:val="16"/>
        </w:rPr>
        <w:softHyphen/>
        <w:t>ческих сил Ленинграда.</w:t>
      </w:r>
    </w:p>
    <w:p w14:paraId="5641ABA6"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Главными задачами первого полёта были из</w:t>
      </w:r>
      <w:r w:rsidRPr="0044524F">
        <w:rPr>
          <w:rFonts w:ascii="Times New Roman" w:hAnsi="Times New Roman"/>
          <w:color w:val="000000" w:themeColor="text1"/>
          <w:sz w:val="16"/>
          <w:szCs w:val="16"/>
        </w:rPr>
        <w:softHyphen/>
        <w:t>учение космических лучей и фотосъёмка с боль</w:t>
      </w:r>
      <w:r w:rsidRPr="0044524F">
        <w:rPr>
          <w:rFonts w:ascii="Times New Roman" w:hAnsi="Times New Roman"/>
          <w:color w:val="000000" w:themeColor="text1"/>
          <w:sz w:val="16"/>
          <w:szCs w:val="16"/>
        </w:rPr>
        <w:softHyphen/>
        <w:t>ших высот. Планировалось также провести ис</w:t>
      </w:r>
      <w:r w:rsidRPr="0044524F">
        <w:rPr>
          <w:rFonts w:ascii="Times New Roman" w:hAnsi="Times New Roman"/>
          <w:color w:val="000000" w:themeColor="text1"/>
          <w:sz w:val="16"/>
          <w:szCs w:val="16"/>
        </w:rPr>
        <w:softHyphen/>
        <w:t>следование напряжённости магнитного поля и отбор проб воздуха на разных высотах.</w:t>
      </w:r>
    </w:p>
    <w:p w14:paraId="3062E030"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Оболочка стратостата объёмом 24 920 м3 и ди</w:t>
      </w:r>
      <w:r w:rsidRPr="0044524F">
        <w:rPr>
          <w:rFonts w:ascii="Times New Roman" w:hAnsi="Times New Roman"/>
          <w:color w:val="000000" w:themeColor="text1"/>
          <w:sz w:val="16"/>
          <w:szCs w:val="16"/>
        </w:rPr>
        <w:softHyphen/>
        <w:t>аметром 36,24 м состояла из 25 сегментов трапе</w:t>
      </w:r>
      <w:r w:rsidRPr="0044524F">
        <w:rPr>
          <w:rFonts w:ascii="Times New Roman" w:hAnsi="Times New Roman"/>
          <w:color w:val="000000" w:themeColor="text1"/>
          <w:sz w:val="16"/>
          <w:szCs w:val="16"/>
        </w:rPr>
        <w:softHyphen/>
        <w:t>цеидального раскроя, причём трапеции соседних сегментов располагались в шахматном порядке. Верхнюю часть оболочки, включая места крепле</w:t>
      </w:r>
      <w:r w:rsidRPr="0044524F">
        <w:rPr>
          <w:rFonts w:ascii="Times New Roman" w:hAnsi="Times New Roman"/>
          <w:color w:val="000000" w:themeColor="text1"/>
          <w:sz w:val="16"/>
          <w:szCs w:val="16"/>
        </w:rPr>
        <w:softHyphen/>
        <w:t>ния поясных лап, изготовили из двухслойного прорезиненного перкаля. Из него же выполнили пояс. Нижнюю часть оболочки сшили из одно</w:t>
      </w:r>
      <w:r w:rsidRPr="0044524F">
        <w:rPr>
          <w:rFonts w:ascii="Times New Roman" w:hAnsi="Times New Roman"/>
          <w:color w:val="000000" w:themeColor="text1"/>
          <w:sz w:val="16"/>
          <w:szCs w:val="16"/>
        </w:rPr>
        <w:softHyphen/>
        <w:t>слойного прорезиненного перкаля. Полный вес оболочки с аппендиксом, клапаном и разрывны</w:t>
      </w:r>
      <w:r w:rsidRPr="0044524F">
        <w:rPr>
          <w:rFonts w:ascii="Times New Roman" w:hAnsi="Times New Roman"/>
          <w:color w:val="000000" w:themeColor="text1"/>
          <w:sz w:val="16"/>
          <w:szCs w:val="16"/>
        </w:rPr>
        <w:softHyphen/>
        <w:t>ми лентами составлял 950 кг.</w:t>
      </w:r>
    </w:p>
    <w:p w14:paraId="5C3F65F5"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Оболочка имела пять аппендиксов: большой в нижнем полюсе — для выхода газа при расши</w:t>
      </w:r>
      <w:r w:rsidRPr="0044524F">
        <w:rPr>
          <w:rFonts w:ascii="Times New Roman" w:hAnsi="Times New Roman"/>
          <w:color w:val="000000" w:themeColor="text1"/>
          <w:sz w:val="16"/>
          <w:szCs w:val="16"/>
        </w:rPr>
        <w:softHyphen/>
        <w:t>рении, два малых боковых — для пропуска кла</w:t>
      </w:r>
      <w:r w:rsidRPr="0044524F">
        <w:rPr>
          <w:rFonts w:ascii="Times New Roman" w:hAnsi="Times New Roman"/>
          <w:color w:val="000000" w:themeColor="text1"/>
          <w:sz w:val="16"/>
          <w:szCs w:val="16"/>
        </w:rPr>
        <w:softHyphen/>
        <w:t>панной верёвки и разрывной вожжи, два малых (между экватором и поясными лапами) — для наполнения оболочки водородом.</w:t>
      </w:r>
    </w:p>
    <w:p w14:paraId="07373DA7"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верхней части оболочки, в области двух</w:t>
      </w:r>
      <w:r w:rsidRPr="0044524F">
        <w:rPr>
          <w:rFonts w:ascii="Times New Roman" w:hAnsi="Times New Roman"/>
          <w:color w:val="000000" w:themeColor="text1"/>
          <w:sz w:val="16"/>
          <w:szCs w:val="16"/>
        </w:rPr>
        <w:softHyphen/>
        <w:t>слойного прорезиненного перкаля были вклеены два разрывных полотнища в виде треугольника, направленного вершиной вверх, позволявшие в течение пяти минут выпустить газ из оболочки.</w:t>
      </w:r>
    </w:p>
    <w:p w14:paraId="6D44D461"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Гондола, оплетённая сеткой, подвешивалась на 8 стропах. Хотя каждая стропа одна выдержи</w:t>
      </w:r>
      <w:r w:rsidRPr="0044524F">
        <w:rPr>
          <w:rFonts w:ascii="Times New Roman" w:hAnsi="Times New Roman"/>
          <w:color w:val="000000" w:themeColor="text1"/>
          <w:sz w:val="16"/>
          <w:szCs w:val="16"/>
        </w:rPr>
        <w:softHyphen/>
        <w:t>вала вес гондолы, крепление не гарантировало гондолу от произвольного поворота в сетке под действием местных нагрузок.</w:t>
      </w:r>
    </w:p>
    <w:p w14:paraId="04948D98"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Гондола имела форму шара диаметром 2,4 м и весом около 160 кг и состояла из труб</w:t>
      </w:r>
      <w:r w:rsidRPr="0044524F">
        <w:rPr>
          <w:rFonts w:ascii="Times New Roman" w:hAnsi="Times New Roman"/>
          <w:color w:val="000000" w:themeColor="text1"/>
          <w:sz w:val="16"/>
          <w:szCs w:val="16"/>
        </w:rPr>
        <w:softHyphen/>
        <w:t>чатого каркаса и оболочки. Каркас из стальных трубок включал 10 стрингеров и 6 горизонталь</w:t>
      </w:r>
      <w:r w:rsidRPr="0044524F">
        <w:rPr>
          <w:rFonts w:ascii="Times New Roman" w:hAnsi="Times New Roman"/>
          <w:color w:val="000000" w:themeColor="text1"/>
          <w:sz w:val="16"/>
          <w:szCs w:val="16"/>
        </w:rPr>
        <w:softHyphen/>
        <w:t>ных шпангоутов. К каркасу сваркой крепилась оболочка из листовой стали толщиной 0,8 мм. Обшивка гондолы, помимо избыточного давле</w:t>
      </w:r>
      <w:r w:rsidRPr="0044524F">
        <w:rPr>
          <w:rFonts w:ascii="Times New Roman" w:hAnsi="Times New Roman"/>
          <w:color w:val="000000" w:themeColor="text1"/>
          <w:sz w:val="16"/>
          <w:szCs w:val="16"/>
        </w:rPr>
        <w:softHyphen/>
        <w:t>ния изнутри, воспринимала также все местные нагрузки от массы балласта, оборудования и эки</w:t>
      </w:r>
      <w:r w:rsidRPr="0044524F">
        <w:rPr>
          <w:rFonts w:ascii="Times New Roman" w:hAnsi="Times New Roman"/>
          <w:color w:val="000000" w:themeColor="text1"/>
          <w:sz w:val="16"/>
          <w:szCs w:val="16"/>
        </w:rPr>
        <w:softHyphen/>
        <w:t>пажа, что вызвало местные деформации.</w:t>
      </w:r>
    </w:p>
    <w:p w14:paraId="5208B98A"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верхнем полюсе гондолы имелся лаз диаме</w:t>
      </w:r>
      <w:r w:rsidRPr="0044524F">
        <w:rPr>
          <w:rFonts w:ascii="Times New Roman" w:hAnsi="Times New Roman"/>
          <w:color w:val="000000" w:themeColor="text1"/>
          <w:sz w:val="16"/>
          <w:szCs w:val="16"/>
        </w:rPr>
        <w:softHyphen/>
        <w:t>тром 800 мм, закрывавшийся изнутри люком. Вы</w:t>
      </w:r>
      <w:r w:rsidRPr="0044524F">
        <w:rPr>
          <w:rFonts w:ascii="Times New Roman" w:hAnsi="Times New Roman"/>
          <w:color w:val="000000" w:themeColor="text1"/>
          <w:sz w:val="16"/>
          <w:szCs w:val="16"/>
        </w:rPr>
        <w:softHyphen/>
        <w:t>ход в него осуществлялся по верёвочной лестни</w:t>
      </w:r>
      <w:r w:rsidRPr="0044524F">
        <w:rPr>
          <w:rFonts w:ascii="Times New Roman" w:hAnsi="Times New Roman"/>
          <w:color w:val="000000" w:themeColor="text1"/>
          <w:sz w:val="16"/>
          <w:szCs w:val="16"/>
        </w:rPr>
        <w:softHyphen/>
        <w:t>це. В целях экономии веса крышка люка не имела специального затворного механизма, а затягива</w:t>
      </w:r>
      <w:r w:rsidRPr="0044524F">
        <w:rPr>
          <w:rFonts w:ascii="Times New Roman" w:hAnsi="Times New Roman"/>
          <w:color w:val="000000" w:themeColor="text1"/>
          <w:sz w:val="16"/>
          <w:szCs w:val="16"/>
        </w:rPr>
        <w:softHyphen/>
        <w:t>лась на винтах, укреплённых в ободе люка гондо</w:t>
      </w:r>
      <w:r w:rsidRPr="0044524F">
        <w:rPr>
          <w:rFonts w:ascii="Times New Roman" w:hAnsi="Times New Roman"/>
          <w:color w:val="000000" w:themeColor="text1"/>
          <w:sz w:val="16"/>
          <w:szCs w:val="16"/>
        </w:rPr>
        <w:softHyphen/>
        <w:t>лы, 12 барашками. Уплотнителем для герметич</w:t>
      </w:r>
      <w:r w:rsidRPr="0044524F">
        <w:rPr>
          <w:rFonts w:ascii="Times New Roman" w:hAnsi="Times New Roman"/>
          <w:color w:val="000000" w:themeColor="text1"/>
          <w:sz w:val="16"/>
          <w:szCs w:val="16"/>
        </w:rPr>
        <w:softHyphen/>
        <w:t>ности служила резиновая прокладка в пазу обода люка. Для открытия люка требовалось отвернуть все барашки и затем снять крышку, на что даже в наземных условиях уходило несколько минут.</w:t>
      </w:r>
    </w:p>
    <w:p w14:paraId="33C2BB40"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Имелось шесть иллюминаторов диаметром 150 мм: четыре — в верхней полусфере гондолы, один — в нижней полусфере и один в нижнем полюсе (для наблюдений и фотосъёмки). В ил</w:t>
      </w:r>
      <w:r w:rsidRPr="0044524F">
        <w:rPr>
          <w:rFonts w:ascii="Times New Roman" w:hAnsi="Times New Roman"/>
          <w:color w:val="000000" w:themeColor="text1"/>
          <w:sz w:val="16"/>
          <w:szCs w:val="16"/>
        </w:rPr>
        <w:softHyphen/>
        <w:t>люминаторах использовались зеркальные стёкла толщиной 14 мм.</w:t>
      </w:r>
    </w:p>
    <w:p w14:paraId="5096511A"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Балласт (0,4 т свинцовой дроби) помещался внутри гондолы. Для сбрасывания его в гондоле имелись воронка и карман с трубой, выходившей через обшивку наружу. Дробь зачерпывали сов</w:t>
      </w:r>
      <w:r w:rsidRPr="0044524F">
        <w:rPr>
          <w:rFonts w:ascii="Times New Roman" w:hAnsi="Times New Roman"/>
          <w:color w:val="000000" w:themeColor="text1"/>
          <w:sz w:val="16"/>
          <w:szCs w:val="16"/>
        </w:rPr>
        <w:softHyphen/>
        <w:t>ком и засыпали в воронку, из которой она пере</w:t>
      </w:r>
      <w:r w:rsidRPr="0044524F">
        <w:rPr>
          <w:rFonts w:ascii="Times New Roman" w:hAnsi="Times New Roman"/>
          <w:color w:val="000000" w:themeColor="text1"/>
          <w:sz w:val="16"/>
          <w:szCs w:val="16"/>
        </w:rPr>
        <w:softHyphen/>
        <w:t>сыпалась в расположенный ниже карман. Затем кран между воронкой и карманом закрывался, и открывался кран между карманом и трубкой, так что дробь через трубку высыпалась наружу, не нарушая герметичность гондолы. Скорость сбро</w:t>
      </w:r>
      <w:r w:rsidRPr="0044524F">
        <w:rPr>
          <w:rFonts w:ascii="Times New Roman" w:hAnsi="Times New Roman"/>
          <w:color w:val="000000" w:themeColor="text1"/>
          <w:sz w:val="16"/>
          <w:szCs w:val="16"/>
        </w:rPr>
        <w:softHyphen/>
        <w:t>са балласта при наземных испытаниях составля</w:t>
      </w:r>
      <w:r w:rsidRPr="0044524F">
        <w:rPr>
          <w:rFonts w:ascii="Times New Roman" w:hAnsi="Times New Roman"/>
          <w:color w:val="000000" w:themeColor="text1"/>
          <w:sz w:val="16"/>
          <w:szCs w:val="16"/>
        </w:rPr>
        <w:softHyphen/>
        <w:t>ла 1 кг/с, что при опасном возрастании скорости спуска не позволяло быстро (менее чем за 7 ми</w:t>
      </w:r>
      <w:r w:rsidRPr="0044524F">
        <w:rPr>
          <w:rFonts w:ascii="Times New Roman" w:hAnsi="Times New Roman"/>
          <w:color w:val="000000" w:themeColor="text1"/>
          <w:sz w:val="16"/>
          <w:szCs w:val="16"/>
        </w:rPr>
        <w:softHyphen/>
        <w:t>нут) освободиться от всего балласта. Амортизато</w:t>
      </w:r>
      <w:r w:rsidRPr="0044524F">
        <w:rPr>
          <w:rFonts w:ascii="Times New Roman" w:hAnsi="Times New Roman"/>
          <w:color w:val="000000" w:themeColor="text1"/>
          <w:sz w:val="16"/>
          <w:szCs w:val="16"/>
        </w:rPr>
        <w:softHyphen/>
        <w:t>ром при посадке служила резиновая камера, кре</w:t>
      </w:r>
      <w:r w:rsidRPr="0044524F">
        <w:rPr>
          <w:rFonts w:ascii="Times New Roman" w:hAnsi="Times New Roman"/>
          <w:color w:val="000000" w:themeColor="text1"/>
          <w:sz w:val="16"/>
          <w:szCs w:val="16"/>
        </w:rPr>
        <w:softHyphen/>
        <w:t>пившаяся снизу к сетке, охватывавшей гондолу.</w:t>
      </w:r>
    </w:p>
    <w:p w14:paraId="31B23DE5"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работы экипажа в гондо</w:t>
      </w:r>
      <w:r w:rsidRPr="0044524F">
        <w:rPr>
          <w:rFonts w:ascii="Times New Roman" w:hAnsi="Times New Roman"/>
          <w:color w:val="000000" w:themeColor="text1"/>
          <w:sz w:val="16"/>
          <w:szCs w:val="16"/>
        </w:rPr>
        <w:softHyphen/>
        <w:t>ле предусматривался запас сжатого кислорода в 15-20 баллонах ёмкостью 0,8 л. В полу гондо</w:t>
      </w:r>
      <w:r w:rsidRPr="0044524F">
        <w:rPr>
          <w:rFonts w:ascii="Times New Roman" w:hAnsi="Times New Roman"/>
          <w:color w:val="000000" w:themeColor="text1"/>
          <w:sz w:val="16"/>
          <w:szCs w:val="16"/>
        </w:rPr>
        <w:softHyphen/>
        <w:t>лы размещалась система поглощения углекисло</w:t>
      </w:r>
      <w:r w:rsidRPr="0044524F">
        <w:rPr>
          <w:rFonts w:ascii="Times New Roman" w:hAnsi="Times New Roman"/>
          <w:color w:val="000000" w:themeColor="text1"/>
          <w:sz w:val="16"/>
          <w:szCs w:val="16"/>
        </w:rPr>
        <w:softHyphen/>
        <w:t>ты, через которую электрическим вентилятором прокачивался воздух.</w:t>
      </w:r>
    </w:p>
    <w:p w14:paraId="1DFD3FCD"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стратостате находилось разнообразное научное оборудование. Для исследования кос</w:t>
      </w:r>
      <w:r w:rsidRPr="0044524F">
        <w:rPr>
          <w:rFonts w:ascii="Times New Roman" w:hAnsi="Times New Roman"/>
          <w:color w:val="000000" w:themeColor="text1"/>
          <w:sz w:val="16"/>
          <w:szCs w:val="16"/>
        </w:rPr>
        <w:softHyphen/>
        <w:t>мических лучей предназначались камера Виль</w:t>
      </w:r>
      <w:r w:rsidRPr="0044524F">
        <w:rPr>
          <w:rFonts w:ascii="Times New Roman" w:hAnsi="Times New Roman"/>
          <w:color w:val="000000" w:themeColor="text1"/>
          <w:sz w:val="16"/>
          <w:szCs w:val="16"/>
        </w:rPr>
        <w:softHyphen/>
        <w:t>сона и два электрометра Гесса. Для исследования напряжённости магнитного поля Земли имел</w:t>
      </w:r>
      <w:r w:rsidRPr="0044524F">
        <w:rPr>
          <w:rFonts w:ascii="Times New Roman" w:hAnsi="Times New Roman"/>
          <w:color w:val="000000" w:themeColor="text1"/>
          <w:sz w:val="16"/>
          <w:szCs w:val="16"/>
        </w:rPr>
        <w:softHyphen/>
        <w:t>ся магнетрон профессора Яновского. Оборудо</w:t>
      </w:r>
      <w:r w:rsidRPr="0044524F">
        <w:rPr>
          <w:rFonts w:ascii="Times New Roman" w:hAnsi="Times New Roman"/>
          <w:color w:val="000000" w:themeColor="text1"/>
          <w:sz w:val="16"/>
          <w:szCs w:val="16"/>
        </w:rPr>
        <w:softHyphen/>
        <w:t>вание для фотосъёмки включало обычный и ши</w:t>
      </w:r>
      <w:r w:rsidRPr="0044524F">
        <w:rPr>
          <w:rFonts w:ascii="Times New Roman" w:hAnsi="Times New Roman"/>
          <w:color w:val="000000" w:themeColor="text1"/>
          <w:sz w:val="16"/>
          <w:szCs w:val="16"/>
        </w:rPr>
        <w:softHyphen/>
        <w:t>рокоформатный фотоаппараты. Имелся также фотометр для измерения прозрачности атмосфе</w:t>
      </w:r>
      <w:r w:rsidRPr="0044524F">
        <w:rPr>
          <w:rFonts w:ascii="Times New Roman" w:hAnsi="Times New Roman"/>
          <w:color w:val="000000" w:themeColor="text1"/>
          <w:sz w:val="16"/>
          <w:szCs w:val="16"/>
        </w:rPr>
        <w:softHyphen/>
        <w:t>ры и для оптических наблюдений. Для исследо</w:t>
      </w:r>
      <w:r w:rsidRPr="0044524F">
        <w:rPr>
          <w:rFonts w:ascii="Times New Roman" w:hAnsi="Times New Roman"/>
          <w:color w:val="000000" w:themeColor="text1"/>
          <w:sz w:val="16"/>
          <w:szCs w:val="16"/>
        </w:rPr>
        <w:softHyphen/>
        <w:t>вания химического состава атмосферы инженер М.В. Беженцев (ЛХТИ) разработал прибор для отбора проб воздуха, аналогичный установлен</w:t>
      </w:r>
      <w:r w:rsidRPr="0044524F">
        <w:rPr>
          <w:rFonts w:ascii="Times New Roman" w:hAnsi="Times New Roman"/>
          <w:color w:val="000000" w:themeColor="text1"/>
          <w:sz w:val="16"/>
          <w:szCs w:val="16"/>
        </w:rPr>
        <w:softHyphen/>
        <w:t>ному на «СССР-1». Гондолу оборудовали ртут</w:t>
      </w:r>
      <w:r w:rsidRPr="0044524F">
        <w:rPr>
          <w:rFonts w:ascii="Times New Roman" w:hAnsi="Times New Roman"/>
          <w:color w:val="000000" w:themeColor="text1"/>
          <w:sz w:val="16"/>
          <w:szCs w:val="16"/>
        </w:rPr>
        <w:softHyphen/>
        <w:t>ным чашечным барометром и микробарометра</w:t>
      </w:r>
      <w:r w:rsidRPr="0044524F">
        <w:rPr>
          <w:rFonts w:ascii="Times New Roman" w:hAnsi="Times New Roman"/>
          <w:color w:val="000000" w:themeColor="text1"/>
          <w:sz w:val="16"/>
          <w:szCs w:val="16"/>
        </w:rPr>
        <w:softHyphen/>
        <w:t>ми для измерения малых давлений на высоте. Два метеорографа для записи давления, темпера</w:t>
      </w:r>
      <w:r w:rsidRPr="0044524F">
        <w:rPr>
          <w:rFonts w:ascii="Times New Roman" w:hAnsi="Times New Roman"/>
          <w:color w:val="000000" w:themeColor="text1"/>
          <w:sz w:val="16"/>
          <w:szCs w:val="16"/>
        </w:rPr>
        <w:softHyphen/>
        <w:t>туры и влажности наружного воздуха поместили вне гондолы — на стропах между ней и оболоч</w:t>
      </w:r>
      <w:r w:rsidRPr="0044524F">
        <w:rPr>
          <w:rFonts w:ascii="Times New Roman" w:hAnsi="Times New Roman"/>
          <w:color w:val="000000" w:themeColor="text1"/>
          <w:sz w:val="16"/>
          <w:szCs w:val="16"/>
        </w:rPr>
        <w:softHyphen/>
        <w:t>кой. Вне гондолы были и два термографа: один — вблизи клапана, другой — вблизи аппендикса.</w:t>
      </w:r>
    </w:p>
    <w:p w14:paraId="17856B80"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Параллельно со строительством стратоста</w:t>
      </w:r>
      <w:r w:rsidRPr="0044524F">
        <w:rPr>
          <w:rFonts w:ascii="Times New Roman" w:hAnsi="Times New Roman"/>
          <w:color w:val="000000" w:themeColor="text1"/>
          <w:sz w:val="16"/>
          <w:szCs w:val="16"/>
        </w:rPr>
        <w:softHyphen/>
        <w:t>та шла подготовка и самих пилотов. 28 июля 1933 г. аэронавты поднялись с Волкова поля на сферическом аэростате, пилотируемом П.Ф. Федосеенко, с целью испытания приборов. Для А.Б. Васенко и И.Д. Усыскина это был пер</w:t>
      </w:r>
      <w:r w:rsidRPr="0044524F">
        <w:rPr>
          <w:rFonts w:ascii="Times New Roman" w:hAnsi="Times New Roman"/>
          <w:color w:val="000000" w:themeColor="text1"/>
          <w:sz w:val="16"/>
          <w:szCs w:val="16"/>
        </w:rPr>
        <w:softHyphen/>
        <w:t>вый свободный полёт.</w:t>
      </w:r>
    </w:p>
    <w:p w14:paraId="7479C0AC"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на заседании научно-экспертного консультационного совета обсуждался вопрос о замене люка с отдельными болтами на крепле</w:t>
      </w:r>
      <w:r w:rsidRPr="0044524F">
        <w:rPr>
          <w:rFonts w:ascii="Times New Roman" w:hAnsi="Times New Roman"/>
          <w:color w:val="000000" w:themeColor="text1"/>
          <w:sz w:val="16"/>
          <w:szCs w:val="16"/>
        </w:rPr>
        <w:softHyphen/>
        <w:t>ние с заклинением. П.Ф. Федосеенко возражал против новой конструкции, так как это означало бы постройку новой гондолы. Он рассчитывал на то, что при аварийном спуске оболочка страто</w:t>
      </w:r>
      <w:r w:rsidRPr="0044524F">
        <w:rPr>
          <w:rFonts w:ascii="Times New Roman" w:hAnsi="Times New Roman"/>
          <w:color w:val="000000" w:themeColor="text1"/>
          <w:sz w:val="16"/>
          <w:szCs w:val="16"/>
        </w:rPr>
        <w:softHyphen/>
        <w:t>стата превратится в парашют.</w:t>
      </w:r>
    </w:p>
    <w:p w14:paraId="7DE18902"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следующий день комиссия в составе П.Ф. Федосеенко, Е.Е. Чертовского и К.С. Кир- пичникова провела успешные испытания гондо</w:t>
      </w:r>
      <w:r w:rsidRPr="0044524F">
        <w:rPr>
          <w:rFonts w:ascii="Times New Roman" w:hAnsi="Times New Roman"/>
          <w:color w:val="000000" w:themeColor="text1"/>
          <w:sz w:val="16"/>
          <w:szCs w:val="16"/>
        </w:rPr>
        <w:softHyphen/>
        <w:t>лы на прочность и воздухонепроницаемость на заводе им. Сталина. Разрушение стёкол произо</w:t>
      </w:r>
      <w:r w:rsidRPr="0044524F">
        <w:rPr>
          <w:rFonts w:ascii="Times New Roman" w:hAnsi="Times New Roman"/>
          <w:color w:val="000000" w:themeColor="text1"/>
          <w:sz w:val="16"/>
          <w:szCs w:val="16"/>
        </w:rPr>
        <w:softHyphen/>
        <w:t>шло при давлении 0,46 МПа (при нормальном сверхдавлении 0,07 МПа). Одновременно прове</w:t>
      </w:r>
      <w:r w:rsidRPr="0044524F">
        <w:rPr>
          <w:rFonts w:ascii="Times New Roman" w:hAnsi="Times New Roman"/>
          <w:color w:val="000000" w:themeColor="text1"/>
          <w:sz w:val="16"/>
          <w:szCs w:val="16"/>
        </w:rPr>
        <w:softHyphen/>
        <w:t>ли продувку оболочки вентилятором (20120).</w:t>
      </w:r>
    </w:p>
    <w:p w14:paraId="5051FBC0" w14:textId="77777777" w:rsidR="003E339D" w:rsidRPr="0044524F" w:rsidRDefault="003E339D" w:rsidP="009654CF">
      <w:pPr>
        <w:shd w:val="clear" w:color="auto" w:fill="FFFFFF"/>
        <w:spacing w:after="0" w:line="240" w:lineRule="auto"/>
        <w:jc w:val="both"/>
        <w:rPr>
          <w:rFonts w:ascii="Times New Roman" w:hAnsi="Times New Roman"/>
          <w:color w:val="000000" w:themeColor="text1"/>
          <w:sz w:val="16"/>
          <w:szCs w:val="16"/>
        </w:rPr>
      </w:pPr>
    </w:p>
    <w:p w14:paraId="250B4D61" w14:textId="77777777" w:rsidR="00585C8D" w:rsidRPr="0044524F" w:rsidRDefault="00585C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бригада № 2 ГИРД приступила к ускоренному созда</w:t>
      </w:r>
      <w:r w:rsidRPr="0044524F">
        <w:rPr>
          <w:rFonts w:ascii="Times New Roman" w:hAnsi="Times New Roman"/>
          <w:color w:val="000000" w:themeColor="text1"/>
          <w:sz w:val="16"/>
          <w:szCs w:val="16"/>
        </w:rPr>
        <w:softHyphen/>
        <w:t>нию ракеты 09. Начали с огневых испытаний двигателя на стен</w:t>
      </w:r>
      <w:r w:rsidRPr="0044524F">
        <w:rPr>
          <w:rFonts w:ascii="Times New Roman" w:hAnsi="Times New Roman"/>
          <w:color w:val="000000" w:themeColor="text1"/>
          <w:sz w:val="16"/>
          <w:szCs w:val="16"/>
        </w:rPr>
        <w:softHyphen/>
        <w:t>де. Но чтобы добиться устойчивой тяги потребовалось пять ме</w:t>
      </w:r>
      <w:r w:rsidRPr="0044524F">
        <w:rPr>
          <w:rFonts w:ascii="Times New Roman" w:hAnsi="Times New Roman"/>
          <w:color w:val="000000" w:themeColor="text1"/>
          <w:sz w:val="16"/>
          <w:szCs w:val="16"/>
        </w:rPr>
        <w:softHyphen/>
        <w:t>сяцев.</w:t>
      </w:r>
    </w:p>
    <w:p w14:paraId="3DA44AFE" w14:textId="77777777" w:rsidR="00585C8D" w:rsidRPr="0044524F" w:rsidRDefault="00585C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этому времени гирдовцы уже поняли, что основные труд</w:t>
      </w:r>
      <w:r w:rsidRPr="0044524F">
        <w:rPr>
          <w:rFonts w:ascii="Times New Roman" w:hAnsi="Times New Roman"/>
          <w:color w:val="000000" w:themeColor="text1"/>
          <w:sz w:val="16"/>
          <w:szCs w:val="16"/>
        </w:rPr>
        <w:softHyphen/>
        <w:t>ности при создании ракетных двигателей на жидком топливе заключаются в том, что оба компонента топлива (горючее и окис</w:t>
      </w:r>
      <w:r w:rsidRPr="0044524F">
        <w:rPr>
          <w:rFonts w:ascii="Times New Roman" w:hAnsi="Times New Roman"/>
          <w:color w:val="000000" w:themeColor="text1"/>
          <w:sz w:val="16"/>
          <w:szCs w:val="16"/>
        </w:rPr>
        <w:softHyphen/>
        <w:t>литель) требуется подавать в камеру сгорания (КС) постепенно, в строго заданном соотношении.</w:t>
      </w:r>
    </w:p>
    <w:p w14:paraId="62DDDA6C" w14:textId="77777777" w:rsidR="00585C8D" w:rsidRPr="0044524F" w:rsidRDefault="00585C8D" w:rsidP="009654CF">
      <w:pPr>
        <w:spacing w:after="0" w:line="240" w:lineRule="auto"/>
        <w:jc w:val="both"/>
        <w:rPr>
          <w:rFonts w:ascii="Times New Roman" w:hAnsi="Times New Roman"/>
          <w:color w:val="000000" w:themeColor="text1"/>
          <w:sz w:val="16"/>
          <w:szCs w:val="16"/>
        </w:rPr>
      </w:pPr>
      <w:bookmarkStart w:id="17" w:name="_Hlk136330505"/>
      <w:r w:rsidRPr="0044524F">
        <w:rPr>
          <w:rFonts w:ascii="Times New Roman" w:hAnsi="Times New Roman"/>
          <w:color w:val="000000" w:themeColor="text1"/>
          <w:sz w:val="16"/>
          <w:szCs w:val="16"/>
        </w:rPr>
        <w:t>Обойти эту трудность в проекте 09 удалось благодаря при</w:t>
      </w:r>
      <w:r w:rsidRPr="0044524F">
        <w:rPr>
          <w:rFonts w:ascii="Times New Roman" w:hAnsi="Times New Roman"/>
          <w:color w:val="000000" w:themeColor="text1"/>
          <w:sz w:val="16"/>
          <w:szCs w:val="16"/>
        </w:rPr>
        <w:softHyphen/>
        <w:t>менению в качестве горю</w:t>
      </w:r>
      <w:r w:rsidRPr="0044524F">
        <w:rPr>
          <w:rFonts w:ascii="Times New Roman" w:hAnsi="Times New Roman"/>
          <w:color w:val="000000" w:themeColor="text1"/>
          <w:sz w:val="16"/>
          <w:szCs w:val="16"/>
        </w:rPr>
        <w:softHyphen/>
        <w:t>чего сгущенного бензина (в виде густого геля), который разработали по заказу ГИРД ученые-нефтяники в Баку. Они смешали бензин с кани</w:t>
      </w:r>
      <w:r w:rsidRPr="0044524F">
        <w:rPr>
          <w:rFonts w:ascii="Times New Roman" w:hAnsi="Times New Roman"/>
          <w:color w:val="000000" w:themeColor="text1"/>
          <w:sz w:val="16"/>
          <w:szCs w:val="16"/>
        </w:rPr>
        <w:softHyphen/>
        <w:t>фолью, смолой темного цвета, полученной из скипидара.</w:t>
      </w:r>
    </w:p>
    <w:p w14:paraId="74114D81" w14:textId="77777777" w:rsidR="00585C8D" w:rsidRPr="0044524F" w:rsidRDefault="00585C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Непосредственно перед за</w:t>
      </w:r>
      <w:r w:rsidRPr="0044524F">
        <w:rPr>
          <w:rFonts w:ascii="Times New Roman" w:hAnsi="Times New Roman"/>
          <w:color w:val="000000" w:themeColor="text1"/>
          <w:sz w:val="16"/>
          <w:szCs w:val="16"/>
        </w:rPr>
        <w:softHyphen/>
        <w:t>пуском двигателя гель распо</w:t>
      </w:r>
      <w:r w:rsidRPr="0044524F">
        <w:rPr>
          <w:rFonts w:ascii="Times New Roman" w:hAnsi="Times New Roman"/>
          <w:color w:val="000000" w:themeColor="text1"/>
          <w:sz w:val="16"/>
          <w:szCs w:val="16"/>
        </w:rPr>
        <w:softHyphen/>
        <w:t>лагали в КС кольцевым слоем вплотную к её внешним стен</w:t>
      </w:r>
      <w:r w:rsidRPr="0044524F">
        <w:rPr>
          <w:rFonts w:ascii="Times New Roman" w:hAnsi="Times New Roman"/>
          <w:color w:val="000000" w:themeColor="text1"/>
          <w:sz w:val="16"/>
          <w:szCs w:val="16"/>
        </w:rPr>
        <w:softHyphen/>
        <w:t>кам. Через перфорированную внутреннюю стенку гель по</w:t>
      </w:r>
      <w:r w:rsidRPr="0044524F">
        <w:rPr>
          <w:rFonts w:ascii="Times New Roman" w:hAnsi="Times New Roman"/>
          <w:color w:val="000000" w:themeColor="text1"/>
          <w:sz w:val="16"/>
          <w:szCs w:val="16"/>
        </w:rPr>
        <w:softHyphen/>
        <w:t>ступал в центр камеры (одно</w:t>
      </w:r>
      <w:r w:rsidRPr="0044524F">
        <w:rPr>
          <w:rFonts w:ascii="Times New Roman" w:hAnsi="Times New Roman"/>
          <w:color w:val="000000" w:themeColor="text1"/>
          <w:sz w:val="16"/>
          <w:szCs w:val="16"/>
        </w:rPr>
        <w:softHyphen/>
        <w:t>временно защищая внешние стенки от прогара). Из бака требовалось подавать только жидкий кислород. Он быстро испарялся при нормальной температуре, что позволило обойтись без насоса и акку</w:t>
      </w:r>
      <w:r w:rsidRPr="0044524F">
        <w:rPr>
          <w:rFonts w:ascii="Times New Roman" w:hAnsi="Times New Roman"/>
          <w:color w:val="000000" w:themeColor="text1"/>
          <w:sz w:val="16"/>
          <w:szCs w:val="16"/>
        </w:rPr>
        <w:softHyphen/>
        <w:t>мулятора давления: кислород поступал в КС под давлением соб</w:t>
      </w:r>
      <w:r w:rsidRPr="0044524F">
        <w:rPr>
          <w:rFonts w:ascii="Times New Roman" w:hAnsi="Times New Roman"/>
          <w:color w:val="000000" w:themeColor="text1"/>
          <w:sz w:val="16"/>
          <w:szCs w:val="16"/>
        </w:rPr>
        <w:softHyphen/>
        <w:t>ственных паров.</w:t>
      </w:r>
    </w:p>
    <w:p w14:paraId="56D739C2" w14:textId="77777777" w:rsidR="00585C8D" w:rsidRPr="0044524F" w:rsidRDefault="00585C8D" w:rsidP="009654CF">
      <w:pPr>
        <w:spacing w:after="0" w:line="240" w:lineRule="auto"/>
        <w:jc w:val="both"/>
        <w:rPr>
          <w:rFonts w:ascii="Times New Roman" w:hAnsi="Times New Roman"/>
          <w:color w:val="000000" w:themeColor="text1"/>
          <w:sz w:val="16"/>
          <w:szCs w:val="16"/>
        </w:rPr>
      </w:pPr>
      <w:bookmarkStart w:id="18" w:name="_Hlk136330535"/>
      <w:bookmarkEnd w:id="17"/>
      <w:r w:rsidRPr="0044524F">
        <w:rPr>
          <w:rFonts w:ascii="Times New Roman" w:hAnsi="Times New Roman"/>
          <w:color w:val="000000" w:themeColor="text1"/>
          <w:sz w:val="16"/>
          <w:szCs w:val="16"/>
        </w:rPr>
        <w:t>Параллельно с двигателем шла доводка порохового выбрасы</w:t>
      </w:r>
      <w:r w:rsidRPr="0044524F">
        <w:rPr>
          <w:rFonts w:ascii="Times New Roman" w:hAnsi="Times New Roman"/>
          <w:color w:val="000000" w:themeColor="text1"/>
          <w:sz w:val="16"/>
          <w:szCs w:val="16"/>
        </w:rPr>
        <w:softHyphen/>
        <w:t>вателя парашюта, а в аэродинамической трубе МАИ продували макеты корпуса ракеты без стабилизаторов и со стабилизаторами различной формы. Продувки позволили улучшить аэродинами</w:t>
      </w:r>
      <w:r w:rsidRPr="0044524F">
        <w:rPr>
          <w:rFonts w:ascii="Times New Roman" w:hAnsi="Times New Roman"/>
          <w:color w:val="000000" w:themeColor="text1"/>
          <w:sz w:val="16"/>
          <w:szCs w:val="16"/>
        </w:rPr>
        <w:softHyphen/>
        <w:t>ческую компоновку.</w:t>
      </w:r>
    </w:p>
    <w:p w14:paraId="19CFB6E6" w14:textId="77777777" w:rsidR="00585C8D" w:rsidRPr="0044524F" w:rsidRDefault="00585C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итоге получилась ракета длиной 260 см, диаметром 17,8 см. Стартовый вес 19 кг, проектная тяга двигателя 50 кг/сек.</w:t>
      </w:r>
    </w:p>
    <w:p w14:paraId="50A84CDA" w14:textId="77777777" w:rsidR="00585C8D" w:rsidRPr="0044524F" w:rsidRDefault="00585C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Собранную ракету привезли на инженерный полигон рядом с подмосковным поселком Нахабино 17 августа 1933 г. и устано</w:t>
      </w:r>
      <w:r w:rsidRPr="0044524F">
        <w:rPr>
          <w:rFonts w:ascii="Times New Roman" w:hAnsi="Times New Roman"/>
          <w:color w:val="000000" w:themeColor="text1"/>
          <w:sz w:val="16"/>
          <w:szCs w:val="16"/>
        </w:rPr>
        <w:softHyphen/>
        <w:t>вили в пусковой станок. Заправили сгущенный бензин и жидкий кислород. Давление в кислородном баллоне не достигло необхо</w:t>
      </w:r>
      <w:r w:rsidRPr="0044524F">
        <w:rPr>
          <w:rFonts w:ascii="Times New Roman" w:hAnsi="Times New Roman"/>
          <w:color w:val="000000" w:themeColor="text1"/>
          <w:sz w:val="16"/>
          <w:szCs w:val="16"/>
        </w:rPr>
        <w:softHyphen/>
        <w:t>димого значения из-за заклинившего клапана, и ракету запусти</w:t>
      </w:r>
      <w:r w:rsidRPr="0044524F">
        <w:rPr>
          <w:rFonts w:ascii="Times New Roman" w:hAnsi="Times New Roman"/>
          <w:color w:val="000000" w:themeColor="text1"/>
          <w:sz w:val="16"/>
          <w:szCs w:val="16"/>
        </w:rPr>
        <w:softHyphen/>
        <w:t>ли при давлении только 13,5 атмосфер. Тяга снизилась, но все же ракета вышла из станка и по вертикали устремилась вверх.</w:t>
      </w:r>
    </w:p>
    <w:p w14:paraId="639922FB" w14:textId="77777777" w:rsidR="00585C8D" w:rsidRPr="0044524F" w:rsidRDefault="00585C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длился всего лишь 18 секунд: на высоте около 400 метров прогорела стенка камеры сгорания и ракета, кувыркаясь, рухнула на землю. При пуске второго экземпляра осенью 1933 г. после подъёма пример</w:t>
      </w:r>
      <w:r w:rsidRPr="0044524F">
        <w:rPr>
          <w:rFonts w:ascii="Times New Roman" w:hAnsi="Times New Roman"/>
          <w:color w:val="000000" w:themeColor="text1"/>
          <w:sz w:val="16"/>
          <w:szCs w:val="16"/>
        </w:rPr>
        <w:softHyphen/>
        <w:t>но на 100 м взорвался двига</w:t>
      </w:r>
      <w:r w:rsidRPr="0044524F">
        <w:rPr>
          <w:rFonts w:ascii="Times New Roman" w:hAnsi="Times New Roman"/>
          <w:color w:val="000000" w:themeColor="text1"/>
          <w:sz w:val="16"/>
          <w:szCs w:val="16"/>
        </w:rPr>
        <w:softHyphen/>
        <w:t>тель. Тем не менее два полёта первой советской ракеты на жидком топливе состоялись! (23550).</w:t>
      </w:r>
    </w:p>
    <w:bookmarkEnd w:id="18"/>
    <w:p w14:paraId="04DFE495" w14:textId="77777777" w:rsidR="00585C8D" w:rsidRPr="0044524F" w:rsidRDefault="00585C8D" w:rsidP="009654CF">
      <w:pPr>
        <w:spacing w:after="0" w:line="240" w:lineRule="auto"/>
        <w:jc w:val="both"/>
        <w:rPr>
          <w:rFonts w:ascii="Times New Roman" w:hAnsi="Times New Roman"/>
          <w:color w:val="000000" w:themeColor="text1"/>
          <w:sz w:val="16"/>
          <w:szCs w:val="16"/>
        </w:rPr>
      </w:pPr>
    </w:p>
    <w:p w14:paraId="5BDD862B" w14:textId="77777777" w:rsidR="006E56A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C70F424" w14:textId="77777777" w:rsidR="006E56A1" w:rsidRPr="0044524F" w:rsidRDefault="006E56A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452DEB8" w14:textId="77777777" w:rsidR="000B1B08" w:rsidRPr="0044524F" w:rsidRDefault="000B1B08" w:rsidP="009654CF">
      <w:pPr>
        <w:pStyle w:val="a3"/>
        <w:rPr>
          <w:color w:val="000000" w:themeColor="text1"/>
          <w:lang w:val="ru-RU"/>
        </w:rPr>
      </w:pPr>
      <w:r w:rsidRPr="0044524F">
        <w:rPr>
          <w:color w:val="000000" w:themeColor="text1"/>
          <w:lang w:val="ru-RU"/>
        </w:rPr>
        <w:t>В мае 1933 г. создателя Курчевского назначили начальником Осо</w:t>
      </w:r>
      <w:r w:rsidRPr="0044524F">
        <w:rPr>
          <w:color w:val="000000" w:themeColor="text1"/>
          <w:lang w:val="ru-RU"/>
        </w:rPr>
        <w:softHyphen/>
        <w:t>бого конструкторского бюро Главного артиллерийского управления (ОКБ ГАУ), после чего эта организация обосновалась на заводе №8 в подмосковных Подлипках. Для расширения работ по ДРП Курчев- ский добился передачи ему еще одного предприятия из ведомства ГАУ - завода №38. Он располагался вблизи артзавода №8, что, вероятно, и явилось причиной повышенного внимания к нему со стороны Курчевского. В конце года «хозяйство» ОКБ ГАУ полностью перебралось на тер</w:t>
      </w:r>
      <w:r w:rsidRPr="0044524F">
        <w:rPr>
          <w:color w:val="000000" w:themeColor="text1"/>
          <w:lang w:val="ru-RU"/>
        </w:rPr>
        <w:softHyphen/>
        <w:t>риторию завода №38. Там же, неподале</w:t>
      </w:r>
      <w:r w:rsidRPr="0044524F">
        <w:rPr>
          <w:color w:val="000000" w:themeColor="text1"/>
          <w:lang w:val="ru-RU"/>
        </w:rPr>
        <w:softHyphen/>
        <w:t>ку, оборудовали полигон и аэродром, с которого летали и проводили отдельные испытания (15742).</w:t>
      </w:r>
    </w:p>
    <w:p w14:paraId="2A372A49" w14:textId="77777777" w:rsidR="000B1B08" w:rsidRPr="0044524F" w:rsidRDefault="000B1B08" w:rsidP="009654CF">
      <w:pPr>
        <w:pStyle w:val="a3"/>
        <w:rPr>
          <w:color w:val="000000" w:themeColor="text1"/>
          <w:lang w:val="ru-RU"/>
        </w:rPr>
      </w:pPr>
    </w:p>
    <w:p w14:paraId="215E0CA9" w14:textId="77777777" w:rsidR="000B1B08" w:rsidRPr="0044524F" w:rsidRDefault="000B1B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Курчевского назначили начальником Особого конструкторского бюро Главного артиллерийского управления, и ОКБ ГАУ полностью заняло завод No.8 в Подлипках. Для расширения работ по ДРП Курчевский добился передачи ему еще одного завода из ведомства ГАУ - No.38. Это предприятие располагается вблизи артзавода No.8 (если ехать в Подлипки на электричке, то завод No.8 стоит слева от дороги, а No.38 - почти напротив), что, вероятно, и явилось причиной повышенного внимания к нему со стороны Курчевского.</w:t>
      </w:r>
    </w:p>
    <w:p w14:paraId="30187694" w14:textId="77777777" w:rsidR="000B1B08" w:rsidRPr="0044524F" w:rsidRDefault="000B1B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Перешел к Курчевскому и Б.И.Черановский, который уже полтора десятка лет пестовал самолеты схемы "летающее крыло". Назывались они "параболы Черановского", так как передние кромки их крыльев выполнялись в виде параболы. Летали эти аппараты по-разному и, как это часто бывает у оригинальных разработок. не всегда удачно. Построенный в 1934 г. на заводе No.39 самолет БИЧ-14, последняя к тому времени "парабола", оказался очень сложным в пилотировании и требовал доводки. Понимания руководства эта работа не находила. Поэтому, узнав, что Управлению спецработ требуются идеи и конструкторы, Черановский предложил построить истребитель с АПК-4 по своей схеме. Конечно, широкое крыло "параболы" и отсутствие горизонтального оперения - идеальные условия для установки динамореактивных пушек, но, с другой стороны, "бесхвостка" очень чувствительна к изменению центровки. Результаты же испытаний И-Z и И-12 показали, что после израсходования боекомплекта центровка самолета становилась "недопустимо задней": у первого -36,3%, у второго - 37,3%. Тем не менее, этот истребитель Черановского, получивший обозначение БИЧ-17, строился. Самолет имел цельнодеревянную конструкцию, двигатель М-22 в 480 л.с. (предусматривалась установка в дальнейшем более мощного М-25), убираемое двухколесное шасси и закрытый фонарь. Вооружение - две АПК калибра 80 мм, установленных в крыле вне диска винта. Схема самолета парабола-низкоплан с 5 угла чайка на половине полуразмаха для лучшей путевой устойчивости (было проверено на моделях). Эта схема бесхвостого самолета была особо благоприятной для установки ДРП. Постройка была прекращена на 69% готовности (15560).</w:t>
      </w:r>
    </w:p>
    <w:p w14:paraId="3589D4AC" w14:textId="77777777" w:rsidR="000B1B08" w:rsidRPr="0044524F" w:rsidRDefault="000B1B08" w:rsidP="009654CF">
      <w:pPr>
        <w:spacing w:after="0" w:line="240" w:lineRule="auto"/>
        <w:jc w:val="both"/>
        <w:rPr>
          <w:rFonts w:ascii="Times New Roman" w:hAnsi="Times New Roman"/>
          <w:color w:val="000000" w:themeColor="text1"/>
          <w:sz w:val="16"/>
          <w:szCs w:val="16"/>
        </w:rPr>
      </w:pPr>
    </w:p>
    <w:p w14:paraId="0F37043F" w14:textId="77777777" w:rsidR="00AB1DA9" w:rsidRPr="00142305" w:rsidRDefault="00AB1DA9" w:rsidP="00AB1D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1933 г. Курчевского назначили начальником Особого конструкторского бюро Главного артиллерийского управления, и ОКБ ГАУ полностью заняло завод No.8 в Подлипках. Для расширения работ по ДРП Курчевский добился передачи ему еще одного завода из ведомства ГАУ — No.38. Это предприятие располагается вблизи артзавода No.8 (если ехать в Подлипки на электричке, то завод No.8 стоит слева от дороги, а No.38 — почти напротив), что, вероятно, и явилось причиной повышенного внимания к нему со стороны Курчевского.</w:t>
      </w:r>
    </w:p>
    <w:p w14:paraId="4CAAADDE" w14:textId="77777777" w:rsidR="00AB1DA9" w:rsidRPr="00142305" w:rsidRDefault="00AB1DA9" w:rsidP="00AB1D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Перешел к Курчевскому и Б.И.Черановский, который уже полтора десятка лет пестовал самолеты схемы "летающее крыло". Назывались они "параболы Черановского", так как передние кромки их крыльев выполнялись в виде параболы. Летали эти аппараты по-разному и, как это часто бывает у оригинальных разработок. не всегда удачно. Построенный в 1934 г. на заводе No.39 самолет БИЧ-14, последняя к тому времени "парабола", оказался очень сложным в пилотировании и требовал доводки. Понимания руководства эта работа не находила. Поэтому, узнав, что Управлению спецработ требуются идеи и конструкторы, Черановский </w:t>
      </w:r>
      <w:r w:rsidRPr="00142305">
        <w:rPr>
          <w:rFonts w:ascii="Times New Roman" w:hAnsi="Times New Roman"/>
          <w:color w:val="0070C0"/>
          <w:sz w:val="16"/>
          <w:szCs w:val="16"/>
        </w:rPr>
        <w:lastRenderedPageBreak/>
        <w:t>предложил построить истребитель с АПК-4 по своей схеме. Конечно, широкое крыло "параболы" и отсутствие горизонтального оперения — идеальные условия для установки динамореактивных пушек, но, с другой стороны, "бесхвостка" очень чувствительна к изменению центровки. Результаты же испытаний И-Z и И-12 показали, что после израсходования боекомплекта центровка самолета становилась "недопустимо задней": у первого -36,3%, у второго — 37,3%. Тем не менее, этот истребитель Черановского, получивший обозначение БИЧ-17, строился.</w:t>
      </w:r>
    </w:p>
    <w:p w14:paraId="4ADCF457" w14:textId="77777777" w:rsidR="00AB1DA9" w:rsidRPr="00142305" w:rsidRDefault="00AB1DA9" w:rsidP="00AB1DA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имел цельнодеревянную конструкцию, двигатель М-22 в 480 л.с. (предусматривалась установка в дальнейшем более мощного М-25), убираемое двухколесное шасси и закрытый фонарь. Вооружение — две АПК калибра 80 мм, установленных в крыле вне диска винта. Схема самолета парабола-низкоплан с 5 угла чайка на половине полуразмаха для лучшей путевой устойчивости (было проверено на моделях). Эта схема бесхвостого самолета была особо благоприятной для установки ДРП. Постройка была прекращена на 69% готовности (25306).</w:t>
      </w:r>
    </w:p>
    <w:p w14:paraId="19968D84" w14:textId="77777777" w:rsidR="00AB1DA9" w:rsidRPr="00142305" w:rsidRDefault="00AB1DA9" w:rsidP="00AB1DA9">
      <w:pPr>
        <w:spacing w:after="0" w:line="240" w:lineRule="auto"/>
        <w:jc w:val="both"/>
        <w:rPr>
          <w:rFonts w:ascii="Times New Roman" w:hAnsi="Times New Roman"/>
          <w:color w:val="0070C0"/>
          <w:sz w:val="16"/>
          <w:szCs w:val="16"/>
        </w:rPr>
      </w:pPr>
    </w:p>
    <w:p w14:paraId="03B09A3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несмотря на отдельные недостатки в работе полуавтоматики 76 мм пушка ПС-3 П.Сячентова была принята на вооружение под индексом «танковая пушка обр. 1933 г.» и Кировскому заводу была поставлена задача по освоению ее серийного производства. Интересной особенностью пушки ПС-3 была ее способность поглощать выстрелы не только полкового орудия обр. 1927 г., но и штатные выстрелы дивизионной пушки обр. 1902 г., даже с зарядом пороха в 935 г., в то время как пушка КТ могла использовать только выстрелы «полковушки» обр. 1927 г. с зарядом пороха 475 г. Еще одним важным преимуществом ПС-3 был клиновой полуавтоматический затвор, обеспечивающий нормальное заряжание орудия с места и в движении танка одним человеком, тогда как в пушке КТ все это было очень и очень затруднительно. Пушка же КТ (выполненная на основе конструкции полковой пушки обр. 1927 г.) была допущена для вооружения танков Т-35 и Т-28 «вплоть до начала массового выпуска 76,2-мм специальной танковой пушки по типу ПС-3», поскольку маски у них были почти одинаковыми. Интересна также фраза , отмеченная в отчете по 76-мм танковым пушкам 1934 г. «универсальная танковая пушка типа «Л» - технически несовершенна, обладает большим количеством недостатков. Разработку пушки типа «Л» немедленно прекратить.» ПС-3 была СПЕЦИАЛЬНОЙ ТАНКОВОЙ пушкой, так как имела свою оригинальную баллистику и была специально приспособлена именно и только для установки в танке. Несмотря на то, что пушка ПС-3 уже была принята на вооружение, работы по ее доводке активно продолжались. Первоначально их вел сам конструктор, но с началом серийного производства и назначением П.Сячинтова начальником секции «спецмашин и самоходов» Управления Моторизации и Механизации, все работы по ПС-3 были переданы с ОКМО на КБ Кировского завода (6208, 42).</w:t>
      </w:r>
    </w:p>
    <w:p w14:paraId="2918C749"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36A201CE" w14:textId="7F82E182" w:rsidR="006E56A1" w:rsidRPr="0044524F" w:rsidRDefault="006E56A1" w:rsidP="009654CF">
      <w:pPr>
        <w:tabs>
          <w:tab w:val="left" w:pos="1153"/>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мая 1933 г. на Путиловском заводе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Ленинград;</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Челябинск/ /198097</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Ленинград,</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г. Санкт-Петербург пр. Стачек, д. 47 тел. 183-80-01/). начато освоение производства танковой пушки ПС-3, в 1938 г. она снята с вооружения в связи с арестом П. Сячинтова. В 1935-36 г. конструкторами П. Сячинтовым и ЛИ. Горлицким под руководством С.А. Маханова на базе ПС-19 создана 76-мм пушка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 xml:space="preserve">-7 для Т-28, велись работы по универсальной 76-мм пушке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 xml:space="preserve">-10 (1938 г.). В 1938 г. на базе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 xml:space="preserve">-10 создана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-11, в 04.1939 г. он пнв для танков Т-28 и БТ-7А, но затем снята с вооружения из-за конструктивных недостатков (11982).</w:t>
      </w:r>
    </w:p>
    <w:p w14:paraId="002BFDD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32B648A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года в соответствии с Постановлением Правительства СССР серийное производство Т-35 было передано на Харьковский паровозостроительный завод имени Коминтерна (ХПЗ) (3862).</w:t>
      </w:r>
    </w:p>
    <w:p w14:paraId="160DC17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28C43DE3" w14:textId="77777777" w:rsidR="00006C61" w:rsidRPr="0044524F" w:rsidRDefault="00006C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в соответствии с Постановлением Правительства СССР серийное производство Т-35 было передано на Харьковский паровозостроительный завод имени Коминтерна (ХПЗ). Туда в начале июня 1933 г. в срочном порядке отправили еще не прошедшую испытания машину Т-35—2 и всю рабочую документацию по Т-35А. Проект последнего значительно отличался от обоих прототипов. Танк имел удлиненную на одну тележку ходовую часть, малые пулеметные башни новой конструкции, средние башни увеличенного размера с 45-мм орудиями 20К, измененную форму корпуса и т.д (15117).</w:t>
      </w:r>
    </w:p>
    <w:p w14:paraId="0B86FBC5" w14:textId="77777777" w:rsidR="00006C61" w:rsidRPr="0044524F" w:rsidRDefault="00006C61" w:rsidP="009654CF">
      <w:pPr>
        <w:spacing w:after="0" w:line="240" w:lineRule="auto"/>
        <w:jc w:val="both"/>
        <w:rPr>
          <w:rFonts w:ascii="Times New Roman" w:hAnsi="Times New Roman"/>
          <w:color w:val="000000" w:themeColor="text1"/>
          <w:sz w:val="16"/>
          <w:szCs w:val="16"/>
        </w:rPr>
      </w:pPr>
    </w:p>
    <w:p w14:paraId="6E7F6AE9"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1933 года в соответствии с постановлением Прави</w:t>
      </w:r>
      <w:r w:rsidRPr="00142305">
        <w:rPr>
          <w:rFonts w:ascii="Times New Roman" w:hAnsi="Times New Roman"/>
          <w:color w:val="0070C0"/>
          <w:sz w:val="16"/>
          <w:szCs w:val="16"/>
        </w:rPr>
        <w:softHyphen/>
        <w:t>тельства СССР, серийное про</w:t>
      </w:r>
      <w:r w:rsidRPr="00142305">
        <w:rPr>
          <w:rFonts w:ascii="Times New Roman" w:hAnsi="Times New Roman"/>
          <w:color w:val="0070C0"/>
          <w:sz w:val="16"/>
          <w:szCs w:val="16"/>
        </w:rPr>
        <w:softHyphen/>
        <w:t>изводство Т-35 передавалось на Харьковский паровозостроительный завод имени Комин</w:t>
      </w:r>
      <w:r w:rsidRPr="00142305">
        <w:rPr>
          <w:rFonts w:ascii="Times New Roman" w:hAnsi="Times New Roman"/>
          <w:color w:val="0070C0"/>
          <w:sz w:val="16"/>
          <w:szCs w:val="16"/>
        </w:rPr>
        <w:softHyphen/>
        <w:t>терна (ХПЗ). Туда в начале июня 1933 года в срочном порядке отправили еще не про</w:t>
      </w:r>
      <w:r w:rsidRPr="00142305">
        <w:rPr>
          <w:rFonts w:ascii="Times New Roman" w:hAnsi="Times New Roman"/>
          <w:color w:val="0070C0"/>
          <w:sz w:val="16"/>
          <w:szCs w:val="16"/>
        </w:rPr>
        <w:softHyphen/>
        <w:t>шедшую испытаний машину Т-35-2 и всю ра</w:t>
      </w:r>
      <w:r w:rsidRPr="00142305">
        <w:rPr>
          <w:rFonts w:ascii="Times New Roman" w:hAnsi="Times New Roman"/>
          <w:color w:val="0070C0"/>
          <w:sz w:val="16"/>
          <w:szCs w:val="16"/>
        </w:rPr>
        <w:softHyphen/>
        <w:t>бочую документацию по Т-35А (25014).</w:t>
      </w:r>
    </w:p>
    <w:p w14:paraId="29354CA1" w14:textId="77777777" w:rsidR="0098523B" w:rsidRPr="00142305" w:rsidRDefault="0098523B" w:rsidP="0098523B">
      <w:pPr>
        <w:spacing w:after="0" w:line="240" w:lineRule="auto"/>
        <w:jc w:val="both"/>
        <w:rPr>
          <w:rFonts w:ascii="Times New Roman" w:hAnsi="Times New Roman"/>
          <w:color w:val="0070C0"/>
          <w:sz w:val="16"/>
          <w:szCs w:val="16"/>
        </w:rPr>
      </w:pPr>
    </w:p>
    <w:p w14:paraId="547560E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на ХПЗ был закончен проект по увеличению запаса топлива на БТ за счет двойного дна, а также установка дополнительного бака в корме (3880,19).</w:t>
      </w:r>
    </w:p>
    <w:p w14:paraId="36142BF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3EE710E6" w14:textId="77777777" w:rsidR="006E56A1" w:rsidRPr="0044524F" w:rsidRDefault="006E56A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был установлен порог мощности но</w:t>
      </w:r>
      <w:r w:rsidRPr="0044524F">
        <w:rPr>
          <w:rFonts w:ascii="Times New Roman" w:hAnsi="Times New Roman"/>
          <w:color w:val="000000" w:themeColor="text1"/>
          <w:sz w:val="16"/>
          <w:szCs w:val="16"/>
        </w:rPr>
        <w:softHyphen/>
        <w:t>вого мотора в 92 л.с. (часто писали 90 л.с.), который новый мотор легко одолел. При этом эксплуатационная мощность мотора составляла 75 л.с. Именно таким «железным сердцем» и оборудовались почти все Т-26 с цилиндрической пушечной башней (10733,218).</w:t>
      </w:r>
    </w:p>
    <w:p w14:paraId="4180188D" w14:textId="77777777" w:rsidR="006E56A1" w:rsidRPr="0044524F" w:rsidRDefault="006E56A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3AC09F" w14:textId="77777777" w:rsidR="006E56A1" w:rsidRPr="0044524F" w:rsidRDefault="006E56A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маю 1933 проект танка, получившего индекс КТ-26, и его ходовой макет были предъявлены УММ, которое для рас</w:t>
      </w:r>
      <w:r w:rsidRPr="0044524F">
        <w:rPr>
          <w:rFonts w:ascii="Times New Roman" w:hAnsi="Times New Roman"/>
          <w:color w:val="000000" w:themeColor="text1"/>
          <w:sz w:val="16"/>
          <w:szCs w:val="16"/>
        </w:rPr>
        <w:softHyphen/>
        <w:t>смотрения полученных материалов созвало Техсовет, конс</w:t>
      </w:r>
      <w:r w:rsidRPr="0044524F">
        <w:rPr>
          <w:rFonts w:ascii="Times New Roman" w:hAnsi="Times New Roman"/>
          <w:color w:val="000000" w:themeColor="text1"/>
          <w:sz w:val="16"/>
          <w:szCs w:val="16"/>
        </w:rPr>
        <w:softHyphen/>
        <w:t>татировавший, что для реализации требований проекта слушатели ВАММ под руководством М. Данченко и В. Степаницкого «провели большую и успешную работу». Они разработали новую пятискоростную КПП и ходовую часть, сочетающую как гусеничный, так и колесный ход. Броне-корпус был в целом сохранен, лишь в носовой части он был сужен до 300 мм для осуществления поворотов передней пары катков при движении танка на колесном ходу. Так как башню танка предполагалось использовать без изменений от танка Т-26, то с сохранением его вооружения вопросов не возникало. МТО танка сохраняло двигатель воздушного охлажде</w:t>
      </w:r>
      <w:r w:rsidRPr="0044524F">
        <w:rPr>
          <w:rFonts w:ascii="Times New Roman" w:hAnsi="Times New Roman"/>
          <w:color w:val="000000" w:themeColor="text1"/>
          <w:sz w:val="16"/>
          <w:szCs w:val="16"/>
        </w:rPr>
        <w:softHyphen/>
        <w:t>ния Т-26 мощностью 90 л.с., а трансмиссия, помимо новой 5-ступенчатой КПП, получила также два карданных вала для обеспечения колесного хода, простой дифференциал с дополнительным редуктором, бортовой редуктор привода от дифференциала к гитарам, две гитары и новый механизм быстрого перехода с гусеничного хода на колесный. Ходовая часть танка содержала три пары опорных кат</w:t>
      </w:r>
      <w:r w:rsidRPr="0044524F">
        <w:rPr>
          <w:rFonts w:ascii="Times New Roman" w:hAnsi="Times New Roman"/>
          <w:color w:val="000000" w:themeColor="text1"/>
          <w:sz w:val="16"/>
          <w:szCs w:val="16"/>
        </w:rPr>
        <w:softHyphen/>
        <w:t>ков диаметром 780 мм с внешней резиновой ошиновкой, два штатных ведущих колеса танка Т-26 и два направляю</w:t>
      </w:r>
      <w:r w:rsidRPr="0044524F">
        <w:rPr>
          <w:rFonts w:ascii="Times New Roman" w:hAnsi="Times New Roman"/>
          <w:color w:val="000000" w:themeColor="text1"/>
          <w:sz w:val="16"/>
          <w:szCs w:val="16"/>
        </w:rPr>
        <w:softHyphen/>
        <w:t>щих колеса диаметром 535 мм. Однако, по мнению Техсовета УММ, танк не отвечал требованиям оперативной подвижности, так как с двигате</w:t>
      </w:r>
      <w:r w:rsidRPr="0044524F">
        <w:rPr>
          <w:rFonts w:ascii="Times New Roman" w:hAnsi="Times New Roman"/>
          <w:color w:val="000000" w:themeColor="text1"/>
          <w:sz w:val="16"/>
          <w:szCs w:val="16"/>
        </w:rPr>
        <w:softHyphen/>
        <w:t>лем 90 л.с. при массе свыше 10 т никак не мог развивать скорость свыше 40 км/ч. Кроме того, были обнаружены множественные ошибки в прочностном расчете КПП и трансмиссии колесного хода. Поэтому от изготовления опытного образца КТ-26 было решено отказаться (10733,307).</w:t>
      </w:r>
    </w:p>
    <w:p w14:paraId="6AFC8713" w14:textId="77777777" w:rsidR="006E56A1" w:rsidRPr="0044524F" w:rsidRDefault="006E56A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4D6D2A5"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мае 1933 года универсальный гусеничный трактор «Комсомолец» (не путать с тягачом Т-20) с опытным дизелем был построен на СТЗ, но оказался не совсем удачным, и не столько по своей конструкции (увеличенная масса, неудобная компоновка, недове-денность двигателя, малая надежность агрегатов), сколько по общему замыслу, Выяснилось, что совместить в одной машине противоречивые требования к принципиально различным условиям эксплуатации невозможно. От идеи универсальной машины пришлось отказаться, но спроектировать два трактора — сельскохозяйственный и транспортный, максимально унифицированных по своим основным агрегатам, способных выпускаться параллельно на одном конвейере, представлялось тогда реальным. </w:t>
      </w:r>
    </w:p>
    <w:p w14:paraId="705BEFC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этой инициативой и выступили летом 1933 года конструкторы НАТИ. Ими предлагалась обратная поузловая унификация, когда сельскохозяйственный вариант трактора получал элементы трансмиссии и ходовой части, более характерные для быстроходной гусеничной машины; четырехступенчатую коробку передач с возможностью увеличения числа ступеней, двухкат-ковые блокированные пружино-балансирные каретки подвески, легкие и ажурные литые траки гусениц, торцевой отбор мощности, закрытую кабину (Через несколько десятков лет, когда потребовались более высокие рабочие скорости сельскохозяйственных тракторов, эти удачно выбранные конструктивные элементы оказались для них очень уместными). Эти прогрессивные решения, заложенные в конструкцию транспортного трактора, при его ограниченных сцепных возможностях и мощности двигателя, не обеспечивали выполнения всех требований к полноценному среднему артиллерийскому тягачу для армии, но позволяли в определенной мере содействовать решению транспортных задач. </w:t>
      </w:r>
    </w:p>
    <w:p w14:paraId="1209F45E"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двух видов тракторов под общим руководством В.Я.Слонимского (НАТИ) велась параллельно в течение двух лет на СТЗ объединенным КБ (30 человек), куда входили заводские инженеры и прикомандированные к ним работники института. Большой вклад в создание транспортного трактора СТЗ-НАТИ 2ТВ (чаще использовалось заводское название СТЗ-5) внесли конструкторы И.И.Дронг, В.А.Кэр-гополов, Г.Ф.Матюков и Г.В.Соколов — от СТЗ; А.В.Васильев, В.Э.Малаховский, Д.А.Чудаков и В.Н.Тюляев - от НАТИ (11639).</w:t>
      </w:r>
    </w:p>
    <w:p w14:paraId="22F07C9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7EE94AEE" w14:textId="77777777" w:rsidR="006E56A1" w:rsidRPr="0044524F" w:rsidRDefault="006E56A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мая по сентябрь 1933 года нервый опытный дизель-мотор ХПЗ БД-1 проходил стендо</w:t>
      </w:r>
      <w:r w:rsidRPr="0044524F">
        <w:rPr>
          <w:rFonts w:ascii="Times New Roman" w:hAnsi="Times New Roman"/>
          <w:color w:val="000000" w:themeColor="text1"/>
          <w:sz w:val="16"/>
          <w:szCs w:val="16"/>
        </w:rPr>
        <w:softHyphen/>
        <w:t>вые испытания. К 1 мая 1933 года быстроходный дизель БД-1 был собран. Помня свой богатый опыт неудач, начиная с Д-40, Челпан и Вихман приготовились к тому, что, во-первых, он сразу же не запустится, а во-вторых, долго не проработает. А проработать на испытаниях согласно техническому зада</w:t>
      </w:r>
      <w:r w:rsidRPr="0044524F">
        <w:rPr>
          <w:rFonts w:ascii="Times New Roman" w:hAnsi="Times New Roman"/>
          <w:color w:val="000000" w:themeColor="text1"/>
          <w:sz w:val="16"/>
          <w:szCs w:val="16"/>
        </w:rPr>
        <w:softHyphen/>
        <w:t>нию на дизель Д-300 мотор должен был целых 150 часов. Неожиданно мотор сразу запустился и начал работать, словно это на</w:t>
      </w:r>
      <w:r w:rsidRPr="0044524F">
        <w:rPr>
          <w:rFonts w:ascii="Times New Roman" w:hAnsi="Times New Roman"/>
          <w:color w:val="000000" w:themeColor="text1"/>
          <w:sz w:val="16"/>
          <w:szCs w:val="16"/>
        </w:rPr>
        <w:softHyphen/>
        <w:t>дежный серийный двигатель. был поставлен на специальный обкаточ</w:t>
      </w:r>
      <w:r w:rsidRPr="0044524F">
        <w:rPr>
          <w:rFonts w:ascii="Times New Roman" w:hAnsi="Times New Roman"/>
          <w:color w:val="000000" w:themeColor="text1"/>
          <w:sz w:val="16"/>
          <w:szCs w:val="16"/>
        </w:rPr>
        <w:softHyphen/>
        <w:t>ный стенд (11504).</w:t>
      </w:r>
    </w:p>
    <w:p w14:paraId="56EC79A1" w14:textId="77777777" w:rsidR="006E56A1" w:rsidRPr="0044524F" w:rsidRDefault="006E56A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903085A" w14:textId="77777777" w:rsidR="00323684" w:rsidRPr="0044524F" w:rsidRDefault="003236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Гудериан в составе делегации Боккельберга вторично посетил СССР. Он осматривал тракторное и танковое производство в Харькове (18265).</w:t>
      </w:r>
    </w:p>
    <w:p w14:paraId="14644FFF" w14:textId="77777777" w:rsidR="00323684" w:rsidRPr="0044524F" w:rsidRDefault="00323684" w:rsidP="009654CF">
      <w:pPr>
        <w:spacing w:after="0" w:line="240" w:lineRule="auto"/>
        <w:jc w:val="both"/>
        <w:rPr>
          <w:rFonts w:ascii="Times New Roman" w:hAnsi="Times New Roman"/>
          <w:color w:val="000000" w:themeColor="text1"/>
          <w:sz w:val="16"/>
          <w:szCs w:val="16"/>
        </w:rPr>
      </w:pPr>
    </w:p>
    <w:p w14:paraId="675DA14E" w14:textId="77777777" w:rsidR="00323684" w:rsidRPr="0044524F" w:rsidRDefault="003236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мае 1933 года в КБМ 3-38 (что это автору неизвестно) закончилось проектирование мотоброневагона А-34, представленный в УММ РККА в 1932-1933 годах. Судя по сохранившимся чертежам, это была двухосная машина, вооружение которой состояло из 122-мм пушки образца 1931 года (А-19) и 3 пулеметов Максима. Орудие </w:t>
      </w:r>
      <w:r w:rsidRPr="0044524F">
        <w:rPr>
          <w:rFonts w:ascii="Times New Roman" w:hAnsi="Times New Roman"/>
          <w:color w:val="000000" w:themeColor="text1"/>
          <w:sz w:val="16"/>
          <w:szCs w:val="16"/>
        </w:rPr>
        <w:lastRenderedPageBreak/>
        <w:t>размещалось в башне кругового вращения, имевшей довольно большой размер. В днище А-34 имелись специальные домкраты, на которые мотоброневагон мог опираться при стрельбе. Два пулемета Максима размещались в башенках, по одной в передней и задней части машины, а один выдвигался из артиллерийской башни и использовался для зенитной стрельбы. Мотобронева-гон оснащался радиостанцией</w:t>
      </w:r>
    </w:p>
    <w:p w14:paraId="0E022BF8" w14:textId="77777777" w:rsidR="00323684" w:rsidRPr="0044524F" w:rsidRDefault="003236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 осенью 1933 года провели очередную модернизацию бронедрезины Д-37 - на ней установили башню танка Т-26 с 45-мм пушкой (при этом кормовую нишу заменили двухстворчатым люком), радиостанцию 71 -ТК с поручневой антенной, оснастили укладками шанцевого инструмента и ящиками с ЗИП (18626).</w:t>
      </w:r>
    </w:p>
    <w:p w14:paraId="045D7B86" w14:textId="77777777" w:rsidR="00323684" w:rsidRPr="0044524F" w:rsidRDefault="00323684" w:rsidP="009654CF">
      <w:pPr>
        <w:spacing w:after="0" w:line="240" w:lineRule="auto"/>
        <w:jc w:val="both"/>
        <w:rPr>
          <w:rFonts w:ascii="Times New Roman" w:hAnsi="Times New Roman"/>
          <w:color w:val="000000" w:themeColor="text1"/>
          <w:sz w:val="16"/>
          <w:szCs w:val="16"/>
        </w:rPr>
      </w:pPr>
    </w:p>
    <w:p w14:paraId="11588086" w14:textId="66016AB0"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мае 1933 г. был основан Ижевский мотозавод (Завод № 524 НКВ, Ижевский государственный мотоциклетный завод им. Всесоюзного общества «Автодор», Ижевский мотозавод </w:t>
      </w:r>
      <w:r w:rsidRPr="0044524F">
        <w:rPr>
          <w:rFonts w:ascii="Times New Roman" w:hAnsi="Times New Roman"/>
          <w:color w:val="000000" w:themeColor="text1"/>
          <w:sz w:val="16"/>
          <w:szCs w:val="16"/>
          <w:lang w:val="en-US"/>
        </w:rPr>
        <w:t>MOM</w:t>
      </w:r>
      <w:r w:rsidRPr="0044524F">
        <w:rPr>
          <w:rFonts w:ascii="Times New Roman" w:hAnsi="Times New Roman"/>
          <w:color w:val="000000" w:themeColor="text1"/>
          <w:sz w:val="16"/>
          <w:szCs w:val="16"/>
        </w:rPr>
        <w:t>, ПО «Ижевский мотозавод», Устиновский мотозавод, АООТ «Аксион», ОАО «Ижевский мотозавод «Аксион-Холдинг», ЗАО «Концерн «Аксион» /426000 (426057)</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Ижевск ул. М. Горького, 90 тел. 78-30-74/) как первенец отечественного мотоциклостроения. Разработаны первые советские мотоциклы ИЖ-7, ИЖ-8, ИЖ-9, ИЖ-12. В годы войны перешел на выпуск стрелкового оружия. Завод № 524 НКВ был в 1943 г. После войны освоен выпуск охотничьего оружия. Здесь также была изготовлена опытная партия автомата АК-47.</w:t>
      </w:r>
    </w:p>
    <w:p w14:paraId="0B475B0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1949 г. завод перепрофилирован на приборостроение. Производство аппаратуры связи и телеметрии КА. Вторым направлением стал выпуск систем управления (СУ) ОТРК, РК ВМФ.</w:t>
      </w:r>
    </w:p>
    <w:p w14:paraId="4B7C579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Позднее из системы СИХ передан в подчинение 5ГУ </w:t>
      </w:r>
      <w:r w:rsidRPr="0044524F">
        <w:rPr>
          <w:rFonts w:ascii="Times New Roman" w:hAnsi="Times New Roman"/>
          <w:color w:val="000000" w:themeColor="text1"/>
          <w:sz w:val="16"/>
          <w:szCs w:val="16"/>
          <w:lang w:val="en-US"/>
        </w:rPr>
        <w:t>MOM</w:t>
      </w:r>
      <w:r w:rsidRPr="0044524F">
        <w:rPr>
          <w:rFonts w:ascii="Times New Roman" w:hAnsi="Times New Roman"/>
          <w:color w:val="000000" w:themeColor="text1"/>
          <w:sz w:val="16"/>
          <w:szCs w:val="16"/>
        </w:rPr>
        <w:t xml:space="preserve"> и по приказу от 6.03.1966 г. переименован в Ижевский мотозавод. Производство средств приема и автоматизированной обработки телеметрической информации.</w:t>
      </w:r>
    </w:p>
    <w:p w14:paraId="7C39F8B9"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1976 г. построен корпус микроэлектроники.</w:t>
      </w:r>
    </w:p>
    <w:p w14:paraId="5707D77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1994 г. предприятие акционировано и преобразовано в АООТ «Аксион». В 1997 г. переименовано в ОАО «Ижевский мотозавод «Аксион-холдинг». С 1999 г. - ЗАО «Концерн «Аксион».</w:t>
      </w:r>
    </w:p>
    <w:p w14:paraId="62E2505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Принимал участие в программах: «Восток», «Восход», «Венера», «Марс», «Миф», «Союз», «Прогресс», «Фобос», «Союз-Аполлон», «Интеркосмос», «Буран-Энергия», «Салют», «Алмаз», «Бион», «Вега», «Гермес», «Ямал», МКС.</w:t>
      </w:r>
    </w:p>
    <w:p w14:paraId="1F30FE76"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(2002 г.): бортовые и наземные средства передачи, обработки, приема телеметрической информации.</w:t>
      </w:r>
    </w:p>
    <w:p w14:paraId="359EBB1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Имелся филиал в Москве (2000 г.). В состав предприятия входили заводы (2002 г.): приборной техники, медтехники, бытовых магнитофонов, инструментальный. Имеются производства: сборочно-монтажное приборов и систем; печатных плат, в т.ч. многослойных; гибридных микросборок; механическое; электроэрозионная и электроискровая обработка; точное литье; переработка пластмасс; гальванические и лакокрасочные покрытия.</w:t>
      </w:r>
    </w:p>
    <w:p w14:paraId="257BA950"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решению правительства № 22-р от 9.01.2004 г. ОАО «Ижевский мотозавод «Аксион холдинг»« вошло в перечень стратегических предприятий. По указу № 526 от 11.05.2009 г. предприятие исключено из перечня стратегических.</w:t>
      </w:r>
    </w:p>
    <w:p w14:paraId="141B1AA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(2002 г.)- около 7000 чел.</w:t>
      </w:r>
    </w:p>
    <w:p w14:paraId="6ED99802" w14:textId="03AEADED"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(1960-е)- И.С. Стыценко, (2000-е)- М.Н. Гехтман. Гендиректор (-2002-05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Г.И. Кудрявцев.</w:t>
      </w:r>
    </w:p>
    <w:p w14:paraId="2CA978C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по маркетингу и сбыту (2000-е)- А.В. Рудаков; по развитию (2000-е)- В.А. Николаев; по экономике, финансам и управлению (2002 г.)- В.А. Пилин; по науке (2002 г.)- А.С. Пышков; технический (2002 г.)- И.К. Ижболдин.</w:t>
      </w:r>
    </w:p>
    <w:p w14:paraId="7C8BC528"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(-1964 г.)- А.В. Воскресенский.</w:t>
      </w:r>
    </w:p>
    <w:p w14:paraId="19177F5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гл. инженера (1958 г.-)- А.В. Воскресенский.</w:t>
      </w:r>
    </w:p>
    <w:p w14:paraId="357C6D4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(2002 г.)- А.С. Пышков. Гл. технолог (1942-43 г.)- Н.В. Кочерыгин.</w:t>
      </w:r>
    </w:p>
    <w:p w14:paraId="01799D6F"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Производство:</w:t>
      </w:r>
      <w:r w:rsidRPr="0044524F">
        <w:rPr>
          <w:rFonts w:ascii="Times New Roman" w:hAnsi="Times New Roman"/>
          <w:color w:val="000000" w:themeColor="text1"/>
          <w:sz w:val="16"/>
          <w:szCs w:val="16"/>
        </w:rPr>
        <w:t xml:space="preserve"> мотоциклы ИЖ-7, ИЖ-8, ИЖ-9, ИЖ-12 (1930-е); пулемет «Максима» (ВОВ), АК-47 -1500; охотничье ружье ИЖ-49; электронно-моделирующая станция «Электрон» (1950-е); счетно-решающие приборы для самоходных установок «Астра», «Шилка», «Ваза» (1950-е); топографические привязчики; наземные и корабельные командно-измерительные станции управления КА (1960-е); быстродействующий радиотелеметрический комплекс БРС-1, радиотелеметрический комплекс РТС-1 в составе машин МА-9 и МО-9 (1960-е); аппаратура обработки телеметрической информации СТИ-90 (1968-),</w:t>
      </w:r>
      <w:r w:rsidRPr="0044524F">
        <w:rPr>
          <w:rFonts w:ascii="Times New Roman" w:hAnsi="Times New Roman"/>
          <w:color w:val="000000" w:themeColor="text1"/>
          <w:sz w:val="16"/>
          <w:szCs w:val="16"/>
          <w:vertAlign w:val="superscript"/>
        </w:rPr>
        <w:t>77</w:t>
      </w:r>
      <w:r w:rsidRPr="0044524F">
        <w:rPr>
          <w:rFonts w:ascii="Times New Roman" w:hAnsi="Times New Roman"/>
          <w:color w:val="000000" w:themeColor="text1"/>
          <w:sz w:val="16"/>
          <w:szCs w:val="16"/>
        </w:rPr>
        <w:t xml:space="preserve"> ПРС-7, НПРС-9(2002); КИС для управления КА «Купон», «Горизонт», «Экспресс», «Галс» (2002); комплекс «Крым-2М»; аппаратура связи «Наука М-04» и «Чолбон» для КА «Горизонт» и «Экспресс», телекоммуникационная аппаратура «Радуга-4», «Радуга-6» (2002); бортовая СУ для КА «Кондор» (2005); СУ ракет 8К11, 8К14, «Темп-С» (1960-е), ЗМ65, 3</w:t>
      </w:r>
      <w:r w:rsidRPr="0044524F">
        <w:rPr>
          <w:rFonts w:ascii="Times New Roman" w:hAnsi="Times New Roman"/>
          <w:color w:val="000000" w:themeColor="text1"/>
          <w:sz w:val="16"/>
          <w:szCs w:val="16"/>
          <w:lang w:val="en-US"/>
        </w:rPr>
        <w:t>M</w:t>
      </w:r>
      <w:r w:rsidRPr="0044524F">
        <w:rPr>
          <w:rFonts w:ascii="Times New Roman" w:hAnsi="Times New Roman"/>
          <w:color w:val="000000" w:themeColor="text1"/>
          <w:sz w:val="16"/>
          <w:szCs w:val="16"/>
        </w:rPr>
        <w:t>37 (1970-е), корабельная аппаратура СУ ЗР65 комплекса «Тайфун», ЗРЗО комплекса 3</w:t>
      </w:r>
      <w:r w:rsidRPr="0044524F">
        <w:rPr>
          <w:rFonts w:ascii="Times New Roman" w:hAnsi="Times New Roman"/>
          <w:color w:val="000000" w:themeColor="text1"/>
          <w:sz w:val="16"/>
          <w:szCs w:val="16"/>
          <w:lang w:val="en-US"/>
        </w:rPr>
        <w:t>K</w:t>
      </w:r>
      <w:r w:rsidRPr="0044524F">
        <w:rPr>
          <w:rFonts w:ascii="Times New Roman" w:hAnsi="Times New Roman"/>
          <w:color w:val="000000" w:themeColor="text1"/>
          <w:sz w:val="16"/>
          <w:szCs w:val="16"/>
        </w:rPr>
        <w:t>37 (1970-е), СУ комплекса «Тополь», «Тополь-М» (1990-е);</w:t>
      </w:r>
      <w:r w:rsidRPr="0044524F">
        <w:rPr>
          <w:rFonts w:ascii="Times New Roman" w:hAnsi="Times New Roman"/>
          <w:color w:val="000000" w:themeColor="text1"/>
          <w:sz w:val="16"/>
          <w:szCs w:val="16"/>
          <w:vertAlign w:val="superscript"/>
        </w:rPr>
        <w:t xml:space="preserve">102 </w:t>
      </w:r>
      <w:r w:rsidRPr="0044524F">
        <w:rPr>
          <w:rFonts w:ascii="Times New Roman" w:hAnsi="Times New Roman"/>
          <w:iCs/>
          <w:color w:val="000000" w:themeColor="text1"/>
          <w:sz w:val="16"/>
          <w:szCs w:val="16"/>
        </w:rPr>
        <w:t>магнитофоны:</w:t>
      </w:r>
      <w:r w:rsidRPr="0044524F">
        <w:rPr>
          <w:rFonts w:ascii="Times New Roman" w:hAnsi="Times New Roman"/>
          <w:color w:val="000000" w:themeColor="text1"/>
          <w:sz w:val="16"/>
          <w:szCs w:val="16"/>
        </w:rPr>
        <w:t xml:space="preserve"> «ИЖ-302, -303, -305, -306, -207»; медтехника (дефибрилляторы ДКИ-Н-04, электрокардиограф ЭК1Т-04 «Аксион», оксиметр «0ксипульс-01», массажер «Ковак») (11982).</w:t>
      </w:r>
    </w:p>
    <w:p w14:paraId="31994DDE"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614D0D5F" w14:textId="77777777" w:rsidR="00323684" w:rsidRPr="0044524F" w:rsidRDefault="003236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было принято правительственное решение о проектировании и строительстве в Ленинграде опытного завода по получению хлоропренового каучука, производительностью 1 тонна каучука в сутки, с вводом в эксплуатацию в июле 1934 г., о строительстве крупного промышленного производства хлоропренового каучука и всех вспомогательных производств в г. Ереване. Решение об организации производства хлоропренового каучука в г. Ереване было принято по инициативе Совнаркома Армении.</w:t>
      </w:r>
    </w:p>
    <w:p w14:paraId="6406E50A" w14:textId="77777777" w:rsidR="00323684" w:rsidRPr="0044524F" w:rsidRDefault="003236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строительство опытного завода хлоропренового каучука велось исключительно быстрыми темпами, в июле 1934 г. завод уже начал выпускать каучук. Опытный завод получил название опытный завод СК «Литер С» [22] (18298).</w:t>
      </w:r>
    </w:p>
    <w:p w14:paraId="778DABF6" w14:textId="77777777" w:rsidR="00323684" w:rsidRPr="0044524F" w:rsidRDefault="00323684" w:rsidP="009654CF">
      <w:pPr>
        <w:spacing w:after="0" w:line="240" w:lineRule="auto"/>
        <w:jc w:val="both"/>
        <w:rPr>
          <w:rFonts w:ascii="Times New Roman" w:hAnsi="Times New Roman"/>
          <w:color w:val="000000" w:themeColor="text1"/>
          <w:sz w:val="16"/>
          <w:szCs w:val="16"/>
        </w:rPr>
      </w:pPr>
    </w:p>
    <w:p w14:paraId="110AFBD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года для детального изучения проекта лодки Е-1 фирмы IVS за границу командировали группу ведущих специалистов в области подводного плавания — А.И. Зельтинга, В.Н. Перегудова, С.Г. Туркова, В.И. Говорухи­на, В.Ф. Критского, З.А. Дерибина, А.А. Толчинского и А.Г. Соколова. Сначала советская делегация посетила фирму «Дешимаг» в Бремене (фактически являвшуюся владельцем голландской IVS), а затем выехала в Картахену, где состоялись испытания достроен­ной Е-1. Несмотря на две аварии, произо­шедшие в процессе испытаний - пожар в носовой аккумуляторной яме и выход из строя электропривода горизонтальных ру­лей, - в целом конструкция подлодки заслу­жила положительную оценку. Поэтому вско­ре после возвращения делегации в Москву и доклада о результатах командировки пра­вительству был заключен договор между «Союзверфью» и фирмой «Дешимаг» В нем предусматривалось, что немецкая сторона откорректирует проект лодки Е-1 с учетом высказанных замечаний и предоставит СССР полный комплект чертежей. Кроме того, «Дешимаг» брал на себя обязательство оказать содействие в размещении на германских предприятиях заказов на аккумуляторы, электро- и радиоприборы, эхолоты, гироком­пасы и другое дефицитное оборудование, в котором остро нуждалось советское кораб­лестроение. Основные замечания к тактико-техничес­ким элементам лодки, высказанные советскими специалистами, касались состава ар­тиллерийского вооружения, скорости и дальности плавания, автономности. В частности, от проектировщиков потребовали повысить мощность дизелей и электродвигателей, уве­личить запас топлива и масла. Все это, ра­зумеется, приводило к росту водоизмеще­ния и изменению ряда кораблестроительных элементов. В течение 1933 г. проект "Е-2", такое обозначение получил новый корабль, разрабатывался в Бремене при участии нескольких наших специалистов (10672).</w:t>
      </w:r>
    </w:p>
    <w:p w14:paraId="6D6B801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330B3261"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1933 г. в Германию выехала специальная комиссия из советских военных и гражданских специалистов для детального изучения подводной лодки Е-1, а также для проведения её испытаний, чтобы убедиться в правильности даваемых фирмой гарантий.</w:t>
      </w:r>
    </w:p>
    <w:p w14:paraId="4F98776C"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Проведя предварительные переговоры с фирмой, комиссия выехала к месту базирования подводной лодки в Испанию, в Картахену, для проведения её испытаний. Результаты испытаний Е-1 подтвердили правильность гарантий, даваемых фирмой, и о лодке в целом у комиссии сложилось хорошее мнение. После доклада комиссии о результатах испытаний между «Союзверфью» и фирмой «Дешимаг» был заключён договор на оказание технической помощи.</w:t>
      </w:r>
    </w:p>
    <w:p w14:paraId="272A4F51"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подводная лодка Е-1 в 1935 г. была продана Турции и вошла в состав её ВМС под названием «Gür» («Бык») (25184).</w:t>
      </w:r>
    </w:p>
    <w:p w14:paraId="1D318B2E" w14:textId="77777777" w:rsidR="0098523B" w:rsidRPr="00142305" w:rsidRDefault="0098523B" w:rsidP="0098523B">
      <w:pPr>
        <w:spacing w:after="0" w:line="240" w:lineRule="auto"/>
        <w:jc w:val="both"/>
        <w:rPr>
          <w:rFonts w:ascii="Times New Roman" w:hAnsi="Times New Roman"/>
          <w:color w:val="0070C0"/>
          <w:sz w:val="16"/>
          <w:szCs w:val="16"/>
        </w:rPr>
      </w:pPr>
    </w:p>
    <w:p w14:paraId="501D6278" w14:textId="77777777" w:rsidR="0058354C" w:rsidRPr="0044524F" w:rsidRDefault="0058354C"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мае 1933 года вместо сдачи в 1932 году, как было предусмотрено планом, первая Сормовская Щука была отправлена в Ленинград. В те годы у завода не было достроечной базы ни в Ленинграде, ни в Кронштадте, не было и опыта в проведении испытаний подводных лодок, поэтому к достройке и сдаче привлекли Балтийский завод. В доке, построенном на «Красном Сормове», первая подводная лодка ушла из Сормова в Ленинград. А 1 июня 1933 года в 5 часов 30 минут она ошвартовалась у стенки Балтийского завода. По Неве лодка шла не в доке, а «расчаленная между двух барж». Когда в 1934 году заводу выдали наряд на передачу подводной лодки — 4 июня «Красное Сормово» и Балтийский завод заключили договор, где в протоколе на передачу особо оговаривалось условие: Балтийский завод обязуется (за плату, конечно) обучить сормовичей — четверых инженерно-технических работников и 42 рабочих — монтажу механизмов и устройств, допустив их к цеховым («швартовным») испытаниям. А уж лучших из них допустить и к участию в сдаточных испытаниях. Нелегко дался первый подводный корабль сормовичам, но опыт они получили богатый. Подводное кораблестроение на заводе набирало силу. Еще до начала войны требование ВМФ, изложенное в первом задании на строительство подводной лодки («…20 подлодок на случай войны…»), было выполнено. Завод построил 32 субмарины. 15 августа 1934 года, после испытаний и сдачи подлодка «Щ-304» («Комсомолец») была принята в состав ВМФ страны (12189).</w:t>
      </w:r>
    </w:p>
    <w:p w14:paraId="12578251" w14:textId="0E79FA82" w:rsidR="0058354C" w:rsidRPr="0044524F" w:rsidRDefault="0058354C" w:rsidP="009654CF">
      <w:pPr>
        <w:pStyle w:val="ae"/>
        <w:shd w:val="clear" w:color="auto" w:fill="FFFFFF"/>
        <w:spacing w:before="0" w:after="0"/>
        <w:jc w:val="both"/>
        <w:rPr>
          <w:color w:val="000000" w:themeColor="text1"/>
          <w:sz w:val="16"/>
          <w:szCs w:val="16"/>
        </w:rPr>
      </w:pPr>
    </w:p>
    <w:p w14:paraId="788C177A" w14:textId="241C0B83" w:rsidR="003E339D" w:rsidRPr="0044524F" w:rsidRDefault="003E339D" w:rsidP="009654CF">
      <w:pPr>
        <w:pStyle w:val="ae"/>
        <w:shd w:val="clear" w:color="auto" w:fill="FFFFFF"/>
        <w:spacing w:before="0" w:after="0"/>
        <w:jc w:val="both"/>
        <w:rPr>
          <w:i/>
          <w:iCs/>
          <w:color w:val="000000" w:themeColor="text1"/>
          <w:sz w:val="16"/>
          <w:szCs w:val="16"/>
        </w:rPr>
      </w:pPr>
      <w:r w:rsidRPr="0044524F">
        <w:rPr>
          <w:i/>
          <w:iCs/>
          <w:color w:val="000000" w:themeColor="text1"/>
          <w:sz w:val="16"/>
          <w:szCs w:val="16"/>
        </w:rPr>
        <w:t>Армия:</w:t>
      </w:r>
    </w:p>
    <w:p w14:paraId="562FBD1D" w14:textId="77777777" w:rsidR="003E339D" w:rsidRPr="0044524F" w:rsidRDefault="003E339D" w:rsidP="009654CF">
      <w:pPr>
        <w:pStyle w:val="ae"/>
        <w:shd w:val="clear" w:color="auto" w:fill="FFFFFF"/>
        <w:spacing w:before="0" w:after="0"/>
        <w:jc w:val="both"/>
        <w:rPr>
          <w:i/>
          <w:iCs/>
          <w:color w:val="000000" w:themeColor="text1"/>
          <w:sz w:val="16"/>
          <w:szCs w:val="16"/>
        </w:rPr>
      </w:pPr>
    </w:p>
    <w:p w14:paraId="1A52C52B"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УВВС РККА издал директиву о развитии воздушно-десантного дела, в которой подчеркивалось, что в будущей революционноклассовой войне, в которой примет участие РККА, воздушные десанты будут играть крупную роль (Архив ЦДА и К. Ф. 50. Оп. 1. Д. 3. Л. 35.) (21402).</w:t>
      </w:r>
    </w:p>
    <w:p w14:paraId="7462D45D" w14:textId="77777777" w:rsidR="003E339D" w:rsidRPr="0044524F" w:rsidRDefault="003E339D" w:rsidP="009654CF">
      <w:pPr>
        <w:spacing w:after="0" w:line="240" w:lineRule="auto"/>
        <w:jc w:val="both"/>
        <w:rPr>
          <w:rFonts w:ascii="Times New Roman" w:hAnsi="Times New Roman"/>
          <w:color w:val="000000" w:themeColor="text1"/>
          <w:sz w:val="16"/>
          <w:szCs w:val="16"/>
        </w:rPr>
      </w:pPr>
    </w:p>
    <w:p w14:paraId="0CEBA7FF"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мае 1933 г. Томсон сообщил: «"Друзья” в этом году в первый раз праздновали 1 мая. Был торжественный обед, на кото</w:t>
      </w:r>
      <w:r w:rsidRPr="00142305">
        <w:rPr>
          <w:rFonts w:ascii="Times New Roman" w:hAnsi="Times New Roman"/>
          <w:color w:val="0070C0"/>
          <w:sz w:val="16"/>
          <w:szCs w:val="16"/>
        </w:rPr>
        <w:softHyphen/>
        <w:t>ром по радио слушалась первомайская речь Гитлера».</w:t>
      </w:r>
    </w:p>
    <w:p w14:paraId="4798A2E6"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этому времени в связи с ликвидацией опытной группы чис</w:t>
      </w:r>
      <w:r w:rsidRPr="00142305">
        <w:rPr>
          <w:rFonts w:ascii="Times New Roman" w:hAnsi="Times New Roman"/>
          <w:color w:val="0070C0"/>
          <w:sz w:val="16"/>
          <w:szCs w:val="16"/>
        </w:rPr>
        <w:softHyphen/>
        <w:t>ло немецких специалистов в Липецке заметно убавилось — там бы</w:t>
      </w:r>
      <w:r w:rsidRPr="00142305">
        <w:rPr>
          <w:rFonts w:ascii="Times New Roman" w:hAnsi="Times New Roman"/>
          <w:color w:val="0070C0"/>
          <w:sz w:val="16"/>
          <w:szCs w:val="16"/>
        </w:rPr>
        <w:softHyphen/>
        <w:t>ло только 38 человек постоянного состава (25025).</w:t>
      </w:r>
    </w:p>
    <w:p w14:paraId="45AE3369" w14:textId="77777777" w:rsidR="0098523B" w:rsidRPr="00142305" w:rsidRDefault="0098523B" w:rsidP="0098523B">
      <w:pPr>
        <w:spacing w:after="0" w:line="240" w:lineRule="auto"/>
        <w:jc w:val="both"/>
        <w:rPr>
          <w:rFonts w:ascii="Times New Roman" w:hAnsi="Times New Roman"/>
          <w:color w:val="0070C0"/>
          <w:sz w:val="16"/>
          <w:szCs w:val="16"/>
        </w:rPr>
      </w:pPr>
    </w:p>
    <w:p w14:paraId="422F2668" w14:textId="77777777" w:rsidR="006E56A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5E13A7A" w14:textId="77777777" w:rsidR="006E56A1" w:rsidRPr="0044524F" w:rsidRDefault="006E56A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C8D13D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мае 1933 г. была выполнена опытная модель вагона метрополитена. После обкатки и проверки работы вагона Государственной комиссией над доработкой конструкции работала группа ведущих специалистов под руководством главного конструктора Т. А. Казанского и конструктора И. К. Ковалева. </w:t>
      </w:r>
    </w:p>
    <w:p w14:paraId="5B3FF24E"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Тормозная система была разработана на Московском тормозном заводе группой конструкторов в составе И. К. Матросова, В. И. Крылова и Е. В. Клыкова. </w:t>
      </w:r>
    </w:p>
    <w:p w14:paraId="3F3F7F3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27 августа 1934 г. Мытищинским заводом было подготовлено два опытных вагона, которые были направлены на завод «Динамо», где было смонтировано электротехническое оборудование и аппаратура. Там же вагоны были опробованы, прошли обкатку и 14 октября 1934 г. были отправлены на метрополитен. 15 октября первая секция прибыла в депо «Северное». Первый вагон был опробован со скоростью около 25 км/ч с пассажирами, которыми были работники заводов-изготовителей Мытищинского машиностроительного, Московского тормозного и завода «Динамо». Среди первых пассажиров были также специалисты метростроя. Первые вагоны получили названия «ММ-1 моторный» и «МП-1001 прицепной» типа «А». </w:t>
      </w:r>
    </w:p>
    <w:p w14:paraId="01FF410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дню открытия VII съезда Советов 25 января 1935 г.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w:t>
      </w:r>
    </w:p>
    <w:p w14:paraId="386DCB22"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(электротормоз был внедрен позднее). Недостаточна была и электрическая защита от токов перегрузки и коротких замыканий (11613).</w:t>
      </w:r>
    </w:p>
    <w:p w14:paraId="6716B649" w14:textId="77777777" w:rsidR="006E56A1" w:rsidRPr="0044524F" w:rsidRDefault="006E56A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5C04AE" w14:textId="77777777" w:rsidR="00323684" w:rsidRPr="0044524F" w:rsidRDefault="003236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течение мая 1933 г. Абакумову удалось перестроить аппарат и стиль работы Метростроя согласно директивам Политбюро. Кроме того, он привез с собой значительное число инженеров, техников и шахтеров из Донбасса, обладавших опытом прокладки тоннелей глубокого залегания{481}.Впрочем, возник известный антагонизм между первыми строителями и шахтерами, так как первые считали строительство метро своим делом и считали неуместным вмешательство со стороны горняков{482} (18299).</w:t>
      </w:r>
    </w:p>
    <w:p w14:paraId="7E2C7234" w14:textId="77777777" w:rsidR="00323684" w:rsidRPr="0044524F" w:rsidRDefault="00323684" w:rsidP="009654CF">
      <w:pPr>
        <w:spacing w:after="0" w:line="240" w:lineRule="auto"/>
        <w:jc w:val="both"/>
        <w:rPr>
          <w:rFonts w:ascii="Times New Roman" w:hAnsi="Times New Roman"/>
          <w:color w:val="000000" w:themeColor="text1"/>
          <w:sz w:val="16"/>
          <w:szCs w:val="16"/>
        </w:rPr>
      </w:pPr>
    </w:p>
    <w:p w14:paraId="0A2643C8" w14:textId="77777777" w:rsidR="006E56A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903121D" w14:textId="77777777" w:rsidR="006E56A1" w:rsidRPr="0044524F" w:rsidRDefault="006E56A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DAE72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 во Францию прибыл первый советский военный атташе комдив С. И. Венцов. Он довольно быстро наладил хорошие отношения с представителями французских военных кругов. В августе-сентябре 1933 г. СССР посетил видный французский государственный деятель Э. Эррио.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39E2D6DA"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4E59438F" w14:textId="77777777" w:rsidR="006E56A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181A109" w14:textId="77777777" w:rsidR="006E56A1" w:rsidRPr="0044524F" w:rsidRDefault="006E56A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F98269E"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Эрхард Мильх, государственный секретарь министерства авиации Германии, получает подробное исследование будущего новых ВВС Германии, написанное доктором Робертом Кнауссом. Кнаусс прогнозирует, что основной угрозой для восстановления Германии как великой державы будет превентивная атака Франции и Польши, прежде чем Германия сможет полностью перевооружиться, и он рекомендует создать силы из 400 четырехмоторных бомбардировщиков, которые могли бы совершить такое нападение. с возможностью атаковать население и промышленные центры врага и разрушать боевой дух врага (20802).</w:t>
      </w:r>
    </w:p>
    <w:p w14:paraId="6B0E657F" w14:textId="77777777" w:rsidR="003E339D" w:rsidRPr="0044524F" w:rsidRDefault="003E339D" w:rsidP="009654CF">
      <w:pPr>
        <w:spacing w:after="0" w:line="240" w:lineRule="auto"/>
        <w:jc w:val="both"/>
        <w:rPr>
          <w:rFonts w:ascii="Times New Roman" w:hAnsi="Times New Roman"/>
          <w:color w:val="000000" w:themeColor="text1"/>
          <w:sz w:val="16"/>
          <w:szCs w:val="16"/>
        </w:rPr>
      </w:pPr>
    </w:p>
    <w:p w14:paraId="750BB92C" w14:textId="77777777" w:rsidR="00323684" w:rsidRPr="0044524F" w:rsidRDefault="00323684" w:rsidP="009654CF">
      <w:pPr>
        <w:pStyle w:val="rtejustify"/>
        <w:shd w:val="clear" w:color="auto" w:fill="FFFFFF"/>
        <w:spacing w:before="0" w:after="0"/>
        <w:rPr>
          <w:color w:val="000000" w:themeColor="text1"/>
          <w:sz w:val="16"/>
          <w:szCs w:val="16"/>
        </w:rPr>
      </w:pPr>
      <w:r w:rsidRPr="0044524F">
        <w:rPr>
          <w:color w:val="000000" w:themeColor="text1"/>
          <w:sz w:val="16"/>
          <w:szCs w:val="16"/>
        </w:rPr>
        <w:t>В мае 1933 года закончили щпытный образец военной «Гаммы» 2С. 15 июля по договоренности с Нортропом эту машину приняли на испытания на авиабазу Райтфилд, где располагался центр Управления материальной части Авиационного корпуса армии США. Военные одобрительно отнеслись к новому штурмовику, по летным данным существенно превосходившему состоявший на вооружении самолет «Шрайк», однако не купили его и высказали ряд замечаний. Китайцы оказались менее привередливы. Они заказали 24 самолета модели 2Е, являвшейся практически копией 2С с небольшими изменениями. Основным внешним отличием была полуубирающаяся «ванна» для стрелка-радиста, выполнявшего также функции бомбардира. Она обеспечивала ему обзор вниз-вперед при прицеливании (19168).</w:t>
      </w:r>
    </w:p>
    <w:p w14:paraId="5DCBC432" w14:textId="77777777" w:rsidR="00323684" w:rsidRPr="0044524F" w:rsidRDefault="00323684" w:rsidP="009654CF">
      <w:pPr>
        <w:pStyle w:val="rtecenter"/>
        <w:shd w:val="clear" w:color="auto" w:fill="FFFFFF"/>
        <w:spacing w:before="0" w:after="0"/>
        <w:jc w:val="both"/>
        <w:textAlignment w:val="baseline"/>
        <w:rPr>
          <w:color w:val="000000" w:themeColor="text1"/>
          <w:sz w:val="16"/>
          <w:szCs w:val="16"/>
        </w:rPr>
      </w:pPr>
    </w:p>
    <w:p w14:paraId="55B62F9E" w14:textId="77777777" w:rsidR="00585C8D" w:rsidRPr="0044524F" w:rsidRDefault="00585C8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года. закончили опытный образец военной Нортроп «Гаммы» 2С В июле по договоренности с Нортропом эту машину приняли на испытания на авиабазу Райтфилд, где располагался центр Управления материаль</w:t>
      </w:r>
      <w:r w:rsidRPr="0044524F">
        <w:rPr>
          <w:rFonts w:ascii="Times New Roman" w:hAnsi="Times New Roman"/>
          <w:color w:val="000000" w:themeColor="text1"/>
          <w:sz w:val="16"/>
          <w:szCs w:val="16"/>
        </w:rPr>
        <w:softHyphen/>
        <w:t>ной части Авиационного корпуса армии США. Военные одобрительно отнеслись к новому штурмовику, по лет</w:t>
      </w:r>
      <w:r w:rsidRPr="0044524F">
        <w:rPr>
          <w:rFonts w:ascii="Times New Roman" w:hAnsi="Times New Roman"/>
          <w:color w:val="000000" w:themeColor="text1"/>
          <w:sz w:val="16"/>
          <w:szCs w:val="16"/>
        </w:rPr>
        <w:softHyphen/>
        <w:t>ным данным существенно превосходившему состояв</w:t>
      </w:r>
      <w:r w:rsidRPr="0044524F">
        <w:rPr>
          <w:rFonts w:ascii="Times New Roman" w:hAnsi="Times New Roman"/>
          <w:color w:val="000000" w:themeColor="text1"/>
          <w:sz w:val="16"/>
          <w:szCs w:val="16"/>
        </w:rPr>
        <w:softHyphen/>
        <w:t>ший на вооружении самолет «Шрайк», однако не купи</w:t>
      </w:r>
      <w:r w:rsidRPr="0044524F">
        <w:rPr>
          <w:rFonts w:ascii="Times New Roman" w:hAnsi="Times New Roman"/>
          <w:color w:val="000000" w:themeColor="text1"/>
          <w:sz w:val="16"/>
          <w:szCs w:val="16"/>
        </w:rPr>
        <w:softHyphen/>
        <w:t>ли его и высказали ряд замечаний. Китайцы оказались менее привередливы. Они заказали 24 самолета модели 2Е, являвшейся практически копией 2С с небольшими изменениями. Основным внешним отличием была полуубирающаяся «ванна» для стрелка-радиста, выполняв</w:t>
      </w:r>
      <w:r w:rsidRPr="0044524F">
        <w:rPr>
          <w:rFonts w:ascii="Times New Roman" w:hAnsi="Times New Roman"/>
          <w:color w:val="000000" w:themeColor="text1"/>
          <w:sz w:val="16"/>
          <w:szCs w:val="16"/>
        </w:rPr>
        <w:softHyphen/>
        <w:t xml:space="preserve">шего также функции бомбардира. Она обеспечивала ему обзор вниз-вперед при прицеливании. В Китай поставлялись варианты 2Е, 2ЕС и 2ED (23545). </w:t>
      </w:r>
    </w:p>
    <w:p w14:paraId="494DB42A" w14:textId="77777777" w:rsidR="00585C8D" w:rsidRPr="0044524F" w:rsidRDefault="00585C8D" w:rsidP="009654CF">
      <w:pPr>
        <w:spacing w:after="0" w:line="240" w:lineRule="auto"/>
        <w:jc w:val="both"/>
        <w:rPr>
          <w:rFonts w:ascii="Times New Roman" w:hAnsi="Times New Roman"/>
          <w:color w:val="000000" w:themeColor="text1"/>
          <w:sz w:val="16"/>
          <w:szCs w:val="16"/>
        </w:rPr>
      </w:pPr>
    </w:p>
    <w:p w14:paraId="090669AB" w14:textId="77777777" w:rsidR="003E339D" w:rsidRPr="0044524F" w:rsidRDefault="003E339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образована Turkish Airlines под названием «Государственные авиалинии» (20802).</w:t>
      </w:r>
    </w:p>
    <w:p w14:paraId="56106976" w14:textId="77777777" w:rsidR="003E339D" w:rsidRPr="0044524F" w:rsidRDefault="003E339D" w:rsidP="009654CF">
      <w:pPr>
        <w:spacing w:after="0" w:line="240" w:lineRule="auto"/>
        <w:jc w:val="both"/>
        <w:rPr>
          <w:rFonts w:ascii="Times New Roman" w:hAnsi="Times New Roman"/>
          <w:color w:val="000000" w:themeColor="text1"/>
          <w:sz w:val="16"/>
          <w:szCs w:val="16"/>
        </w:rPr>
      </w:pPr>
    </w:p>
    <w:p w14:paraId="6D328BB3"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национал-социалистическое правительство Германии ратифицировало протокол о возобновлении действия Берлинского договора 1926 (3240).</w:t>
      </w:r>
    </w:p>
    <w:p w14:paraId="4726548D"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24868F40"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Байрише Флюгцойгбау, на которой работал Вилли Мессершмитт и которая разорилась в 1931, восстановилась и имела в штате 81 чел. (3417,36).</w:t>
      </w:r>
    </w:p>
    <w:p w14:paraId="59323E8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779678D1" w14:textId="77777777" w:rsidR="006E56A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2A5E2B5" w14:textId="77777777" w:rsidR="006E56A1" w:rsidRPr="0044524F" w:rsidRDefault="006E56A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0F73277"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мае-июне 1933 проводились испытания закупленного Фейри Файрфлай в сравнении с И-5. Выше скорость, хуже маневренность - но преимущества англичанина были очевидны (80,147).</w:t>
      </w:r>
    </w:p>
    <w:p w14:paraId="7657CA9B"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2104922C"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мае-июне 1933 серийный К-5М-22 вышел на пробную эксплуатацию на основную линию украинского ГВФ Москва-Харьков-Пятигорск. Первые же рейсы выявили недостатки конструкции масляного радиатора и коллектора, а также винта (70,172).</w:t>
      </w:r>
    </w:p>
    <w:p w14:paraId="4768712F"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588611D7" w14:textId="77777777" w:rsidR="00FD16A4" w:rsidRPr="0044524F" w:rsidRDefault="00FD16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мае—июне 1933 г. государственные испытания ХАИ-1 продемонстрировали высокие летные качества новой машины. В частности, она установила всесоюзный рекорд скорости — 324 км/ч. Самолет признали пригодным к использованию. ХАИ-1 строился серийно, но не в Харькове, а на Киевском и Горьковском авиазаводах. В общей сложности изготовили 43 таких самолета, эксплуатировавшихся на авиалиниях Харьков—Москва, Москва—Минводы, Ростов—Краснодар и др. (23180).</w:t>
      </w:r>
    </w:p>
    <w:p w14:paraId="2A6751C1" w14:textId="77777777" w:rsidR="00FD16A4" w:rsidRPr="0044524F" w:rsidRDefault="00FD16A4" w:rsidP="009654CF">
      <w:pPr>
        <w:shd w:val="clear" w:color="auto" w:fill="FFFFFF"/>
        <w:spacing w:after="0" w:line="240" w:lineRule="auto"/>
        <w:jc w:val="both"/>
        <w:rPr>
          <w:rFonts w:ascii="Times New Roman" w:hAnsi="Times New Roman"/>
          <w:color w:val="000000" w:themeColor="text1"/>
          <w:sz w:val="16"/>
          <w:szCs w:val="16"/>
        </w:rPr>
      </w:pPr>
    </w:p>
    <w:p w14:paraId="0CCAF1B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мая по август 1933 в Ленинграде ремонтировали десантный планер Г-63 Б.Д.Урлапова, построенный у П.И.Гроховского. После ремонта стал Г-3-1 или Г-31 (94,21).</w:t>
      </w:r>
    </w:p>
    <w:p w14:paraId="60A6D011"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7A8901ED" w14:textId="77777777" w:rsidR="00323684" w:rsidRPr="0044524F" w:rsidRDefault="003236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 июне 1933 г. при технической поддержке «Дерулюфта» из Берлина в Китай через территорию СССР летчиками «Люфтганзы» была осуществлена переброска самолетов «Юнкерс» (D-5 и D-7). Маршрут полета предполагал дозаправку машин и отдых экипажа на аэродромах по линии Кенигсберг – Москва – Казань – Омск – Сергиополь – Чугучак (Китай) (19572).</w:t>
      </w:r>
    </w:p>
    <w:p w14:paraId="751BD48F" w14:textId="77777777" w:rsidR="00323684" w:rsidRPr="0044524F" w:rsidRDefault="00323684" w:rsidP="009654CF">
      <w:pPr>
        <w:spacing w:after="0" w:line="240" w:lineRule="auto"/>
        <w:jc w:val="both"/>
        <w:rPr>
          <w:rFonts w:ascii="Times New Roman" w:hAnsi="Times New Roman"/>
          <w:color w:val="000000" w:themeColor="text1"/>
          <w:sz w:val="16"/>
          <w:szCs w:val="16"/>
        </w:rPr>
      </w:pPr>
    </w:p>
    <w:p w14:paraId="47B66EB4" w14:textId="77777777" w:rsidR="006E56A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CC1D9DD" w14:textId="77777777" w:rsidR="006E56A1" w:rsidRPr="0044524F" w:rsidRDefault="006E56A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3CFD164"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1933 - марте 1934 КБ ХПЗ под руководством А.О.Фирсова на базе опытного танка БТ-6 был разработан колесно-гусеничный БТ-7 (9527,101).</w:t>
      </w:r>
    </w:p>
    <w:p w14:paraId="06A0EEEE" w14:textId="77777777" w:rsidR="006E56A1" w:rsidRPr="0044524F" w:rsidRDefault="006E56A1" w:rsidP="009654CF">
      <w:pPr>
        <w:autoSpaceDE w:val="0"/>
        <w:autoSpaceDN w:val="0"/>
        <w:adjustRightInd w:val="0"/>
        <w:spacing w:after="0" w:line="240" w:lineRule="auto"/>
        <w:jc w:val="both"/>
        <w:rPr>
          <w:rFonts w:ascii="Times New Roman" w:hAnsi="Times New Roman"/>
          <w:color w:val="000000" w:themeColor="text1"/>
          <w:sz w:val="16"/>
          <w:szCs w:val="16"/>
        </w:rPr>
      </w:pPr>
    </w:p>
    <w:p w14:paraId="051ECFDD"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мае - июне 1933 года Опытный завод Спецмаштреста (бывший ОКМО за</w:t>
      </w:r>
      <w:r w:rsidRPr="00142305">
        <w:rPr>
          <w:rFonts w:ascii="Times New Roman" w:hAnsi="Times New Roman"/>
          <w:color w:val="0070C0"/>
          <w:sz w:val="16"/>
          <w:szCs w:val="16"/>
        </w:rPr>
        <w:softHyphen/>
        <w:t>вода имени К.Е. Ворошилова) по заданию УММ РККА разработал шесть вариантов но</w:t>
      </w:r>
      <w:r w:rsidRPr="00142305">
        <w:rPr>
          <w:rFonts w:ascii="Times New Roman" w:hAnsi="Times New Roman"/>
          <w:color w:val="0070C0"/>
          <w:sz w:val="16"/>
          <w:szCs w:val="16"/>
        </w:rPr>
        <w:softHyphen/>
        <w:t>вого тяжелого танка Т-39. Проекты пред</w:t>
      </w:r>
      <w:r w:rsidRPr="00142305">
        <w:rPr>
          <w:rFonts w:ascii="Times New Roman" w:hAnsi="Times New Roman"/>
          <w:color w:val="0070C0"/>
          <w:sz w:val="16"/>
          <w:szCs w:val="16"/>
        </w:rPr>
        <w:softHyphen/>
        <w:t>ставляли собой многобашенные боевые ма</w:t>
      </w:r>
      <w:r w:rsidRPr="00142305">
        <w:rPr>
          <w:rFonts w:ascii="Times New Roman" w:hAnsi="Times New Roman"/>
          <w:color w:val="0070C0"/>
          <w:sz w:val="16"/>
          <w:szCs w:val="16"/>
        </w:rPr>
        <w:softHyphen/>
        <w:t>шины массой 85-90 т, вооруженные 45, 76 и 107-мм пушками (в зависимости от вариан</w:t>
      </w:r>
      <w:r w:rsidRPr="00142305">
        <w:rPr>
          <w:rFonts w:ascii="Times New Roman" w:hAnsi="Times New Roman"/>
          <w:color w:val="0070C0"/>
          <w:sz w:val="16"/>
          <w:szCs w:val="16"/>
        </w:rPr>
        <w:softHyphen/>
        <w:t>та) и с броней толщиной 50-90 мм (25014).</w:t>
      </w:r>
    </w:p>
    <w:p w14:paraId="0A191759" w14:textId="77777777" w:rsidR="0098523B" w:rsidRPr="00142305" w:rsidRDefault="0098523B" w:rsidP="0098523B">
      <w:pPr>
        <w:spacing w:after="0" w:line="240" w:lineRule="auto"/>
        <w:jc w:val="both"/>
        <w:rPr>
          <w:rFonts w:ascii="Times New Roman" w:hAnsi="Times New Roman"/>
          <w:color w:val="0070C0"/>
          <w:sz w:val="16"/>
          <w:szCs w:val="16"/>
        </w:rPr>
      </w:pPr>
    </w:p>
    <w:p w14:paraId="66FACED7"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EDDF8A7"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0A8086" w14:textId="77777777" w:rsidR="00FD16A4" w:rsidRPr="0044524F" w:rsidRDefault="00FD16A4"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 был готов эскизный проект тяжелого штурмовика ТШ-3 с двигателем М-34. Работа велась в ЦКБ бригаде №1 С.А. Кочеригина груп</w:t>
      </w:r>
      <w:r w:rsidRPr="0044524F">
        <w:rPr>
          <w:rFonts w:ascii="Times New Roman" w:hAnsi="Times New Roman"/>
          <w:color w:val="000000" w:themeColor="text1"/>
          <w:sz w:val="16"/>
          <w:szCs w:val="16"/>
        </w:rPr>
        <w:softHyphen/>
        <w:t>пой проектировщиков под руководством М.И. Гуревича.</w:t>
      </w:r>
    </w:p>
    <w:p w14:paraId="16F18D2B" w14:textId="77777777" w:rsidR="00FD16A4" w:rsidRPr="0044524F" w:rsidRDefault="00FD16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Он представлял собой двухместный моноплан с низкорас</w:t>
      </w:r>
      <w:r w:rsidRPr="0044524F">
        <w:rPr>
          <w:rFonts w:ascii="Times New Roman" w:hAnsi="Times New Roman"/>
          <w:color w:val="000000" w:themeColor="text1"/>
          <w:sz w:val="16"/>
          <w:szCs w:val="16"/>
        </w:rPr>
        <w:softHyphen/>
        <w:t>положенным подкосным крылом и неубирающимся шасси.</w:t>
      </w:r>
    </w:p>
    <w:p w14:paraId="4BC16118" w14:textId="77777777" w:rsidR="00FD16A4" w:rsidRPr="0044524F" w:rsidRDefault="00FD16A4"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Основной задачей при проектировании считалось обес</w:t>
      </w:r>
      <w:r w:rsidRPr="0044524F">
        <w:rPr>
          <w:rFonts w:ascii="Times New Roman" w:hAnsi="Times New Roman"/>
          <w:color w:val="000000" w:themeColor="text1"/>
          <w:sz w:val="16"/>
          <w:szCs w:val="16"/>
        </w:rPr>
        <w:softHyphen/>
        <w:t>печение хорошего обзора вперед при неуязвимости от на</w:t>
      </w:r>
      <w:r w:rsidRPr="0044524F">
        <w:rPr>
          <w:rFonts w:ascii="Times New Roman" w:hAnsi="Times New Roman"/>
          <w:color w:val="000000" w:themeColor="text1"/>
          <w:sz w:val="16"/>
          <w:szCs w:val="16"/>
        </w:rPr>
        <w:softHyphen/>
        <w:t>земного огня и большой огневой мощи. Всего разрабаты</w:t>
      </w:r>
      <w:r w:rsidRPr="0044524F">
        <w:rPr>
          <w:rFonts w:ascii="Times New Roman" w:hAnsi="Times New Roman"/>
          <w:color w:val="000000" w:themeColor="text1"/>
          <w:sz w:val="16"/>
          <w:szCs w:val="16"/>
        </w:rPr>
        <w:softHyphen/>
        <w:t>валось 8 вариантов вооружения, с возможно быстрой их за</w:t>
      </w:r>
      <w:r w:rsidRPr="0044524F">
        <w:rPr>
          <w:rFonts w:ascii="Times New Roman" w:hAnsi="Times New Roman"/>
          <w:color w:val="000000" w:themeColor="text1"/>
          <w:sz w:val="16"/>
          <w:szCs w:val="16"/>
        </w:rPr>
        <w:softHyphen/>
        <w:t>меной. Вооружение состояло из 10 пулеметов ШКАС в крыле (две батареи по пять пулеметов) и одного пулемета ШКАС на турели у воздушного стрелка. Бомбы до 400 кг: в трех отсеках между лонжеронами (по 6 осколочных бомб) и на внешней подвеске под центропланом. Особое внима</w:t>
      </w:r>
      <w:r w:rsidRPr="0044524F">
        <w:rPr>
          <w:rFonts w:ascii="Times New Roman" w:hAnsi="Times New Roman"/>
          <w:color w:val="000000" w:themeColor="text1"/>
          <w:sz w:val="16"/>
          <w:szCs w:val="16"/>
        </w:rPr>
        <w:softHyphen/>
        <w:t>ние уделялось вопросам обслуживания вооружения, то есть так называемой подготовке к повторному боевому вылету.</w:t>
      </w:r>
    </w:p>
    <w:p w14:paraId="54B6B194" w14:textId="77777777" w:rsidR="00FD16A4" w:rsidRPr="0044524F" w:rsidRDefault="00FD16A4"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3 июня состоялась макетная комиссия. 5 июня прошло совещание у начальника штаба ВВС Хрипина по вопросу рассмотре</w:t>
      </w:r>
      <w:r w:rsidRPr="0044524F">
        <w:rPr>
          <w:rFonts w:ascii="Times New Roman" w:hAnsi="Times New Roman"/>
          <w:color w:val="000000" w:themeColor="text1"/>
          <w:sz w:val="16"/>
          <w:szCs w:val="16"/>
        </w:rPr>
        <w:softHyphen/>
        <w:t>ния боевой схемы самолета ТШ-3 М-34 (20362).</w:t>
      </w:r>
    </w:p>
    <w:p w14:paraId="7FC76F20" w14:textId="77777777" w:rsidR="00FD16A4" w:rsidRPr="0044524F" w:rsidRDefault="00FD16A4" w:rsidP="009654CF">
      <w:pPr>
        <w:spacing w:after="0" w:line="240" w:lineRule="auto"/>
        <w:jc w:val="both"/>
        <w:rPr>
          <w:rFonts w:ascii="Times New Roman" w:hAnsi="Times New Roman"/>
          <w:color w:val="000000" w:themeColor="text1"/>
          <w:sz w:val="16"/>
          <w:szCs w:val="16"/>
        </w:rPr>
      </w:pPr>
    </w:p>
    <w:p w14:paraId="1E72E269" w14:textId="77777777" w:rsidR="00FD16A4" w:rsidRPr="0044524F" w:rsidRDefault="00FD16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весны 1933 г. в бригаде № 1 Кочеригина нового ЦКБ строился первый опытный экземпляр сухопутного армейского самолета-разведчика и легкого бомбардировщика для замены разведчика Р-5 - ЦКБ-1 и был окончен постройкой в кон</w:t>
      </w:r>
      <w:r w:rsidRPr="0044524F">
        <w:rPr>
          <w:rFonts w:ascii="Times New Roman" w:hAnsi="Times New Roman"/>
          <w:color w:val="000000" w:themeColor="text1"/>
          <w:sz w:val="16"/>
          <w:szCs w:val="16"/>
        </w:rPr>
        <w:softHyphen/>
        <w:t>це лета этого года. 6 сентября 1933 г. было произведено взвешивание перед выходом самолета на аэродром, веспустого составил 1635 кг. Испытание в полете состоялось во второй половине сентября - начале октября. 23 нояб</w:t>
      </w:r>
      <w:r w:rsidRPr="0044524F">
        <w:rPr>
          <w:rFonts w:ascii="Times New Roman" w:hAnsi="Times New Roman"/>
          <w:color w:val="000000" w:themeColor="text1"/>
          <w:sz w:val="16"/>
          <w:szCs w:val="16"/>
        </w:rPr>
        <w:softHyphen/>
        <w:t>ря 1933 г. ЦКБ-1 участвовал совместно с первым опытным истребителем ЦКБ-3 (прототип И-15) в демонстрационных полетах на Центральном аэродроме Москвы. С новейшей авиационной техникой в этот день знакомились руководи</w:t>
      </w:r>
      <w:r w:rsidRPr="0044524F">
        <w:rPr>
          <w:rFonts w:ascii="Times New Roman" w:hAnsi="Times New Roman"/>
          <w:color w:val="000000" w:themeColor="text1"/>
          <w:sz w:val="16"/>
          <w:szCs w:val="16"/>
        </w:rPr>
        <w:softHyphen/>
        <w:t>тели государства и участники проходившего в те дни пле</w:t>
      </w:r>
      <w:r w:rsidRPr="0044524F">
        <w:rPr>
          <w:rFonts w:ascii="Times New Roman" w:hAnsi="Times New Roman"/>
          <w:color w:val="000000" w:themeColor="text1"/>
          <w:sz w:val="16"/>
          <w:szCs w:val="16"/>
        </w:rPr>
        <w:softHyphen/>
        <w:t>нума Реввоенсовета республики (20362).</w:t>
      </w:r>
    </w:p>
    <w:p w14:paraId="38648F04" w14:textId="77777777" w:rsidR="00FD16A4" w:rsidRPr="0044524F" w:rsidRDefault="00FD16A4" w:rsidP="009654CF">
      <w:pPr>
        <w:shd w:val="clear" w:color="auto" w:fill="FFFFFF"/>
        <w:spacing w:after="0" w:line="240" w:lineRule="auto"/>
        <w:jc w:val="both"/>
        <w:rPr>
          <w:rFonts w:ascii="Times New Roman" w:hAnsi="Times New Roman"/>
          <w:color w:val="000000" w:themeColor="text1"/>
          <w:sz w:val="16"/>
          <w:szCs w:val="16"/>
        </w:rPr>
      </w:pPr>
    </w:p>
    <w:p w14:paraId="649903B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на серийном ТБ-3 (АНТ-6) 4М-17 с номером 22211 сняли подкрыльные стрелковые башни, наружные бомбодержатели, турели и пулеметы, а оставшиеся отверстия - тщательно заделали. Получился "задраенный самолет" (346,29).</w:t>
      </w:r>
    </w:p>
    <w:p w14:paraId="5D31918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78355B15" w14:textId="77777777" w:rsidR="00CF593A" w:rsidRPr="0044524F" w:rsidRDefault="00CF59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 для улучшения аэроди</w:t>
      </w:r>
      <w:r w:rsidRPr="0044524F">
        <w:rPr>
          <w:rFonts w:ascii="Times New Roman" w:hAnsi="Times New Roman"/>
          <w:color w:val="000000" w:themeColor="text1"/>
          <w:sz w:val="16"/>
          <w:szCs w:val="16"/>
        </w:rPr>
        <w:softHyphen/>
        <w:t>намики на серийном ТБ—3 4М—17 с за</w:t>
      </w:r>
      <w:r w:rsidRPr="0044524F">
        <w:rPr>
          <w:rFonts w:ascii="Times New Roman" w:hAnsi="Times New Roman"/>
          <w:color w:val="000000" w:themeColor="text1"/>
          <w:sz w:val="16"/>
          <w:szCs w:val="16"/>
        </w:rPr>
        <w:softHyphen/>
        <w:t>водским №2211 сняли подкрыльные стрелковые башни, наружные бомбодер</w:t>
      </w:r>
      <w:r w:rsidRPr="0044524F">
        <w:rPr>
          <w:rFonts w:ascii="Times New Roman" w:hAnsi="Times New Roman"/>
          <w:color w:val="000000" w:themeColor="text1"/>
          <w:sz w:val="16"/>
          <w:szCs w:val="16"/>
        </w:rPr>
        <w:softHyphen/>
        <w:t>жатели, турели и пулеметы, поставили об</w:t>
      </w:r>
      <w:r w:rsidRPr="0044524F">
        <w:rPr>
          <w:rFonts w:ascii="Times New Roman" w:hAnsi="Times New Roman"/>
          <w:color w:val="000000" w:themeColor="text1"/>
          <w:sz w:val="16"/>
          <w:szCs w:val="16"/>
        </w:rPr>
        <w:softHyphen/>
        <w:t>текатели на тележки шасси. Все отверстия, оставшиеся от снятых агрегатов, тщатель</w:t>
      </w:r>
      <w:r w:rsidRPr="0044524F">
        <w:rPr>
          <w:rFonts w:ascii="Times New Roman" w:hAnsi="Times New Roman"/>
          <w:color w:val="000000" w:themeColor="text1"/>
          <w:sz w:val="16"/>
          <w:szCs w:val="16"/>
        </w:rPr>
        <w:softHyphen/>
        <w:t>но заделали. Самолет получил название «задраенный». Испытания в НИИ ВВС проходили в июне 1933 г. При полетной массе 17200 кг (масса пустого — 12230 кг) прирост скорости составил 19 км/ч (4,5%), потолок увеличился на 250—300 м. Предполагалось, что и радиус действия возрастет не менее чем на 5%. В своих вы</w:t>
      </w:r>
      <w:r w:rsidRPr="0044524F">
        <w:rPr>
          <w:rFonts w:ascii="Times New Roman" w:hAnsi="Times New Roman"/>
          <w:color w:val="000000" w:themeColor="text1"/>
          <w:sz w:val="16"/>
          <w:szCs w:val="16"/>
        </w:rPr>
        <w:softHyphen/>
        <w:t>водах НИИ ВВС рекомендовал устанав</w:t>
      </w:r>
      <w:r w:rsidRPr="0044524F">
        <w:rPr>
          <w:rFonts w:ascii="Times New Roman" w:hAnsi="Times New Roman"/>
          <w:color w:val="000000" w:themeColor="text1"/>
          <w:sz w:val="16"/>
          <w:szCs w:val="16"/>
        </w:rPr>
        <w:softHyphen/>
        <w:t>ливать на скоростных и тяжелых самоле</w:t>
      </w:r>
      <w:r w:rsidRPr="0044524F">
        <w:rPr>
          <w:rFonts w:ascii="Times New Roman" w:hAnsi="Times New Roman"/>
          <w:color w:val="000000" w:themeColor="text1"/>
          <w:sz w:val="16"/>
          <w:szCs w:val="16"/>
        </w:rPr>
        <w:softHyphen/>
        <w:t>тах только экранированное вооружение (23474).</w:t>
      </w:r>
    </w:p>
    <w:p w14:paraId="31F42D0A" w14:textId="77777777" w:rsidR="00CF593A" w:rsidRPr="0044524F" w:rsidRDefault="00CF593A" w:rsidP="009654CF">
      <w:pPr>
        <w:spacing w:after="0" w:line="240" w:lineRule="auto"/>
        <w:jc w:val="both"/>
        <w:rPr>
          <w:rFonts w:ascii="Times New Roman" w:hAnsi="Times New Roman"/>
          <w:color w:val="000000" w:themeColor="text1"/>
          <w:sz w:val="16"/>
          <w:szCs w:val="16"/>
        </w:rPr>
      </w:pPr>
    </w:p>
    <w:p w14:paraId="51A7B08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весны 1933 г. в плане работ ЦКБ завода № 39 числилось задание на создание ближнего бомбардировщика ББ-2 смешанной конструкции из дерева и металла, который должен был иметь дальность полета 1500 км с бомбовым грузом 500 кг и максимальную скорость 400-450 км/ч. По сути это задание дублировало программу создания скоростного цельнометаллического бомбардировщика СБ.</w:t>
      </w:r>
    </w:p>
    <w:p w14:paraId="292CA48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Считая, что заложенные в СБ конструкторские решения обеспечат выполнение требований, предъявляемых к самолету ББ-2, С.В.Ильюшин по собственной инициативе принял решение о проведении в рамках программы создания ББ-2 исследований по скоростному дальнему бомбардировщику с двигателями М-85 и с максимальной скоростью на расчетной высоте не менее 400 км/ч (в то время для дальнего двухдвигательного самолета такая скорость считалась очень большой). Принятию этого решения способствовало и то обстоятельство, что в соответствии с требованиями ВВС и скоростной (ближний), и дальний бомбардировщики должны были иметь одинаковый состав экипажа из трех человек, а также одинаковое стрелковое оборонительное вооружение.</w:t>
      </w:r>
    </w:p>
    <w:p w14:paraId="30B1B02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работы над проектом ББ-2 были изучены особенности различных схем самолета, рассмотрена возможность создания на базе его конструкции пассажирского варианта, выбраны наивыгоднейшие параметры машины. Эти исследования показали, что скоростной дальний бомбардировщик может быть создан на основе традиционной схемы двухдвигательного свободнонесущего низкоплана с высоким уровнем аэродинамического и весового совершенства, с двигателями М-85, которые имели относительно небольшой вес, сравнительно малый мидель и хорошую экономичность (9528).</w:t>
      </w:r>
    </w:p>
    <w:p w14:paraId="2BC0B15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797517A9"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1933 г. ГУАП потребовал завершить оба самолета РД к 1 августа (24946).</w:t>
      </w:r>
    </w:p>
    <w:p w14:paraId="1C19A143" w14:textId="77777777" w:rsidR="0098523B" w:rsidRPr="00142305" w:rsidRDefault="0098523B" w:rsidP="0098523B">
      <w:pPr>
        <w:spacing w:after="0" w:line="240" w:lineRule="auto"/>
        <w:jc w:val="both"/>
        <w:rPr>
          <w:rFonts w:ascii="Times New Roman" w:hAnsi="Times New Roman"/>
          <w:color w:val="0070C0"/>
          <w:sz w:val="16"/>
          <w:szCs w:val="16"/>
        </w:rPr>
      </w:pPr>
    </w:p>
    <w:p w14:paraId="1A5F841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испытывали И-5 серийный эталон (80,117).</w:t>
      </w:r>
    </w:p>
    <w:p w14:paraId="5D5C0089"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2D8D63DC"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 вернулись к пассажирской версии Р-6, пере-оборудовав в неё первый опытный об-разец. Изменения коснулись в основном фюзеляжа. Сверху надставили частично остеклённый гаргрот, закрыли пилотскую кабину, сделали по правому борту вход-ную дверь. Запас бензина увеличили, доведя до 1720 кг. Мотоустановка соот-ветствовала серийному боевому Р-6 с моторами ВМ\Л/ VI. Гражданский АНТ-7 перевозил семь пассажиров при двух членах экипажа. В июле 1933 г. самолёт прошёл заводские испытания, а следом за ними - государственные.</w:t>
      </w:r>
    </w:p>
    <w:p w14:paraId="243CAB77"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АНТ-7 передали в лётный отряд ГУАП Наркомтяжпрома. Там он эксплуатиро-вался как служебный, перевозя предста-вителей руководства на заводы.</w:t>
      </w:r>
    </w:p>
    <w:p w14:paraId="468AC514"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вариант Р-6 имел на правом борту входную дверь в салон, а эки-паж попадал внутрь через сдвижную секцию фонаря кабины.</w:t>
      </w:r>
    </w:p>
    <w:p w14:paraId="54B769BB"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1B600021"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4B2BB24E" w14:textId="77777777" w:rsidR="00FD16A4" w:rsidRPr="0044524F" w:rsidRDefault="00FD16A4" w:rsidP="009654CF">
      <w:pPr>
        <w:spacing w:after="0" w:line="240" w:lineRule="auto"/>
        <w:jc w:val="both"/>
        <w:rPr>
          <w:rFonts w:ascii="Times New Roman" w:eastAsia="Times New Roman" w:hAnsi="Times New Roman"/>
          <w:color w:val="000000" w:themeColor="text1"/>
          <w:sz w:val="16"/>
          <w:szCs w:val="16"/>
          <w:shd w:val="clear" w:color="auto" w:fill="DCDCDC"/>
          <w:lang w:eastAsia="ru-RU"/>
        </w:rPr>
      </w:pPr>
      <w:r w:rsidRPr="0044524F">
        <w:rPr>
          <w:rFonts w:ascii="Times New Roman" w:hAnsi="Times New Roman"/>
          <w:color w:val="000000" w:themeColor="text1"/>
          <w:sz w:val="16"/>
          <w:szCs w:val="16"/>
        </w:rPr>
        <w:t>Весной-летом 1933 года был выполнен ряд прочностных испытаний агрегатов самолета Г-37. Некоторые проблемы возникли только с хвостовой балкой, которая 14 мая разрушилась под нагрузкой в 1004 кг. За две недели конструкцию доработали, выполнив ряд местных усилений, и 29 мая балка выдержала нагрузку уже более 1400 кг (19841).</w:t>
      </w:r>
    </w:p>
    <w:p w14:paraId="66643512" w14:textId="77777777" w:rsidR="00FD16A4" w:rsidRPr="0044524F" w:rsidRDefault="00FD16A4" w:rsidP="009654CF">
      <w:pPr>
        <w:spacing w:after="0" w:line="240" w:lineRule="auto"/>
        <w:jc w:val="both"/>
        <w:rPr>
          <w:rFonts w:ascii="Times New Roman" w:eastAsia="Times New Roman" w:hAnsi="Times New Roman"/>
          <w:color w:val="000000" w:themeColor="text1"/>
          <w:sz w:val="16"/>
          <w:szCs w:val="16"/>
          <w:shd w:val="clear" w:color="auto" w:fill="DCDCDC"/>
          <w:lang w:eastAsia="ru-RU"/>
        </w:rPr>
      </w:pPr>
    </w:p>
    <w:p w14:paraId="4CF1B99F" w14:textId="77777777" w:rsidR="00C76194" w:rsidRPr="0044524F" w:rsidRDefault="00C7619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года, когда стало очевидным, что ВВС не получат от промышленности нужных истребителей, главным образом из-за того, что промышленность не в состоянии дать современные мощные легкие моторы советской конструкции и советского производства, ВВС совместно с промышленностью был поставлен вопрос о немедленном заключении договора на покупку лицензии и техпомощи на мотор Райт-Циклон воздушного охлаждения фирмы Кертис-Райт специально для обеспечения нашей истребительной авиации. В результате этой постановки вопроса в мае 1933 года Правительством разрешено заключить договор на приобретении лицензии и техпомощи на мотор Райт-Циклон для производства его в Союзе (7439, 14).</w:t>
      </w:r>
    </w:p>
    <w:p w14:paraId="706AD51C" w14:textId="77777777" w:rsidR="00C76194" w:rsidRPr="0044524F" w:rsidRDefault="00C7619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520F23D" w14:textId="77777777" w:rsidR="00CF593A" w:rsidRPr="0044524F" w:rsidRDefault="00CF59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весны 1933 г. на открытой площадке на территории авиазавода №135 велась окончательная сборка самолета К-7 кроме установки части комплектующих, не нужных на первом этапе испытаний.</w:t>
      </w:r>
    </w:p>
    <w:p w14:paraId="5BF9CBD3" w14:textId="77777777" w:rsidR="00CF593A" w:rsidRPr="0044524F" w:rsidRDefault="00CF593A" w:rsidP="009654CF">
      <w:pPr>
        <w:spacing w:after="0" w:line="240" w:lineRule="auto"/>
        <w:jc w:val="both"/>
        <w:rPr>
          <w:rFonts w:ascii="Times New Roman" w:hAnsi="Times New Roman"/>
          <w:color w:val="000000" w:themeColor="text1"/>
          <w:sz w:val="16"/>
          <w:szCs w:val="16"/>
        </w:rPr>
      </w:pPr>
    </w:p>
    <w:p w14:paraId="757534F3" w14:textId="77777777" w:rsidR="00CF593A" w:rsidRPr="0044524F" w:rsidRDefault="00CF59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 завод №39 начал постройку сверхмалой летающей лодки – амфибии СПЛ для базирования на подлодках, разработанной ОМОСС ЦКБ-39 под руководством И.В. Четверикова. Из-за отсутствия интереса к теме у Заказчика работы вскоре были прерваны, но Четвериков добивался их продолжения, предлагая использовать свой самолет также как гражданский в Полярной авиации (23554).</w:t>
      </w:r>
    </w:p>
    <w:p w14:paraId="2C7D32D5" w14:textId="77777777" w:rsidR="00CF593A" w:rsidRPr="0044524F" w:rsidRDefault="00CF593A" w:rsidP="009654CF">
      <w:pPr>
        <w:spacing w:after="0" w:line="240" w:lineRule="auto"/>
        <w:jc w:val="both"/>
        <w:rPr>
          <w:rFonts w:ascii="Times New Roman" w:hAnsi="Times New Roman"/>
          <w:color w:val="000000" w:themeColor="text1"/>
          <w:sz w:val="16"/>
          <w:szCs w:val="16"/>
        </w:rPr>
      </w:pPr>
    </w:p>
    <w:p w14:paraId="3F34E2CD" w14:textId="77777777" w:rsidR="0098523B" w:rsidRPr="00142305" w:rsidRDefault="0098523B" w:rsidP="0098523B">
      <w:pPr>
        <w:widowControl w:val="0"/>
        <w:tabs>
          <w:tab w:val="left" w:pos="486"/>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Весной 1933 года, когда стало очевид</w:t>
      </w:r>
      <w:r w:rsidRPr="00142305">
        <w:rPr>
          <w:rStyle w:val="aff"/>
          <w:rFonts w:ascii="Times New Roman" w:hAnsi="Times New Roman" w:cs="Times New Roman"/>
          <w:color w:val="0070C0"/>
          <w:spacing w:val="0"/>
          <w:sz w:val="16"/>
          <w:szCs w:val="16"/>
        </w:rPr>
        <w:softHyphen/>
        <w:t>ным, что ВВС не получит от промышленности нужных ВВС истребителей, главным образом из-за того, что промышленность не в со</w:t>
      </w:r>
      <w:r w:rsidRPr="00142305">
        <w:rPr>
          <w:rStyle w:val="aff"/>
          <w:rFonts w:ascii="Times New Roman" w:hAnsi="Times New Roman" w:cs="Times New Roman"/>
          <w:color w:val="0070C0"/>
          <w:spacing w:val="0"/>
          <w:sz w:val="16"/>
          <w:szCs w:val="16"/>
        </w:rPr>
        <w:softHyphen/>
        <w:t>стоянии дать современные мощные лег</w:t>
      </w:r>
      <w:r w:rsidRPr="00142305">
        <w:rPr>
          <w:rStyle w:val="aff"/>
          <w:rFonts w:ascii="Times New Roman" w:hAnsi="Times New Roman" w:cs="Times New Roman"/>
          <w:color w:val="0070C0"/>
          <w:spacing w:val="0"/>
          <w:sz w:val="16"/>
          <w:szCs w:val="16"/>
        </w:rPr>
        <w:softHyphen/>
        <w:t>кие моторы советской конструкции и совет</w:t>
      </w:r>
      <w:r w:rsidRPr="00142305">
        <w:rPr>
          <w:rStyle w:val="aff"/>
          <w:rFonts w:ascii="Times New Roman" w:hAnsi="Times New Roman" w:cs="Times New Roman"/>
          <w:color w:val="0070C0"/>
          <w:spacing w:val="0"/>
          <w:sz w:val="16"/>
          <w:szCs w:val="16"/>
        </w:rPr>
        <w:softHyphen/>
        <w:t>ского производства, ВВС совместно с про</w:t>
      </w:r>
      <w:r w:rsidRPr="00142305">
        <w:rPr>
          <w:rStyle w:val="aff"/>
          <w:rFonts w:ascii="Times New Roman" w:hAnsi="Times New Roman" w:cs="Times New Roman"/>
          <w:color w:val="0070C0"/>
          <w:spacing w:val="0"/>
          <w:sz w:val="16"/>
          <w:szCs w:val="16"/>
        </w:rPr>
        <w:softHyphen/>
        <w:t>мышленностью был поставлен вопрос о не</w:t>
      </w:r>
      <w:r w:rsidRPr="00142305">
        <w:rPr>
          <w:rStyle w:val="aff"/>
          <w:rFonts w:ascii="Times New Roman" w:hAnsi="Times New Roman" w:cs="Times New Roman"/>
          <w:color w:val="0070C0"/>
          <w:spacing w:val="0"/>
          <w:sz w:val="16"/>
          <w:szCs w:val="16"/>
        </w:rPr>
        <w:softHyphen/>
        <w:t>медленном заключении договора на покупку лицензии и техпомощи на мотор Райт-Циклон воздушного охлаждения фирмы Кертис-Райт специально для обеспечения нашей истреби</w:t>
      </w:r>
      <w:r w:rsidRPr="00142305">
        <w:rPr>
          <w:rStyle w:val="aff"/>
          <w:rFonts w:ascii="Times New Roman" w:hAnsi="Times New Roman" w:cs="Times New Roman"/>
          <w:color w:val="0070C0"/>
          <w:spacing w:val="0"/>
          <w:sz w:val="16"/>
          <w:szCs w:val="16"/>
        </w:rPr>
        <w:softHyphen/>
        <w:t>тельной авиации.</w:t>
      </w:r>
    </w:p>
    <w:p w14:paraId="6AEDA26B" w14:textId="77777777" w:rsidR="0098523B" w:rsidRPr="00142305" w:rsidRDefault="0098523B" w:rsidP="0098523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результате этой постановки вопроса в мае 1933 года Правительством разрешено за</w:t>
      </w:r>
      <w:r w:rsidRPr="00142305">
        <w:rPr>
          <w:rStyle w:val="aff"/>
          <w:rFonts w:ascii="Times New Roman" w:hAnsi="Times New Roman" w:cs="Times New Roman"/>
          <w:color w:val="0070C0"/>
          <w:spacing w:val="0"/>
          <w:sz w:val="16"/>
          <w:szCs w:val="16"/>
        </w:rPr>
        <w:softHyphen/>
        <w:t>ключить договор на приобретении лицензии и техпомощи на мотор Райт-Циклон для про</w:t>
      </w:r>
      <w:r w:rsidRPr="00142305">
        <w:rPr>
          <w:rStyle w:val="aff"/>
          <w:rFonts w:ascii="Times New Roman" w:hAnsi="Times New Roman" w:cs="Times New Roman"/>
          <w:color w:val="0070C0"/>
          <w:spacing w:val="0"/>
          <w:sz w:val="16"/>
          <w:szCs w:val="16"/>
        </w:rPr>
        <w:softHyphen/>
        <w:t>изводства его в Союзе (25519).</w:t>
      </w:r>
    </w:p>
    <w:p w14:paraId="397CDBCE" w14:textId="77777777" w:rsidR="0098523B" w:rsidRPr="00142305" w:rsidRDefault="0098523B" w:rsidP="0098523B">
      <w:pPr>
        <w:spacing w:after="0" w:line="240" w:lineRule="auto"/>
        <w:jc w:val="both"/>
        <w:rPr>
          <w:rFonts w:ascii="Times New Roman" w:hAnsi="Times New Roman"/>
          <w:color w:val="0070C0"/>
          <w:sz w:val="16"/>
          <w:szCs w:val="16"/>
        </w:rPr>
      </w:pPr>
    </w:p>
    <w:p w14:paraId="4D7E96E5"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года народный комиссар по военным и морским делам К.Е. Вороши</w:t>
      </w:r>
      <w:r w:rsidRPr="0044524F">
        <w:rPr>
          <w:rFonts w:ascii="Times New Roman" w:hAnsi="Times New Roman"/>
          <w:color w:val="000000" w:themeColor="text1"/>
          <w:sz w:val="16"/>
          <w:szCs w:val="16"/>
        </w:rPr>
        <w:softHyphen/>
        <w:t>лов дал согласие на рекордно дальний пере</w:t>
      </w:r>
      <w:r w:rsidRPr="0044524F">
        <w:rPr>
          <w:rFonts w:ascii="Times New Roman" w:hAnsi="Times New Roman"/>
          <w:color w:val="000000" w:themeColor="text1"/>
          <w:sz w:val="16"/>
          <w:szCs w:val="16"/>
        </w:rPr>
        <w:softHyphen/>
        <w:t>лет по маршруту Москва - Оренбург - Но</w:t>
      </w:r>
      <w:r w:rsidRPr="0044524F">
        <w:rPr>
          <w:rFonts w:ascii="Times New Roman" w:hAnsi="Times New Roman"/>
          <w:color w:val="000000" w:themeColor="text1"/>
          <w:sz w:val="16"/>
          <w:szCs w:val="16"/>
        </w:rPr>
        <w:softHyphen/>
        <w:t>восибирск — Чита — Новосибирск — Орен</w:t>
      </w:r>
      <w:r w:rsidRPr="0044524F">
        <w:rPr>
          <w:rFonts w:ascii="Times New Roman" w:hAnsi="Times New Roman"/>
          <w:color w:val="000000" w:themeColor="text1"/>
          <w:sz w:val="16"/>
          <w:szCs w:val="16"/>
        </w:rPr>
        <w:softHyphen/>
        <w:t>бург— Харьков — Москва, протяженностью 10 150 км и 31 мая сообщил об этом началь</w:t>
      </w:r>
      <w:r w:rsidRPr="0044524F">
        <w:rPr>
          <w:rFonts w:ascii="Times New Roman" w:hAnsi="Times New Roman"/>
          <w:color w:val="000000" w:themeColor="text1"/>
          <w:sz w:val="16"/>
          <w:szCs w:val="16"/>
        </w:rPr>
        <w:softHyphen/>
        <w:t xml:space="preserve">нику Главного управления </w:t>
      </w:r>
      <w:r w:rsidRPr="0044524F">
        <w:rPr>
          <w:rFonts w:ascii="Times New Roman" w:hAnsi="Times New Roman"/>
          <w:color w:val="000000" w:themeColor="text1"/>
          <w:sz w:val="16"/>
          <w:szCs w:val="16"/>
        </w:rPr>
        <w:lastRenderedPageBreak/>
        <w:t>авиационной промышленности (ГУАП) П.И. Барано</w:t>
      </w:r>
      <w:r w:rsidRPr="0044524F">
        <w:rPr>
          <w:rFonts w:ascii="Times New Roman" w:hAnsi="Times New Roman"/>
          <w:color w:val="000000" w:themeColor="text1"/>
          <w:sz w:val="16"/>
          <w:szCs w:val="16"/>
        </w:rPr>
        <w:softHyphen/>
        <w:t>ву. Взлет по указанию наркома следовало производить с аэродрома, расположенного вблизи железнодорожной станции Томская (ныне Чкаловская) недалеко от подмосков</w:t>
      </w:r>
      <w:r w:rsidRPr="0044524F">
        <w:rPr>
          <w:rFonts w:ascii="Times New Roman" w:hAnsi="Times New Roman"/>
          <w:color w:val="000000" w:themeColor="text1"/>
          <w:sz w:val="16"/>
          <w:szCs w:val="16"/>
        </w:rPr>
        <w:softHyphen/>
        <w:t>ного города Щелково, где надлежало по</w:t>
      </w:r>
      <w:r w:rsidRPr="0044524F">
        <w:rPr>
          <w:rFonts w:ascii="Times New Roman" w:hAnsi="Times New Roman"/>
          <w:color w:val="000000" w:themeColor="text1"/>
          <w:sz w:val="16"/>
          <w:szCs w:val="16"/>
        </w:rPr>
        <w:softHyphen/>
        <w:t>строить бетонированную взлетную дорож</w:t>
      </w:r>
      <w:r w:rsidRPr="0044524F">
        <w:rPr>
          <w:rFonts w:ascii="Times New Roman" w:hAnsi="Times New Roman"/>
          <w:color w:val="000000" w:themeColor="text1"/>
          <w:sz w:val="16"/>
          <w:szCs w:val="16"/>
        </w:rPr>
        <w:softHyphen/>
        <w:t>ку. Техническое задание на строительство было угверждено ориентировочно 7 июня 1933 года.</w:t>
      </w:r>
    </w:p>
    <w:p w14:paraId="0C6FB59F"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Спустя шесть дней разработали техниче</w:t>
      </w:r>
      <w:r w:rsidRPr="0044524F">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44524F">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44524F">
        <w:rPr>
          <w:rFonts w:ascii="Times New Roman" w:hAnsi="Times New Roman"/>
          <w:color w:val="000000" w:themeColor="text1"/>
          <w:sz w:val="16"/>
          <w:szCs w:val="16"/>
        </w:rPr>
        <w:softHyphen/>
        <w:t>ризонтальную части с площадкой разме</w:t>
      </w:r>
      <w:r w:rsidRPr="0044524F">
        <w:rPr>
          <w:rFonts w:ascii="Times New Roman" w:hAnsi="Times New Roman"/>
          <w:color w:val="000000" w:themeColor="text1"/>
          <w:sz w:val="16"/>
          <w:szCs w:val="16"/>
        </w:rPr>
        <w:softHyphen/>
        <w:t>ром 25x25 метров, расположенной на вер</w:t>
      </w:r>
      <w:r w:rsidRPr="0044524F">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44524F">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44524F">
        <w:rPr>
          <w:rFonts w:ascii="Times New Roman" w:hAnsi="Times New Roman"/>
          <w:color w:val="000000" w:themeColor="text1"/>
          <w:sz w:val="16"/>
          <w:szCs w:val="16"/>
        </w:rPr>
        <w:softHyphen/>
        <w:t>ность бетонной дорожки возросла с 1500 до 1800 метров. Наклонная часть старто</w:t>
      </w:r>
      <w:r w:rsidRPr="0044524F">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44524F">
        <w:rPr>
          <w:rFonts w:ascii="Times New Roman" w:hAnsi="Times New Roman"/>
          <w:color w:val="000000" w:themeColor="text1"/>
          <w:sz w:val="16"/>
          <w:szCs w:val="16"/>
        </w:rPr>
        <w:softHyphen/>
        <w:t>вовала до середины 1960-х годов. Этот па</w:t>
      </w:r>
      <w:r w:rsidRPr="0044524F">
        <w:rPr>
          <w:rFonts w:ascii="Times New Roman" w:hAnsi="Times New Roman"/>
          <w:color w:val="000000" w:themeColor="text1"/>
          <w:sz w:val="16"/>
          <w:szCs w:val="16"/>
        </w:rPr>
        <w:softHyphen/>
        <w:t>мятник истории снесли по нелепому рас</w:t>
      </w:r>
      <w:r w:rsidRPr="0044524F">
        <w:rPr>
          <w:rFonts w:ascii="Times New Roman" w:hAnsi="Times New Roman"/>
          <w:color w:val="000000" w:themeColor="text1"/>
          <w:sz w:val="16"/>
          <w:szCs w:val="16"/>
        </w:rPr>
        <w:softHyphen/>
        <w:t>поряжению генерала Н. Пушко, совме</w:t>
      </w:r>
      <w:r w:rsidRPr="0044524F">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44524F">
        <w:rPr>
          <w:rFonts w:ascii="Times New Roman" w:hAnsi="Times New Roman"/>
          <w:color w:val="000000" w:themeColor="text1"/>
          <w:sz w:val="16"/>
          <w:szCs w:val="16"/>
        </w:rPr>
        <w:softHyphen/>
        <w:t>ющей к аэродрому, и начальника Щелков</w:t>
      </w:r>
      <w:r w:rsidRPr="0044524F">
        <w:rPr>
          <w:rFonts w:ascii="Times New Roman" w:hAnsi="Times New Roman"/>
          <w:color w:val="000000" w:themeColor="text1"/>
          <w:sz w:val="16"/>
          <w:szCs w:val="16"/>
        </w:rPr>
        <w:softHyphen/>
        <w:t>ского гарнизона.</w:t>
      </w:r>
    </w:p>
    <w:p w14:paraId="349753DA"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со строительством поло</w:t>
      </w:r>
      <w:r w:rsidRPr="0044524F">
        <w:rPr>
          <w:rFonts w:ascii="Times New Roman" w:hAnsi="Times New Roman"/>
          <w:color w:val="000000" w:themeColor="text1"/>
          <w:sz w:val="16"/>
          <w:szCs w:val="16"/>
        </w:rPr>
        <w:softHyphen/>
        <w:t>сы 2000 рабочих и красноармейцев в те</w:t>
      </w:r>
      <w:r w:rsidRPr="0044524F">
        <w:rPr>
          <w:rFonts w:ascii="Times New Roman" w:hAnsi="Times New Roman"/>
          <w:color w:val="000000" w:themeColor="text1"/>
          <w:sz w:val="16"/>
          <w:szCs w:val="16"/>
        </w:rPr>
        <w:softHyphen/>
        <w:t>чение 15 суток сравнивали большой зем</w:t>
      </w:r>
      <w:r w:rsidRPr="0044524F">
        <w:rPr>
          <w:rFonts w:ascii="Times New Roman" w:hAnsi="Times New Roman"/>
          <w:color w:val="000000" w:themeColor="text1"/>
          <w:sz w:val="16"/>
          <w:szCs w:val="16"/>
        </w:rPr>
        <w:softHyphen/>
        <w:t>ляной холм, лежавший на пути самоле</w:t>
      </w:r>
      <w:r w:rsidRPr="0044524F">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44524F">
        <w:rPr>
          <w:rFonts w:ascii="Times New Roman" w:hAnsi="Times New Roman"/>
          <w:color w:val="000000" w:themeColor="text1"/>
          <w:sz w:val="16"/>
          <w:szCs w:val="16"/>
        </w:rPr>
        <w:softHyphen/>
        <w:t>венное препятствие.</w:t>
      </w:r>
    </w:p>
    <w:p w14:paraId="2C78A9CA"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Подобных бетонных дорожек со старто</w:t>
      </w:r>
      <w:r w:rsidRPr="0044524F">
        <w:rPr>
          <w:rFonts w:ascii="Times New Roman" w:hAnsi="Times New Roman"/>
          <w:color w:val="000000" w:themeColor="text1"/>
          <w:sz w:val="16"/>
          <w:szCs w:val="16"/>
        </w:rPr>
        <w:softHyphen/>
        <w:t>вой горкой не было ни в одной стране ми</w:t>
      </w:r>
      <w:r w:rsidRPr="0044524F">
        <w:rPr>
          <w:rFonts w:ascii="Times New Roman" w:hAnsi="Times New Roman"/>
          <w:color w:val="000000" w:themeColor="text1"/>
          <w:sz w:val="16"/>
          <w:szCs w:val="16"/>
        </w:rPr>
        <w:softHyphen/>
        <w:t>ра, и причиной ее появления было отсутст</w:t>
      </w:r>
      <w:r w:rsidRPr="0044524F">
        <w:rPr>
          <w:rFonts w:ascii="Times New Roman" w:hAnsi="Times New Roman"/>
          <w:color w:val="000000" w:themeColor="text1"/>
          <w:sz w:val="16"/>
          <w:szCs w:val="16"/>
        </w:rPr>
        <w:softHyphen/>
        <w:t>вие тормозов колес у самолета РД. Послед</w:t>
      </w:r>
      <w:r w:rsidRPr="0044524F">
        <w:rPr>
          <w:rFonts w:ascii="Times New Roman" w:hAnsi="Times New Roman"/>
          <w:color w:val="000000" w:themeColor="text1"/>
          <w:sz w:val="16"/>
          <w:szCs w:val="16"/>
        </w:rPr>
        <w:softHyphen/>
        <w:t>нее обстоятельство усложняло выдержива</w:t>
      </w:r>
      <w:r w:rsidRPr="0044524F">
        <w:rPr>
          <w:rFonts w:ascii="Times New Roman" w:hAnsi="Times New Roman"/>
          <w:color w:val="000000" w:themeColor="text1"/>
          <w:sz w:val="16"/>
          <w:szCs w:val="16"/>
        </w:rPr>
        <w:softHyphen/>
        <w:t>ние направления разбега тяжелой маши</w:t>
      </w:r>
      <w:r w:rsidRPr="0044524F">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44524F">
        <w:rPr>
          <w:rFonts w:ascii="Times New Roman" w:hAnsi="Times New Roman"/>
          <w:color w:val="000000" w:themeColor="text1"/>
          <w:sz w:val="16"/>
          <w:szCs w:val="16"/>
        </w:rPr>
        <w:softHyphen/>
        <w:t>хранять его направление с помощью аэро</w:t>
      </w:r>
      <w:r w:rsidRPr="0044524F">
        <w:rPr>
          <w:rFonts w:ascii="Times New Roman" w:hAnsi="Times New Roman"/>
          <w:color w:val="000000" w:themeColor="text1"/>
          <w:sz w:val="16"/>
          <w:szCs w:val="16"/>
        </w:rPr>
        <w:softHyphen/>
        <w:t>динамического руля.</w:t>
      </w:r>
    </w:p>
    <w:p w14:paraId="2C166AD3" w14:textId="77777777" w:rsidR="00185C06" w:rsidRPr="0044524F" w:rsidRDefault="00185C06" w:rsidP="009654CF">
      <w:pPr>
        <w:pStyle w:val="txt1"/>
        <w:shd w:val="clear" w:color="auto" w:fill="FFFFFF"/>
        <w:spacing w:before="0" w:beforeAutospacing="0" w:after="0" w:afterAutospacing="0" w:line="240" w:lineRule="auto"/>
        <w:ind w:firstLine="0"/>
        <w:rPr>
          <w:color w:val="000000" w:themeColor="text1"/>
          <w:sz w:val="16"/>
          <w:szCs w:val="16"/>
        </w:rPr>
      </w:pPr>
      <w:r w:rsidRPr="0044524F">
        <w:rPr>
          <w:color w:val="000000" w:themeColor="text1"/>
          <w:sz w:val="16"/>
          <w:szCs w:val="16"/>
        </w:rPr>
        <w:t>Впоследствии аэродром НИИ ВВС стали называть Чкаловская в соответствии с од</w:t>
      </w:r>
      <w:r w:rsidRPr="0044524F">
        <w:rPr>
          <w:color w:val="000000" w:themeColor="text1"/>
          <w:sz w:val="16"/>
          <w:szCs w:val="16"/>
        </w:rPr>
        <w:softHyphen/>
        <w:t>ноименной железнодорожной станцией (12725).</w:t>
      </w:r>
    </w:p>
    <w:p w14:paraId="730CDC38" w14:textId="77777777" w:rsidR="00185C06" w:rsidRPr="0044524F" w:rsidRDefault="00185C06" w:rsidP="009654CF">
      <w:pPr>
        <w:pStyle w:val="txt1"/>
        <w:shd w:val="clear" w:color="auto" w:fill="FFFFFF"/>
        <w:spacing w:before="0" w:beforeAutospacing="0" w:after="0" w:afterAutospacing="0" w:line="240" w:lineRule="auto"/>
        <w:ind w:firstLine="0"/>
        <w:rPr>
          <w:color w:val="000000" w:themeColor="text1"/>
          <w:sz w:val="16"/>
          <w:szCs w:val="16"/>
        </w:rPr>
      </w:pPr>
    </w:p>
    <w:p w14:paraId="3EA67D7A"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Весной 1933 г. начальник УВС ГУСМП М.И. Шевелёв поручил Леваневскому, перешедшему в ГСМП из ВВС, перегнать полученную от ВВС Чёрного моря подержанную летающую лодку Дорнье «Валь» Н-8 из Севастополя в Ха</w:t>
      </w:r>
      <w:r w:rsidRPr="00142305">
        <w:rPr>
          <w:rStyle w:val="aff"/>
          <w:rFonts w:ascii="Times New Roman" w:hAnsi="Times New Roman" w:cs="Times New Roman"/>
          <w:color w:val="0070C0"/>
          <w:spacing w:val="0"/>
          <w:sz w:val="16"/>
          <w:szCs w:val="16"/>
        </w:rPr>
        <w:softHyphen/>
        <w:t>баровск, а затем, после её ремонта и дооборудования, пере</w:t>
      </w:r>
      <w:r w:rsidRPr="00142305">
        <w:rPr>
          <w:rStyle w:val="aff"/>
          <w:rFonts w:ascii="Times New Roman" w:hAnsi="Times New Roman" w:cs="Times New Roman"/>
          <w:color w:val="0070C0"/>
          <w:spacing w:val="0"/>
          <w:sz w:val="16"/>
          <w:szCs w:val="16"/>
        </w:rPr>
        <w:softHyphen/>
        <w:t>лететь на Чукотку для проведения ледовой разведки.</w:t>
      </w:r>
    </w:p>
    <w:p w14:paraId="14288E16"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Совершив 11 промежуточных посадок, экипаж С.А. Лева</w:t>
      </w:r>
      <w:r w:rsidRPr="00142305">
        <w:rPr>
          <w:rStyle w:val="aff"/>
          <w:rFonts w:ascii="Times New Roman" w:hAnsi="Times New Roman" w:cs="Times New Roman"/>
          <w:color w:val="0070C0"/>
          <w:spacing w:val="0"/>
          <w:sz w:val="16"/>
          <w:szCs w:val="16"/>
        </w:rPr>
        <w:softHyphen/>
        <w:t>невского (второй пилот Г.Д. Страубе, лётнаб В.П. Левченко, бортмеханик Б.Г. Крутский, помощник бортмеханика Б. Мо</w:t>
      </w:r>
      <w:r w:rsidRPr="00142305">
        <w:rPr>
          <w:rStyle w:val="aff"/>
          <w:rFonts w:ascii="Times New Roman" w:hAnsi="Times New Roman" w:cs="Times New Roman"/>
          <w:color w:val="0070C0"/>
          <w:spacing w:val="0"/>
          <w:sz w:val="16"/>
          <w:szCs w:val="16"/>
        </w:rPr>
        <w:softHyphen/>
        <w:t>торин) добрался до Хабаровска, где предстояло заняться капитальным ремонтом. Однако здесь его настигла теле</w:t>
      </w:r>
      <w:r w:rsidRPr="00142305">
        <w:rPr>
          <w:rStyle w:val="aff"/>
          <w:rFonts w:ascii="Times New Roman" w:hAnsi="Times New Roman" w:cs="Times New Roman"/>
          <w:color w:val="0070C0"/>
          <w:spacing w:val="0"/>
          <w:sz w:val="16"/>
          <w:szCs w:val="16"/>
        </w:rPr>
        <w:softHyphen/>
        <w:t>грамма, требовавшая, как вспоминал сам лётчик, «немедленно выехать в Верхнеудинск и перегнать 3-моторный самолёт «ЮГ-1». Летники говорили, что «это сумасшествие лететь по сухопутному участку на самолёте-лодке. Я на «ЮГ» ни</w:t>
      </w:r>
      <w:r w:rsidRPr="00142305">
        <w:rPr>
          <w:rStyle w:val="aff"/>
          <w:rFonts w:ascii="Times New Roman" w:hAnsi="Times New Roman" w:cs="Times New Roman"/>
          <w:color w:val="0070C0"/>
          <w:spacing w:val="0"/>
          <w:sz w:val="16"/>
          <w:szCs w:val="16"/>
        </w:rPr>
        <w:softHyphen/>
        <w:t>когда не садился, но был в себе уверен. Действительно, через 4 дня машина была в Хабаровске в полной сохранности (25653).</w:t>
      </w:r>
    </w:p>
    <w:p w14:paraId="72DF9085" w14:textId="77777777" w:rsidR="0098523B" w:rsidRPr="00142305" w:rsidRDefault="0098523B" w:rsidP="0098523B">
      <w:pPr>
        <w:spacing w:after="0" w:line="240" w:lineRule="auto"/>
        <w:jc w:val="both"/>
        <w:rPr>
          <w:rFonts w:ascii="Times New Roman" w:hAnsi="Times New Roman"/>
          <w:color w:val="0070C0"/>
          <w:sz w:val="16"/>
          <w:szCs w:val="16"/>
        </w:rPr>
      </w:pPr>
    </w:p>
    <w:p w14:paraId="3D8CF7A8" w14:textId="77777777" w:rsidR="00CF593A" w:rsidRPr="0044524F" w:rsidRDefault="00CF59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Тухачевскому для организуемого РНИИ были представлены два помеще</w:t>
      </w:r>
      <w:r w:rsidRPr="0044524F">
        <w:rPr>
          <w:rFonts w:ascii="Times New Roman" w:hAnsi="Times New Roman"/>
          <w:color w:val="000000" w:themeColor="text1"/>
          <w:sz w:val="16"/>
          <w:szCs w:val="16"/>
        </w:rPr>
        <w:softHyphen/>
        <w:t>ния: Институт пушнины и Всесоюзный институт сельскохозяйственного машиностроени (ВИСХОМ). Съездив на окра</w:t>
      </w:r>
      <w:r w:rsidRPr="0044524F">
        <w:rPr>
          <w:rFonts w:ascii="Times New Roman" w:hAnsi="Times New Roman"/>
          <w:color w:val="000000" w:themeColor="text1"/>
          <w:sz w:val="16"/>
          <w:szCs w:val="16"/>
        </w:rPr>
        <w:softHyphen/>
        <w:t>ину Москвы, в Лихоборы, на Лихачевское шоссе, маршал осмотрел одно из помеще</w:t>
      </w:r>
      <w:r w:rsidRPr="0044524F">
        <w:rPr>
          <w:rFonts w:ascii="Times New Roman" w:hAnsi="Times New Roman"/>
          <w:color w:val="000000" w:themeColor="text1"/>
          <w:sz w:val="16"/>
          <w:szCs w:val="16"/>
        </w:rPr>
        <w:softHyphen/>
        <w:t>ний, остался им доволен, и распорядился изъять его у ВИСХОМа (23510).</w:t>
      </w:r>
    </w:p>
    <w:p w14:paraId="6405C76A" w14:textId="77777777" w:rsidR="00CF593A" w:rsidRPr="0044524F" w:rsidRDefault="00CF593A" w:rsidP="009654CF">
      <w:pPr>
        <w:spacing w:after="0" w:line="240" w:lineRule="auto"/>
        <w:jc w:val="both"/>
        <w:rPr>
          <w:rFonts w:ascii="Times New Roman" w:hAnsi="Times New Roman"/>
          <w:color w:val="000000" w:themeColor="text1"/>
          <w:sz w:val="16"/>
          <w:szCs w:val="16"/>
        </w:rPr>
      </w:pPr>
    </w:p>
    <w:p w14:paraId="4F6939B1" w14:textId="77777777" w:rsidR="00006C61" w:rsidRPr="0044524F" w:rsidRDefault="00006C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 Начальник Дирижаблестроя Фельдман, подчеркивая важность В-6, говорил начальнику Конструкторского Бюро Нобиле: «Основной корабль - 8500 м3. Этот корабль решает всё, его все ждут. По этому кораблю будут судить о нашей работе и выпустить этот корабль с очень большим запозданием или плохого качества - значит нанести очень серьезный ущерб делу дирижаблестроения» [4, л.215]. Строительство В-6 было завершено только к началу ноября 1934 г. Приказом по Дирижаблестрою № 344 от 2 ноября 1934 г. был определен экипаж для первого испытательного полета дирижабля СССР В-6 «Осоавиахим» из 16 человек, шеф-командиром корабля назначался главный конструктор У. Нобиле [2, с. 104]. Как и при проектировании В-5, в чертежах В-6 не обошлось без ошибок. Так, еще в апреле 1933 г. из 370 чертежей пассажирской гондолы исправлению было подвергнуто 259 [4, л.223]. Не выявленные вовремя ошибки привели к дефектам. Комиссия по испытанию корабля В-6 в протоколе заседания от 5 декабря 1934 г. указала, что корабль может пройти заводские испытания после завершения «необходимых доделок и переделок», количество которых составляло 21, в том числе 6 - по винто-моторной группе [5, л.35]. Дирижабль В-7 был закончен к 15 августа 1934 г. [14, л. 70-78], но подняться в воздух ему суждено не было. 16 августа 1934 г. в 18 часов 28 минут от удара молнии в деревянном эллинге начался пожар вследствие которого сгорели дирижабли В-7, В-4, а так же гондола и оперение дирижабля В-5. Все имущество, сгоревшее в эллинге 16 августа 1934 г., было оценено в 2 690 643 руб. 43 коп [5, л.100-101]. Расследование показало, что для сборки дирижаблей сгоревший эллинг не годился, т. к. представлял большую опасность в пожарном отношении. Не было обеспечения подъездными путями, подводкой воды, пожарными кранами и шлангами. Эллинг технически не соответствовал назначению - сборке дирижабля В-7, так как был слишком тесен. Руководство Дирижаблестроя не использовало возможность перевести В-7 из деревянного эллинга в металлический [5, л.109] (15797).</w:t>
      </w:r>
    </w:p>
    <w:p w14:paraId="12D72421" w14:textId="77777777" w:rsidR="00006C61" w:rsidRPr="0044524F" w:rsidRDefault="00006C61" w:rsidP="009654CF">
      <w:pPr>
        <w:spacing w:after="0" w:line="240" w:lineRule="auto"/>
        <w:jc w:val="both"/>
        <w:rPr>
          <w:rFonts w:ascii="Times New Roman" w:hAnsi="Times New Roman"/>
          <w:color w:val="000000" w:themeColor="text1"/>
          <w:sz w:val="16"/>
          <w:szCs w:val="16"/>
        </w:rPr>
      </w:pPr>
    </w:p>
    <w:p w14:paraId="6291BDE2"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C2E7447"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D2F6DDB"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 для проектирования самоходного триплекса тяжелой артиллерии особого назначения (ТАОН) еще была образована особая группа в составе трех конструкто</w:t>
      </w:r>
      <w:r w:rsidRPr="0044524F">
        <w:rPr>
          <w:rFonts w:ascii="Times New Roman" w:hAnsi="Times New Roman"/>
          <w:color w:val="000000" w:themeColor="text1"/>
          <w:sz w:val="16"/>
          <w:szCs w:val="16"/>
        </w:rPr>
        <w:softHyphen/>
        <w:t>ров КБ завода «Большевик» и шести сотрудников отдела самоходной артиллерии опытного завода № 185 под общим руководством П.Н. Сячинтова. Уже в октябре 1933 г. ГАУ РККА рассмотрел вопрос о ходе эскизного проектирова</w:t>
      </w:r>
      <w:r w:rsidRPr="0044524F">
        <w:rPr>
          <w:rFonts w:ascii="Times New Roman" w:hAnsi="Times New Roman"/>
          <w:color w:val="000000" w:themeColor="text1"/>
          <w:sz w:val="16"/>
          <w:szCs w:val="16"/>
        </w:rPr>
        <w:softHyphen/>
        <w:t>ния комбинированной самоходной установки для «боль</w:t>
      </w:r>
      <w:r w:rsidRPr="0044524F">
        <w:rPr>
          <w:rFonts w:ascii="Times New Roman" w:hAnsi="Times New Roman"/>
          <w:color w:val="000000" w:themeColor="text1"/>
          <w:sz w:val="16"/>
          <w:szCs w:val="16"/>
        </w:rPr>
        <w:softHyphen/>
        <w:t>шого триплекса» в составе 254-мм пушки, 305-мм гаубицы и 400-мм мортиры на едином самоходном лафете (11417).</w:t>
      </w:r>
    </w:p>
    <w:p w14:paraId="4F964EE3"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5D3CB2"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весны 1933 г. 45-мм пушка уже считается основ</w:t>
      </w:r>
      <w:r w:rsidRPr="0044524F">
        <w:rPr>
          <w:rFonts w:ascii="Times New Roman" w:hAnsi="Times New Roman"/>
          <w:color w:val="000000" w:themeColor="text1"/>
          <w:sz w:val="16"/>
          <w:szCs w:val="16"/>
        </w:rPr>
        <w:softHyphen/>
        <w:t>ным оружием для танков Т-26 и БТ. Правда, конструкция пушки 20К обр. 1932 г. была еще несовершенна. Полуавто</w:t>
      </w:r>
      <w:r w:rsidRPr="0044524F">
        <w:rPr>
          <w:rFonts w:ascii="Times New Roman" w:hAnsi="Times New Roman"/>
          <w:color w:val="000000" w:themeColor="text1"/>
          <w:sz w:val="16"/>
          <w:szCs w:val="16"/>
        </w:rPr>
        <w:softHyphen/>
        <w:t>матика давала большое число отказов, что приводило к не</w:t>
      </w:r>
      <w:r w:rsidRPr="0044524F">
        <w:rPr>
          <w:rFonts w:ascii="Times New Roman" w:hAnsi="Times New Roman"/>
          <w:color w:val="000000" w:themeColor="text1"/>
          <w:sz w:val="16"/>
          <w:szCs w:val="16"/>
        </w:rPr>
        <w:softHyphen/>
        <w:t>обходимости частого ручного разряжания и значительно снижало скорострельность (10733,214).</w:t>
      </w:r>
    </w:p>
    <w:p w14:paraId="17EE5787"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A087DF"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 слушатели ВАММ предъявили три решения по переоборудованию Т-26 в колесно-гусеничный, на основании которых НИО ВАММ начал разработку колесно-гусеничного танка, предназначенного на замену Т-26 в подвижных со</w:t>
      </w:r>
      <w:r w:rsidRPr="0044524F">
        <w:rPr>
          <w:rFonts w:ascii="Times New Roman" w:hAnsi="Times New Roman"/>
          <w:color w:val="000000" w:themeColor="text1"/>
          <w:sz w:val="16"/>
          <w:szCs w:val="16"/>
        </w:rPr>
        <w:softHyphen/>
        <w:t>единениях. Согласно требованиям предполагалось при возможно более полном сохранении корпуса, двигателя и вооружения Т-26 установить его на колесно-гусеничный ход для увеличения оперативной подвижности (10733,307).</w:t>
      </w:r>
    </w:p>
    <w:p w14:paraId="028947D6"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959DB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был разработан проект установки дизеля БД-2 в БТ-5, но смогли сделать лишь в середине 1934 (3880,17).</w:t>
      </w:r>
    </w:p>
    <w:p w14:paraId="71CFEEB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0C0A948D" w14:textId="77777777" w:rsidR="00CF593A" w:rsidRPr="0044524F" w:rsidRDefault="00CF59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 Коллегия Наркомтяжпрома сообщала, что иностранные рабочие и инженеры оказали существенную помощь в строительстве, пуске и освоении новых производств: Магнитстрой, Кузнецкстрой, ХТЗ, СТЗ, ГАЗ, автозавод им. Сталина, Электрокомбинат, Электроаппарат, Челябинский ферросплавный завод, Электросталь, Красноуральский медеплавильный комбинат и др. Подчёркивалась существенная роль иностранных специалистов в обучении персонала при пуске Краммашкомбината, Уралмашзавода и Запорожстали. При этом большевистское руководство предприятий предпринимало попытки освободиться от иностранцев. Например, так было на предприятиях Востоксоюзстроя, Союзстандартжилстроя, Металлостройпроекта, Союзтран-стехпрома. В справке наркомата говорится, что затраты валюты на иностранные кадры с избытком себя оправдывают и позволяют сберечь значительные суммы из-за улучшения методов работы и повышения производительности труда (23485).</w:t>
      </w:r>
    </w:p>
    <w:p w14:paraId="0CF1A67D" w14:textId="77777777" w:rsidR="00CF593A" w:rsidRPr="0044524F" w:rsidRDefault="00CF593A" w:rsidP="009654CF">
      <w:pPr>
        <w:spacing w:after="0" w:line="240" w:lineRule="auto"/>
        <w:jc w:val="both"/>
        <w:rPr>
          <w:rFonts w:ascii="Times New Roman" w:hAnsi="Times New Roman"/>
          <w:color w:val="000000" w:themeColor="text1"/>
          <w:sz w:val="16"/>
          <w:szCs w:val="16"/>
        </w:rPr>
      </w:pPr>
    </w:p>
    <w:p w14:paraId="2D8CC4E8" w14:textId="77777777" w:rsidR="00CF593A" w:rsidRPr="0044524F" w:rsidRDefault="00CF59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 в вопросе о выборе дизеля для танка БТ руководство УММ РККА основную ставку делало на дизель ПГЕ, как на единственный дизель, проверенный в работе (24856).</w:t>
      </w:r>
    </w:p>
    <w:p w14:paraId="0C6AB44D" w14:textId="77777777" w:rsidR="00CF593A" w:rsidRPr="0044524F" w:rsidRDefault="00CF593A" w:rsidP="009654CF">
      <w:pPr>
        <w:spacing w:after="0" w:line="240" w:lineRule="auto"/>
        <w:jc w:val="both"/>
        <w:rPr>
          <w:rFonts w:ascii="Times New Roman" w:hAnsi="Times New Roman"/>
          <w:color w:val="000000" w:themeColor="text1"/>
          <w:sz w:val="16"/>
          <w:szCs w:val="16"/>
        </w:rPr>
      </w:pPr>
    </w:p>
    <w:p w14:paraId="5106AC2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0807A97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63902AE9" w14:textId="77777777" w:rsidR="00FD16A4" w:rsidRPr="0044524F" w:rsidRDefault="00FD16A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Весной 1933 г. при подведении итогов работы промышленности в предшествующем году выяснилось, что заказ НКВМ на боевые самолеты был выполнен на 51%, авиабомбы - на 50%, малые танки (Т-26) - на 85%, средние танки (БТ) - на 66%. В абсолютных цифрах общее чисто произведенных в 1932 г. танков составило 3500, а </w:t>
      </w:r>
      <w:r w:rsidRPr="0044524F">
        <w:rPr>
          <w:rFonts w:ascii="Times New Roman" w:eastAsia="Times New Roman" w:hAnsi="Times New Roman"/>
          <w:color w:val="000000" w:themeColor="text1"/>
          <w:sz w:val="16"/>
          <w:szCs w:val="16"/>
          <w:lang w:eastAsia="ru-RU"/>
        </w:rPr>
        <w:lastRenderedPageBreak/>
        <w:t>самолетов- 1000 машин. Выпуск пулеметов позволил достичь обеспеченности РККА в этом виде артвооружений. По тяжелым артсистемам, напротив, констатировался провал: план производства 152-миллиметровых мортир был выполнен на 8%, 152-миллиметровых пушек - на 1%, 203-миллиметровых гаубиц - на 26%. Что было еще хуже, из 7 млн заказанных военными снарядов промышнность в 1932 г. подала всего 2 млн254. Хотя прямое соотнесение способности промышленности обеспечить подачу первого года войны с выполнением ею заказов мирного времени, разумеется, невозможно, их общее сопоставление применительно к плану мобилизационного развертывания на 1933 г. убеждает в его необеспеченности не только по людским и транспортным ресурсам, но и по вооружению (22725).</w:t>
      </w:r>
    </w:p>
    <w:p w14:paraId="2CCB1ADE" w14:textId="77777777" w:rsidR="00FD16A4" w:rsidRPr="0044524F" w:rsidRDefault="00FD16A4" w:rsidP="009654CF">
      <w:pPr>
        <w:spacing w:after="0" w:line="240" w:lineRule="auto"/>
        <w:jc w:val="both"/>
        <w:rPr>
          <w:rFonts w:ascii="Times New Roman" w:hAnsi="Times New Roman"/>
          <w:color w:val="000000" w:themeColor="text1"/>
          <w:sz w:val="16"/>
          <w:szCs w:val="16"/>
        </w:rPr>
      </w:pPr>
    </w:p>
    <w:p w14:paraId="7C7E732C" w14:textId="77777777" w:rsidR="00FD16A4" w:rsidRPr="0044524F" w:rsidRDefault="00FD16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Весной 1933 года приоритет по Т-34 был высокий (предполагалось выпускать это танк на ЗИС, так теперь именовался АМО), 28 марта в Москву передали комплект чертежей. Но 13 августа 1933 года на вооружение Красной Армии приняли разведывательный танк-амфибию Т-37. Разработали его в КБ завода №37 в плотном сотрудничестве с ОКМО. Таким образом, Красная Армия пошла своим путем. Вместо "патрульного" танка, как это сделали в ряде стран, у нас поставили на плавающий танк-разведчик. И нельзя сказать, что ошиблись. Т-37 (позже Т-37А) и Т-38 были первыми реально массовыми танками-амфибиями. Т-34 же в обновленной системе вооружения места не нашлось. Машина не стала бесполезной тратой времени, ее элементы можно видеть в других танках. Но с "патрульными" танками у нас, на время, завязали (22724).</w:t>
      </w:r>
    </w:p>
    <w:p w14:paraId="1A15524D" w14:textId="77777777" w:rsidR="00FD16A4" w:rsidRPr="0044524F" w:rsidRDefault="00FD16A4" w:rsidP="009654CF">
      <w:pPr>
        <w:spacing w:after="0" w:line="240" w:lineRule="auto"/>
        <w:jc w:val="both"/>
        <w:rPr>
          <w:rFonts w:ascii="Times New Roman" w:hAnsi="Times New Roman"/>
          <w:color w:val="000000" w:themeColor="text1"/>
          <w:sz w:val="16"/>
          <w:szCs w:val="16"/>
        </w:rPr>
      </w:pPr>
    </w:p>
    <w:p w14:paraId="28FDFF45"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года на «Компрессоре» спроектировали и изготовили партию БХМ-800 на шасси «Форд-ААА» с ба</w:t>
      </w:r>
      <w:r w:rsidRPr="0044524F">
        <w:rPr>
          <w:rFonts w:ascii="Times New Roman" w:hAnsi="Times New Roman"/>
          <w:color w:val="000000" w:themeColor="text1"/>
          <w:sz w:val="16"/>
          <w:szCs w:val="16"/>
        </w:rPr>
        <w:softHyphen/>
        <w:t>ком емкостью 800 литров. Весной на заводах Союзторфмаша на эти машины смонтировали защиту баков из листов обычной (не броневой) стали толщиной 6-8 мм (11284).</w:t>
      </w:r>
    </w:p>
    <w:p w14:paraId="3336D242"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D4BBC4"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1933 года у германских фирм «Телефункен», «Сименс» и «Фернзее» для нужд военно-воздушных сил были закуплены образцы новейших изобретений в области телевидения, телемеханики и радио: телевизионная установка для самолета, 6 комплектов самолетных приемопередающих радиостанций для бомбардировочной, штурмовой и разведывательной авиации, 6 комплектов радиостанций Для истребительной авиации, 10 комплектов приборов для ночных полетов, 2 комплекта аэродромно-самолетных радиостанций (25028).</w:t>
      </w:r>
    </w:p>
    <w:p w14:paraId="1F3444F8" w14:textId="77777777" w:rsidR="0098523B" w:rsidRPr="00142305" w:rsidRDefault="0098523B" w:rsidP="0098523B">
      <w:pPr>
        <w:spacing w:after="0" w:line="240" w:lineRule="auto"/>
        <w:jc w:val="both"/>
        <w:rPr>
          <w:rFonts w:ascii="Times New Roman" w:hAnsi="Times New Roman"/>
          <w:color w:val="0070C0"/>
          <w:sz w:val="16"/>
          <w:szCs w:val="16"/>
        </w:rPr>
      </w:pPr>
    </w:p>
    <w:p w14:paraId="592CFFC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 было решено прибегнуть к использо</w:t>
      </w:r>
      <w:r w:rsidRPr="0044524F">
        <w:rPr>
          <w:rFonts w:ascii="Times New Roman" w:hAnsi="Times New Roman"/>
          <w:color w:val="000000" w:themeColor="text1"/>
          <w:sz w:val="16"/>
          <w:szCs w:val="16"/>
        </w:rPr>
        <w:softHyphen/>
        <w:t>ванию германского опыта подводного судостроения. Этот опыт был воплощен в деятельности фирмы "Дешимаг" в Гааге (Голландия), которая занималась проектированием подводных лодок в условиях действия соответствующих статей Версальского договора 1919 г. о запрещении Германии иметь подводный флот.</w:t>
      </w:r>
    </w:p>
    <w:p w14:paraId="2E5E1C7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прототипа для проектирования бьша выбрана под</w:t>
      </w:r>
      <w:r w:rsidRPr="0044524F">
        <w:rPr>
          <w:rFonts w:ascii="Times New Roman" w:hAnsi="Times New Roman"/>
          <w:color w:val="000000" w:themeColor="text1"/>
          <w:sz w:val="16"/>
          <w:szCs w:val="16"/>
        </w:rPr>
        <w:softHyphen/>
        <w:t>водная лодка Е-1 ("Эчвариэтта"), построенная в Испании по черте</w:t>
      </w:r>
      <w:r w:rsidRPr="0044524F">
        <w:rPr>
          <w:rFonts w:ascii="Times New Roman" w:hAnsi="Times New Roman"/>
          <w:color w:val="000000" w:themeColor="text1"/>
          <w:sz w:val="16"/>
          <w:szCs w:val="16"/>
        </w:rPr>
        <w:softHyphen/>
        <w:t>жам "Дешимага" и впоследствии переданная Турции. На основании изучения Е-1 в процессе испытаний и учета требований РККФ ЦКБС-2 подготовило задание на проектирование новой средней подводной лодки, условно названной Е-2 (3898).</w:t>
      </w:r>
    </w:p>
    <w:p w14:paraId="6B75BAA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1E8724FD" w14:textId="77777777" w:rsidR="007112A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1A2C2EB" w14:textId="77777777" w:rsidR="007112AB" w:rsidRPr="0044524F" w:rsidRDefault="007112A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C1C9660" w14:textId="77777777" w:rsidR="00323684" w:rsidRPr="0044524F" w:rsidRDefault="003236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Весна 1933. Для школьников Москвы введен единый школьный билет. Впуск в школьные помещения производился только по предъявлению билета. Этот же билет давал право входа в трамвай через переднюю площадку (18722).</w:t>
      </w:r>
    </w:p>
    <w:p w14:paraId="0FC1B506" w14:textId="77777777" w:rsidR="00323684" w:rsidRPr="0044524F" w:rsidRDefault="00323684" w:rsidP="009654CF">
      <w:pPr>
        <w:spacing w:after="0" w:line="240" w:lineRule="auto"/>
        <w:jc w:val="both"/>
        <w:rPr>
          <w:rFonts w:ascii="Times New Roman" w:hAnsi="Times New Roman"/>
          <w:color w:val="000000" w:themeColor="text1"/>
          <w:sz w:val="16"/>
          <w:szCs w:val="16"/>
        </w:rPr>
      </w:pPr>
    </w:p>
    <w:p w14:paraId="154A59FC" w14:textId="77777777" w:rsidR="007112AB" w:rsidRPr="0044524F" w:rsidRDefault="007112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 в южных районах ЦЧО начался голод. Об отношении Кагановича к хлебозаготовкам красноречиво свидетельствует его деятельность на Северном Кавказе. Что касается Молотова, то небезынтересно привести полемику между ним и секретарем ЦК КП(б) Украины М.М. Хатаевичем.</w:t>
      </w:r>
    </w:p>
    <w:p w14:paraId="606AD1DE" w14:textId="51342196" w:rsidR="007112AB" w:rsidRPr="0044524F" w:rsidRDefault="007112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Хатаевич в подготовленной к печати брошюре писал, что заготавливать нужно только товарный хлеб, а не хлеб вообще. Это вызвало резкую критику со стороны Молотова, который считал, что хлеб нужно взять из деревни любой ценой и в первую очередь. В связи с этим Хатаевич в письме Молотову в середине ноября</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1932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писал: «Я согласен, что в нынешних условиях, условиях борьбы за хлеб на Украине в текущем году, было с моей стороны неправильно оставлять в брошюре подобное место, ибо, чтобы накормить теперь, немедленно рабочий класс и Красную Армию, нам придется брать любой хлеб в колхозах и где угодно, не считаясь с тем, товарный он или нетоварный (курсив наш. - Н.И.).</w:t>
      </w:r>
    </w:p>
    <w:p w14:paraId="7D0209C3" w14:textId="77777777" w:rsidR="007112AB" w:rsidRPr="0044524F" w:rsidRDefault="007112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если ставить вопрос о хлебозаготовках вообще, то я продолжаю считать формулировку, данную мною на странице 7 брошюры, правильной. Я считаю, что мы должны заготовлять в колхозах товарный хлеб, а не хлеб вообще. Борьба за хлеб должна иметь в виду не только получение того хлеба, который уже произведен, но и увеличение производства хлеба. А для того, чтобы производство хлеба увеличивалось соответственно нуждам и потребностям пролетарского государства, мы должны заботиться о том, чтобы основные производственные и потребительские нужды колхозов и колхозников были удовлетворены, иначе они сеять и расширять производство не будут».</w:t>
      </w:r>
    </w:p>
    <w:p w14:paraId="523D6F0E" w14:textId="6F0F5362" w:rsidR="007112AB" w:rsidRPr="0044524F" w:rsidRDefault="007112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Примерно такого же мнения придерживались Рудзутак и Косиор, телеграфируя Сталину ( январь-март</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1932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о планировании хлебозаготовок.</w:t>
      </w:r>
    </w:p>
    <w:p w14:paraId="19DA579C" w14:textId="77777777" w:rsidR="007112AB" w:rsidRPr="0044524F" w:rsidRDefault="007112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«Мне кажется, - продолжал Хатаевич, - что из этого исходило постановление ЦК ВКП(б) и СНК СССР от 6 мая с. г., в котором объявлялось о некотором уменьшении планов хлебозаготовок и о колхозной торговле хлебом.</w:t>
      </w:r>
    </w:p>
    <w:p w14:paraId="685FC83F" w14:textId="77777777" w:rsidR="007112AB" w:rsidRPr="0044524F" w:rsidRDefault="007112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сих пор во всех местах и случаях, где мне приходилось организовывать, проводить хлебозаготовки, я исходил именно из этого положения и глубоко убежден, что иначе, при общей постановке вопроса о хлебозаготовках, к борьбе за хлеб подходить невозможно (17254).</w:t>
      </w:r>
    </w:p>
    <w:p w14:paraId="3D920B27" w14:textId="77777777" w:rsidR="007112AB" w:rsidRPr="0044524F" w:rsidRDefault="007112AB" w:rsidP="009654CF">
      <w:pPr>
        <w:spacing w:after="0" w:line="240" w:lineRule="auto"/>
        <w:jc w:val="both"/>
        <w:rPr>
          <w:rFonts w:ascii="Times New Roman" w:hAnsi="Times New Roman"/>
          <w:color w:val="000000" w:themeColor="text1"/>
          <w:sz w:val="16"/>
          <w:szCs w:val="16"/>
        </w:rPr>
      </w:pPr>
    </w:p>
    <w:p w14:paraId="6F95BB5B" w14:textId="184C15D6" w:rsidR="0098523B" w:rsidRPr="0044524F" w:rsidRDefault="0098523B" w:rsidP="0098523B">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Внешняя политика</w:t>
      </w:r>
      <w:r w:rsidRPr="0044524F">
        <w:rPr>
          <w:rFonts w:ascii="Times New Roman" w:hAnsi="Times New Roman"/>
          <w:i/>
          <w:iCs/>
          <w:color w:val="000000" w:themeColor="text1"/>
          <w:sz w:val="16"/>
          <w:szCs w:val="16"/>
        </w:rPr>
        <w:t>:</w:t>
      </w:r>
    </w:p>
    <w:p w14:paraId="5E4178A2" w14:textId="77777777" w:rsidR="0098523B" w:rsidRPr="0044524F" w:rsidRDefault="0098523B" w:rsidP="0098523B">
      <w:pPr>
        <w:autoSpaceDE w:val="0"/>
        <w:autoSpaceDN w:val="0"/>
        <w:adjustRightInd w:val="0"/>
        <w:spacing w:after="0" w:line="240" w:lineRule="auto"/>
        <w:jc w:val="both"/>
        <w:rPr>
          <w:rFonts w:ascii="Times New Roman" w:hAnsi="Times New Roman"/>
          <w:iCs/>
          <w:color w:val="000000" w:themeColor="text1"/>
          <w:sz w:val="16"/>
          <w:szCs w:val="16"/>
        </w:rPr>
      </w:pPr>
    </w:p>
    <w:p w14:paraId="6B3A5F91"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Весной 1933 г. в Москве на встрече с новым военным атташе Германии О. Хартманом первый заместитель наркома иностранных дел СССР Крестинский заявил: «Тесное сотрудничество между рейхсвером и Красной Армией продолжается уже более 10 лет. Я был у колыбели этого сотрудничества, продолжаю все время ему содействовать и хорошо знаком со всеми этапами развития этого сотрудничества, со всеми моментами улучшения и ухудшения отношений, и я должен сказать, &lt;...&gt; что никогда эти отношения не осуществлялись в столь тяжелой общеполитической атмосфере, как сегодня» (25025).</w:t>
      </w:r>
    </w:p>
    <w:p w14:paraId="39711CFC" w14:textId="77777777" w:rsidR="0098523B" w:rsidRPr="00142305" w:rsidRDefault="0098523B" w:rsidP="0098523B">
      <w:pPr>
        <w:spacing w:after="0" w:line="240" w:lineRule="auto"/>
        <w:jc w:val="both"/>
        <w:rPr>
          <w:rFonts w:ascii="Times New Roman" w:hAnsi="Times New Roman"/>
          <w:color w:val="0070C0"/>
          <w:sz w:val="16"/>
          <w:szCs w:val="16"/>
        </w:rPr>
      </w:pPr>
    </w:p>
    <w:p w14:paraId="26C2B115"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6104B46"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A246B5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июню 1933 вся партия самолетов Савойя S.55 была готова, после чего лодки отправляли в Одессу морем по мере приемки, которая началась в конце апреля. Руководил ей прибывший из Москвы Силин. После приемочных испытаний самолеты разбирали, упаковывали и грузили на суда. Но одна лодка добралась до Советского Союза «своим ходом» (5486,3).</w:t>
      </w:r>
    </w:p>
    <w:p w14:paraId="323690D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725F76B2"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3598EC3"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DC6B1A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лету 1933 будущий И-16, получивший рабочее обозначение ЦКБ-12, начал обретать реальные черты. Разрабатывалось два варианта с кольцом Тауненда и капотом НАСА на Райт Циклон, но Я.И.А. рекомендовал ориентироваться на М-22 (1808,3).</w:t>
      </w:r>
    </w:p>
    <w:p w14:paraId="3A9ADD5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622B165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лету 1933 г. истребитель-моноплан Н.Н.П., получивший рабочее обозначение ЦКБ-12, обретает реальные черты. Низкоплан с коротким веретенообразным фюзеляжем, закрытым фонарем кабины и убираемым шасси был представлен в двух вариантах капотировании двигателя: с кольцом Таунснда и капотом NACA. Решение об использовании легкого и узкого кольца Тауненда хотя бы для одной опытной машины оставалось в силе до декабря 1933 г. Однако на практике лва первых опытных экземпляра самолета оснащались широким капотом NACA.</w:t>
      </w:r>
    </w:p>
    <w:p w14:paraId="2A060F55"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силовой установки конструктор считал наиболее приемлемыми американские двигатели воздушного охлаждения "Циклон” фирмы "Райт". Появившиеся в 1925 году, звездообразные "Циклоны" непрерывно совершенствовались и в 1933 г. являлись одними из наиболее перспективных двигателей мира. В течение 1932-33 гг. советские представители провели переговоры с фирмой Кертнсс-Райт, результатом которых стало приобретение целого моторостроительного завода со всем оборудованием и лицензии на производство двигателей "Циклон" R-1820 F-3 мощностью 625 л.с.</w:t>
      </w:r>
    </w:p>
    <w:p w14:paraId="4586FB0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в первой половине 1933 г. получить хотя бы один такой двигатель для инициативного проекта ЦКБ-12 оказалось затруднительно. Начальник ВВС Красной Армии Яков Алкснис предложил Поликарпову первый опытный экземпляр построить с распространенным двигателем М-22 меньшей мощности (480 л.с.), который вполне обеспечивал по расчетам требуемую скорость - 300 км/ч на высоте пять километров (12015).</w:t>
      </w:r>
    </w:p>
    <w:p w14:paraId="665942D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1910208A"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 лету 1933 г. истребитель моноплан Н.Н.П., получивший рабочее обозначение ЦКБ-12, обретает реальные черты. Низкоплан с коротким ве</w:t>
      </w:r>
      <w:r w:rsidRPr="00142305">
        <w:rPr>
          <w:rStyle w:val="aff"/>
          <w:rFonts w:ascii="Times New Roman" w:hAnsi="Times New Roman" w:cs="Times New Roman"/>
          <w:color w:val="0070C0"/>
          <w:spacing w:val="0"/>
          <w:sz w:val="16"/>
          <w:szCs w:val="16"/>
        </w:rPr>
        <w:softHyphen/>
        <w:t>ретенообразным фюзеляжем, закрытым фонарем кабины и убираемым шасси был представлен в двух вариантах капотирова</w:t>
      </w:r>
      <w:r w:rsidRPr="00142305">
        <w:rPr>
          <w:rStyle w:val="aff"/>
          <w:rFonts w:ascii="Times New Roman" w:hAnsi="Times New Roman" w:cs="Times New Roman"/>
          <w:color w:val="0070C0"/>
          <w:spacing w:val="0"/>
          <w:sz w:val="16"/>
          <w:szCs w:val="16"/>
        </w:rPr>
        <w:softHyphen/>
        <w:t>ния двигателя: с кольцом Тауненда и капо</w:t>
      </w:r>
      <w:r w:rsidRPr="00142305">
        <w:rPr>
          <w:rStyle w:val="aff"/>
          <w:rFonts w:ascii="Times New Roman" w:hAnsi="Times New Roman" w:cs="Times New Roman"/>
          <w:color w:val="0070C0"/>
          <w:spacing w:val="0"/>
          <w:sz w:val="16"/>
          <w:szCs w:val="16"/>
        </w:rPr>
        <w:softHyphen/>
        <w:t xml:space="preserve">том ЫАСА. </w:t>
      </w:r>
      <w:r w:rsidRPr="00142305">
        <w:rPr>
          <w:rStyle w:val="aff"/>
          <w:rFonts w:ascii="Times New Roman" w:hAnsi="Times New Roman" w:cs="Times New Roman"/>
          <w:color w:val="0070C0"/>
          <w:spacing w:val="0"/>
          <w:sz w:val="16"/>
          <w:szCs w:val="16"/>
        </w:rPr>
        <w:lastRenderedPageBreak/>
        <w:t>Решение об использовании лег</w:t>
      </w:r>
      <w:r w:rsidRPr="00142305">
        <w:rPr>
          <w:rStyle w:val="aff"/>
          <w:rFonts w:ascii="Times New Roman" w:hAnsi="Times New Roman" w:cs="Times New Roman"/>
          <w:color w:val="0070C0"/>
          <w:spacing w:val="0"/>
          <w:sz w:val="16"/>
          <w:szCs w:val="16"/>
        </w:rPr>
        <w:softHyphen/>
        <w:t>кого и узкого кольца Тауненда хотя бы для одной опытной машины оставалось в силе до декабря 1933 г. Однако на практике два первых опытных экземпляра самолета ос</w:t>
      </w:r>
      <w:r w:rsidRPr="00142305">
        <w:rPr>
          <w:rStyle w:val="aff"/>
          <w:rFonts w:ascii="Times New Roman" w:hAnsi="Times New Roman" w:cs="Times New Roman"/>
          <w:color w:val="0070C0"/>
          <w:spacing w:val="0"/>
          <w:sz w:val="16"/>
          <w:szCs w:val="16"/>
        </w:rPr>
        <w:softHyphen/>
        <w:t>нащались широким капотом НАСА.</w:t>
      </w:r>
    </w:p>
    <w:p w14:paraId="1ABD0C07"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качестве силовой установки конструк</w:t>
      </w:r>
      <w:r w:rsidRPr="00142305">
        <w:rPr>
          <w:rStyle w:val="aff"/>
          <w:rFonts w:ascii="Times New Roman" w:hAnsi="Times New Roman" w:cs="Times New Roman"/>
          <w:color w:val="0070C0"/>
          <w:spacing w:val="0"/>
          <w:sz w:val="16"/>
          <w:szCs w:val="16"/>
        </w:rPr>
        <w:softHyphen/>
        <w:t>тор считал наиболее приемлемыми амери</w:t>
      </w:r>
      <w:r w:rsidRPr="00142305">
        <w:rPr>
          <w:rStyle w:val="aff"/>
          <w:rFonts w:ascii="Times New Roman" w:hAnsi="Times New Roman" w:cs="Times New Roman"/>
          <w:color w:val="0070C0"/>
          <w:spacing w:val="0"/>
          <w:sz w:val="16"/>
          <w:szCs w:val="16"/>
        </w:rPr>
        <w:softHyphen/>
        <w:t>канские двигатели воздушного охлаждения «Циклон» фирмы «Райт». Появившиеся в 1925 году, звездообразные «Циклоны» не</w:t>
      </w:r>
      <w:r w:rsidRPr="00142305">
        <w:rPr>
          <w:rStyle w:val="aff"/>
          <w:rFonts w:ascii="Times New Roman" w:hAnsi="Times New Roman" w:cs="Times New Roman"/>
          <w:color w:val="0070C0"/>
          <w:spacing w:val="0"/>
          <w:sz w:val="16"/>
          <w:szCs w:val="16"/>
        </w:rPr>
        <w:softHyphen/>
        <w:t>прерывно совершенствовались и в 1933 г. являлись одними из наиболее перспектив</w:t>
      </w:r>
      <w:r w:rsidRPr="00142305">
        <w:rPr>
          <w:rStyle w:val="aff"/>
          <w:rFonts w:ascii="Times New Roman" w:hAnsi="Times New Roman" w:cs="Times New Roman"/>
          <w:color w:val="0070C0"/>
          <w:spacing w:val="0"/>
          <w:sz w:val="16"/>
          <w:szCs w:val="16"/>
        </w:rPr>
        <w:softHyphen/>
        <w:t>ных двигателей мира. В течение 1932</w:t>
      </w:r>
      <w:r w:rsidRPr="00142305">
        <w:rPr>
          <w:rStyle w:val="aff"/>
          <w:rFonts w:ascii="Times New Roman" w:hAnsi="Times New Roman" w:cs="Times New Roman"/>
          <w:color w:val="0070C0"/>
          <w:spacing w:val="0"/>
          <w:sz w:val="16"/>
          <w:szCs w:val="16"/>
        </w:rPr>
        <w:softHyphen/>
        <w:t>33 гг. советские представители провели переговоры с фирмой Кертисс-Райт, ре</w:t>
      </w:r>
      <w:r w:rsidRPr="00142305">
        <w:rPr>
          <w:rStyle w:val="aff"/>
          <w:rFonts w:ascii="Times New Roman" w:hAnsi="Times New Roman" w:cs="Times New Roman"/>
          <w:color w:val="0070C0"/>
          <w:spacing w:val="0"/>
          <w:sz w:val="16"/>
          <w:szCs w:val="16"/>
        </w:rPr>
        <w:softHyphen/>
        <w:t>зультатом которых стало приобретение це</w:t>
      </w:r>
      <w:r w:rsidRPr="00142305">
        <w:rPr>
          <w:rStyle w:val="aff"/>
          <w:rFonts w:ascii="Times New Roman" w:hAnsi="Times New Roman" w:cs="Times New Roman"/>
          <w:color w:val="0070C0"/>
          <w:spacing w:val="0"/>
          <w:sz w:val="16"/>
          <w:szCs w:val="16"/>
        </w:rPr>
        <w:softHyphen/>
        <w:t>лого моторостроительного завода со всем оборудованием и лицензии на производст</w:t>
      </w:r>
      <w:r w:rsidRPr="00142305">
        <w:rPr>
          <w:rStyle w:val="aff"/>
          <w:rFonts w:ascii="Times New Roman" w:hAnsi="Times New Roman" w:cs="Times New Roman"/>
          <w:color w:val="0070C0"/>
          <w:spacing w:val="0"/>
          <w:sz w:val="16"/>
          <w:szCs w:val="16"/>
        </w:rPr>
        <w:softHyphen/>
        <w:t xml:space="preserve">во двигателей «Циклон» </w:t>
      </w:r>
      <w:r w:rsidRPr="00142305">
        <w:rPr>
          <w:rStyle w:val="aff"/>
          <w:rFonts w:ascii="Times New Roman" w:hAnsi="Times New Roman" w:cs="Times New Roman"/>
          <w:color w:val="0070C0"/>
          <w:spacing w:val="0"/>
          <w:sz w:val="16"/>
          <w:szCs w:val="16"/>
          <w:lang w:val="en-US"/>
        </w:rPr>
        <w:t>R</w:t>
      </w:r>
      <w:r w:rsidRPr="00142305">
        <w:rPr>
          <w:rStyle w:val="aff"/>
          <w:rFonts w:ascii="Times New Roman" w:hAnsi="Times New Roman" w:cs="Times New Roman"/>
          <w:color w:val="0070C0"/>
          <w:spacing w:val="0"/>
          <w:sz w:val="16"/>
          <w:szCs w:val="16"/>
        </w:rPr>
        <w:t xml:space="preserve">-1820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мощно</w:t>
      </w:r>
      <w:r w:rsidRPr="00142305">
        <w:rPr>
          <w:rStyle w:val="aff"/>
          <w:rFonts w:ascii="Times New Roman" w:hAnsi="Times New Roman" w:cs="Times New Roman"/>
          <w:color w:val="0070C0"/>
          <w:spacing w:val="0"/>
          <w:sz w:val="16"/>
          <w:szCs w:val="16"/>
        </w:rPr>
        <w:softHyphen/>
        <w:t>стью 625 л.с.</w:t>
      </w:r>
    </w:p>
    <w:p w14:paraId="61831D5E"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Однако в первой половине 1933 г. полу</w:t>
      </w:r>
      <w:r w:rsidRPr="00142305">
        <w:rPr>
          <w:rStyle w:val="aff"/>
          <w:rFonts w:ascii="Times New Roman" w:hAnsi="Times New Roman" w:cs="Times New Roman"/>
          <w:color w:val="0070C0"/>
          <w:spacing w:val="0"/>
          <w:sz w:val="16"/>
          <w:szCs w:val="16"/>
        </w:rPr>
        <w:softHyphen/>
        <w:t>чить хотя бы один такой двигатель для инициативного проекта ЦКБ-12 оказа</w:t>
      </w:r>
      <w:r w:rsidRPr="00142305">
        <w:rPr>
          <w:rStyle w:val="aff"/>
          <w:rFonts w:ascii="Times New Roman" w:hAnsi="Times New Roman" w:cs="Times New Roman"/>
          <w:color w:val="0070C0"/>
          <w:spacing w:val="0"/>
          <w:sz w:val="16"/>
          <w:szCs w:val="16"/>
        </w:rPr>
        <w:softHyphen/>
        <w:t>лось затруднительно. Начальник ВВС Красной Армии Яков Алкснис предложил Поликарпову первый опытный экземпляр построить с распространенным двигате</w:t>
      </w:r>
      <w:r w:rsidRPr="00142305">
        <w:rPr>
          <w:rStyle w:val="aff"/>
          <w:rFonts w:ascii="Times New Roman" w:hAnsi="Times New Roman" w:cs="Times New Roman"/>
          <w:color w:val="0070C0"/>
          <w:spacing w:val="0"/>
          <w:sz w:val="16"/>
          <w:szCs w:val="16"/>
        </w:rPr>
        <w:softHyphen/>
        <w:t>лем М-22 меньшей мощности (480 л.с.), который вполне обеспечивал по расчетам требуемую скорость — 300 км/ч на высоте пять километров (25415).</w:t>
      </w:r>
    </w:p>
    <w:p w14:paraId="7E0A7B28" w14:textId="77777777" w:rsidR="0098523B" w:rsidRPr="00142305" w:rsidRDefault="0098523B" w:rsidP="0098523B">
      <w:pPr>
        <w:spacing w:after="0" w:line="240" w:lineRule="auto"/>
        <w:jc w:val="both"/>
        <w:rPr>
          <w:rFonts w:ascii="Times New Roman" w:hAnsi="Times New Roman"/>
          <w:color w:val="0070C0"/>
          <w:sz w:val="16"/>
          <w:szCs w:val="16"/>
        </w:rPr>
      </w:pPr>
    </w:p>
    <w:p w14:paraId="7323AFD4" w14:textId="77777777" w:rsidR="0098523B" w:rsidRPr="00142305" w:rsidRDefault="0098523B" w:rsidP="0098523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К лету 1933 года эскизный проект ЦКБ-12 с «Райт-Циклоном» в целом был готов. ЦКБ-12 разработали в двух вариантах – с кольцом Тауненда и капотом НАКА. В остальном обе версии были практически идентичны.</w:t>
      </w:r>
    </w:p>
    <w:p w14:paraId="3B1D536C"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пояснительной записке к эс</w:t>
      </w:r>
      <w:r w:rsidRPr="00142305">
        <w:rPr>
          <w:rStyle w:val="aff"/>
          <w:rFonts w:ascii="Times New Roman" w:hAnsi="Times New Roman" w:cs="Times New Roman"/>
          <w:color w:val="0070C0"/>
          <w:spacing w:val="0"/>
          <w:sz w:val="16"/>
          <w:szCs w:val="16"/>
        </w:rPr>
        <w:softHyphen/>
        <w:t>кизному проекту можно прочесть такой текст за подписью самого Н.Н. Поликарпова: «Са</w:t>
      </w:r>
      <w:r w:rsidRPr="00142305">
        <w:rPr>
          <w:rStyle w:val="aff"/>
          <w:rFonts w:ascii="Times New Roman" w:hAnsi="Times New Roman" w:cs="Times New Roman"/>
          <w:color w:val="0070C0"/>
          <w:spacing w:val="0"/>
          <w:sz w:val="16"/>
          <w:szCs w:val="16"/>
        </w:rPr>
        <w:softHyphen/>
        <w:t xml:space="preserve">молет проектируется под мотор «Райт-Сайклон 1820 –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Выбор мотора дикту</w:t>
      </w:r>
      <w:r w:rsidRPr="00142305">
        <w:rPr>
          <w:rStyle w:val="aff"/>
          <w:rFonts w:ascii="Times New Roman" w:hAnsi="Times New Roman" w:cs="Times New Roman"/>
          <w:color w:val="0070C0"/>
          <w:spacing w:val="0"/>
          <w:sz w:val="16"/>
          <w:szCs w:val="16"/>
        </w:rPr>
        <w:softHyphen/>
        <w:t>ется соображениями обеспечения моторами серийной постройки этого самолета, хотя, с точки зрения наилучшего выполнения предъявленного выше требования (макси</w:t>
      </w:r>
      <w:r w:rsidRPr="00142305">
        <w:rPr>
          <w:rStyle w:val="aff"/>
          <w:rFonts w:ascii="Times New Roman" w:hAnsi="Times New Roman" w:cs="Times New Roman"/>
          <w:color w:val="0070C0"/>
          <w:spacing w:val="0"/>
          <w:sz w:val="16"/>
          <w:szCs w:val="16"/>
        </w:rPr>
        <w:softHyphen/>
        <w:t>мальные горизонтальные скорости), мотор является недостаточно удовлетворитель</w:t>
      </w:r>
      <w:r w:rsidRPr="00142305">
        <w:rPr>
          <w:rStyle w:val="aff"/>
          <w:rFonts w:ascii="Times New Roman" w:hAnsi="Times New Roman" w:cs="Times New Roman"/>
          <w:color w:val="0070C0"/>
          <w:spacing w:val="0"/>
          <w:sz w:val="16"/>
          <w:szCs w:val="16"/>
        </w:rPr>
        <w:softHyphen/>
        <w:t>ным. По нашему мнению, решение этого вопроса под мотор с жидкостным охлаждением (типа Кертис-Конкверор или Рольс-Ройс Кестрель) дает наилучшие результаты».</w:t>
      </w:r>
    </w:p>
    <w:p w14:paraId="6F16365D"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Свою точку зрения о целесообразности установки на истребитель того или другого типа моторов Николай Николаевич изменил уже в ходе детальной проработки проекта ЦКБ-15, но об этом подробнее имеет смысл говорить в рассказе о судьбе истребителя И- 17. В истории И-16 же и своих чудес хватало.</w:t>
      </w:r>
    </w:p>
    <w:p w14:paraId="42308FB6"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Однако начальник ВВС Яков Иванович Алкснис вдруг сделал неожиданный «ход конем». На основе его «пожеланий» в эскизном проекте ЦКБ-12 появился небольшой до</w:t>
      </w:r>
      <w:r w:rsidRPr="00142305">
        <w:rPr>
          <w:rStyle w:val="aff"/>
          <w:rFonts w:ascii="Times New Roman" w:hAnsi="Times New Roman" w:cs="Times New Roman"/>
          <w:color w:val="0070C0"/>
          <w:spacing w:val="0"/>
          <w:sz w:val="16"/>
          <w:szCs w:val="16"/>
        </w:rPr>
        <w:softHyphen/>
        <w:t>полнительный раздел. Дословно: «Согласно</w:t>
      </w:r>
      <w:r w:rsidRPr="00142305">
        <w:rPr>
          <w:rStyle w:val="50"/>
          <w:rFonts w:ascii="Times New Roman" w:hAnsi="Times New Roman" w:cs="Times New Roman"/>
          <w:color w:val="0070C0"/>
          <w:sz w:val="16"/>
          <w:szCs w:val="16"/>
        </w:rPr>
        <w:t xml:space="preserve"> </w:t>
      </w:r>
      <w:r w:rsidRPr="00142305">
        <w:rPr>
          <w:rStyle w:val="aff"/>
          <w:rFonts w:ascii="Times New Roman" w:hAnsi="Times New Roman" w:cs="Times New Roman"/>
          <w:color w:val="0070C0"/>
          <w:spacing w:val="0"/>
          <w:sz w:val="16"/>
          <w:szCs w:val="16"/>
        </w:rPr>
        <w:t>пожеланиям Гач. ВВС ЦКБ работало вариант самолета ЦКБ-12 под мотор М22. Этот вариант в основном не ме</w:t>
      </w:r>
      <w:r w:rsidRPr="00142305">
        <w:rPr>
          <w:rStyle w:val="aff"/>
          <w:rFonts w:ascii="Times New Roman" w:hAnsi="Times New Roman" w:cs="Times New Roman"/>
          <w:color w:val="0070C0"/>
          <w:spacing w:val="0"/>
          <w:sz w:val="16"/>
          <w:szCs w:val="16"/>
        </w:rPr>
        <w:softHyphen/>
        <w:t>няет самолета и различается от ЦКБ-12 с моторами РАЙТ-САЙКЛОН Ф3 и Ф5, только мо</w:t>
      </w:r>
      <w:r w:rsidRPr="00142305">
        <w:rPr>
          <w:rStyle w:val="aff"/>
          <w:rFonts w:ascii="Times New Roman" w:hAnsi="Times New Roman" w:cs="Times New Roman"/>
          <w:color w:val="0070C0"/>
          <w:spacing w:val="0"/>
          <w:sz w:val="16"/>
          <w:szCs w:val="16"/>
        </w:rPr>
        <w:softHyphen/>
        <w:t>тоустановкой, капотами и деталями мотохозяйства. Вес самолета ЦКБ-12 с М22 такой же, как у ЦКБ-12 с моторами РАЙТ, центровка и размерные коэффициенты остаются также постоянными. Конструкция самоле</w:t>
      </w:r>
      <w:r w:rsidRPr="00142305">
        <w:rPr>
          <w:rStyle w:val="aff"/>
          <w:rFonts w:ascii="Times New Roman" w:hAnsi="Times New Roman" w:cs="Times New Roman"/>
          <w:color w:val="0070C0"/>
          <w:spacing w:val="0"/>
          <w:sz w:val="16"/>
          <w:szCs w:val="16"/>
        </w:rPr>
        <w:softHyphen/>
        <w:t>та ЦКБ-12 с М22 так разрабатывается, чтобы дать возможность перестановки вме</w:t>
      </w:r>
      <w:r w:rsidRPr="00142305">
        <w:rPr>
          <w:rStyle w:val="aff"/>
          <w:rFonts w:ascii="Times New Roman" w:hAnsi="Times New Roman" w:cs="Times New Roman"/>
          <w:color w:val="0070C0"/>
          <w:spacing w:val="0"/>
          <w:sz w:val="16"/>
          <w:szCs w:val="16"/>
        </w:rPr>
        <w:softHyphen/>
        <w:t>сто мотора М22, моторов РАЙТ Ф3 и Ф5, хотя это несомненно должно быть связано с некоторыми переделками.</w:t>
      </w:r>
    </w:p>
    <w:p w14:paraId="5C0611C2"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Летные данные самолета ЦКБ-12 с М22 … указывают, что ЦКБ-12 с М22 по своим дан</w:t>
      </w:r>
      <w:r w:rsidRPr="00142305">
        <w:rPr>
          <w:rStyle w:val="aff"/>
          <w:rFonts w:ascii="Times New Roman" w:hAnsi="Times New Roman" w:cs="Times New Roman"/>
          <w:color w:val="0070C0"/>
          <w:spacing w:val="0"/>
          <w:sz w:val="16"/>
          <w:szCs w:val="16"/>
        </w:rPr>
        <w:softHyphen/>
        <w:t>ным не уступает современным скоростным</w:t>
      </w:r>
      <w:r w:rsidRPr="00142305">
        <w:rPr>
          <w:rStyle w:val="50"/>
          <w:rFonts w:ascii="Times New Roman" w:hAnsi="Times New Roman" w:cs="Times New Roman"/>
          <w:color w:val="0070C0"/>
          <w:sz w:val="16"/>
          <w:szCs w:val="16"/>
        </w:rPr>
        <w:t xml:space="preserve"> </w:t>
      </w:r>
      <w:r w:rsidRPr="00142305">
        <w:rPr>
          <w:rStyle w:val="aff"/>
          <w:rFonts w:ascii="Times New Roman" w:hAnsi="Times New Roman" w:cs="Times New Roman"/>
          <w:color w:val="0070C0"/>
          <w:spacing w:val="0"/>
          <w:sz w:val="16"/>
          <w:szCs w:val="16"/>
        </w:rPr>
        <w:t>истребителям. В настоящее время согласно пожелания НАЧ. ВВС самолет ЦКБ-12 прора</w:t>
      </w:r>
      <w:r w:rsidRPr="00142305">
        <w:rPr>
          <w:rStyle w:val="aff"/>
          <w:rFonts w:ascii="Times New Roman" w:hAnsi="Times New Roman" w:cs="Times New Roman"/>
          <w:color w:val="0070C0"/>
          <w:spacing w:val="0"/>
          <w:sz w:val="16"/>
          <w:szCs w:val="16"/>
        </w:rPr>
        <w:softHyphen/>
        <w:t>батывается и строится под мотор М22…».</w:t>
      </w:r>
    </w:p>
    <w:p w14:paraId="6FE414BE"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Яков Иванович не понаслышке был зна</w:t>
      </w:r>
      <w:r w:rsidRPr="00142305">
        <w:rPr>
          <w:rStyle w:val="aff"/>
          <w:rFonts w:ascii="Times New Roman" w:hAnsi="Times New Roman" w:cs="Times New Roman"/>
          <w:color w:val="0070C0"/>
          <w:spacing w:val="0"/>
          <w:sz w:val="16"/>
          <w:szCs w:val="16"/>
        </w:rPr>
        <w:softHyphen/>
        <w:t>ком с закупками лицензии на авиамоторы и вряд ли рассчитывал на скорый результат по закупке мощных импортных двигателей, хотя версии историки выдвигают разные. В любом случае, какими бы соображениями он в дей</w:t>
      </w:r>
      <w:r w:rsidRPr="00142305">
        <w:rPr>
          <w:rStyle w:val="aff"/>
          <w:rFonts w:ascii="Times New Roman" w:hAnsi="Times New Roman" w:cs="Times New Roman"/>
          <w:color w:val="0070C0"/>
          <w:spacing w:val="0"/>
          <w:sz w:val="16"/>
          <w:szCs w:val="16"/>
        </w:rPr>
        <w:softHyphen/>
        <w:t>ствительности ни руководствовался, идея на деле оказалась весьма дальновидной и праг</w:t>
      </w:r>
      <w:r w:rsidRPr="00142305">
        <w:rPr>
          <w:rStyle w:val="aff"/>
          <w:rFonts w:ascii="Times New Roman" w:hAnsi="Times New Roman" w:cs="Times New Roman"/>
          <w:color w:val="0070C0"/>
          <w:spacing w:val="0"/>
          <w:sz w:val="16"/>
          <w:szCs w:val="16"/>
        </w:rPr>
        <w:softHyphen/>
        <w:t>матичной. В 1932 году вышли два серьезных постановления Совета Труда и Обороны, так или иначе касающихся ликвидации отставания в авиационном моторостроении – № 538/177сс СТО СССР «По авиации» от 16 мая и № 1153-345сс «О закупке технической помо</w:t>
      </w:r>
      <w:r w:rsidRPr="00142305">
        <w:rPr>
          <w:rStyle w:val="aff"/>
          <w:rFonts w:ascii="Times New Roman" w:hAnsi="Times New Roman" w:cs="Times New Roman"/>
          <w:color w:val="0070C0"/>
          <w:spacing w:val="0"/>
          <w:sz w:val="16"/>
          <w:szCs w:val="16"/>
        </w:rPr>
        <w:softHyphen/>
        <w:t>щи» от 14 ноября. Тем не менее, из 15 при</w:t>
      </w:r>
      <w:r w:rsidRPr="00142305">
        <w:rPr>
          <w:rStyle w:val="aff"/>
          <w:rFonts w:ascii="Times New Roman" w:hAnsi="Times New Roman" w:cs="Times New Roman"/>
          <w:color w:val="0070C0"/>
          <w:spacing w:val="0"/>
          <w:sz w:val="16"/>
          <w:szCs w:val="16"/>
        </w:rPr>
        <w:softHyphen/>
        <w:t>обретенных образцов различных перспек</w:t>
      </w:r>
      <w:r w:rsidRPr="00142305">
        <w:rPr>
          <w:rStyle w:val="aff"/>
          <w:rFonts w:ascii="Times New Roman" w:hAnsi="Times New Roman" w:cs="Times New Roman"/>
          <w:color w:val="0070C0"/>
          <w:spacing w:val="0"/>
          <w:sz w:val="16"/>
          <w:szCs w:val="16"/>
        </w:rPr>
        <w:softHyphen/>
        <w:t xml:space="preserve">тивных двигателей «Райт-Циклонов» 1820 оказалось только четыре – по два высотных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 xml:space="preserve">.3 и низковысотных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.2. Не разгуляешься. Установка мотора попроще позволяла на определенном этапе обойти проблему мотор</w:t>
      </w:r>
      <w:r w:rsidRPr="00142305">
        <w:rPr>
          <w:rStyle w:val="aff"/>
          <w:rFonts w:ascii="Times New Roman" w:hAnsi="Times New Roman" w:cs="Times New Roman"/>
          <w:color w:val="0070C0"/>
          <w:spacing w:val="0"/>
          <w:sz w:val="16"/>
          <w:szCs w:val="16"/>
        </w:rPr>
        <w:softHyphen/>
        <w:t>ного голода и оценить реальные эксплуата</w:t>
      </w:r>
      <w:r w:rsidRPr="00142305">
        <w:rPr>
          <w:rStyle w:val="aff"/>
          <w:rFonts w:ascii="Times New Roman" w:hAnsi="Times New Roman" w:cs="Times New Roman"/>
          <w:color w:val="0070C0"/>
          <w:spacing w:val="0"/>
          <w:sz w:val="16"/>
          <w:szCs w:val="16"/>
        </w:rPr>
        <w:softHyphen/>
        <w:t>ционные свойства ЦКБ-12.</w:t>
      </w:r>
    </w:p>
    <w:p w14:paraId="1BFCB1FD" w14:textId="77777777" w:rsidR="0098523B" w:rsidRPr="00142305" w:rsidRDefault="0098523B" w:rsidP="0098523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Мотор М-22, конечно, не был аналогом «Райт-Циклона». 480 сил не шли ни в какое сравнение с 635 «лошадками» американца, но как массово-габаритный макет этот мотор вполне годился, имея внешний диаметр всего на 35 мм больше, а вес на 57 кг меньше. Ре</w:t>
      </w:r>
      <w:r w:rsidRPr="00142305">
        <w:rPr>
          <w:rStyle w:val="aff"/>
          <w:rFonts w:ascii="Times New Roman" w:hAnsi="Times New Roman" w:cs="Times New Roman"/>
          <w:color w:val="0070C0"/>
          <w:spacing w:val="0"/>
          <w:sz w:val="16"/>
          <w:szCs w:val="16"/>
        </w:rPr>
        <w:softHyphen/>
        <w:t>зервов развития он уже не имел, но зато был доведен до приличного уровня надежности, хорошо освоен в ВВС и, самое главное, М-22 имелись в избытке, в то время как новые мо</w:t>
      </w:r>
      <w:r w:rsidRPr="00142305">
        <w:rPr>
          <w:rStyle w:val="aff"/>
          <w:rFonts w:ascii="Times New Roman" w:hAnsi="Times New Roman" w:cs="Times New Roman"/>
          <w:color w:val="0070C0"/>
          <w:spacing w:val="0"/>
          <w:sz w:val="16"/>
          <w:szCs w:val="16"/>
        </w:rPr>
        <w:softHyphen/>
        <w:t>торы явно запаздывали. Только 20 апреля 1933 года был заключен договор с американ</w:t>
      </w:r>
      <w:r w:rsidRPr="00142305">
        <w:rPr>
          <w:rStyle w:val="aff"/>
          <w:rFonts w:ascii="Times New Roman" w:hAnsi="Times New Roman" w:cs="Times New Roman"/>
          <w:color w:val="0070C0"/>
          <w:spacing w:val="0"/>
          <w:sz w:val="16"/>
          <w:szCs w:val="16"/>
        </w:rPr>
        <w:softHyphen/>
        <w:t>ской фирмой «Райт» сроком на пять лет. На основе этого договора в СССР должно было быть развернуто производство моторов М-25 на заводе № 19 в Перми. Еще девять месяцев ушло на решение различных организацион</w:t>
      </w:r>
      <w:r w:rsidRPr="00142305">
        <w:rPr>
          <w:rStyle w:val="aff"/>
          <w:rFonts w:ascii="Times New Roman" w:hAnsi="Times New Roman" w:cs="Times New Roman"/>
          <w:color w:val="0070C0"/>
          <w:spacing w:val="0"/>
          <w:sz w:val="16"/>
          <w:szCs w:val="16"/>
        </w:rPr>
        <w:softHyphen/>
        <w:t>но-финансовых вопросов, и лишь 30 декабря 1933 года (на минуточку – в день первого вы</w:t>
      </w:r>
      <w:r w:rsidRPr="00142305">
        <w:rPr>
          <w:rStyle w:val="aff"/>
          <w:rFonts w:ascii="Times New Roman" w:hAnsi="Times New Roman" w:cs="Times New Roman"/>
          <w:color w:val="0070C0"/>
          <w:spacing w:val="0"/>
          <w:sz w:val="16"/>
          <w:szCs w:val="16"/>
        </w:rPr>
        <w:softHyphen/>
        <w:t>лета ЦКБ-12 с М-22!) был выдан заказ на 50 моторов «Циклон» фирме «Райт» – 15 мото</w:t>
      </w:r>
      <w:r w:rsidRPr="00142305">
        <w:rPr>
          <w:rStyle w:val="aff"/>
          <w:rFonts w:ascii="Times New Roman" w:hAnsi="Times New Roman" w:cs="Times New Roman"/>
          <w:color w:val="0070C0"/>
          <w:spacing w:val="0"/>
          <w:sz w:val="16"/>
          <w:szCs w:val="16"/>
        </w:rPr>
        <w:softHyphen/>
        <w:t>ров «на ходу» и 35 комплектов деталей, полу</w:t>
      </w:r>
      <w:r w:rsidRPr="00142305">
        <w:rPr>
          <w:rStyle w:val="aff"/>
          <w:rFonts w:ascii="Times New Roman" w:hAnsi="Times New Roman" w:cs="Times New Roman"/>
          <w:color w:val="0070C0"/>
          <w:spacing w:val="0"/>
          <w:sz w:val="16"/>
          <w:szCs w:val="16"/>
        </w:rPr>
        <w:softHyphen/>
        <w:t>фабрикатов и заготовок в разных стадиях го</w:t>
      </w:r>
      <w:r w:rsidRPr="00142305">
        <w:rPr>
          <w:rStyle w:val="aff"/>
          <w:rFonts w:ascii="Times New Roman" w:hAnsi="Times New Roman" w:cs="Times New Roman"/>
          <w:color w:val="0070C0"/>
          <w:spacing w:val="0"/>
          <w:sz w:val="16"/>
          <w:szCs w:val="16"/>
        </w:rPr>
        <w:softHyphen/>
        <w:t>товности. За исключением одного мотора, весь заказ оформили с поставками в январе- марте следующего года. Серийное производ</w:t>
      </w:r>
      <w:r w:rsidRPr="00142305">
        <w:rPr>
          <w:rStyle w:val="aff"/>
          <w:rFonts w:ascii="Times New Roman" w:hAnsi="Times New Roman" w:cs="Times New Roman"/>
          <w:color w:val="0070C0"/>
          <w:spacing w:val="0"/>
          <w:sz w:val="16"/>
          <w:szCs w:val="16"/>
        </w:rPr>
        <w:softHyphen/>
        <w:t>ство на пермском заводе № 19 пока вообще оставалось «в тумане» (25519).</w:t>
      </w:r>
    </w:p>
    <w:p w14:paraId="4844FF37" w14:textId="77777777" w:rsidR="0098523B" w:rsidRPr="00142305" w:rsidRDefault="0098523B" w:rsidP="0098523B">
      <w:pPr>
        <w:spacing w:after="0" w:line="240" w:lineRule="auto"/>
        <w:jc w:val="both"/>
        <w:rPr>
          <w:rFonts w:ascii="Times New Roman" w:hAnsi="Times New Roman"/>
          <w:color w:val="0070C0"/>
          <w:sz w:val="16"/>
          <w:szCs w:val="16"/>
        </w:rPr>
      </w:pPr>
    </w:p>
    <w:p w14:paraId="5C3017D1" w14:textId="77777777" w:rsidR="0085124E" w:rsidRPr="0044524F" w:rsidRDefault="008512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летнему сезону 1933 г. новая воздушная система, по</w:t>
      </w:r>
      <w:r w:rsidRPr="0044524F">
        <w:rPr>
          <w:rFonts w:ascii="Times New Roman" w:hAnsi="Times New Roman"/>
          <w:color w:val="000000" w:themeColor="text1"/>
          <w:sz w:val="16"/>
          <w:szCs w:val="16"/>
        </w:rPr>
        <w:softHyphen/>
        <w:t>лучившая наименование «Самолет-Звено» 3-2 - ТБ-3+3 И-5 в целом была готова (20345).</w:t>
      </w:r>
    </w:p>
    <w:p w14:paraId="3C0E90E1" w14:textId="77777777" w:rsidR="0085124E" w:rsidRPr="0044524F" w:rsidRDefault="0085124E" w:rsidP="009654CF">
      <w:pPr>
        <w:spacing w:after="0" w:line="240" w:lineRule="auto"/>
        <w:jc w:val="both"/>
        <w:rPr>
          <w:rFonts w:ascii="Times New Roman" w:hAnsi="Times New Roman"/>
          <w:color w:val="000000" w:themeColor="text1"/>
          <w:sz w:val="16"/>
          <w:szCs w:val="16"/>
        </w:rPr>
      </w:pPr>
    </w:p>
    <w:p w14:paraId="4C110BB8" w14:textId="77777777" w:rsidR="00CF593A" w:rsidRPr="0044524F" w:rsidRDefault="00CF59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летнему сезону 1933 г. новая воздушная система, получившая наименование «Самолет-Звено» 3-2 — ТБ-3+3 И-5, в целом была готова.</w:t>
      </w:r>
    </w:p>
    <w:p w14:paraId="44FB707A" w14:textId="77777777" w:rsidR="00CF593A" w:rsidRPr="0044524F" w:rsidRDefault="00CF59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испытания провели в июне-сентябре 1933 года, носитель подни</w:t>
      </w:r>
      <w:r w:rsidRPr="0044524F">
        <w:rPr>
          <w:rFonts w:ascii="Times New Roman" w:hAnsi="Times New Roman"/>
          <w:color w:val="000000" w:themeColor="text1"/>
          <w:sz w:val="16"/>
          <w:szCs w:val="16"/>
        </w:rPr>
        <w:softHyphen/>
        <w:t>мался в воздух с одним, двумя и тремя истребителями. Установка истребителей сверху крыла оказалась приемлемой лишь в случае использования ТБ-1. Трудоемкость закатывания истребителей на крыло ТБ-3 оказалась во многом значительно слож</w:t>
      </w:r>
      <w:r w:rsidRPr="0044524F">
        <w:rPr>
          <w:rFonts w:ascii="Times New Roman" w:hAnsi="Times New Roman"/>
          <w:color w:val="000000" w:themeColor="text1"/>
          <w:sz w:val="16"/>
          <w:szCs w:val="16"/>
        </w:rPr>
        <w:softHyphen/>
        <w:t>нее, что заставило конструктора искать другие вари</w:t>
      </w:r>
      <w:r w:rsidRPr="0044524F">
        <w:rPr>
          <w:rFonts w:ascii="Times New Roman" w:hAnsi="Times New Roman"/>
          <w:color w:val="000000" w:themeColor="text1"/>
          <w:sz w:val="16"/>
          <w:szCs w:val="16"/>
        </w:rPr>
        <w:softHyphen/>
        <w:t>анты реализации «звеньев». Именно поэтому в 1934 г. Вахмистров разработал комбинацию «3вено-3» (3-3), состоящую из четырехмоторного ТБ-3 и двух истребителей И-Z (динамореактивные пушки Курчевского на них не устанавливались). На земле ис</w:t>
      </w:r>
      <w:r w:rsidRPr="0044524F">
        <w:rPr>
          <w:rFonts w:ascii="Times New Roman" w:hAnsi="Times New Roman"/>
          <w:color w:val="000000" w:themeColor="text1"/>
          <w:sz w:val="16"/>
          <w:szCs w:val="16"/>
        </w:rPr>
        <w:softHyphen/>
        <w:t>требители подруливали под крыло бомбардировщика слева и справа, закреплялись на специальной плава</w:t>
      </w:r>
      <w:r w:rsidRPr="0044524F">
        <w:rPr>
          <w:rFonts w:ascii="Times New Roman" w:hAnsi="Times New Roman"/>
          <w:color w:val="000000" w:themeColor="text1"/>
          <w:sz w:val="16"/>
          <w:szCs w:val="16"/>
        </w:rPr>
        <w:softHyphen/>
        <w:t>ющей подвеске, позволявшей в воздухе перед отцеп</w:t>
      </w:r>
      <w:r w:rsidRPr="0044524F">
        <w:rPr>
          <w:rFonts w:ascii="Times New Roman" w:hAnsi="Times New Roman"/>
          <w:color w:val="000000" w:themeColor="text1"/>
          <w:sz w:val="16"/>
          <w:szCs w:val="16"/>
        </w:rPr>
        <w:softHyphen/>
        <w:t>кой опускать их на 0,5 м. Первый испытательный полет 3-3 состоялся в июле 1934 г., носителем ТБ-3 командовал П.М. Стефановский, истребителями И-Z управляли летчики А. В. Коротков и И.Ф. Гродзь. При выполнении отцепки «3ЕТ» Короткова воздуш</w:t>
      </w:r>
      <w:r w:rsidRPr="0044524F">
        <w:rPr>
          <w:rFonts w:ascii="Times New Roman" w:hAnsi="Times New Roman"/>
          <w:color w:val="000000" w:themeColor="text1"/>
          <w:sz w:val="16"/>
          <w:szCs w:val="16"/>
        </w:rPr>
        <w:softHyphen/>
        <w:t>ным потоком подсосало вверх, истребитель прорвал обшивку крыла носителя и застрял в нем. Пришлось выполнять аварийную посадку. К несчастью, заст</w:t>
      </w:r>
      <w:r w:rsidRPr="0044524F">
        <w:rPr>
          <w:rFonts w:ascii="Times New Roman" w:hAnsi="Times New Roman"/>
          <w:color w:val="000000" w:themeColor="text1"/>
          <w:sz w:val="16"/>
          <w:szCs w:val="16"/>
        </w:rPr>
        <w:softHyphen/>
        <w:t>рявший в ТБ-3 самолет в момент касания земли ото</w:t>
      </w:r>
      <w:r w:rsidRPr="0044524F">
        <w:rPr>
          <w:rFonts w:ascii="Times New Roman" w:hAnsi="Times New Roman"/>
          <w:color w:val="000000" w:themeColor="text1"/>
          <w:sz w:val="16"/>
          <w:szCs w:val="16"/>
        </w:rPr>
        <w:softHyphen/>
        <w:t>рвался и скапотировал. Летчик погиб. После этой ка</w:t>
      </w:r>
      <w:r w:rsidRPr="0044524F">
        <w:rPr>
          <w:rFonts w:ascii="Times New Roman" w:hAnsi="Times New Roman"/>
          <w:color w:val="000000" w:themeColor="text1"/>
          <w:sz w:val="16"/>
          <w:szCs w:val="16"/>
        </w:rPr>
        <w:softHyphen/>
        <w:t>тастрофы работы по «3вену-3» были прекращены (23378).</w:t>
      </w:r>
    </w:p>
    <w:p w14:paraId="7D16E1F7" w14:textId="77777777" w:rsidR="00CF593A" w:rsidRPr="0044524F" w:rsidRDefault="00CF593A" w:rsidP="009654CF">
      <w:pPr>
        <w:spacing w:after="0" w:line="240" w:lineRule="auto"/>
        <w:jc w:val="both"/>
        <w:rPr>
          <w:rFonts w:ascii="Times New Roman" w:hAnsi="Times New Roman"/>
          <w:color w:val="000000" w:themeColor="text1"/>
          <w:sz w:val="16"/>
          <w:szCs w:val="16"/>
        </w:rPr>
      </w:pPr>
    </w:p>
    <w:p w14:paraId="0966F3C7"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DA2C473"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57619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лету 1933 г</w:t>
      </w:r>
      <w:r w:rsidRPr="0044524F">
        <w:rPr>
          <w:rFonts w:ascii="Times New Roman" w:hAnsi="Times New Roman"/>
          <w:iCs/>
          <w:color w:val="000000" w:themeColor="text1"/>
          <w:sz w:val="16"/>
          <w:szCs w:val="16"/>
        </w:rPr>
        <w:t>.</w:t>
      </w:r>
      <w:r w:rsidRPr="0044524F">
        <w:rPr>
          <w:rFonts w:ascii="Times New Roman" w:hAnsi="Times New Roman"/>
          <w:color w:val="000000" w:themeColor="text1"/>
          <w:sz w:val="16"/>
          <w:szCs w:val="16"/>
        </w:rPr>
        <w:t xml:space="preserve"> грузовик АМО-3 был модернизирован, его грузоподъемность была повышена до 3 т.</w:t>
      </w:r>
    </w:p>
    <w:p w14:paraId="4B47DAB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2CEBF0D4" w14:textId="77777777" w:rsidR="0085124E" w:rsidRPr="0044524F" w:rsidRDefault="008512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лету 1933 были готовы 2 автомобиля на базе грузовиков ГАЗ-АА. Летом 1933 г. Г.А. Сонкин показал их полярно</w:t>
      </w:r>
      <w:r w:rsidRPr="0044524F">
        <w:rPr>
          <w:rFonts w:ascii="Times New Roman" w:hAnsi="Times New Roman"/>
          <w:color w:val="000000" w:themeColor="text1"/>
          <w:sz w:val="16"/>
          <w:szCs w:val="16"/>
        </w:rPr>
        <w:softHyphen/>
        <w:t>му исследователю Н.Н. Урванцеву. Геологу, собирав</w:t>
      </w:r>
      <w:r w:rsidRPr="0044524F">
        <w:rPr>
          <w:rFonts w:ascii="Times New Roman" w:hAnsi="Times New Roman"/>
          <w:color w:val="000000" w:themeColor="text1"/>
          <w:sz w:val="16"/>
          <w:szCs w:val="16"/>
        </w:rPr>
        <w:softHyphen/>
        <w:t>шемуся в арктические широты, такие машины были нужны, он специально добрался до института в на</w:t>
      </w:r>
      <w:r w:rsidRPr="0044524F">
        <w:rPr>
          <w:rFonts w:ascii="Times New Roman" w:hAnsi="Times New Roman"/>
          <w:color w:val="000000" w:themeColor="text1"/>
          <w:sz w:val="16"/>
          <w:szCs w:val="16"/>
        </w:rPr>
        <w:softHyphen/>
        <w:t>дежде подыскать механический транспорт для своей экспедиции. Ему удалось добиться изготовления че</w:t>
      </w:r>
      <w:r w:rsidRPr="0044524F">
        <w:rPr>
          <w:rFonts w:ascii="Times New Roman" w:hAnsi="Times New Roman"/>
          <w:color w:val="000000" w:themeColor="text1"/>
          <w:sz w:val="16"/>
          <w:szCs w:val="16"/>
        </w:rPr>
        <w:softHyphen/>
        <w:t>тырех машин для экспедиции. Так в условиях арктической зимы прошли первые испытания ме</w:t>
      </w:r>
      <w:r w:rsidRPr="0044524F">
        <w:rPr>
          <w:rFonts w:ascii="Times New Roman" w:hAnsi="Times New Roman"/>
          <w:color w:val="000000" w:themeColor="text1"/>
          <w:sz w:val="16"/>
          <w:szCs w:val="16"/>
        </w:rPr>
        <w:softHyphen/>
        <w:t>ханического транспорта. Всего вездехо</w:t>
      </w:r>
      <w:r w:rsidRPr="0044524F">
        <w:rPr>
          <w:rFonts w:ascii="Times New Roman" w:hAnsi="Times New Roman"/>
          <w:color w:val="000000" w:themeColor="text1"/>
          <w:sz w:val="16"/>
          <w:szCs w:val="16"/>
        </w:rPr>
        <w:softHyphen/>
        <w:t>дами НАТИ-2 (как их называ</w:t>
      </w:r>
      <w:r w:rsidRPr="0044524F">
        <w:rPr>
          <w:rFonts w:ascii="Times New Roman" w:hAnsi="Times New Roman"/>
          <w:color w:val="000000" w:themeColor="text1"/>
          <w:sz w:val="16"/>
          <w:szCs w:val="16"/>
        </w:rPr>
        <w:softHyphen/>
        <w:t>ет в своих воспоминаниях Н.Н. Урванцев) на зи</w:t>
      </w:r>
      <w:r w:rsidRPr="0044524F">
        <w:rPr>
          <w:rFonts w:ascii="Times New Roman" w:hAnsi="Times New Roman"/>
          <w:color w:val="000000" w:themeColor="text1"/>
          <w:sz w:val="16"/>
          <w:szCs w:val="16"/>
        </w:rPr>
        <w:softHyphen/>
        <w:t>мовке было перевезено 2600 т раз</w:t>
      </w:r>
      <w:r w:rsidRPr="0044524F">
        <w:rPr>
          <w:rFonts w:ascii="Times New Roman" w:hAnsi="Times New Roman"/>
          <w:color w:val="000000" w:themeColor="text1"/>
          <w:sz w:val="16"/>
          <w:szCs w:val="16"/>
        </w:rPr>
        <w:softHyphen/>
        <w:t>ных грузов и проделано в общей сложности 7000 км. Моторы везде</w:t>
      </w:r>
      <w:r w:rsidRPr="0044524F">
        <w:rPr>
          <w:rFonts w:ascii="Times New Roman" w:hAnsi="Times New Roman"/>
          <w:color w:val="000000" w:themeColor="text1"/>
          <w:sz w:val="16"/>
          <w:szCs w:val="16"/>
        </w:rPr>
        <w:softHyphen/>
        <w:t>ходов работали без ремонта 1800 ч.</w:t>
      </w:r>
    </w:p>
    <w:p w14:paraId="7282C63C" w14:textId="77777777" w:rsidR="0085124E" w:rsidRPr="0044524F" w:rsidRDefault="008512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этого машины еще неко</w:t>
      </w:r>
      <w:r w:rsidRPr="0044524F">
        <w:rPr>
          <w:rFonts w:ascii="Times New Roman" w:hAnsi="Times New Roman"/>
          <w:color w:val="000000" w:themeColor="text1"/>
          <w:sz w:val="16"/>
          <w:szCs w:val="16"/>
        </w:rPr>
        <w:softHyphen/>
        <w:t>торое время работали на островах Самуила, потом они были погру</w:t>
      </w:r>
      <w:r w:rsidRPr="0044524F">
        <w:rPr>
          <w:rFonts w:ascii="Times New Roman" w:hAnsi="Times New Roman"/>
          <w:color w:val="000000" w:themeColor="text1"/>
          <w:sz w:val="16"/>
          <w:szCs w:val="16"/>
        </w:rPr>
        <w:softHyphen/>
        <w:t>жены на пароход и в навигацию 1934 г. доставлены в бухту Нор- двик, где использовались при раз</w:t>
      </w:r>
      <w:r w:rsidRPr="0044524F">
        <w:rPr>
          <w:rFonts w:ascii="Times New Roman" w:hAnsi="Times New Roman"/>
          <w:color w:val="000000" w:themeColor="text1"/>
          <w:sz w:val="16"/>
          <w:szCs w:val="16"/>
        </w:rPr>
        <w:softHyphen/>
        <w:t>грузке бурового оборудования и снаряжения, доставке грузов от берега к месту складирования.</w:t>
      </w:r>
    </w:p>
    <w:p w14:paraId="1DFBE81B" w14:textId="7DA66F7C" w:rsidR="0085124E" w:rsidRPr="0044524F" w:rsidRDefault="008512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этой экспедиции участвовали два сотрудника НАТИ - И.А. Бизи- кин и Г.Г. Колобаев, который рабо</w:t>
      </w:r>
      <w:r w:rsidRPr="0044524F">
        <w:rPr>
          <w:rFonts w:ascii="Times New Roman" w:hAnsi="Times New Roman"/>
          <w:color w:val="000000" w:themeColor="text1"/>
          <w:sz w:val="16"/>
          <w:szCs w:val="16"/>
        </w:rPr>
        <w:softHyphen/>
        <w:t>тал в институте механиком. Случи</w:t>
      </w:r>
      <w:r w:rsidRPr="0044524F">
        <w:rPr>
          <w:rFonts w:ascii="Times New Roman" w:hAnsi="Times New Roman"/>
          <w:color w:val="000000" w:themeColor="text1"/>
          <w:sz w:val="16"/>
          <w:szCs w:val="16"/>
        </w:rPr>
        <w:softHyphen/>
        <w:t>лось так, что автомобиль Ивана Бизикина провалился под лед. Он и находившийся в кабине Урван</w:t>
      </w:r>
      <w:r w:rsidRPr="0044524F">
        <w:rPr>
          <w:rFonts w:ascii="Times New Roman" w:hAnsi="Times New Roman"/>
          <w:color w:val="000000" w:themeColor="text1"/>
          <w:sz w:val="16"/>
          <w:szCs w:val="16"/>
        </w:rPr>
        <w:softHyphen/>
        <w:t>цев успели выпрыгнуть и зацепить оказавшийся рядом трос для подъема льда на судно за переднюю ось автомобиля, перед тем как тот ушел под воду. Используя этот трос, вездеход поз</w:t>
      </w:r>
      <w:r w:rsidRPr="0044524F">
        <w:rPr>
          <w:rFonts w:ascii="Times New Roman" w:hAnsi="Times New Roman"/>
          <w:color w:val="000000" w:themeColor="text1"/>
          <w:sz w:val="16"/>
          <w:szCs w:val="16"/>
        </w:rPr>
        <w:softHyphen/>
        <w:t>же удалось поднять. Спасенный автомобиль исправ</w:t>
      </w:r>
      <w:r w:rsidRPr="0044524F">
        <w:rPr>
          <w:rFonts w:ascii="Times New Roman" w:hAnsi="Times New Roman"/>
          <w:color w:val="000000" w:themeColor="text1"/>
          <w:sz w:val="16"/>
          <w:szCs w:val="16"/>
        </w:rPr>
        <w:softHyphen/>
        <w:t>но служил экспедиции и участвовал в походе вокруг Таймыра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(22518).</w:t>
      </w:r>
    </w:p>
    <w:p w14:paraId="64041478" w14:textId="77777777" w:rsidR="0085124E" w:rsidRPr="0044524F" w:rsidRDefault="0085124E" w:rsidP="009654CF">
      <w:pPr>
        <w:spacing w:after="0" w:line="240" w:lineRule="auto"/>
        <w:jc w:val="both"/>
        <w:rPr>
          <w:rFonts w:ascii="Times New Roman" w:hAnsi="Times New Roman"/>
          <w:color w:val="000000" w:themeColor="text1"/>
          <w:sz w:val="16"/>
          <w:szCs w:val="16"/>
        </w:rPr>
      </w:pPr>
    </w:p>
    <w:p w14:paraId="1E9D5D18"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6091C51"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690048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июню 1933 г. после разрыва пушки АПК-3 на И-4 18 мая в ОКБ-1 началось изготовление двух новых пушек АПК-Збис. Первая из них была закончена, и летные испытания продолжились. Однако 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АПК-Збис размещению не подлежит (12091).</w:t>
      </w:r>
    </w:p>
    <w:p w14:paraId="0E0B66B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5307008B" w14:textId="77777777" w:rsidR="00FA456A" w:rsidRPr="00142305" w:rsidRDefault="00FA456A" w:rsidP="00FA45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июню 1933 подготовили всю партию из пяти S.55, летаю</w:t>
      </w:r>
      <w:r w:rsidRPr="00142305">
        <w:rPr>
          <w:rFonts w:ascii="Times New Roman" w:hAnsi="Times New Roman"/>
          <w:color w:val="0070C0"/>
          <w:sz w:val="16"/>
          <w:szCs w:val="16"/>
        </w:rPr>
        <w:softHyphen/>
        <w:t>щие лодки отправляли в Одессу морем по мере подписания актов приемки, которая началась в конце апреля. Руководил ей прибывший из Москвы Силин. Таким об</w:t>
      </w:r>
      <w:r w:rsidRPr="00142305">
        <w:rPr>
          <w:rFonts w:ascii="Times New Roman" w:hAnsi="Times New Roman"/>
          <w:color w:val="0070C0"/>
          <w:sz w:val="16"/>
          <w:szCs w:val="16"/>
        </w:rPr>
        <w:softHyphen/>
        <w:t>разом, выполнили план, который предус</w:t>
      </w:r>
      <w:r w:rsidRPr="00142305">
        <w:rPr>
          <w:rFonts w:ascii="Times New Roman" w:hAnsi="Times New Roman"/>
          <w:color w:val="0070C0"/>
          <w:sz w:val="16"/>
          <w:szCs w:val="16"/>
        </w:rPr>
        <w:softHyphen/>
        <w:t>матривал поступление трех самолетов в СССР во втором квартале 1933 г. и еще двух - в третьем. После приемочных ис</w:t>
      </w:r>
      <w:r w:rsidRPr="00142305">
        <w:rPr>
          <w:rFonts w:ascii="Times New Roman" w:hAnsi="Times New Roman"/>
          <w:color w:val="0070C0"/>
          <w:sz w:val="16"/>
          <w:szCs w:val="16"/>
        </w:rPr>
        <w:softHyphen/>
        <w:t>пытаний самолеты разбирали, упаковы</w:t>
      </w:r>
      <w:r w:rsidRPr="00142305">
        <w:rPr>
          <w:rFonts w:ascii="Times New Roman" w:hAnsi="Times New Roman"/>
          <w:color w:val="0070C0"/>
          <w:sz w:val="16"/>
          <w:szCs w:val="16"/>
        </w:rPr>
        <w:softHyphen/>
        <w:t>вали и грузили на суда. Но одна «савойя» добралась до Советского Союза «своим ходом» (24944).</w:t>
      </w:r>
    </w:p>
    <w:p w14:paraId="4EACA6EB" w14:textId="77777777" w:rsidR="00FA456A" w:rsidRPr="00142305" w:rsidRDefault="00FA456A" w:rsidP="00FA456A">
      <w:pPr>
        <w:spacing w:after="0" w:line="240" w:lineRule="auto"/>
        <w:jc w:val="both"/>
        <w:rPr>
          <w:rFonts w:ascii="Times New Roman" w:hAnsi="Times New Roman"/>
          <w:color w:val="0070C0"/>
          <w:sz w:val="16"/>
          <w:szCs w:val="16"/>
        </w:rPr>
      </w:pPr>
    </w:p>
    <w:p w14:paraId="667178D6"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A35A693"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744206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была закончена постройка АНТ-25 (514).</w:t>
      </w:r>
    </w:p>
    <w:p w14:paraId="3B9C08C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 другим данным - 13 июня 1932 (2072,72).</w:t>
      </w:r>
    </w:p>
    <w:p w14:paraId="6C0A843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машина всерьез рассматривалась ЦАГИ как конкурент ТБ-3 (АНТ-6) в роли бомбардировщика (1072).</w:t>
      </w:r>
    </w:p>
    <w:p w14:paraId="6A7E8FA9"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145A3F6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года Дубинский писал письмо № 42923 в СНК Базилевичу</w:t>
      </w:r>
    </w:p>
    <w:p w14:paraId="653F39A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Харьковский авиазавод, по заданию Правительства, строит самолет-гигант «К-7» – специального назначения, для которого необходимы колеса-дутики 2000х900, изготовляемые заводом «Каучук» в Москве и для которых были отлиты и обработаны на заводе «Марти» формы-вулканизаторы.</w:t>
      </w:r>
    </w:p>
    <w:p w14:paraId="45943A8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данный момент формы-вулканизаторы заводом «Каучук» получены, но изготовление дутиков затягивается как заводом «Каучук», так и НИРПом.</w:t>
      </w:r>
    </w:p>
    <w:p w14:paraId="6295111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выпуска машины в намеченный срок, прошу обязать завод «Каучук» и НИРП изготовить колеса-дутики 2000х900 в кратчайший срок (3530,129).</w:t>
      </w:r>
    </w:p>
    <w:p w14:paraId="0BBEBD3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2F6C95A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началась постройка АНТ-29 (ДИП) (514).</w:t>
      </w:r>
    </w:p>
    <w:p w14:paraId="73B52E5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08C0565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была закончена постройка АНТ-21 (МИ-3) (514).</w:t>
      </w:r>
    </w:p>
    <w:p w14:paraId="55BD160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23 мая 1933 был выполнен первый полет</w:t>
      </w:r>
    </w:p>
    <w:p w14:paraId="5203F7B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7D4419F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была закончена постройка АНТ-31 (И-14), который в 1934 под управлением В.К.Коккинаки потерпел аварию и не был восстановлен (514).</w:t>
      </w:r>
    </w:p>
    <w:p w14:paraId="38A6540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5FF19AA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был утвержден макет МДР-4 2М-34 (2310,143).</w:t>
      </w:r>
    </w:p>
    <w:p w14:paraId="52C7E9C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5A5FD4E6"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1 июня 1933 был утвержден макет МДР-3бис 2М-34РН (2305,35).</w:t>
      </w:r>
    </w:p>
    <w:p w14:paraId="29776D7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65AE8BD9" w14:textId="77777777" w:rsidR="00006C61" w:rsidRPr="0044524F" w:rsidRDefault="00006C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 Протокол ПБ № 138 п.118/98: Просьба Орджоникидзе откомандировать на постоянную работу в США по реализации договора о производстве авиамоторов уполномоченного ГУАП и его бюро в составе 5 человек (ОБ от 23-5-1933, протокол № 147, п. 36-гс). Решено ограничиться командировкой трех человек, командировав уполномоченным ГУАП Михайлова И.С. и членами бюро Старченко и Родзевича (15936).</w:t>
      </w:r>
    </w:p>
    <w:p w14:paraId="7437F113" w14:textId="77777777" w:rsidR="00006C61" w:rsidRPr="0044524F" w:rsidRDefault="00006C61" w:rsidP="009654CF">
      <w:pPr>
        <w:spacing w:after="0" w:line="240" w:lineRule="auto"/>
        <w:jc w:val="both"/>
        <w:rPr>
          <w:rFonts w:ascii="Times New Roman" w:hAnsi="Times New Roman"/>
          <w:color w:val="000000" w:themeColor="text1"/>
          <w:sz w:val="16"/>
          <w:szCs w:val="16"/>
        </w:rPr>
      </w:pPr>
    </w:p>
    <w:p w14:paraId="21285FA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в Москве был организован дирижаблестроительный учебный комбинат ГВФ, включающий Дирижаблестроительный институт и Воздухоплавательную школу (237,166).</w:t>
      </w:r>
    </w:p>
    <w:p w14:paraId="24EAB6A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5B6EF458" w14:textId="77777777" w:rsidR="00006C61" w:rsidRPr="0044524F" w:rsidRDefault="00006C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 Протокол ПБ № 138 п.131/110: О перелете немецких аэропланов – ОП. Решено разрешить однократный перелет через СССР в Западный Китай по маршруту Дерулюфта до Москвы, а затем через Казань – Свердловск – Семипалатинск – Сергиополь трех аэропланов, принадлежащих германскому обществу воздушных сообщений «Люфтганза» (15964).</w:t>
      </w:r>
    </w:p>
    <w:p w14:paraId="4AA0CA94" w14:textId="77777777" w:rsidR="00006C61" w:rsidRPr="0044524F" w:rsidRDefault="00006C61" w:rsidP="009654CF">
      <w:pPr>
        <w:spacing w:after="0" w:line="240" w:lineRule="auto"/>
        <w:jc w:val="both"/>
        <w:rPr>
          <w:rFonts w:ascii="Times New Roman" w:hAnsi="Times New Roman"/>
          <w:color w:val="000000" w:themeColor="text1"/>
          <w:sz w:val="16"/>
          <w:szCs w:val="16"/>
        </w:rPr>
      </w:pPr>
    </w:p>
    <w:p w14:paraId="15887E36"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05EAD6B"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B2FA682" w14:textId="77777777" w:rsidR="00FD14F6" w:rsidRPr="0044524F" w:rsidRDefault="00FD14F6"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 xml:space="preserve">1 июня 1933 г. </w:t>
      </w:r>
      <w:r w:rsidRPr="0044524F">
        <w:rPr>
          <w:rFonts w:ascii="Times New Roman" w:hAnsi="Times New Roman"/>
          <w:color w:val="000000" w:themeColor="text1"/>
          <w:sz w:val="16"/>
          <w:szCs w:val="16"/>
        </w:rPr>
        <w:t>Справка заместителя начальника сектора рационализации Орудийно-арсенального объединения НКТП СССР С. Мыльникова о суррогатировании в артиллерийском производстве</w:t>
      </w:r>
    </w:p>
    <w:p w14:paraId="2E138B64" w14:textId="77777777" w:rsidR="00FD14F6" w:rsidRPr="0044524F" w:rsidRDefault="00FD14F6"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Секретно.</w:t>
      </w:r>
    </w:p>
    <w:p w14:paraId="3ED73DB7" w14:textId="77777777" w:rsidR="00FD14F6" w:rsidRPr="0044524F" w:rsidRDefault="00FD14F6" w:rsidP="009654CF">
      <w:pPr>
        <w:pStyle w:val="rtejustify"/>
        <w:spacing w:before="0" w:after="0"/>
        <w:rPr>
          <w:color w:val="000000" w:themeColor="text1"/>
          <w:sz w:val="16"/>
          <w:szCs w:val="16"/>
        </w:rPr>
      </w:pPr>
      <w:r w:rsidRPr="0044524F">
        <w:rPr>
          <w:color w:val="000000" w:themeColor="text1"/>
          <w:sz w:val="16"/>
          <w:szCs w:val="16"/>
        </w:rPr>
        <w:t>Суррогатированием ВОАО стало заниматься с июня 1930 г., для каковой цели была сорганизована Междуведомственная комиссия по суррогатированию, в каковую входили представители ГАУ, Орудийно-арсенального объединения и вызывались, когда это требовалось, представители заводов, артсистемы коих разбирались на том или ином совещании. Междуведомственная комиссия существовала до 1 июля 1932 г., после чего дело суррогатирования передано в Гипроспецмет, каковой к этой работе приступил с 7 января 1933 г. В состав новой комиссии входят представители АНИИ, НИАП и Гипроспецмета.</w:t>
      </w:r>
    </w:p>
    <w:p w14:paraId="62676CC5" w14:textId="77777777" w:rsidR="00FD14F6" w:rsidRPr="0044524F" w:rsidRDefault="00FD14F6" w:rsidP="009654CF">
      <w:pPr>
        <w:pStyle w:val="rtejustify"/>
        <w:spacing w:before="0" w:after="0"/>
        <w:rPr>
          <w:color w:val="000000" w:themeColor="text1"/>
          <w:sz w:val="16"/>
          <w:szCs w:val="16"/>
        </w:rPr>
      </w:pPr>
      <w:r w:rsidRPr="0044524F">
        <w:rPr>
          <w:color w:val="000000" w:themeColor="text1"/>
          <w:sz w:val="16"/>
          <w:szCs w:val="16"/>
        </w:rPr>
        <w:t>По сие число просуррогатировано 45 артсистем. По системам 152</w:t>
      </w:r>
      <w:r w:rsidRPr="0044524F">
        <w:rPr>
          <w:color w:val="000000" w:themeColor="text1"/>
          <w:sz w:val="16"/>
          <w:szCs w:val="16"/>
        </w:rPr>
        <w:noBreakHyphen/>
        <w:t>мм осадная гаубица Шнейдера, 152</w:t>
      </w:r>
      <w:r w:rsidRPr="0044524F">
        <w:rPr>
          <w:color w:val="000000" w:themeColor="text1"/>
          <w:sz w:val="16"/>
          <w:szCs w:val="16"/>
        </w:rPr>
        <w:noBreakHyphen/>
        <w:t>мм гаубица Шнейдера и 122</w:t>
      </w:r>
      <w:r w:rsidRPr="0044524F">
        <w:rPr>
          <w:color w:val="000000" w:themeColor="text1"/>
          <w:sz w:val="16"/>
          <w:szCs w:val="16"/>
        </w:rPr>
        <w:noBreakHyphen/>
        <w:t>мм гаубица 1910/1930 г. суррогатирование на заводах проведено полностью. По остальным системам проведение в жизнь постановлений комиссии выявляется, и эта работа ГСМ будет закончена к 1 июля 1933 г. и увязана с заводами в отношении экономии металла в весовых единицах к 1 августа 1933 г., что же касается уже проведенного суррогатирования, то по этим системам выявлена экономия цветных металлов на 1 систему: 1) 152</w:t>
      </w:r>
      <w:r w:rsidRPr="0044524F">
        <w:rPr>
          <w:color w:val="000000" w:themeColor="text1"/>
          <w:sz w:val="16"/>
          <w:szCs w:val="16"/>
        </w:rPr>
        <w:noBreakHyphen/>
        <w:t>мм осадная гаубица Шнейдера — 113 кг; 2) 152</w:t>
      </w:r>
      <w:r w:rsidRPr="0044524F">
        <w:rPr>
          <w:color w:val="000000" w:themeColor="text1"/>
          <w:sz w:val="16"/>
          <w:szCs w:val="16"/>
        </w:rPr>
        <w:noBreakHyphen/>
        <w:t>мм гаубица Шнейдера — 102 кг; 3) 122</w:t>
      </w:r>
      <w:r w:rsidRPr="0044524F">
        <w:rPr>
          <w:color w:val="000000" w:themeColor="text1"/>
          <w:sz w:val="16"/>
          <w:szCs w:val="16"/>
        </w:rPr>
        <w:noBreakHyphen/>
        <w:t>мм гаубица 1910/1930 г. — 24,4 кг.</w:t>
      </w:r>
    </w:p>
    <w:p w14:paraId="34C4B2DC" w14:textId="77777777" w:rsidR="00FD14F6" w:rsidRPr="0044524F" w:rsidRDefault="00FD14F6" w:rsidP="009654CF">
      <w:pPr>
        <w:pStyle w:val="rtejustify"/>
        <w:spacing w:before="0" w:after="0"/>
        <w:rPr>
          <w:color w:val="000000" w:themeColor="text1"/>
          <w:sz w:val="16"/>
          <w:szCs w:val="16"/>
        </w:rPr>
      </w:pPr>
      <w:r w:rsidRPr="0044524F">
        <w:rPr>
          <w:color w:val="000000" w:themeColor="text1"/>
          <w:sz w:val="16"/>
          <w:szCs w:val="16"/>
        </w:rPr>
        <w:t>Кроме того производится работа по замене оловянных бронз бронзами, не содержащими олова (марганцевистая и кремнистая бронза), и в настоящее время для ВОАО проводится в Институте материалов НКПС исследовательская работа по определению сравнительных характеристик трения и износов оловянной бронзы № 1 (ВСТ</w:t>
      </w:r>
      <w:r w:rsidRPr="0044524F">
        <w:rPr>
          <w:color w:val="000000" w:themeColor="text1"/>
          <w:sz w:val="16"/>
          <w:szCs w:val="16"/>
        </w:rPr>
        <w:noBreakHyphen/>
        <w:t>40) и марганцевистой по стали марки “Г” в различных условиях службы. Проведение этой работы позволит уже только по одному из заводов по системам: 1) 102</w:t>
      </w:r>
      <w:r w:rsidRPr="0044524F">
        <w:rPr>
          <w:color w:val="000000" w:themeColor="text1"/>
          <w:sz w:val="16"/>
          <w:szCs w:val="16"/>
        </w:rPr>
        <w:noBreakHyphen/>
        <w:t>мм пушка — 60 кал[ибров], 2) 107</w:t>
      </w:r>
      <w:r w:rsidRPr="0044524F">
        <w:rPr>
          <w:color w:val="000000" w:themeColor="text1"/>
          <w:sz w:val="16"/>
          <w:szCs w:val="16"/>
        </w:rPr>
        <w:noBreakHyphen/>
        <w:t>мм пушка — 38 кал[ибров], 3) 180</w:t>
      </w:r>
      <w:r w:rsidRPr="0044524F">
        <w:rPr>
          <w:color w:val="000000" w:themeColor="text1"/>
          <w:sz w:val="16"/>
          <w:szCs w:val="16"/>
        </w:rPr>
        <w:noBreakHyphen/>
        <w:t>мм пушка — 60 кал[ибров], 4) 203</w:t>
      </w:r>
      <w:r w:rsidRPr="0044524F">
        <w:rPr>
          <w:color w:val="000000" w:themeColor="text1"/>
          <w:sz w:val="16"/>
          <w:szCs w:val="16"/>
        </w:rPr>
        <w:noBreakHyphen/>
        <w:t>мм гаубица (Б</w:t>
      </w:r>
      <w:r w:rsidRPr="0044524F">
        <w:rPr>
          <w:color w:val="000000" w:themeColor="text1"/>
          <w:sz w:val="16"/>
          <w:szCs w:val="16"/>
        </w:rPr>
        <w:noBreakHyphen/>
        <w:t>4) сэкономить импортных материалов: олова — до 10 т, меди — до 32 т, а по всей системе заводов эта экономия будет выражаться в еще более значительных цифрах.</w:t>
      </w:r>
    </w:p>
    <w:p w14:paraId="790E6DF9" w14:textId="77777777" w:rsidR="00FD14F6" w:rsidRPr="0044524F" w:rsidRDefault="00FD14F6" w:rsidP="009654CF">
      <w:pPr>
        <w:pStyle w:val="rtejustify"/>
        <w:spacing w:before="0" w:after="0"/>
        <w:rPr>
          <w:color w:val="000000" w:themeColor="text1"/>
          <w:sz w:val="16"/>
          <w:szCs w:val="16"/>
        </w:rPr>
      </w:pPr>
      <w:r w:rsidRPr="0044524F">
        <w:rPr>
          <w:color w:val="000000" w:themeColor="text1"/>
          <w:sz w:val="16"/>
          <w:szCs w:val="16"/>
        </w:rPr>
        <w:t>Нельзя не отметить, что замедленные темпы проведения в жизнь просмотренного суррогатирования на заводах в значительной степени зависят от чрезвычайно слабых темпов со стороны ГАУ в утверждении им протоколов заседаний Комиссии по суррогатированию. Так, для примера укажу, что всего протоколов по суррогатированию было 108, а на сие число утверждено протоколов только 75 (с [№] 1 по 75).</w:t>
      </w:r>
    </w:p>
    <w:p w14:paraId="399DD14F" w14:textId="77777777" w:rsidR="00FD14F6" w:rsidRPr="0044524F" w:rsidRDefault="00FD14F6" w:rsidP="009654CF">
      <w:pPr>
        <w:pStyle w:val="rtejustify"/>
        <w:spacing w:before="0" w:after="0"/>
        <w:rPr>
          <w:color w:val="000000" w:themeColor="text1"/>
          <w:sz w:val="16"/>
          <w:szCs w:val="16"/>
        </w:rPr>
      </w:pPr>
      <w:r w:rsidRPr="0044524F">
        <w:rPr>
          <w:color w:val="000000" w:themeColor="text1"/>
          <w:sz w:val="16"/>
          <w:szCs w:val="16"/>
        </w:rPr>
        <w:t>Кроме указанного по линии суррогатирования на заводах ВОАО проводится работа по изучению плавильных процессов, связанных с освобождением от импортных ферросплавов отечественными путем замены сталей, содержащих молибден, ванадий и никель сталями марганцевистыми, хромо-марганцевистыми и хромо-кремнистыми.</w:t>
      </w:r>
    </w:p>
    <w:p w14:paraId="7673943E" w14:textId="77777777" w:rsidR="00FD14F6" w:rsidRPr="0044524F" w:rsidRDefault="00FD14F6" w:rsidP="009654CF">
      <w:pPr>
        <w:pStyle w:val="ae"/>
        <w:spacing w:before="0" w:after="0"/>
        <w:jc w:val="both"/>
        <w:rPr>
          <w:color w:val="000000" w:themeColor="text1"/>
          <w:sz w:val="16"/>
          <w:szCs w:val="16"/>
        </w:rPr>
      </w:pPr>
      <w:r w:rsidRPr="0044524F">
        <w:rPr>
          <w:rStyle w:val="af0"/>
          <w:i w:val="0"/>
          <w:color w:val="000000" w:themeColor="text1"/>
          <w:sz w:val="16"/>
          <w:szCs w:val="16"/>
        </w:rPr>
        <w:t>Зам. начальника Сектора рационализации Орудийно-арсенального объединения С. Мыльников</w:t>
      </w:r>
    </w:p>
    <w:p w14:paraId="4B0B18D7" w14:textId="77777777" w:rsidR="00FD14F6" w:rsidRPr="0044524F" w:rsidRDefault="00FD14F6" w:rsidP="009654CF">
      <w:pPr>
        <w:pStyle w:val="ae"/>
        <w:spacing w:before="0" w:after="0"/>
        <w:jc w:val="both"/>
        <w:rPr>
          <w:color w:val="000000" w:themeColor="text1"/>
          <w:sz w:val="16"/>
          <w:szCs w:val="16"/>
        </w:rPr>
      </w:pPr>
      <w:r w:rsidRPr="0044524F">
        <w:rPr>
          <w:color w:val="000000" w:themeColor="text1"/>
          <w:sz w:val="16"/>
          <w:szCs w:val="16"/>
        </w:rPr>
        <w:t>РГАЭ. Ф. 4372. Оп. 91. Д. 1356. Л. 25-25 об. Подлинник (15271).</w:t>
      </w:r>
    </w:p>
    <w:p w14:paraId="03C4D5F0" w14:textId="77777777" w:rsidR="00FD14F6" w:rsidRPr="0044524F" w:rsidRDefault="00FD14F6" w:rsidP="009654CF">
      <w:pPr>
        <w:autoSpaceDE w:val="0"/>
        <w:autoSpaceDN w:val="0"/>
        <w:adjustRightInd w:val="0"/>
        <w:spacing w:after="0" w:line="240" w:lineRule="auto"/>
        <w:jc w:val="both"/>
        <w:rPr>
          <w:rFonts w:ascii="Times New Roman" w:hAnsi="Times New Roman"/>
          <w:color w:val="000000" w:themeColor="text1"/>
          <w:sz w:val="16"/>
          <w:szCs w:val="16"/>
        </w:rPr>
      </w:pPr>
    </w:p>
    <w:p w14:paraId="315005E5"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приказом НКТП N 506 было объявлено о введении в строй Челябинского тракторного завода (3398,201).</w:t>
      </w:r>
    </w:p>
    <w:p w14:paraId="65FEF46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00F25DC6" w14:textId="77777777" w:rsidR="00006C61" w:rsidRPr="0044524F" w:rsidRDefault="00006C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ЧТЗ полностью вошел в строй. К тому времени собрали 13 машин установочной партии. К 7 ноября 1933 г. на ЧТЗ выпустили тысячный трактор С-60. Всего за 1933 г. изготовили 1650 машин, за 1934 г. — 10100, за 1935 г. - 20450, за 1936 г. - 29059, до 31 марта 1937 г. - 8002 (в марте - 2810) (12258).</w:t>
      </w:r>
    </w:p>
    <w:p w14:paraId="6D04264E" w14:textId="77777777" w:rsidR="00006C61" w:rsidRPr="0044524F" w:rsidRDefault="00006C61" w:rsidP="009654CF">
      <w:pPr>
        <w:spacing w:after="0" w:line="240" w:lineRule="auto"/>
        <w:jc w:val="both"/>
        <w:rPr>
          <w:rFonts w:ascii="Times New Roman" w:hAnsi="Times New Roman"/>
          <w:color w:val="000000" w:themeColor="text1"/>
          <w:sz w:val="16"/>
          <w:szCs w:val="16"/>
        </w:rPr>
      </w:pPr>
    </w:p>
    <w:p w14:paraId="533E7313" w14:textId="77777777" w:rsidR="00C76194" w:rsidRPr="0044524F" w:rsidRDefault="00C7619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 вступил в строй Челябинский тракторный завод В этот день в 1933 г. приказом Наркома тяжелой промышленности № 506 было объявлено о вступлении в строй действующих Челябинского тракторного завода. В годы Великой Отечественной войны на нем было налажено производство различных типов танков и самоходных артиллерийских установок (КВ, ИС, Т-34, САУ). За вклад в дело Победы советского народа в Великой Отечественной войне завод был награжден орденами Красной Звезды (1944 г.) и Кутузова 1-й степени (1945 г.). (6395).</w:t>
      </w:r>
    </w:p>
    <w:p w14:paraId="1DD18522" w14:textId="77777777" w:rsidR="00C76194" w:rsidRPr="0044524F" w:rsidRDefault="00C7619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ED2C0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года из ворот проходной ЧТЗ вышел первый трактор, а за ним - еще двенадцать новеньких тракторов. Это была огромная победа. Новый тракторный гигант поражал своей мощью и грандиозностью. Один из американских специалистов, представитель фирмы "Нортон", писал: "Благодаря своему первоклассному оборудованию и прекрасному устройству ЧТЗ может с успехом выдержать сравнение с любым европейским или американским заводом, производящим те же предметы. Нахожу даже, что завод является лучшим в мире". В 1935 году ЧТЗ выпускал уже 20,5 тысяч тракторов в год. Конечно, качество этих машин еще значительно уступало западным аналогам. Зарплата рабочих и инженеров на ЧТЗ достигла самого высокого уровня среди заработков рабочих автотракторных заводов страны. В особо удачные периоды завод был способен выпускать до 114 тракторов в сутки! (11252).</w:t>
      </w:r>
    </w:p>
    <w:p w14:paraId="6ABF486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474AAB2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 ЧТЗ вступил в строй действующих предприятий, и Челябинск стал родиной гусеничного тракторостроения. Перед участниками торжественного митинга прошла первая колонна челябинских тракторов. Их вели лучшие люди завода: М.Макагон, М.Суровцева, ударники Зыков, Спиридонов, Ветренкова, а также делегаты совхозов и МТС, прибывшие на праздник – Шурупов, Мавлюта, Бондаренко и др. Оценивая пуск ЧТЗ, С.Орджоникидзе говорил на XVII съезде партии: "Такого огромнейшего и роскошнейшего завода нет не только в Европе, но, кажется, и в Америке". Десять лучших работников были удостоены ордена Ленина: начальник стройки К.П.Ловин, его заместитель Л.Б.Сафразьян, главный инженер В.В.Лельков, зам. технического директора завода С.М.Лещенко, председатель постройкома И.А.Смагин, бригадиры И.В.Монахов, А.Т.Першин и др. 21 человек был награжден орденом Трудового Красного Знамени; 42 строителя получили грамоты ЦИК СССР, в их числе А.И.Александров, сотрудник газеты "Наш трактор", позднее заслуженный учитель РСФСР. Имена девяти лучших организаторов строительства были занесены на Доску почёта Челябинского тракторного завода (11557).</w:t>
      </w:r>
    </w:p>
    <w:p w14:paraId="169404E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478CEBAF" w14:textId="77777777" w:rsidR="001A6981" w:rsidRPr="0044524F" w:rsidRDefault="001A6981"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lastRenderedPageBreak/>
        <w:t>1 июня</w:t>
      </w:r>
      <w:r w:rsidRPr="0044524F">
        <w:rPr>
          <w:rFonts w:ascii="Times New Roman" w:hAnsi="Times New Roman"/>
          <w:color w:val="000000" w:themeColor="text1"/>
          <w:sz w:val="16"/>
          <w:szCs w:val="16"/>
        </w:rPr>
        <w:t xml:space="preserve"> в 1933 году введен в строй Челябинский тракторный завод (в этот день из заводских ворот вышли первые гусеничные тракторы «С-60»). Челябинский тракторный завод введен в строй 1 июня 1933 года. Первой продукцией, сошедшей с конвейера, были гусеничные тракторы «С-60» мощностью 60 лошадиных сил, работавшие на легроиновом топливе. В 1937 году, впервые в России освоив производство тракторных дизелей, завод перешел на выпуск более экономичных дизельных тракторов «С-65». В период второй мировой войны предприятие вынуждено было полностью перейти на военную продукцию и стать крупнейшим в мире танкостроительным производством. На территории завода возник Танкоград, на котором силами эвакуированных производств Кировского и Харьковского моторных заводов производились танки «Т-34», самоходные установки «СУ-152», тяжелые танки «KB», «ИС-1», «ИС-2», «ИС-З», ставшие лучшими образцами военной техники того времени. В последующие годы челябинскими тракторостроителями был освоен выпуск мощных и высокопроизводительных тракторов «С-80», «С-10», «Т-100МЗ», «ДЭТ-250». Они завоевали огромную популярность у потребителей. На рубеже 1980-х годов завод претерпел широкомасштабную реконструкцию. В итоге были созданы условия для производства тракторов нового поколения – «Т-130», «Т-170» и «ДЭТ-350» и инженерных машин на их базе. Исходя из требований потребительского рынка, кроме выпуска тракторов, которые раньше традиционно поставлялись на другие заводы как базовые машины для различных агрегатов, взят курс на изготовление законченных видов изделий - инженерных машин для строительства и коммунального хозяйства, добычи полезных ископаемых и топливно-энергетического комплекса, лесной промышленности и других отраслей (14909).</w:t>
      </w:r>
    </w:p>
    <w:p w14:paraId="043A6348" w14:textId="77777777" w:rsidR="001A6981" w:rsidRPr="0044524F" w:rsidRDefault="001A6981" w:rsidP="009654CF">
      <w:pPr>
        <w:spacing w:after="0" w:line="240" w:lineRule="auto"/>
        <w:jc w:val="both"/>
        <w:rPr>
          <w:rFonts w:ascii="Times New Roman" w:hAnsi="Times New Roman"/>
          <w:color w:val="000000" w:themeColor="text1"/>
          <w:sz w:val="16"/>
          <w:szCs w:val="16"/>
        </w:rPr>
      </w:pPr>
    </w:p>
    <w:p w14:paraId="4EFF784E" w14:textId="77777777" w:rsidR="00C76194" w:rsidRPr="0044524F" w:rsidRDefault="00C7619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был введен в строй Уралмаш - УЗТМ (3960, 214).</w:t>
      </w:r>
    </w:p>
    <w:p w14:paraId="39B71630" w14:textId="77777777" w:rsidR="00C76194" w:rsidRPr="0044524F" w:rsidRDefault="00C7619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DAFEB6"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w:t>
      </w:r>
    </w:p>
    <w:p w14:paraId="4F6A6CB3"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40D8EE09"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http://sovdoc.rusarchives.ru</w:t>
      </w:r>
    </w:p>
    <w:p w14:paraId="5D30B565"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30ABD3A3"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РГАСПИ. Ф. 17. Оп. 3. Д. 923. Л. 1-55; РГАСПИ. Ф. 17. Оп. 162. Д. 14. Л. 140-154. </w:t>
      </w:r>
    </w:p>
    <w:p w14:paraId="4AE2D5ED"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137 заседания Политбюро ЦК ВКП(б) от 1 июня 1933 года</w:t>
      </w:r>
    </w:p>
    <w:p w14:paraId="7B35CA66"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w:t>
      </w:r>
      <w:r w:rsidRPr="0044524F">
        <w:rPr>
          <w:rFonts w:ascii="Times New Roman" w:hAnsi="Times New Roman"/>
          <w:color w:val="000000" w:themeColor="text1"/>
          <w:sz w:val="16"/>
          <w:szCs w:val="16"/>
        </w:rPr>
        <w:noBreakHyphen/>
        <w:t>го июня 1933 года.</w:t>
      </w:r>
    </w:p>
    <w:p w14:paraId="59A29B12"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21: Об обеспечении спецработы ВИЭМ</w:t>
      </w:r>
    </w:p>
    <w:p w14:paraId="4E23F0A8"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(Ворошилов).</w:t>
      </w:r>
    </w:p>
    <w:p w14:paraId="53D4452E"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116EE1FC"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Вопрос о Центральной радио-лаборатории ВИЭМ передать на разрешение комиссии в составе т.т. Кирова, Лютова и Федорова в 3</w:t>
      </w:r>
      <w:r w:rsidRPr="0044524F">
        <w:rPr>
          <w:rFonts w:ascii="Times New Roman" w:hAnsi="Times New Roman"/>
          <w:color w:val="000000" w:themeColor="text1"/>
          <w:sz w:val="16"/>
          <w:szCs w:val="16"/>
        </w:rPr>
        <w:noBreakHyphen/>
        <w:t>дневный срок.</w:t>
      </w:r>
    </w:p>
    <w:p w14:paraId="65E04614"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Обеспечить бюджет для ее содержания.</w:t>
      </w:r>
    </w:p>
    <w:p w14:paraId="67ED5CAF"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Обеспечить оборонную работу снабжением материалами, приравняв в этой части к предприятиям, имеющим оборонное значение.</w:t>
      </w:r>
    </w:p>
    <w:p w14:paraId="1809833D"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Ввиду особой опасности в работе с УКВ приравнять к особо вредным производствам в смысле снабжения сотрудников, работающих с УКВ диетпитанием наравне с летчиками.</w:t>
      </w:r>
    </w:p>
    <w:p w14:paraId="3FFC7096"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Выделить 2 легковые машины для Колендарова и Сперанского.</w:t>
      </w:r>
    </w:p>
    <w:p w14:paraId="5277F186"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5E798303"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Лютову, Федорову, Кирову — п. “а”;</w:t>
      </w:r>
    </w:p>
    <w:p w14:paraId="76A3E20D"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Ворошилову, Орджоникидзе — все (18061).</w:t>
      </w:r>
    </w:p>
    <w:p w14:paraId="0824165F" w14:textId="77777777" w:rsidR="00DD4F9F" w:rsidRPr="0044524F" w:rsidRDefault="00DD4F9F" w:rsidP="009654CF">
      <w:pPr>
        <w:spacing w:after="0" w:line="240" w:lineRule="auto"/>
        <w:jc w:val="both"/>
        <w:rPr>
          <w:rFonts w:ascii="Times New Roman" w:hAnsi="Times New Roman"/>
          <w:color w:val="000000" w:themeColor="text1"/>
          <w:sz w:val="16"/>
          <w:szCs w:val="16"/>
        </w:rPr>
      </w:pPr>
    </w:p>
    <w:p w14:paraId="304D9268"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состоялось заседание ПБ и был оформлен протокол № 138</w:t>
      </w:r>
    </w:p>
    <w:p w14:paraId="2AF66F22"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Об обеспечении спецработ ВИЭМ (т. Ворошилов).</w:t>
      </w:r>
    </w:p>
    <w:p w14:paraId="4B122C8A"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Вопрос о Центральной радио-лаборатории ВИЭМ пе</w:t>
      </w:r>
      <w:r w:rsidRPr="0044524F">
        <w:rPr>
          <w:rFonts w:ascii="Times New Roman" w:hAnsi="Times New Roman"/>
          <w:color w:val="000000" w:themeColor="text1"/>
          <w:sz w:val="16"/>
          <w:szCs w:val="16"/>
        </w:rPr>
        <w:softHyphen/>
        <w:t>редать на рассмотрение комиссии в составе т.т. Кирова, Лю</w:t>
      </w:r>
      <w:r w:rsidRPr="0044524F">
        <w:rPr>
          <w:rFonts w:ascii="Times New Roman" w:hAnsi="Times New Roman"/>
          <w:color w:val="000000" w:themeColor="text1"/>
          <w:sz w:val="16"/>
          <w:szCs w:val="16"/>
        </w:rPr>
        <w:softHyphen/>
        <w:t>това и Федорова в 3-дневный срок.</w:t>
      </w:r>
    </w:p>
    <w:p w14:paraId="13438506"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Обеопечить бюджет для ее содержания.</w:t>
      </w:r>
    </w:p>
    <w:p w14:paraId="2052F752"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Обеспечить оборонную работу снабжением материа</w:t>
      </w:r>
      <w:r w:rsidRPr="0044524F">
        <w:rPr>
          <w:rFonts w:ascii="Times New Roman" w:hAnsi="Times New Roman"/>
          <w:color w:val="000000" w:themeColor="text1"/>
          <w:sz w:val="16"/>
          <w:szCs w:val="16"/>
        </w:rPr>
        <w:softHyphen/>
        <w:t>лами, приравняв в этой части к предприятиям, имеющим оборонное значение.</w:t>
      </w:r>
    </w:p>
    <w:p w14:paraId="29E6CAD9"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Ввиду особой опасности в работе с УКВ приравнять к особо вредным производствам в смысле снабжения сот</w:t>
      </w:r>
      <w:r w:rsidRPr="0044524F">
        <w:rPr>
          <w:rFonts w:ascii="Times New Roman" w:hAnsi="Times New Roman"/>
          <w:color w:val="000000" w:themeColor="text1"/>
          <w:sz w:val="16"/>
          <w:szCs w:val="16"/>
        </w:rPr>
        <w:softHyphen/>
        <w:t>рудников, работающих с УКВ диетпитанием наравне с лет</w:t>
      </w:r>
      <w:r w:rsidRPr="0044524F">
        <w:rPr>
          <w:rFonts w:ascii="Times New Roman" w:hAnsi="Times New Roman"/>
          <w:color w:val="000000" w:themeColor="text1"/>
          <w:sz w:val="16"/>
          <w:szCs w:val="16"/>
        </w:rPr>
        <w:softHyphen/>
        <w:t>чиками .</w:t>
      </w:r>
    </w:p>
    <w:p w14:paraId="1600BA4E"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Выделить 2 легковые машины для Колендарова и Сперанского.</w:t>
      </w:r>
    </w:p>
    <w:p w14:paraId="34F80326"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299DA737"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т.т. Лютову, Федосову, Кирову,- п."а".</w:t>
      </w:r>
    </w:p>
    <w:p w14:paraId="2024BDBA"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Ворошилову, Орджоникидзе - все.</w:t>
      </w:r>
    </w:p>
    <w:p w14:paraId="3C8F4CC1"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мая 1933 опросом членов ПБ</w:t>
      </w:r>
    </w:p>
    <w:p w14:paraId="60806D31"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52/31.- О продлении линии "ЛерулюЬта"</w:t>
      </w:r>
    </w:p>
    <w:p w14:paraId="39E9CBEA"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(ПБ от 23.1У.33 г.,пр. № 136, пI. 143/119).</w:t>
      </w:r>
    </w:p>
    <w:p w14:paraId="5940A50D"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Отклонить предложение "Люфтганза" о продлении линии "Дерулюфта" до китайской границы.</w:t>
      </w:r>
    </w:p>
    <w:p w14:paraId="2008C3C8"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тов.Гольцману.</w:t>
      </w:r>
    </w:p>
    <w:p w14:paraId="0B4BA441"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мая 1933 опросом членов ПБ</w:t>
      </w:r>
    </w:p>
    <w:p w14:paraId="6FE907DC"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131/110.- О перелете немецких аэропланов.</w:t>
      </w:r>
    </w:p>
    <w:p w14:paraId="59DF703E"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однократный перелет через СССР в Западный Китай по маршруту Дерулюфта до Москвы, а затем через Казань-Свердловск-Семипалатинск- Сергиополь трех аэропланов, принадлежащих гер</w:t>
      </w:r>
      <w:r w:rsidRPr="0044524F">
        <w:rPr>
          <w:rFonts w:ascii="Times New Roman" w:hAnsi="Times New Roman"/>
          <w:color w:val="000000" w:themeColor="text1"/>
          <w:sz w:val="16"/>
          <w:szCs w:val="16"/>
        </w:rPr>
        <w:softHyphen/>
        <w:t>манскому обществу воздушных сообщений - "Люфт- ханза".</w:t>
      </w:r>
    </w:p>
    <w:p w14:paraId="6BE1D4F6"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Крестинскому,Анвельту, Артузову.</w:t>
      </w:r>
    </w:p>
    <w:p w14:paraId="51B3C46C"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132/111.- Вопросы Комиссии обороны.</w:t>
      </w:r>
    </w:p>
    <w:p w14:paraId="7883422A" w14:textId="7ABE7A11"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закупки за границей недостающего коли</w:t>
      </w:r>
      <w:r w:rsidRPr="0044524F">
        <w:rPr>
          <w:rFonts w:ascii="Times New Roman" w:hAnsi="Times New Roman"/>
          <w:color w:val="000000" w:themeColor="text1"/>
          <w:sz w:val="16"/>
          <w:szCs w:val="16"/>
        </w:rPr>
        <w:softHyphen/>
        <w:t>чества дальномеров (8 и 6 метровых) для батарей выделить НКВМ валютные контингенты в раэмере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300.000 руб.</w:t>
      </w:r>
    </w:p>
    <w:p w14:paraId="5E8E4AC7"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Заказ произвести немедленно.</w:t>
      </w:r>
    </w:p>
    <w:p w14:paraId="13D7A883"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НКВТ т. Розенгольц немедленно ввезти металлического калия, металлического натрия, бромис</w:t>
      </w:r>
      <w:r w:rsidRPr="0044524F">
        <w:rPr>
          <w:rFonts w:ascii="Times New Roman" w:hAnsi="Times New Roman"/>
          <w:color w:val="000000" w:themeColor="text1"/>
          <w:sz w:val="16"/>
          <w:szCs w:val="16"/>
        </w:rPr>
        <w:softHyphen/>
        <w:t>того натрия и химически-чистого свинца на общую сумму 300.000 р. (валютой) для выполнения програм</w:t>
      </w:r>
      <w:r w:rsidRPr="0044524F">
        <w:rPr>
          <w:rFonts w:ascii="Times New Roman" w:hAnsi="Times New Roman"/>
          <w:color w:val="000000" w:themeColor="text1"/>
          <w:sz w:val="16"/>
          <w:szCs w:val="16"/>
        </w:rPr>
        <w:softHyphen/>
        <w:t>мы по этиловой жидкости.</w:t>
      </w:r>
    </w:p>
    <w:p w14:paraId="53685280"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Розенгольцу, Ворошилову.</w:t>
      </w:r>
    </w:p>
    <w:p w14:paraId="6431D915"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мая 1933 опросом членов ПБ</w:t>
      </w:r>
    </w:p>
    <w:p w14:paraId="6761D9A3"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158/137.-О ГУГВФ (записка т. Куйбышева В.)</w:t>
      </w:r>
    </w:p>
    <w:p w14:paraId="2FE72858"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Поручить т.т. Куйбышеву и Ворошилову пред</w:t>
      </w:r>
      <w:r w:rsidRPr="0044524F">
        <w:rPr>
          <w:rFonts w:ascii="Times New Roman" w:hAnsi="Times New Roman"/>
          <w:color w:val="000000" w:themeColor="text1"/>
          <w:sz w:val="16"/>
          <w:szCs w:val="16"/>
        </w:rPr>
        <w:softHyphen/>
        <w:t xml:space="preserve">ставить проект постановления по следующим вопросам: </w:t>
      </w:r>
    </w:p>
    <w:p w14:paraId="5203818C"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 создании политорганов в системе Аэро-флота.</w:t>
      </w:r>
    </w:p>
    <w:p w14:paraId="6B8DBFEF"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 переводе на работу в транспортной авиации квалифицированных работников из системы ГУАП и НКВоеныора.</w:t>
      </w:r>
    </w:p>
    <w:p w14:paraId="38091921"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Bыписки посланы:</w:t>
      </w:r>
    </w:p>
    <w:p w14:paraId="5015D0A4"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т.т. Куйбышеву, Ворошилову</w:t>
      </w:r>
    </w:p>
    <w:p w14:paraId="6FF2129F"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опросом членов ПБ</w:t>
      </w:r>
    </w:p>
    <w:p w14:paraId="34C13EF2"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177/156.- С комиссии НКТП и НКВМ.</w:t>
      </w:r>
    </w:p>
    <w:p w14:paraId="74989404"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(ПБ от 5 .Ш.3Зг., Пр. № 132, п.59/36).</w:t>
      </w:r>
    </w:p>
    <w:p w14:paraId="1C734FF2"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испытания подводной лодки Е-1 послать в Испанию (Картагена) комиссию в следующем составе:</w:t>
      </w:r>
    </w:p>
    <w:p w14:paraId="0ECEBF60"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НКВМ: т.т.Орас (председатель); члены комиссии - Зельтинг,Турков, Перегудов, Говорухин, Крит</w:t>
      </w:r>
      <w:r w:rsidRPr="0044524F">
        <w:rPr>
          <w:rFonts w:ascii="Times New Roman" w:hAnsi="Times New Roman"/>
          <w:color w:val="000000" w:themeColor="text1"/>
          <w:sz w:val="16"/>
          <w:szCs w:val="16"/>
        </w:rPr>
        <w:softHyphen/>
        <w:t>ский.</w:t>
      </w:r>
    </w:p>
    <w:p w14:paraId="2C906BCA"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НКП: т.т. Толчинский А.А., Соколов Я.Г., Дерибин З.А. (22988).</w:t>
      </w:r>
    </w:p>
    <w:p w14:paraId="3B83FAC7" w14:textId="77777777" w:rsidR="00945ABF" w:rsidRPr="0044524F" w:rsidRDefault="00945ABF" w:rsidP="009654CF">
      <w:pPr>
        <w:spacing w:after="0" w:line="240" w:lineRule="auto"/>
        <w:jc w:val="both"/>
        <w:rPr>
          <w:rFonts w:ascii="Times New Roman" w:hAnsi="Times New Roman"/>
          <w:color w:val="000000" w:themeColor="text1"/>
          <w:sz w:val="16"/>
          <w:szCs w:val="16"/>
        </w:rPr>
      </w:pPr>
    </w:p>
    <w:p w14:paraId="51386854" w14:textId="77777777" w:rsidR="00945ABF" w:rsidRPr="0044524F" w:rsidRDefault="00945A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года введен в действие Челябинский тракторный завод (ЧТЗ). Челябинский тракторный завод был построен в годы первой пятилетки. 29 мая 1929 года вышло Постановление СНК СССР о строительстве тракторного завода на Урале с производительной мощностью не менее 40 тысяч тракторов в год. В 1933 году – год пуска – ЧТЗ дал стране первые 1650 тракторов (21177).</w:t>
      </w:r>
    </w:p>
    <w:p w14:paraId="7C0735A7" w14:textId="77777777" w:rsidR="00945ABF" w:rsidRPr="0044524F" w:rsidRDefault="00945ABF" w:rsidP="009654CF">
      <w:pPr>
        <w:spacing w:after="0" w:line="240" w:lineRule="auto"/>
        <w:jc w:val="both"/>
        <w:rPr>
          <w:rFonts w:ascii="Times New Roman" w:eastAsia="Times New Roman" w:hAnsi="Times New Roman"/>
          <w:color w:val="000000" w:themeColor="text1"/>
          <w:sz w:val="16"/>
          <w:szCs w:val="16"/>
          <w:shd w:val="clear" w:color="auto" w:fill="DCDCDC"/>
          <w:lang w:eastAsia="ru-RU"/>
        </w:rPr>
      </w:pPr>
    </w:p>
    <w:p w14:paraId="6B7AE18C" w14:textId="77777777" w:rsidR="00FD14F6" w:rsidRPr="0044524F" w:rsidRDefault="00FD14F6" w:rsidP="009654CF">
      <w:pPr>
        <w:pStyle w:val="rtejustify"/>
        <w:spacing w:before="0" w:after="0"/>
        <w:rPr>
          <w:color w:val="000000" w:themeColor="text1"/>
          <w:sz w:val="16"/>
          <w:szCs w:val="16"/>
        </w:rPr>
      </w:pPr>
      <w:r w:rsidRPr="0044524F">
        <w:rPr>
          <w:rStyle w:val="af0"/>
          <w:bCs/>
          <w:i w:val="0"/>
          <w:color w:val="000000" w:themeColor="text1"/>
          <w:sz w:val="16"/>
          <w:szCs w:val="16"/>
        </w:rPr>
        <w:t>1 июня</w:t>
      </w:r>
      <w:r w:rsidRPr="0044524F">
        <w:rPr>
          <w:color w:val="000000" w:themeColor="text1"/>
          <w:sz w:val="16"/>
          <w:szCs w:val="16"/>
        </w:rPr>
        <w:t xml:space="preserve"> 1933. Протокол заседания Политбюро ЦК ВКП (б) № 138. </w:t>
      </w:r>
      <w:hyperlink r:id="rId185" w:anchor="showunit&amp;id=86606" w:history="1">
        <w:r w:rsidRPr="0044524F">
          <w:rPr>
            <w:rStyle w:val="a5"/>
            <w:color w:val="000000" w:themeColor="text1"/>
            <w:sz w:val="16"/>
            <w:szCs w:val="16"/>
            <w:u w:val="none"/>
          </w:rPr>
          <w:t>4. О Магнитострое</w:t>
        </w:r>
      </w:hyperlink>
      <w:r w:rsidRPr="0044524F">
        <w:rPr>
          <w:color w:val="000000" w:themeColor="text1"/>
          <w:sz w:val="16"/>
          <w:szCs w:val="16"/>
        </w:rPr>
        <w:t xml:space="preserve"> (ПБ от 23 апреля 1933 г., пр. № 136, п. 22) (Орджоникидзе, Гуревич, Левенсон). Решено принять к сведению сообщение НКТП по вопросу о Магнитогорской плотине. </w:t>
      </w:r>
      <w:hyperlink r:id="rId186" w:anchor="showunit&amp;id=86528" w:history="1">
        <w:r w:rsidRPr="0044524F">
          <w:rPr>
            <w:rStyle w:val="a5"/>
            <w:color w:val="000000" w:themeColor="text1"/>
            <w:sz w:val="16"/>
            <w:szCs w:val="16"/>
            <w:u w:val="none"/>
          </w:rPr>
          <w:t>13. Об улучшении организационной структуры наркоматов, объединений, трестов и предприятий по НКТП, НКЛП, НКЛесу, НКЗему, НКСовхозов, НКВоду и НКСнабу</w:t>
        </w:r>
      </w:hyperlink>
      <w:r w:rsidRPr="0044524F">
        <w:rPr>
          <w:color w:val="000000" w:themeColor="text1"/>
          <w:sz w:val="16"/>
          <w:szCs w:val="16"/>
        </w:rPr>
        <w:t xml:space="preserve"> (ПБ от 23 апреля 1933 г., пр. № 136, п. 6в) (Орджоникидзе, Еремин, Лобов, Яковлев, Юркин, Янсон, Микоян). Решено: а) Передать вопрос об улучшении организационной структуры наркоматов тяжелой промышленности в комиссию в составе Орджоникидзе (председатель), Сталина, Кагановича Л. М., Антипова, Пятакова, Вейнберга, Кагановича М., Ежова, Полонского, Бухарина; б) По остальным </w:t>
      </w:r>
      <w:r w:rsidRPr="0044524F">
        <w:rPr>
          <w:color w:val="000000" w:themeColor="text1"/>
          <w:sz w:val="16"/>
          <w:szCs w:val="16"/>
        </w:rPr>
        <w:lastRenderedPageBreak/>
        <w:t xml:space="preserve">наркоматам отложить вопрос до следующего заседания Политбюро. </w:t>
      </w:r>
      <w:hyperlink r:id="rId187" w:anchor="showunit&amp;id=86583" w:history="1">
        <w:r w:rsidRPr="0044524F">
          <w:rPr>
            <w:rStyle w:val="a5"/>
            <w:color w:val="000000" w:themeColor="text1"/>
            <w:sz w:val="16"/>
            <w:szCs w:val="16"/>
            <w:u w:val="none"/>
          </w:rPr>
          <w:t>19. О приемке импортного металла</w:t>
        </w:r>
      </w:hyperlink>
      <w:r w:rsidRPr="0044524F">
        <w:rPr>
          <w:color w:val="000000" w:themeColor="text1"/>
          <w:sz w:val="16"/>
          <w:szCs w:val="16"/>
        </w:rPr>
        <w:t xml:space="preserve"> (Орджоникидзе, Розенгольц). — ОП. Решено изъять приемку импортного металла из ведения НКВТ и передать ее в ведение НКТП. </w:t>
      </w:r>
      <w:hyperlink r:id="rId188" w:anchor="showunit&amp;id=86586" w:history="1">
        <w:r w:rsidRPr="0044524F">
          <w:rPr>
            <w:rStyle w:val="a5"/>
            <w:color w:val="000000" w:themeColor="text1"/>
            <w:sz w:val="16"/>
            <w:szCs w:val="16"/>
            <w:u w:val="none"/>
          </w:rPr>
          <w:t>21. Об обеспечении спецработы ВИЭМ</w:t>
        </w:r>
      </w:hyperlink>
      <w:r w:rsidRPr="0044524F">
        <w:rPr>
          <w:color w:val="000000" w:themeColor="text1"/>
          <w:sz w:val="16"/>
          <w:szCs w:val="16"/>
        </w:rPr>
        <w:t xml:space="preserve"> (Ворошилов). — ОП. Решено: а) вопрос о центральной радиолаборатории ВИЭМ передать на разрешение комиссии в составе Кирова, Лютова и Федорова в 3</w:t>
      </w:r>
      <w:r w:rsidRPr="0044524F">
        <w:rPr>
          <w:color w:val="000000" w:themeColor="text1"/>
          <w:sz w:val="16"/>
          <w:szCs w:val="16"/>
        </w:rPr>
        <w:noBreakHyphen/>
        <w:t xml:space="preserve">дневный срок; б) обеспечить бюджет для ее содержания; в) обеспечить оборонную работу снабжением материалами, приравняв в этой части к предприятиям, имеющим оборонное значение; г) Виду особой опасности в работе с УКВ, приравнять к особо вредным производствам в смысле снабжения сотрудников, работающих с УКВ диетическим питанием наравне с летчиками; д) Выделить 2 легковые машины для Колендарова и Сперанского. </w:t>
      </w:r>
      <w:hyperlink r:id="rId189" w:anchor="showunit&amp;id=86608" w:history="1">
        <w:r w:rsidRPr="0044524F">
          <w:rPr>
            <w:rStyle w:val="a5"/>
            <w:color w:val="000000" w:themeColor="text1"/>
            <w:sz w:val="16"/>
            <w:szCs w:val="16"/>
            <w:u w:val="none"/>
          </w:rPr>
          <w:t>41/20. Об отпуске средств НКТП СССР</w:t>
        </w:r>
      </w:hyperlink>
      <w:r w:rsidRPr="0044524F">
        <w:rPr>
          <w:color w:val="000000" w:themeColor="text1"/>
          <w:sz w:val="16"/>
          <w:szCs w:val="16"/>
        </w:rPr>
        <w:t xml:space="preserve"> (ПБ от 14 мая 1933 г.). Решено утвердить постановление СТО об отпуске НКТП на работы 1933 года, связанные с улучшением состояния техники безопасности военно-химических заводов, за счет резервного фонда СНК – 3 млн. рублей (500 тысяч рублей во II квартале и 2500 тысяч рублей в III и IV кварталах). </w:t>
      </w:r>
      <w:hyperlink r:id="rId190" w:anchor="showunit&amp;id=86658" w:history="1">
        <w:r w:rsidRPr="0044524F">
          <w:rPr>
            <w:rStyle w:val="a5"/>
            <w:color w:val="000000" w:themeColor="text1"/>
            <w:sz w:val="16"/>
            <w:szCs w:val="16"/>
            <w:u w:val="none"/>
          </w:rPr>
          <w:t>87/66. О пуске ЧТЗ</w:t>
        </w:r>
      </w:hyperlink>
      <w:r w:rsidRPr="0044524F">
        <w:rPr>
          <w:color w:val="000000" w:themeColor="text1"/>
          <w:sz w:val="16"/>
          <w:szCs w:val="16"/>
        </w:rPr>
        <w:t xml:space="preserve"> (ПБ от 23 мая 1933 г.). — ОП. Решено командировать от имени партии и правительства Калинина на пуск ЧТЗ 1</w:t>
      </w:r>
      <w:r w:rsidRPr="0044524F">
        <w:rPr>
          <w:color w:val="000000" w:themeColor="text1"/>
          <w:sz w:val="16"/>
          <w:szCs w:val="16"/>
        </w:rPr>
        <w:noBreakHyphen/>
        <w:t>6</w:t>
      </w:r>
      <w:r w:rsidRPr="0044524F">
        <w:rPr>
          <w:color w:val="000000" w:themeColor="text1"/>
          <w:sz w:val="16"/>
          <w:szCs w:val="16"/>
        </w:rPr>
        <w:noBreakHyphen/>
        <w:t xml:space="preserve">1933. </w:t>
      </w:r>
      <w:hyperlink r:id="rId191" w:anchor="showunit&amp;id=86667" w:history="1">
        <w:r w:rsidRPr="0044524F">
          <w:rPr>
            <w:rStyle w:val="a5"/>
            <w:color w:val="000000" w:themeColor="text1"/>
            <w:sz w:val="16"/>
            <w:szCs w:val="16"/>
            <w:u w:val="none"/>
          </w:rPr>
          <w:t>95/74. О мероприятиях по экспорту и импорту</w:t>
        </w:r>
      </w:hyperlink>
      <w:r w:rsidRPr="0044524F">
        <w:rPr>
          <w:color w:val="000000" w:themeColor="text1"/>
          <w:sz w:val="16"/>
          <w:szCs w:val="16"/>
        </w:rPr>
        <w:t xml:space="preserve"> (ПБ от 25 мая 1933 г.). — ОП. Решено: I. В области экспорта. 1) Наркомснабу выделить на экспорт сверх годового плана 8 тысяч тонн растительного масла. 2) Уменьшить во II квартале план сдачи на экспорт коровьего масла на 6 тысяч тонн. 3) НКТП сдать на экспорт сверх предусмотренных планом II квартала 10 тысяч тонн никопольской марганцевой руды. 4) Установить сдачу НКТП на экспорт в июне 125 тысяч тонн бензина и 160 тысяч тонн угля. 5) Отклонить предложение об уменьшении годового экспорта жмыхов. 6) Уменьшить годовой план сдачи на экспорт фанеры на 60 тысяч кубометров. Предложить НКЛесу выделить из снятой с экспорта фанеры 12 тысяч кубометров в распоряжение НКВТ в качестве фонда для экспортной тары, а 48 тысяч кубометров распределить между потребителями. 7) Уменьшить план сдачи на экспорт на 350 тысяч дверей. II. В области импорта. Принять предложение НКВТ о сокращении квартального и годового плана импорта со следующими изменениями: а) импорт никеля не сокращать; б) годовой план импорта ферросплавов сократить на 1 млн. рублей; в) импорт олова не сокращать; г) импорт меди не сокращать; д) импорт проката не сокращать; е) годовой план импорта сталей сократить на 10 тысяч тонн; ж) годовой план импорта цинка сократить на 800 тонн; з) план импорта алюминия сократить на 1 тысячу тонн, импорт окиси алюминия не сокращать; и) импорт свинца не сокращать; к) сократить импорт лоскута на 500 тысяч рублей; л) годовой план по джуту и сежалю не уменьшать. III. По хлопку. Закупить 500 тысяч пудов хлопка, увеличив план сдачи хлопка на экспорт на 500 тысяч пудов. IV. Обязать Орджоникидзе и Серебровского обеспечить полное выполнение утвержденного на II квартал плана сдачи золота. V. Разослать от имени ЦК и СНК телеграммы крайкомам, крайисполкомам и наркоматам по вопросу об усилении работы по экспорту. VI. Вопрос об импорте из Латвии, а также об импорте кожсырья оставить открытым. </w:t>
      </w:r>
      <w:hyperlink r:id="rId192" w:anchor="showunit&amp;id=86514" w:history="1">
        <w:r w:rsidRPr="0044524F">
          <w:rPr>
            <w:rStyle w:val="a5"/>
            <w:color w:val="000000" w:themeColor="text1"/>
            <w:sz w:val="16"/>
            <w:szCs w:val="16"/>
            <w:u w:val="none"/>
          </w:rPr>
          <w:t>117/97. Об отпуске средств НКВМ</w:t>
        </w:r>
      </w:hyperlink>
      <w:r w:rsidRPr="0044524F">
        <w:rPr>
          <w:color w:val="000000" w:themeColor="text1"/>
          <w:sz w:val="16"/>
          <w:szCs w:val="16"/>
        </w:rPr>
        <w:t xml:space="preserve"> (ПБ от 26 мая 1933 г.). — ОП. Решено утвердить решение Валютной комиссии об отпуске НКВМ за счет резервного фонда СНК СССР 155 тысяч тугриков на расходы, связанные с отправкой в МНР топографического отряда. </w:t>
      </w:r>
      <w:hyperlink r:id="rId193" w:anchor="showunit&amp;id=86515" w:history="1">
        <w:r w:rsidRPr="0044524F">
          <w:rPr>
            <w:rStyle w:val="a5"/>
            <w:color w:val="000000" w:themeColor="text1"/>
            <w:sz w:val="16"/>
            <w:szCs w:val="16"/>
            <w:u w:val="none"/>
          </w:rPr>
          <w:t>118/98. Просьба Орджоникидзе командировать на постоянную работу в САСШ по реализации договора о производстве авиамоторов уполномоченного ГУАПа и его бюро в составе 5 человек</w:t>
        </w:r>
      </w:hyperlink>
      <w:r w:rsidRPr="0044524F">
        <w:rPr>
          <w:color w:val="000000" w:themeColor="text1"/>
          <w:sz w:val="16"/>
          <w:szCs w:val="16"/>
        </w:rPr>
        <w:t>. (ОБ от 23 мая 1933 г., пр. № 147, п. 36</w:t>
      </w:r>
      <w:r w:rsidRPr="0044524F">
        <w:rPr>
          <w:color w:val="000000" w:themeColor="text1"/>
          <w:sz w:val="16"/>
          <w:szCs w:val="16"/>
        </w:rPr>
        <w:noBreakHyphen/>
        <w:t xml:space="preserve">гс), (ПБ от 26 мая 1933 г.). Решено ограничиться командировкой трех человек, командировав уполномоченным ГУАП Михайлова И. С. и членами бюро Старченко и Родзевича. </w:t>
      </w:r>
      <w:hyperlink r:id="rId194" w:anchor="showunit&amp;id=86531" w:history="1">
        <w:r w:rsidRPr="0044524F">
          <w:rPr>
            <w:rStyle w:val="a5"/>
            <w:color w:val="000000" w:themeColor="text1"/>
            <w:sz w:val="16"/>
            <w:szCs w:val="16"/>
            <w:u w:val="none"/>
          </w:rPr>
          <w:t>132/111. Вопросы Комиссии обороны</w:t>
        </w:r>
      </w:hyperlink>
      <w:r w:rsidRPr="0044524F">
        <w:rPr>
          <w:color w:val="000000" w:themeColor="text1"/>
          <w:sz w:val="16"/>
          <w:szCs w:val="16"/>
        </w:rPr>
        <w:t xml:space="preserve"> (ПБ от 28 мая 1933 г.). — ОП. Решено: а) Для закупки за границей недостающего количества дальномеров для батарей выделить НКВМ валютные контингенты в размере 300 тысяч рублей. Заказ произвести немедленно. б) Обязать НКВТ (Розенгольц) немедленно ввезти металлического калия, металлического натрия, бромистого натрия и химически чистого свинца на общую сумму 300 тысяч рублей (валютой) для выполнения программы по этиловой жидкости. </w:t>
      </w:r>
      <w:hyperlink r:id="rId195" w:anchor="showunit&amp;id=86534" w:history="1">
        <w:r w:rsidRPr="0044524F">
          <w:rPr>
            <w:rStyle w:val="a5"/>
            <w:color w:val="000000" w:themeColor="text1"/>
            <w:sz w:val="16"/>
            <w:szCs w:val="16"/>
            <w:u w:val="none"/>
          </w:rPr>
          <w:t>135/114. Вопрос Комиссии обороны</w:t>
        </w:r>
      </w:hyperlink>
      <w:r w:rsidRPr="0044524F">
        <w:rPr>
          <w:color w:val="000000" w:themeColor="text1"/>
          <w:sz w:val="16"/>
          <w:szCs w:val="16"/>
        </w:rPr>
        <w:t xml:space="preserve"> (ПБ от 29 мая 1933 г.). — ОП. Решено для выполнения работ по береговой обороне на Балтийском, Черном и Северном морях увеличить объем капитальных работ по НКВМ на 5 млн. рублей и план заказов НКВМ на 20300 тысяч рублей, ассигновав на работы и заказы 25300 тысяч рублей, из них 12650 тысяч по общей смете НКВМ и 12650 тысяч рублей из резервного фонда СНК СССР. </w:t>
      </w:r>
      <w:hyperlink r:id="rId196" w:anchor="showunit&amp;id=86675" w:history="1">
        <w:r w:rsidRPr="0044524F">
          <w:rPr>
            <w:rStyle w:val="a5"/>
            <w:color w:val="000000" w:themeColor="text1"/>
            <w:sz w:val="16"/>
            <w:szCs w:val="16"/>
            <w:u w:val="none"/>
          </w:rPr>
          <w:t>160/139. г) Об импорте каучука (записка Биткера)</w:t>
        </w:r>
      </w:hyperlink>
      <w:r w:rsidRPr="0044524F">
        <w:rPr>
          <w:color w:val="000000" w:themeColor="text1"/>
          <w:sz w:val="16"/>
          <w:szCs w:val="16"/>
        </w:rPr>
        <w:t xml:space="preserve"> (ПБ от 31 мая 1933 г.). Решено передать на предварительное рассмотрение Молотову. </w:t>
      </w:r>
      <w:hyperlink r:id="rId197" w:anchor="showunit&amp;id=86578" w:history="1">
        <w:r w:rsidRPr="0044524F">
          <w:rPr>
            <w:rStyle w:val="a5"/>
            <w:color w:val="000000" w:themeColor="text1"/>
            <w:sz w:val="16"/>
            <w:szCs w:val="16"/>
            <w:u w:val="none"/>
          </w:rPr>
          <w:t>177/156. О комиссии НКТП и НКВМ</w:t>
        </w:r>
      </w:hyperlink>
      <w:r w:rsidRPr="0044524F">
        <w:rPr>
          <w:color w:val="000000" w:themeColor="text1"/>
          <w:sz w:val="16"/>
          <w:szCs w:val="16"/>
        </w:rPr>
        <w:t xml:space="preserve"> (ПБ от 5 марта 1933 г., пр. № 132, п. 59/36). — ОП. Решено для испытания подводной лодки Е</w:t>
      </w:r>
      <w:r w:rsidRPr="0044524F">
        <w:rPr>
          <w:color w:val="000000" w:themeColor="text1"/>
          <w:sz w:val="16"/>
          <w:szCs w:val="16"/>
        </w:rPr>
        <w:noBreakHyphen/>
        <w:t>1 послать в Испанию (Картахена) комиссию в следующем составе: от НКВМ: Орас (председатель); члены комиссии – Зельтинг, Турков, Перегудов, Говорухин, Критский. От НКТП: Толчинский А. А., Соколов Я. Г., Дерибин З. А (15462).</w:t>
      </w:r>
    </w:p>
    <w:p w14:paraId="642BAA0C" w14:textId="77777777" w:rsidR="00FD14F6" w:rsidRPr="0044524F" w:rsidRDefault="00FD14F6" w:rsidP="009654CF">
      <w:pPr>
        <w:pStyle w:val="rtejustify"/>
        <w:spacing w:before="0" w:after="0"/>
        <w:rPr>
          <w:color w:val="000000" w:themeColor="text1"/>
          <w:sz w:val="16"/>
          <w:szCs w:val="16"/>
        </w:rPr>
      </w:pPr>
    </w:p>
    <w:p w14:paraId="7A2787AA" w14:textId="77777777" w:rsidR="00323684" w:rsidRPr="0044524F" w:rsidRDefault="003236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В Политехническом музее впервые демонстрировалась телевизионная приемная установка, разработанная учеными Всесоюзного экспериментального электротехнического института (18722).</w:t>
      </w:r>
    </w:p>
    <w:p w14:paraId="598C87E2" w14:textId="77777777" w:rsidR="00323684" w:rsidRPr="0044524F" w:rsidRDefault="00323684" w:rsidP="009654CF">
      <w:pPr>
        <w:spacing w:after="0" w:line="240" w:lineRule="auto"/>
        <w:jc w:val="both"/>
        <w:rPr>
          <w:rFonts w:ascii="Times New Roman" w:hAnsi="Times New Roman"/>
          <w:color w:val="000000" w:themeColor="text1"/>
          <w:sz w:val="16"/>
          <w:szCs w:val="16"/>
        </w:rPr>
      </w:pPr>
    </w:p>
    <w:p w14:paraId="7F45BE24"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 лодка «Комсомолец» завода Красное Сормово в доке прибыла в Ленинград. «Балтийцы» быстро поняли, что им прислали не «почти готовую» субмарину, а всего лишь полуфабрикат. После начала достроечных работ выявилось огромное количество дефектов: было необходимо заново изготовить и установить валы горизонтальных рулей, устранить дефекты топливных цистерн, заменить кабели и т. д. Согласно акту от 9 июля 1933 г., было выявлено, что «соединительные швы топливных цистерн зашпаклеваны смесью гудрона и сурика черного цвета. Это маскировка брака, могущая привести к течи». [160 — ГУ ЦАНО, Ф. 15, Оп. 3, Д. 135, Л. 142.] А в акте от 11 сентября того же года говорилось: «…при испытании гидравлическим давлением жесткого корпуса обнаружилось 250 течей». [161 — Там же, Д. 136, Л. 16.] Когда прибыли торпедные аппараты, долго задерживавшиеся заводом № 6, оказалось, что подлодка не готова к их установке. Кроме того, 40 % электромонтажных работ подлежали демонтажу и переделке, из-за брака пришлось заменить и 90 % арматуры. [162 — Там же, Д. 135, Л. 177.]. В связи с переходом «Красного Сормова» на производство спецсудов — так в целях секретности именовали подлодки, которое должно было стать его основным профилем, с 1933 г. стал сокращаться выпуск железнодорожных вагонов и платформ, а также трамваев. Начались командировки на Балтийский завод рабочего и технического персонала с последующей сдачей экзамена. Впоследствии в ноябре 1933 — мае 1934 гг. филиал учебно-курсового комбината в Ленинграде организовал курсы повышения квалификации инженеров — строителей подлодок. На них была отправлена группа ИТР с «Красного Сормова»: корпусники, механики и электротехники. Пять дней в неделю они работали на предприятиях Ленинграда, а один день проводились теоретические занятия. Основными темами занятий были общее устройство подлодок, технологические процессы и монтаж (11741).</w:t>
      </w:r>
    </w:p>
    <w:p w14:paraId="319C7180"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BB103E" w14:textId="5F5B679D"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 был введен в строй Завод точного приборостроения «Водтрансприбор» ВО «Судостройремонт» НКВТ (ГС завод № 206 НКОП, НКСП, МСП, МТиТМ, Завод точного приборостроения «Водтрансприбор» НКВТ, Завод специального приборостроения «Водтрансприбор» НКТП, МСП, ГП, ОАО «Водтрансприбор» /г. Ленинград, 51 п/я 731 (1936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Омск/ /197342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Санкт-Петербург ул. Сердобольская, 64/), огранизованный в 1932 г. на Выборгской стороне. В 1934 г. переименован в завод специального приборостроения «Водтрансприбор» НКТП. По пр. НКОП № Обсс от 30.12.1936 г. переименован в завод № 206 5ГУ НКОП, приказом № 116 от 31.03.1937 г. утвержден Устав ГС завода № 206. По пр. № 108с от 25.03.1938 г. передан в ведение нового 20ГУ. В 02.1939 г. из 20ГУ передан в ведение НКСП.</w:t>
      </w:r>
    </w:p>
    <w:p w14:paraId="786B0511"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Выпускал проблесковую аппаратуру для маяков. В 01.1934 г. создан первый советский эхолот. Приказом № 0020 от 3.02.1937 г. заводу предписано создать к 1.01.1938 г. мощности по производству гидроакустической (ГА) аппаратуры; приказом № 0101 от 7.05.1937 г. — к 1.01.1938 г. ввести в эксплуатацию производственную лабораторию и цех защитных покрытий. Первый отечественный завод по производству ГА аппаратуры для ВМФ.</w:t>
      </w:r>
    </w:p>
    <w:p w14:paraId="3CAE689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составе завода цехи (1936 г.): кузнечно-литейный, механический; столярная мастерская.</w:t>
      </w:r>
    </w:p>
    <w:p w14:paraId="09F0509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пост.ениями ГКО № 4 от 3.07.1941 г. и № 99сс от 11.07.1941 г. и пост. Совета по эвакуации № 33 от 30.07.1941 г. часть завода № 206 эвакуирована в Омск на площадку завода «Мотор» НК совхозов (планировалось- в помещения Автодорожного института), а его перевели в помещение мастерских совхоза № 43. Оборудование и личный состав завода № 206 эвакуировались в Омск в 08-09.1941 г. 12.09.1941 г. заводу № 206 также было передано здание школы по ул. Куйбышева, 42. Сюда же, в здание школы был эвакуирован из Ленинграда НИИ гидроакустики. В 09.1941 г. завод уже начал выдавать продукцию.</w:t>
      </w:r>
    </w:p>
    <w:p w14:paraId="63506681"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1941 г. строился корпус № 50 цеха № 2, действовал литейный цех.</w:t>
      </w:r>
    </w:p>
    <w:p w14:paraId="1E793EC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04.1943 г. завод № 206 продолжал действовать в Ленинграде.</w:t>
      </w:r>
      <w:r w:rsidRPr="0044524F">
        <w:rPr>
          <w:rFonts w:ascii="Times New Roman" w:hAnsi="Times New Roman"/>
          <w:color w:val="000000" w:themeColor="text1"/>
          <w:sz w:val="16"/>
          <w:szCs w:val="16"/>
          <w:vertAlign w:val="superscript"/>
        </w:rPr>
        <w:t>65</w:t>
      </w:r>
      <w:r w:rsidRPr="0044524F">
        <w:rPr>
          <w:rFonts w:ascii="Times New Roman" w:hAnsi="Times New Roman"/>
          <w:color w:val="000000" w:themeColor="text1"/>
          <w:sz w:val="16"/>
          <w:szCs w:val="16"/>
        </w:rPr>
        <w:t xml:space="preserve"> В 11.1944 г. завод реэвакуирован из Омска на старое место.</w:t>
      </w:r>
    </w:p>
    <w:p w14:paraId="2C6B1371"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1946 г. завод № 206 - в ведении МСП, МТиТМ (03.1953-05.1954 г.), затем- вновь в МСП. В 1955 г. Государственный завод № 206 присоединен к организации «п/я 731» как опытный завод.</w:t>
      </w:r>
      <w:r w:rsidRPr="0044524F">
        <w:rPr>
          <w:rFonts w:ascii="Times New Roman" w:hAnsi="Times New Roman"/>
          <w:color w:val="000000" w:themeColor="text1"/>
          <w:sz w:val="16"/>
          <w:szCs w:val="16"/>
          <w:vertAlign w:val="superscript"/>
        </w:rPr>
        <w:t>131</w:t>
      </w:r>
    </w:p>
    <w:p w14:paraId="22D5AF25"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1946 г. при заводе образовано ОКБ-206 для разработки ГА аппаратуры.</w:t>
      </w:r>
    </w:p>
    <w:p w14:paraId="7AACD0C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1959-66 г. освоен выпуск 20 типов ГАС.</w:t>
      </w:r>
    </w:p>
    <w:p w14:paraId="52D2D7F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1965 г. на заводе образована регулировочно-сдаточная служба для отладки ГА комплексов на кораблях ВМФ. Служба имела 7 регулировочно-сдаточных баз на основных ССЗ и СРЗ. В 05.1991 г. решением МСП на ее базе создано ГП «Водтрансприбор-Пуск».</w:t>
      </w:r>
    </w:p>
    <w:p w14:paraId="7DB4A919"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Ведущее предприятие страны по производству ГАК для ПЛ.</w:t>
      </w:r>
    </w:p>
    <w:p w14:paraId="16C81A06"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1973 по 1991 г. завод входил в состав НПО «Океанприбор». В 1993 г. ГП преобразовано в ОАО «Водтрансприбор». По решению правительства № 22-р от 9.01.2004 г. вошло в перечень стратегических предприятий.</w:t>
      </w:r>
    </w:p>
    <w:p w14:paraId="159B081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Имелись производства (2006 г.): механообрабатывающее, заготовительное, сварочное, компрессионное формирование и литье РТИ, переработка пластмасс, сборочно-монтажное, окрасочное, нанесение покрытий, изготовление герметичных металло-стеклянных вводов. Имелась лаборатория надежности с оборудованием для испытаний: механических, гидростатических, климатических</w:t>
      </w:r>
    </w:p>
    <w:p w14:paraId="779103E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Производственные площади (начало 1941 г.)- более 13 тыс.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(09.1941 г.)- 4700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(конец 1941 г.)- 5600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114FE10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(-02-28.07.1937 г.)- С.Т. Баркунцев, (28.07.1937-05.1938 г.-)- Ф.А. Мотиенко, (1941 г.)- Соколов, (1942 г.)- Постнов, (1962-76 г.)- Л.И. Вороничев.</w:t>
      </w:r>
    </w:p>
    <w:p w14:paraId="4078AC39"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директора (06.1937 г.)- Ф.Ф. Дьяконов. Помощник директора по найму и увольнению (7.12.1938 г.-)- Я.А. Бычков.</w:t>
      </w:r>
    </w:p>
    <w:p w14:paraId="7073E903" w14:textId="12FDD049"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(-06-25.09.1937 г.)- Ф.Ф. Дьяконов, (25.09.1937 г.-)- С.С. Тец, (1939-40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Г.В. Петров.</w:t>
      </w:r>
    </w:p>
    <w:p w14:paraId="29BEFDE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ультраакустический прибор связи (1937).</w:t>
      </w:r>
    </w:p>
    <w:p w14:paraId="1F1FF485"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Производство: звуковые приборы связи (1937); гидроакустический пеленгатор УКЗ (1937); изделия «Арктур», «Марс», «Сириус», «Земля», «Меркурий», «Альбион» (1938); эхолоты (1938); ГАС: «Орион» (1940), «Тамир-1» для кораблей (1940-), «Тамир» для ПЛ (1941), «Вега» (1960-е); шумопеленгаторы: для линкоров и ПЛ (1937), «Марс» (ВОВ); приборы измерения шума (1957);™^™ усилители: «Бриг-001, У-001С».</w:t>
      </w:r>
    </w:p>
    <w:p w14:paraId="27F4451F"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Особое КБ № 206 (ОКБ-206), НИИ-3 МСП, ГКРЭ, ЦНИИ «Морфизприбор»,</w:t>
      </w:r>
    </w:p>
    <w:p w14:paraId="610C6F95" w14:textId="6472FBD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ФГУП ЦНИИ «Морфизприбор» /197376</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Ленинград,</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Санкт-Петербург Чкаловский пр., 46 тел. 320-80-40/</w:t>
      </w:r>
    </w:p>
    <w:p w14:paraId="35217F3F"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ОКБ-206 образовано в 1946 г. для разработки гидроакустической аппаратуры. В 1949 г. преобразовано в НИИ-3 гидролокации и гидроакустики МСП. В ~1958 г. передан в ведение ГКРЭ. В 1966 г. переименован в ЦНИИ «Морфизприбор», стал головным предприятием страны в области военной гидроакустики.</w:t>
      </w:r>
    </w:p>
    <w:p w14:paraId="611B5EBD" w14:textId="33FF5AD1"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гидроакустических станций (ГАС) и комплексов (ГАК) для надводных кораблей (НК) и ПЛ, береговых станций. В начале 1960-х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началась разработка средств гидроакустического противодействия. Изучались проблемы гидрологии моря.</w:t>
      </w:r>
    </w:p>
    <w:p w14:paraId="720E641B" w14:textId="061A6A4E"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1959 г. введен в эксплуатацию Ладожский гидроакустический полигон, в 1960-е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 институте построен уникальный гидроакустический бассейн размером 50х 14х 10м.</w:t>
      </w:r>
    </w:p>
    <w:p w14:paraId="2D234BC8"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Действовал филиал Камчатского гидрофизического института.</w:t>
      </w:r>
    </w:p>
    <w:p w14:paraId="3E1F07C1"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11.10.1960 г. вышло распоряжение правительства № 3083-рс об изготовлении и испытаниях ГАС «Лань».</w:t>
      </w:r>
    </w:p>
    <w:p w14:paraId="4779579F"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ПСМ № 605-198 от 4.07.1967 г. ГАС «Вега» пнв; пост. № 534-183 от 10,07.1969 г. ГАС «Амур» пнв.</w:t>
      </w:r>
    </w:p>
    <w:p w14:paraId="152346CE"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Направления работ (2005 г.): многофункциональные пассивные и активные ГАС и ГАК освещения подводной обстановки для ПЛ, кораблей, ЛА, системы обнаружения подводных пловцов; активные и пассивные стационарные ГАК для защиты шельфовой зоны; гидроакустические навигационные и поисково- обследовательские системы; ГА преобразователи, антенны, ФАР; акустические экраны и звукопрозрачные обтекатели; системы передачи информации по акустическому каналу; адаптивные системы обработки гидроакустической информации; классификаторы целей; измерители скорости звука для кораблей и ПЛ.</w:t>
      </w:r>
    </w:p>
    <w:p w14:paraId="056010BA"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2005 г. создано около 120 систем.</w:t>
      </w:r>
    </w:p>
    <w:p w14:paraId="516E5269"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(2005 г.)- около 2000 чел.101</w:t>
      </w:r>
    </w:p>
    <w:p w14:paraId="105C71BF"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Гендиректор (2003 г.)- Ю. Корякин.</w:t>
      </w:r>
    </w:p>
    <w:p w14:paraId="45845992"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Я. Карлик (БГАС).</w:t>
      </w:r>
    </w:p>
    <w:p w14:paraId="016CFDD3"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конструкторы: (1963 г.)- Н.Н. Свиридов («Рубин»),</w:t>
      </w:r>
    </w:p>
    <w:p w14:paraId="4D523B94"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отделения: (2003 г.)- С. Смирнов.</w:t>
      </w:r>
    </w:p>
    <w:p w14:paraId="66C471E2" w14:textId="77777777"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ГАС: для НК «Пегас-2М», «Геркулес» (1956-57), с опускаемой антенной «Шелонь», дальнего обнаружения ПЛ «Орион», миноискания «Олень» и «Лань» (1960-е), для обнаружения подводных пловцов «Паллада» (2000-е); ГАК: «Платина» для ПЛК (1970-е), «Полином» для кораблей I и II ранга (1970-е), «Днестр» (1990-е), экспортные МГК-335ЭМ, «Виньетка-ЭМ», «Веста-К» (2000-е); для ПЛ «Феникс», «Плутоний» (1956- 57), «Рубин» для целеуказания КР ПЛ П-70 «Аметист» (1963), «Океан» для ПЛ пр. 705, «Скат-БРДМ», «Скат- Плавник», «Рубикон» (1960-е), «Скат-3», «Иртыш-Амфора» (2000-е), «Минотавр», экспортная МГК-400ЭМ (2000-е); береговые: «Волхов» (1950-е), протяженного гидроакустического рубежа «Лиман», шумопеленгаторные ГАС дальнего обнаружения подводных объектов (БГАС) «Амур» (пнв 10.07.1969 г.), «Агам» (1970-е); позиционная инфразвуковая система для прикрытия пунктов базирования кораблей «Лиман-М», унифицированная аппаратура гидроакустической связи и опознавания «Штиль»; измеритель скорости звука в морской воде МГ-543ЭМ (2000-е).23</w:t>
      </w:r>
    </w:p>
    <w:p w14:paraId="1951DD98" w14:textId="7099E6AD" w:rsidR="00C76194" w:rsidRPr="0044524F" w:rsidRDefault="00C761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ГП «Водтрансприбор-Пуск» МСП, ФГУП, ОАО «Водтрансприбор-Пуск» /197342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Санкт-Петербург ул. Сердобольская, 64 тел. 242-29-11, -18-53/</w:t>
      </w:r>
    </w:p>
    <w:p w14:paraId="74AED8A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ГП «Водтрансприбор-Пуск» создано решением МСП в 05.1991 г. на базе регулировочно-сдаточной службы завода «Водтрансприбор» для отладки гидроакустических комплексов на кораблях ВМФ. Предприятие приняло участие в оснащении РЭВ нескольких сотен судов.</w:t>
      </w:r>
    </w:p>
    <w:p w14:paraId="72BB311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06.1999 г. получило статус ФГУП, в 01.2005 г. преобразовано в ОАО. Входит в ассоциацию «Океанприбор» (2003 г.).</w:t>
      </w:r>
    </w:p>
    <w:p w14:paraId="12586F2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Гендиректор (1991-2005 г.-)- Б.А. Ергин (11982).</w:t>
      </w:r>
    </w:p>
    <w:p w14:paraId="65AD96A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4F79F3FD" w14:textId="77777777" w:rsidR="0058354C" w:rsidRPr="0044524F" w:rsidRDefault="0058354C" w:rsidP="009654CF">
      <w:pPr>
        <w:pStyle w:val="ae"/>
        <w:shd w:val="clear" w:color="auto" w:fill="FFFFFF"/>
        <w:spacing w:before="0" w:after="0"/>
        <w:jc w:val="both"/>
        <w:rPr>
          <w:color w:val="000000" w:themeColor="text1"/>
          <w:sz w:val="16"/>
          <w:szCs w:val="16"/>
        </w:rPr>
      </w:pPr>
      <w:r w:rsidRPr="0044524F">
        <w:rPr>
          <w:color w:val="000000" w:themeColor="text1"/>
          <w:sz w:val="16"/>
          <w:szCs w:val="16"/>
        </w:rPr>
        <w:t>1 июня 1933 года в 5 часов 30 минут первая сормовская Щука ошвартовалась у стенки Балтийского завода. По Неве лодка шла не в доке, а «расчаленная между двух барж». Когда в 1934 году заводу выдали наряд на передачу подводной лодки — 4 июня «Красное Сормово» и Балтийский завод заключили договор, где в протоколе на передачу особо оговаривалось условие: Балтийский завод обязуется (за плату, конечно) обучить сормовичей — четверых инженерно-технических работников и 42 рабочих — монтажу механизмов и устройств, допустив их к цеховым («швартовным») испытаниям. А уж лучших из них допустить и к участию в сдаточных испытаниях. Нелегко дался первый подводный корабль сормовичам, но опыт они получили богатый. Подводное кораблестроение на заводе набирало силу. Еще до начала войны требование ВМФ, изложенное в первом задании на строительство подводной лодки («…20 подлодок на случай войны…»), было выполнено. Завод построил 32 субмарины. 15 августа 1934 года, после испытаний и сдачи подлодка «Щ-304» («Комсомолец») была принята в состав ВМФ страны (12189).</w:t>
      </w:r>
    </w:p>
    <w:p w14:paraId="149210E5" w14:textId="77777777" w:rsidR="0058354C" w:rsidRPr="0044524F" w:rsidRDefault="0058354C" w:rsidP="009654CF">
      <w:pPr>
        <w:pStyle w:val="ae"/>
        <w:shd w:val="clear" w:color="auto" w:fill="FFFFFF"/>
        <w:spacing w:before="0" w:after="0"/>
        <w:jc w:val="both"/>
        <w:rPr>
          <w:color w:val="000000" w:themeColor="text1"/>
          <w:sz w:val="16"/>
          <w:szCs w:val="16"/>
        </w:rPr>
      </w:pPr>
    </w:p>
    <w:p w14:paraId="429EEED1" w14:textId="77777777" w:rsidR="00C76194"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663CA8A8"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01F21F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началось формирование Северной военной флотилии с базированием в Мурманске и в Северный флот была преобразована 11 мая 1937 (3398,201).</w:t>
      </w:r>
    </w:p>
    <w:p w14:paraId="056751B6"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67B65715" w14:textId="77777777" w:rsidR="00C76194" w:rsidRPr="0044524F" w:rsidRDefault="00C7619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г. была образована Северная военная флотилия В этот день в 1933 г. в Кольском заливе образована Северная военная флотилия, преобразованная в 1937 г. в Северный флот. Ее первым командующем стал капитан 1 ранга З.А.Закупнев (впоследствии флагман 2 ранга, незаконно репрессирован). Этот день считается днем рождения Северного флота России. (6395).</w:t>
      </w:r>
    </w:p>
    <w:p w14:paraId="5937A1A9" w14:textId="77777777" w:rsidR="00C76194" w:rsidRPr="0044524F" w:rsidRDefault="00C7619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41B2DA" w14:textId="77777777" w:rsidR="00AE6002" w:rsidRPr="0044524F" w:rsidRDefault="00AE60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 июня</w:t>
      </w:r>
      <w:r w:rsidRPr="0044524F">
        <w:rPr>
          <w:rFonts w:ascii="Times New Roman" w:hAnsi="Times New Roman"/>
          <w:color w:val="000000" w:themeColor="text1"/>
          <w:sz w:val="16"/>
          <w:szCs w:val="16"/>
        </w:rPr>
        <w:t xml:space="preserve"> в 1933 году создана Северная военная флотилия (Северный флот). Из флотов России Северный - самый молодой. Если Балтийскому флоту исполнилось 302 года, Черноморскому - 222, то Северному флоту 1 июня 2005 года исполнилось 72 года. Однако первая попытка создания военного флота на Севере была сделана свыше 300 лет назад: в 1693 году по указанию Петра I в Архангельске была заложена Соломбальская верфь и началось строительство военных кораблей. Но постоянный, регулярный Северный флот берет свое начало с 1 июня 1933 года, когда Циркуляром Начальника штаба РККА была сформирована Северная военная флотилия с местом базирования в Кольском заливе. В 1937 году на базе флотилии создан Северный флот ВМФ СССР, с 1991 года - Северный флот Военно-морского флота России. В Великую Отечественную войну флот оборонял побережье, обеспечивал морские перевозки, охранял конвои союзников СССР, следовавшие в города Архангельск и Мурманск и обратно в Великобританию и США, действовал на морских коммуникациях противника, поддерживал сухопутные войска, высаживал тактические десанты, участвовал в Петсамо-Киркенесской операции (1944). Флот до конца выполнил свой долг перед Родиной. Более 48 тысяч североморцев были награждены орденами и медалями, 85 человек удостоены звания Героя Советского Союза, а трое из них стали дважды Героями Советского Союза. 12 кораблей, частей и соединений флота были преобразованы в гвардейские, 47 - награждены орденами, 14-ти присвоены почетные наименования. Основу современного Северного флота ВМФ Российской Федерации, имеющего статус самого мощного флота страны, составляют атомные ракетные и торпедные подводные лодки, ракетоносная и противолодочная авиация, ракетные, авианесущие и противолодочные корабли. День Северного флота (в честь дня образования Северной флотилии) (14909).</w:t>
      </w:r>
    </w:p>
    <w:p w14:paraId="61772298" w14:textId="77777777" w:rsidR="00AE6002" w:rsidRPr="0044524F" w:rsidRDefault="00AE6002" w:rsidP="009654CF">
      <w:pPr>
        <w:spacing w:after="0" w:line="240" w:lineRule="auto"/>
        <w:jc w:val="both"/>
        <w:rPr>
          <w:rFonts w:ascii="Times New Roman" w:hAnsi="Times New Roman"/>
          <w:color w:val="000000" w:themeColor="text1"/>
          <w:sz w:val="16"/>
          <w:szCs w:val="16"/>
        </w:rPr>
      </w:pPr>
    </w:p>
    <w:p w14:paraId="32771369"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июня 1933 была создана Северная военная флотилия (с 11.5 1937 Северный флот). </w:t>
      </w:r>
    </w:p>
    <w:p w14:paraId="1D30761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Флотилия была сформирована для обороны северных морских рубежей в связи с обострением международной обстановки и возросшей угрозой империалистической агрессии против СССР. </w:t>
      </w:r>
    </w:p>
    <w:p w14:paraId="672F2D1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Большую роль в создании СВФ сыграл Беломорско-Балтийский канал, вступивший в строй в 1933. По нему с Балтики в базу флотилии Мурманск в мае — августе прибыли ЭМ «Урицкий» и «Валериан Куйбышев», СКР «Смерч» и «Ураган», ПЛ «Д-1» и «Д-2», а несколько позже ЭМ «Карл Либкнехт», СКР «Гроза» и ПЛ «Д-3». </w:t>
      </w:r>
    </w:p>
    <w:p w14:paraId="17E2ACC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завершением основных работ по созданию главной базы в Полярном в октябре 1934 туда были переведены надводные корабли, а в октябре 1935 — подводные лодки, штаб, политотдел и другие учреждения. Военно-морские силы в Заполярье быстро наращивались, и приказом Наркома обороны от 11.5 1937 СВФ была реорганизована в Северный флот. </w:t>
      </w:r>
    </w:p>
    <w:p w14:paraId="6E0BB9D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 время советско-финляндской войны 1939–40 СФ взаимодействовал с 14-й армией, части флота участвовали в овладении базой Петсамо (Печенга), портом Линахамари (Лиинахамарп) и др. Корабли осуществляли перевозки войск, несли дозор, ставили минные заграждения. </w:t>
      </w:r>
    </w:p>
    <w:p w14:paraId="52E6567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1940 для обороны побережья Белого моря и выполнения других задач в составе СФ была сформирована Беломорская ВМБ (в Архангельске). </w:t>
      </w:r>
    </w:p>
    <w:p w14:paraId="6990AEF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началу Великой Отечественной войны СФ насчитывал 8 эсминцев, 7 сторожевых кораблей, минный заградитель, 2 тральщика, 15 охотников за ПЛ, 15 подводных лодок, 116 самолетов. В ходе войны его состав пополнился надводными кораблями, подводными лодками и авиацией, перебазировавшимися с КБФ, ТОФ и КВФ. </w:t>
      </w:r>
    </w:p>
    <w:p w14:paraId="6E95CE8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Великой Отечественной войне североморцы с честью выполнили поставленные задачи, сорвав планы гитлеровцев в короткий срок захватить Мурманск и пункты базирования флота на Кольском п-ове. Ударами кораблей и авиации по немецко-фашистским войскам, высадками десантов, действиями морской пехоты, пресечением морских перевозок противника СФ содействовал 14-й армии в срыве наступления врага в Заполярье. Более 39 тыс. краснофлотцев и командиров флота было послано на сухопутный фронт. </w:t>
      </w:r>
    </w:p>
    <w:p w14:paraId="0420770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СФ успешно действовал на морских сообщениях противника, обеспечивал внешние и внутренние морские коммуникации. Общий объем воинских перевозок на Северном морском театре за годы войны составил 1 млн человек и более 1,6 млн т грузов, кроме того, транспортным флотом было перевезено до 2 млн т </w:t>
      </w:r>
      <w:r w:rsidRPr="0044524F">
        <w:rPr>
          <w:rFonts w:ascii="Times New Roman" w:hAnsi="Times New Roman"/>
          <w:color w:val="000000" w:themeColor="text1"/>
          <w:sz w:val="16"/>
          <w:szCs w:val="16"/>
        </w:rPr>
        <w:lastRenderedPageBreak/>
        <w:t xml:space="preserve">народнохозяйственных грузов. Корабли флота провели по внутренним коммуникациям свыше 2500 судов и около 1500 конвоев. Североморцы участвовали в проводке 76 союзных конвоев с 4 млн т грузов. Летчиками и зенитчиками флота было уничтожено 1300 самолетов противника. Общие потери немецко-фашистского флота на театре составили 214 кораблей и вспомогательных судов, более 400 транспортов общим тоннажем свыше 1 млн т. </w:t>
      </w:r>
    </w:p>
    <w:p w14:paraId="6C83B9C9"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Велика роль СФ в разгроме врага в Заполярье в октябре 1944 в Петсамо-Киркенесской наступательной операции, в освобождении Печенгской области и Северной Норвегии. За доблесть и отвагу более 48 тыс. североморцев награждено орденами и медалями, 85 присвоено звание Героя Советского Союза, Б. Ф. Сафонов и А. О. Шабалин удостоены этого звания дважды. 8 подводных лодок, эсминец «Гремящий», 2 авиаполка и дивизион малых охотников преобразованы в гвардейские, 47 кораблей, частей и соединений награждены орденами, восьми частям и соединениям присвоено почетное наименование Печенгских и шести — Киркенесских. </w:t>
      </w:r>
    </w:p>
    <w:p w14:paraId="147B373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СФ (СВФ) командовали: З. А. Закупнев (июнь 1933 — март 1935), К. И. Душенов (март 1935 — май 1938), В. П. Дрозд (май 1938 — июль 1940), А. Г. Головко (июль 1940 — август 1946), В. И. Платонов (август 1946 — апрель 1952), А. Т. Чабаненко (апрель 1952 — февраль 1962), В. А. Касатонов (февраль 1962 — июнь 1964), С. М. Лобов (июнь 1964 — май 1972), Г. М. Егоров (май 1972 — июль 1977), В. Н. Чернавин (июль 1977 — декабрь 1981), А. П. Михайловский (декабрь 1981 — февраль 1985), И. М. Капитанец (с марта 1985) (11712).</w:t>
      </w:r>
    </w:p>
    <w:p w14:paraId="5602726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36ECAEF1"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1002A3E"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E616C6E" w14:textId="77777777" w:rsidR="00C75FEC" w:rsidRPr="0044524F" w:rsidRDefault="00C75F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 июня</w:t>
      </w:r>
      <w:r w:rsidRPr="0044524F">
        <w:rPr>
          <w:rFonts w:ascii="Times New Roman" w:hAnsi="Times New Roman"/>
          <w:color w:val="000000" w:themeColor="text1"/>
          <w:sz w:val="16"/>
          <w:szCs w:val="16"/>
        </w:rPr>
        <w:t xml:space="preserve"> в 1933 году взлетел первый самолет Дональда Дугласа знаменитой марки «DC» – «Douglas» «DC-1» (14909).</w:t>
      </w:r>
    </w:p>
    <w:p w14:paraId="2A89A4FC" w14:textId="77777777" w:rsidR="00C75FEC" w:rsidRPr="0044524F" w:rsidRDefault="00C75FEC" w:rsidP="009654CF">
      <w:pPr>
        <w:spacing w:after="0" w:line="240" w:lineRule="auto"/>
        <w:jc w:val="both"/>
        <w:rPr>
          <w:rFonts w:ascii="Times New Roman" w:hAnsi="Times New Roman"/>
          <w:color w:val="000000" w:themeColor="text1"/>
          <w:sz w:val="16"/>
          <w:szCs w:val="16"/>
        </w:rPr>
      </w:pPr>
    </w:p>
    <w:p w14:paraId="7D8B161C" w14:textId="77777777" w:rsidR="00C76194" w:rsidRPr="0044524F" w:rsidRDefault="00C7619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1933 американский актер Чарли Чаплин секретно обвенчался с актрисой Полетт Годдар (4962).</w:t>
      </w:r>
    </w:p>
    <w:p w14:paraId="5BDC23B6" w14:textId="77777777" w:rsidR="00C76194" w:rsidRPr="0044524F" w:rsidRDefault="00C7619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2DA8E"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0974078"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5910EF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июня 1933 года гл. инженер-механик ВВС Аузан писал письмо N 2/0700с Алкснису.</w:t>
      </w:r>
    </w:p>
    <w:p w14:paraId="18F8E01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сем представляю на Ваше утверждение материал по облегчению самолетов ТБ1 и Р6 в 2-х вариантах: один вариант максимального облегчения для самолетов с увеличенной емкостью бензиновых баков и больших радиусов действия, другой вариант - для самолетов серийного производства эксплуатирующихся в ВВС с нормальной емкостью баков и нормальными радиусами действия.</w:t>
      </w:r>
    </w:p>
    <w:p w14:paraId="1EBAC16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облегчение самолета ТБ1 большем чем на тонну, полетный вес его при взлете с добавочными баками емкостью 2750 кг достигает почти 9 тонн. Так как при этом весе запас прочности крыльев уменьшается до 3,4, а для прочности шасси вес 9 тонн, по данным ЦАГИ является пределом, учитывая кроме того, значительное ухудшение летно-тактических данных самолета при дальнейшем увеличении полетного веса, считаю нецелесообразным увеличение полетного веса самолета ТБ1 свыше 9 тонн.</w:t>
      </w:r>
    </w:p>
    <w:p w14:paraId="7D9B6D5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Обычный самолет ТБ1 с нормальной нагрузкой, запасом топлива в 750 кг и бомб 1000 кг в полете на высоте 2000-3000 м имеет техническую дальность 650 км.</w:t>
      </w:r>
    </w:p>
    <w:p w14:paraId="4EBE1D96"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Максимально же облегченный самолет с запасом бомб 500 кг и топлива 2750 кг в полете на высоте 2000-3000 м будет иметь техническую дальность около 2100 км.</w:t>
      </w:r>
    </w:p>
    <w:p w14:paraId="6E81D6E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Заказ на добавочные баки для самолета ТБ1 выполняет завод ГУАП N 18.</w:t>
      </w:r>
    </w:p>
    <w:p w14:paraId="061DA2A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увеличения и выявления дальности самолетов Р6 в 1932 году по заданию УВВС был оборудован ЦАГИ самолет Р-6 N 2226 новыми бензиновыми баками емкостью в 3000 л (2500 кг). Однако, испытания на расходы топлива и на дальние перелеты указанный самолет не прошел, т.к. в процессе испытаний разбился.</w:t>
      </w:r>
    </w:p>
    <w:p w14:paraId="39F6830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данные облегченного самолета Р6 с новыми баками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3C8BCEBE" w14:textId="77777777">
        <w:tc>
          <w:tcPr>
            <w:tcW w:w="5636" w:type="dxa"/>
          </w:tcPr>
          <w:p w14:paraId="410D04D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Полная емкость бензиновых баков</w:t>
            </w:r>
          </w:p>
        </w:tc>
        <w:tc>
          <w:tcPr>
            <w:tcW w:w="5636" w:type="dxa"/>
          </w:tcPr>
          <w:p w14:paraId="2B7EDA5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л</w:t>
            </w:r>
          </w:p>
        </w:tc>
      </w:tr>
      <w:tr w:rsidR="004E10C1" w:rsidRPr="0044524F" w14:paraId="0ECE7C45" w14:textId="77777777">
        <w:tc>
          <w:tcPr>
            <w:tcW w:w="5636" w:type="dxa"/>
          </w:tcPr>
          <w:p w14:paraId="5A87284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при взлете</w:t>
            </w:r>
          </w:p>
        </w:tc>
        <w:tc>
          <w:tcPr>
            <w:tcW w:w="5636" w:type="dxa"/>
          </w:tcPr>
          <w:p w14:paraId="0E2078F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7522 кг</w:t>
            </w:r>
          </w:p>
        </w:tc>
      </w:tr>
      <w:tr w:rsidR="004E10C1" w:rsidRPr="0044524F" w14:paraId="0E82FE5B" w14:textId="77777777">
        <w:tc>
          <w:tcPr>
            <w:tcW w:w="5636" w:type="dxa"/>
          </w:tcPr>
          <w:p w14:paraId="22822E4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Ориентировочная техническая дальность</w:t>
            </w:r>
          </w:p>
        </w:tc>
        <w:tc>
          <w:tcPr>
            <w:tcW w:w="5636" w:type="dxa"/>
          </w:tcPr>
          <w:p w14:paraId="7736DB2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2630 км (2500)</w:t>
            </w:r>
          </w:p>
        </w:tc>
      </w:tr>
      <w:tr w:rsidR="004E10C1" w:rsidRPr="0044524F" w14:paraId="790094CF" w14:textId="77777777">
        <w:tc>
          <w:tcPr>
            <w:tcW w:w="5636" w:type="dxa"/>
          </w:tcPr>
          <w:p w14:paraId="526494B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Ориентировочный технический радиус</w:t>
            </w:r>
          </w:p>
        </w:tc>
        <w:tc>
          <w:tcPr>
            <w:tcW w:w="5636" w:type="dxa"/>
          </w:tcPr>
          <w:p w14:paraId="77AB12E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A519754" w14:textId="77777777">
        <w:tc>
          <w:tcPr>
            <w:tcW w:w="5636" w:type="dxa"/>
          </w:tcPr>
          <w:p w14:paraId="2659BD4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действия</w:t>
            </w:r>
          </w:p>
        </w:tc>
        <w:tc>
          <w:tcPr>
            <w:tcW w:w="5636" w:type="dxa"/>
          </w:tcPr>
          <w:p w14:paraId="5BBE9B1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1050 км (2630)</w:t>
            </w:r>
          </w:p>
        </w:tc>
      </w:tr>
    </w:tbl>
    <w:p w14:paraId="67274BA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Обычный самолет Р6 с нормальной нагрузкой, запасом бомб 192 кг и запасом топлива 1400 кг имеет техническую дальность 1560 км и тактический ралиус действия 620 км (3903,63-65).</w:t>
      </w:r>
    </w:p>
    <w:p w14:paraId="698E3336"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0F4F8DE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июня 1933 дата присвоения опознавательного знака с литерой "Н" - СССР-Н11 - Савойя S-55, зав. № 10526, моторы - Ассо 750 л.с. Опознавательный знак нанесен не был. Первоначальный владелец воздушного судна - Аэрофлот. Самолет выпуска 1933 года. Потерпел катастрофу 12 июля 1933 г. До катастрофы самолет налетал 12 часов и произвел 15 посадок (11955).</w:t>
      </w:r>
    </w:p>
    <w:p w14:paraId="7A030D2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621DCE7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июня 1933 дата присвоения опознавательного знака с литерой "Н" - СССР-Н12 - У-2, зав. № 4397, мотор - М-11. Первоначальный владелец воздушного судна - УВС ГУСМП. Самолет выпуска 1933 г, Разбит в аварии. Исключен из списков самолетного парка ГУСМП 05.01.35 г. (11955).</w:t>
      </w:r>
    </w:p>
    <w:p w14:paraId="2C8697F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4280349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июня 1933 дата присвоения опознавательного знака с литерой "Н" - СССР-Н13 - У-2, зав. № 4395, мотор - М-11. Первоначальный владелец воздушного судна - УВС ГУСМП. Самолет выпуска 1933 г. Приказом по УПА № 1 от 05.02.37 г. исключен из списков и списан с баланса Челюскинского авиаотряда как снятый с эксплуатации по выслуге срока службы и не подлежащий ремонту (11955).</w:t>
      </w:r>
    </w:p>
    <w:p w14:paraId="4B6F8E7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11B8D80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июня 1933 дата присвоения опознавательного знака с литерой "И" - СССР-Н14 - У-2, зав. № 4392, мотор - М-11. Первоначальный владелец воздушного судна - УВС ГУСМП. Самолет выпуска 1933 г, списан в конце 1936 г. (11955).</w:t>
      </w:r>
    </w:p>
    <w:p w14:paraId="7B45316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28843B1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июня 1933 дата присвоения опознавательного знака с литерой "Н" - СССР-Н15 - У-2, зав. № 4398, мотор - М-11. Первоначальный владелец воздушного судна - УВС ГУСМП. Самолет выпуска 1933 г, списан в начале 1936 г. (11955).</w:t>
      </w:r>
    </w:p>
    <w:p w14:paraId="73DBCE1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527D9E3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июня 1933 состоялось заседание у Врид нач. ГУАП Макаровского (протокол 7):</w:t>
      </w:r>
    </w:p>
    <w:p w14:paraId="382CADB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 "О претензиях ГУГВФ к ГУАП по программе 1933" (2291,172).</w:t>
      </w:r>
    </w:p>
    <w:p w14:paraId="2511A66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312A154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нач. разведуправления РККА Я.Берзин докладывал М.Тухачевскому, курировавшему "немецкие дела", что 2 июня 1933 во время учебных полетов на Липецкой станции столкнулись два Фоккер Д-Х и разбились (1131,31).</w:t>
      </w:r>
    </w:p>
    <w:p w14:paraId="367F772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есть еще во всю работала.</w:t>
      </w:r>
    </w:p>
    <w:p w14:paraId="5309C5CA"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8F5B4F1" w14:textId="77777777" w:rsidR="00C76194"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452B643B"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CB10DB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 и 8 июня 1933. Из протокола заседания Политбюро N 138, 1933 г.</w:t>
      </w:r>
    </w:p>
    <w:p w14:paraId="1F68F17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т. Ворошилова </w:t>
      </w:r>
    </w:p>
    <w:p w14:paraId="18051C7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Удовлетворить просьбу т. Ворошилова об отпуске из госбанковского фонда 500 золотых часов для наградного фонда НКВМора (11652).</w:t>
      </w:r>
    </w:p>
    <w:p w14:paraId="17226CE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1EB7D78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 и 8 июня 1933. Из протокола заседания Политбюро N 138, 1933 г.</w:t>
      </w:r>
    </w:p>
    <w:p w14:paraId="0DD4C73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т. Ворошилова </w:t>
      </w:r>
    </w:p>
    <w:p w14:paraId="36EC3D89"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дополнение к постановлению ЦК все имеющиеся в наличии Госбанка механизмы часов, освобожденные от золотых покрышек, передать в наградный фонд НКВМора (11652).</w:t>
      </w:r>
    </w:p>
    <w:p w14:paraId="20018A76"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76299499"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436B994"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27A3051"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 и 8 июня 1933. Из протокола заседания Политбюро N 138, 1933 г.</w:t>
      </w:r>
    </w:p>
    <w:p w14:paraId="149C6D31"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поездке за границу артистов МХАТ 1 для лечения </w:t>
      </w:r>
    </w:p>
    <w:p w14:paraId="5015BB81"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Разрешить поездку: </w:t>
      </w:r>
    </w:p>
    <w:p w14:paraId="6CC7215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Качалову В. И. (в Ригу и Мариенбад) на 2 м-ца 400 дол. </w:t>
      </w:r>
    </w:p>
    <w:p w14:paraId="2E582DB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Леонидову Л. М. (в Ригу и Мариенбад) на 2 м-ца 400 дол. </w:t>
      </w:r>
    </w:p>
    <w:p w14:paraId="07DF07E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3. Москвину И. М. с женой (в Мариенбад) на 1 м-ц 500 дол. </w:t>
      </w:r>
    </w:p>
    <w:p w14:paraId="123FA9E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Станиславскому К. С. и Лилиной М. И. в сопровождении врача (в Ригу и Францию) на 4 м-ца 1800 дол. </w:t>
      </w:r>
    </w:p>
    <w:p w14:paraId="2F669DA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Аркановой (в Вену и Карлсбад) на 1 м-ц 200 дол. </w:t>
      </w:r>
    </w:p>
    <w:p w14:paraId="0EB9C34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 Гельцер К. (в Берлин и Францию) на 2 м-ца 400 дол. </w:t>
      </w:r>
    </w:p>
    <w:p w14:paraId="0784CDC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Подгорному (в Ригу и Францию) на 2 м-ца 300 дол. (11652).</w:t>
      </w:r>
    </w:p>
    <w:p w14:paraId="0CD6855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1CC50EE1"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ED885C9"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6CEF3BA"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3 и 5 июня 1933 г. состоялись осмотр макета самолета од</w:t>
      </w:r>
      <w:r w:rsidRPr="0044524F">
        <w:rPr>
          <w:rFonts w:ascii="Times New Roman" w:hAnsi="Times New Roman"/>
          <w:color w:val="000000" w:themeColor="text1"/>
          <w:sz w:val="16"/>
          <w:szCs w:val="16"/>
          <w:lang w:eastAsia="ru-RU" w:bidi="ru-RU"/>
        </w:rPr>
        <w:softHyphen/>
        <w:t>номоторного бронированного штурмо</w:t>
      </w:r>
      <w:r w:rsidRPr="0044524F">
        <w:rPr>
          <w:rFonts w:ascii="Times New Roman" w:hAnsi="Times New Roman"/>
          <w:color w:val="000000" w:themeColor="text1"/>
          <w:sz w:val="16"/>
          <w:szCs w:val="16"/>
          <w:lang w:eastAsia="ru-RU" w:bidi="ru-RU"/>
        </w:rPr>
        <w:softHyphen/>
        <w:t>вика ТШ-3 (ЦКБ-4) с мотором М-34 и совещание у началь</w:t>
      </w:r>
      <w:r w:rsidRPr="0044524F">
        <w:rPr>
          <w:rFonts w:ascii="Times New Roman" w:hAnsi="Times New Roman"/>
          <w:color w:val="000000" w:themeColor="text1"/>
          <w:sz w:val="16"/>
          <w:szCs w:val="16"/>
          <w:lang w:eastAsia="ru-RU" w:bidi="ru-RU"/>
        </w:rPr>
        <w:softHyphen/>
        <w:t>ника штаба В.В. Хрипина по согласованию боевой схемы ТШ-3. Само</w:t>
      </w:r>
      <w:r w:rsidRPr="0044524F">
        <w:rPr>
          <w:rFonts w:ascii="Times New Roman" w:hAnsi="Times New Roman"/>
          <w:color w:val="000000" w:themeColor="text1"/>
          <w:sz w:val="16"/>
          <w:szCs w:val="16"/>
          <w:lang w:eastAsia="ru-RU" w:bidi="ru-RU"/>
        </w:rPr>
        <w:softHyphen/>
        <w:t>лет проектировался в ЦКБ бригадой №1 под руководством Кочеригина и строился на заводе №39. План опытного стро</w:t>
      </w:r>
      <w:r w:rsidRPr="0044524F">
        <w:rPr>
          <w:rFonts w:ascii="Times New Roman" w:hAnsi="Times New Roman"/>
          <w:color w:val="000000" w:themeColor="text1"/>
          <w:sz w:val="16"/>
          <w:szCs w:val="16"/>
          <w:lang w:eastAsia="ru-RU" w:bidi="ru-RU"/>
        </w:rPr>
        <w:softHyphen/>
        <w:t>ительства на 1934-1935 гг. предполагал передачу ТШ-3 на государственные испы</w:t>
      </w:r>
      <w:r w:rsidRPr="0044524F">
        <w:rPr>
          <w:rFonts w:ascii="Times New Roman" w:hAnsi="Times New Roman"/>
          <w:color w:val="000000" w:themeColor="text1"/>
          <w:sz w:val="16"/>
          <w:szCs w:val="16"/>
          <w:lang w:eastAsia="ru-RU" w:bidi="ru-RU"/>
        </w:rPr>
        <w:softHyphen/>
        <w:t>тания к 1 июня 1934 г.</w:t>
      </w:r>
    </w:p>
    <w:p w14:paraId="5C68FA0A"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Самолет представлял собой двухмест</w:t>
      </w:r>
      <w:r w:rsidRPr="0044524F">
        <w:rPr>
          <w:rFonts w:ascii="Times New Roman" w:hAnsi="Times New Roman"/>
          <w:color w:val="000000" w:themeColor="text1"/>
          <w:sz w:val="16"/>
          <w:szCs w:val="16"/>
          <w:lang w:eastAsia="ru-RU" w:bidi="ru-RU"/>
        </w:rPr>
        <w:softHyphen/>
        <w:t>ный моноплан смешанной конструкции с низкорасположенным подкосным кры</w:t>
      </w:r>
      <w:r w:rsidRPr="0044524F">
        <w:rPr>
          <w:rFonts w:ascii="Times New Roman" w:hAnsi="Times New Roman"/>
          <w:color w:val="000000" w:themeColor="text1"/>
          <w:sz w:val="16"/>
          <w:szCs w:val="16"/>
          <w:lang w:eastAsia="ru-RU" w:bidi="ru-RU"/>
        </w:rPr>
        <w:softHyphen/>
        <w:t>лом и неубирающимся шасси. Мотор с агрегатами, водо- и маслорадиаторы, ка</w:t>
      </w:r>
      <w:r w:rsidRPr="0044524F">
        <w:rPr>
          <w:rFonts w:ascii="Times New Roman" w:hAnsi="Times New Roman"/>
          <w:color w:val="000000" w:themeColor="text1"/>
          <w:sz w:val="16"/>
          <w:szCs w:val="16"/>
          <w:lang w:eastAsia="ru-RU" w:bidi="ru-RU"/>
        </w:rPr>
        <w:softHyphen/>
        <w:t>бины экипажа и бензобаки размещались внутри бронекоробки. К бронекоробке крепилась хвостовая часть, которая пред</w:t>
      </w:r>
      <w:r w:rsidRPr="0044524F">
        <w:rPr>
          <w:rFonts w:ascii="Times New Roman" w:hAnsi="Times New Roman"/>
          <w:color w:val="000000" w:themeColor="text1"/>
          <w:sz w:val="16"/>
          <w:szCs w:val="16"/>
          <w:lang w:eastAsia="ru-RU" w:bidi="ru-RU"/>
        </w:rPr>
        <w:softHyphen/>
        <w:t>ставляла собой ферменную конструк</w:t>
      </w:r>
      <w:r w:rsidRPr="0044524F">
        <w:rPr>
          <w:rFonts w:ascii="Times New Roman" w:hAnsi="Times New Roman"/>
          <w:color w:val="000000" w:themeColor="text1"/>
          <w:sz w:val="16"/>
          <w:szCs w:val="16"/>
          <w:lang w:eastAsia="ru-RU" w:bidi="ru-RU"/>
        </w:rPr>
        <w:softHyphen/>
        <w:t>цию из сварных стальных труб с полотня</w:t>
      </w:r>
      <w:r w:rsidRPr="0044524F">
        <w:rPr>
          <w:rFonts w:ascii="Times New Roman" w:hAnsi="Times New Roman"/>
          <w:color w:val="000000" w:themeColor="text1"/>
          <w:sz w:val="16"/>
          <w:szCs w:val="16"/>
          <w:lang w:eastAsia="ru-RU" w:bidi="ru-RU"/>
        </w:rPr>
        <w:softHyphen/>
        <w:t>ной обшивкой.</w:t>
      </w:r>
    </w:p>
    <w:p w14:paraId="424D38CF"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Бронекоробка собиралась из плоских броневых деталей. Передний броневой лист имел толщину 8 мм, низ, борта и зад</w:t>
      </w:r>
      <w:r w:rsidRPr="0044524F">
        <w:rPr>
          <w:rFonts w:ascii="Times New Roman" w:hAnsi="Times New Roman"/>
          <w:color w:val="000000" w:themeColor="text1"/>
          <w:sz w:val="16"/>
          <w:szCs w:val="16"/>
          <w:lang w:eastAsia="ru-RU" w:bidi="ru-RU"/>
        </w:rPr>
        <w:softHyphen/>
        <w:t>няя стенка - 6 мм, верх, кроме мотора, ко</w:t>
      </w:r>
      <w:r w:rsidRPr="0044524F">
        <w:rPr>
          <w:rFonts w:ascii="Times New Roman" w:hAnsi="Times New Roman"/>
          <w:color w:val="000000" w:themeColor="text1"/>
          <w:sz w:val="16"/>
          <w:szCs w:val="16"/>
          <w:lang w:eastAsia="ru-RU" w:bidi="ru-RU"/>
        </w:rPr>
        <w:softHyphen/>
        <w:t>торый сверху не бронировался (прикры</w:t>
      </w:r>
      <w:r w:rsidRPr="0044524F">
        <w:rPr>
          <w:rFonts w:ascii="Times New Roman" w:hAnsi="Times New Roman"/>
          <w:color w:val="000000" w:themeColor="text1"/>
          <w:sz w:val="16"/>
          <w:szCs w:val="16"/>
          <w:lang w:eastAsia="ru-RU" w:bidi="ru-RU"/>
        </w:rPr>
        <w:softHyphen/>
        <w:t>вался дюралевым капотом), - 5 мм. Об</w:t>
      </w:r>
      <w:r w:rsidRPr="0044524F">
        <w:rPr>
          <w:rFonts w:ascii="Times New Roman" w:hAnsi="Times New Roman"/>
          <w:color w:val="000000" w:themeColor="text1"/>
          <w:sz w:val="16"/>
          <w:szCs w:val="16"/>
          <w:lang w:eastAsia="ru-RU" w:bidi="ru-RU"/>
        </w:rPr>
        <w:softHyphen/>
        <w:t>щий вес брони достигал 576 кг.</w:t>
      </w:r>
    </w:p>
    <w:p w14:paraId="27893B9C"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Боковые листы бронекоробки по всей длине моторной установки откидывались на шарнирах. В нижней части бронекор- пуса сделаны откидные лючки для до</w:t>
      </w:r>
      <w:r w:rsidRPr="0044524F">
        <w:rPr>
          <w:rFonts w:ascii="Times New Roman" w:hAnsi="Times New Roman"/>
          <w:color w:val="000000" w:themeColor="text1"/>
          <w:sz w:val="16"/>
          <w:szCs w:val="16"/>
          <w:lang w:eastAsia="ru-RU" w:bidi="ru-RU"/>
        </w:rPr>
        <w:softHyphen/>
        <w:t>ступа к масляному фильтру и наносам.</w:t>
      </w:r>
    </w:p>
    <w:p w14:paraId="56C0A46A"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Маслорадиатор помещался полно</w:t>
      </w:r>
      <w:r w:rsidRPr="0044524F">
        <w:rPr>
          <w:rFonts w:ascii="Times New Roman" w:hAnsi="Times New Roman"/>
          <w:color w:val="000000" w:themeColor="text1"/>
          <w:sz w:val="16"/>
          <w:szCs w:val="16"/>
          <w:lang w:eastAsia="ru-RU" w:bidi="ru-RU"/>
        </w:rPr>
        <w:softHyphen/>
        <w:t>стью в бронекоробке за мотором, а охла</w:t>
      </w:r>
      <w:r w:rsidRPr="0044524F">
        <w:rPr>
          <w:rFonts w:ascii="Times New Roman" w:hAnsi="Times New Roman"/>
          <w:color w:val="000000" w:themeColor="text1"/>
          <w:sz w:val="16"/>
          <w:szCs w:val="16"/>
          <w:lang w:eastAsia="ru-RU" w:bidi="ru-RU"/>
        </w:rPr>
        <w:softHyphen/>
        <w:t>ждение масла обеспечивалось водой под давлением.</w:t>
      </w:r>
    </w:p>
    <w:p w14:paraId="3770610F"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Снизу бронекоробки располагался выдвижной сотовый водяной радиатор, прикрытый снизу 6-мм броней. Во время атаки (в течение 5 минут) радиатор пол</w:t>
      </w:r>
      <w:r w:rsidRPr="0044524F">
        <w:rPr>
          <w:rFonts w:ascii="Times New Roman" w:hAnsi="Times New Roman"/>
          <w:color w:val="000000" w:themeColor="text1"/>
          <w:sz w:val="16"/>
          <w:szCs w:val="16"/>
          <w:lang w:eastAsia="ru-RU" w:bidi="ru-RU"/>
        </w:rPr>
        <w:softHyphen/>
        <w:t>ностью задвигался в фюзеляж, а охлажде</w:t>
      </w:r>
      <w:r w:rsidRPr="0044524F">
        <w:rPr>
          <w:rFonts w:ascii="Times New Roman" w:hAnsi="Times New Roman"/>
          <w:color w:val="000000" w:themeColor="text1"/>
          <w:sz w:val="16"/>
          <w:szCs w:val="16"/>
          <w:lang w:eastAsia="ru-RU" w:bidi="ru-RU"/>
        </w:rPr>
        <w:softHyphen/>
        <w:t>ние воды в радиаторе в это время осу</w:t>
      </w:r>
      <w:r w:rsidRPr="0044524F">
        <w:rPr>
          <w:rFonts w:ascii="Times New Roman" w:hAnsi="Times New Roman"/>
          <w:color w:val="000000" w:themeColor="text1"/>
          <w:sz w:val="16"/>
          <w:szCs w:val="16"/>
          <w:lang w:eastAsia="ru-RU" w:bidi="ru-RU"/>
        </w:rPr>
        <w:softHyphen/>
        <w:t>ществлялось через бронесовок (внизу за винтом) и щель за радиатором с «жа</w:t>
      </w:r>
      <w:r w:rsidRPr="0044524F">
        <w:rPr>
          <w:rFonts w:ascii="Times New Roman" w:hAnsi="Times New Roman"/>
          <w:color w:val="000000" w:themeColor="text1"/>
          <w:sz w:val="16"/>
          <w:szCs w:val="16"/>
          <w:lang w:eastAsia="ru-RU" w:bidi="ru-RU"/>
        </w:rPr>
        <w:softHyphen/>
        <w:t>брами» из брони. Часть тепла при убран</w:t>
      </w:r>
      <w:r w:rsidRPr="0044524F">
        <w:rPr>
          <w:rFonts w:ascii="Times New Roman" w:hAnsi="Times New Roman"/>
          <w:color w:val="000000" w:themeColor="text1"/>
          <w:sz w:val="16"/>
          <w:szCs w:val="16"/>
          <w:lang w:eastAsia="ru-RU" w:bidi="ru-RU"/>
        </w:rPr>
        <w:softHyphen/>
        <w:t>ном радиаторе поглощалась водой в ра</w:t>
      </w:r>
      <w:r w:rsidRPr="0044524F">
        <w:rPr>
          <w:rFonts w:ascii="Times New Roman" w:hAnsi="Times New Roman"/>
          <w:color w:val="000000" w:themeColor="text1"/>
          <w:sz w:val="16"/>
          <w:szCs w:val="16"/>
          <w:lang w:eastAsia="ru-RU" w:bidi="ru-RU"/>
        </w:rPr>
        <w:softHyphen/>
        <w:t>диаторе и в системе (трубопроводы, вода в масляном радиаторе и расходном бачке). Размеры радиатора и емкость во</w:t>
      </w:r>
      <w:r w:rsidRPr="0044524F">
        <w:rPr>
          <w:rFonts w:ascii="Times New Roman" w:hAnsi="Times New Roman"/>
          <w:color w:val="000000" w:themeColor="text1"/>
          <w:sz w:val="16"/>
          <w:szCs w:val="16"/>
          <w:lang w:eastAsia="ru-RU" w:bidi="ru-RU"/>
        </w:rPr>
        <w:softHyphen/>
        <w:t>дяной системы (всего 106 кг воды) вы</w:t>
      </w:r>
      <w:r w:rsidRPr="0044524F">
        <w:rPr>
          <w:rFonts w:ascii="Times New Roman" w:hAnsi="Times New Roman"/>
          <w:color w:val="000000" w:themeColor="text1"/>
          <w:sz w:val="16"/>
          <w:szCs w:val="16"/>
          <w:lang w:eastAsia="ru-RU" w:bidi="ru-RU"/>
        </w:rPr>
        <w:softHyphen/>
        <w:t>браны больше необходимого. В кабине летчика имелся специальный указатель высоты подъема радиатора. Для предо</w:t>
      </w:r>
      <w:r w:rsidRPr="0044524F">
        <w:rPr>
          <w:rFonts w:ascii="Times New Roman" w:hAnsi="Times New Roman"/>
          <w:color w:val="000000" w:themeColor="text1"/>
          <w:sz w:val="16"/>
          <w:szCs w:val="16"/>
          <w:lang w:eastAsia="ru-RU" w:bidi="ru-RU"/>
        </w:rPr>
        <w:softHyphen/>
        <w:t>хранения мотора от пулевых попаданий через бронесовок за ним сверху устанав</w:t>
      </w:r>
      <w:r w:rsidRPr="0044524F">
        <w:rPr>
          <w:rFonts w:ascii="Times New Roman" w:hAnsi="Times New Roman"/>
          <w:color w:val="000000" w:themeColor="text1"/>
          <w:sz w:val="16"/>
          <w:szCs w:val="16"/>
          <w:lang w:eastAsia="ru-RU" w:bidi="ru-RU"/>
        </w:rPr>
        <w:softHyphen/>
        <w:t>ливался бронещиток. Рассматривалось предложение о переходе на этиленглико</w:t>
      </w:r>
      <w:r w:rsidRPr="0044524F">
        <w:rPr>
          <w:rFonts w:ascii="Times New Roman" w:hAnsi="Times New Roman"/>
          <w:color w:val="000000" w:themeColor="text1"/>
          <w:sz w:val="16"/>
          <w:szCs w:val="16"/>
          <w:lang w:eastAsia="ru-RU" w:bidi="ru-RU"/>
        </w:rPr>
        <w:softHyphen/>
        <w:t>левое охлаждение по типу ТШ-2, но его не поддержали специалисты ЦИАМ и НИИ ВВС.</w:t>
      </w:r>
    </w:p>
    <w:p w14:paraId="6D483B29"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При постройке бронекорпуса ТШ-3 применялась броневая сталь двух марок ИЗ (Ижорский завод) и Э (Выксунский за</w:t>
      </w:r>
      <w:r w:rsidRPr="0044524F">
        <w:rPr>
          <w:rFonts w:ascii="Times New Roman" w:hAnsi="Times New Roman"/>
          <w:color w:val="000000" w:themeColor="text1"/>
          <w:sz w:val="16"/>
          <w:szCs w:val="16"/>
          <w:lang w:eastAsia="ru-RU" w:bidi="ru-RU"/>
        </w:rPr>
        <w:softHyphen/>
        <w:t>вод). Всего на Подольском машинострои</w:t>
      </w:r>
      <w:r w:rsidRPr="0044524F">
        <w:rPr>
          <w:rFonts w:ascii="Times New Roman" w:hAnsi="Times New Roman"/>
          <w:color w:val="000000" w:themeColor="text1"/>
          <w:sz w:val="16"/>
          <w:szCs w:val="16"/>
          <w:lang w:eastAsia="ru-RU" w:bidi="ru-RU"/>
        </w:rPr>
        <w:softHyphen/>
        <w:t>тельном заводе было собрано два броне- корпуса. Затруднений при изготовлении этих двух комплектов не встретилось. Тех</w:t>
      </w:r>
      <w:r w:rsidRPr="0044524F">
        <w:rPr>
          <w:rFonts w:ascii="Times New Roman" w:hAnsi="Times New Roman"/>
          <w:color w:val="000000" w:themeColor="text1"/>
          <w:sz w:val="16"/>
          <w:szCs w:val="16"/>
          <w:lang w:eastAsia="ru-RU" w:bidi="ru-RU"/>
        </w:rPr>
        <w:softHyphen/>
        <w:t>нология была применена такая же, как и в бронетанковом производстве. Допуска и технические условия такие же. Детали соединялись сваркой, клепкой и болто</w:t>
      </w:r>
      <w:r w:rsidRPr="0044524F">
        <w:rPr>
          <w:rFonts w:ascii="Times New Roman" w:hAnsi="Times New Roman"/>
          <w:color w:val="000000" w:themeColor="text1"/>
          <w:sz w:val="16"/>
          <w:szCs w:val="16"/>
          <w:lang w:eastAsia="ru-RU" w:bidi="ru-RU"/>
        </w:rPr>
        <w:softHyphen/>
        <w:t>выми соединениями на дюралюминиевых угольниках. Оба бронекорпуса испытыва</w:t>
      </w:r>
      <w:r w:rsidRPr="0044524F">
        <w:rPr>
          <w:rFonts w:ascii="Times New Roman" w:hAnsi="Times New Roman"/>
          <w:color w:val="000000" w:themeColor="text1"/>
          <w:sz w:val="16"/>
          <w:szCs w:val="16"/>
          <w:lang w:eastAsia="ru-RU" w:bidi="ru-RU"/>
        </w:rPr>
        <w:softHyphen/>
        <w:t>лись на обстрел простыми пулями винто</w:t>
      </w:r>
      <w:r w:rsidRPr="0044524F">
        <w:rPr>
          <w:rFonts w:ascii="Times New Roman" w:hAnsi="Times New Roman"/>
          <w:color w:val="000000" w:themeColor="text1"/>
          <w:sz w:val="16"/>
          <w:szCs w:val="16"/>
          <w:lang w:eastAsia="ru-RU" w:bidi="ru-RU"/>
        </w:rPr>
        <w:softHyphen/>
        <w:t>вочного калибра.</w:t>
      </w:r>
    </w:p>
    <w:p w14:paraId="07129560"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Отмечалось, что, несмотря на приме</w:t>
      </w:r>
      <w:r w:rsidRPr="0044524F">
        <w:rPr>
          <w:rFonts w:ascii="Times New Roman" w:hAnsi="Times New Roman"/>
          <w:color w:val="000000" w:themeColor="text1"/>
          <w:sz w:val="16"/>
          <w:szCs w:val="16"/>
          <w:lang w:eastAsia="ru-RU" w:bidi="ru-RU"/>
        </w:rPr>
        <w:softHyphen/>
        <w:t>нение плоских броневых листов, удалось подобрать достаточно хорошую в аэро</w:t>
      </w:r>
      <w:r w:rsidRPr="0044524F">
        <w:rPr>
          <w:rFonts w:ascii="Times New Roman" w:hAnsi="Times New Roman"/>
          <w:color w:val="000000" w:themeColor="text1"/>
          <w:sz w:val="16"/>
          <w:szCs w:val="16"/>
          <w:lang w:eastAsia="ru-RU" w:bidi="ru-RU"/>
        </w:rPr>
        <w:softHyphen/>
        <w:t>динамическом отношении форму носо</w:t>
      </w:r>
      <w:r w:rsidRPr="0044524F">
        <w:rPr>
          <w:rFonts w:ascii="Times New Roman" w:hAnsi="Times New Roman"/>
          <w:color w:val="000000" w:themeColor="text1"/>
          <w:sz w:val="16"/>
          <w:szCs w:val="16"/>
          <w:lang w:eastAsia="ru-RU" w:bidi="ru-RU"/>
        </w:rPr>
        <w:softHyphen/>
        <w:t>вой части фюзеляжа самолета. В перспек</w:t>
      </w:r>
      <w:r w:rsidRPr="0044524F">
        <w:rPr>
          <w:rFonts w:ascii="Times New Roman" w:hAnsi="Times New Roman"/>
          <w:color w:val="000000" w:themeColor="text1"/>
          <w:sz w:val="16"/>
          <w:szCs w:val="16"/>
          <w:lang w:eastAsia="ru-RU" w:bidi="ru-RU"/>
        </w:rPr>
        <w:softHyphen/>
        <w:t>тиве предполагалось перейти «на штам</w:t>
      </w:r>
      <w:r w:rsidRPr="0044524F">
        <w:rPr>
          <w:rFonts w:ascii="Times New Roman" w:hAnsi="Times New Roman"/>
          <w:color w:val="000000" w:themeColor="text1"/>
          <w:sz w:val="16"/>
          <w:szCs w:val="16"/>
          <w:lang w:eastAsia="ru-RU" w:bidi="ru-RU"/>
        </w:rPr>
        <w:softHyphen/>
        <w:t>повку броневых листов по кривым по</w:t>
      </w:r>
      <w:r w:rsidRPr="0044524F">
        <w:rPr>
          <w:rFonts w:ascii="Times New Roman" w:hAnsi="Times New Roman"/>
          <w:color w:val="000000" w:themeColor="text1"/>
          <w:sz w:val="16"/>
          <w:szCs w:val="16"/>
          <w:lang w:eastAsia="ru-RU" w:bidi="ru-RU"/>
        </w:rPr>
        <w:softHyphen/>
        <w:t>верхностям» и за счет этого «получить еще дальнейшие улучшения формы фю</w:t>
      </w:r>
      <w:r w:rsidRPr="0044524F">
        <w:rPr>
          <w:rFonts w:ascii="Times New Roman" w:hAnsi="Times New Roman"/>
          <w:color w:val="000000" w:themeColor="text1"/>
          <w:sz w:val="16"/>
          <w:szCs w:val="16"/>
          <w:lang w:eastAsia="ru-RU" w:bidi="ru-RU"/>
        </w:rPr>
        <w:softHyphen/>
        <w:t>зеляжа и уменьшение его лобового со</w:t>
      </w:r>
      <w:r w:rsidRPr="0044524F">
        <w:rPr>
          <w:rFonts w:ascii="Times New Roman" w:hAnsi="Times New Roman"/>
          <w:color w:val="000000" w:themeColor="text1"/>
          <w:sz w:val="16"/>
          <w:szCs w:val="16"/>
          <w:lang w:eastAsia="ru-RU" w:bidi="ru-RU"/>
        </w:rPr>
        <w:softHyphen/>
        <w:t>противления».</w:t>
      </w:r>
    </w:p>
    <w:p w14:paraId="6EF9328E"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Крыло и оперение дюралевой кон</w:t>
      </w:r>
      <w:r w:rsidRPr="0044524F">
        <w:rPr>
          <w:rFonts w:ascii="Times New Roman" w:hAnsi="Times New Roman"/>
          <w:color w:val="000000" w:themeColor="text1"/>
          <w:sz w:val="16"/>
          <w:szCs w:val="16"/>
          <w:lang w:eastAsia="ru-RU" w:bidi="ru-RU"/>
        </w:rPr>
        <w:softHyphen/>
        <w:t>струкции обшивались листовым дюралем и полотном. Консоли крыла подпирались сверху Л-образными подкосами (сталь</w:t>
      </w:r>
      <w:r w:rsidRPr="0044524F">
        <w:rPr>
          <w:rFonts w:ascii="Times New Roman" w:hAnsi="Times New Roman"/>
          <w:color w:val="000000" w:themeColor="text1"/>
          <w:sz w:val="16"/>
          <w:szCs w:val="16"/>
          <w:lang w:eastAsia="ru-RU" w:bidi="ru-RU"/>
        </w:rPr>
        <w:softHyphen/>
        <w:t>ные трубы с дюралевыми обтекателями). Подкосы должны были «парализовать вредное влияние вибрации при стрельбе батареи пулеметов». За подкосами была небольшая постоянного профиля часть крыла, где помещались пулеметные ба</w:t>
      </w:r>
      <w:r w:rsidRPr="0044524F">
        <w:rPr>
          <w:rFonts w:ascii="Times New Roman" w:hAnsi="Times New Roman"/>
          <w:color w:val="000000" w:themeColor="text1"/>
          <w:sz w:val="16"/>
          <w:szCs w:val="16"/>
          <w:lang w:eastAsia="ru-RU" w:bidi="ru-RU"/>
        </w:rPr>
        <w:softHyphen/>
        <w:t>тареи и кассеты с мелкими осколочными бомбами. Элероны - щелевые, опускае</w:t>
      </w:r>
      <w:r w:rsidRPr="0044524F">
        <w:rPr>
          <w:rFonts w:ascii="Times New Roman" w:hAnsi="Times New Roman"/>
          <w:color w:val="000000" w:themeColor="text1"/>
          <w:sz w:val="16"/>
          <w:szCs w:val="16"/>
          <w:lang w:eastAsia="ru-RU" w:bidi="ru-RU"/>
        </w:rPr>
        <w:softHyphen/>
        <w:t>мые на 15° как закрылки, дифференци</w:t>
      </w:r>
      <w:r w:rsidRPr="0044524F">
        <w:rPr>
          <w:rFonts w:ascii="Times New Roman" w:hAnsi="Times New Roman"/>
          <w:color w:val="000000" w:themeColor="text1"/>
          <w:sz w:val="16"/>
          <w:szCs w:val="16"/>
          <w:lang w:eastAsia="ru-RU" w:bidi="ru-RU"/>
        </w:rPr>
        <w:softHyphen/>
        <w:t>альные. Управление элеронами, рулями высоты и поворота - тросовое, дублиро</w:t>
      </w:r>
      <w:r w:rsidRPr="0044524F">
        <w:rPr>
          <w:rFonts w:ascii="Times New Roman" w:hAnsi="Times New Roman"/>
          <w:color w:val="000000" w:themeColor="text1"/>
          <w:sz w:val="16"/>
          <w:szCs w:val="16"/>
          <w:lang w:eastAsia="ru-RU" w:bidi="ru-RU"/>
        </w:rPr>
        <w:softHyphen/>
        <w:t>ванное («идет двойная, разведенная ши</w:t>
      </w:r>
      <w:r w:rsidRPr="0044524F">
        <w:rPr>
          <w:rFonts w:ascii="Times New Roman" w:hAnsi="Times New Roman"/>
          <w:color w:val="000000" w:themeColor="text1"/>
          <w:sz w:val="16"/>
          <w:szCs w:val="16"/>
          <w:lang w:eastAsia="ru-RU" w:bidi="ru-RU"/>
        </w:rPr>
        <w:softHyphen/>
        <w:t>роко одна от другой»).</w:t>
      </w:r>
    </w:p>
    <w:p w14:paraId="691551A4"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При проектировании самолета на</w:t>
      </w:r>
      <w:r w:rsidRPr="0044524F">
        <w:rPr>
          <w:rFonts w:ascii="Times New Roman" w:hAnsi="Times New Roman"/>
          <w:color w:val="000000" w:themeColor="text1"/>
          <w:sz w:val="16"/>
          <w:szCs w:val="16"/>
          <w:lang w:eastAsia="ru-RU" w:bidi="ru-RU"/>
        </w:rPr>
        <w:softHyphen/>
        <w:t>меренно отказались от применения ав</w:t>
      </w:r>
      <w:r w:rsidRPr="0044524F">
        <w:rPr>
          <w:rFonts w:ascii="Times New Roman" w:hAnsi="Times New Roman"/>
          <w:color w:val="000000" w:themeColor="text1"/>
          <w:sz w:val="16"/>
          <w:szCs w:val="16"/>
          <w:lang w:eastAsia="ru-RU" w:bidi="ru-RU"/>
        </w:rPr>
        <w:softHyphen/>
        <w:t>томатических предкрылков («разрезного крыла»), как того требовали ВВС. Счита</w:t>
      </w:r>
      <w:r w:rsidRPr="0044524F">
        <w:rPr>
          <w:rFonts w:ascii="Times New Roman" w:hAnsi="Times New Roman"/>
          <w:color w:val="000000" w:themeColor="text1"/>
          <w:sz w:val="16"/>
          <w:szCs w:val="16"/>
          <w:lang w:eastAsia="ru-RU" w:bidi="ru-RU"/>
        </w:rPr>
        <w:softHyphen/>
        <w:t>лось, что предкрылки увеличивают уязви</w:t>
      </w:r>
      <w:r w:rsidRPr="0044524F">
        <w:rPr>
          <w:rFonts w:ascii="Times New Roman" w:hAnsi="Times New Roman"/>
          <w:color w:val="000000" w:themeColor="text1"/>
          <w:sz w:val="16"/>
          <w:szCs w:val="16"/>
          <w:lang w:eastAsia="ru-RU" w:bidi="ru-RU"/>
        </w:rPr>
        <w:softHyphen/>
        <w:t>мость самолета, «так как механизм пред</w:t>
      </w:r>
      <w:r w:rsidRPr="0044524F">
        <w:rPr>
          <w:rFonts w:ascii="Times New Roman" w:hAnsi="Times New Roman"/>
          <w:color w:val="000000" w:themeColor="text1"/>
          <w:sz w:val="16"/>
          <w:szCs w:val="16"/>
          <w:lang w:eastAsia="ru-RU" w:bidi="ru-RU"/>
        </w:rPr>
        <w:softHyphen/>
        <w:t>крылков, требующий точной работы, неиз</w:t>
      </w:r>
      <w:r w:rsidRPr="0044524F">
        <w:rPr>
          <w:rFonts w:ascii="Times New Roman" w:hAnsi="Times New Roman"/>
          <w:color w:val="000000" w:themeColor="text1"/>
          <w:sz w:val="16"/>
          <w:szCs w:val="16"/>
          <w:lang w:eastAsia="ru-RU" w:bidi="ru-RU"/>
        </w:rPr>
        <w:softHyphen/>
        <w:t>бежно выводится из строя при попадании пулей в него или около места крепле</w:t>
      </w:r>
      <w:r w:rsidRPr="0044524F">
        <w:rPr>
          <w:rFonts w:ascii="Times New Roman" w:hAnsi="Times New Roman"/>
          <w:color w:val="000000" w:themeColor="text1"/>
          <w:sz w:val="16"/>
          <w:szCs w:val="16"/>
          <w:lang w:eastAsia="ru-RU" w:bidi="ru-RU"/>
        </w:rPr>
        <w:softHyphen/>
        <w:t>ния его кронштейнов». При этом «повре</w:t>
      </w:r>
      <w:r w:rsidRPr="0044524F">
        <w:rPr>
          <w:rFonts w:ascii="Times New Roman" w:hAnsi="Times New Roman"/>
          <w:color w:val="000000" w:themeColor="text1"/>
          <w:sz w:val="16"/>
          <w:szCs w:val="16"/>
          <w:lang w:eastAsia="ru-RU" w:bidi="ru-RU"/>
        </w:rPr>
        <w:softHyphen/>
        <w:t>ждение одного из них при функциони</w:t>
      </w:r>
      <w:r w:rsidRPr="0044524F">
        <w:rPr>
          <w:rFonts w:ascii="Times New Roman" w:hAnsi="Times New Roman"/>
          <w:color w:val="000000" w:themeColor="text1"/>
          <w:sz w:val="16"/>
          <w:szCs w:val="16"/>
          <w:lang w:eastAsia="ru-RU" w:bidi="ru-RU"/>
        </w:rPr>
        <w:softHyphen/>
        <w:t>ровании другого может привести к што</w:t>
      </w:r>
      <w:r w:rsidRPr="0044524F">
        <w:rPr>
          <w:rFonts w:ascii="Times New Roman" w:hAnsi="Times New Roman"/>
          <w:color w:val="000000" w:themeColor="text1"/>
          <w:sz w:val="16"/>
          <w:szCs w:val="16"/>
          <w:lang w:eastAsia="ru-RU" w:bidi="ru-RU"/>
        </w:rPr>
        <w:softHyphen/>
        <w:t>пору самолета».</w:t>
      </w:r>
    </w:p>
    <w:p w14:paraId="71E9FBAF"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Шасси имело форму свободнонесущих стоек-вилок с резиновой амортиза</w:t>
      </w:r>
      <w:r w:rsidRPr="0044524F">
        <w:rPr>
          <w:rFonts w:ascii="Times New Roman" w:hAnsi="Times New Roman"/>
          <w:color w:val="000000" w:themeColor="text1"/>
          <w:sz w:val="16"/>
          <w:szCs w:val="16"/>
          <w:lang w:eastAsia="ru-RU" w:bidi="ru-RU"/>
        </w:rPr>
        <w:softHyphen/>
        <w:t>цией и обтекателями типа «штаны». Ко</w:t>
      </w:r>
      <w:r w:rsidRPr="0044524F">
        <w:rPr>
          <w:rFonts w:ascii="Times New Roman" w:hAnsi="Times New Roman"/>
          <w:color w:val="000000" w:themeColor="text1"/>
          <w:sz w:val="16"/>
          <w:szCs w:val="16"/>
          <w:lang w:eastAsia="ru-RU" w:bidi="ru-RU"/>
        </w:rPr>
        <w:softHyphen/>
        <w:t>леса - тормозные, костыль - управляемый.</w:t>
      </w:r>
    </w:p>
    <w:p w14:paraId="38695320"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Судя по документам, ВВС требовали предусмотреть для ТШ-3 колесное шасси повышенной проходимости, а также воз</w:t>
      </w:r>
      <w:r w:rsidRPr="0044524F">
        <w:rPr>
          <w:rFonts w:ascii="Times New Roman" w:hAnsi="Times New Roman"/>
          <w:color w:val="000000" w:themeColor="text1"/>
          <w:sz w:val="16"/>
          <w:szCs w:val="16"/>
          <w:lang w:eastAsia="ru-RU" w:bidi="ru-RU"/>
        </w:rPr>
        <w:softHyphen/>
        <w:t>можность установки шасси на гусеничном многоколесном ходу («с возможностью использования, как гусеничным ходом, так и колесным при снятой гусенице»).</w:t>
      </w:r>
    </w:p>
    <w:p w14:paraId="3BA6B17E"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Вооружение самолета включало 10 пулеметов ШКАС в крыле (две бата</w:t>
      </w:r>
      <w:r w:rsidRPr="0044524F">
        <w:rPr>
          <w:rFonts w:ascii="Times New Roman" w:hAnsi="Times New Roman"/>
          <w:color w:val="000000" w:themeColor="text1"/>
          <w:sz w:val="16"/>
          <w:szCs w:val="16"/>
          <w:lang w:eastAsia="ru-RU" w:bidi="ru-RU"/>
        </w:rPr>
        <w:softHyphen/>
        <w:t>реи по четыре легкосъемных пулеме</w:t>
      </w:r>
      <w:r w:rsidRPr="0044524F">
        <w:rPr>
          <w:rFonts w:ascii="Times New Roman" w:hAnsi="Times New Roman"/>
          <w:color w:val="000000" w:themeColor="text1"/>
          <w:sz w:val="16"/>
          <w:szCs w:val="16"/>
          <w:lang w:eastAsia="ru-RU" w:bidi="ru-RU"/>
        </w:rPr>
        <w:softHyphen/>
        <w:t>тов - 4000 патрон, и два пулемета «са</w:t>
      </w:r>
      <w:r w:rsidRPr="0044524F">
        <w:rPr>
          <w:rFonts w:ascii="Times New Roman" w:hAnsi="Times New Roman"/>
          <w:color w:val="000000" w:themeColor="text1"/>
          <w:sz w:val="16"/>
          <w:szCs w:val="16"/>
          <w:lang w:eastAsia="ru-RU" w:bidi="ru-RU"/>
        </w:rPr>
        <w:softHyphen/>
        <w:t>мозащиты» - 1500 патрон), один ШКАС у летнаба на турели Тур-8 (1000 патрон) и 400 кг бомб (в перегрузку до 700 кг). Осколочные бомбы калибра 10 кг раз</w:t>
      </w:r>
      <w:r w:rsidRPr="0044524F">
        <w:rPr>
          <w:rFonts w:ascii="Times New Roman" w:hAnsi="Times New Roman"/>
          <w:color w:val="000000" w:themeColor="text1"/>
          <w:sz w:val="16"/>
          <w:szCs w:val="16"/>
          <w:lang w:eastAsia="ru-RU" w:bidi="ru-RU"/>
        </w:rPr>
        <w:softHyphen/>
        <w:t>мещались в шести крыльевых отсеках на кассетах мелких бомб КД-1 по 6 штук каждая (всего 360 кг). Фугасные бомбы калибра 50 кг (всего 400 кг) подвешива</w:t>
      </w:r>
      <w:r w:rsidRPr="0044524F">
        <w:rPr>
          <w:rFonts w:ascii="Times New Roman" w:hAnsi="Times New Roman"/>
          <w:color w:val="000000" w:themeColor="text1"/>
          <w:sz w:val="16"/>
          <w:szCs w:val="16"/>
          <w:lang w:eastAsia="ru-RU" w:bidi="ru-RU"/>
        </w:rPr>
        <w:softHyphen/>
        <w:t>лись в крыльевых отсеках и снаружи на балочные держатели, введенные в кон</w:t>
      </w:r>
      <w:r w:rsidRPr="0044524F">
        <w:rPr>
          <w:rFonts w:ascii="Times New Roman" w:hAnsi="Times New Roman"/>
          <w:color w:val="000000" w:themeColor="text1"/>
          <w:sz w:val="16"/>
          <w:szCs w:val="16"/>
          <w:lang w:eastAsia="ru-RU" w:bidi="ru-RU"/>
        </w:rPr>
        <w:softHyphen/>
        <w:t>струкцию крыла. Выливные и химиче</w:t>
      </w:r>
      <w:r w:rsidRPr="0044524F">
        <w:rPr>
          <w:rFonts w:ascii="Times New Roman" w:hAnsi="Times New Roman"/>
          <w:color w:val="000000" w:themeColor="text1"/>
          <w:sz w:val="16"/>
          <w:szCs w:val="16"/>
          <w:lang w:eastAsia="ru-RU" w:bidi="ru-RU"/>
        </w:rPr>
        <w:softHyphen/>
        <w:t>ские авиаприборы размещались в отсе</w:t>
      </w:r>
      <w:r w:rsidRPr="0044524F">
        <w:rPr>
          <w:rFonts w:ascii="Times New Roman" w:hAnsi="Times New Roman"/>
          <w:color w:val="000000" w:themeColor="text1"/>
          <w:sz w:val="16"/>
          <w:szCs w:val="16"/>
          <w:lang w:eastAsia="ru-RU" w:bidi="ru-RU"/>
        </w:rPr>
        <w:softHyphen/>
        <w:t>ках крыла (по одному с каждой стороны). Бомбы крупного калибра (250 кг) и ДАП подвешивались только снаружи.</w:t>
      </w:r>
    </w:p>
    <w:p w14:paraId="04F3F177"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Для удобства обслуживания пулемет</w:t>
      </w:r>
      <w:r w:rsidRPr="0044524F">
        <w:rPr>
          <w:rFonts w:ascii="Times New Roman" w:hAnsi="Times New Roman"/>
          <w:color w:val="000000" w:themeColor="text1"/>
          <w:sz w:val="16"/>
          <w:szCs w:val="16"/>
          <w:lang w:eastAsia="ru-RU" w:bidi="ru-RU"/>
        </w:rPr>
        <w:softHyphen/>
        <w:t>ных батарей верхняя часть носка крыла откидывалась вверх, «открывая свобод</w:t>
      </w:r>
      <w:r w:rsidRPr="0044524F">
        <w:rPr>
          <w:rFonts w:ascii="Times New Roman" w:hAnsi="Times New Roman"/>
          <w:color w:val="000000" w:themeColor="text1"/>
          <w:sz w:val="16"/>
          <w:szCs w:val="16"/>
          <w:lang w:eastAsia="ru-RU" w:bidi="ru-RU"/>
        </w:rPr>
        <w:softHyphen/>
        <w:t>ный доступ к пулеметам». Лафеты пуле</w:t>
      </w:r>
      <w:r w:rsidRPr="0044524F">
        <w:rPr>
          <w:rFonts w:ascii="Times New Roman" w:hAnsi="Times New Roman"/>
          <w:color w:val="000000" w:themeColor="text1"/>
          <w:sz w:val="16"/>
          <w:szCs w:val="16"/>
          <w:lang w:eastAsia="ru-RU" w:bidi="ru-RU"/>
        </w:rPr>
        <w:softHyphen/>
        <w:t>метов крепились к кронштейнам, образо</w:t>
      </w:r>
      <w:r w:rsidRPr="0044524F">
        <w:rPr>
          <w:rFonts w:ascii="Times New Roman" w:hAnsi="Times New Roman"/>
          <w:color w:val="000000" w:themeColor="text1"/>
          <w:sz w:val="16"/>
          <w:szCs w:val="16"/>
          <w:lang w:eastAsia="ru-RU" w:bidi="ru-RU"/>
        </w:rPr>
        <w:softHyphen/>
        <w:t>ванными носками нервюр. Снаряженные патронные ящики вставлялись спереди крыла и перемещались по направляющим параллельно пулеметам. Крепления пу</w:t>
      </w:r>
      <w:r w:rsidRPr="0044524F">
        <w:rPr>
          <w:rFonts w:ascii="Times New Roman" w:hAnsi="Times New Roman"/>
          <w:color w:val="000000" w:themeColor="text1"/>
          <w:sz w:val="16"/>
          <w:szCs w:val="16"/>
          <w:lang w:eastAsia="ru-RU" w:bidi="ru-RU"/>
        </w:rPr>
        <w:softHyphen/>
        <w:t>леметов и патронных ящиков выполнены легкосъемными, и «смена видов вооруже</w:t>
      </w:r>
      <w:r w:rsidRPr="0044524F">
        <w:rPr>
          <w:rFonts w:ascii="Times New Roman" w:hAnsi="Times New Roman"/>
          <w:color w:val="000000" w:themeColor="text1"/>
          <w:sz w:val="16"/>
          <w:szCs w:val="16"/>
          <w:lang w:eastAsia="ru-RU" w:bidi="ru-RU"/>
        </w:rPr>
        <w:softHyphen/>
        <w:t>ния производится без труда».</w:t>
      </w:r>
    </w:p>
    <w:p w14:paraId="1D8308AC"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Бомбовые отсеки закрывались двухст</w:t>
      </w:r>
      <w:r w:rsidRPr="0044524F">
        <w:rPr>
          <w:rFonts w:ascii="Times New Roman" w:hAnsi="Times New Roman"/>
          <w:color w:val="000000" w:themeColor="text1"/>
          <w:sz w:val="16"/>
          <w:szCs w:val="16"/>
          <w:lang w:eastAsia="ru-RU" w:bidi="ru-RU"/>
        </w:rPr>
        <w:softHyphen/>
        <w:t>ворчатыми люками на пружинах, что по</w:t>
      </w:r>
      <w:r w:rsidRPr="0044524F">
        <w:rPr>
          <w:rFonts w:ascii="Times New Roman" w:hAnsi="Times New Roman"/>
          <w:color w:val="000000" w:themeColor="text1"/>
          <w:sz w:val="16"/>
          <w:szCs w:val="16"/>
          <w:lang w:eastAsia="ru-RU" w:bidi="ru-RU"/>
        </w:rPr>
        <w:softHyphen/>
        <w:t>зволяло бомбам при сбрасывании выпа</w:t>
      </w:r>
      <w:r w:rsidRPr="0044524F">
        <w:rPr>
          <w:rFonts w:ascii="Times New Roman" w:hAnsi="Times New Roman"/>
          <w:color w:val="000000" w:themeColor="text1"/>
          <w:sz w:val="16"/>
          <w:szCs w:val="16"/>
          <w:lang w:eastAsia="ru-RU" w:bidi="ru-RU"/>
        </w:rPr>
        <w:softHyphen/>
        <w:t>дать из отсека под действием своего веса.</w:t>
      </w:r>
    </w:p>
    <w:p w14:paraId="46F068EE"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Известно, что в ЦКБ прорабатывался и пассажирский вариант ТШ-3. Самолеты предполагалось унифицировать по крылу, шасси, оперению, винтомоторной группе. Бронирование передней части фюзеляжа не предполагалось. Проектом предусма</w:t>
      </w:r>
      <w:r w:rsidRPr="0044524F">
        <w:rPr>
          <w:rFonts w:ascii="Times New Roman" w:hAnsi="Times New Roman"/>
          <w:color w:val="000000" w:themeColor="text1"/>
          <w:sz w:val="16"/>
          <w:szCs w:val="16"/>
          <w:lang w:eastAsia="ru-RU" w:bidi="ru-RU"/>
        </w:rPr>
        <w:softHyphen/>
        <w:t>тривалось «также и легкое превраще</w:t>
      </w:r>
      <w:r w:rsidRPr="0044524F">
        <w:rPr>
          <w:rFonts w:ascii="Times New Roman" w:hAnsi="Times New Roman"/>
          <w:color w:val="000000" w:themeColor="text1"/>
          <w:sz w:val="16"/>
          <w:szCs w:val="16"/>
          <w:lang w:eastAsia="ru-RU" w:bidi="ru-RU"/>
        </w:rPr>
        <w:softHyphen/>
        <w:t>ние этой пассажирской вариации ТШ-3 в военный самолет - бомбардировщик с кассетными держателями внутри фюзе</w:t>
      </w:r>
      <w:r w:rsidRPr="0044524F">
        <w:rPr>
          <w:rFonts w:ascii="Times New Roman" w:hAnsi="Times New Roman"/>
          <w:color w:val="000000" w:themeColor="text1"/>
          <w:sz w:val="16"/>
          <w:szCs w:val="16"/>
          <w:lang w:eastAsia="ru-RU" w:bidi="ru-RU"/>
        </w:rPr>
        <w:softHyphen/>
        <w:t>ляжа для бомб калибром до 50 кг и кас</w:t>
      </w:r>
      <w:r w:rsidRPr="0044524F">
        <w:rPr>
          <w:rFonts w:ascii="Times New Roman" w:hAnsi="Times New Roman"/>
          <w:color w:val="000000" w:themeColor="text1"/>
          <w:sz w:val="16"/>
          <w:szCs w:val="16"/>
          <w:lang w:eastAsia="ru-RU" w:bidi="ru-RU"/>
        </w:rPr>
        <w:softHyphen/>
        <w:t>сет мелких бомб внутри крыла». По рас</w:t>
      </w:r>
      <w:r w:rsidRPr="0044524F">
        <w:rPr>
          <w:rFonts w:ascii="Times New Roman" w:hAnsi="Times New Roman"/>
          <w:color w:val="000000" w:themeColor="text1"/>
          <w:sz w:val="16"/>
          <w:szCs w:val="16"/>
          <w:lang w:eastAsia="ru-RU" w:bidi="ru-RU"/>
        </w:rPr>
        <w:softHyphen/>
        <w:t>четам пассажирский вариант должен был иметь на 4-5% выше максимальную ско</w:t>
      </w:r>
      <w:r w:rsidRPr="0044524F">
        <w:rPr>
          <w:rFonts w:ascii="Times New Roman" w:hAnsi="Times New Roman"/>
          <w:color w:val="000000" w:themeColor="text1"/>
          <w:sz w:val="16"/>
          <w:szCs w:val="16"/>
          <w:lang w:eastAsia="ru-RU" w:bidi="ru-RU"/>
        </w:rPr>
        <w:softHyphen/>
        <w:t>рость полета и более чем вдвое большую дальность полета.</w:t>
      </w:r>
    </w:p>
    <w:p w14:paraId="0FF64004"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Планом опытного строительства за</w:t>
      </w:r>
      <w:r w:rsidRPr="0044524F">
        <w:rPr>
          <w:rFonts w:ascii="Times New Roman" w:hAnsi="Times New Roman"/>
          <w:color w:val="000000" w:themeColor="text1"/>
          <w:sz w:val="16"/>
          <w:szCs w:val="16"/>
          <w:lang w:eastAsia="ru-RU" w:bidi="ru-RU"/>
        </w:rPr>
        <w:softHyphen/>
        <w:t>вода №39 предполагалась постройка в 1934 г. двух экземпляров самолета ТШ-3: первый - «выпуск к 1 апреля 1934 г.», второй - «выпуск в 1934 г.». Кроме того, «по заделу на 1935 г.» в плане значилась постройка эталона ТШ-3 для серийного производства и раз</w:t>
      </w:r>
      <w:r w:rsidRPr="0044524F">
        <w:rPr>
          <w:rFonts w:ascii="Times New Roman" w:hAnsi="Times New Roman"/>
          <w:color w:val="000000" w:themeColor="text1"/>
          <w:sz w:val="16"/>
          <w:szCs w:val="16"/>
          <w:lang w:eastAsia="ru-RU" w:bidi="ru-RU"/>
        </w:rPr>
        <w:softHyphen/>
        <w:t>работка для ТШ-3 «разрезного крыла».</w:t>
      </w:r>
    </w:p>
    <w:p w14:paraId="75028CDA"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Планом опытного строительства, ут</w:t>
      </w:r>
      <w:r w:rsidRPr="0044524F">
        <w:rPr>
          <w:rFonts w:ascii="Times New Roman" w:hAnsi="Times New Roman"/>
          <w:color w:val="000000" w:themeColor="text1"/>
          <w:sz w:val="16"/>
          <w:szCs w:val="16"/>
          <w:lang w:eastAsia="ru-RU" w:bidi="ru-RU"/>
        </w:rPr>
        <w:softHyphen/>
        <w:t>вержденного Советом Труда и Обороны 4 июля 1934 г., первый опытный экзем</w:t>
      </w:r>
      <w:r w:rsidRPr="0044524F">
        <w:rPr>
          <w:rFonts w:ascii="Times New Roman" w:hAnsi="Times New Roman"/>
          <w:color w:val="000000" w:themeColor="text1"/>
          <w:sz w:val="16"/>
          <w:szCs w:val="16"/>
          <w:lang w:eastAsia="ru-RU" w:bidi="ru-RU"/>
        </w:rPr>
        <w:softHyphen/>
        <w:t>пляр самолета ТШ-3 М-34 следовало предъявить на государственные испыта</w:t>
      </w:r>
      <w:r w:rsidRPr="0044524F">
        <w:rPr>
          <w:rFonts w:ascii="Times New Roman" w:hAnsi="Times New Roman"/>
          <w:color w:val="000000" w:themeColor="text1"/>
          <w:sz w:val="16"/>
          <w:szCs w:val="16"/>
          <w:lang w:eastAsia="ru-RU" w:bidi="ru-RU"/>
        </w:rPr>
        <w:softHyphen/>
        <w:t>ния к 1 ноября текущего года.</w:t>
      </w:r>
    </w:p>
    <w:p w14:paraId="7DE27842" w14:textId="77777777" w:rsidR="00A378B3" w:rsidRPr="0044524F" w:rsidRDefault="00A378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Всего построили два опытных экзем</w:t>
      </w:r>
      <w:r w:rsidRPr="0044524F">
        <w:rPr>
          <w:rFonts w:ascii="Times New Roman" w:hAnsi="Times New Roman"/>
          <w:color w:val="000000" w:themeColor="text1"/>
          <w:sz w:val="16"/>
          <w:szCs w:val="16"/>
          <w:lang w:eastAsia="ru-RU" w:bidi="ru-RU"/>
        </w:rPr>
        <w:softHyphen/>
        <w:t>пляра ТШ-3. Второй экземпляр получился более легким (на 35 кг) главным обра</w:t>
      </w:r>
      <w:r w:rsidRPr="0044524F">
        <w:rPr>
          <w:rFonts w:ascii="Times New Roman" w:hAnsi="Times New Roman"/>
          <w:color w:val="000000" w:themeColor="text1"/>
          <w:sz w:val="16"/>
          <w:szCs w:val="16"/>
          <w:lang w:eastAsia="ru-RU" w:bidi="ru-RU"/>
        </w:rPr>
        <w:softHyphen/>
        <w:t>зом за счет разницы весов винтомоторной группы, фюзеляжа, крыла, оперения, шасси (21062).</w:t>
      </w:r>
    </w:p>
    <w:p w14:paraId="742C7FEC" w14:textId="77777777" w:rsidR="00A378B3" w:rsidRPr="0044524F" w:rsidRDefault="00A378B3" w:rsidP="009654CF">
      <w:pPr>
        <w:spacing w:after="0" w:line="240" w:lineRule="auto"/>
        <w:jc w:val="both"/>
        <w:rPr>
          <w:rFonts w:ascii="Times New Roman" w:hAnsi="Times New Roman"/>
          <w:color w:val="000000" w:themeColor="text1"/>
          <w:sz w:val="16"/>
          <w:szCs w:val="16"/>
          <w:lang w:eastAsia="ru-RU" w:bidi="ru-RU"/>
        </w:rPr>
      </w:pPr>
    </w:p>
    <w:p w14:paraId="396253B7" w14:textId="77777777" w:rsidR="00290858" w:rsidRPr="0044524F" w:rsidRDefault="00290858"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июня 1933 состоялась макетная комиссия по ТШ-3 с двигателем М-34. 5 июня прошло совещание у начальника штаба ВВС Хрипина по вопросу рассмотре</w:t>
      </w:r>
      <w:r w:rsidRPr="0044524F">
        <w:rPr>
          <w:rFonts w:ascii="Times New Roman" w:hAnsi="Times New Roman"/>
          <w:color w:val="000000" w:themeColor="text1"/>
          <w:sz w:val="16"/>
          <w:szCs w:val="16"/>
        </w:rPr>
        <w:softHyphen/>
        <w:t>ния боевой схемы самолета ТШ-3 М-34.</w:t>
      </w:r>
    </w:p>
    <w:p w14:paraId="0C3256B2" w14:textId="77777777" w:rsidR="00290858" w:rsidRPr="0044524F" w:rsidRDefault="002908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Утвердили схему моноплана, уже представленную в полноразмерном маке</w:t>
      </w:r>
      <w:r w:rsidRPr="0044524F">
        <w:rPr>
          <w:rFonts w:ascii="Times New Roman" w:hAnsi="Times New Roman"/>
          <w:color w:val="000000" w:themeColor="text1"/>
          <w:sz w:val="16"/>
          <w:szCs w:val="16"/>
        </w:rPr>
        <w:softHyphen/>
        <w:t>те и проектных документах. Особые разногласия между конструкторами и представителями ВВС вызывал обзор для летчика и стрелка. По этой причине со стороны ЦКБ было высказано, что для выполнения задач, возлагаемых на штурмовой самолет в предъявленном проекте ТШ-3 об</w:t>
      </w:r>
      <w:r w:rsidRPr="0044524F">
        <w:rPr>
          <w:rFonts w:ascii="Times New Roman" w:hAnsi="Times New Roman"/>
          <w:color w:val="000000" w:themeColor="text1"/>
          <w:sz w:val="16"/>
          <w:szCs w:val="16"/>
        </w:rPr>
        <w:softHyphen/>
        <w:t>зор вперед-вниз является достаточным.</w:t>
      </w:r>
    </w:p>
    <w:p w14:paraId="02349B85" w14:textId="77777777" w:rsidR="00290858" w:rsidRPr="0044524F" w:rsidRDefault="002908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обсуждении макета присутствовал Борис Туржанский, который настаивал на необходимости сократить число пуле</w:t>
      </w:r>
      <w:r w:rsidRPr="0044524F">
        <w:rPr>
          <w:rFonts w:ascii="Times New Roman" w:hAnsi="Times New Roman"/>
          <w:color w:val="000000" w:themeColor="text1"/>
          <w:sz w:val="16"/>
          <w:szCs w:val="16"/>
        </w:rPr>
        <w:softHyphen/>
        <w:t>метов вперед до 6, считая плотность огня при этом вполне достаточной. Тем не менее, было решено на опытном образ</w:t>
      </w:r>
      <w:r w:rsidRPr="0044524F">
        <w:rPr>
          <w:rFonts w:ascii="Times New Roman" w:hAnsi="Times New Roman"/>
          <w:color w:val="000000" w:themeColor="text1"/>
          <w:sz w:val="16"/>
          <w:szCs w:val="16"/>
        </w:rPr>
        <w:softHyphen/>
        <w:t>це оставить все 10 пулеметов с тем, чтобы испытать плот</w:t>
      </w:r>
      <w:r w:rsidRPr="0044524F">
        <w:rPr>
          <w:rFonts w:ascii="Times New Roman" w:hAnsi="Times New Roman"/>
          <w:color w:val="000000" w:themeColor="text1"/>
          <w:sz w:val="16"/>
          <w:szCs w:val="16"/>
        </w:rPr>
        <w:softHyphen/>
        <w:t>ность огня и путем практического испытания определить действительно необходимое количество пулеметов.</w:t>
      </w:r>
    </w:p>
    <w:p w14:paraId="373F0147" w14:textId="77777777" w:rsidR="00290858" w:rsidRPr="0044524F" w:rsidRDefault="002908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ТШ-3 определялась как смешанная. Носо</w:t>
      </w:r>
      <w:r w:rsidRPr="0044524F">
        <w:rPr>
          <w:rFonts w:ascii="Times New Roman" w:hAnsi="Times New Roman"/>
          <w:color w:val="000000" w:themeColor="text1"/>
          <w:sz w:val="16"/>
          <w:szCs w:val="16"/>
        </w:rPr>
        <w:softHyphen/>
        <w:t>вая часть фюзеляжа в виде бронекоробки, собранной на болтах из плоских кусков гомогенной брони толщиной 5</w:t>
      </w:r>
      <w:r w:rsidRPr="0044524F">
        <w:rPr>
          <w:rFonts w:ascii="Times New Roman" w:hAnsi="Times New Roman"/>
          <w:color w:val="000000" w:themeColor="text1"/>
          <w:sz w:val="16"/>
          <w:szCs w:val="16"/>
        </w:rPr>
        <w:softHyphen/>
        <w:t>8 мм (поначалу по проекту 4-5 мм). Бронекоробка являлась конструктивным элементом самолета. Хвостовая часть фюзеляжа ферменная, с полотняной обшивкой. Крыло и оперение дюралевое с полотняной обшивкой. Шасси не- убирающееся, с резиновой пластинчатой амортизацией, колеса 900x200 мм в обтекателях (20362).</w:t>
      </w:r>
    </w:p>
    <w:p w14:paraId="0720D0F9" w14:textId="77777777" w:rsidR="00290858" w:rsidRPr="0044524F" w:rsidRDefault="00290858" w:rsidP="009654CF">
      <w:pPr>
        <w:spacing w:after="0" w:line="240" w:lineRule="auto"/>
        <w:jc w:val="both"/>
        <w:rPr>
          <w:rFonts w:ascii="Times New Roman" w:hAnsi="Times New Roman"/>
          <w:color w:val="000000" w:themeColor="text1"/>
          <w:sz w:val="16"/>
          <w:szCs w:val="16"/>
        </w:rPr>
      </w:pPr>
    </w:p>
    <w:p w14:paraId="639144C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июня 1933 М.М.Громов совершил первый полет на ТБ-4 (437,111).</w:t>
      </w:r>
    </w:p>
    <w:p w14:paraId="5707D76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62DED60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июня 1933 Н.М.Харламов писал Алмазову в письме N 967с о состоянии экспериментальных работ по самолетам и было указано, что в ЦАГИ имеется ТБ-6 - заканчивается постройка и выходит на испытания в ноябре, СК 2М34Н - не выходит, так как нет моторов и ДИП 2М34Н - нет пушки (1025,78).</w:t>
      </w:r>
    </w:p>
    <w:p w14:paraId="19C63F1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656FEA37" w14:textId="77777777" w:rsidR="00C75FEC" w:rsidRPr="0044524F" w:rsidRDefault="00C75F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июня 1933 самолёт И-14 по акту передали в ОЭЛИД ЦАГИ. Первые полёты выявили ряд недостатков, и 17 июля машину возвратили в ЗОК ЦАГИ для их устранения. До 30 сен</w:t>
      </w:r>
      <w:r w:rsidRPr="0044524F">
        <w:rPr>
          <w:rFonts w:ascii="Times New Roman" w:hAnsi="Times New Roman"/>
          <w:color w:val="000000" w:themeColor="text1"/>
          <w:sz w:val="16"/>
          <w:szCs w:val="16"/>
        </w:rPr>
        <w:softHyphen/>
        <w:t>тября на самолёте выполнили следующие работы: отрегулировали систему уборки и выпуска шасси; на отъёмных частях крыла перкалевую обшивку заменили гофрирован</w:t>
      </w:r>
      <w:r w:rsidRPr="0044524F">
        <w:rPr>
          <w:rFonts w:ascii="Times New Roman" w:hAnsi="Times New Roman"/>
          <w:color w:val="000000" w:themeColor="text1"/>
          <w:sz w:val="16"/>
          <w:szCs w:val="16"/>
        </w:rPr>
        <w:softHyphen/>
        <w:t>ной; установили масляный радиатор с увеличенной площадью охлаждения; передела</w:t>
      </w:r>
      <w:r w:rsidRPr="0044524F">
        <w:rPr>
          <w:rFonts w:ascii="Times New Roman" w:hAnsi="Times New Roman"/>
          <w:color w:val="000000" w:themeColor="text1"/>
          <w:sz w:val="16"/>
          <w:szCs w:val="16"/>
        </w:rPr>
        <w:softHyphen/>
        <w:t>ли выхлопной коллектор мотора. В связи с затруднениями, возникшими при доводке самолёта и срывом сроков передачи его на госиспытания (15.03.33), постановлением РВС СССР от 17.07.33 г. определили новый срок — 1.02.34 г.</w:t>
      </w:r>
    </w:p>
    <w:p w14:paraId="1179200B" w14:textId="77777777" w:rsidR="00C75FEC" w:rsidRPr="0044524F" w:rsidRDefault="00C75F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Учитывая то, что в Советском Союзе имелся лишь один экземпляр мотора </w:t>
      </w:r>
      <w:r w:rsidRPr="0044524F">
        <w:rPr>
          <w:rFonts w:ascii="Times New Roman" w:hAnsi="Times New Roman"/>
          <w:color w:val="000000" w:themeColor="text1"/>
          <w:sz w:val="16"/>
          <w:szCs w:val="16"/>
          <w:lang w:val="en-US"/>
        </w:rPr>
        <w:t>Bristol</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Mer</w:t>
      </w:r>
      <w:r w:rsidRPr="0044524F">
        <w:rPr>
          <w:rFonts w:ascii="Times New Roman" w:hAnsi="Times New Roman"/>
          <w:color w:val="000000" w:themeColor="text1"/>
          <w:sz w:val="16"/>
          <w:szCs w:val="16"/>
        </w:rPr>
        <w:softHyphen/>
      </w:r>
      <w:r w:rsidRPr="0044524F">
        <w:rPr>
          <w:rFonts w:ascii="Times New Roman" w:hAnsi="Times New Roman"/>
          <w:color w:val="000000" w:themeColor="text1"/>
          <w:sz w:val="16"/>
          <w:szCs w:val="16"/>
          <w:lang w:val="en-US"/>
        </w:rPr>
        <w:t>cury</w:t>
      </w:r>
      <w:r w:rsidRPr="0044524F">
        <w:rPr>
          <w:rFonts w:ascii="Times New Roman" w:hAnsi="Times New Roman"/>
          <w:color w:val="000000" w:themeColor="text1"/>
          <w:sz w:val="16"/>
          <w:szCs w:val="16"/>
        </w:rPr>
        <w:t>, в июле 1933 г. в ЦАГИ приступили к постройке второго экземпляра И-14 или так на</w:t>
      </w:r>
      <w:r w:rsidRPr="0044524F">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44524F">
        <w:rPr>
          <w:rFonts w:ascii="Times New Roman" w:hAnsi="Times New Roman"/>
          <w:color w:val="000000" w:themeColor="text1"/>
          <w:sz w:val="16"/>
          <w:szCs w:val="16"/>
          <w:lang w:val="en-US"/>
        </w:rPr>
        <w:t>Wright</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CycloneF</w:t>
      </w:r>
      <w:r w:rsidRPr="0044524F">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6ECEF439" w14:textId="77777777" w:rsidR="00C75FEC" w:rsidRPr="0044524F" w:rsidRDefault="00C75FEC" w:rsidP="009654CF">
      <w:pPr>
        <w:spacing w:after="0" w:line="240" w:lineRule="auto"/>
        <w:jc w:val="both"/>
        <w:rPr>
          <w:rFonts w:ascii="Times New Roman" w:hAnsi="Times New Roman"/>
          <w:color w:val="000000" w:themeColor="text1"/>
          <w:sz w:val="16"/>
          <w:szCs w:val="16"/>
        </w:rPr>
      </w:pPr>
    </w:p>
    <w:p w14:paraId="147C31AF" w14:textId="77777777" w:rsidR="0044195E" w:rsidRPr="0044524F" w:rsidRDefault="0044195E"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3 июня 1933 самолет И-14 по акту передали в ОЭЛИД ЦАГИ. Первые полеты выявили ряд недостатков, и 17 июля машина была возвращена в ЗОК ЦАГИ для их устранения. До 30 сентября на самолете выполнили следующие работы: отрегулировали систему уборки и выпуска шасси; на отъемных частях крыла перкалевую обшивку заменили на гофрированную; установили масляный радиатор с увеличенной площадью охлаждения; переделали выхлопной коллектор мотора. В связи с затруднениями, возникшими при доводке самолета и срывом сроков передачи его на госиспытания (15.03.33), постановлением РВС СССР от 17.07.33 был определен новый срок – 1.02.34 г. (19177)</w:t>
      </w:r>
    </w:p>
    <w:p w14:paraId="7B8ACD87" w14:textId="77777777" w:rsidR="0044195E" w:rsidRPr="0044524F" w:rsidRDefault="0044195E" w:rsidP="009654CF">
      <w:pPr>
        <w:pStyle w:val="ae"/>
        <w:shd w:val="clear" w:color="auto" w:fill="FFFFFF"/>
        <w:spacing w:before="0" w:after="0"/>
        <w:jc w:val="both"/>
        <w:textAlignment w:val="baseline"/>
        <w:rPr>
          <w:color w:val="000000" w:themeColor="text1"/>
          <w:sz w:val="16"/>
          <w:szCs w:val="16"/>
        </w:rPr>
      </w:pPr>
    </w:p>
    <w:p w14:paraId="16FBB4C6"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июня 1933 года был утвержден Отчет По гос. испытаниям опытного самолета ДИ4 с мотором Кертисс Конкверор Е=7,5 N 521 Винт стандарт стиль Д=2,66 м. Шаг винта переменный. Испытания производись на 17,5 делений.</w:t>
      </w:r>
    </w:p>
    <w:p w14:paraId="5152C5C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6F7B3A5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самолет - Холодов И.</w:t>
      </w:r>
    </w:p>
    <w:p w14:paraId="6578FE0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Кокинаки</w:t>
      </w:r>
    </w:p>
    <w:p w14:paraId="6DB65331"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06A27A49"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 целью выяснения вопроса о целесообразности серийной постройки самолета.</w:t>
      </w:r>
    </w:p>
    <w:p w14:paraId="223A032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698F28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ДИ4 - Кертис Конкверор не может быть допущен к серийной постройке как не отвечающий требованиям к современным двухместным истребителям.</w:t>
      </w:r>
    </w:p>
    <w:p w14:paraId="549DC1D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 самолета ДИ4-КК</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4524F" w14:paraId="564BF59D" w14:textId="77777777">
        <w:tc>
          <w:tcPr>
            <w:tcW w:w="2818" w:type="dxa"/>
          </w:tcPr>
          <w:p w14:paraId="43226545"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мая 1933 года</w:t>
            </w:r>
          </w:p>
        </w:tc>
        <w:tc>
          <w:tcPr>
            <w:tcW w:w="2818" w:type="dxa"/>
          </w:tcPr>
          <w:p w14:paraId="1993CDD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Перелет в Щелково</w:t>
            </w:r>
          </w:p>
        </w:tc>
      </w:tr>
      <w:tr w:rsidR="004E10C1" w:rsidRPr="0044524F" w14:paraId="02929E38" w14:textId="77777777">
        <w:tc>
          <w:tcPr>
            <w:tcW w:w="2818" w:type="dxa"/>
          </w:tcPr>
          <w:p w14:paraId="3B1A5955"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мая 1933 года</w:t>
            </w:r>
          </w:p>
        </w:tc>
        <w:tc>
          <w:tcPr>
            <w:tcW w:w="2818" w:type="dxa"/>
          </w:tcPr>
          <w:p w14:paraId="7CE1EEC9"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Фактическое начало испытаний</w:t>
            </w:r>
          </w:p>
        </w:tc>
      </w:tr>
      <w:tr w:rsidR="004E10C1" w:rsidRPr="0044524F" w14:paraId="0BA5C6F1" w14:textId="77777777">
        <w:tc>
          <w:tcPr>
            <w:tcW w:w="2818" w:type="dxa"/>
          </w:tcPr>
          <w:p w14:paraId="4DCC6DE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мая 1933 года</w:t>
            </w:r>
          </w:p>
        </w:tc>
        <w:tc>
          <w:tcPr>
            <w:tcW w:w="2818" w:type="dxa"/>
          </w:tcPr>
          <w:p w14:paraId="36A24E6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Фактическое окончание испытаний</w:t>
            </w:r>
          </w:p>
        </w:tc>
      </w:tr>
    </w:tbl>
    <w:p w14:paraId="71CDCE0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испытание 15 календарных дней, из них летных 8 дней.</w:t>
      </w:r>
    </w:p>
    <w:p w14:paraId="7F652759"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время нахождения самолета в НИИ ВВС налетано 13 час. 25 мин.</w:t>
      </w:r>
    </w:p>
    <w:p w14:paraId="66A36EA6"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Сделано посадок - 19 (3914).</w:t>
      </w:r>
    </w:p>
    <w:p w14:paraId="26D8D71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67C109DD"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3A44211"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F877DC2"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июня 1933 г. в записке начальника ГВМУ И.П.Павлуновского Наркому Тяжелой промышленности Серго Орджони</w:t>
      </w:r>
      <w:r w:rsidRPr="0044524F">
        <w:rPr>
          <w:rFonts w:ascii="Times New Roman" w:hAnsi="Times New Roman"/>
          <w:color w:val="000000" w:themeColor="text1"/>
          <w:sz w:val="16"/>
          <w:szCs w:val="16"/>
        </w:rPr>
        <w:softHyphen/>
        <w:t>кидзе говорилось о причинах невыполнения артиллерий</w:t>
      </w:r>
      <w:r w:rsidRPr="0044524F">
        <w:rPr>
          <w:rFonts w:ascii="Times New Roman" w:hAnsi="Times New Roman"/>
          <w:color w:val="000000" w:themeColor="text1"/>
          <w:sz w:val="16"/>
          <w:szCs w:val="16"/>
        </w:rPr>
        <w:softHyphen/>
        <w:t>скими заводами производственной программы:</w:t>
      </w:r>
    </w:p>
    <w:p w14:paraId="0BF077C9"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последние годы проделана большая работа по техническо</w:t>
      </w:r>
      <w:r w:rsidRPr="0044524F">
        <w:rPr>
          <w:rFonts w:ascii="Times New Roman" w:hAnsi="Times New Roman"/>
          <w:color w:val="000000" w:themeColor="text1"/>
          <w:sz w:val="16"/>
          <w:szCs w:val="16"/>
        </w:rPr>
        <w:softHyphen/>
        <w:t>му переоснащению орудийных заводов. Завезено громадное ко</w:t>
      </w:r>
      <w:r w:rsidRPr="0044524F">
        <w:rPr>
          <w:rFonts w:ascii="Times New Roman" w:hAnsi="Times New Roman"/>
          <w:color w:val="000000" w:themeColor="text1"/>
          <w:sz w:val="16"/>
          <w:szCs w:val="16"/>
        </w:rPr>
        <w:softHyphen/>
        <w:t>личество нового импортного оборудования, а такие заводы как «Баррикады» и строящийся Сормовский целиком оснащены но</w:t>
      </w:r>
      <w:r w:rsidRPr="0044524F">
        <w:rPr>
          <w:rFonts w:ascii="Times New Roman" w:hAnsi="Times New Roman"/>
          <w:color w:val="000000" w:themeColor="text1"/>
          <w:sz w:val="16"/>
          <w:szCs w:val="16"/>
        </w:rPr>
        <w:softHyphen/>
        <w:t>вой техникой. Основная проблема — отсутствие налаженного технологического процесса массового производства.</w:t>
      </w:r>
    </w:p>
    <w:p w14:paraId="23301AAF"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Орудийные заводы и до настоящего времени производят свою продукцию в основном теми же методами, которыми орудия де</w:t>
      </w:r>
      <w:r w:rsidRPr="0044524F">
        <w:rPr>
          <w:rFonts w:ascii="Times New Roman" w:hAnsi="Times New Roman"/>
          <w:color w:val="000000" w:themeColor="text1"/>
          <w:sz w:val="16"/>
          <w:szCs w:val="16"/>
        </w:rPr>
        <w:softHyphen/>
        <w:t>лались десятки лет назад. Слишком много усилий тратится на пригонки-притирки деталей. Операции эти, как правило, осуще</w:t>
      </w:r>
      <w:r w:rsidRPr="0044524F">
        <w:rPr>
          <w:rFonts w:ascii="Times New Roman" w:hAnsi="Times New Roman"/>
          <w:color w:val="000000" w:themeColor="text1"/>
          <w:sz w:val="16"/>
          <w:szCs w:val="16"/>
        </w:rPr>
        <w:softHyphen/>
        <w:t>ствляются без технических приспособлений, вручную, и требуют большого количества высококвалифицированных рабочих. На каждую пушку, от мартена до завершения сборки, уходит не меньше 8 месяцев.</w:t>
      </w:r>
    </w:p>
    <w:p w14:paraId="077C7C0D"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Орудийные заводы превращаются в склады неукомплектован</w:t>
      </w:r>
      <w:r w:rsidRPr="0044524F">
        <w:rPr>
          <w:rFonts w:ascii="Times New Roman" w:hAnsi="Times New Roman"/>
          <w:color w:val="000000" w:themeColor="text1"/>
          <w:sz w:val="16"/>
          <w:szCs w:val="16"/>
        </w:rPr>
        <w:softHyphen/>
        <w:t>ных деталей, или, лучше сказать, кустарные мастерские. Напри</w:t>
      </w:r>
      <w:r w:rsidRPr="0044524F">
        <w:rPr>
          <w:rFonts w:ascii="Times New Roman" w:hAnsi="Times New Roman"/>
          <w:color w:val="000000" w:themeColor="text1"/>
          <w:sz w:val="16"/>
          <w:szCs w:val="16"/>
        </w:rPr>
        <w:softHyphen/>
        <w:t>мер, на заводе № 8 изготовлено орудийных тел и деталей на 800 систем, а сдано на вооружение только 45 систем. Остальные си</w:t>
      </w:r>
      <w:r w:rsidRPr="0044524F">
        <w:rPr>
          <w:rFonts w:ascii="Times New Roman" w:hAnsi="Times New Roman"/>
          <w:color w:val="000000" w:themeColor="text1"/>
          <w:sz w:val="16"/>
          <w:szCs w:val="16"/>
        </w:rPr>
        <w:softHyphen/>
        <w:t>стемы никак не могут отладить.</w:t>
      </w:r>
    </w:p>
    <w:p w14:paraId="4DAFB558"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Заводы сравнительно быстро справляются с изготовлением опытных образцов, которые, действительно, требуют много руч</w:t>
      </w:r>
      <w:r w:rsidRPr="0044524F">
        <w:rPr>
          <w:rFonts w:ascii="Times New Roman" w:hAnsi="Times New Roman"/>
          <w:color w:val="000000" w:themeColor="text1"/>
          <w:sz w:val="16"/>
          <w:szCs w:val="16"/>
        </w:rPr>
        <w:softHyphen/>
        <w:t>ной работы, но как только дело доходит до массового производ</w:t>
      </w:r>
      <w:r w:rsidRPr="0044524F">
        <w:rPr>
          <w:rFonts w:ascii="Times New Roman" w:hAnsi="Times New Roman"/>
          <w:color w:val="000000" w:themeColor="text1"/>
          <w:sz w:val="16"/>
          <w:szCs w:val="16"/>
        </w:rPr>
        <w:softHyphen/>
        <w:t>ства, установленные сроки не выдерживаются. Так, опытный образец 180 мм. пушки заводом «Большевик» был изготовлен в те чение 12-13 месяцев. Организация серийного производства затя</w:t>
      </w:r>
      <w:r w:rsidRPr="0044524F">
        <w:rPr>
          <w:rFonts w:ascii="Times New Roman" w:hAnsi="Times New Roman"/>
          <w:color w:val="000000" w:themeColor="text1"/>
          <w:sz w:val="16"/>
          <w:szCs w:val="16"/>
        </w:rPr>
        <w:softHyphen/>
        <w:t>нулась на 3 года.</w:t>
      </w:r>
    </w:p>
    <w:p w14:paraId="68CCDAC4"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Положение можно было бы исправить, разработав соответст</w:t>
      </w:r>
      <w:r w:rsidRPr="0044524F">
        <w:rPr>
          <w:rFonts w:ascii="Times New Roman" w:hAnsi="Times New Roman"/>
          <w:color w:val="000000" w:themeColor="text1"/>
          <w:sz w:val="16"/>
          <w:szCs w:val="16"/>
        </w:rPr>
        <w:softHyphen/>
        <w:t>вующие базы обмера наиболее ответственных деталей, а также систему допусков для лекального инструмента. Следует также наладить кооперацию с гражданскими металлообрабатывающими предприятиями, имеющими опыт массового производства техни</w:t>
      </w:r>
      <w:r w:rsidRPr="0044524F">
        <w:rPr>
          <w:rFonts w:ascii="Times New Roman" w:hAnsi="Times New Roman"/>
          <w:color w:val="000000" w:themeColor="text1"/>
          <w:sz w:val="16"/>
          <w:szCs w:val="16"/>
        </w:rPr>
        <w:softHyphen/>
        <w:t>чески сложной продукции» (РГАЭ ф. 7297, оп. 38, д. 170, л. 12) (1566,87).</w:t>
      </w:r>
    </w:p>
    <w:p w14:paraId="15F17D54" w14:textId="77777777" w:rsidR="00C76194" w:rsidRPr="0044524F" w:rsidRDefault="00C7619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7A0FF" w14:textId="77777777" w:rsidR="00290858" w:rsidRPr="0044524F" w:rsidRDefault="00290858" w:rsidP="009654CF">
      <w:pPr>
        <w:pStyle w:val="Default"/>
        <w:jc w:val="both"/>
        <w:rPr>
          <w:color w:val="000000" w:themeColor="text1"/>
          <w:sz w:val="16"/>
          <w:szCs w:val="16"/>
        </w:rPr>
      </w:pPr>
      <w:r w:rsidRPr="0044524F">
        <w:rPr>
          <w:color w:val="000000" w:themeColor="text1"/>
          <w:sz w:val="16"/>
          <w:szCs w:val="16"/>
        </w:rPr>
        <w:t>3 июня 1933 г. начальник ГВМУ И. П. Павлуновский в записке, адресованной Наркому тяжелой промышленности С. Орджоникидзе от, так объяснял причины срыва производственной программы по выпуску артиллерийских орудий:</w:t>
      </w:r>
    </w:p>
    <w:p w14:paraId="06B83B32" w14:textId="77777777" w:rsidR="00290858" w:rsidRPr="0044524F" w:rsidRDefault="00290858" w:rsidP="009654CF">
      <w:pPr>
        <w:pStyle w:val="Default"/>
        <w:jc w:val="both"/>
        <w:rPr>
          <w:color w:val="000000" w:themeColor="text1"/>
          <w:sz w:val="16"/>
          <w:szCs w:val="16"/>
        </w:rPr>
      </w:pPr>
      <w:r w:rsidRPr="0044524F">
        <w:rPr>
          <w:color w:val="000000" w:themeColor="text1"/>
          <w:sz w:val="16"/>
          <w:szCs w:val="16"/>
        </w:rPr>
        <w:t>«За последние годы проделана большая работа по техническому переоснащению орудийных заводов. … Основная проблема – отсутствие налаженного технологического процесса массового производства. Орудийные заводы и до настоящего времени производят свою продукцию в основном теми же методами, которыми орудия делались десятки лет назад. Слишком много усилий тратится на пригонки-притирки деталей. Операции эти, как правило, осуществляются без технических приспособлений, вручную, и требуют большого количества высококвалифицированных рабочих… Заводы сравнительно быстро справляются с изготовлением опытных образцов, которые, действительно, требуют много ручной работы, но как только дело доходит до массового производства, установленные сроки не выдерживаются…».</w:t>
      </w:r>
    </w:p>
    <w:p w14:paraId="64C397A6" w14:textId="77777777" w:rsidR="00290858" w:rsidRPr="0044524F" w:rsidRDefault="0029085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Такая оценка состояния военной промышленности ее руководством в целом характеризовала и состояние дел на оборонных предприятиях Ленинграда. При этом, конечно, с поправкой на специфику, возможности и усилия каждого конкретного завода (20074).</w:t>
      </w:r>
    </w:p>
    <w:p w14:paraId="3E9D94C5" w14:textId="77777777" w:rsidR="00290858" w:rsidRPr="0044524F" w:rsidRDefault="00290858" w:rsidP="009654CF">
      <w:pPr>
        <w:autoSpaceDE w:val="0"/>
        <w:autoSpaceDN w:val="0"/>
        <w:adjustRightInd w:val="0"/>
        <w:spacing w:after="0" w:line="240" w:lineRule="auto"/>
        <w:jc w:val="both"/>
        <w:rPr>
          <w:rFonts w:ascii="Times New Roman" w:hAnsi="Times New Roman"/>
          <w:color w:val="000000" w:themeColor="text1"/>
          <w:sz w:val="16"/>
          <w:szCs w:val="16"/>
        </w:rPr>
      </w:pPr>
    </w:p>
    <w:p w14:paraId="6C61B71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июня 1933 нач. ГВМУ И.П.Павлуновский писал Серго записку и причинах невыполнения артиллерийскими заводами производственной программы. Оборудование завезено по импорту и основная причина - отсутствие налаженного технологического процесса массового производства (1566,87).</w:t>
      </w:r>
    </w:p>
    <w:p w14:paraId="7BBAA4D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42525C5D"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6CAE45A8"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4B3311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июня 1933 г. в Москве состоялась беседа между Крестинским и Дирксеном, в которой как бы была проведена инвентаризация всего комплекса советско-германских отношений. Дирксен как раз тогда вернулся в Москву после 10-дневной поездки в Берлин, где он виделся практически со всеми членами германского кабинета, включая самого Гитлера и президента Гинденбурга, и неоднократно совещался с Нойратом и Бломбергом. Согласно записи Крестинского, германский дипломат задал в лоб вопрос о том, «наступило ли у правящих кругов СССР отчуждение по отношению к Германии, изменил ли СССР коренным образом свою внешнюю политику, или же у нас наблюдается лишь выжидание, как пойдет дальнейшее внутреннее, и внешнее развитие Германии». В этой же связи Дирксен отметил, что «не меньше сомнений вызывает у германской стороны отношение нашего Реввоенсовета к той военной работе, которая германским рейхсвером велась до сих пор в СССР». Дирксен указал на то, что несмотря на прежнее дружелюбие Ворошилова и хороший прием Боккельберга, «решение о прекращении совместного производства военно-химических опытов &lt;...&gt; остается в силе. Мало того, сделан дальнейший шаг — прекращается танковая работа. Делается это без попытки объяснить немцам мотивы прекращения. Heвольно возникает вопрос, не оказывают ли французы давления на нас в смысле отказа немцам в той технической помощи, которую они от нас имели». Крестинский заявил, что Москва не хочет менять линию своей политики по отношению к Берлину, но она не может не считаться с поведением Германии по отношению к СССР, которая сначала пыталась принять активное участие в создании антисоветского блока, но из-за неудачи этой попытки вынуждена была сманеврировать, заявив о желании продолжать прежнюю политику, и даже сделать некоторые шаги в этом направлении. В данной связи правительство СССР «не может не относиться настороженно и выжидательно к зигзагам германской внешней политики». Сближение же с Францией, Польшей, другими государствами «не направлено против Германии, а имеет целью противодействие образованию антисоветского блока». Относительно прекращения военного сотрудничества Крестинский заявил: «Неосновательно предположение Дирксена о том, что наше военное ведомство свертывает совместную работу с рейхсвером под давлением франпра. Никаких разговоров об этом с франпра у нас не было. Но мы вынуждены считаться с тем, что о работе рейхсвера на территории СССР известно правительствам Антанты. Ведь и франпра открыто заявляло, что фон Папен, предлагая Франции союз против СССР, рассказал подробно о взаимоотношениях между рейхсвером и Красной Армией. При таких условиях, чтобы избежать обвинения нас в Женеве на конференции по разоружению в неискренности и в действиях, идущих вразрез с нашими предложениями (Имелись советские проект резолюции о всеобщем и полном разоружении, а также проект конвенции о частичном (пропорциональном) сокращении вооружений. Подробнее см.: Хайцман В. М. Указ, соч., с. 33), Реввоенсовет счел себя вынужденным пойти на прекращение совместной работы &lt;...&gt;. Это вынужденный, совершенно разумный шаг, ни в коем случае не продиктованный враждебностью к Германии» (АВП РФ, ф. 082, оп. 16, п. 71, д. 1, л. 228-233.) (11784).</w:t>
      </w:r>
    </w:p>
    <w:p w14:paraId="19704C1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04245332" w14:textId="77777777" w:rsidR="00F17F30" w:rsidRPr="0044524F" w:rsidRDefault="00F17F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 июня 1933 г. в Москве состоялась беседа между Крестинским и Дирксеном, в которой как бы была проведена инвентаризация всего комплекса советско-германских отношений. Дирксен как раз тогда вернулся в Москву после 10-дневной поездки в Берлин, где он виделся практически со всеми членами германского кабинета, включая самого Гитлера и президента Гинденбурга, и неоднократно совещался с Нойратом и Бломбергом. Согласно записи Крестинского, германский дипломат задал в лоб вопрос о том,</w:t>
      </w:r>
    </w:p>
    <w:p w14:paraId="00985F2A" w14:textId="77777777" w:rsidR="00F17F30" w:rsidRPr="0044524F" w:rsidRDefault="00F17F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«наступило ли у правящих кругов СССР отчуждение по отношению к Германии, изменил ли СССР коренным образом свою внешнюю политику, или же у нас наблюдается лишь выжидание, как пойдет дальнейшее внутреннее, и внешнее развитие Германии».</w:t>
      </w:r>
    </w:p>
    <w:p w14:paraId="708771FF" w14:textId="77777777" w:rsidR="00F17F30" w:rsidRPr="0044524F" w:rsidRDefault="00F17F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этой же связи Дирксен отметил, что</w:t>
      </w:r>
    </w:p>
    <w:p w14:paraId="172D3622" w14:textId="77777777" w:rsidR="00F17F30" w:rsidRPr="0044524F" w:rsidRDefault="00F17F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меньше сомнений вызывает у германской стороны отношение нашего Реввоенсовета к той военной работе, которая германским рейхсвером велась до сих пор в СССР».</w:t>
      </w:r>
    </w:p>
    <w:p w14:paraId="3C8263FC" w14:textId="77777777" w:rsidR="00F17F30" w:rsidRPr="0044524F" w:rsidRDefault="00F17F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Дирксен указал на то, что несмотря на прежнее дружелюбие Ворошилова и хороший прием Боккельберга,</w:t>
      </w:r>
    </w:p>
    <w:p w14:paraId="714285C6" w14:textId="77777777" w:rsidR="00F17F30" w:rsidRPr="0044524F" w:rsidRDefault="00F17F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о прекращении совместного производства военно-химических опытов &lt;…&gt; остается в силе. Мало того, сделан дальнейший шаг — прекращается танковая работа. Делается это без попытки объяснить немцам мотивы прекращения. Heвольно возникает вопрос, не оказывают ли французы давления на нас в смысле отказа немцам в той технической помощи, которую они от нас имели».</w:t>
      </w:r>
    </w:p>
    <w:p w14:paraId="2012E4DC" w14:textId="77777777" w:rsidR="00F17F30" w:rsidRPr="0044524F" w:rsidRDefault="00F17F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Крестинский заявил, что Москва не хочет менять линию своей политики по отношению к Берлину, но она не может не считаться с поведением Германии по отношению к СССР, которая сначала пыталась принять активное участие в создании антисоветского блока, но из-за неудачи этой попытки вынуждена была сманеврировать, заявив о желании продолжать прежнюю политику, и даже сделать некоторые шаги в этом направлении. В данной связи правительство СССР «не может не относиться настороженно и выжидательно к зигзагам германской внешней политики». Сближение же с Францией, Польшей, другими государствами «не направлено против Германии, а имеет целью противодействие образованию антисоветского блока».</w:t>
      </w:r>
    </w:p>
    <w:p w14:paraId="0FE27D01" w14:textId="77777777" w:rsidR="00F17F30" w:rsidRPr="0044524F" w:rsidRDefault="00F17F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Относительно прекращения военного сотрудничества Крестинский заявил:</w:t>
      </w:r>
    </w:p>
    <w:p w14:paraId="7EE241DD" w14:textId="77777777" w:rsidR="00F17F30" w:rsidRPr="0044524F" w:rsidRDefault="00F17F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«Неосновательно предположение Дирксена о том, что наше военное ведомство свертывает совместную работу с рейхсвером под давлением франпра</w:t>
      </w:r>
      <w:hyperlink r:id="rId198" w:anchor="n_459" w:history="1">
        <w:r w:rsidRPr="0044524F">
          <w:rPr>
            <w:rStyle w:val="a5"/>
            <w:rFonts w:ascii="Times New Roman" w:hAnsi="Times New Roman"/>
            <w:color w:val="000000" w:themeColor="text1"/>
            <w:sz w:val="16"/>
            <w:szCs w:val="16"/>
          </w:rPr>
          <w:t>[459]</w:t>
        </w:r>
      </w:hyperlink>
      <w:r w:rsidRPr="0044524F">
        <w:rPr>
          <w:rFonts w:ascii="Times New Roman" w:hAnsi="Times New Roman"/>
          <w:color w:val="000000" w:themeColor="text1"/>
          <w:sz w:val="16"/>
          <w:szCs w:val="16"/>
        </w:rPr>
        <w:t>. Никаких разговоров об этом с франпра у нас не было. Но мы вынуждены считаться с тем, что о работе рейхсвера на территории СССР известно правительствам Антанты. Ведь и франпра открыто заявляло, что фон Папен, предлагая Франции союз против СССР, рассказал подробно о взаимоотношениях между рейхсвером и Красной Армией. При таких условиях, чтобы избежать обвинения нас в Женеве на конференции по разоружению в неискренности и в действиях, идущих вразрез с нашими предложениями, Реввоенсовет счел себя вынужденным пойти на прекращение совместной работы &lt;…&gt;. Это вынужденный, совершенно разумный шаг, ни в коем случае не продиктованный враждебностью к Германии» (18265).</w:t>
      </w:r>
    </w:p>
    <w:p w14:paraId="4905A575" w14:textId="77777777" w:rsidR="00F17F30" w:rsidRPr="0044524F" w:rsidRDefault="00F17F30" w:rsidP="009654CF">
      <w:pPr>
        <w:spacing w:after="0" w:line="240" w:lineRule="auto"/>
        <w:jc w:val="both"/>
        <w:rPr>
          <w:rFonts w:ascii="Times New Roman" w:hAnsi="Times New Roman"/>
          <w:color w:val="000000" w:themeColor="text1"/>
          <w:sz w:val="16"/>
          <w:szCs w:val="16"/>
        </w:rPr>
      </w:pPr>
    </w:p>
    <w:p w14:paraId="78A9622D"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5284F09"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66CDB5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июня 1933 Джеймс Маттерн на самолете Локхид "Вега" "Century of Progress" стартовал из Нью-Йорка. Однако, его возвращение домой состоялось намного позднее. 7-го июня, преодолев большую часть территории СССР, Маттерн вылетел из Хабаровска в направлении Берингова пролива. Практически на самом краю необъятной русской территории, в районе поселка Анадырь, он был вынужден совершить посадку по причине неустойчивой работы двигателя. Приземление оказалось неудачным^ самолета были сломаны стойки шасси. Девять суток пилот бедствовал, питаясь шоколадом из бортового пайка. Затем он перебрался на берег реки Анадырь, где на 12-е сутки после исчезновения его обнаружили местные жители. О нахождении Маттерна сообщили властям, которые приняли решение доставить его домой на советском самолете. Дело считалось срочным, ибо американская пресса уже предполагала, что беднягу Маттерна съели местные туземцы.</w:t>
      </w:r>
    </w:p>
    <w:p w14:paraId="5926A47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Вывезти неудачливого американца поручили Сигизмунду Леваневскому, который незадолго до описываемых событий перегнал на Дальний Восток из Севастополя летающую лодку Дорнье "Валь" СССР-Н8.</w:t>
      </w:r>
    </w:p>
    <w:p w14:paraId="3A80549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кратчайшие сроки экипаж Леваневского сменил на Дорнье "Валь" изношенные двигатели и в начале августа вылетел из Хабаровска. В тяжелых метеоусловиях экипаж совершил перелет по маршруту: Хабаровск - Николаевск - Охотск - бухта Нагаево - Янек - Пен- жинская губа - Марково - Анадырь. Захватив Маттерна и оборудование его машины, Леваневский 20 июля прибыл в Ном на Аляске. Возвращаясь назад, СССР-Н8 прошел вдоль северного побережья Чукотки и выполнил ряд ледовых разведок для судов Колымской экспедиции 1933 года. На заключительном этапе мар шрут пролегал вверх по Лене, затем по Ангаре в Иркутск, куда экипаж Н8 прибыл 24 сентября, пролетев свыше 37000 км. Таким образом, за весь летне-осенний вояж Леваневский преодолел расстояние, равнозначное по протяженности экваториальному перелету вокруг земного шара (11941).</w:t>
      </w:r>
    </w:p>
    <w:p w14:paraId="683A7CF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26D84A6C" w14:textId="77777777" w:rsidR="00C761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2ABEA66" w14:textId="77777777" w:rsidR="00C76194" w:rsidRPr="0044524F" w:rsidRDefault="00C761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84C2AB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июня 1933 года был подписан Протокол макетной комиссии по самолету ТШ-3</w:t>
      </w:r>
    </w:p>
    <w:p w14:paraId="0D106CC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осмотра макета самолета, рассмотрения технических требований к нему и данных эскизного проекта, представленных ЦКБ завода N 39 комиссия пришла к нижеследующим решениям:</w:t>
      </w:r>
    </w:p>
    <w:p w14:paraId="4A29D925"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боевой и аэродинамической схеме самолета:</w:t>
      </w:r>
    </w:p>
    <w:p w14:paraId="427C4BE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Мнение членов комиссии в отношении оценки схемы самолета разошлось. В итоге прений и заслушивания объяснений и обоснований выбора схемы сделанных С.В.И. и Кочергиным было выдвинуто два варианта решения:</w:t>
      </w:r>
    </w:p>
    <w:p w14:paraId="35782F7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Предъявленный макет самолета с точки зрения обзора как для летчика так и для наблюдателя с одной стороны, ухудшенной маневренности, благодаря монопланной с размахом 18 м конструкции и ухудшенной проходимости при подходе к цели с другой стороны, признать неудовлетворительным. Предложить ЦКБ предъявить другой макет, представив предварительно на утверждение несколько вариантов боевых схем.</w:t>
      </w:r>
    </w:p>
    <w:p w14:paraId="5EC0ABB6"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Предъявленный макет с внесенными, указанными ниже изменениями для улучшения обзора утвердить и принять к постройке.</w:t>
      </w:r>
    </w:p>
    <w:p w14:paraId="20883EA9"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Особое мнение ЦКБ - ЦКБ считает, что для выполнения задач возлагаемых на штурмовой самолет в предъявленном проекте самолета ТШ-3 обзор вперед - вниз является достаточным.</w:t>
      </w:r>
    </w:p>
    <w:p w14:paraId="25D88F3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w:t>
      </w:r>
    </w:p>
    <w:p w14:paraId="7FFA34A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Расхождение в мнениях членов комиссии по схеме самолета представить на разрешение начальнику ВВС.</w:t>
      </w:r>
    </w:p>
    <w:p w14:paraId="3CC39D9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расхождениям в требованиях</w:t>
      </w:r>
    </w:p>
    <w:p w14:paraId="3780EA3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 радиусе действия</w:t>
      </w:r>
    </w:p>
    <w:p w14:paraId="67A71E31"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тех. требованиям - тех. дальность - 385 км</w:t>
      </w:r>
    </w:p>
    <w:p w14:paraId="113E3D8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проекту - 470 км</w:t>
      </w:r>
    </w:p>
    <w:p w14:paraId="1BCC3ED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считает, что в связи с развитием задач поставленных перед штурмовой авиацией радиус действия указанный в тех. требованиях является явно неудовлетворительным.</w:t>
      </w:r>
    </w:p>
    <w:p w14:paraId="05927D5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w:t>
      </w:r>
    </w:p>
    <w:p w14:paraId="5FDE586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Просить начальника ВВС изменить тех. требования в сторону увеличения технической дальности самолета до 1000 км при полете на крейсерской скорости (при полной емкости баков - количество горючего должно быть не менее 400 кг). Разницу в весе горючего и дополнительных баков, каковые можно поместить и вне брони, отнести в счет перегрузки.</w:t>
      </w:r>
    </w:p>
    <w:p w14:paraId="6FF2484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 стрелковом вооружении.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E10C1" w:rsidRPr="0044524F" w14:paraId="604F84F3" w14:textId="77777777">
        <w:tc>
          <w:tcPr>
            <w:tcW w:w="3757" w:type="dxa"/>
          </w:tcPr>
          <w:p w14:paraId="3CCC867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тех. Требованиям</w:t>
            </w:r>
          </w:p>
        </w:tc>
        <w:tc>
          <w:tcPr>
            <w:tcW w:w="3757" w:type="dxa"/>
          </w:tcPr>
          <w:p w14:paraId="0D50656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пул. Шкасс вперед</w:t>
            </w:r>
          </w:p>
        </w:tc>
      </w:tr>
      <w:tr w:rsidR="004E10C1" w:rsidRPr="0044524F" w14:paraId="20699636" w14:textId="77777777">
        <w:tc>
          <w:tcPr>
            <w:tcW w:w="3757" w:type="dxa"/>
          </w:tcPr>
          <w:p w14:paraId="65AC384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AF7685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пул. Шкасс назад</w:t>
            </w:r>
          </w:p>
        </w:tc>
      </w:tr>
    </w:tbl>
    <w:p w14:paraId="0DB4649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Туржанский настаивает на необходимости сократить число пулеметов вперед до 6, считая плотность огня при этом вполне достаточной.</w:t>
      </w:r>
    </w:p>
    <w:p w14:paraId="5C83DFE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w:t>
      </w:r>
    </w:p>
    <w:p w14:paraId="4A32769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опытном образце оставить все 10 пулеметов вперед с тем, чтобы испытать плотность огня и путем практического испытания определить действительно необходимое количество пулеметов.</w:t>
      </w:r>
    </w:p>
    <w:p w14:paraId="0CFC637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варианте нагрузки из кассетниц с ручными гранатами.</w:t>
      </w:r>
    </w:p>
    <w:p w14:paraId="498163B6"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отсутствия действующих образцов конструкции просить начальника ВВС снять этот пункт техтребований.</w:t>
      </w:r>
    </w:p>
    <w:p w14:paraId="03DB2AE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бронировании кассетниц с осколочными бомбами.</w:t>
      </w:r>
    </w:p>
    <w:p w14:paraId="0A09244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виду малой эффективности даваемой броней в смысле безопасности просить начальника ВВС этот пункт снять.</w:t>
      </w:r>
    </w:p>
    <w:p w14:paraId="1BC17B2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автоматических предкрылках.</w:t>
      </w:r>
    </w:p>
    <w:p w14:paraId="689E6C5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Мотивировку отказа ЦКБ от установки предкрылков не принять. Допустить опытный самолет к выпуску без предкрылков. Обязать ЦКБ предкрылки установить на дублере.</w:t>
      </w:r>
    </w:p>
    <w:p w14:paraId="20AE67D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автоматической перезарядке пулеметов.</w:t>
      </w:r>
    </w:p>
    <w:p w14:paraId="5DD3A6E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Согласиться с установкой только механической перезарядки.</w:t>
      </w:r>
    </w:p>
    <w:p w14:paraId="1BB7FF42"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 перископическом прицеле.</w:t>
      </w:r>
    </w:p>
    <w:p w14:paraId="7CC8580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отсутствия перископического прицела в программе ВОМТа в 1933 году поставить вопрос через начальника ВВС о необходимости включения этого прицела в программу и обеспечения им штурмовой авиации.</w:t>
      </w:r>
    </w:p>
    <w:p w14:paraId="2CE6B2B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размещению оборудования.</w:t>
      </w:r>
    </w:p>
    <w:p w14:paraId="296378D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Перечисленные ниже размещения макета должны быть введены в случае принятия начальником ВВС решения о допущении сам. ТШ3 предъявленной ЦКБ схемы для постройки (3899,300-304).</w:t>
      </w:r>
    </w:p>
    <w:p w14:paraId="681F9FD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20436C0C"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июня 1933 года был подписан Протокол макетной комиссии по самолету И-15.</w:t>
      </w:r>
    </w:p>
    <w:p w14:paraId="5594CEA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макетной комиссии по самолету И-15 от 4 июня 1933 года.</w:t>
      </w:r>
    </w:p>
    <w:p w14:paraId="48C851F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осмотру макета и рассмотрению техтребований и данных эскизного проекта комиссия пришла к следующему:</w:t>
      </w:r>
    </w:p>
    <w:p w14:paraId="47FCD87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ожидаемым основным летным данным:</w:t>
      </w:r>
    </w:p>
    <w:p w14:paraId="4A08B9AD"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самолет проектируется под мотор Райт-Циклон, а техтребования даны были под мотор М-38 несмотря на то, что в отношении скорости требования не выполнены, считать, что самолет поставленным ему требованиям удовлетворяет.</w:t>
      </w:r>
    </w:p>
    <w:p w14:paraId="4BC7EC07"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величине пробега:</w:t>
      </w:r>
    </w:p>
    <w:p w14:paraId="4FB69BA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что пробег 80 м должен происходить при наличии тормозов.</w:t>
      </w:r>
    </w:p>
    <w:p w14:paraId="2B7DA6E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входе в штопор:</w:t>
      </w:r>
    </w:p>
    <w:p w14:paraId="0E792BAA"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самолет о общей схеме и расположению рулей дает некоторую уверенность, что в смысле штопора И-15 будет лучше И-5 просить начальника ВВС отменить в отношении И-15 требование относительно абсолютного не ввода машины в штопор.</w:t>
      </w:r>
    </w:p>
    <w:p w14:paraId="598CC54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Открывающуюся стойку сделать на опытной машине как страховочный вариант для исследований.</w:t>
      </w:r>
    </w:p>
    <w:p w14:paraId="0878978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558BC28"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0836F5E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учетом внесенных изменений в расположение оборудования предъявленный макет утверждается (3899,305-306).</w:t>
      </w:r>
    </w:p>
    <w:p w14:paraId="3F84F25E"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6A52CA4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июня 1933 г. на заседании макетной комиссии предлагалось строить первый опытный экземпляр И-15 с надвигающимся до середины кабины козырьком пилота, второй опытный - с полностью закрытым фонарем (как в эскизном проекте И-14а). Первый опытный ЦКБ-3 действительно попытались сделать с надвигающимся козырьком, однако в действии новшество показалось ненадежным и от него отказались. Впоследствии, ни надвигающихся козырьков, ни закрытого фонаря на И-15 не встречалось (6593).</w:t>
      </w:r>
    </w:p>
    <w:p w14:paraId="0525EBBF"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1AD1A07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июня 1933 г. на заседании макетной комиссии предлагалось строить первый опытный экземпляр ЦКБ-3 с надвигающимся до середины кабины козырьком пилота, второй опытный - с полностью закрытым фонарем (как в эскизном проекте И-14а). Первый опытный ЦКБ-3 действительно попытались сделать с надвигающимся козырьком, однако в действии новшество показалось ненадежным и от него отказались. Впоследствии, ни надвигающихся козырьков, ни закрытого фонаря на И-15 не встречалось (12014).</w:t>
      </w:r>
    </w:p>
    <w:p w14:paraId="77065AF5"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49DC65C2"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июня 1933 г. на заседании макетной комиссии предлагалось строить первый опытный образец истребителя с надвигающимся до середины кабины козырьком пилота, а второй - с полностью закрытым фонарём (как в эскизном проекте И-14а). На первом экземпляре ЦКБ-3 действительно Изготовление первого ЦКБ-3 завершили к осени. Рулёжки, первые подлёты и, естественно, доделки начались в октябре. Облётывал машину В.П. Чкалов. В ноябре выпал снег, поэтому колёса заменили на лыжи от истребителя И-2. Произошло это 18 ноября, а спустя пять дней случилась первая неприятность (12261).</w:t>
      </w:r>
    </w:p>
    <w:p w14:paraId="2738ADF4"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4476216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июня 1933 года Базилевич писал № 815/ко начальнику Резинового объединения Биткеру и начальнику Спецотдела НИИРП Экгауту</w:t>
      </w:r>
    </w:p>
    <w:p w14:paraId="02EBB234"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Харьковский автозавод постановлением КО от 4 июля 1932 года возложено срочное задание по изготовлению опытного образца самолета спецназначения.</w:t>
      </w:r>
    </w:p>
    <w:p w14:paraId="27202333"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Сейчас работы с самолетом задерживаются из-за неготовности колес-дутиков, изготовляемых заводом «Каучук».</w:t>
      </w:r>
    </w:p>
    <w:p w14:paraId="16F318C0"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указанию Молотова прошу принять меры к ускорению выпуска заводом «Каучук» потребных колес-дутиков (3530,130).</w:t>
      </w:r>
    </w:p>
    <w:p w14:paraId="0709313B" w14:textId="77777777" w:rsidR="00C76194" w:rsidRPr="0044524F" w:rsidRDefault="00C76194" w:rsidP="009654CF">
      <w:pPr>
        <w:autoSpaceDE w:val="0"/>
        <w:autoSpaceDN w:val="0"/>
        <w:adjustRightInd w:val="0"/>
        <w:spacing w:after="0" w:line="240" w:lineRule="auto"/>
        <w:jc w:val="both"/>
        <w:rPr>
          <w:rFonts w:ascii="Times New Roman" w:hAnsi="Times New Roman"/>
          <w:color w:val="000000" w:themeColor="text1"/>
          <w:sz w:val="16"/>
          <w:szCs w:val="16"/>
        </w:rPr>
      </w:pPr>
    </w:p>
    <w:p w14:paraId="06B24FBF"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1AA056B"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29E81B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июня 1933 вышло постановление СТО N 39/сс/о "О порядке утверждения титульных списков и планов ввода в эксплуатацию оборонного строительства" (2282).</w:t>
      </w:r>
    </w:p>
    <w:p w14:paraId="45E3D50D"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50712B50"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Наркоматы представлять на утверждение СТО годовые и квартальные титульные списки и планы ввода в эксплоатацию об"ектов оборонного строительства.</w:t>
      </w:r>
    </w:p>
    <w:p w14:paraId="209782DE"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Предложить Наркоматам копии титульных списков и планов ввода в эксплоатацию представлять одновременно в Госплан Союза на заключение последнего.</w:t>
      </w:r>
    </w:p>
    <w:p w14:paraId="6F843A37"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Установить, что оборонные титульные списки и планы ввода в эксплоатацию представляется не позднее, чем в те же сроки, в которые-представляются общие титульные, списки и планы ввода в эксплоатацию по народному хозяйству.</w:t>
      </w:r>
    </w:p>
    <w:p w14:paraId="3EBA3954"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Предложить нарксматам немедленно представить на утверндение СТО титульные списки и планы ввода в эксплоатацию на П-й кв.</w:t>
      </w:r>
    </w:p>
    <w:p w14:paraId="09363458"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НКТяжпром в 5-ти дневный срок представить на утверждение в СТО план ввода в эксплоатацию объектов военной и авиационной промышленности на 1933 г. (2228).</w:t>
      </w:r>
    </w:p>
    <w:p w14:paraId="7F82CBD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57D3CA74" w14:textId="77777777" w:rsidR="00550226"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730AB701" w14:textId="77777777" w:rsidR="00550226" w:rsidRPr="0044524F" w:rsidRDefault="0055022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1B8CA8" w14:textId="77777777" w:rsidR="00550226" w:rsidRPr="0044524F" w:rsidRDefault="00550226" w:rsidP="009654CF">
      <w:pPr>
        <w:pStyle w:val="rtejustify"/>
        <w:spacing w:before="0" w:after="0"/>
        <w:rPr>
          <w:color w:val="000000" w:themeColor="text1"/>
          <w:sz w:val="16"/>
          <w:szCs w:val="16"/>
        </w:rPr>
      </w:pPr>
      <w:r w:rsidRPr="0044524F">
        <w:rPr>
          <w:rStyle w:val="af0"/>
          <w:bCs/>
          <w:i w:val="0"/>
          <w:color w:val="000000" w:themeColor="text1"/>
          <w:sz w:val="16"/>
          <w:szCs w:val="16"/>
        </w:rPr>
        <w:t>4 июня</w:t>
      </w:r>
      <w:r w:rsidRPr="0044524F">
        <w:rPr>
          <w:color w:val="000000" w:themeColor="text1"/>
          <w:sz w:val="16"/>
          <w:szCs w:val="16"/>
        </w:rPr>
        <w:t xml:space="preserve"> 1933. Постановление СТО СССР № 40сс/о «О строительстве военно-морских баз в Мурманске». (ГА РФ. Ф. Р</w:t>
      </w:r>
      <w:r w:rsidRPr="0044524F">
        <w:rPr>
          <w:color w:val="000000" w:themeColor="text1"/>
          <w:sz w:val="16"/>
          <w:szCs w:val="16"/>
        </w:rPr>
        <w:noBreakHyphen/>
        <w:t>8418. Оп. 28. Д. 1. Л. 177</w:t>
      </w:r>
      <w:r w:rsidRPr="0044524F">
        <w:rPr>
          <w:color w:val="000000" w:themeColor="text1"/>
          <w:sz w:val="16"/>
          <w:szCs w:val="16"/>
        </w:rPr>
        <w:noBreakHyphen/>
        <w:t>178 об.) (15460).</w:t>
      </w:r>
    </w:p>
    <w:p w14:paraId="24F00D6E" w14:textId="77777777" w:rsidR="00550226" w:rsidRPr="0044524F" w:rsidRDefault="00550226" w:rsidP="009654CF">
      <w:pPr>
        <w:pStyle w:val="rtejustify"/>
        <w:spacing w:before="0" w:after="0"/>
        <w:rPr>
          <w:color w:val="000000" w:themeColor="text1"/>
          <w:sz w:val="16"/>
          <w:szCs w:val="16"/>
        </w:rPr>
      </w:pPr>
    </w:p>
    <w:p w14:paraId="28400D4E" w14:textId="77777777" w:rsidR="0044195E" w:rsidRPr="0044524F" w:rsidRDefault="0044195E"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C4B22BB" w14:textId="77777777" w:rsidR="0044195E" w:rsidRPr="0044524F" w:rsidRDefault="0044195E" w:rsidP="009654CF">
      <w:pPr>
        <w:autoSpaceDE w:val="0"/>
        <w:autoSpaceDN w:val="0"/>
        <w:adjustRightInd w:val="0"/>
        <w:spacing w:after="0" w:line="240" w:lineRule="auto"/>
        <w:jc w:val="both"/>
        <w:rPr>
          <w:rFonts w:ascii="Times New Roman" w:hAnsi="Times New Roman"/>
          <w:color w:val="000000" w:themeColor="text1"/>
          <w:sz w:val="16"/>
          <w:szCs w:val="16"/>
        </w:rPr>
      </w:pPr>
    </w:p>
    <w:p w14:paraId="29803F05" w14:textId="77777777" w:rsidR="0044195E" w:rsidRPr="0044524F" w:rsidRDefault="00441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июня - Газета "Вечерняя Москва" сообщала: "Единственное предприятие в СССР, производящее зонтики, находится в Москве, о - артель "Промзонт", входящая в систему секопромсовета. Вот уже два года, как артель наладила производство ЗОНТИКОВ, и выпускает их не только на внутренний рынок, но и для экспорта" (18722).</w:t>
      </w:r>
    </w:p>
    <w:p w14:paraId="37FE698D" w14:textId="77777777" w:rsidR="0044195E" w:rsidRPr="0044524F" w:rsidRDefault="0044195E" w:rsidP="009654CF">
      <w:pPr>
        <w:spacing w:after="0" w:line="240" w:lineRule="auto"/>
        <w:jc w:val="both"/>
        <w:rPr>
          <w:rFonts w:ascii="Times New Roman" w:hAnsi="Times New Roman"/>
          <w:color w:val="000000" w:themeColor="text1"/>
          <w:sz w:val="16"/>
          <w:szCs w:val="16"/>
        </w:rPr>
      </w:pPr>
    </w:p>
    <w:p w14:paraId="36240BAF"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FE0FAAA"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4FD072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 июня 1933 в Париже прошел Европейский антифашистский конгресс (3186).</w:t>
      </w:r>
    </w:p>
    <w:p w14:paraId="4A0924C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5BD41764"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2924D43"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1AAFFC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июня 1933 года состоялось Совещание у начальника штаба ВВС Хрипина по вопросу рассмотрения боевой схемы самолета ТШ3-М34 от</w:t>
      </w:r>
    </w:p>
    <w:p w14:paraId="482403B6"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рассмотрения боевой схемы самолета и анализа летно-тактических данных самолета постановлено:</w:t>
      </w:r>
    </w:p>
    <w:p w14:paraId="28AF256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Предъявленную боевую схему самолета (моноплан-низкоплан), как наиболее обеспечивающую основное требование к штурмовику -скорость и дающего достаточный обзор для стрельбы и бомбометания утвердить, обязав завод N 39 ввести в самолет все изменения, указанные в протоколе макетной комиссии от 4 июня 1933 года.</w:t>
      </w:r>
    </w:p>
    <w:p w14:paraId="623B84F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изменение технических требований к самолету подтвердить полученную в эскизном проекте самолета техническую дальность его полета с нормальной нагрузкой 470 км/час вместо 375 по техническим требованиям.</w:t>
      </w:r>
    </w:p>
    <w:p w14:paraId="2067C9D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необходимым увеличить емкость баков самолета до величины обеспечивающей ему тактическую дальность в 800 км, допустив размещение баков на 330 км вне брони.</w:t>
      </w:r>
    </w:p>
    <w:p w14:paraId="48B666F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опытном самолете считать уменьшение числа пулеметов нерациональным.</w:t>
      </w:r>
    </w:p>
    <w:p w14:paraId="1897E36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об установке на крыльях самолета автоматических предкрылков решить после представления заводом N 39 подсчетов на сколько кг увеличит вес конструкции самолета введение автоматических предкрылков (3899,298-299).</w:t>
      </w:r>
    </w:p>
    <w:p w14:paraId="15FA99B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67903E33" w14:textId="77777777" w:rsidR="00290858" w:rsidRPr="0044524F" w:rsidRDefault="00290858"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июня 1933 прошло совещание у начальника штаба ВВС Хрипина по вопросу рассмотре</w:t>
      </w:r>
      <w:r w:rsidRPr="0044524F">
        <w:rPr>
          <w:rFonts w:ascii="Times New Roman" w:hAnsi="Times New Roman"/>
          <w:color w:val="000000" w:themeColor="text1"/>
          <w:sz w:val="16"/>
          <w:szCs w:val="16"/>
        </w:rPr>
        <w:softHyphen/>
        <w:t>ния боевой схемы самолета ТШ-3 М-34.</w:t>
      </w:r>
    </w:p>
    <w:p w14:paraId="23AF0771" w14:textId="77777777" w:rsidR="00290858" w:rsidRPr="0044524F" w:rsidRDefault="002908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Утвердили схему моноплана, уже представленную в полноразмерном маке</w:t>
      </w:r>
      <w:r w:rsidRPr="0044524F">
        <w:rPr>
          <w:rFonts w:ascii="Times New Roman" w:hAnsi="Times New Roman"/>
          <w:color w:val="000000" w:themeColor="text1"/>
          <w:sz w:val="16"/>
          <w:szCs w:val="16"/>
        </w:rPr>
        <w:softHyphen/>
        <w:t>те и проектных документах. Особые разногласия между конструкторами и представителями ВВС вызывал обзор для летчика и стрелка. По этой причине со стороны ЦКБ было высказано, что для выполнения задач, возлагаемых на штурмовой самолет в предъявленном проекте ТШ-3 об</w:t>
      </w:r>
      <w:r w:rsidRPr="0044524F">
        <w:rPr>
          <w:rFonts w:ascii="Times New Roman" w:hAnsi="Times New Roman"/>
          <w:color w:val="000000" w:themeColor="text1"/>
          <w:sz w:val="16"/>
          <w:szCs w:val="16"/>
        </w:rPr>
        <w:softHyphen/>
        <w:t>зор вперед-вниз является достаточным.</w:t>
      </w:r>
    </w:p>
    <w:p w14:paraId="0CBD3685" w14:textId="77777777" w:rsidR="00290858" w:rsidRPr="0044524F" w:rsidRDefault="002908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обсуждении макета присутствовал Борис Туржанский, который настаивал на необходимости сократить число пуле</w:t>
      </w:r>
      <w:r w:rsidRPr="0044524F">
        <w:rPr>
          <w:rFonts w:ascii="Times New Roman" w:hAnsi="Times New Roman"/>
          <w:color w:val="000000" w:themeColor="text1"/>
          <w:sz w:val="16"/>
          <w:szCs w:val="16"/>
        </w:rPr>
        <w:softHyphen/>
        <w:t>метов вперед до 6, считая плотность огня при этом вполне достаточной. Тем не менее, было решено на опытном образ</w:t>
      </w:r>
      <w:r w:rsidRPr="0044524F">
        <w:rPr>
          <w:rFonts w:ascii="Times New Roman" w:hAnsi="Times New Roman"/>
          <w:color w:val="000000" w:themeColor="text1"/>
          <w:sz w:val="16"/>
          <w:szCs w:val="16"/>
        </w:rPr>
        <w:softHyphen/>
        <w:t>це оставить все 10 пулеметов с тем, чтобы испытать плот</w:t>
      </w:r>
      <w:r w:rsidRPr="0044524F">
        <w:rPr>
          <w:rFonts w:ascii="Times New Roman" w:hAnsi="Times New Roman"/>
          <w:color w:val="000000" w:themeColor="text1"/>
          <w:sz w:val="16"/>
          <w:szCs w:val="16"/>
        </w:rPr>
        <w:softHyphen/>
        <w:t>ность огня и путем практического испытания определить действительно необходимое количество пулеметов.</w:t>
      </w:r>
    </w:p>
    <w:p w14:paraId="51E15632" w14:textId="77777777" w:rsidR="00290858" w:rsidRPr="0044524F" w:rsidRDefault="002908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ТШ-3 определялась как смешанная. Носо</w:t>
      </w:r>
      <w:r w:rsidRPr="0044524F">
        <w:rPr>
          <w:rFonts w:ascii="Times New Roman" w:hAnsi="Times New Roman"/>
          <w:color w:val="000000" w:themeColor="text1"/>
          <w:sz w:val="16"/>
          <w:szCs w:val="16"/>
        </w:rPr>
        <w:softHyphen/>
        <w:t>вая часть фюзеляжа в виде бронекоробки, собранной на болтах из плоских кусков гомогенной брони толщиной 5</w:t>
      </w:r>
      <w:r w:rsidRPr="0044524F">
        <w:rPr>
          <w:rFonts w:ascii="Times New Roman" w:hAnsi="Times New Roman"/>
          <w:color w:val="000000" w:themeColor="text1"/>
          <w:sz w:val="16"/>
          <w:szCs w:val="16"/>
        </w:rPr>
        <w:softHyphen/>
        <w:t>8 мм (поначалу по проекту 4-5 мм). Бронекоробка являлась конструктивным элементом самолета. Хвостовая часть фюзеляжа ферменная, с полотняной обшивкой. Крыло и оперение дюралевое с полотняной обшивкой. Шасси не- убирающееся, с резиновой пластинчатой амортизацией, колеса 900x200 мм в обтекателях (20362).</w:t>
      </w:r>
    </w:p>
    <w:p w14:paraId="4CB499C0" w14:textId="77777777" w:rsidR="00290858" w:rsidRPr="0044524F" w:rsidRDefault="00290858" w:rsidP="009654CF">
      <w:pPr>
        <w:spacing w:after="0" w:line="240" w:lineRule="auto"/>
        <w:jc w:val="both"/>
        <w:rPr>
          <w:rFonts w:ascii="Times New Roman" w:hAnsi="Times New Roman"/>
          <w:color w:val="000000" w:themeColor="text1"/>
          <w:sz w:val="16"/>
          <w:szCs w:val="16"/>
        </w:rPr>
      </w:pPr>
    </w:p>
    <w:p w14:paraId="49E7D20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июня 1933 Нач. самолетного сектора НТОС ГУАП Машкевич писал в НИИ ВВС РККА нач. 7 сектора Горощенко письмо N 275/316с на письмо N 2/0646с от 22 мая 1933 о том, что на К-7 колеса размером 2000х450 фирмы Пальмер будут использованы только на заводских испытаниях с неполной нагрузкой. Для полетных испытаний К-7 будет снабжена специальными колесами дутиками... НИИ ВВС отмечал, что колеса показали недоброкачественность резины на ТБ-3</w:t>
      </w:r>
    </w:p>
    <w:p w14:paraId="5D713A7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Ваше отношение от 22 мая 1933 за № 2/0646с по вопросу непригодности для полетных испытаний самолета К-7 колес размером 2000 х 450 сообщаем, что этих колесах с-т К-7 будет производить только заводские испытания с неполной нагрузкой.</w:t>
      </w:r>
    </w:p>
    <w:p w14:paraId="5BDDFFD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полных испытаний с-та К-7, согласно проекта ГК т. Калинина, с-т будет снабжен специальными колесами “дутиками”. Для отливки этой резины завод “Проводник” снабжен уже готовой формой, вопрос идет сейчас о сроке изготовления заводом самой резины и ее испытании.</w:t>
      </w:r>
    </w:p>
    <w:p w14:paraId="6EABBB0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же касается второго вопроса затронутого Вами о колесах 1600 х 360, то таковые, согласно распоряжения Нач. ГУАП т. Баранова, выключены из стандартов и не будут производиться в 1933 г. (2306).</w:t>
      </w:r>
    </w:p>
    <w:p w14:paraId="4D3408E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6045CF9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5-го июня 1933 года «Савойю» № 10526 передали в Главное Управление северного морского пути (ГУСМП) и включили в Северо-восточную летную группу. Кроме нее в группу во</w:t>
      </w:r>
      <w:r w:rsidRPr="0044524F">
        <w:rPr>
          <w:rFonts w:ascii="Times New Roman" w:hAnsi="Times New Roman"/>
          <w:color w:val="000000" w:themeColor="text1"/>
          <w:sz w:val="16"/>
          <w:szCs w:val="16"/>
        </w:rPr>
        <w:softHyphen/>
        <w:t>шли самолеты Дорнье «Валь» СССР-Н8, ЮГ-1 СССР-Н4 и два У-2 СССР-Н14 и СССР-Н15. За</w:t>
      </w:r>
      <w:r w:rsidRPr="0044524F">
        <w:rPr>
          <w:rFonts w:ascii="Times New Roman" w:hAnsi="Times New Roman"/>
          <w:color w:val="000000" w:themeColor="text1"/>
          <w:sz w:val="16"/>
          <w:szCs w:val="16"/>
        </w:rPr>
        <w:softHyphen/>
        <w:t>дачами группы были поставлены: ледовая разведка для зимующих судов Колымской иорской экспедиции 1932 г., оказание помо</w:t>
      </w:r>
      <w:r w:rsidRPr="0044524F">
        <w:rPr>
          <w:rFonts w:ascii="Times New Roman" w:hAnsi="Times New Roman"/>
          <w:color w:val="000000" w:themeColor="text1"/>
          <w:sz w:val="16"/>
          <w:szCs w:val="16"/>
        </w:rPr>
        <w:softHyphen/>
        <w:t>ги и вывод дрейфующего во льдах парохода «Урицкий», установление связи с советской юлонией на о. Врангеля, глубокая ледовая разведка к северо-западу от Берингова про</w:t>
      </w:r>
      <w:r w:rsidRPr="0044524F">
        <w:rPr>
          <w:rFonts w:ascii="Times New Roman" w:hAnsi="Times New Roman"/>
          <w:color w:val="000000" w:themeColor="text1"/>
          <w:sz w:val="16"/>
          <w:szCs w:val="16"/>
        </w:rPr>
        <w:softHyphen/>
        <w:t>лива и в районах к северу и западу от о. Врангеля, к востоку от Новосибирских ост</w:t>
      </w:r>
      <w:r w:rsidRPr="0044524F">
        <w:rPr>
          <w:rFonts w:ascii="Times New Roman" w:hAnsi="Times New Roman"/>
          <w:color w:val="000000" w:themeColor="text1"/>
          <w:sz w:val="16"/>
          <w:szCs w:val="16"/>
        </w:rPr>
        <w:softHyphen/>
        <w:t>ровов. Начальником летной группы назначи</w:t>
      </w:r>
      <w:r w:rsidRPr="0044524F">
        <w:rPr>
          <w:rFonts w:ascii="Times New Roman" w:hAnsi="Times New Roman"/>
          <w:color w:val="000000" w:themeColor="text1"/>
          <w:sz w:val="16"/>
          <w:szCs w:val="16"/>
        </w:rPr>
        <w:softHyphen/>
        <w:t xml:space="preserve">ли Г.Д. Красинского. С этого момента в документах полярной авиации Савойю </w:t>
      </w:r>
      <w:r w:rsidRPr="0044524F">
        <w:rPr>
          <w:rFonts w:ascii="Times New Roman" w:hAnsi="Times New Roman"/>
          <w:color w:val="000000" w:themeColor="text1"/>
          <w:sz w:val="16"/>
          <w:szCs w:val="16"/>
          <w:lang w:val="en-US"/>
        </w:rPr>
        <w:t>S</w:t>
      </w:r>
      <w:r w:rsidRPr="0044524F">
        <w:rPr>
          <w:rFonts w:ascii="Times New Roman" w:hAnsi="Times New Roman"/>
          <w:color w:val="000000" w:themeColor="text1"/>
          <w:sz w:val="16"/>
          <w:szCs w:val="16"/>
        </w:rPr>
        <w:t>.55 зав. № 10526 стали на</w:t>
      </w:r>
      <w:r w:rsidRPr="0044524F">
        <w:rPr>
          <w:rFonts w:ascii="Times New Roman" w:hAnsi="Times New Roman"/>
          <w:color w:val="000000" w:themeColor="text1"/>
          <w:sz w:val="16"/>
          <w:szCs w:val="16"/>
        </w:rPr>
        <w:softHyphen/>
        <w:t>зывать «СССР-Н11». Однако, в Реестре граж</w:t>
      </w:r>
      <w:r w:rsidRPr="0044524F">
        <w:rPr>
          <w:rFonts w:ascii="Times New Roman" w:hAnsi="Times New Roman"/>
          <w:color w:val="000000" w:themeColor="text1"/>
          <w:sz w:val="16"/>
          <w:szCs w:val="16"/>
        </w:rPr>
        <w:softHyphen/>
        <w:t>данских воздушных судов СССР самолет с этим опознавательным знаком в то время так и не появился. Только 16.06.55 под этим опозна</w:t>
      </w:r>
      <w:r w:rsidRPr="0044524F">
        <w:rPr>
          <w:rFonts w:ascii="Times New Roman" w:hAnsi="Times New Roman"/>
          <w:color w:val="000000" w:themeColor="text1"/>
          <w:sz w:val="16"/>
          <w:szCs w:val="16"/>
        </w:rPr>
        <w:softHyphen/>
        <w:t>вательным знаком был зарегистрирован вер</w:t>
      </w:r>
      <w:r w:rsidRPr="0044524F">
        <w:rPr>
          <w:rFonts w:ascii="Times New Roman" w:hAnsi="Times New Roman"/>
          <w:color w:val="000000" w:themeColor="text1"/>
          <w:sz w:val="16"/>
          <w:szCs w:val="16"/>
        </w:rPr>
        <w:softHyphen/>
        <w:t>толет Ми-1 зав. № 010308.</w:t>
      </w:r>
    </w:p>
    <w:p w14:paraId="7139DFF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 передачей «Савойи», на</w:t>
      </w:r>
      <w:r w:rsidRPr="0044524F">
        <w:rPr>
          <w:rFonts w:ascii="Times New Roman" w:hAnsi="Times New Roman"/>
          <w:color w:val="000000" w:themeColor="text1"/>
          <w:sz w:val="16"/>
          <w:szCs w:val="16"/>
        </w:rPr>
        <w:softHyphen/>
        <w:t>чальник УПА Шевелев назначил ее команди</w:t>
      </w:r>
      <w:r w:rsidRPr="0044524F">
        <w:rPr>
          <w:rFonts w:ascii="Times New Roman" w:hAnsi="Times New Roman"/>
          <w:color w:val="000000" w:themeColor="text1"/>
          <w:sz w:val="16"/>
          <w:szCs w:val="16"/>
        </w:rPr>
        <w:softHyphen/>
        <w:t>ром летчика-испытателя Бенедикта Леоновича Бухгольца.</w:t>
      </w:r>
    </w:p>
    <w:p w14:paraId="5452208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Бухгольцу предстояло провести, если по</w:t>
      </w:r>
      <w:r w:rsidRPr="0044524F">
        <w:rPr>
          <w:rFonts w:ascii="Times New Roman" w:hAnsi="Times New Roman"/>
          <w:color w:val="000000" w:themeColor="text1"/>
          <w:sz w:val="16"/>
          <w:szCs w:val="16"/>
        </w:rPr>
        <w:softHyphen/>
        <w:t>требуется, дополнительные испытания и выле</w:t>
      </w:r>
      <w:r w:rsidRPr="0044524F">
        <w:rPr>
          <w:rFonts w:ascii="Times New Roman" w:hAnsi="Times New Roman"/>
          <w:color w:val="000000" w:themeColor="text1"/>
          <w:sz w:val="16"/>
          <w:szCs w:val="16"/>
        </w:rPr>
        <w:softHyphen/>
        <w:t>теть по маршруту Вольск - Свердловск - Ново</w:t>
      </w:r>
      <w:r w:rsidRPr="0044524F">
        <w:rPr>
          <w:rFonts w:ascii="Times New Roman" w:hAnsi="Times New Roman"/>
          <w:color w:val="000000" w:themeColor="text1"/>
          <w:sz w:val="16"/>
          <w:szCs w:val="16"/>
        </w:rPr>
        <w:softHyphen/>
        <w:t>сибирск - Красноярск - Иркутск, с расчетом прибытия в Иркутск 28 июля. В Иркутске на борт самолета должен был перейти Красинский. Из Иркутска ему предстояло вылететь по возможности не позднее 30 июня по маршру</w:t>
      </w:r>
      <w:r w:rsidRPr="0044524F">
        <w:rPr>
          <w:rFonts w:ascii="Times New Roman" w:hAnsi="Times New Roman"/>
          <w:color w:val="000000" w:themeColor="text1"/>
          <w:sz w:val="16"/>
          <w:szCs w:val="16"/>
        </w:rPr>
        <w:softHyphen/>
        <w:t>ту: Иркутск - Витим - Якутск - Ногаево - Ча- унская губа - мыс Северный - остров Вран</w:t>
      </w:r>
      <w:r w:rsidRPr="0044524F">
        <w:rPr>
          <w:rFonts w:ascii="Times New Roman" w:hAnsi="Times New Roman"/>
          <w:color w:val="000000" w:themeColor="text1"/>
          <w:sz w:val="16"/>
          <w:szCs w:val="16"/>
        </w:rPr>
        <w:softHyphen/>
        <w:t>геля и для дальнейшей работы в район Берин</w:t>
      </w:r>
      <w:r w:rsidRPr="0044524F">
        <w:rPr>
          <w:rFonts w:ascii="Times New Roman" w:hAnsi="Times New Roman"/>
          <w:color w:val="000000" w:themeColor="text1"/>
          <w:sz w:val="16"/>
          <w:szCs w:val="16"/>
        </w:rPr>
        <w:softHyphen/>
        <w:t>гов пролив - устье Лены с возвращением по окончании экспедиции в г. Красноярск.</w:t>
      </w:r>
    </w:p>
    <w:p w14:paraId="6DB7E45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командировку в Севастополь под</w:t>
      </w:r>
      <w:r w:rsidRPr="0044524F">
        <w:rPr>
          <w:rFonts w:ascii="Times New Roman" w:hAnsi="Times New Roman"/>
          <w:color w:val="000000" w:themeColor="text1"/>
          <w:sz w:val="16"/>
          <w:szCs w:val="16"/>
        </w:rPr>
        <w:softHyphen/>
        <w:t>писали только 2 июля. В тот же день Бухгольц выехал в Севастополь. Всего за день до этого, 1-го июля, пилот был извещен об окончатель</w:t>
      </w:r>
      <w:r w:rsidRPr="0044524F">
        <w:rPr>
          <w:rFonts w:ascii="Times New Roman" w:hAnsi="Times New Roman"/>
          <w:color w:val="000000" w:themeColor="text1"/>
          <w:sz w:val="16"/>
          <w:szCs w:val="16"/>
        </w:rPr>
        <w:softHyphen/>
        <w:t>ном решении Правительства (резолюция Куй</w:t>
      </w:r>
      <w:r w:rsidRPr="0044524F">
        <w:rPr>
          <w:rFonts w:ascii="Times New Roman" w:hAnsi="Times New Roman"/>
          <w:color w:val="000000" w:themeColor="text1"/>
          <w:sz w:val="16"/>
          <w:szCs w:val="16"/>
        </w:rPr>
        <w:softHyphen/>
        <w:t>бышева) о своем назначении в ГУСМП. По этой причине он не смог в должной мере участво</w:t>
      </w:r>
      <w:r w:rsidRPr="0044524F">
        <w:rPr>
          <w:rFonts w:ascii="Times New Roman" w:hAnsi="Times New Roman"/>
          <w:color w:val="000000" w:themeColor="text1"/>
          <w:sz w:val="16"/>
          <w:szCs w:val="16"/>
        </w:rPr>
        <w:softHyphen/>
        <w:t>вать в подготовке самолета к операции.</w:t>
      </w:r>
    </w:p>
    <w:p w14:paraId="42BFC80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июля Бухгольц прибыл в Севастополь и сделал три полета продолжительностью около часа. На следующий день приехал летнаб Па</w:t>
      </w:r>
      <w:r w:rsidRPr="0044524F">
        <w:rPr>
          <w:rFonts w:ascii="Times New Roman" w:hAnsi="Times New Roman"/>
          <w:color w:val="000000" w:themeColor="text1"/>
          <w:sz w:val="16"/>
          <w:szCs w:val="16"/>
        </w:rPr>
        <w:softHyphen/>
        <w:t>дал ко.</w:t>
      </w:r>
    </w:p>
    <w:p w14:paraId="5268A58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самолет был новым, но к полетам на Севере подготовлен полностью не был. В част</w:t>
      </w:r>
      <w:r w:rsidRPr="0044524F">
        <w:rPr>
          <w:rFonts w:ascii="Times New Roman" w:hAnsi="Times New Roman"/>
          <w:color w:val="000000" w:themeColor="text1"/>
          <w:sz w:val="16"/>
          <w:szCs w:val="16"/>
        </w:rPr>
        <w:softHyphen/>
        <w:t>ности, на нем не были установлены дополни</w:t>
      </w:r>
      <w:r w:rsidRPr="0044524F">
        <w:rPr>
          <w:rFonts w:ascii="Times New Roman" w:hAnsi="Times New Roman"/>
          <w:color w:val="000000" w:themeColor="text1"/>
          <w:sz w:val="16"/>
          <w:szCs w:val="16"/>
        </w:rPr>
        <w:softHyphen/>
      </w:r>
    </w:p>
    <w:p w14:paraId="13A2293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тельные баки. Полет задерживало также от</w:t>
      </w:r>
      <w:r w:rsidRPr="0044524F">
        <w:rPr>
          <w:rFonts w:ascii="Times New Roman" w:hAnsi="Times New Roman"/>
          <w:color w:val="000000" w:themeColor="text1"/>
          <w:sz w:val="16"/>
          <w:szCs w:val="16"/>
        </w:rPr>
        <w:softHyphen/>
        <w:t>сутствие запасных частей к мотору. Однако сроки поджимали...</w:t>
      </w:r>
    </w:p>
    <w:p w14:paraId="4F141DA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расчетам Бухгольца, полет от Севасто</w:t>
      </w:r>
      <w:r w:rsidRPr="0044524F">
        <w:rPr>
          <w:rFonts w:ascii="Times New Roman" w:hAnsi="Times New Roman"/>
          <w:color w:val="000000" w:themeColor="text1"/>
          <w:sz w:val="16"/>
          <w:szCs w:val="16"/>
        </w:rPr>
        <w:softHyphen/>
        <w:t>поля до Якутска должен был продолжаться 37 летных часов, за которые самолет мог покрыть 5500 км (до Иркутска, соответственно, 27 ча</w:t>
      </w:r>
      <w:r w:rsidRPr="0044524F">
        <w:rPr>
          <w:rFonts w:ascii="Times New Roman" w:hAnsi="Times New Roman"/>
          <w:color w:val="000000" w:themeColor="text1"/>
          <w:sz w:val="16"/>
          <w:szCs w:val="16"/>
        </w:rPr>
        <w:softHyphen/>
        <w:t>сов и 2950 км). Участок от Севастополя до Вольска протяженностью 1450 км предполага</w:t>
      </w:r>
      <w:r w:rsidRPr="0044524F">
        <w:rPr>
          <w:rFonts w:ascii="Times New Roman" w:hAnsi="Times New Roman"/>
          <w:color w:val="000000" w:themeColor="text1"/>
          <w:sz w:val="16"/>
          <w:szCs w:val="16"/>
        </w:rPr>
        <w:softHyphen/>
        <w:t>лось преодолеть за 7 часов (11975).</w:t>
      </w:r>
    </w:p>
    <w:p w14:paraId="51C1DD5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6DC812D9" w14:textId="77777777" w:rsidR="00B154EA" w:rsidRPr="0044524F" w:rsidRDefault="00B154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июня 1933 г. ЦС Осоавиахима наметил план массовой подготовки планеристов. В текущем</w:t>
      </w:r>
    </w:p>
    <w:p w14:paraId="2F880B97" w14:textId="77777777" w:rsidR="00B154EA" w:rsidRPr="0044524F" w:rsidRDefault="00B154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году намечалось подготовить 30 тысяч планеристов, инструкторов-планеристов, открыть 14 планерных школ и 110 планерных станций, организовать 530 планерных кружков»</w:t>
      </w:r>
    </w:p>
    <w:p w14:paraId="113163F8" w14:textId="77777777" w:rsidR="00B154EA" w:rsidRPr="0044524F" w:rsidRDefault="00B154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9 июня 1933 г./ (23370).</w:t>
      </w:r>
    </w:p>
    <w:p w14:paraId="2ED4D8D7" w14:textId="77777777" w:rsidR="00B154EA" w:rsidRPr="0044524F" w:rsidRDefault="00B154EA" w:rsidP="009654CF">
      <w:pPr>
        <w:spacing w:after="0" w:line="240" w:lineRule="auto"/>
        <w:jc w:val="both"/>
        <w:rPr>
          <w:rFonts w:ascii="Times New Roman" w:hAnsi="Times New Roman"/>
          <w:color w:val="000000" w:themeColor="text1"/>
          <w:sz w:val="16"/>
          <w:szCs w:val="16"/>
        </w:rPr>
      </w:pPr>
    </w:p>
    <w:p w14:paraId="155443D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июня 1933 в Москву прилетел американский летчик Джимми Маттерн, который выполнял на Локхид-Вега кругосветный перелет. 8 июня сел на вынужденную в Прокопьевске, 11 прилетел в Хабаровск, но не опознал его и сел в другом месте. 13 взял курс на Север, но вскоре вернулся. 14 снова вылетел, держа курс на Аляску, вернулся и сел в 100 км от Анадыря. 26 июня чукчи нашли, а 21 июля С.А.Леваневский отвез его на Аляску (438,647).</w:t>
      </w:r>
    </w:p>
    <w:p w14:paraId="5CBC748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44CEAFC3"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июня 1933 г. в Евпатории в присутствии наркомвоенмора и под председательством начальника вооружений РККА М.Н.Тухачевского состоялись официальные испытания 132-мм ракетных осветительных парашютных снарядов модели 140500 (тема объекта №58) - для корабельной или для береговой артил</w:t>
      </w:r>
      <w:r w:rsidRPr="0044524F">
        <w:rPr>
          <w:rFonts w:ascii="Times New Roman" w:hAnsi="Times New Roman"/>
          <w:color w:val="000000" w:themeColor="text1"/>
          <w:sz w:val="16"/>
          <w:szCs w:val="16"/>
        </w:rPr>
        <w:softHyphen/>
        <w:t>лерии, дает основания отне</w:t>
      </w:r>
      <w:r w:rsidRPr="0044524F">
        <w:rPr>
          <w:rFonts w:ascii="Times New Roman" w:hAnsi="Times New Roman"/>
          <w:color w:val="000000" w:themeColor="text1"/>
          <w:sz w:val="16"/>
          <w:szCs w:val="16"/>
        </w:rPr>
        <w:softHyphen/>
        <w:t>сти их к оружию береговых артиллеристов. Однако, последующий ход событий свидетельствует в пользу палубной артиллерии. Хотя, возможно их разрабатывали и для тех, и для других (11402).</w:t>
      </w:r>
    </w:p>
    <w:p w14:paraId="4839B47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68CC1C67"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июня 1933 г. в Евпатории в присутствии комиссии НКВМ и под председательством на</w:t>
      </w:r>
      <w:r w:rsidRPr="0044524F">
        <w:rPr>
          <w:rFonts w:ascii="Times New Roman" w:hAnsi="Times New Roman"/>
          <w:color w:val="000000" w:themeColor="text1"/>
          <w:sz w:val="16"/>
          <w:szCs w:val="16"/>
        </w:rPr>
        <w:softHyphen/>
        <w:t>чальника вооружений РККА М.Н.Тухачевского состоялись официальные испытания 74-мм ракетных осветительных пара</w:t>
      </w:r>
      <w:r w:rsidRPr="0044524F">
        <w:rPr>
          <w:rFonts w:ascii="Times New Roman" w:hAnsi="Times New Roman"/>
          <w:color w:val="000000" w:themeColor="text1"/>
          <w:sz w:val="16"/>
          <w:szCs w:val="16"/>
        </w:rPr>
        <w:softHyphen/>
        <w:t>шютных снарядов. На основании положи</w:t>
      </w:r>
      <w:r w:rsidRPr="0044524F">
        <w:rPr>
          <w:rFonts w:ascii="Times New Roman" w:hAnsi="Times New Roman"/>
          <w:color w:val="000000" w:themeColor="text1"/>
          <w:sz w:val="16"/>
          <w:szCs w:val="16"/>
        </w:rPr>
        <w:softHyphen/>
        <w:t>тельных результатов полигонных стрельб, а также повторных в присутствии комиссии был заключен договор с АУ РККА на поставку 70 штук сна</w:t>
      </w:r>
      <w:r w:rsidRPr="0044524F">
        <w:rPr>
          <w:rFonts w:ascii="Times New Roman" w:hAnsi="Times New Roman"/>
          <w:color w:val="000000" w:themeColor="text1"/>
          <w:sz w:val="16"/>
          <w:szCs w:val="16"/>
        </w:rPr>
        <w:softHyphen/>
        <w:t>рядов, которые изготовили в РНИИ и сдали заказчику в декабре 1935 г.</w:t>
      </w:r>
    </w:p>
    <w:p w14:paraId="796A94F3"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промышленности тогда заказали 1000 таких бое</w:t>
      </w:r>
      <w:r w:rsidRPr="0044524F">
        <w:rPr>
          <w:rFonts w:ascii="Times New Roman" w:hAnsi="Times New Roman"/>
          <w:color w:val="000000" w:themeColor="text1"/>
          <w:sz w:val="16"/>
          <w:szCs w:val="16"/>
        </w:rPr>
        <w:softHyphen/>
        <w:t>припасов, однако, в письме начальника 1 отдела РНИИ Ю.А.Победонос</w:t>
      </w:r>
      <w:r w:rsidRPr="0044524F">
        <w:rPr>
          <w:rFonts w:ascii="Times New Roman" w:hAnsi="Times New Roman"/>
          <w:color w:val="000000" w:themeColor="text1"/>
          <w:sz w:val="16"/>
          <w:szCs w:val="16"/>
        </w:rPr>
        <w:softHyphen/>
        <w:t>цева и ведущего инженера В.А.Артемьева начальнику НТО-1 ОБАА АУ РККА, датированном 23 декабря 1935 г., говорилось: «В настоящее время РНИИ, согласно резолюции начальника АУ РККА Н.А.Ефимова, изгото</w:t>
      </w:r>
      <w:r w:rsidRPr="0044524F">
        <w:rPr>
          <w:rFonts w:ascii="Times New Roman" w:hAnsi="Times New Roman"/>
          <w:color w:val="000000" w:themeColor="text1"/>
          <w:sz w:val="16"/>
          <w:szCs w:val="16"/>
        </w:rPr>
        <w:softHyphen/>
        <w:t>вило 70 штук 74-мм ракетных осветительных и агитационных снарядов. Вместе с тем, ставим в известность, что все руководства по ним составлены в 1933 г., и в случае опытных заказов АУ по ним, должны быть переработа</w:t>
      </w:r>
      <w:r w:rsidRPr="0044524F">
        <w:rPr>
          <w:rFonts w:ascii="Times New Roman" w:hAnsi="Times New Roman"/>
          <w:color w:val="000000" w:themeColor="text1"/>
          <w:sz w:val="16"/>
          <w:szCs w:val="16"/>
        </w:rPr>
        <w:softHyphen/>
        <w:t>ны. Снаряды предполагается испытывать в разных войсковых частях».</w:t>
      </w:r>
    </w:p>
    <w:p w14:paraId="08E11FF2"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ведомости на изделия, подлежащие контрольному испытанию в 1941 г. на Софринском контрольно-испытательном артполигоне, зна</w:t>
      </w:r>
      <w:r w:rsidRPr="0044524F">
        <w:rPr>
          <w:rFonts w:ascii="Times New Roman" w:hAnsi="Times New Roman"/>
          <w:color w:val="000000" w:themeColor="text1"/>
          <w:sz w:val="16"/>
          <w:szCs w:val="16"/>
        </w:rPr>
        <w:softHyphen/>
        <w:t>чилось 40 штук 165-мм ракетно-осветительных снарядов РОСС-165 и ра-кетно-сигнальных РСС-165, разработанных по теме объекта №148 «для нужд береговой обороны». В это же время, ракетные боеприпасы того же назначения для НКВМФ разрабатывали и в калибре 140 мм (11402).</w:t>
      </w:r>
    </w:p>
    <w:p w14:paraId="3F934F85"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5E7B89" w14:textId="77777777" w:rsidR="0058354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0B5DE8E" w14:textId="77777777" w:rsidR="0058354C" w:rsidRPr="0044524F" w:rsidRDefault="0058354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C27D8BD" w14:textId="77777777" w:rsidR="00550226" w:rsidRPr="0044524F" w:rsidRDefault="00550226" w:rsidP="009654CF">
      <w:pPr>
        <w:pStyle w:val="rtejustify"/>
        <w:spacing w:before="0" w:after="0"/>
        <w:rPr>
          <w:color w:val="000000" w:themeColor="text1"/>
          <w:sz w:val="16"/>
          <w:szCs w:val="16"/>
        </w:rPr>
      </w:pPr>
      <w:r w:rsidRPr="0044524F">
        <w:rPr>
          <w:color w:val="000000" w:themeColor="text1"/>
          <w:sz w:val="16"/>
          <w:szCs w:val="16"/>
        </w:rPr>
        <w:t>5 июня 1933 О концентрации производства и организации сбыта запасных частей к тракторам</w:t>
      </w:r>
    </w:p>
    <w:p w14:paraId="6FB2748B"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В целях концентрации производства тракторных запасных частей на специализированных для этого заводах и максимального приближения заводов по изготовлению тракторных запасных частей к районам наибольшего потребления последних и наиболее рационального продвижения готовых запасных частей к потребителю, Совет народных комиссаров Союза ССР постановляет:</w:t>
      </w:r>
    </w:p>
    <w:p w14:paraId="2C2DE6F1"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1. Возложить на Всесоюзное объединение «Ватозапчасть», с системой районных контор в его составе, концентрацию производства запасных частей и организацию сбыта последних.</w:t>
      </w:r>
    </w:p>
    <w:p w14:paraId="78017B7F"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2. Закрепить за Всесоюзным объединением «Ватозапчасть» следующие заводы:</w:t>
      </w:r>
    </w:p>
    <w:p w14:paraId="6BEBB012" w14:textId="77777777" w:rsidR="0058354C" w:rsidRPr="0044524F" w:rsidRDefault="0058354C" w:rsidP="009654CF">
      <w:pPr>
        <w:numPr>
          <w:ilvl w:val="0"/>
          <w:numId w:val="440"/>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«Красный Профинтерн» — Одесса.</w:t>
      </w:r>
    </w:p>
    <w:p w14:paraId="4BCE82F9" w14:textId="77777777" w:rsidR="0058354C" w:rsidRPr="0044524F" w:rsidRDefault="0058354C" w:rsidP="009654CF">
      <w:pPr>
        <w:numPr>
          <w:ilvl w:val="0"/>
          <w:numId w:val="440"/>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«Красный Двигатель» — Новороссийск.</w:t>
      </w:r>
    </w:p>
    <w:p w14:paraId="4C835B9B" w14:textId="77777777" w:rsidR="0058354C" w:rsidRPr="0044524F" w:rsidRDefault="0058354C" w:rsidP="009654CF">
      <w:pPr>
        <w:numPr>
          <w:ilvl w:val="0"/>
          <w:numId w:val="440"/>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Трактородеталь — Саратов.</w:t>
      </w:r>
    </w:p>
    <w:p w14:paraId="665E1848" w14:textId="77777777" w:rsidR="0058354C" w:rsidRPr="0044524F" w:rsidRDefault="0058354C" w:rsidP="009654CF">
      <w:pPr>
        <w:numPr>
          <w:ilvl w:val="0"/>
          <w:numId w:val="440"/>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Средне-Волжский — Самара.</w:t>
      </w:r>
    </w:p>
    <w:p w14:paraId="42D66D3B" w14:textId="77777777" w:rsidR="0058354C" w:rsidRPr="0044524F" w:rsidRDefault="0058354C" w:rsidP="009654CF">
      <w:pPr>
        <w:numPr>
          <w:ilvl w:val="0"/>
          <w:numId w:val="440"/>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Ленпромет — Мичуринск.</w:t>
      </w:r>
    </w:p>
    <w:p w14:paraId="37293991" w14:textId="77777777" w:rsidR="0058354C" w:rsidRPr="0044524F" w:rsidRDefault="0058354C" w:rsidP="009654CF">
      <w:pPr>
        <w:numPr>
          <w:ilvl w:val="0"/>
          <w:numId w:val="441"/>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 Лепсе — Киев.</w:t>
      </w:r>
    </w:p>
    <w:p w14:paraId="43922DF1" w14:textId="77777777" w:rsidR="0058354C" w:rsidRPr="0044524F" w:rsidRDefault="0058354C" w:rsidP="009654CF">
      <w:pPr>
        <w:numPr>
          <w:ilvl w:val="0"/>
          <w:numId w:val="442"/>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 Медведева — Орёл.</w:t>
      </w:r>
    </w:p>
    <w:p w14:paraId="59F94E37" w14:textId="77777777" w:rsidR="0058354C" w:rsidRPr="0044524F" w:rsidRDefault="0058354C" w:rsidP="009654CF">
      <w:pPr>
        <w:numPr>
          <w:ilvl w:val="0"/>
          <w:numId w:val="443"/>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 Энгельса — Хортица.</w:t>
      </w:r>
    </w:p>
    <w:p w14:paraId="4C3A81C0" w14:textId="77777777" w:rsidR="0058354C" w:rsidRPr="0044524F" w:rsidRDefault="0058354C" w:rsidP="009654CF">
      <w:pPr>
        <w:numPr>
          <w:ilvl w:val="0"/>
          <w:numId w:val="444"/>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 Будённого — Москва.</w:t>
      </w:r>
    </w:p>
    <w:p w14:paraId="7B90808F" w14:textId="77777777" w:rsidR="0058354C" w:rsidRPr="0044524F" w:rsidRDefault="0058354C" w:rsidP="009654CF">
      <w:pPr>
        <w:numPr>
          <w:ilvl w:val="0"/>
          <w:numId w:val="445"/>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«Спартак» — Москва.</w:t>
      </w:r>
    </w:p>
    <w:p w14:paraId="71A0D7AC" w14:textId="77777777" w:rsidR="0058354C" w:rsidRPr="0044524F" w:rsidRDefault="0058354C" w:rsidP="009654CF">
      <w:pPr>
        <w:numPr>
          <w:ilvl w:val="0"/>
          <w:numId w:val="446"/>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Рессора — Москва.</w:t>
      </w:r>
    </w:p>
    <w:p w14:paraId="427EC6B6" w14:textId="77777777" w:rsidR="0058354C" w:rsidRPr="0044524F" w:rsidRDefault="0058354C" w:rsidP="009654CF">
      <w:pPr>
        <w:numPr>
          <w:ilvl w:val="0"/>
          <w:numId w:val="447"/>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Сибзавод — Омск.</w:t>
      </w:r>
    </w:p>
    <w:p w14:paraId="149A1D3F" w14:textId="5CF1025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3.</w:t>
      </w:r>
      <w:r w:rsidR="0088747B">
        <w:rPr>
          <w:color w:val="000000" w:themeColor="text1"/>
          <w:sz w:val="16"/>
          <w:szCs w:val="16"/>
        </w:rPr>
        <w:t xml:space="preserve"> </w:t>
      </w:r>
      <w:r w:rsidRPr="0044524F">
        <w:rPr>
          <w:color w:val="000000" w:themeColor="text1"/>
          <w:sz w:val="16"/>
          <w:szCs w:val="16"/>
        </w:rPr>
        <w:t>Передать «Ватозапчасти» заводы:</w:t>
      </w:r>
    </w:p>
    <w:p w14:paraId="7760A74A" w14:textId="30D21140"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а)</w:t>
      </w:r>
      <w:r w:rsidR="0088747B">
        <w:rPr>
          <w:color w:val="000000" w:themeColor="text1"/>
          <w:sz w:val="16"/>
          <w:szCs w:val="16"/>
        </w:rPr>
        <w:t xml:space="preserve"> </w:t>
      </w:r>
      <w:r w:rsidRPr="0044524F">
        <w:rPr>
          <w:color w:val="000000" w:themeColor="text1"/>
          <w:sz w:val="16"/>
          <w:szCs w:val="16"/>
        </w:rPr>
        <w:t>Из системы Народного комиссариата земледелия Союза ССР:</w:t>
      </w:r>
    </w:p>
    <w:p w14:paraId="51FEC4EE" w14:textId="77777777" w:rsidR="0058354C" w:rsidRPr="0044524F" w:rsidRDefault="0058354C" w:rsidP="009654CF">
      <w:pPr>
        <w:numPr>
          <w:ilvl w:val="0"/>
          <w:numId w:val="448"/>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Воронежский завод Трактороцентра — Воронеж.</w:t>
      </w:r>
    </w:p>
    <w:p w14:paraId="35D5D2D3" w14:textId="77777777" w:rsidR="0058354C" w:rsidRPr="0044524F" w:rsidRDefault="0058354C" w:rsidP="009654CF">
      <w:pPr>
        <w:numPr>
          <w:ilvl w:val="0"/>
          <w:numId w:val="448"/>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Ростовские производственные мастерские Трактороцентра — Ростов н/Д.</w:t>
      </w:r>
    </w:p>
    <w:p w14:paraId="6705C5DC" w14:textId="77777777" w:rsidR="0058354C" w:rsidRPr="0044524F" w:rsidRDefault="0058354C" w:rsidP="009654CF">
      <w:pPr>
        <w:numPr>
          <w:ilvl w:val="0"/>
          <w:numId w:val="448"/>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Морозовский завод Трактороцентра — Морозовская.</w:t>
      </w:r>
    </w:p>
    <w:p w14:paraId="638487A0" w14:textId="77777777" w:rsidR="0058354C" w:rsidRPr="0044524F" w:rsidRDefault="0058354C" w:rsidP="009654CF">
      <w:pPr>
        <w:numPr>
          <w:ilvl w:val="0"/>
          <w:numId w:val="448"/>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Каховские производственные мастерские Трактороцентра — Каховка.</w:t>
      </w:r>
    </w:p>
    <w:p w14:paraId="6E53E4E1" w14:textId="77777777" w:rsidR="0058354C" w:rsidRPr="0044524F" w:rsidRDefault="0058354C" w:rsidP="009654CF">
      <w:pPr>
        <w:numPr>
          <w:ilvl w:val="0"/>
          <w:numId w:val="448"/>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Мариупольские производственные мастерские Трактороцентра — Мариуполь.</w:t>
      </w:r>
    </w:p>
    <w:p w14:paraId="23809130" w14:textId="77777777" w:rsidR="0058354C" w:rsidRPr="0044524F" w:rsidRDefault="0058354C" w:rsidP="009654CF">
      <w:pPr>
        <w:numPr>
          <w:ilvl w:val="0"/>
          <w:numId w:val="448"/>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Оренбургский завод Трактороцентра — Оренбург.</w:t>
      </w:r>
    </w:p>
    <w:p w14:paraId="164EA53F" w14:textId="61378D00"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б)</w:t>
      </w:r>
      <w:r w:rsidR="0088747B">
        <w:rPr>
          <w:color w:val="000000" w:themeColor="text1"/>
          <w:sz w:val="16"/>
          <w:szCs w:val="16"/>
        </w:rPr>
        <w:t xml:space="preserve"> </w:t>
      </w:r>
      <w:r w:rsidRPr="0044524F">
        <w:rPr>
          <w:color w:val="000000" w:themeColor="text1"/>
          <w:sz w:val="16"/>
          <w:szCs w:val="16"/>
        </w:rPr>
        <w:t xml:space="preserve"> Из системы Народного комиссариата зерновых и животноводческих совхозов Союза ССР:</w:t>
      </w:r>
    </w:p>
    <w:p w14:paraId="62262E50" w14:textId="77777777" w:rsidR="0058354C" w:rsidRPr="0044524F" w:rsidRDefault="0058354C" w:rsidP="009654CF">
      <w:pPr>
        <w:numPr>
          <w:ilvl w:val="0"/>
          <w:numId w:val="449"/>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Харьковский завод «Поршень» — Харьков.</w:t>
      </w:r>
    </w:p>
    <w:p w14:paraId="6DCB9764" w14:textId="77777777" w:rsidR="0058354C" w:rsidRPr="0044524F" w:rsidRDefault="0058354C" w:rsidP="009654CF">
      <w:pPr>
        <w:numPr>
          <w:ilvl w:val="0"/>
          <w:numId w:val="449"/>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Краснодарский завод «Октябрь» — Краснодар.</w:t>
      </w:r>
    </w:p>
    <w:p w14:paraId="367BB97C" w14:textId="77777777" w:rsidR="0058354C" w:rsidRPr="0044524F" w:rsidRDefault="0058354C" w:rsidP="009654CF">
      <w:pPr>
        <w:numPr>
          <w:ilvl w:val="0"/>
          <w:numId w:val="449"/>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Сысертский завод — Сысертск.</w:t>
      </w:r>
    </w:p>
    <w:p w14:paraId="4387A216" w14:textId="77777777" w:rsidR="0058354C" w:rsidRPr="0044524F" w:rsidRDefault="0058354C" w:rsidP="009654CF">
      <w:pPr>
        <w:numPr>
          <w:ilvl w:val="0"/>
          <w:numId w:val="449"/>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Мелекесский завод — Мелекес.</w:t>
      </w:r>
    </w:p>
    <w:p w14:paraId="4562103E" w14:textId="64681562"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в)</w:t>
      </w:r>
      <w:r w:rsidR="0088747B">
        <w:rPr>
          <w:color w:val="000000" w:themeColor="text1"/>
          <w:sz w:val="16"/>
          <w:szCs w:val="16"/>
        </w:rPr>
        <w:t xml:space="preserve"> </w:t>
      </w:r>
      <w:r w:rsidRPr="0044524F">
        <w:rPr>
          <w:color w:val="000000" w:themeColor="text1"/>
          <w:sz w:val="16"/>
          <w:szCs w:val="16"/>
        </w:rPr>
        <w:t>Из объединения Союзсельмаша: Петуховский завод — ст. Петухово (Казахстан).</w:t>
      </w:r>
    </w:p>
    <w:p w14:paraId="5E15E3BA" w14:textId="66F53173"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г)</w:t>
      </w:r>
      <w:r w:rsidR="0088747B">
        <w:rPr>
          <w:color w:val="000000" w:themeColor="text1"/>
          <w:sz w:val="16"/>
          <w:szCs w:val="16"/>
        </w:rPr>
        <w:t xml:space="preserve"> </w:t>
      </w:r>
      <w:r w:rsidRPr="0044524F">
        <w:rPr>
          <w:color w:val="000000" w:themeColor="text1"/>
          <w:sz w:val="16"/>
          <w:szCs w:val="16"/>
        </w:rPr>
        <w:t xml:space="preserve"> Из системы управления уполномоченного Народного комиссариата тяжёлой промышленности при Совете народных комиссаров Узбекской ССР:</w:t>
      </w:r>
    </w:p>
    <w:p w14:paraId="08CE422C"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Завод им. Ильича (полностью старые и новые корпуса) — Ташкент.</w:t>
      </w:r>
    </w:p>
    <w:p w14:paraId="6BCD3F2A" w14:textId="77777777" w:rsidR="0058354C" w:rsidRPr="0044524F" w:rsidRDefault="0058354C" w:rsidP="009654CF">
      <w:pPr>
        <w:numPr>
          <w:ilvl w:val="0"/>
          <w:numId w:val="450"/>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Передачу всех указанных в ст. 3 заводов с оборудованием и со всеми фондами на металл произвести с активом и пассивом на ходу и закончить к 1 июля 1933 г. Запретить вывоз с этих заводов оборудования и материалов, а также снятие и переброски рабочих, ИТР и административно-технического персонала.</w:t>
      </w:r>
    </w:p>
    <w:p w14:paraId="3BFD1C67" w14:textId="77777777" w:rsidR="0058354C" w:rsidRPr="0044524F" w:rsidRDefault="0058354C" w:rsidP="009654CF">
      <w:pPr>
        <w:numPr>
          <w:ilvl w:val="0"/>
          <w:numId w:val="451"/>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Поручить Народному комиссариату тяжёлой промышленности к 15 июля 1933 г. разработать календарный план выпуска тракторных запасных частей в 1934 году и план освобождения в 1934 году союзных и республиканских заводов от производства тракторных запасных частей, учтя при этом необходимость оставления производства в 1934 году тракторных частей на отдельных заводах на время, до полного освоения заводами «Ватозапчасти» проектной мощности.</w:t>
      </w:r>
    </w:p>
    <w:p w14:paraId="783775DA" w14:textId="77777777" w:rsidR="0058354C" w:rsidRPr="0044524F" w:rsidRDefault="0058354C" w:rsidP="009654CF">
      <w:pPr>
        <w:numPr>
          <w:ilvl w:val="0"/>
          <w:numId w:val="452"/>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Довести мощность заводов Всесоюзного объединения «Ватозапчасть» по выпуску тракторных запасных частей до 242 млн. руб. в ценах 1926/27 года с выпуском в 1934 г. запасных частей на этих заводах на 167 млн. рублей.</w:t>
      </w:r>
    </w:p>
    <w:p w14:paraId="02B1359E" w14:textId="77777777" w:rsidR="0058354C" w:rsidRPr="0044524F" w:rsidRDefault="0058354C" w:rsidP="009654CF">
      <w:pPr>
        <w:numPr>
          <w:ilvl w:val="0"/>
          <w:numId w:val="453"/>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окончания реконструкции заводов «Ватозапчасти» и доведения их мощности до 242 млн. руб. в год ассигновать «Ватозапчасти», сверх предусмотренных в 1933 году 10 млн. руб. по заводам «Ватозапчасти» и 2,3 млн. руб. по заводам Народного комиссариата земледелия и Народного комиссариата зерновых и животноводческих совхозов Союза ССР — дополнительно 8 млн. руб. в 1933 году из резервного фонда Совета народных комиссаров Союза ССР.</w:t>
      </w:r>
    </w:p>
    <w:p w14:paraId="6362A6F8" w14:textId="77777777" w:rsidR="0058354C" w:rsidRPr="0044524F" w:rsidRDefault="0058354C" w:rsidP="009654CF">
      <w:pPr>
        <w:pStyle w:val="rtejustify"/>
        <w:spacing w:before="0" w:after="0"/>
        <w:rPr>
          <w:color w:val="000000" w:themeColor="text1"/>
          <w:sz w:val="16"/>
          <w:szCs w:val="16"/>
        </w:rPr>
      </w:pPr>
      <w:r w:rsidRPr="0044524F">
        <w:rPr>
          <w:color w:val="000000" w:themeColor="text1"/>
          <w:sz w:val="16"/>
          <w:szCs w:val="16"/>
        </w:rPr>
        <w:t>Всю реконструкцию заводов закончить не позднее 1 июля 1934 г.</w:t>
      </w:r>
    </w:p>
    <w:p w14:paraId="5AAC5741" w14:textId="77777777" w:rsidR="0058354C" w:rsidRPr="0044524F" w:rsidRDefault="0058354C" w:rsidP="009654CF">
      <w:pPr>
        <w:numPr>
          <w:ilvl w:val="0"/>
          <w:numId w:val="454"/>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Народному комиссариату тяжёлой промышленности полностью обеспечить заводы «Ватозапчасти» в 1933 г. всеми необходимыми материалами и оборудованием.</w:t>
      </w:r>
    </w:p>
    <w:p w14:paraId="209C3D52" w14:textId="77777777" w:rsidR="0058354C" w:rsidRPr="0044524F" w:rsidRDefault="0058354C" w:rsidP="009654CF">
      <w:pPr>
        <w:numPr>
          <w:ilvl w:val="0"/>
          <w:numId w:val="455"/>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создания производственной базы по изготовлению запасных частей в Сибири, организовать в Новосибирске на строящемся заводе «Сибтекстильмашстрой» цех тракторных запасных частей, с программой на 1934 г. в 10 млн. руб. и на 1936 год в 27 млн. руб.</w:t>
      </w:r>
    </w:p>
    <w:p w14:paraId="24E92B10" w14:textId="77777777" w:rsidR="0058354C" w:rsidRPr="0044524F" w:rsidRDefault="0058354C" w:rsidP="009654CF">
      <w:pPr>
        <w:numPr>
          <w:ilvl w:val="0"/>
          <w:numId w:val="455"/>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Народному комиссариату тяжёлой промышленности с 1 октября 1933 года организовать на Украине, Северном Кавказе и Нижней Волге продажу тракторных запасных частей через специальную сеть своих складов для непосредственной торговли с совхозами, машино-тракторными станциями и машино-тракторными мастерскими.</w:t>
      </w:r>
      <w:r w:rsidRPr="0044524F">
        <w:rPr>
          <w:rFonts w:ascii="Times New Roman" w:hAnsi="Times New Roman"/>
          <w:color w:val="000000" w:themeColor="text1"/>
          <w:sz w:val="16"/>
          <w:szCs w:val="16"/>
        </w:rPr>
        <w:br/>
        <w:t>Предложить Народному комиссариату земледелия и Народному комиссариату зерновых и животноводческих совхозов Союза ССР передать Народному комиссариату тяжёлой промышленности свои склады запасных частей в этих областях со всеми помещениями, оборудованием и персоналом.</w:t>
      </w:r>
    </w:p>
    <w:p w14:paraId="2025C81A" w14:textId="77777777" w:rsidR="0058354C" w:rsidRPr="0044524F" w:rsidRDefault="0058354C" w:rsidP="009654CF">
      <w:pPr>
        <w:numPr>
          <w:ilvl w:val="0"/>
          <w:numId w:val="455"/>
        </w:numPr>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Всесоюзному объединению «Ватозапчасть» начать приёмку складов Народного комиссариата земледелия и Народного комиссариата зерновых и животноводческих совхозов Союза ССР не позднее 1 августа 1933 года и закончить таковую не позднее 15 сентября 1933 года.</w:t>
      </w:r>
    </w:p>
    <w:p w14:paraId="647A4544" w14:textId="77777777" w:rsidR="0058354C" w:rsidRPr="0044524F" w:rsidRDefault="0058354C" w:rsidP="009654CF">
      <w:pPr>
        <w:pStyle w:val="rteright"/>
        <w:spacing w:before="0" w:after="0"/>
        <w:jc w:val="both"/>
        <w:rPr>
          <w:rStyle w:val="a7"/>
          <w:b w:val="0"/>
          <w:color w:val="000000" w:themeColor="text1"/>
          <w:sz w:val="16"/>
          <w:szCs w:val="16"/>
        </w:rPr>
      </w:pPr>
      <w:r w:rsidRPr="0044524F">
        <w:rPr>
          <w:color w:val="000000" w:themeColor="text1"/>
          <w:sz w:val="16"/>
          <w:szCs w:val="16"/>
        </w:rPr>
        <w:t xml:space="preserve">Председатель СНК Союза ССР </w:t>
      </w:r>
      <w:r w:rsidRPr="0044524F">
        <w:rPr>
          <w:rStyle w:val="a7"/>
          <w:b w:val="0"/>
          <w:color w:val="000000" w:themeColor="text1"/>
          <w:sz w:val="16"/>
          <w:szCs w:val="16"/>
        </w:rPr>
        <w:t>В. Молотов (Скрябин)</w:t>
      </w:r>
    </w:p>
    <w:p w14:paraId="41C027E8" w14:textId="77777777" w:rsidR="0058354C" w:rsidRPr="0044524F" w:rsidRDefault="0058354C" w:rsidP="009654CF">
      <w:pPr>
        <w:pStyle w:val="rteright"/>
        <w:spacing w:before="0" w:after="0"/>
        <w:jc w:val="both"/>
        <w:rPr>
          <w:color w:val="000000" w:themeColor="text1"/>
          <w:sz w:val="16"/>
          <w:szCs w:val="16"/>
        </w:rPr>
      </w:pPr>
      <w:r w:rsidRPr="0044524F">
        <w:rPr>
          <w:color w:val="000000" w:themeColor="text1"/>
          <w:sz w:val="16"/>
          <w:szCs w:val="16"/>
        </w:rPr>
        <w:t xml:space="preserve">Управляющий делами СНК Союза ССР </w:t>
      </w:r>
      <w:r w:rsidRPr="0044524F">
        <w:rPr>
          <w:rStyle w:val="a7"/>
          <w:b w:val="0"/>
          <w:color w:val="000000" w:themeColor="text1"/>
          <w:sz w:val="16"/>
          <w:szCs w:val="16"/>
        </w:rPr>
        <w:t>И. Мирошников.</w:t>
      </w:r>
    </w:p>
    <w:p w14:paraId="03C7BFD5" w14:textId="77777777" w:rsidR="0058354C" w:rsidRPr="0044524F" w:rsidRDefault="0058354C" w:rsidP="009654CF">
      <w:pPr>
        <w:pStyle w:val="ae"/>
        <w:spacing w:before="0" w:after="0"/>
        <w:jc w:val="both"/>
        <w:rPr>
          <w:color w:val="000000" w:themeColor="text1"/>
          <w:sz w:val="16"/>
          <w:szCs w:val="16"/>
        </w:rPr>
      </w:pPr>
      <w:r w:rsidRPr="0044524F">
        <w:rPr>
          <w:color w:val="000000" w:themeColor="text1"/>
          <w:sz w:val="16"/>
          <w:szCs w:val="16"/>
        </w:rPr>
        <w:t>Москва, Кремль. 5 июня 1933 г. № 1157 (12580).</w:t>
      </w:r>
    </w:p>
    <w:p w14:paraId="21170BF9" w14:textId="77777777" w:rsidR="0058354C" w:rsidRPr="0044524F" w:rsidRDefault="0058354C" w:rsidP="009654CF">
      <w:pPr>
        <w:pStyle w:val="ae"/>
        <w:shd w:val="clear" w:color="auto" w:fill="FFFFFF"/>
        <w:spacing w:before="0" w:after="0"/>
        <w:jc w:val="both"/>
        <w:rPr>
          <w:color w:val="000000" w:themeColor="text1"/>
          <w:sz w:val="16"/>
          <w:szCs w:val="16"/>
        </w:rPr>
      </w:pPr>
    </w:p>
    <w:p w14:paraId="0C330EC6"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DCA8811"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D2A83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val="en-US"/>
        </w:rPr>
        <w:t xml:space="preserve">June 05 1933 United States goes off of the "gold standard." </w:t>
      </w:r>
      <w:r w:rsidRPr="0044524F">
        <w:rPr>
          <w:rFonts w:ascii="Times New Roman" w:hAnsi="Times New Roman"/>
          <w:color w:val="000000" w:themeColor="text1"/>
          <w:sz w:val="16"/>
          <w:szCs w:val="16"/>
        </w:rPr>
        <w:t>(1769).</w:t>
      </w:r>
    </w:p>
    <w:p w14:paraId="158D824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70CCC94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июня 1933 США отказались от золотого стандарта (1769).</w:t>
      </w:r>
    </w:p>
    <w:p w14:paraId="7B523B3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1CB6EDEC"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0D24616"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DD77B2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июня 1933 из НКОП (Наркомата оборонной промышленности) было отправлено письмо ректору КАИ тов. Гудзику, в котором говорилось:</w:t>
      </w:r>
    </w:p>
    <w:p w14:paraId="1E9D6E9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установке начальника ГУАП тов. Баранова при авиаинститутах необходимо создать опытно-конструкторские бюро с задачей развертывания конструкторских работ по самолето- и моторостроению с привлечением к этой работе профессорско-преподавательского и студенческого коллектива. При КАИ решено создать такое Бюро, для чего Вам направляются четыре инженера-конструктора т.т. Воробьев, Поляков, Рогатнев, Езеров (из Новочеркасска – авт.), которые являются основными организаторами этой работы…».</w:t>
      </w:r>
    </w:p>
    <w:p w14:paraId="18A8CA16"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из Харькова, с авиационного завода в КАИ приезжает Ицкович Зельман Исаакович, ведущий инженер ОКБ главного конструктора Калинина. Его ставят заведующим институтской кафедрой конструкции самолетов, а также руководителем ОКБ КАИ. Первоначально ОКБ разместили в 1-м здании, на третьем этаже. Сразу же начинаются работы по постройке первенца казанского авиастроения – двухмоторного самолета КАИ-1. Если учесть, как быстро был пройден этап перехода от проектирования к постройке аппарата, то высока вероятность, что проект самолета Ицкович привез с собой из Харькова. Украинские машины получили в 1930-е гг. широкую известность благодаря оригинальным решениям, принятым при их создании.</w:t>
      </w:r>
    </w:p>
    <w:p w14:paraId="1E5D740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в местной прессе впервые появилась информация о проектировании КАИ-1, в октябре началась подготовка производства. Прототип решено было строить на базе завода № 124 и в КАИ, что и зафиксировал приказ начальника Авиастроя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0239EA3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110090F7" w14:textId="616D8A45" w:rsidR="001D6BD7" w:rsidRPr="0044524F" w:rsidRDefault="001D6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июня 1933 г. в Москву прилетел американский летчик Джимми Маттерн, совершающий на самолете Локхид-"Вега" кругосветный перелет. Дальнейший полет его по СССР сопровождался рядом приключений. 8-го он сделал вынужденную посадку в Прокопьевске, 11-го прилетел в Хабаровск, но не опознал его и приземлился в Софийске на Нижием Амуре, откуда перелетел в Хабаровск.13-го вылетел на север, но вскоре вернулся в Хабаровск. 14-го снова вылетел, держа курс на Аляску, но вынуженно сел в 100 км от поселка Анадырь на Чукотке и разбил саммолет. 26-го он был найден чукчами и доставлен на морской промысел в 120 км от Анадыря. 21-го июля Маттерн был доставлен Леваневским на Аляску. Так неудачно закончилась вторая попытка Паттерна пере</w:t>
      </w:r>
      <w:r w:rsidRPr="0044524F">
        <w:rPr>
          <w:rFonts w:ascii="Times New Roman" w:hAnsi="Times New Roman"/>
          <w:color w:val="000000" w:themeColor="text1"/>
          <w:sz w:val="16"/>
          <w:szCs w:val="16"/>
        </w:rPr>
        <w:softHyphen/>
        <w:t>леть территорию СССР.</w:t>
      </w:r>
    </w:p>
    <w:p w14:paraId="5DC617C4" w14:textId="77777777" w:rsidR="001D6BD7" w:rsidRPr="0044524F" w:rsidRDefault="001D6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ЦИК СССР” за б-10 июня 1933; "Самолет",1933 № 10/ (23370).</w:t>
      </w:r>
    </w:p>
    <w:p w14:paraId="138A9159" w14:textId="77777777" w:rsidR="001D6BD7" w:rsidRPr="0044524F" w:rsidRDefault="001D6BD7" w:rsidP="009654CF">
      <w:pPr>
        <w:spacing w:after="0" w:line="240" w:lineRule="auto"/>
        <w:jc w:val="both"/>
        <w:rPr>
          <w:rFonts w:ascii="Times New Roman" w:hAnsi="Times New Roman"/>
          <w:color w:val="000000" w:themeColor="text1"/>
          <w:sz w:val="16"/>
          <w:szCs w:val="16"/>
        </w:rPr>
      </w:pPr>
    </w:p>
    <w:p w14:paraId="02DA40FB"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9FB953C"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398E42E" w14:textId="77777777" w:rsidR="00550226" w:rsidRPr="0044524F" w:rsidRDefault="005502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6 июня</w:t>
      </w:r>
      <w:r w:rsidRPr="0044524F">
        <w:rPr>
          <w:rFonts w:ascii="Times New Roman" w:hAnsi="Times New Roman"/>
          <w:color w:val="000000" w:themeColor="text1"/>
          <w:sz w:val="16"/>
          <w:szCs w:val="16"/>
        </w:rPr>
        <w:t xml:space="preserve"> в 1933 году «DoJ II» «Монсун» впервые катапультировали с борта «Вестфалена» с грузом почты. Он благополучно достиг Наталя. После еще нескольких пробных полетов в феврале 1934 года "Люфтганза" официально открыла южноатлантическую почтовую трассу. Так реализовывался проект организации регулярного почтового сообщения через Южную Атлантику. Для него фирма "Дорнье металльбаутен" разработала катапультный вариант «DoJ II». Планер усилили, лодку перекомпоновали, заменив пассажирские салоны грузовыми отсеками, установили дополнительные бензобаки. Экипаж увеличился до четырех человек. При этом полетная масса возросла до 8500 кг. В качестве плавучей базы, на которой монтировалась паровая катапульта фирмы "Хейнкель", использовали пароход "Вестфален", занимавший позицию на полпути между Наталем в Бразилии и Батерстом в Африке. Перевозивший почту самолет садился возле плавбазы, а затем заруливал на специальный фартук за ее кормой. Оттуда лодку краном поднимали на тележку катапульты. Машину осматривали, при необходимости ремонтировали, дозаправляли горючим и маслом на оставшийся путь. Катапульта использовалась потому, что самостоятельно взлететь с таким весом «Дорнье» «Валь» практически не мог (14914).</w:t>
      </w:r>
    </w:p>
    <w:p w14:paraId="6B766C34" w14:textId="77777777" w:rsidR="00550226" w:rsidRPr="0044524F" w:rsidRDefault="00550226" w:rsidP="009654CF">
      <w:pPr>
        <w:spacing w:after="0" w:line="240" w:lineRule="auto"/>
        <w:jc w:val="both"/>
        <w:rPr>
          <w:rFonts w:ascii="Times New Roman" w:hAnsi="Times New Roman"/>
          <w:color w:val="000000" w:themeColor="text1"/>
          <w:sz w:val="16"/>
          <w:szCs w:val="16"/>
        </w:rPr>
      </w:pPr>
    </w:p>
    <w:p w14:paraId="32E829EB" w14:textId="77777777" w:rsidR="00290858" w:rsidRPr="0044524F" w:rsidRDefault="002908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июня 1933 - DoJ II "Монсун" впервые катапультировали с борта "Вестфалена" с грузом почты. Он благополучно достиг Наталя. После ещё нескольких пробных полётов в феврале 1934 года "Люфтганза" официально открыла южноатлантическую почтовую трассу. Так реализовывался проект организации регулярного почтового сообщения через Южную Атлантику. Для него фирма "Дорнье металльбаутен" разработала катапультный вариант DoJ II. Планер усилили, лодку перекомпоновали, заменив пассажирские салоны грузовыми отсеками, установили дополнительные бензобаки. Экипаж увеличился до четырёх человек. При этом полётная масса возросла до 8500 кг.</w:t>
      </w:r>
    </w:p>
    <w:p w14:paraId="0F9CF5B0" w14:textId="77777777" w:rsidR="00290858" w:rsidRPr="0044524F" w:rsidRDefault="002908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плавучей базы, на которой монтировалась паровая катапульта фирмы "Хейнкель", использовали пароход "Вестфален", занимавший позицию на полпути между Наталем в Бразилии и Батерстом в Африке. Перевозивший почту самолёт садился возле плавбазы, а затем заруливал на специальный фартук за её кормой. Оттуда лодку краном поднимали на тележку катапульты. Машину осматривали, при необходимости ремонтировали, дозаправляли горючим и маслом на оставшийся путь. Катапульта использовалась потому, что самостоятельно взлететь с таким весом Дорнье "Валь" практически не мог (22649).</w:t>
      </w:r>
    </w:p>
    <w:p w14:paraId="138A2833" w14:textId="77777777" w:rsidR="00290858" w:rsidRPr="0044524F" w:rsidRDefault="00290858" w:rsidP="009654CF">
      <w:pPr>
        <w:spacing w:after="0" w:line="240" w:lineRule="auto"/>
        <w:jc w:val="both"/>
        <w:rPr>
          <w:rFonts w:ascii="Times New Roman" w:hAnsi="Times New Roman"/>
          <w:color w:val="000000" w:themeColor="text1"/>
          <w:sz w:val="16"/>
          <w:szCs w:val="16"/>
        </w:rPr>
      </w:pPr>
    </w:p>
    <w:p w14:paraId="4EAFB270" w14:textId="77777777" w:rsidR="00290858" w:rsidRPr="0044524F" w:rsidRDefault="00290858"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6 июня 1933 «Локхид «Вега» «Век прогресса», раскрашенный под гигантского стилизованного орла, стартовавший из Нью-Йорка 3 июня 1933 под управлением Джеймса Маттерна, выполнил перелет Москва – Омск. Вылетев в тот же день из Омска, Маттерн очень скоро ощутил в кабине запах выхлопных газов. В районе города Белово, Кемеровской области, летчик, страдая от головокружения и почти теряя сознание, ранним утром 7 июня был вынужден посадить самолет. При осмотре самолета было обнаружено разрушение выхлопного коллектора двигателя и повреждение руля высоты, возникшее при не очень удачной посадке.</w:t>
      </w:r>
    </w:p>
    <w:p w14:paraId="455D4F60" w14:textId="77777777" w:rsidR="00290858" w:rsidRPr="0044524F" w:rsidRDefault="00290858"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9 июня в 4 часа по московскому времени Маттерн вылетел из Белово, а через три часа опустился на аэродроме Красноярска. В 12 часов – взлет из Красноярска. 10 июня в 2.30 «Век прогресса» пролетел над Иркутском, а 11 июня в 3.20 (по московскому времени) Маттерн произвел посадку в Хабаровске.</w:t>
      </w:r>
    </w:p>
    <w:p w14:paraId="27BAE3CD" w14:textId="77777777" w:rsidR="00290858" w:rsidRPr="0044524F" w:rsidRDefault="002908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Только 14 июня, после двух неудачных стартов (11 и 13 июня), американец продолжил свой путь из Хабаровска на Аляску, которую ему довелось увидеть только месяц спустя. Через 18 часов полета Маттерн обнаружил, что двигатель самолета перегревается из-за масляного голодания – замерз масляный трубопровод. Километрах в восьмидесяти от села Анадырь на берегу реки Анадырь он приземлился, но неудачно – подломил шасси и помял крылья. К счастью, сам пилот не пострадал. Много дней он провел в ожидании спасателей. На двенадцатые сутки его обнаружили чукчи и привезли в Анадырь.</w:t>
      </w:r>
      <w:r w:rsidRPr="0044524F">
        <w:rPr>
          <w:rFonts w:ascii="Times New Roman" w:hAnsi="Times New Roman"/>
          <w:color w:val="000000" w:themeColor="text1"/>
          <w:sz w:val="16"/>
          <w:szCs w:val="16"/>
        </w:rPr>
        <w:br/>
      </w:r>
      <w:r w:rsidRPr="0044524F">
        <w:rPr>
          <w:rFonts w:ascii="Times New Roman" w:hAnsi="Times New Roman"/>
          <w:color w:val="000000" w:themeColor="text1"/>
          <w:sz w:val="16"/>
          <w:szCs w:val="16"/>
          <w:shd w:val="clear" w:color="auto" w:fill="FFFFFF"/>
        </w:rPr>
        <w:t>Дальнейший путь Маттерна проходил уже на советском самолете. Летчик С.А. Леваневский, перегонявший из Севастополя на Чукотку летающую лодку «Дорнье «Валь», получил задание вывезти американца на Аляску. 20 июля экипаж Леваневского доставил несостоявшегося рекордсмена в город Ном. 29 июля Джеймс Маттерн, замкнув кругосветный маршрут, добрался до Нью-Йорка (21438).</w:t>
      </w:r>
    </w:p>
    <w:p w14:paraId="47C205B7" w14:textId="77777777" w:rsidR="00290858" w:rsidRPr="0044524F" w:rsidRDefault="00290858" w:rsidP="009654CF">
      <w:pPr>
        <w:spacing w:after="0" w:line="240" w:lineRule="auto"/>
        <w:jc w:val="both"/>
        <w:rPr>
          <w:rFonts w:ascii="Times New Roman" w:hAnsi="Times New Roman"/>
          <w:color w:val="000000" w:themeColor="text1"/>
          <w:sz w:val="16"/>
          <w:szCs w:val="16"/>
        </w:rPr>
      </w:pPr>
    </w:p>
    <w:p w14:paraId="3921F714"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июня 1933 в Нью-Джерси впервые открылся кинотеатр, в котором зрители могли смотреть кино, не выходя из автомобилей (4962).</w:t>
      </w:r>
    </w:p>
    <w:p w14:paraId="6710892A"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6AF45E" w14:textId="77777777" w:rsidR="00550226" w:rsidRPr="0044524F" w:rsidRDefault="005502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6 июня</w:t>
      </w:r>
      <w:r w:rsidRPr="0044524F">
        <w:rPr>
          <w:rFonts w:ascii="Times New Roman" w:hAnsi="Times New Roman"/>
          <w:color w:val="000000" w:themeColor="text1"/>
          <w:sz w:val="16"/>
          <w:szCs w:val="16"/>
        </w:rPr>
        <w:t xml:space="preserve"> в 1933 году в городе Кэмден (штат Нью-Джерси) открывается первый кинотеатр, в котором автолюбители могут смотреть кино не выходя из автомобиля. Стоит это удовольствие 25 центов для одного человека плюс 25 центов за просмотр фильма машиной, но в сумме не превышает одного доллара. Размер экрана был 12х15 м (14914).</w:t>
      </w:r>
    </w:p>
    <w:p w14:paraId="222D610A" w14:textId="77777777" w:rsidR="00550226" w:rsidRPr="0044524F" w:rsidRDefault="00550226" w:rsidP="009654CF">
      <w:pPr>
        <w:spacing w:after="0" w:line="240" w:lineRule="auto"/>
        <w:jc w:val="both"/>
        <w:rPr>
          <w:rFonts w:ascii="Times New Roman" w:hAnsi="Times New Roman"/>
          <w:color w:val="000000" w:themeColor="text1"/>
          <w:sz w:val="16"/>
          <w:szCs w:val="16"/>
        </w:rPr>
      </w:pPr>
    </w:p>
    <w:p w14:paraId="41F07A86"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1994D5F"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139F9D9"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июня 1933 года после демонстрации Наркомвоенмору Ворошилову и Наркомтяжпрому Орджоникидзе самолета РД, там же на аэродроме в присутствии Баранова и Алксниса было принято решение о постройке 40 экземпляров этой машины в военном варианте.</w:t>
      </w:r>
    </w:p>
    <w:p w14:paraId="1832C67D"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этого решения в июне 1933 года Барановым было отдано распоряжение 39 заводу: «Немедленно приступить к работам по серийной постройке самолета РД в военном варианте. Работу вести самым быстрым темпом с тем, чтобы в мае 1934 года выпустить первые 10 машин и обеспечить последующий выпуск их по 10 машин в месяц. Ввиду особой важности и срочности задачи по подготовке производства и по постройке, пойти на необходимый производственный риск, отказавшись от нормальной схемы серийного производства, как не укладывающейся в указанные короткие сроки. Чертежи самолета будут Вам поданы в срок с 1 июля – 1 ноября 1933 года» (4256, 30).</w:t>
      </w:r>
    </w:p>
    <w:p w14:paraId="6EF555EA"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910FCBC" w14:textId="77777777" w:rsidR="00FA456A" w:rsidRPr="00142305" w:rsidRDefault="00FA456A" w:rsidP="00FA45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июня 1933 г. после демонс</w:t>
      </w:r>
      <w:r w:rsidRPr="00142305">
        <w:rPr>
          <w:rFonts w:ascii="Times New Roman" w:hAnsi="Times New Roman"/>
          <w:color w:val="0070C0"/>
          <w:sz w:val="16"/>
          <w:szCs w:val="16"/>
        </w:rPr>
        <w:softHyphen/>
        <w:t>трации наркомам К.Е. Ворошилову и ЕК. Орджоникидзе самолета РД, прямо на аэродроме в присутствии П.И. Бара</w:t>
      </w:r>
      <w:r w:rsidRPr="00142305">
        <w:rPr>
          <w:rFonts w:ascii="Times New Roman" w:hAnsi="Times New Roman"/>
          <w:color w:val="0070C0"/>
          <w:sz w:val="16"/>
          <w:szCs w:val="16"/>
        </w:rPr>
        <w:softHyphen/>
        <w:t>нова и Я И Алксниса приняли решение о постройке 40 экземпляров машины в во</w:t>
      </w:r>
      <w:r w:rsidRPr="00142305">
        <w:rPr>
          <w:rFonts w:ascii="Times New Roman" w:hAnsi="Times New Roman"/>
          <w:color w:val="0070C0"/>
          <w:sz w:val="16"/>
          <w:szCs w:val="16"/>
        </w:rPr>
        <w:softHyphen/>
        <w:t>енном варианте. В том же месяце Бара</w:t>
      </w:r>
      <w:r w:rsidRPr="00142305">
        <w:rPr>
          <w:rFonts w:ascii="Times New Roman" w:hAnsi="Times New Roman"/>
          <w:color w:val="0070C0"/>
          <w:sz w:val="16"/>
          <w:szCs w:val="16"/>
        </w:rPr>
        <w:softHyphen/>
        <w:t>нов отдал распоряжение на московский завод № 39: «Немедленно приступить к работам по серийной постройке самоле</w:t>
      </w:r>
      <w:r w:rsidRPr="00142305">
        <w:rPr>
          <w:rFonts w:ascii="Times New Roman" w:hAnsi="Times New Roman"/>
          <w:color w:val="0070C0"/>
          <w:sz w:val="16"/>
          <w:szCs w:val="16"/>
        </w:rPr>
        <w:softHyphen/>
        <w:t>та РД в военном варианте. Работу вести самым быстрым темпом с тем, чтобы в мае 1934 года выпустить первые 10 ма</w:t>
      </w:r>
      <w:r w:rsidRPr="00142305">
        <w:rPr>
          <w:rFonts w:ascii="Times New Roman" w:hAnsi="Times New Roman"/>
          <w:color w:val="0070C0"/>
          <w:sz w:val="16"/>
          <w:szCs w:val="16"/>
        </w:rPr>
        <w:softHyphen/>
        <w:t>шин и обеспечить последующий выпуск их по 10 машин в месяц. Ввиду особой важности и срочности задачи, к работе по подготовке производства и постройки пойти на необходимый производствен</w:t>
      </w:r>
      <w:r w:rsidRPr="00142305">
        <w:rPr>
          <w:rFonts w:ascii="Times New Roman" w:hAnsi="Times New Roman"/>
          <w:color w:val="0070C0"/>
          <w:sz w:val="16"/>
          <w:szCs w:val="16"/>
        </w:rPr>
        <w:softHyphen/>
        <w:t>ный риск, отказавшись от нормальной схемы серийного производства, как не укладывающийся в указанные короткие сроки» (24946).</w:t>
      </w:r>
    </w:p>
    <w:p w14:paraId="7BBCAF81" w14:textId="77777777" w:rsidR="00FA456A" w:rsidRPr="00142305" w:rsidRDefault="00FA456A" w:rsidP="00FA456A">
      <w:pPr>
        <w:spacing w:after="0" w:line="240" w:lineRule="auto"/>
        <w:jc w:val="both"/>
        <w:rPr>
          <w:rFonts w:ascii="Times New Roman" w:hAnsi="Times New Roman"/>
          <w:color w:val="0070C0"/>
          <w:sz w:val="16"/>
          <w:szCs w:val="16"/>
        </w:rPr>
      </w:pPr>
    </w:p>
    <w:p w14:paraId="54EDEE2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июня 1933 г. построили макет машины И-15 мотора Райт «Циклон» 8СК-1820 Р-3 и началось изго</w:t>
      </w:r>
      <w:r w:rsidRPr="0044524F">
        <w:rPr>
          <w:rFonts w:ascii="Times New Roman" w:hAnsi="Times New Roman"/>
          <w:color w:val="000000" w:themeColor="text1"/>
          <w:sz w:val="16"/>
          <w:szCs w:val="16"/>
        </w:rPr>
        <w:softHyphen/>
        <w:t>товление деталей самолета (10667).</w:t>
      </w:r>
    </w:p>
    <w:p w14:paraId="46D69A5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31EC210C"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ABCA599"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96B0C08" w14:textId="77777777" w:rsidR="004E5B4E" w:rsidRPr="0044524F" w:rsidRDefault="004E5B4E"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К началу июня 1933 года появилась САУ, предназначенная для установки на ней 203-мм гаубицы особой мощности Б-4, которая получила обозначение СУ-14. В отличие от СУ-7, приоритет по СУ-14 оказался более высоким. Дело в том, что Б-4 как раз в 1933 году приняли на вооружение Красной армии, и для неё «самоходный лафет» был вполне актуален. Базой для СУ-14 был выбран Т-28, но при этом с самого начала ходовая часть машины весьма существенно отличалась от прародителя. Ведущим инженером машины был П.Н. Сячинтов, большую работу по ней провёл и Л.С. Троянов, в будущем — один из наиболее известных создателей советских тяжёлых САУ (19857).</w:t>
      </w:r>
    </w:p>
    <w:p w14:paraId="6AB94C58" w14:textId="77777777" w:rsidR="004E5B4E" w:rsidRPr="0044524F" w:rsidRDefault="004E5B4E" w:rsidP="009654CF">
      <w:pPr>
        <w:shd w:val="clear" w:color="auto" w:fill="FFFFFF"/>
        <w:spacing w:after="0" w:line="240" w:lineRule="auto"/>
        <w:jc w:val="both"/>
        <w:rPr>
          <w:rFonts w:ascii="Times New Roman" w:hAnsi="Times New Roman"/>
          <w:color w:val="000000" w:themeColor="text1"/>
          <w:sz w:val="16"/>
          <w:szCs w:val="16"/>
        </w:rPr>
      </w:pPr>
    </w:p>
    <w:p w14:paraId="4229A91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июня 1933 года на Харьковский паровозостроительный завод имени Коминтерна (ХПЗ), куда в мае постановлением Правительства было передано производство танка Т-35, в срочном порядке отправили еще не прошедшую испытания машину Т-35-2 и всю рабочую документацию по Т-35А. Проект последнего значительно отличался от обоих прототипов. Танк имел удлиненную на одну тележку ходовую часть, малые пулеметные башни новой конструкции, средние башни увеличенного размера с 45-мм орудиями 20K, измененную форму корпуса и т.д. По существу это была уже новая машина, что вызвало ряд трудностей при ее изготовлении (3862).</w:t>
      </w:r>
    </w:p>
    <w:p w14:paraId="5347936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производству Т-35 подключили несколько заводов, в том числе Ижорский (бронекорпуса), "Красный Октябрь" (коробки передач), Рыбинский (двигатели). По плану Харьковского предприятия, смежники должны были уже в июне 1933 года начать отгрузку своей продукции на ХПЗ, но реально они смогли это сделать лишь в августе (3862).</w:t>
      </w:r>
    </w:p>
    <w:p w14:paraId="7BEF4A1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25F9FC25"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июня 1933 г. в Харьков в срочном порядке отправили еще не прошедшую испытания машину Т-35—2 и всю рабочую документацию по Т-35А. Проект последнего значительно отличался от обоих прототипов. Танк имел удлиненную на одну тележку ходовую часть, малые пулеметные башни новой конструкции, средние башни увеличенного размера с 45-мм орудиями 20К, измененную форму корпуса и т.д (15117).</w:t>
      </w:r>
    </w:p>
    <w:p w14:paraId="024ADC4E" w14:textId="77777777" w:rsidR="000F0C05" w:rsidRPr="0044524F" w:rsidRDefault="000F0C05" w:rsidP="009654CF">
      <w:pPr>
        <w:spacing w:after="0" w:line="240" w:lineRule="auto"/>
        <w:jc w:val="both"/>
        <w:rPr>
          <w:rFonts w:ascii="Times New Roman" w:hAnsi="Times New Roman"/>
          <w:color w:val="000000" w:themeColor="text1"/>
          <w:sz w:val="16"/>
          <w:szCs w:val="16"/>
        </w:rPr>
      </w:pPr>
    </w:p>
    <w:p w14:paraId="0CF24D0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первых числах июня 1933 директор ХПЗ И.П.Бондаренко направил Нач. УММ РККА Халепскому фотоснимки модели, разработанного эскизного проекта БТ с 76-мм пушкой (3881,3).</w:t>
      </w:r>
    </w:p>
    <w:p w14:paraId="46825506"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0BCC7812"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июня 1933 года на Харьковский паровозостроительный завод имени Комин</w:t>
      </w:r>
      <w:r w:rsidRPr="00142305">
        <w:rPr>
          <w:rFonts w:ascii="Times New Roman" w:hAnsi="Times New Roman"/>
          <w:color w:val="0070C0"/>
          <w:sz w:val="16"/>
          <w:szCs w:val="16"/>
        </w:rPr>
        <w:softHyphen/>
        <w:t>терна (ХПЗ) в срочном порядке отправили еще не про</w:t>
      </w:r>
      <w:r w:rsidRPr="00142305">
        <w:rPr>
          <w:rFonts w:ascii="Times New Roman" w:hAnsi="Times New Roman"/>
          <w:color w:val="0070C0"/>
          <w:sz w:val="16"/>
          <w:szCs w:val="16"/>
        </w:rPr>
        <w:softHyphen/>
        <w:t>шедшую испытаний машину Т-35-2 и всю ра</w:t>
      </w:r>
      <w:r w:rsidRPr="00142305">
        <w:rPr>
          <w:rFonts w:ascii="Times New Roman" w:hAnsi="Times New Roman"/>
          <w:color w:val="0070C0"/>
          <w:sz w:val="16"/>
          <w:szCs w:val="16"/>
        </w:rPr>
        <w:softHyphen/>
        <w:t>бочую документацию по Т-35А.</w:t>
      </w:r>
    </w:p>
    <w:p w14:paraId="3E270E80"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 танка Т-35А значительно отли</w:t>
      </w:r>
      <w:r w:rsidRPr="00142305">
        <w:rPr>
          <w:rFonts w:ascii="Times New Roman" w:hAnsi="Times New Roman"/>
          <w:color w:val="0070C0"/>
          <w:sz w:val="16"/>
          <w:szCs w:val="16"/>
        </w:rPr>
        <w:softHyphen/>
        <w:t>чался от обоих прототипов Т-35-1 и Т-35-2. Он имел измененную конструкцию ходовой части, другой корпус, новые башни и т. д. По существу, это была новая машина, что вы</w:t>
      </w:r>
      <w:r w:rsidRPr="00142305">
        <w:rPr>
          <w:rFonts w:ascii="Times New Roman" w:hAnsi="Times New Roman"/>
          <w:color w:val="0070C0"/>
          <w:sz w:val="16"/>
          <w:szCs w:val="16"/>
        </w:rPr>
        <w:softHyphen/>
        <w:t>звало ряд трудностей при ее изготовлении и освоении в серии.</w:t>
      </w:r>
    </w:p>
    <w:p w14:paraId="7B6414AC"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производству Т-35 подключили не</w:t>
      </w:r>
      <w:r w:rsidRPr="00142305">
        <w:rPr>
          <w:rFonts w:ascii="Times New Roman" w:hAnsi="Times New Roman"/>
          <w:color w:val="0070C0"/>
          <w:sz w:val="16"/>
          <w:szCs w:val="16"/>
        </w:rPr>
        <w:softHyphen/>
        <w:t>сколько заводов, в том числе Ижорский (бронекорпуса), «Красный Октябрь» (ко</w:t>
      </w:r>
      <w:r w:rsidRPr="00142305">
        <w:rPr>
          <w:rFonts w:ascii="Times New Roman" w:hAnsi="Times New Roman"/>
          <w:color w:val="0070C0"/>
          <w:sz w:val="16"/>
          <w:szCs w:val="16"/>
        </w:rPr>
        <w:softHyphen/>
        <w:t>робки передач), Рыбинский (двигатели), Ярославский (обрезинка катков, сальники и т. п.). По плану предприятия-смежники должны были уже в июне 1933 года начать отгрузку своей продукции на ХПЗ, но ре</w:t>
      </w:r>
      <w:r w:rsidRPr="00142305">
        <w:rPr>
          <w:rFonts w:ascii="Times New Roman" w:hAnsi="Times New Roman"/>
          <w:color w:val="0070C0"/>
          <w:sz w:val="16"/>
          <w:szCs w:val="16"/>
        </w:rPr>
        <w:softHyphen/>
        <w:t>ально они смогли это сделать лишь два месяца спустя. Т-35 изготавливался по уз</w:t>
      </w:r>
      <w:r w:rsidRPr="00142305">
        <w:rPr>
          <w:rFonts w:ascii="Times New Roman" w:hAnsi="Times New Roman"/>
          <w:color w:val="0070C0"/>
          <w:sz w:val="16"/>
          <w:szCs w:val="16"/>
        </w:rPr>
        <w:softHyphen/>
        <w:t>ловому принципу - было создано девять участков, каждый из которых вел работы по одному узлу или агрегату танка. Оконча</w:t>
      </w:r>
      <w:r w:rsidRPr="00142305">
        <w:rPr>
          <w:rFonts w:ascii="Times New Roman" w:hAnsi="Times New Roman"/>
          <w:color w:val="0070C0"/>
          <w:sz w:val="16"/>
          <w:szCs w:val="16"/>
        </w:rPr>
        <w:softHyphen/>
        <w:t>тельная сборка Т-35 велась на специальных козлах. Изготовление на них первой маши</w:t>
      </w:r>
      <w:r w:rsidRPr="00142305">
        <w:rPr>
          <w:rFonts w:ascii="Times New Roman" w:hAnsi="Times New Roman"/>
          <w:color w:val="0070C0"/>
          <w:sz w:val="16"/>
          <w:szCs w:val="16"/>
        </w:rPr>
        <w:softHyphen/>
        <w:t>ны началось 18 октября 1933 года и закон</w:t>
      </w:r>
      <w:r w:rsidRPr="00142305">
        <w:rPr>
          <w:rFonts w:ascii="Times New Roman" w:hAnsi="Times New Roman"/>
          <w:color w:val="0070C0"/>
          <w:sz w:val="16"/>
          <w:szCs w:val="16"/>
        </w:rPr>
        <w:softHyphen/>
        <w:t>чилось к 1 ноября (25014).</w:t>
      </w:r>
    </w:p>
    <w:p w14:paraId="4979F1F6" w14:textId="77777777" w:rsidR="00CD62DA" w:rsidRPr="00142305" w:rsidRDefault="00CD62DA" w:rsidP="00CD62DA">
      <w:pPr>
        <w:spacing w:after="0" w:line="240" w:lineRule="auto"/>
        <w:jc w:val="both"/>
        <w:rPr>
          <w:rFonts w:ascii="Times New Roman" w:hAnsi="Times New Roman"/>
          <w:color w:val="0070C0"/>
          <w:sz w:val="16"/>
          <w:szCs w:val="16"/>
        </w:rPr>
      </w:pPr>
    </w:p>
    <w:p w14:paraId="1104903B"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71DCF71"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DAC221A"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июня 1933 года было угверждено Техническое задание на строительство бетонированной взлетной дорож</w:t>
      </w:r>
      <w:r w:rsidRPr="0044524F">
        <w:rPr>
          <w:rFonts w:ascii="Times New Roman" w:hAnsi="Times New Roman"/>
          <w:color w:val="000000" w:themeColor="text1"/>
          <w:sz w:val="16"/>
          <w:szCs w:val="16"/>
        </w:rPr>
        <w:softHyphen/>
        <w:t>ки. 13 июня 1933 спустя шесть дней разработали техниче</w:t>
      </w:r>
      <w:r w:rsidRPr="0044524F">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44524F">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44524F">
        <w:rPr>
          <w:rFonts w:ascii="Times New Roman" w:hAnsi="Times New Roman"/>
          <w:color w:val="000000" w:themeColor="text1"/>
          <w:sz w:val="16"/>
          <w:szCs w:val="16"/>
        </w:rPr>
        <w:softHyphen/>
        <w:t>ризонтальную части с площадкой разме</w:t>
      </w:r>
      <w:r w:rsidRPr="0044524F">
        <w:rPr>
          <w:rFonts w:ascii="Times New Roman" w:hAnsi="Times New Roman"/>
          <w:color w:val="000000" w:themeColor="text1"/>
          <w:sz w:val="16"/>
          <w:szCs w:val="16"/>
        </w:rPr>
        <w:softHyphen/>
        <w:t>ром 25x25 метров, расположенной на вер</w:t>
      </w:r>
      <w:r w:rsidRPr="0044524F">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44524F">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44524F">
        <w:rPr>
          <w:rFonts w:ascii="Times New Roman" w:hAnsi="Times New Roman"/>
          <w:color w:val="000000" w:themeColor="text1"/>
          <w:sz w:val="16"/>
          <w:szCs w:val="16"/>
        </w:rPr>
        <w:softHyphen/>
        <w:t>ность бетонной дорожки возросла с 1500 до 1800 метров. Наклонная часть старто</w:t>
      </w:r>
      <w:r w:rsidRPr="0044524F">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44524F">
        <w:rPr>
          <w:rFonts w:ascii="Times New Roman" w:hAnsi="Times New Roman"/>
          <w:color w:val="000000" w:themeColor="text1"/>
          <w:sz w:val="16"/>
          <w:szCs w:val="16"/>
        </w:rPr>
        <w:softHyphen/>
        <w:t>вовала до середины 1960-х годов. Этот па</w:t>
      </w:r>
      <w:r w:rsidRPr="0044524F">
        <w:rPr>
          <w:rFonts w:ascii="Times New Roman" w:hAnsi="Times New Roman"/>
          <w:color w:val="000000" w:themeColor="text1"/>
          <w:sz w:val="16"/>
          <w:szCs w:val="16"/>
        </w:rPr>
        <w:softHyphen/>
        <w:t>мятник истории снесли по нелепому рас</w:t>
      </w:r>
      <w:r w:rsidRPr="0044524F">
        <w:rPr>
          <w:rFonts w:ascii="Times New Roman" w:hAnsi="Times New Roman"/>
          <w:color w:val="000000" w:themeColor="text1"/>
          <w:sz w:val="16"/>
          <w:szCs w:val="16"/>
        </w:rPr>
        <w:softHyphen/>
        <w:t>поряжению генерала Н. Пушко, совме</w:t>
      </w:r>
      <w:r w:rsidRPr="0044524F">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44524F">
        <w:rPr>
          <w:rFonts w:ascii="Times New Roman" w:hAnsi="Times New Roman"/>
          <w:color w:val="000000" w:themeColor="text1"/>
          <w:sz w:val="16"/>
          <w:szCs w:val="16"/>
        </w:rPr>
        <w:softHyphen/>
        <w:t>ющей к аэродрому, и начальника Щелков</w:t>
      </w:r>
      <w:r w:rsidRPr="0044524F">
        <w:rPr>
          <w:rFonts w:ascii="Times New Roman" w:hAnsi="Times New Roman"/>
          <w:color w:val="000000" w:themeColor="text1"/>
          <w:sz w:val="16"/>
          <w:szCs w:val="16"/>
        </w:rPr>
        <w:softHyphen/>
        <w:t>ского гарнизона.</w:t>
      </w:r>
    </w:p>
    <w:p w14:paraId="5FA5299E"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со строительством поло</w:t>
      </w:r>
      <w:r w:rsidRPr="0044524F">
        <w:rPr>
          <w:rFonts w:ascii="Times New Roman" w:hAnsi="Times New Roman"/>
          <w:color w:val="000000" w:themeColor="text1"/>
          <w:sz w:val="16"/>
          <w:szCs w:val="16"/>
        </w:rPr>
        <w:softHyphen/>
        <w:t>сы 2000 рабочих и красноармейцев в те</w:t>
      </w:r>
      <w:r w:rsidRPr="0044524F">
        <w:rPr>
          <w:rFonts w:ascii="Times New Roman" w:hAnsi="Times New Roman"/>
          <w:color w:val="000000" w:themeColor="text1"/>
          <w:sz w:val="16"/>
          <w:szCs w:val="16"/>
        </w:rPr>
        <w:softHyphen/>
        <w:t>чение 15 суток сравнивали большой зем</w:t>
      </w:r>
      <w:r w:rsidRPr="0044524F">
        <w:rPr>
          <w:rFonts w:ascii="Times New Roman" w:hAnsi="Times New Roman"/>
          <w:color w:val="000000" w:themeColor="text1"/>
          <w:sz w:val="16"/>
          <w:szCs w:val="16"/>
        </w:rPr>
        <w:softHyphen/>
        <w:t>ляной холм, лежавший на пути самоле</w:t>
      </w:r>
      <w:r w:rsidRPr="0044524F">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44524F">
        <w:rPr>
          <w:rFonts w:ascii="Times New Roman" w:hAnsi="Times New Roman"/>
          <w:color w:val="000000" w:themeColor="text1"/>
          <w:sz w:val="16"/>
          <w:szCs w:val="16"/>
        </w:rPr>
        <w:softHyphen/>
        <w:t>венное препятствие.</w:t>
      </w:r>
    </w:p>
    <w:p w14:paraId="5E3A7AFF" w14:textId="77777777" w:rsidR="00185C06" w:rsidRPr="0044524F" w:rsidRDefault="00185C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Подобных бетонных дорожек со старто</w:t>
      </w:r>
      <w:r w:rsidRPr="0044524F">
        <w:rPr>
          <w:rFonts w:ascii="Times New Roman" w:hAnsi="Times New Roman"/>
          <w:color w:val="000000" w:themeColor="text1"/>
          <w:sz w:val="16"/>
          <w:szCs w:val="16"/>
        </w:rPr>
        <w:softHyphen/>
        <w:t>вой горкой не было ни в одной стране ми</w:t>
      </w:r>
      <w:r w:rsidRPr="0044524F">
        <w:rPr>
          <w:rFonts w:ascii="Times New Roman" w:hAnsi="Times New Roman"/>
          <w:color w:val="000000" w:themeColor="text1"/>
          <w:sz w:val="16"/>
          <w:szCs w:val="16"/>
        </w:rPr>
        <w:softHyphen/>
        <w:t>ра, и причиной ее появления было отсутст</w:t>
      </w:r>
      <w:r w:rsidRPr="0044524F">
        <w:rPr>
          <w:rFonts w:ascii="Times New Roman" w:hAnsi="Times New Roman"/>
          <w:color w:val="000000" w:themeColor="text1"/>
          <w:sz w:val="16"/>
          <w:szCs w:val="16"/>
        </w:rPr>
        <w:softHyphen/>
        <w:t>вие тормозов колес у самолета РД. Послед</w:t>
      </w:r>
      <w:r w:rsidRPr="0044524F">
        <w:rPr>
          <w:rFonts w:ascii="Times New Roman" w:hAnsi="Times New Roman"/>
          <w:color w:val="000000" w:themeColor="text1"/>
          <w:sz w:val="16"/>
          <w:szCs w:val="16"/>
        </w:rPr>
        <w:softHyphen/>
        <w:t>нее обстоятельство усложняло выдержива</w:t>
      </w:r>
      <w:r w:rsidRPr="0044524F">
        <w:rPr>
          <w:rFonts w:ascii="Times New Roman" w:hAnsi="Times New Roman"/>
          <w:color w:val="000000" w:themeColor="text1"/>
          <w:sz w:val="16"/>
          <w:szCs w:val="16"/>
        </w:rPr>
        <w:softHyphen/>
        <w:t>ние направления разбега тяжелой маши</w:t>
      </w:r>
      <w:r w:rsidRPr="0044524F">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44524F">
        <w:rPr>
          <w:rFonts w:ascii="Times New Roman" w:hAnsi="Times New Roman"/>
          <w:color w:val="000000" w:themeColor="text1"/>
          <w:sz w:val="16"/>
          <w:szCs w:val="16"/>
        </w:rPr>
        <w:softHyphen/>
        <w:t>хранять его направление с помощью аэро</w:t>
      </w:r>
      <w:r w:rsidRPr="0044524F">
        <w:rPr>
          <w:rFonts w:ascii="Times New Roman" w:hAnsi="Times New Roman"/>
          <w:color w:val="000000" w:themeColor="text1"/>
          <w:sz w:val="16"/>
          <w:szCs w:val="16"/>
        </w:rPr>
        <w:softHyphen/>
        <w:t>динамического руля.</w:t>
      </w:r>
    </w:p>
    <w:p w14:paraId="048D785C" w14:textId="77777777" w:rsidR="00185C06" w:rsidRPr="0044524F" w:rsidRDefault="00185C06" w:rsidP="009654CF">
      <w:pPr>
        <w:pStyle w:val="txt1"/>
        <w:shd w:val="clear" w:color="auto" w:fill="FFFFFF"/>
        <w:spacing w:before="0" w:beforeAutospacing="0" w:after="0" w:afterAutospacing="0" w:line="240" w:lineRule="auto"/>
        <w:ind w:firstLine="0"/>
        <w:rPr>
          <w:color w:val="000000" w:themeColor="text1"/>
          <w:sz w:val="16"/>
          <w:szCs w:val="16"/>
        </w:rPr>
      </w:pPr>
      <w:r w:rsidRPr="0044524F">
        <w:rPr>
          <w:color w:val="000000" w:themeColor="text1"/>
          <w:sz w:val="16"/>
          <w:szCs w:val="16"/>
        </w:rPr>
        <w:t>Впоследствии аэродром НИИ ВВС стали называть Чкаловская в соответствии с од</w:t>
      </w:r>
      <w:r w:rsidRPr="0044524F">
        <w:rPr>
          <w:color w:val="000000" w:themeColor="text1"/>
          <w:sz w:val="16"/>
          <w:szCs w:val="16"/>
        </w:rPr>
        <w:softHyphen/>
        <w:t>ноименной железнодорожной станцией (12725).</w:t>
      </w:r>
    </w:p>
    <w:p w14:paraId="424F0E3B" w14:textId="77777777" w:rsidR="00185C06" w:rsidRPr="0044524F" w:rsidRDefault="00185C06" w:rsidP="009654CF">
      <w:pPr>
        <w:pStyle w:val="txt1"/>
        <w:shd w:val="clear" w:color="auto" w:fill="FFFFFF"/>
        <w:spacing w:before="0" w:beforeAutospacing="0" w:after="0" w:afterAutospacing="0" w:line="240" w:lineRule="auto"/>
        <w:ind w:firstLine="0"/>
        <w:rPr>
          <w:color w:val="000000" w:themeColor="text1"/>
          <w:sz w:val="16"/>
          <w:szCs w:val="16"/>
        </w:rPr>
      </w:pPr>
    </w:p>
    <w:p w14:paraId="2B96F957" w14:textId="77777777" w:rsidR="00B80661" w:rsidRPr="0044524F" w:rsidRDefault="00B806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июня 1933 г. «С-1» вышел на государственные испытания, предусматривавшие пять полётов: один — на потолок, два — на переходы с привяз</w:t>
      </w:r>
      <w:r w:rsidRPr="0044524F">
        <w:rPr>
          <w:rFonts w:ascii="Times New Roman" w:hAnsi="Times New Roman"/>
          <w:color w:val="000000" w:themeColor="text1"/>
          <w:sz w:val="16"/>
          <w:szCs w:val="16"/>
        </w:rPr>
        <w:softHyphen/>
        <w:t>ного состояния на моторный полёт (на это затра</w:t>
      </w:r>
      <w:r w:rsidRPr="0044524F">
        <w:rPr>
          <w:rFonts w:ascii="Times New Roman" w:hAnsi="Times New Roman"/>
          <w:color w:val="000000" w:themeColor="text1"/>
          <w:sz w:val="16"/>
          <w:szCs w:val="16"/>
        </w:rPr>
        <w:softHyphen/>
        <w:t>чивалось 9 минут), один — на продолжитель</w:t>
      </w:r>
      <w:r w:rsidRPr="0044524F">
        <w:rPr>
          <w:rFonts w:ascii="Times New Roman" w:hAnsi="Times New Roman"/>
          <w:color w:val="000000" w:themeColor="text1"/>
          <w:sz w:val="16"/>
          <w:szCs w:val="16"/>
        </w:rPr>
        <w:softHyphen/>
        <w:t>ность и один — тренировочный. Помимо двух наблюдателей и аппаратуры для наблюдения, в корзине предусмотрели штатный пулемёт.</w:t>
      </w:r>
    </w:p>
    <w:p w14:paraId="59E837ED" w14:textId="77777777" w:rsidR="00B80661" w:rsidRPr="0044524F" w:rsidRDefault="00B806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июня испытания завершились. Комиссия пришла к выводу, что «С-1» представляет собой оригинальную конструкцию, увеличивающую в четыре раза мобильность воздухоплаватель</w:t>
      </w:r>
      <w:r w:rsidRPr="0044524F">
        <w:rPr>
          <w:rFonts w:ascii="Times New Roman" w:hAnsi="Times New Roman"/>
          <w:color w:val="000000" w:themeColor="text1"/>
          <w:sz w:val="16"/>
          <w:szCs w:val="16"/>
        </w:rPr>
        <w:softHyphen/>
        <w:t>ных строевых частей. Аэростат показал удовлет</w:t>
      </w:r>
      <w:r w:rsidRPr="0044524F">
        <w:rPr>
          <w:rFonts w:ascii="Times New Roman" w:hAnsi="Times New Roman"/>
          <w:color w:val="000000" w:themeColor="text1"/>
          <w:sz w:val="16"/>
          <w:szCs w:val="16"/>
        </w:rPr>
        <w:softHyphen/>
        <w:t>ворительную устойчивость, надёжную управляе</w:t>
      </w:r>
      <w:r w:rsidRPr="0044524F">
        <w:rPr>
          <w:rFonts w:ascii="Times New Roman" w:hAnsi="Times New Roman"/>
          <w:color w:val="000000" w:themeColor="text1"/>
          <w:sz w:val="16"/>
          <w:szCs w:val="16"/>
        </w:rPr>
        <w:softHyphen/>
        <w:t>мость по высоте и направлению. Конструкцию гондолы, однако, признали неудовлетворитель</w:t>
      </w:r>
      <w:r w:rsidRPr="0044524F">
        <w:rPr>
          <w:rFonts w:ascii="Times New Roman" w:hAnsi="Times New Roman"/>
          <w:color w:val="000000" w:themeColor="text1"/>
          <w:sz w:val="16"/>
          <w:szCs w:val="16"/>
        </w:rPr>
        <w:softHyphen/>
        <w:t>ной, так как она не обеспечивала нормальный обзор в полёте. Расположение оборудования и приборов также признали неудачным. Боль</w:t>
      </w:r>
      <w:r w:rsidRPr="0044524F">
        <w:rPr>
          <w:rFonts w:ascii="Times New Roman" w:hAnsi="Times New Roman"/>
          <w:color w:val="000000" w:themeColor="text1"/>
          <w:sz w:val="16"/>
          <w:szCs w:val="16"/>
        </w:rPr>
        <w:softHyphen/>
        <w:t>шие неудобства доставлял и тянущий винт. «С-1» не смог развить максимальную скорость, так как его киль начинал деформироваться уже при ско</w:t>
      </w:r>
      <w:r w:rsidRPr="0044524F">
        <w:rPr>
          <w:rFonts w:ascii="Times New Roman" w:hAnsi="Times New Roman"/>
          <w:color w:val="000000" w:themeColor="text1"/>
          <w:sz w:val="16"/>
          <w:szCs w:val="16"/>
        </w:rPr>
        <w:softHyphen/>
        <w:t>рости 60 км/ч.</w:t>
      </w:r>
    </w:p>
    <w:p w14:paraId="3CB65737" w14:textId="77777777" w:rsidR="00B80661" w:rsidRPr="0044524F" w:rsidRDefault="00B8066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устранение указанных дефектов влекло за собой перерасчёт многих частей аэро</w:t>
      </w:r>
      <w:r w:rsidRPr="0044524F">
        <w:rPr>
          <w:rFonts w:ascii="Times New Roman" w:hAnsi="Times New Roman"/>
          <w:color w:val="000000" w:themeColor="text1"/>
          <w:sz w:val="16"/>
          <w:szCs w:val="16"/>
        </w:rPr>
        <w:softHyphen/>
        <w:t>стата, то решили после исправления киля и пе</w:t>
      </w:r>
      <w:r w:rsidRPr="0044524F">
        <w:rPr>
          <w:rFonts w:ascii="Times New Roman" w:hAnsi="Times New Roman"/>
          <w:color w:val="000000" w:themeColor="text1"/>
          <w:sz w:val="16"/>
          <w:szCs w:val="16"/>
        </w:rPr>
        <w:softHyphen/>
        <w:t>реконструирования такелажа передать «С-1» в строевую часть для тренировочных полётов, а «Дирижаблестрою» заказать войсковую серию из двух аэростатов, лишённых отмеченных недо</w:t>
      </w:r>
      <w:r w:rsidRPr="0044524F">
        <w:rPr>
          <w:rFonts w:ascii="Times New Roman" w:hAnsi="Times New Roman"/>
          <w:color w:val="000000" w:themeColor="text1"/>
          <w:sz w:val="16"/>
          <w:szCs w:val="16"/>
        </w:rPr>
        <w:softHyphen/>
        <w:t>статков (20120).</w:t>
      </w:r>
    </w:p>
    <w:p w14:paraId="3A3CA3D6" w14:textId="77777777" w:rsidR="00B80661" w:rsidRPr="0044524F" w:rsidRDefault="00B80661" w:rsidP="009654CF">
      <w:pPr>
        <w:spacing w:after="0" w:line="240" w:lineRule="auto"/>
        <w:jc w:val="both"/>
        <w:rPr>
          <w:rFonts w:ascii="Times New Roman" w:hAnsi="Times New Roman"/>
          <w:color w:val="000000" w:themeColor="text1"/>
          <w:sz w:val="16"/>
          <w:szCs w:val="16"/>
        </w:rPr>
      </w:pPr>
    </w:p>
    <w:p w14:paraId="138DB0E8" w14:textId="77777777" w:rsidR="00FA456A" w:rsidRPr="00142305" w:rsidRDefault="00FA456A" w:rsidP="00FA45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июня 1933 г. для решения вопроса о постройке самолета ЦКБ-3 С. В. Ильюшин направил письмо помощнику начальника ГУАП Алмазову, в котором он отметил, что первоначально планировалось выпустить один экземпляр И-15, так как на заводе имелся только один мотор «Бристоль-Меркур». Ввиду замены этого мотора он просил учесть в планах главка постройку двух экземпляров самолета.</w:t>
      </w:r>
    </w:p>
    <w:p w14:paraId="3DC8668F" w14:textId="77777777" w:rsidR="00FA456A" w:rsidRPr="00142305" w:rsidRDefault="00FA456A" w:rsidP="00FA456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Технический проект был сделан довольно быстро, с июня началось изготовление деталей, узлов, агрегатов машины, а с августа — сборка. Дебаты о типе двигателя среди руководства продолжались (25035).</w:t>
      </w:r>
    </w:p>
    <w:p w14:paraId="4C135138" w14:textId="77777777" w:rsidR="00FA456A" w:rsidRPr="00142305" w:rsidRDefault="00FA456A" w:rsidP="00FA456A">
      <w:pPr>
        <w:spacing w:after="0" w:line="240" w:lineRule="auto"/>
        <w:jc w:val="both"/>
        <w:rPr>
          <w:rFonts w:ascii="Times New Roman" w:hAnsi="Times New Roman"/>
          <w:color w:val="0070C0"/>
          <w:sz w:val="16"/>
          <w:szCs w:val="16"/>
        </w:rPr>
      </w:pPr>
    </w:p>
    <w:p w14:paraId="42DA8E03" w14:textId="77777777" w:rsidR="00B80661" w:rsidRPr="0044524F" w:rsidRDefault="00B80661"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586E2EE" w14:textId="77777777" w:rsidR="00B80661" w:rsidRPr="0044524F" w:rsidRDefault="00B8066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DE1B8B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июня 1933 СТО принял постановление О программе военно-морского строительства. Предусматривалось и развитие авиации (3398,206).</w:t>
      </w:r>
    </w:p>
    <w:p w14:paraId="0778F33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4616720C"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62208A1"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2B1F34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7-го июня 1933, преодолев большую часть территории СССР, Маттерн вылетел из Хабаровска в направлении Берингова пролива. Практически на самом краю необъятной русской территории, в районе поселка Анадырь, он был вынужден совершить посадку по причине неустойчивой работы двигателя. Приземление оказалось неудачным: у самолета были сломаны стойки шасси. Девять суток пилот бедствовал, питаясь шоколадом из бортового пайка. Затем он перебрался на берег реки Анадырь, где на 12-е сутки после исчезновения его обнаружили местные жители. О нахождении Маттерна сообщили властям, которые приняли решение доставить его домой на советском самолете. Дело считалось срочным, ибо американская пресса уже предполагала, что беднягу Маттерна съели местные туземцы.</w:t>
      </w:r>
    </w:p>
    <w:p w14:paraId="3FCE24F6"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Вывезти неудачливого американца поручили Сигизмунду Леваневскому, который незадолго до описываемых событий перегнал на Дальний Восток из Севастополя летающую лодку Дорнье "Валь" СССР-Н8.</w:t>
      </w:r>
    </w:p>
    <w:p w14:paraId="626CC01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кратчайшие сроки экипаж Леваневского сменил на Дорнье "Валь" изношенные двигатели и в начале августа вылетел из Хабаровска. В тяжелых метеоусловиях экипаж совершил перелет по маршруту: Хабаровск - Николаевск - Охотск - бухта Нагаево - Янек - Пенжинская губа - Марково - Анадырь. Захватив Маттерна и оборудование его машины, Леваневский 20 июля прибыл в Ном на Аляске. Возвращаясь назад, СССР-Н8 прошел вдоль северного побережья Чукотки и выполнил ряд ледовых разведок для судов Колымской экспедиции 1933 года. На заключительном этапе мар шрут пролегал вверх по Лене, затем по Ангаре в Иркутск, куда экипаж Н8 прибыл 24 сентября, пролетев свыше 37000 км. Таким образом, за весь летне-осенний вояж Леваневский преодолел расстояние, равнозначное по протяженности экваториальному перелету вокруг земного шара (11941).</w:t>
      </w:r>
    </w:p>
    <w:p w14:paraId="0113151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541C02AB"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19F3DA0"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50C10D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июня 1933 И-14 (АНТ-31) с убирающимся шасси передали в ОАЛИД ЦАГИ (1454,25), где он находился до 17 июля, когда был возвращен для доработок (2869,23).</w:t>
      </w:r>
    </w:p>
    <w:p w14:paraId="1AEE1F2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3C2D22D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июня 1933 г. первая фаза испытаний И-14 завершилась и 17 июля машина была передана обратно в ЦАГИ, поскольку в акте было записано, что самолет имеет ряд конструктивных недостатков.</w:t>
      </w:r>
    </w:p>
    <w:p w14:paraId="2A9E2A2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цехе ЗОК на головном самолете произвели регулировку убирающегося шасси, заменили консоли с полотняной обшивкой на новые, умевшие метеллическую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 таком виде И-14 30 сентября 1933 г. вновь отправили на аэродром, где летчикииспытатели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ЗОКдлн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10C4262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4FF7CBE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июня 1933 Нач. ЦКБ С.В.И. писал Пом. нач. ГУАП Алмазову:</w:t>
      </w:r>
    </w:p>
    <w:p w14:paraId="7055554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И-15 был запланирован нами постройкой в 1933 лишь в одном экземпляре, в отличие от всех остальных типов самолетов (которые будут построены в 2-3 экз.), потому, что И-15 проектировался под мотор Бристоль-Меркур, который имелся у нас лишь в одном экз.</w:t>
      </w:r>
    </w:p>
    <w:p w14:paraId="14B6274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в виду замены мотора Бристоль-Меркур мотором Райт считаем необходимым строить самолет И-15 РЦ нормально в 2-х экз.</w:t>
      </w:r>
    </w:p>
    <w:p w14:paraId="2B0E244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Дополнительных средств на это не потребуется, т.к. вместо ЛК 2М-34 будем строить ЛК 2М-11. Прошу это изменение внести в план." (2303,14).</w:t>
      </w:r>
    </w:p>
    <w:p w14:paraId="58920B2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0D5BD5EE" w14:textId="77777777" w:rsidR="00435D80" w:rsidRPr="0044524F" w:rsidRDefault="00435D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июня 1933 г. первый опытный экземпляр ЦАГИ А-4, отремонтированный после аварии 9 сентября 1932 г. при попытке первого взлета, вторич</w:t>
      </w:r>
      <w:r w:rsidRPr="0044524F">
        <w:rPr>
          <w:rFonts w:ascii="Times New Roman" w:hAnsi="Times New Roman"/>
          <w:color w:val="000000" w:themeColor="text1"/>
          <w:sz w:val="16"/>
          <w:szCs w:val="16"/>
        </w:rPr>
        <w:softHyphen/>
        <w:t>но приняли для проведения ис</w:t>
      </w:r>
      <w:r w:rsidRPr="0044524F">
        <w:rPr>
          <w:rFonts w:ascii="Times New Roman" w:hAnsi="Times New Roman"/>
          <w:color w:val="000000" w:themeColor="text1"/>
          <w:sz w:val="16"/>
          <w:szCs w:val="16"/>
        </w:rPr>
        <w:softHyphen/>
        <w:t>пытаний (20361).</w:t>
      </w:r>
    </w:p>
    <w:p w14:paraId="172AC48F" w14:textId="77777777" w:rsidR="00435D80" w:rsidRPr="0044524F" w:rsidRDefault="00435D80" w:rsidP="009654CF">
      <w:pPr>
        <w:shd w:val="clear" w:color="auto" w:fill="FFFFFF"/>
        <w:spacing w:after="0" w:line="240" w:lineRule="auto"/>
        <w:jc w:val="both"/>
        <w:rPr>
          <w:rFonts w:ascii="Times New Roman" w:hAnsi="Times New Roman"/>
          <w:color w:val="000000" w:themeColor="text1"/>
          <w:sz w:val="16"/>
          <w:szCs w:val="16"/>
        </w:rPr>
      </w:pPr>
    </w:p>
    <w:p w14:paraId="75C20DA9"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0930554"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34047F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—9 июня 1933 г. Проведены испытания второй артустановки ТМ-1-14 (11454).</w:t>
      </w:r>
    </w:p>
    <w:p w14:paraId="2415065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55A172B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июня 1933 вышел приказ народного комиссара тяжёлой промышленности СССР С.Орджоникидзе о создании в восточной части Казахстана государственного золотопромышленного треста - "Алтайзолото" путём объединения ранее действующих золотодобывающих предприятий и приисков. В состав треста "Алтайзолото" была введена транспортная контора, расположенная в с. Георгиевка, которая, начиная с 1929 года была оснащена в основном гужевым транспортом, а с 1932 года получила 35 новых отечественных автомобилей- грузовиков. В этом же году поступает первый токарный станок "Красный пролетарий". С 1 января 1933 года на базе транспортной конторы начинается создание механических мастерских, которые к концу года преобразуются в ремонтно-механический завод (10768).</w:t>
      </w:r>
    </w:p>
    <w:p w14:paraId="2DBA2C3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5A3F4F76"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9D84A0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099C67B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июня 1933 приказом МВС и лагеря № 79 было объявлено:</w:t>
      </w:r>
    </w:p>
    <w:p w14:paraId="5044101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«Разведывательными работами научной экспедиции государственной Академии истории Материальной Культуры были выявлены в зоне Строительства памятники исторического прошлого (остатки древних поселений, городищ, курганов, могильников и пр.).</w:t>
      </w:r>
    </w:p>
    <w:p w14:paraId="5E2AA4D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 к. памятники эти имеют большое научное значение, предлагаю:</w:t>
      </w:r>
    </w:p>
    <w:p w14:paraId="25038FF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всех случаях обнаружения при изыскательных и строительных работах каких-либо памятников древности, а так же о случайных находках древних предметов (изделий из камня, кости, рога, железа, бронзы, серебра, обломков глиняной посуды и пр.) немедленно сообщать Музею Строительства в Дмитрове, или представителям ГАИМК на местах.</w:t>
      </w:r>
    </w:p>
    <w:p w14:paraId="14B612B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Заведующему Музеем Строительства по получении сведений о находках археологического характера немедленно совместно с представителями ГАИМК выяснять, какие из найденных предметов должны быть помещены в Музее Строительства, и какие следует передать в другие специальные Музеи и хранилища для изучения.</w:t>
      </w:r>
    </w:p>
    <w:p w14:paraId="27F84A6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Придавая значение обогащению Музея экспонатами археологического характера, имеющими лишь косвенное отношение к задачам Москва-Волгострой, настоящим напоминаю начальникам отделов Строительства о необходимости скорейшего пополнения Музея экспонатами, иллюстрирующими современный ход и достижения Строительства Москва-Волгострой по линии каждого отдела» (7560).</w:t>
      </w:r>
    </w:p>
    <w:p w14:paraId="7B4BF29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6D590C1E" w14:textId="295B9BFF" w:rsidR="00CF593A" w:rsidRPr="0044524F" w:rsidRDefault="00CF593A"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111E5EE5" w14:textId="77777777" w:rsidR="00CF593A" w:rsidRPr="0044524F" w:rsidRDefault="00CF593A"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552B3049" w14:textId="3A8576FC" w:rsidR="00CF593A" w:rsidRPr="0044524F" w:rsidRDefault="00CF59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июня 1933 г. на окраине Магдебурга,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имении некоего «господина Мозе», где построили пусковую установку высотой 12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м, дождливым утром состоялся пуск прототипа пассажирской ракеты. После воспламенения топлива ракета медленно поползла вверх по направляющей, затем остановилась 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съехала вниз. Оказалось, что бак 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кислородом разгерметизирован, поэтому тяга слишком маленькая. Следующий пуск 11 июня сорвался из-за течи в сальнике: двигатель получил лишь четвёртую часть необходимого топлива. Он ревел две минуты (вместо 30 секунд), но ракета не двигалась. Третье испытание, 13 июня, тоже закончилось неудачей: в момент запуска выпал запорный винт топливного бака. Ракета поднялась на 2 м, после чего упала на землю. Замена отдельных элементов конструкции не помогла. 29 июня ракету наконец удалось запустить (тяга достигла 185 кгс), но при этом один из роликов сошёл с направляющего рельса и застрял. Ракета взлетела лишь на 30– 35 метров, приняла почти горизонтальное положение и, быстро теряя высоту, упала плашмя в 300 метрах от места старта. Там она сгорела (23372).</w:t>
      </w:r>
    </w:p>
    <w:p w14:paraId="74E84A17" w14:textId="77777777" w:rsidR="00CF593A" w:rsidRPr="0044524F" w:rsidRDefault="00CF593A" w:rsidP="009654CF">
      <w:pPr>
        <w:spacing w:after="0" w:line="240" w:lineRule="auto"/>
        <w:jc w:val="both"/>
        <w:rPr>
          <w:rFonts w:ascii="Times New Roman" w:hAnsi="Times New Roman"/>
          <w:color w:val="000000" w:themeColor="text1"/>
          <w:sz w:val="16"/>
          <w:szCs w:val="16"/>
        </w:rPr>
      </w:pPr>
    </w:p>
    <w:p w14:paraId="2BA57CA5" w14:textId="0C32BA36"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6AB8303"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CCDBEF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июня 1933 был подготовлен расчет испытаний И-14 БМ по летным дням в соответствии с программой испытаний (2303,29).</w:t>
      </w:r>
    </w:p>
    <w:p w14:paraId="7C24D2E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2BBB4CB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июня 1933 года начальник ЦКБ зав. 39 С.В.И. писал письмо N 101с пом. нач. ГУАП Алмазову.</w:t>
      </w:r>
    </w:p>
    <w:p w14:paraId="4B7B0B3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И15 был запланирован нами постройкой в 1933 году лишь в одном экземпляре, в отличии от всех остальных типов самолетов (которые будут построены в двух и трех экземплярах) потому что самолет И15 проектировался под мотор "Бристоль-Меркур", который имелся у нас в одном экземпляре.</w:t>
      </w:r>
    </w:p>
    <w:p w14:paraId="4A6AAED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в виду замены мотора "Бристоль-Меркур" мотором Райт, считаем необходимым строить самолет И15 Р.Ц. нормально в 2-х экземплярах.</w:t>
      </w:r>
    </w:p>
    <w:p w14:paraId="79C2A18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Дополнительных средств на это не потребуется. Прошу это изменение внести в план (2303,14).</w:t>
      </w:r>
    </w:p>
    <w:p w14:paraId="3ABCC5E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7701694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июня 1933 Нач. ЦКБ С.В.И. писал письмо N 102с Пом. Нач. ГУАП Алмазову:</w:t>
      </w:r>
    </w:p>
    <w:p w14:paraId="0C30259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экспериментальным самолетам установить нижеследующие сроки выхода на аэродром:</w:t>
      </w:r>
    </w:p>
    <w:p w14:paraId="2E1E6A8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ДИ-6 (М-58 или РЦ) - 01.05.34</w:t>
      </w:r>
    </w:p>
    <w:p w14:paraId="5FE93C4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СС М-34 - 01.01.34</w:t>
      </w:r>
    </w:p>
    <w:p w14:paraId="11BAEA2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РК М-11 - 01.10.33</w:t>
      </w:r>
    </w:p>
    <w:p w14:paraId="4AB4C88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ЛК 2М-11 - 01.01.34</w:t>
      </w:r>
    </w:p>
    <w:p w14:paraId="147CF8D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ПК М-11 - 01.03.34 (2286,93).</w:t>
      </w:r>
    </w:p>
    <w:p w14:paraId="19644E1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3814A258" w14:textId="77777777" w:rsidR="000F0C05" w:rsidRPr="0044524F" w:rsidRDefault="000F0C05" w:rsidP="009654CF">
      <w:pPr>
        <w:pStyle w:val="rtejustify"/>
        <w:spacing w:before="0" w:after="0"/>
        <w:rPr>
          <w:color w:val="000000" w:themeColor="text1"/>
          <w:sz w:val="16"/>
          <w:szCs w:val="16"/>
        </w:rPr>
      </w:pPr>
      <w:r w:rsidRPr="0044524F">
        <w:rPr>
          <w:rStyle w:val="af0"/>
          <w:bCs/>
          <w:i w:val="0"/>
          <w:color w:val="000000" w:themeColor="text1"/>
          <w:sz w:val="16"/>
          <w:szCs w:val="16"/>
        </w:rPr>
        <w:t>9 июня</w:t>
      </w:r>
      <w:r w:rsidRPr="0044524F">
        <w:rPr>
          <w:color w:val="000000" w:themeColor="text1"/>
          <w:sz w:val="16"/>
          <w:szCs w:val="16"/>
        </w:rPr>
        <w:t xml:space="preserve"> 1933. Постановление СТО СССР № 41сс/о «Об обеспечении строительства в 1933 г. взлетно-посадочных полос и рулежных дорожек к ним». (ГА РФ. Ф. Р</w:t>
      </w:r>
      <w:r w:rsidRPr="0044524F">
        <w:rPr>
          <w:color w:val="000000" w:themeColor="text1"/>
          <w:sz w:val="16"/>
          <w:szCs w:val="16"/>
        </w:rPr>
        <w:noBreakHyphen/>
        <w:t>8418. Оп. 28. Д. 1. Л. 181</w:t>
      </w:r>
      <w:r w:rsidRPr="0044524F">
        <w:rPr>
          <w:color w:val="000000" w:themeColor="text1"/>
          <w:sz w:val="16"/>
          <w:szCs w:val="16"/>
        </w:rPr>
        <w:noBreakHyphen/>
        <w:t>183) (15460).</w:t>
      </w:r>
    </w:p>
    <w:p w14:paraId="0AA4E995" w14:textId="77777777" w:rsidR="000F0C05" w:rsidRPr="0044524F" w:rsidRDefault="000F0C05" w:rsidP="009654CF">
      <w:pPr>
        <w:pStyle w:val="rtejustify"/>
        <w:spacing w:before="0" w:after="0"/>
        <w:rPr>
          <w:color w:val="000000" w:themeColor="text1"/>
          <w:sz w:val="16"/>
          <w:szCs w:val="16"/>
        </w:rPr>
      </w:pPr>
    </w:p>
    <w:p w14:paraId="73A1A3E9"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B1A16FC"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2F0866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июня 1933 года прошла испытания вторая установка, а 15 июня того же года — третья. Испытания на полигоне и позициях показали, что основные тактико-технические данные советских железнодорожных артустановок ТМ-1-14 по ряду параметров превосходили подобные американские и французские системы. В частности, наши транспортеры обладали способностью вести стрельбу в диапазоне 360 градусов, а также опережали зарубежные аналоги по скорострельности. В тот период особой угрозы с Запада в СССР не ожидали, и после испытаний транспортеров Реввоенсовет принял решение разместить 6-ю железнодорожную батарею ТМ-1-14 на Дальнем Востоке (11454).</w:t>
      </w:r>
    </w:p>
    <w:p w14:paraId="70611AD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584FD33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июня 1933 Пом. Нач. УММ РККА Г.Г.Бокис уведомил директора ХПЗ И.П.Бондаренко о том, что “заключение по фотографиии (эскизного проекта БТ с 76-мм пушкой) дать невозможно” и просил представить на рассмотрение весь проект, а не только фотографии. Его еще не было (3881,3).</w:t>
      </w:r>
    </w:p>
    <w:p w14:paraId="0966E3D6"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4B3F5013"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6EFBFB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469BC9D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9 и15 июня 1933. Из протокола заседания Политбюро N 139, 1933 г.</w:t>
      </w:r>
    </w:p>
    <w:p w14:paraId="619C2E6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Телеграмма тт. Шеболдаева и Евдокимова </w:t>
      </w:r>
    </w:p>
    <w:p w14:paraId="3FADF13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Согласиться с предложением тт. Шеболдаева и Евдокимова о снижении нормы продовольственного снабжения выселяемым хозяйствам (кулакам, отправлявшимся с Дона в Сибирь) с трехмесячного запаса до месячного (11652). </w:t>
      </w:r>
    </w:p>
    <w:p w14:paraId="0F0B170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378052A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июня 1933-го начальник 1 отделения ГУЛАГа О. В. Шедвид подписал распоряжение ГУЛАГа за № 3, гласившее:</w:t>
      </w:r>
    </w:p>
    <w:p w14:paraId="50EF669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ГУЛАГа ОГПУ тов. Берман приказал: (всем начальникам отделений ГУЛАГа ОГПУ) все составляемые Вами сводки, доклады, обзоры, а также издаваемые директивы направлять для ознакомления:</w:t>
      </w:r>
    </w:p>
    <w:p w14:paraId="0B40C41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Нач. ГУЛАГа ОГПУ - т. Берману</w:t>
      </w:r>
    </w:p>
    <w:p w14:paraId="4EAEA60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Зам. нач. ГУЛАГа - т. Рапопорту</w:t>
      </w:r>
    </w:p>
    <w:p w14:paraId="1D23486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Зам. нач. ГУЛАГа - т. Фирину</w:t>
      </w:r>
    </w:p>
    <w:p w14:paraId="6D9E9C8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Пом. нач. ГУЛАГа - т. Еремину</w:t>
      </w:r>
    </w:p>
    <w:p w14:paraId="78E77E1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Пом. нач. ГУЛАГа - т. Плинеру</w:t>
      </w:r>
    </w:p>
    <w:p w14:paraId="63DE430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Пом. нач. ГУЛАГа - т. Мейеру</w:t>
      </w:r>
    </w:p>
    <w:p w14:paraId="60BD4BD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их отсутствия материалы направлять по месту их нахождения в командировке» (7560).</w:t>
      </w:r>
    </w:p>
    <w:p w14:paraId="59124B3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2DDC8953"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08CF0CD"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9FE8C1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Утром 9 июня 1933 года поблизости от Магдебурга, где была сооружена большая пусковая направляющая высотой 9 м, 4.5-метровая модель Pilot-Rakete» («Пилот-Ракете») подготовили к запуску. Она начала медленно подниматься, но, прежде чем достигла верхней части направляющей, остановилась и поползла вниз. Тяга была недостаточной, но причину этого обнаружить не удалось. Следующая попытка запустить ракету сорвалась из-за течи в сальнике. Двигатель получил только четвертую часть необходимого ему топлива, ревел в течение двух минут (вместо 30 секунд), но ракета не двигалась.</w:t>
      </w:r>
    </w:p>
    <w:p w14:paraId="7550265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Еще одно испытание, 13 июня, также закончилось неудачей. Когда ракета поднялась на высоту 2 м, выпал запорный винт топливного бака – ракета рухнула на землю почти без топлива.</w:t>
      </w:r>
    </w:p>
    <w:p w14:paraId="1EDCC05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Замена отдельных конструктивных элементов не помогла. Когда 29 июня ракету удалось запустить, один из роликов сошел с направляющего рельса и застрял. Он, разумеется, был сорван, но из-за этого ракета взлетела почти горизонтально. Быстро теряя высоту, она упала плашмя на землю в 300 м от пусковой установки.</w:t>
      </w:r>
    </w:p>
    <w:p w14:paraId="15CA80B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Конец «Ракетенфлюгплатц» был печальным. Однажды на территорию, принадлежащую «Обществу межпланетных сообщений» нагрянула большая группа молодых людей в серо-голубой форме, назвавших себя представителями «Дойче люфтвахт», которые заявили, что это место передано им в качестве учебного плаца (11688).</w:t>
      </w:r>
    </w:p>
    <w:p w14:paraId="14B913E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1B3C239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июня 1933 Национальное собрание Чехословакии одобрило закон о предоставлении правительству чрезвычайных полномочий в сфере ценообразования и налогообложения (3186).</w:t>
      </w:r>
    </w:p>
    <w:p w14:paraId="6D2EEA1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3BD76D11"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27FF0A1"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13F26F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 по 26 июня 1933 в НИИ ВВС прошли испытания самолета И7 N 4449 (эталон на 1933 год) с мотором М17 N 262646.</w:t>
      </w:r>
    </w:p>
    <w:p w14:paraId="3EC6500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58F82FB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возможности использования самолета И7 N 4449 с мотором М17 как эталона для постройки самолетов И7 М17 в 1933 году.</w:t>
      </w:r>
    </w:p>
    <w:p w14:paraId="444C961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самолета, отличающегося от опытного самолета И7 БМВ VI постройки завода N 1 в 1931 году установкой усиленной фанерной обшивки крыльев, паука водяной системы, подвесной корзины под радиатор _..</w:t>
      </w:r>
    </w:p>
    <w:p w14:paraId="4927CDA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70A11F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И7 М17 N 4449 постройки завода N 1эталоном на 1933 год служить не может.</w:t>
      </w:r>
    </w:p>
    <w:p w14:paraId="7860A37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2E6D2CC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Осипенко П.И.</w:t>
      </w:r>
    </w:p>
    <w:p w14:paraId="2D5ADE6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 Сцельников</w:t>
      </w:r>
    </w:p>
    <w:p w14:paraId="1213CE2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4658"/>
      </w:tblGrid>
      <w:tr w:rsidR="004E10C1" w:rsidRPr="0044524F" w14:paraId="1AB5831F" w14:textId="77777777">
        <w:tc>
          <w:tcPr>
            <w:tcW w:w="2254" w:type="dxa"/>
          </w:tcPr>
          <w:p w14:paraId="1CD927E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июня 1933 года</w:t>
            </w:r>
          </w:p>
        </w:tc>
        <w:tc>
          <w:tcPr>
            <w:tcW w:w="4658" w:type="dxa"/>
          </w:tcPr>
          <w:p w14:paraId="51DCB26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тренировочные полеты ведущего летчика</w:t>
            </w:r>
          </w:p>
        </w:tc>
      </w:tr>
      <w:tr w:rsidR="004E10C1" w:rsidRPr="0044524F" w14:paraId="0D811134" w14:textId="77777777">
        <w:tc>
          <w:tcPr>
            <w:tcW w:w="2254" w:type="dxa"/>
          </w:tcPr>
          <w:p w14:paraId="4074045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года</w:t>
            </w:r>
          </w:p>
        </w:tc>
        <w:tc>
          <w:tcPr>
            <w:tcW w:w="4658" w:type="dxa"/>
          </w:tcPr>
          <w:p w14:paraId="3DD773C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управляемость и фигуры на высоте</w:t>
            </w:r>
          </w:p>
        </w:tc>
      </w:tr>
      <w:tr w:rsidR="004E10C1" w:rsidRPr="0044524F" w14:paraId="620F923F" w14:textId="77777777">
        <w:tc>
          <w:tcPr>
            <w:tcW w:w="2254" w:type="dxa"/>
          </w:tcPr>
          <w:p w14:paraId="2B7DBA0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11576D7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 и определение скороподъемности с</w:t>
            </w:r>
          </w:p>
        </w:tc>
      </w:tr>
      <w:tr w:rsidR="004E10C1" w:rsidRPr="0044524F" w14:paraId="30BBDCB1" w14:textId="77777777">
        <w:tc>
          <w:tcPr>
            <w:tcW w:w="2254" w:type="dxa"/>
          </w:tcPr>
          <w:p w14:paraId="0A6A6C2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2FC4ECC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форсированным газом. Полет на управляемость</w:t>
            </w:r>
          </w:p>
        </w:tc>
      </w:tr>
      <w:tr w:rsidR="004E10C1" w:rsidRPr="0044524F" w14:paraId="6D78CAEA" w14:textId="77777777">
        <w:tc>
          <w:tcPr>
            <w:tcW w:w="2254" w:type="dxa"/>
          </w:tcPr>
          <w:p w14:paraId="320E42B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6821A30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фигуры на высоте 1000 м.</w:t>
            </w:r>
          </w:p>
        </w:tc>
      </w:tr>
      <w:tr w:rsidR="004E10C1" w:rsidRPr="0044524F" w14:paraId="76ABB3DC" w14:textId="77777777">
        <w:tc>
          <w:tcPr>
            <w:tcW w:w="2254" w:type="dxa"/>
          </w:tcPr>
          <w:p w14:paraId="4E0D5EC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года</w:t>
            </w:r>
          </w:p>
        </w:tc>
        <w:tc>
          <w:tcPr>
            <w:tcW w:w="4658" w:type="dxa"/>
          </w:tcPr>
          <w:p w14:paraId="71F8F3B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управляемость и фигуры на высоте</w:t>
            </w:r>
          </w:p>
        </w:tc>
      </w:tr>
      <w:tr w:rsidR="004E10C1" w:rsidRPr="0044524F" w14:paraId="39E34EEE" w14:textId="77777777">
        <w:tc>
          <w:tcPr>
            <w:tcW w:w="2254" w:type="dxa"/>
          </w:tcPr>
          <w:p w14:paraId="341FF83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4982CC4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w:t>
            </w:r>
          </w:p>
        </w:tc>
      </w:tr>
      <w:tr w:rsidR="004E10C1" w:rsidRPr="0044524F" w14:paraId="27F7719C" w14:textId="77777777">
        <w:tc>
          <w:tcPr>
            <w:tcW w:w="2254" w:type="dxa"/>
          </w:tcPr>
          <w:p w14:paraId="6057CE76"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 1933 года</w:t>
            </w:r>
          </w:p>
        </w:tc>
        <w:tc>
          <w:tcPr>
            <w:tcW w:w="4658" w:type="dxa"/>
          </w:tcPr>
          <w:p w14:paraId="2398621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полета на штопор.</w:t>
            </w:r>
          </w:p>
        </w:tc>
      </w:tr>
      <w:tr w:rsidR="004E10C1" w:rsidRPr="0044524F" w14:paraId="513A4F12" w14:textId="77777777">
        <w:tc>
          <w:tcPr>
            <w:tcW w:w="2254" w:type="dxa"/>
          </w:tcPr>
          <w:p w14:paraId="5ACE271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года</w:t>
            </w:r>
          </w:p>
        </w:tc>
        <w:tc>
          <w:tcPr>
            <w:tcW w:w="4658" w:type="dxa"/>
          </w:tcPr>
          <w:p w14:paraId="31BD964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Полет на зубцы на высотах 500,</w:t>
            </w:r>
          </w:p>
        </w:tc>
      </w:tr>
      <w:tr w:rsidR="004E10C1" w:rsidRPr="0044524F" w14:paraId="53EB32CB" w14:textId="77777777">
        <w:tc>
          <w:tcPr>
            <w:tcW w:w="2254" w:type="dxa"/>
          </w:tcPr>
          <w:p w14:paraId="44F8515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05561EE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и 5000 м.</w:t>
            </w:r>
          </w:p>
        </w:tc>
      </w:tr>
      <w:tr w:rsidR="004E10C1" w:rsidRPr="0044524F" w14:paraId="1A86975B" w14:textId="77777777">
        <w:tc>
          <w:tcPr>
            <w:tcW w:w="2254" w:type="dxa"/>
          </w:tcPr>
          <w:p w14:paraId="0108712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июня 1933 года</w:t>
            </w:r>
          </w:p>
        </w:tc>
        <w:tc>
          <w:tcPr>
            <w:tcW w:w="4658" w:type="dxa"/>
          </w:tcPr>
          <w:p w14:paraId="3BE9FC7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с форсированным</w:t>
            </w:r>
          </w:p>
        </w:tc>
      </w:tr>
      <w:tr w:rsidR="004E10C1" w:rsidRPr="0044524F" w14:paraId="4A8A312E" w14:textId="77777777">
        <w:tc>
          <w:tcPr>
            <w:tcW w:w="2254" w:type="dxa"/>
          </w:tcPr>
          <w:p w14:paraId="3869394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37C6391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газом до 5000 м и стрельба на высоте 5000 м.</w:t>
            </w:r>
          </w:p>
        </w:tc>
      </w:tr>
      <w:tr w:rsidR="004E10C1" w:rsidRPr="0044524F" w14:paraId="6C625833" w14:textId="77777777">
        <w:tc>
          <w:tcPr>
            <w:tcW w:w="2254" w:type="dxa"/>
          </w:tcPr>
          <w:p w14:paraId="328D802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июня 1933 года</w:t>
            </w:r>
          </w:p>
        </w:tc>
        <w:tc>
          <w:tcPr>
            <w:tcW w:w="4658" w:type="dxa"/>
          </w:tcPr>
          <w:p w14:paraId="797A858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воздушный бой с самолетом Р5.</w:t>
            </w:r>
          </w:p>
        </w:tc>
      </w:tr>
      <w:tr w:rsidR="004E10C1" w:rsidRPr="0044524F" w14:paraId="35494286" w14:textId="77777777">
        <w:tc>
          <w:tcPr>
            <w:tcW w:w="2254" w:type="dxa"/>
          </w:tcPr>
          <w:p w14:paraId="13DE7E9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июня 1933 года</w:t>
            </w:r>
          </w:p>
        </w:tc>
        <w:tc>
          <w:tcPr>
            <w:tcW w:w="4658" w:type="dxa"/>
          </w:tcPr>
          <w:p w14:paraId="59ABF7A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по маршруту на дальность и определение</w:t>
            </w:r>
          </w:p>
        </w:tc>
      </w:tr>
      <w:tr w:rsidR="004E10C1" w:rsidRPr="0044524F" w14:paraId="15B2291C" w14:textId="77777777">
        <w:tc>
          <w:tcPr>
            <w:tcW w:w="2254" w:type="dxa"/>
          </w:tcPr>
          <w:p w14:paraId="5689DBA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01BB9E3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расхода горючего с фотографированием.</w:t>
            </w:r>
          </w:p>
        </w:tc>
      </w:tr>
      <w:tr w:rsidR="004E10C1" w:rsidRPr="0044524F" w14:paraId="6FED68AC" w14:textId="77777777">
        <w:tc>
          <w:tcPr>
            <w:tcW w:w="2254" w:type="dxa"/>
          </w:tcPr>
          <w:p w14:paraId="6EDFCB5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1A8809D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Воздушный бой с самолетом И-5. Полет на</w:t>
            </w:r>
          </w:p>
        </w:tc>
      </w:tr>
      <w:tr w:rsidR="004E10C1" w:rsidRPr="0044524F" w14:paraId="43497946" w14:textId="77777777">
        <w:tc>
          <w:tcPr>
            <w:tcW w:w="2254" w:type="dxa"/>
          </w:tcPr>
          <w:p w14:paraId="01D56ED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740A1EB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штопор.</w:t>
            </w:r>
          </w:p>
        </w:tc>
      </w:tr>
      <w:tr w:rsidR="004E10C1" w:rsidRPr="0044524F" w14:paraId="18AE4FC5" w14:textId="77777777">
        <w:tc>
          <w:tcPr>
            <w:tcW w:w="2254" w:type="dxa"/>
          </w:tcPr>
          <w:p w14:paraId="74BE49B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июня 1933 года</w:t>
            </w:r>
          </w:p>
        </w:tc>
        <w:tc>
          <w:tcPr>
            <w:tcW w:w="4658" w:type="dxa"/>
          </w:tcPr>
          <w:p w14:paraId="431F092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полета на воздушные бои с самолетами Р-5</w:t>
            </w:r>
          </w:p>
        </w:tc>
      </w:tr>
      <w:tr w:rsidR="004E10C1" w:rsidRPr="0044524F" w14:paraId="6FDC5A23" w14:textId="77777777">
        <w:tc>
          <w:tcPr>
            <w:tcW w:w="2254" w:type="dxa"/>
          </w:tcPr>
          <w:p w14:paraId="7236FA0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4223BB7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И-5 - летчики: Кокинаки, Лагутин и Гродзь.</w:t>
            </w:r>
          </w:p>
        </w:tc>
      </w:tr>
      <w:tr w:rsidR="004E10C1" w:rsidRPr="0044524F" w14:paraId="1005BEF9" w14:textId="77777777">
        <w:tc>
          <w:tcPr>
            <w:tcW w:w="2254" w:type="dxa"/>
          </w:tcPr>
          <w:p w14:paraId="737AE59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4CC72C9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Три полета по облету со стрельбой по земным целям:</w:t>
            </w:r>
          </w:p>
        </w:tc>
      </w:tr>
      <w:tr w:rsidR="004E10C1" w:rsidRPr="0044524F" w14:paraId="48CE6BE5" w14:textId="77777777">
        <w:tc>
          <w:tcPr>
            <w:tcW w:w="2254" w:type="dxa"/>
          </w:tcPr>
          <w:p w14:paraId="477C197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58" w:type="dxa"/>
          </w:tcPr>
          <w:p w14:paraId="7EE8ECB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Залевский, Лагутин, Кокинаки.</w:t>
            </w:r>
          </w:p>
        </w:tc>
      </w:tr>
      <w:tr w:rsidR="004E10C1" w:rsidRPr="0044524F" w14:paraId="1C9EC4E7" w14:textId="77777777">
        <w:tc>
          <w:tcPr>
            <w:tcW w:w="2254" w:type="dxa"/>
          </w:tcPr>
          <w:p w14:paraId="320DFF3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года</w:t>
            </w:r>
          </w:p>
        </w:tc>
        <w:tc>
          <w:tcPr>
            <w:tcW w:w="4658" w:type="dxa"/>
          </w:tcPr>
          <w:p w14:paraId="5E05B93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с нормальным газом.</w:t>
            </w:r>
          </w:p>
        </w:tc>
      </w:tr>
    </w:tbl>
    <w:p w14:paraId="11F4909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проведено за 11 летных дней.</w:t>
      </w:r>
    </w:p>
    <w:p w14:paraId="6E5A921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Налетано 29 час. 53 мин.</w:t>
      </w:r>
    </w:p>
    <w:p w14:paraId="23A37BE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Сделано посадок - 27 (3917).</w:t>
      </w:r>
    </w:p>
    <w:p w14:paraId="51D46CE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34FED061"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июня 1933 г. самолет И-7 сер. №4449 эталонный доработанный был принят на контрольные испытания в НИИ ВВС без обтекателей на колесах ООШ. Цель испытания: определение возможности использования самолета как эталона для постройки самолетов И-7 М17 в 1933 г. Ответственные исполнители: ведущий инженер Осипенко П.И., ведущий летчик-испытатель Сцельников М.</w:t>
      </w:r>
    </w:p>
    <w:p w14:paraId="2E8CE152"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июня 1933 г. проведены тренировочные полеты ведущего летчика.</w:t>
      </w:r>
    </w:p>
    <w:p w14:paraId="6DACD696"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г. проведены полеты на управляемость и фигуры на высотах 3000 м и определение скороподъемности с форсированным газом, полет на управляемость и фигуры пилотажа на высоте 1000 м.</w:t>
      </w:r>
    </w:p>
    <w:p w14:paraId="1AB1237E"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г. проведены полеты на управляемость и фигуры пилотажа на высоте 3000 м.</w:t>
      </w:r>
    </w:p>
    <w:p w14:paraId="18AB5AF0"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 1933 г. проведены два полета на штопор.</w:t>
      </w:r>
    </w:p>
    <w:p w14:paraId="00CC6B94"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г. проведены полеты на километраж и на зубцы на высотах 500, 3000 и 5000 м.</w:t>
      </w:r>
    </w:p>
    <w:p w14:paraId="3D47BDB2"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июня 1933 г. проведен полет на скороподъемность с форсированным газом до 5000 м и стрельба на высоте 5000 м.</w:t>
      </w:r>
    </w:p>
    <w:p w14:paraId="04452099"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июня 1933 г. проведен воздушный бой с самолетом Р-5.</w:t>
      </w:r>
    </w:p>
    <w:p w14:paraId="6B003EB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июня 1933 г. проведены полеты по маршруту на дальность и определение расхода горючего с фотографированием прохождения контрольных точек, воздушный бой с самолетом И-5 и полет на штопор.</w:t>
      </w:r>
    </w:p>
    <w:p w14:paraId="03739222"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июня 1933 г. проведены два полета на воздушные бои с самолетами Р-5 и И-5 – летчики: Кокинаки, Лагутин и Гродзь, три полета по облету со стрельбой по земным целям – летчики Залевский, Лагутин, Кокинаки.</w:t>
      </w:r>
    </w:p>
    <w:p w14:paraId="03B9E21F"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г. проведен полет на потолок с нормальным газом.</w:t>
      </w:r>
    </w:p>
    <w:p w14:paraId="0D24627B"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проведено за 11 летных дней, налетано 29 час. 53 мин., сделано 27 посадок.</w:t>
      </w:r>
    </w:p>
    <w:p w14:paraId="47E2CA65"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г. контрольные испытания самолета в НИИ ВВС завершены. Заключение: самолет И-7 М17 №4449 постройки завода №1 эталоном на 1933 г. служить не может. Не получены заданные скороподъемность и дальность полета. Бомбовое вооружение не проверено.</w:t>
      </w:r>
    </w:p>
    <w:p w14:paraId="627B69FE"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возвращен на завод №1 для внесения доработок.</w:t>
      </w:r>
    </w:p>
    <w:p w14:paraId="339E254B"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г. Отчет по испытаниям самолета И-7 №4449 (эталон на 1933 год) с мотором М17 №262646 утвержден.</w:t>
      </w:r>
    </w:p>
    <w:p w14:paraId="550976ED"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заводе №1 внесены доработки:</w:t>
      </w:r>
    </w:p>
    <w:p w14:paraId="67244347"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улучшена конструкция капота двигателя;</w:t>
      </w:r>
    </w:p>
    <w:p w14:paraId="7535EB2F"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улучшены обтекатели в местах установки стоек бипланной коробки крыльев;</w:t>
      </w:r>
    </w:p>
    <w:p w14:paraId="308C5599"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установлены недостающие обтекатели на колесах ООШ (24331).</w:t>
      </w:r>
    </w:p>
    <w:p w14:paraId="12BC9B3D"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5D63F2E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июня 1933 на аэродром был отправлен РД М-34 (2310,143).</w:t>
      </w:r>
    </w:p>
    <w:p w14:paraId="5E69645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3F36222D"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июня 1933 г. первый АНТ-25-1 (РД-1), с двигателем М-34 и двухлопастным вин</w:t>
      </w:r>
      <w:r w:rsidRPr="00142305">
        <w:rPr>
          <w:rFonts w:ascii="Times New Roman" w:hAnsi="Times New Roman"/>
          <w:color w:val="0070C0"/>
          <w:sz w:val="16"/>
          <w:szCs w:val="16"/>
        </w:rPr>
        <w:softHyphen/>
        <w:t>том диаметром 4,4 м выкатили из сбороч</w:t>
      </w:r>
      <w:r w:rsidRPr="00142305">
        <w:rPr>
          <w:rFonts w:ascii="Times New Roman" w:hAnsi="Times New Roman"/>
          <w:color w:val="0070C0"/>
          <w:sz w:val="16"/>
          <w:szCs w:val="16"/>
        </w:rPr>
        <w:softHyphen/>
        <w:t>ного цеха ЗОК. Однако выявилась течь водяных радиаторов, которую пришлось устранять. Радиаторов имелось три: два - в передней кромке крыла и третий, поднимающийся, - под двигателем (24946).</w:t>
      </w:r>
    </w:p>
    <w:p w14:paraId="1ACA00F3" w14:textId="77777777" w:rsidR="00CD62DA" w:rsidRPr="00142305" w:rsidRDefault="00CD62DA" w:rsidP="00CD62DA">
      <w:pPr>
        <w:spacing w:after="0" w:line="240" w:lineRule="auto"/>
        <w:jc w:val="both"/>
        <w:rPr>
          <w:rFonts w:ascii="Times New Roman" w:hAnsi="Times New Roman"/>
          <w:color w:val="0070C0"/>
          <w:sz w:val="16"/>
          <w:szCs w:val="16"/>
        </w:rPr>
      </w:pPr>
    </w:p>
    <w:p w14:paraId="076C7402" w14:textId="77777777" w:rsidR="000A0B18" w:rsidRPr="0044524F" w:rsidRDefault="000A0B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июня 1933 г. в Москве демонстрировался первый советский санитарный самолет «СССР К-1» типа У-2, оборудованный по заказу "Красного креста" для перевозки больных /лежачих/ и врача. Инициатор такого самолета - А.Ф.Лннгарт, начальник санитарной авиации, врач-хирург, в прошлом летчик, активней участник гражданской войны.</w:t>
      </w:r>
    </w:p>
    <w:p w14:paraId="66AB1A03" w14:textId="77777777" w:rsidR="000A0B18" w:rsidRPr="0044524F" w:rsidRDefault="000A0B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ЦИК СССР” за 18 июня 1933/ (23370).</w:t>
      </w:r>
    </w:p>
    <w:p w14:paraId="4D11C226" w14:textId="77777777" w:rsidR="000A0B18" w:rsidRPr="0044524F" w:rsidRDefault="000A0B18" w:rsidP="009654CF">
      <w:pPr>
        <w:spacing w:after="0" w:line="240" w:lineRule="auto"/>
        <w:jc w:val="both"/>
        <w:rPr>
          <w:rFonts w:ascii="Times New Roman" w:hAnsi="Times New Roman"/>
          <w:color w:val="000000" w:themeColor="text1"/>
          <w:sz w:val="16"/>
          <w:szCs w:val="16"/>
        </w:rPr>
      </w:pPr>
    </w:p>
    <w:p w14:paraId="0C3B9688"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Другие оборонные отрасли:</w:t>
      </w:r>
    </w:p>
    <w:p w14:paraId="650A9DF8"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35B26A2"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июня 1933 г. на специальном заседании НТК УММ РККА варианты Т-39 были рассмотрены вместе с проектами 100-тонного танка Гроте ТГ-6 и 75-тонного танка фирмы «Ансальдо». По результатам сравнительного анализа ОКМО под руководством С. Гинзбурга и Н. Барыкова бы</w:t>
      </w:r>
      <w:r w:rsidRPr="0044524F">
        <w:rPr>
          <w:rFonts w:ascii="Times New Roman" w:hAnsi="Times New Roman"/>
          <w:color w:val="000000" w:themeColor="text1"/>
          <w:sz w:val="16"/>
          <w:szCs w:val="16"/>
        </w:rPr>
        <w:softHyphen/>
        <w:t>ли разработаны еще три варианта (вернее - два, один из которых имел две версии установки пушечного вооруже</w:t>
      </w:r>
      <w:r w:rsidRPr="0044524F">
        <w:rPr>
          <w:rFonts w:ascii="Times New Roman" w:hAnsi="Times New Roman"/>
          <w:color w:val="000000" w:themeColor="text1"/>
          <w:sz w:val="16"/>
          <w:szCs w:val="16"/>
        </w:rPr>
        <w:softHyphen/>
        <w:t>ния в башнях), которые рассматривались на заседании НТК 9 августа. Последние были признаны «весьма удачными» и послужили образцом для изготовления деревянных моделей в масштабе 1:10, которые после заседания макетной комиссии вместе с пояснительной запиской спецкурьером прибыли к наркому обороны К. Ворошило</w:t>
      </w:r>
      <w:r w:rsidRPr="0044524F">
        <w:rPr>
          <w:rFonts w:ascii="Times New Roman" w:hAnsi="Times New Roman"/>
          <w:color w:val="000000" w:themeColor="text1"/>
          <w:sz w:val="16"/>
          <w:szCs w:val="16"/>
        </w:rPr>
        <w:softHyphen/>
        <w:t>ву (10733,277).</w:t>
      </w:r>
    </w:p>
    <w:p w14:paraId="3AE5F223" w14:textId="77777777" w:rsidR="00AE51CE" w:rsidRPr="0044524F" w:rsidRDefault="00AE51C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FE2BB3A"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июня 1933 года на специальном засе</w:t>
      </w:r>
      <w:r w:rsidRPr="00142305">
        <w:rPr>
          <w:rFonts w:ascii="Times New Roman" w:hAnsi="Times New Roman"/>
          <w:color w:val="0070C0"/>
          <w:sz w:val="16"/>
          <w:szCs w:val="16"/>
        </w:rPr>
        <w:softHyphen/>
        <w:t>дании Научно-технического комитета УММ РККА были рассмотрены шесть вариантов Т-39 вме</w:t>
      </w:r>
      <w:r w:rsidRPr="00142305">
        <w:rPr>
          <w:rFonts w:ascii="Times New Roman" w:hAnsi="Times New Roman"/>
          <w:color w:val="0070C0"/>
          <w:sz w:val="16"/>
          <w:szCs w:val="16"/>
        </w:rPr>
        <w:softHyphen/>
        <w:t>сте с проектами 100-тонного танка ТГ-6 (разработан Э. Гроте во время его пребыва</w:t>
      </w:r>
      <w:r w:rsidRPr="00142305">
        <w:rPr>
          <w:rFonts w:ascii="Times New Roman" w:hAnsi="Times New Roman"/>
          <w:color w:val="0070C0"/>
          <w:sz w:val="16"/>
          <w:szCs w:val="16"/>
        </w:rPr>
        <w:softHyphen/>
        <w:t>ния в СССР) и 70-тонным танком итальян</w:t>
      </w:r>
      <w:r w:rsidRPr="00142305">
        <w:rPr>
          <w:rFonts w:ascii="Times New Roman" w:hAnsi="Times New Roman"/>
          <w:color w:val="0070C0"/>
          <w:sz w:val="16"/>
          <w:szCs w:val="16"/>
        </w:rPr>
        <w:softHyphen/>
        <w:t>ской фирмы «Ансальдо». По результатам об</w:t>
      </w:r>
      <w:r w:rsidRPr="00142305">
        <w:rPr>
          <w:rFonts w:ascii="Times New Roman" w:hAnsi="Times New Roman"/>
          <w:color w:val="0070C0"/>
          <w:sz w:val="16"/>
          <w:szCs w:val="16"/>
        </w:rPr>
        <w:softHyphen/>
        <w:t>суждения и на основе высказанных воен</w:t>
      </w:r>
      <w:r w:rsidRPr="00142305">
        <w:rPr>
          <w:rFonts w:ascii="Times New Roman" w:hAnsi="Times New Roman"/>
          <w:color w:val="0070C0"/>
          <w:sz w:val="16"/>
          <w:szCs w:val="16"/>
        </w:rPr>
        <w:softHyphen/>
        <w:t>ными замечаний, конструкторы Опытного завода под руководством Н.В. Барыкова и С.А. Гинзбурга разработали седьмой и восьмой варианты Т-39.</w:t>
      </w:r>
    </w:p>
    <w:p w14:paraId="3835ACF0" w14:textId="77777777" w:rsidR="00CD62DA" w:rsidRPr="00142305" w:rsidRDefault="00CD62DA" w:rsidP="00CD62DA">
      <w:pPr>
        <w:spacing w:after="0" w:line="240" w:lineRule="auto"/>
        <w:jc w:val="both"/>
        <w:rPr>
          <w:rFonts w:ascii="Times New Roman" w:hAnsi="Times New Roman"/>
          <w:color w:val="0070C0"/>
          <w:sz w:val="16"/>
          <w:szCs w:val="16"/>
        </w:rPr>
      </w:pPr>
    </w:p>
    <w:p w14:paraId="22870807" w14:textId="02A08E91"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10 июня 1933 года на специальном заседании Научно-технического комитета УММ РККА эти варианты были рассмотрены вместе с проектами 100-тонного </w:t>
      </w:r>
      <w:hyperlink r:id="rId199"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ТГ-6 (разработан Гроте во время его пребывания в СССР) и 70-тонным </w:t>
      </w:r>
      <w:hyperlink r:id="rId200"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ом итальянской фирмы «Ансальдо». По результатам обсуждения КБ Опытного завода под руководством И.В.Барыкова и С.А.Гинзбурга разработало седьмой и восьмой варианты Т-39, которые, в свою очередь, рассматривались на заседании 7 августа. Первый из них представлял собой 90-тонный </w:t>
      </w:r>
      <w:hyperlink r:id="rId201"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 с 50—75-мм броней, вооруженный двумя 107-мм, двумя -45-мм орудиями и пятью пулеметами. Второй отличался только вооружением — одна 152-мм, три 45-мм орудия и четыре пулемета. Оба варианта признали удачными и решили построить их деревянные макеты в 1/10 натуральной величины. Фотографии макетов и эскизные чертежи были посланы наркому обороны СССР К.Е.Ворошилову, который в декабре 1933 года докладывал но этому вопросу председателю Комиссии Обороны СССР В.М.Молотову: • Представляя особо удачные варианты большого </w:t>
      </w:r>
      <w:hyperlink r:id="rId202"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прошу рассмотреть их на Комиссии Обороны и окончательно решить — нужна ли нам вообще такая боевая машина взамен достаточно мощного, на мой взгляд, </w:t>
      </w:r>
      <w:hyperlink r:id="rId203"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особого назначения Т-35, который в состоянии выполнить большинство боевых задач. Производство опытного образца Т-39 потребует около 3 млн. рублей и не менее одного года». Аргументы Ворошилова были убедительными, и в начале 1934 года Комиссия Обороны постановила: работы по Т-39 прекратить, продолжать производство Т-35. Для сравнения следует заметить, что последний обходился</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казне» в 525 тыс. рублей (за эти же деньги можно было построить девять легких </w:t>
      </w:r>
      <w:hyperlink r:id="rId204"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ов ВТ-5) (15609).</w:t>
      </w:r>
    </w:p>
    <w:p w14:paraId="314BA9D1" w14:textId="77777777" w:rsidR="000F0C05" w:rsidRPr="0044524F" w:rsidRDefault="000F0C05" w:rsidP="009654CF">
      <w:pPr>
        <w:spacing w:after="0" w:line="240" w:lineRule="auto"/>
        <w:jc w:val="both"/>
        <w:rPr>
          <w:rFonts w:ascii="Times New Roman" w:hAnsi="Times New Roman"/>
          <w:color w:val="000000" w:themeColor="text1"/>
          <w:sz w:val="16"/>
          <w:szCs w:val="16"/>
        </w:rPr>
      </w:pPr>
    </w:p>
    <w:p w14:paraId="3EBE9663" w14:textId="77777777" w:rsidR="000F0C05" w:rsidRPr="0044524F" w:rsidRDefault="000F0C05" w:rsidP="009654CF">
      <w:pPr>
        <w:pStyle w:val="rtejustify"/>
        <w:spacing w:before="0" w:after="0"/>
        <w:rPr>
          <w:color w:val="000000" w:themeColor="text1"/>
          <w:sz w:val="16"/>
          <w:szCs w:val="16"/>
        </w:rPr>
      </w:pPr>
      <w:r w:rsidRPr="0044524F">
        <w:rPr>
          <w:rStyle w:val="af0"/>
          <w:bCs/>
          <w:i w:val="0"/>
          <w:color w:val="000000" w:themeColor="text1"/>
          <w:sz w:val="16"/>
          <w:szCs w:val="16"/>
        </w:rPr>
        <w:t>10 июня</w:t>
      </w:r>
      <w:r w:rsidRPr="0044524F">
        <w:rPr>
          <w:color w:val="000000" w:themeColor="text1"/>
          <w:sz w:val="16"/>
          <w:szCs w:val="16"/>
        </w:rPr>
        <w:t xml:space="preserve"> 1933 вышел приказ РВСС № 12. 1. О введении на вооружение РККА трактора «Коминтерн». (Халепский). 2. О производстве мотоброневагонов конструкции Дыренкова. (Халепский). 3. Об изменении тактико-технических элементов п/л «Правда». (Орлов). 5. — 4). Сообщение о подписании председателем РВСС постановлений РВСС «Об изготовлении двух опытных образцов танков ПТ</w:t>
      </w:r>
      <w:r w:rsidRPr="0044524F">
        <w:rPr>
          <w:color w:val="000000" w:themeColor="text1"/>
          <w:sz w:val="16"/>
          <w:szCs w:val="16"/>
        </w:rPr>
        <w:noBreakHyphen/>
        <w:t>1 от 3 июня 1933 г.». (РГВА. Ф. 4. Оп. 18. Д. 23. Л. 183</w:t>
      </w:r>
      <w:r w:rsidRPr="0044524F">
        <w:rPr>
          <w:color w:val="000000" w:themeColor="text1"/>
          <w:sz w:val="16"/>
          <w:szCs w:val="16"/>
        </w:rPr>
        <w:noBreakHyphen/>
        <w:t>184) (15461).</w:t>
      </w:r>
    </w:p>
    <w:p w14:paraId="309C172D" w14:textId="77777777" w:rsidR="000F0C05" w:rsidRPr="0044524F" w:rsidRDefault="000F0C05" w:rsidP="009654CF">
      <w:pPr>
        <w:pStyle w:val="rtejustify"/>
        <w:spacing w:before="0" w:after="0"/>
        <w:rPr>
          <w:rStyle w:val="af0"/>
          <w:bCs/>
          <w:i w:val="0"/>
          <w:color w:val="000000" w:themeColor="text1"/>
          <w:sz w:val="16"/>
          <w:szCs w:val="16"/>
        </w:rPr>
      </w:pPr>
    </w:p>
    <w:p w14:paraId="6F31F09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июня 1933 г. приказом РВС СССР №5249сс "Коминтерн", который 31 марта 1933 г. приказом НКТП №146, утверждался к серийному производству был принят на вооружение. Однако "с апреля месяца работа по подготовке производства стала значительно падать т.к. тракторному отделу было добавлено в производство 100 шт. моторов "Коммунар". Кроме того, помимо совершенствования трактора "Коммунар" и работ по "Коминтерну", в 1933 г. завод был загружен и другими заказами, а именно - вел работы по дизелям БД-2 и БД-14, занимался совершенствованием конструкции танка БТ (простое перечисление работ в докладе военпреда заняло шесть листов). В итоге освоение "Коминтерна" перенесли на 1934 г. (12008).</w:t>
      </w:r>
    </w:p>
    <w:p w14:paraId="69E6AEA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5C0A6013"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июня 1933 года приказом РВС СССР №5249сс трактор «Коминтерн ХПЗ был принят на вооружение (25003).</w:t>
      </w:r>
    </w:p>
    <w:p w14:paraId="15149FDC" w14:textId="77777777" w:rsidR="00CD62DA" w:rsidRPr="00142305" w:rsidRDefault="00CD62DA" w:rsidP="00CD62DA">
      <w:pPr>
        <w:spacing w:after="0" w:line="240" w:lineRule="auto"/>
        <w:jc w:val="both"/>
        <w:rPr>
          <w:rFonts w:ascii="Times New Roman" w:hAnsi="Times New Roman"/>
          <w:color w:val="0070C0"/>
          <w:sz w:val="16"/>
          <w:szCs w:val="16"/>
        </w:rPr>
      </w:pPr>
    </w:p>
    <w:p w14:paraId="51C67376"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10 июня</w:t>
      </w:r>
      <w:r w:rsidRPr="0044524F">
        <w:rPr>
          <w:rFonts w:ascii="Times New Roman" w:hAnsi="Times New Roman"/>
          <w:color w:val="000000" w:themeColor="text1"/>
          <w:sz w:val="16"/>
          <w:szCs w:val="16"/>
        </w:rPr>
        <w:t xml:space="preserve"> в 1933 году на базе Днепровской ГЭС был введен в строй Днепровский алюминиевый завод (ныне – ОАО «Запорожский производственный алюминиевый комбинат», Украина) (14918).</w:t>
      </w:r>
    </w:p>
    <w:p w14:paraId="45486450" w14:textId="77777777" w:rsidR="000F0C05" w:rsidRPr="0044524F" w:rsidRDefault="000F0C05" w:rsidP="009654CF">
      <w:pPr>
        <w:spacing w:after="0" w:line="240" w:lineRule="auto"/>
        <w:jc w:val="both"/>
        <w:rPr>
          <w:rFonts w:ascii="Times New Roman" w:hAnsi="Times New Roman"/>
          <w:color w:val="000000" w:themeColor="text1"/>
          <w:sz w:val="16"/>
          <w:szCs w:val="16"/>
        </w:rPr>
      </w:pPr>
    </w:p>
    <w:p w14:paraId="053D20DD"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52282EC"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80559E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были подготовлены программа и план опытного производства завода 39:</w:t>
      </w:r>
    </w:p>
    <w:p w14:paraId="30568EF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ЛР опытная - гос. исп. 01.11.33</w:t>
      </w:r>
    </w:p>
    <w:p w14:paraId="03B68AD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ЛР головная</w:t>
      </w:r>
    </w:p>
    <w:p w14:paraId="0CF94B6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СС опытная</w:t>
      </w:r>
    </w:p>
    <w:p w14:paraId="52CE541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СС головная - переносится на 1934</w:t>
      </w:r>
    </w:p>
    <w:p w14:paraId="507D77A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И-15 опытная</w:t>
      </w:r>
    </w:p>
    <w:p w14:paraId="78645EC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И-15 головной</w:t>
      </w:r>
    </w:p>
    <w:p w14:paraId="3D9567C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ТШ-3 опытный</w:t>
      </w:r>
    </w:p>
    <w:p w14:paraId="27BA91C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ТШ головной</w:t>
      </w:r>
    </w:p>
    <w:p w14:paraId="3B76AB3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РК опытный</w:t>
      </w:r>
    </w:p>
    <w:p w14:paraId="52938B3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П-48 с М-49</w:t>
      </w:r>
    </w:p>
    <w:p w14:paraId="014F965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ЛК опытн.</w:t>
      </w:r>
    </w:p>
    <w:p w14:paraId="654762A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ДИ-6 опытный</w:t>
      </w:r>
    </w:p>
    <w:p w14:paraId="7EA0220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ДИ-6 головной</w:t>
      </w:r>
    </w:p>
    <w:p w14:paraId="6045E31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 опытная</w:t>
      </w:r>
    </w:p>
    <w:p w14:paraId="7426026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ТУР опытная</w:t>
      </w:r>
    </w:p>
    <w:p w14:paraId="713839A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ТУР головная</w:t>
      </w:r>
    </w:p>
    <w:p w14:paraId="1509D50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СБС - снять с 1933</w:t>
      </w:r>
    </w:p>
    <w:p w14:paraId="353D468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ИС опытный</w:t>
      </w:r>
    </w:p>
    <w:p w14:paraId="0AC7879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ИС головной (2286,90).</w:t>
      </w:r>
    </w:p>
    <w:p w14:paraId="23AA01A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4C0D396E"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26116CA"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1B4177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г. постановлением СТО СССР был утвержден второй пятилетний планом военного строительства (11870).</w:t>
      </w:r>
    </w:p>
    <w:p w14:paraId="04F48F5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352BBA0C"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г. после устранения конструктивных неисправностей, обнаруженных в Кунцеве, танкетка Т-27 была вновь испытана. В ходе испытаний проводилась стрельба с места. Вес снаряда составлял 3,2 кг, вес заряда — 0,62 кг пороха МСК. За 13 секунд было проведено 5 выстрелов. Затем в течение 23 секунд магазин заполнялся патронами. Следующие 4 выстрела произведены за 8 секунд. Итого 9 выстрелов за 44 секунды. Задержек при стрельбе не было.</w:t>
      </w:r>
    </w:p>
    <w:p w14:paraId="698D3619"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танкетку Т-27 с 76-мм пушкой Курчевского доставили в Ленинград на НИАП, где с 28 июля по 29 августа производились их испытания стрельбой и возкой.</w:t>
      </w:r>
    </w:p>
    <w:p w14:paraId="696151D1"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Скорострельность составила 6–7 выстр/мин. Экипаж танкетки Т-27 — 2 человека. Вооружение: только 76-мм пушка К. Боекомплект 30 снарядов.</w:t>
      </w:r>
    </w:p>
    <w:p w14:paraId="558CBEFA"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Сравнительные данные стрельбы снарядами чертежа 3999 с 76-мм полковой пушкой обр. 1927 г. показали, что отклонения по высоте те же, что и у полковой пушки, а боковое рассеивание лучше табличного у полковой пушки.</w:t>
      </w:r>
    </w:p>
    <w:p w14:paraId="138766EC"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возкой проводились на дистанции 50 км по шоссе со скоростью 20–30 км/час. Комиссия сделала следующие выводы:</w:t>
      </w:r>
    </w:p>
    <w:p w14:paraId="4C842701"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Достигнута скорострельность 18 выстрелов в 3 минуты.</w:t>
      </w:r>
    </w:p>
    <w:p w14:paraId="04D91ED8"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Боеприпасы должны быть одинаковой длины для всех снарядов, так как при стрельбе бронебойными снарядами чертежа 4716 пользоваться механизмом заряжания нельзя, поскольку снаряды слишком длинные.</w:t>
      </w:r>
    </w:p>
    <w:p w14:paraId="1880F0E7"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Деревянные поддоны у патронов должны быть строго калиброваны по диаметру сопла.</w:t>
      </w:r>
    </w:p>
    <w:p w14:paraId="25A69CBF"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Необходимо, кроме пушки, поставить на танкетку 7,62-мм пулемет ДТ.</w:t>
      </w:r>
    </w:p>
    <w:p w14:paraId="03D8022A"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Очередные испытания Т-27 с 76-мм пушкой Курчевского, которая к тому времени получила название ТПК-27, прошли на Кунцевском полигоне 25 апреля 1934 г. Предоставлю читателю выдержки из отчета комиссии:</w:t>
      </w:r>
    </w:p>
    <w:p w14:paraId="10D7B045"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с хода (до 15 км/час) и с коротких остановок показала «полное отсутствие меткости».</w:t>
      </w:r>
    </w:p>
    <w:p w14:paraId="3D920495"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Стрельбы закончились поперечным разрывом ствола на расстоянии около 400 мм от устья сопла, разрушен правый борт танкетки, оторван лист брони весом около 18 кг. Стрелявший инженер Нейланд убит, водитель Каплюр легко ранен и контужен. Взрыв произошел из-за двойного заряжания пушки.</w:t>
      </w:r>
    </w:p>
    <w:p w14:paraId="25C6A6D7"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сделано 44 выстрела, и ни одного попадания. Осечек 5, один «плевок», то есть падение снаряда на расстоянии 3–4 м от дульного среза.</w:t>
      </w:r>
    </w:p>
    <w:p w14:paraId="50FB505C"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Грубое вертикальное наведение проводилось поворотом танкетки.</w:t>
      </w:r>
    </w:p>
    <w:p w14:paraId="5446B37C"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 комиссии: «Самоходная установка испытания не выдержала и требованиям не удовлетворяет».</w:t>
      </w:r>
    </w:p>
    <w:p w14:paraId="376082A0"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этом работы по ТПК-27 были прекращены (12705).</w:t>
      </w:r>
    </w:p>
    <w:p w14:paraId="0C800128" w14:textId="77777777" w:rsidR="00CE35D9" w:rsidRPr="0044524F" w:rsidRDefault="00CE35D9" w:rsidP="009654CF">
      <w:pPr>
        <w:spacing w:after="0" w:line="240" w:lineRule="auto"/>
        <w:jc w:val="both"/>
        <w:rPr>
          <w:rFonts w:ascii="Times New Roman" w:hAnsi="Times New Roman"/>
          <w:color w:val="000000" w:themeColor="text1"/>
          <w:sz w:val="16"/>
          <w:szCs w:val="16"/>
        </w:rPr>
      </w:pPr>
    </w:p>
    <w:p w14:paraId="25B90485"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г. после устранения конструктивных неисправностей, обнаруженных в Кунцево, танкетка Т-27 была вновь испытана В ходе испытаний проводилась стрельба с места. Вес снаряда составлял 3,2 кг, вес заряда 0,62 кг пороха МСК. За 13 секунд было проведено 5 выстрелов. Затем в течение 23 секунд магазин заполнялся патронами. Следующие 4 выстрела произведены за 8 секунд. Итого 9 выстрелов за 44 секунды. Задержек при стрельбе не было.</w:t>
      </w:r>
    </w:p>
    <w:p w14:paraId="45EF2381"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танкетку Т-27 с 76-мм пушкой Курчевского доставили в Ленинград на НИАП, где с 28 июля по 29 августа производились их испытания стрельбой и возкой.</w:t>
      </w:r>
    </w:p>
    <w:p w14:paraId="0231E6C1" w14:textId="77777777" w:rsidR="000F0C05" w:rsidRPr="0044524F" w:rsidRDefault="000F0C05" w:rsidP="009654CF">
      <w:pPr>
        <w:spacing w:after="0" w:line="240" w:lineRule="auto"/>
        <w:jc w:val="both"/>
        <w:rPr>
          <w:rFonts w:ascii="Times New Roman" w:hAnsi="Times New Roman"/>
          <w:bCs/>
          <w:color w:val="000000" w:themeColor="text1"/>
          <w:sz w:val="16"/>
          <w:szCs w:val="16"/>
        </w:rPr>
      </w:pPr>
      <w:bookmarkStart w:id="19" w:name="label64"/>
      <w:bookmarkStart w:id="20" w:name="label65"/>
      <w:bookmarkEnd w:id="19"/>
      <w:bookmarkEnd w:id="20"/>
      <w:r w:rsidRPr="0044524F">
        <w:rPr>
          <w:rFonts w:ascii="Times New Roman" w:hAnsi="Times New Roman"/>
          <w:bCs/>
          <w:color w:val="000000" w:themeColor="text1"/>
          <w:sz w:val="16"/>
          <w:szCs w:val="16"/>
        </w:rPr>
        <w:t>Результаты испытаний 76-мм пушки К на танкетке Т-27 в июле—августе 1933 г.</w:t>
      </w:r>
    </w:p>
    <w:p w14:paraId="4F6E3A40" w14:textId="77777777" w:rsidR="000F0C05" w:rsidRPr="0044524F" w:rsidRDefault="000F0C05" w:rsidP="009654CF">
      <w:pPr>
        <w:spacing w:after="0" w:line="240" w:lineRule="auto"/>
        <w:jc w:val="both"/>
        <w:rPr>
          <w:rFonts w:ascii="Times New Roman" w:hAnsi="Times New Roman"/>
          <w:bCs/>
          <w:color w:val="000000" w:themeColor="text1"/>
          <w:sz w:val="16"/>
          <w:szCs w:val="16"/>
        </w:rPr>
      </w:pPr>
      <w:bookmarkStart w:id="21" w:name="label66"/>
      <w:bookmarkEnd w:id="21"/>
      <w:r w:rsidRPr="0044524F">
        <w:rPr>
          <w:rFonts w:ascii="Times New Roman" w:hAnsi="Times New Roman"/>
          <w:bCs/>
          <w:color w:val="000000" w:themeColor="text1"/>
          <w:sz w:val="16"/>
          <w:szCs w:val="16"/>
          <w:vertAlign w:val="superscript"/>
        </w:rPr>
        <w:t>Снаряд …… Вес снаряда, кг — Начальная скорость, м/с — Дальность стрельбы при: 45° / +35°</w:t>
      </w:r>
    </w:p>
    <w:p w14:paraId="52BD95AC"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Практическая шрапнель чертежа 3999 …… 3,2 — 341 — (1400 / 4300)</w:t>
      </w:r>
    </w:p>
    <w:p w14:paraId="4E23D1F5"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Бронебойный чертежа 4716 …… 4,0 — 278 — (1100 / 4000)</w:t>
      </w:r>
    </w:p>
    <w:p w14:paraId="4F3A821D"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Скорострельность составила 6—7 выстр/мин. Экипаж танкетки Т-27 — 2 человека. Вооружение: только 76-мм пушка К. Боекомплект 30 снарядов.</w:t>
      </w:r>
    </w:p>
    <w:p w14:paraId="129E71C6"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Сравнительные данные стрельбы снарядами чертежа 3999 с 76-мм полковой пушкой обр. 1927 г. показали, что отклонения по высоте те же, что и у полковой пушки, а боковое рассеивание лучше табличного у полковой пушки.</w:t>
      </w:r>
    </w:p>
    <w:p w14:paraId="637F673C"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возкой проводились на дистанции 50 км по шоссе со скоростью 20—30 км/час.</w:t>
      </w:r>
    </w:p>
    <w:p w14:paraId="29A84C61"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сделала следующие выводы:</w:t>
      </w:r>
    </w:p>
    <w:p w14:paraId="3886E813"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Достигнута скорострельность 18 выстрелов в 3 минуты,</w:t>
      </w:r>
    </w:p>
    <w:p w14:paraId="2A81FBA4"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Боеприпасы должны быть одинаковой длины для всех снарядов, так как при стрельбе бронебойными снарядами чертежа 4716 пользоваться механизмом заряжания нельзя, поскольку снаряды слишком длинные.</w:t>
      </w:r>
    </w:p>
    <w:p w14:paraId="579F9B24"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Деревянные поддоны у патронов должны быть строго калиброваны по диаметру сопла.</w:t>
      </w:r>
    </w:p>
    <w:p w14:paraId="210FA8BE"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Необходимо, кроме пушки, поставить на танкетку 7,62-мм пулемет ДТ.</w:t>
      </w:r>
    </w:p>
    <w:p w14:paraId="70C953BE"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Очередные испытания Т-27 с 76-мм пушкой Курчевского, которая к тому времени получила название ТПК-27, прошли на Кунцевском полигоне 25 апреля 1934 г. Предоставлю читателю выдержки из отчета комиссии:</w:t>
      </w:r>
    </w:p>
    <w:p w14:paraId="769E8E3D"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с хода (до 15 км/час) и с коротких остановок показала «полное отсутствие меткости».</w:t>
      </w:r>
    </w:p>
    <w:p w14:paraId="3BC3C1DB"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Стрельбы закончились поперечным разрывом ствола на расстоянии около 400 мм от устья сопла, разрушен правый борт танкетки, оторван лист брони весом около 18 кг. Стрелявший инженер Нейланд убит, водитель Каплюр легко ранен и контужен. Взрыв произошел из-за двойного заряжания пушки.</w:t>
      </w:r>
    </w:p>
    <w:p w14:paraId="5FF0C699"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сделано 44 выстрела, и ни одного попадания. Осечек 5, один «плевок», то есть падение снаряда на расстоянии 3—4 м от дульного среза.</w:t>
      </w:r>
    </w:p>
    <w:p w14:paraId="32FFC5D5"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Грубое вертикальное наведение проводилось поворотом танкетки.</w:t>
      </w:r>
    </w:p>
    <w:p w14:paraId="19554596"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 комиссии: «Самоходная установка испытания не выдержала и требований не удовлетворяет».</w:t>
      </w:r>
    </w:p>
    <w:p w14:paraId="775B50B9" w14:textId="77777777" w:rsidR="000F0C05" w:rsidRPr="0044524F" w:rsidRDefault="000F0C0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этом работы по ТПК-27 были прекращены (15117).</w:t>
      </w:r>
    </w:p>
    <w:p w14:paraId="0534C31F" w14:textId="77777777" w:rsidR="000F0C05" w:rsidRPr="0044524F" w:rsidRDefault="000F0C05" w:rsidP="009654CF">
      <w:pPr>
        <w:spacing w:after="0" w:line="240" w:lineRule="auto"/>
        <w:jc w:val="both"/>
        <w:rPr>
          <w:rFonts w:ascii="Times New Roman" w:hAnsi="Times New Roman"/>
          <w:color w:val="000000" w:themeColor="text1"/>
          <w:sz w:val="16"/>
          <w:szCs w:val="16"/>
        </w:rPr>
      </w:pPr>
    </w:p>
    <w:p w14:paraId="2479B66A"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11 июня 1933 г. после устранения конструктивных неисправностей, обнаруженных в Кунцево, танкетка Т-27 с 76 мм пушкой Курчевского была испытана вновь. В ходе испытаний проводилась стрельба с места. Вес снаряда составлял 3,2 кг, вес заряда 0,62 кг пороха МСК. За 13 секунд было проведено 5 выстрелов. Затем в течение 23 секунд магазин заполнялся патронами. Следующие 4 выстрела произведены за 8 секунд. Итого 9 выстрелов за 44 секунды. Задержек при стрельбе не было.</w:t>
      </w:r>
    </w:p>
    <w:p w14:paraId="6C57CAFC"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июле 1933 г. танкетку Т-27 с 76-мм пушкой Курчевского доставили в Ленинград на НИАП (25213).</w:t>
      </w:r>
    </w:p>
    <w:p w14:paraId="7F131483" w14:textId="77777777" w:rsidR="00CD62DA" w:rsidRPr="00142305" w:rsidRDefault="00CD62DA" w:rsidP="00CD62DA">
      <w:pPr>
        <w:spacing w:after="0" w:line="240" w:lineRule="auto"/>
        <w:jc w:val="both"/>
        <w:rPr>
          <w:rFonts w:ascii="Times New Roman" w:hAnsi="Times New Roman"/>
          <w:color w:val="0070C0"/>
          <w:sz w:val="16"/>
          <w:szCs w:val="16"/>
        </w:rPr>
      </w:pPr>
    </w:p>
    <w:p w14:paraId="542E1DC1" w14:textId="77777777" w:rsidR="00260BE5" w:rsidRPr="0044524F" w:rsidRDefault="00260BE5" w:rsidP="009654CF">
      <w:pPr>
        <w:pStyle w:val="rtejustify"/>
        <w:spacing w:before="0" w:after="0"/>
        <w:rPr>
          <w:color w:val="000000" w:themeColor="text1"/>
          <w:sz w:val="16"/>
          <w:szCs w:val="16"/>
        </w:rPr>
      </w:pPr>
      <w:r w:rsidRPr="0044524F">
        <w:rPr>
          <w:rStyle w:val="af0"/>
          <w:bCs/>
          <w:i w:val="0"/>
          <w:color w:val="000000" w:themeColor="text1"/>
          <w:sz w:val="16"/>
          <w:szCs w:val="16"/>
        </w:rPr>
        <w:t>11 июня 1933 вышел приказ НКТП № 79с.</w:t>
      </w:r>
      <w:r w:rsidRPr="0044524F">
        <w:rPr>
          <w:color w:val="000000" w:themeColor="text1"/>
          <w:sz w:val="16"/>
          <w:szCs w:val="16"/>
        </w:rPr>
        <w:t xml:space="preserve"> Об обеспечении заводами производственной программы по запчастям к танкам. (РГАЭ. Ф. 7297. Оп. 38. Д. 38. Л. 28) (15246).</w:t>
      </w:r>
    </w:p>
    <w:p w14:paraId="08385660" w14:textId="77777777" w:rsidR="00260BE5" w:rsidRPr="0044524F" w:rsidRDefault="00260BE5" w:rsidP="009654CF">
      <w:pPr>
        <w:pStyle w:val="rtejustify"/>
        <w:spacing w:before="0" w:after="0"/>
        <w:rPr>
          <w:color w:val="000000" w:themeColor="text1"/>
          <w:sz w:val="16"/>
          <w:szCs w:val="16"/>
        </w:rPr>
      </w:pPr>
    </w:p>
    <w:p w14:paraId="74564B82" w14:textId="77777777" w:rsidR="00260BE5" w:rsidRPr="0044524F" w:rsidRDefault="00260BE5" w:rsidP="009654CF">
      <w:pPr>
        <w:pStyle w:val="rtejustify"/>
        <w:spacing w:before="0" w:after="0"/>
        <w:rPr>
          <w:color w:val="000000" w:themeColor="text1"/>
          <w:sz w:val="16"/>
          <w:szCs w:val="16"/>
        </w:rPr>
      </w:pPr>
      <w:r w:rsidRPr="0044524F">
        <w:rPr>
          <w:rStyle w:val="af0"/>
          <w:bCs/>
          <w:i w:val="0"/>
          <w:color w:val="000000" w:themeColor="text1"/>
          <w:sz w:val="16"/>
          <w:szCs w:val="16"/>
        </w:rPr>
        <w:t>11 июня</w:t>
      </w:r>
      <w:r w:rsidRPr="0044524F">
        <w:rPr>
          <w:color w:val="000000" w:themeColor="text1"/>
          <w:sz w:val="16"/>
          <w:szCs w:val="16"/>
        </w:rPr>
        <w:t xml:space="preserve"> 1933. Постановление СТО СССР № 43сс/о «О мероприятиях первой очереди по усилению ОКДВА». (ГА РФ. Ф. Р</w:t>
      </w:r>
      <w:r w:rsidRPr="0044524F">
        <w:rPr>
          <w:color w:val="000000" w:themeColor="text1"/>
          <w:sz w:val="16"/>
          <w:szCs w:val="16"/>
        </w:rPr>
        <w:noBreakHyphen/>
        <w:t>8418. Оп. 28. Д. 1. Л. 188</w:t>
      </w:r>
      <w:r w:rsidRPr="0044524F">
        <w:rPr>
          <w:color w:val="000000" w:themeColor="text1"/>
          <w:sz w:val="16"/>
          <w:szCs w:val="16"/>
        </w:rPr>
        <w:noBreakHyphen/>
        <w:t>190) (15460).</w:t>
      </w:r>
    </w:p>
    <w:p w14:paraId="2D9BA1A1" w14:textId="77777777" w:rsidR="00260BE5" w:rsidRPr="0044524F" w:rsidRDefault="00260BE5" w:rsidP="009654CF">
      <w:pPr>
        <w:pStyle w:val="rtejustify"/>
        <w:spacing w:before="0" w:after="0"/>
        <w:rPr>
          <w:color w:val="000000" w:themeColor="text1"/>
          <w:sz w:val="16"/>
          <w:szCs w:val="16"/>
        </w:rPr>
      </w:pPr>
    </w:p>
    <w:p w14:paraId="46946A71" w14:textId="77777777" w:rsidR="00260BE5" w:rsidRPr="0044524F" w:rsidRDefault="00260BE5" w:rsidP="009654CF">
      <w:pPr>
        <w:pStyle w:val="rtejustify"/>
        <w:spacing w:before="0" w:after="0"/>
        <w:rPr>
          <w:color w:val="000000" w:themeColor="text1"/>
          <w:sz w:val="16"/>
          <w:szCs w:val="16"/>
        </w:rPr>
      </w:pPr>
      <w:r w:rsidRPr="0044524F">
        <w:rPr>
          <w:rStyle w:val="af0"/>
          <w:bCs/>
          <w:i w:val="0"/>
          <w:color w:val="000000" w:themeColor="text1"/>
          <w:sz w:val="16"/>
          <w:szCs w:val="16"/>
        </w:rPr>
        <w:t>11 июня</w:t>
      </w:r>
      <w:r w:rsidRPr="0044524F">
        <w:rPr>
          <w:color w:val="000000" w:themeColor="text1"/>
          <w:sz w:val="16"/>
          <w:szCs w:val="16"/>
        </w:rPr>
        <w:t xml:space="preserve"> 1933. Постановление СТО СССР № 45сс/о «О мероприятиях второй очереди по усилению ОКДВА». (ГА РФ. Ф. Р</w:t>
      </w:r>
      <w:r w:rsidRPr="0044524F">
        <w:rPr>
          <w:color w:val="000000" w:themeColor="text1"/>
          <w:sz w:val="16"/>
          <w:szCs w:val="16"/>
        </w:rPr>
        <w:noBreakHyphen/>
        <w:t>8418. Оп. 28. Д. 1. Л. 193</w:t>
      </w:r>
      <w:r w:rsidRPr="0044524F">
        <w:rPr>
          <w:color w:val="000000" w:themeColor="text1"/>
          <w:sz w:val="16"/>
          <w:szCs w:val="16"/>
        </w:rPr>
        <w:noBreakHyphen/>
        <w:t>195) (15460).</w:t>
      </w:r>
    </w:p>
    <w:p w14:paraId="46C4396E" w14:textId="77777777" w:rsidR="00260BE5" w:rsidRPr="0044524F" w:rsidRDefault="00260BE5" w:rsidP="009654CF">
      <w:pPr>
        <w:pStyle w:val="rtejustify"/>
        <w:spacing w:before="0" w:after="0"/>
        <w:rPr>
          <w:color w:val="000000" w:themeColor="text1"/>
          <w:sz w:val="16"/>
          <w:szCs w:val="16"/>
        </w:rPr>
      </w:pPr>
    </w:p>
    <w:p w14:paraId="70DC1CA1" w14:textId="77777777" w:rsidR="00260BE5" w:rsidRPr="0044524F" w:rsidRDefault="00260BE5" w:rsidP="009654CF">
      <w:pPr>
        <w:pStyle w:val="rtejustify"/>
        <w:spacing w:before="0" w:after="0"/>
        <w:rPr>
          <w:color w:val="000000" w:themeColor="text1"/>
          <w:sz w:val="16"/>
          <w:szCs w:val="16"/>
        </w:rPr>
      </w:pPr>
      <w:r w:rsidRPr="0044524F">
        <w:rPr>
          <w:rStyle w:val="af0"/>
          <w:bCs/>
          <w:i w:val="0"/>
          <w:color w:val="000000" w:themeColor="text1"/>
          <w:sz w:val="16"/>
          <w:szCs w:val="16"/>
        </w:rPr>
        <w:t>11 июня 1933 вышел приказ НКТП № 80с.</w:t>
      </w:r>
      <w:r w:rsidRPr="0044524F">
        <w:rPr>
          <w:color w:val="000000" w:themeColor="text1"/>
          <w:sz w:val="16"/>
          <w:szCs w:val="16"/>
        </w:rPr>
        <w:t xml:space="preserve"> Об улучшении работы предприятий химической промышленности. (РГАЭ. Ф. 7297. Оп. 38. Д. 38. Л. 30</w:t>
      </w:r>
      <w:r w:rsidRPr="0044524F">
        <w:rPr>
          <w:color w:val="000000" w:themeColor="text1"/>
          <w:sz w:val="16"/>
          <w:szCs w:val="16"/>
        </w:rPr>
        <w:noBreakHyphen/>
        <w:t>29) (15246).</w:t>
      </w:r>
    </w:p>
    <w:p w14:paraId="47434D5D" w14:textId="77777777" w:rsidR="00260BE5" w:rsidRPr="0044524F" w:rsidRDefault="00260BE5" w:rsidP="009654CF">
      <w:pPr>
        <w:pStyle w:val="rtejustify"/>
        <w:spacing w:before="0" w:after="0"/>
        <w:rPr>
          <w:color w:val="000000" w:themeColor="text1"/>
          <w:sz w:val="16"/>
          <w:szCs w:val="16"/>
        </w:rPr>
      </w:pPr>
    </w:p>
    <w:p w14:paraId="7BFBD2C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г. Приказ начальника военно-химического управления и химических войск РККА Я.М.Фишмана о перевозке запасов ОВ со склада © 136 (г.Москва, Очаково) на НИХП (Москва, Кузьминки) и ЦВХП (склад © 303, пос. Шиханы, Саратовская область). Перевозку ОВ © 11 предписано осуществить в ночное время (имеется в виду синильная кислота) (4423).</w:t>
      </w:r>
    </w:p>
    <w:p w14:paraId="06D329D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6DF9D508" w14:textId="77777777" w:rsidR="0044195E" w:rsidRPr="0044524F" w:rsidRDefault="00441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г. постановлением СТО СССР вторым пятилетним планом военного строительства были определены задачи по дальнейшему развитию военно-полевой проводной связи А еще ранее, в августе 1932 г., выступая на конференции «Связь во втором пятиле</w:t>
      </w:r>
      <w:r w:rsidRPr="0044524F">
        <w:rPr>
          <w:rFonts w:ascii="Times New Roman" w:hAnsi="Times New Roman"/>
          <w:color w:val="000000" w:themeColor="text1"/>
          <w:sz w:val="16"/>
          <w:szCs w:val="16"/>
        </w:rPr>
        <w:softHyphen/>
        <w:t>тии» инспектор войск связи Р.В. Лонгва среди прочих приоритетов технической реконструкции техники также назвал внедрение многократного телефонирова</w:t>
      </w:r>
      <w:r w:rsidRPr="0044524F">
        <w:rPr>
          <w:rFonts w:ascii="Times New Roman" w:hAnsi="Times New Roman"/>
          <w:color w:val="000000" w:themeColor="text1"/>
          <w:sz w:val="16"/>
          <w:szCs w:val="16"/>
        </w:rPr>
        <w:softHyphen/>
        <w:t>ния и телеграфирования. Кроме этого, планами развития военной связи преду</w:t>
      </w:r>
      <w:r w:rsidRPr="0044524F">
        <w:rPr>
          <w:rFonts w:ascii="Times New Roman" w:hAnsi="Times New Roman"/>
          <w:color w:val="000000" w:themeColor="text1"/>
          <w:sz w:val="16"/>
          <w:szCs w:val="16"/>
        </w:rPr>
        <w:softHyphen/>
        <w:t>сматривалось: полная замена телефонных аппаратов старых марок на стандарт</w:t>
      </w:r>
      <w:r w:rsidRPr="0044524F">
        <w:rPr>
          <w:rFonts w:ascii="Times New Roman" w:hAnsi="Times New Roman"/>
          <w:color w:val="000000" w:themeColor="text1"/>
          <w:sz w:val="16"/>
          <w:szCs w:val="16"/>
        </w:rPr>
        <w:softHyphen/>
        <w:t>ные типа УНА; засекречивание работы телефонных средств связи; разработка и внедрение в войска аппаратуры дальней связи; введение в стратегическом и опе</w:t>
      </w:r>
      <w:r w:rsidRPr="0044524F">
        <w:rPr>
          <w:rFonts w:ascii="Times New Roman" w:hAnsi="Times New Roman"/>
          <w:color w:val="000000" w:themeColor="text1"/>
          <w:sz w:val="16"/>
          <w:szCs w:val="16"/>
        </w:rPr>
        <w:softHyphen/>
        <w:t>ративном звеньях управления подвижных проводных узлов связи (19098).</w:t>
      </w:r>
    </w:p>
    <w:p w14:paraId="246E7444" w14:textId="77777777" w:rsidR="0044195E" w:rsidRPr="0044524F" w:rsidRDefault="0044195E" w:rsidP="009654CF">
      <w:pPr>
        <w:spacing w:after="0" w:line="240" w:lineRule="auto"/>
        <w:jc w:val="both"/>
        <w:rPr>
          <w:rFonts w:ascii="Times New Roman" w:hAnsi="Times New Roman"/>
          <w:color w:val="000000" w:themeColor="text1"/>
          <w:sz w:val="16"/>
          <w:szCs w:val="16"/>
        </w:rPr>
      </w:pPr>
    </w:p>
    <w:p w14:paraId="3C6F1EF5" w14:textId="77777777" w:rsidR="00260BE5" w:rsidRPr="0044524F" w:rsidRDefault="00260BE5" w:rsidP="009654CF">
      <w:pPr>
        <w:pStyle w:val="rtejustify"/>
        <w:spacing w:before="0" w:after="0"/>
        <w:rPr>
          <w:color w:val="000000" w:themeColor="text1"/>
          <w:sz w:val="16"/>
          <w:szCs w:val="16"/>
        </w:rPr>
      </w:pPr>
      <w:r w:rsidRPr="0044524F">
        <w:rPr>
          <w:rStyle w:val="af0"/>
          <w:bCs/>
          <w:i w:val="0"/>
          <w:color w:val="000000" w:themeColor="text1"/>
          <w:sz w:val="16"/>
          <w:szCs w:val="16"/>
        </w:rPr>
        <w:t>11 июня</w:t>
      </w:r>
      <w:r w:rsidRPr="0044524F">
        <w:rPr>
          <w:color w:val="000000" w:themeColor="text1"/>
          <w:sz w:val="16"/>
          <w:szCs w:val="16"/>
        </w:rPr>
        <w:t xml:space="preserve"> 1933. Постановление СТО СССР № 42сс/о «О строительстве 30 подводных лодок «Щука» в 1934 г.». (ГА РФ. Ф. Р</w:t>
      </w:r>
      <w:r w:rsidRPr="0044524F">
        <w:rPr>
          <w:color w:val="000000" w:themeColor="text1"/>
          <w:sz w:val="16"/>
          <w:szCs w:val="16"/>
        </w:rPr>
        <w:noBreakHyphen/>
        <w:t>8418. Оп. 28. Д. 1. Л. 187) (15460).</w:t>
      </w:r>
    </w:p>
    <w:p w14:paraId="0E037712" w14:textId="77777777" w:rsidR="00260BE5" w:rsidRPr="0044524F" w:rsidRDefault="00260BE5" w:rsidP="009654CF">
      <w:pPr>
        <w:pStyle w:val="rtejustify"/>
        <w:spacing w:before="0" w:after="0"/>
        <w:rPr>
          <w:color w:val="000000" w:themeColor="text1"/>
          <w:sz w:val="16"/>
          <w:szCs w:val="16"/>
        </w:rPr>
      </w:pPr>
    </w:p>
    <w:p w14:paraId="35FBADC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г. постановлением СТО СССР была утверждена программа военно-морского строительства на 1933-1938 гг., в соответствии с которой телеграфный аппарат Шорина Ш-32 дол жен был заменить устаревшие буквопечатающие аппараты Юза (Архив ВИМАИВиВС, ф. 61р, оп. 2, д. 1, л. 104.). Поэтому про изводство его было поставлено в ряду других приоритетных направлений дея тельности электрослаботочной промышленности. Заслуги же самого А.Ф. Шо рина в деле укрепления обороноспособности страны были высоко оценены руко водством страны: постановлением ЦИК СССР и приказом РВС СССР № 336/347 от 22 апреля 1934 г. он был награжден орденом Ленина (Нижегородские пионеры советской радиотехники. - М.-Л., 1966. С. 210.). Нужно отметить, что одновременно с Шориным проблемой создания бук вопечатающего телеграфного аппарата занимался сотрудник НКПиТ Тремль. Два опытных образца его аппарата были изготовлены в конце 1929 г., и они сра зу же попали в поле зрения ВТУ. На своем заседании в ноябре 1929 г. Техниче ский комитет управления пришел к заключению, что аппараты Тремля представ ляют интерес для НКВМ. НКПиТ было предложено изготовить новые образцы аппаратов в мастерских ЦЛПС под наблюдением ее сотрудников и при участии Технического комитета ВТУ (ЦГА СПб., ф. 945, оп. 3, д. 111, л. 1.). После доработки в 1931 г. аппарат Тремля БТА-3 успешно выдержал испытания, был принят для эксплуатации и освоен в серий ном производстве. Применялся он для обеспечения телеграфной связи до штаба дивизии включительно (ВИМАИВиВС, ф. 60р, оп. 1, д. 27, л. 245.) (11870).</w:t>
      </w:r>
    </w:p>
    <w:p w14:paraId="1345922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6F043E6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11 июня 1933 Совет труда и обороны принял постановление «О программе военно-морского строительства на 1933–1938 гг.». </w:t>
      </w:r>
    </w:p>
    <w:p w14:paraId="10DBC32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годы второй пятилетки (1933–37) было начато строительство 137 подводных лодок, заложены 5 крейсеров (типа «Киров» и «Максим Горький»), 4 лидера, 46 эсминцев, 6 сторожевых кораблей, 27 тральщиков, 9 речных мониторов. Были созданы подводные лодки типов «М», «П», «Щ», «С», а затем типа «К» — большого водоизмещения с сильным торпедным и артиллерийским вооружением. В 1935 началось серийное строительство эсминцев типа «Гневный». Основной упор был сделан на строительство подводных лодок и торпедных катеров, которые должны были решать оборонительные и наступательные задачи. </w:t>
      </w:r>
    </w:p>
    <w:p w14:paraId="59DA63D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Большой вклад в развитие кораблестроения внесли выдающиеся ученые и инженеры А. Н. Крылов, П. Ф. Папкович, В. Л. Поздюнин, В. Ф. Попов, В. П. Костенко, Б. М. Малинин, Ю. А. Шиманский, А. П. Шершов, Н. В. Исаченков, В. Г. Власов и другие. </w:t>
      </w:r>
    </w:p>
    <w:p w14:paraId="2A35238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со строительством кораблей по плану, утвержденному в мае 1931, создавалась система береговой обороны, главной ударной силой которой была крупнокалиберная артиллерия. Развивалась бомбардировочная, истребительная и минно-торпедная морская авиация. Строились военно-морские базы. Тоннаж ВМФ с 1930 по 1939 увеличился почти в 2,5 раза (11712).</w:t>
      </w:r>
    </w:p>
    <w:p w14:paraId="53A16FA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70AECED5" w14:textId="77777777" w:rsidR="0059042B" w:rsidRPr="0044524F" w:rsidRDefault="0059042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11 июня 1933 Комиссии обороны СССР был заслушан доклад НКТП и НКВМ "О форсировании строительства подводных лодок". Внешне неожиданно, наряду с утверждением соответствующего постановления по проекту Наркомтяжпрома, КО решила:</w:t>
      </w:r>
    </w:p>
    <w:p w14:paraId="7D41A7BA" w14:textId="77777777" w:rsidR="0059042B" w:rsidRPr="0044524F" w:rsidRDefault="0059042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"Комиссии в составе тт. Молотова (председатель), Сталина, Ворошилова, Орджоникидзе, Куйбышева В., Кагановича Л., Ягоды, Тухачевского, Егорова, Орлова, Кагановича М., Сивкова, Кондратьева и Муклевича в декадный срок, исходя из необходимости форсированного развития военно-морских сил, разработать:</w:t>
      </w:r>
    </w:p>
    <w:p w14:paraId="5ACC8F91" w14:textId="77777777" w:rsidR="0059042B" w:rsidRPr="0044524F" w:rsidRDefault="0059042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а) программу военно-морского судостроения на 1933, 1934 и 1935 гг.;</w:t>
      </w:r>
    </w:p>
    <w:p w14:paraId="74AC9766" w14:textId="77777777" w:rsidR="0059042B" w:rsidRPr="0044524F" w:rsidRDefault="0059042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б) план экстраординарных мероприятий по обеспечению реального выполнения этой программы;</w:t>
      </w:r>
    </w:p>
    <w:p w14:paraId="1C390936" w14:textId="77777777" w:rsidR="0059042B" w:rsidRPr="0044524F" w:rsidRDefault="0059042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особо рассмотреть вопрос о типах судов гражданского флота сточки зрения их использования для военных целей" (Выписка из протокола № 6 Комиссии Обороны СССР от 11.06.1931 (заверенная копия)//РГА ВМФ. Ф. Р-1483-Оп. 1.Д 498. Л. 71.) (22725).</w:t>
      </w:r>
    </w:p>
    <w:p w14:paraId="5323187C" w14:textId="49B0C0BF" w:rsidR="0059042B" w:rsidRPr="0044524F" w:rsidRDefault="0059042B" w:rsidP="009654CF">
      <w:pPr>
        <w:shd w:val="clear" w:color="auto" w:fill="FFFFFF"/>
        <w:spacing w:after="0" w:line="240" w:lineRule="auto"/>
        <w:jc w:val="both"/>
        <w:rPr>
          <w:rFonts w:ascii="Times New Roman" w:hAnsi="Times New Roman"/>
          <w:color w:val="000000" w:themeColor="text1"/>
          <w:sz w:val="16"/>
          <w:szCs w:val="16"/>
        </w:rPr>
      </w:pPr>
    </w:p>
    <w:p w14:paraId="1CDF2BE4" w14:textId="369941A0" w:rsidR="0059042B" w:rsidRPr="0044524F" w:rsidRDefault="0059042B" w:rsidP="009654CF">
      <w:pPr>
        <w:shd w:val="clear" w:color="auto" w:fill="FFFFFF"/>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75A8ACDF" w14:textId="77777777" w:rsidR="0059042B" w:rsidRPr="0044524F" w:rsidRDefault="0059042B" w:rsidP="009654CF">
      <w:pPr>
        <w:shd w:val="clear" w:color="auto" w:fill="FFFFFF"/>
        <w:spacing w:after="0" w:line="240" w:lineRule="auto"/>
        <w:jc w:val="both"/>
        <w:rPr>
          <w:rFonts w:ascii="Times New Roman" w:hAnsi="Times New Roman"/>
          <w:i/>
          <w:iCs/>
          <w:color w:val="000000" w:themeColor="text1"/>
          <w:sz w:val="16"/>
          <w:szCs w:val="16"/>
        </w:rPr>
      </w:pPr>
    </w:p>
    <w:p w14:paraId="2F9A62C8" w14:textId="77777777" w:rsidR="0059042B" w:rsidRPr="0044524F" w:rsidRDefault="00590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состоялся первый полет Cessna CR-3 (20802).</w:t>
      </w:r>
    </w:p>
    <w:p w14:paraId="50CC539E" w14:textId="77777777" w:rsidR="0059042B" w:rsidRPr="0044524F" w:rsidRDefault="0059042B" w:rsidP="009654CF">
      <w:pPr>
        <w:spacing w:after="0" w:line="240" w:lineRule="auto"/>
        <w:jc w:val="both"/>
        <w:rPr>
          <w:rFonts w:ascii="Times New Roman" w:hAnsi="Times New Roman"/>
          <w:color w:val="000000" w:themeColor="text1"/>
          <w:sz w:val="16"/>
          <w:szCs w:val="16"/>
        </w:rPr>
      </w:pPr>
    </w:p>
    <w:p w14:paraId="73461410" w14:textId="77777777" w:rsidR="0030712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27CB04F" w14:textId="77777777" w:rsidR="0030712B" w:rsidRPr="0044524F" w:rsidRDefault="0030712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484A256" w14:textId="1D020707" w:rsidR="0030712B" w:rsidRPr="0044524F" w:rsidRDefault="003071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июня 1933 г. В-5 участвовал в параде физкультурников, пролетев в 15 часов 45 минут вместе с дирижаблем В-3 над Красной площадью [4, л.244]. В 1934 г. из-за непригодности В-5 к дальнейшей эксплуатации по решению технической комиссии [14, л. 9]</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он был разоружен [14, л. 74] и помещен в деревянный эллинг, где и сгорел во время пожара 16 августа 1934 г. (15797)</w:t>
      </w:r>
    </w:p>
    <w:p w14:paraId="4F549CB3" w14:textId="77777777" w:rsidR="0030712B" w:rsidRPr="0044524F" w:rsidRDefault="0030712B" w:rsidP="009654CF">
      <w:pPr>
        <w:spacing w:after="0" w:line="240" w:lineRule="auto"/>
        <w:jc w:val="both"/>
        <w:rPr>
          <w:rFonts w:ascii="Times New Roman" w:hAnsi="Times New Roman"/>
          <w:color w:val="000000" w:themeColor="text1"/>
          <w:sz w:val="16"/>
          <w:szCs w:val="16"/>
        </w:rPr>
      </w:pPr>
    </w:p>
    <w:p w14:paraId="7C0C6899"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315B32A"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287163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июня 1933 г. бьш заложен первый камень в основание первого цеха нового судостроительного завода Амурская верфь (3898).</w:t>
      </w:r>
    </w:p>
    <w:p w14:paraId="436C328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28DAF082" w14:textId="77777777" w:rsidR="0030712B" w:rsidRPr="0044524F" w:rsidRDefault="003071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12 июня</w:t>
      </w:r>
      <w:r w:rsidRPr="0044524F">
        <w:rPr>
          <w:rFonts w:ascii="Times New Roman" w:hAnsi="Times New Roman"/>
          <w:color w:val="000000" w:themeColor="text1"/>
          <w:sz w:val="16"/>
          <w:szCs w:val="16"/>
        </w:rPr>
        <w:t xml:space="preserve"> в 1933 году состоялась закладка фундамента Амурского судостроительного завода (14920).</w:t>
      </w:r>
    </w:p>
    <w:p w14:paraId="72497D0C" w14:textId="77777777" w:rsidR="0030712B" w:rsidRPr="0044524F" w:rsidRDefault="0030712B" w:rsidP="009654CF">
      <w:pPr>
        <w:spacing w:after="0" w:line="240" w:lineRule="auto"/>
        <w:jc w:val="both"/>
        <w:rPr>
          <w:rFonts w:ascii="Times New Roman" w:hAnsi="Times New Roman"/>
          <w:color w:val="000000" w:themeColor="text1"/>
          <w:sz w:val="16"/>
          <w:szCs w:val="16"/>
        </w:rPr>
      </w:pPr>
    </w:p>
    <w:p w14:paraId="084F1CB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июня 1933 г. был заложен первый камень первого цеха завода (Завод № 199 НКОП, Завод № 199 им. Ленинского комсомола НКСП, Амурская верфь, Амурский судостроительный завод (АСЗ) НКТП, НКОП, Завод им. Ленинского комсомола, ОАО «АСЗ» /г. Комсомольск-на-Амуре п/я 199 «Доки» (1938г.)/ /681000 г. Комсомольск-на-Амуре Хабаровского кр. Аллея труда, 1 тел. 43-224/). Начальником строительства был сначала Н. Г. Оксман, затем- И. Жданов. Строил трест Дальстрой, в 1936 г. для ускорения строительства сформирован военно-строительный корпус численностью 15.000 чел. В 07.1934 г. построена электростанция. Первая очередь завода вступила в строй 1.07.1936 г., но продолжал строиться вплоть до начала ВОВ. Впервые в мире на заводе реализовано проектное решение, предложенное инженером В.П. Костенко: из-за большого колебания паводкового уровня воды Амура (до 10 м) для постройки кораблей сооружены не традиционные наклонные стапели, а горизонтальные стапельные места в наливных доках, перекрытых отапливаемыми эллингами, в которых размещались козловые и мостовые краны. Наливной док имел глубоководную прорезь, по которой после спуска воды из дока судно выводилось в естественную акваторию. Строилось 9 доков в трех группах: малые доки в эллинге А (№ 3, 5), средние Б, большие В длиной 114...210 м с общим наливным бассейном. Группа В введена в строй в 1938 г., группа А - в 1940 г. Кроме того завод имел достроечную набережную, цеха: корпусной, сборочно-монтажный, котельный, механический, литейный, дизель-турбинный; плаз, склад стали. Проектная мощность завода- крейсер, 4 лидера эсминцев и 6 ПЛ в год. 25.05.1935 г. на стапеле № 1 был заложен первый корабль - ПЛ-заградитель Л-11 Х1-й серии. Приказом № 0023 от 3.02.1937 г. утверждены работы по капстроительству на 1937 г.: сдать в эксплуатацию группу корпусных цехов (кроме эллинга № 2 и малярно-такелажного цеха), группу гидро-технических сооружений (кроме дока № 2 и береговых устройств), турбо-дизельный и контрагентский цехи, литейный и кузнечно-прессовый цехи, 2-ю очередь ТЭЦ.</w:t>
      </w:r>
    </w:p>
    <w:p w14:paraId="5E0C51F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строительства был организован строительный участок - филиал завода № 198. Для достройки в нем лидеров пр. 38бис, изготовление которых было начато в Николаеве, был организован цех № 2 («Доки»), а действовавшая временная верфь получила название цех № 1. Пр. № 444сс от 25.11.1938 г. заводу предписано построить достроечную базу завода в Совгавани.</w:t>
      </w:r>
    </w:p>
    <w:p w14:paraId="19B2771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НКОП № Обсс от 30.12.1936 г. АСЗ переименован в завод № 199 (эта дата считается днем рождения завода), немного позже получил имя Ленинского комсомола. 22.04.1937 г. вышел пр. НКОП № 0088 о приемке АСЗ от НКТП в НКОП по состоянию на 1.03.1937 г.</w:t>
      </w:r>
      <w:r w:rsidRPr="0044524F">
        <w:rPr>
          <w:rFonts w:ascii="Times New Roman" w:hAnsi="Times New Roman"/>
          <w:color w:val="000000" w:themeColor="text1"/>
          <w:sz w:val="16"/>
          <w:szCs w:val="16"/>
          <w:vertAlign w:val="superscript"/>
        </w:rPr>
        <w:t>139</w:t>
      </w:r>
      <w:r w:rsidRPr="0044524F">
        <w:rPr>
          <w:rFonts w:ascii="Times New Roman" w:hAnsi="Times New Roman"/>
          <w:color w:val="000000" w:themeColor="text1"/>
          <w:sz w:val="16"/>
          <w:szCs w:val="16"/>
        </w:rPr>
        <w:t>, в 05.1937 г. - в ведении 2ГУ. Пр. № 14 от 16.01.1938 г. утвержден Устав завода. В 02.1939 г. передан из 2ГУ НКОП в ведение ЗГУ НКСП.</w:t>
      </w:r>
    </w:p>
    <w:p w14:paraId="6E902DF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 249сс от 17.07.1938 г. заводу предписано заложить два крейсера типа «Максим Горький».</w:t>
      </w:r>
    </w:p>
    <w:p w14:paraId="2C40FAF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 335 от 1.09.1938 г. для производства работ по контрольно-измерительным приборам на заводе с 1.09.1938 г. организовано отделение Московской проектно-монтажной конторы треста «Теплоконтроль».</w:t>
      </w:r>
    </w:p>
    <w:p w14:paraId="53E85DB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годы ВОВ сюда эвакуирована часть заводов № 103, № 189, № 194 и № 638 НКСП.</w:t>
      </w:r>
    </w:p>
    <w:p w14:paraId="146152F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 ГКО № 2710 от 6.01.1943 г. крейсер «Калинин» пр. 26бис постройки завода передан в состав ВМФ.</w:t>
      </w:r>
    </w:p>
    <w:p w14:paraId="74B77FE6"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21.12.1943 г. вышло постановление ГКО № 4820 о мероприятиях по обеспечению строительства боевых кораблей на заводе.</w:t>
      </w:r>
    </w:p>
    <w:p w14:paraId="3EB29C0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войны продолжено строительство завода. В 1953 г. завершено строительство группы доков Б.</w:t>
      </w:r>
    </w:p>
    <w:p w14:paraId="6518B3F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Специализация завода - производство ПЛ, в т.ч. атомных. Водоизмещение строившихся ПЛ было ограничено возможностями их последующей транспортировки по Амуру в плавучем доке. Для строительства ПЛ был реконструирован основной судостроительный комплекс: в каждом из доков были оборудованы стапельные линии, на которых по рельсам перемещались корпуса ПЛ, строившихся поточно-позиционным методом.</w:t>
      </w:r>
    </w:p>
    <w:p w14:paraId="7FBC515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1960-61 г. начаты работы по созданию сдаточной базы завода в пос. Большой Камень недалеко от завода «Звезда» (вероято, далее это - завод «Восток»).</w:t>
      </w:r>
    </w:p>
    <w:p w14:paraId="768924D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1993 г.- Амурский ССЗ. В 2001 г. вошел в ОАО «Концерн средне- и малотоннажного кораблестроения». В 2004 г.- ОАО «Амурский судостроительный завод». В соответствии с Указом Президента РФ № 394 от 21.03.2007 г. и распоряжением правительства от 06.2007 г. планировалось вхождение предприятия в один из 7 создаваемых в России судостроительных холдингов ОСК- ОАО «ДЦСС». К 1.12.2008 г. предприятие частично (20% акций) вошло в состав ДЦСС.</w:t>
      </w:r>
    </w:p>
    <w:p w14:paraId="0657026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Выпускал также изделия судового и общего машиностроения, мостовые опоры, резервуары, насосы, плуги.</w:t>
      </w:r>
    </w:p>
    <w:p w14:paraId="530503F6"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2005 г. всего построено 396 судов: 194 военных (в т.ч. 41 дизельная и 56 АЛЛ), 202- гражданских.</w:t>
      </w:r>
      <w:r w:rsidRPr="0044524F">
        <w:rPr>
          <w:rFonts w:ascii="Times New Roman" w:hAnsi="Times New Roman"/>
          <w:color w:val="000000" w:themeColor="text1"/>
          <w:sz w:val="16"/>
          <w:szCs w:val="16"/>
          <w:vertAlign w:val="superscript"/>
        </w:rPr>
        <w:t>101</w:t>
      </w:r>
    </w:p>
    <w:p w14:paraId="0275D19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Имел филиал (2004-08 г.)- завод «Восток» ( г. Большой Камень).</w:t>
      </w:r>
    </w:p>
    <w:p w14:paraId="7CF5F31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(1937 г.)- 3664 чел., (1.01.1946 г.)- 7800 чел.</w:t>
      </w:r>
    </w:p>
    <w:p w14:paraId="027C329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(1936-3.08.1937 г.)- И.М. Жданов (репрессирован), (3.08.1937-41 г.-)- А.Л. Токарев.</w:t>
      </w:r>
      <w:r w:rsidRPr="0044524F">
        <w:rPr>
          <w:rFonts w:ascii="Times New Roman" w:hAnsi="Times New Roman"/>
          <w:color w:val="000000" w:themeColor="text1"/>
          <w:sz w:val="16"/>
          <w:szCs w:val="16"/>
          <w:vertAlign w:val="superscript"/>
        </w:rPr>
        <w:t>61</w:t>
      </w:r>
      <w:r w:rsidRPr="0044524F">
        <w:rPr>
          <w:rFonts w:ascii="Times New Roman" w:hAnsi="Times New Roman"/>
          <w:color w:val="000000" w:themeColor="text1"/>
          <w:sz w:val="16"/>
          <w:szCs w:val="16"/>
        </w:rPr>
        <w:t xml:space="preserve"> Гендиректор (1990-е-06.2005; 12.02.2009 г.-)- Н. Повзык, (06.2005-12.02.2009 г.)- А.И. Адаменя.</w:t>
      </w:r>
    </w:p>
    <w:p w14:paraId="71ACDAD6" w14:textId="798B0242"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строительства (1932 г.-)- Н. Г. Оксман. Зам. директора (29.03.1936 г.-)- П. Г. Гойнкис. Зам. гендиректора: по производству (2008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Васильев; (-06.2005 г.)- А.И. Адаменя.</w:t>
      </w:r>
    </w:p>
    <w:p w14:paraId="0F542EB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(29.03.1936-9.05.1938 г.-)- П. Г. Гойнкис; и.о. (-1938 г.)- З. Г. Сгибнев; В.Ф. Ивочкин, (2008 г.)- А. Меринов.</w:t>
      </w:r>
    </w:p>
    <w:p w14:paraId="2B92084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цехов: № 2 (13.12.1935 г.-)- К.Ф. Терлецкий.</w:t>
      </w:r>
    </w:p>
    <w:p w14:paraId="1C53D8F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цеха: № 19 (2008 г.)- В. Стародубов.</w:t>
      </w:r>
    </w:p>
    <w:p w14:paraId="57B85C4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УКС (02.1937 г.)- Я.П. Варенцов.</w:t>
      </w:r>
    </w:p>
    <w:p w14:paraId="56B88E4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ППО (02.1938 г.)- З. Г. Сгибнев.</w:t>
      </w:r>
    </w:p>
    <w:p w14:paraId="0137BB2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строители: (1938-42 г.-)- А.З. Голданд (пр. 26бис). Строители кораблей: (12.1935 г.-)- К.Ф. Терлецкий (пр. 38бис), (1930-е)- В.Ф. Ивочкин (пр. 38бис).</w:t>
      </w:r>
    </w:p>
    <w:p w14:paraId="52145E5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Уполномоченный завода во Владивостоке (1.09.1938 г.-)- З. Г. Сгибнев.</w:t>
      </w:r>
    </w:p>
    <w:p w14:paraId="7274749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Производство: ПЛ. сборка лодок завода им. Марта Л-11 (зак. 284, 05.1935-38), Л-12 (зак. 286, 05.1935-38); типа «Щ» (1936-37)- 2; пр. 613 (1954-57)- 11; пр. 629 (1959-62)- 22 (вместе с заводом 402), (1960-е, сборка в Китае)- 2; пр. 877 «Варшавянка» («Палтус») Б-248 (-1980), (1980-2000)- 15; пр. 971; спасательная пр. 940 «Ленок» (БС-257, 1978; БС-486, 1979)- 2; АПЛ: с КР П-5 пр. 659 (12.1958-06.1961), (1961-63)- 4; стратегические ракетоносцы: с Д-5 пр. 667А (1967-74)- 10, 667АУ, 667Б (1972-77)- 8; многоцелевая пр. 671РТМ (1977-92&gt; 26 (вместе с ЛАО); пр. 675 с КР П-6 (1963-68)- 22; мишень пр. 690 (1967-69)- 4; спасательная пр. 940 (1976-79)- 2; пр. 971 «Щука-Б» головная К-284 «Акула» (1983-91)- 7, К-152 «Нерпа» достроена по пр. 971И (зак. 518, 1993- 06.2006), еще 1 заложена в 1980-х, на 2006 г. не достроена; «Дракон» («Самара», 1994); эсминцы: пр. 7 «Решительный» (-10.1937), «Ретивый», «Расторопный», «Передовой» («Разъяренный», «Развитой»), «Поспешный» («Решительный»), «Проворный» («Ревностный») (1941), «Пылкий» («Редкий») (1942), всего (-1944)- 7; пр. 30 «Внушительный», «Выносливый», «Властный» (1940-), «Ведущий», «Внезапный» (09.1941-), пр. 30К (1947-48)- 3, пр. ЗОбис (1949-52)- 18; пр. 56 (1955-57)- 7, 56М «Неудержимый» (-12.1958); пр. 57бис «Гордый» (1959-61); крейсеры: легкие пр. 26бис «Калинин» (06.1938-05.1942), «Лазарь Каганович» (08.1938- 05.1944); сторожевики: пр. 29к «Альбатрос» (12.1939-45), «Буревестник» (1947); пр. 50 (1954)- 7; лидеры: пр. 38бис «Киев» (№ 267, «Орджоникидзе», «Баку») (03.1936-07.1938), «Тифлис» (№ 268, «Тбилиси») (08.1936- 09.1939); большой охотник пр. 122а «Связист» (1945); корвет пр. 20380 «Совершенный» (07.2006-); железнодорожные паромы пр. 723 «Волга», «Дон» (1944-45), «Амур», «Комсомольск» </w:t>
      </w:r>
      <w:r w:rsidRPr="0044524F">
        <w:rPr>
          <w:rFonts w:ascii="Times New Roman" w:hAnsi="Times New Roman"/>
          <w:color w:val="000000" w:themeColor="text1"/>
          <w:sz w:val="16"/>
          <w:szCs w:val="16"/>
        </w:rPr>
        <w:lastRenderedPageBreak/>
        <w:t xml:space="preserve">(1951); несамоходный артиллерийский щит пр. 436 (1949-52); транспортно-ледокольное судно- 10; сухогруз ледового плавания пр. 550 «Амгуема» (1962-)- 13 (вместе с заводом 873); плавбаза для перезарядки реакторов АПЛ пр. 326 (1960-66)- 4; плавучие доки: транспортные пр. 764 (1956-58)- 7 (вместе с заводом 189), пр. 769, пр. 769А (1958-64)- всего 4, пр. 1757, пр. 17571 (1970-е), док-эллинг пр. 1780 (1970-е); транспортно-буксирное судно </w:t>
      </w:r>
      <w:r w:rsidRPr="0044524F">
        <w:rPr>
          <w:rFonts w:ascii="Times New Roman" w:hAnsi="Times New Roman"/>
          <w:color w:val="000000" w:themeColor="text1"/>
          <w:sz w:val="16"/>
          <w:szCs w:val="16"/>
          <w:lang w:val="en-US"/>
        </w:rPr>
        <w:t>UT</w:t>
      </w:r>
      <w:r w:rsidRPr="0044524F">
        <w:rPr>
          <w:rFonts w:ascii="Times New Roman" w:hAnsi="Times New Roman"/>
          <w:color w:val="000000" w:themeColor="text1"/>
          <w:sz w:val="16"/>
          <w:szCs w:val="16"/>
        </w:rPr>
        <w:t>-722 для Вьетнама (2000- е); танкер-химовоз для Германии (2000-е)- 4; единственное в мире судно сейсморазведки пр. 3383 «Сагар Самикша» для Индии (2006); буксир-кантовщик пр. 01710 «Вагис» (-06.2006); судно по переработке жидких радиоактивных отходов «Ландыш» (-1998); артиллерийские снаряды (ВОВ)- 161.500, авиабомбы ФАБ-250 (ВОВ)- 5120, ФАБ-100 (ВОВ)- 40895, головки авиабомб, минометные плиты (ВОВ)- 6049; энергетический модуль для морской платформы «Моликпак» (2000- е);</w:t>
      </w:r>
    </w:p>
    <w:p w14:paraId="78A9BE9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капремонт: ПЛ: типа «Щ» (-1944)- 9, типа «М» (-1944)- 4</w:t>
      </w:r>
      <w:r w:rsidRPr="0044524F">
        <w:rPr>
          <w:rFonts w:ascii="Times New Roman" w:hAnsi="Times New Roman"/>
          <w:color w:val="000000" w:themeColor="text1"/>
          <w:sz w:val="16"/>
          <w:szCs w:val="16"/>
          <w:vertAlign w:val="superscript"/>
        </w:rPr>
        <w:t>90</w:t>
      </w:r>
      <w:r w:rsidRPr="0044524F">
        <w:rPr>
          <w:rFonts w:ascii="Times New Roman" w:hAnsi="Times New Roman"/>
          <w:color w:val="000000" w:themeColor="text1"/>
          <w:sz w:val="16"/>
          <w:szCs w:val="16"/>
        </w:rPr>
        <w:t>; мониторов (ВОВ)- 3; тральщиков (ВОВ)- 24; переоборудование ПЛ пр. 659 в пр. 659Т (1968-74)- 5 (вместе с заводом 892); модернизация: плавучих технических баз перезарядки реакторов ЯЭУ пр. 326 по пр. 326М (1970-е); 2 дизельных ПЛ (2006), 1 АПЛ (2006); буровой платформы «Моликпак», «Орлан» для США (2000-е).</w:t>
      </w:r>
    </w:p>
    <w:p w14:paraId="23026D5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«Восток», ОАО «Завод судового оборудования «Восток»</w:t>
      </w:r>
    </w:p>
    <w:p w14:paraId="2F28A600" w14:textId="65D81113"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/692804</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Большой Камень Приморского кр. ул. Колхозная, 1Б/</w:t>
      </w:r>
    </w:p>
    <w:p w14:paraId="4575253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1960-61 г. начаты работы по созданию сдаточной базы завода № 199 в пос. Большой Камень недалеко от завода «Звезда» (далее это - завод «Восток»).</w:t>
      </w:r>
    </w:p>
    <w:p w14:paraId="3A21994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Филиал АСЗ, достроечная база (2004-08 г.).</w:t>
      </w:r>
    </w:p>
    <w:p w14:paraId="3603158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Переоборудование АПЛ К-55, К-178 пр. 658 в пр. 658Т (торпедная) (1970-е).</w:t>
      </w:r>
    </w:p>
    <w:p w14:paraId="2F5D03B4" w14:textId="729A3E3B"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(-2008-09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Вагин.</w:t>
      </w:r>
    </w:p>
    <w:p w14:paraId="1E63E45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цехов: сдаточно-монтажного (1975 г.-)- Л. Г. Мещеряков (11982).</w:t>
      </w:r>
    </w:p>
    <w:p w14:paraId="793A955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577F56D6" w14:textId="77777777" w:rsidR="0030712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B3326E2" w14:textId="77777777" w:rsidR="0030712B" w:rsidRPr="0044524F" w:rsidRDefault="0030712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4678F76" w14:textId="77777777" w:rsidR="0030712B" w:rsidRPr="0044524F" w:rsidRDefault="003071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12 июня</w:t>
      </w:r>
      <w:r w:rsidRPr="0044524F">
        <w:rPr>
          <w:rFonts w:ascii="Times New Roman" w:hAnsi="Times New Roman"/>
          <w:color w:val="000000" w:themeColor="text1"/>
          <w:sz w:val="16"/>
          <w:szCs w:val="16"/>
        </w:rPr>
        <w:t xml:space="preserve"> в 1933 году на Всемирной конференции по денежному обращению и экономическим вопросам в Лондоне (завершится 27 июля) присутствуют представители 64 стран, но вопрос о методах стабилизации национальных валют так и не решен (14920).</w:t>
      </w:r>
    </w:p>
    <w:p w14:paraId="13F74FCD" w14:textId="77777777" w:rsidR="0030712B" w:rsidRPr="0044524F" w:rsidRDefault="0030712B" w:rsidP="009654CF">
      <w:pPr>
        <w:spacing w:after="0" w:line="240" w:lineRule="auto"/>
        <w:jc w:val="both"/>
        <w:rPr>
          <w:rFonts w:ascii="Times New Roman" w:hAnsi="Times New Roman"/>
          <w:color w:val="000000" w:themeColor="text1"/>
          <w:sz w:val="16"/>
          <w:szCs w:val="16"/>
        </w:rPr>
      </w:pPr>
    </w:p>
    <w:p w14:paraId="11BD2C37"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155EB10"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277750"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июня 1933 года начальник 7 сектора НИИ ВВС Горощенко писал письмо № 2/0749с начальнику ВВС Алкснису.</w:t>
      </w:r>
    </w:p>
    <w:p w14:paraId="1D19223D"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Вашему приказанию доношу о состоянии постройки самолета РД-М34 на 11 июня 1933 года.</w:t>
      </w:r>
    </w:p>
    <w:p w14:paraId="68434078"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собран. Стоит во дворе ЗОКа ЦАГИ и проходит в настоящее время отладку винтомоторной группы.</w:t>
      </w:r>
    </w:p>
    <w:p w14:paraId="770D3247"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Туполев дает срок выхода самолета на аэродром с доведением на земле винтомоторной группы 25 июня 1933 года.</w:t>
      </w:r>
    </w:p>
    <w:p w14:paraId="504EC334"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настоящего времени темпы работ ЦАГИ (производство) по самолету были крайне низкими.</w:t>
      </w:r>
    </w:p>
    <w:p w14:paraId="78A39401"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Указанный выше срок является приемлемым лишь в случае устранения в течении его такого крупного дефекта самолета как течь радиаторов и достижение надежной работы винтомоторной группы на земле (6779, 50).</w:t>
      </w:r>
    </w:p>
    <w:p w14:paraId="3671DCB4"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2CC66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июня 1933 была закончена постройка АНТ-25 с безредукторным двигателем М-34 (2072,72).</w:t>
      </w:r>
    </w:p>
    <w:p w14:paraId="55C4FFB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- 1 июня 1933</w:t>
      </w:r>
    </w:p>
    <w:p w14:paraId="0191F6B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4B70418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июня 1933 г. РД—1 построили, а 22 июня М.М. Громов впервые поднял его в воздух. Заводские испытания показали, что машина с двигателем М—34 не удов</w:t>
      </w:r>
      <w:r w:rsidRPr="0044524F">
        <w:rPr>
          <w:rFonts w:ascii="Times New Roman" w:hAnsi="Times New Roman"/>
          <w:color w:val="000000" w:themeColor="text1"/>
          <w:sz w:val="16"/>
          <w:szCs w:val="16"/>
        </w:rPr>
        <w:softHyphen/>
        <w:t>летворяет заявленным данным (23474).</w:t>
      </w:r>
    </w:p>
    <w:p w14:paraId="2C8F6363"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57B2233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июня 1933 Чл. коллегии НК РКИ СССР, Нач. ВМИ В.Куйбышев писал письмо N 697/ви Нач. ГУАП П.И.Б. по вопросу состояния работ группы и Заславского:</w:t>
      </w:r>
    </w:p>
    <w:p w14:paraId="67FDEE4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"Военной инспекцией проведено обследование работ конструкторской группы и Заславского по проектированию скоростного самолета.</w:t>
      </w:r>
    </w:p>
    <w:p w14:paraId="13AB751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 группой поставлен ряд задач чрезвычайно сложных, в смысле конструкторского оформления, требующих в процессе работы привлечения сил специальных Институтов.</w:t>
      </w:r>
    </w:p>
    <w:p w14:paraId="33B8800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Обследованием выявлено, что условий для работы группы УВИ не создано, группа не имеет производственной базы (в результате чего проектные работы выражаются лишь в подсчетах и чертежах), не имеет также необходимых литературно-технических материалов. исходя из того, что при существующем положении работа группы не м.б. развернута должным образом - считаю необходимым, для доведения проектирования самолета, КГ из ведения УВИ изъять и передать на один из опытных самолетных заводов ГУАП.</w:t>
      </w:r>
    </w:p>
    <w:p w14:paraId="4815342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Ваши соображения по данному вопросу сообщить в Военную инспекцию." (2305).</w:t>
      </w:r>
    </w:p>
    <w:p w14:paraId="707DEC2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29D92195"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июня 1933 спустя шесть дней разработали техниче</w:t>
      </w:r>
      <w:r w:rsidRPr="0044524F">
        <w:rPr>
          <w:rFonts w:ascii="Times New Roman" w:hAnsi="Times New Roman"/>
          <w:color w:val="000000" w:themeColor="text1"/>
          <w:sz w:val="16"/>
          <w:szCs w:val="16"/>
        </w:rPr>
        <w:softHyphen/>
        <w:t>ское задание на проектирование взлетной полосы специального назначения длиной 1500 метров и шириной 50 метров, направ</w:t>
      </w:r>
      <w:r w:rsidRPr="0044524F">
        <w:rPr>
          <w:rFonts w:ascii="Times New Roman" w:hAnsi="Times New Roman"/>
          <w:color w:val="000000" w:themeColor="text1"/>
          <w:sz w:val="16"/>
          <w:szCs w:val="16"/>
        </w:rPr>
        <w:softHyphen/>
        <w:t>ленной с юго-востока на северо-запад. По проекту полоса включала наклонную и го</w:t>
      </w:r>
      <w:r w:rsidRPr="0044524F">
        <w:rPr>
          <w:rFonts w:ascii="Times New Roman" w:hAnsi="Times New Roman"/>
          <w:color w:val="000000" w:themeColor="text1"/>
          <w:sz w:val="16"/>
          <w:szCs w:val="16"/>
        </w:rPr>
        <w:softHyphen/>
        <w:t>ризонтальную части с площадкой разме</w:t>
      </w:r>
      <w:r w:rsidRPr="0044524F">
        <w:rPr>
          <w:rFonts w:ascii="Times New Roman" w:hAnsi="Times New Roman"/>
          <w:color w:val="000000" w:themeColor="text1"/>
          <w:sz w:val="16"/>
          <w:szCs w:val="16"/>
        </w:rPr>
        <w:softHyphen/>
        <w:t>ром 25x25 метров, расположенной на вер</w:t>
      </w:r>
      <w:r w:rsidRPr="0044524F">
        <w:rPr>
          <w:rFonts w:ascii="Times New Roman" w:hAnsi="Times New Roman"/>
          <w:color w:val="000000" w:themeColor="text1"/>
          <w:sz w:val="16"/>
          <w:szCs w:val="16"/>
        </w:rPr>
        <w:softHyphen/>
        <w:t>шине десяти метровой горки. Последняя находилась в юго-восточной части аэро</w:t>
      </w:r>
      <w:r w:rsidRPr="0044524F">
        <w:rPr>
          <w:rFonts w:ascii="Times New Roman" w:hAnsi="Times New Roman"/>
          <w:color w:val="000000" w:themeColor="text1"/>
          <w:sz w:val="16"/>
          <w:szCs w:val="16"/>
        </w:rPr>
        <w:softHyphen/>
        <w:t>дрома. Однако в ходе постройки высоту горки увеличили до 12 метров, а протяжен</w:t>
      </w:r>
      <w:r w:rsidRPr="0044524F">
        <w:rPr>
          <w:rFonts w:ascii="Times New Roman" w:hAnsi="Times New Roman"/>
          <w:color w:val="000000" w:themeColor="text1"/>
          <w:sz w:val="16"/>
          <w:szCs w:val="16"/>
        </w:rPr>
        <w:softHyphen/>
        <w:t>ность бетонной дорожки возросла с 1500 до 1800 метров. Наклонная часть старто</w:t>
      </w:r>
      <w:r w:rsidRPr="0044524F">
        <w:rPr>
          <w:rFonts w:ascii="Times New Roman" w:hAnsi="Times New Roman"/>
          <w:color w:val="000000" w:themeColor="text1"/>
          <w:sz w:val="16"/>
          <w:szCs w:val="16"/>
        </w:rPr>
        <w:softHyphen/>
        <w:t>вой горки постепенно расширялась с 25 до 50 метров. В таком виде горка просущест</w:t>
      </w:r>
      <w:r w:rsidRPr="0044524F">
        <w:rPr>
          <w:rFonts w:ascii="Times New Roman" w:hAnsi="Times New Roman"/>
          <w:color w:val="000000" w:themeColor="text1"/>
          <w:sz w:val="16"/>
          <w:szCs w:val="16"/>
        </w:rPr>
        <w:softHyphen/>
        <w:t>вовала до середины 1960-х годов. Этот па</w:t>
      </w:r>
      <w:r w:rsidRPr="0044524F">
        <w:rPr>
          <w:rFonts w:ascii="Times New Roman" w:hAnsi="Times New Roman"/>
          <w:color w:val="000000" w:themeColor="text1"/>
          <w:sz w:val="16"/>
          <w:szCs w:val="16"/>
        </w:rPr>
        <w:softHyphen/>
        <w:t>мятник истории снесли по нелепому рас</w:t>
      </w:r>
      <w:r w:rsidRPr="0044524F">
        <w:rPr>
          <w:rFonts w:ascii="Times New Roman" w:hAnsi="Times New Roman"/>
          <w:color w:val="000000" w:themeColor="text1"/>
          <w:sz w:val="16"/>
          <w:szCs w:val="16"/>
        </w:rPr>
        <w:softHyphen/>
        <w:t>поряжению генерала Н. Пушко, совме</w:t>
      </w:r>
      <w:r w:rsidRPr="0044524F">
        <w:rPr>
          <w:rFonts w:ascii="Times New Roman" w:hAnsi="Times New Roman"/>
          <w:color w:val="000000" w:themeColor="text1"/>
          <w:sz w:val="16"/>
          <w:szCs w:val="16"/>
        </w:rPr>
        <w:softHyphen/>
        <w:t>щавшего тогда должности начальника филиала НИИ ВВС имени В.П. Чкалова, базировавшегося на территории, прилега</w:t>
      </w:r>
      <w:r w:rsidRPr="0044524F">
        <w:rPr>
          <w:rFonts w:ascii="Times New Roman" w:hAnsi="Times New Roman"/>
          <w:color w:val="000000" w:themeColor="text1"/>
          <w:sz w:val="16"/>
          <w:szCs w:val="16"/>
        </w:rPr>
        <w:softHyphen/>
        <w:t>ющей к аэродрому, и начальника Щелков</w:t>
      </w:r>
      <w:r w:rsidRPr="0044524F">
        <w:rPr>
          <w:rFonts w:ascii="Times New Roman" w:hAnsi="Times New Roman"/>
          <w:color w:val="000000" w:themeColor="text1"/>
          <w:sz w:val="16"/>
          <w:szCs w:val="16"/>
        </w:rPr>
        <w:softHyphen/>
        <w:t>ского гарнизона.</w:t>
      </w:r>
    </w:p>
    <w:p w14:paraId="09EA1864"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со строительством поло</w:t>
      </w:r>
      <w:r w:rsidRPr="0044524F">
        <w:rPr>
          <w:rFonts w:ascii="Times New Roman" w:hAnsi="Times New Roman"/>
          <w:color w:val="000000" w:themeColor="text1"/>
          <w:sz w:val="16"/>
          <w:szCs w:val="16"/>
        </w:rPr>
        <w:softHyphen/>
        <w:t>сы 2000 рабочих и красноармейцев в те</w:t>
      </w:r>
      <w:r w:rsidRPr="0044524F">
        <w:rPr>
          <w:rFonts w:ascii="Times New Roman" w:hAnsi="Times New Roman"/>
          <w:color w:val="000000" w:themeColor="text1"/>
          <w:sz w:val="16"/>
          <w:szCs w:val="16"/>
        </w:rPr>
        <w:softHyphen/>
        <w:t>чение 15 суток сравнивали большой зем</w:t>
      </w:r>
      <w:r w:rsidRPr="0044524F">
        <w:rPr>
          <w:rFonts w:ascii="Times New Roman" w:hAnsi="Times New Roman"/>
          <w:color w:val="000000" w:themeColor="text1"/>
          <w:sz w:val="16"/>
          <w:szCs w:val="16"/>
        </w:rPr>
        <w:softHyphen/>
        <w:t>ляной холм, лежавший на пути самоле</w:t>
      </w:r>
      <w:r w:rsidRPr="0044524F">
        <w:rPr>
          <w:rFonts w:ascii="Times New Roman" w:hAnsi="Times New Roman"/>
          <w:color w:val="000000" w:themeColor="text1"/>
          <w:sz w:val="16"/>
          <w:szCs w:val="16"/>
        </w:rPr>
        <w:softHyphen/>
        <w:t>та. Вертикальная скорость перегруженной машины была столь низка, что она после отрыва не успевала преодолеть это естест</w:t>
      </w:r>
      <w:r w:rsidRPr="0044524F">
        <w:rPr>
          <w:rFonts w:ascii="Times New Roman" w:hAnsi="Times New Roman"/>
          <w:color w:val="000000" w:themeColor="text1"/>
          <w:sz w:val="16"/>
          <w:szCs w:val="16"/>
        </w:rPr>
        <w:softHyphen/>
        <w:t>венное препятствие.</w:t>
      </w:r>
    </w:p>
    <w:p w14:paraId="74B65DD6"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Подобных бетонных дорожек со старто</w:t>
      </w:r>
      <w:r w:rsidRPr="0044524F">
        <w:rPr>
          <w:rFonts w:ascii="Times New Roman" w:hAnsi="Times New Roman"/>
          <w:color w:val="000000" w:themeColor="text1"/>
          <w:sz w:val="16"/>
          <w:szCs w:val="16"/>
        </w:rPr>
        <w:softHyphen/>
        <w:t>вой горкой не было ни в одной стране ми</w:t>
      </w:r>
      <w:r w:rsidRPr="0044524F">
        <w:rPr>
          <w:rFonts w:ascii="Times New Roman" w:hAnsi="Times New Roman"/>
          <w:color w:val="000000" w:themeColor="text1"/>
          <w:sz w:val="16"/>
          <w:szCs w:val="16"/>
        </w:rPr>
        <w:softHyphen/>
        <w:t>ра, и причиной ее появления было отсутст</w:t>
      </w:r>
      <w:r w:rsidRPr="0044524F">
        <w:rPr>
          <w:rFonts w:ascii="Times New Roman" w:hAnsi="Times New Roman"/>
          <w:color w:val="000000" w:themeColor="text1"/>
          <w:sz w:val="16"/>
          <w:szCs w:val="16"/>
        </w:rPr>
        <w:softHyphen/>
        <w:t>вие тормозов колес у самолета РД. Послед</w:t>
      </w:r>
      <w:r w:rsidRPr="0044524F">
        <w:rPr>
          <w:rFonts w:ascii="Times New Roman" w:hAnsi="Times New Roman"/>
          <w:color w:val="000000" w:themeColor="text1"/>
          <w:sz w:val="16"/>
          <w:szCs w:val="16"/>
        </w:rPr>
        <w:softHyphen/>
        <w:t>нее обстоятельство усложняло выдержива</w:t>
      </w:r>
      <w:r w:rsidRPr="0044524F">
        <w:rPr>
          <w:rFonts w:ascii="Times New Roman" w:hAnsi="Times New Roman"/>
          <w:color w:val="000000" w:themeColor="text1"/>
          <w:sz w:val="16"/>
          <w:szCs w:val="16"/>
        </w:rPr>
        <w:softHyphen/>
        <w:t>ние направления разбега тяжелой маши</w:t>
      </w:r>
      <w:r w:rsidRPr="0044524F">
        <w:rPr>
          <w:rFonts w:ascii="Times New Roman" w:hAnsi="Times New Roman"/>
          <w:color w:val="000000" w:themeColor="text1"/>
          <w:sz w:val="16"/>
          <w:szCs w:val="16"/>
        </w:rPr>
        <w:softHyphen/>
        <w:t>ны. Горка же позволяла ускорить разгон и, практически, с самого начала разбега со</w:t>
      </w:r>
      <w:r w:rsidRPr="0044524F">
        <w:rPr>
          <w:rFonts w:ascii="Times New Roman" w:hAnsi="Times New Roman"/>
          <w:color w:val="000000" w:themeColor="text1"/>
          <w:sz w:val="16"/>
          <w:szCs w:val="16"/>
        </w:rPr>
        <w:softHyphen/>
        <w:t>хранять его направление с помощью аэро</w:t>
      </w:r>
      <w:r w:rsidRPr="0044524F">
        <w:rPr>
          <w:rFonts w:ascii="Times New Roman" w:hAnsi="Times New Roman"/>
          <w:color w:val="000000" w:themeColor="text1"/>
          <w:sz w:val="16"/>
          <w:szCs w:val="16"/>
        </w:rPr>
        <w:softHyphen/>
        <w:t>динамического руля.</w:t>
      </w:r>
    </w:p>
    <w:p w14:paraId="133ACCB6" w14:textId="77777777" w:rsidR="004050DA" w:rsidRPr="0044524F" w:rsidRDefault="004050DA" w:rsidP="009654CF">
      <w:pPr>
        <w:pStyle w:val="txt1"/>
        <w:shd w:val="clear" w:color="auto" w:fill="FFFFFF"/>
        <w:spacing w:before="0" w:beforeAutospacing="0" w:after="0" w:afterAutospacing="0" w:line="240" w:lineRule="auto"/>
        <w:ind w:firstLine="0"/>
        <w:rPr>
          <w:color w:val="000000" w:themeColor="text1"/>
          <w:sz w:val="16"/>
          <w:szCs w:val="16"/>
        </w:rPr>
      </w:pPr>
      <w:r w:rsidRPr="0044524F">
        <w:rPr>
          <w:color w:val="000000" w:themeColor="text1"/>
          <w:sz w:val="16"/>
          <w:szCs w:val="16"/>
        </w:rPr>
        <w:t>Впоследствии аэродром НИИ ВВС стали называть Чкаловская в соответствии с од</w:t>
      </w:r>
      <w:r w:rsidRPr="0044524F">
        <w:rPr>
          <w:color w:val="000000" w:themeColor="text1"/>
          <w:sz w:val="16"/>
          <w:szCs w:val="16"/>
        </w:rPr>
        <w:softHyphen/>
        <w:t>ноименной железнодорожной станцией (12725).</w:t>
      </w:r>
    </w:p>
    <w:p w14:paraId="51CC203B" w14:textId="77777777" w:rsidR="004050DA" w:rsidRPr="0044524F" w:rsidRDefault="004050DA" w:rsidP="009654CF">
      <w:pPr>
        <w:pStyle w:val="txt1"/>
        <w:shd w:val="clear" w:color="auto" w:fill="FFFFFF"/>
        <w:spacing w:before="0" w:beforeAutospacing="0" w:after="0" w:afterAutospacing="0" w:line="240" w:lineRule="auto"/>
        <w:ind w:firstLine="0"/>
        <w:rPr>
          <w:color w:val="000000" w:themeColor="text1"/>
          <w:sz w:val="16"/>
          <w:szCs w:val="16"/>
        </w:rPr>
      </w:pPr>
    </w:p>
    <w:p w14:paraId="1EFD6787" w14:textId="77777777" w:rsidR="0030712B" w:rsidRPr="0044524F" w:rsidRDefault="0030712B" w:rsidP="009654CF">
      <w:pPr>
        <w:pStyle w:val="rtejustify"/>
        <w:spacing w:before="0" w:after="0"/>
        <w:rPr>
          <w:color w:val="000000" w:themeColor="text1"/>
          <w:sz w:val="16"/>
          <w:szCs w:val="16"/>
        </w:rPr>
      </w:pPr>
      <w:r w:rsidRPr="0044524F">
        <w:rPr>
          <w:rStyle w:val="af0"/>
          <w:bCs/>
          <w:i w:val="0"/>
          <w:color w:val="000000" w:themeColor="text1"/>
          <w:sz w:val="16"/>
          <w:szCs w:val="16"/>
        </w:rPr>
        <w:t>13 июня</w:t>
      </w:r>
      <w:r w:rsidRPr="0044524F">
        <w:rPr>
          <w:color w:val="000000" w:themeColor="text1"/>
          <w:sz w:val="16"/>
          <w:szCs w:val="16"/>
        </w:rPr>
        <w:t xml:space="preserve"> 1933. Постановление СТО СССР № 47сс/о «Об обеспечении РККА авиатопливом и антидетонаторами». (ГА РФ. Ф. Р</w:t>
      </w:r>
      <w:r w:rsidRPr="0044524F">
        <w:rPr>
          <w:color w:val="000000" w:themeColor="text1"/>
          <w:sz w:val="16"/>
          <w:szCs w:val="16"/>
        </w:rPr>
        <w:noBreakHyphen/>
        <w:t>8418. Оп. 28. Д. 1. Л. 201</w:t>
      </w:r>
      <w:r w:rsidRPr="0044524F">
        <w:rPr>
          <w:color w:val="000000" w:themeColor="text1"/>
          <w:sz w:val="16"/>
          <w:szCs w:val="16"/>
        </w:rPr>
        <w:noBreakHyphen/>
        <w:t>203) (15460).</w:t>
      </w:r>
    </w:p>
    <w:p w14:paraId="7A7975B0" w14:textId="77777777" w:rsidR="0030712B" w:rsidRPr="0044524F" w:rsidRDefault="0030712B" w:rsidP="009654CF">
      <w:pPr>
        <w:pStyle w:val="rtejustify"/>
        <w:spacing w:before="0" w:after="0"/>
        <w:rPr>
          <w:color w:val="000000" w:themeColor="text1"/>
          <w:sz w:val="16"/>
          <w:szCs w:val="16"/>
        </w:rPr>
      </w:pPr>
    </w:p>
    <w:p w14:paraId="1E0E3B37" w14:textId="77777777" w:rsidR="000B4230" w:rsidRPr="0044524F" w:rsidRDefault="000B42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июня 1933 г. закончился перелет морского летчика С.А.Леваневского из Севастополя в Хабаровой, начатый им 30 мая с целью перегонки самолета. Перелет был совершен на летающей лодке Дорнье-"Валь" /Н-8/ со штурманом В.И.Левченко и вторым, пилотом Г.А.Страубе. Из Хабаровска Леваневский летая на помощь американскому летчику Дж. Маттерна, потерпевшему аварию на Чукотке во время своего кругосвет</w:t>
      </w:r>
      <w:r w:rsidRPr="0044524F">
        <w:rPr>
          <w:rFonts w:ascii="Times New Roman" w:hAnsi="Times New Roman"/>
          <w:color w:val="000000" w:themeColor="text1"/>
          <w:sz w:val="16"/>
          <w:szCs w:val="16"/>
        </w:rPr>
        <w:softHyphen/>
        <w:t>ного перелета, и отвез его в США /на Аляску/. Начиная с 28-го июля Леваневский совершил раздедодочный полет по северному побережью Ледовитого океана для судов колымской экспедиции и вернулся в Иркутск, покрыв всего 37.000 км за 220 летных Часов.</w:t>
      </w:r>
    </w:p>
    <w:p w14:paraId="23027B0F" w14:textId="77777777" w:rsidR="000B4230" w:rsidRPr="0044524F" w:rsidRDefault="000B42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мы спасали чсдюскинцев», 1934, с. 113-145/ (23370).</w:t>
      </w:r>
    </w:p>
    <w:p w14:paraId="3137AC44" w14:textId="77777777" w:rsidR="000B4230" w:rsidRPr="0044524F" w:rsidRDefault="000B4230" w:rsidP="009654CF">
      <w:pPr>
        <w:spacing w:after="0" w:line="240" w:lineRule="auto"/>
        <w:jc w:val="both"/>
        <w:rPr>
          <w:rFonts w:ascii="Times New Roman" w:hAnsi="Times New Roman"/>
          <w:color w:val="000000" w:themeColor="text1"/>
          <w:sz w:val="16"/>
          <w:szCs w:val="16"/>
        </w:rPr>
      </w:pPr>
    </w:p>
    <w:p w14:paraId="420B7F19" w14:textId="77777777" w:rsidR="0059042B" w:rsidRPr="0044524F" w:rsidRDefault="0059042B"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E17B939" w14:textId="77777777" w:rsidR="0059042B" w:rsidRPr="0044524F" w:rsidRDefault="0059042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926B394" w14:textId="77777777" w:rsidR="0059042B" w:rsidRPr="0044524F" w:rsidRDefault="00590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июня 1933 опросом членов ПБ</w:t>
      </w:r>
    </w:p>
    <w:p w14:paraId="2CC3D8BC" w14:textId="77777777" w:rsidR="0059042B" w:rsidRPr="0044524F" w:rsidRDefault="00590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113/96.- Вопросы К.О.</w:t>
      </w:r>
    </w:p>
    <w:p w14:paraId="705E5EF7" w14:textId="77777777" w:rsidR="0059042B" w:rsidRPr="0044524F" w:rsidRDefault="00590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следующие постановления СТО:</w:t>
      </w:r>
    </w:p>
    <w:p w14:paraId="6F6E0C2F" w14:textId="77777777" w:rsidR="0059042B" w:rsidRPr="0044524F" w:rsidRDefault="00590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 отпуске 500 тыс.р.за счет импортных кон</w:t>
      </w:r>
      <w:r w:rsidRPr="0044524F">
        <w:rPr>
          <w:rFonts w:ascii="Times New Roman" w:hAnsi="Times New Roman"/>
          <w:color w:val="000000" w:themeColor="text1"/>
          <w:sz w:val="16"/>
          <w:szCs w:val="16"/>
        </w:rPr>
        <w:softHyphen/>
        <w:t>тингентов НКТП на оборудование и техснабжение и о немедленной закупке цветных металлов для строитель</w:t>
      </w:r>
      <w:r w:rsidRPr="0044524F">
        <w:rPr>
          <w:rFonts w:ascii="Times New Roman" w:hAnsi="Times New Roman"/>
          <w:color w:val="000000" w:themeColor="text1"/>
          <w:sz w:val="16"/>
          <w:szCs w:val="16"/>
        </w:rPr>
        <w:softHyphen/>
        <w:t>ства 30 подлодок.</w:t>
      </w:r>
    </w:p>
    <w:p w14:paraId="6BD65AFC" w14:textId="77777777" w:rsidR="0059042B" w:rsidRPr="0044524F" w:rsidRDefault="00590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 отпуске 26 млн.р.из резервного фонда СНК ССОР по мероприятиям первой очереди для НКПС и 5 млн.р. из резервного фонда СНК СССР для Цудор- транса.</w:t>
      </w:r>
    </w:p>
    <w:p w14:paraId="196D75C0" w14:textId="77777777" w:rsidR="0059042B" w:rsidRPr="0044524F" w:rsidRDefault="00590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разрешении НКВМору закупки за счет его импортных контингентов в Америке запчастей к мото</w:t>
      </w:r>
      <w:r w:rsidRPr="0044524F">
        <w:rPr>
          <w:rFonts w:ascii="Times New Roman" w:hAnsi="Times New Roman"/>
          <w:color w:val="000000" w:themeColor="text1"/>
          <w:sz w:val="16"/>
          <w:szCs w:val="16"/>
        </w:rPr>
        <w:softHyphen/>
        <w:t>рам "Либерти" на 75 т.р. и НКТяжпрому на приборы зажигания "Делько" и запчасти 223.248 р. за счёт его импортных контингентов.</w:t>
      </w:r>
    </w:p>
    <w:p w14:paraId="174B1880" w14:textId="77777777" w:rsidR="0059042B" w:rsidRPr="0044524F" w:rsidRDefault="00590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 отпуске 50 тыс.р. на недостающие импорт</w:t>
      </w:r>
      <w:r w:rsidRPr="0044524F">
        <w:rPr>
          <w:rFonts w:ascii="Times New Roman" w:hAnsi="Times New Roman"/>
          <w:color w:val="000000" w:themeColor="text1"/>
          <w:sz w:val="16"/>
          <w:szCs w:val="16"/>
        </w:rPr>
        <w:softHyphen/>
        <w:t>ные части оборудования для окончания строительства Горьковского завода Нефтегаз Jr 2(за счет импортных контингентов НКТПрома).</w:t>
      </w:r>
    </w:p>
    <w:p w14:paraId="36F7A07F" w14:textId="77777777" w:rsidR="0059042B" w:rsidRPr="0044524F" w:rsidRDefault="00590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 отпуске 23,6 млн.р. на окончание рекон</w:t>
      </w:r>
      <w:r w:rsidRPr="0044524F">
        <w:rPr>
          <w:rFonts w:ascii="Times New Roman" w:hAnsi="Times New Roman"/>
          <w:color w:val="000000" w:themeColor="text1"/>
          <w:sz w:val="16"/>
          <w:szCs w:val="16"/>
        </w:rPr>
        <w:softHyphen/>
        <w:t>струкции з-да б. Дальсельмаш, дополнительное строи</w:t>
      </w:r>
      <w:r w:rsidRPr="0044524F">
        <w:rPr>
          <w:rFonts w:ascii="Times New Roman" w:hAnsi="Times New Roman"/>
          <w:color w:val="000000" w:themeColor="text1"/>
          <w:sz w:val="16"/>
          <w:szCs w:val="16"/>
        </w:rPr>
        <w:softHyphen/>
        <w:t>тельство бензинохранилищ, строительство Новоспасско</w:t>
      </w:r>
      <w:r w:rsidRPr="0044524F">
        <w:rPr>
          <w:rFonts w:ascii="Times New Roman" w:hAnsi="Times New Roman"/>
          <w:color w:val="000000" w:themeColor="text1"/>
          <w:sz w:val="16"/>
          <w:szCs w:val="16"/>
        </w:rPr>
        <w:softHyphen/>
        <w:t>го цементного з-да и реконструкцию Иркутского заво</w:t>
      </w:r>
      <w:r w:rsidRPr="0044524F">
        <w:rPr>
          <w:rFonts w:ascii="Times New Roman" w:hAnsi="Times New Roman"/>
          <w:color w:val="000000" w:themeColor="text1"/>
          <w:sz w:val="16"/>
          <w:szCs w:val="16"/>
        </w:rPr>
        <w:softHyphen/>
        <w:t>да им. Куйбышева.</w:t>
      </w:r>
    </w:p>
    <w:p w14:paraId="54D4F23D" w14:textId="77777777" w:rsidR="0059042B" w:rsidRPr="0044524F" w:rsidRDefault="00590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 т.Базилевичу, Розенгольцу, Вороши</w:t>
      </w:r>
      <w:r w:rsidRPr="0044524F">
        <w:rPr>
          <w:rFonts w:ascii="Times New Roman" w:hAnsi="Times New Roman"/>
          <w:color w:val="000000" w:themeColor="text1"/>
          <w:sz w:val="16"/>
          <w:szCs w:val="16"/>
        </w:rPr>
        <w:softHyphen/>
        <w:t>лову</w:t>
      </w:r>
    </w:p>
    <w:p w14:paraId="085E00A8" w14:textId="77777777" w:rsidR="0059042B" w:rsidRPr="0044524F" w:rsidRDefault="00590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15 июня 1933 состоялось заседание ПБ и был оформлен протокол № 139 (22989).</w:t>
      </w:r>
    </w:p>
    <w:p w14:paraId="194BCF20" w14:textId="77777777" w:rsidR="0059042B" w:rsidRPr="0044524F" w:rsidRDefault="0059042B" w:rsidP="009654CF">
      <w:pPr>
        <w:spacing w:after="0" w:line="240" w:lineRule="auto"/>
        <w:jc w:val="both"/>
        <w:rPr>
          <w:rFonts w:ascii="Times New Roman" w:hAnsi="Times New Roman"/>
          <w:color w:val="000000" w:themeColor="text1"/>
          <w:sz w:val="16"/>
          <w:szCs w:val="16"/>
        </w:rPr>
      </w:pPr>
    </w:p>
    <w:p w14:paraId="20A4E45D"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0D98E56"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5366F2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13 июня 1933 г. Советский военный атташе В. Н. Левичев так описывал свое сообщение капитану Йодлю, начальнику Русского отдела Стз» сделанное им «без всяких мот ивировок и объяснений»: «Сообщение об урезанной программе и особенно отказ в опытах на Томке вызвало у него краску на лице и мелкие капли пота. Записав и повторив полученное извещение, он сказал, что для них особенно печально и неожиданно дело с Томкой.» (АВП РФ, ф. 082, оп. 16, п. 71, д. 1, л. 228-233.) (11784). </w:t>
      </w:r>
    </w:p>
    <w:p w14:paraId="74540DF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57A8261A"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8CA92FA"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E75715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июня 1933 еще одно испытание 4.5-метровой модели Pilot-Rakete» («Пилот-Ракете») также закончилось неудачей. Когда ракета поднялась на высоту 2 м, выпал запорный винт топливного бака – ракета рухнула на землю почти без топлива.</w:t>
      </w:r>
    </w:p>
    <w:p w14:paraId="3A8ACFE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Замена отдельных конструктивных элементов не помогла. Когда 29 июня ракету удалось запустить, один из роликов сошел с направляющего рельса и застрял. Он, разумеется, был сорван, но из-за этого ракета взлетела почти горизонтально. Быстро теряя высоту, она упала плашмя на землю в 300 м от пусковой установки.</w:t>
      </w:r>
    </w:p>
    <w:p w14:paraId="7A55D56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Конец «Ракетенфлюгплатц» был печальным. Однажды на территорию, принадлежащую «Обществу межпланетных сообщений» нагрянула большая группа молодых людей в серо-голубой форме, назвавших себя представителями «Дойче люфтвахт», которые заявили, что это место передано им в качестве учебного плаца (11688).</w:t>
      </w:r>
    </w:p>
    <w:p w14:paraId="49E9F65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2F9C3A8D"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77F0FFD"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0950B7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состоялось заседание техкомиссии по подготовке рекордного перелета (1102).</w:t>
      </w:r>
    </w:p>
    <w:p w14:paraId="70E4C02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12AD34D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Нач. ВВС Алкснис писал письмо N УМТС/03479 Нач. ГУАП П.И.Б.:</w:t>
      </w:r>
    </w:p>
    <w:p w14:paraId="19D043C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договору между ГУАП и УВВС предусмотрена поставка на 1933 150 ТБ-3 под М-17 и 150 под М-34. Ввиду задержки ЦАГИ в изготовлении эталона (образца) ТБ-3 под М-34, я дал Вам согласие в апреле на увеличение заказа на ТБ-3 М-17 на 30 единиц за счет такого же сокращения заказов на ТБ-3 М-34 с тем, чтобы ЦАГИ не позднее первых чисел мая предъявил эталон ТБ-3 М-34.</w:t>
      </w:r>
    </w:p>
    <w:p w14:paraId="65C48A1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Настало время получать уже из серийного производства ТБ-3 М-34, а эталона еще не сдано и никто из ЦАГИ сказать не берется, когда он будет дан ВВС для испытания.</w:t>
      </w:r>
    </w:p>
    <w:p w14:paraId="3FF3B1E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обстоятельство обрекает под величайшую угрозу срыва весь заказ на ТБ-3 М-34 в текущем году.</w:t>
      </w:r>
    </w:p>
    <w:p w14:paraId="02FC172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Вашего самого решительного вмешательства в это дело.</w:t>
      </w:r>
    </w:p>
    <w:p w14:paraId="1C10E3C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последующем прошу меня уведомить." (2305,33).</w:t>
      </w:r>
    </w:p>
    <w:p w14:paraId="4EFFDE8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4908D49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РД М-34Р вышел на аэродром (2287,131).</w:t>
      </w:r>
    </w:p>
    <w:p w14:paraId="72D03569"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0DAD9607"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июня 1933 г. РД-1 перевезли на Централь</w:t>
      </w:r>
      <w:r w:rsidRPr="00142305">
        <w:rPr>
          <w:rFonts w:ascii="Times New Roman" w:hAnsi="Times New Roman"/>
          <w:color w:val="0070C0"/>
          <w:sz w:val="16"/>
          <w:szCs w:val="16"/>
        </w:rPr>
        <w:softHyphen/>
        <w:t>ный аэродром им. Фрунзе, где тогда базировался ОЭЛИД. 18 июня состоя</w:t>
      </w:r>
      <w:r w:rsidRPr="00142305">
        <w:rPr>
          <w:rFonts w:ascii="Times New Roman" w:hAnsi="Times New Roman"/>
          <w:color w:val="0070C0"/>
          <w:sz w:val="16"/>
          <w:szCs w:val="16"/>
        </w:rPr>
        <w:softHyphen/>
        <w:t>лась первая проба двигателя, а 22 июня М М. Громов выполнил первый полет. С этого момента началась программа ис</w:t>
      </w:r>
      <w:r w:rsidRPr="00142305">
        <w:rPr>
          <w:rFonts w:ascii="Times New Roman" w:hAnsi="Times New Roman"/>
          <w:color w:val="0070C0"/>
          <w:sz w:val="16"/>
          <w:szCs w:val="16"/>
        </w:rPr>
        <w:softHyphen/>
        <w:t>пытаний и доводки АНТ-25. Громов потом писал: «Машина была простой, обладала устойчивостью, но имела своеобразие в управлении благодаря необычной лямбде (удлинению) крыла, с хорошим «запасом» рулей. Основные характеристики сняли быстро, но самые трудоемкие испыта</w:t>
      </w:r>
      <w:r w:rsidRPr="00142305">
        <w:rPr>
          <w:rFonts w:ascii="Times New Roman" w:hAnsi="Times New Roman"/>
          <w:color w:val="0070C0"/>
          <w:sz w:val="16"/>
          <w:szCs w:val="16"/>
        </w:rPr>
        <w:softHyphen/>
        <w:t>ния заключались в определении расхода горючего...»</w:t>
      </w:r>
    </w:p>
    <w:p w14:paraId="576133AD"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Первоначально на самолете стоял мо</w:t>
      </w:r>
      <w:r w:rsidRPr="00142305">
        <w:rPr>
          <w:rFonts w:ascii="Times New Roman" w:hAnsi="Times New Roman"/>
          <w:color w:val="0070C0"/>
          <w:sz w:val="16"/>
          <w:szCs w:val="16"/>
        </w:rPr>
        <w:softHyphen/>
        <w:t>тор М-34 со степенью сжатия 6,0, разви</w:t>
      </w:r>
      <w:r w:rsidRPr="00142305">
        <w:rPr>
          <w:rFonts w:ascii="Times New Roman" w:hAnsi="Times New Roman"/>
          <w:color w:val="0070C0"/>
          <w:sz w:val="16"/>
          <w:szCs w:val="16"/>
        </w:rPr>
        <w:softHyphen/>
        <w:t>вавший максимальную мощность 814 л.с. Взлетный вес при этом ограничивался 8000 кг. С убранным средним радиатором скорость равнялась 203 км/ч, потолок - 5340 м При весе 5000 кг и убранном шасси получили максимальную скорость 212 км/ч. Первый цикл испытаний завер</w:t>
      </w:r>
      <w:r w:rsidRPr="00142305">
        <w:rPr>
          <w:rFonts w:ascii="Times New Roman" w:hAnsi="Times New Roman"/>
          <w:color w:val="0070C0"/>
          <w:sz w:val="16"/>
          <w:szCs w:val="16"/>
        </w:rPr>
        <w:softHyphen/>
        <w:t>шили к 20 июля.</w:t>
      </w:r>
    </w:p>
    <w:p w14:paraId="47086956"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Позже смонтировали двигатель со степенью сжатия 7,0, дававший 874 л.с. Взлетный вес подняли до 9750 кг, поса</w:t>
      </w:r>
      <w:r w:rsidRPr="00142305">
        <w:rPr>
          <w:rFonts w:ascii="Times New Roman" w:hAnsi="Times New Roman"/>
          <w:color w:val="0070C0"/>
          <w:sz w:val="16"/>
          <w:szCs w:val="16"/>
        </w:rPr>
        <w:softHyphen/>
        <w:t>дочный - не изменился, 4071 кг. Но рас</w:t>
      </w:r>
      <w:r w:rsidRPr="00142305">
        <w:rPr>
          <w:rFonts w:ascii="Times New Roman" w:hAnsi="Times New Roman"/>
          <w:color w:val="0070C0"/>
          <w:sz w:val="16"/>
          <w:szCs w:val="16"/>
        </w:rPr>
        <w:softHyphen/>
        <w:t>ход горючего увеличился, и дальность при запасе 4100 кг топлива уменьшилась с 7200 км до 7050 км, а продолжитель</w:t>
      </w:r>
      <w:r w:rsidRPr="00142305">
        <w:rPr>
          <w:rFonts w:ascii="Times New Roman" w:hAnsi="Times New Roman"/>
          <w:color w:val="0070C0"/>
          <w:sz w:val="16"/>
          <w:szCs w:val="16"/>
        </w:rPr>
        <w:softHyphen/>
        <w:t>ность полета - с 48 ч до 45 ч.</w:t>
      </w:r>
    </w:p>
    <w:p w14:paraId="28BDDAE4"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Результаты первых испытательных полетов оказались, мягко говоря, скром</w:t>
      </w:r>
      <w:r w:rsidRPr="00142305">
        <w:rPr>
          <w:rFonts w:ascii="Times New Roman" w:hAnsi="Times New Roman"/>
          <w:color w:val="0070C0"/>
          <w:sz w:val="16"/>
          <w:szCs w:val="16"/>
        </w:rPr>
        <w:softHyphen/>
        <w:t>ными, они получись значительно ниже расчетных. О побитии рекордов с такими показателями и речи не могло идти.</w:t>
      </w:r>
    </w:p>
    <w:p w14:paraId="16831DB8"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Оставались надежды, что положение улучшится с появлением «дублера» - второго опытного образца, именовавше</w:t>
      </w:r>
      <w:r w:rsidRPr="00142305">
        <w:rPr>
          <w:rFonts w:ascii="Times New Roman" w:hAnsi="Times New Roman"/>
          <w:color w:val="0070C0"/>
          <w:sz w:val="16"/>
          <w:szCs w:val="16"/>
        </w:rPr>
        <w:softHyphen/>
        <w:t>гося АНТ-25-2 или РД-2 (24946).</w:t>
      </w:r>
    </w:p>
    <w:p w14:paraId="3F17DADC" w14:textId="77777777" w:rsidR="00CD62DA" w:rsidRPr="00142305" w:rsidRDefault="00CD62DA" w:rsidP="00CD62DA">
      <w:pPr>
        <w:spacing w:after="0" w:line="240" w:lineRule="auto"/>
        <w:jc w:val="both"/>
        <w:rPr>
          <w:rFonts w:ascii="Times New Roman" w:hAnsi="Times New Roman"/>
          <w:color w:val="0070C0"/>
          <w:sz w:val="16"/>
          <w:szCs w:val="16"/>
        </w:rPr>
      </w:pPr>
    </w:p>
    <w:p w14:paraId="389E02D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состоялись стендовые испытания первого пульсирующего ВРД (274).</w:t>
      </w:r>
    </w:p>
    <w:p w14:paraId="20DEE791"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22665EC6"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года Глававиапрома специальным решением утвердил перенесение строительства завода № 126 на новую площадку, которая была выбрана в 1932. Осенью 1932 года наводнением реки Амур был почти целиком уничтожено все, что было сделано на осваиваемой площадке. Новая площадка отстояла от Амура на расстоянии 4,5 км, на незаливаемых местах (9444).</w:t>
      </w:r>
    </w:p>
    <w:p w14:paraId="4C4E952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7DBC5D4B"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E53F092"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540E14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вышло постановление СТО N 39сс/о "О порядке утверждения титульных списков и плана ввода в эксплуатацию оборонного строительства" (2282,30).</w:t>
      </w:r>
    </w:p>
    <w:p w14:paraId="150F9BF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12DF2288"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53C800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4D08E828" w14:textId="77777777" w:rsidR="0030712B" w:rsidRPr="0044524F" w:rsidRDefault="0030712B"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14 июня 1933 г. был сформирован Минский авиационный отряд ОГПУ – с этого дня отряд приступил к выполнению задач охраны белорусского участка советско-латвийской и советско-польской границ – его звенья и отдельные самолеты, в зависимости от оперативной обстановки, несли службу на полевых площадках вблизи мест дислокации управлений пограничных отрядов, комендатур и застав. Кроме того, отряд выполнял различные задачи в интересах органов ОГПУ и внутренней охраны войск ОГПУ.</w:t>
      </w:r>
    </w:p>
    <w:p w14:paraId="69BF2F47" w14:textId="77777777" w:rsidR="0030712B" w:rsidRPr="0044524F" w:rsidRDefault="0030712B"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В разные годы на вооружении отряда были самолеты Р-1, Р-3, Р-5, У-2 (15231).</w:t>
      </w:r>
    </w:p>
    <w:p w14:paraId="6685B472" w14:textId="77777777" w:rsidR="0030712B" w:rsidRPr="0044524F" w:rsidRDefault="0030712B" w:rsidP="009654CF">
      <w:pPr>
        <w:pStyle w:val="27"/>
        <w:shd w:val="clear" w:color="auto" w:fill="auto"/>
        <w:spacing w:after="0" w:line="240" w:lineRule="auto"/>
        <w:ind w:firstLine="0"/>
        <w:rPr>
          <w:rFonts w:ascii="Times New Roman" w:cs="Times New Roman"/>
          <w:color w:val="000000" w:themeColor="text1"/>
          <w:spacing w:val="0"/>
        </w:rPr>
      </w:pPr>
    </w:p>
    <w:p w14:paraId="32686AB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приказом по МВС и лагерю № 83 «каналоармейцы» оповещались о том, что «двести двадцать семь километров скал, лесов и болот Карелии, миллионы лет лежавших непреодолимой преградой между двумя морями - Балтийским и Белым - взорваны вашим энтузиазмом... Каналоармейцы Москва-Волгостроя, ценя доверие власти, расположившей Дмитровский лагерь около пролетарской столицы - Москвы, следя за сказочными успехами своих товарищей беломорцев, приступили к строительству канала, призванного соединить две великих реки - Москву и Волгу... В помощь мосволгостроевцам в их трудном деле уже подходят эшелоны краснознаменных белморстроевцев... Заставим Волгу течь мимо Кремля!» (7560).</w:t>
      </w:r>
    </w:p>
    <w:p w14:paraId="6AD26DC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25CB5FB0"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0622B37D"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C4C7FF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года глава наркомата иностранных дел СССР М. Литвинов на пленарном заседании Мировой экономической конференции в Лондоне сказал: "советское правительство могло бы разместить в ближайшее время за границей заказов на сумму примерно 1000 млн. долл., если бы были предоставлены кредиты и обеспечены нормальные условия для советского экспорта". (Документы внешней политики СССР. Т.16. С.345) (11581).</w:t>
      </w:r>
    </w:p>
    <w:p w14:paraId="1DD765A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6B648A6B" w14:textId="77777777" w:rsidR="00AE51CE" w:rsidRPr="0044524F" w:rsidRDefault="00AE51CE"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Авиа</w:t>
      </w:r>
      <w:r w:rsidR="0044195E" w:rsidRPr="0044524F">
        <w:rPr>
          <w:rFonts w:ascii="Times New Roman" w:hAnsi="Times New Roman"/>
          <w:i/>
          <w:iCs/>
          <w:color w:val="000000" w:themeColor="text1"/>
          <w:sz w:val="16"/>
          <w:szCs w:val="16"/>
        </w:rPr>
        <w:t>промышленность</w:t>
      </w:r>
      <w:r w:rsidRPr="0044524F">
        <w:rPr>
          <w:rFonts w:ascii="Times New Roman" w:hAnsi="Times New Roman"/>
          <w:i/>
          <w:iCs/>
          <w:color w:val="000000" w:themeColor="text1"/>
          <w:sz w:val="16"/>
          <w:szCs w:val="16"/>
        </w:rPr>
        <w:t>:</w:t>
      </w:r>
    </w:p>
    <w:p w14:paraId="0B1F0C48" w14:textId="77777777" w:rsidR="00AE51CE" w:rsidRPr="0044524F" w:rsidRDefault="00AE51CE"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4126DEB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15 июня 1933 г. за № 50378 </w:t>
      </w:r>
    </w:p>
    <w:p w14:paraId="0B3B64B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СЕКРЕТАРЮ ЦК ВКП (Б)</w:t>
      </w:r>
    </w:p>
    <w:p w14:paraId="009427A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Сталину</w:t>
      </w:r>
    </w:p>
    <w:p w14:paraId="4EC1598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было подготовлено СПЕЦСООБЩЕНИЕ О ЗАДЕРЖАНИИ ЯПОНСКОГО ВОЕННОГО АТТАШЕ</w:t>
      </w:r>
    </w:p>
    <w:p w14:paraId="6A955F0C"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Рез. Сталина: т. АграновуПредлагаю выдать красноармейцу Копытову50 р. наградных за правильное исполнение своих обязанностей и объявитьему благодарность. Обо всем этом объявить в соответствующей части.</w:t>
      </w:r>
    </w:p>
    <w:p w14:paraId="7F6C391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20.00 14 июня 1933 г. около проволочной изгороди аэродрома завода № 22, дозорным караулом от 1 д-на 56-го полка войск ОГПУ МО красноармейцем тов. Копытовым был задержан военный атташе японского посольства Кавабэ Торашилло.</w:t>
      </w:r>
    </w:p>
    <w:p w14:paraId="75D6BFC7"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Обстоятельства задержания следующие:</w:t>
      </w:r>
    </w:p>
    <w:p w14:paraId="4A883DE3"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Рабочий – плотник завода № 22 тов. Горячев, находясь у кипятильников около р. Москва, увидел спустившуюся к территории завода новую машину № Д-40-73 с флагом японского посольства. Из машины вышел неизвестный и пошел опушкой леса по направлению тупику забора завода. Рабочий Горячев, проследив неизвестного, пошел и сообщил в комендатуру и пришедшей с подозрительным неизвестным машине и о его поведении. Одновременно эти же данные сообщили к иному дозорному кр-цу т. Копытову рабочие завода, находившиеся около буфета, расположенного на территории завода.</w:t>
      </w:r>
    </w:p>
    <w:p w14:paraId="67BB0C66"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Кр-ц Копытов, выехав непосредственно к забору, увидел уже удалившегося от машины неизвестного – метрах в 20 от машины. Неизвестный пошел вперед по опушке леса, стремясь осмотреть территорию аэродрома, вместе с находящимися на ней машинами ТБ-3 (на аэродроме было около 70 машин).</w:t>
      </w:r>
    </w:p>
    <w:p w14:paraId="0DD7843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Неизвестный дошел до тупика, осмотрел новую стройку и вышел на угол забора, где в течение 3-5 минут через щель вел наблюдение за территорией аэродрома и находящимися там машинами. После этого свернул обратно и прежним путем пошел по направлению к машине.</w:t>
      </w:r>
    </w:p>
    <w:p w14:paraId="1FF7FFA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машины неизвестный пересек луг и вышел на берег р. Москва к изгороди из колючей проволоки. В этот момент дозорным кр-цем тов. Копытовым неизвестный был задержан и приглашен на территорию аэродрома.</w:t>
      </w:r>
    </w:p>
    <w:p w14:paraId="08189DEA"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Неизвестный отказался пойти, приговорив кр-цу: – “Вам будет очень плохо”. Кр-ц Копытов на это ответил: – “Ну, что же, плохо ли, хорошо ли, а я Вас не отпущу”.</w:t>
      </w:r>
    </w:p>
    <w:p w14:paraId="336EDC7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этот момент по условному вызову часового поста № 7 прибежал карнач-помкомвзвода т. Хижняк, который задал задержанному следующие вопросы:</w:t>
      </w:r>
    </w:p>
    <w:p w14:paraId="3F0CC5D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 “Зачем Вы сюда попали и что Вас здесь интересует”</w:t>
      </w:r>
    </w:p>
    <w:p w14:paraId="680F295D"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 “Делать нечего и решил погулять по Москва реке”.</w:t>
      </w:r>
    </w:p>
    <w:p w14:paraId="28B2C794"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 “Предъявите Ваши документы”.</w:t>
      </w:r>
    </w:p>
    <w:p w14:paraId="6D9F36BB"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 “Я – японский военный атташе, запишите мою фамилию и № моего автомобиля и отпустите меня”.</w:t>
      </w:r>
    </w:p>
    <w:p w14:paraId="1003861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 время к карначу подошли приехавшие на машине пом. директора завода по т/г т. Фельдман и начальник цеха “Припо” т. Титов, которые вместе с задержанным проехали в комендатуру завода, где проверили его документы и, по согласовании вопроса с директором завода, предварительно извинившись, задержанного отпустили.</w:t>
      </w:r>
    </w:p>
    <w:p w14:paraId="723BF86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Председателя ОГПУ Я. Агранов</w:t>
      </w:r>
    </w:p>
    <w:p w14:paraId="01B524F2"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ф.3, оп.58, д.240, л.159 а-159 б (11462).</w:t>
      </w:r>
    </w:p>
    <w:p w14:paraId="1D56FAE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14EF21CF" w14:textId="77777777" w:rsidR="003C1335" w:rsidRPr="0044524F" w:rsidRDefault="003C1335" w:rsidP="009654CF">
      <w:pPr>
        <w:pStyle w:val="HTML2"/>
        <w:shd w:val="clear" w:color="auto" w:fill="FFFFFF"/>
        <w:jc w:val="both"/>
        <w:rPr>
          <w:color w:val="000000" w:themeColor="text1"/>
          <w:sz w:val="16"/>
          <w:szCs w:val="16"/>
        </w:rPr>
      </w:pPr>
      <w:r w:rsidRPr="0044524F">
        <w:rPr>
          <w:i w:val="0"/>
          <w:iCs w:val="0"/>
          <w:color w:val="000000" w:themeColor="text1"/>
          <w:sz w:val="16"/>
          <w:szCs w:val="16"/>
        </w:rPr>
        <w:t>15 июня 1933 года Серго Орджоникидзе написал секретную докладную записку в ЦК ВКП (б). Нарком указал, что не уверен в том, "что мы сможем достаточно быстро овладеть всем циклом процесса", и просил "ЦК срочно рассмотреть вопрос – в каком направлении целесообразнее осуществить инопомощь по гелию". Вероятно, санкция была дана, так как в декабре 1933 года "Союзгаз" и Гай Риддель подписали договор. И уже в январе 1934 года американец привез 120 кг различных записок по гелиевому делу, которые стали переводиться и передаваться на экспертизу советским специалистам. Большая часть сведений оказалась выдержками из опубликованных работ. Например, группа геологов писала: "Вся геологическая часть записки &lt;…&gt; дает нам добросовестно собранную и изложенную совокупность данных по состоянию этой части гелиевого дела в Соединенных Штатах, но сообщает нам очень мало принципиально нового, чего бы мы не знали до сих пор" (21452).</w:t>
      </w:r>
    </w:p>
    <w:p w14:paraId="34F0B8D3" w14:textId="77777777" w:rsidR="003C1335" w:rsidRPr="0044524F" w:rsidRDefault="003C1335" w:rsidP="009654CF">
      <w:pPr>
        <w:pStyle w:val="article-renderblock"/>
        <w:shd w:val="clear" w:color="auto" w:fill="FFFFFF"/>
        <w:spacing w:before="0" w:beforeAutospacing="0" w:after="0" w:afterAutospacing="0"/>
        <w:jc w:val="both"/>
        <w:rPr>
          <w:color w:val="000000" w:themeColor="text1"/>
          <w:sz w:val="16"/>
          <w:szCs w:val="16"/>
        </w:rPr>
      </w:pPr>
    </w:p>
    <w:p w14:paraId="2CE46975"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1AE6972"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B10203E"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 1933 г. Проведены испытания третьей железнодорожной артустановки ТМ-1-14 (11454).</w:t>
      </w:r>
    </w:p>
    <w:p w14:paraId="24B1BE98"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51E99F6A" w14:textId="77777777" w:rsidR="00DE2EF9" w:rsidRPr="0044524F" w:rsidRDefault="00DE2EF9" w:rsidP="009654CF">
      <w:pPr>
        <w:pStyle w:val="rtejustify"/>
        <w:spacing w:before="0" w:after="0"/>
        <w:rPr>
          <w:color w:val="000000" w:themeColor="text1"/>
          <w:sz w:val="16"/>
          <w:szCs w:val="16"/>
        </w:rPr>
      </w:pPr>
      <w:r w:rsidRPr="0044524F">
        <w:rPr>
          <w:rStyle w:val="af0"/>
          <w:bCs/>
          <w:i w:val="0"/>
          <w:color w:val="000000" w:themeColor="text1"/>
          <w:sz w:val="16"/>
          <w:szCs w:val="16"/>
        </w:rPr>
        <w:t>15 июня</w:t>
      </w:r>
      <w:r w:rsidRPr="0044524F">
        <w:rPr>
          <w:color w:val="000000" w:themeColor="text1"/>
          <w:sz w:val="16"/>
          <w:szCs w:val="16"/>
        </w:rPr>
        <w:t xml:space="preserve"> 1933. Протокол заседания Политбюро ЦК ВКП (б) № 139. </w:t>
      </w:r>
      <w:hyperlink r:id="rId205" w:anchor="showunit&amp;id=86727" w:history="1">
        <w:r w:rsidRPr="0044524F">
          <w:rPr>
            <w:rStyle w:val="a5"/>
            <w:color w:val="000000" w:themeColor="text1"/>
            <w:sz w:val="16"/>
            <w:szCs w:val="16"/>
          </w:rPr>
          <w:t>2. О бензине</w:t>
        </w:r>
      </w:hyperlink>
      <w:r w:rsidRPr="0044524F">
        <w:rPr>
          <w:color w:val="000000" w:themeColor="text1"/>
          <w:sz w:val="16"/>
          <w:szCs w:val="16"/>
        </w:rPr>
        <w:t xml:space="preserve"> (ПБ от 15 июня 1933 г.) (Куйбышев). — ОП. Решено, оставляя в силе план экспорта, направить на внутренний рынок 10 тыс. тонн бензина и лигроина за счет уменьшения запасов НКВТ. </w:t>
      </w:r>
      <w:hyperlink r:id="rId206" w:anchor="showunit&amp;id=86804" w:history="1">
        <w:r w:rsidRPr="0044524F">
          <w:rPr>
            <w:rStyle w:val="a5"/>
            <w:color w:val="000000" w:themeColor="text1"/>
            <w:sz w:val="16"/>
            <w:szCs w:val="16"/>
          </w:rPr>
          <w:t>9. О заводе № 8</w:t>
        </w:r>
      </w:hyperlink>
      <w:r w:rsidRPr="0044524F">
        <w:rPr>
          <w:color w:val="000000" w:themeColor="text1"/>
          <w:sz w:val="16"/>
          <w:szCs w:val="16"/>
        </w:rPr>
        <w:t xml:space="preserve"> (проект постановления ЦКК) (ПБ от 1 июня 1933 г., пр. № 138, п. 11) (Антипов, Павлуновский, Тухачевский, Будняк, Мирзаханов). Решено утвердить с поправками постановление Президиума ЦКК о заводе № 8 (см. приложение). Президиум ЦКК ВКП(б) констатировал, что на заводе № 8 систематически устраивались банкеты и вечера с обильной выпивкой. Секретарь Мытищинского райкома ВКП(б) Полещук, бывший секретарь парткома завода Ожехинский и члены парткома Матвеев и Прицкер, вместо борьбы с безобразнейшими фактами, свидетельствующими об элементах разложения среди руководства завода, принимали участие в банкетах и вечерах, устраиваемых директором завода, и сами организовывали выпивки за счет заводоуправления. Эти преступно безобразные факты, свидетельствующие о наличии элементов бытового разложения среди отдельных руководящих работников заводоуправления, парткома и Мытищинского райкома ВКП(б), в известной мере могли влиять на ослабление бдительности, необходимой в условиях работы важнейшего военного предприятия. Президиум ЦКК ВКП(б) постановил: за использование служебного положения в личных целях из партии исключить и снять с работы секретаря дирекции Виноградова В. Я. – фактического организатора банкетов и вечеров. Объявлены строгие выговоры директору завода, бывшему секретарю парткома завода, секретарю Мытищинского райкома ВКП(б), врио секретаря парткома завода. Ряду других работников объявлены выговоры. Средства, израсходованные на банкеты и вечера, организованные заводом № 8 и объединением, предложено взыскать с их участников в течение 1933</w:t>
      </w:r>
      <w:r w:rsidRPr="0044524F">
        <w:rPr>
          <w:color w:val="000000" w:themeColor="text1"/>
          <w:sz w:val="16"/>
          <w:szCs w:val="16"/>
        </w:rPr>
        <w:noBreakHyphen/>
        <w:t xml:space="preserve">34 гг.; в месячный срок взыскать всю задолженность с работников объединения за использование имущества, принадлежащего объединению (мебель, ковры и пр.), по действительной стоимости. Директору завода № 8 Мирзаханову предложено в месячный срок взыскать задолженность со всех работников заводоуправления как по столовой, так и за отпущенную мебель; немедленно установить оплату работникам столовой в соответствии с колдоговором, отменив все виды натуральной оплаты. Президиум ЦКК предупредил руководителей заводов и объединений военной промышленности, что за устройство каких-либо угощений приезжающих на заводы по служебным обязанностям работников НКТП, объединений и Военведа, а также допущения в какой либо форме незаконной оплаты труда приемщиков, они будут привлечены к самой суровой партийной ответственности. </w:t>
      </w:r>
      <w:hyperlink r:id="rId207" w:anchor="showunit&amp;id=86734" w:history="1">
        <w:r w:rsidRPr="0044524F">
          <w:rPr>
            <w:rStyle w:val="a5"/>
            <w:color w:val="000000" w:themeColor="text1"/>
            <w:sz w:val="16"/>
            <w:szCs w:val="16"/>
          </w:rPr>
          <w:t>26/8. Об отпуске цветных металлов НКТП</w:t>
        </w:r>
      </w:hyperlink>
      <w:r w:rsidRPr="0044524F">
        <w:rPr>
          <w:color w:val="000000" w:themeColor="text1"/>
          <w:sz w:val="16"/>
          <w:szCs w:val="16"/>
        </w:rPr>
        <w:t xml:space="preserve"> (ПБ от 3 июня 1933 г.). — ОП. Решено предложить Куйбышеву выделить для НКТП из фондов Комитета резервов необходимое количество цветных металлов (олово, никель, свинец, алюминий, цинк, сурьма, ферровольфрам) с условием возврата по мере поступления импорта цветного металла; сверх завезенного металла и сверх плана, установленного Политбюро, будет завезено требуемое количество цветного металла. Контроль за поступлением в Союз цветных металлов — в ЦК и СНК. </w:t>
      </w:r>
      <w:hyperlink r:id="rId208" w:anchor="showunit&amp;id=86739" w:history="1">
        <w:r w:rsidRPr="0044524F">
          <w:rPr>
            <w:rStyle w:val="a5"/>
            <w:color w:val="000000" w:themeColor="text1"/>
            <w:sz w:val="16"/>
            <w:szCs w:val="16"/>
          </w:rPr>
          <w:t>30/12. Об олове</w:t>
        </w:r>
      </w:hyperlink>
      <w:r w:rsidRPr="0044524F">
        <w:rPr>
          <w:color w:val="000000" w:themeColor="text1"/>
          <w:sz w:val="16"/>
          <w:szCs w:val="16"/>
        </w:rPr>
        <w:t xml:space="preserve"> (ПБ от 3 июня 1933 г.). — ОП. Решено разрешить Комитету резервов отпустить Наркомтяжпрому 80 тонн олова для изготовления баббита Б1 для Наркомзема и Наркомсовхозов. </w:t>
      </w:r>
      <w:hyperlink r:id="rId209" w:anchor="showunit&amp;id=86789" w:history="1">
        <w:r w:rsidRPr="0044524F">
          <w:rPr>
            <w:rStyle w:val="a5"/>
            <w:color w:val="000000" w:themeColor="text1"/>
            <w:sz w:val="16"/>
            <w:szCs w:val="16"/>
          </w:rPr>
          <w:t>76/59. Вопрос КО</w:t>
        </w:r>
      </w:hyperlink>
      <w:r w:rsidRPr="0044524F">
        <w:rPr>
          <w:color w:val="000000" w:themeColor="text1"/>
          <w:sz w:val="16"/>
          <w:szCs w:val="16"/>
        </w:rPr>
        <w:t xml:space="preserve"> (ПБ от 8 июня 1933 г.). — ОП. Решено утвердить постановление комиссии обороны об отпуске из резервного фонда СНК СССР 4 млн. руб. на строительство военно-морских баз в Мурманске, увеличив соответственно объем капитальных работ: а) НКВМору — на строительство военно-морской базы в Мурманске в 1933 г. – 2 000 000 руб. б) НКВоду – 500 000 руб., НКСнабу – 500 000 руб. и НКТяжпрому – 1 000 000 руб. </w:t>
      </w:r>
      <w:hyperlink r:id="rId210" w:anchor="showunit&amp;id=86791" w:history="1">
        <w:r w:rsidRPr="0044524F">
          <w:rPr>
            <w:rStyle w:val="a5"/>
            <w:color w:val="000000" w:themeColor="text1"/>
            <w:sz w:val="16"/>
            <w:szCs w:val="16"/>
          </w:rPr>
          <w:t>78/61. Вопрос КО</w:t>
        </w:r>
      </w:hyperlink>
      <w:r w:rsidRPr="0044524F">
        <w:rPr>
          <w:color w:val="000000" w:themeColor="text1"/>
          <w:sz w:val="16"/>
          <w:szCs w:val="16"/>
        </w:rPr>
        <w:t xml:space="preserve"> (ПБ от 9 июня 1933 г.). — ОП. Решено разрешить НКВМ закупить в Германии 10 шт. прицепных гудронаторов, для чего выделить 50 тыс. руб. инвалюты. </w:t>
      </w:r>
      <w:hyperlink r:id="rId211" w:anchor="showunit&amp;id=86799" w:history="1">
        <w:r w:rsidRPr="0044524F">
          <w:rPr>
            <w:rStyle w:val="a5"/>
            <w:color w:val="000000" w:themeColor="text1"/>
            <w:sz w:val="16"/>
            <w:szCs w:val="16"/>
          </w:rPr>
          <w:t>85/68. О ходе производства синтетического каучука</w:t>
        </w:r>
      </w:hyperlink>
      <w:r w:rsidRPr="0044524F">
        <w:rPr>
          <w:color w:val="000000" w:themeColor="text1"/>
          <w:sz w:val="16"/>
          <w:szCs w:val="16"/>
        </w:rPr>
        <w:t xml:space="preserve"> (ПБ от 11 июня 1933 г.). Решено утвердить постановление СТО об отпуске 12 млн. рублей на окончание строительства завода № 4 и на строительство в Москве нового опытного завода, из них 6 млн. рублей за счет средств НКТП и 6 млн. рублей за счет резервного фонда СНК СССР. </w:t>
      </w:r>
      <w:hyperlink r:id="rId212" w:anchor="showunit&amp;id=86810" w:history="1">
        <w:r w:rsidRPr="0044524F">
          <w:rPr>
            <w:rStyle w:val="a5"/>
            <w:color w:val="000000" w:themeColor="text1"/>
            <w:sz w:val="16"/>
            <w:szCs w:val="16"/>
          </w:rPr>
          <w:t>95/78. О запасах сырья и топлива на заводах черной металлургии</w:t>
        </w:r>
      </w:hyperlink>
      <w:r w:rsidRPr="0044524F">
        <w:rPr>
          <w:color w:val="000000" w:themeColor="text1"/>
          <w:sz w:val="16"/>
          <w:szCs w:val="16"/>
        </w:rPr>
        <w:t xml:space="preserve"> (ПБ от 13 июня 1933 г.). Решено передать на разрешение СТО. </w:t>
      </w:r>
      <w:hyperlink r:id="rId213" w:anchor="showunit&amp;id=86688" w:history="1">
        <w:r w:rsidRPr="0044524F">
          <w:rPr>
            <w:rStyle w:val="a5"/>
            <w:color w:val="000000" w:themeColor="text1"/>
            <w:sz w:val="16"/>
            <w:szCs w:val="16"/>
          </w:rPr>
          <w:t>107/90. О выделении специальных заводов по производству запасных частей для автомашин</w:t>
        </w:r>
      </w:hyperlink>
      <w:r w:rsidRPr="0044524F">
        <w:rPr>
          <w:color w:val="000000" w:themeColor="text1"/>
          <w:sz w:val="16"/>
          <w:szCs w:val="16"/>
        </w:rPr>
        <w:t xml:space="preserve"> (ПБ от 4 мая 1933 г., пр. № 137, п. 61/48), (ПБ от 13 июня 1933 г.). Решено передать на разрешение СТО. </w:t>
      </w:r>
      <w:hyperlink r:id="rId214" w:anchor="showunit&amp;id=86695" w:history="1">
        <w:r w:rsidRPr="0044524F">
          <w:rPr>
            <w:rStyle w:val="a5"/>
            <w:color w:val="000000" w:themeColor="text1"/>
            <w:sz w:val="16"/>
            <w:szCs w:val="16"/>
          </w:rPr>
          <w:t>113/96. Вопросы КО</w:t>
        </w:r>
      </w:hyperlink>
      <w:r w:rsidRPr="0044524F">
        <w:rPr>
          <w:color w:val="000000" w:themeColor="text1"/>
          <w:sz w:val="16"/>
          <w:szCs w:val="16"/>
        </w:rPr>
        <w:t xml:space="preserve"> (ПБ от 13 июня 1933 г.). — ОП. Решено утвердить следующие постановления СТО: 1) Об отпуске 500 тыс. руб. за счет импортных контингентов НКТП на оборудование и техснабжение и о немедленной закупке цветных металлов для строительства 30 подлодок. 2) Об отпуске 26 млн. руб. из резервного фонда СНК СССР по мероприятиям первой очереди для НКПС и 5 млн. руб. из резервного фонда СНК СССР для Цудортранса. 3) О разрешении НКВМору закупки за счет его импортных контингентов в Америке запчастей к моторам “Лиоарти” на 75 тыс. руб. и НКТяжпрому на приборы зажигания “Делько” и запчасти 223 248 руб. за счет его импортных контингентов. 4) Об отпуске 50 тыс. руб. на недостающие импортные части оборудования для окончания строительства Горьковского завода Нефтегаз № 2 (за счет импортных контингентов НКТПрома). 5) Об отпуске 23,6 млн. руб. на окончание реконструкции завода Дальсельмаш, дополнительное строительство бензинохранилищ, строительство Новоспасского цементного завода и реконструкцию Иркутского завода им. Куйбышева (15462).</w:t>
      </w:r>
    </w:p>
    <w:p w14:paraId="0A958951" w14:textId="77777777" w:rsidR="00DE2EF9" w:rsidRPr="0044524F" w:rsidRDefault="00DE2EF9" w:rsidP="009654CF">
      <w:pPr>
        <w:pStyle w:val="rtejustify"/>
        <w:spacing w:before="0" w:after="0"/>
        <w:rPr>
          <w:color w:val="000000" w:themeColor="text1"/>
          <w:sz w:val="16"/>
          <w:szCs w:val="16"/>
        </w:rPr>
      </w:pPr>
    </w:p>
    <w:p w14:paraId="25C199CE"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 1933</w:t>
      </w:r>
    </w:p>
    <w:p w14:paraId="0F364237"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2F96EB4F"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http://sovdoc.rusarchives.ru</w:t>
      </w:r>
    </w:p>
    <w:p w14:paraId="4BCDF96F"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37E6F8F5"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РГАСПИ. Ф. 17. Оп. 3. Д. 924. Л. 28-30.</w:t>
      </w:r>
    </w:p>
    <w:p w14:paraId="32E99C7B"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1</w:t>
      </w:r>
    </w:p>
    <w:p w14:paraId="4724ED7B"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9 пр. ПБ № 139.</w:t>
      </w:r>
    </w:p>
    <w:p w14:paraId="6EB75681"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безобразнейших фактах, имевших место на заводе № 8.</w:t>
      </w:r>
    </w:p>
    <w:p w14:paraId="0A7E965E"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Президиума ЦКК ВКП(б).</w:t>
      </w:r>
    </w:p>
    <w:p w14:paraId="355B3F3C"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(Утверждено Политбюро ЦК ВКП(б) 15 июня 1933 г.).</w:t>
      </w:r>
    </w:p>
    <w:p w14:paraId="0895A549"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Президиум ЦКК ВКП(б) констатирует, что на заводе № 8 систематически устраивались банкеты и вечера с обильной, выпивкой.</w:t>
      </w:r>
    </w:p>
    <w:p w14:paraId="6FF295BE"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августа 1932 г. по май 1933 г. было организовано 37 таких банкетов и вечеров, из них 17 в 1933 г. На эти банкеты и вечера директором завода т. Мирзахановым было израсходовано свыше 40.000 рублей государственных средств, в том числе около 13.000 рублей на коньяк, шампанское и другие дорогостоящие спиртные напитки.</w:t>
      </w:r>
    </w:p>
    <w:p w14:paraId="48678B04"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Указанные банкеты и вечера устраивались на заводе, главным образом, для приема представителей Военведа и ВОАО-НКТП, приезжающих для проверки работы завода и испытания качества его продукции.</w:t>
      </w:r>
    </w:p>
    <w:p w14:paraId="474CEEFF"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Работникам столовой (61 чел.), в которой устраивались банкеты и вечера, дирекция завода предоставила бесплатно комнаты с обстановкой и питание, на что ежемесячно расходовала 15.000 рублей.</w:t>
      </w:r>
    </w:p>
    <w:p w14:paraId="6D797E9B"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Покупка и расходование остро-дефицитных и дорогостоящих продуктов (икра, балык, окорока, фрукты и т. п.), часть которых приобреталась “по знакомству” в Инснабе, производились бесконтрольно. В указанной столовой имелись большие запасы различных вин (коньяк, ликеры, шампанское и пр.), (покупаемых на средства заводоуправления), из которых снабжались руководящие работники завода.</w:t>
      </w:r>
    </w:p>
    <w:p w14:paraId="68FAF592"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Секретарь Мытищинского райкома ВКП(б) т. Полещук, быв. секретарь парткома завода Ожехинский и члены парткома — т.т. Матвеев и Прицкер, вместо борьбы с безобразнейшими фактами, свидетельствующими об элементах разложения среди руководства завода принимали участие в банкетах и вечерах, устраиваемых директором завода и сами организовывали выпивки за счет заводоуправления.</w:t>
      </w:r>
    </w:p>
    <w:p w14:paraId="7EABC637"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ВОАО</w:t>
      </w:r>
      <w:r w:rsidRPr="0044524F">
        <w:rPr>
          <w:rFonts w:ascii="Times New Roman" w:hAnsi="Times New Roman"/>
          <w:color w:val="000000" w:themeColor="text1"/>
          <w:sz w:val="16"/>
          <w:szCs w:val="16"/>
        </w:rPr>
        <w:noBreakHyphen/>
        <w:t>НКТП т. Будняк и начальник ГАУ РККА т. Ефимов, зная о большинстве банкетов и вечеров, происходивших на заводе, не только не принимали мер к их предотвращению, но в целом ряде случаев сами принимали в них участие.</w:t>
      </w:r>
    </w:p>
    <w:p w14:paraId="1EE02691"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Будняк в связи с совещанием директоров заводов объединений в декабре 1932 г. в гостинице “Селект” организовал банкет, на который израсходовал государственных средств свыше 12.000 руб. (120 руб. на человека), а до этого устроил у себя на даче выпивку за счет средств завода № 8.</w:t>
      </w:r>
    </w:p>
    <w:p w14:paraId="18344273"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Будняк допустил разбазаривание значительной части имущества, ранее закупленного объединением для иноспециалистов (мебель, дорогостоящие ковры, шелковые одеяла и т. п.), путем произвольного снижения стоимости этих предметов и раздачи их в бесплатное пользование группе работников объединения.</w:t>
      </w:r>
    </w:p>
    <w:p w14:paraId="27E5EAFA"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 преступно безобразные факты, свидетельствующие о наличии элементов бытового разложения среди отдельных руководящих работников заводоуправления, парткома и Мытищинского райкома ВКП(б), в известной мере могли влиять на ослабление бдительности, необходимой в условиях заботы важнейшего военного предприятия.</w:t>
      </w:r>
    </w:p>
    <w:p w14:paraId="3A745150"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Президиум ЦКК ВКП(б) постановляет:</w:t>
      </w:r>
    </w:p>
    <w:p w14:paraId="1B603166"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Директор завода № 8 т. Мирзаханов А. И. (член ВКП(б) с 1905 г.) за антипартийное поведение, выразившееся в преступном разбазаривании государственных средств, устройство и участие в банкетах и вечерах с выпивкой на заводе заслуживает исключения из партии, но учитывая осознание, и осуждение им допущенных антипартийных поступков, ограничиться объявлением ему строгого выговора и предупредить его, что при малейшем повторении подобных поступков, он будет исключен из партии.</w:t>
      </w:r>
    </w:p>
    <w:p w14:paraId="5453C688"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Секретаря дирекции т. Виноградова В. И. (член ВКП(б) с 1926 г.), являвшегося фактическим организатором банкетов и вечеров с обильными выпивками у систематически принимавшего участие в них, за использование служебного положения в личных целях ИЗ ПАРТИИ ИСКЛЮЧИТЬ И С РАБОТЫ СНЯТЬ.</w:t>
      </w:r>
    </w:p>
    <w:p w14:paraId="2CF43D41"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Бывшему секретарю парткома завода (в данное время начальника политотдела Каширской МТС) т. Ожехинскому, за отсутствие партийной бдительности и антипартийное поведение, выразившегося в том, что он не только не принял мер к прекращению банкетов и вечеров, происходящих на заводе № 8, но и сам принимал в них участие — ОБЪЯВИТЬ СТРОГИЙ ВЫГОВОР.</w:t>
      </w:r>
    </w:p>
    <w:p w14:paraId="30DEA508"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Секретарю Мытищинского райкома ВКП(б) т. Полещук (член ВКП(б) с 1915 г.), который вместо, борьбы с безобразиями, происходящими на заводе № 8, свидетельствующими об элементах разложения среди руководящих работников завода, — сам участвовал в банкетах и вечерах, организуемых на заводе — ОБЪЯВИТЬ СТРОГИЙ ВЫГОВОР.</w:t>
      </w:r>
    </w:p>
    <w:p w14:paraId="686DE325"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Врид. секретарю парткома завода № 8 т. Матвееву А. И. (член ВКП(б) с 1928 г.), за антипартийное поведение и отсутствие классовой бдительности, выразившееся в том, что он вместо борьбы с безобразиями, происходящими на заводе, сам принимал участие в банкетах и вечерах — ОБЪЯВИТЬ СТРОГИЙ ВЫГОВОР и вывести из состава парткома.</w:t>
      </w:r>
    </w:p>
    <w:p w14:paraId="5AAFE7F8"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Культпропу парткома завода № 8 т. Прицкер (член ВКП(б) с 1919 г.), знавшей о безобразиях, происходящих на заводе и не принявшей мер к их прекращению — ОБЪЯВИТЬ ВЫГОВОР.</w:t>
      </w:r>
    </w:p>
    <w:p w14:paraId="2962F3A8"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Начальнику ВОАО</w:t>
      </w:r>
      <w:r w:rsidRPr="0044524F">
        <w:rPr>
          <w:rFonts w:ascii="Times New Roman" w:hAnsi="Times New Roman"/>
          <w:color w:val="000000" w:themeColor="text1"/>
          <w:sz w:val="16"/>
          <w:szCs w:val="16"/>
        </w:rPr>
        <w:noBreakHyphen/>
        <w:t>НКТП т. Будняк (член ВКП(б) с 1906 г.), за непринятие мер к прекращению преступно-безобразных фактов, имевших место на заводе № 8, участие в ряде банкетов и вечеров, устраиваемых директором завода, организацию банкета для совещания директоров заводов объединения, за трату государственных средств свыше 12.000 руб. и допущение разбазаривания имущества, принадлежащего объединению — ОБЪЯВИТЬ ВЫГОВОР.</w:t>
      </w:r>
    </w:p>
    <w:p w14:paraId="542A3059"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Начальнику ГАУ РККА т. Ефимову (член ВКП(б) с 1918 г.), за участие в ряде банкетов и вечеров на заводе № 8 и непринятие мер к прекращению этих безобразий — ОБЪЯВИТЬ ВЫГОВОР.</w:t>
      </w:r>
    </w:p>
    <w:p w14:paraId="718DA8A3"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Председателю Мытищинского НК</w:t>
      </w:r>
      <w:r w:rsidRPr="0044524F">
        <w:rPr>
          <w:rFonts w:ascii="Times New Roman" w:hAnsi="Times New Roman"/>
          <w:color w:val="000000" w:themeColor="text1"/>
          <w:sz w:val="16"/>
          <w:szCs w:val="16"/>
        </w:rPr>
        <w:noBreakHyphen/>
        <w:t>РКИ т. Кузнецову (член ВКП(б) с 1917 г.), проглядевшему безобразные факты, имевшие место на заводе № 8, за отсутствие бдительности — ОБЪЯВИТЬ ВЫГОВОР и ПРЕДУПРЕДИТЬ ЕГО, ЧТО ПРИ ПОВТОРЕНИИ ПОДОБНЫХ ФАКТОВ В ЕГО РАБОТЕ, К НЕМУ БУДУТ ПРИМЕНЕНЫ САМЫЕ СТРОГИЕ МЕРЫ ВЗЫСКАНИЯ.</w:t>
      </w:r>
    </w:p>
    <w:p w14:paraId="628B5B0A"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Предупредить руководителей заводов и объединений военной промышленности, что за устройство каких-либо угощений, приезжающих на заводы по служебным обязанностям работников НКТП, объединений и Военведа, а также допущения в какой либо форме незаконной оплаты труда приемщиков, они будут привлечены к самой суровой партийной ответственности.</w:t>
      </w:r>
    </w:p>
    <w:p w14:paraId="17308925"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Обязать т. Будняка:</w:t>
      </w:r>
    </w:p>
    <w:p w14:paraId="3C0A033E"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средства, израсходованные на банкеты и вечера, организованные заводом № 8 и объединением, взыскать с их участников в течение 1933</w:t>
      </w:r>
      <w:r w:rsidRPr="0044524F">
        <w:rPr>
          <w:rFonts w:ascii="Times New Roman" w:hAnsi="Times New Roman"/>
          <w:color w:val="000000" w:themeColor="text1"/>
          <w:sz w:val="16"/>
          <w:szCs w:val="16"/>
        </w:rPr>
        <w:noBreakHyphen/>
        <w:t>34 г.г.;</w:t>
      </w:r>
    </w:p>
    <w:p w14:paraId="672B4134"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 месячный срок взыскать всю задолженность с работников объединения за использование имущества, принадлежащего объединению (мебель, ковры и пр.) по действительной стоимости.</w:t>
      </w:r>
    </w:p>
    <w:p w14:paraId="01716660"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Предложить директору завода № 8 т. Мирзаханову:</w:t>
      </w:r>
    </w:p>
    <w:p w14:paraId="7671155D"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 месячный срок взыскать задолженность со всех работников заводоуправления как по столовой, так и за отпущенную мебель;</w:t>
      </w:r>
    </w:p>
    <w:p w14:paraId="6B4D7C3B"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немедленно установить оплату работникам столовой №1 в полном соответствии с колдоговором, отменив все виды натуральной оплаты (бесплатное питание, комнаты).</w:t>
      </w:r>
    </w:p>
    <w:p w14:paraId="16A3DAF2" w14:textId="77777777" w:rsidR="00DD4F9F" w:rsidRPr="0044524F" w:rsidRDefault="00DD4F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Принять к сведению, что директором завода № 8 т. Мирзахановым столовая № 1, обслуживающая руководящих работников завода, передана в распоряжение ОРС'а (18062).</w:t>
      </w:r>
    </w:p>
    <w:p w14:paraId="271344F7" w14:textId="77777777" w:rsidR="00DD4F9F" w:rsidRPr="0044524F" w:rsidRDefault="00DD4F9F" w:rsidP="009654CF">
      <w:pPr>
        <w:spacing w:after="0" w:line="240" w:lineRule="auto"/>
        <w:jc w:val="both"/>
        <w:rPr>
          <w:rFonts w:ascii="Times New Roman" w:hAnsi="Times New Roman"/>
          <w:color w:val="000000" w:themeColor="text1"/>
          <w:sz w:val="16"/>
          <w:szCs w:val="16"/>
        </w:rPr>
      </w:pPr>
    </w:p>
    <w:p w14:paraId="29498369" w14:textId="77777777" w:rsidR="00DE2EF9" w:rsidRPr="0044524F" w:rsidRDefault="00DE2EF9"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15 июня 1933 г. Протокол ПБ № 139 п.9: О заводе № 8 (проект постановления ЦKK) (Антипов, Павлуновский, Тухачевский, Будняк, Мирзаханов; ПБ 1-6-1933, протокол № 138, п.11). Решено утвердить с поправками постановление Президиума ЦКК о заводе № 8 (см. приложение). Президиум ЦКК ВКП(б) констатировал, что на заводе № 8 систематически устраивались банкеты и вечера с обильной выпивкой. Секретарь Мытищинского райкома ВКП(б) Полещук, бывший секретарь парткома завода Ожехинский и члены парткома Матвеев и Прицкер, вместо борьбы с безобразнейшими фактами, свидетельствующими об элементах разложения среди руководства завода, принимали участие в банкетах и вечерах, устраиваемых директором завода, и сами организовывали выпивки за cчет заводоуправления. Эти преступно безобразные факты, свидетельствующие о наличии элементов бытового разложения среди отдельных руководящих работников заводоуправления, парткома и Мытищинского райкома ВКП(б), в известной мере могли влиять на ослабление бдительности, необходимой в условиях работы важнейшего военного предприятия. Президиум ЦКК ВКП(б) постановил: за использование служебного положения в личных целях из партии исключить и снять с работы секретаря дирекции Виноградова В.Я. – фактического организатора банкетов и вечеров. Объявлены строгие выговоры директору завода, бывшему секретарю парткома завода, секретарю Мытищинского райкома ВКП(б), врио секретаря парткома завода. Ряду других работников объявлены выговоры. Средства, израсходованные на банкеты и вечера, организованные заводом № 8 и объединением, предложено взыскать с их участников в течение 1933-34 гг.; в месячный срок взыскать всю задолженность с работников объединения за использование имущества, принадлежащего объединению (мебель, ковры и пр.), по действительной стоимости. Директору завода № 8 Мирзаханову предложено в месячный срок взыскать задолженность со всех работников заводоуправления как по столовой, так и за отпущенную мебель; немедленно установить оплату работникам столовой в соответствии с колдоговором, отменив все виды натуральной оплаты. Президиум ЦКК предупредил руководителей заводов и объединений военной промышленности, что за устройство каких-либо угощений приезжающих на заводы по служебным обязанностям работников НКТП, объединений и Военведа, а также допущения в какой либо форме незаконной оплаты труда приемщиков, они будут привлечены к самой суровой партийной ответственности (15878).</w:t>
      </w:r>
    </w:p>
    <w:p w14:paraId="04431828" w14:textId="77777777" w:rsidR="00DE2EF9" w:rsidRPr="0044524F" w:rsidRDefault="00DE2EF9" w:rsidP="009654CF">
      <w:pPr>
        <w:spacing w:after="0" w:line="240" w:lineRule="auto"/>
        <w:jc w:val="both"/>
        <w:rPr>
          <w:rFonts w:ascii="Times New Roman" w:hAnsi="Times New Roman"/>
          <w:iCs/>
          <w:color w:val="000000" w:themeColor="text1"/>
          <w:sz w:val="16"/>
          <w:szCs w:val="16"/>
        </w:rPr>
      </w:pPr>
    </w:p>
    <w:p w14:paraId="1D02752C" w14:textId="77777777" w:rsidR="00DE2EF9" w:rsidRPr="0044524F" w:rsidRDefault="00DE2EF9"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 xml:space="preserve">15 июня 1933 г. Протокол ПБ № 139 п.113/96: Вопросы Комиссии обороны - ОП. Решено утвердить следующие постановления СТО: 1) Об отпуске 500 тыс. руб. за счет импортных контингентов НКТП на оборудование и техснабжение и о немедленной закупке цветных металлов для строительства 30 подлодок. 2) Об отпуске 26 млн. руб. из резервного фонда СНК СССР по мероприятиям первой очереди для НКПС и 5 млн. руб. из резервного фонда СНК СССР для Цудортранса. 3) О разрешении НКВМору закупки за счет его импортных контингентов в Америке запчастей к моторам «Лиоарти» на 75 тыс. руб. и НКТяжпрому на приборы зажигания "Делько" и запчасти 223 248 руб. за счет его импортных контингентов. 4) Об отпуске 50 тыс. руб. на недостающие импортные части оборудования для окончания строительства </w:t>
      </w:r>
      <w:r w:rsidRPr="0044524F">
        <w:rPr>
          <w:rFonts w:ascii="Times New Roman" w:hAnsi="Times New Roman"/>
          <w:color w:val="000000" w:themeColor="text1"/>
          <w:sz w:val="16"/>
          <w:szCs w:val="16"/>
        </w:rPr>
        <w:lastRenderedPageBreak/>
        <w:t>Горьковского завода Нефтегаз № 2 (за счет импортных контингентов НКТПрома). 5) Об отпуске 23,6 млн. руб. на окончание реконструкции завода Дальсельмаш, дополнительное строительство бензинохранилищ, строительство Новоспасского цементного завода и реконструкцию Иркутского завода им.Куйбышева (15879).</w:t>
      </w:r>
    </w:p>
    <w:p w14:paraId="0255ED22" w14:textId="77777777" w:rsidR="00DE2EF9" w:rsidRPr="0044524F" w:rsidRDefault="00DE2EF9" w:rsidP="009654CF">
      <w:pPr>
        <w:spacing w:after="0" w:line="240" w:lineRule="auto"/>
        <w:jc w:val="both"/>
        <w:rPr>
          <w:rFonts w:ascii="Times New Roman" w:hAnsi="Times New Roman"/>
          <w:iCs/>
          <w:color w:val="000000" w:themeColor="text1"/>
          <w:sz w:val="16"/>
          <w:szCs w:val="16"/>
        </w:rPr>
      </w:pPr>
    </w:p>
    <w:p w14:paraId="3576E427" w14:textId="77777777" w:rsidR="0044195E" w:rsidRPr="0044524F" w:rsidRDefault="00441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15 июня 1933 г. другой зампред ОГПУ, Г.Е. Прокофьев, вместе со своим товарищем по Киевскому университету, начальником Экономического управления (ЭКУ) того же ведомства Л.Г. Мироновым, сообщили Сталину о раскрытии в химпроме другой "контрреволюционной вредительской и диверсионной организации". По состоянию на 1 июня в Москве, Кинешме и в Рубежном (УССР) было арестовано "25 работников химической промышленности, из них: инженеров - 14, техников - 1, других специалистов - 3 и мастеров из бывших кулаков - 7"</w:t>
      </w:r>
      <w:r w:rsidRPr="0044524F">
        <w:rPr>
          <w:rFonts w:ascii="Times New Roman" w:hAnsi="Times New Roman"/>
          <w:color w:val="000000" w:themeColor="text1"/>
          <w:sz w:val="16"/>
          <w:szCs w:val="16"/>
          <w:shd w:val="clear" w:color="auto" w:fill="FFFFFF"/>
          <w:vertAlign w:val="superscript"/>
        </w:rPr>
        <w:t>11</w:t>
      </w:r>
      <w:r w:rsidRPr="0044524F">
        <w:rPr>
          <w:rFonts w:ascii="Times New Roman" w:hAnsi="Times New Roman"/>
          <w:color w:val="000000" w:themeColor="text1"/>
          <w:sz w:val="16"/>
          <w:szCs w:val="16"/>
          <w:shd w:val="clear" w:color="auto" w:fill="FFFFFF"/>
        </w:rPr>
        <w:t>. Любопытно, что бывший анархо-коммунист Прокофьев и бывший бундовец Миронов не стали делать этих вредителей "фашистами", несмотря на то что действовали они якобы "по заданиям" германского химического концерна "ИГ Фарбениндустри".</w:t>
      </w:r>
    </w:p>
    <w:p w14:paraId="2D1B8BDB" w14:textId="77777777" w:rsidR="0044195E" w:rsidRPr="0044524F" w:rsidRDefault="0044195E" w:rsidP="009654CF">
      <w:pPr>
        <w:pStyle w:val="ae"/>
        <w:spacing w:before="0" w:after="0"/>
        <w:jc w:val="both"/>
        <w:rPr>
          <w:color w:val="000000" w:themeColor="text1"/>
          <w:sz w:val="16"/>
          <w:szCs w:val="16"/>
        </w:rPr>
      </w:pPr>
      <w:r w:rsidRPr="0044524F">
        <w:rPr>
          <w:color w:val="000000" w:themeColor="text1"/>
          <w:sz w:val="16"/>
          <w:szCs w:val="16"/>
        </w:rPr>
        <w:t>Организацию обнаружили по вполне конкретному поводу - 17 ноября 1932 г. на заводе им. Ворошилова в НИОПИК (Научно-исследовательский институт полупродуктов и красителей) произошел взрыв опытной установки резиновых ускорителей, в результате которого погибли 4 и тяжело ранены 3 человека. Из расследования ЭКУ ОГПУ получился изобилующий крутыми поворотами сюжета детектив на производственную тему с элементами откровенно ненаучной фантастики. Ответ на главный вопрос, почему стал возможен взрыв на важном для обороны страны химическом предприятии, прятал концы в воду: инцидент объявили диверсией, произведенной "по прямому заданию представителя фирмы "И.Г." - Мирбаха (ныне выехал в Берлин)"</w:t>
      </w:r>
      <w:r w:rsidRPr="0044524F">
        <w:rPr>
          <w:color w:val="000000" w:themeColor="text1"/>
          <w:sz w:val="16"/>
          <w:szCs w:val="16"/>
          <w:vertAlign w:val="superscript"/>
        </w:rPr>
        <w:t>12</w:t>
      </w:r>
      <w:r w:rsidRPr="0044524F">
        <w:rPr>
          <w:color w:val="000000" w:themeColor="text1"/>
          <w:sz w:val="16"/>
          <w:szCs w:val="16"/>
        </w:rPr>
        <w:t>. Получалось, что главный диверсант со знакомой после покушения левых эсеров на германского посла (6 июля 1918 г.) фамилией скрылся, а его пособников чекисты почему-то выявлять не поспешили, сосредоточившись на куда более мелком вредительстве на трех химкомбинатах и попутно, похоже, зацепивших экономический шпионаж немцев, но без цели диверсии.</w:t>
      </w:r>
    </w:p>
    <w:p w14:paraId="14D11951" w14:textId="77777777" w:rsidR="0044195E" w:rsidRPr="0044524F" w:rsidRDefault="0044195E" w:rsidP="009654CF">
      <w:pPr>
        <w:pStyle w:val="ae"/>
        <w:spacing w:before="0" w:after="0"/>
        <w:jc w:val="both"/>
        <w:rPr>
          <w:color w:val="000000" w:themeColor="text1"/>
          <w:sz w:val="16"/>
          <w:szCs w:val="16"/>
        </w:rPr>
      </w:pPr>
      <w:r w:rsidRPr="0044524F">
        <w:rPr>
          <w:color w:val="000000" w:themeColor="text1"/>
          <w:sz w:val="16"/>
          <w:szCs w:val="16"/>
        </w:rPr>
        <w:t>Из многостраничных приложений к записке взору Сталина открывалась довольно сумбурная картина: показания Ивана Ивановича Лосева, бывшего заведующего планово-техническим отделом НИОПИК, отразили движение, скорее всего, реальных денег в сумме 12 и 9,5 тысячи рублей, полученных из германского посольства за сведения о советском химпроме, в особенности о заводе в Кинешме</w:t>
      </w:r>
      <w:r w:rsidRPr="0044524F">
        <w:rPr>
          <w:color w:val="000000" w:themeColor="text1"/>
          <w:sz w:val="16"/>
          <w:szCs w:val="16"/>
          <w:vertAlign w:val="superscript"/>
        </w:rPr>
        <w:t>13</w:t>
      </w:r>
      <w:r w:rsidRPr="0044524F">
        <w:rPr>
          <w:color w:val="000000" w:themeColor="text1"/>
          <w:sz w:val="16"/>
          <w:szCs w:val="16"/>
        </w:rPr>
        <w:t>. Но при этом Лосев раскаивался и в том, что диверсии и вредительство финансировались немцами, причем почему-то постфактум и без проверки сообщенных данных.</w:t>
      </w:r>
    </w:p>
    <w:p w14:paraId="34C4FA37" w14:textId="77777777" w:rsidR="0044195E" w:rsidRPr="0044524F" w:rsidRDefault="00441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Масштаб же проплаченных злодеяний был явно мелок - утомительные даже для любознательного вождя описания аварий химического оборудования с терминами типа альфанафтиламин и эпизоды откровенного ротозейства, к примеру, на Кинешемском химзаводе: "Проведенная электриком Соловьевым по заданию главного механика затяжка с переменой мотора в нитровальном цеху приводила к недостаточно интенсивной работе вентиляционной системы цеха, что увеличивало случаи отравления в цеху, особенно в жаркое время"</w:t>
      </w:r>
      <w:r w:rsidRPr="0044524F">
        <w:rPr>
          <w:rFonts w:ascii="Times New Roman" w:hAnsi="Times New Roman"/>
          <w:color w:val="000000" w:themeColor="text1"/>
          <w:sz w:val="16"/>
          <w:szCs w:val="16"/>
          <w:shd w:val="clear" w:color="auto" w:fill="FFFFFF"/>
          <w:vertAlign w:val="superscript"/>
        </w:rPr>
        <w:t>14</w:t>
      </w:r>
      <w:r w:rsidRPr="0044524F">
        <w:rPr>
          <w:rFonts w:ascii="Times New Roman" w:hAnsi="Times New Roman"/>
          <w:color w:val="000000" w:themeColor="text1"/>
          <w:sz w:val="16"/>
          <w:szCs w:val="16"/>
          <w:shd w:val="clear" w:color="auto" w:fill="FFFFFF"/>
        </w:rPr>
        <w:t>. А на Дорогомиловском химкомбинате им. Фрунзе в корпусе N 11 3 февраля 1933 г. в аппарате системы Фредеркинг была обнаружена гайка в коробке шестерни, "что привело к повреждению подшипника и остановке аппарата на ремонт". Сталина убеждали в том, что случившееся "могло быть следствием умышленного подкидывания ее (гайки. - Авт.) с целью порчи и выведения из строя важнейшего аппарата корпуса" (18727).</w:t>
      </w:r>
    </w:p>
    <w:p w14:paraId="03BFD5E4" w14:textId="77777777" w:rsidR="0044195E" w:rsidRPr="0044524F" w:rsidRDefault="0044195E" w:rsidP="009654CF">
      <w:pPr>
        <w:spacing w:after="0" w:line="240" w:lineRule="auto"/>
        <w:jc w:val="both"/>
        <w:rPr>
          <w:rFonts w:ascii="Times New Roman" w:hAnsi="Times New Roman"/>
          <w:color w:val="000000" w:themeColor="text1"/>
          <w:sz w:val="16"/>
          <w:szCs w:val="16"/>
        </w:rPr>
      </w:pPr>
    </w:p>
    <w:p w14:paraId="717D515C" w14:textId="77777777" w:rsidR="0044195E" w:rsidRPr="0044524F" w:rsidRDefault="00441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 1933 г. зампред ОГПУ, Г.Е. Прокофьев, вместе со своим товарищем по Киевскому университету, начальником Экономического управления (ЭКУ) того же ведомства Л.Г. Мироновым, сообщили Сталину о раскрытии в химпроме другой "контрреволюционной вредительской и диверсионной организации". По состоянию на 1 июня в Москве, Кинешме и в Рубежном (УССР) было арестовано "25 работников химической промышленности, из них: инженеров - 14, техников - 1, других специалистов - 3 и мастеров из бывших кулаков - 7". Любопытно, что бывший анархо-коммунист Прокофьев и бывший бундовец Миронов не стали делать этих вредителей "фашистами", несмотря на то что действовали они якобы "по заданиям" германского химического концерна "ИГ Фарбениндустри".</w:t>
      </w:r>
    </w:p>
    <w:p w14:paraId="6FA725D6" w14:textId="77777777" w:rsidR="0044195E" w:rsidRPr="0044524F" w:rsidRDefault="00441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Организацию обнаружили по вполне конкретному поводу - 17 ноября 1932 г. на заводе им. Ворошилова в НИОПИК (Научно-исследовательский институт полупродуктов и красителей) произошел взрыв опытной установки резиновых ускорителей, в результате которого погибли 4 и тяжело ранены 3 человека. Из расследования ЭКУ ОГПУ получился изобилующий крутыми поворотами сюжета детектив на производственную тему с элементами откровенно ненаучной фантастики. Ответ на главный вопрос, почему стал возможен взрыв на важном для обороны страны химическом предприятии, прятал концы в воду: инцидент объявили диверсией, произведенной "по прямому заданию представителя фирмы "И.Г." - Мирбаха (ныне выехал в Берлин)". Получалось, что главный диверсант со знакомой после покушения левых эсеров на германского посла (6 июля 1918 г.) фамилией скрылся, а его пособников чекисты почему-то выявлять не поспешили, сосредоточившись на куда более мелком вредительстве на трех химкомбинатах и попутно, похоже, зацепивших экономический шпионаж немцев, но без цели диверсии.</w:t>
      </w:r>
    </w:p>
    <w:p w14:paraId="7A6386D6" w14:textId="77777777" w:rsidR="0044195E" w:rsidRPr="0044524F" w:rsidRDefault="00441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многостраничных приложений к записке взору Сталина открывалась довольно сумбурная картина: показания Ивана Ивановича Лосева, бывшего заведующего планово-техническим отделом НИОПИК, отразили движение, скорее всего, реальных денег в сумме 12 и 9,5 тысячи рублей, полученных из германского посольства за сведения о советском химпроме, в особенности о заводе в Кинешме. Но при этом Лосев раскаивался и в том, что диверсии и вредительство финансировались немцами, причем почему-то постфактум и без проверки сообщенных данных.</w:t>
      </w:r>
    </w:p>
    <w:p w14:paraId="5738C8EF" w14:textId="77777777" w:rsidR="0044195E" w:rsidRPr="0044524F" w:rsidRDefault="00441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Масштаб же проплаченных злодеяний был явно мелок - утомительные даже для любознательного вождя описания аварий химического оборудования с терминами типа альфанафтиламин и эпизоды откровенного ротозейства, к примеру, на Кинешемском химзаводе: "Проведенная электриком Соловьевым по заданию главного механика затяжка с переменой мотора в нитровальном цеху приводила к недостаточно интенсивной работе вентиляционной системы цеха, что увеличивало случаи отравления в цеху, особенно в жаркое время". А на Дорогомиловском химкомбинате им. Фрунзе в корпусе N 11 3 февраля 1933 г. в аппарате системы Фредеркинг была обнаружена гайка в коробке шестерни, "что привело к повреждению подшипника и остановке аппарата на ремонт". Сталина убеждали в том, что случившееся "могло быть следствием умышленного подкидывания ее (гайки. - Авт.) с целью порчи и выведения из строя важнейшего аппарата корпуса".</w:t>
      </w:r>
    </w:p>
    <w:p w14:paraId="38816924" w14:textId="77777777" w:rsidR="0044195E" w:rsidRPr="0044524F" w:rsidRDefault="00441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Большого процесса не стали устраивать и после записки Прокофьева и Миронова - иначе пришлось бы публично доказывать, что немцы, которые сами же и поставляли химическое оборудование, устраивали на нем же диверсии вплоть до подбрасывания гаек и "обреза болтов при действии мешалки" (19523).</w:t>
      </w:r>
    </w:p>
    <w:p w14:paraId="57AB6EA1" w14:textId="77777777" w:rsidR="0044195E" w:rsidRPr="0044524F" w:rsidRDefault="0044195E" w:rsidP="009654CF">
      <w:pPr>
        <w:spacing w:after="0" w:line="240" w:lineRule="auto"/>
        <w:jc w:val="both"/>
        <w:rPr>
          <w:rFonts w:ascii="Times New Roman" w:hAnsi="Times New Roman"/>
          <w:color w:val="000000" w:themeColor="text1"/>
          <w:sz w:val="16"/>
          <w:szCs w:val="16"/>
        </w:rPr>
      </w:pPr>
    </w:p>
    <w:p w14:paraId="798A2048" w14:textId="77777777" w:rsidR="003C1335" w:rsidRPr="0044524F" w:rsidRDefault="003C13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 1933 состоялось заседание ПБ и был оформлен протокол № 139</w:t>
      </w:r>
    </w:p>
    <w:p w14:paraId="43055DFF" w14:textId="77777777" w:rsidR="003C1335" w:rsidRPr="0044524F" w:rsidRDefault="003C13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июня 1933 опросом членов ПБ</w:t>
      </w:r>
    </w:p>
    <w:p w14:paraId="3FF3D295" w14:textId="77777777" w:rsidR="003C1335" w:rsidRPr="0044524F" w:rsidRDefault="003C13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113/96.- Вопросы К.О.</w:t>
      </w:r>
    </w:p>
    <w:p w14:paraId="07E27AE5" w14:textId="77777777" w:rsidR="003C1335" w:rsidRPr="0044524F" w:rsidRDefault="003C13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следующие постановления СТО:</w:t>
      </w:r>
    </w:p>
    <w:p w14:paraId="169151BA" w14:textId="77777777" w:rsidR="003C1335" w:rsidRPr="0044524F" w:rsidRDefault="003C13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 отпуске 500 тыс.р.за счет импортных кон</w:t>
      </w:r>
      <w:r w:rsidRPr="0044524F">
        <w:rPr>
          <w:rFonts w:ascii="Times New Roman" w:hAnsi="Times New Roman"/>
          <w:color w:val="000000" w:themeColor="text1"/>
          <w:sz w:val="16"/>
          <w:szCs w:val="16"/>
        </w:rPr>
        <w:softHyphen/>
        <w:t>тингентов НКТП на оборудование и техснабжение и о немедленной закупке цветных металлов для строитель</w:t>
      </w:r>
      <w:r w:rsidRPr="0044524F">
        <w:rPr>
          <w:rFonts w:ascii="Times New Roman" w:hAnsi="Times New Roman"/>
          <w:color w:val="000000" w:themeColor="text1"/>
          <w:sz w:val="16"/>
          <w:szCs w:val="16"/>
        </w:rPr>
        <w:softHyphen/>
        <w:t>ства 30 подлодок.</w:t>
      </w:r>
    </w:p>
    <w:p w14:paraId="5FF8F854" w14:textId="77777777" w:rsidR="003C1335" w:rsidRPr="0044524F" w:rsidRDefault="003C13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 отпуске 26 млн.р.из резервного фонда СНК ССОР по мероприятиям первой очереди для НКПС и 5 млн.р. из резервного фонда СНК СССР для Цудор- транса.</w:t>
      </w:r>
    </w:p>
    <w:p w14:paraId="6D5B8B59" w14:textId="77777777" w:rsidR="003C1335" w:rsidRPr="0044524F" w:rsidRDefault="003C13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разрешении НКВМору закупки за счет его импортных контингентов в Америке запчастей к мото</w:t>
      </w:r>
      <w:r w:rsidRPr="0044524F">
        <w:rPr>
          <w:rFonts w:ascii="Times New Roman" w:hAnsi="Times New Roman"/>
          <w:color w:val="000000" w:themeColor="text1"/>
          <w:sz w:val="16"/>
          <w:szCs w:val="16"/>
        </w:rPr>
        <w:softHyphen/>
        <w:t>рам "Либерти" на 75 т.р. и НКТяжпрому на приборы зажигания "Делько" и запчасти 223.248 р. за счёт его импортных контингентов.</w:t>
      </w:r>
    </w:p>
    <w:p w14:paraId="6BFDD78E" w14:textId="77777777" w:rsidR="003C1335" w:rsidRPr="0044524F" w:rsidRDefault="003C13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 отпуске 50 тыс.р. на недостающие импорт</w:t>
      </w:r>
      <w:r w:rsidRPr="0044524F">
        <w:rPr>
          <w:rFonts w:ascii="Times New Roman" w:hAnsi="Times New Roman"/>
          <w:color w:val="000000" w:themeColor="text1"/>
          <w:sz w:val="16"/>
          <w:szCs w:val="16"/>
        </w:rPr>
        <w:softHyphen/>
        <w:t>ные части оборудования для окончания строительства Горьковского завода Нефтегаз Jr 2(за счет импортных контингентов НКТПрома).</w:t>
      </w:r>
    </w:p>
    <w:p w14:paraId="0443571A" w14:textId="77777777" w:rsidR="003C1335" w:rsidRPr="0044524F" w:rsidRDefault="003C13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 отпуске 23,6 млн.р. на окончание рекон</w:t>
      </w:r>
      <w:r w:rsidRPr="0044524F">
        <w:rPr>
          <w:rFonts w:ascii="Times New Roman" w:hAnsi="Times New Roman"/>
          <w:color w:val="000000" w:themeColor="text1"/>
          <w:sz w:val="16"/>
          <w:szCs w:val="16"/>
        </w:rPr>
        <w:softHyphen/>
        <w:t>струкции з-да б. Дальсельмаш, дополнительное строи</w:t>
      </w:r>
      <w:r w:rsidRPr="0044524F">
        <w:rPr>
          <w:rFonts w:ascii="Times New Roman" w:hAnsi="Times New Roman"/>
          <w:color w:val="000000" w:themeColor="text1"/>
          <w:sz w:val="16"/>
          <w:szCs w:val="16"/>
        </w:rPr>
        <w:softHyphen/>
        <w:t>тельство бензинохранилищ, строительство Новоспасско</w:t>
      </w:r>
      <w:r w:rsidRPr="0044524F">
        <w:rPr>
          <w:rFonts w:ascii="Times New Roman" w:hAnsi="Times New Roman"/>
          <w:color w:val="000000" w:themeColor="text1"/>
          <w:sz w:val="16"/>
          <w:szCs w:val="16"/>
        </w:rPr>
        <w:softHyphen/>
        <w:t>го цементного з-да и реконструкцию Иркутского заво</w:t>
      </w:r>
      <w:r w:rsidRPr="0044524F">
        <w:rPr>
          <w:rFonts w:ascii="Times New Roman" w:hAnsi="Times New Roman"/>
          <w:color w:val="000000" w:themeColor="text1"/>
          <w:sz w:val="16"/>
          <w:szCs w:val="16"/>
        </w:rPr>
        <w:softHyphen/>
        <w:t>да им. Куйбышева.</w:t>
      </w:r>
    </w:p>
    <w:p w14:paraId="2671454E" w14:textId="77777777" w:rsidR="003C1335" w:rsidRPr="0044524F" w:rsidRDefault="003C13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 т.Базилевичу, Розенгольцу, Вороши</w:t>
      </w:r>
      <w:r w:rsidRPr="0044524F">
        <w:rPr>
          <w:rFonts w:ascii="Times New Roman" w:hAnsi="Times New Roman"/>
          <w:color w:val="000000" w:themeColor="text1"/>
          <w:sz w:val="16"/>
          <w:szCs w:val="16"/>
        </w:rPr>
        <w:softHyphen/>
        <w:t>лову (22989).</w:t>
      </w:r>
    </w:p>
    <w:p w14:paraId="627C9867" w14:textId="77777777" w:rsidR="003C1335" w:rsidRPr="0044524F" w:rsidRDefault="003C1335" w:rsidP="009654CF">
      <w:pPr>
        <w:spacing w:after="0" w:line="240" w:lineRule="auto"/>
        <w:jc w:val="both"/>
        <w:rPr>
          <w:rFonts w:ascii="Times New Roman" w:hAnsi="Times New Roman"/>
          <w:color w:val="000000" w:themeColor="text1"/>
          <w:sz w:val="16"/>
          <w:szCs w:val="16"/>
        </w:rPr>
      </w:pPr>
    </w:p>
    <w:p w14:paraId="66C00D8C"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0D4A5BF"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28E79430"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 1933 вышло Постановление ЦК ВКП(б) "О работе политотделов МТС, о колхозной ячейке и о взаимоотношениях политотделов и райкомов" (10687).</w:t>
      </w:r>
    </w:p>
    <w:p w14:paraId="572CBC65" w14:textId="77777777" w:rsidR="00AE51CE" w:rsidRPr="0044524F" w:rsidRDefault="00AE51CE" w:rsidP="009654CF">
      <w:pPr>
        <w:autoSpaceDE w:val="0"/>
        <w:autoSpaceDN w:val="0"/>
        <w:adjustRightInd w:val="0"/>
        <w:spacing w:after="0" w:line="240" w:lineRule="auto"/>
        <w:jc w:val="both"/>
        <w:rPr>
          <w:rFonts w:ascii="Times New Roman" w:hAnsi="Times New Roman"/>
          <w:color w:val="000000" w:themeColor="text1"/>
          <w:sz w:val="16"/>
          <w:szCs w:val="16"/>
        </w:rPr>
      </w:pPr>
    </w:p>
    <w:p w14:paraId="6A44490D" w14:textId="77777777" w:rsidR="00AE51C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8B37A2C" w14:textId="77777777" w:rsidR="00AE51CE" w:rsidRPr="0044524F" w:rsidRDefault="00AE51C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62CCE3"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 1933 Англия выплатила последнюю символическую сумму в счет погашения долгов перед США времен первой мировой войны (4962).</w:t>
      </w:r>
    </w:p>
    <w:p w14:paraId="015B17AE" w14:textId="77777777" w:rsidR="00AE51CE" w:rsidRPr="0044524F" w:rsidRDefault="00AE51CE"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A82164"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315AF21"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61EC5400" w14:textId="77777777" w:rsidR="00D50409" w:rsidRPr="0044524F" w:rsidRDefault="00D50409"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года в НИИ ВВС было закончено гос. испытание Р-5 с разрезным крылом (второй экземпляр). В результате гос. испытания – разрезные крылья на самолете Р-5 были признаны ВВС удовлетворительными и были намечены для постройки в эксплуатационной серии самолеты Р-5 в количестве 10 комплектов. В дальнейшем ВВС и ГУАП от этого заказа отказались, имея в виду 3-й вариант как наиболее рациональный (4235).</w:t>
      </w:r>
    </w:p>
    <w:p w14:paraId="425F5F60" w14:textId="77777777" w:rsidR="00D50409" w:rsidRPr="0044524F" w:rsidRDefault="00D50409" w:rsidP="009654CF">
      <w:pPr>
        <w:tabs>
          <w:tab w:val="left" w:pos="360"/>
        </w:tabs>
        <w:spacing w:after="0" w:line="240" w:lineRule="auto"/>
        <w:jc w:val="both"/>
        <w:rPr>
          <w:rFonts w:ascii="Times New Roman" w:hAnsi="Times New Roman"/>
          <w:color w:val="000000" w:themeColor="text1"/>
          <w:sz w:val="16"/>
          <w:szCs w:val="16"/>
        </w:rPr>
      </w:pPr>
    </w:p>
    <w:p w14:paraId="5FDAC01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на ХАИ-1 сложились стойки шасси (562,46).</w:t>
      </w:r>
    </w:p>
    <w:p w14:paraId="66080081"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2ADBE48D"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16 июня 1933 из-за отказа замков фиксации стоек шасси прототип ХАИ-1 потерпел аварию - при разбеге стойки сложились. Также выявилась недостаточная прочность ряда элементов конструкции. Потребовали длительные доработки. Кроме устранения этих недостатков они заключались в увеличении руля направления, улучшения звукоизоляции салона, также появился туалет, увеличено багажное отделение. Государственные испытания доработанного самолёта проводились в ноябре 1934, в НИИ ГУ ГВФ (пилот С.И. Таборовский). (24249).</w:t>
      </w:r>
    </w:p>
    <w:p w14:paraId="50DBBCEE"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5C08400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дата присвоения опознавательного знака с литерой "Н" - СССР-Н19 - У-2, зав. № 4120, мотор - М-11. Первоначальный владелец воздушного судна - УВС ГУСМП. В марте 1933 г. на ледоколе "Красин", в конце августа того же года СССР-Н19 находился в Москве в качестве резервного и тренировочного самолета. СССР-Н19 был исключен из списков самолетного парка ГУСМП за прекращением эксплуатации в 193? Году (11955).</w:t>
      </w:r>
    </w:p>
    <w:p w14:paraId="438C8330"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0091A8F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состоялось заседание техсовета ЦАГИ по вопросу об облегчении веса конструкций самолетов (1077,135).</w:t>
      </w:r>
    </w:p>
    <w:p w14:paraId="6F0B23F4"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196F31E5"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9D9CC92"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1389E79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Врио. Нач. УММ Бокис докладывал НКВМД К.Е.В. о том, что при закупке Кристи М.1932 предусматривалась: “... не установка его на производство, а изучение новых достижений конструкции КПП. Ведущих колес, подвески, гусениц, крепления ленивцев, главного фрикциона.” (3879,37).</w:t>
      </w:r>
    </w:p>
    <w:p w14:paraId="2C864A92"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1892C71E" w14:textId="77777777" w:rsidR="00E6695E" w:rsidRPr="0044524F" w:rsidRDefault="00E66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вышло постановление Совета на</w:t>
      </w:r>
      <w:r w:rsidRPr="0044524F">
        <w:rPr>
          <w:rFonts w:ascii="Times New Roman" w:hAnsi="Times New Roman"/>
          <w:color w:val="000000" w:themeColor="text1"/>
          <w:sz w:val="16"/>
          <w:szCs w:val="16"/>
        </w:rPr>
        <w:softHyphen/>
        <w:t>родных комиссаров СССР об организации автопро</w:t>
      </w:r>
      <w:r w:rsidRPr="0044524F">
        <w:rPr>
          <w:rFonts w:ascii="Times New Roman" w:hAnsi="Times New Roman"/>
          <w:color w:val="000000" w:themeColor="text1"/>
          <w:sz w:val="16"/>
          <w:szCs w:val="16"/>
        </w:rPr>
        <w:softHyphen/>
        <w:t>бега Москва - Каракумы.</w:t>
      </w:r>
    </w:p>
    <w:p w14:paraId="51ED94AD" w14:textId="77777777" w:rsidR="00E6695E" w:rsidRPr="0044524F" w:rsidRDefault="00E66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Автопробег стартовал 6 июля в Москве. В путь отправилось 23 автомобиля: 6 легковых ГАЗ-А, 5 гру</w:t>
      </w:r>
      <w:r w:rsidRPr="0044524F">
        <w:rPr>
          <w:rFonts w:ascii="Times New Roman" w:hAnsi="Times New Roman"/>
          <w:color w:val="000000" w:themeColor="text1"/>
          <w:sz w:val="16"/>
          <w:szCs w:val="16"/>
        </w:rPr>
        <w:softHyphen/>
        <w:t>зовых ГАЗ-АА, 5 трехосных Фордов, 6 грузовиков АМО. Из пяти две трехоски имели доработку, прове</w:t>
      </w:r>
      <w:r w:rsidRPr="0044524F">
        <w:rPr>
          <w:rFonts w:ascii="Times New Roman" w:hAnsi="Times New Roman"/>
          <w:color w:val="000000" w:themeColor="text1"/>
          <w:sz w:val="16"/>
          <w:szCs w:val="16"/>
        </w:rPr>
        <w:softHyphen/>
        <w:t>денную на ГАЗ, а под номером 23 шел эксперимен</w:t>
      </w:r>
      <w:r w:rsidRPr="0044524F">
        <w:rPr>
          <w:rFonts w:ascii="Times New Roman" w:hAnsi="Times New Roman"/>
          <w:color w:val="000000" w:themeColor="text1"/>
          <w:sz w:val="16"/>
          <w:szCs w:val="16"/>
        </w:rPr>
        <w:softHyphen/>
        <w:t>тальный трехосный автомобиль ГАЗ-НАТИ-ЗО. Два АМО были после капитального ремонта. Колонна направилась по маршруту Москва - Горький - Ка</w:t>
      </w:r>
      <w:r w:rsidRPr="0044524F">
        <w:rPr>
          <w:rFonts w:ascii="Times New Roman" w:hAnsi="Times New Roman"/>
          <w:color w:val="000000" w:themeColor="text1"/>
          <w:sz w:val="16"/>
          <w:szCs w:val="16"/>
        </w:rPr>
        <w:softHyphen/>
        <w:t>зань - Самара - Оренбург - Бухара - Чарджуй - Ургенч - Красноводск - Баку - Тифлис - Ростов-на- Дону - Харьков - Воронеж - Тула - Москва. Весь путь составил 9375 км.</w:t>
      </w:r>
    </w:p>
    <w:p w14:paraId="226D9554" w14:textId="77777777" w:rsidR="00E6695E" w:rsidRPr="0044524F" w:rsidRDefault="00E66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Автопробег продолжался 86 суток - 2062 часа, из которых время в движении составляло 432 часа. Кро</w:t>
      </w:r>
      <w:r w:rsidRPr="0044524F">
        <w:rPr>
          <w:rFonts w:ascii="Times New Roman" w:hAnsi="Times New Roman"/>
          <w:color w:val="000000" w:themeColor="text1"/>
          <w:sz w:val="16"/>
          <w:szCs w:val="16"/>
        </w:rPr>
        <w:softHyphen/>
        <w:t>ме проверки выносливости отечественных автомо</w:t>
      </w:r>
      <w:r w:rsidRPr="0044524F">
        <w:rPr>
          <w:rFonts w:ascii="Times New Roman" w:hAnsi="Times New Roman"/>
          <w:color w:val="000000" w:themeColor="text1"/>
          <w:sz w:val="16"/>
          <w:szCs w:val="16"/>
        </w:rPr>
        <w:softHyphen/>
        <w:t>билей, испытывались шины из синтетического каучука, а также из натурального, но добытого из рас</w:t>
      </w:r>
      <w:r w:rsidRPr="0044524F">
        <w:rPr>
          <w:rFonts w:ascii="Times New Roman" w:hAnsi="Times New Roman"/>
          <w:color w:val="000000" w:themeColor="text1"/>
          <w:sz w:val="16"/>
          <w:szCs w:val="16"/>
        </w:rPr>
        <w:softHyphen/>
        <w:t>тения тау-сагыз, произрастающего на территории страны.</w:t>
      </w:r>
    </w:p>
    <w:p w14:paraId="6106813E" w14:textId="77777777" w:rsidR="00E6695E" w:rsidRPr="0044524F" w:rsidRDefault="00E66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пробеге участвовало четыре автомобиля ГАЗ-А с шинами типа «сверхбаллон» размером 800x250 и 800x200, изготовленными из синтетического каучука СК-1 и СК-2. Автомобили, оборудованные такими</w:t>
      </w:r>
    </w:p>
    <w:p w14:paraId="51991D89" w14:textId="77777777" w:rsidR="00E6695E" w:rsidRPr="0044524F" w:rsidRDefault="00E669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шинами, уверенно двигались по пескам, что нельзя было сказать о грузовиках на стандартных шинах (22518).</w:t>
      </w:r>
    </w:p>
    <w:p w14:paraId="7A0EEDD4" w14:textId="77777777" w:rsidR="00E6695E" w:rsidRPr="0044524F" w:rsidRDefault="00E6695E" w:rsidP="009654CF">
      <w:pPr>
        <w:spacing w:after="0" w:line="240" w:lineRule="auto"/>
        <w:jc w:val="both"/>
        <w:rPr>
          <w:rFonts w:ascii="Times New Roman" w:hAnsi="Times New Roman"/>
          <w:color w:val="000000" w:themeColor="text1"/>
          <w:sz w:val="16"/>
          <w:szCs w:val="16"/>
        </w:rPr>
      </w:pPr>
    </w:p>
    <w:p w14:paraId="36E79E2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г. - и</w:t>
      </w:r>
      <w:r w:rsidRPr="0044524F">
        <w:rPr>
          <w:rStyle w:val="a7"/>
          <w:rFonts w:ascii="Times New Roman" w:hAnsi="Times New Roman"/>
          <w:b w:val="0"/>
          <w:bCs w:val="0"/>
          <w:color w:val="000000" w:themeColor="text1"/>
          <w:sz w:val="16"/>
          <w:szCs w:val="16"/>
        </w:rPr>
        <w:t>з приказа Наркомтяжпрома № 557 о развертывании станкостроения</w:t>
      </w:r>
    </w:p>
    <w:p w14:paraId="6EAB133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 годы первой пятилетки станкостроение в Союзе выросло в самостоятельную отрасль машиностроения. Значительно расширена производственная база станкостроения, собраны и подготовлены значительные кадры конструкторов и производственников, резко выросла количественно и качественно продукция станкостроительных заводов и расширена номенклатура выпускаемых станков за счет освоения ряда новых современных станков. </w:t>
      </w:r>
    </w:p>
    <w:p w14:paraId="340CDEA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Несмотря на указанные достижения, наиболее узким местом в развитии станкостроения является крайняя ограниченность номенклатуры выпускаемых станков, вследствие чего мы вынуждены прибегать в значительных размерах к импорту. Производимые в Союзе станки — преимущественно универсального типа; еще совершенно не производятся шлифовальные станки — автоматы и полуавтоматы, крупные и тяжелые станки, специальные и упрощенного типа станки узкого назначения, все более применяемые в массовом производстве. </w:t>
      </w:r>
    </w:p>
    <w:p w14:paraId="6CC7679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целях скорейшего освобождения страны от иностранной зависимости и удовлетворения неотложных нужд важнейшей отрасли народного хозяйства в металлорежущих станках приказываю: </w:t>
      </w:r>
    </w:p>
    <w:p w14:paraId="38DDF66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Станкообъединению па протяжении второго пятилетия обеспечить организацию производства не менее 200 типоразмеров новых станков, кроме 40 типоразмеров станков, уже выпускаемых в настоящее время. </w:t>
      </w:r>
      <w:r w:rsidR="000656DA" w:rsidRPr="0044524F">
        <w:fldChar w:fldCharType="begin"/>
      </w:r>
      <w:r w:rsidR="000656DA" w:rsidRPr="0044524F">
        <w:rPr>
          <w:rFonts w:ascii="Times New Roman" w:hAnsi="Times New Roman"/>
          <w:color w:val="000000" w:themeColor="text1"/>
          <w:sz w:val="16"/>
          <w:szCs w:val="16"/>
        </w:rPr>
        <w:instrText xml:space="preserve">ref HYPERLINK  \l "_edn1" \* MERGEFORMAT </w:instrText>
      </w:r>
      <w:r w:rsidR="000656DA" w:rsidRPr="0044524F">
        <w:fldChar w:fldCharType="separate"/>
      </w:r>
      <w:r w:rsidRPr="0044524F">
        <w:rPr>
          <w:rStyle w:val="a5"/>
          <w:rFonts w:ascii="Times New Roman" w:hAnsi="Times New Roman"/>
          <w:color w:val="000000" w:themeColor="text1"/>
          <w:sz w:val="16"/>
          <w:szCs w:val="16"/>
        </w:rPr>
        <w:t>[1]</w:t>
      </w:r>
      <w:r w:rsidR="000656DA" w:rsidRPr="0044524F">
        <w:rPr>
          <w:rStyle w:val="a5"/>
          <w:rFonts w:ascii="Times New Roman" w:hAnsi="Times New Roman"/>
          <w:color w:val="000000" w:themeColor="text1"/>
          <w:sz w:val="16"/>
          <w:szCs w:val="16"/>
        </w:rPr>
        <w:fldChar w:fldCharType="end"/>
      </w:r>
    </w:p>
    <w:p w14:paraId="3642B2A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В целях дальнейшей конкретизации подлежащих изготовлению новых типов и размеров станков Станкообъединению на основе детального рассмотрения ряда крупных объектов нового строительства совместно с заинтересованными потребителями — ГУТЛП, ГУАП, Главтрансмаш и другими научно-исследовательскими организациями и анализа запроектированной технологии и сроков ввода в эксплуатацию этих объектов уточнить и дополнить типаж станков их изготовления на ближайшие три года. </w:t>
      </w:r>
    </w:p>
    <w:p w14:paraId="37CC4CF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При выборе конструкции новых станков брать в основу, после сравнительного их изучения, лучшие американские или ев­ропейские образцы, обладающие наибольшей простотой конструкций, удобством управления и гибкостью в отношении применения стандартных узлов. </w:t>
      </w:r>
    </w:p>
    <w:p w14:paraId="33B2791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Продолжать производство ныне изготовляемых типов стан­ков (токарные, строгальные, фрезерные, револьверные и т.д.), расширяя их номенклатуру как в отношении типов, так и увеличения их размеров, в первую очередь в части шлифовальных, зуборезных, карусельных и крупнотокарных станков. </w:t>
      </w:r>
    </w:p>
    <w:p w14:paraId="60DBAEB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Начать с конца 1933 г. производство одношпиндельных автоматов и полуавтоматов, а в 1934 г. — многошпиндельных автоматов. </w:t>
      </w:r>
    </w:p>
    <w:p w14:paraId="66CA49A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 Начать внедрение в станкостроение гидравлики, в пер­вую очередь в отношении шлифовальных станков. </w:t>
      </w:r>
    </w:p>
    <w:p w14:paraId="7978FEE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7. ВЭО и Станкообъединению широко развернуть работу по электрификации станков и по освоению производства многоскоростных моторов и электроредукторов для нужд станкостроения. </w:t>
      </w:r>
    </w:p>
    <w:p w14:paraId="31D7152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Станкообъединению в течение 1933 г. наладить производство в централизованном порядке основных нормалей станков (крепежные, рычаги, маховички) для снабжения ими заводов, занимающихся станкостроением. </w:t>
      </w:r>
    </w:p>
    <w:p w14:paraId="2353F03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Станкообъединению пересмотреть план специализации своих заводов в сторону резкого расширения количества типов и размеров изготовленных на каждом заводе станков и не позже 1 июля с.г. представить на утверждение Главмашпрома новый план специализации заводов. </w:t>
      </w:r>
    </w:p>
    <w:p w14:paraId="6632F61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10. В целях расширения производственной базы станкостроения обязать главные управления, объединения и тресты и уполномоченных НКТП на местах широко использовать имеющиеся у них возможности для постановки на своих заводах производства металлообрабатывающих станков. </w:t>
      </w:r>
    </w:p>
    <w:p w14:paraId="4C17020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11. Предоставить Станкообъединению право назначения типов и размеров станков, подлежащих изготовлению на всех заводах тяжелой промышленности, и утверждения конструктивных чертежей до начала изготовления станка. </w:t>
      </w:r>
    </w:p>
    <w:p w14:paraId="29B6B40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12. Образовать в составе Станкообъединения бюро по планированию станкостроения иа заводах, не входящих в Станкообъединение. Главмашпрому и ОРГРАЦу в двухдекадный срок рассмотреть положение о бюро и провести его оформление через надлежащие органы.* </w:t>
      </w:r>
    </w:p>
    <w:p w14:paraId="6125E57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13. Обязать все предприятия НКТП, изготовляющие металлорежущие станки как для собственных нужд, так и на сторону, ежеквартально давать Станкообъединению сведения о выпущенных станках. </w:t>
      </w:r>
    </w:p>
    <w:p w14:paraId="05E1979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14. Плановому сектору и главным управлениям при установлении и утверждении производственных программ объединений обеспечить включение в годовые и квартальные программы объединений, трестов и заводов выпуск станков по заданиям Станкообъединения, утвержденным Главмашпромом. </w:t>
      </w:r>
    </w:p>
    <w:p w14:paraId="3A80877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15. Станкообъединению широко развернуть работу по изготовлению чертежей новых станков, укрепив центральное конструкторское бюро и конструкторские бюро заводов и привлекая конструкторские силы научных и учебных учреждений, а также предприятий, не входящих в Станкообъединение. Особое внимание уделить скорейшей разработке и опубликованию альбомов нормалей и стандартных частей, применяемых в станкостроении. </w:t>
      </w:r>
    </w:p>
    <w:p w14:paraId="6FDAC33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16. Превратить центральное конструкторское бюро Станкообъединения в руководящий конструкторский аппарат всей станкостроительной промышленности Союза, действующей на хозрасчетных основаниях в виде коммерческо-технической конторы Станкообъединения. Финансовому сектору НКТП выделить в ЦКБ Станкообъединения 300 тыс. руб. оборотных средств в течение III кварталас.г. </w:t>
      </w:r>
    </w:p>
    <w:p w14:paraId="3680EC8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 Станкообъединению развернуть во второй половине 1933 г. строительство завода опытных станков «Станкоконструкция» с расчетом начала производства на нем не позднее II квартала 1934 г. </w:t>
      </w:r>
    </w:p>
    <w:p w14:paraId="0AFECA2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18. Разрешить Станкообъединению в течение 1933 г. профинансировать за счет своих лимитов на капстроительство отдельные работы по заводам республиканской и местной промышленности, принимающих на себя производство станков, в сумме 350 тыс. руб., а по линии оборотных средств на подготовку новых производств — в сумме до 500 тыс. руб. </w:t>
      </w:r>
    </w:p>
    <w:p w14:paraId="6B9D8B6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 Главстройпрому под ответственностью тов. Гинзбурга взять под особое наблюдение строительство Московского «Станколита», Харьковского завода сверлильных станков и московского завода «Станкоконструкция» и обязать трест «Строитель» развернуть строительные работы на заводе «Станколит» и «Станко­конструкция» в Москве и обеспечить в первую очередь эти стройки завозом стройматериалов и рабочей силой. Выделить для Харьковского завода сверлильных станков в III квартале 2 тыс. куб. м леса. </w:t>
      </w:r>
    </w:p>
    <w:p w14:paraId="15FA2E2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20. Главмашпрому загрузить полностью станкоцех завода «Двигатель революции» в Горьком производством крупных станков по указанной выше номенклатуре, кооперируя его в части узких мест с другими машиностроительными заводами. Плановому сектору с III квартала с.г. обеспечить этот завод минимальными средствами, необходимыми на развертывание производства станков. </w:t>
      </w:r>
    </w:p>
    <w:p w14:paraId="39C9ADD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21. «Стальсбыту» под ответственностью тов. Бабаева дать указания своим местным конторам о первоочередном снабжении чугуном и прокатным металлом строго кондиционного качества заводов, занимающихся станкостроением. </w:t>
      </w:r>
    </w:p>
    <w:p w14:paraId="091EEDD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22. ГУУЗу НКТП и Станкообъединению принять решительные меры к созданию условий нормальной учебной работы Станкина. ГУУЗу не позднее 1 июля с.г. определить для Станки на новое помещение и осуществить перевод до 15 июля с.г. </w:t>
      </w:r>
    </w:p>
    <w:p w14:paraId="0298328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Станкообъединению отпустить Станкину из своих средств на капстроительство 300 тыс. руб. на организацию лабораторий, расширение механической мастерской и создание конструкторского кабинета. Станкообъединению, Оргаметаллу и всем заводам, занимающимся станкостроением, периодически снабжать Станкин материалами по конструированию станков и технологией их производства для учебных целей Станкина. Сосредоточить при Станкине подготовку аспирантуры, квалифицирующейся по станкам и инструменту. Восстановить бюро при Станкине и обеспечить его реальными промзаданиями. </w:t>
      </w:r>
    </w:p>
    <w:p w14:paraId="23D7D09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23. Сектору труда тов. Фигатнеру провести через Нарком-труд, ВЦСПС и Наркомснаб вопрос об установлении условий оплаты труда и снабжения работников конструкторских бюро, научных работников и лаборантов предприятий по станкостроению наравне с условиями, существующими для ИТР промпредприятий 1-й категории. </w:t>
      </w:r>
    </w:p>
    <w:p w14:paraId="296B1A3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24. Станкообъединению по согласованию с ЦК машиностроителей приступить еще в 1933 г. к созданию сети переподготовки рабочих и среднетехнического персонала наиболее дефицитных специальностей. </w:t>
      </w:r>
    </w:p>
    <w:p w14:paraId="0CDA62A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25. Станкообъединению в месячный срок разработать и представить на утверждение Главмашпрома положение о фонде премирования за освоение новых номенклатур станков и создание новых конструкций. </w:t>
      </w:r>
    </w:p>
    <w:p w14:paraId="3107D8B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Нарком тяжелой промышленности С. Орджоникидзе </w:t>
      </w:r>
    </w:p>
    <w:p w14:paraId="1510DC5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ЦГАНХ СССР, ф. 7297, on. 1, д. 16, лл. 171, 176—178. Заверенная копия (12053).</w:t>
      </w:r>
    </w:p>
    <w:p w14:paraId="42E1A782"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65E3FF04"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г. из приказа Наркомтяжпрома № 557 о развертывании станкостроения За годы первой пятилетки станкостроение в Союзе выросло в самостоятельную отрасль машиностроения. Значительно расширена производственная база станкостроения, собраны и подготовлены значительные кадры конструкторов и производственников, резко выросла количественно и качественно продукция станкостроительных заводов и расширена номенклатура выпускаемых станков за счет освоения ряда новых современных станков. Несмотря на указанные достижения, наиболее узким местом в развитии станкостроения является крайняя ограниченность номенклатуры выпускаемых станков, вследствие чего мы вынуждены прибегать в значительных размерах к импорту. Производимые в Союзе станки — преимущественно универсального типа; еще совершенно не производятся шлифовальные станки — автоматы и полуавтоматы, крупные и тяжелые станки, специальные и упрощенного типа станки узкого назначения, все более применяемые в массовом производстве. В целях скорейшего освобождения страны от иностранной зависимости и удовлетворения неотложных нужд важнейшей отрасли народного хозяйства в металлорежущих станках приказываю: 1. Станкообъединению па протяжении второго пятилетия обеспечить организацию производства не менее 200 типоразмеров новых станков, кроме 40 типоразмеров станков, уже выпускаемых в настоящее время.* 2. В целях дальнейшей конкретизации подлежащих изготовлению новых типов и размеров станков Станкообъединению на основе детального рассмотрения ряда крупных объектов нового строительства совместно с заинтересованными потребителями — ГУТЛП, ГУАП, Главтрансмаш и другими научно-исследовательскими организациями и анализа запроектированной технологии и сроков ввода в эксплуатацию этих объектов уточнить и дополнить типаж станков их изготовления на ближайшие три года. 3. При выборе конструкции новых станков брать в основу, после сравнительного их изучения, лучшие американские или ев</w:t>
      </w:r>
      <w:r w:rsidRPr="0044524F">
        <w:rPr>
          <w:rFonts w:ascii="Times New Roman" w:hAnsi="Times New Roman"/>
          <w:color w:val="000000" w:themeColor="text1"/>
          <w:sz w:val="16"/>
          <w:szCs w:val="16"/>
        </w:rPr>
        <w:softHyphen/>
        <w:t>ропейские образцы, обладающие наибольшей простотой конструкций, удобством управления и гибкостью в отношении применения стандартных узлов.</w:t>
      </w:r>
    </w:p>
    <w:p w14:paraId="76BB1FA8"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Продолжать производство ныне изготовляемых типов стан</w:t>
      </w:r>
      <w:r w:rsidRPr="0044524F">
        <w:rPr>
          <w:rFonts w:ascii="Times New Roman" w:hAnsi="Times New Roman"/>
          <w:color w:val="000000" w:themeColor="text1"/>
          <w:sz w:val="16"/>
          <w:szCs w:val="16"/>
        </w:rPr>
        <w:softHyphen/>
        <w:t xml:space="preserve">ков (токарные, строгальные, фрезерные, револьверные и т.д.), расширяя их номенклатуру как в отношении типов, так и увеличения их размеров, в первую очередь в части шлифовальных, зуборезных, карусельных и крупнотокарных станков. </w:t>
      </w:r>
    </w:p>
    <w:p w14:paraId="03BA5CC2"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Начать с конца 1933 г. производство одношпиндельных автоматов и полуавтоматов, а в 1934 г. — многошпиндельных автоматов. </w:t>
      </w:r>
    </w:p>
    <w:p w14:paraId="1F85212C"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Начать внедрение в станкостроение гидравлики, в пер</w:t>
      </w:r>
      <w:r w:rsidRPr="0044524F">
        <w:rPr>
          <w:rFonts w:ascii="Times New Roman" w:hAnsi="Times New Roman"/>
          <w:color w:val="000000" w:themeColor="text1"/>
          <w:sz w:val="16"/>
          <w:szCs w:val="16"/>
        </w:rPr>
        <w:softHyphen/>
        <w:t xml:space="preserve">вую очередь в отношении шлифовальных станков. </w:t>
      </w:r>
    </w:p>
    <w:p w14:paraId="51564C48"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7. ВЭО и Станкообъединению широко развернуть работу по электрификации станков и по освоению производства многоскоростных моторов и электроредукторов для нужд станкостроения. </w:t>
      </w:r>
    </w:p>
    <w:p w14:paraId="76B941F1"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Станкообъединению в течение 1933 г. наладить производство в централизованном порядке основных нормалей станков (крепежные, рычаги, маховички) для снабжения ими заводов, занимающихся станкостроением. </w:t>
      </w:r>
    </w:p>
    <w:p w14:paraId="3C23A7F2"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Станкообъединению пересмотреть план специализации своих заводов в сторону резкого расширения количества типов и размеров изготовленных на каждом заводе станков и не позже 1 июля с.г. представить на утверждение Главмашпрома новый план специализации заводов. </w:t>
      </w:r>
    </w:p>
    <w:p w14:paraId="3EEED03F"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10. В целях расширения производственной базы станкостроения обязать главные управления, объединения и тресты и уполномоченных НКТП на местах широко использовать имеющиеся у них возможности для постановки на своих заводах производства металлообрабатывающих станков. </w:t>
      </w:r>
    </w:p>
    <w:p w14:paraId="6AB7D8DA"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11. Предоставить Станкообъединению право назначения типов и размеров станков, подлежащих изготовлению на всех заводах тяжелой промышленности, и утверждения конструктивных чертежей до начала изготовления станка. </w:t>
      </w:r>
    </w:p>
    <w:p w14:paraId="2A07067A"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12. Образовать в составе Станкообъединения бюро по планированию станкостроения иа заводах, не входящих в Станкообъединение. Главмашпрому и ОРГРАЦу в двухдекадный срок рассмотреть положение о бюро и провести его оформление через надлежащие органы.* </w:t>
      </w:r>
    </w:p>
    <w:p w14:paraId="6A9043A5"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13. Обязать все предприятия НКТП, изготовляющие металлорежущие станки как для собственных нужд, так и на сторону, ежеквартально давать Станкообъединению сведения о выпущенных станках. </w:t>
      </w:r>
    </w:p>
    <w:p w14:paraId="3B7FFC2A"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14. Плановому сектору и главным управлениям при установлении и утверждении производственных программ объединений обеспечить включение в годовые и квартальные программы объединений, трестов и заводов выпуск станков по заданиям Станкообъединения, утвержденным Главмашпромом. </w:t>
      </w:r>
    </w:p>
    <w:p w14:paraId="37F9AE53"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Станкообъединению широко развернуть работу по изготовлению чертежей новых станков, укрепив центральное конструкторское бюро и конструкторские бюро заводов и привлекая конструкторские силы научных и учебных учреждений, а также предприятий, не входящих в Станкообъединение. Особое внимание уделить скорейшей разработке и опубликованию альбомов нормалей и стандартных частей, применяемых в станкостроении.</w:t>
      </w:r>
    </w:p>
    <w:p w14:paraId="00A1828B" w14:textId="77777777" w:rsidR="0068370E"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16. Превратить центральное конструкторское бюро Станкообъединения в руководящий конструкторский аппарат всей станкостроительной промышленности Союза, действующей на хозрасчетных основаниях в виде коммерческо-технической конторы Станкообъединения. Финансовому сектору НКТП выделить в ЦКБ Станкообъединения 300 тыс. руб. оборотных средств в течение III кварталас.г. </w:t>
      </w:r>
    </w:p>
    <w:p w14:paraId="4F19C08C" w14:textId="77777777" w:rsidR="0068370E"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 Станкообъединению развернуть во второй половине 1933 г. строительство завода опытных станков «Станкоконструкция» с расчетом начала производства на нем не позднее II квартала 1934 г. </w:t>
      </w:r>
    </w:p>
    <w:p w14:paraId="29FCA197" w14:textId="77777777" w:rsidR="0068370E"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18. Разрешить Станкообъединению в течение 1933 г. профинансировать за счет своих лимитов на капстроительство отдельные работы по заводам республиканской и местной промышленности, принимающих на себя производство станков, в сумме 350 тыс. руб., а по линии оборотных средств на подготовку новых производств — в сумме до 500 тыс. руб. </w:t>
      </w:r>
    </w:p>
    <w:p w14:paraId="5BCFDDEB" w14:textId="77777777" w:rsidR="0068370E"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Главстройпрому под ответственностью тов. Гинзбурга взять под особое наблюдение строительство Московского «Станколита», Харьковского завода сверлильных станков и московского завода «Станкоконструкция» и обязать трест «Строитель» развернуть строительные работы на заводе «Станколит» и «Станко</w:t>
      </w:r>
      <w:r w:rsidRPr="0044524F">
        <w:rPr>
          <w:rFonts w:ascii="Times New Roman" w:hAnsi="Times New Roman"/>
          <w:color w:val="000000" w:themeColor="text1"/>
          <w:sz w:val="16"/>
          <w:szCs w:val="16"/>
        </w:rPr>
        <w:softHyphen/>
        <w:t xml:space="preserve">конструкция» в Москве и обеспечить в первую очередь эти стройки завозом стройматериалов и рабочей силой. Выделить для Харьковского завода сверлильных станков в III квартале 2 тыс. куб. м леса. </w:t>
      </w:r>
    </w:p>
    <w:p w14:paraId="508165D3" w14:textId="77777777" w:rsidR="0068370E"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20. Главмашпрому загрузить полностью станкоцех завода «Двигатель революции» в Горьком производством крупных станков по указанной выше номенклатуре, кооперируя его в части узких мест с другими машиностроительными заводами. Плановому сектору с III квартала с.г. обеспечить этот завод минимальными средствами, необходимыми на развертывание производства станков. </w:t>
      </w:r>
    </w:p>
    <w:p w14:paraId="0F2C273F" w14:textId="77777777" w:rsidR="0068370E"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21. «Стальсбыту» под ответственностью тов. Бабаева дать указания своим местным конторам о первоочередном снабжении чугуном и прокатным металлом строго кондиционного качества заводов, занимающихся станкостроением. </w:t>
      </w:r>
    </w:p>
    <w:p w14:paraId="2BEA5C54"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ГУУЗу НКТП и Станкообъединению принять решительные меры к созданию условий нормальной учебной работы Станкина. ГУУЗу не позднее 1 июля с.г. определить для Станки на новое помещение и осуществить перевод до 15 июля с.г.</w:t>
      </w:r>
    </w:p>
    <w:p w14:paraId="58E4BE15" w14:textId="77777777" w:rsidR="0068370E"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Станкообъединению отпустить Станкину из своих средств на капстроительство 300 тыс. руб. на организацию лабораторий, расширение механической мастерской и создание конструкторского кабинета. Станкообъединению, Оргаметаллу и всем заводам, занимающимся станкостроением, периодически снабжать Станкин материалами по конструированию станков и технологией их производства для учебных целей Станкина. Сосредоточить при Станкине подготовку аспирантуры, квалифицирующейся по станкам и инструменту. Восстановить бюро при Станкине и обеспечить его реальными промзаданиями. </w:t>
      </w:r>
    </w:p>
    <w:p w14:paraId="5A5D14FA" w14:textId="77777777" w:rsidR="0068370E"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23. Сектору труда тов. Фигатнеру провести через Нарком-труд, ВЦСПС и Наркомснаб вопрос об установлении условий оплаты труда и снабжения работников конструкторских бюро, научных работников и лаборантов предприятий по станкостроению наравне с условиями, существующими для ИТР промпредприятий 1-й категории. </w:t>
      </w:r>
    </w:p>
    <w:p w14:paraId="3FFAA37F" w14:textId="77777777" w:rsidR="0068370E"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24. Станкообъединению по согласованию с ЦК машиностроителей приступить еще в 1933 г. к созданию сети переподготовки рабочих и среднетехнического персонала наиболее дефицитных специальностей. </w:t>
      </w:r>
    </w:p>
    <w:p w14:paraId="0D5F0F77" w14:textId="77777777" w:rsidR="00DA66D7" w:rsidRPr="0044524F" w:rsidRDefault="00DA66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Станкообъединению в месячный срок разработать и представить на утверждение Главмашпрома положение о фонде премирования за освоение новых номенклатур станков и создание новых конструкций. Нарком тяжелой промышленности С. Орджоникидзе ЦГАНХ СССР, ф. 7297, on. 1, д. 16, лл. 171, 176—178. Заверенная копия (18300).</w:t>
      </w:r>
    </w:p>
    <w:p w14:paraId="12E0F0EB" w14:textId="77777777" w:rsidR="00DA66D7" w:rsidRPr="0044524F" w:rsidRDefault="00DA66D7" w:rsidP="009654CF">
      <w:pPr>
        <w:spacing w:after="0" w:line="240" w:lineRule="auto"/>
        <w:jc w:val="both"/>
        <w:rPr>
          <w:rFonts w:ascii="Times New Roman" w:hAnsi="Times New Roman"/>
          <w:color w:val="000000" w:themeColor="text1"/>
          <w:sz w:val="16"/>
          <w:szCs w:val="16"/>
        </w:rPr>
      </w:pPr>
    </w:p>
    <w:p w14:paraId="5A87330C" w14:textId="77777777" w:rsidR="0040441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FBE3EBC" w14:textId="77777777" w:rsidR="00404414" w:rsidRPr="0044524F" w:rsidRDefault="00404414" w:rsidP="009654CF">
      <w:pPr>
        <w:spacing w:after="0" w:line="240" w:lineRule="auto"/>
        <w:jc w:val="both"/>
        <w:rPr>
          <w:rFonts w:ascii="Times New Roman" w:hAnsi="Times New Roman"/>
          <w:iCs/>
          <w:color w:val="000000" w:themeColor="text1"/>
          <w:sz w:val="16"/>
          <w:szCs w:val="16"/>
        </w:rPr>
      </w:pPr>
    </w:p>
    <w:p w14:paraId="107970F1"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16 июня 1933. Секретный циркуляр ЦК ВКП(б) №113/79 о спецхранах в библиотеках (6.74 Kb)</w:t>
      </w:r>
    </w:p>
    <w:p w14:paraId="1DEE7B56"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Секретно</w:t>
      </w:r>
    </w:p>
    <w:p w14:paraId="60FE450B"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Заведующий Культпропотделом ЦК Стецкий</w:t>
      </w:r>
      <w:bookmarkStart w:id="22" w:name="_ednref1"/>
      <w:r w:rsidR="00EF7814"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HYPERLINK "http://www.opentextnn.ru/censorship/russia/sov/law/tsk/1930/&amp;DTh_Code=64" \l "_edn1" \o "" </w:instrText>
      </w:r>
      <w:r w:rsidR="00EF7814" w:rsidRPr="0044524F">
        <w:rPr>
          <w:rFonts w:ascii="Times New Roman" w:hAnsi="Times New Roman"/>
          <w:color w:val="000000" w:themeColor="text1"/>
          <w:sz w:val="16"/>
          <w:szCs w:val="16"/>
        </w:rPr>
      </w:r>
      <w:r w:rsidR="00EF7814" w:rsidRPr="0044524F">
        <w:rPr>
          <w:rFonts w:ascii="Times New Roman" w:hAnsi="Times New Roman"/>
          <w:color w:val="000000" w:themeColor="text1"/>
          <w:sz w:val="16"/>
          <w:szCs w:val="16"/>
        </w:rPr>
        <w:fldChar w:fldCharType="separate"/>
      </w:r>
      <w:r w:rsidRPr="0044524F">
        <w:rPr>
          <w:rStyle w:val="a5"/>
          <w:rFonts w:ascii="Times New Roman" w:hAnsi="Times New Roman"/>
          <w:color w:val="000000" w:themeColor="text1"/>
          <w:sz w:val="16"/>
          <w:szCs w:val="16"/>
        </w:rPr>
        <w:t>[i]</w:t>
      </w:r>
      <w:r w:rsidR="00EF7814" w:rsidRPr="0044524F">
        <w:rPr>
          <w:rFonts w:ascii="Times New Roman" w:hAnsi="Times New Roman"/>
          <w:color w:val="000000" w:themeColor="text1"/>
          <w:sz w:val="16"/>
          <w:szCs w:val="16"/>
        </w:rPr>
        <w:fldChar w:fldCharType="end"/>
      </w:r>
      <w:bookmarkEnd w:id="22"/>
      <w:r w:rsidRPr="0044524F">
        <w:rPr>
          <w:rFonts w:ascii="Times New Roman" w:hAnsi="Times New Roman"/>
          <w:color w:val="000000" w:themeColor="text1"/>
          <w:sz w:val="16"/>
          <w:szCs w:val="16"/>
        </w:rPr>
        <w:t>.</w:t>
      </w:r>
    </w:p>
    <w:p w14:paraId="15AB96AF"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Всем Культпропам райкомов (Обкомов) и ЦК нацпартий.</w:t>
      </w:r>
    </w:p>
    <w:p w14:paraId="72C06953"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решение ЦК ВКП(б), категорически запрещающее производить массовые чистки библиотек</w:t>
      </w:r>
      <w:bookmarkStart w:id="23" w:name="_ednref2"/>
      <w:r w:rsidR="00EF7814"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HYPERLINK "http://www.opentextnn.ru/censorship/russia/sov/law/tsk/1930/&amp;DTh_Code=64" \l "_edn2" \o "" </w:instrText>
      </w:r>
      <w:r w:rsidR="00EF7814" w:rsidRPr="0044524F">
        <w:rPr>
          <w:rFonts w:ascii="Times New Roman" w:hAnsi="Times New Roman"/>
          <w:color w:val="000000" w:themeColor="text1"/>
          <w:sz w:val="16"/>
          <w:szCs w:val="16"/>
        </w:rPr>
      </w:r>
      <w:r w:rsidR="00EF7814" w:rsidRPr="0044524F">
        <w:rPr>
          <w:rFonts w:ascii="Times New Roman" w:hAnsi="Times New Roman"/>
          <w:color w:val="000000" w:themeColor="text1"/>
          <w:sz w:val="16"/>
          <w:szCs w:val="16"/>
        </w:rPr>
        <w:fldChar w:fldCharType="separate"/>
      </w:r>
      <w:r w:rsidRPr="0044524F">
        <w:rPr>
          <w:rStyle w:val="a5"/>
          <w:rFonts w:ascii="Times New Roman" w:hAnsi="Times New Roman"/>
          <w:color w:val="000000" w:themeColor="text1"/>
          <w:sz w:val="16"/>
          <w:szCs w:val="16"/>
        </w:rPr>
        <w:t>[ii]</w:t>
      </w:r>
      <w:r w:rsidR="00EF7814" w:rsidRPr="0044524F">
        <w:rPr>
          <w:rFonts w:ascii="Times New Roman" w:hAnsi="Times New Roman"/>
          <w:color w:val="000000" w:themeColor="text1"/>
          <w:sz w:val="16"/>
          <w:szCs w:val="16"/>
        </w:rPr>
        <w:fldChar w:fldCharType="end"/>
      </w:r>
      <w:bookmarkEnd w:id="23"/>
      <w:r w:rsidRPr="0044524F">
        <w:rPr>
          <w:rFonts w:ascii="Times New Roman" w:hAnsi="Times New Roman"/>
          <w:color w:val="000000" w:themeColor="text1"/>
          <w:sz w:val="16"/>
          <w:szCs w:val="16"/>
        </w:rPr>
        <w:t xml:space="preserve">, в ряде областей, краев и республик это постановление не выполняется. Культпропы не извлекли необходимый урок из допущенных извращений. Случаи массовых чисток библиотек имеют место до самых последних дней: в апреле месяце культпроп Северо-Кавказского крайкома решил произвести чистку всех библиотек края и в соответствии с этим, Край ОНО была издана инструкция, по которой, наряду с предложением изъять всю контрреволюционную монархическую литературу, изымаются отдельные книги тт. Молотова, Кагановича и Калинина, классиков философии, естествознания, художественной литературы (Ожешко, Шпильгаген, Геккель, Шопенгауэр и др.). В ряде мест изымают все книги, напечатанные по старой орфографии. </w:t>
      </w:r>
    </w:p>
    <w:p w14:paraId="5A95865E"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этим, получившая широкое распространение практика организации "закрытых фондов" в библиотеках привела к тому, что значительная часть книжного фонда фактически была изъята из обращения.</w:t>
      </w:r>
    </w:p>
    <w:p w14:paraId="3550AFAC"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ликвидации извращений, допущенных в чистке библиотек, исходя из решения ЦК, Наркомпрос РСФСР создал Центральную комиссию по организации практической помощи и даче указаний местам об использовании книжных фондов</w:t>
      </w:r>
      <w:hyperlink r:id="rId215" w:anchor="_edn3" w:history="1">
        <w:r w:rsidRPr="0044524F">
          <w:rPr>
            <w:rStyle w:val="a5"/>
            <w:rFonts w:ascii="Times New Roman" w:hAnsi="Times New Roman"/>
            <w:color w:val="000000" w:themeColor="text1"/>
            <w:sz w:val="16"/>
            <w:szCs w:val="16"/>
          </w:rPr>
          <w:t>[iii]</w:t>
        </w:r>
      </w:hyperlink>
      <w:r w:rsidRPr="0044524F">
        <w:rPr>
          <w:rFonts w:ascii="Times New Roman" w:hAnsi="Times New Roman"/>
          <w:color w:val="000000" w:themeColor="text1"/>
          <w:sz w:val="16"/>
          <w:szCs w:val="16"/>
        </w:rPr>
        <w:t>.</w:t>
      </w:r>
    </w:p>
    <w:p w14:paraId="7370260F"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строжайшего контроля и оказания практической помощи органам народного образования на местах вам необходимо осуществить следующие мероприятия:</w:t>
      </w:r>
    </w:p>
    <w:p w14:paraId="3070FFB7"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Взять под непосредственное наблюдение работу и состояние книжных фондов республиканских, краевых и областных библиотек. Обязать осуществить аналогичные мероприятия культпропы горкомов и райкомов.</w:t>
      </w:r>
    </w:p>
    <w:p w14:paraId="7A0EE977"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 примеру НКПроса РСФСР организовать республиканские, краевые и областные постоянно действующие комиссии, обеспечить контроль за их работой. Особое внимание должно быть обращено на выполнение следующих решений Центральной комиссии:</w:t>
      </w:r>
    </w:p>
    <w:p w14:paraId="291F8034"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изъятие книг из библиотек разрешается только по специальным указаниям Центральной комиссии;</w:t>
      </w:r>
    </w:p>
    <w:p w14:paraId="38861C0A"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под руководством Край.Обл.Комиссии из библиотек должна быть удалена явно контрреволюционная и религиозная литература (евангелия, четьи-минеи, проповеди и т.п.). Причем литература, имеющая исторический интерес в крупных центральных городских библиотеках остается;</w:t>
      </w:r>
    </w:p>
    <w:p w14:paraId="0BEE7A9C"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книги Троцкого и Зиновьева должны быть переданы из сельских библиотек и мелких районных в областные библиотеки или библиотеку при Обкоме. Выдача этих книг должна быть крайне ограничена и разрешается исключительно по согласованию с парторганизацией;</w:t>
      </w:r>
    </w:p>
    <w:p w14:paraId="56E27761"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воспрещается организация в библиотеках "специальных" или "закрытых" фондов. Существующие "закрытые" и специальные фонды немедленно ликвидировать, введя всю литературу в каталог библиотек;</w:t>
      </w:r>
    </w:p>
    <w:p w14:paraId="490AB3BB"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инструкция Главполитпросвета о пересмотре книжного состава массовых библиотек от 1930 г.</w:t>
      </w:r>
      <w:bookmarkStart w:id="24" w:name="_ednref4"/>
      <w:r w:rsidR="00EF7814"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HYPERLINK "http://www.opentextnn.ru/censorship/russia/sov/law/tsk/1930/&amp;DTh_Code=64" \l "_edn4" \o "" </w:instrText>
      </w:r>
      <w:r w:rsidR="00EF7814" w:rsidRPr="0044524F">
        <w:rPr>
          <w:rFonts w:ascii="Times New Roman" w:hAnsi="Times New Roman"/>
          <w:color w:val="000000" w:themeColor="text1"/>
          <w:sz w:val="16"/>
          <w:szCs w:val="16"/>
        </w:rPr>
      </w:r>
      <w:r w:rsidR="00EF7814" w:rsidRPr="0044524F">
        <w:rPr>
          <w:rFonts w:ascii="Times New Roman" w:hAnsi="Times New Roman"/>
          <w:color w:val="000000" w:themeColor="text1"/>
          <w:sz w:val="16"/>
          <w:szCs w:val="16"/>
        </w:rPr>
        <w:fldChar w:fldCharType="separate"/>
      </w:r>
      <w:r w:rsidRPr="0044524F">
        <w:rPr>
          <w:rStyle w:val="a5"/>
          <w:rFonts w:ascii="Times New Roman" w:hAnsi="Times New Roman"/>
          <w:color w:val="000000" w:themeColor="text1"/>
          <w:sz w:val="16"/>
          <w:szCs w:val="16"/>
        </w:rPr>
        <w:t>[iv]</w:t>
      </w:r>
      <w:r w:rsidR="00EF7814" w:rsidRPr="0044524F">
        <w:rPr>
          <w:rFonts w:ascii="Times New Roman" w:hAnsi="Times New Roman"/>
          <w:color w:val="000000" w:themeColor="text1"/>
          <w:sz w:val="16"/>
          <w:szCs w:val="16"/>
        </w:rPr>
        <w:fldChar w:fldCharType="end"/>
      </w:r>
      <w:bookmarkEnd w:id="24"/>
      <w:r w:rsidRPr="0044524F">
        <w:rPr>
          <w:rFonts w:ascii="Times New Roman" w:hAnsi="Times New Roman"/>
          <w:color w:val="000000" w:themeColor="text1"/>
          <w:sz w:val="16"/>
          <w:szCs w:val="16"/>
        </w:rPr>
        <w:t xml:space="preserve"> отменяется.</w:t>
      </w:r>
    </w:p>
    <w:p w14:paraId="3A9DF190"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Категорически запрещается пользование списками книгоцентра</w:t>
      </w:r>
      <w:bookmarkStart w:id="25" w:name="_ednref5"/>
      <w:r w:rsidR="00EF7814"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HYPERLINK "http://www.opentextnn.ru/censorship/russia/sov/law/tsk/1930/&amp;DTh_Code=64" \l "_edn5" \o "" </w:instrText>
      </w:r>
      <w:r w:rsidR="00EF7814" w:rsidRPr="0044524F">
        <w:rPr>
          <w:rFonts w:ascii="Times New Roman" w:hAnsi="Times New Roman"/>
          <w:color w:val="000000" w:themeColor="text1"/>
          <w:sz w:val="16"/>
          <w:szCs w:val="16"/>
        </w:rPr>
      </w:r>
      <w:r w:rsidR="00EF7814" w:rsidRPr="0044524F">
        <w:rPr>
          <w:rFonts w:ascii="Times New Roman" w:hAnsi="Times New Roman"/>
          <w:color w:val="000000" w:themeColor="text1"/>
          <w:sz w:val="16"/>
          <w:szCs w:val="16"/>
        </w:rPr>
        <w:fldChar w:fldCharType="separate"/>
      </w:r>
      <w:r w:rsidRPr="0044524F">
        <w:rPr>
          <w:rStyle w:val="a5"/>
          <w:rFonts w:ascii="Times New Roman" w:hAnsi="Times New Roman"/>
          <w:color w:val="000000" w:themeColor="text1"/>
          <w:sz w:val="16"/>
          <w:szCs w:val="16"/>
        </w:rPr>
        <w:t>[v]</w:t>
      </w:r>
      <w:r w:rsidR="00EF7814" w:rsidRPr="0044524F">
        <w:rPr>
          <w:rFonts w:ascii="Times New Roman" w:hAnsi="Times New Roman"/>
          <w:color w:val="000000" w:themeColor="text1"/>
          <w:sz w:val="16"/>
          <w:szCs w:val="16"/>
        </w:rPr>
        <w:fldChar w:fldCharType="end"/>
      </w:r>
      <w:bookmarkEnd w:id="25"/>
      <w:r w:rsidRPr="0044524F">
        <w:rPr>
          <w:rFonts w:ascii="Times New Roman" w:hAnsi="Times New Roman"/>
          <w:color w:val="000000" w:themeColor="text1"/>
          <w:sz w:val="16"/>
          <w:szCs w:val="16"/>
        </w:rPr>
        <w:t xml:space="preserve"> по списанию книг в макулатуру в целях изъятия на их основании книг из библиотек.</w:t>
      </w:r>
    </w:p>
    <w:p w14:paraId="5848F8FA"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Ответственность за правильность использования книжных фондов библиотек возлагается на заведующего библиотекой.</w:t>
      </w:r>
    </w:p>
    <w:p w14:paraId="02847C98"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РЦХИДНИ. Ф.17. Оп.120. Д.87. Л.27-28. Подлинник. </w:t>
      </w:r>
    </w:p>
    <w:p w14:paraId="2FAC8AAB" w14:textId="77777777" w:rsidR="00404414" w:rsidRPr="0044524F" w:rsidRDefault="00404414" w:rsidP="009654CF">
      <w:pPr>
        <w:spacing w:after="0" w:line="240" w:lineRule="auto"/>
        <w:jc w:val="both"/>
        <w:rPr>
          <w:rFonts w:ascii="Times New Roman" w:hAnsi="Times New Roman"/>
          <w:color w:val="000000" w:themeColor="text1"/>
          <w:sz w:val="16"/>
          <w:szCs w:val="16"/>
        </w:rPr>
      </w:pPr>
      <w:hyperlink r:id="rId216" w:anchor="_ednref1" w:history="1">
        <w:r w:rsidRPr="0044524F">
          <w:rPr>
            <w:rStyle w:val="a5"/>
            <w:rFonts w:ascii="Times New Roman" w:hAnsi="Times New Roman"/>
            <w:color w:val="000000" w:themeColor="text1"/>
            <w:sz w:val="16"/>
            <w:szCs w:val="16"/>
          </w:rPr>
          <w:t>[i]</w:t>
        </w:r>
      </w:hyperlink>
      <w:r w:rsidRPr="0044524F">
        <w:rPr>
          <w:rFonts w:ascii="Times New Roman" w:hAnsi="Times New Roman"/>
          <w:color w:val="000000" w:themeColor="text1"/>
          <w:sz w:val="16"/>
          <w:szCs w:val="16"/>
        </w:rPr>
        <w:t xml:space="preserve">. Спецхраны в библиотеках были созданы впервые в 1921 г. на основе постановления СНК РСФСР от 12 декабря 1921 г., развиты постановлениями СНК РСФСР от 22 сентября 1925 г. и 8 июля 1926 г. Это было связано, во-первых, с публикацией секретных изданий различных ведомств, а во-вторых, с массовыми чистками библиотек (подробнее о ччистках в библиотеках см.: Bertram D. Wolf. </w:t>
      </w:r>
      <w:r w:rsidRPr="0044524F">
        <w:rPr>
          <w:rFonts w:ascii="Times New Roman" w:hAnsi="Times New Roman"/>
          <w:color w:val="000000" w:themeColor="text1"/>
          <w:sz w:val="16"/>
          <w:szCs w:val="16"/>
          <w:lang w:val="en-US"/>
        </w:rPr>
        <w:t xml:space="preserve">Krupskaya Purges the People"s Libraries // Survey: a juarnal of Soviet and East European Studies. </w:t>
      </w:r>
      <w:r w:rsidRPr="0044524F">
        <w:rPr>
          <w:rFonts w:ascii="Times New Roman" w:hAnsi="Times New Roman"/>
          <w:color w:val="000000" w:themeColor="text1"/>
          <w:sz w:val="16"/>
          <w:szCs w:val="16"/>
        </w:rPr>
        <w:t xml:space="preserve">L.1969. №72. P.141-155). Новый этап чистки библиотек, повлевший за собой создание разветвленной системы провинциальных спецхранов, начался после публикации Постановления ЦК ВКП(б) "Об улучшении библиотечной работы" от 30 октября 1929 г., на основе которого было разработано постановление СНК от 14 января 1930 г. "О мероприятиях по улучшению библиотечной работы" (в них был особый параграф о необходимости чистки библиотечных фондов). Шквал изъятия литературы затронул и книги Ленина, Маркса, а также произведения членов ЦК ВКП(б), которые попадали в спецхран. Это вынудило Коллегию Наркомпроса в октябре 1932 г. признать наличие спецхранов в библиотеках ошибкой. Данный документ стоит в ряду с другими, ограничивающих шквал изъятия литературы. Но в реальности спецхраны не были уничтожены, хотя порядок их создания и функционирования не был разработан централизованным путем. 9 декабря 1937 г. ЦК ВКП(б) принял решение, запрещающее Главлиту проводить изъятия литературы без санкции ЦК. 25 октября 1938 г. приказом Уполномоченного СНК СССР по охране военных тайн в печати и Начальника Главлита в стране вводилась система особых фондов периодических и непериодических изданий. (См.: ГА РФ. Ф.9425. Оп.1. Д.2. Л.32). С этого момента и до 1991 г. спецхраны существовали в СССР практически без изменений. </w:t>
      </w:r>
    </w:p>
    <w:p w14:paraId="0950857D" w14:textId="77777777" w:rsidR="00404414" w:rsidRPr="0044524F" w:rsidRDefault="00404414" w:rsidP="009654CF">
      <w:pPr>
        <w:spacing w:after="0" w:line="240" w:lineRule="auto"/>
        <w:jc w:val="both"/>
        <w:rPr>
          <w:rFonts w:ascii="Times New Roman" w:hAnsi="Times New Roman"/>
          <w:color w:val="000000" w:themeColor="text1"/>
          <w:sz w:val="16"/>
          <w:szCs w:val="16"/>
        </w:rPr>
      </w:pPr>
      <w:hyperlink r:id="rId217" w:anchor="_ednref2" w:history="1">
        <w:r w:rsidRPr="0044524F">
          <w:rPr>
            <w:rStyle w:val="a5"/>
            <w:rFonts w:ascii="Times New Roman" w:hAnsi="Times New Roman"/>
            <w:color w:val="000000" w:themeColor="text1"/>
            <w:sz w:val="16"/>
            <w:szCs w:val="16"/>
          </w:rPr>
          <w:t>[ii]</w:t>
        </w:r>
      </w:hyperlink>
      <w:r w:rsidRPr="0044524F">
        <w:rPr>
          <w:rFonts w:ascii="Times New Roman" w:hAnsi="Times New Roman"/>
          <w:color w:val="000000" w:themeColor="text1"/>
          <w:sz w:val="16"/>
          <w:szCs w:val="16"/>
        </w:rPr>
        <w:t xml:space="preserve">. После Постановления Коллегии Наркомпроса от 4 октября 1932 г., признавшей разделение библиотечных фондов на открытые и закрытые ошибочным, вопрос о чистках библиотек слушался на заседании Политбюро ЦК 23 октября 1932 г. В ноябре, после сообщения ЦКК по этому вопросу, дело было передано в Секретариат ЦК. </w:t>
      </w:r>
    </w:p>
    <w:p w14:paraId="711DBBD6" w14:textId="77777777" w:rsidR="00404414" w:rsidRPr="0044524F" w:rsidRDefault="00404414" w:rsidP="009654CF">
      <w:pPr>
        <w:spacing w:after="0" w:line="240" w:lineRule="auto"/>
        <w:jc w:val="both"/>
        <w:rPr>
          <w:rFonts w:ascii="Times New Roman" w:hAnsi="Times New Roman"/>
          <w:color w:val="000000" w:themeColor="text1"/>
          <w:sz w:val="16"/>
          <w:szCs w:val="16"/>
        </w:rPr>
      </w:pPr>
      <w:hyperlink r:id="rId218" w:anchor="_ednref3" w:history="1">
        <w:r w:rsidRPr="0044524F">
          <w:rPr>
            <w:rStyle w:val="a5"/>
            <w:rFonts w:ascii="Times New Roman" w:hAnsi="Times New Roman"/>
            <w:color w:val="000000" w:themeColor="text1"/>
            <w:sz w:val="16"/>
            <w:szCs w:val="16"/>
          </w:rPr>
          <w:t>[iii]</w:t>
        </w:r>
      </w:hyperlink>
      <w:r w:rsidRPr="0044524F">
        <w:rPr>
          <w:rFonts w:ascii="Times New Roman" w:hAnsi="Times New Roman"/>
          <w:color w:val="000000" w:themeColor="text1"/>
          <w:sz w:val="16"/>
          <w:szCs w:val="16"/>
        </w:rPr>
        <w:t xml:space="preserve">. См.: Приказ по Наркомпросу № 44 от 2 февраля 1933 г. "О порядке комплектования, хранения и изъятия книг из библиотек" // Бюллетень Наркомпроса РСФСР. 1933. № 6. С.11. </w:t>
      </w:r>
    </w:p>
    <w:bookmarkStart w:id="26" w:name="_edn4"/>
    <w:p w14:paraId="1CBC001F" w14:textId="77777777" w:rsidR="00404414" w:rsidRPr="0044524F" w:rsidRDefault="00EF78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fldChar w:fldCharType="begin"/>
      </w:r>
      <w:r w:rsidR="00404414" w:rsidRPr="0044524F">
        <w:rPr>
          <w:rFonts w:ascii="Times New Roman" w:hAnsi="Times New Roman"/>
          <w:color w:val="000000" w:themeColor="text1"/>
          <w:sz w:val="16"/>
          <w:szCs w:val="16"/>
        </w:rPr>
        <w:instrText xml:space="preserve"> HYPERLINK "http://www.opentextnn.ru/censorship/russia/sov/law/tsk/1930/&amp;DTh_Code=64" \l "_ednref4" \o "" </w:instrText>
      </w:r>
      <w:r w:rsidRPr="0044524F">
        <w:rPr>
          <w:rFonts w:ascii="Times New Roman" w:hAnsi="Times New Roman"/>
          <w:color w:val="000000" w:themeColor="text1"/>
          <w:sz w:val="16"/>
          <w:szCs w:val="16"/>
        </w:rPr>
      </w:r>
      <w:r w:rsidRPr="0044524F">
        <w:rPr>
          <w:rFonts w:ascii="Times New Roman" w:hAnsi="Times New Roman"/>
          <w:color w:val="000000" w:themeColor="text1"/>
          <w:sz w:val="16"/>
          <w:szCs w:val="16"/>
        </w:rPr>
        <w:fldChar w:fldCharType="separate"/>
      </w:r>
      <w:r w:rsidR="00404414" w:rsidRPr="0044524F">
        <w:rPr>
          <w:rStyle w:val="a5"/>
          <w:rFonts w:ascii="Times New Roman" w:hAnsi="Times New Roman"/>
          <w:color w:val="000000" w:themeColor="text1"/>
          <w:sz w:val="16"/>
          <w:szCs w:val="16"/>
        </w:rPr>
        <w:t>[iv]</w:t>
      </w:r>
      <w:r w:rsidRPr="0044524F">
        <w:rPr>
          <w:rFonts w:ascii="Times New Roman" w:hAnsi="Times New Roman"/>
          <w:color w:val="000000" w:themeColor="text1"/>
          <w:sz w:val="16"/>
          <w:szCs w:val="16"/>
        </w:rPr>
        <w:fldChar w:fldCharType="end"/>
      </w:r>
      <w:bookmarkEnd w:id="26"/>
      <w:r w:rsidR="00404414" w:rsidRPr="0044524F">
        <w:rPr>
          <w:rFonts w:ascii="Times New Roman" w:hAnsi="Times New Roman"/>
          <w:color w:val="000000" w:themeColor="text1"/>
          <w:sz w:val="16"/>
          <w:szCs w:val="16"/>
        </w:rPr>
        <w:t xml:space="preserve">. См.: "Инструктивное письмо о пересмотре книжного состава массовых библиотек политпросветских и профсоюзных" // Бюллетень Наркомпроса РСФСР. 1930. № 11. С.25-35. </w:t>
      </w:r>
    </w:p>
    <w:bookmarkStart w:id="27" w:name="_edn5"/>
    <w:p w14:paraId="735D7701" w14:textId="77777777" w:rsidR="00404414" w:rsidRPr="0044524F" w:rsidRDefault="00EF78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fldChar w:fldCharType="begin"/>
      </w:r>
      <w:r w:rsidR="00404414" w:rsidRPr="0044524F">
        <w:rPr>
          <w:rFonts w:ascii="Times New Roman" w:hAnsi="Times New Roman"/>
          <w:color w:val="000000" w:themeColor="text1"/>
          <w:sz w:val="16"/>
          <w:szCs w:val="16"/>
        </w:rPr>
        <w:instrText xml:space="preserve"> HYPERLINK "http://www.opentextnn.ru/censorship/russia/sov/law/tsk/1930/&amp;DTh_Code=64" \l "_ednref5" \o "" </w:instrText>
      </w:r>
      <w:r w:rsidRPr="0044524F">
        <w:rPr>
          <w:rFonts w:ascii="Times New Roman" w:hAnsi="Times New Roman"/>
          <w:color w:val="000000" w:themeColor="text1"/>
          <w:sz w:val="16"/>
          <w:szCs w:val="16"/>
        </w:rPr>
      </w:r>
      <w:r w:rsidRPr="0044524F">
        <w:rPr>
          <w:rFonts w:ascii="Times New Roman" w:hAnsi="Times New Roman"/>
          <w:color w:val="000000" w:themeColor="text1"/>
          <w:sz w:val="16"/>
          <w:szCs w:val="16"/>
        </w:rPr>
        <w:fldChar w:fldCharType="separate"/>
      </w:r>
      <w:r w:rsidR="00404414" w:rsidRPr="0044524F">
        <w:rPr>
          <w:rStyle w:val="a5"/>
          <w:rFonts w:ascii="Times New Roman" w:hAnsi="Times New Roman"/>
          <w:color w:val="000000" w:themeColor="text1"/>
          <w:sz w:val="16"/>
          <w:szCs w:val="16"/>
        </w:rPr>
        <w:t>[v]</w:t>
      </w:r>
      <w:r w:rsidRPr="0044524F">
        <w:rPr>
          <w:rFonts w:ascii="Times New Roman" w:hAnsi="Times New Roman"/>
          <w:color w:val="000000" w:themeColor="text1"/>
          <w:sz w:val="16"/>
          <w:szCs w:val="16"/>
        </w:rPr>
        <w:fldChar w:fldCharType="end"/>
      </w:r>
      <w:bookmarkEnd w:id="27"/>
      <w:r w:rsidR="00404414" w:rsidRPr="0044524F">
        <w:rPr>
          <w:rFonts w:ascii="Times New Roman" w:hAnsi="Times New Roman"/>
          <w:color w:val="000000" w:themeColor="text1"/>
          <w:sz w:val="16"/>
          <w:szCs w:val="16"/>
        </w:rPr>
        <w:t>. Имеется в виду Центр книгожурального распространения ОГИЗа при Наркомпросе РСФСР (1930-1935 гг.), издававший циркуляры об изъятии книг из книготорговых предприятий и направлении их в макулатуру на переработку (17260).</w:t>
      </w:r>
    </w:p>
    <w:p w14:paraId="63AB6815" w14:textId="77777777" w:rsidR="00404414" w:rsidRPr="0044524F" w:rsidRDefault="00404414" w:rsidP="009654CF">
      <w:pPr>
        <w:spacing w:after="0" w:line="240" w:lineRule="auto"/>
        <w:jc w:val="both"/>
        <w:rPr>
          <w:rFonts w:ascii="Times New Roman" w:hAnsi="Times New Roman"/>
          <w:color w:val="000000" w:themeColor="text1"/>
          <w:sz w:val="16"/>
          <w:szCs w:val="16"/>
        </w:rPr>
      </w:pPr>
    </w:p>
    <w:p w14:paraId="41C4DE3F"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88EF0F4"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5EBE80D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16 и 22 июня 1933. Из протокола заседания Политбюро N 140, 1933 г.</w:t>
      </w:r>
    </w:p>
    <w:p w14:paraId="4D621E9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 Италии </w:t>
      </w:r>
    </w:p>
    <w:p w14:paraId="483C2FD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Независимо от извещения французов о переговорах с Италией немедля дать согласие Муссолини на его предложение о пакте и представить ему наш проект пакта ненападения, поручив ведение переговоров т. Потемкину (11652).</w:t>
      </w:r>
    </w:p>
    <w:p w14:paraId="480432A8"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641831E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16 июня 1933 г. министр экономики Германии А. Хугенберг вручил меморандум председателю Международной экономической конференции в Лондоне X. Коллину. В нем Хугенберг под предлогом преодоления экономического кризиса наряду с требованием вернуть Германии потерянные колонии потребовал предоставления Германии «новых территорий для колонизации» за счет СССР. Он призвал западные державы положить конец «революции и внутренней разрухе, которые нашли свою исходную точку в России» («Меморандум Хугенберга» см.: ADAP, Ser.C, Bd.I,2. S. 557—562 (Dok. №312).). Крестинский, явно встревоженный «меморандумом Хугенберга», 23 июня 1933 г. в очередном ориентировочном письме Хинчуку писал, что данный меморандум отнюдь не является единичным выступлением Хугенберга, а «представляет из себя строго продуманный акт германского правительства в целом. &lt;...&gt; Гермпра готово принять участие в военной коалиции против нас, готово выставить основные военные силы для войны с нами и требует за это лишь двух вещей — свободы вооружений и компенсаций за счет СССР. &lt;...&gt; Нам прежде всего нужно будет помнить, что дружественным уверениям гермпра верить нельзя, что в более отдаленные политические планы Германии входит война с нами, что нынешнее положение является лишь временной передышкой» (АВП РФ, ф. 082, оп. 16, п. 71, д. 1, л. 266-267.) (11784). «Меморандум Хугенберга» напрочь отрезал пути возврата к «рапалльской политике», — в нем почти неприкрыто прозвучал призыв к войне против СССР. После этого переориентация СССР с Германии на Францию и Польшу стала уже лишь «делом техники». В начале июля 1933 г. Москва предложила Парижу заключить негласное и устное двустороннее джентльменское соглашение о взаимном обмене информацией по важнейшим проблемам обстановки в Европе, а также по соглашениям, которые каждая из сторон намеревалась заключать с третьими странами (Максимычев И. Ф. Указ, соч, с. 48—49.). 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w:t>
      </w:r>
      <w:r w:rsidRPr="0044524F">
        <w:rPr>
          <w:rFonts w:ascii="Times New Roman" w:hAnsi="Times New Roman"/>
          <w:color w:val="000000" w:themeColor="text1"/>
          <w:sz w:val="16"/>
          <w:szCs w:val="16"/>
        </w:rPr>
        <w:lastRenderedPageBreak/>
        <w:t>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0F3FEAE0"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2222596F"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ACDCACC"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63E9B4E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в США был принят закон о восстановлении промышленности, который ввел элементы госрегулирования, ограничил конкуренцию и ввел колдоговоры (3481).</w:t>
      </w:r>
    </w:p>
    <w:p w14:paraId="17CEA026"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6CE2802F" w14:textId="77777777" w:rsidR="00404414" w:rsidRPr="0044524F" w:rsidRDefault="00404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16 июня</w:t>
      </w:r>
      <w:r w:rsidRPr="0044524F">
        <w:rPr>
          <w:rFonts w:ascii="Times New Roman" w:hAnsi="Times New Roman"/>
          <w:color w:val="000000" w:themeColor="text1"/>
          <w:sz w:val="16"/>
          <w:szCs w:val="16"/>
        </w:rPr>
        <w:t xml:space="preserve"> в 1933 году США. Закон о восстановлении промышленности (вводит элементы государственного регулирования и ограничивает конкурентную борьбу, провозглашает право рабочих на коллективный договор с предпринимателем) (14924).</w:t>
      </w:r>
    </w:p>
    <w:p w14:paraId="485C759F" w14:textId="77777777" w:rsidR="00404414" w:rsidRPr="0044524F" w:rsidRDefault="00404414" w:rsidP="009654CF">
      <w:pPr>
        <w:spacing w:after="0" w:line="240" w:lineRule="auto"/>
        <w:jc w:val="both"/>
        <w:rPr>
          <w:rFonts w:ascii="Times New Roman" w:hAnsi="Times New Roman"/>
          <w:color w:val="000000" w:themeColor="text1"/>
          <w:sz w:val="16"/>
          <w:szCs w:val="16"/>
        </w:rPr>
      </w:pPr>
    </w:p>
    <w:p w14:paraId="1E1939FE"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8D287F6"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4FB6B52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июня 1933 состоялось техническое совещание КОСОС и ОЭЛИД по ТБ-4 (1077,177).</w:t>
      </w:r>
    </w:p>
    <w:p w14:paraId="2F51136E"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5463308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июня 1933 состоялся первый полет И-14 Бристоль Меркурий IVS2 500 нр, построенного в ЗОК ЦАГИ в мае 1933 (1719,46).</w:t>
      </w:r>
    </w:p>
    <w:p w14:paraId="7C48EB5A"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1479CCC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июня 1933 года вышло Постановление Революционного Военного Совета Союза ССР N 3022сс (3903) "О ходе выполнения плана опытного самолето и моторостроения и вооружения авиации" (2286,91):</w:t>
      </w:r>
    </w:p>
    <w:p w14:paraId="1FB1326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РВС Союза констатирует, что план опытного строительства авиационных моторов и самолетов, утвержденный СТО 4.VII-32 г., ГУАПом и ГУГВФом в установленные Правительством сроки не выполнен. Это невыполнение плана опытного самолето и моторостроения создает серьезную угрозу технического отставания материальной части ВВС РККА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6BE8546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4AFB580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что ГУАП, ввиду возрастающего объема опытного строительства, совершенно правильно принял меры к расширению базы опытного самолето-моторостроения, создав на заводе N 39 конструкторское бюро по проектированию и постройке опытных образцов легких сухопутных и морских самолетов, на заводе N 29 - базу по опытному моторостроению, развернув в ХАИ и МАИ базу по опытному самолето и моторостроения.</w:t>
      </w:r>
    </w:p>
    <w:p w14:paraId="276CBF3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11F05D1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авиационных моторов с высокой степенью сжатия и моторов с нагнетателями - велись явно недостаточными темпами.</w:t>
      </w:r>
    </w:p>
    <w:p w14:paraId="4D2F6F4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всего вышеизложенного РВС Союза постановляет:</w:t>
      </w:r>
    </w:p>
    <w:p w14:paraId="2FCDCF2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опытному моторо и самолетостроению</w:t>
      </w:r>
    </w:p>
    <w:p w14:paraId="0591513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скорейшей ликвидации прорыва в опытном строительстве авиации и предотвращении значительного технического отставания материальной части ВВС от таковой вероятных противников, просить К.О. об утверждении нижеследующего плана опытного строительства, во изменение плана опытного строительства, утвержденного СТО 4.VII-32 года.</w:t>
      </w:r>
    </w:p>
    <w:p w14:paraId="32E514A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813"/>
        <w:gridCol w:w="813"/>
        <w:gridCol w:w="813"/>
        <w:gridCol w:w="813"/>
        <w:gridCol w:w="813"/>
        <w:gridCol w:w="4298"/>
      </w:tblGrid>
      <w:tr w:rsidR="004E10C1" w:rsidRPr="0044524F" w14:paraId="2A811F0A" w14:textId="77777777">
        <w:tc>
          <w:tcPr>
            <w:tcW w:w="2235" w:type="dxa"/>
          </w:tcPr>
          <w:p w14:paraId="19561F9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Марка</w:t>
            </w:r>
          </w:p>
        </w:tc>
        <w:tc>
          <w:tcPr>
            <w:tcW w:w="813" w:type="dxa"/>
          </w:tcPr>
          <w:p w14:paraId="1805A97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813" w:type="dxa"/>
          </w:tcPr>
          <w:p w14:paraId="2C41E42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813" w:type="dxa"/>
          </w:tcPr>
          <w:p w14:paraId="76DAD4C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813" w:type="dxa"/>
          </w:tcPr>
          <w:p w14:paraId="4420E47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813" w:type="dxa"/>
          </w:tcPr>
          <w:p w14:paraId="3CE9F99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w:t>
            </w:r>
          </w:p>
        </w:tc>
        <w:tc>
          <w:tcPr>
            <w:tcW w:w="4298" w:type="dxa"/>
          </w:tcPr>
          <w:p w14:paraId="77198E9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испытания</w:t>
            </w:r>
          </w:p>
        </w:tc>
      </w:tr>
      <w:tr w:rsidR="004E10C1" w:rsidRPr="0044524F" w14:paraId="3AE3D7DC" w14:textId="77777777">
        <w:tc>
          <w:tcPr>
            <w:tcW w:w="2235" w:type="dxa"/>
          </w:tcPr>
          <w:p w14:paraId="36907BCE"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5FEA5803"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3C3F648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л.с.</w:t>
            </w:r>
          </w:p>
        </w:tc>
        <w:tc>
          <w:tcPr>
            <w:tcW w:w="813" w:type="dxa"/>
          </w:tcPr>
          <w:p w14:paraId="6701398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w:t>
            </w:r>
          </w:p>
        </w:tc>
        <w:tc>
          <w:tcPr>
            <w:tcW w:w="813" w:type="dxa"/>
          </w:tcPr>
          <w:p w14:paraId="3509EF9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кг</w:t>
            </w:r>
          </w:p>
        </w:tc>
        <w:tc>
          <w:tcPr>
            <w:tcW w:w="813" w:type="dxa"/>
          </w:tcPr>
          <w:p w14:paraId="5939B9D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горюч.</w:t>
            </w:r>
          </w:p>
        </w:tc>
        <w:tc>
          <w:tcPr>
            <w:tcW w:w="4298" w:type="dxa"/>
          </w:tcPr>
          <w:p w14:paraId="169A5CB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1E493C9A" w14:textId="77777777">
        <w:tc>
          <w:tcPr>
            <w:tcW w:w="2235" w:type="dxa"/>
          </w:tcPr>
          <w:p w14:paraId="51DCE4A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223D547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25DEBCCA"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6CFD5D8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4EF9330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49281FB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гр/лс/ч</w:t>
            </w:r>
          </w:p>
        </w:tc>
        <w:tc>
          <w:tcPr>
            <w:tcW w:w="4298" w:type="dxa"/>
          </w:tcPr>
          <w:p w14:paraId="2355667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0498EB8F" w14:textId="77777777">
        <w:tc>
          <w:tcPr>
            <w:tcW w:w="2235" w:type="dxa"/>
          </w:tcPr>
          <w:p w14:paraId="7AA6911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Опытные</w:t>
            </w:r>
          </w:p>
        </w:tc>
        <w:tc>
          <w:tcPr>
            <w:tcW w:w="813" w:type="dxa"/>
          </w:tcPr>
          <w:p w14:paraId="63194BEA"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5C82362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0A63A64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2BEF7353"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1C27F618"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4298" w:type="dxa"/>
          </w:tcPr>
          <w:p w14:paraId="4418C060"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21018BE3" w14:textId="77777777">
        <w:tc>
          <w:tcPr>
            <w:tcW w:w="2235" w:type="dxa"/>
          </w:tcPr>
          <w:p w14:paraId="799187C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813" w:type="dxa"/>
          </w:tcPr>
          <w:p w14:paraId="5F125A9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Водян.</w:t>
            </w:r>
          </w:p>
        </w:tc>
        <w:tc>
          <w:tcPr>
            <w:tcW w:w="813" w:type="dxa"/>
          </w:tcPr>
          <w:p w14:paraId="5E2A64B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813" w:type="dxa"/>
          </w:tcPr>
          <w:p w14:paraId="1B67999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813" w:type="dxa"/>
          </w:tcPr>
          <w:p w14:paraId="707C74D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c>
          <w:tcPr>
            <w:tcW w:w="813" w:type="dxa"/>
          </w:tcPr>
          <w:p w14:paraId="719B82B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w:t>
            </w:r>
          </w:p>
        </w:tc>
        <w:tc>
          <w:tcPr>
            <w:tcW w:w="4298" w:type="dxa"/>
          </w:tcPr>
          <w:p w14:paraId="75F3B20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1.XI-33 г.</w:t>
            </w:r>
          </w:p>
        </w:tc>
      </w:tr>
      <w:tr w:rsidR="004E10C1" w:rsidRPr="0044524F" w14:paraId="2735131D" w14:textId="77777777">
        <w:tc>
          <w:tcPr>
            <w:tcW w:w="2235" w:type="dxa"/>
          </w:tcPr>
          <w:p w14:paraId="5360591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3247524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752B3B3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813" w:type="dxa"/>
          </w:tcPr>
          <w:p w14:paraId="168C72C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3600</w:t>
            </w:r>
          </w:p>
        </w:tc>
        <w:tc>
          <w:tcPr>
            <w:tcW w:w="813" w:type="dxa"/>
          </w:tcPr>
          <w:p w14:paraId="251BC0B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813" w:type="dxa"/>
          </w:tcPr>
          <w:p w14:paraId="34BCFB7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4298" w:type="dxa"/>
          </w:tcPr>
          <w:p w14:paraId="51077C3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1.XI-33 г.</w:t>
            </w:r>
          </w:p>
        </w:tc>
      </w:tr>
      <w:tr w:rsidR="004E10C1" w:rsidRPr="0044524F" w14:paraId="15C54E95" w14:textId="77777777">
        <w:tc>
          <w:tcPr>
            <w:tcW w:w="2235" w:type="dxa"/>
          </w:tcPr>
          <w:p w14:paraId="3A2AFDC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813" w:type="dxa"/>
          </w:tcPr>
          <w:p w14:paraId="1E57792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1CCF217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813" w:type="dxa"/>
          </w:tcPr>
          <w:p w14:paraId="51446FD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49840E4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675</w:t>
            </w:r>
          </w:p>
        </w:tc>
        <w:tc>
          <w:tcPr>
            <w:tcW w:w="813" w:type="dxa"/>
          </w:tcPr>
          <w:p w14:paraId="6A24C54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w:t>
            </w:r>
          </w:p>
        </w:tc>
        <w:tc>
          <w:tcPr>
            <w:tcW w:w="4298" w:type="dxa"/>
          </w:tcPr>
          <w:p w14:paraId="1FB249C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1.III-34 г.</w:t>
            </w:r>
          </w:p>
        </w:tc>
      </w:tr>
      <w:tr w:rsidR="004E10C1" w:rsidRPr="0044524F" w14:paraId="19F22CDC" w14:textId="77777777">
        <w:tc>
          <w:tcPr>
            <w:tcW w:w="2235" w:type="dxa"/>
          </w:tcPr>
          <w:p w14:paraId="4D64643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РН</w:t>
            </w:r>
          </w:p>
        </w:tc>
        <w:tc>
          <w:tcPr>
            <w:tcW w:w="813" w:type="dxa"/>
          </w:tcPr>
          <w:p w14:paraId="1F64C99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7896E0F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813" w:type="dxa"/>
          </w:tcPr>
          <w:p w14:paraId="4F40B97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813" w:type="dxa"/>
          </w:tcPr>
          <w:p w14:paraId="01181FB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813" w:type="dxa"/>
          </w:tcPr>
          <w:p w14:paraId="1585714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4298" w:type="dxa"/>
          </w:tcPr>
          <w:p w14:paraId="3B5729F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1.V-34 г.</w:t>
            </w:r>
          </w:p>
        </w:tc>
      </w:tr>
      <w:tr w:rsidR="004E10C1" w:rsidRPr="0044524F" w14:paraId="6FA10EFB" w14:textId="77777777">
        <w:tc>
          <w:tcPr>
            <w:tcW w:w="2235" w:type="dxa"/>
          </w:tcPr>
          <w:p w14:paraId="7AAFA53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813" w:type="dxa"/>
          </w:tcPr>
          <w:p w14:paraId="3F62697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3D754B3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813" w:type="dxa"/>
          </w:tcPr>
          <w:p w14:paraId="57D2FA9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813" w:type="dxa"/>
          </w:tcPr>
          <w:p w14:paraId="53E4072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813" w:type="dxa"/>
          </w:tcPr>
          <w:p w14:paraId="6DF3925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4298" w:type="dxa"/>
          </w:tcPr>
          <w:p w14:paraId="3442541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1.IX-34 г.</w:t>
            </w:r>
          </w:p>
        </w:tc>
      </w:tr>
      <w:tr w:rsidR="004E10C1" w:rsidRPr="0044524F" w14:paraId="6B20AC77" w14:textId="77777777">
        <w:tc>
          <w:tcPr>
            <w:tcW w:w="2235" w:type="dxa"/>
          </w:tcPr>
          <w:p w14:paraId="10C8B37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813" w:type="dxa"/>
          </w:tcPr>
          <w:p w14:paraId="7E998E8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63FCE67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813" w:type="dxa"/>
          </w:tcPr>
          <w:p w14:paraId="782364E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813" w:type="dxa"/>
          </w:tcPr>
          <w:p w14:paraId="00E22EA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813" w:type="dxa"/>
          </w:tcPr>
          <w:p w14:paraId="0023D28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4298" w:type="dxa"/>
          </w:tcPr>
          <w:p w14:paraId="794F1D3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1.IX-34 г.</w:t>
            </w:r>
          </w:p>
        </w:tc>
      </w:tr>
      <w:tr w:rsidR="004E10C1" w:rsidRPr="0044524F" w14:paraId="79D4905B" w14:textId="77777777">
        <w:tc>
          <w:tcPr>
            <w:tcW w:w="2235" w:type="dxa"/>
          </w:tcPr>
          <w:p w14:paraId="5F8551B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однорядн.</w:t>
            </w:r>
          </w:p>
        </w:tc>
        <w:tc>
          <w:tcPr>
            <w:tcW w:w="813" w:type="dxa"/>
          </w:tcPr>
          <w:p w14:paraId="189D608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688DF77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813" w:type="dxa"/>
          </w:tcPr>
          <w:p w14:paraId="295B357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2B1F210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w:t>
            </w:r>
          </w:p>
        </w:tc>
        <w:tc>
          <w:tcPr>
            <w:tcW w:w="813" w:type="dxa"/>
          </w:tcPr>
          <w:p w14:paraId="6441BFC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4298" w:type="dxa"/>
          </w:tcPr>
          <w:p w14:paraId="49666F9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1.XII-33 г.</w:t>
            </w:r>
          </w:p>
        </w:tc>
      </w:tr>
      <w:tr w:rsidR="004E10C1" w:rsidRPr="0044524F" w14:paraId="1EB7F6BD" w14:textId="77777777">
        <w:tc>
          <w:tcPr>
            <w:tcW w:w="2235" w:type="dxa"/>
          </w:tcPr>
          <w:p w14:paraId="6AB2E75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глиссерн.</w:t>
            </w:r>
          </w:p>
        </w:tc>
        <w:tc>
          <w:tcPr>
            <w:tcW w:w="813" w:type="dxa"/>
          </w:tcPr>
          <w:p w14:paraId="6C62179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0A2F3ED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813" w:type="dxa"/>
          </w:tcPr>
          <w:p w14:paraId="518B83D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704CD97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c>
          <w:tcPr>
            <w:tcW w:w="813" w:type="dxa"/>
          </w:tcPr>
          <w:p w14:paraId="4F3FA3B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4298" w:type="dxa"/>
          </w:tcPr>
          <w:p w14:paraId="577781B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1.VII-33 г.</w:t>
            </w:r>
          </w:p>
        </w:tc>
      </w:tr>
      <w:tr w:rsidR="004E10C1" w:rsidRPr="0044524F" w14:paraId="333E114A" w14:textId="77777777">
        <w:tc>
          <w:tcPr>
            <w:tcW w:w="2235" w:type="dxa"/>
          </w:tcPr>
          <w:p w14:paraId="12817F6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ГМ34фрн</w:t>
            </w:r>
          </w:p>
        </w:tc>
        <w:tc>
          <w:tcPr>
            <w:tcW w:w="813" w:type="dxa"/>
          </w:tcPr>
          <w:p w14:paraId="0D01B55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1595938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813" w:type="dxa"/>
          </w:tcPr>
          <w:p w14:paraId="264A921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15D35E9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c>
          <w:tcPr>
            <w:tcW w:w="813" w:type="dxa"/>
          </w:tcPr>
          <w:p w14:paraId="68E07F5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4298" w:type="dxa"/>
          </w:tcPr>
          <w:p w14:paraId="078277E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1.VII-34 г.</w:t>
            </w:r>
          </w:p>
        </w:tc>
      </w:tr>
      <w:tr w:rsidR="004E10C1" w:rsidRPr="0044524F" w14:paraId="3421AF53" w14:textId="77777777">
        <w:tc>
          <w:tcPr>
            <w:tcW w:w="2235" w:type="dxa"/>
          </w:tcPr>
          <w:p w14:paraId="6F2A04D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с нагнетат.</w:t>
            </w:r>
          </w:p>
        </w:tc>
        <w:tc>
          <w:tcPr>
            <w:tcW w:w="813" w:type="dxa"/>
          </w:tcPr>
          <w:p w14:paraId="3A08BED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w:t>
            </w:r>
          </w:p>
        </w:tc>
        <w:tc>
          <w:tcPr>
            <w:tcW w:w="813" w:type="dxa"/>
          </w:tcPr>
          <w:p w14:paraId="7C8D249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630</w:t>
            </w:r>
          </w:p>
        </w:tc>
        <w:tc>
          <w:tcPr>
            <w:tcW w:w="813" w:type="dxa"/>
          </w:tcPr>
          <w:p w14:paraId="4DC114A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813" w:type="dxa"/>
          </w:tcPr>
          <w:p w14:paraId="0341872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813" w:type="dxa"/>
          </w:tcPr>
          <w:p w14:paraId="03EAF07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c>
          <w:tcPr>
            <w:tcW w:w="4298" w:type="dxa"/>
          </w:tcPr>
          <w:p w14:paraId="67188E8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1.IX-33 г.</w:t>
            </w:r>
          </w:p>
        </w:tc>
      </w:tr>
      <w:tr w:rsidR="004E10C1" w:rsidRPr="0044524F" w14:paraId="28127C06" w14:textId="77777777">
        <w:tc>
          <w:tcPr>
            <w:tcW w:w="2235" w:type="dxa"/>
          </w:tcPr>
          <w:p w14:paraId="0B4FD43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Экспериментальные</w:t>
            </w:r>
          </w:p>
        </w:tc>
        <w:tc>
          <w:tcPr>
            <w:tcW w:w="813" w:type="dxa"/>
          </w:tcPr>
          <w:p w14:paraId="108D7D1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1F04311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7EDC54D5"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65AF7DE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187D804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4298" w:type="dxa"/>
          </w:tcPr>
          <w:p w14:paraId="21ADEAB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4B74DBFF" w14:textId="77777777">
        <w:tc>
          <w:tcPr>
            <w:tcW w:w="2235" w:type="dxa"/>
          </w:tcPr>
          <w:p w14:paraId="682CAA3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 с нагнетат.</w:t>
            </w:r>
          </w:p>
        </w:tc>
        <w:tc>
          <w:tcPr>
            <w:tcW w:w="813" w:type="dxa"/>
          </w:tcPr>
          <w:p w14:paraId="148B47D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Водян.</w:t>
            </w:r>
          </w:p>
        </w:tc>
        <w:tc>
          <w:tcPr>
            <w:tcW w:w="813" w:type="dxa"/>
          </w:tcPr>
          <w:p w14:paraId="3E4EE11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813" w:type="dxa"/>
          </w:tcPr>
          <w:p w14:paraId="731ED43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813" w:type="dxa"/>
          </w:tcPr>
          <w:p w14:paraId="00C1765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813" w:type="dxa"/>
          </w:tcPr>
          <w:p w14:paraId="18E6A2D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4298" w:type="dxa"/>
          </w:tcPr>
          <w:p w14:paraId="63017F1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1.VI-34 г.</w:t>
            </w:r>
          </w:p>
        </w:tc>
      </w:tr>
      <w:tr w:rsidR="004E10C1" w:rsidRPr="0044524F" w14:paraId="2D01FA3C" w14:textId="77777777">
        <w:tc>
          <w:tcPr>
            <w:tcW w:w="2235" w:type="dxa"/>
          </w:tcPr>
          <w:p w14:paraId="5D28B0E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редуктор.</w:t>
            </w:r>
          </w:p>
        </w:tc>
        <w:tc>
          <w:tcPr>
            <w:tcW w:w="813" w:type="dxa"/>
          </w:tcPr>
          <w:p w14:paraId="7D189ED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34933630"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0E92A86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2B525C05"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11A0E9EF"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4298" w:type="dxa"/>
          </w:tcPr>
          <w:p w14:paraId="653B3F8D"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301A9ECC" w14:textId="77777777">
        <w:tc>
          <w:tcPr>
            <w:tcW w:w="2235" w:type="dxa"/>
          </w:tcPr>
          <w:p w14:paraId="3FE9ACD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ГМ-44</w:t>
            </w:r>
          </w:p>
        </w:tc>
        <w:tc>
          <w:tcPr>
            <w:tcW w:w="813" w:type="dxa"/>
          </w:tcPr>
          <w:p w14:paraId="02993E5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4BF8DE2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813" w:type="dxa"/>
          </w:tcPr>
          <w:p w14:paraId="256F5C8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3C3CA5A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tc>
        <w:tc>
          <w:tcPr>
            <w:tcW w:w="813" w:type="dxa"/>
          </w:tcPr>
          <w:p w14:paraId="7DAB6A2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298" w:type="dxa"/>
          </w:tcPr>
          <w:p w14:paraId="34154C3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56189C8" w14:textId="77777777">
        <w:tc>
          <w:tcPr>
            <w:tcW w:w="2235" w:type="dxa"/>
          </w:tcPr>
          <w:p w14:paraId="084ABB6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(дизель)</w:t>
            </w:r>
          </w:p>
        </w:tc>
        <w:tc>
          <w:tcPr>
            <w:tcW w:w="813" w:type="dxa"/>
          </w:tcPr>
          <w:p w14:paraId="3603EFE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50164A9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600-750</w:t>
            </w:r>
          </w:p>
        </w:tc>
        <w:tc>
          <w:tcPr>
            <w:tcW w:w="813" w:type="dxa"/>
          </w:tcPr>
          <w:p w14:paraId="0237E05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34A5410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c>
          <w:tcPr>
            <w:tcW w:w="813" w:type="dxa"/>
          </w:tcPr>
          <w:p w14:paraId="42BC1C2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4298" w:type="dxa"/>
          </w:tcPr>
          <w:p w14:paraId="4590217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1.XI-33 г.</w:t>
            </w:r>
          </w:p>
        </w:tc>
      </w:tr>
      <w:tr w:rsidR="004E10C1" w:rsidRPr="0044524F" w14:paraId="56D6A53F" w14:textId="77777777">
        <w:tc>
          <w:tcPr>
            <w:tcW w:w="2235" w:type="dxa"/>
          </w:tcPr>
          <w:p w14:paraId="49EFA18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 -"-)</w:t>
            </w:r>
          </w:p>
        </w:tc>
        <w:tc>
          <w:tcPr>
            <w:tcW w:w="813" w:type="dxa"/>
          </w:tcPr>
          <w:p w14:paraId="0914E37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0167AFF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813" w:type="dxa"/>
          </w:tcPr>
          <w:p w14:paraId="01D5644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813" w:type="dxa"/>
          </w:tcPr>
          <w:p w14:paraId="7273D1D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813" w:type="dxa"/>
          </w:tcPr>
          <w:p w14:paraId="60458A8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180-190</w:t>
            </w:r>
          </w:p>
        </w:tc>
        <w:tc>
          <w:tcPr>
            <w:tcW w:w="4298" w:type="dxa"/>
          </w:tcPr>
          <w:p w14:paraId="66E0BD9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1.IX-33 г.</w:t>
            </w:r>
          </w:p>
        </w:tc>
      </w:tr>
      <w:tr w:rsidR="004E10C1" w:rsidRPr="0044524F" w14:paraId="0C3751B8" w14:textId="77777777">
        <w:tc>
          <w:tcPr>
            <w:tcW w:w="2235" w:type="dxa"/>
          </w:tcPr>
          <w:p w14:paraId="038E35B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М44 (бенз. С </w:t>
            </w:r>
          </w:p>
        </w:tc>
        <w:tc>
          <w:tcPr>
            <w:tcW w:w="813" w:type="dxa"/>
          </w:tcPr>
          <w:p w14:paraId="01B02A9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5E5EACA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813" w:type="dxa"/>
          </w:tcPr>
          <w:p w14:paraId="7112A60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813" w:type="dxa"/>
          </w:tcPr>
          <w:p w14:paraId="7377B10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813" w:type="dxa"/>
          </w:tcPr>
          <w:p w14:paraId="51CF682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4298" w:type="dxa"/>
          </w:tcPr>
          <w:p w14:paraId="1CDAAD4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1.X-33 г.</w:t>
            </w:r>
          </w:p>
        </w:tc>
      </w:tr>
      <w:tr w:rsidR="004E10C1" w:rsidRPr="0044524F" w14:paraId="19A5F4D5" w14:textId="77777777">
        <w:tc>
          <w:tcPr>
            <w:tcW w:w="2235" w:type="dxa"/>
          </w:tcPr>
          <w:p w14:paraId="4146C52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нагнет.)</w:t>
            </w:r>
          </w:p>
        </w:tc>
        <w:tc>
          <w:tcPr>
            <w:tcW w:w="813" w:type="dxa"/>
          </w:tcPr>
          <w:p w14:paraId="530643AE"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325F543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0E2F5C77"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49FAEC77"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13" w:type="dxa"/>
          </w:tcPr>
          <w:p w14:paraId="3A4E63A7"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4298" w:type="dxa"/>
          </w:tcPr>
          <w:p w14:paraId="6C51D003"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02A9A35A" w14:textId="77777777">
        <w:tc>
          <w:tcPr>
            <w:tcW w:w="2235" w:type="dxa"/>
          </w:tcPr>
          <w:p w14:paraId="0EAE5F0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 (бенз.)</w:t>
            </w:r>
          </w:p>
        </w:tc>
        <w:tc>
          <w:tcPr>
            <w:tcW w:w="813" w:type="dxa"/>
          </w:tcPr>
          <w:p w14:paraId="52806C9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w:t>
            </w:r>
          </w:p>
        </w:tc>
        <w:tc>
          <w:tcPr>
            <w:tcW w:w="813" w:type="dxa"/>
          </w:tcPr>
          <w:p w14:paraId="23D340B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w:t>
            </w:r>
          </w:p>
        </w:tc>
        <w:tc>
          <w:tcPr>
            <w:tcW w:w="813" w:type="dxa"/>
          </w:tcPr>
          <w:p w14:paraId="7A666E1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813" w:type="dxa"/>
          </w:tcPr>
          <w:p w14:paraId="469B533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w:t>
            </w:r>
          </w:p>
        </w:tc>
        <w:tc>
          <w:tcPr>
            <w:tcW w:w="813" w:type="dxa"/>
          </w:tcPr>
          <w:p w14:paraId="4FD4F2A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w:t>
            </w:r>
          </w:p>
        </w:tc>
        <w:tc>
          <w:tcPr>
            <w:tcW w:w="4298" w:type="dxa"/>
          </w:tcPr>
          <w:p w14:paraId="376D999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1.IX-33 г.</w:t>
            </w:r>
          </w:p>
        </w:tc>
      </w:tr>
      <w:tr w:rsidR="004E10C1" w:rsidRPr="0044524F" w14:paraId="51070FFC" w14:textId="77777777">
        <w:tc>
          <w:tcPr>
            <w:tcW w:w="2235" w:type="dxa"/>
          </w:tcPr>
          <w:p w14:paraId="40EC6C5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 с нагн.</w:t>
            </w:r>
          </w:p>
        </w:tc>
        <w:tc>
          <w:tcPr>
            <w:tcW w:w="813" w:type="dxa"/>
          </w:tcPr>
          <w:p w14:paraId="49052BB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666BABE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813" w:type="dxa"/>
          </w:tcPr>
          <w:p w14:paraId="4BADB5B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813" w:type="dxa"/>
          </w:tcPr>
          <w:p w14:paraId="6222468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813" w:type="dxa"/>
          </w:tcPr>
          <w:p w14:paraId="57F7FF8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w:t>
            </w:r>
          </w:p>
        </w:tc>
        <w:tc>
          <w:tcPr>
            <w:tcW w:w="4298" w:type="dxa"/>
          </w:tcPr>
          <w:p w14:paraId="6012EC7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1.I-34 г.</w:t>
            </w:r>
          </w:p>
        </w:tc>
      </w:tr>
      <w:tr w:rsidR="004E10C1" w:rsidRPr="0044524F" w14:paraId="19A76DCF" w14:textId="77777777">
        <w:tc>
          <w:tcPr>
            <w:tcW w:w="2235" w:type="dxa"/>
          </w:tcPr>
          <w:p w14:paraId="16FD269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М56 -"-</w:t>
            </w:r>
          </w:p>
        </w:tc>
        <w:tc>
          <w:tcPr>
            <w:tcW w:w="813" w:type="dxa"/>
          </w:tcPr>
          <w:p w14:paraId="08BD515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3" w:type="dxa"/>
          </w:tcPr>
          <w:p w14:paraId="61E6F13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813" w:type="dxa"/>
          </w:tcPr>
          <w:p w14:paraId="73C1A18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813" w:type="dxa"/>
          </w:tcPr>
          <w:p w14:paraId="665F89B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813" w:type="dxa"/>
          </w:tcPr>
          <w:p w14:paraId="7A34310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298" w:type="dxa"/>
          </w:tcPr>
          <w:p w14:paraId="3F4A1F8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1.Х-34 г.</w:t>
            </w:r>
          </w:p>
        </w:tc>
      </w:tr>
    </w:tbl>
    <w:p w14:paraId="472C5EC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868"/>
        <w:gridCol w:w="868"/>
        <w:gridCol w:w="868"/>
        <w:gridCol w:w="1223"/>
        <w:gridCol w:w="1559"/>
        <w:gridCol w:w="3543"/>
      </w:tblGrid>
      <w:tr w:rsidR="004E10C1" w:rsidRPr="0044524F" w14:paraId="157A30D9" w14:textId="77777777">
        <w:tc>
          <w:tcPr>
            <w:tcW w:w="1668" w:type="dxa"/>
          </w:tcPr>
          <w:p w14:paraId="0C3D34E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868" w:type="dxa"/>
          </w:tcPr>
          <w:p w14:paraId="2322C99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w:t>
            </w:r>
          </w:p>
        </w:tc>
        <w:tc>
          <w:tcPr>
            <w:tcW w:w="868" w:type="dxa"/>
          </w:tcPr>
          <w:p w14:paraId="089BCF7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w:t>
            </w:r>
          </w:p>
        </w:tc>
        <w:tc>
          <w:tcPr>
            <w:tcW w:w="868" w:type="dxa"/>
          </w:tcPr>
          <w:p w14:paraId="5C72D18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w:t>
            </w:r>
          </w:p>
        </w:tc>
        <w:tc>
          <w:tcPr>
            <w:tcW w:w="1223" w:type="dxa"/>
          </w:tcPr>
          <w:p w14:paraId="3BDC5AC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 груз:</w:t>
            </w:r>
          </w:p>
        </w:tc>
        <w:tc>
          <w:tcPr>
            <w:tcW w:w="1559" w:type="dxa"/>
          </w:tcPr>
          <w:p w14:paraId="0F93ED2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3543" w:type="dxa"/>
          </w:tcPr>
          <w:p w14:paraId="38FE792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w:t>
            </w:r>
          </w:p>
        </w:tc>
      </w:tr>
      <w:tr w:rsidR="004E10C1" w:rsidRPr="0044524F" w14:paraId="0E9B2EC8" w14:textId="77777777">
        <w:tc>
          <w:tcPr>
            <w:tcW w:w="1668" w:type="dxa"/>
          </w:tcPr>
          <w:p w14:paraId="0BB0B55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с-та</w:t>
            </w:r>
          </w:p>
        </w:tc>
        <w:tc>
          <w:tcPr>
            <w:tcW w:w="868" w:type="dxa"/>
          </w:tcPr>
          <w:p w14:paraId="1529D9D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 км/час/</w:t>
            </w:r>
          </w:p>
        </w:tc>
        <w:tc>
          <w:tcPr>
            <w:tcW w:w="868" w:type="dxa"/>
          </w:tcPr>
          <w:p w14:paraId="0197FEE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подъема/</w:t>
            </w:r>
          </w:p>
        </w:tc>
        <w:tc>
          <w:tcPr>
            <w:tcW w:w="868" w:type="dxa"/>
          </w:tcPr>
          <w:p w14:paraId="3F19C06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w:t>
            </w:r>
          </w:p>
        </w:tc>
        <w:tc>
          <w:tcPr>
            <w:tcW w:w="1223" w:type="dxa"/>
          </w:tcPr>
          <w:p w14:paraId="59F7E26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w:t>
            </w:r>
          </w:p>
        </w:tc>
        <w:tc>
          <w:tcPr>
            <w:tcW w:w="1559" w:type="dxa"/>
          </w:tcPr>
          <w:p w14:paraId="15B54F5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67B10F0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w:t>
            </w:r>
          </w:p>
        </w:tc>
      </w:tr>
      <w:tr w:rsidR="004E10C1" w:rsidRPr="0044524F" w14:paraId="09C2D813" w14:textId="77777777">
        <w:tc>
          <w:tcPr>
            <w:tcW w:w="1668" w:type="dxa"/>
          </w:tcPr>
          <w:p w14:paraId="725E65F3"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2A7A1D6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м</w:t>
            </w:r>
          </w:p>
        </w:tc>
        <w:tc>
          <w:tcPr>
            <w:tcW w:w="868" w:type="dxa"/>
          </w:tcPr>
          <w:p w14:paraId="29C7CC1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м</w:t>
            </w:r>
          </w:p>
        </w:tc>
        <w:tc>
          <w:tcPr>
            <w:tcW w:w="868" w:type="dxa"/>
          </w:tcPr>
          <w:p w14:paraId="70EC907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норм./с</w:t>
            </w:r>
          </w:p>
        </w:tc>
        <w:tc>
          <w:tcPr>
            <w:tcW w:w="1223" w:type="dxa"/>
          </w:tcPr>
          <w:p w14:paraId="3E6F6C2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перегруз.</w:t>
            </w:r>
          </w:p>
        </w:tc>
        <w:tc>
          <w:tcPr>
            <w:tcW w:w="1559" w:type="dxa"/>
          </w:tcPr>
          <w:p w14:paraId="53956AFD"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26363CAF"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2C64BDE7" w14:textId="77777777">
        <w:tc>
          <w:tcPr>
            <w:tcW w:w="1668" w:type="dxa"/>
          </w:tcPr>
          <w:p w14:paraId="12E803D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69E8AFD0"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1EADB4CD"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08FDE81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перегр.</w:t>
            </w:r>
          </w:p>
        </w:tc>
        <w:tc>
          <w:tcPr>
            <w:tcW w:w="1223" w:type="dxa"/>
          </w:tcPr>
          <w:p w14:paraId="0FBD054F"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61816A75"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3CDE04A3"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2EE054B3" w14:textId="77777777">
        <w:tc>
          <w:tcPr>
            <w:tcW w:w="1668" w:type="dxa"/>
          </w:tcPr>
          <w:p w14:paraId="2FD614D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Тяж. Бомб.</w:t>
            </w:r>
          </w:p>
        </w:tc>
        <w:tc>
          <w:tcPr>
            <w:tcW w:w="868" w:type="dxa"/>
          </w:tcPr>
          <w:p w14:paraId="42EA78B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200/3000</w:t>
            </w:r>
          </w:p>
        </w:tc>
        <w:tc>
          <w:tcPr>
            <w:tcW w:w="868" w:type="dxa"/>
          </w:tcPr>
          <w:p w14:paraId="3825BA9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1A739F2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750/1000</w:t>
            </w:r>
          </w:p>
        </w:tc>
        <w:tc>
          <w:tcPr>
            <w:tcW w:w="1223" w:type="dxa"/>
          </w:tcPr>
          <w:p w14:paraId="60AD576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1559" w:type="dxa"/>
          </w:tcPr>
          <w:p w14:paraId="74FF327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пул.</w:t>
            </w:r>
          </w:p>
        </w:tc>
        <w:tc>
          <w:tcPr>
            <w:tcW w:w="3543" w:type="dxa"/>
          </w:tcPr>
          <w:p w14:paraId="7D4082A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15.VIII-33 г.</w:t>
            </w:r>
          </w:p>
        </w:tc>
      </w:tr>
      <w:tr w:rsidR="004E10C1" w:rsidRPr="0044524F" w14:paraId="74F3B04B" w14:textId="77777777">
        <w:tc>
          <w:tcPr>
            <w:tcW w:w="1668" w:type="dxa"/>
          </w:tcPr>
          <w:p w14:paraId="6F1E146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w:t>
            </w:r>
          </w:p>
        </w:tc>
        <w:tc>
          <w:tcPr>
            <w:tcW w:w="868" w:type="dxa"/>
          </w:tcPr>
          <w:p w14:paraId="70013776"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79B9A2E0"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61AA52B3"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5E33897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7A2CD43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пушки</w:t>
            </w:r>
          </w:p>
        </w:tc>
        <w:tc>
          <w:tcPr>
            <w:tcW w:w="3543" w:type="dxa"/>
          </w:tcPr>
          <w:p w14:paraId="24D75C1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60AD47EA" w14:textId="77777777">
        <w:tc>
          <w:tcPr>
            <w:tcW w:w="1668" w:type="dxa"/>
          </w:tcPr>
          <w:p w14:paraId="43BF2F5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Бомб.</w:t>
            </w:r>
          </w:p>
        </w:tc>
        <w:tc>
          <w:tcPr>
            <w:tcW w:w="868" w:type="dxa"/>
          </w:tcPr>
          <w:p w14:paraId="1887433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260/5000</w:t>
            </w:r>
          </w:p>
        </w:tc>
        <w:tc>
          <w:tcPr>
            <w:tcW w:w="868" w:type="dxa"/>
          </w:tcPr>
          <w:p w14:paraId="182A7A70"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30A7CBE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223" w:type="dxa"/>
          </w:tcPr>
          <w:p w14:paraId="3046B6D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1500/1000</w:t>
            </w:r>
          </w:p>
        </w:tc>
        <w:tc>
          <w:tcPr>
            <w:tcW w:w="1559" w:type="dxa"/>
          </w:tcPr>
          <w:p w14:paraId="23E0052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 пул.</w:t>
            </w:r>
          </w:p>
        </w:tc>
        <w:tc>
          <w:tcPr>
            <w:tcW w:w="3543" w:type="dxa"/>
          </w:tcPr>
          <w:p w14:paraId="6431AC5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1.Х-34 г.</w:t>
            </w:r>
          </w:p>
        </w:tc>
      </w:tr>
      <w:tr w:rsidR="004E10C1" w:rsidRPr="0044524F" w14:paraId="6D5338E0" w14:textId="77777777">
        <w:tc>
          <w:tcPr>
            <w:tcW w:w="1668" w:type="dxa"/>
          </w:tcPr>
          <w:p w14:paraId="72ACD2B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ТБ3-4М34НР</w:t>
            </w:r>
          </w:p>
        </w:tc>
        <w:tc>
          <w:tcPr>
            <w:tcW w:w="868" w:type="dxa"/>
          </w:tcPr>
          <w:p w14:paraId="6B1BC5B6"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237CC93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0540CED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223" w:type="dxa"/>
          </w:tcPr>
          <w:p w14:paraId="224C42AF"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62A703F8"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3C503D7A"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59F8C996" w14:textId="77777777">
        <w:tc>
          <w:tcPr>
            <w:tcW w:w="1668" w:type="dxa"/>
          </w:tcPr>
          <w:p w14:paraId="2CB9D52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Многом. истр.</w:t>
            </w:r>
          </w:p>
        </w:tc>
        <w:tc>
          <w:tcPr>
            <w:tcW w:w="868" w:type="dxa"/>
          </w:tcPr>
          <w:p w14:paraId="7031E7E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868" w:type="dxa"/>
          </w:tcPr>
          <w:p w14:paraId="459A09A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15/5000</w:t>
            </w:r>
          </w:p>
        </w:tc>
        <w:tc>
          <w:tcPr>
            <w:tcW w:w="868" w:type="dxa"/>
          </w:tcPr>
          <w:p w14:paraId="4171B81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223" w:type="dxa"/>
          </w:tcPr>
          <w:p w14:paraId="42AF40F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585B0C1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пулем.</w:t>
            </w:r>
          </w:p>
        </w:tc>
        <w:tc>
          <w:tcPr>
            <w:tcW w:w="3543" w:type="dxa"/>
          </w:tcPr>
          <w:p w14:paraId="37EB53C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1.IX.-33 г.</w:t>
            </w:r>
          </w:p>
        </w:tc>
      </w:tr>
      <w:tr w:rsidR="004E10C1" w:rsidRPr="0044524F" w14:paraId="69A1ACF4" w14:textId="77777777">
        <w:tc>
          <w:tcPr>
            <w:tcW w:w="1668" w:type="dxa"/>
          </w:tcPr>
          <w:p w14:paraId="385A5B5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w:t>
            </w:r>
          </w:p>
        </w:tc>
        <w:tc>
          <w:tcPr>
            <w:tcW w:w="868" w:type="dxa"/>
          </w:tcPr>
          <w:p w14:paraId="7D6F800E"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39909CA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7BD6D7B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7C1F270D"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522A235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пушка</w:t>
            </w:r>
          </w:p>
        </w:tc>
        <w:tc>
          <w:tcPr>
            <w:tcW w:w="3543" w:type="dxa"/>
          </w:tcPr>
          <w:p w14:paraId="3599D58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6AF73454" w14:textId="77777777">
        <w:tc>
          <w:tcPr>
            <w:tcW w:w="1668" w:type="dxa"/>
          </w:tcPr>
          <w:p w14:paraId="7A74F1B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 Крейсер</w:t>
            </w:r>
          </w:p>
        </w:tc>
        <w:tc>
          <w:tcPr>
            <w:tcW w:w="868" w:type="dxa"/>
          </w:tcPr>
          <w:p w14:paraId="7369FAF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230/4000</w:t>
            </w:r>
          </w:p>
        </w:tc>
        <w:tc>
          <w:tcPr>
            <w:tcW w:w="868" w:type="dxa"/>
          </w:tcPr>
          <w:p w14:paraId="43CD5E0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389DD27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750/1200</w:t>
            </w:r>
          </w:p>
        </w:tc>
        <w:tc>
          <w:tcPr>
            <w:tcW w:w="1223" w:type="dxa"/>
          </w:tcPr>
          <w:p w14:paraId="19A1075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3500/1800</w:t>
            </w:r>
          </w:p>
        </w:tc>
        <w:tc>
          <w:tcPr>
            <w:tcW w:w="1559" w:type="dxa"/>
          </w:tcPr>
          <w:p w14:paraId="51A346B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43" w:type="dxa"/>
          </w:tcPr>
          <w:p w14:paraId="7FDD61A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1.VIII-34 г.</w:t>
            </w:r>
          </w:p>
        </w:tc>
      </w:tr>
      <w:tr w:rsidR="004E10C1" w:rsidRPr="0044524F" w14:paraId="2A07F56B" w14:textId="77777777">
        <w:tc>
          <w:tcPr>
            <w:tcW w:w="1668" w:type="dxa"/>
          </w:tcPr>
          <w:p w14:paraId="289F687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МК1-6М34НР</w:t>
            </w:r>
          </w:p>
        </w:tc>
        <w:tc>
          <w:tcPr>
            <w:tcW w:w="868" w:type="dxa"/>
          </w:tcPr>
          <w:p w14:paraId="06765626"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04D3B1E5"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485C599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19E69116"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3D58C38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1152A170"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0ABF1CF4" w14:textId="77777777">
        <w:tc>
          <w:tcPr>
            <w:tcW w:w="1668" w:type="dxa"/>
          </w:tcPr>
          <w:p w14:paraId="0E5ED86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 Дальн.</w:t>
            </w:r>
          </w:p>
        </w:tc>
        <w:tc>
          <w:tcPr>
            <w:tcW w:w="868" w:type="dxa"/>
          </w:tcPr>
          <w:p w14:paraId="67A0825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215-225/</w:t>
            </w:r>
          </w:p>
        </w:tc>
        <w:tc>
          <w:tcPr>
            <w:tcW w:w="868" w:type="dxa"/>
          </w:tcPr>
          <w:p w14:paraId="13B43F4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20/3000</w:t>
            </w:r>
          </w:p>
        </w:tc>
        <w:tc>
          <w:tcPr>
            <w:tcW w:w="868" w:type="dxa"/>
          </w:tcPr>
          <w:p w14:paraId="04EC8F8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750/1250</w:t>
            </w:r>
          </w:p>
        </w:tc>
        <w:tc>
          <w:tcPr>
            <w:tcW w:w="1223" w:type="dxa"/>
          </w:tcPr>
          <w:p w14:paraId="024B679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559" w:type="dxa"/>
          </w:tcPr>
          <w:p w14:paraId="21D0F5A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пулем.</w:t>
            </w:r>
          </w:p>
        </w:tc>
        <w:tc>
          <w:tcPr>
            <w:tcW w:w="3543" w:type="dxa"/>
          </w:tcPr>
          <w:p w14:paraId="686BCDB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1.V-34 г.</w:t>
            </w:r>
          </w:p>
        </w:tc>
      </w:tr>
      <w:tr w:rsidR="004E10C1" w:rsidRPr="0044524F" w14:paraId="3134131A" w14:textId="77777777">
        <w:tc>
          <w:tcPr>
            <w:tcW w:w="1668" w:type="dxa"/>
          </w:tcPr>
          <w:p w14:paraId="60C676B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w:t>
            </w:r>
          </w:p>
        </w:tc>
        <w:tc>
          <w:tcPr>
            <w:tcW w:w="868" w:type="dxa"/>
          </w:tcPr>
          <w:p w14:paraId="38C4F53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3600</w:t>
            </w:r>
          </w:p>
        </w:tc>
        <w:tc>
          <w:tcPr>
            <w:tcW w:w="868" w:type="dxa"/>
          </w:tcPr>
          <w:p w14:paraId="76FF20CE"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349A6E08"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237BF1AA"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64F2C88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510468C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61E8099E" w14:textId="77777777">
        <w:tc>
          <w:tcPr>
            <w:tcW w:w="1668" w:type="dxa"/>
          </w:tcPr>
          <w:p w14:paraId="35CD958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МДР4-3М34РН</w:t>
            </w:r>
          </w:p>
        </w:tc>
        <w:tc>
          <w:tcPr>
            <w:tcW w:w="868" w:type="dxa"/>
          </w:tcPr>
          <w:p w14:paraId="2AED2D2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67EA59AE"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247F559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4403FCA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67FFF78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61C872C6"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3EE57792" w14:textId="77777777">
        <w:tc>
          <w:tcPr>
            <w:tcW w:w="1668" w:type="dxa"/>
          </w:tcPr>
          <w:p w14:paraId="1DC5DDA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Штурмовик</w:t>
            </w:r>
          </w:p>
        </w:tc>
        <w:tc>
          <w:tcPr>
            <w:tcW w:w="868" w:type="dxa"/>
          </w:tcPr>
          <w:p w14:paraId="4AD3F3D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868" w:type="dxa"/>
          </w:tcPr>
          <w:p w14:paraId="403DE86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11/3000</w:t>
            </w:r>
          </w:p>
        </w:tc>
        <w:tc>
          <w:tcPr>
            <w:tcW w:w="868" w:type="dxa"/>
          </w:tcPr>
          <w:p w14:paraId="22098FD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223" w:type="dxa"/>
          </w:tcPr>
          <w:p w14:paraId="63DFC51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1A9977C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пулем.</w:t>
            </w:r>
          </w:p>
        </w:tc>
        <w:tc>
          <w:tcPr>
            <w:tcW w:w="3543" w:type="dxa"/>
          </w:tcPr>
          <w:p w14:paraId="0C94AE0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1.II-34 г.</w:t>
            </w:r>
          </w:p>
        </w:tc>
      </w:tr>
      <w:tr w:rsidR="004E10C1" w:rsidRPr="0044524F" w14:paraId="59C6BE17" w14:textId="77777777">
        <w:tc>
          <w:tcPr>
            <w:tcW w:w="1668" w:type="dxa"/>
          </w:tcPr>
          <w:p w14:paraId="0428EFE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w:t>
            </w:r>
          </w:p>
        </w:tc>
        <w:tc>
          <w:tcPr>
            <w:tcW w:w="868" w:type="dxa"/>
          </w:tcPr>
          <w:p w14:paraId="318794C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3962A048"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17ABC0C7"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330F44DF"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6BD1E9CA"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6F02CED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1F1D9B38" w14:textId="77777777">
        <w:tc>
          <w:tcPr>
            <w:tcW w:w="1668" w:type="dxa"/>
          </w:tcPr>
          <w:p w14:paraId="38774F0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 истребит.</w:t>
            </w:r>
          </w:p>
        </w:tc>
        <w:tc>
          <w:tcPr>
            <w:tcW w:w="868" w:type="dxa"/>
          </w:tcPr>
          <w:p w14:paraId="54205F4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868" w:type="dxa"/>
          </w:tcPr>
          <w:p w14:paraId="78F3A0B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868" w:type="dxa"/>
          </w:tcPr>
          <w:p w14:paraId="3569BE1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223" w:type="dxa"/>
          </w:tcPr>
          <w:p w14:paraId="34AD322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736A8AF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3543" w:type="dxa"/>
          </w:tcPr>
          <w:p w14:paraId="5961FC6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30.VII-33 г.</w:t>
            </w:r>
          </w:p>
        </w:tc>
      </w:tr>
      <w:tr w:rsidR="004E10C1" w:rsidRPr="0044524F" w14:paraId="673CA117" w14:textId="77777777">
        <w:tc>
          <w:tcPr>
            <w:tcW w:w="1668" w:type="dxa"/>
          </w:tcPr>
          <w:p w14:paraId="4DD880F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Бристоль-</w:t>
            </w:r>
          </w:p>
        </w:tc>
        <w:tc>
          <w:tcPr>
            <w:tcW w:w="868" w:type="dxa"/>
          </w:tcPr>
          <w:p w14:paraId="05D88AD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5F52AD9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01DAA47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3BE459E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425A93C5"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27E3BFAA"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475612AC" w14:textId="77777777">
        <w:tc>
          <w:tcPr>
            <w:tcW w:w="1668" w:type="dxa"/>
          </w:tcPr>
          <w:p w14:paraId="1BFCE25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Меркур</w:t>
            </w:r>
          </w:p>
        </w:tc>
        <w:tc>
          <w:tcPr>
            <w:tcW w:w="868" w:type="dxa"/>
          </w:tcPr>
          <w:p w14:paraId="4F85296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42916A65"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5FAB7DB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51025A80"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6256C0D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35318207"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2C318D0E" w14:textId="77777777">
        <w:tc>
          <w:tcPr>
            <w:tcW w:w="1668" w:type="dxa"/>
          </w:tcPr>
          <w:p w14:paraId="4C1718F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 истреб.</w:t>
            </w:r>
          </w:p>
        </w:tc>
        <w:tc>
          <w:tcPr>
            <w:tcW w:w="868" w:type="dxa"/>
          </w:tcPr>
          <w:p w14:paraId="2D24A1D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7161186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34F2382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23" w:type="dxa"/>
          </w:tcPr>
          <w:p w14:paraId="4B6213D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0CA0758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43" w:type="dxa"/>
          </w:tcPr>
          <w:p w14:paraId="02CA768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1.II-34 г.</w:t>
            </w:r>
          </w:p>
        </w:tc>
      </w:tr>
      <w:tr w:rsidR="004E10C1" w:rsidRPr="0044524F" w14:paraId="3020B929" w14:textId="77777777">
        <w:tc>
          <w:tcPr>
            <w:tcW w:w="1668" w:type="dxa"/>
          </w:tcPr>
          <w:p w14:paraId="03FD298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Райт-Циклон</w:t>
            </w:r>
          </w:p>
        </w:tc>
        <w:tc>
          <w:tcPr>
            <w:tcW w:w="868" w:type="dxa"/>
          </w:tcPr>
          <w:p w14:paraId="222F0FEA"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02823EC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59AE352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0B3AC8A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692FABB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64DA9205"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4A35110F" w14:textId="77777777">
        <w:tc>
          <w:tcPr>
            <w:tcW w:w="1668" w:type="dxa"/>
          </w:tcPr>
          <w:p w14:paraId="726C309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 истребит.</w:t>
            </w:r>
          </w:p>
        </w:tc>
        <w:tc>
          <w:tcPr>
            <w:tcW w:w="868" w:type="dxa"/>
          </w:tcPr>
          <w:p w14:paraId="3B90CA6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868" w:type="dxa"/>
          </w:tcPr>
          <w:p w14:paraId="3CB1981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868" w:type="dxa"/>
          </w:tcPr>
          <w:p w14:paraId="0423F5C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223" w:type="dxa"/>
          </w:tcPr>
          <w:p w14:paraId="7297D9A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4686EFF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пулем.</w:t>
            </w:r>
          </w:p>
        </w:tc>
        <w:tc>
          <w:tcPr>
            <w:tcW w:w="3543" w:type="dxa"/>
          </w:tcPr>
          <w:p w14:paraId="41B14F1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1.XII-33 г.</w:t>
            </w:r>
          </w:p>
        </w:tc>
      </w:tr>
      <w:tr w:rsidR="004E10C1" w:rsidRPr="0044524F" w14:paraId="030DC3D4" w14:textId="77777777">
        <w:tc>
          <w:tcPr>
            <w:tcW w:w="1668" w:type="dxa"/>
          </w:tcPr>
          <w:p w14:paraId="70DC3A2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Райт. Циклон</w:t>
            </w:r>
          </w:p>
        </w:tc>
        <w:tc>
          <w:tcPr>
            <w:tcW w:w="868" w:type="dxa"/>
          </w:tcPr>
          <w:p w14:paraId="4BAFAB8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2D535CB0"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7217AA3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10E92D56"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5C7D08BE"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43C54C5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2696EB66" w14:textId="77777777">
        <w:tc>
          <w:tcPr>
            <w:tcW w:w="1668" w:type="dxa"/>
          </w:tcPr>
          <w:p w14:paraId="421E4DE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 истр.</w:t>
            </w:r>
          </w:p>
        </w:tc>
        <w:tc>
          <w:tcPr>
            <w:tcW w:w="868" w:type="dxa"/>
          </w:tcPr>
          <w:p w14:paraId="1FA0092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598C641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79E91D1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23" w:type="dxa"/>
          </w:tcPr>
          <w:p w14:paraId="7F0E383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5F90C5F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43" w:type="dxa"/>
          </w:tcPr>
          <w:p w14:paraId="50068E8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6 мес. после</w:t>
            </w:r>
          </w:p>
        </w:tc>
      </w:tr>
      <w:tr w:rsidR="004E10C1" w:rsidRPr="0044524F" w14:paraId="09FDCC7E" w14:textId="77777777">
        <w:tc>
          <w:tcPr>
            <w:tcW w:w="1668" w:type="dxa"/>
          </w:tcPr>
          <w:p w14:paraId="06D1626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И15-М58</w:t>
            </w:r>
          </w:p>
        </w:tc>
        <w:tc>
          <w:tcPr>
            <w:tcW w:w="868" w:type="dxa"/>
          </w:tcPr>
          <w:p w14:paraId="29B9B62F"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548EE098"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084B17EA"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43E126AD"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2F959D4E"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19C086B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 мотора</w:t>
            </w:r>
          </w:p>
        </w:tc>
      </w:tr>
      <w:tr w:rsidR="004E10C1" w:rsidRPr="0044524F" w14:paraId="11B152BC" w14:textId="77777777">
        <w:tc>
          <w:tcPr>
            <w:tcW w:w="1668" w:type="dxa"/>
          </w:tcPr>
          <w:p w14:paraId="689AAA5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 бл. разв.</w:t>
            </w:r>
          </w:p>
        </w:tc>
        <w:tc>
          <w:tcPr>
            <w:tcW w:w="868" w:type="dxa"/>
          </w:tcPr>
          <w:p w14:paraId="108641D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0997EA3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23FFDF3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23" w:type="dxa"/>
          </w:tcPr>
          <w:p w14:paraId="2A225E0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037D01D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43" w:type="dxa"/>
          </w:tcPr>
          <w:p w14:paraId="6DBD494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1.VIII-33 г.</w:t>
            </w:r>
          </w:p>
        </w:tc>
      </w:tr>
      <w:tr w:rsidR="004E10C1" w:rsidRPr="0044524F" w14:paraId="6B478E7D" w14:textId="77777777">
        <w:tc>
          <w:tcPr>
            <w:tcW w:w="1668" w:type="dxa"/>
          </w:tcPr>
          <w:p w14:paraId="5ABFA84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 (С62)</w:t>
            </w:r>
          </w:p>
        </w:tc>
        <w:tc>
          <w:tcPr>
            <w:tcW w:w="868" w:type="dxa"/>
          </w:tcPr>
          <w:p w14:paraId="05A7653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01E1C187"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4CC9F86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7B4BBFF7"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2410662F"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242CF1DE"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46E9726F" w14:textId="77777777">
        <w:tc>
          <w:tcPr>
            <w:tcW w:w="1668" w:type="dxa"/>
          </w:tcPr>
          <w:p w14:paraId="33323E2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Экспериментальные.</w:t>
            </w:r>
          </w:p>
        </w:tc>
        <w:tc>
          <w:tcPr>
            <w:tcW w:w="868" w:type="dxa"/>
          </w:tcPr>
          <w:p w14:paraId="2986676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2439DE7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5B1770D6"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2D50AF2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0B5BB30D"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57F0AB53"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377336B2" w14:textId="77777777">
        <w:tc>
          <w:tcPr>
            <w:tcW w:w="1668" w:type="dxa"/>
          </w:tcPr>
          <w:p w14:paraId="04D7D9A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Сухоп. крейсер</w:t>
            </w:r>
          </w:p>
        </w:tc>
        <w:tc>
          <w:tcPr>
            <w:tcW w:w="868" w:type="dxa"/>
          </w:tcPr>
          <w:p w14:paraId="67C5A08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868" w:type="dxa"/>
          </w:tcPr>
          <w:p w14:paraId="23AC321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200B389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600/1000</w:t>
            </w:r>
          </w:p>
        </w:tc>
        <w:tc>
          <w:tcPr>
            <w:tcW w:w="1223" w:type="dxa"/>
          </w:tcPr>
          <w:p w14:paraId="69859E5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59" w:type="dxa"/>
          </w:tcPr>
          <w:p w14:paraId="46193C8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 и тяж.</w:t>
            </w:r>
          </w:p>
        </w:tc>
        <w:tc>
          <w:tcPr>
            <w:tcW w:w="3543" w:type="dxa"/>
          </w:tcPr>
          <w:p w14:paraId="5133488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1.XII-34 г.</w:t>
            </w:r>
          </w:p>
        </w:tc>
      </w:tr>
      <w:tr w:rsidR="004E10C1" w:rsidRPr="0044524F" w14:paraId="02AC8086" w14:textId="77777777">
        <w:tc>
          <w:tcPr>
            <w:tcW w:w="1668" w:type="dxa"/>
          </w:tcPr>
          <w:p w14:paraId="5A060C9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К1-2М32 (или 34)</w:t>
            </w:r>
          </w:p>
        </w:tc>
        <w:tc>
          <w:tcPr>
            <w:tcW w:w="868" w:type="dxa"/>
          </w:tcPr>
          <w:p w14:paraId="351E43C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651B800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6B0BC96F"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3E3BA44E"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111B1D4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w:t>
            </w:r>
          </w:p>
        </w:tc>
        <w:tc>
          <w:tcPr>
            <w:tcW w:w="3543" w:type="dxa"/>
          </w:tcPr>
          <w:p w14:paraId="583EF79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30597280" w14:textId="77777777">
        <w:tc>
          <w:tcPr>
            <w:tcW w:w="1668" w:type="dxa"/>
          </w:tcPr>
          <w:p w14:paraId="2ECB380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 самол.</w:t>
            </w:r>
          </w:p>
        </w:tc>
        <w:tc>
          <w:tcPr>
            <w:tcW w:w="868" w:type="dxa"/>
          </w:tcPr>
          <w:p w14:paraId="4531F40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250/3000</w:t>
            </w:r>
          </w:p>
        </w:tc>
        <w:tc>
          <w:tcPr>
            <w:tcW w:w="868" w:type="dxa"/>
          </w:tcPr>
          <w:p w14:paraId="286AE4C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12/3000</w:t>
            </w:r>
          </w:p>
        </w:tc>
        <w:tc>
          <w:tcPr>
            <w:tcW w:w="868" w:type="dxa"/>
          </w:tcPr>
          <w:p w14:paraId="27D8011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350/600</w:t>
            </w:r>
          </w:p>
        </w:tc>
        <w:tc>
          <w:tcPr>
            <w:tcW w:w="1223" w:type="dxa"/>
          </w:tcPr>
          <w:p w14:paraId="24AE6B7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w:t>
            </w:r>
          </w:p>
        </w:tc>
        <w:tc>
          <w:tcPr>
            <w:tcW w:w="1559" w:type="dxa"/>
          </w:tcPr>
          <w:p w14:paraId="525D1F6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 пулем.</w:t>
            </w:r>
          </w:p>
        </w:tc>
        <w:tc>
          <w:tcPr>
            <w:tcW w:w="3543" w:type="dxa"/>
          </w:tcPr>
          <w:p w14:paraId="598A793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1.V-34 г.</w:t>
            </w:r>
          </w:p>
        </w:tc>
      </w:tr>
      <w:tr w:rsidR="004E10C1" w:rsidRPr="0044524F" w14:paraId="1119A5F7" w14:textId="77777777">
        <w:tc>
          <w:tcPr>
            <w:tcW w:w="1668" w:type="dxa"/>
          </w:tcPr>
          <w:p w14:paraId="728A567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ВС2-М22</w:t>
            </w:r>
          </w:p>
        </w:tc>
        <w:tc>
          <w:tcPr>
            <w:tcW w:w="868" w:type="dxa"/>
          </w:tcPr>
          <w:p w14:paraId="4023F563"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3E89AF0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430BA39D"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3090873E"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33A11AC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468C5806"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07C4625F" w14:textId="77777777">
        <w:tc>
          <w:tcPr>
            <w:tcW w:w="1668" w:type="dxa"/>
          </w:tcPr>
          <w:p w14:paraId="2000A8A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2-х местн. пуш.</w:t>
            </w:r>
          </w:p>
        </w:tc>
        <w:tc>
          <w:tcPr>
            <w:tcW w:w="868" w:type="dxa"/>
          </w:tcPr>
          <w:p w14:paraId="54530A2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325/5000</w:t>
            </w:r>
          </w:p>
        </w:tc>
        <w:tc>
          <w:tcPr>
            <w:tcW w:w="868" w:type="dxa"/>
          </w:tcPr>
          <w:p w14:paraId="10B93AD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15/5000</w:t>
            </w:r>
          </w:p>
        </w:tc>
        <w:tc>
          <w:tcPr>
            <w:tcW w:w="868" w:type="dxa"/>
          </w:tcPr>
          <w:p w14:paraId="2D12CDD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w:t>
            </w:r>
          </w:p>
        </w:tc>
        <w:tc>
          <w:tcPr>
            <w:tcW w:w="1223" w:type="dxa"/>
          </w:tcPr>
          <w:p w14:paraId="4570012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74EA2B8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3543" w:type="dxa"/>
          </w:tcPr>
          <w:p w14:paraId="5694065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1.VI-34 г.</w:t>
            </w:r>
          </w:p>
        </w:tc>
      </w:tr>
      <w:tr w:rsidR="004E10C1" w:rsidRPr="0044524F" w14:paraId="659D62C6" w14:textId="77777777">
        <w:tc>
          <w:tcPr>
            <w:tcW w:w="1668" w:type="dxa"/>
          </w:tcPr>
          <w:p w14:paraId="13FE886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 ДИП-2М34</w:t>
            </w:r>
          </w:p>
        </w:tc>
        <w:tc>
          <w:tcPr>
            <w:tcW w:w="868" w:type="dxa"/>
          </w:tcPr>
          <w:p w14:paraId="26C4234D"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4D8AFDD0"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68380148"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47961680"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63EA033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23894EB6"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03991B74" w14:textId="77777777">
        <w:tc>
          <w:tcPr>
            <w:tcW w:w="1668" w:type="dxa"/>
          </w:tcPr>
          <w:p w14:paraId="61E32AC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2-х местн. ист.</w:t>
            </w:r>
          </w:p>
        </w:tc>
        <w:tc>
          <w:tcPr>
            <w:tcW w:w="868" w:type="dxa"/>
          </w:tcPr>
          <w:p w14:paraId="62ED273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375/5000</w:t>
            </w:r>
          </w:p>
        </w:tc>
        <w:tc>
          <w:tcPr>
            <w:tcW w:w="868" w:type="dxa"/>
          </w:tcPr>
          <w:p w14:paraId="3F06BD7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9/5000</w:t>
            </w:r>
          </w:p>
        </w:tc>
        <w:tc>
          <w:tcPr>
            <w:tcW w:w="868" w:type="dxa"/>
          </w:tcPr>
          <w:p w14:paraId="009FD04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400/700</w:t>
            </w:r>
          </w:p>
        </w:tc>
        <w:tc>
          <w:tcPr>
            <w:tcW w:w="1223" w:type="dxa"/>
          </w:tcPr>
          <w:p w14:paraId="0E052CC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59" w:type="dxa"/>
          </w:tcPr>
          <w:p w14:paraId="779375A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и лег.</w:t>
            </w:r>
          </w:p>
        </w:tc>
        <w:tc>
          <w:tcPr>
            <w:tcW w:w="3543" w:type="dxa"/>
          </w:tcPr>
          <w:p w14:paraId="6F1494B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1.V-34 г.</w:t>
            </w:r>
          </w:p>
        </w:tc>
      </w:tr>
      <w:tr w:rsidR="004E10C1" w:rsidRPr="0044524F" w14:paraId="1F419304" w14:textId="77777777">
        <w:tc>
          <w:tcPr>
            <w:tcW w:w="1668" w:type="dxa"/>
          </w:tcPr>
          <w:p w14:paraId="23BED9D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 Райт-Цикл.</w:t>
            </w:r>
          </w:p>
        </w:tc>
        <w:tc>
          <w:tcPr>
            <w:tcW w:w="868" w:type="dxa"/>
          </w:tcPr>
          <w:p w14:paraId="6BB765B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75C522A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26D0059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1572408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5B214A8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w:t>
            </w:r>
          </w:p>
        </w:tc>
        <w:tc>
          <w:tcPr>
            <w:tcW w:w="3543" w:type="dxa"/>
          </w:tcPr>
          <w:p w14:paraId="27345F87"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58B40A96" w14:textId="77777777">
        <w:tc>
          <w:tcPr>
            <w:tcW w:w="1668" w:type="dxa"/>
          </w:tcPr>
          <w:p w14:paraId="31B1B32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бомбовоз</w:t>
            </w:r>
          </w:p>
        </w:tc>
        <w:tc>
          <w:tcPr>
            <w:tcW w:w="868" w:type="dxa"/>
          </w:tcPr>
          <w:p w14:paraId="0933C46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868" w:type="dxa"/>
          </w:tcPr>
          <w:p w14:paraId="220365D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77668D3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223" w:type="dxa"/>
          </w:tcPr>
          <w:p w14:paraId="34448C5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44C7B35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43" w:type="dxa"/>
          </w:tcPr>
          <w:p w14:paraId="3C3858D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1.VIII-33 г.</w:t>
            </w:r>
          </w:p>
        </w:tc>
      </w:tr>
      <w:tr w:rsidR="004E10C1" w:rsidRPr="0044524F" w14:paraId="66B9069E" w14:textId="77777777">
        <w:tc>
          <w:tcPr>
            <w:tcW w:w="1668" w:type="dxa"/>
          </w:tcPr>
          <w:p w14:paraId="0E07135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ТБ-7М34</w:t>
            </w:r>
          </w:p>
        </w:tc>
        <w:tc>
          <w:tcPr>
            <w:tcW w:w="868" w:type="dxa"/>
          </w:tcPr>
          <w:p w14:paraId="407D5A80"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2405CA4D"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0D2EB1B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536530E5"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6C11927C"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792DA251"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00F68358" w14:textId="77777777">
        <w:tc>
          <w:tcPr>
            <w:tcW w:w="1668" w:type="dxa"/>
          </w:tcPr>
          <w:p w14:paraId="633FCBB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бомб. ТБ6</w:t>
            </w:r>
          </w:p>
        </w:tc>
        <w:tc>
          <w:tcPr>
            <w:tcW w:w="868" w:type="dxa"/>
          </w:tcPr>
          <w:p w14:paraId="2177100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250/5000</w:t>
            </w:r>
          </w:p>
        </w:tc>
        <w:tc>
          <w:tcPr>
            <w:tcW w:w="868" w:type="dxa"/>
          </w:tcPr>
          <w:p w14:paraId="6FAEF9F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26B86AA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223" w:type="dxa"/>
          </w:tcPr>
          <w:p w14:paraId="0BDF333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тн.</w:t>
            </w:r>
          </w:p>
        </w:tc>
        <w:tc>
          <w:tcPr>
            <w:tcW w:w="1559" w:type="dxa"/>
          </w:tcPr>
          <w:p w14:paraId="0CBBF26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пул. и</w:t>
            </w:r>
          </w:p>
        </w:tc>
        <w:tc>
          <w:tcPr>
            <w:tcW w:w="3543" w:type="dxa"/>
          </w:tcPr>
          <w:p w14:paraId="214F798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1.XII-35 г.</w:t>
            </w:r>
          </w:p>
        </w:tc>
      </w:tr>
      <w:tr w:rsidR="004E10C1" w:rsidRPr="0044524F" w14:paraId="1F8C4BAA" w14:textId="77777777">
        <w:tc>
          <w:tcPr>
            <w:tcW w:w="1668" w:type="dxa"/>
          </w:tcPr>
          <w:p w14:paraId="0C19832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49C8AA16"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3231E13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3E99438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18C0A8B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559" w:type="dxa"/>
          </w:tcPr>
          <w:p w14:paraId="3215A5C3"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0384FA8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r>
      <w:tr w:rsidR="004E10C1" w:rsidRPr="0044524F" w14:paraId="6AAE9E77" w14:textId="77777777">
        <w:tc>
          <w:tcPr>
            <w:tcW w:w="1668" w:type="dxa"/>
          </w:tcPr>
          <w:p w14:paraId="643F6FD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 разв.</w:t>
            </w:r>
          </w:p>
        </w:tc>
        <w:tc>
          <w:tcPr>
            <w:tcW w:w="868" w:type="dxa"/>
          </w:tcPr>
          <w:p w14:paraId="70B2054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425/4000</w:t>
            </w:r>
          </w:p>
        </w:tc>
        <w:tc>
          <w:tcPr>
            <w:tcW w:w="868" w:type="dxa"/>
          </w:tcPr>
          <w:p w14:paraId="7880AEB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12/4000</w:t>
            </w:r>
          </w:p>
        </w:tc>
        <w:tc>
          <w:tcPr>
            <w:tcW w:w="868" w:type="dxa"/>
          </w:tcPr>
          <w:p w14:paraId="7BBC429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223" w:type="dxa"/>
          </w:tcPr>
          <w:p w14:paraId="0053115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0DCD0DE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43" w:type="dxa"/>
          </w:tcPr>
          <w:p w14:paraId="0E9AFB7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6 мес. после</w:t>
            </w:r>
          </w:p>
        </w:tc>
      </w:tr>
      <w:tr w:rsidR="004E10C1" w:rsidRPr="0044524F" w14:paraId="5793BD28" w14:textId="77777777">
        <w:tc>
          <w:tcPr>
            <w:tcW w:w="1668" w:type="dxa"/>
          </w:tcPr>
          <w:p w14:paraId="4802262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Р-М58</w:t>
            </w:r>
          </w:p>
        </w:tc>
        <w:tc>
          <w:tcPr>
            <w:tcW w:w="868" w:type="dxa"/>
          </w:tcPr>
          <w:p w14:paraId="157DCFC7"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1698CE93"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7F39A99A"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622C6EB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5DA0EA7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014F3AE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 мотора</w:t>
            </w:r>
          </w:p>
        </w:tc>
      </w:tr>
      <w:tr w:rsidR="004E10C1" w:rsidRPr="0044524F" w14:paraId="271F2244" w14:textId="77777777">
        <w:tc>
          <w:tcPr>
            <w:tcW w:w="1668" w:type="dxa"/>
          </w:tcPr>
          <w:p w14:paraId="59CC906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Стратосф. с-т</w:t>
            </w:r>
          </w:p>
        </w:tc>
        <w:tc>
          <w:tcPr>
            <w:tcW w:w="868" w:type="dxa"/>
          </w:tcPr>
          <w:p w14:paraId="17CDBCA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4ACB33B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708B3C7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23" w:type="dxa"/>
          </w:tcPr>
          <w:p w14:paraId="289C2E7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0AAEBDA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43" w:type="dxa"/>
          </w:tcPr>
          <w:p w14:paraId="6CAF961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1.I-34 г.</w:t>
            </w:r>
          </w:p>
        </w:tc>
      </w:tr>
      <w:tr w:rsidR="004E10C1" w:rsidRPr="0044524F" w14:paraId="6BE677CE" w14:textId="77777777">
        <w:tc>
          <w:tcPr>
            <w:tcW w:w="1668" w:type="dxa"/>
          </w:tcPr>
          <w:p w14:paraId="7072600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 крыло</w:t>
            </w:r>
          </w:p>
        </w:tc>
        <w:tc>
          <w:tcPr>
            <w:tcW w:w="868" w:type="dxa"/>
          </w:tcPr>
          <w:p w14:paraId="6EDB81E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76144BB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03A9BDF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23" w:type="dxa"/>
          </w:tcPr>
          <w:p w14:paraId="21E98AC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177D597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43" w:type="dxa"/>
          </w:tcPr>
          <w:p w14:paraId="3EDE296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1.I-34 г.</w:t>
            </w:r>
          </w:p>
        </w:tc>
      </w:tr>
      <w:tr w:rsidR="004E10C1" w:rsidRPr="0044524F" w14:paraId="2BDF8686" w14:textId="77777777">
        <w:tc>
          <w:tcPr>
            <w:tcW w:w="1668" w:type="dxa"/>
          </w:tcPr>
          <w:p w14:paraId="038F069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Разрезн. крыло</w:t>
            </w:r>
          </w:p>
        </w:tc>
        <w:tc>
          <w:tcPr>
            <w:tcW w:w="868" w:type="dxa"/>
          </w:tcPr>
          <w:p w14:paraId="20FB650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675EB50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375382F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23" w:type="dxa"/>
          </w:tcPr>
          <w:p w14:paraId="19D42B2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7B874BF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43" w:type="dxa"/>
          </w:tcPr>
          <w:p w14:paraId="1079CDF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1.Х-33 г.</w:t>
            </w:r>
          </w:p>
        </w:tc>
      </w:tr>
      <w:tr w:rsidR="004E10C1" w:rsidRPr="0044524F" w14:paraId="258BE4DB" w14:textId="77777777">
        <w:tc>
          <w:tcPr>
            <w:tcW w:w="1668" w:type="dxa"/>
          </w:tcPr>
          <w:p w14:paraId="39389DF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ВГ2</w:t>
            </w:r>
          </w:p>
        </w:tc>
        <w:tc>
          <w:tcPr>
            <w:tcW w:w="868" w:type="dxa"/>
          </w:tcPr>
          <w:p w14:paraId="4C10098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1E4A7E3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2AD9260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23" w:type="dxa"/>
          </w:tcPr>
          <w:p w14:paraId="6795964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70B37F5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43" w:type="dxa"/>
          </w:tcPr>
          <w:p w14:paraId="3129A42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15.VII-33 г.</w:t>
            </w:r>
          </w:p>
        </w:tc>
      </w:tr>
      <w:tr w:rsidR="004E10C1" w:rsidRPr="0044524F" w14:paraId="5D2F65D7" w14:textId="77777777">
        <w:tc>
          <w:tcPr>
            <w:tcW w:w="1668" w:type="dxa"/>
          </w:tcPr>
          <w:p w14:paraId="02D77A3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самолет</w:t>
            </w:r>
          </w:p>
        </w:tc>
        <w:tc>
          <w:tcPr>
            <w:tcW w:w="868" w:type="dxa"/>
          </w:tcPr>
          <w:p w14:paraId="1F78E6A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180/1000</w:t>
            </w:r>
          </w:p>
        </w:tc>
        <w:tc>
          <w:tcPr>
            <w:tcW w:w="868" w:type="dxa"/>
          </w:tcPr>
          <w:p w14:paraId="7C35578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68" w:type="dxa"/>
          </w:tcPr>
          <w:p w14:paraId="256AE19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c>
          <w:tcPr>
            <w:tcW w:w="1223" w:type="dxa"/>
          </w:tcPr>
          <w:p w14:paraId="105DC6F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9" w:type="dxa"/>
          </w:tcPr>
          <w:p w14:paraId="78A6821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43" w:type="dxa"/>
          </w:tcPr>
          <w:p w14:paraId="26D8909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1.VI-34 г.</w:t>
            </w:r>
          </w:p>
        </w:tc>
      </w:tr>
      <w:tr w:rsidR="004E10C1" w:rsidRPr="0044524F" w14:paraId="0040BF2A" w14:textId="77777777">
        <w:tc>
          <w:tcPr>
            <w:tcW w:w="1668" w:type="dxa"/>
          </w:tcPr>
          <w:p w14:paraId="7E62CE6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У3-М48</w:t>
            </w:r>
          </w:p>
        </w:tc>
        <w:tc>
          <w:tcPr>
            <w:tcW w:w="868" w:type="dxa"/>
          </w:tcPr>
          <w:p w14:paraId="2F955BCD"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0FEF903B"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868" w:type="dxa"/>
          </w:tcPr>
          <w:p w14:paraId="747CE938"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223" w:type="dxa"/>
          </w:tcPr>
          <w:p w14:paraId="770BF59D"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1559" w:type="dxa"/>
          </w:tcPr>
          <w:p w14:paraId="20DA740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c>
          <w:tcPr>
            <w:tcW w:w="3543" w:type="dxa"/>
          </w:tcPr>
          <w:p w14:paraId="77A140D2"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bl>
    <w:p w14:paraId="4EF25FE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43573E1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04F5367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связи с необходимостью значительного увеличения радиуса действия нашей авиации, зависящих в основном от безотказности и надежности работы мотора, считать главнейшим требованием ко всем перечисленным выше моторам их надежную и безотказную работу (без замены каких-либо то ни было деталей) не менее 200 часов между переборками, а для М-34 однорядного и М48 - не менее 300 часов.</w:t>
      </w:r>
    </w:p>
    <w:p w14:paraId="4E38669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64C3F75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Уменьшения мертвого веса конструкций, причем для бомбардировочных самолетов мертвый вес конструкции должен составлять не более 50% нормального полетного веса;</w:t>
      </w:r>
    </w:p>
    <w:p w14:paraId="4CF4613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Увеличения обтекаемости в целях увеличения горизонтальной скорости и</w:t>
      </w:r>
    </w:p>
    <w:p w14:paraId="5642D6B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4-х.</w:t>
      </w:r>
    </w:p>
    <w:p w14:paraId="5D352DB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Принять к сведению заявление нач. ГУАП Баранова о том, что сверх утвержденного плана ГУАП будет продолжать технически руководить и финансировать паровую турбину ХАИ и примет на себя с 1-го июля с.г. техническое руководство и финансирование конструирования и постройки 2-тактного дизеля того же ХАИ, работы по которому........................ Сверх указанного плана обязать ГУАП построить эталон ТБ-4..... производства. Алкснису и Баранову установить такие требования для этого самолета и срок предъявления его на испытания; согласованное предложение внести на утверждение в 2-х декадный срок.</w:t>
      </w:r>
    </w:p>
    <w:p w14:paraId="5C276E2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Просить К.О. возложить персональную ответственность за...... планы опытного строительства в обусловленные сроки на....... ГУАП Баранова, а по мотору Н5 - на начальника ОКБ..... Горянова.</w:t>
      </w:r>
    </w:p>
    <w:p w14:paraId="6FBA334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По опытному строительству вооружения.</w:t>
      </w:r>
    </w:p>
    <w:p w14:paraId="554ED5F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Основными и решающими задачами на 1933 год по вооружению авиации</w:t>
      </w:r>
    </w:p>
    <w:p w14:paraId="4C73E34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...Окончательную отработку эталона, испытание в воздухе и постановку... производства кондиционных пулеметов ШКАС, вооружение ими самолетов, а в дальнейшем - модернизация этого пулемета в повышения начальной скорости до 1000-1200-1500 м/сек.</w:t>
      </w:r>
    </w:p>
    <w:p w14:paraId="14E25C7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Постройку опытных образцов, испытание и постановку в серийное производство крупнокалиберного пулемета 12,7 ШВАК (с последующей..... в сторону увеличения начальной скорости до 1200 м/сек), отработку образца автоматической авиационной пушки калибром.... мм.</w:t>
      </w:r>
    </w:p>
    <w:p w14:paraId="4B01A32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самолете специального назначения закончить отработку системы калибра 76-100-152 мм.</w:t>
      </w:r>
    </w:p>
    <w:p w14:paraId="18DE222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Постановку массового производства авиабомб всех типов, особенно......, зажигательных, светящихся и планирующих.</w:t>
      </w:r>
    </w:p>
    <w:p w14:paraId="1CD046F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Совершенствование прицелов приборов управления для стрельбы.... на дальние расстояния (свыше 800 метров).</w:t>
      </w:r>
    </w:p>
    <w:p w14:paraId="7D3E8E8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w:t>
      </w:r>
    </w:p>
    <w:p w14:paraId="63EE980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w:t>
      </w:r>
    </w:p>
    <w:p w14:paraId="534A127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изготовление и испытание не выключающегося нагнетателя для мотора М-34 в ЦИАМ"е и немедленно приступить к подготовке серийного производства нагнетателя и редуктора к этому мотору с таким расчетом, чтобы с 1.Х-с.г. выпускать моторы М-34 с редуктором, а с 1.I-34 г. - с нагнетателем в количестве, потребном для НКВМ.</w:t>
      </w:r>
    </w:p>
    <w:p w14:paraId="5BB235B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Принять к сведению заявление Баранова, что им приняты все меры к использованию тех. помощи фирмы Райт-Кертисс и подготовке производства моторов Райт-Циклон и Кертис 1800 95V в обусловленные договором сроки.</w:t>
      </w:r>
    </w:p>
    <w:p w14:paraId="5EC498C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целях своевременной постройки опытных образцов самолетов под мотор Райт-Циклон и мотор Кертис типа 1800 95V и внедрения этих самолетов в серийное производство ко времени выпуска на советских заводах моторов Райт-циклон и Кертис по лицензии, - признать необходимым закупить немедленно 30 моторов Райт-Циклон и 20 моторов Кертис 1800 95V с необходимым количеством запчастей и инструмента.</w:t>
      </w:r>
    </w:p>
    <w:p w14:paraId="37270E6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Реализацию покупки этих моторов возложить на НКТяжпром с отпуском для этой цели необходимых средств в инвалюте из резервного фонда СНК.</w:t>
      </w:r>
    </w:p>
    <w:p w14:paraId="70611B2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Баранову и Алкснису докладывать ежеквартально НКТяжпрому Орджоникидзе и НКВМору Ворошилову о ходе реализации договора на техпомощь на моторы Райт-Циклон и Кертис, ходе подготовки производства указанных моторов на советских заводах и о заключении договора на поставку 50 моторов (30 Райт-Циклон и 20 Кертис) и реализации этого договора.</w:t>
      </w:r>
    </w:p>
    <w:p w14:paraId="585C744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поручить Баранову ознакомиться с работами группы Проскура-Майзеля в харьковском институте промэнергетики на предмет ее выделения в самостоятельное научно-исследовательское и опытное бюро по конструированию и постройке нагнетателей для авиационных моторов.</w:t>
      </w:r>
    </w:p>
    <w:p w14:paraId="6DE677A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Свои конкретные предложения, согласованные с нач. ВВС, доложить К.О. в месячный срок.</w:t>
      </w:r>
    </w:p>
    <w:p w14:paraId="3D88242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целях обеспечения необходимого развертывания опытного........................................................................ ответственность Баранова организовать на одном из незамерзающих морей мощное конструкторское бюро по созданию новых типов гидросамолетов.</w:t>
      </w:r>
    </w:p>
    <w:p w14:paraId="2AE066F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Баранову, Алкснису и Орлову в 2-х месячный срок внести по этому вопросу в КО конкретные согласованные предложения.</w:t>
      </w:r>
    </w:p>
    <w:p w14:paraId="7DDA769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Впредь до перевода конструкторского бюро по опытному гидросамолетостроению на одно из незамерзающих морей, обязать Баранова принять меры к оформлению и выделению внутри ЦАГИ и 39 завода конструкторов по гидросамолетостроению в самостоятельные конструкторские бюро с непосредственным подчинением главных конструкторов конструкторских бюро начальнику ЦАГИ и директору 39 завода - по принадлежности.</w:t>
      </w:r>
    </w:p>
    <w:p w14:paraId="4104FB9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Принять к сведению заявление Баранова о том, что на..... заводах организованы конструкторские бюро для усовершенствования и модернизации моторов и самолетов серийного производства и что ГУАП принимает меры к усилению таковых в целях ускорения модернизации самолетов и моторов.</w:t>
      </w:r>
    </w:p>
    <w:p w14:paraId="77349D4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Возложить на начальника ГУАП Баранова подготовку производства в 1934 г. стандартного типа ТБ3-АНТ-14, легкого бомбардировщика, тяжелого штурмовика, приспособленных для почтово-пассажирской........ в ГВФ.</w:t>
      </w:r>
    </w:p>
    <w:p w14:paraId="3881B8C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Обязать начальника ГУАП Баранова внедрить в серийное производство скоростной пассажирский самолет ХАИ-1 с 1.I-34 г., предусмотрев на случай войны приспособления его для военных нужд обязать ГУАП к 1.I-34 г. разработать вопрос о замене реверсив............. для моторов торпедных катеров добавочным слабосильным.......</w:t>
      </w:r>
    </w:p>
    <w:p w14:paraId="639B89C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Обязать ГУАП обеспечить предъявление на испытания окончательного образца турели для пулемета ШКАС к 15 июля; самолетной установки для крупнокалиберного пулемета ШВАК - к 15 октября; установки для 20 мм автоматической пушки - к 1 октября; установки для 37 мм автоматической пушки - к 1 января 1933 г.</w:t>
      </w:r>
    </w:p>
    <w:p w14:paraId="61019A6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Обязать ГУАП в течение 1933 г. закончить разработку бомбовых балок со свободной подвеской бомб, оборудуя впредь все новые самолеты этим типом балок.</w:t>
      </w:r>
    </w:p>
    <w:p w14:paraId="158DCFC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Признать необходимым конструирование и постройку специального самолета-линкора с сильным артиллерийским вооружением для истребления воздушного флота противника на земле и в воздухе и достижения абсолютного превосходства.</w:t>
      </w:r>
    </w:p>
    <w:p w14:paraId="7C68645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нач. ГУАП Баранова образовать в системе ГУАП"а специальное отдельное конструкторское бюро для конструирования и постройки самолета-линкора во главе с Курчевским. Откомандировать в состав этого нового бюро проф. Петрова (ОГПУ), Агокаса (ГУАП) и Козлова (ВВА - по совместительству).</w:t>
      </w:r>
    </w:p>
    <w:p w14:paraId="4BDDA0F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Обязать начальника нефтяного сектора НКТП Ганшина обеспечить выпуск для авиамоторов следующих стандартов:</w:t>
      </w:r>
    </w:p>
    <w:p w14:paraId="1075E5D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моторов с нагнетателем - топливо с октановым числом 90.</w:t>
      </w:r>
    </w:p>
    <w:p w14:paraId="15FF8AC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для моторов со степенью сжатия 7,3 - топливо с октановым числом 96.</w:t>
      </w:r>
    </w:p>
    <w:p w14:paraId="077CB39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для невысотных моторов со степенью сжатия 6-6,5 - топливо с октановым числом 75.</w:t>
      </w:r>
    </w:p>
    <w:p w14:paraId="5601740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для учебных моторов и М5 - грозненский бензин с октановым числом 58.</w:t>
      </w:r>
    </w:p>
    <w:p w14:paraId="10CD0CC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Обязать Союзсланец под ответственность Шварца в течение 1933 г. дать на испытание опытную партию аиабензинов из Волжских сланцев и сибирских сапропелитов в НИИ ВВС РККА.</w:t>
      </w:r>
    </w:p>
    <w:p w14:paraId="25701F2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Обязать комитет по стандартизации при СТО в месячный срок установить стандарты летных масел для авиамоторов всех типов и назначений, в частности, для авиамоторов с нагнетателем, по выходе последних в эксплуатацию.</w:t>
      </w:r>
    </w:p>
    <w:p w14:paraId="59674A5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Поставить на вид Нач. ГУГВФ Гольцману самовольное прекращение работ по плану опытного строительства ВВС, утвержденного СТО 4.VII-32 г......................................................................... предъявления этих опытных самолетов на гос. испытания, согласованного с нач-ком ВВС РККА.</w:t>
      </w:r>
    </w:p>
    <w:p w14:paraId="6A9B060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начальника ГАУ РККА:</w:t>
      </w:r>
    </w:p>
    <w:p w14:paraId="5842228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.....-му июля представить на гос. испытания в воздухе образец ШКАС для стрельбы с турели, с отработанными звеньями и.......</w:t>
      </w:r>
    </w:p>
    <w:p w14:paraId="7C32E6B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для синхронной стрельбы предъявить к 15 июля.</w:t>
      </w:r>
    </w:p>
    <w:p w14:paraId="47CAB0C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Дальнейшую разработку пулемета ШВАК 12,7 мм вести с расчетом...... его к вводу на вооружение к 1-му октября т.г. и обеспечению валового производства в 1934 г.</w:t>
      </w:r>
    </w:p>
    <w:p w14:paraId="45EBE30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проведения испытаний в воздухе и освоения, а также своевременной разработки самолетной установки, передать в НИИ ВВС:</w:t>
      </w:r>
    </w:p>
    <w:p w14:paraId="0572957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июля - 2 образца;</w:t>
      </w:r>
    </w:p>
    <w:p w14:paraId="17DC8FA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октября - 2 образца.</w:t>
      </w:r>
    </w:p>
    <w:p w14:paraId="037F036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Образец для синхронной стрельбы передать в НИИ ВВС к 1-му августа. При разработке образцов добиться начальной скорости, обеспечивающей дальность прямого выстрела на 1200 метров.</w:t>
      </w:r>
    </w:p>
    <w:p w14:paraId="3AB37B0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самолеты МИ3 производства текущего года полностью обеспечить пулеметами ДН (60 пулеметов) с расчетом установки их к началу самолетов с завода.</w:t>
      </w:r>
    </w:p>
    <w:p w14:paraId="1283ED9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Передать на государственные испытания на земле и в воздухе новые опытные образцы 20мм самолетных пушек:</w:t>
      </w:r>
    </w:p>
    <w:p w14:paraId="6A3DEA0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 Дягтерева - к 1-му июля с.г.</w:t>
      </w:r>
    </w:p>
    <w:p w14:paraId="64490A2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 Блюма - к 1-му октября с.г.</w:t>
      </w:r>
    </w:p>
    <w:p w14:paraId="6116752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 Шпитального - к 1-му августа.</w:t>
      </w:r>
    </w:p>
    <w:p w14:paraId="3599E30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Образец 37 мм авиационной пушки конструкции Шпитального представ. на гос. испытания на землю и в воздухе к 1-му декабря.</w:t>
      </w:r>
    </w:p>
    <w:p w14:paraId="6BA6D59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Обеспечить в текущем году вооружение одной эскадрильи самолетов пушками АПК-65 (50 пушек).</w:t>
      </w:r>
    </w:p>
    <w:p w14:paraId="7A5DB49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77E6B71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1-му июля с.г. передать в ЦАГИ 2 окончательно отработанных образца пушек АПК-37 для установки и испытаний на самолете И-14.</w:t>
      </w:r>
    </w:p>
    <w:p w14:paraId="690AAEE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Полностью обеспечить опытные образцы и валовое производство пулеметов и пушек пулями по типам и качеству удовлетворяющими требованиям своевременного боя авиации:</w:t>
      </w:r>
    </w:p>
    <w:p w14:paraId="59E544D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пулеметов - обыкновенные, тяжелые, трассирующие и зажигательные.</w:t>
      </w:r>
    </w:p>
    <w:p w14:paraId="4B8DB86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Для автоматических пушек - осколочно-фугасные, трассирующие и зажигательные.</w:t>
      </w:r>
    </w:p>
    <w:p w14:paraId="16E917C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Для пушек "К" - осколочно-фугасные и зажигательные.</w:t>
      </w:r>
    </w:p>
    <w:p w14:paraId="0741C92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К 1-му сентября с.г. закончить испытания суррогатных зажигательных и бронебойных бомб и представить их к вводу на вооружение.</w:t>
      </w:r>
    </w:p>
    <w:p w14:paraId="01CF3FF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Обеспечить в тек. году развертывание валового производства светящихся бомб чертежами и тех. условиями для штурмовой авиации и взрывателями с замедлением в 24-48 часов для бомбардировочной авиации.</w:t>
      </w:r>
    </w:p>
    <w:p w14:paraId="06D62CF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Включить в план работ задание по повышению эффективности авиабомб.</w:t>
      </w:r>
    </w:p>
    <w:p w14:paraId="6188D79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Форсировать работы по изготовлению опытных образцов ракетных снарядов для авиации, с расчетом начала испытания их в течение летного периода 1933 года.</w:t>
      </w:r>
    </w:p>
    <w:p w14:paraId="59C3284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Независимо от работ Майвеля по планирующим бомбам, ввиду особой важности данной задачи, в декадный срок подыскать конструкторскую базу и выдать новое задание на разработку образцов планирующих бомб.</w:t>
      </w:r>
    </w:p>
    <w:p w14:paraId="2EED802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Привлечь силы и дать задание Артиллерийской Академии для проектирования специальных прицелов для самолетных пушек и пулеметов дальней стрельбы.</w:t>
      </w:r>
    </w:p>
    <w:p w14:paraId="6859B61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Немедленно приступить к работам по ПУАО на самолетах. Как первый этап этих работ считать необходимым к 1.VII_34 г. получить 1 комплект ПУАО с синхронной (не силовой) передачей на орудия.</w:t>
      </w:r>
    </w:p>
    <w:p w14:paraId="54AADE4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Подготовить доклад в КО о том, что промышленность приняла заказ на СПБ в размере лишь 20 штук вместо установленных правительством........................................................................</w:t>
      </w:r>
    </w:p>
    <w:p w14:paraId="3A1F234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Просить КО концентрировать производство бомбовых прицелов на заводе ЗАТЭМ с установлением этого производства в 1934 г.</w:t>
      </w:r>
    </w:p>
    <w:p w14:paraId="5799964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Командировать в Англию инженеров ГАУ и УВВС для испытания........ и закупки образцов 37 мм самолетной пушки Виккерса.</w:t>
      </w:r>
    </w:p>
    <w:p w14:paraId="3A26740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 Обязать начальника ВОХИМУ:</w:t>
      </w:r>
    </w:p>
    <w:p w14:paraId="703D719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1-му июля с.г. представить на испытания на самолете образец...... и дымообразующего прибора для истребительной авиации.</w:t>
      </w:r>
    </w:p>
    <w:p w14:paraId="003C0AF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15-му июля с.г. закончить испытания специального летного.....газа.</w:t>
      </w:r>
    </w:p>
    <w:p w14:paraId="1A7DA6D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Разработать к 1-му июля с.г. план обеспечения ВВС разливочными станциями позволяющими производить заправку эскадрильи самолетов в срок, не превышающий заправки такой же эскадрильи горючим.</w:t>
      </w:r>
    </w:p>
    <w:p w14:paraId="617611F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1-му июля с.г. закончить опыты по дегазации самолетов и.......... и снабдить строевые части ВВС соответствующими указаниями и инструкциями.</w:t>
      </w:r>
    </w:p>
    <w:p w14:paraId="099B4D9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VI. Обязать начальника УСКА:</w:t>
      </w:r>
    </w:p>
    <w:p w14:paraId="25FC22E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следующие типовые радиостанции для ВВС:</w:t>
      </w:r>
    </w:p>
    <w:p w14:paraId="54D490C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15-02 - для истребителей;</w:t>
      </w:r>
    </w:p>
    <w:p w14:paraId="79C1E77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13-СК - для разведчиков;</w:t>
      </w:r>
    </w:p>
    <w:p w14:paraId="1EDAD37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13-СК с добавочным контуром для бомбардировщиков.</w:t>
      </w:r>
    </w:p>
    <w:p w14:paraId="4BF0796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текущем году разработать образец самолетной радиостанции с радиусом действия на 2000 км.</w:t>
      </w:r>
    </w:p>
    <w:p w14:paraId="636DCB6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15-му июля с.г. реализовать заказ серии в 10 шт. приборов........ Передать их на войсковые испытания.</w:t>
      </w:r>
    </w:p>
    <w:p w14:paraId="0620A1E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1-му августа с.г. разработать и предъявить на испытания образцы аппаратуры для связи внутри самолета.</w:t>
      </w:r>
    </w:p>
    <w:p w14:paraId="2CF00E4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1-му января 1934 года разработать и предъявить на испытания приспособления для проверки радиостанции на земле перед полетом.</w:t>
      </w:r>
    </w:p>
    <w:p w14:paraId="1061BC0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VII. Обязать начальника ВВС РККА:</w:t>
      </w:r>
    </w:p>
    <w:p w14:paraId="1077FFE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 15.VII-с.г. провести и закончить сравнительные испытания в воздухе пушек Надсена, Эрликона и РМ. Результаты доложить РВС Союза 20.VII.</w:t>
      </w:r>
    </w:p>
    <w:p w14:paraId="66A1688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 15.VII-с.г. совместно с ГАИ провести испытание стрельбы в воздухе прицелов образца Петрова и ОП-1 (с лирой) и принять окончательное решение о типе прицела для системы "К".</w:t>
      </w:r>
    </w:p>
    <w:p w14:paraId="59340FE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МIII. Обязать начальника штаба РККА и начальника ВВС РККА:</w:t>
      </w:r>
    </w:p>
    <w:p w14:paraId="3D5323B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 соответствии с приказом РВС СССР за N -009:</w:t>
      </w:r>
    </w:p>
    <w:p w14:paraId="398D83D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К 1-му июля сформировать и укомплектовать пушечный сектор..... НИИ ВВС в составе 8-ми чел. военнослужащих увеличив соответственно штат НИИ ВВС.</w:t>
      </w:r>
    </w:p>
    <w:p w14:paraId="0508761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Утвердить штаты вольнонаемных вычислительного бюро при НИИ ВВС и к 15-му июля укомплектовать бюро до полного штата.</w:t>
      </w:r>
    </w:p>
    <w:p w14:paraId="30A77B7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Расходы по содержанию и оборудованию вычислительного бюро в сумме 300000 рублей отнести счет текущей сметы ВВС на заказы.</w:t>
      </w:r>
    </w:p>
    <w:p w14:paraId="2439658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Бомбовое отделение НИИ ВВС выделить в самостоятельный бомбовый сектор, увеличив штаты личного состава военнослужащих НИИ ВВС на.... чел., специально для усиления бомбового сектора.</w:t>
      </w:r>
    </w:p>
    <w:p w14:paraId="48F8638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Сформирование и укомплектование сектора закончить к 1-му июля.</w:t>
      </w:r>
    </w:p>
    <w:p w14:paraId="7C0E0A9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IX. Поручить начальнику Вооружений РККА:</w:t>
      </w:r>
    </w:p>
    <w:p w14:paraId="41B8AAE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месячный срок разработать и представить Народному комиссару на утверждение Положение о четком разграничении функций в области вооружения авиации между соответствующими ДУ (в частности, порядок прохождения комплексных испытаний - ввода на вооружение и т.д.) (2286,87).</w:t>
      </w:r>
    </w:p>
    <w:p w14:paraId="64804EC8"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295B2EB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июня 1933 года с исх. № 712/262с были направлены:</w:t>
      </w:r>
    </w:p>
    <w:p w14:paraId="2A1BF71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Извлечение из объяснительной записки ГВФ к годовому отчету на 1932 год по труду</w:t>
      </w:r>
    </w:p>
    <w:p w14:paraId="0DE2708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год был первым годом существования завода № 81 им. Молотова</w:t>
      </w:r>
    </w:p>
    <w:p w14:paraId="43033EE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Январь-апрель – строительство завода</w:t>
      </w:r>
    </w:p>
    <w:p w14:paraId="6E914B0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Май-август – пусковой период</w:t>
      </w:r>
    </w:p>
    <w:p w14:paraId="56F767D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Сентябрь-декабрь – освоение технологического процесса по выпуску основной продукции, в ноябре была выпущена первая головная машина Сталь-2 (7741).</w:t>
      </w:r>
    </w:p>
    <w:p w14:paraId="6C56798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82 в системе ГВФ основан в 1932 году. Перед ним поставлена задача производства авиамоторов воздушного охлаждения. Уже в первом квартале 1933 года он должен был дать первую продукцию. Пущен в срок не был. Проводились работы по разработке технологического процесса производства моторов М-48 и М-49 вместо снятых с производства моторов М-11 и 23, для которых процессы уже были разработаны.</w:t>
      </w:r>
    </w:p>
    <w:p w14:paraId="4C81A15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завод находится в периоде подготовки к пуску (7741, 22-36).</w:t>
      </w:r>
    </w:p>
    <w:p w14:paraId="24164F6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81 Молотова</w:t>
      </w:r>
    </w:p>
    <w:p w14:paraId="06F11E5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начался стройкой 15 января 1932 года и в основном был закончен 5 мая 1932 года (7741).</w:t>
      </w:r>
    </w:p>
    <w:p w14:paraId="6B2626CE"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31AB8AF2"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CFE4526"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61AF977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июня 1933 года на НИАПе начались полигонные испытания 82-мм минометов, изготовленных на заводе "Красный Октябрь". Вес минометов с колесным ходом составлял 81 кг.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80 метров. Качество минометов и отечественных мин было неудовлетворительное, и испытания шли одно за другим. К работе над минометами подключились заводы № 13 (г. Брянск) и № 7 ("Красный Арсенал"). Постепенно завод № 7 стал ведущим разработчиком и изготовителем минометов (3861).</w:t>
      </w:r>
    </w:p>
    <w:p w14:paraId="2852E08A"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0E7CD0F9" w14:textId="77777777" w:rsidR="00404414" w:rsidRPr="0044524F" w:rsidRDefault="00404414" w:rsidP="009654CF">
      <w:pPr>
        <w:widowControl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 июня 1933 года начались полигонные испытания 82-мм минометов, изготовленных на заводе «Красный Октябрь». Вес минометов с колесным ходом составлял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81 кг</w:t>
        </w:r>
      </w:smartTag>
      <w:r w:rsidRPr="0044524F">
        <w:rPr>
          <w:rFonts w:ascii="Times New Roman" w:hAnsi="Times New Roman"/>
          <w:color w:val="000000" w:themeColor="text1"/>
          <w:sz w:val="16"/>
          <w:szCs w:val="16"/>
        </w:rPr>
        <w:t xml:space="preserve">.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80 метров</w:t>
        </w:r>
      </w:smartTag>
      <w:r w:rsidRPr="0044524F">
        <w:rPr>
          <w:rFonts w:ascii="Times New Roman" w:hAnsi="Times New Roman"/>
          <w:color w:val="000000" w:themeColor="text1"/>
          <w:sz w:val="16"/>
          <w:szCs w:val="16"/>
        </w:rPr>
        <w:t xml:space="preserve">. Качество минометов и отечественных мин было неудовлетворительное, и испытания шли одно за другим. К работе над минометами подключились заводы №13 (Брянск) и №7 («Красный Арсенал»). Постепенно завод №7 стал ведущим разработчиком и изготовителем минометов. В 1935-1936 годах началось малосерийное производство 82-мм батальонных минометов. Выяснилось, что на 82-мм миномете можно отказаться от противооткатного устройства. Более того, проведенные испытания покали, что оно излишне и на всех других минометах. В итоге для всех минометов калибра от 50 до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120 мм</w:t>
        </w:r>
      </w:smartTag>
      <w:r w:rsidRPr="0044524F">
        <w:rPr>
          <w:rFonts w:ascii="Times New Roman" w:hAnsi="Times New Roman"/>
          <w:color w:val="000000" w:themeColor="text1"/>
          <w:sz w:val="16"/>
          <w:szCs w:val="16"/>
        </w:rPr>
        <w:t xml:space="preserve"> была утверждена единая жесткая схема, так называемая схема «мнимого треугольника». Основными элементами конструкции являются: ствол с казенником, двунога с подъемно-поворотным механизмом, амортизатором и опорная плита. Кроме того, конструкторами была проведена большая работа по унификации и сокращению наименований материалов, сортамента, типоразмеров, диаметров отверстий, резьб, инструмента, которым пользовались при изготовлении миномета. Все это позволило резко удешевить и упростить производство. Сказанное выше о простоте конструкции и технологичности изготовления минометов можно полностью отнести и к их боеприпасам, основной элемент которых – корпус – изготавливался литьем из чугуна. К 1 ноября 1936 года в РККА состояло 73 82-мм батальонных миномета, хотя по штатам их положено иметь 2 586 штук. В 1937 году было произведено 1 587 82-мм минометов, в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1938 г</w:t>
        </w:r>
      </w:smartTag>
      <w:r w:rsidRPr="0044524F">
        <w:rPr>
          <w:rFonts w:ascii="Times New Roman" w:hAnsi="Times New Roman"/>
          <w:color w:val="000000" w:themeColor="text1"/>
          <w:sz w:val="16"/>
          <w:szCs w:val="16"/>
        </w:rPr>
        <w:t xml:space="preserve">. – 1188, в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1939 г</w:t>
        </w:r>
      </w:smartTag>
      <w:r w:rsidRPr="0044524F">
        <w:rPr>
          <w:rFonts w:ascii="Times New Roman" w:hAnsi="Times New Roman"/>
          <w:color w:val="000000" w:themeColor="text1"/>
          <w:sz w:val="16"/>
          <w:szCs w:val="16"/>
        </w:rPr>
        <w:t xml:space="preserve">. – 1678. На </w:t>
      </w:r>
      <w:r w:rsidRPr="0044524F">
        <w:rPr>
          <w:rFonts w:ascii="Times New Roman" w:hAnsi="Times New Roman"/>
          <w:color w:val="000000" w:themeColor="text1"/>
          <w:sz w:val="16"/>
          <w:szCs w:val="16"/>
          <w:lang w:val="en-US"/>
        </w:rPr>
        <w:t>I</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III</w:t>
      </w:r>
      <w:r w:rsidRPr="0044524F">
        <w:rPr>
          <w:rFonts w:ascii="Times New Roman" w:hAnsi="Times New Roman"/>
          <w:color w:val="000000" w:themeColor="text1"/>
          <w:sz w:val="16"/>
          <w:szCs w:val="16"/>
        </w:rPr>
        <w:t xml:space="preserve"> кварталы 1940 года трем заводам Наркомата вооружения (НКВ) (№ 7, 106 и 393), а также заводам Кировскому, Горловскому и «Красный Октябрь» было дано задание изготовить 6700 минометов. К 1 августа 1940 года изготовлено 5543 миномета по цене 6750 руб. за штуку. 82-мм минометы образца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1936 г</w:t>
        </w:r>
      </w:smartTag>
      <w:r w:rsidRPr="0044524F">
        <w:rPr>
          <w:rFonts w:ascii="Times New Roman" w:hAnsi="Times New Roman"/>
          <w:color w:val="000000" w:themeColor="text1"/>
          <w:sz w:val="16"/>
          <w:szCs w:val="16"/>
        </w:rPr>
        <w:t>. обладали целым рядом недостатков, среди которых была необходимость разборки при переноске, сбиваемость прицела, малое изменение горизонтальных углов с помощью поворотного механизма (15218).</w:t>
      </w:r>
    </w:p>
    <w:p w14:paraId="656994D4" w14:textId="77777777" w:rsidR="00404414" w:rsidRPr="0044524F" w:rsidRDefault="00404414" w:rsidP="009654CF">
      <w:pPr>
        <w:widowControl w:val="0"/>
        <w:spacing w:after="0" w:line="240" w:lineRule="auto"/>
        <w:jc w:val="both"/>
        <w:rPr>
          <w:rFonts w:ascii="Times New Roman" w:hAnsi="Times New Roman"/>
          <w:color w:val="000000" w:themeColor="text1"/>
          <w:sz w:val="16"/>
          <w:szCs w:val="16"/>
        </w:rPr>
      </w:pPr>
    </w:p>
    <w:p w14:paraId="1E7F87F2" w14:textId="77777777" w:rsidR="00404414" w:rsidRPr="0044524F" w:rsidRDefault="00404414" w:rsidP="009654CF">
      <w:pPr>
        <w:pStyle w:val="rtejustify"/>
        <w:spacing w:before="0" w:after="0"/>
        <w:rPr>
          <w:color w:val="000000" w:themeColor="text1"/>
          <w:sz w:val="16"/>
          <w:szCs w:val="16"/>
        </w:rPr>
      </w:pPr>
      <w:r w:rsidRPr="0044524F">
        <w:rPr>
          <w:rStyle w:val="af0"/>
          <w:bCs/>
          <w:i w:val="0"/>
          <w:color w:val="000000" w:themeColor="text1"/>
          <w:sz w:val="16"/>
          <w:szCs w:val="16"/>
        </w:rPr>
        <w:t>17 июня</w:t>
      </w:r>
      <w:r w:rsidRPr="0044524F">
        <w:rPr>
          <w:color w:val="000000" w:themeColor="text1"/>
          <w:sz w:val="16"/>
          <w:szCs w:val="16"/>
        </w:rPr>
        <w:t xml:space="preserve"> 1933. Постановление СТО СССР № 51сс/о «Об изготовлении двух опытных образцов не плавающих колесно-гусеничных танков типа ПТ</w:t>
      </w:r>
      <w:r w:rsidRPr="0044524F">
        <w:rPr>
          <w:color w:val="000000" w:themeColor="text1"/>
          <w:sz w:val="16"/>
          <w:szCs w:val="16"/>
        </w:rPr>
        <w:noBreakHyphen/>
        <w:t>1». (ГА РФ. Ф. Р</w:t>
      </w:r>
      <w:r w:rsidRPr="0044524F">
        <w:rPr>
          <w:color w:val="000000" w:themeColor="text1"/>
          <w:sz w:val="16"/>
          <w:szCs w:val="16"/>
        </w:rPr>
        <w:noBreakHyphen/>
        <w:t>8418. Оп. 28. Д. 2. Л. 1</w:t>
      </w:r>
      <w:r w:rsidRPr="0044524F">
        <w:rPr>
          <w:color w:val="000000" w:themeColor="text1"/>
          <w:sz w:val="16"/>
          <w:szCs w:val="16"/>
        </w:rPr>
        <w:noBreakHyphen/>
        <w:t>2) (15460).</w:t>
      </w:r>
    </w:p>
    <w:p w14:paraId="1D8F1D37" w14:textId="77777777" w:rsidR="00404414" w:rsidRPr="0044524F" w:rsidRDefault="00404414" w:rsidP="009654CF">
      <w:pPr>
        <w:pStyle w:val="rtejustify"/>
        <w:spacing w:before="0" w:after="0"/>
        <w:rPr>
          <w:color w:val="000000" w:themeColor="text1"/>
          <w:sz w:val="16"/>
          <w:szCs w:val="16"/>
        </w:rPr>
      </w:pPr>
    </w:p>
    <w:p w14:paraId="166099B4" w14:textId="77777777" w:rsidR="00404414" w:rsidRPr="0044524F" w:rsidRDefault="00404414" w:rsidP="009654CF">
      <w:pPr>
        <w:pStyle w:val="rtejustify"/>
        <w:spacing w:before="0" w:after="0"/>
        <w:rPr>
          <w:color w:val="000000" w:themeColor="text1"/>
          <w:sz w:val="16"/>
          <w:szCs w:val="16"/>
        </w:rPr>
      </w:pPr>
      <w:r w:rsidRPr="0044524F">
        <w:rPr>
          <w:rStyle w:val="af0"/>
          <w:bCs/>
          <w:i w:val="0"/>
          <w:color w:val="000000" w:themeColor="text1"/>
          <w:sz w:val="16"/>
          <w:szCs w:val="16"/>
        </w:rPr>
        <w:t>17 июня</w:t>
      </w:r>
      <w:r w:rsidRPr="0044524F">
        <w:rPr>
          <w:color w:val="000000" w:themeColor="text1"/>
          <w:sz w:val="16"/>
          <w:szCs w:val="16"/>
        </w:rPr>
        <w:t xml:space="preserve"> 1933. Постановление СТО СССР № 50сс/о «О передаче Харьковского автосборочного ремонтного завода в ведение Спецмаштреста». (ГА РФ. Ф. Р</w:t>
      </w:r>
      <w:r w:rsidRPr="0044524F">
        <w:rPr>
          <w:color w:val="000000" w:themeColor="text1"/>
          <w:sz w:val="16"/>
          <w:szCs w:val="16"/>
        </w:rPr>
        <w:noBreakHyphen/>
        <w:t>8418. Оп. 28. Д. 1. Л. 207) (15460).</w:t>
      </w:r>
    </w:p>
    <w:p w14:paraId="12F55640" w14:textId="77777777" w:rsidR="00404414" w:rsidRPr="0044524F" w:rsidRDefault="00404414" w:rsidP="009654CF">
      <w:pPr>
        <w:pStyle w:val="rtejustify"/>
        <w:spacing w:before="0" w:after="0"/>
        <w:rPr>
          <w:color w:val="000000" w:themeColor="text1"/>
          <w:sz w:val="16"/>
          <w:szCs w:val="16"/>
        </w:rPr>
      </w:pPr>
    </w:p>
    <w:p w14:paraId="68FA9024" w14:textId="77777777" w:rsidR="00404414" w:rsidRPr="0044524F" w:rsidRDefault="00404414" w:rsidP="009654CF">
      <w:pPr>
        <w:pStyle w:val="rtejustify"/>
        <w:spacing w:before="0" w:after="0"/>
        <w:rPr>
          <w:color w:val="000000" w:themeColor="text1"/>
          <w:sz w:val="16"/>
          <w:szCs w:val="16"/>
        </w:rPr>
      </w:pPr>
      <w:r w:rsidRPr="0044524F">
        <w:rPr>
          <w:rStyle w:val="af0"/>
          <w:bCs/>
          <w:i w:val="0"/>
          <w:color w:val="000000" w:themeColor="text1"/>
          <w:sz w:val="16"/>
          <w:szCs w:val="16"/>
        </w:rPr>
        <w:t>17 июня 1933 вышел приказ НКТП № 85с.</w:t>
      </w:r>
      <w:r w:rsidRPr="0044524F">
        <w:rPr>
          <w:color w:val="000000" w:themeColor="text1"/>
          <w:sz w:val="16"/>
          <w:szCs w:val="16"/>
        </w:rPr>
        <w:t xml:space="preserve"> Об организации проектных и строительных работ по тресту «Бензоскладстрой». (РГАЭ. Ф. 7297. Оп. 38. Д. 37. Л. 76</w:t>
      </w:r>
      <w:r w:rsidRPr="0044524F">
        <w:rPr>
          <w:color w:val="000000" w:themeColor="text1"/>
          <w:sz w:val="16"/>
          <w:szCs w:val="16"/>
        </w:rPr>
        <w:noBreakHyphen/>
        <w:t>76 об.) (15246).</w:t>
      </w:r>
    </w:p>
    <w:p w14:paraId="6F78AC70" w14:textId="77777777" w:rsidR="00404414" w:rsidRPr="0044524F" w:rsidRDefault="00404414" w:rsidP="009654CF">
      <w:pPr>
        <w:pStyle w:val="rtejustify"/>
        <w:spacing w:before="0" w:after="0"/>
        <w:rPr>
          <w:color w:val="000000" w:themeColor="text1"/>
          <w:sz w:val="16"/>
          <w:szCs w:val="16"/>
        </w:rPr>
      </w:pPr>
    </w:p>
    <w:p w14:paraId="4BB483E5" w14:textId="7AD452B4" w:rsidR="00E5166A" w:rsidRPr="0044524F" w:rsidRDefault="00E5166A"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709F6092" w14:textId="77777777" w:rsidR="00E5166A" w:rsidRPr="0044524F" w:rsidRDefault="00E5166A" w:rsidP="009654CF">
      <w:pPr>
        <w:spacing w:after="0" w:line="240" w:lineRule="auto"/>
        <w:jc w:val="both"/>
        <w:rPr>
          <w:rFonts w:ascii="Times New Roman" w:hAnsi="Times New Roman"/>
          <w:i/>
          <w:iCs/>
          <w:color w:val="000000" w:themeColor="text1"/>
          <w:sz w:val="16"/>
          <w:szCs w:val="16"/>
        </w:rPr>
      </w:pPr>
    </w:p>
    <w:p w14:paraId="2D48C3CA"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июня 1933 г. в перелете на ДВ из Монино первой стартовала 112-я тбаэ на ТБ-3. Понача</w:t>
      </w:r>
      <w:r w:rsidRPr="0044524F">
        <w:rPr>
          <w:rFonts w:ascii="Times New Roman" w:hAnsi="Times New Roman"/>
          <w:color w:val="000000" w:themeColor="text1"/>
          <w:sz w:val="16"/>
          <w:szCs w:val="16"/>
        </w:rPr>
        <w:softHyphen/>
        <w:t>лу взлетел первый эшелон эскадри</w:t>
      </w:r>
      <w:r w:rsidRPr="0044524F">
        <w:rPr>
          <w:rFonts w:ascii="Times New Roman" w:hAnsi="Times New Roman"/>
          <w:color w:val="000000" w:themeColor="text1"/>
          <w:sz w:val="16"/>
          <w:szCs w:val="16"/>
        </w:rPr>
        <w:softHyphen/>
        <w:t>льи в составе 8 машин под командованием Розенка, 2-й и 3-й неотдельные отряды этого эшелона на Са</w:t>
      </w:r>
      <w:r w:rsidRPr="0044524F">
        <w:rPr>
          <w:rFonts w:ascii="Times New Roman" w:hAnsi="Times New Roman"/>
          <w:color w:val="000000" w:themeColor="text1"/>
          <w:sz w:val="16"/>
          <w:szCs w:val="16"/>
        </w:rPr>
        <w:softHyphen/>
        <w:t>марском полигоне сбросили макеты бомб по 2 тон</w:t>
      </w:r>
      <w:r w:rsidRPr="0044524F">
        <w:rPr>
          <w:rFonts w:ascii="Times New Roman" w:hAnsi="Times New Roman"/>
          <w:color w:val="000000" w:themeColor="text1"/>
          <w:sz w:val="16"/>
          <w:szCs w:val="16"/>
        </w:rPr>
        <w:softHyphen/>
        <w:t>ны. В отношении обозначения самолетов известно, что командирская машина имела красную звезду на вертикальном оперении, н/о отряды имели цифры: 1, 2, 3 — красная, 1, 2, 3, 4 — голубая, 1, 2, 3, 4 — жел</w:t>
      </w:r>
      <w:r w:rsidRPr="0044524F">
        <w:rPr>
          <w:rFonts w:ascii="Times New Roman" w:hAnsi="Times New Roman"/>
          <w:color w:val="000000" w:themeColor="text1"/>
          <w:sz w:val="16"/>
          <w:szCs w:val="16"/>
        </w:rPr>
        <w:softHyphen/>
        <w:t>тая. Движение на восток сопровождалось мелкими авариями, в пути сменили на различных самолетах 4 мотора. Весь перелет занял 29 дней вместо 17 запла</w:t>
      </w:r>
      <w:r w:rsidRPr="0044524F">
        <w:rPr>
          <w:rFonts w:ascii="Times New Roman" w:hAnsi="Times New Roman"/>
          <w:color w:val="000000" w:themeColor="text1"/>
          <w:sz w:val="16"/>
          <w:szCs w:val="16"/>
        </w:rPr>
        <w:softHyphen/>
        <w:t>нированных, так как старались идти вместе и дожи</w:t>
      </w:r>
      <w:r w:rsidRPr="0044524F">
        <w:rPr>
          <w:rFonts w:ascii="Times New Roman" w:hAnsi="Times New Roman"/>
          <w:color w:val="000000" w:themeColor="text1"/>
          <w:sz w:val="16"/>
          <w:szCs w:val="16"/>
        </w:rPr>
        <w:softHyphen/>
        <w:t>дались отставших. 17 июля все 12 ТБ-3 сосредоточи</w:t>
      </w:r>
      <w:r w:rsidRPr="0044524F">
        <w:rPr>
          <w:rFonts w:ascii="Times New Roman" w:hAnsi="Times New Roman"/>
          <w:color w:val="000000" w:themeColor="text1"/>
          <w:sz w:val="16"/>
          <w:szCs w:val="16"/>
        </w:rPr>
        <w:softHyphen/>
        <w:t>лись на аэродроме Воздвиженка 28-й авиабригады (23378).</w:t>
      </w:r>
    </w:p>
    <w:p w14:paraId="5B8BF4DF"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037C2C18" w14:textId="6734D369"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DB43B4E"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16540E1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июня 1933 С.А.Леваневский перелетел из Севастополя в Хабаровск. Перелет на Дорнье-Валь (Н-8) начался 30 мая (438,647).</w:t>
      </w:r>
    </w:p>
    <w:p w14:paraId="31AD00F0"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5509D1B3" w14:textId="77777777" w:rsidR="000B241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4BEAA0C" w14:textId="77777777" w:rsidR="000B2414" w:rsidRPr="0044524F" w:rsidRDefault="000B2414" w:rsidP="009654CF">
      <w:pPr>
        <w:spacing w:after="0" w:line="240" w:lineRule="auto"/>
        <w:jc w:val="both"/>
        <w:rPr>
          <w:rFonts w:ascii="Times New Roman" w:hAnsi="Times New Roman"/>
          <w:iCs/>
          <w:color w:val="000000" w:themeColor="text1"/>
          <w:sz w:val="16"/>
          <w:szCs w:val="16"/>
        </w:rPr>
      </w:pPr>
    </w:p>
    <w:p w14:paraId="518E8F63" w14:textId="77777777" w:rsidR="000B2414" w:rsidRPr="0044524F" w:rsidRDefault="000B2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lastRenderedPageBreak/>
        <w:t>18 июня</w:t>
      </w:r>
      <w:r w:rsidRPr="0044524F">
        <w:rPr>
          <w:rFonts w:ascii="Times New Roman" w:hAnsi="Times New Roman"/>
          <w:color w:val="000000" w:themeColor="text1"/>
          <w:sz w:val="16"/>
          <w:szCs w:val="16"/>
        </w:rPr>
        <w:t xml:space="preserve"> в 1933 году первый полет трехместного самолета-амфибии </w:t>
      </w:r>
      <w:hyperlink r:id="rId219" w:tgtFrame="_blank" w:history="1">
        <w:r w:rsidRPr="0044524F">
          <w:rPr>
            <w:rFonts w:ascii="Times New Roman" w:hAnsi="Times New Roman"/>
            <w:color w:val="000000" w:themeColor="text1"/>
            <w:sz w:val="16"/>
            <w:szCs w:val="16"/>
          </w:rPr>
          <w:t xml:space="preserve">«SEV-3», </w:t>
        </w:r>
      </w:hyperlink>
      <w:r w:rsidRPr="0044524F">
        <w:rPr>
          <w:rFonts w:ascii="Times New Roman" w:hAnsi="Times New Roman"/>
          <w:color w:val="000000" w:themeColor="text1"/>
          <w:sz w:val="16"/>
          <w:szCs w:val="16"/>
        </w:rPr>
        <w:t>конструктор А.Северский сам поднял в воздух свое детище. Испытания показали отличные скоростные качества машины. 8 ноября 1927 года Северский получил американское подданство, а в следующем году ему было присвоено звание майора ВВС США (в запасе). Успешное развитие дел было нарушено тяжелейшим экономическим кризисом, разразившимся в США в конце 1920-х годов. Среди тысяч обанкротившихся предприятий оказалась и фирма Северского. В очередной раз все пришлось начинать заново. К началу 1930-х годов он разработал проект самолета-амфибии. Для реализации замысла собрал вокруг себя несколько единомышленников, и в феврале 1931 года в Лонг Айленде (штат Нью-Йорк) появилась новая самолетостроительная фирма Северский Айркрафт Корпорейшн. Александр стал одновременно президентом, конструктором и летчиком-испытателем. Главным инженером был его соотечественник талантливый авиационный специалист Александр Картвелли. В конструкторскую группу входили также инженеры М.Грегор и М.Бондар. Собственного производства новоиспеченная фирма не имела, и Северский заключил договор на изготовление самолета с расположенным по соседству авиационным предприятием. Трехместный самолет-амфибия, названный «SEV-3», был готов к лету 1933 года. Эта подлинно новаторская машина представляла собой цельнометаллический моноплан с низкорасположенным свободнонесущим крылом с работающей обшивкой. В отличие от других металлических самолетов того времени гофрированную обшивку крыла покрыли сверху гладкими металлическими листами. Это, наряду с хорошо обтекаемым фюзеляжем овальной формы, позволило заметно уменьшить аэродинамическое сопротивление. В результате по максимальной скорости амфибия, несмотря на большие подкрыльевые поплавки, не уступала самолетам с обычным колесным шасси. Внутренняя поверхность крыла представляла собой топливный бак, что также являлось новшеством. Посадочные щитки и аэродинамические тормоза оригинальной конструкции способствовали улучшению посадочных характеристик. При взлете с воды колеса шасси с помощью гидравлической системы могли убираться внутрь поплавков, уменьшая тем самым гидродинамическое сопротивление при разбеге. При использовании самолета с грунтовых поверхностей колеса выдвигались, одновременно освобождался замок-фиксатор поплавков. Они получали возможность поворачиваться вокруг оси в вертикальной плоскости, что исключало опасность их поломки при приземлении под большим углом атаки. Устанавливался двигатель воздушного охлаждения «Райт» «J-6» мощностью 420 л.с. С момента появления «SEV-3» такие конструктивные особенности как гладкая металлическая работающая обшивка, свободнонесущее низкорасположенное крыло многолонжеронной схемы, с резервуаром для топлива, монококовый фюзеляж, звездообразный двигатель воздушного охлаждения стали характерными для всех самолетов Северского (14926).</w:t>
      </w:r>
    </w:p>
    <w:p w14:paraId="651F9AB6" w14:textId="77777777" w:rsidR="000B2414" w:rsidRPr="0044524F" w:rsidRDefault="000B2414" w:rsidP="009654CF">
      <w:pPr>
        <w:spacing w:after="0" w:line="240" w:lineRule="auto"/>
        <w:jc w:val="both"/>
        <w:rPr>
          <w:rFonts w:ascii="Times New Roman" w:hAnsi="Times New Roman"/>
          <w:color w:val="000000" w:themeColor="text1"/>
          <w:sz w:val="16"/>
          <w:szCs w:val="16"/>
        </w:rPr>
      </w:pPr>
    </w:p>
    <w:p w14:paraId="0FDE0109" w14:textId="77777777" w:rsidR="00CD62DA" w:rsidRPr="00142305" w:rsidRDefault="00CD62DA" w:rsidP="00CD62DA">
      <w:pPr>
        <w:spacing w:after="0" w:line="240" w:lineRule="auto"/>
        <w:jc w:val="both"/>
        <w:rPr>
          <w:rStyle w:val="aff"/>
          <w:rFonts w:ascii="Times New Roman" w:eastAsiaTheme="minorHAnsi" w:hAnsi="Times New Roman" w:cs="Times New Roman"/>
          <w:color w:val="0070C0"/>
          <w:spacing w:val="0"/>
          <w:sz w:val="16"/>
          <w:szCs w:val="16"/>
        </w:rPr>
      </w:pPr>
      <w:r w:rsidRPr="00142305">
        <w:rPr>
          <w:rStyle w:val="aff"/>
          <w:rFonts w:ascii="Times New Roman" w:eastAsiaTheme="minorHAnsi" w:hAnsi="Times New Roman" w:cs="Times New Roman"/>
          <w:color w:val="0070C0"/>
          <w:spacing w:val="0"/>
          <w:sz w:val="16"/>
          <w:szCs w:val="16"/>
        </w:rPr>
        <w:t xml:space="preserve">18 июня 1933 г. состоялся первый полет </w:t>
      </w:r>
      <w:r w:rsidRPr="00142305">
        <w:rPr>
          <w:rStyle w:val="aff"/>
          <w:rFonts w:ascii="Times New Roman" w:eastAsiaTheme="minorHAnsi" w:hAnsi="Times New Roman" w:cs="Times New Roman"/>
          <w:color w:val="0070C0"/>
          <w:spacing w:val="0"/>
          <w:sz w:val="16"/>
          <w:szCs w:val="16"/>
          <w:lang w:val="en-US"/>
        </w:rPr>
        <w:t>SEV</w:t>
      </w:r>
      <w:r w:rsidRPr="00142305">
        <w:rPr>
          <w:rStyle w:val="aff"/>
          <w:rFonts w:ascii="Times New Roman" w:eastAsiaTheme="minorHAnsi" w:hAnsi="Times New Roman" w:cs="Times New Roman"/>
          <w:color w:val="0070C0"/>
          <w:spacing w:val="0"/>
          <w:sz w:val="16"/>
          <w:szCs w:val="16"/>
        </w:rPr>
        <w:t>-3.</w:t>
      </w:r>
    </w:p>
    <w:p w14:paraId="52DA7908"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Самолет представ</w:t>
      </w:r>
      <w:r w:rsidRPr="00142305">
        <w:rPr>
          <w:rStyle w:val="aff"/>
          <w:rFonts w:ascii="Times New Roman" w:eastAsiaTheme="minorHAnsi" w:hAnsi="Times New Roman" w:cs="Times New Roman"/>
          <w:color w:val="0070C0"/>
          <w:spacing w:val="0"/>
          <w:sz w:val="16"/>
          <w:szCs w:val="16"/>
        </w:rPr>
        <w:softHyphen/>
        <w:t>лял собой цельнометаллический моноплан с низкорасположенным свободнонесущим крылом с работающей обшивкой. Его размах со</w:t>
      </w:r>
      <w:r w:rsidRPr="00142305">
        <w:rPr>
          <w:rStyle w:val="aff"/>
          <w:rFonts w:ascii="Times New Roman" w:eastAsiaTheme="minorHAnsi" w:hAnsi="Times New Roman" w:cs="Times New Roman"/>
          <w:color w:val="0070C0"/>
          <w:spacing w:val="0"/>
          <w:sz w:val="16"/>
          <w:szCs w:val="16"/>
        </w:rPr>
        <w:softHyphen/>
        <w:t>ставлял 11 м. В отличие от большинства других металлических само</w:t>
      </w:r>
      <w:r w:rsidRPr="00142305">
        <w:rPr>
          <w:rStyle w:val="aff"/>
          <w:rFonts w:ascii="Times New Roman" w:eastAsiaTheme="minorHAnsi" w:hAnsi="Times New Roman" w:cs="Times New Roman"/>
          <w:color w:val="0070C0"/>
          <w:spacing w:val="0"/>
          <w:sz w:val="16"/>
          <w:szCs w:val="16"/>
        </w:rPr>
        <w:softHyphen/>
        <w:t>летов того времени, гофрированная обшивка крыла была покрыта сверху гладкими металлическими листами. Это, наряду с хорошо об</w:t>
      </w:r>
      <w:r w:rsidRPr="00142305">
        <w:rPr>
          <w:rStyle w:val="aff"/>
          <w:rFonts w:ascii="Times New Roman" w:eastAsiaTheme="minorHAnsi" w:hAnsi="Times New Roman" w:cs="Times New Roman"/>
          <w:color w:val="0070C0"/>
          <w:spacing w:val="0"/>
          <w:sz w:val="16"/>
          <w:szCs w:val="16"/>
        </w:rPr>
        <w:softHyphen/>
        <w:t>текаемым фюзеляжем овальной формы, позволило заметно умень</w:t>
      </w:r>
      <w:r w:rsidRPr="00142305">
        <w:rPr>
          <w:rStyle w:val="aff"/>
          <w:rFonts w:ascii="Times New Roman" w:eastAsiaTheme="minorHAnsi" w:hAnsi="Times New Roman" w:cs="Times New Roman"/>
          <w:color w:val="0070C0"/>
          <w:spacing w:val="0"/>
          <w:sz w:val="16"/>
          <w:szCs w:val="16"/>
        </w:rPr>
        <w:softHyphen/>
        <w:t>шить аэродинамическое сопротивление. В результате по максималь</w:t>
      </w:r>
      <w:r w:rsidRPr="00142305">
        <w:rPr>
          <w:rStyle w:val="aff"/>
          <w:rFonts w:ascii="Times New Roman" w:eastAsiaTheme="minorHAnsi" w:hAnsi="Times New Roman" w:cs="Times New Roman"/>
          <w:color w:val="0070C0"/>
          <w:spacing w:val="0"/>
          <w:sz w:val="16"/>
          <w:szCs w:val="16"/>
        </w:rPr>
        <w:softHyphen/>
        <w:t>ной скорости (около 300 км/ч) амфибия, несмотря на большие подкрыльевые поплавки, не уступала самолетам с обычным колес</w:t>
      </w:r>
      <w:r w:rsidRPr="00142305">
        <w:rPr>
          <w:rStyle w:val="aff"/>
          <w:rFonts w:ascii="Times New Roman" w:eastAsiaTheme="minorHAnsi" w:hAnsi="Times New Roman" w:cs="Times New Roman"/>
          <w:color w:val="0070C0"/>
          <w:spacing w:val="0"/>
          <w:sz w:val="16"/>
          <w:szCs w:val="16"/>
        </w:rPr>
        <w:softHyphen/>
        <w:t>ным шасси. Внутренняя поверхность крыла представляла собой топ</w:t>
      </w:r>
      <w:r w:rsidRPr="00142305">
        <w:rPr>
          <w:rStyle w:val="aff"/>
          <w:rFonts w:ascii="Times New Roman" w:eastAsiaTheme="minorHAnsi" w:hAnsi="Times New Roman" w:cs="Times New Roman"/>
          <w:color w:val="0070C0"/>
          <w:spacing w:val="0"/>
          <w:sz w:val="16"/>
          <w:szCs w:val="16"/>
        </w:rPr>
        <w:softHyphen/>
        <w:t>ливный бак, что также являлось новшеством. Посадочные закрылки и аэродинамические тормоза оригинальной конструкции способст</w:t>
      </w:r>
      <w:r w:rsidRPr="00142305">
        <w:rPr>
          <w:rStyle w:val="aff"/>
          <w:rFonts w:ascii="Times New Roman" w:eastAsiaTheme="minorHAnsi" w:hAnsi="Times New Roman" w:cs="Times New Roman"/>
          <w:color w:val="0070C0"/>
          <w:spacing w:val="0"/>
          <w:sz w:val="16"/>
          <w:szCs w:val="16"/>
        </w:rPr>
        <w:softHyphen/>
        <w:t>вовали улучшению посадочных характеристик. Следует отметить также необычность шасси. При взлете с воды колеса с помощью гид</w:t>
      </w:r>
      <w:r w:rsidRPr="00142305">
        <w:rPr>
          <w:rStyle w:val="aff"/>
          <w:rFonts w:ascii="Times New Roman" w:eastAsiaTheme="minorHAnsi" w:hAnsi="Times New Roman" w:cs="Times New Roman"/>
          <w:color w:val="0070C0"/>
          <w:spacing w:val="0"/>
          <w:sz w:val="16"/>
          <w:szCs w:val="16"/>
        </w:rPr>
        <w:softHyphen/>
        <w:t>равлической системы могли убираться внутрь поплавков, уменьшая тем самым гидродинамическое сопротивление при разбеге. При ис</w:t>
      </w:r>
      <w:r w:rsidRPr="00142305">
        <w:rPr>
          <w:rStyle w:val="aff"/>
          <w:rFonts w:ascii="Times New Roman" w:eastAsiaTheme="minorHAnsi" w:hAnsi="Times New Roman" w:cs="Times New Roman"/>
          <w:color w:val="0070C0"/>
          <w:spacing w:val="0"/>
          <w:sz w:val="16"/>
          <w:szCs w:val="16"/>
        </w:rPr>
        <w:softHyphen/>
        <w:t>пользовании самолета с грунтовых поверхностей колеса выдвигались, одновременно освобождался замок-фиксатор поплавков и последние получали возможность поворачиваться вокруг оси в вертикальной плоскости, что исключало опасность их поломки при приземлении под большим углом атаки. На самолете был установлен двигатель воз</w:t>
      </w:r>
      <w:r w:rsidRPr="00142305">
        <w:rPr>
          <w:rStyle w:val="aff"/>
          <w:rFonts w:ascii="Times New Roman" w:eastAsiaTheme="minorHAnsi" w:hAnsi="Times New Roman" w:cs="Times New Roman"/>
          <w:color w:val="0070C0"/>
          <w:spacing w:val="0"/>
          <w:sz w:val="16"/>
          <w:szCs w:val="16"/>
        </w:rPr>
        <w:softHyphen/>
        <w:t xml:space="preserve">душного охлаждения Райт </w:t>
      </w:r>
      <w:r w:rsidRPr="00142305">
        <w:rPr>
          <w:rStyle w:val="aff"/>
          <w:rFonts w:ascii="Times New Roman" w:eastAsiaTheme="minorHAnsi" w:hAnsi="Times New Roman" w:cs="Times New Roman"/>
          <w:color w:val="0070C0"/>
          <w:spacing w:val="0"/>
          <w:sz w:val="16"/>
          <w:szCs w:val="16"/>
          <w:lang w:val="en-US"/>
        </w:rPr>
        <w:t>J</w:t>
      </w:r>
      <w:r w:rsidRPr="00142305">
        <w:rPr>
          <w:rStyle w:val="aff"/>
          <w:rFonts w:ascii="Times New Roman" w:eastAsiaTheme="minorHAnsi" w:hAnsi="Times New Roman" w:cs="Times New Roman"/>
          <w:color w:val="0070C0"/>
          <w:spacing w:val="0"/>
          <w:sz w:val="16"/>
          <w:szCs w:val="16"/>
        </w:rPr>
        <w:t>-6 мощностью 420 л. с.</w:t>
      </w:r>
    </w:p>
    <w:p w14:paraId="2261FBAE"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Северский сам поднял в воздух свое детище. Испытания показали отличные скоро</w:t>
      </w:r>
      <w:r w:rsidRPr="00142305">
        <w:rPr>
          <w:rStyle w:val="aff"/>
          <w:rFonts w:ascii="Times New Roman" w:eastAsiaTheme="minorHAnsi" w:hAnsi="Times New Roman" w:cs="Times New Roman"/>
          <w:color w:val="0070C0"/>
          <w:spacing w:val="0"/>
          <w:sz w:val="16"/>
          <w:szCs w:val="16"/>
        </w:rPr>
        <w:softHyphen/>
        <w:t>стные качества машины. 9 октября того же года Северский устано</w:t>
      </w:r>
      <w:r w:rsidRPr="00142305">
        <w:rPr>
          <w:rStyle w:val="aff"/>
          <w:rFonts w:ascii="Times New Roman" w:eastAsiaTheme="minorHAnsi" w:hAnsi="Times New Roman" w:cs="Times New Roman"/>
          <w:color w:val="0070C0"/>
          <w:spacing w:val="0"/>
          <w:sz w:val="16"/>
          <w:szCs w:val="16"/>
        </w:rPr>
        <w:softHyphen/>
        <w:t xml:space="preserve">вил на самолете мировой рекорд скорости для амфибий </w:t>
      </w:r>
      <w:r w:rsidRPr="00142305">
        <w:rPr>
          <w:rStyle w:val="aff"/>
          <w:rFonts w:ascii="Times New Roman" w:hAnsi="Times New Roman" w:cs="Times New Roman"/>
          <w:color w:val="0070C0"/>
          <w:spacing w:val="0"/>
          <w:sz w:val="16"/>
          <w:szCs w:val="16"/>
        </w:rPr>
        <w:t xml:space="preserve">– </w:t>
      </w:r>
      <w:r w:rsidRPr="00142305">
        <w:rPr>
          <w:rStyle w:val="aff"/>
          <w:rFonts w:ascii="Times New Roman" w:eastAsiaTheme="minorHAnsi" w:hAnsi="Times New Roman" w:cs="Times New Roman"/>
          <w:color w:val="0070C0"/>
          <w:spacing w:val="0"/>
          <w:sz w:val="16"/>
          <w:szCs w:val="16"/>
        </w:rPr>
        <w:t>290км/ч. 15 сентября 1935 г., после установки на самолете двигате</w:t>
      </w:r>
      <w:r w:rsidRPr="00142305">
        <w:rPr>
          <w:rStyle w:val="aff"/>
          <w:rFonts w:ascii="Times New Roman" w:eastAsiaTheme="minorHAnsi" w:hAnsi="Times New Roman" w:cs="Times New Roman"/>
          <w:color w:val="0070C0"/>
          <w:spacing w:val="0"/>
          <w:sz w:val="16"/>
          <w:szCs w:val="16"/>
        </w:rPr>
        <w:softHyphen/>
        <w:t xml:space="preserve">ля мощностью 750 л. с. (модификация </w:t>
      </w:r>
      <w:r w:rsidRPr="00142305">
        <w:rPr>
          <w:rStyle w:val="aff"/>
          <w:rFonts w:ascii="Times New Roman" w:eastAsiaTheme="minorHAnsi" w:hAnsi="Times New Roman" w:cs="Times New Roman"/>
          <w:color w:val="0070C0"/>
          <w:spacing w:val="0"/>
          <w:sz w:val="16"/>
          <w:szCs w:val="16"/>
          <w:lang w:val="en-US"/>
        </w:rPr>
        <w:t>SEV</w:t>
      </w:r>
      <w:r w:rsidRPr="00142305">
        <w:rPr>
          <w:rStyle w:val="aff"/>
          <w:rFonts w:ascii="Times New Roman" w:eastAsiaTheme="minorHAnsi" w:hAnsi="Times New Roman" w:cs="Times New Roman"/>
          <w:color w:val="0070C0"/>
          <w:spacing w:val="0"/>
          <w:sz w:val="16"/>
          <w:szCs w:val="16"/>
        </w:rPr>
        <w:t>-3</w:t>
      </w:r>
      <w:r w:rsidRPr="00142305">
        <w:rPr>
          <w:rStyle w:val="aff"/>
          <w:rFonts w:ascii="Times New Roman" w:eastAsiaTheme="minorHAnsi" w:hAnsi="Times New Roman" w:cs="Times New Roman"/>
          <w:color w:val="0070C0"/>
          <w:spacing w:val="0"/>
          <w:sz w:val="16"/>
          <w:szCs w:val="16"/>
          <w:lang w:val="en-US"/>
        </w:rPr>
        <w:t>M</w:t>
      </w:r>
      <w:r w:rsidRPr="00142305">
        <w:rPr>
          <w:rStyle w:val="aff"/>
          <w:rFonts w:ascii="Times New Roman" w:eastAsiaTheme="minorHAnsi" w:hAnsi="Times New Roman" w:cs="Times New Roman"/>
          <w:color w:val="0070C0"/>
          <w:spacing w:val="0"/>
          <w:sz w:val="16"/>
          <w:szCs w:val="16"/>
        </w:rPr>
        <w:t xml:space="preserve">), он достиг нового результата </w:t>
      </w:r>
      <w:r w:rsidRPr="00142305">
        <w:rPr>
          <w:rStyle w:val="aff"/>
          <w:rFonts w:ascii="Times New Roman" w:hAnsi="Times New Roman" w:cs="Times New Roman"/>
          <w:color w:val="0070C0"/>
          <w:spacing w:val="0"/>
          <w:sz w:val="16"/>
          <w:szCs w:val="16"/>
        </w:rPr>
        <w:t xml:space="preserve">– </w:t>
      </w:r>
      <w:r w:rsidRPr="00142305">
        <w:rPr>
          <w:rStyle w:val="aff"/>
          <w:rFonts w:ascii="Times New Roman" w:eastAsiaTheme="minorHAnsi" w:hAnsi="Times New Roman" w:cs="Times New Roman"/>
          <w:color w:val="0070C0"/>
          <w:spacing w:val="0"/>
          <w:sz w:val="16"/>
          <w:szCs w:val="16"/>
        </w:rPr>
        <w:t>371 км/ч. Эта скорость оставалась рекордной для са</w:t>
      </w:r>
      <w:r w:rsidRPr="00142305">
        <w:rPr>
          <w:rStyle w:val="aff"/>
          <w:rFonts w:ascii="Times New Roman" w:eastAsiaTheme="minorHAnsi" w:hAnsi="Times New Roman" w:cs="Times New Roman"/>
          <w:color w:val="0070C0"/>
          <w:spacing w:val="0"/>
          <w:sz w:val="16"/>
          <w:szCs w:val="16"/>
        </w:rPr>
        <w:softHyphen/>
        <w:t>молетов-амфибий с поршневым двигателем долгие годы (25707).</w:t>
      </w:r>
    </w:p>
    <w:p w14:paraId="2400F889" w14:textId="77777777" w:rsidR="00CD62DA" w:rsidRPr="00142305" w:rsidRDefault="00CD62DA" w:rsidP="00CD62DA">
      <w:pPr>
        <w:spacing w:after="0" w:line="240" w:lineRule="auto"/>
        <w:jc w:val="both"/>
        <w:rPr>
          <w:rFonts w:ascii="Times New Roman" w:hAnsi="Times New Roman"/>
          <w:color w:val="0070C0"/>
          <w:sz w:val="16"/>
          <w:szCs w:val="16"/>
        </w:rPr>
      </w:pPr>
    </w:p>
    <w:p w14:paraId="087F187B"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EDACA6D"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7A9483B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июня 1933 года зам. нач. НТОС Машкевич писал письмо N ОП 257/348с директору завода N 39 Марголину.</w:t>
      </w:r>
    </w:p>
    <w:p w14:paraId="2E8E3F0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просьбе Ильюшина (N 114с от 15/VI-33 г.), направляю при сем план опытного строительства по Вашему заводу, посылаемый в комиссию РВС СССР.</w:t>
      </w:r>
    </w:p>
    <w:p w14:paraId="2214BBE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Основные плановые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4E10C1" w:rsidRPr="0044524F" w14:paraId="347BB74A" w14:textId="77777777">
        <w:tc>
          <w:tcPr>
            <w:tcW w:w="2254" w:type="dxa"/>
          </w:tcPr>
          <w:p w14:paraId="10791D8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ЛР-М34</w:t>
            </w:r>
          </w:p>
        </w:tc>
        <w:tc>
          <w:tcPr>
            <w:tcW w:w="2254" w:type="dxa"/>
          </w:tcPr>
          <w:p w14:paraId="116F908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1/IX-33 г.</w:t>
            </w:r>
          </w:p>
        </w:tc>
        <w:tc>
          <w:tcPr>
            <w:tcW w:w="2254" w:type="dxa"/>
          </w:tcPr>
          <w:p w14:paraId="0007560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w:t>
            </w:r>
          </w:p>
        </w:tc>
      </w:tr>
      <w:tr w:rsidR="004E10C1" w:rsidRPr="0044524F" w14:paraId="0CD7CF8D" w14:textId="77777777">
        <w:tc>
          <w:tcPr>
            <w:tcW w:w="2254" w:type="dxa"/>
          </w:tcPr>
          <w:p w14:paraId="0933519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ТШ3-М34</w:t>
            </w:r>
          </w:p>
        </w:tc>
        <w:tc>
          <w:tcPr>
            <w:tcW w:w="2254" w:type="dxa"/>
          </w:tcPr>
          <w:p w14:paraId="10CD44A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1/II-34 г.</w:t>
            </w:r>
          </w:p>
        </w:tc>
        <w:tc>
          <w:tcPr>
            <w:tcW w:w="2254" w:type="dxa"/>
          </w:tcPr>
          <w:p w14:paraId="2DCF82C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347F888" w14:textId="77777777">
        <w:tc>
          <w:tcPr>
            <w:tcW w:w="2254" w:type="dxa"/>
          </w:tcPr>
          <w:p w14:paraId="4E4218D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И15-Р.Ц.</w:t>
            </w:r>
          </w:p>
        </w:tc>
        <w:tc>
          <w:tcPr>
            <w:tcW w:w="2254" w:type="dxa"/>
          </w:tcPr>
          <w:p w14:paraId="58C0721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1/XII-33 г.</w:t>
            </w:r>
          </w:p>
        </w:tc>
        <w:tc>
          <w:tcPr>
            <w:tcW w:w="2254" w:type="dxa"/>
          </w:tcPr>
          <w:p w14:paraId="69E5786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F40BB7B" w14:textId="77777777">
        <w:tc>
          <w:tcPr>
            <w:tcW w:w="2254" w:type="dxa"/>
          </w:tcPr>
          <w:p w14:paraId="1B16445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И15-М58</w:t>
            </w:r>
          </w:p>
        </w:tc>
        <w:tc>
          <w:tcPr>
            <w:tcW w:w="2254" w:type="dxa"/>
          </w:tcPr>
          <w:p w14:paraId="4048634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6 мес. после получения моторов.</w:t>
            </w:r>
          </w:p>
        </w:tc>
        <w:tc>
          <w:tcPr>
            <w:tcW w:w="2254" w:type="dxa"/>
          </w:tcPr>
          <w:p w14:paraId="34161C19"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bl>
    <w:p w14:paraId="016533B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Экспериментальные работы.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tblGrid>
      <w:tr w:rsidR="004E10C1" w:rsidRPr="0044524F" w14:paraId="53C61260" w14:textId="77777777">
        <w:tc>
          <w:tcPr>
            <w:tcW w:w="2818" w:type="dxa"/>
          </w:tcPr>
          <w:p w14:paraId="227D47F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ДИ6-М58</w:t>
            </w:r>
          </w:p>
        </w:tc>
        <w:tc>
          <w:tcPr>
            <w:tcW w:w="2818" w:type="dxa"/>
          </w:tcPr>
          <w:p w14:paraId="3B3DFAAA"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18B3589A" w14:textId="77777777">
        <w:tc>
          <w:tcPr>
            <w:tcW w:w="2818" w:type="dxa"/>
          </w:tcPr>
          <w:p w14:paraId="70BBE17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или Р.Ц.</w:t>
            </w:r>
          </w:p>
        </w:tc>
        <w:tc>
          <w:tcPr>
            <w:tcW w:w="2818" w:type="dxa"/>
          </w:tcPr>
          <w:p w14:paraId="72C55DF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1/V-34 г.</w:t>
            </w:r>
          </w:p>
        </w:tc>
      </w:tr>
      <w:tr w:rsidR="004E10C1" w:rsidRPr="0044524F" w14:paraId="10B1581E" w14:textId="77777777">
        <w:tc>
          <w:tcPr>
            <w:tcW w:w="2818" w:type="dxa"/>
          </w:tcPr>
          <w:p w14:paraId="335ACD82"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Старт. сам.</w:t>
            </w:r>
          </w:p>
        </w:tc>
        <w:tc>
          <w:tcPr>
            <w:tcW w:w="2818" w:type="dxa"/>
          </w:tcPr>
          <w:p w14:paraId="3D8ACB98"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3F739E7A" w14:textId="77777777">
        <w:tc>
          <w:tcPr>
            <w:tcW w:w="2818" w:type="dxa"/>
          </w:tcPr>
          <w:p w14:paraId="7E8E3ED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2818" w:type="dxa"/>
          </w:tcPr>
          <w:p w14:paraId="320D333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1/I-34 г.</w:t>
            </w:r>
          </w:p>
        </w:tc>
      </w:tr>
      <w:tr w:rsidR="004E10C1" w:rsidRPr="0044524F" w14:paraId="53B1598A" w14:textId="77777777">
        <w:tc>
          <w:tcPr>
            <w:tcW w:w="2818" w:type="dxa"/>
          </w:tcPr>
          <w:p w14:paraId="519376B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Летающ. крыло</w:t>
            </w:r>
          </w:p>
        </w:tc>
        <w:tc>
          <w:tcPr>
            <w:tcW w:w="2818" w:type="dxa"/>
          </w:tcPr>
          <w:p w14:paraId="213D9CB4"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4ABA39C3" w14:textId="77777777">
        <w:tc>
          <w:tcPr>
            <w:tcW w:w="2818" w:type="dxa"/>
          </w:tcPr>
          <w:p w14:paraId="55C4ED2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2М11</w:t>
            </w:r>
          </w:p>
        </w:tc>
        <w:tc>
          <w:tcPr>
            <w:tcW w:w="2818" w:type="dxa"/>
          </w:tcPr>
          <w:p w14:paraId="7ECAF23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1/I-34 г.</w:t>
            </w:r>
          </w:p>
        </w:tc>
      </w:tr>
      <w:tr w:rsidR="004E10C1" w:rsidRPr="0044524F" w14:paraId="45B04135" w14:textId="77777777">
        <w:tc>
          <w:tcPr>
            <w:tcW w:w="2818" w:type="dxa"/>
          </w:tcPr>
          <w:p w14:paraId="6546C05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летающ. крыло</w:t>
            </w:r>
          </w:p>
        </w:tc>
        <w:tc>
          <w:tcPr>
            <w:tcW w:w="2818" w:type="dxa"/>
          </w:tcPr>
          <w:p w14:paraId="664D7C8E"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49A4FC42" w14:textId="77777777">
        <w:tc>
          <w:tcPr>
            <w:tcW w:w="2818" w:type="dxa"/>
          </w:tcPr>
          <w:p w14:paraId="15C25E2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2818" w:type="dxa"/>
          </w:tcPr>
          <w:p w14:paraId="5CA1E39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1/III-34 г.</w:t>
            </w:r>
          </w:p>
        </w:tc>
      </w:tr>
      <w:tr w:rsidR="004E10C1" w:rsidRPr="0044524F" w14:paraId="01F730AC" w14:textId="77777777">
        <w:tc>
          <w:tcPr>
            <w:tcW w:w="2818" w:type="dxa"/>
          </w:tcPr>
          <w:p w14:paraId="596E591A"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Разрезн. крыло</w:t>
            </w:r>
          </w:p>
        </w:tc>
        <w:tc>
          <w:tcPr>
            <w:tcW w:w="2818" w:type="dxa"/>
          </w:tcPr>
          <w:p w14:paraId="795D0E36" w14:textId="77777777" w:rsidR="00D50409" w:rsidRPr="0044524F" w:rsidRDefault="00D50409" w:rsidP="009654CF">
            <w:pPr>
              <w:spacing w:after="0" w:line="240" w:lineRule="auto"/>
              <w:jc w:val="both"/>
              <w:rPr>
                <w:rFonts w:ascii="Times New Roman" w:hAnsi="Times New Roman"/>
                <w:color w:val="000000" w:themeColor="text1"/>
                <w:sz w:val="16"/>
                <w:szCs w:val="16"/>
              </w:rPr>
            </w:pPr>
          </w:p>
        </w:tc>
      </w:tr>
      <w:tr w:rsidR="004E10C1" w:rsidRPr="0044524F" w14:paraId="037D994D" w14:textId="77777777">
        <w:tc>
          <w:tcPr>
            <w:tcW w:w="2818" w:type="dxa"/>
          </w:tcPr>
          <w:p w14:paraId="0312DE2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 Кричевского</w:t>
            </w:r>
          </w:p>
        </w:tc>
        <w:tc>
          <w:tcPr>
            <w:tcW w:w="2818" w:type="dxa"/>
          </w:tcPr>
          <w:p w14:paraId="05E0287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1/Х-33 г. (2286,64)</w:t>
            </w:r>
          </w:p>
        </w:tc>
      </w:tr>
    </w:tbl>
    <w:p w14:paraId="046EC7AD"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28EEF40D"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21553C3"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373B61B1" w14:textId="4CCF8A91"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июня 1933 г. принято решение о реконструкции завода (Завод-комбинат № 259 им. В.И. Ленина НКБ, Златоустовский оружейный завод, Златоустовский Князь-Михайловский завод, Златоустовский механический завод им. В.И.Ленина,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Росбоеприпаса /г. Златоуст п/я 39 «Сегмент» (1943 г.)/ /456200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г. Златоуст Челябинской обл. пл. </w:t>
      </w:r>
      <w:r w:rsidRPr="0044524F">
        <w:rPr>
          <w:rFonts w:ascii="Times New Roman" w:hAnsi="Times New Roman"/>
          <w:color w:val="000000" w:themeColor="text1"/>
          <w:sz w:val="16"/>
          <w:szCs w:val="16"/>
          <w:lang w:val="en-US"/>
        </w:rPr>
        <w:t>Ill</w:t>
      </w:r>
      <w:r w:rsidRPr="0044524F">
        <w:rPr>
          <w:rFonts w:ascii="Times New Roman" w:hAnsi="Times New Roman"/>
          <w:color w:val="000000" w:themeColor="text1"/>
          <w:sz w:val="16"/>
          <w:szCs w:val="16"/>
        </w:rPr>
        <w:t>-го Интернационала, 1/) для массового выпуска быстрорежущего и измерительного инструмента и станкостроения. К концу 1930-х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действовали цеха: машиностроительный, сверловый, калибровочный, граверный им. Фрунзе.</w:t>
      </w:r>
    </w:p>
    <w:p w14:paraId="7C1F94E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НКОП № 382сс от 29.09.1938 г. все здания и сооружения завода, находящиеся на стройплощадке нового строящегося оружейного завода № 54 15ГУ переданы в его ведение.</w:t>
      </w:r>
    </w:p>
    <w:p w14:paraId="62A00DF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23.04.1939 г. завод передан в ведение НКБ и получил № 259. Входил в состав комбината им. Ленина. В 09.1939 г. начато строительство цеха № 35, четвертого снарядного цеха на заводе. К концу 1940 г. завод полностью переведен на производство военной продукции - снарядов и мин.</w:t>
      </w:r>
    </w:p>
    <w:p w14:paraId="3145022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Сюда в начале войны эвакуированы предприятия НКБ: производство 120-мм мин завода № 561 (81 ед. оборудования, 1407 чел.), к 30.01.1942 г. прибыло 60 ед. оборудования, часть его смонтирована и введена в строй, личный состав позднее возвращен в Лианозово; часть завода № 79 из Днепропетровска (производство 100-мм морских снарядов, 240 ед. оборудования, 314 чел.), на ее базе создан новый снарядный цех, который уже в 10.1941 г. выдал первую партию 100-мм снарядов; к 30.01.1942 г. восстановлено производство прежней мощностью - 235 тыс. шт. в год. Производство корпусов снарядов во время ВОВ. В соответствии с распоряжением ГКО № 3699 от 8.07.1943 г. с 3-го квартала 1943 г. на заводе ограничено производство шанцевого и деревообрабатываюего инструмента.</w:t>
      </w:r>
    </w:p>
    <w:p w14:paraId="3F70F70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12.1942-09.1944 г. -в ведении 4ГУ НКБ. Имел обозначение «п/я 39» (1943 г.).</w:t>
      </w:r>
    </w:p>
    <w:p w14:paraId="6BC08A7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составе завода цехи (1943 г.): основные: механические, кузнечно-прессовые, термический, мартеновский, чугунолитейный, цветного литья; вспомогательные: инструментальный, пресс-состр., столярного инструмента и холодного оружия.</w:t>
      </w:r>
    </w:p>
    <w:p w14:paraId="548E1FA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распоряжением ГКО № 6369 от 11.08.1944 г. комбинат им. Ленина НКБ разделен на два завода: № 259 и № 391 НКБ (бывший цех холодного оружия).</w:t>
      </w:r>
    </w:p>
    <w:p w14:paraId="6B600FC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05.1945 г. завод по спецзаказу изготовил клинки для участников Парада Победы в Москве.</w:t>
      </w:r>
    </w:p>
    <w:p w14:paraId="5F49DFD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04.1946 г. начат выпуск сельскохозяйственных культиваторов, с 11.1946 г.- буровых машин для нефтяников. 1.05.1948 г. выпущен первый самоходный комбайн. В 1959 г. завод первым в РСФСР освоил выпуск экскаваторов на базе колесных тракторов ЮМЗ. Пост, правительства в 1964 г. Златоустовскому машиностроительному заводу поручено освоение производства бытовых холодильников.</w:t>
      </w:r>
    </w:p>
    <w:p w14:paraId="301C3A74"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 приказу МОП от 20.11.1991 г. на базе Завода им. В.И. Ленина создано ПО, в состав которого вошли также завод экскаваторов, завод холодильников (с 1993 г.- АООТ «Златоустовский завод холодильников «Полюс»), металлургический завод, сельскохозяйственное предприятие, конструкторско-технологическая фирма «Конструктор», техноторговый центр «Зенит».</w:t>
      </w:r>
    </w:p>
    <w:p w14:paraId="45FB52B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03.1998 г. было налажено производство казачьих шашек образца 1881 г.</w:t>
      </w:r>
    </w:p>
    <w:p w14:paraId="55A07FB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1993 г. завод был акционирован на базе 15 % основных фондов. В 11.1996 г. на заводе введено конкурсное управление, в 05.1998 г. завод объявлен банкротом. Затем в результате реструктуризации было создано ОАО «Завод «Булат». По Указу Президента РФ № 1009 от 4.08.2004 г. ОАО вошло в число стратегических оборонных предприятий.</w:t>
      </w:r>
    </w:p>
    <w:p w14:paraId="09502510"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(1943 г.): производственная- 68343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вспомогательная- 23265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62AA964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(12.1942 г.)- 11.956 чел., (2002 г.)- 11.377 чел.</w:t>
      </w:r>
    </w:p>
    <w:p w14:paraId="4553F5DD"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(02-12.1937 г.)- Я.А. Никольский, (12.1937-06.1940 г.)- В.Ф. Романовский, (1941 г.)- В.Н. Кононов; и.о. директора (04.1943 г.)- Винокуров; (11.1943 г.)- Н.Н. Шилин. Конкурсный управляющий (1996 г.)- И. Золотухин. Гендиректор (2001-04 г.)- В. Вальтер, (2007 г.)- Р.Б. Галин.</w:t>
      </w:r>
    </w:p>
    <w:p w14:paraId="410BF17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Коммерческий директор (2004 г.)- Р.Р. Хаджимуратов. Директор по производству (2004 г.)- </w:t>
      </w:r>
      <w:r w:rsidRPr="0044524F">
        <w:rPr>
          <w:rFonts w:ascii="Times New Roman" w:hAnsi="Times New Roman"/>
          <w:color w:val="000000" w:themeColor="text1"/>
          <w:sz w:val="16"/>
          <w:szCs w:val="16"/>
          <w:lang w:val="en-US"/>
        </w:rPr>
        <w:t>P</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P</w:t>
      </w:r>
      <w:r w:rsidRPr="0044524F">
        <w:rPr>
          <w:rFonts w:ascii="Times New Roman" w:hAnsi="Times New Roman"/>
          <w:color w:val="000000" w:themeColor="text1"/>
          <w:sz w:val="16"/>
          <w:szCs w:val="16"/>
        </w:rPr>
        <w:t>. Билалов.</w:t>
      </w:r>
    </w:p>
    <w:p w14:paraId="023BDF7E" w14:textId="171610C6"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(ВОВ)-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Г.А. Винокуров.</w:t>
      </w:r>
    </w:p>
    <w:p w14:paraId="4DF9962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гл. инженера (1964 г.)- Н.В. Машарин.</w:t>
      </w:r>
    </w:p>
    <w:p w14:paraId="7B02248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цехов: (1941 г.-)- В.Я. Клименков, Н.С. Дегтяренко. Начальник производства холодильников (1960-е)- Н.В. Машарин.</w:t>
      </w:r>
    </w:p>
    <w:p w14:paraId="1C40D931"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цеха: калибровочного (1942 г.)- С. Мурдасов.</w:t>
      </w:r>
    </w:p>
    <w:p w14:paraId="7ED8E77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2-го (04.1943 г.)- Александров.</w:t>
      </w:r>
    </w:p>
    <w:p w14:paraId="6234C90C"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Производство:</w:t>
      </w:r>
      <w:r w:rsidRPr="0044524F">
        <w:rPr>
          <w:rFonts w:ascii="Times New Roman" w:hAnsi="Times New Roman"/>
          <w:color w:val="000000" w:themeColor="text1"/>
          <w:sz w:val="16"/>
          <w:szCs w:val="16"/>
        </w:rPr>
        <w:t xml:space="preserve"> шашки обр. 1927 г., ножи обр. 1941 г. (1943); снаряды: 45-мм бронебойный, 107-мм осколочно- фугасный, зажигательный и химический, 122-мм осколочно-фугасный (1940-) и осветительный (1937- опытная партия, 1940-), 100-мм (1941-), 76-мм, 100-мм, 45-мм (1943); 107-мм мина для горно-вьючного полкового миномета (1940-); комбайн С-4 (1948-); экскаваторы: Э-153 (I960-), ЭО-2621А (1971-), ЭО-2621В2 (1986-), ЭО- 3626 (2004-) (11982).</w:t>
      </w:r>
    </w:p>
    <w:p w14:paraId="1E11C547"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2AC9E832"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EDD90DF"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350B7229"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июня 1933 Франция предоставила Л.Д.Троцкому политическое убежище (2100).</w:t>
      </w:r>
    </w:p>
    <w:p w14:paraId="13275CC0"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681DDAA9"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C5A65FA"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130706D5" w14:textId="77777777" w:rsidR="000B2414" w:rsidRPr="0044524F" w:rsidRDefault="000B24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19 июня </w:t>
      </w:r>
      <w:r w:rsidRPr="0044524F">
        <w:rPr>
          <w:rFonts w:ascii="Times New Roman" w:hAnsi="Times New Roman"/>
          <w:color w:val="000000" w:themeColor="text1"/>
          <w:sz w:val="16"/>
          <w:szCs w:val="16"/>
        </w:rPr>
        <w:t xml:space="preserve">в 1933 году был заказан морской разведчик «XO3C-12, обозначенный компанией </w:t>
      </w:r>
      <w:hyperlink r:id="rId220" w:tgtFrame="_blank" w:history="1">
        <w:r w:rsidRPr="0044524F">
          <w:rPr>
            <w:rFonts w:ascii="Times New Roman" w:hAnsi="Times New Roman"/>
            <w:color w:val="000000" w:themeColor="text1"/>
            <w:sz w:val="16"/>
            <w:szCs w:val="16"/>
          </w:rPr>
          <w:t xml:space="preserve">«Curtiss» «Model 71», </w:t>
        </w:r>
      </w:hyperlink>
      <w:r w:rsidRPr="0044524F">
        <w:rPr>
          <w:rFonts w:ascii="Times New Roman" w:hAnsi="Times New Roman"/>
          <w:color w:val="000000" w:themeColor="text1"/>
          <w:sz w:val="16"/>
          <w:szCs w:val="16"/>
        </w:rPr>
        <w:t>который совершил свой первый полет в апреле 1934г. В серийное производство он поступил под обозначением «SOC-1» («Model 71A») - самолет предназначался для разведывательных и наблюдательных целей. Во время первого полета прототип был оборудован колесно-поплавковым шасси (два основных колеса располагались в центральном поплавке). Однако серийные самолеты выпускались как поплавковые, но на выбор могли иметь неубирающееся колесное шасси с хвостовым колесом. В любом случае эти самолеты легко переделывались из одной конфигурации в другую. Конструкция была смешанной и имела складывающееся крыло, хвостовое оперение из легких сплавов, фюзеляж с каркасом из сварных стальных труб и смешанную металло-полотняную обшивку. Пилот и стрелок- наблюдатель размещались в тандемных кабинах, закрытых сплошным прозрачным сдвижным фонарем. Чтобы обеспечить максимальное огневое пространство для турельного пулемета, задняя часть фонаря могла убираться (14927).</w:t>
      </w:r>
    </w:p>
    <w:p w14:paraId="0F9DD925" w14:textId="77777777" w:rsidR="000B2414" w:rsidRPr="0044524F" w:rsidRDefault="000B2414" w:rsidP="009654CF">
      <w:pPr>
        <w:spacing w:after="0" w:line="240" w:lineRule="auto"/>
        <w:jc w:val="both"/>
        <w:rPr>
          <w:rFonts w:ascii="Times New Roman" w:hAnsi="Times New Roman"/>
          <w:color w:val="000000" w:themeColor="text1"/>
          <w:sz w:val="16"/>
          <w:szCs w:val="16"/>
        </w:rPr>
      </w:pPr>
    </w:p>
    <w:p w14:paraId="2597DECE" w14:textId="77777777" w:rsidR="002913B1" w:rsidRPr="0044524F" w:rsidRDefault="002913B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июня 1933 - Первый полёт трёхместного самолёта-амфибии SEV-3, конструктор Александр Николаевич Прокофьев-Северский сам поднял в воздух свое детище. Испытания показали отличные скоростные качества машины. 8 ноября 1927 года Северский получил американское подданство, а в следующем году ему было присвоено звание майора ВВС США (в запасе). Успешное развитие дел было нарушено тяжелейшим экономическим кризисом, разразившимся в США в конце 1920-х годов. Среди тысяч обанкротившихся предприятий оказалась и фирма Северского. В очередной раз всё пришлось начинать заново. К началу 1930-х годов он разработал проект самолёта-амфибии. Для реализации замысла собрал вокруг себя несколько единомышленников, и в феврале 1931 года в Лонг Айленде (штат Нью-Йорк) появилась новая самолётостроительная фирма Северский Айркрафт Корпорейшн. Александр стал одновременно президентом, конструктором и лётчиком-испытателем. Главным инженером был его соотечественник талантливый авиационный специалист Александр Михайлович Картвели. В конструкторскую группу входили также инженеры М.Грегор и М.Бондар. Собственного производства новоиспеченная фирма не имела, и Северский заключил договор на изготовление самолёта с расположенным по соседству авиационным предприятием. Трёхместный самолёт-амфибия, названный SEV-3, был готов к лету 1933 года. Эта подлинно новаторская машина представляла собой цельнометаллический моноплан с низкорасположенным свободнонесущим крылом с работающей обшивкой. В отличие от других металлических самолётов того времени гофрированную обшивку крыла покрыли сверху гладкими металлическими листами. Это, наряду с хорошо обтекаемым фюзеляжем овальной формы, позволило заметно уменьшить аэродинамическое сопротивление. В результате по максимальной скорости амфибия, несмотря на большие подкрыльевые поплавки, не уступала самолётам с обычным колесным шасси (22457).</w:t>
      </w:r>
    </w:p>
    <w:p w14:paraId="4E4B49FF" w14:textId="77777777" w:rsidR="002913B1" w:rsidRPr="0044524F" w:rsidRDefault="002913B1" w:rsidP="009654CF">
      <w:pPr>
        <w:pStyle w:val="article-renderblock"/>
        <w:shd w:val="clear" w:color="auto" w:fill="FFFFFF"/>
        <w:spacing w:before="0" w:beforeAutospacing="0" w:after="0" w:afterAutospacing="0"/>
        <w:jc w:val="both"/>
        <w:rPr>
          <w:color w:val="000000" w:themeColor="text1"/>
          <w:sz w:val="16"/>
          <w:szCs w:val="16"/>
        </w:rPr>
      </w:pPr>
    </w:p>
    <w:p w14:paraId="35A02A06"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июня 1933 В Австрии канцлер Дольфус отдает распоряжение о роспуске нацистской партии, однако нацистская агитация в стране продолжается (7444).</w:t>
      </w:r>
    </w:p>
    <w:p w14:paraId="5C78E9E4"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25B1B522"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D7EA302"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6E404C68"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июня 1933 ЦАГИ получил новый самолет ТБ-3 для заводских испытаний и доводок (2310,143). Это был ТБ-3 без редукторов взамен того, который был разбит на испытаниях (2287,129).</w:t>
      </w:r>
    </w:p>
    <w:p w14:paraId="33C012F7"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6AA457D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июня 1933 был подготовлен отчет НИИ ВВС по испытаниям двух Р-5 с двумя вариантами разрезных крыльев. Из предъявленных к испытаниям двух вариантов разрезных крыльев, первый вариант был УВВС забракован, а по второму варианту было признано “рациональным построить серию самолетов Р5-М17 с разрезными крыльями по типу испытанного самолета для войсковых испытаний (10-12 самолетов). Из отчета испытаний видно. Что этот второй вариант разрезных крыльев дал самолету Р5 следующие качества: посадочная скорость сократилась на 17%, длина пробега сократилась на 45%, улучшилась управляемость на малых скоростях, улучшилась устойчивость на виражах.</w:t>
      </w:r>
    </w:p>
    <w:p w14:paraId="3DCA78DF"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это заключение НИИ ВВС было утверждено актом начальника ВВС Алксниса, в котором он предлагает начальнику управления МТС “дать заказ ГУАПу (согласно постановления КО) на постройку 10 самолетов Р5-М17 со вторым вариантом разрезных крыльев для войсковых испытаний”. Затем Алкснис отменил решение о заказе серии в 10 самолетов Р-5 со вторым вариантом разрезных крыльев, а ГУАПу было предложено сконструировать третий вариант разрезных крыльев, в котором были бы устранены дефекты, выявленные во втором варианте (4234).</w:t>
      </w:r>
    </w:p>
    <w:p w14:paraId="1B8BCB78"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5D0986DF" w14:textId="77777777" w:rsidR="001C32AD" w:rsidRPr="0044524F" w:rsidRDefault="001C32AD"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20 июня 1933 г. Ю.И. Пионтковский выполнил первый полет на АИР-6А, на месте пассажира сидел А.С. Яковлев. Во второй полет взяли корреспондента газеты «Известия». А 24 июня гидроплан участвовал в спортивном празднике общества «Динамо», проходившем на водной станции напротив Центрального парка культуры и отдыха им. Горького.</w:t>
      </w:r>
    </w:p>
    <w:p w14:paraId="5187EF67" w14:textId="77777777" w:rsidR="001C32AD" w:rsidRPr="0044524F" w:rsidRDefault="001C32AD"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Там же 6 - 17 июля проходили государственные испытания АИР-6А по программе СНИИ ГВФ. Кроме Ю.И. Пионтковского, на машине летал Б.Л. Местон. В ходе испытаний совершили перелет Москва - Коломна - Москва.</w:t>
      </w:r>
    </w:p>
    <w:p w14:paraId="66F82CD0" w14:textId="77777777" w:rsidR="001C32AD" w:rsidRPr="0044524F" w:rsidRDefault="001C32AD"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потери скорости.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(19099).</w:t>
      </w:r>
    </w:p>
    <w:p w14:paraId="59DC2511" w14:textId="77777777" w:rsidR="001C32AD" w:rsidRPr="0044524F" w:rsidRDefault="001C32AD" w:rsidP="009654CF">
      <w:pPr>
        <w:pStyle w:val="a8"/>
        <w:jc w:val="both"/>
        <w:rPr>
          <w:rFonts w:ascii="Times New Roman" w:hAnsi="Times New Roman" w:cs="Times New Roman"/>
          <w:color w:val="000000" w:themeColor="text1"/>
        </w:rPr>
      </w:pPr>
    </w:p>
    <w:p w14:paraId="10AA9AB0"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июня 1933 г. совершили первый полет поплавковый АИР-6А. Машину пилотировал Ю.И. Пионтковский, на месте пассажи</w:t>
      </w:r>
      <w:r w:rsidRPr="00142305">
        <w:rPr>
          <w:rFonts w:ascii="Times New Roman" w:hAnsi="Times New Roman"/>
          <w:color w:val="0070C0"/>
          <w:sz w:val="16"/>
          <w:szCs w:val="16"/>
        </w:rPr>
        <w:softHyphen/>
        <w:t>ра сидел А.С. Яковлев. Во второй полет взяли корреспондента газеты «Извес</w:t>
      </w:r>
      <w:r w:rsidRPr="00142305">
        <w:rPr>
          <w:rFonts w:ascii="Times New Roman" w:hAnsi="Times New Roman"/>
          <w:color w:val="0070C0"/>
          <w:sz w:val="16"/>
          <w:szCs w:val="16"/>
        </w:rPr>
        <w:softHyphen/>
        <w:t>тия». А 24 июня гидроплан участвовал в спортивном празднике общества «Ди</w:t>
      </w:r>
      <w:r w:rsidRPr="00142305">
        <w:rPr>
          <w:rFonts w:ascii="Times New Roman" w:hAnsi="Times New Roman"/>
          <w:color w:val="0070C0"/>
          <w:sz w:val="16"/>
          <w:szCs w:val="16"/>
        </w:rPr>
        <w:softHyphen/>
        <w:t>намо», проходившем на водной станции напротив Центрального парка культуры и отдыха им. Горького (24945).</w:t>
      </w:r>
    </w:p>
    <w:p w14:paraId="7BFD15D2" w14:textId="77777777" w:rsidR="00CD62DA" w:rsidRPr="00142305" w:rsidRDefault="00CD62DA" w:rsidP="00CD62DA">
      <w:pPr>
        <w:spacing w:after="0" w:line="240" w:lineRule="auto"/>
        <w:jc w:val="both"/>
        <w:rPr>
          <w:rFonts w:ascii="Times New Roman" w:hAnsi="Times New Roman"/>
          <w:color w:val="0070C0"/>
          <w:sz w:val="16"/>
          <w:szCs w:val="16"/>
        </w:rPr>
      </w:pPr>
    </w:p>
    <w:p w14:paraId="6D86E087"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20 июня 1933 "агрегат" (по фамилии конструктора основной редуктор в документах иногда именовали "агрегат т. Дзюбе") с М-17 наработал 58 ч. 9 апреля 1933 после многократных поломок запуски прекратили и испытания опытного образца мотоустановки для Д-1 или Г-1 - два спаренных М-27, которые шли с 23 января - приостановили. Затем вместо двух М-27 поставили пару М-17 меньшей мощности.</w:t>
      </w:r>
    </w:p>
    <w:p w14:paraId="6A6095B3"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15 февраля 1933 г. были выполнены все рабочие чертежи оперения, 98% чертежей шасси, 94% - фюзеляжа, 70% - консолей крыла, 50% - нервюр центроплана. К 1 апреля 1933 г. академия должна была предъявить макет самолета. Был ли он изготовлен - неизвестно.</w:t>
      </w:r>
    </w:p>
    <w:p w14:paraId="165BDB35"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Г-1 (Д-1) приостановили в первом квартале 1934 г. Причина была тривиальной - кончились отпущенные деньги. Готовность опытного образца в это время определяли в 70%. По оценкам конструкторов, для завершения машины требовалось еще 508 000 рублей (12036).</w:t>
      </w:r>
    </w:p>
    <w:p w14:paraId="5CF5384D"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467DB6B7"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FD77507"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67B1729E"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июня 1933 был открыт Беломорканал им. И.В.С. (3186).</w:t>
      </w:r>
    </w:p>
    <w:p w14:paraId="1D8718E0"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62D21E6B" w14:textId="77777777" w:rsidR="002620B8" w:rsidRPr="0044524F" w:rsidRDefault="002620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20 июня</w:t>
      </w:r>
      <w:r w:rsidRPr="0044524F">
        <w:rPr>
          <w:rFonts w:ascii="Times New Roman" w:hAnsi="Times New Roman"/>
          <w:color w:val="000000" w:themeColor="text1"/>
          <w:sz w:val="16"/>
          <w:szCs w:val="16"/>
        </w:rPr>
        <w:t xml:space="preserve"> в 1933 году завершено строительство Беломорско-Балтийского канала. Беломорско-Балтийский канал (сокращённо Беломорканал, ББК, до 1961 — Беломорско-Балтийский канал имени Сталина) — канал, соединяющий Белое море с Онежским озером и имеющий выход в Балтийское море и к Волго-Балтийскому водному пути. Построен между 1931 и 1933 годами в рекордно короткий срок. Был построен заключёнными ГУЛАГ. Общая протяжённость канала — 227 километров. Включает 19 шлюзов. Награждён Орденом Трудового Красного Знамени в 1983 году. Считается гордостью первой пятилетки (1929—1932), но к числу «Великих строек коммунизма» не относится. В 1930-х годах советское правительство обратилось к вопросу строительства канала. 3 июня 1930 года было принято решение о начале работ. 1 июля 1931 года были поданы на рассмотрение первые эскизные проекты строительства, а месяцем позже начались работы по проектированию на местности. Хотя окончательный проект был утверждён в феврале 1932 года, к строительству приступили ещё в конце 1931-го, оно длилось 1 год и 9 месяцев (по другим источникам — 20 месяцев ). В рекордно короткие сроки были построены более 100 сложных инженерных сооружений, проложено 2,5 тысячи км железнодорожных путей. Постройка совершалась без современной техники и без поставок от страны. В сооружениях канала применялись главным образом местные недефицитные строительные материалы: дерево, камень, грунт, торф. Строительство велось в основном заключёнными ГУЛАГа, общая численность которых не превышает 126 тысяч человек. В разные периоды строительства численность заключённых менялась, не превышая 108 тысяч. Каждый подневольный строитель назывался заключённый каналоармеец, сокращенно «з/к», от чего произошло жаргонное слово «зек». Подразделение ГУЛАГа на канале называлось Беломоро-Балтийский лагерь («БелБалтЛаг»). Кураторами стройки стали будущий сталинский нарком Генрих Ягода и начальник ГУЛАГа Матвей Берман. Строительством канала с 1931 по 1933 год руководил Н. А. Френкель. Именно ему приписывают идею использования дешёвой рабочей силы заключённых для работы на крупных народно-хозяйственных стройках. В руководство БелБалтЛага на этапе строительства входили также Э.И.Сенкевич, П.Ф.Александров и С.Г.Фирин. В целом, за всё время строительства, каналоармейцы выполнили земляные работы объёмом 21 млн. кубометров, соорудили 37 км искусственных путей, перенесли Мурманскую железную дорогу, которая мешала проведению земляных работ. Норма питания заключенных (т. н. «пайка» зависела от фактической выработки: чем меньше з/к вырабатывал, тем меньшим была его пайка, а за ударный труд пайку, наоборот, увеличивали. Обычный паёк заключённого-строителя составляли буханка хлеба и баланда из мороженой рыбы. Согласно официальным данным во время строительства канала в БелБалтЛаге умерло в 1931 году 1438 заключённых (2,24 % от числа работавших), в 1932 году — 2010 человек (2,03 %), в 1933 году 8870 заключённых (10,56 %) из-за голода в стране и аврала перед завершением стройки. По другим данным на строительстве канала погибло от 50 до 200 тысяч человек (по разным источникам). После окончания строительства 4 августа 1933 года освобождены 12484 заключённых, сокращены сроки для 59516 заключённых. За руководство строительством награждены орденом Ленина 6 крупных деятелей ОГПУ — Г.Г.Ягода, М.Д.Берман, Л.И.Коган, Я.Д.Рапопорт, С.Г.Фирин и Н.А.Френкель, а также 2 амнистированных инженера — С.Я.Жук и К.А.Вержбицкий. После окончания строительства в Беломоро-Балтийском комбинате на эксплуатации канала была занята 71 тысяча заключённых. В мае 1933 г. Г.Г.Ягода докладывал И.В.Сталину о готовности Беломорканала. Строительство завершилось 20 июня 1933 года, канал был назван «каналом имени Сталина». 25 июня 1933 г. по всему каналу от начала до конца прошёл пароход «Чекист». В июле этого же года И.В.Сталин, К.Е.Ворошилов и С.М.Киров совершают прогулку на катере по новому рукотворному водному пути (14928).</w:t>
      </w:r>
    </w:p>
    <w:p w14:paraId="31E5CEEE" w14:textId="77777777" w:rsidR="002620B8" w:rsidRPr="0044524F" w:rsidRDefault="002620B8" w:rsidP="009654CF">
      <w:pPr>
        <w:spacing w:after="0" w:line="240" w:lineRule="auto"/>
        <w:jc w:val="both"/>
        <w:rPr>
          <w:rFonts w:ascii="Times New Roman" w:hAnsi="Times New Roman"/>
          <w:color w:val="000000" w:themeColor="text1"/>
          <w:sz w:val="16"/>
          <w:szCs w:val="16"/>
        </w:rPr>
      </w:pPr>
    </w:p>
    <w:p w14:paraId="54D6F761" w14:textId="77777777" w:rsidR="00A503A4" w:rsidRPr="0044524F" w:rsidRDefault="00A503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июня 1933 года Беломорско-Балтийскому каналу присвоено имя И.В.Сталина.</w:t>
      </w:r>
    </w:p>
    <w:p w14:paraId="55DD2532" w14:textId="77777777" w:rsidR="00A503A4" w:rsidRPr="0044524F" w:rsidRDefault="00A503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июня 1933 г. по всему каналу от начала до конца прошёл пароход "Чекист".</w:t>
      </w:r>
    </w:p>
    <w:p w14:paraId="1FE8CAA7" w14:textId="77777777" w:rsidR="00A503A4" w:rsidRPr="0044524F" w:rsidRDefault="00A503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этого же года И. В. Сталин, К. Е. Ворошилов и С. М. Киров совершают прогулку на катере по новому рукотворному водному пути.</w:t>
      </w:r>
    </w:p>
    <w:p w14:paraId="40B33A31" w14:textId="77777777" w:rsidR="00A503A4" w:rsidRPr="0044524F" w:rsidRDefault="00A503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августа 1933 года строительство канала было завершено.</w:t>
      </w:r>
    </w:p>
    <w:p w14:paraId="36CC3541" w14:textId="77777777" w:rsidR="00A503A4" w:rsidRPr="0044524F" w:rsidRDefault="00A503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Официальное открытие канала состоялось 5 августа 1933 года.</w:t>
      </w:r>
    </w:p>
    <w:p w14:paraId="5323D514" w14:textId="77777777" w:rsidR="00A503A4" w:rsidRPr="0044524F" w:rsidRDefault="00A503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года был организован Беломорско-Балтийский комбинат, в задачи которого входила эксплуатация канала, а также освоение районов, которые окружали канал.</w:t>
      </w:r>
    </w:p>
    <w:p w14:paraId="20B251A2" w14:textId="77777777" w:rsidR="00A503A4" w:rsidRPr="0044524F" w:rsidRDefault="00A503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года ББК посетила группа из 120 писателей и художников во главе с Максимом Горьким (также среди них были такие известные писатели, как Алексей Толстой, Михаил Зощенко, Вс. Иванов, Виктор Шкловский, Ильф и Петров, Бруно Ясeнский, Валентин Катаев, Вера Инбер, С. Буданцев, Д. Мирский и другие) для освещения строительства канала. Часть из них (36 человек) приняли затем участие в написании 600-страничной книги, посвящённой созданию Беломорканала. Памятная книга "Беломорско-Балтийский канал имени Сталина" была издана в конце 1934 года Гос. издательством "История фабрик и заводов", специально к XVII съезду коммунистической партии. Редакторами книги являлись: Максим Горький, Л. Л. Авербах, С. Г. Фирин.</w:t>
      </w:r>
    </w:p>
    <w:p w14:paraId="73F286DF" w14:textId="77777777" w:rsidR="00A503A4" w:rsidRPr="0044524F" w:rsidRDefault="00A503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Официальное открытие первой судоходной навигации состоялось 30 августа 1933 года.</w:t>
      </w:r>
    </w:p>
    <w:p w14:paraId="3A2CFCBE" w14:textId="77777777" w:rsidR="00A503A4" w:rsidRPr="0044524F" w:rsidRDefault="00A503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стратегической точки зрения канал предоставил возможность связать Белое и Балтийское моря. Уже в 1933 году Беломорский канал позволил создать защиту северных рубежей государства. До этого времени северо-арктическое побережье практически никем не охранялось и не было защищено от возможного вторжения. Первыми судами, прошедшими по новой водной трассе, стали военные корабли - одни из первых советских субмарин класса "Декабрист".</w:t>
      </w:r>
    </w:p>
    <w:p w14:paraId="6AE8D5DE" w14:textId="77777777" w:rsidR="00A503A4" w:rsidRPr="0044524F" w:rsidRDefault="00A503A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первую навигацию 1933 года было перевезено 1143 тыс. тонн грузов и 27 тыс. пассажиров. В 1940 году объём перевозок составил около миллиона тонн. Пик грузоперевозок по каналу пришёлся на 1985 год. Тогда по Беломорско-Балтийскому водному пути было перевезено 7 млн. 300 тыс. тонн грузов. Такие объёмы перевозок сохранялись на протяжении последующих пяти лет, после чего интенсивность судоходства по каналу значительно снизилась (21177).</w:t>
      </w:r>
    </w:p>
    <w:p w14:paraId="0161A57B" w14:textId="77777777" w:rsidR="00A503A4" w:rsidRPr="0044524F" w:rsidRDefault="00A503A4" w:rsidP="009654CF">
      <w:pPr>
        <w:spacing w:after="0" w:line="240" w:lineRule="auto"/>
        <w:jc w:val="both"/>
        <w:rPr>
          <w:rFonts w:ascii="Times New Roman" w:hAnsi="Times New Roman"/>
          <w:color w:val="000000" w:themeColor="text1"/>
          <w:sz w:val="16"/>
          <w:szCs w:val="16"/>
        </w:rPr>
      </w:pPr>
    </w:p>
    <w:p w14:paraId="5840550E" w14:textId="77777777" w:rsidR="00D50409" w:rsidRPr="0044524F" w:rsidRDefault="00D5040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июня 1933 создана генеральная прокуратура СССР (4962).</w:t>
      </w:r>
    </w:p>
    <w:p w14:paraId="370BD6B3" w14:textId="77777777" w:rsidR="00D50409" w:rsidRPr="0044524F" w:rsidRDefault="00D50409" w:rsidP="009654CF">
      <w:pPr>
        <w:tabs>
          <w:tab w:val="left" w:pos="11199"/>
        </w:tabs>
        <w:spacing w:after="0" w:line="240" w:lineRule="auto"/>
        <w:jc w:val="both"/>
        <w:rPr>
          <w:rFonts w:ascii="Times New Roman" w:hAnsi="Times New Roman"/>
          <w:color w:val="000000" w:themeColor="text1"/>
          <w:sz w:val="16"/>
          <w:szCs w:val="16"/>
        </w:rPr>
      </w:pPr>
    </w:p>
    <w:p w14:paraId="5C3857FC" w14:textId="77777777" w:rsidR="00D5040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89438E8" w14:textId="77777777" w:rsidR="00D50409" w:rsidRPr="0044524F" w:rsidRDefault="00D50409" w:rsidP="009654CF">
      <w:pPr>
        <w:spacing w:after="0" w:line="240" w:lineRule="auto"/>
        <w:jc w:val="both"/>
        <w:rPr>
          <w:rFonts w:ascii="Times New Roman" w:hAnsi="Times New Roman"/>
          <w:iCs/>
          <w:color w:val="000000" w:themeColor="text1"/>
          <w:sz w:val="16"/>
          <w:szCs w:val="16"/>
        </w:rPr>
      </w:pPr>
    </w:p>
    <w:p w14:paraId="69581EBB" w14:textId="77777777" w:rsidR="00D50409" w:rsidRPr="0044524F" w:rsidRDefault="00D504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июня 1933 было подготовлено заключение Нач. бригады 3 ЦКБ завода 39 Чижевского по поводу заявки на специальное оборудование для самолета ЦКБ-2 (2304,40).</w:t>
      </w:r>
    </w:p>
    <w:p w14:paraId="749FCEE9" w14:textId="77777777" w:rsidR="00D50409" w:rsidRPr="0044524F" w:rsidRDefault="00D50409" w:rsidP="009654CF">
      <w:pPr>
        <w:spacing w:after="0" w:line="240" w:lineRule="auto"/>
        <w:jc w:val="both"/>
        <w:rPr>
          <w:rFonts w:ascii="Times New Roman" w:hAnsi="Times New Roman"/>
          <w:color w:val="000000" w:themeColor="text1"/>
          <w:sz w:val="16"/>
          <w:szCs w:val="16"/>
        </w:rPr>
      </w:pPr>
    </w:p>
    <w:p w14:paraId="31D1BED3" w14:textId="77777777" w:rsidR="002620B8" w:rsidRPr="0044524F" w:rsidRDefault="002620B8" w:rsidP="009654CF">
      <w:pPr>
        <w:pStyle w:val="rtejustify"/>
        <w:spacing w:before="0" w:after="0"/>
        <w:rPr>
          <w:color w:val="000000" w:themeColor="text1"/>
          <w:sz w:val="16"/>
          <w:szCs w:val="16"/>
        </w:rPr>
      </w:pPr>
      <w:r w:rsidRPr="0044524F">
        <w:rPr>
          <w:rStyle w:val="af0"/>
          <w:bCs/>
          <w:i w:val="0"/>
          <w:color w:val="000000" w:themeColor="text1"/>
          <w:sz w:val="16"/>
          <w:szCs w:val="16"/>
        </w:rPr>
        <w:t>21 июня</w:t>
      </w:r>
      <w:r w:rsidRPr="0044524F">
        <w:rPr>
          <w:color w:val="000000" w:themeColor="text1"/>
          <w:sz w:val="16"/>
          <w:szCs w:val="16"/>
        </w:rPr>
        <w:t xml:space="preserve"> 1933 вышел приказ РВСС № 13. 1. О состоянии опытного моторо- и самолетостроения. (Тухачевский, Егоров, Алкснис, Меженинов). 3. Система танкового вооружения. (Егоров, Халепский). 5. Об организации научно-исследовательских и конструкторских работ в РККА. (Тухачевский). 7. О минно-торпедном вооружении ВВС РККА. (Алкснис, Орлов, Бекаури). 9. О порядке размещения опытных заказов. (Хрулев). 10. О результатах испытаний механической трубки Георгиева (МТГ). (Тухачевский). (РГВА. Ф. 4. Оп. 18. Д. 23. Л. 210</w:t>
      </w:r>
      <w:r w:rsidRPr="0044524F">
        <w:rPr>
          <w:color w:val="000000" w:themeColor="text1"/>
          <w:sz w:val="16"/>
          <w:szCs w:val="16"/>
        </w:rPr>
        <w:noBreakHyphen/>
        <w:t>212) (15461).</w:t>
      </w:r>
    </w:p>
    <w:p w14:paraId="569279FF" w14:textId="77777777" w:rsidR="002620B8" w:rsidRPr="0044524F" w:rsidRDefault="002620B8" w:rsidP="009654CF">
      <w:pPr>
        <w:pStyle w:val="rtejustify"/>
        <w:spacing w:before="0" w:after="0"/>
        <w:rPr>
          <w:rStyle w:val="af0"/>
          <w:bCs/>
          <w:i w:val="0"/>
          <w:color w:val="000000" w:themeColor="text1"/>
          <w:sz w:val="16"/>
          <w:szCs w:val="16"/>
        </w:rPr>
      </w:pPr>
    </w:p>
    <w:p w14:paraId="4C5F0134" w14:textId="77777777" w:rsidR="002620B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3BE125C" w14:textId="77777777" w:rsidR="002620B8" w:rsidRPr="0044524F" w:rsidRDefault="002620B8" w:rsidP="009654CF">
      <w:pPr>
        <w:spacing w:after="0" w:line="240" w:lineRule="auto"/>
        <w:jc w:val="both"/>
        <w:rPr>
          <w:rFonts w:ascii="Times New Roman" w:hAnsi="Times New Roman"/>
          <w:iCs/>
          <w:color w:val="000000" w:themeColor="text1"/>
          <w:sz w:val="16"/>
          <w:szCs w:val="16"/>
        </w:rPr>
      </w:pPr>
    </w:p>
    <w:p w14:paraId="5DD357E5" w14:textId="77777777" w:rsidR="002620B8" w:rsidRPr="0044524F" w:rsidRDefault="002620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21 июня</w:t>
      </w:r>
      <w:r w:rsidRPr="0044524F">
        <w:rPr>
          <w:rFonts w:ascii="Times New Roman" w:hAnsi="Times New Roman"/>
          <w:color w:val="000000" w:themeColor="text1"/>
          <w:sz w:val="16"/>
          <w:szCs w:val="16"/>
        </w:rPr>
        <w:t xml:space="preserve"> в 1933 году в бухте Золотой Рог города Владивостока состоялось пробное погружение первой советской тихоокеанской подводной лодки. Командиром лодки был ныне Герой Советского Союза вице-адмирал в отставке Г.Н.Холостяков (14929).</w:t>
      </w:r>
    </w:p>
    <w:p w14:paraId="0FDFCB6E" w14:textId="77777777" w:rsidR="002620B8" w:rsidRPr="0044524F" w:rsidRDefault="002620B8" w:rsidP="009654CF">
      <w:pPr>
        <w:spacing w:after="0" w:line="240" w:lineRule="auto"/>
        <w:jc w:val="both"/>
        <w:rPr>
          <w:rFonts w:ascii="Times New Roman" w:hAnsi="Times New Roman"/>
          <w:color w:val="000000" w:themeColor="text1"/>
          <w:sz w:val="16"/>
          <w:szCs w:val="16"/>
        </w:rPr>
      </w:pPr>
    </w:p>
    <w:p w14:paraId="178BE945" w14:textId="77777777" w:rsidR="002620B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D80B948" w14:textId="77777777" w:rsidR="002620B8" w:rsidRPr="0044524F" w:rsidRDefault="002620B8" w:rsidP="009654CF">
      <w:pPr>
        <w:spacing w:after="0" w:line="240" w:lineRule="auto"/>
        <w:jc w:val="both"/>
        <w:rPr>
          <w:rFonts w:ascii="Times New Roman" w:hAnsi="Times New Roman"/>
          <w:iCs/>
          <w:color w:val="000000" w:themeColor="text1"/>
          <w:sz w:val="16"/>
          <w:szCs w:val="16"/>
        </w:rPr>
      </w:pPr>
    </w:p>
    <w:p w14:paraId="7E50E85A" w14:textId="77777777" w:rsidR="002620B8" w:rsidRPr="0044524F" w:rsidRDefault="002620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21 июня</w:t>
      </w:r>
      <w:r w:rsidRPr="0044524F">
        <w:rPr>
          <w:rFonts w:ascii="Times New Roman" w:hAnsi="Times New Roman"/>
          <w:color w:val="000000" w:themeColor="text1"/>
          <w:sz w:val="16"/>
          <w:szCs w:val="16"/>
        </w:rPr>
        <w:t xml:space="preserve"> в 1933 году состоялся первый полет прототипа «N-1» английского многоцелевого гидроплана </w:t>
      </w:r>
      <w:hyperlink r:id="rId221" w:tgtFrame="_blank" w:history="1">
        <w:r w:rsidRPr="0044524F">
          <w:rPr>
            <w:rFonts w:ascii="Times New Roman" w:hAnsi="Times New Roman"/>
            <w:color w:val="000000" w:themeColor="text1"/>
            <w:sz w:val="16"/>
            <w:szCs w:val="16"/>
          </w:rPr>
          <w:t xml:space="preserve">«Supermarine Walrus». </w:t>
        </w:r>
      </w:hyperlink>
      <w:r w:rsidRPr="0044524F">
        <w:rPr>
          <w:rFonts w:ascii="Times New Roman" w:hAnsi="Times New Roman"/>
          <w:color w:val="000000" w:themeColor="text1"/>
          <w:sz w:val="16"/>
          <w:szCs w:val="16"/>
        </w:rPr>
        <w:t>Машину пилотировал главный испытатель ("Шеф Тест-Пилот") "Виккерса" "Мэтт" Саммерс. Он отметил хорошие летные качества самолета. Единственным существенным недостатком, проявившимся в первые дни испытаний, стала неважная управляемость на рулении по земле, связанная с недоработками в конструкции шасси (14929).</w:t>
      </w:r>
    </w:p>
    <w:p w14:paraId="00EEC5CD" w14:textId="77777777" w:rsidR="002620B8" w:rsidRPr="0044524F" w:rsidRDefault="002620B8" w:rsidP="009654CF">
      <w:pPr>
        <w:spacing w:after="0" w:line="240" w:lineRule="auto"/>
        <w:jc w:val="both"/>
        <w:rPr>
          <w:rFonts w:ascii="Times New Roman" w:hAnsi="Times New Roman"/>
          <w:color w:val="000000" w:themeColor="text1"/>
          <w:sz w:val="16"/>
          <w:szCs w:val="16"/>
        </w:rPr>
      </w:pPr>
    </w:p>
    <w:p w14:paraId="51B6E680" w14:textId="77777777" w:rsidR="00640A34" w:rsidRPr="0044524F" w:rsidRDefault="00640A3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июня 1933 состоялся первый полет - Супермарин Морж (20802).</w:t>
      </w:r>
    </w:p>
    <w:p w14:paraId="70B5AAF1" w14:textId="77777777" w:rsidR="00640A34" w:rsidRPr="0044524F" w:rsidRDefault="00640A34" w:rsidP="009654CF">
      <w:pPr>
        <w:spacing w:after="0" w:line="240" w:lineRule="auto"/>
        <w:jc w:val="both"/>
        <w:rPr>
          <w:rFonts w:ascii="Times New Roman" w:hAnsi="Times New Roman"/>
          <w:color w:val="000000" w:themeColor="text1"/>
          <w:sz w:val="16"/>
          <w:szCs w:val="16"/>
        </w:rPr>
      </w:pPr>
    </w:p>
    <w:p w14:paraId="046BD5B7" w14:textId="77777777" w:rsidR="00640A34" w:rsidRPr="0044524F" w:rsidRDefault="00640A3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июня 1933 - Состоялся первый полет прототипа N-1 английского многоцелевого гидроплана Supermarine Walrus. Машину пилотировал главный испытатель ("Шеф Тест-Пилот") "Виккерса" "Мэтт" Саммерс. Он отметил хорошие летные качества самолета. Единственным существенным недостатком, проявившимся в первые дни испытаний, стала неважная управляемость на рулении по земле, связанная с недоработками в конструкции шасси. Всего было построено 770 экземпляров машины. Широко применялся англичанами во Второй Мировой войне (22454).</w:t>
      </w:r>
    </w:p>
    <w:p w14:paraId="37F29231" w14:textId="77777777" w:rsidR="00640A34" w:rsidRPr="0044524F" w:rsidRDefault="00640A34" w:rsidP="009654CF">
      <w:pPr>
        <w:spacing w:after="0" w:line="240" w:lineRule="auto"/>
        <w:jc w:val="both"/>
        <w:rPr>
          <w:rFonts w:ascii="Times New Roman" w:hAnsi="Times New Roman"/>
          <w:color w:val="000000" w:themeColor="text1"/>
          <w:sz w:val="16"/>
          <w:szCs w:val="16"/>
        </w:rPr>
      </w:pPr>
    </w:p>
    <w:p w14:paraId="6326FBBF"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994CA04"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C16FBE2"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г. состоялся первый полет рекордного самолета АНТ-25 "РД" (6395).</w:t>
      </w:r>
    </w:p>
    <w:p w14:paraId="68C9CD50"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D6697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состоялся первый полет АНТ-25 РД с мотором М-34 без редуктора (92,486). Летал М.М.Г. (2072,72).</w:t>
      </w:r>
    </w:p>
    <w:p w14:paraId="5C98567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5B3AE0F6" w14:textId="77777777" w:rsidR="00BB14D0" w:rsidRPr="0044524F" w:rsidRDefault="00BB14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22 июня</w:t>
      </w:r>
      <w:r w:rsidRPr="0044524F">
        <w:rPr>
          <w:rFonts w:ascii="Times New Roman" w:hAnsi="Times New Roman"/>
          <w:color w:val="000000" w:themeColor="text1"/>
          <w:sz w:val="16"/>
          <w:szCs w:val="16"/>
        </w:rPr>
        <w:t xml:space="preserve"> в 1933 году под управлением летчика М.М.Громова состоялся первый полет опытного самолета «АНТ-25» с двигателем «М-34» без редуктора. Самолет представлял собой цельнометаллический свободнонесущий моноплан с двигателем «М-34» мощностью 874 л.с. На этом самолете были выполнены исторические дальние полеты экипажей М.Громова и В.Чкалова, а в 1937 г. установлен мировой рекорд дальности полета по прямой - 10 148 м. По оценке М.М.Громова самолет оказался устойчивым и простым в управлении. С конца июня 1934 г. первый экипаж в составе М.М.Громова, А.И.Филина, И.Т.Спирина начал выполнять дальние испытательные полеты с целью проверки возможностей доработанного второго опытного самолета «АНТ-25». На одномоторном самолете «АНТ-25» он, пробыв в воздухе 75 часов, пролетел 12 411 км. Этот абсолютный мировой рекорд дальности беспосадочного полета по замкнутому маршруту держался много лет (14930).</w:t>
      </w:r>
    </w:p>
    <w:p w14:paraId="7CD51840" w14:textId="77777777" w:rsidR="00BB14D0" w:rsidRPr="0044524F" w:rsidRDefault="00BB14D0" w:rsidP="009654CF">
      <w:pPr>
        <w:spacing w:after="0" w:line="240" w:lineRule="auto"/>
        <w:jc w:val="both"/>
        <w:rPr>
          <w:rFonts w:ascii="Times New Roman" w:hAnsi="Times New Roman"/>
          <w:color w:val="000000" w:themeColor="text1"/>
          <w:sz w:val="16"/>
          <w:szCs w:val="16"/>
        </w:rPr>
      </w:pPr>
    </w:p>
    <w:p w14:paraId="16105C1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года самолет РД-1 или, как его называли, ЦАГИ-25, АНТ-25, пилотируемый летчиком М. М. 1 громовым, совершил первый полет. Вслед за ним на испытания передали второй экземпляр, получивший обозначение РД-2. но уже с редукторным мотором М-34Р. Замена двигателя позволила увеличить дальность полета почти в полтора раза. Но о рекорде пока речь не шла, так как у РД было два французских соперника- Блерио-110 и Beнap-80) с расчетной дальностью 13 000 км.</w:t>
      </w:r>
    </w:p>
    <w:p w14:paraId="0CAAB0F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РД показали, что конструкция перетяжелена, эффективность элеронов и руля поворота малы, а нагрузки на рули велики, что делает самолет опасным при сильной турбулентности. Требовалась также доводка винтомоторной группы. Аэродинамические характеристики обеих машин были значительно хуже, чем у заграничных. Самолет явно нуждался в доработке. И тогда в акте по государственным испытаниям самолета появилась такая запись: «... ЦАГИ все конструктивные изменения по устранению дефектов и доводке рекордных самолетов РД внести в чертежи военного варианта РД (ДБ-1) (...). Алкснис - декабрь 1933 г.» (160).</w:t>
      </w:r>
    </w:p>
    <w:p w14:paraId="0B537A7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C8E5B23"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состоялся первый полет АНТ-25, с дви</w:t>
      </w:r>
      <w:r w:rsidRPr="0044524F">
        <w:rPr>
          <w:rFonts w:ascii="Times New Roman" w:hAnsi="Times New Roman"/>
          <w:color w:val="000000" w:themeColor="text1"/>
          <w:sz w:val="16"/>
          <w:szCs w:val="16"/>
        </w:rPr>
        <w:softHyphen/>
        <w:t>гателем М-34, пилотируемого Михаилом Громовым с Центрального аэродрома столицы СССР.</w:t>
      </w:r>
    </w:p>
    <w:p w14:paraId="1C4B05C4"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Крыло РД, как и всех машин тех лет, созданных под руководством А.Н. Туполева, имело ферменную конструкцию с тремя лонже</w:t>
      </w:r>
      <w:r w:rsidRPr="0044524F">
        <w:rPr>
          <w:rFonts w:ascii="Times New Roman" w:hAnsi="Times New Roman"/>
          <w:color w:val="000000" w:themeColor="text1"/>
          <w:sz w:val="16"/>
          <w:szCs w:val="16"/>
        </w:rPr>
        <w:softHyphen/>
        <w:t>ронами: два основных и третий — вспомо</w:t>
      </w:r>
      <w:r w:rsidRPr="0044524F">
        <w:rPr>
          <w:rFonts w:ascii="Times New Roman" w:hAnsi="Times New Roman"/>
          <w:color w:val="000000" w:themeColor="text1"/>
          <w:sz w:val="16"/>
          <w:szCs w:val="16"/>
        </w:rPr>
        <w:softHyphen/>
        <w:t>гательный. Полки лонжеронов изготавли</w:t>
      </w:r>
      <w:r w:rsidRPr="0044524F">
        <w:rPr>
          <w:rFonts w:ascii="Times New Roman" w:hAnsi="Times New Roman"/>
          <w:color w:val="000000" w:themeColor="text1"/>
          <w:sz w:val="16"/>
          <w:szCs w:val="16"/>
        </w:rPr>
        <w:softHyphen/>
        <w:t>вались из стальных труб и соединялись за</w:t>
      </w:r>
      <w:r w:rsidRPr="0044524F">
        <w:rPr>
          <w:rFonts w:ascii="Times New Roman" w:hAnsi="Times New Roman"/>
          <w:color w:val="000000" w:themeColor="text1"/>
          <w:sz w:val="16"/>
          <w:szCs w:val="16"/>
        </w:rPr>
        <w:softHyphen/>
        <w:t>клепками с помощью дюралевых подкосов и прочих элементов. Между лонжеронами располагались клепаные бензиновые баки, образовывавшие кессонную конструкцию. К третьему лонжерону крепились элероны с флетнером, обтянутые полотном.</w:t>
      </w:r>
    </w:p>
    <w:p w14:paraId="0528DE96"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Особенностью первого опытного экзем</w:t>
      </w:r>
      <w:r w:rsidRPr="0044524F">
        <w:rPr>
          <w:rFonts w:ascii="Times New Roman" w:hAnsi="Times New Roman"/>
          <w:color w:val="000000" w:themeColor="text1"/>
          <w:sz w:val="16"/>
          <w:szCs w:val="16"/>
        </w:rPr>
        <w:softHyphen/>
        <w:t>пляра РД была система охлаждения двига</w:t>
      </w:r>
      <w:r w:rsidRPr="0044524F">
        <w:rPr>
          <w:rFonts w:ascii="Times New Roman" w:hAnsi="Times New Roman"/>
          <w:color w:val="000000" w:themeColor="text1"/>
          <w:sz w:val="16"/>
          <w:szCs w:val="16"/>
        </w:rPr>
        <w:softHyphen/>
        <w:t>теля, состоявшая из трех радиаторов: двух передней кромке крыла и одного - выпу</w:t>
      </w:r>
      <w:r w:rsidRPr="0044524F">
        <w:rPr>
          <w:rFonts w:ascii="Times New Roman" w:hAnsi="Times New Roman"/>
          <w:color w:val="000000" w:themeColor="text1"/>
          <w:sz w:val="16"/>
          <w:szCs w:val="16"/>
        </w:rPr>
        <w:softHyphen/>
        <w:t>скаемого.</w:t>
      </w:r>
    </w:p>
    <w:p w14:paraId="0BEFE4AE"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Обшивка крыла (как, впрочем, и опере</w:t>
      </w:r>
      <w:r w:rsidRPr="0044524F">
        <w:rPr>
          <w:rFonts w:ascii="Times New Roman" w:hAnsi="Times New Roman"/>
          <w:color w:val="000000" w:themeColor="text1"/>
          <w:sz w:val="16"/>
          <w:szCs w:val="16"/>
        </w:rPr>
        <w:softHyphen/>
        <w:t>ния), за исключением участков, где распо</w:t>
      </w:r>
      <w:r w:rsidRPr="0044524F">
        <w:rPr>
          <w:rFonts w:ascii="Times New Roman" w:hAnsi="Times New Roman"/>
          <w:color w:val="000000" w:themeColor="text1"/>
          <w:sz w:val="16"/>
          <w:szCs w:val="16"/>
        </w:rPr>
        <w:softHyphen/>
        <w:t>лагались кессон-баки, — из гофрированно</w:t>
      </w:r>
      <w:r w:rsidRPr="0044524F">
        <w:rPr>
          <w:rFonts w:ascii="Times New Roman" w:hAnsi="Times New Roman"/>
          <w:color w:val="000000" w:themeColor="text1"/>
          <w:sz w:val="16"/>
          <w:szCs w:val="16"/>
        </w:rPr>
        <w:softHyphen/>
        <w:t>го дюралюминиевого листа, работавшего только на кручение. Профиль крыла ЦА- ГИ-6, использовавшийся на большинстве самолетов Туполева предвоенной поры.</w:t>
      </w:r>
    </w:p>
    <w:p w14:paraId="0D24A5EE"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 технологически делился на пе</w:t>
      </w:r>
      <w:r w:rsidRPr="0044524F">
        <w:rPr>
          <w:rFonts w:ascii="Times New Roman" w:hAnsi="Times New Roman"/>
          <w:color w:val="000000" w:themeColor="text1"/>
          <w:sz w:val="16"/>
          <w:szCs w:val="16"/>
        </w:rPr>
        <w:softHyphen/>
        <w:t>реднюю часть с подмоторной рамой, каби</w:t>
      </w:r>
      <w:r w:rsidRPr="0044524F">
        <w:rPr>
          <w:rFonts w:ascii="Times New Roman" w:hAnsi="Times New Roman"/>
          <w:color w:val="000000" w:themeColor="text1"/>
          <w:sz w:val="16"/>
          <w:szCs w:val="16"/>
        </w:rPr>
        <w:softHyphen/>
        <w:t>ну пилотов с центропланом крыла и хво</w:t>
      </w:r>
      <w:r w:rsidRPr="0044524F">
        <w:rPr>
          <w:rFonts w:ascii="Times New Roman" w:hAnsi="Times New Roman"/>
          <w:color w:val="000000" w:themeColor="text1"/>
          <w:sz w:val="16"/>
          <w:szCs w:val="16"/>
        </w:rPr>
        <w:softHyphen/>
        <w:t>стовую часть монококовой конструкции с гладкой металлической обшивкой.</w:t>
      </w:r>
    </w:p>
    <w:p w14:paraId="51FE5036"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передней части фюзеляжа находилась кабина пилота с постом управления са</w:t>
      </w:r>
      <w:r w:rsidRPr="0044524F">
        <w:rPr>
          <w:rFonts w:ascii="Times New Roman" w:hAnsi="Times New Roman"/>
          <w:color w:val="000000" w:themeColor="text1"/>
          <w:sz w:val="16"/>
          <w:szCs w:val="16"/>
        </w:rPr>
        <w:softHyphen/>
        <w:t>молетом - ручкой и педалями. Позже для снижения нагрузки на пилота ручку управ</w:t>
      </w:r>
      <w:r w:rsidRPr="0044524F">
        <w:rPr>
          <w:rFonts w:ascii="Times New Roman" w:hAnsi="Times New Roman"/>
          <w:color w:val="000000" w:themeColor="text1"/>
          <w:sz w:val="16"/>
          <w:szCs w:val="16"/>
        </w:rPr>
        <w:softHyphen/>
        <w:t>ления самолетом заменили штурвалом.</w:t>
      </w:r>
    </w:p>
    <w:p w14:paraId="2457FCAA"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кабиной пилота располагался масля</w:t>
      </w:r>
      <w:r w:rsidRPr="0044524F">
        <w:rPr>
          <w:rFonts w:ascii="Times New Roman" w:hAnsi="Times New Roman"/>
          <w:color w:val="000000" w:themeColor="text1"/>
          <w:sz w:val="16"/>
          <w:szCs w:val="16"/>
        </w:rPr>
        <w:softHyphen/>
        <w:t>ный бак, а за ним — сиденье штурмана, на котором он располагался во время взле</w:t>
      </w:r>
      <w:r w:rsidRPr="0044524F">
        <w:rPr>
          <w:rFonts w:ascii="Times New Roman" w:hAnsi="Times New Roman"/>
          <w:color w:val="000000" w:themeColor="text1"/>
          <w:sz w:val="16"/>
          <w:szCs w:val="16"/>
        </w:rPr>
        <w:softHyphen/>
        <w:t>та и посадки. Ближе к хвосту находилось сиденье второго пилота с ручкой управле</w:t>
      </w:r>
      <w:r w:rsidRPr="0044524F">
        <w:rPr>
          <w:rFonts w:ascii="Times New Roman" w:hAnsi="Times New Roman"/>
          <w:color w:val="000000" w:themeColor="text1"/>
          <w:sz w:val="16"/>
          <w:szCs w:val="16"/>
        </w:rPr>
        <w:softHyphen/>
        <w:t>ния самолетом и педалями. Но пилотиро</w:t>
      </w:r>
      <w:r w:rsidRPr="0044524F">
        <w:rPr>
          <w:rFonts w:ascii="Times New Roman" w:hAnsi="Times New Roman"/>
          <w:color w:val="000000" w:themeColor="text1"/>
          <w:sz w:val="16"/>
          <w:szCs w:val="16"/>
        </w:rPr>
        <w:softHyphen/>
        <w:t>вать машину с этого места из-за практиче</w:t>
      </w:r>
      <w:r w:rsidRPr="0044524F">
        <w:rPr>
          <w:rFonts w:ascii="Times New Roman" w:hAnsi="Times New Roman"/>
          <w:color w:val="000000" w:themeColor="text1"/>
          <w:sz w:val="16"/>
          <w:szCs w:val="16"/>
        </w:rPr>
        <w:softHyphen/>
        <w:t>ски полного отсутствия обзора было очень сложно.</w:t>
      </w:r>
    </w:p>
    <w:p w14:paraId="5E84BF73"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Смена летчиков в полете происходила весьма своеобразно. Пилот, находивший</w:t>
      </w:r>
      <w:r w:rsidRPr="0044524F">
        <w:rPr>
          <w:rFonts w:ascii="Times New Roman" w:hAnsi="Times New Roman"/>
          <w:color w:val="000000" w:themeColor="text1"/>
          <w:sz w:val="16"/>
          <w:szCs w:val="16"/>
        </w:rPr>
        <w:softHyphen/>
        <w:t>ся на втором сиденье, пробирался вперед по-пластунски по масляному баку. Затем летчик, управлявший самолетом, на сво</w:t>
      </w:r>
      <w:r w:rsidRPr="0044524F">
        <w:rPr>
          <w:rFonts w:ascii="Times New Roman" w:hAnsi="Times New Roman"/>
          <w:color w:val="000000" w:themeColor="text1"/>
          <w:sz w:val="16"/>
          <w:szCs w:val="16"/>
        </w:rPr>
        <w:softHyphen/>
        <w:t>ем сиденье откидывал спинку и отодвигал</w:t>
      </w:r>
      <w:r w:rsidRPr="0044524F">
        <w:rPr>
          <w:rFonts w:ascii="Times New Roman" w:hAnsi="Times New Roman"/>
          <w:color w:val="000000" w:themeColor="text1"/>
          <w:sz w:val="16"/>
          <w:szCs w:val="16"/>
        </w:rPr>
        <w:softHyphen/>
        <w:t>ся влево, затем, придерживая рукой штурвал, переносил обе ноги на левую педаль. Сменявший его пилот протискивал свои ноги правее и ставил их на правую педаль. После этого летчик, управлявший самоле</w:t>
      </w:r>
      <w:r w:rsidRPr="0044524F">
        <w:rPr>
          <w:rFonts w:ascii="Times New Roman" w:hAnsi="Times New Roman"/>
          <w:color w:val="000000" w:themeColor="text1"/>
          <w:sz w:val="16"/>
          <w:szCs w:val="16"/>
        </w:rPr>
        <w:softHyphen/>
        <w:t>том, откидывался назад и вылезал из пере</w:t>
      </w:r>
      <w:r w:rsidRPr="0044524F">
        <w:rPr>
          <w:rFonts w:ascii="Times New Roman" w:hAnsi="Times New Roman"/>
          <w:color w:val="000000" w:themeColor="text1"/>
          <w:sz w:val="16"/>
          <w:szCs w:val="16"/>
        </w:rPr>
        <w:softHyphen/>
        <w:t>дней кабины. Это была весьма трудоемкая операция, но, по мнению Г.Ф. Байдуко</w:t>
      </w:r>
      <w:r w:rsidRPr="0044524F">
        <w:rPr>
          <w:rFonts w:ascii="Times New Roman" w:hAnsi="Times New Roman"/>
          <w:color w:val="000000" w:themeColor="text1"/>
          <w:sz w:val="16"/>
          <w:szCs w:val="16"/>
        </w:rPr>
        <w:softHyphen/>
        <w:t>ва. весьма полезная, поскольку была свое</w:t>
      </w:r>
      <w:r w:rsidRPr="0044524F">
        <w:rPr>
          <w:rFonts w:ascii="Times New Roman" w:hAnsi="Times New Roman"/>
          <w:color w:val="000000" w:themeColor="text1"/>
          <w:sz w:val="16"/>
          <w:szCs w:val="16"/>
        </w:rPr>
        <w:softHyphen/>
        <w:t>го рода разминкой, отвлекавшей от одноо</w:t>
      </w:r>
      <w:r w:rsidRPr="0044524F">
        <w:rPr>
          <w:rFonts w:ascii="Times New Roman" w:hAnsi="Times New Roman"/>
          <w:color w:val="000000" w:themeColor="text1"/>
          <w:sz w:val="16"/>
          <w:szCs w:val="16"/>
        </w:rPr>
        <w:softHyphen/>
        <w:t>бразного длительного полета.</w:t>
      </w:r>
    </w:p>
    <w:p w14:paraId="25B199BD"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Сиденье штурмана размещалось за вто</w:t>
      </w:r>
      <w:r w:rsidRPr="0044524F">
        <w:rPr>
          <w:rFonts w:ascii="Times New Roman" w:hAnsi="Times New Roman"/>
          <w:color w:val="000000" w:themeColor="text1"/>
          <w:sz w:val="16"/>
          <w:szCs w:val="16"/>
        </w:rPr>
        <w:softHyphen/>
        <w:t>рым пилотом, причем на запасном бачке с жидкостью для охлаждения двигателя.</w:t>
      </w:r>
    </w:p>
    <w:p w14:paraId="29639DE9"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Оперение - цельнометаллическое, расчалочное, с гофрированной обшивкой. Рули высоты и поворота имели аэродина</w:t>
      </w:r>
      <w:r w:rsidRPr="0044524F">
        <w:rPr>
          <w:rFonts w:ascii="Times New Roman" w:hAnsi="Times New Roman"/>
          <w:color w:val="000000" w:themeColor="text1"/>
          <w:sz w:val="16"/>
          <w:szCs w:val="16"/>
        </w:rPr>
        <w:softHyphen/>
        <w:t>мическую компенсацию и управляемые триммеры и флетнеры.</w:t>
      </w:r>
    </w:p>
    <w:p w14:paraId="6DADBA99"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Воздушный винт — трехлопастный, до</w:t>
      </w:r>
      <w:r w:rsidRPr="0044524F">
        <w:rPr>
          <w:rFonts w:ascii="Times New Roman" w:hAnsi="Times New Roman"/>
          <w:color w:val="000000" w:themeColor="text1"/>
          <w:sz w:val="16"/>
          <w:szCs w:val="16"/>
        </w:rPr>
        <w:softHyphen/>
        <w:t>пускавший регулировку шага на земле. Кабина пилотов обогревалась выхлопны</w:t>
      </w:r>
      <w:r w:rsidRPr="0044524F">
        <w:rPr>
          <w:rFonts w:ascii="Times New Roman" w:hAnsi="Times New Roman"/>
          <w:color w:val="000000" w:themeColor="text1"/>
          <w:sz w:val="16"/>
          <w:szCs w:val="16"/>
        </w:rPr>
        <w:softHyphen/>
        <w:t>ми газами от двигателя.</w:t>
      </w:r>
    </w:p>
    <w:p w14:paraId="3CDC804F"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 оборудования входили, в част</w:t>
      </w:r>
      <w:r w:rsidRPr="0044524F">
        <w:rPr>
          <w:rFonts w:ascii="Times New Roman" w:hAnsi="Times New Roman"/>
          <w:color w:val="000000" w:themeColor="text1"/>
          <w:sz w:val="16"/>
          <w:szCs w:val="16"/>
        </w:rPr>
        <w:softHyphen/>
        <w:t>ности, связная и аварийная радиостанции, пневматические (питавшиеся от трубок Вентури) авиагоризонт и гирополуком- пас, солнечный указатель курса и астро- секстант. Позже перед полетом в Америку на обоих РД установили радиополукомпа</w:t>
      </w:r>
      <w:r w:rsidRPr="0044524F">
        <w:rPr>
          <w:rFonts w:ascii="Times New Roman" w:hAnsi="Times New Roman"/>
          <w:color w:val="000000" w:themeColor="text1"/>
          <w:sz w:val="16"/>
          <w:szCs w:val="16"/>
        </w:rPr>
        <w:softHyphen/>
        <w:t>сы «Файерчальд» с круглыми рамочными антеннами, расположенными над кабина</w:t>
      </w:r>
      <w:r w:rsidRPr="0044524F">
        <w:rPr>
          <w:rFonts w:ascii="Times New Roman" w:hAnsi="Times New Roman"/>
          <w:color w:val="000000" w:themeColor="text1"/>
          <w:sz w:val="16"/>
          <w:szCs w:val="16"/>
        </w:rPr>
        <w:softHyphen/>
        <w:t>ми штурманов.</w:t>
      </w:r>
    </w:p>
    <w:p w14:paraId="723332EF"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отличие от «Девуатина» </w:t>
      </w:r>
      <w:r w:rsidRPr="0044524F">
        <w:rPr>
          <w:rFonts w:ascii="Times New Roman" w:hAnsi="Times New Roman"/>
          <w:color w:val="000000" w:themeColor="text1"/>
          <w:sz w:val="16"/>
          <w:szCs w:val="16"/>
          <w:lang w:val="en-US"/>
        </w:rPr>
        <w:t>D</w:t>
      </w:r>
      <w:r w:rsidRPr="0044524F">
        <w:rPr>
          <w:rFonts w:ascii="Times New Roman" w:hAnsi="Times New Roman"/>
          <w:color w:val="000000" w:themeColor="text1"/>
          <w:sz w:val="16"/>
          <w:szCs w:val="16"/>
        </w:rPr>
        <w:t>-33, на РД установили полуубирающиеся с помощью электропривода основные опоры шасси со спаренными колесами и масляно-воздуш</w:t>
      </w:r>
      <w:r w:rsidRPr="0044524F">
        <w:rPr>
          <w:rFonts w:ascii="Times New Roman" w:hAnsi="Times New Roman"/>
          <w:color w:val="000000" w:themeColor="text1"/>
          <w:sz w:val="16"/>
          <w:szCs w:val="16"/>
        </w:rPr>
        <w:softHyphen/>
        <w:t>ными амортизаторами. Но на колесах с шинами (размерами 900x250 мм), изготов</w:t>
      </w:r>
      <w:r w:rsidRPr="0044524F">
        <w:rPr>
          <w:rFonts w:ascii="Times New Roman" w:hAnsi="Times New Roman"/>
          <w:color w:val="000000" w:themeColor="text1"/>
          <w:sz w:val="16"/>
          <w:szCs w:val="16"/>
        </w:rPr>
        <w:softHyphen/>
        <w:t>ленными на Ярославском резиновом ком</w:t>
      </w:r>
      <w:r w:rsidRPr="0044524F">
        <w:rPr>
          <w:rFonts w:ascii="Times New Roman" w:hAnsi="Times New Roman"/>
          <w:color w:val="000000" w:themeColor="text1"/>
          <w:sz w:val="16"/>
          <w:szCs w:val="16"/>
        </w:rPr>
        <w:softHyphen/>
        <w:t>бинате, отсутствовали тормоза, что, ви</w:t>
      </w:r>
      <w:r w:rsidRPr="0044524F">
        <w:rPr>
          <w:rFonts w:ascii="Times New Roman" w:hAnsi="Times New Roman"/>
          <w:color w:val="000000" w:themeColor="text1"/>
          <w:sz w:val="16"/>
          <w:szCs w:val="16"/>
        </w:rPr>
        <w:softHyphen/>
        <w:t>димо, связано с отсутствием соответству</w:t>
      </w:r>
      <w:r w:rsidRPr="0044524F">
        <w:rPr>
          <w:rFonts w:ascii="Times New Roman" w:hAnsi="Times New Roman"/>
          <w:color w:val="000000" w:themeColor="text1"/>
          <w:sz w:val="16"/>
          <w:szCs w:val="16"/>
        </w:rPr>
        <w:softHyphen/>
        <w:t>ющих гидравлических приводов. А затор</w:t>
      </w:r>
      <w:r w:rsidRPr="0044524F">
        <w:rPr>
          <w:rFonts w:ascii="Times New Roman" w:hAnsi="Times New Roman"/>
          <w:color w:val="000000" w:themeColor="text1"/>
          <w:sz w:val="16"/>
          <w:szCs w:val="16"/>
        </w:rPr>
        <w:softHyphen/>
        <w:t>мозить бег многотонной громадины иным путем не представлялось возможным. На костыльной опоре установили колесо раз</w:t>
      </w:r>
      <w:r w:rsidRPr="0044524F">
        <w:rPr>
          <w:rFonts w:ascii="Times New Roman" w:hAnsi="Times New Roman"/>
          <w:color w:val="000000" w:themeColor="text1"/>
          <w:sz w:val="16"/>
          <w:szCs w:val="16"/>
        </w:rPr>
        <w:softHyphen/>
        <w:t>мером 325x200 мм.</w:t>
      </w:r>
    </w:p>
    <w:p w14:paraId="3135EBAB"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Электрооборудование было представле</w:t>
      </w:r>
      <w:r w:rsidRPr="0044524F">
        <w:rPr>
          <w:rFonts w:ascii="Times New Roman" w:hAnsi="Times New Roman"/>
          <w:color w:val="000000" w:themeColor="text1"/>
          <w:sz w:val="16"/>
          <w:szCs w:val="16"/>
        </w:rPr>
        <w:softHyphen/>
        <w:t>но 500-ваттным электрогенератором (ди</w:t>
      </w:r>
      <w:r w:rsidRPr="0044524F">
        <w:rPr>
          <w:rFonts w:ascii="Times New Roman" w:hAnsi="Times New Roman"/>
          <w:color w:val="000000" w:themeColor="text1"/>
          <w:sz w:val="16"/>
          <w:szCs w:val="16"/>
        </w:rPr>
        <w:softHyphen/>
        <w:t>намо-машиной) и аккумуляторной бата</w:t>
      </w:r>
      <w:r w:rsidRPr="0044524F">
        <w:rPr>
          <w:rFonts w:ascii="Times New Roman" w:hAnsi="Times New Roman"/>
          <w:color w:val="000000" w:themeColor="text1"/>
          <w:sz w:val="16"/>
          <w:szCs w:val="16"/>
        </w:rPr>
        <w:softHyphen/>
        <w:t>реей емкостью 65 ампер-часов.</w:t>
      </w:r>
    </w:p>
    <w:p w14:paraId="7C9EC7E0"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полеты на РД предполага</w:t>
      </w:r>
      <w:r w:rsidRPr="0044524F">
        <w:rPr>
          <w:rFonts w:ascii="Times New Roman" w:hAnsi="Times New Roman"/>
          <w:color w:val="000000" w:themeColor="text1"/>
          <w:sz w:val="16"/>
          <w:szCs w:val="16"/>
        </w:rPr>
        <w:softHyphen/>
        <w:t>лось проводить над протяженными аква</w:t>
      </w:r>
      <w:r w:rsidRPr="0044524F">
        <w:rPr>
          <w:rFonts w:ascii="Times New Roman" w:hAnsi="Times New Roman"/>
          <w:color w:val="000000" w:themeColor="text1"/>
          <w:sz w:val="16"/>
          <w:szCs w:val="16"/>
        </w:rPr>
        <w:softHyphen/>
        <w:t>ториями, то для обеспечения плавучести машины в случае вынужденной посадки на водную поверхность в крыле и фюзеля</w:t>
      </w:r>
      <w:r w:rsidRPr="0044524F">
        <w:rPr>
          <w:rFonts w:ascii="Times New Roman" w:hAnsi="Times New Roman"/>
          <w:color w:val="000000" w:themeColor="text1"/>
          <w:sz w:val="16"/>
          <w:szCs w:val="16"/>
        </w:rPr>
        <w:softHyphen/>
        <w:t>же расположили надувные мешки из про</w:t>
      </w:r>
      <w:r w:rsidRPr="0044524F">
        <w:rPr>
          <w:rFonts w:ascii="Times New Roman" w:hAnsi="Times New Roman"/>
          <w:color w:val="000000" w:themeColor="text1"/>
          <w:sz w:val="16"/>
          <w:szCs w:val="16"/>
        </w:rPr>
        <w:softHyphen/>
        <w:t>резиненной ткани. Но воспользоваться ими, к счастью, так и не довелось (12725).</w:t>
      </w:r>
    </w:p>
    <w:p w14:paraId="7266C486" w14:textId="77777777" w:rsidR="004050DA" w:rsidRPr="0044524F" w:rsidRDefault="004050DA" w:rsidP="009654CF">
      <w:pPr>
        <w:pStyle w:val="txt1"/>
        <w:shd w:val="clear" w:color="auto" w:fill="FFFFFF"/>
        <w:spacing w:before="0" w:beforeAutospacing="0" w:after="0" w:afterAutospacing="0" w:line="240" w:lineRule="auto"/>
        <w:ind w:firstLine="0"/>
        <w:rPr>
          <w:color w:val="000000" w:themeColor="text1"/>
          <w:sz w:val="16"/>
          <w:szCs w:val="16"/>
        </w:rPr>
      </w:pPr>
    </w:p>
    <w:p w14:paraId="42C96038" w14:textId="77777777" w:rsidR="00476220" w:rsidRPr="0044524F" w:rsidRDefault="004762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г. состоялся первый испытательный полет самолета АНТ-25 конструкции ОКБ А.Н.Туполева. Самолет отроился заводом опытных конструкций ЦАГМ для рекордных дальних полетов, почему и называ</w:t>
      </w:r>
      <w:r w:rsidRPr="0044524F">
        <w:rPr>
          <w:rFonts w:ascii="Times New Roman" w:hAnsi="Times New Roman"/>
          <w:color w:val="000000" w:themeColor="text1"/>
          <w:sz w:val="16"/>
          <w:szCs w:val="16"/>
        </w:rPr>
        <w:softHyphen/>
        <w:t>лся еще и РД /рекордный, дальний/ и ЦАГИ-25. Ведущим по самолету был инженер Пааел Осипович Сухой, руководителями бригад – Петляков, Беляев, Некрасов, Лебедев, Ромейко-Гурко. Испытание проводил М. Громов.</w:t>
      </w:r>
    </w:p>
    <w:p w14:paraId="427D2154" w14:textId="77777777" w:rsidR="00476220" w:rsidRPr="0044524F" w:rsidRDefault="004762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АНТ-25 - свободнонесущий, металлический .моноплан с мотором М-34-Р. Основыне данные: размах - 34 м; длина - 13,4 м; площадь крыльев -88 м2, удлинение крыла - 13; вес пустого - 4,2 тонны, полетный вес – 11 т; скорость крейсерская - 190 км/ч; дальность полета - свыше 12 тысяч километров.; Экипаж - 3 человека.</w:t>
      </w:r>
    </w:p>
    <w:p w14:paraId="55747D50" w14:textId="77777777" w:rsidR="00476220" w:rsidRPr="0044524F" w:rsidRDefault="004762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Особенностью самолета являлось большое удлинение крыла, придающее ему качество хорошего планера. Самолет доводился целый год. Мотop M-Р34 был заменен иотором М-34Р с с повышенными мощностью и высотностью. В 1934-37 гг. на АНТ-25 был установлен ряд рекордов длительности и дальности полета.</w:t>
      </w:r>
    </w:p>
    <w:p w14:paraId="70F8522E" w14:textId="77777777" w:rsidR="00476220" w:rsidRPr="0044524F" w:rsidRDefault="004762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/Материал В.Б.Шаврова; "Самолет”, 1936 № 8/ (23370).</w:t>
      </w:r>
    </w:p>
    <w:p w14:paraId="0175B30A" w14:textId="77777777" w:rsidR="00476220" w:rsidRPr="0044524F" w:rsidRDefault="00476220" w:rsidP="009654CF">
      <w:pPr>
        <w:spacing w:after="0" w:line="240" w:lineRule="auto"/>
        <w:jc w:val="both"/>
        <w:rPr>
          <w:rFonts w:ascii="Times New Roman" w:hAnsi="Times New Roman"/>
          <w:color w:val="000000" w:themeColor="text1"/>
          <w:sz w:val="16"/>
          <w:szCs w:val="16"/>
        </w:rPr>
      </w:pPr>
    </w:p>
    <w:p w14:paraId="30436C9F" w14:textId="1F6F86ED"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г. М.М. Громов впервые поднял РД—1</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воздух. Заводские испытания показали, что машина с двигателем М—34 не удов</w:t>
      </w:r>
      <w:r w:rsidRPr="0044524F">
        <w:rPr>
          <w:rFonts w:ascii="Times New Roman" w:hAnsi="Times New Roman"/>
          <w:color w:val="000000" w:themeColor="text1"/>
          <w:sz w:val="16"/>
          <w:szCs w:val="16"/>
        </w:rPr>
        <w:softHyphen/>
        <w:t>летворяет заявленным данным (23474).</w:t>
      </w:r>
    </w:p>
    <w:p w14:paraId="25AAD49F"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3C97E791"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июня 1933 года самолет РД-1, пилотируемый М. М. Громовым, совершил первый полет. Вслед за ним на испытания передали второй экземпляр, получивший обозначение РД-2, но уже с редукторным мотором М-34Р. Замена двигателя позволила увеличить даль</w:t>
      </w:r>
      <w:r w:rsidRPr="00142305">
        <w:rPr>
          <w:rFonts w:ascii="Times New Roman" w:hAnsi="Times New Roman"/>
          <w:color w:val="0070C0"/>
          <w:sz w:val="16"/>
          <w:szCs w:val="16"/>
        </w:rPr>
        <w:softHyphen/>
        <w:t>ность полета почти в полтора раза. Но о рекорде пока речь не шла, так как у РД было два французских соперника - «Блерио-110» и «Бенар-80» с расчетной дальностью 13 000 км.</w:t>
      </w:r>
    </w:p>
    <w:p w14:paraId="2A9B74CD"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Испытания РД показали, что конструкция машины перетяжелена, эффективность эле</w:t>
      </w:r>
      <w:r w:rsidRPr="00142305">
        <w:rPr>
          <w:rFonts w:ascii="Times New Roman" w:hAnsi="Times New Roman"/>
          <w:color w:val="0070C0"/>
          <w:sz w:val="16"/>
          <w:szCs w:val="16"/>
        </w:rPr>
        <w:softHyphen/>
        <w:t>ронов и руля поворота мала, что делало его опасным для полета при сильной турбулентно</w:t>
      </w:r>
      <w:r w:rsidRPr="00142305">
        <w:rPr>
          <w:rFonts w:ascii="Times New Roman" w:hAnsi="Times New Roman"/>
          <w:color w:val="0070C0"/>
          <w:sz w:val="16"/>
          <w:szCs w:val="16"/>
        </w:rPr>
        <w:softHyphen/>
        <w:t>сти воздуха. Требовалась также доводка винтомоторной группы. Аэродинамические харак</w:t>
      </w:r>
      <w:r w:rsidRPr="00142305">
        <w:rPr>
          <w:rFonts w:ascii="Times New Roman" w:hAnsi="Times New Roman"/>
          <w:color w:val="0070C0"/>
          <w:sz w:val="16"/>
          <w:szCs w:val="16"/>
        </w:rPr>
        <w:softHyphen/>
        <w:t>теристики обеих машин были значительно хуже, чем у заграничных. Самолет явно нуждался в доработке. И тогда в отчете по результатам государственных испытаний в декабре 1933 года Алкснис записал: «...ЦАГИ все конструктивные изменения по устранению дефектов и доводке рекордных самолетов РД внести в чертежи военного варианта РД (ДБ-1)...». Сотрудники ЦАГИ Стоман, Тайц, Фрейман и Белкин буквально сутками занимались доводкой машины (24991).</w:t>
      </w:r>
    </w:p>
    <w:p w14:paraId="28DCAF1F" w14:textId="77777777" w:rsidR="00CD62DA" w:rsidRPr="00142305" w:rsidRDefault="00CD62DA" w:rsidP="00CD62DA">
      <w:pPr>
        <w:spacing w:after="0" w:line="240" w:lineRule="auto"/>
        <w:jc w:val="both"/>
        <w:rPr>
          <w:rFonts w:ascii="Times New Roman" w:hAnsi="Times New Roman"/>
          <w:color w:val="0070C0"/>
          <w:sz w:val="16"/>
          <w:szCs w:val="16"/>
        </w:rPr>
      </w:pPr>
    </w:p>
    <w:p w14:paraId="6B8E351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22 июня 1933 актом начальника ВВС Алксниса было утверждено заключение НИИ ВВС, в котором он предлагает начальнику управления МТС “дать заказ ГУАПу (согласно постановления КО) на постройку 10 самолетов Р5-М17 со вторым вариантом разрезных крыльев для войсковых испытаний”. Заключение было в отчете НИИ ВВС по испытаниям двух Р-5 с двумя вариантами разрезных крыльев. Из предъявленных к испытаниям двух вариантов разрезных крыльев, первый вариант был УВВС забракован, а по второму варианту было признано “рациональным построить серию самолетов Р5-М17 с разрезными крыльями по типу испытанного самолета для войсковых испытаний (10-12 самолетов). Из отчета испытаний видно. Что этот второй вариант разрезных крыльев дал самолету Р5 следующие качества: </w:t>
      </w:r>
      <w:r w:rsidRPr="0044524F">
        <w:rPr>
          <w:rFonts w:ascii="Times New Roman" w:hAnsi="Times New Roman"/>
          <w:color w:val="000000" w:themeColor="text1"/>
          <w:sz w:val="16"/>
          <w:szCs w:val="16"/>
        </w:rPr>
        <w:lastRenderedPageBreak/>
        <w:t>посадочная скорость сократилась на 17%, длина пробега сократилась на 45%, улучшилась управляемость на малых скоростях, улучшилась устойчивость на виражах. Затем Алкснис отменил решение о заказе серии в 10 самолетов Р-5 со вторым вариантом разрезных крыльев, а ГУАПу было предложено сконструировать третий вариант разрезных крыльев, в котором были бы устранены дефекты, выявленные во втором варианте (4234).</w:t>
      </w:r>
    </w:p>
    <w:p w14:paraId="4997F9F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665E4D21" w14:textId="77777777" w:rsidR="000F1987" w:rsidRPr="0044524F" w:rsidRDefault="000F1987" w:rsidP="009654CF">
      <w:pPr>
        <w:pStyle w:val="rtejustify"/>
        <w:spacing w:before="0" w:after="0"/>
        <w:rPr>
          <w:color w:val="000000" w:themeColor="text1"/>
          <w:sz w:val="16"/>
          <w:szCs w:val="16"/>
        </w:rPr>
      </w:pPr>
      <w:r w:rsidRPr="0044524F">
        <w:rPr>
          <w:rStyle w:val="af0"/>
          <w:bCs/>
          <w:i w:val="0"/>
          <w:color w:val="000000" w:themeColor="text1"/>
          <w:sz w:val="16"/>
          <w:szCs w:val="16"/>
        </w:rPr>
        <w:t>22</w:t>
      </w:r>
      <w:r w:rsidRPr="0044524F">
        <w:rPr>
          <w:rStyle w:val="af0"/>
          <w:bCs/>
          <w:i w:val="0"/>
          <w:color w:val="000000" w:themeColor="text1"/>
          <w:sz w:val="16"/>
          <w:szCs w:val="16"/>
        </w:rPr>
        <w:noBreakHyphen/>
        <w:t>23 июня</w:t>
      </w:r>
      <w:r w:rsidRPr="0044524F">
        <w:rPr>
          <w:color w:val="000000" w:themeColor="text1"/>
          <w:sz w:val="16"/>
          <w:szCs w:val="16"/>
        </w:rPr>
        <w:t xml:space="preserve"> 1933 вышел приказ РВСС № 14. 1. Об опытном самолето- и моторостроении. (Тухачевский, Егоров, Алкснис, Меженинов). 2. Система танкового вооружения. (Халепский). (РГВА. Ф. 4. Оп. 18. Д. 23. Л. 227) (15461).</w:t>
      </w:r>
    </w:p>
    <w:p w14:paraId="4AC1CC3F" w14:textId="77777777" w:rsidR="000F1987" w:rsidRPr="0044524F" w:rsidRDefault="000F1987" w:rsidP="009654CF">
      <w:pPr>
        <w:pStyle w:val="rtejustify"/>
        <w:spacing w:before="0" w:after="0"/>
        <w:rPr>
          <w:color w:val="000000" w:themeColor="text1"/>
          <w:sz w:val="16"/>
          <w:szCs w:val="16"/>
        </w:rPr>
      </w:pPr>
    </w:p>
    <w:p w14:paraId="07C55DE3" w14:textId="77777777" w:rsidR="00BB14D0" w:rsidRPr="0044524F" w:rsidRDefault="00BB14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22 июня</w:t>
      </w:r>
      <w:r w:rsidRPr="0044524F">
        <w:rPr>
          <w:rFonts w:ascii="Times New Roman" w:hAnsi="Times New Roman"/>
          <w:color w:val="000000" w:themeColor="text1"/>
          <w:sz w:val="16"/>
          <w:szCs w:val="16"/>
        </w:rPr>
        <w:t xml:space="preserve"> в 1933 году открылась пассажирская линия Аэрофлота Москва - Тбилиси. Самолёт </w:t>
      </w:r>
      <w:hyperlink r:id="rId222" w:tgtFrame="_blank" w:history="1">
        <w:r w:rsidRPr="0044524F">
          <w:rPr>
            <w:rFonts w:ascii="Times New Roman" w:hAnsi="Times New Roman"/>
            <w:color w:val="000000" w:themeColor="text1"/>
            <w:sz w:val="16"/>
            <w:szCs w:val="16"/>
          </w:rPr>
          <w:t xml:space="preserve">«Калинин» «К-5М» </w:t>
        </w:r>
      </w:hyperlink>
      <w:r w:rsidRPr="0044524F">
        <w:rPr>
          <w:rFonts w:ascii="Times New Roman" w:hAnsi="Times New Roman"/>
          <w:color w:val="000000" w:themeColor="text1"/>
          <w:sz w:val="16"/>
          <w:szCs w:val="16"/>
        </w:rPr>
        <w:t>впервые пересекал Кавказский хребет (14930).</w:t>
      </w:r>
    </w:p>
    <w:p w14:paraId="39AF8E81" w14:textId="77777777" w:rsidR="00BB14D0" w:rsidRPr="0044524F" w:rsidRDefault="00BB14D0" w:rsidP="009654CF">
      <w:pPr>
        <w:spacing w:after="0" w:line="240" w:lineRule="auto"/>
        <w:jc w:val="both"/>
        <w:rPr>
          <w:rFonts w:ascii="Times New Roman" w:hAnsi="Times New Roman"/>
          <w:color w:val="000000" w:themeColor="text1"/>
          <w:sz w:val="16"/>
          <w:szCs w:val="16"/>
        </w:rPr>
      </w:pPr>
    </w:p>
    <w:p w14:paraId="1EFAB7D1"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36A954F"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AEEBD01" w14:textId="77777777" w:rsidR="000F1987" w:rsidRPr="0044524F" w:rsidRDefault="000F1987" w:rsidP="009654CF">
      <w:pPr>
        <w:pStyle w:val="rtejustify"/>
        <w:spacing w:before="0" w:after="0"/>
        <w:rPr>
          <w:color w:val="000000" w:themeColor="text1"/>
          <w:sz w:val="16"/>
          <w:szCs w:val="16"/>
        </w:rPr>
      </w:pPr>
      <w:r w:rsidRPr="0044524F">
        <w:rPr>
          <w:rStyle w:val="af0"/>
          <w:bCs/>
          <w:i w:val="0"/>
          <w:color w:val="000000" w:themeColor="text1"/>
          <w:sz w:val="16"/>
          <w:szCs w:val="16"/>
        </w:rPr>
        <w:t>22 июня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результатах испытания механической трубки Георгиева (МТГ) и вводе на вооружение РККА». (Приложение: характеристика МТГ (по докладу комиссии РВСС), сравнительная таблица результатов испытаний МТГ, трубки «Тилль-Крупп» (ТК), ТМ</w:t>
      </w:r>
      <w:r w:rsidRPr="0044524F">
        <w:rPr>
          <w:color w:val="000000" w:themeColor="text1"/>
          <w:sz w:val="16"/>
          <w:szCs w:val="16"/>
        </w:rPr>
        <w:noBreakHyphen/>
        <w:t>1 (Карпова) и пороховой (Т</w:t>
      </w:r>
      <w:r w:rsidRPr="0044524F">
        <w:rPr>
          <w:color w:val="000000" w:themeColor="text1"/>
          <w:sz w:val="16"/>
          <w:szCs w:val="16"/>
        </w:rPr>
        <w:noBreakHyphen/>
        <w:t>3) и таблица основных критериев для оценки трубок). (РГВА. Ф. 4. Оп. 18. Д. 23. Л. 213</w:t>
      </w:r>
      <w:r w:rsidRPr="0044524F">
        <w:rPr>
          <w:color w:val="000000" w:themeColor="text1"/>
          <w:sz w:val="16"/>
          <w:szCs w:val="16"/>
        </w:rPr>
        <w:noBreakHyphen/>
        <w:t>217).</w:t>
      </w:r>
    </w:p>
    <w:p w14:paraId="33D5D03E" w14:textId="77777777" w:rsidR="000F1987" w:rsidRPr="0044524F" w:rsidRDefault="000F1987" w:rsidP="009654CF">
      <w:pPr>
        <w:pStyle w:val="rtejustify"/>
        <w:spacing w:before="0" w:after="0"/>
        <w:rPr>
          <w:rStyle w:val="af0"/>
          <w:bCs/>
          <w:i w:val="0"/>
          <w:color w:val="000000" w:themeColor="text1"/>
          <w:sz w:val="16"/>
          <w:szCs w:val="16"/>
        </w:rPr>
      </w:pPr>
    </w:p>
    <w:p w14:paraId="2CA29E2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года пунктом 2 Постановления РВС было предложено организовать контрольно-испытательный полигон для испытаний безоткатных орудий системы Л.В.Курчевского. Штатное расписание контрольно-испытательного полигона было утверждено председателем Реввоенсовета М.Н.Тухачевским в количестве 36 человек и вводилось в действие с 01 октября 1932 года. Президиум Московского облисполкома 10 июля 1932 года постановил отвести земельный участок под полигон вблизи ст. Лосиностровская в районе артсклада №36 площадью 42 кв.км., однако уже 29 ноября 1932 года он отменил это решение и создание полигона на ранее отведённом месте и вообще в 50 километровой зоне вокруг Москвы запретил.</w:t>
      </w:r>
    </w:p>
    <w:p w14:paraId="759B4BB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участок для вновь создаваемого полигона был выбран в Софринском районе Московской области, в 18 км от ст. Софрино к северу от села Путилово.</w:t>
      </w:r>
    </w:p>
    <w:p w14:paraId="61B5634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1933 года в село Путилово под командованием военного инженера 1 ранга В.П.Серебрякова прибыли первые сотрудники полигона: М.Ф.Тимофеев, В.Д.Иващенко, Ф.В.Колимбет, Н.А.Тураев, И.Ф.Бодров и др. Начались изыскательские и геодезические работы, затем расчистка трассы.</w:t>
      </w:r>
    </w:p>
    <w:p w14:paraId="06ADAD7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организации полигон назывался Московским контрольно-испытательным полигоном опытно-артиллерийским полигоном. Впервые он упоминается как Софринский в постановлении СНК СССР №1917-421с от 05 сентября 1933 года о переносе Гроховецкого полигона на Софринский полигон. Штат сотрудников полигона начал комплектоваться в основном работниками бывшего военсклада №51 (г.Ростов Ярославской обл.), расформированном в конце 1932 года. Первыми сотрудниками полигона были:</w:t>
      </w:r>
    </w:p>
    <w:p w14:paraId="4FE4D44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полигона – Серебряков В.П.</w:t>
      </w:r>
    </w:p>
    <w:p w14:paraId="18B048B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политрук – Турукин Г.М.</w:t>
      </w:r>
    </w:p>
    <w:p w14:paraId="3DE157D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технической части - Кораблин Н.П.</w:t>
      </w:r>
    </w:p>
    <w:p w14:paraId="08F2922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АХЧ – Лазарев Д.Е.</w:t>
      </w:r>
    </w:p>
    <w:p w14:paraId="5CDE39A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5456F18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также Тураев Н.А, руководивший переброской имущества расформированного склада №51 к месту строительства нового полигона и Бодров И.Ф. (12071)</w:t>
      </w:r>
    </w:p>
    <w:p w14:paraId="267C4F1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6328AE65"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период с 22 июня 1933 г. по 31 августа 1934 г. прошли войсковые испытания легкой броневой дрезины Двренкова на базе Д-8 на базе Ленинградских краснознаменных бронетанковых курсов усовершенствования комсостава РККА им. тов. Бубнова. К положительным качествам «брдл» на основе Д-8, позволяющим эффективно использовать ее как средство механизированной разведки в бронепоездных частях, отнесли высокую скорость движения (до 100 км/ч по рельсам и 80 км/ч по шоссе), повышенную проходимость (переход на грунт силами экипажа занимал не более 10 мин), небольшие габариты (длина – 3540 мм, ширина – 1705 мм, высота – 1700 мм), наличие броневой защиты («броня простой пулей не пробивается»). Специальное оборудование в целом получило высокую оценку.</w:t>
      </w:r>
    </w:p>
    <w:p w14:paraId="2AB7529A"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и недостатков хватало. Так, в выводах по результатам испытаний начальник курса Лебедевский, наряду с достоинствами машины, отмечал:</w:t>
      </w:r>
    </w:p>
    <w:p w14:paraId="55E8A5BA"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Бр.д.л., имея положительные и отрицательные свойства бронеавтомобиля «Д-8», при движении по жел. дор. пути не может компенсировать поворотливостью ограниченный угол обстрела своих пулеметов и при движении задним ходом имеет недостаточную скорость (до 10 клм./ч); поворот брдл на 180 град. и переход на грунт (и обратно) под действительным огнем пр-ка невозможен.</w:t>
      </w:r>
    </w:p>
    <w:p w14:paraId="592AAADC"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p w14:paraId="54E98F0A"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Специальное оборудование:</w:t>
      </w:r>
    </w:p>
    <w:p w14:paraId="1F2159A9"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 Съемные диски с ребордами и резиновыми шинами крепятся к колесам надежно и просто; взаимозаменяемость или обеспечение установки дисков задних колес на передние (и наоборот) – необходимы. Из 4 дисков 2 пришли в негодность из-за износа резиновых шин: диск левого переднего колеса после экстренного торможения на скорости 75 клм./ч. – на 730 клм.; диск левого заднего колеса – на 212 клм. скоростного пробега на 1012 клм. Шина 2-го диска имела роговую прослойку.</w:t>
      </w:r>
    </w:p>
    <w:p w14:paraId="5D7978DE"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p w14:paraId="181EB9A3"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 Подъемное приспособление: домкрат имел две поломки. Всю тяжесть брдл при подъемке принимает на себя дно, приклепанное к корпусу домкрата; последний изготовлен из мягкого железа. При поломках срезались заклепки, корпус домкрата и дно его перекашивались, шарики из упорного подшипника выпадали. Корпус домкрата и дно его должны быть прочнее и абсолютно жесткими.</w:t>
      </w:r>
    </w:p>
    <w:p w14:paraId="6DC465A6"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w:t>
      </w:r>
    </w:p>
    <w:p w14:paraId="227C7D6E"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ж) Деревянные мостки – пришли в полную негодность. При использовании требуется особая бдительность экипажа брдл: переход передних колес через наружную нитку рельс наблюдается часто. Предупреждение износа – крепление мостков от погружения в балласт».</w:t>
      </w:r>
    </w:p>
    <w:p w14:paraId="1CE49CA3"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Выяснилось, что при неполной боевой нагрузке (если, например, отсутствовали вооружение или боеприпасы и передняя часть «брдл» становилась тяжелее задней), установить машину на рельсы правильно (или снять для движения по грунту) с помощью домкрата экипаж из двух человек не мог. Требовалось привлекать дополнительные силы и средства, что в боевых условиях далеко не всегда было возможно. Кроме того, при движении машины в боевом порядке (с закрытыми люками) обзор из нее признали явно недостаточным.</w:t>
      </w:r>
    </w:p>
    <w:p w14:paraId="0959CB1F" w14:textId="77777777" w:rsidR="00CD62DA" w:rsidRPr="00142305" w:rsidRDefault="00CD62DA" w:rsidP="00CD62D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Дальнейшие работы по легким бронедрезинам на основе бронеавтомобиля Д-8 прекратили (25574).</w:t>
      </w:r>
    </w:p>
    <w:p w14:paraId="54D216B0" w14:textId="77777777" w:rsidR="00CD62DA" w:rsidRPr="00142305" w:rsidRDefault="00CD62DA" w:rsidP="00CD62DA">
      <w:pPr>
        <w:spacing w:after="0" w:line="240" w:lineRule="auto"/>
        <w:jc w:val="both"/>
        <w:rPr>
          <w:rFonts w:ascii="Times New Roman" w:hAnsi="Times New Roman"/>
          <w:color w:val="0070C0"/>
          <w:sz w:val="16"/>
          <w:szCs w:val="16"/>
        </w:rPr>
      </w:pPr>
    </w:p>
    <w:p w14:paraId="09F2DBA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года челябинские руководители направили телеграмму наркому тяжелой промышленности Серго Орджоникидзе: "Москва Наркомтяжпром Орджоникидзе Положение строительства завода катастрофическое Отсутствием леса цемента гвоздей электроматериалов стройка остановлена Главное управление безобразно обеспечило фондами и финансированием первое полугодие результате чего сроки пуска первой очереди установленные Правительством срываются тчк Необходимо Ваше вмешательство немедленного поворота Главного управления заводу обеспечения полной потребности третий квартал фондами леса цемента гвоздями электроматериалами автотранспортом по заявкам завода находящимся Главном управлении а также срочного разрешения последних проектных вопросов Гипроспецом особенно подземного хозяйства тормозящего подземные работы. Секретарь горкома Прусаков. Председатель горсовета Парамонов".</w:t>
      </w:r>
    </w:p>
    <w:p w14:paraId="44E2702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ответ на телеграмму на стройку Челябинского завода крупного станкостроения прибыли 2 экскаватора, 123 автомобиля, 4 тягача, более равномерно стали поступать строительные материалы. Появилась возможность вести работы одновременно на всех основных объектах завода. Однако кризисные ситуации продолжали возникать по всем основным направлениям стройки. Одной из причин такого положения было отсутствие грамотных управленцев среднего звена. Еще больший дефицит наблюдался в обеспечении стройки рабочей силой. Для полноценного производственного процесса строительству требовалось 14 тысяч рабочих, а жилой фонд, состоявший преимущественно из бараков и землянок, вмещал только 5700 человек. Строительство же новых каменных домов тормозилось отсутствием генерального плана застройки Челябинска. Из-за тяжелейших жилищных условий текучесть кадров в первые годы составляла 98 процентов, и это при том, что вербовка одного человека обходилась в среднем в 92 рубля (11556).</w:t>
      </w:r>
    </w:p>
    <w:p w14:paraId="3DF4C4F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7234C776"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с 22 июня 1933 г. по 31 августа 1934 г. на базе Ленинградских краснознамен</w:t>
      </w:r>
      <w:r w:rsidRPr="0044524F">
        <w:rPr>
          <w:rFonts w:ascii="Times New Roman" w:hAnsi="Times New Roman"/>
          <w:color w:val="000000" w:themeColor="text1"/>
          <w:sz w:val="16"/>
          <w:szCs w:val="16"/>
        </w:rPr>
        <w:softHyphen/>
        <w:t>ных бронетанковых курсов усовершенствования комсостава РККА им. тов. Бубнов прошли войсковые испытания легкой броневой дрези</w:t>
      </w:r>
      <w:r w:rsidRPr="0044524F">
        <w:rPr>
          <w:rFonts w:ascii="Times New Roman" w:hAnsi="Times New Roman"/>
          <w:color w:val="000000" w:themeColor="text1"/>
          <w:sz w:val="16"/>
          <w:szCs w:val="16"/>
        </w:rPr>
        <w:softHyphen/>
        <w:t>ны.</w:t>
      </w:r>
    </w:p>
    <w:p w14:paraId="6DD4FF9D"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положи</w:t>
      </w:r>
      <w:r w:rsidRPr="0044524F">
        <w:rPr>
          <w:rFonts w:ascii="Times New Roman" w:hAnsi="Times New Roman"/>
          <w:color w:val="000000" w:themeColor="text1"/>
          <w:sz w:val="16"/>
          <w:szCs w:val="16"/>
        </w:rPr>
        <w:softHyphen/>
        <w:t>тельным качествам «брдл» на основе Д-8, позволяющим эффективно ис</w:t>
      </w:r>
      <w:r w:rsidRPr="0044524F">
        <w:rPr>
          <w:rFonts w:ascii="Times New Roman" w:hAnsi="Times New Roman"/>
          <w:color w:val="000000" w:themeColor="text1"/>
          <w:sz w:val="16"/>
          <w:szCs w:val="16"/>
        </w:rPr>
        <w:softHyphen/>
        <w:t xml:space="preserve">пользовать ее как средство механизированной разведки в бронепоезд- ных частях, отнесли высокую скорость движения (до 100 км/ч по рельсам и 80 км/ч по шоссе, повышенную проходимость (переход на грунт силами экипажа занимал не более 10 мин), небольшие габариты (длина - 3540 мм, ширина - 1705 мм, высота - 1700 мм), наличие броневой защиты </w:t>
      </w:r>
      <w:r w:rsidRPr="0044524F">
        <w:rPr>
          <w:rStyle w:val="aff5"/>
          <w:rFonts w:ascii="Times New Roman" w:hAnsi="Times New Roman" w:cs="Times New Roman"/>
          <w:i w:val="0"/>
          <w:color w:val="000000" w:themeColor="text1"/>
        </w:rPr>
        <w:t>(«броня простой пулей не пробивается»).</w:t>
      </w:r>
      <w:r w:rsidRPr="0044524F">
        <w:rPr>
          <w:rFonts w:ascii="Times New Roman" w:hAnsi="Times New Roman"/>
          <w:color w:val="000000" w:themeColor="text1"/>
          <w:sz w:val="16"/>
          <w:szCs w:val="16"/>
        </w:rPr>
        <w:t xml:space="preserve"> Специальное оборудование в целом получило высокую оценку.</w:t>
      </w:r>
    </w:p>
    <w:p w14:paraId="1F5F0CB8"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и недостатков хватало. Так, в выводах по результатам испы</w:t>
      </w:r>
      <w:r w:rsidRPr="0044524F">
        <w:rPr>
          <w:rFonts w:ascii="Times New Roman" w:hAnsi="Times New Roman"/>
          <w:color w:val="000000" w:themeColor="text1"/>
          <w:sz w:val="16"/>
          <w:szCs w:val="16"/>
        </w:rPr>
        <w:softHyphen/>
        <w:t>таний начальник курса Лебедевский, наряду с достоинствами машины, отмечал:</w:t>
      </w:r>
    </w:p>
    <w:p w14:paraId="1C77AADD"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«1. Бр.д.л., имея положительные и отрицательные свойства броне</w:t>
      </w:r>
      <w:r w:rsidRPr="0044524F">
        <w:rPr>
          <w:rFonts w:ascii="Times New Roman" w:cs="Times New Roman"/>
          <w:color w:val="000000" w:themeColor="text1"/>
          <w:spacing w:val="0"/>
          <w:sz w:val="16"/>
          <w:szCs w:val="16"/>
        </w:rPr>
        <w:softHyphen/>
        <w:t>автомобиля «Д-8», при движении по жел. дор. пути не может компен</w:t>
      </w:r>
      <w:r w:rsidRPr="0044524F">
        <w:rPr>
          <w:rFonts w:ascii="Times New Roman" w:cs="Times New Roman"/>
          <w:color w:val="000000" w:themeColor="text1"/>
          <w:spacing w:val="0"/>
          <w:sz w:val="16"/>
          <w:szCs w:val="16"/>
        </w:rPr>
        <w:softHyphen/>
        <w:t>сировать поворотливостью ограниченный угол обстрела своих пулеме</w:t>
      </w:r>
      <w:r w:rsidRPr="0044524F">
        <w:rPr>
          <w:rFonts w:ascii="Times New Roman" w:cs="Times New Roman"/>
          <w:color w:val="000000" w:themeColor="text1"/>
          <w:spacing w:val="0"/>
          <w:sz w:val="16"/>
          <w:szCs w:val="16"/>
        </w:rPr>
        <w:softHyphen/>
        <w:t>тов и при движении задним ходом имеет недостаточную скорость (до 10 клм./ч); поворот брдл на 180 град, и переход на грунт (и обратно) под действительным огнем пр-ка невозможен.</w:t>
      </w:r>
    </w:p>
    <w:p w14:paraId="35E2A6B8" w14:textId="77777777" w:rsidR="004050DA" w:rsidRPr="0044524F" w:rsidRDefault="004050DA" w:rsidP="009654CF">
      <w:pPr>
        <w:pStyle w:val="19"/>
        <w:shd w:val="clear" w:color="auto" w:fill="auto"/>
        <w:spacing w:line="240" w:lineRule="auto"/>
        <w:jc w:val="both"/>
        <w:rPr>
          <w:rFonts w:ascii="Times New Roman" w:hAnsi="Times New Roman" w:cs="Times New Roman"/>
          <w:color w:val="000000" w:themeColor="text1"/>
          <w:sz w:val="16"/>
          <w:szCs w:val="16"/>
        </w:rPr>
      </w:pPr>
      <w:bookmarkStart w:id="28" w:name="bookmark3"/>
      <w:r w:rsidRPr="0044524F">
        <w:rPr>
          <w:rFonts w:ascii="Times New Roman" w:hAnsi="Times New Roman" w:cs="Times New Roman"/>
          <w:color w:val="000000" w:themeColor="text1"/>
          <w:sz w:val="16"/>
          <w:szCs w:val="16"/>
        </w:rPr>
        <w:lastRenderedPageBreak/>
        <w:t>(...)</w:t>
      </w:r>
      <w:bookmarkEnd w:id="28"/>
    </w:p>
    <w:p w14:paraId="5322B0CB"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4. Специальное оборудование:</w:t>
      </w:r>
    </w:p>
    <w:p w14:paraId="74E52E50"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а) Съемные диски с ребордами и резиновыми шинами крепятся к колесам надежно и просто; взаимозаменяемость или обеспечение уста</w:t>
      </w:r>
      <w:r w:rsidRPr="0044524F">
        <w:rPr>
          <w:rFonts w:ascii="Times New Roman" w:cs="Times New Roman"/>
          <w:color w:val="000000" w:themeColor="text1"/>
          <w:spacing w:val="0"/>
          <w:sz w:val="16"/>
          <w:szCs w:val="16"/>
        </w:rPr>
        <w:softHyphen/>
        <w:t>новки дисков задних колес на передние (и наоборот) - необходимы. Из 4 дисков 2 пришли в негодность из-за износа резиновых шин: диск левого переднего колеса после экстренного торможения на скорости 75 клм./ч. - на 730 клм.; диск левого заднего колеса -на 212 клм. скоростного про</w:t>
      </w:r>
      <w:r w:rsidRPr="0044524F">
        <w:rPr>
          <w:rFonts w:ascii="Times New Roman" w:cs="Times New Roman"/>
          <w:color w:val="000000" w:themeColor="text1"/>
          <w:spacing w:val="0"/>
          <w:sz w:val="16"/>
          <w:szCs w:val="16"/>
        </w:rPr>
        <w:softHyphen/>
        <w:t>бега на 1012 клм. Шина 2-го диска имела роговую прослойку.</w:t>
      </w:r>
    </w:p>
    <w:p w14:paraId="172EB9B6" w14:textId="77777777" w:rsidR="004050DA" w:rsidRPr="0044524F" w:rsidRDefault="004050DA" w:rsidP="009654CF">
      <w:pPr>
        <w:pStyle w:val="3b"/>
        <w:shd w:val="clear" w:color="auto" w:fill="auto"/>
        <w:spacing w:before="0" w:after="0" w:line="240" w:lineRule="auto"/>
        <w:jc w:val="both"/>
        <w:rPr>
          <w:color w:val="000000" w:themeColor="text1"/>
          <w:spacing w:val="0"/>
          <w:sz w:val="16"/>
          <w:szCs w:val="16"/>
        </w:rPr>
      </w:pPr>
      <w:bookmarkStart w:id="29" w:name="bookmark4"/>
      <w:r w:rsidRPr="0044524F">
        <w:rPr>
          <w:color w:val="000000" w:themeColor="text1"/>
          <w:spacing w:val="0"/>
          <w:sz w:val="16"/>
          <w:szCs w:val="16"/>
        </w:rPr>
        <w:t>(...)</w:t>
      </w:r>
      <w:bookmarkEnd w:id="29"/>
    </w:p>
    <w:p w14:paraId="76973E53"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г) Подъемное приспособление: домкрат имел две поломки. Всю тя</w:t>
      </w:r>
      <w:r w:rsidRPr="0044524F">
        <w:rPr>
          <w:rFonts w:ascii="Times New Roman" w:cs="Times New Roman"/>
          <w:color w:val="000000" w:themeColor="text1"/>
          <w:spacing w:val="0"/>
          <w:sz w:val="16"/>
          <w:szCs w:val="16"/>
        </w:rPr>
        <w:softHyphen/>
        <w:t>жесть брдл при подъемке принимает на себя дно, приклепанное к кор-</w:t>
      </w:r>
    </w:p>
    <w:p w14:paraId="233EF3BC" w14:textId="77777777" w:rsidR="004050DA" w:rsidRPr="0044524F" w:rsidRDefault="004050DA" w:rsidP="009654CF">
      <w:pPr>
        <w:pStyle w:val="5a"/>
        <w:shd w:val="clear" w:color="auto" w:fill="auto"/>
        <w:spacing w:line="240" w:lineRule="auto"/>
        <w:ind w:firstLine="0"/>
        <w:jc w:val="both"/>
        <w:rPr>
          <w:rFonts w:ascii="Times New Roman" w:hAnsi="Times New Roman"/>
          <w:color w:val="000000" w:themeColor="text1"/>
          <w:spacing w:val="0"/>
          <w:sz w:val="16"/>
          <w:szCs w:val="16"/>
        </w:rPr>
      </w:pPr>
      <w:r w:rsidRPr="0044524F">
        <w:rPr>
          <w:rFonts w:ascii="Times New Roman" w:hAnsi="Times New Roman"/>
          <w:color w:val="000000" w:themeColor="text1"/>
          <w:spacing w:val="0"/>
          <w:sz w:val="16"/>
          <w:szCs w:val="16"/>
        </w:rPr>
        <w:t>Легкая броневая дрезина на железнодорожном ходу. Съемные диски устанавливались поверх автомобильных колес.</w:t>
      </w:r>
    </w:p>
    <w:p w14:paraId="41193742"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пусу домкрата; последний изготовлен из мягкого железа. При поломках срезались заклепки, корпус домкрата и дно его перекашивались, шари</w:t>
      </w:r>
      <w:r w:rsidRPr="0044524F">
        <w:rPr>
          <w:rFonts w:ascii="Times New Roman" w:cs="Times New Roman"/>
          <w:color w:val="000000" w:themeColor="text1"/>
          <w:spacing w:val="0"/>
          <w:sz w:val="16"/>
          <w:szCs w:val="16"/>
        </w:rPr>
        <w:softHyphen/>
        <w:t>ки из упорного подшипника выпадали. Корпус домкрата и дно его долж</w:t>
      </w:r>
      <w:r w:rsidRPr="0044524F">
        <w:rPr>
          <w:rFonts w:ascii="Times New Roman" w:cs="Times New Roman"/>
          <w:color w:val="000000" w:themeColor="text1"/>
          <w:spacing w:val="0"/>
          <w:sz w:val="16"/>
          <w:szCs w:val="16"/>
        </w:rPr>
        <w:softHyphen/>
        <w:t>ны быть прочнее и абсолютно жесткими.</w:t>
      </w:r>
    </w:p>
    <w:p w14:paraId="7F69AF25" w14:textId="77777777" w:rsidR="004050DA" w:rsidRPr="0044524F" w:rsidRDefault="004050DA" w:rsidP="009654CF">
      <w:pPr>
        <w:pStyle w:val="321"/>
        <w:shd w:val="clear" w:color="auto" w:fill="auto"/>
        <w:spacing w:line="240" w:lineRule="auto"/>
        <w:ind w:firstLine="0"/>
        <w:jc w:val="both"/>
        <w:outlineLvl w:val="9"/>
        <w:rPr>
          <w:rFonts w:ascii="Times New Roman" w:hAnsi="Times New Roman" w:cs="Times New Roman"/>
          <w:color w:val="000000" w:themeColor="text1"/>
          <w:sz w:val="16"/>
          <w:szCs w:val="16"/>
        </w:rPr>
      </w:pPr>
      <w:bookmarkStart w:id="30" w:name="bookmark5"/>
      <w:r w:rsidRPr="0044524F">
        <w:rPr>
          <w:rFonts w:ascii="Times New Roman" w:hAnsi="Times New Roman" w:cs="Times New Roman"/>
          <w:color w:val="000000" w:themeColor="text1"/>
          <w:sz w:val="16"/>
          <w:szCs w:val="16"/>
        </w:rPr>
        <w:t>(...)</w:t>
      </w:r>
      <w:bookmarkEnd w:id="30"/>
    </w:p>
    <w:p w14:paraId="14712C49"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ж) Деревянные мостки - пришли в полную негодность. При исполь</w:t>
      </w:r>
      <w:r w:rsidRPr="0044524F">
        <w:rPr>
          <w:rFonts w:ascii="Times New Roman" w:cs="Times New Roman"/>
          <w:color w:val="000000" w:themeColor="text1"/>
          <w:spacing w:val="0"/>
          <w:sz w:val="16"/>
          <w:szCs w:val="16"/>
        </w:rPr>
        <w:softHyphen/>
        <w:t>зовании требуется особая бдительность экипажа брдл: переход перед</w:t>
      </w:r>
      <w:r w:rsidRPr="0044524F">
        <w:rPr>
          <w:rFonts w:ascii="Times New Roman" w:cs="Times New Roman"/>
          <w:color w:val="000000" w:themeColor="text1"/>
          <w:spacing w:val="0"/>
          <w:sz w:val="16"/>
          <w:szCs w:val="16"/>
        </w:rPr>
        <w:softHyphen/>
        <w:t>них колес через наружную нитку рельс наблюдается часто. Предупреж</w:t>
      </w:r>
      <w:r w:rsidRPr="0044524F">
        <w:rPr>
          <w:rFonts w:ascii="Times New Roman" w:cs="Times New Roman"/>
          <w:color w:val="000000" w:themeColor="text1"/>
          <w:spacing w:val="0"/>
          <w:sz w:val="16"/>
          <w:szCs w:val="16"/>
        </w:rPr>
        <w:softHyphen/>
        <w:t>дение износа - крепление мостков от погружения в балласт».</w:t>
      </w:r>
    </w:p>
    <w:p w14:paraId="54BC9A26"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Выяснилось, что при неполной боевой на</w:t>
      </w:r>
      <w:r w:rsidRPr="0044524F">
        <w:rPr>
          <w:rFonts w:ascii="Times New Roman" w:hAnsi="Times New Roman"/>
          <w:color w:val="000000" w:themeColor="text1"/>
          <w:sz w:val="16"/>
          <w:szCs w:val="16"/>
        </w:rPr>
        <w:softHyphen/>
        <w:t>грузке (если, например, отсутствовали воору</w:t>
      </w:r>
      <w:r w:rsidRPr="0044524F">
        <w:rPr>
          <w:rFonts w:ascii="Times New Roman" w:hAnsi="Times New Roman"/>
          <w:color w:val="000000" w:themeColor="text1"/>
          <w:sz w:val="16"/>
          <w:szCs w:val="16"/>
        </w:rPr>
        <w:softHyphen/>
        <w:t>жение или боеприпасы и передняя часть «брдл» становилась тяжелее задней), установить маши</w:t>
      </w:r>
      <w:r w:rsidRPr="0044524F">
        <w:rPr>
          <w:rFonts w:ascii="Times New Roman" w:hAnsi="Times New Roman"/>
          <w:color w:val="000000" w:themeColor="text1"/>
          <w:sz w:val="16"/>
          <w:szCs w:val="16"/>
        </w:rPr>
        <w:softHyphen/>
        <w:t>ну на рельсы правильно (или снять для движения по грунту) с помощью домкрата экипаж из двух человек не мог. Требовалось привлекать до</w:t>
      </w:r>
      <w:r w:rsidRPr="0044524F">
        <w:rPr>
          <w:rFonts w:ascii="Times New Roman" w:hAnsi="Times New Roman"/>
          <w:color w:val="000000" w:themeColor="text1"/>
          <w:sz w:val="16"/>
          <w:szCs w:val="16"/>
        </w:rPr>
        <w:softHyphen/>
        <w:t>полнительные силы и средства, что в боевых ус</w:t>
      </w:r>
      <w:r w:rsidRPr="0044524F">
        <w:rPr>
          <w:rFonts w:ascii="Times New Roman" w:hAnsi="Times New Roman"/>
          <w:color w:val="000000" w:themeColor="text1"/>
          <w:sz w:val="16"/>
          <w:szCs w:val="16"/>
        </w:rPr>
        <w:softHyphen/>
        <w:t>ловиях далеко не всегда было возможно. Кроме того, при движении машины в боевом порядке (с закрытыми люками) обзор из нее признали явно недостаточным.</w:t>
      </w:r>
    </w:p>
    <w:p w14:paraId="62729565" w14:textId="77777777" w:rsidR="004050DA" w:rsidRPr="0044524F" w:rsidRDefault="004050DA" w:rsidP="009654CF">
      <w:pPr>
        <w:spacing w:after="0" w:line="240" w:lineRule="auto"/>
        <w:jc w:val="both"/>
        <w:rPr>
          <w:rStyle w:val="aff5"/>
          <w:rFonts w:ascii="Times New Roman" w:hAnsi="Times New Roman" w:cs="Times New Roman"/>
          <w:i w:val="0"/>
          <w:color w:val="000000" w:themeColor="text1"/>
        </w:rPr>
      </w:pPr>
      <w:r w:rsidRPr="0044524F">
        <w:rPr>
          <w:rFonts w:ascii="Times New Roman" w:hAnsi="Times New Roman"/>
          <w:color w:val="000000" w:themeColor="text1"/>
          <w:sz w:val="16"/>
          <w:szCs w:val="16"/>
        </w:rPr>
        <w:t>Дальнейшие работы по легким бронедрези</w:t>
      </w:r>
      <w:r w:rsidRPr="0044524F">
        <w:rPr>
          <w:rFonts w:ascii="Times New Roman" w:hAnsi="Times New Roman"/>
          <w:color w:val="000000" w:themeColor="text1"/>
          <w:sz w:val="16"/>
          <w:szCs w:val="16"/>
        </w:rPr>
        <w:softHyphen/>
        <w:t>нам на основе бронеавтомобиля Д-8 прекратили. Тем не менее, на основе опытной эксплуатации «брдл» в Ленинграде составили временную ин</w:t>
      </w:r>
      <w:r w:rsidRPr="0044524F">
        <w:rPr>
          <w:rFonts w:ascii="Times New Roman" w:hAnsi="Times New Roman"/>
          <w:color w:val="000000" w:themeColor="text1"/>
          <w:sz w:val="16"/>
          <w:szCs w:val="16"/>
        </w:rPr>
        <w:softHyphen/>
        <w:t>струкцию</w:t>
      </w:r>
      <w:r w:rsidRPr="0044524F">
        <w:rPr>
          <w:rStyle w:val="aff5"/>
          <w:rFonts w:ascii="Times New Roman" w:hAnsi="Times New Roman" w:cs="Times New Roman"/>
          <w:i w:val="0"/>
          <w:color w:val="000000" w:themeColor="text1"/>
        </w:rPr>
        <w:t xml:space="preserve"> «по службе на бронедрезинах» (12737).</w:t>
      </w:r>
    </w:p>
    <w:p w14:paraId="60DA2B9E" w14:textId="77777777" w:rsidR="004050DA" w:rsidRPr="0044524F" w:rsidRDefault="004050DA" w:rsidP="009654CF">
      <w:pPr>
        <w:spacing w:after="0" w:line="240" w:lineRule="auto"/>
        <w:jc w:val="both"/>
        <w:rPr>
          <w:rFonts w:ascii="Times New Roman" w:hAnsi="Times New Roman"/>
          <w:color w:val="000000" w:themeColor="text1"/>
          <w:sz w:val="16"/>
          <w:szCs w:val="16"/>
        </w:rPr>
      </w:pPr>
    </w:p>
    <w:p w14:paraId="2CC823C4"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510E81A"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4A4F560"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лидер коммунистов Украины П. Постышев объявил о массовых арестах среди буржуазной интеллигенции Украины (4962).</w:t>
      </w:r>
    </w:p>
    <w:p w14:paraId="07664C1B"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824E5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1932 Первый секретарь обкома и председатель облисполкома ЦЧО получили правительственную депешу следующего содержания: "Предлагаю вам обеспечить во что бы то ни стало первую сдачу [хлеба нового урожая]... Никакие уклонения от выполнения плана... не должны быть допущены ни под каким видом... Молотов,Сталин" (10687).</w:t>
      </w:r>
    </w:p>
    <w:p w14:paraId="7403879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46748F2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22 и 29 июня 1933. Из протокола заседания Политбюро N 140, 1933 г.</w:t>
      </w:r>
    </w:p>
    <w:p w14:paraId="00A5B8E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т. Шостаковиче </w:t>
      </w:r>
    </w:p>
    <w:p w14:paraId="70B2F33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Объявить т. Шостаковичу строгий выговор за политически недопустимую выходку (посылка из-за границы открытой телеграммы со ссылкой на Политбюро) (11652). </w:t>
      </w:r>
    </w:p>
    <w:p w14:paraId="1C2996D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028D9AD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22 и 29 июня 1933. Из протокола заседания Политбюро N 140, 1933 г.</w:t>
      </w:r>
    </w:p>
    <w:p w14:paraId="0D79FBE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финансировании коммунального хозяйства городов УССР </w:t>
      </w:r>
    </w:p>
    <w:p w14:paraId="1BC29A6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Удовлетворить за счет резервного фонда СНК СССР ходатайство Украины о дополнительных ассигнованиях в 1933 году на капитальное строительство коммунального хозяйства: по гор. Киеву — 4,4 млн руб., по гор. Одессе — 4,4 млн. руб., всего по Украине на 8,8 млн рублей (11652).</w:t>
      </w:r>
    </w:p>
    <w:p w14:paraId="13AB249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27A751EE"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8FEDD38"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4798B4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22 июня</w:t>
      </w:r>
      <w:r w:rsidRPr="0044524F">
        <w:rPr>
          <w:rFonts w:ascii="Times New Roman" w:hAnsi="Times New Roman"/>
          <w:color w:val="000000" w:themeColor="text1"/>
          <w:sz w:val="16"/>
          <w:szCs w:val="16"/>
        </w:rPr>
        <w:t xml:space="preserve"> в 1933 году выпущен опытный самолет, </w:t>
      </w:r>
      <w:hyperlink r:id="rId223" w:tgtFrame="_blank" w:history="1">
        <w:r w:rsidRPr="0044524F">
          <w:rPr>
            <w:rFonts w:ascii="Times New Roman" w:hAnsi="Times New Roman"/>
            <w:color w:val="000000" w:themeColor="text1"/>
            <w:sz w:val="16"/>
            <w:szCs w:val="16"/>
          </w:rPr>
          <w:t xml:space="preserve">«Douglas» «DC-1» </w:t>
        </w:r>
      </w:hyperlink>
      <w:r w:rsidRPr="0044524F">
        <w:rPr>
          <w:rFonts w:ascii="Times New Roman" w:hAnsi="Times New Roman"/>
          <w:color w:val="000000" w:themeColor="text1"/>
          <w:sz w:val="16"/>
          <w:szCs w:val="16"/>
        </w:rPr>
        <w:t>(«DC» - «Douglas Commercial»), и оснащенный двумя двигателями «Wright» «R-1820» «Cyclone», совершил свой первый полет 1 июля. Самолет «DC-1», однако, никогда не эксплуатировался в пассажирских перевозках, а использовался только в рекламных целях. К ним относился и рекордный перелет между Атлантическим и Тихоокеанским побережьями США в ночь с 18 на 19 февраля 1934 года, длившийся 13 часов 4 минуты (14930).</w:t>
      </w:r>
    </w:p>
    <w:p w14:paraId="05E200A3" w14:textId="77777777" w:rsidR="003417C8" w:rsidRPr="0044524F" w:rsidRDefault="003417C8" w:rsidP="009654CF">
      <w:pPr>
        <w:spacing w:after="0" w:line="240" w:lineRule="auto"/>
        <w:jc w:val="both"/>
        <w:rPr>
          <w:rFonts w:ascii="Times New Roman" w:hAnsi="Times New Roman"/>
          <w:color w:val="000000" w:themeColor="text1"/>
          <w:sz w:val="16"/>
          <w:szCs w:val="16"/>
        </w:rPr>
      </w:pPr>
    </w:p>
    <w:p w14:paraId="4A3F23C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А.Гитлер запретил все политические партии кроме национал-социалистической (2100).</w:t>
      </w:r>
    </w:p>
    <w:p w14:paraId="734BD2A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3EDDDA5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г. решением правительства Гитлера была распущена СДПГ. Затем наступил черед буржуазных партий: 4 июля 1933 г. немецкая национальная народная партия и Баварская народная партия (соответственно 53 и 19 мандатов на последних выборах) заявили о своем самороспуске; 5 июля самораспустилась католическая партия Центра (73 мандата). 7 июля были объявлены недействительными полномочия депутатов СДПГ всех уровней. 14 июля был издан закон, запрещавший существование в Германии какой-либо партии, кроме НСДАП. И довершил установление национал-социалистического режима закон «об обеспечении единства партии и государства», объявивший НСДАП «носительницей немецкой государственной мысли» (Reichsgesetzblatt, 1933, Bd.I. S. 1016). Наконец, специальным постановлением Гитлера уже в 1937 г., когда последние беспартийные министры Шахт, Нойрат и др. вступили в НСДАП, было решено, что любое назначение на государственную должность, произведенное без согласия НСДАП, считалось недействительным. (Розанов Г. Л. Указ. соч. с. 102) (11784).</w:t>
      </w:r>
    </w:p>
    <w:p w14:paraId="600EFF8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3A6D7413"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июня 1933 государственным чиновникам Германии предписано доносить на инакомыслящих коллег (4962).</w:t>
      </w:r>
    </w:p>
    <w:p w14:paraId="140ABFD1"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6D7044"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078DB83"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789FF5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июня 1933 НИИ ВВС дал заключение о предварительных испытаниях на земле И-5 N 21117 эталона на 1933 (1041).</w:t>
      </w:r>
    </w:p>
    <w:p w14:paraId="741582C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7846BB6B" w14:textId="77777777" w:rsidR="00664564" w:rsidRPr="0044524F" w:rsidRDefault="0066456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июня 1933 года было подписано заключение НИИ ВВС о предварительном испытании на земле самолета И-5 № 21117 эталона 1933 года, пред"явленного ЦАГИ на государственные испытания (10757).</w:t>
      </w:r>
    </w:p>
    <w:p w14:paraId="4C9101D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71FF71D6"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23 июня по 26 июля 1933 года в Борисоглебской школе проходили войсковые испытания вооруженного самолета У-2 М-11 (6644).</w:t>
      </w:r>
    </w:p>
    <w:p w14:paraId="6FBF0072"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0D81103A"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7 сектора Калилец</w:t>
      </w:r>
    </w:p>
    <w:p w14:paraId="2B582975"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w:t>
      </w:r>
    </w:p>
    <w:p w14:paraId="703B43AB"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Агеев</w:t>
      </w:r>
    </w:p>
    <w:p w14:paraId="2C9FF2FB"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Чугунов</w:t>
      </w:r>
    </w:p>
    <w:p w14:paraId="0F394467"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2301E642"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летно-тактические и эксплуатационные данные вооруженного самолета У-2, исходя из возможности использования его для боевой и тактической подготовки летного состава (летчиков и летчиков-наблюдателей).</w:t>
      </w:r>
    </w:p>
    <w:p w14:paraId="1AEB265B"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4A2B2343"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возможным после устранения дефектов вооруженный самолет У-2 допустить к серийному производству.</w:t>
      </w:r>
    </w:p>
    <w:p w14:paraId="73F48FA3"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испытаний</w:t>
      </w:r>
    </w:p>
    <w:p w14:paraId="0837594D"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испытаниях принимали участие 3 самолета У-2 М-11 2-ой Борисоглебской Школы летчиков (6644).</w:t>
      </w:r>
    </w:p>
    <w:p w14:paraId="4E69A6D4"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631F44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июня 1933 состоялось заседание техкомиссии по подготовке рекордного перелета (1102).</w:t>
      </w:r>
    </w:p>
    <w:p w14:paraId="0574F26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728526F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23-го июня 1933 г. приемочная комиссия советского торгпредства приняла от фирмы Дорнье Дорнье "Валь" СССР-Н9 - Заводской № 238, двигатели - 2 М-17 (так в документе), дата присвоения опознавательного знака с литерой "Н" - 22.08.33 г. Самолет более совершенной конструкции. 27 июля машина вылетела в Ленинград, где должна была проходить испытания. Окончание испытаний планировалось на 1 сентября, после чего самолет должен был отправиться в Карское море для ледовой разведки и вывозки пушнины с дальних пунктов.</w:t>
      </w:r>
    </w:p>
    <w:p w14:paraId="7935F7F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Первый сезон эксплуатации СССР-Н9 оказался неудачным по причине поломки двигателя в бухте Пойндте. Необходимо было заменить два поршня кормового мотора. На выручку экипажа 10-го сентября с запасными частями прибыл "Валь" СССР-Н2. Предполагалось лететь на базу на одном моторе, но за час до взлета у бортмеханика возникло подозрение еще и на задир поршней носового мотора. Перелет на базу был отставлен, и самолет погрузили на борт подошедшего судна (11970).</w:t>
      </w:r>
    </w:p>
    <w:p w14:paraId="2676141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AEDCF7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июня 1933 машину Дорнье "Валь" СССР-Н10 - Заводской № 239, двигатели - 2 М-17, дата присвоения опознавательного знака с литерой "Н" - 22.08.33 г., как и родственную СССР- Н9, комиссия Торгпредства приняла от фирмы Дорнье. Из-за границы самолет прибыл только 23 августа, после чего встал на длительные испытания в Ленинграде совместно с комиссией НИИ ВВС. Из Ленинграда СССР-НЮ вылетел в устье Енисея для выполнения транспортных полетов только в октябре 1933 г. Экипаж летающей лодки состоял из командира летчика Рябенко, второго пилота Жихарева, бортмехаников Орлова и Ивашины. Кроме экипажа, на борту находились два пассажира. В районе Матюйсале (у входа в Гыданскую губу) летчики заблудились в тумане, выработали почти все горючее и приводнились вблизи от зимовки Грудицкого. На зимовке бензина не было, имелся только керосин, которым полярники поделились с авиаторами. По воде уже плавали льдины, и тянуть с отлетом было нельзя.</w:t>
      </w:r>
    </w:p>
    <w:p w14:paraId="303BB2B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Взлетев на остатках бензина, пилоты переключили питание моторов на керосин. Моторы сильно задымили, но продолжали тянуть самолет. Курс взяли на Гыдо-Ямо, где рассчитывали заправить машину.</w:t>
      </w:r>
    </w:p>
    <w:p w14:paraId="7D42C9D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Налетевшая пурга снова сбила пилотов с курса. Когда, минут через 50 видимость улучшилась, под гидропланом расстилался сплошной лед. Почти одновременно моторы начали "чихать" - керосин был на исходе. Заметив небольшую полынью, Рябенко немедленно пошел на посадку. Сели в Гыдоямском заливе, однако точное место посадки было не известно.</w:t>
      </w:r>
    </w:p>
    <w:p w14:paraId="064687B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Две недели экипаж и пассажиры провели на самолете. Погода не улучшалась, стоял густой туман. На 14-й день Жихареву, Ивашине и одному из пассажиров удалось на клиппер- боте добраться до края полыньи. Лед оказался слабым и с трудом выдерживал стоящего человека. Несколько километров (!) Ивашина с товарищами ползком тащил лодку с припасами до твердого льда. Здесь авиаторы разделились: Ивашина отправился обратно на гидроплан; двое других пошли за помощью.</w:t>
      </w:r>
    </w:p>
    <w:p w14:paraId="5AD130F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 временем площадь открытой воды все время уменьшалась, самолет обледеневал, осадка его увеличивалась, кончалось продовольствие. Законсервировав подручными средствами оборудование, экипаж высадился на берег.</w:t>
      </w:r>
    </w:p>
    <w:p w14:paraId="264FC05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Вскоре вернулся 2-й пилот Жихарев с известием, что им удалось найти рыбаков, с помощью которых добрались до Гыдо-Ямо. Здесь был бензин, и на нартах его привезли к месту посадки. Погрузив два бидона на клиппер-бот, Рябенко и Ивашина отправились на самолет. При причаливании острой сосулькой, свисавшей с борта, пробило резиновую лодку. Залив в бак первый бидон, Ивашина неожиданно обнаружил течь из поврежденного бензопровода - первый бидон потратили впустую. Заделав трещину и, взявшись за второй бидон, бортмеханик с удивлением обнаружил в нем вместо бензина масло.</w:t>
      </w:r>
    </w:p>
    <w:p w14:paraId="5C923F7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Переночевав, Рябенко и Ивашина заклеили пробоину на клиппер-боте и вернулись на берег. Обратный путь занял почти весь день.</w:t>
      </w:r>
    </w:p>
    <w:p w14:paraId="719A8A9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следующий день с четырьмя бидонами авиаторы вернулись к машине. Залили горючее и попробовали запустить моторы, но не удачно. Бензин оказался по качеству хуже керосина, не помог даже прогрев моторов кипятком.</w:t>
      </w:r>
    </w:p>
    <w:p w14:paraId="50C4413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Убедившись, что силами экипажа самолет освободить из ледового плена невозможно, отправились за помощью. В начале ноября удалось собрать бригаду из 16 человек, достали инструмент и материалы. С немалыми трудностями удалось вырубить СССР-НЮ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14078E6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00EF366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Решили подвести к лодке воду протекавшей неподалеку речки. Две недели ушло на рытье канала. Еще трое суток Жихарев и Ивашина "по бурлацки"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Гыдо-Ямо на моторах. 23 августа экипаж Махоткина доставил сюда дополнительный бензин, после чего самолет перелетел для проведения ремонта в Красноярск (11970).</w:t>
      </w:r>
    </w:p>
    <w:p w14:paraId="7406C23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4256A089"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0598F40"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6D937C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июня 1933 г. Крестинский, явно встревоженный «меморандумом Хугенберга», в очередном ориентировочном письме Хинчуку писал, что данный меморандум отнюдь не является единичным выступлением Хугенберга, а «представляет из себя строго продуманный акт германского правительства в целом. &lt;...&gt; Гермпра готово принять участие в военной коалиции против нас, готово выставить основные военные силы для войны с нами и требует за это лишь двух вещей — свободы вооружений и компенсаций за счет СССР. &lt;...&gt; Нам прежде всего нужно будет помнить, что дружественным уверениям гермпра верить нельзя, что в более отдаленные политические планы Германии входит война с нами, что нынешнее положение является лишь временной передышкой» (АВП РФ, ф. 082, оп. 16, п. 71, д. 1, л. 266-267.) (11784). «Меморандум Хугенберга» напрочь отрезал пути возврата к «рапалльской политике», — в нем почти неприкрыто прозвучал призыв к войне против СССР. После этого переориентация СССР с Германии на Францию и Польшу стала уже лишь «делом техники». В начале июля 1933 г. Москва предложила Парижу заключить негласное и устное двустороннее джентльменское соглашение о взаимном обмене информацией по важнейшим проблемам обстановки в Европе, а также по соглашениям, которые каждая из сторон намеревалась заключать с третьими странами (Максимычев И. Ф. Указ, соч, с. 48—49.). 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663EC47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103A88E"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4660037"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0D3D9D4" w14:textId="77777777" w:rsidR="00E5244A" w:rsidRPr="0044524F" w:rsidRDefault="00E524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июня 1933 состоялся первый полет Couzinet 100 (20802).</w:t>
      </w:r>
    </w:p>
    <w:p w14:paraId="1A5868FE" w14:textId="77777777" w:rsidR="00E5244A" w:rsidRPr="0044524F" w:rsidRDefault="00E5244A" w:rsidP="009654CF">
      <w:pPr>
        <w:spacing w:after="0" w:line="240" w:lineRule="auto"/>
        <w:jc w:val="both"/>
        <w:rPr>
          <w:rFonts w:ascii="Times New Roman" w:hAnsi="Times New Roman"/>
          <w:color w:val="000000" w:themeColor="text1"/>
          <w:sz w:val="16"/>
          <w:szCs w:val="16"/>
        </w:rPr>
      </w:pPr>
    </w:p>
    <w:p w14:paraId="6823136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June 23, 1933 Macon (ZRS-5), having made its first flight on 21 April, was commissioned at Akron, Ohio, with Commander Alger H. Dressel as Commanding Officer (1090).</w:t>
      </w:r>
    </w:p>
    <w:p w14:paraId="24AC0C9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lang w:val="en-US"/>
        </w:rPr>
      </w:pPr>
    </w:p>
    <w:p w14:paraId="776BE33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июня 1933 был принят дирижабль Macon (ZRS-5), который первый полет выполнил 21 апреля 1933 (1090).</w:t>
      </w:r>
    </w:p>
    <w:p w14:paraId="00F846B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4FBE9C72"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E84AECF"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3FE02AA" w14:textId="77777777" w:rsidR="00DE09B3" w:rsidRPr="00142305" w:rsidRDefault="00DE09B3" w:rsidP="00DE0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 июня 1933 г. гидроплан АИР-6А участвовал в спортивном празднике общества «Ди</w:t>
      </w:r>
      <w:r w:rsidRPr="00142305">
        <w:rPr>
          <w:rFonts w:ascii="Times New Roman" w:hAnsi="Times New Roman"/>
          <w:color w:val="0070C0"/>
          <w:sz w:val="16"/>
          <w:szCs w:val="16"/>
        </w:rPr>
        <w:softHyphen/>
        <w:t>намо», проходившем на водной станции напротив Центрального парка культуры и отдыха им. Горького (24945).</w:t>
      </w:r>
    </w:p>
    <w:p w14:paraId="32B9019C" w14:textId="77777777" w:rsidR="00DE09B3" w:rsidRPr="00142305" w:rsidRDefault="00DE09B3" w:rsidP="00DE09B3">
      <w:pPr>
        <w:spacing w:after="0" w:line="240" w:lineRule="auto"/>
        <w:jc w:val="both"/>
        <w:rPr>
          <w:rFonts w:ascii="Times New Roman" w:hAnsi="Times New Roman"/>
          <w:color w:val="0070C0"/>
          <w:sz w:val="16"/>
          <w:szCs w:val="16"/>
        </w:rPr>
      </w:pPr>
    </w:p>
    <w:p w14:paraId="233327F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24 июня по 13 ноября 1933 проходили полигонные (государственные) испытания торпеды высокого торпедометания образца 1912 года (ТАВ-12) (3053).</w:t>
      </w:r>
    </w:p>
    <w:p w14:paraId="7C92319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0F851A11"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045B840"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DBA19F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июня 1933 Гл. и-механик ВВС Аузан послал П.И.Баранову проект постановления РВС "О ходе выполнения плана опытного самолето- и моторостроения и вооружения авиации". Констатировали, что план не выполнен. Дали предложения по первоочередным и решающим машинам на 1933 (1025,81):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1418"/>
        <w:gridCol w:w="1276"/>
        <w:gridCol w:w="1417"/>
        <w:gridCol w:w="1276"/>
        <w:gridCol w:w="1842"/>
      </w:tblGrid>
      <w:tr w:rsidR="004E10C1" w:rsidRPr="0044524F" w14:paraId="0008F7A2" w14:textId="77777777">
        <w:tc>
          <w:tcPr>
            <w:tcW w:w="2376" w:type="dxa"/>
          </w:tcPr>
          <w:p w14:paraId="3782BA6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1418" w:type="dxa"/>
          </w:tcPr>
          <w:p w14:paraId="2D34CC1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Литер</w:t>
            </w:r>
          </w:p>
        </w:tc>
        <w:tc>
          <w:tcPr>
            <w:tcW w:w="1276" w:type="dxa"/>
          </w:tcPr>
          <w:p w14:paraId="5D85C0B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w:t>
            </w:r>
          </w:p>
        </w:tc>
        <w:tc>
          <w:tcPr>
            <w:tcW w:w="1417" w:type="dxa"/>
          </w:tcPr>
          <w:p w14:paraId="6F3F98E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Материал</w:t>
            </w:r>
          </w:p>
        </w:tc>
        <w:tc>
          <w:tcPr>
            <w:tcW w:w="1276" w:type="dxa"/>
          </w:tcPr>
          <w:p w14:paraId="75D8CC7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Заменяет</w:t>
            </w:r>
          </w:p>
        </w:tc>
        <w:tc>
          <w:tcPr>
            <w:tcW w:w="1842" w:type="dxa"/>
          </w:tcPr>
          <w:p w14:paraId="192A1F8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Примечания</w:t>
            </w:r>
          </w:p>
        </w:tc>
      </w:tr>
      <w:tr w:rsidR="004E10C1" w:rsidRPr="0044524F" w14:paraId="6C443586" w14:textId="77777777">
        <w:tc>
          <w:tcPr>
            <w:tcW w:w="2376" w:type="dxa"/>
          </w:tcPr>
          <w:p w14:paraId="7310B70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плановые:</w:t>
            </w:r>
          </w:p>
        </w:tc>
        <w:tc>
          <w:tcPr>
            <w:tcW w:w="1418" w:type="dxa"/>
          </w:tcPr>
          <w:p w14:paraId="634B463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9D1810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54FA33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B362FC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18D2DBB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0C0D237" w14:textId="77777777">
        <w:tc>
          <w:tcPr>
            <w:tcW w:w="2376" w:type="dxa"/>
          </w:tcPr>
          <w:p w14:paraId="0FC6566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Тяжелый бомбовоз</w:t>
            </w:r>
          </w:p>
        </w:tc>
        <w:tc>
          <w:tcPr>
            <w:tcW w:w="1418" w:type="dxa"/>
          </w:tcPr>
          <w:p w14:paraId="46EDB00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 Оп.</w:t>
            </w:r>
          </w:p>
        </w:tc>
        <w:tc>
          <w:tcPr>
            <w:tcW w:w="1276" w:type="dxa"/>
          </w:tcPr>
          <w:p w14:paraId="27867A4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15.07.1933</w:t>
            </w:r>
          </w:p>
        </w:tc>
        <w:tc>
          <w:tcPr>
            <w:tcW w:w="1417" w:type="dxa"/>
          </w:tcPr>
          <w:p w14:paraId="6D0E7E3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tc>
        <w:tc>
          <w:tcPr>
            <w:tcW w:w="1276" w:type="dxa"/>
          </w:tcPr>
          <w:p w14:paraId="600CDE3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842" w:type="dxa"/>
          </w:tcPr>
          <w:p w14:paraId="68B4F25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плана</w:t>
            </w:r>
          </w:p>
        </w:tc>
      </w:tr>
      <w:tr w:rsidR="004E10C1" w:rsidRPr="0044524F" w14:paraId="56D362C1" w14:textId="77777777">
        <w:tc>
          <w:tcPr>
            <w:tcW w:w="2376" w:type="dxa"/>
          </w:tcPr>
          <w:p w14:paraId="004D31B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Тяжелый бомбовоз</w:t>
            </w:r>
          </w:p>
        </w:tc>
        <w:tc>
          <w:tcPr>
            <w:tcW w:w="1418" w:type="dxa"/>
          </w:tcPr>
          <w:p w14:paraId="2C7919F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ТБ3-4М34РН</w:t>
            </w:r>
          </w:p>
        </w:tc>
        <w:tc>
          <w:tcPr>
            <w:tcW w:w="1276" w:type="dxa"/>
          </w:tcPr>
          <w:p w14:paraId="3CE6E27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01.10.1934</w:t>
            </w:r>
          </w:p>
        </w:tc>
        <w:tc>
          <w:tcPr>
            <w:tcW w:w="1417" w:type="dxa"/>
          </w:tcPr>
          <w:p w14:paraId="008A3A8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1F53F3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4885F9F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000A884" w14:textId="77777777">
        <w:tc>
          <w:tcPr>
            <w:tcW w:w="2376" w:type="dxa"/>
          </w:tcPr>
          <w:p w14:paraId="068060C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Многоместный истребитель</w:t>
            </w:r>
          </w:p>
        </w:tc>
        <w:tc>
          <w:tcPr>
            <w:tcW w:w="1418" w:type="dxa"/>
          </w:tcPr>
          <w:p w14:paraId="060D83E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Оп.</w:t>
            </w:r>
          </w:p>
        </w:tc>
        <w:tc>
          <w:tcPr>
            <w:tcW w:w="1276" w:type="dxa"/>
          </w:tcPr>
          <w:p w14:paraId="4F89944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01.12.1933</w:t>
            </w:r>
          </w:p>
        </w:tc>
        <w:tc>
          <w:tcPr>
            <w:tcW w:w="1417" w:type="dxa"/>
          </w:tcPr>
          <w:p w14:paraId="6C092D9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tc>
        <w:tc>
          <w:tcPr>
            <w:tcW w:w="1276" w:type="dxa"/>
          </w:tcPr>
          <w:p w14:paraId="372711F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42" w:type="dxa"/>
          </w:tcPr>
          <w:p w14:paraId="70E8DA0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Согласовали</w:t>
            </w:r>
          </w:p>
        </w:tc>
      </w:tr>
      <w:tr w:rsidR="004E10C1" w:rsidRPr="0044524F" w14:paraId="374B6D90" w14:textId="77777777">
        <w:tc>
          <w:tcPr>
            <w:tcW w:w="2376" w:type="dxa"/>
          </w:tcPr>
          <w:p w14:paraId="244D9A8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502D3CC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2825A9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DD93B3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1C0FB2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436FE90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снижение ра-</w:t>
            </w:r>
          </w:p>
        </w:tc>
      </w:tr>
      <w:tr w:rsidR="004E10C1" w:rsidRPr="0044524F" w14:paraId="6A5FA374" w14:textId="77777777">
        <w:tc>
          <w:tcPr>
            <w:tcW w:w="2376" w:type="dxa"/>
          </w:tcPr>
          <w:p w14:paraId="63B6F3B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7CB1B65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8ACD3D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946B2F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84DB1B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77A75B1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диуса до 500</w:t>
            </w:r>
          </w:p>
        </w:tc>
      </w:tr>
      <w:tr w:rsidR="004E10C1" w:rsidRPr="0044524F" w14:paraId="65560D5C" w14:textId="77777777">
        <w:tc>
          <w:tcPr>
            <w:tcW w:w="2376" w:type="dxa"/>
          </w:tcPr>
          <w:p w14:paraId="720E884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418" w:type="dxa"/>
          </w:tcPr>
          <w:p w14:paraId="328E342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МК-6М34Р</w:t>
            </w:r>
          </w:p>
        </w:tc>
        <w:tc>
          <w:tcPr>
            <w:tcW w:w="1276" w:type="dxa"/>
          </w:tcPr>
          <w:p w14:paraId="14729C0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01.08.1934</w:t>
            </w:r>
          </w:p>
        </w:tc>
        <w:tc>
          <w:tcPr>
            <w:tcW w:w="1417" w:type="dxa"/>
          </w:tcPr>
          <w:p w14:paraId="0BD94BD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A3EEB3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4AD1953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107DD3C" w14:textId="77777777">
        <w:tc>
          <w:tcPr>
            <w:tcW w:w="2376" w:type="dxa"/>
          </w:tcPr>
          <w:p w14:paraId="314B6CF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418" w:type="dxa"/>
          </w:tcPr>
          <w:p w14:paraId="35A04B2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МДР4-3М34Р</w:t>
            </w:r>
          </w:p>
        </w:tc>
        <w:tc>
          <w:tcPr>
            <w:tcW w:w="1276" w:type="dxa"/>
          </w:tcPr>
          <w:p w14:paraId="6170B21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1417" w:type="dxa"/>
          </w:tcPr>
          <w:p w14:paraId="3B6D3E2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F531A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17FDB2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98FD172" w14:textId="77777777">
        <w:tc>
          <w:tcPr>
            <w:tcW w:w="2376" w:type="dxa"/>
          </w:tcPr>
          <w:p w14:paraId="65BF0DC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Легкий разведчик</w:t>
            </w:r>
          </w:p>
        </w:tc>
        <w:tc>
          <w:tcPr>
            <w:tcW w:w="1418" w:type="dxa"/>
          </w:tcPr>
          <w:p w14:paraId="6D7F7F7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ЛР-М34</w:t>
            </w:r>
          </w:p>
        </w:tc>
        <w:tc>
          <w:tcPr>
            <w:tcW w:w="1276" w:type="dxa"/>
          </w:tcPr>
          <w:p w14:paraId="4F4A476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01.09.1933</w:t>
            </w:r>
          </w:p>
        </w:tc>
        <w:tc>
          <w:tcPr>
            <w:tcW w:w="1417" w:type="dxa"/>
          </w:tcPr>
          <w:p w14:paraId="6FA243C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F0E67A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6AB6D6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ГВФ</w:t>
            </w:r>
          </w:p>
        </w:tc>
      </w:tr>
      <w:tr w:rsidR="004E10C1" w:rsidRPr="0044524F" w14:paraId="49B2ADCD" w14:textId="77777777">
        <w:tc>
          <w:tcPr>
            <w:tcW w:w="2376" w:type="dxa"/>
          </w:tcPr>
          <w:p w14:paraId="3D62C68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1418" w:type="dxa"/>
          </w:tcPr>
          <w:p w14:paraId="1166E0C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w:t>
            </w:r>
          </w:p>
        </w:tc>
        <w:tc>
          <w:tcPr>
            <w:tcW w:w="1276" w:type="dxa"/>
          </w:tcPr>
          <w:p w14:paraId="32CA849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01.02.1934</w:t>
            </w:r>
          </w:p>
        </w:tc>
        <w:tc>
          <w:tcPr>
            <w:tcW w:w="1417" w:type="dxa"/>
          </w:tcPr>
          <w:p w14:paraId="1E4E761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3144DC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7CF7CE4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B448095" w14:textId="77777777">
        <w:tc>
          <w:tcPr>
            <w:tcW w:w="2376" w:type="dxa"/>
          </w:tcPr>
          <w:p w14:paraId="66C26A1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Одноместный истреб.</w:t>
            </w:r>
          </w:p>
        </w:tc>
        <w:tc>
          <w:tcPr>
            <w:tcW w:w="1418" w:type="dxa"/>
          </w:tcPr>
          <w:p w14:paraId="4B6DAFC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И14-БМ</w:t>
            </w:r>
          </w:p>
        </w:tc>
        <w:tc>
          <w:tcPr>
            <w:tcW w:w="1276" w:type="dxa"/>
          </w:tcPr>
          <w:p w14:paraId="49FE406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15.07.1933</w:t>
            </w:r>
          </w:p>
        </w:tc>
        <w:tc>
          <w:tcPr>
            <w:tcW w:w="1417" w:type="dxa"/>
          </w:tcPr>
          <w:p w14:paraId="39FAD0E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62DA51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0023DF9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98E3CB2" w14:textId="77777777">
        <w:tc>
          <w:tcPr>
            <w:tcW w:w="2376" w:type="dxa"/>
          </w:tcPr>
          <w:p w14:paraId="0E05DC3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Одноместный истреб.</w:t>
            </w:r>
          </w:p>
        </w:tc>
        <w:tc>
          <w:tcPr>
            <w:tcW w:w="1418" w:type="dxa"/>
          </w:tcPr>
          <w:p w14:paraId="11DD735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И14-РЦ</w:t>
            </w:r>
          </w:p>
        </w:tc>
        <w:tc>
          <w:tcPr>
            <w:tcW w:w="1276" w:type="dxa"/>
          </w:tcPr>
          <w:p w14:paraId="779F5A4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01.02.1934</w:t>
            </w:r>
          </w:p>
        </w:tc>
        <w:tc>
          <w:tcPr>
            <w:tcW w:w="1417" w:type="dxa"/>
          </w:tcPr>
          <w:p w14:paraId="3758198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9D957D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20BCB9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BE19BAD" w14:textId="77777777">
        <w:tc>
          <w:tcPr>
            <w:tcW w:w="2376" w:type="dxa"/>
          </w:tcPr>
          <w:p w14:paraId="30BB2E2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418" w:type="dxa"/>
          </w:tcPr>
          <w:p w14:paraId="17E6CF4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И15-РЦ</w:t>
            </w:r>
          </w:p>
        </w:tc>
        <w:tc>
          <w:tcPr>
            <w:tcW w:w="1276" w:type="dxa"/>
          </w:tcPr>
          <w:p w14:paraId="0CA9F43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01.12.1933</w:t>
            </w:r>
          </w:p>
        </w:tc>
        <w:tc>
          <w:tcPr>
            <w:tcW w:w="1417" w:type="dxa"/>
          </w:tcPr>
          <w:p w14:paraId="6F09ADC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15C8B0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64F50F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9683F36" w14:textId="77777777">
        <w:tc>
          <w:tcPr>
            <w:tcW w:w="2376" w:type="dxa"/>
          </w:tcPr>
          <w:p w14:paraId="391DF91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1418" w:type="dxa"/>
          </w:tcPr>
          <w:p w14:paraId="4DE8C40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И15-М58</w:t>
            </w:r>
          </w:p>
        </w:tc>
        <w:tc>
          <w:tcPr>
            <w:tcW w:w="1276" w:type="dxa"/>
          </w:tcPr>
          <w:p w14:paraId="75B481D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6 мес. послу получения моторов</w:t>
            </w:r>
          </w:p>
        </w:tc>
        <w:tc>
          <w:tcPr>
            <w:tcW w:w="1417" w:type="dxa"/>
          </w:tcPr>
          <w:p w14:paraId="28E57A9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69C749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B31326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BAAB3F9" w14:textId="77777777">
        <w:tc>
          <w:tcPr>
            <w:tcW w:w="2376" w:type="dxa"/>
          </w:tcPr>
          <w:p w14:paraId="5F4DDC9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1418" w:type="dxa"/>
          </w:tcPr>
          <w:p w14:paraId="4915B01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С62-М34</w:t>
            </w:r>
          </w:p>
        </w:tc>
        <w:tc>
          <w:tcPr>
            <w:tcW w:w="1276" w:type="dxa"/>
          </w:tcPr>
          <w:p w14:paraId="6010D3D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01.08.1933</w:t>
            </w:r>
          </w:p>
        </w:tc>
        <w:tc>
          <w:tcPr>
            <w:tcW w:w="1417" w:type="dxa"/>
          </w:tcPr>
          <w:p w14:paraId="009AEFF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2F5887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30800E2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72BBADB" w14:textId="77777777">
        <w:tc>
          <w:tcPr>
            <w:tcW w:w="2376" w:type="dxa"/>
          </w:tcPr>
          <w:p w14:paraId="1EC722D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w:t>
            </w:r>
          </w:p>
        </w:tc>
        <w:tc>
          <w:tcPr>
            <w:tcW w:w="1418" w:type="dxa"/>
          </w:tcPr>
          <w:p w14:paraId="58903B3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03D88A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3B01AF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606C38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5C87F76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6010A6C" w14:textId="77777777">
        <w:tc>
          <w:tcPr>
            <w:tcW w:w="2376" w:type="dxa"/>
          </w:tcPr>
          <w:p w14:paraId="13AC4E7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18" w:type="dxa"/>
          </w:tcPr>
          <w:p w14:paraId="544BA63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СК1-2М32</w:t>
            </w:r>
          </w:p>
        </w:tc>
        <w:tc>
          <w:tcPr>
            <w:tcW w:w="1276" w:type="dxa"/>
          </w:tcPr>
          <w:p w14:paraId="75355F0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01.12.1934</w:t>
            </w:r>
          </w:p>
        </w:tc>
        <w:tc>
          <w:tcPr>
            <w:tcW w:w="1417" w:type="dxa"/>
          </w:tcPr>
          <w:p w14:paraId="1B8B8CD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3A6491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D4F4B1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06C5125" w14:textId="77777777">
        <w:tc>
          <w:tcPr>
            <w:tcW w:w="2376" w:type="dxa"/>
          </w:tcPr>
          <w:p w14:paraId="00F9B33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418" w:type="dxa"/>
          </w:tcPr>
          <w:p w14:paraId="065E1B7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ВС-2М22</w:t>
            </w:r>
          </w:p>
        </w:tc>
        <w:tc>
          <w:tcPr>
            <w:tcW w:w="1276" w:type="dxa"/>
          </w:tcPr>
          <w:p w14:paraId="6350FBE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1417" w:type="dxa"/>
          </w:tcPr>
          <w:p w14:paraId="34DB9C9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8125F9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3EAC3F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97365E1" w14:textId="77777777">
        <w:tc>
          <w:tcPr>
            <w:tcW w:w="2376" w:type="dxa"/>
          </w:tcPr>
          <w:p w14:paraId="5671A25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418" w:type="dxa"/>
          </w:tcPr>
          <w:p w14:paraId="606D389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ДИП-2М34</w:t>
            </w:r>
          </w:p>
        </w:tc>
        <w:tc>
          <w:tcPr>
            <w:tcW w:w="1276" w:type="dxa"/>
          </w:tcPr>
          <w:p w14:paraId="592120D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01.06.1934</w:t>
            </w:r>
          </w:p>
        </w:tc>
        <w:tc>
          <w:tcPr>
            <w:tcW w:w="1417" w:type="dxa"/>
          </w:tcPr>
          <w:p w14:paraId="66F5E17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1D6D09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90D2C9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40EDA7C" w14:textId="77777777">
        <w:tc>
          <w:tcPr>
            <w:tcW w:w="2376" w:type="dxa"/>
          </w:tcPr>
          <w:p w14:paraId="5B186A3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418" w:type="dxa"/>
          </w:tcPr>
          <w:p w14:paraId="52AF950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 РЦ</w:t>
            </w:r>
          </w:p>
        </w:tc>
        <w:tc>
          <w:tcPr>
            <w:tcW w:w="1276" w:type="dxa"/>
          </w:tcPr>
          <w:p w14:paraId="34F4E73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1417" w:type="dxa"/>
          </w:tcPr>
          <w:p w14:paraId="3257E3C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70C93FB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739E898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AF6F27C" w14:textId="77777777">
        <w:tc>
          <w:tcPr>
            <w:tcW w:w="2376" w:type="dxa"/>
          </w:tcPr>
          <w:p w14:paraId="68E083D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418" w:type="dxa"/>
          </w:tcPr>
          <w:p w14:paraId="082DA85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К7-7М34</w:t>
            </w:r>
          </w:p>
        </w:tc>
        <w:tc>
          <w:tcPr>
            <w:tcW w:w="1276" w:type="dxa"/>
          </w:tcPr>
          <w:p w14:paraId="5A9EF88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01.12.1935</w:t>
            </w:r>
          </w:p>
        </w:tc>
        <w:tc>
          <w:tcPr>
            <w:tcW w:w="1417" w:type="dxa"/>
          </w:tcPr>
          <w:p w14:paraId="1FB1295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A8C91D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DC4337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ABE23F" w14:textId="77777777">
        <w:tc>
          <w:tcPr>
            <w:tcW w:w="2376" w:type="dxa"/>
          </w:tcPr>
          <w:p w14:paraId="4EC156D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1418" w:type="dxa"/>
          </w:tcPr>
          <w:p w14:paraId="6A2E31A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w:t>
            </w:r>
          </w:p>
        </w:tc>
        <w:tc>
          <w:tcPr>
            <w:tcW w:w="1276" w:type="dxa"/>
          </w:tcPr>
          <w:p w14:paraId="0932C30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01.12.1935</w:t>
            </w:r>
          </w:p>
        </w:tc>
        <w:tc>
          <w:tcPr>
            <w:tcW w:w="1417" w:type="dxa"/>
          </w:tcPr>
          <w:p w14:paraId="7B71DA8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9DA7E0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2E22E4A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F3A4368" w14:textId="77777777">
        <w:tc>
          <w:tcPr>
            <w:tcW w:w="2376" w:type="dxa"/>
          </w:tcPr>
          <w:p w14:paraId="5C13481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1418" w:type="dxa"/>
          </w:tcPr>
          <w:p w14:paraId="6AC1F6A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СР1-М-58</w:t>
            </w:r>
          </w:p>
        </w:tc>
        <w:tc>
          <w:tcPr>
            <w:tcW w:w="1276" w:type="dxa"/>
          </w:tcPr>
          <w:p w14:paraId="2E1FF2A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мес. после мотора</w:t>
            </w:r>
          </w:p>
        </w:tc>
        <w:tc>
          <w:tcPr>
            <w:tcW w:w="1417" w:type="dxa"/>
          </w:tcPr>
          <w:p w14:paraId="1AADD5C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9EF019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011CF6F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67EE9BF" w14:textId="77777777">
        <w:tc>
          <w:tcPr>
            <w:tcW w:w="2376" w:type="dxa"/>
          </w:tcPr>
          <w:p w14:paraId="0938CE0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w:t>
            </w:r>
          </w:p>
        </w:tc>
        <w:tc>
          <w:tcPr>
            <w:tcW w:w="1418" w:type="dxa"/>
          </w:tcPr>
          <w:p w14:paraId="6345321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Страт. сам. М34</w:t>
            </w:r>
          </w:p>
        </w:tc>
        <w:tc>
          <w:tcPr>
            <w:tcW w:w="1276" w:type="dxa"/>
          </w:tcPr>
          <w:p w14:paraId="709FA21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01.01.1934</w:t>
            </w:r>
          </w:p>
        </w:tc>
        <w:tc>
          <w:tcPr>
            <w:tcW w:w="1417" w:type="dxa"/>
          </w:tcPr>
          <w:p w14:paraId="371AA20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3C7A81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D87316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CF7FCEE" w14:textId="77777777">
        <w:tc>
          <w:tcPr>
            <w:tcW w:w="2376" w:type="dxa"/>
          </w:tcPr>
          <w:p w14:paraId="7DDA408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1418" w:type="dxa"/>
          </w:tcPr>
          <w:p w14:paraId="38EAED9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 крыло 2М11</w:t>
            </w:r>
          </w:p>
        </w:tc>
        <w:tc>
          <w:tcPr>
            <w:tcW w:w="1276" w:type="dxa"/>
          </w:tcPr>
          <w:p w14:paraId="27A96C4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01.01.1934</w:t>
            </w:r>
          </w:p>
        </w:tc>
        <w:tc>
          <w:tcPr>
            <w:tcW w:w="1417" w:type="dxa"/>
          </w:tcPr>
          <w:p w14:paraId="29ABE95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3245B2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4C9636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B4D80FF" w14:textId="77777777">
        <w:tc>
          <w:tcPr>
            <w:tcW w:w="2376" w:type="dxa"/>
          </w:tcPr>
          <w:p w14:paraId="70AEF00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418" w:type="dxa"/>
          </w:tcPr>
          <w:p w14:paraId="023A436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 кр. Крич.</w:t>
            </w:r>
          </w:p>
        </w:tc>
        <w:tc>
          <w:tcPr>
            <w:tcW w:w="1276" w:type="dxa"/>
          </w:tcPr>
          <w:p w14:paraId="1037EB8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01.10.1933</w:t>
            </w:r>
          </w:p>
        </w:tc>
        <w:tc>
          <w:tcPr>
            <w:tcW w:w="1417" w:type="dxa"/>
          </w:tcPr>
          <w:p w14:paraId="4C538D9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3C6B816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0350BC1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A4296E2" w14:textId="77777777">
        <w:tc>
          <w:tcPr>
            <w:tcW w:w="2376" w:type="dxa"/>
          </w:tcPr>
          <w:p w14:paraId="775A960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1418" w:type="dxa"/>
          </w:tcPr>
          <w:p w14:paraId="693A376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ВГ2</w:t>
            </w:r>
          </w:p>
        </w:tc>
        <w:tc>
          <w:tcPr>
            <w:tcW w:w="1276" w:type="dxa"/>
          </w:tcPr>
          <w:p w14:paraId="796D22F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15.07.1933</w:t>
            </w:r>
          </w:p>
        </w:tc>
        <w:tc>
          <w:tcPr>
            <w:tcW w:w="1417" w:type="dxa"/>
          </w:tcPr>
          <w:p w14:paraId="6AE2694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AEE31E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EFCFB5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C29C037" w14:textId="77777777">
        <w:tc>
          <w:tcPr>
            <w:tcW w:w="2376" w:type="dxa"/>
          </w:tcPr>
          <w:p w14:paraId="67A3667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1418" w:type="dxa"/>
          </w:tcPr>
          <w:p w14:paraId="029FDC8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М22</w:t>
            </w:r>
          </w:p>
        </w:tc>
        <w:tc>
          <w:tcPr>
            <w:tcW w:w="1276" w:type="dxa"/>
          </w:tcPr>
          <w:p w14:paraId="49DABD1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01.10.1933</w:t>
            </w:r>
          </w:p>
        </w:tc>
        <w:tc>
          <w:tcPr>
            <w:tcW w:w="1417" w:type="dxa"/>
          </w:tcPr>
          <w:p w14:paraId="6795FE9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0054DDC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52CC8C2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1C221B5" w14:textId="77777777">
        <w:tc>
          <w:tcPr>
            <w:tcW w:w="2376" w:type="dxa"/>
          </w:tcPr>
          <w:p w14:paraId="38BFAC2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1418" w:type="dxa"/>
          </w:tcPr>
          <w:p w14:paraId="2C3B905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У-3-М43</w:t>
            </w:r>
          </w:p>
        </w:tc>
        <w:tc>
          <w:tcPr>
            <w:tcW w:w="1276" w:type="dxa"/>
          </w:tcPr>
          <w:p w14:paraId="041DE48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01.06.1034</w:t>
            </w:r>
          </w:p>
        </w:tc>
        <w:tc>
          <w:tcPr>
            <w:tcW w:w="1417" w:type="dxa"/>
          </w:tcPr>
          <w:p w14:paraId="09D3DC7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FBE870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42" w:type="dxa"/>
          </w:tcPr>
          <w:p w14:paraId="6B4E9BF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4F93E19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(1025,87).</w:t>
      </w:r>
    </w:p>
    <w:p w14:paraId="77431B1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647390D4" w14:textId="77777777" w:rsidR="001C32AD" w:rsidRPr="0044524F" w:rsidRDefault="001C32AD"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24 июня 1933 гидроплан АИР-6А участвовал в спортивном празднике общества «Динамо», проходившем на водной станции напротив Центрального парка культуры и отдыха им. Горького.</w:t>
      </w:r>
    </w:p>
    <w:p w14:paraId="408813DF" w14:textId="77777777" w:rsidR="001C32AD" w:rsidRPr="0044524F" w:rsidRDefault="001C32AD"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Там же 6 - 17 июля проходили государственные испытания АИР-6А по программе СНИИ ГВФ. Кроме Ю.И. Пионтковского, на машине летал Б.Л. Местон. В ходе испытаний совершили перелет Москва - Коломна - Москва.</w:t>
      </w:r>
    </w:p>
    <w:p w14:paraId="3F6F1958" w14:textId="77777777" w:rsidR="001C32AD" w:rsidRPr="0044524F" w:rsidRDefault="001C32AD"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потери скорости.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(19099).</w:t>
      </w:r>
    </w:p>
    <w:p w14:paraId="242C1BD0" w14:textId="77777777" w:rsidR="001C32AD" w:rsidRPr="0044524F" w:rsidRDefault="001C32AD" w:rsidP="009654CF">
      <w:pPr>
        <w:pStyle w:val="a8"/>
        <w:jc w:val="both"/>
        <w:rPr>
          <w:rFonts w:ascii="Times New Roman" w:hAnsi="Times New Roman" w:cs="Times New Roman"/>
          <w:color w:val="000000" w:themeColor="text1"/>
        </w:rPr>
      </w:pPr>
    </w:p>
    <w:p w14:paraId="4B33C20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июня 1933 впервые в ГВФ перелетели на К-5 через Кавказский хребет из Тбилиси в Пятигорск (442,303).</w:t>
      </w:r>
    </w:p>
    <w:p w14:paraId="1BA804C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7CC0589"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25 июня</w:t>
      </w:r>
      <w:r w:rsidRPr="0044524F">
        <w:rPr>
          <w:rFonts w:ascii="Times New Roman" w:hAnsi="Times New Roman"/>
          <w:color w:val="000000" w:themeColor="text1"/>
          <w:sz w:val="16"/>
          <w:szCs w:val="16"/>
        </w:rPr>
        <w:t xml:space="preserve"> в 1933 году совершен перелет через Большой Кавказский хребет на отечественном самолете </w:t>
      </w:r>
      <w:hyperlink r:id="rId224" w:tgtFrame="_blank" w:history="1">
        <w:r w:rsidRPr="0044524F">
          <w:rPr>
            <w:rFonts w:ascii="Times New Roman" w:hAnsi="Times New Roman"/>
            <w:color w:val="000000" w:themeColor="text1"/>
            <w:sz w:val="16"/>
            <w:szCs w:val="16"/>
          </w:rPr>
          <w:t xml:space="preserve">«К-5» </w:t>
        </w:r>
      </w:hyperlink>
      <w:r w:rsidRPr="0044524F">
        <w:rPr>
          <w:rFonts w:ascii="Times New Roman" w:hAnsi="Times New Roman"/>
          <w:color w:val="000000" w:themeColor="text1"/>
          <w:sz w:val="16"/>
          <w:szCs w:val="16"/>
        </w:rPr>
        <w:t>с двигателем «М-15», первый в отечественной истории. Рейс из Тбилиси в Пятигорск выполнил один из самолётов Закавказского управления ГВФ. Маршрут пролегал на высоте 4500 метров. Время в пути составило 2 часа 30 минут. (Затем должен был лететь в Москву, однако полёт не состоялся из-за отслоившейся обшивки) (14933).</w:t>
      </w:r>
    </w:p>
    <w:p w14:paraId="08FD17F0" w14:textId="77777777" w:rsidR="003417C8" w:rsidRPr="0044524F" w:rsidRDefault="003417C8" w:rsidP="009654CF">
      <w:pPr>
        <w:spacing w:after="0" w:line="240" w:lineRule="auto"/>
        <w:jc w:val="both"/>
        <w:rPr>
          <w:rFonts w:ascii="Times New Roman" w:hAnsi="Times New Roman"/>
          <w:color w:val="000000" w:themeColor="text1"/>
          <w:sz w:val="16"/>
          <w:szCs w:val="16"/>
        </w:rPr>
      </w:pPr>
    </w:p>
    <w:p w14:paraId="708C0A6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июня 1933 С.П.К. направил докладную записку в Финансовое управление РККА по поводу внеплановых закупок, которая позволяет судить об условиях создания ГИРД: "Покупка пишущей машинки у частного лица была произведена с разрешения начальника Авиапрома ОХА. Покупка трансформатора (600 р.), парового котла (2000 р.) и воздушного компрессора была произведена (...) потому, что на территории ГИРД не было промышленной энергии. Мастерские работали от осветительной сети, что недопустимо. Паровой котел был нужен потому, что ГИРД работает в сыром подвале без какого бы то ни было отопления. При дровяных и электрических печах температура опускалась до 0°С" (ААН, р. 4, оп. 14, № 238, л. 23) (10676).</w:t>
      </w:r>
    </w:p>
    <w:p w14:paraId="4777344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431D908A"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03EC490"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307BE9F"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в ОЭЛИД ЦАГИ с завода 22 поступили ТБ3-4М17 за №№ 22243 и 22250 для проведения испытания двух облегченных самолетов на определение расхода горючего и предельной дальности (проходило с 7 по 11 июля 1933) (6794).</w:t>
      </w:r>
    </w:p>
    <w:p w14:paraId="3B28D2B2"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27D6F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в НИИ ВВС закончились испытания самолета И7 N 4449 (эталон на 1933 год) с мотором М17 N 262646, которые проходили с 10 июня 1933.</w:t>
      </w:r>
    </w:p>
    <w:p w14:paraId="1B6DEB6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62ED11C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возможности использования самолета И7 N 4449 с мотором М17 как эталона для постройки самолетов И7 М17 в 1933 году.</w:t>
      </w:r>
    </w:p>
    <w:p w14:paraId="3BCF078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самолета, отличающегося от опытного самолета И7 БМВ VI постройки завода N 1 в 1931 году установкой усиленной фанерной обшивки крыльев, паука водяной системы, подвесной корзины под радиатор _..</w:t>
      </w:r>
    </w:p>
    <w:p w14:paraId="1061C8C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25F326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И7 М17 N 4449 постройки завода N 1эталоном на 1933 год служить не может.</w:t>
      </w:r>
    </w:p>
    <w:p w14:paraId="691CC22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0F502E6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Осипенко П.И.</w:t>
      </w:r>
    </w:p>
    <w:p w14:paraId="120FF02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 Сцельников</w:t>
      </w:r>
    </w:p>
    <w:p w14:paraId="087D6C8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43047C8E" w14:textId="77777777">
        <w:tc>
          <w:tcPr>
            <w:tcW w:w="5636" w:type="dxa"/>
          </w:tcPr>
          <w:p w14:paraId="4EBA294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июня 1933 года</w:t>
            </w:r>
          </w:p>
        </w:tc>
        <w:tc>
          <w:tcPr>
            <w:tcW w:w="5636" w:type="dxa"/>
          </w:tcPr>
          <w:p w14:paraId="56CE4A4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тренировочные полеты ведущего летчика</w:t>
            </w:r>
          </w:p>
        </w:tc>
      </w:tr>
      <w:tr w:rsidR="004E10C1" w:rsidRPr="0044524F" w14:paraId="73909807" w14:textId="77777777">
        <w:tc>
          <w:tcPr>
            <w:tcW w:w="5636" w:type="dxa"/>
          </w:tcPr>
          <w:p w14:paraId="1E2B299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года</w:t>
            </w:r>
          </w:p>
        </w:tc>
        <w:tc>
          <w:tcPr>
            <w:tcW w:w="5636" w:type="dxa"/>
          </w:tcPr>
          <w:p w14:paraId="78E7E6D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управляемость и фигуры на высоте</w:t>
            </w:r>
          </w:p>
        </w:tc>
      </w:tr>
      <w:tr w:rsidR="004E10C1" w:rsidRPr="0044524F" w14:paraId="7DF76E56" w14:textId="77777777">
        <w:tc>
          <w:tcPr>
            <w:tcW w:w="5636" w:type="dxa"/>
          </w:tcPr>
          <w:p w14:paraId="0D254C8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F617A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 и определение скороподъемности с</w:t>
            </w:r>
          </w:p>
        </w:tc>
      </w:tr>
      <w:tr w:rsidR="004E10C1" w:rsidRPr="0044524F" w14:paraId="6CE6971E" w14:textId="77777777">
        <w:tc>
          <w:tcPr>
            <w:tcW w:w="5636" w:type="dxa"/>
          </w:tcPr>
          <w:p w14:paraId="1850CA7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E73D60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форсированным газом. Полет на управляемость</w:t>
            </w:r>
          </w:p>
        </w:tc>
      </w:tr>
      <w:tr w:rsidR="004E10C1" w:rsidRPr="0044524F" w14:paraId="50AD4147" w14:textId="77777777">
        <w:tc>
          <w:tcPr>
            <w:tcW w:w="5636" w:type="dxa"/>
          </w:tcPr>
          <w:p w14:paraId="65404C5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EBC80F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фигуры на высоте 1000 м.</w:t>
            </w:r>
          </w:p>
        </w:tc>
      </w:tr>
      <w:tr w:rsidR="004E10C1" w:rsidRPr="0044524F" w14:paraId="0D740B72" w14:textId="77777777">
        <w:tc>
          <w:tcPr>
            <w:tcW w:w="5636" w:type="dxa"/>
          </w:tcPr>
          <w:p w14:paraId="21AE12D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года</w:t>
            </w:r>
          </w:p>
        </w:tc>
        <w:tc>
          <w:tcPr>
            <w:tcW w:w="5636" w:type="dxa"/>
          </w:tcPr>
          <w:p w14:paraId="2E1597F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управляемость и фигуры на высоте</w:t>
            </w:r>
          </w:p>
        </w:tc>
      </w:tr>
      <w:tr w:rsidR="004E10C1" w:rsidRPr="0044524F" w14:paraId="39AA66B6" w14:textId="77777777">
        <w:tc>
          <w:tcPr>
            <w:tcW w:w="5636" w:type="dxa"/>
          </w:tcPr>
          <w:p w14:paraId="37E7BBA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017BC9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w:t>
            </w:r>
          </w:p>
        </w:tc>
      </w:tr>
      <w:tr w:rsidR="004E10C1" w:rsidRPr="0044524F" w14:paraId="7D96D954" w14:textId="77777777">
        <w:tc>
          <w:tcPr>
            <w:tcW w:w="5636" w:type="dxa"/>
          </w:tcPr>
          <w:p w14:paraId="5933320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 1933 года</w:t>
            </w:r>
          </w:p>
        </w:tc>
        <w:tc>
          <w:tcPr>
            <w:tcW w:w="5636" w:type="dxa"/>
          </w:tcPr>
          <w:p w14:paraId="1C121AB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полета на штопор.</w:t>
            </w:r>
          </w:p>
        </w:tc>
      </w:tr>
      <w:tr w:rsidR="004E10C1" w:rsidRPr="0044524F" w14:paraId="3E9B4983" w14:textId="77777777">
        <w:tc>
          <w:tcPr>
            <w:tcW w:w="5636" w:type="dxa"/>
          </w:tcPr>
          <w:p w14:paraId="1F1C745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года</w:t>
            </w:r>
          </w:p>
        </w:tc>
        <w:tc>
          <w:tcPr>
            <w:tcW w:w="5636" w:type="dxa"/>
          </w:tcPr>
          <w:p w14:paraId="21A7D4C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Полет на зубцы на высотах 500,</w:t>
            </w:r>
          </w:p>
        </w:tc>
      </w:tr>
      <w:tr w:rsidR="004E10C1" w:rsidRPr="0044524F" w14:paraId="0C088B55" w14:textId="77777777">
        <w:tc>
          <w:tcPr>
            <w:tcW w:w="5636" w:type="dxa"/>
          </w:tcPr>
          <w:p w14:paraId="665FF14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9B8A7C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и 5000 м.</w:t>
            </w:r>
          </w:p>
        </w:tc>
      </w:tr>
      <w:tr w:rsidR="004E10C1" w:rsidRPr="0044524F" w14:paraId="3CA057BD" w14:textId="77777777">
        <w:tc>
          <w:tcPr>
            <w:tcW w:w="5636" w:type="dxa"/>
          </w:tcPr>
          <w:p w14:paraId="3ED5E4C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июня 1933 года</w:t>
            </w:r>
          </w:p>
        </w:tc>
        <w:tc>
          <w:tcPr>
            <w:tcW w:w="5636" w:type="dxa"/>
          </w:tcPr>
          <w:p w14:paraId="2EB6F9F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с форсированным</w:t>
            </w:r>
          </w:p>
        </w:tc>
      </w:tr>
      <w:tr w:rsidR="004E10C1" w:rsidRPr="0044524F" w14:paraId="0FB88699" w14:textId="77777777">
        <w:tc>
          <w:tcPr>
            <w:tcW w:w="5636" w:type="dxa"/>
          </w:tcPr>
          <w:p w14:paraId="6E52D3C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A93B5F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газом до 5000 м и стрельба на высоте 5000 м.</w:t>
            </w:r>
          </w:p>
        </w:tc>
      </w:tr>
      <w:tr w:rsidR="004E10C1" w:rsidRPr="0044524F" w14:paraId="39E28D75" w14:textId="77777777">
        <w:tc>
          <w:tcPr>
            <w:tcW w:w="5636" w:type="dxa"/>
          </w:tcPr>
          <w:p w14:paraId="3510422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июня 1933 года</w:t>
            </w:r>
          </w:p>
        </w:tc>
        <w:tc>
          <w:tcPr>
            <w:tcW w:w="5636" w:type="dxa"/>
          </w:tcPr>
          <w:p w14:paraId="4BC75A5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воздушный бой с самолетом Р5.</w:t>
            </w:r>
          </w:p>
        </w:tc>
      </w:tr>
      <w:tr w:rsidR="004E10C1" w:rsidRPr="0044524F" w14:paraId="5E0135FB" w14:textId="77777777">
        <w:tc>
          <w:tcPr>
            <w:tcW w:w="5636" w:type="dxa"/>
          </w:tcPr>
          <w:p w14:paraId="43599C0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июня 1933 года</w:t>
            </w:r>
          </w:p>
        </w:tc>
        <w:tc>
          <w:tcPr>
            <w:tcW w:w="5636" w:type="dxa"/>
          </w:tcPr>
          <w:p w14:paraId="5FC32F7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по маршруту на дальность и определение</w:t>
            </w:r>
          </w:p>
        </w:tc>
      </w:tr>
      <w:tr w:rsidR="004E10C1" w:rsidRPr="0044524F" w14:paraId="7ECDBFA1" w14:textId="77777777">
        <w:tc>
          <w:tcPr>
            <w:tcW w:w="5636" w:type="dxa"/>
          </w:tcPr>
          <w:p w14:paraId="6F80D62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CA41BD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расхода горючего с фотографированием.</w:t>
            </w:r>
          </w:p>
        </w:tc>
      </w:tr>
      <w:tr w:rsidR="004E10C1" w:rsidRPr="0044524F" w14:paraId="69598AB0" w14:textId="77777777">
        <w:tc>
          <w:tcPr>
            <w:tcW w:w="5636" w:type="dxa"/>
          </w:tcPr>
          <w:p w14:paraId="363D753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EC7281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Воздушный бой с самолетом И-5. Полет на</w:t>
            </w:r>
          </w:p>
        </w:tc>
      </w:tr>
      <w:tr w:rsidR="004E10C1" w:rsidRPr="0044524F" w14:paraId="0908ED73" w14:textId="77777777">
        <w:tc>
          <w:tcPr>
            <w:tcW w:w="5636" w:type="dxa"/>
          </w:tcPr>
          <w:p w14:paraId="2B2A72D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16850B2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штопор.</w:t>
            </w:r>
          </w:p>
        </w:tc>
      </w:tr>
      <w:tr w:rsidR="004E10C1" w:rsidRPr="0044524F" w14:paraId="72438F6B" w14:textId="77777777">
        <w:tc>
          <w:tcPr>
            <w:tcW w:w="5636" w:type="dxa"/>
          </w:tcPr>
          <w:p w14:paraId="3689FCF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июня 1933 года</w:t>
            </w:r>
          </w:p>
        </w:tc>
        <w:tc>
          <w:tcPr>
            <w:tcW w:w="5636" w:type="dxa"/>
          </w:tcPr>
          <w:p w14:paraId="66B96AD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полета на воздушные бои с самолетами Р-5</w:t>
            </w:r>
          </w:p>
        </w:tc>
      </w:tr>
      <w:tr w:rsidR="004E10C1" w:rsidRPr="0044524F" w14:paraId="2214BE2E" w14:textId="77777777">
        <w:tc>
          <w:tcPr>
            <w:tcW w:w="5636" w:type="dxa"/>
          </w:tcPr>
          <w:p w14:paraId="24E1DE4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8182A2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И-5 - летчики: Кокинаки, Лагутин и Гродзь.</w:t>
            </w:r>
          </w:p>
        </w:tc>
      </w:tr>
      <w:tr w:rsidR="004E10C1" w:rsidRPr="0044524F" w14:paraId="173F1934" w14:textId="77777777">
        <w:tc>
          <w:tcPr>
            <w:tcW w:w="5636" w:type="dxa"/>
          </w:tcPr>
          <w:p w14:paraId="10D0B92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25C3A8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Три полета по облету со стрельбой по земным целям:</w:t>
            </w:r>
          </w:p>
        </w:tc>
      </w:tr>
      <w:tr w:rsidR="004E10C1" w:rsidRPr="0044524F" w14:paraId="2717BDC3" w14:textId="77777777">
        <w:tc>
          <w:tcPr>
            <w:tcW w:w="5636" w:type="dxa"/>
          </w:tcPr>
          <w:p w14:paraId="6AB69B8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A79A0B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Залевский, Лагутин, Кокинаки.</w:t>
            </w:r>
          </w:p>
        </w:tc>
      </w:tr>
      <w:tr w:rsidR="004E10C1" w:rsidRPr="0044524F" w14:paraId="7496BB9C" w14:textId="77777777">
        <w:tc>
          <w:tcPr>
            <w:tcW w:w="5636" w:type="dxa"/>
          </w:tcPr>
          <w:p w14:paraId="54D7B2B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года</w:t>
            </w:r>
          </w:p>
        </w:tc>
        <w:tc>
          <w:tcPr>
            <w:tcW w:w="5636" w:type="dxa"/>
          </w:tcPr>
          <w:p w14:paraId="71EEE36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с нормальным газом.</w:t>
            </w:r>
          </w:p>
        </w:tc>
      </w:tr>
    </w:tbl>
    <w:p w14:paraId="55A83DB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проведено за 11 летных дней.</w:t>
      </w:r>
    </w:p>
    <w:p w14:paraId="3255756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Налетано 29 час. 53 мин.</w:t>
      </w:r>
    </w:p>
    <w:p w14:paraId="13866A1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Сделано посадок - 27 (3917).</w:t>
      </w:r>
    </w:p>
    <w:p w14:paraId="26A063C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CEE1231"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г. контрольные испытания самолета в НИИ ВВС завершены. Заключение: самолет И-7 М17 №4449 постройки завода №1 эталоном на 1933 г. служить не может. Не получены заданные скороподъемность и дальность полета. Бомбовое вооружение не проверено.</w:t>
      </w:r>
    </w:p>
    <w:p w14:paraId="743CAEE6"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возвращен на завод №1 для внесения доработок.</w:t>
      </w:r>
    </w:p>
    <w:p w14:paraId="570EAA3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г. Отчет по испытаниям самолета И-7 №4449 (эталон на 1933 год) с мотором М17 №262646 утвержден.</w:t>
      </w:r>
    </w:p>
    <w:p w14:paraId="68A5A339"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заводе №1 внесены доработки:</w:t>
      </w:r>
    </w:p>
    <w:p w14:paraId="3573C355"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улучшена конструкция капота двигателя;</w:t>
      </w:r>
    </w:p>
    <w:p w14:paraId="351976D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улучшены обтекатели в местах установки стоек бипланной коробки крыльев;</w:t>
      </w:r>
    </w:p>
    <w:p w14:paraId="2CF1ADBD"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установлены недостающие обтекатели на колесах ООШ (24331).</w:t>
      </w:r>
    </w:p>
    <w:p w14:paraId="4EA30101"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72215D7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Нач. самолетного сектора НТОС Машкевич писал дир. завода 39 Марголину письмо N 282/364с:</w:t>
      </w:r>
    </w:p>
    <w:p w14:paraId="050BFF6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указанию т. Алмазова направляю при сем тех. требования к двухместному самолету 3-х назначений и прошу дать Ваши соображения о возможности включения указанного самолета в программу 1934." (2305,29).</w:t>
      </w:r>
    </w:p>
    <w:p w14:paraId="385172B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27AB036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у зам. пред. РВСР т. Тухачевского состоялось совещание по обсуждению результатов работы Комиссии нач. штаба РККА по рассмотрению выполнения плана опытного строительства (2305,43).</w:t>
      </w:r>
    </w:p>
    <w:p w14:paraId="66AEDC0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5D3C400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Зам. НКТП П.И.Б. писал письмо Чл. Коллегии НК РКИ СССР, Нач. ВМИ В.В.Куйбышеву по вопросу реализации постановления ЦКК НК РКИ УССР N 15/11 от 16 марта 1933 по обследованию ХАЗ и реализации ряда мероприятий. Отмечал, что ГУАП начал эту работу еще до выхода постановления с тем, чтобы К.А.К. сосредоточился на К-7 во 2 кв. 1933, однако соглашался, что положение с опытным самолетостроением не совсем нормальная. Кроме К-5 нет ничего и прежде всего современного образца для запуска в производство в 1934. Единственная загрузка на 1934 - внедрение маломощного К-9. Текст почти не отличается от письма 4 мая 1933 - письмо так и не появилось (2305,93).</w:t>
      </w:r>
    </w:p>
    <w:p w14:paraId="6B702E1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вх./№ 456Мс по вопросу постановления ЦКК НК РКИ УССР за № 15/11 от 16 марта 1933 г., связанное с обследованием ХАЗ с указанием ряда мероприятий, необходимых к проведению на ХАЗе с целью оздоровления его работы.</w:t>
      </w:r>
    </w:p>
    <w:p w14:paraId="49A43BD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своей стороны мною еще до обследования ХАЗа НК РКИ УССР в связи с невыполнением заводом программы как следствие несвоевременной подготовки производства со стороны директора завода и его помошников по техчасти, неоднократно высылались бригады ответственных технических работников для выяснения всех ненормальностей в работе завода и устранения их непосредственно на месте. - с целью производства соответствующего задела, каковой совершенно отсутствовал в начале 1-го квартала 1933 г. Мною изменена годовая разбивка сдачи самолетов с последующей загрузкой 3-го и 4-го кварталов и одновременно дать возможность т. Калинину сосредоточить все внимание на выпуске опытного с-та К-7 во втором квартале.</w:t>
      </w:r>
    </w:p>
    <w:p w14:paraId="3C99402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Соответствующими Секторами ГУВА произведены:</w:t>
      </w:r>
    </w:p>
    <w:p w14:paraId="5E3F4B8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расчеты квартальных норм на единицу изделия выпускаемой продукции заводом,</w:t>
      </w:r>
    </w:p>
    <w:p w14:paraId="3D420DD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оказана техническая помощь по внедрению технорм, пересматриваемых заводом, согласно постановления НКТП от 13 февраля 1933,</w:t>
      </w:r>
    </w:p>
    <w:p w14:paraId="2A1A55C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годовая программа разбита на серии с целью выявления себестоимости с-тов,</w:t>
      </w:r>
    </w:p>
    <w:p w14:paraId="4F59E7F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в пределах утвержденных мною годовых лимитов произведено сокращение излишней рабсилы и административно-технического состава в пределах задела.</w:t>
      </w:r>
    </w:p>
    <w:p w14:paraId="4724064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срыв подготовки производства моим распоряжением снят с работы техдиректор т. Петров, с объявлением ему выговора по заводу.</w:t>
      </w:r>
    </w:p>
    <w:p w14:paraId="4C11CA0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целью укрепления технического аппарата завода по серийному производству произведен ряд перемещений техперсонала с целью укрепления слабых участков в работе завода.</w:t>
      </w:r>
    </w:p>
    <w:p w14:paraId="6181430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Считая, что принятые мною меры по исжитию ряда нездоровых явлений в работе ХАЗа и считаясь с положением, в котором находится задел, надо отметить, что все эти мероприятия вывели задел из хронического прорывного состояния - результат выполнения программы за 5 мес. Текущего года.</w:t>
      </w:r>
    </w:p>
    <w:p w14:paraId="36F4D8A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же касается опытного самолетостроения, то положение на ХАЗе не совсем нормальное.</w:t>
      </w:r>
    </w:p>
    <w:p w14:paraId="6A29581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Калинин является не только директором з-да, но и ГК, а потому сам должен подготавливать для серийного пр-ва новые образцы, улучшающие год от года гражданское самолетостроение.</w:t>
      </w:r>
    </w:p>
    <w:p w14:paraId="4F252BC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тем, кроме как выпускаемого с-та К-5, ХАХом мы ничего не имеем современного с-та для подготовки производства по выпуску в 1934 г. Потребность же в более современных гражданских с-тах имеется большая.</w:t>
      </w:r>
    </w:p>
    <w:p w14:paraId="600CEDF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Единственная загрузка з-да на 1934 конструкциями ХАЗв, это внедрение маломощного с-та К-9, при условии форсирования выпуска со стороны т. Калинина эталона на линии производства и производство летных испытаний в воздухе.Только после этого можно будет говорить об образце типа каковой загрузит цеха завода.Срок и установки мною даны и все будет зависить от завода и от тех заказчиков, которые должны будут приняты на снабжение этот тип с-та.</w:t>
      </w:r>
    </w:p>
    <w:p w14:paraId="6B1329C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дальнейшего существования завода ХАЗ, то он как был, так и остается опытно-серийным з-дом в системе ГУАП, причем серийная программа давалась и будет даваться в пределах существующей мощности и никакой больше реорганизации ХАЗа не предусматривается в 1933 г., за исключением тех необходимых мероприятий в пределах предусмотренных лимитов по капитальному строительству на 1933 г. (2305,93).</w:t>
      </w:r>
    </w:p>
    <w:p w14:paraId="59367E7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A9ED76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л-курсант Х.Хардер, обучавшийся в Липецке с мая по август 1933, записал в дневнике "Русское правительство запретило полет W-33 в Москву. Наш командир сообщил, что ситуация очень напряженная и запретил критиковать русских и их решения (1795,40).</w:t>
      </w:r>
    </w:p>
    <w:p w14:paraId="5AB95B8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3F9728F" w14:textId="77777777" w:rsidR="003417C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3AC9EFB" w14:textId="77777777" w:rsidR="003417C8" w:rsidRPr="0044524F" w:rsidRDefault="003417C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05BE483" w14:textId="77777777" w:rsidR="003417C8" w:rsidRPr="0044524F" w:rsidRDefault="003417C8" w:rsidP="009654CF">
      <w:pPr>
        <w:pStyle w:val="rtejustify"/>
        <w:spacing w:before="0" w:after="0"/>
        <w:rPr>
          <w:color w:val="000000" w:themeColor="text1"/>
          <w:sz w:val="16"/>
          <w:szCs w:val="16"/>
        </w:rPr>
      </w:pPr>
      <w:r w:rsidRPr="0044524F">
        <w:rPr>
          <w:rStyle w:val="af0"/>
          <w:bCs/>
          <w:i w:val="0"/>
          <w:color w:val="000000" w:themeColor="text1"/>
          <w:sz w:val="16"/>
          <w:szCs w:val="16"/>
        </w:rPr>
        <w:t>26 июня</w:t>
      </w:r>
      <w:r w:rsidRPr="0044524F">
        <w:rPr>
          <w:color w:val="000000" w:themeColor="text1"/>
          <w:sz w:val="16"/>
          <w:szCs w:val="16"/>
        </w:rPr>
        <w:t xml:space="preserve"> 1933. Постановление СНК СССР № 13сс/о «Об ассигнованиях по общесоюзному бюджету на оборонные мероприятия на 3 квартал 1933 г.». (ГА РФ. Ф. Р</w:t>
      </w:r>
      <w:r w:rsidRPr="0044524F">
        <w:rPr>
          <w:color w:val="000000" w:themeColor="text1"/>
          <w:sz w:val="16"/>
          <w:szCs w:val="16"/>
        </w:rPr>
        <w:noBreakHyphen/>
        <w:t>8418. Оп. 28. Д. 15. Л. 22</w:t>
      </w:r>
      <w:r w:rsidRPr="0044524F">
        <w:rPr>
          <w:color w:val="000000" w:themeColor="text1"/>
          <w:sz w:val="16"/>
          <w:szCs w:val="16"/>
        </w:rPr>
        <w:noBreakHyphen/>
        <w:t>23) (15460).</w:t>
      </w:r>
    </w:p>
    <w:p w14:paraId="105A73EC" w14:textId="77777777" w:rsidR="003417C8" w:rsidRPr="0044524F" w:rsidRDefault="003417C8" w:rsidP="009654CF">
      <w:pPr>
        <w:pStyle w:val="rtejustify"/>
        <w:spacing w:before="0" w:after="0"/>
        <w:rPr>
          <w:color w:val="000000" w:themeColor="text1"/>
          <w:sz w:val="16"/>
          <w:szCs w:val="16"/>
        </w:rPr>
      </w:pPr>
    </w:p>
    <w:p w14:paraId="45CD4860" w14:textId="29997109" w:rsidR="00E5166A" w:rsidRPr="0044524F" w:rsidRDefault="00E5166A"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10F1CD2F" w14:textId="77777777" w:rsidR="00E5166A" w:rsidRPr="0044524F" w:rsidRDefault="00E5166A"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2759487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г. 23-я авиабригада (командир Горбунов) получила приказ о перебазировании на ДВ. Какое-то время экипажи сдавали ТБ-1, получали новые само</w:t>
      </w:r>
      <w:r w:rsidRPr="0044524F">
        <w:rPr>
          <w:rFonts w:ascii="Times New Roman" w:hAnsi="Times New Roman"/>
          <w:color w:val="000000" w:themeColor="text1"/>
          <w:sz w:val="16"/>
          <w:szCs w:val="16"/>
        </w:rPr>
        <w:softHyphen/>
        <w:t>леты, облетывали их. Стартовали поэскадрильно: 89-, 91-, 92-, 90-я. Перелет начался 15 июля и закон</w:t>
      </w:r>
      <w:r w:rsidRPr="0044524F">
        <w:rPr>
          <w:rFonts w:ascii="Times New Roman" w:hAnsi="Times New Roman"/>
          <w:color w:val="000000" w:themeColor="text1"/>
          <w:sz w:val="16"/>
          <w:szCs w:val="16"/>
        </w:rPr>
        <w:softHyphen/>
        <w:t>чился 24 августа, т.е. на весь перелет бригады ушло 40 дней. На перелет одной эскадрильи уходило, как правило, от 10 до 15 и более суток. По-прежнему у экипажей имелись претензии к надежности двигате</w:t>
      </w:r>
      <w:r w:rsidRPr="0044524F">
        <w:rPr>
          <w:rFonts w:ascii="Times New Roman" w:hAnsi="Times New Roman"/>
          <w:color w:val="000000" w:themeColor="text1"/>
          <w:sz w:val="16"/>
          <w:szCs w:val="16"/>
        </w:rPr>
        <w:softHyphen/>
        <w:t>лей М-17. Всего по этой причине произошло 18 вы</w:t>
      </w:r>
      <w:r w:rsidRPr="0044524F">
        <w:rPr>
          <w:rFonts w:ascii="Times New Roman" w:hAnsi="Times New Roman"/>
          <w:color w:val="000000" w:themeColor="text1"/>
          <w:sz w:val="16"/>
          <w:szCs w:val="16"/>
        </w:rPr>
        <w:softHyphen/>
        <w:t>нужденных посадок. Уже в первый день полета один ТБ-3 (заводской №2260) под командованием летчика Казакова потерпел катастрофу. На этом самолете в 70 км от Мурома отказал один из двигателей. Коман</w:t>
      </w:r>
      <w:r w:rsidRPr="0044524F">
        <w:rPr>
          <w:rFonts w:ascii="Times New Roman" w:hAnsi="Times New Roman"/>
          <w:color w:val="000000" w:themeColor="text1"/>
          <w:sz w:val="16"/>
          <w:szCs w:val="16"/>
        </w:rPr>
        <w:softHyphen/>
        <w:t>дир корабля Казаков пытался тянуть до Мурома на трех двигателях, но не справился с управлением, са</w:t>
      </w:r>
      <w:r w:rsidRPr="0044524F">
        <w:rPr>
          <w:rFonts w:ascii="Times New Roman" w:hAnsi="Times New Roman"/>
          <w:color w:val="000000" w:themeColor="text1"/>
          <w:sz w:val="16"/>
          <w:szCs w:val="16"/>
        </w:rPr>
        <w:softHyphen/>
        <w:t>молет врезался в землю и сгорел. При ударе погиб механик Жиромкин. Кроме этого, был тяжело ранен помполит Разин, который позднее скончался от ран. Это была единственная и досадная катастрофа. Кста</w:t>
      </w:r>
      <w:r w:rsidRPr="0044524F">
        <w:rPr>
          <w:rFonts w:ascii="Times New Roman" w:hAnsi="Times New Roman"/>
          <w:color w:val="000000" w:themeColor="text1"/>
          <w:sz w:val="16"/>
          <w:szCs w:val="16"/>
        </w:rPr>
        <w:softHyphen/>
        <w:t>ти, еще в 1932 г. при проведении дополнительных испытаний указывалось, что при полетном весе 15 тонн полет ТБ-3 на трех моторах невозможен. Про</w:t>
      </w:r>
      <w:r w:rsidRPr="0044524F">
        <w:rPr>
          <w:rFonts w:ascii="Times New Roman" w:hAnsi="Times New Roman"/>
          <w:color w:val="000000" w:themeColor="text1"/>
          <w:sz w:val="16"/>
          <w:szCs w:val="16"/>
        </w:rPr>
        <w:softHyphen/>
        <w:t>должать полет можно было только со снижением (23378).</w:t>
      </w:r>
    </w:p>
    <w:p w14:paraId="273E90AB"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791DE1CC" w14:textId="6F5E550D"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A6C50BD"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621F6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был распущен Наркомат по труду. Его функции - социальное страхование, охрана труда, тарифная политика - передали профсоюзам, которые стали частью административной системы (3908,340).</w:t>
      </w:r>
    </w:p>
    <w:p w14:paraId="675C7E5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62680FF2" w14:textId="77777777" w:rsidR="00C51D0F"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4D389B2B" w14:textId="77777777" w:rsidR="00C51D0F" w:rsidRPr="0044524F" w:rsidRDefault="00C51D0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FA59BD0" w14:textId="77777777" w:rsidR="002E47F6" w:rsidRPr="0044524F" w:rsidRDefault="002E47F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г. в Токио открылась Конференция но вопросу о продаже КВЖД. Маньчжоу-Го на конференции представлял вице-министр иностранных дел Охаси. Основным пунктом разногласий была цена, которую соглашалось платить за дорогу Маньчжоу-Го. Предложенная первоначально цена в 50 млн иен была отвергнута советской стороной. После серии официальных заседаний обсуждение продолжилось на «промежуточных» совещаниях при неполном составе делегаций. 17 августа делегация Маньчжоу-Го предложила заниженный курс пересчета золотых рублей в бумажные иены: что означало повторение предложения о выкупной цене в 50 млн иен (См. подробнее: ДВП. Т. XVI. С. 837–838). 20 августа Сталин и Ворошилов из Казани ответили согласием на проект ответа Охаси (РГАСПИ. Ф. 558. Оп. 11. Д. 80. Л. 4, 6). Переговоры о продаже вскоре прервались и возобновились только в 1934 г. См. также документы № 296, 303 (17281).</w:t>
      </w:r>
    </w:p>
    <w:p w14:paraId="5F573036" w14:textId="77777777" w:rsidR="002E47F6" w:rsidRPr="0044524F" w:rsidRDefault="002E47F6" w:rsidP="009654CF">
      <w:pPr>
        <w:autoSpaceDE w:val="0"/>
        <w:autoSpaceDN w:val="0"/>
        <w:adjustRightInd w:val="0"/>
        <w:spacing w:after="0" w:line="240" w:lineRule="auto"/>
        <w:jc w:val="both"/>
        <w:rPr>
          <w:rFonts w:ascii="Times New Roman" w:hAnsi="Times New Roman"/>
          <w:color w:val="000000" w:themeColor="text1"/>
          <w:sz w:val="16"/>
          <w:szCs w:val="16"/>
        </w:rPr>
      </w:pPr>
    </w:p>
    <w:p w14:paraId="2EE1638E" w14:textId="79D1B630" w:rsidR="00C51D0F" w:rsidRPr="0044524F" w:rsidRDefault="00C51D0F"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как уступка Японии в Токио начались переговоры о продаже Китайско-Восточной железной дороги, принадлежавшей СССР. Делегация Маньчжоу-Го на переговорах оспаривала право собственности СССР на КВЖД и предлагала продать дорогу за цену, в десять раз меньшую той, которую требовало советское правительство. Советская делегация отклоняла эти предложения. Тогда японцы решили действовать силой. 19 сентября японский посол в Маньчжоу-Го получил уведомление о принятом решении арестовать группу советских служащих железной дороги. Советское руководство узнало об этом благодаря расшифровке японских кодов. В НКИД был подготовлен проект заявления о том, что советское правительство располагает сведениями о предполагающихся акциях маньчжурских властей против советского персонала на КВЖД. Первоначально документ был составлен в достаточно мягких тонах. Каганович, видимо учитывавший осторожность Сталина по отношению к Японии в предыдущий период, специально подчеркивал это в своем письме. Однако на этот раз Сталин решил продемонстрировать твердость и потребовал внести в текст заявления резкий абзац об ответственности Японии за нарушения договоров и за готовившийся захват дороги. 20 сентября</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сталинский вариант был утвержден Политбюро. Сталинские поправки в сентябрьском заявлении отражали существенные перемены, происходившие в позиции советского руководства по отношению к Японии (17281).</w:t>
      </w:r>
    </w:p>
    <w:p w14:paraId="17B5138F" w14:textId="77777777" w:rsidR="00C51D0F" w:rsidRPr="0044524F" w:rsidRDefault="00C51D0F" w:rsidP="009654CF">
      <w:pPr>
        <w:autoSpaceDE w:val="0"/>
        <w:autoSpaceDN w:val="0"/>
        <w:adjustRightInd w:val="0"/>
        <w:spacing w:after="0" w:line="240" w:lineRule="auto"/>
        <w:jc w:val="both"/>
        <w:rPr>
          <w:rFonts w:ascii="Times New Roman" w:hAnsi="Times New Roman"/>
          <w:color w:val="000000" w:themeColor="text1"/>
          <w:sz w:val="16"/>
          <w:szCs w:val="16"/>
        </w:rPr>
      </w:pPr>
    </w:p>
    <w:p w14:paraId="18BC07AE" w14:textId="77777777" w:rsidR="003417C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07F5091" w14:textId="77777777" w:rsidR="003417C8" w:rsidRPr="0044524F" w:rsidRDefault="003417C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F42808D"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26 июня</w:t>
      </w:r>
      <w:r w:rsidRPr="0044524F">
        <w:rPr>
          <w:rFonts w:ascii="Times New Roman" w:hAnsi="Times New Roman"/>
          <w:color w:val="000000" w:themeColor="text1"/>
          <w:sz w:val="16"/>
          <w:szCs w:val="16"/>
        </w:rPr>
        <w:t xml:space="preserve"> в 1933 году гидроплан </w:t>
      </w:r>
      <w:hyperlink r:id="rId225" w:tgtFrame="_blank" w:history="1">
        <w:r w:rsidRPr="0044524F">
          <w:rPr>
            <w:rFonts w:ascii="Times New Roman" w:hAnsi="Times New Roman"/>
            <w:color w:val="000000" w:themeColor="text1"/>
            <w:sz w:val="16"/>
            <w:szCs w:val="16"/>
          </w:rPr>
          <w:t xml:space="preserve">«Walrus» «N-1» </w:t>
        </w:r>
      </w:hyperlink>
      <w:r w:rsidRPr="0044524F">
        <w:rPr>
          <w:rFonts w:ascii="Times New Roman" w:hAnsi="Times New Roman"/>
          <w:color w:val="000000" w:themeColor="text1"/>
          <w:sz w:val="16"/>
          <w:szCs w:val="16"/>
        </w:rPr>
        <w:t>показали общественности и прессе на аэрошоу Общества Британских Авиаконструкторов («SBAC») в Хендоне. Саммерс продемонстрировал пилотажные возможности амфибии, выполнив в показательном полете "мертвую петлю". По окончании шоу прототип вернулся на базу в Вулстоне для продолжения испытаний. После завершения программы самолет 29 июля 1933 г. отправили в Морской Авиационный Экспериментальный Центр («МАЕЕ») в Феликстоу для официальных испытаний под эгидой Министерства Авиации. Непосредственно перед перелетом в МАЕЕ обозначение на борту машины изменили на «N-2», так как выяснилось, что уже находящаяся в Феликстоу летающая лодка "Саутгемптон" (также супермариновской разработки) имеет номер «N-1» (14934).</w:t>
      </w:r>
    </w:p>
    <w:p w14:paraId="254A6BB4" w14:textId="77777777" w:rsidR="003417C8" w:rsidRPr="0044524F" w:rsidRDefault="003417C8" w:rsidP="009654CF">
      <w:pPr>
        <w:spacing w:after="0" w:line="240" w:lineRule="auto"/>
        <w:jc w:val="both"/>
        <w:rPr>
          <w:rFonts w:ascii="Times New Roman" w:hAnsi="Times New Roman"/>
          <w:color w:val="000000" w:themeColor="text1"/>
          <w:sz w:val="16"/>
          <w:szCs w:val="16"/>
        </w:rPr>
      </w:pPr>
    </w:p>
    <w:p w14:paraId="3312AC80"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E706CFF"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A12678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июня 1933 в ВАО ВСНХ были зарегистрированы ростьупившая справка по К-7, подписанная директором завода и ГК К.А.К. и зам. директора по опытному строительству А.Я.Щербаковым:</w:t>
      </w:r>
    </w:p>
    <w:p w14:paraId="5F1BD75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4A2181F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июня 1933 в ВАО ВСНХ были зарегистрированы поступившая справка по К-7 (оп 881с), подписанная директором завода и ГК К.А.К. и зам. директора по опытному строительству А.Я.Щербаковым:</w:t>
      </w:r>
    </w:p>
    <w:p w14:paraId="0282EA2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Основные размеры: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tblGrid>
      <w:tr w:rsidR="004E10C1" w:rsidRPr="0044524F" w14:paraId="1388735D" w14:textId="77777777">
        <w:tc>
          <w:tcPr>
            <w:tcW w:w="4261" w:type="dxa"/>
            <w:tcBorders>
              <w:top w:val="single" w:sz="12" w:space="0" w:color="auto"/>
            </w:tcBorders>
          </w:tcPr>
          <w:p w14:paraId="735C6C7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w:t>
            </w:r>
          </w:p>
        </w:tc>
        <w:tc>
          <w:tcPr>
            <w:tcW w:w="1092" w:type="dxa"/>
            <w:tcBorders>
              <w:top w:val="single" w:sz="12" w:space="0" w:color="auto"/>
            </w:tcBorders>
          </w:tcPr>
          <w:p w14:paraId="3BBB17A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 м</w:t>
            </w:r>
          </w:p>
        </w:tc>
      </w:tr>
      <w:tr w:rsidR="004E10C1" w:rsidRPr="0044524F" w14:paraId="2124E121" w14:textId="77777777">
        <w:tc>
          <w:tcPr>
            <w:tcW w:w="4261" w:type="dxa"/>
          </w:tcPr>
          <w:p w14:paraId="74BE61A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w:t>
            </w:r>
          </w:p>
        </w:tc>
        <w:tc>
          <w:tcPr>
            <w:tcW w:w="1092" w:type="dxa"/>
          </w:tcPr>
          <w:p w14:paraId="46B4CCE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28,184</w:t>
            </w:r>
          </w:p>
        </w:tc>
      </w:tr>
      <w:tr w:rsidR="004E10C1" w:rsidRPr="0044524F" w14:paraId="0193CB00" w14:textId="77777777">
        <w:tc>
          <w:tcPr>
            <w:tcW w:w="4261" w:type="dxa"/>
          </w:tcPr>
          <w:p w14:paraId="1EDD7F7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w:t>
            </w:r>
          </w:p>
        </w:tc>
        <w:tc>
          <w:tcPr>
            <w:tcW w:w="1092" w:type="dxa"/>
          </w:tcPr>
          <w:p w14:paraId="326FAED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w:t>
            </w:r>
          </w:p>
        </w:tc>
      </w:tr>
      <w:tr w:rsidR="004E10C1" w:rsidRPr="0044524F" w14:paraId="1B18B178" w14:textId="77777777">
        <w:tc>
          <w:tcPr>
            <w:tcW w:w="4261" w:type="dxa"/>
          </w:tcPr>
          <w:p w14:paraId="1DDF5E6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 хорда</w:t>
            </w:r>
          </w:p>
        </w:tc>
        <w:tc>
          <w:tcPr>
            <w:tcW w:w="1092" w:type="dxa"/>
          </w:tcPr>
          <w:p w14:paraId="1D3526A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w:t>
            </w:r>
          </w:p>
        </w:tc>
      </w:tr>
      <w:tr w:rsidR="004E10C1" w:rsidRPr="0044524F" w14:paraId="556A9426" w14:textId="77777777">
        <w:tc>
          <w:tcPr>
            <w:tcW w:w="4261" w:type="dxa"/>
          </w:tcPr>
          <w:p w14:paraId="1D5D0DC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 толщина профиля</w:t>
            </w:r>
          </w:p>
        </w:tc>
        <w:tc>
          <w:tcPr>
            <w:tcW w:w="1092" w:type="dxa"/>
          </w:tcPr>
          <w:p w14:paraId="15E6E1A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2,343</w:t>
            </w:r>
          </w:p>
        </w:tc>
      </w:tr>
      <w:tr w:rsidR="004E10C1" w:rsidRPr="0044524F" w14:paraId="1E44C8FB" w14:textId="77777777">
        <w:tc>
          <w:tcPr>
            <w:tcW w:w="4261" w:type="dxa"/>
          </w:tcPr>
          <w:p w14:paraId="74C24FE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Расстояние между шасси</w:t>
            </w:r>
          </w:p>
        </w:tc>
        <w:tc>
          <w:tcPr>
            <w:tcW w:w="1092" w:type="dxa"/>
          </w:tcPr>
          <w:p w14:paraId="5D804E3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r>
      <w:tr w:rsidR="004E10C1" w:rsidRPr="0044524F" w14:paraId="2F99329E" w14:textId="77777777">
        <w:tc>
          <w:tcPr>
            <w:tcW w:w="4261" w:type="dxa"/>
          </w:tcPr>
          <w:p w14:paraId="4FDEFF7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Расстояние между хвостовыми фермами</w:t>
            </w:r>
          </w:p>
        </w:tc>
        <w:tc>
          <w:tcPr>
            <w:tcW w:w="1092" w:type="dxa"/>
          </w:tcPr>
          <w:p w14:paraId="38FBD14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w:t>
            </w:r>
          </w:p>
        </w:tc>
      </w:tr>
      <w:tr w:rsidR="004E10C1" w:rsidRPr="0044524F" w14:paraId="359C0DF3" w14:textId="77777777">
        <w:tc>
          <w:tcPr>
            <w:tcW w:w="4261" w:type="dxa"/>
          </w:tcPr>
          <w:p w14:paraId="2337A15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Расстояние между килями</w:t>
            </w:r>
          </w:p>
        </w:tc>
        <w:tc>
          <w:tcPr>
            <w:tcW w:w="1092" w:type="dxa"/>
          </w:tcPr>
          <w:p w14:paraId="2835DE4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5,85</w:t>
            </w:r>
          </w:p>
        </w:tc>
      </w:tr>
      <w:tr w:rsidR="004E10C1" w:rsidRPr="0044524F" w14:paraId="5DDA6E4F" w14:textId="77777777">
        <w:tc>
          <w:tcPr>
            <w:tcW w:w="4261" w:type="dxa"/>
          </w:tcPr>
          <w:p w14:paraId="3ECFEEC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элеронов</w:t>
            </w:r>
          </w:p>
        </w:tc>
        <w:tc>
          <w:tcPr>
            <w:tcW w:w="1092" w:type="dxa"/>
          </w:tcPr>
          <w:p w14:paraId="4A09324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w:t>
            </w:r>
          </w:p>
        </w:tc>
      </w:tr>
      <w:tr w:rsidR="004E10C1" w:rsidRPr="0044524F" w14:paraId="65E366A5" w14:textId="77777777">
        <w:tc>
          <w:tcPr>
            <w:tcW w:w="4261" w:type="dxa"/>
          </w:tcPr>
          <w:p w14:paraId="1FC6C67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 хорда элерона</w:t>
            </w:r>
          </w:p>
        </w:tc>
        <w:tc>
          <w:tcPr>
            <w:tcW w:w="1092" w:type="dxa"/>
          </w:tcPr>
          <w:p w14:paraId="27B856B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1,647</w:t>
            </w:r>
          </w:p>
        </w:tc>
      </w:tr>
      <w:tr w:rsidR="004E10C1" w:rsidRPr="0044524F" w14:paraId="6088D0E8" w14:textId="77777777">
        <w:tc>
          <w:tcPr>
            <w:tcW w:w="4261" w:type="dxa"/>
          </w:tcPr>
          <w:p w14:paraId="5FE5C2A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горизонтального оперения</w:t>
            </w:r>
          </w:p>
        </w:tc>
        <w:tc>
          <w:tcPr>
            <w:tcW w:w="1092" w:type="dxa"/>
          </w:tcPr>
          <w:p w14:paraId="0C6A2E8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w:t>
            </w:r>
          </w:p>
        </w:tc>
      </w:tr>
      <w:tr w:rsidR="004E10C1" w:rsidRPr="0044524F" w14:paraId="2D0E573D" w14:textId="77777777">
        <w:tc>
          <w:tcPr>
            <w:tcW w:w="4261" w:type="dxa"/>
          </w:tcPr>
          <w:p w14:paraId="7BC32D8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 хорда горизонтального оперения</w:t>
            </w:r>
          </w:p>
        </w:tc>
        <w:tc>
          <w:tcPr>
            <w:tcW w:w="1092" w:type="dxa"/>
          </w:tcPr>
          <w:p w14:paraId="09B62DF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r>
      <w:tr w:rsidR="004E10C1" w:rsidRPr="0044524F" w14:paraId="4264F4DC" w14:textId="77777777">
        <w:tc>
          <w:tcPr>
            <w:tcW w:w="4261" w:type="dxa"/>
          </w:tcPr>
          <w:p w14:paraId="1A35985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 хорда вертикального оперения</w:t>
            </w:r>
          </w:p>
        </w:tc>
        <w:tc>
          <w:tcPr>
            <w:tcW w:w="1092" w:type="dxa"/>
          </w:tcPr>
          <w:p w14:paraId="152187D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r w:rsidR="004E10C1" w:rsidRPr="0044524F" w14:paraId="6FBE3FD8" w14:textId="77777777">
        <w:tc>
          <w:tcPr>
            <w:tcW w:w="4261" w:type="dxa"/>
          </w:tcPr>
          <w:p w14:paraId="361266C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вертикального оперения</w:t>
            </w:r>
          </w:p>
        </w:tc>
        <w:tc>
          <w:tcPr>
            <w:tcW w:w="1092" w:type="dxa"/>
          </w:tcPr>
          <w:p w14:paraId="7AFDA56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r w:rsidR="004E10C1" w:rsidRPr="0044524F" w14:paraId="66DD3314" w14:textId="77777777">
        <w:tc>
          <w:tcPr>
            <w:tcW w:w="4261" w:type="dxa"/>
          </w:tcPr>
          <w:p w14:paraId="70A437E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Расстояние от оси с-та до:</w:t>
            </w:r>
          </w:p>
        </w:tc>
        <w:tc>
          <w:tcPr>
            <w:tcW w:w="1092" w:type="dxa"/>
          </w:tcPr>
          <w:p w14:paraId="6702860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A8E3EF9" w14:textId="77777777">
        <w:tc>
          <w:tcPr>
            <w:tcW w:w="4261" w:type="dxa"/>
          </w:tcPr>
          <w:p w14:paraId="4EFD735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оси первого мотора</w:t>
            </w:r>
          </w:p>
        </w:tc>
        <w:tc>
          <w:tcPr>
            <w:tcW w:w="1092" w:type="dxa"/>
          </w:tcPr>
          <w:p w14:paraId="6C3F7C3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4,125</w:t>
            </w:r>
          </w:p>
        </w:tc>
      </w:tr>
      <w:tr w:rsidR="004E10C1" w:rsidRPr="0044524F" w14:paraId="4911C0BD" w14:textId="77777777">
        <w:tc>
          <w:tcPr>
            <w:tcW w:w="4261" w:type="dxa"/>
          </w:tcPr>
          <w:p w14:paraId="1E12B86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оси второго мотора</w:t>
            </w:r>
          </w:p>
        </w:tc>
        <w:tc>
          <w:tcPr>
            <w:tcW w:w="1092" w:type="dxa"/>
          </w:tcPr>
          <w:p w14:paraId="4F38975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r>
      <w:tr w:rsidR="004E10C1" w:rsidRPr="0044524F" w14:paraId="18ED3543" w14:textId="77777777">
        <w:tc>
          <w:tcPr>
            <w:tcW w:w="4261" w:type="dxa"/>
          </w:tcPr>
          <w:p w14:paraId="491BE2F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оси третьего мотора</w:t>
            </w:r>
          </w:p>
        </w:tc>
        <w:tc>
          <w:tcPr>
            <w:tcW w:w="1092" w:type="dxa"/>
          </w:tcPr>
          <w:p w14:paraId="4DDFAC9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tc>
      </w:tr>
      <w:tr w:rsidR="004E10C1" w:rsidRPr="0044524F" w14:paraId="6228B663" w14:textId="77777777">
        <w:tc>
          <w:tcPr>
            <w:tcW w:w="4261" w:type="dxa"/>
          </w:tcPr>
          <w:p w14:paraId="5F21105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Диаметр винта</w:t>
            </w:r>
          </w:p>
        </w:tc>
        <w:tc>
          <w:tcPr>
            <w:tcW w:w="1092" w:type="dxa"/>
          </w:tcPr>
          <w:p w14:paraId="127D0B5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w:t>
            </w:r>
          </w:p>
        </w:tc>
      </w:tr>
      <w:tr w:rsidR="004E10C1" w:rsidRPr="0044524F" w14:paraId="1A90809A" w14:textId="77777777">
        <w:tc>
          <w:tcPr>
            <w:tcW w:w="4261" w:type="dxa"/>
            <w:tcBorders>
              <w:bottom w:val="single" w:sz="12" w:space="0" w:color="auto"/>
            </w:tcBorders>
          </w:tcPr>
          <w:p w14:paraId="4EE9CD2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Шаг винта</w:t>
            </w:r>
          </w:p>
        </w:tc>
        <w:tc>
          <w:tcPr>
            <w:tcW w:w="1092" w:type="dxa"/>
            <w:tcBorders>
              <w:bottom w:val="single" w:sz="12" w:space="0" w:color="auto"/>
            </w:tcBorders>
          </w:tcPr>
          <w:p w14:paraId="7A6F4AA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2,08</w:t>
            </w:r>
          </w:p>
        </w:tc>
      </w:tr>
    </w:tbl>
    <w:p w14:paraId="34A25EC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Площади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tblGrid>
      <w:tr w:rsidR="004E10C1" w:rsidRPr="0044524F" w14:paraId="182ABFFA" w14:textId="77777777">
        <w:tc>
          <w:tcPr>
            <w:tcW w:w="4261" w:type="dxa"/>
            <w:tcBorders>
              <w:top w:val="single" w:sz="12" w:space="0" w:color="auto"/>
            </w:tcBorders>
          </w:tcPr>
          <w:p w14:paraId="541BA38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с элеронами</w:t>
            </w:r>
          </w:p>
        </w:tc>
        <w:tc>
          <w:tcPr>
            <w:tcW w:w="1092" w:type="dxa"/>
            <w:tcBorders>
              <w:top w:val="single" w:sz="12" w:space="0" w:color="auto"/>
            </w:tcBorders>
          </w:tcPr>
          <w:p w14:paraId="435E6A8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457,7</w:t>
            </w:r>
          </w:p>
        </w:tc>
      </w:tr>
      <w:tr w:rsidR="004E10C1" w:rsidRPr="0044524F" w14:paraId="5619F1FB" w14:textId="77777777">
        <w:tc>
          <w:tcPr>
            <w:tcW w:w="4261" w:type="dxa"/>
          </w:tcPr>
          <w:p w14:paraId="3B138CF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элеронов</w:t>
            </w:r>
          </w:p>
        </w:tc>
        <w:tc>
          <w:tcPr>
            <w:tcW w:w="1092" w:type="dxa"/>
          </w:tcPr>
          <w:p w14:paraId="7814EEC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31,8</w:t>
            </w:r>
          </w:p>
        </w:tc>
      </w:tr>
      <w:tr w:rsidR="004E10C1" w:rsidRPr="0044524F" w14:paraId="0C8EF2A2" w14:textId="77777777">
        <w:tc>
          <w:tcPr>
            <w:tcW w:w="4261" w:type="dxa"/>
          </w:tcPr>
          <w:p w14:paraId="3C651D5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осевой компенсации элеронов</w:t>
            </w:r>
          </w:p>
        </w:tc>
        <w:tc>
          <w:tcPr>
            <w:tcW w:w="1092" w:type="dxa"/>
          </w:tcPr>
          <w:p w14:paraId="0E23C02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4EED6CF0" w14:textId="77777777">
        <w:tc>
          <w:tcPr>
            <w:tcW w:w="4261" w:type="dxa"/>
          </w:tcPr>
          <w:p w14:paraId="62FEE44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сервоэлероновы</w:t>
            </w:r>
          </w:p>
        </w:tc>
        <w:tc>
          <w:tcPr>
            <w:tcW w:w="1092" w:type="dxa"/>
          </w:tcPr>
          <w:p w14:paraId="67875C5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3,82</w:t>
            </w:r>
          </w:p>
        </w:tc>
      </w:tr>
      <w:tr w:rsidR="004E10C1" w:rsidRPr="0044524F" w14:paraId="6FB4C3DC" w14:textId="77777777">
        <w:tc>
          <w:tcPr>
            <w:tcW w:w="4261" w:type="dxa"/>
          </w:tcPr>
          <w:p w14:paraId="0579010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стабилизатора</w:t>
            </w:r>
          </w:p>
        </w:tc>
        <w:tc>
          <w:tcPr>
            <w:tcW w:w="1092" w:type="dxa"/>
          </w:tcPr>
          <w:p w14:paraId="0E29ABE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33,3</w:t>
            </w:r>
          </w:p>
        </w:tc>
      </w:tr>
      <w:tr w:rsidR="004E10C1" w:rsidRPr="0044524F" w14:paraId="35D65775" w14:textId="77777777">
        <w:tc>
          <w:tcPr>
            <w:tcW w:w="4261" w:type="dxa"/>
          </w:tcPr>
          <w:p w14:paraId="04CAD44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руля глубины</w:t>
            </w:r>
          </w:p>
        </w:tc>
        <w:tc>
          <w:tcPr>
            <w:tcW w:w="1092" w:type="dxa"/>
          </w:tcPr>
          <w:p w14:paraId="743F275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0516121C" w14:textId="77777777">
        <w:tc>
          <w:tcPr>
            <w:tcW w:w="4261" w:type="dxa"/>
          </w:tcPr>
          <w:p w14:paraId="7AE5E55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осевой компенсации руля глубины</w:t>
            </w:r>
          </w:p>
        </w:tc>
        <w:tc>
          <w:tcPr>
            <w:tcW w:w="1092" w:type="dxa"/>
          </w:tcPr>
          <w:p w14:paraId="609D140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5,65</w:t>
            </w:r>
          </w:p>
        </w:tc>
      </w:tr>
      <w:tr w:rsidR="004E10C1" w:rsidRPr="0044524F" w14:paraId="1AE91DD2" w14:textId="77777777">
        <w:tc>
          <w:tcPr>
            <w:tcW w:w="4261" w:type="dxa"/>
          </w:tcPr>
          <w:p w14:paraId="3AC16D2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серворуля глубины</w:t>
            </w:r>
          </w:p>
        </w:tc>
        <w:tc>
          <w:tcPr>
            <w:tcW w:w="1092" w:type="dxa"/>
          </w:tcPr>
          <w:p w14:paraId="2986293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2,38</w:t>
            </w:r>
          </w:p>
        </w:tc>
      </w:tr>
      <w:tr w:rsidR="004E10C1" w:rsidRPr="0044524F" w14:paraId="041399ED" w14:textId="77777777">
        <w:tc>
          <w:tcPr>
            <w:tcW w:w="4261" w:type="dxa"/>
          </w:tcPr>
          <w:p w14:paraId="7C29C32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килей</w:t>
            </w:r>
          </w:p>
        </w:tc>
        <w:tc>
          <w:tcPr>
            <w:tcW w:w="1092" w:type="dxa"/>
          </w:tcPr>
          <w:p w14:paraId="69307C0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r>
      <w:tr w:rsidR="004E10C1" w:rsidRPr="0044524F" w14:paraId="653B0CF9" w14:textId="77777777">
        <w:tc>
          <w:tcPr>
            <w:tcW w:w="4261" w:type="dxa"/>
          </w:tcPr>
          <w:p w14:paraId="7F04CA1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Площадь рулей направления</w:t>
            </w:r>
          </w:p>
        </w:tc>
        <w:tc>
          <w:tcPr>
            <w:tcW w:w="1092" w:type="dxa"/>
          </w:tcPr>
          <w:p w14:paraId="75CA195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r>
      <w:tr w:rsidR="004E10C1" w:rsidRPr="0044524F" w14:paraId="76576746" w14:textId="77777777">
        <w:tc>
          <w:tcPr>
            <w:tcW w:w="4261" w:type="dxa"/>
          </w:tcPr>
          <w:p w14:paraId="256D9BB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осевой компенсации рулей направления</w:t>
            </w:r>
          </w:p>
        </w:tc>
        <w:tc>
          <w:tcPr>
            <w:tcW w:w="1092" w:type="dxa"/>
          </w:tcPr>
          <w:p w14:paraId="78FBFE4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5691225E" w14:textId="77777777">
        <w:tc>
          <w:tcPr>
            <w:tcW w:w="4261" w:type="dxa"/>
            <w:tcBorders>
              <w:bottom w:val="single" w:sz="12" w:space="0" w:color="auto"/>
            </w:tcBorders>
          </w:tcPr>
          <w:p w14:paraId="1221D52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серворуля направления</w:t>
            </w:r>
          </w:p>
        </w:tc>
        <w:tc>
          <w:tcPr>
            <w:tcW w:w="1092" w:type="dxa"/>
            <w:tcBorders>
              <w:bottom w:val="single" w:sz="12" w:space="0" w:color="auto"/>
            </w:tcBorders>
          </w:tcPr>
          <w:p w14:paraId="36FB023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1,32</w:t>
            </w:r>
          </w:p>
        </w:tc>
      </w:tr>
    </w:tbl>
    <w:p w14:paraId="18E04BF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tblGrid>
      <w:tr w:rsidR="004E10C1" w:rsidRPr="0044524F" w14:paraId="39A37AE4" w14:textId="77777777">
        <w:tc>
          <w:tcPr>
            <w:tcW w:w="4261" w:type="dxa"/>
            <w:tcBorders>
              <w:top w:val="single" w:sz="12" w:space="0" w:color="auto"/>
            </w:tcBorders>
          </w:tcPr>
          <w:p w14:paraId="6FCDFD3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w:t>
            </w:r>
          </w:p>
        </w:tc>
        <w:tc>
          <w:tcPr>
            <w:tcW w:w="1092" w:type="dxa"/>
            <w:tcBorders>
              <w:top w:val="single" w:sz="12" w:space="0" w:color="auto"/>
            </w:tcBorders>
          </w:tcPr>
          <w:p w14:paraId="4C782EA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М-34 750 нр</w:t>
            </w:r>
          </w:p>
        </w:tc>
      </w:tr>
      <w:tr w:rsidR="004E10C1" w:rsidRPr="0044524F" w14:paraId="65B0A62B" w14:textId="77777777">
        <w:tc>
          <w:tcPr>
            <w:tcW w:w="4261" w:type="dxa"/>
          </w:tcPr>
          <w:p w14:paraId="4FAE40B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моторов</w:t>
            </w:r>
          </w:p>
        </w:tc>
        <w:tc>
          <w:tcPr>
            <w:tcW w:w="1092" w:type="dxa"/>
          </w:tcPr>
          <w:p w14:paraId="6AF575A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r>
      <w:tr w:rsidR="004E10C1" w:rsidRPr="0044524F" w14:paraId="1F9731BA" w14:textId="77777777">
        <w:tc>
          <w:tcPr>
            <w:tcW w:w="4261" w:type="dxa"/>
            <w:tcBorders>
              <w:bottom w:val="single" w:sz="12" w:space="0" w:color="auto"/>
            </w:tcBorders>
          </w:tcPr>
          <w:p w14:paraId="44E3B98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Полная мощность</w:t>
            </w:r>
          </w:p>
        </w:tc>
        <w:tc>
          <w:tcPr>
            <w:tcW w:w="1092" w:type="dxa"/>
            <w:tcBorders>
              <w:bottom w:val="single" w:sz="12" w:space="0" w:color="auto"/>
            </w:tcBorders>
          </w:tcPr>
          <w:p w14:paraId="6F515E2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5250 нр</w:t>
            </w:r>
          </w:p>
        </w:tc>
      </w:tr>
    </w:tbl>
    <w:p w14:paraId="065B81C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Летные данные при полном весе 36 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1"/>
        <w:gridCol w:w="1092"/>
        <w:gridCol w:w="4678"/>
      </w:tblGrid>
      <w:tr w:rsidR="004E10C1" w:rsidRPr="0044524F" w14:paraId="62D00069" w14:textId="77777777">
        <w:tc>
          <w:tcPr>
            <w:tcW w:w="4261" w:type="dxa"/>
            <w:tcBorders>
              <w:top w:val="single" w:sz="12" w:space="0" w:color="auto"/>
            </w:tcBorders>
          </w:tcPr>
          <w:p w14:paraId="7F8E03D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w:t>
            </w:r>
          </w:p>
        </w:tc>
        <w:tc>
          <w:tcPr>
            <w:tcW w:w="1092" w:type="dxa"/>
            <w:tcBorders>
              <w:top w:val="single" w:sz="12" w:space="0" w:color="auto"/>
            </w:tcBorders>
          </w:tcPr>
          <w:p w14:paraId="0635F51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213 км/час</w:t>
            </w:r>
          </w:p>
        </w:tc>
        <w:tc>
          <w:tcPr>
            <w:tcW w:w="4678" w:type="dxa"/>
            <w:tcBorders>
              <w:top w:val="single" w:sz="12" w:space="0" w:color="auto"/>
            </w:tcBorders>
          </w:tcPr>
          <w:p w14:paraId="5F08772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Заметки от 1 июля 1933</w:t>
            </w:r>
          </w:p>
        </w:tc>
      </w:tr>
      <w:tr w:rsidR="004E10C1" w:rsidRPr="0044524F" w14:paraId="7A6A7FE6" w14:textId="77777777">
        <w:tc>
          <w:tcPr>
            <w:tcW w:w="4261" w:type="dxa"/>
          </w:tcPr>
          <w:p w14:paraId="60ACB5E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у земли</w:t>
            </w:r>
          </w:p>
        </w:tc>
        <w:tc>
          <w:tcPr>
            <w:tcW w:w="1092" w:type="dxa"/>
          </w:tcPr>
          <w:p w14:paraId="5CCB3F2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204,5</w:t>
            </w:r>
          </w:p>
        </w:tc>
        <w:tc>
          <w:tcPr>
            <w:tcW w:w="4678" w:type="dxa"/>
          </w:tcPr>
          <w:p w14:paraId="7C41912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1560A9E" w14:textId="77777777">
        <w:tc>
          <w:tcPr>
            <w:tcW w:w="4261" w:type="dxa"/>
          </w:tcPr>
          <w:p w14:paraId="62B988C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высоте 1000 м</w:t>
            </w:r>
          </w:p>
        </w:tc>
        <w:tc>
          <w:tcPr>
            <w:tcW w:w="1092" w:type="dxa"/>
          </w:tcPr>
          <w:p w14:paraId="02C0F54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198,5</w:t>
            </w:r>
          </w:p>
        </w:tc>
        <w:tc>
          <w:tcPr>
            <w:tcW w:w="4678" w:type="dxa"/>
          </w:tcPr>
          <w:p w14:paraId="3F8DE34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DD28E2E" w14:textId="77777777">
        <w:tc>
          <w:tcPr>
            <w:tcW w:w="4261" w:type="dxa"/>
          </w:tcPr>
          <w:p w14:paraId="1CE233B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высоте 3000 м</w:t>
            </w:r>
          </w:p>
        </w:tc>
        <w:tc>
          <w:tcPr>
            <w:tcW w:w="1092" w:type="dxa"/>
          </w:tcPr>
          <w:p w14:paraId="2CE748B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165,5</w:t>
            </w:r>
          </w:p>
        </w:tc>
        <w:tc>
          <w:tcPr>
            <w:tcW w:w="4678" w:type="dxa"/>
          </w:tcPr>
          <w:p w14:paraId="3FDDDF7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по плану РВС д.б. 215 км/час на высоте применения</w:t>
            </w:r>
          </w:p>
        </w:tc>
      </w:tr>
      <w:tr w:rsidR="004E10C1" w:rsidRPr="0044524F" w14:paraId="7349F3A4" w14:textId="77777777">
        <w:tc>
          <w:tcPr>
            <w:tcW w:w="4261" w:type="dxa"/>
          </w:tcPr>
          <w:p w14:paraId="51A54C2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крейсерская у земли</w:t>
            </w:r>
          </w:p>
        </w:tc>
        <w:tc>
          <w:tcPr>
            <w:tcW w:w="1092" w:type="dxa"/>
          </w:tcPr>
          <w:p w14:paraId="4D67856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183</w:t>
            </w:r>
          </w:p>
        </w:tc>
        <w:tc>
          <w:tcPr>
            <w:tcW w:w="4678" w:type="dxa"/>
          </w:tcPr>
          <w:p w14:paraId="1774B4D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485426D" w14:textId="77777777">
        <w:tc>
          <w:tcPr>
            <w:tcW w:w="4261" w:type="dxa"/>
          </w:tcPr>
          <w:p w14:paraId="7714D77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посадочная</w:t>
            </w:r>
          </w:p>
        </w:tc>
        <w:tc>
          <w:tcPr>
            <w:tcW w:w="1092" w:type="dxa"/>
          </w:tcPr>
          <w:p w14:paraId="759B821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96,5</w:t>
            </w:r>
          </w:p>
        </w:tc>
        <w:tc>
          <w:tcPr>
            <w:tcW w:w="4678" w:type="dxa"/>
          </w:tcPr>
          <w:p w14:paraId="69DAA8A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D93F9A0" w14:textId="77777777">
        <w:tc>
          <w:tcPr>
            <w:tcW w:w="4261" w:type="dxa"/>
          </w:tcPr>
          <w:p w14:paraId="0751F9B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Время подъема на 1000 м </w:t>
            </w:r>
          </w:p>
        </w:tc>
        <w:tc>
          <w:tcPr>
            <w:tcW w:w="1092" w:type="dxa"/>
          </w:tcPr>
          <w:p w14:paraId="6EE571B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w:t>
            </w:r>
          </w:p>
        </w:tc>
        <w:tc>
          <w:tcPr>
            <w:tcW w:w="4678" w:type="dxa"/>
          </w:tcPr>
          <w:p w14:paraId="7349497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3C22BDB" w14:textId="77777777">
        <w:tc>
          <w:tcPr>
            <w:tcW w:w="4261" w:type="dxa"/>
          </w:tcPr>
          <w:p w14:paraId="10DC4D2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3000 м</w:t>
            </w:r>
          </w:p>
        </w:tc>
        <w:tc>
          <w:tcPr>
            <w:tcW w:w="1092" w:type="dxa"/>
          </w:tcPr>
          <w:p w14:paraId="6E88F62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57,5</w:t>
            </w:r>
          </w:p>
        </w:tc>
        <w:tc>
          <w:tcPr>
            <w:tcW w:w="4678" w:type="dxa"/>
          </w:tcPr>
          <w:p w14:paraId="17585BB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3150DBB" w14:textId="77777777">
        <w:tc>
          <w:tcPr>
            <w:tcW w:w="4261" w:type="dxa"/>
          </w:tcPr>
          <w:p w14:paraId="3B193DE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3100 м</w:t>
            </w:r>
          </w:p>
        </w:tc>
        <w:tc>
          <w:tcPr>
            <w:tcW w:w="1092" w:type="dxa"/>
          </w:tcPr>
          <w:p w14:paraId="5267F25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678" w:type="dxa"/>
          </w:tcPr>
          <w:p w14:paraId="78C8313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д.б. 3650 м</w:t>
            </w:r>
          </w:p>
        </w:tc>
      </w:tr>
      <w:tr w:rsidR="004E10C1" w:rsidRPr="0044524F" w14:paraId="160B43D2" w14:textId="77777777">
        <w:tc>
          <w:tcPr>
            <w:tcW w:w="4261" w:type="dxa"/>
          </w:tcPr>
          <w:p w14:paraId="49BC976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w:t>
            </w:r>
          </w:p>
        </w:tc>
        <w:tc>
          <w:tcPr>
            <w:tcW w:w="1092" w:type="dxa"/>
          </w:tcPr>
          <w:p w14:paraId="6309F7E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 км</w:t>
            </w:r>
          </w:p>
        </w:tc>
        <w:tc>
          <w:tcPr>
            <w:tcW w:w="4678" w:type="dxa"/>
          </w:tcPr>
          <w:p w14:paraId="10793C4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 д.б. 2000 км</w:t>
            </w:r>
          </w:p>
        </w:tc>
      </w:tr>
      <w:tr w:rsidR="004E10C1" w:rsidRPr="0044524F" w14:paraId="6B73A708" w14:textId="77777777">
        <w:tc>
          <w:tcPr>
            <w:tcW w:w="4261" w:type="dxa"/>
          </w:tcPr>
          <w:p w14:paraId="49358DB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 дальность при весе 43 т на экономичном режиме</w:t>
            </w:r>
          </w:p>
        </w:tc>
        <w:tc>
          <w:tcPr>
            <w:tcW w:w="1092" w:type="dxa"/>
          </w:tcPr>
          <w:p w14:paraId="268A17F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4330</w:t>
            </w:r>
          </w:p>
        </w:tc>
        <w:tc>
          <w:tcPr>
            <w:tcW w:w="4678" w:type="dxa"/>
          </w:tcPr>
          <w:p w14:paraId="1AC750C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1E56C25" w14:textId="77777777">
        <w:tc>
          <w:tcPr>
            <w:tcW w:w="4261" w:type="dxa"/>
            <w:tcBorders>
              <w:bottom w:val="single" w:sz="12" w:space="0" w:color="auto"/>
            </w:tcBorders>
          </w:tcPr>
          <w:p w14:paraId="4EDBC09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 дальность на крейсерском режиме</w:t>
            </w:r>
          </w:p>
        </w:tc>
        <w:tc>
          <w:tcPr>
            <w:tcW w:w="1092" w:type="dxa"/>
            <w:tcBorders>
              <w:bottom w:val="single" w:sz="12" w:space="0" w:color="auto"/>
            </w:tcBorders>
          </w:tcPr>
          <w:p w14:paraId="5F781CD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3740</w:t>
            </w:r>
          </w:p>
        </w:tc>
        <w:tc>
          <w:tcPr>
            <w:tcW w:w="4678" w:type="dxa"/>
            <w:tcBorders>
              <w:bottom w:val="single" w:sz="12" w:space="0" w:color="auto"/>
            </w:tcBorders>
          </w:tcPr>
          <w:p w14:paraId="1DF883C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3972C06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Весовые данные и нагрузка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2"/>
        <w:gridCol w:w="709"/>
        <w:gridCol w:w="1397"/>
        <w:gridCol w:w="699"/>
        <w:gridCol w:w="1306"/>
        <w:gridCol w:w="709"/>
        <w:gridCol w:w="1276"/>
        <w:gridCol w:w="708"/>
        <w:gridCol w:w="1276"/>
        <w:gridCol w:w="709"/>
      </w:tblGrid>
      <w:tr w:rsidR="004E10C1" w:rsidRPr="0044524F" w14:paraId="7C7F3211" w14:textId="77777777">
        <w:tc>
          <w:tcPr>
            <w:tcW w:w="1242" w:type="dxa"/>
            <w:tcBorders>
              <w:top w:val="single" w:sz="12" w:space="0" w:color="auto"/>
            </w:tcBorders>
          </w:tcPr>
          <w:p w14:paraId="024B032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w:t>
            </w:r>
          </w:p>
        </w:tc>
        <w:tc>
          <w:tcPr>
            <w:tcW w:w="709" w:type="dxa"/>
            <w:tcBorders>
              <w:top w:val="single" w:sz="12" w:space="0" w:color="auto"/>
            </w:tcBorders>
          </w:tcPr>
          <w:p w14:paraId="12C4FF0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Borders>
              <w:top w:val="single" w:sz="12" w:space="0" w:color="auto"/>
            </w:tcBorders>
          </w:tcPr>
          <w:p w14:paraId="2A78A62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w:t>
            </w:r>
          </w:p>
        </w:tc>
        <w:tc>
          <w:tcPr>
            <w:tcW w:w="699" w:type="dxa"/>
            <w:tcBorders>
              <w:top w:val="single" w:sz="12" w:space="0" w:color="auto"/>
            </w:tcBorders>
          </w:tcPr>
          <w:p w14:paraId="718B2B9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Borders>
              <w:top w:val="single" w:sz="12" w:space="0" w:color="auto"/>
            </w:tcBorders>
          </w:tcPr>
          <w:p w14:paraId="0315132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12" w:space="0" w:color="auto"/>
            </w:tcBorders>
          </w:tcPr>
          <w:p w14:paraId="5A8BC4C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3F0A21A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top w:val="single" w:sz="12" w:space="0" w:color="auto"/>
            </w:tcBorders>
          </w:tcPr>
          <w:p w14:paraId="02B9D61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Borders>
              <w:top w:val="single" w:sz="12" w:space="0" w:color="auto"/>
            </w:tcBorders>
          </w:tcPr>
          <w:p w14:paraId="2E5702B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top w:val="single" w:sz="12" w:space="0" w:color="auto"/>
            </w:tcBorders>
          </w:tcPr>
          <w:p w14:paraId="5B0F7EC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75DC26A" w14:textId="77777777">
        <w:tc>
          <w:tcPr>
            <w:tcW w:w="1242" w:type="dxa"/>
          </w:tcPr>
          <w:p w14:paraId="36B0A29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15A9B2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7BFE08C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1000 км</w:t>
            </w:r>
          </w:p>
        </w:tc>
        <w:tc>
          <w:tcPr>
            <w:tcW w:w="699" w:type="dxa"/>
          </w:tcPr>
          <w:p w14:paraId="5BA347D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220871C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1000 км</w:t>
            </w:r>
          </w:p>
        </w:tc>
        <w:tc>
          <w:tcPr>
            <w:tcW w:w="709" w:type="dxa"/>
          </w:tcPr>
          <w:p w14:paraId="3900C0B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CEF2BB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2400 км</w:t>
            </w:r>
          </w:p>
        </w:tc>
        <w:tc>
          <w:tcPr>
            <w:tcW w:w="708" w:type="dxa"/>
          </w:tcPr>
          <w:p w14:paraId="2E6DCF0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45ABD93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вариант</w:t>
            </w:r>
          </w:p>
        </w:tc>
        <w:tc>
          <w:tcPr>
            <w:tcW w:w="709" w:type="dxa"/>
          </w:tcPr>
          <w:p w14:paraId="6CBA04F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560DC77" w14:textId="77777777">
        <w:tc>
          <w:tcPr>
            <w:tcW w:w="1242" w:type="dxa"/>
          </w:tcPr>
          <w:p w14:paraId="22F81D0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Хвостовые фермы</w:t>
            </w:r>
          </w:p>
        </w:tc>
        <w:tc>
          <w:tcPr>
            <w:tcW w:w="709" w:type="dxa"/>
          </w:tcPr>
          <w:p w14:paraId="237E31B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730,35</w:t>
            </w:r>
          </w:p>
        </w:tc>
        <w:tc>
          <w:tcPr>
            <w:tcW w:w="1397" w:type="dxa"/>
          </w:tcPr>
          <w:p w14:paraId="3B461EB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и обор.</w:t>
            </w:r>
          </w:p>
        </w:tc>
        <w:tc>
          <w:tcPr>
            <w:tcW w:w="699" w:type="dxa"/>
          </w:tcPr>
          <w:p w14:paraId="0C14EEC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3040</w:t>
            </w:r>
          </w:p>
        </w:tc>
        <w:tc>
          <w:tcPr>
            <w:tcW w:w="1306" w:type="dxa"/>
          </w:tcPr>
          <w:p w14:paraId="1A1A21A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7894B0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3400</w:t>
            </w:r>
          </w:p>
        </w:tc>
        <w:tc>
          <w:tcPr>
            <w:tcW w:w="1276" w:type="dxa"/>
          </w:tcPr>
          <w:p w14:paraId="690FF2B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3DFC9C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3040</w:t>
            </w:r>
          </w:p>
        </w:tc>
        <w:tc>
          <w:tcPr>
            <w:tcW w:w="1276" w:type="dxa"/>
          </w:tcPr>
          <w:p w14:paraId="5B4C829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 пассажира</w:t>
            </w:r>
          </w:p>
        </w:tc>
        <w:tc>
          <w:tcPr>
            <w:tcW w:w="709" w:type="dxa"/>
          </w:tcPr>
          <w:p w14:paraId="213B275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5120</w:t>
            </w:r>
          </w:p>
        </w:tc>
      </w:tr>
      <w:tr w:rsidR="004E10C1" w:rsidRPr="0044524F" w14:paraId="462724ED" w14:textId="77777777">
        <w:tc>
          <w:tcPr>
            <w:tcW w:w="1242" w:type="dxa"/>
          </w:tcPr>
          <w:p w14:paraId="1FF6B35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w:t>
            </w:r>
          </w:p>
        </w:tc>
        <w:tc>
          <w:tcPr>
            <w:tcW w:w="709" w:type="dxa"/>
          </w:tcPr>
          <w:p w14:paraId="564B296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3160,75</w:t>
            </w:r>
          </w:p>
        </w:tc>
        <w:tc>
          <w:tcPr>
            <w:tcW w:w="1397" w:type="dxa"/>
          </w:tcPr>
          <w:p w14:paraId="1C7F7C7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Приспособления для подвески</w:t>
            </w:r>
          </w:p>
        </w:tc>
        <w:tc>
          <w:tcPr>
            <w:tcW w:w="699" w:type="dxa"/>
          </w:tcPr>
          <w:p w14:paraId="61D63E8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w:t>
            </w:r>
          </w:p>
        </w:tc>
        <w:tc>
          <w:tcPr>
            <w:tcW w:w="1306" w:type="dxa"/>
          </w:tcPr>
          <w:p w14:paraId="732A0A2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Приспособления для сбрасывания</w:t>
            </w:r>
          </w:p>
        </w:tc>
        <w:tc>
          <w:tcPr>
            <w:tcW w:w="709" w:type="dxa"/>
          </w:tcPr>
          <w:p w14:paraId="2ED441B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276" w:type="dxa"/>
          </w:tcPr>
          <w:p w14:paraId="1FEA420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Приспособления для подвески</w:t>
            </w:r>
          </w:p>
        </w:tc>
        <w:tc>
          <w:tcPr>
            <w:tcW w:w="708" w:type="dxa"/>
          </w:tcPr>
          <w:p w14:paraId="78F3EEF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w:t>
            </w:r>
          </w:p>
        </w:tc>
        <w:tc>
          <w:tcPr>
            <w:tcW w:w="1276" w:type="dxa"/>
          </w:tcPr>
          <w:p w14:paraId="4124680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Багаж</w:t>
            </w:r>
          </w:p>
        </w:tc>
        <w:tc>
          <w:tcPr>
            <w:tcW w:w="709" w:type="dxa"/>
          </w:tcPr>
          <w:p w14:paraId="2CB8BC9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4400</w:t>
            </w:r>
          </w:p>
        </w:tc>
      </w:tr>
      <w:tr w:rsidR="004E10C1" w:rsidRPr="0044524F" w14:paraId="48C5C205" w14:textId="77777777">
        <w:tc>
          <w:tcPr>
            <w:tcW w:w="1242" w:type="dxa"/>
          </w:tcPr>
          <w:p w14:paraId="66C0638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Мотоустановка</w:t>
            </w:r>
          </w:p>
        </w:tc>
        <w:tc>
          <w:tcPr>
            <w:tcW w:w="709" w:type="dxa"/>
          </w:tcPr>
          <w:p w14:paraId="7DB7EEB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8540</w:t>
            </w:r>
          </w:p>
        </w:tc>
        <w:tc>
          <w:tcPr>
            <w:tcW w:w="1397" w:type="dxa"/>
          </w:tcPr>
          <w:p w14:paraId="144CC74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Горючее им смазочное</w:t>
            </w:r>
          </w:p>
        </w:tc>
        <w:tc>
          <w:tcPr>
            <w:tcW w:w="699" w:type="dxa"/>
          </w:tcPr>
          <w:p w14:paraId="6086CE6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5400</w:t>
            </w:r>
          </w:p>
        </w:tc>
        <w:tc>
          <w:tcPr>
            <w:tcW w:w="1306" w:type="dxa"/>
          </w:tcPr>
          <w:p w14:paraId="2EAA3CA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3E5EC0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6160</w:t>
            </w:r>
          </w:p>
        </w:tc>
        <w:tc>
          <w:tcPr>
            <w:tcW w:w="1276" w:type="dxa"/>
          </w:tcPr>
          <w:p w14:paraId="369D5B3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4DC1BC3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13600</w:t>
            </w:r>
          </w:p>
        </w:tc>
        <w:tc>
          <w:tcPr>
            <w:tcW w:w="1276" w:type="dxa"/>
          </w:tcPr>
          <w:p w14:paraId="1C5ED61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D47DBB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5400</w:t>
            </w:r>
          </w:p>
        </w:tc>
      </w:tr>
      <w:tr w:rsidR="004E10C1" w:rsidRPr="0044524F" w14:paraId="11F48178" w14:textId="77777777">
        <w:tc>
          <w:tcPr>
            <w:tcW w:w="1242" w:type="dxa"/>
          </w:tcPr>
          <w:p w14:paraId="65B1041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Центроплан</w:t>
            </w:r>
          </w:p>
        </w:tc>
        <w:tc>
          <w:tcPr>
            <w:tcW w:w="709" w:type="dxa"/>
          </w:tcPr>
          <w:p w14:paraId="52F6009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3820</w:t>
            </w:r>
          </w:p>
        </w:tc>
        <w:tc>
          <w:tcPr>
            <w:tcW w:w="1397" w:type="dxa"/>
          </w:tcPr>
          <w:p w14:paraId="4281FA8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Сбрасываемый груз</w:t>
            </w:r>
          </w:p>
        </w:tc>
        <w:tc>
          <w:tcPr>
            <w:tcW w:w="699" w:type="dxa"/>
          </w:tcPr>
          <w:p w14:paraId="0F74B3B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w:t>
            </w:r>
          </w:p>
        </w:tc>
        <w:tc>
          <w:tcPr>
            <w:tcW w:w="1306" w:type="dxa"/>
          </w:tcPr>
          <w:p w14:paraId="0B1EF61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DD42AF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14000</w:t>
            </w:r>
          </w:p>
        </w:tc>
        <w:tc>
          <w:tcPr>
            <w:tcW w:w="1276" w:type="dxa"/>
          </w:tcPr>
          <w:p w14:paraId="0F82538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5CB222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6240</w:t>
            </w:r>
          </w:p>
        </w:tc>
        <w:tc>
          <w:tcPr>
            <w:tcW w:w="1276" w:type="dxa"/>
          </w:tcPr>
          <w:p w14:paraId="2CEB2B2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Продовольствие и вода</w:t>
            </w:r>
          </w:p>
        </w:tc>
        <w:tc>
          <w:tcPr>
            <w:tcW w:w="709" w:type="dxa"/>
          </w:tcPr>
          <w:p w14:paraId="54E28AD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480</w:t>
            </w:r>
          </w:p>
        </w:tc>
      </w:tr>
      <w:tr w:rsidR="004E10C1" w:rsidRPr="0044524F" w14:paraId="4CF03DE9" w14:textId="77777777">
        <w:tc>
          <w:tcPr>
            <w:tcW w:w="1242" w:type="dxa"/>
          </w:tcPr>
          <w:p w14:paraId="6C1790A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Открылки</w:t>
            </w:r>
          </w:p>
        </w:tc>
        <w:tc>
          <w:tcPr>
            <w:tcW w:w="709" w:type="dxa"/>
          </w:tcPr>
          <w:p w14:paraId="5F14B85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2325</w:t>
            </w:r>
          </w:p>
        </w:tc>
        <w:tc>
          <w:tcPr>
            <w:tcW w:w="1397" w:type="dxa"/>
          </w:tcPr>
          <w:p w14:paraId="38F00C6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C19043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16C2A2C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3EC1B3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53DDD6A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Добавочные баки</w:t>
            </w:r>
          </w:p>
        </w:tc>
        <w:tc>
          <w:tcPr>
            <w:tcW w:w="708" w:type="dxa"/>
          </w:tcPr>
          <w:p w14:paraId="008119F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tc>
        <w:tc>
          <w:tcPr>
            <w:tcW w:w="1276" w:type="dxa"/>
          </w:tcPr>
          <w:p w14:paraId="73CEDDC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w:t>
            </w:r>
          </w:p>
        </w:tc>
        <w:tc>
          <w:tcPr>
            <w:tcW w:w="709" w:type="dxa"/>
          </w:tcPr>
          <w:p w14:paraId="621EA6C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640</w:t>
            </w:r>
          </w:p>
        </w:tc>
      </w:tr>
      <w:tr w:rsidR="004E10C1" w:rsidRPr="0044524F" w14:paraId="25D43371" w14:textId="77777777">
        <w:tc>
          <w:tcPr>
            <w:tcW w:w="1242" w:type="dxa"/>
          </w:tcPr>
          <w:p w14:paraId="378400E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Хвостовое оперение</w:t>
            </w:r>
          </w:p>
        </w:tc>
        <w:tc>
          <w:tcPr>
            <w:tcW w:w="709" w:type="dxa"/>
          </w:tcPr>
          <w:p w14:paraId="5E22FE3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680</w:t>
            </w:r>
          </w:p>
        </w:tc>
        <w:tc>
          <w:tcPr>
            <w:tcW w:w="1397" w:type="dxa"/>
          </w:tcPr>
          <w:p w14:paraId="7F7FB0E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0B2E38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49CFF99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AA6717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E5ACB3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C342FD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91D146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BA50C4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3631283" w14:textId="77777777">
        <w:tc>
          <w:tcPr>
            <w:tcW w:w="1242" w:type="dxa"/>
          </w:tcPr>
          <w:p w14:paraId="58C64C5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w:t>
            </w:r>
          </w:p>
        </w:tc>
        <w:tc>
          <w:tcPr>
            <w:tcW w:w="709" w:type="dxa"/>
          </w:tcPr>
          <w:p w14:paraId="4A6C959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w:t>
            </w:r>
          </w:p>
        </w:tc>
        <w:tc>
          <w:tcPr>
            <w:tcW w:w="1397" w:type="dxa"/>
          </w:tcPr>
          <w:p w14:paraId="42B32A0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E60318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7B58B97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D1127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0BECE5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2FE379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DA79C3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52207CD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88D12A8" w14:textId="77777777">
        <w:tc>
          <w:tcPr>
            <w:tcW w:w="1242" w:type="dxa"/>
          </w:tcPr>
          <w:p w14:paraId="4AC9F87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Рубка</w:t>
            </w:r>
          </w:p>
        </w:tc>
        <w:tc>
          <w:tcPr>
            <w:tcW w:w="709" w:type="dxa"/>
          </w:tcPr>
          <w:p w14:paraId="414DD50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w:t>
            </w:r>
          </w:p>
        </w:tc>
        <w:tc>
          <w:tcPr>
            <w:tcW w:w="1397" w:type="dxa"/>
          </w:tcPr>
          <w:p w14:paraId="61F1772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77513A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06" w:type="dxa"/>
          </w:tcPr>
          <w:p w14:paraId="318074A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8088D0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B17154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6F97B5B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A23B3A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6AFFD1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D249D0E" w14:textId="77777777">
        <w:tc>
          <w:tcPr>
            <w:tcW w:w="1242" w:type="dxa"/>
          </w:tcPr>
          <w:p w14:paraId="77116C7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709" w:type="dxa"/>
          </w:tcPr>
          <w:p w14:paraId="727A8B8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20000</w:t>
            </w:r>
          </w:p>
        </w:tc>
        <w:tc>
          <w:tcPr>
            <w:tcW w:w="1397" w:type="dxa"/>
          </w:tcPr>
          <w:p w14:paraId="6247E81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BA0057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16000</w:t>
            </w:r>
          </w:p>
        </w:tc>
        <w:tc>
          <w:tcPr>
            <w:tcW w:w="1306" w:type="dxa"/>
          </w:tcPr>
          <w:p w14:paraId="44FF504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1B83CF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23000</w:t>
            </w:r>
          </w:p>
        </w:tc>
        <w:tc>
          <w:tcPr>
            <w:tcW w:w="1276" w:type="dxa"/>
          </w:tcPr>
          <w:p w14:paraId="6407A2E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1401433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22410</w:t>
            </w:r>
          </w:p>
        </w:tc>
        <w:tc>
          <w:tcPr>
            <w:tcW w:w="1276" w:type="dxa"/>
          </w:tcPr>
          <w:p w14:paraId="0F7CAA3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C9BB96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16000</w:t>
            </w:r>
          </w:p>
        </w:tc>
      </w:tr>
      <w:tr w:rsidR="004E10C1" w:rsidRPr="0044524F" w14:paraId="2F67E981" w14:textId="77777777">
        <w:tc>
          <w:tcPr>
            <w:tcW w:w="1242" w:type="dxa"/>
          </w:tcPr>
          <w:p w14:paraId="40A9E67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Полный полетный</w:t>
            </w:r>
          </w:p>
        </w:tc>
        <w:tc>
          <w:tcPr>
            <w:tcW w:w="709" w:type="dxa"/>
          </w:tcPr>
          <w:p w14:paraId="50FC69C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7E72063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7765B53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36000</w:t>
            </w:r>
          </w:p>
        </w:tc>
        <w:tc>
          <w:tcPr>
            <w:tcW w:w="1306" w:type="dxa"/>
          </w:tcPr>
          <w:p w14:paraId="13E6BAC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5993BF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43000</w:t>
            </w:r>
          </w:p>
        </w:tc>
        <w:tc>
          <w:tcPr>
            <w:tcW w:w="1276" w:type="dxa"/>
          </w:tcPr>
          <w:p w14:paraId="329F39D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217BD52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42520</w:t>
            </w:r>
          </w:p>
        </w:tc>
        <w:tc>
          <w:tcPr>
            <w:tcW w:w="1276" w:type="dxa"/>
          </w:tcPr>
          <w:p w14:paraId="26AC713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80FC9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36000</w:t>
            </w:r>
          </w:p>
        </w:tc>
      </w:tr>
      <w:tr w:rsidR="004E10C1" w:rsidRPr="0044524F" w14:paraId="7BB4F078" w14:textId="77777777">
        <w:tc>
          <w:tcPr>
            <w:tcW w:w="1242" w:type="dxa"/>
          </w:tcPr>
          <w:p w14:paraId="4075C4D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полезной нагрузки</w:t>
            </w:r>
          </w:p>
        </w:tc>
        <w:tc>
          <w:tcPr>
            <w:tcW w:w="709" w:type="dxa"/>
          </w:tcPr>
          <w:p w14:paraId="010E4BA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1C79C2D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0634F5F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44,45</w:t>
            </w:r>
          </w:p>
        </w:tc>
        <w:tc>
          <w:tcPr>
            <w:tcW w:w="1306" w:type="dxa"/>
          </w:tcPr>
          <w:p w14:paraId="38CD091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2CE29F5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52,3</w:t>
            </w:r>
          </w:p>
        </w:tc>
        <w:tc>
          <w:tcPr>
            <w:tcW w:w="1276" w:type="dxa"/>
          </w:tcPr>
          <w:p w14:paraId="0D06D46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5A0FFF9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50,9</w:t>
            </w:r>
          </w:p>
        </w:tc>
        <w:tc>
          <w:tcPr>
            <w:tcW w:w="1276" w:type="dxa"/>
          </w:tcPr>
          <w:p w14:paraId="32CCFAD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CC0637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44,45</w:t>
            </w:r>
          </w:p>
        </w:tc>
      </w:tr>
      <w:tr w:rsidR="004E10C1" w:rsidRPr="0044524F" w14:paraId="7E59828C" w14:textId="77777777">
        <w:tc>
          <w:tcPr>
            <w:tcW w:w="1242" w:type="dxa"/>
          </w:tcPr>
          <w:p w14:paraId="677A31C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1 нр</w:t>
            </w:r>
          </w:p>
        </w:tc>
        <w:tc>
          <w:tcPr>
            <w:tcW w:w="709" w:type="dxa"/>
          </w:tcPr>
          <w:p w14:paraId="55D4F88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664E832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6D0AF0B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1306" w:type="dxa"/>
          </w:tcPr>
          <w:p w14:paraId="57C0C1F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18DE10C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w:t>
            </w:r>
          </w:p>
        </w:tc>
        <w:tc>
          <w:tcPr>
            <w:tcW w:w="1276" w:type="dxa"/>
          </w:tcPr>
          <w:p w14:paraId="1A355E6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C74832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w:t>
            </w:r>
          </w:p>
        </w:tc>
        <w:tc>
          <w:tcPr>
            <w:tcW w:w="1276" w:type="dxa"/>
          </w:tcPr>
          <w:p w14:paraId="6CD7EC7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3297A31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r>
      <w:tr w:rsidR="004E10C1" w:rsidRPr="0044524F" w14:paraId="72C88C12" w14:textId="77777777">
        <w:tc>
          <w:tcPr>
            <w:tcW w:w="1242" w:type="dxa"/>
          </w:tcPr>
          <w:p w14:paraId="4AF22E1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м2</w:t>
            </w:r>
          </w:p>
        </w:tc>
        <w:tc>
          <w:tcPr>
            <w:tcW w:w="709" w:type="dxa"/>
          </w:tcPr>
          <w:p w14:paraId="47DF24A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Pr>
          <w:p w14:paraId="568E4E5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Pr>
          <w:p w14:paraId="2C6075D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78,2</w:t>
            </w:r>
          </w:p>
        </w:tc>
        <w:tc>
          <w:tcPr>
            <w:tcW w:w="1306" w:type="dxa"/>
          </w:tcPr>
          <w:p w14:paraId="0B9573D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7F8A354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98,5</w:t>
            </w:r>
          </w:p>
        </w:tc>
        <w:tc>
          <w:tcPr>
            <w:tcW w:w="1276" w:type="dxa"/>
          </w:tcPr>
          <w:p w14:paraId="7429EE4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Pr>
          <w:p w14:paraId="07A6265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98,5</w:t>
            </w:r>
          </w:p>
        </w:tc>
        <w:tc>
          <w:tcPr>
            <w:tcW w:w="1276" w:type="dxa"/>
          </w:tcPr>
          <w:p w14:paraId="0C1941F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Pr>
          <w:p w14:paraId="4003F48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78,2</w:t>
            </w:r>
          </w:p>
        </w:tc>
      </w:tr>
      <w:tr w:rsidR="004E10C1" w:rsidRPr="0044524F" w14:paraId="264E0E08" w14:textId="77777777">
        <w:tc>
          <w:tcPr>
            <w:tcW w:w="1242" w:type="dxa"/>
            <w:tcBorders>
              <w:bottom w:val="single" w:sz="12" w:space="0" w:color="auto"/>
            </w:tcBorders>
          </w:tcPr>
          <w:p w14:paraId="12B2951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Сила на площадь</w:t>
            </w:r>
          </w:p>
        </w:tc>
        <w:tc>
          <w:tcPr>
            <w:tcW w:w="709" w:type="dxa"/>
            <w:tcBorders>
              <w:bottom w:val="single" w:sz="12" w:space="0" w:color="auto"/>
            </w:tcBorders>
          </w:tcPr>
          <w:p w14:paraId="680F35B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97" w:type="dxa"/>
            <w:tcBorders>
              <w:bottom w:val="single" w:sz="12" w:space="0" w:color="auto"/>
            </w:tcBorders>
          </w:tcPr>
          <w:p w14:paraId="2A8C0EC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99" w:type="dxa"/>
            <w:tcBorders>
              <w:bottom w:val="single" w:sz="12" w:space="0" w:color="auto"/>
            </w:tcBorders>
          </w:tcPr>
          <w:p w14:paraId="5A1F168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w:t>
            </w:r>
          </w:p>
        </w:tc>
        <w:tc>
          <w:tcPr>
            <w:tcW w:w="1306" w:type="dxa"/>
            <w:tcBorders>
              <w:bottom w:val="single" w:sz="12" w:space="0" w:color="auto"/>
            </w:tcBorders>
          </w:tcPr>
          <w:p w14:paraId="75B0CC2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1A95D9F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w:t>
            </w:r>
          </w:p>
        </w:tc>
        <w:tc>
          <w:tcPr>
            <w:tcW w:w="1276" w:type="dxa"/>
            <w:tcBorders>
              <w:bottom w:val="single" w:sz="12" w:space="0" w:color="auto"/>
            </w:tcBorders>
          </w:tcPr>
          <w:p w14:paraId="01D7260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8" w:type="dxa"/>
            <w:tcBorders>
              <w:bottom w:val="single" w:sz="12" w:space="0" w:color="auto"/>
            </w:tcBorders>
          </w:tcPr>
          <w:p w14:paraId="35D9CF5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w:t>
            </w:r>
          </w:p>
        </w:tc>
        <w:tc>
          <w:tcPr>
            <w:tcW w:w="1276" w:type="dxa"/>
            <w:tcBorders>
              <w:bottom w:val="single" w:sz="12" w:space="0" w:color="auto"/>
            </w:tcBorders>
          </w:tcPr>
          <w:p w14:paraId="7FF3909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09" w:type="dxa"/>
            <w:tcBorders>
              <w:bottom w:val="single" w:sz="12" w:space="0" w:color="auto"/>
            </w:tcBorders>
          </w:tcPr>
          <w:p w14:paraId="3E00231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w:t>
            </w:r>
          </w:p>
        </w:tc>
      </w:tr>
    </w:tbl>
    <w:p w14:paraId="1B7D0DF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(2306,38).</w:t>
      </w:r>
    </w:p>
    <w:p w14:paraId="278E8EE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230C4421"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89E592B"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DCF7C6B"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28 июня по 29 июля 1933 года проходили совместные испытания головного серийного самолета «Z» № 39004 с мотором Гном Рон ЮVI 9 АО (6787).</w:t>
      </w:r>
    </w:p>
    <w:p w14:paraId="7BE4FEBE"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1B0DB21E"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Холодов</w:t>
      </w:r>
    </w:p>
    <w:p w14:paraId="7776DC5F"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Попов</w:t>
      </w:r>
    </w:p>
    <w:p w14:paraId="25F1208C"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2E7A7466"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самолета и выявление дефектов для исправления их на последующих образцах.</w:t>
      </w:r>
    </w:p>
    <w:p w14:paraId="2AD04938"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395ACDB" w14:textId="77777777" w:rsidR="00664564" w:rsidRPr="0044524F" w:rsidRDefault="0066456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совершенно необходимым форсировать доводку пушечного вооружения с тем, чтобы последнее было испытано на самолете не позднее 1 сентября 1932 года.</w:t>
      </w:r>
    </w:p>
    <w:p w14:paraId="70151A48"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749E3C5B"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поступил на испытания – 28 июня 1932 года</w:t>
      </w:r>
    </w:p>
    <w:p w14:paraId="757E672A"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начато – 28 июня 1932 года</w:t>
      </w:r>
    </w:p>
    <w:p w14:paraId="0D48BD0F"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окончено – 29 июля 1932 года</w:t>
      </w:r>
    </w:p>
    <w:p w14:paraId="3A89933C"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испытания 32 календарных дня.</w:t>
      </w:r>
    </w:p>
    <w:p w14:paraId="4AE233C5"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произведено в 9 летных дней (6787).</w:t>
      </w:r>
    </w:p>
    <w:p w14:paraId="62E8F7A3"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7117B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июня 1933 года вышло Постановление СНК N 1317/295с О постройке морского самолета.</w:t>
      </w:r>
    </w:p>
    <w:p w14:paraId="73A75F6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СНК постановляет:</w:t>
      </w:r>
    </w:p>
    <w:p w14:paraId="77030A4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предложение летчика Чухновского о постройке морского самолета пригодного для работы во внебазовых условиях (3899,307).</w:t>
      </w:r>
    </w:p>
    <w:p w14:paraId="4AADC09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Возложить на Чухновского выбор типа самолета, предъявление к нему заданий, наблюдение за его постройкой и подбор инженеров и конструкторов.</w:t>
      </w:r>
    </w:p>
    <w:p w14:paraId="06C37F9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Откомандировать на эту работу инженера - морского летчика Коровина А.Л. _..</w:t>
      </w:r>
    </w:p>
    <w:p w14:paraId="15025F9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Создать для проектирования самолета конструкторское бюро, возглавляемое инженером-самолетостроителем Бартини, работающим в ГУГВФ.</w:t>
      </w:r>
    </w:p>
    <w:p w14:paraId="1719928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базу для постройки самолета - завод им. Марти в Ленинграде.</w:t>
      </w:r>
    </w:p>
    <w:p w14:paraId="4B17E04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Обязать Кондратьева и Чухновского закончить постройку самолета к 1 мая 1934 года с тем, чтобы испытать самолет на Севере в летнюю навигацию (3899,307).</w:t>
      </w:r>
    </w:p>
    <w:p w14:paraId="6E03A7F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D503E2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июня 1933 года постановление № 1317/295с СНК</w:t>
      </w:r>
    </w:p>
    <w:p w14:paraId="2A6C018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постройке морского самолета</w:t>
      </w:r>
    </w:p>
    <w:p w14:paraId="0C828E5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СНК постановляет:</w:t>
      </w:r>
    </w:p>
    <w:p w14:paraId="079AE58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предложение летчика Чухновского о постройке морского самолета, пригодного для работы во внебазовых условиях, в связи с чем:</w:t>
      </w:r>
    </w:p>
    <w:p w14:paraId="5C649B60" w14:textId="77777777" w:rsidR="00664564" w:rsidRPr="0044524F" w:rsidRDefault="0066456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Возложить на Чухновского выбор типа самолета, предъявление к нему заданий, наблюдение за его постройкой и подбор инженеров и конструкторов.</w:t>
      </w:r>
    </w:p>
    <w:p w14:paraId="1AA98D37" w14:textId="77777777" w:rsidR="00664564" w:rsidRPr="0044524F" w:rsidRDefault="0066456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Откомандировать на эту работу инженера – морского летчика Коровина В.Л. – временно исполняющего обязанности технического директора Воронежского авиазавода.</w:t>
      </w:r>
    </w:p>
    <w:p w14:paraId="759B3A90" w14:textId="77777777" w:rsidR="00664564" w:rsidRPr="0044524F" w:rsidRDefault="0066456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Создать для проектирования самолета КБ, возглавляемое инженером-самолетостроителем Бартини, работающим в ГУГВФ.</w:t>
      </w:r>
    </w:p>
    <w:p w14:paraId="5F22A05E" w14:textId="77777777" w:rsidR="00664564" w:rsidRPr="0044524F" w:rsidRDefault="0066456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Возложить хозяйственно-оперативные обязанности на Гл. управление судостроительной промышленности в Ленинграде.</w:t>
      </w:r>
    </w:p>
    <w:p w14:paraId="4E6F324E" w14:textId="77777777" w:rsidR="00664564" w:rsidRPr="0044524F" w:rsidRDefault="0066456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базу для постройки самолета – завод им. Марти в Ленинграде.</w:t>
      </w:r>
    </w:p>
    <w:p w14:paraId="1AE9B35A" w14:textId="77777777" w:rsidR="00664564" w:rsidRPr="0044524F" w:rsidRDefault="0066456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Средства на постройку самолета отпустить из резервного фонда СНК, ориентировочно до полутора миллионов рублей.</w:t>
      </w:r>
    </w:p>
    <w:p w14:paraId="12925572" w14:textId="77777777" w:rsidR="00664564" w:rsidRPr="0044524F" w:rsidRDefault="0066456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Кондратьева и Чухновского закончить постройку самолета к 1 мая 1934 года с тем, чтобы испытать самолет на Севере в летнюю навигацию (7503, 50).</w:t>
      </w:r>
    </w:p>
    <w:p w14:paraId="12E4B069" w14:textId="77777777" w:rsidR="00664564" w:rsidRPr="0044524F" w:rsidRDefault="00664564"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6A50763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июня 1933 на совещании у начальника КОСОС А.Н.Т. обсуждался план работ конструкторского отдела и ЗОК (1077,178).</w:t>
      </w:r>
    </w:p>
    <w:p w14:paraId="2BD5416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62143D48" w14:textId="77777777" w:rsidR="00DE09B3" w:rsidRPr="0044524F" w:rsidRDefault="00DE09B3" w:rsidP="00DE09B3">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D7FE0C7" w14:textId="77777777" w:rsidR="00DE09B3" w:rsidRPr="0044524F" w:rsidRDefault="00DE09B3" w:rsidP="00DE09B3">
      <w:pPr>
        <w:autoSpaceDE w:val="0"/>
        <w:autoSpaceDN w:val="0"/>
        <w:adjustRightInd w:val="0"/>
        <w:spacing w:after="0" w:line="240" w:lineRule="auto"/>
        <w:jc w:val="both"/>
        <w:rPr>
          <w:rFonts w:ascii="Times New Roman" w:hAnsi="Times New Roman"/>
          <w:i/>
          <w:iCs/>
          <w:color w:val="000000" w:themeColor="text1"/>
          <w:sz w:val="16"/>
          <w:szCs w:val="16"/>
        </w:rPr>
      </w:pPr>
    </w:p>
    <w:p w14:paraId="7BE2C416" w14:textId="77777777" w:rsidR="00DE09B3" w:rsidRPr="00142305" w:rsidRDefault="00DE09B3" w:rsidP="00DE0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28 по 30 июня 1933 года провели ис</w:t>
      </w:r>
      <w:r w:rsidRPr="00142305">
        <w:rPr>
          <w:rFonts w:ascii="Times New Roman" w:hAnsi="Times New Roman"/>
          <w:color w:val="0070C0"/>
          <w:sz w:val="16"/>
          <w:szCs w:val="16"/>
        </w:rPr>
        <w:softHyphen/>
        <w:t>пытания доработанной установки 45-мм орудия в БТ-2, закончившиеся не</w:t>
      </w:r>
      <w:r w:rsidRPr="00142305">
        <w:rPr>
          <w:rFonts w:ascii="Times New Roman" w:hAnsi="Times New Roman"/>
          <w:color w:val="0070C0"/>
          <w:sz w:val="16"/>
          <w:szCs w:val="16"/>
        </w:rPr>
        <w:softHyphen/>
        <w:t>удачно — в результате ее признали слож</w:t>
      </w:r>
      <w:r w:rsidRPr="00142305">
        <w:rPr>
          <w:rFonts w:ascii="Times New Roman" w:hAnsi="Times New Roman"/>
          <w:color w:val="0070C0"/>
          <w:sz w:val="16"/>
          <w:szCs w:val="16"/>
        </w:rPr>
        <w:softHyphen/>
        <w:t xml:space="preserve">ной в изготовлении и дорогой, и в серию она не пошла. </w:t>
      </w:r>
    </w:p>
    <w:p w14:paraId="45896A9D" w14:textId="77777777" w:rsidR="00DE09B3" w:rsidRPr="00142305" w:rsidRDefault="00DE09B3" w:rsidP="00DE0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для вооружения БТ-2 при</w:t>
      </w:r>
      <w:r w:rsidRPr="00142305">
        <w:rPr>
          <w:rFonts w:ascii="Times New Roman" w:hAnsi="Times New Roman"/>
          <w:color w:val="0070C0"/>
          <w:sz w:val="16"/>
          <w:szCs w:val="16"/>
        </w:rPr>
        <w:softHyphen/>
        <w:t>шлось срочно изыскивать другую воз</w:t>
      </w:r>
      <w:r w:rsidRPr="00142305">
        <w:rPr>
          <w:rFonts w:ascii="Times New Roman" w:hAnsi="Times New Roman"/>
          <w:color w:val="0070C0"/>
          <w:sz w:val="16"/>
          <w:szCs w:val="16"/>
        </w:rPr>
        <w:softHyphen/>
        <w:t>можность — танки поступали в войска без орудий (25009).</w:t>
      </w:r>
    </w:p>
    <w:p w14:paraId="43CBF528" w14:textId="77777777" w:rsidR="00DE09B3" w:rsidRPr="00142305" w:rsidRDefault="00DE09B3" w:rsidP="00DE09B3">
      <w:pPr>
        <w:spacing w:after="0" w:line="240" w:lineRule="auto"/>
        <w:jc w:val="both"/>
        <w:rPr>
          <w:rFonts w:ascii="Times New Roman" w:hAnsi="Times New Roman"/>
          <w:color w:val="0070C0"/>
          <w:sz w:val="16"/>
          <w:szCs w:val="16"/>
        </w:rPr>
      </w:pPr>
    </w:p>
    <w:p w14:paraId="147651D7" w14:textId="7C468F56" w:rsidR="00E5166A" w:rsidRPr="0044524F" w:rsidRDefault="00E5166A"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00426FB5" w14:textId="77777777" w:rsidR="00E5166A" w:rsidRPr="0044524F" w:rsidRDefault="00E5166A"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0FC430F3"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июня 1933 г. датируется спецсообщение Особого отдела ОГПУ «О ненормальных явлениях в Военно-воз душной академии РККА им. Жуковского»</w:t>
      </w:r>
    </w:p>
    <w:p w14:paraId="7496849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Согласно изложенным фактам, академия находилась в весьма неприглядном состоянии. Обращалось внимание на то, что «учебные планы срываются по вине руководства Академии и преподавательского состава», а «несоответствие об’ема программы учебы со временем, отведенным для ее выполнения, а также недочеты методического порядка, приводят к резкому снижению качества учебы». Начальник академии С. Г Хорьков проводил на рабочем месте ежедневно всего лишь от трех до пяти часов, а «вся его работа заключается в просмотре почты»; военком академии Я. Г. Индриксон за последние два года «не был ни на одном партийном собрании Академии, за исключением посещения им в августе месяце конференции партактива»; заместитель военкома Е. Я. Володарский «напившись пьяным, в присутствии слушателей уснул за столом»; начальник командного факультета Н. Я. Котов «напившись пьяным, не мог идти, его несли домой слушатели на руках»; на квартире начальника учебной части А. К. Медниса «почти ежедневно устраиваются пьянки, эту квартиру посещают не только постоянный состав, но и слушатели». В течение одного года в академии покончили жизнь самоубийством три преподавателя (Штирнбах, Венеаминов, Воскресенский), два слушателя (Павловский, Ситников), жена начальника академии С. Г. Хорькова; слушатель Лысенко убил свою жену. В спецсообщении указывалось, что «массовые пьянки, как в общежитии слушателей, так и вне его, особенно усилились за последнее время», причем «пьянство сопровождается дебошами, в отдельных случаях со стрельбой из оружия». Приводились красноречивые примеры. Так, слушатель Бирюков, «напившись пьяным, перепутал этажи, попал в чужую комнату, на его требование открыть комнату, ему ответили, что он не сюда попал, БИРЮКОВ сделал выстрел в дверь, ранив жену слушателя ШУРЫГИНА, последний в свою очередь произвел выстрел, ранив в живот БИРЮКОВА». 1 мая 1933 г. «слушатель КУК, напившись пьяным в городе, по выходе из трамвая, произвел несколько выстрелов в вагон трамвая». Комендант академии Панчехин «напившись пьяным, угрожал жене, что он ее застрелит». Слушатель В. Захаров «напился до такого состояния, что у него стащили деньги и револьвер наган». Особо отмечалось, что «ЗАХАРОВ разложившийся тип, в присутствии слушателей говорил, что жалованья платят очень мало, пить не на что, приходится занимать у товарищей, от этого жить не хочется, я застрелюсь». Хозяйство академии именовалось «беспризорным», при этом подчеркивалось, что «целый ряд хищений и злоупотреблений» в закрытом военном кооперативе и административно-хозяйственном отделе «остаются безнаказанными, хотя эти явления носят открытый характер и о них командованию известно». Спецсообщение отразило трагическую картину голода 1933 г.: «Большая часть слушателей получают телеграммы и письма о том, что семьи их сидят совершенно без хлеба. Получая такого рода письма, слушатели, делясь между собою о положении семей, избегают ставить в известность об этом командование и политаппарат, так как были случаи, когда секретарь ячейки отвечал на их запросы: “Ваша семья контрреволюционная” и т.д.». </w:t>
      </w:r>
    </w:p>
    <w:p w14:paraId="4D6A54EE"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Более полутора десятков слушателей военно-технического и командного факультетов подали рапорты об отчислении из академии. «Нам пишут письма, что семьи голодают, и, если мы не заберем их в Москву, жена хочет застрелиться, это не единичный случай. Такое положение не дает спокойно жить и, следовательно, не дает возможности заниматься учебой», — мотивировал свой поступок один из них. Спецсообщение подытоживалось следующим выводом: «Необходимо принять срочные меры к оздоровлению Академии» [6, л. 385–389] (24338).</w:t>
      </w:r>
    </w:p>
    <w:p w14:paraId="03490F0C"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1E663D2B" w14:textId="77777777" w:rsidR="00DE09B3" w:rsidRPr="00142305" w:rsidRDefault="00DE09B3" w:rsidP="00DE0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июня 1933 г. было спецсообщению Особого отдела ОГПУ «О ненормальных явлениях в Военно-воздушной академии РККА им. Жуковского». Согласно изложенным фактам, академия находилась в весьма неприглядном состоянии. Обращалось внимание на то, что «учебные планы срываются по вине руководства Академии и преподавательского состава», а «несоответствие об’ема программы учебы со временем, отведенным для ее выполнения, а также недочеты методического порядка, приводят к резкому снижению качества учебы». Начальник академии С. Г Хорьков проводил на рабочем месте ежедневно всего лишь от трех до пяти часов, а «вся его работа заключается в просмотре почты»; военком академии Я. Г. Индриксон за последние два года «не был ни на одном партийном собрании Академии, за исключением посещения им в августе месяце конференции партактива»; заместитель военкома Е. Я. Володарский «напившись пьяным, в присутствии слушателей уснул за столом»; начальник командного факультета Н. Я. Котов «напившись пьяным, не мог идти, его несли домой слушатели на руках»; на квартире начальника учебной части А. К. Медниса «почти ежедневно устраиваются пьянки, эту квартиру посещают не только постоянный состав, но и слушатели». В течение одного года в академии покончили жизнь самоубийством три преподавателя (Штирнбах, Венеаминов, Воскресенский), два слушателя (Павловский, Ситников), жена начальника академии С. Г. Хорькова; слушатель Лысенко убил свою жену. В спецсообщении указывалось, что «массовые пьянки, как в общежитии слушателей, так и вне его, особенно усилились за последнее время», причем «пьянство сопровождается дебошами, в отдельных случаях со стрельбой из оружия». Приводились красноречивые примеры. Так, слушатель Бирюков, «напившись пьяным, перепутал этажи, попал в чужую комнату, на его требование открыть комнату, ему ответили, что он не сюда попал, БИРЮКОВ сделал выстрел в дверь, ранив жену слушателя ШУРЫГИНА, последний в свою очередь произвел выстрел, ранив в живот БИРЮКОВА». 1 мая 1933 г. «слушатель КУК, напившись пьяным в городе, по выходе из трамвая, произвел несколько выстрелов в вагон трамвая». Комендант академии Панчехин «напившись пьяным, угрожал жене, что он ее застрелит». Слушатель В. Захаров «напился до такого состояния, что у него стащили деньги и револьвер наган». Особо отмечалось, что «ЗАХАРОВ разложившийся тип, в присутствии слушателей говорил, что жалованья платят очень мало, пить не на что, приходится занимать у товарищей, от этого жить не хочется, я застрелюсь». Хозяйство академии именовалось «беспризорным», при этом подчеркивалось, что «целый ряд хищений и злоупотреблений» в закрытом военном кооперативе и административно-хозяйственном отделе «остаются безнаказанными, хотя эти явления носят открытый характер и о них командованию известно». Спецсообщение отразило трагическую картину голода 1933 г.: «Большая часть слушателей получают телеграммы и письма о том, что семьи их сидят совершенно без хлеба. Получая такого рода письма, слушатели, делясь между собою о положении семей, избегают ставить в известность об этом командование и политаппарат, так как были случаи, когда секретарь ячейки отвечал на их запросы: “Ваша семья контрреволюционная” и т.д.»</w:t>
      </w:r>
    </w:p>
    <w:p w14:paraId="53456A45" w14:textId="77777777" w:rsidR="00DE09B3" w:rsidRPr="00142305" w:rsidRDefault="00DE09B3" w:rsidP="00DE0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Более полутора десятков слушателей военно-технического и командного факультетов подали рапорты об отчислении из академии. «Нам пишут письма, что семьи голодают, и, если мы не заберем их в Москву, жена хочет застрелиться, это не единичный случай. Такое положение не дает спокойно жить и, следовательно, не дает возможности заниматься учебой», — мотивировал свой поступок один из них. Спецсообщение подытоживалось следующим выводом: «Необходимо принять срочные меры к оздоровлению Академии» [6, л. 385–389] (25099).</w:t>
      </w:r>
    </w:p>
    <w:p w14:paraId="290AB621" w14:textId="77777777" w:rsidR="00DE09B3" w:rsidRPr="00142305" w:rsidRDefault="00DE09B3" w:rsidP="00DE09B3">
      <w:pPr>
        <w:spacing w:after="0" w:line="240" w:lineRule="auto"/>
        <w:jc w:val="both"/>
        <w:rPr>
          <w:rFonts w:ascii="Times New Roman" w:hAnsi="Times New Roman"/>
          <w:color w:val="0070C0"/>
          <w:sz w:val="16"/>
          <w:szCs w:val="16"/>
        </w:rPr>
      </w:pPr>
    </w:p>
    <w:p w14:paraId="2F39EEB2" w14:textId="1A2E60C0"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C86EEF1"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F8969F2"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июня 1933 в Москве начата широкомасштабная операция по аресту и высылке цыган (в ходе ее депортированы 5470 человек) (4962).</w:t>
      </w:r>
    </w:p>
    <w:p w14:paraId="15B22CF4"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733D6B" w14:textId="77777777" w:rsidR="003417C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308153A" w14:textId="77777777" w:rsidR="003417C8" w:rsidRPr="0044524F" w:rsidRDefault="003417C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8232683"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28 июня</w:t>
      </w:r>
      <w:r w:rsidRPr="0044524F">
        <w:rPr>
          <w:rFonts w:ascii="Times New Roman" w:hAnsi="Times New Roman"/>
          <w:color w:val="000000" w:themeColor="text1"/>
          <w:sz w:val="16"/>
          <w:szCs w:val="16"/>
        </w:rPr>
        <w:t xml:space="preserve"> в 1933 году польский учебно-тренировочный самолет </w:t>
      </w:r>
      <w:hyperlink r:id="rId226" w:tgtFrame="_blank" w:history="1">
        <w:r w:rsidRPr="0044524F">
          <w:rPr>
            <w:rFonts w:ascii="Times New Roman" w:hAnsi="Times New Roman"/>
            <w:color w:val="000000" w:themeColor="text1"/>
            <w:sz w:val="16"/>
            <w:szCs w:val="16"/>
          </w:rPr>
          <w:t xml:space="preserve">«WK-3» </w:t>
        </w:r>
      </w:hyperlink>
      <w:r w:rsidRPr="0044524F">
        <w:rPr>
          <w:rFonts w:ascii="Times New Roman" w:hAnsi="Times New Roman"/>
          <w:color w:val="000000" w:themeColor="text1"/>
          <w:sz w:val="16"/>
          <w:szCs w:val="16"/>
        </w:rPr>
        <w:t>с регистрационным знаком «SP-JAKO» был облетан на аэродроме Мокотовский капитаном Гиедговда. Для первого вылета самолет был оснащен двигателем «Anzani» в 70 л.с.. Всего с этим двигателем было проведено 11 вылетов (всего 3 часа) (14936).</w:t>
      </w:r>
    </w:p>
    <w:p w14:paraId="578964A0" w14:textId="77777777" w:rsidR="003417C8" w:rsidRPr="0044524F" w:rsidRDefault="003417C8" w:rsidP="009654CF">
      <w:pPr>
        <w:spacing w:after="0" w:line="240" w:lineRule="auto"/>
        <w:jc w:val="both"/>
        <w:rPr>
          <w:rFonts w:ascii="Times New Roman" w:hAnsi="Times New Roman"/>
          <w:color w:val="000000" w:themeColor="text1"/>
          <w:sz w:val="16"/>
          <w:szCs w:val="16"/>
        </w:rPr>
      </w:pPr>
    </w:p>
    <w:p w14:paraId="4CE643B0"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8BF908D"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819545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года был утвержден Отчет по испытаниям самолета И5 - М22 N 21117 эталона на 1933 год</w:t>
      </w:r>
    </w:p>
    <w:p w14:paraId="6EC5E67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392696E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Определение возможности использования самолета И5 N 21117 как эталона для постройки самолетов И5 М22 в 1933 году.</w:t>
      </w:r>
    </w:p>
    <w:p w14:paraId="18770C2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самолета, отличающегося от серии И5 выпуска 1932 года с установкой: металлического винта, поворотных стоек, обтекателей на колесах, электровооружением, новым подогревателем и заменой помпы АМ на помпу типа Хорнет.</w:t>
      </w:r>
    </w:p>
    <w:p w14:paraId="2A19386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495051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И5-М22 эталон на 1933 год утвердить лишь после устранения частично на самолете, частично в чертежах дефектов обнаруженных при испытании. Устранение дефектов самолетному тресту провести не позднее 20 июля 1933 года.</w:t>
      </w:r>
    </w:p>
    <w:p w14:paraId="03F1C02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самолета И5 ЮVI</w:t>
      </w:r>
    </w:p>
    <w:p w14:paraId="6C65DF8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И-5 N2 постройки ЦКБ - мотор Гном Рон _Юпитер_ VI 480 НР N 42071</w:t>
      </w:r>
    </w:p>
    <w:p w14:paraId="1B3E0B5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Краткий журнал прохождения работ:</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3BD325CE" w14:textId="77777777">
        <w:tc>
          <w:tcPr>
            <w:tcW w:w="5636" w:type="dxa"/>
          </w:tcPr>
          <w:p w14:paraId="3645469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начато</w:t>
            </w:r>
          </w:p>
        </w:tc>
        <w:tc>
          <w:tcPr>
            <w:tcW w:w="5636" w:type="dxa"/>
          </w:tcPr>
          <w:p w14:paraId="1AB20E1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июля 1931 года</w:t>
            </w:r>
          </w:p>
        </w:tc>
      </w:tr>
      <w:tr w:rsidR="004E10C1" w:rsidRPr="0044524F" w14:paraId="0AF6B327" w14:textId="77777777">
        <w:tc>
          <w:tcPr>
            <w:tcW w:w="5636" w:type="dxa"/>
          </w:tcPr>
          <w:p w14:paraId="2E5E121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закончено</w:t>
            </w:r>
          </w:p>
        </w:tc>
        <w:tc>
          <w:tcPr>
            <w:tcW w:w="5636" w:type="dxa"/>
          </w:tcPr>
          <w:p w14:paraId="69E82C4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1931 года</w:t>
            </w:r>
          </w:p>
        </w:tc>
      </w:tr>
      <w:tr w:rsidR="004E10C1" w:rsidRPr="0044524F" w14:paraId="1BE542A3" w14:textId="77777777">
        <w:tc>
          <w:tcPr>
            <w:tcW w:w="5636" w:type="dxa"/>
          </w:tcPr>
          <w:p w14:paraId="3543841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Летных дней </w:t>
            </w:r>
          </w:p>
        </w:tc>
        <w:tc>
          <w:tcPr>
            <w:tcW w:w="5636" w:type="dxa"/>
          </w:tcPr>
          <w:p w14:paraId="7A2FEEB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r>
    </w:tbl>
    <w:p w14:paraId="453A399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самолет находился на испытаниях 31 день.</w:t>
      </w:r>
    </w:p>
    <w:p w14:paraId="65BF14B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6E8999C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произведенных испытаний НИИ считает:</w:t>
      </w:r>
    </w:p>
    <w:p w14:paraId="2FDE1C9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самолет И-5 ЮVI, обладая хорошими летными и эксплоатационными данными может быть признан современным истребителем.</w:t>
      </w:r>
    </w:p>
    <w:p w14:paraId="76FBEC3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устранении недочетов и при получении удовлетворительных результатов испытания вооружения и оборудования самолет И-5 может быть принят на вооружение ВВС (3915).</w:t>
      </w:r>
    </w:p>
    <w:p w14:paraId="39A2545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2389B35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года был утвержден Отчет по испытаниям самолета И7 N 4449 (эталон на 1933 год) с мотором М17 N 262646</w:t>
      </w:r>
    </w:p>
    <w:p w14:paraId="74B108F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46B28E3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возможности использования самолета И7 N 4449 с мотором М17 как эталона для постройки самолетов И7 М17 в 1933 году.</w:t>
      </w:r>
    </w:p>
    <w:p w14:paraId="4B07297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самолета, отличающегося от опытного самолета И7 БМВ VI постройки завода N 1 в 1931 году установкой усиленной фанерной обшивки крыльев, паука водяной системы, подвесной корзины под радиатор _..</w:t>
      </w:r>
    </w:p>
    <w:p w14:paraId="6CCE0D9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7EB905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И7 М17 N 4449 постройки завода N 1эталоном на 1933 год служить не может.</w:t>
      </w:r>
    </w:p>
    <w:p w14:paraId="630D9F5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1CA6B3D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Осипенко П.И.</w:t>
      </w:r>
    </w:p>
    <w:p w14:paraId="424EBDF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 Сцельников</w:t>
      </w:r>
    </w:p>
    <w:p w14:paraId="61D970C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78DC8CF1" w14:textId="77777777">
        <w:tc>
          <w:tcPr>
            <w:tcW w:w="5636" w:type="dxa"/>
          </w:tcPr>
          <w:p w14:paraId="6DC9A01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июня 1933 года</w:t>
            </w:r>
          </w:p>
        </w:tc>
        <w:tc>
          <w:tcPr>
            <w:tcW w:w="5636" w:type="dxa"/>
          </w:tcPr>
          <w:p w14:paraId="6B10A6D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тренировочные полеты ведущего летчика</w:t>
            </w:r>
          </w:p>
        </w:tc>
      </w:tr>
      <w:tr w:rsidR="004E10C1" w:rsidRPr="0044524F" w14:paraId="38C23A19" w14:textId="77777777">
        <w:tc>
          <w:tcPr>
            <w:tcW w:w="5636" w:type="dxa"/>
          </w:tcPr>
          <w:p w14:paraId="401804D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июня 1933 года</w:t>
            </w:r>
          </w:p>
        </w:tc>
        <w:tc>
          <w:tcPr>
            <w:tcW w:w="5636" w:type="dxa"/>
          </w:tcPr>
          <w:p w14:paraId="747E9FB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управляемость и фигуры на высоте</w:t>
            </w:r>
          </w:p>
        </w:tc>
      </w:tr>
      <w:tr w:rsidR="004E10C1" w:rsidRPr="0044524F" w14:paraId="4F7241FC" w14:textId="77777777">
        <w:tc>
          <w:tcPr>
            <w:tcW w:w="5636" w:type="dxa"/>
          </w:tcPr>
          <w:p w14:paraId="0E3BAC6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2526ED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 и определение скороподъемности с</w:t>
            </w:r>
          </w:p>
        </w:tc>
      </w:tr>
      <w:tr w:rsidR="004E10C1" w:rsidRPr="0044524F" w14:paraId="1C83BBB2" w14:textId="77777777">
        <w:tc>
          <w:tcPr>
            <w:tcW w:w="5636" w:type="dxa"/>
          </w:tcPr>
          <w:p w14:paraId="6D5A364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8E0A0C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форсированным газом. Полет на управляемость</w:t>
            </w:r>
          </w:p>
        </w:tc>
      </w:tr>
      <w:tr w:rsidR="004E10C1" w:rsidRPr="0044524F" w14:paraId="2462A702" w14:textId="77777777">
        <w:tc>
          <w:tcPr>
            <w:tcW w:w="5636" w:type="dxa"/>
          </w:tcPr>
          <w:p w14:paraId="04C45C4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C13F31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фигуры на высоте 1000 м.</w:t>
            </w:r>
          </w:p>
        </w:tc>
      </w:tr>
      <w:tr w:rsidR="004E10C1" w:rsidRPr="0044524F" w14:paraId="5D97661C" w14:textId="77777777">
        <w:tc>
          <w:tcPr>
            <w:tcW w:w="5636" w:type="dxa"/>
          </w:tcPr>
          <w:p w14:paraId="77ADBAC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июня 1933 года</w:t>
            </w:r>
          </w:p>
        </w:tc>
        <w:tc>
          <w:tcPr>
            <w:tcW w:w="5636" w:type="dxa"/>
          </w:tcPr>
          <w:p w14:paraId="5EE3A0A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управляемость и фигуры на высоте</w:t>
            </w:r>
          </w:p>
        </w:tc>
      </w:tr>
      <w:tr w:rsidR="004E10C1" w:rsidRPr="0044524F" w14:paraId="1DE4A118" w14:textId="77777777">
        <w:tc>
          <w:tcPr>
            <w:tcW w:w="5636" w:type="dxa"/>
          </w:tcPr>
          <w:p w14:paraId="14351D8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4BAD0A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w:t>
            </w:r>
          </w:p>
        </w:tc>
      </w:tr>
      <w:tr w:rsidR="004E10C1" w:rsidRPr="0044524F" w14:paraId="4D6F8662" w14:textId="77777777">
        <w:tc>
          <w:tcPr>
            <w:tcW w:w="5636" w:type="dxa"/>
          </w:tcPr>
          <w:p w14:paraId="6704CF3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июня 1933 года</w:t>
            </w:r>
          </w:p>
        </w:tc>
        <w:tc>
          <w:tcPr>
            <w:tcW w:w="5636" w:type="dxa"/>
          </w:tcPr>
          <w:p w14:paraId="3E8D4A7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полета на штопор.</w:t>
            </w:r>
          </w:p>
        </w:tc>
      </w:tr>
      <w:tr w:rsidR="004E10C1" w:rsidRPr="0044524F" w14:paraId="527BD8CF" w14:textId="77777777">
        <w:tc>
          <w:tcPr>
            <w:tcW w:w="5636" w:type="dxa"/>
          </w:tcPr>
          <w:p w14:paraId="4A8349C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июня 1933 года</w:t>
            </w:r>
          </w:p>
        </w:tc>
        <w:tc>
          <w:tcPr>
            <w:tcW w:w="5636" w:type="dxa"/>
          </w:tcPr>
          <w:p w14:paraId="29B2FC0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Полет на зубцы на высотах 500,</w:t>
            </w:r>
          </w:p>
        </w:tc>
      </w:tr>
      <w:tr w:rsidR="004E10C1" w:rsidRPr="0044524F" w14:paraId="5F394CB2" w14:textId="77777777">
        <w:tc>
          <w:tcPr>
            <w:tcW w:w="5636" w:type="dxa"/>
          </w:tcPr>
          <w:p w14:paraId="74395A7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751265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и 5000 м.</w:t>
            </w:r>
          </w:p>
        </w:tc>
      </w:tr>
      <w:tr w:rsidR="004E10C1" w:rsidRPr="0044524F" w14:paraId="4788E6F5" w14:textId="77777777">
        <w:tc>
          <w:tcPr>
            <w:tcW w:w="5636" w:type="dxa"/>
          </w:tcPr>
          <w:p w14:paraId="3440282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июня 1933 года</w:t>
            </w:r>
          </w:p>
        </w:tc>
        <w:tc>
          <w:tcPr>
            <w:tcW w:w="5636" w:type="dxa"/>
          </w:tcPr>
          <w:p w14:paraId="1C5016D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с форсированным</w:t>
            </w:r>
          </w:p>
        </w:tc>
      </w:tr>
      <w:tr w:rsidR="004E10C1" w:rsidRPr="0044524F" w14:paraId="40B63C6A" w14:textId="77777777">
        <w:tc>
          <w:tcPr>
            <w:tcW w:w="5636" w:type="dxa"/>
          </w:tcPr>
          <w:p w14:paraId="6A112F5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305179B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газом до 5000 м и стрельба на высоте 5000 м.</w:t>
            </w:r>
          </w:p>
        </w:tc>
      </w:tr>
      <w:tr w:rsidR="004E10C1" w:rsidRPr="0044524F" w14:paraId="288DA264" w14:textId="77777777">
        <w:tc>
          <w:tcPr>
            <w:tcW w:w="5636" w:type="dxa"/>
          </w:tcPr>
          <w:p w14:paraId="2A38826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июня 1933 года</w:t>
            </w:r>
          </w:p>
        </w:tc>
        <w:tc>
          <w:tcPr>
            <w:tcW w:w="5636" w:type="dxa"/>
          </w:tcPr>
          <w:p w14:paraId="54F07A3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воздушный бой с самолетом Р5.</w:t>
            </w:r>
          </w:p>
        </w:tc>
      </w:tr>
      <w:tr w:rsidR="004E10C1" w:rsidRPr="0044524F" w14:paraId="65C2E5CA" w14:textId="77777777">
        <w:tc>
          <w:tcPr>
            <w:tcW w:w="5636" w:type="dxa"/>
          </w:tcPr>
          <w:p w14:paraId="5C9BAD5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июня 1933 года</w:t>
            </w:r>
          </w:p>
        </w:tc>
        <w:tc>
          <w:tcPr>
            <w:tcW w:w="5636" w:type="dxa"/>
          </w:tcPr>
          <w:p w14:paraId="5B54F83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по маршруту на дальность и определение</w:t>
            </w:r>
          </w:p>
        </w:tc>
      </w:tr>
      <w:tr w:rsidR="004E10C1" w:rsidRPr="0044524F" w14:paraId="57E9B25E" w14:textId="77777777">
        <w:tc>
          <w:tcPr>
            <w:tcW w:w="5636" w:type="dxa"/>
          </w:tcPr>
          <w:p w14:paraId="00F65CB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065076C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расхода горючего с фотографированием.</w:t>
            </w:r>
          </w:p>
        </w:tc>
      </w:tr>
      <w:tr w:rsidR="004E10C1" w:rsidRPr="0044524F" w14:paraId="7716B8B4" w14:textId="77777777">
        <w:tc>
          <w:tcPr>
            <w:tcW w:w="5636" w:type="dxa"/>
          </w:tcPr>
          <w:p w14:paraId="3B6CB21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53F8490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Воздушный бой с самолетом И-5. Полет на</w:t>
            </w:r>
          </w:p>
        </w:tc>
      </w:tr>
      <w:tr w:rsidR="004E10C1" w:rsidRPr="0044524F" w14:paraId="12F0F583" w14:textId="77777777">
        <w:tc>
          <w:tcPr>
            <w:tcW w:w="5636" w:type="dxa"/>
          </w:tcPr>
          <w:p w14:paraId="3DB8DAC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77AF162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штопор.</w:t>
            </w:r>
          </w:p>
        </w:tc>
      </w:tr>
      <w:tr w:rsidR="004E10C1" w:rsidRPr="0044524F" w14:paraId="7BA246BB" w14:textId="77777777">
        <w:tc>
          <w:tcPr>
            <w:tcW w:w="5636" w:type="dxa"/>
          </w:tcPr>
          <w:p w14:paraId="4107707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июня 1933 года</w:t>
            </w:r>
          </w:p>
        </w:tc>
        <w:tc>
          <w:tcPr>
            <w:tcW w:w="5636" w:type="dxa"/>
          </w:tcPr>
          <w:p w14:paraId="55716E5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полета на воздушные бои с самолетами Р-5</w:t>
            </w:r>
          </w:p>
        </w:tc>
      </w:tr>
      <w:tr w:rsidR="004E10C1" w:rsidRPr="0044524F" w14:paraId="51851DCF" w14:textId="77777777">
        <w:tc>
          <w:tcPr>
            <w:tcW w:w="5636" w:type="dxa"/>
          </w:tcPr>
          <w:p w14:paraId="1B80794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ABA8B7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И-5 - летчики: Кокинаки, Лагутин и Гродзь.</w:t>
            </w:r>
          </w:p>
        </w:tc>
      </w:tr>
      <w:tr w:rsidR="004E10C1" w:rsidRPr="0044524F" w14:paraId="7EEB35F3" w14:textId="77777777">
        <w:tc>
          <w:tcPr>
            <w:tcW w:w="5636" w:type="dxa"/>
          </w:tcPr>
          <w:p w14:paraId="7AD5764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6A2740B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Три полета по облету со стрельбой по земным целям:</w:t>
            </w:r>
          </w:p>
        </w:tc>
      </w:tr>
      <w:tr w:rsidR="004E10C1" w:rsidRPr="0044524F" w14:paraId="4A0C063A" w14:textId="77777777">
        <w:tc>
          <w:tcPr>
            <w:tcW w:w="5636" w:type="dxa"/>
          </w:tcPr>
          <w:p w14:paraId="20819A5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636" w:type="dxa"/>
          </w:tcPr>
          <w:p w14:paraId="270A1D1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Залевский, Лагутин, Кокинаки.</w:t>
            </w:r>
          </w:p>
        </w:tc>
      </w:tr>
      <w:tr w:rsidR="004E10C1" w:rsidRPr="0044524F" w14:paraId="41B7DF0A" w14:textId="77777777">
        <w:tc>
          <w:tcPr>
            <w:tcW w:w="5636" w:type="dxa"/>
          </w:tcPr>
          <w:p w14:paraId="4A57C25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июня 1933 года</w:t>
            </w:r>
          </w:p>
        </w:tc>
        <w:tc>
          <w:tcPr>
            <w:tcW w:w="5636" w:type="dxa"/>
          </w:tcPr>
          <w:p w14:paraId="23C7C40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с нормальным газом.</w:t>
            </w:r>
          </w:p>
        </w:tc>
      </w:tr>
    </w:tbl>
    <w:p w14:paraId="45F459B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проведено за 11 летных дней.</w:t>
      </w:r>
    </w:p>
    <w:p w14:paraId="4A22046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Налетано 29 час. 53 мин.</w:t>
      </w:r>
    </w:p>
    <w:p w14:paraId="16102EE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Сделано посадок - 27 (3917).</w:t>
      </w:r>
    </w:p>
    <w:p w14:paraId="05E4FA7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6C2675E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г. Отчет по испытаниям самолета И-7 №4449 (эталон на 1933 год) с мотором М17 №262646 был утвержден.</w:t>
      </w:r>
    </w:p>
    <w:p w14:paraId="1A86D426"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заводе №1 внесены доработки:</w:t>
      </w:r>
    </w:p>
    <w:p w14:paraId="4185818F"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улучшена конструкция капота двигателя;</w:t>
      </w:r>
    </w:p>
    <w:p w14:paraId="39C816ED"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улучшены обтекатели в местах установки стоек бипланной коробки крыльев;</w:t>
      </w:r>
    </w:p>
    <w:p w14:paraId="4C2462FB"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установлены недостающие обтекатели на колесах ООШ (24331).</w:t>
      </w:r>
    </w:p>
    <w:p w14:paraId="2AF60BB4"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3C695BD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К-7 вывели на аэродром, где доводили (92,437).</w:t>
      </w:r>
    </w:p>
    <w:p w14:paraId="30F4C17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в тот же день в июле</w:t>
      </w:r>
    </w:p>
    <w:p w14:paraId="38AF9A5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43C11C2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состоялось совещание, согласно которому завод № 22 подготавливал чертежи АНТ-14 под 4 М-34 (8863,7)</w:t>
      </w:r>
    </w:p>
    <w:p w14:paraId="6262CE00"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DFE5491" w14:textId="77777777" w:rsidR="00DE09B3" w:rsidRPr="00142305" w:rsidRDefault="00DE09B3" w:rsidP="00DE0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июня 1933 г. состоялось совещание, согласно записи в протоколе, завод № 22 приступил к изготовлению чертежей АНТ-14 под четыре мотора М-34 с новой хвостовой частью фюзеляжа. При этом согласно специальным решениям совещания от 10 июля 1933 г. в передаваемых ЦАГИ чертежах должны были быть предусмотрены крепления агрегатов вооружения военного варианта этой машины (25604).</w:t>
      </w:r>
    </w:p>
    <w:p w14:paraId="60FF0110" w14:textId="77777777" w:rsidR="00DE09B3" w:rsidRPr="00142305" w:rsidRDefault="00DE09B3" w:rsidP="00DE09B3">
      <w:pPr>
        <w:spacing w:after="0" w:line="240" w:lineRule="auto"/>
        <w:jc w:val="both"/>
        <w:rPr>
          <w:rFonts w:ascii="Times New Roman" w:hAnsi="Times New Roman"/>
          <w:color w:val="0070C0"/>
          <w:sz w:val="16"/>
          <w:szCs w:val="16"/>
        </w:rPr>
      </w:pPr>
    </w:p>
    <w:p w14:paraId="0385C62C"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29 июня 1933 начались испытания системы дозаправка в воздухе системы Гроховского, которые шли до 8 июля 1933. Было выполнено 8 полетов</w:t>
      </w:r>
    </w:p>
    <w:p w14:paraId="3E10363D"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Работы начались в 1931 г. в конструкторском отделе П.И. Гроховского при НИИ ВВС под руководством Запанованного. В качестве заправщика был выбран одномоторный разведчик-биплан Р-5. Под самолётом установили съёмный топливный бак из листовой стали ёмкостью 550 литров, соединённый с основным фюзеляжным баком. За кабиной лётчика-наблюдателя разместили лебёдку с барабаном, на которую наматывался резиновый шланг длиной 34,5 м и внутренним диаметром 25 мм. Один конец шланга крепился к управляемому с места пилота вентилю на подфюзеляжном баке, на другом конце находился клапан, открывавшийся при вводе металлического наконечника шланга в заправочную горловину бомбардировщика и зарывавшийся, когда шланг извлекали наружу. К шлангу присоединили груз, чтобы он меньше болтался на ветру. Были предусмотрены также страховочные тросы для предохранения от потери шланга и провод с вилками для уравновешивания электрических потенциалов самолётов. Общий вес топливного оборудования составил 120 кг.</w:t>
      </w:r>
    </w:p>
    <w:p w14:paraId="0EFD9B1A"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ТБ-1 перед кабиной носового стрелка сконструировали приемную горловину, от которой изогнутые трубопроводы вели к бензобакам в левом и правом крыле. Эту достаточно сложную перекомпоновку поручили авиазаводу № 39. Завершающие работы выполнялись в Особом техническом бюро ВВС, созданном на основе конструкторского отдела Гроховского.</w:t>
      </w:r>
    </w:p>
    <w:p w14:paraId="3233FF3A"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Наземные испытания выявили течь баков и топливных магистралей, работы затянулись, и к лётным экспериментам приступили только в 1933 г.</w:t>
      </w:r>
    </w:p>
    <w:p w14:paraId="0FD31230"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Летом 1933 г. в НИИ ВВС прошли государственные испытания. Сначала экипаж бомбардировщика тренировался ловить спускаемую с заправщика верёвку с грузом на конце, затем — шланг, потом учились выполнять дозаправку. ТБ-1 приближался к Р-5 на скорости 130–140 км/ч так, чтобы висящий в воздухе шланг располагался по оси самолёта на полтора-два метра выше пропеллеров. Затем пилот бомбардировщика набирал высоту, чтобы из открытой кабины переднего летнаба можно было схватить шланг. Одному человеку осуществить дозаправку было сложно, поэтому в переднюю кабину перебирался ещё один член экипажа. Он помогал удерживать шланг, пока летнаб заводил его в заправочную горловину, предварительно вставив вилку электропровода для уравнивания потенциалов. Получив сигнал, что заправка закончена и убедившись, что шланг освобождён, второй член экипажа Р-5 начинал наматывать шланг на барабан.</w:t>
      </w:r>
    </w:p>
    <w:p w14:paraId="2F6D852B"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Клапан на конце шланга, предназначенный для прекращения подачи бензина после извлечения из горловины, работал ненадёжно и пару раз забрызгивал заправщиков и нос бомбардировщика топливом. Но в целом результатами экспериментов военные остались довольны:</w:t>
      </w:r>
    </w:p>
    <w:p w14:paraId="179A9246"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«Испытания выявили:</w:t>
      </w:r>
    </w:p>
    <w:p w14:paraId="1FEA3E21"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а). сравнительную лёгкость переливки горючего в воздухе из самолёта Р5 в самолёт ТБ1 при натренированности лётного состава…</w:t>
      </w:r>
    </w:p>
    <w:p w14:paraId="785E4264"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б). для переливки не имеет значения:</w:t>
      </w:r>
    </w:p>
    <w:p w14:paraId="5325DE54"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 Направление ветра…</w:t>
      </w:r>
    </w:p>
    <w:p w14:paraId="6ECF1AD9"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 Высота полёта, лишь бы слои атмосферы, в которых идут самолёты, не были сильно возмущены (отсутствие болтанки, затрудняющей выдерживание самолёта в равномерном прямолинейном полёте).</w:t>
      </w:r>
    </w:p>
    <w:p w14:paraId="1A45EAF9"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переливку можно производить даже при небольшом дожде;</w:t>
      </w:r>
    </w:p>
    <w:p w14:paraId="07541AEB"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 во время переливки, не отрываясь один от другого, самолёты могут совершать повороты на 5-10 градусов с небольшим креном» </w:t>
      </w:r>
      <w:hyperlink r:id="rId227" w:history="1">
        <w:r w:rsidRPr="0044524F">
          <w:rPr>
            <w:rFonts w:ascii="Times New Roman" w:eastAsia="Times New Roman" w:hAnsi="Times New Roman"/>
            <w:color w:val="000000" w:themeColor="text1"/>
            <w:sz w:val="16"/>
            <w:szCs w:val="16"/>
            <w:lang w:eastAsia="ru-RU"/>
          </w:rPr>
          <w:t>[56]</w:t>
        </w:r>
      </w:hyperlink>
      <w:r w:rsidRPr="0044524F">
        <w:rPr>
          <w:rFonts w:ascii="Times New Roman" w:eastAsia="Times New Roman" w:hAnsi="Times New Roman"/>
          <w:color w:val="000000" w:themeColor="text1"/>
          <w:sz w:val="16"/>
          <w:szCs w:val="16"/>
          <w:lang w:eastAsia="ru-RU"/>
        </w:rPr>
        <w:t xml:space="preserve"> (17489).</w:t>
      </w:r>
    </w:p>
    <w:p w14:paraId="40994F49"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p>
    <w:p w14:paraId="548379E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С.П.К. получил из ВВА им. Н.Е. Жуковского отчет "Обеспечение дыхательных функций экипажа на стратосамолете", в подготовке которого принимала участие его жена К.М. Винцентини (Там же, № 167, л. 2) (10676).</w:t>
      </w:r>
    </w:p>
    <w:p w14:paraId="52E8CA0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39AE820" w14:textId="3B75DF95" w:rsidR="00E5166A" w:rsidRPr="0044524F" w:rsidRDefault="00E5166A"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6DFB791" w14:textId="77777777" w:rsidR="00E5166A" w:rsidRPr="0044524F" w:rsidRDefault="00E5166A"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2F922851"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г. заместитель народного комиссара по военным и морским делам и председателя Реввоенсовета СССР М.Н. Тухачевским и заместитель народного комиссара тяжелой промышленности СССР И.П. Павлуновским на имя председателю Комиссии обороны СССР В.М. Молотова было отправлено письмо № 4138сс следующего содержания:</w:t>
      </w:r>
    </w:p>
    <w:p w14:paraId="152181D2"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 [Комиссия обороны СССР] 13-го апреля с.г. приняла решение проработать вопрос о замене мотора "Либерти" в танке Б-Т мотором М-17, или другим мотором советского производства и внести по данному вопросу согласованное конкретное предложение НКТяжпрома и НКВМ.</w:t>
      </w:r>
    </w:p>
    <w:p w14:paraId="417E1953"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 настоящее время для танка Б-Т разработано 3 типа конструкций дизель-моторов:</w:t>
      </w:r>
    </w:p>
    <w:p w14:paraId="1D9E5C4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дизель «ПГЕ» – конструкции ОГПУ;</w:t>
      </w:r>
    </w:p>
    <w:p w14:paraId="5F478C99"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дизель «ХПЗ» – конструкции Государственного Харьковского Паровозостроительного Завода и</w:t>
      </w:r>
    </w:p>
    <w:p w14:paraId="56E9C43D"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дизель «НАТИ» – конструкции Научного Авто-Тракторного Института.</w:t>
      </w:r>
    </w:p>
    <w:p w14:paraId="611A3F43"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Степень готовности перечисленных дизель-моторов следующая:</w:t>
      </w:r>
    </w:p>
    <w:p w14:paraId="46F9C4C8"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дизель «ПГЕ» – конструкции ОГПУ осуществлен в одном опытном образце. Данный дизель разновременно проработал на стенде 50 – 60 часов. Этот образец является предварительным, всех испытаний еще не прошел и требует ряда мелких изменений и испытаний его в танке. Но, вместе с тем, для того, чтобы по этому типу можно было принять окончательное решение и поставить на массовое производство, надлежит построить второй образец, в котором исправить обнаруженные недочеты, поставить на него вполне кондиционные детали, испытать не только на стенде, но и в танке и только тогда можно будет принять окончательное решение.</w:t>
      </w:r>
    </w:p>
    <w:p w14:paraId="76FF0585"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Опытному Отделу Завода Ворошилова предложено закончить 2-й образец не позднее Октября месяца с.г. Срок окончания всех работ по этому типу двигателя и со всеми испытаниями при форсированной работе – декабрь месяц 1933 года.</w:t>
      </w:r>
    </w:p>
    <w:p w14:paraId="3083A97E"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Дизель «ХПЗ» в первом опытном образце закончен производством и поступает на предварительное испытание на стенде под нагрузкой. Если последнее даст удовлетворительные результаты на стенде, то он будет поставлен в танк Б-Т для окончательных испытаний.</w:t>
      </w:r>
    </w:p>
    <w:p w14:paraId="460A0916"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ХПЗ предложено закончить заводские испытания и установку дизеля на танк не позже Октября мес. с.г. Срок окончания всех работ по данному типу дизеля, для того, чтобы можно было принять решение, будет также не раньше Декабря мес. 33 года.</w:t>
      </w:r>
    </w:p>
    <w:p w14:paraId="0A0B6152"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Дизель «НАТИ» не имеет законченного образца. Последний находится в процессе производства на заводе им. Ворошилова.</w:t>
      </w:r>
    </w:p>
    <w:p w14:paraId="71A12F79"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Заводу им. Ворошилова предложено закончить образец 1 августа, а ХПЗ после испытаний на стенде проработать конструкцию для установки на танк Б-Т, не позднее Декабря мес. приступить к испытанию этого дизеля в танк.</w:t>
      </w:r>
    </w:p>
    <w:p w14:paraId="4FA726FF"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Существующее положение с разработкой образцов дизель-моторов для Б-Т получит окончательное решение к концу 1933 года и к каковому времени будет решен вопрос о дизельной базе для массового производства принятого дизеля.</w:t>
      </w:r>
    </w:p>
    <w:p w14:paraId="5A8FF028"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Принимая во внимание, что вышеуказанные образцы выйдут в конце года и что в 1934 году полностью и целиком всю программу по танку Б-Т на дизель-моторы базировать не представляется возможным, так как 1934 год будет годом налаживания и организации дизель-моторного производства на одном из заводов, – потребуется перестраховка существующим мотором, находящимся в массовом производстве. Таковым может явиться мотор М-17.</w:t>
      </w:r>
    </w:p>
    <w:p w14:paraId="5EFD2178"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разрешения этой задачи проделана следующая работа:</w:t>
      </w:r>
    </w:p>
    <w:p w14:paraId="2FF9EAD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Конструкторским отделом Завода ХПЗ заканчивается разработка чертежей для установки мотора М-17 в танк Б-Т. Эта работа будет закончена в Авг. – Сентябре мес. с.г. из расчета к 1 ноября выпустить 1 опытный образец танка Б-Т с мотором М-17.</w:t>
      </w:r>
    </w:p>
    <w:p w14:paraId="21B3D3D7"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положительном разрешении этого вопроса при планировании авиапромышленностью на 1934 г. моторостроения будет предусмотрено 1.000 – 1.200 моторов М-17 для танка Б-Т».</w:t>
      </w:r>
    </w:p>
    <w:p w14:paraId="0AD29163"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[РГВА. Ф. 31811. Оп. 2. Д. 221. Л. 253 – 254]</w:t>
      </w:r>
    </w:p>
    <w:p w14:paraId="4B2031DF"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Предложение М.Н. Тухачевского и И.П. Павлуновского об оснащении танков БТ дизелями было поддержано на самом высоком уровне (24586).</w:t>
      </w:r>
    </w:p>
    <w:p w14:paraId="2D26069D"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26D87D45"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г.</w:t>
      </w:r>
    </w:p>
    <w:p w14:paraId="5A4A7770"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РГВА Фонд 31811 Опись 2 Дело 221 лист 253 – 254 </w:t>
      </w:r>
    </w:p>
    <w:p w14:paraId="75D4E671"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СОВ.СЕКРЕТНО </w:t>
      </w:r>
    </w:p>
    <w:p w14:paraId="03996654"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4138сс </w:t>
      </w:r>
    </w:p>
    <w:p w14:paraId="2EF75FEF"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29/VI-1933 г.</w:t>
      </w:r>
    </w:p>
    <w:p w14:paraId="63282F3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ПРЕДСЕДАТЕЛЮ КОМИССИИ ОБОРОНЫ </w:t>
      </w:r>
    </w:p>
    <w:p w14:paraId="17A901B7"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МОЛОТОВУ.</w:t>
      </w:r>
    </w:p>
    <w:p w14:paraId="49B3990E"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 13-го апреля с.г. приняла решение проработать вопрос о замене мотора "Либерти" в танке Б-Т мотором М-17, или другим мотором советского производства и внести по данному вопросу согласованное конкретное предложение НКТяжпрома и НКВМ. </w:t>
      </w:r>
    </w:p>
    <w:p w14:paraId="0A03842F"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В настоящее время для танка Б-Т разработано 3 типа конструкций дизель-моторов: </w:t>
      </w:r>
    </w:p>
    <w:p w14:paraId="43F2A73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дизель "ПГЕ" – конструкции ОГПУ; </w:t>
      </w:r>
    </w:p>
    <w:p w14:paraId="4F06906C"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дизель "ХПЗ" – конструкции Государственного Харьковского Паровозостроительного Завода и </w:t>
      </w:r>
    </w:p>
    <w:p w14:paraId="49DF6117"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дизель "НАТИ" – конструкции Научного Авто-Тракторного Института. </w:t>
      </w:r>
    </w:p>
    <w:p w14:paraId="199C91BD"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Степень готовности перечисленных дизель-моторов следующая: </w:t>
      </w:r>
    </w:p>
    <w:p w14:paraId="268FC618"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дизель "ПГЕ" – конструкции ОГПУ осуществлен в одном опытном образце. Данный дизель разновременно проработал на стенде 50 – 60 часов. Этот образец является предварительным, всех испытаний еще не прошел и требует ряда мелких изменений и испытаний его в танке. Но, вместе с тем для того, чтобы по этому типу можно было принять окончательное решение и поставить на массовое производство, надлежит построить второй образец, в котором исправить обнаруженные недочеты, поставить на него вполне кондиционные детали, испытать не только на стенде, но и в танке и только тогда можно будет принять окончательное решение. </w:t>
      </w:r>
    </w:p>
    <w:p w14:paraId="74AF56AA"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Опытному Отделу Завода Ворошилова предложено закончить 2-й образец не позднее Октября месяца с.г. Срок окончания всех работ по этому типу двигателя и со всеми испытаниями при форсированной работе – декабрь месяц 1933 года. </w:t>
      </w:r>
    </w:p>
    <w:p w14:paraId="059CB0B2"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Дизель "ХПЗ" в первом опытном образце закончен производством и поступает на предварительное испытание на стенде под нагрузкой. Если последнее даст удовлетворительные результаты на стенде, то он будет поставлен в танк Б-Т для окончательных испытаний. </w:t>
      </w:r>
    </w:p>
    <w:p w14:paraId="673356BB"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ХПЗ предложено закончить заводские испытания и установку дизеля на танк не позже Октября мес. с.г. Срок окончания всех работ по данному типу дизеля для того, чтобы можно было принять решение, будет также не раньше Декабря мес. 33 года. </w:t>
      </w:r>
    </w:p>
    <w:p w14:paraId="37933B5F"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v в) Дизель "НАТИ" не имеет законченного образца. Последний находится в процессе производства на заводе им. Ворошилова. </w:t>
      </w:r>
    </w:p>
    <w:p w14:paraId="26597385"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Заводу им. Ворошилова предложено закончить образец 1 августа, а ХПЗ после испытаний на стенде проработать конструкцию для установки на танк Б-Т, не позднее Декабря мес. приступить к испытанию этого дизеля в танке. </w:t>
      </w:r>
    </w:p>
    <w:p w14:paraId="50B17E25"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Существующее положение с разработкой образцов дизель-моторов для Б-Т получит окончательное решение к концу 1933 года и к каковому времени будет решен вопрос о дизельной базе для массового производства принятого дизеля. </w:t>
      </w:r>
    </w:p>
    <w:p w14:paraId="4441408F"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Принимая во внимание, что вышеуказанные образцы выйдут в конце года и что в 1934 году полностью и целиком всю программу по танку Б-Т на дизель-моторы базировать не представляется возможным, так как 1934 год будет годом налаживания и организации дизель-моторного производства на одном из заводов, – потребуется перестраховка существующим мотором, находящимся в массовом производстве. Таковым может явиться мотор М-17. </w:t>
      </w:r>
    </w:p>
    <w:p w14:paraId="1656961A"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Для разрешения этой задачи проделана следующая работа: </w:t>
      </w:r>
    </w:p>
    <w:p w14:paraId="12C9295B"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Конструкторским отделом Завода ХПЗ заканчивается разработка чертежей для установки мотора М-17 в танк Б-Т. Эта работа будет закончена в Авг. – Сентябре мес. с.г. из расчета к 1 ноября выпустить 1 опытный образец танка Б-Т с мотором М-17. </w:t>
      </w:r>
    </w:p>
    <w:p w14:paraId="4A444D97"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положительном разрешении этого вопроса при планировании авиапромышленностью на 1934 г. моторостроения будет предусмотрено 1.000 – 1.200 моторов М-17 для танка Б-Т.</w:t>
      </w:r>
    </w:p>
    <w:p w14:paraId="39618946"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ЗАМЕСТИТЕЛЬ НАРОДНОГО КОМИССАРА по ВОЕННЫМ и МОРСКИМ ДЕЛАМ и ПРЕДСЕДАТЕЛЯ РВС СССР: </w:t>
      </w:r>
    </w:p>
    <w:p w14:paraId="6DDC2016"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(Тухачевский) </w:t>
      </w:r>
    </w:p>
    <w:p w14:paraId="30C7EE25"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ЗАМ. НАРОДНОГО КОМИССАРА ТЯЖЕЛОЙ ПРОМЫШЛЕННОСТИ: </w:t>
      </w:r>
    </w:p>
    <w:p w14:paraId="0107C88D"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(Павлуновский)</w:t>
      </w:r>
    </w:p>
    <w:p w14:paraId="22A58B29"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Отп. 4 экз. </w:t>
      </w:r>
    </w:p>
    <w:p w14:paraId="43D877BE"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23.VI.33. </w:t>
      </w:r>
    </w:p>
    <w:p w14:paraId="62767CD1"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РГВА Фонд 31811 Опись 2 Дело 221 лист 255 </w:t>
      </w:r>
    </w:p>
    <w:p w14:paraId="769F3657"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СОВ.СЕКРЕТНО </w:t>
      </w:r>
    </w:p>
    <w:p w14:paraId="54F48E55"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Экз. № ___ </w:t>
      </w:r>
    </w:p>
    <w:p w14:paraId="45052DEB"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w:t>
      </w:r>
    </w:p>
    <w:p w14:paraId="72BF5E72"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КОМИССИИ ОБОРОНЫ</w:t>
      </w:r>
    </w:p>
    <w:p w14:paraId="32971F98"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ВОПРОСУ: О замене мотора "Либерти" в танке Б-Т мотором М-17 или другим мотором советского производства. </w:t>
      </w:r>
    </w:p>
    <w:p w14:paraId="6AA3DE83"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НКВМ и НКТяжпрому закончить все необходимые опыты с мотором М-17 в танке Б-Т в ноябре месяце 1933 года. НКВМ определить потребность в моторах М-17 для танка Б-Т на 1934 год, а НКТяжпрому предусмотреть план подачи этих моторов. </w:t>
      </w:r>
    </w:p>
    <w:p w14:paraId="2B9C2EB1"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НКВМ и НКТяжпрому в декабре месяце 1933 года представить на утверждение окончательный тип дизель-мотора для танка Б-Т для постановки его на валовое производство, для чего: </w:t>
      </w:r>
    </w:p>
    <w:p w14:paraId="21B813BF"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По дизелю "ПГЕ" конструкции ОГПУ – вменить в обязанность Опытного Отдела завода им. ВОРОШИЛОВА закончить постройку 3-х образцов не позднее сентября месяца 1933 года. </w:t>
      </w:r>
    </w:p>
    <w:p w14:paraId="2DDA38E4"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По дизелю "ХПЗ" закончить все заводские испытания и установить мотор в танк не позднее октября месяца 1933 года. </w:t>
      </w:r>
    </w:p>
    <w:p w14:paraId="27C546A4"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дизелю "НАТИ" закончить постройку опытного образца не позднее августа месяца и, при положительных результатах испытаний данного типа дизель-мотора на стенде, заводу ХПЗ разработать конструкцию для установки его в танк Б-Т, и не позднее ноября – декабря месяцев с.г. приступить к его испытанию в танке.</w:t>
      </w:r>
    </w:p>
    <w:p w14:paraId="5633C3D0" w14:textId="77777777"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КО (24883).</w:t>
      </w:r>
    </w:p>
    <w:p w14:paraId="1AEBF248"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479BDF23" w14:textId="38C7DFC1" w:rsidR="001C32AD" w:rsidRPr="0044524F" w:rsidRDefault="001C32AD"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1CC2512" w14:textId="77777777" w:rsidR="001C32AD" w:rsidRPr="0044524F" w:rsidRDefault="001C32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FB6F7D5" w14:textId="77777777" w:rsidR="001C32AD" w:rsidRPr="0044524F" w:rsidRDefault="001C32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29 июня</w:t>
      </w:r>
      <w:r w:rsidRPr="0044524F">
        <w:rPr>
          <w:rFonts w:ascii="Times New Roman" w:hAnsi="Times New Roman"/>
          <w:color w:val="000000" w:themeColor="text1"/>
          <w:sz w:val="16"/>
          <w:szCs w:val="16"/>
        </w:rPr>
        <w:t xml:space="preserve"> в 1933 году создается Генеральная прокуратура СССР. Органы прокуратуры долго и настойчиво выдвигали идею о централизации органов прокуратуры и преобразовании их в самостоятельный государственный орган общегосударственного масштаба. Это давало бы органам прокуратуры большие возможности для установления и устранения нарушений законов, в особенности в сфере уголовного и гражданского судопроизводства. Решению этой проблемы и посвящено постановление ЦИК и СНК СССР от 29 июня 1933 г. "Об учреждении Прокуратуры Союза ССР'" (14937).</w:t>
      </w:r>
    </w:p>
    <w:p w14:paraId="394E8D7B" w14:textId="77777777" w:rsidR="001C32AD" w:rsidRPr="0044524F" w:rsidRDefault="001C32AD" w:rsidP="009654CF">
      <w:pPr>
        <w:spacing w:after="0" w:line="240" w:lineRule="auto"/>
        <w:jc w:val="both"/>
        <w:rPr>
          <w:rFonts w:ascii="Times New Roman" w:hAnsi="Times New Roman"/>
          <w:color w:val="000000" w:themeColor="text1"/>
          <w:sz w:val="16"/>
          <w:szCs w:val="16"/>
        </w:rPr>
      </w:pPr>
    </w:p>
    <w:p w14:paraId="15967F21"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997C77D"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ECCF09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когда 4.5-метровую модель Pilot-Rakete» («Пилот-Ракете») удалось запустить, один из роликов сошел с направляющего рельса и застрял. Он, разумеется, был сорван, но из-за этого ракета взлетела почти горизонтально. Быстро теряя высоту, она упала плашмя на землю в 300 м от пусковой установки.</w:t>
      </w:r>
    </w:p>
    <w:p w14:paraId="77366CB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Конец «Ракетенфлюгплатц» был печальным. Однажды на территорию, принадлежащую «Обществу межпланетных сообщений» нагрянула большая группа молодых людей в серо-голубой форме, назвавших себя представителями «Дойче люфтвахт», которые заявили, что это место передано им в качестве учебного плаца (11688).</w:t>
      </w:r>
    </w:p>
    <w:p w14:paraId="7DF60B4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580F1D72" w14:textId="44168486" w:rsidR="00E5166A" w:rsidRPr="0044524F" w:rsidRDefault="00E5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июня 1933 на окраине Магдебурга,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имении некоего «господина Мозе», где построили пусковую установку высотой 12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м, прототип пассажирской ракеты наконец удалось запустить (тяга достигла 185 кгс), но при этом один из роликов сошёл с направляющего рельса и застрял. Ракета взлетела лишь на 30– 35 метров, приняла почти горизонтальное положение и, быстро теряя высоту, упала плашмя в 300 метрах от места старта. Там она сгорела (23372).</w:t>
      </w:r>
    </w:p>
    <w:p w14:paraId="56E9830B" w14:textId="77777777" w:rsidR="00E5166A" w:rsidRPr="0044524F" w:rsidRDefault="00E5166A" w:rsidP="009654CF">
      <w:pPr>
        <w:spacing w:after="0" w:line="240" w:lineRule="auto"/>
        <w:jc w:val="both"/>
        <w:rPr>
          <w:rFonts w:ascii="Times New Roman" w:hAnsi="Times New Roman"/>
          <w:color w:val="000000" w:themeColor="text1"/>
          <w:sz w:val="16"/>
          <w:szCs w:val="16"/>
        </w:rPr>
      </w:pPr>
    </w:p>
    <w:p w14:paraId="631BE920" w14:textId="77777777" w:rsidR="001C32AD" w:rsidRPr="0044524F" w:rsidRDefault="001C32AD"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0CB6956" w14:textId="77777777" w:rsidR="001C32AD" w:rsidRPr="0044524F" w:rsidRDefault="001C32A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694D39E" w14:textId="77777777" w:rsidR="001C32AD" w:rsidRPr="0044524F" w:rsidRDefault="001C32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июня 1933 г. начальник школы Гехер, сменивший Раббе, был вызван в германское посольство в Москве, где получил инструкцию, что курсы ТЕКО (так к этому времени стали называть «Каму») ликвидируются в течение трех месяцев (18264).</w:t>
      </w:r>
    </w:p>
    <w:p w14:paraId="26874A43" w14:textId="77777777" w:rsidR="001C32AD" w:rsidRPr="0044524F" w:rsidRDefault="001C32AD" w:rsidP="009654CF">
      <w:pPr>
        <w:spacing w:after="0" w:line="240" w:lineRule="auto"/>
        <w:jc w:val="both"/>
        <w:rPr>
          <w:rFonts w:ascii="Times New Roman" w:hAnsi="Times New Roman"/>
          <w:color w:val="000000" w:themeColor="text1"/>
          <w:sz w:val="16"/>
          <w:szCs w:val="16"/>
        </w:rPr>
      </w:pPr>
    </w:p>
    <w:p w14:paraId="2F38BB77"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E7C96E1"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CB4F69F" w14:textId="77777777" w:rsidR="001C32AD" w:rsidRPr="0044524F" w:rsidRDefault="001C32AD"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июня 1933 была учреждена Прокуратура СССР, до этого входившая в состав Верховного Суда СССР. Прокурором назначили И.А.Акулова (3908,340).</w:t>
      </w:r>
    </w:p>
    <w:p w14:paraId="45663D81" w14:textId="77777777" w:rsidR="001C32AD" w:rsidRPr="0044524F" w:rsidRDefault="001C32AD" w:rsidP="009654CF">
      <w:pPr>
        <w:autoSpaceDE w:val="0"/>
        <w:autoSpaceDN w:val="0"/>
        <w:adjustRightInd w:val="0"/>
        <w:spacing w:after="0" w:line="240" w:lineRule="auto"/>
        <w:jc w:val="both"/>
        <w:rPr>
          <w:rFonts w:ascii="Times New Roman" w:hAnsi="Times New Roman"/>
          <w:color w:val="000000" w:themeColor="text1"/>
          <w:sz w:val="16"/>
          <w:szCs w:val="16"/>
        </w:rPr>
      </w:pPr>
    </w:p>
    <w:p w14:paraId="7E524E8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30 июня и 6 июля 1933. Из протокола заседания Политбюро N 140, 1933 г.</w:t>
      </w:r>
    </w:p>
    <w:p w14:paraId="369CB5D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Вешенском районе </w:t>
      </w:r>
    </w:p>
    <w:p w14:paraId="34F8D68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Заслушав сообщение т. Шкирятова о перегибах в Вешенском районе в связи с хлебозаготовками* и опросив тт. Зимина (второй секретарь крайкома), Овчинникова (уполномоченный крайкома в Вешенском районе), Плоткина (районный работник), Пашинского (районный работник) и Шолохова (свидетель), ЦК ВКП(б) находит, что главная ответственность за массовое изгнание колхозников из домов и запрещение другим колхозникам приютить на ночь изгнанных на улицу колхозников падает на крайком, который не принял своевременных мер для прекращения, не говоря уж о предупреждении, этих перегибов, и прежде всего на второго секретаря крайкома т. Зимина, который, приехав в Вешенский район и ознакомившись с творившимися там безобразиями, не только не обуздал т. Овчинникова — инициатора перегибов, а, наоборот, стал их накручивать и подстегивать в духе дальнейшего проведения перегибов. ЦК считает, что совершенно правильная и абсолютно необходимая политика нажима на саботирующих хлебозаготовки колхозников была искривлена и скомпрометирована в Вешенском районе благодаря отсутствию достаточного контроля со стороны крайкома. </w:t>
      </w:r>
    </w:p>
    <w:p w14:paraId="494B596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ЦК ВКП(б) постановляет: </w:t>
      </w:r>
    </w:p>
    <w:p w14:paraId="6AB0B1A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Указать крайкому на недостаточный контроль над действиями своих представителей и уполномоченных. </w:t>
      </w:r>
    </w:p>
    <w:p w14:paraId="179B741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Снять т. Зимина с поста второго секретаря крайкома и направить его в распоряжение ЦК ВКП(б). </w:t>
      </w:r>
    </w:p>
    <w:p w14:paraId="41C045F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Объявить строгий выговор с предупреждением т. Овчинникову, снять его с поста секретаря Ростовского горкома и воспретить ему на год работу в деревне. </w:t>
      </w:r>
    </w:p>
    <w:p w14:paraId="0849828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Объявить строгий выговор с предупреждением тт. Плоткину и Пашинскому и воспретить им работу в Вешенском районе. </w:t>
      </w:r>
    </w:p>
    <w:p w14:paraId="0722494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Все другие меры наказания, вынесенные партийными и советскими органами в отношении тт. Плоткина и Пашинского, считать аннулированными (11652).</w:t>
      </w:r>
    </w:p>
    <w:p w14:paraId="4962959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1933 года Михаил Шолохов писал Сталину: "В Архиповском колхозе двух колхозниц, Фомину и Краснову, после ночного допроса вывезли за три километра в степь, раздели на снегу догола и пустили, приказав бежать к хутору рысью" (11652).</w:t>
      </w:r>
    </w:p>
    <w:p w14:paraId="6610B4E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29F95BA9"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E3E3663"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3B9658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30 июня и 6 июля 1933. Из протокола заседания Политбюро N 140, 1933 г.</w:t>
      </w:r>
    </w:p>
    <w:p w14:paraId="4A79E08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просьбе семей эмигрантов о продлении им советских паспортов </w:t>
      </w:r>
    </w:p>
    <w:p w14:paraId="40A6D8F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НКИД дать распоряжение советским консульствам за границей не выдавать больше советских паспортов семьям лишенных советского гражданства эмигрантов (11652).</w:t>
      </w:r>
    </w:p>
    <w:p w14:paraId="5BDE00E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6ED565D9"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BB11E10"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4DAF267"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30 июня</w:t>
      </w:r>
      <w:r w:rsidRPr="0044524F">
        <w:rPr>
          <w:rFonts w:ascii="Times New Roman" w:hAnsi="Times New Roman"/>
          <w:color w:val="000000" w:themeColor="text1"/>
          <w:sz w:val="16"/>
          <w:szCs w:val="16"/>
        </w:rPr>
        <w:t xml:space="preserve"> в 1933 году разбился первый опытный образец самолета «Blackburn» «B-3» (S1640) (14938).</w:t>
      </w:r>
    </w:p>
    <w:p w14:paraId="7E9221CC" w14:textId="77777777" w:rsidR="003417C8" w:rsidRPr="0044524F" w:rsidRDefault="003417C8" w:rsidP="009654CF">
      <w:pPr>
        <w:spacing w:after="0" w:line="240" w:lineRule="auto"/>
        <w:jc w:val="both"/>
        <w:rPr>
          <w:rFonts w:ascii="Times New Roman" w:hAnsi="Times New Roman"/>
          <w:color w:val="000000" w:themeColor="text1"/>
          <w:sz w:val="16"/>
          <w:szCs w:val="16"/>
        </w:rPr>
      </w:pPr>
    </w:p>
    <w:p w14:paraId="47277AC8"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июня 1933 немецким евреям запрещено заниматься творческой работой (4962).</w:t>
      </w:r>
    </w:p>
    <w:p w14:paraId="509E253E"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7420C0" w14:textId="77777777" w:rsidR="00DE09B3" w:rsidRPr="0044524F" w:rsidRDefault="00DE09B3" w:rsidP="00DE09B3">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E19425C" w14:textId="77777777" w:rsidR="00DE09B3" w:rsidRPr="0044524F" w:rsidRDefault="00DE09B3" w:rsidP="00DE09B3">
      <w:pPr>
        <w:autoSpaceDE w:val="0"/>
        <w:autoSpaceDN w:val="0"/>
        <w:adjustRightInd w:val="0"/>
        <w:spacing w:after="0" w:line="240" w:lineRule="auto"/>
        <w:jc w:val="both"/>
        <w:rPr>
          <w:rFonts w:ascii="Times New Roman" w:hAnsi="Times New Roman"/>
          <w:iCs/>
          <w:color w:val="000000" w:themeColor="text1"/>
          <w:sz w:val="16"/>
          <w:szCs w:val="16"/>
        </w:rPr>
      </w:pPr>
    </w:p>
    <w:p w14:paraId="4142419E" w14:textId="77777777" w:rsidR="00DE09B3" w:rsidRPr="00142305" w:rsidRDefault="00DE09B3" w:rsidP="00DE0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июня 1933 года, был разработан новый вариант ЦКБ</w:t>
      </w:r>
      <w:r w:rsidRPr="00142305">
        <w:rPr>
          <w:rFonts w:ascii="Times New Roman" w:hAnsi="Times New Roman"/>
          <w:color w:val="0070C0"/>
          <w:sz w:val="16"/>
          <w:szCs w:val="16"/>
        </w:rPr>
        <w:noBreakHyphen/>
        <w:t>12, с уменьшенным весом и улучшенной аэродинамикой. Обширные испытания, проведенные в аэродинамической трубе, помогли определить оптимальные очертания и профиль крыла, а также определенно показали, что капот типа NACA более предпочтителен, чем кольцо Тауненда.</w:t>
      </w:r>
    </w:p>
    <w:p w14:paraId="25DC346D" w14:textId="77777777" w:rsidR="00DE09B3" w:rsidRPr="00142305" w:rsidRDefault="00DE09B3" w:rsidP="00DE0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Имелось два различных варианта, развития проекта истребителя: ЦКБ</w:t>
      </w:r>
      <w:r w:rsidRPr="00142305">
        <w:rPr>
          <w:rFonts w:ascii="Times New Roman" w:hAnsi="Times New Roman"/>
          <w:color w:val="0070C0"/>
          <w:sz w:val="16"/>
          <w:szCs w:val="16"/>
        </w:rPr>
        <w:noBreakHyphen/>
        <w:t>12 с радиальным двигателем М</w:t>
      </w:r>
      <w:r w:rsidRPr="00142305">
        <w:rPr>
          <w:rFonts w:ascii="Times New Roman" w:hAnsi="Times New Roman"/>
          <w:color w:val="0070C0"/>
          <w:sz w:val="16"/>
          <w:szCs w:val="16"/>
        </w:rPr>
        <w:noBreakHyphen/>
        <w:t>22 воздушного охлаждения (мощностью 480 л.с.) и ЦКБ</w:t>
      </w:r>
      <w:r w:rsidRPr="00142305">
        <w:rPr>
          <w:rFonts w:ascii="Times New Roman" w:hAnsi="Times New Roman"/>
          <w:color w:val="0070C0"/>
          <w:sz w:val="16"/>
          <w:szCs w:val="16"/>
        </w:rPr>
        <w:noBreakHyphen/>
        <w:t xml:space="preserve"> 12бис, который оснащался импортным радиальным девятицилиндровым американским двигателем Wright Cyclone SGR</w:t>
      </w:r>
      <w:r w:rsidRPr="00142305">
        <w:rPr>
          <w:rFonts w:ascii="Times New Roman" w:hAnsi="Times New Roman"/>
          <w:color w:val="0070C0"/>
          <w:sz w:val="16"/>
          <w:szCs w:val="16"/>
        </w:rPr>
        <w:noBreakHyphen/>
        <w:t>1820</w:t>
      </w:r>
      <w:r w:rsidRPr="00142305">
        <w:rPr>
          <w:rFonts w:ascii="Times New Roman" w:hAnsi="Times New Roman"/>
          <w:color w:val="0070C0"/>
          <w:sz w:val="16"/>
          <w:szCs w:val="16"/>
        </w:rPr>
        <w:noBreakHyphen/>
        <w:t>F</w:t>
      </w:r>
      <w:r w:rsidRPr="00142305">
        <w:rPr>
          <w:rFonts w:ascii="Times New Roman" w:hAnsi="Times New Roman"/>
          <w:color w:val="0070C0"/>
          <w:sz w:val="16"/>
          <w:szCs w:val="16"/>
        </w:rPr>
        <w:noBreakHyphen/>
        <w:t>3 воздушного охлаждения (мощностью 710 л.с.). На обоих опытных самолетах использовался трехлопастной воздушный винт Hamilton</w:t>
      </w:r>
      <w:r w:rsidRPr="00142305">
        <w:rPr>
          <w:rFonts w:ascii="Times New Roman" w:hAnsi="Times New Roman"/>
          <w:color w:val="0070C0"/>
          <w:sz w:val="16"/>
          <w:szCs w:val="16"/>
        </w:rPr>
        <w:noBreakHyphen/>
        <w:t>Standard. Вооружение также было одинаковым – два авиационных пулемета ПВ</w:t>
      </w:r>
      <w:r w:rsidRPr="00142305">
        <w:rPr>
          <w:rFonts w:ascii="Times New Roman" w:hAnsi="Times New Roman"/>
          <w:color w:val="0070C0"/>
          <w:sz w:val="16"/>
          <w:szCs w:val="16"/>
        </w:rPr>
        <w:noBreakHyphen/>
        <w:t>1, калибра 7,62 мм, и боезапасом по 900 патронов на ствол. Пулеметы были расположены в крыльях, вне зоны ометаемой воздушным винтом. В ходе начальной стадии программы летных испытаний, вооружение не устанавливалось, а на крыльях были смонтированы муляжи стволов (25070).</w:t>
      </w:r>
    </w:p>
    <w:p w14:paraId="0BD3EDE7" w14:textId="77777777" w:rsidR="00DE09B3" w:rsidRPr="00142305" w:rsidRDefault="00DE09B3" w:rsidP="00DE09B3">
      <w:pPr>
        <w:spacing w:after="0" w:line="240" w:lineRule="auto"/>
        <w:jc w:val="both"/>
        <w:rPr>
          <w:rFonts w:ascii="Times New Roman" w:hAnsi="Times New Roman"/>
          <w:color w:val="0070C0"/>
          <w:sz w:val="16"/>
          <w:szCs w:val="16"/>
        </w:rPr>
      </w:pPr>
    </w:p>
    <w:p w14:paraId="5E07AC84"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7721A7E"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F6F4C1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июня 1933 были готовы в карандаше чертежи установки на БТ-5 двигателя М-17, отслужившего в авиации (100 часов), хотя срок был 10 апреля 1933 (3880,17).</w:t>
      </w:r>
    </w:p>
    <w:p w14:paraId="0BC79D1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24CAD2B1" w14:textId="77777777" w:rsidR="009765C4" w:rsidRPr="0044524F" w:rsidRDefault="009765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июня 1933 г. заместитель народного комиссара по военным и морским делам и председателя Реввоенсовета СССР М.Н. Тухачевский и заместитель народного комиссара тяжелой промышленности СССР И.П. Павлуновский докладывали в Комиссию обороны СССР по вопросу о замене двигателя «Либерти» в танке БТ двигателем отечественного производства (24856).</w:t>
      </w:r>
    </w:p>
    <w:p w14:paraId="14018CB2" w14:textId="77777777" w:rsidR="009765C4" w:rsidRPr="0044524F" w:rsidRDefault="009765C4" w:rsidP="009654CF">
      <w:pPr>
        <w:spacing w:after="0" w:line="240" w:lineRule="auto"/>
        <w:jc w:val="both"/>
        <w:rPr>
          <w:rFonts w:ascii="Times New Roman" w:hAnsi="Times New Roman"/>
          <w:color w:val="000000" w:themeColor="text1"/>
          <w:sz w:val="16"/>
          <w:szCs w:val="16"/>
        </w:rPr>
      </w:pPr>
    </w:p>
    <w:p w14:paraId="03E19FA6" w14:textId="77777777" w:rsidR="00664564" w:rsidRPr="0044524F" w:rsidRDefault="0066456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июня 1933 сделали второй опытный мотоцикл ИЖ-7, внешне отличавшийся от Л-300 отсутствием щитков и формой ру</w:t>
      </w:r>
      <w:r w:rsidRPr="0044524F">
        <w:rPr>
          <w:rFonts w:ascii="Times New Roman" w:hAnsi="Times New Roman"/>
          <w:color w:val="000000" w:themeColor="text1"/>
          <w:sz w:val="16"/>
          <w:szCs w:val="16"/>
        </w:rPr>
        <w:softHyphen/>
        <w:t>ля. Изготовление НАТИ-Б-375 и НАТИ-В-375 заказом не преду</w:t>
      </w:r>
      <w:r w:rsidRPr="0044524F">
        <w:rPr>
          <w:rFonts w:ascii="Times New Roman" w:hAnsi="Times New Roman"/>
          <w:color w:val="000000" w:themeColor="text1"/>
          <w:sz w:val="16"/>
          <w:szCs w:val="16"/>
        </w:rPr>
        <w:softHyphen/>
        <w:t>сматривалось. В июне-июле 1933 г. проходила доводка собран</w:t>
      </w:r>
      <w:r w:rsidRPr="0044524F">
        <w:rPr>
          <w:rFonts w:ascii="Times New Roman" w:hAnsi="Times New Roman"/>
          <w:color w:val="000000" w:themeColor="text1"/>
          <w:sz w:val="16"/>
          <w:szCs w:val="16"/>
        </w:rPr>
        <w:softHyphen/>
        <w:t>ных машин в движении по окрестностям Ижевска с устранениями отказов и доработками на территории ИжМЗе [4.67] (11429).</w:t>
      </w:r>
    </w:p>
    <w:p w14:paraId="01B64A32" w14:textId="77777777" w:rsidR="00664564" w:rsidRPr="0044524F" w:rsidRDefault="0066456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7EF818" w14:textId="13E1F706" w:rsidR="00DE09B3" w:rsidRPr="0044524F" w:rsidRDefault="00DE09B3" w:rsidP="00DE09B3">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44524F">
        <w:rPr>
          <w:rFonts w:ascii="Times New Roman" w:hAnsi="Times New Roman"/>
          <w:i/>
          <w:iCs/>
          <w:color w:val="000000" w:themeColor="text1"/>
          <w:sz w:val="16"/>
          <w:szCs w:val="16"/>
        </w:rPr>
        <w:t>:</w:t>
      </w:r>
    </w:p>
    <w:p w14:paraId="4A008071" w14:textId="77777777" w:rsidR="00DE09B3" w:rsidRPr="0044524F" w:rsidRDefault="00DE09B3" w:rsidP="00DE09B3">
      <w:pPr>
        <w:autoSpaceDE w:val="0"/>
        <w:autoSpaceDN w:val="0"/>
        <w:adjustRightInd w:val="0"/>
        <w:spacing w:after="0" w:line="240" w:lineRule="auto"/>
        <w:jc w:val="both"/>
        <w:rPr>
          <w:rFonts w:ascii="Times New Roman" w:hAnsi="Times New Roman"/>
          <w:iCs/>
          <w:color w:val="000000" w:themeColor="text1"/>
          <w:sz w:val="16"/>
          <w:szCs w:val="16"/>
        </w:rPr>
      </w:pPr>
    </w:p>
    <w:p w14:paraId="0DD6090E" w14:textId="77777777" w:rsidR="00DE09B3" w:rsidRPr="00142305" w:rsidRDefault="00DE09B3" w:rsidP="00DE09B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июня 1933 г. была организована ликвидационная ко</w:t>
      </w:r>
      <w:r w:rsidRPr="00142305">
        <w:rPr>
          <w:rFonts w:ascii="Times New Roman" w:hAnsi="Times New Roman"/>
          <w:color w:val="0070C0"/>
          <w:sz w:val="16"/>
          <w:szCs w:val="16"/>
        </w:rPr>
        <w:softHyphen/>
        <w:t>миссия по липецкой школе, которую возглавил Томсон. «»Друзья» пошли на большие уступки, вплоть до безвозмездной передачи большинства оборудо</w:t>
      </w:r>
      <w:r w:rsidRPr="00142305">
        <w:rPr>
          <w:rFonts w:ascii="Times New Roman" w:hAnsi="Times New Roman"/>
          <w:color w:val="0070C0"/>
          <w:sz w:val="16"/>
          <w:szCs w:val="16"/>
        </w:rPr>
        <w:softHyphen/>
        <w:t>вания, мастерских, всего гаража, автоматической телефонной стан</w:t>
      </w:r>
      <w:r w:rsidRPr="00142305">
        <w:rPr>
          <w:rFonts w:ascii="Times New Roman" w:hAnsi="Times New Roman"/>
          <w:color w:val="0070C0"/>
          <w:sz w:val="16"/>
          <w:szCs w:val="16"/>
        </w:rPr>
        <w:softHyphen/>
        <w:t>ции на 100 номеров, имущества главного технического склада и т. д. ...Беглый подсчет стоимости оставляемого ими имущества опреде</w:t>
      </w:r>
      <w:r w:rsidRPr="00142305">
        <w:rPr>
          <w:rFonts w:ascii="Times New Roman" w:hAnsi="Times New Roman"/>
          <w:color w:val="0070C0"/>
          <w:sz w:val="16"/>
          <w:szCs w:val="16"/>
        </w:rPr>
        <w:softHyphen/>
        <w:t>ляется в сотни тысяч золотых рублей», — информировал он руководство (25025).</w:t>
      </w:r>
    </w:p>
    <w:p w14:paraId="67261AA0" w14:textId="77777777" w:rsidR="00DE09B3" w:rsidRPr="00142305" w:rsidRDefault="00DE09B3" w:rsidP="00DE09B3">
      <w:pPr>
        <w:spacing w:after="0" w:line="240" w:lineRule="auto"/>
        <w:jc w:val="both"/>
        <w:rPr>
          <w:rFonts w:ascii="Times New Roman" w:hAnsi="Times New Roman"/>
          <w:color w:val="0070C0"/>
          <w:sz w:val="16"/>
          <w:szCs w:val="16"/>
        </w:rPr>
      </w:pPr>
    </w:p>
    <w:p w14:paraId="0F653211" w14:textId="77777777" w:rsidR="00D06485" w:rsidRPr="0044524F" w:rsidRDefault="00D06485" w:rsidP="00D06485">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83E60F6" w14:textId="77777777" w:rsidR="00D06485" w:rsidRPr="0044524F" w:rsidRDefault="00D06485" w:rsidP="00D06485">
      <w:pPr>
        <w:autoSpaceDE w:val="0"/>
        <w:autoSpaceDN w:val="0"/>
        <w:adjustRightInd w:val="0"/>
        <w:spacing w:after="0" w:line="240" w:lineRule="auto"/>
        <w:jc w:val="both"/>
        <w:rPr>
          <w:rFonts w:ascii="Times New Roman" w:hAnsi="Times New Roman"/>
          <w:iCs/>
          <w:color w:val="000000" w:themeColor="text1"/>
          <w:sz w:val="16"/>
          <w:szCs w:val="16"/>
        </w:rPr>
      </w:pPr>
    </w:p>
    <w:p w14:paraId="68AECA19" w14:textId="77777777" w:rsidR="00D06485" w:rsidRPr="00142305" w:rsidRDefault="00D06485" w:rsidP="00D0648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Во второй половине июня 1933 года облик ЦКБ-12 в обоих вариантах – с кольцом Тауненда и капотом НАКА, так сказать, сложился на ватмане. А через месяц ВВС решили «уза</w:t>
      </w:r>
      <w:r w:rsidRPr="00142305">
        <w:rPr>
          <w:rStyle w:val="aff"/>
          <w:rFonts w:ascii="Times New Roman" w:hAnsi="Times New Roman" w:cs="Times New Roman"/>
          <w:color w:val="0070C0"/>
          <w:spacing w:val="0"/>
          <w:sz w:val="16"/>
          <w:szCs w:val="16"/>
        </w:rPr>
        <w:softHyphen/>
        <w:t>конить отношения» (25519).</w:t>
      </w:r>
    </w:p>
    <w:p w14:paraId="148C0B55" w14:textId="77777777" w:rsidR="00D06485" w:rsidRPr="00142305" w:rsidRDefault="00D06485" w:rsidP="00D06485">
      <w:pPr>
        <w:spacing w:after="0" w:line="240" w:lineRule="auto"/>
        <w:jc w:val="both"/>
        <w:rPr>
          <w:rStyle w:val="aff"/>
          <w:rFonts w:ascii="Times New Roman" w:hAnsi="Times New Roman" w:cs="Times New Roman"/>
          <w:color w:val="0070C0"/>
          <w:spacing w:val="0"/>
          <w:sz w:val="16"/>
          <w:szCs w:val="16"/>
        </w:rPr>
      </w:pPr>
    </w:p>
    <w:p w14:paraId="49491E0E" w14:textId="77777777" w:rsidR="0066456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512DA47" w14:textId="77777777" w:rsidR="00664564" w:rsidRPr="0044524F" w:rsidRDefault="0066456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41DF086" w14:textId="77777777" w:rsidR="002C29D9" w:rsidRPr="00142305" w:rsidRDefault="002C29D9" w:rsidP="002C29D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июньском 1933 года постановлении Реввоенсовета СССР отмечалось «... План опытного самолета- и моторостроения, утвержденный Со</w:t>
      </w:r>
      <w:r w:rsidRPr="00142305">
        <w:rPr>
          <w:rStyle w:val="aff"/>
          <w:rFonts w:ascii="Times New Roman" w:hAnsi="Times New Roman" w:cs="Times New Roman"/>
          <w:color w:val="0070C0"/>
          <w:spacing w:val="0"/>
          <w:sz w:val="16"/>
          <w:szCs w:val="16"/>
        </w:rPr>
        <w:softHyphen/>
        <w:t>ветом труда и обороны в июле 1932-го, авиапромом не выпол</w:t>
      </w:r>
      <w:r w:rsidRPr="00142305">
        <w:rPr>
          <w:rStyle w:val="aff"/>
          <w:rFonts w:ascii="Times New Roman" w:hAnsi="Times New Roman" w:cs="Times New Roman"/>
          <w:color w:val="0070C0"/>
          <w:spacing w:val="0"/>
          <w:sz w:val="16"/>
          <w:szCs w:val="16"/>
        </w:rPr>
        <w:softHyphen/>
        <w:t>нен» (25091).</w:t>
      </w:r>
    </w:p>
    <w:p w14:paraId="2BA113BB" w14:textId="77777777" w:rsidR="002C29D9" w:rsidRPr="00142305" w:rsidRDefault="002C29D9" w:rsidP="002C29D9">
      <w:pPr>
        <w:spacing w:after="0" w:line="240" w:lineRule="auto"/>
        <w:jc w:val="both"/>
        <w:rPr>
          <w:rFonts w:ascii="Times New Roman" w:hAnsi="Times New Roman"/>
          <w:color w:val="0070C0"/>
          <w:sz w:val="16"/>
          <w:szCs w:val="16"/>
        </w:rPr>
      </w:pPr>
    </w:p>
    <w:p w14:paraId="0F4CA273"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года вышел Отчет об испытании двух облегченных самолетов ТБ3-4М17 за №№ 22243 и 22250 на определение расхода горючего и предельной дальности (6785).</w:t>
      </w:r>
    </w:p>
    <w:p w14:paraId="0A00C24A"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5A2A4050"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Лосюков</w:t>
      </w:r>
    </w:p>
    <w:p w14:paraId="21F21614"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Юмашев</w:t>
      </w:r>
    </w:p>
    <w:p w14:paraId="5F45CF03"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14238673"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31E9B3E2" w14:textId="77777777" w:rsidR="00664564" w:rsidRPr="0044524F" w:rsidRDefault="0066456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6DA6B13A" w14:textId="77777777" w:rsidR="00664564" w:rsidRPr="0044524F" w:rsidRDefault="0066456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наивыгоднейшего положения высотного корректора на разных высотах.</w:t>
      </w:r>
    </w:p>
    <w:p w14:paraId="2EE9ECE4" w14:textId="77777777" w:rsidR="00664564" w:rsidRPr="0044524F" w:rsidRDefault="0066456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расходов указанных видов горючего при полетах на предельной дальности.</w:t>
      </w:r>
    </w:p>
    <w:p w14:paraId="5F31B32E" w14:textId="77777777" w:rsidR="00664564" w:rsidRPr="0044524F" w:rsidRDefault="0066456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максимального полетного веса самолета и особенностей взлета и пилотажа при этом весе.</w:t>
      </w:r>
    </w:p>
    <w:p w14:paraId="10B3C913"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C359DD1" w14:textId="77777777" w:rsidR="00664564" w:rsidRPr="0044524F" w:rsidRDefault="0066456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0FF43272"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постановления СТО от 31 мая 1933 года 9-й сектор НИИ ВВС наметил и провел ряд работ, имевших целью повышение дальности (или бомбовой нагрузки) самолета ТБ3 (6785).</w:t>
      </w:r>
    </w:p>
    <w:p w14:paraId="263FF8E3"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F3BDC2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НИИ ВВС испытывал "задраенный" ТБ-3 (АНТ-6), который был сделан из серийного ТБ-3 (АНТ-6) 4М-17 с номером 22211 после того, как сняли подкрыльные стрелковые башни, наружные бомбодержатели, турели и пулеметы, а оставшиеся отверстия - тщательно заделали. Получили прирост скорости на 19 км/ч и потолок вырос на 250-300 м. НИИ ВВС рекомендовал ставить только экранированное оружие (346,29). В это время ставили и дизели АН-1 (156,21).</w:t>
      </w:r>
    </w:p>
    <w:p w14:paraId="3679AD2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4AE73508" w14:textId="6995A51C"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в НИИ ВВС проходили испытания ТБ—3 4М—17 с за</w:t>
      </w:r>
      <w:r w:rsidRPr="0044524F">
        <w:rPr>
          <w:rFonts w:ascii="Times New Roman" w:hAnsi="Times New Roman"/>
          <w:color w:val="000000" w:themeColor="text1"/>
          <w:sz w:val="16"/>
          <w:szCs w:val="16"/>
        </w:rPr>
        <w:softHyphen/>
        <w:t>водским №2211, с которого весной 1933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сняли подкрыльные стрелковые башни, наружные бомбодер</w:t>
      </w:r>
      <w:r w:rsidRPr="0044524F">
        <w:rPr>
          <w:rFonts w:ascii="Times New Roman" w:hAnsi="Times New Roman"/>
          <w:color w:val="000000" w:themeColor="text1"/>
          <w:sz w:val="16"/>
          <w:szCs w:val="16"/>
        </w:rPr>
        <w:softHyphen/>
        <w:t>жатели, турели и пулеметы, поставили об</w:t>
      </w:r>
      <w:r w:rsidRPr="0044524F">
        <w:rPr>
          <w:rFonts w:ascii="Times New Roman" w:hAnsi="Times New Roman"/>
          <w:color w:val="000000" w:themeColor="text1"/>
          <w:sz w:val="16"/>
          <w:szCs w:val="16"/>
        </w:rPr>
        <w:softHyphen/>
        <w:t>текатели на тележки шасси. Все отверстия, оставшиеся от снятых агрегатов, тщатель</w:t>
      </w:r>
      <w:r w:rsidRPr="0044524F">
        <w:rPr>
          <w:rFonts w:ascii="Times New Roman" w:hAnsi="Times New Roman"/>
          <w:color w:val="000000" w:themeColor="text1"/>
          <w:sz w:val="16"/>
          <w:szCs w:val="16"/>
        </w:rPr>
        <w:softHyphen/>
        <w:t>но заделали. Самолет получил название «задраенный». При полетной массе 17200 кг (масса пустого — 12230 кг) прирост скорости составил 19 км/ч (4,5%), потолок увеличился на 250—300 м. Предполагалось, что и радиус действия возрастет не менее чем на 5%. В своих вы</w:t>
      </w:r>
      <w:r w:rsidRPr="0044524F">
        <w:rPr>
          <w:rFonts w:ascii="Times New Roman" w:hAnsi="Times New Roman"/>
          <w:color w:val="000000" w:themeColor="text1"/>
          <w:sz w:val="16"/>
          <w:szCs w:val="16"/>
        </w:rPr>
        <w:softHyphen/>
        <w:t>водах НИИ ВВС рекомендовал устанав</w:t>
      </w:r>
      <w:r w:rsidRPr="0044524F">
        <w:rPr>
          <w:rFonts w:ascii="Times New Roman" w:hAnsi="Times New Roman"/>
          <w:color w:val="000000" w:themeColor="text1"/>
          <w:sz w:val="16"/>
          <w:szCs w:val="16"/>
        </w:rPr>
        <w:softHyphen/>
        <w:t>ливать на скоростных и тяжелых самоле</w:t>
      </w:r>
      <w:r w:rsidRPr="0044524F">
        <w:rPr>
          <w:rFonts w:ascii="Times New Roman" w:hAnsi="Times New Roman"/>
          <w:color w:val="000000" w:themeColor="text1"/>
          <w:sz w:val="16"/>
          <w:szCs w:val="16"/>
        </w:rPr>
        <w:softHyphen/>
        <w:t>тах только экранированное вооружение (23474).</w:t>
      </w:r>
    </w:p>
    <w:p w14:paraId="22EA5025" w14:textId="77777777" w:rsidR="001D4DD5" w:rsidRPr="0044524F" w:rsidRDefault="001D4DD5" w:rsidP="009654CF">
      <w:pPr>
        <w:spacing w:after="0" w:line="240" w:lineRule="auto"/>
        <w:jc w:val="both"/>
        <w:rPr>
          <w:rFonts w:ascii="Times New Roman" w:hAnsi="Times New Roman"/>
          <w:color w:val="000000" w:themeColor="text1"/>
          <w:sz w:val="16"/>
          <w:szCs w:val="16"/>
        </w:rPr>
      </w:pPr>
    </w:p>
    <w:p w14:paraId="659D95CA" w14:textId="77777777" w:rsidR="002C29D9" w:rsidRPr="00142305" w:rsidRDefault="002C29D9" w:rsidP="002C29D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1933 г. два самолета ТБ-3, М М. Гро</w:t>
      </w:r>
      <w:r w:rsidRPr="00142305">
        <w:rPr>
          <w:rFonts w:ascii="Times New Roman" w:hAnsi="Times New Roman"/>
          <w:color w:val="0070C0"/>
          <w:sz w:val="16"/>
          <w:szCs w:val="16"/>
        </w:rPr>
        <w:softHyphen/>
        <w:t>мова и А.Б. Юмашева, за счет применения обедненной смеси и этилированного бензи</w:t>
      </w:r>
      <w:r w:rsidRPr="00142305">
        <w:rPr>
          <w:rFonts w:ascii="Times New Roman" w:hAnsi="Times New Roman"/>
          <w:color w:val="0070C0"/>
          <w:sz w:val="16"/>
          <w:szCs w:val="16"/>
        </w:rPr>
        <w:softHyphen/>
        <w:t>на показали дальность 3150 км. Все члены экипажей получили благодарность РВС и по месячному окладу. Два месяца спустя Юмашев поднял в воздух модифицирован</w:t>
      </w:r>
      <w:r w:rsidRPr="00142305">
        <w:rPr>
          <w:rFonts w:ascii="Times New Roman" w:hAnsi="Times New Roman"/>
          <w:color w:val="0070C0"/>
          <w:sz w:val="16"/>
          <w:szCs w:val="16"/>
        </w:rPr>
        <w:softHyphen/>
        <w:t>ный облегченный ТБ-3. На нем полностью убрали наружную подвеску бомб. Вместо этого в просторном фюзеляже установили дополнительные кассеты Дер-9. Всего са</w:t>
      </w:r>
      <w:r w:rsidRPr="00142305">
        <w:rPr>
          <w:rFonts w:ascii="Times New Roman" w:hAnsi="Times New Roman"/>
          <w:color w:val="0070C0"/>
          <w:sz w:val="16"/>
          <w:szCs w:val="16"/>
        </w:rPr>
        <w:softHyphen/>
        <w:t>молет теперь мог нести внутри 36 бомб по 100 кг. За счет демонтажа бомбодержате</w:t>
      </w:r>
      <w:r w:rsidRPr="00142305">
        <w:rPr>
          <w:rFonts w:ascii="Times New Roman" w:hAnsi="Times New Roman"/>
          <w:color w:val="0070C0"/>
          <w:sz w:val="16"/>
          <w:szCs w:val="16"/>
        </w:rPr>
        <w:softHyphen/>
        <w:t>лей под фюзеляжем и крылом, кое-какого оборудования и облегчения самой конс</w:t>
      </w:r>
      <w:r w:rsidRPr="00142305">
        <w:rPr>
          <w:rFonts w:ascii="Times New Roman" w:hAnsi="Times New Roman"/>
          <w:color w:val="0070C0"/>
          <w:sz w:val="16"/>
          <w:szCs w:val="16"/>
        </w:rPr>
        <w:softHyphen/>
        <w:t>трукции выиграли 518 кг. Еще более 100 кг получили за счет уменьшения запаса масла в полтора раза (это внедрили и в се</w:t>
      </w:r>
      <w:r w:rsidRPr="00142305">
        <w:rPr>
          <w:rFonts w:ascii="Times New Roman" w:hAnsi="Times New Roman"/>
          <w:color w:val="0070C0"/>
          <w:sz w:val="16"/>
          <w:szCs w:val="16"/>
        </w:rPr>
        <w:softHyphen/>
        <w:t>рии). Но суммарный вес с бомбами дошел до 20 т. Добавочный бензин и улучшение аэродинамики позволили еще увеличить дальность. 8 августа 1933 г. экипаж Юма</w:t>
      </w:r>
      <w:r w:rsidRPr="00142305">
        <w:rPr>
          <w:rFonts w:ascii="Times New Roman" w:hAnsi="Times New Roman"/>
          <w:color w:val="0070C0"/>
          <w:sz w:val="16"/>
          <w:szCs w:val="16"/>
        </w:rPr>
        <w:softHyphen/>
        <w:t>шева совершил беспосадочный перелет Щелково - Евпатория - Щелково, сбросив 2500 кг бомб на полигоне в Крыму (24937).</w:t>
      </w:r>
    </w:p>
    <w:p w14:paraId="6988642F" w14:textId="77777777" w:rsidR="002C29D9" w:rsidRPr="00142305" w:rsidRDefault="002C29D9" w:rsidP="002C29D9">
      <w:pPr>
        <w:spacing w:after="0" w:line="240" w:lineRule="auto"/>
        <w:jc w:val="both"/>
        <w:rPr>
          <w:rFonts w:ascii="Times New Roman" w:hAnsi="Times New Roman"/>
          <w:color w:val="0070C0"/>
          <w:sz w:val="16"/>
          <w:szCs w:val="16"/>
        </w:rPr>
      </w:pPr>
    </w:p>
    <w:p w14:paraId="74F42A5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была закончена постройка опытного АНТ-25 (1102).</w:t>
      </w:r>
    </w:p>
    <w:p w14:paraId="5609843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4622947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июне 1933 г. два самолета, М.М.Громова и А.Б.Юмашева, за счет применения обедненной смеси и этилированного бензина показали дальность 3150 км. Все члены экипажей получили благодарность Реввоенсовета и по месячному окладу. Необходимостъ увеличения этого параметра особенно ощущалась в Забайкалье и на Дальнем Востоке, где потенциальные цели далеко отстояли от советской границы. В частях практиковали облегчение бомбардировщиков за счет снятия подкрыльевых башен, балок Дёр-15 и Дёр-16, а иногда и кассет Дер-9, что экономило до 400 кг. Но увеличение дальности за счет ослабления вооружения сокращало боевые возможности самолета. Поэтому пошли по пути увеличения разрешенного взлетного веса. Последний сначала довели до 19.300 кг, а затем до 19.500 кг. Правда, взлет получался затянутым, разбег занимал 680 м - для аэродромов того времени это было довольно много. После этого лимиты по взлетному весу для строевых частей пересмотрели. Для ранних серий (до №22200) его официально установили равным 19,5 т, для более поздних - 20 т. На бомбардировщиках выпуска 1933 г. добились достаточно высокой надежности как планера, так и мотоустановки. При этом от серии к серии вес пустого самолета неуклонно снижался. Если для первых машин он был около 12.000 кг, то к машине №22301 дошли до уровня 11.350 кг. В годовом отчете НИИ ВВС удовлетворенно записано: "Самолет ТБЗ-4М17 был доведен по своим данным полностью удовлетворяющим поставленной задаче» (7668).</w:t>
      </w:r>
    </w:p>
    <w:p w14:paraId="37A75D1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2AAA5754"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года начальник ВВС Алкснис писал председателю РВС.</w:t>
      </w:r>
    </w:p>
    <w:p w14:paraId="63E4F88C"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результатах гос. испытаний пассажирского самолета ХАИ1-М22.</w:t>
      </w:r>
    </w:p>
    <w:p w14:paraId="621FF431"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пассажирского самолета ХАИ1-М22 показали. Что самолет с полной нагрузкой 875 кг обладает несмотря на не высотный мотор М22, очень высокими летными данными, превосходящими данные не только эксплоатируемых в СССР пассажирских самолетов, но, при скоростном полете, даже данные состоящих на вооружении ВВС истребителей.</w:t>
      </w:r>
    </w:p>
    <w:p w14:paraId="7EE7D3C3"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горизонтальная скорость самолета ХАИ1-М22 с убранным шасси у земли равна 292 км, на 3000 м – 272 км/час., на 5000 м – 249 км/час.</w:t>
      </w:r>
    </w:p>
    <w:p w14:paraId="1EB3E97C"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самолета равен 7200 м, время подъема на 5000 м – 23 мин. Дальность полета нормальная 820 км, при перегрузке – 1410 км.</w:t>
      </w:r>
    </w:p>
    <w:p w14:paraId="77110772"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Благодаря высоким летным данным и тому, что ХАИ1-М22 целиком построен из дерева, военное применение самолета является особо важным.</w:t>
      </w:r>
    </w:p>
    <w:p w14:paraId="6357929A"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Наиболее целесообразным является использовать самолет ХАИ1-М22 в качестве легкого бомбардировщика, несущего 200-400 кг бомб и вооруженного двумя пулеметами ШКАСС, одним через винт, другим на шкворневой установке для обстрела верхней полусферы.</w:t>
      </w:r>
    </w:p>
    <w:p w14:paraId="31A01741"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помещении бомб внутри кабин с вертикальной подвеской и правильной установке вооружения скорости военного варианта самолета ХАИ1 по сравнению с пассажирским вариантом не должны понизится более чем на 10-15 км/час.</w:t>
      </w:r>
    </w:p>
    <w:p w14:paraId="65A8F55F"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ХАИ1-М22 не только будет превосходить по своим данным самолет Р5-М17, но не значительно уступит строющемуся опытному легкому разведчику под мотор М34 (до выпуска М34 с нагнетателем).</w:t>
      </w:r>
    </w:p>
    <w:p w14:paraId="1DDA38C5"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C0AFB0"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ГУАПом предложено осуществить серийную постройку самолета ХАИ1-М22 в 1934 году на заводе № 21.</w:t>
      </w:r>
    </w:p>
    <w:p w14:paraId="1620CFC7"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…………………………(6784, 17-18).</w:t>
      </w:r>
    </w:p>
    <w:p w14:paraId="03CFBACC"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33DCBB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ХАИ-1 прошел весь комплекс гос. испытаний и был рекомендован ГУ ГВФ как основной тип, которые велись с марта 1933. Серию поручили 21 заводу. Где-то в 1934 испытывали серийный (143,23). Гос. испытания ХАИ-1 серийного сначала в Горьком, затем - в Киеве (80,379).</w:t>
      </w:r>
    </w:p>
    <w:p w14:paraId="04BE3B9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10134E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в план включили СР-1 Немана по типу ХАИ-1 (2310,143).</w:t>
      </w:r>
    </w:p>
    <w:p w14:paraId="7658217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C006C58" w14:textId="77777777" w:rsidR="00D06485" w:rsidRPr="00142305" w:rsidRDefault="00D06485" w:rsidP="00D0648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июня 1933 г. началось изготовление деталей, узлов, агрегатов машины ЦКБ-3 И-15, а с августа — сборка. Дебаты о типе двигателя среди руководства продолжались (25035).</w:t>
      </w:r>
    </w:p>
    <w:p w14:paraId="57492A3C" w14:textId="77777777" w:rsidR="00D06485" w:rsidRPr="00142305" w:rsidRDefault="00D06485" w:rsidP="00D06485">
      <w:pPr>
        <w:spacing w:after="0" w:line="240" w:lineRule="auto"/>
        <w:jc w:val="both"/>
        <w:rPr>
          <w:rFonts w:ascii="Times New Roman" w:hAnsi="Times New Roman"/>
          <w:color w:val="0070C0"/>
          <w:sz w:val="16"/>
          <w:szCs w:val="16"/>
        </w:rPr>
      </w:pPr>
    </w:p>
    <w:p w14:paraId="2E09BDD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июня 1933 разработка ЦКБ-12 (будущего И-16) шла полным ходом (1808,4).</w:t>
      </w:r>
    </w:p>
    <w:p w14:paraId="46C567B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E293D5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завершилась разработка эскизного проекта самолета, получившего «фирменное» обозначе</w:t>
      </w:r>
      <w:r w:rsidRPr="0044524F">
        <w:rPr>
          <w:rFonts w:ascii="Times New Roman" w:hAnsi="Times New Roman"/>
          <w:color w:val="000000" w:themeColor="text1"/>
          <w:sz w:val="16"/>
          <w:szCs w:val="16"/>
        </w:rPr>
        <w:softHyphen/>
        <w:t>ние ЦКБ-12. В его конструкции предполагалось исполь</w:t>
      </w:r>
      <w:r w:rsidRPr="0044524F">
        <w:rPr>
          <w:rFonts w:ascii="Times New Roman" w:hAnsi="Times New Roman"/>
          <w:color w:val="000000" w:themeColor="text1"/>
          <w:sz w:val="16"/>
          <w:szCs w:val="16"/>
        </w:rPr>
        <w:softHyphen/>
        <w:t>зовать двигатели Райт «Циклон» SGR-1820 Р-3 или Р-5. Тип капота еще не был окончательно определен. Рассма</w:t>
      </w:r>
      <w:r w:rsidRPr="0044524F">
        <w:rPr>
          <w:rFonts w:ascii="Times New Roman" w:hAnsi="Times New Roman"/>
          <w:color w:val="000000" w:themeColor="text1"/>
          <w:sz w:val="16"/>
          <w:szCs w:val="16"/>
        </w:rPr>
        <w:softHyphen/>
        <w:t>тривалось кольцо Тауненда, с которым максимальная скорость полета достигала значения 395 км/ч на высоте 3000 м, а также капот ЫАСА - с ним расчетная макси</w:t>
      </w:r>
      <w:r w:rsidRPr="0044524F">
        <w:rPr>
          <w:rFonts w:ascii="Times New Roman" w:hAnsi="Times New Roman"/>
          <w:color w:val="000000" w:themeColor="text1"/>
          <w:sz w:val="16"/>
          <w:szCs w:val="16"/>
        </w:rPr>
        <w:softHyphen/>
        <w:t>мальная скорость на той же высоте составляла 415 км/ч (10667).</w:t>
      </w:r>
    </w:p>
    <w:p w14:paraId="2F23D6C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0CF265E9" w14:textId="77777777" w:rsidR="00664564" w:rsidRPr="0044524F" w:rsidRDefault="0066456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Н.Н.П.</w:t>
      </w:r>
      <w:r w:rsidRPr="0044524F">
        <w:rPr>
          <w:rFonts w:ascii="Times New Roman" w:hAnsi="Times New Roman"/>
          <w:color w:val="000000" w:themeColor="text1"/>
          <w:sz w:val="16"/>
          <w:szCs w:val="16"/>
        </w:rPr>
        <w:softHyphen/>
        <w:t>правили варианты проектов ЦКБ-12 в НИИ ВВС. Там их устно одобрили, однако с письменным заключением не торопились (10667).</w:t>
      </w:r>
    </w:p>
    <w:p w14:paraId="4A3C4D2C" w14:textId="77777777" w:rsidR="00664564" w:rsidRPr="0044524F" w:rsidRDefault="0066456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6696D4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нюня 1933 г. разработка ЦКБ-12 ведется полным ходом. Военные внимательно следят за созданием самолета - осмотр деревянного макета ЦКБ-12 в ноябре окончательно убеждает их в правильности выбора (12015).</w:t>
      </w:r>
    </w:p>
    <w:p w14:paraId="1592CE0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2D15A8DB"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была завершена раз</w:t>
      </w:r>
      <w:r w:rsidRPr="0044524F">
        <w:rPr>
          <w:rFonts w:ascii="Times New Roman" w:hAnsi="Times New Roman"/>
          <w:color w:val="000000" w:themeColor="text1"/>
          <w:sz w:val="16"/>
          <w:szCs w:val="16"/>
        </w:rPr>
        <w:softHyphen/>
        <w:t>работка эскизного проекта самолета, получившего «фирменное» обозначение ЦКБ-12. В его конструкции предпола</w:t>
      </w:r>
      <w:r w:rsidRPr="0044524F">
        <w:rPr>
          <w:rFonts w:ascii="Times New Roman" w:hAnsi="Times New Roman"/>
          <w:color w:val="000000" w:themeColor="text1"/>
          <w:sz w:val="16"/>
          <w:szCs w:val="16"/>
        </w:rPr>
        <w:softHyphen/>
        <w:t>галось использовать двигатели Райт «Циклон» SGR-1820 F-3 или F-5. Тип капота первоначально еще не был окон</w:t>
      </w:r>
      <w:r w:rsidRPr="0044524F">
        <w:rPr>
          <w:rFonts w:ascii="Times New Roman" w:hAnsi="Times New Roman"/>
          <w:color w:val="000000" w:themeColor="text1"/>
          <w:sz w:val="16"/>
          <w:szCs w:val="16"/>
        </w:rPr>
        <w:softHyphen/>
        <w:t>чательно определен. Рассматривалось кольцо Тауненда, с которым максималь</w:t>
      </w:r>
      <w:r w:rsidRPr="0044524F">
        <w:rPr>
          <w:rFonts w:ascii="Times New Roman" w:hAnsi="Times New Roman"/>
          <w:color w:val="000000" w:themeColor="text1"/>
          <w:sz w:val="16"/>
          <w:szCs w:val="16"/>
        </w:rPr>
        <w:softHyphen/>
        <w:t>ная скорость полета достигала значения 395 км/ч на высоте 3000 м, а также капот НАКА - максимальная скорость полета 415 км/ч на той же высоте. Эскизный проект истребителя И-16 (ЦКБ 12) в июне 1933 г. был направлен в НИИ ВВС. Там его рассмотрели, устно одо</w:t>
      </w:r>
      <w:r w:rsidRPr="0044524F">
        <w:rPr>
          <w:rFonts w:ascii="Times New Roman" w:hAnsi="Times New Roman"/>
          <w:color w:val="000000" w:themeColor="text1"/>
          <w:sz w:val="16"/>
          <w:szCs w:val="16"/>
        </w:rPr>
        <w:softHyphen/>
        <w:t>брили, однако с письменным заключением не торопились.</w:t>
      </w:r>
    </w:p>
    <w:p w14:paraId="32FBAE9A" w14:textId="75A39EC2"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отсутствие столь важного документа, санкционирующего продолжение проектирования, Ни</w:t>
      </w:r>
      <w:r w:rsidRPr="0044524F">
        <w:rPr>
          <w:rFonts w:ascii="Times New Roman" w:hAnsi="Times New Roman"/>
          <w:color w:val="000000" w:themeColor="text1"/>
          <w:sz w:val="16"/>
          <w:szCs w:val="16"/>
        </w:rPr>
        <w:softHyphen/>
        <w:t>колай Николаевич в инициативном порядке занимался разработкой технического проекта самолета И-16. Опе</w:t>
      </w:r>
      <w:r w:rsidRPr="0044524F">
        <w:rPr>
          <w:rFonts w:ascii="Times New Roman" w:hAnsi="Times New Roman"/>
          <w:color w:val="000000" w:themeColor="text1"/>
          <w:sz w:val="16"/>
          <w:szCs w:val="16"/>
        </w:rPr>
        <w:softHyphen/>
        <w:t>ративно уточнялись аэродинамические характеристики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(23455).</w:t>
      </w:r>
    </w:p>
    <w:p w14:paraId="7C662A00" w14:textId="77777777" w:rsidR="001D4DD5" w:rsidRPr="0044524F" w:rsidRDefault="001D4DD5" w:rsidP="009654CF">
      <w:pPr>
        <w:spacing w:after="0" w:line="240" w:lineRule="auto"/>
        <w:jc w:val="both"/>
        <w:rPr>
          <w:rFonts w:ascii="Times New Roman" w:hAnsi="Times New Roman"/>
          <w:color w:val="000000" w:themeColor="text1"/>
          <w:sz w:val="16"/>
          <w:szCs w:val="16"/>
        </w:rPr>
      </w:pPr>
    </w:p>
    <w:p w14:paraId="76663CF4"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разработка проекта И-16 с РЦФ-3 и М-22 была завершена. Расчеты компоновки с двигателем РЦФ-3 показали следующие значения максимальной скорости на высоте 3000 м:</w:t>
      </w:r>
    </w:p>
    <w:p w14:paraId="4B3D5FB1"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 капотом типа кольцо Тауненда 395 км/ч;</w:t>
      </w:r>
    </w:p>
    <w:p w14:paraId="0C8CD74E"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 капотом типа NACA 415 км/ч.</w:t>
      </w:r>
    </w:p>
    <w:p w14:paraId="122C8230"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двигателем М-22 расчетные скорости самолета ЦКБ-12 снижались:</w:t>
      </w:r>
    </w:p>
    <w:p w14:paraId="508B1D6A"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 капотом типа кольцо Тауненда до 320 км/ч – на 23%;</w:t>
      </w:r>
    </w:p>
    <w:p w14:paraId="03F44B45"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 капотом типа NACA до 345 км/ч – на 21%.</w:t>
      </w:r>
    </w:p>
    <w:p w14:paraId="4DF84EC9"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 показал решающее преимущество варианта с капотом типа NACA.</w:t>
      </w:r>
    </w:p>
    <w:p w14:paraId="49F3621D"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в бригаде самолетов истребительной авиации ЦКБ-39 с участием руководства организации проведено рассмотрение материалов предварительного проекта скоростного истребителя-моноплана. Было отмечено, что несмотря на не изученность в СССР схемы низкоплана с коротким фюзеляжем и малыми плечами оперения, и вызываемый этим технический риск, такое решение может иметь перспективу.</w:t>
      </w:r>
    </w:p>
    <w:p w14:paraId="1907DE5C"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воспоминаниям зама Поликарпова Д.Л. Томашевича, было сказано, что такой самолет делается впервые в мире и не имеет аналогов. Но по другим данным наоборот было сказано, что эта схема отвечает современным направлениям развития зарубежной скоростной авиации и в качестве примера был приведен гоночный самолет Model Z Super Sportster (1-й на фирме с таким наименованием, первый полет – 22.08.31 г.) разработки американской фирмы «Гринвил Бразерс» или «Джи Би» (Granville Brothers Aircraft, Gee Bee), который с двигателем воздушного охлаждения с ПЦН мощностью 535 л.с. (меньше, чем давал М-22 на полной мощности) развил максимальную скорость на короткой базе 430 км/ч и крейсерскую на замкнутом маршруте большой протяженности – 370 км/ч, имея расчалочную установку крыла и оперения и неубирающееся шасси, при этом скоростная дальность полета этого самолета составляла 1400 км. Об этом самолете в СССР было известно с конца 1931 г.</w:t>
      </w:r>
    </w:p>
    <w:p w14:paraId="5DEA3182"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Также в СССР уже было известно о французском гоночном самолете Potez 53 (первый полет – 26.04.33 г.), компоновка которого была подобна выбранной Поликарповым. Этот самолет заявлен был как особо скоростной при двигателе умеренной мощности – и на испытаниях один из его опытных образцов покажет скорость на короткой базе 356 км/ч при мощности двигателя только 310 л.с.</w:t>
      </w:r>
    </w:p>
    <w:p w14:paraId="7C7A2A01"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главное, самолет И-14, разрабатываемый ЦКБ-ЦАГИ и с конструкцией которого Поликарпов был ознакомлен подробно, имел такую же компоновку свободнонесущего низкоплана с уменьшенной против обычных значений длиной хвостовой части фюзеляжа и соответственно короткими плечами оперения.</w:t>
      </w:r>
    </w:p>
    <w:p w14:paraId="75AA6A23"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результатам обсуждения предварительного проекта ЦКБ-12 было принято решение разработать полноценный эскизный проект самолета согласно этим предварительным наработкам, и построить его натурный макет, обратиться к УВВС с предложением разработать и издать тактико-технические требования на скоростной и высотный истребитель, которые пока отсутствовали, а также ходатайствовать перед Главным управлением авиапромышленности о включении тем скоростных истребителей ЦКБ-12 с двигателем воздушного охлаждения и ЦКБ-15 с двигателем водяного охлаждения в план работ ЦКБ-39 и отрасли в целом для финансирования постройки опытных образцов этих самолетов и проведения их Государственных испытаний.</w:t>
      </w:r>
    </w:p>
    <w:p w14:paraId="25B6B1A2"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июне 1933 г. выполнение рабочего эскизного проекта самолета ЦКБ-12 началось, однако первые же подробные расчеты показали необходимость внесения значительных изменений в конструкцию важнейших агрегатов планера. Но эти изменения не затронули саму идею самолета (24115).</w:t>
      </w:r>
    </w:p>
    <w:p w14:paraId="6CC9637F" w14:textId="77777777" w:rsidR="001D4DD5" w:rsidRPr="0044524F" w:rsidRDefault="001D4DD5" w:rsidP="009654CF">
      <w:pPr>
        <w:spacing w:after="0" w:line="240" w:lineRule="auto"/>
        <w:jc w:val="both"/>
        <w:rPr>
          <w:rFonts w:ascii="Times New Roman" w:hAnsi="Times New Roman"/>
          <w:color w:val="000000" w:themeColor="text1"/>
          <w:sz w:val="16"/>
          <w:szCs w:val="16"/>
        </w:rPr>
      </w:pPr>
    </w:p>
    <w:p w14:paraId="49FE806E" w14:textId="77777777" w:rsidR="00D06485" w:rsidRPr="00142305" w:rsidRDefault="00D06485" w:rsidP="00D0648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1933 г. была завершена разработка эскизного проекта самолета, получившего «фирменное» обозначение ЦКБ-12. В его конструкции предполагалось использовать двигатели Райт «Циклон» SGR-1820 F-3 или F-5. Тип капота первоначально еще не был окончательно определен. Рассматривалось кольцо Тауненда, с которым максимальная скорость полета достигала значения 395 км/ч на высоте 3000 м, а также капот НАКА — максимальная скорость полета 415 км/ч на той же высоте. Несмотря на ожидаемые высокие летные характеристики истребителя с моторами указанного типа, начальник ВВС Алкснис дал указание спроектировать еще один его вариант с менее мощным и высотным мотором М-22. При этом, разумеется, летные характеристики И-16 ухудшались. Самолет мог развить у земли максимальную скорость 345 км/ч, а на высоте 3000 м — 320 км/ч. С одной стороны, такое желание было продиктовано стремлением обеспечить новый истребитель мотором, уже освоенным нашей промышленностью. С другой стороны, на этом решении сказалось и давление А. Н. Туполева, предпринятое, чтобы «развести» по разным направлениям целевого назначения истребители И-14и И-16 (25035).</w:t>
      </w:r>
    </w:p>
    <w:p w14:paraId="4391E0E4" w14:textId="77777777" w:rsidR="00D06485" w:rsidRPr="00142305" w:rsidRDefault="00D06485" w:rsidP="00D06485">
      <w:pPr>
        <w:spacing w:after="0" w:line="240" w:lineRule="auto"/>
        <w:jc w:val="both"/>
        <w:rPr>
          <w:rFonts w:ascii="Times New Roman" w:hAnsi="Times New Roman"/>
          <w:color w:val="0070C0"/>
          <w:sz w:val="16"/>
          <w:szCs w:val="16"/>
        </w:rPr>
      </w:pPr>
    </w:p>
    <w:p w14:paraId="4E6D5801" w14:textId="77777777" w:rsidR="00D06485" w:rsidRPr="00142305" w:rsidRDefault="00D06485" w:rsidP="00D0648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июня 1933 г. разработка ЦКБ-12 ве</w:t>
      </w:r>
      <w:r w:rsidRPr="00142305">
        <w:rPr>
          <w:rStyle w:val="aff"/>
          <w:rFonts w:ascii="Times New Roman" w:hAnsi="Times New Roman" w:cs="Times New Roman"/>
          <w:color w:val="0070C0"/>
          <w:spacing w:val="0"/>
          <w:sz w:val="16"/>
          <w:szCs w:val="16"/>
        </w:rPr>
        <w:softHyphen/>
        <w:t>дется полным ходом. Военные вниматель</w:t>
      </w:r>
      <w:r w:rsidRPr="00142305">
        <w:rPr>
          <w:rStyle w:val="aff"/>
          <w:rFonts w:ascii="Times New Roman" w:hAnsi="Times New Roman" w:cs="Times New Roman"/>
          <w:color w:val="0070C0"/>
          <w:spacing w:val="0"/>
          <w:sz w:val="16"/>
          <w:szCs w:val="16"/>
        </w:rPr>
        <w:softHyphen/>
        <w:t>но следят за созданием самолета — ос</w:t>
      </w:r>
      <w:r w:rsidRPr="00142305">
        <w:rPr>
          <w:rStyle w:val="aff"/>
          <w:rFonts w:ascii="Times New Roman" w:hAnsi="Times New Roman" w:cs="Times New Roman"/>
          <w:color w:val="0070C0"/>
          <w:spacing w:val="0"/>
          <w:sz w:val="16"/>
          <w:szCs w:val="16"/>
        </w:rPr>
        <w:softHyphen/>
        <w:t>мотр деревянного макета ЦКБ-12 в ноябре окончательно убеждает их в правильности выбора. Делается вывод, что проектируе</w:t>
      </w:r>
      <w:r w:rsidRPr="00142305">
        <w:rPr>
          <w:rStyle w:val="aff"/>
          <w:rFonts w:ascii="Times New Roman" w:hAnsi="Times New Roman" w:cs="Times New Roman"/>
          <w:color w:val="0070C0"/>
          <w:spacing w:val="0"/>
          <w:sz w:val="16"/>
          <w:szCs w:val="16"/>
        </w:rPr>
        <w:softHyphen/>
        <w:t>мый истребитель полностью соответствует предъявленным к нему требованиям — особенно по части максимальной скоро</w:t>
      </w:r>
      <w:r w:rsidRPr="00142305">
        <w:rPr>
          <w:rStyle w:val="aff"/>
          <w:rFonts w:ascii="Times New Roman" w:hAnsi="Times New Roman" w:cs="Times New Roman"/>
          <w:color w:val="0070C0"/>
          <w:spacing w:val="0"/>
          <w:sz w:val="16"/>
          <w:szCs w:val="16"/>
        </w:rPr>
        <w:softHyphen/>
        <w:t>сти. Уже 22 ноября 1933 г. Совет Труда и Обороны СССР принимает решение о за</w:t>
      </w:r>
      <w:r w:rsidRPr="00142305">
        <w:rPr>
          <w:rStyle w:val="aff"/>
          <w:rFonts w:ascii="Times New Roman" w:hAnsi="Times New Roman" w:cs="Times New Roman"/>
          <w:color w:val="0070C0"/>
          <w:spacing w:val="0"/>
          <w:sz w:val="16"/>
          <w:szCs w:val="16"/>
        </w:rPr>
        <w:softHyphen/>
        <w:t>пуске нового истребителя в серийное про</w:t>
      </w:r>
      <w:r w:rsidRPr="00142305">
        <w:rPr>
          <w:rStyle w:val="aff"/>
          <w:rFonts w:ascii="Times New Roman" w:hAnsi="Times New Roman" w:cs="Times New Roman"/>
          <w:color w:val="0070C0"/>
          <w:spacing w:val="0"/>
          <w:sz w:val="16"/>
          <w:szCs w:val="16"/>
        </w:rPr>
        <w:softHyphen/>
        <w:t>изводство под обозначением И-16.</w:t>
      </w:r>
    </w:p>
    <w:p w14:paraId="53D5FBA6" w14:textId="77777777" w:rsidR="00D06485" w:rsidRPr="00142305" w:rsidRDefault="00D06485" w:rsidP="00D0648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 описываемому периоду переговоры о приобретении первой партии двигателей Райт «Циклон» в основном завершились, поступление их предполагалось в ближай</w:t>
      </w:r>
      <w:r w:rsidRPr="00142305">
        <w:rPr>
          <w:rStyle w:val="aff"/>
          <w:rFonts w:ascii="Times New Roman" w:hAnsi="Times New Roman" w:cs="Times New Roman"/>
          <w:color w:val="0070C0"/>
          <w:spacing w:val="0"/>
          <w:sz w:val="16"/>
          <w:szCs w:val="16"/>
        </w:rPr>
        <w:softHyphen/>
        <w:t>шие месяцы. Поэтому и надежда обеспе</w:t>
      </w:r>
      <w:r w:rsidRPr="00142305">
        <w:rPr>
          <w:rStyle w:val="aff"/>
          <w:rFonts w:ascii="Times New Roman" w:hAnsi="Times New Roman" w:cs="Times New Roman"/>
          <w:color w:val="0070C0"/>
          <w:spacing w:val="0"/>
          <w:sz w:val="16"/>
          <w:szCs w:val="16"/>
        </w:rPr>
        <w:softHyphen/>
        <w:t>чить опытный ЦКБ-12 американским дви</w:t>
      </w:r>
      <w:r w:rsidRPr="00142305">
        <w:rPr>
          <w:rStyle w:val="aff"/>
          <w:rFonts w:ascii="Times New Roman" w:hAnsi="Times New Roman" w:cs="Times New Roman"/>
          <w:color w:val="0070C0"/>
          <w:spacing w:val="0"/>
          <w:sz w:val="16"/>
          <w:szCs w:val="16"/>
        </w:rPr>
        <w:softHyphen/>
        <w:t>гателем оставалась (25415).</w:t>
      </w:r>
    </w:p>
    <w:p w14:paraId="5323EE9D" w14:textId="77777777" w:rsidR="00D06485" w:rsidRPr="00142305" w:rsidRDefault="00D06485" w:rsidP="00D06485">
      <w:pPr>
        <w:spacing w:after="0" w:line="240" w:lineRule="auto"/>
        <w:jc w:val="both"/>
        <w:rPr>
          <w:rFonts w:ascii="Times New Roman" w:hAnsi="Times New Roman"/>
          <w:color w:val="0070C0"/>
          <w:sz w:val="16"/>
          <w:szCs w:val="16"/>
        </w:rPr>
      </w:pPr>
    </w:p>
    <w:p w14:paraId="2485D8AD" w14:textId="77777777" w:rsidR="00D06485" w:rsidRPr="00142305" w:rsidRDefault="00D06485" w:rsidP="00D0648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1933 г. в Москве в ЦКБ на заводе № 39 под руководством начальника опытного отдела №3 (ОПО-3 – бригады самолетов-истребителей) Николая Николаевича Поликарпова начато выполнение рабочего эскизного проекта скоростного истребителя ЦКБ-12 в окончательной редакции. Его компоновка и конструкция опиралась на предыдущие разработки – как ранние, так и на выполненный накануне первый пробный эскизный проект, и не была «первой в мире» или «революционной». Схема свободнонесущего моноплана уже была многократно опробована в т.ч. и самим Поликарповым на истребителях ИЛ-400. Рекомендации Людвига Прандтля и Теодора фон Кармана по снижению аэродинамического сопротивления общего, местного и от интерференции потоков, обтекающих соседние агрегаты, давно использовались многими конструкторами. Наддув двигателей, закрытые кабины и убирающиеся стали обычным делом на самолетах европейских и американских, исследовался и в СССР в т.ч. и самим Поликарповым. Конструкция и технология производства намеренно выбиралась такой, чтобы при освоении массового производства изделия не возникло никакой заминки из-за срыва поставок материалов и полуфабрикатов хороших, но еще не освоенных металлургами, или по необходимости создавать слишком сложную оснастку и потом долго учить ее грамотно использовать рабочих (24994).</w:t>
      </w:r>
    </w:p>
    <w:p w14:paraId="3DD61DF2" w14:textId="77777777" w:rsidR="00D06485" w:rsidRPr="00142305" w:rsidRDefault="00D06485" w:rsidP="00D06485">
      <w:pPr>
        <w:spacing w:after="0" w:line="240" w:lineRule="auto"/>
        <w:jc w:val="both"/>
        <w:rPr>
          <w:rFonts w:ascii="Times New Roman" w:hAnsi="Times New Roman"/>
          <w:color w:val="0070C0"/>
          <w:sz w:val="16"/>
          <w:szCs w:val="16"/>
        </w:rPr>
      </w:pPr>
    </w:p>
    <w:p w14:paraId="5A479020" w14:textId="77777777" w:rsidR="00D06485" w:rsidRPr="00142305" w:rsidRDefault="00D06485" w:rsidP="00D0648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1933 г. эскизный проект истребителя И-16 (ЦКБ-12) был направлен в НИИ ВВС. Там его рассмотрели, устно одобрили, однако с письменным заключением не торопились.</w:t>
      </w:r>
    </w:p>
    <w:p w14:paraId="0670F2D8" w14:textId="77777777" w:rsidR="00D06485" w:rsidRPr="00142305" w:rsidRDefault="00D06485" w:rsidP="00D0648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отсутствие столь важного документа, санкционирующего продолжение проектирования, Николай Николаевич в инициативном порядке занимался разработкой технического проекта самолета И-16. Оперативно уточнялись аэродинамические характеристики (25035).</w:t>
      </w:r>
    </w:p>
    <w:p w14:paraId="36210C6E" w14:textId="77777777" w:rsidR="00D06485" w:rsidRPr="00142305" w:rsidRDefault="00D06485" w:rsidP="00D06485">
      <w:pPr>
        <w:spacing w:after="0" w:line="240" w:lineRule="auto"/>
        <w:jc w:val="both"/>
        <w:rPr>
          <w:rFonts w:ascii="Times New Roman" w:hAnsi="Times New Roman"/>
          <w:color w:val="0070C0"/>
          <w:sz w:val="16"/>
          <w:szCs w:val="16"/>
        </w:rPr>
      </w:pPr>
    </w:p>
    <w:p w14:paraId="2CE6A823" w14:textId="77777777" w:rsidR="00D06485" w:rsidRPr="00142305" w:rsidRDefault="00D06485" w:rsidP="00D0648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июне 1933 г. началось полномасштабное проектирова</w:t>
      </w:r>
      <w:r w:rsidRPr="00142305">
        <w:rPr>
          <w:rStyle w:val="aff"/>
          <w:rFonts w:ascii="Times New Roman" w:hAnsi="Times New Roman" w:cs="Times New Roman"/>
          <w:color w:val="0070C0"/>
          <w:spacing w:val="0"/>
          <w:sz w:val="16"/>
          <w:szCs w:val="16"/>
        </w:rPr>
        <w:softHyphen/>
        <w:t>ние ЦКБ-12. К этому времени военные уже с нетерпе</w:t>
      </w:r>
      <w:r w:rsidRPr="00142305">
        <w:rPr>
          <w:rStyle w:val="aff"/>
          <w:rFonts w:ascii="Times New Roman" w:hAnsi="Times New Roman" w:cs="Times New Roman"/>
          <w:color w:val="0070C0"/>
          <w:spacing w:val="0"/>
          <w:sz w:val="16"/>
          <w:szCs w:val="16"/>
        </w:rPr>
        <w:softHyphen/>
        <w:t>нием ожидали новый истребитель. Макетная комиссия по самолету про</w:t>
      </w:r>
      <w:r w:rsidRPr="00142305">
        <w:rPr>
          <w:rStyle w:val="aff"/>
          <w:rFonts w:ascii="Times New Roman" w:hAnsi="Times New Roman" w:cs="Times New Roman"/>
          <w:color w:val="0070C0"/>
          <w:spacing w:val="0"/>
          <w:sz w:val="16"/>
          <w:szCs w:val="16"/>
        </w:rPr>
        <w:softHyphen/>
        <w:t>шла успешно. Расчеты показывали, что характеристики истребителя будут пол</w:t>
      </w:r>
      <w:r w:rsidRPr="00142305">
        <w:rPr>
          <w:rStyle w:val="aff"/>
          <w:rFonts w:ascii="Times New Roman" w:hAnsi="Times New Roman" w:cs="Times New Roman"/>
          <w:color w:val="0070C0"/>
          <w:spacing w:val="0"/>
          <w:sz w:val="16"/>
          <w:szCs w:val="16"/>
        </w:rPr>
        <w:softHyphen/>
        <w:t>ностью отвечать заданным, а по макси</w:t>
      </w:r>
      <w:r w:rsidRPr="00142305">
        <w:rPr>
          <w:rStyle w:val="aff"/>
          <w:rFonts w:ascii="Times New Roman" w:hAnsi="Times New Roman" w:cs="Times New Roman"/>
          <w:color w:val="0070C0"/>
          <w:spacing w:val="0"/>
          <w:sz w:val="16"/>
          <w:szCs w:val="16"/>
        </w:rPr>
        <w:softHyphen/>
        <w:t>мальной скорости можно рассчитывать и на превышение (25062).</w:t>
      </w:r>
    </w:p>
    <w:p w14:paraId="27CD07D4" w14:textId="77777777" w:rsidR="00D06485" w:rsidRPr="00142305" w:rsidRDefault="00D06485" w:rsidP="00D06485">
      <w:pPr>
        <w:spacing w:after="0" w:line="240" w:lineRule="auto"/>
        <w:jc w:val="both"/>
        <w:rPr>
          <w:rFonts w:ascii="Times New Roman" w:hAnsi="Times New Roman"/>
          <w:color w:val="0070C0"/>
          <w:sz w:val="16"/>
          <w:szCs w:val="16"/>
        </w:rPr>
      </w:pPr>
    </w:p>
    <w:p w14:paraId="3BF7D9E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первый опытный АНТ-31 (И-14) официально передали в ОЭЛИД и там он до 17 июля совершил несколько полетов, в т.ч. один с уборкой шасси (4020,11).</w:t>
      </w:r>
    </w:p>
    <w:p w14:paraId="2E70806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2CFB2D2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состоялись испытания И-7 серийного эталона (80,117).</w:t>
      </w:r>
    </w:p>
    <w:p w14:paraId="3AFF6E4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7435ABF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П.М.Стефановский облетывал И-7 с М-17 (2921,156).</w:t>
      </w:r>
    </w:p>
    <w:p w14:paraId="4A12582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4D6A02A0"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в НИИ ВВС летчик П.М. Стефановский провел контрольный облет серийного истребителя И-7 с двигателем М-17ф советского производства как эталона для серийного производства. Однако этот самолет эталоном служить не мог, т.к. не содержал всех вводимых изменений в конструкции (24331).</w:t>
      </w:r>
    </w:p>
    <w:p w14:paraId="76F387AB" w14:textId="77777777" w:rsidR="001D4DD5" w:rsidRPr="0044524F" w:rsidRDefault="001D4DD5" w:rsidP="009654CF">
      <w:pPr>
        <w:spacing w:after="0" w:line="240" w:lineRule="auto"/>
        <w:jc w:val="both"/>
        <w:rPr>
          <w:rFonts w:ascii="Times New Roman" w:hAnsi="Times New Roman"/>
          <w:color w:val="000000" w:themeColor="text1"/>
          <w:sz w:val="16"/>
          <w:szCs w:val="16"/>
        </w:rPr>
      </w:pPr>
    </w:p>
    <w:p w14:paraId="3CCD9A87" w14:textId="77777777" w:rsidR="00183C6C" w:rsidRPr="0044524F" w:rsidRDefault="00183C6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года на заводе № 21 был построен эталон истребителя, получивший наименование И-5бис. Эталон создавался с целью улучшение летных характеристик истребителя, и в первую очередь, скорости полета. На новом образце появились каплевидные обтекатели на колесах, новый воздушный винт из алюминиевого сплава с возможностью установки требуемого шага, что позволило увеличить скорость до 286 км/ч. Произвели также модернизацию вооружения. Пулеметов стало четыре: одновременно был увеличен боезапас патронов. Пулеметы работали от электроспуска, позволявшим вести огонь как одним стволом, так и всеми четырьмя одновременно. Вместо упрощенного коллиматорного прицела КПТ-5 (кольцо и мушка), установили стандартный оптический прицел «Альдис». Но главное – было найдено оригинальное техническое решение, позволяющее быстро выводить истребитель из штопора. На передние стойки коробки крыльев эталона установили поворачивающие обтекатели, выполняющие функции дополнительных рулевых поверхностей. При попадании в штопор пилот должен был повернуть обтекатель на внешней по отношению к описываемой спирали стойке, увеличивая тем самым момент, прекращающий вращение истребителя. Впервые это устройство испытали на доработанном И-5 из установочной серии завода № 39 в мае 1933 года. Действовало оно очень эффективно – после поворота обтекателей, штопор практически сразу прекращался. Несмотря на то, что И-5бис Государственной комиссией принят не был, почти все его отличительные признаки появились на серийных истребителях И-5 выпуска 1933-34 гг. До 1934 года заводами № 1 и № 21 было построено 803 самолета (18293).</w:t>
      </w:r>
    </w:p>
    <w:p w14:paraId="36AE0143" w14:textId="77777777" w:rsidR="00183C6C" w:rsidRPr="0044524F" w:rsidRDefault="00183C6C" w:rsidP="009654CF">
      <w:pPr>
        <w:spacing w:after="0" w:line="240" w:lineRule="auto"/>
        <w:jc w:val="both"/>
        <w:rPr>
          <w:rFonts w:ascii="Times New Roman" w:hAnsi="Times New Roman"/>
          <w:color w:val="000000" w:themeColor="text1"/>
          <w:sz w:val="16"/>
          <w:szCs w:val="16"/>
        </w:rPr>
      </w:pPr>
    </w:p>
    <w:p w14:paraId="4C734779"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года лет</w:t>
      </w:r>
      <w:r w:rsidRPr="0044524F">
        <w:rPr>
          <w:rFonts w:ascii="Times New Roman" w:hAnsi="Times New Roman"/>
          <w:color w:val="000000" w:themeColor="text1"/>
          <w:sz w:val="16"/>
          <w:szCs w:val="16"/>
        </w:rPr>
        <w:softHyphen/>
        <w:t>ные испытания № 21117, которые провели И.Ф. Петров и А.И. Филин показали, что самолет еше более потяжелел и стал инертнее в пилотировании. Поворот</w:t>
      </w:r>
      <w:r w:rsidRPr="0044524F">
        <w:rPr>
          <w:rFonts w:ascii="Times New Roman" w:hAnsi="Times New Roman"/>
          <w:color w:val="000000" w:themeColor="text1"/>
          <w:sz w:val="16"/>
          <w:szCs w:val="16"/>
        </w:rPr>
        <w:softHyphen/>
        <w:t>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 управлять трудно, мешает перезарядке пуле</w:t>
      </w:r>
      <w:r w:rsidRPr="0044524F">
        <w:rPr>
          <w:rFonts w:ascii="Times New Roman" w:hAnsi="Times New Roman"/>
          <w:color w:val="000000" w:themeColor="text1"/>
          <w:sz w:val="16"/>
          <w:szCs w:val="16"/>
        </w:rPr>
        <w:softHyphen/>
        <w:t>метов». Если предположение о всего двух постро</w:t>
      </w:r>
      <w:r w:rsidRPr="0044524F">
        <w:rPr>
          <w:rFonts w:ascii="Times New Roman" w:hAnsi="Times New Roman"/>
          <w:color w:val="000000" w:themeColor="text1"/>
          <w:sz w:val="16"/>
          <w:szCs w:val="16"/>
        </w:rPr>
        <w:softHyphen/>
        <w:t>енных И-5 с поворотными стойками верно, то именно один из этих построенных аппа</w:t>
      </w:r>
      <w:r w:rsidRPr="0044524F">
        <w:rPr>
          <w:rFonts w:ascii="Times New Roman" w:hAnsi="Times New Roman"/>
          <w:color w:val="000000" w:themeColor="text1"/>
          <w:sz w:val="16"/>
          <w:szCs w:val="16"/>
        </w:rPr>
        <w:softHyphen/>
        <w:t>ратов использовался Иваном Ульяновичем Павловым как личный самолет и традицион</w:t>
      </w:r>
      <w:r w:rsidRPr="0044524F">
        <w:rPr>
          <w:rFonts w:ascii="Times New Roman" w:hAnsi="Times New Roman"/>
          <w:color w:val="000000" w:themeColor="text1"/>
          <w:sz w:val="16"/>
          <w:szCs w:val="16"/>
        </w:rPr>
        <w:softHyphen/>
        <w:t>но имел на фюзеляже изображение красного флага с надписью «за ВКП (б)» (12295).</w:t>
      </w:r>
    </w:p>
    <w:p w14:paraId="7D89C884"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29DE6EC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самолёт И-5бис № 21117 вышел на испытания. Истребитель стал не легче, а, наоборот, тяжелее - вес пустого самолёта на колёсах возрос до 1002 кг. Это явилось оборотной стороной усовершенствований, внесённых в конструкцию, оборудование и вооружение машины. Новый вариант внешне отличался каплевидными обтекателями на колёсах и металлическим (из алюминиевого сплава) воздушным винтом меньшего, чем у старого деревянного, диаметра (2,7 м против 2,9 м). Шаг нового пропеллера можно было регулировать, выставляя его на земле в положения для малого и большого шага. Кок на втулке винта теперь отсутствовал. Конструкторы оптимизировали параметры кольца Тауненда, снизив его лобовое сопротивление. Вооружение было модернизировано по проекту Н.М. Брагина. Пулемётов ПВ-1 опять стояло четыре. Боезапас увеличили суммарно до 1200 патронов. Четыре бомбы по 10 кг могли подвешиваться на электрифицированных держателях Д-1 под нижним крылом. Предусматривалась установка электробомбосбрасывателя и дублирующего механического. Два пулемёта и бомбы шли в счёт перегрузки. Пулемёты работали от электроспуска. Он позволял стрелять из одного, двух, трёх или всех четырёх стволов. Механическую систему управления огнём сохранили как дублирующую.</w:t>
      </w:r>
    </w:p>
    <w:p w14:paraId="554DC29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Ещё больше изменений внесли в оборудование машины. Сменили подогреватель карбюратора и бензопомпу, предусмотрели установку фотоаппарата АФА-14 и радиостанции 15-СК. В это время на Западе радио уже активно внедрялось на одноместных истребителях. В кабине появилась по-новому скомпонованная приборная доска. Раньше, например, лётчики жаловались, что ручка управления закрывает компас. Набор приборов, правда, остался по-прежнему небогатым: тахометр, масляный термометр, два манометра (масло и бензин), указатель скорости, "Пионер" (указатель курса), высотомер, часы и компас. На И-5 не было даже бензиномера!</w:t>
      </w:r>
    </w:p>
    <w:p w14:paraId="232F921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главной "изюминкой" эталона 1933 г. стали поворотные межкрыльные стойки. На обычные стойки из труб надели поворачивающиеся обтекатели, выполнявшие функции дополнительных рулевых поверхностей при выходе из штопора. Они значительно увеличивали момент, прекращающий вращение. При попадании в штопор пилот должен был повернуть внешнюю по отношению к описываемой спирали стойку.</w:t>
      </w:r>
    </w:p>
    <w:p w14:paraId="7305729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 1933 г. продемонстрировал увеличение скорости на высотах до 3000 м (только обтекатели колёс обеспечили прирост в 9 км/ч), но одновременно ухудшились скороподъёмность и манёвренность, а выше 5000 м упала и максимальная скорость. Подвеска бомб уменьшала скорость ещё на 7 - 8 км/ч.</w:t>
      </w:r>
    </w:p>
    <w:p w14:paraId="330B22E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Поворотные стойки подвергли критике. Сочли, что они неоправданно утяжеляют конструкцию, и хотя и уменьшают время запаздывания при выходе из штопора, трудность управления ими практически обесценивает получаемый эффект. Более того, при ошибочном открывании внутренней стойки самолёт не выходил из штопора вообще. Электроспуск пулемётов работал ненадёжно.</w:t>
      </w:r>
    </w:p>
    <w:p w14:paraId="4D474D3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итоге эталон 1933 г. государственной комиссией принят не был, несмотря на две попытки его сдать. Однако почти все его отличительные черты внедрили на серийных И-5 выпуска 1933 - 1934 гг., новая приборная доска стала стандартной. Ввели и некоторые усиления конструкции, предложенные для "эталона". </w:t>
      </w:r>
    </w:p>
    <w:p w14:paraId="436AFC0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Внедрили металлические винты, причём в частях их ставили и на машины более раннего выпуска.</w:t>
      </w:r>
    </w:p>
    <w:p w14:paraId="7A53240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Электрифицированное вооружение предписывалось монтировать на всех самолётах с 1 декабря 1933 г., но из-за нехватки комплектующих это распоряжение выполнили с задержкой более чем на полгода (11997).</w:t>
      </w:r>
    </w:p>
    <w:p w14:paraId="6299328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2A350C3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И.Ф. Петров и А.И.Филин провели летные испытания И-5 № 21117 с поворотными противоштопорными стойками, которые, показали, что самолет потяжелел и стал инертнее в пилотировании. Поворотные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...управлять трудно, мешает перезарядке пу</w:t>
      </w:r>
      <w:r w:rsidRPr="0044524F">
        <w:rPr>
          <w:rFonts w:ascii="Times New Roman" w:hAnsi="Times New Roman"/>
          <w:color w:val="000000" w:themeColor="text1"/>
          <w:sz w:val="16"/>
          <w:szCs w:val="16"/>
        </w:rPr>
        <w:softHyphen/>
        <w:t>леметов».</w:t>
      </w:r>
    </w:p>
    <w:p w14:paraId="5021536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предположение о всего двух И-5 с по- шротными стойками верно, то один из них использовался Иваном Ульяновичем Павловым «к личный самолет и традиционно имел на фюзеляже изображение красного флага с над- м»сью«за ВКП (6)» (11974).</w:t>
      </w:r>
    </w:p>
    <w:p w14:paraId="298A22B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3363719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июня 1933 по май 1936 на заводе 21 проектировался 7211 - опытный самолет № 7 с мотором М-85 конструкции инженеров Боровкова и Флорова (7663, 9).</w:t>
      </w:r>
    </w:p>
    <w:p w14:paraId="0909B24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54083FE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были завершены испытания ДИ-4 Лавиля. В.К.Коккинаки - не рекомендован военными. И-4 в боях превосходил ДИ-4 (80,127).</w:t>
      </w:r>
    </w:p>
    <w:p w14:paraId="5B87738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39815D80" w14:textId="77777777" w:rsidR="00E5244A" w:rsidRPr="0044524F" w:rsidRDefault="00E524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самолет К-12 Калинина был включен в список важнейших работ по опытному самолетостроению на 1934 г. под № 1 в плане, представленном УВВС. Были утверждены компоновка в виде летающего крыла и уточненное ТЗ, см. табл. Срок сдачи самолета на ГИ сдвинут на 01.05.34 г. (23157).</w:t>
      </w:r>
    </w:p>
    <w:p w14:paraId="32ECD995" w14:textId="77777777" w:rsidR="00E5244A" w:rsidRPr="0044524F" w:rsidRDefault="00E5244A" w:rsidP="009654CF">
      <w:pPr>
        <w:spacing w:after="0" w:line="240" w:lineRule="auto"/>
        <w:jc w:val="both"/>
        <w:rPr>
          <w:rFonts w:ascii="Times New Roman" w:hAnsi="Times New Roman"/>
          <w:color w:val="000000" w:themeColor="text1"/>
          <w:sz w:val="16"/>
          <w:szCs w:val="16"/>
          <w:lang w:eastAsia="ru-RU" w:bidi="ru-RU"/>
        </w:rPr>
      </w:pPr>
    </w:p>
    <w:p w14:paraId="4A93C7E3" w14:textId="77777777" w:rsidR="00E5244A" w:rsidRPr="0044524F" w:rsidRDefault="00E524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июня 1933 г. проектирование ДИ-6 велось под ру</w:t>
      </w:r>
      <w:r w:rsidRPr="0044524F">
        <w:rPr>
          <w:rFonts w:ascii="Times New Roman" w:hAnsi="Times New Roman"/>
          <w:color w:val="000000" w:themeColor="text1"/>
          <w:sz w:val="16"/>
          <w:szCs w:val="16"/>
        </w:rPr>
        <w:softHyphen/>
        <w:t>ководством опытного конструктора В.П. Яценко.</w:t>
      </w:r>
    </w:p>
    <w:p w14:paraId="22683EF6" w14:textId="77777777" w:rsidR="00E5244A" w:rsidRPr="0044524F" w:rsidRDefault="00E524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получился небольшой компактный аппарат, по своим размерностям и весовым характеристикам при</w:t>
      </w:r>
      <w:r w:rsidRPr="0044524F">
        <w:rPr>
          <w:rFonts w:ascii="Times New Roman" w:hAnsi="Times New Roman"/>
          <w:color w:val="000000" w:themeColor="text1"/>
          <w:sz w:val="16"/>
          <w:szCs w:val="16"/>
        </w:rPr>
        <w:softHyphen/>
        <w:t>ближавшийся к одноместным машинам. В частности, раз</w:t>
      </w:r>
      <w:r w:rsidRPr="0044524F">
        <w:rPr>
          <w:rFonts w:ascii="Times New Roman" w:hAnsi="Times New Roman"/>
          <w:color w:val="000000" w:themeColor="text1"/>
          <w:sz w:val="16"/>
          <w:szCs w:val="16"/>
        </w:rPr>
        <w:softHyphen/>
        <w:t>мах верхнего крыла составлял всего 10,0 м, что практиче</w:t>
      </w:r>
      <w:r w:rsidRPr="0044524F">
        <w:rPr>
          <w:rFonts w:ascii="Times New Roman" w:hAnsi="Times New Roman"/>
          <w:color w:val="000000" w:themeColor="text1"/>
          <w:sz w:val="16"/>
          <w:szCs w:val="16"/>
        </w:rPr>
        <w:softHyphen/>
        <w:t>ски равнялось размаху крыла одноместного истребителя И-15 (9,75 м).</w:t>
      </w:r>
    </w:p>
    <w:p w14:paraId="144421A3" w14:textId="77777777" w:rsidR="00E5244A" w:rsidRPr="0044524F" w:rsidRDefault="00E524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 представлял собой полутораплан смешанной конст</w:t>
      </w:r>
      <w:r w:rsidRPr="0044524F">
        <w:rPr>
          <w:rFonts w:ascii="Times New Roman" w:hAnsi="Times New Roman"/>
          <w:color w:val="000000" w:themeColor="text1"/>
          <w:sz w:val="16"/>
          <w:szCs w:val="16"/>
        </w:rPr>
        <w:softHyphen/>
        <w:t>рукции с убираемым шасси. Его классическая бипланная коробка включала в себя деревянные крылья с полотняной об</w:t>
      </w:r>
      <w:r w:rsidRPr="0044524F">
        <w:rPr>
          <w:rFonts w:ascii="Times New Roman" w:hAnsi="Times New Roman"/>
          <w:color w:val="000000" w:themeColor="text1"/>
          <w:sz w:val="16"/>
          <w:szCs w:val="16"/>
        </w:rPr>
        <w:softHyphen/>
        <w:t>шивкой, соединенные I-образными стойками и системой расчалок. Элероны находились только на верхнем крыле. Нижнее крыло в районе сочленения с фюзеляжем имело мощные зализы, позволяющие одновременно разрешить проблему компактного складывания стоек шасси. Фюзеляж - стальная сварная ферма, оборудованная формообразую</w:t>
      </w:r>
      <w:r w:rsidRPr="0044524F">
        <w:rPr>
          <w:rFonts w:ascii="Times New Roman" w:hAnsi="Times New Roman"/>
          <w:color w:val="000000" w:themeColor="text1"/>
          <w:sz w:val="16"/>
          <w:szCs w:val="16"/>
        </w:rPr>
        <w:softHyphen/>
        <w:t>щим каркасом. В передней части обшивка фюзеляжа дюра</w:t>
      </w:r>
      <w:r w:rsidRPr="0044524F">
        <w:rPr>
          <w:rFonts w:ascii="Times New Roman" w:hAnsi="Times New Roman"/>
          <w:color w:val="000000" w:themeColor="text1"/>
          <w:sz w:val="16"/>
          <w:szCs w:val="16"/>
        </w:rPr>
        <w:softHyphen/>
        <w:t>левая, хвостовая часть обшивалась полотном. Хвостовое оперение с высоко поднятым стабилизатором, что позволя</w:t>
      </w:r>
      <w:r w:rsidRPr="0044524F">
        <w:rPr>
          <w:rFonts w:ascii="Times New Roman" w:hAnsi="Times New Roman"/>
          <w:color w:val="000000" w:themeColor="text1"/>
          <w:sz w:val="16"/>
          <w:szCs w:val="16"/>
        </w:rPr>
        <w:softHyphen/>
        <w:t>ло улучшить зоны обстрела назад из кормового пулемета. Са</w:t>
      </w:r>
      <w:r w:rsidRPr="0044524F">
        <w:rPr>
          <w:rFonts w:ascii="Times New Roman" w:hAnsi="Times New Roman"/>
          <w:color w:val="000000" w:themeColor="text1"/>
          <w:sz w:val="16"/>
          <w:szCs w:val="16"/>
        </w:rPr>
        <w:softHyphen/>
        <w:t>молет предполагалось вооружить двумя подкрыльевыми пу</w:t>
      </w:r>
      <w:r w:rsidRPr="0044524F">
        <w:rPr>
          <w:rFonts w:ascii="Times New Roman" w:hAnsi="Times New Roman"/>
          <w:color w:val="000000" w:themeColor="text1"/>
          <w:sz w:val="16"/>
          <w:szCs w:val="16"/>
        </w:rPr>
        <w:softHyphen/>
        <w:t>леметами ШКАС, размещенными вне диска вращения воз</w:t>
      </w:r>
      <w:r w:rsidRPr="0044524F">
        <w:rPr>
          <w:rFonts w:ascii="Times New Roman" w:hAnsi="Times New Roman"/>
          <w:color w:val="000000" w:themeColor="text1"/>
          <w:sz w:val="16"/>
          <w:szCs w:val="16"/>
        </w:rPr>
        <w:softHyphen/>
        <w:t>душного винта, еще один пулемет ШКАС для обороны задней полусферы стоял на шкворневой установке.</w:t>
      </w:r>
    </w:p>
    <w:p w14:paraId="14CB1B85" w14:textId="77777777" w:rsidR="00E5244A" w:rsidRPr="0044524F" w:rsidRDefault="00E524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целом конструкторскому коллективу удалось реализовать противоречивые требования, предъявленные к машине (20352).</w:t>
      </w:r>
    </w:p>
    <w:p w14:paraId="4EEB84B9" w14:textId="77777777" w:rsidR="00E5244A" w:rsidRPr="0044524F" w:rsidRDefault="00E5244A" w:rsidP="009654CF">
      <w:pPr>
        <w:shd w:val="clear" w:color="auto" w:fill="FFFFFF"/>
        <w:spacing w:after="0" w:line="240" w:lineRule="auto"/>
        <w:jc w:val="both"/>
        <w:rPr>
          <w:rFonts w:ascii="Times New Roman" w:hAnsi="Times New Roman"/>
          <w:color w:val="000000" w:themeColor="text1"/>
          <w:sz w:val="16"/>
          <w:szCs w:val="16"/>
        </w:rPr>
      </w:pPr>
    </w:p>
    <w:p w14:paraId="7667E53F"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июню 1933 ОКБ-1 Л.П.Курчевского закончило новую пушку АПК-3бис, доработанную по результатам разрыва на И-4 18 мая 1933 (3996, 100).</w:t>
      </w:r>
    </w:p>
    <w:p w14:paraId="0AD28E9C" w14:textId="77777777" w:rsidR="00664564" w:rsidRPr="0044524F" w:rsidRDefault="0066456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B5BFB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был готов второй АИР-6, уже модифицированный Е.Г.Адлером (3550,10).</w:t>
      </w:r>
    </w:p>
    <w:p w14:paraId="3989203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5CA65338"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и сентябре 1933-го были готовы второй и третий самолеты АИР-6 (15727)</w:t>
      </w:r>
    </w:p>
    <w:p w14:paraId="73D378BC" w14:textId="77777777" w:rsidR="003417C8" w:rsidRPr="0044524F" w:rsidRDefault="003417C8" w:rsidP="009654CF">
      <w:pPr>
        <w:spacing w:after="0" w:line="240" w:lineRule="auto"/>
        <w:jc w:val="both"/>
        <w:rPr>
          <w:rFonts w:ascii="Times New Roman" w:hAnsi="Times New Roman"/>
          <w:color w:val="000000" w:themeColor="text1"/>
          <w:sz w:val="16"/>
          <w:szCs w:val="16"/>
        </w:rPr>
      </w:pPr>
    </w:p>
    <w:p w14:paraId="751212E8" w14:textId="77777777" w:rsidR="002C29D9" w:rsidRPr="00142305" w:rsidRDefault="002C29D9" w:rsidP="002C29D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1933 г. на заводе № 39 завершили второй образец («дублер») АИР-6. На нем переделали шас</w:t>
      </w:r>
      <w:r w:rsidRPr="00142305">
        <w:rPr>
          <w:rFonts w:ascii="Times New Roman" w:hAnsi="Times New Roman"/>
          <w:color w:val="0070C0"/>
          <w:sz w:val="16"/>
          <w:szCs w:val="16"/>
        </w:rPr>
        <w:softHyphen/>
        <w:t>си. На первом образце стояли шнуровые амортизаторы от самолета У-2, работав</w:t>
      </w:r>
      <w:r w:rsidRPr="00142305">
        <w:rPr>
          <w:rFonts w:ascii="Times New Roman" w:hAnsi="Times New Roman"/>
          <w:color w:val="0070C0"/>
          <w:sz w:val="16"/>
          <w:szCs w:val="16"/>
        </w:rPr>
        <w:softHyphen/>
        <w:t>шие на растяжение, на втором - комп</w:t>
      </w:r>
      <w:r w:rsidRPr="00142305">
        <w:rPr>
          <w:rFonts w:ascii="Times New Roman" w:hAnsi="Times New Roman"/>
          <w:color w:val="0070C0"/>
          <w:sz w:val="16"/>
          <w:szCs w:val="16"/>
        </w:rPr>
        <w:softHyphen/>
        <w:t>лекты резиновых и металлических плас</w:t>
      </w:r>
      <w:r w:rsidRPr="00142305">
        <w:rPr>
          <w:rFonts w:ascii="Times New Roman" w:hAnsi="Times New Roman"/>
          <w:color w:val="0070C0"/>
          <w:sz w:val="16"/>
          <w:szCs w:val="16"/>
        </w:rPr>
        <w:softHyphen/>
        <w:t>тин, действовавшие на сжатие. Новый вариант получился значительно менее громоздким. Это отразилось на внешнем виде машины - пропали большие коробки обтекателей амортизаторов на стойках. Каркас оперения был переработан и об</w:t>
      </w:r>
      <w:r w:rsidRPr="00142305">
        <w:rPr>
          <w:rFonts w:ascii="Times New Roman" w:hAnsi="Times New Roman"/>
          <w:color w:val="0070C0"/>
          <w:sz w:val="16"/>
          <w:szCs w:val="16"/>
        </w:rPr>
        <w:softHyphen/>
        <w:t>легчен Г. Седельниковым. Внешние его очертания не изменились. Металличес</w:t>
      </w:r>
      <w:r w:rsidRPr="00142305">
        <w:rPr>
          <w:rFonts w:ascii="Times New Roman" w:hAnsi="Times New Roman"/>
          <w:color w:val="0070C0"/>
          <w:sz w:val="16"/>
          <w:szCs w:val="16"/>
        </w:rPr>
        <w:softHyphen/>
        <w:t>кие колпаки, закрывавшие спицы колес, заменили полотняными чехлами. Часть болтовых соединений подкосов стали вы</w:t>
      </w:r>
      <w:r w:rsidRPr="00142305">
        <w:rPr>
          <w:rFonts w:ascii="Times New Roman" w:hAnsi="Times New Roman"/>
          <w:color w:val="0070C0"/>
          <w:sz w:val="16"/>
          <w:szCs w:val="16"/>
        </w:rPr>
        <w:softHyphen/>
        <w:t>полнять сварными. Все это способство</w:t>
      </w:r>
      <w:r w:rsidRPr="00142305">
        <w:rPr>
          <w:rFonts w:ascii="Times New Roman" w:hAnsi="Times New Roman"/>
          <w:color w:val="0070C0"/>
          <w:sz w:val="16"/>
          <w:szCs w:val="16"/>
        </w:rPr>
        <w:softHyphen/>
        <w:t>вало снижению веса пустого самолета, который довели до 634 кг.</w:t>
      </w:r>
    </w:p>
    <w:p w14:paraId="516C4C89" w14:textId="77777777" w:rsidR="002C29D9" w:rsidRPr="00142305" w:rsidRDefault="002C29D9" w:rsidP="002C29D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Второй образец АИР-6 демонстриро</w:t>
      </w:r>
      <w:r w:rsidRPr="00142305">
        <w:rPr>
          <w:rFonts w:ascii="Times New Roman" w:hAnsi="Times New Roman"/>
          <w:color w:val="0070C0"/>
          <w:sz w:val="16"/>
          <w:szCs w:val="16"/>
        </w:rPr>
        <w:softHyphen/>
        <w:t>вался на Центральном аэродроме на выставке, приуроченной к визиту в Со</w:t>
      </w:r>
      <w:r w:rsidRPr="00142305">
        <w:rPr>
          <w:rFonts w:ascii="Times New Roman" w:hAnsi="Times New Roman"/>
          <w:color w:val="0070C0"/>
          <w:sz w:val="16"/>
          <w:szCs w:val="16"/>
        </w:rPr>
        <w:softHyphen/>
        <w:t>ветский Союз министра авиации Франции П. Кота. 13 сентября выставку посетил новый начальник ГУАП ГН. Королев, принявший яковлевский моноплан за за</w:t>
      </w:r>
      <w:r w:rsidRPr="00142305">
        <w:rPr>
          <w:rFonts w:ascii="Times New Roman" w:hAnsi="Times New Roman"/>
          <w:color w:val="0070C0"/>
          <w:sz w:val="16"/>
          <w:szCs w:val="16"/>
        </w:rPr>
        <w:softHyphen/>
        <w:t>граничную работу (в экспозиции дейст</w:t>
      </w:r>
      <w:r w:rsidRPr="00142305">
        <w:rPr>
          <w:rFonts w:ascii="Times New Roman" w:hAnsi="Times New Roman"/>
          <w:color w:val="0070C0"/>
          <w:sz w:val="16"/>
          <w:szCs w:val="16"/>
        </w:rPr>
        <w:softHyphen/>
        <w:t>вительно имелась одна французская ма</w:t>
      </w:r>
      <w:r w:rsidRPr="00142305">
        <w:rPr>
          <w:rFonts w:ascii="Times New Roman" w:hAnsi="Times New Roman"/>
          <w:color w:val="0070C0"/>
          <w:sz w:val="16"/>
          <w:szCs w:val="16"/>
        </w:rPr>
        <w:softHyphen/>
        <w:t>шина). Смущенный начальник поспешил двинуться дальше (24945).</w:t>
      </w:r>
    </w:p>
    <w:p w14:paraId="42C10028" w14:textId="77777777" w:rsidR="002C29D9" w:rsidRPr="00142305" w:rsidRDefault="002C29D9" w:rsidP="002C29D9">
      <w:pPr>
        <w:spacing w:after="0" w:line="240" w:lineRule="auto"/>
        <w:jc w:val="both"/>
        <w:rPr>
          <w:rFonts w:ascii="Times New Roman" w:hAnsi="Times New Roman"/>
          <w:color w:val="0070C0"/>
          <w:sz w:val="16"/>
          <w:szCs w:val="16"/>
        </w:rPr>
      </w:pPr>
    </w:p>
    <w:p w14:paraId="12CBCBF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Ю.И.Пионтковский выполнил с Москвы реки первый полет на первом АИР-6, поставленным на однореданные деревянные поплавки, спроектированные В.Б.Ш. по подобию поплавков для АИР-2, но увеличенных размеров. В этом же месяце участвовал в празднике на Водной станции Динамо. Понравился М.С.Бабушкину. Потом были гос. испытания в СНИИ ГВФ, где отметили, что на поплавках летные характеристики отличаются незначительной (3550,9).</w:t>
      </w:r>
    </w:p>
    <w:p w14:paraId="2F5DA75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701D054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инж. Барсук переделал У-2 в СП (СП Лимузин, Башнефть) - аэрораспыливательный (1076,721).</w:t>
      </w:r>
    </w:p>
    <w:p w14:paraId="246152C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44B1AD9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Нач. УВВС Я.И.Алкснис приказал провести во 2-й военной школе л (будущем Борисоглебском ВААУ) испытание вооруженного У-2. Прошел и стали использовать (8689,15).</w:t>
      </w:r>
    </w:p>
    <w:p w14:paraId="6F5CE85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5A497EA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М-51 испытывался на самолете У-2 (11478).</w:t>
      </w:r>
    </w:p>
    <w:p w14:paraId="508CF06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49EEDB62" w14:textId="77777777" w:rsidR="00183C6C" w:rsidRPr="0044524F" w:rsidRDefault="00183C6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 июне 1933 г. завершили второй образец («дублер») АИР-6. На нем переделали шасси. На первом образце стояли шнуровые амортизаторы от самолета У-2, работавшие на растяжение, на втором - комплекты резиновых и металлических пластин, действовавшие на сжатие. Новый вариант получился значительно менее громоздким. Это отразилось на внешнем виде машины - пропали большие коробки обтекателей амортизаторов на стойках. Каркас оперения был переработан и облегчен Г. Седельниковым. Внешние его очертания не изменились. Металлические колпаки, закрывавшие спицы колес, заменили полотняными чехлами. Часть болтовых соединений подкосов стали выполнять сварными. Все это способствовало снижению веса пустого самолета, который довели до 634 кг.</w:t>
      </w:r>
    </w:p>
    <w:p w14:paraId="6B631B23" w14:textId="77777777" w:rsidR="00183C6C" w:rsidRPr="0044524F" w:rsidRDefault="00183C6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Второй образец АИР-6 демонстрировался на Центральном аэродроме на выставке, приуроченной к визиту в Советский Союз министра авиации Франции П. Кота. 13 сентября выставку посетил новый начальник ГУАП Г.Н. Королев, принявший яковлевский моноплан за заграничную работу (в экспозиции действительно имелась одна французская машина). Смущенный начальник поспешил двинуться дальше (19099).</w:t>
      </w:r>
    </w:p>
    <w:p w14:paraId="5414F411" w14:textId="77777777" w:rsidR="00183C6C" w:rsidRPr="0044524F" w:rsidRDefault="00183C6C" w:rsidP="009654CF">
      <w:pPr>
        <w:pStyle w:val="a8"/>
        <w:jc w:val="both"/>
        <w:rPr>
          <w:rFonts w:ascii="Times New Roman" w:hAnsi="Times New Roman" w:cs="Times New Roman"/>
          <w:color w:val="000000" w:themeColor="text1"/>
        </w:rPr>
      </w:pPr>
    </w:p>
    <w:p w14:paraId="42E40ECF" w14:textId="77777777" w:rsidR="00A24FE3" w:rsidRPr="0044524F" w:rsidRDefault="00A24FE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июне 1933 в новом договоре между Осоавиахим и МАИ речь шла о постройке только одного самолёта, меньших размеров, о кругосветном перелёте уже не упоминалось. «В целях скорейшего и бесперебойного строительства самолёта МАИ обязуется пополнить имеющееся конструкторское бюро инженерно-техническими работниками, профессурой и аспирантами», — отмечалось в договоре </w:t>
      </w:r>
      <w:hyperlink r:id="rId228" w:history="1">
        <w:r w:rsidRPr="0044524F">
          <w:rPr>
            <w:rFonts w:ascii="Times New Roman" w:eastAsia="Times New Roman" w:hAnsi="Times New Roman"/>
            <w:color w:val="000000" w:themeColor="text1"/>
            <w:sz w:val="16"/>
            <w:szCs w:val="16"/>
            <w:lang w:eastAsia="ru-RU"/>
          </w:rPr>
          <w:t>[135]</w:t>
        </w:r>
      </w:hyperlink>
      <w:r w:rsidRPr="0044524F">
        <w:rPr>
          <w:rFonts w:ascii="Times New Roman" w:eastAsia="Times New Roman" w:hAnsi="Times New Roman"/>
          <w:color w:val="000000" w:themeColor="text1"/>
          <w:sz w:val="16"/>
          <w:szCs w:val="16"/>
          <w:lang w:eastAsia="ru-RU"/>
        </w:rPr>
        <w:t xml:space="preserve"> .</w:t>
      </w:r>
    </w:p>
    <w:p w14:paraId="421904D9" w14:textId="77777777" w:rsidR="00A24FE3" w:rsidRPr="0044524F" w:rsidRDefault="00A24FE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Машина должна была быть готова к началу 1934 г. Затраты на завершение работ определили в 550 тыс. рублей, финансирование взяло на себя Главное управление ГВФ, затем — Главное управление авиационной промышленности.</w:t>
      </w:r>
    </w:p>
    <w:p w14:paraId="54DBD704" w14:textId="77777777" w:rsidR="00A24FE3" w:rsidRPr="0044524F" w:rsidRDefault="00A24FE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Григорович так сформулировал назначение строящейся машины: «установление рекорда дальности полёта самолёта советской конструкции с советским мотором на основе покрытия большой дальности полёта при минимальном времени пребывания в воздухе с одновременным освоением в производстве и испытании новых элементов конструкции из нержавеющей стали по принципу применения электросварки» </w:t>
      </w:r>
      <w:hyperlink r:id="rId229" w:history="1">
        <w:r w:rsidRPr="0044524F">
          <w:rPr>
            <w:rFonts w:ascii="Times New Roman" w:eastAsia="Times New Roman" w:hAnsi="Times New Roman"/>
            <w:color w:val="000000" w:themeColor="text1"/>
            <w:sz w:val="16"/>
            <w:szCs w:val="16"/>
            <w:lang w:eastAsia="ru-RU"/>
          </w:rPr>
          <w:t>[136]</w:t>
        </w:r>
      </w:hyperlink>
      <w:r w:rsidRPr="0044524F">
        <w:rPr>
          <w:rFonts w:ascii="Times New Roman" w:eastAsia="Times New Roman" w:hAnsi="Times New Roman"/>
          <w:color w:val="000000" w:themeColor="text1"/>
          <w:sz w:val="16"/>
          <w:szCs w:val="16"/>
          <w:lang w:eastAsia="ru-RU"/>
        </w:rPr>
        <w:t xml:space="preserve"> . Таким образом, самолёт предназначался для установления скоростного рекорда дальности, с прицелом на использование этих наработок при создании дальнего бомбардировщика.</w:t>
      </w:r>
    </w:p>
    <w:p w14:paraId="10D49AA9" w14:textId="77777777" w:rsidR="00A24FE3" w:rsidRPr="0044524F" w:rsidRDefault="00A24FE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расширенное конструкторское бюро вошли студенты П.Д. Грушин, М.М. Пашинин, Л.П. Курбала, В.А. Федулов, А.П. Щекин и другие. Расчёты на прочность выполнил В.Д. Яровицкий. С появлением в МАИ учебно-производственных мастерских изготовлением самолёта руководил С.М. Беляйкин.</w:t>
      </w:r>
    </w:p>
    <w:p w14:paraId="473DEF94" w14:textId="77777777" w:rsidR="00A24FE3" w:rsidRPr="0044524F" w:rsidRDefault="00A24FE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«ОСО-МАИ» представлял собой одномоторный низкоплан с трапециевидным крылом однолонжеронной конструкции. Относительная толщина профиля была 16 %. В крыле размещались топливные баки. Крыло — свободнонесущей схемы, горизонтальное оперение — с подкосами. Фюзеляж — полумонокок овального сечения, с двухместной кабиной, закрытой общим фонарём. Кресла пилотов имели откидные спинки и были оборудованы таким образом, чтобы экипаж мог отдыхать в полёте. Посадка в самолёт осуществлялась через дверцы в фонаре. При необходимости экипаж мог быть увеличен до трёх человек — для этого за кабиной оборудовали небольшой отсек с иллюминаторами в боковых стенках фюзеляжа.</w:t>
      </w:r>
    </w:p>
    <w:p w14:paraId="2E1CE4B9" w14:textId="77777777" w:rsidR="00A24FE3" w:rsidRPr="0044524F" w:rsidRDefault="00A24FE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 xml:space="preserve">При изготовлении каркаса планера использовали опыт постройки «Сталь-2» А.И. Путилова. Основным материалом служила сталь «Энерж-6», из дюраля были только капот двигателя, элероны и хвостовое оперение. Рулевые поверхности имели полотняную обшивку. Винт — деревянный. Практически вся конструкция фюзеляжа, крыла и оперения из катаных листовых профилей была соединена точечной и роликовой электросваркой, обшивка крыла и фюзеляжа сделана из листа толщиной 0,2–0,3 мм с частыми отбортовками (рифтами или зигами) с шагом 80 мм. В.Б. Шавров пишет, что тонкая стальная обшивка образовывала многочисленные мелкие неровности на поверхности фюзеляжа </w:t>
      </w:r>
      <w:hyperlink r:id="rId230" w:history="1">
        <w:r w:rsidRPr="0044524F">
          <w:rPr>
            <w:rFonts w:ascii="Times New Roman" w:eastAsia="Times New Roman" w:hAnsi="Times New Roman"/>
            <w:color w:val="000000" w:themeColor="text1"/>
            <w:sz w:val="16"/>
            <w:szCs w:val="16"/>
            <w:lang w:eastAsia="ru-RU"/>
          </w:rPr>
          <w:t>[137]</w:t>
        </w:r>
      </w:hyperlink>
      <w:r w:rsidRPr="0044524F">
        <w:rPr>
          <w:rFonts w:ascii="Times New Roman" w:eastAsia="Times New Roman" w:hAnsi="Times New Roman"/>
          <w:color w:val="000000" w:themeColor="text1"/>
          <w:sz w:val="16"/>
          <w:szCs w:val="16"/>
          <w:lang w:eastAsia="ru-RU"/>
        </w:rPr>
        <w:t xml:space="preserve"> .</w:t>
      </w:r>
    </w:p>
    <w:p w14:paraId="257F4C86" w14:textId="77777777" w:rsidR="00A24FE3" w:rsidRPr="0044524F" w:rsidRDefault="00A24FE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Силовая установка — двигатель М-34Р с номинальной мощностью 750 л. с. Ранее он экспонировался на выставке, поэтому отличался особой тщательностью отделки (возможно, первоначально это был макетный вариант, полученный для проведения увязочных работ по винтомоторной группе) (17489).</w:t>
      </w:r>
    </w:p>
    <w:p w14:paraId="1FA776D1" w14:textId="77777777" w:rsidR="00A24FE3" w:rsidRPr="0044524F" w:rsidRDefault="00A24FE3" w:rsidP="009654CF">
      <w:pPr>
        <w:spacing w:after="0" w:line="240" w:lineRule="auto"/>
        <w:jc w:val="both"/>
        <w:rPr>
          <w:rFonts w:ascii="Times New Roman" w:eastAsia="Times New Roman" w:hAnsi="Times New Roman"/>
          <w:color w:val="000000" w:themeColor="text1"/>
          <w:sz w:val="16"/>
          <w:szCs w:val="16"/>
          <w:lang w:eastAsia="ru-RU"/>
        </w:rPr>
      </w:pPr>
    </w:p>
    <w:p w14:paraId="7685E3FF" w14:textId="77777777" w:rsidR="00A24FE3" w:rsidRPr="0044524F" w:rsidRDefault="00A24FE3" w:rsidP="009654CF">
      <w:pPr>
        <w:pStyle w:val="a3"/>
        <w:rPr>
          <w:color w:val="000000" w:themeColor="text1"/>
          <w:lang w:val="ru-RU"/>
        </w:rPr>
      </w:pPr>
      <w:r w:rsidRPr="0044524F">
        <w:rPr>
          <w:color w:val="000000" w:themeColor="text1"/>
          <w:lang w:val="ru-RU"/>
        </w:rPr>
        <w:t>В июне 1933 г. подготовили головной комплект, включавший ТБ-1 №677 и два И-4 (№1533 - левый и №1583 - правый). Испытания его вели в июле в Кре- чевицах, где базировалась 1-я авиабри</w:t>
      </w:r>
      <w:r w:rsidRPr="0044524F">
        <w:rPr>
          <w:color w:val="000000" w:themeColor="text1"/>
          <w:lang w:val="ru-RU"/>
        </w:rPr>
        <w:softHyphen/>
        <w:t>гада. Дело в том, что 3-я бригада к этому времени получила приставку «особого назначения» и стала специализировать</w:t>
      </w:r>
      <w:r w:rsidRPr="0044524F">
        <w:rPr>
          <w:color w:val="000000" w:themeColor="text1"/>
          <w:lang w:val="ru-RU"/>
        </w:rPr>
        <w:softHyphen/>
        <w:t>ся на воздушно-десантных операциях. Поэтому место войсковых испытаний перенесли.</w:t>
      </w:r>
    </w:p>
    <w:p w14:paraId="0988B70F" w14:textId="77777777" w:rsidR="00A24FE3" w:rsidRPr="0044524F" w:rsidRDefault="00A24FE3" w:rsidP="009654CF">
      <w:pPr>
        <w:pStyle w:val="a3"/>
        <w:rPr>
          <w:color w:val="000000" w:themeColor="text1"/>
          <w:lang w:val="ru-RU"/>
        </w:rPr>
      </w:pPr>
      <w:r w:rsidRPr="0044524F">
        <w:rPr>
          <w:color w:val="000000" w:themeColor="text1"/>
          <w:lang w:val="ru-RU"/>
        </w:rPr>
        <w:t>Носитель получил усиленное шасси с добавочными стойками. На И-4 сохрани</w:t>
      </w:r>
      <w:r w:rsidRPr="0044524F">
        <w:rPr>
          <w:color w:val="000000" w:themeColor="text1"/>
          <w:lang w:val="ru-RU"/>
        </w:rPr>
        <w:softHyphen/>
        <w:t>ли нижние плоскости, поскольку сочли, что снятие их ничего не дало. Задний за</w:t>
      </w:r>
      <w:r w:rsidRPr="0044524F">
        <w:rPr>
          <w:color w:val="000000" w:themeColor="text1"/>
          <w:lang w:val="ru-RU"/>
        </w:rPr>
        <w:softHyphen/>
        <w:t>мок перенесли со стойки треноги на фю</w:t>
      </w:r>
      <w:r w:rsidRPr="0044524F">
        <w:rPr>
          <w:color w:val="000000" w:themeColor="text1"/>
          <w:lang w:val="ru-RU"/>
        </w:rPr>
        <w:softHyphen/>
        <w:t>зеляж истребителя (17741).</w:t>
      </w:r>
    </w:p>
    <w:p w14:paraId="5CE37305" w14:textId="77777777" w:rsidR="00A24FE3" w:rsidRPr="0044524F" w:rsidRDefault="00A24FE3" w:rsidP="009654CF">
      <w:pPr>
        <w:spacing w:after="0" w:line="240" w:lineRule="auto"/>
        <w:jc w:val="both"/>
        <w:rPr>
          <w:rFonts w:ascii="Times New Roman" w:eastAsia="Times New Roman" w:hAnsi="Times New Roman"/>
          <w:color w:val="000000" w:themeColor="text1"/>
          <w:sz w:val="16"/>
          <w:szCs w:val="16"/>
          <w:lang w:eastAsia="ru-RU"/>
        </w:rPr>
      </w:pPr>
    </w:p>
    <w:p w14:paraId="1CC065FA" w14:textId="77777777" w:rsidR="00183C6C" w:rsidRPr="0044524F" w:rsidRDefault="00183C6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 июне 1933 г. подготовили головной комплект переделки ТБ под звено. Основным отличием серийного варианта должно было стать усиленное шасси ТБ-1. Испытания его вели в июле в Кречевицах, где базировалась 1-я авиабригада. Дело в том, что 3-я бригада к этому времени получила приставку «особого назначения» и стала специализироваться на воздушно-десантных операциях. Поэтому место войсковых испытаний перенесли.</w:t>
      </w:r>
    </w:p>
    <w:p w14:paraId="1C14F586" w14:textId="77777777" w:rsidR="00183C6C" w:rsidRPr="0044524F" w:rsidRDefault="00183C6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Носитель получил усиленное шасси с добавочными стойками. На И-4 сохранили нижние плоскости, поскольку сочли, что снятие их ничего не дало. Задний замок перенесли со стойки треноги на фюзеляж истребителя.</w:t>
      </w:r>
    </w:p>
    <w:p w14:paraId="6B1BD704" w14:textId="77777777" w:rsidR="00183C6C" w:rsidRPr="0044524F" w:rsidRDefault="00183C6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Руководил испытаниями в качестве председателя комиссии А.И. Залевский. На борту ТБ-1 находились Стефановский, Вахмистров, Морозов и Никитин. В кабине левого И-4 сидел В.К. Коккинаки, правого - В.А. Степан- ченок. В первом полете взлетный вес всей связки составлял 9500 кг. Замеренное время разбега составило 12 с. В отчете записано: «Взлет нормальный. Самолет в полете устойчив, допускает виражи до 60 градусов». Оба истребителя сбросили одновременно на высоте 600 м. Никаких происшествий не отмечалось.</w:t>
      </w:r>
    </w:p>
    <w:p w14:paraId="26149D48" w14:textId="77777777" w:rsidR="00183C6C" w:rsidRPr="0044524F" w:rsidRDefault="00183C6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Всего выполнили пять полетов. В ходе испытаний также проводили подготовку строевых летчиков, которым предстояло эксплуатировать «звенья». С новой техникой в воздухе познакомили двух летчиков-истребителей и трех командиров ТБ-1.</w:t>
      </w:r>
    </w:p>
    <w:p w14:paraId="7FE28B20" w14:textId="77777777" w:rsidR="00183C6C" w:rsidRPr="0044524F" w:rsidRDefault="00183C6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Общий вывод отчета гласил: «...вполне годен к эксплуатации в строевых частях ВВС РККА».</w:t>
      </w:r>
    </w:p>
    <w:p w14:paraId="31003EC4" w14:textId="77777777" w:rsidR="00183C6C" w:rsidRPr="0044524F" w:rsidRDefault="00183C6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Но «Звено-1» на вооружение не поступило. Упомянутый выше комплект так и остался единственным. Распоряжение о передаче для доработки последующих десяти И-4 отменили. Причиной стало желание начальника ВВС Я.И. Алксниса заменить эти машины на более современные И-5 (19100).</w:t>
      </w:r>
    </w:p>
    <w:p w14:paraId="7174ADA8" w14:textId="77777777" w:rsidR="00183C6C" w:rsidRPr="0044524F" w:rsidRDefault="00183C6C" w:rsidP="009654CF">
      <w:pPr>
        <w:pStyle w:val="a8"/>
        <w:jc w:val="both"/>
        <w:rPr>
          <w:rFonts w:ascii="Times New Roman" w:hAnsi="Times New Roman" w:cs="Times New Roman"/>
          <w:color w:val="000000" w:themeColor="text1"/>
        </w:rPr>
      </w:pPr>
    </w:p>
    <w:p w14:paraId="2436F8AC"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в постановлении РВС СССР, говорилось: «В то время как почти все иностранные воздушные флоты в основном уже перешли на высотные моторы, резко повышающие скорость самолёта на больших высотах, его скороподъёмность и практический потолок, наша промышленность не дала ещё ни одного мотора с нагнетателем даже в опытном образце для госиспытаний...»</w:t>
      </w:r>
    </w:p>
    <w:p w14:paraId="6BEEB506"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Попытки снабдить отечественные двигатели приводными нагнетателями оказались неудачными. Лишь М-15 и М-26 дошли до стадии серийного производства, но так и не были приняты на снабжение ВВС из-за низкой надёжности. А разрушались у них именно нагнетатели.</w:t>
      </w:r>
    </w:p>
    <w:p w14:paraId="3FA39F84"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Начался поиск подходящих конструкций за рубежом. Среди отобранных был американский 9-цилиндровый звездообразный мотор воздушного охлаждения Райт Р-1820 «Циклон», оснащённый од носкоростным приводным центробежным нагнетателем. Осенью 1932 г. в США для переговоров отправилась делегация во главе с И.И. Побережским. Переговоры завершились подписанием 22 апреля 1933 г. соглашения о приобретении лицензии. По нему фирма предоставляла необходимый комплект документации, специально переведённый в метрическую систему, а также должна была изготовить и испытать образцы двигателей метрического варианта. Позднее этот договор дополнили контрактами на приобретение готовых моторов, комплектов узлов и наиболее важных деталей (12261).</w:t>
      </w:r>
    </w:p>
    <w:p w14:paraId="032B5A02"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3128A40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рейсовый К-5М-15 с пассажирами впервые пересек Кавказский хребет совершая рейс Москва - Тбилиси (70,168).</w:t>
      </w:r>
    </w:p>
    <w:p w14:paraId="7F29FF0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0928C56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испытали автопилот АВП-2 на ТБ-1 при перелете Евпатория - Харьков - Москва в условиях сильной болтанки (378,105).</w:t>
      </w:r>
    </w:p>
    <w:p w14:paraId="7C2898A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3C7592B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июня 1933 И.Ф.Петров стал зам. начальника сектора изучения и испытаний опытных сухопутных самолетов НИИ ВВС (262,35).</w:t>
      </w:r>
    </w:p>
    <w:p w14:paraId="058A521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267D285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был заключен договор МАИ с ГУАП и заводами 1 и 34 о постройке ЭМАИ-1-34 (Э-1) (Серго Орджоникидзе) С.О.Зоншайна и А.Л.Гиммельфарба (1076,786).</w:t>
      </w:r>
    </w:p>
    <w:p w14:paraId="2A8214A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5B5E6211" w14:textId="77777777" w:rsidR="00664564" w:rsidRPr="0044524F" w:rsidRDefault="0066456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там работали уже 3600 человек, в т.ч. 1000 инженерно-технических ра</w:t>
      </w:r>
      <w:r w:rsidRPr="0044524F">
        <w:rPr>
          <w:rFonts w:ascii="Times New Roman" w:hAnsi="Times New Roman"/>
          <w:color w:val="000000" w:themeColor="text1"/>
          <w:sz w:val="16"/>
          <w:szCs w:val="16"/>
        </w:rPr>
        <w:softHyphen/>
        <w:t>ботников. В состав института вошли собственные мастерские, а затем опытный завод. При этом небольшие конструкторские отделы на заводах сохранили. Но затея с концентрацией сил не дала результатов. Чрезмерное коли</w:t>
      </w:r>
      <w:r w:rsidRPr="0044524F">
        <w:rPr>
          <w:rFonts w:ascii="Times New Roman" w:hAnsi="Times New Roman"/>
          <w:color w:val="000000" w:themeColor="text1"/>
          <w:sz w:val="16"/>
          <w:szCs w:val="16"/>
        </w:rPr>
        <w:softHyphen/>
        <w:t>чество проектируемых типов и отсутствие персональной ответственности привели к тому, что очень немногие моторы были доведены до состояния, пригодного к серийному производству. Из 10 моторов плана 1931 г. реаль</w:t>
      </w:r>
      <w:r w:rsidRPr="0044524F">
        <w:rPr>
          <w:rFonts w:ascii="Times New Roman" w:hAnsi="Times New Roman"/>
          <w:color w:val="000000" w:themeColor="text1"/>
          <w:sz w:val="16"/>
          <w:szCs w:val="16"/>
        </w:rPr>
        <w:softHyphen/>
        <w:t>но построили четыре, а на вооружение приняли всего один. Из 14 двига</w:t>
      </w:r>
      <w:r w:rsidRPr="0044524F">
        <w:rPr>
          <w:rFonts w:ascii="Times New Roman" w:hAnsi="Times New Roman"/>
          <w:color w:val="000000" w:themeColor="text1"/>
          <w:sz w:val="16"/>
          <w:szCs w:val="16"/>
        </w:rPr>
        <w:softHyphen/>
        <w:t>телей плана 1932 г. до стадии опытных образцов дошли пять (11852).</w:t>
      </w:r>
    </w:p>
    <w:p w14:paraId="4EE51080" w14:textId="77777777" w:rsidR="00664564" w:rsidRPr="0044524F" w:rsidRDefault="0066456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B6CEAC" w14:textId="77777777" w:rsidR="00183C6C" w:rsidRPr="0044524F" w:rsidRDefault="00183C6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на заводе № 24 выпустили ма</w:t>
      </w:r>
      <w:r w:rsidRPr="0044524F">
        <w:rPr>
          <w:rFonts w:ascii="Times New Roman" w:hAnsi="Times New Roman"/>
          <w:color w:val="000000" w:themeColor="text1"/>
          <w:sz w:val="16"/>
          <w:szCs w:val="16"/>
        </w:rPr>
        <w:softHyphen/>
        <w:t>лой серией М-34Ф, Мотор форсировали по оборотам без вне</w:t>
      </w:r>
      <w:r w:rsidRPr="0044524F">
        <w:rPr>
          <w:rFonts w:ascii="Times New Roman" w:hAnsi="Times New Roman"/>
          <w:color w:val="000000" w:themeColor="text1"/>
          <w:sz w:val="16"/>
          <w:szCs w:val="16"/>
        </w:rPr>
        <w:softHyphen/>
        <w:t>сения существенных конструктивных изменений только за счет регулиров</w:t>
      </w:r>
      <w:r w:rsidRPr="0044524F">
        <w:rPr>
          <w:rFonts w:ascii="Times New Roman" w:hAnsi="Times New Roman"/>
          <w:color w:val="000000" w:themeColor="text1"/>
          <w:sz w:val="16"/>
          <w:szCs w:val="16"/>
        </w:rPr>
        <w:softHyphen/>
        <w:t>ки, получив на максимальных обо</w:t>
      </w:r>
      <w:r w:rsidRPr="0044524F">
        <w:rPr>
          <w:rFonts w:ascii="Times New Roman" w:hAnsi="Times New Roman"/>
          <w:color w:val="000000" w:themeColor="text1"/>
          <w:sz w:val="16"/>
          <w:szCs w:val="16"/>
        </w:rPr>
        <w:softHyphen/>
        <w:t>ротах 830 л.с. В плане УВВС стоял и форсированный до 900 л.с. вариант М-34, именовавшийся М-54. Но он существовал, только в строчках до</w:t>
      </w:r>
      <w:r w:rsidRPr="0044524F">
        <w:rPr>
          <w:rFonts w:ascii="Times New Roman" w:hAnsi="Times New Roman"/>
          <w:color w:val="000000" w:themeColor="text1"/>
          <w:sz w:val="16"/>
          <w:szCs w:val="16"/>
        </w:rPr>
        <w:softHyphen/>
        <w:t>кументов, также как имевший такую же мощность М-34ФРНУ. К более позднему типу ФРН он никакого от</w:t>
      </w:r>
      <w:r w:rsidRPr="0044524F">
        <w:rPr>
          <w:rFonts w:ascii="Times New Roman" w:hAnsi="Times New Roman"/>
          <w:color w:val="000000" w:themeColor="text1"/>
          <w:sz w:val="16"/>
          <w:szCs w:val="16"/>
        </w:rPr>
        <w:softHyphen/>
        <w:t>ношения не имел - предусматрива</w:t>
      </w:r>
      <w:r w:rsidRPr="0044524F">
        <w:rPr>
          <w:rFonts w:ascii="Times New Roman" w:hAnsi="Times New Roman"/>
          <w:color w:val="000000" w:themeColor="text1"/>
          <w:sz w:val="16"/>
          <w:szCs w:val="16"/>
        </w:rPr>
        <w:softHyphen/>
        <w:t>лось, что это будет развитие М-34Ф с редуктором, выключаемым нагне</w:t>
      </w:r>
      <w:r w:rsidRPr="0044524F">
        <w:rPr>
          <w:rFonts w:ascii="Times New Roman" w:hAnsi="Times New Roman"/>
          <w:color w:val="000000" w:themeColor="text1"/>
          <w:sz w:val="16"/>
          <w:szCs w:val="16"/>
        </w:rPr>
        <w:softHyphen/>
        <w:t>тателем и удлиненным валом. Фактически только один серийный самолет оснащался М-34 - тяжелый бомбардировщик ТБ-3. Хлопот с этим было много: пришлось менять мото</w:t>
      </w:r>
      <w:r w:rsidRPr="0044524F">
        <w:rPr>
          <w:rFonts w:ascii="Times New Roman" w:hAnsi="Times New Roman"/>
          <w:color w:val="000000" w:themeColor="text1"/>
          <w:sz w:val="16"/>
          <w:szCs w:val="16"/>
        </w:rPr>
        <w:softHyphen/>
        <w:t>рамы, радиаторы и многое другое. А результат оказался почти нулевым. Практически весь прирост мощнос</w:t>
      </w:r>
      <w:r w:rsidRPr="0044524F">
        <w:rPr>
          <w:rFonts w:ascii="Times New Roman" w:hAnsi="Times New Roman"/>
          <w:color w:val="000000" w:themeColor="text1"/>
          <w:sz w:val="16"/>
          <w:szCs w:val="16"/>
        </w:rPr>
        <w:softHyphen/>
        <w:t>ти «съел» увеличившийся вес мото</w:t>
      </w:r>
      <w:r w:rsidRPr="0044524F">
        <w:rPr>
          <w:rFonts w:ascii="Times New Roman" w:hAnsi="Times New Roman"/>
          <w:color w:val="000000" w:themeColor="text1"/>
          <w:sz w:val="16"/>
          <w:szCs w:val="16"/>
        </w:rPr>
        <w:softHyphen/>
        <w:t>установки. УВВС потребовало установить на М-34 редуктор. Он должен был по</w:t>
      </w:r>
      <w:r w:rsidRPr="0044524F">
        <w:rPr>
          <w:rFonts w:ascii="Times New Roman" w:hAnsi="Times New Roman"/>
          <w:color w:val="000000" w:themeColor="text1"/>
          <w:sz w:val="16"/>
          <w:szCs w:val="16"/>
        </w:rPr>
        <w:softHyphen/>
        <w:t>высить эффективность работы про</w:t>
      </w:r>
      <w:r w:rsidRPr="0044524F">
        <w:rPr>
          <w:rFonts w:ascii="Times New Roman" w:hAnsi="Times New Roman"/>
          <w:color w:val="000000" w:themeColor="text1"/>
          <w:sz w:val="16"/>
          <w:szCs w:val="16"/>
        </w:rPr>
        <w:softHyphen/>
        <w:t>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w:t>
      </w:r>
      <w:r w:rsidRPr="0044524F">
        <w:rPr>
          <w:rFonts w:ascii="Times New Roman" w:hAnsi="Times New Roman"/>
          <w:color w:val="000000" w:themeColor="text1"/>
          <w:sz w:val="16"/>
          <w:szCs w:val="16"/>
        </w:rPr>
        <w:softHyphen/>
        <w:t>нял вес двигателя примерно на 70 кг. Как отметили специалисты НИИ ВВС, это было примерно в полтора раза больше, чем у иностранных конст</w:t>
      </w:r>
      <w:r w:rsidRPr="0044524F">
        <w:rPr>
          <w:rFonts w:ascii="Times New Roman" w:hAnsi="Times New Roman"/>
          <w:color w:val="000000" w:themeColor="text1"/>
          <w:sz w:val="16"/>
          <w:szCs w:val="16"/>
        </w:rPr>
        <w:softHyphen/>
        <w:t>рукций с той же мощностью. Первый опытный образец М-34Р завершили 6 ноября 1932 г.; всего их сделали семь. Полгода продолжались завод</w:t>
      </w:r>
      <w:r w:rsidRPr="0044524F">
        <w:rPr>
          <w:rFonts w:ascii="Times New Roman" w:hAnsi="Times New Roman"/>
          <w:color w:val="000000" w:themeColor="text1"/>
          <w:sz w:val="16"/>
          <w:szCs w:val="16"/>
        </w:rPr>
        <w:softHyphen/>
        <w:t>ские испытания и доводка, а в апре</w:t>
      </w:r>
      <w:r w:rsidRPr="0044524F">
        <w:rPr>
          <w:rFonts w:ascii="Times New Roman" w:hAnsi="Times New Roman"/>
          <w:color w:val="000000" w:themeColor="text1"/>
          <w:sz w:val="16"/>
          <w:szCs w:val="16"/>
        </w:rPr>
        <w:softHyphen/>
        <w:t>ле-мае 1933 г. прошли государствен</w:t>
      </w:r>
      <w:r w:rsidRPr="0044524F">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44524F">
        <w:rPr>
          <w:rFonts w:ascii="Times New Roman" w:hAnsi="Times New Roman"/>
          <w:color w:val="000000" w:themeColor="text1"/>
          <w:sz w:val="16"/>
          <w:szCs w:val="16"/>
        </w:rPr>
        <w:softHyphen/>
        <w:t>шали замену и вторую попытку. В итоге — «удовлетворительно» (11848).</w:t>
      </w:r>
    </w:p>
    <w:p w14:paraId="342383F6" w14:textId="77777777" w:rsidR="00183C6C" w:rsidRPr="0044524F" w:rsidRDefault="00183C6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18A484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Штаб РККА представил ряд важных докладов о необходимости дальнейшего развития новых видов оружия, танков и авиациию Нач. штаба А.И.Егоров обратил внимание на развитие механизации и моторизации во второй пятилетке, а также на новые оперативные возможности, открывающеся благодаря механизации. НКО и РВС одобрили ориентировочный план военных заказов на оставшиеся годы пятилетки, новую мобзаявку на год войны в конце пятилетки, а также предложения по бюджету НКВМ на 1934-1937:</w:t>
      </w:r>
    </w:p>
    <w:p w14:paraId="4104032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Мобзаявки НКВМ на 1932, 1933 и 1938 (годовое производство на случай войны):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252"/>
        <w:gridCol w:w="2126"/>
        <w:gridCol w:w="2126"/>
      </w:tblGrid>
      <w:tr w:rsidR="004E10C1" w:rsidRPr="0044524F" w14:paraId="64016F38" w14:textId="77777777">
        <w:tc>
          <w:tcPr>
            <w:tcW w:w="2818" w:type="dxa"/>
          </w:tcPr>
          <w:p w14:paraId="51F9682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w:t>
            </w:r>
          </w:p>
        </w:tc>
        <w:tc>
          <w:tcPr>
            <w:tcW w:w="2252" w:type="dxa"/>
          </w:tcPr>
          <w:p w14:paraId="681C6A9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Предельный уровень производства в 1932 (поставки на год войны)</w:t>
            </w:r>
          </w:p>
        </w:tc>
        <w:tc>
          <w:tcPr>
            <w:tcW w:w="2126" w:type="dxa"/>
          </w:tcPr>
          <w:p w14:paraId="253304D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МР-15 (1933)</w:t>
            </w:r>
          </w:p>
        </w:tc>
        <w:tc>
          <w:tcPr>
            <w:tcW w:w="2126" w:type="dxa"/>
          </w:tcPr>
          <w:p w14:paraId="314CA27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М-18 (1938)</w:t>
            </w:r>
          </w:p>
        </w:tc>
      </w:tr>
      <w:tr w:rsidR="004E10C1" w:rsidRPr="0044524F" w14:paraId="3DDFC7D1" w14:textId="77777777">
        <w:tc>
          <w:tcPr>
            <w:tcW w:w="2818" w:type="dxa"/>
          </w:tcPr>
          <w:p w14:paraId="261495D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c>
        <w:tc>
          <w:tcPr>
            <w:tcW w:w="2252" w:type="dxa"/>
          </w:tcPr>
          <w:p w14:paraId="7EC4C1B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7490</w:t>
            </w:r>
          </w:p>
        </w:tc>
        <w:tc>
          <w:tcPr>
            <w:tcW w:w="2126" w:type="dxa"/>
          </w:tcPr>
          <w:p w14:paraId="5D48E2F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14500</w:t>
            </w:r>
          </w:p>
        </w:tc>
        <w:tc>
          <w:tcPr>
            <w:tcW w:w="2126" w:type="dxa"/>
          </w:tcPr>
          <w:p w14:paraId="5039362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30000</w:t>
            </w:r>
          </w:p>
        </w:tc>
      </w:tr>
      <w:tr w:rsidR="004E10C1" w:rsidRPr="0044524F" w14:paraId="3DF26641" w14:textId="77777777">
        <w:tc>
          <w:tcPr>
            <w:tcW w:w="2818" w:type="dxa"/>
          </w:tcPr>
          <w:p w14:paraId="4D017F9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истребителей (лдно и двухместных)</w:t>
            </w:r>
          </w:p>
        </w:tc>
        <w:tc>
          <w:tcPr>
            <w:tcW w:w="2252" w:type="dxa"/>
          </w:tcPr>
          <w:p w14:paraId="4D893F9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2367</w:t>
            </w:r>
          </w:p>
        </w:tc>
        <w:tc>
          <w:tcPr>
            <w:tcW w:w="2126" w:type="dxa"/>
          </w:tcPr>
          <w:p w14:paraId="255A4FD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126" w:type="dxa"/>
          </w:tcPr>
          <w:p w14:paraId="14B6A55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w:t>
            </w:r>
          </w:p>
        </w:tc>
      </w:tr>
      <w:tr w:rsidR="004E10C1" w:rsidRPr="0044524F" w14:paraId="7F15FE16" w14:textId="77777777">
        <w:tc>
          <w:tcPr>
            <w:tcW w:w="2818" w:type="dxa"/>
          </w:tcPr>
          <w:p w14:paraId="1749AF6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тяжелых бомбардировщиков</w:t>
            </w:r>
          </w:p>
        </w:tc>
        <w:tc>
          <w:tcPr>
            <w:tcW w:w="2252" w:type="dxa"/>
          </w:tcPr>
          <w:p w14:paraId="00DB739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402</w:t>
            </w:r>
          </w:p>
        </w:tc>
        <w:tc>
          <w:tcPr>
            <w:tcW w:w="2126" w:type="dxa"/>
          </w:tcPr>
          <w:p w14:paraId="7DEF1C6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2126" w:type="dxa"/>
          </w:tcPr>
          <w:p w14:paraId="5921C1D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3250</w:t>
            </w:r>
          </w:p>
        </w:tc>
      </w:tr>
      <w:tr w:rsidR="004E10C1" w:rsidRPr="0044524F" w14:paraId="4C015C73" w14:textId="77777777">
        <w:tc>
          <w:tcPr>
            <w:tcW w:w="2818" w:type="dxa"/>
          </w:tcPr>
          <w:p w14:paraId="09C19FE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лб и ш</w:t>
            </w:r>
          </w:p>
        </w:tc>
        <w:tc>
          <w:tcPr>
            <w:tcW w:w="2252" w:type="dxa"/>
          </w:tcPr>
          <w:p w14:paraId="6420625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3814</w:t>
            </w:r>
          </w:p>
        </w:tc>
        <w:tc>
          <w:tcPr>
            <w:tcW w:w="2126" w:type="dxa"/>
          </w:tcPr>
          <w:p w14:paraId="4968B1D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5430</w:t>
            </w:r>
          </w:p>
        </w:tc>
        <w:tc>
          <w:tcPr>
            <w:tcW w:w="2126" w:type="dxa"/>
          </w:tcPr>
          <w:p w14:paraId="507C4F7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6850</w:t>
            </w:r>
          </w:p>
        </w:tc>
      </w:tr>
      <w:tr w:rsidR="004E10C1" w:rsidRPr="0044524F" w14:paraId="1F7C3178" w14:textId="77777777">
        <w:tc>
          <w:tcPr>
            <w:tcW w:w="2818" w:type="dxa"/>
          </w:tcPr>
          <w:p w14:paraId="6B4487E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разведчиков</w:t>
            </w:r>
          </w:p>
        </w:tc>
        <w:tc>
          <w:tcPr>
            <w:tcW w:w="2252" w:type="dxa"/>
          </w:tcPr>
          <w:p w14:paraId="3F1ED13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126" w:type="dxa"/>
          </w:tcPr>
          <w:p w14:paraId="1C4CB6E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1070</w:t>
            </w:r>
          </w:p>
        </w:tc>
        <w:tc>
          <w:tcPr>
            <w:tcW w:w="2126" w:type="dxa"/>
          </w:tcPr>
          <w:p w14:paraId="4611447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8850</w:t>
            </w:r>
          </w:p>
        </w:tc>
      </w:tr>
      <w:tr w:rsidR="004E10C1" w:rsidRPr="0044524F" w14:paraId="7A592A5D" w14:textId="77777777">
        <w:tc>
          <w:tcPr>
            <w:tcW w:w="2818" w:type="dxa"/>
          </w:tcPr>
          <w:p w14:paraId="7A8290D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прочих</w:t>
            </w:r>
          </w:p>
        </w:tc>
        <w:tc>
          <w:tcPr>
            <w:tcW w:w="2252" w:type="dxa"/>
          </w:tcPr>
          <w:p w14:paraId="7DFACC6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907</w:t>
            </w:r>
          </w:p>
        </w:tc>
        <w:tc>
          <w:tcPr>
            <w:tcW w:w="2126" w:type="dxa"/>
          </w:tcPr>
          <w:p w14:paraId="197FD4C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tc>
        <w:tc>
          <w:tcPr>
            <w:tcW w:w="2126" w:type="dxa"/>
          </w:tcPr>
          <w:p w14:paraId="5813601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3050</w:t>
            </w:r>
          </w:p>
        </w:tc>
      </w:tr>
      <w:tr w:rsidR="004E10C1" w:rsidRPr="0044524F" w14:paraId="740A966E" w14:textId="77777777">
        <w:tc>
          <w:tcPr>
            <w:tcW w:w="2818" w:type="dxa"/>
          </w:tcPr>
          <w:p w14:paraId="49BB28D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Авиадвигателей</w:t>
            </w:r>
          </w:p>
        </w:tc>
        <w:tc>
          <w:tcPr>
            <w:tcW w:w="2252" w:type="dxa"/>
          </w:tcPr>
          <w:p w14:paraId="2C1AD87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11200</w:t>
            </w:r>
          </w:p>
        </w:tc>
        <w:tc>
          <w:tcPr>
            <w:tcW w:w="2126" w:type="dxa"/>
          </w:tcPr>
          <w:p w14:paraId="1CEDFEB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24000</w:t>
            </w:r>
          </w:p>
        </w:tc>
        <w:tc>
          <w:tcPr>
            <w:tcW w:w="2126" w:type="dxa"/>
          </w:tcPr>
          <w:p w14:paraId="71520EB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r>
      <w:tr w:rsidR="004E10C1" w:rsidRPr="0044524F" w14:paraId="5EFE67F3" w14:textId="77777777">
        <w:tc>
          <w:tcPr>
            <w:tcW w:w="2818" w:type="dxa"/>
          </w:tcPr>
          <w:p w14:paraId="5539FD2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2" w:type="dxa"/>
          </w:tcPr>
          <w:p w14:paraId="2CB1E9D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4064655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6690E06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3F94400" w14:textId="77777777">
        <w:tc>
          <w:tcPr>
            <w:tcW w:w="2818" w:type="dxa"/>
          </w:tcPr>
          <w:p w14:paraId="60E6B18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Танки всех типов</w:t>
            </w:r>
          </w:p>
        </w:tc>
        <w:tc>
          <w:tcPr>
            <w:tcW w:w="2252" w:type="dxa"/>
          </w:tcPr>
          <w:p w14:paraId="0D34DF6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19800</w:t>
            </w:r>
          </w:p>
        </w:tc>
        <w:tc>
          <w:tcPr>
            <w:tcW w:w="2126" w:type="dxa"/>
          </w:tcPr>
          <w:p w14:paraId="406C6DE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32200</w:t>
            </w:r>
          </w:p>
        </w:tc>
        <w:tc>
          <w:tcPr>
            <w:tcW w:w="2126" w:type="dxa"/>
          </w:tcPr>
          <w:p w14:paraId="1AC21DA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45000</w:t>
            </w:r>
          </w:p>
        </w:tc>
      </w:tr>
      <w:tr w:rsidR="004E10C1" w:rsidRPr="0044524F" w14:paraId="7CFF3589" w14:textId="77777777">
        <w:tc>
          <w:tcPr>
            <w:tcW w:w="2818" w:type="dxa"/>
          </w:tcPr>
          <w:p w14:paraId="2CB278C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разведывательных Т-37</w:t>
            </w:r>
          </w:p>
        </w:tc>
        <w:tc>
          <w:tcPr>
            <w:tcW w:w="2252" w:type="dxa"/>
          </w:tcPr>
          <w:p w14:paraId="55D0871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2126" w:type="dxa"/>
          </w:tcPr>
          <w:p w14:paraId="3BDC6A6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c>
          <w:tcPr>
            <w:tcW w:w="2126" w:type="dxa"/>
          </w:tcPr>
          <w:p w14:paraId="11EAEFD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14200</w:t>
            </w:r>
          </w:p>
        </w:tc>
      </w:tr>
      <w:tr w:rsidR="004E10C1" w:rsidRPr="0044524F" w14:paraId="050B1D46" w14:textId="77777777">
        <w:tc>
          <w:tcPr>
            <w:tcW w:w="2818" w:type="dxa"/>
          </w:tcPr>
          <w:p w14:paraId="65B5B85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общего назначения Т-26</w:t>
            </w:r>
          </w:p>
        </w:tc>
        <w:tc>
          <w:tcPr>
            <w:tcW w:w="2252" w:type="dxa"/>
          </w:tcPr>
          <w:p w14:paraId="076DA6E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13800</w:t>
            </w:r>
          </w:p>
        </w:tc>
        <w:tc>
          <w:tcPr>
            <w:tcW w:w="2126" w:type="dxa"/>
          </w:tcPr>
          <w:p w14:paraId="14A9398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11500</w:t>
            </w:r>
          </w:p>
        </w:tc>
        <w:tc>
          <w:tcPr>
            <w:tcW w:w="2126" w:type="dxa"/>
          </w:tcPr>
          <w:p w14:paraId="3B108D5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20000</w:t>
            </w:r>
          </w:p>
        </w:tc>
      </w:tr>
      <w:tr w:rsidR="004E10C1" w:rsidRPr="0044524F" w14:paraId="1569E284" w14:textId="77777777">
        <w:tc>
          <w:tcPr>
            <w:tcW w:w="2818" w:type="dxa"/>
          </w:tcPr>
          <w:p w14:paraId="166EB1A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оперативного назначения БТ-ПТ-1</w:t>
            </w:r>
          </w:p>
        </w:tc>
        <w:tc>
          <w:tcPr>
            <w:tcW w:w="2252" w:type="dxa"/>
          </w:tcPr>
          <w:p w14:paraId="2FA2992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2126" w:type="dxa"/>
          </w:tcPr>
          <w:p w14:paraId="0BDB4C1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2126" w:type="dxa"/>
          </w:tcPr>
          <w:p w14:paraId="7701A6D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w:t>
            </w:r>
          </w:p>
        </w:tc>
      </w:tr>
      <w:tr w:rsidR="004E10C1" w:rsidRPr="0044524F" w14:paraId="11B7D609" w14:textId="77777777">
        <w:tc>
          <w:tcPr>
            <w:tcW w:w="2818" w:type="dxa"/>
          </w:tcPr>
          <w:p w14:paraId="1A23B12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танков прорыва Т-28</w:t>
            </w:r>
          </w:p>
        </w:tc>
        <w:tc>
          <w:tcPr>
            <w:tcW w:w="2252" w:type="dxa"/>
          </w:tcPr>
          <w:p w14:paraId="664FFEC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126" w:type="dxa"/>
          </w:tcPr>
          <w:p w14:paraId="25EE21C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2126" w:type="dxa"/>
          </w:tcPr>
          <w:p w14:paraId="3B9301C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r>
      <w:tr w:rsidR="004E10C1" w:rsidRPr="0044524F" w14:paraId="621F2349" w14:textId="77777777">
        <w:tc>
          <w:tcPr>
            <w:tcW w:w="2818" w:type="dxa"/>
          </w:tcPr>
          <w:p w14:paraId="549AC73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тяжелых Т-35</w:t>
            </w:r>
          </w:p>
        </w:tc>
        <w:tc>
          <w:tcPr>
            <w:tcW w:w="2252" w:type="dxa"/>
          </w:tcPr>
          <w:p w14:paraId="50D9B92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126" w:type="dxa"/>
          </w:tcPr>
          <w:p w14:paraId="4BA04EF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2126" w:type="dxa"/>
          </w:tcPr>
          <w:p w14:paraId="6002AFC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r>
      <w:tr w:rsidR="004E10C1" w:rsidRPr="0044524F" w14:paraId="1D2F3198" w14:textId="77777777">
        <w:tc>
          <w:tcPr>
            <w:tcW w:w="2818" w:type="dxa"/>
          </w:tcPr>
          <w:p w14:paraId="5F99A33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САУ</w:t>
            </w:r>
          </w:p>
        </w:tc>
        <w:tc>
          <w:tcPr>
            <w:tcW w:w="2252" w:type="dxa"/>
          </w:tcPr>
          <w:p w14:paraId="2417BDA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126" w:type="dxa"/>
          </w:tcPr>
          <w:p w14:paraId="3DD300B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2126" w:type="dxa"/>
          </w:tcPr>
          <w:p w14:paraId="62CE3E0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60EA257C" w14:textId="77777777">
        <w:tc>
          <w:tcPr>
            <w:tcW w:w="2818" w:type="dxa"/>
          </w:tcPr>
          <w:p w14:paraId="368E68E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52" w:type="dxa"/>
          </w:tcPr>
          <w:p w14:paraId="105AB00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02207F3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126" w:type="dxa"/>
          </w:tcPr>
          <w:p w14:paraId="33BC7BE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88C237A" w14:textId="77777777">
        <w:tc>
          <w:tcPr>
            <w:tcW w:w="2818" w:type="dxa"/>
          </w:tcPr>
          <w:p w14:paraId="11ACEB5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Бронемашины</w:t>
            </w:r>
          </w:p>
        </w:tc>
        <w:tc>
          <w:tcPr>
            <w:tcW w:w="2252" w:type="dxa"/>
          </w:tcPr>
          <w:p w14:paraId="31CDA55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2126" w:type="dxa"/>
          </w:tcPr>
          <w:p w14:paraId="394D3660"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2126" w:type="dxa"/>
          </w:tcPr>
          <w:p w14:paraId="622BE20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76D4A340" w14:textId="77777777">
        <w:tc>
          <w:tcPr>
            <w:tcW w:w="2818" w:type="dxa"/>
          </w:tcPr>
          <w:p w14:paraId="4339EAD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Автомобили</w:t>
            </w:r>
          </w:p>
        </w:tc>
        <w:tc>
          <w:tcPr>
            <w:tcW w:w="2252" w:type="dxa"/>
          </w:tcPr>
          <w:p w14:paraId="1FF32D0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50000</w:t>
            </w:r>
          </w:p>
        </w:tc>
        <w:tc>
          <w:tcPr>
            <w:tcW w:w="2126" w:type="dxa"/>
          </w:tcPr>
          <w:p w14:paraId="4F13F14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2126" w:type="dxa"/>
          </w:tcPr>
          <w:p w14:paraId="4B1B714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200000</w:t>
            </w:r>
          </w:p>
        </w:tc>
      </w:tr>
      <w:tr w:rsidR="004E10C1" w:rsidRPr="0044524F" w14:paraId="4409D64C" w14:textId="77777777">
        <w:tc>
          <w:tcPr>
            <w:tcW w:w="2818" w:type="dxa"/>
          </w:tcPr>
          <w:p w14:paraId="5687C9E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Гусеничные тракторы</w:t>
            </w:r>
          </w:p>
        </w:tc>
        <w:tc>
          <w:tcPr>
            <w:tcW w:w="2252" w:type="dxa"/>
          </w:tcPr>
          <w:p w14:paraId="3258B1D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2126" w:type="dxa"/>
          </w:tcPr>
          <w:p w14:paraId="0FABCE5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5400</w:t>
            </w:r>
          </w:p>
        </w:tc>
        <w:tc>
          <w:tcPr>
            <w:tcW w:w="2126" w:type="dxa"/>
          </w:tcPr>
          <w:p w14:paraId="4D189B4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r>
      <w:tr w:rsidR="004E10C1" w:rsidRPr="0044524F" w14:paraId="405915EA" w14:textId="77777777">
        <w:tc>
          <w:tcPr>
            <w:tcW w:w="2818" w:type="dxa"/>
          </w:tcPr>
          <w:p w14:paraId="486F03D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Орудия</w:t>
            </w:r>
          </w:p>
        </w:tc>
        <w:tc>
          <w:tcPr>
            <w:tcW w:w="2252" w:type="dxa"/>
          </w:tcPr>
          <w:p w14:paraId="65F32DF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18000</w:t>
            </w:r>
          </w:p>
        </w:tc>
        <w:tc>
          <w:tcPr>
            <w:tcW w:w="2126" w:type="dxa"/>
          </w:tcPr>
          <w:p w14:paraId="3D3734E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28615</w:t>
            </w:r>
          </w:p>
        </w:tc>
        <w:tc>
          <w:tcPr>
            <w:tcW w:w="2126" w:type="dxa"/>
          </w:tcPr>
          <w:p w14:paraId="09F6138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41600</w:t>
            </w:r>
          </w:p>
        </w:tc>
      </w:tr>
      <w:tr w:rsidR="004E10C1" w:rsidRPr="0044524F" w14:paraId="20F5D914" w14:textId="77777777">
        <w:tc>
          <w:tcPr>
            <w:tcW w:w="2818" w:type="dxa"/>
          </w:tcPr>
          <w:p w14:paraId="34AA77F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Снаряды</w:t>
            </w:r>
          </w:p>
        </w:tc>
        <w:tc>
          <w:tcPr>
            <w:tcW w:w="2252" w:type="dxa"/>
          </w:tcPr>
          <w:p w14:paraId="0ACA17C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46400000</w:t>
            </w:r>
          </w:p>
        </w:tc>
        <w:tc>
          <w:tcPr>
            <w:tcW w:w="2126" w:type="dxa"/>
          </w:tcPr>
          <w:p w14:paraId="05FEF23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84200000</w:t>
            </w:r>
          </w:p>
        </w:tc>
        <w:tc>
          <w:tcPr>
            <w:tcW w:w="2126" w:type="dxa"/>
          </w:tcPr>
          <w:p w14:paraId="209F791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160000000</w:t>
            </w:r>
          </w:p>
        </w:tc>
      </w:tr>
      <w:tr w:rsidR="004E10C1" w:rsidRPr="0044524F" w14:paraId="3FF9CBA6" w14:textId="77777777">
        <w:tc>
          <w:tcPr>
            <w:tcW w:w="2818" w:type="dxa"/>
          </w:tcPr>
          <w:p w14:paraId="129586B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Винтовки</w:t>
            </w:r>
          </w:p>
        </w:tc>
        <w:tc>
          <w:tcPr>
            <w:tcW w:w="2252" w:type="dxa"/>
          </w:tcPr>
          <w:p w14:paraId="0D5D178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1575000</w:t>
            </w:r>
          </w:p>
        </w:tc>
        <w:tc>
          <w:tcPr>
            <w:tcW w:w="2126" w:type="dxa"/>
          </w:tcPr>
          <w:p w14:paraId="475B9C9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2000000</w:t>
            </w:r>
          </w:p>
        </w:tc>
        <w:tc>
          <w:tcPr>
            <w:tcW w:w="2126" w:type="dxa"/>
          </w:tcPr>
          <w:p w14:paraId="2092EF79"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3000000</w:t>
            </w:r>
          </w:p>
        </w:tc>
      </w:tr>
      <w:tr w:rsidR="004E10C1" w:rsidRPr="0044524F" w14:paraId="73A5A7AE" w14:textId="77777777">
        <w:tc>
          <w:tcPr>
            <w:tcW w:w="2818" w:type="dxa"/>
          </w:tcPr>
          <w:p w14:paraId="6D067F3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w:t>
            </w:r>
          </w:p>
        </w:tc>
        <w:tc>
          <w:tcPr>
            <w:tcW w:w="2252" w:type="dxa"/>
          </w:tcPr>
          <w:p w14:paraId="2D4B27A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117800</w:t>
            </w:r>
          </w:p>
        </w:tc>
        <w:tc>
          <w:tcPr>
            <w:tcW w:w="2126" w:type="dxa"/>
          </w:tcPr>
          <w:p w14:paraId="373C7D2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175000</w:t>
            </w:r>
          </w:p>
        </w:tc>
        <w:tc>
          <w:tcPr>
            <w:tcW w:w="2126" w:type="dxa"/>
          </w:tcPr>
          <w:p w14:paraId="2699C19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206000</w:t>
            </w:r>
          </w:p>
        </w:tc>
      </w:tr>
      <w:tr w:rsidR="004E10C1" w:rsidRPr="0044524F" w14:paraId="332D92EB" w14:textId="77777777">
        <w:tc>
          <w:tcPr>
            <w:tcW w:w="2818" w:type="dxa"/>
          </w:tcPr>
          <w:p w14:paraId="351EC3E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Патроны</w:t>
            </w:r>
          </w:p>
        </w:tc>
        <w:tc>
          <w:tcPr>
            <w:tcW w:w="2252" w:type="dxa"/>
          </w:tcPr>
          <w:p w14:paraId="784D90B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5500000000</w:t>
            </w:r>
          </w:p>
        </w:tc>
        <w:tc>
          <w:tcPr>
            <w:tcW w:w="2126" w:type="dxa"/>
          </w:tcPr>
          <w:p w14:paraId="52B6821E"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8000000000</w:t>
            </w:r>
          </w:p>
        </w:tc>
        <w:tc>
          <w:tcPr>
            <w:tcW w:w="2126" w:type="dxa"/>
          </w:tcPr>
          <w:p w14:paraId="3EAAA29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14000000000</w:t>
            </w:r>
          </w:p>
        </w:tc>
      </w:tr>
      <w:tr w:rsidR="004E10C1" w:rsidRPr="0044524F" w14:paraId="27150D73" w14:textId="77777777">
        <w:tc>
          <w:tcPr>
            <w:tcW w:w="2818" w:type="dxa"/>
          </w:tcPr>
          <w:p w14:paraId="7669FD16"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Авиабомбы (тонн)</w:t>
            </w:r>
          </w:p>
        </w:tc>
        <w:tc>
          <w:tcPr>
            <w:tcW w:w="2252" w:type="dxa"/>
          </w:tcPr>
          <w:p w14:paraId="5B1F2C4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100000</w:t>
            </w:r>
          </w:p>
        </w:tc>
        <w:tc>
          <w:tcPr>
            <w:tcW w:w="2126" w:type="dxa"/>
          </w:tcPr>
          <w:p w14:paraId="55F2803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200000</w:t>
            </w:r>
          </w:p>
        </w:tc>
        <w:tc>
          <w:tcPr>
            <w:tcW w:w="2126" w:type="dxa"/>
          </w:tcPr>
          <w:p w14:paraId="532E0224"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500000</w:t>
            </w:r>
          </w:p>
        </w:tc>
      </w:tr>
      <w:tr w:rsidR="004E10C1" w:rsidRPr="0044524F" w14:paraId="390700D2" w14:textId="77777777">
        <w:tc>
          <w:tcPr>
            <w:tcW w:w="2818" w:type="dxa"/>
          </w:tcPr>
          <w:p w14:paraId="6DB1BD9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Химоружие (тонн)</w:t>
            </w:r>
          </w:p>
        </w:tc>
        <w:tc>
          <w:tcPr>
            <w:tcW w:w="2252" w:type="dxa"/>
          </w:tcPr>
          <w:p w14:paraId="56C3D26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63000</w:t>
            </w:r>
          </w:p>
        </w:tc>
        <w:tc>
          <w:tcPr>
            <w:tcW w:w="2126" w:type="dxa"/>
          </w:tcPr>
          <w:p w14:paraId="316C87D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150000</w:t>
            </w:r>
          </w:p>
        </w:tc>
        <w:tc>
          <w:tcPr>
            <w:tcW w:w="2126" w:type="dxa"/>
          </w:tcPr>
          <w:p w14:paraId="2BA3768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250000</w:t>
            </w:r>
          </w:p>
        </w:tc>
      </w:tr>
    </w:tbl>
    <w:p w14:paraId="5CB741B8"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(9448)</w:t>
      </w:r>
    </w:p>
    <w:p w14:paraId="7D6109F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07656BF0" w14:textId="77777777" w:rsidR="002C29D9" w:rsidRPr="00142305" w:rsidRDefault="002C29D9" w:rsidP="002C29D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1933 г. М-51 завода № 29 испытывался на самолете У-2 (25397).</w:t>
      </w:r>
    </w:p>
    <w:p w14:paraId="58EA9846" w14:textId="77777777" w:rsidR="002C29D9" w:rsidRPr="00142305" w:rsidRDefault="002C29D9" w:rsidP="002C29D9">
      <w:pPr>
        <w:spacing w:after="0" w:line="240" w:lineRule="auto"/>
        <w:jc w:val="both"/>
        <w:rPr>
          <w:rFonts w:ascii="Times New Roman" w:hAnsi="Times New Roman"/>
          <w:color w:val="0070C0"/>
          <w:sz w:val="16"/>
          <w:szCs w:val="16"/>
        </w:rPr>
      </w:pPr>
    </w:p>
    <w:p w14:paraId="0EC8CFBB"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года на территории будущего завода 288 и 491 было закончено строительство одного производственного корпуса и был произведен выпуск продукции. До 1936 года завод находился в ведении треста автогаражного оборудования «ГАРО». В 1937 году вошел в систему авиапромышленности как опытный завод № 288 по гидросамолетостроению. Завод имел самостоятельное ОКБ, гл. еонструкторами которого последовательно были Самсонов и Бериев. В 1941 году завод № 288 был эвакуирован в Омск, а на базе его были созданы фронтовые мастерские НКАП. В июне 1943 года на эту промплощадку был перебазирован завод № 2 Оргавиапрома, реэвакуированный из Челябинской области. Объединенному заводу был присвоен № 491. На нем таким образом, произошло слияние кадров бывш. завода № 288, основная часть работников которого вернулась из эвакуации, завода № 2 Оргавиапрома и фронтовых мастерских. Начиная с 1943 года МАП профилировало завод по изготовлению специального и уникального оборудования для производства самолетов, авиадвигателей и приборов (10279).</w:t>
      </w:r>
    </w:p>
    <w:p w14:paraId="48D601F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1510D4C1"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разрабатываемы в ОТБ с осени 1932 г. группой Коренева автопилот АВП-2, который имел два свободных гироскопа – курсовой и продольно-поперечный – и с помощью рулевых машинок с пневмоприводом мог управлять самолётом был установлен на бомбардировщик ТБ-1 и прошёл испытания, в том числе во время 8-часового перелёта по маршруту Евпатория – Харьков – Москва (22673).</w:t>
      </w:r>
    </w:p>
    <w:p w14:paraId="41BEB4AC" w14:textId="77777777" w:rsidR="00231D42" w:rsidRPr="0044524F" w:rsidRDefault="00231D42" w:rsidP="009654CF">
      <w:pPr>
        <w:spacing w:after="0" w:line="240" w:lineRule="auto"/>
        <w:jc w:val="both"/>
        <w:rPr>
          <w:rFonts w:ascii="Times New Roman" w:hAnsi="Times New Roman"/>
          <w:color w:val="000000" w:themeColor="text1"/>
          <w:sz w:val="16"/>
          <w:szCs w:val="16"/>
        </w:rPr>
      </w:pPr>
    </w:p>
    <w:p w14:paraId="53C06A32" w14:textId="77777777" w:rsidR="002C29D9" w:rsidRPr="00142305" w:rsidRDefault="002C29D9" w:rsidP="002C29D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июне 1933 года на полигоне в Евпатории успешно прошли стрельбы с самолета Р-5 модернизированными ракетами, а к 1936 году под руководством профессора Победоносцева и Бакаева создан новый нитроглицериновый порох (НГВ), обеспечивающий постоянство горения в камере сгорания ракеты и дающий более мощный реактивный импульс (25100).</w:t>
      </w:r>
    </w:p>
    <w:p w14:paraId="17B6DE6D" w14:textId="77777777" w:rsidR="002C29D9" w:rsidRPr="00142305" w:rsidRDefault="002C29D9" w:rsidP="002C29D9">
      <w:pPr>
        <w:spacing w:after="0" w:line="240" w:lineRule="auto"/>
        <w:jc w:val="both"/>
        <w:rPr>
          <w:rFonts w:ascii="Times New Roman" w:hAnsi="Times New Roman"/>
          <w:color w:val="0070C0"/>
          <w:sz w:val="16"/>
          <w:szCs w:val="16"/>
        </w:rPr>
      </w:pPr>
    </w:p>
    <w:p w14:paraId="6884CCDC" w14:textId="77777777" w:rsidR="00FC3467" w:rsidRPr="0044524F" w:rsidRDefault="00FC346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В июне 1933 года Сталину доложили, что Анастас Микоян опять летал на самолете. Решение Политбюро последовало незамедлительно: "За грубое нарушение постановления Политбюро ЦК ВКП (б) о запрете полетов ответработникам объявить т.Микояну строгий выговор" (21579).</w:t>
      </w:r>
    </w:p>
    <w:p w14:paraId="49B3F807" w14:textId="77777777" w:rsidR="00FC3467" w:rsidRPr="0044524F" w:rsidRDefault="00FC3467" w:rsidP="009654CF">
      <w:pPr>
        <w:shd w:val="clear" w:color="auto" w:fill="FFFFFF"/>
        <w:spacing w:after="0" w:line="240" w:lineRule="auto"/>
        <w:jc w:val="both"/>
        <w:rPr>
          <w:rFonts w:ascii="Times New Roman" w:hAnsi="Times New Roman"/>
          <w:color w:val="000000" w:themeColor="text1"/>
          <w:sz w:val="16"/>
          <w:szCs w:val="16"/>
        </w:rPr>
      </w:pPr>
    </w:p>
    <w:p w14:paraId="55172492"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июне месяце 1933 проект аэростата Осоавиахим-1 был переделан в третий раз и оболочка была доведена в объеме до 24.940 кб. м. При подъемной силе газа 2600 кг и весе всей системы 2480 кг, стратостат полностью восполнялся на 17.700 метрах и за счет сплавной силы в 120 кгр достигал зоны равновесия на 19.500 м. </w:t>
      </w:r>
    </w:p>
    <w:p w14:paraId="73E2D0D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17 августа 1934 г. стратостат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5F721C0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37AAD9B1"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306E3345"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w:t>
      </w:r>
    </w:p>
    <w:p w14:paraId="0EB19AF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Так в тексте; правильно: Васенко. </w:t>
      </w:r>
    </w:p>
    <w:p w14:paraId="4E9382DF"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 Так в тексте; правильно: 1933 г. </w:t>
      </w:r>
    </w:p>
    <w:p w14:paraId="0C10903D"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 * Так в тексте; правильно: 1933 г. </w:t>
      </w:r>
    </w:p>
    <w:p w14:paraId="727A24D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 * Так в тексте; правильно: Васенко (11611).</w:t>
      </w:r>
    </w:p>
    <w:p w14:paraId="52E50EAC"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p>
    <w:p w14:paraId="3870B4FA"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после выезда в Ленинград комиссии т. Ильина (обнаружившей обезличку в ходе постройки стратостата), решением президиума Леноблсовета наблюдение было возложено на Зам. пред. Лен. Осоавиахима т. Барандохина; но и эта мера не обеспечивала конкретного технического руководства, т. к. сейчас нельзя восстановить, кем же, кроме Федосеенко, утверждено изменение объема кубатуры оболочки, т. к. было решено вначале иметь ее объем в 20.000 м</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потом 22.000, а впоследствии 24.940 м</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xml:space="preserve">. </w:t>
      </w:r>
    </w:p>
    <w:p w14:paraId="56DBA227"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Опыт конструкции стратостата СССР Ленинградской группой не использовался, а всякое указание явно игнорировалось. </w:t>
      </w:r>
    </w:p>
    <w:p w14:paraId="42E88903" w14:textId="77777777" w:rsidR="00664564" w:rsidRPr="0044524F" w:rsidRDefault="0066456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этой части надлежащего конкретного организационного руководства со стороны руководящих лиц Осоавиахима (Ильин, Барандохин) не было, и их утверждение, что все проводится без проверки, по существу только прикрывало самотек и самостийность действий конструкторов (11611).</w:t>
      </w:r>
    </w:p>
    <w:p w14:paraId="6DDCFF92" w14:textId="77777777" w:rsidR="00664564" w:rsidRPr="0044524F" w:rsidRDefault="0066456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21ACB3" w14:textId="77777777" w:rsidR="00231D42" w:rsidRPr="0044524F" w:rsidRDefault="00231D42" w:rsidP="009654CF">
      <w:pPr>
        <w:pStyle w:val="HTML2"/>
        <w:shd w:val="clear" w:color="auto" w:fill="FFFFFF"/>
        <w:jc w:val="both"/>
        <w:rPr>
          <w:color w:val="000000" w:themeColor="text1"/>
          <w:sz w:val="16"/>
          <w:szCs w:val="16"/>
        </w:rPr>
      </w:pPr>
      <w:r w:rsidRPr="0044524F">
        <w:rPr>
          <w:i w:val="0"/>
          <w:iCs w:val="0"/>
          <w:color w:val="000000" w:themeColor="text1"/>
          <w:sz w:val="16"/>
          <w:szCs w:val="16"/>
        </w:rPr>
        <w:t>В июне 1933 года инженер Риддель от которого осенью 1932 поступило предложение от группы американских инженеров помочь в решении "гелиевого вопроса" частным порядком, без привлечения какой-либо фирмы приехал в СССР и связался с начальником одного из отделов экономического управления ОГПУ Павлом Гуровским (именно это управление ведало внешнеэкономической разведкой и вело дела о "вредительстве" в советской промышленности). Тот ухватился за предложение американцев и вместе с руководителями иностранного отдела (ИНО) Наркомтяжпрома СССР стал склонять нового начальника треста "Союзгаз" Моисея Гурвича к подписанию договора "о доставке комплексного технико-проектного и расчетного материала по гелию". Вопрос был вынесен на решение наркома тяжелой промышленности Серго Орджоникидзе.</w:t>
      </w:r>
    </w:p>
    <w:p w14:paraId="36EB1E74" w14:textId="77777777" w:rsidR="00231D42" w:rsidRPr="0044524F" w:rsidRDefault="00231D42" w:rsidP="009654CF">
      <w:pPr>
        <w:pStyle w:val="HTML2"/>
        <w:shd w:val="clear" w:color="auto" w:fill="FFFFFF"/>
        <w:jc w:val="both"/>
        <w:rPr>
          <w:color w:val="000000" w:themeColor="text1"/>
          <w:sz w:val="16"/>
          <w:szCs w:val="16"/>
        </w:rPr>
      </w:pPr>
      <w:r w:rsidRPr="0044524F">
        <w:rPr>
          <w:i w:val="0"/>
          <w:iCs w:val="0"/>
          <w:color w:val="000000" w:themeColor="text1"/>
          <w:sz w:val="16"/>
          <w:szCs w:val="16"/>
        </w:rPr>
        <w:t xml:space="preserve">Начальник ИНО НКТП и управляющий "Союзгаза" признавались в письме к наркому, что "работы, проводившиеся в Союзе по гелию на протяжении 3-4 лет, бесспорно, показали, что самостоятельное разрешение в СССР гелиевого дела нам не под силу". Чтобы не было "потери темпа и детских болезней, неизбежных при </w:t>
      </w:r>
      <w:r w:rsidRPr="0044524F">
        <w:rPr>
          <w:i w:val="0"/>
          <w:iCs w:val="0"/>
          <w:color w:val="000000" w:themeColor="text1"/>
          <w:sz w:val="16"/>
          <w:szCs w:val="16"/>
        </w:rPr>
        <w:lastRenderedPageBreak/>
        <w:t>новом деле, и для сбережения огромных затрат и усилий" наркому предлагалось обратиться за помощью к американцам. Однако далее мнения авторов письма разделились. Начальник ИНО НКТП считал, что нужно заплатить группе Ридделя: это было бы дешевле, делало американских сотрудников на срок договора зависимыми "от нас" (вероятно, от ОГПУ) и позволяло в случае неудовлетворительного выполнения договора ничего не платить. "Союзгаз" считал, что необходимо поддержать предложение The Helium Co. Это было хотя и дороже, но надежнее с точки зрения достижения намеченной цели – начала широкой эксплуатации газовых месторождений СССР и получения советского гелия в промышленных объемах. В качестве аргументов Моисей Гурвич указывал на практический опыт фирмы, производящей весь цикл работ, и возможность стажировки советских специалистов в США. Даже материальный вопрос не носил такого острого характера, поскольку к моменту написания письма, июню 1933 года, американская компания снизила сумму контракта до 350 тыс. долларов и, как писал Гурвич, эту сумму можно было еще снизить до 250 тыс (21452).</w:t>
      </w:r>
    </w:p>
    <w:p w14:paraId="74FC104B" w14:textId="77777777" w:rsidR="00231D42" w:rsidRPr="0044524F" w:rsidRDefault="00231D42" w:rsidP="009654CF">
      <w:pPr>
        <w:pStyle w:val="article-renderblock"/>
        <w:shd w:val="clear" w:color="auto" w:fill="FFFFFF"/>
        <w:spacing w:before="0" w:beforeAutospacing="0" w:after="0" w:afterAutospacing="0"/>
        <w:jc w:val="both"/>
        <w:rPr>
          <w:color w:val="000000" w:themeColor="text1"/>
          <w:sz w:val="16"/>
          <w:szCs w:val="16"/>
        </w:rPr>
      </w:pPr>
    </w:p>
    <w:p w14:paraId="524568D1"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BD2FF9A"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A4A37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опытный образец СУ-14 был закончен, на нем была установлена 203-мм гаубица Б-4, имевшая лишь незначительные изменения. Ходовая часть СУ-14 в основном была комбинацией из агрегатов танков Т-26 и Т-35. Подобно танку Т-35 на СУ-14 был установлен авиационный карбюраторный двигатель М-17, развивавший мощность 500 л. с. при 1450 об/мин. Двигатель располагался в передней части установки. Впереди слева по ходу шасси находилось место механика-водителя, остальные номера расчета помещались на трех съемных скамьях в кормовой части установки. Возимый боекомплект установки 8 выстрелов. При стрельбе СУ-14 опиралась на два задних сошника, имевших ручной и гидравлический приводы. После заводской обкатки на расстояние 80 км СУ-14 была направлена на НИАП, где с 1 по 15 августа проводилась показательная стрельба в присутствии маршала Ворошилова. После этого СУ-14 долго ремонтировалась и модернизировалась ( в основном ходовая часть) (3861).</w:t>
      </w:r>
    </w:p>
    <w:p w14:paraId="5F1F007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43629E8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собрали опытный образец тяжёлой самоходной артиллерийской установки САУ-14, тогда же на него была установлена 203-мм гаубица Б-4. Корпус САУ, клепаносварной конструкции, изготовили из катаных броневых листов. На верхней палубе САУ установили 203-мм гаубицу без каких-либо значительных переделок. Полевая гаубица Б-4 была создана КБ «Большевика» и имела раздельное картузное заряжание, затвор поршневой. Гаубица была принята на вооружение в 1932 г. Как орудие АРГК гаубица стала поступать на вооружение РККА с 1932 г. Для самоходной установки орудие Б-4 было частично доработано в части его размещения на шасси. Возимый боекомплект САУ составлял восемь выстрелов. С установки могли использоваться снаряды нескольких типов, в том числе фугасно-бетонобойные, пробивающие железобетонные перекрытая толщиной до 1 метра (15132).</w:t>
      </w:r>
    </w:p>
    <w:p w14:paraId="3968F9E3" w14:textId="77777777" w:rsidR="003417C8" w:rsidRPr="0044524F" w:rsidRDefault="003417C8" w:rsidP="009654CF">
      <w:pPr>
        <w:spacing w:after="0" w:line="240" w:lineRule="auto"/>
        <w:jc w:val="both"/>
        <w:rPr>
          <w:rFonts w:ascii="Times New Roman" w:hAnsi="Times New Roman"/>
          <w:color w:val="000000" w:themeColor="text1"/>
          <w:sz w:val="16"/>
          <w:szCs w:val="16"/>
        </w:rPr>
      </w:pPr>
    </w:p>
    <w:p w14:paraId="0B47469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СТО принял Постановление №51 “Об изготовлении двух опытных образцов неплавающих колесно-гусеничных танков типа ПТ-1. В основу разработки был положен проект колесно-гусеничного танка - танка истребителя ИТ-3, разработанный Автотанковым бюро ТО ЭКУ ОГПУ с учетом опыта по ПТ-1 Н.А.Астрова (9527,119).</w:t>
      </w:r>
    </w:p>
    <w:p w14:paraId="486AFEF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4BC539B4"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СТО принял постановление № 51 «Об изготовлении двух опытных образцов неплавающего колесно-гусеничного танка типа ПТ-1» со следующими ТТХ: «Боевой вес не более 17,5 т, толщина бронирования — 20 мм, вооружение: 1 — 76,2-мм пушка и 4 пулемета, эки</w:t>
      </w:r>
      <w:r w:rsidRPr="0044524F">
        <w:rPr>
          <w:rFonts w:ascii="Times New Roman" w:hAnsi="Times New Roman"/>
          <w:color w:val="000000" w:themeColor="text1"/>
          <w:sz w:val="16"/>
          <w:szCs w:val="16"/>
        </w:rPr>
        <w:softHyphen/>
        <w:t>паж - 5 чел., максимальная скорость на колесах — 70 км/ч, на гусеницах - 50 км/ч». Проект трехбашенного танка на шасси ПТ-1А был разра</w:t>
      </w:r>
      <w:r w:rsidRPr="0044524F">
        <w:rPr>
          <w:rFonts w:ascii="Times New Roman" w:hAnsi="Times New Roman"/>
          <w:color w:val="000000" w:themeColor="text1"/>
          <w:sz w:val="16"/>
          <w:szCs w:val="16"/>
        </w:rPr>
        <w:softHyphen/>
        <w:t>ботан ЭКУ ОПТУ под руководством Н. Астрова в пяти вариантах. В 1934 г. ввиду расформирования КБ ОГПУ опыт</w:t>
      </w:r>
      <w:r w:rsidRPr="0044524F">
        <w:rPr>
          <w:rFonts w:ascii="Times New Roman" w:hAnsi="Times New Roman"/>
          <w:color w:val="000000" w:themeColor="text1"/>
          <w:sz w:val="16"/>
          <w:szCs w:val="16"/>
        </w:rPr>
        <w:softHyphen/>
        <w:t>ные образцы танков Т-29-4 и Т-29-5, были изготовлены на опытном заводе Спецмаштреста им. Кирова. Между собой варианты отличались толщиной брони (15—20 мм и 20—30 мм соответственно), массой (16,8 и 23,2 т), скоростью и дальностью хода. Компоновка и воору</w:t>
      </w:r>
      <w:r w:rsidRPr="0044524F">
        <w:rPr>
          <w:rFonts w:ascii="Times New Roman" w:hAnsi="Times New Roman"/>
          <w:color w:val="000000" w:themeColor="text1"/>
          <w:sz w:val="16"/>
          <w:szCs w:val="16"/>
        </w:rPr>
        <w:softHyphen/>
        <w:t>жение у них были аналогичны. Серийный танк Т-28 тем временем тоже подвергся до</w:t>
      </w:r>
      <w:r w:rsidRPr="0044524F">
        <w:rPr>
          <w:rFonts w:ascii="Times New Roman" w:hAnsi="Times New Roman"/>
          <w:color w:val="000000" w:themeColor="text1"/>
          <w:sz w:val="16"/>
          <w:szCs w:val="16"/>
        </w:rPr>
        <w:softHyphen/>
        <w:t>работкам в КБ Кировского завода. Был проведен комплекс мер по совершенствованию конструкции трансмиссии. Танки выпуска 1935 г. по надежности уже не шли ни в какое сравнение с танками первых серий. Поломки у них встре</w:t>
      </w:r>
      <w:r w:rsidRPr="0044524F">
        <w:rPr>
          <w:rFonts w:ascii="Times New Roman" w:hAnsi="Times New Roman"/>
          <w:color w:val="000000" w:themeColor="text1"/>
          <w:sz w:val="16"/>
          <w:szCs w:val="16"/>
        </w:rPr>
        <w:softHyphen/>
        <w:t>чались все реже и реже. А вскоре СКБ-2 под руководством О. Иванова предприняло самостоятельную работу по созданию скоростного танка «Сталин». Ведущим инженером танка, получившего индекс Т-28А, стал А. Ефимов. Танк получил новую КПП и бортредуктора и на испытаниях 11 сентября развил скорость 55,8 км/ч. После доработок комиссия под руководством командира 6-й тбр Лизюкова отмечала, что танк Т-28А является вполнее пригодным для войсковой эксплуатации. «Для прохождения средне-пересеченнои местности третья передача (46 км/час при оборотах яигателя 1450 об/мин) должна быть нормальной экспуата-ионной, а четвертая (55,8 км/час при 1450 об/мин) должна шъ резервной при движении по грунтовым дорогам и шоссе.». В 1934-35 гг. танки Т-29-4 и Т-29-5 прошли обширные испытания совместно с танками Т-28, показав при этом ряд преимуществ. В частности, отмечалось, что танк Т-29 имеет лучшую поворотливость и подвижность, особенно во время маршей на дорогах. Среднетехническая и эксплуатационная скорость Т-29 была сравнима со скоростью скоростного Т-28А и, конечно, выше, чем у серийного танка Т-28. Но главное — за все время испытаний танк ни разу не простаивал неисправным, так как даже в случае внезапной потери гусеничной цепи сохранял способность к движе</w:t>
      </w:r>
      <w:r w:rsidRPr="0044524F">
        <w:rPr>
          <w:rFonts w:ascii="Times New Roman" w:hAnsi="Times New Roman"/>
          <w:color w:val="000000" w:themeColor="text1"/>
          <w:sz w:val="16"/>
          <w:szCs w:val="16"/>
        </w:rPr>
        <w:softHyphen/>
        <w:t>нию из-за синхронизации гусеничного и колесного хода. По вооружению танк Т-29 был аналогичен своему трех-башенному предшественнику. Но поскольку его башня имела меньшие размеры, чем таковая у Т-28 (ее конструк</w:t>
      </w:r>
      <w:r w:rsidRPr="0044524F">
        <w:rPr>
          <w:rFonts w:ascii="Times New Roman" w:hAnsi="Times New Roman"/>
          <w:color w:val="000000" w:themeColor="text1"/>
          <w:sz w:val="16"/>
          <w:szCs w:val="16"/>
        </w:rPr>
        <w:softHyphen/>
        <w:t>ция была подобна башне танка Т-26-4), на испытаниях стрельбой танк проигрывал в скорострельности. Несмотря на то, что башня была двухместной, постоянно отмечалась теснота внутри, и потому ее конструкцию рекомендовалось пересмотреть. Но все же танк был очень сложен в производстве, регу</w:t>
      </w:r>
      <w:r w:rsidRPr="0044524F">
        <w:rPr>
          <w:rFonts w:ascii="Times New Roman" w:hAnsi="Times New Roman"/>
          <w:color w:val="000000" w:themeColor="text1"/>
          <w:sz w:val="16"/>
          <w:szCs w:val="16"/>
        </w:rPr>
        <w:softHyphen/>
        <w:t>лировке и обслуживании из-за наличия колесного хода с приводом на несколько осей. По окончании испытаний Т-29-4 и Т-29-5 были скорректированы ТТТ, по которым в 1935-36 гг. КБ завода Спецмаштреста им. Кирова под руководством ведущего инженера В. Цейца был спроектирован и изготовлен эта</w:t>
      </w:r>
      <w:r w:rsidRPr="0044524F">
        <w:rPr>
          <w:rFonts w:ascii="Times New Roman" w:hAnsi="Times New Roman"/>
          <w:color w:val="000000" w:themeColor="text1"/>
          <w:sz w:val="16"/>
          <w:szCs w:val="16"/>
        </w:rPr>
        <w:softHyphen/>
        <w:t>лонный образец танка Т-29 для серийного производства. В целом компоновочно танк повторял уже рассмотрен</w:t>
      </w:r>
      <w:r w:rsidRPr="0044524F">
        <w:rPr>
          <w:rFonts w:ascii="Times New Roman" w:hAnsi="Times New Roman"/>
          <w:color w:val="000000" w:themeColor="text1"/>
          <w:sz w:val="16"/>
          <w:szCs w:val="16"/>
        </w:rPr>
        <w:softHyphen/>
        <w:t>ные Т-29-4 и Т-29-5, но круг обслуживания главной башни был увеличен на 100 мм в диаметре. В качестве основного вооружения танка планировалась установка в лобовой час</w:t>
      </w:r>
      <w:r w:rsidRPr="0044524F">
        <w:rPr>
          <w:rFonts w:ascii="Times New Roman" w:hAnsi="Times New Roman"/>
          <w:color w:val="000000" w:themeColor="text1"/>
          <w:sz w:val="16"/>
          <w:szCs w:val="16"/>
        </w:rPr>
        <w:softHyphen/>
        <w:t>ти большой башни 76,2-мм пушки ПС-3 и 7,62-мм пулеме</w:t>
      </w:r>
      <w:r w:rsidRPr="0044524F">
        <w:rPr>
          <w:rFonts w:ascii="Times New Roman" w:hAnsi="Times New Roman"/>
          <w:color w:val="000000" w:themeColor="text1"/>
          <w:sz w:val="16"/>
          <w:szCs w:val="16"/>
        </w:rPr>
        <w:softHyphen/>
        <w:t>та ДТ в шаровой установке. Еще один пулемет устанавли</w:t>
      </w:r>
      <w:r w:rsidRPr="0044524F">
        <w:rPr>
          <w:rFonts w:ascii="Times New Roman" w:hAnsi="Times New Roman"/>
          <w:color w:val="000000" w:themeColor="text1"/>
          <w:sz w:val="16"/>
          <w:szCs w:val="16"/>
        </w:rPr>
        <w:softHyphen/>
        <w:t>вался в кормовом шаровом яблоке. Он же мог быть перене</w:t>
      </w:r>
      <w:r w:rsidRPr="0044524F">
        <w:rPr>
          <w:rFonts w:ascii="Times New Roman" w:hAnsi="Times New Roman"/>
          <w:color w:val="000000" w:themeColor="text1"/>
          <w:sz w:val="16"/>
          <w:szCs w:val="16"/>
        </w:rPr>
        <w:softHyphen/>
        <w:t>сен на крышу для обороны танка с воздуха. Малые пулеметные башни, вооруженные 7,62-мм пуле</w:t>
      </w:r>
      <w:r w:rsidRPr="0044524F">
        <w:rPr>
          <w:rFonts w:ascii="Times New Roman" w:hAnsi="Times New Roman"/>
          <w:color w:val="000000" w:themeColor="text1"/>
          <w:sz w:val="16"/>
          <w:szCs w:val="16"/>
        </w:rPr>
        <w:softHyphen/>
        <w:t>метами ДТ каждая, заимствовались от танка Т-28. Планировалось, что в 1937 г. завод начнет серийный выпуск танка Т-29, но эталонный Танк упорно не желал сдаваться и даже на испытаниях марта 1937 г. продолжал «радовать» испытателей очередными фортелями. Подлили масла в огонь и финансовые расчеты. Они не радовали. Даже с учетом широкой унификации вооруже</w:t>
      </w:r>
      <w:r w:rsidRPr="0044524F">
        <w:rPr>
          <w:rFonts w:ascii="Times New Roman" w:hAnsi="Times New Roman"/>
          <w:color w:val="000000" w:themeColor="text1"/>
          <w:sz w:val="16"/>
          <w:szCs w:val="16"/>
        </w:rPr>
        <w:softHyphen/>
        <w:t>ния, башен, двигателя танк все равно получался почти вдвое дороже, чем Т-28, притом что Т28А имел подвиж</w:t>
      </w:r>
      <w:r w:rsidRPr="0044524F">
        <w:rPr>
          <w:rFonts w:ascii="Times New Roman" w:hAnsi="Times New Roman"/>
          <w:color w:val="000000" w:themeColor="text1"/>
          <w:sz w:val="16"/>
          <w:szCs w:val="16"/>
        </w:rPr>
        <w:softHyphen/>
        <w:t>ность, сравнимую с Т-29, а с новыми траками его пробег утроился. Судьба «трехбашенного колесно-гусеничного» повисла на волоске (10733,319).</w:t>
      </w:r>
    </w:p>
    <w:p w14:paraId="684389A7"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204AEA7"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июне 1933 года Совет Труда и Обороны принял постановление №51 "Об изготовлении двух опытных образцов неплавающих колесно-гусеничных </w:t>
      </w:r>
      <w:hyperlink r:id="rId231"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ов типа ПТ-1":</w:t>
      </w:r>
    </w:p>
    <w:p w14:paraId="08ACEE20"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Наркомтяжпрому изготовить два опытных образца неплавающих колесно-гусеничных </w:t>
      </w:r>
      <w:hyperlink r:id="rId232"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ов по типу ПТ-1, по чертежам, разработанным Опытным конструкторским бюро ОГПУ по следующим основным ТТХ:</w:t>
      </w:r>
    </w:p>
    <w:p w14:paraId="6D37F09B"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образец: боевая масса 17,2; броневая защита: лоб - 20 мм, борт - 15 мм; вооружение: 76,2-мм пушка и 4 пулемета, размещенные в трех башнях, скорость движения на колесном ходу - 70 км/ч, на гусеничном - 59 км/ч; экипаж - 5 человек.</w:t>
      </w:r>
    </w:p>
    <w:p w14:paraId="161656E0"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образец: боевая масса 20,2 т; броневая защита: лоб - 30 мм, борт - 25 мм; вооружение: 76,2-мм пушка и 4 пулемета, размещенные в трех башнях, скорость движения на колесном ходу - 70 км/ч, на гусеничном - 59 км/ч; экипаж - 5 человек.</w:t>
      </w:r>
    </w:p>
    <w:p w14:paraId="720F7B35"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Работу по изготовлению обоих образцов закончить в течение 1933 г." (15620).</w:t>
      </w:r>
    </w:p>
    <w:p w14:paraId="56F6840F"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основу новой разработки средних колесно-гусеничных </w:t>
      </w:r>
      <w:hyperlink r:id="rId233"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ов был положен проект колесно-гусеничного </w:t>
      </w:r>
      <w:hyperlink r:id="rId234"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разработанный Авто</w:t>
      </w:r>
      <w:hyperlink r:id="rId235"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овым бюро Технического отдела ЭКУ ОГПУ в 1933г. с учетом опыта создания </w:t>
      </w:r>
      <w:hyperlink r:id="rId236"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ПТ-1, получивший название </w:t>
      </w:r>
      <w:hyperlink r:id="rId237"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-истребитель ИТ-3. Согласно проекту это была машина боевой массой 17,5 т и экипажем их 4 человек. Танк был вооружен 76,2-мм пушкой обр. 1927 г. и тремя пулеметами - одним ДК калибра 12,7 мм и двумя авиационными скорострельными ШКАС калибра 7,62 мм, один из которых был спарен с пушкой, а второй с пулеметом ДК. Третий (запасной) пулемет мог устанавливаться в зенитной турели на люке крыши башни. В боекомплект входили 50 выстрелов к пушке, 1500 патронов к пулемету ДК и 7000 патронов к пулеметам ШКАС.</w:t>
      </w:r>
    </w:p>
    <w:p w14:paraId="4A350B3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Броневая защита была противопульной. Башня и отдельные части корпуса были выполнены штампованными из стальных листов толщиной 6, 10, 15 и 20 мм. На </w:t>
      </w:r>
      <w:hyperlink r:id="rId238"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е предполагалось установить карбюраторный двигатель М-17Б мощностью 500 л.с., который бы обеспечивал машины маскимальную скорость движения на гусеничном ходу до 60 км/ч, на колесном - до 80 км/ч. В ходовой части использовалась четырехкатковая схема со всеми ведущими колесами на колесном ходу, причем передняя и задняя пары колес были управляемыми. В окончательном варианте проекта скорострельные пулеметы ШКАС были заменены на пулеметы ДТ и размещены в отдельных пулеметных башенках по типу </w:t>
      </w:r>
      <w:hyperlink r:id="rId239"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Т-28, а пулемет ДК исключен из состава вооружения машины.</w:t>
      </w:r>
    </w:p>
    <w:p w14:paraId="6FFB252C"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1933 г. эти </w:t>
      </w:r>
      <w:hyperlink r:id="rId240"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и изготовить не успели, и заказ на их производство был перенесен на следующий год. Проекты двух новых средних колесно гусеничных </w:t>
      </w:r>
      <w:hyperlink r:id="rId241"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ов были разработанны КБ ЭКУ ОГПУ под руководством Н.А. Астрова (15620).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9"/>
        <w:gridCol w:w="1673"/>
        <w:gridCol w:w="2725"/>
        <w:gridCol w:w="2725"/>
        <w:gridCol w:w="2726"/>
      </w:tblGrid>
      <w:tr w:rsidR="004E10C1" w:rsidRPr="0044524F" w14:paraId="7246C059" w14:textId="77777777" w:rsidTr="003417C8">
        <w:tc>
          <w:tcPr>
            <w:tcW w:w="3035" w:type="dxa"/>
            <w:gridSpan w:val="2"/>
            <w:shd w:val="clear" w:color="auto" w:fill="FFFFFF"/>
            <w:vAlign w:val="center"/>
            <w:hideMark/>
          </w:tcPr>
          <w:p w14:paraId="10CE090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Тип </w:t>
            </w:r>
            <w:hyperlink r:id="rId242"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w:t>
            </w:r>
          </w:p>
        </w:tc>
        <w:tc>
          <w:tcPr>
            <w:tcW w:w="2624" w:type="dxa"/>
            <w:shd w:val="clear" w:color="auto" w:fill="FFFFFF"/>
            <w:tcMar>
              <w:top w:w="168" w:type="dxa"/>
              <w:left w:w="72" w:type="dxa"/>
              <w:bottom w:w="168" w:type="dxa"/>
              <w:right w:w="72" w:type="dxa"/>
            </w:tcMar>
            <w:vAlign w:val="center"/>
            <w:hideMark/>
          </w:tcPr>
          <w:p w14:paraId="4B3D887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Тоскина №1</w:t>
            </w:r>
          </w:p>
        </w:tc>
        <w:tc>
          <w:tcPr>
            <w:tcW w:w="2624" w:type="dxa"/>
            <w:shd w:val="clear" w:color="auto" w:fill="FFFFFF"/>
            <w:tcMar>
              <w:top w:w="168" w:type="dxa"/>
              <w:left w:w="72" w:type="dxa"/>
              <w:bottom w:w="168" w:type="dxa"/>
              <w:right w:w="72" w:type="dxa"/>
            </w:tcMar>
            <w:vAlign w:val="center"/>
            <w:hideMark/>
          </w:tcPr>
          <w:p w14:paraId="12A83FA7"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Тоскина №2</w:t>
            </w:r>
          </w:p>
        </w:tc>
        <w:tc>
          <w:tcPr>
            <w:tcW w:w="2625" w:type="dxa"/>
            <w:shd w:val="clear" w:color="auto" w:fill="FFFFFF"/>
            <w:tcMar>
              <w:top w:w="168" w:type="dxa"/>
              <w:left w:w="72" w:type="dxa"/>
              <w:bottom w:w="168" w:type="dxa"/>
              <w:right w:w="72" w:type="dxa"/>
            </w:tcMar>
            <w:vAlign w:val="center"/>
            <w:hideMark/>
          </w:tcPr>
          <w:p w14:paraId="5B9EB305"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ИТ-3</w:t>
            </w:r>
          </w:p>
        </w:tc>
      </w:tr>
      <w:tr w:rsidR="004E10C1" w:rsidRPr="0044524F" w14:paraId="052EEE3E" w14:textId="77777777" w:rsidTr="003417C8">
        <w:tc>
          <w:tcPr>
            <w:tcW w:w="3035" w:type="dxa"/>
            <w:gridSpan w:val="2"/>
            <w:shd w:val="clear" w:color="auto" w:fill="FFFFFF"/>
            <w:tcMar>
              <w:top w:w="168" w:type="dxa"/>
              <w:left w:w="72" w:type="dxa"/>
              <w:bottom w:w="168" w:type="dxa"/>
              <w:right w:w="72" w:type="dxa"/>
            </w:tcMar>
            <w:vAlign w:val="center"/>
            <w:hideMark/>
          </w:tcPr>
          <w:p w14:paraId="1F4E0800"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Боевая масса, т</w:t>
            </w:r>
          </w:p>
        </w:tc>
        <w:tc>
          <w:tcPr>
            <w:tcW w:w="2624" w:type="dxa"/>
            <w:shd w:val="clear" w:color="auto" w:fill="FFFFFF"/>
            <w:vAlign w:val="center"/>
            <w:hideMark/>
          </w:tcPr>
          <w:p w14:paraId="0F95B09C"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7CA50485"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26000 - 28000</w:t>
            </w:r>
          </w:p>
        </w:tc>
        <w:tc>
          <w:tcPr>
            <w:tcW w:w="2625" w:type="dxa"/>
            <w:shd w:val="clear" w:color="auto" w:fill="FFFFFF"/>
            <w:vAlign w:val="center"/>
            <w:hideMark/>
          </w:tcPr>
          <w:p w14:paraId="61AB56D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17500</w:t>
            </w:r>
          </w:p>
        </w:tc>
      </w:tr>
      <w:tr w:rsidR="004E10C1" w:rsidRPr="0044524F" w14:paraId="56BF2BCE" w14:textId="77777777" w:rsidTr="003417C8">
        <w:tc>
          <w:tcPr>
            <w:tcW w:w="3035" w:type="dxa"/>
            <w:gridSpan w:val="2"/>
            <w:shd w:val="clear" w:color="auto" w:fill="FFFFFF"/>
            <w:tcMar>
              <w:top w:w="168" w:type="dxa"/>
              <w:left w:w="72" w:type="dxa"/>
              <w:bottom w:w="168" w:type="dxa"/>
              <w:right w:w="72" w:type="dxa"/>
            </w:tcMar>
            <w:vAlign w:val="center"/>
            <w:hideMark/>
          </w:tcPr>
          <w:p w14:paraId="74767139"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чел</w:t>
            </w:r>
          </w:p>
        </w:tc>
        <w:tc>
          <w:tcPr>
            <w:tcW w:w="2624" w:type="dxa"/>
            <w:shd w:val="clear" w:color="auto" w:fill="FFFFFF"/>
            <w:vAlign w:val="center"/>
            <w:hideMark/>
          </w:tcPr>
          <w:p w14:paraId="7EE29A7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2624" w:type="dxa"/>
            <w:shd w:val="clear" w:color="auto" w:fill="FFFFFF"/>
            <w:vAlign w:val="center"/>
            <w:hideMark/>
          </w:tcPr>
          <w:p w14:paraId="564C52F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2625" w:type="dxa"/>
            <w:shd w:val="clear" w:color="auto" w:fill="FFFFFF"/>
            <w:vAlign w:val="center"/>
            <w:hideMark/>
          </w:tcPr>
          <w:p w14:paraId="4918C80B"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r>
      <w:tr w:rsidR="004E10C1" w:rsidRPr="0044524F" w14:paraId="4D91BE1A" w14:textId="77777777" w:rsidTr="003417C8">
        <w:tc>
          <w:tcPr>
            <w:tcW w:w="10908" w:type="dxa"/>
            <w:gridSpan w:val="5"/>
            <w:shd w:val="clear" w:color="auto" w:fill="FFFFFF"/>
            <w:tcMar>
              <w:top w:w="168" w:type="dxa"/>
              <w:left w:w="72" w:type="dxa"/>
              <w:bottom w:w="168" w:type="dxa"/>
              <w:right w:w="72" w:type="dxa"/>
            </w:tcMar>
            <w:vAlign w:val="center"/>
            <w:hideMark/>
          </w:tcPr>
          <w:p w14:paraId="7F00678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Габаритные размеры, мм</w:t>
            </w:r>
          </w:p>
        </w:tc>
      </w:tr>
      <w:tr w:rsidR="004E10C1" w:rsidRPr="0044524F" w14:paraId="19F6CB68" w14:textId="77777777" w:rsidTr="003417C8">
        <w:tc>
          <w:tcPr>
            <w:tcW w:w="3035" w:type="dxa"/>
            <w:gridSpan w:val="2"/>
            <w:shd w:val="clear" w:color="auto" w:fill="FFFFFF"/>
            <w:tcMar>
              <w:top w:w="168" w:type="dxa"/>
              <w:left w:w="72" w:type="dxa"/>
              <w:bottom w:w="168" w:type="dxa"/>
              <w:right w:w="72" w:type="dxa"/>
            </w:tcMar>
            <w:vAlign w:val="center"/>
            <w:hideMark/>
          </w:tcPr>
          <w:p w14:paraId="6B36CDAD"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w:t>
            </w:r>
          </w:p>
        </w:tc>
        <w:tc>
          <w:tcPr>
            <w:tcW w:w="2624" w:type="dxa"/>
            <w:shd w:val="clear" w:color="auto" w:fill="FFFFFF"/>
            <w:vAlign w:val="center"/>
            <w:hideMark/>
          </w:tcPr>
          <w:p w14:paraId="307D44B5"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50C1AC18"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30F3F47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≈6500</w:t>
            </w:r>
          </w:p>
        </w:tc>
      </w:tr>
      <w:tr w:rsidR="004E10C1" w:rsidRPr="0044524F" w14:paraId="052BD06B" w14:textId="77777777" w:rsidTr="003417C8">
        <w:tc>
          <w:tcPr>
            <w:tcW w:w="3035" w:type="dxa"/>
            <w:gridSpan w:val="2"/>
            <w:shd w:val="clear" w:color="auto" w:fill="FFFFFF"/>
            <w:tcMar>
              <w:top w:w="168" w:type="dxa"/>
              <w:left w:w="72" w:type="dxa"/>
              <w:bottom w:w="168" w:type="dxa"/>
              <w:right w:w="72" w:type="dxa"/>
            </w:tcMar>
            <w:vAlign w:val="center"/>
            <w:hideMark/>
          </w:tcPr>
          <w:p w14:paraId="2BE61B8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w:t>
            </w:r>
          </w:p>
        </w:tc>
        <w:tc>
          <w:tcPr>
            <w:tcW w:w="2624" w:type="dxa"/>
            <w:shd w:val="clear" w:color="auto" w:fill="FFFFFF"/>
            <w:vAlign w:val="center"/>
            <w:hideMark/>
          </w:tcPr>
          <w:p w14:paraId="35BA5C6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49781098"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1E21790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≈2400-2600**</w:t>
            </w:r>
          </w:p>
        </w:tc>
      </w:tr>
      <w:tr w:rsidR="004E10C1" w:rsidRPr="0044524F" w14:paraId="4CE2A703" w14:textId="77777777" w:rsidTr="003417C8">
        <w:tc>
          <w:tcPr>
            <w:tcW w:w="3035" w:type="dxa"/>
            <w:gridSpan w:val="2"/>
            <w:shd w:val="clear" w:color="auto" w:fill="FFFFFF"/>
            <w:tcMar>
              <w:top w:w="168" w:type="dxa"/>
              <w:left w:w="72" w:type="dxa"/>
              <w:bottom w:w="168" w:type="dxa"/>
              <w:right w:w="72" w:type="dxa"/>
            </w:tcMar>
            <w:vAlign w:val="center"/>
            <w:hideMark/>
          </w:tcPr>
          <w:p w14:paraId="7CE73D0F"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w:t>
            </w:r>
          </w:p>
        </w:tc>
        <w:tc>
          <w:tcPr>
            <w:tcW w:w="2624" w:type="dxa"/>
            <w:shd w:val="clear" w:color="auto" w:fill="FFFFFF"/>
            <w:vAlign w:val="center"/>
            <w:hideMark/>
          </w:tcPr>
          <w:p w14:paraId="4E1E5E63"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7E17D23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72E817B6"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≈2520</w:t>
            </w:r>
          </w:p>
        </w:tc>
      </w:tr>
      <w:tr w:rsidR="004E10C1" w:rsidRPr="0044524F" w14:paraId="765C3A2D" w14:textId="77777777" w:rsidTr="003417C8">
        <w:tc>
          <w:tcPr>
            <w:tcW w:w="3035" w:type="dxa"/>
            <w:gridSpan w:val="2"/>
            <w:shd w:val="clear" w:color="auto" w:fill="FFFFFF"/>
            <w:tcMar>
              <w:top w:w="168" w:type="dxa"/>
              <w:left w:w="72" w:type="dxa"/>
              <w:bottom w:w="168" w:type="dxa"/>
              <w:right w:w="72" w:type="dxa"/>
            </w:tcMar>
            <w:vAlign w:val="center"/>
            <w:hideMark/>
          </w:tcPr>
          <w:p w14:paraId="2E2E0EB5"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Клиренс</w:t>
            </w:r>
          </w:p>
        </w:tc>
        <w:tc>
          <w:tcPr>
            <w:tcW w:w="2624" w:type="dxa"/>
            <w:shd w:val="clear" w:color="auto" w:fill="FFFFFF"/>
            <w:vAlign w:val="center"/>
            <w:hideMark/>
          </w:tcPr>
          <w:p w14:paraId="37F70FD2"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1C26AB8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128E40E5"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≈480</w:t>
            </w:r>
          </w:p>
        </w:tc>
      </w:tr>
      <w:tr w:rsidR="004E10C1" w:rsidRPr="0044524F" w14:paraId="391B24D1" w14:textId="77777777" w:rsidTr="003417C8">
        <w:tc>
          <w:tcPr>
            <w:tcW w:w="3035" w:type="dxa"/>
            <w:gridSpan w:val="2"/>
            <w:shd w:val="clear" w:color="auto" w:fill="FFFFFF"/>
            <w:tcMar>
              <w:top w:w="168" w:type="dxa"/>
              <w:left w:w="72" w:type="dxa"/>
              <w:bottom w:w="168" w:type="dxa"/>
              <w:right w:w="72" w:type="dxa"/>
            </w:tcMar>
            <w:vAlign w:val="center"/>
            <w:hideMark/>
          </w:tcPr>
          <w:p w14:paraId="4B30B7E6"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2624" w:type="dxa"/>
            <w:shd w:val="clear" w:color="auto" w:fill="FFFFFF"/>
            <w:vAlign w:val="center"/>
            <w:hideMark/>
          </w:tcPr>
          <w:p w14:paraId="270BCD98"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2624" w:type="dxa"/>
            <w:shd w:val="clear" w:color="auto" w:fill="FFFFFF"/>
            <w:vAlign w:val="center"/>
            <w:hideMark/>
          </w:tcPr>
          <w:p w14:paraId="0ADB0E4C"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2625" w:type="dxa"/>
            <w:shd w:val="clear" w:color="auto" w:fill="FFFFFF"/>
            <w:vAlign w:val="center"/>
            <w:hideMark/>
          </w:tcPr>
          <w:p w14:paraId="10C0376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40D6E4B6" w14:textId="77777777" w:rsidTr="003417C8">
        <w:tc>
          <w:tcPr>
            <w:tcW w:w="3035" w:type="dxa"/>
            <w:gridSpan w:val="2"/>
            <w:shd w:val="clear" w:color="auto" w:fill="FFFFFF"/>
            <w:tcMar>
              <w:top w:w="168" w:type="dxa"/>
              <w:left w:w="72" w:type="dxa"/>
              <w:bottom w:w="168" w:type="dxa"/>
              <w:right w:w="72" w:type="dxa"/>
            </w:tcMar>
            <w:vAlign w:val="center"/>
            <w:hideMark/>
          </w:tcPr>
          <w:p w14:paraId="6160460F"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 мм</w:t>
            </w:r>
          </w:p>
        </w:tc>
        <w:tc>
          <w:tcPr>
            <w:tcW w:w="2624" w:type="dxa"/>
            <w:shd w:val="clear" w:color="auto" w:fill="FFFFFF"/>
            <w:vAlign w:val="center"/>
            <w:hideMark/>
          </w:tcPr>
          <w:p w14:paraId="456C8903"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 76,2 Гарфорд</w:t>
            </w:r>
          </w:p>
        </w:tc>
        <w:tc>
          <w:tcPr>
            <w:tcW w:w="2624" w:type="dxa"/>
            <w:shd w:val="clear" w:color="auto" w:fill="FFFFFF"/>
            <w:vAlign w:val="center"/>
            <w:hideMark/>
          </w:tcPr>
          <w:p w14:paraId="6FD1109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 76,2 Гарфорд</w:t>
            </w:r>
          </w:p>
        </w:tc>
        <w:tc>
          <w:tcPr>
            <w:tcW w:w="2625" w:type="dxa"/>
            <w:shd w:val="clear" w:color="auto" w:fill="FFFFFF"/>
            <w:vAlign w:val="center"/>
            <w:hideMark/>
          </w:tcPr>
          <w:p w14:paraId="4275EB76"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 76,2 обр. 1927г.</w:t>
            </w:r>
          </w:p>
        </w:tc>
      </w:tr>
      <w:tr w:rsidR="004E10C1" w:rsidRPr="0044524F" w14:paraId="5884EF63" w14:textId="77777777" w:rsidTr="003417C8">
        <w:tc>
          <w:tcPr>
            <w:tcW w:w="3035" w:type="dxa"/>
            <w:gridSpan w:val="2"/>
            <w:shd w:val="clear" w:color="auto" w:fill="FFFFFF"/>
            <w:tcMar>
              <w:top w:w="168" w:type="dxa"/>
              <w:left w:w="72" w:type="dxa"/>
              <w:bottom w:w="168" w:type="dxa"/>
              <w:right w:w="72" w:type="dxa"/>
            </w:tcMar>
            <w:vAlign w:val="center"/>
            <w:hideMark/>
          </w:tcPr>
          <w:p w14:paraId="0F10E19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мм</w:t>
            </w:r>
          </w:p>
        </w:tc>
        <w:tc>
          <w:tcPr>
            <w:tcW w:w="2624" w:type="dxa"/>
            <w:shd w:val="clear" w:color="auto" w:fill="FFFFFF"/>
            <w:vAlign w:val="center"/>
            <w:hideMark/>
          </w:tcPr>
          <w:p w14:paraId="15AB8F5D"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 7,62 ДТ</w:t>
            </w:r>
          </w:p>
        </w:tc>
        <w:tc>
          <w:tcPr>
            <w:tcW w:w="2624" w:type="dxa"/>
            <w:shd w:val="clear" w:color="auto" w:fill="FFFFFF"/>
            <w:vAlign w:val="center"/>
            <w:hideMark/>
          </w:tcPr>
          <w:p w14:paraId="71A7A206"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 7,62 ДТ</w:t>
            </w:r>
          </w:p>
        </w:tc>
        <w:tc>
          <w:tcPr>
            <w:tcW w:w="2625" w:type="dxa"/>
            <w:shd w:val="clear" w:color="auto" w:fill="FFFFFF"/>
            <w:vAlign w:val="center"/>
            <w:hideMark/>
          </w:tcPr>
          <w:p w14:paraId="46FFA5B5"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 7,62 ДК, 3 × 7,62 ШКАС</w:t>
            </w:r>
          </w:p>
        </w:tc>
      </w:tr>
      <w:tr w:rsidR="004E10C1" w:rsidRPr="0044524F" w14:paraId="08656F39" w14:textId="77777777" w:rsidTr="003417C8">
        <w:tc>
          <w:tcPr>
            <w:tcW w:w="10908" w:type="dxa"/>
            <w:gridSpan w:val="5"/>
            <w:shd w:val="clear" w:color="auto" w:fill="FFFFFF"/>
            <w:tcMar>
              <w:top w:w="168" w:type="dxa"/>
              <w:left w:w="72" w:type="dxa"/>
              <w:bottom w:w="168" w:type="dxa"/>
              <w:right w:w="72" w:type="dxa"/>
            </w:tcMar>
            <w:vAlign w:val="center"/>
            <w:hideMark/>
          </w:tcPr>
          <w:p w14:paraId="7EE0929C"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Боекомплект</w:t>
            </w:r>
          </w:p>
        </w:tc>
      </w:tr>
      <w:tr w:rsidR="004E10C1" w:rsidRPr="0044524F" w14:paraId="0FC8667A" w14:textId="77777777" w:rsidTr="003417C8">
        <w:tc>
          <w:tcPr>
            <w:tcW w:w="3035" w:type="dxa"/>
            <w:gridSpan w:val="2"/>
            <w:shd w:val="clear" w:color="auto" w:fill="FFFFFF"/>
            <w:tcMar>
              <w:top w:w="168" w:type="dxa"/>
              <w:left w:w="72" w:type="dxa"/>
              <w:bottom w:w="168" w:type="dxa"/>
              <w:right w:w="72" w:type="dxa"/>
            </w:tcMar>
            <w:vAlign w:val="center"/>
            <w:hideMark/>
          </w:tcPr>
          <w:p w14:paraId="36689D9F"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 выстрелы</w:t>
            </w:r>
          </w:p>
        </w:tc>
        <w:tc>
          <w:tcPr>
            <w:tcW w:w="2624" w:type="dxa"/>
            <w:shd w:val="clear" w:color="auto" w:fill="FFFFFF"/>
            <w:vAlign w:val="center"/>
            <w:hideMark/>
          </w:tcPr>
          <w:p w14:paraId="6673B447"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50 - 60</w:t>
            </w:r>
          </w:p>
        </w:tc>
        <w:tc>
          <w:tcPr>
            <w:tcW w:w="2624" w:type="dxa"/>
            <w:shd w:val="clear" w:color="auto" w:fill="FFFFFF"/>
            <w:vAlign w:val="center"/>
            <w:hideMark/>
          </w:tcPr>
          <w:p w14:paraId="7FD7E79F"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50 - 60</w:t>
            </w:r>
          </w:p>
        </w:tc>
        <w:tc>
          <w:tcPr>
            <w:tcW w:w="2625" w:type="dxa"/>
            <w:shd w:val="clear" w:color="auto" w:fill="FFFFFF"/>
            <w:vAlign w:val="center"/>
            <w:hideMark/>
          </w:tcPr>
          <w:p w14:paraId="18DDCB2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3DF93D5B" w14:textId="77777777" w:rsidTr="003417C8">
        <w:tc>
          <w:tcPr>
            <w:tcW w:w="3035" w:type="dxa"/>
            <w:gridSpan w:val="2"/>
            <w:shd w:val="clear" w:color="auto" w:fill="FFFFFF"/>
            <w:tcMar>
              <w:top w:w="168" w:type="dxa"/>
              <w:left w:w="72" w:type="dxa"/>
              <w:bottom w:w="168" w:type="dxa"/>
              <w:right w:w="72" w:type="dxa"/>
            </w:tcMar>
            <w:vAlign w:val="center"/>
            <w:hideMark/>
          </w:tcPr>
          <w:p w14:paraId="161003BB"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патроны</w:t>
            </w:r>
          </w:p>
        </w:tc>
        <w:tc>
          <w:tcPr>
            <w:tcW w:w="2624" w:type="dxa"/>
            <w:shd w:val="clear" w:color="auto" w:fill="FFFFFF"/>
            <w:vAlign w:val="center"/>
            <w:hideMark/>
          </w:tcPr>
          <w:p w14:paraId="7F6BD34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2624" w:type="dxa"/>
            <w:shd w:val="clear" w:color="auto" w:fill="FFFFFF"/>
            <w:vAlign w:val="center"/>
            <w:hideMark/>
          </w:tcPr>
          <w:p w14:paraId="669458E6"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2625" w:type="dxa"/>
            <w:shd w:val="clear" w:color="auto" w:fill="FFFFFF"/>
            <w:vAlign w:val="center"/>
            <w:hideMark/>
          </w:tcPr>
          <w:p w14:paraId="64236C29"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 к ДК, 7000 к ШКАС</w:t>
            </w:r>
          </w:p>
        </w:tc>
      </w:tr>
      <w:tr w:rsidR="004E10C1" w:rsidRPr="0044524F" w14:paraId="51FC8AED" w14:textId="77777777" w:rsidTr="003417C8">
        <w:tc>
          <w:tcPr>
            <w:tcW w:w="3035" w:type="dxa"/>
            <w:gridSpan w:val="2"/>
            <w:shd w:val="clear" w:color="auto" w:fill="FFFFFF"/>
            <w:tcMar>
              <w:top w:w="168" w:type="dxa"/>
              <w:left w:w="72" w:type="dxa"/>
              <w:bottom w:w="168" w:type="dxa"/>
              <w:right w:w="72" w:type="dxa"/>
            </w:tcMar>
            <w:vAlign w:val="center"/>
            <w:hideMark/>
          </w:tcPr>
          <w:p w14:paraId="1DB3AB72"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Приборы прицеливания</w:t>
            </w:r>
          </w:p>
        </w:tc>
        <w:tc>
          <w:tcPr>
            <w:tcW w:w="2624" w:type="dxa"/>
            <w:shd w:val="clear" w:color="auto" w:fill="FFFFFF"/>
            <w:vAlign w:val="center"/>
            <w:hideMark/>
          </w:tcPr>
          <w:p w14:paraId="10C4F0A9"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Прицел ПТ-1, ТОП, телескопическая панорама ПТК</w:t>
            </w:r>
          </w:p>
        </w:tc>
        <w:tc>
          <w:tcPr>
            <w:tcW w:w="2624" w:type="dxa"/>
            <w:shd w:val="clear" w:color="auto" w:fill="FFFFFF"/>
            <w:vAlign w:val="center"/>
            <w:hideMark/>
          </w:tcPr>
          <w:p w14:paraId="6E51385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Прицел ПТ-1, ТОП, телескопическая панорама ПТК</w:t>
            </w:r>
          </w:p>
        </w:tc>
        <w:tc>
          <w:tcPr>
            <w:tcW w:w="2625" w:type="dxa"/>
            <w:shd w:val="clear" w:color="auto" w:fill="FFFFFF"/>
            <w:vAlign w:val="center"/>
            <w:hideMark/>
          </w:tcPr>
          <w:p w14:paraId="3CEC5819"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Прицел ПТ-1, ТОП, телескопическая панорама ПТК</w:t>
            </w:r>
          </w:p>
        </w:tc>
      </w:tr>
      <w:tr w:rsidR="004E10C1" w:rsidRPr="0044524F" w14:paraId="72337AEA" w14:textId="77777777" w:rsidTr="003417C8">
        <w:tc>
          <w:tcPr>
            <w:tcW w:w="10908" w:type="dxa"/>
            <w:gridSpan w:val="5"/>
            <w:shd w:val="clear" w:color="auto" w:fill="FFFFFF"/>
            <w:tcMar>
              <w:top w:w="168" w:type="dxa"/>
              <w:left w:w="72" w:type="dxa"/>
              <w:bottom w:w="168" w:type="dxa"/>
              <w:right w:w="72" w:type="dxa"/>
            </w:tcMar>
            <w:vAlign w:val="center"/>
            <w:hideMark/>
          </w:tcPr>
          <w:p w14:paraId="606A89C0"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Бронирование</w:t>
            </w:r>
          </w:p>
        </w:tc>
      </w:tr>
      <w:tr w:rsidR="004E10C1" w:rsidRPr="0044524F" w14:paraId="517ADAEB" w14:textId="77777777" w:rsidTr="003417C8">
        <w:tc>
          <w:tcPr>
            <w:tcW w:w="3035" w:type="dxa"/>
            <w:gridSpan w:val="2"/>
            <w:shd w:val="clear" w:color="auto" w:fill="FFFFFF"/>
            <w:tcMar>
              <w:top w:w="168" w:type="dxa"/>
              <w:left w:w="72" w:type="dxa"/>
              <w:bottom w:w="168" w:type="dxa"/>
              <w:right w:w="72" w:type="dxa"/>
            </w:tcMar>
            <w:vAlign w:val="center"/>
            <w:hideMark/>
          </w:tcPr>
          <w:p w14:paraId="3BFF5FFD"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Лоб корпуса</w:t>
            </w:r>
          </w:p>
        </w:tc>
        <w:tc>
          <w:tcPr>
            <w:tcW w:w="2624" w:type="dxa"/>
            <w:shd w:val="clear" w:color="auto" w:fill="FFFFFF"/>
            <w:vAlign w:val="center"/>
            <w:hideMark/>
          </w:tcPr>
          <w:p w14:paraId="4F1245D9"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2624" w:type="dxa"/>
            <w:shd w:val="clear" w:color="auto" w:fill="FFFFFF"/>
            <w:vAlign w:val="center"/>
            <w:hideMark/>
          </w:tcPr>
          <w:p w14:paraId="0B0E86F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2625" w:type="dxa"/>
            <w:shd w:val="clear" w:color="auto" w:fill="FFFFFF"/>
            <w:vAlign w:val="center"/>
            <w:hideMark/>
          </w:tcPr>
          <w:p w14:paraId="475CE2F0"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r>
      <w:tr w:rsidR="004E10C1" w:rsidRPr="0044524F" w14:paraId="25303141" w14:textId="77777777" w:rsidTr="003417C8">
        <w:tc>
          <w:tcPr>
            <w:tcW w:w="3035" w:type="dxa"/>
            <w:gridSpan w:val="2"/>
            <w:shd w:val="clear" w:color="auto" w:fill="FFFFFF"/>
            <w:tcMar>
              <w:top w:w="168" w:type="dxa"/>
              <w:left w:w="72" w:type="dxa"/>
              <w:bottom w:w="168" w:type="dxa"/>
              <w:right w:w="72" w:type="dxa"/>
            </w:tcMar>
            <w:vAlign w:val="center"/>
            <w:hideMark/>
          </w:tcPr>
          <w:p w14:paraId="712D390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Борт корпуса</w:t>
            </w:r>
          </w:p>
        </w:tc>
        <w:tc>
          <w:tcPr>
            <w:tcW w:w="2624" w:type="dxa"/>
            <w:shd w:val="clear" w:color="auto" w:fill="FFFFFF"/>
            <w:vAlign w:val="center"/>
            <w:hideMark/>
          </w:tcPr>
          <w:p w14:paraId="6EF151E0"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2624" w:type="dxa"/>
            <w:shd w:val="clear" w:color="auto" w:fill="FFFFFF"/>
            <w:vAlign w:val="center"/>
            <w:hideMark/>
          </w:tcPr>
          <w:p w14:paraId="3ADEEF4B"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2625" w:type="dxa"/>
            <w:shd w:val="clear" w:color="auto" w:fill="FFFFFF"/>
            <w:vAlign w:val="center"/>
            <w:hideMark/>
          </w:tcPr>
          <w:p w14:paraId="158EDFE6"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2761AF64" w14:textId="77777777" w:rsidTr="003417C8">
        <w:tc>
          <w:tcPr>
            <w:tcW w:w="3035" w:type="dxa"/>
            <w:gridSpan w:val="2"/>
            <w:shd w:val="clear" w:color="auto" w:fill="FFFFFF"/>
            <w:tcMar>
              <w:top w:w="168" w:type="dxa"/>
              <w:left w:w="72" w:type="dxa"/>
              <w:bottom w:w="168" w:type="dxa"/>
              <w:right w:w="72" w:type="dxa"/>
            </w:tcMar>
            <w:vAlign w:val="center"/>
            <w:hideMark/>
          </w:tcPr>
          <w:p w14:paraId="44DE550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Корма корпуса</w:t>
            </w:r>
          </w:p>
        </w:tc>
        <w:tc>
          <w:tcPr>
            <w:tcW w:w="2624" w:type="dxa"/>
            <w:shd w:val="clear" w:color="auto" w:fill="FFFFFF"/>
            <w:vAlign w:val="center"/>
            <w:hideMark/>
          </w:tcPr>
          <w:p w14:paraId="20706275"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2624" w:type="dxa"/>
            <w:shd w:val="clear" w:color="auto" w:fill="FFFFFF"/>
            <w:vAlign w:val="center"/>
            <w:hideMark/>
          </w:tcPr>
          <w:p w14:paraId="127DDA7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2625" w:type="dxa"/>
            <w:shd w:val="clear" w:color="auto" w:fill="FFFFFF"/>
            <w:vAlign w:val="center"/>
            <w:hideMark/>
          </w:tcPr>
          <w:p w14:paraId="0133481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6CDD0373" w14:textId="77777777" w:rsidTr="003417C8">
        <w:tc>
          <w:tcPr>
            <w:tcW w:w="3035" w:type="dxa"/>
            <w:gridSpan w:val="2"/>
            <w:shd w:val="clear" w:color="auto" w:fill="FFFFFF"/>
            <w:tcMar>
              <w:top w:w="168" w:type="dxa"/>
              <w:left w:w="72" w:type="dxa"/>
              <w:bottom w:w="168" w:type="dxa"/>
              <w:right w:w="72" w:type="dxa"/>
            </w:tcMar>
            <w:vAlign w:val="center"/>
            <w:hideMark/>
          </w:tcPr>
          <w:p w14:paraId="69924DAB"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Башня</w:t>
            </w:r>
          </w:p>
        </w:tc>
        <w:tc>
          <w:tcPr>
            <w:tcW w:w="2624" w:type="dxa"/>
            <w:shd w:val="clear" w:color="auto" w:fill="FFFFFF"/>
            <w:vAlign w:val="center"/>
            <w:hideMark/>
          </w:tcPr>
          <w:p w14:paraId="2CBA8342"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25-30</w:t>
            </w:r>
          </w:p>
        </w:tc>
        <w:tc>
          <w:tcPr>
            <w:tcW w:w="2624" w:type="dxa"/>
            <w:shd w:val="clear" w:color="auto" w:fill="FFFFFF"/>
            <w:vAlign w:val="center"/>
            <w:hideMark/>
          </w:tcPr>
          <w:p w14:paraId="0A4A4CF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35-50**</w:t>
            </w:r>
          </w:p>
        </w:tc>
        <w:tc>
          <w:tcPr>
            <w:tcW w:w="2625" w:type="dxa"/>
            <w:shd w:val="clear" w:color="auto" w:fill="FFFFFF"/>
            <w:vAlign w:val="center"/>
            <w:hideMark/>
          </w:tcPr>
          <w:p w14:paraId="5F76D52D"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15-20</w:t>
            </w:r>
          </w:p>
        </w:tc>
      </w:tr>
      <w:tr w:rsidR="004E10C1" w:rsidRPr="0044524F" w14:paraId="2BDA6EDF" w14:textId="77777777" w:rsidTr="003417C8">
        <w:tc>
          <w:tcPr>
            <w:tcW w:w="3035" w:type="dxa"/>
            <w:gridSpan w:val="2"/>
            <w:shd w:val="clear" w:color="auto" w:fill="FFFFFF"/>
            <w:tcMar>
              <w:top w:w="168" w:type="dxa"/>
              <w:left w:w="72" w:type="dxa"/>
              <w:bottom w:w="168" w:type="dxa"/>
              <w:right w:w="72" w:type="dxa"/>
            </w:tcMar>
            <w:vAlign w:val="center"/>
            <w:hideMark/>
          </w:tcPr>
          <w:p w14:paraId="75DA466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Крыша</w:t>
            </w:r>
          </w:p>
        </w:tc>
        <w:tc>
          <w:tcPr>
            <w:tcW w:w="2624" w:type="dxa"/>
            <w:shd w:val="clear" w:color="auto" w:fill="FFFFFF"/>
            <w:vAlign w:val="center"/>
            <w:hideMark/>
          </w:tcPr>
          <w:p w14:paraId="51CB4EA8"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2624" w:type="dxa"/>
            <w:shd w:val="clear" w:color="auto" w:fill="FFFFFF"/>
            <w:vAlign w:val="center"/>
            <w:hideMark/>
          </w:tcPr>
          <w:p w14:paraId="7F956542"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2625" w:type="dxa"/>
            <w:shd w:val="clear" w:color="auto" w:fill="FFFFFF"/>
            <w:vAlign w:val="center"/>
            <w:hideMark/>
          </w:tcPr>
          <w:p w14:paraId="215A9A3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654833CA" w14:textId="77777777" w:rsidTr="003417C8">
        <w:tc>
          <w:tcPr>
            <w:tcW w:w="3035" w:type="dxa"/>
            <w:gridSpan w:val="2"/>
            <w:shd w:val="clear" w:color="auto" w:fill="FFFFFF"/>
            <w:tcMar>
              <w:top w:w="168" w:type="dxa"/>
              <w:left w:w="72" w:type="dxa"/>
              <w:bottom w:w="168" w:type="dxa"/>
              <w:right w:w="72" w:type="dxa"/>
            </w:tcMar>
            <w:vAlign w:val="center"/>
            <w:hideMark/>
          </w:tcPr>
          <w:p w14:paraId="75DC1A67"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Днище</w:t>
            </w:r>
          </w:p>
        </w:tc>
        <w:tc>
          <w:tcPr>
            <w:tcW w:w="2624" w:type="dxa"/>
            <w:shd w:val="clear" w:color="auto" w:fill="FFFFFF"/>
            <w:vAlign w:val="center"/>
            <w:hideMark/>
          </w:tcPr>
          <w:p w14:paraId="17EDE6D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2624" w:type="dxa"/>
            <w:shd w:val="clear" w:color="auto" w:fill="FFFFFF"/>
            <w:vAlign w:val="center"/>
            <w:hideMark/>
          </w:tcPr>
          <w:p w14:paraId="1CBE9975"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2625" w:type="dxa"/>
            <w:shd w:val="clear" w:color="auto" w:fill="FFFFFF"/>
            <w:vAlign w:val="center"/>
            <w:hideMark/>
          </w:tcPr>
          <w:p w14:paraId="5711E9E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r>
      <w:tr w:rsidR="004E10C1" w:rsidRPr="0044524F" w14:paraId="41EFBC06" w14:textId="77777777" w:rsidTr="003417C8">
        <w:tc>
          <w:tcPr>
            <w:tcW w:w="10908" w:type="dxa"/>
            <w:gridSpan w:val="5"/>
            <w:shd w:val="clear" w:color="auto" w:fill="FFFFFF"/>
            <w:tcMar>
              <w:top w:w="168" w:type="dxa"/>
              <w:left w:w="72" w:type="dxa"/>
              <w:bottom w:w="168" w:type="dxa"/>
              <w:right w:w="72" w:type="dxa"/>
            </w:tcMar>
            <w:vAlign w:val="center"/>
            <w:hideMark/>
          </w:tcPr>
          <w:p w14:paraId="1DF7AE8B"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Силовая установка</w:t>
            </w:r>
          </w:p>
        </w:tc>
      </w:tr>
      <w:tr w:rsidR="004E10C1" w:rsidRPr="0044524F" w14:paraId="75ACF06B" w14:textId="77777777" w:rsidTr="003417C8">
        <w:tc>
          <w:tcPr>
            <w:tcW w:w="3035" w:type="dxa"/>
            <w:gridSpan w:val="2"/>
            <w:shd w:val="clear" w:color="auto" w:fill="FFFFFF"/>
            <w:tcMar>
              <w:top w:w="168" w:type="dxa"/>
              <w:left w:w="72" w:type="dxa"/>
              <w:bottom w:w="168" w:type="dxa"/>
              <w:right w:w="72" w:type="dxa"/>
            </w:tcMar>
            <w:vAlign w:val="center"/>
            <w:hideMark/>
          </w:tcPr>
          <w:p w14:paraId="250D0E7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двигателя</w:t>
            </w:r>
          </w:p>
        </w:tc>
        <w:tc>
          <w:tcPr>
            <w:tcW w:w="2624" w:type="dxa"/>
            <w:shd w:val="clear" w:color="auto" w:fill="FFFFFF"/>
            <w:vAlign w:val="center"/>
            <w:hideMark/>
          </w:tcPr>
          <w:p w14:paraId="00F1C93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четырехтактный двенадцатилитровый V-образный карбюраторный двигатель М-5</w:t>
            </w:r>
          </w:p>
        </w:tc>
        <w:tc>
          <w:tcPr>
            <w:tcW w:w="2624" w:type="dxa"/>
            <w:shd w:val="clear" w:color="auto" w:fill="FFFFFF"/>
            <w:vAlign w:val="center"/>
            <w:hideMark/>
          </w:tcPr>
          <w:p w14:paraId="56C1543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четырехтактный двенадцатилитровый V-образный карбюраторный двигатель М-5</w:t>
            </w:r>
          </w:p>
        </w:tc>
        <w:tc>
          <w:tcPr>
            <w:tcW w:w="2625" w:type="dxa"/>
            <w:shd w:val="clear" w:color="auto" w:fill="FFFFFF"/>
            <w:vAlign w:val="center"/>
            <w:hideMark/>
          </w:tcPr>
          <w:p w14:paraId="51C7B66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четырехтактный двенадцатилитровый V-образный карбюраторный двигатель М-17Б</w:t>
            </w:r>
          </w:p>
        </w:tc>
      </w:tr>
      <w:tr w:rsidR="004E10C1" w:rsidRPr="0044524F" w14:paraId="0E0A837F" w14:textId="77777777" w:rsidTr="003417C8">
        <w:tc>
          <w:tcPr>
            <w:tcW w:w="3035" w:type="dxa"/>
            <w:gridSpan w:val="2"/>
            <w:shd w:val="clear" w:color="auto" w:fill="FFFFFF"/>
            <w:tcMar>
              <w:top w:w="168" w:type="dxa"/>
              <w:left w:w="72" w:type="dxa"/>
              <w:bottom w:w="168" w:type="dxa"/>
              <w:right w:w="72" w:type="dxa"/>
            </w:tcMar>
            <w:vAlign w:val="center"/>
            <w:hideMark/>
          </w:tcPr>
          <w:p w14:paraId="06902DC3"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л.с.</w:t>
            </w:r>
          </w:p>
        </w:tc>
        <w:tc>
          <w:tcPr>
            <w:tcW w:w="2624" w:type="dxa"/>
            <w:shd w:val="clear" w:color="auto" w:fill="FFFFFF"/>
            <w:vAlign w:val="center"/>
            <w:hideMark/>
          </w:tcPr>
          <w:p w14:paraId="6438531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2624" w:type="dxa"/>
            <w:shd w:val="clear" w:color="auto" w:fill="FFFFFF"/>
            <w:vAlign w:val="center"/>
            <w:hideMark/>
          </w:tcPr>
          <w:p w14:paraId="5FD8EE4D"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2625" w:type="dxa"/>
            <w:shd w:val="clear" w:color="auto" w:fill="FFFFFF"/>
            <w:vAlign w:val="center"/>
            <w:hideMark/>
          </w:tcPr>
          <w:p w14:paraId="203AE25B"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r w:rsidR="004E10C1" w:rsidRPr="0044524F" w14:paraId="5AD8DF2A" w14:textId="77777777" w:rsidTr="003417C8">
        <w:tc>
          <w:tcPr>
            <w:tcW w:w="3035" w:type="dxa"/>
            <w:gridSpan w:val="2"/>
            <w:shd w:val="clear" w:color="auto" w:fill="FFFFFF"/>
            <w:tcMar>
              <w:top w:w="168" w:type="dxa"/>
              <w:left w:w="72" w:type="dxa"/>
              <w:bottom w:w="168" w:type="dxa"/>
              <w:right w:w="72" w:type="dxa"/>
            </w:tcMar>
            <w:vAlign w:val="center"/>
            <w:hideMark/>
          </w:tcPr>
          <w:p w14:paraId="446348B9"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Общая мощность, л.с.</w:t>
            </w:r>
          </w:p>
        </w:tc>
        <w:tc>
          <w:tcPr>
            <w:tcW w:w="2624" w:type="dxa"/>
            <w:shd w:val="clear" w:color="auto" w:fill="FFFFFF"/>
            <w:vAlign w:val="center"/>
            <w:hideMark/>
          </w:tcPr>
          <w:p w14:paraId="2FE9B3C8"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2624" w:type="dxa"/>
            <w:shd w:val="clear" w:color="auto" w:fill="FFFFFF"/>
            <w:vAlign w:val="center"/>
            <w:hideMark/>
          </w:tcPr>
          <w:p w14:paraId="33A2B99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2625" w:type="dxa"/>
            <w:shd w:val="clear" w:color="auto" w:fill="FFFFFF"/>
            <w:vAlign w:val="center"/>
            <w:hideMark/>
          </w:tcPr>
          <w:p w14:paraId="04B625E8"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r w:rsidR="004E10C1" w:rsidRPr="0044524F" w14:paraId="05D47496" w14:textId="77777777" w:rsidTr="003417C8">
        <w:tc>
          <w:tcPr>
            <w:tcW w:w="3035" w:type="dxa"/>
            <w:gridSpan w:val="2"/>
            <w:shd w:val="clear" w:color="auto" w:fill="FFFFFF"/>
            <w:tcMar>
              <w:top w:w="168" w:type="dxa"/>
              <w:left w:w="72" w:type="dxa"/>
              <w:bottom w:w="168" w:type="dxa"/>
              <w:right w:w="72" w:type="dxa"/>
            </w:tcMar>
            <w:vAlign w:val="center"/>
            <w:hideMark/>
          </w:tcPr>
          <w:p w14:paraId="4CF63CB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Трансмиссия</w:t>
            </w:r>
          </w:p>
        </w:tc>
        <w:tc>
          <w:tcPr>
            <w:tcW w:w="2624" w:type="dxa"/>
            <w:shd w:val="clear" w:color="auto" w:fill="FFFFFF"/>
            <w:vAlign w:val="center"/>
            <w:hideMark/>
          </w:tcPr>
          <w:p w14:paraId="1D83953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механическая</w:t>
            </w:r>
          </w:p>
        </w:tc>
        <w:tc>
          <w:tcPr>
            <w:tcW w:w="2624" w:type="dxa"/>
            <w:shd w:val="clear" w:color="auto" w:fill="FFFFFF"/>
            <w:vAlign w:val="center"/>
            <w:hideMark/>
          </w:tcPr>
          <w:p w14:paraId="5BFF3D6F"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механическая</w:t>
            </w:r>
          </w:p>
        </w:tc>
        <w:tc>
          <w:tcPr>
            <w:tcW w:w="2625" w:type="dxa"/>
            <w:shd w:val="clear" w:color="auto" w:fill="FFFFFF"/>
            <w:vAlign w:val="center"/>
            <w:hideMark/>
          </w:tcPr>
          <w:p w14:paraId="69E4B3D9"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механическая</w:t>
            </w:r>
          </w:p>
        </w:tc>
      </w:tr>
      <w:tr w:rsidR="004E10C1" w:rsidRPr="0044524F" w14:paraId="5FAA14C7" w14:textId="77777777" w:rsidTr="003417C8">
        <w:trPr>
          <w:trHeight w:val="575"/>
        </w:trPr>
        <w:tc>
          <w:tcPr>
            <w:tcW w:w="1424" w:type="dxa"/>
            <w:vMerge w:val="restart"/>
            <w:shd w:val="clear" w:color="auto" w:fill="FFFFFF"/>
            <w:tcMar>
              <w:top w:w="168" w:type="dxa"/>
              <w:left w:w="72" w:type="dxa"/>
              <w:bottom w:w="168" w:type="dxa"/>
              <w:right w:w="72" w:type="dxa"/>
            </w:tcMar>
            <w:vAlign w:val="center"/>
            <w:hideMark/>
          </w:tcPr>
          <w:p w14:paraId="42894F6C"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Ходовая часть</w:t>
            </w:r>
          </w:p>
        </w:tc>
        <w:tc>
          <w:tcPr>
            <w:tcW w:w="1611" w:type="dxa"/>
            <w:shd w:val="clear" w:color="auto" w:fill="FFFFFF"/>
            <w:vAlign w:val="center"/>
            <w:hideMark/>
          </w:tcPr>
          <w:p w14:paraId="28B8AD2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гусеницах</w:t>
            </w:r>
          </w:p>
        </w:tc>
        <w:tc>
          <w:tcPr>
            <w:tcW w:w="2624" w:type="dxa"/>
            <w:vMerge w:val="restart"/>
            <w:shd w:val="clear" w:color="auto" w:fill="FFFFFF"/>
            <w:vAlign w:val="center"/>
            <w:hideMark/>
          </w:tcPr>
          <w:p w14:paraId="4FD7F04F"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vMerge w:val="restart"/>
            <w:shd w:val="clear" w:color="auto" w:fill="FFFFFF"/>
            <w:vAlign w:val="center"/>
            <w:hideMark/>
          </w:tcPr>
          <w:p w14:paraId="2A2AEE8D"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4C0E679F"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опорных катка, переднее направляющее и заднее ведущее колесо</w:t>
            </w:r>
          </w:p>
        </w:tc>
      </w:tr>
      <w:tr w:rsidR="004E10C1" w:rsidRPr="0044524F" w14:paraId="2095912C" w14:textId="77777777" w:rsidTr="003417C8">
        <w:trPr>
          <w:trHeight w:val="575"/>
        </w:trPr>
        <w:tc>
          <w:tcPr>
            <w:tcW w:w="0" w:type="auto"/>
            <w:vMerge/>
            <w:shd w:val="clear" w:color="auto" w:fill="FFFFFF"/>
            <w:vAlign w:val="center"/>
            <w:hideMark/>
          </w:tcPr>
          <w:p w14:paraId="1AEC0437" w14:textId="77777777" w:rsidR="003417C8" w:rsidRPr="0044524F" w:rsidRDefault="003417C8" w:rsidP="009654CF">
            <w:pPr>
              <w:spacing w:after="0" w:line="240" w:lineRule="auto"/>
              <w:jc w:val="both"/>
              <w:rPr>
                <w:rFonts w:ascii="Times New Roman" w:hAnsi="Times New Roman"/>
                <w:color w:val="000000" w:themeColor="text1"/>
                <w:sz w:val="16"/>
                <w:szCs w:val="16"/>
              </w:rPr>
            </w:pPr>
          </w:p>
        </w:tc>
        <w:tc>
          <w:tcPr>
            <w:tcW w:w="1611" w:type="dxa"/>
            <w:shd w:val="clear" w:color="auto" w:fill="FFFFFF"/>
            <w:vAlign w:val="center"/>
            <w:hideMark/>
          </w:tcPr>
          <w:p w14:paraId="6B6A775D"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колесах</w:t>
            </w:r>
          </w:p>
        </w:tc>
        <w:tc>
          <w:tcPr>
            <w:tcW w:w="0" w:type="auto"/>
            <w:vMerge/>
            <w:shd w:val="clear" w:color="auto" w:fill="FFFFFF"/>
            <w:vAlign w:val="center"/>
            <w:hideMark/>
          </w:tcPr>
          <w:p w14:paraId="6E720C44" w14:textId="77777777" w:rsidR="003417C8" w:rsidRPr="0044524F" w:rsidRDefault="003417C8" w:rsidP="009654CF">
            <w:pPr>
              <w:spacing w:after="0" w:line="240" w:lineRule="auto"/>
              <w:jc w:val="both"/>
              <w:rPr>
                <w:rFonts w:ascii="Times New Roman" w:hAnsi="Times New Roman"/>
                <w:color w:val="000000" w:themeColor="text1"/>
                <w:sz w:val="16"/>
                <w:szCs w:val="16"/>
              </w:rPr>
            </w:pPr>
          </w:p>
        </w:tc>
        <w:tc>
          <w:tcPr>
            <w:tcW w:w="0" w:type="auto"/>
            <w:vMerge/>
            <w:shd w:val="clear" w:color="auto" w:fill="FFFFFF"/>
            <w:vAlign w:val="center"/>
            <w:hideMark/>
          </w:tcPr>
          <w:p w14:paraId="284D72AF" w14:textId="77777777" w:rsidR="003417C8" w:rsidRPr="0044524F" w:rsidRDefault="003417C8" w:rsidP="009654CF">
            <w:pPr>
              <w:spacing w:after="0" w:line="240" w:lineRule="auto"/>
              <w:jc w:val="both"/>
              <w:rPr>
                <w:rFonts w:ascii="Times New Roman" w:hAnsi="Times New Roman"/>
                <w:color w:val="000000" w:themeColor="text1"/>
                <w:sz w:val="16"/>
                <w:szCs w:val="16"/>
              </w:rPr>
            </w:pPr>
          </w:p>
        </w:tc>
        <w:tc>
          <w:tcPr>
            <w:tcW w:w="2625" w:type="dxa"/>
            <w:shd w:val="clear" w:color="auto" w:fill="FFFFFF"/>
            <w:vAlign w:val="center"/>
            <w:hideMark/>
          </w:tcPr>
          <w:p w14:paraId="3E355F4B"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передняя и задняя пары колес управляемые,</w:t>
            </w:r>
          </w:p>
        </w:tc>
      </w:tr>
      <w:tr w:rsidR="004E10C1" w:rsidRPr="0044524F" w14:paraId="34B00BE8" w14:textId="77777777" w:rsidTr="003417C8">
        <w:tc>
          <w:tcPr>
            <w:tcW w:w="1424" w:type="dxa"/>
            <w:vMerge w:val="restart"/>
            <w:shd w:val="clear" w:color="auto" w:fill="FFFFFF"/>
            <w:tcMar>
              <w:top w:w="168" w:type="dxa"/>
              <w:left w:w="72" w:type="dxa"/>
              <w:bottom w:w="168" w:type="dxa"/>
              <w:right w:w="72" w:type="dxa"/>
            </w:tcMar>
            <w:vAlign w:val="center"/>
            <w:hideMark/>
          </w:tcPr>
          <w:p w14:paraId="24EEFF0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Скорость </w:t>
            </w:r>
          </w:p>
        </w:tc>
        <w:tc>
          <w:tcPr>
            <w:tcW w:w="1611" w:type="dxa"/>
            <w:shd w:val="clear" w:color="auto" w:fill="FFFFFF"/>
            <w:vAlign w:val="center"/>
            <w:hideMark/>
          </w:tcPr>
          <w:p w14:paraId="7FBB8D28"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гусеницах</w:t>
            </w:r>
          </w:p>
        </w:tc>
        <w:tc>
          <w:tcPr>
            <w:tcW w:w="2624" w:type="dxa"/>
            <w:shd w:val="clear" w:color="auto" w:fill="FFFFFF"/>
            <w:vAlign w:val="center"/>
            <w:hideMark/>
          </w:tcPr>
          <w:p w14:paraId="592325E6"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3471D7D3"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30-35</w:t>
            </w:r>
          </w:p>
        </w:tc>
        <w:tc>
          <w:tcPr>
            <w:tcW w:w="2625" w:type="dxa"/>
            <w:shd w:val="clear" w:color="auto" w:fill="FFFFFF"/>
            <w:vAlign w:val="center"/>
            <w:hideMark/>
          </w:tcPr>
          <w:p w14:paraId="0E71896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r>
      <w:tr w:rsidR="004E10C1" w:rsidRPr="0044524F" w14:paraId="6D80F81F" w14:textId="77777777" w:rsidTr="003417C8">
        <w:tc>
          <w:tcPr>
            <w:tcW w:w="0" w:type="auto"/>
            <w:vMerge/>
            <w:shd w:val="clear" w:color="auto" w:fill="FFFFFF"/>
            <w:vAlign w:val="center"/>
            <w:hideMark/>
          </w:tcPr>
          <w:p w14:paraId="60C58990" w14:textId="77777777" w:rsidR="003417C8" w:rsidRPr="0044524F" w:rsidRDefault="003417C8" w:rsidP="009654CF">
            <w:pPr>
              <w:spacing w:after="0" w:line="240" w:lineRule="auto"/>
              <w:jc w:val="both"/>
              <w:rPr>
                <w:rFonts w:ascii="Times New Roman" w:hAnsi="Times New Roman"/>
                <w:color w:val="000000" w:themeColor="text1"/>
                <w:sz w:val="16"/>
                <w:szCs w:val="16"/>
              </w:rPr>
            </w:pPr>
          </w:p>
        </w:tc>
        <w:tc>
          <w:tcPr>
            <w:tcW w:w="1611" w:type="dxa"/>
            <w:shd w:val="clear" w:color="auto" w:fill="FFFFFF"/>
            <w:vAlign w:val="center"/>
            <w:hideMark/>
          </w:tcPr>
          <w:p w14:paraId="153B41B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колесах</w:t>
            </w:r>
          </w:p>
        </w:tc>
        <w:tc>
          <w:tcPr>
            <w:tcW w:w="2624" w:type="dxa"/>
            <w:shd w:val="clear" w:color="auto" w:fill="FFFFFF"/>
            <w:vAlign w:val="center"/>
            <w:hideMark/>
          </w:tcPr>
          <w:p w14:paraId="1D53D7C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3488C049"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40-45</w:t>
            </w:r>
          </w:p>
        </w:tc>
        <w:tc>
          <w:tcPr>
            <w:tcW w:w="2625" w:type="dxa"/>
            <w:shd w:val="clear" w:color="auto" w:fill="FFFFFF"/>
            <w:vAlign w:val="center"/>
            <w:hideMark/>
          </w:tcPr>
          <w:p w14:paraId="7D457AB2"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r>
      <w:tr w:rsidR="004E10C1" w:rsidRPr="0044524F" w14:paraId="0794B82D" w14:textId="77777777" w:rsidTr="003417C8">
        <w:tc>
          <w:tcPr>
            <w:tcW w:w="1424" w:type="dxa"/>
            <w:vMerge w:val="restart"/>
            <w:shd w:val="clear" w:color="auto" w:fill="FFFFFF"/>
            <w:tcMar>
              <w:top w:w="168" w:type="dxa"/>
              <w:left w:w="72" w:type="dxa"/>
              <w:bottom w:w="168" w:type="dxa"/>
              <w:right w:w="72" w:type="dxa"/>
            </w:tcMar>
            <w:vAlign w:val="center"/>
            <w:hideMark/>
          </w:tcPr>
          <w:p w14:paraId="07BBA80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хода, км</w:t>
            </w:r>
          </w:p>
        </w:tc>
        <w:tc>
          <w:tcPr>
            <w:tcW w:w="1611" w:type="dxa"/>
            <w:shd w:val="clear" w:color="auto" w:fill="FFFFFF"/>
            <w:vAlign w:val="center"/>
            <w:hideMark/>
          </w:tcPr>
          <w:p w14:paraId="452A34F7"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гусеницах</w:t>
            </w:r>
          </w:p>
        </w:tc>
        <w:tc>
          <w:tcPr>
            <w:tcW w:w="2624" w:type="dxa"/>
            <w:shd w:val="clear" w:color="auto" w:fill="FFFFFF"/>
            <w:vAlign w:val="center"/>
            <w:hideMark/>
          </w:tcPr>
          <w:p w14:paraId="7F3EBD72"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24F6B6D3"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27D09299"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r>
      <w:tr w:rsidR="004E10C1" w:rsidRPr="0044524F" w14:paraId="2A4E47D1" w14:textId="77777777" w:rsidTr="003417C8">
        <w:tc>
          <w:tcPr>
            <w:tcW w:w="0" w:type="auto"/>
            <w:vMerge/>
            <w:shd w:val="clear" w:color="auto" w:fill="FFFFFF"/>
            <w:vAlign w:val="center"/>
            <w:hideMark/>
          </w:tcPr>
          <w:p w14:paraId="6F6A397D" w14:textId="77777777" w:rsidR="003417C8" w:rsidRPr="0044524F" w:rsidRDefault="003417C8" w:rsidP="009654CF">
            <w:pPr>
              <w:spacing w:after="0" w:line="240" w:lineRule="auto"/>
              <w:jc w:val="both"/>
              <w:rPr>
                <w:rFonts w:ascii="Times New Roman" w:hAnsi="Times New Roman"/>
                <w:color w:val="000000" w:themeColor="text1"/>
                <w:sz w:val="16"/>
                <w:szCs w:val="16"/>
              </w:rPr>
            </w:pPr>
          </w:p>
        </w:tc>
        <w:tc>
          <w:tcPr>
            <w:tcW w:w="1611" w:type="dxa"/>
            <w:shd w:val="clear" w:color="auto" w:fill="FFFFFF"/>
            <w:vAlign w:val="center"/>
            <w:hideMark/>
          </w:tcPr>
          <w:p w14:paraId="592C518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колесах</w:t>
            </w:r>
          </w:p>
        </w:tc>
        <w:tc>
          <w:tcPr>
            <w:tcW w:w="2624" w:type="dxa"/>
            <w:shd w:val="clear" w:color="auto" w:fill="FFFFFF"/>
            <w:vAlign w:val="center"/>
            <w:hideMark/>
          </w:tcPr>
          <w:p w14:paraId="14401E6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7ADA388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20B71285"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r>
      <w:tr w:rsidR="004E10C1" w:rsidRPr="0044524F" w14:paraId="01DD815F" w14:textId="77777777" w:rsidTr="003417C8">
        <w:tc>
          <w:tcPr>
            <w:tcW w:w="10908" w:type="dxa"/>
            <w:gridSpan w:val="5"/>
            <w:shd w:val="clear" w:color="auto" w:fill="FFFFFF"/>
            <w:tcMar>
              <w:top w:w="168" w:type="dxa"/>
              <w:left w:w="72" w:type="dxa"/>
              <w:bottom w:w="168" w:type="dxa"/>
              <w:right w:w="72" w:type="dxa"/>
            </w:tcMar>
            <w:vAlign w:val="center"/>
            <w:hideMark/>
          </w:tcPr>
          <w:p w14:paraId="1825EC0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Преодолеваемые препятствия</w:t>
            </w:r>
          </w:p>
        </w:tc>
      </w:tr>
      <w:tr w:rsidR="004E10C1" w:rsidRPr="0044524F" w14:paraId="41B507BC" w14:textId="77777777" w:rsidTr="003417C8">
        <w:tc>
          <w:tcPr>
            <w:tcW w:w="3035" w:type="dxa"/>
            <w:gridSpan w:val="2"/>
            <w:shd w:val="clear" w:color="auto" w:fill="FFFFFF"/>
            <w:tcMar>
              <w:top w:w="168" w:type="dxa"/>
              <w:left w:w="72" w:type="dxa"/>
              <w:bottom w:w="168" w:type="dxa"/>
              <w:right w:w="72" w:type="dxa"/>
            </w:tcMar>
            <w:vAlign w:val="center"/>
            <w:hideMark/>
          </w:tcPr>
          <w:p w14:paraId="29B8DA67"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подъёма, град.</w:t>
            </w:r>
          </w:p>
        </w:tc>
        <w:tc>
          <w:tcPr>
            <w:tcW w:w="2624" w:type="dxa"/>
            <w:shd w:val="clear" w:color="auto" w:fill="FFFFFF"/>
            <w:vAlign w:val="center"/>
            <w:hideMark/>
          </w:tcPr>
          <w:p w14:paraId="339F6070"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044369F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29447123"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r>
      <w:tr w:rsidR="004E10C1" w:rsidRPr="0044524F" w14:paraId="3F2C13B5" w14:textId="77777777" w:rsidTr="003417C8">
        <w:tc>
          <w:tcPr>
            <w:tcW w:w="3035" w:type="dxa"/>
            <w:gridSpan w:val="2"/>
            <w:shd w:val="clear" w:color="auto" w:fill="FFFFFF"/>
            <w:tcMar>
              <w:top w:w="168" w:type="dxa"/>
              <w:left w:w="72" w:type="dxa"/>
              <w:bottom w:w="168" w:type="dxa"/>
              <w:right w:w="72" w:type="dxa"/>
            </w:tcMar>
            <w:vAlign w:val="center"/>
            <w:hideMark/>
          </w:tcPr>
          <w:p w14:paraId="58F67DBA"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стенки, м</w:t>
            </w:r>
          </w:p>
        </w:tc>
        <w:tc>
          <w:tcPr>
            <w:tcW w:w="2624" w:type="dxa"/>
            <w:shd w:val="clear" w:color="auto" w:fill="FFFFFF"/>
            <w:vAlign w:val="center"/>
            <w:hideMark/>
          </w:tcPr>
          <w:p w14:paraId="03423EE3"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1F7336AD"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220544C6"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r>
      <w:tr w:rsidR="004E10C1" w:rsidRPr="0044524F" w14:paraId="71B357FC" w14:textId="77777777" w:rsidTr="003417C8">
        <w:tc>
          <w:tcPr>
            <w:tcW w:w="3035" w:type="dxa"/>
            <w:gridSpan w:val="2"/>
            <w:shd w:val="clear" w:color="auto" w:fill="FFFFFF"/>
            <w:tcMar>
              <w:top w:w="168" w:type="dxa"/>
              <w:left w:w="72" w:type="dxa"/>
              <w:bottom w:w="168" w:type="dxa"/>
              <w:right w:w="72" w:type="dxa"/>
            </w:tcMar>
            <w:vAlign w:val="center"/>
            <w:hideMark/>
          </w:tcPr>
          <w:p w14:paraId="18FCCDF0"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рва, м</w:t>
            </w:r>
          </w:p>
        </w:tc>
        <w:tc>
          <w:tcPr>
            <w:tcW w:w="2624" w:type="dxa"/>
            <w:shd w:val="clear" w:color="auto" w:fill="FFFFFF"/>
            <w:vAlign w:val="center"/>
            <w:hideMark/>
          </w:tcPr>
          <w:p w14:paraId="35753918"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6D1C1D71"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6AA25C1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r>
      <w:tr w:rsidR="004E10C1" w:rsidRPr="0044524F" w14:paraId="65AF3FD4" w14:textId="77777777" w:rsidTr="003417C8">
        <w:tc>
          <w:tcPr>
            <w:tcW w:w="3035" w:type="dxa"/>
            <w:gridSpan w:val="2"/>
            <w:shd w:val="clear" w:color="auto" w:fill="FFFFFF"/>
            <w:tcMar>
              <w:top w:w="168" w:type="dxa"/>
              <w:left w:w="72" w:type="dxa"/>
              <w:bottom w:w="168" w:type="dxa"/>
              <w:right w:w="72" w:type="dxa"/>
            </w:tcMar>
            <w:vAlign w:val="center"/>
            <w:hideMark/>
          </w:tcPr>
          <w:p w14:paraId="08434DE5"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Глубина брода, м</w:t>
            </w:r>
          </w:p>
        </w:tc>
        <w:tc>
          <w:tcPr>
            <w:tcW w:w="2624" w:type="dxa"/>
            <w:shd w:val="clear" w:color="auto" w:fill="FFFFFF"/>
            <w:vAlign w:val="center"/>
            <w:hideMark/>
          </w:tcPr>
          <w:p w14:paraId="190FFAAC"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15105FF8"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303E6B83"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r>
      <w:tr w:rsidR="004E10C1" w:rsidRPr="0044524F" w14:paraId="4610AD0E" w14:textId="77777777" w:rsidTr="003417C8">
        <w:tc>
          <w:tcPr>
            <w:tcW w:w="3035" w:type="dxa"/>
            <w:gridSpan w:val="2"/>
            <w:shd w:val="clear" w:color="auto" w:fill="FFFFFF"/>
            <w:tcMar>
              <w:top w:w="168" w:type="dxa"/>
              <w:left w:w="72" w:type="dxa"/>
              <w:bottom w:w="168" w:type="dxa"/>
              <w:right w:w="72" w:type="dxa"/>
            </w:tcMar>
            <w:vAlign w:val="center"/>
            <w:hideMark/>
          </w:tcPr>
          <w:p w14:paraId="0F308D8C"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Средства связи</w:t>
            </w:r>
          </w:p>
        </w:tc>
        <w:tc>
          <w:tcPr>
            <w:tcW w:w="2624" w:type="dxa"/>
            <w:shd w:val="clear" w:color="auto" w:fill="FFFFFF"/>
            <w:vAlign w:val="center"/>
            <w:hideMark/>
          </w:tcPr>
          <w:p w14:paraId="54B2EC0E"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4" w:type="dxa"/>
            <w:shd w:val="clear" w:color="auto" w:fill="FFFFFF"/>
            <w:vAlign w:val="center"/>
            <w:hideMark/>
          </w:tcPr>
          <w:p w14:paraId="6F16B7C4"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c>
          <w:tcPr>
            <w:tcW w:w="2625" w:type="dxa"/>
            <w:shd w:val="clear" w:color="auto" w:fill="FFFFFF"/>
            <w:vAlign w:val="center"/>
            <w:hideMark/>
          </w:tcPr>
          <w:p w14:paraId="5594BC82"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w:t>
            </w:r>
          </w:p>
        </w:tc>
      </w:tr>
    </w:tbl>
    <w:p w14:paraId="08CBC629" w14:textId="77777777"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(15620).</w:t>
      </w:r>
    </w:p>
    <w:p w14:paraId="0C7DBEBB" w14:textId="77777777" w:rsidR="003417C8" w:rsidRPr="0044524F" w:rsidRDefault="003417C8" w:rsidP="009654CF">
      <w:pPr>
        <w:spacing w:after="0" w:line="240" w:lineRule="auto"/>
        <w:jc w:val="both"/>
        <w:rPr>
          <w:rFonts w:ascii="Times New Roman" w:hAnsi="Times New Roman"/>
          <w:color w:val="000000" w:themeColor="text1"/>
          <w:sz w:val="16"/>
          <w:szCs w:val="16"/>
        </w:rPr>
      </w:pPr>
    </w:p>
    <w:p w14:paraId="4F0AC96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НИО ВАММ под руководством М.В.Данченко выполнило проект сверхтяжелого танка массой 500 т. 2х107 мм, 2х76 мм, 2х45 мм, 12хДТ, экипаж - 60 чел. (9527,152).</w:t>
      </w:r>
    </w:p>
    <w:p w14:paraId="6BDC3F9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7B815EC5"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в распоряжение 3-го управления УММ от имени дирекции ХПЗ были направлены фотоснимки модели нового танка БТ с 76,2-мм пушкой. Зам. начальни</w:t>
      </w:r>
      <w:r w:rsidRPr="0044524F">
        <w:rPr>
          <w:rFonts w:ascii="Times New Roman" w:hAnsi="Times New Roman"/>
          <w:color w:val="000000" w:themeColor="text1"/>
          <w:sz w:val="16"/>
          <w:szCs w:val="16"/>
        </w:rPr>
        <w:softHyphen/>
        <w:t>ка УММ Г. Бокис просил срочно прислать на рассмотрение весь проект, но ничего кроме эскизной проработки Т-2-О в срок представить не смог. Проектирование и изготовление опытной серии затягивалось (10733,339).</w:t>
      </w:r>
    </w:p>
    <w:p w14:paraId="2D1DABC5"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79C196" w14:textId="77777777" w:rsidR="002C29D9" w:rsidRPr="00142305" w:rsidRDefault="002C29D9" w:rsidP="002C29D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июнь 1933 года всего с января ХПЗ передал в РККА еще 214 БТ-2, таким образом, их суммарный выпуск составил 610 машин (25009).</w:t>
      </w:r>
    </w:p>
    <w:p w14:paraId="6E045348" w14:textId="77777777" w:rsidR="002C29D9" w:rsidRPr="00142305" w:rsidRDefault="002C29D9" w:rsidP="002C29D9">
      <w:pPr>
        <w:spacing w:after="0" w:line="240" w:lineRule="auto"/>
        <w:jc w:val="both"/>
        <w:rPr>
          <w:rFonts w:ascii="Times New Roman" w:hAnsi="Times New Roman"/>
          <w:color w:val="0070C0"/>
          <w:sz w:val="16"/>
          <w:szCs w:val="16"/>
        </w:rPr>
      </w:pPr>
    </w:p>
    <w:p w14:paraId="66537650"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на ХПЗ был отправлен изготов</w:t>
      </w:r>
      <w:r w:rsidRPr="0044524F">
        <w:rPr>
          <w:rFonts w:ascii="Times New Roman" w:hAnsi="Times New Roman"/>
          <w:color w:val="000000" w:themeColor="text1"/>
          <w:sz w:val="16"/>
          <w:szCs w:val="16"/>
        </w:rPr>
        <w:softHyphen/>
        <w:t>ленный танк Т-35-2, рабочая документация по Т-35А, а также весь задел по корпусу нового танка и его башням. Несмотря на то что танк был максимально унифицирован с производимым в Ленинграде Т-28, для Харькова, который лихорадило от программы выпуска БТ-5, это была совершенно новая машина, в которой многое пришлось осваивать впервые. Планировалось, что первый танк Т-35А должен был выйти из ворот ХПЗ в июле 1933 г., но этот срок оказался слишком оптимистичным. Из смежников вовремя отгрузили свою продукцию только Ижорский Завод (бронекорпус) и Рыбинский (двигатели). Остальные начали от</w:t>
      </w:r>
      <w:r w:rsidRPr="0044524F">
        <w:rPr>
          <w:rFonts w:ascii="Times New Roman" w:hAnsi="Times New Roman"/>
          <w:color w:val="000000" w:themeColor="text1"/>
          <w:sz w:val="16"/>
          <w:szCs w:val="16"/>
        </w:rPr>
        <w:softHyphen/>
        <w:t>грузку своей продукции только в августе—сентябре (10733,263).</w:t>
      </w:r>
    </w:p>
    <w:p w14:paraId="2AEEBB6C"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98E857" w14:textId="77777777" w:rsidR="00183C6C" w:rsidRPr="0044524F" w:rsidRDefault="00183C6C" w:rsidP="009654CF">
      <w:pPr>
        <w:pStyle w:val="ae"/>
        <w:spacing w:before="0" w:after="0"/>
        <w:jc w:val="both"/>
        <w:textAlignment w:val="baseline"/>
        <w:rPr>
          <w:color w:val="000000" w:themeColor="text1"/>
          <w:sz w:val="16"/>
          <w:szCs w:val="16"/>
        </w:rPr>
      </w:pPr>
      <w:r w:rsidRPr="0044524F">
        <w:rPr>
          <w:color w:val="000000" w:themeColor="text1"/>
          <w:sz w:val="16"/>
          <w:szCs w:val="16"/>
        </w:rPr>
        <w:t>С июня 1933 года в документах ОКМО завода №174 появляется наряд №12064 на разработку самоходной артиллерийской установки СУ-5. Ввиду сильной загрузки ОКМО по другим работам проектирование данной машины затянулось. В сентябре 1933 года по этому поводу провели небольшое разбирательство, тогда же СУ-5 впервые назвали «малым триплексом». В итоге проектная документация на СУ-5 была готова только в конце 1933 года (19721).</w:t>
      </w:r>
    </w:p>
    <w:p w14:paraId="3C161DBC" w14:textId="77777777" w:rsidR="00183C6C" w:rsidRPr="0044524F" w:rsidRDefault="00183C6C" w:rsidP="009654CF">
      <w:pPr>
        <w:pStyle w:val="ae"/>
        <w:spacing w:before="0" w:after="0"/>
        <w:jc w:val="both"/>
        <w:textAlignment w:val="baseline"/>
        <w:rPr>
          <w:color w:val="000000" w:themeColor="text1"/>
          <w:sz w:val="16"/>
          <w:szCs w:val="16"/>
        </w:rPr>
      </w:pPr>
    </w:p>
    <w:p w14:paraId="67853442"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после окончания постройки и сборки, с Ярославского завода поступило два автомобиля Я-НАТИ-9Д для проведения испытаний. Испытания базировались на пробегах общей протяженностью 10 тыс. км, сопровождающихся плановыми экспери</w:t>
      </w:r>
      <w:r w:rsidRPr="0044524F">
        <w:rPr>
          <w:rFonts w:ascii="Times New Roman" w:hAnsi="Times New Roman"/>
          <w:color w:val="000000" w:themeColor="text1"/>
          <w:sz w:val="16"/>
          <w:szCs w:val="16"/>
        </w:rPr>
        <w:softHyphen/>
        <w:t>ментами. Предусматривались две плановых разбор</w:t>
      </w:r>
      <w:r w:rsidRPr="0044524F">
        <w:rPr>
          <w:rFonts w:ascii="Times New Roman" w:hAnsi="Times New Roman"/>
          <w:color w:val="000000" w:themeColor="text1"/>
          <w:sz w:val="16"/>
          <w:szCs w:val="16"/>
        </w:rPr>
        <w:softHyphen/>
        <w:t>ки в середине и в конце испытания.</w:t>
      </w:r>
    </w:p>
    <w:p w14:paraId="7C32B84A"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опытных автомобилях Я-НАТИ-9Д уста</w:t>
      </w:r>
      <w:r w:rsidRPr="0044524F">
        <w:rPr>
          <w:rFonts w:ascii="Times New Roman" w:hAnsi="Times New Roman"/>
          <w:color w:val="000000" w:themeColor="text1"/>
          <w:sz w:val="16"/>
          <w:szCs w:val="16"/>
        </w:rPr>
        <w:softHyphen/>
        <w:t>навливались 6-цилиндровые двигатели Continental К 21 рабочим объемом 7,02 л. Двигатели размернос</w:t>
      </w:r>
      <w:r w:rsidRPr="0044524F">
        <w:rPr>
          <w:rFonts w:ascii="Times New Roman" w:hAnsi="Times New Roman"/>
          <w:color w:val="000000" w:themeColor="text1"/>
          <w:sz w:val="16"/>
          <w:szCs w:val="16"/>
        </w:rPr>
        <w:softHyphen/>
        <w:t>тью 111,12 х 120,65 мм развивали мощность 102 л.с. при 2400 об./мин.</w:t>
      </w:r>
    </w:p>
    <w:p w14:paraId="40D4F9CD"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Демультипликатор, установленный на автомоби</w:t>
      </w:r>
      <w:r w:rsidRPr="0044524F">
        <w:rPr>
          <w:rFonts w:ascii="Times New Roman" w:hAnsi="Times New Roman"/>
          <w:color w:val="000000" w:themeColor="text1"/>
          <w:sz w:val="16"/>
          <w:szCs w:val="16"/>
        </w:rPr>
        <w:softHyphen/>
        <w:t>ле, имел прямую и понижающую передачу (I = 1,4). При работе демультипликатора шестерни произво</w:t>
      </w:r>
      <w:r w:rsidRPr="0044524F">
        <w:rPr>
          <w:rFonts w:ascii="Times New Roman" w:hAnsi="Times New Roman"/>
          <w:color w:val="000000" w:themeColor="text1"/>
          <w:sz w:val="16"/>
          <w:szCs w:val="16"/>
        </w:rPr>
        <w:softHyphen/>
        <w:t>дили значительный шум из-за плохой обработки зубьев. При испытаниях имела место поломка зубь</w:t>
      </w:r>
      <w:r w:rsidRPr="0044524F">
        <w:rPr>
          <w:rFonts w:ascii="Times New Roman" w:hAnsi="Times New Roman"/>
          <w:color w:val="000000" w:themeColor="text1"/>
          <w:sz w:val="16"/>
          <w:szCs w:val="16"/>
        </w:rPr>
        <w:softHyphen/>
        <w:t>ев ведущей шестерни постоянного зацепления.</w:t>
      </w:r>
    </w:p>
    <w:p w14:paraId="457FFE52"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Грузовик оснащался рабочей тормозной систе</w:t>
      </w:r>
      <w:r w:rsidRPr="0044524F">
        <w:rPr>
          <w:rFonts w:ascii="Times New Roman" w:hAnsi="Times New Roman"/>
          <w:color w:val="000000" w:themeColor="text1"/>
          <w:sz w:val="16"/>
          <w:szCs w:val="16"/>
        </w:rPr>
        <w:softHyphen/>
        <w:t>мой с вакуумным усилителем типа Девандер, мощ</w:t>
      </w:r>
      <w:r w:rsidRPr="0044524F">
        <w:rPr>
          <w:rFonts w:ascii="Times New Roman" w:hAnsi="Times New Roman"/>
          <w:color w:val="000000" w:themeColor="text1"/>
          <w:sz w:val="16"/>
          <w:szCs w:val="16"/>
        </w:rPr>
        <w:softHyphen/>
        <w:t>ности которого не хватало для эффективного замед</w:t>
      </w:r>
      <w:r w:rsidRPr="0044524F">
        <w:rPr>
          <w:rFonts w:ascii="Times New Roman" w:hAnsi="Times New Roman"/>
          <w:color w:val="000000" w:themeColor="text1"/>
          <w:sz w:val="16"/>
          <w:szCs w:val="16"/>
        </w:rPr>
        <w:softHyphen/>
        <w:t>ления тяжелого грузовика.</w:t>
      </w:r>
    </w:p>
    <w:p w14:paraId="5A4C6941"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Проводятся испытания грузовика Я-НАТИ-9Д с прицепом фирмы Lappet. Прицеп грузоподъемнос</w:t>
      </w:r>
      <w:r w:rsidRPr="0044524F">
        <w:rPr>
          <w:rFonts w:ascii="Times New Roman" w:hAnsi="Times New Roman"/>
          <w:color w:val="000000" w:themeColor="text1"/>
          <w:sz w:val="16"/>
          <w:szCs w:val="16"/>
        </w:rPr>
        <w:softHyphen/>
        <w:t>тью 5 т весил 2,5 т. Тяговые свойства автопоезда оставались удовлетворительными, однако при дви</w:t>
      </w:r>
      <w:r w:rsidRPr="0044524F">
        <w:rPr>
          <w:rFonts w:ascii="Times New Roman" w:hAnsi="Times New Roman"/>
          <w:color w:val="000000" w:themeColor="text1"/>
          <w:sz w:val="16"/>
          <w:szCs w:val="16"/>
        </w:rPr>
        <w:softHyphen/>
        <w:t>жении по холмистой местности, а также по дорогам среднего и низкого качества требовалось частое включение демультипликатора. Автопоезд на пер</w:t>
      </w:r>
      <w:r w:rsidRPr="0044524F">
        <w:rPr>
          <w:rFonts w:ascii="Times New Roman" w:hAnsi="Times New Roman"/>
          <w:color w:val="000000" w:themeColor="text1"/>
          <w:sz w:val="16"/>
          <w:szCs w:val="16"/>
        </w:rPr>
        <w:softHyphen/>
        <w:t>вой передаче с включенным демультипликатором уверенно преодолевал подъем порядка 6-7° на Труд</w:t>
      </w:r>
      <w:r w:rsidRPr="0044524F">
        <w:rPr>
          <w:rFonts w:ascii="Times New Roman" w:hAnsi="Times New Roman"/>
          <w:color w:val="000000" w:themeColor="text1"/>
          <w:sz w:val="16"/>
          <w:szCs w:val="16"/>
        </w:rPr>
        <w:softHyphen/>
        <w:t>ную гору в Москве. (22518).</w:t>
      </w:r>
    </w:p>
    <w:p w14:paraId="406EB7CF" w14:textId="77777777" w:rsidR="00231D42" w:rsidRPr="0044524F" w:rsidRDefault="00231D42" w:rsidP="009654CF">
      <w:pPr>
        <w:spacing w:after="0" w:line="240" w:lineRule="auto"/>
        <w:jc w:val="both"/>
        <w:rPr>
          <w:rFonts w:ascii="Times New Roman" w:hAnsi="Times New Roman"/>
          <w:color w:val="000000" w:themeColor="text1"/>
          <w:sz w:val="16"/>
          <w:szCs w:val="16"/>
        </w:rPr>
      </w:pPr>
    </w:p>
    <w:p w14:paraId="377F7DC1" w14:textId="77777777" w:rsidR="00183C6C" w:rsidRPr="0044524F" w:rsidRDefault="00183C6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СТО принял решение о строительстве в Москве опытного завода для получения дивинила, этилена и др. ценных углеводородов на основе газов нефтепереработки. Завод должен был работать на отходящих газах завода «Нефтегаз», состав которых был в 1932-1933 гг. изучен Ф.Н. Вороновым. Завод получил название опытный завод СК «Литер А» (Москва). В течение 1934-1939 гг. опытный завод проводил исследования (18298)</w:t>
      </w:r>
    </w:p>
    <w:p w14:paraId="31082164" w14:textId="77777777" w:rsidR="00183C6C" w:rsidRPr="0044524F" w:rsidRDefault="00183C6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1940 г. решением правительства опытный завод СК «Литер А» в Москве был закрыт. Территория и сооружения опытного завода, были переданы для создаваемого института шинной промышленности (18298).</w:t>
      </w:r>
    </w:p>
    <w:p w14:paraId="1FF5CFB9" w14:textId="77777777" w:rsidR="00183C6C" w:rsidRPr="0044524F" w:rsidRDefault="00183C6C" w:rsidP="009654CF">
      <w:pPr>
        <w:spacing w:after="0" w:line="240" w:lineRule="auto"/>
        <w:jc w:val="both"/>
        <w:rPr>
          <w:rFonts w:ascii="Times New Roman" w:hAnsi="Times New Roman"/>
          <w:color w:val="000000" w:themeColor="text1"/>
          <w:sz w:val="16"/>
          <w:szCs w:val="16"/>
        </w:rPr>
      </w:pPr>
    </w:p>
    <w:p w14:paraId="342EB03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вопросы радиообнаружения обсуждались у К. Е. Ворошилова в целях определения порядка финансирования предстоявших работ. К. Е. Ворошилов и М. Н. Тухачевский одобрительно отнеслись к инициативе Управления ПВО и рекомендовали обсудить данную проблему с учеными АН СССР и промышленности. В связи с этой рекомендацией 16 января 1934 г. у академика А. Ф. Иоффе в Ленинградском физико-техническом институте было проведено совещание с участием академиков А. А. Чернышева и С. И. Вавилова, профессоров Н. Н. Андреева, Н. Д. Папалекси, А. А. Лебедева, Д. А. Рожанского, В. П. Линника, научных сотрудников ЛЭФИ, ЛФТИ и представителей других учреждений. От УПВО в совещании приняли участие П. К. Ощепков и П. Е. Хорошилов (11026).</w:t>
      </w:r>
    </w:p>
    <w:p w14:paraId="7E2C11A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5361C277" w14:textId="77777777" w:rsidR="00E5244A" w:rsidRPr="0044524F" w:rsidRDefault="00E524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июне 1933 Фельдман провёл с итальянскими инженерами совещание, на котором говорил:</w:t>
      </w:r>
    </w:p>
    <w:p w14:paraId="686E25FF" w14:textId="77777777" w:rsidR="00E5244A" w:rsidRPr="0044524F" w:rsidRDefault="00E524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Основной [корабль] в 18500 м, этот корабль решает всё, этого корабля все ждут. По этому кораблю будут судить о нашей работе, и выпустить этот корабль с очень большим запозданием или плохого качества - значит нанести очень серьёзный ущерб делу дирижаблестроения, ибо синьор Нобиле должен понимать, что больших друзей у дирижаблестроения довольно мало, в особенности после последних событий с иностранными кораблями. Мы, с одной стороны, должны во что бы то ни стало дать достаточно хороший по своему качеству корабль, а с другой - не чрезмерно затягивать это дело (23192).</w:t>
      </w:r>
    </w:p>
    <w:p w14:paraId="64B48E83" w14:textId="77777777" w:rsidR="00E5244A" w:rsidRPr="0044524F" w:rsidRDefault="00E5244A" w:rsidP="009654CF">
      <w:pPr>
        <w:spacing w:after="0" w:line="240" w:lineRule="auto"/>
        <w:jc w:val="both"/>
        <w:rPr>
          <w:rFonts w:ascii="Times New Roman" w:hAnsi="Times New Roman"/>
          <w:color w:val="000000" w:themeColor="text1"/>
          <w:sz w:val="16"/>
          <w:szCs w:val="16"/>
          <w:lang w:eastAsia="ru-RU" w:bidi="ru-RU"/>
        </w:rPr>
      </w:pPr>
    </w:p>
    <w:p w14:paraId="7BAE8A1C" w14:textId="77777777" w:rsidR="00EA7008"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71F54EFA"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AE3C1E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июне 1932 г. в Белорусском округе произошли две катастрофы Р-5 подряд. В одном случае крыло разломилось в воздухе. Нарком К.Е. Ворошилов направил вокруг комиссию. И оказалось, что личный состав настолько уверен в надежности Р-5, что напрочь игнорирует ограничения, записанные в инструкции по эксплуатации. Взлетный вес доводили до 3800 кг (при предписанном 2640 кг), пытались использовать самолет как пикирующий бомбардировщик и даже как тяжелый истребитель, выполняя горки, глубокие виражи, двойные перевороты ("бочки") и даже петли, категорически запрещенные в строевых частях. И самолет все это терпел! (12034).</w:t>
      </w:r>
    </w:p>
    <w:p w14:paraId="3E93C41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45D59CB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сдала МР-1 последняя строевая часть - 67-й речной отряд. В 1935 г. в ВВС остались только единичные машины, использовавшиеся как вспомогательные. Так, на весь Украинский военный округ остались четыре Р-1. Через год не стало и их (11923).</w:t>
      </w:r>
    </w:p>
    <w:p w14:paraId="2EE9D87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5C22521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постановлением ЦК ВУП(б) и СНК в подразделениях были созданы политотделы (356,416).</w:t>
      </w:r>
    </w:p>
    <w:p w14:paraId="2BB3A4F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25CCF14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решили перевести часть кораблей Балтфлота на Север (1085,94).</w:t>
      </w:r>
    </w:p>
    <w:p w14:paraId="424FE35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0DD15833"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3315CF7"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7C851AA"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года Сталину доложили, что А.И.Микоян он опять летал на самолете. Решение Политбюро последовало незамедлительно: «За грубое нарушение постановления Политбюро ЦК ВКП (б) о запрете полетов ответработникам объявить т.Микояну строгий выговор» (12634).</w:t>
      </w:r>
    </w:p>
    <w:p w14:paraId="2AF1A9BF"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1409C6B4" w14:textId="77777777" w:rsidR="00681942" w:rsidRPr="0044524F" w:rsidRDefault="006819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первые шахты достигли требуемой глубины, и стало возможным перейти к прокладке горизонтальных штолен{494}.В конце августа 1933 г. на Фрунзенском радиусе между Кропоткинской пл. и Крымской пл. начались работы по берлинскому способу{495}.Осенью 1933 г. на некоторых участках приступили к соединению горизонтальных штолен, проложенных между шахтами{496} (18299).</w:t>
      </w:r>
    </w:p>
    <w:p w14:paraId="56189159" w14:textId="77777777" w:rsidR="00681942" w:rsidRPr="0044524F" w:rsidRDefault="00681942" w:rsidP="009654CF">
      <w:pPr>
        <w:spacing w:after="0" w:line="240" w:lineRule="auto"/>
        <w:jc w:val="both"/>
        <w:rPr>
          <w:rFonts w:ascii="Times New Roman" w:hAnsi="Times New Roman"/>
          <w:color w:val="000000" w:themeColor="text1"/>
          <w:sz w:val="16"/>
          <w:szCs w:val="16"/>
        </w:rPr>
      </w:pPr>
    </w:p>
    <w:p w14:paraId="078CF8C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был ликвидирован наркомат труда и его функции были переданы профсоюзам (1348,200).</w:t>
      </w:r>
    </w:p>
    <w:p w14:paraId="462F831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27C3E830" w14:textId="77777777" w:rsidR="00EA7008" w:rsidRPr="0044524F" w:rsidRDefault="00EA7008"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был распущен наркомат по труду. Его функции переданы профсоюзам, которые становятся таким образом частью государственной административной системы.</w:t>
      </w:r>
    </w:p>
    <w:p w14:paraId="21AF3814"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A072B69"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6019344F"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F89A6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СССР прервал военное сотрудничество с Германией (3240).</w:t>
      </w:r>
    </w:p>
    <w:p w14:paraId="794779B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461552B2"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B126230"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B4D9804" w14:textId="394A1FD2" w:rsidR="003417C8" w:rsidRPr="0044524F" w:rsidRDefault="003417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изготовили макет нового самолета "Фьюри моноплейн" ("Фьюри"- моноплан) – будущего Харрикейна в масштабе 1:10 и продули его в аэродинамической трубе. К августу результаты обработали и вместе с эскизным проектом представили министерству авиации. Большого интереса они не вызвали, ибо чиновники все-таки более склонялись к проверенным бипланам. Кэмм продолжил работу на свой риск и за счет фирмы (он был не только главным конструктором, но и членом совета директоров). А деньги у "Хаукер" были - на базе "Харта" расплодилось большое семейство легких бомбардировщиков, разведчиков и тяжелых истребителей, ставшее одной из основных составных частей парка королевских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ВВС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межвоенные годы. Более того, перестраховываясь, Кэмм делал сразу две машины: параллельно с "Фьюри"- монопланом готовился и биплан РУ.З, представлявший собой "Фьюри" с усиленным вооружением и тем же мотором "Госхок". Политика британского министерства авиации в отношении материальной части истребительной авиации в те годы определялась техническим заданием Р.7/30. Это задание было довольно "размытым", противоречивым, ибо исходило лишь из минимального прироста летных данных с сохранением маломощного вооружения и привычной тактики ближнего маневренного боя - т.н. "собачьей свалки". Максимальная скорость планировалась всего в 250 миль/час (403 км/ч). Продолжая принятую после Первой мировой войны традицию жесткой экономии, самолет хотели сделать универсальным. Он должен был быть и перехватчиком, и вести воздушный бой с истребителями противника у линии фронта, и сопровождать бомбардировщики. В итоге, обилие противоречивых требований сделало задание вообще трудновыполнимым. Задание Р.7/30 просуществовало долго, хотя время от времени в него вносили некоторые изменения. Так, в 1939 г. максимальную скорость подняли до 443 км/ч. Первоначально Кэмм исходил лишь из глубокой модернизации "Фьюри". Он решил превратить его в моноплан. В 1925 г. Кэмм уже создал небольшой истребитель-моноплан, но тот не имел успеха и не был запущен в серию. Теперь же он счел, что время монопланов пришло. В этом он не был одинок. По всему миру создавалось новое поколение скоростных истребителей, прозванное впоследствии на западе "новой волной". За основу приняли один из опытных вариантов - "Хай Спид Фьюри" ("скоростной"). Фюзеляж от него взяли почти целиком, хотя размеры шпангоутов в средней части увеличили, чтобы сделать кабину закрытой. Фюзеляж имел традиционную для "Хаукер” конструкцию, запатентованную еще Т.Сопвичем в 1926 г. – несущую ферму из труб, усиленную косыми расчалками, поверх которой одевались шпангоуты и стрингеры, лишь поддерживавшие полотняную обшивку. Перешло к моноплану и оперение. Шасси тоже сохранили старое: неубирающиеся свободнонесущие стойки и колеса в каплевидных обтекателях. Заново спроектировали лишь крыло довольно толстого профиля. На истребителе собирались установить новый двигатель фирмы Роллс-Ройс "Госхок" с испарительным охлаждением (15129).</w:t>
      </w:r>
    </w:p>
    <w:p w14:paraId="7ACD9D5A" w14:textId="77777777" w:rsidR="003417C8" w:rsidRPr="0044524F" w:rsidRDefault="003417C8" w:rsidP="009654CF">
      <w:pPr>
        <w:spacing w:after="0" w:line="240" w:lineRule="auto"/>
        <w:jc w:val="both"/>
        <w:rPr>
          <w:rFonts w:ascii="Times New Roman" w:hAnsi="Times New Roman"/>
          <w:color w:val="000000" w:themeColor="text1"/>
          <w:sz w:val="16"/>
          <w:szCs w:val="16"/>
        </w:rPr>
      </w:pPr>
    </w:p>
    <w:p w14:paraId="54EBC4E4"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июне 1933, управляя самолетом Northrop Gamma Texaco Sky Chief , Фрэнк Хоукс устанавливает новый трансконтинентальный рекорд скорости полета с запада на восток для перелета через Соединенные Штаты из Лос-Анджелеса, Калифорния, до Флойд Беннетт Филд в Бруклине , Нью-Йорк, за 13 часов. 26 минут 15 секунд при средней скорости 181 миль в час (291 км / ч) (20802). </w:t>
      </w:r>
    </w:p>
    <w:p w14:paraId="73ED53F0" w14:textId="77777777" w:rsidR="00231D42" w:rsidRPr="0044524F" w:rsidRDefault="00231D42" w:rsidP="009654CF">
      <w:pPr>
        <w:spacing w:after="0" w:line="240" w:lineRule="auto"/>
        <w:jc w:val="both"/>
        <w:rPr>
          <w:rFonts w:ascii="Times New Roman" w:hAnsi="Times New Roman"/>
          <w:color w:val="000000" w:themeColor="text1"/>
          <w:sz w:val="16"/>
          <w:szCs w:val="16"/>
        </w:rPr>
      </w:pPr>
    </w:p>
    <w:p w14:paraId="72BA1AB7"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года фирма «Потез» получила задание на про</w:t>
      </w:r>
      <w:r w:rsidRPr="0044524F">
        <w:rPr>
          <w:rFonts w:ascii="Times New Roman" w:hAnsi="Times New Roman"/>
          <w:color w:val="000000" w:themeColor="text1"/>
          <w:sz w:val="16"/>
          <w:szCs w:val="16"/>
        </w:rPr>
        <w:softHyphen/>
        <w:t>ектирование самолета по программе BCR (в то время в моде была концепция «воздушного крейсера», многоцелево</w:t>
      </w:r>
      <w:r w:rsidRPr="0044524F">
        <w:rPr>
          <w:rFonts w:ascii="Times New Roman" w:hAnsi="Times New Roman"/>
          <w:color w:val="000000" w:themeColor="text1"/>
          <w:sz w:val="16"/>
          <w:szCs w:val="16"/>
        </w:rPr>
        <w:softHyphen/>
        <w:t>го самолета, способного как к самосто</w:t>
      </w:r>
      <w:r w:rsidRPr="0044524F">
        <w:rPr>
          <w:rFonts w:ascii="Times New Roman" w:hAnsi="Times New Roman"/>
          <w:color w:val="000000" w:themeColor="text1"/>
          <w:sz w:val="16"/>
          <w:szCs w:val="16"/>
        </w:rPr>
        <w:softHyphen/>
        <w:t>ятельным действиям, так и к работе в составе сводной группы (эскадры). «Крейсер» (а во Франции тогда при</w:t>
      </w:r>
      <w:r w:rsidRPr="0044524F">
        <w:rPr>
          <w:rFonts w:ascii="Times New Roman" w:hAnsi="Times New Roman"/>
          <w:color w:val="000000" w:themeColor="text1"/>
          <w:sz w:val="16"/>
          <w:szCs w:val="16"/>
        </w:rPr>
        <w:softHyphen/>
        <w:t>менялся термин BCR - Bombardement, Combat, Reconnaissance - «бомбарди</w:t>
      </w:r>
      <w:r w:rsidRPr="0044524F">
        <w:rPr>
          <w:rFonts w:ascii="Times New Roman" w:hAnsi="Times New Roman"/>
          <w:color w:val="000000" w:themeColor="text1"/>
          <w:sz w:val="16"/>
          <w:szCs w:val="16"/>
        </w:rPr>
        <w:softHyphen/>
        <w:t>ровщик, самолет поля боя, разведчик) должен был работать в основном над линией фронта).</w:t>
      </w:r>
    </w:p>
    <w:p w14:paraId="689FDA7C"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мо</w:t>
      </w:r>
      <w:r w:rsidRPr="0044524F">
        <w:rPr>
          <w:rFonts w:ascii="Times New Roman" w:hAnsi="Times New Roman"/>
          <w:color w:val="000000" w:themeColor="text1"/>
          <w:sz w:val="16"/>
          <w:szCs w:val="16"/>
        </w:rPr>
        <w:softHyphen/>
        <w:t>тора H.S. 12 и убирающееся шасси мог</w:t>
      </w:r>
      <w:r w:rsidRPr="0044524F">
        <w:rPr>
          <w:rFonts w:ascii="Times New Roman" w:hAnsi="Times New Roman"/>
          <w:color w:val="000000" w:themeColor="text1"/>
          <w:sz w:val="16"/>
          <w:szCs w:val="16"/>
        </w:rPr>
        <w:softHyphen/>
        <w:t>ли бы обеспечить самолету Потез 54 неплохую скорость, но чтобы укоро</w:t>
      </w:r>
      <w:r w:rsidRPr="0044524F">
        <w:rPr>
          <w:rFonts w:ascii="Times New Roman" w:hAnsi="Times New Roman"/>
          <w:color w:val="000000" w:themeColor="text1"/>
          <w:sz w:val="16"/>
          <w:szCs w:val="16"/>
        </w:rPr>
        <w:softHyphen/>
        <w:t>тить стойки, пришлось опустить мо</w:t>
      </w:r>
      <w:r w:rsidRPr="0044524F">
        <w:rPr>
          <w:rFonts w:ascii="Times New Roman" w:hAnsi="Times New Roman"/>
          <w:color w:val="000000" w:themeColor="text1"/>
          <w:sz w:val="16"/>
          <w:szCs w:val="16"/>
        </w:rPr>
        <w:softHyphen/>
        <w:t>тогондолы, в которые они прятались, под крыло на громоздкой ферме, «за</w:t>
      </w:r>
      <w:r w:rsidRPr="0044524F">
        <w:rPr>
          <w:rFonts w:ascii="Times New Roman" w:hAnsi="Times New Roman"/>
          <w:color w:val="000000" w:themeColor="text1"/>
          <w:sz w:val="16"/>
          <w:szCs w:val="16"/>
        </w:rPr>
        <w:softHyphen/>
        <w:t>вязанной» на подкосы, поддерживав</w:t>
      </w:r>
      <w:r w:rsidRPr="0044524F">
        <w:rPr>
          <w:rFonts w:ascii="Times New Roman" w:hAnsi="Times New Roman"/>
          <w:color w:val="000000" w:themeColor="text1"/>
          <w:sz w:val="16"/>
          <w:szCs w:val="16"/>
        </w:rPr>
        <w:softHyphen/>
        <w:t>шие консоли. В результате выигрыш от уборки шасси получился мизерный, а тяга винтомоторной группы упала.</w:t>
      </w:r>
    </w:p>
    <w:p w14:paraId="578DB890"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Потез 54 в угоду примитивной производственной базе была максимально простой, преобла</w:t>
      </w:r>
      <w:r w:rsidRPr="0044524F">
        <w:rPr>
          <w:rFonts w:ascii="Times New Roman" w:hAnsi="Times New Roman"/>
          <w:color w:val="000000" w:themeColor="text1"/>
          <w:sz w:val="16"/>
          <w:szCs w:val="16"/>
        </w:rPr>
        <w:softHyphen/>
        <w:t>дали прямые и плоские поверхности. Каркас крыла и оперения выполнял</w:t>
      </w:r>
      <w:r w:rsidRPr="0044524F">
        <w:rPr>
          <w:rFonts w:ascii="Times New Roman" w:hAnsi="Times New Roman"/>
          <w:color w:val="000000" w:themeColor="text1"/>
          <w:sz w:val="16"/>
          <w:szCs w:val="16"/>
        </w:rPr>
        <w:softHyphen/>
        <w:t>ся из дюраля, обшивка полотняная, фюзеляж был по преимуществу дере</w:t>
      </w:r>
      <w:r w:rsidRPr="0044524F">
        <w:rPr>
          <w:rFonts w:ascii="Times New Roman" w:hAnsi="Times New Roman"/>
          <w:color w:val="000000" w:themeColor="text1"/>
          <w:sz w:val="16"/>
          <w:szCs w:val="16"/>
        </w:rPr>
        <w:softHyphen/>
        <w:t>вянный. Зато все кабины были закры</w:t>
      </w:r>
      <w:r w:rsidRPr="0044524F">
        <w:rPr>
          <w:rFonts w:ascii="Times New Roman" w:hAnsi="Times New Roman"/>
          <w:color w:val="000000" w:themeColor="text1"/>
          <w:sz w:val="16"/>
          <w:szCs w:val="16"/>
        </w:rPr>
        <w:softHyphen/>
        <w:t>тыми, удобными, с хорошим обзором. Самолет содержал два важных нов</w:t>
      </w:r>
      <w:r w:rsidRPr="0044524F">
        <w:rPr>
          <w:rFonts w:ascii="Times New Roman" w:hAnsi="Times New Roman"/>
          <w:color w:val="000000" w:themeColor="text1"/>
          <w:sz w:val="16"/>
          <w:szCs w:val="16"/>
        </w:rPr>
        <w:softHyphen/>
        <w:t>шества. На элеронах установили трим</w:t>
      </w:r>
      <w:r w:rsidRPr="0044524F">
        <w:rPr>
          <w:rFonts w:ascii="Times New Roman" w:hAnsi="Times New Roman"/>
          <w:color w:val="000000" w:themeColor="text1"/>
          <w:sz w:val="16"/>
          <w:szCs w:val="16"/>
        </w:rPr>
        <w:softHyphen/>
        <w:t>меры-сервокомпенсаторы, небольшие поверхности, которые снижали уси</w:t>
      </w:r>
      <w:r w:rsidRPr="0044524F">
        <w:rPr>
          <w:rFonts w:ascii="Times New Roman" w:hAnsi="Times New Roman"/>
          <w:color w:val="000000" w:themeColor="text1"/>
          <w:sz w:val="16"/>
          <w:szCs w:val="16"/>
        </w:rPr>
        <w:softHyphen/>
        <w:t>лия на штурвале и позволяли выров</w:t>
      </w:r>
      <w:r w:rsidRPr="0044524F">
        <w:rPr>
          <w:rFonts w:ascii="Times New Roman" w:hAnsi="Times New Roman"/>
          <w:color w:val="000000" w:themeColor="text1"/>
          <w:sz w:val="16"/>
          <w:szCs w:val="16"/>
        </w:rPr>
        <w:softHyphen/>
        <w:t>нять крен, возникавший при отказе одного из моторов. Благодаря этому, а также тому, что двигатели имели про</w:t>
      </w:r>
      <w:r w:rsidRPr="0044524F">
        <w:rPr>
          <w:rFonts w:ascii="Times New Roman" w:hAnsi="Times New Roman"/>
          <w:color w:val="000000" w:themeColor="text1"/>
          <w:sz w:val="16"/>
          <w:szCs w:val="16"/>
        </w:rPr>
        <w:softHyphen/>
        <w:t>тивоположное направление вращения винтов, управление этим большим и довольно тяжелым самолетом было легким и приятным. Второе нововве</w:t>
      </w:r>
      <w:r w:rsidRPr="0044524F">
        <w:rPr>
          <w:rFonts w:ascii="Times New Roman" w:hAnsi="Times New Roman"/>
          <w:color w:val="000000" w:themeColor="text1"/>
          <w:sz w:val="16"/>
          <w:szCs w:val="16"/>
        </w:rPr>
        <w:softHyphen/>
        <w:t>дение повышало живучесть: единый топливный бак был покрыт толстым слоем губчатой невулканизированной резины, которая при простреле бака под воздействием бензина набухала и затягивала пулевую пробоину. Сам бак не встраивался в конструкцию, а подвешивался к ней на замках как, на</w:t>
      </w:r>
      <w:r w:rsidRPr="0044524F">
        <w:rPr>
          <w:rFonts w:ascii="Times New Roman" w:hAnsi="Times New Roman"/>
          <w:color w:val="000000" w:themeColor="text1"/>
          <w:sz w:val="16"/>
          <w:szCs w:val="16"/>
        </w:rPr>
        <w:softHyphen/>
        <w:t>пример, авиабомба, и в случае пожара на борту или вынужденной посадки мог быть сброшен.</w:t>
      </w:r>
    </w:p>
    <w:p w14:paraId="72EE4D44"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Оборонительное вооружение со</w:t>
      </w:r>
      <w:r w:rsidRPr="0044524F">
        <w:rPr>
          <w:rFonts w:ascii="Times New Roman" w:hAnsi="Times New Roman"/>
          <w:color w:val="000000" w:themeColor="text1"/>
          <w:sz w:val="16"/>
          <w:szCs w:val="16"/>
        </w:rPr>
        <w:softHyphen/>
        <w:t>ставили три 7,69-мм «Льюиса», также в остекленных установках - в носу, на «спине» фюзеляжа и под ним, причем два последних имели круговой об</w:t>
      </w:r>
      <w:r w:rsidRPr="0044524F">
        <w:rPr>
          <w:rFonts w:ascii="Times New Roman" w:hAnsi="Times New Roman"/>
          <w:color w:val="000000" w:themeColor="text1"/>
          <w:sz w:val="16"/>
          <w:szCs w:val="16"/>
        </w:rPr>
        <w:softHyphen/>
        <w:t>стрел. Для мелких бомб весом до 55 кг сделали кассеты за кабиной летчика, а на раме, соединяющей мотогондолы с фюзеляжем, установили 4 замка для тяжелых (по французским меркам) 225-кг фугасок (22797).</w:t>
      </w:r>
    </w:p>
    <w:p w14:paraId="3B172B8E" w14:textId="77777777" w:rsidR="00231D42" w:rsidRPr="0044524F" w:rsidRDefault="00231D42" w:rsidP="009654CF">
      <w:pPr>
        <w:spacing w:after="0" w:line="240" w:lineRule="auto"/>
        <w:jc w:val="both"/>
        <w:rPr>
          <w:rFonts w:ascii="Times New Roman" w:hAnsi="Times New Roman"/>
          <w:color w:val="000000" w:themeColor="text1"/>
          <w:sz w:val="16"/>
          <w:szCs w:val="16"/>
        </w:rPr>
      </w:pPr>
    </w:p>
    <w:p w14:paraId="3D1A85F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в Риме был парафирован четырехсторонний договор. В его основу лег не итальянский, а французский проект, который был существенно изменен в соответствии с пожеланиями Франции и ее восточноевропейских союзников. Вместо признания допустимости пересмотра мирных договоров в тексте говорилось только о возможности рассматривать новые предложения, направленные на усиление эффективности уже имеющихся обязательств. В договоре специально подтверждались гарантии территориальной целостности государств-членов Лиги Наций. В нем было опущено положение о совместном воздействии на третьи страны и обходился вопрос о равноправии Германии в вопросах вооружений. В этом "урезанном" виде "пакт четырех" не удовлетворил никого. Он не был ратифицирован подписавшими его странами и не позволил стабилизировать европейскую ситуацию. Зато сама его идея и факт подписания способствовали появлению новых линий раскола в мире. Если раньше друг другу противопоставляли демократические и тоталитарные государства, то теперь к этому добавилась оппозиция между большими и малыми странами. Хотя французское правительство после подписания пакта направило свои разъяснения по его поводу Чехословакии, Румынии, Югославии и Польше, это не предотвратило кризиса доверия внутри некогда единого лагеря победителей и примкнувших к ним. Что же касается Польши, то ее правительство открыто заявило, что оставляет за собой свободу действий в связи с линией, проводимой Францией (3871).</w:t>
      </w:r>
    </w:p>
    <w:p w14:paraId="3D927A1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4818A6EE" w14:textId="77777777" w:rsidR="009765C4" w:rsidRPr="0044524F" w:rsidRDefault="009765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июне 1933 г. изготовили макет ново</w:t>
      </w:r>
      <w:r w:rsidRPr="0044524F">
        <w:rPr>
          <w:rFonts w:ascii="Times New Roman" w:hAnsi="Times New Roman"/>
          <w:color w:val="000000" w:themeColor="text1"/>
          <w:sz w:val="16"/>
          <w:szCs w:val="16"/>
        </w:rPr>
        <w:softHyphen/>
        <w:t>го самолета (будущего Харрикейна) в масштабе 1:10 и продули его в аэродинамической трубе. К августу ре</w:t>
      </w:r>
      <w:r w:rsidRPr="0044524F">
        <w:rPr>
          <w:rFonts w:ascii="Times New Roman" w:hAnsi="Times New Roman"/>
          <w:color w:val="000000" w:themeColor="text1"/>
          <w:sz w:val="16"/>
          <w:szCs w:val="16"/>
        </w:rPr>
        <w:softHyphen/>
        <w:t>зультаты обработали и вместе с эскизным проектом представили Министерству ави</w:t>
      </w:r>
      <w:r w:rsidRPr="0044524F">
        <w:rPr>
          <w:rFonts w:ascii="Times New Roman" w:hAnsi="Times New Roman"/>
          <w:color w:val="000000" w:themeColor="text1"/>
          <w:sz w:val="16"/>
          <w:szCs w:val="16"/>
        </w:rPr>
        <w:softHyphen/>
        <w:t>ации. Большого интереса они не вызвали, ибо чиновники все-таки более склонялись к проверенным бипланам.</w:t>
      </w:r>
    </w:p>
    <w:p w14:paraId="74C8C5C9" w14:textId="77777777" w:rsidR="009765C4" w:rsidRPr="0044524F" w:rsidRDefault="009765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Кэмм продолжил работу на свой риск и за счет фирмы (он был не только главным конструктором, но и членом совета дирек</w:t>
      </w:r>
      <w:r w:rsidRPr="0044524F">
        <w:rPr>
          <w:rFonts w:ascii="Times New Roman" w:hAnsi="Times New Roman"/>
          <w:color w:val="000000" w:themeColor="text1"/>
          <w:sz w:val="16"/>
          <w:szCs w:val="16"/>
        </w:rPr>
        <w:softHyphen/>
        <w:t>торов). А деньги у «Хокер» были — на базе «Харта» расплодилось большое семейство легких бомбардировщиков, разведчиков и тяжелых истребителей, ставшее одной из основных составных частей парка Королев</w:t>
      </w:r>
      <w:r w:rsidRPr="0044524F">
        <w:rPr>
          <w:rFonts w:ascii="Times New Roman" w:hAnsi="Times New Roman"/>
          <w:color w:val="000000" w:themeColor="text1"/>
          <w:sz w:val="16"/>
          <w:szCs w:val="16"/>
        </w:rPr>
        <w:softHyphen/>
        <w:t>ских ВВС в межвоенные годы. Более того, перестраховываясь, Кэмм делал сразу две машины: параллельно с «Фьюри-монопла</w:t>
      </w:r>
      <w:r w:rsidRPr="0044524F">
        <w:rPr>
          <w:rFonts w:ascii="Times New Roman" w:hAnsi="Times New Roman"/>
          <w:color w:val="000000" w:themeColor="text1"/>
          <w:sz w:val="16"/>
          <w:szCs w:val="16"/>
        </w:rPr>
        <w:softHyphen/>
        <w:t>ном» готовился и биплан PV.3, представ</w:t>
      </w:r>
      <w:r w:rsidRPr="0044524F">
        <w:rPr>
          <w:rFonts w:ascii="Times New Roman" w:hAnsi="Times New Roman"/>
          <w:color w:val="000000" w:themeColor="text1"/>
          <w:sz w:val="16"/>
          <w:szCs w:val="16"/>
        </w:rPr>
        <w:softHyphen/>
        <w:t>лявший собой тот же «Фьюри» с усиленным вооружением и мотором «Госхок» (24506).</w:t>
      </w:r>
    </w:p>
    <w:p w14:paraId="55589B3E" w14:textId="77777777" w:rsidR="009765C4" w:rsidRPr="0044524F" w:rsidRDefault="009765C4" w:rsidP="009654CF">
      <w:pPr>
        <w:spacing w:after="0" w:line="240" w:lineRule="auto"/>
        <w:jc w:val="both"/>
        <w:rPr>
          <w:rFonts w:ascii="Times New Roman" w:hAnsi="Times New Roman"/>
          <w:color w:val="000000" w:themeColor="text1"/>
          <w:sz w:val="16"/>
          <w:szCs w:val="16"/>
        </w:rPr>
      </w:pPr>
    </w:p>
    <w:p w14:paraId="7FA5BF35" w14:textId="77777777" w:rsidR="00633EBB" w:rsidRPr="00142305" w:rsidRDefault="00633EBB" w:rsidP="00633EBB">
      <w:pPr>
        <w:spacing w:after="0" w:line="240" w:lineRule="auto"/>
        <w:jc w:val="both"/>
        <w:rPr>
          <w:rFonts w:ascii="Times New Roman" w:eastAsia="Trebuchet MS" w:hAnsi="Times New Roman"/>
          <w:color w:val="0070C0"/>
          <w:sz w:val="16"/>
          <w:szCs w:val="16"/>
          <w:shd w:val="clear" w:color="auto" w:fill="FFFFFF"/>
        </w:rPr>
      </w:pPr>
      <w:r w:rsidRPr="00142305">
        <w:rPr>
          <w:rFonts w:ascii="Times New Roman" w:eastAsia="Trebuchet MS" w:hAnsi="Times New Roman"/>
          <w:color w:val="0070C0"/>
          <w:sz w:val="16"/>
          <w:szCs w:val="16"/>
          <w:shd w:val="clear" w:color="auto" w:fill="FFFFFF"/>
        </w:rPr>
        <w:t>В июне 1933 г. Гитлер назначил инженера-художника Фрица Тогда "генеральным инспектором дорог". 600 тысяч безработных были заняты по программе строительства автобанов. В обслуживавшей строительство дорог промышленности было занято ещё 200 тысяч человек (25312).</w:t>
      </w:r>
    </w:p>
    <w:p w14:paraId="14A54CF7" w14:textId="77777777" w:rsidR="00633EBB" w:rsidRPr="00142305" w:rsidRDefault="00633EBB" w:rsidP="00633EBB">
      <w:pPr>
        <w:spacing w:after="0" w:line="240" w:lineRule="auto"/>
        <w:jc w:val="both"/>
        <w:rPr>
          <w:rFonts w:ascii="Times New Roman" w:eastAsia="Trebuchet MS" w:hAnsi="Times New Roman"/>
          <w:color w:val="0070C0"/>
          <w:sz w:val="16"/>
          <w:szCs w:val="16"/>
          <w:shd w:val="clear" w:color="auto" w:fill="FFFFFF"/>
        </w:rPr>
      </w:pPr>
    </w:p>
    <w:p w14:paraId="3762E65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In June 1933 Nazis open Dachau concentration camp (1050).</w:t>
      </w:r>
    </w:p>
    <w:p w14:paraId="682BD94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lang w:val="en-US"/>
        </w:rPr>
      </w:pPr>
    </w:p>
    <w:p w14:paraId="753C00D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нацисты открыли концлагерь Дахау (1050).</w:t>
      </w:r>
    </w:p>
    <w:p w14:paraId="19F915D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Есть данные, что в 1934</w:t>
      </w:r>
    </w:p>
    <w:p w14:paraId="03C7BBF1"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081B012"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A4C59C3"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E1C62A8"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июне-июле 1933 г. Кричевицком аэ</w:t>
      </w:r>
      <w:r w:rsidRPr="0044524F">
        <w:rPr>
          <w:rFonts w:ascii="Times New Roman" w:hAnsi="Times New Roman"/>
          <w:color w:val="000000" w:themeColor="text1"/>
          <w:sz w:val="16"/>
          <w:szCs w:val="16"/>
        </w:rPr>
        <w:softHyphen/>
        <w:t>родроме проходили войско</w:t>
      </w:r>
      <w:r w:rsidRPr="0044524F">
        <w:rPr>
          <w:rFonts w:ascii="Times New Roman" w:hAnsi="Times New Roman"/>
          <w:color w:val="000000" w:themeColor="text1"/>
          <w:sz w:val="16"/>
          <w:szCs w:val="16"/>
        </w:rPr>
        <w:softHyphen/>
        <w:t>вые испытания ТБ-1 № 678 + два И-4 №№ 1533 и 1583. Экипаж ТБ-1 состоял из командира корабля Стефанов-ского, второго пилота Вахмистрова, инже</w:t>
      </w:r>
      <w:r w:rsidRPr="0044524F">
        <w:rPr>
          <w:rFonts w:ascii="Times New Roman" w:hAnsi="Times New Roman"/>
          <w:color w:val="000000" w:themeColor="text1"/>
          <w:sz w:val="16"/>
          <w:szCs w:val="16"/>
        </w:rPr>
        <w:softHyphen/>
        <w:t>нера-монтажиста Морозова, борттехника Никитина. Левым истребителем управлял В.К. Коккинаки, правым — В.А. Степанчонок. Испытания вновь оценивались положи</w:t>
      </w:r>
      <w:r w:rsidRPr="0044524F">
        <w:rPr>
          <w:rFonts w:ascii="Times New Roman" w:hAnsi="Times New Roman"/>
          <w:color w:val="000000" w:themeColor="text1"/>
          <w:sz w:val="16"/>
          <w:szCs w:val="16"/>
        </w:rPr>
        <w:softHyphen/>
        <w:t>тельно. После произведенных доработок техника отрыва истребителей упростилась. Старт с аэродрома происходил на скорости 130 км/ч при полетной массе 9600 кг, время взлета составило 12 с. В полете самолет был устойчив, допускал виражи до 60°. За 5 полетов были оттренированы два новых пи</w:t>
      </w:r>
      <w:r w:rsidRPr="0044524F">
        <w:rPr>
          <w:rFonts w:ascii="Times New Roman" w:hAnsi="Times New Roman"/>
          <w:color w:val="000000" w:themeColor="text1"/>
          <w:sz w:val="16"/>
          <w:szCs w:val="16"/>
        </w:rPr>
        <w:softHyphen/>
        <w:t>лота на И-4 и 3 командира ТБ-1. 5 июля ко</w:t>
      </w:r>
      <w:r w:rsidRPr="0044524F">
        <w:rPr>
          <w:rFonts w:ascii="Times New Roman" w:hAnsi="Times New Roman"/>
          <w:color w:val="000000" w:themeColor="text1"/>
          <w:sz w:val="16"/>
          <w:szCs w:val="16"/>
        </w:rPr>
        <w:softHyphen/>
        <w:t>мандир авиабригады НИИ ВВС А. Залев-ский подписал следующее заключение: «Самолет 3-1 с вышеуказанными переделками вполне годен к эксплуатации в строе</w:t>
      </w:r>
      <w:r w:rsidRPr="0044524F">
        <w:rPr>
          <w:rFonts w:ascii="Times New Roman" w:hAnsi="Times New Roman"/>
          <w:color w:val="000000" w:themeColor="text1"/>
          <w:sz w:val="16"/>
          <w:szCs w:val="16"/>
        </w:rPr>
        <w:softHyphen/>
        <w:t>вых частях ВВС РККА».</w:t>
      </w:r>
    </w:p>
    <w:p w14:paraId="3201B88C"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Очевидно, к этому периоду относится и воспоминание Стефановского: «В процессе доработок меня назначили командиром «цирка Вахмистрова» — так наши летчики с чьей-то легкой руки стали величать самолет-звено. В этом названии было и восхищение созданной Владимиром Сергеевичем бое</w:t>
      </w:r>
      <w:r w:rsidRPr="0044524F">
        <w:rPr>
          <w:rFonts w:ascii="Times New Roman" w:hAnsi="Times New Roman"/>
          <w:color w:val="000000" w:themeColor="text1"/>
          <w:sz w:val="16"/>
          <w:szCs w:val="16"/>
        </w:rPr>
        <w:softHyphen/>
        <w:t>вой воздушной «единицей в трех лицах», и некоторая толика юмора. Полет самолета-звена и впрямь напоминал что-то вроде цир</w:t>
      </w:r>
      <w:r w:rsidRPr="0044524F">
        <w:rPr>
          <w:rFonts w:ascii="Times New Roman" w:hAnsi="Times New Roman"/>
          <w:color w:val="000000" w:themeColor="text1"/>
          <w:sz w:val="16"/>
          <w:szCs w:val="16"/>
        </w:rPr>
        <w:softHyphen/>
        <w:t>кового аттракциона... Вспоминается такой случай. Задание выполнялось обычное — от</w:t>
      </w:r>
      <w:r w:rsidRPr="0044524F">
        <w:rPr>
          <w:rFonts w:ascii="Times New Roman" w:hAnsi="Times New Roman"/>
          <w:color w:val="000000" w:themeColor="text1"/>
          <w:sz w:val="16"/>
          <w:szCs w:val="16"/>
        </w:rPr>
        <w:softHyphen/>
        <w:t>рабатывалась техника отрыва истребителей от бомбардировщика. ТБ-1 пилотировал я. Вторым пилотом был Михаил Александро</w:t>
      </w:r>
      <w:r w:rsidRPr="0044524F">
        <w:rPr>
          <w:rFonts w:ascii="Times New Roman" w:hAnsi="Times New Roman"/>
          <w:color w:val="000000" w:themeColor="text1"/>
          <w:sz w:val="16"/>
          <w:szCs w:val="16"/>
        </w:rPr>
        <w:softHyphen/>
        <w:t>вич Нюхтиков. На истребителях находились В. К. Коккинаки и И.Ф. Гродзь.</w:t>
      </w:r>
    </w:p>
    <w:p w14:paraId="0711B3D2"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Летим. Пришли в заданный район. Даю команду своим «седокам» — отцепляйтесь! Самолет Гродзя забалансировал на перед</w:t>
      </w:r>
      <w:r w:rsidRPr="0044524F">
        <w:rPr>
          <w:rFonts w:ascii="Times New Roman" w:hAnsi="Times New Roman"/>
          <w:color w:val="000000" w:themeColor="text1"/>
          <w:sz w:val="16"/>
          <w:szCs w:val="16"/>
        </w:rPr>
        <w:softHyphen/>
        <w:t>них креплениях. А почему Коккинаки дерга</w:t>
      </w:r>
      <w:r w:rsidRPr="0044524F">
        <w:rPr>
          <w:rFonts w:ascii="Times New Roman" w:hAnsi="Times New Roman"/>
          <w:color w:val="000000" w:themeColor="text1"/>
          <w:sz w:val="16"/>
          <w:szCs w:val="16"/>
        </w:rPr>
        <w:softHyphen/>
        <w:t>ется в кабине и, словно сумасшедший, шу</w:t>
      </w:r>
      <w:r w:rsidRPr="0044524F">
        <w:rPr>
          <w:rFonts w:ascii="Times New Roman" w:hAnsi="Times New Roman"/>
          <w:color w:val="000000" w:themeColor="text1"/>
          <w:sz w:val="16"/>
          <w:szCs w:val="16"/>
        </w:rPr>
        <w:softHyphen/>
        <w:t>рует рулями? Увлекся я разгадыванием его «манипуляций», а про Гродзя забыл. Он же по-прежнему балансирует, ждет сигнала на отрыв.</w:t>
      </w:r>
    </w:p>
    <w:p w14:paraId="4D2C346A"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Коккинаки вскоре все стало ясно: при</w:t>
      </w:r>
      <w:r w:rsidRPr="0044524F">
        <w:rPr>
          <w:rFonts w:ascii="Times New Roman" w:hAnsi="Times New Roman"/>
          <w:color w:val="000000" w:themeColor="text1"/>
          <w:sz w:val="16"/>
          <w:szCs w:val="16"/>
        </w:rPr>
        <w:softHyphen/>
        <w:t>няв команду отсоединиться, он, со всей его медвежьей силой, рванул рукоятку расцеп</w:t>
      </w:r>
      <w:r w:rsidRPr="0044524F">
        <w:rPr>
          <w:rFonts w:ascii="Times New Roman" w:hAnsi="Times New Roman"/>
          <w:color w:val="000000" w:themeColor="text1"/>
          <w:sz w:val="16"/>
          <w:szCs w:val="16"/>
        </w:rPr>
        <w:softHyphen/>
        <w:t>ления и... оборвал трос хвостового замка. А теперь вот летчик создает рулями пере</w:t>
      </w:r>
      <w:r w:rsidRPr="0044524F">
        <w:rPr>
          <w:rFonts w:ascii="Times New Roman" w:hAnsi="Times New Roman"/>
          <w:color w:val="000000" w:themeColor="text1"/>
          <w:sz w:val="16"/>
          <w:szCs w:val="16"/>
        </w:rPr>
        <w:softHyphen/>
        <w:t>грузки, чтобы оторвать замок, удерживаю</w:t>
      </w:r>
      <w:r w:rsidRPr="0044524F">
        <w:rPr>
          <w:rFonts w:ascii="Times New Roman" w:hAnsi="Times New Roman"/>
          <w:color w:val="000000" w:themeColor="text1"/>
          <w:sz w:val="16"/>
          <w:szCs w:val="16"/>
        </w:rPr>
        <w:softHyphen/>
        <w:t>щий хвост истребителя, и любой ценой от</w:t>
      </w:r>
      <w:r w:rsidRPr="0044524F">
        <w:rPr>
          <w:rFonts w:ascii="Times New Roman" w:hAnsi="Times New Roman"/>
          <w:color w:val="000000" w:themeColor="text1"/>
          <w:sz w:val="16"/>
          <w:szCs w:val="16"/>
        </w:rPr>
        <w:softHyphen/>
        <w:t>делиться от нас. Но не тут-то было. Истре</w:t>
      </w:r>
      <w:r w:rsidRPr="0044524F">
        <w:rPr>
          <w:rFonts w:ascii="Times New Roman" w:hAnsi="Times New Roman"/>
          <w:color w:val="000000" w:themeColor="text1"/>
          <w:sz w:val="16"/>
          <w:szCs w:val="16"/>
        </w:rPr>
        <w:softHyphen/>
        <w:t>битель, как припаянный, сидит на нашей плоскости. Катастрофа кажется неизбежной. Бортмеханик (жаль, забыл его фами</w:t>
      </w:r>
      <w:r w:rsidRPr="0044524F">
        <w:rPr>
          <w:rFonts w:ascii="Times New Roman" w:hAnsi="Times New Roman"/>
          <w:color w:val="000000" w:themeColor="text1"/>
          <w:sz w:val="16"/>
          <w:szCs w:val="16"/>
        </w:rPr>
        <w:softHyphen/>
        <w:t>лию) рвется на подвиг: хочет влезть на кры</w:t>
      </w:r>
      <w:r w:rsidRPr="0044524F">
        <w:rPr>
          <w:rFonts w:ascii="Times New Roman" w:hAnsi="Times New Roman"/>
          <w:color w:val="000000" w:themeColor="text1"/>
          <w:sz w:val="16"/>
          <w:szCs w:val="16"/>
        </w:rPr>
        <w:softHyphen/>
        <w:t>ло, по-пластунски добраться до хвоста ист</w:t>
      </w:r>
      <w:r w:rsidRPr="0044524F">
        <w:rPr>
          <w:rFonts w:ascii="Times New Roman" w:hAnsi="Times New Roman"/>
          <w:color w:val="000000" w:themeColor="text1"/>
          <w:sz w:val="16"/>
          <w:szCs w:val="16"/>
        </w:rPr>
        <w:softHyphen/>
        <w:t>ребителя и открыть замок. Запрещаю: по</w:t>
      </w:r>
      <w:r w:rsidRPr="0044524F">
        <w:rPr>
          <w:rFonts w:ascii="Times New Roman" w:hAnsi="Times New Roman"/>
          <w:color w:val="000000" w:themeColor="text1"/>
          <w:sz w:val="16"/>
          <w:szCs w:val="16"/>
        </w:rPr>
        <w:softHyphen/>
        <w:t>ток воздуха мгновенно сорвет его с крыла. Второй пилот Миша Нюхтиков, мой одно</w:t>
      </w:r>
      <w:r w:rsidRPr="0044524F">
        <w:rPr>
          <w:rFonts w:ascii="Times New Roman" w:hAnsi="Times New Roman"/>
          <w:color w:val="000000" w:themeColor="text1"/>
          <w:sz w:val="16"/>
          <w:szCs w:val="16"/>
        </w:rPr>
        <w:softHyphen/>
        <w:t>кашник по качинской школе, предлагает стрелять из нагана, чтобы пулей перебить злосчастный замок. Тоже мне снайпер на</w:t>
      </w:r>
      <w:r w:rsidRPr="0044524F">
        <w:rPr>
          <w:rFonts w:ascii="Times New Roman" w:hAnsi="Times New Roman"/>
          <w:color w:val="000000" w:themeColor="text1"/>
          <w:sz w:val="16"/>
          <w:szCs w:val="16"/>
        </w:rPr>
        <w:softHyphen/>
        <w:t>шелся! Еще в Коккинаки угодит.</w:t>
      </w:r>
    </w:p>
    <w:p w14:paraId="33E39808"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звено летит. Гродзь, не получив пос</w:t>
      </w:r>
      <w:r w:rsidRPr="0044524F">
        <w:rPr>
          <w:rFonts w:ascii="Times New Roman" w:hAnsi="Times New Roman"/>
          <w:color w:val="000000" w:themeColor="text1"/>
          <w:sz w:val="16"/>
          <w:szCs w:val="16"/>
        </w:rPr>
        <w:softHyphen/>
        <w:t>ледней команды и ничего не подозревая о случившемся, продолжает балансировать. Отпусти его — станет еще хуже: с одним истребителем на плоскости ни за что бла</w:t>
      </w:r>
      <w:r w:rsidRPr="0044524F">
        <w:rPr>
          <w:rFonts w:ascii="Times New Roman" w:hAnsi="Times New Roman"/>
          <w:color w:val="000000" w:themeColor="text1"/>
          <w:sz w:val="16"/>
          <w:szCs w:val="16"/>
        </w:rPr>
        <w:softHyphen/>
        <w:t>гополучно не сядешь. Да и поломкой, пожа</w:t>
      </w:r>
      <w:r w:rsidRPr="0044524F">
        <w:rPr>
          <w:rFonts w:ascii="Times New Roman" w:hAnsi="Times New Roman"/>
          <w:color w:val="000000" w:themeColor="text1"/>
          <w:sz w:val="16"/>
          <w:szCs w:val="16"/>
        </w:rPr>
        <w:softHyphen/>
        <w:t>луй, не отделаешься. Лихорадочно работа</w:t>
      </w:r>
      <w:r w:rsidRPr="0044524F">
        <w:rPr>
          <w:rFonts w:ascii="Times New Roman" w:hAnsi="Times New Roman"/>
          <w:color w:val="000000" w:themeColor="text1"/>
          <w:sz w:val="16"/>
          <w:szCs w:val="16"/>
        </w:rPr>
        <w:softHyphen/>
        <w:t>ет мозг. Нервы напряжены до предела. Что же предпринять? Правда, горючего еще много. Надо держаться поспокойнее, все хорошенько обдумать. Время еще есть.</w:t>
      </w:r>
    </w:p>
    <w:p w14:paraId="3D4C365C"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тут пришла наконец спасительная мысль. Правда, такого решения еще никто не принимал — не было подобного приме</w:t>
      </w:r>
      <w:r w:rsidRPr="0044524F">
        <w:rPr>
          <w:rFonts w:ascii="Times New Roman" w:hAnsi="Times New Roman"/>
          <w:color w:val="000000" w:themeColor="text1"/>
          <w:sz w:val="16"/>
          <w:szCs w:val="16"/>
        </w:rPr>
        <w:softHyphen/>
        <w:t>ра... Мысль воплотилась в окончательное решение: — Будем садиться втроем, — со</w:t>
      </w:r>
      <w:r w:rsidRPr="0044524F">
        <w:rPr>
          <w:rFonts w:ascii="Times New Roman" w:hAnsi="Times New Roman"/>
          <w:color w:val="000000" w:themeColor="text1"/>
          <w:sz w:val="16"/>
          <w:szCs w:val="16"/>
        </w:rPr>
        <w:softHyphen/>
        <w:t>общаю экипажу. — Все по местам.</w:t>
      </w:r>
    </w:p>
    <w:p w14:paraId="2FCE3DE4"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Теперь и Иустин Феликсович Гродзь ра</w:t>
      </w:r>
      <w:r w:rsidRPr="0044524F">
        <w:rPr>
          <w:rFonts w:ascii="Times New Roman" w:hAnsi="Times New Roman"/>
          <w:color w:val="000000" w:themeColor="text1"/>
          <w:sz w:val="16"/>
          <w:szCs w:val="16"/>
        </w:rPr>
        <w:softHyphen/>
        <w:t>зобрался в случившемся. Даю ему понять — что бы ни случилось, держись до конца: са</w:t>
      </w:r>
      <w:r w:rsidRPr="0044524F">
        <w:rPr>
          <w:rFonts w:ascii="Times New Roman" w:hAnsi="Times New Roman"/>
          <w:color w:val="000000" w:themeColor="text1"/>
          <w:sz w:val="16"/>
          <w:szCs w:val="16"/>
        </w:rPr>
        <w:softHyphen/>
        <w:t>диться будем вместе. Он кивает в ответ: по</w:t>
      </w:r>
      <w:r w:rsidRPr="0044524F">
        <w:rPr>
          <w:rFonts w:ascii="Times New Roman" w:hAnsi="Times New Roman"/>
          <w:color w:val="000000" w:themeColor="text1"/>
          <w:sz w:val="16"/>
          <w:szCs w:val="16"/>
        </w:rPr>
        <w:softHyphen/>
        <w:t>нял. Снижаемся. Все идет хорошо. Трево</w:t>
      </w:r>
      <w:r w:rsidRPr="0044524F">
        <w:rPr>
          <w:rFonts w:ascii="Times New Roman" w:hAnsi="Times New Roman"/>
          <w:color w:val="000000" w:themeColor="text1"/>
          <w:sz w:val="16"/>
          <w:szCs w:val="16"/>
        </w:rPr>
        <w:softHyphen/>
        <w:t>жит одно: выдержит ли шасси ТВ-1 посадку с таким весом?</w:t>
      </w:r>
    </w:p>
    <w:p w14:paraId="16291ED6"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Плавное касание. Самолет бежит по полосе. Шасси не подвело! Вдруг — удар, треск! Неужели машина ломается? Да нет! Вот она и скорость потеряла, остановилась. И тут возникло острое беспокойство за Иустина — не сорвался ли он с плоскос</w:t>
      </w:r>
      <w:r w:rsidRPr="0044524F">
        <w:rPr>
          <w:rFonts w:ascii="Times New Roman" w:hAnsi="Times New Roman"/>
          <w:color w:val="000000" w:themeColor="text1"/>
          <w:sz w:val="16"/>
          <w:szCs w:val="16"/>
        </w:rPr>
        <w:softHyphen/>
        <w:t>ти? Глянул в его сторону и обмер. Истреби</w:t>
      </w:r>
      <w:r w:rsidRPr="0044524F">
        <w:rPr>
          <w:rFonts w:ascii="Times New Roman" w:hAnsi="Times New Roman"/>
          <w:color w:val="000000" w:themeColor="text1"/>
          <w:sz w:val="16"/>
          <w:szCs w:val="16"/>
        </w:rPr>
        <w:softHyphen/>
        <w:t>тель повис на задней треноге крепления и раскачивается. Вверху в такт ему болтает</w:t>
      </w:r>
      <w:r w:rsidRPr="0044524F">
        <w:rPr>
          <w:rFonts w:ascii="Times New Roman" w:hAnsi="Times New Roman"/>
          <w:color w:val="000000" w:themeColor="text1"/>
          <w:sz w:val="16"/>
          <w:szCs w:val="16"/>
        </w:rPr>
        <w:softHyphen/>
        <w:t>ся летчик. Одним словом — цирк Вахмист</w:t>
      </w:r>
      <w:r w:rsidRPr="0044524F">
        <w:rPr>
          <w:rFonts w:ascii="Times New Roman" w:hAnsi="Times New Roman"/>
          <w:color w:val="000000" w:themeColor="text1"/>
          <w:sz w:val="16"/>
          <w:szCs w:val="16"/>
        </w:rPr>
        <w:softHyphen/>
        <w:t>рова.</w:t>
      </w:r>
    </w:p>
    <w:p w14:paraId="4290A466"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первую очередь освободили Гродзя. Обняли, расцеловали. Как-никак он больше всех натерпелся страху. А могло быть и ху</w:t>
      </w:r>
      <w:r w:rsidRPr="0044524F">
        <w:rPr>
          <w:rFonts w:ascii="Times New Roman" w:hAnsi="Times New Roman"/>
          <w:color w:val="000000" w:themeColor="text1"/>
          <w:sz w:val="16"/>
          <w:szCs w:val="16"/>
        </w:rPr>
        <w:softHyphen/>
        <w:t>же. Дело в том, что на пробеге, когда руль глубины из-за потери скорости потерял эф</w:t>
      </w:r>
      <w:r w:rsidRPr="0044524F">
        <w:rPr>
          <w:rFonts w:ascii="Times New Roman" w:hAnsi="Times New Roman"/>
          <w:color w:val="000000" w:themeColor="text1"/>
          <w:sz w:val="16"/>
          <w:szCs w:val="16"/>
        </w:rPr>
        <w:softHyphen/>
        <w:t>фективность, истребитель, хвост которого не был закреплен, начал сползать с плос</w:t>
      </w:r>
      <w:r w:rsidRPr="0044524F">
        <w:rPr>
          <w:rFonts w:ascii="Times New Roman" w:hAnsi="Times New Roman"/>
          <w:color w:val="000000" w:themeColor="text1"/>
          <w:sz w:val="16"/>
          <w:szCs w:val="16"/>
        </w:rPr>
        <w:softHyphen/>
        <w:t>кости бомбардировщика. Задняя ферма крепления, наклонившись под углом трид</w:t>
      </w:r>
      <w:r w:rsidRPr="0044524F">
        <w:rPr>
          <w:rFonts w:ascii="Times New Roman" w:hAnsi="Times New Roman"/>
          <w:color w:val="000000" w:themeColor="text1"/>
          <w:sz w:val="16"/>
          <w:szCs w:val="16"/>
        </w:rPr>
        <w:softHyphen/>
        <w:t>цать градусов, прорвала фюзеляж И-4 и уперлась в спинку сиденья летчика. Нос истребителя неестественно задрался. Будь при посадке толчок посильнее, самолет Гродзя сорвался бы» (11286).</w:t>
      </w:r>
    </w:p>
    <w:p w14:paraId="41FFC0C9"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93AFCC"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июне—июле 1933 г. на Кричевицком аэродроме вклись войсковые испытания модернизированного «звена».</w:t>
      </w:r>
    </w:p>
    <w:p w14:paraId="3BCBD13E"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«самолет-звено» оборудова</w:t>
      </w:r>
      <w:r w:rsidRPr="0044524F">
        <w:rPr>
          <w:rFonts w:ascii="Times New Roman" w:hAnsi="Times New Roman"/>
          <w:color w:val="000000" w:themeColor="text1"/>
          <w:sz w:val="16"/>
          <w:szCs w:val="16"/>
        </w:rPr>
        <w:softHyphen/>
        <w:t>ли ТБ-1 №678, И-4 №1533 и №1583. На этих истребителях нижние малые крылья не сни</w:t>
      </w:r>
      <w:r w:rsidRPr="0044524F">
        <w:rPr>
          <w:rFonts w:ascii="Times New Roman" w:hAnsi="Times New Roman"/>
          <w:color w:val="000000" w:themeColor="text1"/>
          <w:sz w:val="16"/>
          <w:szCs w:val="16"/>
        </w:rPr>
        <w:softHyphen/>
        <w:t>мались, а летчики сами открывали замок рас</w:t>
      </w:r>
      <w:r w:rsidRPr="0044524F">
        <w:rPr>
          <w:rFonts w:ascii="Times New Roman" w:hAnsi="Times New Roman"/>
          <w:color w:val="000000" w:themeColor="text1"/>
          <w:sz w:val="16"/>
          <w:szCs w:val="16"/>
        </w:rPr>
        <w:softHyphen/>
        <w:t xml:space="preserve">цепления при выполнении воздушного старта. Дополнительная амортизационная стойка на основном шасси ТБ-1 №678 была выполнена по типу костыля ТБ-3. </w:t>
      </w:r>
    </w:p>
    <w:p w14:paraId="152710D7"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w:t>
      </w:r>
      <w:r w:rsidRPr="0044524F">
        <w:rPr>
          <w:rFonts w:ascii="Times New Roman" w:hAnsi="Times New Roman"/>
          <w:color w:val="000000" w:themeColor="text1"/>
          <w:sz w:val="16"/>
          <w:szCs w:val="16"/>
        </w:rPr>
        <w:softHyphen/>
        <w:t>паж ТБ-1 был следующим: командир корабля Стефановский, второй пилот Вахмистров, ин</w:t>
      </w:r>
      <w:r w:rsidRPr="0044524F">
        <w:rPr>
          <w:rFonts w:ascii="Times New Roman" w:hAnsi="Times New Roman"/>
          <w:color w:val="000000" w:themeColor="text1"/>
          <w:sz w:val="16"/>
          <w:szCs w:val="16"/>
        </w:rPr>
        <w:softHyphen/>
        <w:t>женер монтажист Морозов, борттехник Ни</w:t>
      </w:r>
      <w:r w:rsidRPr="0044524F">
        <w:rPr>
          <w:rFonts w:ascii="Times New Roman" w:hAnsi="Times New Roman"/>
          <w:color w:val="000000" w:themeColor="text1"/>
          <w:sz w:val="16"/>
          <w:szCs w:val="16"/>
        </w:rPr>
        <w:softHyphen/>
        <w:t>китин. Левым истребителем управлял летчик Коккинаки, правым — Степанчонок. Испы</w:t>
      </w:r>
      <w:r w:rsidRPr="0044524F">
        <w:rPr>
          <w:rFonts w:ascii="Times New Roman" w:hAnsi="Times New Roman"/>
          <w:color w:val="000000" w:themeColor="text1"/>
          <w:sz w:val="16"/>
          <w:szCs w:val="16"/>
        </w:rPr>
        <w:softHyphen/>
        <w:t>тания и на этот раз оценивались положитель</w:t>
      </w:r>
      <w:r w:rsidRPr="0044524F">
        <w:rPr>
          <w:rFonts w:ascii="Times New Roman" w:hAnsi="Times New Roman"/>
          <w:color w:val="000000" w:themeColor="text1"/>
          <w:sz w:val="16"/>
          <w:szCs w:val="16"/>
        </w:rPr>
        <w:softHyphen/>
        <w:t>но. Подтверждалось, что после произведенных усовершенствований техника отрыва истреби</w:t>
      </w:r>
      <w:r w:rsidRPr="0044524F">
        <w:rPr>
          <w:rFonts w:ascii="Times New Roman" w:hAnsi="Times New Roman"/>
          <w:color w:val="000000" w:themeColor="text1"/>
          <w:sz w:val="16"/>
          <w:szCs w:val="16"/>
        </w:rPr>
        <w:softHyphen/>
        <w:t>телей упростилась. Взлет с аэродрома проис</w:t>
      </w:r>
      <w:r w:rsidRPr="0044524F">
        <w:rPr>
          <w:rFonts w:ascii="Times New Roman" w:hAnsi="Times New Roman"/>
          <w:color w:val="000000" w:themeColor="text1"/>
          <w:sz w:val="16"/>
          <w:szCs w:val="16"/>
        </w:rPr>
        <w:softHyphen/>
        <w:t>ходил на скорости 130 км/ч при полетном ве</w:t>
      </w:r>
      <w:r w:rsidRPr="0044524F">
        <w:rPr>
          <w:rFonts w:ascii="Times New Roman" w:hAnsi="Times New Roman"/>
          <w:color w:val="000000" w:themeColor="text1"/>
          <w:sz w:val="16"/>
          <w:szCs w:val="16"/>
        </w:rPr>
        <w:softHyphen/>
        <w:t>се 9600 кг, время взлета составляло 12 секунд. В полете составной самолет был устойчив, допу</w:t>
      </w:r>
      <w:r w:rsidRPr="0044524F">
        <w:rPr>
          <w:rFonts w:ascii="Times New Roman" w:hAnsi="Times New Roman"/>
          <w:color w:val="000000" w:themeColor="text1"/>
          <w:sz w:val="16"/>
          <w:szCs w:val="16"/>
        </w:rPr>
        <w:softHyphen/>
        <w:t>скал выполнение виражей до 60°. За 5 полетов, произведенных в Кричевицах, были обучены два новых пилота на И-4 и 3 командира ТБ-1.</w:t>
      </w:r>
    </w:p>
    <w:p w14:paraId="16BDCF5D"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завершения войсковых испытаний СЗ-1, начальник ВВС Алкснис направил до</w:t>
      </w:r>
      <w:r w:rsidRPr="0044524F">
        <w:rPr>
          <w:rFonts w:ascii="Times New Roman" w:hAnsi="Times New Roman"/>
          <w:color w:val="000000" w:themeColor="text1"/>
          <w:sz w:val="16"/>
          <w:szCs w:val="16"/>
        </w:rPr>
        <w:softHyphen/>
        <w:t>кладную записку на имя Заместителя Пред</w:t>
      </w:r>
      <w:r w:rsidRPr="0044524F">
        <w:rPr>
          <w:rFonts w:ascii="Times New Roman" w:hAnsi="Times New Roman"/>
          <w:color w:val="000000" w:themeColor="text1"/>
          <w:sz w:val="16"/>
          <w:szCs w:val="16"/>
        </w:rPr>
        <w:softHyphen/>
        <w:t>седателя РВС СССР Тухачевского. В ней го</w:t>
      </w:r>
      <w:r w:rsidRPr="0044524F">
        <w:rPr>
          <w:rFonts w:ascii="Times New Roman" w:hAnsi="Times New Roman"/>
          <w:color w:val="000000" w:themeColor="text1"/>
          <w:sz w:val="16"/>
          <w:szCs w:val="16"/>
        </w:rPr>
        <w:softHyphen/>
        <w:t>ворилось, что теперь полезная нагрузка ТБ- 1 может быть увеличена с 3500 кг до 4650 кг при условии сопровождения истребителями до цели и обратно; и до 5230 кг — при сопро</w:t>
      </w:r>
      <w:r w:rsidRPr="0044524F">
        <w:rPr>
          <w:rFonts w:ascii="Times New Roman" w:hAnsi="Times New Roman"/>
          <w:color w:val="000000" w:themeColor="text1"/>
          <w:sz w:val="16"/>
          <w:szCs w:val="16"/>
        </w:rPr>
        <w:softHyphen/>
        <w:t>вождении истребителями на расстоянии 50 км. В первом варианте дальность ТБ-1 с од</w:t>
      </w:r>
      <w:r w:rsidRPr="0044524F">
        <w:rPr>
          <w:rFonts w:ascii="Times New Roman" w:hAnsi="Times New Roman"/>
          <w:color w:val="000000" w:themeColor="text1"/>
          <w:sz w:val="16"/>
          <w:szCs w:val="16"/>
        </w:rPr>
        <w:softHyphen/>
        <w:t>ной тонной бомб увеличивается с 820 км до 1580 км, а во втором (сопровождение до 50 км) дальность увеличивается до 2000 км.</w:t>
      </w:r>
    </w:p>
    <w:p w14:paraId="0AC8F2AA"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Предлагалось наградить В.С. Вахмистро- ва Орденом Ленина, А.И. Залевского, А.Ф. Анисимова, В.П. Чкалова — Орденом Кра</w:t>
      </w:r>
      <w:r w:rsidRPr="0044524F">
        <w:rPr>
          <w:rFonts w:ascii="Times New Roman" w:hAnsi="Times New Roman"/>
          <w:color w:val="000000" w:themeColor="text1"/>
          <w:sz w:val="16"/>
          <w:szCs w:val="16"/>
        </w:rPr>
        <w:softHyphen/>
        <w:t>сной Звезды. Помимо этого Вахмистрова и Залевского предлагалось премировать ав</w:t>
      </w:r>
      <w:r w:rsidRPr="0044524F">
        <w:rPr>
          <w:rFonts w:ascii="Times New Roman" w:hAnsi="Times New Roman"/>
          <w:color w:val="000000" w:themeColor="text1"/>
          <w:sz w:val="16"/>
          <w:szCs w:val="16"/>
        </w:rPr>
        <w:softHyphen/>
        <w:t>томобилем «Форд», а Анисимова, Чкалова, механика Панюшкина и инженера Морозо</w:t>
      </w:r>
      <w:r w:rsidRPr="0044524F">
        <w:rPr>
          <w:rFonts w:ascii="Times New Roman" w:hAnsi="Times New Roman"/>
          <w:color w:val="000000" w:themeColor="text1"/>
          <w:sz w:val="16"/>
          <w:szCs w:val="16"/>
        </w:rPr>
        <w:softHyphen/>
        <w:t>ва — мотоциклами. Сам Владимир Сергеевич позднее записал: «За эти полеты три летчика и я получили по «Красной Звезде» (т.е. были награждены орденами Красная Звезда)»</w:t>
      </w:r>
    </w:p>
    <w:p w14:paraId="5A1208FF"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Впрочем, более И-4 для «Самолета-звена» не использовали. Опыты продолжили с бо</w:t>
      </w:r>
      <w:r w:rsidRPr="0044524F">
        <w:rPr>
          <w:rFonts w:ascii="Times New Roman" w:hAnsi="Times New Roman"/>
          <w:color w:val="000000" w:themeColor="text1"/>
          <w:sz w:val="16"/>
          <w:szCs w:val="16"/>
        </w:rPr>
        <w:softHyphen/>
        <w:t>лее мощными носителями ТБ-3, а в качестве закрепляемых на них самолетов сначала ис</w:t>
      </w:r>
      <w:r w:rsidRPr="0044524F">
        <w:rPr>
          <w:rFonts w:ascii="Times New Roman" w:hAnsi="Times New Roman"/>
          <w:color w:val="000000" w:themeColor="text1"/>
          <w:sz w:val="16"/>
          <w:szCs w:val="16"/>
        </w:rPr>
        <w:softHyphen/>
        <w:t>пользовали истребители И-5, а позднее мо</w:t>
      </w:r>
      <w:r w:rsidRPr="0044524F">
        <w:rPr>
          <w:rFonts w:ascii="Times New Roman" w:hAnsi="Times New Roman"/>
          <w:color w:val="000000" w:themeColor="text1"/>
          <w:sz w:val="16"/>
          <w:szCs w:val="16"/>
        </w:rPr>
        <w:softHyphen/>
        <w:t>нопланы И-16 (12295).</w:t>
      </w:r>
    </w:p>
    <w:p w14:paraId="00F0030B"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32318439"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июне-июле 1933 г. на Кричевицком аэродроме вели войсковые испытания модернизированного «звена».</w:t>
      </w:r>
    </w:p>
    <w:p w14:paraId="30AA4537"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«самолет-звено» оборудовали ТБ-1 №678, И-4 №1533 и №1583. На этих истребителях нижние малые крылья не снимались, а замок расцепления при вы</w:t>
      </w:r>
      <w:r w:rsidRPr="0044524F">
        <w:rPr>
          <w:rFonts w:ascii="Times New Roman" w:hAnsi="Times New Roman"/>
          <w:color w:val="000000" w:themeColor="text1"/>
          <w:sz w:val="16"/>
          <w:szCs w:val="16"/>
        </w:rPr>
        <w:softHyphen/>
        <w:t>полнении воздушного старта открывали летчики сами. До</w:t>
      </w:r>
      <w:r w:rsidRPr="0044524F">
        <w:rPr>
          <w:rFonts w:ascii="Times New Roman" w:hAnsi="Times New Roman"/>
          <w:color w:val="000000" w:themeColor="text1"/>
          <w:sz w:val="16"/>
          <w:szCs w:val="16"/>
        </w:rPr>
        <w:softHyphen/>
        <w:t>полнительная амортизационная стойка на основном шасси ТБ-1 была выполнена по типу костыля ТБ-3.</w:t>
      </w:r>
    </w:p>
    <w:p w14:paraId="0F2E25E7"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ТБ-1 был следующим: командир корабля Стефановский, второй пи</w:t>
      </w:r>
      <w:r w:rsidRPr="0044524F">
        <w:rPr>
          <w:rFonts w:ascii="Times New Roman" w:hAnsi="Times New Roman"/>
          <w:color w:val="000000" w:themeColor="text1"/>
          <w:sz w:val="16"/>
          <w:szCs w:val="16"/>
        </w:rPr>
        <w:softHyphen/>
        <w:t>лот Вахмистров, инженер-монтажист Морозов, борттехник Никитин. Левым истребителем управлял летчик Коккинаки, правым — летчик Степанчонок. Испытания и на этот раз оце</w:t>
      </w:r>
      <w:r w:rsidRPr="0044524F">
        <w:rPr>
          <w:rFonts w:ascii="Times New Roman" w:hAnsi="Times New Roman"/>
          <w:color w:val="000000" w:themeColor="text1"/>
          <w:sz w:val="16"/>
          <w:szCs w:val="16"/>
        </w:rPr>
        <w:softHyphen/>
        <w:t>нивались положительно. Подтверждалось, что после про</w:t>
      </w:r>
      <w:r w:rsidRPr="0044524F">
        <w:rPr>
          <w:rFonts w:ascii="Times New Roman" w:hAnsi="Times New Roman"/>
          <w:color w:val="000000" w:themeColor="text1"/>
          <w:sz w:val="16"/>
          <w:szCs w:val="16"/>
        </w:rPr>
        <w:softHyphen/>
        <w:t>изведенных усовершенствований техника отрыва истреби</w:t>
      </w:r>
      <w:r w:rsidRPr="0044524F">
        <w:rPr>
          <w:rFonts w:ascii="Times New Roman" w:hAnsi="Times New Roman"/>
          <w:color w:val="000000" w:themeColor="text1"/>
          <w:sz w:val="16"/>
          <w:szCs w:val="16"/>
        </w:rPr>
        <w:softHyphen/>
        <w:t>телей упростилась. Взлет с аэродрома происходил на скорости 130 км/ч при полетном весе 9600 кг, время взле</w:t>
      </w:r>
      <w:r w:rsidRPr="0044524F">
        <w:rPr>
          <w:rFonts w:ascii="Times New Roman" w:hAnsi="Times New Roman"/>
          <w:color w:val="000000" w:themeColor="text1"/>
          <w:sz w:val="16"/>
          <w:szCs w:val="16"/>
        </w:rPr>
        <w:softHyphen/>
        <w:t>та составляло 12 секунд. В полете составной самолет был устойчив, допускал выполнение виражей с креном до 60°. За 5 полетов, произведенных в Кричевицах, были «облетаны» два новых пилота на И-4 и 3 командира ТБ-1.</w:t>
      </w:r>
    </w:p>
    <w:p w14:paraId="7870B700"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сравнениею с обычным ТБ-1, система СЗ-1 имеет значительные пре</w:t>
      </w:r>
      <w:r w:rsidRPr="0044524F">
        <w:rPr>
          <w:rFonts w:ascii="Times New Roman" w:hAnsi="Times New Roman"/>
          <w:color w:val="000000" w:themeColor="text1"/>
          <w:sz w:val="16"/>
          <w:szCs w:val="16"/>
        </w:rPr>
        <w:softHyphen/>
        <w:t>имущества. При одинаковой нагрузке потолок увеличива</w:t>
      </w:r>
      <w:r w:rsidRPr="0044524F">
        <w:rPr>
          <w:rFonts w:ascii="Times New Roman" w:hAnsi="Times New Roman"/>
          <w:color w:val="000000" w:themeColor="text1"/>
          <w:sz w:val="16"/>
          <w:szCs w:val="16"/>
        </w:rPr>
        <w:softHyphen/>
        <w:t>ется на 500-600 метров, длина разбега уменьшается на 150-200 м. Создание СЗ-1 оценивалось как значительное достижение, для оценки тактических и эксплуатационных особенностей звена предлагалось построить эскадрилью таких самолетов. Далее предлагалось произвести установ</w:t>
      </w:r>
      <w:r w:rsidRPr="0044524F">
        <w:rPr>
          <w:rFonts w:ascii="Times New Roman" w:hAnsi="Times New Roman"/>
          <w:color w:val="000000" w:themeColor="text1"/>
          <w:sz w:val="16"/>
          <w:szCs w:val="16"/>
        </w:rPr>
        <w:softHyphen/>
        <w:t>ку на ТБ-1 двух истребителей И-5, а затем приступить к опы</w:t>
      </w:r>
      <w:r w:rsidRPr="0044524F">
        <w:rPr>
          <w:rFonts w:ascii="Times New Roman" w:hAnsi="Times New Roman"/>
          <w:color w:val="000000" w:themeColor="text1"/>
          <w:sz w:val="16"/>
          <w:szCs w:val="16"/>
        </w:rPr>
        <w:softHyphen/>
        <w:t>там по переливу горючего с ТБ-1 и ТБ-3 на И-4 и И-5.5 июля 1933 г. командир авиабригады НИИ ВВС Залев- ский подписал следующее заключение: «Самолет 3-1 с вы</w:t>
      </w:r>
      <w:r w:rsidRPr="0044524F">
        <w:rPr>
          <w:rFonts w:ascii="Times New Roman" w:hAnsi="Times New Roman"/>
          <w:color w:val="000000" w:themeColor="text1"/>
          <w:sz w:val="16"/>
          <w:szCs w:val="16"/>
        </w:rPr>
        <w:softHyphen/>
        <w:t>шеуказанными переделками вполне годен к эксплуатации в строевых частях ВВС РККА».</w:t>
      </w:r>
    </w:p>
    <w:p w14:paraId="17298206"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Очевидно, к испытаниям 1933 года относится еще одно воспоминание Стефановского:</w:t>
      </w:r>
    </w:p>
    <w:p w14:paraId="2E6DDFF2"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процессе доработок меня назначили командиром «цирка Вахмистрова» - так наши летчики с чьей-то легкой руки стали величать самолет-звено. В этом названии бы</w:t>
      </w:r>
      <w:r w:rsidRPr="0044524F">
        <w:rPr>
          <w:rFonts w:ascii="Times New Roman" w:hAnsi="Times New Roman"/>
          <w:color w:val="000000" w:themeColor="text1"/>
          <w:sz w:val="16"/>
          <w:szCs w:val="16"/>
        </w:rPr>
        <w:softHyphen/>
        <w:t>ло и восхищение созданной Владимиром Сергеевичем бо</w:t>
      </w:r>
      <w:r w:rsidRPr="0044524F">
        <w:rPr>
          <w:rFonts w:ascii="Times New Roman" w:hAnsi="Times New Roman"/>
          <w:color w:val="000000" w:themeColor="text1"/>
          <w:sz w:val="16"/>
          <w:szCs w:val="16"/>
        </w:rPr>
        <w:softHyphen/>
        <w:t>евой воздушной «единицы в трех лицах», и некоторая то</w:t>
      </w:r>
      <w:r w:rsidRPr="0044524F">
        <w:rPr>
          <w:rFonts w:ascii="Times New Roman" w:hAnsi="Times New Roman"/>
          <w:color w:val="000000" w:themeColor="text1"/>
          <w:sz w:val="16"/>
          <w:szCs w:val="16"/>
        </w:rPr>
        <w:softHyphen/>
        <w:t>лика юмора. Полет самолета-звена и впрямь напоминал что-то вроде циркового аттракциона. ТБ-1 нисколько не ут</w:t>
      </w:r>
      <w:r w:rsidRPr="0044524F">
        <w:rPr>
          <w:rFonts w:ascii="Times New Roman" w:hAnsi="Times New Roman"/>
          <w:color w:val="000000" w:themeColor="text1"/>
          <w:sz w:val="16"/>
          <w:szCs w:val="16"/>
        </w:rPr>
        <w:softHyphen/>
        <w:t>ратил своих качеств из-за размещенного на его плос</w:t>
      </w:r>
      <w:r w:rsidRPr="0044524F">
        <w:rPr>
          <w:rFonts w:ascii="Times New Roman" w:hAnsi="Times New Roman"/>
          <w:color w:val="000000" w:themeColor="text1"/>
          <w:sz w:val="16"/>
          <w:szCs w:val="16"/>
        </w:rPr>
        <w:softHyphen/>
        <w:t>костях добавочного оборудования, выполнял в полете все эволюции, вплоть до глубоких виражей. Освободившись от истребителей, он вел себя, как обычный серийный бом</w:t>
      </w:r>
      <w:r w:rsidRPr="0044524F">
        <w:rPr>
          <w:rFonts w:ascii="Times New Roman" w:hAnsi="Times New Roman"/>
          <w:color w:val="000000" w:themeColor="text1"/>
          <w:sz w:val="16"/>
          <w:szCs w:val="16"/>
        </w:rPr>
        <w:softHyphen/>
        <w:t>бардировщик. Не обошлось, правда, и без циркачества. Вспоминается такой случай.</w:t>
      </w:r>
    </w:p>
    <w:p w14:paraId="4835107E"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Задание выполнялось обычное - отрабатывалась техни</w:t>
      </w:r>
      <w:r w:rsidRPr="0044524F">
        <w:rPr>
          <w:rFonts w:ascii="Times New Roman" w:hAnsi="Times New Roman"/>
          <w:color w:val="000000" w:themeColor="text1"/>
          <w:sz w:val="16"/>
          <w:szCs w:val="16"/>
        </w:rPr>
        <w:softHyphen/>
        <w:t>ка отрыва истребителей от бомбардировщика. ТБ-1 пило</w:t>
      </w:r>
      <w:r w:rsidRPr="0044524F">
        <w:rPr>
          <w:rFonts w:ascii="Times New Roman" w:hAnsi="Times New Roman"/>
          <w:color w:val="000000" w:themeColor="text1"/>
          <w:sz w:val="16"/>
          <w:szCs w:val="16"/>
        </w:rPr>
        <w:softHyphen/>
        <w:t>тировал я. Вторым пилотом был Михаил Александрович Нюхтиков. На истребителях находились В.К. Коккинаки и И.Ф. Гродзь.</w:t>
      </w:r>
    </w:p>
    <w:p w14:paraId="36C699DA"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Летим. Пришли в заданный район. Даю команду своим «седокам» - отцепляйтесь! Самолет Гродзя забалансиро</w:t>
      </w:r>
      <w:r w:rsidRPr="0044524F">
        <w:rPr>
          <w:rFonts w:ascii="Times New Roman" w:hAnsi="Times New Roman"/>
          <w:color w:val="000000" w:themeColor="text1"/>
          <w:sz w:val="16"/>
          <w:szCs w:val="16"/>
        </w:rPr>
        <w:softHyphen/>
        <w:t>вал на передних креплениях. А почему Коккинаки дерга</w:t>
      </w:r>
      <w:r w:rsidRPr="0044524F">
        <w:rPr>
          <w:rFonts w:ascii="Times New Roman" w:hAnsi="Times New Roman"/>
          <w:color w:val="000000" w:themeColor="text1"/>
          <w:sz w:val="16"/>
          <w:szCs w:val="16"/>
        </w:rPr>
        <w:softHyphen/>
        <w:t>ется в кабине и, словно сумасшедший, шурует рулями? Ув</w:t>
      </w:r>
      <w:r w:rsidRPr="0044524F">
        <w:rPr>
          <w:rFonts w:ascii="Times New Roman" w:hAnsi="Times New Roman"/>
          <w:color w:val="000000" w:themeColor="text1"/>
          <w:sz w:val="16"/>
          <w:szCs w:val="16"/>
        </w:rPr>
        <w:softHyphen/>
        <w:t>лекся я разгадыванием его «манипуляций», а про Гродзя забыл. Он же по-прежнему балансирует, ждет сигнала на отрыв.</w:t>
      </w:r>
    </w:p>
    <w:p w14:paraId="7C08FF22"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Коккинаки вскоре все стало ясно: приняв команду отсоединиться, он, со всей его медвежьей силой, рванул рукоятку расцепления и... оборвал трос хвостового замка. А теперь вот летчик создает рулями перегрузки, чтобы ото</w:t>
      </w:r>
      <w:r w:rsidRPr="0044524F">
        <w:rPr>
          <w:rFonts w:ascii="Times New Roman" w:hAnsi="Times New Roman"/>
          <w:color w:val="000000" w:themeColor="text1"/>
          <w:sz w:val="16"/>
          <w:szCs w:val="16"/>
        </w:rPr>
        <w:softHyphen/>
        <w:t>рвать замок, удерживающий хвост истребителя, и любой ценой отделиться от нас.</w:t>
      </w:r>
    </w:p>
    <w:p w14:paraId="0030AB60"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не тут-то было. Истребитель, как припаянный, сидит на нашей плоскости. Катастрофа кажется неизбежной. Бортмеханик (жаль, забыл его фамилию) рвется на подвиг: хочет влезть на крыло, по-пластунски добраться до хвоста истребителя и открыть замок. Запрещаю: поток воз</w:t>
      </w:r>
      <w:r w:rsidRPr="0044524F">
        <w:rPr>
          <w:rFonts w:ascii="Times New Roman" w:hAnsi="Times New Roman"/>
          <w:color w:val="000000" w:themeColor="text1"/>
          <w:sz w:val="16"/>
          <w:szCs w:val="16"/>
        </w:rPr>
        <w:softHyphen/>
        <w:t>духа мгновенно сорвет его с крыла. Второй пилот Миша Нюхтиков, мой однокашник по качинской школе, предла</w:t>
      </w:r>
      <w:r w:rsidRPr="0044524F">
        <w:rPr>
          <w:rFonts w:ascii="Times New Roman" w:hAnsi="Times New Roman"/>
          <w:color w:val="000000" w:themeColor="text1"/>
          <w:sz w:val="16"/>
          <w:szCs w:val="16"/>
        </w:rPr>
        <w:softHyphen/>
        <w:t>гает стрелять из нагана, чтобы пулей перебить злосчаст</w:t>
      </w:r>
      <w:r w:rsidRPr="0044524F">
        <w:rPr>
          <w:rFonts w:ascii="Times New Roman" w:hAnsi="Times New Roman"/>
          <w:color w:val="000000" w:themeColor="text1"/>
          <w:sz w:val="16"/>
          <w:szCs w:val="16"/>
        </w:rPr>
        <w:softHyphen/>
        <w:t>ный замок. Тоже мне, снайпер нашелся! Еще в Коккина- ки угодит.</w:t>
      </w:r>
    </w:p>
    <w:p w14:paraId="662B2444"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звено летит. Гродзь, не получив последней команды, и ничего не подозревая о случившемся, продолжает ба</w:t>
      </w:r>
      <w:r w:rsidRPr="0044524F">
        <w:rPr>
          <w:rFonts w:ascii="Times New Roman" w:hAnsi="Times New Roman"/>
          <w:color w:val="000000" w:themeColor="text1"/>
          <w:sz w:val="16"/>
          <w:szCs w:val="16"/>
        </w:rPr>
        <w:softHyphen/>
        <w:t>лансировать. Отпусти его - станет еще хуже: с одним ис</w:t>
      </w:r>
      <w:r w:rsidRPr="0044524F">
        <w:rPr>
          <w:rFonts w:ascii="Times New Roman" w:hAnsi="Times New Roman"/>
          <w:color w:val="000000" w:themeColor="text1"/>
          <w:sz w:val="16"/>
          <w:szCs w:val="16"/>
        </w:rPr>
        <w:softHyphen/>
        <w:t>требителем на плоскости ни за что благополучно не ся</w:t>
      </w:r>
      <w:r w:rsidRPr="0044524F">
        <w:rPr>
          <w:rFonts w:ascii="Times New Roman" w:hAnsi="Times New Roman"/>
          <w:color w:val="000000" w:themeColor="text1"/>
          <w:sz w:val="16"/>
          <w:szCs w:val="16"/>
        </w:rPr>
        <w:softHyphen/>
        <w:t>дешь. Да и поломкой, пожалуй, не отделаешься.</w:t>
      </w:r>
    </w:p>
    <w:p w14:paraId="201B2CDB"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Лихорадочно работает мозг. Нервы напряжены до пре</w:t>
      </w:r>
      <w:r w:rsidRPr="0044524F">
        <w:rPr>
          <w:rFonts w:ascii="Times New Roman" w:hAnsi="Times New Roman"/>
          <w:color w:val="000000" w:themeColor="text1"/>
          <w:sz w:val="16"/>
          <w:szCs w:val="16"/>
        </w:rPr>
        <w:softHyphen/>
        <w:t>дела. Что же предпринять? Правда, горючего еще много. Надо держаться поспокойнее, все хорошенько обдумать. Время еще есть.</w:t>
      </w:r>
    </w:p>
    <w:p w14:paraId="4D94A1DA"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тут пришла, наконец, спасительная мысль. Правда, та</w:t>
      </w:r>
      <w:r w:rsidRPr="0044524F">
        <w:rPr>
          <w:rFonts w:ascii="Times New Roman" w:hAnsi="Times New Roman"/>
          <w:color w:val="000000" w:themeColor="text1"/>
          <w:sz w:val="16"/>
          <w:szCs w:val="16"/>
        </w:rPr>
        <w:softHyphen/>
        <w:t>кого решения еще никто не принимал - не было подоб</w:t>
      </w:r>
      <w:r w:rsidRPr="0044524F">
        <w:rPr>
          <w:rFonts w:ascii="Times New Roman" w:hAnsi="Times New Roman"/>
          <w:color w:val="000000" w:themeColor="text1"/>
          <w:sz w:val="16"/>
          <w:szCs w:val="16"/>
        </w:rPr>
        <w:softHyphen/>
        <w:t>ного примера. Но и ситуации такой тоже никогда и ни у ко</w:t>
      </w:r>
      <w:r w:rsidRPr="0044524F">
        <w:rPr>
          <w:rFonts w:ascii="Times New Roman" w:hAnsi="Times New Roman"/>
          <w:color w:val="000000" w:themeColor="text1"/>
          <w:sz w:val="16"/>
          <w:szCs w:val="16"/>
        </w:rPr>
        <w:softHyphen/>
        <w:t>го не создавалось.</w:t>
      </w:r>
    </w:p>
    <w:p w14:paraId="5A120F4C"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Мысль воплотилась в окончательное решение. - Будем садиться втроем, - сообщаю экипажу. - Все по местам.</w:t>
      </w:r>
    </w:p>
    <w:p w14:paraId="01E1AE0E"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Теперь и Иустин Феликсович Гродзь разобрался в случив</w:t>
      </w:r>
      <w:r w:rsidRPr="0044524F">
        <w:rPr>
          <w:rFonts w:ascii="Times New Roman" w:hAnsi="Times New Roman"/>
          <w:color w:val="000000" w:themeColor="text1"/>
          <w:sz w:val="16"/>
          <w:szCs w:val="16"/>
        </w:rPr>
        <w:softHyphen/>
        <w:t>шемся. Даю ему понять - что бы не случилось, держись до конца: садиться будем вместе. Он кивает в ответ: понял.</w:t>
      </w:r>
    </w:p>
    <w:p w14:paraId="49DF0196"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Снижаемся. Все идет хорошо. Тревожит одно: выдержит ли шасси ТБ-1 посадку с таким весом?</w:t>
      </w:r>
    </w:p>
    <w:p w14:paraId="0B4CC1AC"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Плавное касание. Самолет бежит по полосе. Шасси не подвели! Вдруг - удар, треск! Неужели машина ломается?</w:t>
      </w:r>
    </w:p>
    <w:p w14:paraId="1AAE965D"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 нет! Вот она и скорость потеряла, остановилась. И тут возникло острое беспокойство за Иустина - не сорвался ли он с плоскости? Гпянул в его сторону и обмер. Истре</w:t>
      </w:r>
      <w:r w:rsidRPr="0044524F">
        <w:rPr>
          <w:rFonts w:ascii="Times New Roman" w:hAnsi="Times New Roman"/>
          <w:color w:val="000000" w:themeColor="text1"/>
          <w:sz w:val="16"/>
          <w:szCs w:val="16"/>
        </w:rPr>
        <w:softHyphen/>
        <w:t>битель повис на задней треноге крепления и раскачивает</w:t>
      </w:r>
      <w:r w:rsidRPr="0044524F">
        <w:rPr>
          <w:rFonts w:ascii="Times New Roman" w:hAnsi="Times New Roman"/>
          <w:color w:val="000000" w:themeColor="text1"/>
          <w:sz w:val="16"/>
          <w:szCs w:val="16"/>
        </w:rPr>
        <w:softHyphen/>
        <w:t>ся. Вверху в такт ему болтается летчик. Одним словом - цирк Вахмистрова.</w:t>
      </w:r>
    </w:p>
    <w:p w14:paraId="36CB2E13"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первую очередь освободили Гродзя. Обняли, расцело</w:t>
      </w:r>
      <w:r w:rsidRPr="0044524F">
        <w:rPr>
          <w:rFonts w:ascii="Times New Roman" w:hAnsi="Times New Roman"/>
          <w:color w:val="000000" w:themeColor="text1"/>
          <w:sz w:val="16"/>
          <w:szCs w:val="16"/>
        </w:rPr>
        <w:softHyphen/>
        <w:t>вали. Как-никак он больше всех натерпелся страху. А мог</w:t>
      </w:r>
      <w:r w:rsidRPr="0044524F">
        <w:rPr>
          <w:rFonts w:ascii="Times New Roman" w:hAnsi="Times New Roman"/>
          <w:color w:val="000000" w:themeColor="text1"/>
          <w:sz w:val="16"/>
          <w:szCs w:val="16"/>
        </w:rPr>
        <w:softHyphen/>
        <w:t>ло быть и хуже. Дело в том, что на пробеге, когда руль глу</w:t>
      </w:r>
      <w:r w:rsidRPr="0044524F">
        <w:rPr>
          <w:rFonts w:ascii="Times New Roman" w:hAnsi="Times New Roman"/>
          <w:color w:val="000000" w:themeColor="text1"/>
          <w:sz w:val="16"/>
          <w:szCs w:val="16"/>
        </w:rPr>
        <w:softHyphen/>
        <w:t>бины из-за потери скорости потерял эффективность, истре</w:t>
      </w:r>
      <w:r w:rsidRPr="0044524F">
        <w:rPr>
          <w:rFonts w:ascii="Times New Roman" w:hAnsi="Times New Roman"/>
          <w:color w:val="000000" w:themeColor="text1"/>
          <w:sz w:val="16"/>
          <w:szCs w:val="16"/>
        </w:rPr>
        <w:softHyphen/>
        <w:t>битель, хвост которого не был закреплен, начал сползать с плоскости бомбардировщика. Задняя ферма крепления, наклонившись под углом тридцать градусов, прорвала фю</w:t>
      </w:r>
      <w:r w:rsidRPr="0044524F">
        <w:rPr>
          <w:rFonts w:ascii="Times New Roman" w:hAnsi="Times New Roman"/>
          <w:color w:val="000000" w:themeColor="text1"/>
          <w:sz w:val="16"/>
          <w:szCs w:val="16"/>
        </w:rPr>
        <w:softHyphen/>
        <w:t>зеляж И-4 и уперлась в спинку сиденья летчика. Нос истре</w:t>
      </w:r>
      <w:r w:rsidRPr="0044524F">
        <w:rPr>
          <w:rFonts w:ascii="Times New Roman" w:hAnsi="Times New Roman"/>
          <w:color w:val="000000" w:themeColor="text1"/>
          <w:sz w:val="16"/>
          <w:szCs w:val="16"/>
        </w:rPr>
        <w:softHyphen/>
        <w:t>бителя неестественно задрался. Будь при посадке толчок посильнее, самолет Гродзя сорвался бы».</w:t>
      </w:r>
    </w:p>
    <w:p w14:paraId="2BB362E6"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завершения войсковых испытаний СЗ-1, началь</w:t>
      </w:r>
      <w:r w:rsidRPr="0044524F">
        <w:rPr>
          <w:rFonts w:ascii="Times New Roman" w:hAnsi="Times New Roman"/>
          <w:color w:val="000000" w:themeColor="text1"/>
          <w:sz w:val="16"/>
          <w:szCs w:val="16"/>
        </w:rPr>
        <w:softHyphen/>
        <w:t>ник ВВС Алкснис направил докладную записку на имя за</w:t>
      </w:r>
      <w:r w:rsidRPr="0044524F">
        <w:rPr>
          <w:rFonts w:ascii="Times New Roman" w:hAnsi="Times New Roman"/>
          <w:color w:val="000000" w:themeColor="text1"/>
          <w:sz w:val="16"/>
          <w:szCs w:val="16"/>
        </w:rPr>
        <w:softHyphen/>
        <w:t>местителя председателя РВС СССР Тухачевского. В ней го</w:t>
      </w:r>
      <w:r w:rsidRPr="0044524F">
        <w:rPr>
          <w:rFonts w:ascii="Times New Roman" w:hAnsi="Times New Roman"/>
          <w:color w:val="000000" w:themeColor="text1"/>
          <w:sz w:val="16"/>
          <w:szCs w:val="16"/>
        </w:rPr>
        <w:softHyphen/>
        <w:t>ворилось, что теперь полезная нагрузка ТБ-1 может быть увеличена с 3500 до 4650 кг при условии сопровождения истребителями до цели и обратно и до 5230 кг - при сопровождении истребителями на расстоянии 50 км. В пер</w:t>
      </w:r>
      <w:r w:rsidRPr="0044524F">
        <w:rPr>
          <w:rFonts w:ascii="Times New Roman" w:hAnsi="Times New Roman"/>
          <w:color w:val="000000" w:themeColor="text1"/>
          <w:sz w:val="16"/>
          <w:szCs w:val="16"/>
        </w:rPr>
        <w:softHyphen/>
        <w:t>вом варианте дальность ТБ-1 с одной тонной бомб увели</w:t>
      </w:r>
      <w:r w:rsidRPr="0044524F">
        <w:rPr>
          <w:rFonts w:ascii="Times New Roman" w:hAnsi="Times New Roman"/>
          <w:color w:val="000000" w:themeColor="text1"/>
          <w:sz w:val="16"/>
          <w:szCs w:val="16"/>
        </w:rPr>
        <w:softHyphen/>
        <w:t>чивается с 820 км до 1580 км, а во втором (сопровожде</w:t>
      </w:r>
      <w:r w:rsidRPr="0044524F">
        <w:rPr>
          <w:rFonts w:ascii="Times New Roman" w:hAnsi="Times New Roman"/>
          <w:color w:val="000000" w:themeColor="text1"/>
          <w:sz w:val="16"/>
          <w:szCs w:val="16"/>
        </w:rPr>
        <w:softHyphen/>
        <w:t>ние до 50 км) - до 2000 км.</w:t>
      </w:r>
    </w:p>
    <w:p w14:paraId="1BE5DCC9"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высшее руководство армии и ВВС весь</w:t>
      </w:r>
      <w:r w:rsidRPr="0044524F">
        <w:rPr>
          <w:rFonts w:ascii="Times New Roman" w:hAnsi="Times New Roman"/>
          <w:color w:val="000000" w:themeColor="text1"/>
          <w:sz w:val="16"/>
          <w:szCs w:val="16"/>
        </w:rPr>
        <w:softHyphen/>
        <w:t>ма положительно оценило появление системы «Самолет- Звено». Предлагалось наградить В.С. Вахмистрова орде</w:t>
      </w:r>
      <w:r w:rsidRPr="0044524F">
        <w:rPr>
          <w:rFonts w:ascii="Times New Roman" w:hAnsi="Times New Roman"/>
          <w:color w:val="000000" w:themeColor="text1"/>
          <w:sz w:val="16"/>
          <w:szCs w:val="16"/>
        </w:rPr>
        <w:softHyphen/>
        <w:t>ном Ленина, А.И. Залевского, А.Ф. Анисимова, В.П. Чкало</w:t>
      </w:r>
      <w:r w:rsidRPr="0044524F">
        <w:rPr>
          <w:rFonts w:ascii="Times New Roman" w:hAnsi="Times New Roman"/>
          <w:color w:val="000000" w:themeColor="text1"/>
          <w:sz w:val="16"/>
          <w:szCs w:val="16"/>
        </w:rPr>
        <w:softHyphen/>
        <w:t>ва - Красной Звезды. Помимо этого, Вахмистрова и Залевского предлагалось премировать автомобилем «Форд», а Анисимова, Чкалова, механика Панюшкина и ин</w:t>
      </w:r>
      <w:r w:rsidRPr="0044524F">
        <w:rPr>
          <w:rFonts w:ascii="Times New Roman" w:hAnsi="Times New Roman"/>
          <w:color w:val="000000" w:themeColor="text1"/>
          <w:sz w:val="16"/>
          <w:szCs w:val="16"/>
        </w:rPr>
        <w:softHyphen/>
        <w:t>женера Морозова - мотоциклами. Сам Владимир Серге</w:t>
      </w:r>
      <w:r w:rsidRPr="0044524F">
        <w:rPr>
          <w:rFonts w:ascii="Times New Roman" w:hAnsi="Times New Roman"/>
          <w:color w:val="000000" w:themeColor="text1"/>
          <w:sz w:val="16"/>
          <w:szCs w:val="16"/>
        </w:rPr>
        <w:softHyphen/>
        <w:t>евич позднее записал: «За эти полеты три летчика и я по</w:t>
      </w:r>
      <w:r w:rsidRPr="0044524F">
        <w:rPr>
          <w:rFonts w:ascii="Times New Roman" w:hAnsi="Times New Roman"/>
          <w:color w:val="000000" w:themeColor="text1"/>
          <w:sz w:val="16"/>
          <w:szCs w:val="16"/>
        </w:rPr>
        <w:softHyphen/>
        <w:t>лучили по «Красной Звезде» (т.е. были награждены орде</w:t>
      </w:r>
      <w:r w:rsidRPr="0044524F">
        <w:rPr>
          <w:rFonts w:ascii="Times New Roman" w:hAnsi="Times New Roman"/>
          <w:color w:val="000000" w:themeColor="text1"/>
          <w:sz w:val="16"/>
          <w:szCs w:val="16"/>
        </w:rPr>
        <w:softHyphen/>
        <w:t>нами «Красная Звезда»)».</w:t>
      </w:r>
    </w:p>
    <w:p w14:paraId="5C53CC95"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«самолета-звена» ТБ-1+2 И-4 были не единст</w:t>
      </w:r>
      <w:r w:rsidRPr="0044524F">
        <w:rPr>
          <w:rFonts w:ascii="Times New Roman" w:hAnsi="Times New Roman"/>
          <w:color w:val="000000" w:themeColor="text1"/>
          <w:sz w:val="16"/>
          <w:szCs w:val="16"/>
        </w:rPr>
        <w:softHyphen/>
        <w:t>венными в 1933 г. (20345).</w:t>
      </w:r>
    </w:p>
    <w:p w14:paraId="15DC4780" w14:textId="77777777" w:rsidR="00231D42" w:rsidRPr="0044524F" w:rsidRDefault="00231D42" w:rsidP="009654CF">
      <w:pPr>
        <w:spacing w:after="0" w:line="240" w:lineRule="auto"/>
        <w:jc w:val="both"/>
        <w:rPr>
          <w:rFonts w:ascii="Times New Roman" w:hAnsi="Times New Roman"/>
          <w:color w:val="000000" w:themeColor="text1"/>
          <w:sz w:val="16"/>
          <w:szCs w:val="16"/>
        </w:rPr>
      </w:pPr>
    </w:p>
    <w:p w14:paraId="3EAFA509" w14:textId="77777777" w:rsidR="00231D42" w:rsidRPr="0044524F" w:rsidRDefault="00231D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w:t>
      </w:r>
      <w:r w:rsidRPr="0044524F">
        <w:rPr>
          <w:rFonts w:ascii="Times New Roman" w:hAnsi="Times New Roman"/>
          <w:color w:val="000000" w:themeColor="text1"/>
          <w:sz w:val="16"/>
          <w:szCs w:val="16"/>
        </w:rPr>
        <w:softHyphen/>
        <w:t>не-сентябре 1933 года провели летные испытания Самолет-Звено» 3-2 - ТБ-3+3 И-5. Носитель поднимался в воздух с од</w:t>
      </w:r>
      <w:r w:rsidRPr="0044524F">
        <w:rPr>
          <w:rFonts w:ascii="Times New Roman" w:hAnsi="Times New Roman"/>
          <w:color w:val="000000" w:themeColor="text1"/>
          <w:sz w:val="16"/>
          <w:szCs w:val="16"/>
        </w:rPr>
        <w:softHyphen/>
        <w:t>ним, двумя и тремя истребителями. Между тем, установка истребителей сверху крыла ока</w:t>
      </w:r>
      <w:r w:rsidRPr="0044524F">
        <w:rPr>
          <w:rFonts w:ascii="Times New Roman" w:hAnsi="Times New Roman"/>
          <w:color w:val="000000" w:themeColor="text1"/>
          <w:sz w:val="16"/>
          <w:szCs w:val="16"/>
        </w:rPr>
        <w:softHyphen/>
        <w:t>залась хороша лишь в случае использования ТБ-1. Трудо</w:t>
      </w:r>
      <w:r w:rsidRPr="0044524F">
        <w:rPr>
          <w:rFonts w:ascii="Times New Roman" w:hAnsi="Times New Roman"/>
          <w:color w:val="000000" w:themeColor="text1"/>
          <w:sz w:val="16"/>
          <w:szCs w:val="16"/>
        </w:rPr>
        <w:softHyphen/>
        <w:t>емкость закатывания истребителей на крыло ТБ-3 оказа</w:t>
      </w:r>
      <w:r w:rsidRPr="0044524F">
        <w:rPr>
          <w:rFonts w:ascii="Times New Roman" w:hAnsi="Times New Roman"/>
          <w:color w:val="000000" w:themeColor="text1"/>
          <w:sz w:val="16"/>
          <w:szCs w:val="16"/>
        </w:rPr>
        <w:softHyphen/>
        <w:t>лась значительно большей, что заставило конструктора ис</w:t>
      </w:r>
      <w:r w:rsidRPr="0044524F">
        <w:rPr>
          <w:rFonts w:ascii="Times New Roman" w:hAnsi="Times New Roman"/>
          <w:color w:val="000000" w:themeColor="text1"/>
          <w:sz w:val="16"/>
          <w:szCs w:val="16"/>
        </w:rPr>
        <w:softHyphen/>
        <w:t>кать другие варианты «звеньев». Именно поэтому в 1934 г. Вахмистров разработал комбинацию «3вено-3» (3-3), состоящую из четырехмоторного ТБ-3 и двух истре</w:t>
      </w:r>
      <w:r w:rsidRPr="0044524F">
        <w:rPr>
          <w:rFonts w:ascii="Times New Roman" w:hAnsi="Times New Roman"/>
          <w:color w:val="000000" w:themeColor="text1"/>
          <w:sz w:val="16"/>
          <w:szCs w:val="16"/>
        </w:rPr>
        <w:softHyphen/>
        <w:t>бителей И-ЗЕТ (динамореактивные пушки Курчевского на них не устанавливались). На земле истребители подрули</w:t>
      </w:r>
      <w:r w:rsidRPr="0044524F">
        <w:rPr>
          <w:rFonts w:ascii="Times New Roman" w:hAnsi="Times New Roman"/>
          <w:color w:val="000000" w:themeColor="text1"/>
          <w:sz w:val="16"/>
          <w:szCs w:val="16"/>
        </w:rPr>
        <w:softHyphen/>
        <w:t>вали под крыло бомбардировщика слева и справа, закреп</w:t>
      </w:r>
      <w:r w:rsidRPr="0044524F">
        <w:rPr>
          <w:rFonts w:ascii="Times New Roman" w:hAnsi="Times New Roman"/>
          <w:color w:val="000000" w:themeColor="text1"/>
          <w:sz w:val="16"/>
          <w:szCs w:val="16"/>
        </w:rPr>
        <w:softHyphen/>
        <w:t>лялись на специальной плавающей подвеске, позволявшей в воздухе перед отцепкой опускать их на 0,5 м (20345).</w:t>
      </w:r>
    </w:p>
    <w:p w14:paraId="735B1233" w14:textId="77777777" w:rsidR="00231D42" w:rsidRPr="0044524F" w:rsidRDefault="00231D42" w:rsidP="009654CF">
      <w:pPr>
        <w:spacing w:after="0" w:line="240" w:lineRule="auto"/>
        <w:jc w:val="both"/>
        <w:rPr>
          <w:rFonts w:ascii="Times New Roman" w:hAnsi="Times New Roman"/>
          <w:color w:val="000000" w:themeColor="text1"/>
          <w:sz w:val="16"/>
          <w:szCs w:val="16"/>
        </w:rPr>
      </w:pPr>
    </w:p>
    <w:p w14:paraId="6CE60A19"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w:t>
      </w:r>
      <w:r w:rsidRPr="0044524F">
        <w:rPr>
          <w:rFonts w:ascii="Times New Roman" w:hAnsi="Times New Roman"/>
          <w:color w:val="000000" w:themeColor="text1"/>
          <w:sz w:val="16"/>
          <w:szCs w:val="16"/>
        </w:rPr>
        <w:softHyphen/>
        <w:t>не-июле 1933 г. на Кричевицком аэродроме велись войсковые испытания модернизированного «звена». В «самолет-звено» оборудовали ТБ-1 №678, И-4 №1533 и №1583. На этих истребителях ни</w:t>
      </w:r>
      <w:r w:rsidRPr="0044524F">
        <w:rPr>
          <w:rFonts w:ascii="Times New Roman" w:hAnsi="Times New Roman"/>
          <w:color w:val="000000" w:themeColor="text1"/>
          <w:sz w:val="16"/>
          <w:szCs w:val="16"/>
        </w:rPr>
        <w:softHyphen/>
        <w:t>жние малые крылья не снимались, а летчики сами от</w:t>
      </w:r>
      <w:r w:rsidRPr="0044524F">
        <w:rPr>
          <w:rFonts w:ascii="Times New Roman" w:hAnsi="Times New Roman"/>
          <w:color w:val="000000" w:themeColor="text1"/>
          <w:sz w:val="16"/>
          <w:szCs w:val="16"/>
        </w:rPr>
        <w:softHyphen/>
        <w:t>крывали замок расцепления при выполнении воздуш</w:t>
      </w:r>
      <w:r w:rsidRPr="0044524F">
        <w:rPr>
          <w:rFonts w:ascii="Times New Roman" w:hAnsi="Times New Roman"/>
          <w:color w:val="000000" w:themeColor="text1"/>
          <w:sz w:val="16"/>
          <w:szCs w:val="16"/>
        </w:rPr>
        <w:softHyphen/>
        <w:t>ного старта. Дополнительная амортизационная стойка на основном шасси ТБ-1 была выполнена по типу ко</w:t>
      </w:r>
      <w:r w:rsidRPr="0044524F">
        <w:rPr>
          <w:rFonts w:ascii="Times New Roman" w:hAnsi="Times New Roman"/>
          <w:color w:val="000000" w:themeColor="text1"/>
          <w:sz w:val="16"/>
          <w:szCs w:val="16"/>
        </w:rPr>
        <w:softHyphen/>
        <w:t>стыля ТБ-3.</w:t>
      </w:r>
    </w:p>
    <w:p w14:paraId="501E4DCD"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ТБ-1 был следующим: коман</w:t>
      </w:r>
      <w:r w:rsidRPr="0044524F">
        <w:rPr>
          <w:rFonts w:ascii="Times New Roman" w:hAnsi="Times New Roman"/>
          <w:color w:val="000000" w:themeColor="text1"/>
          <w:sz w:val="16"/>
          <w:szCs w:val="16"/>
        </w:rPr>
        <w:softHyphen/>
        <w:t>дир корабля Стефановский, второй пилот Вахмист</w:t>
      </w:r>
      <w:r w:rsidRPr="0044524F">
        <w:rPr>
          <w:rFonts w:ascii="Times New Roman" w:hAnsi="Times New Roman"/>
          <w:color w:val="000000" w:themeColor="text1"/>
          <w:sz w:val="16"/>
          <w:szCs w:val="16"/>
        </w:rPr>
        <w:softHyphen/>
        <w:t>ров, инженер-монтажист Морозов, борттехник Ники</w:t>
      </w:r>
      <w:r w:rsidRPr="0044524F">
        <w:rPr>
          <w:rFonts w:ascii="Times New Roman" w:hAnsi="Times New Roman"/>
          <w:color w:val="000000" w:themeColor="text1"/>
          <w:sz w:val="16"/>
          <w:szCs w:val="16"/>
        </w:rPr>
        <w:softHyphen/>
        <w:t>тин. Левым истребителем управлял летчик Коккинаки, правым — летчик Степанчонок. Испыта</w:t>
      </w:r>
      <w:r w:rsidRPr="0044524F">
        <w:rPr>
          <w:rFonts w:ascii="Times New Roman" w:hAnsi="Times New Roman"/>
          <w:color w:val="000000" w:themeColor="text1"/>
          <w:sz w:val="16"/>
          <w:szCs w:val="16"/>
        </w:rPr>
        <w:softHyphen/>
        <w:t>ния и на этот раз оценивались положительно. Под</w:t>
      </w:r>
      <w:r w:rsidRPr="0044524F">
        <w:rPr>
          <w:rFonts w:ascii="Times New Roman" w:hAnsi="Times New Roman"/>
          <w:color w:val="000000" w:themeColor="text1"/>
          <w:sz w:val="16"/>
          <w:szCs w:val="16"/>
        </w:rPr>
        <w:softHyphen/>
        <w:t>тверждалось, что после произведенных усовершенст</w:t>
      </w:r>
      <w:r w:rsidRPr="0044524F">
        <w:rPr>
          <w:rFonts w:ascii="Times New Roman" w:hAnsi="Times New Roman"/>
          <w:color w:val="000000" w:themeColor="text1"/>
          <w:sz w:val="16"/>
          <w:szCs w:val="16"/>
        </w:rPr>
        <w:softHyphen/>
        <w:t>вований техника отрыва истребителей упростилась. Взлет с аэродрома происходил на скорости 130 км/ч при полетном весе 9600 кг, время взлета составляло 12 секунд. В полете составной самолет был устойчив, до</w:t>
      </w:r>
      <w:r w:rsidRPr="0044524F">
        <w:rPr>
          <w:rFonts w:ascii="Times New Roman" w:hAnsi="Times New Roman"/>
          <w:color w:val="000000" w:themeColor="text1"/>
          <w:sz w:val="16"/>
          <w:szCs w:val="16"/>
        </w:rPr>
        <w:softHyphen/>
        <w:t>пускал выполнение виражей до 60°. За 5 полетов, про</w:t>
      </w:r>
      <w:r w:rsidRPr="0044524F">
        <w:rPr>
          <w:rFonts w:ascii="Times New Roman" w:hAnsi="Times New Roman"/>
          <w:color w:val="000000" w:themeColor="text1"/>
          <w:sz w:val="16"/>
          <w:szCs w:val="16"/>
        </w:rPr>
        <w:softHyphen/>
        <w:t>изведенных в Кричевицах, были оттренированы два новых пилота на И-4 и три командира ТБ-1.</w:t>
      </w:r>
    </w:p>
    <w:p w14:paraId="359BA0E4"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июля 1933 г. командир авиабригады НИИ ВВС Залевский подписал следующее заключение: «Само</w:t>
      </w:r>
      <w:r w:rsidRPr="0044524F">
        <w:rPr>
          <w:rFonts w:ascii="Times New Roman" w:hAnsi="Times New Roman"/>
          <w:color w:val="000000" w:themeColor="text1"/>
          <w:sz w:val="16"/>
          <w:szCs w:val="16"/>
        </w:rPr>
        <w:softHyphen/>
        <w:t>лет З-1 с выше указанными переделками вполне го</w:t>
      </w:r>
      <w:r w:rsidRPr="0044524F">
        <w:rPr>
          <w:rFonts w:ascii="Times New Roman" w:hAnsi="Times New Roman"/>
          <w:color w:val="000000" w:themeColor="text1"/>
          <w:sz w:val="16"/>
          <w:szCs w:val="16"/>
        </w:rPr>
        <w:softHyphen/>
        <w:t>ден к эксплуатации в строевых частях ВВС РККА» (23378).</w:t>
      </w:r>
    </w:p>
    <w:p w14:paraId="2E78287D" w14:textId="77777777" w:rsidR="001D4DD5" w:rsidRPr="0044524F" w:rsidRDefault="001D4DD5" w:rsidP="009654CF">
      <w:pPr>
        <w:spacing w:after="0" w:line="240" w:lineRule="auto"/>
        <w:jc w:val="both"/>
        <w:rPr>
          <w:rFonts w:ascii="Times New Roman" w:hAnsi="Times New Roman"/>
          <w:color w:val="000000" w:themeColor="text1"/>
          <w:sz w:val="16"/>
          <w:szCs w:val="16"/>
        </w:rPr>
      </w:pPr>
    </w:p>
    <w:p w14:paraId="52B61F32"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июне-сентябре 1933 года провели летные испытания новой воздушной системы, получившей наименование «Самолет-Звено» 3-2 — ТБ-3+3 И-5. Носитель подни</w:t>
      </w:r>
      <w:r w:rsidRPr="0044524F">
        <w:rPr>
          <w:rFonts w:ascii="Times New Roman" w:hAnsi="Times New Roman"/>
          <w:color w:val="000000" w:themeColor="text1"/>
          <w:sz w:val="16"/>
          <w:szCs w:val="16"/>
        </w:rPr>
        <w:softHyphen/>
        <w:t xml:space="preserve">мался в воздух с одним, двумя и тремя истребителями. Установка истребителей сверху крыла оказалась приемлемой лишь в случае использования ТБ-1. </w:t>
      </w:r>
    </w:p>
    <w:p w14:paraId="2FD7AE90" w14:textId="77777777" w:rsidR="001D4DD5" w:rsidRPr="0044524F" w:rsidRDefault="001D4DD5" w:rsidP="009654CF">
      <w:pPr>
        <w:spacing w:after="0" w:line="240" w:lineRule="auto"/>
        <w:jc w:val="both"/>
        <w:rPr>
          <w:rFonts w:ascii="Times New Roman" w:hAnsi="Times New Roman"/>
          <w:color w:val="000000" w:themeColor="text1"/>
          <w:sz w:val="16"/>
          <w:szCs w:val="16"/>
        </w:rPr>
      </w:pPr>
    </w:p>
    <w:p w14:paraId="3A5862A2" w14:textId="77777777" w:rsidR="005E4457" w:rsidRPr="0044524F" w:rsidRDefault="005E445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июне-июле 1933 г. У-2ВС проходил войсковые испытания в Борисоглебской школе. По их результатам сделали вывод о целесообразности использования самолета в качестве учебно-боевого. У-2ВС в 1935-36 годах выпускался относительно большой серией. Было построено 468 экземпляров. Приемка самолетов осуществлялась по требованиям, изложенным в авиационном стандарте 93 СТУ, разработанным Объединенным Бюро Стандартизации ГУАП.</w:t>
      </w:r>
    </w:p>
    <w:p w14:paraId="6BCCBE96" w14:textId="77777777" w:rsidR="005E4457" w:rsidRPr="0044524F" w:rsidRDefault="005E445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Стандарт определял основные геометрические размеры самолета У-2 М-11(воор) — У-2ВС.</w:t>
      </w:r>
    </w:p>
    <w:p w14:paraId="28B86340" w14:textId="77777777" w:rsidR="005E4457" w:rsidRPr="0044524F" w:rsidRDefault="005E445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Весовые характеристики: полетный вес — 1064,00 кг.</w:t>
      </w:r>
    </w:p>
    <w:p w14:paraId="44C45150" w14:textId="77777777" w:rsidR="005E4457" w:rsidRPr="0044524F" w:rsidRDefault="005E445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самолета — 726,22 кг,</w:t>
      </w:r>
    </w:p>
    <w:p w14:paraId="3A703358" w14:textId="77777777" w:rsidR="005E4457" w:rsidRPr="0044524F" w:rsidRDefault="005E445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полной нагрузки — 237,76 кг.</w:t>
      </w:r>
    </w:p>
    <w:p w14:paraId="7D6E832B" w14:textId="77777777" w:rsidR="005E4457" w:rsidRPr="0044524F" w:rsidRDefault="005E445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Стрелковое вооружение предусматривало использование переднего огня в виде синхронного крыльевого пулемета ПВ-1 с запасом 200 патронов (ленточное питание) и заднего огня — шкворневой турели ТУР-7 под пулемет Дегтярева ДТ с запасом 252 патрона, размещенных в четырех сменных магазинах.</w:t>
      </w:r>
    </w:p>
    <w:p w14:paraId="13AAFE69" w14:textId="77777777" w:rsidR="005E4457" w:rsidRPr="0044524F" w:rsidRDefault="005E445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Бомбардировочное вооружение предусматривало подвеску шести бомб калибра 8 кг. Управление сбросом бомб механическое. Прицел для бомбометания — АП-2.</w:t>
      </w:r>
    </w:p>
    <w:p w14:paraId="21EECA4D" w14:textId="77777777" w:rsidR="005E4457" w:rsidRPr="0044524F" w:rsidRDefault="005E445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приборной доске летчика размещались: указатель скорости, высотомер, указатели поворота и скольжения, навигационные приборы — компас и часы, приборы контроля работы мотора — тахометр, манометр давления масла, термометр масла. Для улучшения обзора задней полусферы было установлено зеркало, предусматривалось переговорное устройство для связи между членами экипажа.</w:t>
      </w:r>
    </w:p>
    <w:p w14:paraId="60D3C2BD" w14:textId="77777777" w:rsidR="005E4457" w:rsidRPr="0044524F" w:rsidRDefault="005E445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Приборное оборудование кабины наблюдателя включало: указатель скорости, высотомер, манометр и термометр масла, компас.</w:t>
      </w:r>
    </w:p>
    <w:p w14:paraId="36E2B38A" w14:textId="77777777" w:rsidR="005E4457" w:rsidRPr="0044524F" w:rsidRDefault="005E445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посадки в ночных условиях под нижним крылом устанавливались два посадочных факела.</w:t>
      </w:r>
    </w:p>
    <w:p w14:paraId="320E77AC" w14:textId="77777777" w:rsidR="005E4457" w:rsidRPr="0044524F" w:rsidRDefault="005E445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вначале планировалось использовать У-2ВС преимущественно как легкий боевой самолет, то позднее он, в основном, стал применяться как учебно-тренировочный для обучения использованию стрелкового и бомбардировочного вооружения. В частности, об этом говорилось в отчете по специальным испытаниям У-2ВС в начале 1938 г. На самолете дополнительно устанавливалась фотоустановка ФТ-1 для обучения ведению фоторазведки (15142).</w:t>
      </w:r>
    </w:p>
    <w:p w14:paraId="7011C059" w14:textId="77777777" w:rsidR="005E4457" w:rsidRPr="0044524F" w:rsidRDefault="005E4457" w:rsidP="009654CF">
      <w:pPr>
        <w:spacing w:after="0" w:line="240" w:lineRule="auto"/>
        <w:jc w:val="both"/>
        <w:rPr>
          <w:rFonts w:ascii="Times New Roman" w:hAnsi="Times New Roman"/>
          <w:color w:val="000000" w:themeColor="text1"/>
          <w:sz w:val="16"/>
          <w:szCs w:val="16"/>
        </w:rPr>
      </w:pPr>
    </w:p>
    <w:p w14:paraId="12B17FC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июне-июле 1933 в Борисоглебской школе проходили войсковые испытания четырех вооруженных У-2 - серию делать не стали (217,23). Был ПВ по левому борту и ДА в задней кабине + 4 подкрыльных бомбодержателя и фотоаппарат (3523).</w:t>
      </w:r>
    </w:p>
    <w:p w14:paraId="3E7F093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2A929E13" w14:textId="48C53E71" w:rsidR="004050DA" w:rsidRPr="0044524F" w:rsidRDefault="004050DA" w:rsidP="009654CF">
      <w:pPr>
        <w:pStyle w:val="txt1"/>
        <w:shd w:val="clear" w:color="auto" w:fill="FFFFFF"/>
        <w:spacing w:before="0" w:beforeAutospacing="0" w:after="0" w:afterAutospacing="0" w:line="240" w:lineRule="auto"/>
        <w:ind w:firstLine="0"/>
        <w:rPr>
          <w:color w:val="000000" w:themeColor="text1"/>
          <w:sz w:val="16"/>
          <w:szCs w:val="16"/>
        </w:rPr>
      </w:pPr>
      <w:r w:rsidRPr="0044524F">
        <w:rPr>
          <w:color w:val="000000" w:themeColor="text1"/>
          <w:sz w:val="16"/>
          <w:szCs w:val="16"/>
        </w:rPr>
        <w:t>В июне—октябре 1933 года основоположник теоретической космонавтики К. Э. Циолковский активно участвовал в создании сценария и разработал «альбом космических путешествий» в виде эскизов для художников и подписей к рисункам для постановщиков фильма «Космический рейс», которые приезжали к нему в Калугу. Он же давал (до 1935 г.) консультации по плану полетов людей за атмосферу Земли и распространения по Солнечной системе, включая эпизоды полета и высадки на Луну. Следует отметить, что кабину ракетоплана «СССР-1» для фильма проектировал известный летчик — М. М. Громов, ставший в 1941 году начальником Летно-исследовательского института (ЛИИ). В силу столь глубокого проникновения в тему, именно в этом фильме были впервые наглядно имитированы такие спецэффекты как ракетный старт, невесомость и прогулка в скафандрах прыжками по Луне при пониженном до 1/6 от земного уровня тяготении. Вдохновленные новаторскими идеями К. Э. Циолковского и казавшейся тогда очень близкой перспективой завоевания космических высот, завершающейся высадкой человека на другое небесное тело (Луну) молодые инженеры</w:t>
      </w:r>
      <w:r w:rsidR="0088747B">
        <w:rPr>
          <w:color w:val="000000" w:themeColor="text1"/>
          <w:sz w:val="16"/>
          <w:szCs w:val="16"/>
        </w:rPr>
        <w:t xml:space="preserve"> </w:t>
      </w:r>
      <w:r w:rsidRPr="0044524F">
        <w:rPr>
          <w:rStyle w:val="highlight"/>
          <w:color w:val="000000" w:themeColor="text1"/>
          <w:sz w:val="16"/>
          <w:szCs w:val="16"/>
        </w:rPr>
        <w:t>ЦАГИ </w:t>
      </w:r>
      <w:r w:rsidRPr="0044524F">
        <w:rPr>
          <w:color w:val="000000" w:themeColor="text1"/>
          <w:sz w:val="16"/>
          <w:szCs w:val="16"/>
        </w:rPr>
        <w:t>, только что закончившие московские институты, взялись за НИОКР по авиационным скафандрам. Именно с 1936 года высотные скафандры стали проектироваться в</w:t>
      </w:r>
      <w:r w:rsidR="0088747B">
        <w:rPr>
          <w:color w:val="000000" w:themeColor="text1"/>
          <w:sz w:val="16"/>
          <w:szCs w:val="16"/>
        </w:rPr>
        <w:t xml:space="preserve"> </w:t>
      </w:r>
      <w:r w:rsidRPr="0044524F">
        <w:rPr>
          <w:rStyle w:val="highlight"/>
          <w:color w:val="000000" w:themeColor="text1"/>
          <w:sz w:val="16"/>
          <w:szCs w:val="16"/>
        </w:rPr>
        <w:t>ЦАГИ</w:t>
      </w:r>
      <w:r w:rsidR="0088747B">
        <w:rPr>
          <w:rStyle w:val="highlight"/>
          <w:color w:val="000000" w:themeColor="text1"/>
          <w:sz w:val="16"/>
          <w:szCs w:val="16"/>
        </w:rPr>
        <w:t xml:space="preserve"> </w:t>
      </w:r>
      <w:r w:rsidRPr="0044524F">
        <w:rPr>
          <w:color w:val="000000" w:themeColor="text1"/>
          <w:sz w:val="16"/>
          <w:szCs w:val="16"/>
        </w:rPr>
        <w:t>под руководством Александра Ивановича Бойко (конструкция оболочки скафандра), Андрея Ивановича Хромушкина (разработка системы жизнеобеспечения для скафандров) и Николая Григорьевича Усачева (испытания в барокамере и отработка комплекта оборудования для системы жизнеобеспечения и скафандра на борту самолета). Работы были поддержаны летно-испытательным отделом №8 и руководством</w:t>
      </w:r>
      <w:r w:rsidR="0088747B">
        <w:rPr>
          <w:color w:val="000000" w:themeColor="text1"/>
          <w:sz w:val="16"/>
          <w:szCs w:val="16"/>
        </w:rPr>
        <w:t xml:space="preserve"> </w:t>
      </w:r>
      <w:r w:rsidRPr="0044524F">
        <w:rPr>
          <w:rStyle w:val="highlight"/>
          <w:color w:val="000000" w:themeColor="text1"/>
          <w:sz w:val="16"/>
          <w:szCs w:val="16"/>
        </w:rPr>
        <w:t>ЦАГИ </w:t>
      </w:r>
      <w:r w:rsidRPr="0044524F">
        <w:rPr>
          <w:color w:val="000000" w:themeColor="text1"/>
          <w:sz w:val="16"/>
          <w:szCs w:val="16"/>
        </w:rPr>
        <w:t>, прежде всего, в целях обеспечения рекордных по высоте полетов на самолетах, не имеющих герметических кабин. Испытания было решено проводить на базе термобарокамеры «ТБК-1» и создававшейся при ней высотной</w:t>
      </w:r>
      <w:r w:rsidR="0088747B">
        <w:rPr>
          <w:color w:val="000000" w:themeColor="text1"/>
          <w:sz w:val="16"/>
          <w:szCs w:val="16"/>
        </w:rPr>
        <w:t xml:space="preserve"> </w:t>
      </w:r>
      <w:r w:rsidRPr="0044524F">
        <w:rPr>
          <w:rStyle w:val="highlight"/>
          <w:color w:val="000000" w:themeColor="text1"/>
          <w:sz w:val="16"/>
          <w:szCs w:val="16"/>
        </w:rPr>
        <w:t>лаборатории </w:t>
      </w:r>
      <w:r w:rsidRPr="0044524F">
        <w:rPr>
          <w:color w:val="000000" w:themeColor="text1"/>
          <w:sz w:val="16"/>
          <w:szCs w:val="16"/>
        </w:rPr>
        <w:t>. Тренировки летного состава с моделированием полета на высоте 14—15 км при отрицательных температурах до -60°С, специально, для подготовки к полетам в скафандрах широко развернулись после ввода в строй «ТБК-1» и завершения строительства корпуса высотной</w:t>
      </w:r>
      <w:r w:rsidR="0088747B">
        <w:rPr>
          <w:color w:val="000000" w:themeColor="text1"/>
          <w:sz w:val="16"/>
          <w:szCs w:val="16"/>
        </w:rPr>
        <w:t xml:space="preserve"> </w:t>
      </w:r>
      <w:r w:rsidRPr="0044524F">
        <w:rPr>
          <w:rStyle w:val="highlight"/>
          <w:color w:val="000000" w:themeColor="text1"/>
          <w:sz w:val="16"/>
          <w:szCs w:val="16"/>
        </w:rPr>
        <w:t>лаборатории</w:t>
      </w:r>
      <w:r w:rsidR="0088747B">
        <w:rPr>
          <w:rStyle w:val="highlight"/>
          <w:color w:val="000000" w:themeColor="text1"/>
          <w:sz w:val="16"/>
          <w:szCs w:val="16"/>
        </w:rPr>
        <w:t xml:space="preserve"> </w:t>
      </w:r>
      <w:r w:rsidRPr="0044524F">
        <w:rPr>
          <w:color w:val="000000" w:themeColor="text1"/>
          <w:sz w:val="16"/>
          <w:szCs w:val="16"/>
        </w:rPr>
        <w:t>в 1939 г. В итоге,</w:t>
      </w:r>
      <w:r w:rsidR="0088747B">
        <w:rPr>
          <w:color w:val="000000" w:themeColor="text1"/>
          <w:sz w:val="16"/>
          <w:szCs w:val="16"/>
        </w:rPr>
        <w:t xml:space="preserve"> </w:t>
      </w:r>
      <w:r w:rsidRPr="0044524F">
        <w:rPr>
          <w:rStyle w:val="highlight"/>
          <w:color w:val="000000" w:themeColor="text1"/>
          <w:sz w:val="16"/>
          <w:szCs w:val="16"/>
        </w:rPr>
        <w:t>ЦАГИ</w:t>
      </w:r>
      <w:r w:rsidR="0088747B">
        <w:rPr>
          <w:rStyle w:val="highlight"/>
          <w:color w:val="000000" w:themeColor="text1"/>
          <w:sz w:val="16"/>
          <w:szCs w:val="16"/>
        </w:rPr>
        <w:t xml:space="preserve"> </w:t>
      </w:r>
      <w:r w:rsidRPr="0044524F">
        <w:rPr>
          <w:color w:val="000000" w:themeColor="text1"/>
          <w:sz w:val="16"/>
          <w:szCs w:val="16"/>
        </w:rPr>
        <w:t>стал головным научным авиационным институтом, который накануне 2-ой мировой войны вел исследования по теме создания боевых скафандров для военной авиации. Кроме того,</w:t>
      </w:r>
      <w:r w:rsidR="0088747B">
        <w:rPr>
          <w:color w:val="000000" w:themeColor="text1"/>
          <w:sz w:val="16"/>
          <w:szCs w:val="16"/>
        </w:rPr>
        <w:t xml:space="preserve"> </w:t>
      </w:r>
      <w:r w:rsidRPr="0044524F">
        <w:rPr>
          <w:rStyle w:val="highlight"/>
          <w:color w:val="000000" w:themeColor="text1"/>
          <w:sz w:val="16"/>
          <w:szCs w:val="16"/>
        </w:rPr>
        <w:t>ЦАГИ</w:t>
      </w:r>
      <w:r w:rsidR="0088747B">
        <w:rPr>
          <w:rStyle w:val="highlight"/>
          <w:color w:val="000000" w:themeColor="text1"/>
          <w:sz w:val="16"/>
          <w:szCs w:val="16"/>
        </w:rPr>
        <w:t xml:space="preserve"> </w:t>
      </w:r>
      <w:r w:rsidRPr="0044524F">
        <w:rPr>
          <w:color w:val="000000" w:themeColor="text1"/>
          <w:sz w:val="16"/>
          <w:szCs w:val="16"/>
        </w:rPr>
        <w:t>в 1938-1940 годы провел летные испытания скафандров «</w:t>
      </w:r>
      <w:bookmarkStart w:id="31" w:name="YANDEX_10"/>
      <w:bookmarkEnd w:id="31"/>
      <w:r w:rsidRPr="0044524F">
        <w:rPr>
          <w:rStyle w:val="highlight"/>
          <w:color w:val="000000" w:themeColor="text1"/>
          <w:sz w:val="16"/>
          <w:szCs w:val="16"/>
        </w:rPr>
        <w:t> ЦАГИ </w:t>
      </w:r>
      <w:r w:rsidRPr="0044524F">
        <w:rPr>
          <w:color w:val="000000" w:themeColor="text1"/>
          <w:sz w:val="16"/>
          <w:szCs w:val="16"/>
        </w:rPr>
        <w:t>-4», «</w:t>
      </w:r>
      <w:bookmarkStart w:id="32" w:name="YANDEX_11"/>
      <w:bookmarkEnd w:id="32"/>
      <w:r w:rsidRPr="0044524F">
        <w:rPr>
          <w:rStyle w:val="highlight"/>
          <w:color w:val="000000" w:themeColor="text1"/>
          <w:sz w:val="16"/>
          <w:szCs w:val="16"/>
        </w:rPr>
        <w:t> ЦАГИ </w:t>
      </w:r>
      <w:r w:rsidRPr="0044524F">
        <w:rPr>
          <w:color w:val="000000" w:themeColor="text1"/>
          <w:sz w:val="16"/>
          <w:szCs w:val="16"/>
        </w:rPr>
        <w:t>-5» и «</w:t>
      </w:r>
      <w:bookmarkStart w:id="33" w:name="YANDEX_12"/>
      <w:bookmarkEnd w:id="33"/>
      <w:r w:rsidRPr="0044524F">
        <w:rPr>
          <w:rStyle w:val="highlight"/>
          <w:color w:val="000000" w:themeColor="text1"/>
          <w:sz w:val="16"/>
          <w:szCs w:val="16"/>
        </w:rPr>
        <w:t> ЦАГИ </w:t>
      </w:r>
      <w:r w:rsidRPr="0044524F">
        <w:rPr>
          <w:color w:val="000000" w:themeColor="text1"/>
          <w:sz w:val="16"/>
          <w:szCs w:val="16"/>
        </w:rPr>
        <w:t>-8» на бомбардировщиках (СБ-</w:t>
      </w:r>
      <w:bookmarkStart w:id="34" w:name="YANDEX_13"/>
      <w:bookmarkEnd w:id="34"/>
      <w:r w:rsidRPr="0044524F">
        <w:rPr>
          <w:rStyle w:val="highlight"/>
          <w:color w:val="000000" w:themeColor="text1"/>
          <w:sz w:val="16"/>
          <w:szCs w:val="16"/>
        </w:rPr>
        <w:t> 3 </w:t>
      </w:r>
      <w:r w:rsidRPr="0044524F">
        <w:rPr>
          <w:color w:val="000000" w:themeColor="text1"/>
          <w:sz w:val="16"/>
          <w:szCs w:val="16"/>
        </w:rPr>
        <w:t>, ТБ-3), самолете разведчике Р-5 и истребителе И-153. В предвоенный период основной вклад в создание кислородного оборудования для скафандров внесли специалисты высотной</w:t>
      </w:r>
      <w:r w:rsidR="0088747B">
        <w:rPr>
          <w:color w:val="000000" w:themeColor="text1"/>
          <w:sz w:val="16"/>
          <w:szCs w:val="16"/>
        </w:rPr>
        <w:t xml:space="preserve"> </w:t>
      </w:r>
      <w:r w:rsidRPr="0044524F">
        <w:rPr>
          <w:rStyle w:val="highlight"/>
          <w:color w:val="000000" w:themeColor="text1"/>
          <w:sz w:val="16"/>
          <w:szCs w:val="16"/>
        </w:rPr>
        <w:t>лаборатории</w:t>
      </w:r>
      <w:r w:rsidR="0088747B">
        <w:rPr>
          <w:rStyle w:val="highlight"/>
          <w:color w:val="000000" w:themeColor="text1"/>
          <w:sz w:val="16"/>
          <w:szCs w:val="16"/>
        </w:rPr>
        <w:t xml:space="preserve"> </w:t>
      </w:r>
      <w:r w:rsidRPr="0044524F">
        <w:rPr>
          <w:color w:val="000000" w:themeColor="text1"/>
          <w:sz w:val="16"/>
          <w:szCs w:val="16"/>
        </w:rPr>
        <w:t xml:space="preserve">Н. Г. Усачев, А. И. Хромушкин; а в исследование вариантов гермокабин и систем кондиционирования к ним выполнили М. С. Егоров, А. М. Гершкович, Н. Г. Усачев. Однако, в начале войны «ТБК-1» была эвакуирована вместе с инженерно-техническим составом в Новосибирск, но уже на следующий год «ТБК-1» была возвращена и восстановлена в высотной лаборатории. Всю войну в ней проводили только технические испытания оборудования, связанные с текущими нуждами фронта. Сложные и ответственные физиолого-гигиенические испытания скафандров следующего поколения, а также тренировки в барокамере «ТБК-1» летчиков и парашютистов по работе в скафандрах на высотах 15—20 км были продолжены тем же коллективом лишь после окончания Второй мировой войны, но уже в ЛИИ им. М. М. Громова (в г. Жуковском). В 1946 году для разработки и испытаний скафандров в ЛИИ была воссоздана высотная лаборатория. </w:t>
      </w:r>
    </w:p>
    <w:p w14:paraId="55C71B83" w14:textId="0DEEC4B2" w:rsidR="004050DA" w:rsidRPr="0044524F" w:rsidRDefault="004050DA" w:rsidP="009654CF">
      <w:pPr>
        <w:pStyle w:val="txt1"/>
        <w:shd w:val="clear" w:color="auto" w:fill="FFFFFF"/>
        <w:spacing w:before="0" w:beforeAutospacing="0" w:after="0" w:afterAutospacing="0" w:line="240" w:lineRule="auto"/>
        <w:ind w:firstLine="0"/>
        <w:rPr>
          <w:color w:val="000000" w:themeColor="text1"/>
          <w:sz w:val="16"/>
          <w:szCs w:val="16"/>
        </w:rPr>
      </w:pPr>
      <w:r w:rsidRPr="0044524F">
        <w:rPr>
          <w:color w:val="000000" w:themeColor="text1"/>
          <w:sz w:val="16"/>
          <w:szCs w:val="16"/>
        </w:rPr>
        <w:t>За 6 лет работы коллективом высотной лаборатории ЛИИ были созданы четыре высотных спасательных скафандра типа «ВСС ЛИИ-1-4» для стратегической и истребительной авиации (Ту-4 и МиГ-15). Однако в процессе летных испытаний летчиками ЛИИ были выявлены определенные проблемы: потребность в создании дополнительной переносной вентиляционной установки кондиционирования, необходимость переделки рабочего места в кабине под сильно ограниченную скафандром психомоторную зону операторской деятельности; 3) запотевание остекления шлема при низких температурах с использованием специальной смазки, либо внедрением электрообогрева иллюминатора. В результате скафандры не пошли в серийное производство, а изготавливались опытно-конструкторским производством ЛИИ малыми партиями в 10—50 штук для летчиков и парашютистов. Работа по серийному изготовлению авиационных скафандров типа «ВСС-04», «ВСС-04А», «ВСС-04М» и «Воркута» была продолжена А. И Бойко в 1953 году на организованном в октябре 1952 года номерном заводе № 918 МАП СССР (с 1994 г. — открытое акционерное общество научно-производственное предприятие «НПП Звезда»). Из ЛИИ на это предприятие были переведены С. М. Алексеев (первый главный конструктор «Звезды»), А. М. Гершкович (ведущий конструктор «Звезды»), А. С. Повицкий (заместитель главного конструктора «Звезды») и др. Хромушкин и Усачев остались работать над конструкцией герметических кабин и систем кондиционирования воздуха в высотной</w:t>
      </w:r>
      <w:r w:rsidR="0088747B">
        <w:rPr>
          <w:color w:val="000000" w:themeColor="text1"/>
          <w:sz w:val="16"/>
          <w:szCs w:val="16"/>
        </w:rPr>
        <w:t xml:space="preserve"> </w:t>
      </w:r>
      <w:r w:rsidRPr="0044524F">
        <w:rPr>
          <w:rStyle w:val="highlight"/>
          <w:color w:val="000000" w:themeColor="text1"/>
          <w:sz w:val="16"/>
          <w:szCs w:val="16"/>
        </w:rPr>
        <w:t>лаборатории</w:t>
      </w:r>
      <w:r w:rsidR="0088747B">
        <w:rPr>
          <w:rStyle w:val="highlight"/>
          <w:color w:val="000000" w:themeColor="text1"/>
          <w:sz w:val="16"/>
          <w:szCs w:val="16"/>
        </w:rPr>
        <w:t xml:space="preserve"> </w:t>
      </w:r>
      <w:r w:rsidRPr="0044524F">
        <w:rPr>
          <w:color w:val="000000" w:themeColor="text1"/>
          <w:sz w:val="16"/>
          <w:szCs w:val="16"/>
        </w:rPr>
        <w:t>ЛИИ под руководством лауреата государственной премии, к. т. н. — М. С. Егорова. Они периодически привлекались к проведению летных испытаний скафандров на базе ЛИИ и других институтов. Например, А. И. Хромушкин в 1962 году обеспечил научно-техническую отработку комплектов защитного снаряжения из высотно-компенсирующего костюма (ВКК), скафандра и бортовой системы СОЖ, предназначавшихся для прыжков с высоты 25485 м из стратостата с герметической кабиной в виде капсулы корабля «Восток». В экипаж стратостата «Волга» входили два парашютиста-испытателя — майор Е. Н. Андреев (катапультировался из кабины в ВКК-</w:t>
      </w:r>
      <w:bookmarkStart w:id="35" w:name="YANDEX_16"/>
      <w:bookmarkEnd w:id="35"/>
      <w:r w:rsidRPr="0044524F">
        <w:rPr>
          <w:rStyle w:val="highlight"/>
          <w:color w:val="000000" w:themeColor="text1"/>
          <w:sz w:val="16"/>
          <w:szCs w:val="16"/>
        </w:rPr>
        <w:t> 3</w:t>
      </w:r>
      <w:r w:rsidR="0088747B">
        <w:rPr>
          <w:rStyle w:val="highlight"/>
          <w:color w:val="000000" w:themeColor="text1"/>
          <w:sz w:val="16"/>
          <w:szCs w:val="16"/>
        </w:rPr>
        <w:t xml:space="preserve"> </w:t>
      </w:r>
      <w:r w:rsidRPr="0044524F">
        <w:rPr>
          <w:color w:val="000000" w:themeColor="text1"/>
          <w:sz w:val="16"/>
          <w:szCs w:val="16"/>
        </w:rPr>
        <w:t xml:space="preserve">с последующим затяжным прыжком на парашюте) и полковник П. И. Долгов (спустился на Землю после автоматического раскрытия парашюта в момент выхода из кабины стратостата, но погиб от острой гипоксии из-за разгерметизации гермошлема скафандра (12721). </w:t>
      </w:r>
    </w:p>
    <w:p w14:paraId="52775DE9" w14:textId="77777777" w:rsidR="004050DA" w:rsidRPr="0044524F" w:rsidRDefault="004050DA" w:rsidP="009654CF">
      <w:pPr>
        <w:pStyle w:val="txt1"/>
        <w:shd w:val="clear" w:color="auto" w:fill="FFFFFF"/>
        <w:spacing w:before="0" w:beforeAutospacing="0" w:after="0" w:afterAutospacing="0" w:line="240" w:lineRule="auto"/>
        <w:ind w:firstLine="0"/>
        <w:rPr>
          <w:color w:val="000000" w:themeColor="text1"/>
          <w:sz w:val="16"/>
          <w:szCs w:val="16"/>
        </w:rPr>
      </w:pPr>
    </w:p>
    <w:p w14:paraId="485A8E02"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506BED0"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D31477"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июне-июле 1933 г. проходила доводка собран</w:t>
      </w:r>
      <w:r w:rsidRPr="0044524F">
        <w:rPr>
          <w:rFonts w:ascii="Times New Roman" w:hAnsi="Times New Roman"/>
          <w:color w:val="000000" w:themeColor="text1"/>
          <w:sz w:val="16"/>
          <w:szCs w:val="16"/>
        </w:rPr>
        <w:softHyphen/>
        <w:t>ных машин в движении по окрестностям Ижевска с устранениями отказов и доработками на территории ИжМЗе [4.67] (11429).</w:t>
      </w:r>
    </w:p>
    <w:p w14:paraId="02C51072"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149897"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A2EB504"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CE35B5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лета 1933 г. С.В.Ильюшин начинает работать над проектом собственного самолета - дальнего скоростного бомбардировщика ЦКБ-26. В соответствии со спецификой ЦКБ, ориентированной на создание «легких боевых самолетов», новая машина разрабатывалась под шифром «ближний бомбардировщик» - ББ-2. С расширением фронта работ по ЦКБ-26 численность сотрудников ЦКБ, занятых этой темой, постепенно увеличивалась. После перевода В.А.Чижевского в Смоленск специалисты, работавшие над самолетом ЦКБ-26, были объединены в бригаде № 3, которой стал руководить лично С.В.Ильюшин. Понимая, что уровень качества разработки нового самолета во многом будет определяться кадровым составом конструкторского коллектива, С.В.Ильюшин очень внимательно относился к отбору специалистов для работы в этом подразделении. Он лично знакомился с каждым новым сотрудником, расспрашивал о прежней работе, старался оценить уровень его технической подготовки и знаний. При этом С.В.Ильюшин делал ставку на сочетание опытных инженеров и молодых специалистов. Его заместителем по бригаде являлся опытный инженер В.В.Калинин, еще до революции окончивший Петроградский технологический институт имени Петра Великого. Ведущими специалистами в бригаде являлись однокашники С.В.Ильюшина по академии имени Н.Е.Жуковского - А.А.Сеньков и Б.Ф.Ляпин, ранее работавший в качестве ведущего инженера при постройке гондолы стратостата «СССР» (9528).</w:t>
      </w:r>
    </w:p>
    <w:p w14:paraId="69338F8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7A167BD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года на госиспытаниях в НИИ ВВС курсовой автопилот для Р-5 показал в общем удовлетворительную работу. Зимние испытания в бригаде НИИ ВВС выявили, что этот автопилот замерзает и что в нем имеется целый ряд дефектов, кои требуют дальнейшей проверки на двух-трех автопилотах этой же конструкции. Однако, такую проверку осуществить не удалось, вследствие непонятного отказа управляющего ВОТИ Немова выдать ВВС еще два таких же автопилота построенных на средства НИИ ВВС и на средства ассигнованные СТО постановлением от 27 апреля 1933 года (4039,144).</w:t>
      </w:r>
    </w:p>
    <w:p w14:paraId="4B9AF29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1258E63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лета 1933 на Р-5 начали внедрять отдельные новшества. С 18-й серии под крылом смонтировали держатели для так называемых ракет Хольца с автоматическим сбросом догоревших ракет (если маломощные фары не помогали, их можно было использовать для освещения, например, посадочной площадки). Чуть позже изменили короба для дисков пулеметов ДА, ввели усовершенствованный кольцевой прицел, переделали привод синхронизатора. Тормоза появились только с конца осени. Из-за нехватки колес до марта следующего года с завода периодически отправляли Р-5 с новыми осями, но колесами старого образца.</w:t>
      </w:r>
    </w:p>
    <w:p w14:paraId="7784ACA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воинских частях к первым самолетам с тормозными колесами отнеслись неодобрительно. Тормоза работали ненадежно. Вскоре начали ломаться оси. Оказалось, что на заводе их делали второпях, оставляли заусенцы, забывали снимать фаски. 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выпущенной в октябре 1934 г.</w:t>
      </w:r>
    </w:p>
    <w:p w14:paraId="37DFCF3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1932-34 гг. попробовали два варианта крыла с предкрылками и закрылками. Механизация позволила снизить посадочную скорость и улучшить поведение самолета на малых скоростях, но скороподъемность и максимальная скорость уменьшились. В серию такое крыло не внедрили.</w:t>
      </w:r>
    </w:p>
    <w:p w14:paraId="201C6CE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в 1933 г. выпустили 1572 машины.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7D89EB0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2F0A259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3351C92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С лета 1933 на Р-5 начали внедрять отдельные изменения. С 18-й серии под крылом смонтировали ракетодержатели с автоматическим сбросом догоревших ракет. Чуть позже изменили короба для дисков пулеметов ДА, ввели усовершенствованный кольцевой прицел, переделали привод синхронизатора переднего пулемета. Тормоза появились с конца осени, но из-за нехватки колес до марта следующего года с завода периодически отправляли Р-5 с новыми осями, но с колесами старого образца. </w:t>
      </w:r>
    </w:p>
    <w:p w14:paraId="639FDF0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Более того, из-за нехватки отечественных колес в августе-сентябре 1933 г. пришлось выпустить партию самолетов с импортными колесами "Палмер", правда, при этом завод письменно обязался заменить их при первой возможности.</w:t>
      </w:r>
    </w:p>
    <w:p w14:paraId="073CBA7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Надо сказать, что в воинских частях к первым сериям самолетов с тормозными колесами отнеслись неодобрительно. Тормоза работали ненадежно. Вскоре начали ломаться оси. Оказалось, что на заводе их делают второпях, оставляют заусенцы, забывают снимать фаски. Смазки вообше не оказалось. Присланные самолеты перед эксплуатацией приходилось разбирать и проверять.</w:t>
      </w:r>
    </w:p>
    <w:p w14:paraId="3FC8FD7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1CB02FC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5912BB80"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года самолет ЛР Кочеригина успешно прошел Государственные испытания и был рекомендован для серийной постройки. Его смешанная конструкция со сварным фюзеляжем из хромомолибденовых труб отличалась в производстве от деревянной конструкции Р-5. Поэтому для изготовления ЛР требовалось значительное изменение технологии цехов серийного завода № 1, где предполагалось его производство (24250).</w:t>
      </w:r>
    </w:p>
    <w:p w14:paraId="3EB002A7" w14:textId="77777777" w:rsidR="001D4DD5" w:rsidRPr="0044524F" w:rsidRDefault="001D4DD5" w:rsidP="009654CF">
      <w:pPr>
        <w:spacing w:after="0" w:line="240" w:lineRule="auto"/>
        <w:jc w:val="both"/>
        <w:rPr>
          <w:rFonts w:ascii="Times New Roman" w:hAnsi="Times New Roman"/>
          <w:color w:val="000000" w:themeColor="text1"/>
          <w:sz w:val="16"/>
          <w:szCs w:val="16"/>
        </w:rPr>
      </w:pPr>
    </w:p>
    <w:p w14:paraId="2E25703C" w14:textId="77777777" w:rsidR="00681942" w:rsidRPr="0044524F" w:rsidRDefault="00681942"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Летом 1933 г. началась по</w:t>
      </w:r>
      <w:r w:rsidRPr="0044524F">
        <w:rPr>
          <w:rFonts w:ascii="Times New Roman" w:cs="Times New Roman"/>
          <w:color w:val="000000" w:themeColor="text1"/>
          <w:spacing w:val="0"/>
        </w:rPr>
        <w:softHyphen/>
        <w:t>стройка самолета ЦКБ-3 и шла без особых затруднений. По сути, техно</w:t>
      </w:r>
      <w:r w:rsidRPr="0044524F">
        <w:rPr>
          <w:rFonts w:ascii="Times New Roman" w:cs="Times New Roman"/>
          <w:color w:val="000000" w:themeColor="text1"/>
          <w:spacing w:val="0"/>
        </w:rPr>
        <w:softHyphen/>
        <w:t>логия ЦКБ-3 во многом напоминала методы, используемые при изготовлении истребителя И-5. Такие же деревянные крылья с полотняной обшивкой, дюралевое оперение и ферменный стальной каркас фюзеляжа. Новыми явились тормозные коле</w:t>
      </w:r>
      <w:r w:rsidRPr="0044524F">
        <w:rPr>
          <w:rFonts w:ascii="Times New Roman" w:cs="Times New Roman"/>
          <w:color w:val="000000" w:themeColor="text1"/>
          <w:spacing w:val="0"/>
        </w:rPr>
        <w:softHyphen/>
        <w:t>са, масляно-пневматическая амортизация, металлический винт, крепление обшивки (19107).</w:t>
      </w:r>
    </w:p>
    <w:p w14:paraId="6D4F7533" w14:textId="77777777" w:rsidR="00681942" w:rsidRPr="0044524F" w:rsidRDefault="00681942" w:rsidP="009654CF">
      <w:pPr>
        <w:pStyle w:val="27"/>
        <w:shd w:val="clear" w:color="auto" w:fill="auto"/>
        <w:spacing w:after="0" w:line="240" w:lineRule="auto"/>
        <w:ind w:firstLine="0"/>
        <w:rPr>
          <w:rFonts w:ascii="Times New Roman" w:cs="Times New Roman"/>
          <w:color w:val="000000" w:themeColor="text1"/>
          <w:spacing w:val="0"/>
        </w:rPr>
      </w:pPr>
    </w:p>
    <w:p w14:paraId="1C5029B4"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 И-5 шли в массовой серии на заводе №21. По качеству исполнения они оценивались ниже, потяжелели на 12% по сравнению с московскими машинами, лет</w:t>
      </w:r>
      <w:r w:rsidRPr="0044524F">
        <w:rPr>
          <w:rFonts w:ascii="Times New Roman" w:hAnsi="Times New Roman"/>
          <w:color w:val="000000" w:themeColor="text1"/>
          <w:sz w:val="16"/>
          <w:szCs w:val="16"/>
        </w:rPr>
        <w:softHyphen/>
        <w:t>ные качества снизились. После того как На</w:t>
      </w:r>
      <w:r w:rsidRPr="0044524F">
        <w:rPr>
          <w:rFonts w:ascii="Times New Roman" w:hAnsi="Times New Roman"/>
          <w:color w:val="000000" w:themeColor="text1"/>
          <w:sz w:val="16"/>
          <w:szCs w:val="16"/>
        </w:rPr>
        <w:softHyphen/>
        <w:t>чальник ВВС Алкснис потребовал улучшить боевые качества самолета, на И-5 задумали внедрить отдельные конструктивные реше</w:t>
      </w:r>
      <w:r w:rsidRPr="0044524F">
        <w:rPr>
          <w:rFonts w:ascii="Times New Roman" w:hAnsi="Times New Roman"/>
          <w:color w:val="000000" w:themeColor="text1"/>
          <w:sz w:val="16"/>
          <w:szCs w:val="16"/>
        </w:rPr>
        <w:softHyphen/>
        <w:t>ния, использованные в строящемся опытном истребителе ЦКБ-3 (И-15). Предлагалось применить длинный кок-обтекатель за го</w:t>
      </w:r>
      <w:r w:rsidRPr="0044524F">
        <w:rPr>
          <w:rFonts w:ascii="Times New Roman" w:hAnsi="Times New Roman"/>
          <w:color w:val="000000" w:themeColor="text1"/>
          <w:sz w:val="16"/>
          <w:szCs w:val="16"/>
        </w:rPr>
        <w:softHyphen/>
        <w:t>ловой пилота, улучшить обводы фюзеляжа и установить зализы в районе сочленения ни</w:t>
      </w:r>
      <w:r w:rsidRPr="0044524F">
        <w:rPr>
          <w:rFonts w:ascii="Times New Roman" w:hAnsi="Times New Roman"/>
          <w:color w:val="000000" w:themeColor="text1"/>
          <w:sz w:val="16"/>
          <w:szCs w:val="16"/>
        </w:rPr>
        <w:softHyphen/>
        <w:t>жнего крыла с фюзеляжем, желоба пулеметов заменить трубами, установить передвижной козырек, И-образные межкрыльевые стой</w:t>
      </w:r>
      <w:r w:rsidRPr="0044524F">
        <w:rPr>
          <w:rFonts w:ascii="Times New Roman" w:hAnsi="Times New Roman"/>
          <w:color w:val="000000" w:themeColor="text1"/>
          <w:sz w:val="16"/>
          <w:szCs w:val="16"/>
        </w:rPr>
        <w:softHyphen/>
        <w:t>ки заменить одной широкой стойкой, в кон</w:t>
      </w:r>
      <w:r w:rsidRPr="0044524F">
        <w:rPr>
          <w:rFonts w:ascii="Times New Roman" w:hAnsi="Times New Roman"/>
          <w:color w:val="000000" w:themeColor="text1"/>
          <w:sz w:val="16"/>
          <w:szCs w:val="16"/>
        </w:rPr>
        <w:softHyphen/>
        <w:t>струкции использовать сплав электрон.</w:t>
      </w:r>
    </w:p>
    <w:p w14:paraId="4A5CA1C0"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Впрочем, все эти хорошие предложения реализованы не были (12295).</w:t>
      </w:r>
    </w:p>
    <w:p w14:paraId="5EB627E7"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0C8A112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 И-5 шел в массовой серии на заводе №21. Самолеты были более грубо вы</w:t>
      </w:r>
      <w:r w:rsidRPr="0044524F">
        <w:rPr>
          <w:rFonts w:ascii="Times New Roman" w:hAnsi="Times New Roman"/>
          <w:color w:val="000000" w:themeColor="text1"/>
          <w:sz w:val="16"/>
          <w:szCs w:val="16"/>
        </w:rPr>
        <w:softHyphen/>
        <w:t>полнены, оценивались тяжелее на 12%, лет</w:t>
      </w:r>
      <w:r w:rsidRPr="0044524F">
        <w:rPr>
          <w:rFonts w:ascii="Times New Roman" w:hAnsi="Times New Roman"/>
          <w:color w:val="000000" w:themeColor="text1"/>
          <w:sz w:val="16"/>
          <w:szCs w:val="16"/>
        </w:rPr>
        <w:softHyphen/>
        <w:t>ные качества машины снизились. Начальник ВВС Алкснис потребовал резко улучшить бое- не качества самолета. Поэтому на И-5 заду</w:t>
      </w:r>
      <w:r w:rsidRPr="0044524F">
        <w:rPr>
          <w:rFonts w:ascii="Times New Roman" w:hAnsi="Times New Roman"/>
          <w:color w:val="000000" w:themeColor="text1"/>
          <w:sz w:val="16"/>
          <w:szCs w:val="16"/>
        </w:rPr>
        <w:softHyphen/>
        <w:t>вали внедрить отдельные конструктивные решения, использованные в строящемся опытном истребителе ЦКБ-3 (И-15). Пред</w:t>
      </w:r>
      <w:r w:rsidRPr="0044524F">
        <w:rPr>
          <w:rFonts w:ascii="Times New Roman" w:hAnsi="Times New Roman"/>
          <w:color w:val="000000" w:themeColor="text1"/>
          <w:sz w:val="16"/>
          <w:szCs w:val="16"/>
        </w:rPr>
        <w:softHyphen/>
        <w:t>лагалось применить длинный кок-обтекатель за головой пилота, улучшить обводы фюзеля</w:t>
      </w:r>
      <w:r w:rsidRPr="0044524F">
        <w:rPr>
          <w:rFonts w:ascii="Times New Roman" w:hAnsi="Times New Roman"/>
          <w:color w:val="000000" w:themeColor="text1"/>
          <w:sz w:val="16"/>
          <w:szCs w:val="16"/>
        </w:rPr>
        <w:softHyphen/>
        <w:t>жа и установить зализы в районе сочленения нижнего крыла с фюзеляжем, желоба пулеметов заменить трубами, установить пере</w:t>
      </w:r>
      <w:r w:rsidRPr="0044524F">
        <w:rPr>
          <w:rFonts w:ascii="Times New Roman" w:hAnsi="Times New Roman"/>
          <w:color w:val="000000" w:themeColor="text1"/>
          <w:sz w:val="16"/>
          <w:szCs w:val="16"/>
        </w:rPr>
        <w:softHyphen/>
        <w:t>движной козырек, И - образные межкрыльевые стойки заменить одной широкой стойкой, в конструкции использовать сплав элек</w:t>
      </w:r>
      <w:r w:rsidRPr="0044524F">
        <w:rPr>
          <w:rFonts w:ascii="Times New Roman" w:hAnsi="Times New Roman"/>
          <w:color w:val="000000" w:themeColor="text1"/>
          <w:sz w:val="16"/>
          <w:szCs w:val="16"/>
        </w:rPr>
        <w:softHyphen/>
        <w:t>трон. Впрочем, все эти хорошие предложения реализованы не были (11974).</w:t>
      </w:r>
    </w:p>
    <w:p w14:paraId="27C16FC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26471D43" w14:textId="77777777" w:rsidR="00ED7E8E" w:rsidRPr="00142305" w:rsidRDefault="00ED7E8E" w:rsidP="00ED7E8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Летом 1933 г. начал вырисо</w:t>
      </w:r>
      <w:r w:rsidRPr="00142305">
        <w:rPr>
          <w:rStyle w:val="aff"/>
          <w:rFonts w:ascii="Times New Roman" w:hAnsi="Times New Roman" w:cs="Times New Roman"/>
          <w:color w:val="0070C0"/>
          <w:spacing w:val="0"/>
          <w:sz w:val="16"/>
          <w:szCs w:val="16"/>
        </w:rPr>
        <w:softHyphen/>
        <w:t>вываться облик И-16 - низкоплан с фю</w:t>
      </w:r>
      <w:r w:rsidRPr="00142305">
        <w:rPr>
          <w:rStyle w:val="aff"/>
          <w:rFonts w:ascii="Times New Roman" w:hAnsi="Times New Roman" w:cs="Times New Roman"/>
          <w:color w:val="0070C0"/>
          <w:spacing w:val="0"/>
          <w:sz w:val="16"/>
          <w:szCs w:val="16"/>
        </w:rPr>
        <w:softHyphen/>
        <w:t>зеляжем монококовой конструкции, убираемым шасси и полностью закры</w:t>
      </w:r>
      <w:r w:rsidRPr="00142305">
        <w:rPr>
          <w:rStyle w:val="aff"/>
          <w:rFonts w:ascii="Times New Roman" w:hAnsi="Times New Roman" w:cs="Times New Roman"/>
          <w:color w:val="0070C0"/>
          <w:spacing w:val="0"/>
          <w:sz w:val="16"/>
          <w:szCs w:val="16"/>
        </w:rPr>
        <w:softHyphen/>
        <w:t>той кабиной летчика.</w:t>
      </w:r>
    </w:p>
    <w:p w14:paraId="113A61A5" w14:textId="77777777" w:rsidR="00ED7E8E" w:rsidRPr="00142305" w:rsidRDefault="00ED7E8E" w:rsidP="00ED7E8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Рассматрива</w:t>
      </w:r>
      <w:r w:rsidRPr="00142305">
        <w:rPr>
          <w:rStyle w:val="aff"/>
          <w:rFonts w:ascii="Times New Roman" w:hAnsi="Times New Roman" w:cs="Times New Roman"/>
          <w:color w:val="0070C0"/>
          <w:spacing w:val="0"/>
          <w:sz w:val="16"/>
          <w:szCs w:val="16"/>
        </w:rPr>
        <w:softHyphen/>
        <w:t>лись два способа капотирования дви</w:t>
      </w:r>
      <w:r w:rsidRPr="00142305">
        <w:rPr>
          <w:rStyle w:val="aff"/>
          <w:rFonts w:ascii="Times New Roman" w:hAnsi="Times New Roman" w:cs="Times New Roman"/>
          <w:color w:val="0070C0"/>
          <w:spacing w:val="0"/>
          <w:sz w:val="16"/>
          <w:szCs w:val="16"/>
        </w:rPr>
        <w:softHyphen/>
        <w:t>гателя - использование кольца Тауненда и капота НАСА. Продувки в аэро</w:t>
      </w:r>
      <w:r w:rsidRPr="00142305">
        <w:rPr>
          <w:rStyle w:val="aff"/>
          <w:rFonts w:ascii="Times New Roman" w:hAnsi="Times New Roman" w:cs="Times New Roman"/>
          <w:color w:val="0070C0"/>
          <w:spacing w:val="0"/>
          <w:sz w:val="16"/>
          <w:szCs w:val="16"/>
        </w:rPr>
        <w:softHyphen/>
        <w:t>динамических трубах показали некото</w:t>
      </w:r>
      <w:r w:rsidRPr="00142305">
        <w:rPr>
          <w:rStyle w:val="aff"/>
          <w:rFonts w:ascii="Times New Roman" w:hAnsi="Times New Roman" w:cs="Times New Roman"/>
          <w:color w:val="0070C0"/>
          <w:spacing w:val="0"/>
          <w:sz w:val="16"/>
          <w:szCs w:val="16"/>
        </w:rPr>
        <w:softHyphen/>
        <w:t>рое преимущество последнего.</w:t>
      </w:r>
    </w:p>
    <w:p w14:paraId="07C0A34D" w14:textId="77777777" w:rsidR="00ED7E8E" w:rsidRPr="00142305" w:rsidRDefault="00ED7E8E" w:rsidP="00ED7E8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Конструкторы настаивал на ис</w:t>
      </w:r>
      <w:r w:rsidRPr="00142305">
        <w:rPr>
          <w:rStyle w:val="aff"/>
          <w:rFonts w:ascii="Times New Roman" w:hAnsi="Times New Roman" w:cs="Times New Roman"/>
          <w:color w:val="0070C0"/>
          <w:spacing w:val="0"/>
          <w:sz w:val="16"/>
          <w:szCs w:val="16"/>
        </w:rPr>
        <w:softHyphen/>
        <w:t>пользовании на истребителе мотора семейства Райт «Циклон». Первые се</w:t>
      </w:r>
      <w:r w:rsidRPr="00142305">
        <w:rPr>
          <w:rStyle w:val="aff"/>
          <w:rFonts w:ascii="Times New Roman" w:hAnsi="Times New Roman" w:cs="Times New Roman"/>
          <w:color w:val="0070C0"/>
          <w:spacing w:val="0"/>
          <w:sz w:val="16"/>
          <w:szCs w:val="16"/>
        </w:rPr>
        <w:softHyphen/>
        <w:t>рийные «Циклоны» начали выпускать в США в 1925 г., к 1933 г. двигатель был значительно усовершенствован и все еще имел большой запас для модер</w:t>
      </w:r>
      <w:r w:rsidRPr="00142305">
        <w:rPr>
          <w:rStyle w:val="aff"/>
          <w:rFonts w:ascii="Times New Roman" w:hAnsi="Times New Roman" w:cs="Times New Roman"/>
          <w:color w:val="0070C0"/>
          <w:spacing w:val="0"/>
          <w:sz w:val="16"/>
          <w:szCs w:val="16"/>
        </w:rPr>
        <w:softHyphen/>
        <w:t>низации. В СССР широко применялись моторы Райт «Уирлуинд», которыми оснащались, в частности, самолеты АНТ-9. Пока велись дискуссии. Алкс</w:t>
      </w:r>
      <w:r w:rsidRPr="00142305">
        <w:rPr>
          <w:rStyle w:val="aff"/>
          <w:rFonts w:ascii="Times New Roman" w:hAnsi="Times New Roman" w:cs="Times New Roman"/>
          <w:color w:val="0070C0"/>
          <w:spacing w:val="0"/>
          <w:sz w:val="16"/>
          <w:szCs w:val="16"/>
        </w:rPr>
        <w:softHyphen/>
        <w:t>нис предложил поставить на перспек</w:t>
      </w:r>
      <w:r w:rsidRPr="00142305">
        <w:rPr>
          <w:rStyle w:val="aff"/>
          <w:rFonts w:ascii="Times New Roman" w:hAnsi="Times New Roman" w:cs="Times New Roman"/>
          <w:color w:val="0070C0"/>
          <w:spacing w:val="0"/>
          <w:sz w:val="16"/>
          <w:szCs w:val="16"/>
        </w:rPr>
        <w:softHyphen/>
        <w:t>тивный истребитель двигатель М-22. Даже учитывая явно недостаточную мощность этого мотора, самолет мог достигнуть скорости 300 км/ч на высоте 5000 м (25062).</w:t>
      </w:r>
    </w:p>
    <w:p w14:paraId="044588D5" w14:textId="77777777" w:rsidR="00ED7E8E" w:rsidRPr="00142305" w:rsidRDefault="00ED7E8E" w:rsidP="00ED7E8E">
      <w:pPr>
        <w:spacing w:after="0" w:line="240" w:lineRule="auto"/>
        <w:jc w:val="both"/>
        <w:rPr>
          <w:rFonts w:ascii="Times New Roman" w:hAnsi="Times New Roman"/>
          <w:color w:val="0070C0"/>
          <w:sz w:val="16"/>
          <w:szCs w:val="16"/>
        </w:rPr>
      </w:pPr>
    </w:p>
    <w:p w14:paraId="42E9A78A" w14:textId="77777777" w:rsidR="00B849DC" w:rsidRPr="0044524F" w:rsidRDefault="00B849D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Летом 1933 г. известный полярный летчик М.С. Бабушкин заинтересовался возможностью эксплуатации АИР-6 в Арктике. Возможно, именно с его подачи в план заводу № 47 на 1934 г. вписали 14 машин для Управления воздушной службы ГУСМП. Чем они должны были отличаться от прочих - достоверно неизвестно. Указывают, что предусматривалось утепление маслобака, масло- и бензопроводов, подводящих топливо-воздушную смесь патрубков двигателя, подогрев выхлопными газами впускного патрубка карбюратора. Для утепления использовались сукно, ватин, листовой и шнуровой асбест. Самолеты комплектовались всеми тремя вариантами шасси - колесами, лыжами и поплавками.</w:t>
      </w:r>
    </w:p>
    <w:p w14:paraId="18CD4435" w14:textId="77777777" w:rsidR="00B849DC" w:rsidRPr="0044524F" w:rsidRDefault="00B849D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Реально Управлению воздушной службы ГУСМП завод № 47 сдал три машины: третью серийную (в октябре 1934 г.), восьмую (в ноябре) и тринадцатую (в декабре). Сборку первой из них завершили 2 октября 1934 г. Никаких изменений по сравнению с остальной серией в нее не вносили. Предполагалось, что этот АИР-6 перегонят в Москву, где переставят с колес на поплавки и переоборудуют для эксплуатации в Арктике (19099).</w:t>
      </w:r>
    </w:p>
    <w:p w14:paraId="15BE6E63" w14:textId="77777777" w:rsidR="00B849DC" w:rsidRPr="0044524F" w:rsidRDefault="00B849DC" w:rsidP="009654CF">
      <w:pPr>
        <w:pStyle w:val="a8"/>
        <w:jc w:val="both"/>
        <w:rPr>
          <w:rFonts w:ascii="Times New Roman" w:hAnsi="Times New Roman" w:cs="Times New Roman"/>
          <w:color w:val="000000" w:themeColor="text1"/>
        </w:rPr>
      </w:pPr>
    </w:p>
    <w:p w14:paraId="1F0F2DE6" w14:textId="77777777" w:rsidR="00ED7E8E" w:rsidRPr="00142305" w:rsidRDefault="00ED7E8E" w:rsidP="00ED7E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w:t>
      </w:r>
      <w:r w:rsidRPr="00142305">
        <w:rPr>
          <w:rFonts w:ascii="Times New Roman" w:hAnsi="Times New Roman"/>
          <w:color w:val="0070C0"/>
          <w:sz w:val="16"/>
          <w:szCs w:val="16"/>
        </w:rPr>
        <w:softHyphen/>
        <w:t>том 1933 г. известный полярный летчик М.С. Бабушкин заинтересовался возможностью эксплуатации АИР-6 в Арктике. Возможно, именно с его подачи в план заводу № 47 на 1934 г. вписали 14 машин для Управления воз</w:t>
      </w:r>
      <w:r w:rsidRPr="00142305">
        <w:rPr>
          <w:rFonts w:ascii="Times New Roman" w:hAnsi="Times New Roman"/>
          <w:color w:val="0070C0"/>
          <w:sz w:val="16"/>
          <w:szCs w:val="16"/>
        </w:rPr>
        <w:softHyphen/>
        <w:t>душной службы ГУСМП. Чем они долж</w:t>
      </w:r>
      <w:r w:rsidRPr="00142305">
        <w:rPr>
          <w:rFonts w:ascii="Times New Roman" w:hAnsi="Times New Roman"/>
          <w:color w:val="0070C0"/>
          <w:sz w:val="16"/>
          <w:szCs w:val="16"/>
        </w:rPr>
        <w:softHyphen/>
        <w:t>ны были отличаться от прочих - досто</w:t>
      </w:r>
      <w:r w:rsidRPr="00142305">
        <w:rPr>
          <w:rFonts w:ascii="Times New Roman" w:hAnsi="Times New Roman"/>
          <w:color w:val="0070C0"/>
          <w:sz w:val="16"/>
          <w:szCs w:val="16"/>
        </w:rPr>
        <w:softHyphen/>
        <w:t>верно неизвестно. Указывают, что пре</w:t>
      </w:r>
      <w:r w:rsidRPr="00142305">
        <w:rPr>
          <w:rFonts w:ascii="Times New Roman" w:hAnsi="Times New Roman"/>
          <w:color w:val="0070C0"/>
          <w:sz w:val="16"/>
          <w:szCs w:val="16"/>
        </w:rPr>
        <w:softHyphen/>
        <w:t>дусматривалось утепление маслобака, масло- и бензопроводов, подводящих топливо-воздушную смесь патрубков двигателя, подогрев выхлопными га</w:t>
      </w:r>
      <w:r w:rsidRPr="00142305">
        <w:rPr>
          <w:rFonts w:ascii="Times New Roman" w:hAnsi="Times New Roman"/>
          <w:color w:val="0070C0"/>
          <w:sz w:val="16"/>
          <w:szCs w:val="16"/>
        </w:rPr>
        <w:softHyphen/>
        <w:t>зами впускного патрубка карбюратора. Для утепления использовались сукно, ватин, листовой и шнуровой асбест. Са</w:t>
      </w:r>
      <w:r w:rsidRPr="00142305">
        <w:rPr>
          <w:rFonts w:ascii="Times New Roman" w:hAnsi="Times New Roman"/>
          <w:color w:val="0070C0"/>
          <w:sz w:val="16"/>
          <w:szCs w:val="16"/>
        </w:rPr>
        <w:softHyphen/>
        <w:t>молеты комплектовались всеми тремя вариантами шасси - колесами, лыжами и поплавками.</w:t>
      </w:r>
    </w:p>
    <w:p w14:paraId="24608D53" w14:textId="77777777" w:rsidR="00ED7E8E" w:rsidRPr="00142305" w:rsidRDefault="00ED7E8E" w:rsidP="00ED7E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Реально Управлению воздушной службы ГУСМП завод № 47 сдал три машины: третью серийную (в октябре 1934 г), восьмую (в ноябре) и тринад</w:t>
      </w:r>
      <w:r w:rsidRPr="00142305">
        <w:rPr>
          <w:rFonts w:ascii="Times New Roman" w:hAnsi="Times New Roman"/>
          <w:color w:val="0070C0"/>
          <w:sz w:val="16"/>
          <w:szCs w:val="16"/>
        </w:rPr>
        <w:softHyphen/>
        <w:t>цатую (в декабре). Сборку первой из них завершили 2 октября 1934 г. Никаких изменений по сравнению с остальной серией в нее не вносили. Предполага</w:t>
      </w:r>
      <w:r w:rsidRPr="00142305">
        <w:rPr>
          <w:rFonts w:ascii="Times New Roman" w:hAnsi="Times New Roman"/>
          <w:color w:val="0070C0"/>
          <w:sz w:val="16"/>
          <w:szCs w:val="16"/>
        </w:rPr>
        <w:softHyphen/>
        <w:t>лось, что этот АИР-6 перегонят в Моск</w:t>
      </w:r>
      <w:r w:rsidRPr="00142305">
        <w:rPr>
          <w:rFonts w:ascii="Times New Roman" w:hAnsi="Times New Roman"/>
          <w:color w:val="0070C0"/>
          <w:sz w:val="16"/>
          <w:szCs w:val="16"/>
        </w:rPr>
        <w:softHyphen/>
        <w:t>ву, где переставят с колес на поплавки и переоборудуют для эксплуатации в Арктике 9 февраля 1935 г появилось сооб</w:t>
      </w:r>
      <w:r w:rsidRPr="00142305">
        <w:rPr>
          <w:rFonts w:ascii="Times New Roman" w:hAnsi="Times New Roman"/>
          <w:color w:val="0070C0"/>
          <w:sz w:val="16"/>
          <w:szCs w:val="16"/>
        </w:rPr>
        <w:softHyphen/>
        <w:t>щение, что новый самолет «на днях» прошел государственные испытания и передан в эксплуатацию. АИР-6 соби</w:t>
      </w:r>
      <w:r w:rsidRPr="00142305">
        <w:rPr>
          <w:rFonts w:ascii="Times New Roman" w:hAnsi="Times New Roman"/>
          <w:color w:val="0070C0"/>
          <w:sz w:val="16"/>
          <w:szCs w:val="16"/>
        </w:rPr>
        <w:softHyphen/>
        <w:t>рались использовать для связи, обслу</w:t>
      </w:r>
      <w:r w:rsidRPr="00142305">
        <w:rPr>
          <w:rFonts w:ascii="Times New Roman" w:hAnsi="Times New Roman"/>
          <w:color w:val="0070C0"/>
          <w:sz w:val="16"/>
          <w:szCs w:val="16"/>
        </w:rPr>
        <w:softHyphen/>
        <w:t>живания полярных станций, обследова</w:t>
      </w:r>
      <w:r w:rsidRPr="00142305">
        <w:rPr>
          <w:rFonts w:ascii="Times New Roman" w:hAnsi="Times New Roman"/>
          <w:color w:val="0070C0"/>
          <w:sz w:val="16"/>
          <w:szCs w:val="16"/>
        </w:rPr>
        <w:softHyphen/>
        <w:t>ния местности и коротких перелетов по островам (24945).</w:t>
      </w:r>
    </w:p>
    <w:p w14:paraId="271A688B" w14:textId="77777777" w:rsidR="00ED7E8E" w:rsidRPr="00142305" w:rsidRDefault="00ED7E8E" w:rsidP="00ED7E8E">
      <w:pPr>
        <w:spacing w:after="0" w:line="240" w:lineRule="auto"/>
        <w:jc w:val="both"/>
        <w:rPr>
          <w:rFonts w:ascii="Times New Roman" w:hAnsi="Times New Roman"/>
          <w:color w:val="0070C0"/>
          <w:sz w:val="16"/>
          <w:szCs w:val="16"/>
        </w:rPr>
      </w:pPr>
    </w:p>
    <w:p w14:paraId="459D8A3B" w14:textId="77777777" w:rsidR="00B849DC" w:rsidRPr="0044524F" w:rsidRDefault="00B849D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Летом 1933 г опытный образец АИР-6 переставили с колес на поплавки. Этот вариант получил собственное обозначение - АИР-6А. Поплавковое шасси спроектировал В.Б. Шавров. За основу он взял поплавки, созданные им же для самолета АИР-2, но увеличил их размеры и водоизмещение.</w:t>
      </w:r>
    </w:p>
    <w:p w14:paraId="47CCD119" w14:textId="77777777" w:rsidR="00B849DC" w:rsidRPr="0044524F" w:rsidRDefault="00B849D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Самолет устанавливался на два поплавка, связывавшихся между собой и с фюзеляжем машины системой труб. Сами поплавки полностью изготавливались из дерева. Каркас выполнялся из сосны и ясеня, он обшивался фанерой, которая обклеивалась полотном на аэролаке. Каждый поплавок разбивался перегородками на пять водонепроницаемых отсеков. Поплавковое шасси в целом весило 120 кг, на 85 кг тяжелее варианта с колесами.</w:t>
      </w:r>
    </w:p>
    <w:p w14:paraId="177E99DB" w14:textId="77777777" w:rsidR="00B849DC" w:rsidRPr="0044524F" w:rsidRDefault="00B849D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Первый полет на АИР-6А совершили 20 июня 1933 г. Машину пилотировал Ю.И. Пионтковский, на месте пассажира сидел А.С. Яковлев. Во второй полет взяли корреспондента газеты «Известия». А 24 июня гидроплан участвовал в спортивном празднике общества «Динамо», проходившем на водной станции напротив Центрального парка культуры и отдыха им. Горького.</w:t>
      </w:r>
    </w:p>
    <w:p w14:paraId="6EE11E01" w14:textId="77777777" w:rsidR="00B849DC" w:rsidRPr="0044524F" w:rsidRDefault="00B849D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Там же 6 - 17 июля проходили государственные испытания АИР-6А по программе СНИИ ГВФ. Кроме Ю.И. Пионт- ковского, на машине летал Б.Л. Местон. В ходе испытаний совершили перелет Москва - Коломна - Москва.</w:t>
      </w:r>
    </w:p>
    <w:p w14:paraId="4D48F616" w14:textId="77777777" w:rsidR="00B849DC" w:rsidRPr="0044524F" w:rsidRDefault="00B849D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потери скорости.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(19099).</w:t>
      </w:r>
    </w:p>
    <w:p w14:paraId="03158F39" w14:textId="77777777" w:rsidR="00B849DC" w:rsidRPr="0044524F" w:rsidRDefault="00B849DC" w:rsidP="009654CF">
      <w:pPr>
        <w:pStyle w:val="a8"/>
        <w:jc w:val="both"/>
        <w:rPr>
          <w:rFonts w:ascii="Times New Roman" w:hAnsi="Times New Roman" w:cs="Times New Roman"/>
          <w:color w:val="000000" w:themeColor="text1"/>
        </w:rPr>
      </w:pPr>
    </w:p>
    <w:p w14:paraId="3E27D741" w14:textId="77777777" w:rsidR="00ED7E8E" w:rsidRPr="0044524F" w:rsidRDefault="00ED7E8E" w:rsidP="00ED7E8E">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1933-го первый АИР-6 поставили на однореданные деревянные поплавки, спроектированные В.Б.Шавровым по подобию самолета АИР-2, но с увеличением размеров. Первый полет АИР-6А с Москвы-реки Пионтковский с пассажиром Яковлевым выполнил в июне 1933-го. В этом же месяце самолет участвовал в празднике на водной станции "Динамо" на Москве-реке. Большой интерес к самолету проявил известный полярный летчик М.С.Бабушкин, беседовавший с Яковлевым о возможностям его применения. По итогам госиспытаний в СНИИ ГВФ отмечалось, что летные характеристики АИР-6 на поплавках мало отличаются от колесного варианта. В горизонтальном полете при всех вариантах нагрузок, будучи отрегулирован стабилизатором, самолет идет устойчиво, позволяет бросать ручное и ножное управление (15727).</w:t>
      </w:r>
    </w:p>
    <w:p w14:paraId="1979AF9C" w14:textId="77777777" w:rsidR="00ED7E8E" w:rsidRPr="0044524F" w:rsidRDefault="00ED7E8E" w:rsidP="00ED7E8E">
      <w:pPr>
        <w:spacing w:after="0" w:line="240" w:lineRule="auto"/>
        <w:jc w:val="both"/>
        <w:rPr>
          <w:rFonts w:ascii="Times New Roman" w:hAnsi="Times New Roman"/>
          <w:color w:val="000000" w:themeColor="text1"/>
          <w:sz w:val="16"/>
          <w:szCs w:val="16"/>
        </w:rPr>
      </w:pPr>
    </w:p>
    <w:p w14:paraId="1D151827" w14:textId="77777777" w:rsidR="00ED7E8E" w:rsidRPr="00142305" w:rsidRDefault="00ED7E8E" w:rsidP="00ED7E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1933 г. опытный образец АИР-6 переставили с колес на поплавки. Этот вариант получил собственное обоз</w:t>
      </w:r>
      <w:r w:rsidRPr="00142305">
        <w:rPr>
          <w:rFonts w:ascii="Times New Roman" w:hAnsi="Times New Roman"/>
          <w:color w:val="0070C0"/>
          <w:sz w:val="16"/>
          <w:szCs w:val="16"/>
        </w:rPr>
        <w:softHyphen/>
        <w:t>начение - АИР-6А. Поплавковое шасси спроектировал В.Б. Шавров. За основу он взял поплавки, созданные им же для самолета АИР-2, но увеличил их размеры и водоизмещение.</w:t>
      </w:r>
    </w:p>
    <w:p w14:paraId="4D4C4DD5" w14:textId="77777777" w:rsidR="00ED7E8E" w:rsidRPr="00142305" w:rsidRDefault="00ED7E8E" w:rsidP="00ED7E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устанавливался на два по</w:t>
      </w:r>
      <w:r w:rsidRPr="00142305">
        <w:rPr>
          <w:rFonts w:ascii="Times New Roman" w:hAnsi="Times New Roman"/>
          <w:color w:val="0070C0"/>
          <w:sz w:val="16"/>
          <w:szCs w:val="16"/>
        </w:rPr>
        <w:softHyphen/>
        <w:t>плавка, связывавшихся между собой и с фюзеляжем машины системой труб. Сами поплавки полностью изготавлива</w:t>
      </w:r>
      <w:r w:rsidRPr="00142305">
        <w:rPr>
          <w:rFonts w:ascii="Times New Roman" w:hAnsi="Times New Roman"/>
          <w:color w:val="0070C0"/>
          <w:sz w:val="16"/>
          <w:szCs w:val="16"/>
        </w:rPr>
        <w:softHyphen/>
        <w:t>лись из дерева. Каркас выполнялся из сосны и ясеня, он обшивался фанерой, которая обклеивалась полотном на аэро</w:t>
      </w:r>
      <w:r w:rsidRPr="00142305">
        <w:rPr>
          <w:rFonts w:ascii="Times New Roman" w:hAnsi="Times New Roman"/>
          <w:color w:val="0070C0"/>
          <w:sz w:val="16"/>
          <w:szCs w:val="16"/>
        </w:rPr>
        <w:softHyphen/>
        <w:t>лаке. Каждый поплавок разбивался пере</w:t>
      </w:r>
      <w:r w:rsidRPr="00142305">
        <w:rPr>
          <w:rFonts w:ascii="Times New Roman" w:hAnsi="Times New Roman"/>
          <w:color w:val="0070C0"/>
          <w:sz w:val="16"/>
          <w:szCs w:val="16"/>
        </w:rPr>
        <w:softHyphen/>
        <w:t>городками на пять водонепроницаемых отсеков. Поплавковое шасси в целом весило 120 кг, на 85 кг тяжелее варианта с колесами (24945).</w:t>
      </w:r>
    </w:p>
    <w:p w14:paraId="0352D107" w14:textId="77777777" w:rsidR="00ED7E8E" w:rsidRPr="00142305" w:rsidRDefault="00ED7E8E" w:rsidP="00ED7E8E">
      <w:pPr>
        <w:spacing w:after="0" w:line="240" w:lineRule="auto"/>
        <w:jc w:val="both"/>
        <w:rPr>
          <w:rFonts w:ascii="Times New Roman" w:hAnsi="Times New Roman"/>
          <w:color w:val="0070C0"/>
          <w:sz w:val="16"/>
          <w:szCs w:val="16"/>
        </w:rPr>
      </w:pPr>
    </w:p>
    <w:p w14:paraId="6D244064" w14:textId="77777777" w:rsidR="00B849DC" w:rsidRPr="0044524F" w:rsidRDefault="00B849DC"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Летом 1933 г. Осоавиахим запланировал провести международный перелет АИР-6. Но это мероприятие так и не состоялось (19099).</w:t>
      </w:r>
    </w:p>
    <w:p w14:paraId="22C72F7F" w14:textId="77777777" w:rsidR="00B849DC" w:rsidRPr="0044524F" w:rsidRDefault="00B849DC" w:rsidP="009654CF">
      <w:pPr>
        <w:pStyle w:val="a8"/>
        <w:jc w:val="both"/>
        <w:rPr>
          <w:rFonts w:ascii="Times New Roman" w:hAnsi="Times New Roman" w:cs="Times New Roman"/>
          <w:color w:val="000000" w:themeColor="text1"/>
        </w:rPr>
      </w:pPr>
    </w:p>
    <w:p w14:paraId="2F616C98" w14:textId="77777777" w:rsidR="00ED7E8E" w:rsidRPr="00142305" w:rsidRDefault="00ED7E8E" w:rsidP="00ED7E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1933 г. Осоавиахим запла</w:t>
      </w:r>
      <w:r w:rsidRPr="00142305">
        <w:rPr>
          <w:rFonts w:ascii="Times New Roman" w:hAnsi="Times New Roman"/>
          <w:color w:val="0070C0"/>
          <w:sz w:val="16"/>
          <w:szCs w:val="16"/>
        </w:rPr>
        <w:softHyphen/>
        <w:t>нировал провести международный пере</w:t>
      </w:r>
      <w:r w:rsidRPr="00142305">
        <w:rPr>
          <w:rFonts w:ascii="Times New Roman" w:hAnsi="Times New Roman"/>
          <w:color w:val="0070C0"/>
          <w:sz w:val="16"/>
          <w:szCs w:val="16"/>
        </w:rPr>
        <w:softHyphen/>
        <w:t>лет АИР-6. Но это мероприятие так и не состоялось (24945).</w:t>
      </w:r>
    </w:p>
    <w:p w14:paraId="478FC455" w14:textId="77777777" w:rsidR="00ED7E8E" w:rsidRPr="00142305" w:rsidRDefault="00ED7E8E" w:rsidP="00ED7E8E">
      <w:pPr>
        <w:spacing w:after="0" w:line="240" w:lineRule="auto"/>
        <w:jc w:val="both"/>
        <w:rPr>
          <w:rFonts w:ascii="Times New Roman" w:hAnsi="Times New Roman"/>
          <w:color w:val="0070C0"/>
          <w:sz w:val="16"/>
          <w:szCs w:val="16"/>
        </w:rPr>
      </w:pPr>
    </w:p>
    <w:p w14:paraId="4E75EC95"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лета 1933 ДАП-100 приспособили к подвеске на «крейсере» Р-6. Некоторые проблемы создавало то, что балки Дер-7 на нем стояли укороченные, но с этим благополучно справились. Дымовые приборы несли как Р-6 и КР-6 на колесах, так и Р-ба и КР-ба на поплавках. В 1937 г. монтаж ДАП- 100 запланировали на разведчике Р-10. Этот же прибор входил в пер- воначЬльный комплект химического вооружения бомбардировщика ДБ-3, испытывавшийся в НИИ ВВС в авгу</w:t>
      </w:r>
      <w:r w:rsidRPr="0044524F">
        <w:rPr>
          <w:rFonts w:ascii="Times New Roman" w:hAnsi="Times New Roman"/>
          <w:color w:val="000000" w:themeColor="text1"/>
          <w:sz w:val="16"/>
          <w:szCs w:val="16"/>
        </w:rPr>
        <w:softHyphen/>
        <w:t>сте 1936 г. Два ДАП-100 подвеши</w:t>
      </w:r>
      <w:r w:rsidRPr="0044524F">
        <w:rPr>
          <w:rFonts w:ascii="Times New Roman" w:hAnsi="Times New Roman"/>
          <w:color w:val="000000" w:themeColor="text1"/>
          <w:sz w:val="16"/>
          <w:szCs w:val="16"/>
        </w:rPr>
        <w:softHyphen/>
        <w:t>вались под центропланом на бал</w:t>
      </w:r>
      <w:r w:rsidRPr="0044524F">
        <w:rPr>
          <w:rFonts w:ascii="Times New Roman" w:hAnsi="Times New Roman"/>
          <w:color w:val="000000" w:themeColor="text1"/>
          <w:sz w:val="16"/>
          <w:szCs w:val="16"/>
        </w:rPr>
        <w:softHyphen/>
        <w:t>ках Дер-19. Для этой машины они были маловаты, и военные потре</w:t>
      </w:r>
      <w:r w:rsidRPr="0044524F">
        <w:rPr>
          <w:rFonts w:ascii="Times New Roman" w:hAnsi="Times New Roman"/>
          <w:color w:val="000000" w:themeColor="text1"/>
          <w:sz w:val="16"/>
          <w:szCs w:val="16"/>
        </w:rPr>
        <w:softHyphen/>
        <w:t>бовали сменить их на ДАП-200, но этого так и не сделали (12269).</w:t>
      </w:r>
    </w:p>
    <w:p w14:paraId="1D01FAFB"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1770238B" w14:textId="77777777" w:rsidR="00ED7E8E" w:rsidRPr="00142305" w:rsidRDefault="00ED7E8E" w:rsidP="00ED7E8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1933 Г. в ЦАГИ построили пол</w:t>
      </w:r>
      <w:r w:rsidRPr="00142305">
        <w:rPr>
          <w:rFonts w:ascii="Times New Roman" w:hAnsi="Times New Roman"/>
          <w:color w:val="0070C0"/>
          <w:sz w:val="16"/>
          <w:szCs w:val="16"/>
        </w:rPr>
        <w:softHyphen/>
        <w:t>норазмерный макет дальнего бомбар</w:t>
      </w:r>
      <w:r w:rsidRPr="00142305">
        <w:rPr>
          <w:rFonts w:ascii="Times New Roman" w:hAnsi="Times New Roman"/>
          <w:color w:val="0070C0"/>
          <w:sz w:val="16"/>
          <w:szCs w:val="16"/>
        </w:rPr>
        <w:softHyphen/>
        <w:t>дировщика, утвержденный комиссией 5 августа. Одновременно готовили ра</w:t>
      </w:r>
      <w:r w:rsidRPr="00142305">
        <w:rPr>
          <w:rFonts w:ascii="Times New Roman" w:hAnsi="Times New Roman"/>
          <w:color w:val="0070C0"/>
          <w:sz w:val="16"/>
          <w:szCs w:val="16"/>
        </w:rPr>
        <w:softHyphen/>
        <w:t>бочие чертежи военного варианта; их завершили к 1 ноября (24946).</w:t>
      </w:r>
    </w:p>
    <w:p w14:paraId="44105AEC" w14:textId="77777777" w:rsidR="00ED7E8E" w:rsidRPr="00142305" w:rsidRDefault="00ED7E8E" w:rsidP="00ED7E8E">
      <w:pPr>
        <w:spacing w:after="0" w:line="240" w:lineRule="auto"/>
        <w:jc w:val="both"/>
        <w:rPr>
          <w:rFonts w:ascii="Times New Roman" w:hAnsi="Times New Roman"/>
          <w:color w:val="0070C0"/>
          <w:sz w:val="16"/>
          <w:szCs w:val="16"/>
        </w:rPr>
      </w:pPr>
    </w:p>
    <w:p w14:paraId="4A13AB79" w14:textId="77777777" w:rsidR="00361643" w:rsidRPr="0044524F" w:rsidRDefault="00361643" w:rsidP="009654CF">
      <w:pPr>
        <w:pStyle w:val="a3"/>
        <w:rPr>
          <w:color w:val="000000" w:themeColor="text1"/>
          <w:lang w:val="ru-RU"/>
        </w:rPr>
      </w:pPr>
      <w:r w:rsidRPr="0044524F">
        <w:rPr>
          <w:color w:val="000000" w:themeColor="text1"/>
          <w:lang w:val="ru-RU"/>
        </w:rPr>
        <w:t>Летом 1933 года С.В.И. совместно с Н.Н. Поликарповым был разработан проект пассажирского самолета мест</w:t>
      </w:r>
      <w:r w:rsidRPr="0044524F">
        <w:rPr>
          <w:color w:val="000000" w:themeColor="text1"/>
          <w:lang w:val="ru-RU"/>
        </w:rPr>
        <w:softHyphen/>
        <w:t>ных воздушных линий ЦКБ-6 с мото</w:t>
      </w:r>
      <w:r w:rsidRPr="0044524F">
        <w:rPr>
          <w:color w:val="000000" w:themeColor="text1"/>
          <w:lang w:val="ru-RU"/>
        </w:rPr>
        <w:softHyphen/>
        <w:t>ром М-49 мощностью 300 л.с. Расчет</w:t>
      </w:r>
      <w:r w:rsidRPr="0044524F">
        <w:rPr>
          <w:color w:val="000000" w:themeColor="text1"/>
          <w:lang w:val="ru-RU"/>
        </w:rPr>
        <w:softHyphen/>
        <w:t>ная максимальная скорость на высоте 1000 м составляла 240 км/ч (крейсер</w:t>
      </w:r>
      <w:r w:rsidRPr="0044524F">
        <w:rPr>
          <w:color w:val="000000" w:themeColor="text1"/>
          <w:lang w:val="ru-RU"/>
        </w:rPr>
        <w:softHyphen/>
        <w:t>ская - 190 км/ч), практический потолок равнялся 4300 м, а дальность полета приближалась к 600 км. Стоит привести несколько выдержек из объяснительной записки к эскизному проекту, подпи</w:t>
      </w:r>
      <w:r w:rsidRPr="0044524F">
        <w:rPr>
          <w:color w:val="000000" w:themeColor="text1"/>
          <w:lang w:val="ru-RU"/>
        </w:rPr>
        <w:softHyphen/>
        <w:t>санной Н.Н. Поликарповым и С.В. Иль</w:t>
      </w:r>
      <w:r w:rsidRPr="0044524F">
        <w:rPr>
          <w:color w:val="000000" w:themeColor="text1"/>
          <w:lang w:val="ru-RU"/>
        </w:rPr>
        <w:softHyphen/>
        <w:t>юшиным, дающими представление о взглядах того времени на проектирова</w:t>
      </w:r>
      <w:r w:rsidRPr="0044524F">
        <w:rPr>
          <w:color w:val="000000" w:themeColor="text1"/>
          <w:lang w:val="ru-RU"/>
        </w:rPr>
        <w:softHyphen/>
        <w:t>ние пассажирских машин</w:t>
      </w:r>
      <w:r w:rsidRPr="0044524F">
        <w:rPr>
          <w:rStyle w:val="184"/>
          <w:rFonts w:ascii="Times New Roman" w:hAnsi="Times New Roman" w:cs="Times New Roman"/>
          <w:i w:val="0"/>
          <w:color w:val="000000" w:themeColor="text1"/>
          <w:sz w:val="16"/>
          <w:szCs w:val="16"/>
          <w:lang w:val="ru-RU"/>
        </w:rPr>
        <w:t xml:space="preserve"> (текст и знаки препинания даны по оригиналу).</w:t>
      </w:r>
    </w:p>
    <w:p w14:paraId="6FA612ED" w14:textId="77777777" w:rsidR="00361643" w:rsidRPr="0044524F" w:rsidRDefault="00361643" w:rsidP="009654CF">
      <w:pPr>
        <w:pStyle w:val="1010"/>
        <w:shd w:val="clear" w:color="auto" w:fill="auto"/>
        <w:spacing w:line="240" w:lineRule="auto"/>
        <w:ind w:firstLine="0"/>
        <w:rPr>
          <w:rFonts w:ascii="Times New Roman" w:hAnsi="Times New Roman" w:cs="Times New Roman"/>
          <w:i w:val="0"/>
          <w:color w:val="000000" w:themeColor="text1"/>
          <w:sz w:val="16"/>
          <w:szCs w:val="16"/>
        </w:rPr>
      </w:pPr>
      <w:r w:rsidRPr="0044524F">
        <w:rPr>
          <w:rFonts w:ascii="Times New Roman" w:hAnsi="Times New Roman" w:cs="Times New Roman"/>
          <w:i w:val="0"/>
          <w:color w:val="000000" w:themeColor="text1"/>
          <w:sz w:val="16"/>
          <w:szCs w:val="16"/>
        </w:rPr>
        <w:t xml:space="preserve"> «Самолет проектируется под 4-е пассажирских места, под пилота и кроме того дается еще одно приставное сиденье для шестого человека, распо</w:t>
      </w:r>
      <w:r w:rsidRPr="0044524F">
        <w:rPr>
          <w:rFonts w:ascii="Times New Roman" w:hAnsi="Times New Roman" w:cs="Times New Roman"/>
          <w:i w:val="0"/>
          <w:color w:val="000000" w:themeColor="text1"/>
          <w:sz w:val="16"/>
          <w:szCs w:val="16"/>
        </w:rPr>
        <w:softHyphen/>
        <w:t>ложенное рядом с пилотом. Для воз</w:t>
      </w:r>
      <w:r w:rsidRPr="0044524F">
        <w:rPr>
          <w:rFonts w:ascii="Times New Roman" w:hAnsi="Times New Roman" w:cs="Times New Roman"/>
          <w:i w:val="0"/>
          <w:color w:val="000000" w:themeColor="text1"/>
          <w:sz w:val="16"/>
          <w:szCs w:val="16"/>
        </w:rPr>
        <w:softHyphen/>
        <w:t>можного багажа пассажиров в центро</w:t>
      </w:r>
      <w:r w:rsidRPr="0044524F">
        <w:rPr>
          <w:rFonts w:ascii="Times New Roman" w:hAnsi="Times New Roman" w:cs="Times New Roman"/>
          <w:i w:val="0"/>
          <w:color w:val="000000" w:themeColor="text1"/>
          <w:sz w:val="16"/>
          <w:szCs w:val="16"/>
        </w:rPr>
        <w:softHyphen/>
        <w:t>плане устроен специальный багажник, открывающийся в кабину пассажиров. Кабина пассажиров выбрана такого размера, каковой допускает комфор</w:t>
      </w:r>
      <w:r w:rsidRPr="0044524F">
        <w:rPr>
          <w:rFonts w:ascii="Times New Roman" w:hAnsi="Times New Roman" w:cs="Times New Roman"/>
          <w:i w:val="0"/>
          <w:color w:val="000000" w:themeColor="text1"/>
          <w:sz w:val="16"/>
          <w:szCs w:val="16"/>
        </w:rPr>
        <w:softHyphen/>
        <w:t>табельное размещение пассажиров в течение 4-5 часов непрерывного полета. Для удобства входа и выхода пассажиров из кабины особенно в слу</w:t>
      </w:r>
      <w:r w:rsidRPr="0044524F">
        <w:rPr>
          <w:rFonts w:ascii="Times New Roman" w:hAnsi="Times New Roman" w:cs="Times New Roman"/>
          <w:i w:val="0"/>
          <w:color w:val="000000" w:themeColor="text1"/>
          <w:sz w:val="16"/>
          <w:szCs w:val="16"/>
        </w:rPr>
        <w:softHyphen/>
        <w:t>чае аварии, или при необходимости выбрасывания экипажа и пассажиров на парашютах, нами в кабине предус</w:t>
      </w:r>
      <w:r w:rsidRPr="0044524F">
        <w:rPr>
          <w:rFonts w:ascii="Times New Roman" w:hAnsi="Times New Roman" w:cs="Times New Roman"/>
          <w:i w:val="0"/>
          <w:color w:val="000000" w:themeColor="text1"/>
          <w:sz w:val="16"/>
          <w:szCs w:val="16"/>
        </w:rPr>
        <w:softHyphen/>
        <w:t>мотрено две двери с разных сторон фюзеляжа, передняя для пилота и двух передних пассажиров, задняя для двух задних пассажиров. Подобное распо</w:t>
      </w:r>
      <w:r w:rsidRPr="0044524F">
        <w:rPr>
          <w:rFonts w:ascii="Times New Roman" w:hAnsi="Times New Roman" w:cs="Times New Roman"/>
          <w:i w:val="0"/>
          <w:color w:val="000000" w:themeColor="text1"/>
          <w:sz w:val="16"/>
          <w:szCs w:val="16"/>
        </w:rPr>
        <w:softHyphen/>
        <w:t>ложение гарантирует удобный вход и выход из кабины. Как самолет местных сообщений ЦКБ-6, естественно, должен быть самолетом дешевым и простым в эксплуатации. С этой точки зрения он делается целиком из дерева. Мы пола</w:t>
      </w:r>
      <w:r w:rsidRPr="0044524F">
        <w:rPr>
          <w:rFonts w:ascii="Times New Roman" w:hAnsi="Times New Roman" w:cs="Times New Roman"/>
          <w:i w:val="0"/>
          <w:color w:val="000000" w:themeColor="text1"/>
          <w:sz w:val="16"/>
          <w:szCs w:val="16"/>
        </w:rPr>
        <w:softHyphen/>
        <w:t>гаем, что такой выбор материала, вме</w:t>
      </w:r>
      <w:r w:rsidRPr="0044524F">
        <w:rPr>
          <w:rFonts w:ascii="Times New Roman" w:hAnsi="Times New Roman" w:cs="Times New Roman"/>
          <w:i w:val="0"/>
          <w:color w:val="000000" w:themeColor="text1"/>
          <w:sz w:val="16"/>
          <w:szCs w:val="16"/>
        </w:rPr>
        <w:softHyphen/>
        <w:t>сте с дешевизною его, обеспечивает простоту и дешевизну производства, а в конечном счете дешевый самолет».</w:t>
      </w:r>
    </w:p>
    <w:p w14:paraId="5131035C" w14:textId="77777777" w:rsidR="00361643" w:rsidRPr="0044524F" w:rsidRDefault="00361643" w:rsidP="009654CF">
      <w:pPr>
        <w:pStyle w:val="1010"/>
        <w:shd w:val="clear" w:color="auto" w:fill="auto"/>
        <w:spacing w:line="240" w:lineRule="auto"/>
        <w:ind w:firstLine="0"/>
        <w:rPr>
          <w:rFonts w:ascii="Times New Roman" w:hAnsi="Times New Roman" w:cs="Times New Roman"/>
          <w:i w:val="0"/>
          <w:color w:val="000000" w:themeColor="text1"/>
          <w:sz w:val="16"/>
          <w:szCs w:val="16"/>
        </w:rPr>
      </w:pPr>
      <w:r w:rsidRPr="0044524F">
        <w:rPr>
          <w:rStyle w:val="1d"/>
          <w:rFonts w:ascii="Times New Roman" w:hAnsi="Times New Roman" w:cs="Times New Roman"/>
          <w:i w:val="0"/>
          <w:iCs w:val="0"/>
          <w:color w:val="000000" w:themeColor="text1"/>
          <w:sz w:val="16"/>
          <w:szCs w:val="16"/>
        </w:rPr>
        <w:t>ЦКБ-6 был включен в план опытного строительства самолетов на 1934 г., но его дальнейшую судьбу выяснить не удалось (15749).</w:t>
      </w:r>
    </w:p>
    <w:p w14:paraId="605AC499" w14:textId="77777777" w:rsidR="00361643" w:rsidRPr="0044524F" w:rsidRDefault="00361643" w:rsidP="009654CF">
      <w:pPr>
        <w:pStyle w:val="a3"/>
        <w:rPr>
          <w:color w:val="000000" w:themeColor="text1"/>
          <w:lang w:val="ru-RU"/>
        </w:rPr>
      </w:pPr>
    </w:p>
    <w:p w14:paraId="0DC9BA00" w14:textId="77777777" w:rsidR="00ED7E8E" w:rsidRPr="00142305" w:rsidRDefault="00ED7E8E" w:rsidP="00ED7E8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Летом 1933 года ОКБ Н.Н.П. в главк был пред</w:t>
      </w:r>
      <w:r w:rsidRPr="00142305">
        <w:rPr>
          <w:rStyle w:val="aff"/>
          <w:rFonts w:ascii="Times New Roman" w:hAnsi="Times New Roman" w:cs="Times New Roman"/>
          <w:color w:val="0070C0"/>
          <w:spacing w:val="0"/>
          <w:sz w:val="16"/>
          <w:szCs w:val="16"/>
        </w:rPr>
        <w:softHyphen/>
        <w:t xml:space="preserve">ставлен на рассмотрение проект самолета ЦКБ-6, но неудачно. </w:t>
      </w:r>
    </w:p>
    <w:p w14:paraId="0EF1391E" w14:textId="77777777" w:rsidR="00ED7E8E" w:rsidRPr="00142305" w:rsidRDefault="00ED7E8E" w:rsidP="00ED7E8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По мере успешной работы над проектом истребителя И-15, Поликарпову наконец-то удалось получить разрешение на разработку пассажир</w:t>
      </w:r>
      <w:r w:rsidRPr="00142305">
        <w:rPr>
          <w:rStyle w:val="aff"/>
          <w:rFonts w:ascii="Times New Roman" w:hAnsi="Times New Roman" w:cs="Times New Roman"/>
          <w:color w:val="0070C0"/>
          <w:spacing w:val="0"/>
          <w:sz w:val="16"/>
          <w:szCs w:val="16"/>
        </w:rPr>
        <w:softHyphen/>
        <w:t>ского самолета, получившего индекс ЦКБ-6. Но, будучи плотно загруженным работой по истребителям, он пере</w:t>
      </w:r>
      <w:r w:rsidRPr="00142305">
        <w:rPr>
          <w:rStyle w:val="aff"/>
          <w:rFonts w:ascii="Times New Roman" w:hAnsi="Times New Roman" w:cs="Times New Roman"/>
          <w:color w:val="0070C0"/>
          <w:spacing w:val="0"/>
          <w:sz w:val="16"/>
          <w:szCs w:val="16"/>
        </w:rPr>
        <w:softHyphen/>
        <w:t>дает проект пассажирской машины своему заместителю, подающему большие надежды авиаинженеру Всеволоду Константиновичу Таирову, который создает свою бригаду и начинает работу над этой машиной.</w:t>
      </w:r>
    </w:p>
    <w:p w14:paraId="5728E054" w14:textId="77777777" w:rsidR="00ED7E8E" w:rsidRPr="00142305" w:rsidRDefault="00ED7E8E" w:rsidP="00ED7E8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На данном этапе самолет ЦКБ-6 представлял собой цельнодеревянный пятиместный низкоплан (один лет</w:t>
      </w:r>
      <w:r w:rsidRPr="00142305">
        <w:rPr>
          <w:rStyle w:val="aff"/>
          <w:rFonts w:ascii="Times New Roman" w:hAnsi="Times New Roman" w:cs="Times New Roman"/>
          <w:color w:val="0070C0"/>
          <w:spacing w:val="0"/>
          <w:sz w:val="16"/>
          <w:szCs w:val="16"/>
        </w:rPr>
        <w:softHyphen/>
        <w:t>чик и четыре пассажира) с мотором воздушного охлаж</w:t>
      </w:r>
      <w:r w:rsidRPr="00142305">
        <w:rPr>
          <w:rStyle w:val="aff"/>
          <w:rFonts w:ascii="Times New Roman" w:hAnsi="Times New Roman" w:cs="Times New Roman"/>
          <w:color w:val="0070C0"/>
          <w:spacing w:val="0"/>
          <w:sz w:val="16"/>
          <w:szCs w:val="16"/>
        </w:rPr>
        <w:softHyphen/>
        <w:t>дения М-49 мощностью 300 л.с. и убираюсщимся шасси. Все пассажиры располагались в отдельном салоне. При необходимости можно было установить дополнительное приставное сиденье рядом с пилотом. Основное назна</w:t>
      </w:r>
      <w:r w:rsidRPr="00142305">
        <w:rPr>
          <w:rStyle w:val="aff"/>
          <w:rFonts w:ascii="Times New Roman" w:hAnsi="Times New Roman" w:cs="Times New Roman"/>
          <w:color w:val="0070C0"/>
          <w:spacing w:val="0"/>
          <w:sz w:val="16"/>
          <w:szCs w:val="16"/>
        </w:rPr>
        <w:softHyphen/>
        <w:t>чение - обслуживание местных линий (межобластные перевозки). Расчетная дальность полета составляла 600</w:t>
      </w:r>
      <w:r w:rsidRPr="00142305">
        <w:rPr>
          <w:rStyle w:val="aff"/>
          <w:rFonts w:ascii="Times New Roman" w:hAnsi="Times New Roman" w:cs="Times New Roman"/>
          <w:color w:val="0070C0"/>
          <w:spacing w:val="0"/>
          <w:sz w:val="16"/>
          <w:szCs w:val="16"/>
        </w:rPr>
        <w:softHyphen/>
        <w:t>650 км. Просматривалась возможность установки мото</w:t>
      </w:r>
      <w:r w:rsidRPr="00142305">
        <w:rPr>
          <w:rStyle w:val="aff"/>
          <w:rFonts w:ascii="Times New Roman" w:hAnsi="Times New Roman" w:cs="Times New Roman"/>
          <w:color w:val="0070C0"/>
          <w:spacing w:val="0"/>
          <w:sz w:val="16"/>
          <w:szCs w:val="16"/>
        </w:rPr>
        <w:softHyphen/>
        <w:t>ра М-22.</w:t>
      </w:r>
    </w:p>
    <w:p w14:paraId="5632EBB4" w14:textId="77777777" w:rsidR="00ED7E8E" w:rsidRPr="00142305" w:rsidRDefault="00ED7E8E" w:rsidP="00ED7E8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связи с тем, что в это время на Горьковском авиационном заводе № 21 полным ходом шла подготовка к серийному произ</w:t>
      </w:r>
      <w:r w:rsidRPr="00142305">
        <w:rPr>
          <w:rStyle w:val="aff"/>
          <w:rFonts w:ascii="Times New Roman" w:hAnsi="Times New Roman" w:cs="Times New Roman"/>
          <w:color w:val="0070C0"/>
          <w:spacing w:val="0"/>
          <w:sz w:val="16"/>
          <w:szCs w:val="16"/>
        </w:rPr>
        <w:softHyphen/>
        <w:t>водству близкого по типу семиместного пассажирского самолета ХАИ-1, проект бригады Таирова был отклонен. Однако, несмотря на это, работы над ЦКБ-6 продолжи</w:t>
      </w:r>
      <w:r w:rsidRPr="00142305">
        <w:rPr>
          <w:rStyle w:val="aff"/>
          <w:rFonts w:ascii="Times New Roman" w:hAnsi="Times New Roman" w:cs="Times New Roman"/>
          <w:color w:val="0070C0"/>
          <w:spacing w:val="0"/>
          <w:sz w:val="16"/>
          <w:szCs w:val="16"/>
        </w:rPr>
        <w:softHyphen/>
        <w:t>лись, но уже в другой, семиместной модификации. Тогда же произошла очередная трансформация проекта (25765).</w:t>
      </w:r>
    </w:p>
    <w:p w14:paraId="7A893586" w14:textId="77777777" w:rsidR="00ED7E8E" w:rsidRPr="00142305" w:rsidRDefault="00ED7E8E" w:rsidP="00ED7E8E">
      <w:pPr>
        <w:spacing w:after="0" w:line="240" w:lineRule="auto"/>
        <w:jc w:val="both"/>
        <w:rPr>
          <w:rStyle w:val="aff"/>
          <w:rFonts w:ascii="Times New Roman" w:hAnsi="Times New Roman" w:cs="Times New Roman"/>
          <w:color w:val="0070C0"/>
          <w:spacing w:val="0"/>
          <w:sz w:val="16"/>
          <w:szCs w:val="16"/>
        </w:rPr>
      </w:pPr>
    </w:p>
    <w:p w14:paraId="3E9F1DCD"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1933 г. в СССР в Ленинграде летчик А.Я. Иванов начал испытания опытного пассажирского самолета местных авиалиний НИАИ-1 с двигателем М-11, разработанный в Научно-исследовательском аэроинституте Гражданского Воздушного Флота под непосредственным руководством В.Ф. Рентеля и А.И. Лисичкина. Построил самолет Ленинградский деревообрабатывающий комбинат с планером почти целиком из фанеры, которая являлась основным его предметом производства, потому он именовался также ЛК-1 или «Фанера-2», причем использовалась она и в нестандартных полуфабрикатах в виде трубок, которые заменяли массивные деревянные детали, давая в сравнении с ними выигрыш в весе. Снаружи НИАИ-1 выглядел и вовсе необычно – центроплан крыла плавно переходил в фюзеляж, представляя с ним одно целое. Получился объемистый и прочный при очень больших окнах отсек, обеспечивший всему самолету хорошую обтекаемость – такую конструкцию много позже назовут интегральной и сделали ее Рентель и Лисичкин впервые в отечественной практике. Единственным проявившимся сразу же недостатком стало несоответствие действующим требованиям компоновки кабины летчика и обзора из нее. Полей зрения пилоту хватало для всех практических случаев, кроме руления по аэродрому – мешала обширная мертвая зона впереди-справа от летчика (25713).</w:t>
      </w:r>
    </w:p>
    <w:p w14:paraId="79470CEC" w14:textId="77777777" w:rsidR="00A31F9B" w:rsidRPr="00142305" w:rsidRDefault="00A31F9B" w:rsidP="00A31F9B">
      <w:pPr>
        <w:spacing w:after="0" w:line="240" w:lineRule="auto"/>
        <w:jc w:val="both"/>
        <w:rPr>
          <w:rFonts w:ascii="Times New Roman" w:hAnsi="Times New Roman"/>
          <w:color w:val="0070C0"/>
          <w:sz w:val="16"/>
          <w:szCs w:val="16"/>
        </w:rPr>
      </w:pPr>
    </w:p>
    <w:p w14:paraId="1C969D41" w14:textId="77777777" w:rsidR="00D47AAB" w:rsidRPr="00142305" w:rsidRDefault="00D47AAB" w:rsidP="00D47AA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1933 г. в СССР в Ленинграде летчик А.Я. Иванов начал испытания опытного пассажирского самолета местных авиалиний НИАИ-1 с двигателем М-11, разработанный в Научно-исследовательском аэроинституте Гражданского Воздушного Флота под непосредственным руководством В.Ф. Рентеля и А.И. Лисичкина. Построил самолет Ленинградский деревообрабатывающий комбинат с планером почти целиком из фанеры, которая являлась основным его предметом производства, потому он именовался также ЛК-1 или «Фанера-2», причем использовалась она и в нестандартных полуфабрикатах в виде трубок, которые заменяли массивные деревянные детали, давая в сравнении с ними выигрыш в весе. Снаружи НИАИ-1 выглядел и вовсе необычно – центроплан крыла плавно переходил в фюзеляж, представляя с ним одно целое. Получился объемистый и прочный при очень больших окнах отсек, обеспечивший всему самолету хорошую обтекаемость – такую конструкцию много позже назовут интегральной и сделали ее Рентель и Лисичкин впервые в отечественной практике. Единственным проявившимся сразу же недостатком стало несоответствие действующим требованиям компоновки кабины летчика и обзора из нее. Полей зрения пилоту хватало для всех практических случаев, кроме руления по аэродрому – мешала обширная мертвая зона впереди-справа от летчика (25747).</w:t>
      </w:r>
    </w:p>
    <w:p w14:paraId="591B94C3" w14:textId="77777777" w:rsidR="00D47AAB" w:rsidRPr="00142305" w:rsidRDefault="00D47AAB" w:rsidP="00D47AAB">
      <w:pPr>
        <w:spacing w:after="0" w:line="240" w:lineRule="auto"/>
        <w:jc w:val="both"/>
        <w:rPr>
          <w:rFonts w:ascii="Times New Roman" w:hAnsi="Times New Roman"/>
          <w:color w:val="0070C0"/>
          <w:sz w:val="16"/>
          <w:szCs w:val="16"/>
        </w:rPr>
      </w:pPr>
    </w:p>
    <w:p w14:paraId="1226E7FE" w14:textId="77777777" w:rsidR="00D47AAB" w:rsidRPr="00142305" w:rsidRDefault="00D47AAB" w:rsidP="00D47AA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1933 г. изготовлением первых опытных партий фанеры на Старо-Русском фанерном комбинате начались работы по разработке технологического процесса производства бакелитовой фанеры.</w:t>
      </w:r>
    </w:p>
    <w:p w14:paraId="799EA501" w14:textId="77777777" w:rsidR="00D47AAB" w:rsidRPr="00142305" w:rsidRDefault="00D47AAB" w:rsidP="00D47AAB">
      <w:pPr>
        <w:spacing w:after="0" w:line="240" w:lineRule="auto"/>
        <w:jc w:val="both"/>
        <w:rPr>
          <w:rFonts w:ascii="Times New Roman" w:hAnsi="Times New Roman"/>
          <w:color w:val="0070C0"/>
          <w:sz w:val="16"/>
          <w:szCs w:val="16"/>
        </w:rPr>
      </w:pPr>
      <w:bookmarkStart w:id="36" w:name="_Hlk198229265"/>
      <w:r w:rsidRPr="00142305">
        <w:rPr>
          <w:rFonts w:ascii="Times New Roman" w:hAnsi="Times New Roman"/>
          <w:color w:val="0070C0"/>
          <w:sz w:val="16"/>
          <w:szCs w:val="16"/>
        </w:rPr>
        <w:t>В декабре 1939 г. на основании обобщения опыта работы ВИАМ и предприятий, освоивших выпуск нового материала, Центральная лаборатория Фанеротреста утвердила окончательный технологический регламент на изготовление бакелитовой фанеры (25175).</w:t>
      </w:r>
    </w:p>
    <w:p w14:paraId="562D1E3C" w14:textId="77777777" w:rsidR="00D47AAB" w:rsidRPr="00142305" w:rsidRDefault="00D47AAB" w:rsidP="00D47AAB">
      <w:pPr>
        <w:spacing w:after="0" w:line="240" w:lineRule="auto"/>
        <w:jc w:val="both"/>
        <w:rPr>
          <w:rFonts w:ascii="Times New Roman" w:hAnsi="Times New Roman"/>
          <w:color w:val="0070C0"/>
          <w:sz w:val="16"/>
          <w:szCs w:val="16"/>
        </w:rPr>
      </w:pPr>
    </w:p>
    <w:bookmarkEnd w:id="36"/>
    <w:p w14:paraId="15351C2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в БОК началось проектирование пятиместного БИЧ-14 2М-11, который потом стал ЦКБ-10 (2544,56).</w:t>
      </w:r>
    </w:p>
    <w:p w14:paraId="3186576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09D372E5"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Летом 1933 г. началось «Проектирование БИЧ-14, в январе следующего года были готовы чертежи. Работы затянулись из-за перевода Бюро особых конструкций из столицы на смоленский авиаремонтный завод № 35. „Принято решение достроить самолёт на заводе № 39, но Чижевский отказывается передать чертежи ввиду реорганизации его КБ“», — сказано в отчёте по опытному самолётостроению от 1 июля 1934 г.</w:t>
      </w:r>
    </w:p>
    <w:p w14:paraId="0FEB6D52"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Удачный в целом опыт с БИЧ-7А давал основания для следующего шага на пути к большому «летающему крылу» — созданию экспериментального двухмоторного самолёта БИЧ-14. «Задачи, которые ставятся непосредственно перед данным самолётом, — это установление пригодности самолёта типа „парабола“ для военной и гражданской авиации в смысле управляемости, маневренности и лётно-эксплуатационных выгод относительно самолётов других типов», — сообщалось в отчёте БОК </w:t>
      </w:r>
      <w:hyperlink r:id="rId243" w:history="1">
        <w:r w:rsidRPr="0044524F">
          <w:rPr>
            <w:rFonts w:ascii="Times New Roman" w:eastAsia="Times New Roman" w:hAnsi="Times New Roman"/>
            <w:color w:val="000000" w:themeColor="text1"/>
            <w:sz w:val="16"/>
            <w:szCs w:val="16"/>
            <w:lang w:eastAsia="ru-RU"/>
          </w:rPr>
          <w:t>[50]</w:t>
        </w:r>
      </w:hyperlink>
      <w:r w:rsidRPr="0044524F">
        <w:rPr>
          <w:rFonts w:ascii="Times New Roman" w:eastAsia="Times New Roman" w:hAnsi="Times New Roman"/>
          <w:color w:val="000000" w:themeColor="text1"/>
          <w:sz w:val="16"/>
          <w:szCs w:val="16"/>
          <w:lang w:eastAsia="ru-RU"/>
        </w:rPr>
        <w:t xml:space="preserve"> .</w:t>
      </w:r>
    </w:p>
    <w:p w14:paraId="55CDAA1F"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Хотя БИЧ 14 строили как уменьшенный прототип включенного в план работ БОК бомбардировщика ЦКБ-17 с двумя двигателями М-34, его для маскировки спроектировали пассажирским, на 5 человек (пилот и 4 пассажира) с двумя двигателя М-11 мощностью по 100 л. с. По расчётам самолёт мог развить скорость 210 км/ч и иметь 5-часовую продолжительность полёта.</w:t>
      </w:r>
    </w:p>
    <w:p w14:paraId="4E043E1A"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Крыло БИЧ-14, как у всех предыдущих «парабол», было многолонжеронное, деревянной конструкции, с полотняной обшивкой. С каждой стороны к крылу на кронштейнах крепилось три секции горизонтальных рулей. Они действовали и как рули высоты, и как элероны. Профиль имел необычно большую относительную </w:t>
      </w:r>
      <w:r w:rsidRPr="0044524F">
        <w:rPr>
          <w:rFonts w:ascii="Times New Roman" w:eastAsia="Times New Roman" w:hAnsi="Times New Roman"/>
          <w:color w:val="000000" w:themeColor="text1"/>
          <w:sz w:val="16"/>
          <w:szCs w:val="16"/>
          <w:lang w:eastAsia="ru-RU"/>
        </w:rPr>
        <w:lastRenderedPageBreak/>
        <w:t>толщину (19 %), поэтому у основания крыло было почти метровой высоты и округлый фонарь кабины лишь немного выступал вверх. Он был выполнен из дюралюминия и имел по бокам овальные окна, затянутые целлулоидом. В кабине за сидением пилота стояли два двухместных пассажирских кресла, расположенных спинками друг к другу. Двери не было, внутрь можно было попасть только через откидывающиеся вверх окна. Звездообразные двигатели с кольцевидными обтекателями цилиндров были врезаны в переднюю кромку крыла. Горючее поступало из бензобаков, находящихся в крыле по бокам кабины. Шасси — двухколесное, с ориентирующимся хвостовым костылем. С помощью тросового привода летчик мог убирать стойки в крыло (17489).</w:t>
      </w:r>
    </w:p>
    <w:p w14:paraId="13CF594B"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p>
    <w:p w14:paraId="20539B70"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 в БОК началось проектирование БИЧ-14, а строили его на авиационном заводе № 39 в Москве. В конце 1934 г. заводской летчик-испытатель Ю.И.Пионтковский, уже летавший на "параболе" БИЧ-7, поднял БИЧ-14 в воздух. В одном из первых полетов произошла авария. НИИ ВВС, еще не утративший тогда интерес к "бесхвосткам" Черановского, взялся восстановить машину. Это заняло немало времени, и на государственные испытания самолет попал только в 1937 г. (24253).</w:t>
      </w:r>
    </w:p>
    <w:p w14:paraId="427EDBA6" w14:textId="77777777" w:rsidR="001D4DD5" w:rsidRPr="0044524F" w:rsidRDefault="001D4DD5" w:rsidP="009654CF">
      <w:pPr>
        <w:spacing w:after="0" w:line="240" w:lineRule="auto"/>
        <w:jc w:val="both"/>
        <w:rPr>
          <w:rFonts w:ascii="Times New Roman" w:hAnsi="Times New Roman"/>
          <w:color w:val="000000" w:themeColor="text1"/>
          <w:sz w:val="16"/>
          <w:szCs w:val="16"/>
        </w:rPr>
      </w:pPr>
    </w:p>
    <w:p w14:paraId="14A150AA"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Летом 1933 г. готовились к войсковым испытаниям «Звена-1». Конструкция составного самолёта вновь претерпела изменения. На ТБ-1 установили серийные И-4 с необрезанным нижним крылом. Была доработана конструкция замков, причём замок задней опоры перенесли с крыльевой треноги на фюзеляж истребителя — теперь он открывался проще, с меньшим усилием (17489).</w:t>
      </w:r>
    </w:p>
    <w:p w14:paraId="0BA04900" w14:textId="77777777" w:rsidR="0043495B" w:rsidRPr="0044524F" w:rsidRDefault="0043495B" w:rsidP="009654CF">
      <w:pPr>
        <w:spacing w:after="0" w:line="240" w:lineRule="auto"/>
        <w:jc w:val="both"/>
        <w:rPr>
          <w:rFonts w:ascii="Times New Roman" w:hAnsi="Times New Roman"/>
          <w:color w:val="000000" w:themeColor="text1"/>
          <w:sz w:val="16"/>
          <w:szCs w:val="16"/>
        </w:rPr>
      </w:pPr>
    </w:p>
    <w:p w14:paraId="37A54864" w14:textId="77777777" w:rsidR="001D4DD5" w:rsidRPr="0044524F" w:rsidRDefault="001D4DD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лето 1933 года были сделаны все приспособления для установки на крыльях ТБ-3 трех самолетов И-5 и подвески двух самолетов "ЗЕТ" под крыльями того же ТБ-3. Однако при испытаниях этих установок и подвесок, проведенными НИИ ВВС 19 октября 1933 года, при полетах с подкрыльными самолетами "ЗЕТ" один из них не отцепился, несмотря на все принятые меры и при посадке ТБ-3 с этим подкрыльным самолетом последний был разбит, а сидевший в нем летчик (один из лучших командиров истребительных отрядов Коротков) убит (7439, 206-207).</w:t>
      </w:r>
    </w:p>
    <w:p w14:paraId="5AD6F89F" w14:textId="77777777" w:rsidR="001D4DD5" w:rsidRPr="0044524F" w:rsidRDefault="001D4DD5" w:rsidP="009654CF">
      <w:pPr>
        <w:autoSpaceDE w:val="0"/>
        <w:autoSpaceDN w:val="0"/>
        <w:adjustRightInd w:val="0"/>
        <w:spacing w:after="0" w:line="240" w:lineRule="auto"/>
        <w:jc w:val="both"/>
        <w:rPr>
          <w:rFonts w:ascii="Times New Roman" w:hAnsi="Times New Roman"/>
          <w:color w:val="000000" w:themeColor="text1"/>
          <w:sz w:val="16"/>
          <w:szCs w:val="16"/>
        </w:rPr>
      </w:pPr>
    </w:p>
    <w:p w14:paraId="13323DF8"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для улучшения летных данных ТБ-3 4М-17 сверху его фюзеляжа закрепили фюзеляж от истребителя И-5. На самом деле от системы З-2 (ТБ-3+3 И-5) исполь</w:t>
      </w:r>
      <w:r w:rsidRPr="0044524F">
        <w:rPr>
          <w:rFonts w:ascii="Times New Roman" w:hAnsi="Times New Roman"/>
          <w:color w:val="000000" w:themeColor="text1"/>
          <w:sz w:val="16"/>
          <w:szCs w:val="16"/>
        </w:rPr>
        <w:softHyphen/>
        <w:t>зовали «наспинный» И-5, у которого сняли крылья.</w:t>
      </w:r>
    </w:p>
    <w:p w14:paraId="09800FB7"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Новая система получила наименование «Звено» З-4 — ТБ-3 4М-17+1М-22. Также в отношении установлен</w:t>
      </w:r>
      <w:r w:rsidRPr="0044524F">
        <w:rPr>
          <w:rFonts w:ascii="Times New Roman" w:hAnsi="Times New Roman"/>
          <w:color w:val="000000" w:themeColor="text1"/>
          <w:sz w:val="16"/>
          <w:szCs w:val="16"/>
        </w:rPr>
        <w:softHyphen/>
        <w:t>ного фюзеляжа И-5 использовалось определение «тя</w:t>
      </w:r>
      <w:r w:rsidRPr="0044524F">
        <w:rPr>
          <w:rFonts w:ascii="Times New Roman" w:hAnsi="Times New Roman"/>
          <w:color w:val="000000" w:themeColor="text1"/>
          <w:sz w:val="16"/>
          <w:szCs w:val="16"/>
        </w:rPr>
        <w:softHyphen/>
        <w:t>гач». Вес такого «тягача» составлял 975 кг. Вес ТБ-3 — 17 200 кг. Вес всей системы в сборе — 18 175 кг.</w:t>
      </w:r>
    </w:p>
    <w:p w14:paraId="10E790F0"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Стефановский, Нюхтиков, Супрун выпол</w:t>
      </w:r>
      <w:r w:rsidRPr="0044524F">
        <w:rPr>
          <w:rFonts w:ascii="Times New Roman" w:hAnsi="Times New Roman"/>
          <w:color w:val="000000" w:themeColor="text1"/>
          <w:sz w:val="16"/>
          <w:szCs w:val="16"/>
        </w:rPr>
        <w:softHyphen/>
        <w:t>нили на 3-4 всего 4 полета, 2 из них — без включения двигателя М-22. При испытаниях отмечалось, что с «тягачом» потолок ТБ-3 возрос на 350 метров, скоро</w:t>
      </w:r>
      <w:r w:rsidRPr="0044524F">
        <w:rPr>
          <w:rFonts w:ascii="Times New Roman" w:hAnsi="Times New Roman"/>
          <w:color w:val="000000" w:themeColor="text1"/>
          <w:sz w:val="16"/>
          <w:szCs w:val="16"/>
        </w:rPr>
        <w:softHyphen/>
        <w:t>подъемность увеличилась — на 3000 м самолет под</w:t>
      </w:r>
      <w:r w:rsidRPr="0044524F">
        <w:rPr>
          <w:rFonts w:ascii="Times New Roman" w:hAnsi="Times New Roman"/>
          <w:color w:val="000000" w:themeColor="text1"/>
          <w:sz w:val="16"/>
          <w:szCs w:val="16"/>
        </w:rPr>
        <w:softHyphen/>
        <w:t>нимался за 7-8 минут. Полетная скорость возросла на 10 км/ч, разбег при совершении взлета уменьшил</w:t>
      </w:r>
      <w:r w:rsidRPr="0044524F">
        <w:rPr>
          <w:rFonts w:ascii="Times New Roman" w:hAnsi="Times New Roman"/>
          <w:color w:val="000000" w:themeColor="text1"/>
          <w:sz w:val="16"/>
          <w:szCs w:val="16"/>
        </w:rPr>
        <w:softHyphen/>
        <w:t>ся на 5 секунд. Однако в итоге признавалось, что дальнейшие опыты с И-5 нецелесообразны, так как удалось добиться крайне незначительного улучшения летных данных.</w:t>
      </w:r>
    </w:p>
    <w:p w14:paraId="1EAFF62B"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итоговом документе испытаний по-прежнему предлагалось «провести теоретические исследования специального мощного тягача с различной площадью крыльев». Однако на практике обращений к указан</w:t>
      </w:r>
      <w:r w:rsidRPr="0044524F">
        <w:rPr>
          <w:rFonts w:ascii="Times New Roman" w:hAnsi="Times New Roman"/>
          <w:color w:val="000000" w:themeColor="text1"/>
          <w:sz w:val="16"/>
          <w:szCs w:val="16"/>
        </w:rPr>
        <w:softHyphen/>
        <w:t>ной теме более не происходило (23378).</w:t>
      </w:r>
    </w:p>
    <w:p w14:paraId="5F83A530" w14:textId="77777777" w:rsidR="001D4DD5" w:rsidRPr="0044524F" w:rsidRDefault="001D4DD5" w:rsidP="009654CF">
      <w:pPr>
        <w:spacing w:after="0" w:line="240" w:lineRule="auto"/>
        <w:jc w:val="both"/>
        <w:rPr>
          <w:rFonts w:ascii="Times New Roman" w:hAnsi="Times New Roman"/>
          <w:color w:val="000000" w:themeColor="text1"/>
          <w:sz w:val="16"/>
          <w:szCs w:val="16"/>
        </w:rPr>
      </w:pPr>
    </w:p>
    <w:p w14:paraId="1F1D442B"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Летом 1933 г. Комиссия проверявшая состояние работ по Сталь-МАИ (к этому времени Осоавиахим уже перевёл МАИ 350 тыс. рублей), пришла к выводу, что часть этих средств потрачена не по назначению. «Незаконно израсходованные деньги на строительство квартир вернуть Осоавиахиму, а несгораемый шкаф и автомобиль считать собственностью Осоавиахима», — говорится в заключении комиссии </w:t>
      </w:r>
      <w:hyperlink r:id="rId244" w:history="1">
        <w:r w:rsidRPr="0044524F">
          <w:rPr>
            <w:rFonts w:ascii="Times New Roman" w:eastAsia="Times New Roman" w:hAnsi="Times New Roman"/>
            <w:color w:val="000000" w:themeColor="text1"/>
            <w:sz w:val="16"/>
            <w:szCs w:val="16"/>
            <w:lang w:eastAsia="ru-RU"/>
          </w:rPr>
          <w:t>[134]</w:t>
        </w:r>
      </w:hyperlink>
      <w:r w:rsidRPr="0044524F">
        <w:rPr>
          <w:rFonts w:ascii="Times New Roman" w:eastAsia="Times New Roman" w:hAnsi="Times New Roman"/>
          <w:color w:val="000000" w:themeColor="text1"/>
          <w:sz w:val="16"/>
          <w:szCs w:val="16"/>
          <w:lang w:eastAsia="ru-RU"/>
        </w:rPr>
        <w:t xml:space="preserve"> .</w:t>
      </w:r>
    </w:p>
    <w:p w14:paraId="40CCDDD1"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Другим, более важным решением, стал вывод о необходимости изменения задания на более реальное для МАИ. В новом договоре (июнь 1933 г.) речь шла о постройке только одного самолёта, меньших размеров, о кругосветном перелёте уже не упоминалось. «В целях скорейшего и бесперебойного строительства самолёта МАИ обязуется пополнить имеющееся конструкторское бюро инженерно-техническими работниками, профессурой и аспирантами», — отмечалось в договоре </w:t>
      </w:r>
      <w:hyperlink r:id="rId245" w:history="1">
        <w:r w:rsidRPr="0044524F">
          <w:rPr>
            <w:rFonts w:ascii="Times New Roman" w:eastAsia="Times New Roman" w:hAnsi="Times New Roman"/>
            <w:color w:val="000000" w:themeColor="text1"/>
            <w:sz w:val="16"/>
            <w:szCs w:val="16"/>
            <w:lang w:eastAsia="ru-RU"/>
          </w:rPr>
          <w:t>[135]</w:t>
        </w:r>
      </w:hyperlink>
      <w:r w:rsidRPr="0044524F">
        <w:rPr>
          <w:rFonts w:ascii="Times New Roman" w:eastAsia="Times New Roman" w:hAnsi="Times New Roman"/>
          <w:color w:val="000000" w:themeColor="text1"/>
          <w:sz w:val="16"/>
          <w:szCs w:val="16"/>
          <w:lang w:eastAsia="ru-RU"/>
        </w:rPr>
        <w:t xml:space="preserve"> .</w:t>
      </w:r>
    </w:p>
    <w:p w14:paraId="0E667D9C"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Машина должна была быть готова к началу 1934 г. Затраты на завершение работ определили в 550 тыс. рублей, финансирование взяло на себя Главное управление ГВФ, затем — Главное управление авиационной промышленности.</w:t>
      </w:r>
    </w:p>
    <w:p w14:paraId="0CED859E"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Григорович так сформулировал назначение строящейся машины: «установление рекорда дальности полёта самолёта советской конструкции с советским мотором на основе покрытия большой дальности полёта при минимальном времени пребывания в воздухе с одновременным освоением в производстве и испытании новых элементов конструкции из нержавеющей стали по принципу применения электросварки» </w:t>
      </w:r>
      <w:hyperlink r:id="rId246" w:history="1">
        <w:r w:rsidRPr="0044524F">
          <w:rPr>
            <w:rFonts w:ascii="Times New Roman" w:eastAsia="Times New Roman" w:hAnsi="Times New Roman"/>
            <w:color w:val="000000" w:themeColor="text1"/>
            <w:sz w:val="16"/>
            <w:szCs w:val="16"/>
            <w:lang w:eastAsia="ru-RU"/>
          </w:rPr>
          <w:t>[136]</w:t>
        </w:r>
      </w:hyperlink>
      <w:r w:rsidRPr="0044524F">
        <w:rPr>
          <w:rFonts w:ascii="Times New Roman" w:eastAsia="Times New Roman" w:hAnsi="Times New Roman"/>
          <w:color w:val="000000" w:themeColor="text1"/>
          <w:sz w:val="16"/>
          <w:szCs w:val="16"/>
          <w:lang w:eastAsia="ru-RU"/>
        </w:rPr>
        <w:t xml:space="preserve"> . Таким образом, самолёт предназначался для установления скоростного рекорда дальности, с прицелом на использование этих наработок при создании дальнего бомбардировщика.</w:t>
      </w:r>
    </w:p>
    <w:p w14:paraId="0F2BBDDE"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расширенное конструкторское бюро вошли студенты П.Д. Грушин, М.М. Пашинин, Л.П. Курбала, В.А. Федулов, А.П. Щекин и другие. Расчёты на прочность выполнил В.Д. Яровицкий. С появлением в МАИ учебно-производственных мастерских изготовлением самолёта руководил С.М. Беляйкин.</w:t>
      </w:r>
    </w:p>
    <w:p w14:paraId="1C1F9B5B"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«ОСО-МАИ» представлял собой одномоторный низкоплан с трапециевидным крылом однолонжеронной конструкции. Относительная толщина профиля была 16 %. В крыле размещались топливные баки. Крыло — свободнонесущей схемы, горизонтальное оперение — с подкосами. Фюзеляж — полумонокок овального сечения, с двухместной кабиной, закрытой общим фонарём. Кресла пилотов имели откидные спинки и были оборудованы таким образом, чтобы экипаж мог отдыхать в полёте. Посадка в самолёт осуществлялась через дверцы в фонаре. При необходимости экипаж мог быть увеличен до трёх человек — для этого за кабиной оборудовали небольшой отсек с иллюминаторами в боковых стенках фюзеляжа.</w:t>
      </w:r>
    </w:p>
    <w:p w14:paraId="0397C442"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При изготовлении каркаса планера использовали опыт постройки «Сталь-2» А.И. Путилова. Основным материалом служила сталь «Энерж-6», из дюраля были только капот двигателя, элероны и хвостовое оперение. Рулевые поверхности имели полотняную обшивку. Винт — деревянный. Практически вся конструкция фюзеляжа, крыла и оперения из катаных листовых профилей была соединена точечной и роликовой электросваркой, обшивка крыла и фюзеляжа сделана из листа толщиной 0,2–0,3 мм с частыми отбортовками (рифтами или зигами) с шагом 80 мм. В.Б. Шавров пишет, что тонкая стальная обшивка образовывала многочисленные мелкие неровности на поверхности фюзеляжа </w:t>
      </w:r>
      <w:hyperlink r:id="rId247" w:history="1">
        <w:r w:rsidRPr="0044524F">
          <w:rPr>
            <w:rFonts w:ascii="Times New Roman" w:eastAsia="Times New Roman" w:hAnsi="Times New Roman"/>
            <w:color w:val="000000" w:themeColor="text1"/>
            <w:sz w:val="16"/>
            <w:szCs w:val="16"/>
            <w:lang w:eastAsia="ru-RU"/>
          </w:rPr>
          <w:t>[137]</w:t>
        </w:r>
      </w:hyperlink>
      <w:r w:rsidRPr="0044524F">
        <w:rPr>
          <w:rFonts w:ascii="Times New Roman" w:eastAsia="Times New Roman" w:hAnsi="Times New Roman"/>
          <w:color w:val="000000" w:themeColor="text1"/>
          <w:sz w:val="16"/>
          <w:szCs w:val="16"/>
          <w:lang w:eastAsia="ru-RU"/>
        </w:rPr>
        <w:t xml:space="preserve"> .</w:t>
      </w:r>
    </w:p>
    <w:p w14:paraId="7050D56A"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Силовая установка — двигатель М-34Р с номинальной мощностью 750 л. с. Ранее он экспонировался на выставке, поэтому отличался особой тщательностью отделки (возможно, первоначально это был макетный вариант, полученный для проведения увязочных работ по винтомоторной группе) (17489).</w:t>
      </w:r>
    </w:p>
    <w:p w14:paraId="6818419C"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p>
    <w:p w14:paraId="0599F27D"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Летом 1933 г. НИИ ВВС подготовил технические требования для военной модификации. Такой вариант разрабатывался и 15 октября 1933 г. Главным конструктором Д.П. Григоровичем и инженером П.М. Крейсоном был утвержден военный вариант Сталь-МАИ. Предусматривалась установка пулемётов ШКАС (один — для стрельбы вперед через винт, второй — для стрельбы назад-вверх) и крыльевых держателей для бомб весом до 500 кг.</w:t>
      </w:r>
    </w:p>
    <w:p w14:paraId="7DF85FB3"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то время, когда самолёт ещё строился, Григорович переключился на другие работы, в частности на создание истребителей с динамо-реактивными пушками Курчевского, поэтому техническое руководство созданием стального самолёта МАИ перешло к П.Д. Грушину. К концу 1933 г. в институте окончательно оформилось конструкторское бюро, которое получило официальное наименование ОКБ-1 и в дальнейшем функционировало как полноценное проектное подразделение во главе с главным конструктором Грушиным (17489).</w:t>
      </w:r>
    </w:p>
    <w:p w14:paraId="3C7C625E" w14:textId="77777777" w:rsidR="0043495B" w:rsidRPr="0044524F" w:rsidRDefault="0043495B" w:rsidP="009654CF">
      <w:pPr>
        <w:spacing w:after="0" w:line="240" w:lineRule="auto"/>
        <w:jc w:val="both"/>
        <w:rPr>
          <w:rFonts w:ascii="Times New Roman" w:eastAsia="Times New Roman" w:hAnsi="Times New Roman"/>
          <w:color w:val="000000" w:themeColor="text1"/>
          <w:sz w:val="16"/>
          <w:szCs w:val="16"/>
          <w:lang w:eastAsia="ru-RU"/>
        </w:rPr>
      </w:pPr>
    </w:p>
    <w:p w14:paraId="0AD6923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ГУСМП опять имел 3 Дорнье Валь несмотря на то, что Валь N 1 списали после экспедиции С.В.Обручева, а N 3 разбили после разведки в Карском море (погиб экипаж Порцеля). N 2 ремонтировали с осени 1932. ЧФ дал N 8 и N 9 и N-8 С.Леваневский перегнал из Севастополя в Хабаровск, а затем в Анадырь для спасения Д.Маттерна, которого нашли и доставили в Ном на Аляске (2543,14).</w:t>
      </w:r>
    </w:p>
    <w:p w14:paraId="64B4B25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032B2D7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СТО СССР принял решение продолжить опытно-конструкторские работы по созданию боевых машин с использованием положительных наработок конструкторов ХАИ (1166,28).</w:t>
      </w:r>
    </w:p>
    <w:p w14:paraId="2A7D0BD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1A3C4BD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кооперированным производством Осоавиахима УССР на территории Харьковского завода муз. инструментов под руководством С.Я.Жолтовского был построен облагороженный У-2, но достичь прироста скорости до 150-160 км/час достичь не удалось. Работа велась с начала 1932 (553,144).</w:t>
      </w:r>
    </w:p>
    <w:p w14:paraId="163656F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3DB21B3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первый АИР-6 поставили на однореданные деревянные поплавки, спроектированные В.Б.Ш. по подобию поплавков для АИР-2, но увеличенных размеров (3550,9).</w:t>
      </w:r>
    </w:p>
    <w:p w14:paraId="74CBDC2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2F5299FD" w14:textId="77777777" w:rsidR="000268E0" w:rsidRPr="0044524F" w:rsidRDefault="000268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w:t>
      </w:r>
      <w:r w:rsidRPr="0044524F">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0EEA5083" w14:textId="77777777" w:rsidR="000268E0" w:rsidRPr="0044524F" w:rsidRDefault="000268E0" w:rsidP="009654CF">
      <w:pPr>
        <w:spacing w:after="0" w:line="240" w:lineRule="auto"/>
        <w:jc w:val="both"/>
        <w:rPr>
          <w:rFonts w:ascii="Times New Roman" w:hAnsi="Times New Roman"/>
          <w:color w:val="000000" w:themeColor="text1"/>
          <w:sz w:val="16"/>
          <w:szCs w:val="16"/>
        </w:rPr>
      </w:pPr>
    </w:p>
    <w:p w14:paraId="718C810B" w14:textId="77777777" w:rsidR="000268E0" w:rsidRPr="0044524F" w:rsidRDefault="000268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 первый экземпляр автожира А- 6 вышел на испытания, а второй, который хо</w:t>
      </w:r>
      <w:r w:rsidRPr="0044524F">
        <w:rPr>
          <w:rFonts w:ascii="Times New Roman" w:hAnsi="Times New Roman"/>
          <w:color w:val="000000" w:themeColor="text1"/>
          <w:sz w:val="16"/>
          <w:szCs w:val="16"/>
        </w:rPr>
        <w:softHyphen/>
        <w:t>тели закончить осенью 1933 г., значился уже как А-8 (20361).</w:t>
      </w:r>
    </w:p>
    <w:p w14:paraId="363F78DC" w14:textId="77777777" w:rsidR="000268E0" w:rsidRPr="0044524F" w:rsidRDefault="000268E0" w:rsidP="009654CF">
      <w:pPr>
        <w:spacing w:after="0" w:line="240" w:lineRule="auto"/>
        <w:jc w:val="both"/>
        <w:rPr>
          <w:rFonts w:ascii="Times New Roman" w:hAnsi="Times New Roman"/>
          <w:color w:val="000000" w:themeColor="text1"/>
          <w:sz w:val="16"/>
          <w:szCs w:val="16"/>
        </w:rPr>
      </w:pPr>
    </w:p>
    <w:p w14:paraId="6D2EF5D9"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Летом 1933 года на совещании, проходившем на даче И.В.Сталина, приняли решение приобрести за рубежом лицензии на современные авиамоторы, отсутствие которых сдерживало советское самолетостроение. В состав делегации, в сентябре отправившейся во Францию, вошел и Ильюшин. В этой стране присмотрели два мощных двигателя – рядный «Испано-Сюиза»12У и звездообразный «Гном-Рон»14К. Последний очень понравился Ильюшину. Это была 14-цилиндровая двухрядная звезда воздушного охлаждения, отличавшаяся компактностью, малым весом и экономичностью на крейсерском режиме. Такие моторы могли существенно улучшить показатели проектируемого бомбардировщика, особенно в отношении радиуса действия.</w:t>
      </w:r>
    </w:p>
    <w:p w14:paraId="3D9A7FBE"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Вернувшись домой, Ильюшин внес предложение о постройке бомбардировщика с двигателями «Гном-Рон»14К (у нас его чаще называли К-14). Уже в октябре ГУАП одобрило эту идею. Самолет должен был стать альтернативой туполевскому СБ. В документах ВВС машина именовалась ББ-2 или иногда СБ-39 («скоростной бомбардировщик завода №39»). Интересно, что по заданию самолет имел двойное назначение – ближний бомбардировщик и пассажирский. Последний определялся как «магистральный для ночных линий» и должен был отличаться моторами. Вместо «Гном-Ронов» на нем хотели ставить «Райт-Циклон» (у нас именовавшийся М-25). Срок выхода бомбардировщика на государственные испытания установили в мае 1935 г. (впоследствии его сдвинули на 1 ноября).</w:t>
      </w:r>
    </w:p>
    <w:p w14:paraId="6B2363E1"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Группа Ильюшина начала перерабатывать документацию под французские моторы. В результате возник проект ЦКБ-26, уже имевший многие основные черты будущего ДБ-3. Главный упор делался на скорость полета. Крыло получило сравнительно небольшое удлинение (около 7), но со значительной нагрузкой – до 140 кг/мг . Для него выбрали тонкий (по тому времени) двояковыпуклый профиль Кларк Y-15. Такой подход обеспечивал бомбардировщику небольшое аэродинамическое сопротивление и тем самым способствовал получению высоких скоростных характеристик. В тоже время такое крыло ухудшало взлетно-посадочные качества. Это решили парировать щитками типа Цап.</w:t>
      </w:r>
    </w:p>
    <w:p w14:paraId="47BB8FFF"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Многие другие конструктивные решения также были продиктованы стремлением до предела уменьшить аэродинамическое сопротивление: гладкая обшивка, узкий фюзеляж, развитые зализы на стыке фюзеляжа и крыла, убирающееся шасси. В итоге получился компактный, изящный и прочный самолет. Конструкция его была смешанной. ЦКБ-26 имел деревянные фюзеляж и киль при металлическом крыле и горизонтальном оперении (25043).</w:t>
      </w:r>
    </w:p>
    <w:p w14:paraId="018FFACA" w14:textId="77777777" w:rsidR="00A31F9B" w:rsidRPr="00142305" w:rsidRDefault="00A31F9B" w:rsidP="00A31F9B">
      <w:pPr>
        <w:spacing w:after="0" w:line="240" w:lineRule="auto"/>
        <w:jc w:val="both"/>
        <w:rPr>
          <w:rFonts w:ascii="Times New Roman" w:hAnsi="Times New Roman"/>
          <w:color w:val="0070C0"/>
          <w:sz w:val="16"/>
          <w:szCs w:val="16"/>
        </w:rPr>
      </w:pPr>
    </w:p>
    <w:p w14:paraId="4BC8F08C"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 в мастерских ЦИАМ изготовили первый опытный образец АН-1 (Н-1). Разрабатывался в отделе нефтяных двигателей НАМ (ЦИАМ) под руко</w:t>
      </w:r>
      <w:r w:rsidRPr="0044524F">
        <w:rPr>
          <w:rFonts w:ascii="Times New Roman" w:hAnsi="Times New Roman"/>
          <w:color w:val="000000" w:themeColor="text1"/>
          <w:sz w:val="16"/>
          <w:szCs w:val="16"/>
        </w:rPr>
        <w:softHyphen/>
        <w:t>водством А.Д. Чаромского с 1931 г. по заданию Н-1. Общая компоновка и силовая схема двигателя были аналогичны М-34. Газораспределение — че-тырехклапанное. Он проходил стендовые испытания в 1933-1934 гг. Были отмечены неу</w:t>
      </w:r>
      <w:r w:rsidRPr="0044524F">
        <w:rPr>
          <w:rFonts w:ascii="Times New Roman" w:hAnsi="Times New Roman"/>
          <w:color w:val="000000" w:themeColor="text1"/>
          <w:sz w:val="16"/>
          <w:szCs w:val="16"/>
        </w:rPr>
        <w:softHyphen/>
        <w:t>стойчивая работа на малом газе, плохой запуск при низких температурах. В октябре — ноябре 1935 г. АН-1 прошел госиспытания. По их результатам предложили выпустить опытную партию из 35—40 дизелей. В конце 1936 г. двигатель проходил летные испытания (50 ч) на самолете АНТ-36 (РДД) — АНТ-25 (РД), переделанном под дизель. Впоследствии АН-1 неоднократно модифицировался, включая и не авиа</w:t>
      </w:r>
      <w:r w:rsidRPr="0044524F">
        <w:rPr>
          <w:rFonts w:ascii="Times New Roman" w:hAnsi="Times New Roman"/>
          <w:color w:val="000000" w:themeColor="text1"/>
          <w:sz w:val="16"/>
          <w:szCs w:val="16"/>
        </w:rPr>
        <w:softHyphen/>
        <w:t>ционные варианты. В массовом производстве он не был, но различные модификации изготавливались небольшими опытными сериями. В общей сложности выпущено около 100 экз.</w:t>
      </w:r>
    </w:p>
    <w:p w14:paraId="76C10FC9"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6787858F"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12-цилиндровый, рядный У-образный дизель, четырехтактный, водя</w:t>
      </w:r>
      <w:r w:rsidRPr="0044524F">
        <w:rPr>
          <w:rFonts w:ascii="Times New Roman" w:hAnsi="Times New Roman"/>
          <w:color w:val="000000" w:themeColor="text1"/>
          <w:sz w:val="16"/>
          <w:szCs w:val="16"/>
        </w:rPr>
        <w:softHyphen/>
        <w:t>ного охлаждения;</w:t>
      </w:r>
    </w:p>
    <w:p w14:paraId="551B9C62"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объем 61,04 л;</w:t>
      </w:r>
    </w:p>
    <w:p w14:paraId="1F4B48D9"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180/200 мм (в цилиндрах с прицепными шатунами 209,95 мм);</w:t>
      </w:r>
    </w:p>
    <w:p w14:paraId="2636803B"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13,5;</w:t>
      </w:r>
    </w:p>
    <w:p w14:paraId="13E21148"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и вес в зависимости от модификации. Известны следующие модификации:</w:t>
      </w:r>
    </w:p>
    <w:p w14:paraId="62BDB35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АН-1, первый опытный вариант, изготовлен летом 1933 г. Первона</w:t>
      </w:r>
      <w:r w:rsidRPr="0044524F">
        <w:rPr>
          <w:rFonts w:ascii="Times New Roman" w:hAnsi="Times New Roman"/>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44524F">
        <w:rPr>
          <w:rFonts w:ascii="Times New Roman" w:hAnsi="Times New Roman"/>
          <w:color w:val="000000" w:themeColor="text1"/>
          <w:sz w:val="16"/>
          <w:szCs w:val="16"/>
        </w:rPr>
        <w:softHyphen/>
        <w:t>лось начать 1 ноября 1933 г. В действительности АН-1 проходил ис-| пытания и доводку в 1933-1934 гг. Мощность 750/800 л.с. (фактиче-| ски на испытаниях добились 814 л.с.). Вес по заданию 950 кг, позднее поднятый до 975 кг, фактически 1003 кг, после доводки и внесения</w:t>
      </w:r>
    </w:p>
    <w:p w14:paraId="22954B86"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ряда местных усилений 1021 кг. В октябре — ноябре двигатель про</w:t>
      </w:r>
      <w:r w:rsidRPr="0044524F">
        <w:rPr>
          <w:rFonts w:ascii="Times New Roman" w:hAnsi="Times New Roman"/>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44524F">
        <w:rPr>
          <w:rFonts w:ascii="Times New Roman" w:hAnsi="Times New Roman"/>
          <w:color w:val="000000" w:themeColor="text1"/>
          <w:sz w:val="16"/>
          <w:szCs w:val="16"/>
        </w:rPr>
        <w:softHyphen/>
        <w:t>струкциям по удельному весу и имел большую лобовую площадь.</w:t>
      </w:r>
    </w:p>
    <w:p w14:paraId="547F1B63"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АН-1А, модифицированный вариант 1936 г. с одно скоростным ПЦН. Проектировался и доводился под руководством Чаромского, после ареста последнего — Ф.Я. Тулупова. Форсирован по оборотам. Мощ</w:t>
      </w:r>
      <w:r w:rsidRPr="0044524F">
        <w:rPr>
          <w:rFonts w:ascii="Times New Roman" w:hAnsi="Times New Roman"/>
          <w:color w:val="000000" w:themeColor="text1"/>
          <w:sz w:val="16"/>
          <w:szCs w:val="16"/>
        </w:rPr>
        <w:softHyphen/>
        <w:t>ность 850/900 л.с., вес 1040 кг. Первый раз выставлялся на госиспы</w:t>
      </w:r>
      <w:r w:rsidRPr="0044524F">
        <w:rPr>
          <w:rFonts w:ascii="Times New Roman" w:hAnsi="Times New Roman"/>
          <w:color w:val="000000" w:themeColor="text1"/>
          <w:sz w:val="16"/>
          <w:szCs w:val="16"/>
        </w:rPr>
        <w:softHyphen/>
        <w:t>тания в 1936 г., но неудачно. В январе 1937 г. прошел госиспытания (100 ч), показав мощность 900/913 л.с. Изготовлена малая серия в мастерских ЦИАМ. В начале 1937 г. испытывался на ТБ-ЗД (испы</w:t>
      </w:r>
      <w:r w:rsidRPr="0044524F">
        <w:rPr>
          <w:rFonts w:ascii="Times New Roman" w:hAnsi="Times New Roman"/>
          <w:color w:val="000000" w:themeColor="text1"/>
          <w:sz w:val="16"/>
          <w:szCs w:val="16"/>
        </w:rPr>
        <w:softHyphen/>
        <w:t>тания закончились катастрофой).</w:t>
      </w:r>
    </w:p>
    <w:p w14:paraId="2B4A7849"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АН-1Р, редукторный вариант АН-1А. Разрабатывался параллельно с последним с 1936 г. Мощность 850/900 л.с., вес 1000 кг (по заданию). Прошел госиспытания на стенде в начале 1938 г., в том же году — летные испытания. В январе 1939 г. передан ЦИАМ для доработки. Предполагалось серийное производство АН-1Р на заводе № 82, но затем решили делать более позднюю модификацию — АН-1РТК.</w:t>
      </w:r>
    </w:p>
    <w:p w14:paraId="62F561C2"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АН-1РТК, усовершенствованный вариант с турбонаддувом. Проекти</w:t>
      </w:r>
      <w:r w:rsidRPr="0044524F">
        <w:rPr>
          <w:rFonts w:ascii="Times New Roman" w:hAnsi="Times New Roman"/>
          <w:color w:val="000000" w:themeColor="text1"/>
          <w:sz w:val="16"/>
          <w:szCs w:val="16"/>
        </w:rPr>
        <w:softHyphen/>
        <w:t>ровался с 1936 г. под руководством Чаромского, затем В.М. Яковле</w:t>
      </w:r>
      <w:r w:rsidRPr="0044524F">
        <w:rPr>
          <w:rFonts w:ascii="Times New Roman" w:hAnsi="Times New Roman"/>
          <w:color w:val="000000" w:themeColor="text1"/>
          <w:sz w:val="16"/>
          <w:szCs w:val="16"/>
        </w:rPr>
        <w:softHyphen/>
        <w:t>ва. В январе 1938 г. АН-1РТК предъявили на госиспытания с двумя турбонагнетателями конструкции В.И. Дмитриевского и И.Е. Скляра и ПЦН Э-88. Мощность этого варианта 1000/1200 л.с. В 1939 г. дви</w:t>
      </w:r>
      <w:r w:rsidRPr="0044524F">
        <w:rPr>
          <w:rFonts w:ascii="Times New Roman" w:hAnsi="Times New Roman"/>
          <w:color w:val="000000" w:themeColor="text1"/>
          <w:sz w:val="16"/>
          <w:szCs w:val="16"/>
        </w:rPr>
        <w:softHyphen/>
        <w:t>гатель проходил стендовые высотные испытания на Памире. В ходе Памирской экспедиции 1939 г. АН-1Р испытывали на передвижном стенде в высокогорье с тремя системами наддува: с турбокомпрес</w:t>
      </w:r>
      <w:r w:rsidRPr="0044524F">
        <w:rPr>
          <w:rFonts w:ascii="Times New Roman" w:hAnsi="Times New Roman"/>
          <w:color w:val="000000" w:themeColor="text1"/>
          <w:sz w:val="16"/>
          <w:szCs w:val="16"/>
        </w:rPr>
        <w:softHyphen/>
        <w:t>сорами, с Э-88 и с комбинированной — два турбонагнетателя плюс ПЦН. Лучшим признали вариант с Э-88.</w:t>
      </w:r>
    </w:p>
    <w:p w14:paraId="7AB43620"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1940 г. изготовлен вариант с измененной системой наддува, он имел четыре турбонагнетателя конструкции М.А. Кузьмина и И.Е. Скля</w:t>
      </w:r>
      <w:r w:rsidRPr="0044524F">
        <w:rPr>
          <w:rFonts w:ascii="Times New Roman" w:hAnsi="Times New Roman"/>
          <w:color w:val="000000" w:themeColor="text1"/>
          <w:sz w:val="16"/>
          <w:szCs w:val="16"/>
        </w:rPr>
        <w:softHyphen/>
        <w:t>ра без ПЦН. Этот дизель имел мощность 1000/1250 л.с., вес 1100 кг. В 1940 г. готовился специальный вариант с приводом наддува гермо-кабины для планировавшегося кругосветного перелета М.М. Громова.</w:t>
      </w:r>
    </w:p>
    <w:p w14:paraId="6E8D63FB"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АН-1М, катерный вариант АН-1А с реверс-муфтой, без наддува и с агре</w:t>
      </w:r>
      <w:r w:rsidRPr="0044524F">
        <w:rPr>
          <w:rFonts w:ascii="Times New Roman" w:hAnsi="Times New Roman"/>
          <w:color w:val="000000" w:themeColor="text1"/>
          <w:sz w:val="16"/>
          <w:szCs w:val="16"/>
        </w:rPr>
        <w:softHyphen/>
        <w:t>гатами от ГАМ-34. Мощность 850/950 л.с., вес 1350 кг. Создавался в кон</w:t>
      </w:r>
      <w:r w:rsidRPr="0044524F">
        <w:rPr>
          <w:rFonts w:ascii="Times New Roman" w:hAnsi="Times New Roman"/>
          <w:color w:val="000000" w:themeColor="text1"/>
          <w:sz w:val="16"/>
          <w:szCs w:val="16"/>
        </w:rPr>
        <w:softHyphen/>
        <w:t>структорском бюро завода № 24 под руководством В.М. Яковлева с начала 1937 г. В 1939 г. прошел заводские испытания. В конце 1939 г. работу прекратили, поскольку наркомат ВМФ изменил требования задания. Модификация АН-1РТК послужила основой для более поздних дизелей М-30, М-40 и М-50. Разработки по АН-1Р использовали для проектирова</w:t>
      </w:r>
      <w:r w:rsidRPr="0044524F">
        <w:rPr>
          <w:rFonts w:ascii="Times New Roman" w:hAnsi="Times New Roman"/>
          <w:color w:val="000000" w:themeColor="text1"/>
          <w:sz w:val="16"/>
          <w:szCs w:val="16"/>
        </w:rPr>
        <w:softHyphen/>
        <w:t>ния катерного М-50Р, строившегося серийно. Многие элементы конструк</w:t>
      </w:r>
      <w:r w:rsidRPr="0044524F">
        <w:rPr>
          <w:rFonts w:ascii="Times New Roman" w:hAnsi="Times New Roman"/>
          <w:color w:val="000000" w:themeColor="text1"/>
          <w:sz w:val="16"/>
          <w:szCs w:val="16"/>
        </w:rPr>
        <w:softHyphen/>
        <w:t>ции АН-1 заимствовали в массовом танковом дизеле В-2.</w:t>
      </w:r>
    </w:p>
    <w:p w14:paraId="414185D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АН-1 проходил летные испытания на самолетах РДД и ТБ-ЗД (11852).</w:t>
      </w:r>
    </w:p>
    <w:p w14:paraId="09B8C4CE"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2C6B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 был изготовлен АН-1, первый опытный вариант. Первона</w:t>
      </w:r>
      <w:r w:rsidRPr="0044524F">
        <w:rPr>
          <w:rFonts w:ascii="Times New Roman" w:hAnsi="Times New Roman"/>
          <w:color w:val="000000" w:themeColor="text1"/>
          <w:sz w:val="16"/>
          <w:szCs w:val="16"/>
        </w:rPr>
        <w:softHyphen/>
        <w:t>чально не имел наддува, затем испытывался с односкоростным ПЦН конструкции П.И. Орлова. По плану заводские испытания предполага</w:t>
      </w:r>
      <w:r w:rsidRPr="0044524F">
        <w:rPr>
          <w:rFonts w:ascii="Times New Roman" w:hAnsi="Times New Roman"/>
          <w:color w:val="000000" w:themeColor="text1"/>
          <w:sz w:val="16"/>
          <w:szCs w:val="16"/>
        </w:rPr>
        <w:softHyphen/>
        <w:t>лось начать 1 ноября 1933 г. В действительности АН-1 проходил испытания и доводку в 1933-1934 гг. Мощность 750/800 л.с. (фактически на испытаниях добились 814 л.с.). Вес по заданию 950 кг, позднее поднятый до 975 кг, фактически 1003 кг, после доводки и внесения ряда местных усилений 1021 кг. В октябре — ноябре двигатель про</w:t>
      </w:r>
      <w:r w:rsidRPr="0044524F">
        <w:rPr>
          <w:rFonts w:ascii="Times New Roman" w:hAnsi="Times New Roman"/>
          <w:color w:val="000000" w:themeColor="text1"/>
          <w:sz w:val="16"/>
          <w:szCs w:val="16"/>
        </w:rPr>
        <w:softHyphen/>
        <w:t>шел госиспытания. В конце 1936 г. АН-1 испытывался на самолете АНТ-36. Советский дизель уступал современным ему немецким кон</w:t>
      </w:r>
      <w:r w:rsidRPr="0044524F">
        <w:rPr>
          <w:rFonts w:ascii="Times New Roman" w:hAnsi="Times New Roman"/>
          <w:color w:val="000000" w:themeColor="text1"/>
          <w:sz w:val="16"/>
          <w:szCs w:val="16"/>
        </w:rPr>
        <w:softHyphen/>
        <w:t>струкциям по удельному весу и имел большую лобовую площадь (11852).</w:t>
      </w:r>
    </w:p>
    <w:p w14:paraId="386D1C17"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76824B" w14:textId="77777777" w:rsidR="00ED7E8E" w:rsidRPr="00142305" w:rsidRDefault="00ED7E8E" w:rsidP="00ED7E8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Летом 1933 г. в мастерских ЦИАМ изготовили первый опытный образец авиадизеля АН-1. Двигатель был безнаддувным, т.е. еще не имел приво</w:t>
      </w:r>
      <w:r w:rsidRPr="00142305">
        <w:rPr>
          <w:rStyle w:val="aff"/>
          <w:rFonts w:ascii="Times New Roman" w:hAnsi="Times New Roman" w:cs="Times New Roman"/>
          <w:color w:val="0070C0"/>
          <w:spacing w:val="0"/>
          <w:sz w:val="16"/>
          <w:szCs w:val="16"/>
        </w:rPr>
        <w:softHyphen/>
        <w:t>дного центробежного нагнетателя. На стендовых испытаниях в 1933-1934 гг. отмечалась его неустой</w:t>
      </w:r>
      <w:r w:rsidRPr="00142305">
        <w:rPr>
          <w:rStyle w:val="aff"/>
          <w:rFonts w:ascii="Times New Roman" w:hAnsi="Times New Roman" w:cs="Times New Roman"/>
          <w:color w:val="0070C0"/>
          <w:spacing w:val="0"/>
          <w:sz w:val="16"/>
          <w:szCs w:val="16"/>
        </w:rPr>
        <w:softHyphen/>
        <w:t>чивая работа на режиме малого газа; дизель плохо запускался при низких температурах. В процессе отладки номинальную и максимальную мощность удалось довести до 750 и 800 л.с. соответственно (25145).</w:t>
      </w:r>
    </w:p>
    <w:p w14:paraId="22711AB0" w14:textId="77777777" w:rsidR="00ED7E8E" w:rsidRPr="00142305" w:rsidRDefault="00ED7E8E" w:rsidP="00ED7E8E">
      <w:pPr>
        <w:spacing w:after="0" w:line="240" w:lineRule="auto"/>
        <w:jc w:val="both"/>
        <w:rPr>
          <w:rFonts w:ascii="Times New Roman" w:hAnsi="Times New Roman"/>
          <w:color w:val="0070C0"/>
          <w:sz w:val="16"/>
          <w:szCs w:val="16"/>
        </w:rPr>
      </w:pPr>
    </w:p>
    <w:p w14:paraId="13986C7F"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1933 появился первый опытный образец</w:t>
      </w:r>
      <w:r w:rsidRPr="00142305">
        <w:rPr>
          <w:rFonts w:ascii="Times New Roman" w:hAnsi="Times New Roman"/>
          <w:color w:val="0070C0"/>
          <w:sz w:val="16"/>
          <w:szCs w:val="16"/>
          <w:shd w:val="clear" w:color="auto" w:fill="FFFFFF"/>
        </w:rPr>
        <w:t xml:space="preserve"> дизеля </w:t>
      </w:r>
      <w:r w:rsidRPr="00142305">
        <w:rPr>
          <w:rFonts w:ascii="Times New Roman" w:hAnsi="Times New Roman"/>
          <w:color w:val="0070C0"/>
          <w:sz w:val="16"/>
          <w:szCs w:val="16"/>
        </w:rPr>
        <w:t>АН-1 (Н-1, Нефтяной-1), который начал разрабатываться в Отделе нефтяных двигателей ИАМ (Института авиационных моторов) А.Д.Чаромским по заданию 1931 года в рамках большой программы по созданию "нефтяных" моторов для авиации.</w:t>
      </w:r>
    </w:p>
    <w:p w14:paraId="59870C84"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1933-1934 гг. дизель проходил стендовые испытания (25288).</w:t>
      </w:r>
    </w:p>
    <w:p w14:paraId="2CF80FA0" w14:textId="77777777" w:rsidR="00A31F9B" w:rsidRPr="00142305" w:rsidRDefault="00A31F9B" w:rsidP="00A31F9B">
      <w:pPr>
        <w:spacing w:after="0" w:line="240" w:lineRule="auto"/>
        <w:jc w:val="both"/>
        <w:rPr>
          <w:rFonts w:ascii="Times New Roman" w:hAnsi="Times New Roman"/>
          <w:color w:val="0070C0"/>
          <w:sz w:val="16"/>
          <w:szCs w:val="16"/>
        </w:rPr>
      </w:pPr>
    </w:p>
    <w:p w14:paraId="4CDB6324" w14:textId="77777777" w:rsidR="00EA7008" w:rsidRPr="0044524F" w:rsidRDefault="00EA7008"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года серия из 24 автопилота для ТБ-1, изготовленных заводом «Метрон» была установлена на самолеты и проходила опытную эксплуатацию в строевых частях ВВС РККА. Вторая опытная серия этого же автопилота в количестве 50 штук была заказана летом 1933 года и закончена изготовлением в январе 1934 года. Вся серия автопилотов разослана по строевым частям, где они монтируются на самолеты силами самих частей (4039,114).</w:t>
      </w:r>
    </w:p>
    <w:p w14:paraId="17772C2E" w14:textId="77777777" w:rsidR="00EA7008" w:rsidRPr="0044524F" w:rsidRDefault="00EA7008"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672C2B8"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года, перепробовав различные способы по</w:t>
      </w:r>
      <w:r w:rsidRPr="0044524F">
        <w:rPr>
          <w:rFonts w:ascii="Times New Roman" w:hAnsi="Times New Roman"/>
          <w:color w:val="000000" w:themeColor="text1"/>
          <w:sz w:val="16"/>
          <w:szCs w:val="16"/>
        </w:rPr>
        <w:softHyphen/>
        <w:t>вышения точности стрельбы реактивного снаряда, Артемьев впервые доложил техническому совету ГДЛ о проектах 82 и 132-миллиметровых реактивных снарядов с оперением, значи</w:t>
      </w:r>
      <w:r w:rsidRPr="0044524F">
        <w:rPr>
          <w:rFonts w:ascii="Times New Roman" w:hAnsi="Times New Roman"/>
          <w:color w:val="000000" w:themeColor="text1"/>
          <w:sz w:val="16"/>
          <w:szCs w:val="16"/>
        </w:rPr>
        <w:softHyphen/>
        <w:t>тельно превышающим габариты снарядов. По его мнению, из всех разрабатываемых только калибры 82 и 132 миллиметров были наиболее оптимальными, и только развитое, выходящее за габариты оперение могло обеспечить стабилизацию снаряда в полете для достижения высокой точности стрельбы.</w:t>
      </w:r>
    </w:p>
    <w:p w14:paraId="4BA4C603"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то, что предложенные Артемьевым снаряды не могли запускаться с трубчатых направляющих и требовали пусковых установок нового типа, Клейменов, Лангемак, Петро</w:t>
      </w:r>
      <w:r w:rsidRPr="0044524F">
        <w:rPr>
          <w:rFonts w:ascii="Times New Roman" w:hAnsi="Times New Roman"/>
          <w:color w:val="000000" w:themeColor="text1"/>
          <w:sz w:val="16"/>
          <w:szCs w:val="16"/>
        </w:rPr>
        <w:softHyphen/>
        <w:t>павловский и Шварц поддержали его предложение. Лучшим для таких снарядов был признан порох Бакаева, технология изготовления зарядов которого позволяла развернуть массовое производство, в котором нуж</w:t>
      </w:r>
      <w:r w:rsidRPr="0044524F">
        <w:rPr>
          <w:rFonts w:ascii="Times New Roman" w:hAnsi="Times New Roman"/>
          <w:color w:val="000000" w:themeColor="text1"/>
          <w:sz w:val="16"/>
          <w:szCs w:val="16"/>
        </w:rPr>
        <w:softHyphen/>
        <w:t>далась Красная Армия.</w:t>
      </w:r>
    </w:p>
    <w:p w14:paraId="0B4D51A3"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летом 1933 года на</w:t>
      </w:r>
      <w:r w:rsidRPr="0044524F">
        <w:rPr>
          <w:rFonts w:ascii="Times New Roman" w:hAnsi="Times New Roman"/>
          <w:color w:val="000000" w:themeColor="text1"/>
          <w:sz w:val="16"/>
          <w:szCs w:val="16"/>
        </w:rPr>
        <w:softHyphen/>
        <w:t>чался продолжительный по вре</w:t>
      </w:r>
      <w:r w:rsidRPr="0044524F">
        <w:rPr>
          <w:rFonts w:ascii="Times New Roman" w:hAnsi="Times New Roman"/>
          <w:color w:val="000000" w:themeColor="text1"/>
          <w:sz w:val="16"/>
          <w:szCs w:val="16"/>
        </w:rPr>
        <w:softHyphen/>
        <w:t>мени и драматичный по со</w:t>
      </w:r>
      <w:r w:rsidRPr="0044524F">
        <w:rPr>
          <w:rFonts w:ascii="Times New Roman" w:hAnsi="Times New Roman"/>
          <w:color w:val="000000" w:themeColor="text1"/>
          <w:sz w:val="16"/>
          <w:szCs w:val="16"/>
        </w:rPr>
        <w:softHyphen/>
        <w:t>держанию период сложной и кропотливой работы по созда</w:t>
      </w:r>
      <w:r w:rsidRPr="0044524F">
        <w:rPr>
          <w:rFonts w:ascii="Times New Roman" w:hAnsi="Times New Roman"/>
          <w:color w:val="000000" w:themeColor="text1"/>
          <w:sz w:val="16"/>
          <w:szCs w:val="16"/>
        </w:rPr>
        <w:softHyphen/>
        <w:t>нию реактивных снарядов новой конструкции. По предложе</w:t>
      </w:r>
      <w:r w:rsidRPr="0044524F">
        <w:rPr>
          <w:rFonts w:ascii="Times New Roman" w:hAnsi="Times New Roman"/>
          <w:color w:val="000000" w:themeColor="text1"/>
          <w:sz w:val="16"/>
          <w:szCs w:val="16"/>
        </w:rPr>
        <w:softHyphen/>
        <w:t>нию Артемьева и под руководством Петропавловского ГДЛ приступила к разработке оперенных реактивных снарядов калибра 82 и 132 миллиме</w:t>
      </w:r>
      <w:r w:rsidRPr="0044524F">
        <w:rPr>
          <w:rFonts w:ascii="Times New Roman" w:hAnsi="Times New Roman"/>
          <w:color w:val="000000" w:themeColor="text1"/>
          <w:sz w:val="16"/>
          <w:szCs w:val="16"/>
        </w:rPr>
        <w:softHyphen/>
        <w:t>тра с разгоном от нуля на баллиститном нитроглицериновом порохе. Эту условную дату можно считать датой начала работ над реактивными сна</w:t>
      </w:r>
      <w:r w:rsidRPr="0044524F">
        <w:rPr>
          <w:rFonts w:ascii="Times New Roman" w:hAnsi="Times New Roman"/>
          <w:color w:val="000000" w:themeColor="text1"/>
          <w:sz w:val="16"/>
          <w:szCs w:val="16"/>
        </w:rPr>
        <w:softHyphen/>
        <w:t xml:space="preserve">рядами </w:t>
      </w:r>
      <w:r w:rsidRPr="0044524F">
        <w:rPr>
          <w:rFonts w:ascii="Times New Roman" w:hAnsi="Times New Roman"/>
          <w:color w:val="000000" w:themeColor="text1"/>
          <w:sz w:val="16"/>
          <w:szCs w:val="16"/>
        </w:rPr>
        <w:lastRenderedPageBreak/>
        <w:t>«Катюши». Непосредственно занимались снарядами В.Г.Бессонов, Ф.Н.Пойда и Л.Э.Шварц. Наибольшую заинтересованность к эрэсам по-прежнему проявляло не ГАУ, а командование ВВС. К концу 1933 года отработка снарядов с новым оперени</w:t>
      </w:r>
      <w:r w:rsidRPr="0044524F">
        <w:rPr>
          <w:rFonts w:ascii="Times New Roman" w:hAnsi="Times New Roman"/>
          <w:color w:val="000000" w:themeColor="text1"/>
          <w:sz w:val="16"/>
          <w:szCs w:val="16"/>
        </w:rPr>
        <w:softHyphen/>
        <w:t>ем была завершена, однако Бакаеву никак не удавалось изго</w:t>
      </w:r>
      <w:r w:rsidRPr="0044524F">
        <w:rPr>
          <w:rFonts w:ascii="Times New Roman" w:hAnsi="Times New Roman"/>
          <w:color w:val="000000" w:themeColor="text1"/>
          <w:sz w:val="16"/>
          <w:szCs w:val="16"/>
        </w:rPr>
        <w:softHyphen/>
        <w:t>товить из своего пороха шашки диаметром более 18 милли</w:t>
      </w:r>
      <w:r w:rsidRPr="0044524F">
        <w:rPr>
          <w:rFonts w:ascii="Times New Roman" w:hAnsi="Times New Roman"/>
          <w:color w:val="000000" w:themeColor="text1"/>
          <w:sz w:val="16"/>
          <w:szCs w:val="16"/>
        </w:rPr>
        <w:softHyphen/>
        <w:t>метров. Над этой проблемой он мучался два года. Лишь летом 1935-го московскому НИИ-6 и ленинградскому заводу имени Н.А.Морозова удалось освоить но</w:t>
      </w:r>
      <w:r w:rsidRPr="0044524F">
        <w:rPr>
          <w:rFonts w:ascii="Times New Roman" w:hAnsi="Times New Roman"/>
          <w:color w:val="000000" w:themeColor="text1"/>
          <w:sz w:val="16"/>
          <w:szCs w:val="16"/>
        </w:rPr>
        <w:softHyphen/>
        <w:t>вую технологию и изготовить первые шашки тре</w:t>
      </w:r>
      <w:r w:rsidRPr="0044524F">
        <w:rPr>
          <w:rFonts w:ascii="Times New Roman" w:hAnsi="Times New Roman"/>
          <w:color w:val="000000" w:themeColor="text1"/>
          <w:sz w:val="16"/>
          <w:szCs w:val="16"/>
        </w:rPr>
        <w:softHyphen/>
        <w:t>буемых диаметров 24 и 40 миллиметров (23510).</w:t>
      </w:r>
    </w:p>
    <w:p w14:paraId="304186F3" w14:textId="77777777" w:rsidR="001D4DD5" w:rsidRPr="0044524F" w:rsidRDefault="001D4DD5" w:rsidP="009654CF">
      <w:pPr>
        <w:spacing w:after="0" w:line="240" w:lineRule="auto"/>
        <w:jc w:val="both"/>
        <w:rPr>
          <w:rFonts w:ascii="Times New Roman" w:hAnsi="Times New Roman"/>
          <w:color w:val="000000" w:themeColor="text1"/>
          <w:sz w:val="16"/>
          <w:szCs w:val="16"/>
        </w:rPr>
      </w:pPr>
    </w:p>
    <w:p w14:paraId="5CE2DC9C"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года Артемьев и Пойда посетили лаборато</w:t>
      </w:r>
      <w:r w:rsidRPr="0044524F">
        <w:rPr>
          <w:rFonts w:ascii="Times New Roman" w:hAnsi="Times New Roman"/>
          <w:color w:val="000000" w:themeColor="text1"/>
          <w:sz w:val="16"/>
          <w:szCs w:val="16"/>
        </w:rPr>
        <w:softHyphen/>
        <w:t>рию Охтинского завода и встретились с инженером Алексан</w:t>
      </w:r>
      <w:r w:rsidRPr="0044524F">
        <w:rPr>
          <w:rFonts w:ascii="Times New Roman" w:hAnsi="Times New Roman"/>
          <w:color w:val="000000" w:themeColor="text1"/>
          <w:sz w:val="16"/>
          <w:szCs w:val="16"/>
        </w:rPr>
        <w:softHyphen/>
        <w:t>дром Семеновичем Бакаевым. К этому времени конструкторы лаборатории были переведены в Москву, сама лаборатория под названием ЦНИЛ-84 вошла в состав Военно-химического научно-исследовательского института (ВХНИИ). В институте сосредоточились лучшие представители пороховой промыш</w:t>
      </w:r>
      <w:r w:rsidRPr="0044524F">
        <w:rPr>
          <w:rFonts w:ascii="Times New Roman" w:hAnsi="Times New Roman"/>
          <w:color w:val="000000" w:themeColor="text1"/>
          <w:sz w:val="16"/>
          <w:szCs w:val="16"/>
        </w:rPr>
        <w:softHyphen/>
        <w:t>ленности страны. Часть из них были вольнонаемными, часть - заключенными. К числу последних относился и Бакаев.</w:t>
      </w:r>
    </w:p>
    <w:p w14:paraId="06363FB1"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Выслушав Артемьева и Пойду, Бакаев предложил пироксилин-тротиловый порох заменить баллиститным нитроглице</w:t>
      </w:r>
      <w:r w:rsidRPr="0044524F">
        <w:rPr>
          <w:rFonts w:ascii="Times New Roman" w:hAnsi="Times New Roman"/>
          <w:color w:val="000000" w:themeColor="text1"/>
          <w:sz w:val="16"/>
          <w:szCs w:val="16"/>
        </w:rPr>
        <w:softHyphen/>
        <w:t>риновым. Технологический цикл изготовления был очень коротким, так как в качестве пластификатора приме</w:t>
      </w:r>
      <w:r w:rsidRPr="0044524F">
        <w:rPr>
          <w:rFonts w:ascii="Times New Roman" w:hAnsi="Times New Roman"/>
          <w:color w:val="000000" w:themeColor="text1"/>
          <w:sz w:val="16"/>
          <w:szCs w:val="16"/>
        </w:rPr>
        <w:softHyphen/>
        <w:t>нялось труднолетучее взрывчатое вещество нитроглицерин. Нитроглицерин не только не удаляли из пороха, а, наоборот, оставляли в нем для повышения энергии.</w:t>
      </w:r>
    </w:p>
    <w:p w14:paraId="6A3615CE"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Отрицательными свойствами нитроглицеринового пороха были его большая энергетика и высокая температура горения. Высокая температура приводила к прогару стволов пушек и, как следствие, преждевременному их износу. Артиллеристы недолю</w:t>
      </w:r>
      <w:r w:rsidRPr="0044524F">
        <w:rPr>
          <w:rFonts w:ascii="Times New Roman" w:hAnsi="Times New Roman"/>
          <w:color w:val="000000" w:themeColor="text1"/>
          <w:sz w:val="16"/>
          <w:szCs w:val="16"/>
        </w:rPr>
        <w:softHyphen/>
        <w:t>бливали новый порох и прозвали его «Смерть пушкам». Помимо всего прочего, в пороховых погребах фран</w:t>
      </w:r>
      <w:r w:rsidRPr="0044524F">
        <w:rPr>
          <w:rFonts w:ascii="Times New Roman" w:hAnsi="Times New Roman"/>
          <w:color w:val="000000" w:themeColor="text1"/>
          <w:sz w:val="16"/>
          <w:szCs w:val="16"/>
        </w:rPr>
        <w:softHyphen/>
        <w:t>цузских и английских военных кораблей произошло несколько сильных взрывов, как считалось, по вине нитроглицеринового пороха. После этого военные разных стран стали относиться к нему крайне недоверчи</w:t>
      </w:r>
      <w:r w:rsidRPr="0044524F">
        <w:rPr>
          <w:rFonts w:ascii="Times New Roman" w:hAnsi="Times New Roman"/>
          <w:color w:val="000000" w:themeColor="text1"/>
          <w:sz w:val="16"/>
          <w:szCs w:val="16"/>
        </w:rPr>
        <w:softHyphen/>
        <w:t>во. Вскоре производство было приостанов</w:t>
      </w:r>
      <w:r w:rsidRPr="0044524F">
        <w:rPr>
          <w:rFonts w:ascii="Times New Roman" w:hAnsi="Times New Roman"/>
          <w:color w:val="000000" w:themeColor="text1"/>
          <w:sz w:val="16"/>
          <w:szCs w:val="16"/>
        </w:rPr>
        <w:softHyphen/>
        <w:t>лено и возобновилось только после Первой мировой войны, когда появились так назы</w:t>
      </w:r>
      <w:r w:rsidRPr="0044524F">
        <w:rPr>
          <w:rFonts w:ascii="Times New Roman" w:hAnsi="Times New Roman"/>
          <w:color w:val="000000" w:themeColor="text1"/>
          <w:sz w:val="16"/>
          <w:szCs w:val="16"/>
        </w:rPr>
        <w:softHyphen/>
        <w:t>ваемые пороха баллиститного типа, содер</w:t>
      </w:r>
      <w:r w:rsidRPr="0044524F">
        <w:rPr>
          <w:rFonts w:ascii="Times New Roman" w:hAnsi="Times New Roman"/>
          <w:color w:val="000000" w:themeColor="text1"/>
          <w:sz w:val="16"/>
          <w:szCs w:val="16"/>
        </w:rPr>
        <w:softHyphen/>
        <w:t>жащие охлаждающие добавки.</w:t>
      </w:r>
    </w:p>
    <w:p w14:paraId="37EF7BFE" w14:textId="77777777" w:rsidR="001D4DD5" w:rsidRPr="0044524F" w:rsidRDefault="001D4D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Бакаевым Артемье</w:t>
      </w:r>
      <w:r w:rsidRPr="0044524F">
        <w:rPr>
          <w:rFonts w:ascii="Times New Roman" w:hAnsi="Times New Roman"/>
          <w:color w:val="000000" w:themeColor="text1"/>
          <w:sz w:val="16"/>
          <w:szCs w:val="16"/>
        </w:rPr>
        <w:softHyphen/>
        <w:t>ву и Пойде был предложен порох марки Н. По мнению Бакаева, он как нельзя лучше под</w:t>
      </w:r>
      <w:r w:rsidRPr="0044524F">
        <w:rPr>
          <w:rFonts w:ascii="Times New Roman" w:hAnsi="Times New Roman"/>
          <w:color w:val="000000" w:themeColor="text1"/>
          <w:sz w:val="16"/>
          <w:szCs w:val="16"/>
        </w:rPr>
        <w:softHyphen/>
        <w:t>ходил для реактивных снарядов. Поразительно, но почти де</w:t>
      </w:r>
      <w:r w:rsidRPr="0044524F">
        <w:rPr>
          <w:rFonts w:ascii="Times New Roman" w:hAnsi="Times New Roman"/>
          <w:color w:val="000000" w:themeColor="text1"/>
          <w:sz w:val="16"/>
          <w:szCs w:val="16"/>
        </w:rPr>
        <w:softHyphen/>
        <w:t>сять лет два направления - разработка реактивных снарядов и баллиститных нитроглицериновых порохов - развивались в нашей стране изолированно друг от друга. В дальнейшем применение нитроглицеринового пороха привело к подлин</w:t>
      </w:r>
      <w:r w:rsidRPr="0044524F">
        <w:rPr>
          <w:rFonts w:ascii="Times New Roman" w:hAnsi="Times New Roman"/>
          <w:color w:val="000000" w:themeColor="text1"/>
          <w:sz w:val="16"/>
          <w:szCs w:val="16"/>
        </w:rPr>
        <w:softHyphen/>
        <w:t>ному перевороту в истории создания реактивных снарядов и способствовало разработке одного из самых грозных видов вооружения Второй мировой войны - реактивной установки «Катюша» (23510).</w:t>
      </w:r>
    </w:p>
    <w:p w14:paraId="79749849" w14:textId="77777777" w:rsidR="001D4DD5" w:rsidRPr="0044524F" w:rsidRDefault="001D4DD5" w:rsidP="009654CF">
      <w:pPr>
        <w:spacing w:after="0" w:line="240" w:lineRule="auto"/>
        <w:jc w:val="both"/>
        <w:rPr>
          <w:rFonts w:ascii="Times New Roman" w:hAnsi="Times New Roman"/>
          <w:color w:val="000000" w:themeColor="text1"/>
          <w:sz w:val="16"/>
          <w:szCs w:val="16"/>
        </w:rPr>
      </w:pPr>
    </w:p>
    <w:p w14:paraId="51E69ADB" w14:textId="77777777" w:rsidR="00B849DC" w:rsidRPr="0044524F" w:rsidRDefault="00B849DC" w:rsidP="009654CF">
      <w:pPr>
        <w:pStyle w:val="ae"/>
        <w:shd w:val="clear" w:color="auto" w:fill="FFFFFF"/>
        <w:spacing w:before="0" w:after="0"/>
        <w:jc w:val="both"/>
        <w:rPr>
          <w:color w:val="000000" w:themeColor="text1"/>
          <w:sz w:val="16"/>
          <w:szCs w:val="16"/>
        </w:rPr>
      </w:pPr>
      <w:r w:rsidRPr="0044524F">
        <w:rPr>
          <w:color w:val="000000" w:themeColor="text1"/>
          <w:sz w:val="16"/>
          <w:szCs w:val="16"/>
        </w:rPr>
        <w:t>Летом 1933 года, когда ленинградские создатели стратостата «ОСОАВИАХИМ-1» доложили правительству о завершении строительства стратостата и готовности к полету, из Москвы приехала комиссия для проверки готовности и конструкции аэростата, прежде всего его гондолы. Ознакомившись на месте с гондолой ленинградского стратостата, комиссия составила официальный акт и доложила свои соображения на собрании ленинградского отделения ОСОАВИАХИМа, на котором присутствовали руководство организации (Иванов) и все участники строительства. Общий вывод комиссии гласил: гондола имеет существенные конструктивные недостатки и выпускать ее в таком состоянии в полет с людьми нельзя. Важнейшие недостатки гондолы были связаны с обеспечением безопасности полета и аварийного спуска.</w:t>
      </w:r>
    </w:p>
    <w:p w14:paraId="16CF9B9A" w14:textId="77777777" w:rsidR="00B849DC" w:rsidRPr="0044524F" w:rsidRDefault="00B849DC" w:rsidP="009654CF">
      <w:pPr>
        <w:pStyle w:val="ae"/>
        <w:shd w:val="clear" w:color="auto" w:fill="FFFFFF"/>
        <w:spacing w:before="0" w:after="0"/>
        <w:jc w:val="both"/>
        <w:rPr>
          <w:color w:val="000000" w:themeColor="text1"/>
          <w:sz w:val="16"/>
          <w:szCs w:val="16"/>
        </w:rPr>
      </w:pPr>
      <w:r w:rsidRPr="0044524F">
        <w:rPr>
          <w:color w:val="000000" w:themeColor="text1"/>
          <w:sz w:val="16"/>
          <w:szCs w:val="16"/>
        </w:rPr>
        <w:t>Прежде всего, это была неудачная конструкция единственного люка гондолы «ОСОАВИАХИМ-1». В гондоле стратостата «СССР-1» было два люка, причем открывание их производилось поворотом штурвала в его центре в течение 5-6 с. В гондоле стратостата «ОСОАВИАХИМ» крышка единственного люка имела по окружности 24 отверстия, а на кольце обшивки гондолы было 24 шпильки. Крышка поднималась руками и надевалась отверстиями на шпильки, на которые затем навертывались барашковые гайки, прижимавшие крышку к кольцу обшивки. Для открывания люка нужно было отвернуть 24 гайки, а затем снять крышку со шпилек. Даже в наземных условиях для этого требовалось несколько минут. Кроме того, люк находился в самой верхней части гондолы, а выход в него осуществлялся при помощи веревочной лестницы.</w:t>
      </w:r>
    </w:p>
    <w:p w14:paraId="359126D5" w14:textId="77777777" w:rsidR="00B849DC" w:rsidRPr="0044524F" w:rsidRDefault="00B849DC" w:rsidP="009654CF">
      <w:pPr>
        <w:pStyle w:val="ae"/>
        <w:shd w:val="clear" w:color="auto" w:fill="FFFFFF"/>
        <w:spacing w:before="0" w:after="0"/>
        <w:jc w:val="both"/>
        <w:rPr>
          <w:color w:val="000000" w:themeColor="text1"/>
          <w:sz w:val="16"/>
          <w:szCs w:val="16"/>
        </w:rPr>
      </w:pPr>
      <w:r w:rsidRPr="0044524F">
        <w:rPr>
          <w:color w:val="000000" w:themeColor="text1"/>
          <w:sz w:val="16"/>
          <w:szCs w:val="16"/>
        </w:rPr>
        <w:t>Столь же неудовлетворительно был решен вопрос с балластом. Балласт, необходимый для безопасного спуска аэростата (1 т мелкой свинцовой дроби) помещался внутри гондолы. Для сбрасывания в гондоле имелось устройство в виде воронки и специального кармана с трубой, проходившей через обшивку наружу. Дробь зачерпывалась совком и засыпалась в воронку, из нее пересыпаясь в расположенный ниже карман. После этого закрывался кран между воронкой и карманом, и открывался кран между карманом и трубкой. Таким образом, дробь через трубку высыпалась наружу без нарушения герметичности гондолы. Скорость сбрасывания балласта была очень незначительной, поэтому для освобождения от тонны балласта требовалось больше часа времени. (Для сравнения, на «СССР-1» на это уходило всего 1-2 минуты.) Таким образом, было невозможно быстро сбросить балласт при опасном возрастании скорости спуска.</w:t>
      </w:r>
    </w:p>
    <w:p w14:paraId="1C8B8296" w14:textId="77777777" w:rsidR="00B849DC" w:rsidRPr="0044524F" w:rsidRDefault="00B849DC" w:rsidP="009654CF">
      <w:pPr>
        <w:pStyle w:val="ae"/>
        <w:shd w:val="clear" w:color="auto" w:fill="FFFFFF"/>
        <w:spacing w:before="0" w:after="0"/>
        <w:jc w:val="both"/>
        <w:rPr>
          <w:color w:val="000000" w:themeColor="text1"/>
          <w:sz w:val="16"/>
          <w:szCs w:val="16"/>
        </w:rPr>
      </w:pPr>
      <w:r w:rsidRPr="0044524F">
        <w:rPr>
          <w:color w:val="000000" w:themeColor="text1"/>
          <w:sz w:val="16"/>
          <w:szCs w:val="16"/>
        </w:rPr>
        <w:t>Помимо этих недостатков были и другие. Гондола шарообразной формы, сваренная из листовой стали толщиной 0,8 мм, не имела никакого каркаса. Ее обшивка, помимо избыточного давления изнутри, воспринимала также все местные нагрузки от веса балласта, оборудования, экипажа, что могло вызвать местные деформации. Гондола охватывалась веревочной сеткой, подведенной под ее днище, которая крепилась к стропам оболочки не двадцатью четырьмя, а восемью веревками. Хотя каждая из этих веревок была настолько прочной, что одна могла выдержать тяжесть гондолы, такое крепление гондолы не гарантировало ее от произвольного поворота в сетке под действием местных нагрузок. Концы веревок разделялись на несколько ветвей, и уже концы этих ветвей прикреплялись к оболочке посредством особых лап, пришитых к оболочке. Веревки крепились к разветвлениям не узлом, а посредством петель. В случае обрыва ветки петля сползала и освобождала веревку. Амортизатором при посадке служила резиновая камера, прикрепленная снизу к сетке, охватывающей гондолу. Небольшое сечение камеры не могло обеспечить при посадке сколько-нибудь существенное смягчение удара/</w:t>
      </w:r>
    </w:p>
    <w:p w14:paraId="2F1D79BA" w14:textId="77777777" w:rsidR="00B849DC" w:rsidRPr="0044524F" w:rsidRDefault="00B849DC" w:rsidP="009654CF">
      <w:pPr>
        <w:pStyle w:val="ae"/>
        <w:shd w:val="clear" w:color="auto" w:fill="FFFFFF"/>
        <w:spacing w:before="0" w:after="0"/>
        <w:jc w:val="both"/>
        <w:rPr>
          <w:color w:val="000000" w:themeColor="text1"/>
          <w:sz w:val="16"/>
          <w:szCs w:val="16"/>
        </w:rPr>
      </w:pPr>
      <w:r w:rsidRPr="0044524F">
        <w:rPr>
          <w:color w:val="000000" w:themeColor="text1"/>
          <w:sz w:val="16"/>
          <w:szCs w:val="16"/>
        </w:rPr>
        <w:t>Полет аэростата «ОСОАВИАХИМ-1» задержали, но исправить отмеченные комиссией недостатки не удалось. Тем не менее было все же решено совершить полет на стратостате. По сегодняшним представлениям такое решение было ошибочным, вызванным лишь стремлением побить мировой рекорд. Но нельзя игнорировать общий настрой людей того времени, которые, стремясь к победе, «экономили» на средствах спасения.</w:t>
      </w:r>
    </w:p>
    <w:p w14:paraId="18D3A81E" w14:textId="77777777" w:rsidR="00B849DC" w:rsidRPr="0044524F" w:rsidRDefault="00B849DC" w:rsidP="009654CF">
      <w:pPr>
        <w:pStyle w:val="ae"/>
        <w:shd w:val="clear" w:color="auto" w:fill="FFFFFF"/>
        <w:spacing w:before="0" w:after="0"/>
        <w:jc w:val="both"/>
        <w:rPr>
          <w:color w:val="000000" w:themeColor="text1"/>
          <w:sz w:val="16"/>
          <w:szCs w:val="16"/>
        </w:rPr>
      </w:pPr>
      <w:r w:rsidRPr="0044524F">
        <w:rPr>
          <w:color w:val="000000" w:themeColor="text1"/>
          <w:sz w:val="16"/>
          <w:szCs w:val="16"/>
        </w:rPr>
        <w:t>Стратостат должен был стартовать 30 сентября 1933 года, в тот же день, что и «СССР-1». Однако поднявшийся ветер помешал полету. Плохая погода не позволила выпустить стратостат ОСОАВИАХИМа до января 1934 года. В конце этого месяца условия оказались более благоприятными, и решено было произвести исследование стратосферы в зимних условиях (19614).</w:t>
      </w:r>
    </w:p>
    <w:p w14:paraId="0AE54EAF" w14:textId="77777777" w:rsidR="00B849DC" w:rsidRPr="0044524F" w:rsidRDefault="00B849DC" w:rsidP="009654CF">
      <w:pPr>
        <w:spacing w:after="0" w:line="240" w:lineRule="auto"/>
        <w:jc w:val="both"/>
        <w:rPr>
          <w:rFonts w:ascii="Times New Roman" w:hAnsi="Times New Roman"/>
          <w:color w:val="000000" w:themeColor="text1"/>
          <w:sz w:val="16"/>
          <w:szCs w:val="16"/>
        </w:rPr>
      </w:pPr>
    </w:p>
    <w:p w14:paraId="1A08438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лета 1933 г. на ленин</w:t>
      </w:r>
      <w:r w:rsidRPr="0044524F">
        <w:rPr>
          <w:rFonts w:ascii="Times New Roman" w:hAnsi="Times New Roman"/>
          <w:color w:val="000000" w:themeColor="text1"/>
          <w:sz w:val="16"/>
          <w:szCs w:val="16"/>
        </w:rPr>
        <w:softHyphen/>
        <w:t>градском заводе им. А. Марти под руководством инженера-судостроителя В. М. Бурдакова строились серийные катера АНТ-5, получившие обозначение Г-5. На них устанавливались отече</w:t>
      </w:r>
      <w:r w:rsidRPr="0044524F">
        <w:rPr>
          <w:rFonts w:ascii="Times New Roman" w:hAnsi="Times New Roman"/>
          <w:color w:val="000000" w:themeColor="text1"/>
          <w:sz w:val="16"/>
          <w:szCs w:val="16"/>
        </w:rPr>
        <w:softHyphen/>
        <w:t>ственные двигатели ГАМ-34 (конвертированные авиацион</w:t>
      </w:r>
      <w:r w:rsidRPr="0044524F">
        <w:rPr>
          <w:rFonts w:ascii="Times New Roman" w:hAnsi="Times New Roman"/>
          <w:color w:val="000000" w:themeColor="text1"/>
          <w:sz w:val="16"/>
          <w:szCs w:val="16"/>
        </w:rPr>
        <w:softHyphen/>
        <w:t>ные АМ-34 известного впос</w:t>
      </w:r>
      <w:r w:rsidRPr="0044524F">
        <w:rPr>
          <w:rFonts w:ascii="Times New Roman" w:hAnsi="Times New Roman"/>
          <w:color w:val="000000" w:themeColor="text1"/>
          <w:sz w:val="16"/>
          <w:szCs w:val="16"/>
        </w:rPr>
        <w:softHyphen/>
        <w:t>ледствии конструктора авиа</w:t>
      </w:r>
      <w:r w:rsidRPr="0044524F">
        <w:rPr>
          <w:rFonts w:ascii="Times New Roman" w:hAnsi="Times New Roman"/>
          <w:color w:val="000000" w:themeColor="text1"/>
          <w:sz w:val="16"/>
          <w:szCs w:val="16"/>
        </w:rPr>
        <w:softHyphen/>
        <w:t>двигателей А. А. Микулина). Отдельные узлы корпуса бы</w:t>
      </w:r>
      <w:r w:rsidRPr="0044524F">
        <w:rPr>
          <w:rFonts w:ascii="Times New Roman" w:hAnsi="Times New Roman"/>
          <w:color w:val="000000" w:themeColor="text1"/>
          <w:sz w:val="16"/>
          <w:szCs w:val="16"/>
        </w:rPr>
        <w:softHyphen/>
        <w:t>ли усилены заводским КБ по инициативе его начальника К. В. Попова. Головной катер № 140 на испытаниях развил скорость 51,4 уз. В 1934— 1935 гг. завод им. А. Марти по</w:t>
      </w:r>
      <w:r w:rsidRPr="0044524F">
        <w:rPr>
          <w:rFonts w:ascii="Times New Roman" w:hAnsi="Times New Roman"/>
          <w:color w:val="000000" w:themeColor="text1"/>
          <w:sz w:val="16"/>
          <w:szCs w:val="16"/>
        </w:rPr>
        <w:softHyphen/>
        <w:t>строил 150 торпедных катеров трех серий, нумерация которых следовала за нумерацией серий катеров Ш-4 (т. е. VI—VIII се</w:t>
      </w:r>
      <w:r w:rsidRPr="0044524F">
        <w:rPr>
          <w:rFonts w:ascii="Times New Roman" w:hAnsi="Times New Roman"/>
          <w:color w:val="000000" w:themeColor="text1"/>
          <w:sz w:val="16"/>
          <w:szCs w:val="16"/>
        </w:rPr>
        <w:softHyphen/>
        <w:t>рии). Сметная стоимость одно</w:t>
      </w:r>
      <w:r w:rsidRPr="0044524F">
        <w:rPr>
          <w:rFonts w:ascii="Times New Roman" w:hAnsi="Times New Roman"/>
          <w:color w:val="000000" w:themeColor="text1"/>
          <w:sz w:val="16"/>
          <w:szCs w:val="16"/>
        </w:rPr>
        <w:softHyphen/>
        <w:t>го серийного катера составила 336 тыс. руб.</w:t>
      </w:r>
    </w:p>
    <w:p w14:paraId="4A125A9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 г. бьша сделана по</w:t>
      </w:r>
      <w:r w:rsidRPr="0044524F">
        <w:rPr>
          <w:rFonts w:ascii="Times New Roman" w:hAnsi="Times New Roman"/>
          <w:color w:val="000000" w:themeColor="text1"/>
          <w:sz w:val="16"/>
          <w:szCs w:val="16"/>
        </w:rPr>
        <w:softHyphen/>
        <w:t>пытка создать деревянный ана</w:t>
      </w:r>
      <w:r w:rsidRPr="0044524F">
        <w:rPr>
          <w:rFonts w:ascii="Times New Roman" w:hAnsi="Times New Roman"/>
          <w:color w:val="000000" w:themeColor="text1"/>
          <w:sz w:val="16"/>
          <w:szCs w:val="16"/>
        </w:rPr>
        <w:softHyphen/>
        <w:t>лог торпедного катера типа Г-5. Проект его разрабатывался в конструкторском бюро НИСС, а постройка головного катера осуществлялась на заводе Осоавиахи-ма в Ленинграде. Еще 3 единицы бьши построены на заводе № 5 НКВД. По водоизмещению деревянный катер ДТК в 1,5 раза "превзошел" Г-5, а его скорость снизилась до 47 уз. Дальнейшего развития эти разработки не получили.</w:t>
      </w:r>
    </w:p>
    <w:p w14:paraId="3D2B466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Туполевские торпедные катера типов Ш-4 и Г-5 представляли собой удачный в инженерном отношении пример реализации зада</w:t>
      </w:r>
      <w:r w:rsidRPr="0044524F">
        <w:rPr>
          <w:rFonts w:ascii="Times New Roman" w:hAnsi="Times New Roman"/>
          <w:color w:val="000000" w:themeColor="text1"/>
          <w:sz w:val="16"/>
          <w:szCs w:val="16"/>
        </w:rPr>
        <w:softHyphen/>
        <w:t>ний флота с применением нового легкого материала для корпуса. Освоение технологии изготовления дюралевых корпусов на судо</w:t>
      </w:r>
      <w:r w:rsidRPr="0044524F">
        <w:rPr>
          <w:rFonts w:ascii="Times New Roman" w:hAnsi="Times New Roman"/>
          <w:color w:val="000000" w:themeColor="text1"/>
          <w:sz w:val="16"/>
          <w:szCs w:val="16"/>
        </w:rPr>
        <w:softHyphen/>
        <w:t>строительном заводе</w:t>
      </w:r>
      <w:r w:rsidRPr="0044524F">
        <w:rPr>
          <w:rFonts w:ascii="Times New Roman" w:hAnsi="Times New Roman"/>
          <w:color w:val="000000" w:themeColor="text1"/>
          <w:sz w:val="16"/>
          <w:szCs w:val="16"/>
          <w:vertAlign w:val="superscript"/>
        </w:rPr>
        <w:t>8</w:t>
      </w:r>
      <w:r w:rsidRPr="0044524F">
        <w:rPr>
          <w:rFonts w:ascii="Times New Roman" w:hAnsi="Times New Roman"/>
          <w:color w:val="000000" w:themeColor="text1"/>
          <w:sz w:val="16"/>
          <w:szCs w:val="16"/>
        </w:rPr>
        <w:t xml:space="preserve"> и легких мощных авиамоторов следует приJзнать заслугой конструкторов и производственников. Эти достиже</w:t>
      </w:r>
      <w:r w:rsidRPr="0044524F">
        <w:rPr>
          <w:rFonts w:ascii="Times New Roman" w:hAnsi="Times New Roman"/>
          <w:color w:val="000000" w:themeColor="text1"/>
          <w:sz w:val="16"/>
          <w:szCs w:val="16"/>
        </w:rPr>
        <w:softHyphen/>
        <w:t>ния обеспечили в первую очередь высокую скорость хода при удовлетворительной маневренности. Однако Г-5, как и его предше</w:t>
      </w:r>
      <w:r w:rsidRPr="0044524F">
        <w:rPr>
          <w:rFonts w:ascii="Times New Roman" w:hAnsi="Times New Roman"/>
          <w:color w:val="000000" w:themeColor="text1"/>
          <w:sz w:val="16"/>
          <w:szCs w:val="16"/>
        </w:rPr>
        <w:softHyphen/>
        <w:t>ственнику, бьши свойственны ограниченная мореходность (до 3—4 баллов), отсутствие режимов малого хода и неудобство желоб-ных торпедных аппаратов: торпеда сбрасывалась за корму на ско</w:t>
      </w:r>
      <w:r w:rsidRPr="0044524F">
        <w:rPr>
          <w:rFonts w:ascii="Times New Roman" w:hAnsi="Times New Roman"/>
          <w:color w:val="000000" w:themeColor="text1"/>
          <w:sz w:val="16"/>
          <w:szCs w:val="16"/>
        </w:rPr>
        <w:softHyphen/>
        <w:t>рости не менее 16—18 уз. Небольшая дальность плавания также ог</w:t>
      </w:r>
      <w:r w:rsidRPr="0044524F">
        <w:rPr>
          <w:rFonts w:ascii="Times New Roman" w:hAnsi="Times New Roman"/>
          <w:color w:val="000000" w:themeColor="text1"/>
          <w:sz w:val="16"/>
          <w:szCs w:val="16"/>
        </w:rPr>
        <w:softHyphen/>
        <w:t>раничивала возможности использования Г-5 прибрежными вода</w:t>
      </w:r>
      <w:r w:rsidRPr="0044524F">
        <w:rPr>
          <w:rFonts w:ascii="Times New Roman" w:hAnsi="Times New Roman"/>
          <w:color w:val="000000" w:themeColor="text1"/>
          <w:sz w:val="16"/>
          <w:szCs w:val="16"/>
        </w:rPr>
        <w:softHyphen/>
        <w:t>ми, а применение бензиновых двигателей делало катер пожароо</w:t>
      </w:r>
      <w:r w:rsidRPr="0044524F">
        <w:rPr>
          <w:rFonts w:ascii="Times New Roman" w:hAnsi="Times New Roman"/>
          <w:color w:val="000000" w:themeColor="text1"/>
          <w:sz w:val="16"/>
          <w:szCs w:val="16"/>
        </w:rPr>
        <w:softHyphen/>
        <w:t>пасным. Его стрелковое вооружение бьшо неэффективным как против катеров, так и против самолетов. Эти недостатки морякам были известны еще в процессе испытания опытных глиссеров и руководство УВМС периодически обращалось к проблеме создания более крупных и мореходнь1х катеров, вооруженных крупнокали</w:t>
      </w:r>
      <w:r w:rsidRPr="0044524F">
        <w:rPr>
          <w:rFonts w:ascii="Times New Roman" w:hAnsi="Times New Roman"/>
          <w:color w:val="000000" w:themeColor="text1"/>
          <w:sz w:val="16"/>
          <w:szCs w:val="16"/>
        </w:rPr>
        <w:softHyphen/>
        <w:t>берными (12,7 мм) пулеметами. Так, в июле 1932 г. заместитель наморси И. М. Лудри, утвердил оперативно-тактическое задание на мореходный 45-узловой торпедный катер водоизмещением "не более 50 т", вооруженный двумя 12,7-мм пулеметами. Катер пред</w:t>
      </w:r>
      <w:r w:rsidRPr="0044524F">
        <w:rPr>
          <w:rFonts w:ascii="Times New Roman" w:hAnsi="Times New Roman"/>
          <w:color w:val="000000" w:themeColor="text1"/>
          <w:sz w:val="16"/>
          <w:szCs w:val="16"/>
        </w:rPr>
        <w:softHyphen/>
        <w:t>назначался для применения разрабатывавшихся тогда в Остехбюро "сверхторпед" типа "СУ" калибром 24 или 27 дюймов (610 и 686 мм). Предполагалось, что стрельба этими торпедами будет вес</w:t>
      </w:r>
      <w:r w:rsidRPr="0044524F">
        <w:rPr>
          <w:rFonts w:ascii="Times New Roman" w:hAnsi="Times New Roman"/>
          <w:color w:val="000000" w:themeColor="text1"/>
          <w:sz w:val="16"/>
          <w:szCs w:val="16"/>
        </w:rPr>
        <w:softHyphen/>
        <w:t>тись с дистанции около 100 каб. (18,5 км). Задание не бьшо реа</w:t>
      </w:r>
      <w:r w:rsidRPr="0044524F">
        <w:rPr>
          <w:rFonts w:ascii="Times New Roman" w:hAnsi="Times New Roman"/>
          <w:color w:val="000000" w:themeColor="text1"/>
          <w:sz w:val="16"/>
          <w:szCs w:val="16"/>
        </w:rPr>
        <w:softHyphen/>
        <w:t>лизовано из-за сложности создания самого оружия и ориентации командования ВМФ на уже освоенные промышленностью малые катера, для вывода которых в атаку создавался специальный лидер (3898).</w:t>
      </w:r>
    </w:p>
    <w:p w14:paraId="4039941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2FC4365B" w14:textId="77777777" w:rsidR="000268E0" w:rsidRPr="0044524F" w:rsidRDefault="000268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лета 1933 г. по январь 1934 г. в КБ ДУК под руководством ин</w:t>
      </w:r>
      <w:r w:rsidRPr="0044524F">
        <w:rPr>
          <w:rFonts w:ascii="Times New Roman" w:hAnsi="Times New Roman"/>
          <w:color w:val="000000" w:themeColor="text1"/>
          <w:sz w:val="16"/>
          <w:szCs w:val="16"/>
        </w:rPr>
        <w:softHyphen/>
        <w:t>женера Ф. Трояни разработали проект полужёст</w:t>
      </w:r>
      <w:r w:rsidRPr="0044524F">
        <w:rPr>
          <w:rFonts w:ascii="Times New Roman" w:hAnsi="Times New Roman"/>
          <w:color w:val="000000" w:themeColor="text1"/>
          <w:sz w:val="16"/>
          <w:szCs w:val="16"/>
        </w:rPr>
        <w:softHyphen/>
        <w:t>кого дирижабля ВУК-1 («СССР В-7») объёмом 9000 м3, предназначенного для ВМФ. Постройка его велась также параллельно с «СССР В-6».</w:t>
      </w:r>
    </w:p>
    <w:p w14:paraId="15661C53" w14:textId="77777777" w:rsidR="000268E0" w:rsidRPr="0044524F" w:rsidRDefault="000268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«СССР В-7» впервые применили располо</w:t>
      </w:r>
      <w:r w:rsidRPr="0044524F">
        <w:rPr>
          <w:rFonts w:ascii="Times New Roman" w:hAnsi="Times New Roman"/>
          <w:color w:val="000000" w:themeColor="text1"/>
          <w:sz w:val="16"/>
          <w:szCs w:val="16"/>
        </w:rPr>
        <w:softHyphen/>
        <w:t>жение килевой фермы треугольного попереч</w:t>
      </w:r>
      <w:r w:rsidRPr="0044524F">
        <w:rPr>
          <w:rFonts w:ascii="Times New Roman" w:hAnsi="Times New Roman"/>
          <w:color w:val="000000" w:themeColor="text1"/>
          <w:sz w:val="16"/>
          <w:szCs w:val="16"/>
        </w:rPr>
        <w:softHyphen/>
        <w:t>ного сечения вершиной вверх, а не вниз, как на дирижаблях У. Нобиле, что вызвало критику со стороны последнего. У советских конструкторов, в 1930-е годы, однако, не сложилось определён</w:t>
      </w:r>
      <w:r w:rsidRPr="0044524F">
        <w:rPr>
          <w:rFonts w:ascii="Times New Roman" w:hAnsi="Times New Roman"/>
          <w:color w:val="000000" w:themeColor="text1"/>
          <w:sz w:val="16"/>
          <w:szCs w:val="16"/>
        </w:rPr>
        <w:softHyphen/>
        <w:t>ного мнения о предпочтительности того или иного расположения киля.</w:t>
      </w:r>
    </w:p>
    <w:p w14:paraId="095958C6" w14:textId="77777777" w:rsidR="000268E0" w:rsidRPr="0044524F" w:rsidRDefault="000268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Новое расположение килевой фермы и при</w:t>
      </w:r>
      <w:r w:rsidRPr="0044524F">
        <w:rPr>
          <w:rFonts w:ascii="Times New Roman" w:hAnsi="Times New Roman"/>
          <w:color w:val="000000" w:themeColor="text1"/>
          <w:sz w:val="16"/>
          <w:szCs w:val="16"/>
        </w:rPr>
        <w:softHyphen/>
        <w:t>менение трёхпоясной системы внутренней под</w:t>
      </w:r>
      <w:r w:rsidRPr="0044524F">
        <w:rPr>
          <w:rFonts w:ascii="Times New Roman" w:hAnsi="Times New Roman"/>
          <w:color w:val="000000" w:themeColor="text1"/>
          <w:sz w:val="16"/>
          <w:szCs w:val="16"/>
        </w:rPr>
        <w:softHyphen/>
        <w:t>вески, значительно приблизившей поперечное сечение оболочки к кругу, в сочетании с удачной компоновкой корабля, позволившей значитель</w:t>
      </w:r>
      <w:r w:rsidRPr="0044524F">
        <w:rPr>
          <w:rFonts w:ascii="Times New Roman" w:hAnsi="Times New Roman"/>
          <w:color w:val="000000" w:themeColor="text1"/>
          <w:sz w:val="16"/>
          <w:szCs w:val="16"/>
        </w:rPr>
        <w:softHyphen/>
        <w:t>но сократить количество и размеры элементов конструкции, выступавших за обводы оболочки, обусловило относительно небольшую величину коэффициента аэродинамического сопротивле</w:t>
      </w:r>
      <w:r w:rsidRPr="0044524F">
        <w:rPr>
          <w:rFonts w:ascii="Times New Roman" w:hAnsi="Times New Roman"/>
          <w:color w:val="000000" w:themeColor="text1"/>
          <w:sz w:val="16"/>
          <w:szCs w:val="16"/>
        </w:rPr>
        <w:softHyphen/>
        <w:t>ния дирижабля.</w:t>
      </w:r>
    </w:p>
    <w:p w14:paraId="43AF5562" w14:textId="77777777" w:rsidR="000268E0" w:rsidRPr="0044524F" w:rsidRDefault="000268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Оболочка «СССР В-7» имела четырёхдольную форму поперечного сечения, что улучшало сов</w:t>
      </w:r>
      <w:r w:rsidRPr="0044524F">
        <w:rPr>
          <w:rFonts w:ascii="Times New Roman" w:hAnsi="Times New Roman"/>
          <w:color w:val="000000" w:themeColor="text1"/>
          <w:sz w:val="16"/>
          <w:szCs w:val="16"/>
        </w:rPr>
        <w:softHyphen/>
        <w:t>местную работу киля и оболочки. В ней впервые осуществили принцип сцентрированности отсе</w:t>
      </w:r>
      <w:r w:rsidRPr="0044524F">
        <w:rPr>
          <w:rFonts w:ascii="Times New Roman" w:hAnsi="Times New Roman"/>
          <w:color w:val="000000" w:themeColor="text1"/>
          <w:sz w:val="16"/>
          <w:szCs w:val="16"/>
        </w:rPr>
        <w:softHyphen/>
        <w:t>ков и баллонетов, дававший ряд преимуществ по сравнению с дирижаблями Нобиле «СССР В-5» и «СССР В-6». На «СССР В-7» также впервые применили конструкцию парного дублирования внутренних катенарий, имевшую ряд конструк</w:t>
      </w:r>
      <w:r w:rsidRPr="0044524F">
        <w:rPr>
          <w:rFonts w:ascii="Times New Roman" w:hAnsi="Times New Roman"/>
          <w:color w:val="000000" w:themeColor="text1"/>
          <w:sz w:val="16"/>
          <w:szCs w:val="16"/>
        </w:rPr>
        <w:softHyphen/>
        <w:t>тивных и весовых преимуществ.</w:t>
      </w:r>
    </w:p>
    <w:p w14:paraId="386B65F2" w14:textId="77777777" w:rsidR="000268E0" w:rsidRPr="0044524F" w:rsidRDefault="000268E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Конуса прохода внутренней подвески через баллонет имели направляющие «пауки», препят</w:t>
      </w:r>
      <w:r w:rsidRPr="0044524F">
        <w:rPr>
          <w:rFonts w:ascii="Times New Roman" w:hAnsi="Times New Roman"/>
          <w:color w:val="000000" w:themeColor="text1"/>
          <w:sz w:val="16"/>
          <w:szCs w:val="16"/>
        </w:rPr>
        <w:softHyphen/>
        <w:t>ствовавшие заваливанию на один борт потолка баллонета и таким образом устранявшие один из больших недостатков дирижабля с килем вер</w:t>
      </w:r>
      <w:r w:rsidRPr="0044524F">
        <w:rPr>
          <w:rFonts w:ascii="Times New Roman" w:hAnsi="Times New Roman"/>
          <w:color w:val="000000" w:themeColor="text1"/>
          <w:sz w:val="16"/>
          <w:szCs w:val="16"/>
        </w:rPr>
        <w:softHyphen/>
        <w:t>шиной внутрь. Удачной оказалась ромбовидная конструкция кормового развития, строго фикси</w:t>
      </w:r>
      <w:r w:rsidRPr="0044524F">
        <w:rPr>
          <w:rFonts w:ascii="Times New Roman" w:hAnsi="Times New Roman"/>
          <w:color w:val="000000" w:themeColor="text1"/>
          <w:sz w:val="16"/>
          <w:szCs w:val="16"/>
        </w:rPr>
        <w:softHyphen/>
        <w:t>ровавшая ось верхнего руля. Она была простая в сборке и весьма лёгкая (20120).</w:t>
      </w:r>
    </w:p>
    <w:p w14:paraId="0B32CA7C" w14:textId="77777777" w:rsidR="000268E0" w:rsidRPr="0044524F" w:rsidRDefault="000268E0" w:rsidP="009654CF">
      <w:pPr>
        <w:spacing w:after="0" w:line="240" w:lineRule="auto"/>
        <w:jc w:val="both"/>
        <w:rPr>
          <w:rFonts w:ascii="Times New Roman" w:hAnsi="Times New Roman"/>
          <w:color w:val="000000" w:themeColor="text1"/>
          <w:sz w:val="16"/>
          <w:szCs w:val="16"/>
        </w:rPr>
      </w:pPr>
    </w:p>
    <w:p w14:paraId="7BF25386"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A7B257B"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159A572" w14:textId="460AF7E3"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 место строительства сталелитейного завода Бельгийской компании было, созданного в 1913 и остановленного строительством с началом 1-й Мировой войны было выбрано Главхимпромом для химкомбината (Комбинат № 101 НКТП, НКОП, НКБ, Каменский химкомбинат «Россия», ФГУП «Каменский химический комбинат» Росбоеприпаса, ФКП «Комбинат «Каменский» /347801</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Каменск-Шахтинский Ростовской обл. ул. Сапрыкина, 8 тел. 20-148/). Пост. СТО № 120 от 28.11.1933 г. утверждено строительство комбината, которое начато в 1934 г. В этом году построены кирпичный и известковый заводы, столярный цех, слесарные мастерские, участок связи, электростанция. В 03.1935 г. сданы водное хозяйство, транспортный и электроцех. В 07.1936 г. сдан в эксплуатацию ремонтно-механический завод (РМЗ), освоен выпуск первичных редукторов, шахтных аппаратов, разгружателей, промышленных вентиляторов, сферических днищ. Приказом № 0021 от 3.02.1937 г. заводу предписано к 1.01.1938 г. ввести в эксплуатацию 1-ю линию комбината, создать мощности по выпуску пироксилинового пороха - 12,5 тыс. т в год. «В связи с неудовлетворительными темпами работ» 13/20.01.1938 г. вышел приказ № 10с провести обследование строительства комбината. В 1938 г. введены в строй эфирное производство, ТЭЦ, теплосеть, 3-е производство; в 1939 г.- цех денитрации кислот, 5-е производство. Всего за 5 лет введено в строй 11 цехов. Затем пущено пироксилиновое производство. Проектная мощность на 1.07.1941 г.- 15500 т пороха в год, перед эвакуацией: пороха-16 тыс. т, пироксилина- 24 тыс. т.</w:t>
      </w:r>
    </w:p>
    <w:p w14:paraId="672CBE0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СШС № 2139-425сс от 21.12.1936 г. и пр. НКОП № 05с от 29.12.1936 г. строительство комбината № 101 передано из Порохового треста Главазота НКТП в ведение ГУ военно-химической промышленности НКОП, в 02.1937 г. - в ведении 6ГУ. В соответствии с пост. СНК № 1960-390сс от 5.11.1936 г. и пр. № 068 от 2.04.1937 г. завод переведен в группу особо режимных предприятий. По пр. № 0089 от 20.04.1937 г. передан из 6ГУ в новое 11ГУ. В 02.1939 г. комбинат № 101 11ГУ НКОП передан в ведение 11ГУ НКБ.</w:t>
      </w:r>
      <w:r w:rsidRPr="0044524F">
        <w:rPr>
          <w:rFonts w:ascii="Times New Roman" w:hAnsi="Times New Roman"/>
          <w:color w:val="000000" w:themeColor="text1"/>
          <w:sz w:val="16"/>
          <w:szCs w:val="16"/>
          <w:vertAlign w:val="superscript"/>
        </w:rPr>
        <w:t>Ш</w:t>
      </w:r>
    </w:p>
    <w:p w14:paraId="3A824A6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ГКО № 777 от 13.10.1941 г. основная часть комбината № 101 ЗГУ (11 эшелонов, 610 вагонов, 1717 ед. оборудования) 10-14.10.1941 г. была эвакуирована: производство пироксилинового пороха и эфира (377 ед. оборудования, 101 чел.) - в Кемерово на комбинат № 392; часть производства пироксилина - в Соликамск на завод № 577; вторая часть производства пироксилина и РМЗ (382 ед. оборудования, 47 чел.) - в Молотов на завод № 98; производство олеума (138 ед. оборудования, 41 чел.) - в Реж на завод № 576; 802 ед. различного оборудования (в т.ч. кислородный завод) - в Красноярск на завод № 580. На оставшемся оборудовании в 12.1941 г. организовано производство суррогатных ВВ и противотанковых мин в деревянных корпусах, действовавшее до середины июля 1942 г. В 04-07.1942 г. прошла вторая эвакуация в Казань, Пермь, Стерлитамак, Краснокамск.</w:t>
      </w:r>
    </w:p>
    <w:p w14:paraId="336CA05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02.1943 г. после освобождения Каменска от противника началось восстановление комбината. В 08.1943- 09.1944 г. комбинат № 101 - в ведении 9ГУ НКБ. Сначала были введены в строй цеха водо-, электро- и теплоснабжения, железнодорожное хозяйство. В 1944 г. химкомбинат выпустил первую продукцию- мины и заряды из импортного пороха ОД, пороха для авиаснарядов. В 03.1946 г. начат выпуск сельскохозяйственного оборудования, ТНП. В этом же году восстановлены цеха серной кислоты, тары, телефонная станция, ЦЗЛ. В 1948-49г, вступило в строй 10 цехов, начато строительство комплекса по производству нитроглицериновых порохов. В 1954 г. вступило встрой спиртоэфирное производство. В 1957 г. освоено производство карбоксиметилцеллюлозы (КМЦ), нитролаков и эмалей, люминесцентных светильников, бризольного полотна, эфира канифоли, спирта высшей очистки, молочных цистерн. Изготовлены первые круговые аппараты для непрерывной нитрации целлюлозы. В 1960 г. освоен выпуск мипоры; начато строительство цеха по переработке золы для извлечения германия, введен в строй цех глинозема. В 1965 г. вступило в строй производство полимеров. В 1974 г. создана служба АСУ, организован ИВЦ, участок производства масляной клеенки. Организован строительный цех. В 1975 г. организован участок по выпуску клея «Бустилат». В 1982 г. освоен выпуск клеенки ПВХ, в 1990-93г,- шпатлевки «Шпакрил», вспененного линолеума, цветных эмалей, зарядов для горнодобывающей промышленности, мастики, электроплит, шлангов высокого давления, тормозной жидкости, фенолспирта, одеколонов, шампуней, моющих средств.</w:t>
      </w:r>
    </w:p>
    <w:p w14:paraId="6950046B" w14:textId="5193E54A"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второй половине 1970-х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начато освоение производства крубногабаритных зарядов для МБР «Тополь», для этого созданы специализированные комплексы.</w:t>
      </w:r>
    </w:p>
    <w:p w14:paraId="3DC65C6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2004 г. химкомбинат входил в состав Росбоеприпаса, по Указу Президента РФ № 1009 от 4.08.2004 г. вошел в число стратегических оборонных предприятий. По Указу Президента РФ в 02.2006 г. на базе ФГУП «Каменский химкомбинат» создано два предприятия: ФКП «Комбинат «Каменский» и ФГУП «Химкомбинат «Каменский».</w:t>
      </w:r>
    </w:p>
    <w:p w14:paraId="7DD3CBF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(1939 г.)- 1294 чел. (рабочих), (1940 г.)- 2916 чел. (рабочих), (09.1941 г.)- 3663 чел., (11.1943 г.)-522 чел.</w:t>
      </w:r>
    </w:p>
    <w:p w14:paraId="41446F7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(7.06.1937 г.-)- И.А. Баварский, (07.1939-ВОВ)- В.Л. Ивченков, (1945-55 г.)- А.А. Кириллович, (1955 г.-)- Б.Д. Сапрыгин.</w:t>
      </w:r>
      <w:r w:rsidRPr="0044524F">
        <w:rPr>
          <w:rFonts w:ascii="Times New Roman" w:hAnsi="Times New Roman"/>
          <w:color w:val="000000" w:themeColor="text1"/>
          <w:sz w:val="16"/>
          <w:szCs w:val="16"/>
          <w:vertAlign w:val="superscript"/>
        </w:rPr>
        <w:t>101</w:t>
      </w:r>
      <w:r w:rsidRPr="0044524F">
        <w:rPr>
          <w:rFonts w:ascii="Times New Roman" w:hAnsi="Times New Roman"/>
          <w:color w:val="000000" w:themeColor="text1"/>
          <w:sz w:val="16"/>
          <w:szCs w:val="16"/>
        </w:rPr>
        <w:t xml:space="preserve"> Гендиректор (-2007 г.)- С.А. Поваров.</w:t>
      </w:r>
    </w:p>
    <w:p w14:paraId="7974ECA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строительства (01.1934 г.-)- С.П. Ананьев, начальник строительства (11.03.1937 г.-)- Л.О. Мицмахер. Зам. директора (8.05-11.07.1937 г.)- М.М. Чернулич. Помощник директора по найму и увольнению (14.08.1938 г.-)- А.П. Новожилов.</w:t>
      </w:r>
    </w:p>
    <w:p w14:paraId="15A7233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строительства (-10.06.1937 г.)- Ф.А. Сулим-Грандовский (снят).</w:t>
      </w:r>
    </w:p>
    <w:p w14:paraId="47FE2A47" w14:textId="1A3A15E8"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(9.08.1938 г.-)- Н.С. Навальнев, (2006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Мельник.</w:t>
      </w:r>
    </w:p>
    <w:p w14:paraId="7CA8BBF5" w14:textId="2B80F866"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строительства (-10.06.1937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Г.Д. Саломонович (снят) (11982).</w:t>
      </w:r>
    </w:p>
    <w:p w14:paraId="703FA1D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5431588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года была закончена 37-мм танковая пушка с длиной ствола 60 калибров представляла собой вариант противотанковой пушки калибра 37-мм образца 1930 года (противотанковая пушка калибра 37-мм образца 1930 года в свою очередь представляла собой копию немецкой противотанковой пушки Rheinmetall Pak 35/36). Первый заказ предусматривал выпуск 350 танковых пушек на артиллерийском заводе № 8. Поскольку к тому времени уже появился танковый вариант противотанковой пушки калибра 45-мм образца 1932 года, то от дальнейшего выпуска 37-мм пушки отказались (3862).</w:t>
      </w:r>
    </w:p>
    <w:p w14:paraId="041D0FC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69F300A2" w14:textId="77777777" w:rsidR="00B849DC" w:rsidRPr="0044524F" w:rsidRDefault="00B849DC" w:rsidP="009654CF">
      <w:pPr>
        <w:pStyle w:val="ae"/>
        <w:spacing w:before="0" w:after="0"/>
        <w:jc w:val="both"/>
        <w:textAlignment w:val="baseline"/>
        <w:rPr>
          <w:color w:val="000000" w:themeColor="text1"/>
          <w:sz w:val="16"/>
          <w:szCs w:val="16"/>
        </w:rPr>
      </w:pPr>
      <w:r w:rsidRPr="0044524F">
        <w:rPr>
          <w:color w:val="000000" w:themeColor="text1"/>
          <w:sz w:val="16"/>
          <w:szCs w:val="16"/>
        </w:rPr>
        <w:t>Летом 1933 года был поднят вопрос о потенциальной замене Т-26. На сей раз речь шла не о совсем новом танке, а о </w:t>
      </w:r>
      <w:r w:rsidRPr="0044524F">
        <w:rPr>
          <w:iCs/>
          <w:color w:val="000000" w:themeColor="text1"/>
          <w:sz w:val="16"/>
          <w:szCs w:val="16"/>
          <w:bdr w:val="none" w:sz="0" w:space="0" w:color="auto" w:frame="1"/>
        </w:rPr>
        <w:t>«колёсно-гусеничном танке на основе Т-26»</w:t>
      </w:r>
      <w:r w:rsidRPr="0044524F">
        <w:rPr>
          <w:color w:val="000000" w:themeColor="text1"/>
          <w:sz w:val="16"/>
          <w:szCs w:val="16"/>
        </w:rPr>
        <w:t>. Задание на разработку машины поступило на ОКМО 17 августа 1933 года. К тому времени ОКМО выделили в опытный завод №185 Спецмаштреста, его директором стал Н.В. Барыков. Первоначально танк носил обозначение Т-26А. Боевая масса оценивалась в 10 т, при этом танк получал двигатель мощностью 200-250 л.с. Максимальная скорость на гусеницах оценивалась в 50 км/ч, а на колёсном ходу — 70 км/ч, запас хода составлял 300 км. Вооружалась машина 45-мм пушкой и «</w:t>
      </w:r>
      <w:r w:rsidRPr="0044524F">
        <w:rPr>
          <w:iCs/>
          <w:color w:val="000000" w:themeColor="text1"/>
          <w:sz w:val="16"/>
          <w:szCs w:val="16"/>
          <w:bdr w:val="none" w:sz="0" w:space="0" w:color="auto" w:frame="1"/>
        </w:rPr>
        <w:t>сверхскорострельным»</w:t>
      </w:r>
      <w:r w:rsidRPr="0044524F">
        <w:rPr>
          <w:color w:val="000000" w:themeColor="text1"/>
          <w:sz w:val="16"/>
          <w:szCs w:val="16"/>
        </w:rPr>
        <w:t> пулемётом. Как и Т-26, танк имел экипаж из трёх человек (18689).</w:t>
      </w:r>
    </w:p>
    <w:p w14:paraId="2A6C41A9" w14:textId="77777777" w:rsidR="00B849DC" w:rsidRPr="0044524F" w:rsidRDefault="00B849DC" w:rsidP="009654CF">
      <w:pPr>
        <w:pStyle w:val="ae"/>
        <w:spacing w:before="0" w:after="0"/>
        <w:jc w:val="both"/>
        <w:textAlignment w:val="baseline"/>
        <w:rPr>
          <w:color w:val="000000" w:themeColor="text1"/>
          <w:sz w:val="16"/>
          <w:szCs w:val="16"/>
        </w:rPr>
      </w:pPr>
    </w:p>
    <w:p w14:paraId="161FBF1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СКБ завода Компрессор приступило к разработке танковых огнеметных приборов (ТОП) для установки на любой из модификаций Т-26 или БТ внутри или снаружи. Управление брандспойтом - из башни командира. Емкость резервуара - 75 с, дальность метания - 40-50 м, масса - не более 200 кг (9527,180)</w:t>
      </w:r>
    </w:p>
    <w:p w14:paraId="5AF1E4B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0CE10047"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(хотя срок был - весна) началось производство однобашенных танков Т-26, вооруженных 45-мм пушкой 20К, которое не сулило никаких трудностей, но из-за неподачи вооружения и оптики - затянулось. В докладе М. Тухачевского о ходе выполнения танковой программы 1933 г. сообщалось: «Причины невыполнения про</w:t>
      </w:r>
      <w:r w:rsidRPr="0044524F">
        <w:rPr>
          <w:rFonts w:ascii="Times New Roman" w:hAnsi="Times New Roman"/>
          <w:color w:val="000000" w:themeColor="text1"/>
          <w:sz w:val="16"/>
          <w:szCs w:val="16"/>
        </w:rPr>
        <w:softHyphen/>
        <w:t>граммы по Т-26 — 45-мм пушки стали поступать только в июне, перископические прицелы ожидаются не ранее четверто</w:t>
      </w:r>
      <w:r w:rsidRPr="0044524F">
        <w:rPr>
          <w:rFonts w:ascii="Times New Roman" w:hAnsi="Times New Roman"/>
          <w:color w:val="000000" w:themeColor="text1"/>
          <w:sz w:val="16"/>
          <w:szCs w:val="16"/>
        </w:rPr>
        <w:softHyphen/>
        <w:t>го квартала». По этой причине до конца 1933 г. завод № 174 выпускал однобашенные Т-26 параллельно с двухбашенным вариантом танка. Помимо башни увеличенного размера с 45-мм пушкой новый Т-26 выпуска 1933 г. еще не имел ника</w:t>
      </w:r>
      <w:r w:rsidRPr="0044524F">
        <w:rPr>
          <w:rFonts w:ascii="Times New Roman" w:hAnsi="Times New Roman"/>
          <w:color w:val="000000" w:themeColor="text1"/>
          <w:sz w:val="16"/>
          <w:szCs w:val="16"/>
        </w:rPr>
        <w:softHyphen/>
        <w:t>ких других отличий от двухбашенной машины. Однако ввиду того, что масса нового танка выросла на 850—1200 кг (по сравнению с двухбашенным и без того пере</w:t>
      </w:r>
      <w:r w:rsidRPr="0044524F">
        <w:rPr>
          <w:rFonts w:ascii="Times New Roman" w:hAnsi="Times New Roman"/>
          <w:color w:val="000000" w:themeColor="text1"/>
          <w:sz w:val="16"/>
          <w:szCs w:val="16"/>
        </w:rPr>
        <w:softHyphen/>
        <w:t>груженным танком), возникли здравые опасения, что мощность выпускаемого на «Большевике» мотора 85—88 л.с. бу-, дет уже недостаточна для обеспечения нормальной подвиж</w:t>
      </w:r>
      <w:r w:rsidRPr="0044524F">
        <w:rPr>
          <w:rFonts w:ascii="Times New Roman" w:hAnsi="Times New Roman"/>
          <w:color w:val="000000" w:themeColor="text1"/>
          <w:sz w:val="16"/>
          <w:szCs w:val="16"/>
        </w:rPr>
        <w:softHyphen/>
        <w:t>ности Т-26 на поле боя (10733,216).</w:t>
      </w:r>
    </w:p>
    <w:p w14:paraId="2ED46090"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55BB10C"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1933 г. на опытном заводе Сисцмаштреста им.С.М.Кирова (завод № 185) в Ленинграде был изготовлен опытный образец транспортера ТР-1 (ТР-26), который был разработан в 1932- 1933 гг. слушателями ВАММ им. Сталина на базе танка Т-26 и окончательно доработан в КВ завода № 185. С сентября того же года по февраль 1934 г. прошел испытания на НИБТ полигоне (25501).</w:t>
      </w:r>
    </w:p>
    <w:p w14:paraId="39A4039C" w14:textId="77777777" w:rsidR="00A31F9B" w:rsidRPr="00142305" w:rsidRDefault="00A31F9B" w:rsidP="00A31F9B">
      <w:pPr>
        <w:spacing w:after="0" w:line="240" w:lineRule="auto"/>
        <w:jc w:val="both"/>
        <w:rPr>
          <w:rFonts w:ascii="Times New Roman" w:hAnsi="Times New Roman"/>
          <w:color w:val="0070C0"/>
          <w:sz w:val="16"/>
          <w:szCs w:val="16"/>
        </w:rPr>
      </w:pPr>
    </w:p>
    <w:p w14:paraId="2E6BE6A7"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 1933 года все четыре «легких трактора» были отправлены из Казани в Германию. В 1934 году их передали в Мунстер на зимовку, а с 1935 года и до начала войны использовали в качестве учебных машин в танковой школе в Путлосе (25048).</w:t>
      </w:r>
    </w:p>
    <w:p w14:paraId="7C7C5D6C" w14:textId="77777777" w:rsidR="00A31F9B" w:rsidRPr="00142305" w:rsidRDefault="00A31F9B" w:rsidP="00A31F9B">
      <w:pPr>
        <w:spacing w:after="0" w:line="240" w:lineRule="auto"/>
        <w:jc w:val="both"/>
        <w:rPr>
          <w:rFonts w:ascii="Times New Roman" w:hAnsi="Times New Roman"/>
          <w:color w:val="0070C0"/>
          <w:sz w:val="16"/>
          <w:szCs w:val="16"/>
        </w:rPr>
      </w:pPr>
    </w:p>
    <w:p w14:paraId="248933B4" w14:textId="77777777" w:rsidR="00455388" w:rsidRPr="0044524F" w:rsidRDefault="0045538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 xml:space="preserve">Летом 1933 г. в Народном комиссариате по военным и морским делам (НКВМ) была разработана и утверждена РВС СССР новая система бронетанкового вооружения РККА, которая в наибольшей степени отвечала современным на тот момент оперативно-тактическим взглядам по основным вопросам применения танков в различных видах боевых действий войск. Согласно новой системы на вооружении РККА должны были состоять следующие типы машин: </w:t>
      </w:r>
    </w:p>
    <w:p w14:paraId="3E914D7E"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«1. Основные танки – 5 типов:</w:t>
      </w:r>
    </w:p>
    <w:p w14:paraId="6756B117"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Разведывательный – типа Т-37; </w:t>
      </w:r>
    </w:p>
    <w:p w14:paraId="03D4A2CA"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Общевойсковой – типа Т-26; </w:t>
      </w:r>
    </w:p>
    <w:p w14:paraId="0F75D449"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в) Оперативный – типа Б-Т, в дальнейшем ПТ-1; </w:t>
      </w:r>
    </w:p>
    <w:p w14:paraId="365DB123"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г) Танк качественного усиления ТРГК – типа Т-28; </w:t>
      </w:r>
    </w:p>
    <w:p w14:paraId="43616388"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д) Мощный танк особого назначения – типа Т-35. </w:t>
      </w:r>
    </w:p>
    <w:p w14:paraId="0A342DC1"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2. Специальные танки – 7 типов (на шасси, стандартных с перечисленными выше): </w:t>
      </w:r>
    </w:p>
    <w:p w14:paraId="0ECBF452"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3 химических (на шасси общевойскового, разведывательного и оперативного танков); </w:t>
      </w:r>
    </w:p>
    <w:p w14:paraId="4168B1E6"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2 саперных (на шасси общевойскового танка и танка качественного усиления ТРГК); </w:t>
      </w:r>
    </w:p>
    <w:p w14:paraId="687DA2AA"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в) Самоходная артиллерийская установка (на агрегатах общевойскового танка); </w:t>
      </w:r>
    </w:p>
    <w:p w14:paraId="36D632FE"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г) Танк управления (на шасси общевойскового танка и танка качественного усиления ТРГК); </w:t>
      </w:r>
    </w:p>
    <w:p w14:paraId="526F0EF1"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3. Броне-машины – 2 типа (на шасси ФОРД-А и ФОРД-3А): </w:t>
      </w:r>
    </w:p>
    <w:p w14:paraId="099D1722"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Разведывательная (на шасси ФОРД-А); </w:t>
      </w:r>
    </w:p>
    <w:p w14:paraId="6A8D362F"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Боевая (на шасси ФОРД-3А). </w:t>
      </w:r>
    </w:p>
    <w:p w14:paraId="4664AA2D"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4. Железнодорожные боевые машины – 2 типа:</w:t>
      </w:r>
    </w:p>
    <w:p w14:paraId="1EE158EA"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Мото-броне-вагон; </w:t>
      </w:r>
    </w:p>
    <w:p w14:paraId="461CD74F"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Разведывательная дрезина-броне-автомобиль (стандартный с броне-машиной). </w:t>
      </w:r>
    </w:p>
    <w:p w14:paraId="5B7CC46B"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5. Тракторы – 3 типа (все типы общегосударственные): </w:t>
      </w:r>
    </w:p>
    <w:p w14:paraId="5C882B17"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Легкий быстроходный трактор СТЗ-3; </w:t>
      </w:r>
    </w:p>
    <w:p w14:paraId="6EE9F29C"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Тяжелый быстроходный трактор «Коммунар»; </w:t>
      </w:r>
    </w:p>
    <w:p w14:paraId="200D4209"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в) Тяжелый мощный трактор «Сталинец». </w:t>
      </w:r>
    </w:p>
    <w:p w14:paraId="37AB1462"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6. Транспортеры – 2 типа:</w:t>
      </w:r>
    </w:p>
    <w:p w14:paraId="3939C786"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Транспортер боеприпасов на поле боя (шасси стандартное с разведывательным танком); </w:t>
      </w:r>
    </w:p>
    <w:p w14:paraId="78A823F0"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Транспортер пехоты (на шасси легкого трактора). </w:t>
      </w:r>
    </w:p>
    <w:p w14:paraId="65779A3B"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7. Транспортные машины (существующие на массовом производстве с установкой 3-х осных ходовых частей и полугусеничных снежных ходов): </w:t>
      </w:r>
    </w:p>
    <w:p w14:paraId="3864C6F0"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ФОРД-А; </w:t>
      </w:r>
    </w:p>
    <w:p w14:paraId="0D30C88C" w14:textId="77777777" w:rsidR="00455388" w:rsidRPr="0044524F" w:rsidRDefault="00455388"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ФОРД-АА; </w:t>
      </w:r>
    </w:p>
    <w:p w14:paraId="238A50CB" w14:textId="77777777" w:rsidR="00455388" w:rsidRPr="0044524F" w:rsidRDefault="0045538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в) АМО-5».</w:t>
      </w:r>
    </w:p>
    <w:p w14:paraId="0C4A3C7D" w14:textId="77777777" w:rsidR="00455388" w:rsidRPr="0044524F" w:rsidRDefault="0045538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[АП. Особая папка. Ф. 3. Оп. 46. Д. 381. Л. 147 – 148] (17501).</w:t>
      </w:r>
    </w:p>
    <w:p w14:paraId="16FF387E" w14:textId="77777777" w:rsidR="00455388" w:rsidRPr="0044524F" w:rsidRDefault="00455388" w:rsidP="009654CF">
      <w:pPr>
        <w:spacing w:after="0" w:line="240" w:lineRule="auto"/>
        <w:jc w:val="both"/>
        <w:rPr>
          <w:rFonts w:ascii="Times New Roman" w:eastAsia="Times New Roman" w:hAnsi="Times New Roman"/>
          <w:color w:val="000000" w:themeColor="text1"/>
          <w:sz w:val="16"/>
          <w:szCs w:val="16"/>
          <w:lang w:eastAsia="ru-RU"/>
        </w:rPr>
      </w:pPr>
    </w:p>
    <w:p w14:paraId="6FC804FF" w14:textId="77777777" w:rsidR="00403CBA" w:rsidRPr="0044524F" w:rsidRDefault="00403CB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года сформированный из модернизированных тяжелых бронеплощадок и бронепаровоза ПР-35 тяжелый бронепоезд успешно прошел испытания. Выводы комиссии гласили: «…все элементы… модернизации отвечают своему назначению, повышают боеспособность бронепоезда и обеспечивают лучшее управление и обслуживание». Интересна дальнейшая судьба этого бронепоезда. В соответствии с бытующей тогда пропагандистской традицией было объявлено, что бронепоезд построили на средства, собранные «партизанской комиссией при Харьковском Горсовете» к пятнадцатому юбилею Красной Армии, и нарекли в честь «любимого вождя Красной Армии» Климента Ефремовича Ворошилова. 23 февраля 1933 года, в пятнадцатую годовщину Красной Армии, в торжественной обстановке состав передали отдельному полку бронепоездов (22744).</w:t>
      </w:r>
    </w:p>
    <w:p w14:paraId="67748AD8" w14:textId="77777777" w:rsidR="00403CBA" w:rsidRPr="0044524F" w:rsidRDefault="00403CBA" w:rsidP="009654CF">
      <w:pPr>
        <w:spacing w:after="0" w:line="240" w:lineRule="auto"/>
        <w:jc w:val="both"/>
        <w:rPr>
          <w:rFonts w:ascii="Times New Roman" w:hAnsi="Times New Roman"/>
          <w:color w:val="000000" w:themeColor="text1"/>
          <w:sz w:val="16"/>
          <w:szCs w:val="16"/>
        </w:rPr>
      </w:pPr>
    </w:p>
    <w:p w14:paraId="462E8F20"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Летом 1934 года конструкторскому бюро Экспериментального завода НКПС поручили проектирование новой бронедрезины.</w:t>
      </w:r>
    </w:p>
    <w:p w14:paraId="03358DC1"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Согласно выданным УММ РККА тактико-техническим требованиям предполагалось изготовить три бронедрезины – тяжелую, транспортер и штабную: «Тяжелая бронедрезина основным своим назначением имеет выполнение боевых задач в условиях ближнего боя, решение тактических задач по охране мостов и железнодорожных сооружений, борьбу с отрядами, танками, дрезинами противника и сопровождение на марше эшелонов и колонн…</w:t>
      </w:r>
    </w:p>
    <w:p w14:paraId="388BD166"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Бронедрезина-транспортер основным своим назначением имеет обеспечение беспрепятственного передвижения взвода управления бронепоездной части под огнем противника при его переброске по железнодорожному полотну с целью организации командного и наблюдательного пунктов, а также транспортировка раненых и специальных грузов…</w:t>
      </w:r>
    </w:p>
    <w:p w14:paraId="66ECF6F1"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Штабная бронедрезина является командно-наблюдательным постом командира бронепоездной части для управления частью как в условиях походного движения, так и в бою…» (</w:t>
      </w:r>
      <w:r w:rsidRPr="00A31F9B">
        <w:rPr>
          <w:rStyle w:val="aff3"/>
          <w:rFonts w:ascii="Times New Roman" w:hAnsi="Times New Roman" w:cs="Times New Roman"/>
          <w:i w:val="0"/>
          <w:iCs w:val="0"/>
          <w:color w:val="0070C0"/>
          <w:sz w:val="16"/>
          <w:szCs w:val="16"/>
          <w:lang w:val="ru-RU"/>
        </w:rPr>
        <w:t>РГВА. Ф. 31811. Оп. 2. Д. 534. Л. 116.</w:t>
      </w:r>
      <w:r w:rsidRPr="00142305">
        <w:rPr>
          <w:rStyle w:val="aff"/>
          <w:rFonts w:ascii="Times New Roman" w:hAnsi="Times New Roman" w:cs="Times New Roman"/>
          <w:color w:val="0070C0"/>
          <w:spacing w:val="0"/>
          <w:sz w:val="16"/>
          <w:szCs w:val="16"/>
        </w:rPr>
        <w:t>) (25635).</w:t>
      </w:r>
    </w:p>
    <w:p w14:paraId="2BCA77EF" w14:textId="77777777" w:rsidR="00A31F9B" w:rsidRPr="00142305" w:rsidRDefault="00A31F9B" w:rsidP="00A31F9B">
      <w:pPr>
        <w:spacing w:after="0" w:line="240" w:lineRule="auto"/>
        <w:jc w:val="both"/>
        <w:rPr>
          <w:rFonts w:ascii="Times New Roman" w:hAnsi="Times New Roman"/>
          <w:color w:val="0070C0"/>
          <w:sz w:val="16"/>
          <w:szCs w:val="16"/>
        </w:rPr>
      </w:pPr>
    </w:p>
    <w:p w14:paraId="5826EC4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Летом 1933 года конструкторы НАТИ выступили с инициативой отказаться от идеи универсальной машины, но спроектировать два трактора — сельскохозяйственный и транспортный, максимально унифицированных по своим основным агрегатам, способных выпускаться параллельно на одном конвейере, представлялось тогда реальным. Ими предлагалась обратная поузловая унификация, когда сельскохозяйственный вариант трактора получал элементы трансмиссии и ходовой части, более характерные для быстроходной гусеничной машины; четырехступенчатую коробку передач с возможностью увеличения числа ступеней, двухкат-ковые блокированные пружино-балансирные каретки подвески, легкие и ажурные литые траки гусениц, торцевой отбор мощности, закрытую кабину (Через несколько десятков лет, когда потребовались более высокие рабочие скорости сельскохозяйственных тракторов, эти удачно выбранные конструктивные элементы оказались для них очень уместными). Эти прогрессивные решения, заложенные в конструкцию транспортного трактора, при его ограниченных сцепных возможностях и мощности двигателя, не обеспечивали выполнения всех требований к полноценному среднему артиллерийскому тягачу для армии, но позволяли в определенной мере содействовать решению транспортных задач. </w:t>
      </w:r>
    </w:p>
    <w:p w14:paraId="6843239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двух видов тракторов под общим руководством В.Я.Слонимского (НАТИ) велась параллельно в течение двух лет на СТЗ объединенным КБ (30 человек), куда входили заводские инженеры и прикомандированные к ним работники института. Большой вклад в создание транспортного трактора СТЗ-НАТИ 2ТВ (чаще использовалось заводское название СТЗ-5) внесли конструкторы И.И.Дронг, В.А.Кэр-гополов, Г.Ф.Матюков и Г.В.Соколов — от СТЗ; А.В.Васильев, В.Э.Малаховский, Д.А.Чудаков и В.Н.Тюляев - от НАТИ (11639).</w:t>
      </w:r>
    </w:p>
    <w:p w14:paraId="72B9B38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5929CB3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Летом 1933 года После освоения тяжелого гусеничного С-60 на новом Челябинском тракторном заводе (ЧТЗ) имени Сталина также была предпринята попытка создания на его базе скоростного транспортного трактора-тягача. </w:t>
      </w:r>
    </w:p>
    <w:p w14:paraId="3365D03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Однако, в отличие от сталинградского СТЗ-3, тихоходный и громоздкий С-60 с полужесткой подвеской практически не подходил для этой цели. Ни один его агрегат не мог быть использован в скоростной модификации без радикальных переделок или полной замены. Тем не менее, в начале 1935 года коллектив НАТИ во главе с начальником тракторного отдела В.Я.Слонимским и ведущим конструктором А.А.Крейслером взялся за эту сложную и неблагодарную работу — слишком велико было желание дать стране еще одну транспортную машину. На прототипе транспортного трактора «Сталинец-!» (С-1 или «Скоростной") в конструкцию машины, по сравнению с базовой, внесли кардинальные изменения: подняли мощность двигателя путем увеличения частоты вращения, степени сжатия и перевода его на бензин (вместо лигроина); добавили четвертую ступень в коробку передач и расширили ее силовой диапазон; создали многокатковый движитель с двойной эластичной подвеской; применили легкую мелкозвенчатую гусеницу; использовали пневмоусилители управления бортовых фрикционов. Компоновку изменили по опыту СТЗ-5 — двигатель сместили вперед и заключили внутрь кабины, сзади, на освободившемся месте установили кузов, под ним — лебедку от тягача «Коминтерн». С-1 построили осенью 1935 года в НАТИ, а 10 декабря после прохождения испытаний он был показан вместе с новыми тракторами в Кремле И.В.Сталину и другим руководителям государства. В следующем году по результатам испытаний усилили подвеску, мощность двигателя довели до 120 л.с. (и даже до 130 л.с.) при 1200 об/мин, то есть она увеличилась почти вдвое по сравнению с С-60, при этом скорость машины повысилась. Зимой 1937-го С-1 проходил испытания (водители - А.В.Сапожников от НАТИ и ВИ.Дурановский - от ЧТЗ) уже как артиллерийский тягач на Лужском полигоне, где показал неплохие результаты: среднюю скорость по шоссе без прицепа — 22 км/ч, с артсистемой массой 7,2 т — до 17 км/ч, с массой 12 т — до 11 км/ч, подъем 24° - без прицепа и 12,5° —с прицепом. Однако в это время ЧТЗ уже интенсивно готовился к переходу на новый базовый трактор С-65 с дизелем НАТИ М-17 (75 л.с.), поэтому бензиновый С-1 оказался бесперспективным. </w:t>
      </w:r>
    </w:p>
    <w:p w14:paraId="63F2135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Новый транспортный трактор с дизелем, также форсированным до требуемой, более высокой мощности, пришлось создавать почти с нуля, одновременно существенно дорабатывая подвеску и ходовую часть. </w:t>
      </w:r>
    </w:p>
    <w:p w14:paraId="58DCDB6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Транспортной модификацией двигателя М-17 с конца 1936 года занимался ведущий конструктор-дизелист НАТИ А.В.Лебедев, а также инженеры В.Н.Попов и А.С.Балаев. Рабочий обьем мотора увеличили на 14,3% путем доведения диаметра цилиндров до 155 мм -предела, обусловленного измененной конструкцией блока и поршневой группы; частоту вращения повысили на 35%; расширили фазы газораспределения; применили новую форкамеру. Весной 1937 года дизель МТ-17 был </w:t>
      </w:r>
      <w:r w:rsidRPr="0044524F">
        <w:rPr>
          <w:rFonts w:ascii="Times New Roman" w:hAnsi="Times New Roman"/>
          <w:color w:val="000000" w:themeColor="text1"/>
          <w:sz w:val="16"/>
          <w:szCs w:val="16"/>
        </w:rPr>
        <w:lastRenderedPageBreak/>
        <w:t>построен в НАТИ, Одновременно с ним компоновался и новый трактор «Сталинец-2». Очередной раз переделывались подвеска и ходовая часть, аносились изменения в трансмиссию. В конце года первый С-2 вышел на испытания, которые показали, что он требует серьезной конструкторской доработки. Однако острая потребность в артиллерийских тягачах для армии в преддверии войны вынудила передать «сырую» недоведенную машину в производство. Осенью 1938 года на ЧТЗ начали изготавливать опытную партию С-2 по чертежам НАТИ, прошедшим предварительную технологическую проработку. Напряженное положение на заводе с выпуском обычных тракторов, освоение газогенераторных машин и многие посторонние заказы затянули выпуск предсерийных С-2 до следующего лета. Для проверки их работоспособности и эксплуатационных качеств был организован пробег двух тягачей из Челябинска п Москву, куда они благополучно прибыли 14 августа, преодолев почти 2000 км за 12 ходовых дней (проходили до 167 км в день). Естественно, пробег выявил так и неуст-раненные изъяны: недостаточные мощность, скорость и грузоподъемность при завышенной собственной массе, а кроме того, быстрый износ ряда деталей. Доработкой трактора перед сдачей его в серийное производство (план на 1939 год— 200 машин) занимались представитель НАТИ А.А.Крейслер и ведущий конструктор ЧТЗ В.И.Дурановский (11639).</w:t>
      </w:r>
    </w:p>
    <w:p w14:paraId="2BD8EBD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63D7C35E" w14:textId="77777777" w:rsidR="00403CBA" w:rsidRPr="0044524F" w:rsidRDefault="00403CB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под руководством П.О. Зарецкого проводят</w:t>
      </w:r>
      <w:r w:rsidRPr="0044524F">
        <w:rPr>
          <w:rFonts w:ascii="Times New Roman" w:hAnsi="Times New Roman"/>
          <w:color w:val="000000" w:themeColor="text1"/>
          <w:sz w:val="16"/>
          <w:szCs w:val="16"/>
        </w:rPr>
        <w:softHyphen/>
        <w:t>ся испытания легкового автомобиля Плимут в лет</w:t>
      </w:r>
      <w:r w:rsidRPr="0044524F">
        <w:rPr>
          <w:rFonts w:ascii="Times New Roman" w:hAnsi="Times New Roman"/>
          <w:color w:val="000000" w:themeColor="text1"/>
          <w:sz w:val="16"/>
          <w:szCs w:val="16"/>
        </w:rPr>
        <w:softHyphen/>
        <w:t>них условиях. Испытания проводились с измери</w:t>
      </w:r>
      <w:r w:rsidRPr="0044524F">
        <w:rPr>
          <w:rFonts w:ascii="Times New Roman" w:hAnsi="Times New Roman"/>
          <w:color w:val="000000" w:themeColor="text1"/>
          <w:sz w:val="16"/>
          <w:szCs w:val="16"/>
        </w:rPr>
        <w:softHyphen/>
        <w:t>тельным прибором Оригиналь-Брун «путь-скорость- время» с «пятым колесом» (22518).</w:t>
      </w:r>
    </w:p>
    <w:p w14:paraId="676ECE7A" w14:textId="77777777" w:rsidR="00403CBA" w:rsidRPr="0044524F" w:rsidRDefault="00403CBA" w:rsidP="009654CF">
      <w:pPr>
        <w:spacing w:after="0" w:line="240" w:lineRule="auto"/>
        <w:jc w:val="both"/>
        <w:rPr>
          <w:rFonts w:ascii="Times New Roman" w:hAnsi="Times New Roman"/>
          <w:color w:val="000000" w:themeColor="text1"/>
          <w:sz w:val="16"/>
          <w:szCs w:val="16"/>
        </w:rPr>
      </w:pPr>
    </w:p>
    <w:p w14:paraId="3BDD25A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 Правительство СССР сделало первые кардинальные выводы: «Уже летом 1933 года русские сообщили, что намерены прекратить сотрудничество с германским вермахтом. Рухнула одна из возможных опор германо-русских отношений» [</w:t>
      </w:r>
      <w:r w:rsidRPr="0044524F">
        <w:rPr>
          <w:rFonts w:ascii="Times New Roman" w:hAnsi="Times New Roman"/>
          <w:iCs/>
          <w:color w:val="000000" w:themeColor="text1"/>
          <w:sz w:val="16"/>
          <w:szCs w:val="16"/>
        </w:rPr>
        <w:t xml:space="preserve">Meyer von Achenbach R. </w:t>
      </w:r>
      <w:r w:rsidRPr="0044524F">
        <w:rPr>
          <w:rFonts w:ascii="Times New Roman" w:hAnsi="Times New Roman"/>
          <w:color w:val="000000" w:themeColor="text1"/>
          <w:sz w:val="16"/>
          <w:szCs w:val="16"/>
        </w:rPr>
        <w:t>Gedanken uber eine Konstruktive deutsche Ostpolitik. Frankfurt a. M 1986, с. 6]. Тем не менее многие немецкие фирмы продолжали выполнять полученные ранее военные заказы. Например, в Советский Союз был отправлен танк, известный в отечественной литературе как Т-1, поставленный в Германии на серийное производство в 1934 г. Машина была всесторонне изучена нашими специалистами. Отчет Барыкова по исследованию этой боевой машины хранится во ВНИИТрансмаше (11250).</w:t>
      </w:r>
    </w:p>
    <w:p w14:paraId="2DFB0DA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1347952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 «Томка» прекратила существование, тем самым завершив целую главу советско-германских «военно-технических контактов». Это сотрудничество в области военной химии следует оценить как последовательное, плодотворное и взаимовыгодное. Его основным итогом для СССР было то, что менее чем за 10 лет Красная Армия сумела создать собственные химвойска, организовать научные исследования и испытания, наладить производство средств химического нападения и защиты и, таким образом, встать в области военной химии вровень с армиями ведущих мировых держав. В СССР появилась целая плеяда талантливых военных химиков-специалистов по химзащите: В. Аборенков, Д. Балабанов, М. Дубинин, А. Королев, А. Мельников, В. Патрикеев, А. Прокофьев, П. Сергеев, П, Скворцов, В. Ткач, П. Шепелев (Э. Гаме. Указ. соч. С. 52.) (11874).</w:t>
      </w:r>
    </w:p>
    <w:p w14:paraId="3C32296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6B6B1049" w14:textId="77777777" w:rsidR="00B849DC" w:rsidRPr="0044524F" w:rsidRDefault="00B849D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года работа ЦРЛ стала предметом изучения уполномоченным Управления ВЭСО Красником, который доклады</w:t>
      </w:r>
      <w:r w:rsidRPr="0044524F">
        <w:rPr>
          <w:rFonts w:ascii="Times New Roman" w:hAnsi="Times New Roman"/>
          <w:color w:val="000000" w:themeColor="text1"/>
          <w:sz w:val="16"/>
          <w:szCs w:val="16"/>
        </w:rPr>
        <w:softHyphen/>
        <w:t>вал о результатах своей работы на заседании партийного комитета парторга</w:t>
      </w:r>
      <w:r w:rsidRPr="0044524F">
        <w:rPr>
          <w:rFonts w:ascii="Times New Roman" w:hAnsi="Times New Roman"/>
          <w:color w:val="000000" w:themeColor="text1"/>
          <w:sz w:val="16"/>
          <w:szCs w:val="16"/>
        </w:rPr>
        <w:softHyphen/>
        <w:t>низации ВКП (б) Управления объединения в июле 1933 г. В материалах засе</w:t>
      </w:r>
      <w:r w:rsidRPr="0044524F">
        <w:rPr>
          <w:rFonts w:ascii="Times New Roman" w:hAnsi="Times New Roman"/>
          <w:color w:val="000000" w:themeColor="text1"/>
          <w:sz w:val="16"/>
          <w:szCs w:val="16"/>
        </w:rPr>
        <w:softHyphen/>
        <w:t>дания отмечалась неудовлетворительная организация работы лаборатории, от</w:t>
      </w:r>
      <w:r w:rsidRPr="0044524F">
        <w:rPr>
          <w:rFonts w:ascii="Times New Roman" w:hAnsi="Times New Roman"/>
          <w:color w:val="000000" w:themeColor="text1"/>
          <w:sz w:val="16"/>
          <w:szCs w:val="16"/>
        </w:rPr>
        <w:softHyphen/>
        <w:t>сутствие в ней продуманной структуры, четкого распределения обязанностей между структурными подразделениями и сотрудниками. Это приводило к то</w:t>
      </w:r>
      <w:r w:rsidRPr="0044524F">
        <w:rPr>
          <w:rFonts w:ascii="Times New Roman" w:hAnsi="Times New Roman"/>
          <w:color w:val="000000" w:themeColor="text1"/>
          <w:sz w:val="16"/>
          <w:szCs w:val="16"/>
        </w:rPr>
        <w:softHyphen/>
        <w:t>му, что ЦРЛ теряла авторитет как научная организация, не соответствовала своему статусу лаборатории «Центральной». Нелицеприятную оценку полу</w:t>
      </w:r>
      <w:r w:rsidRPr="0044524F">
        <w:rPr>
          <w:rFonts w:ascii="Times New Roman" w:hAnsi="Times New Roman"/>
          <w:color w:val="000000" w:themeColor="text1"/>
          <w:sz w:val="16"/>
          <w:szCs w:val="16"/>
        </w:rPr>
        <w:softHyphen/>
        <w:t>чила деятельность самого директора ЦРЛ Д.Н. Румянцева, который, по мне</w:t>
      </w:r>
      <w:r w:rsidRPr="0044524F">
        <w:rPr>
          <w:rFonts w:ascii="Times New Roman" w:hAnsi="Times New Roman"/>
          <w:color w:val="000000" w:themeColor="text1"/>
          <w:sz w:val="16"/>
          <w:szCs w:val="16"/>
        </w:rPr>
        <w:softHyphen/>
        <w:t>нию уполномоченного Красника, не соответствовал занимаемой должности. Партком в своем постановлении потребовал от Управления ВЭСО принятия срочных мер по коренной перестройке руководства научно-исследовательской работой лаборатории (19098).</w:t>
      </w:r>
    </w:p>
    <w:p w14:paraId="055C9F62" w14:textId="77777777" w:rsidR="00B849DC" w:rsidRPr="0044524F" w:rsidRDefault="00B849DC" w:rsidP="009654CF">
      <w:pPr>
        <w:spacing w:after="0" w:line="240" w:lineRule="auto"/>
        <w:jc w:val="both"/>
        <w:rPr>
          <w:rFonts w:ascii="Times New Roman" w:hAnsi="Times New Roman"/>
          <w:color w:val="000000" w:themeColor="text1"/>
          <w:sz w:val="16"/>
          <w:szCs w:val="16"/>
        </w:rPr>
      </w:pPr>
    </w:p>
    <w:p w14:paraId="4D5B249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 бьш поднят и сдан на слом затонувший в мае 1931 подвод</w:t>
      </w:r>
      <w:r w:rsidRPr="0044524F">
        <w:rPr>
          <w:rFonts w:ascii="Times New Roman" w:hAnsi="Times New Roman"/>
          <w:color w:val="000000" w:themeColor="text1"/>
          <w:sz w:val="16"/>
          <w:szCs w:val="16"/>
        </w:rPr>
        <w:softHyphen/>
        <w:t>ный заградитель "Рабочий. Одновременно подводники и командование Морских сил Балтийского моря выступили с инициативой модернизации остав</w:t>
      </w:r>
      <w:r w:rsidRPr="0044524F">
        <w:rPr>
          <w:rFonts w:ascii="Times New Roman" w:hAnsi="Times New Roman"/>
          <w:color w:val="000000" w:themeColor="text1"/>
          <w:sz w:val="16"/>
          <w:szCs w:val="16"/>
        </w:rPr>
        <w:softHyphen/>
        <w:t>шихся лодок типа "Барс" с целью повышения живучести и увеличе</w:t>
      </w:r>
      <w:r w:rsidRPr="0044524F">
        <w:rPr>
          <w:rFonts w:ascii="Times New Roman" w:hAnsi="Times New Roman"/>
          <w:color w:val="000000" w:themeColor="text1"/>
          <w:sz w:val="16"/>
          <w:szCs w:val="16"/>
        </w:rPr>
        <w:softHyphen/>
        <w:t>ния подводной скорости хода.</w:t>
      </w:r>
    </w:p>
    <w:p w14:paraId="3C97218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сомнительную целесообразность такой модерни</w:t>
      </w:r>
      <w:r w:rsidRPr="0044524F">
        <w:rPr>
          <w:rFonts w:ascii="Times New Roman" w:hAnsi="Times New Roman"/>
          <w:color w:val="000000" w:themeColor="text1"/>
          <w:sz w:val="16"/>
          <w:szCs w:val="16"/>
        </w:rPr>
        <w:softHyphen/>
        <w:t>зации, стоившей более 2 млн руб., наморси СССР В. М. Орлов в конце 1933 г. разрешил ее проведение на одной лодке. Выбор пал на подводную лодку "Комиссар" (с сентября 1934 г. — Б-2). Модер</w:t>
      </w:r>
      <w:r w:rsidRPr="0044524F">
        <w:rPr>
          <w:rFonts w:ascii="Times New Roman" w:hAnsi="Times New Roman"/>
          <w:color w:val="000000" w:themeColor="text1"/>
          <w:sz w:val="16"/>
          <w:szCs w:val="16"/>
        </w:rPr>
        <w:softHyphen/>
        <w:t>низацию в 1934—1935 гг. выполнил Балтийский завод по проекту инженеров ЦКБС-2 во главе с П. В. Белкиным (3898).</w:t>
      </w:r>
    </w:p>
    <w:p w14:paraId="0CEDF0C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1F3A55F0" w14:textId="77777777" w:rsidR="00EA7008"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1BFF9DA6"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84FAB6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 продолжилась перегонка ТБ-3 на Дальний Восток, причем в весьма впечатляющих масштабах. Бомбардировщики взлетали в подмосковном Монино и в Воронеже, в составе эскадрилий следовали на восток с промежуточными посадками в Казани, Омске и Красноярске. На маршруте экипажи отрабатывали учебные задачи, на максимальной дальности полета сбрасывали бомбы на отведенных полигонах, затем следовали далее. Из 120 четырехмоторных гигантов, перелетевших через всю страну, был потерян только один самолет. В 1932 г., когда количество построенных ТБ-3 достигло достаточной величины и готовности, было решено начать перегонку этих тяжелых кораблей в район Владивостока. Сложностью перелета являлась значительная удаленность нового места базирования (7000 км), несовершенство силовых установок, недостаточная подготовка личного состава бомбардировочных эскадрилий. Тем не менее, летом 1932 г. к берегам Тихого океана удалось перебазировать 13 ТБ-3, с которыми остались всего 3 подготовленных экипажа (11941).</w:t>
      </w:r>
    </w:p>
    <w:p w14:paraId="636EFD1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33F0F69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Нач. штаба РККА А.И.Егоров представил Пред. РВС доклад по вопросам начала будущей войны со внезапного нападения, скрытой мобилизации, нападения мотомеханизированных и авиадесантных частей (359,113).</w:t>
      </w:r>
    </w:p>
    <w:p w14:paraId="3E30A30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6AEBD2EE" w14:textId="77777777" w:rsidR="00455388" w:rsidRPr="0044524F" w:rsidRDefault="00455388" w:rsidP="009654CF">
      <w:pPr>
        <w:pStyle w:val="ae"/>
        <w:shd w:val="clear" w:color="auto" w:fill="FFFFFF"/>
        <w:spacing w:before="0" w:after="0"/>
        <w:jc w:val="both"/>
        <w:rPr>
          <w:color w:val="000000" w:themeColor="text1"/>
          <w:sz w:val="16"/>
          <w:szCs w:val="16"/>
        </w:rPr>
      </w:pPr>
      <w:r w:rsidRPr="0044524F">
        <w:rPr>
          <w:color w:val="000000" w:themeColor="text1"/>
          <w:sz w:val="16"/>
          <w:szCs w:val="16"/>
        </w:rPr>
        <w:t>Летом 1933 года в боевых частях числилось 485 Т-18, то есть половина от выпущенных. 16 мая 1934 года 59 Т-18 было передано военным кафедрам, а 250 танков перешло в распоряжение ОСОАВИАХИМ. Машины отслужили своё и постепенно уступали место в боевых частях более совершенным танкам (17724).</w:t>
      </w:r>
    </w:p>
    <w:p w14:paraId="7407F0EA" w14:textId="77777777" w:rsidR="00455388" w:rsidRPr="0044524F" w:rsidRDefault="00455388" w:rsidP="009654CF">
      <w:pPr>
        <w:spacing w:after="0" w:line="240" w:lineRule="auto"/>
        <w:jc w:val="both"/>
        <w:rPr>
          <w:rFonts w:ascii="Times New Roman" w:eastAsia="Times New Roman" w:hAnsi="Times New Roman"/>
          <w:color w:val="000000" w:themeColor="text1"/>
          <w:sz w:val="16"/>
          <w:szCs w:val="16"/>
          <w:lang w:eastAsia="ru-RU"/>
        </w:rPr>
      </w:pPr>
    </w:p>
    <w:p w14:paraId="6FB235F8"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2CD59C4"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AF9729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года оценщики-приемщики Торгсина, как и многие другие работники в стране, по призыву Сталина были переведены на сдельщину. Их зарплата стала зависеть от количества обслуженных людей. Нормы были довольно напряженными: для получения максимальной зарплаты в месяц требовалось обслужить 4200 или больше сдатчиков - около 160 человек в день! Переход на сдельщину больно ударил по оценщикам периферийных пунктов, где обороты золотоскупки были значительно ниже оборотов крупных городов. При пустых магазинах деньги теряли свое значение, и неудивительно, что в годы карточной системы первой половины 1930-х годов не столько зарплата, сколько паек играл роль главного стимула улучшения работы. Размер же пайка зависел от полезности человека для индустриализации, которую определяло государство. Торгсин не был исключением. Скупочный пункт имел свою иерархию сотрудников и пайков. "Золотые" пайки получали только оценщики и контролеры - лица, непосредственно принимавшие ценности или проверявшие их приемку. В паек входили торгсиновские товары "экспортного качества", но платить за них нужно было в рублях. Остальные сотрудники снабжались пайками на общих условиях через государственные распределители. В 1933 году в Торгсине была введена дифференциация пайков: их величина стала зависеть от количества обслуженных сдатчиков (11558).</w:t>
      </w:r>
    </w:p>
    <w:p w14:paraId="0EAEFD0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0F231AD2" w14:textId="77777777" w:rsidR="00403CBA" w:rsidRPr="0044524F" w:rsidRDefault="00403CB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года в Москве произошло событие, изменившее историю советской анимации — первый фестиваль американской мультипликации. Фильмы Уолта Диснея произвели настолько ошеломляющее впечатление на зрителей, среди которых был и Иосиф Сталин, что было принято решение создать нечто подобное. Появился даже лозунг: "Даешь советского Микки Мауса!" 10 июня 1936 года основан «Союзмультфильм» в результате объединения различных мастерских — «Межрабпромфильма» и «Мосфильма». Студия "Союзмультфильм", организованная как точная копия американской студии "Дисней" с технологией конвейерного производства (21181).</w:t>
      </w:r>
    </w:p>
    <w:p w14:paraId="50C8AF26" w14:textId="77777777" w:rsidR="00403CBA" w:rsidRPr="0044524F" w:rsidRDefault="00403CBA" w:rsidP="009654CF">
      <w:pPr>
        <w:spacing w:after="0" w:line="240" w:lineRule="auto"/>
        <w:jc w:val="both"/>
        <w:rPr>
          <w:rFonts w:ascii="Times New Roman" w:hAnsi="Times New Roman"/>
          <w:color w:val="000000" w:themeColor="text1"/>
          <w:sz w:val="16"/>
          <w:szCs w:val="16"/>
        </w:rPr>
      </w:pPr>
    </w:p>
    <w:p w14:paraId="6A2CCE8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года в анонимном письме, посланном из Ленинграда на имя председателя ОПТУ Менжинского (копии ушли прокурору СССР Катаньяну, наркому финансов СССР Гринько и заместителю наркома иностранных дел Сокольникову), сообщалось:</w:t>
      </w:r>
    </w:p>
    <w:p w14:paraId="53FBEF9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"ОГПУ в Ленинграде вынуждает граждан трудящихся, имеющих торгсиновские книжки, списывать с текущих счетов в Торгсине большую часть их сбережений под видом добровольного пожертвования. Иногда эти пожертвования достигают почти всей суммы текущего счета в Торгсине. Граждане под влиянием репрессий, а некоторые, боясь репрессий, отдают все, что с них требуют, а иногда и больше, лишь бы их не преследовали".</w:t>
      </w:r>
    </w:p>
    <w:p w14:paraId="0323C9A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ОГПУ могло получить валюту и без согласия самого переводополучателя. В одном из документов правления Торгсина описан такой случай: "В Запорожье директора нашего универмага пригласили в ГПУ и предложили сделать перевод в фонд индустриализации 30 долларов по заборной книжке одного арестованного покупателя". В некоторых случаях сотрудники ОГПУ пробовали логически обосновать необходимость перевода денег на счет политической полиции, объясняя человеку, что если у него нашлась валюта для Торгсина, то он, конечно, должен иметь ее и для ОГПУ.</w:t>
      </w:r>
    </w:p>
    <w:p w14:paraId="0EFAE16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ОГПУ оправдывало конфискацию золота и наличной валюты у клиентов Торгсина тем, что отбирало припрятанные ценности, которыми государство не могло бы иначе воспользоваться. Конфискация валютных переводов не укладывается в это объяснение. В данном случае ОГПУ отбирало деньги, которые уже находились на счету государственной организации - Торгсина.</w:t>
      </w:r>
    </w:p>
    <w:p w14:paraId="49A71EC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Действия ОПТУ приводили к тому, что население начинало настороженно относиться к Торгсину. Распространялись слухи о том, что он "организован в помощь ОПТУ", является "подсобным хозяйством ОГПУ", "ловушкой сдатчиков золота", что покупателей в Торгсине фотографируют и дают о них сведения в политическую полицию(21). Любая связь с ОГПУ отпугивала. Заведующий Валдайским отделением Торгсина одной из причин невыполнения плана подведомственного универмага считал то, что в его кассе работает жена агента ОПТУ, "которую все население знает и задает вопрос, зачем она здесь посажена?". Правление Торгсина информировало правительство, что во все его отделения поступают запросы населения о том, "не является ли опасным получать переводы в связи с производимой ОПТУ выемкой (золота)". Слухи были настолько расхожи, что случаи, когда сдача ценностей происходила без последствий, вызывали удивление: "Гражданка деревни Чекуново зашла в магазин утром в 7 часов 30 мин., купила на 20 рублей и была удивлена, что ничего нет страшного и рассказывает: "У нас все говорят, что как зайдешь в Торгсин, здесь тебя и арестуют. Теперь приду домой и расскажу, что совсем не так и наших много придет покупать".</w:t>
      </w:r>
    </w:p>
    <w:p w14:paraId="2B55167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каждой кампании ОПТУ по изъятию золота Торгсин подсчитывал нанесенный урон. Так, в Херсоне в результате операций ГПУ против "валютчиков" в ноябре 1931 года ежедневная выручка Торгсина упала с 700 до 100 долларов. В Котласе после арестов, проведенных ОГ-ПУ в декабре 1932 - январе 1933 года (было арестовано 100 человек), торговля практически прекратилась (сократилась на 90%). Многие жалобы Торгсина на действия ОГПУ относятся к последнему кварталу (11558).</w:t>
      </w:r>
    </w:p>
    <w:p w14:paraId="7A4B4FA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363ADE7B"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B75EC6E"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5FBDFF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1933-го, с наступлением благоприятной погоды, продолжилась череда дальних полетов, многие из которых прокладывались через советскую территорию. Два дальних перелета вокруг Земли вдоль 60-й параллели протяженностью более 24000 км предприняли американские пилоты - Вилли Пост и Джеймс Маттерн. В 1932 г. они уже летали по этому маршруту, причем победителем стал экипаж Вилли Поста. Через год американцы продолжили соревнование - на этот раз они летели в одиночку на однотипных самолетах Локхид "Вега". Как и в 1932 г. удача досталась счастливчику Вилли Посту. Вылетев 15 июля из Нью-Йорка, он успешно преодолел весь маршрут, пересек территорию Советского Союза и вернулся к отправной точке своего полета через 7 суток, 18 часов, 50 минут.</w:t>
      </w:r>
    </w:p>
    <w:p w14:paraId="6ACC2D2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Джеймс Маттерн на самолете Локхид "Вега" "Century of Progress" стартовал из Нью-Йорка раньше Вили Поста - 3 июня. Однако, его возвращение домой состоялось намного позднее. 7-го июня, преодолев большую часть территории СССР, Маттерн вылетел из Хабаровска в направлении Берингова пролива. Практически на самом краю необъятной русской территории, в районе поселка Анадырь, он был вынужден совершить посадку по причине неустойчивой работы двигателя. Приземление оказалось неудачным^ самолета были сломаны стойки шасси. Девять суток пилот бедствовал, питаясь шоколадом из бортового пайка. Затем он перебрался на берег реки Анадырь, где на 12-е сутки после исчезновения его обнаружили местные жители. О нахождении Маттерна сообщили властям, которые приняли решение доставить его домой на советском самолете. Дело считалось срочным, ибо американская пресса уже предполагала, что беднягу Маттерна съели местные туземцы.</w:t>
      </w:r>
    </w:p>
    <w:p w14:paraId="35ECCE8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Вывезти неудачливого американца поручили Сигизмунду Леваневскому, который незадолго до описываемых событий перегнал на Дальний Восток из Севастополя летающую лодку Дорнье "Валь" СССР-Н8.</w:t>
      </w:r>
    </w:p>
    <w:p w14:paraId="58BC65C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кратчайшие сроки экипаж Леваневского сменил на Дорнье "Валь" изношенные двигатели и в начале августа вылетел из Хабаровска. В тяжелых метеоусловиях экипаж совершил перелет по маршруту: Хабаровск - Николаевск - Охотск - бухта Нагаево - Янек - Пен- жинская губа - Марково - Анадырь. Захватив Маттерна и оборудование его машины, Леваневский 20 июля прибыл в Ном на Аляске. Возвращаясь назад, СССР-Н8 прошел вдоль северного побережья Чукотки и выполнил ряд ледовых разведок для судов Колымской экспедиции 1933 года. На заключительном этапе мар шрут пролегал вверх по Лене, затем по Ангаре в Иркутск, куда экипаж Н8 прибыл 24 сентября, пролетев свыше 37000 км. Таким образом, за весь летне-осенний вояж Леваневский преодолел расстояние, равнозначное по протяженности экваториальному перелету вокруг земного шара (11941).</w:t>
      </w:r>
    </w:p>
    <w:p w14:paraId="4E98DDA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11D2B39F" w14:textId="77777777" w:rsidR="00B64972" w:rsidRPr="0044524F" w:rsidRDefault="00B6497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лета 1933 г. на</w:t>
      </w:r>
      <w:r w:rsidRPr="0044524F">
        <w:rPr>
          <w:rFonts w:ascii="Times New Roman" w:hAnsi="Times New Roman"/>
          <w:color w:val="000000" w:themeColor="text1"/>
          <w:sz w:val="16"/>
          <w:szCs w:val="16"/>
        </w:rPr>
        <w:softHyphen/>
        <w:t>чался серийный выпуск Не 45а. Они пос</w:t>
      </w:r>
      <w:r w:rsidRPr="0044524F">
        <w:rPr>
          <w:rFonts w:ascii="Times New Roman" w:hAnsi="Times New Roman"/>
          <w:color w:val="000000" w:themeColor="text1"/>
          <w:sz w:val="16"/>
          <w:szCs w:val="16"/>
        </w:rPr>
        <w:softHyphen/>
        <w:t>тупали в Т.н. «немецкие школы воздушно</w:t>
      </w:r>
      <w:r w:rsidRPr="0044524F">
        <w:rPr>
          <w:rFonts w:ascii="Times New Roman" w:hAnsi="Times New Roman"/>
          <w:color w:val="000000" w:themeColor="text1"/>
          <w:sz w:val="16"/>
          <w:szCs w:val="16"/>
        </w:rPr>
        <w:softHyphen/>
        <w:t>го сообщения», готовившие кадры для будущих люфтваффе. Первой получила Не 45а школа в Шлейзхейме, ставшая глав</w:t>
      </w:r>
      <w:r w:rsidRPr="0044524F">
        <w:rPr>
          <w:rFonts w:ascii="Times New Roman" w:hAnsi="Times New Roman"/>
          <w:color w:val="000000" w:themeColor="text1"/>
          <w:sz w:val="16"/>
          <w:szCs w:val="16"/>
        </w:rPr>
        <w:softHyphen/>
        <w:t>ным центром подготовки воздушных раз</w:t>
      </w:r>
      <w:r w:rsidRPr="0044524F">
        <w:rPr>
          <w:rFonts w:ascii="Times New Roman" w:hAnsi="Times New Roman"/>
          <w:color w:val="000000" w:themeColor="text1"/>
          <w:sz w:val="16"/>
          <w:szCs w:val="16"/>
        </w:rPr>
        <w:softHyphen/>
        <w:t>ведчиков. Все Не 45а поставлялись без вооружения, с нормальной задней каби</w:t>
      </w:r>
      <w:r w:rsidRPr="0044524F">
        <w:rPr>
          <w:rFonts w:ascii="Times New Roman" w:hAnsi="Times New Roman"/>
          <w:color w:val="000000" w:themeColor="text1"/>
          <w:sz w:val="16"/>
          <w:szCs w:val="16"/>
        </w:rPr>
        <w:softHyphen/>
        <w:t>ной, как и полагалось самолету с гражда</w:t>
      </w:r>
      <w:r w:rsidRPr="0044524F">
        <w:rPr>
          <w:rFonts w:ascii="Times New Roman" w:hAnsi="Times New Roman"/>
          <w:color w:val="000000" w:themeColor="text1"/>
          <w:sz w:val="16"/>
          <w:szCs w:val="16"/>
        </w:rPr>
        <w:softHyphen/>
        <w:t>нской регистрацией на борту. Но при этом под обшивкой была скрыта кольце</w:t>
      </w:r>
      <w:r w:rsidRPr="0044524F">
        <w:rPr>
          <w:rFonts w:ascii="Times New Roman" w:hAnsi="Times New Roman"/>
          <w:color w:val="000000" w:themeColor="text1"/>
          <w:sz w:val="16"/>
          <w:szCs w:val="16"/>
        </w:rPr>
        <w:softHyphen/>
        <w:t>вая турель - для превращения самолета в боевой было достаточно снять несколько листов дюраля, установив на турель пуле</w:t>
      </w:r>
      <w:r w:rsidRPr="0044524F">
        <w:rPr>
          <w:rFonts w:ascii="Times New Roman" w:hAnsi="Times New Roman"/>
          <w:color w:val="000000" w:themeColor="text1"/>
          <w:sz w:val="16"/>
          <w:szCs w:val="16"/>
        </w:rPr>
        <w:softHyphen/>
        <w:t>мет. Также были предусмотрены места для установки радиостанции FuG VI с пи</w:t>
      </w:r>
      <w:r w:rsidRPr="0044524F">
        <w:rPr>
          <w:rFonts w:ascii="Times New Roman" w:hAnsi="Times New Roman"/>
          <w:color w:val="000000" w:themeColor="text1"/>
          <w:sz w:val="16"/>
          <w:szCs w:val="16"/>
        </w:rPr>
        <w:softHyphen/>
        <w:t>танием от ветряка-генератора под фюзе</w:t>
      </w:r>
      <w:r w:rsidRPr="0044524F">
        <w:rPr>
          <w:rFonts w:ascii="Times New Roman" w:hAnsi="Times New Roman"/>
          <w:color w:val="000000" w:themeColor="text1"/>
          <w:sz w:val="16"/>
          <w:szCs w:val="16"/>
        </w:rPr>
        <w:softHyphen/>
        <w:t>ляжем и аэрофотоаппарата (за кабиной наблюдателя) (24188).</w:t>
      </w:r>
    </w:p>
    <w:p w14:paraId="5B418578" w14:textId="77777777" w:rsidR="00B64972" w:rsidRPr="0044524F" w:rsidRDefault="00B64972" w:rsidP="009654CF">
      <w:pPr>
        <w:spacing w:after="0" w:line="240" w:lineRule="auto"/>
        <w:jc w:val="both"/>
        <w:rPr>
          <w:rFonts w:ascii="Times New Roman" w:hAnsi="Times New Roman"/>
          <w:color w:val="000000" w:themeColor="text1"/>
          <w:sz w:val="16"/>
          <w:szCs w:val="16"/>
        </w:rPr>
      </w:pPr>
    </w:p>
    <w:p w14:paraId="04C93B6D" w14:textId="77777777" w:rsidR="00D47AAB" w:rsidRPr="00142305" w:rsidRDefault="00D47AAB" w:rsidP="00D47AA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Летом 1933 г. состоялся грандиозный перелет итальянского соединения гидросамолетов в Чикаго на проходившую Всемирную выставку. Для этого мероприятия построили серию самолетов модификации </w:t>
      </w:r>
      <w:r w:rsidRPr="00142305">
        <w:rPr>
          <w:rStyle w:val="aff"/>
          <w:rFonts w:ascii="Times New Roman" w:hAnsi="Times New Roman" w:cs="Times New Roman"/>
          <w:color w:val="0070C0"/>
          <w:spacing w:val="0"/>
          <w:sz w:val="16"/>
          <w:szCs w:val="16"/>
          <w:lang w:val="en-US"/>
        </w:rPr>
        <w:t>S</w:t>
      </w:r>
      <w:r w:rsidRPr="00142305">
        <w:rPr>
          <w:rStyle w:val="aff"/>
          <w:rFonts w:ascii="Times New Roman" w:hAnsi="Times New Roman" w:cs="Times New Roman"/>
          <w:color w:val="0070C0"/>
          <w:spacing w:val="0"/>
          <w:sz w:val="16"/>
          <w:szCs w:val="16"/>
        </w:rPr>
        <w:t>.55</w:t>
      </w:r>
      <w:r w:rsidRPr="00142305">
        <w:rPr>
          <w:rStyle w:val="aff"/>
          <w:rFonts w:ascii="Times New Roman" w:hAnsi="Times New Roman" w:cs="Times New Roman"/>
          <w:color w:val="0070C0"/>
          <w:spacing w:val="0"/>
          <w:sz w:val="16"/>
          <w:szCs w:val="16"/>
          <w:lang w:val="en-US"/>
        </w:rPr>
        <w:t>X</w:t>
      </w:r>
      <w:r w:rsidRPr="00142305">
        <w:rPr>
          <w:rStyle w:val="aff"/>
          <w:rFonts w:ascii="Times New Roman" w:hAnsi="Times New Roman" w:cs="Times New Roman"/>
          <w:color w:val="0070C0"/>
          <w:spacing w:val="0"/>
          <w:sz w:val="16"/>
          <w:szCs w:val="16"/>
        </w:rPr>
        <w:t>. Их значительно облагородили с точки зрения аэродинамики. Путь ле</w:t>
      </w:r>
      <w:r w:rsidRPr="00142305">
        <w:rPr>
          <w:rStyle w:val="aff"/>
          <w:rFonts w:ascii="Times New Roman" w:hAnsi="Times New Roman" w:cs="Times New Roman"/>
          <w:color w:val="0070C0"/>
          <w:spacing w:val="0"/>
          <w:sz w:val="16"/>
          <w:szCs w:val="16"/>
        </w:rPr>
        <w:softHyphen/>
        <w:t>жал через Амстердам, Лондондерри в Северной Ирландии, Рейкья</w:t>
      </w:r>
      <w:r w:rsidRPr="00142305">
        <w:rPr>
          <w:rStyle w:val="aff"/>
          <w:rFonts w:ascii="Times New Roman" w:hAnsi="Times New Roman" w:cs="Times New Roman"/>
          <w:color w:val="0070C0"/>
          <w:spacing w:val="0"/>
          <w:sz w:val="16"/>
          <w:szCs w:val="16"/>
        </w:rPr>
        <w:softHyphen/>
        <w:t>вик, Лабрадор и Монреаль. В океане летчиков подстраховывало не</w:t>
      </w:r>
      <w:r w:rsidRPr="00142305">
        <w:rPr>
          <w:rStyle w:val="aff"/>
          <w:rFonts w:ascii="Times New Roman" w:hAnsi="Times New Roman" w:cs="Times New Roman"/>
          <w:color w:val="0070C0"/>
          <w:spacing w:val="0"/>
          <w:sz w:val="16"/>
          <w:szCs w:val="16"/>
        </w:rPr>
        <w:softHyphen/>
        <w:t>сколько итальянских судов, а на Лабрадоре развернули специальную метеостанцию. Маршрут протяженностью 9780 км был преодолен за 48 ч 47 мин. летного времени при средней скорости 200,5 км/ч. Торжественно пролетев над Чикаго, эскадрилья И. Бальбо через не</w:t>
      </w:r>
      <w:r w:rsidRPr="00142305">
        <w:rPr>
          <w:rStyle w:val="aff"/>
          <w:rFonts w:ascii="Times New Roman" w:hAnsi="Times New Roman" w:cs="Times New Roman"/>
          <w:color w:val="0070C0"/>
          <w:spacing w:val="0"/>
          <w:sz w:val="16"/>
          <w:szCs w:val="16"/>
        </w:rPr>
        <w:softHyphen/>
        <w:t>сколько дней двинулась обратно. На этот раз перелет осуществлялся через Нью-Йорк, Ньюфаундленд и Азорские острова. Всего за 43 дня гидропланы покрыли расстояние 18 510 км (25675).</w:t>
      </w:r>
    </w:p>
    <w:p w14:paraId="36F97F44" w14:textId="77777777" w:rsidR="00D47AAB" w:rsidRPr="00142305" w:rsidRDefault="00D47AAB" w:rsidP="00D47AAB">
      <w:pPr>
        <w:spacing w:after="0" w:line="240" w:lineRule="auto"/>
        <w:jc w:val="both"/>
        <w:rPr>
          <w:rFonts w:ascii="Times New Roman" w:hAnsi="Times New Roman"/>
          <w:color w:val="0070C0"/>
          <w:sz w:val="16"/>
          <w:szCs w:val="16"/>
        </w:rPr>
      </w:pPr>
    </w:p>
    <w:p w14:paraId="597D2F01"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2812E8D"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0E3B45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 осенью 1933 г. состоялся переезд большого коллектива МАИ на новое место. В ту пору территория института представляла собой довольно труднопроходимый из-за сплошной грязи участок, наполовину — строительную площадку. Институт находился за городской чертой, сообщение с городом — трамвай и небольшой институтский автобус, ходивший между Пушкинской площадью и аудиторным корпусом. Территория института еще не была благоустроена: отсутствовали тротуары, недостаточным было уличное освещение. Некоторые помещения были временными, барачного типа. Вот как вспоминает об этом профессор Н. С. Аржаников: «Ходим гуськом по доскам от ворот до аудиторного корпуса. Картина была неприглядной, однако настроение у всех было бодрое в предчувствии быстрого развития института. ... Типичной для этого периода в истории МАИ была органическая слаженность коллектива. Такие отношения создавали подлинное единство коллектива, товарищеское, порой даже дружеское отношение профессоров со студентами». В 1934 г. в МАИ побывала делегация американских ученых, возглавляемая профессором Серджвиком. Гостей поразил размах строительных работ и грандиозный замысел создания отраслевого авиационного института (в то время в США подготовкой авиационных специалистов занималось 13 разных учебных заведений, выпускавших небольшие группы специалистов). Со дня своего основания вела большую работу по организации учебной базы — самолетной лаборатории (начальником ее стал А. Л. Гиммельфарб) — кафедра конструкции и проектирования самолетов. Первым шагом на пути к созданию хорошо оснащенной лаборатории была организация кабинета образцов конструкций агрегатов самолета. По уровню научно-методической обработки экспонатов этот кабинет считался одним из лучших в МАИ. К началу второго учебного года (1934 — 1935 гг.) на площади около 80 кв. м был создан кабинет образцов конструкций самолетов, которым заведовал В. В. Комаров, а во дворе института на 5-й Тверской-Ямской были собраны самолеты отечественного и иностранного производства (12075).</w:t>
      </w:r>
    </w:p>
    <w:p w14:paraId="5A8AFEC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1885C9E6" w14:textId="77777777" w:rsidR="00553E52" w:rsidRPr="0044524F" w:rsidRDefault="00553E52" w:rsidP="00553E52">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F9F49CE" w14:textId="77777777" w:rsidR="00553E52" w:rsidRPr="0044524F" w:rsidRDefault="00553E52" w:rsidP="00553E52">
      <w:pPr>
        <w:autoSpaceDE w:val="0"/>
        <w:autoSpaceDN w:val="0"/>
        <w:adjustRightInd w:val="0"/>
        <w:spacing w:after="0" w:line="240" w:lineRule="auto"/>
        <w:jc w:val="both"/>
        <w:rPr>
          <w:rFonts w:ascii="Times New Roman" w:hAnsi="Times New Roman"/>
          <w:iCs/>
          <w:color w:val="000000" w:themeColor="text1"/>
          <w:sz w:val="16"/>
          <w:szCs w:val="16"/>
        </w:rPr>
      </w:pPr>
    </w:p>
    <w:p w14:paraId="7D6F6C33"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Летом-осенью 1933 года выпускались Т-37А, которые в документах того времени иногда именовались «танками первой партии» или «первого выпуска» и несколько отличались от более поздних машин. Они имели борта корпуса с выштамповками в верхней части, на них отсутствовал волноотражательный щиток на верхнем листе корпуса и поплавки над гусеницами (вместо последних были ус</w:t>
      </w:r>
      <w:r w:rsidRPr="00142305">
        <w:rPr>
          <w:rFonts w:ascii="Times New Roman" w:hAnsi="Times New Roman"/>
          <w:color w:val="0070C0"/>
          <w:sz w:val="16"/>
          <w:szCs w:val="16"/>
        </w:rPr>
        <w:softHyphen/>
        <w:t>тановлены плоские надгусеничные полки).</w:t>
      </w:r>
    </w:p>
    <w:p w14:paraId="3696E5C0"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 танки первой партии имели большое количество недостатков и с большим тру</w:t>
      </w:r>
      <w:r w:rsidRPr="00142305">
        <w:rPr>
          <w:rFonts w:ascii="Times New Roman" w:hAnsi="Times New Roman"/>
          <w:color w:val="0070C0"/>
          <w:sz w:val="16"/>
          <w:szCs w:val="16"/>
        </w:rPr>
        <w:softHyphen/>
        <w:t>дом принимались представителями воен</w:t>
      </w:r>
      <w:r w:rsidRPr="00142305">
        <w:rPr>
          <w:rFonts w:ascii="Times New Roman" w:hAnsi="Times New Roman"/>
          <w:color w:val="0070C0"/>
          <w:sz w:val="16"/>
          <w:szCs w:val="16"/>
        </w:rPr>
        <w:softHyphen/>
        <w:t>ной приемки. Учитывая их низкое качест</w:t>
      </w:r>
      <w:r w:rsidRPr="00142305">
        <w:rPr>
          <w:rFonts w:ascii="Times New Roman" w:hAnsi="Times New Roman"/>
          <w:color w:val="0070C0"/>
          <w:sz w:val="16"/>
          <w:szCs w:val="16"/>
        </w:rPr>
        <w:softHyphen/>
        <w:t>во изготовления, руководство Управления механизации и моторизации РККА приня</w:t>
      </w:r>
      <w:r w:rsidRPr="00142305">
        <w:rPr>
          <w:rFonts w:ascii="Times New Roman" w:hAnsi="Times New Roman"/>
          <w:color w:val="0070C0"/>
          <w:sz w:val="16"/>
          <w:szCs w:val="16"/>
        </w:rPr>
        <w:softHyphen/>
        <w:t>ло решение о «передаче всех этих машин в учебные подразделения для подготовки эки</w:t>
      </w:r>
      <w:r w:rsidRPr="00142305">
        <w:rPr>
          <w:rFonts w:ascii="Times New Roman" w:hAnsi="Times New Roman"/>
          <w:color w:val="0070C0"/>
          <w:sz w:val="16"/>
          <w:szCs w:val="16"/>
        </w:rPr>
        <w:softHyphen/>
        <w:t>пажей».</w:t>
      </w:r>
    </w:p>
    <w:p w14:paraId="55F8CF17" w14:textId="77777777" w:rsidR="00A31F9B" w:rsidRPr="00142305" w:rsidRDefault="00A31F9B" w:rsidP="00A31F9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1934 году руководством Спецмаштреста были приняты меры по улучшению выпус</w:t>
      </w:r>
      <w:r w:rsidRPr="00142305">
        <w:rPr>
          <w:rFonts w:ascii="Times New Roman" w:hAnsi="Times New Roman"/>
          <w:color w:val="0070C0"/>
          <w:sz w:val="16"/>
          <w:szCs w:val="16"/>
        </w:rPr>
        <w:softHyphen/>
        <w:t>ка плавающих танков: на заводе № 37 нача</w:t>
      </w:r>
      <w:r w:rsidRPr="00142305">
        <w:rPr>
          <w:rFonts w:ascii="Times New Roman" w:hAnsi="Times New Roman"/>
          <w:color w:val="0070C0"/>
          <w:sz w:val="16"/>
          <w:szCs w:val="16"/>
        </w:rPr>
        <w:softHyphen/>
        <w:t>лась постройка двух новых цехов, которые оснащались закупленным за границей обо</w:t>
      </w:r>
      <w:r w:rsidRPr="00142305">
        <w:rPr>
          <w:rFonts w:ascii="Times New Roman" w:hAnsi="Times New Roman"/>
          <w:color w:val="0070C0"/>
          <w:sz w:val="16"/>
          <w:szCs w:val="16"/>
        </w:rPr>
        <w:softHyphen/>
        <w:t>рудованием, несколько увеличилось число рабочих и инженеров. Но, несмотря на это, производство Т-37А шло с большими труд</w:t>
      </w:r>
      <w:r w:rsidRPr="00142305">
        <w:rPr>
          <w:rFonts w:ascii="Times New Roman" w:hAnsi="Times New Roman"/>
          <w:color w:val="0070C0"/>
          <w:sz w:val="16"/>
          <w:szCs w:val="16"/>
        </w:rPr>
        <w:softHyphen/>
        <w:t>ностями (25019).</w:t>
      </w:r>
    </w:p>
    <w:p w14:paraId="452D851D" w14:textId="77777777" w:rsidR="00A31F9B" w:rsidRPr="00142305" w:rsidRDefault="00A31F9B" w:rsidP="00A31F9B">
      <w:pPr>
        <w:spacing w:after="0" w:line="240" w:lineRule="auto"/>
        <w:jc w:val="both"/>
        <w:rPr>
          <w:rFonts w:ascii="Times New Roman" w:hAnsi="Times New Roman"/>
          <w:color w:val="0070C0"/>
          <w:sz w:val="16"/>
          <w:szCs w:val="16"/>
        </w:rPr>
      </w:pPr>
    </w:p>
    <w:p w14:paraId="215D95A1"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E41F9D6"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41A50FF" w14:textId="77777777" w:rsidR="00F27059" w:rsidRPr="0044524F" w:rsidRDefault="00F2705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первого полу</w:t>
      </w:r>
      <w:r w:rsidRPr="0044524F">
        <w:rPr>
          <w:rFonts w:ascii="Times New Roman" w:hAnsi="Times New Roman"/>
          <w:color w:val="000000" w:themeColor="text1"/>
          <w:sz w:val="16"/>
          <w:szCs w:val="16"/>
        </w:rPr>
        <w:softHyphen/>
        <w:t>годия 1933 г. проектная документация по само</w:t>
      </w:r>
      <w:r w:rsidRPr="0044524F">
        <w:rPr>
          <w:rFonts w:ascii="Times New Roman" w:hAnsi="Times New Roman"/>
          <w:color w:val="000000" w:themeColor="text1"/>
          <w:sz w:val="16"/>
          <w:szCs w:val="16"/>
        </w:rPr>
        <w:softHyphen/>
        <w:t>лёту ДИП (АНТ-29, за</w:t>
      </w:r>
      <w:r w:rsidRPr="0044524F">
        <w:rPr>
          <w:rFonts w:ascii="Times New Roman" w:hAnsi="Times New Roman"/>
          <w:color w:val="000000" w:themeColor="text1"/>
          <w:sz w:val="16"/>
          <w:szCs w:val="16"/>
        </w:rPr>
        <w:softHyphen/>
        <w:t>каз 7091, ведущий по самолёту от КОСОС — Д.А. Ромейко-Гурко) была отработана на 70%, а общая техни</w:t>
      </w:r>
      <w:r w:rsidRPr="0044524F">
        <w:rPr>
          <w:rFonts w:ascii="Times New Roman" w:hAnsi="Times New Roman"/>
          <w:color w:val="000000" w:themeColor="text1"/>
          <w:sz w:val="16"/>
          <w:szCs w:val="16"/>
        </w:rPr>
        <w:softHyphen/>
        <w:t>ческая готовность машины составила 20%. Оставался неясным вопрос с вооружением и оборудованием (15823).</w:t>
      </w:r>
    </w:p>
    <w:p w14:paraId="60A220B3" w14:textId="77777777" w:rsidR="00F27059" w:rsidRPr="0044524F" w:rsidRDefault="00F27059" w:rsidP="009654CF">
      <w:pPr>
        <w:spacing w:after="0" w:line="240" w:lineRule="auto"/>
        <w:jc w:val="both"/>
        <w:rPr>
          <w:rFonts w:ascii="Times New Roman" w:hAnsi="Times New Roman"/>
          <w:color w:val="000000" w:themeColor="text1"/>
          <w:sz w:val="16"/>
          <w:szCs w:val="16"/>
        </w:rPr>
      </w:pPr>
    </w:p>
    <w:p w14:paraId="46CD599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конце первой половины 1933 года распоряжением директора завода Марголина в план работ бригады № 3 была вставлена "Парабола" 2М-11 (ЦКБ-10) и распоряжением начальника ЦКБ самолет ЦКБ-17 2М-34 отодвинут на 1934 год, а взамен его пущена модель ЦКБ-13 с мотором М-11 (7508, 54-58).</w:t>
      </w:r>
    </w:p>
    <w:p w14:paraId="4EF35C5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692A1E97"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FE46E69"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96C66A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середине 1933 г. конструкторская бригада №2 Центрального конструкторского бюро, возглавляемая Н.Н.Поликарповым, в основном закончила рабочее проектирование истребителя-моноплана ЦКБ-12 (И-1б). Используя технологию и опыт создания этого самолета, здесь приступили к реализации следующего проекта - истребителя-моноплана ЦКБ-15 с рядным двигателем жидкостного охлаждения "Испано Сюиза" 12Ybrs максимальной мощностью 850 л.с.</w:t>
      </w:r>
    </w:p>
    <w:p w14:paraId="5EAB949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Проектируя ЦКБ-15, Николай Поликарпов обоснованно надеялся достичь максимальной скорости 500 км/ч, для этого до предела обжали внешние обводы машины и облагородили аэродинамику фюзеляжа. Уменьшение миделя фюзеляжа и соответствующая узость, как результат, сужения кабины заставила проектировщиков разместить летчика под большим наклоном к вертикали - угол установки пилотского кресла составил 22°. Больший вес винтомоторной группы (ВМГ) вместе с системами охлаждения не должен был ухудшить маневренность, поэтому размах крыла ЦКБ-15 по сравнению с ЦКБ-12 увеличился до 10,0 м, а площадь крыла - до 17,7 м2. Удельная нагрузка на крыло при этом составила 102 кг/м2, почти как у И-16 тип 5 (100 кг/м2) (11951).</w:t>
      </w:r>
    </w:p>
    <w:p w14:paraId="7771842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30219E1E"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середине 1933 г. конструкторская бригада № 2 Центрального конструкторского бюро, возглавляемая Н.Н.Поликарповым, в основ</w:t>
      </w:r>
      <w:r w:rsidRPr="00142305">
        <w:rPr>
          <w:rFonts w:ascii="Times New Roman" w:hAnsi="Times New Roman"/>
          <w:color w:val="0070C0"/>
          <w:sz w:val="16"/>
          <w:szCs w:val="16"/>
        </w:rPr>
        <w:softHyphen/>
        <w:t>ном закончила рабочее проектирование ис</w:t>
      </w:r>
      <w:r w:rsidRPr="00142305">
        <w:rPr>
          <w:rFonts w:ascii="Times New Roman" w:hAnsi="Times New Roman"/>
          <w:color w:val="0070C0"/>
          <w:sz w:val="16"/>
          <w:szCs w:val="16"/>
        </w:rPr>
        <w:softHyphen/>
        <w:t>требителя-моноплана ЦКБ-12 (И-16). Ис</w:t>
      </w:r>
      <w:r w:rsidRPr="00142305">
        <w:rPr>
          <w:rFonts w:ascii="Times New Roman" w:hAnsi="Times New Roman"/>
          <w:color w:val="0070C0"/>
          <w:sz w:val="16"/>
          <w:szCs w:val="16"/>
        </w:rPr>
        <w:softHyphen/>
        <w:t>пользуя опыт создания этого самолета, здесь приступили к реализации следующего про</w:t>
      </w:r>
      <w:r w:rsidRPr="00142305">
        <w:rPr>
          <w:rFonts w:ascii="Times New Roman" w:hAnsi="Times New Roman"/>
          <w:color w:val="0070C0"/>
          <w:sz w:val="16"/>
          <w:szCs w:val="16"/>
        </w:rPr>
        <w:softHyphen/>
        <w:t>екта — истребителя-моноплана ЦКБ-15 с рядным двигателем жидкостного охлажде</w:t>
      </w:r>
      <w:r w:rsidRPr="00142305">
        <w:rPr>
          <w:rFonts w:ascii="Times New Roman" w:hAnsi="Times New Roman"/>
          <w:color w:val="0070C0"/>
          <w:sz w:val="16"/>
          <w:szCs w:val="16"/>
        </w:rPr>
        <w:softHyphen/>
        <w:t>ния. Подобно тому, как в ЦКБ-12 ориенти</w:t>
      </w:r>
      <w:r w:rsidRPr="00142305">
        <w:rPr>
          <w:rFonts w:ascii="Times New Roman" w:hAnsi="Times New Roman"/>
          <w:color w:val="0070C0"/>
          <w:sz w:val="16"/>
          <w:szCs w:val="16"/>
        </w:rPr>
        <w:softHyphen/>
        <w:t>ровались на ожидаемый американский Райт «Циклон» и одновременно на освоенный М-22, в новом проекте для подстраховки прикидки велись под двигатель М-17. В окончательном варианте, в силу значитель</w:t>
      </w:r>
      <w:r w:rsidRPr="00142305">
        <w:rPr>
          <w:rFonts w:ascii="Times New Roman" w:hAnsi="Times New Roman"/>
          <w:color w:val="0070C0"/>
          <w:sz w:val="16"/>
          <w:szCs w:val="16"/>
        </w:rPr>
        <w:softHyphen/>
        <w:t>ной весовой и габаритной несовместимости М-17 и «Испано Сюиза», проект ЦКБ-15 разрабатывался исключительно под двига</w:t>
      </w:r>
      <w:r w:rsidRPr="00142305">
        <w:rPr>
          <w:rFonts w:ascii="Times New Roman" w:hAnsi="Times New Roman"/>
          <w:color w:val="0070C0"/>
          <w:sz w:val="16"/>
          <w:szCs w:val="16"/>
        </w:rPr>
        <w:softHyphen/>
        <w:t>тель 12Ybrs.</w:t>
      </w:r>
    </w:p>
    <w:p w14:paraId="14BBBE5E"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 как Николай Поликарпов обоснован</w:t>
      </w:r>
      <w:r w:rsidRPr="00142305">
        <w:rPr>
          <w:rFonts w:ascii="Times New Roman" w:hAnsi="Times New Roman"/>
          <w:color w:val="0070C0"/>
          <w:sz w:val="16"/>
          <w:szCs w:val="16"/>
        </w:rPr>
        <w:softHyphen/>
        <w:t>но надеялся достичь на новой машине мак</w:t>
      </w:r>
      <w:r w:rsidRPr="00142305">
        <w:rPr>
          <w:rFonts w:ascii="Times New Roman" w:hAnsi="Times New Roman"/>
          <w:color w:val="0070C0"/>
          <w:sz w:val="16"/>
          <w:szCs w:val="16"/>
        </w:rPr>
        <w:softHyphen/>
        <w:t>симальной скорости 500 км/ч, на ней до пре</w:t>
      </w:r>
      <w:r w:rsidRPr="00142305">
        <w:rPr>
          <w:rFonts w:ascii="Times New Roman" w:hAnsi="Times New Roman"/>
          <w:color w:val="0070C0"/>
          <w:sz w:val="16"/>
          <w:szCs w:val="16"/>
        </w:rPr>
        <w:softHyphen/>
        <w:t>дела обжали обводы и облагородили аэроди</w:t>
      </w:r>
      <w:r w:rsidRPr="00142305">
        <w:rPr>
          <w:rFonts w:ascii="Times New Roman" w:hAnsi="Times New Roman"/>
          <w:color w:val="0070C0"/>
          <w:sz w:val="16"/>
          <w:szCs w:val="16"/>
        </w:rPr>
        <w:softHyphen/>
        <w:t>намику фюзеляжа. Уменьшение миделя фю</w:t>
      </w:r>
      <w:r w:rsidRPr="00142305">
        <w:rPr>
          <w:rFonts w:ascii="Times New Roman" w:hAnsi="Times New Roman"/>
          <w:color w:val="0070C0"/>
          <w:sz w:val="16"/>
          <w:szCs w:val="16"/>
        </w:rPr>
        <w:softHyphen/>
        <w:t>зеляжа и соответствующая узость кабины за</w:t>
      </w:r>
      <w:r w:rsidRPr="00142305">
        <w:rPr>
          <w:rFonts w:ascii="Times New Roman" w:hAnsi="Times New Roman"/>
          <w:color w:val="0070C0"/>
          <w:sz w:val="16"/>
          <w:szCs w:val="16"/>
        </w:rPr>
        <w:softHyphen/>
        <w:t>ставили проектировщиков разместить лет</w:t>
      </w:r>
      <w:r w:rsidRPr="00142305">
        <w:rPr>
          <w:rFonts w:ascii="Times New Roman" w:hAnsi="Times New Roman"/>
          <w:color w:val="0070C0"/>
          <w:sz w:val="16"/>
          <w:szCs w:val="16"/>
        </w:rPr>
        <w:softHyphen/>
        <w:t>чика под большим наклоном к вертикали — угол установки пилотского кресла составил 22°. Более высокий вес винтомоторной груп</w:t>
      </w:r>
      <w:r w:rsidRPr="00142305">
        <w:rPr>
          <w:rFonts w:ascii="Times New Roman" w:hAnsi="Times New Roman"/>
          <w:color w:val="0070C0"/>
          <w:sz w:val="16"/>
          <w:szCs w:val="16"/>
        </w:rPr>
        <w:softHyphen/>
        <w:t>пы (ВМГ) вместе с системами охлаждения не должен был ухудшить маневренность, поэтому размах крыла по сравнению с ЦКБ-12 увеличился до Юм, площадь кры</w:t>
      </w:r>
      <w:r w:rsidRPr="00142305">
        <w:rPr>
          <w:rFonts w:ascii="Times New Roman" w:hAnsi="Times New Roman"/>
          <w:color w:val="0070C0"/>
          <w:sz w:val="16"/>
          <w:szCs w:val="16"/>
        </w:rPr>
        <w:softHyphen/>
        <w:t>ла — до 17,7 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Удельная нагрузка на крыло у ЦКБ-15 при этом составила 102 кг/м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xml:space="preserve"> и практически равнялась нагрузке на крыло у И-16 тип 5 (100 кг/м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w:t>
      </w:r>
    </w:p>
    <w:p w14:paraId="0182CAFC"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Параллельное проектированием ЦК Б-15, получившим в ВВС официальное обозна</w:t>
      </w:r>
      <w:r w:rsidRPr="00142305">
        <w:rPr>
          <w:rFonts w:ascii="Times New Roman" w:hAnsi="Times New Roman"/>
          <w:color w:val="0070C0"/>
          <w:sz w:val="16"/>
          <w:szCs w:val="16"/>
        </w:rPr>
        <w:softHyphen/>
        <w:t>чение И-17, во второй половине 1933 г. велись проектные работы по его двухмест</w:t>
      </w:r>
      <w:r w:rsidRPr="00142305">
        <w:rPr>
          <w:rFonts w:ascii="Times New Roman" w:hAnsi="Times New Roman"/>
          <w:color w:val="0070C0"/>
          <w:sz w:val="16"/>
          <w:szCs w:val="16"/>
        </w:rPr>
        <w:softHyphen/>
        <w:t>ному варианту — ДИ-7 (24927).</w:t>
      </w:r>
    </w:p>
    <w:p w14:paraId="11B1C6D1" w14:textId="77777777" w:rsidR="00553E52" w:rsidRPr="00142305" w:rsidRDefault="00553E52" w:rsidP="00553E52">
      <w:pPr>
        <w:spacing w:after="0" w:line="240" w:lineRule="auto"/>
        <w:jc w:val="both"/>
        <w:rPr>
          <w:rFonts w:ascii="Times New Roman" w:hAnsi="Times New Roman"/>
          <w:color w:val="0070C0"/>
          <w:sz w:val="16"/>
          <w:szCs w:val="16"/>
        </w:rPr>
      </w:pPr>
    </w:p>
    <w:p w14:paraId="58E8D28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середине 1933 года стало ясно, что одновременное создание самой ПТ и ее телемеханической части слишком сложный процесс. Поэтому проектирование системы наведения было передано в специальную лабораторию, занимавшуюся ИК-техникой, а лаборатория N22 продолжала заниматься непосредственно ПТ и оборудованием для нее. Для проверки схемы и проектных данных безмоторных торпед построили модели в 1/10 и 1/4 натуральной величины. В 1933 году были проведены пуски моделей в 1/4 натуральной величины с высоты 1100 м, в ходе которых они пролетали 10-11 км. В 1934 году промышленности заказали 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76E205D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для безмоторных планирующих торпед с дальностью полета 30-50 км — ДПТ (дальнобойная планирующая торпеда), кодовое обозначение "Волк"; </w:t>
      </w:r>
    </w:p>
    <w:p w14:paraId="580635A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для оборудованных мотором (обычным винтовым или ракетным) с дальностью полета 100-200 км — ЛТДЦ (летающая торпеда дальнего действия); </w:t>
      </w:r>
    </w:p>
    <w:p w14:paraId="01447AD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для безмоторных ПТ на жестком буксире — БМП (буксируемый минный планер), кодовое обозначение "Вепрь".</w:t>
      </w:r>
    </w:p>
    <w:p w14:paraId="3B2A698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результатов проведенных экспериментальных работ в 1935 году промышленности был сделан заказ на изготовление ПТ и вспомогательных средств для их использования по тактико-техническому заданию УМС РККА. Выпуск опытной партии ПТ поручили ОКБ завода N23 в Ленинграде, а создание системы наведения (кодовое обозначение "Квант") — НИИ N10 Наркомата оборонной промышленности (НКОП). УМС своим распоряжением передало Научно-исследовательскому минно-торпедному институту помещения бывших торпедных и авиационных мастерских и ангаров в Гребном порту. В 1935 году завод N23 изготовил первые 4 гидропланера, получившие название ПСН-1 (планер специального назначения), со следующими характеристиками: размах крыльев 8000 мм; высота 2020 мм; масса конструкции 970 кг; полезная нагрузка 1000 кг. По нормам прочности 1934 года планер относился к третьей группе военных самолетов с перегрузочным коэффициентом А-10 (10223).</w:t>
      </w:r>
    </w:p>
    <w:p w14:paraId="651EE91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6DE1BBA6"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года закон</w:t>
      </w:r>
      <w:r w:rsidRPr="0044524F">
        <w:rPr>
          <w:rFonts w:ascii="Times New Roman" w:hAnsi="Times New Roman"/>
          <w:color w:val="000000" w:themeColor="text1"/>
          <w:sz w:val="16"/>
          <w:szCs w:val="16"/>
        </w:rPr>
        <w:softHyphen/>
        <w:t>чилась история внедрения поворотных, противоштопорных стоек. По первоначальным решениям было решено построить 10 само</w:t>
      </w:r>
      <w:r w:rsidRPr="0044524F">
        <w:rPr>
          <w:rFonts w:ascii="Times New Roman" w:hAnsi="Times New Roman"/>
          <w:color w:val="000000" w:themeColor="text1"/>
          <w:sz w:val="16"/>
          <w:szCs w:val="16"/>
        </w:rPr>
        <w:softHyphen/>
        <w:t>летов с поворотными стойками, однако ско</w:t>
      </w:r>
      <w:r w:rsidRPr="0044524F">
        <w:rPr>
          <w:rFonts w:ascii="Times New Roman" w:hAnsi="Times New Roman"/>
          <w:color w:val="000000" w:themeColor="text1"/>
          <w:sz w:val="16"/>
          <w:szCs w:val="16"/>
        </w:rPr>
        <w:softHyphen/>
        <w:t>ро от внедрения этого устройства отказались и, судя по всему, таких аппаратов построили всего два экземпляра — ранний №6 (о нем го</w:t>
      </w:r>
      <w:r w:rsidRPr="0044524F">
        <w:rPr>
          <w:rFonts w:ascii="Times New Roman" w:hAnsi="Times New Roman"/>
          <w:color w:val="000000" w:themeColor="text1"/>
          <w:sz w:val="16"/>
          <w:szCs w:val="16"/>
        </w:rPr>
        <w:softHyphen/>
        <w:t>ворилось) и более поздний И-5 № 21117. Лет</w:t>
      </w:r>
      <w:r w:rsidRPr="0044524F">
        <w:rPr>
          <w:rFonts w:ascii="Times New Roman" w:hAnsi="Times New Roman"/>
          <w:color w:val="000000" w:themeColor="text1"/>
          <w:sz w:val="16"/>
          <w:szCs w:val="16"/>
        </w:rPr>
        <w:softHyphen/>
        <w:t>ные испытания № 21117, которые в июне 1933 года провели И.Ф. Петров и А.И. Филин показали, что самолет еше более потяжелел и стал инертнее в пилотировании. Поворот</w:t>
      </w:r>
      <w:r w:rsidRPr="0044524F">
        <w:rPr>
          <w:rFonts w:ascii="Times New Roman" w:hAnsi="Times New Roman"/>
          <w:color w:val="000000" w:themeColor="text1"/>
          <w:sz w:val="16"/>
          <w:szCs w:val="16"/>
        </w:rPr>
        <w:softHyphen/>
        <w:t>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 управлять трудно, мешает перезарядке пуле</w:t>
      </w:r>
      <w:r w:rsidRPr="0044524F">
        <w:rPr>
          <w:rFonts w:ascii="Times New Roman" w:hAnsi="Times New Roman"/>
          <w:color w:val="000000" w:themeColor="text1"/>
          <w:sz w:val="16"/>
          <w:szCs w:val="16"/>
        </w:rPr>
        <w:softHyphen/>
        <w:t>метов».</w:t>
      </w:r>
    </w:p>
    <w:p w14:paraId="07E8BF67"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предположение о всего двух постро</w:t>
      </w:r>
      <w:r w:rsidRPr="0044524F">
        <w:rPr>
          <w:rFonts w:ascii="Times New Roman" w:hAnsi="Times New Roman"/>
          <w:color w:val="000000" w:themeColor="text1"/>
          <w:sz w:val="16"/>
          <w:szCs w:val="16"/>
        </w:rPr>
        <w:softHyphen/>
        <w:t>енных И-5 с поворотными стойками верно, то именно один из этих построенных аппа</w:t>
      </w:r>
      <w:r w:rsidRPr="0044524F">
        <w:rPr>
          <w:rFonts w:ascii="Times New Roman" w:hAnsi="Times New Roman"/>
          <w:color w:val="000000" w:themeColor="text1"/>
          <w:sz w:val="16"/>
          <w:szCs w:val="16"/>
        </w:rPr>
        <w:softHyphen/>
        <w:t>ратов использовался Иваном Ульяновичем Павловым как личный самолет и традицион</w:t>
      </w:r>
      <w:r w:rsidRPr="0044524F">
        <w:rPr>
          <w:rFonts w:ascii="Times New Roman" w:hAnsi="Times New Roman"/>
          <w:color w:val="000000" w:themeColor="text1"/>
          <w:sz w:val="16"/>
          <w:szCs w:val="16"/>
        </w:rPr>
        <w:softHyphen/>
        <w:t>но имел на фюзеляже изображение красного флага с надписью «за ВКП (б)» (12295).</w:t>
      </w:r>
    </w:p>
    <w:p w14:paraId="07037BB5"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3C8137A8" w14:textId="77777777" w:rsidR="000D47D9" w:rsidRPr="0044524F" w:rsidRDefault="000D47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середины 1933 года этот аппарат ЦАГИ 3-ЭА прошел наземные испытания с подъемом в воздух на привязи, затем его переделали в следующий тип - ЦАГИ 5-ЭА. Принципиально новыми в нем стали система управления и несущий ротор. ЦАГИ 5-ЭА ис</w:t>
      </w:r>
      <w:r w:rsidRPr="0044524F">
        <w:rPr>
          <w:rFonts w:ascii="Times New Roman" w:hAnsi="Times New Roman"/>
          <w:color w:val="000000" w:themeColor="text1"/>
          <w:sz w:val="16"/>
          <w:szCs w:val="16"/>
        </w:rPr>
        <w:softHyphen/>
        <w:t>пытывался особенно тщательно в период 1933-36 гг. Од</w:t>
      </w:r>
      <w:r w:rsidRPr="0044524F">
        <w:rPr>
          <w:rFonts w:ascii="Times New Roman" w:hAnsi="Times New Roman"/>
          <w:color w:val="000000" w:themeColor="text1"/>
          <w:sz w:val="16"/>
          <w:szCs w:val="16"/>
        </w:rPr>
        <w:softHyphen/>
        <w:t>нако в связи с тем, что ресурс двигателей М-2 практиче</w:t>
      </w:r>
      <w:r w:rsidRPr="0044524F">
        <w:rPr>
          <w:rFonts w:ascii="Times New Roman" w:hAnsi="Times New Roman"/>
          <w:color w:val="000000" w:themeColor="text1"/>
          <w:sz w:val="16"/>
          <w:szCs w:val="16"/>
        </w:rPr>
        <w:softHyphen/>
        <w:t>ски закончился, а новых таких двигателей не имелось, продолжительность и высота полетов строго ограничи</w:t>
      </w:r>
      <w:r w:rsidRPr="0044524F">
        <w:rPr>
          <w:rFonts w:ascii="Times New Roman" w:hAnsi="Times New Roman"/>
          <w:color w:val="000000" w:themeColor="text1"/>
          <w:sz w:val="16"/>
          <w:szCs w:val="16"/>
        </w:rPr>
        <w:softHyphen/>
        <w:t>вались. В 1941 г. на ЦАГИ 5-ЭА установили два специаль</w:t>
      </w:r>
      <w:r w:rsidRPr="0044524F">
        <w:rPr>
          <w:rFonts w:ascii="Times New Roman" w:hAnsi="Times New Roman"/>
          <w:color w:val="000000" w:themeColor="text1"/>
          <w:sz w:val="16"/>
          <w:szCs w:val="16"/>
        </w:rPr>
        <w:softHyphen/>
        <w:t>ных электродвигателя, позволяющие осуществлять испы</w:t>
      </w:r>
      <w:r w:rsidRPr="0044524F">
        <w:rPr>
          <w:rFonts w:ascii="Times New Roman" w:hAnsi="Times New Roman"/>
          <w:color w:val="000000" w:themeColor="text1"/>
          <w:sz w:val="16"/>
          <w:szCs w:val="16"/>
        </w:rPr>
        <w:softHyphen/>
        <w:t>тательные полеты на привязи. В середине года начались испытания, которые прервались с началом войны (20361).</w:t>
      </w:r>
    </w:p>
    <w:p w14:paraId="444103AB" w14:textId="77777777" w:rsidR="000D47D9" w:rsidRPr="0044524F" w:rsidRDefault="000D47D9" w:rsidP="009654CF">
      <w:pPr>
        <w:shd w:val="clear" w:color="auto" w:fill="FFFFFF"/>
        <w:spacing w:after="0" w:line="240" w:lineRule="auto"/>
        <w:jc w:val="both"/>
        <w:rPr>
          <w:rFonts w:ascii="Times New Roman" w:hAnsi="Times New Roman"/>
          <w:color w:val="000000" w:themeColor="text1"/>
          <w:sz w:val="16"/>
          <w:szCs w:val="16"/>
        </w:rPr>
      </w:pPr>
    </w:p>
    <w:p w14:paraId="0D369695" w14:textId="77777777" w:rsidR="000D47D9" w:rsidRPr="0044524F" w:rsidRDefault="000D47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г. началось поступление серийных автожиров А-4, построенных киевским авиа</w:t>
      </w:r>
      <w:r w:rsidRPr="0044524F">
        <w:rPr>
          <w:rFonts w:ascii="Times New Roman" w:hAnsi="Times New Roman"/>
          <w:color w:val="000000" w:themeColor="text1"/>
          <w:sz w:val="16"/>
          <w:szCs w:val="16"/>
        </w:rPr>
        <w:softHyphen/>
        <w:t>заводом № 43, в летные подразделения для проведения войсковых испытаний и получения опыта эксплуатации. Хотя представители ЦАГИ предлагали сосредоточить все автожиры в одном ме</w:t>
      </w:r>
      <w:r w:rsidRPr="0044524F">
        <w:rPr>
          <w:rFonts w:ascii="Times New Roman" w:hAnsi="Times New Roman"/>
          <w:color w:val="000000" w:themeColor="text1"/>
          <w:sz w:val="16"/>
          <w:szCs w:val="16"/>
        </w:rPr>
        <w:softHyphen/>
        <w:t>сте, аппараты поштучно направили в Гомель, Смоленск, Петергоф и Харьков. Такая скоропалительная рассылка не совсем обычных летательных аппаратов без проведения специальной подготовки летного состава привела к мно</w:t>
      </w:r>
      <w:r w:rsidRPr="0044524F">
        <w:rPr>
          <w:rFonts w:ascii="Times New Roman" w:hAnsi="Times New Roman"/>
          <w:color w:val="000000" w:themeColor="text1"/>
          <w:sz w:val="16"/>
          <w:szCs w:val="16"/>
        </w:rPr>
        <w:softHyphen/>
        <w:t>гочисленным авариям. Для их расследования в пункты эксплуатации направили Начальника 6-й бригады ООК Скржинского и инженера НИИ ВВС Ивановского. Позднее, в своем отчете Скржинский отмечал: «Внедрение автожи</w:t>
      </w:r>
      <w:r w:rsidRPr="0044524F">
        <w:rPr>
          <w:rFonts w:ascii="Times New Roman" w:hAnsi="Times New Roman"/>
          <w:color w:val="000000" w:themeColor="text1"/>
          <w:sz w:val="16"/>
          <w:szCs w:val="16"/>
        </w:rPr>
        <w:softHyphen/>
        <w:t>ров в частях ВВС происходит не совсем нормально и не так безболезненно и легко, как на это рассчитывали в ЦАГИ. ...конструкция А-4 не является причиной аварий... для изучения автожиров нет технических описаний и лет</w:t>
      </w:r>
      <w:r w:rsidRPr="0044524F">
        <w:rPr>
          <w:rFonts w:ascii="Times New Roman" w:hAnsi="Times New Roman"/>
          <w:color w:val="000000" w:themeColor="text1"/>
          <w:sz w:val="16"/>
          <w:szCs w:val="16"/>
        </w:rPr>
        <w:softHyphen/>
        <w:t>ных инструкций». Далее описывались обстоятельства, при которых эти аварии происходили:</w:t>
      </w:r>
    </w:p>
    <w:p w14:paraId="023B9558" w14:textId="77777777" w:rsidR="000D47D9" w:rsidRPr="0044524F" w:rsidRDefault="000D47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А-4 № 4308, повреждение конструкции во втором полете в войсковой части НКВМ (п/я 1263). На</w:t>
      </w:r>
      <w:r w:rsidRPr="0044524F">
        <w:rPr>
          <w:rFonts w:ascii="Times New Roman" w:hAnsi="Times New Roman"/>
          <w:color w:val="000000" w:themeColor="text1"/>
          <w:sz w:val="16"/>
          <w:szCs w:val="16"/>
        </w:rPr>
        <w:softHyphen/>
        <w:t>рушение летчиком Беспаловым техники взлета. Непони</w:t>
      </w:r>
      <w:r w:rsidRPr="0044524F">
        <w:rPr>
          <w:rFonts w:ascii="Times New Roman" w:hAnsi="Times New Roman"/>
          <w:color w:val="000000" w:themeColor="text1"/>
          <w:sz w:val="16"/>
          <w:szCs w:val="16"/>
        </w:rPr>
        <w:softHyphen/>
        <w:t>мание принципов работы и полета автожира.</w:t>
      </w:r>
    </w:p>
    <w:p w14:paraId="42DD01D2" w14:textId="77777777" w:rsidR="000D47D9" w:rsidRPr="0044524F" w:rsidRDefault="000D47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А-4 № 4305, эксплуатировался в Смоленске, совершил 8 нормальных полетов. При запуске двигателя на 9-м по</w:t>
      </w:r>
      <w:r w:rsidRPr="0044524F">
        <w:rPr>
          <w:rFonts w:ascii="Times New Roman" w:hAnsi="Times New Roman"/>
          <w:color w:val="000000" w:themeColor="text1"/>
          <w:sz w:val="16"/>
          <w:szCs w:val="16"/>
        </w:rPr>
        <w:softHyphen/>
        <w:t>лете от неисправного зажигания произошел пожар, в ре</w:t>
      </w:r>
      <w:r w:rsidRPr="0044524F">
        <w:rPr>
          <w:rFonts w:ascii="Times New Roman" w:hAnsi="Times New Roman"/>
          <w:color w:val="000000" w:themeColor="text1"/>
          <w:sz w:val="16"/>
          <w:szCs w:val="16"/>
        </w:rPr>
        <w:softHyphen/>
        <w:t>зультате чего обгорел двигатель и лопасти ротора. Ре</w:t>
      </w:r>
      <w:r w:rsidRPr="0044524F">
        <w:rPr>
          <w:rFonts w:ascii="Times New Roman" w:hAnsi="Times New Roman"/>
          <w:color w:val="000000" w:themeColor="text1"/>
          <w:sz w:val="16"/>
          <w:szCs w:val="16"/>
        </w:rPr>
        <w:softHyphen/>
        <w:t>монт возможен.</w:t>
      </w:r>
    </w:p>
    <w:p w14:paraId="339BBF9E" w14:textId="77777777" w:rsidR="000D47D9" w:rsidRPr="0044524F" w:rsidRDefault="000D47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А-4 № 4304 эксплуатировался в Петергофе в части НКВМ. Совершил 37 полетов.</w:t>
      </w:r>
    </w:p>
    <w:p w14:paraId="7912D135" w14:textId="77777777" w:rsidR="000D47D9" w:rsidRPr="0044524F" w:rsidRDefault="000D47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А-4 № 4310 получен с завода 14 октября 1933 г., за</w:t>
      </w:r>
      <w:r w:rsidRPr="0044524F">
        <w:rPr>
          <w:rFonts w:ascii="Times New Roman" w:hAnsi="Times New Roman"/>
          <w:color w:val="000000" w:themeColor="text1"/>
          <w:sz w:val="16"/>
          <w:szCs w:val="16"/>
        </w:rPr>
        <w:softHyphen/>
        <w:t>тем доставлен в Харьков. Автожир хотели показать на но</w:t>
      </w:r>
      <w:r w:rsidRPr="0044524F">
        <w:rPr>
          <w:rFonts w:ascii="Times New Roman" w:hAnsi="Times New Roman"/>
          <w:color w:val="000000" w:themeColor="text1"/>
          <w:sz w:val="16"/>
          <w:szCs w:val="16"/>
        </w:rPr>
        <w:softHyphen/>
        <w:t>ябрьских праздниках. Летчик Козюля имел всего четы</w:t>
      </w:r>
      <w:r w:rsidRPr="0044524F">
        <w:rPr>
          <w:rFonts w:ascii="Times New Roman" w:hAnsi="Times New Roman"/>
          <w:color w:val="000000" w:themeColor="text1"/>
          <w:sz w:val="16"/>
          <w:szCs w:val="16"/>
        </w:rPr>
        <w:softHyphen/>
        <w:t>ре тренировочных и один самостоятельный полет в Ки</w:t>
      </w:r>
      <w:r w:rsidRPr="0044524F">
        <w:rPr>
          <w:rFonts w:ascii="Times New Roman" w:hAnsi="Times New Roman"/>
          <w:color w:val="000000" w:themeColor="text1"/>
          <w:sz w:val="16"/>
          <w:szCs w:val="16"/>
        </w:rPr>
        <w:softHyphen/>
        <w:t>еве на аппарате № 4307. 1 ноября 1933 г. сразу после взлета двигатель начал давать перебои. При соверше</w:t>
      </w:r>
      <w:r w:rsidRPr="0044524F">
        <w:rPr>
          <w:rFonts w:ascii="Times New Roman" w:hAnsi="Times New Roman"/>
          <w:color w:val="000000" w:themeColor="text1"/>
          <w:sz w:val="16"/>
          <w:szCs w:val="16"/>
        </w:rPr>
        <w:softHyphen/>
        <w:t>нии аварийной посадки с боковым ветром аппарат снес шасси, сломаны крылья и ротор (20381).</w:t>
      </w:r>
    </w:p>
    <w:p w14:paraId="61F0E306" w14:textId="77777777" w:rsidR="000D47D9" w:rsidRPr="0044524F" w:rsidRDefault="000D47D9" w:rsidP="009654CF">
      <w:pPr>
        <w:shd w:val="clear" w:color="auto" w:fill="FFFFFF"/>
        <w:spacing w:after="0" w:line="240" w:lineRule="auto"/>
        <w:jc w:val="both"/>
        <w:rPr>
          <w:rFonts w:ascii="Times New Roman" w:hAnsi="Times New Roman"/>
          <w:color w:val="000000" w:themeColor="text1"/>
          <w:sz w:val="16"/>
          <w:szCs w:val="16"/>
        </w:rPr>
      </w:pPr>
    </w:p>
    <w:p w14:paraId="71425849" w14:textId="77777777" w:rsidR="000D47D9" w:rsidRPr="0044524F" w:rsidRDefault="000D47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w:t>
      </w:r>
      <w:r w:rsidRPr="0044524F">
        <w:rPr>
          <w:rFonts w:ascii="Times New Roman" w:hAnsi="Times New Roman"/>
          <w:color w:val="000000" w:themeColor="text1"/>
          <w:sz w:val="16"/>
          <w:szCs w:val="16"/>
        </w:rPr>
        <w:softHyphen/>
        <w:t>редине 1933 г. А-6 построили на заводе опытных конструкций ЦАГИ Автожир имел сварной ферменный фюзеляж и цельнодеревянное, низкорасположенное крыло с отогну</w:t>
      </w:r>
      <w:r w:rsidRPr="0044524F">
        <w:rPr>
          <w:rFonts w:ascii="Times New Roman" w:hAnsi="Times New Roman"/>
          <w:color w:val="000000" w:themeColor="text1"/>
          <w:sz w:val="16"/>
          <w:szCs w:val="16"/>
        </w:rPr>
        <w:softHyphen/>
        <w:t>тыми законцовками. Подобную конструкцию фюзеляжа и крыла ранее отработали на аппаратах ЦАГИ 2-ЭА и А-4.</w:t>
      </w:r>
    </w:p>
    <w:p w14:paraId="1941D312" w14:textId="77777777" w:rsidR="000D47D9" w:rsidRPr="0044524F" w:rsidRDefault="000D47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шасси А-6 использовались баллонные колеса низко</w:t>
      </w:r>
      <w:r w:rsidRPr="0044524F">
        <w:rPr>
          <w:rFonts w:ascii="Times New Roman" w:hAnsi="Times New Roman"/>
          <w:color w:val="000000" w:themeColor="text1"/>
          <w:sz w:val="16"/>
          <w:szCs w:val="16"/>
        </w:rPr>
        <w:softHyphen/>
        <w:t>го давления, амортизация отсутствовала. Для сокращения разбега при взлете использовалась система механическо</w:t>
      </w:r>
      <w:r w:rsidRPr="0044524F">
        <w:rPr>
          <w:rFonts w:ascii="Times New Roman" w:hAnsi="Times New Roman"/>
          <w:color w:val="000000" w:themeColor="text1"/>
          <w:sz w:val="16"/>
          <w:szCs w:val="16"/>
        </w:rPr>
        <w:softHyphen/>
        <w:t>го запуска с приводом от двигателя М-11. Управление ав</w:t>
      </w:r>
      <w:r w:rsidRPr="0044524F">
        <w:rPr>
          <w:rFonts w:ascii="Times New Roman" w:hAnsi="Times New Roman"/>
          <w:color w:val="000000" w:themeColor="text1"/>
          <w:sz w:val="16"/>
          <w:szCs w:val="16"/>
        </w:rPr>
        <w:softHyphen/>
        <w:t>тожиром осуществлялось при помощи рулей хвостового оперения и элеронов. Для повышения чувствительности на малых скоростях полета специальным штурвалом менялось передаточное число в системе управления.</w:t>
      </w:r>
    </w:p>
    <w:p w14:paraId="0D4B1868" w14:textId="77777777" w:rsidR="000D47D9" w:rsidRPr="0044524F" w:rsidRDefault="000D47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создании А-6 учитывались удобства его эксплуата</w:t>
      </w:r>
      <w:r w:rsidRPr="0044524F">
        <w:rPr>
          <w:rFonts w:ascii="Times New Roman" w:hAnsi="Times New Roman"/>
          <w:color w:val="000000" w:themeColor="text1"/>
          <w:sz w:val="16"/>
          <w:szCs w:val="16"/>
        </w:rPr>
        <w:softHyphen/>
        <w:t>ции и возможность практического использования. На нем впервые применили трехлопастный ротор со свободнонесущими лопастями. Для возможности транспортировки и более компактного хранения в ангаре лопасти ротора и отъемные части крыла складывались. Лопасти в сложен</w:t>
      </w:r>
      <w:r w:rsidRPr="0044524F">
        <w:rPr>
          <w:rFonts w:ascii="Times New Roman" w:hAnsi="Times New Roman"/>
          <w:color w:val="000000" w:themeColor="text1"/>
          <w:sz w:val="16"/>
          <w:szCs w:val="16"/>
        </w:rPr>
        <w:softHyphen/>
        <w:t>ном виде закреплялись при помощи специальной рамы на фюзеляже, крыло фиксировалось своими законцовками над кабаном ротора (20361).</w:t>
      </w:r>
    </w:p>
    <w:p w14:paraId="14F41078" w14:textId="77777777" w:rsidR="000D47D9" w:rsidRPr="0044524F" w:rsidRDefault="000D47D9" w:rsidP="009654CF">
      <w:pPr>
        <w:spacing w:after="0" w:line="240" w:lineRule="auto"/>
        <w:jc w:val="both"/>
        <w:rPr>
          <w:rFonts w:ascii="Times New Roman" w:hAnsi="Times New Roman"/>
          <w:color w:val="000000" w:themeColor="text1"/>
          <w:sz w:val="16"/>
          <w:szCs w:val="16"/>
        </w:rPr>
      </w:pPr>
    </w:p>
    <w:p w14:paraId="2BAD857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середине 1933 г. стало ясно, что одновременное создание самой планирующей торпеды и ее телемеханической части слишком сложный процесс. Поэтому проектирование системы наведения было передано в специальную лабораторию, занимавшуюся инфракрасными технологиями, а лаборатория N22 продолжала заниматься непосредственно планирующей торпедой и оборудованием для нее. Для проверки схемы и проектных данных безмоторных торпед построили модели в 1/10 и 1/4 натуральной величины (3861).</w:t>
      </w:r>
    </w:p>
    <w:p w14:paraId="3AE57D8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110E258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середине 1933 г. конструкторская бригада № 2 Центрального конструкторского бюро, возглавляемая Н.Н. Поликарповым, в основном закончила рабочее проектирование истребителя-моноплана ЦКБ-12 (И-16). Используя опыт создания этого самолёта, коллектив приступил к реализации следующего проекта - истребителя-моноплана ЦКБ-15 с рядным двигателем жидкостного охлаждения. Подобно тому, как в ЦКБ-12 ориентировались на ожидаемый американский Райт "Циклон" и, одновременно, на освоенный М-22, в новом проекте для подстраховки прикидки велись под двигатель М-17. В окончательном варианте, в силу значительной весовой и габаритной несовместимости М-17 и "Испано", проект ЦКБ-15 разрабатывался исключительно под HS 12Ybrs.</w:t>
      </w:r>
    </w:p>
    <w:p w14:paraId="66C1577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Поликарпов обоснованно надеялся достичь на новой машине максимальной скорости 500 км/ч, на ней до предела обжали обводы и облагородили аэродинамику фюзеляжа. Уменьшение миделя последнего и, следовательно, узость кабины заставила проектировщиков разместить лётчика под большим наклоном к вертикали - угол установки пилотского кресла составил 22°. Более высокий вес винто-мотор-ной группы (ВМГ) вместе с системами охлаждения не должен был ухудшить маневренность, поэтому размах крыла по сравнению с ЦКБ-12 увеличился до 10 м, площадь крыла - до 17,7 м2. Удельная нагрузка на крыло при этом составила 102 w/»1 и практически равнялась таковой у И-1бтип 5 (100 кг/м г).</w:t>
      </w:r>
    </w:p>
    <w:p w14:paraId="22458AB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Параллельно с проектированием ЦКБ-15, получившем в ВВС официальное обозначение И-17, во второй половине 1933 г. велись работы по его двухместному варианту - ДИ-7. Обсуждение характеристик и предполагаемых боевых возможностей этих двух машин наиболее активно началось в декабре 1933 г. Начальник ВВС РККА Яков Алкснис лично принимал участие в выработке тактико-технических требований: "На 20 часов 7 декабря назначаюу себя совещание по этим техтребованиям. Хотелось бы на обоих самолётах иметь более сильное и более дальнобойное вооружение" (9630).</w:t>
      </w:r>
    </w:p>
    <w:p w14:paraId="60E8169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42B7F6A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г. закончи</w:t>
      </w:r>
      <w:r w:rsidRPr="0044524F">
        <w:rPr>
          <w:rFonts w:ascii="Times New Roman" w:hAnsi="Times New Roman"/>
          <w:color w:val="000000" w:themeColor="text1"/>
          <w:sz w:val="16"/>
          <w:szCs w:val="16"/>
        </w:rPr>
        <w:softHyphen/>
        <w:t>лась история внедрения поворотных, противоштопорных стоек. Первоначально было ре</w:t>
      </w:r>
      <w:r w:rsidRPr="0044524F">
        <w:rPr>
          <w:rFonts w:ascii="Times New Roman" w:hAnsi="Times New Roman"/>
          <w:color w:val="000000" w:themeColor="text1"/>
          <w:sz w:val="16"/>
          <w:szCs w:val="16"/>
        </w:rPr>
        <w:softHyphen/>
        <w:t>шено построить 10 самолетов И-5 с поворотными стойками, однако скоро от внедрения этого устройства отказались и, судя по всему, таких аппаратов построили всего два экземпляра - ранний № 6 и более позд</w:t>
      </w:r>
      <w:r w:rsidRPr="0044524F">
        <w:rPr>
          <w:rFonts w:ascii="Times New Roman" w:hAnsi="Times New Roman"/>
          <w:color w:val="000000" w:themeColor="text1"/>
          <w:sz w:val="16"/>
          <w:szCs w:val="16"/>
        </w:rPr>
        <w:softHyphen/>
        <w:t>ний И-5 № 21117. Летные испытания № 21117, которые в июне 1933 г. провели И.Ф. Петров и А.И.Филин, показали, что самолет потяжелел и стал инертнее в пилотировании. Поворотные стойки у летчиков восторга не вызвали, а их необходимость подвергалась сомнению: «Открываешь ручку внешней стойки - вроде тормозит. Однако пользоваться неудобно, ...управлять трудно, мешает перезарядке пу</w:t>
      </w:r>
      <w:r w:rsidRPr="0044524F">
        <w:rPr>
          <w:rFonts w:ascii="Times New Roman" w:hAnsi="Times New Roman"/>
          <w:color w:val="000000" w:themeColor="text1"/>
          <w:sz w:val="16"/>
          <w:szCs w:val="16"/>
        </w:rPr>
        <w:softHyphen/>
        <w:t>леметов».</w:t>
      </w:r>
    </w:p>
    <w:p w14:paraId="267E1CF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предположение о всего двух И-5 с по- шротными стойками верно, то один из них использовался Иваном Ульяновичем Павловым «к личный самолет и традиционно имел на фюзеляже изображение красного флага с над- м»сью«за ВКП (6)» (11974).</w:t>
      </w:r>
    </w:p>
    <w:p w14:paraId="4F290CD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74DE4BE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г. на заводе № 39 имени Менжинского Наркомата тяжелой промышленности СССР создали Центральное конструкторское бюро ЦКБ-39 под руководством Марголина, где в предвоенные годы интенсивно разрабатывали оснастку для подвески на боевых самолетах выливных авиаприборов и дымовых аппаратов, а также новые образцы вооружений, состоящих в ведении Химупра ВВС. Полтора года существования своего ЦКБ инженеры-конструкторы отметили разработкой выливных авиаприборов ВАП-4, ВАП-5 и ВАП-6, дымовых аппаратов ДАП-ДХ-1, ДАП-ДХ-2, ДАП-ДХ-3, ДАП-Д-100 и ДАП-Д-200 для вооружения истребителей И-5, самолетов-разведчиков Р-5 и Р-6, а также гидросамолетов-разведчиков С-62бис, МБР-4 и МДР-4. Наряду с этим полным ходом шли работы по созданию химических авиабомб ХБ-1 и ХБ-2 (вряд ли эти цифры, как принято, свидетельствовали о калибрах боеприпасов) для вооружения тяжелых бомбардировщиков ТБ-1 и ТБ-3, а также круглых ампул АК-1 и АК-2 с приспособлением для регулируемого последовательного выброса 10 штук последних.</w:t>
      </w:r>
    </w:p>
    <w:p w14:paraId="0F13A94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научный коллектив еще поддерживал своими исследованиями традиционные для того периода времени бортовые авиационные многоразовые средства химического вооружения. Там работали над проблемами создания давления внутри выливных авиаприборов для их более оперативного опустошения над целью, занимались проблемами коррозии материалов покрытия крыла и фюзеляжа самолета-носителя от воздействия на них выливаемых отравляющих веществ.</w:t>
      </w:r>
    </w:p>
    <w:p w14:paraId="0052BF8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1934 г. ЦКБ-39 переориентировали на разработку сбрасываемых авиационных боеприпасов химического вооружения. С этой целью по распоряжению из Главного военно-мобилизационного управления НКТП им передали корпуса некондиционных боеприпасов, на основе которых впоследствии и был разработан почти весь ряд химических, а также комбинированных авиабомб.</w:t>
      </w:r>
    </w:p>
    <w:p w14:paraId="018A354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начиналось все с трех корпусов «фугасок» АФ-25, поступивших с завода «Красный Аксай», пяти корпусов осколочных АО-10, переданных с завода «Красный блок», десяти корпусов 50-кг «фугасок» и двадцати 100-кг, подаренных «Ростсельмашем», а также четырех ФАБ-1000, по одному корпусу ФАБ-500 и БРАБ-220 с завода № 67 и одного корпуса от БРАБ-500 с завода МЗМ (7453).</w:t>
      </w:r>
    </w:p>
    <w:p w14:paraId="2E2A7DB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2F26DCE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середине 1933г. Завод № 1 им. Авиахима (самолетостроительное производство) переведен на новую территорию - на Боткинский проезд (полностью вступил в строй в 1936г.), а на старой площадке (ул. Правды) остались заводы № 32 и № 34 (11892).</w:t>
      </w:r>
    </w:p>
    <w:p w14:paraId="00F5077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532B7A7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года будущий завод № 19 завод получил задание подготовиться на 1934 год к производству моторов М-25. Мотор М-25 – однорядная девятицилиндровая звезда воздушного охлаждения, прототипом его является мотор Райт Циклон, полученный Советским Союзом из СА по лицензии.</w:t>
      </w:r>
    </w:p>
    <w:p w14:paraId="460680E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решению СТО от 13 марта 1934 года заводу № 19 было задание собрать в 1934 году 50 моторов из импортных деталей и подготовиться к выпуску в 1935 году 600 моторов собственного изготовления. В конце 1934 года было создано ОКБ во главе с гл. конструктором Швецовым А.Д.</w:t>
      </w:r>
    </w:p>
    <w:p w14:paraId="028BD00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выполнил задание 1934 года – выпустил 50 моторов. С 1 января 1935 года завод начал серийное производство моторов М-25. В 1935 году завод выпустил вместо 600 моторов, установленных производственной программой 671 мотор М-25.</w:t>
      </w:r>
    </w:p>
    <w:p w14:paraId="48B923B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Коллектив ОКБ работал над увеличением мощности мотора и завод получил возможность в 1936 году выпускать более мощные, с увеличенным ресурсом моторы М-25А и М-25В.</w:t>
      </w:r>
    </w:p>
    <w:p w14:paraId="019B142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в ОКБ проводились работы по созданию мощных моторов воздушного охлаждения – спаренной 14 и 18 цилиндровой звезды. В октябре 1936 года завод зачислен в число действующих предприятий СССР. На 1937 год программа по мотору М-25 против 1936 года была вдвое увеличена. Кроме того, завод должен был провести подготовку к производству мощного мотора М-62.</w:t>
      </w:r>
    </w:p>
    <w:p w14:paraId="3560ADE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этом же году обнаружились дефекты мотора М-25В – поломка поршневых пальцев и заклинивание втулки гл. шатуна.</w:t>
      </w:r>
    </w:p>
    <w:p w14:paraId="58FD38C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1937 года была выполнена на 91%. В 1938 году завод работал над внедрением в серию моторов М-62, М-63 и над модернизацией мотора М-62. В конце февраля 1938 года директором завода был назначен В.М. Дубов.</w:t>
      </w:r>
    </w:p>
    <w:p w14:paraId="05794F2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Правительственная программа 1939 года определялась выпуском моторов М-25В, М-62, М-62ИР и М-63.</w:t>
      </w:r>
    </w:p>
    <w:p w14:paraId="19DD72C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была поставлена задача по освоению и выпуску нового агрегата-турбокомпрессора.</w:t>
      </w:r>
    </w:p>
    <w:p w14:paraId="5F88918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порядке опытных работ в этом же году стояла задача доводки моторов М-71 и М-81, подготовки их к серийному выпуску в 1940 году. В конце 1939 года директором завода стал Кожевников Г.В.</w:t>
      </w:r>
    </w:p>
    <w:p w14:paraId="15430CE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программу 1939 года выполнил на 81%, а 1940 года – на 64%.</w:t>
      </w:r>
    </w:p>
    <w:p w14:paraId="4853E51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постановлению Правительства завод № 19 в 1941 году должен был изменить свой профиль – подготовить и внедрить в производство мотор АМ-35А водного охлаждения (все ранее выпускаемые моторы были воздушного охлаждения), приняв его от завода № 45.</w:t>
      </w:r>
    </w:p>
    <w:p w14:paraId="5588B35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Освоение мотора АМ-35А уже было в полном развертывании, когда в связи с окончанием создания коллективом ОКБ завода № 19 нового мощного мотора М-82, Правительство 9 мая 1941 года решило прекратить на заводе № 19 все работы по освоению мотора АМ-35А (передав заделы на него и оснастку заводу № 452) и в кратчайший срок освоить на заводе № 19 производство моторов М-82 (двухрядная звезда воздушного охлаждения). В мае 1942 года директором завода был назначен Солдатов А.Г. В 1942 году завод выполнил производственную программу по выпуску мотора АШ-82. В 1943 году завод в большом количестве выпускал моторы АШ-82 и занимался доводкой моторов АШ-82ФН.</w:t>
      </w:r>
    </w:p>
    <w:p w14:paraId="7855FB5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1944 года была выполнена на 92,5%, завод выпустил 7639 моторов АШ-82ФН, АШ-82 и АШ-62ИР. В 1945 году завод выпускал эти же моторы. В 1945 году началось освоение производства моторов АШ-73.</w:t>
      </w:r>
    </w:p>
    <w:p w14:paraId="1597D21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1946 году одновременно с производством моторов АШ-82ФН и АШ-62ИР развернулась работа по освоению и выпуску малой серии моторов АШ-73 и турбокомпрессоров. К концу года было выпущено 79 моторов АШ-73 и 18 турбокомпрессоров.</w:t>
      </w:r>
    </w:p>
    <w:p w14:paraId="7C63402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1947 года характеризуется увеличением в три раза выпуска моторов АШ-82ФН и в два раза моторов АШ-73 и сокращением производства моторов АШ-62ИР. На 1948 год программа заводу была дана только по двум двигателям – ВШ-82ФН и АШ-73ТК. В 1949 и 1950 году завод производил в увеличенном количестве моторы АШ-73ТК при сокращении выпуска моторов АШ-82ФН. В 1951 году завод производил моторы АШ-73ТК, мотор АШ-82ФН с производства был снят. В 1951 году началась подготовка к выпуску моторов АШ-82В и редукторов к ним для обеспечения выпуска вертолетов.</w:t>
      </w:r>
    </w:p>
    <w:p w14:paraId="06A1E24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количестве выпущенных заводом № 19 авиамоторов по годам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60"/>
        <w:gridCol w:w="791"/>
        <w:gridCol w:w="851"/>
        <w:gridCol w:w="850"/>
        <w:gridCol w:w="851"/>
        <w:gridCol w:w="850"/>
        <w:gridCol w:w="851"/>
        <w:gridCol w:w="850"/>
        <w:gridCol w:w="851"/>
        <w:gridCol w:w="850"/>
      </w:tblGrid>
      <w:tr w:rsidR="004E10C1" w:rsidRPr="0044524F" w14:paraId="1305F623" w14:textId="77777777">
        <w:tc>
          <w:tcPr>
            <w:tcW w:w="1160" w:type="dxa"/>
          </w:tcPr>
          <w:p w14:paraId="0B7389C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Типы изделий</w:t>
            </w:r>
          </w:p>
        </w:tc>
        <w:tc>
          <w:tcPr>
            <w:tcW w:w="791" w:type="dxa"/>
          </w:tcPr>
          <w:p w14:paraId="6A7A518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1950 год</w:t>
            </w:r>
          </w:p>
        </w:tc>
        <w:tc>
          <w:tcPr>
            <w:tcW w:w="851" w:type="dxa"/>
          </w:tcPr>
          <w:p w14:paraId="719713B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1951 год</w:t>
            </w:r>
          </w:p>
        </w:tc>
        <w:tc>
          <w:tcPr>
            <w:tcW w:w="850" w:type="dxa"/>
          </w:tcPr>
          <w:p w14:paraId="4BDB511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1952 год</w:t>
            </w:r>
          </w:p>
        </w:tc>
        <w:tc>
          <w:tcPr>
            <w:tcW w:w="851" w:type="dxa"/>
          </w:tcPr>
          <w:p w14:paraId="37C3508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1953 год</w:t>
            </w:r>
          </w:p>
        </w:tc>
        <w:tc>
          <w:tcPr>
            <w:tcW w:w="850" w:type="dxa"/>
          </w:tcPr>
          <w:p w14:paraId="5AF5FF9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1954 год</w:t>
            </w:r>
          </w:p>
        </w:tc>
        <w:tc>
          <w:tcPr>
            <w:tcW w:w="851" w:type="dxa"/>
          </w:tcPr>
          <w:p w14:paraId="2A5B6A4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1955 год</w:t>
            </w:r>
          </w:p>
        </w:tc>
        <w:tc>
          <w:tcPr>
            <w:tcW w:w="850" w:type="dxa"/>
          </w:tcPr>
          <w:p w14:paraId="1008C32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1956 год</w:t>
            </w:r>
          </w:p>
        </w:tc>
        <w:tc>
          <w:tcPr>
            <w:tcW w:w="851" w:type="dxa"/>
          </w:tcPr>
          <w:p w14:paraId="3B3403E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1957 год</w:t>
            </w:r>
          </w:p>
        </w:tc>
        <w:tc>
          <w:tcPr>
            <w:tcW w:w="850" w:type="dxa"/>
          </w:tcPr>
          <w:p w14:paraId="55860F4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1958 год</w:t>
            </w:r>
          </w:p>
        </w:tc>
      </w:tr>
      <w:tr w:rsidR="004E10C1" w:rsidRPr="0044524F" w14:paraId="32056A20" w14:textId="77777777">
        <w:tc>
          <w:tcPr>
            <w:tcW w:w="1160" w:type="dxa"/>
          </w:tcPr>
          <w:p w14:paraId="66C0452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АШ-82ФН</w:t>
            </w:r>
          </w:p>
        </w:tc>
        <w:tc>
          <w:tcPr>
            <w:tcW w:w="791" w:type="dxa"/>
          </w:tcPr>
          <w:p w14:paraId="792AAC7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51" w:type="dxa"/>
          </w:tcPr>
          <w:p w14:paraId="7527E26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510</w:t>
            </w:r>
          </w:p>
        </w:tc>
        <w:tc>
          <w:tcPr>
            <w:tcW w:w="850" w:type="dxa"/>
          </w:tcPr>
          <w:p w14:paraId="162606E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BE3924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46F76C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32C609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8393C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AC7D41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F2037B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E79B2C1" w14:textId="77777777">
        <w:tc>
          <w:tcPr>
            <w:tcW w:w="1160" w:type="dxa"/>
          </w:tcPr>
          <w:p w14:paraId="14C52BE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АШ-73</w:t>
            </w:r>
          </w:p>
        </w:tc>
        <w:tc>
          <w:tcPr>
            <w:tcW w:w="791" w:type="dxa"/>
          </w:tcPr>
          <w:p w14:paraId="6B316A4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1973</w:t>
            </w:r>
          </w:p>
        </w:tc>
        <w:tc>
          <w:tcPr>
            <w:tcW w:w="851" w:type="dxa"/>
          </w:tcPr>
          <w:p w14:paraId="61C6CBD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1939</w:t>
            </w:r>
          </w:p>
        </w:tc>
        <w:tc>
          <w:tcPr>
            <w:tcW w:w="850" w:type="dxa"/>
          </w:tcPr>
          <w:p w14:paraId="228774E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1207</w:t>
            </w:r>
          </w:p>
        </w:tc>
        <w:tc>
          <w:tcPr>
            <w:tcW w:w="851" w:type="dxa"/>
          </w:tcPr>
          <w:p w14:paraId="419C0A9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A504DA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5BFDBF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C66FDA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61CF45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FD661F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14DF92" w14:textId="77777777">
        <w:tc>
          <w:tcPr>
            <w:tcW w:w="1160" w:type="dxa"/>
          </w:tcPr>
          <w:p w14:paraId="6DCB3E3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ТК-19</w:t>
            </w:r>
          </w:p>
        </w:tc>
        <w:tc>
          <w:tcPr>
            <w:tcW w:w="791" w:type="dxa"/>
          </w:tcPr>
          <w:p w14:paraId="291E0B3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09FF03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3678</w:t>
            </w:r>
          </w:p>
        </w:tc>
        <w:tc>
          <w:tcPr>
            <w:tcW w:w="850" w:type="dxa"/>
          </w:tcPr>
          <w:p w14:paraId="12CEC47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c>
          <w:tcPr>
            <w:tcW w:w="851" w:type="dxa"/>
          </w:tcPr>
          <w:p w14:paraId="215417A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w:t>
            </w:r>
          </w:p>
        </w:tc>
        <w:tc>
          <w:tcPr>
            <w:tcW w:w="850" w:type="dxa"/>
          </w:tcPr>
          <w:p w14:paraId="321CEBE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A93BB6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089278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8BD9A8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CDF002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10544C0" w14:textId="77777777">
        <w:tc>
          <w:tcPr>
            <w:tcW w:w="1160" w:type="dxa"/>
          </w:tcPr>
          <w:p w14:paraId="05D1C3A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АШ-82В</w:t>
            </w:r>
          </w:p>
        </w:tc>
        <w:tc>
          <w:tcPr>
            <w:tcW w:w="791" w:type="dxa"/>
          </w:tcPr>
          <w:p w14:paraId="5B4B887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BBE991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A04D89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183</w:t>
            </w:r>
          </w:p>
        </w:tc>
        <w:tc>
          <w:tcPr>
            <w:tcW w:w="851" w:type="dxa"/>
          </w:tcPr>
          <w:p w14:paraId="06F6A1E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c>
          <w:tcPr>
            <w:tcW w:w="850" w:type="dxa"/>
          </w:tcPr>
          <w:p w14:paraId="3EACF9F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w:t>
            </w:r>
          </w:p>
        </w:tc>
        <w:tc>
          <w:tcPr>
            <w:tcW w:w="851" w:type="dxa"/>
          </w:tcPr>
          <w:p w14:paraId="0CFE990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850" w:type="dxa"/>
          </w:tcPr>
          <w:p w14:paraId="1E40832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BF3FCB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A33670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D9CDD0A" w14:textId="77777777">
        <w:tc>
          <w:tcPr>
            <w:tcW w:w="1160" w:type="dxa"/>
          </w:tcPr>
          <w:p w14:paraId="322B4A3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АШ-82Т</w:t>
            </w:r>
          </w:p>
        </w:tc>
        <w:tc>
          <w:tcPr>
            <w:tcW w:w="791" w:type="dxa"/>
          </w:tcPr>
          <w:p w14:paraId="41CB49B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D6F51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785AC3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E2C24D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850" w:type="dxa"/>
          </w:tcPr>
          <w:p w14:paraId="6E8E907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255</w:t>
            </w:r>
          </w:p>
        </w:tc>
        <w:tc>
          <w:tcPr>
            <w:tcW w:w="851" w:type="dxa"/>
          </w:tcPr>
          <w:p w14:paraId="6E4A0EA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850" w:type="dxa"/>
          </w:tcPr>
          <w:p w14:paraId="2A22326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CF489B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C54D5D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5F7A887" w14:textId="77777777">
        <w:tc>
          <w:tcPr>
            <w:tcW w:w="1160" w:type="dxa"/>
          </w:tcPr>
          <w:p w14:paraId="35D8C87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ВК-1А</w:t>
            </w:r>
          </w:p>
        </w:tc>
        <w:tc>
          <w:tcPr>
            <w:tcW w:w="791" w:type="dxa"/>
          </w:tcPr>
          <w:p w14:paraId="588F2C3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79FE93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CC19A8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A52CAF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850" w:type="dxa"/>
          </w:tcPr>
          <w:p w14:paraId="65416B5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954</w:t>
            </w:r>
          </w:p>
        </w:tc>
        <w:tc>
          <w:tcPr>
            <w:tcW w:w="851" w:type="dxa"/>
          </w:tcPr>
          <w:p w14:paraId="19BF4A3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A8DD0A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D8A7FD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558426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48A145D" w14:textId="77777777">
        <w:tc>
          <w:tcPr>
            <w:tcW w:w="1160" w:type="dxa"/>
          </w:tcPr>
          <w:p w14:paraId="390937B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АМ-3</w:t>
            </w:r>
          </w:p>
        </w:tc>
        <w:tc>
          <w:tcPr>
            <w:tcW w:w="791" w:type="dxa"/>
          </w:tcPr>
          <w:p w14:paraId="31AAED8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0568090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32FEE8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0DD4F8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540121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6038B8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435</w:t>
            </w:r>
          </w:p>
        </w:tc>
        <w:tc>
          <w:tcPr>
            <w:tcW w:w="850" w:type="dxa"/>
          </w:tcPr>
          <w:p w14:paraId="710C54D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556</w:t>
            </w:r>
          </w:p>
        </w:tc>
        <w:tc>
          <w:tcPr>
            <w:tcW w:w="851" w:type="dxa"/>
          </w:tcPr>
          <w:p w14:paraId="0120A38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271</w:t>
            </w:r>
          </w:p>
        </w:tc>
        <w:tc>
          <w:tcPr>
            <w:tcW w:w="850" w:type="dxa"/>
          </w:tcPr>
          <w:p w14:paraId="5C2EA55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F32038D" w14:textId="77777777">
        <w:tc>
          <w:tcPr>
            <w:tcW w:w="1160" w:type="dxa"/>
          </w:tcPr>
          <w:p w14:paraId="403BE83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Редуктор Р-5</w:t>
            </w:r>
          </w:p>
        </w:tc>
        <w:tc>
          <w:tcPr>
            <w:tcW w:w="791" w:type="dxa"/>
          </w:tcPr>
          <w:p w14:paraId="5549255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29F80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F1E2A8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w:t>
            </w:r>
          </w:p>
        </w:tc>
        <w:tc>
          <w:tcPr>
            <w:tcW w:w="851" w:type="dxa"/>
          </w:tcPr>
          <w:p w14:paraId="5353014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588</w:t>
            </w:r>
          </w:p>
        </w:tc>
        <w:tc>
          <w:tcPr>
            <w:tcW w:w="850" w:type="dxa"/>
          </w:tcPr>
          <w:p w14:paraId="326487B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5B639B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850" w:type="dxa"/>
          </w:tcPr>
          <w:p w14:paraId="4ACFEB1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c>
          <w:tcPr>
            <w:tcW w:w="851" w:type="dxa"/>
          </w:tcPr>
          <w:p w14:paraId="257B404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w:t>
            </w:r>
          </w:p>
        </w:tc>
        <w:tc>
          <w:tcPr>
            <w:tcW w:w="850" w:type="dxa"/>
          </w:tcPr>
          <w:p w14:paraId="045EAD7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r>
      <w:tr w:rsidR="004E10C1" w:rsidRPr="0044524F" w14:paraId="5B06CEB3" w14:textId="77777777">
        <w:tc>
          <w:tcPr>
            <w:tcW w:w="1160" w:type="dxa"/>
          </w:tcPr>
          <w:p w14:paraId="7CBF1714"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Редуктор Р-3-4</w:t>
            </w:r>
          </w:p>
        </w:tc>
        <w:tc>
          <w:tcPr>
            <w:tcW w:w="791" w:type="dxa"/>
          </w:tcPr>
          <w:p w14:paraId="49E558D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E8D422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C30F35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w:t>
            </w:r>
          </w:p>
        </w:tc>
        <w:tc>
          <w:tcPr>
            <w:tcW w:w="851" w:type="dxa"/>
          </w:tcPr>
          <w:p w14:paraId="4CF5456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w:t>
            </w:r>
          </w:p>
        </w:tc>
        <w:tc>
          <w:tcPr>
            <w:tcW w:w="850" w:type="dxa"/>
          </w:tcPr>
          <w:p w14:paraId="787340C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887ED8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1B01D8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2C6A650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08B3210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E7BEB1B" w14:textId="77777777">
        <w:tc>
          <w:tcPr>
            <w:tcW w:w="1160" w:type="dxa"/>
          </w:tcPr>
          <w:p w14:paraId="2F349BF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Редуктор ВР-1</w:t>
            </w:r>
          </w:p>
        </w:tc>
        <w:tc>
          <w:tcPr>
            <w:tcW w:w="791" w:type="dxa"/>
          </w:tcPr>
          <w:p w14:paraId="1050450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273C48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5E482DD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2144CA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FCC920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60C0D8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771051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c>
          <w:tcPr>
            <w:tcW w:w="851" w:type="dxa"/>
          </w:tcPr>
          <w:p w14:paraId="35DBEFA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850" w:type="dxa"/>
          </w:tcPr>
          <w:p w14:paraId="5186E13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411</w:t>
            </w:r>
          </w:p>
        </w:tc>
      </w:tr>
      <w:tr w:rsidR="004E10C1" w:rsidRPr="0044524F" w14:paraId="64344809" w14:textId="77777777">
        <w:tc>
          <w:tcPr>
            <w:tcW w:w="1160" w:type="dxa"/>
          </w:tcPr>
          <w:p w14:paraId="32F72DA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РД-3М</w:t>
            </w:r>
          </w:p>
        </w:tc>
        <w:tc>
          <w:tcPr>
            <w:tcW w:w="791" w:type="dxa"/>
          </w:tcPr>
          <w:p w14:paraId="4F9EEDA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1F1104C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AF1149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3DAFDDF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1EE22E6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61B2D0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3B9BA9A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5DC76CE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617</w:t>
            </w:r>
          </w:p>
        </w:tc>
        <w:tc>
          <w:tcPr>
            <w:tcW w:w="850" w:type="dxa"/>
          </w:tcPr>
          <w:p w14:paraId="46A933C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570</w:t>
            </w:r>
          </w:p>
        </w:tc>
      </w:tr>
      <w:tr w:rsidR="004E10C1" w:rsidRPr="0044524F" w14:paraId="434CB06F" w14:textId="77777777">
        <w:tc>
          <w:tcPr>
            <w:tcW w:w="1160" w:type="dxa"/>
          </w:tcPr>
          <w:p w14:paraId="44BC6CF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АИ-20</w:t>
            </w:r>
          </w:p>
        </w:tc>
        <w:tc>
          <w:tcPr>
            <w:tcW w:w="791" w:type="dxa"/>
          </w:tcPr>
          <w:p w14:paraId="0BAC341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685633D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4E0F7368"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1CB2E6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2ABF11A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7F1552B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70140E6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1" w:type="dxa"/>
          </w:tcPr>
          <w:p w14:paraId="4C795511"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50" w:type="dxa"/>
          </w:tcPr>
          <w:p w14:paraId="65C14A4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bl>
    <w:p w14:paraId="7019763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(9731).</w:t>
      </w:r>
    </w:p>
    <w:p w14:paraId="1BD8879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5CD6E93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в ЦИАМе был сделан АН-1 (авиа нефтяной) - также прямой предшественник В-2 (80,99).</w:t>
      </w:r>
    </w:p>
    <w:p w14:paraId="3BBD2397"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620B3E6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середине 1933 года стало ясно, что одновременное создание самой ПТ и ее телемеханической части слишком сложный процесс. Поэтому проектирование системы наведения было передано в специальную лабораторию, занимавшуюся ИК-техникой, а лаборатория N22 продолжала заниматься непосредственно ПТ и оборудованием для нее. Для проверки схемы и проектных данных безмоторных торпед построили модели в 1/10 и 1/4 натуральной величины. В 1933 году были проведены пуски моделей в 1/4 натуральной величины с высоты 1100 м, в ходе которых они пролетали 10-11 км. В 1934 году промышленности заказали 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6466F55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безмоторных планирующих торпед с дальностью полета 30-50 км — ДПТ (дальнобойная планирующая торпеда), кодовое обозначение "Волк";</w:t>
      </w:r>
    </w:p>
    <w:p w14:paraId="5CDF4D0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для оборудованных мотором (обычным винтовым или ракетным) с дальностью полета 100-200 км — ЛТДЦ (летающая торпеда дальнего действия);</w:t>
      </w:r>
    </w:p>
    <w:p w14:paraId="7D9B868B"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для безмоторных ПТ на жестком буксире — БМП (буксируемый минный планер), кодовое обозначение "Вепрь" (12040).</w:t>
      </w:r>
    </w:p>
    <w:p w14:paraId="528583BF"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6B3342E9"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середине 1933 года стало ясно, что одновременное создание самой ПТ (план-торпеды) и ее телемеханической части слишком сложный процесс. Поэтому проектирование системы наведения было передано в специальную лабораторию, занимавшуюся ИК-техникой, а лаборатория № 22 в Научно-исследовательском морском институте связи (НИМИС) продолжала заниматься непосредственно ПТ и оборудованием для нее. Для проверки схемы и проектных данных безмоторных торпед построили модели в 1/10 и 1/4 натуральной величины. В 1933 году были проведены пуски моделей в 1/4 натуральной величины с высоты 1100 м, в ходе которых они пролетали 10-11 км. В 1934 году промышленности заказали экспериментальные образцы ПТ, а также стабилизаторы автопилота (25335).</w:t>
      </w:r>
    </w:p>
    <w:p w14:paraId="289AE36D" w14:textId="77777777" w:rsidR="00553E52" w:rsidRPr="00142305" w:rsidRDefault="00553E52" w:rsidP="00553E52">
      <w:pPr>
        <w:spacing w:after="0" w:line="240" w:lineRule="auto"/>
        <w:jc w:val="both"/>
        <w:rPr>
          <w:rFonts w:ascii="Times New Roman" w:hAnsi="Times New Roman"/>
          <w:color w:val="0070C0"/>
          <w:sz w:val="16"/>
          <w:szCs w:val="16"/>
        </w:rPr>
      </w:pPr>
    </w:p>
    <w:p w14:paraId="671C1CF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В.А.Артемьев предложил ракеты 82 и 132 мм делать с оперением, выступающим за габариты (177,156).</w:t>
      </w:r>
    </w:p>
    <w:p w14:paraId="3C8FFCC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7AE06DD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пришли к выводу, что оперение РС должно значительно выступать за габариты РС и конструктивно оформили В.А.Артемьев, Л.Э.Шварц и И.Т.Клейменов. Взяли опыт авиабомб, которые хорошо знал И.Т.Клейменов. Сделали четырехкрылый с двойным размахом. Сначала были четыре деревянных направляющих длинной 1-2 м, образующих четырехугольник, по пазам которого скользили бронзовые штифты. Ставили на лафет горной пушки и на БТ-5 (1233,24).</w:t>
      </w:r>
    </w:p>
    <w:p w14:paraId="0EE21F3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13D3E8E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1933-1934 поняли, что порох ПТП не годится, так как не позволял проходное прессование. Выбрали нитроглицериновый порох ПГВ. В сотрудничестве с Московским химико-технологическом им. Менделеева наладили производство длинных шашек (230 мм и 288 мм) диаметром 24 мм и 40 мм и внутренним - 6 и 8 мм. Пришлось делать зимние и летние заряды (1233,30).</w:t>
      </w:r>
    </w:p>
    <w:p w14:paraId="439BC089"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49362BF3" w14:textId="77777777" w:rsidR="00B849DC" w:rsidRPr="0044524F" w:rsidRDefault="00B849D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г. — вспоминает В.С.Дерновой (эти воспоминания написаны им в октябре 1984 г. и подробно освещают ход работы на первом, самом ответственном этапе создания ракетных зарядов из баллиститных порохов для авиационных снарядов РС-82 и PC-132) — "лабораторию нитроглицеринового пороха в НИИ, возглавляемую А.С.Бакаевым и Б.П.Фоминым, посетили представители РНИИ — группа в составе трех или четырех человек, в том числе В.А.Артемьев и Ф.Н.Пойда — с целью выяснения и поисков возможности замены в реактивных снарядах РС-82 и PC-132 пироксилинотротилового пороха.</w:t>
      </w:r>
    </w:p>
    <w:p w14:paraId="3E40DD7F" w14:textId="77777777" w:rsidR="00B849DC" w:rsidRPr="0044524F" w:rsidRDefault="00B849D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сообщению прибывших, технология изготовления ПТП (глухое прессование) позволяла получать только шашки ограниченной длины и, главное, исключала возможность массового изготовления их в промышленных условиях вследствие малой своей производительности и повышенной опасности. Для дальнейшего продвижения текущих работ и успешного решения общей задачи настоятельно требовалось заменить в PC порох ПТП, и прибывшие обратились к специалистам НИИ с просьбой порекомендовать им для применения в PC какой-нибудь конкретный порох, который наиболее подходил бы для этой цели, был пригоден для массового изготовления в промышленных условиях и уже сейчас или в самое ближайшее время мог изготовляться в достаточно больших количествах.</w:t>
      </w:r>
    </w:p>
    <w:p w14:paraId="597E3145" w14:textId="77777777" w:rsidR="00B849DC" w:rsidRPr="0044524F" w:rsidRDefault="00B849D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ответ на это представителям РНИИ сразу же было рекомендовано применить для PC порох Н, разработанный к тому времени для артиллерийских систем (других баллиститных порохов, в том числе специальных составов, тогда еще не было).</w:t>
      </w:r>
    </w:p>
    <w:p w14:paraId="5934FFA1" w14:textId="77777777" w:rsidR="00B849DC" w:rsidRPr="0044524F" w:rsidRDefault="00B849D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было подчеркнуто, что специалисты НИИ не сомневаются в возможности изготовления и применения пороха Н для PC, технология этого пороха позволяет легко изготовлять пороховые трубки практически любой требуемой длины и что удлинение пороховых трубок до размеров ракетной камеры не только упростит конструкцию к изготовление заряда, но должно заметно улучшить его баллистические качества ...".</w:t>
      </w:r>
    </w:p>
    <w:p w14:paraId="613F9BFA" w14:textId="77777777" w:rsidR="00B849DC" w:rsidRPr="0044524F" w:rsidRDefault="00B849D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баллиститный нитроглицериновый порох в то время мог изготовляться только в опытных мастерских завода им. Морозова, то, учитывая важность и срочность дела, представители РНИИ и Московского порохового института незамедлительно выехали на этот завод, где вскоре и было начато опытное изготовление для PC трубчатого нитроглицеринового пороха диаметром 24 и 40 мм.</w:t>
      </w:r>
    </w:p>
    <w:p w14:paraId="604FB384" w14:textId="77777777" w:rsidR="00B849DC" w:rsidRPr="0044524F" w:rsidRDefault="00B849D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производства встретились с определенными трудностями. В отдельных случаях при стендовых испытаниях изготовленных зарядов резко увеличивалось давление газов в ракетной камере. Установили, что причиной этих непредусмотренных повышений давления было увеличение площади поверхности горения вследствие наличия в порохе закапсулированного воздуха, так называемых воздушных включений. На борьбу с ними ушло много времени. Но в конце концов технология была доведена до необходимого уровня, и заряды из баллиститного пороха Н в ракетных камерах авиационных снарядов РС-82 и PC-132 стали гореть закономерно. В итоге завод им. Морозова изготовил заряды в количествах, достаточных для "проведения широких стендовых и стрельбовых проверок" (18946).</w:t>
      </w:r>
    </w:p>
    <w:p w14:paraId="6CA6A5CB" w14:textId="77777777" w:rsidR="00B849DC" w:rsidRPr="0044524F" w:rsidRDefault="00B849DC" w:rsidP="009654CF">
      <w:pPr>
        <w:spacing w:after="0" w:line="240" w:lineRule="auto"/>
        <w:jc w:val="both"/>
        <w:rPr>
          <w:rFonts w:ascii="Times New Roman" w:hAnsi="Times New Roman"/>
          <w:color w:val="000000" w:themeColor="text1"/>
          <w:sz w:val="16"/>
          <w:szCs w:val="16"/>
        </w:rPr>
      </w:pPr>
    </w:p>
    <w:p w14:paraId="6692A3AA"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середины 1933 года после первого опыта У-2 начали появляться на Севере уже не в единичных экземплярах. Шесть ма</w:t>
      </w:r>
      <w:r w:rsidRPr="00142305">
        <w:rPr>
          <w:rFonts w:ascii="Times New Roman" w:hAnsi="Times New Roman"/>
          <w:color w:val="0070C0"/>
          <w:sz w:val="16"/>
          <w:szCs w:val="16"/>
        </w:rPr>
        <w:softHyphen/>
        <w:t>шин (СССР-Н12 №4397, СССР-Н13 №4395, СССР-Н14 №4392, СССР-Н15 №4398) отпра</w:t>
      </w:r>
      <w:r w:rsidRPr="00142305">
        <w:rPr>
          <w:rFonts w:ascii="Times New Roman" w:hAnsi="Times New Roman"/>
          <w:color w:val="0070C0"/>
          <w:sz w:val="16"/>
          <w:szCs w:val="16"/>
        </w:rPr>
        <w:softHyphen/>
        <w:t>вили через Архангельск на Чукотку, где они стали основой формируемой там авиагруппы.</w:t>
      </w:r>
    </w:p>
    <w:p w14:paraId="229D8DF9"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Еще шесть машин (СССР-Н19 №4120, СССР-Н22 №5636, СССР-Н23 №5637, СССР- Н24 №5638, У-2СП СССР-Н36 №6000) припи</w:t>
      </w:r>
      <w:r w:rsidRPr="00142305">
        <w:rPr>
          <w:rFonts w:ascii="Times New Roman" w:hAnsi="Times New Roman"/>
          <w:color w:val="0070C0"/>
          <w:sz w:val="16"/>
          <w:szCs w:val="16"/>
        </w:rPr>
        <w:softHyphen/>
        <w:t>сали к различным отдаленным зимовкам и ба</w:t>
      </w:r>
      <w:r w:rsidRPr="00142305">
        <w:rPr>
          <w:rFonts w:ascii="Times New Roman" w:hAnsi="Times New Roman"/>
          <w:color w:val="0070C0"/>
          <w:sz w:val="16"/>
          <w:szCs w:val="16"/>
        </w:rPr>
        <w:softHyphen/>
        <w:t>зам.</w:t>
      </w:r>
    </w:p>
    <w:p w14:paraId="115C3B70"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следующие годы в распоряжение УПА были переданы еще около шести десятков У-2. Известны номера почти всех из них.</w:t>
      </w:r>
    </w:p>
    <w:p w14:paraId="1A60F116"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У-2СП СССР-Н37 №6001, У-2СП СССР- Н38 №6002, У-2СП СССР-Н39 №6003, У-2СП СССР-Н40 №6004, У-2СП СССР-Н59 №7114, У-2СП СССР-Н60 №7116, У-2СП СССР-Н61 №7121, У-2 СССР-Н82 №7181, У-2 СССР-Н83 №7172, У-2 СССР-Н84 №7198, У-2 СССР-Н85 №7199, У-2 СССР-Н86 №7163, У-2 СССР-Н87 №7174, У-2 СССР-Н88 №7176, У-2СП СССР- Н96 №7603, У-2СП СССР-Н97 №7604, У-2СП СССР-Н96 №7603, У-2СП СССР-Н98 №7605, У-2СП СССР-Н99 №7606, У-2СП СССР-Н100 №7607, У-2СП СССР-Н136 №8177, У-2С-1 СССР-Н137 №8385, У-2 СССР-Н138 №8490, У-2 СССР-Н139 №8488, У-2 СССР-Н140 №8780, У-2 СССР-Н141 №8781, У-2 СССР- Н142 №8782, У-2 СССР-Н143 №8922, У-2 СССР-Н144 №8923, У-2 СССР-Н145 №8924, У-2 СССР-Н146 №8925, У-2СП СССР-Н167 №10137, У-2СП СССР-Н168 №10156, У-2 СССР-Н181 №9628, У-2 СССР-Н182 №9629, У-2 СССР-Н184 №9789, У-2 СССР-Н185 №9792, У-2 СССР-Н186 №10654, У-2 СССР- Н187 №10655, У-2 СССР-Н188 №10656, У-2 СССР-Н189 №10657, У-2 СССР-Н190 №10658, У-2СП СССР-Н193 №10127, У-2СП СССР- Н194 №10194, У-2СП СССР-Н195 №8686, У-2 СССР-Н196 №8546, У-2СП СССР-Н219 №10107, У-2СП СССР-Н220 №10652, У-2 СССР-Н221 №10754, У-2СП URSS-H224 №11654, У-2 СССР-Н273 №12379, У-2 СССР- Н274 №12362, У-2СП СССР-Н297 №14420, У-2СП СССР-Н298 №14395, У-2СП СССР- Н299 №14433, У-2 СССР-Н300 №14770, У-2 СССР-Н301 №14860 (24969).</w:t>
      </w:r>
    </w:p>
    <w:p w14:paraId="140D91B7" w14:textId="77777777" w:rsidR="00553E52" w:rsidRPr="00142305" w:rsidRDefault="00553E52" w:rsidP="00553E52">
      <w:pPr>
        <w:spacing w:after="0" w:line="240" w:lineRule="auto"/>
        <w:jc w:val="both"/>
        <w:rPr>
          <w:rFonts w:ascii="Times New Roman" w:hAnsi="Times New Roman"/>
          <w:color w:val="0070C0"/>
          <w:sz w:val="16"/>
          <w:szCs w:val="16"/>
        </w:rPr>
      </w:pPr>
    </w:p>
    <w:p w14:paraId="50334A97"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Другие оборонные отрасли:</w:t>
      </w:r>
    </w:p>
    <w:p w14:paraId="5AC167C8"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8B75732"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В середине 1933 г., на совещании с участи</w:t>
      </w:r>
      <w:r w:rsidRPr="0044524F">
        <w:rPr>
          <w:rFonts w:ascii="Times New Roman" w:hAnsi="Times New Roman"/>
          <w:color w:val="000000" w:themeColor="text1"/>
          <w:sz w:val="16"/>
          <w:szCs w:val="16"/>
        </w:rPr>
        <w:softHyphen/>
        <w:t xml:space="preserve">ем Г.К. Орджоникидзе, М.Н. Тухачевского, И.П. Павлу-новского и И.А. Халепского, победило мнение, что </w:t>
      </w:r>
      <w:r w:rsidRPr="0044524F">
        <w:rPr>
          <w:rFonts w:ascii="Times New Roman" w:hAnsi="Times New Roman"/>
          <w:iCs/>
          <w:color w:val="000000" w:themeColor="text1"/>
          <w:sz w:val="16"/>
          <w:szCs w:val="16"/>
        </w:rPr>
        <w:t>«...раз</w:t>
      </w:r>
      <w:r w:rsidRPr="0044524F">
        <w:rPr>
          <w:rFonts w:ascii="Times New Roman" w:hAnsi="Times New Roman"/>
          <w:iCs/>
          <w:color w:val="000000" w:themeColor="text1"/>
          <w:sz w:val="16"/>
          <w:szCs w:val="16"/>
        </w:rPr>
        <w:softHyphen/>
        <w:t xml:space="preserve">работка во многом дублирующих друг друга боевых машин расточительна», </w:t>
      </w:r>
      <w:r w:rsidRPr="0044524F">
        <w:rPr>
          <w:rFonts w:ascii="Times New Roman" w:hAnsi="Times New Roman"/>
          <w:color w:val="000000" w:themeColor="text1"/>
          <w:sz w:val="16"/>
          <w:szCs w:val="16"/>
        </w:rPr>
        <w:t xml:space="preserve">и потому </w:t>
      </w:r>
      <w:r w:rsidRPr="0044524F">
        <w:rPr>
          <w:rFonts w:ascii="Times New Roman" w:hAnsi="Times New Roman"/>
          <w:iCs/>
          <w:color w:val="000000" w:themeColor="text1"/>
          <w:sz w:val="16"/>
          <w:szCs w:val="16"/>
        </w:rPr>
        <w:t>«лучше ограничиться разработкой унифицированных шасси, одинаково пригодных для установки артиллерии для нужд пехоты, мотомехвойск и кавалерии...» (11417).</w:t>
      </w:r>
    </w:p>
    <w:p w14:paraId="3C98F673"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1F8438" w14:textId="77777777" w:rsidR="00B64972" w:rsidRPr="0044524F" w:rsidRDefault="00B6497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г. брак по броневым частям танковых корпусов был на уровне 45-50 %[74] (23536).</w:t>
      </w:r>
    </w:p>
    <w:p w14:paraId="24200C45" w14:textId="77777777" w:rsidR="00B64972" w:rsidRPr="0044524F" w:rsidRDefault="00B64972" w:rsidP="009654CF">
      <w:pPr>
        <w:spacing w:after="0" w:line="240" w:lineRule="auto"/>
        <w:jc w:val="both"/>
        <w:rPr>
          <w:rFonts w:ascii="Times New Roman" w:hAnsi="Times New Roman"/>
          <w:color w:val="000000" w:themeColor="text1"/>
          <w:sz w:val="16"/>
          <w:szCs w:val="16"/>
        </w:rPr>
      </w:pPr>
    </w:p>
    <w:p w14:paraId="68034D5A"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1933 года Астров началась проработка сразу нескольких проектов на базе ПТ-1, из которых выбрали только два, шедшие под номерами 4 и 5. Спустя год они были реализованы уже под новым обозначением Т-29 (25498).</w:t>
      </w:r>
    </w:p>
    <w:p w14:paraId="61BB572D" w14:textId="77777777" w:rsidR="00553E52" w:rsidRPr="00142305" w:rsidRDefault="00553E52" w:rsidP="00553E52">
      <w:pPr>
        <w:spacing w:after="0" w:line="240" w:lineRule="auto"/>
        <w:jc w:val="both"/>
        <w:rPr>
          <w:rFonts w:ascii="Times New Roman" w:hAnsi="Times New Roman"/>
          <w:color w:val="0070C0"/>
          <w:sz w:val="16"/>
          <w:szCs w:val="16"/>
        </w:rPr>
      </w:pPr>
    </w:p>
    <w:p w14:paraId="6B0C3F3F"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1933 года на заводе Можерез изготовили опытный образец легкой броневой дрезины на базе бронеавтомобиля Д-8 Дыренкова (по документам тех лет – «брдл», «бр.д.л.» или «брдл-1»).</w:t>
      </w:r>
    </w:p>
    <w:p w14:paraId="4FE3554A"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замыслу, легкая бронедрезина, вооруженная пулеметами, могла быть снята с железнодорожного пути силами экипажа и продолжить движение на грунтовых дорогах, выполняя функции разведывательной и связной машины.</w:t>
      </w:r>
    </w:p>
    <w:p w14:paraId="5F4BC608"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Легкая броневая дрезина, в отличие от Д-8, снабжалась специальным оборудованием, допускающим движение по железной дороге (по стандартной колее – 1524 мм), сход на грунт для продолжения движения по грунтовым дорогам, обратный переход на рельсы и изменение направления движения по рельсам на 180°.</w:t>
      </w:r>
    </w:p>
    <w:p w14:paraId="78F90C0D"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состав специального оборудования «брдл» входили: домкрат, четыре съемных диска (по одному на каждое колесо) со стальными ребордами и резиновыми бандажами, четыре съемных кольца (по одному на каждое колесо) со шпильками для креплений съемных дисков к автомобильным колесам, детали закрепления рулевого управления. Имелись также крюк для блокировки задней рессоры и четыре клиновидных деревянных мостка, предназначенные для облегчения съезда дрезины на грунт или въезда на рельсы. Для этих же целей служил самовытаскиватель, включавший два барабана с тросами и крючьями (25574).</w:t>
      </w:r>
    </w:p>
    <w:p w14:paraId="05504530" w14:textId="77777777" w:rsidR="00553E52" w:rsidRPr="00142305" w:rsidRDefault="00553E52" w:rsidP="00553E52">
      <w:pPr>
        <w:spacing w:after="0" w:line="240" w:lineRule="auto"/>
        <w:jc w:val="both"/>
        <w:rPr>
          <w:rFonts w:ascii="Times New Roman" w:hAnsi="Times New Roman"/>
          <w:color w:val="0070C0"/>
          <w:sz w:val="16"/>
          <w:szCs w:val="16"/>
        </w:rPr>
      </w:pPr>
    </w:p>
    <w:p w14:paraId="737AFCA7"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1933 года вслед за двумя автомобилями Я-7 и Я-7Д Ярославский автозавод сделал сложную машину Я-12Д. Из всего семейства Я-НАТИ именно на его создание были брошены главные силы завода. Полуприцеп для Я-12Д взяли американский — Lapeer-Houlmore. Тягач был оснащен демультипликатором (дополнительной коробкой передач), разработанным в самом НАТИ, а также новеньким мотором Hercules YXC-3, который выдавал аж на две лошадиные силы больше, чем YXC-2, стоявший на предыдущих моделях Я-ЯГ. За основу автомобиля было взято шасси и элементы Я-5, но большинство систем (коробка передач, сцепление, системы смазки и охлаждения, карбюратор) были все-таки иностранного производства. Любопытно, что, например, рессоры, сделанные в НАТИ (т.е. по определению более совершенные), не выдержали нагрузки сразу, и пришлось взять их от трехосного ЯГ-10. Автомобиль подвергся серьезным испытаниям, а в качестве автополигона для «наматывания» километров использовались дороги Москвы.</w:t>
      </w:r>
    </w:p>
    <w:p w14:paraId="503B980A"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Выводы, сделанные комиссией после испытаний тягача, были вполне удовлетворительными. Все поставленные задачи автомобиль выполнил, во многом даже превысив показатели тягачей иностранных марок. Автомобиль был рекомендован к массовому производству после внесения небольших доработок и укомплектования — но никакого производства так и не последовало… Причин было много. Во-первых, завод не мог выпускать такие автомобили — он просто технически не был оснащен для этого, поскольку Я-12Д был на тот момент слишком сложным. Во-вторых, отсутствие мощных двигателей Hercules не давало возможность делать даже мелкосерийную сборку. Все двигатели шли на трехоску ЯГ-10, а больше двигателей завод не закупал из-за их дороговизны. В-третьих, в стране не было необходимой инфраструктуры; даже полуприцепы тогда ни один завод серийно не выпускал, а строить их самостоятельно ЯГАЗ был не в силах: нужна была помощь смежников. Кстати, в литературе тех лет эти факторы нигде и никогда не упоминались. Во всех документах, встречавшихся мне, срыв производства тягачей объяснялся исключительно политическими причинами: отсутствием единого мнения у руководства, вредительством на заводах, происками врагов и т.п.</w:t>
      </w:r>
    </w:p>
    <w:p w14:paraId="19449DC3"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подробном отчете по испытаниям Я-12Д, к сожалению, не указаны суммы, затраченные на выпуск этого экземпляра. Но я уверен, что тягач и полуприцеп обошелся очень дорого, и даже при массовом выпуске он стоил бы слишком много. Дешевле было выпускать вместо одного Я-12Д два пятитонных грузовика ЯГ-3, дороже которых среди серийных автомобилей в СССР к 1933 году не было. Что до самого тягача Я-12Д, то после испытаний он весь год проработал в тяжелых условиях эксплуатации — в столичном «Метрострое», а дальше его судьба неизвестна (25598).</w:t>
      </w:r>
    </w:p>
    <w:p w14:paraId="78650B6B" w14:textId="77777777" w:rsidR="00553E52" w:rsidRPr="00142305" w:rsidRDefault="00553E52" w:rsidP="00553E52">
      <w:pPr>
        <w:spacing w:after="0" w:line="240" w:lineRule="auto"/>
        <w:jc w:val="both"/>
        <w:rPr>
          <w:rFonts w:ascii="Times New Roman" w:hAnsi="Times New Roman"/>
          <w:color w:val="0070C0"/>
          <w:sz w:val="16"/>
          <w:szCs w:val="16"/>
        </w:rPr>
      </w:pPr>
    </w:p>
    <w:p w14:paraId="53337916"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г. на заводе Можерез изготовили опытный образец легкой броневой дрезины на базе бронеавтомобиля Д-8 (по документам тех лет - «брдл», «бр.д.л.» или «брдл-1»).</w:t>
      </w:r>
    </w:p>
    <w:p w14:paraId="78B91CA0"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Легкая броневая дрезина, в отличие от Д-8, снабжалась специаль</w:t>
      </w:r>
      <w:r w:rsidRPr="0044524F">
        <w:rPr>
          <w:rFonts w:ascii="Times New Roman" w:hAnsi="Times New Roman"/>
          <w:color w:val="000000" w:themeColor="text1"/>
          <w:sz w:val="16"/>
          <w:szCs w:val="16"/>
        </w:rPr>
        <w:softHyphen/>
        <w:t>ным оборудованием, допускающим движение по железной дороге (по стандартной колее - 1524 мм), сход на грунт для продолжения движе</w:t>
      </w:r>
      <w:r w:rsidRPr="0044524F">
        <w:rPr>
          <w:rFonts w:ascii="Times New Roman" w:hAnsi="Times New Roman"/>
          <w:color w:val="000000" w:themeColor="text1"/>
          <w:sz w:val="16"/>
          <w:szCs w:val="16"/>
        </w:rPr>
        <w:softHyphen/>
        <w:t>ния по грунтовым дорогам, обратный переход на рельсы и изменение направления движения по рельсам на 180°.</w:t>
      </w:r>
    </w:p>
    <w:p w14:paraId="708C2BF2" w14:textId="77777777" w:rsidR="004050DA" w:rsidRPr="0044524F" w:rsidRDefault="004050DA" w:rsidP="009654CF">
      <w:pPr>
        <w:pStyle w:val="45"/>
        <w:shd w:val="clear" w:color="auto" w:fill="auto"/>
        <w:spacing w:before="0" w:line="240" w:lineRule="auto"/>
        <w:jc w:val="both"/>
        <w:rPr>
          <w:rFonts w:ascii="Times New Roman" w:cs="Times New Roman"/>
          <w:color w:val="000000" w:themeColor="text1"/>
          <w:sz w:val="16"/>
          <w:szCs w:val="16"/>
        </w:rPr>
      </w:pPr>
      <w:r w:rsidRPr="0044524F">
        <w:rPr>
          <w:rFonts w:ascii="Times New Roman" w:cs="Times New Roman"/>
          <w:color w:val="000000" w:themeColor="text1"/>
          <w:sz w:val="16"/>
          <w:szCs w:val="16"/>
        </w:rPr>
        <w:t>М. Павлов, И. Павлов</w:t>
      </w:r>
    </w:p>
    <w:p w14:paraId="4C7ECCA3"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 специального оборудования «брдл» входили: домкрат, че</w:t>
      </w:r>
      <w:r w:rsidRPr="0044524F">
        <w:rPr>
          <w:rFonts w:ascii="Times New Roman" w:hAnsi="Times New Roman"/>
          <w:color w:val="000000" w:themeColor="text1"/>
          <w:sz w:val="16"/>
          <w:szCs w:val="16"/>
        </w:rPr>
        <w:softHyphen/>
        <w:t>тыре съемных диска (по одному на каждое колесо) со стальными ребор</w:t>
      </w:r>
      <w:r w:rsidRPr="0044524F">
        <w:rPr>
          <w:rFonts w:ascii="Times New Roman" w:hAnsi="Times New Roman"/>
          <w:color w:val="000000" w:themeColor="text1"/>
          <w:sz w:val="16"/>
          <w:szCs w:val="16"/>
        </w:rPr>
        <w:softHyphen/>
        <w:t>дами и резиновыми бандажами, четыре съемных кольца (по одному на каждое колесо) со шпильками для креплений съемных дисков к автомо</w:t>
      </w:r>
      <w:r w:rsidRPr="0044524F">
        <w:rPr>
          <w:rFonts w:ascii="Times New Roman" w:hAnsi="Times New Roman"/>
          <w:color w:val="000000" w:themeColor="text1"/>
          <w:sz w:val="16"/>
          <w:szCs w:val="16"/>
        </w:rPr>
        <w:softHyphen/>
        <w:t>бильным колесам, детали закрепления рулевого управления. Имелись также крюк для блокировки задней рессоры и четыре клиновидных де</w:t>
      </w:r>
      <w:r w:rsidRPr="0044524F">
        <w:rPr>
          <w:rFonts w:ascii="Times New Roman" w:hAnsi="Times New Roman"/>
          <w:color w:val="000000" w:themeColor="text1"/>
          <w:sz w:val="16"/>
          <w:szCs w:val="16"/>
        </w:rPr>
        <w:softHyphen/>
        <w:t>ревянных мостка, предназначенные для облегчения съезда дрезины на грунт или въезда на рельсы. Для этих же целей служил самовытаскиватель, включавший два барабана с тросами и крючьями.</w:t>
      </w:r>
    </w:p>
    <w:p w14:paraId="377D6E72"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установки на рельсы бронедрезина сначала должна была въехать на железнодорожное полотж (перпендикулярно пути) по деревянным мосткам. Экипаж (2 чел.) выключал подрессоривание, с помощью домкрата поднимал машину на 10-25 с/ и поворачивал ее на 90°. Затем устанав</w:t>
      </w:r>
      <w:r w:rsidRPr="0044524F">
        <w:rPr>
          <w:rFonts w:ascii="Times New Roman" w:hAnsi="Times New Roman"/>
          <w:color w:val="000000" w:themeColor="text1"/>
          <w:sz w:val="16"/>
          <w:szCs w:val="16"/>
        </w:rPr>
        <w:softHyphen/>
        <w:t>ливал поверх автомобильных колес съемные диски, опускал машину на рельсы и включал подрессори- вание. Рулевое управление при движении по рель</w:t>
      </w:r>
      <w:r w:rsidRPr="0044524F">
        <w:rPr>
          <w:rFonts w:ascii="Times New Roman" w:hAnsi="Times New Roman"/>
          <w:color w:val="000000" w:themeColor="text1"/>
          <w:sz w:val="16"/>
          <w:szCs w:val="16"/>
        </w:rPr>
        <w:softHyphen/>
        <w:t>сам обязательно фиксировалось.</w:t>
      </w:r>
    </w:p>
    <w:p w14:paraId="6202CE19"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обратной процедуре экипаж «брдл» с по</w:t>
      </w:r>
      <w:r w:rsidRPr="0044524F">
        <w:rPr>
          <w:rFonts w:ascii="Times New Roman" w:hAnsi="Times New Roman"/>
          <w:color w:val="000000" w:themeColor="text1"/>
          <w:sz w:val="16"/>
          <w:szCs w:val="16"/>
        </w:rPr>
        <w:softHyphen/>
        <w:t>мощью домкрата вывешивал ее на 3-5 см (высота реборды) над рельсами, демонтировал съемные диски с ребордами, поворачивал машину на 90° и освобождал рулевое управление от глухого кре</w:t>
      </w:r>
      <w:r w:rsidRPr="0044524F">
        <w:rPr>
          <w:rFonts w:ascii="Times New Roman" w:hAnsi="Times New Roman"/>
          <w:color w:val="000000" w:themeColor="text1"/>
          <w:sz w:val="16"/>
          <w:szCs w:val="16"/>
        </w:rPr>
        <w:softHyphen/>
        <w:t>пления. Затем бронедрезина съезжала на грунт (12737).</w:t>
      </w:r>
    </w:p>
    <w:p w14:paraId="20A98840" w14:textId="77777777" w:rsidR="004050DA" w:rsidRPr="0044524F" w:rsidRDefault="004050DA" w:rsidP="009654CF">
      <w:pPr>
        <w:spacing w:after="0" w:line="240" w:lineRule="auto"/>
        <w:jc w:val="both"/>
        <w:rPr>
          <w:rFonts w:ascii="Times New Roman" w:hAnsi="Times New Roman"/>
          <w:color w:val="000000" w:themeColor="text1"/>
          <w:sz w:val="16"/>
          <w:szCs w:val="16"/>
        </w:rPr>
      </w:pPr>
    </w:p>
    <w:p w14:paraId="22DCB9B2" w14:textId="77777777" w:rsidR="00F27059" w:rsidRPr="0044524F" w:rsidRDefault="00F2705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года вслед за двумя автомобилями Я-7 и Я-7Д Ярославский автозавод сделал сложную машину Я-12Д. Из всего семейства Я-НАТИ именно на его создание были брошены главные силы завода. Полуприцеп для Я-12Д взяли американский - Lapeer-Houlmore. Тягач был оснащен демультипликатором (дополнительной коробкой передач), разработанным в самом НАТИ, а также новеньким мотором Hercules YXC-3, который выдавал аж на две лошадиные силы больше, чем YXC-2, стоявший на предыдущих моделях Я-ЯГ. За основу автомобиля было взято шасси и элементы Я-5, но большинство систем (коробка передач, сцепление, системы смазки и охлаждения, карбюратор) были все-таки иностранного производства. Любопытно, что, например, рессоры, сделанные в НАТИ (т.е. по определению более совершенные), не выдержали нагрузки сразу, и пришлось взять их от трехосного ЯГ-10. Автомобиль подвергся серьезным испытаниям, а в качестве автополигона для «наматывания» километров использовались дороги Москвы.</w:t>
      </w:r>
    </w:p>
    <w:p w14:paraId="08CCAF38" w14:textId="77777777" w:rsidR="00F27059" w:rsidRPr="0044524F" w:rsidRDefault="00F2705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 сделанные комиссией после испытаний тягача, были вполне удовлетворительными. Все поставленные задачи автомобиль выполнил, во многом даже превысив показатели тягачей иностранных марок. Автомобиль был рекомендован к массовому производству после внесения небольших доработок и укомплектования - но никакого производства так и не последовало... Причин было много. Во-первых, завод не мог выпускать такие автомобили - он просто технически не был оснащен для этого, поскольку Я-12Д был на тот момент слишком сложным. Во-вторых, отсутствие мощных двигателей Hercules не давало возможность делать даже мелкосерийную сборку. Все двигатели шли на трехоску ЯГ-10, а больше двигателей завод не закупал из-за их дороговизны. В-третьих, в стране не было необходимой инфраструктуры; даже полуприцепы тогда ни один завод серийно не выпускал, а строить их самостоятельно ЯГАЗ был не в силах: нужна была помощь смежников. Кстати, в литературе тех лет эти факторы нигде и никогда не упоминались. Во всех документах, встречавшихся мне, срыв производства тягачей объяснялся исключительно политическими причинами: отсутствием единого мнения у руководства, вредительством на заводах, происками врагов и т.п.</w:t>
      </w:r>
    </w:p>
    <w:p w14:paraId="2F6AAABF" w14:textId="77777777" w:rsidR="00F27059" w:rsidRPr="0044524F" w:rsidRDefault="00F2705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подробном отчете по испытаниям Я-12Д, к сожалению, не указаны суммы, затраченные на выпуск этого экземпляра. Но я уверен, что тягач и полуприцеп обошелся очень дорого, и даже при массовом выпуске он стоил бы слишком много. Дешевле было выпускать вместо одного Я-12Д два пятитонных грузовика ЯГ-3, дороже которых среди серийных автомобилей в СССР к 1933 году не было. Что до самого тягача Я-12Д, то после испытаний он весь год проработал в тяжелых условиях эксплуатации - в столичном «Метрострое», а дальше его судьба неизвестна (15592).</w:t>
      </w:r>
    </w:p>
    <w:p w14:paraId="2A252C18" w14:textId="77777777" w:rsidR="00F27059" w:rsidRPr="0044524F" w:rsidRDefault="00F27059" w:rsidP="009654CF">
      <w:pPr>
        <w:spacing w:after="0" w:line="240" w:lineRule="auto"/>
        <w:jc w:val="both"/>
        <w:rPr>
          <w:rFonts w:ascii="Times New Roman" w:hAnsi="Times New Roman"/>
          <w:color w:val="000000" w:themeColor="text1"/>
          <w:sz w:val="16"/>
          <w:szCs w:val="16"/>
        </w:rPr>
      </w:pPr>
    </w:p>
    <w:p w14:paraId="3C2B77E4" w14:textId="77777777" w:rsidR="00D622D5" w:rsidRPr="0044524F" w:rsidRDefault="00D622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1933 года при</w:t>
      </w:r>
      <w:r w:rsidRPr="0044524F">
        <w:rPr>
          <w:rFonts w:ascii="Times New Roman" w:hAnsi="Times New Roman"/>
          <w:color w:val="000000" w:themeColor="text1"/>
          <w:sz w:val="16"/>
          <w:szCs w:val="16"/>
        </w:rPr>
        <w:softHyphen/>
        <w:t>ступили к изготовлению двухмотор</w:t>
      </w:r>
      <w:r w:rsidRPr="0044524F">
        <w:rPr>
          <w:rFonts w:ascii="Times New Roman" w:hAnsi="Times New Roman"/>
          <w:color w:val="000000" w:themeColor="text1"/>
          <w:sz w:val="16"/>
          <w:szCs w:val="16"/>
        </w:rPr>
        <w:softHyphen/>
        <w:t>ного грузовика 2М на шасси ЯГ-10, разработанный НАМИ. Главным конструктором проекта был А.А. Липгарт. Над конструкцией работа</w:t>
      </w:r>
      <w:r w:rsidRPr="0044524F">
        <w:rPr>
          <w:rFonts w:ascii="Times New Roman" w:hAnsi="Times New Roman"/>
          <w:color w:val="000000" w:themeColor="text1"/>
          <w:sz w:val="16"/>
          <w:szCs w:val="16"/>
        </w:rPr>
        <w:softHyphen/>
        <w:t>ли А.Н. Островцов, П.Ф. Бромлей, П.С. Тарасенко, Б.М. Фиттерман, А.В. Раш, А.А. Душкевич, Е.Н. Шу</w:t>
      </w:r>
      <w:r w:rsidRPr="0044524F">
        <w:rPr>
          <w:rFonts w:ascii="Times New Roman" w:hAnsi="Times New Roman"/>
          <w:color w:val="000000" w:themeColor="text1"/>
          <w:sz w:val="16"/>
          <w:szCs w:val="16"/>
        </w:rPr>
        <w:softHyphen/>
        <w:t>валов, В.Г. Репин, П.В. Лабунский и др.</w:t>
      </w:r>
    </w:p>
    <w:p w14:paraId="6AA34669" w14:textId="77777777" w:rsidR="00D622D5" w:rsidRPr="0044524F" w:rsidRDefault="00D622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Применение двух двигателей ЗИС-5 суммарной мощностью 146 л.с. было вызвано отсутствием в производстве мощных двигате</w:t>
      </w:r>
      <w:r w:rsidRPr="0044524F">
        <w:rPr>
          <w:rFonts w:ascii="Times New Roman" w:hAnsi="Times New Roman"/>
          <w:color w:val="000000" w:themeColor="text1"/>
          <w:sz w:val="16"/>
          <w:szCs w:val="16"/>
        </w:rPr>
        <w:softHyphen/>
        <w:t>лей. Каждый мотор приводил в дви</w:t>
      </w:r>
      <w:r w:rsidRPr="0044524F">
        <w:rPr>
          <w:rFonts w:ascii="Times New Roman" w:hAnsi="Times New Roman"/>
          <w:color w:val="000000" w:themeColor="text1"/>
          <w:sz w:val="16"/>
          <w:szCs w:val="16"/>
        </w:rPr>
        <w:softHyphen/>
        <w:t>жение одну ось через отдельную силовую передачу. В этой разра</w:t>
      </w:r>
      <w:r w:rsidRPr="0044524F">
        <w:rPr>
          <w:rFonts w:ascii="Times New Roman" w:hAnsi="Times New Roman"/>
          <w:color w:val="000000" w:themeColor="text1"/>
          <w:sz w:val="16"/>
          <w:szCs w:val="16"/>
        </w:rPr>
        <w:softHyphen/>
        <w:t>ботке были оригинально решены вопросы синхронизации работы двигателей, сцеплений и коробок передач. Однако особенности кон</w:t>
      </w:r>
      <w:r w:rsidRPr="0044524F">
        <w:rPr>
          <w:rFonts w:ascii="Times New Roman" w:hAnsi="Times New Roman"/>
          <w:color w:val="000000" w:themeColor="text1"/>
          <w:sz w:val="16"/>
          <w:szCs w:val="16"/>
        </w:rPr>
        <w:softHyphen/>
        <w:t>струкции не позволяли равномер</w:t>
      </w:r>
      <w:r w:rsidRPr="0044524F">
        <w:rPr>
          <w:rFonts w:ascii="Times New Roman" w:hAnsi="Times New Roman"/>
          <w:color w:val="000000" w:themeColor="text1"/>
          <w:sz w:val="16"/>
          <w:szCs w:val="16"/>
        </w:rPr>
        <w:softHyphen/>
        <w:t>но загрузить оба двигателя (22518).</w:t>
      </w:r>
    </w:p>
    <w:p w14:paraId="14D10928" w14:textId="77777777" w:rsidR="00D622D5" w:rsidRPr="0044524F" w:rsidRDefault="00D622D5" w:rsidP="009654CF">
      <w:pPr>
        <w:spacing w:after="0" w:line="240" w:lineRule="auto"/>
        <w:jc w:val="both"/>
        <w:rPr>
          <w:rFonts w:ascii="Times New Roman" w:hAnsi="Times New Roman"/>
          <w:color w:val="000000" w:themeColor="text1"/>
          <w:sz w:val="16"/>
          <w:szCs w:val="16"/>
        </w:rPr>
      </w:pPr>
    </w:p>
    <w:p w14:paraId="6F194BDD" w14:textId="77777777" w:rsidR="00EA7008"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38805180"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DC36ADA"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середины 1933 г. в состав 95-го трао в Средней Азии входил один ТБ-1. Он участвовал в действиях против басмачей в Туркмении, причем служил не только для перевозок. Периодически самолет загружали мелкими бомбами для ударов по бандам, сосредотачивавшимся у населенных пунктов и колодцев. В конце 1930-х гг. ТБ-1 имелись и в других транспортных частях и подразделениях, таких, как 14-й и 15-й трао в ВВС ОКДВА, 8-й под Харьковом (12001).</w:t>
      </w:r>
    </w:p>
    <w:p w14:paraId="3CE6EE6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73AEA2C0" w14:textId="10CCD702" w:rsidR="00553E52" w:rsidRPr="0044524F" w:rsidRDefault="00553E52" w:rsidP="00553E52">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44524F">
        <w:rPr>
          <w:rFonts w:ascii="Times New Roman" w:hAnsi="Times New Roman"/>
          <w:i/>
          <w:iCs/>
          <w:color w:val="000000" w:themeColor="text1"/>
          <w:sz w:val="16"/>
          <w:szCs w:val="16"/>
        </w:rPr>
        <w:t>:</w:t>
      </w:r>
    </w:p>
    <w:p w14:paraId="0DA686C8" w14:textId="77777777" w:rsidR="00553E52" w:rsidRPr="0044524F" w:rsidRDefault="00553E52" w:rsidP="00553E52">
      <w:pPr>
        <w:autoSpaceDE w:val="0"/>
        <w:autoSpaceDN w:val="0"/>
        <w:adjustRightInd w:val="0"/>
        <w:spacing w:after="0" w:line="240" w:lineRule="auto"/>
        <w:jc w:val="both"/>
        <w:rPr>
          <w:rFonts w:ascii="Times New Roman" w:hAnsi="Times New Roman"/>
          <w:iCs/>
          <w:color w:val="000000" w:themeColor="text1"/>
          <w:sz w:val="16"/>
          <w:szCs w:val="16"/>
        </w:rPr>
      </w:pPr>
    </w:p>
    <w:p w14:paraId="47C33875" w14:textId="77777777" w:rsidR="00553E52" w:rsidRPr="00142305" w:rsidRDefault="00553E52" w:rsidP="00553E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1933 г. начал летать построенный в единственном экзем</w:t>
      </w:r>
      <w:r w:rsidRPr="00142305">
        <w:rPr>
          <w:rFonts w:ascii="Times New Roman" w:hAnsi="Times New Roman"/>
          <w:color w:val="0070C0"/>
          <w:sz w:val="16"/>
          <w:szCs w:val="16"/>
        </w:rPr>
        <w:softHyphen/>
        <w:t>пляре 12-местный пассажирский самолет «DC-1»Ю разработанный Дугласом по заказу авиакомпании TWA с 1931 г. Поло</w:t>
      </w:r>
      <w:r w:rsidRPr="00142305">
        <w:rPr>
          <w:rFonts w:ascii="Times New Roman" w:hAnsi="Times New Roman"/>
          <w:color w:val="0070C0"/>
          <w:sz w:val="16"/>
          <w:szCs w:val="16"/>
        </w:rPr>
        <w:softHyphen/>
        <w:t>жительные отзывы об этом самолете способст</w:t>
      </w:r>
      <w:r w:rsidRPr="00142305">
        <w:rPr>
          <w:rFonts w:ascii="Times New Roman" w:hAnsi="Times New Roman"/>
          <w:color w:val="0070C0"/>
          <w:sz w:val="16"/>
          <w:szCs w:val="16"/>
        </w:rPr>
        <w:softHyphen/>
        <w:t>вовали созданию 14-местного «DC-2», который уже начали выпускать серийно (24982).</w:t>
      </w:r>
    </w:p>
    <w:p w14:paraId="2759CB5A" w14:textId="77777777" w:rsidR="00553E52" w:rsidRPr="00142305" w:rsidRDefault="00553E52" w:rsidP="00553E52">
      <w:pPr>
        <w:spacing w:after="0" w:line="240" w:lineRule="auto"/>
        <w:jc w:val="both"/>
        <w:rPr>
          <w:rFonts w:ascii="Times New Roman" w:hAnsi="Times New Roman"/>
          <w:color w:val="0070C0"/>
          <w:sz w:val="16"/>
          <w:szCs w:val="16"/>
        </w:rPr>
      </w:pPr>
    </w:p>
    <w:p w14:paraId="0254007E" w14:textId="77777777" w:rsidR="00B849DC" w:rsidRPr="0044524F" w:rsidRDefault="00B849DC"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BA3A1E9" w14:textId="77777777" w:rsidR="00B849DC" w:rsidRPr="0044524F" w:rsidRDefault="00B849D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F875411" w14:textId="77777777" w:rsidR="00B849DC" w:rsidRPr="0044524F" w:rsidRDefault="00B849DC"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К концу первого полугодия 1933 года проектная документация по самолету ДИП (АНТ-29, заказ 7091, ведущий по самолету от КОСОС – Д. А. Ромейко-Гурко) была отработана на 70%, а общая техническая готовность машины составила 20%. Оставался неясным вопрос с вооружением и оборудованием (19175).</w:t>
      </w:r>
    </w:p>
    <w:p w14:paraId="05B0FAA7" w14:textId="77777777" w:rsidR="00B849DC" w:rsidRPr="0044524F" w:rsidRDefault="00B849DC" w:rsidP="009654CF">
      <w:pPr>
        <w:pStyle w:val="ae"/>
        <w:shd w:val="clear" w:color="auto" w:fill="FFFFFF"/>
        <w:spacing w:before="0" w:after="0"/>
        <w:jc w:val="both"/>
        <w:textAlignment w:val="baseline"/>
        <w:rPr>
          <w:color w:val="000000" w:themeColor="text1"/>
          <w:sz w:val="16"/>
          <w:szCs w:val="16"/>
        </w:rPr>
      </w:pPr>
    </w:p>
    <w:p w14:paraId="51812A78" w14:textId="77777777" w:rsidR="00D47AAB" w:rsidRPr="0044524F" w:rsidRDefault="00D47AAB" w:rsidP="00D47AAB">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3471E53" w14:textId="77777777" w:rsidR="00D47AAB" w:rsidRPr="0044524F" w:rsidRDefault="00D47AAB" w:rsidP="00D47AAB">
      <w:pPr>
        <w:autoSpaceDE w:val="0"/>
        <w:autoSpaceDN w:val="0"/>
        <w:adjustRightInd w:val="0"/>
        <w:spacing w:after="0" w:line="240" w:lineRule="auto"/>
        <w:jc w:val="both"/>
        <w:rPr>
          <w:rFonts w:ascii="Times New Roman" w:hAnsi="Times New Roman"/>
          <w:iCs/>
          <w:color w:val="000000" w:themeColor="text1"/>
          <w:sz w:val="16"/>
          <w:szCs w:val="16"/>
        </w:rPr>
      </w:pPr>
    </w:p>
    <w:p w14:paraId="271C1B39" w14:textId="77777777" w:rsidR="00D47AAB" w:rsidRPr="00142305" w:rsidRDefault="00D47AAB" w:rsidP="00D47AA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пер</w:t>
      </w:r>
      <w:r w:rsidRPr="00142305">
        <w:rPr>
          <w:rFonts w:ascii="Times New Roman" w:hAnsi="Times New Roman"/>
          <w:color w:val="0070C0"/>
          <w:sz w:val="16"/>
          <w:szCs w:val="16"/>
        </w:rPr>
        <w:softHyphen/>
        <w:t>вой половине 1933 года было построено 12 танков Т-41 «с измененной конструкцией корпуса», которые именовались в докумен</w:t>
      </w:r>
      <w:r w:rsidRPr="00142305">
        <w:rPr>
          <w:rFonts w:ascii="Times New Roman" w:hAnsi="Times New Roman"/>
          <w:color w:val="0070C0"/>
          <w:sz w:val="16"/>
          <w:szCs w:val="16"/>
        </w:rPr>
        <w:softHyphen/>
        <w:t>тах как «Т-41 серийный» (25019).</w:t>
      </w:r>
    </w:p>
    <w:p w14:paraId="7C4D2EBF" w14:textId="77777777" w:rsidR="00D47AAB" w:rsidRPr="00142305" w:rsidRDefault="00D47AAB" w:rsidP="00D47AAB">
      <w:pPr>
        <w:spacing w:after="0" w:line="240" w:lineRule="auto"/>
        <w:jc w:val="both"/>
        <w:rPr>
          <w:rFonts w:ascii="Times New Roman" w:hAnsi="Times New Roman"/>
          <w:color w:val="0070C0"/>
          <w:sz w:val="16"/>
          <w:szCs w:val="16"/>
        </w:rPr>
      </w:pPr>
    </w:p>
    <w:p w14:paraId="38075BCF" w14:textId="08135D46" w:rsidR="00D47AAB" w:rsidRPr="00142305" w:rsidRDefault="00D47AAB" w:rsidP="00D47AA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первое по</w:t>
      </w:r>
      <w:r w:rsidRPr="00142305">
        <w:rPr>
          <w:rFonts w:ascii="Times New Roman" w:hAnsi="Times New Roman"/>
          <w:color w:val="0070C0"/>
          <w:sz w:val="16"/>
          <w:szCs w:val="16"/>
        </w:rPr>
        <w:softHyphen/>
        <w:t>лугодие 1933 года на заводе № 37</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было изготовлено всего 30 танков (из них 12 Т-41) вместо заплани</w:t>
      </w:r>
      <w:r w:rsidRPr="00142305">
        <w:rPr>
          <w:rFonts w:ascii="Times New Roman" w:hAnsi="Times New Roman"/>
          <w:color w:val="0070C0"/>
          <w:sz w:val="16"/>
          <w:szCs w:val="16"/>
        </w:rPr>
        <w:softHyphen/>
        <w:t>рованных 225 машин. По поводу этого за</w:t>
      </w:r>
      <w:r w:rsidRPr="00142305">
        <w:rPr>
          <w:rFonts w:ascii="Times New Roman" w:hAnsi="Times New Roman"/>
          <w:color w:val="0070C0"/>
          <w:sz w:val="16"/>
          <w:szCs w:val="16"/>
        </w:rPr>
        <w:softHyphen/>
        <w:t>меститель наркома обороны СССР М. Ту</w:t>
      </w:r>
      <w:r w:rsidRPr="00142305">
        <w:rPr>
          <w:rFonts w:ascii="Times New Roman" w:hAnsi="Times New Roman"/>
          <w:color w:val="0070C0"/>
          <w:sz w:val="16"/>
          <w:szCs w:val="16"/>
        </w:rPr>
        <w:softHyphen/>
        <w:t>хачевский сообщал в своем докладе «О ходе выполнения танковой программы за первое полугодие 1933 года» следующее:</w:t>
      </w:r>
    </w:p>
    <w:p w14:paraId="0D59E8F2" w14:textId="77777777" w:rsidR="00D47AAB" w:rsidRPr="00142305" w:rsidRDefault="00D47AAB" w:rsidP="00D47AA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«...Причины невыполнения программы... по танку Т-37:</w:t>
      </w:r>
    </w:p>
    <w:p w14:paraId="4D4A5019" w14:textId="77777777" w:rsidR="00D47AAB" w:rsidRPr="00142305" w:rsidRDefault="00D47AAB" w:rsidP="00D47AAB">
      <w:pPr>
        <w:widowControl w:val="0"/>
        <w:tabs>
          <w:tab w:val="left" w:pos="428"/>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неподача Подольским Крекинг заводом корпусов;</w:t>
      </w:r>
    </w:p>
    <w:p w14:paraId="36EFB429" w14:textId="77777777" w:rsidR="00D47AAB" w:rsidRPr="00142305" w:rsidRDefault="00D47AAB" w:rsidP="00D47AAB">
      <w:pPr>
        <w:widowControl w:val="0"/>
        <w:tabs>
          <w:tab w:val="left" w:pos="450"/>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неподготовленность техпроцесса;</w:t>
      </w:r>
    </w:p>
    <w:p w14:paraId="24DF6402" w14:textId="77777777" w:rsidR="00D47AAB" w:rsidRPr="00142305" w:rsidRDefault="00D47AAB" w:rsidP="00D47AAB">
      <w:pPr>
        <w:widowControl w:val="0"/>
        <w:tabs>
          <w:tab w:val="left" w:pos="428"/>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подача недоброкачественного стально</w:t>
      </w:r>
      <w:r w:rsidRPr="00142305">
        <w:rPr>
          <w:rFonts w:ascii="Times New Roman" w:hAnsi="Times New Roman"/>
          <w:color w:val="0070C0"/>
          <w:sz w:val="16"/>
          <w:szCs w:val="16"/>
        </w:rPr>
        <w:softHyphen/>
        <w:t>го литья.</w:t>
      </w:r>
    </w:p>
    <w:p w14:paraId="290C75C6" w14:textId="77777777" w:rsidR="00D47AAB" w:rsidRPr="00142305" w:rsidRDefault="00D47AAB" w:rsidP="00D47AA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Броня.</w:t>
      </w:r>
    </w:p>
    <w:p w14:paraId="5E0EE69F" w14:textId="77777777" w:rsidR="00D47AAB" w:rsidRPr="00142305" w:rsidRDefault="00D47AAB" w:rsidP="00D47AA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Подольский Крекинг завод. Программа по корпусам Т-27 выполнена полностью. По Т-37 подано в течение первого полугодия вместо 250 запланированных только один кондиционный корпус. Основной причи</w:t>
      </w:r>
      <w:r w:rsidRPr="00142305">
        <w:rPr>
          <w:rFonts w:ascii="Times New Roman" w:hAnsi="Times New Roman"/>
          <w:color w:val="0070C0"/>
          <w:sz w:val="16"/>
          <w:szCs w:val="16"/>
        </w:rPr>
        <w:softHyphen/>
        <w:t>ной такого положения является переход на штамповку и цементацию без достаточно се</w:t>
      </w:r>
      <w:r w:rsidRPr="00142305">
        <w:rPr>
          <w:rFonts w:ascii="Times New Roman" w:hAnsi="Times New Roman"/>
          <w:color w:val="0070C0"/>
          <w:sz w:val="16"/>
          <w:szCs w:val="16"/>
        </w:rPr>
        <w:softHyphen/>
        <w:t>рьезных предварительных опытов и подгото</w:t>
      </w:r>
      <w:r w:rsidRPr="00142305">
        <w:rPr>
          <w:rFonts w:ascii="Times New Roman" w:hAnsi="Times New Roman"/>
          <w:color w:val="0070C0"/>
          <w:sz w:val="16"/>
          <w:szCs w:val="16"/>
        </w:rPr>
        <w:softHyphen/>
        <w:t>вительных работ. В настоящее время можно сказать, что завод штамповкой овладевает. Дальнейшее выполнение программы зави</w:t>
      </w:r>
      <w:r w:rsidRPr="00142305">
        <w:rPr>
          <w:rFonts w:ascii="Times New Roman" w:hAnsi="Times New Roman"/>
          <w:color w:val="0070C0"/>
          <w:sz w:val="16"/>
          <w:szCs w:val="16"/>
        </w:rPr>
        <w:softHyphen/>
        <w:t>сит от подачи кондиционного бронелиста с Кулебакского завода, который до мая-ию</w:t>
      </w:r>
      <w:r w:rsidRPr="00142305">
        <w:rPr>
          <w:rFonts w:ascii="Times New Roman" w:hAnsi="Times New Roman"/>
          <w:color w:val="0070C0"/>
          <w:sz w:val="16"/>
          <w:szCs w:val="16"/>
        </w:rPr>
        <w:softHyphen/>
        <w:t>ня бронелиста не подавал из-за отсутствия ферросплавов. В настоящее время на заводе имеются кондиционные ферросплавы и за</w:t>
      </w:r>
      <w:r w:rsidRPr="00142305">
        <w:rPr>
          <w:rFonts w:ascii="Times New Roman" w:hAnsi="Times New Roman"/>
          <w:color w:val="0070C0"/>
          <w:sz w:val="16"/>
          <w:szCs w:val="16"/>
        </w:rPr>
        <w:softHyphen/>
        <w:t>вод начал подавать броневой лист» (25019).</w:t>
      </w:r>
    </w:p>
    <w:p w14:paraId="7CB25CB7" w14:textId="77777777" w:rsidR="00D47AAB" w:rsidRPr="00142305" w:rsidRDefault="00D47AAB" w:rsidP="00D47AAB">
      <w:pPr>
        <w:spacing w:after="0" w:line="240" w:lineRule="auto"/>
        <w:jc w:val="both"/>
        <w:rPr>
          <w:rFonts w:ascii="Times New Roman" w:hAnsi="Times New Roman"/>
          <w:color w:val="0070C0"/>
          <w:sz w:val="16"/>
          <w:szCs w:val="16"/>
        </w:rPr>
      </w:pPr>
    </w:p>
    <w:p w14:paraId="718C907D"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88FF19D"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34E49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протяжении всей первой половины 1933 г. советская дипломатия добивалась популяризации своих предложений о заключении специальной конвенции, которая бы утверждала универсальные критерии для заключения о том, представляет ли собой тот или иной шаг какого-либо государства акт агрессии, или он не может таковым считаться. Заключение конвенции могло бы упорядочить практику применения статей Устава Лиги Наций, которые предусматривали возможность применения санкций против государства-агрессора, но не поясняли, что именно понимается под словом "агрессия". Точка зрения Советского Союза не была принята ведущими западными державами (3871).</w:t>
      </w:r>
    </w:p>
    <w:p w14:paraId="59320C1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7006674E"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0B607D5"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25750D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был готов АНТ-16 (ТБ-4), но в серию не пошел, как неудовлетворяющий техническим требованиям (514).</w:t>
      </w:r>
    </w:p>
    <w:p w14:paraId="0AC444F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26972FF8" w14:textId="77777777" w:rsidR="00E160BD" w:rsidRPr="0044524F" w:rsidRDefault="00E160BD" w:rsidP="009654CF">
      <w:pPr>
        <w:pStyle w:val="rtejustify"/>
        <w:spacing w:before="0" w:after="0"/>
        <w:rPr>
          <w:color w:val="000000" w:themeColor="text1"/>
          <w:sz w:val="16"/>
          <w:szCs w:val="16"/>
        </w:rPr>
      </w:pPr>
      <w:r w:rsidRPr="0044524F">
        <w:rPr>
          <w:rStyle w:val="af0"/>
          <w:bCs/>
          <w:i w:val="0"/>
          <w:color w:val="000000" w:themeColor="text1"/>
          <w:sz w:val="16"/>
          <w:szCs w:val="16"/>
        </w:rPr>
        <w:t>1 июля</w:t>
      </w:r>
      <w:r w:rsidRPr="0044524F">
        <w:rPr>
          <w:color w:val="000000" w:themeColor="text1"/>
          <w:sz w:val="16"/>
          <w:szCs w:val="16"/>
        </w:rPr>
        <w:t xml:space="preserve"> 1933. Протокол заседания Политбюро ЦК ВКП (б) № 140. </w:t>
      </w:r>
      <w:hyperlink r:id="rId248" w:anchor="showunit&amp;id=86893" w:history="1">
        <w:r w:rsidRPr="0044524F">
          <w:rPr>
            <w:rStyle w:val="a5"/>
            <w:color w:val="000000" w:themeColor="text1"/>
            <w:sz w:val="16"/>
            <w:szCs w:val="16"/>
          </w:rPr>
          <w:t>68/47. О морском самолете</w:t>
        </w:r>
      </w:hyperlink>
      <w:r w:rsidRPr="0044524F">
        <w:rPr>
          <w:color w:val="000000" w:themeColor="text1"/>
          <w:sz w:val="16"/>
          <w:szCs w:val="16"/>
        </w:rPr>
        <w:t xml:space="preserve"> (ПБ от 27 июня 1933 г.). Утвердить предложение летчика Чухновского о постройке морского самолета, пригодного для работы во внебазовых условиях: а) Возложить на Чухновского выбор типа самолета, предъявление к нему заданий, наблюдение за его постройкой, подбор инженеров и конструкторов. б) Откомандировать на эту работу инженера — морского летчика Коровина В. Л. – временно исполняющего обязанности технического директора Воронежского авиазавода. в) Создать для проектирования самолета конструкторское бюро, возглавляемое инженером-самолетостроителем Бартини, работающим в ГУГВФ. г) Возложить хозяйственно-оперативные обязанности (получение материалов, расход средств и прочее) на Главное управление судостроительной промышленности в Ленинграде. д) Утвердить базу для постройки – завод имени Марти в Ленинграде. е) Отпустить средства на постройку из резерва Совнаркома ориентировочно до полутора миллионов рублей. Наркомфину проверить предъявленную смету. ж) Обязать Кондратьева и Чухновского закончить постройку самолета к 1</w:t>
      </w:r>
      <w:r w:rsidRPr="0044524F">
        <w:rPr>
          <w:color w:val="000000" w:themeColor="text1"/>
          <w:sz w:val="16"/>
          <w:szCs w:val="16"/>
        </w:rPr>
        <w:noBreakHyphen/>
        <w:t>5</w:t>
      </w:r>
      <w:r w:rsidRPr="0044524F">
        <w:rPr>
          <w:color w:val="000000" w:themeColor="text1"/>
          <w:sz w:val="16"/>
          <w:szCs w:val="16"/>
        </w:rPr>
        <w:noBreakHyphen/>
        <w:t xml:space="preserve">1934, испытать самолет на Севере в летную навигацию. </w:t>
      </w:r>
      <w:hyperlink r:id="rId249" w:anchor="showunit&amp;id=86923" w:history="1">
        <w:r w:rsidRPr="0044524F">
          <w:rPr>
            <w:rStyle w:val="a5"/>
            <w:color w:val="000000" w:themeColor="text1"/>
            <w:sz w:val="16"/>
            <w:szCs w:val="16"/>
          </w:rPr>
          <w:t>96/75. Об оборудовании для черной металлургии (записка Антипова)</w:t>
        </w:r>
      </w:hyperlink>
      <w:r w:rsidRPr="0044524F">
        <w:rPr>
          <w:color w:val="000000" w:themeColor="text1"/>
          <w:sz w:val="16"/>
          <w:szCs w:val="16"/>
        </w:rPr>
        <w:t xml:space="preserve"> (ПБ от 29 июня 1933 г.). Решено: Вопрос передать на разрешение СТО (15462).</w:t>
      </w:r>
    </w:p>
    <w:p w14:paraId="11180E52" w14:textId="77777777" w:rsidR="00E160BD" w:rsidRPr="0044524F" w:rsidRDefault="00E160BD" w:rsidP="009654CF">
      <w:pPr>
        <w:pStyle w:val="rtejustify"/>
        <w:spacing w:before="0" w:after="0"/>
        <w:rPr>
          <w:color w:val="000000" w:themeColor="text1"/>
          <w:sz w:val="16"/>
          <w:szCs w:val="16"/>
        </w:rPr>
      </w:pPr>
    </w:p>
    <w:p w14:paraId="62EA0F5E"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w:t>
      </w:r>
    </w:p>
    <w:p w14:paraId="485C701A"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1D455EF4"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http://sovdoc.rusarchives.ru</w:t>
      </w:r>
    </w:p>
    <w:p w14:paraId="09587163"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2102A607"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РГАСПИ. Ф. 17. Оп. 3. Д. 925. Л. 1-69; РГАСПИ. Ф. 17. Оп. 162. Д. 14. Л. 162-167.</w:t>
      </w:r>
    </w:p>
    <w:p w14:paraId="7DA823D2"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140 заседания Политбюро ЦК ВКП(б) от 1 июля 1933 года</w:t>
      </w:r>
    </w:p>
    <w:p w14:paraId="367321DB"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w:t>
      </w:r>
      <w:r w:rsidRPr="0044524F">
        <w:rPr>
          <w:rFonts w:ascii="Times New Roman" w:hAnsi="Times New Roman"/>
          <w:color w:val="000000" w:themeColor="text1"/>
          <w:sz w:val="16"/>
          <w:szCs w:val="16"/>
        </w:rPr>
        <w:noBreakHyphen/>
        <w:t>го июля 1933 года.</w:t>
      </w:r>
    </w:p>
    <w:p w14:paraId="79E69E0E"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68/47: О морском самолете</w:t>
      </w:r>
    </w:p>
    <w:p w14:paraId="1F4A7493"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предложение летчика Чухновского о постройке морского самолета, пригодного для работы во внебазовых условиях, в связи с чем:</w:t>
      </w:r>
    </w:p>
    <w:p w14:paraId="0666FE0D"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Возложить на тов. Чухновского выбор типа самолета, предъявление к нему заданий, наблюдение за его постройкой и подбор инженеров и конструкторов.</w:t>
      </w:r>
    </w:p>
    <w:p w14:paraId="382CF99D"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Откомандировать на эту работу инженера — морского летчика Коровина В. Л. — временно исполнявшего обязанности технического директора Воронежского Авиазавода.</w:t>
      </w:r>
    </w:p>
    <w:p w14:paraId="3070BB0D"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Создать для проектирования самолета конструкторское бюро, возглавляемое инженером-самолетостроителем т. Бартини, работающим в ГУГВФ.</w:t>
      </w:r>
    </w:p>
    <w:p w14:paraId="6FC4B258"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Возложить хозяйственно-оперативные обязанности (получение материалов, расход средств и проч.) на Главное Управление Судостроительной промышленности в Ленинграде.</w:t>
      </w:r>
    </w:p>
    <w:p w14:paraId="67FAC4E4"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Утвердить базу для постройки — завод им. Марти в Ленинграде.</w:t>
      </w:r>
    </w:p>
    <w:p w14:paraId="1A604076"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Средства на постройку отпустить из резерва Совнаркома, ориентировочно до полутора миллионов рублей.</w:t>
      </w:r>
    </w:p>
    <w:p w14:paraId="7995BC57"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Наркомфину проверить предъявленную смету.</w:t>
      </w:r>
    </w:p>
    <w:p w14:paraId="00674EC5" w14:textId="77777777" w:rsidR="006A2601" w:rsidRPr="0044524F" w:rsidRDefault="006A26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Обязать тов. Кондратьева и т. Чухновского закончить постройку самолета к 1 мая 1934 г. с тем, чтобы испытать самолет на Севере в летнюю навигацию (18063).</w:t>
      </w:r>
    </w:p>
    <w:p w14:paraId="1645841B" w14:textId="77777777" w:rsidR="006A2601" w:rsidRPr="0044524F" w:rsidRDefault="006A2601" w:rsidP="009654CF">
      <w:pPr>
        <w:spacing w:after="0" w:line="240" w:lineRule="auto"/>
        <w:jc w:val="both"/>
        <w:rPr>
          <w:rFonts w:ascii="Times New Roman" w:hAnsi="Times New Roman"/>
          <w:color w:val="000000" w:themeColor="text1"/>
          <w:sz w:val="16"/>
          <w:szCs w:val="16"/>
        </w:rPr>
      </w:pPr>
    </w:p>
    <w:p w14:paraId="03E9BD8E"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919A5D8"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7FC106A" w14:textId="77777777" w:rsidR="00DC5A55" w:rsidRPr="0044524F" w:rsidRDefault="00DC5A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июля 1933 г. по словам председателя ЦКК Я.Э. Рудзутака, на металлургических заводах стоимость неиспользованного, главным образом импортного, оборудования составила 220 млн руб. Пуск металлургических заводов нередко по неопытности был неудачным. Так, в 1931 г. вопреки предупреждению инженера американской фирмы "Мак-Ки" Хейвена домна была пущена зимой. "В отношении первой домны он, — признался нарком Орджоникидзе, — оказался пророком, мы ее загубили". Однако вторая заработала благополучно (18280).</w:t>
      </w:r>
    </w:p>
    <w:p w14:paraId="0C0E805D" w14:textId="77777777" w:rsidR="00DC5A55" w:rsidRPr="0044524F" w:rsidRDefault="00DC5A55" w:rsidP="009654CF">
      <w:pPr>
        <w:spacing w:after="0" w:line="240" w:lineRule="auto"/>
        <w:jc w:val="both"/>
        <w:rPr>
          <w:rFonts w:ascii="Times New Roman" w:hAnsi="Times New Roman"/>
          <w:color w:val="000000" w:themeColor="text1"/>
          <w:sz w:val="16"/>
          <w:szCs w:val="16"/>
        </w:rPr>
      </w:pPr>
    </w:p>
    <w:p w14:paraId="235F18B3"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июля 1933 коллектив КБ Т-2О ХПЗ успел завершить лишь подготовку эскизного проекта корпуса танка с установкой дополнительного пулемета у механика-водителя. Изготовление чертежей продольного разреза началось в начале июля 1933 (3881,3).</w:t>
      </w:r>
    </w:p>
    <w:p w14:paraId="12434540"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39C460E6"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 июля 1933 был пущен ЧТЗ (1348,200).</w:t>
      </w:r>
    </w:p>
    <w:p w14:paraId="3DC6175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73796E5E" w14:textId="77777777" w:rsidR="00DF67AB" w:rsidRPr="0044524F" w:rsidRDefault="00DF67AB" w:rsidP="009654CF">
      <w:pPr>
        <w:pStyle w:val="a3"/>
        <w:rPr>
          <w:color w:val="000000" w:themeColor="text1"/>
          <w:lang w:val="ru-RU"/>
        </w:rPr>
      </w:pPr>
      <w:r w:rsidRPr="0044524F">
        <w:rPr>
          <w:color w:val="000000" w:themeColor="text1"/>
          <w:lang w:val="ru-RU"/>
        </w:rPr>
        <w:t>1 июля 1933 г. мотозавод Автодор, строящийся на базе оружейной фабрики Берзина и расчитанный на годовой выпуск 120000 единиц, вошло в систему Наркомата тяжелой промышленности СССР, получив статус завода всесоюзного значения, а через месяц в городском саду им. Горького прошло массо</w:t>
      </w:r>
      <w:r w:rsidRPr="0044524F">
        <w:rPr>
          <w:color w:val="000000" w:themeColor="text1"/>
          <w:lang w:val="ru-RU"/>
        </w:rPr>
        <w:softHyphen/>
        <w:t>вое гуляние, посвященное выпуску пяти опытных мотоциклов. Это были четыре НАТИ-750 и один ИЖ-7 - двойник Л-300, изготовленный по до</w:t>
      </w:r>
      <w:r w:rsidRPr="0044524F">
        <w:rPr>
          <w:color w:val="000000" w:themeColor="text1"/>
          <w:lang w:val="ru-RU"/>
        </w:rPr>
        <w:softHyphen/>
        <w:t>кументации, полученной из Ленинграда (15741).</w:t>
      </w:r>
    </w:p>
    <w:p w14:paraId="148BF43A" w14:textId="77777777" w:rsidR="00DF67AB" w:rsidRPr="0044524F" w:rsidRDefault="00DF67AB" w:rsidP="009654CF">
      <w:pPr>
        <w:pStyle w:val="a3"/>
        <w:rPr>
          <w:color w:val="000000" w:themeColor="text1"/>
          <w:lang w:val="ru-RU"/>
        </w:rPr>
      </w:pPr>
    </w:p>
    <w:p w14:paraId="58251415"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1933г. Ижевский опытный мотоциклетный завод вошел в систему Наркомата тяжелой промышленности СССР, получив статус завода всесоюзного значения (11397).</w:t>
      </w:r>
    </w:p>
    <w:p w14:paraId="2180609E"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550751F5"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г. - произошло еще одно очень важное для Ижевска событие: ИМЗ перевели из системы местной промышленности в трест Главмашпром НКТП, которым руководил Г.К. Орджоникидзе. Вскоре не менее важным для заво-дчан событием стало утверждение устава предприятия и присвое</w:t>
      </w:r>
      <w:r w:rsidRPr="0044524F">
        <w:rPr>
          <w:rFonts w:ascii="Times New Roman" w:hAnsi="Times New Roman"/>
          <w:color w:val="000000" w:themeColor="text1"/>
          <w:sz w:val="16"/>
          <w:szCs w:val="16"/>
        </w:rPr>
        <w:softHyphen/>
        <w:t>ние ИМЗ нового названия: «Ижевский государственный мотоцик</w:t>
      </w:r>
      <w:r w:rsidRPr="0044524F">
        <w:rPr>
          <w:rFonts w:ascii="Times New Roman" w:hAnsi="Times New Roman"/>
          <w:color w:val="000000" w:themeColor="text1"/>
          <w:sz w:val="16"/>
          <w:szCs w:val="16"/>
        </w:rPr>
        <w:softHyphen/>
        <w:t>летный завод имени Всесоюзного общества АВТОДОР». Подпи</w:t>
      </w:r>
      <w:r w:rsidRPr="0044524F">
        <w:rPr>
          <w:rFonts w:ascii="Times New Roman" w:hAnsi="Times New Roman"/>
          <w:color w:val="000000" w:themeColor="text1"/>
          <w:sz w:val="16"/>
          <w:szCs w:val="16"/>
        </w:rPr>
        <w:softHyphen/>
        <w:t>сал этот документ заместитель НКТП Л.М. Каганович 16 августа 1933 года [4.112], а 2 сентября Наркомат финансов СССР зареги</w:t>
      </w:r>
      <w:r w:rsidRPr="0044524F">
        <w:rPr>
          <w:rFonts w:ascii="Times New Roman" w:hAnsi="Times New Roman"/>
          <w:color w:val="000000" w:themeColor="text1"/>
          <w:sz w:val="16"/>
          <w:szCs w:val="16"/>
        </w:rPr>
        <w:softHyphen/>
        <w:t>стрировал первый в стране завод серийного производства мотоцик</w:t>
      </w:r>
      <w:r w:rsidRPr="0044524F">
        <w:rPr>
          <w:rFonts w:ascii="Times New Roman" w:hAnsi="Times New Roman"/>
          <w:color w:val="000000" w:themeColor="text1"/>
          <w:sz w:val="16"/>
          <w:szCs w:val="16"/>
        </w:rPr>
        <w:softHyphen/>
        <w:t>лов. До конца года на его территории сдали в эксплуатацию тер</w:t>
      </w:r>
      <w:r w:rsidRPr="0044524F">
        <w:rPr>
          <w:rFonts w:ascii="Times New Roman" w:hAnsi="Times New Roman"/>
          <w:color w:val="000000" w:themeColor="text1"/>
          <w:sz w:val="16"/>
          <w:szCs w:val="16"/>
        </w:rPr>
        <w:softHyphen/>
        <w:t>мический цех, котельную и электроподстанцию [4.113]. В том же году заводу предоставили финансирование для развития производ</w:t>
      </w:r>
      <w:r w:rsidRPr="0044524F">
        <w:rPr>
          <w:rFonts w:ascii="Times New Roman" w:hAnsi="Times New Roman"/>
          <w:color w:val="000000" w:themeColor="text1"/>
          <w:sz w:val="16"/>
          <w:szCs w:val="16"/>
        </w:rPr>
        <w:softHyphen/>
        <w:t>ственной базы и запланировали на 1934 г. выпуск 400 экземпляров мотоциклов [4.114]. Руководству предприятия в тот период ещё не удалось организовать работу, следствием чего стало невыполне</w:t>
      </w:r>
      <w:r w:rsidRPr="0044524F">
        <w:rPr>
          <w:rFonts w:ascii="Times New Roman" w:hAnsi="Times New Roman"/>
          <w:color w:val="000000" w:themeColor="text1"/>
          <w:sz w:val="16"/>
          <w:szCs w:val="16"/>
        </w:rPr>
        <w:softHyphen/>
        <w:t>ние плана 1934 г. - изготовили всего 111 мотоциклов. Тем не ме</w:t>
      </w:r>
      <w:r w:rsidRPr="0044524F">
        <w:rPr>
          <w:rFonts w:ascii="Times New Roman" w:hAnsi="Times New Roman"/>
          <w:color w:val="000000" w:themeColor="text1"/>
          <w:sz w:val="16"/>
          <w:szCs w:val="16"/>
        </w:rPr>
        <w:softHyphen/>
        <w:t>нее, программу следующего года увеличили до 450 машин и пере</w:t>
      </w:r>
      <w:r w:rsidRPr="0044524F">
        <w:rPr>
          <w:rFonts w:ascii="Times New Roman" w:hAnsi="Times New Roman"/>
          <w:color w:val="000000" w:themeColor="text1"/>
          <w:sz w:val="16"/>
          <w:szCs w:val="16"/>
        </w:rPr>
        <w:softHyphen/>
        <w:t>выполнили её - сделали 451 мотоцикл, что рассматривалось как производственный успех [4.111].</w:t>
      </w:r>
    </w:p>
    <w:p w14:paraId="14E00590"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 важным представлялся 1936 год. Предстояло при</w:t>
      </w:r>
      <w:r w:rsidRPr="0044524F">
        <w:rPr>
          <w:rFonts w:ascii="Times New Roman" w:hAnsi="Times New Roman"/>
          <w:color w:val="000000" w:themeColor="text1"/>
          <w:sz w:val="16"/>
          <w:szCs w:val="16"/>
        </w:rPr>
        <w:softHyphen/>
        <w:t>нять новую конституцию, в связи с чем трудовые коллективы брали повышенные обязательства. Ижевский мотозавод не стал исключением: план на 1936 г. более чем удвоили - 1000 мотоцик</w:t>
      </w:r>
      <w:r w:rsidRPr="0044524F">
        <w:rPr>
          <w:rFonts w:ascii="Times New Roman" w:hAnsi="Times New Roman"/>
          <w:color w:val="000000" w:themeColor="text1"/>
          <w:sz w:val="16"/>
          <w:szCs w:val="16"/>
        </w:rPr>
        <w:softHyphen/>
        <w:t>лов. По оценкам директора предприятия сделать больше не пред</w:t>
      </w:r>
      <w:r w:rsidRPr="0044524F">
        <w:rPr>
          <w:rFonts w:ascii="Times New Roman" w:hAnsi="Times New Roman"/>
          <w:color w:val="000000" w:themeColor="text1"/>
          <w:sz w:val="16"/>
          <w:szCs w:val="16"/>
        </w:rPr>
        <w:softHyphen/>
        <w:t>ставлялось возможным, и план утвердили. Завод с большим на</w:t>
      </w:r>
      <w:r w:rsidRPr="0044524F">
        <w:rPr>
          <w:rFonts w:ascii="Times New Roman" w:hAnsi="Times New Roman"/>
          <w:color w:val="000000" w:themeColor="text1"/>
          <w:sz w:val="16"/>
          <w:szCs w:val="16"/>
        </w:rPr>
        <w:softHyphen/>
        <w:t>пряжением удваивал выпуск мотоциклов. Однако произошло не</w:t>
      </w:r>
      <w:r w:rsidRPr="0044524F">
        <w:rPr>
          <w:rFonts w:ascii="Times New Roman" w:hAnsi="Times New Roman"/>
          <w:color w:val="000000" w:themeColor="text1"/>
          <w:sz w:val="16"/>
          <w:szCs w:val="16"/>
        </w:rPr>
        <w:softHyphen/>
        <w:t>предвиденное: 5 августа 1936 г. во время посещения Г.К. Орджо</w:t>
      </w:r>
      <w:r w:rsidRPr="0044524F">
        <w:rPr>
          <w:rFonts w:ascii="Times New Roman" w:hAnsi="Times New Roman"/>
          <w:color w:val="000000" w:themeColor="text1"/>
          <w:sz w:val="16"/>
          <w:szCs w:val="16"/>
        </w:rPr>
        <w:softHyphen/>
        <w:t>никидзе делегации мотозавода (участницы женского мотопробе</w:t>
      </w:r>
      <w:r w:rsidRPr="0044524F">
        <w:rPr>
          <w:rFonts w:ascii="Times New Roman" w:hAnsi="Times New Roman"/>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44524F">
        <w:rPr>
          <w:rFonts w:ascii="Times New Roman" w:hAnsi="Times New Roman"/>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44524F">
        <w:rPr>
          <w:rFonts w:ascii="Times New Roman" w:hAnsi="Times New Roman"/>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44524F">
        <w:rPr>
          <w:rFonts w:ascii="Times New Roman" w:hAnsi="Times New Roman"/>
          <w:color w:val="000000" w:themeColor="text1"/>
          <w:sz w:val="16"/>
          <w:szCs w:val="16"/>
        </w:rPr>
        <w:softHyphen/>
        <w:t>но пришлось и смежникам, поставлявшим материалы и комплек</w:t>
      </w:r>
      <w:r w:rsidRPr="0044524F">
        <w:rPr>
          <w:rFonts w:ascii="Times New Roman" w:hAnsi="Times New Roman"/>
          <w:color w:val="000000" w:themeColor="text1"/>
          <w:sz w:val="16"/>
          <w:szCs w:val="16"/>
        </w:rPr>
        <w:softHyphen/>
        <w:t>тующие изделия. Чтобы справиться с этой задачей и сохранить трудовую честь коллектива ИжМЗ,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71422BD1"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 трудное время конструкторы ИМЗ завершили разработ</w:t>
      </w:r>
      <w:r w:rsidRPr="0044524F">
        <w:rPr>
          <w:rFonts w:ascii="Times New Roman" w:hAnsi="Times New Roman"/>
          <w:color w:val="000000" w:themeColor="text1"/>
          <w:sz w:val="16"/>
          <w:szCs w:val="16"/>
        </w:rPr>
        <w:softHyphen/>
        <w:t>ку нового мотоцикла с более мощным мотором. На поршне убра</w:t>
      </w:r>
      <w:r w:rsidRPr="0044524F">
        <w:rPr>
          <w:rFonts w:ascii="Times New Roman" w:hAnsi="Times New Roman"/>
          <w:color w:val="000000" w:themeColor="text1"/>
          <w:sz w:val="16"/>
          <w:szCs w:val="16"/>
        </w:rPr>
        <w:softHyphen/>
        <w:t>ли дефлектор, применили возвратную двухканальную продувку цилиндра, вместо манетки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44524F">
        <w:rPr>
          <w:rFonts w:ascii="Times New Roman" w:hAnsi="Times New Roman"/>
          <w:color w:val="000000" w:themeColor="text1"/>
          <w:sz w:val="16"/>
          <w:szCs w:val="16"/>
        </w:rPr>
        <w:softHyphen/>
        <w:t>изводственной штурмовщины, связанной с выпуском 2 тыс. ма</w:t>
      </w:r>
      <w:r w:rsidRPr="0044524F">
        <w:rPr>
          <w:rFonts w:ascii="Times New Roman" w:hAnsi="Times New Roman"/>
          <w:color w:val="000000" w:themeColor="text1"/>
          <w:sz w:val="16"/>
          <w:szCs w:val="16"/>
        </w:rPr>
        <w:softHyphen/>
        <w:t>шин ИЖ-7, принимали участие конструкторы В.Е. Базик, Д.И. Зебзиев, К.М. Огнетов,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1297EE35"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не все машины смогли укомплектовать полностью. Не хватило 60 мотоцепей для привода заднего колеса, 140 мане-ток газа, - именно столько мотоциклов не удалось в срок пере</w:t>
      </w:r>
      <w:r w:rsidRPr="0044524F">
        <w:rPr>
          <w:rFonts w:ascii="Times New Roman" w:hAnsi="Times New Roman"/>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44524F">
        <w:rPr>
          <w:rFonts w:ascii="Times New Roman" w:hAnsi="Times New Roman"/>
          <w:color w:val="000000" w:themeColor="text1"/>
          <w:sz w:val="16"/>
          <w:szCs w:val="16"/>
        </w:rPr>
        <w:softHyphen/>
        <w:t>ктив ИжМЗ вызвал на соревнование трудящихся Подольского механического завода (ПМЗ) и обязался в следующем году изго</w:t>
      </w:r>
      <w:r w:rsidRPr="0044524F">
        <w:rPr>
          <w:rFonts w:ascii="Times New Roman" w:hAnsi="Times New Roman"/>
          <w:color w:val="000000" w:themeColor="text1"/>
          <w:sz w:val="16"/>
          <w:szCs w:val="16"/>
        </w:rPr>
        <w:softHyphen/>
        <w:t>товить 3 тыс. мотоциклов, из них 2 тыс. - машин ИЖ-8 [4.116]. Свои обязательства ИжМЗ выполнил: в 1937 г. изготовили ЗОЮ мотоциклов [4.111] (11429).</w:t>
      </w:r>
    </w:p>
    <w:p w14:paraId="699A35B4" w14:textId="77777777" w:rsidR="00EA7008" w:rsidRPr="0044524F" w:rsidRDefault="00EA7008"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0B1B0C"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июля 1933 г. приказом Наркомата тяжелой промышленности СССР был создан Государственный институт по проектированию предприятий золото-платиновой промышленности "Гипрозолото". Приказом Госплана РСФСР от 10 января 1958 г. переименован в Государственный институт по проектированию предприятий цветной металлургии "Цветметпроект"; 11 июля 1969 г. приказом Министерства цветной металлургии СССР преобразован во Всесоюзный научно-исследовательский и проектно-конструкторский институт золото-платиновой, алмазной и вольфрамово-молибденовой промышленности "ВНИИПРОЗолото". Приказом министерства от 15 сентября 1978 г. институт реорганизован во Всесоюзный научно-исследовательский, проектный и конструкторский институт горного дела цветной металлургии "ВНИПИгорцветмет" (12102). </w:t>
      </w:r>
    </w:p>
    <w:p w14:paraId="31198157" w14:textId="77777777" w:rsidR="00E160BD" w:rsidRPr="0044524F" w:rsidRDefault="00E160B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A83A240" w14:textId="77777777" w:rsidR="00EA7008"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6F43B34" w14:textId="77777777" w:rsidR="00EA7008" w:rsidRPr="0044524F" w:rsidRDefault="00EA700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2901E72"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стартовала итальянская эскадра в составе 24 машин, которая осуществила трансокеанский перелет из Орбетелло в Нью- Йорк и обратно. Итальянцы посетили Амстердам, Лондон, Рейкьявик, Монреаль, Чикаго. 19 июля 1933, преодолев 11300 км, эскадра прибыла в Нью-Йорк. Обратный путь пролегал через Ньюфаундленд, Азорские острова и Пиренейский полуостров. Суммарная дальность этого массового перелета составила свыше 25000 км. Целью перелета назывались поиски более коротких и надежных маршрутов, соединяющих Европу с Америкой. Впрочем, военная составляющая этой летней демонстрации ни у кого не вызывала сомнения. Еще в 1928 г. французы неприятно удивились появлению над Марселем итальянской воздушной эскадры в составе 61 гидросамолета. А когда в 1929 г. эскадра из 35 гидросамолетов под руководством министра авиации Италии генерала Бальбо совершила перелет Италия - Греция - Турция - Болгария - Румыния - СССР (Одесса) и обратно, стало ясно, что перелет 1928-го в западной части Средиземного моря явился не случайным эпизодом, а звеном целой системы. В конце 1930 г. 12 летающих лодок SM-55 стартовали с гидробазы в Орбетелло под Римом с целью совершить первый групповой трансатлантический бросок в Южную Америку. После посещения портов Наталь, Бахийя и Рио-де-Жанейро эскадра вернулась на родину. В этом перелете, общей протяженностью 10240 км, из которых около 3000 км проходили над океаном, итальянцы потеряли три двух- лодочных "Савойи", которые немедленно заменялись запасными лодками. Впрочем, указанные потери при проведении столь сложного и масштабного воздушного рейда, напоминающего боевую вылазку, считались вполне допустимыми (11941).</w:t>
      </w:r>
    </w:p>
    <w:p w14:paraId="2DECCC1D" w14:textId="77777777" w:rsidR="00EA7008" w:rsidRPr="0044524F" w:rsidRDefault="00EA7008" w:rsidP="009654CF">
      <w:pPr>
        <w:autoSpaceDE w:val="0"/>
        <w:autoSpaceDN w:val="0"/>
        <w:adjustRightInd w:val="0"/>
        <w:spacing w:after="0" w:line="240" w:lineRule="auto"/>
        <w:jc w:val="both"/>
        <w:rPr>
          <w:rFonts w:ascii="Times New Roman" w:hAnsi="Times New Roman"/>
          <w:color w:val="000000" w:themeColor="text1"/>
          <w:sz w:val="16"/>
          <w:szCs w:val="16"/>
        </w:rPr>
      </w:pPr>
    </w:p>
    <w:p w14:paraId="321410A4" w14:textId="77777777" w:rsidR="00ED6175" w:rsidRPr="0044524F" w:rsidRDefault="00ED61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состоялся первый полет Дуглас DC-1 (20802).</w:t>
      </w:r>
    </w:p>
    <w:p w14:paraId="46CF32ED" w14:textId="77777777" w:rsidR="00ED6175" w:rsidRPr="0044524F" w:rsidRDefault="00ED6175" w:rsidP="009654CF">
      <w:pPr>
        <w:spacing w:after="0" w:line="240" w:lineRule="auto"/>
        <w:jc w:val="both"/>
        <w:rPr>
          <w:rFonts w:ascii="Times New Roman" w:hAnsi="Times New Roman"/>
          <w:color w:val="000000" w:themeColor="text1"/>
          <w:sz w:val="16"/>
          <w:szCs w:val="16"/>
        </w:rPr>
      </w:pPr>
    </w:p>
    <w:p w14:paraId="15E195A7" w14:textId="77777777" w:rsidR="00ED6175" w:rsidRPr="0044524F" w:rsidRDefault="00ED61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года — первый полёт поршневого авиалайнера Douglas DC-1. /США/</w:t>
      </w:r>
    </w:p>
    <w:p w14:paraId="0A36DC32" w14:textId="77777777" w:rsidR="00ED6175" w:rsidRPr="0044524F" w:rsidRDefault="00ED61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году произошла катастрофа Fokker F.10 Trimotor авиакомпании Trans World Airlines. После этого в США были установлены ограничения на перевозку пассажиров на самолётах с деревянным крылом. Производители приступили к созданию цельнометаллических авиалайнеров. Компания Douglas представила проект DC-1 (Douglas Commercial).</w:t>
      </w:r>
    </w:p>
    <w:p w14:paraId="75AA2A4D" w14:textId="77777777" w:rsidR="00ED6175" w:rsidRPr="0044524F" w:rsidRDefault="00ED61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DC-1 представлял собой двухмоторный низкоплан с алюминиевым корпусом. В звукоизолированном и утеплённом салоне размещались 12 пассажиров. Самолёт покрывал расстояние в 1600 км со скоростью до 340 км/ч и мог совершить посадку на одном двигателе</w:t>
      </w:r>
    </w:p>
    <w:p w14:paraId="1C25B865" w14:textId="77777777" w:rsidR="00ED6175" w:rsidRPr="0044524F" w:rsidRDefault="00ED61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Выпустили лишь авиалайнер, который эксплуатировался авиакомпанией Trans World Airlines. Несмотря на свой экспериментальный статус, именно DC-1 заложил основу для DC-2 и DC3 — одних из самых популярных самолётов Золотого века авиации (22300).</w:t>
      </w:r>
    </w:p>
    <w:p w14:paraId="6E1FCE3C" w14:textId="77777777" w:rsidR="00ED6175" w:rsidRPr="0044524F" w:rsidRDefault="00ED6175" w:rsidP="009654CF">
      <w:pPr>
        <w:spacing w:after="0" w:line="240" w:lineRule="auto"/>
        <w:jc w:val="both"/>
        <w:rPr>
          <w:rFonts w:ascii="Times New Roman" w:hAnsi="Times New Roman"/>
          <w:color w:val="000000" w:themeColor="text1"/>
          <w:sz w:val="16"/>
          <w:szCs w:val="16"/>
        </w:rPr>
      </w:pPr>
    </w:p>
    <w:p w14:paraId="705F400F" w14:textId="77777777" w:rsidR="00DF67AB" w:rsidRPr="0044524F" w:rsidRDefault="00DF67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 июля</w:t>
      </w:r>
      <w:r w:rsidRPr="0044524F">
        <w:rPr>
          <w:rFonts w:ascii="Times New Roman" w:hAnsi="Times New Roman"/>
          <w:color w:val="000000" w:themeColor="text1"/>
          <w:sz w:val="16"/>
          <w:szCs w:val="16"/>
        </w:rPr>
        <w:t xml:space="preserve"> в 1933 году взлетел первый самолёт Дональда Дугласа знаменитой марки «DC» - </w:t>
      </w:r>
      <w:hyperlink r:id="rId250" w:tgtFrame="_blank" w:history="1">
        <w:r w:rsidRPr="0044524F">
          <w:rPr>
            <w:rFonts w:ascii="Times New Roman" w:hAnsi="Times New Roman"/>
            <w:color w:val="000000" w:themeColor="text1"/>
            <w:sz w:val="16"/>
            <w:szCs w:val="16"/>
          </w:rPr>
          <w:t xml:space="preserve">«Douglas» «DC-1» </w:t>
        </w:r>
      </w:hyperlink>
      <w:r w:rsidRPr="0044524F">
        <w:rPr>
          <w:rFonts w:ascii="Times New Roman" w:hAnsi="Times New Roman"/>
          <w:color w:val="000000" w:themeColor="text1"/>
          <w:sz w:val="16"/>
          <w:szCs w:val="16"/>
        </w:rPr>
        <w:t>(«Douglas» «Commercial-1»). И хотя этот скоростной двухмоторный аппарат остался в одном экземпляре, он положил начало славному семейству популярных классических лайнеров. Меньше чем через год, 11 мая 1934 г., поднялся в воздух «DC-22, и уже через 7 дней «TWA» начала его эксплуатацию рейсом Нью-Йорк - Лос-Анджелес (14939).</w:t>
      </w:r>
    </w:p>
    <w:p w14:paraId="11298340" w14:textId="77777777" w:rsidR="00DF67AB" w:rsidRPr="0044524F" w:rsidRDefault="00DF67AB" w:rsidP="009654CF">
      <w:pPr>
        <w:spacing w:after="0" w:line="240" w:lineRule="auto"/>
        <w:jc w:val="both"/>
        <w:rPr>
          <w:rFonts w:ascii="Times New Roman" w:hAnsi="Times New Roman"/>
          <w:color w:val="000000" w:themeColor="text1"/>
          <w:sz w:val="16"/>
          <w:szCs w:val="16"/>
        </w:rPr>
      </w:pPr>
    </w:p>
    <w:p w14:paraId="009CF536" w14:textId="77777777" w:rsidR="00DF67AB" w:rsidRPr="0044524F" w:rsidRDefault="00DF67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 июля</w:t>
      </w:r>
      <w:r w:rsidRPr="0044524F">
        <w:rPr>
          <w:rFonts w:ascii="Times New Roman" w:hAnsi="Times New Roman"/>
          <w:color w:val="000000" w:themeColor="text1"/>
          <w:sz w:val="16"/>
          <w:szCs w:val="16"/>
        </w:rPr>
        <w:t xml:space="preserve"> в 1933 году </w:t>
      </w:r>
      <w:hyperlink r:id="rId251" w:tgtFrame="_blank" w:history="1">
        <w:r w:rsidRPr="0044524F">
          <w:rPr>
            <w:rFonts w:ascii="Times New Roman" w:hAnsi="Times New Roman"/>
            <w:color w:val="000000" w:themeColor="text1"/>
            <w:sz w:val="16"/>
            <w:szCs w:val="16"/>
          </w:rPr>
          <w:t xml:space="preserve">«Armstrong Whitworth» «AW.15» «Atalanta» </w:t>
        </w:r>
      </w:hyperlink>
      <w:r w:rsidRPr="0044524F">
        <w:rPr>
          <w:rFonts w:ascii="Times New Roman" w:hAnsi="Times New Roman"/>
          <w:color w:val="000000" w:themeColor="text1"/>
          <w:sz w:val="16"/>
          <w:szCs w:val="16"/>
        </w:rPr>
        <w:t>(G-ABPI) открыл маршрут Лондон - Карачи, доставив в Индию почтовый груз. Вскоре туда прибыли ещё три самолёта, которые летали между городами Карачи, Калькутта, Рангун и Сингапур. В целом отзывы об «A.W.15» были положительными. Самолёты оказались просты в эксплуатации и выносливы, что было особенно ценно в условиях неблагоприятного климата (14939).</w:t>
      </w:r>
    </w:p>
    <w:p w14:paraId="2077CC9F" w14:textId="77777777" w:rsidR="00DF67AB" w:rsidRPr="0044524F" w:rsidRDefault="00DF67AB" w:rsidP="009654CF">
      <w:pPr>
        <w:spacing w:after="0" w:line="240" w:lineRule="auto"/>
        <w:jc w:val="both"/>
        <w:rPr>
          <w:rFonts w:ascii="Times New Roman" w:hAnsi="Times New Roman"/>
          <w:color w:val="000000" w:themeColor="text1"/>
          <w:sz w:val="16"/>
          <w:szCs w:val="16"/>
        </w:rPr>
      </w:pPr>
    </w:p>
    <w:p w14:paraId="7262432C" w14:textId="77777777" w:rsidR="00ED6175" w:rsidRPr="0044524F" w:rsidRDefault="00ED61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 Armstrong Whitworth AW.15 Atalanta (G-ABPI) открыл маршрут Лондон - Карачи, доставив в Индию почтовый груз. Вскоре туда прибыли ещё три самолёта, которые летали между городами Карачи, Калькутта, Рангун и Сингапур. В целом отзывы об A.W.15 были положительными. Самолёты оказались просты в эксплуатации и выносливы, что было особенно ценно в условиях неблагоприятного климата (22443).</w:t>
      </w:r>
    </w:p>
    <w:p w14:paraId="3EB7EB4A" w14:textId="77777777" w:rsidR="00ED6175" w:rsidRPr="0044524F" w:rsidRDefault="00ED6175" w:rsidP="009654CF">
      <w:pPr>
        <w:spacing w:after="0" w:line="240" w:lineRule="auto"/>
        <w:jc w:val="both"/>
        <w:rPr>
          <w:rFonts w:ascii="Times New Roman" w:hAnsi="Times New Roman"/>
          <w:color w:val="000000" w:themeColor="text1"/>
          <w:sz w:val="16"/>
          <w:szCs w:val="16"/>
        </w:rPr>
      </w:pPr>
    </w:p>
    <w:p w14:paraId="2EF1A57D"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7667475"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08E65A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июля 1933 состоялось совещание по вопросу установки М-34Р на ТБ-3 (АНТ-6) (1077,129).</w:t>
      </w:r>
    </w:p>
    <w:p w14:paraId="71DDF81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6B8372B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июля 1933 работы по дублеру АНТ-16 прекратили и готовые агрегаты передали для изготовления АНТ-20 (МГ). ЦАГИ получил соответствующее распоряжение и часть агрегатов передали для использования в постройке МГ (7388, 10).</w:t>
      </w:r>
    </w:p>
    <w:p w14:paraId="2CD3E65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5837683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июля 1933,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(12036).</w:t>
      </w:r>
    </w:p>
    <w:p w14:paraId="60A53DE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60A0203F"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июля 1933 г. работы по дублеру ТБ-4 – АНТ-16 пре</w:t>
      </w:r>
      <w:r w:rsidRPr="0044524F">
        <w:rPr>
          <w:rFonts w:ascii="Times New Roman" w:hAnsi="Times New Roman"/>
          <w:color w:val="000000" w:themeColor="text1"/>
          <w:sz w:val="16"/>
          <w:szCs w:val="16"/>
        </w:rPr>
        <w:softHyphen/>
        <w:t>кратили, часть готовых агрегатов переда</w:t>
      </w:r>
      <w:r w:rsidRPr="0044524F">
        <w:rPr>
          <w:rFonts w:ascii="Times New Roman" w:hAnsi="Times New Roman"/>
          <w:color w:val="000000" w:themeColor="text1"/>
          <w:sz w:val="16"/>
          <w:szCs w:val="16"/>
        </w:rPr>
        <w:softHyphen/>
        <w:t>ли на самолет «Максим Горький» (АНТ—20). Опытную машину решили ис</w:t>
      </w:r>
      <w:r w:rsidRPr="0044524F">
        <w:rPr>
          <w:rFonts w:ascii="Times New Roman" w:hAnsi="Times New Roman"/>
          <w:color w:val="000000" w:themeColor="text1"/>
          <w:sz w:val="16"/>
          <w:szCs w:val="16"/>
        </w:rPr>
        <w:softHyphen/>
        <w:t>пользовать для совместных с НИИ ВВС испытаний, связанных с постройкой «Максима Горького».</w:t>
      </w:r>
    </w:p>
    <w:p w14:paraId="7A01EDA5"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подготовке выпуска се</w:t>
      </w:r>
      <w:r w:rsidRPr="0044524F">
        <w:rPr>
          <w:rFonts w:ascii="Times New Roman" w:hAnsi="Times New Roman"/>
          <w:color w:val="000000" w:themeColor="text1"/>
          <w:sz w:val="16"/>
          <w:szCs w:val="16"/>
        </w:rPr>
        <w:softHyphen/>
        <w:t>рийных машин на заводе № 18 были остановлены одно</w:t>
      </w:r>
      <w:r w:rsidRPr="0044524F">
        <w:rPr>
          <w:rFonts w:ascii="Times New Roman" w:hAnsi="Times New Roman"/>
          <w:color w:val="000000" w:themeColor="text1"/>
          <w:sz w:val="16"/>
          <w:szCs w:val="16"/>
        </w:rPr>
        <w:softHyphen/>
        <w:t>временно с прекращением постройки дублера Это объясня</w:t>
      </w:r>
      <w:r w:rsidRPr="0044524F">
        <w:rPr>
          <w:rFonts w:ascii="Times New Roman" w:hAnsi="Times New Roman"/>
          <w:color w:val="000000" w:themeColor="text1"/>
          <w:sz w:val="16"/>
          <w:szCs w:val="16"/>
        </w:rPr>
        <w:softHyphen/>
        <w:t>лось тем, что готовился к выпуску самолет АНТ—20 с более высокими характерис</w:t>
      </w:r>
      <w:r w:rsidRPr="0044524F">
        <w:rPr>
          <w:rFonts w:ascii="Times New Roman" w:hAnsi="Times New Roman"/>
          <w:color w:val="000000" w:themeColor="text1"/>
          <w:sz w:val="16"/>
          <w:szCs w:val="16"/>
        </w:rPr>
        <w:softHyphen/>
        <w:t>тиками, чем у АНТ—16.</w:t>
      </w:r>
    </w:p>
    <w:p w14:paraId="3706CE33"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самого начала проектирования ТБ—4 предполагалось выпускать серийно на заводе №22. Однако в 1933 г., ввиду за</w:t>
      </w:r>
      <w:r w:rsidRPr="0044524F">
        <w:rPr>
          <w:rFonts w:ascii="Times New Roman" w:hAnsi="Times New Roman"/>
          <w:color w:val="000000" w:themeColor="text1"/>
          <w:sz w:val="16"/>
          <w:szCs w:val="16"/>
        </w:rPr>
        <w:softHyphen/>
        <w:t>груженности завода другими заказами, подготовку производства перенесли на завод № 18 в Воронеже. Головной самолет планировали сдать в первом квартале 1935 г. Первая серия должна была состо</w:t>
      </w:r>
      <w:r w:rsidRPr="0044524F">
        <w:rPr>
          <w:rFonts w:ascii="Times New Roman" w:hAnsi="Times New Roman"/>
          <w:color w:val="000000" w:themeColor="text1"/>
          <w:sz w:val="16"/>
          <w:szCs w:val="16"/>
        </w:rPr>
        <w:softHyphen/>
        <w:t>ять из 40—50 машин . Работы по подготовке выпуска се</w:t>
      </w:r>
      <w:r w:rsidRPr="0044524F">
        <w:rPr>
          <w:rFonts w:ascii="Times New Roman" w:hAnsi="Times New Roman"/>
          <w:color w:val="000000" w:themeColor="text1"/>
          <w:sz w:val="16"/>
          <w:szCs w:val="16"/>
        </w:rPr>
        <w:softHyphen/>
        <w:t>рийных машин были остановлены одно</w:t>
      </w:r>
      <w:r w:rsidRPr="0044524F">
        <w:rPr>
          <w:rFonts w:ascii="Times New Roman" w:hAnsi="Times New Roman"/>
          <w:color w:val="000000" w:themeColor="text1"/>
          <w:sz w:val="16"/>
          <w:szCs w:val="16"/>
        </w:rPr>
        <w:softHyphen/>
        <w:t>временно с прекращением постройки дублера Это объясня</w:t>
      </w:r>
      <w:r w:rsidRPr="0044524F">
        <w:rPr>
          <w:rFonts w:ascii="Times New Roman" w:hAnsi="Times New Roman"/>
          <w:color w:val="000000" w:themeColor="text1"/>
          <w:sz w:val="16"/>
          <w:szCs w:val="16"/>
        </w:rPr>
        <w:softHyphen/>
        <w:t>лось тем, что готовился к выпуску самолет АНТ—20 с более высокими характерис</w:t>
      </w:r>
      <w:r w:rsidRPr="0044524F">
        <w:rPr>
          <w:rFonts w:ascii="Times New Roman" w:hAnsi="Times New Roman"/>
          <w:color w:val="000000" w:themeColor="text1"/>
          <w:sz w:val="16"/>
          <w:szCs w:val="16"/>
        </w:rPr>
        <w:softHyphen/>
        <w:t>тиками, чем у АНТ—16 (23474).</w:t>
      </w:r>
    </w:p>
    <w:p w14:paraId="1B214CBA" w14:textId="77777777" w:rsidR="005E0042" w:rsidRPr="0044524F" w:rsidRDefault="005E0042" w:rsidP="009654CF">
      <w:pPr>
        <w:spacing w:after="0" w:line="240" w:lineRule="auto"/>
        <w:jc w:val="both"/>
        <w:rPr>
          <w:rFonts w:ascii="Times New Roman" w:hAnsi="Times New Roman"/>
          <w:color w:val="000000" w:themeColor="text1"/>
          <w:sz w:val="16"/>
          <w:szCs w:val="16"/>
        </w:rPr>
      </w:pPr>
    </w:p>
    <w:p w14:paraId="002ED458" w14:textId="77777777" w:rsidR="00352C76" w:rsidRPr="00142305" w:rsidRDefault="00352C76" w:rsidP="00352C7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июля 1933 г., за день до первого полета пер</w:t>
      </w:r>
      <w:r w:rsidRPr="00142305">
        <w:rPr>
          <w:rFonts w:ascii="Times New Roman" w:hAnsi="Times New Roman"/>
          <w:color w:val="0070C0"/>
          <w:sz w:val="16"/>
          <w:szCs w:val="16"/>
        </w:rPr>
        <w:softHyphen/>
        <w:t>вого опытного образца, ЦАГИ получил распоряжение приостановить сборку узлов АНТ-16бис. По-видимому, многое уже сделанные части этого самолета использовали потом для самолета АНТ-20 (24977).</w:t>
      </w:r>
    </w:p>
    <w:p w14:paraId="1F94EBA5" w14:textId="77777777" w:rsidR="00352C76" w:rsidRPr="00142305" w:rsidRDefault="00352C76" w:rsidP="00352C76">
      <w:pPr>
        <w:spacing w:after="0" w:line="240" w:lineRule="auto"/>
        <w:jc w:val="both"/>
        <w:rPr>
          <w:rFonts w:ascii="Times New Roman" w:hAnsi="Times New Roman"/>
          <w:color w:val="0070C0"/>
          <w:sz w:val="16"/>
          <w:szCs w:val="16"/>
        </w:rPr>
      </w:pPr>
    </w:p>
    <w:p w14:paraId="3E44846F" w14:textId="77777777" w:rsidR="00DF67AB" w:rsidRPr="0044524F" w:rsidRDefault="00DF67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 июля</w:t>
      </w:r>
      <w:r w:rsidRPr="0044524F">
        <w:rPr>
          <w:rFonts w:ascii="Times New Roman" w:hAnsi="Times New Roman"/>
          <w:color w:val="000000" w:themeColor="text1"/>
          <w:sz w:val="16"/>
          <w:szCs w:val="16"/>
        </w:rPr>
        <w:t xml:space="preserve"> в 1933 году у известного впоследствии летчика Водопьянова на «ПС-9» («АНТ-9») при посадке в Москве заглох правый мотор, машину развернуло, и она влетела в щель между двумя ангарами. Крылья разрушились, а фюзеляж протащило дальше. Экипаж остался цел, но самолет пришлось списать (14940).</w:t>
      </w:r>
    </w:p>
    <w:p w14:paraId="65997508" w14:textId="77777777" w:rsidR="00DF67AB" w:rsidRPr="0044524F" w:rsidRDefault="00DF67AB" w:rsidP="009654CF">
      <w:pPr>
        <w:spacing w:after="0" w:line="240" w:lineRule="auto"/>
        <w:jc w:val="both"/>
        <w:rPr>
          <w:rFonts w:ascii="Times New Roman" w:hAnsi="Times New Roman"/>
          <w:color w:val="000000" w:themeColor="text1"/>
          <w:sz w:val="16"/>
          <w:szCs w:val="16"/>
        </w:rPr>
      </w:pPr>
    </w:p>
    <w:p w14:paraId="4B2BA48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июля 1933 СНК ввел политотделы в ГВФ - "В целях усиления политработы и укрепления дисциплины среди работников ГВФ" (438,640).</w:t>
      </w:r>
    </w:p>
    <w:p w14:paraId="645382B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23C88245" w14:textId="77777777" w:rsidR="00DB2463" w:rsidRPr="0044524F" w:rsidRDefault="00DB24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июля 1933 г. СНК СССР постановил: "В целях усиления политработы и укрепления дисциплины среди работников гражданского воздушного флота организовать в ГВФ политотделы по принципу политотделов ВВС. Со гласно этому постановлению при главном управлении ГВФ было создано политуправление, а при территориальных управлениях ГВФ – политотделы.</w:t>
      </w:r>
    </w:p>
    <w:p w14:paraId="5E3A644F" w14:textId="77777777" w:rsidR="00DB2463" w:rsidRPr="0044524F" w:rsidRDefault="00DB24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/"Гражданская авиация”, 1933 № 8/ (23370).</w:t>
      </w:r>
    </w:p>
    <w:p w14:paraId="01272357" w14:textId="77777777" w:rsidR="00DB2463" w:rsidRPr="0044524F" w:rsidRDefault="00DB2463" w:rsidP="009654CF">
      <w:pPr>
        <w:spacing w:after="0" w:line="240" w:lineRule="auto"/>
        <w:jc w:val="both"/>
        <w:rPr>
          <w:rFonts w:ascii="Times New Roman" w:hAnsi="Times New Roman"/>
          <w:color w:val="000000" w:themeColor="text1"/>
          <w:sz w:val="16"/>
          <w:szCs w:val="16"/>
        </w:rPr>
      </w:pPr>
    </w:p>
    <w:p w14:paraId="72CB9999"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июля 1933</w:t>
      </w:r>
    </w:p>
    <w:p w14:paraId="07D075FA"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634AA0CE"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http://sovdoc.rusarchives.ru</w:t>
      </w:r>
    </w:p>
    <w:p w14:paraId="4107E663"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671E3EDA"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РГАСПИ. Ф. 17. Оп. 3. Д. 926. Л. 31-32.</w:t>
      </w:r>
    </w:p>
    <w:p w14:paraId="0E5E17B3"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3</w:t>
      </w:r>
    </w:p>
    <w:p w14:paraId="4ABFF416"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10/1 пр. ПБ № 141.</w:t>
      </w:r>
    </w:p>
    <w:p w14:paraId="4103C376"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организации политработы в гражданском воздушном флоте.</w:t>
      </w:r>
    </w:p>
    <w:p w14:paraId="486E6D0B"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(Утверждено Политбюро ЦК ВКП(б) 2 июля 1933 г.).</w:t>
      </w:r>
    </w:p>
    <w:p w14:paraId="4F5A1D68"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усиления политической работы и укрепления дисциплины среди работников гражданского флота, — ЦК постановляет:</w:t>
      </w:r>
    </w:p>
    <w:p w14:paraId="4F26F386"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Признать необходимым организовать в гражданском воздушном флоте систему политотделов по принципу политорганов РККА.</w:t>
      </w:r>
    </w:p>
    <w:p w14:paraId="2459463B"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Создать при Главном Управлении Гражданского воздушного флота Политуправление Аэрофлота.</w:t>
      </w:r>
    </w:p>
    <w:p w14:paraId="0FE80427"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Организовать политотделы в следующих органах Главного Управления гражданского воздушного флота:</w:t>
      </w:r>
    </w:p>
    <w:p w14:paraId="52F400EB"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 “Трансавиации” — центральный политотдел, во главе которого стоит зам. начальника треста транспортной авиации и политотделы при управлениях:</w:t>
      </w:r>
    </w:p>
    <w:p w14:paraId="75D40C69"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Московском,</w:t>
      </w:r>
    </w:p>
    <w:p w14:paraId="62ED1E90"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Украинском,</w:t>
      </w:r>
    </w:p>
    <w:p w14:paraId="3DBA756C"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Соедне-Азиатском,</w:t>
      </w:r>
    </w:p>
    <w:p w14:paraId="3537746C"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Закавказском,</w:t>
      </w:r>
    </w:p>
    <w:p w14:paraId="2B7A11F3"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Западно-Сибирском,</w:t>
      </w:r>
    </w:p>
    <w:p w14:paraId="050F7265"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Восточно-Сибирском,</w:t>
      </w:r>
    </w:p>
    <w:p w14:paraId="3CA43B5F"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Дальне-Восточном и</w:t>
      </w:r>
    </w:p>
    <w:p w14:paraId="03868B93"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Казакском.</w:t>
      </w:r>
    </w:p>
    <w:p w14:paraId="5BA534A2"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 “Сельхозавиации” — центральный политотдел, начальник которого является вместе с тем заместителем начальника треста и политотделы при управлениях:</w:t>
      </w:r>
    </w:p>
    <w:p w14:paraId="6BE10776"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Московском,</w:t>
      </w:r>
    </w:p>
    <w:p w14:paraId="32E82730"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Нижне-Волжском,</w:t>
      </w:r>
    </w:p>
    <w:p w14:paraId="0F3436E1"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Ленинградском,</w:t>
      </w:r>
    </w:p>
    <w:p w14:paraId="612A126E"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Средне-Азиатском,</w:t>
      </w:r>
    </w:p>
    <w:p w14:paraId="2611E4BF"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Сибирском,</w:t>
      </w:r>
    </w:p>
    <w:p w14:paraId="1781449D"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Северо-Кавказском,</w:t>
      </w:r>
    </w:p>
    <w:p w14:paraId="5531EA9D"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Украинском,</w:t>
      </w:r>
    </w:p>
    <w:p w14:paraId="77026FFC"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Закавказском,</w:t>
      </w:r>
    </w:p>
    <w:p w14:paraId="338F066A"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также в отдельных отрядах, функционирующих на правах управлений:</w:t>
      </w:r>
    </w:p>
    <w:p w14:paraId="10F5F1B1"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Средне-Волжском,</w:t>
      </w:r>
    </w:p>
    <w:p w14:paraId="4645DD54"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Южно-Казакском.</w:t>
      </w:r>
    </w:p>
    <w:p w14:paraId="0148CB0B"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 летных школах:</w:t>
      </w:r>
    </w:p>
    <w:p w14:paraId="60A20B35"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Батайской,</w:t>
      </w:r>
    </w:p>
    <w:p w14:paraId="4394E285"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Тамбовской,</w:t>
      </w:r>
    </w:p>
    <w:p w14:paraId="41C2EDB2"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Балашовской и</w:t>
      </w:r>
    </w:p>
    <w:p w14:paraId="6E259649"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Ленинградском учебном комбинате.</w:t>
      </w:r>
    </w:p>
    <w:p w14:paraId="33035971"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техникумах:</w:t>
      </w:r>
    </w:p>
    <w:p w14:paraId="228B25AF"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Саратовском,</w:t>
      </w:r>
    </w:p>
    <w:p w14:paraId="4F31780D"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Горьковском,</w:t>
      </w:r>
    </w:p>
    <w:p w14:paraId="37D75D85"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Воронежском,</w:t>
      </w:r>
    </w:p>
    <w:p w14:paraId="5C2B8624"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Московском спецслужб,</w:t>
      </w:r>
    </w:p>
    <w:p w14:paraId="0CC5F038"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Дирижаблестроительном комбинате и</w:t>
      </w:r>
    </w:p>
    <w:p w14:paraId="209D3F5B"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Киевском учебном комбинате.</w:t>
      </w:r>
    </w:p>
    <w:p w14:paraId="4B944393"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В “Дирижаблестрое”.</w:t>
      </w:r>
    </w:p>
    <w:p w14:paraId="11F13D1D"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В “Аэрогеодезии” НКТПрома — пом. начальника треста “Аэрогеодезия” по политической части.</w:t>
      </w:r>
    </w:p>
    <w:p w14:paraId="6EC24BC9"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Поручить Орготделу ЦК ВКП(б) (т. Полонскому) совместно с начальником Аэрофлота разработать положение о политотделах в гражданском воздушном флоте и установить перечень подразделений гражданского воздушного флота, где вводятся политруки, а также в двухмесячный срок укомплектовать создаваемые в системе ГВФ политорганы личным составом.</w:t>
      </w:r>
    </w:p>
    <w:p w14:paraId="2EE25E73"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Начполитотделы утверждаются Оргбюро ЦК.</w:t>
      </w:r>
    </w:p>
    <w:p w14:paraId="3D4E2224" w14:textId="77777777" w:rsidR="0099583E" w:rsidRPr="0044524F" w:rsidRDefault="0099583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Начальником Политуправления Аэрофлота назначить замначальника ГУГВФ т. Березина Н. С. (18064).</w:t>
      </w:r>
    </w:p>
    <w:p w14:paraId="79809A0A" w14:textId="77777777" w:rsidR="0099583E" w:rsidRPr="0044524F" w:rsidRDefault="0099583E" w:rsidP="009654CF">
      <w:pPr>
        <w:spacing w:after="0" w:line="240" w:lineRule="auto"/>
        <w:jc w:val="both"/>
        <w:rPr>
          <w:rFonts w:ascii="Times New Roman" w:hAnsi="Times New Roman"/>
          <w:color w:val="000000" w:themeColor="text1"/>
          <w:sz w:val="16"/>
          <w:szCs w:val="16"/>
        </w:rPr>
      </w:pPr>
    </w:p>
    <w:p w14:paraId="55A25F1A"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12750D2"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C54631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июля 1933 открыли для судоходства БМК длинной 227 км и начали проводку боевых кораблей с БМ на СМ (3398,229).</w:t>
      </w:r>
    </w:p>
    <w:p w14:paraId="7C6ABBF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25BA567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июля 1933 был издан приказ ОГПУ № 00233 «О реорганизации главного штаба строительства ББВП в Управление Беломорско-Балтийского исправительно-трудового лагеря ОГПУ». В нем говорилось:</w:t>
      </w:r>
    </w:p>
    <w:p w14:paraId="7892E0D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окончанием строительства Беломорско-Балтийского водного пути приказываю:</w:t>
      </w:r>
    </w:p>
    <w:p w14:paraId="35C7EC3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Главный штаб строительства ББВП со всеми его подразделениями в центре и боеучастками на местах с 15-го июля 1933 года реорганизовать в Управление БеломорскоБалтийского исправительно-трудового лагеря ОГПУ с центром в с. Надвойцах.</w:t>
      </w:r>
    </w:p>
    <w:p w14:paraId="51BD299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Основной задачей УББЛ, кроме непосредственного управления лагерем, является обеспечение бесперебойной эксплуатации ББВП в течение навигации 1933 года, производство всех доделочных и дополнительных работ по ББВП, ведение всех сплавных работ по Выгозерскому бассейну, устранение препятствий к свободному плаванию судов и выполнение всех прочих ранее принятых Управлением лагеря и строительством обязательств.</w:t>
      </w:r>
    </w:p>
    <w:p w14:paraId="60F116C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Начальником Управления ББЛ назначить тов. Успенского Д. В., помощником н-ка УББЛ назначить тов. Ильиных Д. С.</w:t>
      </w:r>
    </w:p>
    <w:p w14:paraId="1C041F2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Дислокацию ББЛ с 15.07.33 утвердить в составе:</w:t>
      </w:r>
    </w:p>
    <w:p w14:paraId="652CA20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1-го Повенецкого отделения на территории 1 и 2 боевых участков;</w:t>
      </w:r>
    </w:p>
    <w:p w14:paraId="7C5054C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2-го Медвежьегорского отделения на территории Медвежьегорского отдельного боевого пункта и Пушсовхоза;</w:t>
      </w:r>
    </w:p>
    <w:p w14:paraId="30D17AF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3-го Сосновецкого отделения на территории 6 и 7 боевых участков;</w:t>
      </w:r>
    </w:p>
    <w:p w14:paraId="6F67F8F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4-го Сегежского отделения на территории 3 и 4 боевых участков.</w:t>
      </w:r>
    </w:p>
    <w:p w14:paraId="02C76A1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Для руководства эксплуатацией канала ББВП и производства связанных с ней доделочных и дополнительных работ, организовать в составе Управления ББЛ Отдел пути и эксплуатации» (7560).</w:t>
      </w:r>
    </w:p>
    <w:p w14:paraId="373D8AC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4F011A3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июля 1933 было подписано постановление СНК СССР № 1635:</w:t>
      </w:r>
    </w:p>
    <w:p w14:paraId="78582D8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 народных комиссаров СССР, заслушав доклад председателя правительственной комиссии по приемке Беломорско-Балтийского водного пути тов. К. М. Лепина, постановляет:</w:t>
      </w:r>
    </w:p>
    <w:p w14:paraId="69D7D46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Сооружение Беломорско-Балтийского водного пути, предпринятое по инициативе тов. Сталина и открывающее широкие перспективы для дальнейшего экономического и культурного подъема советской Карелии и всего севера СССР, - считать законченным. Создание такого мощного транспортного пути общим протяжением с подходными каналами в 227 километров от Онежского озера до Белого моря, с расположением на нем комплекса сложных гидротехнических сооружений общим числом 128, из коих: шлюзов - 19, плотин - 15, водоспусков - 12, дамб - 49 и искусственных каналов - 33, обеспечивает установление непосредственной водной связи между Балтийским морем и советским севером и дает возможность немедленного приступа к широкой эксплуатации лесных, минерально-рудных, рыбных и прочих природных богатств этого края.</w:t>
      </w:r>
    </w:p>
    <w:p w14:paraId="17FB97E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Отметить, что сооружение Беломорско-Балтийского водного пути с общим объемом строительных работ земляных и скальных - 21 миллион кубометров, бетонных - 390 тысяч кубометров и ряжевых - 921 тысяча кубометров выполнено Беломорстроем под руководством ОГПУ силами осужденных на разные сроки уголовных в исключительно трудных геологических и гидрологических условиях в рекордно короткий в практике гидротехнического строительства срок - 20 месяцев.</w:t>
      </w:r>
    </w:p>
    <w:p w14:paraId="2A00679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Вместе с тем СНК СССР отмечает четкую и образцовую организацию труда и производства, настойчивую инициативу руководителей строительства в области выбора и широкого внедрения новых стандартных и совершенных инженерных конструкций и максимальное использование при постройке канала местных строительных материалов, с одновременным достижением высокого качества строительных работ и безупречного их внешнего оформления.</w:t>
      </w:r>
    </w:p>
    <w:p w14:paraId="6C93F04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также, что в процессе строительства Беломорско-Балтийского водного пути, на основе правильного проведения исправительно-трудовой политики советской власти, Главное управление исправительно-трудовыми лагерями ОГПУ провело большую политико-воспитательную работу среди заключенных, получивших трудовые навыки и квалификацию и в целом ряде случаев хорошо проявивших себя в работе на строительстве.</w:t>
      </w:r>
    </w:p>
    <w:p w14:paraId="0276233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этим возбудить перед Центральным Исполнительным Комитетом СССР ходатайство о награждении наиболее заслуженных и отличившихся работников, инженеров и руководителей Беломорстроя.</w:t>
      </w:r>
    </w:p>
    <w:p w14:paraId="0931069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Работу Правительственной комиссии по приемке Беломорско-Балтийского водного пути одобрить и считать законченной.</w:t>
      </w:r>
    </w:p>
    <w:p w14:paraId="38D7798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Генеральный акт приемки Беломорско-Балтийского водного пути опубликовать.</w:t>
      </w:r>
    </w:p>
    <w:p w14:paraId="3D5DD4E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Принять Беломорско-Балтийский водный путь в эксплуатацию с присвоением ему наименования «Беломорско-Балтийский канал имени тов. Сталина» и считать его открытым для плавания судов озерно-морского типа.</w:t>
      </w:r>
    </w:p>
    <w:p w14:paraId="53BD543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Зачислить Беломорско-Балтийский канал имени тов. Сталина в число действующих внутренних водных путей СССР» (7560).</w:t>
      </w:r>
    </w:p>
    <w:p w14:paraId="2153D76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287C8BED"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D10CB54"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55334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выходит на испытания ТБ-4 (АНТ-16). С 5М-34 (2305,43). На аэродром стал поступать в феврале-марте из-за задержки поступления моторов до декабря вместо августа, а до июля - дорабатывали на аэродроме (2310,143). Бомбоотсеки перед и за центропланом по 5 метров (81,88). Испытывал М.М.Громов до 29 сентября 1933 (92,433).</w:t>
      </w:r>
    </w:p>
    <w:p w14:paraId="179C010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 до 23 сентября, когда его передали на совместные гос. и войсковые испытания (2072,64).</w:t>
      </w:r>
    </w:p>
    <w:p w14:paraId="56DF6CA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Оценка М.М.Громова - “...Взлет - прост, тенденций к развороту - нет. Разбер - короток, При наборе высоты самолет устойчив и набирает высоту хорошо. При полете - устойчив и прост в управлении. При планировании - устойчив и перестановки стабилизатора почти не требуется. Посадка - очень простаяч, заворотов при пробеге не чувствуется...” (7388, 8).</w:t>
      </w:r>
    </w:p>
    <w:p w14:paraId="54578AE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3D79542E" w14:textId="77777777" w:rsidR="00F702B9" w:rsidRPr="0044524F" w:rsidRDefault="00F702B9"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3 июля</w:t>
      </w:r>
      <w:r w:rsidRPr="0044524F">
        <w:rPr>
          <w:rFonts w:ascii="Times New Roman" w:hAnsi="Times New Roman"/>
          <w:color w:val="000000" w:themeColor="text1"/>
          <w:sz w:val="16"/>
          <w:szCs w:val="16"/>
        </w:rPr>
        <w:t xml:space="preserve"> в 1933 году первый полет тяжелого бомбардировщика </w:t>
      </w:r>
      <w:hyperlink r:id="rId252" w:tgtFrame="_blank" w:history="1">
        <w:r w:rsidRPr="0044524F">
          <w:rPr>
            <w:rFonts w:ascii="Times New Roman" w:hAnsi="Times New Roman"/>
            <w:color w:val="000000" w:themeColor="text1"/>
            <w:sz w:val="16"/>
            <w:szCs w:val="16"/>
          </w:rPr>
          <w:t xml:space="preserve">«АНТ-16» («ТБ-4») </w:t>
        </w:r>
      </w:hyperlink>
      <w:r w:rsidRPr="0044524F">
        <w:rPr>
          <w:rFonts w:ascii="Times New Roman" w:hAnsi="Times New Roman"/>
          <w:color w:val="000000" w:themeColor="text1"/>
          <w:sz w:val="16"/>
          <w:szCs w:val="16"/>
        </w:rPr>
        <w:t>с шестью двигателями «М-34», пилот М.М.Громов. Этот шестимоторный бомбардировщик имел самые крупные в мире бомбовые отсеки. Планировалось иметь: массу - 31000 кг (перегрузочная - 37000 кг), массу пустого - 10700 кг, максимальную скорость у земли - 208 км/ч, крейсерскую скорость - 160 км/ ч, потолок - 3400 м, дальность - 1600 км. Нормальная бомбовая нагрузка - 4000 кг, максимальная -10000 кг. Оборонительное вооружение: две пушки "Эрликон" калибра 20 мм, десять пулеметов «ДА». В серии не строился. Опыт был использован при постройке «АНТ-20» (14941).</w:t>
      </w:r>
    </w:p>
    <w:p w14:paraId="729F3762" w14:textId="77777777" w:rsidR="00F702B9" w:rsidRPr="0044524F" w:rsidRDefault="00F702B9" w:rsidP="009654CF">
      <w:pPr>
        <w:spacing w:after="0" w:line="240" w:lineRule="auto"/>
        <w:jc w:val="both"/>
        <w:rPr>
          <w:rFonts w:ascii="Times New Roman" w:hAnsi="Times New Roman"/>
          <w:color w:val="000000" w:themeColor="text1"/>
          <w:sz w:val="16"/>
          <w:szCs w:val="16"/>
        </w:rPr>
      </w:pPr>
    </w:p>
    <w:p w14:paraId="3661D948" w14:textId="77777777" w:rsidR="00DD1A96" w:rsidRPr="0044524F" w:rsidRDefault="00DD1A9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г. состоялся первый испытательный полет шестимоторного самолета АНТ-16 /ТВ-4/, представляющего собой дальнейшее развитие бомбардировщика ТВ-3 в увеличенных размерах. Вес пустого - 21,4 тн; полетный вес - 33,3 тн; бомбовая нагрузка - 4-10 тонн; экипаж – 12 человек. Моторы М-34Р, из коих два устанавливались над фюзеляжем. Результаты испытаний были признаны неудовлетворительнымз. Самолет был забракован, но опыт его постройки был использован в строительстве еще большего самолета - АНТ-20,</w:t>
      </w:r>
    </w:p>
    <w:p w14:paraId="62D971E0" w14:textId="77777777" w:rsidR="00DD1A96" w:rsidRPr="0044524F" w:rsidRDefault="00DD1A9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материалам В.Б.Шаврова/ (23370).</w:t>
      </w:r>
    </w:p>
    <w:p w14:paraId="4AF28C98" w14:textId="77777777" w:rsidR="00DD1A96" w:rsidRPr="0044524F" w:rsidRDefault="00DD1A96" w:rsidP="009654CF">
      <w:pPr>
        <w:spacing w:after="0" w:line="240" w:lineRule="auto"/>
        <w:jc w:val="both"/>
        <w:rPr>
          <w:rFonts w:ascii="Times New Roman" w:hAnsi="Times New Roman"/>
          <w:color w:val="000000" w:themeColor="text1"/>
          <w:sz w:val="16"/>
          <w:szCs w:val="16"/>
        </w:rPr>
      </w:pPr>
    </w:p>
    <w:p w14:paraId="611CA02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г. М.М. Громов впервые поднял новый бомбардировщик ТБ-4 в небо. Оценка, данная им самолету после нескольких первых полетов, была довольно высокой. Пилот счел, что осуществление взлета и посадки достаточно просто, в полете машина устойчива и послушна. Рапорт ЦАГИ гласил: "Результаты вполне благоприятны". Но усилия на штурвале и педалях были очень велики. С педалями вообще творилось что-то странное. Нагрузки "скакали", то увеличиваясь, то уменьшаясь.</w:t>
      </w:r>
    </w:p>
    <w:p w14:paraId="223944F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почти две недели простоял на земле. Потом решили еще раз слетать для уточнения характеристик устойчивости, но обнаружили разрыв главного тормозного цилиндра. 22 июля Громов опять поднялся в воздух. Появилась гипотеза, что имеет место перекомпенсация руля направления. При одном из последующих полетов, 5 августа, с тандемной установки сорвало задний капот, который ударом расколол винт.</w:t>
      </w:r>
    </w:p>
    <w:p w14:paraId="0A16E20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(12024).</w:t>
      </w:r>
    </w:p>
    <w:p w14:paraId="2AE96EB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58497CA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г. М.М. Громов впервые поднял бомбардировщик в небо. Оценка, данная им самолету после нескольких первых полетов, была довольно высокой. Пилот счел, что осуществление взлета и посадки достаточно просто, в полете машина устойчива и послушна. Рапорт ЦАГИ гласил: "Результаты вполне благоприятны". Но усилия на штурвале и педалях были очень велики. С педалями вообще творилось что-то странное. Нагрузки "скакали", то увеличиваясь, то уменьшаясь.</w:t>
      </w:r>
    </w:p>
    <w:p w14:paraId="1641185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почти две недели простоял на земле. Потом решили еще раз слетать для уточнения характеристик устойчивости, но обнаружили разрыв главного тормозного цилиндра. 22 июля Громов опять поднялся в воздух. Появилась гипотеза, что имеет место перекомпенсация руля направления. При одном из последующих полетов, 5 августа, с тандемной установки сорвало задний капот, который ударом расколол винт.</w:t>
      </w:r>
    </w:p>
    <w:p w14:paraId="5A50C35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(12036).</w:t>
      </w:r>
    </w:p>
    <w:p w14:paraId="6762976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16D37B0E"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 июля 1933 года состоялся первый полет опытного самолета ТБ-4 (АНТ-16). Построена единственная машина, которую использовали для совместных с НИИ ВВС испытаний, связанных с постройкой самолета АНТ—20 (23474).</w:t>
      </w:r>
    </w:p>
    <w:p w14:paraId="4A24897F" w14:textId="77777777" w:rsidR="005E0042" w:rsidRPr="0044524F" w:rsidRDefault="005E0042" w:rsidP="009654CF">
      <w:pPr>
        <w:spacing w:after="0" w:line="240" w:lineRule="auto"/>
        <w:jc w:val="both"/>
        <w:rPr>
          <w:rFonts w:ascii="Times New Roman" w:hAnsi="Times New Roman"/>
          <w:color w:val="000000" w:themeColor="text1"/>
          <w:sz w:val="16"/>
          <w:szCs w:val="16"/>
        </w:rPr>
      </w:pPr>
    </w:p>
    <w:p w14:paraId="76BBBCED"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г. М.М. Громов впервые поднял ТБ—4 в воздух. Он отметил про</w:t>
      </w:r>
      <w:r w:rsidRPr="0044524F">
        <w:rPr>
          <w:rFonts w:ascii="Times New Roman" w:hAnsi="Times New Roman"/>
          <w:color w:val="000000" w:themeColor="text1"/>
          <w:sz w:val="16"/>
          <w:szCs w:val="16"/>
        </w:rPr>
        <w:softHyphen/>
        <w:t>стоту взлета и посадки, устойчивость машины при наборе высоты и в гори</w:t>
      </w:r>
      <w:r w:rsidRPr="0044524F">
        <w:rPr>
          <w:rFonts w:ascii="Times New Roman" w:hAnsi="Times New Roman"/>
          <w:color w:val="000000" w:themeColor="text1"/>
          <w:sz w:val="16"/>
          <w:szCs w:val="16"/>
        </w:rPr>
        <w:softHyphen/>
        <w:t>зонтальном полете. Однако усилия на педалях оказались чрезмерными, и при</w:t>
      </w:r>
      <w:r w:rsidRPr="0044524F">
        <w:rPr>
          <w:rFonts w:ascii="Times New Roman" w:hAnsi="Times New Roman"/>
          <w:color w:val="000000" w:themeColor="text1"/>
          <w:sz w:val="16"/>
          <w:szCs w:val="16"/>
        </w:rPr>
        <w:softHyphen/>
        <w:t>шлось изменить степень аэродинамиче</w:t>
      </w:r>
      <w:r w:rsidRPr="0044524F">
        <w:rPr>
          <w:rFonts w:ascii="Times New Roman" w:hAnsi="Times New Roman"/>
          <w:color w:val="000000" w:themeColor="text1"/>
          <w:sz w:val="16"/>
          <w:szCs w:val="16"/>
        </w:rPr>
        <w:softHyphen/>
        <w:t>ской компенсации руля направления (23474).</w:t>
      </w:r>
    </w:p>
    <w:p w14:paraId="1B4BD09A" w14:textId="77777777" w:rsidR="005E0042" w:rsidRPr="0044524F" w:rsidRDefault="005E0042" w:rsidP="009654CF">
      <w:pPr>
        <w:spacing w:after="0" w:line="240" w:lineRule="auto"/>
        <w:jc w:val="both"/>
        <w:rPr>
          <w:rFonts w:ascii="Times New Roman" w:hAnsi="Times New Roman"/>
          <w:color w:val="000000" w:themeColor="text1"/>
          <w:sz w:val="16"/>
          <w:szCs w:val="16"/>
        </w:rPr>
      </w:pPr>
    </w:p>
    <w:p w14:paraId="2F4F8F46" w14:textId="77777777" w:rsidR="00352C76" w:rsidRPr="00142305" w:rsidRDefault="00352C76" w:rsidP="00352C7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июля 1933 г. М.М. Громов впервые поднял бомбар</w:t>
      </w:r>
      <w:r w:rsidRPr="00142305">
        <w:rPr>
          <w:rFonts w:ascii="Times New Roman" w:hAnsi="Times New Roman"/>
          <w:color w:val="0070C0"/>
          <w:sz w:val="16"/>
          <w:szCs w:val="16"/>
        </w:rPr>
        <w:softHyphen/>
        <w:t>дировщик АНТ-16 в небо. Оценка, данная им самолету после не</w:t>
      </w:r>
      <w:r w:rsidRPr="00142305">
        <w:rPr>
          <w:rFonts w:ascii="Times New Roman" w:hAnsi="Times New Roman"/>
          <w:color w:val="0070C0"/>
          <w:sz w:val="16"/>
          <w:szCs w:val="16"/>
        </w:rPr>
        <w:softHyphen/>
        <w:t>скольких первых полетов, была довольно высокой. Пилот счел, что осуществление взлета и посадки достаточно прос</w:t>
      </w:r>
      <w:r w:rsidRPr="00142305">
        <w:rPr>
          <w:rFonts w:ascii="Times New Roman" w:hAnsi="Times New Roman"/>
          <w:color w:val="0070C0"/>
          <w:sz w:val="16"/>
          <w:szCs w:val="16"/>
        </w:rPr>
        <w:softHyphen/>
        <w:t>то, в полете машина устойчива и послушна. Рапорт ЦАГИ гласил: «Результаты вполне благоприятны». Но усилия на штурвале и педалях были очень велики. С педалями вообще творилось что-то странное. Нагрузки «скакали», то увели</w:t>
      </w:r>
      <w:r w:rsidRPr="00142305">
        <w:rPr>
          <w:rFonts w:ascii="Times New Roman" w:hAnsi="Times New Roman"/>
          <w:color w:val="0070C0"/>
          <w:sz w:val="16"/>
          <w:szCs w:val="16"/>
        </w:rPr>
        <w:softHyphen/>
        <w:t>чиваясь, то уменьшаясь.</w:t>
      </w:r>
    </w:p>
    <w:p w14:paraId="1A383BF6" w14:textId="77777777" w:rsidR="00352C76" w:rsidRPr="00142305" w:rsidRDefault="00352C76" w:rsidP="00352C7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почти две недели простоял на земле. Потом решили еще раз слетать для уточнения характеристик ус</w:t>
      </w:r>
      <w:r w:rsidRPr="00142305">
        <w:rPr>
          <w:rFonts w:ascii="Times New Roman" w:hAnsi="Times New Roman"/>
          <w:color w:val="0070C0"/>
          <w:sz w:val="16"/>
          <w:szCs w:val="16"/>
        </w:rPr>
        <w:softHyphen/>
        <w:t>тойчивости, но обнаружили разрыв главного тормозного цилиндра (24977).</w:t>
      </w:r>
    </w:p>
    <w:p w14:paraId="7A610370" w14:textId="77777777" w:rsidR="00352C76" w:rsidRPr="00142305" w:rsidRDefault="00352C76" w:rsidP="00352C76">
      <w:pPr>
        <w:spacing w:after="0" w:line="240" w:lineRule="auto"/>
        <w:jc w:val="both"/>
        <w:rPr>
          <w:rFonts w:ascii="Times New Roman" w:hAnsi="Times New Roman"/>
          <w:color w:val="0070C0"/>
          <w:sz w:val="16"/>
          <w:szCs w:val="16"/>
        </w:rPr>
      </w:pPr>
    </w:p>
    <w:p w14:paraId="76CDCCEE" w14:textId="77777777" w:rsidR="00352C76" w:rsidRPr="00142305" w:rsidRDefault="00352C76" w:rsidP="00352C7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июля 1933 г. эки</w:t>
      </w:r>
      <w:r w:rsidRPr="00142305">
        <w:rPr>
          <w:rFonts w:ascii="Times New Roman" w:hAnsi="Times New Roman"/>
          <w:color w:val="0070C0"/>
          <w:sz w:val="16"/>
          <w:szCs w:val="16"/>
        </w:rPr>
        <w:softHyphen/>
        <w:t>паж М.М.Громова выполнил на АНТ-16 первый полет.</w:t>
      </w:r>
    </w:p>
    <w:p w14:paraId="503BC05E" w14:textId="77777777" w:rsidR="00352C76" w:rsidRPr="00142305" w:rsidRDefault="00352C76" w:rsidP="00352C7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Тогда же дали о себе знать очень большие нагрузки на ножные педали. Пытаясь облег</w:t>
      </w:r>
      <w:r w:rsidRPr="00142305">
        <w:rPr>
          <w:rFonts w:ascii="Times New Roman" w:hAnsi="Times New Roman"/>
          <w:color w:val="0070C0"/>
          <w:sz w:val="16"/>
          <w:szCs w:val="16"/>
        </w:rPr>
        <w:softHyphen/>
        <w:t>чить управление, Петляков распорядился увеличить аэродинамическую компенсацию на руле направления, однако «переборщил», поскольку в следующем полете во время разво</w:t>
      </w:r>
      <w:r w:rsidRPr="00142305">
        <w:rPr>
          <w:rFonts w:ascii="Times New Roman" w:hAnsi="Times New Roman"/>
          <w:color w:val="0070C0"/>
          <w:sz w:val="16"/>
          <w:szCs w:val="16"/>
        </w:rPr>
        <w:softHyphen/>
        <w:t>рота правая нога летчика легко ушла вперед, а усилий левой не хватало. Если бы на помощь вовремя не пришел второй пилот, Николай Журов, полет мог завершиться печально. С этим недостатком машины справились, и Михаил Михайлович дал машине первую оценку: «Взлет прост, тенденций к развороту нет. Разбег короток. При наборе высоты само</w:t>
      </w:r>
      <w:r w:rsidRPr="00142305">
        <w:rPr>
          <w:rFonts w:ascii="Times New Roman" w:hAnsi="Times New Roman"/>
          <w:color w:val="0070C0"/>
          <w:sz w:val="16"/>
          <w:szCs w:val="16"/>
        </w:rPr>
        <w:softHyphen/>
        <w:t>лет устойчив и набирает высоту хорошо. При полете устойчив и прост в управлении. При планировании устойчив, и перестановка стабилизатора почти не требуется. Посадка очень простая, заворотов при пробеге почти не чувствуется...» (24991).</w:t>
      </w:r>
    </w:p>
    <w:p w14:paraId="1F4FC45F" w14:textId="77777777" w:rsidR="00352C76" w:rsidRPr="00142305" w:rsidRDefault="00352C76" w:rsidP="00352C76">
      <w:pPr>
        <w:spacing w:after="0" w:line="240" w:lineRule="auto"/>
        <w:jc w:val="both"/>
        <w:rPr>
          <w:rFonts w:ascii="Times New Roman" w:hAnsi="Times New Roman"/>
          <w:color w:val="0070C0"/>
          <w:sz w:val="16"/>
          <w:szCs w:val="16"/>
        </w:rPr>
      </w:pPr>
    </w:p>
    <w:p w14:paraId="468E6B34"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г. комиссия под руковод</w:t>
      </w:r>
      <w:r w:rsidRPr="0044524F">
        <w:rPr>
          <w:rFonts w:ascii="Times New Roman" w:hAnsi="Times New Roman"/>
          <w:color w:val="000000" w:themeColor="text1"/>
          <w:sz w:val="16"/>
          <w:szCs w:val="16"/>
        </w:rPr>
        <w:softHyphen/>
        <w:t>ством помощника начальника КОСОС А.В. Надашкевича осмотрела макет АНТ—36 и предложила сделать несколько доработок. На 25 июля назначили макет</w:t>
      </w:r>
      <w:r w:rsidRPr="0044524F">
        <w:rPr>
          <w:rFonts w:ascii="Times New Roman" w:hAnsi="Times New Roman"/>
          <w:color w:val="000000" w:themeColor="text1"/>
          <w:sz w:val="16"/>
          <w:szCs w:val="16"/>
        </w:rPr>
        <w:softHyphen/>
        <w:t>ную комиссию с представителями НИИ ВВС. С незначительными замечаниями макет утвердили.</w:t>
      </w:r>
    </w:p>
    <w:p w14:paraId="60B379C3"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ЦАГИ получил до</w:t>
      </w:r>
      <w:r w:rsidRPr="0044524F">
        <w:rPr>
          <w:rFonts w:ascii="Times New Roman" w:hAnsi="Times New Roman"/>
          <w:color w:val="000000" w:themeColor="text1"/>
          <w:sz w:val="16"/>
          <w:szCs w:val="16"/>
        </w:rPr>
        <w:softHyphen/>
        <w:t>полнительные пожелания военных:</w:t>
      </w:r>
    </w:p>
    <w:p w14:paraId="60531FCE"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педали ножного управления долж</w:t>
      </w:r>
      <w:r w:rsidRPr="0044524F">
        <w:rPr>
          <w:rFonts w:ascii="Times New Roman" w:hAnsi="Times New Roman"/>
          <w:color w:val="000000" w:themeColor="text1"/>
          <w:sz w:val="16"/>
          <w:szCs w:val="16"/>
        </w:rPr>
        <w:softHyphen/>
        <w:t>ны регулироваться под рост летчика,</w:t>
      </w:r>
    </w:p>
    <w:p w14:paraId="6FF8063D"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системы слива горючего, в полете надо предусмотреть возможность дозаправки самолета в воздухе,</w:t>
      </w:r>
    </w:p>
    <w:p w14:paraId="19143B4A"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должен запускаться из ка</w:t>
      </w:r>
      <w:r w:rsidRPr="0044524F">
        <w:rPr>
          <w:rFonts w:ascii="Times New Roman" w:hAnsi="Times New Roman"/>
          <w:color w:val="000000" w:themeColor="text1"/>
          <w:sz w:val="16"/>
          <w:szCs w:val="16"/>
        </w:rPr>
        <w:softHyphen/>
        <w:t>бины летчика,</w:t>
      </w:r>
    </w:p>
    <w:p w14:paraId="3833335D"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нужны приборы, указывающие рас</w:t>
      </w:r>
      <w:r w:rsidRPr="0044524F">
        <w:rPr>
          <w:rFonts w:ascii="Times New Roman" w:hAnsi="Times New Roman"/>
          <w:color w:val="000000" w:themeColor="text1"/>
          <w:sz w:val="16"/>
          <w:szCs w:val="16"/>
        </w:rPr>
        <w:softHyphen/>
        <w:t>ход горючего в полете.</w:t>
      </w:r>
    </w:p>
    <w:p w14:paraId="1F465A71" w14:textId="77777777" w:rsidR="005E0042" w:rsidRPr="0044524F" w:rsidRDefault="005E00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 оборонительного вооруже</w:t>
      </w:r>
      <w:r w:rsidRPr="0044524F">
        <w:rPr>
          <w:rFonts w:ascii="Times New Roman" w:hAnsi="Times New Roman"/>
          <w:color w:val="000000" w:themeColor="text1"/>
          <w:sz w:val="16"/>
          <w:szCs w:val="16"/>
        </w:rPr>
        <w:softHyphen/>
        <w:t>ния должен был входить пулемет ДА у первого стрелка (он же штурман), такой же пулемет — у второго стрелка (он же второй летчик) и еще один пулемет — на «подхвостовом огневом гнезде» для</w:t>
      </w:r>
      <w:r w:rsidRPr="0044524F">
        <w:rPr>
          <w:rFonts w:ascii="Times New Roman" w:hAnsi="Times New Roman"/>
          <w:color w:val="000000" w:themeColor="text1"/>
          <w:sz w:val="16"/>
          <w:szCs w:val="16"/>
        </w:rPr>
        <w:tab/>
        <w:t>4 июля 1933 г. начали строить «МГ», а менее чем через год — 1 апреля 1934 г. он уже был готов. Его расстыковали и по час</w:t>
      </w:r>
      <w:r w:rsidRPr="0044524F">
        <w:rPr>
          <w:rFonts w:ascii="Times New Roman" w:hAnsi="Times New Roman"/>
          <w:color w:val="000000" w:themeColor="text1"/>
          <w:sz w:val="16"/>
          <w:szCs w:val="16"/>
        </w:rPr>
        <w:softHyphen/>
        <w:t>тям перевезли на Центральный аэродром, где снова собрали. На постройку «МГ» за</w:t>
      </w:r>
      <w:r w:rsidRPr="0044524F">
        <w:rPr>
          <w:rFonts w:ascii="Times New Roman" w:hAnsi="Times New Roman"/>
          <w:color w:val="000000" w:themeColor="text1"/>
          <w:sz w:val="16"/>
          <w:szCs w:val="16"/>
        </w:rPr>
        <w:softHyphen/>
        <w:t>тратили 586,8 тыс. часов и 2574,4 тыс. руб</w:t>
      </w:r>
      <w:r w:rsidRPr="0044524F">
        <w:rPr>
          <w:rFonts w:ascii="Times New Roman" w:hAnsi="Times New Roman"/>
          <w:color w:val="000000" w:themeColor="text1"/>
          <w:sz w:val="16"/>
          <w:szCs w:val="16"/>
        </w:rPr>
        <w:softHyphen/>
        <w:t>лей (не считая институтских расходов) (23474).</w:t>
      </w:r>
    </w:p>
    <w:p w14:paraId="69086ADA" w14:textId="77777777" w:rsidR="005E0042" w:rsidRPr="0044524F" w:rsidRDefault="005E0042" w:rsidP="009654CF">
      <w:pPr>
        <w:spacing w:after="0" w:line="240" w:lineRule="auto"/>
        <w:jc w:val="both"/>
        <w:rPr>
          <w:rFonts w:ascii="Times New Roman" w:hAnsi="Times New Roman"/>
          <w:color w:val="000000" w:themeColor="text1"/>
          <w:sz w:val="16"/>
          <w:szCs w:val="16"/>
        </w:rPr>
      </w:pPr>
    </w:p>
    <w:p w14:paraId="4C56359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состоялось заседание макетной комиссии по РД - военный вариант (1102).</w:t>
      </w:r>
    </w:p>
    <w:p w14:paraId="2253858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793750EE"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A28AB14"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537F86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1933-го начальник ГУЛАГа Берман и начальник Финотдела ОГПУ Л. И. Берензон сообщили в адрес «Трансугля НКПС СССР»:</w:t>
      </w:r>
    </w:p>
    <w:p w14:paraId="2F4174F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постановления директивных органов для работ по Райчихинскому угольному месторождению Вам будет направлено 2.000 человек рабочих.</w:t>
      </w:r>
    </w:p>
    <w:p w14:paraId="7D30F0A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Нами одновременно дано задание, чтобы люди были доставлены к 20.07.33 на место работ». Уже 11 февраля 1934 года Ягода доложил председателю СНК СССР В. М. Молотову: «Дальневосточные лагеря ОГПУ по договору с трестом Дальтрансуголь НКПС производят работу на рудниках «Артем» и «Райчиха» Дальневосточного края» (7560).</w:t>
      </w:r>
    </w:p>
    <w:p w14:paraId="598C6CF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7B3C1737"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4B5385A0"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E3A33A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 июля 1933 г. в ходе Лондонской экономической конференции Советский Союз подписал три раздельные конвенции - в основном с граничащими с ним государствами. Первая конвенция была подписана Афганистаном, Ираном, Латвией, Польшей, Румынией, СССР и Эстонией; в 1934 г. к ней присоединилась Финляндия. Вторая - Румынией, СССР, Турцией, Чехословакией и Югославией. Третья - СССР и Литвой. Турция и Румыния подписали две конвенции, которые были по содержанию идентичны. Это было связано с тем, что страны Малой Антанты и Балканской Антанты подписывали обе конвенции, выступая не в своем национальном качестве, а как участники соответствующих блоков.</w:t>
      </w:r>
    </w:p>
    <w:p w14:paraId="79DC500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Агрессией признавались: 1) объявление одним государством войны другому; 2) вторжение вооруженными силами хотя бы и без объявления войны; 3) нападение сухопутными, военно-морскими или военно-воздушными силами на территорию, морские и воздушные суда другого государства; 4) морская блокада берегов или портов; 5) поддержка вооруженным бандам, которые, будучи образованными на территории одного государства, вторгнутся на территорию другого (3871).</w:t>
      </w:r>
    </w:p>
    <w:p w14:paraId="13F8006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2C33543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в Лондоне была подписана конвенция по определению агрессии (2579), инициированная СССР (3186).</w:t>
      </w:r>
    </w:p>
    <w:p w14:paraId="4833A18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7FC93539"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по инициативе СССР 11 государств подписали Конвенцию об определении агрессора (12629).</w:t>
      </w:r>
    </w:p>
    <w:p w14:paraId="650BC2D7" w14:textId="77777777" w:rsidR="004050DA" w:rsidRPr="0044524F" w:rsidRDefault="004050D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F3EAB1E"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подписана Лондонская конвенция об определении агрессии (4962).</w:t>
      </w:r>
    </w:p>
    <w:p w14:paraId="72375EC9"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3C2A66"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 1933 СССР и его ближайшие соседи подписывают Лондонскую конвенцию, содержащую определение агрессии (4962).</w:t>
      </w:r>
    </w:p>
    <w:p w14:paraId="0C335BC2"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E99F84F" w14:textId="77777777" w:rsidR="00352C76" w:rsidRPr="00142305" w:rsidRDefault="00352C76" w:rsidP="00352C7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и 4 июля 1933 г. между СССР и Турцией с участием ряда других государств были под</w:t>
      </w:r>
      <w:r w:rsidRPr="00142305">
        <w:rPr>
          <w:rStyle w:val="aff"/>
          <w:rFonts w:ascii="Times New Roman" w:hAnsi="Times New Roman" w:cs="Times New Roman"/>
          <w:color w:val="0070C0"/>
          <w:spacing w:val="0"/>
          <w:sz w:val="16"/>
          <w:szCs w:val="16"/>
        </w:rPr>
        <w:softHyphen/>
        <w:t>писаны две важные Конвенции об определе</w:t>
      </w:r>
      <w:r w:rsidRPr="00142305">
        <w:rPr>
          <w:rStyle w:val="aff"/>
          <w:rFonts w:ascii="Times New Roman" w:hAnsi="Times New Roman" w:cs="Times New Roman"/>
          <w:color w:val="0070C0"/>
          <w:spacing w:val="0"/>
          <w:sz w:val="16"/>
          <w:szCs w:val="16"/>
        </w:rPr>
        <w:softHyphen/>
        <w:t>нии агрессора, а 20 июля 1936 г. – Конвенция о режиме черноморских проливов. Высокий уровень и динамика межправительственных контактов позитивным образом сказывались на росте взаимного интереса друг к другу и во</w:t>
      </w:r>
      <w:r w:rsidRPr="00142305">
        <w:rPr>
          <w:rStyle w:val="aff"/>
          <w:rFonts w:ascii="Times New Roman" w:hAnsi="Times New Roman" w:cs="Times New Roman"/>
          <w:color w:val="0070C0"/>
          <w:spacing w:val="0"/>
          <w:sz w:val="16"/>
          <w:szCs w:val="16"/>
        </w:rPr>
        <w:softHyphen/>
        <w:t>енных представителей двух стран (25103).</w:t>
      </w:r>
    </w:p>
    <w:p w14:paraId="73D7FBC9" w14:textId="77777777" w:rsidR="00352C76" w:rsidRPr="00142305" w:rsidRDefault="00352C76" w:rsidP="00352C76">
      <w:pPr>
        <w:spacing w:after="0" w:line="240" w:lineRule="auto"/>
        <w:jc w:val="both"/>
        <w:rPr>
          <w:rFonts w:ascii="Times New Roman" w:hAnsi="Times New Roman"/>
          <w:color w:val="0070C0"/>
          <w:sz w:val="16"/>
          <w:szCs w:val="16"/>
        </w:rPr>
      </w:pPr>
    </w:p>
    <w:p w14:paraId="0C61E357" w14:textId="77777777" w:rsidR="00DF67AB" w:rsidRPr="0044524F" w:rsidRDefault="00DF67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3 июля</w:t>
      </w:r>
      <w:r w:rsidRPr="0044524F">
        <w:rPr>
          <w:rFonts w:ascii="Times New Roman" w:hAnsi="Times New Roman"/>
          <w:color w:val="000000" w:themeColor="text1"/>
          <w:sz w:val="16"/>
          <w:szCs w:val="16"/>
        </w:rPr>
        <w:t xml:space="preserve"> в 1933 году восемь государств подписали в Лондоне Конвенцию об определении агрессии. Восемь: Афганистан, Латвия, Персия (так назывался тогда Иран), Польша, Румыния, Турция, Эстония - и Советский Союз. В свете последующей истории - интересен состав участников конвенции (14941).</w:t>
      </w:r>
    </w:p>
    <w:p w14:paraId="225B2DA4" w14:textId="77777777" w:rsidR="00DF67AB" w:rsidRPr="0044524F" w:rsidRDefault="00DF67AB" w:rsidP="009654CF">
      <w:pPr>
        <w:spacing w:after="0" w:line="240" w:lineRule="auto"/>
        <w:jc w:val="both"/>
        <w:rPr>
          <w:rFonts w:ascii="Times New Roman" w:hAnsi="Times New Roman"/>
          <w:color w:val="000000" w:themeColor="text1"/>
          <w:sz w:val="16"/>
          <w:szCs w:val="16"/>
        </w:rPr>
      </w:pPr>
    </w:p>
    <w:p w14:paraId="1EF2A66D"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DE75FC3"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051B69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июля 1933 началась постройка АНТ-20 и продолжалась по 1 апреля 1934 (438,668).</w:t>
      </w:r>
    </w:p>
    <w:p w14:paraId="29D5ED1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0EF61E7F"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июля 1933 г. было начато строительство МГ, 3 апреля 1934 г. его вывезли на аэродром, а 14 апреля специальная комиссия произвела приемку самолета. 17 июня 1934 года летчик-испытатель ЦАГИ М.Громов на этом самолете выполнил первый полет продолжительностью 35 мин., а 19 июня состоялся второй полет над Красной площадью во время встречи челюскинцев...(15480).</w:t>
      </w:r>
    </w:p>
    <w:p w14:paraId="12FCA104" w14:textId="77777777" w:rsidR="0092785F" w:rsidRPr="0044524F" w:rsidRDefault="0092785F" w:rsidP="009654CF">
      <w:pPr>
        <w:spacing w:after="0" w:line="240" w:lineRule="auto"/>
        <w:jc w:val="both"/>
        <w:rPr>
          <w:rFonts w:ascii="Times New Roman" w:hAnsi="Times New Roman"/>
          <w:color w:val="000000" w:themeColor="text1"/>
          <w:sz w:val="16"/>
          <w:szCs w:val="16"/>
        </w:rPr>
      </w:pPr>
    </w:p>
    <w:p w14:paraId="00B9D6B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июля 1933 г. на Заводе опытных конструкций (ЗОК) ЦАГИ началась постройка "Максима Горького". Узлы самолета начали изготовлять, не дожидаясь окончания проектирования. Конструкторы и производственники работали параллельно. Чертежи сразу отправляли в цеха. По-видимому, при этом использовали некоторые уже сделанные части ТБ-4бис - уж очень быстро рос процент готовности гигантской машины. К сентябрю он достиг 25%, а к концу 1933 г. - 60%. Поставка оборудования и комплектующих осуществлялась более чем сотней предприятий со всей страны.</w:t>
      </w:r>
    </w:p>
    <w:p w14:paraId="74700B0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постройки Завод опытных конструкций регулярно отчитывался как перед комиссией, так и перед ГУАП. Ходом создания самолета-гиганта интересовалось и высшее руководство страны, включая И.В. Сталина.</w:t>
      </w:r>
    </w:p>
    <w:p w14:paraId="09638A0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Никакого военного оборудования на МГ ставить не собирались. Но военный вариант продолжал прорабатываться параллельно с агитационным (12024). </w:t>
      </w:r>
    </w:p>
    <w:p w14:paraId="4AB3BB7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6C2B742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4 июля 1933 г. на Заводе опытных конструкций (ЗОК) ЦАГИ началась постройка "Максима Горького". Узлы самолета начали изготовлять, не дожидаясь окончания проектирования. По-видимому, при этом использовали некоторые уже сделанные части ТБ-4бис - уж очень быстро рос процент готовности гигантской машины. К сентябрю он достиг 25%, а к концу года - 60%.</w:t>
      </w:r>
    </w:p>
    <w:p w14:paraId="5A15128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Никакого военного оборудования на МГ ставить не собирались. Зато для него удалось получить одни из первых двигателей М-34Р с редукторами, которые должны были существенно повысить эффективность мотоустановки тихоходной машины (12036).</w:t>
      </w:r>
    </w:p>
    <w:p w14:paraId="7573BA3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36AD850D" w14:textId="77777777" w:rsidR="00F77E5A" w:rsidRPr="0044524F" w:rsidRDefault="00F77E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июля 1933 г. началась постройка ма</w:t>
      </w:r>
      <w:r w:rsidRPr="0044524F">
        <w:rPr>
          <w:rFonts w:ascii="Times New Roman" w:hAnsi="Times New Roman"/>
          <w:color w:val="000000" w:themeColor="text1"/>
          <w:sz w:val="16"/>
          <w:szCs w:val="16"/>
        </w:rPr>
        <w:softHyphen/>
        <w:t>шины. Она проходила в громадном сбо</w:t>
      </w:r>
      <w:r w:rsidRPr="0044524F">
        <w:rPr>
          <w:rFonts w:ascii="Times New Roman" w:hAnsi="Times New Roman"/>
          <w:color w:val="000000" w:themeColor="text1"/>
          <w:sz w:val="16"/>
          <w:szCs w:val="16"/>
        </w:rPr>
        <w:softHyphen/>
        <w:t>рочном цехе завода опытных конструкций ЦАГИ (ЗОК). Завод, напомним, обязан</w:t>
      </w:r>
      <w:r w:rsidRPr="0044524F">
        <w:rPr>
          <w:rFonts w:ascii="Times New Roman" w:hAnsi="Times New Roman"/>
          <w:color w:val="000000" w:themeColor="text1"/>
          <w:sz w:val="16"/>
          <w:szCs w:val="16"/>
        </w:rPr>
        <w:softHyphen/>
        <w:t>ный своим рождением воле и дару предви</w:t>
      </w:r>
      <w:r w:rsidRPr="0044524F">
        <w:rPr>
          <w:rFonts w:ascii="Times New Roman" w:hAnsi="Times New Roman"/>
          <w:color w:val="000000" w:themeColor="text1"/>
          <w:sz w:val="16"/>
          <w:szCs w:val="16"/>
        </w:rPr>
        <w:softHyphen/>
        <w:t>дения А.Н. Туполева, вступил в строй в 1932 г. Первым построенным на нем само</w:t>
      </w:r>
      <w:r w:rsidRPr="0044524F">
        <w:rPr>
          <w:rFonts w:ascii="Times New Roman" w:hAnsi="Times New Roman"/>
          <w:color w:val="000000" w:themeColor="text1"/>
          <w:sz w:val="16"/>
          <w:szCs w:val="16"/>
        </w:rPr>
        <w:softHyphen/>
        <w:t>летом стал опытный образец бомбарди</w:t>
      </w:r>
      <w:r w:rsidRPr="0044524F">
        <w:rPr>
          <w:rFonts w:ascii="Times New Roman" w:hAnsi="Times New Roman"/>
          <w:color w:val="000000" w:themeColor="text1"/>
          <w:sz w:val="16"/>
          <w:szCs w:val="16"/>
        </w:rPr>
        <w:softHyphen/>
        <w:t>ровщика ТБ-4 (АНТ-16). По дате создания завод был как-бы молод, но его рабочие и инженеры уже много лет работали под ру</w:t>
      </w:r>
      <w:r w:rsidRPr="0044524F">
        <w:rPr>
          <w:rFonts w:ascii="Times New Roman" w:hAnsi="Times New Roman"/>
          <w:color w:val="000000" w:themeColor="text1"/>
          <w:sz w:val="16"/>
          <w:szCs w:val="16"/>
        </w:rPr>
        <w:softHyphen/>
        <w:t>ководством Туполева еще в стенах Отдела авиации, гидроавиации и опытного строи</w:t>
      </w:r>
      <w:r w:rsidRPr="0044524F">
        <w:rPr>
          <w:rFonts w:ascii="Times New Roman" w:hAnsi="Times New Roman"/>
          <w:color w:val="000000" w:themeColor="text1"/>
          <w:sz w:val="16"/>
          <w:szCs w:val="16"/>
        </w:rPr>
        <w:softHyphen/>
        <w:t>тельства (АГОС). Это здание, первый рус</w:t>
      </w:r>
      <w:r w:rsidRPr="0044524F">
        <w:rPr>
          <w:rFonts w:ascii="Times New Roman" w:hAnsi="Times New Roman"/>
          <w:color w:val="000000" w:themeColor="text1"/>
          <w:sz w:val="16"/>
          <w:szCs w:val="16"/>
        </w:rPr>
        <w:softHyphen/>
        <w:t>ский завод цельнометаллического самоле</w:t>
      </w:r>
      <w:r w:rsidRPr="0044524F">
        <w:rPr>
          <w:rFonts w:ascii="Times New Roman" w:hAnsi="Times New Roman"/>
          <w:color w:val="000000" w:themeColor="text1"/>
          <w:sz w:val="16"/>
          <w:szCs w:val="16"/>
        </w:rPr>
        <w:softHyphen/>
        <w:t>тостроения, все еще, слава богу, стоит на углу Бауманской улицы и улицы Радио. Все работники ЗОКа были патриотами своего дела, любили его и гордились им. Самое главное — они были высококвали</w:t>
      </w:r>
      <w:r w:rsidRPr="0044524F">
        <w:rPr>
          <w:rFonts w:ascii="Times New Roman" w:hAnsi="Times New Roman"/>
          <w:color w:val="000000" w:themeColor="text1"/>
          <w:sz w:val="16"/>
          <w:szCs w:val="16"/>
        </w:rPr>
        <w:softHyphen/>
        <w:t>фицированными специалистами.</w:t>
      </w:r>
    </w:p>
    <w:p w14:paraId="39D60CB4" w14:textId="77777777" w:rsidR="00F77E5A" w:rsidRPr="0044524F" w:rsidRDefault="00F77E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вот теперь молодом) заводу пред</w:t>
      </w:r>
      <w:r w:rsidRPr="0044524F">
        <w:rPr>
          <w:rFonts w:ascii="Times New Roman" w:hAnsi="Times New Roman"/>
          <w:color w:val="000000" w:themeColor="text1"/>
          <w:sz w:val="16"/>
          <w:szCs w:val="16"/>
        </w:rPr>
        <w:softHyphen/>
        <w:t>стояло построить самый большой в мире сухопутный самолет, да еще и невиданно</w:t>
      </w:r>
      <w:r w:rsidRPr="0044524F">
        <w:rPr>
          <w:rFonts w:ascii="Times New Roman" w:hAnsi="Times New Roman"/>
          <w:color w:val="000000" w:themeColor="text1"/>
          <w:sz w:val="16"/>
          <w:szCs w:val="16"/>
        </w:rPr>
        <w:softHyphen/>
        <w:t>го ранее назначения. Для выполнения поставленной задачи требовались новые подходы, о срыве намеченного срока не могло быть и речи.</w:t>
      </w:r>
    </w:p>
    <w:p w14:paraId="63B22C15" w14:textId="77777777" w:rsidR="00F77E5A" w:rsidRPr="0044524F" w:rsidRDefault="00F77E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Сразу же был установлен жесткий контроль за графиком выполнения рабо</w:t>
      </w:r>
      <w:r w:rsidRPr="0044524F">
        <w:rPr>
          <w:rFonts w:ascii="Times New Roman" w:hAnsi="Times New Roman"/>
          <w:color w:val="000000" w:themeColor="text1"/>
          <w:sz w:val="16"/>
          <w:szCs w:val="16"/>
        </w:rPr>
        <w:softHyphen/>
        <w:t>ты. Использовали авторитет партийной и комсомольской организаций. В те годы они играли большую — в том числе и ор</w:t>
      </w:r>
      <w:r w:rsidRPr="0044524F">
        <w:rPr>
          <w:rFonts w:ascii="Times New Roman" w:hAnsi="Times New Roman"/>
          <w:color w:val="000000" w:themeColor="text1"/>
          <w:sz w:val="16"/>
          <w:szCs w:val="16"/>
        </w:rPr>
        <w:softHyphen/>
        <w:t>ганизационную — роль в жизни любого коллектива страны. ЦАГИ не был исклю</w:t>
      </w:r>
      <w:r w:rsidRPr="0044524F">
        <w:rPr>
          <w:rFonts w:ascii="Times New Roman" w:hAnsi="Times New Roman"/>
          <w:color w:val="000000" w:themeColor="text1"/>
          <w:sz w:val="16"/>
          <w:szCs w:val="16"/>
        </w:rPr>
        <w:softHyphen/>
        <w:t>чением.</w:t>
      </w:r>
    </w:p>
    <w:p w14:paraId="4552018A" w14:textId="77777777" w:rsidR="00F77E5A" w:rsidRPr="0044524F" w:rsidRDefault="00F77E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газете «ЦАГИ», выходившей три раза в месяц, регулярно освещался ход этих работ. В красном уголке сбороч</w:t>
      </w:r>
      <w:r w:rsidRPr="0044524F">
        <w:rPr>
          <w:rFonts w:ascii="Times New Roman" w:hAnsi="Times New Roman"/>
          <w:color w:val="000000" w:themeColor="text1"/>
          <w:sz w:val="16"/>
          <w:szCs w:val="16"/>
          <w:lang w:eastAsia="ru-RU" w:bidi="ru-RU"/>
        </w:rPr>
        <w:softHyphen/>
        <w:t>ного цеха всегда оперативно появлялся стенной комсомольский «Крокодил». Он был нелицеприятен и смело говорил о всех недостатках в работе. Невзирая на лица и должности. Цех был радиофици</w:t>
      </w:r>
      <w:r w:rsidRPr="0044524F">
        <w:rPr>
          <w:rFonts w:ascii="Times New Roman" w:hAnsi="Times New Roman"/>
          <w:color w:val="000000" w:themeColor="text1"/>
          <w:sz w:val="16"/>
          <w:szCs w:val="16"/>
          <w:lang w:eastAsia="ru-RU" w:bidi="ru-RU"/>
        </w:rPr>
        <w:softHyphen/>
        <w:t>рован, и диктор ежедневно доводил до всеобщего сведения как удачи, так и неудачи трудового дня (21240).</w:t>
      </w:r>
    </w:p>
    <w:p w14:paraId="7611D1CA" w14:textId="77777777" w:rsidR="00F77E5A" w:rsidRPr="0044524F" w:rsidRDefault="00F77E5A" w:rsidP="009654CF">
      <w:pPr>
        <w:spacing w:after="0" w:line="240" w:lineRule="auto"/>
        <w:jc w:val="both"/>
        <w:rPr>
          <w:rFonts w:ascii="Times New Roman" w:hAnsi="Times New Roman"/>
          <w:color w:val="000000" w:themeColor="text1"/>
          <w:sz w:val="16"/>
          <w:szCs w:val="16"/>
        </w:rPr>
      </w:pPr>
    </w:p>
    <w:p w14:paraId="69BCFA04"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июля 1933 г. начали строить «МГ», а менее чем через год — 1 апреля 1934 г. он уже был готов. Его расстыковали и по час</w:t>
      </w:r>
      <w:r w:rsidRPr="0044524F">
        <w:rPr>
          <w:rFonts w:ascii="Times New Roman" w:hAnsi="Times New Roman"/>
          <w:color w:val="000000" w:themeColor="text1"/>
          <w:sz w:val="16"/>
          <w:szCs w:val="16"/>
        </w:rPr>
        <w:softHyphen/>
        <w:t>тям перевезли на Центральный аэродром, где снова собрали. На постройку «МГ» за</w:t>
      </w:r>
      <w:r w:rsidRPr="0044524F">
        <w:rPr>
          <w:rFonts w:ascii="Times New Roman" w:hAnsi="Times New Roman"/>
          <w:color w:val="000000" w:themeColor="text1"/>
          <w:sz w:val="16"/>
          <w:szCs w:val="16"/>
        </w:rPr>
        <w:softHyphen/>
        <w:t>тратили 586,8 тыс. часов и 2574,4 тыс. руб</w:t>
      </w:r>
      <w:r w:rsidRPr="0044524F">
        <w:rPr>
          <w:rFonts w:ascii="Times New Roman" w:hAnsi="Times New Roman"/>
          <w:color w:val="000000" w:themeColor="text1"/>
          <w:sz w:val="16"/>
          <w:szCs w:val="16"/>
        </w:rPr>
        <w:softHyphen/>
        <w:t>лей (не считая институтских расходов) (23474).</w:t>
      </w:r>
    </w:p>
    <w:p w14:paraId="11D04898" w14:textId="77777777" w:rsidR="0024489B" w:rsidRPr="0044524F" w:rsidRDefault="0024489B" w:rsidP="009654CF">
      <w:pPr>
        <w:spacing w:after="0" w:line="240" w:lineRule="auto"/>
        <w:jc w:val="both"/>
        <w:rPr>
          <w:rFonts w:ascii="Times New Roman" w:hAnsi="Times New Roman"/>
          <w:color w:val="000000" w:themeColor="text1"/>
          <w:sz w:val="16"/>
          <w:szCs w:val="16"/>
        </w:rPr>
      </w:pPr>
    </w:p>
    <w:p w14:paraId="60FD1002" w14:textId="77777777" w:rsidR="00352C76" w:rsidRPr="00142305" w:rsidRDefault="00352C76" w:rsidP="00352C7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июля 1933 г. на Заводе опытных конструкций (ЗОК) ЦАГИ началась постройка «Максима Горького». Узлы само</w:t>
      </w:r>
      <w:r w:rsidRPr="00142305">
        <w:rPr>
          <w:rFonts w:ascii="Times New Roman" w:hAnsi="Times New Roman"/>
          <w:color w:val="0070C0"/>
          <w:sz w:val="16"/>
          <w:szCs w:val="16"/>
        </w:rPr>
        <w:softHyphen/>
        <w:t>лета начали изготовлять, не дожидаясь окончания проекти</w:t>
      </w:r>
      <w:r w:rsidRPr="00142305">
        <w:rPr>
          <w:rFonts w:ascii="Times New Roman" w:hAnsi="Times New Roman"/>
          <w:color w:val="0070C0"/>
          <w:sz w:val="16"/>
          <w:szCs w:val="16"/>
        </w:rPr>
        <w:softHyphen/>
        <w:t>рования. По-видимому, при этом использовали некоторые уже сделанные части ТБ-4бис — уж очень быстро рос про</w:t>
      </w:r>
      <w:r w:rsidRPr="00142305">
        <w:rPr>
          <w:rFonts w:ascii="Times New Roman" w:hAnsi="Times New Roman"/>
          <w:color w:val="0070C0"/>
          <w:sz w:val="16"/>
          <w:szCs w:val="16"/>
        </w:rPr>
        <w:softHyphen/>
        <w:t>цент готовности гигантской машины. К сентябрю он достиг 25%, а к концу года — 60%.</w:t>
      </w:r>
    </w:p>
    <w:p w14:paraId="675C0925" w14:textId="77777777" w:rsidR="00352C76" w:rsidRPr="00142305" w:rsidRDefault="00352C76" w:rsidP="00352C7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Никакого военного оборудования на МГ ставить не со</w:t>
      </w:r>
      <w:r w:rsidRPr="00142305">
        <w:rPr>
          <w:rFonts w:ascii="Times New Roman" w:hAnsi="Times New Roman"/>
          <w:color w:val="0070C0"/>
          <w:sz w:val="16"/>
          <w:szCs w:val="16"/>
        </w:rPr>
        <w:softHyphen/>
        <w:t>бирались. Зато для него удалось получить одни из первых двигателей М-34Р с редукторами, которые должны были су</w:t>
      </w:r>
      <w:r w:rsidRPr="00142305">
        <w:rPr>
          <w:rFonts w:ascii="Times New Roman" w:hAnsi="Times New Roman"/>
          <w:color w:val="0070C0"/>
          <w:sz w:val="16"/>
          <w:szCs w:val="16"/>
        </w:rPr>
        <w:softHyphen/>
        <w:t>щественно повысить эффективность мотоустановки тихо</w:t>
      </w:r>
      <w:r w:rsidRPr="00142305">
        <w:rPr>
          <w:rFonts w:ascii="Times New Roman" w:hAnsi="Times New Roman"/>
          <w:color w:val="0070C0"/>
          <w:sz w:val="16"/>
          <w:szCs w:val="16"/>
        </w:rPr>
        <w:softHyphen/>
        <w:t>ходной машины.</w:t>
      </w:r>
    </w:p>
    <w:p w14:paraId="50D7CA46" w14:textId="77777777" w:rsidR="00352C76" w:rsidRPr="00142305" w:rsidRDefault="00352C76" w:rsidP="00352C7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Строя агитсамолет, ни УВВС, ни ЦАГИ ни на минуту не забывали о задании на тяжелый бомбардировщик (24977).</w:t>
      </w:r>
    </w:p>
    <w:p w14:paraId="0177C69C" w14:textId="77777777" w:rsidR="00352C76" w:rsidRPr="00142305" w:rsidRDefault="00352C76" w:rsidP="00352C76">
      <w:pPr>
        <w:spacing w:after="0" w:line="240" w:lineRule="auto"/>
        <w:jc w:val="both"/>
        <w:rPr>
          <w:rFonts w:ascii="Times New Roman" w:hAnsi="Times New Roman"/>
          <w:color w:val="0070C0"/>
          <w:sz w:val="16"/>
          <w:szCs w:val="16"/>
        </w:rPr>
      </w:pPr>
    </w:p>
    <w:p w14:paraId="73BB207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июля 1933 л Бухгольц прибыл в Севастополь и сделал на Савойе </w:t>
      </w:r>
      <w:r w:rsidRPr="0044524F">
        <w:rPr>
          <w:rFonts w:ascii="Times New Roman" w:hAnsi="Times New Roman"/>
          <w:color w:val="000000" w:themeColor="text1"/>
          <w:sz w:val="16"/>
          <w:szCs w:val="16"/>
          <w:lang w:val="en-US"/>
        </w:rPr>
        <w:t>S</w:t>
      </w:r>
      <w:r w:rsidRPr="0044524F">
        <w:rPr>
          <w:rFonts w:ascii="Times New Roman" w:hAnsi="Times New Roman"/>
          <w:color w:val="000000" w:themeColor="text1"/>
          <w:sz w:val="16"/>
          <w:szCs w:val="16"/>
        </w:rPr>
        <w:t>.55 зав. № 10526 три полета продолжительностью около часа. На следующий день приехал летнаб Па</w:t>
      </w:r>
      <w:r w:rsidRPr="0044524F">
        <w:rPr>
          <w:rFonts w:ascii="Times New Roman" w:hAnsi="Times New Roman"/>
          <w:color w:val="000000" w:themeColor="text1"/>
          <w:sz w:val="16"/>
          <w:szCs w:val="16"/>
        </w:rPr>
        <w:softHyphen/>
        <w:t>дал ко. Хотя самолет был новым, но к полетам на Севере подготовлен полностью не был. В част</w:t>
      </w:r>
      <w:r w:rsidRPr="0044524F">
        <w:rPr>
          <w:rFonts w:ascii="Times New Roman" w:hAnsi="Times New Roman"/>
          <w:color w:val="000000" w:themeColor="text1"/>
          <w:sz w:val="16"/>
          <w:szCs w:val="16"/>
        </w:rPr>
        <w:softHyphen/>
        <w:t>ности, на нем не были установлены дополни</w:t>
      </w:r>
      <w:r w:rsidRPr="0044524F">
        <w:rPr>
          <w:rFonts w:ascii="Times New Roman" w:hAnsi="Times New Roman"/>
          <w:color w:val="000000" w:themeColor="text1"/>
          <w:sz w:val="16"/>
          <w:szCs w:val="16"/>
        </w:rPr>
        <w:softHyphen/>
        <w:t>тельные баки. Полет задерживало также от</w:t>
      </w:r>
      <w:r w:rsidRPr="0044524F">
        <w:rPr>
          <w:rFonts w:ascii="Times New Roman" w:hAnsi="Times New Roman"/>
          <w:color w:val="000000" w:themeColor="text1"/>
          <w:sz w:val="16"/>
          <w:szCs w:val="16"/>
        </w:rPr>
        <w:softHyphen/>
        <w:t>сутствие запасных частей к мотору. Однако сроки поджимали...По расчетам Бухгольца, полет от Севасто</w:t>
      </w:r>
      <w:r w:rsidRPr="0044524F">
        <w:rPr>
          <w:rFonts w:ascii="Times New Roman" w:hAnsi="Times New Roman"/>
          <w:color w:val="000000" w:themeColor="text1"/>
          <w:sz w:val="16"/>
          <w:szCs w:val="16"/>
        </w:rPr>
        <w:softHyphen/>
        <w:t>поля до Якутска должен был продолжаться 37 летных часов, за которые самолет мог покрыть 5500 км (до Иркутска, соответственно, 27 ча</w:t>
      </w:r>
      <w:r w:rsidRPr="0044524F">
        <w:rPr>
          <w:rFonts w:ascii="Times New Roman" w:hAnsi="Times New Roman"/>
          <w:color w:val="000000" w:themeColor="text1"/>
          <w:sz w:val="16"/>
          <w:szCs w:val="16"/>
        </w:rPr>
        <w:softHyphen/>
        <w:t>сов и 2950 км). Участок от Севастополя до Вольска протяженностью 1450 км предполага</w:t>
      </w:r>
      <w:r w:rsidRPr="0044524F">
        <w:rPr>
          <w:rFonts w:ascii="Times New Roman" w:hAnsi="Times New Roman"/>
          <w:color w:val="000000" w:themeColor="text1"/>
          <w:sz w:val="16"/>
          <w:szCs w:val="16"/>
        </w:rPr>
        <w:softHyphen/>
        <w:t>лось преодолеть за 7 часов (11975).</w:t>
      </w:r>
    </w:p>
    <w:p w14:paraId="6CD9BC2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78147AFC" w14:textId="77777777" w:rsidR="00DC5A55" w:rsidRPr="0044524F" w:rsidRDefault="00DC5A55"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4 июля 1932 года Комиссия Обороны при Совете Народных Комиссаров (СНК) СССР утвердила план работ по опытному самолето- и моторостроению на 1932-1934 годы.</w:t>
      </w:r>
    </w:p>
    <w:p w14:paraId="44BF0CC2" w14:textId="77777777" w:rsidR="00DC5A55" w:rsidRPr="0044524F" w:rsidRDefault="00DC5A55"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По плану бригаде №3 КОСОС ЦАГИ надлежало спроектировать, построить и передать на государственные испытания ряд самолетов, одним из которых был – двухместный истребитель пушечный ДИП 2М-34 – 1 октября 1933 года (19175).</w:t>
      </w:r>
    </w:p>
    <w:p w14:paraId="70594803" w14:textId="77777777" w:rsidR="00DC5A55" w:rsidRPr="0044524F" w:rsidRDefault="00DC5A55" w:rsidP="009654CF">
      <w:pPr>
        <w:pStyle w:val="ae"/>
        <w:shd w:val="clear" w:color="auto" w:fill="FFFFFF"/>
        <w:spacing w:before="0" w:after="0"/>
        <w:jc w:val="both"/>
        <w:textAlignment w:val="baseline"/>
        <w:rPr>
          <w:color w:val="000000" w:themeColor="text1"/>
          <w:sz w:val="16"/>
          <w:szCs w:val="16"/>
        </w:rPr>
      </w:pPr>
    </w:p>
    <w:p w14:paraId="2C2C9D9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4 июля по 1 сентября 1933 года проходили повторные полигонные испытания "ВОМИЗА-250" (Воздушная мина заграждения с 250 кг зарядом взрывчатого вещества), т.к. первые испытания в ноябре 1932 были прекращены из-за неудовлетворительного действия механизмов отдачи мины от якоря (3053).</w:t>
      </w:r>
    </w:p>
    <w:p w14:paraId="46A77A0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22026C1D" w14:textId="77777777" w:rsidR="0092785F"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1FA6622" w14:textId="77777777" w:rsidR="0092785F" w:rsidRPr="0044524F" w:rsidRDefault="0092785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2CF8C7" w14:textId="77777777" w:rsidR="0092785F" w:rsidRPr="0044524F" w:rsidRDefault="0092785F" w:rsidP="009654CF">
      <w:pPr>
        <w:pStyle w:val="rtejustify"/>
        <w:spacing w:before="0" w:after="0"/>
        <w:rPr>
          <w:color w:val="000000" w:themeColor="text1"/>
          <w:sz w:val="16"/>
          <w:szCs w:val="16"/>
        </w:rPr>
      </w:pPr>
      <w:r w:rsidRPr="0044524F">
        <w:rPr>
          <w:rStyle w:val="af0"/>
          <w:bCs/>
          <w:i w:val="0"/>
          <w:color w:val="000000" w:themeColor="text1"/>
          <w:sz w:val="16"/>
          <w:szCs w:val="16"/>
        </w:rPr>
        <w:t>4 июля 1933 вышел приказ НКТП № 621.</w:t>
      </w:r>
      <w:r w:rsidRPr="0044524F">
        <w:rPr>
          <w:color w:val="000000" w:themeColor="text1"/>
          <w:sz w:val="16"/>
          <w:szCs w:val="16"/>
        </w:rPr>
        <w:t xml:space="preserve"> О металлургических цехах Ленинградских машиностроительных заводов. (РГАЭ. Ф. 7297. Оп. 38. Д. 38. Л. 53) (15246).</w:t>
      </w:r>
    </w:p>
    <w:p w14:paraId="6E509646" w14:textId="77777777" w:rsidR="0092785F" w:rsidRPr="0044524F" w:rsidRDefault="0092785F" w:rsidP="009654CF">
      <w:pPr>
        <w:pStyle w:val="rtejustify"/>
        <w:spacing w:before="0" w:after="0"/>
        <w:rPr>
          <w:color w:val="000000" w:themeColor="text1"/>
          <w:sz w:val="16"/>
          <w:szCs w:val="16"/>
        </w:rPr>
      </w:pPr>
    </w:p>
    <w:p w14:paraId="24A1ED2C"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31480A1"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497A3E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июля 1933 ЦИК издал постановление «О награждении орденами СССР работников, инженеров и руководителей строительства Беломорско-Балтийского канала имени Сталина», гласившее:</w:t>
      </w:r>
    </w:p>
    <w:p w14:paraId="7878128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ЦИК СССР, рассмотрев представление СНК СССР о награждении орденами СССР наиболее отличившихся работников, инженеров и руководителей Беломорстроя, постановляет:</w:t>
      </w:r>
    </w:p>
    <w:p w14:paraId="316CEDF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наградить орденом «Ленина»:</w:t>
      </w:r>
    </w:p>
    <w:p w14:paraId="3AF1D38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Ягоду Генриха Григорьевича - зам. пред. ОГПУ СССР</w:t>
      </w:r>
    </w:p>
    <w:p w14:paraId="6A4BCD3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Когана Лазаря Иосифовича - нач. Беломорстроя</w:t>
      </w:r>
    </w:p>
    <w:p w14:paraId="790D5AA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Бермана Матвея Давыдовича - нач. ГУИТЛ ОГПУ</w:t>
      </w:r>
    </w:p>
    <w:p w14:paraId="105C7D8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Фирина Семена Григорьевича - нач. ББ ИТЛ и зам. нач. ГУИТЛ ОГПУ</w:t>
      </w:r>
    </w:p>
    <w:p w14:paraId="4749A13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Рапопорта Якова Давыдовича - зам. нач. Беломорстроя и зам. нач. ГУИТЛ ОГПУ</w:t>
      </w:r>
    </w:p>
    <w:p w14:paraId="6EBA21F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Жука Сергея Яковлевича - зам. главного инженера Беломорстроя</w:t>
      </w:r>
    </w:p>
    <w:p w14:paraId="75B5743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Френкеля Нафталия Ароновича - пом. нач. Беломорстроя и нач. работ</w:t>
      </w:r>
    </w:p>
    <w:p w14:paraId="4D38557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Вержбицкого Константина Андреевича - зам. гл. инж. строительства</w:t>
      </w:r>
    </w:p>
    <w:p w14:paraId="0532CCC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наградить орденом «Красной Звезды»:</w:t>
      </w:r>
    </w:p>
    <w:p w14:paraId="08E7E53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Успенского Дмитрия Владимировича - нач. Северного участка строит.</w:t>
      </w:r>
    </w:p>
    <w:p w14:paraId="435205F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Афанасьева Григория Давыдовича - нач. Южного участка строит.</w:t>
      </w:r>
    </w:p>
    <w:p w14:paraId="3CBAAB8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Берензона Лазаря Иосифовича - нач. Финотдела Беломорстроя</w:t>
      </w:r>
    </w:p>
    <w:p w14:paraId="6053C7C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наградить орденом «Трудового Красного Знамени»:</w:t>
      </w:r>
    </w:p>
    <w:p w14:paraId="0924777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Журина Владимира Дмитриевича - нач. проектного отдела строит.</w:t>
      </w:r>
    </w:p>
    <w:p w14:paraId="5708A77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Вывесить на главной части сооружений Беломорско-Балтийского канала имени т. Сталина доску почета с занесением на нее имен отличившихся строителей канала, с указанием на ней даты начала и окончания строительства.</w:t>
      </w:r>
    </w:p>
    <w:p w14:paraId="020E3F4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Поручить ОГПУ СССР издать монографию строительства Беломорско-Балтийского канала имени тов. Сталина».</w:t>
      </w:r>
    </w:p>
    <w:p w14:paraId="779E4A9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Коллективная монография «Беломорско-Балтийский Канал имени Сталина: История строительства 1931-1934 гг.», написанная без малого сорока литераторами под редакцией М. Горького, Л. Авербаха (шурина Ягоды) и С. Фирина, не замедлила появиться в 1934-м под маркой «ОГИЗ - Государственное издательство - «История фабрик и заводов»» (переиздана репринтным способом в 1998 году московской типографией «Политех-4»). Для подготовки монографии ОГПУ организовало поездку на Беломорканал группы писателей и художников, по ее окончании (22-23 августа 1933-го) направивших на имя Ягоды благодарственные письма; Александр Безыменский выразил свою признательность даже в стихах:</w:t>
      </w:r>
    </w:p>
    <w:p w14:paraId="0EA0DE8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Товарищу Ягоде</w:t>
      </w:r>
    </w:p>
    <w:p w14:paraId="4C86814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поэта, с гордостью носящего присвоенное ему враждебной нам прессой всех стран имя литературного чекиста</w:t>
      </w:r>
    </w:p>
    <w:p w14:paraId="5F1AEB5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Донесение</w:t>
      </w:r>
    </w:p>
    <w:p w14:paraId="26C270C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 сообщаю героической Чека,</w:t>
      </w:r>
    </w:p>
    <w:p w14:paraId="0C6E0AF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грандиозность Беломорского канала</w:t>
      </w:r>
    </w:p>
    <w:p w14:paraId="74A6884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мысль вождя, что жизнь ему давала,</w:t>
      </w:r>
    </w:p>
    <w:p w14:paraId="33C8007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Войдут невиданной поэмою в века (7560).</w:t>
      </w:r>
    </w:p>
    <w:p w14:paraId="1AC7817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если коллективом вдохновений</w:t>
      </w:r>
    </w:p>
    <w:p w14:paraId="72BEAC1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Поэму Беломорского пути</w:t>
      </w:r>
    </w:p>
    <w:p w14:paraId="17DBC8F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Сумеем мы в литературу донести,</w:t>
      </w:r>
    </w:p>
    <w:p w14:paraId="65BA706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это будет лучшее из наших донесений (7560).</w:t>
      </w:r>
    </w:p>
    <w:p w14:paraId="3C76AE6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300D8BD9"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2BAC2ED"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1D4AF5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июля 1933 г. немецкая национальная народная партия и Баварская народная партия (соответственно 53 и 19 мандатов на последних выборах) заявили о своем самороспуске; 5 июля самораспустилась католическая партия Центра (73 мандата). 7 июля были объявлены недействительными полномочия депутатов СДПГ всех уровней. 14 июля был издан закон, запрещавший существование в Германии какой-либо партии, кроме НСДАП. И довершил установление национал-социалистического режима закон «об обеспечении единства партии и государства», объявивший НСДАП «носительницей немецкой государственной мысли» (Reichsgesetzblatt, 1933, Bd.I. S. 1016). Наконец, специальным постановлением Гитлера уже в 1937 г., когда последние беспартийные министры Шахт, Нойрат и др. вступили в НСДАП, было решено, что любое назначение на государственную должность, произведенное без согласия НСДАП, считалось недействительным. (Розанов Г. Л. Указ. соч. с. 102) (11784).</w:t>
      </w:r>
    </w:p>
    <w:p w14:paraId="7756E9F3" w14:textId="4AA783E1"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177B3BC3" w14:textId="06BB69D5" w:rsidR="00F77E5A" w:rsidRPr="0044524F" w:rsidRDefault="00F77E5A"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23529117" w14:textId="77777777" w:rsidR="00F77E5A" w:rsidRPr="0044524F" w:rsidRDefault="00F77E5A"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3859C84C" w14:textId="77777777" w:rsidR="00F77E5A" w:rsidRPr="0044524F" w:rsidRDefault="00F77E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июля 1933 года в Гамбурге по инициативе Вальтера Блома, который считал, что коммерческая авиация может составить реальную конкуренцию судоходству, и этот рынок тоже необходимо осваивать, было основано авиационное отделение судостроительной фирмы «Блом унд Фосс». Вскоре оно получило первый заказ в области самолетостроения — изготовление узлов для Ju.532/3m. Получив статус госпредприятия, филиал «Гамбургер Флюгцойгбау» накопил опыт на легких самолетах и по собственной инициативе взялся за тяжелые гидропланы (22817).</w:t>
      </w:r>
    </w:p>
    <w:p w14:paraId="6765E24D" w14:textId="77777777" w:rsidR="00F77E5A" w:rsidRPr="0044524F" w:rsidRDefault="00F77E5A" w:rsidP="009654CF">
      <w:pPr>
        <w:spacing w:after="0" w:line="240" w:lineRule="auto"/>
        <w:jc w:val="both"/>
        <w:rPr>
          <w:rFonts w:ascii="Times New Roman" w:hAnsi="Times New Roman"/>
          <w:color w:val="000000" w:themeColor="text1"/>
          <w:sz w:val="16"/>
          <w:szCs w:val="16"/>
        </w:rPr>
      </w:pPr>
    </w:p>
    <w:p w14:paraId="5C5A1792"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7472578"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F750F8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июля 1933 ЦАГИ направил в НИИ ВВС замечания по заключению от 23 июня 1933 по И-5 эталону на 1933. Писали, что неправильные замечания (1041).</w:t>
      </w:r>
    </w:p>
    <w:p w14:paraId="58E0E0C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461C9B2C" w14:textId="77777777" w:rsidR="008A0184" w:rsidRPr="0044524F" w:rsidRDefault="008A018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июля 1933 состоялось совещание по заключению НИИ ВВС о предварительном испытании на земле самолета И-5 № 21117 эталона 1933 года, пред"явленного ЦАГИ на государственные испытания</w:t>
      </w:r>
    </w:p>
    <w:p w14:paraId="5279AF24" w14:textId="77777777" w:rsidR="008A0184" w:rsidRPr="0044524F" w:rsidRDefault="008A018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Присутствовали: Барбаумов ЦАГИ, Брагин ГУАП и Никольский — НИИВВС, 29 сект.</w:t>
      </w:r>
    </w:p>
    <w:p w14:paraId="2140CED9" w14:textId="77777777" w:rsidR="008A0184" w:rsidRPr="0044524F" w:rsidRDefault="008A018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 : заключение НИИ ВВС от 23/У1-33 года.</w:t>
      </w:r>
    </w:p>
    <w:p w14:paraId="4E4C1B58" w14:textId="77777777" w:rsidR="008A0184" w:rsidRPr="0044524F" w:rsidRDefault="008A018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 Заключение НИИ ВВС нуждается в исправлениях, а именно, по, пунктам:</w:t>
      </w:r>
    </w:p>
    <w:p w14:paraId="58C1E7DE" w14:textId="77777777" w:rsidR="008A0184" w:rsidRPr="0044524F" w:rsidRDefault="008A018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 стрелковой установке.</w:t>
      </w:r>
    </w:p>
    <w:p w14:paraId="21E914E1" w14:textId="77777777" w:rsidR="008A0184" w:rsidRPr="0044524F" w:rsidRDefault="008A0184"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2. Непонятно как при указанном дефекте производилась приемка самолета от ОЭЛИДА. В ОЭЛИДе каждым из электромагнитов был проверен работой на земле нажатием кнопок на гашетках /под</w:t>
      </w:r>
      <w:r w:rsidRPr="0044524F">
        <w:rPr>
          <w:rFonts w:ascii="Times New Roman" w:hAnsi="Times New Roman"/>
          <w:color w:val="000000" w:themeColor="text1"/>
          <w:sz w:val="16"/>
          <w:szCs w:val="16"/>
        </w:rPr>
        <w:softHyphen/>
        <w:t>тверждено техником Ивановым участвовавшим в проверке/.</w:t>
      </w:r>
    </w:p>
    <w:p w14:paraId="05D2BE6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6. Этот пункт попал в заключение по явному недоразумению. Электромагниты расчитаны на стрельбу только при работе мотора (10757).</w:t>
      </w:r>
    </w:p>
    <w:p w14:paraId="00E0286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327AB1D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июля 1933 г. были проведены испытания самолета "З-1" (ТБ1; 2И4) измененной конструкции. Испытывался в полете самолет "З-1", составленный из самолетов ТБ1 N 678, И4 N 1533 на левом крыле и И4 N 1583 на правом.</w:t>
      </w:r>
    </w:p>
    <w:p w14:paraId="280638D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1BF4F0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"З-1" с вышеуказанными переделками вполне годен к эксплуатации в строевых частях ВВС. (3060,1).</w:t>
      </w:r>
    </w:p>
    <w:p w14:paraId="7346D91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0002B231"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июля 1933 г. командир авиабригады НИИ ВВС Залевский подписал следующее заклю</w:t>
      </w:r>
      <w:r w:rsidRPr="0044524F">
        <w:rPr>
          <w:rFonts w:ascii="Times New Roman" w:hAnsi="Times New Roman"/>
          <w:color w:val="000000" w:themeColor="text1"/>
          <w:sz w:val="16"/>
          <w:szCs w:val="16"/>
        </w:rPr>
        <w:softHyphen/>
        <w:t>чение: «Самолет 3-1 с вышеуказанными пе</w:t>
      </w:r>
      <w:r w:rsidRPr="0044524F">
        <w:rPr>
          <w:rFonts w:ascii="Times New Roman" w:hAnsi="Times New Roman"/>
          <w:color w:val="000000" w:themeColor="text1"/>
          <w:sz w:val="16"/>
          <w:szCs w:val="16"/>
        </w:rPr>
        <w:softHyphen/>
        <w:t>ределками вполне годен к эксплуатации в строевых частях ВВС РККА».</w:t>
      </w:r>
    </w:p>
    <w:p w14:paraId="027ABC79"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«самолет-звено» оборудова</w:t>
      </w:r>
      <w:r w:rsidRPr="0044524F">
        <w:rPr>
          <w:rFonts w:ascii="Times New Roman" w:hAnsi="Times New Roman"/>
          <w:color w:val="000000" w:themeColor="text1"/>
          <w:sz w:val="16"/>
          <w:szCs w:val="16"/>
        </w:rPr>
        <w:softHyphen/>
        <w:t>ли ТБ-1 №678, И-4 №1533 и №1583. На этих истребителях нижние малые крылья не сни</w:t>
      </w:r>
      <w:r w:rsidRPr="0044524F">
        <w:rPr>
          <w:rFonts w:ascii="Times New Roman" w:hAnsi="Times New Roman"/>
          <w:color w:val="000000" w:themeColor="text1"/>
          <w:sz w:val="16"/>
          <w:szCs w:val="16"/>
        </w:rPr>
        <w:softHyphen/>
        <w:t>мались, а летчики сами открывали замок рас</w:t>
      </w:r>
      <w:r w:rsidRPr="0044524F">
        <w:rPr>
          <w:rFonts w:ascii="Times New Roman" w:hAnsi="Times New Roman"/>
          <w:color w:val="000000" w:themeColor="text1"/>
          <w:sz w:val="16"/>
          <w:szCs w:val="16"/>
        </w:rPr>
        <w:softHyphen/>
        <w:t>цепления при выполнении воздушного старта. Дополнительная амортизационная стойка на основном шасси ТБ-1 №678 была выполнена по типу костыля ТБ-3. Войсковые испытания модернизированного «звена» велись на Криче- вицком аэродроме в июне—июле 1933 г. Эки</w:t>
      </w:r>
      <w:r w:rsidRPr="0044524F">
        <w:rPr>
          <w:rFonts w:ascii="Times New Roman" w:hAnsi="Times New Roman"/>
          <w:color w:val="000000" w:themeColor="text1"/>
          <w:sz w:val="16"/>
          <w:szCs w:val="16"/>
        </w:rPr>
        <w:softHyphen/>
        <w:t>паж ТБ-1 был следующим: командир корабля Стефановский, второй пилот Вахмистров, ин</w:t>
      </w:r>
      <w:r w:rsidRPr="0044524F">
        <w:rPr>
          <w:rFonts w:ascii="Times New Roman" w:hAnsi="Times New Roman"/>
          <w:color w:val="000000" w:themeColor="text1"/>
          <w:sz w:val="16"/>
          <w:szCs w:val="16"/>
        </w:rPr>
        <w:softHyphen/>
        <w:t>женер монтажист Морозов, борттехник Ни</w:t>
      </w:r>
      <w:r w:rsidRPr="0044524F">
        <w:rPr>
          <w:rFonts w:ascii="Times New Roman" w:hAnsi="Times New Roman"/>
          <w:color w:val="000000" w:themeColor="text1"/>
          <w:sz w:val="16"/>
          <w:szCs w:val="16"/>
        </w:rPr>
        <w:softHyphen/>
        <w:t>китин. Левым истребителем управлял летчик Коккинаки, правым — Степанчонок. Испы</w:t>
      </w:r>
      <w:r w:rsidRPr="0044524F">
        <w:rPr>
          <w:rFonts w:ascii="Times New Roman" w:hAnsi="Times New Roman"/>
          <w:color w:val="000000" w:themeColor="text1"/>
          <w:sz w:val="16"/>
          <w:szCs w:val="16"/>
        </w:rPr>
        <w:softHyphen/>
        <w:t>тания и на этот раз оценивались положитель</w:t>
      </w:r>
      <w:r w:rsidRPr="0044524F">
        <w:rPr>
          <w:rFonts w:ascii="Times New Roman" w:hAnsi="Times New Roman"/>
          <w:color w:val="000000" w:themeColor="text1"/>
          <w:sz w:val="16"/>
          <w:szCs w:val="16"/>
        </w:rPr>
        <w:softHyphen/>
        <w:t>но. Подтверждалось, что после произведенных усовершенствований техника отрыва истреби</w:t>
      </w:r>
      <w:r w:rsidRPr="0044524F">
        <w:rPr>
          <w:rFonts w:ascii="Times New Roman" w:hAnsi="Times New Roman"/>
          <w:color w:val="000000" w:themeColor="text1"/>
          <w:sz w:val="16"/>
          <w:szCs w:val="16"/>
        </w:rPr>
        <w:softHyphen/>
        <w:t>телей упростилась. Взлет с аэродрома проис</w:t>
      </w:r>
      <w:r w:rsidRPr="0044524F">
        <w:rPr>
          <w:rFonts w:ascii="Times New Roman" w:hAnsi="Times New Roman"/>
          <w:color w:val="000000" w:themeColor="text1"/>
          <w:sz w:val="16"/>
          <w:szCs w:val="16"/>
        </w:rPr>
        <w:softHyphen/>
        <w:t>ходил на скорости 130 км/ч при полетном ве</w:t>
      </w:r>
      <w:r w:rsidRPr="0044524F">
        <w:rPr>
          <w:rFonts w:ascii="Times New Roman" w:hAnsi="Times New Roman"/>
          <w:color w:val="000000" w:themeColor="text1"/>
          <w:sz w:val="16"/>
          <w:szCs w:val="16"/>
        </w:rPr>
        <w:softHyphen/>
        <w:t>се 9600 кг, время взлета составляло 12 секунд. В полете составной самолет был устойчив, допу</w:t>
      </w:r>
      <w:r w:rsidRPr="0044524F">
        <w:rPr>
          <w:rFonts w:ascii="Times New Roman" w:hAnsi="Times New Roman"/>
          <w:color w:val="000000" w:themeColor="text1"/>
          <w:sz w:val="16"/>
          <w:szCs w:val="16"/>
        </w:rPr>
        <w:softHyphen/>
        <w:t>скал выполнение виражей до 60°. За 5 полетов, произведенных в Кричевицах, были обучены два новых пилота на И-4 и 3 командира ТБ-1.</w:t>
      </w:r>
    </w:p>
    <w:p w14:paraId="399D2A0D"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завершения войсковых испытаний СЗ-1, начальник ВВС Алкснис направил до</w:t>
      </w:r>
      <w:r w:rsidRPr="0044524F">
        <w:rPr>
          <w:rFonts w:ascii="Times New Roman" w:hAnsi="Times New Roman"/>
          <w:color w:val="000000" w:themeColor="text1"/>
          <w:sz w:val="16"/>
          <w:szCs w:val="16"/>
        </w:rPr>
        <w:softHyphen/>
        <w:t>кладную записку на имя Заместителя Пред</w:t>
      </w:r>
      <w:r w:rsidRPr="0044524F">
        <w:rPr>
          <w:rFonts w:ascii="Times New Roman" w:hAnsi="Times New Roman"/>
          <w:color w:val="000000" w:themeColor="text1"/>
          <w:sz w:val="16"/>
          <w:szCs w:val="16"/>
        </w:rPr>
        <w:softHyphen/>
        <w:t>седателя РВС СССР Тухачевского. В ней го</w:t>
      </w:r>
      <w:r w:rsidRPr="0044524F">
        <w:rPr>
          <w:rFonts w:ascii="Times New Roman" w:hAnsi="Times New Roman"/>
          <w:color w:val="000000" w:themeColor="text1"/>
          <w:sz w:val="16"/>
          <w:szCs w:val="16"/>
        </w:rPr>
        <w:softHyphen/>
        <w:t>ворилось, что теперь полезная нагрузка ТБ- 1 может быть увеличена с 3500 кг до 4650 кг при условии сопровождения истребителями до цели и обратно; и до 5230 кг — при сопро</w:t>
      </w:r>
      <w:r w:rsidRPr="0044524F">
        <w:rPr>
          <w:rFonts w:ascii="Times New Roman" w:hAnsi="Times New Roman"/>
          <w:color w:val="000000" w:themeColor="text1"/>
          <w:sz w:val="16"/>
          <w:szCs w:val="16"/>
        </w:rPr>
        <w:softHyphen/>
        <w:t>вождении истребителями на расстоянии 50 км. В первом варианте дальность ТБ-1 с од</w:t>
      </w:r>
      <w:r w:rsidRPr="0044524F">
        <w:rPr>
          <w:rFonts w:ascii="Times New Roman" w:hAnsi="Times New Roman"/>
          <w:color w:val="000000" w:themeColor="text1"/>
          <w:sz w:val="16"/>
          <w:szCs w:val="16"/>
        </w:rPr>
        <w:softHyphen/>
        <w:t>ной тонной бомб увеличивается с 820 км до 1580 км, а во втором (сопровождение до 50 км) дальность увеличивается до 2000 км.</w:t>
      </w:r>
    </w:p>
    <w:p w14:paraId="5D630FF5"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Предлагалось наградить В.С. Вахмистро- ва Орденом Ленина, А.И. Залевского, А.Ф. Анисимова, В.П. Чкалова — Орденом Кра</w:t>
      </w:r>
      <w:r w:rsidRPr="0044524F">
        <w:rPr>
          <w:rFonts w:ascii="Times New Roman" w:hAnsi="Times New Roman"/>
          <w:color w:val="000000" w:themeColor="text1"/>
          <w:sz w:val="16"/>
          <w:szCs w:val="16"/>
        </w:rPr>
        <w:softHyphen/>
        <w:t>сной Звезды. Помимо этого Вахмистрова и Залевского предлагалось премировать ав</w:t>
      </w:r>
      <w:r w:rsidRPr="0044524F">
        <w:rPr>
          <w:rFonts w:ascii="Times New Roman" w:hAnsi="Times New Roman"/>
          <w:color w:val="000000" w:themeColor="text1"/>
          <w:sz w:val="16"/>
          <w:szCs w:val="16"/>
        </w:rPr>
        <w:softHyphen/>
        <w:t>томобилем «Форд», а Анисимова, Чкалова, механика Панюшкина и инженера Морозо</w:t>
      </w:r>
      <w:r w:rsidRPr="0044524F">
        <w:rPr>
          <w:rFonts w:ascii="Times New Roman" w:hAnsi="Times New Roman"/>
          <w:color w:val="000000" w:themeColor="text1"/>
          <w:sz w:val="16"/>
          <w:szCs w:val="16"/>
        </w:rPr>
        <w:softHyphen/>
        <w:t>ва — мотоциклами. Сам Владимир Сергеевич позднее записал: «За эти полеты три летчика и я получили по «Красной Звезде» (т.е. были награждены орденами Красная Звезда)» (12295).</w:t>
      </w:r>
    </w:p>
    <w:p w14:paraId="3C681C92"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00A62198"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июля 1933 г. командир авиабригады НИИ ВВС Залевский подписал следующее заключение по войсковым испытаниям модернизированного «звена»: «Само</w:t>
      </w:r>
      <w:r w:rsidRPr="0044524F">
        <w:rPr>
          <w:rFonts w:ascii="Times New Roman" w:hAnsi="Times New Roman"/>
          <w:color w:val="000000" w:themeColor="text1"/>
          <w:sz w:val="16"/>
          <w:szCs w:val="16"/>
        </w:rPr>
        <w:softHyphen/>
        <w:t>лет З-1 с выше указанными переделками вполне го</w:t>
      </w:r>
      <w:r w:rsidRPr="0044524F">
        <w:rPr>
          <w:rFonts w:ascii="Times New Roman" w:hAnsi="Times New Roman"/>
          <w:color w:val="000000" w:themeColor="text1"/>
          <w:sz w:val="16"/>
          <w:szCs w:val="16"/>
        </w:rPr>
        <w:softHyphen/>
        <w:t>ден к эксплуатации в строевых частях ВВС РККА» (23378).</w:t>
      </w:r>
    </w:p>
    <w:p w14:paraId="00637AEC" w14:textId="77777777" w:rsidR="0024489B" w:rsidRPr="0044524F" w:rsidRDefault="0024489B" w:rsidP="009654CF">
      <w:pPr>
        <w:spacing w:after="0" w:line="240" w:lineRule="auto"/>
        <w:jc w:val="both"/>
        <w:rPr>
          <w:rFonts w:ascii="Times New Roman" w:hAnsi="Times New Roman"/>
          <w:color w:val="000000" w:themeColor="text1"/>
          <w:sz w:val="16"/>
          <w:szCs w:val="16"/>
        </w:rPr>
      </w:pPr>
    </w:p>
    <w:p w14:paraId="011CDC78" w14:textId="77777777" w:rsidR="0092785F" w:rsidRPr="0044524F" w:rsidRDefault="0092785F" w:rsidP="009654CF">
      <w:pPr>
        <w:pStyle w:val="rtejustify"/>
        <w:spacing w:before="0" w:after="0"/>
        <w:rPr>
          <w:color w:val="000000" w:themeColor="text1"/>
          <w:sz w:val="16"/>
          <w:szCs w:val="16"/>
        </w:rPr>
      </w:pPr>
      <w:r w:rsidRPr="0044524F">
        <w:rPr>
          <w:rStyle w:val="af0"/>
          <w:bCs/>
          <w:i w:val="0"/>
          <w:color w:val="000000" w:themeColor="text1"/>
          <w:sz w:val="16"/>
          <w:szCs w:val="16"/>
        </w:rPr>
        <w:t>5 июля</w:t>
      </w:r>
      <w:r w:rsidRPr="0044524F">
        <w:rPr>
          <w:color w:val="000000" w:themeColor="text1"/>
          <w:sz w:val="16"/>
          <w:szCs w:val="16"/>
        </w:rPr>
        <w:t xml:space="preserve"> 1933. Постановление СТО СССР № 53с/о «Капитальные работы Осоавиахима». (ГА РФ. Ф. Р</w:t>
      </w:r>
      <w:r w:rsidRPr="0044524F">
        <w:rPr>
          <w:color w:val="000000" w:themeColor="text1"/>
          <w:sz w:val="16"/>
          <w:szCs w:val="16"/>
        </w:rPr>
        <w:noBreakHyphen/>
        <w:t>8418. Оп. 28. Д. 2. Л. 4</w:t>
      </w:r>
      <w:r w:rsidRPr="0044524F">
        <w:rPr>
          <w:color w:val="000000" w:themeColor="text1"/>
          <w:sz w:val="16"/>
          <w:szCs w:val="16"/>
        </w:rPr>
        <w:noBreakHyphen/>
        <w:t>7) (15460).</w:t>
      </w:r>
    </w:p>
    <w:p w14:paraId="4B428963" w14:textId="77777777" w:rsidR="0092785F" w:rsidRPr="0044524F" w:rsidRDefault="0092785F" w:rsidP="009654CF">
      <w:pPr>
        <w:pStyle w:val="rtejustify"/>
        <w:spacing w:before="0" w:after="0"/>
        <w:rPr>
          <w:color w:val="000000" w:themeColor="text1"/>
          <w:sz w:val="16"/>
          <w:szCs w:val="16"/>
        </w:rPr>
      </w:pPr>
    </w:p>
    <w:p w14:paraId="529D71BB" w14:textId="77777777" w:rsidR="0092785F"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D210545" w14:textId="77777777" w:rsidR="0092785F" w:rsidRPr="0044524F" w:rsidRDefault="0092785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6D42F4F" w14:textId="77777777" w:rsidR="0092785F" w:rsidRPr="0044524F" w:rsidRDefault="0092785F" w:rsidP="009654CF">
      <w:pPr>
        <w:pStyle w:val="rtejustify"/>
        <w:spacing w:before="0" w:after="0"/>
        <w:rPr>
          <w:color w:val="000000" w:themeColor="text1"/>
          <w:sz w:val="16"/>
          <w:szCs w:val="16"/>
        </w:rPr>
      </w:pPr>
      <w:r w:rsidRPr="0044524F">
        <w:rPr>
          <w:rStyle w:val="af0"/>
          <w:bCs/>
          <w:i w:val="0"/>
          <w:color w:val="000000" w:themeColor="text1"/>
          <w:sz w:val="16"/>
          <w:szCs w:val="16"/>
        </w:rPr>
        <w:t>5 июля</w:t>
      </w:r>
      <w:r w:rsidRPr="0044524F">
        <w:rPr>
          <w:color w:val="000000" w:themeColor="text1"/>
          <w:sz w:val="16"/>
          <w:szCs w:val="16"/>
        </w:rPr>
        <w:t xml:space="preserve"> 1933. Постановление СТО СССР № 54сс/о «О разработке плана топливоснабжения страны на военное время». (ГА РФ. Ф. Р</w:t>
      </w:r>
      <w:r w:rsidRPr="0044524F">
        <w:rPr>
          <w:color w:val="000000" w:themeColor="text1"/>
          <w:sz w:val="16"/>
          <w:szCs w:val="16"/>
        </w:rPr>
        <w:noBreakHyphen/>
        <w:t>8418. Оп. 28. Д. 2. Л. 8) (15460).</w:t>
      </w:r>
    </w:p>
    <w:p w14:paraId="4527E4A8" w14:textId="77777777" w:rsidR="0092785F" w:rsidRPr="0044524F" w:rsidRDefault="0092785F" w:rsidP="009654CF">
      <w:pPr>
        <w:pStyle w:val="rtejustify"/>
        <w:spacing w:before="0" w:after="0"/>
        <w:rPr>
          <w:color w:val="000000" w:themeColor="text1"/>
          <w:sz w:val="16"/>
          <w:szCs w:val="16"/>
        </w:rPr>
      </w:pPr>
    </w:p>
    <w:p w14:paraId="26389CD5" w14:textId="77777777" w:rsidR="00D64ADE" w:rsidRPr="0044524F" w:rsidRDefault="00D64AD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5 июля 1933 на заседании КО в присутствии Молотова, Сталина и Куйбышева подкомиссии Орджоникидзе было поручено в пятидневный срок представить КО проект постановления по строительству боевых судов на 1933-1937 гг., а "тов. Ворошилову на основе обмена мнений установить связь с Францией" для получения технической помощи (Протокол № 2 заседания комиссии тов. Молотова о программе военно-морского судостроения от 0507.1933 // Там же. Л. 77. Ранее советские ВМС получали такую помощь преимущественно со стороны Италии. Весной 1934 г. был заключен новый договор с фирмой "Ансальдо" об оказании ею "техпомощи по судостроению" (см., в частности: Записка Наркома тяжелой промышленности Орджоникидзе в Комиссию Обороны, 14-05.1934 // Москва-Рим: Политика и дипломатия Кремля, 1920-1939: Сборник документов / Отв. ред. Г. Н. Севастьянов. М., 2002. С. 342-343)) (22725).</w:t>
      </w:r>
    </w:p>
    <w:p w14:paraId="64E56527" w14:textId="77777777" w:rsidR="00D64ADE" w:rsidRPr="0044524F" w:rsidRDefault="00D64AD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67BDDB8" w14:textId="77777777" w:rsidR="0092785F"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8F5A9C4" w14:textId="77777777" w:rsidR="0092785F" w:rsidRPr="0044524F" w:rsidRDefault="0092785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37EC0D0"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5 июля</w:t>
      </w:r>
      <w:r w:rsidRPr="0044524F">
        <w:rPr>
          <w:rFonts w:ascii="Times New Roman" w:hAnsi="Times New Roman"/>
          <w:color w:val="000000" w:themeColor="text1"/>
          <w:sz w:val="16"/>
          <w:szCs w:val="16"/>
        </w:rPr>
        <w:t xml:space="preserve"> в 1933 году Совнарком принял постановление об обязательной регистрации в органах внутренних дел всех радиоприемников, находящихся в пользовании организаций и частных лиц (14943).</w:t>
      </w:r>
    </w:p>
    <w:p w14:paraId="30B7A1BD" w14:textId="77777777" w:rsidR="0092785F" w:rsidRPr="0044524F" w:rsidRDefault="0092785F" w:rsidP="009654CF">
      <w:pPr>
        <w:spacing w:after="0" w:line="240" w:lineRule="auto"/>
        <w:jc w:val="both"/>
        <w:rPr>
          <w:rFonts w:ascii="Times New Roman" w:hAnsi="Times New Roman"/>
          <w:color w:val="000000" w:themeColor="text1"/>
          <w:sz w:val="16"/>
          <w:szCs w:val="16"/>
        </w:rPr>
      </w:pPr>
    </w:p>
    <w:p w14:paraId="0FC48FA7" w14:textId="77777777" w:rsidR="00DC5A55" w:rsidRPr="0044524F" w:rsidRDefault="00DC5A5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2C7B1CB" w14:textId="77777777" w:rsidR="00DC5A55" w:rsidRPr="0044524F" w:rsidRDefault="00DC5A5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FC6E18" w14:textId="77777777" w:rsidR="00DC5A55" w:rsidRPr="0044524F" w:rsidRDefault="00DC5A55"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6 - 17 июля 1933 на водной станции напротив Центрального парка культуры и отдыха им. Горького проходили государственные испытания АИР-6А по программе СНИИ ГВФ. Кроме Ю.И. Пионтковского, на машине летал Б.Л. Местон. В ходе испытаний совершили перелет Москва - Коломна - Москва.</w:t>
      </w:r>
    </w:p>
    <w:p w14:paraId="0C187527" w14:textId="77777777" w:rsidR="00DC5A55" w:rsidRPr="0044524F" w:rsidRDefault="00DC5A55"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 xml:space="preserve">Несмотря на увеличение веса и дополнительное аэродинамическое сопротивление поплавков, данные самолета не особенно снизились. Машина хорошо слушалась рулей. Нагрузки на ручке и педалях определялась как «незначительные». Благодаря хорошей устойчивости пилот мог позволить себе бросить ручку управления не только на прямой, но и при выполнении виражей. Более того, самолет сам исправлял небольшие ошибки летчика. АИР-6А маневрировал на малой высоте без риска </w:t>
      </w:r>
      <w:r w:rsidRPr="0044524F">
        <w:rPr>
          <w:rFonts w:ascii="Times New Roman" w:hAnsi="Times New Roman" w:cs="Times New Roman"/>
          <w:color w:val="000000" w:themeColor="text1"/>
        </w:rPr>
        <w:lastRenderedPageBreak/>
        <w:t>потери скорости.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(19099).</w:t>
      </w:r>
    </w:p>
    <w:p w14:paraId="215308E6" w14:textId="77777777" w:rsidR="00DC5A55" w:rsidRPr="0044524F" w:rsidRDefault="00DC5A55" w:rsidP="009654CF">
      <w:pPr>
        <w:pStyle w:val="a8"/>
        <w:jc w:val="both"/>
        <w:rPr>
          <w:rFonts w:ascii="Times New Roman" w:hAnsi="Times New Roman" w:cs="Times New Roman"/>
          <w:color w:val="000000" w:themeColor="text1"/>
        </w:rPr>
      </w:pPr>
    </w:p>
    <w:p w14:paraId="0F22FB1F" w14:textId="77777777" w:rsidR="00FC2FD9" w:rsidRPr="00142305" w:rsidRDefault="00FC2FD9" w:rsidP="00FC2FD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6 - 17 июля 1933 водной станции Динамо напротив Центрального парка культуры и отдыха им. Горького проходили госу</w:t>
      </w:r>
      <w:r w:rsidRPr="00142305">
        <w:rPr>
          <w:rFonts w:ascii="Times New Roman" w:hAnsi="Times New Roman"/>
          <w:color w:val="0070C0"/>
          <w:sz w:val="16"/>
          <w:szCs w:val="16"/>
        </w:rPr>
        <w:softHyphen/>
        <w:t>дарственные испытания АИР-6А по про</w:t>
      </w:r>
      <w:r w:rsidRPr="00142305">
        <w:rPr>
          <w:rFonts w:ascii="Times New Roman" w:hAnsi="Times New Roman"/>
          <w:color w:val="0070C0"/>
          <w:sz w:val="16"/>
          <w:szCs w:val="16"/>
        </w:rPr>
        <w:softHyphen/>
        <w:t>грамме СНИИ ГВФ. Кроме Ю.И. Пионт</w:t>
      </w:r>
      <w:r w:rsidRPr="00142305">
        <w:rPr>
          <w:rFonts w:ascii="Times New Roman" w:hAnsi="Times New Roman"/>
          <w:color w:val="0070C0"/>
          <w:sz w:val="16"/>
          <w:szCs w:val="16"/>
        </w:rPr>
        <w:softHyphen/>
        <w:t>ковского, на машине летал Б.Л. Местон. В ходе испытаний совершили перелет Москва - Коломна - Москва.</w:t>
      </w:r>
    </w:p>
    <w:p w14:paraId="4C089F1D" w14:textId="77777777" w:rsidR="00FC2FD9" w:rsidRPr="00142305" w:rsidRDefault="00FC2FD9" w:rsidP="00FC2FD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увеличение веса и допол</w:t>
      </w:r>
      <w:r w:rsidRPr="00142305">
        <w:rPr>
          <w:rFonts w:ascii="Times New Roman" w:hAnsi="Times New Roman"/>
          <w:color w:val="0070C0"/>
          <w:sz w:val="16"/>
          <w:szCs w:val="16"/>
        </w:rPr>
        <w:softHyphen/>
        <w:t>нительное аэродинамическое сопротив</w:t>
      </w:r>
      <w:r w:rsidRPr="00142305">
        <w:rPr>
          <w:rFonts w:ascii="Times New Roman" w:hAnsi="Times New Roman"/>
          <w:color w:val="0070C0"/>
          <w:sz w:val="16"/>
          <w:szCs w:val="16"/>
        </w:rPr>
        <w:softHyphen/>
        <w:t>ление поплавков, данные самолета не особенно снизились. Машина хорошо слушалась рулей. Нагрузки на ручке и педалях определялась как «незначитель</w:t>
      </w:r>
      <w:r w:rsidRPr="00142305">
        <w:rPr>
          <w:rFonts w:ascii="Times New Roman" w:hAnsi="Times New Roman"/>
          <w:color w:val="0070C0"/>
          <w:sz w:val="16"/>
          <w:szCs w:val="16"/>
        </w:rPr>
        <w:softHyphen/>
        <w:t>ные». Благодаря хорошей устойчивости пилот мог позволить себе бросить руч</w:t>
      </w:r>
      <w:r w:rsidRPr="00142305">
        <w:rPr>
          <w:rFonts w:ascii="Times New Roman" w:hAnsi="Times New Roman"/>
          <w:color w:val="0070C0"/>
          <w:sz w:val="16"/>
          <w:szCs w:val="16"/>
        </w:rPr>
        <w:softHyphen/>
        <w:t>ку управления не только на прямой, но и при выполнении виражей. Более то</w:t>
      </w:r>
      <w:r w:rsidRPr="00142305">
        <w:rPr>
          <w:rFonts w:ascii="Times New Roman" w:hAnsi="Times New Roman"/>
          <w:color w:val="0070C0"/>
          <w:sz w:val="16"/>
          <w:szCs w:val="16"/>
        </w:rPr>
        <w:softHyphen/>
        <w:t>го, самолет сам исправлял небольшие ошибки летчика. АИР-6А маневрировал на малой высоте без риска потери скорос</w:t>
      </w:r>
      <w:r w:rsidRPr="00142305">
        <w:rPr>
          <w:rFonts w:ascii="Times New Roman" w:hAnsi="Times New Roman"/>
          <w:color w:val="0070C0"/>
          <w:sz w:val="16"/>
          <w:szCs w:val="16"/>
        </w:rPr>
        <w:softHyphen/>
        <w:t>ти. Тенденция к сваливанию на крыло отсутствовала. В отчете указывалось, что АИР-6А «может найти применение во многих отраслях народного хозяйства». Машину рекомендовали к серийному производству (34945).</w:t>
      </w:r>
    </w:p>
    <w:p w14:paraId="01CD06FD" w14:textId="77777777" w:rsidR="00FC2FD9" w:rsidRPr="00142305" w:rsidRDefault="00FC2FD9" w:rsidP="00FC2FD9">
      <w:pPr>
        <w:spacing w:after="0" w:line="240" w:lineRule="auto"/>
        <w:jc w:val="both"/>
        <w:rPr>
          <w:rFonts w:ascii="Times New Roman" w:hAnsi="Times New Roman"/>
          <w:color w:val="0070C0"/>
          <w:sz w:val="16"/>
          <w:szCs w:val="16"/>
        </w:rPr>
      </w:pPr>
    </w:p>
    <w:p w14:paraId="09892E15"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EB99CE4"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1C4B8A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июля 1933 начался автопробег Москва - Каракумы (9500 км), в котором участвовало 18 советских автомобилей (1231,26).</w:t>
      </w:r>
    </w:p>
    <w:p w14:paraId="52EDF41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0DBA842E" w14:textId="77777777" w:rsidR="00785FB6" w:rsidRPr="0044524F" w:rsidRDefault="00785FB6"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6 июля 1933 г. стартовал автопробег Москва — Кара-Кум — Москва, протяженностью в 9500 километров в составе 23 машин советского производства и закончился 30 сентября 1933 г. (17381).</w:t>
      </w:r>
    </w:p>
    <w:p w14:paraId="476DA06B" w14:textId="77777777" w:rsidR="00785FB6" w:rsidRPr="0044524F" w:rsidRDefault="00785FB6" w:rsidP="009654CF">
      <w:pPr>
        <w:autoSpaceDE w:val="0"/>
        <w:autoSpaceDN w:val="0"/>
        <w:adjustRightInd w:val="0"/>
        <w:spacing w:after="0" w:line="240" w:lineRule="auto"/>
        <w:jc w:val="both"/>
        <w:rPr>
          <w:rFonts w:ascii="Times New Roman" w:hAnsi="Times New Roman"/>
          <w:color w:val="000000" w:themeColor="text1"/>
          <w:sz w:val="16"/>
          <w:szCs w:val="16"/>
        </w:rPr>
      </w:pPr>
    </w:p>
    <w:p w14:paraId="223ED886" w14:textId="77777777" w:rsidR="0044280B" w:rsidRPr="0044524F" w:rsidRDefault="00442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июля 1933 в Москве стартовал автопробег Москва - Каракумы. В путь отправилось 23 автомобиля: 6 легковых ГАЗ-А, 5 гру</w:t>
      </w:r>
      <w:r w:rsidRPr="0044524F">
        <w:rPr>
          <w:rFonts w:ascii="Times New Roman" w:hAnsi="Times New Roman"/>
          <w:color w:val="000000" w:themeColor="text1"/>
          <w:sz w:val="16"/>
          <w:szCs w:val="16"/>
        </w:rPr>
        <w:softHyphen/>
        <w:t>зовых ГАЗ-АА, 5 трехосных Фордов, 6 грузовиков АМО. Из пяти две трехоски имели доработку, прове</w:t>
      </w:r>
      <w:r w:rsidRPr="0044524F">
        <w:rPr>
          <w:rFonts w:ascii="Times New Roman" w:hAnsi="Times New Roman"/>
          <w:color w:val="000000" w:themeColor="text1"/>
          <w:sz w:val="16"/>
          <w:szCs w:val="16"/>
        </w:rPr>
        <w:softHyphen/>
        <w:t>денную на ГАЗ, а под номером 23 шел эксперимен</w:t>
      </w:r>
      <w:r w:rsidRPr="0044524F">
        <w:rPr>
          <w:rFonts w:ascii="Times New Roman" w:hAnsi="Times New Roman"/>
          <w:color w:val="000000" w:themeColor="text1"/>
          <w:sz w:val="16"/>
          <w:szCs w:val="16"/>
        </w:rPr>
        <w:softHyphen/>
        <w:t>тальный трехосный автомобиль ГАЗ-НАТИ-ЗО. Два АМО были после капитального ремонта. Колонна направилась по маршруту Москва - Горький - Ка</w:t>
      </w:r>
      <w:r w:rsidRPr="0044524F">
        <w:rPr>
          <w:rFonts w:ascii="Times New Roman" w:hAnsi="Times New Roman"/>
          <w:color w:val="000000" w:themeColor="text1"/>
          <w:sz w:val="16"/>
          <w:szCs w:val="16"/>
        </w:rPr>
        <w:softHyphen/>
        <w:t>зань - Самара - Оренбург - Бухара - Чарджуй - Ургенч - Красноводск - Баку - Тифлис - Ростов-на- Дону - Харьков - Воронеж - Тула - Москва. Весь путь составил 9375 км.</w:t>
      </w:r>
    </w:p>
    <w:p w14:paraId="600544F3" w14:textId="77777777" w:rsidR="0044280B" w:rsidRPr="0044524F" w:rsidRDefault="00442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Автопробег продолжался 86 суток - 2062 часа, из которых время в движении составляло 432 часа. Кро</w:t>
      </w:r>
      <w:r w:rsidRPr="0044524F">
        <w:rPr>
          <w:rFonts w:ascii="Times New Roman" w:hAnsi="Times New Roman"/>
          <w:color w:val="000000" w:themeColor="text1"/>
          <w:sz w:val="16"/>
          <w:szCs w:val="16"/>
        </w:rPr>
        <w:softHyphen/>
        <w:t>ме проверки выносливости отечественных автомо</w:t>
      </w:r>
      <w:r w:rsidRPr="0044524F">
        <w:rPr>
          <w:rFonts w:ascii="Times New Roman" w:hAnsi="Times New Roman"/>
          <w:color w:val="000000" w:themeColor="text1"/>
          <w:sz w:val="16"/>
          <w:szCs w:val="16"/>
        </w:rPr>
        <w:softHyphen/>
        <w:t>билей, испытывались шины из синтетического каучука, а также из натурального, но добытого из рас</w:t>
      </w:r>
      <w:r w:rsidRPr="0044524F">
        <w:rPr>
          <w:rFonts w:ascii="Times New Roman" w:hAnsi="Times New Roman"/>
          <w:color w:val="000000" w:themeColor="text1"/>
          <w:sz w:val="16"/>
          <w:szCs w:val="16"/>
        </w:rPr>
        <w:softHyphen/>
        <w:t>тения тау-сагыз, произрастающего на территории страны.</w:t>
      </w:r>
    </w:p>
    <w:p w14:paraId="453307ED" w14:textId="77777777" w:rsidR="0044280B" w:rsidRPr="0044524F" w:rsidRDefault="00442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пробеге участвовало четыре автомобиля ГАЗ-А с шинами типа «сверхбаллон» размером 800x250 и 800x200, изготовленными из синтетического каучука СК-1 и СК-2. Автомобили, оборудованные такими</w:t>
      </w:r>
    </w:p>
    <w:p w14:paraId="51C3ED48" w14:textId="77777777" w:rsidR="0044280B" w:rsidRPr="0044524F" w:rsidRDefault="004428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шинами, уверенно двигались по пескам, что нельзя было сказать о грузовиках на стандартных шинах (22518).</w:t>
      </w:r>
    </w:p>
    <w:p w14:paraId="6472C95B" w14:textId="77777777" w:rsidR="0044280B" w:rsidRPr="0044524F" w:rsidRDefault="0044280B" w:rsidP="009654CF">
      <w:pPr>
        <w:spacing w:after="0" w:line="240" w:lineRule="auto"/>
        <w:jc w:val="both"/>
        <w:rPr>
          <w:rFonts w:ascii="Times New Roman" w:hAnsi="Times New Roman"/>
          <w:color w:val="000000" w:themeColor="text1"/>
          <w:sz w:val="16"/>
          <w:szCs w:val="16"/>
        </w:rPr>
      </w:pPr>
    </w:p>
    <w:p w14:paraId="53AFFC31" w14:textId="77777777" w:rsidR="0092785F" w:rsidRPr="0044524F" w:rsidRDefault="0092785F"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bCs/>
          <w:color w:val="000000" w:themeColor="text1"/>
          <w:sz w:val="16"/>
          <w:szCs w:val="16"/>
        </w:rPr>
        <w:t>6 июля</w:t>
      </w:r>
      <w:r w:rsidRPr="0044524F">
        <w:rPr>
          <w:rFonts w:ascii="Times New Roman" w:hAnsi="Times New Roman"/>
          <w:color w:val="000000" w:themeColor="text1"/>
          <w:sz w:val="16"/>
          <w:szCs w:val="16"/>
        </w:rPr>
        <w:t xml:space="preserve"> в 1933 году начался Всесоюзный испытательный автомобильный пробег Москва – Кара-Кумы – Москва. Чтобы проэкзаменовать советские автомобили, был разработан план грандиозного автопробега по маршруту Москва-Кара-кумы—Москва. Подготовка к нему началась задолго до старта, одновременно предстоящее мероприятие стало широко обсуждаться в советской прессе. В итоге из чисто испытательной процедуры автопробег превратился в событие громадной общественно-пол ити ческой знач и мости. Правда, пресса в основном делала акцент на преодолении самого сложного участка пути пустыни Каракумы. Это обстоятельство многих вводило в заблуждение: создавалось впечатление, что основная цель автопробега — пересечь пески. Но для этого не было необходимости затевать длительный маршрут. Можно было просто доставить автомобили в пустыню, как это было сделано годом ранее, при испытаниях импортных и отечественных полугусеничных автомобилей. Главным в автопробеге был именно протяженный маршрут, длиной более 9 тыс. км, проходящий по самым различным дорогам и климатическим зонам: Москва-Горький-Чебоксары-Казань-Самара-Оренбург-Актюбинск-Кзыл-Орда-Чимкент-Ташкент. Затем от Чарджоу через пустыню Каракумы на Красноводск. После переправы через Каспийское море: Баку-Тифлис-Армавир-Ростов-на-Дону-Харьков (в то время столица Украины)-Воронеж-Тула-Москва. В решениях правительства страны задача автопробега звучала кратко, но емко: «Автопробег «Москва-Каракумы-Москва» организуется с целью испытания в различных климатических и дорожных условиях работы советского автомобиля, электрооборудования, авторезины и воздухоочистителей различных систем».</w:t>
      </w:r>
    </w:p>
    <w:p w14:paraId="216ABD0B"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из этой главной задачи, основную группу участников автопробега составляли инженеры и техники, а все машины оборудовались большим количеством всевозможных измерительных приборов. Предполагалось вести наблюдение за всеми агрегатами и деталями автомобилей, тщательно фиксировать наблюдения, чтобы позже составить исчерпывающую характеристику всех механизмов каждой машины. В пробеге приняли участие 96 человек на 23 автомобилях, в числе которых было шесть легковых «ГАЗ-А», шесть грузовых полуторатонных «ГАЗ-АА», два опытных образца трехосных «ГАЗ-АА А», четыре 2,5-тонных грузовика «АМО-3», три импортные трехосные машины «Ford-Timken», одна экспериментальная трехоска «НАТИ-ГАЗ» и один капитально отремонтированный заводом ВАРЗ грузовик «Ford АА».Что же касается песков, то здесь участники автопробега не предполагали ставить никаких рекордов, а уж тем более соревноваться на обычных, практически серийных автомобилях со специальными пустынными вездеходами, побывавшими в Каракумах чуть ранее. Трасса автопробега 1933 года через пустыню пролегала по направлениям, не вызывающим сомнения в проходимости. Более того, значительная часть этого маршрута уже была освоена для автодвижения. Дополнительной задачей автопробега являлась лишь оптимизация этого пути (14944).</w:t>
      </w:r>
    </w:p>
    <w:p w14:paraId="16E30F4A" w14:textId="77777777" w:rsidR="0092785F" w:rsidRPr="0044524F" w:rsidRDefault="0092785F" w:rsidP="009654CF">
      <w:pPr>
        <w:spacing w:after="0" w:line="240" w:lineRule="auto"/>
        <w:jc w:val="both"/>
        <w:rPr>
          <w:rFonts w:ascii="Times New Roman" w:hAnsi="Times New Roman"/>
          <w:color w:val="000000" w:themeColor="text1"/>
          <w:sz w:val="16"/>
          <w:szCs w:val="16"/>
        </w:rPr>
      </w:pPr>
    </w:p>
    <w:p w14:paraId="22476A47" w14:textId="51D2E97F" w:rsidR="00743B33" w:rsidRPr="0044524F" w:rsidRDefault="00743B33" w:rsidP="00743B3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44524F">
        <w:rPr>
          <w:rFonts w:ascii="Times New Roman" w:hAnsi="Times New Roman"/>
          <w:i/>
          <w:iCs/>
          <w:color w:val="000000" w:themeColor="text1"/>
          <w:sz w:val="16"/>
          <w:szCs w:val="16"/>
        </w:rPr>
        <w:t>:</w:t>
      </w:r>
    </w:p>
    <w:p w14:paraId="28C4EC3A" w14:textId="77777777" w:rsidR="00743B33" w:rsidRPr="0044524F" w:rsidRDefault="00743B33" w:rsidP="00743B33">
      <w:pPr>
        <w:autoSpaceDE w:val="0"/>
        <w:autoSpaceDN w:val="0"/>
        <w:adjustRightInd w:val="0"/>
        <w:spacing w:after="0" w:line="240" w:lineRule="auto"/>
        <w:jc w:val="both"/>
        <w:rPr>
          <w:rFonts w:ascii="Times New Roman" w:hAnsi="Times New Roman"/>
          <w:iCs/>
          <w:color w:val="000000" w:themeColor="text1"/>
          <w:sz w:val="16"/>
          <w:szCs w:val="16"/>
        </w:rPr>
      </w:pPr>
    </w:p>
    <w:p w14:paraId="4F17C5C5"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6 июля 1933 г. началась эксплуатация авианесущих способностей </w:t>
      </w:r>
      <w:r w:rsidRPr="00142305">
        <w:rPr>
          <w:rStyle w:val="aff"/>
          <w:rFonts w:ascii="Times New Roman" w:hAnsi="Times New Roman" w:cs="Times New Roman"/>
          <w:color w:val="0070C0"/>
          <w:spacing w:val="0"/>
          <w:sz w:val="16"/>
          <w:szCs w:val="16"/>
          <w:lang w:val="en-US"/>
        </w:rPr>
        <w:t>Mac</w:t>
      </w:r>
      <w:r w:rsidRPr="00142305">
        <w:rPr>
          <w:rStyle w:val="aff"/>
          <w:rFonts w:ascii="Times New Roman" w:hAnsi="Times New Roman" w:cs="Times New Roman"/>
          <w:color w:val="0070C0"/>
          <w:spacing w:val="0"/>
          <w:sz w:val="16"/>
          <w:szCs w:val="16"/>
        </w:rPr>
        <w:t>о</w:t>
      </w:r>
      <w:r w:rsidRPr="00142305">
        <w:rPr>
          <w:rStyle w:val="aff"/>
          <w:rFonts w:ascii="Times New Roman" w:hAnsi="Times New Roman" w:cs="Times New Roman"/>
          <w:color w:val="0070C0"/>
          <w:spacing w:val="0"/>
          <w:sz w:val="16"/>
          <w:szCs w:val="16"/>
          <w:lang w:val="en-US"/>
        </w:rPr>
        <w:t>n</w:t>
      </w:r>
      <w:r w:rsidRPr="00142305">
        <w:rPr>
          <w:rStyle w:val="aff"/>
          <w:rFonts w:ascii="Times New Roman" w:hAnsi="Times New Roman" w:cs="Times New Roman"/>
          <w:color w:val="0070C0"/>
          <w:spacing w:val="0"/>
          <w:sz w:val="16"/>
          <w:szCs w:val="16"/>
        </w:rPr>
        <w:t>. Дири</w:t>
      </w:r>
      <w:r w:rsidRPr="00142305">
        <w:rPr>
          <w:rStyle w:val="aff"/>
          <w:rFonts w:ascii="Times New Roman" w:hAnsi="Times New Roman" w:cs="Times New Roman"/>
          <w:color w:val="0070C0"/>
          <w:spacing w:val="0"/>
          <w:sz w:val="16"/>
          <w:szCs w:val="16"/>
        </w:rPr>
        <w:softHyphen/>
        <w:t>жабль совершил рейс над Лонг-Айлендом и вернулся в Лэйкхёрст, где на следу</w:t>
      </w:r>
      <w:r w:rsidRPr="00142305">
        <w:rPr>
          <w:rStyle w:val="aff"/>
          <w:rFonts w:ascii="Times New Roman" w:hAnsi="Times New Roman" w:cs="Times New Roman"/>
          <w:color w:val="0070C0"/>
          <w:spacing w:val="0"/>
          <w:sz w:val="16"/>
          <w:szCs w:val="16"/>
        </w:rPr>
        <w:softHyphen/>
        <w:t xml:space="preserve">ющий день принял на борт первые самолёты. Сначала это был двухместный учебно-спортивный биплан </w:t>
      </w:r>
      <w:r w:rsidRPr="00142305">
        <w:rPr>
          <w:rStyle w:val="aff"/>
          <w:rFonts w:ascii="Times New Roman" w:hAnsi="Times New Roman" w:cs="Times New Roman"/>
          <w:color w:val="0070C0"/>
          <w:spacing w:val="0"/>
          <w:sz w:val="16"/>
          <w:szCs w:val="16"/>
          <w:lang w:val="en-US"/>
        </w:rPr>
        <w:t>Consolidated</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N</w:t>
      </w:r>
      <w:r w:rsidRPr="00142305">
        <w:rPr>
          <w:rStyle w:val="aff"/>
          <w:rFonts w:ascii="Times New Roman" w:hAnsi="Times New Roman" w:cs="Times New Roman"/>
          <w:color w:val="0070C0"/>
          <w:spacing w:val="0"/>
          <w:sz w:val="16"/>
          <w:szCs w:val="16"/>
        </w:rPr>
        <w:t>2</w:t>
      </w:r>
      <w:r w:rsidRPr="00142305">
        <w:rPr>
          <w:rStyle w:val="aff"/>
          <w:rFonts w:ascii="Times New Roman" w:hAnsi="Times New Roman" w:cs="Times New Roman"/>
          <w:color w:val="0070C0"/>
          <w:spacing w:val="0"/>
          <w:sz w:val="16"/>
          <w:szCs w:val="16"/>
          <w:lang w:val="en-US"/>
        </w:rPr>
        <w:t>Y</w:t>
      </w:r>
      <w:r w:rsidRPr="00142305">
        <w:rPr>
          <w:rStyle w:val="aff"/>
          <w:rFonts w:ascii="Times New Roman" w:hAnsi="Times New Roman" w:cs="Times New Roman"/>
          <w:color w:val="0070C0"/>
          <w:spacing w:val="0"/>
          <w:sz w:val="16"/>
          <w:szCs w:val="16"/>
        </w:rPr>
        <w:t>-1, затем почти в два раза более тя</w:t>
      </w:r>
      <w:r w:rsidRPr="00142305">
        <w:rPr>
          <w:rStyle w:val="aff"/>
          <w:rFonts w:ascii="Times New Roman" w:hAnsi="Times New Roman" w:cs="Times New Roman"/>
          <w:color w:val="0070C0"/>
          <w:spacing w:val="0"/>
          <w:sz w:val="16"/>
          <w:szCs w:val="16"/>
        </w:rPr>
        <w:softHyphen/>
        <w:t xml:space="preserve">жёлый истребитель биплан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9</w:t>
      </w:r>
      <w:r w:rsidRPr="00142305">
        <w:rPr>
          <w:rStyle w:val="aff"/>
          <w:rFonts w:ascii="Times New Roman" w:hAnsi="Times New Roman" w:cs="Times New Roman"/>
          <w:color w:val="0070C0"/>
          <w:spacing w:val="0"/>
          <w:sz w:val="16"/>
          <w:szCs w:val="16"/>
          <w:lang w:val="en-US"/>
        </w:rPr>
        <w:t>C</w:t>
      </w:r>
      <w:r w:rsidRPr="00142305">
        <w:rPr>
          <w:rStyle w:val="aff"/>
          <w:rFonts w:ascii="Times New Roman" w:hAnsi="Times New Roman" w:cs="Times New Roman"/>
          <w:color w:val="0070C0"/>
          <w:spacing w:val="0"/>
          <w:sz w:val="16"/>
          <w:szCs w:val="16"/>
        </w:rPr>
        <w:t xml:space="preserve">-2 </w:t>
      </w:r>
      <w:r w:rsidRPr="00142305">
        <w:rPr>
          <w:rStyle w:val="aff"/>
          <w:rFonts w:ascii="Times New Roman" w:hAnsi="Times New Roman" w:cs="Times New Roman"/>
          <w:color w:val="0070C0"/>
          <w:spacing w:val="0"/>
          <w:sz w:val="16"/>
          <w:szCs w:val="16"/>
          <w:lang w:val="en-US"/>
        </w:rPr>
        <w:t>Sparrowhawk</w:t>
      </w:r>
      <w:r w:rsidRPr="00142305">
        <w:rPr>
          <w:rStyle w:val="aff"/>
          <w:rFonts w:ascii="Times New Roman" w:hAnsi="Times New Roman" w:cs="Times New Roman"/>
          <w:color w:val="0070C0"/>
          <w:spacing w:val="0"/>
          <w:sz w:val="16"/>
          <w:szCs w:val="16"/>
        </w:rPr>
        <w:t>. С 12 по 15 октября 1933 года Масоп, покинув Восточное побережье, совершил трансконтинентальный перелёт к месту постоянного базирования на авиабазу Саннивейл, Калифорния (25618).</w:t>
      </w:r>
    </w:p>
    <w:p w14:paraId="5E0AFB58" w14:textId="77777777" w:rsidR="00743B33" w:rsidRPr="00142305" w:rsidRDefault="00743B33" w:rsidP="00743B33">
      <w:pPr>
        <w:spacing w:after="0" w:line="240" w:lineRule="auto"/>
        <w:jc w:val="both"/>
        <w:rPr>
          <w:rFonts w:ascii="Times New Roman" w:hAnsi="Times New Roman"/>
          <w:color w:val="0070C0"/>
          <w:sz w:val="16"/>
          <w:szCs w:val="16"/>
        </w:rPr>
      </w:pPr>
    </w:p>
    <w:p w14:paraId="1FCE3784"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5348E2E"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C3F62A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июля 1933 Нач. НИИ ВВС РККА Зильбертом была подготовлена справка об опытном самолето и моторостроении по состоянию на 1 июля 1933 (2305,43):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993"/>
        <w:gridCol w:w="975"/>
        <w:gridCol w:w="846"/>
        <w:gridCol w:w="749"/>
        <w:gridCol w:w="799"/>
        <w:gridCol w:w="3719"/>
      </w:tblGrid>
      <w:tr w:rsidR="004E10C1" w:rsidRPr="0044524F" w14:paraId="35D9EE00" w14:textId="77777777">
        <w:tc>
          <w:tcPr>
            <w:tcW w:w="2376" w:type="dxa"/>
          </w:tcPr>
          <w:p w14:paraId="76B7DE9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 и наименование</w:t>
            </w:r>
          </w:p>
        </w:tc>
        <w:tc>
          <w:tcPr>
            <w:tcW w:w="993" w:type="dxa"/>
          </w:tcPr>
          <w:p w14:paraId="06E2CC0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ЛТД</w:t>
            </w:r>
          </w:p>
        </w:tc>
        <w:tc>
          <w:tcPr>
            <w:tcW w:w="975" w:type="dxa"/>
          </w:tcPr>
          <w:p w14:paraId="45B9F08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94E1A0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44A53D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27F474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7DD74E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Степень исполнения на 01 июля</w:t>
            </w:r>
          </w:p>
        </w:tc>
      </w:tr>
      <w:tr w:rsidR="004E10C1" w:rsidRPr="0044524F" w14:paraId="133AD764" w14:textId="77777777">
        <w:tc>
          <w:tcPr>
            <w:tcW w:w="2376" w:type="dxa"/>
          </w:tcPr>
          <w:p w14:paraId="048C561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6CE520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w:t>
            </w:r>
          </w:p>
        </w:tc>
        <w:tc>
          <w:tcPr>
            <w:tcW w:w="975" w:type="dxa"/>
          </w:tcPr>
          <w:p w14:paraId="042E4C9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w:t>
            </w:r>
          </w:p>
        </w:tc>
        <w:tc>
          <w:tcPr>
            <w:tcW w:w="846" w:type="dxa"/>
          </w:tcPr>
          <w:p w14:paraId="7F3DC3A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w:t>
            </w:r>
          </w:p>
        </w:tc>
        <w:tc>
          <w:tcPr>
            <w:tcW w:w="749" w:type="dxa"/>
          </w:tcPr>
          <w:p w14:paraId="7F86D1D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w:t>
            </w:r>
          </w:p>
        </w:tc>
        <w:tc>
          <w:tcPr>
            <w:tcW w:w="799" w:type="dxa"/>
          </w:tcPr>
          <w:p w14:paraId="722D746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w:t>
            </w:r>
          </w:p>
        </w:tc>
        <w:tc>
          <w:tcPr>
            <w:tcW w:w="3719" w:type="dxa"/>
          </w:tcPr>
          <w:p w14:paraId="54D890E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B816E00" w14:textId="77777777">
        <w:tc>
          <w:tcPr>
            <w:tcW w:w="2376" w:type="dxa"/>
          </w:tcPr>
          <w:p w14:paraId="5365CE0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самолетам (сухопутным)</w:t>
            </w:r>
          </w:p>
        </w:tc>
        <w:tc>
          <w:tcPr>
            <w:tcW w:w="993" w:type="dxa"/>
          </w:tcPr>
          <w:p w14:paraId="039DACF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300A7E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B369A5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8CBEFB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2B93AB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70D7D0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311FB48" w14:textId="77777777">
        <w:tc>
          <w:tcPr>
            <w:tcW w:w="2376" w:type="dxa"/>
          </w:tcPr>
          <w:p w14:paraId="4F65B94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Опытные</w:t>
            </w:r>
          </w:p>
        </w:tc>
        <w:tc>
          <w:tcPr>
            <w:tcW w:w="993" w:type="dxa"/>
          </w:tcPr>
          <w:p w14:paraId="0C8203B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2D4F69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F04F5C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C55443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E27782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B395F8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8B590E4" w14:textId="77777777">
        <w:tc>
          <w:tcPr>
            <w:tcW w:w="2376" w:type="dxa"/>
          </w:tcPr>
          <w:p w14:paraId="73E1D91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ТБ-6 М-44 или нефт.</w:t>
            </w:r>
          </w:p>
        </w:tc>
        <w:tc>
          <w:tcPr>
            <w:tcW w:w="993" w:type="dxa"/>
          </w:tcPr>
          <w:p w14:paraId="3A5127D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260/6000</w:t>
            </w:r>
          </w:p>
        </w:tc>
        <w:tc>
          <w:tcPr>
            <w:tcW w:w="975" w:type="dxa"/>
          </w:tcPr>
          <w:p w14:paraId="5671FB4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w:t>
            </w:r>
          </w:p>
        </w:tc>
        <w:tc>
          <w:tcPr>
            <w:tcW w:w="846" w:type="dxa"/>
          </w:tcPr>
          <w:p w14:paraId="6DC2D2D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16000</w:t>
            </w:r>
          </w:p>
        </w:tc>
        <w:tc>
          <w:tcPr>
            <w:tcW w:w="749" w:type="dxa"/>
          </w:tcPr>
          <w:p w14:paraId="6620B8A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799" w:type="dxa"/>
          </w:tcPr>
          <w:p w14:paraId="10590AC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01.12.34</w:t>
            </w:r>
          </w:p>
        </w:tc>
        <w:tc>
          <w:tcPr>
            <w:tcW w:w="3719" w:type="dxa"/>
          </w:tcPr>
          <w:p w14:paraId="42FF56E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Внесли новый срок пред. на испыт - 01.12.35</w:t>
            </w:r>
          </w:p>
        </w:tc>
      </w:tr>
      <w:tr w:rsidR="004E10C1" w:rsidRPr="0044524F" w14:paraId="65961EE6" w14:textId="77777777">
        <w:tc>
          <w:tcPr>
            <w:tcW w:w="2376" w:type="dxa"/>
          </w:tcPr>
          <w:p w14:paraId="488464C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 он же пассаж.)</w:t>
            </w:r>
          </w:p>
        </w:tc>
        <w:tc>
          <w:tcPr>
            <w:tcW w:w="993" w:type="dxa"/>
          </w:tcPr>
          <w:p w14:paraId="1A1AF9F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7F534A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4F0D68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16631BA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3281C3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4CE9E2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закончил общ. компон. схемы. Прорабатывает</w:t>
            </w:r>
          </w:p>
        </w:tc>
      </w:tr>
      <w:tr w:rsidR="004E10C1" w:rsidRPr="0044524F" w14:paraId="4DC902F4" w14:textId="77777777">
        <w:tc>
          <w:tcPr>
            <w:tcW w:w="2376" w:type="dxa"/>
          </w:tcPr>
          <w:p w14:paraId="4B2C4A8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D32EE6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5F0164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6941C4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749" w:type="dxa"/>
          </w:tcPr>
          <w:p w14:paraId="7B0DB23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77C0EA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D4AE89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 осн. элементов. В постройке опытн.</w:t>
            </w:r>
          </w:p>
        </w:tc>
      </w:tr>
      <w:tr w:rsidR="004E10C1" w:rsidRPr="0044524F" w14:paraId="39BFBB9E" w14:textId="77777777">
        <w:tc>
          <w:tcPr>
            <w:tcW w:w="2376" w:type="dxa"/>
          </w:tcPr>
          <w:p w14:paraId="3383234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8ED566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419623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CD906C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CE51E3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CC4E07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7E365A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лонжерон из хромомолибденовых труб</w:t>
            </w:r>
          </w:p>
        </w:tc>
      </w:tr>
      <w:tr w:rsidR="004E10C1" w:rsidRPr="0044524F" w14:paraId="326D7190" w14:textId="77777777">
        <w:tc>
          <w:tcPr>
            <w:tcW w:w="2376" w:type="dxa"/>
          </w:tcPr>
          <w:p w14:paraId="0B8D713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Д-1 10М-34 (Тяж.</w:t>
            </w:r>
          </w:p>
        </w:tc>
        <w:tc>
          <w:tcPr>
            <w:tcW w:w="993" w:type="dxa"/>
          </w:tcPr>
          <w:p w14:paraId="4C3D3C7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215/3000</w:t>
            </w:r>
          </w:p>
        </w:tc>
        <w:tc>
          <w:tcPr>
            <w:tcW w:w="975" w:type="dxa"/>
          </w:tcPr>
          <w:p w14:paraId="6446B51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846" w:type="dxa"/>
          </w:tcPr>
          <w:p w14:paraId="079E353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10хпул.</w:t>
            </w:r>
          </w:p>
        </w:tc>
        <w:tc>
          <w:tcPr>
            <w:tcW w:w="749" w:type="dxa"/>
          </w:tcPr>
          <w:p w14:paraId="5B6C03C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799" w:type="dxa"/>
          </w:tcPr>
          <w:p w14:paraId="59D9B4B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c>
          <w:tcPr>
            <w:tcW w:w="3719" w:type="dxa"/>
          </w:tcPr>
          <w:p w14:paraId="0FF7D9D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Важн. работа - испытание передач на винт от 2-х</w:t>
            </w:r>
          </w:p>
        </w:tc>
      </w:tr>
      <w:tr w:rsidR="004E10C1" w:rsidRPr="0044524F" w14:paraId="322728CE" w14:textId="77777777">
        <w:tc>
          <w:tcPr>
            <w:tcW w:w="2376" w:type="dxa"/>
          </w:tcPr>
          <w:p w14:paraId="2BAA745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десантный)</w:t>
            </w:r>
          </w:p>
        </w:tc>
        <w:tc>
          <w:tcPr>
            <w:tcW w:w="993" w:type="dxa"/>
          </w:tcPr>
          <w:p w14:paraId="453DC49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DAC657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9BC98E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2хпуш.</w:t>
            </w:r>
          </w:p>
        </w:tc>
        <w:tc>
          <w:tcPr>
            <w:tcW w:w="749" w:type="dxa"/>
          </w:tcPr>
          <w:p w14:paraId="2342FC0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BCBB37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0B1DAE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моторов на М-17. С 10 апреля по 1 июля на 2-х</w:t>
            </w:r>
          </w:p>
        </w:tc>
      </w:tr>
      <w:tr w:rsidR="004E10C1" w:rsidRPr="0044524F" w14:paraId="2A255D5F" w14:textId="77777777">
        <w:tc>
          <w:tcPr>
            <w:tcW w:w="2376" w:type="dxa"/>
          </w:tcPr>
          <w:p w14:paraId="235547B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9AD325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471EF6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1FB1A0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922CB9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6EA725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B3277A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наработали 55:10. Макс. время между устр. дефектов</w:t>
            </w:r>
          </w:p>
        </w:tc>
      </w:tr>
      <w:tr w:rsidR="004E10C1" w:rsidRPr="0044524F" w14:paraId="33C1C98D" w14:textId="77777777">
        <w:tc>
          <w:tcPr>
            <w:tcW w:w="2376" w:type="dxa"/>
          </w:tcPr>
          <w:p w14:paraId="767BCA3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609B5D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D91B75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A348F2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D659F1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E961FB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04B4C7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5:16. Испытания показали, что передача с 2-х на</w:t>
            </w:r>
          </w:p>
        </w:tc>
      </w:tr>
      <w:tr w:rsidR="004E10C1" w:rsidRPr="0044524F" w14:paraId="5A4C3942" w14:textId="77777777">
        <w:tc>
          <w:tcPr>
            <w:tcW w:w="2376" w:type="dxa"/>
          </w:tcPr>
          <w:p w14:paraId="2C5DE8E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9BCFF7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2A0993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22ED4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4F4D6B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FDF01E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957D9D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один винт создана, но конструктивно нужна дор.</w:t>
            </w:r>
          </w:p>
        </w:tc>
      </w:tr>
      <w:tr w:rsidR="004E10C1" w:rsidRPr="0044524F" w14:paraId="58AE6FAF" w14:textId="77777777">
        <w:tc>
          <w:tcPr>
            <w:tcW w:w="2376" w:type="dxa"/>
          </w:tcPr>
          <w:p w14:paraId="393D8F5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9B1BC5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292985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CEA1EF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CB1A9E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6D066D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40681C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 раб. черт. - на 28-100% в зав. от констр.</w:t>
            </w:r>
          </w:p>
        </w:tc>
      </w:tr>
      <w:tr w:rsidR="004E10C1" w:rsidRPr="0044524F" w14:paraId="32D1D0D9" w14:textId="77777777">
        <w:tc>
          <w:tcPr>
            <w:tcW w:w="2376" w:type="dxa"/>
          </w:tcPr>
          <w:p w14:paraId="36FF811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ТБ-4 5М-34 (ТБ)</w:t>
            </w:r>
          </w:p>
        </w:tc>
        <w:tc>
          <w:tcPr>
            <w:tcW w:w="993" w:type="dxa"/>
          </w:tcPr>
          <w:p w14:paraId="0308142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200/3000</w:t>
            </w:r>
          </w:p>
        </w:tc>
        <w:tc>
          <w:tcPr>
            <w:tcW w:w="975" w:type="dxa"/>
          </w:tcPr>
          <w:p w14:paraId="67F9792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5-6000</w:t>
            </w:r>
          </w:p>
        </w:tc>
        <w:tc>
          <w:tcPr>
            <w:tcW w:w="846" w:type="dxa"/>
          </w:tcPr>
          <w:p w14:paraId="68AA93D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749" w:type="dxa"/>
          </w:tcPr>
          <w:p w14:paraId="72F7279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799" w:type="dxa"/>
          </w:tcPr>
          <w:p w14:paraId="0EB7202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01.11.32</w:t>
            </w:r>
          </w:p>
        </w:tc>
        <w:tc>
          <w:tcPr>
            <w:tcW w:w="3719" w:type="dxa"/>
          </w:tcPr>
          <w:p w14:paraId="22585C1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срок - 15.07.33. Постройкой машина окончена</w:t>
            </w:r>
          </w:p>
        </w:tc>
      </w:tr>
      <w:tr w:rsidR="004E10C1" w:rsidRPr="0044524F" w14:paraId="3E1F1F5B" w14:textId="77777777">
        <w:tc>
          <w:tcPr>
            <w:tcW w:w="2376" w:type="dxa"/>
          </w:tcPr>
          <w:p w14:paraId="3645DD4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1472C2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275F74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9C95E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10хпул.</w:t>
            </w:r>
          </w:p>
        </w:tc>
        <w:tc>
          <w:tcPr>
            <w:tcW w:w="749" w:type="dxa"/>
          </w:tcPr>
          <w:p w14:paraId="5C302F8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F9B97F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F20F33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мес. доводили ВМГ и мех. подъема стабилиз. 3</w:t>
            </w:r>
          </w:p>
        </w:tc>
      </w:tr>
      <w:tr w:rsidR="004E10C1" w:rsidRPr="0044524F" w14:paraId="2FB2B1A0" w14:textId="77777777">
        <w:tc>
          <w:tcPr>
            <w:tcW w:w="2376" w:type="dxa"/>
          </w:tcPr>
          <w:p w14:paraId="4B02BD8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32CB05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476C9F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C2EA49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3хпуш.</w:t>
            </w:r>
          </w:p>
        </w:tc>
        <w:tc>
          <w:tcPr>
            <w:tcW w:w="749" w:type="dxa"/>
          </w:tcPr>
          <w:p w14:paraId="246D97A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B60280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2EB80A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июля 1933 - первый вылет, удачный.</w:t>
            </w:r>
          </w:p>
        </w:tc>
      </w:tr>
      <w:tr w:rsidR="004E10C1" w:rsidRPr="0044524F" w14:paraId="4281ED5D" w14:textId="77777777">
        <w:tc>
          <w:tcPr>
            <w:tcW w:w="2376" w:type="dxa"/>
          </w:tcPr>
          <w:p w14:paraId="75551AB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ТБ-4 6М-34 (гол.</w:t>
            </w:r>
          </w:p>
        </w:tc>
        <w:tc>
          <w:tcPr>
            <w:tcW w:w="993" w:type="dxa"/>
          </w:tcPr>
          <w:p w14:paraId="5CEFE02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200/3000</w:t>
            </w:r>
          </w:p>
        </w:tc>
        <w:tc>
          <w:tcPr>
            <w:tcW w:w="975" w:type="dxa"/>
          </w:tcPr>
          <w:p w14:paraId="797674F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6-8000</w:t>
            </w:r>
          </w:p>
        </w:tc>
        <w:tc>
          <w:tcPr>
            <w:tcW w:w="846" w:type="dxa"/>
          </w:tcPr>
          <w:p w14:paraId="5071B77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749" w:type="dxa"/>
          </w:tcPr>
          <w:p w14:paraId="35982FC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799" w:type="dxa"/>
          </w:tcPr>
          <w:p w14:paraId="2A6D3C6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01.06.33</w:t>
            </w:r>
          </w:p>
        </w:tc>
        <w:tc>
          <w:tcPr>
            <w:tcW w:w="3719" w:type="dxa"/>
          </w:tcPr>
          <w:p w14:paraId="3BB24EB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модиф. самолет, увелич. площадь крыльев на</w:t>
            </w:r>
          </w:p>
        </w:tc>
      </w:tr>
      <w:tr w:rsidR="004E10C1" w:rsidRPr="0044524F" w14:paraId="05424212" w14:textId="77777777">
        <w:tc>
          <w:tcPr>
            <w:tcW w:w="2376" w:type="dxa"/>
          </w:tcPr>
          <w:p w14:paraId="0D7BD57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серийный)</w:t>
            </w:r>
          </w:p>
        </w:tc>
        <w:tc>
          <w:tcPr>
            <w:tcW w:w="993" w:type="dxa"/>
          </w:tcPr>
          <w:p w14:paraId="62B7FC8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760CFB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80E850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10хпул.</w:t>
            </w:r>
          </w:p>
        </w:tc>
        <w:tc>
          <w:tcPr>
            <w:tcW w:w="749" w:type="dxa"/>
          </w:tcPr>
          <w:p w14:paraId="1012A26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5EC439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3EA0EB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 м кв., повышая размах и ставя 7 и 8 моторы</w:t>
            </w:r>
          </w:p>
        </w:tc>
      </w:tr>
      <w:tr w:rsidR="004E10C1" w:rsidRPr="0044524F" w14:paraId="24C2BB26" w14:textId="77777777">
        <w:tc>
          <w:tcPr>
            <w:tcW w:w="2376" w:type="dxa"/>
          </w:tcPr>
          <w:p w14:paraId="59ED4EA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FEE692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843ED6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0F68CB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2хпуш.</w:t>
            </w:r>
          </w:p>
        </w:tc>
        <w:tc>
          <w:tcPr>
            <w:tcW w:w="749" w:type="dxa"/>
          </w:tcPr>
          <w:p w14:paraId="6D81004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8F5702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ADD3EE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Модиф. строится как МГ. По расч, ЦАГИ воен. </w:t>
            </w:r>
          </w:p>
        </w:tc>
      </w:tr>
      <w:tr w:rsidR="004E10C1" w:rsidRPr="0044524F" w14:paraId="2EA0092A" w14:textId="77777777">
        <w:tc>
          <w:tcPr>
            <w:tcW w:w="2376" w:type="dxa"/>
          </w:tcPr>
          <w:p w14:paraId="5D92601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37E4B6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F1F3C2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C52A10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8F901C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3C626E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3CE5BA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вариант превзойдет ТБ-4. В постройке и выйдет</w:t>
            </w:r>
          </w:p>
        </w:tc>
      </w:tr>
      <w:tr w:rsidR="004E10C1" w:rsidRPr="0044524F" w14:paraId="18595739" w14:textId="77777777">
        <w:tc>
          <w:tcPr>
            <w:tcW w:w="2376" w:type="dxa"/>
          </w:tcPr>
          <w:p w14:paraId="4C8C59C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F5C6EF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819235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76D89E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4F95A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82D908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70F130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1934</w:t>
            </w:r>
          </w:p>
        </w:tc>
      </w:tr>
      <w:tr w:rsidR="004E10C1" w:rsidRPr="0044524F" w14:paraId="4ABD61BA" w14:textId="77777777">
        <w:tc>
          <w:tcPr>
            <w:tcW w:w="2376" w:type="dxa"/>
          </w:tcPr>
          <w:p w14:paraId="3673E65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Х-1 2М-34 (ТХ</w:t>
            </w:r>
          </w:p>
        </w:tc>
        <w:tc>
          <w:tcPr>
            <w:tcW w:w="993" w:type="dxa"/>
          </w:tcPr>
          <w:p w14:paraId="17599AF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260/3000</w:t>
            </w:r>
          </w:p>
        </w:tc>
        <w:tc>
          <w:tcPr>
            <w:tcW w:w="975" w:type="dxa"/>
          </w:tcPr>
          <w:p w14:paraId="639B928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6251553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749" w:type="dxa"/>
          </w:tcPr>
          <w:p w14:paraId="653E980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799" w:type="dxa"/>
          </w:tcPr>
          <w:p w14:paraId="2D5A890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01.08.33</w:t>
            </w:r>
          </w:p>
        </w:tc>
        <w:tc>
          <w:tcPr>
            <w:tcW w:w="3719" w:type="dxa"/>
          </w:tcPr>
          <w:p w14:paraId="0548890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Схема оконч. принята по типу ЛК. Ведутся продувки</w:t>
            </w:r>
          </w:p>
        </w:tc>
      </w:tr>
      <w:tr w:rsidR="004E10C1" w:rsidRPr="0044524F" w14:paraId="5E49D9CA" w14:textId="77777777">
        <w:tc>
          <w:tcPr>
            <w:tcW w:w="2376" w:type="dxa"/>
          </w:tcPr>
          <w:p w14:paraId="5E5AFF6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боевик, он же для</w:t>
            </w:r>
          </w:p>
        </w:tc>
        <w:tc>
          <w:tcPr>
            <w:tcW w:w="993" w:type="dxa"/>
          </w:tcPr>
          <w:p w14:paraId="6404DC4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9842D3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C6ABF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36C0ADB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8D48CF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кв. 34</w:t>
            </w:r>
          </w:p>
        </w:tc>
        <w:tc>
          <w:tcPr>
            <w:tcW w:w="3719" w:type="dxa"/>
          </w:tcPr>
          <w:p w14:paraId="2D317B0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модели, потом будет законч. эскизн. проект. Вед.</w:t>
            </w:r>
          </w:p>
        </w:tc>
      </w:tr>
      <w:tr w:rsidR="004E10C1" w:rsidRPr="0044524F" w14:paraId="00BDF47B" w14:textId="77777777">
        <w:tc>
          <w:tcPr>
            <w:tcW w:w="2376" w:type="dxa"/>
          </w:tcPr>
          <w:p w14:paraId="52350C3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перевозки горюч. и</w:t>
            </w:r>
          </w:p>
        </w:tc>
        <w:tc>
          <w:tcPr>
            <w:tcW w:w="993" w:type="dxa"/>
          </w:tcPr>
          <w:p w14:paraId="5821D6F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541BFA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661C99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07FD65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34D8BD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0FA633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компоновка и увязка военного вар. с гражд. Подгот.</w:t>
            </w:r>
          </w:p>
        </w:tc>
      </w:tr>
      <w:tr w:rsidR="004E10C1" w:rsidRPr="0044524F" w14:paraId="21F1F209" w14:textId="77777777">
        <w:tc>
          <w:tcPr>
            <w:tcW w:w="2376" w:type="dxa"/>
          </w:tcPr>
          <w:p w14:paraId="1258B39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пассажиров)</w:t>
            </w:r>
          </w:p>
        </w:tc>
        <w:tc>
          <w:tcPr>
            <w:tcW w:w="993" w:type="dxa"/>
          </w:tcPr>
          <w:p w14:paraId="6FEE04A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934DEA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C4FAC6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794BFA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08A6A2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916276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макет. Летающ. модель не построена (будет), т.к.</w:t>
            </w:r>
          </w:p>
        </w:tc>
      </w:tr>
      <w:tr w:rsidR="004E10C1" w:rsidRPr="0044524F" w14:paraId="5F2BC582" w14:textId="77777777">
        <w:tc>
          <w:tcPr>
            <w:tcW w:w="2376" w:type="dxa"/>
          </w:tcPr>
          <w:p w14:paraId="59DEFA6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A39A8B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10A907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D559F4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8CBD2C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E62561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D8E825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не получены. Финанс. работ от ГУГВФ не</w:t>
            </w:r>
          </w:p>
        </w:tc>
      </w:tr>
      <w:tr w:rsidR="004E10C1" w:rsidRPr="0044524F" w14:paraId="3FB8FF3D" w14:textId="77777777">
        <w:tc>
          <w:tcPr>
            <w:tcW w:w="2376" w:type="dxa"/>
          </w:tcPr>
          <w:p w14:paraId="2D44EE2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8715DE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02B696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C77D7D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C9FD56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ACBA8A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21160B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достаточно и хват. только на проектирование</w:t>
            </w:r>
          </w:p>
        </w:tc>
      </w:tr>
      <w:tr w:rsidR="004E10C1" w:rsidRPr="0044524F" w14:paraId="243CBEB6" w14:textId="77777777">
        <w:tc>
          <w:tcPr>
            <w:tcW w:w="2376" w:type="dxa"/>
          </w:tcPr>
          <w:p w14:paraId="3724931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К-1 2М-34 (Крейс.</w:t>
            </w:r>
          </w:p>
        </w:tc>
        <w:tc>
          <w:tcPr>
            <w:tcW w:w="993" w:type="dxa"/>
          </w:tcPr>
          <w:p w14:paraId="112AA6B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270/6000</w:t>
            </w:r>
          </w:p>
        </w:tc>
        <w:tc>
          <w:tcPr>
            <w:tcW w:w="975" w:type="dxa"/>
          </w:tcPr>
          <w:p w14:paraId="2C4B063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53A1AE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3126451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799" w:type="dxa"/>
          </w:tcPr>
          <w:p w14:paraId="2434656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01.??.33</w:t>
            </w:r>
          </w:p>
        </w:tc>
        <w:tc>
          <w:tcPr>
            <w:tcW w:w="3719" w:type="dxa"/>
          </w:tcPr>
          <w:p w14:paraId="0923248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Внесен новый срок пред. на гос. испыт. Проектир.</w:t>
            </w:r>
          </w:p>
        </w:tc>
      </w:tr>
      <w:tr w:rsidR="004E10C1" w:rsidRPr="0044524F" w14:paraId="13FF0A68" w14:textId="77777777">
        <w:tc>
          <w:tcPr>
            <w:tcW w:w="2376" w:type="dxa"/>
          </w:tcPr>
          <w:p w14:paraId="496D0F0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сух. Сред.Б, ДР)</w:t>
            </w:r>
          </w:p>
        </w:tc>
        <w:tc>
          <w:tcPr>
            <w:tcW w:w="993" w:type="dxa"/>
          </w:tcPr>
          <w:p w14:paraId="77E6613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C2DA8B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EAD836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1974FA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4D8755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01.12.34</w:t>
            </w:r>
          </w:p>
        </w:tc>
        <w:tc>
          <w:tcPr>
            <w:tcW w:w="3719" w:type="dxa"/>
          </w:tcPr>
          <w:p w14:paraId="5F1A6E1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крыльев, шасси, оперения и фюз. кроме передн.</w:t>
            </w:r>
          </w:p>
        </w:tc>
      </w:tr>
      <w:tr w:rsidR="004E10C1" w:rsidRPr="0044524F" w14:paraId="405CCD52" w14:textId="77777777">
        <w:tc>
          <w:tcPr>
            <w:tcW w:w="2376" w:type="dxa"/>
          </w:tcPr>
          <w:p w14:paraId="3A3EF04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B94ABF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196B45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D92617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3B24B4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9FFBBF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2DBABD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части законч. Не ясно с моторами. ЦАГИ хочет 2</w:t>
            </w:r>
          </w:p>
        </w:tc>
      </w:tr>
      <w:tr w:rsidR="004E10C1" w:rsidRPr="0044524F" w14:paraId="3AAB9042" w14:textId="77777777">
        <w:tc>
          <w:tcPr>
            <w:tcW w:w="2376" w:type="dxa"/>
          </w:tcPr>
          <w:p w14:paraId="433D97A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CF0FDB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418FC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3661C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B529D0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B5F388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F07D60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М-32</w:t>
            </w:r>
          </w:p>
        </w:tc>
      </w:tr>
      <w:tr w:rsidR="004E10C1" w:rsidRPr="0044524F" w14:paraId="6BC6F1D2" w14:textId="77777777">
        <w:tc>
          <w:tcPr>
            <w:tcW w:w="2376" w:type="dxa"/>
          </w:tcPr>
          <w:p w14:paraId="62C9FE2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МИ-3 2М-34</w:t>
            </w:r>
          </w:p>
        </w:tc>
        <w:tc>
          <w:tcPr>
            <w:tcW w:w="993" w:type="dxa"/>
          </w:tcPr>
          <w:p w14:paraId="7A2817A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300/6000</w:t>
            </w:r>
          </w:p>
        </w:tc>
        <w:tc>
          <w:tcPr>
            <w:tcW w:w="975" w:type="dxa"/>
          </w:tcPr>
          <w:p w14:paraId="6F1F3FD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7-6000</w:t>
            </w:r>
          </w:p>
        </w:tc>
        <w:tc>
          <w:tcPr>
            <w:tcW w:w="846" w:type="dxa"/>
          </w:tcPr>
          <w:p w14:paraId="1CE04E4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2хпул.Т</w:t>
            </w:r>
          </w:p>
        </w:tc>
        <w:tc>
          <w:tcPr>
            <w:tcW w:w="749" w:type="dxa"/>
          </w:tcPr>
          <w:p w14:paraId="6428D94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799" w:type="dxa"/>
          </w:tcPr>
          <w:p w14:paraId="0E247BE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01.01.33</w:t>
            </w:r>
          </w:p>
        </w:tc>
        <w:tc>
          <w:tcPr>
            <w:tcW w:w="3719" w:type="dxa"/>
          </w:tcPr>
          <w:p w14:paraId="28B2BB4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законч., начаты зав. испыт. Показали</w:t>
            </w:r>
          </w:p>
        </w:tc>
      </w:tr>
      <w:tr w:rsidR="004E10C1" w:rsidRPr="0044524F" w14:paraId="5CC247D2" w14:textId="77777777">
        <w:tc>
          <w:tcPr>
            <w:tcW w:w="2376" w:type="dxa"/>
          </w:tcPr>
          <w:p w14:paraId="4A38087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2AA7F5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1E44E4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E9CB90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6хпулЛ.</w:t>
            </w:r>
          </w:p>
        </w:tc>
        <w:tc>
          <w:tcPr>
            <w:tcW w:w="749" w:type="dxa"/>
          </w:tcPr>
          <w:p w14:paraId="0D74738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780DE4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w:t>
            </w:r>
          </w:p>
        </w:tc>
        <w:tc>
          <w:tcPr>
            <w:tcW w:w="3719" w:type="dxa"/>
          </w:tcPr>
          <w:p w14:paraId="35DC3AA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серьезные дефекты, треб. устр. (вибр. оперения,</w:t>
            </w:r>
          </w:p>
        </w:tc>
      </w:tr>
      <w:tr w:rsidR="004E10C1" w:rsidRPr="0044524F" w14:paraId="03D02F1E" w14:textId="77777777">
        <w:tc>
          <w:tcPr>
            <w:tcW w:w="2376" w:type="dxa"/>
          </w:tcPr>
          <w:p w14:paraId="244A1D8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A5AAC0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385DA3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112264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52927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ACA771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447713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трудн. посадки из-за недост РВ, резк. перевод на</w:t>
            </w:r>
          </w:p>
        </w:tc>
      </w:tr>
      <w:tr w:rsidR="004E10C1" w:rsidRPr="0044524F" w14:paraId="0F1539DA" w14:textId="77777777">
        <w:tc>
          <w:tcPr>
            <w:tcW w:w="2376" w:type="dxa"/>
          </w:tcPr>
          <w:p w14:paraId="64AC525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1DF8F2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884745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C6FC98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7941CE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825E5B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0E9A96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нос на мал. газу. ЦАГИ устран. путем изуч. обтек.</w:t>
            </w:r>
          </w:p>
        </w:tc>
      </w:tr>
      <w:tr w:rsidR="004E10C1" w:rsidRPr="0044524F" w14:paraId="7A8359B8" w14:textId="77777777">
        <w:tc>
          <w:tcPr>
            <w:tcW w:w="2376" w:type="dxa"/>
          </w:tcPr>
          <w:p w14:paraId="3C591AB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162B30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279DCA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812710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686A6C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6BA237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DEEBAD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крыльев на малых скор. Новый срок гос. исп.</w:t>
            </w:r>
          </w:p>
        </w:tc>
      </w:tr>
      <w:tr w:rsidR="004E10C1" w:rsidRPr="0044524F" w14:paraId="2B747E82" w14:textId="77777777">
        <w:tc>
          <w:tcPr>
            <w:tcW w:w="2376" w:type="dxa"/>
          </w:tcPr>
          <w:p w14:paraId="1C15D2E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C494A9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2BED4F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DFE348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C32A6B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E329BB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68D72A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w:t>
            </w:r>
          </w:p>
        </w:tc>
      </w:tr>
      <w:tr w:rsidR="004E10C1" w:rsidRPr="0044524F" w14:paraId="5D23F4CC" w14:textId="77777777">
        <w:tc>
          <w:tcPr>
            <w:tcW w:w="2376" w:type="dxa"/>
          </w:tcPr>
          <w:p w14:paraId="2F26153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ДИП 2М-34 (пуш.)</w:t>
            </w:r>
          </w:p>
        </w:tc>
        <w:tc>
          <w:tcPr>
            <w:tcW w:w="993" w:type="dxa"/>
          </w:tcPr>
          <w:p w14:paraId="6308F6E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325/6000</w:t>
            </w:r>
          </w:p>
        </w:tc>
        <w:tc>
          <w:tcPr>
            <w:tcW w:w="975" w:type="dxa"/>
          </w:tcPr>
          <w:p w14:paraId="69F616B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w:t>
            </w:r>
          </w:p>
        </w:tc>
        <w:tc>
          <w:tcPr>
            <w:tcW w:w="846" w:type="dxa"/>
          </w:tcPr>
          <w:p w14:paraId="20D39B1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ДРП</w:t>
            </w:r>
          </w:p>
        </w:tc>
        <w:tc>
          <w:tcPr>
            <w:tcW w:w="749" w:type="dxa"/>
          </w:tcPr>
          <w:p w14:paraId="70F29FC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799" w:type="dxa"/>
          </w:tcPr>
          <w:p w14:paraId="26E91D0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01.??.33</w:t>
            </w:r>
          </w:p>
        </w:tc>
        <w:tc>
          <w:tcPr>
            <w:tcW w:w="3719" w:type="dxa"/>
          </w:tcPr>
          <w:p w14:paraId="580BF0D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срок - 01.06.34. Продолж. постройка (медл.)</w:t>
            </w:r>
          </w:p>
        </w:tc>
      </w:tr>
      <w:tr w:rsidR="004E10C1" w:rsidRPr="0044524F" w14:paraId="26301D0A" w14:textId="77777777">
        <w:tc>
          <w:tcPr>
            <w:tcW w:w="2376" w:type="dxa"/>
          </w:tcPr>
          <w:p w14:paraId="47731DE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64E56E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668695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E9DA91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516B93B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70EC99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01.06.34</w:t>
            </w:r>
          </w:p>
        </w:tc>
        <w:tc>
          <w:tcPr>
            <w:tcW w:w="3719" w:type="dxa"/>
          </w:tcPr>
          <w:p w14:paraId="7D57A3B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крыльев, оперения, шасси. Проектир. фюзел. замедл.</w:t>
            </w:r>
          </w:p>
        </w:tc>
      </w:tr>
      <w:tr w:rsidR="004E10C1" w:rsidRPr="0044524F" w14:paraId="27A06460" w14:textId="77777777">
        <w:tc>
          <w:tcPr>
            <w:tcW w:w="2376" w:type="dxa"/>
          </w:tcPr>
          <w:p w14:paraId="1ED6CAC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12EB67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81BFD6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4D62FE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7F809E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19FE49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E11456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из-за занят. РД и И-14</w:t>
            </w:r>
          </w:p>
        </w:tc>
      </w:tr>
      <w:tr w:rsidR="004E10C1" w:rsidRPr="0044524F" w14:paraId="05686CCD" w14:textId="77777777">
        <w:tc>
          <w:tcPr>
            <w:tcW w:w="2376" w:type="dxa"/>
          </w:tcPr>
          <w:p w14:paraId="4F3781B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КР М-34 (Легк.</w:t>
            </w:r>
          </w:p>
        </w:tc>
        <w:tc>
          <w:tcPr>
            <w:tcW w:w="993" w:type="dxa"/>
          </w:tcPr>
          <w:p w14:paraId="1F78A80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300/6000</w:t>
            </w:r>
          </w:p>
        </w:tc>
        <w:tc>
          <w:tcPr>
            <w:tcW w:w="975" w:type="dxa"/>
          </w:tcPr>
          <w:p w14:paraId="72D28D6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w:t>
            </w:r>
          </w:p>
        </w:tc>
        <w:tc>
          <w:tcPr>
            <w:tcW w:w="846" w:type="dxa"/>
          </w:tcPr>
          <w:p w14:paraId="12885EA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14A2D34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799" w:type="dxa"/>
          </w:tcPr>
          <w:p w14:paraId="45910D2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01.01.33</w:t>
            </w:r>
          </w:p>
        </w:tc>
        <w:tc>
          <w:tcPr>
            <w:tcW w:w="3719" w:type="dxa"/>
          </w:tcPr>
          <w:p w14:paraId="68B1BB3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 срок - 01.09.33. Самол. в сборке. Заводские</w:t>
            </w:r>
          </w:p>
        </w:tc>
      </w:tr>
      <w:tr w:rsidR="004E10C1" w:rsidRPr="0044524F" w14:paraId="6D1BF169" w14:textId="77777777">
        <w:tc>
          <w:tcPr>
            <w:tcW w:w="2376" w:type="dxa"/>
          </w:tcPr>
          <w:p w14:paraId="1222A7F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w:t>
            </w:r>
          </w:p>
        </w:tc>
        <w:tc>
          <w:tcPr>
            <w:tcW w:w="993" w:type="dxa"/>
          </w:tcPr>
          <w:p w14:paraId="5691E6F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655D1A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5595B5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12311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4F1E4F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w:t>
            </w:r>
          </w:p>
        </w:tc>
        <w:tc>
          <w:tcPr>
            <w:tcW w:w="3719" w:type="dxa"/>
          </w:tcPr>
          <w:p w14:paraId="7EE9DEF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 с 1 декады августа</w:t>
            </w:r>
          </w:p>
        </w:tc>
      </w:tr>
      <w:tr w:rsidR="004E10C1" w:rsidRPr="0044524F" w14:paraId="793E13F0" w14:textId="77777777">
        <w:tc>
          <w:tcPr>
            <w:tcW w:w="2376" w:type="dxa"/>
          </w:tcPr>
          <w:p w14:paraId="64094C3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ДИ-6 М-34 или</w:t>
            </w:r>
          </w:p>
        </w:tc>
        <w:tc>
          <w:tcPr>
            <w:tcW w:w="993" w:type="dxa"/>
          </w:tcPr>
          <w:p w14:paraId="53BCE82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375/6000</w:t>
            </w:r>
          </w:p>
        </w:tc>
        <w:tc>
          <w:tcPr>
            <w:tcW w:w="975" w:type="dxa"/>
          </w:tcPr>
          <w:p w14:paraId="1123707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9000</w:t>
            </w:r>
          </w:p>
        </w:tc>
        <w:tc>
          <w:tcPr>
            <w:tcW w:w="846" w:type="dxa"/>
          </w:tcPr>
          <w:p w14:paraId="179E83F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3738479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799" w:type="dxa"/>
          </w:tcPr>
          <w:p w14:paraId="051EFE3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01.06.33</w:t>
            </w:r>
          </w:p>
        </w:tc>
        <w:tc>
          <w:tcPr>
            <w:tcW w:w="3719" w:type="dxa"/>
          </w:tcPr>
          <w:p w14:paraId="110B4AB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 срок с Райт - 01.10.34. ЦКБ 39 ведет предвар.</w:t>
            </w:r>
          </w:p>
        </w:tc>
      </w:tr>
      <w:tr w:rsidR="004E10C1" w:rsidRPr="0044524F" w14:paraId="33605608" w14:textId="77777777">
        <w:tc>
          <w:tcPr>
            <w:tcW w:w="2376" w:type="dxa"/>
          </w:tcPr>
          <w:p w14:paraId="5D8FC6A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 (2-х м истр.)</w:t>
            </w:r>
          </w:p>
        </w:tc>
        <w:tc>
          <w:tcPr>
            <w:tcW w:w="993" w:type="dxa"/>
          </w:tcPr>
          <w:p w14:paraId="6FC43D2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66A9DC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334373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536CA8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203F0C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01.10.34</w:t>
            </w:r>
          </w:p>
        </w:tc>
        <w:tc>
          <w:tcPr>
            <w:tcW w:w="3719" w:type="dxa"/>
          </w:tcPr>
          <w:p w14:paraId="1C38354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работу по выработке схемы машины</w:t>
            </w:r>
          </w:p>
        </w:tc>
      </w:tr>
      <w:tr w:rsidR="004E10C1" w:rsidRPr="0044524F" w14:paraId="68783A89" w14:textId="77777777">
        <w:tc>
          <w:tcPr>
            <w:tcW w:w="2376" w:type="dxa"/>
          </w:tcPr>
          <w:p w14:paraId="11D1531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И-13 М-32 (Одн. и)</w:t>
            </w:r>
          </w:p>
        </w:tc>
        <w:tc>
          <w:tcPr>
            <w:tcW w:w="993" w:type="dxa"/>
          </w:tcPr>
          <w:p w14:paraId="266C64B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975" w:type="dxa"/>
          </w:tcPr>
          <w:p w14:paraId="276029B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8-9000</w:t>
            </w:r>
          </w:p>
        </w:tc>
        <w:tc>
          <w:tcPr>
            <w:tcW w:w="846" w:type="dxa"/>
          </w:tcPr>
          <w:p w14:paraId="2F2CAFD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60628F9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799" w:type="dxa"/>
          </w:tcPr>
          <w:p w14:paraId="402B6E7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01.06.33</w:t>
            </w:r>
          </w:p>
        </w:tc>
        <w:tc>
          <w:tcPr>
            <w:tcW w:w="3719" w:type="dxa"/>
          </w:tcPr>
          <w:p w14:paraId="5D38D60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не ведутся. РВСР предл. снять с плана из-за</w:t>
            </w:r>
          </w:p>
        </w:tc>
      </w:tr>
      <w:tr w:rsidR="004E10C1" w:rsidRPr="0044524F" w14:paraId="4F44B8E8" w14:textId="77777777">
        <w:tc>
          <w:tcPr>
            <w:tcW w:w="2376" w:type="dxa"/>
          </w:tcPr>
          <w:p w14:paraId="676A921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E73E4B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F19D7D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D7AE02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DF6DC3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26BEB5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01.03.34</w:t>
            </w:r>
          </w:p>
        </w:tc>
        <w:tc>
          <w:tcPr>
            <w:tcW w:w="3719" w:type="dxa"/>
          </w:tcPr>
          <w:p w14:paraId="5130915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необеспеченности мотором</w:t>
            </w:r>
          </w:p>
        </w:tc>
      </w:tr>
      <w:tr w:rsidR="004E10C1" w:rsidRPr="0044524F" w14:paraId="0BA366D2" w14:textId="77777777">
        <w:tc>
          <w:tcPr>
            <w:tcW w:w="2376" w:type="dxa"/>
          </w:tcPr>
          <w:p w14:paraId="1A76714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И-14 М-38 (Одн. и)</w:t>
            </w:r>
          </w:p>
        </w:tc>
        <w:tc>
          <w:tcPr>
            <w:tcW w:w="993" w:type="dxa"/>
          </w:tcPr>
          <w:p w14:paraId="4CE37D5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975" w:type="dxa"/>
          </w:tcPr>
          <w:p w14:paraId="4E4C4B5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9-10000</w:t>
            </w:r>
          </w:p>
        </w:tc>
        <w:tc>
          <w:tcPr>
            <w:tcW w:w="846" w:type="dxa"/>
          </w:tcPr>
          <w:p w14:paraId="5FF2650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711A880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799" w:type="dxa"/>
          </w:tcPr>
          <w:p w14:paraId="21E116C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15.03.33</w:t>
            </w:r>
          </w:p>
        </w:tc>
        <w:tc>
          <w:tcPr>
            <w:tcW w:w="3719" w:type="dxa"/>
          </w:tcPr>
          <w:p w14:paraId="5333F74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 с БМ постройкой закончен, за исключ. механизма</w:t>
            </w:r>
          </w:p>
        </w:tc>
      </w:tr>
      <w:tr w:rsidR="004E10C1" w:rsidRPr="0044524F" w14:paraId="3CB108B1" w14:textId="77777777">
        <w:tc>
          <w:tcPr>
            <w:tcW w:w="2376" w:type="dxa"/>
          </w:tcPr>
          <w:p w14:paraId="16AC46F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A2ACF1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758688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5AEA01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ДРП</w:t>
            </w:r>
          </w:p>
        </w:tc>
        <w:tc>
          <w:tcPr>
            <w:tcW w:w="749" w:type="dxa"/>
          </w:tcPr>
          <w:p w14:paraId="774164A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2BF5EF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2AC07B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уборки шасси и успешно проход. заводск. испыт.</w:t>
            </w:r>
          </w:p>
        </w:tc>
      </w:tr>
      <w:tr w:rsidR="004E10C1" w:rsidRPr="0044524F" w14:paraId="3FD23F5A" w14:textId="77777777">
        <w:tc>
          <w:tcPr>
            <w:tcW w:w="2376" w:type="dxa"/>
          </w:tcPr>
          <w:p w14:paraId="6EA748E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2A41D7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0AE80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74E65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DB519C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7AACB7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E4CB54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дефект - перегрев мотора. Улучш. мех. уборки шасси</w:t>
            </w:r>
          </w:p>
        </w:tc>
      </w:tr>
      <w:tr w:rsidR="004E10C1" w:rsidRPr="0044524F" w14:paraId="0E1EB554" w14:textId="77777777">
        <w:tc>
          <w:tcPr>
            <w:tcW w:w="2376" w:type="dxa"/>
          </w:tcPr>
          <w:p w14:paraId="7FD5372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1B1129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122A21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8B11C8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DA04EA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9F6D7F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DC8743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 в производстве со сроком оконч. в конце июля</w:t>
            </w:r>
          </w:p>
        </w:tc>
      </w:tr>
      <w:tr w:rsidR="004E10C1" w:rsidRPr="0044524F" w14:paraId="176C23C4" w14:textId="77777777">
        <w:tc>
          <w:tcPr>
            <w:tcW w:w="2376" w:type="dxa"/>
          </w:tcPr>
          <w:p w14:paraId="4B1F011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F7A150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9851AB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5F87D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5EC4D3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55B946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558B6D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срок, уст. РВСР - 15.07.33 выд. не будет из-за</w:t>
            </w:r>
          </w:p>
        </w:tc>
      </w:tr>
      <w:tr w:rsidR="004E10C1" w:rsidRPr="0044524F" w14:paraId="3EDB0DC1" w14:textId="77777777">
        <w:tc>
          <w:tcPr>
            <w:tcW w:w="2376" w:type="dxa"/>
          </w:tcPr>
          <w:p w14:paraId="2AA4C3C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DF6D41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133AF2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6D25BF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F1F819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6BBCD7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DC6CE0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и отсутствия пушек</w:t>
            </w:r>
          </w:p>
        </w:tc>
      </w:tr>
      <w:tr w:rsidR="004E10C1" w:rsidRPr="0044524F" w14:paraId="664AB48E" w14:textId="77777777">
        <w:tc>
          <w:tcPr>
            <w:tcW w:w="2376" w:type="dxa"/>
          </w:tcPr>
          <w:p w14:paraId="74AB80D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И-15 М-38 (Одн. и)</w:t>
            </w:r>
          </w:p>
        </w:tc>
        <w:tc>
          <w:tcPr>
            <w:tcW w:w="993" w:type="dxa"/>
          </w:tcPr>
          <w:p w14:paraId="727A051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975" w:type="dxa"/>
          </w:tcPr>
          <w:p w14:paraId="4E21B5C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9-10000</w:t>
            </w:r>
          </w:p>
        </w:tc>
        <w:tc>
          <w:tcPr>
            <w:tcW w:w="846" w:type="dxa"/>
          </w:tcPr>
          <w:p w14:paraId="7E480B6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2CE971E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799" w:type="dxa"/>
          </w:tcPr>
          <w:p w14:paraId="12C2EFC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719" w:type="dxa"/>
          </w:tcPr>
          <w:p w14:paraId="5B76593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срок РВСР с РЦ - 1 дек. 1933. Проектир. выполн</w:t>
            </w:r>
          </w:p>
        </w:tc>
      </w:tr>
      <w:tr w:rsidR="004E10C1" w:rsidRPr="0044524F" w14:paraId="3C49B433" w14:textId="77777777">
        <w:tc>
          <w:tcPr>
            <w:tcW w:w="2376" w:type="dxa"/>
          </w:tcPr>
          <w:p w14:paraId="5AFD904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C95458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598C29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06E6C2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737143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70E6C5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c>
          <w:tcPr>
            <w:tcW w:w="3719" w:type="dxa"/>
          </w:tcPr>
          <w:p w14:paraId="6F5F764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98%, начата постройка, фюз. варится в стапелях</w:t>
            </w:r>
          </w:p>
        </w:tc>
      </w:tr>
      <w:tr w:rsidR="004E10C1" w:rsidRPr="0044524F" w14:paraId="6D133127" w14:textId="77777777">
        <w:tc>
          <w:tcPr>
            <w:tcW w:w="2376" w:type="dxa"/>
          </w:tcPr>
          <w:p w14:paraId="7292CEB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ВС-2 2М52 (Войск.</w:t>
            </w:r>
          </w:p>
        </w:tc>
        <w:tc>
          <w:tcPr>
            <w:tcW w:w="993" w:type="dxa"/>
          </w:tcPr>
          <w:p w14:paraId="0511E3B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330/3000</w:t>
            </w:r>
          </w:p>
        </w:tc>
        <w:tc>
          <w:tcPr>
            <w:tcW w:w="975" w:type="dxa"/>
          </w:tcPr>
          <w:p w14:paraId="1A594F5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6F45024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457684C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799" w:type="dxa"/>
          </w:tcPr>
          <w:p w14:paraId="6ED0149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01.08.33</w:t>
            </w:r>
          </w:p>
        </w:tc>
        <w:tc>
          <w:tcPr>
            <w:tcW w:w="3719" w:type="dxa"/>
          </w:tcPr>
          <w:p w14:paraId="3FB3BAD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 срок РВСР с 2хМ-22 - 01.05.34. КБ ведет изыскание</w:t>
            </w:r>
          </w:p>
        </w:tc>
      </w:tr>
      <w:tr w:rsidR="004E10C1" w:rsidRPr="0044524F" w14:paraId="11155DA8" w14:textId="77777777">
        <w:tc>
          <w:tcPr>
            <w:tcW w:w="2376" w:type="dxa"/>
          </w:tcPr>
          <w:p w14:paraId="145192B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 кор., легк.</w:t>
            </w:r>
          </w:p>
        </w:tc>
        <w:tc>
          <w:tcPr>
            <w:tcW w:w="993" w:type="dxa"/>
          </w:tcPr>
          <w:p w14:paraId="18763F8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B70486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D977FB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80CAFC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9C06CF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01.05.34</w:t>
            </w:r>
          </w:p>
        </w:tc>
        <w:tc>
          <w:tcPr>
            <w:tcW w:w="3719" w:type="dxa"/>
          </w:tcPr>
          <w:p w14:paraId="7621FDD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боевой схеме и продувки моделей. Будет в виде ЛК,</w:t>
            </w:r>
          </w:p>
        </w:tc>
      </w:tr>
      <w:tr w:rsidR="004E10C1" w:rsidRPr="0044524F" w14:paraId="646AEA76" w14:textId="77777777">
        <w:tc>
          <w:tcPr>
            <w:tcW w:w="2376" w:type="dxa"/>
          </w:tcPr>
          <w:p w14:paraId="7BB6C36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 фотосъемщ., сан.,</w:t>
            </w:r>
          </w:p>
        </w:tc>
        <w:tc>
          <w:tcPr>
            <w:tcW w:w="993" w:type="dxa"/>
          </w:tcPr>
          <w:p w14:paraId="2D74452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08DBC1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876814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54B158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C84C7F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CF8EB6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одобрено ВВС</w:t>
            </w:r>
          </w:p>
        </w:tc>
      </w:tr>
      <w:tr w:rsidR="004E10C1" w:rsidRPr="0044524F" w14:paraId="597B8808" w14:textId="77777777">
        <w:tc>
          <w:tcPr>
            <w:tcW w:w="2376" w:type="dxa"/>
          </w:tcPr>
          <w:p w14:paraId="74B1A53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П-3 М-52 (Морск.</w:t>
            </w:r>
          </w:p>
        </w:tc>
        <w:tc>
          <w:tcPr>
            <w:tcW w:w="993" w:type="dxa"/>
          </w:tcPr>
          <w:p w14:paraId="5E1CA5A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975" w:type="dxa"/>
          </w:tcPr>
          <w:p w14:paraId="0C0B834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846" w:type="dxa"/>
          </w:tcPr>
          <w:p w14:paraId="30B840E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279F301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799" w:type="dxa"/>
          </w:tcPr>
          <w:p w14:paraId="2104CF7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01.05.33</w:t>
            </w:r>
          </w:p>
        </w:tc>
        <w:tc>
          <w:tcPr>
            <w:tcW w:w="3719" w:type="dxa"/>
          </w:tcPr>
          <w:p w14:paraId="50975A9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ГУГВФ в кредитах отказал. НИАИ работа не ведется.</w:t>
            </w:r>
          </w:p>
        </w:tc>
      </w:tr>
      <w:tr w:rsidR="004E10C1" w:rsidRPr="0044524F" w14:paraId="1FA4D6F2" w14:textId="77777777">
        <w:tc>
          <w:tcPr>
            <w:tcW w:w="2376" w:type="dxa"/>
          </w:tcPr>
          <w:p w14:paraId="731E7CA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школ, корп. развед.,</w:t>
            </w:r>
          </w:p>
        </w:tc>
        <w:tc>
          <w:tcPr>
            <w:tcW w:w="993" w:type="dxa"/>
          </w:tcPr>
          <w:p w14:paraId="73A2475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398124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C00F0E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B26849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BA6BF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DCC3F4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Постр. П-3 как и У-3бис сорвана по вине ГУГВФ, </w:t>
            </w:r>
          </w:p>
        </w:tc>
      </w:tr>
      <w:tr w:rsidR="004E10C1" w:rsidRPr="0044524F" w14:paraId="1E03CE4C" w14:textId="77777777">
        <w:tc>
          <w:tcPr>
            <w:tcW w:w="2376" w:type="dxa"/>
          </w:tcPr>
          <w:p w14:paraId="11D6CC7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местные авиалинии)</w:t>
            </w:r>
          </w:p>
        </w:tc>
        <w:tc>
          <w:tcPr>
            <w:tcW w:w="993" w:type="dxa"/>
          </w:tcPr>
          <w:p w14:paraId="786EE72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1A732B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651651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B9F9ED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59E3BA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2637EC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кот. было возл. фин. Произв. база и констр. силы</w:t>
            </w:r>
          </w:p>
        </w:tc>
      </w:tr>
      <w:tr w:rsidR="004E10C1" w:rsidRPr="0044524F" w14:paraId="10AC5724" w14:textId="77777777">
        <w:tc>
          <w:tcPr>
            <w:tcW w:w="2376" w:type="dxa"/>
          </w:tcPr>
          <w:p w14:paraId="130DF4F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w:t>
            </w:r>
          </w:p>
        </w:tc>
        <w:tc>
          <w:tcPr>
            <w:tcW w:w="993" w:type="dxa"/>
          </w:tcPr>
          <w:p w14:paraId="197B091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0185FA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21AF25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ECF0D6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8420B8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8C1DF9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НИИ ВВС дал тех. треб.</w:t>
            </w:r>
          </w:p>
        </w:tc>
      </w:tr>
      <w:tr w:rsidR="004E10C1" w:rsidRPr="0044524F" w14:paraId="0D364AE0" w14:textId="77777777">
        <w:tc>
          <w:tcPr>
            <w:tcW w:w="2376" w:type="dxa"/>
          </w:tcPr>
          <w:p w14:paraId="3E97B00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У-3 М-48 (Учебн.,</w:t>
            </w:r>
          </w:p>
        </w:tc>
        <w:tc>
          <w:tcPr>
            <w:tcW w:w="993" w:type="dxa"/>
          </w:tcPr>
          <w:p w14:paraId="5C49065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180/1000</w:t>
            </w:r>
          </w:p>
        </w:tc>
        <w:tc>
          <w:tcPr>
            <w:tcW w:w="975" w:type="dxa"/>
          </w:tcPr>
          <w:p w14:paraId="7884EC8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846" w:type="dxa"/>
          </w:tcPr>
          <w:p w14:paraId="1E71F3D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14A47D5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c>
          <w:tcPr>
            <w:tcW w:w="799" w:type="dxa"/>
          </w:tcPr>
          <w:p w14:paraId="056A0EB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01.??.33</w:t>
            </w:r>
          </w:p>
        </w:tc>
        <w:tc>
          <w:tcPr>
            <w:tcW w:w="3719" w:type="dxa"/>
          </w:tcPr>
          <w:p w14:paraId="50C413B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23 ведет эскизн. прораб. с учетом исп. частей</w:t>
            </w:r>
          </w:p>
        </w:tc>
      </w:tr>
      <w:tr w:rsidR="004E10C1" w:rsidRPr="0044524F" w14:paraId="6E0B6ED0" w14:textId="77777777">
        <w:tc>
          <w:tcPr>
            <w:tcW w:w="2376" w:type="dxa"/>
          </w:tcPr>
          <w:p w14:paraId="76E3279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связи и сопр., туризм,</w:t>
            </w:r>
          </w:p>
        </w:tc>
        <w:tc>
          <w:tcPr>
            <w:tcW w:w="993" w:type="dxa"/>
          </w:tcPr>
          <w:p w14:paraId="0373099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F4322F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DA06FE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EF1268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45F61B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01.06.34</w:t>
            </w:r>
          </w:p>
        </w:tc>
        <w:tc>
          <w:tcPr>
            <w:tcW w:w="3719" w:type="dxa"/>
          </w:tcPr>
          <w:p w14:paraId="6A3428B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 М-48 будет дан в декабре. Нов. срок - 01.06.34</w:t>
            </w:r>
          </w:p>
        </w:tc>
      </w:tr>
      <w:tr w:rsidR="004E10C1" w:rsidRPr="0044524F" w14:paraId="53468EE3" w14:textId="77777777">
        <w:tc>
          <w:tcPr>
            <w:tcW w:w="2376" w:type="dxa"/>
          </w:tcPr>
          <w:p w14:paraId="47A71C7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месн. линии, легк. санит.)</w:t>
            </w:r>
          </w:p>
        </w:tc>
        <w:tc>
          <w:tcPr>
            <w:tcW w:w="993" w:type="dxa"/>
          </w:tcPr>
          <w:p w14:paraId="70FB170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BB0658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933C62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246C05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F4D4CC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38653B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выд. Договор на постр. с ГУАП не закл., плана</w:t>
            </w:r>
          </w:p>
        </w:tc>
      </w:tr>
      <w:tr w:rsidR="004E10C1" w:rsidRPr="0044524F" w14:paraId="4BA6E5EC" w14:textId="77777777">
        <w:tc>
          <w:tcPr>
            <w:tcW w:w="2376" w:type="dxa"/>
          </w:tcPr>
          <w:p w14:paraId="54E47A8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C3D3B4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17C90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F8871F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88780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E709A7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0E210B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и постр. - нет (составляется)</w:t>
            </w:r>
          </w:p>
        </w:tc>
      </w:tr>
      <w:tr w:rsidR="004E10C1" w:rsidRPr="0044524F" w14:paraId="2A58EC3D" w14:textId="77777777">
        <w:tc>
          <w:tcPr>
            <w:tcW w:w="2376" w:type="dxa"/>
          </w:tcPr>
          <w:p w14:paraId="5CCF76D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К-7 7М-34 (ТБ и пас.)</w:t>
            </w:r>
          </w:p>
        </w:tc>
        <w:tc>
          <w:tcPr>
            <w:tcW w:w="993" w:type="dxa"/>
          </w:tcPr>
          <w:p w14:paraId="1E0F386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975" w:type="dxa"/>
          </w:tcPr>
          <w:p w14:paraId="48F38B8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3600</w:t>
            </w:r>
          </w:p>
        </w:tc>
        <w:tc>
          <w:tcPr>
            <w:tcW w:w="846" w:type="dxa"/>
          </w:tcPr>
          <w:p w14:paraId="423C982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w:t>
            </w:r>
          </w:p>
        </w:tc>
        <w:tc>
          <w:tcPr>
            <w:tcW w:w="749" w:type="dxa"/>
          </w:tcPr>
          <w:p w14:paraId="29A5EF6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799" w:type="dxa"/>
          </w:tcPr>
          <w:p w14:paraId="5DDE171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01.05.33</w:t>
            </w:r>
          </w:p>
        </w:tc>
        <w:tc>
          <w:tcPr>
            <w:tcW w:w="3719" w:type="dxa"/>
          </w:tcPr>
          <w:p w14:paraId="2C288A9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и сборка крыла и фюз. и оперения законч.</w:t>
            </w:r>
          </w:p>
        </w:tc>
      </w:tr>
      <w:tr w:rsidR="004E10C1" w:rsidRPr="0044524F" w14:paraId="15E88A7C" w14:textId="77777777">
        <w:tc>
          <w:tcPr>
            <w:tcW w:w="2376" w:type="dxa"/>
          </w:tcPr>
          <w:p w14:paraId="306BBAE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FEDE21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4088D9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72BA00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w:t>
            </w:r>
          </w:p>
        </w:tc>
        <w:tc>
          <w:tcPr>
            <w:tcW w:w="749" w:type="dxa"/>
          </w:tcPr>
          <w:p w14:paraId="0FA7412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E7A49E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01.09.33</w:t>
            </w:r>
          </w:p>
        </w:tc>
        <w:tc>
          <w:tcPr>
            <w:tcW w:w="3719" w:type="dxa"/>
          </w:tcPr>
          <w:p w14:paraId="5471341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Производится обтяжка и оборудован. Заводск. испыт.</w:t>
            </w:r>
          </w:p>
        </w:tc>
      </w:tr>
      <w:tr w:rsidR="004E10C1" w:rsidRPr="0044524F" w14:paraId="2103C5A0" w14:textId="77777777">
        <w:tc>
          <w:tcPr>
            <w:tcW w:w="2376" w:type="dxa"/>
          </w:tcPr>
          <w:p w14:paraId="1515840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575BC6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0C8C0E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09D853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60D196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F95412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BF0D40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могут нач. в августе</w:t>
            </w:r>
          </w:p>
        </w:tc>
      </w:tr>
      <w:tr w:rsidR="004E10C1" w:rsidRPr="0044524F" w14:paraId="767F6080" w14:textId="77777777">
        <w:tc>
          <w:tcPr>
            <w:tcW w:w="2376" w:type="dxa"/>
          </w:tcPr>
          <w:p w14:paraId="28C148D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 самолеты</w:t>
            </w:r>
          </w:p>
        </w:tc>
        <w:tc>
          <w:tcPr>
            <w:tcW w:w="993" w:type="dxa"/>
          </w:tcPr>
          <w:p w14:paraId="1A1539E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B5B10C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FA0B06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29BA1F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7A1CFC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5AC1A7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66F7B10" w14:textId="77777777">
        <w:tc>
          <w:tcPr>
            <w:tcW w:w="2376" w:type="dxa"/>
          </w:tcPr>
          <w:p w14:paraId="0FA60D9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Высотн. РВ</w:t>
            </w:r>
          </w:p>
        </w:tc>
        <w:tc>
          <w:tcPr>
            <w:tcW w:w="993" w:type="dxa"/>
          </w:tcPr>
          <w:p w14:paraId="7063C30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3E3CC7D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c>
          <w:tcPr>
            <w:tcW w:w="846" w:type="dxa"/>
          </w:tcPr>
          <w:p w14:paraId="3CCB723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63E9DCD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1DCAA9D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01.08.32</w:t>
            </w:r>
          </w:p>
        </w:tc>
        <w:tc>
          <w:tcPr>
            <w:tcW w:w="3719" w:type="dxa"/>
          </w:tcPr>
          <w:p w14:paraId="02E215E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 срок РВСР 01.01.34. Будет снабж. М-34 без нагн.</w:t>
            </w:r>
          </w:p>
        </w:tc>
      </w:tr>
      <w:tr w:rsidR="004E10C1" w:rsidRPr="0044524F" w14:paraId="763B2CAC" w14:textId="77777777">
        <w:tc>
          <w:tcPr>
            <w:tcW w:w="2376" w:type="dxa"/>
          </w:tcPr>
          <w:p w14:paraId="6DD0F27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3F2FEC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C23C9B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3FE53A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EDB6C1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2CF241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01.01.34</w:t>
            </w:r>
          </w:p>
        </w:tc>
        <w:tc>
          <w:tcPr>
            <w:tcW w:w="3719" w:type="dxa"/>
          </w:tcPr>
          <w:p w14:paraId="0FA98AB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 закончено. Ведется постройка (загот. и дет.)</w:t>
            </w:r>
          </w:p>
        </w:tc>
      </w:tr>
      <w:tr w:rsidR="004E10C1" w:rsidRPr="0044524F" w14:paraId="513D893B" w14:textId="77777777">
        <w:tc>
          <w:tcPr>
            <w:tcW w:w="2376" w:type="dxa"/>
          </w:tcPr>
          <w:p w14:paraId="572DCA6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2BABE7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128B38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17CA1B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55457C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FB90C0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90FE12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Сборка на стап. не начата. Из-за невыс. мотора потол.</w:t>
            </w:r>
          </w:p>
        </w:tc>
      </w:tr>
      <w:tr w:rsidR="004E10C1" w:rsidRPr="0044524F" w14:paraId="000B71ED" w14:textId="77777777">
        <w:tc>
          <w:tcPr>
            <w:tcW w:w="2376" w:type="dxa"/>
          </w:tcPr>
          <w:p w14:paraId="40C6842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AC7F52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4159D9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C4C307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1ECAB1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6D358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BAA51A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6-7000 м</w:t>
            </w:r>
          </w:p>
        </w:tc>
      </w:tr>
      <w:tr w:rsidR="004E10C1" w:rsidRPr="0044524F" w14:paraId="397E8A57" w14:textId="77777777">
        <w:tc>
          <w:tcPr>
            <w:tcW w:w="2376" w:type="dxa"/>
          </w:tcPr>
          <w:p w14:paraId="521E471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Рекорд на дальн.</w:t>
            </w:r>
          </w:p>
        </w:tc>
        <w:tc>
          <w:tcPr>
            <w:tcW w:w="993" w:type="dxa"/>
          </w:tcPr>
          <w:p w14:paraId="6E9B48A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5640093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71AE39E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43F0323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70C3B6B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01.08.32</w:t>
            </w:r>
          </w:p>
        </w:tc>
        <w:tc>
          <w:tcPr>
            <w:tcW w:w="3719" w:type="dxa"/>
          </w:tcPr>
          <w:p w14:paraId="1F451D3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Постр. законч., ведутся зав. испыт., показ. хорош. </w:t>
            </w:r>
          </w:p>
        </w:tc>
      </w:tr>
      <w:tr w:rsidR="004E10C1" w:rsidRPr="0044524F" w14:paraId="2A16873E" w14:textId="77777777">
        <w:tc>
          <w:tcPr>
            <w:tcW w:w="2376" w:type="dxa"/>
          </w:tcPr>
          <w:p w14:paraId="468E10C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325C48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AF272D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22DB57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E96A78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4A70E5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7DED17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ЛТД и отс. крупн. деф.. Сер. деф. - течь крыльев.</w:t>
            </w:r>
          </w:p>
        </w:tc>
      </w:tr>
      <w:tr w:rsidR="004E10C1" w:rsidRPr="0044524F" w14:paraId="75556FE4" w14:textId="77777777">
        <w:tc>
          <w:tcPr>
            <w:tcW w:w="2376" w:type="dxa"/>
          </w:tcPr>
          <w:p w14:paraId="3D4F142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DC5636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8833F9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E2B16D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61701A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BA83B1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FEEC05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радиат., сдел. из латуни. В ЦАГИ заканч. постр. </w:t>
            </w:r>
          </w:p>
        </w:tc>
      </w:tr>
      <w:tr w:rsidR="004E10C1" w:rsidRPr="0044524F" w14:paraId="25325943" w14:textId="77777777">
        <w:tc>
          <w:tcPr>
            <w:tcW w:w="2376" w:type="dxa"/>
          </w:tcPr>
          <w:p w14:paraId="69B2770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E8E76C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A6EB11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38BA2D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EF28E0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A40B6A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FAB2EE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радиаторов из нерж. стали</w:t>
            </w:r>
          </w:p>
        </w:tc>
      </w:tr>
      <w:tr w:rsidR="004E10C1" w:rsidRPr="0044524F" w14:paraId="5FB35492" w14:textId="77777777">
        <w:tc>
          <w:tcPr>
            <w:tcW w:w="2376" w:type="dxa"/>
          </w:tcPr>
          <w:p w14:paraId="17972BE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ЛК 2М-11 (Пораб.</w:t>
            </w:r>
          </w:p>
        </w:tc>
        <w:tc>
          <w:tcPr>
            <w:tcW w:w="993" w:type="dxa"/>
          </w:tcPr>
          <w:p w14:paraId="1D7CA24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516A315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71F3D59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325696F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3EE96A4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01.??.33</w:t>
            </w:r>
          </w:p>
        </w:tc>
        <w:tc>
          <w:tcPr>
            <w:tcW w:w="3719" w:type="dxa"/>
          </w:tcPr>
          <w:p w14:paraId="1B9FE22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 срок РВСР - 10.01.34. Вед. работа по эск. пр.</w:t>
            </w:r>
          </w:p>
        </w:tc>
      </w:tr>
      <w:tr w:rsidR="004E10C1" w:rsidRPr="0044524F" w14:paraId="12E92ADA" w14:textId="77777777">
        <w:tc>
          <w:tcPr>
            <w:tcW w:w="2376" w:type="dxa"/>
          </w:tcPr>
          <w:p w14:paraId="7DC0488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Черановского)</w:t>
            </w:r>
          </w:p>
        </w:tc>
        <w:tc>
          <w:tcPr>
            <w:tcW w:w="993" w:type="dxa"/>
          </w:tcPr>
          <w:p w14:paraId="54ABDEB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08C648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4F8880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D871BE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3456E7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01.01.34</w:t>
            </w:r>
          </w:p>
        </w:tc>
        <w:tc>
          <w:tcPr>
            <w:tcW w:w="3719" w:type="dxa"/>
          </w:tcPr>
          <w:p w14:paraId="29AAA78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ЛК под 2 М-11</w:t>
            </w:r>
          </w:p>
        </w:tc>
      </w:tr>
      <w:tr w:rsidR="004E10C1" w:rsidRPr="0044524F" w14:paraId="5D585628" w14:textId="77777777">
        <w:tc>
          <w:tcPr>
            <w:tcW w:w="2376" w:type="dxa"/>
          </w:tcPr>
          <w:p w14:paraId="161DB40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Сам. с особ. типом</w:t>
            </w:r>
          </w:p>
        </w:tc>
        <w:tc>
          <w:tcPr>
            <w:tcW w:w="993" w:type="dxa"/>
          </w:tcPr>
          <w:p w14:paraId="0C8F56C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720167B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3AF4934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53C2BC7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70C531D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01.12.32</w:t>
            </w:r>
          </w:p>
        </w:tc>
        <w:tc>
          <w:tcPr>
            <w:tcW w:w="3719" w:type="dxa"/>
          </w:tcPr>
          <w:p w14:paraId="5815F4A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 СТО дало новый срок - 01.10.33. Проектир. зак.</w:t>
            </w:r>
          </w:p>
        </w:tc>
      </w:tr>
      <w:tr w:rsidR="004E10C1" w:rsidRPr="0044524F" w14:paraId="106F4861" w14:textId="77777777">
        <w:tc>
          <w:tcPr>
            <w:tcW w:w="2376" w:type="dxa"/>
          </w:tcPr>
          <w:p w14:paraId="20EE170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разр. крыльев</w:t>
            </w:r>
          </w:p>
        </w:tc>
        <w:tc>
          <w:tcPr>
            <w:tcW w:w="993" w:type="dxa"/>
          </w:tcPr>
          <w:p w14:paraId="68F6EB0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3A2F97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E49B54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CBC5D9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15EC91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01.10.33</w:t>
            </w:r>
          </w:p>
        </w:tc>
        <w:tc>
          <w:tcPr>
            <w:tcW w:w="3719" w:type="dxa"/>
          </w:tcPr>
          <w:p w14:paraId="7C5628F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Ведется постройка в части загот. на крылья и фюзеляж</w:t>
            </w:r>
          </w:p>
        </w:tc>
      </w:tr>
      <w:tr w:rsidR="004E10C1" w:rsidRPr="0044524F" w14:paraId="0F7E5D32" w14:textId="77777777">
        <w:tc>
          <w:tcPr>
            <w:tcW w:w="2376" w:type="dxa"/>
          </w:tcPr>
          <w:p w14:paraId="18387C6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?Т-3 (Геликоптер)</w:t>
            </w:r>
          </w:p>
        </w:tc>
        <w:tc>
          <w:tcPr>
            <w:tcW w:w="993" w:type="dxa"/>
          </w:tcPr>
          <w:p w14:paraId="4A08E94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52EA710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06FE2B4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5FCE01B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7D242CD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c>
          <w:tcPr>
            <w:tcW w:w="3719" w:type="dxa"/>
          </w:tcPr>
          <w:p w14:paraId="6FD9BEE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 экз. проход. исслед. испытания. Второй с 3-х</w:t>
            </w:r>
          </w:p>
        </w:tc>
      </w:tr>
      <w:tr w:rsidR="004E10C1" w:rsidRPr="0044524F" w14:paraId="59B1017B" w14:textId="77777777">
        <w:tc>
          <w:tcPr>
            <w:tcW w:w="2376" w:type="dxa"/>
          </w:tcPr>
          <w:p w14:paraId="7DCA0B9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B2ADA0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5FAE6E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57A0EA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6900BF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287FB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FB7652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лоп. винтом поступает на заводские иссле. испытания</w:t>
            </w:r>
          </w:p>
        </w:tc>
      </w:tr>
      <w:tr w:rsidR="004E10C1" w:rsidRPr="0044524F" w14:paraId="21541676" w14:textId="77777777">
        <w:tc>
          <w:tcPr>
            <w:tcW w:w="2376" w:type="dxa"/>
          </w:tcPr>
          <w:p w14:paraId="7692A3D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2A59A3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619577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53E42D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096B8D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13E440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CC3DF2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июля 1933</w:t>
            </w:r>
          </w:p>
        </w:tc>
      </w:tr>
      <w:tr w:rsidR="004E10C1" w:rsidRPr="0044524F" w14:paraId="056DB243" w14:textId="77777777">
        <w:tc>
          <w:tcPr>
            <w:tcW w:w="2376" w:type="dxa"/>
          </w:tcPr>
          <w:p w14:paraId="31EE710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Автожир с М-11</w:t>
            </w:r>
          </w:p>
        </w:tc>
        <w:tc>
          <w:tcPr>
            <w:tcW w:w="993" w:type="dxa"/>
          </w:tcPr>
          <w:p w14:paraId="2373E4C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301D679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731BBA8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09CFF9D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0AB00EC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01.11.32</w:t>
            </w:r>
          </w:p>
        </w:tc>
        <w:tc>
          <w:tcPr>
            <w:tcW w:w="3719" w:type="dxa"/>
          </w:tcPr>
          <w:p w14:paraId="1F33130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Голов. сер. автожир с М-26 (из серии автож., строящ.</w:t>
            </w:r>
          </w:p>
        </w:tc>
      </w:tr>
      <w:tr w:rsidR="004E10C1" w:rsidRPr="0044524F" w14:paraId="5264FC72" w14:textId="77777777">
        <w:tc>
          <w:tcPr>
            <w:tcW w:w="2376" w:type="dxa"/>
          </w:tcPr>
          <w:p w14:paraId="5C5C691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0386C6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FA3651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A6ADE2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D874A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B00DEC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авг. 1933</w:t>
            </w:r>
          </w:p>
        </w:tc>
        <w:tc>
          <w:tcPr>
            <w:tcW w:w="3719" w:type="dxa"/>
          </w:tcPr>
          <w:p w14:paraId="5B6F282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Киевском заводе) законч. зав. испытания. Осн.</w:t>
            </w:r>
          </w:p>
        </w:tc>
      </w:tr>
      <w:tr w:rsidR="004E10C1" w:rsidRPr="0044524F" w14:paraId="2E64550D" w14:textId="77777777">
        <w:tc>
          <w:tcPr>
            <w:tcW w:w="2376" w:type="dxa"/>
          </w:tcPr>
          <w:p w14:paraId="073580C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A9AF4B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5AAEBD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9259AE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2B3571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520234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CF56D0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 задержк. - деформац. лопастей ротора, потреб.</w:t>
            </w:r>
          </w:p>
        </w:tc>
      </w:tr>
      <w:tr w:rsidR="004E10C1" w:rsidRPr="0044524F" w14:paraId="48C4655C" w14:textId="77777777">
        <w:tc>
          <w:tcPr>
            <w:tcW w:w="2376" w:type="dxa"/>
          </w:tcPr>
          <w:p w14:paraId="5A1F8D5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77E369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00145F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BE5683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ADC309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C41018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4E538E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переделок. Показал потолок 1500 м и скорость 190 км/ч</w:t>
            </w:r>
          </w:p>
        </w:tc>
      </w:tr>
      <w:tr w:rsidR="004E10C1" w:rsidRPr="0044524F" w14:paraId="32D1484D" w14:textId="77777777">
        <w:tc>
          <w:tcPr>
            <w:tcW w:w="2376" w:type="dxa"/>
          </w:tcPr>
          <w:p w14:paraId="31714EC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2E8897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EDFA7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DAE5A1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4C3A47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089170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644A74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1-й декаде июля авт. будет передан на гос. испыт.</w:t>
            </w:r>
          </w:p>
        </w:tc>
      </w:tr>
      <w:tr w:rsidR="004E10C1" w:rsidRPr="0044524F" w14:paraId="7F62D83F" w14:textId="77777777">
        <w:tc>
          <w:tcPr>
            <w:tcW w:w="2376" w:type="dxa"/>
          </w:tcPr>
          <w:p w14:paraId="21CF6F3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DEADD9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64315E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ABF14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D55303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8286FC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255C49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 с М-11 постр. закончен и проход. заводские исп.</w:t>
            </w:r>
          </w:p>
        </w:tc>
      </w:tr>
      <w:tr w:rsidR="004E10C1" w:rsidRPr="0044524F" w14:paraId="216DABDF" w14:textId="77777777">
        <w:tc>
          <w:tcPr>
            <w:tcW w:w="2376" w:type="dxa"/>
          </w:tcPr>
          <w:p w14:paraId="0E0EE67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CAC4D8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92810C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117CA1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8B1294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F8A515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85FE1F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показ. отсутств. крупн. деф. констр. На гос. испыт.</w:t>
            </w:r>
          </w:p>
        </w:tc>
      </w:tr>
      <w:tr w:rsidR="004E10C1" w:rsidRPr="0044524F" w14:paraId="05A92C4A" w14:textId="77777777">
        <w:tc>
          <w:tcPr>
            <w:tcW w:w="2376" w:type="dxa"/>
          </w:tcPr>
          <w:p w14:paraId="07675D0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368DFA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95840F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9C1FC6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1FCFB1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139B55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DEE9A7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поступит в августе</w:t>
            </w:r>
          </w:p>
        </w:tc>
      </w:tr>
      <w:tr w:rsidR="004E10C1" w:rsidRPr="0044524F" w14:paraId="447FF4FB" w14:textId="77777777">
        <w:tc>
          <w:tcPr>
            <w:tcW w:w="2376" w:type="dxa"/>
          </w:tcPr>
          <w:p w14:paraId="4614D0E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Автожир с М-22</w:t>
            </w:r>
          </w:p>
        </w:tc>
        <w:tc>
          <w:tcPr>
            <w:tcW w:w="993" w:type="dxa"/>
          </w:tcPr>
          <w:p w14:paraId="279FD6D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3A0289B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0E6927F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732FE2D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0F1E01F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01.??.32</w:t>
            </w:r>
          </w:p>
        </w:tc>
        <w:tc>
          <w:tcPr>
            <w:tcW w:w="3719" w:type="dxa"/>
          </w:tcPr>
          <w:p w14:paraId="0D3EFD1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 законч. Автожир в постройке. Фюзеляж</w:t>
            </w:r>
          </w:p>
        </w:tc>
      </w:tr>
      <w:tr w:rsidR="004E10C1" w:rsidRPr="0044524F" w14:paraId="338BC09D" w14:textId="77777777">
        <w:tc>
          <w:tcPr>
            <w:tcW w:w="2376" w:type="dxa"/>
          </w:tcPr>
          <w:p w14:paraId="7BE61FA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659BED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BFAD7C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135DF4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AC3F19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A19557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01.??.33</w:t>
            </w:r>
          </w:p>
        </w:tc>
        <w:tc>
          <w:tcPr>
            <w:tcW w:w="3719" w:type="dxa"/>
          </w:tcPr>
          <w:p w14:paraId="38F1E93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свар. в стапелях. Общ. гот. - 60%. Новый срок РВСР -</w:t>
            </w:r>
          </w:p>
        </w:tc>
      </w:tr>
      <w:tr w:rsidR="004E10C1" w:rsidRPr="0044524F" w14:paraId="566B3901" w14:textId="77777777">
        <w:tc>
          <w:tcPr>
            <w:tcW w:w="2376" w:type="dxa"/>
          </w:tcPr>
          <w:p w14:paraId="1369094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F958BC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720713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2A3301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979445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C3F90D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01.??.33</w:t>
            </w:r>
          </w:p>
        </w:tc>
        <w:tc>
          <w:tcPr>
            <w:tcW w:w="3719" w:type="dxa"/>
          </w:tcPr>
          <w:p w14:paraId="1DA4CD7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F830634" w14:textId="77777777">
        <w:tc>
          <w:tcPr>
            <w:tcW w:w="2376" w:type="dxa"/>
          </w:tcPr>
          <w:p w14:paraId="6A76AEF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Самолет с реакт.</w:t>
            </w:r>
          </w:p>
        </w:tc>
        <w:tc>
          <w:tcPr>
            <w:tcW w:w="993" w:type="dxa"/>
          </w:tcPr>
          <w:p w14:paraId="6623C84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05C7E1C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602D64C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4880568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7E8434E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719" w:type="dxa"/>
          </w:tcPr>
          <w:p w14:paraId="30EEAD8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 исслед. испыт. двигат. в ГИРД и ГДЛ</w:t>
            </w:r>
          </w:p>
        </w:tc>
      </w:tr>
      <w:tr w:rsidR="004E10C1" w:rsidRPr="0044524F" w14:paraId="46F13578" w14:textId="77777777">
        <w:tc>
          <w:tcPr>
            <w:tcW w:w="2376" w:type="dxa"/>
          </w:tcPr>
          <w:p w14:paraId="7091D8A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двигателем</w:t>
            </w:r>
          </w:p>
        </w:tc>
        <w:tc>
          <w:tcPr>
            <w:tcW w:w="993" w:type="dxa"/>
          </w:tcPr>
          <w:p w14:paraId="2631376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926BE2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E59112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9F3766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C12560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67A8FF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5B1FEBD" w14:textId="77777777">
        <w:tc>
          <w:tcPr>
            <w:tcW w:w="2376" w:type="dxa"/>
          </w:tcPr>
          <w:p w14:paraId="2E9D0E6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Самолет с раздв.</w:t>
            </w:r>
          </w:p>
        </w:tc>
        <w:tc>
          <w:tcPr>
            <w:tcW w:w="993" w:type="dxa"/>
          </w:tcPr>
          <w:p w14:paraId="5A3EDFD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391DDAB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495CDE1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0AC043D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0CF746C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01.05.33</w:t>
            </w:r>
          </w:p>
        </w:tc>
        <w:tc>
          <w:tcPr>
            <w:tcW w:w="3719" w:type="dxa"/>
          </w:tcPr>
          <w:p w14:paraId="0563189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НИАИ отказал в отпуске средств. Проектир. не ведет.</w:t>
            </w:r>
          </w:p>
        </w:tc>
      </w:tr>
      <w:tr w:rsidR="004E10C1" w:rsidRPr="0044524F" w14:paraId="00F4814C" w14:textId="77777777">
        <w:tc>
          <w:tcPr>
            <w:tcW w:w="2376" w:type="dxa"/>
          </w:tcPr>
          <w:p w14:paraId="58867BD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крыльями</w:t>
            </w:r>
          </w:p>
        </w:tc>
        <w:tc>
          <w:tcPr>
            <w:tcW w:w="993" w:type="dxa"/>
          </w:tcPr>
          <w:p w14:paraId="3A4ABA0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FCEA7B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604A17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AB2725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AD8A0C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39E0A0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НИАИ ищет средств. и из своих рес. прод. работу</w:t>
            </w:r>
          </w:p>
        </w:tc>
      </w:tr>
      <w:tr w:rsidR="004E10C1" w:rsidRPr="0044524F" w14:paraId="34F43321" w14:textId="77777777">
        <w:tc>
          <w:tcPr>
            <w:tcW w:w="2376" w:type="dxa"/>
          </w:tcPr>
          <w:p w14:paraId="3F10FBA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Сампоет с нефт.</w:t>
            </w:r>
          </w:p>
        </w:tc>
        <w:tc>
          <w:tcPr>
            <w:tcW w:w="993" w:type="dxa"/>
          </w:tcPr>
          <w:p w14:paraId="0993149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6A8A429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5528A0B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12AAB03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393669F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719" w:type="dxa"/>
          </w:tcPr>
          <w:p w14:paraId="778B457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не ведется</w:t>
            </w:r>
          </w:p>
        </w:tc>
      </w:tr>
      <w:tr w:rsidR="004E10C1" w:rsidRPr="0044524F" w14:paraId="4C747765" w14:textId="77777777">
        <w:tc>
          <w:tcPr>
            <w:tcW w:w="2376" w:type="dxa"/>
          </w:tcPr>
          <w:p w14:paraId="175A57A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 Паккард</w:t>
            </w:r>
          </w:p>
        </w:tc>
        <w:tc>
          <w:tcPr>
            <w:tcW w:w="993" w:type="dxa"/>
          </w:tcPr>
          <w:p w14:paraId="7FE0586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CAC925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37686C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51DF14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8BD772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791B90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ADAFCCB" w14:textId="77777777">
        <w:tc>
          <w:tcPr>
            <w:tcW w:w="2376" w:type="dxa"/>
          </w:tcPr>
          <w:p w14:paraId="2B15317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Особая группа</w:t>
            </w:r>
          </w:p>
        </w:tc>
        <w:tc>
          <w:tcPr>
            <w:tcW w:w="993" w:type="dxa"/>
          </w:tcPr>
          <w:p w14:paraId="6717588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5AD0D8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AEC30D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21A37D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2DD127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61B280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7854D74" w14:textId="77777777">
        <w:tc>
          <w:tcPr>
            <w:tcW w:w="2376" w:type="dxa"/>
          </w:tcPr>
          <w:p w14:paraId="7E20BB5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Самолет таран</w:t>
            </w:r>
          </w:p>
        </w:tc>
        <w:tc>
          <w:tcPr>
            <w:tcW w:w="993" w:type="dxa"/>
          </w:tcPr>
          <w:p w14:paraId="48BF7F9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758E003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63AA572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18DF517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4A44D5D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719" w:type="dxa"/>
          </w:tcPr>
          <w:p w14:paraId="4DCD496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 расчет показал, что самол. не сможет удовл.</w:t>
            </w:r>
          </w:p>
        </w:tc>
      </w:tr>
      <w:tr w:rsidR="004E10C1" w:rsidRPr="0044524F" w14:paraId="7DD575A1" w14:textId="77777777">
        <w:tc>
          <w:tcPr>
            <w:tcW w:w="2376" w:type="dxa"/>
          </w:tcPr>
          <w:p w14:paraId="2FF949F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9972EA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7E5465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1C8154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3E51BE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76D832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F4E671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требуемых ЛД как таран, а исп. и перед. под истребит.</w:t>
            </w:r>
          </w:p>
        </w:tc>
      </w:tr>
      <w:tr w:rsidR="004E10C1" w:rsidRPr="0044524F" w14:paraId="130DC52B" w14:textId="77777777">
        <w:tc>
          <w:tcPr>
            <w:tcW w:w="2376" w:type="dxa"/>
          </w:tcPr>
          <w:p w14:paraId="010E9C0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8835EE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2DB9E0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4A520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43A238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5728A8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63825C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рациональна и работа над этим вариантом прекр.</w:t>
            </w:r>
          </w:p>
        </w:tc>
      </w:tr>
      <w:tr w:rsidR="004E10C1" w:rsidRPr="0044524F" w14:paraId="574BF028" w14:textId="77777777">
        <w:tc>
          <w:tcPr>
            <w:tcW w:w="2376" w:type="dxa"/>
          </w:tcPr>
          <w:p w14:paraId="1251CAD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6DFEAE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7448F3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C371A4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8F7115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9604B3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E330B7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 группа передана на завод 39</w:t>
            </w:r>
          </w:p>
        </w:tc>
      </w:tr>
      <w:tr w:rsidR="004E10C1" w:rsidRPr="0044524F" w14:paraId="51D4276E" w14:textId="77777777">
        <w:tc>
          <w:tcPr>
            <w:tcW w:w="2376" w:type="dxa"/>
          </w:tcPr>
          <w:p w14:paraId="1749082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Модификации</w:t>
            </w:r>
          </w:p>
        </w:tc>
        <w:tc>
          <w:tcPr>
            <w:tcW w:w="993" w:type="dxa"/>
          </w:tcPr>
          <w:p w14:paraId="67CA569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86804C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98CACD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4CFD72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47DB03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4DEC90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FFC44C" w14:textId="77777777">
        <w:tc>
          <w:tcPr>
            <w:tcW w:w="2376" w:type="dxa"/>
          </w:tcPr>
          <w:p w14:paraId="52F97EC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Уст. М-34 на ТБ-3 М-17</w:t>
            </w:r>
          </w:p>
        </w:tc>
        <w:tc>
          <w:tcPr>
            <w:tcW w:w="993" w:type="dxa"/>
          </w:tcPr>
          <w:p w14:paraId="48816DA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2857DBC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4D97722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46023A1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5E7BB05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01.12.32</w:t>
            </w:r>
          </w:p>
        </w:tc>
        <w:tc>
          <w:tcPr>
            <w:tcW w:w="3719" w:type="dxa"/>
          </w:tcPr>
          <w:p w14:paraId="4A27E81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ист. кварт. велась доводка ВМГ в части маслорад.</w:t>
            </w:r>
          </w:p>
        </w:tc>
      </w:tr>
      <w:tr w:rsidR="004E10C1" w:rsidRPr="0044524F" w14:paraId="372B7214" w14:textId="77777777">
        <w:tc>
          <w:tcPr>
            <w:tcW w:w="2376" w:type="dxa"/>
          </w:tcPr>
          <w:p w14:paraId="2A1A80C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5CC5FF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C8952C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B38846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23CA93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C35044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янв. 1933</w:t>
            </w:r>
          </w:p>
        </w:tc>
        <w:tc>
          <w:tcPr>
            <w:tcW w:w="3719" w:type="dxa"/>
          </w:tcPr>
          <w:p w14:paraId="68F26C2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Работают удовл. ЦАГИ предп. в 1-2 декады июля закон.</w:t>
            </w:r>
          </w:p>
        </w:tc>
      </w:tr>
      <w:tr w:rsidR="004E10C1" w:rsidRPr="0044524F" w14:paraId="45FA6E13" w14:textId="77777777">
        <w:tc>
          <w:tcPr>
            <w:tcW w:w="2376" w:type="dxa"/>
          </w:tcPr>
          <w:p w14:paraId="18C42A4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897BF4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092424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604F00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6787D9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77766F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AB612C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заводские испыт. и передать на гос. испытания</w:t>
            </w:r>
          </w:p>
        </w:tc>
      </w:tr>
      <w:tr w:rsidR="004E10C1" w:rsidRPr="0044524F" w14:paraId="3DA4A77A" w14:textId="77777777">
        <w:tc>
          <w:tcPr>
            <w:tcW w:w="2376" w:type="dxa"/>
          </w:tcPr>
          <w:p w14:paraId="335DA15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Уст. М-34 на ТШ-2</w:t>
            </w:r>
          </w:p>
        </w:tc>
        <w:tc>
          <w:tcPr>
            <w:tcW w:w="993" w:type="dxa"/>
          </w:tcPr>
          <w:p w14:paraId="2A02BF8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46795CE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38ECF33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753C3A4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2294D52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01.04.33</w:t>
            </w:r>
          </w:p>
        </w:tc>
        <w:tc>
          <w:tcPr>
            <w:tcW w:w="3719" w:type="dxa"/>
          </w:tcPr>
          <w:p w14:paraId="42C2939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Согл. пост. СТО заменен ТШ-3 М-34. Новый срок </w:t>
            </w:r>
          </w:p>
        </w:tc>
      </w:tr>
      <w:tr w:rsidR="004E10C1" w:rsidRPr="0044524F" w14:paraId="525DD659" w14:textId="77777777">
        <w:tc>
          <w:tcPr>
            <w:tcW w:w="2376" w:type="dxa"/>
          </w:tcPr>
          <w:p w14:paraId="70B9BFD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100C69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5CF468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BD1814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F5A8C7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FCC7AB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28BA5A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РВСР 01.02.34</w:t>
            </w:r>
          </w:p>
        </w:tc>
      </w:tr>
      <w:tr w:rsidR="004E10C1" w:rsidRPr="0044524F" w14:paraId="1F4A6723" w14:textId="77777777">
        <w:tc>
          <w:tcPr>
            <w:tcW w:w="2376" w:type="dxa"/>
          </w:tcPr>
          <w:p w14:paraId="74F4EB6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Подг. этал. Р-5 М-34</w:t>
            </w:r>
          </w:p>
        </w:tc>
        <w:tc>
          <w:tcPr>
            <w:tcW w:w="993" w:type="dxa"/>
          </w:tcPr>
          <w:p w14:paraId="72F7847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1CA0BB8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5D478AE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1CA89DB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0BB7D24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15.??.32</w:t>
            </w:r>
          </w:p>
        </w:tc>
        <w:tc>
          <w:tcPr>
            <w:tcW w:w="3719" w:type="dxa"/>
          </w:tcPr>
          <w:p w14:paraId="260B6C6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ЦАГИ не ведется</w:t>
            </w:r>
          </w:p>
        </w:tc>
      </w:tr>
      <w:tr w:rsidR="004E10C1" w:rsidRPr="0044524F" w14:paraId="19AB16F2" w14:textId="77777777">
        <w:tc>
          <w:tcPr>
            <w:tcW w:w="2376" w:type="dxa"/>
          </w:tcPr>
          <w:p w14:paraId="04637AA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 Пост. торм. колес и</w:t>
            </w:r>
          </w:p>
        </w:tc>
        <w:tc>
          <w:tcPr>
            <w:tcW w:w="993" w:type="dxa"/>
          </w:tcPr>
          <w:p w14:paraId="77649FA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6A4D746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3876756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33827A7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2FA0C16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15.08.32</w:t>
            </w:r>
          </w:p>
        </w:tc>
        <w:tc>
          <w:tcPr>
            <w:tcW w:w="3719" w:type="dxa"/>
          </w:tcPr>
          <w:p w14:paraId="45278F2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 пост. СТО Р-5 М-17 д.б. передан на гос. исп.</w:t>
            </w:r>
          </w:p>
        </w:tc>
      </w:tr>
      <w:tr w:rsidR="004E10C1" w:rsidRPr="0044524F" w14:paraId="11E34A01" w14:textId="77777777">
        <w:tc>
          <w:tcPr>
            <w:tcW w:w="2376" w:type="dxa"/>
          </w:tcPr>
          <w:p w14:paraId="539C049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 крыльев на Р-5 М-17</w:t>
            </w:r>
          </w:p>
        </w:tc>
        <w:tc>
          <w:tcPr>
            <w:tcW w:w="993" w:type="dxa"/>
          </w:tcPr>
          <w:p w14:paraId="236954C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AE5043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EDEBFB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26DA93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402A09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01.04.33</w:t>
            </w:r>
          </w:p>
        </w:tc>
        <w:tc>
          <w:tcPr>
            <w:tcW w:w="3719" w:type="dxa"/>
          </w:tcPr>
          <w:p w14:paraId="53D79E5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15.05.33, но сроки не выдержаны. Испыт. 2 вар.</w:t>
            </w:r>
          </w:p>
        </w:tc>
      </w:tr>
      <w:tr w:rsidR="004E10C1" w:rsidRPr="0044524F" w14:paraId="4FC30129" w14:textId="77777777">
        <w:tc>
          <w:tcPr>
            <w:tcW w:w="2376" w:type="dxa"/>
          </w:tcPr>
          <w:p w14:paraId="579AB14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48FAB0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6A0711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41FB23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F048B4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C5FC51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119A45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машины показал преим. по сравн. с 1 вар., но все</w:t>
            </w:r>
          </w:p>
        </w:tc>
      </w:tr>
      <w:tr w:rsidR="004E10C1" w:rsidRPr="0044524F" w14:paraId="7B22CB29" w14:textId="77777777">
        <w:tc>
          <w:tcPr>
            <w:tcW w:w="2376" w:type="dxa"/>
          </w:tcPr>
          <w:p w14:paraId="0710746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D4DCDE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CE041B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46424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C688E9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233A5B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269AD1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же уступает нормальному Р-5 М-17</w:t>
            </w:r>
          </w:p>
        </w:tc>
      </w:tr>
      <w:tr w:rsidR="004E10C1" w:rsidRPr="0044524F" w14:paraId="734F95AD" w14:textId="77777777">
        <w:tc>
          <w:tcPr>
            <w:tcW w:w="2376" w:type="dxa"/>
          </w:tcPr>
          <w:p w14:paraId="00D8D96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A18574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2D7F32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197769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AAD847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DC09AB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0FD5FC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 более уст., имеет меньш. посад. скор. и пробег</w:t>
            </w:r>
          </w:p>
        </w:tc>
      </w:tr>
      <w:tr w:rsidR="004E10C1" w:rsidRPr="0044524F" w14:paraId="2E7C75F9" w14:textId="77777777">
        <w:tc>
          <w:tcPr>
            <w:tcW w:w="2376" w:type="dxa"/>
          </w:tcPr>
          <w:p w14:paraId="4F2E05E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3A488A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A1AD7B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2D3578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0D1EF8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0DDB4F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474C37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 ВВС принял решение заказать для войск. исп. 10</w:t>
            </w:r>
          </w:p>
        </w:tc>
      </w:tr>
      <w:tr w:rsidR="004E10C1" w:rsidRPr="0044524F" w14:paraId="13BA3C2D" w14:textId="77777777">
        <w:tc>
          <w:tcPr>
            <w:tcW w:w="2376" w:type="dxa"/>
          </w:tcPr>
          <w:p w14:paraId="77C69C2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 Модиф. И-12 М-22</w:t>
            </w:r>
          </w:p>
        </w:tc>
        <w:tc>
          <w:tcPr>
            <w:tcW w:w="993" w:type="dxa"/>
          </w:tcPr>
          <w:p w14:paraId="1961AE6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536C99A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084EAB2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4D07CB3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3F0B8F4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01.11.32</w:t>
            </w:r>
          </w:p>
        </w:tc>
        <w:tc>
          <w:tcPr>
            <w:tcW w:w="3719" w:type="dxa"/>
          </w:tcPr>
          <w:p w14:paraId="3983E37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в ЦАГИ приостановлена</w:t>
            </w:r>
          </w:p>
        </w:tc>
      </w:tr>
      <w:tr w:rsidR="004E10C1" w:rsidRPr="0044524F" w14:paraId="638AB41A" w14:textId="77777777">
        <w:tc>
          <w:tcPr>
            <w:tcW w:w="2376" w:type="dxa"/>
          </w:tcPr>
          <w:p w14:paraId="6AA34C0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не вошедшие в план</w:t>
            </w:r>
          </w:p>
        </w:tc>
        <w:tc>
          <w:tcPr>
            <w:tcW w:w="993" w:type="dxa"/>
          </w:tcPr>
          <w:p w14:paraId="15A9C0C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C5475C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F36CF3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4B9851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C32CD9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4051F3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EE8CE53" w14:textId="77777777">
        <w:tc>
          <w:tcPr>
            <w:tcW w:w="2376" w:type="dxa"/>
          </w:tcPr>
          <w:p w14:paraId="5B2C3BB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 ДИ-? Керт. Конк.</w:t>
            </w:r>
          </w:p>
        </w:tc>
        <w:tc>
          <w:tcPr>
            <w:tcW w:w="993" w:type="dxa"/>
          </w:tcPr>
          <w:p w14:paraId="4AFB8F0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2FAAFE8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4DF4162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2801BE9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65F96F1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01.09.31</w:t>
            </w:r>
          </w:p>
        </w:tc>
        <w:tc>
          <w:tcPr>
            <w:tcW w:w="3719" w:type="dxa"/>
          </w:tcPr>
          <w:p w14:paraId="2D277CB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Гос. испыт. показали низк. данные даже по сравн. с </w:t>
            </w:r>
          </w:p>
        </w:tc>
      </w:tr>
      <w:tr w:rsidR="004E10C1" w:rsidRPr="0044524F" w14:paraId="30AF5568" w14:textId="77777777">
        <w:tc>
          <w:tcPr>
            <w:tcW w:w="2376" w:type="dxa"/>
          </w:tcPr>
          <w:p w14:paraId="24402F6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D684A4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F766C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22ED55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9BAED1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325F1E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янв. 1933</w:t>
            </w:r>
          </w:p>
        </w:tc>
        <w:tc>
          <w:tcPr>
            <w:tcW w:w="3719" w:type="dxa"/>
          </w:tcPr>
          <w:p w14:paraId="61BD27D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 Работы прекращены</w:t>
            </w:r>
          </w:p>
        </w:tc>
      </w:tr>
      <w:tr w:rsidR="004E10C1" w:rsidRPr="0044524F" w14:paraId="4A89DD7D" w14:textId="77777777">
        <w:tc>
          <w:tcPr>
            <w:tcW w:w="2376" w:type="dxa"/>
          </w:tcPr>
          <w:p w14:paraId="516C348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 Истр. Зет с М-22</w:t>
            </w:r>
          </w:p>
        </w:tc>
        <w:tc>
          <w:tcPr>
            <w:tcW w:w="993" w:type="dxa"/>
          </w:tcPr>
          <w:p w14:paraId="3F27C5E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73E11FB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1E8A8AA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43F69E3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67203A2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719" w:type="dxa"/>
          </w:tcPr>
          <w:p w14:paraId="5A6407B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Ведется испытание пушечного вооружения</w:t>
            </w:r>
          </w:p>
        </w:tc>
      </w:tr>
      <w:tr w:rsidR="004E10C1" w:rsidRPr="0044524F" w14:paraId="0CF64780" w14:textId="77777777">
        <w:tc>
          <w:tcPr>
            <w:tcW w:w="2376" w:type="dxa"/>
          </w:tcPr>
          <w:p w14:paraId="2602D99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 Самолет звено</w:t>
            </w:r>
          </w:p>
        </w:tc>
        <w:tc>
          <w:tcPr>
            <w:tcW w:w="993" w:type="dxa"/>
          </w:tcPr>
          <w:p w14:paraId="5662D6F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28DCA7E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3422264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1D23581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6FF6820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719" w:type="dxa"/>
          </w:tcPr>
          <w:p w14:paraId="5EE832E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Ведется внедрение в строй ТБ-1 М-17 с 2И-4 М-22</w:t>
            </w:r>
          </w:p>
        </w:tc>
      </w:tr>
      <w:tr w:rsidR="004E10C1" w:rsidRPr="0044524F" w14:paraId="1224C83B" w14:textId="77777777">
        <w:tc>
          <w:tcPr>
            <w:tcW w:w="2376" w:type="dxa"/>
          </w:tcPr>
          <w:p w14:paraId="5F21C31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D45BE5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7A3F4E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7F7584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7034AA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453C9D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D737A3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авиабригаде. Предв. тренир. и выпуск строевых летч.</w:t>
            </w:r>
          </w:p>
        </w:tc>
      </w:tr>
      <w:tr w:rsidR="004E10C1" w:rsidRPr="0044524F" w14:paraId="34C99AB4" w14:textId="77777777">
        <w:tc>
          <w:tcPr>
            <w:tcW w:w="2376" w:type="dxa"/>
          </w:tcPr>
          <w:p w14:paraId="28224C0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6CADAF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F401C2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986361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CD5729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39AA03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7E022EC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проведен в НИИ ВВС. Уст. 3-х И-5 М-22 и 2-х Изет на </w:t>
            </w:r>
          </w:p>
        </w:tc>
      </w:tr>
      <w:tr w:rsidR="004E10C1" w:rsidRPr="0044524F" w14:paraId="37693F04" w14:textId="77777777">
        <w:tc>
          <w:tcPr>
            <w:tcW w:w="2376" w:type="dxa"/>
          </w:tcPr>
          <w:p w14:paraId="3540C28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073BEC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36A132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76CE67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7D1C79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5E277F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C22357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ТБ-3 М-17, а также мех. для реализации посадки И-5 на </w:t>
            </w:r>
          </w:p>
        </w:tc>
      </w:tr>
      <w:tr w:rsidR="004E10C1" w:rsidRPr="0044524F" w14:paraId="6D048B37" w14:textId="77777777">
        <w:tc>
          <w:tcPr>
            <w:tcW w:w="2376" w:type="dxa"/>
          </w:tcPr>
          <w:p w14:paraId="5BA345C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1B9E95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43AACD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A04967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D0CD9B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10A6D0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80543B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ТБ-3 в части производства отд. деталей закончено. </w:t>
            </w:r>
          </w:p>
        </w:tc>
      </w:tr>
      <w:tr w:rsidR="004E10C1" w:rsidRPr="0044524F" w14:paraId="4CCAAD41" w14:textId="77777777">
        <w:tc>
          <w:tcPr>
            <w:tcW w:w="2376" w:type="dxa"/>
          </w:tcPr>
          <w:p w14:paraId="625DA9D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E49E73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436F1D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AE93B1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08CEE1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996070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B984CE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Идет монтаж на самолете ТБ-3 4М-17. Начало испыт. </w:t>
            </w:r>
          </w:p>
        </w:tc>
      </w:tr>
      <w:tr w:rsidR="004E10C1" w:rsidRPr="0044524F" w14:paraId="098952AC" w14:textId="77777777">
        <w:tc>
          <w:tcPr>
            <w:tcW w:w="2376" w:type="dxa"/>
          </w:tcPr>
          <w:p w14:paraId="16657C2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E584FA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CF402E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81FED8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BE706F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90305C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4025BD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намечено на конец августа</w:t>
            </w:r>
          </w:p>
        </w:tc>
      </w:tr>
      <w:tr w:rsidR="004E10C1" w:rsidRPr="0044524F" w14:paraId="31B37D7F" w14:textId="77777777">
        <w:tc>
          <w:tcPr>
            <w:tcW w:w="2376" w:type="dxa"/>
          </w:tcPr>
          <w:p w14:paraId="7435399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 ХАИ-1</w:t>
            </w:r>
          </w:p>
        </w:tc>
        <w:tc>
          <w:tcPr>
            <w:tcW w:w="993" w:type="dxa"/>
          </w:tcPr>
          <w:p w14:paraId="38F057E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7768721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7CEE836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6534ABC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30AE367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719" w:type="dxa"/>
          </w:tcPr>
          <w:p w14:paraId="266CA99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Законченные в НИИ ВВС гос. испытания пас. 7 местн.</w:t>
            </w:r>
          </w:p>
        </w:tc>
      </w:tr>
      <w:tr w:rsidR="004E10C1" w:rsidRPr="0044524F" w14:paraId="68A5C455" w14:textId="77777777">
        <w:tc>
          <w:tcPr>
            <w:tcW w:w="2376" w:type="dxa"/>
          </w:tcPr>
          <w:p w14:paraId="4DE230F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97DB75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6F0751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1C94C4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27FED8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0C719B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131A57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 с М-22 показали отл. ЛД (скор. у земли 292 км/ч</w:t>
            </w:r>
          </w:p>
        </w:tc>
      </w:tr>
      <w:tr w:rsidR="004E10C1" w:rsidRPr="0044524F" w14:paraId="708EED86" w14:textId="77777777">
        <w:tc>
          <w:tcPr>
            <w:tcW w:w="2376" w:type="dxa"/>
          </w:tcPr>
          <w:p w14:paraId="3A69E59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B9AC38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B4CDA4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E5FB34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86CCB6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0C44C3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5ACC85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потолок 7200 м. Нач. ВВС входит в РВСР с доклад.</w:t>
            </w:r>
          </w:p>
        </w:tc>
      </w:tr>
      <w:tr w:rsidR="004E10C1" w:rsidRPr="0044524F" w14:paraId="54126CA2" w14:textId="77777777">
        <w:tc>
          <w:tcPr>
            <w:tcW w:w="2376" w:type="dxa"/>
          </w:tcPr>
          <w:p w14:paraId="363B1CC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4CCA65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A15FE1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8C2ACA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F67324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500A7E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537430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военном использовании (2305,37)</w:t>
            </w:r>
          </w:p>
        </w:tc>
      </w:tr>
      <w:tr w:rsidR="004E10C1" w:rsidRPr="0044524F" w14:paraId="1C04364F" w14:textId="77777777">
        <w:tc>
          <w:tcPr>
            <w:tcW w:w="2376" w:type="dxa"/>
          </w:tcPr>
          <w:p w14:paraId="61DE529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 самолетам (морским)</w:t>
            </w:r>
          </w:p>
        </w:tc>
        <w:tc>
          <w:tcPr>
            <w:tcW w:w="993" w:type="dxa"/>
          </w:tcPr>
          <w:p w14:paraId="2912B56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DC7299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C9407A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5F79F6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7AA788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1DD90A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CA256BC" w14:textId="77777777">
        <w:tc>
          <w:tcPr>
            <w:tcW w:w="2376" w:type="dxa"/>
          </w:tcPr>
          <w:p w14:paraId="68A4390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очереди (основные по системе вооружения)</w:t>
            </w:r>
          </w:p>
        </w:tc>
        <w:tc>
          <w:tcPr>
            <w:tcW w:w="993" w:type="dxa"/>
          </w:tcPr>
          <w:p w14:paraId="7F2CDAE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6D7629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FEEAA4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206404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4DCB44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1FC71B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063028B" w14:textId="77777777">
        <w:tc>
          <w:tcPr>
            <w:tcW w:w="2376" w:type="dxa"/>
          </w:tcPr>
          <w:p w14:paraId="2AE6566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 МДР-3бис 2М-34РН</w:t>
            </w:r>
          </w:p>
        </w:tc>
        <w:tc>
          <w:tcPr>
            <w:tcW w:w="993" w:type="dxa"/>
          </w:tcPr>
          <w:p w14:paraId="618E24E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225/3500</w:t>
            </w:r>
          </w:p>
        </w:tc>
        <w:tc>
          <w:tcPr>
            <w:tcW w:w="975" w:type="dxa"/>
          </w:tcPr>
          <w:p w14:paraId="252AB08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846" w:type="dxa"/>
          </w:tcPr>
          <w:p w14:paraId="71C3C3A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2хпул.</w:t>
            </w:r>
          </w:p>
        </w:tc>
        <w:tc>
          <w:tcPr>
            <w:tcW w:w="749" w:type="dxa"/>
          </w:tcPr>
          <w:p w14:paraId="7E359A8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750/1250</w:t>
            </w:r>
          </w:p>
        </w:tc>
        <w:tc>
          <w:tcPr>
            <w:tcW w:w="799" w:type="dxa"/>
          </w:tcPr>
          <w:p w14:paraId="697559F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нет в пл.</w:t>
            </w:r>
          </w:p>
        </w:tc>
        <w:tc>
          <w:tcPr>
            <w:tcW w:w="3719" w:type="dxa"/>
          </w:tcPr>
          <w:p w14:paraId="5608885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 ЦАГИ. Проект. - 20%, произв. - 0. Согл. с</w:t>
            </w:r>
          </w:p>
        </w:tc>
      </w:tr>
      <w:tr w:rsidR="004E10C1" w:rsidRPr="0044524F" w14:paraId="0A52D534" w14:textId="77777777">
        <w:tc>
          <w:tcPr>
            <w:tcW w:w="2376" w:type="dxa"/>
          </w:tcPr>
          <w:p w14:paraId="116543E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4EB7BC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8F7EF8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AAD32D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1хпуш.</w:t>
            </w:r>
          </w:p>
        </w:tc>
        <w:tc>
          <w:tcPr>
            <w:tcW w:w="749" w:type="dxa"/>
          </w:tcPr>
          <w:p w14:paraId="5183197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D7419F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w:t>
            </w:r>
          </w:p>
        </w:tc>
        <w:tc>
          <w:tcPr>
            <w:tcW w:w="3719" w:type="dxa"/>
          </w:tcPr>
          <w:p w14:paraId="5A159DC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ЛТД. 01.06.33 был утв. макет. Разверт. работ</w:t>
            </w:r>
          </w:p>
        </w:tc>
      </w:tr>
      <w:tr w:rsidR="004E10C1" w:rsidRPr="0044524F" w14:paraId="07087027" w14:textId="77777777">
        <w:tc>
          <w:tcPr>
            <w:tcW w:w="2376" w:type="dxa"/>
          </w:tcPr>
          <w:p w14:paraId="26C9F3A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C95E7C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E96C0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E2EF6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749" w:type="dxa"/>
          </w:tcPr>
          <w:p w14:paraId="7306796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A6D9AA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01.05.34</w:t>
            </w:r>
          </w:p>
        </w:tc>
        <w:tc>
          <w:tcPr>
            <w:tcW w:w="3719" w:type="dxa"/>
          </w:tcPr>
          <w:p w14:paraId="39D3A25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ЦАГИ с 1 июля в связи с освоб. от МК-1, т.е.</w:t>
            </w:r>
          </w:p>
        </w:tc>
      </w:tr>
      <w:tr w:rsidR="004E10C1" w:rsidRPr="0044524F" w14:paraId="7A602B30" w14:textId="77777777">
        <w:tc>
          <w:tcPr>
            <w:tcW w:w="2376" w:type="dxa"/>
          </w:tcPr>
          <w:p w14:paraId="69C33BA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01D3FA9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C42326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2954DD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4D77A6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97FD10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783E7C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спустя 9-10 мес. после испыт. МДР-3 4М-17 на</w:t>
            </w:r>
          </w:p>
        </w:tc>
      </w:tr>
      <w:tr w:rsidR="004E10C1" w:rsidRPr="0044524F" w14:paraId="37B6C1C7" w14:textId="77777777">
        <w:tc>
          <w:tcPr>
            <w:tcW w:w="2376" w:type="dxa"/>
          </w:tcPr>
          <w:p w14:paraId="5665C57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955A8A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6348FA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978946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1E0E70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7C0B4A8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836570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основе которого сделан МДР-3бис</w:t>
            </w:r>
          </w:p>
        </w:tc>
      </w:tr>
      <w:tr w:rsidR="004E10C1" w:rsidRPr="0044524F" w14:paraId="342344D9" w14:textId="77777777">
        <w:tc>
          <w:tcPr>
            <w:tcW w:w="2376" w:type="dxa"/>
          </w:tcPr>
          <w:p w14:paraId="7934B54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МК-1 6М-34РН</w:t>
            </w:r>
          </w:p>
        </w:tc>
        <w:tc>
          <w:tcPr>
            <w:tcW w:w="993" w:type="dxa"/>
          </w:tcPr>
          <w:p w14:paraId="761B314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230/4000</w:t>
            </w:r>
          </w:p>
        </w:tc>
        <w:tc>
          <w:tcPr>
            <w:tcW w:w="975" w:type="dxa"/>
          </w:tcPr>
          <w:p w14:paraId="0C3EF59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846" w:type="dxa"/>
          </w:tcPr>
          <w:p w14:paraId="6661937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4хпул.</w:t>
            </w:r>
          </w:p>
        </w:tc>
        <w:tc>
          <w:tcPr>
            <w:tcW w:w="749" w:type="dxa"/>
          </w:tcPr>
          <w:p w14:paraId="48638A6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750/1200</w:t>
            </w:r>
          </w:p>
        </w:tc>
        <w:tc>
          <w:tcPr>
            <w:tcW w:w="799" w:type="dxa"/>
          </w:tcPr>
          <w:p w14:paraId="2DC2995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01.09.32</w:t>
            </w:r>
          </w:p>
        </w:tc>
        <w:tc>
          <w:tcPr>
            <w:tcW w:w="3719" w:type="dxa"/>
          </w:tcPr>
          <w:p w14:paraId="1D828B3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 ЦАГИ. Исполнено констр. - 97%, произв. 50%</w:t>
            </w:r>
          </w:p>
        </w:tc>
      </w:tr>
      <w:tr w:rsidR="004E10C1" w:rsidRPr="0044524F" w14:paraId="0CF37669" w14:textId="77777777">
        <w:tc>
          <w:tcPr>
            <w:tcW w:w="2376" w:type="dxa"/>
          </w:tcPr>
          <w:p w14:paraId="4815157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BE47D5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7AA7FE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2F8909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2хпуш.</w:t>
            </w:r>
          </w:p>
        </w:tc>
        <w:tc>
          <w:tcPr>
            <w:tcW w:w="749" w:type="dxa"/>
          </w:tcPr>
          <w:p w14:paraId="34D0A18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2D10D8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01.08.33</w:t>
            </w:r>
          </w:p>
        </w:tc>
        <w:tc>
          <w:tcPr>
            <w:tcW w:w="3719" w:type="dxa"/>
          </w:tcPr>
          <w:p w14:paraId="6902012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апреля 1933 был утв. макет.</w:t>
            </w:r>
          </w:p>
        </w:tc>
      </w:tr>
      <w:tr w:rsidR="004E10C1" w:rsidRPr="0044524F" w14:paraId="3A6FE898" w14:textId="77777777">
        <w:tc>
          <w:tcPr>
            <w:tcW w:w="2376" w:type="dxa"/>
          </w:tcPr>
          <w:p w14:paraId="73125EE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2D0A09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8AC6E8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A19366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749" w:type="dxa"/>
          </w:tcPr>
          <w:p w14:paraId="444966A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EF344C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5A307D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0C38B10" w14:textId="77777777">
        <w:tc>
          <w:tcPr>
            <w:tcW w:w="2376" w:type="dxa"/>
          </w:tcPr>
          <w:p w14:paraId="723AD8D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МБР-5 М-34 амф.</w:t>
            </w:r>
          </w:p>
        </w:tc>
        <w:tc>
          <w:tcPr>
            <w:tcW w:w="993" w:type="dxa"/>
          </w:tcPr>
          <w:p w14:paraId="569ED20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300/3000</w:t>
            </w:r>
          </w:p>
        </w:tc>
        <w:tc>
          <w:tcPr>
            <w:tcW w:w="975" w:type="dxa"/>
          </w:tcPr>
          <w:p w14:paraId="25ED446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846" w:type="dxa"/>
          </w:tcPr>
          <w:p w14:paraId="1A6694D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3хпул.</w:t>
            </w:r>
          </w:p>
        </w:tc>
        <w:tc>
          <w:tcPr>
            <w:tcW w:w="749" w:type="dxa"/>
          </w:tcPr>
          <w:p w14:paraId="6C68B90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600/800</w:t>
            </w:r>
          </w:p>
        </w:tc>
        <w:tc>
          <w:tcPr>
            <w:tcW w:w="799" w:type="dxa"/>
          </w:tcPr>
          <w:p w14:paraId="088EE88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01.08.33</w:t>
            </w:r>
          </w:p>
        </w:tc>
        <w:tc>
          <w:tcPr>
            <w:tcW w:w="3719" w:type="dxa"/>
          </w:tcPr>
          <w:p w14:paraId="6D7A881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 ЦАГИ. После выясн. невозм. осущ. в СНИИ</w:t>
            </w:r>
          </w:p>
        </w:tc>
      </w:tr>
      <w:tr w:rsidR="004E10C1" w:rsidRPr="0044524F" w14:paraId="2371D2B6" w14:textId="77777777">
        <w:tc>
          <w:tcPr>
            <w:tcW w:w="2376" w:type="dxa"/>
          </w:tcPr>
          <w:p w14:paraId="38BA9AF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9D89BE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5E1A50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C854C5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c>
          <w:tcPr>
            <w:tcW w:w="749" w:type="dxa"/>
          </w:tcPr>
          <w:p w14:paraId="10CEB26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49EB22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719" w:type="dxa"/>
          </w:tcPr>
          <w:p w14:paraId="37250D0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ГУГВФ задание передали в ЦАГИ. Работы по вып. 2-х</w:t>
            </w:r>
          </w:p>
        </w:tc>
      </w:tr>
      <w:tr w:rsidR="004E10C1" w:rsidRPr="0044524F" w14:paraId="15406BF1" w14:textId="77777777">
        <w:tc>
          <w:tcPr>
            <w:tcW w:w="2376" w:type="dxa"/>
          </w:tcPr>
          <w:p w14:paraId="60AD4BA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33D61E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4E2836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0D8238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ED8618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E21CC8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1AF82F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вариантов эск. проекта по указ. Нач. ЦАГИ прекр.</w:t>
            </w:r>
          </w:p>
        </w:tc>
      </w:tr>
      <w:tr w:rsidR="004E10C1" w:rsidRPr="0044524F" w14:paraId="67998799" w14:textId="77777777">
        <w:tc>
          <w:tcPr>
            <w:tcW w:w="2376" w:type="dxa"/>
          </w:tcPr>
          <w:p w14:paraId="6379BC1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031996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9D685C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55D6946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40747D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65B236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16AC1C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прич. отсутств. ассигн. и передачи бригады на</w:t>
            </w:r>
          </w:p>
        </w:tc>
      </w:tr>
      <w:tr w:rsidR="004E10C1" w:rsidRPr="0044524F" w14:paraId="7419C4E2" w14:textId="77777777">
        <w:tc>
          <w:tcPr>
            <w:tcW w:w="2376" w:type="dxa"/>
          </w:tcPr>
          <w:p w14:paraId="07F3E64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2D608A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8161CB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357BD7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80B7DA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BE0553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8313DB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39. Необх. ден. средства от ГУГВФ для ЦКБ</w:t>
            </w:r>
          </w:p>
        </w:tc>
      </w:tr>
      <w:tr w:rsidR="004E10C1" w:rsidRPr="0044524F" w14:paraId="37E4F3FD" w14:textId="77777777">
        <w:tc>
          <w:tcPr>
            <w:tcW w:w="2376" w:type="dxa"/>
          </w:tcPr>
          <w:p w14:paraId="1BA31AC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Эскпериментальные</w:t>
            </w:r>
          </w:p>
        </w:tc>
        <w:tc>
          <w:tcPr>
            <w:tcW w:w="993" w:type="dxa"/>
          </w:tcPr>
          <w:p w14:paraId="5B46DD6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8A83FC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9A2EE0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A92B31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8ECB7A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C4E036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3F7EE5F" w14:textId="77777777">
        <w:tc>
          <w:tcPr>
            <w:tcW w:w="2376" w:type="dxa"/>
          </w:tcPr>
          <w:p w14:paraId="6570F08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СПЛ М-11 (М-48)</w:t>
            </w:r>
          </w:p>
        </w:tc>
        <w:tc>
          <w:tcPr>
            <w:tcW w:w="993" w:type="dxa"/>
          </w:tcPr>
          <w:p w14:paraId="38C826B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180/2500</w:t>
            </w:r>
          </w:p>
        </w:tc>
        <w:tc>
          <w:tcPr>
            <w:tcW w:w="975" w:type="dxa"/>
          </w:tcPr>
          <w:p w14:paraId="7180F7E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7BB2CA6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1хпул.</w:t>
            </w:r>
          </w:p>
        </w:tc>
        <w:tc>
          <w:tcPr>
            <w:tcW w:w="749" w:type="dxa"/>
          </w:tcPr>
          <w:p w14:paraId="150AE27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w:t>
            </w:r>
          </w:p>
        </w:tc>
        <w:tc>
          <w:tcPr>
            <w:tcW w:w="799" w:type="dxa"/>
          </w:tcPr>
          <w:p w14:paraId="5D9E2F5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01.01.33</w:t>
            </w:r>
          </w:p>
        </w:tc>
        <w:tc>
          <w:tcPr>
            <w:tcW w:w="3719" w:type="dxa"/>
          </w:tcPr>
          <w:p w14:paraId="188A129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 СНИИ ГУГВФ. выполн. эскизн. проект. После</w:t>
            </w:r>
          </w:p>
        </w:tc>
      </w:tr>
      <w:tr w:rsidR="004E10C1" w:rsidRPr="0044524F" w14:paraId="04BA689F" w14:textId="77777777">
        <w:tc>
          <w:tcPr>
            <w:tcW w:w="2376" w:type="dxa"/>
          </w:tcPr>
          <w:p w14:paraId="598058E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BDE633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D9106A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FB90E1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749" w:type="dxa"/>
          </w:tcPr>
          <w:p w14:paraId="495D23A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52E6F9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01.05.34</w:t>
            </w:r>
          </w:p>
        </w:tc>
        <w:tc>
          <w:tcPr>
            <w:tcW w:w="3719" w:type="dxa"/>
          </w:tcPr>
          <w:p w14:paraId="317C32E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отпуска ден. средств прекр. работа возобновляется</w:t>
            </w:r>
          </w:p>
        </w:tc>
      </w:tr>
      <w:tr w:rsidR="004E10C1" w:rsidRPr="0044524F" w14:paraId="1D33CDC7" w14:textId="77777777">
        <w:tc>
          <w:tcPr>
            <w:tcW w:w="2376" w:type="dxa"/>
          </w:tcPr>
          <w:p w14:paraId="7E4C49E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FBC920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03A6E9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CB2114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64D393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B97DE5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C38E19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1933 закл. договор на проект. и постройку для</w:t>
            </w:r>
          </w:p>
        </w:tc>
      </w:tr>
      <w:tr w:rsidR="004E10C1" w:rsidRPr="0044524F" w14:paraId="042E89E3" w14:textId="77777777">
        <w:tc>
          <w:tcPr>
            <w:tcW w:w="2376" w:type="dxa"/>
          </w:tcPr>
          <w:p w14:paraId="676A164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6BE634A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97DE83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E427D3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07C99A5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C32D7D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58F43F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 Севморпути схожей машины (2305,35)</w:t>
            </w:r>
          </w:p>
        </w:tc>
      </w:tr>
      <w:tr w:rsidR="004E10C1" w:rsidRPr="0044524F" w14:paraId="0E360CAA" w14:textId="77777777">
        <w:tc>
          <w:tcPr>
            <w:tcW w:w="2376" w:type="dxa"/>
          </w:tcPr>
          <w:p w14:paraId="086C7D5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Модификации</w:t>
            </w:r>
          </w:p>
        </w:tc>
        <w:tc>
          <w:tcPr>
            <w:tcW w:w="993" w:type="dxa"/>
          </w:tcPr>
          <w:p w14:paraId="45105A9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F6FA48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908855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6EF7B4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C59EAA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08BCCA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07F996" w14:textId="77777777">
        <w:tc>
          <w:tcPr>
            <w:tcW w:w="2376" w:type="dxa"/>
          </w:tcPr>
          <w:p w14:paraId="4A9096D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МБР-4 М-34</w:t>
            </w:r>
          </w:p>
        </w:tc>
        <w:tc>
          <w:tcPr>
            <w:tcW w:w="993" w:type="dxa"/>
          </w:tcPr>
          <w:p w14:paraId="27F8C86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0E2E1D3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1A22DCF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46837C0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3D399D9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01.12.32</w:t>
            </w:r>
          </w:p>
        </w:tc>
        <w:tc>
          <w:tcPr>
            <w:tcW w:w="3719" w:type="dxa"/>
          </w:tcPr>
          <w:p w14:paraId="665E7DA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Строит ЦАГИ. 1 июля 1933 поступает на заводские </w:t>
            </w:r>
          </w:p>
        </w:tc>
      </w:tr>
      <w:tr w:rsidR="004E10C1" w:rsidRPr="0044524F" w14:paraId="1D54F44C" w14:textId="77777777">
        <w:tc>
          <w:tcPr>
            <w:tcW w:w="2376" w:type="dxa"/>
          </w:tcPr>
          <w:p w14:paraId="16FEE1F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B30490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66D77A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093A4F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3B2CA87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B48C0E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01.08.33</w:t>
            </w:r>
          </w:p>
        </w:tc>
        <w:tc>
          <w:tcPr>
            <w:tcW w:w="3719" w:type="dxa"/>
          </w:tcPr>
          <w:p w14:paraId="711DBFD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Задержался из-за зад. в констр., негот.</w:t>
            </w:r>
          </w:p>
        </w:tc>
      </w:tr>
      <w:tr w:rsidR="004E10C1" w:rsidRPr="0044524F" w14:paraId="20A59799" w14:textId="77777777">
        <w:tc>
          <w:tcPr>
            <w:tcW w:w="2376" w:type="dxa"/>
          </w:tcPr>
          <w:p w14:paraId="5F2CB7C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193925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5627BF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E3A4A1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D39E16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089D07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210269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лодки для опытн. экз. и завода 31 для внедр. нового</w:t>
            </w:r>
          </w:p>
        </w:tc>
      </w:tr>
      <w:tr w:rsidR="004E10C1" w:rsidRPr="0044524F" w14:paraId="7552E57B" w14:textId="77777777">
        <w:tc>
          <w:tcPr>
            <w:tcW w:w="2376" w:type="dxa"/>
          </w:tcPr>
          <w:p w14:paraId="0BB57E2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CB5998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DCE9C9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A5A259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F602E4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07DC244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23685A0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типа, а ткже техн. затр. (перегрев масла). Ставят</w:t>
            </w:r>
          </w:p>
        </w:tc>
      </w:tr>
      <w:tr w:rsidR="004E10C1" w:rsidRPr="0044524F" w14:paraId="281DB82E" w14:textId="77777777">
        <w:tc>
          <w:tcPr>
            <w:tcW w:w="2376" w:type="dxa"/>
          </w:tcPr>
          <w:p w14:paraId="083A943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A542D6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1A5E060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41A3D4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DAE3EA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0A6C01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825403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оперение увел. площади, заказ. УВВС для МБР-4 АССО</w:t>
            </w:r>
          </w:p>
        </w:tc>
      </w:tr>
      <w:tr w:rsidR="004E10C1" w:rsidRPr="0044524F" w14:paraId="43448F81" w14:textId="77777777">
        <w:tc>
          <w:tcPr>
            <w:tcW w:w="2376" w:type="dxa"/>
          </w:tcPr>
          <w:p w14:paraId="172F7EA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41A7A2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6CCE77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DD863A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174941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062826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4E30DAB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 для улучшения устойчивости</w:t>
            </w:r>
          </w:p>
        </w:tc>
      </w:tr>
      <w:tr w:rsidR="004E10C1" w:rsidRPr="0044524F" w14:paraId="039942B5" w14:textId="77777777">
        <w:tc>
          <w:tcPr>
            <w:tcW w:w="2376" w:type="dxa"/>
          </w:tcPr>
          <w:p w14:paraId="3842119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Р-6а М-17</w:t>
            </w:r>
          </w:p>
        </w:tc>
        <w:tc>
          <w:tcPr>
            <w:tcW w:w="993" w:type="dxa"/>
          </w:tcPr>
          <w:p w14:paraId="59A9C3D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230/3000</w:t>
            </w:r>
          </w:p>
        </w:tc>
        <w:tc>
          <w:tcPr>
            <w:tcW w:w="975" w:type="dxa"/>
          </w:tcPr>
          <w:p w14:paraId="60CBF8B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846" w:type="dxa"/>
          </w:tcPr>
          <w:p w14:paraId="0C11288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3хпул.</w:t>
            </w:r>
          </w:p>
        </w:tc>
        <w:tc>
          <w:tcPr>
            <w:tcW w:w="749" w:type="dxa"/>
          </w:tcPr>
          <w:p w14:paraId="094C5E5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799" w:type="dxa"/>
          </w:tcPr>
          <w:p w14:paraId="51CB27C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01.09.32</w:t>
            </w:r>
          </w:p>
        </w:tc>
        <w:tc>
          <w:tcPr>
            <w:tcW w:w="3719" w:type="dxa"/>
          </w:tcPr>
          <w:p w14:paraId="79C1319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ЦАГИ установил серийный самолет на поплавки </w:t>
            </w:r>
          </w:p>
        </w:tc>
      </w:tr>
      <w:tr w:rsidR="004E10C1" w:rsidRPr="0044524F" w14:paraId="42E6D705" w14:textId="77777777">
        <w:tc>
          <w:tcPr>
            <w:tcW w:w="2376" w:type="dxa"/>
          </w:tcPr>
          <w:p w14:paraId="29A0D82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A91CF3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66C7A33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3CE135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749" w:type="dxa"/>
          </w:tcPr>
          <w:p w14:paraId="63C96CB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15D70F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09.12.32</w:t>
            </w:r>
          </w:p>
        </w:tc>
        <w:tc>
          <w:tcPr>
            <w:tcW w:w="3719" w:type="dxa"/>
          </w:tcPr>
          <w:p w14:paraId="38C3998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Шорт (те же, что для ТБ-1а 2М-17) и показал хор.</w:t>
            </w:r>
          </w:p>
        </w:tc>
      </w:tr>
      <w:tr w:rsidR="004E10C1" w:rsidRPr="0044524F" w14:paraId="366D5141" w14:textId="77777777">
        <w:tc>
          <w:tcPr>
            <w:tcW w:w="2376" w:type="dxa"/>
          </w:tcPr>
          <w:p w14:paraId="2CD3AD0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4FA12FE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5B73BE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1830E3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BC4945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F7CABD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1CD870D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результаты. Треб. мет. винты, т.к. дер. ломаюся </w:t>
            </w:r>
          </w:p>
        </w:tc>
      </w:tr>
      <w:tr w:rsidR="004E10C1" w:rsidRPr="0044524F" w14:paraId="615E2DE3" w14:textId="77777777">
        <w:tc>
          <w:tcPr>
            <w:tcW w:w="2376" w:type="dxa"/>
          </w:tcPr>
          <w:p w14:paraId="1AD2F51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A11625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7F5E45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F46B84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71926D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2AF3907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CF941C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рулежке при небольшой волне.</w:t>
            </w:r>
          </w:p>
        </w:tc>
      </w:tr>
      <w:tr w:rsidR="004E10C1" w:rsidRPr="0044524F" w14:paraId="0D8A54C3" w14:textId="77777777">
        <w:tc>
          <w:tcPr>
            <w:tcW w:w="2376" w:type="dxa"/>
          </w:tcPr>
          <w:p w14:paraId="7513443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F2BE6C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240B47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757E2D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21A53E8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B5B6E6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DA7E85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ЦАГИ к доводке самолета не приступало и мет. винты </w:t>
            </w:r>
          </w:p>
        </w:tc>
      </w:tr>
      <w:tr w:rsidR="004E10C1" w:rsidRPr="0044524F" w14:paraId="130FF8B0" w14:textId="77777777">
        <w:tc>
          <w:tcPr>
            <w:tcW w:w="2376" w:type="dxa"/>
          </w:tcPr>
          <w:p w14:paraId="0EE284E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2312218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099D496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7215DCF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BC9F24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D614B6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896FA6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свой счет ставить отказ. Произв. поплавков на</w:t>
            </w:r>
          </w:p>
        </w:tc>
      </w:tr>
      <w:tr w:rsidR="004E10C1" w:rsidRPr="0044524F" w14:paraId="437D84F4" w14:textId="77777777">
        <w:tc>
          <w:tcPr>
            <w:tcW w:w="2376" w:type="dxa"/>
          </w:tcPr>
          <w:p w14:paraId="66C43A2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10F899B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C2D619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64049C9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FF921E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3977AB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54B440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заводе освоено.</w:t>
            </w:r>
          </w:p>
        </w:tc>
      </w:tr>
      <w:tr w:rsidR="004E10C1" w:rsidRPr="0044524F" w14:paraId="3D22D0E5" w14:textId="77777777">
        <w:tc>
          <w:tcPr>
            <w:tcW w:w="2376" w:type="dxa"/>
          </w:tcPr>
          <w:p w14:paraId="4162584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Р-5а М-17</w:t>
            </w:r>
          </w:p>
        </w:tc>
        <w:tc>
          <w:tcPr>
            <w:tcW w:w="993" w:type="dxa"/>
          </w:tcPr>
          <w:p w14:paraId="74E0D11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75" w:type="dxa"/>
          </w:tcPr>
          <w:p w14:paraId="6FC2358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46" w:type="dxa"/>
          </w:tcPr>
          <w:p w14:paraId="088C2B5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49" w:type="dxa"/>
          </w:tcPr>
          <w:p w14:paraId="0466DA4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99" w:type="dxa"/>
          </w:tcPr>
          <w:p w14:paraId="78D1C34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w:t>
            </w:r>
          </w:p>
        </w:tc>
        <w:tc>
          <w:tcPr>
            <w:tcW w:w="3719" w:type="dxa"/>
          </w:tcPr>
          <w:p w14:paraId="223DEFB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 построен на 39 заводе. Поступил в серию</w:t>
            </w:r>
          </w:p>
        </w:tc>
      </w:tr>
      <w:tr w:rsidR="004E10C1" w:rsidRPr="0044524F" w14:paraId="596A00FC" w14:textId="77777777">
        <w:tc>
          <w:tcPr>
            <w:tcW w:w="2376" w:type="dxa"/>
          </w:tcPr>
          <w:p w14:paraId="7BB4B39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5E5B606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728D5B0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33EAFE8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593458B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83D2B9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6DBF27E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заводе 1 и 45 (поплавки). Серия без эталона</w:t>
            </w:r>
          </w:p>
        </w:tc>
      </w:tr>
      <w:tr w:rsidR="004E10C1" w:rsidRPr="0044524F" w14:paraId="460BA24A" w14:textId="77777777">
        <w:tc>
          <w:tcPr>
            <w:tcW w:w="2376" w:type="dxa"/>
          </w:tcPr>
          <w:p w14:paraId="52B4B55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99E874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51B7939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0AA6E77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400BB77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1C8A699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502588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т.к. опытн. самолет напр. в Сев. экпед. (звено</w:t>
            </w:r>
          </w:p>
        </w:tc>
      </w:tr>
      <w:tr w:rsidR="004E10C1" w:rsidRPr="0044524F" w14:paraId="7746262A" w14:textId="77777777">
        <w:tc>
          <w:tcPr>
            <w:tcW w:w="2376" w:type="dxa"/>
          </w:tcPr>
          <w:p w14:paraId="475DC9E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74174E4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3D23C05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1F96472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6333BD6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2F6721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5383830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Кашелева) и там потерпел аварию</w:t>
            </w:r>
          </w:p>
        </w:tc>
      </w:tr>
      <w:tr w:rsidR="004E10C1" w:rsidRPr="0044524F" w14:paraId="1003D291" w14:textId="77777777">
        <w:tc>
          <w:tcPr>
            <w:tcW w:w="2376" w:type="dxa"/>
          </w:tcPr>
          <w:p w14:paraId="593300C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не входившие в план</w:t>
            </w:r>
          </w:p>
        </w:tc>
        <w:tc>
          <w:tcPr>
            <w:tcW w:w="993" w:type="dxa"/>
          </w:tcPr>
          <w:p w14:paraId="14B2E03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2D51523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23CCABF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7DEE6A0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3E66E1C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0BEFF7D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4FD7538" w14:textId="77777777">
        <w:tc>
          <w:tcPr>
            <w:tcW w:w="2376" w:type="dxa"/>
          </w:tcPr>
          <w:p w14:paraId="7DB1C7E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 М-17</w:t>
            </w:r>
          </w:p>
        </w:tc>
        <w:tc>
          <w:tcPr>
            <w:tcW w:w="993" w:type="dxa"/>
          </w:tcPr>
          <w:p w14:paraId="284E26A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195/3000</w:t>
            </w:r>
          </w:p>
        </w:tc>
        <w:tc>
          <w:tcPr>
            <w:tcW w:w="975" w:type="dxa"/>
          </w:tcPr>
          <w:p w14:paraId="592ECB8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846" w:type="dxa"/>
          </w:tcPr>
          <w:p w14:paraId="734316F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2хпул.</w:t>
            </w:r>
          </w:p>
        </w:tc>
        <w:tc>
          <w:tcPr>
            <w:tcW w:w="749" w:type="dxa"/>
          </w:tcPr>
          <w:p w14:paraId="6FD4030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799" w:type="dxa"/>
          </w:tcPr>
          <w:p w14:paraId="3384F78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w:t>
            </w:r>
          </w:p>
        </w:tc>
        <w:tc>
          <w:tcPr>
            <w:tcW w:w="3719" w:type="dxa"/>
          </w:tcPr>
          <w:p w14:paraId="0F19347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 был постр. на 39. Под давл. ВВС поставлен</w:t>
            </w:r>
          </w:p>
        </w:tc>
      </w:tr>
      <w:tr w:rsidR="004E10C1" w:rsidRPr="0044524F" w14:paraId="6D19EC07" w14:textId="77777777">
        <w:tc>
          <w:tcPr>
            <w:tcW w:w="2376" w:type="dxa"/>
          </w:tcPr>
          <w:p w14:paraId="1A86B89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93" w:type="dxa"/>
          </w:tcPr>
          <w:p w14:paraId="3D644B2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975" w:type="dxa"/>
          </w:tcPr>
          <w:p w14:paraId="4BA2F56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46" w:type="dxa"/>
          </w:tcPr>
          <w:p w14:paraId="45AD1DA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49" w:type="dxa"/>
          </w:tcPr>
          <w:p w14:paraId="1D58449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5E4C77B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19" w:type="dxa"/>
          </w:tcPr>
          <w:p w14:paraId="369AD63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производство на 45 (2305,43)</w:t>
            </w:r>
          </w:p>
        </w:tc>
      </w:tr>
    </w:tbl>
    <w:p w14:paraId="1680AAC7"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B2B3F3D" w14:textId="77777777" w:rsidR="009D5BB7" w:rsidRPr="0044524F" w:rsidRDefault="009D5BB7"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525CC79" w14:textId="77777777" w:rsidR="009D5BB7" w:rsidRPr="0044524F" w:rsidRDefault="009D5BB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A9323EA" w14:textId="77777777" w:rsidR="009D5BB7" w:rsidRPr="0044524F" w:rsidRDefault="009D5BB7" w:rsidP="009654CF">
      <w:pPr>
        <w:pStyle w:val="631"/>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 начале июля 1933 общая готовность автожира Камова военными оце</w:t>
      </w:r>
      <w:r w:rsidRPr="0044524F">
        <w:rPr>
          <w:rFonts w:ascii="Times New Roman" w:hAnsi="Times New Roman" w:cs="Times New Roman"/>
          <w:color w:val="000000" w:themeColor="text1"/>
          <w:sz w:val="16"/>
          <w:szCs w:val="16"/>
        </w:rPr>
        <w:softHyphen/>
        <w:t>нивалась лишь в 60%, а срок окончания работ ГУАП предлагало перенести на 1 октября, но и он затем был сорван. А-7 М-22 был закон</w:t>
      </w:r>
      <w:r w:rsidRPr="0044524F">
        <w:rPr>
          <w:rFonts w:ascii="Times New Roman" w:hAnsi="Times New Roman" w:cs="Times New Roman"/>
          <w:color w:val="000000" w:themeColor="text1"/>
          <w:sz w:val="16"/>
          <w:szCs w:val="16"/>
        </w:rPr>
        <w:softHyphen/>
        <w:t>чен постройкой и переведен на аэродром для заводских испытаний только 29 декабря 1933 года (19868).</w:t>
      </w:r>
    </w:p>
    <w:p w14:paraId="39D59CAD" w14:textId="77777777" w:rsidR="009D5BB7" w:rsidRPr="0044524F" w:rsidRDefault="009D5BB7" w:rsidP="009654CF">
      <w:pPr>
        <w:pStyle w:val="631"/>
        <w:shd w:val="clear" w:color="auto" w:fill="auto"/>
        <w:spacing w:line="240" w:lineRule="auto"/>
        <w:jc w:val="both"/>
        <w:rPr>
          <w:rFonts w:ascii="Times New Roman" w:hAnsi="Times New Roman" w:cs="Times New Roman"/>
          <w:color w:val="000000" w:themeColor="text1"/>
          <w:sz w:val="16"/>
          <w:szCs w:val="16"/>
        </w:rPr>
      </w:pPr>
    </w:p>
    <w:p w14:paraId="61244CDD"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8A59972"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3FC781E"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7 по 11 июля 1933 было проведено испытание двух облегченных самолетов ТБ3-4М17 за №№ 22243 и 22250 на определение расхода горючего и предельной дальности (6794).</w:t>
      </w:r>
    </w:p>
    <w:p w14:paraId="5798D83C"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1DAC5EA0"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НИИ ВВС:</w:t>
      </w:r>
    </w:p>
    <w:p w14:paraId="78B6D805"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Лосюков</w:t>
      </w:r>
    </w:p>
    <w:p w14:paraId="198A24FD"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Юмашев</w:t>
      </w:r>
    </w:p>
    <w:p w14:paraId="63B9CA69"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ЦАГИ:</w:t>
      </w:r>
    </w:p>
    <w:p w14:paraId="69970971"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Тайц</w:t>
      </w:r>
    </w:p>
    <w:p w14:paraId="62521216"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Громов</w:t>
      </w:r>
    </w:p>
    <w:p w14:paraId="018CAE43"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0D05F2C5"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383F2C69" w14:textId="77777777" w:rsidR="008A0184" w:rsidRPr="0044524F" w:rsidRDefault="008A018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6A978A00" w14:textId="77777777" w:rsidR="008A0184" w:rsidRPr="0044524F" w:rsidRDefault="008A018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наивыгоднейшего положения высотного корректора на разных высотах.</w:t>
      </w:r>
    </w:p>
    <w:p w14:paraId="52962007" w14:textId="77777777" w:rsidR="008A0184" w:rsidRPr="0044524F" w:rsidRDefault="008A018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расходов указанных видов горючего при полетах на предельной дальности.</w:t>
      </w:r>
    </w:p>
    <w:p w14:paraId="64579A50" w14:textId="77777777" w:rsidR="008A0184" w:rsidRPr="0044524F" w:rsidRDefault="008A018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макисмального полетного веса самолета и особенностей взлета и пилотажа при этом весе.</w:t>
      </w:r>
    </w:p>
    <w:p w14:paraId="0FC7CCE0"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F0B70BB" w14:textId="77777777" w:rsidR="008A0184" w:rsidRPr="0044524F" w:rsidRDefault="008A018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74F0C172"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533A3B02"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получены ЦАГИ от 22 завода 26 июня 1933 года</w:t>
      </w:r>
    </w:p>
    <w:p w14:paraId="7BF69AA8"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подготовлены ЗОКом ЦАГИ и переданы в ОЭЛИД ЦАГИ для испытания 7 июля 1933 года</w:t>
      </w:r>
    </w:p>
    <w:p w14:paraId="3E98248E"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начато 7 июля 1933 года</w:t>
      </w:r>
    </w:p>
    <w:p w14:paraId="6DBF296F"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закончено 11 июля 1933 года</w:t>
      </w:r>
    </w:p>
    <w:p w14:paraId="59A57CF6"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испытание 5 дней, из них самолет летал 4 дня (6794).</w:t>
      </w:r>
    </w:p>
    <w:p w14:paraId="3CB7CA1A"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D10E06"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июля 1933 года прошли повторные испытания самолета "З-1" (ТБ1; 2И4) первой опытной серии. Испытывался в полете самолет "З-1", составленный из самолетов ТБ1 N 1650, И4 N 1576 на левом крыле и И4 N 1544 на правом.</w:t>
      </w:r>
    </w:p>
    <w:p w14:paraId="7C14006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661465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Самолет пригоден к эксплуатации в частях ВВС. (3060,2).</w:t>
      </w:r>
    </w:p>
    <w:p w14:paraId="7CD545D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1CE5EE3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июля 1933 П.И.Б. отдал распоряжение "...организовать на заводе 21 КБ по подготовке производства самолета ХАИ-1, изготовления рабочих чертежей, переконструирования и переделки машины...Переработать как вариант самолета ХАИ-1 на военный". Через несколько месяцев передали чертежи и перевели группу во главе с Л.Д.Арсоном (1148,28).</w:t>
      </w:r>
    </w:p>
    <w:p w14:paraId="3BF0F0B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72B819D4"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июля 1933 года Баранов отдает распоряжение «...организовать на заводе № 21 КБ по подготовке производства самолета ХАИ-1, изготовления рабочих чертежей, переконструирования и переделки машины... Переработать как вариант самолета ХАИ-1 на военный» (24250)</w:t>
      </w:r>
    </w:p>
    <w:p w14:paraId="1BC3C218" w14:textId="77777777" w:rsidR="0024489B" w:rsidRPr="0044524F" w:rsidRDefault="0024489B" w:rsidP="009654CF">
      <w:pPr>
        <w:spacing w:after="0" w:line="240" w:lineRule="auto"/>
        <w:jc w:val="both"/>
        <w:rPr>
          <w:rFonts w:ascii="Times New Roman" w:hAnsi="Times New Roman"/>
          <w:color w:val="000000" w:themeColor="text1"/>
          <w:sz w:val="16"/>
          <w:szCs w:val="16"/>
        </w:rPr>
      </w:pPr>
    </w:p>
    <w:p w14:paraId="254FD84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июля 1933 в 12-00 из Иркутска стартовала аэроэкспедиция на север. Самолет Л-433 (по другим данным, В-33) ведет знаменитый летчик И.В.Доронин. Цель экспедиции - продолжить существующую авиалинию Иркутск - Якутск до Колымы (9870).</w:t>
      </w:r>
    </w:p>
    <w:p w14:paraId="0327F07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2E3F9C5B"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95E1438"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93A8BE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июля 1933 украинский коммунист Н.Скрыпник покончил жизнь самоубийством и прошла чистка национальных кадров на Украине (3908,340).</w:t>
      </w:r>
    </w:p>
    <w:p w14:paraId="2616C5F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52B43C90"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июля 1933 обвиненный в буржуазном национализме, застрелился министр образования Украины Н. Скрипник (4962).</w:t>
      </w:r>
    </w:p>
    <w:p w14:paraId="678438E0"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86DE0A"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июля 1933 было самоубийство украинского большевика Н. Скрыпника. Чистка среди национальных кадров на Украине (4962).</w:t>
      </w:r>
    </w:p>
    <w:p w14:paraId="0F00F85B"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34482E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7 и 13 июля 1933. Из протокола заседания Политбюро N 142, особая папка, 1933 г.</w:t>
      </w:r>
    </w:p>
    <w:p w14:paraId="665F2C4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публикации ленинских материалов в "Литературном наследстве" </w:t>
      </w:r>
    </w:p>
    <w:p w14:paraId="6C31FDB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Объявить выговор тт. Короткому и Сорину за разрешение напечатать в "Литературном наследстве" записи речей Ленина в недопустимо искаженном виде. </w:t>
      </w:r>
    </w:p>
    <w:p w14:paraId="54DEA36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Указать редакции "Литературного наследства", что она должна заниматься литературным наследством, а не наследством Маркса—Энгельса—Ленина, и считать, что т. Авербах поступил неправильно, не просмотрев перед опубликованием подготовленные его предшественниками материалы. </w:t>
      </w:r>
    </w:p>
    <w:p w14:paraId="7C307FE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Изъять из NN7-8 "Литературного наследства" все напечатанные в нем записи речей Ленина (11652).</w:t>
      </w:r>
    </w:p>
    <w:p w14:paraId="6BA7FC6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268A4DC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7 и 13 июля 1933. Из протокола заседания Политбюро N 141, особая папка, 1933 г.</w:t>
      </w:r>
    </w:p>
    <w:p w14:paraId="22D7008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трудовых поселениях ОГПУ </w:t>
      </w:r>
    </w:p>
    <w:p w14:paraId="2D3CBD3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изменение постановления ЦК от 17 апреля с. г. в соответствии с инструкцией ЦК и Совнаркома от 8 мая направить в течение 1933 г. в трудпоселки ГПУ Западной Сибири и Казахстана, кроме уже выселенных, прибывших на места и находящихся в пути — 124 000 человек, дополнительно 426 000 человек (11652).</w:t>
      </w:r>
    </w:p>
    <w:p w14:paraId="0E34F12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20153CA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7 и 13 июля 1933. Из протокола заседания Политбюро N 141, особая папка, 1933 г.</w:t>
      </w:r>
    </w:p>
    <w:p w14:paraId="69C42BA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Телеграмма т. Эйхе </w:t>
      </w:r>
    </w:p>
    <w:p w14:paraId="25CAA75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Предоставить тройке ПП ОГПУ Западно-Сибирского края под личным председательством полномочного представителя право применения высшей меры социальной защиты в отношении бандитских элементов, терроризирующих местное население и уже осевших трудпоселенцев. </w:t>
      </w:r>
    </w:p>
    <w:p w14:paraId="6A82850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Считать возможным направление в трудпоселки Александровахновского района Западной Сибири деклассированных элементов (11652).</w:t>
      </w:r>
    </w:p>
    <w:p w14:paraId="2C354D6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13E67029"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0A699A48"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050774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7 и 13 июля 1933. Из протокола заседания Политбюро N 141, особая папка, 1933 г.</w:t>
      </w:r>
    </w:p>
    <w:p w14:paraId="79FC9E5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Предложение Литвы </w:t>
      </w:r>
    </w:p>
    <w:p w14:paraId="6B52FDE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Разрешить обмен 18 белых литовцев на коммунистов, сидящих в литовских тюрьмах (11652). </w:t>
      </w:r>
    </w:p>
    <w:p w14:paraId="69E3EE8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598FB0A4" w14:textId="1AEAACA8" w:rsidR="0024489B" w:rsidRPr="0044524F" w:rsidRDefault="0024489B"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3DAFF784" w14:textId="77777777" w:rsidR="0024489B" w:rsidRPr="0044524F" w:rsidRDefault="0024489B"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22B75CCB"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июля 1933 года Из секретной записи беседы полковника Кюна, представителя имперского министерства обороны, с представителями «Даймлер-Бенц АГ», «Хеншель унд зон ГмбХ», «Машиненфабрик Аугсбург-Нюрнберг АГ» и «Рейнметалл-Борзиг АГ» 7 июля 1933 года о производстве танков // Архив Главной комиссии, Процесс Круппа, док. НИ-1476.</w:t>
      </w:r>
    </w:p>
    <w:p w14:paraId="6F6FA96A"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Вначале полковник Кюн обратил внимание на то, что эта беседа должна держаться в строгом секрете и что о планах и[мперского] министерства] о[бороны] может быть информирован только исключительно узкий круг лиц. Он рассказал [следующее].</w:t>
      </w:r>
    </w:p>
    <w:p w14:paraId="29C34743"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И[мперское] министерство] о[бороны] переходит теперь к закупкам танков. В течение нескольких лет проводятся испытания модели «Карден-Ллойд» (производство фирмы «Виккерс-Армстронг») и на основе накопленного опыта разрабатывается собственная модель совместно с фирмой «Крупп». Фирма «Крупп» построила эту модель в одном экз., и она испытана и[мперским] министерством] о[бороны]. В настоящее время фирма «Крупп» поставляет еще пять штук этой модели и 100 штук—к концу марта 1934 года. Кроме того, в апреле 1934 года должны быть выданы заказы на крупные текущие поставки, которые планируется разместить на заводах фирм «Даймлер-Бенц», «Хеншель» и МАН. Эти три фирмы должны сначала получить пробный заказ на изготовление 3—5 штук, от результатов испытания которых зависят новые заказы. Пробный заказ должен быть выполнен до 31.1.1934 года. Агрегат должен проходить под названием «сельскохозяйственный тягач» («Ла С»).</w:t>
      </w:r>
    </w:p>
    <w:p w14:paraId="4391A3A4"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Новая модель является тягачом на гусеничном ходу, но более крупной и тяжелой, чем «Карден-Ллойд». В отличие от «Карден-Ллойд», мотор у которого расположен вдоль, у «Ла С» мотор расположен поперек, чтобы </w:t>
      </w:r>
    </w:p>
    <w:p w14:paraId="453F9D4D"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иметь больше места для размещения артиллерийского снаряжения. В модели используются: мотор (с воздушным охлаждением) фирмы «Крупп», передаточный механизм завода шестереночных передач во Фридрихсхафене, </w:t>
      </w:r>
    </w:p>
    <w:p w14:paraId="34825AD4"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трансмиссии фирмы «Рейнметалл» и гусеницы фирмы «Ритшер». Позже мотор, возможно, будет заменен, </w:t>
      </w:r>
    </w:p>
    <w:p w14:paraId="07E35847"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будет найден более подходящий образец.</w:t>
      </w:r>
    </w:p>
    <w:p w14:paraId="37BE466E"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мнения в отношении оценки воздушного и водяного охлаждения расходятся. И напротив,</w:t>
      </w:r>
    </w:p>
    <w:p w14:paraId="19A0AB00"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единодушно отвергают дизельные моторы по той причине, что боевые машины в случае войны могут обеспечиваться на передней линии только бензином. Невозможно доставлять два вида топлива — бензин и газолин.</w:t>
      </w:r>
    </w:p>
    <w:p w14:paraId="43CCEBF4"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чертежи изготовит фирма «Крупп». Ориентировочная стоимость пробного заказа должна быть сообщена примерно в конце октября, а твердая цена — примерно в конце ноября.</w:t>
      </w:r>
    </w:p>
    <w:p w14:paraId="2784B806"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с. г. в фирме «Крупп» состоялось совещание, на котором, кроме представителей имперского министерства обороны, присутствовали и представители названных выше фирм. Речь шла главным образом об определении тех поставок, которые будет осуществлять «Крупп» для выполнения пробных заказов другими фирмами, чтобы сократить расходы на изготовление моделей и штампов.</w:t>
      </w:r>
    </w:p>
    <w:p w14:paraId="2994837D"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завтрашнем заседании должны быть обсуждены технические детали.</w:t>
      </w:r>
    </w:p>
    <w:p w14:paraId="41852CEC" w14:textId="77777777" w:rsidR="0024489B" w:rsidRPr="0044524F" w:rsidRDefault="002448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Главной комиссии, Процесс Круппа, док. НИ-1476 (23747).</w:t>
      </w:r>
    </w:p>
    <w:p w14:paraId="2D1943C2" w14:textId="77777777" w:rsidR="0024489B" w:rsidRPr="0044524F" w:rsidRDefault="0024489B" w:rsidP="009654CF">
      <w:pPr>
        <w:spacing w:after="0" w:line="240" w:lineRule="auto"/>
        <w:jc w:val="both"/>
        <w:rPr>
          <w:rFonts w:ascii="Times New Roman" w:hAnsi="Times New Roman"/>
          <w:color w:val="000000" w:themeColor="text1"/>
          <w:sz w:val="16"/>
          <w:szCs w:val="16"/>
        </w:rPr>
      </w:pPr>
    </w:p>
    <w:p w14:paraId="68424F89" w14:textId="78786462"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2F23833"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162D8EA"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8 июля 1933 был выполнен последний полет по испытаниям системы дозаправка в воздухе системы Гроховского, которые шли с 29 июня 1933. Было выполнено 8 полетов</w:t>
      </w:r>
    </w:p>
    <w:p w14:paraId="3828616D"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Работы начались в 1931 г. в конструкторском отделе П.И. Гроховского при НИИ ВВС под руководством Запанованного. В качестве заправщика был выбран одномоторный разведчик-биплан Р-5. Под самолётом установили съёмный топливный бак из листовой стали ёмкостью 550 литров, соединённый с основным фюзеляжным баком. За кабиной лётчика-наблюдателя разместили лебёдку с барабаном, на которую наматывался резиновый шланг длиной 34,5 м и внутренним диаметром 25 мм. Один конец шланга крепился к управляемому с места пилота вентилю на подфюзеляжном баке, на другом конце находился клапан, открывавшийся при вводе металлического наконечника шланга в заправочную горловину бомбардировщика и зарывавшийся, когда шланг извлекали наружу. К шлангу присоединили груз, чтобы он меньше болтался на ветру. Были предусмотрены также страховочные тросы для предохранения от потери шланга и провод с вилками для уравновешивания электрических потенциалов самолётов. Общий вес топливного оборудования составил 120 кг.</w:t>
      </w:r>
    </w:p>
    <w:p w14:paraId="002E52F7"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На ТБ-1 перед кабиной носового стрелка сконструировали приемную горловину, от которой изогнутые трубопроводы вели к бензобакам в левом и правом крыле. Эту достаточно сложную перекомпоновку поручили авиазаводу № 39. Завершающие работы выполнялись в Особом техническом бюро ВВС, созданном на основе конструкторского отдела Гроховского.</w:t>
      </w:r>
    </w:p>
    <w:p w14:paraId="0C318255"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Наземные испытания выявили течь баков и топливных магистралей, работы затянулись, и к лётным экспериментам приступили только в 1933 г.</w:t>
      </w:r>
    </w:p>
    <w:p w14:paraId="6261BDFC"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Летом 1933 г. в НИИ ВВС прошли государственные испытания. Сначала экипаж бомбардировщика тренировался ловить спускаемую с заправщика верёвку с грузом на конце, затем — шланг, потом учились выполнять дозаправку. ТБ-1 приближался к Р-5 на скорости 130–140 км/ч так, чтобы висящий в воздухе шланг располагался по оси самолёта на полтора-два метра выше пропеллеров. Затем пилот бомбардировщика набирал высоту, чтобы из открытой кабины переднего летнаба можно было схватить шланг. Одному человеку осуществить дозаправку было сложно, поэтому в переднюю кабину перебирался ещё один член экипажа. Он помогал удерживать шланг, пока летнаб заводил его в заправочную горловину, предварительно вставив вилку электропровода для уравнивания потенциалов. Получив сигнал, что заправка закончена и убедившись, что шланг освобождён, второй член экипажа Р-5 начинал наматывать шланг на барабан.</w:t>
      </w:r>
    </w:p>
    <w:p w14:paraId="5AC26339"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Клапан на конце шланга, предназначенный для прекращения подачи бензина после извлечения из горловины, работал ненадёжно и пару раз забрызгивал заправщиков и нос бомбардировщика топливом. Но в целом результатами экспериментов военные остались довольны:</w:t>
      </w:r>
    </w:p>
    <w:p w14:paraId="6E6567D5"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«Испытания выявили:</w:t>
      </w:r>
    </w:p>
    <w:p w14:paraId="434D4652"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а). сравнительную лёгкость переливки горючего в воздухе из самолёта Р5 в самолёт ТБ1 при натренированности лётного состава…</w:t>
      </w:r>
    </w:p>
    <w:p w14:paraId="068FA005"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б). для переливки не имеет значения:</w:t>
      </w:r>
    </w:p>
    <w:p w14:paraId="4EFA8654"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 Направление ветра…</w:t>
      </w:r>
    </w:p>
    <w:p w14:paraId="7C002C4A"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 Высота полёта, лишь бы слои атмосферы, в которых идут самолёты, не были сильно возмущены (отсутствие болтанки, затрудняющей выдерживание самолёта в равномерном прямолинейном полёте).</w:t>
      </w:r>
    </w:p>
    <w:p w14:paraId="2DB002AD"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переливку можно производить даже при небольшом дожде;</w:t>
      </w:r>
    </w:p>
    <w:p w14:paraId="546380FC"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 во время переливки, не отрываясь один от другого, самолёты могут совершать повороты на 5-10 градусов с небольшим креном» </w:t>
      </w:r>
      <w:hyperlink r:id="rId253" w:history="1">
        <w:r w:rsidRPr="0044524F">
          <w:rPr>
            <w:rFonts w:ascii="Times New Roman" w:eastAsia="Times New Roman" w:hAnsi="Times New Roman"/>
            <w:color w:val="000000" w:themeColor="text1"/>
            <w:sz w:val="16"/>
            <w:szCs w:val="16"/>
            <w:lang w:eastAsia="ru-RU"/>
          </w:rPr>
          <w:t>[56]</w:t>
        </w:r>
      </w:hyperlink>
      <w:r w:rsidRPr="0044524F">
        <w:rPr>
          <w:rFonts w:ascii="Times New Roman" w:eastAsia="Times New Roman" w:hAnsi="Times New Roman"/>
          <w:color w:val="000000" w:themeColor="text1"/>
          <w:sz w:val="16"/>
          <w:szCs w:val="16"/>
          <w:lang w:eastAsia="ru-RU"/>
        </w:rPr>
        <w:t xml:space="preserve"> (17489).</w:t>
      </w:r>
    </w:p>
    <w:p w14:paraId="08583119" w14:textId="77777777" w:rsidR="00AE0014" w:rsidRPr="0044524F" w:rsidRDefault="00AE0014" w:rsidP="009654CF">
      <w:pPr>
        <w:spacing w:after="0" w:line="240" w:lineRule="auto"/>
        <w:jc w:val="both"/>
        <w:rPr>
          <w:rFonts w:ascii="Times New Roman" w:eastAsia="Times New Roman" w:hAnsi="Times New Roman"/>
          <w:color w:val="000000" w:themeColor="text1"/>
          <w:sz w:val="16"/>
          <w:szCs w:val="16"/>
          <w:lang w:eastAsia="ru-RU"/>
        </w:rPr>
      </w:pPr>
    </w:p>
    <w:p w14:paraId="3A602EA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8 по 28 июля 1933 проходили испытания турельных авиационных пулеметов калибра 7,62 мм ШКАС-МК-1933 г. за NN 114, 116, 156 и 160. Испытуемые образцы были изготовлены отделом опытных работ Тульского оружейного завода. Проект был составлен конструкторами Шпитальным и Комарицким. В полете образцы были испытаны на самолете Р-5. Летчик - Уроничев К.А. (3053).</w:t>
      </w:r>
    </w:p>
    <w:p w14:paraId="16E97FD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16DA8BD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июля 1933 Маттерн на Веге совершил вынужденную в Прокопьевске и 14 июля опять упал недалеко от Анадыря (542,7).</w:t>
      </w:r>
    </w:p>
    <w:p w14:paraId="5934639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49DC9A0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июля 1933 г. «Савойя» С.55 стартовала в Сесто-Календе и после промежуточной посадки в Бриндизи в тот же день приводнилась в Афинах. На следующий день одолели этап Афины - Стамбул (5486,3).</w:t>
      </w:r>
    </w:p>
    <w:p w14:paraId="2F0EBF8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7C9FB41E"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июля 1933 г. летающая лодка S.55 вылетела из Сесто Календе и, после остановки в Бриндизи, в тот же день прибыла в Афины. На следующий день летчики достигли Стамбула.</w:t>
      </w:r>
    </w:p>
    <w:p w14:paraId="15CDEABF"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участвовавший в приемке в Италии авиамеханик Эренпрайс вместе с известным летчиком А.С. Демченко представили заместителю начальника Главного управления ГВФ Я.Я. Анвельту письмо с предложением перегнать один из самолетов по воздуху, осуществив перелет по маршруту Сесто Календе - Хабаровск. Помимо пропагандистской составляющей, это позволило бы сэкономить время на доставку самолета на Дальний Восток. Представители фирмы «SIAI» обязались предоставить все необходимое на пути из Сесто Календе в Одессу, используя те средства, которые изначально предназначались для погрузки и транспортировки воздушного судна по морю. Предложение было принято. Для А.С. Демченко был выбран последний самолет серии. Экипаж составляли два русских и два итальянца (21410).</w:t>
      </w:r>
    </w:p>
    <w:p w14:paraId="17B36101" w14:textId="77777777" w:rsidR="000429A1" w:rsidRPr="0044524F" w:rsidRDefault="000429A1" w:rsidP="009654CF">
      <w:pPr>
        <w:spacing w:after="0" w:line="240" w:lineRule="auto"/>
        <w:jc w:val="both"/>
        <w:rPr>
          <w:rFonts w:ascii="Times New Roman" w:hAnsi="Times New Roman"/>
          <w:color w:val="000000" w:themeColor="text1"/>
          <w:sz w:val="16"/>
          <w:szCs w:val="16"/>
        </w:rPr>
      </w:pPr>
    </w:p>
    <w:p w14:paraId="26A48355"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июля 1933 г.</w:t>
      </w:r>
    </w:p>
    <w:p w14:paraId="104F28B3"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 ЗАМЕСТИТЕЛЯ НАРОДНОГО КОМИССАРА ИНОСТРАННЫХ ДЕЛ СССР Н.Н. КРЕСТИНСКОГО ГЕНЕРАЛЬНОМУ СЕКРЕТАРЮ ЦК ВКП(б) И.В. СТАЛИНУ ОТНОСИТЕЛЬНО ПОМОЩИ АМЕРИКАНСКОМУ ЛЕТЧИКУ МАТТЕРНУ'</w:t>
      </w:r>
    </w:p>
    <w:p w14:paraId="47D9262E"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июля 1933 г.</w:t>
      </w:r>
    </w:p>
    <w:p w14:paraId="709A93AA"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Секретно</w:t>
      </w:r>
    </w:p>
    <w:p w14:paraId="751FE29B"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Срочно</w:t>
      </w:r>
    </w:p>
    <w:p w14:paraId="63454C44"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Уважаемый товарищ,</w:t>
      </w:r>
    </w:p>
    <w:p w14:paraId="748BC58F"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вчерашнего дня, когда выяснилось, что американский летчик Маттерн жив, находится в окрестностях Анадыря, но не может продолжать полета вследствие порчи мотора, в печати всего мира, и в первую голову в американской, обсуждается вопрос, как оказать помощь Маттерну. ТАССом получено сообщение, что организации, финансирующие полет Маттерна, собираются обратиться к советскому правительству с просьбой разрешить полет в Анадырь мощному американскому аэроплану, который привез бы нужный для починки аэроплана Маттерна мотор.</w:t>
      </w:r>
    </w:p>
    <w:p w14:paraId="3126FEA1"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другой стороны, Главное управление Великого северного пути сообщило нам, что 4-го июля из Владивостока в направлении Анадыря вышел принадлежащий Главному управлению пароход, имеющий собственные оперативные задания. Этот пароход сможет оказать помощь Маттерну, но он прибудет в Анадырь самое раннее 16 июля.</w:t>
      </w:r>
    </w:p>
    <w:p w14:paraId="40032DBF"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Далее О.Ю. Шмидт сообщил мне, что завтра из Хабаровска должен вылететь мощный аэроплан, принадлежащий Главному управлению Северного пути, летящий по своим плановым заданиям в направлении Анадыря и дальше.</w:t>
      </w:r>
    </w:p>
    <w:p w14:paraId="54FEC842"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аэроплан мог бы спуститься в Анадыре. Он был бы там 12 июля, т.е. уже через 4 дня. Этот аэроплан, по словам О.Ю. Шмидта, мог бы продолжить свой полет до Аляски и привезти оттуда необходимый Маттерну мотор, если американцы к этому времени мотор туда воздушным путем доставят.</w:t>
      </w:r>
    </w:p>
    <w:p w14:paraId="4D557DF1"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НКИД считает, что нам политически выгодно силами наших организаций помочь Маттерну выбраться из Анадыря и продолжить его полет. Это вызовет взрыв общественных симпатий по отношению к нам повсюду, в первую голову в Соединенных Штатах, с чем мы не можем не считаться.</w:t>
      </w:r>
    </w:p>
    <w:p w14:paraId="63CD6AF4"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 просил бы поэтому Вас санкционировать принятие Главным управлением Северного пути всех необходимых мер для спасения Маттерна. Это будет обозначать в первую голову спуск в Анадыре вылетающего из Хабаровска аэроплана и затем дальнейший полет этого аэроплана на Аляску за мотором. Если последнее предложение Вами санкционируется, то Главное управление Северного пути немедленно по телеграфу снесется с американскими воздухоплавательными организациями о посылке в Аляску мотора для Маттерна.</w:t>
      </w:r>
    </w:p>
    <w:p w14:paraId="5A8CFBC4"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надо принять сегодня же опросом.</w:t>
      </w:r>
    </w:p>
    <w:p w14:paraId="6DA361F8"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товарищеским приветом,</w:t>
      </w:r>
    </w:p>
    <w:p w14:paraId="2FF26A25"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КРЕСТИНСКИЙ</w:t>
      </w:r>
    </w:p>
    <w:p w14:paraId="01DEDB72" w14:textId="77777777" w:rsidR="000429A1" w:rsidRPr="0044524F" w:rsidRDefault="000429A1" w:rsidP="009654CF">
      <w:pPr>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rPr>
        <w:t xml:space="preserve">АВП РФ. Ф. 05. </w:t>
      </w:r>
      <w:r w:rsidRPr="0044524F">
        <w:rPr>
          <w:rFonts w:ascii="Times New Roman" w:hAnsi="Times New Roman"/>
          <w:color w:val="000000" w:themeColor="text1"/>
          <w:sz w:val="16"/>
          <w:szCs w:val="16"/>
          <w:lang w:val="en-US"/>
        </w:rPr>
        <w:t xml:space="preserve">On. 13. </w:t>
      </w:r>
      <w:r w:rsidRPr="0044524F">
        <w:rPr>
          <w:rFonts w:ascii="Times New Roman" w:hAnsi="Times New Roman"/>
          <w:color w:val="000000" w:themeColor="text1"/>
          <w:sz w:val="16"/>
          <w:szCs w:val="16"/>
        </w:rPr>
        <w:t>П</w:t>
      </w:r>
      <w:r w:rsidRPr="0044524F">
        <w:rPr>
          <w:rFonts w:ascii="Times New Roman" w:hAnsi="Times New Roman"/>
          <w:color w:val="000000" w:themeColor="text1"/>
          <w:sz w:val="16"/>
          <w:szCs w:val="16"/>
          <w:lang w:val="en-US"/>
        </w:rPr>
        <w:t xml:space="preserve">. 95. </w:t>
      </w:r>
      <w:r w:rsidRPr="0044524F">
        <w:rPr>
          <w:rFonts w:ascii="Times New Roman" w:hAnsi="Times New Roman"/>
          <w:color w:val="000000" w:themeColor="text1"/>
          <w:sz w:val="16"/>
          <w:szCs w:val="16"/>
        </w:rPr>
        <w:t>Д</w:t>
      </w:r>
      <w:r w:rsidRPr="0044524F">
        <w:rPr>
          <w:rFonts w:ascii="Times New Roman" w:hAnsi="Times New Roman"/>
          <w:color w:val="000000" w:themeColor="text1"/>
          <w:sz w:val="16"/>
          <w:szCs w:val="16"/>
          <w:lang w:val="en-US"/>
        </w:rPr>
        <w:t xml:space="preserve">. 81. </w:t>
      </w:r>
      <w:r w:rsidRPr="0044524F">
        <w:rPr>
          <w:rFonts w:ascii="Times New Roman" w:hAnsi="Times New Roman"/>
          <w:color w:val="000000" w:themeColor="text1"/>
          <w:sz w:val="16"/>
          <w:szCs w:val="16"/>
        </w:rPr>
        <w:t>Л</w:t>
      </w:r>
      <w:r w:rsidRPr="0044524F">
        <w:rPr>
          <w:rFonts w:ascii="Times New Roman" w:hAnsi="Times New Roman"/>
          <w:color w:val="000000" w:themeColor="text1"/>
          <w:sz w:val="16"/>
          <w:szCs w:val="16"/>
          <w:lang w:val="en-US"/>
        </w:rPr>
        <w:t xml:space="preserve">. 8-9. </w:t>
      </w:r>
      <w:r w:rsidRPr="0044524F">
        <w:rPr>
          <w:rFonts w:ascii="Times New Roman" w:hAnsi="Times New Roman"/>
          <w:color w:val="000000" w:themeColor="text1"/>
          <w:sz w:val="16"/>
          <w:szCs w:val="16"/>
        </w:rPr>
        <w:t>Копия</w:t>
      </w:r>
      <w:r w:rsidRPr="0044524F">
        <w:rPr>
          <w:rFonts w:ascii="Times New Roman" w:hAnsi="Times New Roman"/>
          <w:color w:val="000000" w:themeColor="text1"/>
          <w:sz w:val="16"/>
          <w:szCs w:val="16"/>
          <w:lang w:val="en-US"/>
        </w:rPr>
        <w:t>.</w:t>
      </w:r>
    </w:p>
    <w:p w14:paraId="5D955B43"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Копии записки разосланы В.М. Молотову и членам коллегии НКИД СССР. На одной из копий записки имеется пометка Н.Н. Крестинского о том, что предложение о помощи американскому летчику принято (сообщил 9 июля 1933 г. В.П. Постышев), о чем извещен заместитель начальника главного управления Северного морского пути Г.А. Ушаков (20413).</w:t>
      </w:r>
    </w:p>
    <w:p w14:paraId="45DAF1AF" w14:textId="77777777" w:rsidR="000429A1" w:rsidRPr="0044524F" w:rsidRDefault="000429A1" w:rsidP="009654CF">
      <w:pPr>
        <w:spacing w:after="0" w:line="240" w:lineRule="auto"/>
        <w:jc w:val="both"/>
        <w:rPr>
          <w:rFonts w:ascii="Times New Roman" w:hAnsi="Times New Roman"/>
          <w:color w:val="000000" w:themeColor="text1"/>
          <w:sz w:val="16"/>
          <w:szCs w:val="16"/>
        </w:rPr>
      </w:pPr>
    </w:p>
    <w:p w14:paraId="7641C413" w14:textId="77777777" w:rsidR="000429A1" w:rsidRPr="0044524F" w:rsidRDefault="000429A1"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40C06A9" w14:textId="77777777" w:rsidR="000429A1" w:rsidRPr="0044524F" w:rsidRDefault="000429A1" w:rsidP="009654CF">
      <w:pPr>
        <w:spacing w:after="0" w:line="240" w:lineRule="auto"/>
        <w:jc w:val="both"/>
        <w:rPr>
          <w:rFonts w:ascii="Times New Roman" w:hAnsi="Times New Roman"/>
          <w:iCs/>
          <w:color w:val="000000" w:themeColor="text1"/>
          <w:sz w:val="16"/>
          <w:szCs w:val="16"/>
        </w:rPr>
      </w:pPr>
    </w:p>
    <w:p w14:paraId="4B6C4CC4" w14:textId="77777777" w:rsidR="000429A1" w:rsidRPr="0044524F" w:rsidRDefault="000429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июля 1933 года на мартеновской печи №1 Магнитогорского металлургического комбината осуществлена первая плавка стали (21177).</w:t>
      </w:r>
    </w:p>
    <w:p w14:paraId="14C9CBE7" w14:textId="77777777" w:rsidR="000429A1" w:rsidRPr="0044524F" w:rsidRDefault="000429A1" w:rsidP="009654CF">
      <w:pPr>
        <w:spacing w:after="0" w:line="240" w:lineRule="auto"/>
        <w:jc w:val="both"/>
        <w:rPr>
          <w:rFonts w:ascii="Times New Roman" w:hAnsi="Times New Roman"/>
          <w:color w:val="000000" w:themeColor="text1"/>
          <w:sz w:val="16"/>
          <w:szCs w:val="16"/>
        </w:rPr>
      </w:pPr>
    </w:p>
    <w:p w14:paraId="63D6CA4D"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21BDC84"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E7870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июля 1933 Л. И. Коган написал изданное в трех тысячах экземпляров открытое «Письмо начальника строительства каналоармейцам», где призвал «вынуть и уложить в насыпи до 100 миллионов кубических метров земли. На Белморстрое таких работ было 20 миллионов кубометров. Значит здесь этой работы больше чем на Белморстрое в 5 раз. Срок данный нам для окончания всего канала хоть и достаточный, но терять из него хотя бы один день нельзя. Нельзя терять потому, что большевистские сроки устанавливаются без всяких запасов, большевистские сроки рассчитаны на ударников, а не ротозеев. Большевики делают все скоро, большевики стремятся скорей построить социализм. Москва-Волгастрой это тоже социализм. Сейчас июль, лучший летний месяц. На Белморстрое каналоармейцы достигли в июле самых высших производственных показателей. Того же самого мы обязаны добиться на Москва-Волгострое... сообщаю Вам сколько Вы должны сделать земляных работ в месяц и делать в один день... Вот читайте внимательно:»</w:t>
      </w:r>
    </w:p>
    <w:p w14:paraId="6A34C20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8-12 июля 1933 состоялась операция ОГПУ по очистке Киева от "деклассированных элементов" - крестьян, бежавших от голода из колхозов (10687).</w:t>
      </w:r>
    </w:p>
    <w:p w14:paraId="0505861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3FF66651"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AC00737"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3E1C85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г. РВС СССР принял постановление о разработке Р-5 торпедоносца. Осенью того же года началось проектирование модификации Р-5Т. Переделкой планера занималась группа конструкторов завода № 1 во главе с инженером Гребеневым. Основную роль в ней играли инженеры Шишкин и Никитин. Подвеску торпеды разрабатывали в 16-м отделе НИИ ВВС под руководством М.И. Проценко.</w:t>
      </w:r>
    </w:p>
    <w:p w14:paraId="67D0432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Такой тяжелый груз, как торпеда, можно было подвесить только под фюзеляжем. Но Р-5 имел старомодное шасси, не позволявшее разместить торпеду между стойками, поэтому его заменили новой конструкцией с двумя отдельными пирамидальными стойками. Силовой набор крыла и фюзеляжа несколько усилили.</w:t>
      </w:r>
    </w:p>
    <w:p w14:paraId="3BADA8F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Р-5Т выбрали торпеду ТАН-12 - переделанную морскую торпеду образца 1912 г. Ее расположили под фюзеляжем наклонно. Подвеска ("торпедодержатель") снабжалась замками от бомбодержателя Дер-13. Сброс осуществлялся механическим сбрасывателем, стоявшим у пилота.</w:t>
      </w:r>
    </w:p>
    <w:p w14:paraId="10386F4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самолета сконструировали простой торпедный прицел ПТН-1 ("гребенку").</w:t>
      </w:r>
    </w:p>
    <w:p w14:paraId="60123602"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торпеды с подвеской (930 кг) превышала максимально допустимые для Р-5 пределы. Для облегчения самолет сделали одноместным, закрыв проем задней кабины съемной крышкой. Курсовой пулемет ПВ-1 сохранили для подавления зенитных средств атакуемого корабля. Р-5Т без торпеды мог использоваться как дальний разведчик. При этом предусматривалось размещение в задней кабине дополнительного бензобака, позволявшего увеличить дальность до 1200 км.</w:t>
      </w:r>
    </w:p>
    <w:p w14:paraId="35AED98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ближнего разведчика Р-5Т опять становился двухместным. В задней кабине предусматривалась установка радиостанции 13-СК и фотоаппаратов Поттэ 1Б или АФА-13. При этом машина могла нести мелкие бомбы на держателях Дер-7 под крылом (11936).</w:t>
      </w:r>
    </w:p>
    <w:p w14:paraId="0FDC9C2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1D5EC11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г.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(12034).</w:t>
      </w:r>
    </w:p>
    <w:p w14:paraId="5723133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77A4AF64"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июля в 1933 году Реввоенсовет СССР принял постановление, в котором говорилось: "Поставить перед промышленностью задачу приспособить «Р-5» к высотному и низкому торпедометанию для действия у своих берегов". Осенью 1933 года началось проектирование новой модификации, названной </w:t>
      </w:r>
      <w:hyperlink r:id="rId254" w:tgtFrame="_blank" w:history="1">
        <w:r w:rsidRPr="0044524F">
          <w:rPr>
            <w:rFonts w:ascii="Times New Roman" w:hAnsi="Times New Roman"/>
            <w:color w:val="000000" w:themeColor="text1"/>
            <w:sz w:val="16"/>
            <w:szCs w:val="16"/>
          </w:rPr>
          <w:t>«Р-5Т».</w:t>
        </w:r>
      </w:hyperlink>
    </w:p>
    <w:p w14:paraId="03E9990D" w14:textId="77777777" w:rsidR="0092785F" w:rsidRPr="0044524F" w:rsidRDefault="0092785F" w:rsidP="009654CF">
      <w:pPr>
        <w:spacing w:after="0" w:line="240" w:lineRule="auto"/>
        <w:jc w:val="both"/>
        <w:rPr>
          <w:rFonts w:ascii="Times New Roman" w:hAnsi="Times New Roman"/>
          <w:color w:val="000000" w:themeColor="text1"/>
          <w:sz w:val="16"/>
          <w:szCs w:val="16"/>
        </w:rPr>
      </w:pPr>
    </w:p>
    <w:p w14:paraId="30B687DD"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июля 1933 г. Реввоенсовет СССР принял постановление, в котором говорилось: «Поставить перед промышленностью задачу приспособить Р-5 к вы</w:t>
      </w:r>
      <w:r w:rsidRPr="00142305">
        <w:rPr>
          <w:rFonts w:ascii="Times New Roman" w:hAnsi="Times New Roman"/>
          <w:color w:val="0070C0"/>
          <w:sz w:val="16"/>
          <w:szCs w:val="16"/>
        </w:rPr>
        <w:softHyphen/>
        <w:t>сотному и низкому торпедометанию для действия у сво</w:t>
      </w:r>
      <w:r w:rsidRPr="00142305">
        <w:rPr>
          <w:rFonts w:ascii="Times New Roman" w:hAnsi="Times New Roman"/>
          <w:color w:val="0070C0"/>
          <w:sz w:val="16"/>
          <w:szCs w:val="16"/>
        </w:rPr>
        <w:softHyphen/>
        <w:t>их берегов» (24990).</w:t>
      </w:r>
    </w:p>
    <w:p w14:paraId="6586FE40" w14:textId="77777777" w:rsidR="00743B33" w:rsidRPr="00142305" w:rsidRDefault="00743B33" w:rsidP="00743B33">
      <w:pPr>
        <w:spacing w:after="0" w:line="240" w:lineRule="auto"/>
        <w:jc w:val="both"/>
        <w:rPr>
          <w:rFonts w:ascii="Times New Roman" w:hAnsi="Times New Roman"/>
          <w:color w:val="0070C0"/>
          <w:sz w:val="16"/>
          <w:szCs w:val="16"/>
        </w:rPr>
      </w:pPr>
    </w:p>
    <w:p w14:paraId="06D4DCB5" w14:textId="7EE87A2A"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июля 1933 г. в постановлении Реввоенсовета СССР «О минно-торпедном вооружении ВВС РККА» отмечалось: «...на основании данных разведки, конструктивные достижения в использовании торпедометания мы имеем более значительные, чем за границей (торпедометание и постановка «Вомиз» с больших высот).</w:t>
      </w:r>
    </w:p>
    <w:p w14:paraId="2F23BE1B"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...РВС СССР постановляет: придать самый быстрый темп практическому внедрению низкого и высотного торпедо-минометания в военно-морском и воздушном флоте, для чего:</w:t>
      </w:r>
    </w:p>
    <w:p w14:paraId="0940EE0D"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I. Принять на вооружение торпеды «ВВС-15» с присвоением им наименования «ТАВ-15» и мины</w:t>
      </w:r>
    </w:p>
    <w:p w14:paraId="1AF90CD7"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«Вомиза-100» с присвоением наименования «МАВ-1» как временные образцы до введения на воору</w:t>
      </w:r>
      <w:r w:rsidRPr="00142305">
        <w:rPr>
          <w:rFonts w:ascii="Times New Roman" w:hAnsi="Times New Roman"/>
          <w:color w:val="0070C0"/>
          <w:sz w:val="16"/>
          <w:szCs w:val="16"/>
        </w:rPr>
        <w:softHyphen/>
        <w:t>жение более современных видов торпедного оружия (торпеда 53 см и «Вомиза-250»).</w:t>
      </w:r>
    </w:p>
    <w:p w14:paraId="5F6E5CB6" w14:textId="77777777" w:rsidR="00743B33" w:rsidRPr="00142305" w:rsidRDefault="00743B33" w:rsidP="00743B33">
      <w:pPr>
        <w:widowControl w:val="0"/>
        <w:tabs>
          <w:tab w:val="left" w:pos="63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 Начальнику ВВС РККА:</w:t>
      </w:r>
    </w:p>
    <w:p w14:paraId="27E78C55"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Немедленно выделить для специальной боевой подготовки по использованию минно</w:t>
      </w:r>
      <w:r w:rsidRPr="00142305">
        <w:rPr>
          <w:rFonts w:ascii="Times New Roman" w:hAnsi="Times New Roman"/>
          <w:color w:val="0070C0"/>
          <w:sz w:val="16"/>
          <w:szCs w:val="16"/>
        </w:rPr>
        <w:softHyphen/>
        <w:t>торпедного оружия следующие части: на морских силах Балтморя — 121 тяжелую эскадрилью — 12 самолетов ТБ-1а, на морских силах Дальнего Востока — 1 тяжелую эскадрилью — 12 самолетов ТБ-1, на морских силах Черного моря, как первый этап, выделить из состава 124 эскадрильи особый отряд в 4 самолета, перевооружив его самолетами ТБ-1а...</w:t>
      </w:r>
    </w:p>
    <w:p w14:paraId="78FF6707"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Поставить перед промышленностью задачу приспособить Р-5 к высотному и низкому торпедо- минометанию для действия у своих берегов...</w:t>
      </w:r>
    </w:p>
    <w:p w14:paraId="792062B0" w14:textId="77777777" w:rsidR="00743B33" w:rsidRPr="00142305" w:rsidRDefault="00743B33" w:rsidP="00743B33">
      <w:pPr>
        <w:widowControl w:val="0"/>
        <w:tabs>
          <w:tab w:val="left" w:pos="678"/>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 Отметить исключительные заслуги Остехбюро и в особенности т. Бекаури по разработке ВВС-15 и «Вомиза-100». Тов. Тухачевскому, Алкснису, Орлову совместно с т. Павлуновским, в соответствии с постановлением КО от 27 апреля 1933 г. установить и представить на утверждение председателя РВСС размеры премирования т. Бекаури и его сотрудников, принимавших непосредственное участие в разра</w:t>
      </w:r>
      <w:r w:rsidRPr="00142305">
        <w:rPr>
          <w:rFonts w:ascii="Times New Roman" w:hAnsi="Times New Roman"/>
          <w:color w:val="0070C0"/>
          <w:sz w:val="16"/>
          <w:szCs w:val="16"/>
        </w:rPr>
        <w:softHyphen/>
        <w:t>ботке ТАВ-15 и МАВ-1.» (25937).</w:t>
      </w:r>
    </w:p>
    <w:p w14:paraId="6A76F08C" w14:textId="77777777" w:rsidR="00743B33" w:rsidRPr="00142305" w:rsidRDefault="00743B33" w:rsidP="00743B33">
      <w:pPr>
        <w:spacing w:after="0" w:line="240" w:lineRule="auto"/>
        <w:jc w:val="both"/>
        <w:rPr>
          <w:rFonts w:ascii="Times New Roman" w:hAnsi="Times New Roman"/>
          <w:color w:val="0070C0"/>
          <w:sz w:val="16"/>
          <w:szCs w:val="16"/>
        </w:rPr>
      </w:pPr>
    </w:p>
    <w:p w14:paraId="33A135CE" w14:textId="77777777" w:rsidR="0092785F" w:rsidRPr="0044524F" w:rsidRDefault="0092785F" w:rsidP="009654CF">
      <w:pPr>
        <w:pStyle w:val="45"/>
        <w:shd w:val="clear" w:color="auto" w:fill="auto"/>
        <w:spacing w:before="0" w:line="240" w:lineRule="auto"/>
        <w:jc w:val="both"/>
        <w:rPr>
          <w:rFonts w:ascii="Times New Roman" w:cs="Times New Roman"/>
          <w:color w:val="000000" w:themeColor="text1"/>
          <w:sz w:val="16"/>
          <w:szCs w:val="16"/>
        </w:rPr>
      </w:pPr>
      <w:r w:rsidRPr="0044524F">
        <w:rPr>
          <w:rStyle w:val="4b"/>
          <w:rFonts w:ascii="Times New Roman" w:hAnsi="Times New Roman" w:cs="Times New Roman"/>
          <w:i w:val="0"/>
          <w:color w:val="000000" w:themeColor="text1"/>
          <w:sz w:val="16"/>
          <w:szCs w:val="16"/>
        </w:rPr>
        <w:t>9 июля 1933 г. начальник СНИИ ГВФ Ривадин рапортовал начальству:</w:t>
      </w:r>
      <w:r w:rsidRPr="0044524F">
        <w:rPr>
          <w:rFonts w:ascii="Times New Roman" w:cs="Times New Roman"/>
          <w:color w:val="000000" w:themeColor="text1"/>
          <w:sz w:val="16"/>
          <w:szCs w:val="16"/>
        </w:rPr>
        <w:t xml:space="preserve"> «Доношу, что сего числа в 6 часов утра самолёт «С-6» выведен на аэродром. Производятся подготовительные работы к пуску в полёт» (15844).</w:t>
      </w:r>
    </w:p>
    <w:p w14:paraId="4A99EE83" w14:textId="77777777" w:rsidR="0092785F" w:rsidRPr="0044524F" w:rsidRDefault="0092785F" w:rsidP="009654CF">
      <w:pPr>
        <w:pStyle w:val="45"/>
        <w:shd w:val="clear" w:color="auto" w:fill="auto"/>
        <w:spacing w:before="0" w:line="240" w:lineRule="auto"/>
        <w:jc w:val="both"/>
        <w:rPr>
          <w:rFonts w:ascii="Times New Roman" w:cs="Times New Roman"/>
          <w:color w:val="000000" w:themeColor="text1"/>
          <w:sz w:val="16"/>
          <w:szCs w:val="16"/>
        </w:rPr>
      </w:pPr>
    </w:p>
    <w:p w14:paraId="0E5FE6C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года начальник СНИИ ГВФ Ривадин писал начальнику Аэрофлота Гольцману А.З., начальнику НТУ Грозе И.Р.</w:t>
      </w:r>
    </w:p>
    <w:p w14:paraId="1025AD00"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Рапорт</w:t>
      </w:r>
    </w:p>
    <w:p w14:paraId="106A95C5"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Доношу, что сего числа в 6 часов утра самолет "С-6" выведен на аэродром.</w:t>
      </w:r>
    </w:p>
    <w:p w14:paraId="640065F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Производятся подготовительные работы к пуску в полет (7739, 179).</w:t>
      </w:r>
    </w:p>
    <w:p w14:paraId="7E54351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7F86231F"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9 июля 1933 г. начальник СНИИ ГВФ Ривадин рапортовал начальству: «Доношу, что сего числа в 6 часов утра самолёт „С-6“ выведен на аэродром. Производятся подготовительные работы к пуску в полёт» </w:t>
      </w:r>
      <w:hyperlink r:id="rId255" w:history="1">
        <w:r w:rsidRPr="0044524F">
          <w:rPr>
            <w:rFonts w:ascii="Times New Roman" w:eastAsia="Times New Roman" w:hAnsi="Times New Roman"/>
            <w:color w:val="000000" w:themeColor="text1"/>
            <w:sz w:val="16"/>
            <w:szCs w:val="16"/>
            <w:lang w:eastAsia="ru-RU"/>
          </w:rPr>
          <w:t>[114]</w:t>
        </w:r>
      </w:hyperlink>
      <w:r w:rsidRPr="0044524F">
        <w:rPr>
          <w:rFonts w:ascii="Times New Roman" w:eastAsia="Times New Roman" w:hAnsi="Times New Roman"/>
          <w:color w:val="000000" w:themeColor="text1"/>
          <w:sz w:val="16"/>
          <w:szCs w:val="16"/>
          <w:lang w:eastAsia="ru-RU"/>
        </w:rPr>
        <w:t xml:space="preserve"> .</w:t>
      </w:r>
    </w:p>
    <w:p w14:paraId="57FE660E"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«Сталь-6» был свободнонесущим монопланом очень обтекаемой формы. Силовой каркас крыла, фюзеляжа и оперения — из стальных труб. Для снижения веса лонжероны крыла в виде пучка сваренных между собой хромомолибденовых труб сужались к концам за счёт постепенного уменьшения их числа: передний лонжерон у основания имел семь труб, затем пять, затем три, и на конце — одну. Задний лонжерон имел аналогичную конструкцию, но начинался с пяти труб. Внутренние раскосы и ферменные нервюры крыла и оперения крыла были из нержавеющей стали и крепились к лонжеронам точечной электросваркой.</w:t>
      </w:r>
    </w:p>
    <w:p w14:paraId="559E026C"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Технология электросварки обычной и нержавеющей стали различна: для соединения деталей из хромомолибденовой стали нужно использовать сравнительно слабый, но продолжительный нагрев, иначе сварная точка становилась хрупкой, листовую нержавеющую сталь сваривали коротким сильным электрическим импульсом. Бартини и инженер С.М. Попов разработали специальный метод: сначала давали большой, но короткий ток, затем через реостат снижали нагрев до температуры, требуемой для сварки хромомолибденовых труб. Регулирование процесса, смены режимов были доверены автоматике </w:t>
      </w:r>
      <w:hyperlink r:id="rId256" w:history="1">
        <w:r w:rsidRPr="0044524F">
          <w:rPr>
            <w:rFonts w:ascii="Times New Roman" w:eastAsia="Times New Roman" w:hAnsi="Times New Roman"/>
            <w:color w:val="000000" w:themeColor="text1"/>
            <w:sz w:val="16"/>
            <w:szCs w:val="16"/>
            <w:lang w:eastAsia="ru-RU"/>
          </w:rPr>
          <w:t>[115]</w:t>
        </w:r>
      </w:hyperlink>
      <w:r w:rsidRPr="0044524F">
        <w:rPr>
          <w:rFonts w:ascii="Times New Roman" w:eastAsia="Times New Roman" w:hAnsi="Times New Roman"/>
          <w:color w:val="000000" w:themeColor="text1"/>
          <w:sz w:val="16"/>
          <w:szCs w:val="16"/>
          <w:lang w:eastAsia="ru-RU"/>
        </w:rPr>
        <w:t xml:space="preserve"> .</w:t>
      </w:r>
    </w:p>
    <w:p w14:paraId="29CFD32F"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Обшивку крыла выполнили из тонких листов нержавеющей стали, фюзеляжа— из фанеры, обтянутой перкалем, хвостовое оперение имело фанерную обшивку, а рулевые поверхности — полотняную. При изготовлении масляного бака применялся сплав электрон.</w:t>
      </w:r>
    </w:p>
    <w:p w14:paraId="24E585C5"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Горизонтальный стабилизатор — с изменяемым углом установки на земле для регулировки продольной балансировки самолёта. В управление элеронами было введено устройство, позволяющее также отклонять их как закрылки на угол до 30 градусов. Позднее такой тип элеронов назвали «флапероны» (от английских flap — закрылок и aileron — элерон).</w:t>
      </w:r>
    </w:p>
    <w:p w14:paraId="1449AC4A"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В.Б. Шавров пишет, что в системе управления рулями высоты имелась раздвижная качалка, длина которой могла регулироваться лётчиком, чтобы менять угол отклонения рулей в зависимости от скорости полёта </w:t>
      </w:r>
      <w:hyperlink r:id="rId257" w:history="1">
        <w:r w:rsidRPr="0044524F">
          <w:rPr>
            <w:rFonts w:ascii="Times New Roman" w:eastAsia="Times New Roman" w:hAnsi="Times New Roman"/>
            <w:color w:val="000000" w:themeColor="text1"/>
            <w:sz w:val="16"/>
            <w:szCs w:val="16"/>
            <w:lang w:eastAsia="ru-RU"/>
          </w:rPr>
          <w:t>[116]</w:t>
        </w:r>
      </w:hyperlink>
      <w:r w:rsidRPr="0044524F">
        <w:rPr>
          <w:rFonts w:ascii="Times New Roman" w:eastAsia="Times New Roman" w:hAnsi="Times New Roman"/>
          <w:color w:val="000000" w:themeColor="text1"/>
          <w:sz w:val="16"/>
          <w:szCs w:val="16"/>
          <w:lang w:eastAsia="ru-RU"/>
        </w:rPr>
        <w:t xml:space="preserve"> . Бартини действительно изобрёл такое устройство, однако не установил его на самолёт, во всяком случае в весьма подробном отчете по государственным испытаниям «Стали-6» упоминаний о нём нет.</w:t>
      </w:r>
    </w:p>
    <w:p w14:paraId="69633E90"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Двигатель водяного охлаждения мощностью 680 л. с. не имел привычного радиатора, его роль выполняла двойная металлическая обшивка крыла, соединенная электросваркой с применением пайки для герметизации. Вода, омывая цилиндры двигателя, испарялась, в виде пара попадала в пространство между слоями обшивки, охлаждаемая потоком воздуха конденсировалось в воду и с помощью помпы возвращалась обратно к двигателю. Обшивка-конденсатор занимала всю верхнюю часть крыла и часть нижней поверхности от носка до переднего лонжерона. Маслобак также находился в крыле, масло охлаждалось остывшей в крыле водой.</w:t>
      </w:r>
    </w:p>
    <w:p w14:paraId="1F64168C"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Систему поверхностного крыльевого охлаждения впервые применили на итальянском гоночном гидросамолёте Макки М.72 в 1931 г. Но «Сталь-6» строили, прежде всего, как прототип истребителя. Учитывая уязвимость поверхностных радиаторов в боевых условиях, Бартини разделил их на 30 секций, закрыв щели между ними стальными лентами, а также установил резервный 19-литровый бачок, соединенный с водяной магистралью.</w:t>
      </w:r>
    </w:p>
    <w:p w14:paraId="5DC1B27A"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Ещё одной новинкой стало применение металлического винта изменяемого шага. Правда, угол установки лопастей можно было регулировать только на земле.</w:t>
      </w:r>
    </w:p>
    <w:p w14:paraId="6AE8E64F"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«Сталь-6» был первым в СССР самолётом с убирающимся одноколёсным шасси (впервые у нас убираемое шасси сделали на пассажирском ХАИ-1 в 1932 г., но на небольшом одноместном самолёте Бартини внутреннего пространства для двух колёс не было). Колесо втягивалось с помощью тросов, наматываемых на специальный штурвал в кабине. Сначала убиралось само колесо диаметром 800 мм, оно заходило в нишу в фюзеляже между ног пилота, которая закрывалась створками. Во время подъёма колеса второй трос подтягивал подкрыльевые костыли в горизонтальное положение.</w:t>
      </w:r>
    </w:p>
    <w:p w14:paraId="03D84570"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Выпуск шасси происходил за счет собственного веса колеса и костылей с последующей доводкой их тросом до фиксации в механических замках. Для уборки шасси надо было сделать 23 полных оборота штурвала, это занимало 2,5–3 минуты. Выпуск происходил быстрее — за 1,5–2 минуты. При уборке шасси штурвал приходилось вращать с усилием до 15 кг. Об уборке и выпуске колеса и костылей сигнализировали лампочки на приборной доске.</w:t>
      </w:r>
    </w:p>
    <w:p w14:paraId="1AEC79FC"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Кабина была закрыта сдвижным фонарём, практически не выступающим за обводы фюзеляжа. Фонарь имел каркас из стальных труб и был обтянут целлоном; небьющегося стекла типа триплекс тогда ещё не было.</w:t>
      </w:r>
    </w:p>
    <w:p w14:paraId="7D107709"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Самолёт имел длину 6,9 м, размах крыла 9 м, площадь крыла 13,8 м2. Вес конструкции 928 кг (17489).</w:t>
      </w:r>
    </w:p>
    <w:p w14:paraId="7BB380D6" w14:textId="77777777" w:rsidR="0047089C" w:rsidRPr="0044524F" w:rsidRDefault="0047089C" w:rsidP="009654CF">
      <w:pPr>
        <w:spacing w:after="0" w:line="240" w:lineRule="auto"/>
        <w:jc w:val="both"/>
        <w:rPr>
          <w:rFonts w:ascii="Times New Roman" w:eastAsia="Times New Roman" w:hAnsi="Times New Roman"/>
          <w:color w:val="000000" w:themeColor="text1"/>
          <w:sz w:val="16"/>
          <w:szCs w:val="16"/>
          <w:lang w:eastAsia="ru-RU"/>
        </w:rPr>
      </w:pPr>
    </w:p>
    <w:p w14:paraId="3062999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было принято постановления РВС СССР "О минно-торпедном вооружении ВВС РККА" (12002).</w:t>
      </w:r>
    </w:p>
    <w:p w14:paraId="51AAF57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1E958EAB" w14:textId="77777777" w:rsidR="008A1994" w:rsidRPr="0044524F" w:rsidRDefault="008A19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года Реввоенсовет СССР издал постановление "О минно-торпедном вооружении Военно-Воздушных Сил РККА" и тем самым ускорил внедрение низкого и высотного торпедометания и минометания в практику боевого применения флота и авиации (19929).</w:t>
      </w:r>
    </w:p>
    <w:p w14:paraId="6A8EFBF4" w14:textId="77777777" w:rsidR="008A1994" w:rsidRPr="0044524F" w:rsidRDefault="008A1994" w:rsidP="009654CF">
      <w:pPr>
        <w:spacing w:after="0" w:line="240" w:lineRule="auto"/>
        <w:jc w:val="both"/>
        <w:rPr>
          <w:rFonts w:ascii="Times New Roman" w:hAnsi="Times New Roman"/>
          <w:color w:val="000000" w:themeColor="text1"/>
          <w:sz w:val="16"/>
          <w:szCs w:val="16"/>
        </w:rPr>
      </w:pPr>
    </w:p>
    <w:p w14:paraId="2697DE9A"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РВС СССР принял постановление "О минно-торпедном вооружении ВВС РККА", в котором требовалось "придать самый быстрый темп практическому внедрению низкого и высотного торпедо- и минометания в Военно-Морском и Воздушном флоте". Этим постановлением вводились новые образцы мин- но-торпедного вооружения, определялись рода морской авиации: разведывательная, бомбардировочная (обе на гидросамолетах, а последняя частично и на колесных самолетах), истребительная. Минно-торпедные части входили в состав бомбардировочной авиации. Этот документ как будто дал "зеленую улицу" скорейшему формированию нового рода морской авиации, но не тут-то было. Когда 4 октября начальник штаба ВВС приказал начать подготовку к формированию десяти эскадрилий (четырех на ТБ-1 и шести на ТБ-3). оказалось, что для ТБ-3 только делают два опытных моста, а самих самолетов не хватает даже тяжелобомбардировочным бригадам. Необходимого количества денег на мосты тоже нет - начальник ВВС Я.И. Алкснис урезал заказ впятеро. Тем не менее 29 декабря в округа поступает новый план - сформировать восемь эскадрилий (семь на ТБ-1 и одну - на ТБ-3). Почти все они должны были дислоцироваться на Дальнем Востоке. Две эскадрильи для Балтийского флота собирались базировать в Едрово, одну для Черноморского - в Севастополе. При этом черноморцам предложили поставить торпедные мосты на старые летающие лодки Дорнье "Валь", на которых ни мины, ни торпеды никогда и не пытались вешать (12002).</w:t>
      </w:r>
    </w:p>
    <w:p w14:paraId="2B4383E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5827F31B" w14:textId="77777777" w:rsidR="0092785F" w:rsidRPr="0044524F" w:rsidRDefault="0092785F" w:rsidP="009654CF">
      <w:pPr>
        <w:pStyle w:val="rtejustify"/>
        <w:spacing w:before="0" w:after="0"/>
        <w:rPr>
          <w:color w:val="000000" w:themeColor="text1"/>
          <w:sz w:val="16"/>
          <w:szCs w:val="16"/>
        </w:rPr>
      </w:pPr>
      <w:r w:rsidRPr="0044524F">
        <w:rPr>
          <w:rStyle w:val="af0"/>
          <w:bCs/>
          <w:i w:val="0"/>
          <w:color w:val="000000" w:themeColor="text1"/>
          <w:sz w:val="16"/>
          <w:szCs w:val="16"/>
        </w:rPr>
        <w:t>9 июля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минно-торпедном вооружении ВВС РККА». (РГВА. Ф. 4. Оп. 18. Д. 23. Л. 259</w:t>
      </w:r>
      <w:r w:rsidRPr="0044524F">
        <w:rPr>
          <w:color w:val="000000" w:themeColor="text1"/>
          <w:sz w:val="16"/>
          <w:szCs w:val="16"/>
        </w:rPr>
        <w:noBreakHyphen/>
        <w:t>262) (15461).</w:t>
      </w:r>
    </w:p>
    <w:p w14:paraId="0FA649DF" w14:textId="77777777" w:rsidR="0092785F" w:rsidRPr="0044524F" w:rsidRDefault="0092785F" w:rsidP="009654CF">
      <w:pPr>
        <w:pStyle w:val="rtejustify"/>
        <w:spacing w:before="0" w:after="0"/>
        <w:rPr>
          <w:rStyle w:val="af0"/>
          <w:bCs/>
          <w:i w:val="0"/>
          <w:color w:val="000000" w:themeColor="text1"/>
          <w:sz w:val="16"/>
          <w:szCs w:val="16"/>
        </w:rPr>
      </w:pPr>
    </w:p>
    <w:p w14:paraId="796CBB89"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г. Постановление Реввоенсовета СССР «О минно-торпедном вооружении ВВС РККА»</w:t>
      </w:r>
    </w:p>
    <w:p w14:paraId="5B637A91"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1261FA00"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Констатировать, что торпедоносная авиация достигла во флотах империалистов значительного развития (САСШ, Англия, Франция) и проверена практически на учениях и маневрах. Вырабатываются тактические приемы торпедометания с самолетов, что держится под секретом. Между тем наш военно-морской и воздушный флот до сих пор не приступил еще по-настоящему к использованию этого нового и одного из решающих видов оружия, хотя, на основании данных разведки, конструктивные достижения в использовании торпедометания мы имеем более значительные, чем за границей (торпедометание и постановка «Вомиз» с больших высот).</w:t>
      </w:r>
    </w:p>
    <w:p w14:paraId="53C08600"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В соответствии с вышеизложенным РВС СССР постановляет: придать самый быстрый темп практическому внедрению низкого и высотного торпедо-минометания в военно-морском и воздушном флоте, для чего:</w:t>
      </w:r>
    </w:p>
    <w:p w14:paraId="1BE18A17"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I. Принять на вооружение торпеды «ВВС</w:t>
      </w:r>
      <w:r w:rsidRPr="0044524F">
        <w:rPr>
          <w:color w:val="000000" w:themeColor="text1"/>
          <w:sz w:val="16"/>
          <w:szCs w:val="16"/>
        </w:rPr>
        <w:noBreakHyphen/>
        <w:t>15» с присвоением им наименования «ТАВ</w:t>
      </w:r>
      <w:r w:rsidRPr="0044524F">
        <w:rPr>
          <w:color w:val="000000" w:themeColor="text1"/>
          <w:sz w:val="16"/>
          <w:szCs w:val="16"/>
        </w:rPr>
        <w:noBreakHyphen/>
        <w:t>15» и «Вомиза</w:t>
      </w:r>
      <w:r w:rsidRPr="0044524F">
        <w:rPr>
          <w:color w:val="000000" w:themeColor="text1"/>
          <w:sz w:val="16"/>
          <w:szCs w:val="16"/>
        </w:rPr>
        <w:noBreakHyphen/>
        <w:t>100» с присвоением наименования «МАВ</w:t>
      </w:r>
      <w:r w:rsidRPr="0044524F">
        <w:rPr>
          <w:color w:val="000000" w:themeColor="text1"/>
          <w:sz w:val="16"/>
          <w:szCs w:val="16"/>
        </w:rPr>
        <w:noBreakHyphen/>
        <w:t>1» как временные образцы до введения на вооружение более современных видов торпедного оружия (торпеда 53 см и «Вомиза</w:t>
      </w:r>
      <w:r w:rsidRPr="0044524F">
        <w:rPr>
          <w:color w:val="000000" w:themeColor="text1"/>
          <w:sz w:val="16"/>
          <w:szCs w:val="16"/>
        </w:rPr>
        <w:noBreakHyphen/>
        <w:t>250»),</w:t>
      </w:r>
    </w:p>
    <w:p w14:paraId="367B50E6"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II. Начальнику ВВС РККА: 1. Немедленно выделить для специальной боевой подготовки по использованию минно-торпедного оружия следующие части: на морских силах Балтморя — 121 тяжелую эскадрилью — 12 самолетов ТБ</w:t>
      </w:r>
      <w:r w:rsidRPr="0044524F">
        <w:rPr>
          <w:color w:val="000000" w:themeColor="text1"/>
          <w:sz w:val="16"/>
          <w:szCs w:val="16"/>
        </w:rPr>
        <w:noBreakHyphen/>
        <w:t>1а, на морских силах Дальнего Востока — 1 тяжелую эскадрилью — 12 самолетов ТБ</w:t>
      </w:r>
      <w:r w:rsidRPr="0044524F">
        <w:rPr>
          <w:color w:val="000000" w:themeColor="text1"/>
          <w:sz w:val="16"/>
          <w:szCs w:val="16"/>
        </w:rPr>
        <w:noBreakHyphen/>
        <w:t>1, на морских силах Черного моря, как первый этап, выделить из состава 124 эскадрильи особый отряд в 4 самолета, перевооружив его самолетами ТБ</w:t>
      </w:r>
      <w:r w:rsidRPr="0044524F">
        <w:rPr>
          <w:color w:val="000000" w:themeColor="text1"/>
          <w:sz w:val="16"/>
          <w:szCs w:val="16"/>
        </w:rPr>
        <w:noBreakHyphen/>
        <w:t>1а. 2. Обеспечить хранение выделенного для практического использования минно-торпедного оружия на аэродромах. 3. Совместно с УВМС РККА разработать и дать на места в кратчайший срок план и методические указания по боевой подготовке минно-торпедных авиачастей и сообщить этим частям через Штаб РККА имеющиеся разведданные по этому вопросу. Боевую подготовку проводить с расчетом закончить: к 1 августа одиночную подготовку бойца по специальности в знании материальной части и аэродромной практики; к 15 августа — одиночную подготовку экипажа самолета; к осенним учебно-боевым операциям флота (сентябрь-октябрь) подготовить самолеты для действия в составе отряда. 121</w:t>
      </w:r>
      <w:r w:rsidRPr="0044524F">
        <w:rPr>
          <w:color w:val="000000" w:themeColor="text1"/>
          <w:sz w:val="16"/>
          <w:szCs w:val="16"/>
        </w:rPr>
        <w:noBreakHyphen/>
        <w:t>й тяжелой эскадрилье МСБМ, помимо задач собственной подготовки, отработать кадры для низкого торпедометания и провести войсковые испытания торпед низкого торпедометания и «Вомиза</w:t>
      </w:r>
      <w:r w:rsidRPr="0044524F">
        <w:rPr>
          <w:color w:val="000000" w:themeColor="text1"/>
          <w:sz w:val="16"/>
          <w:szCs w:val="16"/>
        </w:rPr>
        <w:noBreakHyphen/>
        <w:t>250». 4. Поставить перед промышленностью задачу приспособить Р</w:t>
      </w:r>
      <w:r w:rsidRPr="0044524F">
        <w:rPr>
          <w:color w:val="000000" w:themeColor="text1"/>
          <w:sz w:val="16"/>
          <w:szCs w:val="16"/>
        </w:rPr>
        <w:noBreakHyphen/>
        <w:t>5 к высотному и низкому торпедо-минометанию для действия у своих берегов.</w:t>
      </w:r>
    </w:p>
    <w:p w14:paraId="33DB5867"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Начальнику ВМС РККА: 1. Для укомплектования минно-торпедных авиачастей младшим начсоставом и рядовыми специалистами выделить из состава морских сил морей минимально необходимое количество специалистов для ВВС не позже 10 июля с. г. 2. Обеспечить в дальнейшем подготовку минно-торпедных специалистов в количестве, потребном для укомплектования вновь развертываемых и существующих минно-торпедных частей ВВС, в школах ВМС. 3. Учесть в плане заказов на 1934 г. потребности ВВС в торпедах и минах и в плане строительства — хранение боевых запасов минно-торпедного оружия ВВС, с последующей организацией хранения минно-торпедного запаса в системе ВВС. Согласовать с промышленностью вопрос о постановке производства 45</w:t>
      </w:r>
      <w:r w:rsidRPr="0044524F">
        <w:rPr>
          <w:color w:val="000000" w:themeColor="text1"/>
          <w:sz w:val="16"/>
          <w:szCs w:val="16"/>
        </w:rPr>
        <w:noBreakHyphen/>
        <w:t>см торпед и результаты внести в РВС СССР к 15 июля с. г. 4. Ввести высотное и низкое торпедо- и минометание, как один из важных элементов комбинированного удара, уже в текущем году как в Черном, так и в Балтийском море.</w:t>
      </w:r>
    </w:p>
    <w:p w14:paraId="00DB40E3"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Начальнику Штаба РККА: 1. В контрольных цифрах сметы НКВМ и в плане заказов на 1934 г. предусмотреть увеличение ассигнований по УВМС в связи с обеспечением потребностей УВВС¹* по минно-торпедному оружию. 2. Определить дополнительную штатную норму личного состава для минно-торпедных авиационных частей и представить на утверждение народному комиссару. 3. В целях проверки теоретических расчетов в отношении действительности поражения цели и выработки тактических методов низкого и высотного торпедо- и минометания провести в сентябре т. г. 4 опытных учения на разных театрах. Начальнику Штаба РККА совместно с начальниками ВВС и ВМС дать указания об организации учений, руководство которыми возлагается на тт. Тухачевского, Орлова, Егорова и Алксниса (по одному учению).</w:t>
      </w:r>
    </w:p>
    <w:p w14:paraId="7654F34B"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Начальнику Остехбюро²*: Продолжать конструкторскую и исследовательскую работу над новыми образцами минно-торпедного оружия для ВВС и представить на войсковые испытания: а) торпеду 53</w:t>
      </w:r>
      <w:r w:rsidRPr="0044524F">
        <w:rPr>
          <w:color w:val="000000" w:themeColor="text1"/>
          <w:sz w:val="16"/>
          <w:szCs w:val="16"/>
        </w:rPr>
        <w:noBreakHyphen/>
        <w:t>дюймовую образца 1927 г. как для высотного, так и для низкого торпедометания не позднее 31 декабря 1933 г.; б) торпеду РУТ не позднее 1 декабря 1933 г.; в) торпеду 45</w:t>
      </w:r>
      <w:r w:rsidRPr="0044524F">
        <w:rPr>
          <w:color w:val="000000" w:themeColor="text1"/>
          <w:sz w:val="16"/>
          <w:szCs w:val="16"/>
        </w:rPr>
        <w:noBreakHyphen/>
        <w:t>дюймовую образца 1912 г. не позднее 1 декабря 1933 г.; г) «Вомиза</w:t>
      </w:r>
      <w:r w:rsidRPr="0044524F">
        <w:rPr>
          <w:color w:val="000000" w:themeColor="text1"/>
          <w:sz w:val="16"/>
          <w:szCs w:val="16"/>
        </w:rPr>
        <w:noBreakHyphen/>
        <w:t>250» не позднее 20 июля 1933 г.; д) «Вомиза</w:t>
      </w:r>
      <w:r w:rsidRPr="0044524F">
        <w:rPr>
          <w:color w:val="000000" w:themeColor="text1"/>
          <w:sz w:val="16"/>
          <w:szCs w:val="16"/>
        </w:rPr>
        <w:noBreakHyphen/>
        <w:t>250» с бреющего полета не позднее 1 ноября 1933 г.</w:t>
      </w:r>
    </w:p>
    <w:p w14:paraId="3406723E"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III. Отметить исключительные заслуги Остехбюро и в особенности т. Бекаури по разработке ВВС</w:t>
      </w:r>
      <w:r w:rsidRPr="0044524F">
        <w:rPr>
          <w:color w:val="000000" w:themeColor="text1"/>
          <w:sz w:val="16"/>
          <w:szCs w:val="16"/>
        </w:rPr>
        <w:noBreakHyphen/>
        <w:t>15 и «Вомиза</w:t>
      </w:r>
      <w:r w:rsidRPr="0044524F">
        <w:rPr>
          <w:color w:val="000000" w:themeColor="text1"/>
          <w:sz w:val="16"/>
          <w:szCs w:val="16"/>
        </w:rPr>
        <w:noBreakHyphen/>
        <w:t>100». Тов. Тухачевскому, Алкснису, Орлову совместное т. Павлуновским, в соответствии с постановлением КО от 27 апреля 1933 г. установить и представить на утверждение председателя РВСС размеры премирования т. Бекаури и его сотрудников, принимавших непосредственное участие в разработке ТАВ</w:t>
      </w:r>
      <w:r w:rsidRPr="0044524F">
        <w:rPr>
          <w:color w:val="000000" w:themeColor="text1"/>
          <w:sz w:val="16"/>
          <w:szCs w:val="16"/>
        </w:rPr>
        <w:noBreakHyphen/>
        <w:t>15 и МАВ</w:t>
      </w:r>
      <w:r w:rsidRPr="0044524F">
        <w:rPr>
          <w:color w:val="000000" w:themeColor="text1"/>
          <w:sz w:val="16"/>
          <w:szCs w:val="16"/>
        </w:rPr>
        <w:noBreakHyphen/>
        <w:t>1. Объявить благодарность и наградить ценными подарками инженеров НИИ ВВС и ВВС БМ — тт. Шошмина, Проценко, Тронзе и Вейса за проявленные темпы, настойчивость и содействие в проведении всех этапов испытаний торпед и мин.</w:t>
      </w:r>
    </w:p>
    <w:p w14:paraId="76598C69"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IV. Войти в правительство с докладом об ускорении постройки торпедного завода с пристрелочной станцией в Махачкале (к 1 июля 1934 г.) и реконструкции завода «Двигатель» (к 1 мая 1934 г.) с учетом производства 45</w:t>
      </w:r>
      <w:r w:rsidRPr="0044524F">
        <w:rPr>
          <w:color w:val="000000" w:themeColor="text1"/>
          <w:sz w:val="16"/>
          <w:szCs w:val="16"/>
        </w:rPr>
        <w:noBreakHyphen/>
        <w:t>см торпед и об отпуске 2 млн. 500 тыс. руб. для постройки 10 специальных катеров для ВВС.</w:t>
      </w:r>
    </w:p>
    <w:p w14:paraId="646C9AD1" w14:textId="77777777" w:rsidR="0092785F" w:rsidRPr="0044524F" w:rsidRDefault="0092785F" w:rsidP="009654CF">
      <w:pPr>
        <w:pStyle w:val="ae"/>
        <w:spacing w:before="0" w:after="0"/>
        <w:jc w:val="both"/>
        <w:rPr>
          <w:color w:val="000000" w:themeColor="text1"/>
          <w:sz w:val="16"/>
          <w:szCs w:val="16"/>
        </w:rPr>
      </w:pPr>
      <w:r w:rsidRPr="0044524F">
        <w:rPr>
          <w:rStyle w:val="af0"/>
          <w:i w:val="0"/>
          <w:color w:val="000000" w:themeColor="text1"/>
          <w:sz w:val="16"/>
          <w:szCs w:val="16"/>
        </w:rPr>
        <w:t>Председатель РВС СССР Ворошилов</w:t>
      </w:r>
    </w:p>
    <w:p w14:paraId="357C3BBD" w14:textId="77777777" w:rsidR="0092785F" w:rsidRPr="0044524F" w:rsidRDefault="0092785F" w:rsidP="009654CF">
      <w:pPr>
        <w:pStyle w:val="ae"/>
        <w:spacing w:before="0" w:after="0"/>
        <w:jc w:val="both"/>
        <w:rPr>
          <w:color w:val="000000" w:themeColor="text1"/>
          <w:sz w:val="16"/>
          <w:szCs w:val="16"/>
        </w:rPr>
      </w:pPr>
      <w:r w:rsidRPr="0044524F">
        <w:rPr>
          <w:rStyle w:val="af0"/>
          <w:i w:val="0"/>
          <w:color w:val="000000" w:themeColor="text1"/>
          <w:sz w:val="16"/>
          <w:szCs w:val="16"/>
        </w:rPr>
        <w:t>Секретарь РВС СССР</w:t>
      </w:r>
      <w:r w:rsidRPr="0044524F">
        <w:rPr>
          <w:color w:val="000000" w:themeColor="text1"/>
          <w:sz w:val="16"/>
          <w:szCs w:val="16"/>
        </w:rPr>
        <w:t>³*</w:t>
      </w:r>
    </w:p>
    <w:p w14:paraId="7A0C8624" w14:textId="77777777" w:rsidR="0092785F" w:rsidRPr="0044524F" w:rsidRDefault="0092785F"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4D831407"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Управление военно-воздушных сил (УВВС)</w:t>
      </w:r>
      <w:r w:rsidRPr="0044524F">
        <w:rPr>
          <w:color w:val="000000" w:themeColor="text1"/>
          <w:sz w:val="16"/>
          <w:szCs w:val="16"/>
        </w:rPr>
        <w:t xml:space="preserve"> СССР было создано приказом РВС СССР № 446/96 от 28 марта 1924 г. на базе Главвоздухфлота (с января 1925 г. — Управление ВВС РККА) и подчинялось РВС СССР. На него возлагались задачи по учебной, строевой и боевой подготовке ВВС, снабжения их специальным имуществом. По положению, объявленному приказом РВС СССР № 200/40 от 21 октября 1929 г., функции управления значительно расширились. На него возлагались: руководство организацией и развитием, комплектованием и мобилизацией, боевой и технической подготовкой ВВС, обучением и воспитанием личного состава, устройством и службой снабжения частей авиационным имуществом, развитием систем вооружения. Начальник ВВС, возглавлявший управление, подчинялся непосредственно наркому по военным и морским делам. Ему подчинялись все строевые части, учреждения и заведения ВВС в специальном и техническом отношениях. По положению о Наркомате обороны СССР от 22 ноября 1934 г. управление получило наименование: Управление воздушных сил РККА. На него, как на центральный орган НКО, возлагались: разработка планов развития ВВС и системы вооружения, материально-техническое обеспечение воздушных сил, руководство их боевой подготовкой, подготовка личного состава. В соответствии с приказом НКО № 003 от 10 января 1936 г. должность начальника Управления воздушных сил была переименована в должность начальника Военно-воздушных сил (с января 1937 г. на правах заместителя наркома обороны по ВВС), при нем состояли помощник по политической части и штаб, как орган оперативного руководства, входивший в состав Управления ВВС. По положению, на управление возлагались: руководство строительством, боевой подготовкой и комплектованием летно-технического состава, материально-техническим снабжением и вооружением ВВС РККА. Начальник ВВС нес полную ответственность за боевую, техническую, строевую подготовку, за мобилизационную готовность и специальную подготовку, боевое применение авиачастей и соединений, снабжение войсковой авиации, за подготовку территории страны для действий ВВС.</w:t>
      </w:r>
    </w:p>
    <w:p w14:paraId="38A4419C"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²* </w:t>
      </w:r>
      <w:r w:rsidRPr="0044524F">
        <w:rPr>
          <w:rStyle w:val="af0"/>
          <w:bCs/>
          <w:i w:val="0"/>
          <w:color w:val="000000" w:themeColor="text1"/>
          <w:sz w:val="16"/>
          <w:szCs w:val="16"/>
        </w:rPr>
        <w:t>Особое техническое бюро по военным изобретениям специального назначения (Остехбюро)</w:t>
      </w:r>
      <w:r w:rsidRPr="0044524F">
        <w:rPr>
          <w:color w:val="000000" w:themeColor="text1"/>
          <w:sz w:val="16"/>
          <w:szCs w:val="16"/>
        </w:rPr>
        <w:t xml:space="preserve"> было создано постановлением СТО СССР от 18 июля 1921 г. в Петрограде. Руководителем и организатором Остехбюро был В. И. Бекаури. Согласно постановлению СНК СССР от 3 июня 1930 г. Остехбюро было передано в ведение Наркомата по военным и морским делам СССР. Приказом Реввоенсовета СССР от 28 августа 1930 г. бюро объявлялось научно-экспериментально-</w:t>
      </w:r>
      <w:r w:rsidRPr="0044524F">
        <w:rPr>
          <w:color w:val="000000" w:themeColor="text1"/>
          <w:sz w:val="16"/>
          <w:szCs w:val="16"/>
        </w:rPr>
        <w:lastRenderedPageBreak/>
        <w:t>изобретательским учреждением и подчинялось непосредственно наркому по военным и морским делам. Остехбюро занималось созданием новой военной техники и вооружения для РККА и представляло собой крупную научно-исследовательскую и проектно-конструкторскую организацию со специализированными отделами, лабораториями и конструкторскими бюро, с производственной и экспериментальной базами, мастерскими, заводами и др. С 1932 г. в Москве развернулось строительство экспериментального завода, а также оборудовались экспериментальные базы в городах Мытищи и Кубинка. В дальнейшем Остехбюро перешло в ведение Наркомата обороны СССР. 26 марта 1937 г. постановлением СТО СССР № 63сс Остехбюро было передано в систему Наркомата оборонной промышленности. 20 июля 1937 г. приказом НКОП СССР оно было переименовано в Остехуправление, в составе которого были созданы научно-исследовательские институты. На базе московского отделения Остехбюро был создан научно-исследовательский институт № 20 (НИИ</w:t>
      </w:r>
      <w:r w:rsidRPr="0044524F">
        <w:rPr>
          <w:color w:val="000000" w:themeColor="text1"/>
          <w:sz w:val="16"/>
          <w:szCs w:val="16"/>
        </w:rPr>
        <w:noBreakHyphen/>
        <w:t>20) с филиалом в Ленинграде (на базе Ленинградского отделения Остехбюро). Был также создан НИИ</w:t>
      </w:r>
      <w:r w:rsidRPr="0044524F">
        <w:rPr>
          <w:color w:val="000000" w:themeColor="text1"/>
          <w:sz w:val="16"/>
          <w:szCs w:val="16"/>
        </w:rPr>
        <w:noBreakHyphen/>
        <w:t>22 авиационного приборостроения, НИИ</w:t>
      </w:r>
      <w:r w:rsidRPr="0044524F">
        <w:rPr>
          <w:color w:val="000000" w:themeColor="text1"/>
          <w:sz w:val="16"/>
          <w:szCs w:val="16"/>
        </w:rPr>
        <w:noBreakHyphen/>
        <w:t>26. В состав Остехуправления входили: Ленинградский экспериментальный завод № 239 им. К. Е. Ворошилова, Ленинградский завод «Красный изобретатель», Ленинградская экспериментальная база с опытными судами, Онежская экспериментальная база и станция на Копейском озере, экспериментальный завод в Москве, аэродром в Подлипках, экспериментальная морская база под Севастополем. В Московском отделении функционировали лаборатории: телефугасов, сухопутной телемеханики, инженерной телемеханики, селекции, шифровальной аппаратуры, импульсной радиосвязи, самолетной автоматики и вооружения, радиолаборатория. В дальнейшем лаборатории были объединены в три отдела: радиолиний, сухопутной телемеханики и телемеханических устройств. Научно-исследовательские и опытно-конструкторские работы проводились по созданию нового минно-торпедного оружия, трально-параванного вооружения и средств радио-телемеханического управления для Военно-морского флота; вооружения самолетов ВВС; специальной аппаратуры для войск связи и инженерных войск. После разделения Наркомата обороны на ряд промышленных наркоматов Остехуправление было передано Наркомату авиапромышленности СССР. Постановлением правительства от 31 мая 1939 г. Остехуправление было упразднено. (ГАРФ. Ф. Р</w:t>
      </w:r>
      <w:r w:rsidRPr="0044524F">
        <w:rPr>
          <w:color w:val="000000" w:themeColor="text1"/>
          <w:sz w:val="16"/>
          <w:szCs w:val="16"/>
        </w:rPr>
        <w:noBreakHyphen/>
        <w:t>8418. Оп. 28. Д. 6. Л. 150</w:t>
      </w:r>
      <w:r w:rsidRPr="0044524F">
        <w:rPr>
          <w:color w:val="000000" w:themeColor="text1"/>
          <w:sz w:val="16"/>
          <w:szCs w:val="16"/>
        </w:rPr>
        <w:noBreakHyphen/>
        <w:t>152).</w:t>
      </w:r>
    </w:p>
    <w:p w14:paraId="1075DB30" w14:textId="77777777" w:rsidR="0092785F" w:rsidRPr="0044524F" w:rsidRDefault="0092785F" w:rsidP="009654CF">
      <w:pPr>
        <w:pStyle w:val="rtejustify"/>
        <w:spacing w:before="0" w:after="0"/>
        <w:rPr>
          <w:color w:val="000000" w:themeColor="text1"/>
          <w:sz w:val="16"/>
          <w:szCs w:val="16"/>
        </w:rPr>
      </w:pPr>
      <w:r w:rsidRPr="0044524F">
        <w:rPr>
          <w:color w:val="000000" w:themeColor="text1"/>
          <w:sz w:val="16"/>
          <w:szCs w:val="16"/>
        </w:rPr>
        <w:t>³* Подпись неразборчива.</w:t>
      </w:r>
    </w:p>
    <w:p w14:paraId="146667ED" w14:textId="77777777" w:rsidR="0092785F" w:rsidRPr="0044524F" w:rsidRDefault="0092785F" w:rsidP="009654CF">
      <w:pPr>
        <w:pStyle w:val="ae"/>
        <w:spacing w:before="0" w:after="0"/>
        <w:jc w:val="both"/>
        <w:rPr>
          <w:color w:val="000000" w:themeColor="text1"/>
          <w:sz w:val="16"/>
          <w:szCs w:val="16"/>
        </w:rPr>
      </w:pPr>
      <w:r w:rsidRPr="0044524F">
        <w:rPr>
          <w:color w:val="000000" w:themeColor="text1"/>
          <w:sz w:val="16"/>
          <w:szCs w:val="16"/>
        </w:rPr>
        <w:t>РГВА. Ф. 4. Оп. 18. Д. 23. Л. 259-262. Подлинник (15272).</w:t>
      </w:r>
    </w:p>
    <w:p w14:paraId="37ADBE5F" w14:textId="77777777" w:rsidR="0092785F" w:rsidRPr="0044524F" w:rsidRDefault="0092785F" w:rsidP="009654CF">
      <w:pPr>
        <w:autoSpaceDE w:val="0"/>
        <w:autoSpaceDN w:val="0"/>
        <w:adjustRightInd w:val="0"/>
        <w:spacing w:after="0" w:line="240" w:lineRule="auto"/>
        <w:jc w:val="both"/>
        <w:rPr>
          <w:rFonts w:ascii="Times New Roman" w:hAnsi="Times New Roman"/>
          <w:color w:val="000000" w:themeColor="text1"/>
          <w:sz w:val="16"/>
          <w:szCs w:val="16"/>
        </w:rPr>
      </w:pPr>
    </w:p>
    <w:p w14:paraId="085E3121" w14:textId="77777777" w:rsidR="00BD7636" w:rsidRPr="0044524F" w:rsidRDefault="00BD7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было принято постановление РВС СССР «О минно-торпедном вооружении ВВС РККА» (23464).</w:t>
      </w:r>
    </w:p>
    <w:p w14:paraId="208F6308" w14:textId="77777777" w:rsidR="00BD7636" w:rsidRPr="0044524F" w:rsidRDefault="00BD7636" w:rsidP="009654CF">
      <w:pPr>
        <w:spacing w:after="0" w:line="240" w:lineRule="auto"/>
        <w:jc w:val="both"/>
        <w:rPr>
          <w:rFonts w:ascii="Times New Roman" w:hAnsi="Times New Roman"/>
          <w:color w:val="000000" w:themeColor="text1"/>
          <w:sz w:val="16"/>
          <w:szCs w:val="16"/>
        </w:rPr>
      </w:pPr>
    </w:p>
    <w:p w14:paraId="37D6EB8B" w14:textId="77777777" w:rsidR="00BD7636" w:rsidRPr="0044524F" w:rsidRDefault="00BD7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была принята на вооружение система высотного торпедометания с торпедой TAB-15 для самолетов ТБ-1 (23464).</w:t>
      </w:r>
    </w:p>
    <w:p w14:paraId="4B1711D5" w14:textId="77777777" w:rsidR="00BD7636" w:rsidRPr="0044524F" w:rsidRDefault="00BD7636" w:rsidP="009654CF">
      <w:pPr>
        <w:spacing w:after="0" w:line="240" w:lineRule="auto"/>
        <w:jc w:val="both"/>
        <w:rPr>
          <w:rFonts w:ascii="Times New Roman" w:hAnsi="Times New Roman"/>
          <w:color w:val="000000" w:themeColor="text1"/>
          <w:sz w:val="16"/>
          <w:szCs w:val="16"/>
        </w:rPr>
      </w:pPr>
    </w:p>
    <w:p w14:paraId="1F6D231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была принята на вооружение система высотного торпедометания с торпедой ТАВ-15 для самолетов ТБ-1 (12002).</w:t>
      </w:r>
    </w:p>
    <w:p w14:paraId="38E82EB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3E557BB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на вооружение приняли новый вариант мины. Парашютная коробка стала короче; ее длина уменьшилась в полтора раза (с 1450 до 950 мм). Теперь коробку не надо было отдельно крепить к самолету, она консольно висела на самой мине. Часовой механизм, задававший интервал между раскрытием третьего и четвертого парашютов, заменили на оттарированную пружину, т.н. "рвушку". Ликвидировали как лишний страховочный трос, крепившийся параллельно главному амортизатору парашютной системы. Время горения дистанционных трубок теперь можно было задавать в полете прибором ПУТ-1. У нас гордились новым оружием. "в заграничной печати и в имеемых у нас материалах нет сведений о работе над высоким метанием мин. Это дает нам право предполагать, что мы владеем оружием, неизвестным за границей", - писали специалисты НИИ ВВС в 1933 г. (12002)</w:t>
      </w:r>
    </w:p>
    <w:p w14:paraId="70774B9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2B9C616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С.П.К. подготовил письмо, позволяющее судить о роли ЛенГИРД в организации работ по ракетной технике в системе ОХА (Там же, № 230, л. 33) (10676).</w:t>
      </w:r>
    </w:p>
    <w:p w14:paraId="2950D1F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1C945ACF"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26C7BC3"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6D4A309"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 1933 был издан приказ ГУЛАГа за № 76 «О предоставлении заключенным выходных дней»:</w:t>
      </w:r>
    </w:p>
    <w:p w14:paraId="767F56C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неблагоприятное санитарно-бытовое состояние лагерей, связанное в значительной мере с понизившейся категорийностью заключенных по трудоспособности и неудовлетворительным составом пополнений, а отчасти, с ухудшимся бытовым положением заключенных (условия размещения и питания), рядом лагерей не принято необходимых мер к предоставлению заключенным достаточного отдыха.</w:t>
      </w:r>
    </w:p>
    <w:p w14:paraId="0E30FE37"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этом отношении наиболее нетерпимым является производство работ в выходные дни под видом субботников, ударников, штурмов и т. п. Такие добавочные работы изматывают людей, вместе с тем, в конечном счете, вредны и для производства, понижая производительность труда.</w:t>
      </w:r>
    </w:p>
    <w:p w14:paraId="0895497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Приказываю:</w:t>
      </w:r>
    </w:p>
    <w:p w14:paraId="622F362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повсеместно в лагерях соблюдать семидневную прерывную неделю, допуская на некоторых работах не иначе, как с санкции начальников управлений лагерей, непрерывную неделю, но с обязательным суточным отдыхом для каждого заключенного;</w:t>
      </w:r>
    </w:p>
    <w:p w14:paraId="483CBE7F"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регламентировать по каждому виду работ длину рабочего дня, преследуя за незаконное его увеличение;</w:t>
      </w:r>
    </w:p>
    <w:p w14:paraId="5D64E98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ликвидировать излишнее хождение заключенных во время обеденного перерыва, введя повсеместно подвоз горячей пищи на место работы;</w:t>
      </w:r>
    </w:p>
    <w:p w14:paraId="036090C8"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всемерно сократить время сборов на работу и разводы, предоставив больше времени для сна рабочих за счет лучшей организации раздачи инструмента, поверок и т. д. и возложения большей ответственности за организацию этого дела на строевой адмсостав и технических руководителей;</w:t>
      </w:r>
    </w:p>
    <w:p w14:paraId="2A9EF1D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ликвидировать очереди при раздаче пищи;</w:t>
      </w:r>
    </w:p>
    <w:p w14:paraId="2EB1A7BE"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слабосильным, на которых возложены пониженные нормы выработки, обеспечить более продолжительный отдых» (7560).</w:t>
      </w:r>
    </w:p>
    <w:p w14:paraId="707CF28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0471CC7D"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CBE92FB"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6196A2B" w14:textId="77777777" w:rsidR="00CE35D9" w:rsidRPr="0044524F" w:rsidRDefault="00CE35D9" w:rsidP="009654CF">
      <w:pPr>
        <w:pStyle w:val="ae"/>
        <w:shd w:val="clear" w:color="auto" w:fill="FFFFFF"/>
        <w:spacing w:before="0" w:after="0"/>
        <w:jc w:val="both"/>
        <w:rPr>
          <w:color w:val="000000" w:themeColor="text1"/>
          <w:sz w:val="16"/>
          <w:szCs w:val="16"/>
        </w:rPr>
      </w:pPr>
      <w:r w:rsidRPr="0044524F">
        <w:rPr>
          <w:color w:val="000000" w:themeColor="text1"/>
          <w:sz w:val="16"/>
          <w:szCs w:val="16"/>
        </w:rPr>
        <w:t>10 июля 1933 года докладная записка по проекту самолета ЦКБ-6 была направлена в Главное Управление авиационной промышленности:</w:t>
      </w:r>
    </w:p>
    <w:p w14:paraId="280ADC4C"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 по эскизному проекту самолета ЦКБ-6</w:t>
      </w:r>
    </w:p>
    <w:p w14:paraId="43B21FEF"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Самолет ЦКБ-6 проектируется как самолет местных сообщений, предназначенный для пассажирского сообщения от станций больших центральных линий до местных центров.</w:t>
      </w:r>
    </w:p>
    <w:p w14:paraId="237FE2E0"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Вместе с тем, данный самолет может работать и на больших центральных линиях. Как средняя длина полета принималось расстояние около 600-650 клм, но в то же время в самолете предусмотрены бензиновые баки с емкостью, дающей возможность удвоить это расстояние.</w:t>
      </w:r>
    </w:p>
    <w:p w14:paraId="7C2F770D"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основными заданиями ЦКБ-6 проектируется под четыре пассажирских места, под пилота и, кроме того, дается еще одно приставное сиденье для шестого человека, расположенное рядом с пилотом. Для возможного багажа пассажиров в центроплане устроен специальный багажник, открывающийся в кабину пассажиров.</w:t>
      </w:r>
    </w:p>
    <w:p w14:paraId="43F71918"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Выбирая схему самолета ЦКБ-6, мы стремились создать современную машину в смысле аэродинамики и схему, каковая в дальнейшем может совершенствоваться.</w:t>
      </w:r>
    </w:p>
    <w:p w14:paraId="798A92CB"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Естественно, что такой схемой могла быть только схема моноплана с низкорасположенным крылом, дающая минимальную интерференцию и допускающая уборку шасси в крыле. Такая схема в настоящее время становится стандартной для современных скоростных пассажирских самолетов и дает наилучшие аэродинамические данные сравнительно с другими схемами: бипланом, полуторопланом, монопланом с верхним крылом и т. д.</w:t>
      </w:r>
    </w:p>
    <w:p w14:paraId="542E7739"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Фюзеляжу приданы хорошо обтекаемые формы, обеспечивающие минимальное лобовое сопротивление.</w:t>
      </w:r>
    </w:p>
    <w:p w14:paraId="15A09AC1"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Особое внимание обращено на оформление мест стыка частей самолета, как-то: крыла с фюзеляжем, хвостового оперения с фюзеляжем, фонаря с фюзеляжем и т. д. , где приняты меры к уменьшению интерферентности.</w:t>
      </w:r>
    </w:p>
    <w:p w14:paraId="4D5D97CF"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затемнении хвостового оперения и о высоте постановки такового относительно крыла будет окончательно решен после продувки модели в аэродинамической трубе, для чего в программу продувок нами будут включены специальные пункты. На мотор ставится капот типа НАКА, хорошо зарекомендовавший себя на скоростных самолетах.</w:t>
      </w:r>
    </w:p>
    <w:p w14:paraId="1A95B4CC"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Как самолет местных сообщений самолет ЦКБ-6, естественно, должен стать самолетом дешевым и простым в эксплуатации. С этой точки зрения ЦКБ-6 делается целиком из дерева, а именно: фюзеляж деревянный - монокок; крылья деревянные с фанерной и частично с полотняной обшивкой, оперение смешанное с полотняной обшивкой.</w:t>
      </w:r>
    </w:p>
    <w:p w14:paraId="7C45AC5B"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 полагаем, что такой выбор материала вместе с дешевизной его обеспечивает простоту и дешевизну производства, т. е. в конечном счете дешевый самолет.</w:t>
      </w:r>
    </w:p>
    <w:p w14:paraId="17F20C62"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Удобство эксплуатации нами обеспечивается учетом всего ранее накопленного опыта, а затем строгим наблюдением за легкой доступностью для осмотра и ремонта всех частей самолета.</w:t>
      </w:r>
    </w:p>
    <w:p w14:paraId="3BD1BFAD"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 точки зрения архитектурной мы старались придать всем линиям самолета наиболее цельное оформление, стремясь чтобы самолет объемно представлял собой одно целое, чтобы у самолета не было диссонирующих частей.</w:t>
      </w:r>
    </w:p>
    <w:p w14:paraId="78B332E6"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Кабина пассажиров выбрана такого размера, каковой допускает комфортабельное размещение пассажиров в течении 4-5 часов непрерывного полета.</w:t>
      </w:r>
    </w:p>
    <w:p w14:paraId="0DB4A6B5"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удобства входа и выхода из кабины, особенно в случае аварии, или при необходимости выбрасывания экипажа и пассажиров на парашютах нами в кабине предусмотрены две двери с разных сторон фюзеляжа, передняя - для пилота и двух передних пассажиров, задняя - для двух задних пассажиров.</w:t>
      </w:r>
    </w:p>
    <w:p w14:paraId="666C18B0"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Подобное расположение гарантирует удобный вход и выход их кабины.</w:t>
      </w:r>
    </w:p>
    <w:p w14:paraId="5BFBF4D9"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Самым темным вопросом в осуществлении самолета ЦКБ-6 является мотор. Предназначенный на самолет ЦКБ-6 мотор МГ1-М49, строящийся в настоящее время на заводе №29, имеет с нашей точки зрения существенные недочеты, о коих мы ведем переговоры с заводом №29, как-то: трудность крепления кольца моторамы из-за крепления генератора; расположения всасывающего патрубка внизу мотора; расположения проводов к свечам от магнето; вопрос о запуске мотора и прочее.</w:t>
      </w:r>
    </w:p>
    <w:p w14:paraId="6BED0BA9"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неясна пока его мощность и данные этого мотора. Мы полагаем, что в ближайшие два месяца все эти вопросы будут выявлены и разрешены с заводом №29 и вопрос о моторе для самолета ЦКБ-6 станет определенным.</w:t>
      </w:r>
    </w:p>
    <w:p w14:paraId="7FE542A2"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ЦКБ Сер. Ильюшин</w:t>
      </w:r>
    </w:p>
    <w:p w14:paraId="193A44F4"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бригады 2 Н. Поликарпов</w:t>
      </w:r>
    </w:p>
    <w:p w14:paraId="6B74011B"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Лавры самолета местных воздушных линий достались АИР-6, которых было выпущено 468 машин - огромное количество по тем временам для самолетов гражданской авиации.</w:t>
      </w:r>
    </w:p>
    <w:p w14:paraId="5C5B590D" w14:textId="77777777" w:rsidR="00CE35D9" w:rsidRPr="0044524F" w:rsidRDefault="00CE35D9" w:rsidP="009654CF">
      <w:pPr>
        <w:pStyle w:val="rteleft"/>
        <w:shd w:val="clear" w:color="auto" w:fill="FFFFFF"/>
        <w:spacing w:before="0" w:after="0"/>
        <w:jc w:val="both"/>
        <w:rPr>
          <w:color w:val="000000" w:themeColor="text1"/>
          <w:sz w:val="16"/>
          <w:szCs w:val="16"/>
        </w:rPr>
      </w:pPr>
      <w:r w:rsidRPr="0044524F">
        <w:rPr>
          <w:color w:val="000000" w:themeColor="text1"/>
          <w:sz w:val="16"/>
          <w:szCs w:val="16"/>
        </w:rPr>
        <w:t>Самолеты с пассажировместимостью 5-6 человек так и остались маловостребованными и строились в весьма незначительных количествах - аналогичные машины А. С. Яковлева АИР-11 и АИР-16 также не были запущены в серийное производство (12707).</w:t>
      </w:r>
    </w:p>
    <w:p w14:paraId="37742575" w14:textId="77777777" w:rsidR="00CE35D9" w:rsidRPr="0044524F" w:rsidRDefault="00CE35D9" w:rsidP="009654CF">
      <w:pPr>
        <w:pStyle w:val="rteleft"/>
        <w:shd w:val="clear" w:color="auto" w:fill="FFFFFF"/>
        <w:spacing w:before="0" w:after="0"/>
        <w:jc w:val="both"/>
        <w:rPr>
          <w:color w:val="000000" w:themeColor="text1"/>
          <w:sz w:val="16"/>
          <w:szCs w:val="16"/>
        </w:rPr>
      </w:pPr>
    </w:p>
    <w:p w14:paraId="7DCDDC42"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 1933 года докладная записка по проекту самолета ЦКБ-6 была направлена в Главное Управление авиационной промышленности:</w:t>
      </w:r>
    </w:p>
    <w:p w14:paraId="5D87B940"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 по эскизному проекту самолета ЦКБ-6</w:t>
      </w:r>
    </w:p>
    <w:p w14:paraId="3ADAAE08"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Самолет ЦКБ-6 проектируется как самолет местных сообщений, предназначенный для пассажирского сообщения от станций больших центральных линий до местных центров.</w:t>
      </w:r>
    </w:p>
    <w:p w14:paraId="72534451"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Вместе с тем, данный самолет может работать и на больших центральных линиях. Как средняя длина полета принималось расстояние около 600-650 клм, но в то же время в самолете предусмотрены бензиновые баки с емкостью, дающей возможность удвоить это расстояние.</w:t>
      </w:r>
    </w:p>
    <w:p w14:paraId="7F70C857"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основными заданиями ЦКБ-6 проектируется под четыре пассажирских места, под пилота и, кроме того, дается еще одно приставное сиденье для шестого человека, расположенное рядом с пилотом. Для возможного багажа пассажиров в центроплане устроен специальный багажник, открывающийся в кабину пассажиров.</w:t>
      </w:r>
    </w:p>
    <w:p w14:paraId="24C2A79F"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Выбирая схему самолета ЦКБ-6, мы стремились создать современную машину в смысле аэродинамики и схему, каковая в дальнейшем может совершенствоваться.</w:t>
      </w:r>
    </w:p>
    <w:p w14:paraId="5AA53588"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Естественно, что такой схемой могла быть только схема моноплана с низкорасположенным крылом, дающая минимальную интерференцию и допускающая уборку шасси в крыле. Такая схема в настоящее время становится стандартной для современных скоростных пассажирских самолетов и дает наилучшие аэродинамические данные сравнительно с другими схемами: бипланом, полуторопланом, монопланом с верхним крылом и т. д.</w:t>
      </w:r>
    </w:p>
    <w:p w14:paraId="0F039A25"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Фюзеляжу приданы хорошо обтекаемые формы, обеспечивающие минимальное лобовое сопротивление.</w:t>
      </w:r>
    </w:p>
    <w:p w14:paraId="183D3AF6"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Особое внимание обращено на оформление мест стыка частей самолета, как-то: крыла с фюзеляжем, хвостового оперения с фюзеляжем, фонаря с фюзеляжем и т. д., где приняты меры к уменьшению интерферентности.</w:t>
      </w:r>
    </w:p>
    <w:p w14:paraId="000BA7B8"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затемнении хвостового оперения и о высоте постановки такового относительно крыла будет окончательно решен после продувки модели в аэродинамической трубе, для чего в программу продувок нами будут включены специальные пункты. На мотор ставится капот типа НАКА, хорошо зарекомендовавший себя на скоростных самолетах.</w:t>
      </w:r>
    </w:p>
    <w:p w14:paraId="5A2DE1BC"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Как самолет местных сообщений самолет ЦКБ-6, естественно, должен стать самолетом дешевым и простым в эксплуатации. С этой точки зрения ЦКБ-6 делается целиком из дерева, а именно: фюзеляж деревянный - монокок; крылья деревянные с фанерной и частично с полотняной обшивкой, оперение смешанное с полотняной обшивкой.</w:t>
      </w:r>
    </w:p>
    <w:p w14:paraId="2D39C35D"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 полагаем, что такой выбор материала вместе с дешевизной его обеспечивает простоту и дешевизну производства, т. е. в конечном счете дешевый самолет.</w:t>
      </w:r>
    </w:p>
    <w:p w14:paraId="1C0894A3"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Удобство эксплуатации нами обеспечивается учетом всего ранее накопленного опыта, а затем строгим наблюдением за легкой доступностью для осмотра и ремонта всех частей самолета.</w:t>
      </w:r>
    </w:p>
    <w:p w14:paraId="103B007E"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 точки зрения архитектурной мы старались придать всем линиям самолета наиболее цельное оформление, стремясь чтобы самолет объемно представлял собой одно целое, чтобы у самолета не было диссонирующих частей.</w:t>
      </w:r>
    </w:p>
    <w:p w14:paraId="428E9BFE"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Кабина пассажиров выбрана такого размера, каковой допускает комфортабельное размещение пассажиров в течении 4-5 часов непрерывного полета.</w:t>
      </w:r>
    </w:p>
    <w:p w14:paraId="74033E48"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удобства входа и выхода из кабины, особенно в случае аварии, или при необходимости выбрасывания экипажа и пассажиров на парашютах нами в кабине предусмотрены две двери с разных сторон фюзеляжа, передняя - для пилота и двух передних пассажиров, задняя - для двух задних пассажиров.</w:t>
      </w:r>
    </w:p>
    <w:p w14:paraId="3B793649"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Подобное расположение гарантирует удобный вход и выход их кабины.</w:t>
      </w:r>
    </w:p>
    <w:p w14:paraId="3424582D"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Самым темным вопросом в осуществлении самолета ЦКБ-6 является мотор. Предназначенный на самолет ЦКБ-6 мотор МГ1-М49, строящийся в настоящее время на заводе №29, имеет с нашей точки зрения существенные недочеты, о коих мы ведем переговоры с заводом №29, как-то: трудность крепления кольца моторамы из-за крепления генератора; расположения всасывающего патрубка внизу мотора; расположения проводов к свечам от магнето; вопрос о запуске мотора и прочее.</w:t>
      </w:r>
    </w:p>
    <w:p w14:paraId="71577F07"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неясна пока его мощность и данные этого мотора. Мы полагаем, что в ближайшие два месяца все эти вопросы будут выявлены и разрешены с заводом №29 и вопрос о моторе для самолета ЦКБ-6 станет определенным.</w:t>
      </w:r>
    </w:p>
    <w:p w14:paraId="44B110BA"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ЦКБ Сер. Ильюшин</w:t>
      </w:r>
    </w:p>
    <w:p w14:paraId="57DB79AC"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бригады 2 Н. Поликарпов (15535).</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5661"/>
        <w:gridCol w:w="5661"/>
      </w:tblGrid>
      <w:tr w:rsidR="004E10C1" w:rsidRPr="0044524F" w14:paraId="09C22813" w14:textId="77777777" w:rsidTr="00910933">
        <w:trPr>
          <w:tblCellSpacing w:w="0" w:type="dxa"/>
        </w:trPr>
        <w:tc>
          <w:tcPr>
            <w:tcW w:w="250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19D7ADFA"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Модификация</w:t>
            </w:r>
          </w:p>
        </w:tc>
        <w:tc>
          <w:tcPr>
            <w:tcW w:w="250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023A1848"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ЦКБ-6</w:t>
            </w:r>
          </w:p>
        </w:tc>
      </w:tr>
      <w:tr w:rsidR="004E10C1" w:rsidRPr="0044524F" w14:paraId="3BE23F6D"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88810EE"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6FE7BDB"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13,20</w:t>
            </w:r>
          </w:p>
        </w:tc>
      </w:tr>
      <w:tr w:rsidR="004E10C1" w:rsidRPr="0044524F" w14:paraId="7EF9E6AB"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1A7FB48"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45FEC52"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8,54</w:t>
            </w:r>
          </w:p>
        </w:tc>
      </w:tr>
      <w:tr w:rsidR="004E10C1" w:rsidRPr="0044524F" w14:paraId="1B7CD4CF"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4132901"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E18E101"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w:t>
            </w:r>
          </w:p>
        </w:tc>
      </w:tr>
      <w:tr w:rsidR="004E10C1" w:rsidRPr="0044524F" w14:paraId="20BD1145"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EFCBCFA"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пустого самолета, кг</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0EA8A00"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1050</w:t>
            </w:r>
          </w:p>
        </w:tc>
      </w:tr>
      <w:tr w:rsidR="004E10C1" w:rsidRPr="0044524F" w14:paraId="5B375069" w14:textId="77777777" w:rsidTr="00910933">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04C53CB"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Силовая установка</w:t>
            </w:r>
          </w:p>
        </w:tc>
      </w:tr>
      <w:tr w:rsidR="004E10C1" w:rsidRPr="0044524F" w14:paraId="1AA3BE5E"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414B8CA"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двигателя</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A0205C2"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ПД МГ-49</w:t>
            </w:r>
          </w:p>
        </w:tc>
      </w:tr>
      <w:tr w:rsidR="004E10C1" w:rsidRPr="0044524F" w14:paraId="4B369905"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6CADC4A"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F71C8F0"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r>
      <w:tr w:rsidR="004E10C1" w:rsidRPr="0044524F" w14:paraId="4E66AB19"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8993C25"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общая мощность, л.с.</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9A51D6C"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59434C25" w14:textId="77777777" w:rsidTr="00910933">
        <w:trPr>
          <w:tblCellSpacing w:w="0" w:type="dxa"/>
        </w:trPr>
        <w:tc>
          <w:tcPr>
            <w:tcW w:w="5000" w:type="pct"/>
            <w:gridSpan w:val="2"/>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3BEC974"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км/ч</w:t>
            </w:r>
          </w:p>
        </w:tc>
      </w:tr>
      <w:tr w:rsidR="004E10C1" w:rsidRPr="0044524F" w14:paraId="5D8D46B7"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5CCFB97"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3DC82A9"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w:t>
            </w:r>
          </w:p>
        </w:tc>
      </w:tr>
      <w:tr w:rsidR="004E10C1" w:rsidRPr="0044524F" w14:paraId="71AB27C5"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FDEB299"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земли</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D76626F"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w:t>
            </w:r>
          </w:p>
        </w:tc>
      </w:tr>
      <w:tr w:rsidR="004E10C1" w:rsidRPr="0044524F" w14:paraId="5810CDB9"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E219CB0"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Крейсерская скорость, км/ч</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A84E9F8"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w:t>
            </w:r>
          </w:p>
        </w:tc>
      </w:tr>
      <w:tr w:rsidR="004E10C1" w:rsidRPr="0044524F" w14:paraId="3362E79C"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7B10B26"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Практическая дальность, км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E057B94"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16C03321"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45C1579"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м</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0BB0BFF1"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4300</w:t>
            </w:r>
          </w:p>
        </w:tc>
      </w:tr>
      <w:tr w:rsidR="004E10C1" w:rsidRPr="0044524F" w14:paraId="7EC4F54D"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67643C4"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чел</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2129AAE"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658AAAF2" w14:textId="77777777" w:rsidTr="00910933">
        <w:trPr>
          <w:tblCellSpacing w:w="0" w:type="dxa"/>
        </w:trPr>
        <w:tc>
          <w:tcPr>
            <w:tcW w:w="250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50380FC"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Полезная нагрузка</w:t>
            </w:r>
          </w:p>
        </w:tc>
        <w:tc>
          <w:tcPr>
            <w:tcW w:w="250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27820AF"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пассажиров</w:t>
            </w:r>
          </w:p>
        </w:tc>
      </w:tr>
    </w:tbl>
    <w:p w14:paraId="13CCE9CC" w14:textId="77777777" w:rsidR="0092785F" w:rsidRPr="0044524F" w:rsidRDefault="009278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(15535).</w:t>
      </w:r>
    </w:p>
    <w:p w14:paraId="3731EF75" w14:textId="77777777" w:rsidR="0092785F" w:rsidRPr="0044524F" w:rsidRDefault="0092785F" w:rsidP="009654CF">
      <w:pPr>
        <w:spacing w:after="0" w:line="240" w:lineRule="auto"/>
        <w:jc w:val="both"/>
        <w:rPr>
          <w:rFonts w:ascii="Times New Roman" w:hAnsi="Times New Roman"/>
          <w:color w:val="000000" w:themeColor="text1"/>
          <w:sz w:val="16"/>
          <w:szCs w:val="16"/>
        </w:rPr>
      </w:pPr>
    </w:p>
    <w:p w14:paraId="76B1850F"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июля 1933 года докладная записка по проекту самолета ЦКБ-6 была направлена в Главное Управление авиационной промышленности:</w:t>
      </w:r>
    </w:p>
    <w:p w14:paraId="134A9141"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Докладная записка по эскизному проекту самолета ЦКБ-6</w:t>
      </w:r>
    </w:p>
    <w:p w14:paraId="2EB32762"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Самолет ЦКБ-6 проектируется как самолет местных сообщений, предназначенный для пассажирского сообщения от станций больших центральных линий до местных центров.</w:t>
      </w:r>
    </w:p>
    <w:p w14:paraId="29FA99FE"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Вместе с тем, данный самолет может работать и на больших центральных линиях. Как средняя длина полета принималось расстояние около 600-650 клм, но в то же время в самолете предусмотрены бензиновые баки с емкостью, дающей возможность удвоить это расстояние.</w:t>
      </w:r>
    </w:p>
    <w:p w14:paraId="0DF27261"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соответствии с основными заданиями ЦКБ-6 проектируется под четыре пассажирских места, под пилота и, кроме того, дается еще одно приставное сиденье для шестого человека, расположенное рядом с пилотом. Для возможного багажа пассажиров в центроплане устроен специальный багажник, открывающийся в кабину пассажиров.</w:t>
      </w:r>
    </w:p>
    <w:p w14:paraId="291AA332"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Выбирая схему самолета ЦКБ-6, мы стремились создать современную машину в смысле аэродинамики и схему, каковая в дальнейшем может совершенствоваться.</w:t>
      </w:r>
    </w:p>
    <w:p w14:paraId="7DF3723A"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Естественно, что такой схемой могла быть только схема моноплана с низкорасположенным крылом, дающая минимальную интерференцию и допускающая уборку шасси в крыле. Такая схема в настоящее время становится стандартной для современных скоростных пассажирских самолетов и дает наилучшие аэродинамические данные сравнительно с другими схемами: бипланом, полуторопланом, монопланом с верхним крылом и т. д.</w:t>
      </w:r>
    </w:p>
    <w:p w14:paraId="7F721CB1"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Фюзеляжу приданы хорошо обтекаемые формы, обеспечивающие минимальное лобовое сопротивление.</w:t>
      </w:r>
    </w:p>
    <w:p w14:paraId="57C3BBCB"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Особое внимание обращено на оформление мест стыка частей самолета, как-то: крыла с фюзеляжем, хвостового оперения с фюзеляжем, фонаря с фюзеляжем и т. д. , где приняты меры к уменьшению интерферентности.</w:t>
      </w:r>
    </w:p>
    <w:p w14:paraId="0B084094"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Вопрос о затемнении хвостового оперения и о высоте постановки такового относительно крыла будет окончательно решен после продувки модели в аэродинамической трубе, для чего в программу продувок нами будут включены специальные пункты. На мотор ставится капот типа НАКА, хорошо зарекомендовавший себя на скоростных самолетах.</w:t>
      </w:r>
    </w:p>
    <w:p w14:paraId="56A21B79"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Как самолет местных сообщений самолет ЦКБ-6, естественно, должен стать самолетом дешевым и простым в эксплуатации. С этой точки зрения ЦКБ-6 делается целиком из дерева, а именно: фюзеляж деревянный — монокок; крылья деревянные с фанерной и частично с полотняной обшивкой, оперение смешанное с полотняной обшивкой.</w:t>
      </w:r>
    </w:p>
    <w:p w14:paraId="2404C328"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Мы полагаем, что такой выбор материала вместе с дешевизной его обеспечивает простоту и дешевизну производства, т. е. в конечном счете дешевый самолет.</w:t>
      </w:r>
    </w:p>
    <w:p w14:paraId="65BF92F8"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Удобство эксплуатации нами обеспечивается учетом всего ранее накопленного опыта, а затем строгим наблюдением за легкой доступностью для осмотра и ремонта всех частей самолета.</w:t>
      </w:r>
    </w:p>
    <w:p w14:paraId="01763234"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С точки зрения архитектурной мы старались придать всем линиям самолета наиболее цельное оформление, стремясь чтобы самолет объемно представлял собой одно целое, чтобы у самолета не было диссонирующих частей.</w:t>
      </w:r>
    </w:p>
    <w:p w14:paraId="2E709CE7"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Кабина пассажиров выбрана такого размера, каковой допускает комфортабельное размещение пассажиров в течении 4-5 часов непрерывного полета.</w:t>
      </w:r>
    </w:p>
    <w:p w14:paraId="3140239C"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удобства входа и выхода из кабины, особенно в случае аварии, или при необходимости выбрасывания экипажа и пассажиров на парашютах нами в кабине предусмотрены две двери с разных сторон фюзеляжа, передняя — для пилота и двух передних пассажиров, задняя — для двух задних пассажиров.</w:t>
      </w:r>
    </w:p>
    <w:p w14:paraId="04A2E6EA"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Подобное расположение гарантирует удобный вход и выход их кабины.</w:t>
      </w:r>
    </w:p>
    <w:p w14:paraId="7881428F"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Самым темным вопросом в осуществлении самолета ЦКБ-6 является мотор. Предназначенный на самолет ЦКБ-6 мотор МГ1-М49, строящийся в настоящее время на заводе №29, имеет с нашей точки зрения существенные недочеты, о коих мы ведем переговоры с заводом №29, как-то: трудность крепления кольца моторамы из-за крепления генератора; расположения всасывающего патрубка внизу мотора; расположения проводов к свечам от магнето; вопрос о запуске мотора и прочее.</w:t>
      </w:r>
    </w:p>
    <w:p w14:paraId="11E35C34"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неясна пока его мощность и данные этого мотора. Мы полагаем, что в ближайшие два месяца все эти вопросы будут выявлены и разрешены с заводом №29 и вопрос о моторе для самолета ЦКБ-6 станет определенным.</w:t>
      </w:r>
    </w:p>
    <w:p w14:paraId="5A54F681"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 ЦКБ Сер. Ильюшин</w:t>
      </w:r>
    </w:p>
    <w:p w14:paraId="088194E0"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Начальник бригады 2 Н. Поликарпов (25424).</w:t>
      </w:r>
    </w:p>
    <w:p w14:paraId="6E38F8F7" w14:textId="77777777" w:rsidR="00743B33" w:rsidRPr="00142305" w:rsidRDefault="00743B33" w:rsidP="00743B33">
      <w:pPr>
        <w:spacing w:after="0" w:line="240" w:lineRule="auto"/>
        <w:jc w:val="both"/>
        <w:rPr>
          <w:rFonts w:ascii="Times New Roman" w:hAnsi="Times New Roman"/>
          <w:color w:val="0070C0"/>
          <w:sz w:val="16"/>
          <w:szCs w:val="16"/>
        </w:rPr>
      </w:pPr>
    </w:p>
    <w:p w14:paraId="7EA4F312"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июля 1933 г., согласно специальным решениям совещания, в передаваемых ЦАГИ заводу № 22 чертежах АНТ-14 должны были быть предусмотрены крепления агрегатов вооружения военного варианта этой машины (25604).</w:t>
      </w:r>
    </w:p>
    <w:p w14:paraId="190E044F" w14:textId="77777777" w:rsidR="00743B33" w:rsidRPr="00142305" w:rsidRDefault="00743B33" w:rsidP="00743B33">
      <w:pPr>
        <w:spacing w:after="0" w:line="240" w:lineRule="auto"/>
        <w:jc w:val="both"/>
        <w:rPr>
          <w:rFonts w:ascii="Times New Roman" w:hAnsi="Times New Roman"/>
          <w:color w:val="0070C0"/>
          <w:sz w:val="16"/>
          <w:szCs w:val="16"/>
        </w:rPr>
      </w:pPr>
    </w:p>
    <w:p w14:paraId="11BC25C3"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 1933 года Начальник НИИ ВВС Зильберт утвердил протокол Тактико-технического совещания НИИ ВВС (Журнал № 3), состоявшегося в конце июня 1933 (6788).</w:t>
      </w:r>
    </w:p>
    <w:p w14:paraId="7A015D8A"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разбиравшихся вопросов</w:t>
      </w:r>
    </w:p>
    <w:p w14:paraId="216E5DB6" w14:textId="77777777" w:rsidR="008A0184" w:rsidRPr="0044524F" w:rsidRDefault="008A018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Рассмотрение тактико-технических требований на самолет «МАИ». Докладчик Гребенев.</w:t>
      </w:r>
    </w:p>
    <w:p w14:paraId="220DDC38" w14:textId="77777777" w:rsidR="008A0184" w:rsidRPr="0044524F" w:rsidRDefault="008A018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Рассмотрение тактико-технических требований на самолет ДАР (Дальний Арктический разведчик). Докладчик Ганулич (6788).</w:t>
      </w:r>
    </w:p>
    <w:p w14:paraId="08C626AA" w14:textId="77777777" w:rsidR="008A0184" w:rsidRPr="0044524F" w:rsidRDefault="008A0184"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C604D3"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 1933 в Севастополе сел первый гидроплан S.55X с ASSO 750 закупленный ГВФ. При перелете, выполненном экипажем А.С.Демченко на этапа Стамбул-Одесса были обстреляны нашими пулеметчиками. В Севастополе машина прошла контрольные испытания, проводимые СНИИ ГВФ и Демченко намеренно входил в грозу. Машины предназначались для ДВ. Вообще были планы закупить и военный вариант в 30 экз., а равно 144 торпеда и 1920 бомб по 250 кг (1834,16).</w:t>
      </w:r>
    </w:p>
    <w:p w14:paraId="2BB3EDE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30BB0CF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 1933 самолет вылетел в Одессу. Там и случился первый «прокол». Родная земля встретила летчиков пулеметными очередями. Не получивший соответствующего предупреждения погранотряд открыл огонь по незнакомому самолету странных очертаний. Но пулеметчики стреляли плохо и ни одной пробоины потом не нашли. Лодка благополучно села в бухте. Затем экипаж получил порцию бюрократической неразберихи, нарушившей так четко соблюдавшийся график перелета. Далее предстояло лететь в Севастополь. Но без бензина не полетишь. За бензином сначала полетели в лиман (где горючего не оказалось), затем опять вернулись в бухту, где и прождали его четверо суток. И лишь тогда смогли добраться до Севастополя. Экипаж остался в целом доволен поведением самолета на воде и в воздухе, что и было отмечено в отчете командира экипажа Филипповича: «Килеватые лодки нашего гидросамолета показали свое преимущество при посадке на волну. Общее поведение аппарата в воздухе - хорошее: легкая управляемость и устойчивость, хорошая скорость при наличии запаса мощности моторов. Что же касается рулежки на воде, то при наличии двух килеватых лодок, достаточно глубоко сидящих в воде, подтвердилась наблюдаемая и раньше неважная маневренность аппарата на воде.». В Севастополе предстояло задержаться. Во-первых, хотелось получше испытать самолет. Во-вторых, возникли новые проблемы с бомбовым вооружением. Инженер Ефимов из Управления ВВС (УВВС), осматривавший в Севастополе первую прибывшую из Италии лодку после сборки, установил, что наши бомбодержатели на ушках, поставленных фирмой, смонтировать невозможно - они рассчитаны на балки итальянского образца. Поэтому хотели задержать последнюю машину на две-три недели для снятия эскизов - как приспособить к «Савойе» советские бомбодержатели и как вести внутренюю проводку от бомбосбрасывателя. С-55 (так обозначали самолеты в наших документах и такая надпись красовалась на носу каждой лодки) успешно прошел в Севастополе контрольные испытания, проводившиеся под эгидой НИИ ГВФ. Демченко даже намеренно вошел в грозу между Севастополем и Евпаторией, проверяя устойчивость машины в турбулентных потоках (5486,3).</w:t>
      </w:r>
    </w:p>
    <w:p w14:paraId="12EE1DBB"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53F73DEA" w14:textId="77777777" w:rsidR="00D067C1" w:rsidRPr="0044524F" w:rsidRDefault="00D067C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 в 1933 году заканчивая этап перелета Стамбул-Одесса, "Савойя S.55 " попалась на глаза зенитчикам Украинского военного округа, не получившим соответствующего предупреждения. На счастье, экипажа, ПВО стреляла плохо. Самолет благополучно сел, а затем продолжил свой путь в Севастополь (14948).</w:t>
      </w:r>
    </w:p>
    <w:p w14:paraId="4F0F0F93" w14:textId="77777777" w:rsidR="00D067C1" w:rsidRPr="0044524F" w:rsidRDefault="00D067C1" w:rsidP="009654CF">
      <w:pPr>
        <w:spacing w:after="0" w:line="240" w:lineRule="auto"/>
        <w:jc w:val="both"/>
        <w:rPr>
          <w:rFonts w:ascii="Times New Roman" w:hAnsi="Times New Roman"/>
          <w:color w:val="000000" w:themeColor="text1"/>
          <w:sz w:val="16"/>
          <w:szCs w:val="16"/>
        </w:rPr>
      </w:pPr>
    </w:p>
    <w:p w14:paraId="1B06E761" w14:textId="77777777" w:rsidR="006479D8" w:rsidRPr="0044524F" w:rsidRDefault="006479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 1933 самолет S.55 вылетел из Стамбула в Одессу. Однако советские пограничники не получили своевременного предупреждения и открыли огонь по неизвестному самолету. Однако, к счастью, самолет не получил повреждений и спокойно приводнился в бухте. После выяснения бюрократических накладок и дозаправки самолет лишь через 4 дня смог отправиться в Севастополь. В целом экипаж отметил хорошую управляемость S.55 на воде и воздухе, что отмечается в докладной записке И.Я. Филипповича (РГВА. Ф. 29. Оп. 76. Д. 1221. Переписка с итальянскими торговыми фирмами о закупках самолетов СИАИ и моторов АССО. Л. 23.). В Севастополе экипаж несколько задержался, поскольку требовалось пройти контрольные испытания НИИ ГВФ и снять эскизы для установки советских бомбодержателей (21410).</w:t>
      </w:r>
    </w:p>
    <w:p w14:paraId="72E729CF" w14:textId="77777777" w:rsidR="006479D8" w:rsidRPr="0044524F" w:rsidRDefault="006479D8" w:rsidP="009654CF">
      <w:pPr>
        <w:spacing w:after="0" w:line="240" w:lineRule="auto"/>
        <w:jc w:val="both"/>
        <w:rPr>
          <w:rFonts w:ascii="Times New Roman" w:hAnsi="Times New Roman"/>
          <w:color w:val="000000" w:themeColor="text1"/>
          <w:sz w:val="16"/>
          <w:szCs w:val="16"/>
        </w:rPr>
      </w:pPr>
    </w:p>
    <w:p w14:paraId="0FD564E1"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10 июля 1933 г. катер АНТ-3 Первенец нес службу на Черном море, а затем по железной дороге был отправлен на Каспий, где уже во время войны его разоружили и перевели в разряд рейдовых плавсредств. Но свое дело он сделал (3898).</w:t>
      </w:r>
    </w:p>
    <w:p w14:paraId="088BC37D"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74D74B47" w14:textId="77777777" w:rsidR="006909F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26FDDD4" w14:textId="77777777" w:rsidR="006909F7" w:rsidRPr="0044524F" w:rsidRDefault="006909F7" w:rsidP="009654CF">
      <w:pPr>
        <w:spacing w:after="0" w:line="240" w:lineRule="auto"/>
        <w:jc w:val="both"/>
        <w:rPr>
          <w:rFonts w:ascii="Times New Roman" w:hAnsi="Times New Roman"/>
          <w:iCs/>
          <w:color w:val="000000" w:themeColor="text1"/>
          <w:sz w:val="16"/>
          <w:szCs w:val="16"/>
        </w:rPr>
      </w:pPr>
    </w:p>
    <w:p w14:paraId="07F0966E"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10 по 13 июля и с 23 по 26 июля 1933 года испытывалась установка спа</w:t>
      </w:r>
      <w:r w:rsidRPr="00142305">
        <w:rPr>
          <w:rFonts w:ascii="Times New Roman" w:hAnsi="Times New Roman"/>
          <w:color w:val="0070C0"/>
          <w:sz w:val="16"/>
          <w:szCs w:val="16"/>
        </w:rPr>
        <w:softHyphen/>
        <w:t>ренного 7,62-мм пулемета Дегтярева ДА-2, предложенная заводом № 8. В заключение говорилось:</w:t>
      </w:r>
    </w:p>
    <w:p w14:paraId="33C7AF63"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«Установка испытания выдержала и может быть рекомендована как вре</w:t>
      </w:r>
      <w:r w:rsidRPr="00142305">
        <w:rPr>
          <w:rFonts w:ascii="Times New Roman" w:hAnsi="Times New Roman"/>
          <w:color w:val="0070C0"/>
          <w:sz w:val="16"/>
          <w:szCs w:val="16"/>
        </w:rPr>
        <w:softHyphen/>
        <w:t>менная в БТ взамен пушки 5К (Б-3)». При этом рекомендовалось проводить вооружение БТ-2 пулеметами силами воинских частей. Таким образом, из 610 поступивших на вооружение Красной Армии БТ-2 большая части имела на во</w:t>
      </w:r>
      <w:r w:rsidRPr="00142305">
        <w:rPr>
          <w:rFonts w:ascii="Times New Roman" w:hAnsi="Times New Roman"/>
          <w:color w:val="0070C0"/>
          <w:sz w:val="16"/>
          <w:szCs w:val="16"/>
        </w:rPr>
        <w:softHyphen/>
        <w:t>оружении пулеметы (25009).</w:t>
      </w:r>
    </w:p>
    <w:p w14:paraId="0EA03000" w14:textId="77777777" w:rsidR="00743B33" w:rsidRPr="00142305" w:rsidRDefault="00743B33" w:rsidP="00743B33">
      <w:pPr>
        <w:spacing w:after="0" w:line="240" w:lineRule="auto"/>
        <w:jc w:val="both"/>
        <w:rPr>
          <w:rFonts w:ascii="Times New Roman" w:hAnsi="Times New Roman"/>
          <w:color w:val="0070C0"/>
          <w:sz w:val="16"/>
          <w:szCs w:val="16"/>
        </w:rPr>
      </w:pPr>
    </w:p>
    <w:p w14:paraId="189DCB62" w14:textId="7BCFAA16" w:rsidR="006909F7" w:rsidRPr="0044524F" w:rsidRDefault="006909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года Ефремовский СК-3 выдал первую тонну искусственного каучука. Первый вагон с небывалым грузом ушел со станции Ефремов в Москву 18 августа.</w:t>
      </w:r>
    </w:p>
    <w:p w14:paraId="78903F60" w14:textId="0659C541" w:rsidR="006909F7" w:rsidRPr="0044524F" w:rsidRDefault="006909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С 7 июля </w:t>
      </w:r>
      <w:r w:rsidRPr="0044524F">
        <w:rPr>
          <w:rStyle w:val="highlight"/>
          <w:rFonts w:ascii="Times New Roman" w:hAnsi="Times New Roman"/>
          <w:color w:val="000000" w:themeColor="text1"/>
          <w:sz w:val="16"/>
          <w:szCs w:val="16"/>
        </w:rPr>
        <w:t>1931</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года началось строительство СК-3. В начале 1933 нарком тяжелой промышленности Г. К. Орджоникидзе назначил нового начальника</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завода</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 А. Матвеева, возглавлявшего до того строительство Воронежского</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завода</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СК. Под его руководством коллектив строителей мобилизовался на завершение монтажного оборудования.</w:t>
      </w:r>
    </w:p>
    <w:p w14:paraId="50DC2F60" w14:textId="2D39974E" w:rsidR="006909F7" w:rsidRPr="0044524F" w:rsidRDefault="006909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Днем 6 марта</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года сделала первый оборот турбина ТЭЦ, а 20 марта</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 город получили первый промышленный ток.</w:t>
      </w:r>
    </w:p>
    <w:p w14:paraId="2A124620" w14:textId="7534F816" w:rsidR="006909F7" w:rsidRPr="0044524F" w:rsidRDefault="006909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Вслед за пуском ТЭЦ начался 43-дневный пусковой период Ефремовского</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завода</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СК-3.</w:t>
      </w:r>
      <w:r w:rsidRPr="0044524F">
        <w:rPr>
          <w:rFonts w:ascii="Times New Roman" w:hAnsi="Times New Roman"/>
          <w:bCs/>
          <w:color w:val="000000" w:themeColor="text1"/>
          <w:sz w:val="16"/>
          <w:szCs w:val="16"/>
        </w:rPr>
        <w:t>В</w:t>
      </w:r>
      <w:r w:rsidRPr="0044524F">
        <w:rPr>
          <w:rFonts w:ascii="Times New Roman" w:hAnsi="Times New Roman"/>
          <w:color w:val="000000" w:themeColor="text1"/>
          <w:sz w:val="16"/>
          <w:szCs w:val="16"/>
        </w:rPr>
        <w:t>8 часов утра 23 мая</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года начальник печного цеха Ерасов зажег форсунки первой и второй контактных печей. Вечером 27 мая, в 21 час 27 минут, в реторты пустили спирт. Спустя несколько часов в газовом цехе были получены первые капли дивинила, а через три дня заводская газета "Ударник" сообщила: "Дивинил пошел потоком".</w:t>
      </w:r>
    </w:p>
    <w:p w14:paraId="1A1901B5" w14:textId="6BD2D63A" w:rsidR="006909F7" w:rsidRPr="0044524F" w:rsidRDefault="006909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Третий в стране</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синтетического каучука вступил в строй действующих. </w:t>
      </w:r>
    </w:p>
    <w:p w14:paraId="4C634C8D" w14:textId="6DB1C1EB" w:rsidR="006909F7" w:rsidRPr="0044524F" w:rsidRDefault="006909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январю</w:t>
      </w:r>
      <w:r w:rsidR="0088747B">
        <w:rPr>
          <w:rStyle w:val="highlight"/>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1934</w:t>
      </w:r>
      <w:r w:rsidR="0088747B">
        <w:rPr>
          <w:rStyle w:val="highlight"/>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завод</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СК3 дал стране уже сотни тонн каучука. Ожидался пуск нового мощного спиртозавода. Новые гиганты индустрии коренным образом меняли "лицо Ефремова, превращая его из бывшего мелкого, торгашеско-мещанского городка в промышленный город, насчитывающий до 8000 рабочих.</w:t>
      </w:r>
    </w:p>
    <w:p w14:paraId="187CA839" w14:textId="77777777" w:rsidR="006909F7" w:rsidRPr="0044524F" w:rsidRDefault="006909F7"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Зимой 1934 года на Ефремовском СК-3 побывал творец промышленного синтетического каучука выдающийся советский ученый Сергей Васильевич Лебедев (17278).</w:t>
      </w:r>
    </w:p>
    <w:p w14:paraId="014E54DF" w14:textId="77777777" w:rsidR="006909F7" w:rsidRPr="0044524F" w:rsidRDefault="006909F7" w:rsidP="009654CF">
      <w:pPr>
        <w:autoSpaceDE w:val="0"/>
        <w:autoSpaceDN w:val="0"/>
        <w:adjustRightInd w:val="0"/>
        <w:spacing w:after="0" w:line="240" w:lineRule="auto"/>
        <w:jc w:val="both"/>
        <w:rPr>
          <w:rFonts w:ascii="Times New Roman" w:hAnsi="Times New Roman"/>
          <w:color w:val="000000" w:themeColor="text1"/>
          <w:sz w:val="16"/>
          <w:szCs w:val="16"/>
        </w:rPr>
      </w:pPr>
    </w:p>
    <w:p w14:paraId="351AB166" w14:textId="77777777" w:rsidR="00193C02" w:rsidRPr="0044524F" w:rsidRDefault="00193C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 в 1933 году был введен в строй действующих Ефремовский завод синтетического каучука (ныне АО, Тульская область) (14948).</w:t>
      </w:r>
    </w:p>
    <w:p w14:paraId="5C146D59" w14:textId="77777777" w:rsidR="00193C02" w:rsidRPr="0044524F" w:rsidRDefault="00193C02" w:rsidP="009654CF">
      <w:pPr>
        <w:spacing w:after="0" w:line="240" w:lineRule="auto"/>
        <w:jc w:val="both"/>
        <w:rPr>
          <w:rFonts w:ascii="Times New Roman" w:hAnsi="Times New Roman"/>
          <w:color w:val="000000" w:themeColor="text1"/>
          <w:sz w:val="16"/>
          <w:szCs w:val="16"/>
        </w:rPr>
      </w:pPr>
    </w:p>
    <w:p w14:paraId="57EB7F98" w14:textId="77777777" w:rsidR="006479D8" w:rsidRPr="0044524F" w:rsidRDefault="006479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 июля по 1 августа 1933 на полигоне УММ РККА прошли испытания легкового полугусеничного вездехода НАТИ-5. Был отмечен ряд достоинств и недостатков, в том числе, низкая унификация с выпускающимся ГАЗ-А, поскольку автомобиль, как и НАТИ-2, базировался на импортных агрегатах Форд-А (22518).</w:t>
      </w:r>
    </w:p>
    <w:p w14:paraId="008ABE5E" w14:textId="77777777" w:rsidR="006479D8" w:rsidRPr="0044524F" w:rsidRDefault="006479D8" w:rsidP="009654CF">
      <w:pPr>
        <w:spacing w:after="0" w:line="240" w:lineRule="auto"/>
        <w:jc w:val="both"/>
        <w:rPr>
          <w:rFonts w:ascii="Times New Roman" w:hAnsi="Times New Roman"/>
          <w:color w:val="000000" w:themeColor="text1"/>
          <w:sz w:val="16"/>
          <w:szCs w:val="16"/>
        </w:rPr>
      </w:pPr>
    </w:p>
    <w:p w14:paraId="0AD1A2D7"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10 июля 1933 комиссия Молотова доложила Комиссии Обороны (т. е. фактически сама себе) проект постановления СТО по военно-морскому судостроению на 1933-1938 гг. Принятые поправки подтверждали число эсминцев (40), сокращали число лидеров (с 17 до 10) и устанавливали количество сторожевых судов (24). Предложения комиссии означали двукратное сокращение запрошенной ранее Штабом программы строительства эсминцев, уменьшение на четверть намеченного количества крейсеров и полуторное увеличение планируемого подводного флота. Неизвестно, сопровождалось ли перераспределение средств с надводных кораблей на подводные дебатами о военно-морской доктрине либо оно диктовалось исключительно возможностями производственной и кадровой базы тяжелой промышленности (О предельном использовании производственных ресурсов в интересах военно-морской программы в середине 30-х гг. свидетельствуют комментарии к контрольным цифрам развития морской судостроительной промышленности от 19 марта 1934 г.: "Коммерческие суда, находящиеся в производстве, продвигаются только в пределах, необходимых для того, чтобы освободить занятые ими стапеля и закончить их достройку до конца пятилетки. Новое коммерческое судостроение в программу второй пятилетки почти не включается" (ГРИБОВСКИЙ В. Ю. и др. Указ соч С. 12)).</w:t>
      </w:r>
    </w:p>
    <w:p w14:paraId="2760CA4E"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следующий день, ровно месяц спустя после возбуждения вопроса о программе на 1933-1935 гг., детально разработанная шестилетняя программа военно-морского судостроения была утверждена Советом Труда и Обороны СССР (Постановление № 58 сс/о Совета Труда и Обороны СССР "О программе военно-морского судостроения на 1933-1935 гг.", 11.07.1933 (копия) //РГА ВМФ. Ф. Р-1483. On. 1. Д 498. Л. 80-92. О представленном Управлением ВМС проекте "Основные соображения по развитию ВМС РККА на вторую пятилетку (1933-1937 гг.)" см.: ГРИБОВСКИЙ В. Ю. и др. Указ соч. С. 25-28). Она предусматривала создание нового, великодержавного (если не по классу военных кораблей, то по их количеству) морского флота (см. табл. 10) (Программа военно-морского судостроения на 1933-1938 годы (приложение № 1 к постановлению СТО № 58 сс/о) // Там же. Л. 93-94. См. также: БЕРЕЗОВСКИЙ Н. Ю. и др. Боевая летопись ВМФ, 1917-1941. М.. 1993-С. 591; ГРИБОВСКИЙ В. Ю. И ДР. Указ соч. С. 28-30.</w:t>
      </w:r>
    </w:p>
    <w:p w14:paraId="473DCEA7"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Технологический уровень советского судостроения не позволял приступать к строительству крупных судов, поэтому рассматриваемым постановлением предусматривалось лишь проведение к 1936 г. капитального ремонта линкора "Парижская Коммуна" и модернизация к 1937 г. линкора "Фрунзе". Тем не менее по принятому затем решению к лету 1936 г. было заложено четыре линкора типа "А". Планировалось осуществить спуск па воду в 1939 г. и ввод в строй в 1941 г. восьми линейных кораблей (см.: Постановление № ОК-1б7сс Совета Труда и Обороны СССР, 16.07.1936 // Там же. Д. 501. Л. 191 -197; Установление № 64сс Совета Труда и O6opoны СССР "О развертывании строительства линкоров" (заверенная копия), 26.031937 //Там же. Д. 502. Л. 110-116; Постановление № 44сс Комитета Обороны при СНК СССР "О линкорах "А" и ..Б"", 0305.1937 (заверенная копия) //Там же. Л. 174-180). В целом о программе "крупного морского судостроения" 1936 г. см.: ГРИБОВСКИЙ В. Ю. и ДР. Указ соч. С. 229-239).</w:t>
      </w:r>
    </w:p>
    <w:p w14:paraId="292DBEFA"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ТАБЛИЦА 10</w:t>
      </w:r>
    </w:p>
    <w:p w14:paraId="5B043C49"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Основные показатели программы строительства ВМФ на 1933-1938 гг.</w:t>
      </w:r>
    </w:p>
    <w:p w14:paraId="4C899097"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Класс кораблей Вступает в строй за 1933-1935 гг. Всего будет в строю к концу 1935 г. Вступает в строй за 1933-1938 гг. Всего будет в строю к концу 1938 г.</w:t>
      </w:r>
    </w:p>
    <w:p w14:paraId="547CC30D"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Подводные лодки большие 12 19 69 76</w:t>
      </w:r>
    </w:p>
    <w:p w14:paraId="5153AD87"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Подводные лодки средние 78 78 200 200</w:t>
      </w:r>
    </w:p>
    <w:p w14:paraId="1234EBCA"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Подводные лодки малые 60 60 100 100</w:t>
      </w:r>
    </w:p>
    <w:p w14:paraId="13464C66"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Всего 150 157 369 376</w:t>
      </w:r>
    </w:p>
    <w:p w14:paraId="0AED9862"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Эсминцы лидера 5 5 10 10</w:t>
      </w:r>
    </w:p>
    <w:p w14:paraId="57FBAB56"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Эсминцы 2 2 40 40</w:t>
      </w:r>
    </w:p>
    <w:p w14:paraId="6CE8E3DF"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Всего 7 50 50</w:t>
      </w:r>
    </w:p>
    <w:p w14:paraId="3D7AD5DA"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Крейсеры - 3 8 11</w:t>
      </w:r>
    </w:p>
    <w:p w14:paraId="2C6ADF24" w14:textId="77777777" w:rsidR="009A4E8B" w:rsidRPr="0044524F" w:rsidRDefault="009A4E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Торпедные катера 115 175 252 312 (22725).</w:t>
      </w:r>
    </w:p>
    <w:p w14:paraId="1AFF44D8" w14:textId="77777777" w:rsidR="009A4E8B" w:rsidRPr="0044524F" w:rsidRDefault="009A4E8B" w:rsidP="009654CF">
      <w:pPr>
        <w:spacing w:after="0" w:line="240" w:lineRule="auto"/>
        <w:jc w:val="both"/>
        <w:rPr>
          <w:rFonts w:ascii="Times New Roman" w:hAnsi="Times New Roman"/>
          <w:color w:val="000000" w:themeColor="text1"/>
          <w:sz w:val="16"/>
          <w:szCs w:val="16"/>
        </w:rPr>
      </w:pPr>
    </w:p>
    <w:p w14:paraId="16B3C5C4" w14:textId="77777777" w:rsidR="00DC5A55" w:rsidRPr="0044524F" w:rsidRDefault="00DC5A5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9B6A482" w14:textId="77777777" w:rsidR="00DC5A55" w:rsidRPr="0044524F" w:rsidRDefault="00DC5A55" w:rsidP="009654CF">
      <w:pPr>
        <w:spacing w:after="0" w:line="240" w:lineRule="auto"/>
        <w:jc w:val="both"/>
        <w:rPr>
          <w:rFonts w:ascii="Times New Roman" w:hAnsi="Times New Roman"/>
          <w:iCs/>
          <w:color w:val="000000" w:themeColor="text1"/>
          <w:sz w:val="16"/>
          <w:szCs w:val="16"/>
        </w:rPr>
      </w:pPr>
    </w:p>
    <w:p w14:paraId="3ED1BA76" w14:textId="77777777" w:rsidR="00DC5A55" w:rsidRPr="0044524F" w:rsidRDefault="00DC5A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 1933. Газета "Вечерняя Москва" сообщала: "Мы уже сообщали об огромном тираже "Алгебры" Киселева. Однако учебник арифметики Н. С. Попова побивает все известные рекорды тиражей. Тираж этого учебника - 4 миллиона экземпляров. Такого тиража до сих пор не знала ни одна книга" (18722).</w:t>
      </w:r>
    </w:p>
    <w:p w14:paraId="0EEB134B" w14:textId="77777777" w:rsidR="00DC5A55" w:rsidRPr="0044524F" w:rsidRDefault="00DC5A55" w:rsidP="009654CF">
      <w:pPr>
        <w:spacing w:after="0" w:line="240" w:lineRule="auto"/>
        <w:jc w:val="both"/>
        <w:rPr>
          <w:rFonts w:ascii="Times New Roman" w:hAnsi="Times New Roman"/>
          <w:color w:val="000000" w:themeColor="text1"/>
          <w:sz w:val="16"/>
          <w:szCs w:val="16"/>
        </w:rPr>
      </w:pPr>
    </w:p>
    <w:p w14:paraId="6B4FD03A" w14:textId="77777777" w:rsidR="008A018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FF432CF" w14:textId="77777777" w:rsidR="008A0184" w:rsidRPr="0044524F" w:rsidRDefault="008A018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64E2537" w14:textId="77777777" w:rsidR="00193C02" w:rsidRPr="0044524F" w:rsidRDefault="00193C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10 июля в 1933 году впервые взлетел в конфигурации торпедоносца </w:t>
      </w:r>
      <w:hyperlink r:id="rId258" w:tgtFrame="_blank" w:history="1">
        <w:r w:rsidRPr="0044524F">
          <w:rPr>
            <w:rFonts w:ascii="Times New Roman" w:hAnsi="Times New Roman"/>
            <w:color w:val="000000" w:themeColor="text1"/>
            <w:sz w:val="16"/>
            <w:szCs w:val="16"/>
          </w:rPr>
          <w:t xml:space="preserve">«TSR.1» </w:t>
        </w:r>
      </w:hyperlink>
      <w:r w:rsidRPr="0044524F">
        <w:rPr>
          <w:rFonts w:ascii="Times New Roman" w:hAnsi="Times New Roman"/>
          <w:color w:val="000000" w:themeColor="text1"/>
          <w:sz w:val="16"/>
          <w:szCs w:val="16"/>
        </w:rPr>
        <w:t>(«Torpedo-Spotter-Reconnaissance») самолет «Fairey» «S.9/30» («TSR.1») с новым двигателем - девятицилиндровым воздушного охлаждения «Bristol» «Pegasus IIM» мощностью 635 л.с. (14948).</w:t>
      </w:r>
    </w:p>
    <w:p w14:paraId="7EF665C0" w14:textId="77777777" w:rsidR="00193C02" w:rsidRPr="0044524F" w:rsidRDefault="00193C02" w:rsidP="009654CF">
      <w:pPr>
        <w:spacing w:after="0" w:line="240" w:lineRule="auto"/>
        <w:jc w:val="both"/>
        <w:rPr>
          <w:rFonts w:ascii="Times New Roman" w:hAnsi="Times New Roman"/>
          <w:color w:val="000000" w:themeColor="text1"/>
          <w:sz w:val="16"/>
          <w:szCs w:val="16"/>
        </w:rPr>
      </w:pPr>
    </w:p>
    <w:p w14:paraId="60C014FE" w14:textId="77777777" w:rsidR="00BD7636" w:rsidRPr="0044524F" w:rsidRDefault="00BD7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 1933 года из совместного приказа имперского министра авиации, имперского министра обороны и имперского министра финансов от 10 июля 1933 года о создании «Кассы Л»</w:t>
      </w:r>
    </w:p>
    <w:p w14:paraId="43F242F1" w14:textId="77777777" w:rsidR="00BD7636" w:rsidRPr="0044524F" w:rsidRDefault="00BD7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финансирования секретных расходов имперского министерства авиации с 1 апреля 1933 года при этом министерстве создается особая собственная касса.</w:t>
      </w:r>
    </w:p>
    <w:p w14:paraId="3FFEFC41" w14:textId="77777777" w:rsidR="00BD7636" w:rsidRPr="0044524F" w:rsidRDefault="00BD7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Она получает наименование «Касса Л» и подчиняется имперскому министру авиации, который один может давать распоряжения о приеме и выдаче денег этой кассой.</w:t>
      </w:r>
    </w:p>
    <w:p w14:paraId="34202840" w14:textId="77777777" w:rsidR="00BD7636" w:rsidRPr="0044524F" w:rsidRDefault="00BD7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кассу возлагается задача своевременно и полностью производить расчеты по всем секретным бюджетным доходам и расходам в сфере имперского министерства авиации, собирать документы и представлять их в соответствии с положениями о финансовой отчетности в Рейхе для проверки тем контрольным учреждениям, которые будут названы имперским министерством авиации [док. 23].</w:t>
      </w:r>
    </w:p>
    <w:p w14:paraId="50B4E289" w14:textId="77777777" w:rsidR="00BD7636" w:rsidRPr="0044524F" w:rsidRDefault="00BD7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НЦА, Потсдам, Процесс Вильгельмштрассе, т. 485, л. 64, док. НГ-4142 (23747).</w:t>
      </w:r>
    </w:p>
    <w:p w14:paraId="46637FF4" w14:textId="77777777" w:rsidR="00BD7636" w:rsidRPr="0044524F" w:rsidRDefault="00BD7636" w:rsidP="009654CF">
      <w:pPr>
        <w:spacing w:after="0" w:line="240" w:lineRule="auto"/>
        <w:jc w:val="both"/>
        <w:rPr>
          <w:rFonts w:ascii="Times New Roman" w:hAnsi="Times New Roman"/>
          <w:color w:val="000000" w:themeColor="text1"/>
          <w:sz w:val="16"/>
          <w:szCs w:val="16"/>
        </w:rPr>
      </w:pPr>
    </w:p>
    <w:p w14:paraId="4DAA6E7C"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 1933 в Чехословакии был принят закон о печати, запрещающий агитацию экстремистским политическим силам и законы, дополняющие закон о защите республики (3186).</w:t>
      </w:r>
    </w:p>
    <w:p w14:paraId="1E5D6F14" w14:textId="77777777" w:rsidR="008A0184" w:rsidRPr="0044524F" w:rsidRDefault="008A0184" w:rsidP="009654CF">
      <w:pPr>
        <w:autoSpaceDE w:val="0"/>
        <w:autoSpaceDN w:val="0"/>
        <w:adjustRightInd w:val="0"/>
        <w:spacing w:after="0" w:line="240" w:lineRule="auto"/>
        <w:jc w:val="both"/>
        <w:rPr>
          <w:rFonts w:ascii="Times New Roman" w:hAnsi="Times New Roman"/>
          <w:color w:val="000000" w:themeColor="text1"/>
          <w:sz w:val="16"/>
          <w:szCs w:val="16"/>
        </w:rPr>
      </w:pPr>
    </w:p>
    <w:p w14:paraId="017B188D"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июля 1933 затонул китайский пароход «Тунан», в результате чего погибли 168 человека (4962).</w:t>
      </w:r>
    </w:p>
    <w:p w14:paraId="6A699B3B" w14:textId="77777777" w:rsidR="008A0184" w:rsidRPr="0044524F" w:rsidRDefault="008A0184"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75279C"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97D76AB"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3D3E66A6"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закончилось испытание двух облегченных самолетов ТБ3-4М17 за №№ 22243 и 22250 на определение расхода горючего и предельной дальности, которое состоялось с 7 июля 1933 (6794).</w:t>
      </w:r>
    </w:p>
    <w:p w14:paraId="1DF4B0B2"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4F2B4D97"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НИИ ВВС:</w:t>
      </w:r>
    </w:p>
    <w:p w14:paraId="4B4C8B26"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Лосюков</w:t>
      </w:r>
    </w:p>
    <w:p w14:paraId="5282FCDB"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Юмашев</w:t>
      </w:r>
    </w:p>
    <w:p w14:paraId="062B456A"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От ЦАГИ:</w:t>
      </w:r>
    </w:p>
    <w:p w14:paraId="45129D8B"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Тайц</w:t>
      </w:r>
    </w:p>
    <w:p w14:paraId="7632B383"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Громов</w:t>
      </w:r>
    </w:p>
    <w:p w14:paraId="121D9683"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1423E50D"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4016E5CF" w14:textId="77777777" w:rsidR="00C22911" w:rsidRPr="0044524F" w:rsidRDefault="00C22911" w:rsidP="009654CF">
      <w:pPr>
        <w:numPr>
          <w:ilvl w:val="0"/>
          <w:numId w:val="22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497B17FB" w14:textId="77777777" w:rsidR="00C22911" w:rsidRPr="0044524F" w:rsidRDefault="00C22911" w:rsidP="009654CF">
      <w:pPr>
        <w:numPr>
          <w:ilvl w:val="0"/>
          <w:numId w:val="22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наивыгоднейшего положения высотного корректора на разных высотах.</w:t>
      </w:r>
    </w:p>
    <w:p w14:paraId="1253D399" w14:textId="77777777" w:rsidR="00C22911" w:rsidRPr="0044524F" w:rsidRDefault="00C22911" w:rsidP="009654CF">
      <w:pPr>
        <w:numPr>
          <w:ilvl w:val="0"/>
          <w:numId w:val="22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расходов указанных видов горючего при полетах на предельной дальности.</w:t>
      </w:r>
    </w:p>
    <w:p w14:paraId="34E95F23" w14:textId="77777777" w:rsidR="00C22911" w:rsidRPr="0044524F" w:rsidRDefault="00C22911" w:rsidP="009654CF">
      <w:pPr>
        <w:numPr>
          <w:ilvl w:val="0"/>
          <w:numId w:val="23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макисмального полетного веса самолета и особенностей взлета и пилотажа при этом весе.</w:t>
      </w:r>
    </w:p>
    <w:p w14:paraId="77F39149"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61999F9" w14:textId="77777777" w:rsidR="00C22911" w:rsidRPr="0044524F" w:rsidRDefault="00C22911" w:rsidP="009654CF">
      <w:pPr>
        <w:numPr>
          <w:ilvl w:val="0"/>
          <w:numId w:val="23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2F34DA6C"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19AC2978"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получены ЦАГИ от 22 завода 26 июня 1933 года</w:t>
      </w:r>
    </w:p>
    <w:p w14:paraId="7CBF97F6"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подготовлены ЗОКом ЦАГИ и переданы в ОЭЛИД ЦАГИ для испытания 7 июля 1933 года</w:t>
      </w:r>
    </w:p>
    <w:p w14:paraId="5D35C17C"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начато 7 июля 1933 года</w:t>
      </w:r>
    </w:p>
    <w:p w14:paraId="724C9B78"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закончено 11 июля 1933 года</w:t>
      </w:r>
    </w:p>
    <w:p w14:paraId="7FF53A3C"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испытание 5 дней, из них самолет летал 4 дня (6794).</w:t>
      </w:r>
    </w:p>
    <w:p w14:paraId="7DC80282"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p>
    <w:p w14:paraId="7D153906" w14:textId="77777777" w:rsidR="002B259F" w:rsidRPr="0044524F" w:rsidRDefault="002B259F"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 11 июля по 7 августа 1933 г. при различном взлётном весе ТБ-1 проводились испытания ракетных ускорителей на ТБ-1. Чтобы уменьшить воздействие реактивной струи на хвостовое оперение, в 1933 г. расположение ускорителей изменили. Теперь их установили в связках по три ракеты на верхней поверхности каждого крыла. Они крепились на дюралевых фермах, проходящих сквозь крыло и соединенных с узлами шасси. Угол установки сопел ускорителей подобрали так, чтобы струя газов проходила над горизонтальным стабилизатором и не задевала боковую обшивку фюзеляжа.</w:t>
      </w:r>
    </w:p>
    <w:p w14:paraId="32398880" w14:textId="77777777" w:rsidR="002B259F" w:rsidRPr="0044524F" w:rsidRDefault="002B259F"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Самолёт пилотировал лётчик-испытатель Н.П. Благин, в качестве наблюдающих летали инженеры ГДЛ Дудаков и Ширяев. Было проведено семь взлётов, из них пять — с ускорителями. Каждый ускоритель был рассчитан на 15 шашек пироксилино-тротилового пороха. На подготовку полёта (заряжание ракет, проверка цепи зажигания и др.) уходило от часа до полутора.</w:t>
      </w:r>
    </w:p>
    <w:p w14:paraId="643670F0" w14:textId="77777777" w:rsidR="002B259F" w:rsidRPr="0044524F" w:rsidRDefault="002B259F"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дневнике испытаний сообщалось:</w:t>
      </w:r>
    </w:p>
    <w:p w14:paraId="17978A3F" w14:textId="77777777" w:rsidR="002B259F" w:rsidRPr="0044524F" w:rsidRDefault="002B259F"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11 июля — два взлёта без запуска ускорителей.</w:t>
      </w:r>
    </w:p>
    <w:p w14:paraId="2B9F4B4F" w14:textId="77777777" w:rsidR="002B259F" w:rsidRPr="0044524F" w:rsidRDefault="002B259F"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16 июля — два взлёта с 3/5 полного заряда ускорителей (9 шашек).</w:t>
      </w:r>
    </w:p>
    <w:p w14:paraId="1918E6ED" w14:textId="77777777" w:rsidR="002B259F" w:rsidRPr="0044524F" w:rsidRDefault="002B259F"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21, 22 июля — взлёты с полным зарядом.</w:t>
      </w:r>
    </w:p>
    <w:p w14:paraId="6B5FC1AD" w14:textId="77777777" w:rsidR="002B259F" w:rsidRPr="0044524F" w:rsidRDefault="002B259F"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7 августа — взлёт с ускорителями с увеличенным до 8 т полётном весе самолёта (сверх программы, по указанию начальника ВВС Алксниса) </w:t>
      </w:r>
      <w:hyperlink r:id="rId259" w:history="1">
        <w:r w:rsidRPr="0044524F">
          <w:rPr>
            <w:rFonts w:ascii="Times New Roman" w:eastAsia="Times New Roman" w:hAnsi="Times New Roman"/>
            <w:color w:val="000000" w:themeColor="text1"/>
            <w:sz w:val="16"/>
            <w:szCs w:val="16"/>
            <w:lang w:eastAsia="ru-RU"/>
          </w:rPr>
          <w:t>[66]</w:t>
        </w:r>
      </w:hyperlink>
      <w:r w:rsidRPr="0044524F">
        <w:rPr>
          <w:rFonts w:ascii="Times New Roman" w:eastAsia="Times New Roman" w:hAnsi="Times New Roman"/>
          <w:color w:val="000000" w:themeColor="text1"/>
          <w:sz w:val="16"/>
          <w:szCs w:val="16"/>
          <w:lang w:eastAsia="ru-RU"/>
        </w:rPr>
        <w:t xml:space="preserve"> .</w:t>
      </w:r>
    </w:p>
    <w:p w14:paraId="5395F0CC" w14:textId="77777777" w:rsidR="002B259F" w:rsidRPr="0044524F" w:rsidRDefault="002B259F"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Наилучший эффект достигался при включении ускорителей после короткого пробега при полной тяге винтов.</w:t>
      </w:r>
    </w:p>
    <w:p w14:paraId="3A43B221" w14:textId="77777777" w:rsidR="002B259F" w:rsidRPr="0044524F" w:rsidRDefault="002B259F"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октябре прошли государственные испытания ТБ-1 с ускорителями. Ведущим лётчиком был испытатель НИИ ВВС К.П. Миндер.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 (17489).</w:t>
      </w:r>
    </w:p>
    <w:p w14:paraId="521564AB" w14:textId="77777777" w:rsidR="002B259F" w:rsidRPr="0044524F" w:rsidRDefault="002B259F" w:rsidP="009654CF">
      <w:pPr>
        <w:spacing w:after="0" w:line="240" w:lineRule="auto"/>
        <w:jc w:val="both"/>
        <w:rPr>
          <w:rFonts w:ascii="Times New Roman" w:eastAsia="Times New Roman" w:hAnsi="Times New Roman"/>
          <w:color w:val="000000" w:themeColor="text1"/>
          <w:sz w:val="16"/>
          <w:szCs w:val="16"/>
          <w:lang w:eastAsia="ru-RU"/>
        </w:rPr>
      </w:pPr>
    </w:p>
    <w:p w14:paraId="19C3D54E" w14:textId="77777777" w:rsidR="00D067C1" w:rsidRPr="0044524F" w:rsidRDefault="00D067C1" w:rsidP="009654CF">
      <w:pPr>
        <w:pStyle w:val="rtejustify"/>
        <w:spacing w:before="0" w:after="0"/>
        <w:rPr>
          <w:color w:val="000000" w:themeColor="text1"/>
          <w:sz w:val="16"/>
          <w:szCs w:val="16"/>
        </w:rPr>
      </w:pPr>
      <w:r w:rsidRPr="0044524F">
        <w:rPr>
          <w:rStyle w:val="af0"/>
          <w:bCs/>
          <w:i w:val="0"/>
          <w:color w:val="000000" w:themeColor="text1"/>
          <w:sz w:val="16"/>
          <w:szCs w:val="16"/>
        </w:rPr>
        <w:t>11 июля</w:t>
      </w:r>
      <w:r w:rsidRPr="0044524F">
        <w:rPr>
          <w:color w:val="000000" w:themeColor="text1"/>
          <w:sz w:val="16"/>
          <w:szCs w:val="16"/>
        </w:rPr>
        <w:t xml:space="preserve"> 1933. Постановление СТО СССР № 57сс/о «О строительстве и оборудовании авиационных заводов». (ГА РФ. Ф. Р</w:t>
      </w:r>
      <w:r w:rsidRPr="0044524F">
        <w:rPr>
          <w:color w:val="000000" w:themeColor="text1"/>
          <w:sz w:val="16"/>
          <w:szCs w:val="16"/>
        </w:rPr>
        <w:noBreakHyphen/>
        <w:t>8418. Оп. 28. Д. 2. Л. 11</w:t>
      </w:r>
      <w:r w:rsidRPr="0044524F">
        <w:rPr>
          <w:color w:val="000000" w:themeColor="text1"/>
          <w:sz w:val="16"/>
          <w:szCs w:val="16"/>
        </w:rPr>
        <w:noBreakHyphen/>
        <w:t>12) (15460).</w:t>
      </w:r>
    </w:p>
    <w:p w14:paraId="08DADB5E" w14:textId="77777777" w:rsidR="00D067C1" w:rsidRPr="0044524F" w:rsidRDefault="00D067C1" w:rsidP="009654CF">
      <w:pPr>
        <w:pStyle w:val="rtejustify"/>
        <w:spacing w:before="0" w:after="0"/>
        <w:rPr>
          <w:color w:val="000000" w:themeColor="text1"/>
          <w:sz w:val="16"/>
          <w:szCs w:val="16"/>
        </w:rPr>
      </w:pPr>
    </w:p>
    <w:p w14:paraId="4F1E6A4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года постановление № 57сс/о СТО</w:t>
      </w:r>
    </w:p>
    <w:p w14:paraId="5CE1254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строительстве и оборудовании заводов №№ 19, 120, 20 и 33 ГУАПа</w:t>
      </w:r>
    </w:p>
    <w:p w14:paraId="445FE0B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2D3BE694" w14:textId="77777777" w:rsidR="00C22911" w:rsidRPr="0044524F" w:rsidRDefault="00D067C1"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w:t>
      </w:r>
      <w:r w:rsidR="00C22911" w:rsidRPr="0044524F">
        <w:rPr>
          <w:rFonts w:ascii="Times New Roman" w:hAnsi="Times New Roman"/>
          <w:color w:val="000000" w:themeColor="text1"/>
          <w:sz w:val="16"/>
          <w:szCs w:val="16"/>
        </w:rPr>
        <w:t>Строительство и оборудование заводов №№ 19, 120, 20 и 33 форсировать, в связи с чем закончить строительство и оборудование:</w:t>
      </w:r>
    </w:p>
    <w:p w14:paraId="6E09946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заводу 19 к 1 июля 1934 года на мощность 3000 моторов и к 1 июля 1935 года на полную мощность, т.е. на 6000 моторов;</w:t>
      </w:r>
    </w:p>
    <w:p w14:paraId="008F2F0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заводу 120 к 1 июля 1934 года на мощность 15000 моторов и к 1 июля 1935 года на полную мощность, т.е. на 30000 моторов;</w:t>
      </w:r>
    </w:p>
    <w:p w14:paraId="100CD47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заводу 20 к 1 июля 1934 года на мощность, обеспечивающую нормалями и помпами 27000 моторов и к 1 июля 1935 года на мощность, обеспечивающую нормалями и помпами 37000 моторов и</w:t>
      </w:r>
    </w:p>
    <w:p w14:paraId="573FFC2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 заводу 33 к 1 июля 1934 года на мощность, обеспечивающую карбюраторами 27000 моторов и к 1 июля 1935 года на мощность, обеспечивающую карбюраторами 37000 моторов.</w:t>
      </w:r>
    </w:p>
    <w:p w14:paraId="4CB8389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дополнительно ассигновать ГУАПу 6.160.000 руб.</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4E10C1" w:rsidRPr="0044524F" w14:paraId="2BA211D8" w14:textId="77777777">
        <w:tc>
          <w:tcPr>
            <w:tcW w:w="2952" w:type="dxa"/>
            <w:tcBorders>
              <w:top w:val="single" w:sz="12" w:space="0" w:color="auto"/>
            </w:tcBorders>
          </w:tcPr>
          <w:p w14:paraId="5260F79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заводу</w:t>
            </w:r>
          </w:p>
        </w:tc>
        <w:tc>
          <w:tcPr>
            <w:tcW w:w="2952" w:type="dxa"/>
            <w:tcBorders>
              <w:top w:val="single" w:sz="12" w:space="0" w:color="auto"/>
            </w:tcBorders>
          </w:tcPr>
          <w:p w14:paraId="6D072EC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импортное оборудование</w:t>
            </w:r>
          </w:p>
        </w:tc>
        <w:tc>
          <w:tcPr>
            <w:tcW w:w="2952" w:type="dxa"/>
            <w:tcBorders>
              <w:top w:val="single" w:sz="12" w:space="0" w:color="auto"/>
            </w:tcBorders>
          </w:tcPr>
          <w:p w14:paraId="479B4B3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1.743.000</w:t>
            </w:r>
          </w:p>
        </w:tc>
      </w:tr>
      <w:tr w:rsidR="004E10C1" w:rsidRPr="0044524F" w14:paraId="3C6E8728" w14:textId="77777777">
        <w:tc>
          <w:tcPr>
            <w:tcW w:w="2952" w:type="dxa"/>
          </w:tcPr>
          <w:p w14:paraId="0393452B"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c>
          <w:tcPr>
            <w:tcW w:w="2952" w:type="dxa"/>
          </w:tcPr>
          <w:p w14:paraId="43D130D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советское оборудование и монтаж</w:t>
            </w:r>
          </w:p>
        </w:tc>
        <w:tc>
          <w:tcPr>
            <w:tcW w:w="2952" w:type="dxa"/>
          </w:tcPr>
          <w:p w14:paraId="4B4BF7C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200.000</w:t>
            </w:r>
          </w:p>
        </w:tc>
      </w:tr>
      <w:tr w:rsidR="004E10C1" w:rsidRPr="0044524F" w14:paraId="2688F5C0" w14:textId="77777777">
        <w:tc>
          <w:tcPr>
            <w:tcW w:w="2952" w:type="dxa"/>
          </w:tcPr>
          <w:p w14:paraId="7743E3E4"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c>
          <w:tcPr>
            <w:tcW w:w="2952" w:type="dxa"/>
          </w:tcPr>
          <w:p w14:paraId="028AA44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промышленное строительство</w:t>
            </w:r>
          </w:p>
        </w:tc>
        <w:tc>
          <w:tcPr>
            <w:tcW w:w="2952" w:type="dxa"/>
          </w:tcPr>
          <w:p w14:paraId="1BCD1AC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1.000.000</w:t>
            </w:r>
          </w:p>
        </w:tc>
      </w:tr>
      <w:tr w:rsidR="004E10C1" w:rsidRPr="0044524F" w14:paraId="468730B0" w14:textId="77777777">
        <w:tc>
          <w:tcPr>
            <w:tcW w:w="2952" w:type="dxa"/>
            <w:tcBorders>
              <w:bottom w:val="single" w:sz="12" w:space="0" w:color="auto"/>
            </w:tcBorders>
          </w:tcPr>
          <w:p w14:paraId="6F488CBB"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c>
          <w:tcPr>
            <w:tcW w:w="2952" w:type="dxa"/>
            <w:tcBorders>
              <w:bottom w:val="single" w:sz="12" w:space="0" w:color="auto"/>
            </w:tcBorders>
          </w:tcPr>
          <w:p w14:paraId="4D4BD4C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2952" w:type="dxa"/>
            <w:tcBorders>
              <w:bottom w:val="single" w:sz="12" w:space="0" w:color="auto"/>
            </w:tcBorders>
          </w:tcPr>
          <w:p w14:paraId="712F817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2.945.000</w:t>
            </w:r>
          </w:p>
        </w:tc>
      </w:tr>
    </w:tbl>
    <w:p w14:paraId="4B63A415" w14:textId="77777777" w:rsidR="00C22911" w:rsidRPr="0044524F" w:rsidRDefault="00C22911" w:rsidP="009654CF">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F26F01" w:rsidRPr="0044524F" w14:paraId="12A10B1F" w14:textId="77777777">
        <w:tc>
          <w:tcPr>
            <w:tcW w:w="2952" w:type="dxa"/>
            <w:tcBorders>
              <w:top w:val="single" w:sz="12" w:space="0" w:color="auto"/>
              <w:bottom w:val="single" w:sz="12" w:space="0" w:color="auto"/>
            </w:tcBorders>
          </w:tcPr>
          <w:p w14:paraId="489A92C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 заводу</w:t>
            </w:r>
          </w:p>
        </w:tc>
        <w:tc>
          <w:tcPr>
            <w:tcW w:w="2952" w:type="dxa"/>
            <w:tcBorders>
              <w:top w:val="single" w:sz="12" w:space="0" w:color="auto"/>
              <w:bottom w:val="single" w:sz="12" w:space="0" w:color="auto"/>
            </w:tcBorders>
          </w:tcPr>
          <w:p w14:paraId="6CFE556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импортное оборудование</w:t>
            </w:r>
          </w:p>
        </w:tc>
        <w:tc>
          <w:tcPr>
            <w:tcW w:w="2952" w:type="dxa"/>
            <w:tcBorders>
              <w:top w:val="single" w:sz="12" w:space="0" w:color="auto"/>
              <w:bottom w:val="single" w:sz="12" w:space="0" w:color="auto"/>
            </w:tcBorders>
          </w:tcPr>
          <w:p w14:paraId="7420351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1.330.000</w:t>
            </w:r>
          </w:p>
        </w:tc>
      </w:tr>
    </w:tbl>
    <w:p w14:paraId="4734696C" w14:textId="77777777" w:rsidR="00C22911" w:rsidRPr="0044524F" w:rsidRDefault="00C22911" w:rsidP="009654CF">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4E10C1" w:rsidRPr="0044524F" w14:paraId="7BC38614" w14:textId="77777777">
        <w:tc>
          <w:tcPr>
            <w:tcW w:w="2952" w:type="dxa"/>
            <w:tcBorders>
              <w:top w:val="single" w:sz="12" w:space="0" w:color="auto"/>
            </w:tcBorders>
          </w:tcPr>
          <w:p w14:paraId="40BD20D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заводу</w:t>
            </w:r>
          </w:p>
        </w:tc>
        <w:tc>
          <w:tcPr>
            <w:tcW w:w="2952" w:type="dxa"/>
            <w:tcBorders>
              <w:top w:val="single" w:sz="12" w:space="0" w:color="auto"/>
            </w:tcBorders>
          </w:tcPr>
          <w:p w14:paraId="32A0977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импортное оборудование</w:t>
            </w:r>
          </w:p>
        </w:tc>
        <w:tc>
          <w:tcPr>
            <w:tcW w:w="2952" w:type="dxa"/>
            <w:tcBorders>
              <w:top w:val="single" w:sz="12" w:space="0" w:color="auto"/>
            </w:tcBorders>
          </w:tcPr>
          <w:p w14:paraId="55DF8A2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735.000</w:t>
            </w:r>
          </w:p>
        </w:tc>
      </w:tr>
      <w:tr w:rsidR="004E10C1" w:rsidRPr="0044524F" w14:paraId="15E3165C" w14:textId="77777777">
        <w:tc>
          <w:tcPr>
            <w:tcW w:w="2952" w:type="dxa"/>
            <w:tcBorders>
              <w:bottom w:val="single" w:sz="12" w:space="0" w:color="auto"/>
            </w:tcBorders>
          </w:tcPr>
          <w:p w14:paraId="16FBA8E6"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c>
          <w:tcPr>
            <w:tcW w:w="2952" w:type="dxa"/>
            <w:tcBorders>
              <w:bottom w:val="single" w:sz="12" w:space="0" w:color="auto"/>
            </w:tcBorders>
          </w:tcPr>
          <w:p w14:paraId="4F8B4E4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советское оборудование и монтаж</w:t>
            </w:r>
          </w:p>
        </w:tc>
        <w:tc>
          <w:tcPr>
            <w:tcW w:w="2952" w:type="dxa"/>
            <w:tcBorders>
              <w:bottom w:val="single" w:sz="12" w:space="0" w:color="auto"/>
            </w:tcBorders>
          </w:tcPr>
          <w:p w14:paraId="2E47DC8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1.000.000</w:t>
            </w:r>
          </w:p>
        </w:tc>
      </w:tr>
    </w:tbl>
    <w:p w14:paraId="43DD8490" w14:textId="77777777" w:rsidR="00C22911" w:rsidRPr="0044524F" w:rsidRDefault="00C22911" w:rsidP="009654CF">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F26F01" w:rsidRPr="0044524F" w14:paraId="5B64B512" w14:textId="77777777">
        <w:tc>
          <w:tcPr>
            <w:tcW w:w="2952" w:type="dxa"/>
            <w:tcBorders>
              <w:top w:val="single" w:sz="12" w:space="0" w:color="auto"/>
              <w:bottom w:val="single" w:sz="12" w:space="0" w:color="auto"/>
            </w:tcBorders>
          </w:tcPr>
          <w:p w14:paraId="24336A8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 заводу</w:t>
            </w:r>
          </w:p>
        </w:tc>
        <w:tc>
          <w:tcPr>
            <w:tcW w:w="2952" w:type="dxa"/>
            <w:tcBorders>
              <w:top w:val="single" w:sz="12" w:space="0" w:color="auto"/>
              <w:bottom w:val="single" w:sz="12" w:space="0" w:color="auto"/>
            </w:tcBorders>
          </w:tcPr>
          <w:p w14:paraId="638B355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импортное оборудование</w:t>
            </w:r>
          </w:p>
        </w:tc>
        <w:tc>
          <w:tcPr>
            <w:tcW w:w="2952" w:type="dxa"/>
            <w:tcBorders>
              <w:top w:val="single" w:sz="12" w:space="0" w:color="auto"/>
              <w:bottom w:val="single" w:sz="12" w:space="0" w:color="auto"/>
            </w:tcBorders>
          </w:tcPr>
          <w:p w14:paraId="6E8ABC3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150.000</w:t>
            </w:r>
          </w:p>
        </w:tc>
      </w:tr>
    </w:tbl>
    <w:p w14:paraId="41835ADE" w14:textId="77777777" w:rsidR="00C22911" w:rsidRPr="0044524F" w:rsidRDefault="00C22911" w:rsidP="009654CF">
      <w:pPr>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52"/>
        <w:gridCol w:w="2952"/>
        <w:gridCol w:w="2952"/>
      </w:tblGrid>
      <w:tr w:rsidR="004E10C1" w:rsidRPr="0044524F" w14:paraId="0E5FF050" w14:textId="77777777">
        <w:tc>
          <w:tcPr>
            <w:tcW w:w="2952" w:type="dxa"/>
            <w:tcBorders>
              <w:top w:val="single" w:sz="12" w:space="0" w:color="auto"/>
            </w:tcBorders>
          </w:tcPr>
          <w:p w14:paraId="6741BCA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2952" w:type="dxa"/>
            <w:tcBorders>
              <w:top w:val="single" w:sz="12" w:space="0" w:color="auto"/>
            </w:tcBorders>
          </w:tcPr>
          <w:p w14:paraId="5FEE5F5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импортное оборудование</w:t>
            </w:r>
          </w:p>
        </w:tc>
        <w:tc>
          <w:tcPr>
            <w:tcW w:w="2952" w:type="dxa"/>
            <w:tcBorders>
              <w:top w:val="single" w:sz="12" w:space="0" w:color="auto"/>
            </w:tcBorders>
          </w:tcPr>
          <w:p w14:paraId="56CCEAF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3.960.000</w:t>
            </w:r>
          </w:p>
        </w:tc>
      </w:tr>
      <w:tr w:rsidR="004E10C1" w:rsidRPr="0044524F" w14:paraId="31F2DA0A" w14:textId="77777777">
        <w:tc>
          <w:tcPr>
            <w:tcW w:w="2952" w:type="dxa"/>
          </w:tcPr>
          <w:p w14:paraId="1192DEF8"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c>
          <w:tcPr>
            <w:tcW w:w="2952" w:type="dxa"/>
          </w:tcPr>
          <w:p w14:paraId="4A80828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советское оборудование и монтаж</w:t>
            </w:r>
          </w:p>
        </w:tc>
        <w:tc>
          <w:tcPr>
            <w:tcW w:w="2952" w:type="dxa"/>
          </w:tcPr>
          <w:p w14:paraId="3F1C0B8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1.200.000</w:t>
            </w:r>
          </w:p>
        </w:tc>
      </w:tr>
      <w:tr w:rsidR="004E10C1" w:rsidRPr="0044524F" w14:paraId="54FDFF57" w14:textId="77777777">
        <w:tc>
          <w:tcPr>
            <w:tcW w:w="2952" w:type="dxa"/>
            <w:tcBorders>
              <w:bottom w:val="single" w:sz="12" w:space="0" w:color="auto"/>
            </w:tcBorders>
          </w:tcPr>
          <w:p w14:paraId="4CA37A9D"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c>
          <w:tcPr>
            <w:tcW w:w="2952" w:type="dxa"/>
            <w:tcBorders>
              <w:bottom w:val="single" w:sz="12" w:space="0" w:color="auto"/>
            </w:tcBorders>
          </w:tcPr>
          <w:p w14:paraId="36A3AFB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промышленное строительство</w:t>
            </w:r>
          </w:p>
        </w:tc>
        <w:tc>
          <w:tcPr>
            <w:tcW w:w="2952" w:type="dxa"/>
            <w:tcBorders>
              <w:bottom w:val="single" w:sz="12" w:space="0" w:color="auto"/>
            </w:tcBorders>
          </w:tcPr>
          <w:p w14:paraId="4099527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1.000.000</w:t>
            </w:r>
          </w:p>
        </w:tc>
      </w:tr>
    </w:tbl>
    <w:p w14:paraId="2F39917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(2228, 31; 7503, 53-54).</w:t>
      </w:r>
    </w:p>
    <w:p w14:paraId="4E8E2213"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3DBE144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вышло постановление СТО N 57сс/о "О строительстве и оборудовании заводов N 19, 120, 20 и 33 ГУАП" (2282,31).</w:t>
      </w:r>
    </w:p>
    <w:p w14:paraId="401DF9A2"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58FE9B0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года вышло постановление № 57сс/о СТО</w:t>
      </w:r>
    </w:p>
    <w:p w14:paraId="3A8D8FC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строительстве и оборудовании заводов №№ 19, 120, 20 и 33 ГУАПа</w:t>
      </w:r>
    </w:p>
    <w:p w14:paraId="63D2201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постановляет:</w:t>
      </w:r>
    </w:p>
    <w:p w14:paraId="0F25AE75" w14:textId="77777777" w:rsidR="00C22911" w:rsidRPr="0044524F" w:rsidRDefault="00C22911" w:rsidP="009654CF">
      <w:pPr>
        <w:numPr>
          <w:ilvl w:val="0"/>
          <w:numId w:val="23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строительство и оборудование заводов №№ 19, 120, 20 и 33 форсировать, в связи с чем закончить строительство и оборудование:</w:t>
      </w:r>
    </w:p>
    <w:p w14:paraId="33A27667" w14:textId="77777777" w:rsidR="00C22911" w:rsidRPr="0044524F" w:rsidRDefault="00C22911" w:rsidP="009654CF">
      <w:pPr>
        <w:pStyle w:val="24"/>
        <w:widowControl/>
        <w:rPr>
          <w:color w:val="000000" w:themeColor="text1"/>
        </w:rPr>
      </w:pPr>
      <w:r w:rsidRPr="0044524F">
        <w:rPr>
          <w:color w:val="000000" w:themeColor="text1"/>
        </w:rPr>
        <w:t>а) по 19 заводу к 1 июля 1934 года на мощность 3000 моторов и к 1 июля 1935 года на полную мощность, т.е. на 6000 моторов;</w:t>
      </w:r>
    </w:p>
    <w:p w14:paraId="7AA5143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120 заводу к 1 июля 1934 года на мощность 15000 моторов и к 1 июля 1935 года на полную мощность, т.е. на 30000 моторов;</w:t>
      </w:r>
    </w:p>
    <w:p w14:paraId="2A05C18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20 заводу к 1 июля 1934 года на мощность, обеспечивающую нормалями и помпами 27000 моторов и к 1 июля 1935 года на мощность, обеспечивающую нормалями и помпами 37000 моторов и</w:t>
      </w:r>
    </w:p>
    <w:p w14:paraId="39DD097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 33 заводу к 1 июля 1934 года на мощность, обеспечивающую карбюраторами 27000 моторов и к 1 июля 1935 года на мощность, обеспечивающую карбюраторами 37000 моторов …………………………….(7415, 74).</w:t>
      </w:r>
    </w:p>
    <w:p w14:paraId="6FC0FC62"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599F39D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го</w:t>
      </w:r>
      <w:r w:rsidRPr="0044524F">
        <w:rPr>
          <w:rFonts w:ascii="Times New Roman" w:hAnsi="Times New Roman"/>
          <w:color w:val="000000" w:themeColor="text1"/>
          <w:sz w:val="16"/>
          <w:szCs w:val="16"/>
        </w:rPr>
        <w:softHyphen/>
        <w:t xml:space="preserve">да в 15 часов Савойя </w:t>
      </w:r>
      <w:r w:rsidRPr="0044524F">
        <w:rPr>
          <w:rFonts w:ascii="Times New Roman" w:hAnsi="Times New Roman"/>
          <w:color w:val="000000" w:themeColor="text1"/>
          <w:sz w:val="16"/>
          <w:szCs w:val="16"/>
          <w:lang w:val="en-US"/>
        </w:rPr>
        <w:t>S</w:t>
      </w:r>
      <w:r w:rsidRPr="0044524F">
        <w:rPr>
          <w:rFonts w:ascii="Times New Roman" w:hAnsi="Times New Roman"/>
          <w:color w:val="000000" w:themeColor="text1"/>
          <w:sz w:val="16"/>
          <w:szCs w:val="16"/>
        </w:rPr>
        <w:t>.55 зав. № 10526 под управлением л Бухгольца вылетела из Севастополя. На борту находились: командир корабля Бенедикт Леонович Бухгольц, второй пилот Виталий Косухин, летчик-наблюдатель Владимир Петрович Падалко, бортмеханик Олег Ростиславович Карбановский и коррес</w:t>
      </w:r>
      <w:r w:rsidRPr="0044524F">
        <w:rPr>
          <w:rFonts w:ascii="Times New Roman" w:hAnsi="Times New Roman"/>
          <w:color w:val="000000" w:themeColor="text1"/>
          <w:sz w:val="16"/>
          <w:szCs w:val="16"/>
        </w:rPr>
        <w:softHyphen/>
        <w:t>пондент «Комсомольской правды» Николай Кабанов, фамилию которого, впрочем, никто из экипажа не знал, и звали только по псевдо</w:t>
      </w:r>
      <w:r w:rsidRPr="0044524F">
        <w:rPr>
          <w:rFonts w:ascii="Times New Roman" w:hAnsi="Times New Roman"/>
          <w:color w:val="000000" w:themeColor="text1"/>
          <w:sz w:val="16"/>
          <w:szCs w:val="16"/>
        </w:rPr>
        <w:softHyphen/>
        <w:t>ниму «Том».</w:t>
      </w:r>
    </w:p>
    <w:p w14:paraId="4C7B62F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Через два часа полета, из-за сильного вет</w:t>
      </w:r>
      <w:r w:rsidRPr="0044524F">
        <w:rPr>
          <w:rFonts w:ascii="Times New Roman" w:hAnsi="Times New Roman"/>
          <w:color w:val="000000" w:themeColor="text1"/>
          <w:sz w:val="16"/>
          <w:szCs w:val="16"/>
        </w:rPr>
        <w:softHyphen/>
        <w:t>ра, произвели посадку в Ейске. Пилот на само</w:t>
      </w:r>
      <w:r w:rsidRPr="0044524F">
        <w:rPr>
          <w:rFonts w:ascii="Times New Roman" w:hAnsi="Times New Roman"/>
          <w:color w:val="000000" w:themeColor="text1"/>
          <w:sz w:val="16"/>
          <w:szCs w:val="16"/>
        </w:rPr>
        <w:softHyphen/>
        <w:t>лет не жаловался, но обнаружилось, что внут</w:t>
      </w:r>
      <w:r w:rsidRPr="0044524F">
        <w:rPr>
          <w:rFonts w:ascii="Times New Roman" w:hAnsi="Times New Roman"/>
          <w:color w:val="000000" w:themeColor="text1"/>
          <w:sz w:val="16"/>
          <w:szCs w:val="16"/>
        </w:rPr>
        <w:softHyphen/>
        <w:t>ри лодки разбрызгано масло, подтекающее из трубопроводов, идущих к головкам цилинд</w:t>
      </w:r>
      <w:r w:rsidRPr="0044524F">
        <w:rPr>
          <w:rFonts w:ascii="Times New Roman" w:hAnsi="Times New Roman"/>
          <w:color w:val="000000" w:themeColor="text1"/>
          <w:sz w:val="16"/>
          <w:szCs w:val="16"/>
        </w:rPr>
        <w:softHyphen/>
        <w:t>ров. Дефект устранили, после чего дозаправи</w:t>
      </w:r>
      <w:r w:rsidRPr="0044524F">
        <w:rPr>
          <w:rFonts w:ascii="Times New Roman" w:hAnsi="Times New Roman"/>
          <w:color w:val="000000" w:themeColor="text1"/>
          <w:sz w:val="16"/>
          <w:szCs w:val="16"/>
        </w:rPr>
        <w:softHyphen/>
        <w:t>ли бензобаки 5-ю бочками бензина. На рас</w:t>
      </w:r>
      <w:r w:rsidRPr="0044524F">
        <w:rPr>
          <w:rFonts w:ascii="Times New Roman" w:hAnsi="Times New Roman"/>
          <w:color w:val="000000" w:themeColor="text1"/>
          <w:sz w:val="16"/>
          <w:szCs w:val="16"/>
        </w:rPr>
        <w:softHyphen/>
        <w:t>свете решили вылететь в Вольск.</w:t>
      </w:r>
    </w:p>
    <w:p w14:paraId="348FB65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Ейска вылетели 12-го июля в 5:40 по мо</w:t>
      </w:r>
      <w:r w:rsidRPr="0044524F">
        <w:rPr>
          <w:rFonts w:ascii="Times New Roman" w:hAnsi="Times New Roman"/>
          <w:color w:val="000000" w:themeColor="text1"/>
          <w:sz w:val="16"/>
          <w:szCs w:val="16"/>
        </w:rPr>
        <w:softHyphen/>
        <w:t>сковскому времени. Посадка и взлет в Ейске прошли хорошо. Моторы работали безукоризненно. Самолет шел плавно, не раз Бухгольц бросал управление, но самолет продолжал ле</w:t>
      </w:r>
      <w:r w:rsidRPr="0044524F">
        <w:rPr>
          <w:rFonts w:ascii="Times New Roman" w:hAnsi="Times New Roman"/>
          <w:color w:val="000000" w:themeColor="text1"/>
          <w:sz w:val="16"/>
          <w:szCs w:val="16"/>
        </w:rPr>
        <w:softHyphen/>
        <w:t>теть горизонтально. До Сталинграда шли на высоте 600 м. На Волгу вышли в районе горо</w:t>
      </w:r>
      <w:r w:rsidRPr="0044524F">
        <w:rPr>
          <w:rFonts w:ascii="Times New Roman" w:hAnsi="Times New Roman"/>
          <w:color w:val="000000" w:themeColor="text1"/>
          <w:sz w:val="16"/>
          <w:szCs w:val="16"/>
        </w:rPr>
        <w:softHyphen/>
        <w:t>да. От Сталинграда снизились и шли бреющим на высоте 10 м. После Камышина поднялись на 350 м и на этой высоте пошли дальше. Срезав большой сухопутный участок и удаляясь от бе</w:t>
      </w:r>
      <w:r w:rsidRPr="0044524F">
        <w:rPr>
          <w:rFonts w:ascii="Times New Roman" w:hAnsi="Times New Roman"/>
          <w:color w:val="000000" w:themeColor="text1"/>
          <w:sz w:val="16"/>
          <w:szCs w:val="16"/>
        </w:rPr>
        <w:softHyphen/>
        <w:t>рега на 15-20 км, вышли на Марксштадт. Здесь Падалко подсчитал крейсерскую скорость, по</w:t>
      </w:r>
      <w:r w:rsidRPr="0044524F">
        <w:rPr>
          <w:rFonts w:ascii="Times New Roman" w:hAnsi="Times New Roman"/>
          <w:color w:val="000000" w:themeColor="text1"/>
          <w:sz w:val="16"/>
          <w:szCs w:val="16"/>
        </w:rPr>
        <w:softHyphen/>
        <w:t>лучилось 179 км/ч, и определил время полета до Вольска - оставалось минут 20. Штурман сообщил об этом запиской Бухгольцу и начал собирать карты и вещи.</w:t>
      </w:r>
    </w:p>
    <w:p w14:paraId="08529B3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Примерно через 7 минут (в 11:30 московско</w:t>
      </w:r>
      <w:r w:rsidRPr="0044524F">
        <w:rPr>
          <w:rFonts w:ascii="Times New Roman" w:hAnsi="Times New Roman"/>
          <w:color w:val="000000" w:themeColor="text1"/>
          <w:sz w:val="16"/>
          <w:szCs w:val="16"/>
        </w:rPr>
        <w:softHyphen/>
        <w:t>го времени) произошла катастрофа - у села Воскресенск самолет опять снизился и шел брею</w:t>
      </w:r>
      <w:r w:rsidRPr="0044524F">
        <w:rPr>
          <w:rFonts w:ascii="Times New Roman" w:hAnsi="Times New Roman"/>
          <w:color w:val="000000" w:themeColor="text1"/>
          <w:sz w:val="16"/>
          <w:szCs w:val="16"/>
        </w:rPr>
        <w:softHyphen/>
        <w:t>щим над серединой фарватера Волги на высоте не более 10-15 м со скоростью 170-200 км/ч. Не доходя до Вольска 20 км, самолет провалился с работающими на тех же оборотах моторами и на большой скорости (200 км/ч) с правым креном врезался в воду. Состояние погоды в момент ка</w:t>
      </w:r>
      <w:r w:rsidRPr="0044524F">
        <w:rPr>
          <w:rFonts w:ascii="Times New Roman" w:hAnsi="Times New Roman"/>
          <w:color w:val="000000" w:themeColor="text1"/>
          <w:sz w:val="16"/>
          <w:szCs w:val="16"/>
        </w:rPr>
        <w:softHyphen/>
        <w:t>тастрофы - полный штиль с ясной видимостью и с зеркальной поверхностью воды.</w:t>
      </w:r>
    </w:p>
    <w:p w14:paraId="641A747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был разбит вдребезги. Бухгольц, Падалко и Карбановский оказались плаваю</w:t>
      </w:r>
      <w:r w:rsidRPr="0044524F">
        <w:rPr>
          <w:rFonts w:ascii="Times New Roman" w:hAnsi="Times New Roman"/>
          <w:color w:val="000000" w:themeColor="text1"/>
          <w:sz w:val="16"/>
          <w:szCs w:val="16"/>
        </w:rPr>
        <w:softHyphen/>
        <w:t>щими в воде. Косухин и Том утонули сразу. Бухгольц находился в бессознательном состо</w:t>
      </w:r>
      <w:r w:rsidRPr="0044524F">
        <w:rPr>
          <w:rFonts w:ascii="Times New Roman" w:hAnsi="Times New Roman"/>
          <w:color w:val="000000" w:themeColor="text1"/>
          <w:sz w:val="16"/>
          <w:szCs w:val="16"/>
        </w:rPr>
        <w:softHyphen/>
        <w:t>янии.</w:t>
      </w:r>
    </w:p>
    <w:p w14:paraId="65F3A684"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Первыми к месту катастрофы прибыли ры</w:t>
      </w:r>
      <w:r w:rsidRPr="0044524F">
        <w:rPr>
          <w:rFonts w:ascii="Times New Roman" w:hAnsi="Times New Roman"/>
          <w:color w:val="000000" w:themeColor="text1"/>
          <w:sz w:val="16"/>
          <w:szCs w:val="16"/>
        </w:rPr>
        <w:softHyphen/>
        <w:t>баки, которые вытащили из воды трех авиато</w:t>
      </w:r>
      <w:r w:rsidRPr="0044524F">
        <w:rPr>
          <w:rFonts w:ascii="Times New Roman" w:hAnsi="Times New Roman"/>
          <w:color w:val="000000" w:themeColor="text1"/>
          <w:sz w:val="16"/>
          <w:szCs w:val="16"/>
        </w:rPr>
        <w:softHyphen/>
        <w:t>ров. Однако, Бухгольц через три минуты после подъема на борт проходящего поблизости те</w:t>
      </w:r>
      <w:r w:rsidRPr="0044524F">
        <w:rPr>
          <w:rFonts w:ascii="Times New Roman" w:hAnsi="Times New Roman"/>
          <w:color w:val="000000" w:themeColor="text1"/>
          <w:sz w:val="16"/>
          <w:szCs w:val="16"/>
        </w:rPr>
        <w:softHyphen/>
        <w:t>плохода «Наманган» скончался.</w:t>
      </w:r>
    </w:p>
    <w:p w14:paraId="4F47FE4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13-го июля была назначена аварийная ко</w:t>
      </w:r>
      <w:r w:rsidRPr="0044524F">
        <w:rPr>
          <w:rFonts w:ascii="Times New Roman" w:hAnsi="Times New Roman"/>
          <w:color w:val="000000" w:themeColor="text1"/>
          <w:sz w:val="16"/>
          <w:szCs w:val="16"/>
        </w:rPr>
        <w:softHyphen/>
        <w:t>миссия. Вскоре комиссия прибыла на место и начала работу (11975).</w:t>
      </w:r>
    </w:p>
    <w:p w14:paraId="17F1D776"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53CC44F0" w14:textId="77777777" w:rsidR="00C361D7" w:rsidRPr="0044524F" w:rsidRDefault="00C361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г. Б.Л. Бухгольц вместе с экипажем из пяти человек вылетел на пятом С55, переданном Управлению Воздушной службы ГУСМП, из Севастополя. Однако в полете над Волгой произошла катастрофа: самолет внезапно потерял высоту и врезался в воду, из-за чего разрушился. Б.Л. Бухгольца, летнаба В.П. Падалко и механика О.Р. Карбановского спасли рыбаки и передали на пароход «Наманган», остальные члены экипажа погибли (21410).</w:t>
      </w:r>
    </w:p>
    <w:p w14:paraId="5E7D7DE8" w14:textId="77777777" w:rsidR="00C361D7" w:rsidRPr="0044524F" w:rsidRDefault="00C361D7" w:rsidP="009654CF">
      <w:pPr>
        <w:spacing w:after="0" w:line="240" w:lineRule="auto"/>
        <w:jc w:val="both"/>
        <w:rPr>
          <w:rFonts w:ascii="Times New Roman" w:hAnsi="Times New Roman"/>
          <w:color w:val="000000" w:themeColor="text1"/>
          <w:sz w:val="16"/>
          <w:szCs w:val="16"/>
        </w:rPr>
      </w:pPr>
    </w:p>
    <w:p w14:paraId="3D1E7E16"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июля 1933 г. Бухгольц вылетел на S.55 из Севастополя; на борту находился экипаж из четырех человек и один пассажир - корреспондент газеты «Комсомольская правда». По дороге сделали вынуж</w:t>
      </w:r>
      <w:r w:rsidRPr="00142305">
        <w:rPr>
          <w:rFonts w:ascii="Times New Roman" w:hAnsi="Times New Roman"/>
          <w:color w:val="0070C0"/>
          <w:sz w:val="16"/>
          <w:szCs w:val="16"/>
        </w:rPr>
        <w:softHyphen/>
        <w:t>денную посадку в Ейске - обнаружили подтекание масла. Заодно и дозапра</w:t>
      </w:r>
      <w:r w:rsidRPr="00142305">
        <w:rPr>
          <w:rFonts w:ascii="Times New Roman" w:hAnsi="Times New Roman"/>
          <w:color w:val="0070C0"/>
          <w:sz w:val="16"/>
          <w:szCs w:val="16"/>
        </w:rPr>
        <w:softHyphen/>
        <w:t>вились топливом. На следующий день гидроплан полетел дальше. В районе Сталинграда вышли к Волге и дальше двинулись вдоль реки на малой высоте. Не долетая Вольска «савойя» неожидан</w:t>
      </w:r>
      <w:r w:rsidRPr="00142305">
        <w:rPr>
          <w:rFonts w:ascii="Times New Roman" w:hAnsi="Times New Roman"/>
          <w:color w:val="0070C0"/>
          <w:sz w:val="16"/>
          <w:szCs w:val="16"/>
        </w:rPr>
        <w:softHyphen/>
        <w:t>но снизилась и с правым креном вреза</w:t>
      </w:r>
      <w:r w:rsidRPr="00142305">
        <w:rPr>
          <w:rFonts w:ascii="Times New Roman" w:hAnsi="Times New Roman"/>
          <w:color w:val="0070C0"/>
          <w:sz w:val="16"/>
          <w:szCs w:val="16"/>
        </w:rPr>
        <w:softHyphen/>
        <w:t>лась в Волгу.</w:t>
      </w:r>
    </w:p>
    <w:p w14:paraId="55D7E66F"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полностью разрушился. Бух</w:t>
      </w:r>
      <w:r w:rsidRPr="00142305">
        <w:rPr>
          <w:rFonts w:ascii="Times New Roman" w:hAnsi="Times New Roman"/>
          <w:color w:val="0070C0"/>
          <w:sz w:val="16"/>
          <w:szCs w:val="16"/>
        </w:rPr>
        <w:softHyphen/>
        <w:t>гольц, летнаб В.П. Падалко и механик О.Р. Карбановский оказались в воде. Их вытащили рыбаки и передали на пароход «Наманган». От полученных травм коман</w:t>
      </w:r>
      <w:r w:rsidRPr="00142305">
        <w:rPr>
          <w:rFonts w:ascii="Times New Roman" w:hAnsi="Times New Roman"/>
          <w:color w:val="0070C0"/>
          <w:sz w:val="16"/>
          <w:szCs w:val="16"/>
        </w:rPr>
        <w:softHyphen/>
        <w:t>дир самолета вскоре скончался. Позже выудили обломки планера, подняли со дна моторы и тело второго пилота В. Ко</w:t>
      </w:r>
      <w:r w:rsidRPr="00142305">
        <w:rPr>
          <w:rFonts w:ascii="Times New Roman" w:hAnsi="Times New Roman"/>
          <w:color w:val="0070C0"/>
          <w:sz w:val="16"/>
          <w:szCs w:val="16"/>
        </w:rPr>
        <w:softHyphen/>
        <w:t>сухина. Корреспондента так и не нашли.</w:t>
      </w:r>
    </w:p>
    <w:p w14:paraId="56B0255C" w14:textId="77777777" w:rsidR="00743B33" w:rsidRPr="00142305" w:rsidRDefault="00743B33" w:rsidP="00743B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Достоверно причину трагедии устано</w:t>
      </w:r>
      <w:r w:rsidRPr="00142305">
        <w:rPr>
          <w:rFonts w:ascii="Times New Roman" w:hAnsi="Times New Roman"/>
          <w:color w:val="0070C0"/>
          <w:sz w:val="16"/>
          <w:szCs w:val="16"/>
        </w:rPr>
        <w:softHyphen/>
        <w:t>вить не удалось. Аварийная комиссия предположила, что резкое снижение ле</w:t>
      </w:r>
      <w:r w:rsidRPr="00142305">
        <w:rPr>
          <w:rFonts w:ascii="Times New Roman" w:hAnsi="Times New Roman"/>
          <w:color w:val="0070C0"/>
          <w:sz w:val="16"/>
          <w:szCs w:val="16"/>
        </w:rPr>
        <w:softHyphen/>
        <w:t>тающей лодки произошло из-за потока холодного воздуха, вырывавшегося из подходившего к реке оврага (24944).</w:t>
      </w:r>
    </w:p>
    <w:p w14:paraId="3E962FFC" w14:textId="77777777" w:rsidR="00743B33" w:rsidRPr="00142305" w:rsidRDefault="00743B33" w:rsidP="00743B33">
      <w:pPr>
        <w:spacing w:after="0" w:line="240" w:lineRule="auto"/>
        <w:jc w:val="both"/>
        <w:rPr>
          <w:rFonts w:ascii="Times New Roman" w:hAnsi="Times New Roman"/>
          <w:color w:val="0070C0"/>
          <w:sz w:val="16"/>
          <w:szCs w:val="16"/>
        </w:rPr>
      </w:pPr>
    </w:p>
    <w:p w14:paraId="33E38729"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AC4F9B3"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363C7F0E"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июля 1933 г., самоходную установку СУ-76К с 76 мм пушкой Курчевского вновь представили военным. Комиссия в составе начальника 3-го отделения 3-го управления УММ РККА Сакс, помощника начальника 3-го отделения НТУ ГАУ Краузе, инженера 3-го отделения 3-го управления УММ РККА Сапрыкина и начальника ОКБ №1 ГАУ Курчевского произвела осмотр и опробование стрельбой 76-мм пушки «К», установленной на Т-27.</w:t>
      </w:r>
    </w:p>
    <w:p w14:paraId="49E308D0"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осмотра установили, что в системе были устранены основные недостатки, отмеченные в акте от 31 марта («1.Для обеспечения досылки патрона в ствол сделан специальный досылатель; 2. Закрыта щель в броневом прикрытии»), что дало основание произвести стрельбы с места снарядом весом 3,2 кг. Правда, выяснилось, что «… работа досылателя имеет недостаток в том. что дает возможность ушибов рук стреляющего благодаря близкому расположению рукоятки досылателя и рукоятки досылающего механизма».</w:t>
      </w:r>
    </w:p>
    <w:p w14:paraId="25D5ED67"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СУ-76К признали пригодной к большим испытаниям на НИАП по программе УММ и ГАУ с устранением выявленных недостатков (25554).</w:t>
      </w:r>
    </w:p>
    <w:p w14:paraId="1B015A18" w14:textId="77777777" w:rsidR="00481FC0" w:rsidRPr="00142305" w:rsidRDefault="00481FC0" w:rsidP="00481FC0">
      <w:pPr>
        <w:spacing w:after="0" w:line="240" w:lineRule="auto"/>
        <w:jc w:val="both"/>
        <w:rPr>
          <w:rFonts w:ascii="Times New Roman" w:hAnsi="Times New Roman"/>
          <w:color w:val="0070C0"/>
          <w:sz w:val="16"/>
          <w:szCs w:val="16"/>
        </w:rPr>
      </w:pPr>
    </w:p>
    <w:p w14:paraId="31AC1EA5" w14:textId="7DE1688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г. в соответствии с пост. СТО Харьковский турбинный, турбогенераторный завод им. Кирова НКТМ /г. Харьков/ переориентирован на выпуск судовых энергетических установок.</w:t>
      </w:r>
      <w:r w:rsidRPr="0044524F">
        <w:rPr>
          <w:rFonts w:ascii="Times New Roman" w:hAnsi="Times New Roman"/>
          <w:color w:val="000000" w:themeColor="text1"/>
          <w:sz w:val="16"/>
          <w:szCs w:val="16"/>
          <w:vertAlign w:val="superscript"/>
        </w:rPr>
        <w:t>92</w:t>
      </w:r>
      <w:r w:rsidRPr="0044524F">
        <w:rPr>
          <w:rFonts w:ascii="Times New Roman" w:hAnsi="Times New Roman"/>
          <w:color w:val="000000" w:themeColor="text1"/>
          <w:sz w:val="16"/>
          <w:szCs w:val="16"/>
        </w:rPr>
        <w:t xml:space="preserve"> В конце 1930-х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строились самые мощные в мире главные механизмы для линкоров пр. 23.</w:t>
      </w:r>
    </w:p>
    <w:p w14:paraId="332078E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01.1936 г. директор завода снят за невыполнение плана по сдаче турбин для кораблей ВМФ.</w:t>
      </w:r>
    </w:p>
    <w:p w14:paraId="7FCA40E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01.1937 г. завод влит в состав ХЭМЗ, объединенный завод получил название ХЭТЗ.</w:t>
      </w:r>
    </w:p>
    <w:p w14:paraId="0D27DC3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1941 г. после начала войны эвакуирован на площадку Уральского турбинного завода.</w:t>
      </w:r>
    </w:p>
    <w:p w14:paraId="4D381A2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7C4FFA6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2346DA2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(-01.1936 г.)- Шибакин (снят), (01.1936 г.-)- Ицхакин.</w:t>
      </w:r>
    </w:p>
    <w:p w14:paraId="702CBB3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директора (1936 г.-)- Девьятков (репрессирован), (1936 г.-)- Флаум.</w:t>
      </w:r>
    </w:p>
    <w:p w14:paraId="7F167EF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Технический директор (-1937 г.)- Зак.</w:t>
      </w:r>
      <w:r w:rsidRPr="0044524F">
        <w:rPr>
          <w:rFonts w:ascii="Times New Roman" w:hAnsi="Times New Roman"/>
          <w:color w:val="000000" w:themeColor="text1"/>
          <w:sz w:val="16"/>
          <w:szCs w:val="16"/>
          <w:vertAlign w:val="superscript"/>
        </w:rPr>
        <w:t>139</w:t>
      </w:r>
    </w:p>
    <w:p w14:paraId="1D12029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ГТЗА: для эсминцев пр. 7 (1930-е), для крейсеров пр. 26 «Ворошилов» (1936), пр. 26бис (1937) для линкоров пр. 23 (1938-40-).</w:t>
      </w:r>
    </w:p>
    <w:p w14:paraId="56F9C5CD" w14:textId="3A8292AB"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Октябрьский завод низковольтной аппаратуры /Башкирия</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Октябрьский/</w:t>
      </w:r>
    </w:p>
    <w:p w14:paraId="472621BD" w14:textId="72EBE07A"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 в 1960-е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 1977 г. вошел в состав ПО «Электроаппарат». В 1987 г. завод перешел на выпуск оборонной продукции и вновь стал самостоятельным (11982).</w:t>
      </w:r>
    </w:p>
    <w:p w14:paraId="1CE92874"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37C1A6FC" w14:textId="77777777" w:rsidR="00D067C1" w:rsidRPr="0044524F" w:rsidRDefault="00D067C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в 1932 году московский инструментальный завод «Калибр» рапортовал стране о пуске первой очереди. В рапорте указывались цеха, готовые к выпуску основной продукции: экспериментальный, универсальный, заготовительный, цеха круглых и плоских калибров. Этот день был праздничным для всей промышленности страны. По количеству видов инструмента программа завода сводилась к 1 миллиону штук гладких калибров, 1 миллиону скоб, 1 миллиону шаблонов, 500 тысяч резьбовых калибров и значительному количеству универсального инструмента: микрометров, штихмассов, штангенциркулей, поверочных плит, контрольно-измерительных приборов. С момента основания специалисты завода столкнулись с трудностями, обусловленными тем, что производство измерительного инструмента в те годы было новой отраслью промышленности страны. И завод выступил пионером в области стандартизации и нормализации измерительного инструмента в СССР, - практически все стандарты 32-35 гг. были проработаны и внесены специалистами завода «Калибр». Вместе со страной работники инструментального производства прошли нелегкий путь становления и развития, пережили тяжелейшие военные и послевоенные годы, годы перестройки и перемен. Сегодня «Калибр» - предприятие с высокоразвитыми технологиями, оснащенное уникальным специальным оборудованием, позволяющим выпускать широчайший ассортимент измерительного инструмента. Производственные мощности ОАО «Калибр» занимают территорию приблизительно 15 гектаров, - цеха и служебные помещения расположены в 20 зданиях общей площадью 53687 м2. Завод производит инструмент механического и электронного типа - это штангенциркули, микрометры, уровни, концевые меры длины, а также интерферометры, кругломеры, профилографы-профилометры, профилометры и многое другое. Кроме того, предприятие выпускает специальные автоматические линии и другие средства поверки для автомобильной и сельскохозяйственной отраслей промышленности. Ряд изделий не имеет отечественных аналогов и производится только ОАО «Калибр». Весь инструмент и оборудование обеспечены гарантийным и комплексным обслуживанием. Помимо традиционного ассортимента предприятие выполняет заказы на калибры резьбовые и гладкие, которые вскоре будут пущены в серийное производство. В условиях жесткой конкуренции ОАО «Калибр» найдены собственные новые направления деятельности - по индивидуальным заказам осуществляется литье по выплавляемым моделям, холодная штамповка, термообработка, гальванопокрытие цинком и хромом. Выполняется лазерная маркировка и резка, высокоточная механообработка, сборка узлов и приборов, изготовление штампов и прессформ и многое другое. Продукция завода «Калибр» хорошо известна в странах СНГ и экспортируется в более чем 30 стран ближнего и дальнего зарубежья, включая страны с высоко развитой экономикой и производством. В частности, заключены контракты на поставку инструмента ряду компаний в Италии, Великобритании, Индии и др. Партнерами ОАО «Калибр» являются как крупнейшие российские предприятия и компании, так и небольшие фирмы, нуждающиеся в данном виде инструмента. Ведь точность, зачастую, решает все (14949).</w:t>
      </w:r>
    </w:p>
    <w:p w14:paraId="1B2FD7E8" w14:textId="77777777" w:rsidR="00D067C1" w:rsidRPr="0044524F" w:rsidRDefault="00D067C1" w:rsidP="009654CF">
      <w:pPr>
        <w:spacing w:after="0" w:line="240" w:lineRule="auto"/>
        <w:jc w:val="both"/>
        <w:rPr>
          <w:rFonts w:ascii="Times New Roman" w:hAnsi="Times New Roman"/>
          <w:color w:val="000000" w:themeColor="text1"/>
          <w:sz w:val="16"/>
          <w:szCs w:val="16"/>
        </w:rPr>
      </w:pPr>
    </w:p>
    <w:p w14:paraId="157AA844"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bCs/>
          <w:iCs/>
          <w:color w:val="000000" w:themeColor="text1"/>
          <w:sz w:val="16"/>
          <w:szCs w:val="16"/>
        </w:rPr>
        <w:t>11 июля 1933 г.</w:t>
      </w:r>
      <w:r w:rsidRPr="0044524F">
        <w:rPr>
          <w:rFonts w:ascii="Times New Roman" w:hAnsi="Times New Roman"/>
          <w:color w:val="000000" w:themeColor="text1"/>
          <w:sz w:val="16"/>
          <w:szCs w:val="16"/>
        </w:rPr>
        <w:t xml:space="preserve"> Постановление СТО СССР о возложении на НКТП строительства специальных емкостей на 1000 тонн иприта, которые должны были находиться в ОКДВА, но в составе мобилизационного резерва страны по линии Комитета резервов СТО (17133).</w:t>
      </w:r>
    </w:p>
    <w:p w14:paraId="1D95E909"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p>
    <w:p w14:paraId="1B19B7D1" w14:textId="77777777" w:rsidR="00D067C1" w:rsidRPr="0044524F" w:rsidRDefault="00D067C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СТО принял постановление О программе военно-морского строительства на 1933-1938 гг. (3848,107).</w:t>
      </w:r>
    </w:p>
    <w:p w14:paraId="44AD9395" w14:textId="77777777" w:rsidR="00D067C1" w:rsidRPr="0044524F" w:rsidRDefault="00D067C1" w:rsidP="009654CF">
      <w:pPr>
        <w:spacing w:after="0" w:line="240" w:lineRule="auto"/>
        <w:jc w:val="both"/>
        <w:rPr>
          <w:rFonts w:ascii="Times New Roman" w:hAnsi="Times New Roman"/>
          <w:color w:val="000000" w:themeColor="text1"/>
          <w:sz w:val="16"/>
          <w:szCs w:val="16"/>
        </w:rPr>
      </w:pPr>
    </w:p>
    <w:p w14:paraId="52039FFB" w14:textId="77777777" w:rsidR="00D067C1" w:rsidRPr="0044524F" w:rsidRDefault="00D067C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11 июля 1933 СТО принял постановление "О программе военно-морского судостроения на 1933-1938 гг.". Хотели 8 крейсеров, 50 эсминцев, 327 торпедных катеров, 36 сторожевиков, 76 больших ПЛ, 200 средних ПЛ, 60 охотников, 42 тральщика, 14 речных мониторов и 8 канонерок. Не сделали и к войне (1566,102).</w:t>
      </w:r>
    </w:p>
    <w:p w14:paraId="701D4CC1" w14:textId="77777777" w:rsidR="00D067C1" w:rsidRPr="0044524F" w:rsidRDefault="00D067C1" w:rsidP="009654CF">
      <w:pPr>
        <w:spacing w:after="0" w:line="240" w:lineRule="auto"/>
        <w:jc w:val="both"/>
        <w:rPr>
          <w:rFonts w:ascii="Times New Roman" w:hAnsi="Times New Roman"/>
          <w:color w:val="000000" w:themeColor="text1"/>
          <w:sz w:val="16"/>
          <w:szCs w:val="16"/>
        </w:rPr>
      </w:pPr>
    </w:p>
    <w:p w14:paraId="2F166985"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г. Совет Труда и Обороны принял постановле</w:t>
      </w:r>
      <w:r w:rsidRPr="0044524F">
        <w:rPr>
          <w:rFonts w:ascii="Times New Roman" w:hAnsi="Times New Roman"/>
          <w:color w:val="000000" w:themeColor="text1"/>
          <w:sz w:val="16"/>
          <w:szCs w:val="16"/>
        </w:rPr>
        <w:softHyphen/>
        <w:t>ние «О программе военно-морского судостроения на 1933-1938 гг.» За указанный период намечалось заложить и построить 8 крейсеров, 50 эсмийцев, 327 торпедных катеров, 36 стороже</w:t>
      </w:r>
      <w:r w:rsidRPr="0044524F">
        <w:rPr>
          <w:rFonts w:ascii="Times New Roman" w:hAnsi="Times New Roman"/>
          <w:color w:val="000000" w:themeColor="text1"/>
          <w:sz w:val="16"/>
          <w:szCs w:val="16"/>
        </w:rPr>
        <w:softHyphen/>
        <w:t>вых кораблей, 76 болыцих подводных лодок, 200 средних под</w:t>
      </w:r>
      <w:r w:rsidRPr="0044524F">
        <w:rPr>
          <w:rFonts w:ascii="Times New Roman" w:hAnsi="Times New Roman"/>
          <w:color w:val="000000" w:themeColor="text1"/>
          <w:sz w:val="16"/>
          <w:szCs w:val="16"/>
        </w:rPr>
        <w:softHyphen/>
        <w:t>водных лодок, 60 охотников за подводными лодками, 42 траль</w:t>
      </w:r>
      <w:r w:rsidRPr="0044524F">
        <w:rPr>
          <w:rFonts w:ascii="Times New Roman" w:hAnsi="Times New Roman"/>
          <w:color w:val="000000" w:themeColor="text1"/>
          <w:sz w:val="16"/>
          <w:szCs w:val="16"/>
        </w:rPr>
        <w:softHyphen/>
        <w:t>щика, 14 речных мониторов и 8 канонерских лодок. Постановление СТО обязывало Наркомтяжпром использовать все имеющиеся судостроительные заводы, срочно завершить строительство Амурской судоверфи и начать строительство но</w:t>
      </w:r>
      <w:r w:rsidRPr="0044524F">
        <w:rPr>
          <w:rFonts w:ascii="Times New Roman" w:hAnsi="Times New Roman"/>
          <w:color w:val="000000" w:themeColor="text1"/>
          <w:sz w:val="16"/>
          <w:szCs w:val="16"/>
        </w:rPr>
        <w:softHyphen/>
        <w:t>вых судоверфей в Архангельске, Николаеве и Сороке. На выпол</w:t>
      </w:r>
      <w:r w:rsidRPr="0044524F">
        <w:rPr>
          <w:rFonts w:ascii="Times New Roman" w:hAnsi="Times New Roman"/>
          <w:color w:val="000000" w:themeColor="text1"/>
          <w:sz w:val="16"/>
          <w:szCs w:val="16"/>
        </w:rPr>
        <w:softHyphen/>
        <w:t>нение программы судостроения переводились крупные машино</w:t>
      </w:r>
      <w:r w:rsidRPr="0044524F">
        <w:rPr>
          <w:rFonts w:ascii="Times New Roman" w:hAnsi="Times New Roman"/>
          <w:color w:val="000000" w:themeColor="text1"/>
          <w:sz w:val="16"/>
          <w:szCs w:val="16"/>
        </w:rPr>
        <w:softHyphen/>
        <w:t>строительные заводы: Невский им. Ленина, Коломенский, Днеп</w:t>
      </w:r>
      <w:r w:rsidRPr="0044524F">
        <w:rPr>
          <w:rFonts w:ascii="Times New Roman" w:hAnsi="Times New Roman"/>
          <w:color w:val="000000" w:themeColor="text1"/>
          <w:sz w:val="16"/>
          <w:szCs w:val="16"/>
        </w:rPr>
        <w:softHyphen/>
        <w:t>ропетровский и «Красное Сормово». Изготовление паровых энергетических установок (25-50 тыс. л,с.) для боевых кораблей было поручено Харьковскому турбинному заводу; турбинных ме</w:t>
      </w:r>
      <w:r w:rsidRPr="0044524F">
        <w:rPr>
          <w:rFonts w:ascii="Times New Roman" w:hAnsi="Times New Roman"/>
          <w:color w:val="000000" w:themeColor="text1"/>
          <w:sz w:val="16"/>
          <w:szCs w:val="16"/>
        </w:rPr>
        <w:softHyphen/>
        <w:t>ханизмов — Северной Судоверфи и Николаевскому заводу им. Марти. В 1933-1935 гг. на реконструкцию судостроительных за</w:t>
      </w:r>
      <w:r w:rsidRPr="0044524F">
        <w:rPr>
          <w:rFonts w:ascii="Times New Roman" w:hAnsi="Times New Roman"/>
          <w:color w:val="000000" w:themeColor="text1"/>
          <w:sz w:val="16"/>
          <w:szCs w:val="16"/>
        </w:rPr>
        <w:softHyphen/>
        <w:t>водов планировалось ассигновать 200 млн. руб. (РГАЭ 7297, оп. 38, д. 1, л. 42) (1566,102). 5-летнюю программу морского судостроения, принятую в 1933 г., не удалось завершить в полном объеме даже к 1941 го</w:t>
      </w:r>
      <w:r w:rsidRPr="0044524F">
        <w:rPr>
          <w:rFonts w:ascii="Times New Roman" w:hAnsi="Times New Roman"/>
          <w:color w:val="000000" w:themeColor="text1"/>
          <w:sz w:val="16"/>
          <w:szCs w:val="16"/>
        </w:rPr>
        <w:softHyphen/>
        <w:t>ду. По оценке Адмирала флота СССР Н.Г.Кузнецова, «потребо</w:t>
      </w:r>
      <w:r w:rsidRPr="0044524F">
        <w:rPr>
          <w:rFonts w:ascii="Times New Roman" w:hAnsi="Times New Roman"/>
          <w:color w:val="000000" w:themeColor="text1"/>
          <w:sz w:val="16"/>
          <w:szCs w:val="16"/>
        </w:rPr>
        <w:softHyphen/>
        <w:t>вав огромных денежных средств и расхода металла, эта програм</w:t>
      </w:r>
      <w:r w:rsidRPr="0044524F">
        <w:rPr>
          <w:rFonts w:ascii="Times New Roman" w:hAnsi="Times New Roman"/>
          <w:color w:val="000000" w:themeColor="text1"/>
          <w:sz w:val="16"/>
          <w:szCs w:val="16"/>
        </w:rPr>
        <w:softHyphen/>
        <w:t>ма не успела существенно увеличить наши Морские Силы». Всего за 1928-1940 гг. было построено боевых кораблей водо</w:t>
      </w:r>
      <w:r w:rsidRPr="0044524F">
        <w:rPr>
          <w:rFonts w:ascii="Times New Roman" w:hAnsi="Times New Roman"/>
          <w:color w:val="000000" w:themeColor="text1"/>
          <w:sz w:val="16"/>
          <w:szCs w:val="16"/>
        </w:rPr>
        <w:softHyphen/>
        <w:t>измещением 421 тыс. тонн, в том числе: 6 крейсеров, 57 эсмин</w:t>
      </w:r>
      <w:r w:rsidRPr="0044524F">
        <w:rPr>
          <w:rFonts w:ascii="Times New Roman" w:hAnsi="Times New Roman"/>
          <w:color w:val="000000" w:themeColor="text1"/>
          <w:sz w:val="16"/>
          <w:szCs w:val="16"/>
        </w:rPr>
        <w:softHyphen/>
        <w:t>цев, 2 1 сторожевой корабль, 286 подводных лодок, 174 траль</w:t>
      </w:r>
      <w:r w:rsidRPr="0044524F">
        <w:rPr>
          <w:rFonts w:ascii="Times New Roman" w:hAnsi="Times New Roman"/>
          <w:color w:val="000000" w:themeColor="text1"/>
          <w:sz w:val="16"/>
          <w:szCs w:val="16"/>
        </w:rPr>
        <w:softHyphen/>
        <w:t>щика, 1433 торпедных катера. Рекордным для судостроительной промышленности по вводу в строй надводных и подводных ко</w:t>
      </w:r>
      <w:r w:rsidRPr="0044524F">
        <w:rPr>
          <w:rFonts w:ascii="Times New Roman" w:hAnsi="Times New Roman"/>
          <w:color w:val="000000" w:themeColor="text1"/>
          <w:sz w:val="16"/>
          <w:szCs w:val="16"/>
        </w:rPr>
        <w:softHyphen/>
        <w:t>раблей стал 1936-й год. В этом году было спущено на воду 47 подводных лодок, тяжелый крейсер «Киров», лидер эсминцев «Ленинград» (головные корабли соответствующих серий, постро</w:t>
      </w:r>
      <w:r w:rsidRPr="0044524F">
        <w:rPr>
          <w:rFonts w:ascii="Times New Roman" w:hAnsi="Times New Roman"/>
          <w:color w:val="000000" w:themeColor="text1"/>
          <w:sz w:val="16"/>
          <w:szCs w:val="16"/>
        </w:rPr>
        <w:softHyphen/>
        <w:t>енные в исключительно сжатые сроки). 2-му ГУ Наркомата обо</w:t>
      </w:r>
      <w:r w:rsidRPr="0044524F">
        <w:rPr>
          <w:rFonts w:ascii="Times New Roman" w:hAnsi="Times New Roman"/>
          <w:color w:val="000000" w:themeColor="text1"/>
          <w:sz w:val="16"/>
          <w:szCs w:val="16"/>
        </w:rPr>
        <w:softHyphen/>
        <w:t>ронной промышленности, ведавшему морским судостроением, было разрешено без ограничений применять аккордно-премиаль</w:t>
      </w:r>
      <w:r w:rsidRPr="0044524F">
        <w:rPr>
          <w:rFonts w:ascii="Times New Roman" w:hAnsi="Times New Roman"/>
          <w:color w:val="000000" w:themeColor="text1"/>
          <w:sz w:val="16"/>
          <w:szCs w:val="16"/>
        </w:rPr>
        <w:softHyphen/>
        <w:t>ную систему оплаты труда, 10-часовой рабочий день и сверх</w:t>
      </w:r>
      <w:r w:rsidRPr="0044524F">
        <w:rPr>
          <w:rFonts w:ascii="Times New Roman" w:hAnsi="Times New Roman"/>
          <w:color w:val="000000" w:themeColor="text1"/>
          <w:sz w:val="16"/>
          <w:szCs w:val="16"/>
        </w:rPr>
        <w:softHyphen/>
        <w:t>урочные работы (ГАРФ ф. 8418, оп. 12, д. 208, л. 43 (1566,102).</w:t>
      </w:r>
    </w:p>
    <w:p w14:paraId="09DAF241"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p>
    <w:p w14:paraId="2F8C6069"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г. Совет Труда и Обороны СССР принял постановление «О программе военно-морского судостро</w:t>
      </w:r>
      <w:r w:rsidRPr="0044524F">
        <w:rPr>
          <w:rFonts w:ascii="Times New Roman" w:hAnsi="Times New Roman"/>
          <w:color w:val="000000" w:themeColor="text1"/>
          <w:sz w:val="16"/>
          <w:szCs w:val="16"/>
        </w:rPr>
        <w:softHyphen/>
        <w:t>ения на 1933-38 гг.» Согласно этой программе намечалось построить боевые и вспомогательные суда общим водоиз</w:t>
      </w:r>
      <w:r w:rsidRPr="0044524F">
        <w:rPr>
          <w:rFonts w:ascii="Times New Roman" w:hAnsi="Times New Roman"/>
          <w:color w:val="000000" w:themeColor="text1"/>
          <w:sz w:val="16"/>
          <w:szCs w:val="16"/>
        </w:rPr>
        <w:softHyphen/>
        <w:t>мещением свыше 500 тыс. т. Особое место уделялось строительству новых легких крейсеров, вооруженных ар</w:t>
      </w:r>
      <w:r w:rsidRPr="0044524F">
        <w:rPr>
          <w:rFonts w:ascii="Times New Roman" w:hAnsi="Times New Roman"/>
          <w:color w:val="000000" w:themeColor="text1"/>
          <w:sz w:val="16"/>
          <w:szCs w:val="16"/>
        </w:rPr>
        <w:softHyphen/>
        <w:t>тиллерийскими системами главного калибра 180-мм. Все</w:t>
      </w:r>
      <w:r w:rsidRPr="0044524F">
        <w:rPr>
          <w:rFonts w:ascii="Times New Roman" w:hAnsi="Times New Roman"/>
          <w:color w:val="000000" w:themeColor="text1"/>
          <w:sz w:val="16"/>
          <w:szCs w:val="16"/>
        </w:rPr>
        <w:softHyphen/>
        <w:t>го их строилось шесть - по два для Черного и Балтийско</w:t>
      </w:r>
      <w:r w:rsidRPr="0044524F">
        <w:rPr>
          <w:rFonts w:ascii="Times New Roman" w:hAnsi="Times New Roman"/>
          <w:color w:val="000000" w:themeColor="text1"/>
          <w:sz w:val="16"/>
          <w:szCs w:val="16"/>
        </w:rPr>
        <w:softHyphen/>
        <w:t>го морей и два для Тихоокеанского флота.</w:t>
      </w:r>
    </w:p>
    <w:p w14:paraId="375B69D9"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Закладка первых двух легких крейсеров типа «Киров» состоялась в октябре 1935 г. на верфях Ленинграда и Ни</w:t>
      </w:r>
      <w:r w:rsidRPr="0044524F">
        <w:rPr>
          <w:rFonts w:ascii="Times New Roman" w:hAnsi="Times New Roman"/>
          <w:color w:val="000000" w:themeColor="text1"/>
          <w:sz w:val="16"/>
          <w:szCs w:val="16"/>
        </w:rPr>
        <w:softHyphen/>
        <w:t xml:space="preserve">колаева. Это </w:t>
      </w:r>
      <w:r w:rsidRPr="0044524F">
        <w:rPr>
          <w:rFonts w:ascii="Times New Roman" w:hAnsi="Times New Roman"/>
          <w:iCs/>
          <w:color w:val="000000" w:themeColor="text1"/>
          <w:sz w:val="16"/>
          <w:szCs w:val="16"/>
        </w:rPr>
        <w:t xml:space="preserve">были </w:t>
      </w:r>
      <w:r w:rsidRPr="0044524F">
        <w:rPr>
          <w:rFonts w:ascii="Times New Roman" w:hAnsi="Times New Roman"/>
          <w:color w:val="000000" w:themeColor="text1"/>
          <w:sz w:val="16"/>
          <w:szCs w:val="16"/>
        </w:rPr>
        <w:t>первые советские корабли, строивши</w:t>
      </w:r>
      <w:r w:rsidRPr="0044524F">
        <w:rPr>
          <w:rFonts w:ascii="Times New Roman" w:hAnsi="Times New Roman"/>
          <w:color w:val="000000" w:themeColor="text1"/>
          <w:sz w:val="16"/>
          <w:szCs w:val="16"/>
        </w:rPr>
        <w:softHyphen/>
        <w:t>еся с учетом размещения на них вращающейся катапуль</w:t>
      </w:r>
      <w:r w:rsidRPr="0044524F">
        <w:rPr>
          <w:rFonts w:ascii="Times New Roman" w:hAnsi="Times New Roman"/>
          <w:color w:val="000000" w:themeColor="text1"/>
          <w:sz w:val="16"/>
          <w:szCs w:val="16"/>
        </w:rPr>
        <w:softHyphen/>
        <w:t>ты и двух самолетов. Техническое задание на новый кора</w:t>
      </w:r>
      <w:r w:rsidRPr="0044524F">
        <w:rPr>
          <w:rFonts w:ascii="Times New Roman" w:hAnsi="Times New Roman"/>
          <w:color w:val="000000" w:themeColor="text1"/>
          <w:sz w:val="16"/>
          <w:szCs w:val="16"/>
        </w:rPr>
        <w:softHyphen/>
        <w:t>бельный разведчик КОР-1 появилось в 1934 г. - рассказ об этом самолете ниже.</w:t>
      </w:r>
    </w:p>
    <w:p w14:paraId="48F86B2B"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крейсер «Киров» водоизмещением 9436 т спу</w:t>
      </w:r>
      <w:r w:rsidRPr="0044524F">
        <w:rPr>
          <w:rFonts w:ascii="Times New Roman" w:hAnsi="Times New Roman"/>
          <w:color w:val="000000" w:themeColor="text1"/>
          <w:sz w:val="16"/>
          <w:szCs w:val="16"/>
        </w:rPr>
        <w:softHyphen/>
        <w:t>стили на воду в 1936 г., в состав Балтийского флота он во</w:t>
      </w:r>
      <w:r w:rsidRPr="0044524F">
        <w:rPr>
          <w:rFonts w:ascii="Times New Roman" w:hAnsi="Times New Roman"/>
          <w:color w:val="000000" w:themeColor="text1"/>
          <w:sz w:val="16"/>
          <w:szCs w:val="16"/>
        </w:rPr>
        <w:softHyphen/>
        <w:t>шел 29 сентября 1939 г. Второй - «Ворошилов» - водоиз</w:t>
      </w:r>
      <w:r w:rsidRPr="0044524F">
        <w:rPr>
          <w:rFonts w:ascii="Times New Roman" w:hAnsi="Times New Roman"/>
          <w:color w:val="000000" w:themeColor="text1"/>
          <w:sz w:val="16"/>
          <w:szCs w:val="16"/>
        </w:rPr>
        <w:softHyphen/>
        <w:t>мещением 9550 т, спущен на воду в 1937 г., в состав Черно</w:t>
      </w:r>
      <w:r w:rsidRPr="0044524F">
        <w:rPr>
          <w:rFonts w:ascii="Times New Roman" w:hAnsi="Times New Roman"/>
          <w:color w:val="000000" w:themeColor="text1"/>
          <w:sz w:val="16"/>
          <w:szCs w:val="16"/>
        </w:rPr>
        <w:softHyphen/>
        <w:t>морского флота вошел 20 июня 1940 г.</w:t>
      </w:r>
    </w:p>
    <w:p w14:paraId="7D343971"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Следующими стали четыре подобные крейсера типа «Максим Горький»:</w:t>
      </w:r>
    </w:p>
    <w:p w14:paraId="578CA8AC"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«Максим Горький» водоизмещением 9778 т заложили в декабре 1936 г., в 1938 г. он был спущен на воду, 25 октя</w:t>
      </w:r>
      <w:r w:rsidRPr="0044524F">
        <w:rPr>
          <w:rFonts w:ascii="Times New Roman" w:hAnsi="Times New Roman"/>
          <w:color w:val="000000" w:themeColor="text1"/>
          <w:sz w:val="16"/>
          <w:szCs w:val="16"/>
        </w:rPr>
        <w:softHyphen/>
        <w:t>бря 1940 г. вступил в строй Балтийского флота;</w:t>
      </w:r>
    </w:p>
    <w:p w14:paraId="4A2FBBCE"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«Молотов» водоизмещением 9760 т заложили в янва</w:t>
      </w:r>
      <w:r w:rsidRPr="0044524F">
        <w:rPr>
          <w:rFonts w:ascii="Times New Roman" w:hAnsi="Times New Roman"/>
          <w:color w:val="000000" w:themeColor="text1"/>
          <w:sz w:val="16"/>
          <w:szCs w:val="16"/>
        </w:rPr>
        <w:softHyphen/>
        <w:t>ре 1937 г., в 1939 г. он был спущен на воду, в состав Черно</w:t>
      </w:r>
      <w:r w:rsidRPr="0044524F">
        <w:rPr>
          <w:rFonts w:ascii="Times New Roman" w:hAnsi="Times New Roman"/>
          <w:color w:val="000000" w:themeColor="text1"/>
          <w:sz w:val="16"/>
          <w:szCs w:val="16"/>
        </w:rPr>
        <w:softHyphen/>
        <w:t>морского флота вошел 14 июня 1941 г.;</w:t>
      </w:r>
    </w:p>
    <w:p w14:paraId="2444A834"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«Калинин» заложен в 1938 г., в состав Тихоокеанско</w:t>
      </w:r>
      <w:r w:rsidRPr="0044524F">
        <w:rPr>
          <w:rFonts w:ascii="Times New Roman" w:hAnsi="Times New Roman"/>
          <w:color w:val="000000" w:themeColor="text1"/>
          <w:sz w:val="16"/>
          <w:szCs w:val="16"/>
        </w:rPr>
        <w:softHyphen/>
        <w:t>го флота вошел 31 декабря 1942 г.;</w:t>
      </w:r>
    </w:p>
    <w:p w14:paraId="78F5889C"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«Каганович» заложен в 1938 г., в состав Тихоокеан</w:t>
      </w:r>
      <w:r w:rsidRPr="0044524F">
        <w:rPr>
          <w:rFonts w:ascii="Times New Roman" w:hAnsi="Times New Roman"/>
          <w:color w:val="000000" w:themeColor="text1"/>
          <w:sz w:val="16"/>
          <w:szCs w:val="16"/>
        </w:rPr>
        <w:softHyphen/>
        <w:t>ского флота вошел 6 декабря 1944 г. (11107).</w:t>
      </w:r>
    </w:p>
    <w:p w14:paraId="7E86D1F0"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техническими требованиями на но</w:t>
      </w:r>
      <w:r w:rsidRPr="0044524F">
        <w:rPr>
          <w:rFonts w:ascii="Times New Roman" w:hAnsi="Times New Roman"/>
          <w:color w:val="000000" w:themeColor="text1"/>
          <w:sz w:val="16"/>
          <w:szCs w:val="16"/>
        </w:rPr>
        <w:softHyphen/>
        <w:t>вый корабельный разведчик, для крейсеров нужно было построить и новую корабельную катапульту, причем пред</w:t>
      </w:r>
      <w:r w:rsidRPr="0044524F">
        <w:rPr>
          <w:rFonts w:ascii="Times New Roman" w:hAnsi="Times New Roman"/>
          <w:color w:val="000000" w:themeColor="text1"/>
          <w:sz w:val="16"/>
          <w:szCs w:val="16"/>
        </w:rPr>
        <w:softHyphen/>
        <w:t>лагалось установить катапульты не только на крейсеры, но и (в облегченном варианте) на лидеры эсминцев типа «Ленинград». Кроме этого, планировалось оборудовать катапультами шесть ледоколов ГУСМП. Впрочем, на практике катапульту установили только на шести крейсе</w:t>
      </w:r>
      <w:r w:rsidRPr="0044524F">
        <w:rPr>
          <w:rFonts w:ascii="Times New Roman" w:hAnsi="Times New Roman"/>
          <w:color w:val="000000" w:themeColor="text1"/>
          <w:sz w:val="16"/>
          <w:szCs w:val="16"/>
        </w:rPr>
        <w:softHyphen/>
        <w:t>рах, с базированием на них самолетов КОР-1 и КОР-2 (11107).</w:t>
      </w:r>
    </w:p>
    <w:p w14:paraId="1530DB67" w14:textId="77777777" w:rsidR="00D067C1" w:rsidRPr="0044524F" w:rsidRDefault="00D067C1" w:rsidP="009654CF">
      <w:pPr>
        <w:shd w:val="clear" w:color="auto" w:fill="FFFFFF"/>
        <w:spacing w:after="0" w:line="240" w:lineRule="auto"/>
        <w:jc w:val="both"/>
        <w:rPr>
          <w:rFonts w:ascii="Times New Roman" w:hAnsi="Times New Roman"/>
          <w:color w:val="000000" w:themeColor="text1"/>
          <w:sz w:val="16"/>
          <w:szCs w:val="16"/>
        </w:rPr>
      </w:pPr>
    </w:p>
    <w:p w14:paraId="0E5DB199" w14:textId="77777777" w:rsidR="00D067C1" w:rsidRPr="0044524F" w:rsidRDefault="00D067C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г. Совет труда и обороны (СТО) СССР принял постановление «О про</w:t>
      </w:r>
      <w:r w:rsidRPr="0044524F">
        <w:rPr>
          <w:rFonts w:ascii="Times New Roman" w:hAnsi="Times New Roman"/>
          <w:color w:val="000000" w:themeColor="text1"/>
          <w:sz w:val="16"/>
          <w:szCs w:val="16"/>
        </w:rPr>
        <w:softHyphen/>
        <w:t>грамме военно-морского судостроения на 1933-38 гг.». Согласно этой программе наме</w:t>
      </w:r>
      <w:r w:rsidRPr="0044524F">
        <w:rPr>
          <w:rFonts w:ascii="Times New Roman" w:hAnsi="Times New Roman"/>
          <w:color w:val="000000" w:themeColor="text1"/>
          <w:sz w:val="16"/>
          <w:szCs w:val="16"/>
        </w:rPr>
        <w:softHyphen/>
        <w:t>чалось построить боевые и вспомогательные суда общим водоизмещением свыше 500 ты- -яч тонн. Особое место уделялось строитель</w:t>
      </w:r>
      <w:r w:rsidRPr="0044524F">
        <w:rPr>
          <w:rFonts w:ascii="Times New Roman" w:hAnsi="Times New Roman"/>
          <w:color w:val="000000" w:themeColor="text1"/>
          <w:sz w:val="16"/>
          <w:szCs w:val="16"/>
        </w:rPr>
        <w:softHyphen/>
        <w:t>ству новых легких крейсеров общим водоиз</w:t>
      </w:r>
      <w:r w:rsidRPr="0044524F">
        <w:rPr>
          <w:rFonts w:ascii="Times New Roman" w:hAnsi="Times New Roman"/>
          <w:color w:val="000000" w:themeColor="text1"/>
          <w:sz w:val="16"/>
          <w:szCs w:val="16"/>
        </w:rPr>
        <w:softHyphen/>
        <w:t>мещением 8600 т (по первоначальному про</w:t>
      </w:r>
      <w:r w:rsidRPr="0044524F">
        <w:rPr>
          <w:rFonts w:ascii="Times New Roman" w:hAnsi="Times New Roman"/>
          <w:color w:val="000000" w:themeColor="text1"/>
          <w:sz w:val="16"/>
          <w:szCs w:val="16"/>
        </w:rPr>
        <w:softHyphen/>
        <w:t>екту), вооруженных артиллерийскими сис</w:t>
      </w:r>
      <w:r w:rsidRPr="0044524F">
        <w:rPr>
          <w:rFonts w:ascii="Times New Roman" w:hAnsi="Times New Roman"/>
          <w:color w:val="000000" w:themeColor="text1"/>
          <w:sz w:val="16"/>
          <w:szCs w:val="16"/>
        </w:rPr>
        <w:softHyphen/>
        <w:t>темами главною калибра 180-мм. Всего их строилось шесть: по два для Черного и Бал</w:t>
      </w:r>
      <w:r w:rsidRPr="0044524F">
        <w:rPr>
          <w:rFonts w:ascii="Times New Roman" w:hAnsi="Times New Roman"/>
          <w:color w:val="000000" w:themeColor="text1"/>
          <w:sz w:val="16"/>
          <w:szCs w:val="16"/>
        </w:rPr>
        <w:softHyphen/>
        <w:t>тийскою морей и два для Тихоокеанского элота.</w:t>
      </w:r>
      <w:r w:rsidRPr="0044524F">
        <w:rPr>
          <w:rStyle w:val="9pt"/>
          <w:rFonts w:ascii="Times New Roman" w:hAnsi="Times New Roman" w:cs="Times New Roman"/>
          <w:b w:val="0"/>
          <w:i w:val="0"/>
          <w:color w:val="000000" w:themeColor="text1"/>
          <w:sz w:val="16"/>
          <w:szCs w:val="16"/>
        </w:rPr>
        <w:t xml:space="preserve"> Закладка</w:t>
      </w:r>
      <w:r w:rsidRPr="0044524F">
        <w:rPr>
          <w:rFonts w:ascii="Times New Roman" w:hAnsi="Times New Roman"/>
          <w:color w:val="000000" w:themeColor="text1"/>
          <w:sz w:val="16"/>
          <w:szCs w:val="16"/>
        </w:rPr>
        <w:t xml:space="preserve"> двух легких крейсеров типа </w:t>
      </w:r>
      <w:r w:rsidRPr="0044524F">
        <w:rPr>
          <w:rStyle w:val="12pt"/>
          <w:color w:val="000000" w:themeColor="text1"/>
          <w:spacing w:val="0"/>
          <w:sz w:val="16"/>
          <w:szCs w:val="16"/>
        </w:rPr>
        <w:t>«Киров» состоялась в октябре</w:t>
      </w:r>
      <w:r w:rsidRPr="0044524F">
        <w:rPr>
          <w:rFonts w:ascii="Times New Roman" w:hAnsi="Times New Roman"/>
          <w:color w:val="000000" w:themeColor="text1"/>
          <w:sz w:val="16"/>
          <w:szCs w:val="16"/>
        </w:rPr>
        <w:t xml:space="preserve"> 1935 г. на вер</w:t>
      </w:r>
      <w:r w:rsidRPr="0044524F">
        <w:rPr>
          <w:rFonts w:ascii="Times New Roman" w:hAnsi="Times New Roman"/>
          <w:color w:val="000000" w:themeColor="text1"/>
          <w:sz w:val="16"/>
          <w:szCs w:val="16"/>
        </w:rPr>
        <w:softHyphen/>
        <w:t>фях Ленинграда и Николаева. Это были пер</w:t>
      </w:r>
      <w:r w:rsidRPr="0044524F">
        <w:rPr>
          <w:rFonts w:ascii="Times New Roman" w:hAnsi="Times New Roman"/>
          <w:color w:val="000000" w:themeColor="text1"/>
          <w:sz w:val="16"/>
          <w:szCs w:val="16"/>
        </w:rPr>
        <w:softHyphen/>
        <w:t>вые советские корабли, изначально строив</w:t>
      </w:r>
      <w:r w:rsidRPr="0044524F">
        <w:rPr>
          <w:rFonts w:ascii="Times New Roman" w:hAnsi="Times New Roman"/>
          <w:color w:val="000000" w:themeColor="text1"/>
          <w:sz w:val="16"/>
          <w:szCs w:val="16"/>
        </w:rPr>
        <w:softHyphen/>
        <w:t>шиеся с учетом размещения на них вращаю</w:t>
      </w:r>
      <w:r w:rsidRPr="0044524F">
        <w:rPr>
          <w:rFonts w:ascii="Times New Roman" w:hAnsi="Times New Roman"/>
          <w:color w:val="000000" w:themeColor="text1"/>
          <w:sz w:val="16"/>
          <w:szCs w:val="16"/>
        </w:rPr>
        <w:softHyphen/>
        <w:t>щейся катапульты и двух самолетов. Техни</w:t>
      </w:r>
      <w:r w:rsidRPr="0044524F">
        <w:rPr>
          <w:rFonts w:ascii="Times New Roman" w:hAnsi="Times New Roman"/>
          <w:color w:val="000000" w:themeColor="text1"/>
          <w:sz w:val="16"/>
          <w:szCs w:val="16"/>
        </w:rPr>
        <w:softHyphen/>
        <w:t>ческое задание на новый корабельный раз</w:t>
      </w:r>
      <w:r w:rsidRPr="0044524F">
        <w:rPr>
          <w:rFonts w:ascii="Times New Roman" w:hAnsi="Times New Roman"/>
          <w:color w:val="000000" w:themeColor="text1"/>
          <w:sz w:val="16"/>
          <w:szCs w:val="16"/>
        </w:rPr>
        <w:softHyphen/>
        <w:t>ведчик КОР-1 появилось в 1934 г. (12301).</w:t>
      </w:r>
    </w:p>
    <w:p w14:paraId="3B72F062" w14:textId="77777777" w:rsidR="00D067C1" w:rsidRPr="0044524F" w:rsidRDefault="00D067C1" w:rsidP="009654CF">
      <w:pPr>
        <w:spacing w:after="0" w:line="240" w:lineRule="auto"/>
        <w:jc w:val="both"/>
        <w:rPr>
          <w:rFonts w:ascii="Times New Roman" w:hAnsi="Times New Roman"/>
          <w:color w:val="000000" w:themeColor="text1"/>
          <w:sz w:val="16"/>
          <w:szCs w:val="16"/>
        </w:rPr>
      </w:pPr>
    </w:p>
    <w:p w14:paraId="437CA31D" w14:textId="77777777" w:rsidR="00D067C1" w:rsidRPr="0044524F" w:rsidRDefault="00D067C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г. несколько со</w:t>
      </w:r>
      <w:r w:rsidRPr="0044524F">
        <w:rPr>
          <w:rFonts w:ascii="Times New Roman" w:hAnsi="Times New Roman"/>
          <w:color w:val="000000" w:themeColor="text1"/>
          <w:sz w:val="16"/>
          <w:szCs w:val="16"/>
        </w:rPr>
        <w:softHyphen/>
        <w:t>кращенный Реввоенсоветом проект программы УВМС РККА был утвержден постановлением СТО "О программе военно-морского строитель</w:t>
      </w:r>
      <w:r w:rsidRPr="0044524F">
        <w:rPr>
          <w:rFonts w:ascii="Times New Roman" w:hAnsi="Times New Roman"/>
          <w:color w:val="000000" w:themeColor="text1"/>
          <w:sz w:val="16"/>
          <w:szCs w:val="16"/>
        </w:rPr>
        <w:softHyphen/>
        <w:t>ства на 1933—1938 гг." Программа предусматривала постройку 872 боевых единиц, в том числе 369 подводных лодок и 503 надводых кораблей и катеров. В программу были включены также восста</w:t>
      </w:r>
      <w:r w:rsidRPr="0044524F">
        <w:rPr>
          <w:rFonts w:ascii="Times New Roman" w:hAnsi="Times New Roman"/>
          <w:color w:val="000000" w:themeColor="text1"/>
          <w:sz w:val="16"/>
          <w:szCs w:val="16"/>
        </w:rPr>
        <w:softHyphen/>
        <w:t>новление и модернизация линкоров "Фрунзе" и "Парижская комму</w:t>
      </w:r>
      <w:r w:rsidRPr="0044524F">
        <w:rPr>
          <w:rFonts w:ascii="Times New Roman" w:hAnsi="Times New Roman"/>
          <w:color w:val="000000" w:themeColor="text1"/>
          <w:sz w:val="16"/>
          <w:szCs w:val="16"/>
        </w:rPr>
        <w:softHyphen/>
        <w:t>на", крейсера (учебного) "Ворошилов", минзага "Штандарт" и учеб</w:t>
      </w:r>
      <w:r w:rsidRPr="0044524F">
        <w:rPr>
          <w:rFonts w:ascii="Times New Roman" w:hAnsi="Times New Roman"/>
          <w:color w:val="000000" w:themeColor="text1"/>
          <w:sz w:val="16"/>
          <w:szCs w:val="16"/>
        </w:rPr>
        <w:softHyphen/>
        <w:t>ного судна "Полярная звезда". Одновременно планировалось по</w:t>
      </w:r>
      <w:r w:rsidRPr="0044524F">
        <w:rPr>
          <w:rFonts w:ascii="Times New Roman" w:hAnsi="Times New Roman"/>
          <w:color w:val="000000" w:themeColor="text1"/>
          <w:sz w:val="16"/>
          <w:szCs w:val="16"/>
        </w:rPr>
        <w:softHyphen/>
        <w:t>строить 143 различных вспомогательных судна для ВМС РККА и 26 кораблей для "флота ОГПУ" (морской пограничной охраны), включая два крейсера пограничной охраны, два сторожевых кораб</w:t>
      </w:r>
      <w:r w:rsidRPr="0044524F">
        <w:rPr>
          <w:rFonts w:ascii="Times New Roman" w:hAnsi="Times New Roman"/>
          <w:color w:val="000000" w:themeColor="text1"/>
          <w:sz w:val="16"/>
          <w:szCs w:val="16"/>
        </w:rPr>
        <w:softHyphen/>
        <w:t>ля и девять быстроходных тральщиков (3898).</w:t>
      </w:r>
    </w:p>
    <w:p w14:paraId="1F8A5C44" w14:textId="77777777" w:rsidR="00D067C1" w:rsidRPr="0044524F" w:rsidRDefault="00D067C1" w:rsidP="009654CF">
      <w:pPr>
        <w:spacing w:after="0" w:line="240" w:lineRule="auto"/>
        <w:jc w:val="both"/>
        <w:rPr>
          <w:rFonts w:ascii="Times New Roman" w:hAnsi="Times New Roman"/>
          <w:color w:val="000000" w:themeColor="text1"/>
          <w:sz w:val="16"/>
          <w:szCs w:val="16"/>
        </w:rPr>
      </w:pPr>
    </w:p>
    <w:p w14:paraId="1A02502E" w14:textId="77777777" w:rsidR="00A91CEB" w:rsidRPr="0044524F" w:rsidRDefault="00A91CE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в 1933 году Совет Труда и Обороны СССР принял постановление "О программе военно-морского строительства на 1933-1938 гг.", согласно которому ВМФ должен был получить около 1500 боевых кораблей, катеров и вспомогательных судов (14949).</w:t>
      </w:r>
    </w:p>
    <w:p w14:paraId="65CAC661" w14:textId="77777777" w:rsidR="00A91CEB" w:rsidRPr="0044524F" w:rsidRDefault="00A91CEB" w:rsidP="009654CF">
      <w:pPr>
        <w:spacing w:after="0" w:line="240" w:lineRule="auto"/>
        <w:jc w:val="both"/>
        <w:rPr>
          <w:rFonts w:ascii="Times New Roman" w:hAnsi="Times New Roman"/>
          <w:color w:val="000000" w:themeColor="text1"/>
          <w:sz w:val="16"/>
          <w:szCs w:val="16"/>
        </w:rPr>
      </w:pPr>
    </w:p>
    <w:p w14:paraId="2F2976FE" w14:textId="77777777" w:rsidR="00D067C1" w:rsidRPr="0044524F" w:rsidRDefault="00D067C1" w:rsidP="009654CF">
      <w:pPr>
        <w:pStyle w:val="rtejustify"/>
        <w:spacing w:before="0" w:after="0"/>
        <w:rPr>
          <w:color w:val="000000" w:themeColor="text1"/>
          <w:sz w:val="16"/>
          <w:szCs w:val="16"/>
        </w:rPr>
      </w:pPr>
      <w:r w:rsidRPr="0044524F">
        <w:rPr>
          <w:rStyle w:val="af0"/>
          <w:bCs/>
          <w:i w:val="0"/>
          <w:color w:val="000000" w:themeColor="text1"/>
          <w:sz w:val="16"/>
          <w:szCs w:val="16"/>
        </w:rPr>
        <w:t>11 июля</w:t>
      </w:r>
      <w:r w:rsidRPr="0044524F">
        <w:rPr>
          <w:color w:val="000000" w:themeColor="text1"/>
          <w:sz w:val="16"/>
          <w:szCs w:val="16"/>
        </w:rPr>
        <w:t xml:space="preserve">. </w:t>
      </w:r>
      <w:hyperlink r:id="rId260" w:history="1">
        <w:r w:rsidRPr="0044524F">
          <w:rPr>
            <w:rStyle w:val="a5"/>
            <w:color w:val="000000" w:themeColor="text1"/>
            <w:sz w:val="16"/>
            <w:szCs w:val="16"/>
          </w:rPr>
          <w:t>Постановление СТО СССР № 58сс/о «О программе военно-морского судостроения на 1933</w:t>
        </w:r>
        <w:r w:rsidRPr="0044524F">
          <w:rPr>
            <w:rStyle w:val="a5"/>
            <w:color w:val="000000" w:themeColor="text1"/>
            <w:sz w:val="16"/>
            <w:szCs w:val="16"/>
          </w:rPr>
          <w:noBreakHyphen/>
          <w:t>1938 г.»</w:t>
        </w:r>
      </w:hyperlink>
      <w:r w:rsidRPr="0044524F">
        <w:rPr>
          <w:color w:val="000000" w:themeColor="text1"/>
          <w:sz w:val="16"/>
          <w:szCs w:val="16"/>
        </w:rPr>
        <w:t>. (ГА РФ. Ф. Р</w:t>
      </w:r>
      <w:r w:rsidRPr="0044524F">
        <w:rPr>
          <w:color w:val="000000" w:themeColor="text1"/>
          <w:sz w:val="16"/>
          <w:szCs w:val="16"/>
        </w:rPr>
        <w:noBreakHyphen/>
        <w:t>8418. Оп. 28. Д. 2. Л. 13</w:t>
      </w:r>
      <w:r w:rsidRPr="0044524F">
        <w:rPr>
          <w:color w:val="000000" w:themeColor="text1"/>
          <w:sz w:val="16"/>
          <w:szCs w:val="16"/>
        </w:rPr>
        <w:noBreakHyphen/>
        <w:t>31) (15460).</w:t>
      </w:r>
    </w:p>
    <w:p w14:paraId="64C6BC7F" w14:textId="77777777" w:rsidR="00D067C1" w:rsidRPr="0044524F" w:rsidRDefault="00D067C1" w:rsidP="009654CF">
      <w:pPr>
        <w:pStyle w:val="rtejustify"/>
        <w:spacing w:before="0" w:after="0"/>
        <w:rPr>
          <w:color w:val="000000" w:themeColor="text1"/>
          <w:sz w:val="16"/>
          <w:szCs w:val="16"/>
        </w:rPr>
      </w:pPr>
    </w:p>
    <w:p w14:paraId="373A4641" w14:textId="77777777" w:rsidR="00D067C1" w:rsidRPr="0044524F" w:rsidRDefault="00D067C1"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11 июля 1933 г. </w:t>
      </w:r>
      <w:r w:rsidRPr="0044524F">
        <w:rPr>
          <w:rFonts w:ascii="Times New Roman" w:hAnsi="Times New Roman"/>
          <w:color w:val="000000" w:themeColor="text1"/>
          <w:sz w:val="16"/>
          <w:szCs w:val="16"/>
        </w:rPr>
        <w:t>Постановление СТО СССР № 58сс/о «О программе военно-морского судостроения на 1933</w:t>
      </w:r>
      <w:r w:rsidRPr="0044524F">
        <w:rPr>
          <w:rFonts w:ascii="Times New Roman" w:hAnsi="Times New Roman"/>
          <w:color w:val="000000" w:themeColor="text1"/>
          <w:sz w:val="16"/>
          <w:szCs w:val="16"/>
        </w:rPr>
        <w:noBreakHyphen/>
        <w:t>1938 гг.»</w:t>
      </w:r>
    </w:p>
    <w:p w14:paraId="51A5F797" w14:textId="77777777" w:rsidR="00D067C1" w:rsidRPr="0044524F" w:rsidRDefault="00D067C1"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67183CBC"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Совет труда и обороны постановляет:</w:t>
      </w:r>
    </w:p>
    <w:p w14:paraId="27DEF32E"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1. Установить программу военно-морского судостроения на период 1933</w:t>
      </w:r>
      <w:r w:rsidRPr="0044524F">
        <w:rPr>
          <w:color w:val="000000" w:themeColor="text1"/>
          <w:sz w:val="16"/>
          <w:szCs w:val="16"/>
        </w:rPr>
        <w:noBreakHyphen/>
        <w:t>1938 гг. в количестве кораблей и со сроками закладки и сдачи, согласно прилагаемой таблицы № 1 (по боевому флоту), таблицы № 2 (по вспомогательным судам и плавучим средствам) и таблицы № 3 (корабли морской погранохраны ОГПУ)¹*.</w:t>
      </w:r>
    </w:p>
    <w:p w14:paraId="2F24015B"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2. Обязать НКТП, под личную ответственность т. Орджоникидзе и т. Кондратьева, развернуть осуществление этой программы в масштабе, обеспечивающем выполнение ее в установленные сроки, использовав для этого все наличные судостроительные предприятия как основную базу судостроения и срочно расширив их производственные возможности путем расшивки узких мест. Одновременно должны быть привлечены к исполнению заказов судостроения, связанных с выполнением программы, все необходимые заводы других отраслей промышленности, являющиеся основными поставщиками материалов, заготовок, специализированных изделий, механизмов и вооружения судов.</w:t>
      </w:r>
    </w:p>
    <w:p w14:paraId="1354CB24"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3. Для быстрого развертывания средств судостроительных предприятий в соответствии с предстоящей им нагрузкой возложить на НКТП следующие обязательства:</w:t>
      </w:r>
    </w:p>
    <w:p w14:paraId="3701D7B4"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I. Приступить теперь же и закончить в двухлетний срок реконструкцию, модернизацию и расширение всех существующих заводов на верфи ГУСПа²*, ассигновав на это назначение в 1934 и 1935 гг. для пополнения основного капитала до 200 млн. руб.</w:t>
      </w:r>
    </w:p>
    <w:p w14:paraId="5CBCF3FF"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II. Одновременно с доведением до предельной мощности существующей судостроительной базы развернуть строительство новых судостроительных верфей, для чего: а) форсировать окончание Амурской верфи, обеспечив ее строительство необходимыми материалами и финансовыми средствами для возможности начала сборки судов уже освоенных типов из заготовок с заводов СССР, начиная с января 1934 г., с тем, чтобы с 1 сентября 1934 г. Амурверфь могла перейти к постройке новых типов, опираясь на собственные обслуживающие цеха; б) приступить к строительству Мариупольского судостроительного завода, с тем, чтобы в первой половине 1935 г. начать на нем закладку и постройку подводных лодок и эсминцев; в) создать новые подсобные судосборочные верфи с необходимыми монтажными цехами и оборудованием в следующих пунктах: на Белом море — в Архангельске и Сороке, на Черном море — в Николаеве на бывшем заводе «Ремсуд» в качестве баз для подводного судостроения; г) расширить на заводе «Марти» цеха по постройке торпедных катеров и катеров вспомогательного назначения, доведя производительность цеха до выпуска в год 100 катеров первого типа и 50 — второго.</w:t>
      </w:r>
    </w:p>
    <w:p w14:paraId="57E97525"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III. Возложить на НКТП обязанность, одновременно с развитием строительства нового флота, создать на всех морях мощные судоремонтные базы для производства капитального ремонта военных кораблей, оставляя текущий ремонт за НКВМ.</w:t>
      </w:r>
    </w:p>
    <w:p w14:paraId="324001C8"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 xml:space="preserve">IV. В целях максимального расширения судостроительной базы без сооружения новых предприятий, НКТП поставить военное судостроение на заводах «Красное Сормово», Невском заводе им. Ленина, Коломенском заводе, Днепропетровском заводе Стальмоста. Специализировать эти заводы на следующих производствах: а) «Красное Сормово» — на постройке подводных лодок, мониторов, канонерских лодок, в части машиностроительной — для изготовления судовых дизелей, а также как дублера по производству торпедного вооружения (аппаратов, толкачей, компрессоров) и как базу по стальному литью, механическим изделиям и изготовлению гребных винтов; б) Коломенский завод — помимо основного назначения как главной базы по дизелестроению нагрузить постройкой средних подводных лодок для ДВ; в) Невский завод им. Ленина — использовать для капитального ремонта торпедных судов, а также для поставки стального литья, поковок и вспомогательных </w:t>
      </w:r>
      <w:r w:rsidRPr="0044524F">
        <w:rPr>
          <w:color w:val="000000" w:themeColor="text1"/>
          <w:sz w:val="16"/>
          <w:szCs w:val="16"/>
        </w:rPr>
        <w:lastRenderedPageBreak/>
        <w:t>механизмов для судостроения; г) Завод Ворошилова — присоединить к смежному с ним заводу «Марти» с полным подчинением Главсудстрою для расширения производства торпедного вооружения и катеростроения; д) максимально использовать верфи речного судостроения, возложив на них постройку малых и легких кораблей для разгрузки от этих заказов крупных заводов, проведя указанные мероприятия за счет сокращения программы речного судостроения (коммерческого). В частности организовать на заводе «Ленинская кузня» (Киев) постройку мониторов, канлодок, бронекатеров и вспомогательного флота; е) Обязать ОГПУ построить на своей судоверфи в Ленинграде быстроходные сторожевые катера и корабли (охотники за подлодками), поименованные в пп. 4, 5, 6, 8, 9 и 10 таблицы № 3. НКФину СССР³* предусмотреть по смете ОГПУ на 1934</w:t>
      </w:r>
      <w:r w:rsidRPr="0044524F">
        <w:rPr>
          <w:color w:val="000000" w:themeColor="text1"/>
          <w:sz w:val="16"/>
          <w:szCs w:val="16"/>
        </w:rPr>
        <w:noBreakHyphen/>
        <w:t>1938 гг. отпуск соответствующих кредитов по заявке ОГПУ для выполнения этого строительства.</w:t>
      </w:r>
    </w:p>
    <w:p w14:paraId="5C911A5D"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V. Так как наиболее узким местом судостроения может стать обеспечение постройки кораблей главными и вспомогательными механизмами, электрооборудованием и судостроительными материалами, на эту сторону организации судостроения НКТП обратить самое серьезное внимание, распределив необходимые производства между соответствующими отраслями и предприятиями за личной ответственностью их руководителей, в частности:</w:t>
      </w:r>
    </w:p>
    <w:p w14:paraId="45AD5147"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1. По турбостроению: а) обязать Главэнергопром⁴*, под личную ответственность т. Филимонова, немедленно приступить к постановке производства морских турбин на Харьковском турбозаводе, в агрегатах по 25 тыс. — 50 тыс. л. с. на общую годовую производительность 1 млн. л. с., а также поставить производство главных и вспомогательных морских турбин на заводе им. Сталина и «Красный путиловец»; б) предложить ГУСПу (т. Кондратьеву) срочно расширить производство турбинных механизмов на Северной судоверфи (в кооперировании с заводом «Красный путиловец») и на Никгосзаводе им. Марти до общей мощности 300 тыс. л. с. для первого завода и 200 тыс. л. с. — для второго; в) обязать Главмашпром⁵*, под ответственность т. Пудалова, поставить производство на Уральском машиностроительном заводе кованых роторов, заготовок для зубчатых передач, а также коллекторов с термической обработкой поковок, доведя это производство до масштаба, полностью удовлетворяющего потребности судостроительной промышленности; г) под ответственность т. Павлуновского и т. Будняка поставить в необходимом размере производство валов и роторов на заводе «Баррикады»; д) организовать на заводе «Электросталь» производство лопаточного материала из нержавеющей стали в количестве и ассортименте, обеспечивающем турбостроение.</w:t>
      </w:r>
    </w:p>
    <w:p w14:paraId="2513F56C"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2. По дизелестроению: а) НКТП, под ответственность т. Доценко и т. Пудалова, расширить производство судовых дизелей на Коломенском заводе до годового выпуска в 350 тыс. л. с. к 1935 г., в агрегатах по 800 л. с., 1600 л. с. и 3 тыс. — 4 тыс. л. с., и довести производство судовых дизелей на заводе «Русский дизель» до 60 тыс. л. с. в 1935 г., в агрегатах по 800 л. с. и 1600 л. с.; специализировать завод «Красное Сормово» на производство легких дизелей в 3 тыс. </w:t>
      </w:r>
      <w:r w:rsidRPr="0044524F">
        <w:rPr>
          <w:color w:val="000000" w:themeColor="text1"/>
          <w:sz w:val="16"/>
          <w:szCs w:val="16"/>
        </w:rPr>
        <w:noBreakHyphen/>
        <w:t>4 тыс. л. с., обеспечить выпуск судовых дизелей с завода «Двигатель Революции» и Воронежского завода; б) НКТП предусмотреть обеспечение дизелями кроме вновь строящихся судов также капитально ремонтируемые и модернизируемые подлодки, мониторы и плавбазы; в) обязать ГУАП, под личную ответственность т. Баранова, поставить серийное производство судовых моторов авиационного типа с реверсивными муфтами общей мощностью до 200 тыс. л. с. в год.</w:t>
      </w:r>
    </w:p>
    <w:p w14:paraId="09BB07E7"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3. По вспомогательным механизмам: а) обязать ГУСП обеспечить военное судостроение производством судовой арматуры и приводов, а также расширить производство гребных винтов, обтекателей и дейдвудных деталей; б) обязать Главмашпром, под ответственность т. Пудалова и т. Владимирского, организовать по насосно-компрессорному объединению производство холодильных установок, насосов, турбокомпрессоров и гидромуфт; в) завод «Манометр» (Москва) переключить на производство приборов для кораблей (манометров, тахометров и др.) и одновременно дублировать производство этих приборов на заводе «Авиаприбор»; г) специализировать завод «К. Либкнехт» на производство воздухохранителей высокого давления, усилив его добавочным оборудованием и утроив его производительность; завод «Сепаратор» (Пермь) на изготовление масляных сепараторов; завод ХПЗ (Харьков) на производство муфт «Бамаг»; заводы «Борец» и «Красный факел» на производство поршневых и центробежных насосов и компрессоров, расширив эти заводы; д) для срочного пополнения станочного парка механических цехов заводов «Ремсуд», Балтзавод и «Марти» и завод № 6 обязать т. Кагановича обеспечить эти заводы соответствующим количеством и типом станков.</w:t>
      </w:r>
    </w:p>
    <w:p w14:paraId="672AF053"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4. По электрооборудованию: обязать Главэнергопром а) расширить и реконструировать на ХЭМЗе цех машин и аппаратуры постоянного тока, доведя его производительность до полного обеспечения потребностей судостроения в главных электродвигателях; поставить производство постоянных машин средней и малой мощности на заводе «Электросила»; б) расширить производство аппаратуры слабого тока для подлодок и других кораблей на заводе им. Кулакова в Ленинграде; в) организовать производство гирокомпасов на одном из заводов ВЭСО; г) расширить аккумуляторные заводы им. л[ейтенанта] Шмидта в Ленинграде и Саратовский завод свинцовых аккумуляторов до мощности 120 батарей в год; д) построить завод для электрической рафинировки свинца производительностью 8 тыс. </w:t>
      </w:r>
      <w:r w:rsidRPr="0044524F">
        <w:rPr>
          <w:color w:val="000000" w:themeColor="text1"/>
          <w:sz w:val="16"/>
          <w:szCs w:val="16"/>
        </w:rPr>
        <w:noBreakHyphen/>
        <w:t>9 тыс. т свинца в год. Специализировать завод «Свободный труд» в Ярославле на производстве свинцового сурика для подлодочных аккумуляторов, обеспечив его снабжением надлежащего качества свинцом; е) обеспечить необходимый выпуск кабеля для судовой электропроводки, сосредоточив производство кабеля на заводе «Севкабель»; ж) расширить и укрепить электромонтажные мастерские ЭМСа на ДВ и в г. Николаеве и организовать их вновь в Мариуполе, Сормове, Архангельске и на Амурском заводе.</w:t>
      </w:r>
    </w:p>
    <w:p w14:paraId="75527DF6"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5. По металлу: а) обязать ГУМП, под ответственность тт. Гуревича и Точинского, обеспечить развертывание судостроения своевременной поставкой катанного металла, сосредоточив прокат высококачественной судостроительной стали на определенных металлургических заводах, уже освоивших это производство: Мариупольском, Ижорском, «Красном путиловце», им. Дзержинского, им. Петровского, им. Рыкова; б) разрешить НКТП для возможности произвести предусмотренную программой закладку судов в конце 1933 и начале 1934 г. приобрести за счет импортных контингентов НКТП до 25 тыс. т судостроительной стали. Дальнейший импорт стали для военного судостроения категорически запретить, возложив на ГУМП ответственность за бесперебойное снабжение судостроения металлом с заводов Союза; в) НКТП обеспечить производство на Ижорском заводе надлежащего качества толстой судовой брони, а также легкой противопульной брони.</w:t>
      </w:r>
    </w:p>
    <w:p w14:paraId="78B73016"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6. Обязать НКТП, под ответственность т. Павлуновского, обеспечить программу судостроения необходимым вооружением (180</w:t>
      </w:r>
      <w:r w:rsidRPr="0044524F">
        <w:rPr>
          <w:color w:val="000000" w:themeColor="text1"/>
          <w:sz w:val="16"/>
          <w:szCs w:val="16"/>
        </w:rPr>
        <w:noBreakHyphen/>
        <w:t>мм башенными установками, 130</w:t>
      </w:r>
      <w:r w:rsidRPr="0044524F">
        <w:rPr>
          <w:color w:val="000000" w:themeColor="text1"/>
          <w:sz w:val="16"/>
          <w:szCs w:val="16"/>
        </w:rPr>
        <w:noBreakHyphen/>
        <w:t>мм/45 кал. спаренными системами, 100</w:t>
      </w:r>
      <w:r w:rsidRPr="0044524F">
        <w:rPr>
          <w:color w:val="000000" w:themeColor="text1"/>
          <w:sz w:val="16"/>
          <w:szCs w:val="16"/>
        </w:rPr>
        <w:noBreakHyphen/>
        <w:t>мм и 45</w:t>
      </w:r>
      <w:r w:rsidRPr="0044524F">
        <w:rPr>
          <w:color w:val="000000" w:themeColor="text1"/>
          <w:sz w:val="16"/>
          <w:szCs w:val="16"/>
        </w:rPr>
        <w:noBreakHyphen/>
        <w:t>мм орудиями, артбоезапасом, торпедами, минами и проч.), а также средствами связи, оптики и телемеханики. При подаче вооружения на корабли жестко соблюдать комплектность для обеспечения полной боевой готовности кораблей при вступлении их в строй. НКТП (т. Павлуновскому) в декадный срок разработать и доложить СТО конкретный план мероприятий для своевременного изготовления промышленностью указанных средств вооружения и связи.</w:t>
      </w:r>
    </w:p>
    <w:p w14:paraId="26BCC796"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7. Обратить особое внимание НКТП (тт. Орджоникидзе и Кондратьева) на категорическую необходимость жесткого соблюдения установленных программой судостроения сроков закладки и сдачи кораблей, а также решительного повышения качества работ по военному судостроению.</w:t>
      </w:r>
    </w:p>
    <w:p w14:paraId="33418841"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8. Обязать НКТП (тт. Орджоникидзе и Кондратьева) добиться максимального снижения стоимости кораблей путем надлежащей организации производства на заводах.</w:t>
      </w:r>
    </w:p>
    <w:p w14:paraId="7414F961"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9. Для обеспечения систематического усовершенствования вводимых в строй боевых кораблей предусмотреть последовательное улучшение типов новых серий судов, базируясь на опыте освоения головных образцов.</w:t>
      </w:r>
    </w:p>
    <w:p w14:paraId="63B00149"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10. Обязать НКВМ дать эскизные проекты судов, программы закладок 1934 г., в том числе эсминцев и крейсеров, не позже IV квартала 1933 г. Выдать заказ ГУСПу на достройку двух законсервированных подлодок типа «Правда». По уточнении вопроса с приобретением проектов итальянских турбин, установить окончательный вариант переустройства линкора «Фрунзе» в линейный крейсер, а также подтвердить заказ на развертывание работ по капитальному ремонту и модернизации л/к «Парижская Коммуна».</w:t>
      </w:r>
    </w:p>
    <w:p w14:paraId="722E41E1"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11. Для возможности наилучшего использования коммерческого флота в качестве резерва для пополнения военно-морских сил вспомогательными судами в военное время (минные заградители, тральщики, авиатранспорты и проч.) обязать НКТП и НКВод при разработке проектов и постройке этих судов максимально подчинить строительство их интересам обороны, хотя бы с некоторым ущербом для эксплуатации судов в мирное время.</w:t>
      </w:r>
    </w:p>
    <w:p w14:paraId="73A2584F"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С этой целью: 1) Обязать ГУСП в течение 1933</w:t>
      </w:r>
      <w:r w:rsidRPr="0044524F">
        <w:rPr>
          <w:color w:val="000000" w:themeColor="text1"/>
          <w:sz w:val="16"/>
          <w:szCs w:val="16"/>
        </w:rPr>
        <w:noBreakHyphen/>
        <w:t>1935 гг. выполнить по заданиям НКВМ специальные оборудования на 25 торговых судах, находящихся в строю, а именно: а) закончить оборудование под минные заградители на заводах Балтийского района лесовозов IV серии («Куйбышев», «Микоян», «Бухарин», «Молотов») — 4 ед.; б) закончить оборудование под минные заградители на заводах Черноморского района черноморско-азовских теплоходов («Дельфин» и «Чайка») — 2 ед.; в) оборудовать под минные заградители на заводах Дальневосточного района лесовозов II серии («Григорий Зиновьев» и «Товарищ Красин») и тов[арно-]пассажирских пароходов («Астрахань», «Тобольск», «Теодор Нетте», «Симферополь») — 6 ед.; г) оборудовать под авиатранспорты на заводе Дальневосточного района дальневосточные пароходы («Сучан», «Север», «Свердловск», «Смоленск», «Сахалин» и «Сталинград») — 6 ед.; д) оборудовать под минные заградители на заводах Северного района лесовозы I, II и III серии («Урицкий», «Володарский», «М. Томский», «Товарищ Сталин», «Крестьянин», «Рабочий» и «Искра») — 7 ед.</w:t>
      </w:r>
    </w:p>
    <w:p w14:paraId="3622CD67"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2) Обязать ГУСП закончить в течение 1933</w:t>
      </w:r>
      <w:r w:rsidRPr="0044524F">
        <w:rPr>
          <w:color w:val="000000" w:themeColor="text1"/>
          <w:sz w:val="16"/>
          <w:szCs w:val="16"/>
        </w:rPr>
        <w:noBreakHyphen/>
        <w:t>1935 гг. постройку 16 торговых судов из числа строящихся и оборудовать их: а) под минные заградители — Балтийские лесовозы V и V</w:t>
      </w:r>
      <w:r w:rsidRPr="0044524F">
        <w:rPr>
          <w:color w:val="000000" w:themeColor="text1"/>
          <w:sz w:val="16"/>
          <w:szCs w:val="16"/>
        </w:rPr>
        <w:noBreakHyphen/>
        <w:t>бис серии — 4 ед.; б) под минные заградители Черноморские грузовые однопалубные пароходы 1500 т грузоподъемности — 4 ед.; в) под авиатранспорты Черноморские грузовые пароходы 3000 т грузоподъемности — 5 ед.; г) под авиатранспорты грузовые теплоходы для Каспийского моря 1650 т грузоподъемности — 3 ед.;</w:t>
      </w:r>
    </w:p>
    <w:p w14:paraId="702EC840"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3) При дальнейшей постройке судов торгфлота по заказам НКВода и НКСнаба предусмотреть следующее использование их по военному времени: а) тов[арно-]пассажирские теплоходы Черного моря под вспомогательные крейсеры; б) быстроходные пассажирские теплоходы на Балтийском, Северном и Тихоокеанском бассейнах в качестве вспомогательных крейсеров; в) рыболовные траулеры с осадкой не более 2,4 м в качестве тральщиков — 30 ед.</w:t>
      </w:r>
    </w:p>
    <w:p w14:paraId="4DC5254D"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4) НКВМ совместно с НКТП и НКВодом проверить возможность использования и оборудования в качестве плавбаз для подлодок 3</w:t>
      </w:r>
      <w:r w:rsidRPr="0044524F">
        <w:rPr>
          <w:color w:val="000000" w:themeColor="text1"/>
          <w:sz w:val="16"/>
          <w:szCs w:val="16"/>
        </w:rPr>
        <w:noBreakHyphen/>
        <w:t>5 судов Совторгфлота из числа уже построенных в СССР и закупленных за границей. Результаты проверки доложить правительству в месячный срок.</w:t>
      </w:r>
    </w:p>
    <w:p w14:paraId="1F34E419"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12. Обязать НКТП, под ответственность т. Фигатнера, провести в III квартале 1933 г. мобилизацию рабочих в количестве до 2 тыс. чел. с соответствующим числом мастеров и техперсонала для комплектования верфей Дальнего Востока.</w:t>
      </w:r>
    </w:p>
    <w:p w14:paraId="4B1F66DA"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lastRenderedPageBreak/>
        <w:t>13. Предложить НКВМ при увольнении в бессрочный отпуск краснофлотцев, красноармейцев из состава ОКДВА произвести отбор подходящих для судостроения квалифицированных рабочих и провести кампанию по их закреплению на судостроительных заводах ДВК.</w:t>
      </w:r>
    </w:p>
    <w:p w14:paraId="0EB995E3"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14. Разрешить НКТП за счет его контингентов выдать открытую лицензию на сумму до 100 тыс. руб. «Дальзаводу» и «Остону» на приобретение в Японии мелких вспомогательных материалов и инструментов.</w:t>
      </w:r>
    </w:p>
    <w:p w14:paraId="00B7CD08"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15. Ассигновать из резервного фонда СНК СССР на III и IV кварталы сверх плана 1933 г. 25 млн. руб. на строительство и оборудование судоверфей, в том числе 13 млн. руб. Амурверфи. Обязать НКТП, Главстройпром т. Гинзбурга обеспечить строительные работы судоверфей материалами наравне с военными стройками. НКТП в декадный срок представить потребность в добавочных капиталовложениях на отрасли промышленности, связанные с выполнением судостроительной программы.</w:t>
      </w:r>
    </w:p>
    <w:p w14:paraId="26415BCA" w14:textId="77777777" w:rsidR="00D067C1" w:rsidRPr="0044524F" w:rsidRDefault="00D067C1" w:rsidP="009654CF">
      <w:pPr>
        <w:pStyle w:val="ae"/>
        <w:spacing w:before="0" w:after="0"/>
        <w:jc w:val="both"/>
        <w:rPr>
          <w:color w:val="000000" w:themeColor="text1"/>
          <w:sz w:val="16"/>
          <w:szCs w:val="16"/>
        </w:rPr>
      </w:pPr>
      <w:r w:rsidRPr="0044524F">
        <w:rPr>
          <w:rStyle w:val="af0"/>
          <w:i w:val="0"/>
          <w:color w:val="000000" w:themeColor="text1"/>
          <w:sz w:val="16"/>
          <w:szCs w:val="16"/>
        </w:rPr>
        <w:t>Председатель Совета труда и обороны В. Молотов/Скрябин</w:t>
      </w:r>
    </w:p>
    <w:p w14:paraId="346B0A7C" w14:textId="77777777" w:rsidR="00D067C1" w:rsidRPr="0044524F" w:rsidRDefault="00D067C1" w:rsidP="009654CF">
      <w:pPr>
        <w:pStyle w:val="ae"/>
        <w:spacing w:before="0" w:after="0"/>
        <w:jc w:val="both"/>
        <w:rPr>
          <w:color w:val="000000" w:themeColor="text1"/>
          <w:sz w:val="16"/>
          <w:szCs w:val="16"/>
        </w:rPr>
      </w:pPr>
      <w:r w:rsidRPr="0044524F">
        <w:rPr>
          <w:rStyle w:val="af0"/>
          <w:i w:val="0"/>
          <w:color w:val="000000" w:themeColor="text1"/>
          <w:sz w:val="16"/>
          <w:szCs w:val="16"/>
        </w:rPr>
        <w:t>За секретаря Совета Труда и обороны Базилевич</w:t>
      </w:r>
    </w:p>
    <w:p w14:paraId="097DFB93" w14:textId="77777777" w:rsidR="00D067C1" w:rsidRPr="0044524F" w:rsidRDefault="00D067C1"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4128DAEE"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¹* Таблицы не публикуются (см. там же, л. 26</w:t>
      </w:r>
      <w:r w:rsidRPr="0044524F">
        <w:rPr>
          <w:color w:val="000000" w:themeColor="text1"/>
          <w:sz w:val="16"/>
          <w:szCs w:val="16"/>
        </w:rPr>
        <w:noBreakHyphen/>
        <w:t>31).</w:t>
      </w:r>
    </w:p>
    <w:p w14:paraId="5763B836"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²* </w:t>
      </w:r>
      <w:r w:rsidRPr="0044524F">
        <w:rPr>
          <w:rStyle w:val="af0"/>
          <w:bCs/>
          <w:i w:val="0"/>
          <w:color w:val="000000" w:themeColor="text1"/>
          <w:sz w:val="16"/>
          <w:szCs w:val="16"/>
        </w:rPr>
        <w:t>Главное управление судостроительной промышленности (ГУСП)</w:t>
      </w:r>
      <w:r w:rsidRPr="0044524F">
        <w:rPr>
          <w:color w:val="000000" w:themeColor="text1"/>
          <w:sz w:val="16"/>
          <w:szCs w:val="16"/>
        </w:rPr>
        <w:t xml:space="preserve"> было создано в апреле 1933 г. в системе Наркомата тяжелой промышленности СССР. 21 декабря 1933 г. постановлением СНК СССР № 2734 ГУСП было разделено на два главка: Главное управление морской судостроительной промышленности (Главморпром) и Главное управление речного судостроения (Главречпром). Начальником Главморпрома стал Р. А. Муклевич, Главречпрома — Д. Е. Березин.</w:t>
      </w:r>
    </w:p>
    <w:p w14:paraId="279EC663"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³* </w:t>
      </w:r>
      <w:r w:rsidRPr="0044524F">
        <w:rPr>
          <w:rStyle w:val="af0"/>
          <w:bCs/>
          <w:i w:val="0"/>
          <w:color w:val="000000" w:themeColor="text1"/>
          <w:sz w:val="16"/>
          <w:szCs w:val="16"/>
        </w:rPr>
        <w:t>Народный комиссариат финансов (НКФ) СССР</w:t>
      </w:r>
      <w:r w:rsidRPr="0044524F">
        <w:rPr>
          <w:color w:val="000000" w:themeColor="text1"/>
          <w:sz w:val="16"/>
          <w:szCs w:val="16"/>
        </w:rPr>
        <w:t xml:space="preserve"> был создан 6 июля 1923 г. В 1928</w:t>
      </w:r>
      <w:r w:rsidRPr="0044524F">
        <w:rPr>
          <w:color w:val="000000" w:themeColor="text1"/>
          <w:sz w:val="16"/>
          <w:szCs w:val="16"/>
        </w:rPr>
        <w:noBreakHyphen/>
        <w:t>1933 гг. была осуществлена коренная перестройка работы и структуры Наркомата финансов СССР. В основу был положен производственно-отраслевой принцип. Изменения коснулись всей структуры наркомата финансов. 8 марта 1933 г. решением ЦКК — НК РКИ и ЦК ВКП(б) учетно-экономический сектор учета и статистики был преобразован в сектор учета и статистики, сектор финансовой политики был упразднен, вновь создан сектор исполнения госбюджета. В этот же период работа по финансированию обороны страны была передана вновь созданному Управлению финансирования обороны, которое выделилось из состава Бюджетного управления. С принятием новой сталинской конституции 1936 г. ЦИК и СНК СССР было утверждено и новое положение о НКФ СССР 28 мая 1936 г. и дополнено постановлением ЦИК и СНК СССР 1 ноября 1937 г. согласно которым НКФ СССР руководил всей финансовой деятельностью в СССР. Соответственно функциям и задачам была утверждена структура центрального аппарата НКФ: Бюджетное управление, Управление государственных доходов, Управление налогов и сборов, управления по отраслям народного хозяйства. Управление (отдел) финансирования обороны имел те же функции, что и другие отраслевые управления и отделы в соответствующих отраслях народного хозяйства: рассмотрение проектов доходов и расходов наркоматов военной промышленности и оборонных ведомств СССР, проверка их расчетов по фондам заработной платы, анализ их финансовой и хозяйственной деятельности, контроль состояния основных и оборотных средств, за выполнением планов накоплений, планов финансирования капитального строительства и использованием амортизационных отчислений, за финансированием в пределах госбюджета, разработка заключений по отчетам и отчетным балансам наркоматов и ведомств. (РГАЭ. Ф. 7733. Д/ф. Т. 2. И/с; РГАЭ. Ф. 7733. Оп. 9. Д. 24. Л. 210</w:t>
      </w:r>
      <w:r w:rsidRPr="0044524F">
        <w:rPr>
          <w:color w:val="000000" w:themeColor="text1"/>
          <w:sz w:val="16"/>
          <w:szCs w:val="16"/>
        </w:rPr>
        <w:noBreakHyphen/>
        <w:t>211; СЗ. 1936 1937 вышел приказ НКОП № 29. ст. 268; СЗ. 1937 1937 вышел приказ НКОП № 71. ст. 335).</w:t>
      </w:r>
    </w:p>
    <w:p w14:paraId="112D847B"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 xml:space="preserve">⁴* Постановлением коллегии НКТП СССР № 53 от 8 февраля 1932 г. в составе НКТП было создано </w:t>
      </w:r>
      <w:r w:rsidRPr="0044524F">
        <w:rPr>
          <w:rStyle w:val="af0"/>
          <w:bCs/>
          <w:i w:val="0"/>
          <w:color w:val="000000" w:themeColor="text1"/>
          <w:sz w:val="16"/>
          <w:szCs w:val="16"/>
        </w:rPr>
        <w:t>Главное управление электротехнической и котлотурбинной промышленности (Главэнергопром)</w:t>
      </w:r>
      <w:r w:rsidRPr="0044524F">
        <w:rPr>
          <w:color w:val="000000" w:themeColor="text1"/>
          <w:sz w:val="16"/>
          <w:szCs w:val="16"/>
        </w:rPr>
        <w:t>. Этим же постановлением Всесоюзное электротехническое объединение ВСНХ СССР, Всесоюзное объединение электрослаботочной промышленности и ряд других объединений передавались в ведение Главэнергопрома. В целях дальнейшей специализации управления тяжелой промышленностью приказом по НКТП № 767 от 31 августа 1933 г. Главэнергопром был разукрупнен: из его ведения было выделено Главное управление слаботочной промышленности, а также ликвидированы ВЭО (ВЭСО) с подчинением ряда заводов непосредственно Главэнергопрому. Согласно этому же приказу на базе ВЭО был организован Государственный Всесоюзный электротехнический трест (ВЭТ) в составе Главэнергопрома. К 1937 г. в связи с развитием и дальнейшим усилением специализации различных отраслей электротехнической промышленности вновь возникла необходимость разукрупнения Главэнергопрома. Постановлением СНК СССР № 761 от 11 мая 1937 г. Главэнергопром был разукрупнен на два главка: Главное управление по производству электротехнического оборудования и Главное управление по производству теплосилового и электротехнического оборудования для электрических станций и судов, а также для крупных установок металлургической, химической и других отраслей промышленности. Этим же постановлением ВЭТ ликвидировался. В связи с постановлением СНК СССР № 1484 «О выделении из состава НКТП СССР машиностроительной промышленности и организации Наркоммаша СССР» от 29 августа 1937 г. и приказом по Наркомтяжпрому СССР и Наркоммашу СССР № 743/3 от 4 сентября 1937 г. главки вместе с рядом учреждений были переданы в состав Наркоммаша СССР. (РГАЭ. Ф. 7297. Оп. 44. Д. 1. Л. 29 об.; РГАЭ. Ф. 7297. Оп. 1. Д. 19. Л. 90</w:t>
      </w:r>
      <w:r w:rsidRPr="0044524F">
        <w:rPr>
          <w:color w:val="000000" w:themeColor="text1"/>
          <w:sz w:val="16"/>
          <w:szCs w:val="16"/>
        </w:rPr>
        <w:noBreakHyphen/>
        <w:t>91; СЗ, 1937 г 1937 вышел приказ НКОП № 34, ст. 139; СЗ, 1937, № 58, ст. 248.)</w:t>
      </w:r>
    </w:p>
    <w:p w14:paraId="1A402539" w14:textId="77777777" w:rsidR="00D067C1" w:rsidRPr="0044524F" w:rsidRDefault="00D067C1" w:rsidP="009654CF">
      <w:pPr>
        <w:pStyle w:val="rtejustify"/>
        <w:spacing w:before="0" w:after="0"/>
        <w:rPr>
          <w:color w:val="000000" w:themeColor="text1"/>
          <w:sz w:val="16"/>
          <w:szCs w:val="16"/>
        </w:rPr>
      </w:pPr>
      <w:r w:rsidRPr="0044524F">
        <w:rPr>
          <w:color w:val="000000" w:themeColor="text1"/>
          <w:sz w:val="16"/>
          <w:szCs w:val="16"/>
        </w:rPr>
        <w:t xml:space="preserve">⁵* Постановлением Президиума ВСНХ СССР № 649 от 13 сентября 1931 г. в целях усиления хозяйственного и технического руководства машиностроением и металлообработкой в составе ВСНХ было учреждено </w:t>
      </w:r>
      <w:r w:rsidRPr="0044524F">
        <w:rPr>
          <w:rStyle w:val="af0"/>
          <w:bCs/>
          <w:i w:val="0"/>
          <w:color w:val="000000" w:themeColor="text1"/>
          <w:sz w:val="16"/>
          <w:szCs w:val="16"/>
        </w:rPr>
        <w:t>Главное управление машиностроения и металлообработки (Главмашпром)</w:t>
      </w:r>
      <w:r w:rsidRPr="0044524F">
        <w:rPr>
          <w:color w:val="000000" w:themeColor="text1"/>
          <w:sz w:val="16"/>
          <w:szCs w:val="16"/>
        </w:rPr>
        <w:t>. Одновременно было утверждено положение о Главмашпроме и список объединений, трестов и учреждений ему подчиненных. 5 января 1932 г. с созданием Наркомата тяжелой промышленности Главмашпром был передан в его ведение и стал называться Главным управлением машиностроительной промышленности НКТП СССР. В ведении Главмашпрома находились объединения и тресты общесоюзного значения машиностроительной и металлообрабатывающей промышленности, а также проектирующие, монтажные и научно-исследовательские учреждения. В момент создания в 1931 г. таких организаций насчитывалось 32. Затем сеть подведомственных учреждений менялась. Некоторые объединения реорганизовывались в главки. Главмашпром был создан для планирования, регулирования и технического руководства машиностроением. В его функции входили: разработка перспективных планов развития машиностроительной промышленности, подготовка контрольных цифр по специальным отраслям машиностроения, наблюдение за их выполнением, распределением денежных средств и кредитов, наблюдение за количеством и качеством выполнения планов, руководство работой по улучшению качества продукции и организация контроля качества, организация снабжения и сбыта продукции, рассмотрение отчетов и балансов подведомственных учреждений. Структура Главмашпрома не была постоянной и часто подвергалась реорганизациям. В 1933 г. из Главмашпрома выделились Главметиз, Главстанкоинструмент, Главсельмаш и Главтопмаш. Ранее существовавшие секторы преобразовались в отделы. Образовались отраслевые и функциональные отделы. Отраслевые — горного оборудования, непосредственного подчинения заводов, тяжелого и общего машиностроения, оборудования для легкой промышленности, коммунально-бытового оборудования, массового производства. Функциональные — снабжения, технико-организационный, планово-экономический, спецотдел, группы баланса, литья и поковок, оборудования и главного инженера. Приказом НКТП СССР № 42 от 9 января 1935 г. во исполнение постановления СНК СССР № 37 от того же числа Главмашпром был разукрупнен на 4 главка: Главгормаш, Главлегмаш, Главсредмаш и Главармалит. (РГАЭ. Ф. 3429. Оп. 57. Д. 327. Л. 131; Ф. 3429. Оп. 57. Д. 327. Л. 131; Ф. 8081. Оп. 1. Д. 43. Л. 11</w:t>
      </w:r>
      <w:r w:rsidRPr="0044524F">
        <w:rPr>
          <w:color w:val="000000" w:themeColor="text1"/>
          <w:sz w:val="16"/>
          <w:szCs w:val="16"/>
        </w:rPr>
        <w:noBreakHyphen/>
        <w:t>12; Ф. 2765. Оп. 1. Д. 67. Л. 13; Ф. 8081. Оп. 1).</w:t>
      </w:r>
    </w:p>
    <w:p w14:paraId="29E0BA93" w14:textId="77777777" w:rsidR="00D067C1" w:rsidRPr="0044524F" w:rsidRDefault="00D067C1" w:rsidP="009654CF">
      <w:pPr>
        <w:pStyle w:val="ae"/>
        <w:spacing w:before="0" w:after="0"/>
        <w:jc w:val="both"/>
        <w:rPr>
          <w:color w:val="000000" w:themeColor="text1"/>
          <w:sz w:val="16"/>
          <w:szCs w:val="16"/>
        </w:rPr>
      </w:pPr>
      <w:r w:rsidRPr="0044524F">
        <w:rPr>
          <w:color w:val="000000" w:themeColor="text1"/>
          <w:sz w:val="16"/>
          <w:szCs w:val="16"/>
        </w:rPr>
        <w:t>ГА РФ. Ф. Р-8418. Оп. 28. Д. 2. Л. 13-25. Подлинник (15273).</w:t>
      </w:r>
    </w:p>
    <w:p w14:paraId="2D625C17" w14:textId="77777777" w:rsidR="00D067C1" w:rsidRPr="0044524F" w:rsidRDefault="00D067C1" w:rsidP="009654CF">
      <w:pPr>
        <w:spacing w:after="0" w:line="240" w:lineRule="auto"/>
        <w:jc w:val="both"/>
        <w:rPr>
          <w:rFonts w:ascii="Times New Roman" w:hAnsi="Times New Roman"/>
          <w:color w:val="000000" w:themeColor="text1"/>
          <w:sz w:val="16"/>
          <w:szCs w:val="16"/>
        </w:rPr>
      </w:pPr>
    </w:p>
    <w:p w14:paraId="3173AB28" w14:textId="77777777" w:rsidR="00C22911" w:rsidRPr="0044524F" w:rsidRDefault="00C2291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г. постановлением правительства от на «Красное Сормово» было возложено обязательство, помимо уже изготовляемых, построить в течение пяти лет еще 26 средних подлодок типа «Щука». А это уже было серьезно. Этим же постановлением «Красное Сормово» становилось дублером по производству торпедного вооружения (торпедных аппаратов, толкачей, компрессоров) для подлодок, мониторов и канонерских лодок с заданием произвести во второй пятилетке 900 единиц. Помимо этого, завод должен был организовать производство немецких дизелей специального типа мощностью 3000–4000 л.с. Директор завода В. Сурков и его окружение хватались за голову от полученных заданий партии, но наркомат тяжелой промышленности дополнительно поставил заводу задачу построить еще и семь речных мониторов и восемь канонерских лодок! При этом надо учесть, что, кроме основного производства, на «Красном Сормове» по-прежнему производились железнодорожные вагоны и трамваи, а также коленчатые валы для Коломенского завода (1700 т в год). [159 — ГУ ЦАНО, Ф. 15, Оп. 3, Д. 141, Л. 7–9.]. Ясно, что даже с учетом расширения производственных площадей и ликвидации вагоностроения столь масштабная и многообразная программа была заведомо невыполнимой. Только для производства механизмов подводных лодок требовались минимум 340 станков, а в наличии имелись лишь 70, не говоря уже о нехватке рабочей силы. Но и дальше «партия и правительство» не переставали «радовать» завод № 112 своими планами и заданиями, которые нередко и самым противоположным образом изменялись. Так, например, согласно постановлению СНК от 25 августа 1933 г., «Красное Сормово» должно было приступить еще и к освоению производства мин. Для этого завод получил приказ прекратить уже налаженный выпуск 107 и 203-мм фугасных снарядов. Однако вскоре это решение признали нецелесообразным и отменили. В сентябре завод получил задание, кроме торпедных аппаратов, организовать производство «толкачей» для сбрасывания торпед с торпедных катеров. Однако из-за большой загруженности цехов оно так и не было выполнено. Заводы, входившие тогда в объединение «Союзверфь», не имели своих конструкторских бюро. Все проектирование и разработка рабочих чертежей выполнялись ЦКБ-18 и подчиненным ему ЦКБС-2, занимающимся подводными лодками. ЦКБС-2 с самого начала несвоевременно и некомплектно присылало необходимые чертежи, работая по принципу: «начинайте строить, а как строить, узнаете потом» (11741).</w:t>
      </w:r>
    </w:p>
    <w:p w14:paraId="3D79FE57" w14:textId="77777777" w:rsidR="00C22911" w:rsidRPr="0044524F" w:rsidRDefault="00C22911" w:rsidP="009654CF">
      <w:pPr>
        <w:shd w:val="clear" w:color="auto" w:fill="FFFFFF"/>
        <w:spacing w:after="0" w:line="240" w:lineRule="auto"/>
        <w:jc w:val="both"/>
        <w:rPr>
          <w:rFonts w:ascii="Times New Roman" w:hAnsi="Times New Roman"/>
          <w:color w:val="000000" w:themeColor="text1"/>
          <w:sz w:val="16"/>
          <w:szCs w:val="16"/>
        </w:rPr>
      </w:pPr>
    </w:p>
    <w:p w14:paraId="0C1F1D29" w14:textId="77777777" w:rsidR="00D067C1"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20AE614C" w14:textId="77777777" w:rsidR="00D067C1" w:rsidRPr="0044524F" w:rsidRDefault="00D067C1" w:rsidP="009654CF">
      <w:pPr>
        <w:spacing w:after="0" w:line="240" w:lineRule="auto"/>
        <w:jc w:val="both"/>
        <w:rPr>
          <w:rFonts w:ascii="Times New Roman" w:hAnsi="Times New Roman"/>
          <w:iCs/>
          <w:color w:val="000000" w:themeColor="text1"/>
          <w:sz w:val="16"/>
          <w:szCs w:val="16"/>
        </w:rPr>
      </w:pPr>
    </w:p>
    <w:p w14:paraId="5CD76B50" w14:textId="77777777" w:rsidR="00D067C1" w:rsidRPr="0044524F" w:rsidRDefault="00D067C1" w:rsidP="009654CF">
      <w:pPr>
        <w:pStyle w:val="rtejustify"/>
        <w:spacing w:before="0" w:after="0"/>
        <w:rPr>
          <w:color w:val="000000" w:themeColor="text1"/>
          <w:sz w:val="16"/>
          <w:szCs w:val="16"/>
        </w:rPr>
      </w:pPr>
      <w:r w:rsidRPr="0044524F">
        <w:rPr>
          <w:rStyle w:val="af0"/>
          <w:bCs/>
          <w:i w:val="0"/>
          <w:color w:val="000000" w:themeColor="text1"/>
          <w:sz w:val="16"/>
          <w:szCs w:val="16"/>
        </w:rPr>
        <w:t>11 июля</w:t>
      </w:r>
      <w:r w:rsidRPr="0044524F">
        <w:rPr>
          <w:color w:val="000000" w:themeColor="text1"/>
          <w:sz w:val="16"/>
          <w:szCs w:val="16"/>
        </w:rPr>
        <w:t xml:space="preserve"> 1933. Постановление СТО СССР № 59сс/о «О развитии военно-морских баз и аэродромного строительства на Черном море». (ГА РФ. Ф. Р</w:t>
      </w:r>
      <w:r w:rsidRPr="0044524F">
        <w:rPr>
          <w:color w:val="000000" w:themeColor="text1"/>
          <w:sz w:val="16"/>
          <w:szCs w:val="16"/>
        </w:rPr>
        <w:noBreakHyphen/>
        <w:t>8418. Оп. 28. Д. 2. Л. 32</w:t>
      </w:r>
      <w:r w:rsidRPr="0044524F">
        <w:rPr>
          <w:color w:val="000000" w:themeColor="text1"/>
          <w:sz w:val="16"/>
          <w:szCs w:val="16"/>
        </w:rPr>
        <w:noBreakHyphen/>
        <w:t>50) (15460).</w:t>
      </w:r>
    </w:p>
    <w:p w14:paraId="4F3CB993" w14:textId="77777777" w:rsidR="00D067C1" w:rsidRPr="0044524F" w:rsidRDefault="00D067C1" w:rsidP="009654CF">
      <w:pPr>
        <w:pStyle w:val="rtejustify"/>
        <w:spacing w:before="0" w:after="0"/>
        <w:rPr>
          <w:color w:val="000000" w:themeColor="text1"/>
          <w:sz w:val="16"/>
          <w:szCs w:val="16"/>
        </w:rPr>
      </w:pPr>
    </w:p>
    <w:p w14:paraId="67A80A40" w14:textId="77777777" w:rsidR="00D067C1" w:rsidRPr="0044524F" w:rsidRDefault="00D067C1" w:rsidP="009654CF">
      <w:pPr>
        <w:pStyle w:val="rtejustify"/>
        <w:spacing w:before="0" w:after="0"/>
        <w:rPr>
          <w:color w:val="000000" w:themeColor="text1"/>
          <w:sz w:val="16"/>
          <w:szCs w:val="16"/>
        </w:rPr>
      </w:pPr>
      <w:r w:rsidRPr="0044524F">
        <w:rPr>
          <w:rStyle w:val="af0"/>
          <w:bCs/>
          <w:i w:val="0"/>
          <w:color w:val="000000" w:themeColor="text1"/>
          <w:sz w:val="16"/>
          <w:szCs w:val="16"/>
        </w:rPr>
        <w:t>11 июля</w:t>
      </w:r>
      <w:r w:rsidRPr="0044524F">
        <w:rPr>
          <w:color w:val="000000" w:themeColor="text1"/>
          <w:sz w:val="16"/>
          <w:szCs w:val="16"/>
        </w:rPr>
        <w:t xml:space="preserve"> 1933. Постановление СТО СССР № 60сс/о «О прорытии Кронштадского фарватера». (ГА РФ. Ф. Р</w:t>
      </w:r>
      <w:r w:rsidRPr="0044524F">
        <w:rPr>
          <w:color w:val="000000" w:themeColor="text1"/>
          <w:sz w:val="16"/>
          <w:szCs w:val="16"/>
        </w:rPr>
        <w:noBreakHyphen/>
        <w:t>8418. Оп. 28. Д. 2. Л. 51</w:t>
      </w:r>
      <w:r w:rsidRPr="0044524F">
        <w:rPr>
          <w:color w:val="000000" w:themeColor="text1"/>
          <w:sz w:val="16"/>
          <w:szCs w:val="16"/>
        </w:rPr>
        <w:noBreakHyphen/>
        <w:t>52) (15460).</w:t>
      </w:r>
    </w:p>
    <w:p w14:paraId="349E2EE3" w14:textId="77777777" w:rsidR="00D067C1" w:rsidRPr="0044524F" w:rsidRDefault="00D067C1" w:rsidP="009654CF">
      <w:pPr>
        <w:pStyle w:val="rtejustify"/>
        <w:spacing w:before="0" w:after="0"/>
        <w:rPr>
          <w:color w:val="000000" w:themeColor="text1"/>
          <w:sz w:val="16"/>
          <w:szCs w:val="16"/>
        </w:rPr>
      </w:pPr>
    </w:p>
    <w:p w14:paraId="33799B0C"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За рубежом:</w:t>
      </w:r>
    </w:p>
    <w:p w14:paraId="5B3DFA5E"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73BACE46" w14:textId="77777777" w:rsidR="00A91CEB" w:rsidRPr="0044524F" w:rsidRDefault="00A91CE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11 июля в 1933 году первый полет восьмиместного пассажирского транспортного самолета </w:t>
      </w:r>
      <w:hyperlink r:id="rId261" w:tgtFrame="_blank" w:history="1">
        <w:r w:rsidRPr="0044524F">
          <w:rPr>
            <w:rFonts w:ascii="Times New Roman" w:hAnsi="Times New Roman"/>
            <w:color w:val="000000" w:themeColor="text1"/>
            <w:sz w:val="16"/>
            <w:szCs w:val="16"/>
          </w:rPr>
          <w:t xml:space="preserve">«Dewoitine» «D.332». </w:t>
        </w:r>
      </w:hyperlink>
      <w:r w:rsidRPr="0044524F">
        <w:rPr>
          <w:rFonts w:ascii="Times New Roman" w:hAnsi="Times New Roman"/>
          <w:color w:val="000000" w:themeColor="text1"/>
          <w:sz w:val="16"/>
          <w:szCs w:val="16"/>
        </w:rPr>
        <w:t>«D.332» «Emeraude» - транспортный самолет, разработанный французской компанией «Dewoitine». Цельнометаллический свободнонесущий низкоплан «Dewoitine» «D.332» был восьмиместным пассажирским транспортным самолетом Основные стойки его шасси снабжались обтекателями типа штанина, а однокилевое вертикальное оперение имело подкосы и типичные для самолетов Dewoitine очертания. Командир корабля и второй пилот располагались бок о бок в кабине оборудованной впереди передней кромки крыла, а радист размещался сразу за ними. Комфортабельная пассажирская кабина была просторной, хорошо обогреваемой и проветриваемой, пассажирские кресла могли раскладываться для удобства во время ночных перелетов. Тяга создавалась тремя звездообразными двигателями Wright Cyclone, построенными по лицензии компанией «Hispano-Suiza». Этот новый самолет, названный «Еmeraude», совершил несколько впечатляющих демонстрационных полетов в различные европейские столицы (14949).</w:t>
      </w:r>
    </w:p>
    <w:p w14:paraId="6088435F" w14:textId="77777777" w:rsidR="00A91CEB" w:rsidRPr="0044524F" w:rsidRDefault="00A91CEB" w:rsidP="009654CF">
      <w:pPr>
        <w:spacing w:after="0" w:line="240" w:lineRule="auto"/>
        <w:jc w:val="both"/>
        <w:rPr>
          <w:rFonts w:ascii="Times New Roman" w:hAnsi="Times New Roman"/>
          <w:color w:val="000000" w:themeColor="text1"/>
          <w:sz w:val="16"/>
          <w:szCs w:val="16"/>
        </w:rPr>
      </w:pPr>
    </w:p>
    <w:p w14:paraId="668D7BBC"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июля 1933 в Женеве принята международная конвенция по контролю за наркотиками (4962).</w:t>
      </w:r>
    </w:p>
    <w:p w14:paraId="5CD0CE89"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p>
    <w:p w14:paraId="5190458B"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6C8D54A"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01AB520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12-го июля в 5:40 по мо</w:t>
      </w:r>
      <w:r w:rsidRPr="0044524F">
        <w:rPr>
          <w:rFonts w:ascii="Times New Roman" w:hAnsi="Times New Roman"/>
          <w:color w:val="000000" w:themeColor="text1"/>
          <w:sz w:val="16"/>
          <w:szCs w:val="16"/>
        </w:rPr>
        <w:softHyphen/>
        <w:t xml:space="preserve">сковскому времени Савойя </w:t>
      </w:r>
      <w:r w:rsidRPr="0044524F">
        <w:rPr>
          <w:rFonts w:ascii="Times New Roman" w:hAnsi="Times New Roman"/>
          <w:color w:val="000000" w:themeColor="text1"/>
          <w:sz w:val="16"/>
          <w:szCs w:val="16"/>
          <w:lang w:val="en-US"/>
        </w:rPr>
        <w:t>S</w:t>
      </w:r>
      <w:r w:rsidRPr="0044524F">
        <w:rPr>
          <w:rFonts w:ascii="Times New Roman" w:hAnsi="Times New Roman"/>
          <w:color w:val="000000" w:themeColor="text1"/>
          <w:sz w:val="16"/>
          <w:szCs w:val="16"/>
        </w:rPr>
        <w:t>.55 зав. № 10526 под управлением л Бухгольца вылетела из Ейска в Вольск. На борту находились: командир корабля Бенедикт Леонович Бухгольц, второй пилот Виталий Косухин, летчик-наблюдатель Владимир Петрович Падалко, бортмеханик Олег Ростиславович Карбановский и коррес</w:t>
      </w:r>
      <w:r w:rsidRPr="0044524F">
        <w:rPr>
          <w:rFonts w:ascii="Times New Roman" w:hAnsi="Times New Roman"/>
          <w:color w:val="000000" w:themeColor="text1"/>
          <w:sz w:val="16"/>
          <w:szCs w:val="16"/>
        </w:rPr>
        <w:softHyphen/>
        <w:t>пондент «Комсомольской правды» Николай Кабанов, фамилию которого, впрочем, никто из экипажа не знал, и звали только по псевдо</w:t>
      </w:r>
      <w:r w:rsidRPr="0044524F">
        <w:rPr>
          <w:rFonts w:ascii="Times New Roman" w:hAnsi="Times New Roman"/>
          <w:color w:val="000000" w:themeColor="text1"/>
          <w:sz w:val="16"/>
          <w:szCs w:val="16"/>
        </w:rPr>
        <w:softHyphen/>
        <w:t>ниму «Том». Посадка и взлет в Ейске прошли хорошо. Моторы работали безукоризненно. Самолет шел плавно, не раз Бухгольц бросал управление, но самолет продолжал ле</w:t>
      </w:r>
      <w:r w:rsidRPr="0044524F">
        <w:rPr>
          <w:rFonts w:ascii="Times New Roman" w:hAnsi="Times New Roman"/>
          <w:color w:val="000000" w:themeColor="text1"/>
          <w:sz w:val="16"/>
          <w:szCs w:val="16"/>
        </w:rPr>
        <w:softHyphen/>
        <w:t>теть горизонтально. До Сталинграда шли на высоте 600 м. На Волгу вышли в районе горо</w:t>
      </w:r>
      <w:r w:rsidRPr="0044524F">
        <w:rPr>
          <w:rFonts w:ascii="Times New Roman" w:hAnsi="Times New Roman"/>
          <w:color w:val="000000" w:themeColor="text1"/>
          <w:sz w:val="16"/>
          <w:szCs w:val="16"/>
        </w:rPr>
        <w:softHyphen/>
        <w:t>да. От Сталинграда снизились и шли бреющим на высоте 10 м. После Камышина поднялись на 350 м и на этой высоте пошли дальше. Срезав большой сухопутный участок и удаляясь от бе</w:t>
      </w:r>
      <w:r w:rsidRPr="0044524F">
        <w:rPr>
          <w:rFonts w:ascii="Times New Roman" w:hAnsi="Times New Roman"/>
          <w:color w:val="000000" w:themeColor="text1"/>
          <w:sz w:val="16"/>
          <w:szCs w:val="16"/>
        </w:rPr>
        <w:softHyphen/>
        <w:t>рега на 15-20 км, вышли на Марксштадт. Здесь Падалко подсчитал крейсерскую скорость, по</w:t>
      </w:r>
      <w:r w:rsidRPr="0044524F">
        <w:rPr>
          <w:rFonts w:ascii="Times New Roman" w:hAnsi="Times New Roman"/>
          <w:color w:val="000000" w:themeColor="text1"/>
          <w:sz w:val="16"/>
          <w:szCs w:val="16"/>
        </w:rPr>
        <w:softHyphen/>
        <w:t>лучилось 179 км/ч, и определил время полета до Вольска - оставалось минут 20. Штурман сообщил об этом запиской Бухгольцу и начал собирать карты и вещи. Примерно через 7 минут (в 11:30 московско</w:t>
      </w:r>
      <w:r w:rsidRPr="0044524F">
        <w:rPr>
          <w:rFonts w:ascii="Times New Roman" w:hAnsi="Times New Roman"/>
          <w:color w:val="000000" w:themeColor="text1"/>
          <w:sz w:val="16"/>
          <w:szCs w:val="16"/>
        </w:rPr>
        <w:softHyphen/>
        <w:t>го времени) произошла катастрофа - у села Воскресенск самолет опять снизился и шел брею</w:t>
      </w:r>
      <w:r w:rsidRPr="0044524F">
        <w:rPr>
          <w:rFonts w:ascii="Times New Roman" w:hAnsi="Times New Roman"/>
          <w:color w:val="000000" w:themeColor="text1"/>
          <w:sz w:val="16"/>
          <w:szCs w:val="16"/>
        </w:rPr>
        <w:softHyphen/>
        <w:t>щим над серединой фарватера Волги на высоте не более 10-15 м со скоростью 170-200 км/ч. Не доходя до Вольска 20 км, самолет провалился с работающими на тех же оборотах моторами и на большой скорости (200 км/ч) с правым креном врезался в воду. Состояние погоды в момент ка</w:t>
      </w:r>
      <w:r w:rsidRPr="0044524F">
        <w:rPr>
          <w:rFonts w:ascii="Times New Roman" w:hAnsi="Times New Roman"/>
          <w:color w:val="000000" w:themeColor="text1"/>
          <w:sz w:val="16"/>
          <w:szCs w:val="16"/>
        </w:rPr>
        <w:softHyphen/>
        <w:t>тастрофы - полный штиль с ясной видимостью и с зеркальной поверхностью воды.</w:t>
      </w:r>
    </w:p>
    <w:p w14:paraId="2476775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был разбит вдребезги. Бухгольц, Падалко и Карбановский оказались плаваю</w:t>
      </w:r>
      <w:r w:rsidRPr="0044524F">
        <w:rPr>
          <w:rFonts w:ascii="Times New Roman" w:hAnsi="Times New Roman"/>
          <w:color w:val="000000" w:themeColor="text1"/>
          <w:sz w:val="16"/>
          <w:szCs w:val="16"/>
        </w:rPr>
        <w:softHyphen/>
        <w:t>щими в воде. Косухин и Том утонули сразу. Бухгольц находился в бессознательном состо</w:t>
      </w:r>
      <w:r w:rsidRPr="0044524F">
        <w:rPr>
          <w:rFonts w:ascii="Times New Roman" w:hAnsi="Times New Roman"/>
          <w:color w:val="000000" w:themeColor="text1"/>
          <w:sz w:val="16"/>
          <w:szCs w:val="16"/>
        </w:rPr>
        <w:softHyphen/>
        <w:t>янии.</w:t>
      </w:r>
    </w:p>
    <w:p w14:paraId="6FCDF3B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Первыми к месту катастрофы прибыли ры</w:t>
      </w:r>
      <w:r w:rsidRPr="0044524F">
        <w:rPr>
          <w:rFonts w:ascii="Times New Roman" w:hAnsi="Times New Roman"/>
          <w:color w:val="000000" w:themeColor="text1"/>
          <w:sz w:val="16"/>
          <w:szCs w:val="16"/>
        </w:rPr>
        <w:softHyphen/>
        <w:t>баки, которые вытащили из воды трех авиато</w:t>
      </w:r>
      <w:r w:rsidRPr="0044524F">
        <w:rPr>
          <w:rFonts w:ascii="Times New Roman" w:hAnsi="Times New Roman"/>
          <w:color w:val="000000" w:themeColor="text1"/>
          <w:sz w:val="16"/>
          <w:szCs w:val="16"/>
        </w:rPr>
        <w:softHyphen/>
        <w:t>ров. Однако, Бухгольц через три минуты после подъема на борт проходящего поблизости те</w:t>
      </w:r>
      <w:r w:rsidRPr="0044524F">
        <w:rPr>
          <w:rFonts w:ascii="Times New Roman" w:hAnsi="Times New Roman"/>
          <w:color w:val="000000" w:themeColor="text1"/>
          <w:sz w:val="16"/>
          <w:szCs w:val="16"/>
        </w:rPr>
        <w:softHyphen/>
        <w:t>плохода «Наманган» скончался.</w:t>
      </w:r>
    </w:p>
    <w:p w14:paraId="4B0AB40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13-го июля была назначена аварийная ко</w:t>
      </w:r>
      <w:r w:rsidRPr="0044524F">
        <w:rPr>
          <w:rFonts w:ascii="Times New Roman" w:hAnsi="Times New Roman"/>
          <w:color w:val="000000" w:themeColor="text1"/>
          <w:sz w:val="16"/>
          <w:szCs w:val="16"/>
        </w:rPr>
        <w:softHyphen/>
        <w:t>миссия. Вскоре комиссия прибыла на место и начала работу (11975).</w:t>
      </w:r>
    </w:p>
    <w:p w14:paraId="74A94B94"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23D57F95" w14:textId="77777777" w:rsidR="00D22BAD" w:rsidRPr="0044524F" w:rsidRDefault="00D22B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июля 1933 ротор переставили на первый опыт</w:t>
      </w:r>
      <w:r w:rsidRPr="0044524F">
        <w:rPr>
          <w:rFonts w:ascii="Times New Roman" w:hAnsi="Times New Roman"/>
          <w:color w:val="000000" w:themeColor="text1"/>
          <w:sz w:val="16"/>
          <w:szCs w:val="16"/>
        </w:rPr>
        <w:softHyphen/>
        <w:t>ный А-4 постройки ЗОК, после чего 13 июля летчик Попов выполнил пробный полет на высоте 350 м. 17 августа произошла очередная поломка в момент посадки.</w:t>
      </w:r>
    </w:p>
    <w:p w14:paraId="508C33AC" w14:textId="77777777" w:rsidR="00D22BAD" w:rsidRPr="0044524F" w:rsidRDefault="00D22BA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видим, испытательные полеты автожиров А-4 проис</w:t>
      </w:r>
      <w:r w:rsidRPr="0044524F">
        <w:rPr>
          <w:rFonts w:ascii="Times New Roman" w:hAnsi="Times New Roman"/>
          <w:color w:val="000000" w:themeColor="text1"/>
          <w:sz w:val="16"/>
          <w:szCs w:val="16"/>
        </w:rPr>
        <w:softHyphen/>
        <w:t>ходили с преодолением многочисленных трудностей. Ле</w:t>
      </w:r>
      <w:r w:rsidRPr="0044524F">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2DA71E55" w14:textId="77777777" w:rsidR="00D22BAD" w:rsidRPr="0044524F" w:rsidRDefault="00D22BAD" w:rsidP="009654CF">
      <w:pPr>
        <w:spacing w:after="0" w:line="240" w:lineRule="auto"/>
        <w:jc w:val="both"/>
        <w:rPr>
          <w:rFonts w:ascii="Times New Roman" w:hAnsi="Times New Roman"/>
          <w:color w:val="000000" w:themeColor="text1"/>
          <w:sz w:val="16"/>
          <w:szCs w:val="16"/>
        </w:rPr>
      </w:pPr>
    </w:p>
    <w:p w14:paraId="1DC56135" w14:textId="77777777" w:rsidR="00DA2E77" w:rsidRPr="0044524F" w:rsidRDefault="00DA2E77" w:rsidP="009654CF">
      <w:pPr>
        <w:spacing w:after="0" w:line="240" w:lineRule="auto"/>
        <w:jc w:val="both"/>
        <w:rPr>
          <w:rFonts w:ascii="Times New Roman" w:hAnsi="Times New Roman"/>
          <w:bCs/>
          <w:color w:val="000000" w:themeColor="text1"/>
          <w:sz w:val="16"/>
          <w:szCs w:val="16"/>
          <w:vertAlign w:val="subscript"/>
        </w:rPr>
      </w:pPr>
      <w:r w:rsidRPr="0044524F">
        <w:rPr>
          <w:rFonts w:ascii="Times New Roman" w:hAnsi="Times New Roman"/>
          <w:color w:val="000000" w:themeColor="text1"/>
          <w:sz w:val="16"/>
          <w:szCs w:val="16"/>
        </w:rPr>
        <w:t>12 июля в 1933 году катастрофа самолёта «Савойя-55». Погиб летчик-испытатель Б.Л.Бухгольц. Поднял в небо «И-5» (29 апреля 1930), «ТБ-5» («ЦКБ-восемь») (1 мая 1931), «АИР-2с» (18 мая 1931), «МДР-3» («ЦКБ-11») (14 января 1932), «МБР-2» (3 марта 1932),. Принимал участие в испытаниях самолётов «П-2» (1928), «ТШ-1» (1931), «МДР-2» (2АНТ-восемь») (1931), «И-Z» (1931), «ДИ-4» (1932), «МИ-3» (1933). Погиб при перегонке с Чёрного моря гидросамолёта «Савойя-55»;</w:t>
      </w:r>
    </w:p>
    <w:p w14:paraId="382EEC38" w14:textId="77777777" w:rsidR="00DA2E77" w:rsidRPr="0044524F" w:rsidRDefault="00DA2E77" w:rsidP="009654CF">
      <w:pPr>
        <w:spacing w:after="0" w:line="240" w:lineRule="auto"/>
        <w:jc w:val="both"/>
        <w:rPr>
          <w:rFonts w:ascii="Times New Roman" w:hAnsi="Times New Roman"/>
          <w:bCs/>
          <w:color w:val="000000" w:themeColor="text1"/>
          <w:sz w:val="16"/>
          <w:szCs w:val="16"/>
          <w:vertAlign w:val="subscript"/>
        </w:rPr>
      </w:pPr>
    </w:p>
    <w:p w14:paraId="7B29027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июля 1933 С.П.К. руководил испытаниями экспериментальной камеры сгорания ЭК-4 с использованием фосфора в качестве горючего. Получены положительные результаты (Там же, № 94, л. 29) (10676).</w:t>
      </w:r>
    </w:p>
    <w:p w14:paraId="6F51C063"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2E4E98B7"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8457CF9"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3CD823C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июля 1933 года началась работа на стройплощадке завода № 199. Вместо традиционных стапелей, неприменимых на Амуре с его сезонными перепадами уровня воды в 10 м., требовалось соорудить систему бассейнов и наливных доков. По окончанию сборки корпуса корабля док и бассейн заполнялись водой, корабль всплывал и переводился буксиром к достроечной набережной. Из-за сложности основных сооружений сметная стоимость строительства превысила 600 млн. руб. Отсутствовали пути подвоза, не хватало стройматериалов и оборудования. Тем не менее, уже 19 июля 1934 года на стройплощадку дала ток введенная в строй заводская электростанция, а к 1 июля 1936 года основные цеха завода были приняты в эксплуатацию (3898).</w:t>
      </w:r>
    </w:p>
    <w:p w14:paraId="4AE1D339"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54711F8D"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июля 1933 г. началась работа на стройплощадках. Задача, поставленная перед проектировщиками и строителями проектом, была архисложной. Вместо традиционных стапелей, неприменимых на Амуре с его сезонными перепадами уровня воды в 10 м, требовалось соорудить систему бассейнов и наливных доков. По окончании сборки корпуса корабля док и бассейн заполнялись водой, корабль всплывал и переводился буксиром к достроечной набережной. Из-за сложности основных сооружений сметная стоимость строительства превысила 600 млн. руб. Отсутствовали пути подвоза, не хватало стройматериалов и оборудования. Тем не менее, уже 19 июля 1934 г. на стройплощадку дала ток введенная в строй заводская электростанция, а к 1 июля 1936 г. основные цеха завода были приняты в эксплуатацию. Основа для укрепления тихоокеанского флота СССР была заложена.</w:t>
      </w:r>
    </w:p>
    <w:p w14:paraId="12D44901"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Строительство № 199 стало первым опытом работы ГУЛАГа НКВД по сооружению крупных объектов стало. В только что основанном Комсомольске-на-Амуре требовалось возвести современный судостроительный завод. Главным препятствием для развертывания серьезных морских сил на Дальнем Востоке было полное отсутствие судостроительной базы. Владивостокский Дальзавод устарел еще в русско-японскую войну. На нем еще можно было ремонтировать сторожевые корабли, подлодки и торпедные катера, перевезенные на ТОФ в трюмах транспортных судов. Но эсминец, а тем более крейсер, не перевезешь в трюме лесовоза. Требовалось срочное создание нового судостроительного завода. Во Владивостоке его негде было разместить, Хабаровск, лежавший у самой границы, тоже не годился. В феврале 1932 г. специальная комиссия остановила свой выбор на селе Пермском, стоящем на левом берегу Амура, ближе к устью. Время торопило, и проект был утвержден за полгода к августу 1932 г. Вести строительство было поручено тресту Дальстрой, но привлекались также осужденные Дальлага, которые вели работы в зоне нового строительства.</w:t>
      </w:r>
    </w:p>
    <w:p w14:paraId="75016A9A"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Но построить корабли мало, их нужно еще вывести с завода и провести через мелководное устье Амура. Для обеспечения проводки Дальстрой организовал "строительство № 201", - широкомасштабные дноуглубительные работы на Амуре от Комсомольска до Николаевска (565 км), чтобы довести глубину на фарватере до 7 м. Решение о развертывании дноуглубительных работ было принято в соответствии с постановлением ЦК ВКП(б) и СНКСССР № 77сс от 3 августа 1937 г. Объем грунта, подлежащего извлечению, составил 20 млн. кубометров, общая их стоимость превысила 420 млн. руб. Работы на фарватере начались с апреля 1939 и были полностью закончены к началу июля 1941 г. Почти одновременно во исполнение постановления СНК от 1 июня 1939 г. началось сооружение достроечной и судоремонтной базы военно-морского флота в Советской Гавани. Общая стоимость строящегося завода, доков и причалов составляла 130 млн. руб. </w:t>
      </w:r>
    </w:p>
    <w:p w14:paraId="52637B79" w14:textId="77777777" w:rsidR="0058354C" w:rsidRPr="0044524F" w:rsidRDefault="005835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Комплекс в Совгавани удалось завершить только в 1942 г., но он сыграл огромную роль в 1943–1945 гг., когда именно эта база обеспечивала все перевозки по ленд-лизу и боевые действия ТОФ (12129).</w:t>
      </w:r>
    </w:p>
    <w:p w14:paraId="4D84AF97" w14:textId="77777777" w:rsidR="0058354C" w:rsidRPr="0044524F" w:rsidRDefault="0058354C" w:rsidP="009654CF">
      <w:pPr>
        <w:spacing w:after="0" w:line="240" w:lineRule="auto"/>
        <w:jc w:val="both"/>
        <w:rPr>
          <w:rFonts w:ascii="Times New Roman" w:hAnsi="Times New Roman"/>
          <w:color w:val="000000" w:themeColor="text1"/>
          <w:sz w:val="16"/>
          <w:szCs w:val="16"/>
        </w:rPr>
      </w:pPr>
    </w:p>
    <w:p w14:paraId="76511D80"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0E5BC0D"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286BFEA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июля 1933 начался рейс по СМП парохода Челюскин (к Воронин и руководитель экспедиции О.Ю.Ш.) (3908,340).</w:t>
      </w:r>
    </w:p>
    <w:p w14:paraId="52148ABB"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791B07C4" w14:textId="77777777" w:rsidR="00DA2E77" w:rsidRPr="0044524F" w:rsidRDefault="00DA2E7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июля в 1933 году из Ленинграда стартовала экспедиция на ледокольном пароходе "Челюскин" во главе с Отто Шмидтом, намеревавшаяся за одну навигацию пройти по Северному морскому пути от Мурманска до Владивостока (14950).</w:t>
      </w:r>
    </w:p>
    <w:p w14:paraId="1D05D042" w14:textId="77777777" w:rsidR="00DA2E77" w:rsidRPr="0044524F" w:rsidRDefault="00DA2E77" w:rsidP="009654CF">
      <w:pPr>
        <w:spacing w:after="0" w:line="240" w:lineRule="auto"/>
        <w:jc w:val="both"/>
        <w:rPr>
          <w:rFonts w:ascii="Times New Roman" w:hAnsi="Times New Roman"/>
          <w:color w:val="000000" w:themeColor="text1"/>
          <w:sz w:val="16"/>
          <w:szCs w:val="16"/>
        </w:rPr>
      </w:pPr>
    </w:p>
    <w:p w14:paraId="031336BE"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327C46F"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77A78CA6"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12 июля 1933 нацистское правительство Германии опровергло сообщение о том, что в концлагерях находится 100 тысяч заключенных, заявив, что их там "всего" 18 тысяч (4962).</w:t>
      </w:r>
    </w:p>
    <w:p w14:paraId="71CBA13B"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p>
    <w:p w14:paraId="2BF5480D" w14:textId="77777777" w:rsidR="00815390" w:rsidRPr="0044524F" w:rsidRDefault="008153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июля в 1933 году Конгресс США ввёл значение МРОТ - минимальный размер оплаты труда — 33 цента в час (14950).</w:t>
      </w:r>
    </w:p>
    <w:p w14:paraId="7BD9D8AF" w14:textId="77777777" w:rsidR="00815390" w:rsidRPr="0044524F" w:rsidRDefault="00815390" w:rsidP="009654CF">
      <w:pPr>
        <w:spacing w:after="0" w:line="240" w:lineRule="auto"/>
        <w:jc w:val="both"/>
        <w:rPr>
          <w:rFonts w:ascii="Times New Roman" w:hAnsi="Times New Roman"/>
          <w:color w:val="000000" w:themeColor="text1"/>
          <w:sz w:val="16"/>
          <w:szCs w:val="16"/>
        </w:rPr>
      </w:pPr>
    </w:p>
    <w:p w14:paraId="6F5ABA17"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6A202C3"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1050B6C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13 июля 1933 комиссия по расследованию катастрофы Савойя </w:t>
      </w:r>
      <w:r w:rsidRPr="0044524F">
        <w:rPr>
          <w:rFonts w:ascii="Times New Roman" w:hAnsi="Times New Roman"/>
          <w:color w:val="000000" w:themeColor="text1"/>
          <w:sz w:val="16"/>
          <w:szCs w:val="16"/>
          <w:lang w:val="en-US"/>
        </w:rPr>
        <w:t>S</w:t>
      </w:r>
      <w:r w:rsidRPr="0044524F">
        <w:rPr>
          <w:rFonts w:ascii="Times New Roman" w:hAnsi="Times New Roman"/>
          <w:color w:val="000000" w:themeColor="text1"/>
          <w:sz w:val="16"/>
          <w:szCs w:val="16"/>
        </w:rPr>
        <w:t>.55 зав. № 10526 СССР-Н11 начала работу. Сначала рассмотрела версию со взрывом самолета, но вскоре отвергла ее - данные о взрыве не подтвердились.</w:t>
      </w:r>
    </w:p>
    <w:p w14:paraId="0381A6A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Собранные части самолета представляли следующую картину. Обе лодки самолета раз</w:t>
      </w:r>
      <w:r w:rsidRPr="0044524F">
        <w:rPr>
          <w:rFonts w:ascii="Times New Roman" w:hAnsi="Times New Roman"/>
          <w:color w:val="000000" w:themeColor="text1"/>
          <w:sz w:val="16"/>
          <w:szCs w:val="16"/>
        </w:rPr>
        <w:softHyphen/>
        <w:t>биты полностью на мелкие куски размером от 0,02 до 1 кв. м. Из крупных кусков оставались только хвостовые части лодок, отломанные по задней кромке центроплана. Моторы оторва</w:t>
      </w:r>
      <w:r w:rsidRPr="0044524F">
        <w:rPr>
          <w:rFonts w:ascii="Times New Roman" w:hAnsi="Times New Roman"/>
          <w:color w:val="000000" w:themeColor="text1"/>
          <w:sz w:val="16"/>
          <w:szCs w:val="16"/>
        </w:rPr>
        <w:softHyphen/>
        <w:t>лись от центроплана в узлах крепления стоек мотоустановки и сорвали с собой верхнюю часть центроплана с потолком кабины пило</w:t>
      </w:r>
      <w:r w:rsidRPr="0044524F">
        <w:rPr>
          <w:rFonts w:ascii="Times New Roman" w:hAnsi="Times New Roman"/>
          <w:color w:val="000000" w:themeColor="text1"/>
          <w:sz w:val="16"/>
          <w:szCs w:val="16"/>
        </w:rPr>
        <w:softHyphen/>
        <w:t>тов. При отрыве моторы перевернулись отно</w:t>
      </w:r>
      <w:r w:rsidRPr="0044524F">
        <w:rPr>
          <w:rFonts w:ascii="Times New Roman" w:hAnsi="Times New Roman"/>
          <w:color w:val="000000" w:themeColor="text1"/>
          <w:sz w:val="16"/>
          <w:szCs w:val="16"/>
        </w:rPr>
        <w:softHyphen/>
        <w:t>сительно передних моторных узлов. Крылья в основном разбиты на три части. Правая кон</w:t>
      </w:r>
      <w:r w:rsidRPr="0044524F">
        <w:rPr>
          <w:rFonts w:ascii="Times New Roman" w:hAnsi="Times New Roman"/>
          <w:color w:val="000000" w:themeColor="text1"/>
          <w:sz w:val="16"/>
          <w:szCs w:val="16"/>
        </w:rPr>
        <w:softHyphen/>
        <w:t>соль отломана по линии крепления к центро</w:t>
      </w:r>
      <w:r w:rsidRPr="0044524F">
        <w:rPr>
          <w:rFonts w:ascii="Times New Roman" w:hAnsi="Times New Roman"/>
          <w:color w:val="000000" w:themeColor="text1"/>
          <w:sz w:val="16"/>
          <w:szCs w:val="16"/>
        </w:rPr>
        <w:softHyphen/>
        <w:t>плану по внешнему борту лодки. Носок консо</w:t>
      </w:r>
      <w:r w:rsidRPr="0044524F">
        <w:rPr>
          <w:rFonts w:ascii="Times New Roman" w:hAnsi="Times New Roman"/>
          <w:color w:val="000000" w:themeColor="text1"/>
          <w:sz w:val="16"/>
          <w:szCs w:val="16"/>
        </w:rPr>
        <w:softHyphen/>
        <w:t>ли на протяжении примерно 5,5 м разбит. Все болты крепления лодки к крылу чисто срезаны по плоскости соединения. Левая консоль раз</w:t>
      </w:r>
      <w:r w:rsidRPr="0044524F">
        <w:rPr>
          <w:rFonts w:ascii="Times New Roman" w:hAnsi="Times New Roman"/>
          <w:color w:val="000000" w:themeColor="text1"/>
          <w:sz w:val="16"/>
          <w:szCs w:val="16"/>
        </w:rPr>
        <w:softHyphen/>
        <w:t>бита на две основные части, по линии крепле</w:t>
      </w:r>
      <w:r w:rsidRPr="0044524F">
        <w:rPr>
          <w:rFonts w:ascii="Times New Roman" w:hAnsi="Times New Roman"/>
          <w:color w:val="000000" w:themeColor="text1"/>
          <w:sz w:val="16"/>
          <w:szCs w:val="16"/>
        </w:rPr>
        <w:softHyphen/>
        <w:t>ния левых стоек мотоустановки к центроплану и по линии торцевой кромки элерона. Наи</w:t>
      </w:r>
      <w:r w:rsidRPr="0044524F">
        <w:rPr>
          <w:rFonts w:ascii="Times New Roman" w:hAnsi="Times New Roman"/>
          <w:color w:val="000000" w:themeColor="text1"/>
          <w:sz w:val="16"/>
          <w:szCs w:val="16"/>
        </w:rPr>
        <w:softHyphen/>
        <w:t>большая по своей величине корневая часть консоли сильно изломана. Весь носок консоли выбит. Центроплан в пролете между ногами мотоустановки разбит в мелкие щепки. Пилот</w:t>
      </w:r>
      <w:r w:rsidRPr="0044524F">
        <w:rPr>
          <w:rFonts w:ascii="Times New Roman" w:hAnsi="Times New Roman"/>
          <w:color w:val="000000" w:themeColor="text1"/>
          <w:sz w:val="16"/>
          <w:szCs w:val="16"/>
        </w:rPr>
        <w:softHyphen/>
        <w:t>ская кабина и ее оборудование разбито на мелкие куски. Все управление поломано. Бензо- и маслобаки выбиты из мест крепления и отделились от самолета. Хвостовая ферма из</w:t>
      </w:r>
      <w:r w:rsidRPr="0044524F">
        <w:rPr>
          <w:rFonts w:ascii="Times New Roman" w:hAnsi="Times New Roman"/>
          <w:color w:val="000000" w:themeColor="text1"/>
          <w:sz w:val="16"/>
          <w:szCs w:val="16"/>
        </w:rPr>
        <w:softHyphen/>
        <w:t>ломана. Оперение почти не пострадало. Ста</w:t>
      </w:r>
      <w:r w:rsidRPr="0044524F">
        <w:rPr>
          <w:rFonts w:ascii="Times New Roman" w:hAnsi="Times New Roman"/>
          <w:color w:val="000000" w:themeColor="text1"/>
          <w:sz w:val="16"/>
          <w:szCs w:val="16"/>
        </w:rPr>
        <w:softHyphen/>
        <w:t>билизатор и вертикальное оперение совер</w:t>
      </w:r>
      <w:r w:rsidRPr="0044524F">
        <w:rPr>
          <w:rFonts w:ascii="Times New Roman" w:hAnsi="Times New Roman"/>
          <w:color w:val="000000" w:themeColor="text1"/>
          <w:sz w:val="16"/>
          <w:szCs w:val="16"/>
        </w:rPr>
        <w:softHyphen/>
        <w:t>шенно цело.</w:t>
      </w:r>
    </w:p>
    <w:p w14:paraId="1FE2EF6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15-го июля, после обследования дна реки водолазами, были подняты оба мотора и труп второго пилота Косухина. Вместе с моторами были подняты потолок кабины пилотов, при</w:t>
      </w:r>
      <w:r w:rsidRPr="0044524F">
        <w:rPr>
          <w:rFonts w:ascii="Times New Roman" w:hAnsi="Times New Roman"/>
          <w:color w:val="000000" w:themeColor="text1"/>
          <w:sz w:val="16"/>
          <w:szCs w:val="16"/>
        </w:rPr>
        <w:softHyphen/>
        <w:t>борная доска, часть центроплана, трубопро</w:t>
      </w:r>
      <w:r w:rsidRPr="0044524F">
        <w:rPr>
          <w:rFonts w:ascii="Times New Roman" w:hAnsi="Times New Roman"/>
          <w:color w:val="000000" w:themeColor="text1"/>
          <w:sz w:val="16"/>
          <w:szCs w:val="16"/>
        </w:rPr>
        <w:softHyphen/>
        <w:t>воды и электропроводка. Труп Косухина нахо</w:t>
      </w:r>
      <w:r w:rsidRPr="0044524F">
        <w:rPr>
          <w:rFonts w:ascii="Times New Roman" w:hAnsi="Times New Roman"/>
          <w:color w:val="000000" w:themeColor="text1"/>
          <w:sz w:val="16"/>
          <w:szCs w:val="16"/>
        </w:rPr>
        <w:softHyphen/>
        <w:t>дился внутри обшивки борта кабины пилотов,</w:t>
      </w:r>
    </w:p>
    <w:p w14:paraId="6007AFC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зацепившись ногами за проводку. Так и не</w:t>
      </w:r>
      <w:r w:rsidRPr="0044524F">
        <w:rPr>
          <w:rFonts w:ascii="Times New Roman" w:hAnsi="Times New Roman"/>
          <w:color w:val="000000" w:themeColor="text1"/>
          <w:sz w:val="16"/>
          <w:szCs w:val="16"/>
        </w:rPr>
        <w:softHyphen/>
        <w:t>найденным осталось только тело Тома. Мото</w:t>
      </w:r>
      <w:r w:rsidRPr="0044524F">
        <w:rPr>
          <w:rFonts w:ascii="Times New Roman" w:hAnsi="Times New Roman"/>
          <w:color w:val="000000" w:themeColor="text1"/>
          <w:sz w:val="16"/>
          <w:szCs w:val="16"/>
        </w:rPr>
        <w:softHyphen/>
        <w:t>ры после катастрофы, по наружному осмотру, находились в исправном состоянии, за ис</w:t>
      </w:r>
      <w:r w:rsidRPr="0044524F">
        <w:rPr>
          <w:rFonts w:ascii="Times New Roman" w:hAnsi="Times New Roman"/>
          <w:color w:val="000000" w:themeColor="text1"/>
          <w:sz w:val="16"/>
          <w:szCs w:val="16"/>
        </w:rPr>
        <w:softHyphen/>
        <w:t>ключением мелких повреждений наружных частей.</w:t>
      </w:r>
    </w:p>
    <w:p w14:paraId="21EFC30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Работу комиссии осложняло то, что остав</w:t>
      </w:r>
      <w:r w:rsidRPr="0044524F">
        <w:rPr>
          <w:rFonts w:ascii="Times New Roman" w:hAnsi="Times New Roman"/>
          <w:color w:val="000000" w:themeColor="text1"/>
          <w:sz w:val="16"/>
          <w:szCs w:val="16"/>
        </w:rPr>
        <w:softHyphen/>
        <w:t>шиеся в живых Падалко и Карбановский ни</w:t>
      </w:r>
      <w:r w:rsidRPr="0044524F">
        <w:rPr>
          <w:rFonts w:ascii="Times New Roman" w:hAnsi="Times New Roman"/>
          <w:color w:val="000000" w:themeColor="text1"/>
          <w:sz w:val="16"/>
          <w:szCs w:val="16"/>
        </w:rPr>
        <w:softHyphen/>
        <w:t>чего не могли рассказать. Штурман был занят своей работой и не заметил никаких резких изменений в режиме полета. Карбановский вообще дремал, ощутил сильный удар и ока</w:t>
      </w:r>
      <w:r w:rsidRPr="0044524F">
        <w:rPr>
          <w:rFonts w:ascii="Times New Roman" w:hAnsi="Times New Roman"/>
          <w:color w:val="000000" w:themeColor="text1"/>
          <w:sz w:val="16"/>
          <w:szCs w:val="16"/>
        </w:rPr>
        <w:softHyphen/>
        <w:t>зался в воде.</w:t>
      </w:r>
    </w:p>
    <w:p w14:paraId="0618E96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Картина катастрофы представлялась чле</w:t>
      </w:r>
      <w:r w:rsidRPr="0044524F">
        <w:rPr>
          <w:rFonts w:ascii="Times New Roman" w:hAnsi="Times New Roman"/>
          <w:color w:val="000000" w:themeColor="text1"/>
          <w:sz w:val="16"/>
          <w:szCs w:val="16"/>
        </w:rPr>
        <w:softHyphen/>
        <w:t>нам комиссии следующим образом: первый удар был принят носовой частью правой лод</w:t>
      </w:r>
      <w:r w:rsidRPr="0044524F">
        <w:rPr>
          <w:rFonts w:ascii="Times New Roman" w:hAnsi="Times New Roman"/>
          <w:color w:val="000000" w:themeColor="text1"/>
          <w:sz w:val="16"/>
          <w:szCs w:val="16"/>
        </w:rPr>
        <w:softHyphen/>
        <w:t>ки. Ее срезало с центроплана и разбило в щеп</w:t>
      </w:r>
      <w:r w:rsidRPr="0044524F">
        <w:rPr>
          <w:rFonts w:ascii="Times New Roman" w:hAnsi="Times New Roman"/>
          <w:color w:val="000000" w:themeColor="text1"/>
          <w:sz w:val="16"/>
          <w:szCs w:val="16"/>
        </w:rPr>
        <w:softHyphen/>
        <w:t>ки. Отделившаяся при ударе лодки об воду, правая консоль упала в воду, оставшись срав</w:t>
      </w:r>
      <w:r w:rsidRPr="0044524F">
        <w:rPr>
          <w:rFonts w:ascii="Times New Roman" w:hAnsi="Times New Roman"/>
          <w:color w:val="000000" w:themeColor="text1"/>
          <w:sz w:val="16"/>
          <w:szCs w:val="16"/>
        </w:rPr>
        <w:softHyphen/>
        <w:t>нительно мало поврежденной. Лодку повело вправо, а инерция моторов создала капотиру</w:t>
      </w:r>
      <w:r w:rsidRPr="0044524F">
        <w:rPr>
          <w:rFonts w:ascii="Times New Roman" w:hAnsi="Times New Roman"/>
          <w:color w:val="000000" w:themeColor="text1"/>
          <w:sz w:val="16"/>
          <w:szCs w:val="16"/>
        </w:rPr>
        <w:softHyphen/>
        <w:t>ющий момент. В результате этого левая плос</w:t>
      </w:r>
      <w:r w:rsidRPr="0044524F">
        <w:rPr>
          <w:rFonts w:ascii="Times New Roman" w:hAnsi="Times New Roman"/>
          <w:color w:val="000000" w:themeColor="text1"/>
          <w:sz w:val="16"/>
          <w:szCs w:val="16"/>
        </w:rPr>
        <w:softHyphen/>
        <w:t>кость сильно ударилась об воду.</w:t>
      </w:r>
    </w:p>
    <w:p w14:paraId="04BF3824"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Положение рулевых плоскостей (левый элерон отклонен вверх, правый опущен, руль глубины «взят на себя») в момент удара о во</w:t>
      </w:r>
      <w:r w:rsidRPr="0044524F">
        <w:rPr>
          <w:rFonts w:ascii="Times New Roman" w:hAnsi="Times New Roman"/>
          <w:color w:val="000000" w:themeColor="text1"/>
          <w:sz w:val="16"/>
          <w:szCs w:val="16"/>
        </w:rPr>
        <w:softHyphen/>
        <w:t>ду показывает, что последним движением пи</w:t>
      </w:r>
      <w:r w:rsidRPr="0044524F">
        <w:rPr>
          <w:rFonts w:ascii="Times New Roman" w:hAnsi="Times New Roman"/>
          <w:color w:val="000000" w:themeColor="text1"/>
          <w:sz w:val="16"/>
          <w:szCs w:val="16"/>
        </w:rPr>
        <w:softHyphen/>
        <w:t>лота было взятие штурвала на себя и вывод самолета из правого крена.</w:t>
      </w:r>
    </w:p>
    <w:p w14:paraId="36D96C2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Бесспорно было установлено: во-первых, от села Воскресенск до места катастрофы са</w:t>
      </w:r>
      <w:r w:rsidRPr="0044524F">
        <w:rPr>
          <w:rFonts w:ascii="Times New Roman" w:hAnsi="Times New Roman"/>
          <w:color w:val="000000" w:themeColor="text1"/>
          <w:sz w:val="16"/>
          <w:szCs w:val="16"/>
        </w:rPr>
        <w:softHyphen/>
        <w:t>молет шел на малой высоте, бреющим полетом на режиме крейсерской скорости при нор</w:t>
      </w:r>
      <w:r w:rsidRPr="0044524F">
        <w:rPr>
          <w:rFonts w:ascii="Times New Roman" w:hAnsi="Times New Roman"/>
          <w:color w:val="000000" w:themeColor="text1"/>
          <w:sz w:val="16"/>
          <w:szCs w:val="16"/>
        </w:rPr>
        <w:softHyphen/>
        <w:t>мально работающих моторах, во-вторых, в мо</w:t>
      </w:r>
      <w:r w:rsidRPr="0044524F">
        <w:rPr>
          <w:rFonts w:ascii="Times New Roman" w:hAnsi="Times New Roman"/>
          <w:color w:val="000000" w:themeColor="text1"/>
          <w:sz w:val="16"/>
          <w:szCs w:val="16"/>
        </w:rPr>
        <w:softHyphen/>
        <w:t>мент катастрофы самолет ни нормальной, ни вынужденной посадки не производил, а уда</w:t>
      </w:r>
      <w:r w:rsidRPr="0044524F">
        <w:rPr>
          <w:rFonts w:ascii="Times New Roman" w:hAnsi="Times New Roman"/>
          <w:color w:val="000000" w:themeColor="text1"/>
          <w:sz w:val="16"/>
          <w:szCs w:val="16"/>
        </w:rPr>
        <w:softHyphen/>
        <w:t>рился о воду на режиме своего предыдущего полета.</w:t>
      </w:r>
    </w:p>
    <w:p w14:paraId="4E1630E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Рассматривались следующие версии:</w:t>
      </w:r>
    </w:p>
    <w:p w14:paraId="445E5AD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Ошибка пилотирования. Против этого - «исключительный опыт и знание техники по</w:t>
      </w:r>
      <w:r w:rsidRPr="0044524F">
        <w:rPr>
          <w:rFonts w:ascii="Times New Roman" w:hAnsi="Times New Roman"/>
          <w:color w:val="000000" w:themeColor="text1"/>
          <w:sz w:val="16"/>
          <w:szCs w:val="16"/>
        </w:rPr>
        <w:softHyphen/>
        <w:t>лета на малой высоте над водой у пилота Бух- гольца и наличие второго пилота рядом с ним»; во время бреющего полета самолет вел Бухгольц, не доверяя пилотирование Косухи- ну. Бухгольц передавал управление только на большой высоте; по показаниям Падалко за 13 минут до катастрофы (при прохождении над Марксштадтом) самолет вел Бухгольц; ви</w:t>
      </w:r>
      <w:r w:rsidRPr="0044524F">
        <w:rPr>
          <w:rFonts w:ascii="Times New Roman" w:hAnsi="Times New Roman"/>
          <w:color w:val="000000" w:themeColor="text1"/>
          <w:sz w:val="16"/>
          <w:szCs w:val="16"/>
        </w:rPr>
        <w:softHyphen/>
        <w:t>димость воды и горизонта - очень хорошие, а ширина реки до 1,5 км. Утеря представления о расстоянии до воды из-за близости берегов - исключается.</w:t>
      </w:r>
    </w:p>
    <w:p w14:paraId="72CEE268" w14:textId="77777777" w:rsidR="00C22911" w:rsidRPr="0044524F" w:rsidRDefault="00C22911" w:rsidP="009654CF">
      <w:pPr>
        <w:tabs>
          <w:tab w:val="left" w:pos="447"/>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Уклонение самолета к воде из-за про</w:t>
      </w:r>
      <w:r w:rsidRPr="0044524F">
        <w:rPr>
          <w:rFonts w:ascii="Times New Roman" w:hAnsi="Times New Roman"/>
          <w:color w:val="000000" w:themeColor="text1"/>
          <w:sz w:val="16"/>
          <w:szCs w:val="16"/>
        </w:rPr>
        <w:softHyphen/>
        <w:t>дольной неустойчивости. Против - по запи</w:t>
      </w:r>
      <w:r w:rsidRPr="0044524F">
        <w:rPr>
          <w:rFonts w:ascii="Times New Roman" w:hAnsi="Times New Roman"/>
          <w:color w:val="000000" w:themeColor="text1"/>
          <w:sz w:val="16"/>
          <w:szCs w:val="16"/>
        </w:rPr>
        <w:softHyphen/>
        <w:t>сям Бухгольца в дневнике у самолета боль</w:t>
      </w:r>
      <w:r w:rsidRPr="0044524F">
        <w:rPr>
          <w:rFonts w:ascii="Times New Roman" w:hAnsi="Times New Roman"/>
          <w:color w:val="000000" w:themeColor="text1"/>
          <w:sz w:val="16"/>
          <w:szCs w:val="16"/>
        </w:rPr>
        <w:softHyphen/>
        <w:t>ной запас продольной устойчивости. По по</w:t>
      </w:r>
      <w:r w:rsidRPr="0044524F">
        <w:rPr>
          <w:rFonts w:ascii="Times New Roman" w:hAnsi="Times New Roman"/>
          <w:color w:val="000000" w:themeColor="text1"/>
          <w:sz w:val="16"/>
          <w:szCs w:val="16"/>
        </w:rPr>
        <w:softHyphen/>
        <w:t>казаниям Падалко пилот на большой высоте неоднократно бросал управление - самолет вел себя устойчиво.</w:t>
      </w:r>
    </w:p>
    <w:p w14:paraId="05D0B1DC" w14:textId="77777777" w:rsidR="00C22911" w:rsidRPr="0044524F" w:rsidRDefault="00C22911" w:rsidP="009654CF">
      <w:pPr>
        <w:tabs>
          <w:tab w:val="left" w:pos="466"/>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Дефекты матчасти. «Возможен только один дефект материальной части, заставивший войти на вынужденную посадку с работающи- ии моторами - это заклинение стабилизатора иод резко отрицательным углом, заставлявшее «абрировать самолет при полной отдаче штур</w:t>
      </w:r>
      <w:r w:rsidRPr="0044524F">
        <w:rPr>
          <w:rFonts w:ascii="Times New Roman" w:hAnsi="Times New Roman"/>
          <w:color w:val="000000" w:themeColor="text1"/>
          <w:sz w:val="16"/>
          <w:szCs w:val="16"/>
        </w:rPr>
        <w:softHyphen/>
        <w:t>вала от себя. В таком случае подход к земле гидросамолета возможен только на газу». Про</w:t>
      </w:r>
      <w:r w:rsidRPr="0044524F">
        <w:rPr>
          <w:rFonts w:ascii="Times New Roman" w:hAnsi="Times New Roman"/>
          <w:color w:val="000000" w:themeColor="text1"/>
          <w:sz w:val="16"/>
          <w:szCs w:val="16"/>
        </w:rPr>
        <w:softHyphen/>
        <w:t>тив - пилот не предупредил экипаж, состояние оперения не подтверждает заклинивания.</w:t>
      </w:r>
    </w:p>
    <w:p w14:paraId="324404FD" w14:textId="77777777" w:rsidR="00C22911" w:rsidRPr="0044524F" w:rsidRDefault="00C22911" w:rsidP="009654CF">
      <w:pPr>
        <w:tabs>
          <w:tab w:val="left" w:pos="481"/>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Провал самолета из-за местных атмо</w:t>
      </w:r>
      <w:r w:rsidRPr="0044524F">
        <w:rPr>
          <w:rFonts w:ascii="Times New Roman" w:hAnsi="Times New Roman"/>
          <w:color w:val="000000" w:themeColor="text1"/>
          <w:sz w:val="16"/>
          <w:szCs w:val="16"/>
        </w:rPr>
        <w:softHyphen/>
        <w:t>сферных условий. Против - исключительно благоприятная погода и полное отсутствие ре</w:t>
      </w:r>
      <w:r w:rsidRPr="0044524F">
        <w:rPr>
          <w:rFonts w:ascii="Times New Roman" w:hAnsi="Times New Roman"/>
          <w:color w:val="000000" w:themeColor="text1"/>
          <w:sz w:val="16"/>
          <w:szCs w:val="16"/>
        </w:rPr>
        <w:softHyphen/>
        <w:t>ку. Однако, метров за 50 ниже по течению ре</w:t>
      </w:r>
      <w:r w:rsidRPr="0044524F">
        <w:rPr>
          <w:rFonts w:ascii="Times New Roman" w:hAnsi="Times New Roman"/>
          <w:color w:val="000000" w:themeColor="text1"/>
          <w:sz w:val="16"/>
          <w:szCs w:val="16"/>
        </w:rPr>
        <w:softHyphen/>
        <w:t>ки от места катастрофы, на правом берегу ре</w:t>
      </w:r>
      <w:r w:rsidRPr="0044524F">
        <w:rPr>
          <w:rFonts w:ascii="Times New Roman" w:hAnsi="Times New Roman"/>
          <w:color w:val="000000" w:themeColor="text1"/>
          <w:sz w:val="16"/>
          <w:szCs w:val="16"/>
        </w:rPr>
        <w:softHyphen/>
        <w:t>ви находился овраг, выходящий перпендику</w:t>
      </w:r>
      <w:r w:rsidRPr="0044524F">
        <w:rPr>
          <w:rFonts w:ascii="Times New Roman" w:hAnsi="Times New Roman"/>
          <w:color w:val="000000" w:themeColor="text1"/>
          <w:sz w:val="16"/>
          <w:szCs w:val="16"/>
        </w:rPr>
        <w:softHyphen/>
        <w:t>лярно к Волге. Высота берега примерно 80 м, а высота дна оврага - 20. За берегом располо</w:t>
      </w:r>
      <w:r w:rsidRPr="0044524F">
        <w:rPr>
          <w:rFonts w:ascii="Times New Roman" w:hAnsi="Times New Roman"/>
          <w:color w:val="000000" w:themeColor="text1"/>
          <w:sz w:val="16"/>
          <w:szCs w:val="16"/>
        </w:rPr>
        <w:softHyphen/>
        <w:t>жена лощина, из которой прорывается холод</w:t>
      </w:r>
      <w:r w:rsidRPr="0044524F">
        <w:rPr>
          <w:rFonts w:ascii="Times New Roman" w:hAnsi="Times New Roman"/>
          <w:color w:val="000000" w:themeColor="text1"/>
          <w:sz w:val="16"/>
          <w:szCs w:val="16"/>
        </w:rPr>
        <w:softHyphen/>
        <w:t>ный воздух, дующий перпендикулярно тече</w:t>
      </w:r>
      <w:r w:rsidRPr="0044524F">
        <w:rPr>
          <w:rFonts w:ascii="Times New Roman" w:hAnsi="Times New Roman"/>
          <w:color w:val="000000" w:themeColor="text1"/>
          <w:sz w:val="16"/>
          <w:szCs w:val="16"/>
        </w:rPr>
        <w:softHyphen/>
        <w:t>нию реки. При зеркальной поверхности реки, прямо против оврага наблюдается рябь от это</w:t>
      </w:r>
      <w:r w:rsidRPr="0044524F">
        <w:rPr>
          <w:rFonts w:ascii="Times New Roman" w:hAnsi="Times New Roman"/>
          <w:color w:val="000000" w:themeColor="text1"/>
          <w:sz w:val="16"/>
          <w:szCs w:val="16"/>
        </w:rPr>
        <w:softHyphen/>
        <w:t>го ветра протяженностью от берега около 150- 200 м. Это наблюдается даже при полном шти- ве. Можно предположить, что самолет прова- вился с креном вправо против оврага от под</w:t>
      </w:r>
      <w:r w:rsidRPr="0044524F">
        <w:rPr>
          <w:rFonts w:ascii="Times New Roman" w:hAnsi="Times New Roman"/>
          <w:color w:val="000000" w:themeColor="text1"/>
          <w:sz w:val="16"/>
          <w:szCs w:val="16"/>
        </w:rPr>
        <w:softHyphen/>
        <w:t>дува ветра в правое крыло. Пилот пытался вы</w:t>
      </w:r>
      <w:r w:rsidRPr="0044524F">
        <w:rPr>
          <w:rFonts w:ascii="Times New Roman" w:hAnsi="Times New Roman"/>
          <w:color w:val="000000" w:themeColor="text1"/>
          <w:sz w:val="16"/>
          <w:szCs w:val="16"/>
        </w:rPr>
        <w:softHyphen/>
        <w:t>ровнять самолет, но это не удалось и машина, пройдя еще 50 метров, врезалась в воду.</w:t>
      </w:r>
    </w:p>
    <w:p w14:paraId="76801CF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и решили: основная причина происше</w:t>
      </w:r>
      <w:r w:rsidRPr="0044524F">
        <w:rPr>
          <w:rFonts w:ascii="Times New Roman" w:hAnsi="Times New Roman"/>
          <w:color w:val="000000" w:themeColor="text1"/>
          <w:sz w:val="16"/>
          <w:szCs w:val="16"/>
        </w:rPr>
        <w:softHyphen/>
        <w:t>ствия - полет на малой высоте, непосредст</w:t>
      </w:r>
      <w:r w:rsidRPr="0044524F">
        <w:rPr>
          <w:rFonts w:ascii="Times New Roman" w:hAnsi="Times New Roman"/>
          <w:color w:val="000000" w:themeColor="text1"/>
          <w:sz w:val="16"/>
          <w:szCs w:val="16"/>
        </w:rPr>
        <w:softHyphen/>
        <w:t>венная - удар самолета о воду на большой скорости из-за местных атмосферных особен</w:t>
      </w:r>
      <w:r w:rsidRPr="0044524F">
        <w:rPr>
          <w:rFonts w:ascii="Times New Roman" w:hAnsi="Times New Roman"/>
          <w:color w:val="000000" w:themeColor="text1"/>
          <w:sz w:val="16"/>
          <w:szCs w:val="16"/>
        </w:rPr>
        <w:softHyphen/>
        <w:t>ностей.</w:t>
      </w:r>
    </w:p>
    <w:p w14:paraId="2BE5609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неделю комиссия закончила работу и вернулась в Москву.</w:t>
      </w:r>
    </w:p>
    <w:p w14:paraId="19B767B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катастрофы самолет налетал 12 часов и произвел 15 посадок, налет Бухгольца на дан</w:t>
      </w:r>
      <w:r w:rsidRPr="0044524F">
        <w:rPr>
          <w:rFonts w:ascii="Times New Roman" w:hAnsi="Times New Roman"/>
          <w:color w:val="000000" w:themeColor="text1"/>
          <w:sz w:val="16"/>
          <w:szCs w:val="16"/>
        </w:rPr>
        <w:softHyphen/>
        <w:t>ном типе составлял 8 часов 50 мин.</w:t>
      </w:r>
    </w:p>
    <w:p w14:paraId="2C1359D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Взамен СССР-Н11 на мыс Северный для об</w:t>
      </w:r>
      <w:r w:rsidRPr="0044524F">
        <w:rPr>
          <w:rFonts w:ascii="Times New Roman" w:hAnsi="Times New Roman"/>
          <w:color w:val="000000" w:themeColor="text1"/>
          <w:sz w:val="16"/>
          <w:szCs w:val="16"/>
        </w:rPr>
        <w:softHyphen/>
        <w:t>служивания прохода судов Колымской экспе</w:t>
      </w:r>
      <w:r w:rsidRPr="0044524F">
        <w:rPr>
          <w:rFonts w:ascii="Times New Roman" w:hAnsi="Times New Roman"/>
          <w:color w:val="000000" w:themeColor="text1"/>
          <w:sz w:val="16"/>
          <w:szCs w:val="16"/>
        </w:rPr>
        <w:softHyphen/>
        <w:t>диции вдоль Чукотского берега был послан самолет ЮГ-1 СССР-Н4 (11975).</w:t>
      </w:r>
    </w:p>
    <w:p w14:paraId="7D6A259B"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7D3EE7EE" w14:textId="77777777" w:rsidR="00481FC0" w:rsidRPr="00142305" w:rsidRDefault="00481FC0" w:rsidP="00481FC0">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3 июля 1933 г., получив приказ в отношении Маттерна, экипаж Леваневского из Хабаровска вылетел на Чукотку. При этом, чтобы максимально проследить маршрут американ</w:t>
      </w:r>
      <w:r w:rsidRPr="00142305">
        <w:rPr>
          <w:rStyle w:val="aff"/>
          <w:rFonts w:ascii="Times New Roman" w:hAnsi="Times New Roman" w:cs="Times New Roman"/>
          <w:color w:val="0070C0"/>
          <w:spacing w:val="0"/>
          <w:sz w:val="16"/>
          <w:szCs w:val="16"/>
        </w:rPr>
        <w:softHyphen/>
        <w:t>ского «рекордсмена», ему пришлось лететь над сушей, чего «гидристы» всегда избегали на случай вынужденной по</w:t>
      </w:r>
      <w:r w:rsidRPr="00142305">
        <w:rPr>
          <w:rStyle w:val="aff"/>
          <w:rFonts w:ascii="Times New Roman" w:hAnsi="Times New Roman" w:cs="Times New Roman"/>
          <w:color w:val="0070C0"/>
          <w:spacing w:val="0"/>
          <w:sz w:val="16"/>
          <w:szCs w:val="16"/>
        </w:rPr>
        <w:softHyphen/>
        <w:t>садки. В результате С.А. Леваневский впервые прошел над тундрой от бухты Нагаева, с посадкой в штормовом море возле Охотска, до Анадыря и, таким образом, проложил новый маршрут на Чукотку. Его Дорнье «Валь» первым опробовал трассу, по которой позже, через семь месяцев, в зимних условиях отправились на спасение «челюскинцев» М.В. Водопьянов, В.Л. Галышев и И.Д. Доронин.</w:t>
      </w:r>
    </w:p>
    <w:p w14:paraId="71548254"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Согласно Леваневскому, предлагалось доказать всем, что американский лётчик летел проходным маршрутом (буржуазная пресса заявила, что Маттерн хотел лететь через Якутск, а его направили другим курсом). Вылетели в Хабаровск. Пролетели Сахалин, навстречу - туман высотой до 600 метров. По обратно возвращаться нельзя, надо доказать иностранным писакам, что этот участок вполне проходим...</w:t>
      </w:r>
    </w:p>
    <w:p w14:paraId="5218CDDF"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Вечером туман становится ещё гуще, а при входе в Ногаево (Нагаева бухта) совсем ничего не видно...</w:t>
      </w:r>
    </w:p>
    <w:p w14:paraId="1C9EB982"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Сели на берег. Переночевали. Положение скверное - нет бензина на перелёт от Ногаева до Анадыря. Чтобы сокра</w:t>
      </w:r>
      <w:r w:rsidRPr="00142305">
        <w:rPr>
          <w:rStyle w:val="aff"/>
          <w:rFonts w:ascii="Times New Roman" w:hAnsi="Times New Roman" w:cs="Times New Roman"/>
          <w:color w:val="0070C0"/>
          <w:spacing w:val="0"/>
          <w:sz w:val="16"/>
          <w:szCs w:val="16"/>
        </w:rPr>
        <w:softHyphen/>
        <w:t>тить расстояние, решил лететь на своей «лодке» сухопут</w:t>
      </w:r>
      <w:r w:rsidRPr="00142305">
        <w:rPr>
          <w:rStyle w:val="aff"/>
          <w:rFonts w:ascii="Times New Roman" w:hAnsi="Times New Roman" w:cs="Times New Roman"/>
          <w:color w:val="0070C0"/>
          <w:spacing w:val="0"/>
          <w:sz w:val="16"/>
          <w:szCs w:val="16"/>
        </w:rPr>
        <w:softHyphen/>
        <w:t>ным участком, через тундру...».</w:t>
      </w:r>
    </w:p>
    <w:p w14:paraId="103F6D5F" w14:textId="77777777" w:rsidR="00481FC0" w:rsidRPr="00142305" w:rsidRDefault="00481FC0" w:rsidP="00481FC0">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Ночью заправили амфибию и стали взлетать из Анадыря курсом на США. Но Джеймс Маттерн предварительно снял со своего самолёта всё, что уцелело, и так загрузил летающую лодку С. А. Леваневского, что та не смогла оторваться от воды. Тогда командир решился на рискованный шаг: приказал слить часть горючего и оставить ящик с консервами - из НЗ. Он не хотел, чтобы американец плохо подумал о русском экипаже. С великим трудом гидросамолёт смог взлететь. Перегружепная машина совершила в тумане посадку возле о. Святого Лаврентия, где экипаж заночевал. Угром 20 июля он вновь стартовал па американский г. Ном с минимальным запасом горючего (па I час 10 минут, а до Аляски пред</w:t>
      </w:r>
      <w:r w:rsidRPr="00142305">
        <w:rPr>
          <w:rStyle w:val="aff"/>
          <w:rFonts w:ascii="Times New Roman" w:hAnsi="Times New Roman" w:cs="Times New Roman"/>
          <w:color w:val="0070C0"/>
          <w:spacing w:val="0"/>
          <w:sz w:val="16"/>
          <w:szCs w:val="16"/>
        </w:rPr>
        <w:softHyphen/>
        <w:t>стояло лететь 1 час 15 минут). С.А. Леваневский принял решение лететь по прямой. Весь полёт за его спиной стоял Дж. Маттерн и напряжённо следил за бензиномером. Когда из тумана выглянул берег, командир тут же повернул на посадку, и оба мотора смолкли. Дорнье «Валь» сел и зака</w:t>
      </w:r>
      <w:r w:rsidRPr="00142305">
        <w:rPr>
          <w:rStyle w:val="aff"/>
          <w:rFonts w:ascii="Times New Roman" w:hAnsi="Times New Roman" w:cs="Times New Roman"/>
          <w:color w:val="0070C0"/>
          <w:spacing w:val="0"/>
          <w:sz w:val="16"/>
          <w:szCs w:val="16"/>
        </w:rPr>
        <w:softHyphen/>
        <w:t>чался па волнах неподалёку от Нома. Советские лётчики спустили надувную шлюпку и в числе первых перевезли пострадавшего Дж. Маттерна. Когда он выскочил на берег, то стал бегать и кричать: «Америка! Америка!». После чего упал и принялся целовать землю.</w:t>
      </w:r>
    </w:p>
    <w:p w14:paraId="6C539161"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обратном пути из-за сильного тумана С.А. Леванев</w:t>
      </w:r>
      <w:r w:rsidRPr="00142305">
        <w:rPr>
          <w:rStyle w:val="aff"/>
          <w:rFonts w:ascii="Times New Roman" w:hAnsi="Times New Roman" w:cs="Times New Roman"/>
          <w:color w:val="0070C0"/>
          <w:spacing w:val="0"/>
          <w:sz w:val="16"/>
          <w:szCs w:val="16"/>
        </w:rPr>
        <w:softHyphen/>
        <w:t>ский совершил вынужденную посадку на мелководном озере на американском берегу и выполнил взлёт в сложнейших условиях. До Уэлена самолёт долетел только па вторые сут</w:t>
      </w:r>
      <w:r w:rsidRPr="00142305">
        <w:rPr>
          <w:rStyle w:val="aff"/>
          <w:rFonts w:ascii="Times New Roman" w:hAnsi="Times New Roman" w:cs="Times New Roman"/>
          <w:color w:val="0070C0"/>
          <w:spacing w:val="0"/>
          <w:sz w:val="16"/>
          <w:szCs w:val="16"/>
        </w:rPr>
        <w:softHyphen/>
        <w:t>ки. Обратный путь на Чукотку оказался тяжёлым и долгим, с вынужденными поломками и посадками, ведь планового ремонта самолёт так и не прошёл. За участие в спасении американского пилота Дж. Маттерна С.А. Леваневский был награждён орденом Красной Звезды.</w:t>
      </w:r>
    </w:p>
    <w:p w14:paraId="5CFD1519"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Затем Н-8 «знаменитого полярного лётчика», как стали именовать С.А. Леваневского в прессе, проводил ледовую разведку от Уэлена до Тиксп, садился на о. Врангеля. Летал с посадками на мысе Северном (с 7 сентября там начала работать радиостанция). 3 сентября он прилетел па новый аэродром в Тикси, откуда должен был произвести ледовую разведку района до пролива Санникова. В воздухе С.А, Ле</w:t>
      </w:r>
      <w:r w:rsidRPr="00142305">
        <w:rPr>
          <w:rStyle w:val="aff"/>
          <w:rFonts w:ascii="Times New Roman" w:hAnsi="Times New Roman" w:cs="Times New Roman"/>
          <w:color w:val="0070C0"/>
          <w:spacing w:val="0"/>
          <w:sz w:val="16"/>
          <w:szCs w:val="16"/>
        </w:rPr>
        <w:softHyphen/>
        <w:t>ваневский смог увидеть пароход «Челюскин» и доложись командованию, что в такой тяжёлой ледовой обстановке судну вряд ли удастся пройти к Берингову проливу.</w:t>
      </w:r>
    </w:p>
    <w:p w14:paraId="741F386B"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Когда моторы летающей лодки отработали свой ресурс, 24 сентября С.А. Леваневский перегнал её на ремонт из</w:t>
      </w:r>
      <w:r w:rsidRPr="00142305">
        <w:rPr>
          <w:rStyle w:val="article-statdate"/>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устья Лены в Якутск и далее в Иркутск, а затем отправился домой в Полтаву (25653).</w:t>
      </w:r>
    </w:p>
    <w:p w14:paraId="6CC466FE" w14:textId="77777777" w:rsidR="00481FC0" w:rsidRPr="00142305" w:rsidRDefault="00481FC0" w:rsidP="00481FC0">
      <w:pPr>
        <w:spacing w:after="0" w:line="240" w:lineRule="auto"/>
        <w:jc w:val="both"/>
        <w:rPr>
          <w:rFonts w:ascii="Times New Roman" w:hAnsi="Times New Roman"/>
          <w:color w:val="0070C0"/>
          <w:sz w:val="16"/>
          <w:szCs w:val="16"/>
        </w:rPr>
      </w:pPr>
    </w:p>
    <w:p w14:paraId="6C31945B"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5155A60"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5F38DD54"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июля 1933 состоялся пуск Уралмаша - Свердловского машиностроительного завода (3908,340).</w:t>
      </w:r>
    </w:p>
    <w:p w14:paraId="238FD228"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6B1A0B43" w14:textId="77777777" w:rsidR="00CD671A" w:rsidRPr="0044524F" w:rsidRDefault="00CD671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июля 1933 опросом членов ПБ</w:t>
      </w:r>
    </w:p>
    <w:p w14:paraId="612EF6E2" w14:textId="77777777" w:rsidR="00CD671A" w:rsidRPr="0044524F" w:rsidRDefault="00CD671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74/65. – Вопросы комиссии обороны.</w:t>
      </w:r>
    </w:p>
    <w:p w14:paraId="61C22B85" w14:textId="77777777" w:rsidR="00CD671A" w:rsidRPr="0044524F" w:rsidRDefault="00CD671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следующие постановления К.О.:</w:t>
      </w:r>
    </w:p>
    <w:p w14:paraId="710C6AF9" w14:textId="77777777" w:rsidR="00CD671A" w:rsidRPr="0044524F" w:rsidRDefault="00CD671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О6 ассигновании ОГПУ из рeзервного фонда СНК СССР 5 .млн.публей на постройку шоссейной дороги Хабаровск-Комсомольск.</w:t>
      </w:r>
    </w:p>
    <w:p w14:paraId="0470D49D" w14:textId="77777777" w:rsidR="00CD671A" w:rsidRPr="0044524F" w:rsidRDefault="00CD671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О6 отпуске дополнительных ассигнований в 1933 г. из резервного фонда СНК - 2.500 тыс. руб. заводу № 136-и 3. 500 тыс. руб. заводу № 126.</w:t>
      </w:r>
    </w:p>
    <w:p w14:paraId="77992BC7" w14:textId="77777777" w:rsidR="00CD671A" w:rsidRPr="0044524F" w:rsidRDefault="00CD671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О6 ассигновании из резервного фонда СНК на Ш и 1У кв. сверх план 1933 г. 25 млн. руб. на строительство и оборудование судоверфей, в том числе 13 млн.руб. Амурверфи.</w:t>
      </w:r>
    </w:p>
    <w:p w14:paraId="4A315998" w14:textId="77777777" w:rsidR="00CD671A" w:rsidRPr="0044524F" w:rsidRDefault="00CD671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 разрешении НКТП, за счет его импортных контин</w:t>
      </w:r>
      <w:r w:rsidRPr="0044524F">
        <w:rPr>
          <w:rFonts w:ascii="Times New Roman" w:hAnsi="Times New Roman"/>
          <w:color w:val="000000" w:themeColor="text1"/>
          <w:sz w:val="16"/>
          <w:szCs w:val="16"/>
        </w:rPr>
        <w:softHyphen/>
        <w:t>гентов приобрести до 25 тыс. тонн судостроительной стали.</w:t>
      </w:r>
    </w:p>
    <w:p w14:paraId="6246F010" w14:textId="77777777" w:rsidR="00CD671A" w:rsidRPr="0044524F" w:rsidRDefault="00CD671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 разрешении НКТП за счет его контингентов выдать открытую лицензию на сумму до 100 тыс.руб. Дальзаводу и Остону на приобретение в Японии мелких вспомогательных судов.</w:t>
      </w:r>
    </w:p>
    <w:p w14:paraId="56747977" w14:textId="77777777" w:rsidR="00CD671A" w:rsidRPr="0044524F" w:rsidRDefault="00CD671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Проект постановления СТО - о строительстве и обо</w:t>
      </w:r>
      <w:r w:rsidRPr="0044524F">
        <w:rPr>
          <w:rFonts w:ascii="Times New Roman" w:hAnsi="Times New Roman"/>
          <w:color w:val="000000" w:themeColor="text1"/>
          <w:sz w:val="16"/>
          <w:szCs w:val="16"/>
        </w:rPr>
        <w:softHyphen/>
        <w:t>рудований заводов №№.9., 120, 20 и 32 ГУАПпа. с выдачей из резервного фонда СНК в 1933 r.- 6.160.000 р. и валют</w:t>
      </w:r>
      <w:r w:rsidRPr="0044524F">
        <w:rPr>
          <w:rFonts w:ascii="Times New Roman" w:hAnsi="Times New Roman"/>
          <w:color w:val="000000" w:themeColor="text1"/>
          <w:sz w:val="16"/>
          <w:szCs w:val="16"/>
        </w:rPr>
        <w:softHyphen/>
        <w:t>ных контингентов на 3.900.000 руб. в 1933 г. и на 634.000 руб. в 1934 г.</w:t>
      </w:r>
    </w:p>
    <w:p w14:paraId="4D64BA66" w14:textId="77777777" w:rsidR="00CD671A" w:rsidRPr="0044524F" w:rsidRDefault="00CD671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 т. Базилевичу -все; Мирошникову – 1, 2, 3, 6, Орджоникидзе-2, 3, 4, 5; Боеву – 4, 5</w:t>
      </w:r>
    </w:p>
    <w:p w14:paraId="2C4FB1AC" w14:textId="77777777" w:rsidR="00CD671A" w:rsidRPr="0044524F" w:rsidRDefault="00CD671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состоялось заседание ПБ и был оформлен протокол № 141 (22991).</w:t>
      </w:r>
    </w:p>
    <w:p w14:paraId="085FEC6E" w14:textId="77777777" w:rsidR="00CD671A" w:rsidRPr="0044524F" w:rsidRDefault="00CD671A" w:rsidP="009654CF">
      <w:pPr>
        <w:spacing w:after="0" w:line="240" w:lineRule="auto"/>
        <w:jc w:val="both"/>
        <w:rPr>
          <w:rFonts w:ascii="Times New Roman" w:hAnsi="Times New Roman"/>
          <w:color w:val="000000" w:themeColor="text1"/>
          <w:sz w:val="16"/>
          <w:szCs w:val="16"/>
        </w:rPr>
      </w:pPr>
    </w:p>
    <w:p w14:paraId="5F7E1EEC"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4752E23"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1E77A57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июля 1933 А.Н.Т. выступил на первой партийно-технической конференции КОСОС. ТБ-3 (АНТ-6) строится за 18 тыс. часов - много, надо снижать (71,168). Это было первое заседание, а второе и третье прошли 17 июля и 26 июля (1072).</w:t>
      </w:r>
    </w:p>
    <w:p w14:paraId="6F14B620"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13CF2724" w14:textId="77777777" w:rsidR="004A5B76" w:rsidRPr="0044524F" w:rsidRDefault="004A5B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июля 1933 г., после того, как весь июнь и июль С.П. Королев считает и пересчитывает свои доходы и расходы, в адрес начальника ФУ PICKA A.B. Хрулева и начальника УВИ Г.П. Новикова (вх..№ 86с) поступает доклад С П . Королева, в котором он скрупулезно описывает, где и на какие деньги покупался каждый станок, каждая деталь, на что шел каждый киловатт электроэнергии. Что же касается повышенных ставок, то он ссылается на начальника сектора авиапромышленности Раскина и заместителя Председателя ЦС ОСОАВИАХИМ Малиновского, которые дали на то свое согласие (ГА РФ. Фонд Р-8355. Оп. 1. Д. № 374. Л. 68-71). Никакого письменного подтверждения Королев не приложил, и в фонде ОСОАВИАХИМ не удалось такого свидетельства найти. Дело здесь опять в «промышленном» подходе, не существовало в 1933 г. тарифных сеток для конструкторов и теоретиков реактивной техники. Вот Королев их и ввел, можно сказать, что в данном случае он попытался внедрить «снизу» новый принцип оценки научного труда, который в послевоенные годы будет широко использоваться в практике академических и отраслевых научно-исследовательских институтов (22685).</w:t>
      </w:r>
    </w:p>
    <w:p w14:paraId="0D1D480E" w14:textId="77777777" w:rsidR="004A5B76" w:rsidRPr="0044524F" w:rsidRDefault="004A5B76" w:rsidP="009654CF">
      <w:pPr>
        <w:spacing w:after="0" w:line="240" w:lineRule="auto"/>
        <w:jc w:val="both"/>
        <w:rPr>
          <w:rFonts w:ascii="Times New Roman" w:hAnsi="Times New Roman"/>
          <w:color w:val="000000" w:themeColor="text1"/>
          <w:sz w:val="16"/>
          <w:szCs w:val="16"/>
        </w:rPr>
      </w:pPr>
    </w:p>
    <w:p w14:paraId="089BE449"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F918555"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6CB4EC4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июля 1933 г. в ГАУ был рассмотрен проект ствола 152-мм пушки Б-10 с углубленными нарезами под нарезные и поясковые снаряды, разработанные АНИИ. Заводу "Большевик" был дан заказ перенарезать ствол № 1 к 1 сентября 1933 года. На стволе № 1 были углублены нарезы с 1,5 мм до 2,8 мм, а канал ствола для удобства заряжания был сделан сплошь нарезным. Крутизна нарезов была изменена с 25 клб до 20 клб. Объем зарядной каморы не изменился. Ствол был приспособлен для стрельбы нарезными снарядами. Однако особых успехов при стрельбе нарезными снарядами достичь не удалось. Мало того, уменьшение диаметра каморы против обыкновенного привело к удлинению каморы и сокращению пути снаряда в накале на 2,5 клб, что сделало затруднительным подбор зарядов под давление 2850 кг/см2 и начальную скорость 880 м/с при снаряде весом 49 кг. Начальная скорость получена лишь 862865 м/с при давлении в канале 2965</w:t>
      </w:r>
      <w:r w:rsidR="00815390"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3024 кг/см2 (3861).</w:t>
      </w:r>
    </w:p>
    <w:p w14:paraId="73D9A7A0"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74C17F50"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14 июля 1933 г. в Артуправлении был рассмотрен проект ствола 152</w:t>
      </w:r>
      <w:r w:rsidRPr="00142305">
        <w:rPr>
          <w:rStyle w:val="aff"/>
          <w:rFonts w:ascii="Times New Roman" w:hAnsi="Times New Roman" w:cs="Times New Roman"/>
          <w:color w:val="0070C0"/>
          <w:spacing w:val="0"/>
          <w:sz w:val="16"/>
          <w:szCs w:val="16"/>
        </w:rPr>
        <w:softHyphen/>
        <w:t>мм пушки Б-10 с углубленными нарезами под нарезные и поясковые снаряды, разработанные АНИИ. Заводу «Большевик» был дан заказ перенарезать ствол № 1 к 1 сентября 1933 г.</w:t>
      </w:r>
    </w:p>
    <w:p w14:paraId="3E3E25F6"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стволе № 1 нарезы углубили с 1,5 мм до 2,8 мм, а канал ствола для удобства заряжания сделали нарезным. Крутизна нарезов была изменена с 25 до 20 калибров. Объем зарядной каморы не изменился. Ствол был приспособлен для стрельбы нарезными снарядами.</w:t>
      </w:r>
    </w:p>
    <w:p w14:paraId="7143189E"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Однако особых успехов при стрельбе нарезными снарядами достичь не удалось. Мало того, уменьшение диаметра каморы против обыкновенного привело к удлинению каморы и сокращению пути снаряда в канале на 2,5 калибра, что сделало затруднительным подбор зарядов под давление 2850 кг/см</w:t>
      </w:r>
      <w:r w:rsidRPr="00142305">
        <w:rPr>
          <w:rStyle w:val="aff"/>
          <w:rFonts w:ascii="Times New Roman" w:hAnsi="Times New Roman" w:cs="Times New Roman"/>
          <w:color w:val="0070C0"/>
          <w:spacing w:val="0"/>
          <w:sz w:val="16"/>
          <w:szCs w:val="16"/>
          <w:vertAlign w:val="superscript"/>
        </w:rPr>
        <w:t>2</w:t>
      </w:r>
      <w:r w:rsidRPr="00142305">
        <w:rPr>
          <w:rStyle w:val="aff"/>
          <w:rFonts w:ascii="Times New Roman" w:hAnsi="Times New Roman" w:cs="Times New Roman"/>
          <w:color w:val="0070C0"/>
          <w:spacing w:val="0"/>
          <w:sz w:val="16"/>
          <w:szCs w:val="16"/>
        </w:rPr>
        <w:t xml:space="preserve"> и начальную скорость 880 м/с при снаряде весом 49 кг. Начальная скорость получена лишь 862–865 м/с при давлении в канале 2965–3024 кг/см</w:t>
      </w:r>
      <w:r w:rsidRPr="00142305">
        <w:rPr>
          <w:rStyle w:val="aff"/>
          <w:rFonts w:ascii="Times New Roman" w:hAnsi="Times New Roman" w:cs="Times New Roman"/>
          <w:color w:val="0070C0"/>
          <w:spacing w:val="0"/>
          <w:sz w:val="16"/>
          <w:szCs w:val="16"/>
          <w:vertAlign w:val="superscript"/>
        </w:rPr>
        <w:t xml:space="preserve">2 </w:t>
      </w:r>
      <w:r w:rsidRPr="00142305">
        <w:rPr>
          <w:rFonts w:ascii="Times New Roman" w:hAnsi="Times New Roman"/>
          <w:color w:val="0070C0"/>
          <w:sz w:val="16"/>
          <w:szCs w:val="16"/>
        </w:rPr>
        <w:t>(25213).</w:t>
      </w:r>
    </w:p>
    <w:p w14:paraId="361465D4" w14:textId="77777777" w:rsidR="00481FC0" w:rsidRPr="00142305" w:rsidRDefault="00481FC0" w:rsidP="00481FC0">
      <w:pPr>
        <w:spacing w:after="0" w:line="240" w:lineRule="auto"/>
        <w:jc w:val="both"/>
        <w:rPr>
          <w:rFonts w:ascii="Times New Roman" w:hAnsi="Times New Roman"/>
          <w:color w:val="0070C0"/>
          <w:sz w:val="16"/>
          <w:szCs w:val="16"/>
        </w:rPr>
      </w:pPr>
    </w:p>
    <w:p w14:paraId="00008FC1"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0977E82"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3EDD1F3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июля 1933 началась экспедиция О.Ю.Шмидта на Челюскине (3481).</w:t>
      </w:r>
    </w:p>
    <w:p w14:paraId="44025386"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284B026A"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июля 1933 в полярную экспедицию отправился пароход «Челюскин» (4962).</w:t>
      </w:r>
    </w:p>
    <w:p w14:paraId="60A861F7"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p>
    <w:p w14:paraId="36C3292E" w14:textId="77777777" w:rsidR="00815390" w:rsidRPr="0044524F" w:rsidRDefault="008153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июля в 1933 году началась полярная экспедиция на транспорте "Челюскин". Была предпринята попытка за одну навигацию проплыть по Северному морскому пути из Мурманска во Владивосток. Руководил экспедицией О.Ю.Шмидт, капитаном парохода был В.И.Воронин (14952).</w:t>
      </w:r>
    </w:p>
    <w:p w14:paraId="780FAB7D" w14:textId="77777777" w:rsidR="00815390" w:rsidRPr="0044524F" w:rsidRDefault="00815390" w:rsidP="009654CF">
      <w:pPr>
        <w:spacing w:after="0" w:line="240" w:lineRule="auto"/>
        <w:jc w:val="both"/>
        <w:rPr>
          <w:rFonts w:ascii="Times New Roman" w:hAnsi="Times New Roman"/>
          <w:color w:val="000000" w:themeColor="text1"/>
          <w:sz w:val="16"/>
          <w:szCs w:val="16"/>
        </w:rPr>
      </w:pPr>
    </w:p>
    <w:p w14:paraId="0C32DC3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14 и 20 июля 1933. Из протокола заседания Политбюро N 142, особая папка, 1933 г.</w:t>
      </w:r>
    </w:p>
    <w:p w14:paraId="1635E7F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машинах для Интуриста </w:t>
      </w:r>
    </w:p>
    <w:p w14:paraId="2D11CAD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Обязать гараж ЦИК Союза и автобазу СНК выделить не менее 60% автомашин с шоферами в распоряжение Интуриста в следующие дни: </w:t>
      </w:r>
    </w:p>
    <w:p w14:paraId="1E9FBCE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июль — 23, 24, 29, 30; </w:t>
      </w:r>
    </w:p>
    <w:p w14:paraId="711F9E9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август — 12, 13 (11652).</w:t>
      </w:r>
    </w:p>
    <w:p w14:paraId="65152163"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76AEB4E5"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75E9E8B"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1073498B" w14:textId="77777777" w:rsidR="004A5B76" w:rsidRPr="0044524F" w:rsidRDefault="004A5B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14–22 июля 1933 Wiley Post на самолете Lockheed Vega совершает первый самостоятельный полет вокруг света. Его полет начинается и заканчивается на Флойд Беннетт Филд в Нью-Йорке, с остановками в Берлине, Москве, Иркутске и на Аляске - общее расстояние 25 099 км (15 596 миль) (20802).</w:t>
      </w:r>
    </w:p>
    <w:p w14:paraId="31D911C5" w14:textId="77777777" w:rsidR="004A5B76" w:rsidRPr="0044524F" w:rsidRDefault="004A5B76" w:rsidP="009654CF">
      <w:pPr>
        <w:spacing w:after="0" w:line="240" w:lineRule="auto"/>
        <w:jc w:val="both"/>
        <w:rPr>
          <w:rFonts w:ascii="Times New Roman" w:hAnsi="Times New Roman"/>
          <w:color w:val="000000" w:themeColor="text1"/>
          <w:sz w:val="16"/>
          <w:szCs w:val="16"/>
        </w:rPr>
      </w:pPr>
    </w:p>
    <w:p w14:paraId="73F4FCF4"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июля 1933 нацисты запретили все партии в Германии, кроме НСДАП (4962).</w:t>
      </w:r>
    </w:p>
    <w:p w14:paraId="18992144"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p>
    <w:p w14:paraId="459DF4A9" w14:textId="77777777" w:rsidR="00C22911" w:rsidRPr="0044524F" w:rsidRDefault="00C22911" w:rsidP="009654CF">
      <w:pPr>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July 14 1933 Nazi party declared only party in Germany (1050).</w:t>
      </w:r>
    </w:p>
    <w:p w14:paraId="57BFD1C2" w14:textId="77777777" w:rsidR="00C22911" w:rsidRPr="0044524F" w:rsidRDefault="00C22911" w:rsidP="009654CF">
      <w:pPr>
        <w:spacing w:after="0" w:line="240" w:lineRule="auto"/>
        <w:jc w:val="both"/>
        <w:rPr>
          <w:rFonts w:ascii="Times New Roman" w:hAnsi="Times New Roman"/>
          <w:color w:val="000000" w:themeColor="text1"/>
          <w:sz w:val="16"/>
          <w:szCs w:val="16"/>
          <w:lang w:val="en-US"/>
        </w:rPr>
      </w:pPr>
    </w:p>
    <w:p w14:paraId="74DEDB8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июля 1933 нацистская партия была объявлена единственной в Германии (1050) "Германская национал-социалистическая рабочая партия является единственной легальной политической партией Германии (2536,382).</w:t>
      </w:r>
    </w:p>
    <w:p w14:paraId="249A0638"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43ED6331" w14:textId="77777777" w:rsidR="00815390" w:rsidRPr="0044524F" w:rsidRDefault="008153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июля в 1933 году в фашистской Германии публикуется подписанное Адольфом Гитлером правительственное заявление, в котором констатируется, что гитлеровская партия НСДАП (Национал-социалистическая рабочая партия Германии) является единственной в стране политической силой и что любые попытки сохранения прежних политических партий или создание новых будут караться тюремным заключением или помещением в лагеря принудительного труда (14952).</w:t>
      </w:r>
    </w:p>
    <w:p w14:paraId="05032845" w14:textId="77777777" w:rsidR="00815390" w:rsidRPr="0044524F" w:rsidRDefault="00815390" w:rsidP="009654CF">
      <w:pPr>
        <w:spacing w:after="0" w:line="240" w:lineRule="auto"/>
        <w:jc w:val="both"/>
        <w:rPr>
          <w:rFonts w:ascii="Times New Roman" w:hAnsi="Times New Roman"/>
          <w:color w:val="000000" w:themeColor="text1"/>
          <w:sz w:val="16"/>
          <w:szCs w:val="16"/>
        </w:rPr>
      </w:pPr>
    </w:p>
    <w:p w14:paraId="652C8DE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июля 1933 в Германии был издан закон, запрещавший существование в Германии какой-либо партии, кроме НСДАП. И довершил установление национал-социалистического режима закон «об обеспечении единства партии и государства», объявивший НСДАП «носительницей немецкой государственной мысли» (Reichsgesetzblatt, 1933, Bd.I. S. 1016). Наконец, специальным постановлением Гитлера уже в 1937 г., когда последние беспартийные министры Шахт, Нойрат и др. вступили в НСДАП, было решено, что любое назначение на государственную должность, произведенное без согласия НСДАП, считалось недействительным. (Розанов Г. Л. Указ. соч. с. 102) (11784).</w:t>
      </w:r>
    </w:p>
    <w:p w14:paraId="794C782F"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05AB95CB"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29E43D2"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2C9C962C" w14:textId="77777777" w:rsidR="00C22911" w:rsidRPr="0044524F" w:rsidRDefault="00C2291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г. помощник начальника ГУАП Алма</w:t>
      </w:r>
      <w:r w:rsidRPr="0044524F">
        <w:rPr>
          <w:rFonts w:ascii="Times New Roman" w:hAnsi="Times New Roman"/>
          <w:color w:val="000000" w:themeColor="text1"/>
          <w:sz w:val="16"/>
          <w:szCs w:val="16"/>
        </w:rPr>
        <w:softHyphen/>
        <w:t>зов направил письмо директору завода № 39 Марголину по Р-5 с разрезными крыльями о том, что начальник ВВС Алкснис просит ГУАП при</w:t>
      </w:r>
      <w:r w:rsidRPr="0044524F">
        <w:rPr>
          <w:rFonts w:ascii="Times New Roman" w:hAnsi="Times New Roman"/>
          <w:color w:val="000000" w:themeColor="text1"/>
          <w:sz w:val="16"/>
          <w:szCs w:val="16"/>
        </w:rPr>
        <w:softHyphen/>
        <w:t>нять заказ на постройку десяти Р5-М17 с разрезными крыльями для войсковых испытаний (10667).</w:t>
      </w:r>
    </w:p>
    <w:p w14:paraId="0E39E962" w14:textId="77777777" w:rsidR="00C22911" w:rsidRPr="0044524F" w:rsidRDefault="00C22911" w:rsidP="009654CF">
      <w:pPr>
        <w:shd w:val="clear" w:color="auto" w:fill="FFFFFF"/>
        <w:spacing w:after="0" w:line="240" w:lineRule="auto"/>
        <w:jc w:val="both"/>
        <w:rPr>
          <w:rFonts w:ascii="Times New Roman" w:hAnsi="Times New Roman"/>
          <w:color w:val="000000" w:themeColor="text1"/>
          <w:sz w:val="16"/>
          <w:szCs w:val="16"/>
        </w:rPr>
      </w:pPr>
    </w:p>
    <w:p w14:paraId="573E1F17"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июля 1933 г. помощник начальника ГУАП Алмазов направил письмо директору завода № 39 Марголину о том, что начальник ВВС Алкснис просит ГУАП принять заказ на постройку десяти Р5-М17 с разрезными крыльями, но без интерцепторов, для войсковых испытаний.</w:t>
      </w:r>
    </w:p>
    <w:p w14:paraId="053B884E"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на Р-5 разрезное крыло не прижилось: самолет и так обладал вполне удовлетворительными взлетно-посадочными характеристиками. Но эти опыты имели большое значение для последующего широкого внедрения средств механизации крыла в конструкции самолетов СССР, в том числе и в машины Н. Н. Поликарпова (25035).</w:t>
      </w:r>
    </w:p>
    <w:p w14:paraId="57E8CEBC" w14:textId="77777777" w:rsidR="00481FC0" w:rsidRPr="00142305" w:rsidRDefault="00481FC0" w:rsidP="00481FC0">
      <w:pPr>
        <w:spacing w:after="0" w:line="240" w:lineRule="auto"/>
        <w:jc w:val="both"/>
        <w:rPr>
          <w:rFonts w:ascii="Times New Roman" w:hAnsi="Times New Roman"/>
          <w:color w:val="0070C0"/>
          <w:sz w:val="16"/>
          <w:szCs w:val="16"/>
        </w:rPr>
      </w:pPr>
    </w:p>
    <w:p w14:paraId="5EBB0E72" w14:textId="16207820"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г. первый экземпляр РД-1 был сфотографирован на Центральном аэродроме г. Москвы.</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На за- концовке крыла можно рассмотреть левый (зеленый) аэронавигационный огонь и небольшую стойку дренажа крыльевых топливных баков (11941).</w:t>
      </w:r>
    </w:p>
    <w:p w14:paraId="49260DF2"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53F1D148" w14:textId="77777777" w:rsidR="00964726" w:rsidRPr="0044524F" w:rsidRDefault="00964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г. Протокол ПБ № 141 п.106/97: О полете наших самолетов в Польшу – ОП. Решено: а) для ответного визита в Польшу считать возможным 18 июля послать 2 самолета Р-5 с экипажами: первый – помкомвойск УВО Ингаунис и инженер инспекции ВВС РКК Мезинов; второй – командир 252 авиабригады Туржанский и бригадный инженер Павлов, по маршрутам: для первого – Москва – Гомель – Львов – Варшава – Лида – Витебск – Москва (с посадкой во Львове и Варшаве); для второго самолета – Москва – Витебск – Полоцк – Вильно – Варшава – Брест – Гомель – Москва (с посадкой в Варшаве); б) ассигновать на перелет 372 доллара (15908).</w:t>
      </w:r>
    </w:p>
    <w:p w14:paraId="7EF6A539" w14:textId="77777777" w:rsidR="00964726" w:rsidRPr="0044524F" w:rsidRDefault="00964726" w:rsidP="009654CF">
      <w:pPr>
        <w:spacing w:after="0" w:line="240" w:lineRule="auto"/>
        <w:jc w:val="both"/>
        <w:rPr>
          <w:rFonts w:ascii="Times New Roman" w:hAnsi="Times New Roman"/>
          <w:color w:val="000000" w:themeColor="text1"/>
          <w:sz w:val="16"/>
          <w:szCs w:val="16"/>
        </w:rPr>
      </w:pPr>
    </w:p>
    <w:p w14:paraId="572D7564"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К.Ф.Кайтанов установил новый рекорд затяжного прыжка, оставив самолет на 3270 ми падая до 3170 62 с (438,649).</w:t>
      </w:r>
    </w:p>
    <w:p w14:paraId="05FD5692"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62EEDF53"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0FA6D84"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224805D2"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15 июля 1933 г. </w:t>
      </w:r>
    </w:p>
    <w:p w14:paraId="40140ADA"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Сов. Секретно </w:t>
      </w:r>
    </w:p>
    <w:p w14:paraId="5BF13010"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Экз. № 1 </w:t>
      </w:r>
    </w:p>
    <w:p w14:paraId="4ECDB652"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15 июля 1933 г. </w:t>
      </w:r>
    </w:p>
    <w:p w14:paraId="44D83FD4"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4151 </w:t>
      </w:r>
    </w:p>
    <w:p w14:paraId="37159244"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Председателю Комиссии обороны при СНК СССР</w:t>
      </w:r>
    </w:p>
    <w:p w14:paraId="519903E8"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Молотову</w:t>
      </w:r>
    </w:p>
    <w:p w14:paraId="7637C6E0"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системе танкового вооружения на вторую пятилетку</w:t>
      </w:r>
    </w:p>
    <w:p w14:paraId="54D57948"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Итоги первой пятилетки.</w:t>
      </w:r>
    </w:p>
    <w:p w14:paraId="1C9AAD61"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Количественные и качественные показатели.</w:t>
      </w:r>
    </w:p>
    <w:p w14:paraId="74FA1D21"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Система авто-броне-танкового вооружения, с которой мы вступили в первую пятилетку, в основном, была построена на принципе внедрения танков в общевойсковые соединения, как средства их усиления при действиях в тактической зоне. </w:t>
      </w:r>
    </w:p>
    <w:p w14:paraId="3A3C725A"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Однако, на основе лучших заграничных типов и ряда собственных совершенных конструкций в течении Первой Пятилетки удалось поставить на массовое производство образцы наиболее совершенного танкового вооружения, и эти технические достижения создали прочные предпосылки к коренному изменению оперативно-тактических взглядов на применение танков и потребовали решительных организационных изменений мотомеханизированных войск в сторону: </w:t>
      </w:r>
    </w:p>
    <w:p w14:paraId="3BFBA7C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Создания самостоятельных мехсоединений; </w:t>
      </w:r>
    </w:p>
    <w:p w14:paraId="4061841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Создания мощного танкового резерва Главного Командования; </w:t>
      </w:r>
    </w:p>
    <w:p w14:paraId="78165D85"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Организационного оснащения мехчастями кавалерийских дивизий и бригад; </w:t>
      </w:r>
    </w:p>
    <w:p w14:paraId="0D0EA35E"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Органическое оснащение танковыми частями стрелковых дивизий. </w:t>
      </w:r>
    </w:p>
    <w:p w14:paraId="059DFDEE"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Успехи социалистического строительства обеспечили создание своей собственной авиационной, автотракторной и танковой базы, и Первая Пятилетка превратила РККА из армии в отношении механизации отсталой – в армию передовую, и во всяком случае, по числу и качеству боевых машин, не уступающую самой сильной капиталистической армии. </w:t>
      </w:r>
    </w:p>
    <w:p w14:paraId="19235075"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Количество танков в РККА на 1.05.1933 г. </w:t>
      </w:r>
    </w:p>
    <w:p w14:paraId="7AD2466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Т-27 – 2.430, Т-37 – 50, Т-18 – 950, Т-26 – 1.550, Б-Т – 710, Т-24 – 25, Т-28 – 12, Т-35 – 2. </w:t>
      </w:r>
    </w:p>
    <w:p w14:paraId="6FE4F76C"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Всего – 5.729 танков. </w:t>
      </w:r>
    </w:p>
    <w:p w14:paraId="3DF4E80A"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Оценка. Это свидетельствует об исключительном успехе нашей советской техники и производства, так как на 1-е января 1929 г. РККА имела всего 90 танков устарелых заграничных систем и несколько десятков танков Т-18. </w:t>
      </w:r>
    </w:p>
    <w:p w14:paraId="7776A092"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Организационная структура мехвойск.</w:t>
      </w:r>
    </w:p>
    <w:p w14:paraId="1CFAF22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6229B356"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1.05. 1933 г. РККА имеет: </w:t>
      </w:r>
    </w:p>
    <w:p w14:paraId="74D1E845" w14:textId="77777777" w:rsidR="002217A6" w:rsidRPr="0044524F" w:rsidRDefault="002217A6" w:rsidP="009654CF">
      <w:pPr>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rPr>
        <w:t xml:space="preserve">А) Механизированные соединения: </w:t>
      </w:r>
    </w:p>
    <w:tbl>
      <w:tblPr>
        <w:tblStyle w:val="affe"/>
        <w:tblW w:w="0" w:type="auto"/>
        <w:tblLook w:val="04A0" w:firstRow="1" w:lastRow="0" w:firstColumn="1" w:lastColumn="0" w:noHBand="0" w:noVBand="1"/>
      </w:tblPr>
      <w:tblGrid>
        <w:gridCol w:w="2256"/>
        <w:gridCol w:w="2270"/>
        <w:gridCol w:w="2267"/>
        <w:gridCol w:w="2278"/>
        <w:gridCol w:w="2257"/>
      </w:tblGrid>
      <w:tr w:rsidR="004E10C1" w:rsidRPr="0044524F" w14:paraId="5D50A044" w14:textId="77777777" w:rsidTr="00BB620E">
        <w:tc>
          <w:tcPr>
            <w:tcW w:w="2310" w:type="dxa"/>
          </w:tcPr>
          <w:p w14:paraId="33C88CD6" w14:textId="77777777" w:rsidR="002217A6" w:rsidRPr="0044524F" w:rsidRDefault="002217A6" w:rsidP="009654CF">
            <w:pPr>
              <w:spacing w:after="0" w:line="240" w:lineRule="auto"/>
              <w:rPr>
                <w:rFonts w:ascii="Times New Roman" w:hAnsi="Times New Roman" w:cs="Times New Roman"/>
                <w:color w:val="000000" w:themeColor="text1"/>
                <w:sz w:val="16"/>
                <w:szCs w:val="16"/>
                <w:lang w:val="en-US"/>
              </w:rPr>
            </w:pPr>
          </w:p>
        </w:tc>
        <w:tc>
          <w:tcPr>
            <w:tcW w:w="2311" w:type="dxa"/>
          </w:tcPr>
          <w:p w14:paraId="2FCFCBA1"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lang w:val="en-US"/>
              </w:rPr>
              <w:t xml:space="preserve">2 </w:t>
            </w:r>
            <w:r w:rsidRPr="0044524F">
              <w:rPr>
                <w:rFonts w:ascii="Times New Roman" w:hAnsi="Times New Roman" w:cs="Times New Roman"/>
                <w:color w:val="000000" w:themeColor="text1"/>
                <w:sz w:val="16"/>
                <w:szCs w:val="16"/>
              </w:rPr>
              <w:t>мехкорпуса</w:t>
            </w:r>
          </w:p>
        </w:tc>
        <w:tc>
          <w:tcPr>
            <w:tcW w:w="2311" w:type="dxa"/>
          </w:tcPr>
          <w:p w14:paraId="51C3A9D1"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6 отд. мехбригад</w:t>
            </w:r>
          </w:p>
        </w:tc>
        <w:tc>
          <w:tcPr>
            <w:tcW w:w="2311" w:type="dxa"/>
          </w:tcPr>
          <w:p w14:paraId="5A5697F5"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14 мехполков и 7 мехдивизионов конницы</w:t>
            </w:r>
          </w:p>
        </w:tc>
        <w:tc>
          <w:tcPr>
            <w:tcW w:w="2311" w:type="dxa"/>
          </w:tcPr>
          <w:p w14:paraId="47107476"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Итого</w:t>
            </w:r>
          </w:p>
        </w:tc>
      </w:tr>
      <w:tr w:rsidR="004E10C1" w:rsidRPr="0044524F" w14:paraId="7EE7AC7B" w14:textId="77777777" w:rsidTr="00BB620E">
        <w:tc>
          <w:tcPr>
            <w:tcW w:w="2310" w:type="dxa"/>
          </w:tcPr>
          <w:p w14:paraId="792142E4"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Т-27</w:t>
            </w:r>
          </w:p>
        </w:tc>
        <w:tc>
          <w:tcPr>
            <w:tcW w:w="2311" w:type="dxa"/>
          </w:tcPr>
          <w:p w14:paraId="0C101E24"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40</w:t>
            </w:r>
          </w:p>
        </w:tc>
        <w:tc>
          <w:tcPr>
            <w:tcW w:w="2311" w:type="dxa"/>
          </w:tcPr>
          <w:p w14:paraId="6161018D"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280</w:t>
            </w:r>
          </w:p>
        </w:tc>
        <w:tc>
          <w:tcPr>
            <w:tcW w:w="2311" w:type="dxa"/>
          </w:tcPr>
          <w:p w14:paraId="61855A15"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30</w:t>
            </w:r>
          </w:p>
        </w:tc>
        <w:tc>
          <w:tcPr>
            <w:tcW w:w="2311" w:type="dxa"/>
          </w:tcPr>
          <w:p w14:paraId="53DDCBFE"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350</w:t>
            </w:r>
          </w:p>
        </w:tc>
      </w:tr>
      <w:tr w:rsidR="004E10C1" w:rsidRPr="0044524F" w14:paraId="6B31BA65" w14:textId="77777777" w:rsidTr="00BB620E">
        <w:tc>
          <w:tcPr>
            <w:tcW w:w="2310" w:type="dxa"/>
          </w:tcPr>
          <w:p w14:paraId="18D0E964"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Т-18</w:t>
            </w:r>
          </w:p>
        </w:tc>
        <w:tc>
          <w:tcPr>
            <w:tcW w:w="2311" w:type="dxa"/>
          </w:tcPr>
          <w:p w14:paraId="21965ACD"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30</w:t>
            </w:r>
          </w:p>
        </w:tc>
        <w:tc>
          <w:tcPr>
            <w:tcW w:w="2311" w:type="dxa"/>
          </w:tcPr>
          <w:p w14:paraId="20262A2A"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30</w:t>
            </w:r>
          </w:p>
        </w:tc>
        <w:tc>
          <w:tcPr>
            <w:tcW w:w="2311" w:type="dxa"/>
          </w:tcPr>
          <w:p w14:paraId="732C4FDE"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25</w:t>
            </w:r>
          </w:p>
        </w:tc>
        <w:tc>
          <w:tcPr>
            <w:tcW w:w="2311" w:type="dxa"/>
          </w:tcPr>
          <w:p w14:paraId="0600E3D9"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85</w:t>
            </w:r>
          </w:p>
        </w:tc>
      </w:tr>
      <w:tr w:rsidR="004E10C1" w:rsidRPr="0044524F" w14:paraId="42B56CC3" w14:textId="77777777" w:rsidTr="00BB620E">
        <w:tc>
          <w:tcPr>
            <w:tcW w:w="2310" w:type="dxa"/>
          </w:tcPr>
          <w:p w14:paraId="6DC8A83A"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Т-26</w:t>
            </w:r>
          </w:p>
        </w:tc>
        <w:tc>
          <w:tcPr>
            <w:tcW w:w="2311" w:type="dxa"/>
          </w:tcPr>
          <w:p w14:paraId="45EABCDF"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300</w:t>
            </w:r>
          </w:p>
        </w:tc>
        <w:tc>
          <w:tcPr>
            <w:tcW w:w="2311" w:type="dxa"/>
          </w:tcPr>
          <w:p w14:paraId="595C7DF8"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500</w:t>
            </w:r>
          </w:p>
        </w:tc>
        <w:tc>
          <w:tcPr>
            <w:tcW w:w="2311" w:type="dxa"/>
          </w:tcPr>
          <w:p w14:paraId="4C596D75"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120</w:t>
            </w:r>
          </w:p>
        </w:tc>
        <w:tc>
          <w:tcPr>
            <w:tcW w:w="2311" w:type="dxa"/>
          </w:tcPr>
          <w:p w14:paraId="1DC8FD98"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920</w:t>
            </w:r>
          </w:p>
        </w:tc>
      </w:tr>
      <w:tr w:rsidR="004E10C1" w:rsidRPr="0044524F" w14:paraId="60D33751" w14:textId="77777777" w:rsidTr="00BB620E">
        <w:tc>
          <w:tcPr>
            <w:tcW w:w="2310" w:type="dxa"/>
          </w:tcPr>
          <w:p w14:paraId="451A45B0"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БТ</w:t>
            </w:r>
          </w:p>
        </w:tc>
        <w:tc>
          <w:tcPr>
            <w:tcW w:w="2311" w:type="dxa"/>
          </w:tcPr>
          <w:p w14:paraId="1BF04A68"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250</w:t>
            </w:r>
          </w:p>
        </w:tc>
        <w:tc>
          <w:tcPr>
            <w:tcW w:w="2311" w:type="dxa"/>
          </w:tcPr>
          <w:p w14:paraId="6C63269C"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180</w:t>
            </w:r>
          </w:p>
        </w:tc>
        <w:tc>
          <w:tcPr>
            <w:tcW w:w="2311" w:type="dxa"/>
          </w:tcPr>
          <w:p w14:paraId="32CD1CAB"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112</w:t>
            </w:r>
          </w:p>
        </w:tc>
        <w:tc>
          <w:tcPr>
            <w:tcW w:w="2311" w:type="dxa"/>
          </w:tcPr>
          <w:p w14:paraId="01D1987A"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542</w:t>
            </w:r>
          </w:p>
        </w:tc>
      </w:tr>
      <w:tr w:rsidR="004E10C1" w:rsidRPr="0044524F" w14:paraId="3F3664B5" w14:textId="77777777" w:rsidTr="00BB620E">
        <w:tc>
          <w:tcPr>
            <w:tcW w:w="2310" w:type="dxa"/>
          </w:tcPr>
          <w:p w14:paraId="21FE04B5"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Итого</w:t>
            </w:r>
          </w:p>
        </w:tc>
        <w:tc>
          <w:tcPr>
            <w:tcW w:w="2311" w:type="dxa"/>
          </w:tcPr>
          <w:p w14:paraId="29075BE9"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629</w:t>
            </w:r>
          </w:p>
        </w:tc>
        <w:tc>
          <w:tcPr>
            <w:tcW w:w="2311" w:type="dxa"/>
          </w:tcPr>
          <w:p w14:paraId="1A5DD06A"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990</w:t>
            </w:r>
          </w:p>
        </w:tc>
        <w:tc>
          <w:tcPr>
            <w:tcW w:w="2311" w:type="dxa"/>
          </w:tcPr>
          <w:p w14:paraId="1C113306"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287</w:t>
            </w:r>
          </w:p>
        </w:tc>
        <w:tc>
          <w:tcPr>
            <w:tcW w:w="2311" w:type="dxa"/>
          </w:tcPr>
          <w:p w14:paraId="5ADF2FB7"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1897</w:t>
            </w:r>
          </w:p>
        </w:tc>
      </w:tr>
    </w:tbl>
    <w:p w14:paraId="24C25CCE"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Танковый Резерв Главного Командования: </w:t>
      </w:r>
    </w:p>
    <w:tbl>
      <w:tblPr>
        <w:tblStyle w:val="affe"/>
        <w:tblW w:w="0" w:type="auto"/>
        <w:tblLook w:val="04A0" w:firstRow="1" w:lastRow="0" w:firstColumn="1" w:lastColumn="0" w:noHBand="0" w:noVBand="1"/>
      </w:tblPr>
      <w:tblGrid>
        <w:gridCol w:w="2310"/>
        <w:gridCol w:w="2311"/>
        <w:gridCol w:w="2311"/>
        <w:gridCol w:w="2311"/>
      </w:tblGrid>
      <w:tr w:rsidR="004E10C1" w:rsidRPr="0044524F" w14:paraId="54A3589A" w14:textId="77777777" w:rsidTr="00BB620E">
        <w:tc>
          <w:tcPr>
            <w:tcW w:w="2310" w:type="dxa"/>
          </w:tcPr>
          <w:p w14:paraId="4F6F17A3" w14:textId="77777777" w:rsidR="002217A6" w:rsidRPr="0044524F" w:rsidRDefault="002217A6" w:rsidP="009654CF">
            <w:pPr>
              <w:spacing w:after="0" w:line="240" w:lineRule="auto"/>
              <w:rPr>
                <w:rFonts w:ascii="Times New Roman" w:hAnsi="Times New Roman" w:cs="Times New Roman"/>
                <w:color w:val="000000" w:themeColor="text1"/>
                <w:sz w:val="16"/>
                <w:szCs w:val="16"/>
              </w:rPr>
            </w:pPr>
          </w:p>
        </w:tc>
        <w:tc>
          <w:tcPr>
            <w:tcW w:w="2311" w:type="dxa"/>
          </w:tcPr>
          <w:p w14:paraId="73EAA905"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4 танковых полка</w:t>
            </w:r>
          </w:p>
        </w:tc>
        <w:tc>
          <w:tcPr>
            <w:tcW w:w="2311" w:type="dxa"/>
          </w:tcPr>
          <w:p w14:paraId="0C6318BC"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8 танковых батальонов и 4 танковых роты</w:t>
            </w:r>
          </w:p>
        </w:tc>
        <w:tc>
          <w:tcPr>
            <w:tcW w:w="2311" w:type="dxa"/>
          </w:tcPr>
          <w:p w14:paraId="50B897C6"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Итого</w:t>
            </w:r>
          </w:p>
        </w:tc>
      </w:tr>
      <w:tr w:rsidR="004E10C1" w:rsidRPr="0044524F" w14:paraId="2B08C60C" w14:textId="77777777" w:rsidTr="00BB620E">
        <w:tc>
          <w:tcPr>
            <w:tcW w:w="2310" w:type="dxa"/>
          </w:tcPr>
          <w:p w14:paraId="198AE556"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Т-27</w:t>
            </w:r>
          </w:p>
        </w:tc>
        <w:tc>
          <w:tcPr>
            <w:tcW w:w="2311" w:type="dxa"/>
          </w:tcPr>
          <w:p w14:paraId="008CE279"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70</w:t>
            </w:r>
          </w:p>
        </w:tc>
        <w:tc>
          <w:tcPr>
            <w:tcW w:w="2311" w:type="dxa"/>
          </w:tcPr>
          <w:p w14:paraId="37D8E159"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110</w:t>
            </w:r>
          </w:p>
        </w:tc>
        <w:tc>
          <w:tcPr>
            <w:tcW w:w="2311" w:type="dxa"/>
          </w:tcPr>
          <w:p w14:paraId="1649DF50"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180</w:t>
            </w:r>
          </w:p>
        </w:tc>
      </w:tr>
      <w:tr w:rsidR="004E10C1" w:rsidRPr="0044524F" w14:paraId="04BA11A8" w14:textId="77777777" w:rsidTr="00BB620E">
        <w:tc>
          <w:tcPr>
            <w:tcW w:w="2310" w:type="dxa"/>
          </w:tcPr>
          <w:p w14:paraId="0AA286DD"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Т-18</w:t>
            </w:r>
          </w:p>
        </w:tc>
        <w:tc>
          <w:tcPr>
            <w:tcW w:w="2311" w:type="dxa"/>
          </w:tcPr>
          <w:p w14:paraId="181C9139"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250</w:t>
            </w:r>
          </w:p>
        </w:tc>
        <w:tc>
          <w:tcPr>
            <w:tcW w:w="2311" w:type="dxa"/>
          </w:tcPr>
          <w:p w14:paraId="1AFBEF62"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150</w:t>
            </w:r>
          </w:p>
        </w:tc>
        <w:tc>
          <w:tcPr>
            <w:tcW w:w="2311" w:type="dxa"/>
          </w:tcPr>
          <w:p w14:paraId="4E1B3481"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400</w:t>
            </w:r>
          </w:p>
        </w:tc>
      </w:tr>
      <w:tr w:rsidR="004E10C1" w:rsidRPr="0044524F" w14:paraId="466236FF" w14:textId="77777777" w:rsidTr="00BB620E">
        <w:tc>
          <w:tcPr>
            <w:tcW w:w="2310" w:type="dxa"/>
          </w:tcPr>
          <w:p w14:paraId="714416DF"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Т-26</w:t>
            </w:r>
          </w:p>
        </w:tc>
        <w:tc>
          <w:tcPr>
            <w:tcW w:w="2311" w:type="dxa"/>
          </w:tcPr>
          <w:p w14:paraId="5C2E55BB"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80</w:t>
            </w:r>
          </w:p>
        </w:tc>
        <w:tc>
          <w:tcPr>
            <w:tcW w:w="2311" w:type="dxa"/>
          </w:tcPr>
          <w:p w14:paraId="789BD659"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120</w:t>
            </w:r>
          </w:p>
        </w:tc>
        <w:tc>
          <w:tcPr>
            <w:tcW w:w="2311" w:type="dxa"/>
          </w:tcPr>
          <w:p w14:paraId="0D7B185C"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200</w:t>
            </w:r>
          </w:p>
        </w:tc>
      </w:tr>
      <w:tr w:rsidR="004E10C1" w:rsidRPr="0044524F" w14:paraId="6AA32750" w14:textId="77777777" w:rsidTr="00BB620E">
        <w:tc>
          <w:tcPr>
            <w:tcW w:w="2310" w:type="dxa"/>
          </w:tcPr>
          <w:p w14:paraId="40E4A99B"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Т-24</w:t>
            </w:r>
          </w:p>
        </w:tc>
        <w:tc>
          <w:tcPr>
            <w:tcW w:w="2311" w:type="dxa"/>
          </w:tcPr>
          <w:p w14:paraId="1F4B7867"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25</w:t>
            </w:r>
          </w:p>
        </w:tc>
        <w:tc>
          <w:tcPr>
            <w:tcW w:w="2311" w:type="dxa"/>
          </w:tcPr>
          <w:p w14:paraId="2D56B9C5"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w:t>
            </w:r>
          </w:p>
        </w:tc>
        <w:tc>
          <w:tcPr>
            <w:tcW w:w="2311" w:type="dxa"/>
          </w:tcPr>
          <w:p w14:paraId="732196CD"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25</w:t>
            </w:r>
          </w:p>
        </w:tc>
      </w:tr>
      <w:tr w:rsidR="004E10C1" w:rsidRPr="0044524F" w14:paraId="1C9399F5" w14:textId="77777777" w:rsidTr="00BB620E">
        <w:tc>
          <w:tcPr>
            <w:tcW w:w="2310" w:type="dxa"/>
          </w:tcPr>
          <w:p w14:paraId="1028172F"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БТ</w:t>
            </w:r>
          </w:p>
        </w:tc>
        <w:tc>
          <w:tcPr>
            <w:tcW w:w="2311" w:type="dxa"/>
          </w:tcPr>
          <w:p w14:paraId="6D0E27DC"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30</w:t>
            </w:r>
          </w:p>
        </w:tc>
        <w:tc>
          <w:tcPr>
            <w:tcW w:w="2311" w:type="dxa"/>
          </w:tcPr>
          <w:p w14:paraId="531C0F31"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w:t>
            </w:r>
          </w:p>
        </w:tc>
        <w:tc>
          <w:tcPr>
            <w:tcW w:w="2311" w:type="dxa"/>
          </w:tcPr>
          <w:p w14:paraId="767FB6C5"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30</w:t>
            </w:r>
          </w:p>
        </w:tc>
      </w:tr>
      <w:tr w:rsidR="004E10C1" w:rsidRPr="0044524F" w14:paraId="06E101A5" w14:textId="77777777" w:rsidTr="00BB620E">
        <w:tc>
          <w:tcPr>
            <w:tcW w:w="2310" w:type="dxa"/>
          </w:tcPr>
          <w:p w14:paraId="6585FF2E"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Итого</w:t>
            </w:r>
          </w:p>
        </w:tc>
        <w:tc>
          <w:tcPr>
            <w:tcW w:w="2311" w:type="dxa"/>
          </w:tcPr>
          <w:p w14:paraId="609B63DF"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455</w:t>
            </w:r>
          </w:p>
        </w:tc>
        <w:tc>
          <w:tcPr>
            <w:tcW w:w="2311" w:type="dxa"/>
          </w:tcPr>
          <w:p w14:paraId="44534BE3"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394</w:t>
            </w:r>
          </w:p>
        </w:tc>
        <w:tc>
          <w:tcPr>
            <w:tcW w:w="2311" w:type="dxa"/>
          </w:tcPr>
          <w:p w14:paraId="4A931031" w14:textId="77777777" w:rsidR="002217A6" w:rsidRPr="0044524F" w:rsidRDefault="002217A6"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849</w:t>
            </w:r>
          </w:p>
        </w:tc>
      </w:tr>
    </w:tbl>
    <w:p w14:paraId="0108C241"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Органически внедренные в общевойсковые соединения: </w:t>
      </w:r>
    </w:p>
    <w:p w14:paraId="4810EAA4"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28 отдельных танковых батальонов в стрелковых дивизиях, 23 отдельных танкетных батальона в стрелковых дивизиях, 37 танкетных рот, 6 авто-броне-рот и 1 мото-мехбатальон с общим количеством: </w:t>
      </w:r>
    </w:p>
    <w:p w14:paraId="4C0663CE"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Танкеток Т-27 – 1.950, танков Т-18 – 380, Т-26 – 460 и Б-Т – 138. Итого – 2.898 боевых машин. </w:t>
      </w:r>
    </w:p>
    <w:p w14:paraId="2C2FAD0E"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3C0EB60C"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Выводы.</w:t>
      </w:r>
    </w:p>
    <w:p w14:paraId="1B6ABA89"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6882DAE1"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Конструкция танков, состоящих в данный момент на вооружении РККА, могут быть сравнимы в отношении их боевых качеств только с самыми лучшими аналогичными образцами заграничной техники, так как они не только не уступают им по отдельным своим элементам, но даже по некоторым категориям машин превосходят лучшие заграничные образцы: </w:t>
      </w:r>
    </w:p>
    <w:p w14:paraId="7F13E405"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391F7E71"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Оперативный танк Б-Т ничем не уступает американскому быстроходному танку Кристи, а по мощности вооружения превосходит его. </w:t>
      </w:r>
    </w:p>
    <w:p w14:paraId="08427AD0"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796E3528"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д) Мощный танк особого назначения Т-35, не имеющий себе равного за границей, значительно превосходит французский танк 3С по скорости хода и качествам ходовой части. </w:t>
      </w:r>
    </w:p>
    <w:p w14:paraId="13FA3732"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е) Опытный образец оперативного плавающего танка ПТ-1 по новизне и совершенству конструкции не имеет себе равного заграницей. </w:t>
      </w:r>
    </w:p>
    <w:p w14:paraId="01242FCA"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Задачи на Вторую Пятилетку.</w:t>
      </w:r>
    </w:p>
    <w:p w14:paraId="644A1BD1"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A1A0D0D"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Вторая пятилетка должна сделать механизацию одним из решающих элементов будущих операций Красной Армии. </w:t>
      </w:r>
    </w:p>
    <w:p w14:paraId="24736EC9"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Вытекающие из этого требования: </w:t>
      </w:r>
    </w:p>
    <w:p w14:paraId="7B6DDE4C"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Лучшие, наиболее мощные и быстроходные танки должны быть сгруппированы в сильные мехсоединения оперативного и стратегического значения (мехбригады и мехкорпуса); </w:t>
      </w:r>
    </w:p>
    <w:p w14:paraId="40F5FC2D"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В распоряжении Главного Командования должен быть сильный резерв танков (количественного и качественного значения), который бы обеспечил создание абсолютного танкового превосходства над противником на ударных направлениях; </w:t>
      </w:r>
    </w:p>
    <w:p w14:paraId="37D819D9"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Стратегическая конница, сохраняющая и впредь своё значение, прочно оснащается мехсредствами и самоходной артиллерией; </w:t>
      </w:r>
    </w:p>
    <w:p w14:paraId="786468F4"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 Общевойсковые соединения (большенство дивизий, а в дальнейшем и полков) должны иметь свои органические мехчасти, как для разведки, так и для боя. </w:t>
      </w:r>
    </w:p>
    <w:p w14:paraId="3F1B51A6"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Исходя из этих требований на ближайшие годы на массовом производстве должны находиться следующие основные типы боевых машин: </w:t>
      </w:r>
    </w:p>
    <w:p w14:paraId="161834A2"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Разведывательный танк (танк Т-37). Основной танк службы боевого обеспечения всех мехсоединений и средство боевой разведки и боя пехоты. Основные требования: быстроходность, вездеходность (в том числе – плавучесть), маневренность, низкий габарит, дешевизна и массовость производства. </w:t>
      </w:r>
    </w:p>
    <w:p w14:paraId="39A7F0D6"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Общевойсковой танк (танк Т-26). Основной, органический танк общевойсковых соединений, он же танк количественного усиления ТРГК. Основные требования: маневренность на поле боя, броня, защищающая от бронебойных пуль, разнообразное вооружение (пушка, пулеметы, огнемет, химприборы), наконец, дешевизна и массовость производства. </w:t>
      </w:r>
    </w:p>
    <w:p w14:paraId="7ACF0E3E"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Оперативный танк (танк БТ, в дальнейшем типа ПТ-1). Танк самостоятельных мехсоединений. Все в этом танке подчиняется требованиям быстроходности, вездеходности (в том числе плавучести) и мощного вооружения. </w:t>
      </w:r>
    </w:p>
    <w:p w14:paraId="74624BD1"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 Танк качественного усиления (ТРГК) (танк Т-28). Основные требования: сильное вооружение и броня, быстроходность, позволяющая его применять также в операции совместно с мехсоединениями. </w:t>
      </w:r>
    </w:p>
    <w:p w14:paraId="7A039552"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 Мощный танк особого назначения (подходящий на сегодня танк Т-35). Танк качественного, добавочного усиления при прорыве сильно и заблаговременно укрепленных полос. Основное требование – мощное вооружение и броня, защищающая от мелкокалиберных снарядов. </w:t>
      </w:r>
    </w:p>
    <w:p w14:paraId="7684697D"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Предусмотреть возможность использования и постановки на производство во время войны имеющегося опытного образца танка Т-34 на базе автомобильной промышленности. </w:t>
      </w:r>
    </w:p>
    <w:p w14:paraId="50CFE69B"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Исходя из вышеизложенного, РВС СССР утвердил следующую систему броне-танкового вооружения: </w:t>
      </w:r>
    </w:p>
    <w:p w14:paraId="52CEAE6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Основные танки – 5 типов:</w:t>
      </w:r>
    </w:p>
    <w:p w14:paraId="5E06C844"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Разведывательный – типа Т-37; </w:t>
      </w:r>
    </w:p>
    <w:p w14:paraId="453DC0C7"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Общевойсковой – типа Т-26; </w:t>
      </w:r>
    </w:p>
    <w:p w14:paraId="6D197798"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Оперативный – типа Б-Т, в дальнейшем ПТ-1; </w:t>
      </w:r>
    </w:p>
    <w:p w14:paraId="050DF23E"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 Танк качественного усиления ТРГК – типа Т-28; </w:t>
      </w:r>
    </w:p>
    <w:p w14:paraId="0312D6EB"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 Мощный танк особого назначения – типа Т-35. </w:t>
      </w:r>
    </w:p>
    <w:p w14:paraId="04CBB729"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Специальные танки – 7 типов (на шасси, стандартных с перечисленными выше): </w:t>
      </w:r>
    </w:p>
    <w:p w14:paraId="163E65C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3 химических (на шасси общевойскового, разведывательного и оперативного танков); </w:t>
      </w:r>
    </w:p>
    <w:p w14:paraId="72D46C5C"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2 саперных (на шассиобщевойскового танка и танка качественного усиления ТРГК); </w:t>
      </w:r>
    </w:p>
    <w:p w14:paraId="5A4E02E3"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Самоходная артиллерийская установка (на агрегатах общевойскового танка); </w:t>
      </w:r>
    </w:p>
    <w:p w14:paraId="7DD1B1A0"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 Танк управления (на шасси общевойскового танка и танка качественного усиления ТРГК); </w:t>
      </w:r>
    </w:p>
    <w:p w14:paraId="70984E4B"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Броне-машины – 2 типа (на шасси ФОРД-А и ФОРД-3А): </w:t>
      </w:r>
    </w:p>
    <w:p w14:paraId="1E00872A"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Разведывательная (на шасси ФОРД-А); </w:t>
      </w:r>
    </w:p>
    <w:p w14:paraId="154E09BD"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Боевая (на шасси ФОРД-3А). </w:t>
      </w:r>
    </w:p>
    <w:p w14:paraId="6DD842F7"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Железнодорожные боевые машины – 2 типа:</w:t>
      </w:r>
    </w:p>
    <w:p w14:paraId="1C8DFD7C"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Мотто-броне-вагон; </w:t>
      </w:r>
    </w:p>
    <w:p w14:paraId="0E424C5A"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Разведывательная дрезина-броне-автомобиль (стандартный с броне-машиной). </w:t>
      </w:r>
    </w:p>
    <w:p w14:paraId="2077C50E"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Тракторы – 3 типа (все типы общегосударственные): </w:t>
      </w:r>
    </w:p>
    <w:p w14:paraId="2DCF71F2"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Легкий быстроходный трактор СТЗ-3; </w:t>
      </w:r>
    </w:p>
    <w:p w14:paraId="0A530BD0"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Тяжелый быстроходный трактор «Коммунар»; </w:t>
      </w:r>
    </w:p>
    <w:p w14:paraId="2EF8D533"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Тяжелый мощный трактор «Сталинец». </w:t>
      </w:r>
    </w:p>
    <w:p w14:paraId="1B17C691"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Транспортеры – 2 типа:</w:t>
      </w:r>
    </w:p>
    <w:p w14:paraId="7A2975A0"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Транспортер боеприпасов на поле боя (шасси стандартное с разведывательным танком); </w:t>
      </w:r>
    </w:p>
    <w:p w14:paraId="239269D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Транспортер пехоты (на шасси легкого трактора). </w:t>
      </w:r>
    </w:p>
    <w:p w14:paraId="42F45578"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7. Транспортные машины (существующие на массовом производстве с установкой 3-х осных ходовых частей и полугусеничных снежных ходов): </w:t>
      </w:r>
    </w:p>
    <w:p w14:paraId="327FC50C"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ФОРД-А; </w:t>
      </w:r>
    </w:p>
    <w:p w14:paraId="6AB718C6"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ФОРД-АА; </w:t>
      </w:r>
    </w:p>
    <w:p w14:paraId="0D3E65B5"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АМО-5; </w:t>
      </w:r>
    </w:p>
    <w:p w14:paraId="2DD09B4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 Я-5. </w:t>
      </w:r>
    </w:p>
    <w:p w14:paraId="36E2F546"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Основные тактико-технические требования к этим машинам должны быть предъявлены следующие: </w:t>
      </w:r>
    </w:p>
    <w:p w14:paraId="3BE85486"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Основные танки.</w:t>
      </w:r>
    </w:p>
    <w:p w14:paraId="5AFF6734"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Разведывательный танк (танк Т-37): </w:t>
      </w:r>
    </w:p>
    <w:p w14:paraId="13271D85"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боевой вес – 3,3 тн, скорость – 40 км/ч, вооружение – 1 пулемет, броня – защита от бронебойных пуль с дистанции 400 м, конструкция – плавающий. </w:t>
      </w:r>
    </w:p>
    <w:p w14:paraId="5EA432C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Общевойсковой танк (танк Т-26): </w:t>
      </w:r>
    </w:p>
    <w:p w14:paraId="5C3E1194"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боевой вес – 9,5 тн, скорость – 50 км/ч, вооружение – 45 мм пушка (часть машин с 76 мм пушкой) и 1 пулемет, или 2 пулемета и 1 огнемет, броня – защита от бронебойных пуль, конструкция – желательно колесно-гусеничный. </w:t>
      </w:r>
    </w:p>
    <w:p w14:paraId="54354790"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Оперативный танк (тип – танк БТ, в дальнейшем – ПТ-1): </w:t>
      </w:r>
    </w:p>
    <w:p w14:paraId="1B072F43"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боевой вес – 11 – 14,5 тн, скорость – 60 км/ч на гусеницах и 80 км/ч на колесах, вооружение 1 – 45 мм пушка (часть машин с 76 мм пушкой) и 3 пулемета, броня – защита от бронебойных пуль, конструкция – плавающий, колесно-гусеничный. </w:t>
      </w:r>
    </w:p>
    <w:p w14:paraId="7DACEFE8"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Танк качественного усиления ТРГК (тип – танка Т-28): </w:t>
      </w:r>
    </w:p>
    <w:p w14:paraId="6E7C9DED"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боевой вес – 20 – 23 тн, скорость – 40 км/ч на гусеницах и 70 км/ч на колесах, вооружение – 76 мм пушка и 3 сверхскорострельных пулемета, броня – защита от бронебойных крупнокалиберных пуль с любой дистанции, конструкция – колесно-гусеничный. </w:t>
      </w:r>
    </w:p>
    <w:p w14:paraId="3DC376AC"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Мощный танк особого назначения (тип – танка Т-35): </w:t>
      </w:r>
    </w:p>
    <w:p w14:paraId="0EAC7BC7"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боевой вес – 45 тн и более, скорость – 30 км/ч, вооружение – 76 мм пушка или 152 мм пушка, две 45 мм пушки или одна 45 мм пушка и 4–6 пулеметов, броня – защита от бронебойных крупнокалиберных пуль с любой дистанции и от мелкокалиберных снарядов (37–45 мм) с дистанции 500 – 700 м., конструкция – желательно колесно-гусеничный. </w:t>
      </w:r>
    </w:p>
    <w:p w14:paraId="0A154C3A"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Специальные танки.</w:t>
      </w:r>
    </w:p>
    <w:p w14:paraId="6E19F2C2"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Передовой химический танк (шасси Т-37): </w:t>
      </w:r>
    </w:p>
    <w:p w14:paraId="7482E453"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Назначение – средство поражения огнеметом огневых точек, живой силы, танков и бронемашин, постановка дымовых завес, заражение местности стойкими ОВ и дегазация, работает преимущественно в зоне действия разведывательных частей. </w:t>
      </w:r>
    </w:p>
    <w:p w14:paraId="5C7E3B10"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Вооружение – пулемет или автоматическая винтовка, огнемет с дальностью огнеметания 50 м, прибор постановки дымовой завесы (длиной 500 м и шириной 2 м). </w:t>
      </w:r>
    </w:p>
    <w:p w14:paraId="71ACB8D7"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Общевойсковой химический танк (шасси Т-26): </w:t>
      </w:r>
    </w:p>
    <w:p w14:paraId="0A3BFCC1"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Назначение – тоже, что и предыдущий. </w:t>
      </w:r>
    </w:p>
    <w:p w14:paraId="3A5C3A47"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Вооружение – 1 пулемет. </w:t>
      </w:r>
    </w:p>
    <w:p w14:paraId="7F34782D"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Специальное оборудование – 1 огнемет с силой струи до 80 мтр., дымприборы, дающие дымзавесу 1.500×3 мтр. или приборы заражения местности ОВ (6.000 кв. мтр.) со средней плотностью ОВ. </w:t>
      </w:r>
    </w:p>
    <w:p w14:paraId="1AF35401"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Оперативный химический танк (шасси БТ, в дальнейшем ПТ-1): </w:t>
      </w:r>
    </w:p>
    <w:p w14:paraId="03EA755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Назначение – тоже, что и у общевойскового. </w:t>
      </w:r>
    </w:p>
    <w:p w14:paraId="54A56A2B"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Вооружение и специальное оборудование – тоже, что и у общевойскового химического танка. </w:t>
      </w:r>
    </w:p>
    <w:p w14:paraId="68E6D759"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Саперный танк (шасси Т-26): </w:t>
      </w:r>
    </w:p>
    <w:p w14:paraId="7AE06877"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Назначение – средство для наводки мостов и траления мин. </w:t>
      </w:r>
    </w:p>
    <w:p w14:paraId="0E149618"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Вооружение – 1 пулемет. </w:t>
      </w:r>
    </w:p>
    <w:p w14:paraId="46CEC9B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Специальное оборудование – 1 колейный мост длиной 9 мтр, допускающий переход по нему танков весом до 14,5 тн. Съемное приспособление для траления мин на ширину танка и съемное приспособление для очистки снега на ширину танка. </w:t>
      </w:r>
    </w:p>
    <w:p w14:paraId="061E729E"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Большой саперный танк (шасси Т-28): </w:t>
      </w:r>
    </w:p>
    <w:p w14:paraId="591FBCC9"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Назначение – Тоже, что и предыдущий. </w:t>
      </w:r>
    </w:p>
    <w:p w14:paraId="319A5D5C"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Вооружение – 2 пулемета. </w:t>
      </w:r>
    </w:p>
    <w:p w14:paraId="09FC734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Специальное оборудование – 1 колейный мост длиной 15 мтр, допускающий переход по нему танков весом до 25 тн. Съемное приспособление для траления мин на ширину танка или приспособление для разбрасывания мин и съемное приспособление для очистки снега на ширину танка. </w:t>
      </w:r>
    </w:p>
    <w:p w14:paraId="34E04BDB"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Конструкция – должна допускать работу, не выходя из танка. </w:t>
      </w:r>
    </w:p>
    <w:p w14:paraId="1BCAE634"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 Танк управления – штабной (шасси Т-26 и Т-28): </w:t>
      </w:r>
    </w:p>
    <w:p w14:paraId="51EE23F8"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Назначение – подвижной бронированный командный пункт для командования и штаба мехсоединений и частей и для управления артиллерийским огнем. </w:t>
      </w:r>
    </w:p>
    <w:p w14:paraId="37E6BB15"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Вооружение: 1 пулемет для общевойскового и оперативного танка и 2 пулемета для танка качественного усиления. </w:t>
      </w:r>
    </w:p>
    <w:p w14:paraId="29A3F43D"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Специальное оборудование, неоюходимое для работы командира и штаба и радиостанции (общевойсковой танк рассчитывается на 3 чел. – остальные на 5 чел.). Танки управления арт. огнем – снабжаются спец. приборами. </w:t>
      </w:r>
    </w:p>
    <w:p w14:paraId="11DD9950"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7. Самоходные артиллерийские установки: </w:t>
      </w:r>
    </w:p>
    <w:p w14:paraId="7D4F3AAC"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Назначение – артиллерия непосредственной поддержки мехсоединений. Артиллерия сопровождения общевойсковых соединений и конницы. </w:t>
      </w:r>
    </w:p>
    <w:p w14:paraId="638AC38E"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Тип шасси – агрегаты общевойскового танка (Т-26), броневая защита – от бронебойных пуль с дистанции от 300 м. Типы орудий: а) малый триплекс: 76 мм дивизионная пушка или 122 мм гаубица или 152 мм мортира; б) 76 мм зенитная пушка (в случае невозможности осуществить конструкцию – решение ищется путем установки пушки на быстроходный трактор); в) 152 мм гаубица «К». </w:t>
      </w:r>
    </w:p>
    <w:p w14:paraId="5D7D0E27"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Новые проблемы механизации РККА.</w:t>
      </w:r>
    </w:p>
    <w:p w14:paraId="2194D9C4"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качестве специальной научно-исследовательской работы по разрешению новых проблем механизации РККА ставятся следующие задачи: </w:t>
      </w:r>
    </w:p>
    <w:p w14:paraId="667307B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Разработка вопросов переброски с десантными целями танков по воздуху на самодетах; </w:t>
      </w:r>
    </w:p>
    <w:p w14:paraId="65FD1888"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Изготовление образцов приспособлений к существующим типам машин для движения их в зимних условиях; </w:t>
      </w:r>
    </w:p>
    <w:p w14:paraId="39A2F3B2"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Окончательное решение проблемы и создание телеуправляемых танков; </w:t>
      </w:r>
    </w:p>
    <w:p w14:paraId="3B6BC8C9"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Перевод всех моторов на тяжелое топливо. </w:t>
      </w:r>
    </w:p>
    <w:p w14:paraId="310287AF"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Прошу утвердить представленную систему броне-танкового вооружения. </w:t>
      </w:r>
    </w:p>
    <w:p w14:paraId="491C150C"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Народный Комиссар по военным и морским делам и Председатель РВС Союза ССР</w:t>
      </w:r>
    </w:p>
    <w:p w14:paraId="55604A58"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подпись Ворошилов</w:t>
      </w:r>
    </w:p>
    <w:p w14:paraId="6A10FBC4" w14:textId="77777777" w:rsidR="002217A6" w:rsidRPr="0044524F" w:rsidRDefault="002217A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Особая папка. Фонд 3 Опись 46 Дело 381 Лист 134 – 155 (17951).</w:t>
      </w:r>
    </w:p>
    <w:p w14:paraId="28977A54" w14:textId="77777777" w:rsidR="002217A6" w:rsidRPr="0044524F" w:rsidRDefault="002217A6" w:rsidP="009654CF">
      <w:pPr>
        <w:spacing w:after="0" w:line="240" w:lineRule="auto"/>
        <w:jc w:val="both"/>
        <w:rPr>
          <w:rFonts w:ascii="Times New Roman" w:hAnsi="Times New Roman"/>
          <w:color w:val="000000" w:themeColor="text1"/>
          <w:sz w:val="16"/>
          <w:szCs w:val="16"/>
        </w:rPr>
      </w:pPr>
    </w:p>
    <w:p w14:paraId="563CA01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приказом N 654 НКТП в строй действующих вступил УМТЗ (Уралмаш) (2990).</w:t>
      </w:r>
    </w:p>
    <w:p w14:paraId="6ED749D4"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54384D4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г. завод тяжелого машиностроения (УЗТМ) им. С. Орджоникидзе, вошел в строй действующих предприятий. Постановлением Совета Народных Комиссаров СССР от 14 июля 1933 г. заводу присвоено имя Серго Орджоникидзе. Завод был награжден орденами: Ленина (1939, 1946), Трудового Красного Знамени (1942), Красного Знамени (1945), Отечественной войны I степени (1946), Октябрьской Революции (1971), Красное Знамя Труда Народной Республики Болгарии (1973), Высшего Ордена заслуги со Звездой, Ордена Дружбы (1973). В июне 1970 г. завод вошел в состав Производственного объединения "Уралмаш" в качестве головного завода (12102).</w:t>
      </w:r>
    </w:p>
    <w:p w14:paraId="0EF9F2B7"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25E1205D" w14:textId="77777777" w:rsidR="00964726" w:rsidRPr="0044524F" w:rsidRDefault="00964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в 1933 году приказом наркома тяжелой промышленности № 654 введен в строй Уральский завод тяжелого машиностроения (Уралмашзавод или УЗТМ), первоначально носящий имя Серго Орджоникидзе. В довоенное время Уралмашзавод обеспечивал своей продукцией (доменным оборудованием, агломерационными машинами, прокатными станами, прессами, кранами и т.д.) создаваемые на Урале и в Сибири горные и металлургические предприятия. Кроме того, уралмашевские прессы использовались в авиационной промышленности. Большая часть продукции выпускалась по индивидуальным проектам. Одновременно на заводе осваивался выпуск оборонной продукции - в конце 1930-х годов организован выпуск гаубиц «М-30» конструкции Ф.Ф.Петрова (калибр 122 мм). В начале Великой Отечественной войны всего за несколько месяцев были реконструированы цеха, предназначенные для выпуска металлургического оборудования по индивидуальным проектам, - в них было организовано крупносерийное производство бронетанковой техники. В 1942 г. начался полный цикл производства танков «Т-34», а затем самоходных артиллерийских установок «СУ-122», «СУ-85» и «СУ-100» на базе танка «Т-34» (по собственным проектам). Уралмашевские боевые машины показали себя весьма эффективными на полях сражений, так как удачно сочетали маневренность танков Т-34 с огромной огневой мощью артиллерийских орудий, специально предназначенных для уничтожения бронетанковой техники фашистской Германии и прорыва укреплений противника. «СУ-100» считается военными специалистами лучшей самоходкой такого класса периода Второй мировой войны. Параллельно с выпуском танковой техники не прекращалось производство бронекорпусов, в том числе для тяжелых танков «ИС-2», ИС-3 и самоходок «ИСУ-152». Всего за годы войны было изготовлено свыше 19000 бронекорпусов средних и тяжелых танков, а также самоходных артиллерийских установок; выпущено около 6000 единиц бронетанковой техники. Кроме того, на оборонные заводы поступали с Уралмашзавода литые заготовки для танковых двигателей, винты для боевых самолетов, корпуса реактивных снарядов для "Катюш" и т.д. Уже в 1941 г. резко увеличился выпуск гаубиц «М-30», а с 1943 г. фронт начал получать гаубицы «Д-2» (калибр - 152 мм). Еще до окончания войны специалисты Уралмашзавода приступили к конверсии производства: восстанавливался выпуск оборудования для металлургических предприятий. В послевоенное время государство вложило значительные средства в реконструкцию и расширение Уралмашзвода. Это позволило не только увеличить объем выпускаемой продукции, но и начать изготовление новых машин и оборудования. Началось серийное изготовление по собственным проектам карьерных экскаваторов, буровых установок, дробильно-размольного оборудования. В соответствии со сложившейся специализацией предприятия в условиях плановой экономики все крупнейшие доменные печи СССР оснащались уралмашевским оборудованием. Постоянно совершенствовалось оборудование для производства сырья для доменных печей - агломерата. Прокатное оборудование (блюминги, листовые и сортовые станы) поставлялось всем крупным металлургическим предприятиям бывшего СССР. В пятидесятые годы в СССР началась реализация государственной программы оснащения современными тяжелыми гидравлическими прессами авиационных и ракетных заводов. В связи с этим на Уралмашзаводе была создана гамма самых разнообразных машин. С 1949 года завод выпускает шагающие экскаваторы. В 60-е годы освоен выпуск драглайнов со стрелами длиной 90-100 метров. Буровые установки Уралмаша сыграли решающую роль в освоении нефтегазоносных районов СССР, в том числе в сложных условиях Западной Сибири. До распада СССР три четверти руды, добываемой открытым способом, добывалось карьерными экскаваторами, изготовленными на Уралмашзаводе. На долю дробилок Уралмашзавода приходилось 85% перерабатываемой железной руды, а его мельницами измельчалась половина материалов в цветной металлургии. С помощью уралмашевского оборудования производилось 80% железорудных окатышей и 78% агломерата. На оборудовании, изготовленном заводом, производилось две трети железнодорожных рельсов и все цельнокатаные колеса подвижного состава, 90% жести, 70% автолиста, 100% электротехнической стали, 85% литых слябов. Все нефтяные и газовые скважины в стране глубиной более 2500 метров бурились уралмашевскими установками. Кроме того, завод являлся поставщиком заготовок роторов, турбин, дисков и немагнитных бандажных колец для энергетики. В 1949 г. Уралмашзавод поставил первую продукцию за рубеж. Металлургическое оборудование поставлялось предприятиям Восточной Европы, а также Китая, Индии, Пакистана, Нигерии, Северной Кореи, Египта, Алжира. Буровые установки успешно эксплуатировались в Алжире, Ираке, Иране, Китае и многих других странах. Всего же машины и оборудование, изготовленные на Уралмашзаводе, работают в 42 странах мира (без учета СНГ). Согласно законодательству Российской Федерации в декабре 1992 года Уралмашзавод был преобразован в открытое акционерное общество "Уральский завод тяжелого машиностроения". В 1996 г. Уралмашзавод вошел в состав крупнейшей российской компании тяжелого машиностроения Объединенные машиностроительные заводы (ОМЗ). В 2002 г. на Уралмашзаводе возобновлен выпуск подъемно-транспортного оборудования и вспомогательного оборудования для атомных станций. УЗТМ награжден 2 орденами Ленина (1939, 1944), орденами Октябрьской Революции (1971), Красного Знамени (1945), Отечественной войны 1-й степени (1945), Трудового Красного Знамени (1942), болгарским орденом «Красное Знамя Труда» (1973) (14953).</w:t>
      </w:r>
    </w:p>
    <w:p w14:paraId="48A34702" w14:textId="77777777" w:rsidR="00964726" w:rsidRPr="0044524F" w:rsidRDefault="00964726" w:rsidP="009654CF">
      <w:pPr>
        <w:spacing w:after="0" w:line="240" w:lineRule="auto"/>
        <w:jc w:val="both"/>
        <w:rPr>
          <w:rFonts w:ascii="Times New Roman" w:hAnsi="Times New Roman"/>
          <w:color w:val="000000" w:themeColor="text1"/>
          <w:sz w:val="16"/>
          <w:szCs w:val="16"/>
        </w:rPr>
      </w:pPr>
    </w:p>
    <w:p w14:paraId="61D604F0"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года начал работу Уральский завод тяжёлого машиностроения имени С. Орджоникидзе (УЗТМ, Уралмашзавод). Завод специализировался на выпуске экскаваторов, дробилок, доменного и сталеплавильного оборудования, блюмингов, прокатных станов, гидравлических прессов и др.</w:t>
      </w:r>
    </w:p>
    <w:p w14:paraId="6A885668"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Великой Отечественной войны предприятие было перенацелено и выпускало продукцию оборонного назначения, в частности, во время Великой Отечественной войны на «Уралмаше» было изготовлено свыше 19 000 бронекорпусов, 30 тысяч полевых и танковых орудий, около 6 000 танков и САУ.</w:t>
      </w:r>
    </w:p>
    <w:p w14:paraId="0B67D137"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1946 году Уралмаш выпустил последнюю самоходную артиллерийскую установку модификации СУ-100. 8 сентября 1946 года боевую машину установили на постамент в форме скалы - так на территории завода появился памятник в честь подвига уралмашевцев в годы Великой Отечественной войны (21177).</w:t>
      </w:r>
    </w:p>
    <w:p w14:paraId="28D1E101" w14:textId="77777777" w:rsidR="00C15F5F" w:rsidRPr="0044524F" w:rsidRDefault="00C15F5F" w:rsidP="009654CF">
      <w:pPr>
        <w:spacing w:after="0" w:line="240" w:lineRule="auto"/>
        <w:jc w:val="both"/>
        <w:rPr>
          <w:rFonts w:ascii="Times New Roman" w:hAnsi="Times New Roman"/>
          <w:color w:val="000000" w:themeColor="text1"/>
          <w:sz w:val="16"/>
          <w:szCs w:val="16"/>
        </w:rPr>
      </w:pPr>
    </w:p>
    <w:p w14:paraId="16B1BBC8"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состоялось заседание ПБ и был оформлен протокол № 141</w:t>
      </w:r>
    </w:p>
    <w:p w14:paraId="3B7DA805"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июля 1933 опросом членов ПБ</w:t>
      </w:r>
    </w:p>
    <w:p w14:paraId="5EA3A2C7"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74/65. – Вопросы комиссии обороны.</w:t>
      </w:r>
    </w:p>
    <w:p w14:paraId="46A899C3"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следующие постановления К.О.:</w:t>
      </w:r>
    </w:p>
    <w:p w14:paraId="4D1FB624"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О6 ассигновании ОГПУ из рeзервного фонда СНК СССР 5 .млн.публей на постройку шоссейной дороги Хабаровск-Комсомольск.</w:t>
      </w:r>
    </w:p>
    <w:p w14:paraId="549B56EC"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О6 отпуске дополнительных ассигнований в 1933 г. . из резервного фонда СНК - 2.500 тыс. руб. заводу № 136-и 3. 500 тыс. руб. заводу № 126.</w:t>
      </w:r>
    </w:p>
    <w:p w14:paraId="66627F63"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О6 ассигновании из резервного фонда СНК на Ш и 1У кв. сверх план 1933 г. 25 млн. руб. на строительство и оборудование судоверфей, в том числе 13 млн.руб. Амурверфи.</w:t>
      </w:r>
    </w:p>
    <w:p w14:paraId="6BBDE921"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 разрешении НКТП, за счет его импортных контин</w:t>
      </w:r>
      <w:r w:rsidRPr="0044524F">
        <w:rPr>
          <w:rFonts w:ascii="Times New Roman" w:hAnsi="Times New Roman"/>
          <w:color w:val="000000" w:themeColor="text1"/>
          <w:sz w:val="16"/>
          <w:szCs w:val="16"/>
        </w:rPr>
        <w:softHyphen/>
        <w:t>гентов приобрести до 25 тыс. тонн судостроительной стали.</w:t>
      </w:r>
    </w:p>
    <w:p w14:paraId="6FA593F7"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 разрешении НКТП за счет его контингентов выдать открытую лицензию на сумму до 100 тыс.руб. Дальзаводу и Остону на приобретение в Японии мелких вспомогательных судов.</w:t>
      </w:r>
    </w:p>
    <w:p w14:paraId="3E2A6A09"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Проект постановления СТО - о строительстве и обо</w:t>
      </w:r>
      <w:r w:rsidRPr="0044524F">
        <w:rPr>
          <w:rFonts w:ascii="Times New Roman" w:hAnsi="Times New Roman"/>
          <w:color w:val="000000" w:themeColor="text1"/>
          <w:sz w:val="16"/>
          <w:szCs w:val="16"/>
        </w:rPr>
        <w:softHyphen/>
        <w:t>рудований заводов №№.9., 120, 20 и 32 ГУАПпа. с выдачей из резервного фонда СНК в 1933 r.- 6.160.000 р. и валют</w:t>
      </w:r>
      <w:r w:rsidRPr="0044524F">
        <w:rPr>
          <w:rFonts w:ascii="Times New Roman" w:hAnsi="Times New Roman"/>
          <w:color w:val="000000" w:themeColor="text1"/>
          <w:sz w:val="16"/>
          <w:szCs w:val="16"/>
        </w:rPr>
        <w:softHyphen/>
        <w:t>ных контингентов на 3.900.000 руб. в 1933 г. и на 634.000 руб. в 1934 г.</w:t>
      </w:r>
    </w:p>
    <w:p w14:paraId="7C32A61F"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 т. Базилевичу -все; Мирошникову – 1, 2, 3, 6, Орджоникидзе-2, 3, 4, 5; Боеву – 4, 5</w:t>
      </w:r>
    </w:p>
    <w:p w14:paraId="3E1BDEB6"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опросом членов ПБ</w:t>
      </w:r>
    </w:p>
    <w:p w14:paraId="4E3BB1E0"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106/97.- О порлете нащих самолетов в Польшу</w:t>
      </w:r>
    </w:p>
    <w:p w14:paraId="6323BC55" w14:textId="6D4D04B9"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ответного визита в Польшу считать возможным 18 июля послать 2 самолета Р-5 с зкипажани: первый -поикомвойск УВО Ингауиис и инженер инспенции ВВС РККА Мезимов; второгоо:</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командир 252 авиабригады Тугржанский и бригадный инж. Павлов, по маршрутам: для первого - Мосжва-Гомель- Львов-Варшава-Лида-Витебск-Москва (с посадкой во Львове и Варшаве); для второго самолета – Москва-Витебск7Полоцк-Вильно-Варшава-Брест-Гомель-Москва (с посадкой в Варшаве).</w:t>
      </w:r>
    </w:p>
    <w:p w14:paraId="6CFD0089"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Ассигновать на перелет 372 доллара.</w:t>
      </w:r>
    </w:p>
    <w:p w14:paraId="410A8B0B" w14:textId="77777777" w:rsidR="00C15F5F" w:rsidRPr="0044524F" w:rsidRDefault="00C15F5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Ворошилову – все, Артузову, Крестинскому -3, Гринько -6 (22991)</w:t>
      </w:r>
    </w:p>
    <w:p w14:paraId="4C8507D3" w14:textId="77777777" w:rsidR="00C15F5F" w:rsidRPr="0044524F" w:rsidRDefault="00C15F5F" w:rsidP="009654CF">
      <w:pPr>
        <w:spacing w:after="0" w:line="240" w:lineRule="auto"/>
        <w:jc w:val="both"/>
        <w:rPr>
          <w:rFonts w:ascii="Times New Roman" w:hAnsi="Times New Roman"/>
          <w:color w:val="000000" w:themeColor="text1"/>
          <w:sz w:val="16"/>
          <w:szCs w:val="16"/>
        </w:rPr>
      </w:pPr>
    </w:p>
    <w:p w14:paraId="3AE7EC8C" w14:textId="77777777" w:rsidR="00C22911" w:rsidRPr="0044524F" w:rsidRDefault="00C22911"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15 июля 1933 года в постановлении Нижне-Волжского крайисполкома ВКП (б) прямо говорились, что спеццеха СТЗ не были готовы и к середине 1933 года. </w:t>
      </w:r>
    </w:p>
    <w:p w14:paraId="6E6A8203" w14:textId="77777777" w:rsidR="00C22911" w:rsidRPr="0044524F" w:rsidRDefault="00C22911"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"Литейный цех готов на 68%, обе электропечи запущены в эксплуатацию, в цехе более 100 вагонов не вывезенной земли. В механосборочном цехе №2 строительство завершено, монтаж выполнен только на 60%". Всего в механосборочном цехе должно было стоять 188 станков (114 импортных и 74 советских). Низкие темпы работ в докладе крайисполкома объяснялись следующими проблемами: нехватка порядка 6000 рабочих (строителей, монтажников), отсутствие проводов и кабелей, необходимость ждать выполнения заказа в Великобритании на поставку оттуда двух мощных компрессоров. Компрессоры были заказаны на август 1933 года, но поступили с опозданием (11580).</w:t>
      </w:r>
    </w:p>
    <w:p w14:paraId="070A8E0D" w14:textId="77777777" w:rsidR="00C22911" w:rsidRPr="0044524F" w:rsidRDefault="00C22911" w:rsidP="009654CF">
      <w:pPr>
        <w:pStyle w:val="af2"/>
        <w:jc w:val="both"/>
        <w:rPr>
          <w:i w:val="0"/>
          <w:iCs w:val="0"/>
          <w:color w:val="000000" w:themeColor="text1"/>
          <w:spacing w:val="0"/>
          <w:kern w:val="0"/>
          <w:position w:val="0"/>
          <w:sz w:val="16"/>
          <w:szCs w:val="16"/>
          <w:lang w:val="ru-RU"/>
        </w:rPr>
      </w:pPr>
    </w:p>
    <w:p w14:paraId="3AF83DFF" w14:textId="77777777" w:rsidR="00964726" w:rsidRPr="0044524F" w:rsidRDefault="00964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г. Протокол ПБ № 141 п.21/12: О нефтяном моторе. Решено: 1. Опытный нефтяной двигатель – мотор Наркомсовхозов, установленный на катерпиллере, признать приемлемым. Считать особо ценным, что данный мотор-двигатель работает на тяжелом топливе (нефть, мазут, отработанное масло, вместо лигроина). 2. Обязать Наркомтяжпром: а) закончить изготовление рабочих чертежей нефтяного мотора на основе опытного мотора-двигателя Центрального отдела механизации Наркомсовхозов к 5 сентября 1933 г., для чего немедленно выделить группу опытных конструкторов, с обязательным привлечением для технической консультации инженеров Грибова и Эртом; б) обеспечить уже в текущем 1933 г. изготовление на Челябинском заводе не менее 300 «сталинцев» с нефтяным мотором. 3. Заслушать доклад Наркомтяжпрома о ходе работ 1 октября 1933 г. (15958).</w:t>
      </w:r>
    </w:p>
    <w:p w14:paraId="606F3F18" w14:textId="77777777" w:rsidR="00964726" w:rsidRPr="0044524F" w:rsidRDefault="00964726" w:rsidP="009654CF">
      <w:pPr>
        <w:spacing w:after="0" w:line="240" w:lineRule="auto"/>
        <w:jc w:val="both"/>
        <w:rPr>
          <w:rFonts w:ascii="Times New Roman" w:hAnsi="Times New Roman"/>
          <w:color w:val="000000" w:themeColor="text1"/>
          <w:sz w:val="16"/>
          <w:szCs w:val="16"/>
        </w:rPr>
      </w:pPr>
    </w:p>
    <w:p w14:paraId="26D4654B"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w:t>
      </w:r>
    </w:p>
    <w:p w14:paraId="3D3EC577"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2C2A2A31"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http://sovdoc.rusarchives.ru</w:t>
      </w:r>
    </w:p>
    <w:p w14:paraId="68A169F9"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136B5CF0"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РГАСПИ. Ф. 17. Оп. 3. Д. 926. Л. 1-68; РГАСПИ. Ф. 17. Оп. 162. Д. 15. Л. 1-14. </w:t>
      </w:r>
    </w:p>
    <w:p w14:paraId="18D910BF"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141 заседания Политбюро ЦК ВКП(б) от 15 июля 1933 года</w:t>
      </w:r>
    </w:p>
    <w:p w14:paraId="5A6433A5"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15</w:t>
      </w:r>
      <w:r w:rsidRPr="0044524F">
        <w:rPr>
          <w:rFonts w:ascii="Times New Roman" w:hAnsi="Times New Roman"/>
          <w:color w:val="000000" w:themeColor="text1"/>
          <w:sz w:val="16"/>
          <w:szCs w:val="16"/>
        </w:rPr>
        <w:noBreakHyphen/>
        <w:t>го июля 1933 года.</w:t>
      </w:r>
    </w:p>
    <w:p w14:paraId="511E2CFD"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21/12: О нефтяном моторе</w:t>
      </w:r>
    </w:p>
    <w:p w14:paraId="0DB0BCE8"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Опытный нефтяной двигатель-мотор Наркомсовхозов, установленный на катерпилляре, признать приемлемым.</w:t>
      </w:r>
    </w:p>
    <w:p w14:paraId="504BBF56"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особо ценным, что данный мотор-двигатель работает на тяжелом топливе (нефть, мазут, отработанное масло, вместо лигроина).</w:t>
      </w:r>
    </w:p>
    <w:p w14:paraId="04F822C8"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Обязать Наркомтяжпром:</w:t>
      </w:r>
    </w:p>
    <w:p w14:paraId="3E5B12A5"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закончить изготовление рабочих чертежей нефтяного мотора на основе опытного мотора-двигателя Центрального отдела механизации Наркомсовхозов к 5 сентября с. г., для чего немедленно выделить группу опытных конструкторов с обязательным привлечением для технической консультации инженеров Грибова и Эртом;</w:t>
      </w:r>
    </w:p>
    <w:p w14:paraId="46E7226D"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обеспечить уже в текущем 1933 г. изготовление на Челябинском заводе не менее 300 “сталинцев” с нефтяным мотором.</w:t>
      </w:r>
    </w:p>
    <w:p w14:paraId="2C208B50"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Заслушать доклад Наркомтяжпрома о ходе работ 1 октября с. г.</w:t>
      </w:r>
    </w:p>
    <w:p w14:paraId="778D3C20"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74/65: Вопросы Комиссии Обороны</w:t>
      </w:r>
    </w:p>
    <w:p w14:paraId="00487D15"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77F34001"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следующее постановления КО:</w:t>
      </w:r>
    </w:p>
    <w:p w14:paraId="49EB5B1A"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 ассигновании ОГПУ из резервного фонда СНК СССР 5 млн. рублей на. постройку шоссейной дороги Хабаровск — Комсомольск.</w:t>
      </w:r>
    </w:p>
    <w:p w14:paraId="6512DC85"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 отпуске дополнительных ассигнований в 1933 г. из резервного фонда СНК — 2.500 тыс. руб. заводу № 125 и 3.500 тыс. руб. заводу № 126.</w:t>
      </w:r>
    </w:p>
    <w:p w14:paraId="1FA2BF9F"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 ассигновании из резервного фонда СНК на III и IV квартал сверх плана 1933 г. 25 млн. руб. на строительство и оборудование судоверфей, в том числе 13 млн. руб. Амурверфи.</w:t>
      </w:r>
    </w:p>
    <w:p w14:paraId="419E006B"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 разрешении НКТП, за счет его импортных контингентов приобрести до 25 тыс. тони судостроительной стали.</w:t>
      </w:r>
    </w:p>
    <w:p w14:paraId="6582D18D"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 разрешении НКТП за счет его контингентов видать открытую лицензию на сумму до 100 тыс. руб. Дальзаводу и Остону, на приобретение в Японии мелких вспомогательных материалов и инструментов.</w:t>
      </w:r>
    </w:p>
    <w:p w14:paraId="66ADEF67"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Проект постановления СТО — о строительстве и оборудовании заводов № 19, № 120, № 20, и № 33 ГУАП'а, с выдачей из резервного фонда СНК в 1933 г. — 6.160.000 руб. и валютных контингентов на 3.960.000 руб. в 1933 г. и на 634.000 руб. в 1934 г.</w:t>
      </w:r>
    </w:p>
    <w:p w14:paraId="39C632D0"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03981ABA"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Базилевичу — все;</w:t>
      </w:r>
    </w:p>
    <w:p w14:paraId="7D45F7C8"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Мирошникову — 1, 2, 3, 6;</w:t>
      </w:r>
    </w:p>
    <w:p w14:paraId="003FA5ED"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Орджоникидзе — 2, 3, 4, 5, 6;</w:t>
      </w:r>
    </w:p>
    <w:p w14:paraId="24CD28BA"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Боеву — 4.</w:t>
      </w:r>
    </w:p>
    <w:p w14:paraId="6DA020D1"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106/97: О полете наших самолетов в Польшу</w:t>
      </w:r>
    </w:p>
    <w:p w14:paraId="3317D176"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33CB661F"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ответного визита в Польшу считать возможным 18 июля послать 2 самолета Р</w:t>
      </w:r>
      <w:r w:rsidRPr="0044524F">
        <w:rPr>
          <w:rFonts w:ascii="Times New Roman" w:hAnsi="Times New Roman"/>
          <w:color w:val="000000" w:themeColor="text1"/>
          <w:sz w:val="16"/>
          <w:szCs w:val="16"/>
        </w:rPr>
        <w:noBreakHyphen/>
        <w:t>5 с экипажами: первый — помкомвойск УВО Ингаунис и инженер инспекции ВВС РКК Мезинов; второй — командир 252 авиабригады Туржанский и бригадный инженер Павлов, по маршрутам: для первого — Москва — Гомель — Львов — Варшава — Рига — Витебск — Москва (с посадкой во Львове и Варшаве); для второго самолета — Москва — Витебск — Полоцк — Вильно — Варшава —-Брест — Гомель — Москва (с посадкой в Варшаве).</w:t>
      </w:r>
    </w:p>
    <w:p w14:paraId="1D198D54"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Ассигновать на перелет 372 доллара.</w:t>
      </w:r>
    </w:p>
    <w:p w14:paraId="784F8FBA"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1F49C5F6"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Ворошилову — все;</w:t>
      </w:r>
    </w:p>
    <w:p w14:paraId="6C3C3DB7"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Артузову, Крестинскому — п. “а”;</w:t>
      </w:r>
    </w:p>
    <w:p w14:paraId="5E187D08" w14:textId="77777777" w:rsidR="00753E29" w:rsidRPr="0044524F" w:rsidRDefault="00753E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Гринько — п. “б” (18065).</w:t>
      </w:r>
    </w:p>
    <w:p w14:paraId="6C8176F1" w14:textId="77777777" w:rsidR="00753E29" w:rsidRPr="0044524F" w:rsidRDefault="00753E29" w:rsidP="009654CF">
      <w:pPr>
        <w:spacing w:after="0" w:line="240" w:lineRule="auto"/>
        <w:jc w:val="both"/>
        <w:rPr>
          <w:rFonts w:ascii="Times New Roman" w:hAnsi="Times New Roman"/>
          <w:color w:val="000000" w:themeColor="text1"/>
          <w:sz w:val="16"/>
          <w:szCs w:val="16"/>
        </w:rPr>
      </w:pPr>
    </w:p>
    <w:p w14:paraId="3DBCEFFD" w14:textId="77777777" w:rsidR="00964726" w:rsidRPr="0044524F" w:rsidRDefault="00964726" w:rsidP="009654CF">
      <w:pPr>
        <w:pStyle w:val="rtejustify"/>
        <w:spacing w:before="0" w:after="0"/>
        <w:rPr>
          <w:color w:val="000000" w:themeColor="text1"/>
          <w:sz w:val="16"/>
          <w:szCs w:val="16"/>
        </w:rPr>
      </w:pPr>
      <w:r w:rsidRPr="0044524F">
        <w:rPr>
          <w:rStyle w:val="af0"/>
          <w:bCs/>
          <w:i w:val="0"/>
          <w:color w:val="000000" w:themeColor="text1"/>
          <w:sz w:val="16"/>
          <w:szCs w:val="16"/>
        </w:rPr>
        <w:lastRenderedPageBreak/>
        <w:t>15 июля</w:t>
      </w:r>
      <w:r w:rsidRPr="0044524F">
        <w:rPr>
          <w:color w:val="000000" w:themeColor="text1"/>
          <w:sz w:val="16"/>
          <w:szCs w:val="16"/>
        </w:rPr>
        <w:t xml:space="preserve"> 1933. Протокол заседания Политбюро ЦК ВКП (б) № 141. </w:t>
      </w:r>
      <w:hyperlink r:id="rId262" w:anchor="showunit&amp;id=86949" w:history="1">
        <w:r w:rsidRPr="0044524F">
          <w:rPr>
            <w:rStyle w:val="a5"/>
            <w:color w:val="000000" w:themeColor="text1"/>
            <w:sz w:val="16"/>
            <w:szCs w:val="16"/>
            <w:u w:val="none"/>
          </w:rPr>
          <w:t>2. О договоре с фирмой «Фрейн»</w:t>
        </w:r>
      </w:hyperlink>
      <w:r w:rsidRPr="0044524F">
        <w:rPr>
          <w:color w:val="000000" w:themeColor="text1"/>
          <w:sz w:val="16"/>
          <w:szCs w:val="16"/>
        </w:rPr>
        <w:t xml:space="preserve"> (Орджоникидзе, Розенгольц). — ОП. Решено признать нецелесообразным заключение договора с фирмой Фрейн. </w:t>
      </w:r>
      <w:hyperlink r:id="rId263" w:anchor="showunit&amp;id=86960" w:history="1">
        <w:r w:rsidRPr="0044524F">
          <w:rPr>
            <w:rStyle w:val="a5"/>
            <w:color w:val="000000" w:themeColor="text1"/>
            <w:sz w:val="16"/>
            <w:szCs w:val="16"/>
            <w:u w:val="none"/>
          </w:rPr>
          <w:t>3. Об улучшении организационной структуры НКТП</w:t>
        </w:r>
      </w:hyperlink>
      <w:r w:rsidRPr="0044524F">
        <w:rPr>
          <w:color w:val="000000" w:themeColor="text1"/>
          <w:sz w:val="16"/>
          <w:szCs w:val="16"/>
        </w:rPr>
        <w:t xml:space="preserve"> (ПБ от 1 июня 1933 г., пр. № 138, п. 13а), (ПБ от 15 июля 1933 г.). Решено отложить до следующего заседания. Предложить НКТяжпрому представить кандидатуры начальников главных управлений. </w:t>
      </w:r>
      <w:hyperlink r:id="rId264" w:anchor="showunit&amp;id=86984" w:history="1">
        <w:r w:rsidRPr="0044524F">
          <w:rPr>
            <w:rStyle w:val="a5"/>
            <w:color w:val="000000" w:themeColor="text1"/>
            <w:sz w:val="16"/>
            <w:szCs w:val="16"/>
            <w:u w:val="none"/>
          </w:rPr>
          <w:t>51/42. Об Уральском заводе тяжелого машиностроения</w:t>
        </w:r>
      </w:hyperlink>
      <w:r w:rsidRPr="0044524F">
        <w:rPr>
          <w:color w:val="000000" w:themeColor="text1"/>
          <w:sz w:val="16"/>
          <w:szCs w:val="16"/>
        </w:rPr>
        <w:t xml:space="preserve"> (ПБ от 8 июля 1933 г.). Решено принять предложение Президиума ВЦИК о присвоении имени Орджоникидзе Уральскому заводу тяжелого машиностроения, в связи с пуском его 15 июля 1933 г. </w:t>
      </w:r>
      <w:hyperlink r:id="rId265" w:anchor="showunit&amp;id=87010" w:history="1">
        <w:r w:rsidRPr="0044524F">
          <w:rPr>
            <w:rStyle w:val="a5"/>
            <w:color w:val="000000" w:themeColor="text1"/>
            <w:sz w:val="16"/>
            <w:szCs w:val="16"/>
            <w:u w:val="none"/>
          </w:rPr>
          <w:t>74/65. Вопросы КО</w:t>
        </w:r>
      </w:hyperlink>
      <w:r w:rsidRPr="0044524F">
        <w:rPr>
          <w:color w:val="000000" w:themeColor="text1"/>
          <w:sz w:val="16"/>
          <w:szCs w:val="16"/>
        </w:rPr>
        <w:t xml:space="preserve"> (ПБ от 13 июля 1933 г.). — ОП. Решено утвердить следующие постановления КО: 1) Об ассигновании ОГПУ из резервного фонда СНК СССР 5 миллионов рублей на постройку шоссейной дороги Хабаровск – Комсомольск. 2) Об отпуске дополнительных ассигнований в 1933 году из резервного фонда СНК 2500 тысяч рублей заводу № 125 и 3500 тысячи рублей заводу № 126. 3) Об ассигновании из резервного фонда СНК на 3 и 4 квартал сверх плана 1933 года 25 миллионов рублей на строительство и оборудование судоверфей, в том числе 13 миллионов рублей Амурверфи. 4) О разрешении НКПТ, за счет его импортных контингентов приобрести до 25 тысяч тонн судостроительной стали. 5) О разрешении НКТП за счет его контингентов выдать открытую лицензию на сумму до 100 тысяч рублей Дальзаводу и Остону, на приобретение в Японии мелких вспомогательных материалов и инструментов. 6) Проект постановления СТО – о строительстве и оборудовании заводов №№ 19, 120, 20 и 33 ГУАП, с выдачей из резервного фонда СНК в 1933 года – 6160000 рублей и валютных контингентов на 3960000 рублей в 1933 году и на 634000 рублей в 1934 году (15462).</w:t>
      </w:r>
    </w:p>
    <w:p w14:paraId="144FA13E" w14:textId="77777777" w:rsidR="00964726" w:rsidRPr="0044524F" w:rsidRDefault="00964726" w:rsidP="009654CF">
      <w:pPr>
        <w:pStyle w:val="rtejustify"/>
        <w:spacing w:before="0" w:after="0"/>
        <w:rPr>
          <w:color w:val="000000" w:themeColor="text1"/>
          <w:sz w:val="16"/>
          <w:szCs w:val="16"/>
        </w:rPr>
      </w:pPr>
    </w:p>
    <w:p w14:paraId="77A8DEAE" w14:textId="77777777" w:rsidR="008815DC" w:rsidRPr="0044524F" w:rsidRDefault="008815D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г. военный летчик Константин Федорович Кайтанов устаноновил новый всесоюзный рекорд затяжного прыжка. оставив самолет на высоте 3270 м, он падал, не раскрывая парашюта 3170 м. Свободное падение продолжалось 62 сек. Прежний рекорд затяжного прыжка был установлен в феврале этого года М.Н.Зворыгииым, а мировой рекорд 3200 м принадлежал с 1932 года американцу Иеннингу.</w:t>
      </w:r>
    </w:p>
    <w:p w14:paraId="2473C002" w14:textId="77777777" w:rsidR="008815DC" w:rsidRPr="0044524F" w:rsidRDefault="008815D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18 июля 1933 и за 1б января 1934 г./ (23370).</w:t>
      </w:r>
    </w:p>
    <w:p w14:paraId="0799DDE1" w14:textId="77777777" w:rsidR="008815DC" w:rsidRPr="0044524F" w:rsidRDefault="008815DC" w:rsidP="009654CF">
      <w:pPr>
        <w:spacing w:after="0" w:line="240" w:lineRule="auto"/>
        <w:jc w:val="both"/>
        <w:rPr>
          <w:rFonts w:ascii="Times New Roman" w:hAnsi="Times New Roman"/>
          <w:color w:val="000000" w:themeColor="text1"/>
          <w:sz w:val="16"/>
          <w:szCs w:val="16"/>
        </w:rPr>
      </w:pPr>
    </w:p>
    <w:p w14:paraId="4DE98351" w14:textId="77777777" w:rsidR="00964726"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125F9252" w14:textId="77777777" w:rsidR="00964726" w:rsidRPr="0044524F" w:rsidRDefault="00964726" w:rsidP="009654CF">
      <w:pPr>
        <w:spacing w:after="0" w:line="240" w:lineRule="auto"/>
        <w:jc w:val="both"/>
        <w:rPr>
          <w:rFonts w:ascii="Times New Roman" w:hAnsi="Times New Roman"/>
          <w:iCs/>
          <w:color w:val="000000" w:themeColor="text1"/>
          <w:sz w:val="16"/>
          <w:szCs w:val="16"/>
        </w:rPr>
      </w:pPr>
    </w:p>
    <w:p w14:paraId="33646BEB" w14:textId="77777777" w:rsidR="00BD7636" w:rsidRPr="0044524F" w:rsidRDefault="00BD7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г. начался и закон</w:t>
      </w:r>
      <w:r w:rsidRPr="0044524F">
        <w:rPr>
          <w:rFonts w:ascii="Times New Roman" w:hAnsi="Times New Roman"/>
          <w:color w:val="000000" w:themeColor="text1"/>
          <w:sz w:val="16"/>
          <w:szCs w:val="16"/>
        </w:rPr>
        <w:softHyphen/>
        <w:t>чился 24 августа начался перелет на ДВ 23-й авиабригады (командир Горбунов) на ТБ-1, которая получила приказ о перебазировании на 26 июня 1933 г. Стартовали поэскадрильно: 89-, 91-, 92-, 90-я., т.е. на весь перелет бригады ушло 40 дней. На перелет одной эскадрильи уходило, как правило, от 10 до 15 и более суток. По-прежнему у экипажей имелись претензии к надежности двигате</w:t>
      </w:r>
      <w:r w:rsidRPr="0044524F">
        <w:rPr>
          <w:rFonts w:ascii="Times New Roman" w:hAnsi="Times New Roman"/>
          <w:color w:val="000000" w:themeColor="text1"/>
          <w:sz w:val="16"/>
          <w:szCs w:val="16"/>
        </w:rPr>
        <w:softHyphen/>
        <w:t>лей М-17. Всего по этой причине произошло 18 вы</w:t>
      </w:r>
      <w:r w:rsidRPr="0044524F">
        <w:rPr>
          <w:rFonts w:ascii="Times New Roman" w:hAnsi="Times New Roman"/>
          <w:color w:val="000000" w:themeColor="text1"/>
          <w:sz w:val="16"/>
          <w:szCs w:val="16"/>
        </w:rPr>
        <w:softHyphen/>
        <w:t>нужденных посадок. Уже в первый день полета один ТБ-3 (заводской №2260) под командованием летчика Казакова потерпел катастрофу. На этом самолете в 70 км от Мурома отказал один из двигателей. Коман</w:t>
      </w:r>
      <w:r w:rsidRPr="0044524F">
        <w:rPr>
          <w:rFonts w:ascii="Times New Roman" w:hAnsi="Times New Roman"/>
          <w:color w:val="000000" w:themeColor="text1"/>
          <w:sz w:val="16"/>
          <w:szCs w:val="16"/>
        </w:rPr>
        <w:softHyphen/>
        <w:t>дир корабля Казаков пытался тянуть до Мурома на трех двигателях, но не справился с управлением, са</w:t>
      </w:r>
      <w:r w:rsidRPr="0044524F">
        <w:rPr>
          <w:rFonts w:ascii="Times New Roman" w:hAnsi="Times New Roman"/>
          <w:color w:val="000000" w:themeColor="text1"/>
          <w:sz w:val="16"/>
          <w:szCs w:val="16"/>
        </w:rPr>
        <w:softHyphen/>
        <w:t>молет врезался в землю и сгорел. При ударе погиб механик Жиромкин. Кроме этого, был тяжело ранен помполит Разин, который позднее скончался от ран. Это была единственная и досадная катастрофа. Кста</w:t>
      </w:r>
      <w:r w:rsidRPr="0044524F">
        <w:rPr>
          <w:rFonts w:ascii="Times New Roman" w:hAnsi="Times New Roman"/>
          <w:color w:val="000000" w:themeColor="text1"/>
          <w:sz w:val="16"/>
          <w:szCs w:val="16"/>
        </w:rPr>
        <w:softHyphen/>
        <w:t>ти, еще в 1932 г. при проведении дополнительных испытаний указывалось, что при полетном весе 15 тонн полет ТБ-3 на трех моторах невозможен. Про</w:t>
      </w:r>
      <w:r w:rsidRPr="0044524F">
        <w:rPr>
          <w:rFonts w:ascii="Times New Roman" w:hAnsi="Times New Roman"/>
          <w:color w:val="000000" w:themeColor="text1"/>
          <w:sz w:val="16"/>
          <w:szCs w:val="16"/>
        </w:rPr>
        <w:softHyphen/>
        <w:t>должать полет можно было только со снижением (23378).</w:t>
      </w:r>
    </w:p>
    <w:p w14:paraId="2E8CEB44" w14:textId="77777777" w:rsidR="00BD7636" w:rsidRPr="0044524F" w:rsidRDefault="00BD7636" w:rsidP="009654CF">
      <w:pPr>
        <w:spacing w:after="0" w:line="240" w:lineRule="auto"/>
        <w:jc w:val="both"/>
        <w:rPr>
          <w:rFonts w:ascii="Times New Roman" w:hAnsi="Times New Roman"/>
          <w:color w:val="000000" w:themeColor="text1"/>
          <w:sz w:val="16"/>
          <w:szCs w:val="16"/>
        </w:rPr>
      </w:pPr>
    </w:p>
    <w:p w14:paraId="777D09BC" w14:textId="77777777" w:rsidR="008417A6" w:rsidRPr="0044524F" w:rsidRDefault="0084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15 июля 1933 г. народным комиссаром по военным и морским делам и председателем РВС СССР К.Е. Ворошиловым был подготовлен </w:t>
      </w:r>
      <w:hyperlink r:id="rId266" w:tgtFrame="_blank" w:history="1">
        <w:r w:rsidRPr="0044524F">
          <w:rPr>
            <w:rFonts w:ascii="Times New Roman" w:eastAsia="Times New Roman" w:hAnsi="Times New Roman"/>
            <w:color w:val="000000" w:themeColor="text1"/>
            <w:sz w:val="16"/>
            <w:szCs w:val="16"/>
            <w:lang w:eastAsia="ru-RU"/>
          </w:rPr>
          <w:t>доклад «О системе танкового вооружения на вторую пятилетку»</w:t>
        </w:r>
      </w:hyperlink>
      <w:r w:rsidRPr="0044524F">
        <w:rPr>
          <w:rFonts w:ascii="Times New Roman" w:hAnsi="Times New Roman"/>
          <w:color w:val="000000" w:themeColor="text1"/>
          <w:sz w:val="16"/>
          <w:szCs w:val="16"/>
        </w:rPr>
        <w:t>, который</w:t>
      </w:r>
      <w:r w:rsidRPr="0044524F">
        <w:rPr>
          <w:rFonts w:ascii="Times New Roman" w:eastAsia="Times New Roman" w:hAnsi="Times New Roman"/>
          <w:color w:val="000000" w:themeColor="text1"/>
          <w:sz w:val="16"/>
          <w:szCs w:val="16"/>
          <w:lang w:eastAsia="ru-RU"/>
        </w:rPr>
        <w:t xml:space="preserve"> для утверждения новой системы бронетанкового вооружения в вышестоящей инстанции</w:t>
      </w:r>
      <w:r w:rsidRPr="0044524F">
        <w:rPr>
          <w:rFonts w:ascii="Times New Roman" w:hAnsi="Times New Roman"/>
          <w:color w:val="000000" w:themeColor="text1"/>
          <w:sz w:val="16"/>
          <w:szCs w:val="16"/>
        </w:rPr>
        <w:t xml:space="preserve"> </w:t>
      </w:r>
      <w:r w:rsidRPr="0044524F">
        <w:rPr>
          <w:rFonts w:ascii="Times New Roman" w:eastAsia="Times New Roman" w:hAnsi="Times New Roman"/>
          <w:color w:val="000000" w:themeColor="text1"/>
          <w:sz w:val="16"/>
          <w:szCs w:val="16"/>
          <w:lang w:eastAsia="ru-RU"/>
        </w:rPr>
        <w:t xml:space="preserve">был отправлен на имя председателя Комиссии Обороны при Совете Народных Комиссаров СССР В.М. Молотова. В своем докладе К.Е. Ворошилов подчеркнул, что </w:t>
      </w:r>
      <w:r w:rsidRPr="0044524F">
        <w:rPr>
          <w:rFonts w:ascii="Times New Roman" w:eastAsia="Times New Roman" w:hAnsi="Times New Roman"/>
          <w:iCs/>
          <w:color w:val="000000" w:themeColor="text1"/>
          <w:sz w:val="16"/>
          <w:szCs w:val="16"/>
          <w:lang w:eastAsia="ru-RU"/>
        </w:rPr>
        <w:t>«Вторая пятилетка должна сделать механизацию одним из решающих элементов будущих операций Красной Армии»</w:t>
      </w:r>
      <w:r w:rsidRPr="0044524F">
        <w:rPr>
          <w:rFonts w:ascii="Times New Roman" w:eastAsia="Times New Roman" w:hAnsi="Times New Roman"/>
          <w:color w:val="000000" w:themeColor="text1"/>
          <w:sz w:val="16"/>
          <w:szCs w:val="16"/>
          <w:lang w:eastAsia="ru-RU"/>
        </w:rPr>
        <w:t xml:space="preserve">. И развивая данный тезис, изложил вытекающие из него требования: </w:t>
      </w:r>
    </w:p>
    <w:p w14:paraId="12EB691C" w14:textId="77777777" w:rsidR="008417A6" w:rsidRPr="0044524F" w:rsidRDefault="008417A6"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Лучшие, наиболее мощные и быстроходные танки должны быть сгруппированы в сильные мехсоединения оперативного и стратегического значения (мехбригады и мехкорпуса); </w:t>
      </w:r>
    </w:p>
    <w:p w14:paraId="6C2C1BBB" w14:textId="77777777" w:rsidR="008417A6" w:rsidRPr="0044524F" w:rsidRDefault="008417A6"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В распоряжении Главного Командования должен быть сильный резерв танков (количественного и качественного значения), который бы обеспечил создание абсолютного танкового превосходства над противником на ударных направлениях; </w:t>
      </w:r>
    </w:p>
    <w:p w14:paraId="7330B67D" w14:textId="77777777" w:rsidR="008417A6" w:rsidRPr="0044524F" w:rsidRDefault="008417A6"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в) Стратегическая конница, сохраняющая и впредь своё значение, прочно оснащается мехсредствами и самоходной артиллерией; </w:t>
      </w:r>
    </w:p>
    <w:p w14:paraId="2ED5C66F" w14:textId="77777777" w:rsidR="008417A6" w:rsidRPr="0044524F" w:rsidRDefault="0084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г) Общевойсковые соединения (большинство дивизий, а в дальнейшем и полков) должны иметь свои органические мехчасти, как для разведки, так и для боя».</w:t>
      </w:r>
    </w:p>
    <w:p w14:paraId="5A2A4EE3" w14:textId="77777777" w:rsidR="008417A6" w:rsidRPr="0044524F" w:rsidRDefault="0084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[АП. Особая папка. Ф. 3 Оп. 46. Д. 381. Л. 144]</w:t>
      </w:r>
    </w:p>
    <w:p w14:paraId="24214E02" w14:textId="77777777" w:rsidR="008417A6" w:rsidRPr="0044524F" w:rsidRDefault="0084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Исходя из указанных требований К.Е. Ворошилов, внес предложения о том, чтобы на ближайшие годы на массовом производстве находились следующие основные типы боевых машин: </w:t>
      </w:r>
    </w:p>
    <w:p w14:paraId="2CBA59A7" w14:textId="77777777" w:rsidR="008417A6" w:rsidRPr="0044524F" w:rsidRDefault="008417A6"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Разведывательный танк (танк Т-37). Основной танк службы боевого обеспечения всех мехсоединений и средство боевой разведки и боя пехоты. Основные требования: быстроходность, вездеходность (в том числе – плавучесть), маневренность, низкий габарит, дешевизна и массовость производства. </w:t>
      </w:r>
    </w:p>
    <w:p w14:paraId="040E149E" w14:textId="77777777" w:rsidR="008417A6" w:rsidRPr="0044524F" w:rsidRDefault="008417A6"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Общевойсковой танк (танк Т-26). Основной, органический танк общевойсковых соединений, он же танк количественного усиления ТРГК. Основные требования: маневренность на поле боя, броня, защищающая от бронебойных пуль, разнообразное вооружение (пушка, пулеметы, огнемет, химприборы), наконец, дешевизна и массовость производства. </w:t>
      </w:r>
    </w:p>
    <w:p w14:paraId="2B39A6AD" w14:textId="77777777" w:rsidR="008417A6" w:rsidRPr="0044524F" w:rsidRDefault="008417A6"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в) Оперативный танк (танк БТ, в дальнейшем типа ПТ-1). Танк самостоятельных мехсоединений. Все в этом танке подчиняется требованиям быстроходности, вездеходности (в том числе плавучести) и мощного вооружения. </w:t>
      </w:r>
    </w:p>
    <w:p w14:paraId="5DBBF3F1" w14:textId="77777777" w:rsidR="008417A6" w:rsidRPr="0044524F" w:rsidRDefault="008417A6"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г) Танк качественного усиления (ТРГК) (танк Т-28). Основные требования: сильное вооружение и броня, быстроходность, позволяющая его применять также в операции совместно с мехсоединениями. </w:t>
      </w:r>
    </w:p>
    <w:p w14:paraId="0E8A4E21" w14:textId="77777777" w:rsidR="008417A6" w:rsidRPr="0044524F" w:rsidRDefault="008417A6"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д) Мощный танк особого назначения (подходящий на сегодня танк Т-35). Танк качественного, добавочного усиления при прорыве сильно и заблаговременно укрепленных полос. Основное требование – мощное вооружение и броня, защищающая от мелкокалиберных снарядов. </w:t>
      </w:r>
    </w:p>
    <w:p w14:paraId="6AE3F8D7" w14:textId="77777777" w:rsidR="008417A6" w:rsidRPr="0044524F" w:rsidRDefault="0084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Предусмотреть возможность использования и постановки на производство во время войны имеющегося опытного образца </w:t>
      </w:r>
      <w:r w:rsidRPr="0044524F">
        <w:rPr>
          <w:rFonts w:ascii="Times New Roman" w:eastAsia="Times New Roman" w:hAnsi="Times New Roman"/>
          <w:color w:val="000000" w:themeColor="text1"/>
          <w:sz w:val="16"/>
          <w:szCs w:val="16"/>
          <w:lang w:eastAsia="ru-RU"/>
        </w:rPr>
        <w:t>[малого – Здесь и далее в цитируемом тексте в квадратных скобках даны уточнения авторов]</w:t>
      </w:r>
      <w:r w:rsidRPr="0044524F">
        <w:rPr>
          <w:rFonts w:ascii="Times New Roman" w:eastAsia="Times New Roman" w:hAnsi="Times New Roman"/>
          <w:iCs/>
          <w:color w:val="000000" w:themeColor="text1"/>
          <w:sz w:val="16"/>
          <w:szCs w:val="16"/>
          <w:lang w:eastAsia="ru-RU"/>
        </w:rPr>
        <w:t xml:space="preserve"> танка Т-34 на базе автомобильной промышленности».</w:t>
      </w:r>
    </w:p>
    <w:p w14:paraId="46CE3A6E" w14:textId="77777777" w:rsidR="008417A6" w:rsidRPr="0044524F" w:rsidRDefault="0084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[АП. Особая папка. Ф. 3. Оп. 46. Д. 381. Л. 145 – 146] (17501).</w:t>
      </w:r>
    </w:p>
    <w:p w14:paraId="70A45E35" w14:textId="77777777" w:rsidR="008417A6" w:rsidRPr="0044524F" w:rsidRDefault="008417A6" w:rsidP="009654CF">
      <w:pPr>
        <w:spacing w:after="0" w:line="240" w:lineRule="auto"/>
        <w:jc w:val="both"/>
        <w:rPr>
          <w:rFonts w:ascii="Times New Roman" w:eastAsia="Times New Roman" w:hAnsi="Times New Roman"/>
          <w:color w:val="000000" w:themeColor="text1"/>
          <w:sz w:val="16"/>
          <w:szCs w:val="16"/>
          <w:lang w:eastAsia="ru-RU"/>
        </w:rPr>
      </w:pPr>
    </w:p>
    <w:p w14:paraId="6CBF05B2" w14:textId="77777777" w:rsidR="00964726" w:rsidRPr="0044524F" w:rsidRDefault="00753E29" w:rsidP="009654CF">
      <w:pPr>
        <w:pStyle w:val="rtejustify"/>
        <w:spacing w:before="0" w:after="0"/>
        <w:rPr>
          <w:color w:val="000000" w:themeColor="text1"/>
          <w:sz w:val="16"/>
          <w:szCs w:val="16"/>
        </w:rPr>
      </w:pPr>
      <w:r w:rsidRPr="0044524F">
        <w:rPr>
          <w:rStyle w:val="af0"/>
          <w:bCs/>
          <w:i w:val="0"/>
          <w:color w:val="000000" w:themeColor="text1"/>
          <w:sz w:val="16"/>
          <w:szCs w:val="16"/>
        </w:rPr>
        <w:t>*</w:t>
      </w:r>
      <w:r w:rsidR="00964726" w:rsidRPr="0044524F">
        <w:rPr>
          <w:rStyle w:val="af0"/>
          <w:bCs/>
          <w:i w:val="0"/>
          <w:color w:val="000000" w:themeColor="text1"/>
          <w:sz w:val="16"/>
          <w:szCs w:val="16"/>
        </w:rPr>
        <w:t>15 июля</w:t>
      </w:r>
      <w:r w:rsidR="00964726" w:rsidRPr="0044524F">
        <w:rPr>
          <w:rStyle w:val="af0"/>
          <w:rFonts w:eastAsiaTheme="majorEastAsia"/>
          <w:bCs/>
          <w:i w:val="0"/>
          <w:color w:val="000000" w:themeColor="text1"/>
          <w:sz w:val="16"/>
          <w:szCs w:val="16"/>
        </w:rPr>
        <w:t xml:space="preserve"> 1933</w:t>
      </w:r>
      <w:r w:rsidR="00964726" w:rsidRPr="0044524F">
        <w:rPr>
          <w:color w:val="000000" w:themeColor="text1"/>
          <w:sz w:val="16"/>
          <w:szCs w:val="16"/>
        </w:rPr>
        <w:t>. Постановление РВСС «Об исполнительной смете НКВМ на 1933 год». (РГВА. Ф. 4. Оп. 18. Д. 23. Л. 289</w:t>
      </w:r>
      <w:r w:rsidR="00964726" w:rsidRPr="0044524F">
        <w:rPr>
          <w:color w:val="000000" w:themeColor="text1"/>
          <w:sz w:val="16"/>
          <w:szCs w:val="16"/>
        </w:rPr>
        <w:noBreakHyphen/>
        <w:t>294) (15461).</w:t>
      </w:r>
    </w:p>
    <w:p w14:paraId="774A73F9" w14:textId="77777777" w:rsidR="00964726" w:rsidRPr="0044524F" w:rsidRDefault="00964726" w:rsidP="009654CF">
      <w:pPr>
        <w:pStyle w:val="rtejustify"/>
        <w:spacing w:before="0" w:after="0"/>
        <w:rPr>
          <w:rStyle w:val="af0"/>
          <w:bCs/>
          <w:i w:val="0"/>
          <w:color w:val="000000" w:themeColor="text1"/>
          <w:sz w:val="16"/>
          <w:szCs w:val="16"/>
        </w:rPr>
      </w:pPr>
    </w:p>
    <w:p w14:paraId="7E501076"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0948C8E"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3DE11002" w14:textId="77777777" w:rsidR="00DC5A55" w:rsidRPr="0044524F" w:rsidRDefault="00DC5A55" w:rsidP="009654CF">
      <w:pPr>
        <w:pStyle w:val="rtejustify"/>
        <w:shd w:val="clear" w:color="auto" w:fill="FFFFFF"/>
        <w:spacing w:before="0" w:after="0"/>
        <w:rPr>
          <w:color w:val="000000" w:themeColor="text1"/>
          <w:sz w:val="16"/>
          <w:szCs w:val="16"/>
        </w:rPr>
      </w:pPr>
      <w:r w:rsidRPr="0044524F">
        <w:rPr>
          <w:color w:val="000000" w:themeColor="text1"/>
          <w:sz w:val="16"/>
          <w:szCs w:val="16"/>
        </w:rPr>
        <w:t>15 июля 1933 по договоренности с Нортропом машину приняли на испытания на авиабазу Райтфилд, где располагался центр Управления материальной части Авиационного корпуса армии США. Военные одобрительно отнеслись к новому штурмовику, по летным данным существенно превосходившему состоявший на вооружении самолет «Шрайк», однако не купили его и высказали ряд замечаний. Китайцы оказались менее привередливы. Они заказали 24 самолета модели 2Е, являвшейся практически копией 2С с небольшими изменениями. Основным внешним отличием была полуубирающаяся «ванна» для стрелка-радиста, выполнявшего также функции бомбардира. Она обеспечивала ему обзор вниз-вперед при прицеливании. В Китай поставлялись варианты 2Е, 2ЕС и 2ED. Один экземпляр последнего был закуплен в США при посредничестве «Амторга» советской делегацией, возглавлявшейся А. Н. Туполевым, в 1935 году. В ноябре того же года его отправили в СССР. В нашу страну «нортроп» доставили в начале 1936 года (19168).</w:t>
      </w:r>
    </w:p>
    <w:p w14:paraId="7E2FF031" w14:textId="77777777" w:rsidR="00DC5A55" w:rsidRPr="0044524F" w:rsidRDefault="00DC5A55" w:rsidP="009654CF">
      <w:pPr>
        <w:pStyle w:val="rtecenter"/>
        <w:shd w:val="clear" w:color="auto" w:fill="FFFFFF"/>
        <w:spacing w:before="0" w:after="0"/>
        <w:jc w:val="both"/>
        <w:textAlignment w:val="baseline"/>
        <w:rPr>
          <w:color w:val="000000" w:themeColor="text1"/>
          <w:sz w:val="16"/>
          <w:szCs w:val="16"/>
        </w:rPr>
      </w:pPr>
    </w:p>
    <w:p w14:paraId="101E955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литовцы С.Дарюс и С.Гиренас на Беланке Литуаника вылетели из Нью Йорка в Каунас. 16 были над Германией, где встретили грозу и хотели ее обойти. Ночью в поисках места для посадки пролетели над концлагерем и были обстреляны немцами. При посадке в районе Солдинского леса разбили самолет и погибли. сумели преодолеть 6500 км (438,650).</w:t>
      </w:r>
    </w:p>
    <w:p w14:paraId="00540918"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561E36E8" w14:textId="77777777" w:rsidR="000914FB" w:rsidRPr="0044524F" w:rsidRDefault="000914F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г. Литовские летчики Степонас Дарюс и Стасис Гиренас на одноомоторном самолете "Литуаника" вылетели из Нью-Йорка через Атдантический океан в Литву /Ковно/. 16-го они были близ Германии, где встретили грозу, и репили ее обойти, Ночью, в поисках ближайшего аэродрома они пролетели над концлагерем и были обстреляны немцами. При посадке в районе Солдинского леса /Вост. Пруссия/ летчики разбили самолет и сами погибли. Самолет был куплен в США на личные средства летчиков и назван именем своей страны. Он не был подготовлен к Трансатлантическому перелету, что и явилось основной причиной гибели летчиков.</w:t>
      </w:r>
    </w:p>
    <w:p w14:paraId="602D5033" w14:textId="77777777" w:rsidR="000914FB" w:rsidRPr="0044524F" w:rsidRDefault="000914F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материалам Каунасского исторического музея/ (23370).</w:t>
      </w:r>
    </w:p>
    <w:p w14:paraId="456AA046" w14:textId="77777777" w:rsidR="000914FB" w:rsidRPr="0044524F" w:rsidRDefault="000914FB" w:rsidP="009654CF">
      <w:pPr>
        <w:spacing w:after="0" w:line="240" w:lineRule="auto"/>
        <w:jc w:val="both"/>
        <w:rPr>
          <w:rFonts w:ascii="Times New Roman" w:hAnsi="Times New Roman"/>
          <w:color w:val="000000" w:themeColor="text1"/>
          <w:sz w:val="16"/>
          <w:szCs w:val="16"/>
        </w:rPr>
      </w:pPr>
    </w:p>
    <w:p w14:paraId="32ED931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литовцы С.Дарюс и С.Гиренас благополучно перелетели океан, затем преодолели большую часть Европы. Летели из Нью- Йорка по направлению в Ковно (Каунас). В случае успеха они должны были преодолеть на аппарате с именем "Lituanika" (высокоплан Белланка J-6) 7188 км без посадки, что соответствовало национальному рекорду дальности полета. Кроме того, что данный перелет являлся серьезной заявкой на мировой рекорд, литовцы везли почту от соотечественников, проживающих в Америке. В ночь на 17 июля, не долетая 500-600 км до Ковно, "Lituanika" разбилась в лесной местности округа Сольдин в восточной части Германии. Причинами катастрофы назывались недостаток топлива, плохие метеоусловия, а также обстрел с земли неустановленными лицами (11941).</w:t>
      </w:r>
    </w:p>
    <w:p w14:paraId="5F2FD99A"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49BBDCC9" w14:textId="77777777" w:rsidR="00964726" w:rsidRPr="0044524F" w:rsidRDefault="00964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15 июля в 1933 году маленький одномоторный самолет "Литуаника", управляемый литовскими летчиками Стяпанасом Дарюсом и Стасисом Гиренасом, поднялся с территории США и взял направление на литовскую столицу Каунас. Героический полет продолжался 37 часов (14953).</w:t>
      </w:r>
    </w:p>
    <w:p w14:paraId="4711DDD1" w14:textId="77777777" w:rsidR="00964726" w:rsidRPr="0044524F" w:rsidRDefault="00964726" w:rsidP="009654CF">
      <w:pPr>
        <w:spacing w:after="0" w:line="240" w:lineRule="auto"/>
        <w:jc w:val="both"/>
        <w:rPr>
          <w:rFonts w:ascii="Times New Roman" w:hAnsi="Times New Roman"/>
          <w:color w:val="000000" w:themeColor="text1"/>
          <w:sz w:val="16"/>
          <w:szCs w:val="16"/>
        </w:rPr>
      </w:pPr>
    </w:p>
    <w:p w14:paraId="6A9B171D"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15–17 июля 1933 литовско-американские пилоты Степонас Дариус и Стасис Гиренас совершают беспосадочный перелет на 6411 километров (4043 мили) на Bellanca CH-300 Pacemaker Lituanica в попытке беспосадочного перелета из Нью-Йорка в Каунас, Литва , но погибают в результате крушения Lituanica в 650 км (404 мили) до Каунаса в Кухдамме , Германия, 17 июля после 37 часов 11 минут полета (20802).</w:t>
      </w:r>
    </w:p>
    <w:p w14:paraId="5AD2A832" w14:textId="77777777" w:rsidR="00040C95" w:rsidRPr="0044524F" w:rsidRDefault="00040C95" w:rsidP="009654CF">
      <w:pPr>
        <w:spacing w:after="0" w:line="240" w:lineRule="auto"/>
        <w:jc w:val="both"/>
        <w:rPr>
          <w:rFonts w:ascii="Times New Roman" w:hAnsi="Times New Roman"/>
          <w:color w:val="000000" w:themeColor="text1"/>
          <w:sz w:val="16"/>
          <w:szCs w:val="16"/>
        </w:rPr>
      </w:pPr>
    </w:p>
    <w:p w14:paraId="137769C1" w14:textId="77777777" w:rsidR="00964726" w:rsidRPr="0044524F" w:rsidRDefault="00964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в 1933 году начинается первый одиночный полет на самолете вокруг Земного шара. В этот день с летного поля «Флойд Беннет Филд», Нью-Йорк, взлетает самолет компании "Локхид Вега". На борту только один человек - 35-летний американский пилот Вайли Хардеманн Пост (Wiley Post). Его задача - приземлиться на том же поле, но только после кругосветного путешествия. И ему это удастся! Через неделю, 22 июля, он благополучно посадит свой самолет на том же поле - и станет героем дня. Вайли сделает 10 посадок, пролетев 25 099 км за 115 часов 36 минут. Средняя скорость - 162 км в час. В наше время этот полет не сочли бы кругосветным - он проходил на слишком высоких широтах. Международная авиационная федерация (ФАИ) регистрирует, как кругосветные, полеты только на расстояние не менее 36 788 км - то есть превышающие длину Северного и Южного тропика (14953).</w:t>
      </w:r>
    </w:p>
    <w:p w14:paraId="6720C7E2" w14:textId="77777777" w:rsidR="00964726" w:rsidRPr="0044524F" w:rsidRDefault="00964726" w:rsidP="009654CF">
      <w:pPr>
        <w:spacing w:after="0" w:line="240" w:lineRule="auto"/>
        <w:jc w:val="both"/>
        <w:rPr>
          <w:rFonts w:ascii="Times New Roman" w:hAnsi="Times New Roman"/>
          <w:color w:val="000000" w:themeColor="text1"/>
          <w:sz w:val="16"/>
          <w:szCs w:val="16"/>
        </w:rPr>
      </w:pPr>
    </w:p>
    <w:p w14:paraId="6FA120D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15-22 июля 1933 американец W.Post на Винни Мей Локхид совершил первый одиночный кругосветный перелет с пассажирами (237,167).</w:t>
      </w:r>
    </w:p>
    <w:p w14:paraId="137595A0"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20F9D38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Вылетев 15 июля из Нью-Йорка, Вилли Пост успешно преодолел весь маршрут, пересек территорию Советского Союза и вернулся к отправной точке своего полета через 7 суток, 18 часов, 50 минут (11941).</w:t>
      </w:r>
    </w:p>
    <w:p w14:paraId="2B357315"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1A58485B"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15–17 июля 1933 - Первый кругосветный перелёт в одиночку, с посадками, совершил 15-22 июля 1933 года Вилли Пост на самолёте Локхид Вега 5, названном «Винни Мэй» в честь дочери спонсора, оплатившего перелет. Полет длился 7 дней и 19 часов (22429).</w:t>
      </w:r>
    </w:p>
    <w:p w14:paraId="47DC886D" w14:textId="77777777" w:rsidR="00040C95" w:rsidRPr="0044524F" w:rsidRDefault="00040C95" w:rsidP="009654CF">
      <w:pPr>
        <w:spacing w:after="0" w:line="240" w:lineRule="auto"/>
        <w:jc w:val="both"/>
        <w:rPr>
          <w:rFonts w:ascii="Times New Roman" w:hAnsi="Times New Roman"/>
          <w:color w:val="000000" w:themeColor="text1"/>
          <w:sz w:val="16"/>
          <w:szCs w:val="16"/>
        </w:rPr>
      </w:pPr>
    </w:p>
    <w:p w14:paraId="3C8CC292"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в Германии принят закон о принудительном картелировании промышленности (4962).</w:t>
      </w:r>
    </w:p>
    <w:p w14:paraId="7F1141FD"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p>
    <w:p w14:paraId="541D76C7" w14:textId="77777777" w:rsidR="00964726" w:rsidRPr="0044524F" w:rsidRDefault="00964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в 1933 году в Гитлеровской Германии издаются законы о картелях, а также о принудительной картелизации, направленные на дальнейшую милитаризацию экономики и концентрацию экономической мощности в руках крупных монополий. Вскоре будет образован Генеральный совет германской экономики, по существу, фактическое "хозяйственное правительство", членами которого станут представители крупнейших промышленных монополий страны (14953).</w:t>
      </w:r>
    </w:p>
    <w:p w14:paraId="0962917B" w14:textId="77777777" w:rsidR="00964726" w:rsidRPr="0044524F" w:rsidRDefault="00964726" w:rsidP="009654CF">
      <w:pPr>
        <w:spacing w:after="0" w:line="240" w:lineRule="auto"/>
        <w:jc w:val="both"/>
        <w:rPr>
          <w:rFonts w:ascii="Times New Roman" w:hAnsi="Times New Roman"/>
          <w:color w:val="000000" w:themeColor="text1"/>
          <w:sz w:val="16"/>
          <w:szCs w:val="16"/>
        </w:rPr>
      </w:pPr>
    </w:p>
    <w:p w14:paraId="2573BF5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по предложению Б.Муссолини Италия, Германия, Франция и Великобритания подписали пакт четырех, в котором обязались по всем вопросам действовать сообща (3186).</w:t>
      </w:r>
    </w:p>
    <w:p w14:paraId="6480A4DA"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36413223" w14:textId="77777777" w:rsidR="00964726" w:rsidRPr="0044524F" w:rsidRDefault="009647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в 1933 году по предложению Бенито Муссолини Италия, Германия, Франция и Англия подписывают "Пакт согласия и сотрудничества четырех держав", в котором обязуются действовать сообща во всех вопросах, затрагивающих общие интересы. Однако "пакт четырех" ратифицирован не будет: в парламентах Англии и Франции он натолкнется на ожесточенное сопротивление (14953).</w:t>
      </w:r>
    </w:p>
    <w:p w14:paraId="7E2D349D" w14:textId="77777777" w:rsidR="00964726" w:rsidRPr="0044524F" w:rsidRDefault="00964726" w:rsidP="009654CF">
      <w:pPr>
        <w:spacing w:after="0" w:line="240" w:lineRule="auto"/>
        <w:jc w:val="both"/>
        <w:rPr>
          <w:rFonts w:ascii="Times New Roman" w:hAnsi="Times New Roman"/>
          <w:color w:val="000000" w:themeColor="text1"/>
          <w:sz w:val="16"/>
          <w:szCs w:val="16"/>
        </w:rPr>
      </w:pPr>
    </w:p>
    <w:p w14:paraId="27486B50" w14:textId="77777777" w:rsidR="00DC5A55" w:rsidRPr="0044524F" w:rsidRDefault="00DC5A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 г. Франция, Англия, Италия и Германия в обход Женевской конференции по разоружению подписали в Риме «пакт четырех», предусматривавший сотрудничество между его участниками, пересмотр Версальского договора, постепенное достижение Германией равенства в вооружениях. Однако «пакт четырех» не был ратифицирован подписавшими его державами. На конференции в Женеве в сентябре 1933 г. Германия потребовала незамедлительного признания принципа равноправия в вооружениях и согласия держав на увеличение численности райхсвера в 3 р. (до 300 тыс.) (18265).</w:t>
      </w:r>
    </w:p>
    <w:p w14:paraId="2049B4B4" w14:textId="77777777" w:rsidR="00DC5A55" w:rsidRPr="0044524F" w:rsidRDefault="00DC5A55" w:rsidP="009654CF">
      <w:pPr>
        <w:spacing w:after="0" w:line="240" w:lineRule="auto"/>
        <w:jc w:val="both"/>
        <w:rPr>
          <w:rFonts w:ascii="Times New Roman" w:hAnsi="Times New Roman"/>
          <w:color w:val="000000" w:themeColor="text1"/>
          <w:sz w:val="16"/>
          <w:szCs w:val="16"/>
        </w:rPr>
      </w:pPr>
    </w:p>
    <w:p w14:paraId="46A632A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июля 1933г. Франция, Англия, Италия и Германия в обход Женевской конференции по разоружению подписали в Риме «пакт четырех», предусматривавший сотрудничество между его участниками, пересмотр Версальского договора, постепенное достижение Германией равенства в вооружениях. Однако «пакт четырех» не был ратифицирован подписавшими его державами. На конференции в Женеве в сентябре 1933 г. Германия потребовала незамедлительного признания принципа равноправия в вооружениях и согласия держав на увеличение численности райхсвера в 3 р. (до 300 тыс. ). Именно в это время, по сообщению источника НКВД из Берлина от 4 сентября 1933 г., решался вопрос о будущем отношений Германии с СССР: «Что касается отношений с СССР, то решающим в этом вопросе будет позиция, которую займет Советский Союз на конференции по разоружению. Опубликование многими газетами (начиная со статей в русских газетах) сведений относительно сотрудничества с Россией в прошлые годы подействовало ошеломляюще и прежняя точка зрения министерства рейхсвера и министерства иностранных дел поколеблена. Можно уже теперь сказать, что на конференции по разоружению Германия будет начисто отрицать военное сотрудничество с СССР, если возникнут разговоры об этом сотрудничестве» (РГВА, ф. 33987, оп. 3, д. 504, л. 153.) (11784). На Женевской конференции требование Германии о незамедлительном признании равноправия в вооружениях было отвергнуто. Реакция стран, подписавших с Германией римский «пакт четырех», была следующей: Италия поддержала Германию, Англия и Франция выступили против, блокировав тем самым ревизию военных положений Версальского договора. Это, кстати сказать, стало в тот момент одной из целей советской внешней политики. США заняли нейтральную позицию. В ответ Германия, указав на бесплодность работы конференции, 14 октября 1933 г. отозвала своего делегата с Женевской конференции, а спустя пять дней — 19 октября вышла из Лиги Наций. Москва же, сделавшая к тому времени выбор не в пользу нацистской Германии, инициировала подписание в Лондоне в ходе международной экономической конференции Соглашения об определении агрессора с соседними государствами, которое было направлено против Германии. Сталин и его окружение, поняв, что в лице правительства Гитлера они столкнулись со столь же целеустремленными, циничными и беспардонными политиками, как и они сами, всеми силами стремились загнать Германию в политическую изоляцию. Частично это им удалось. Однако опасения Запада относительно политики правительства «национальной концентрации» Гитлера были куда меньшими, нежели почти неприкрытый страх перед возможностью большевизации всего мира. В Берлине это понимали. Поэтому, выбрав курс на достижение двусторонних соглашений и взяв на себя роль «защитного вала» против большевизма (Meinecke Friedrich. Die deutsche Katastrophe. Betrachtungen und Erinnerungen. Wiesbaden 1949. S. 115.), Гитлер умело решал внешнеполитические головоломки последующего периода. Здесь были и резкое политическое противостояние Москвы и Берлина и попытки советско-германского сближения, вплоть до восстановления прежних военных связей, однако с «рапалльской политикой» было покончено (11784).</w:t>
      </w:r>
    </w:p>
    <w:p w14:paraId="70F24BFE"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1A5A3DDF"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3044B63"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4CEFA435" w14:textId="77777777" w:rsidR="00481FC0" w:rsidRPr="00142305" w:rsidRDefault="00481FC0" w:rsidP="00481F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июля 1933 г. в соответствии с принятыми правилами НИИ ВВС подготовило ТТТ для военной модификации Сталь-МАИ. Такой вариант разрабатывался и был утвержден 15 октября 1933 г. Главным конструктором Григоровичем и инженером П.М.Крейсоном (являлся начальником бригады №6 ЦКБ, которая осуществляла весовые расчеты, взвешивание, статические испытания) (25198).</w:t>
      </w:r>
    </w:p>
    <w:p w14:paraId="207B6444" w14:textId="77777777" w:rsidR="00481FC0" w:rsidRPr="00142305" w:rsidRDefault="00481FC0" w:rsidP="00481FC0">
      <w:pPr>
        <w:spacing w:after="0" w:line="240" w:lineRule="auto"/>
        <w:jc w:val="both"/>
        <w:rPr>
          <w:rFonts w:ascii="Times New Roman" w:hAnsi="Times New Roman"/>
          <w:color w:val="0070C0"/>
          <w:sz w:val="16"/>
          <w:szCs w:val="16"/>
        </w:rPr>
      </w:pPr>
    </w:p>
    <w:p w14:paraId="26CCD15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июля 1933 года c письмом N 00771сс. был направлен Протокол N 1 испытания самолета "З-1" (ТБ1; 2И4) измененной конструкции 5.07.33 г.</w:t>
      </w:r>
    </w:p>
    <w:p w14:paraId="1A88795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Испытывался в полете самолет "З-1", составленный из самолетов ТБ1 N 678, И4 N 1533 на левом крыле и И4 N 1583 на правом.</w:t>
      </w:r>
    </w:p>
    <w:p w14:paraId="00A3939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E61B5F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"З-1" с вышеуказанными переделками вполне годен к эксплуатации в строевых частях ВВС. (3060,1).</w:t>
      </w:r>
    </w:p>
    <w:p w14:paraId="258D86DE"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417BA6F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июля 1933 года c письмом N 00772сс. был направлен Протокол N 2 по испытаниям самолета "З-1" (ТБ1; 2И4) первой опытной серии 7.07.33 г.</w:t>
      </w:r>
    </w:p>
    <w:p w14:paraId="3FC1F9C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Испытывался в полете самолет "З-1", составленный из самолетов ТБ1 N 1650, И4 N 1576 на левом крыле и И4 N 1544 на правом.</w:t>
      </w:r>
    </w:p>
    <w:p w14:paraId="0F995DB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09ACA4A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пригоден к эксплуатации в частях ВВС. (3060,2).</w:t>
      </w:r>
    </w:p>
    <w:p w14:paraId="3F34469F"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538619F4"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июля 1933 года письмо № 1074/ко в СНК Любченко</w:t>
      </w:r>
    </w:p>
    <w:p w14:paraId="5A9E777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 4293сс от 8 мая 1933 года</w:t>
      </w:r>
    </w:p>
    <w:p w14:paraId="0C59D13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указанию Куйбышева В. сообщаю, что ГУАП НКТП взято на себя финансирование дизеля Н-4 и при пересмотре титула работ увеличены ассигнования по ХАИ до 1600 тысяч рублей, что удовлетворяет потребность Института в текущем году. Проверкой изготовления литья на заводе № 26 для авиадизеля, проектируемого Украинским научно-исследовательским дизельным институтом установлено, что изготовление его производится в сроки согласованные с представителями Института (3530,131).</w:t>
      </w:r>
    </w:p>
    <w:p w14:paraId="6CBB3125"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64594B4E" w14:textId="77777777" w:rsidR="00DC5A55" w:rsidRPr="0044524F" w:rsidRDefault="00DC5A55" w:rsidP="009654CF">
      <w:pPr>
        <w:pStyle w:val="book"/>
        <w:shd w:val="clear" w:color="auto" w:fill="FFFFFF"/>
        <w:spacing w:before="0" w:beforeAutospacing="0" w:after="0" w:afterAutospacing="0"/>
        <w:jc w:val="both"/>
        <w:rPr>
          <w:color w:val="000000" w:themeColor="text1"/>
          <w:sz w:val="16"/>
          <w:szCs w:val="16"/>
        </w:rPr>
      </w:pPr>
      <w:r w:rsidRPr="0044524F">
        <w:rPr>
          <w:color w:val="000000" w:themeColor="text1"/>
          <w:sz w:val="16"/>
          <w:szCs w:val="16"/>
        </w:rPr>
        <w:lastRenderedPageBreak/>
        <w:t>16 июля 1933 г. в соответствии с принятыми правилами НИИ ВВС подготовило ТТТ для военной модификации Сталь-МАИ-2. Такой вариант разрабатывался и был утвержден 15 октября 1933 г. Главным конструктором Григоровичем и инженером П.М. Крейсоном (являлся начальником бригады №6 ЦКБ, которая осуществляла весовые расчеты, взвешивание и статические испытания) (19595).</w:t>
      </w:r>
    </w:p>
    <w:p w14:paraId="50AADAB5" w14:textId="77777777" w:rsidR="00DC5A55" w:rsidRPr="0044524F" w:rsidRDefault="00DC5A55" w:rsidP="009654CF">
      <w:pPr>
        <w:spacing w:after="0" w:line="240" w:lineRule="auto"/>
        <w:jc w:val="both"/>
        <w:rPr>
          <w:rFonts w:ascii="Times New Roman" w:hAnsi="Times New Roman"/>
          <w:color w:val="000000" w:themeColor="text1"/>
          <w:sz w:val="16"/>
          <w:szCs w:val="16"/>
        </w:rPr>
      </w:pPr>
    </w:p>
    <w:p w14:paraId="459536C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июля 1933 г. НИИ ВВС подготовило ИТ для военной модификации РД-МАИ. Такой вариант разрабатывался и был утвержден 15 октября 1933 г. Главным конструктором Григоровичем и инженером П.М.Крейсоном (являлся начальником бригады №6 ЦКБ, которая осуществляла весовые расчеты, взвешивание, статические испытания).</w:t>
      </w:r>
    </w:p>
    <w:p w14:paraId="086284A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4E10C1" w:rsidRPr="0044524F" w14:paraId="4E4467C5" w14:textId="77777777">
        <w:tc>
          <w:tcPr>
            <w:tcW w:w="5156" w:type="dxa"/>
            <w:tcBorders>
              <w:top w:val="single" w:sz="12" w:space="0" w:color="auto"/>
            </w:tcBorders>
          </w:tcPr>
          <w:p w14:paraId="4686A0E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(м)</w:t>
            </w:r>
          </w:p>
        </w:tc>
        <w:tc>
          <w:tcPr>
            <w:tcW w:w="5156" w:type="dxa"/>
            <w:tcBorders>
              <w:top w:val="single" w:sz="12" w:space="0" w:color="auto"/>
            </w:tcBorders>
          </w:tcPr>
          <w:p w14:paraId="35D883C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r>
      <w:tr w:rsidR="004E10C1" w:rsidRPr="0044524F" w14:paraId="6BC04E6A" w14:textId="77777777">
        <w:tc>
          <w:tcPr>
            <w:tcW w:w="5156" w:type="dxa"/>
          </w:tcPr>
          <w:p w14:paraId="314DE1C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(м2)</w:t>
            </w:r>
          </w:p>
        </w:tc>
        <w:tc>
          <w:tcPr>
            <w:tcW w:w="5156" w:type="dxa"/>
          </w:tcPr>
          <w:p w14:paraId="13DBA11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40,5</w:t>
            </w:r>
          </w:p>
        </w:tc>
      </w:tr>
      <w:tr w:rsidR="004E10C1" w:rsidRPr="0044524F" w14:paraId="5A564218" w14:textId="77777777">
        <w:tc>
          <w:tcPr>
            <w:tcW w:w="5156" w:type="dxa"/>
          </w:tcPr>
          <w:p w14:paraId="4B8D2EE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самолета (м)</w:t>
            </w:r>
          </w:p>
        </w:tc>
        <w:tc>
          <w:tcPr>
            <w:tcW w:w="5156" w:type="dxa"/>
          </w:tcPr>
          <w:p w14:paraId="024CE0B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w:t>
            </w:r>
          </w:p>
        </w:tc>
      </w:tr>
      <w:tr w:rsidR="004E10C1" w:rsidRPr="0044524F" w14:paraId="3D91590D" w14:textId="77777777">
        <w:tc>
          <w:tcPr>
            <w:tcW w:w="5156" w:type="dxa"/>
          </w:tcPr>
          <w:p w14:paraId="3A327C9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 линии полета (м)</w:t>
            </w:r>
          </w:p>
        </w:tc>
        <w:tc>
          <w:tcPr>
            <w:tcW w:w="5156" w:type="dxa"/>
          </w:tcPr>
          <w:p w14:paraId="3DE2B6F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4,03</w:t>
            </w:r>
          </w:p>
        </w:tc>
      </w:tr>
      <w:tr w:rsidR="004E10C1" w:rsidRPr="0044524F" w14:paraId="5653ADA6" w14:textId="77777777">
        <w:tc>
          <w:tcPr>
            <w:tcW w:w="5156" w:type="dxa"/>
          </w:tcPr>
          <w:p w14:paraId="0C121A3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(кг)</w:t>
            </w:r>
          </w:p>
        </w:tc>
        <w:tc>
          <w:tcPr>
            <w:tcW w:w="5156" w:type="dxa"/>
          </w:tcPr>
          <w:p w14:paraId="2D84AFA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2410</w:t>
            </w:r>
          </w:p>
        </w:tc>
      </w:tr>
      <w:tr w:rsidR="004E10C1" w:rsidRPr="0044524F" w14:paraId="03852A7D" w14:textId="77777777">
        <w:tc>
          <w:tcPr>
            <w:tcW w:w="5156" w:type="dxa"/>
          </w:tcPr>
          <w:p w14:paraId="6339AF8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(кг)</w:t>
            </w:r>
          </w:p>
        </w:tc>
        <w:tc>
          <w:tcPr>
            <w:tcW w:w="5156" w:type="dxa"/>
          </w:tcPr>
          <w:p w14:paraId="3710331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3850-4600</w:t>
            </w:r>
          </w:p>
        </w:tc>
      </w:tr>
      <w:tr w:rsidR="004E10C1" w:rsidRPr="0044524F" w14:paraId="194367CD" w14:textId="77777777">
        <w:tc>
          <w:tcPr>
            <w:tcW w:w="5156" w:type="dxa"/>
          </w:tcPr>
          <w:p w14:paraId="26BBC02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Горючее (кг)</w:t>
            </w:r>
          </w:p>
        </w:tc>
        <w:tc>
          <w:tcPr>
            <w:tcW w:w="5156" w:type="dxa"/>
          </w:tcPr>
          <w:p w14:paraId="0BC82BC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1000-1800</w:t>
            </w:r>
          </w:p>
        </w:tc>
      </w:tr>
      <w:tr w:rsidR="004E10C1" w:rsidRPr="0044524F" w14:paraId="1DCCBC13" w14:textId="77777777">
        <w:tc>
          <w:tcPr>
            <w:tcW w:w="5156" w:type="dxa"/>
          </w:tcPr>
          <w:p w14:paraId="49F1F16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(км/ч) ....</w:t>
            </w:r>
          </w:p>
        </w:tc>
        <w:tc>
          <w:tcPr>
            <w:tcW w:w="5156" w:type="dxa"/>
          </w:tcPr>
          <w:p w14:paraId="61C6AC4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330-350</w:t>
            </w:r>
          </w:p>
        </w:tc>
      </w:tr>
      <w:tr w:rsidR="004E10C1" w:rsidRPr="0044524F" w14:paraId="0D46A9F2" w14:textId="77777777">
        <w:tc>
          <w:tcPr>
            <w:tcW w:w="5156" w:type="dxa"/>
          </w:tcPr>
          <w:p w14:paraId="5257DDE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Крейсерская скорость (км/ч)</w:t>
            </w:r>
          </w:p>
        </w:tc>
        <w:tc>
          <w:tcPr>
            <w:tcW w:w="5156" w:type="dxa"/>
          </w:tcPr>
          <w:p w14:paraId="0FE9895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290-300</w:t>
            </w:r>
          </w:p>
        </w:tc>
      </w:tr>
      <w:tr w:rsidR="004E10C1" w:rsidRPr="0044524F" w14:paraId="3C13D9F5" w14:textId="77777777">
        <w:tc>
          <w:tcPr>
            <w:tcW w:w="5156" w:type="dxa"/>
          </w:tcPr>
          <w:p w14:paraId="6AF26C7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Потолок(м) </w:t>
            </w:r>
          </w:p>
        </w:tc>
        <w:tc>
          <w:tcPr>
            <w:tcW w:w="5156" w:type="dxa"/>
          </w:tcPr>
          <w:p w14:paraId="71393E3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6000</w:t>
            </w:r>
          </w:p>
        </w:tc>
      </w:tr>
      <w:tr w:rsidR="004E10C1" w:rsidRPr="0044524F" w14:paraId="4B01D890" w14:textId="77777777">
        <w:tc>
          <w:tcPr>
            <w:tcW w:w="5156" w:type="dxa"/>
            <w:tcBorders>
              <w:bottom w:val="single" w:sz="12" w:space="0" w:color="auto"/>
            </w:tcBorders>
          </w:tcPr>
          <w:p w14:paraId="609D651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113C227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3250-6000</w:t>
            </w:r>
          </w:p>
        </w:tc>
      </w:tr>
    </w:tbl>
    <w:p w14:paraId="20DDD6C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7985F25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Постепенно Д.П.Григорович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П.Д.Грушину. В 1933 г. в институте окончательно оформилось конструкторское бюро, которое получило официальное наименование 0КБ-1 и в дальнейшем функционировало как полноценное КБ с главным конструктором Грушиным во главе (11941).</w:t>
      </w:r>
    </w:p>
    <w:p w14:paraId="22AF40E9"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3859F8CC" w14:textId="77777777" w:rsidR="006D155E" w:rsidRPr="0044524F" w:rsidRDefault="006D155E" w:rsidP="009654CF">
      <w:pPr>
        <w:pStyle w:val="a3"/>
        <w:rPr>
          <w:color w:val="000000" w:themeColor="text1"/>
          <w:lang w:val="ru-RU"/>
        </w:rPr>
      </w:pPr>
      <w:r w:rsidRPr="0044524F">
        <w:rPr>
          <w:color w:val="000000" w:themeColor="text1"/>
          <w:lang w:val="ru-RU"/>
        </w:rPr>
        <w:t>16 июля 1933 г. в соответствии с принятыми прави</w:t>
      </w:r>
      <w:r w:rsidRPr="0044524F">
        <w:rPr>
          <w:color w:val="000000" w:themeColor="text1"/>
          <w:lang w:val="ru-RU"/>
        </w:rPr>
        <w:softHyphen/>
        <w:t>лами НИИ ВВС подго</w:t>
      </w:r>
      <w:r w:rsidRPr="0044524F">
        <w:rPr>
          <w:color w:val="000000" w:themeColor="text1"/>
          <w:lang w:val="ru-RU"/>
        </w:rPr>
        <w:softHyphen/>
        <w:t>товило ТТТ для военной модификации. Такой вариант разрабатывался и был утвержден 15 октября 1933 г. Главным конструктором Григоровичем и инжене</w:t>
      </w:r>
      <w:r w:rsidRPr="0044524F">
        <w:rPr>
          <w:color w:val="000000" w:themeColor="text1"/>
          <w:lang w:val="ru-RU"/>
        </w:rPr>
        <w:softHyphen/>
        <w:t>ром П.М. Крейсоном (являлся начальни</w:t>
      </w:r>
      <w:r w:rsidRPr="0044524F">
        <w:rPr>
          <w:color w:val="000000" w:themeColor="text1"/>
          <w:lang w:val="ru-RU"/>
        </w:rPr>
        <w:softHyphen/>
        <w:t xml:space="preserve">ком бригады </w:t>
      </w:r>
      <w:r w:rsidRPr="0044524F">
        <w:rPr>
          <w:color w:val="000000" w:themeColor="text1"/>
        </w:rPr>
        <w:t>N</w:t>
      </w:r>
      <w:r w:rsidRPr="0044524F">
        <w:rPr>
          <w:color w:val="000000" w:themeColor="text1"/>
          <w:lang w:val="ru-RU"/>
        </w:rPr>
        <w:t>96 ЦКБ, которая осущест</w:t>
      </w:r>
      <w:r w:rsidRPr="0044524F">
        <w:rPr>
          <w:color w:val="000000" w:themeColor="text1"/>
          <w:lang w:val="ru-RU"/>
        </w:rPr>
        <w:softHyphen/>
        <w:t>вляла весовые расчеты, взвешивание и статические испытания).</w:t>
      </w:r>
    </w:p>
    <w:p w14:paraId="6EAA6EE4" w14:textId="77777777" w:rsidR="006D155E" w:rsidRPr="0044524F" w:rsidRDefault="006D155E" w:rsidP="009654CF">
      <w:pPr>
        <w:pStyle w:val="a3"/>
        <w:rPr>
          <w:color w:val="000000" w:themeColor="text1"/>
          <w:lang w:val="ru-RU"/>
        </w:rPr>
      </w:pPr>
      <w:r w:rsidRPr="0044524F">
        <w:rPr>
          <w:color w:val="000000" w:themeColor="text1"/>
          <w:lang w:val="ru-RU"/>
        </w:rPr>
        <w:t>Постепенно, уже в процессе строи</w:t>
      </w:r>
      <w:r w:rsidRPr="0044524F">
        <w:rPr>
          <w:color w:val="000000" w:themeColor="text1"/>
          <w:lang w:val="ru-RU"/>
        </w:rPr>
        <w:softHyphen/>
        <w:t>тельства дальнего самолета, Григоро</w:t>
      </w:r>
      <w:r w:rsidRPr="0044524F">
        <w:rPr>
          <w:color w:val="000000" w:themeColor="text1"/>
          <w:lang w:val="ru-RU"/>
        </w:rPr>
        <w:softHyphen/>
        <w:t>вич переключился на другие работы, в частности на создание истребителей с динамо-реактивными пушками, поэто</w:t>
      </w:r>
      <w:r w:rsidRPr="0044524F">
        <w:rPr>
          <w:color w:val="000000" w:themeColor="text1"/>
          <w:lang w:val="ru-RU"/>
        </w:rPr>
        <w:softHyphen/>
        <w:t>му техническое руководство при соз</w:t>
      </w:r>
      <w:r w:rsidRPr="0044524F">
        <w:rPr>
          <w:color w:val="000000" w:themeColor="text1"/>
          <w:lang w:val="ru-RU"/>
        </w:rPr>
        <w:softHyphen/>
        <w:t>дании РД-МАИ спустя некоторое время перешло к П.Д. Грушину. В 1933 г. в институте окончательно оформилось конструкторское бюро, которое получи</w:t>
      </w:r>
      <w:r w:rsidRPr="0044524F">
        <w:rPr>
          <w:color w:val="000000" w:themeColor="text1"/>
          <w:lang w:val="ru-RU"/>
        </w:rPr>
        <w:softHyphen/>
        <w:t>ло официальное наименование ОКБ-1 и в дальнейшем функционировало как полноценное проектное подразделение с главным конструктором Грушиным во главе.</w:t>
      </w:r>
    </w:p>
    <w:p w14:paraId="1B6D174B" w14:textId="77777777" w:rsidR="006D155E" w:rsidRPr="0044524F" w:rsidRDefault="006D155E" w:rsidP="009654CF">
      <w:pPr>
        <w:pStyle w:val="a3"/>
        <w:rPr>
          <w:color w:val="000000" w:themeColor="text1"/>
          <w:lang w:val="ru-RU"/>
        </w:rPr>
      </w:pPr>
      <w:r w:rsidRPr="0044524F">
        <w:rPr>
          <w:rStyle w:val="380"/>
          <w:rFonts w:ascii="Times New Roman" w:hAnsi="Times New Roman" w:cs="Times New Roman"/>
          <w:b w:val="0"/>
          <w:color w:val="000000" w:themeColor="text1"/>
          <w:sz w:val="16"/>
          <w:szCs w:val="16"/>
          <w:lang w:val="ru-RU"/>
        </w:rPr>
        <w:t>Самолет</w:t>
      </w:r>
      <w:r w:rsidRPr="0044524F">
        <w:rPr>
          <w:color w:val="000000" w:themeColor="text1"/>
          <w:lang w:val="ru-RU"/>
        </w:rPr>
        <w:t xml:space="preserve"> закончили производством в</w:t>
      </w:r>
      <w:r w:rsidRPr="0044524F">
        <w:rPr>
          <w:rStyle w:val="380"/>
          <w:rFonts w:ascii="Times New Roman" w:hAnsi="Times New Roman" w:cs="Times New Roman"/>
          <w:b w:val="0"/>
          <w:color w:val="000000" w:themeColor="text1"/>
          <w:sz w:val="16"/>
          <w:szCs w:val="16"/>
          <w:lang w:val="ru-RU"/>
        </w:rPr>
        <w:t xml:space="preserve"> мастерских института летом 1934</w:t>
      </w:r>
      <w:r w:rsidRPr="0044524F">
        <w:rPr>
          <w:color w:val="000000" w:themeColor="text1"/>
          <w:lang w:val="ru-RU"/>
        </w:rPr>
        <w:t xml:space="preserve"> г. </w:t>
      </w:r>
      <w:r w:rsidRPr="0044524F">
        <w:rPr>
          <w:rStyle w:val="380"/>
          <w:rFonts w:ascii="Times New Roman" w:hAnsi="Times New Roman" w:cs="Times New Roman"/>
          <w:b w:val="0"/>
          <w:color w:val="000000" w:themeColor="text1"/>
          <w:sz w:val="16"/>
          <w:szCs w:val="16"/>
          <w:lang w:val="ru-RU"/>
        </w:rPr>
        <w:t>Очевидно, вопрос осуществления ре</w:t>
      </w:r>
      <w:r w:rsidRPr="0044524F">
        <w:rPr>
          <w:rStyle w:val="380"/>
          <w:rFonts w:ascii="Times New Roman" w:hAnsi="Times New Roman" w:cs="Times New Roman"/>
          <w:b w:val="0"/>
          <w:color w:val="000000" w:themeColor="text1"/>
          <w:sz w:val="16"/>
          <w:szCs w:val="16"/>
          <w:lang w:val="ru-RU"/>
        </w:rPr>
        <w:softHyphen/>
        <w:t xml:space="preserve">кордных перелетов для студенческой машины на тот момент не ставился, ибо </w:t>
      </w:r>
      <w:r w:rsidRPr="0044524F">
        <w:rPr>
          <w:color w:val="000000" w:themeColor="text1"/>
          <w:lang w:val="ru-RU"/>
        </w:rPr>
        <w:t>приказом</w:t>
      </w:r>
      <w:r w:rsidRPr="0044524F">
        <w:rPr>
          <w:rStyle w:val="380"/>
          <w:rFonts w:ascii="Times New Roman" w:hAnsi="Times New Roman" w:cs="Times New Roman"/>
          <w:b w:val="0"/>
          <w:color w:val="000000" w:themeColor="text1"/>
          <w:sz w:val="16"/>
          <w:szCs w:val="16"/>
          <w:lang w:val="ru-RU"/>
        </w:rPr>
        <w:t xml:space="preserve"> по Московскому авиационному </w:t>
      </w:r>
      <w:r w:rsidRPr="0044524F">
        <w:rPr>
          <w:color w:val="000000" w:themeColor="text1"/>
          <w:lang w:val="ru-RU"/>
        </w:rPr>
        <w:t>институту №224</w:t>
      </w:r>
      <w:r w:rsidRPr="0044524F">
        <w:rPr>
          <w:rStyle w:val="380"/>
          <w:rFonts w:ascii="Times New Roman" w:hAnsi="Times New Roman" w:cs="Times New Roman"/>
          <w:b w:val="0"/>
          <w:color w:val="000000" w:themeColor="text1"/>
          <w:sz w:val="16"/>
          <w:szCs w:val="16"/>
          <w:lang w:val="ru-RU"/>
        </w:rPr>
        <w:t xml:space="preserve"> от 16 сентября 1934</w:t>
      </w:r>
      <w:r w:rsidRPr="0044524F">
        <w:rPr>
          <w:color w:val="000000" w:themeColor="text1"/>
          <w:lang w:val="ru-RU"/>
        </w:rPr>
        <w:t xml:space="preserve"> г. самолету присвоили наименование Сталь-МАИ. Журнал «Самолет» №11 за 1934 г. сообщал:</w:t>
      </w:r>
      <w:r w:rsidRPr="0044524F">
        <w:rPr>
          <w:rStyle w:val="252"/>
          <w:rFonts w:ascii="Times New Roman" w:hAnsi="Times New Roman" w:cs="Times New Roman"/>
          <w:i w:val="0"/>
          <w:color w:val="000000" w:themeColor="text1"/>
          <w:sz w:val="16"/>
          <w:szCs w:val="16"/>
          <w:lang w:val="ru-RU"/>
        </w:rPr>
        <w:t xml:space="preserve"> «19 сентября со</w:t>
      </w:r>
      <w:r w:rsidRPr="0044524F">
        <w:rPr>
          <w:rStyle w:val="252"/>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44524F">
        <w:rPr>
          <w:rStyle w:val="252"/>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44524F">
        <w:rPr>
          <w:color w:val="000000" w:themeColor="text1"/>
          <w:lang w:val="ru-RU"/>
        </w:rPr>
        <w:t xml:space="preserve"> За</w:t>
      </w:r>
      <w:r w:rsidRPr="0044524F">
        <w:rPr>
          <w:color w:val="000000" w:themeColor="text1"/>
          <w:lang w:val="ru-RU"/>
        </w:rPr>
        <w:softHyphen/>
        <w:t>тем три полета выполнил летчик-испы</w:t>
      </w:r>
      <w:r w:rsidRPr="0044524F">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44524F">
        <w:rPr>
          <w:color w:val="000000" w:themeColor="text1"/>
          <w:lang w:val="ru-RU"/>
        </w:rPr>
        <w:softHyphen/>
        <w:t>ном аэродроме. В этот день поднять</w:t>
      </w:r>
      <w:r w:rsidRPr="0044524F">
        <w:rPr>
          <w:color w:val="000000" w:themeColor="text1"/>
          <w:lang w:val="ru-RU"/>
        </w:rPr>
        <w:softHyphen/>
        <w:t>ся в воздух</w:t>
      </w:r>
      <w:r w:rsidRPr="0044524F">
        <w:rPr>
          <w:rStyle w:val="252"/>
          <w:rFonts w:ascii="Times New Roman" w:hAnsi="Times New Roman" w:cs="Times New Roman"/>
          <w:i w:val="0"/>
          <w:color w:val="000000" w:themeColor="text1"/>
          <w:sz w:val="16"/>
          <w:szCs w:val="16"/>
          <w:lang w:val="ru-RU"/>
        </w:rPr>
        <w:t xml:space="preserve"> на</w:t>
      </w:r>
      <w:r w:rsidRPr="0044524F">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43235277" w14:textId="77777777" w:rsidR="006D155E" w:rsidRPr="0044524F" w:rsidRDefault="006D155E" w:rsidP="009654CF">
      <w:pPr>
        <w:pStyle w:val="a3"/>
        <w:rPr>
          <w:color w:val="000000" w:themeColor="text1"/>
          <w:lang w:val="ru-RU"/>
        </w:rPr>
      </w:pPr>
    </w:p>
    <w:p w14:paraId="079D28CF"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июля 1933 года</w:t>
      </w:r>
    </w:p>
    <w:p w14:paraId="33333297"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 ЗАМЕСТИТЕЛЯ НАРОДНОГО КОМИССАРА ИНОСТРАННЫХ ДЕЛ СССР Н.Н. КРЕСТИНСКОГО ГЕНЕРАЛЬНОМУ СЕКРЕТАРЮ ЦК ВКП(б) И.В. СТАЛИНУ ОТНОСИТЕЛЬНО АМЕРИКАНСКОГО ЛЕТЧИКА МАТТЕРНА'</w:t>
      </w:r>
    </w:p>
    <w:p w14:paraId="4E2896D5"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июля 1933 года</w:t>
      </w:r>
    </w:p>
    <w:p w14:paraId="062F4A44"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Секретно</w:t>
      </w:r>
    </w:p>
    <w:p w14:paraId="5F40C0DB"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Уважаемый Товарищ,</w:t>
      </w:r>
    </w:p>
    <w:p w14:paraId="52338D90"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Еще раз обращаюсь к Вам по поводу злополучного американского летчика Маттерна.</w:t>
      </w:r>
    </w:p>
    <w:p w14:paraId="1ECABEC2"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Дело обстоит следующим образом. Наш летчик Леваневский, летящий из Хабаровска, возможно завтра будет уже в Анадыре. В Анадыре, согласно разрешению Политбюро, от возьмет к себе в аэроплан Маттерна и полетит с ним в город Ном на Аляске. На влёт нашего аэроплана на территорию Соединенных Штатов разрешение правительства САСШ имеется. Таким образом, все обстоит нормально.</w:t>
      </w:r>
    </w:p>
    <w:p w14:paraId="6304CC1A"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Маттерну хочется закончить свой кругосветный полет. Между тем, у него в полете будет перерыв между Анадырем и Номом, так как он сделает это расстояние не на своем, а на нашем аэроплане, и не за рулем, а в качестве пассажира. Поэтому он и его друзья через т. Сквирского обращаются к нам с запросом, сможет ли Маттерн, получив в Номе новый аэроплан, прилететь на этом аэроплане обратно в Анадырь, чтобы оттуда продолжать прерванный полет.</w:t>
      </w:r>
    </w:p>
    <w:p w14:paraId="4A16E10E"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Другими словами, речь идет о разрешении Маттерн прилететь в Анадырь и улететь сейчас же обратно на Аляску.</w:t>
      </w:r>
    </w:p>
    <w:p w14:paraId="6AC4A73B"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если бы наш летящий в Анадырь аэроплан потерпел аварию или по каким-либо другим причинам не смог доставить Маттерна на Аляску, перед нами встанет ставившейся уже вопрос о разрешении прилета в Анадырь из Нома на Аляске за Маттерном американского аэроплана с американским летчиком Александером.</w:t>
      </w:r>
    </w:p>
    <w:p w14:paraId="155077C6"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Полагаю, что на оба вопроса нужно дать положительный ответ, и прошу на это Ваше согласие.</w:t>
      </w:r>
    </w:p>
    <w:p w14:paraId="4B0FABA3"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тов. приветом,</w:t>
      </w:r>
    </w:p>
    <w:p w14:paraId="33387BB6"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КРЕСТИНСКИЙ</w:t>
      </w:r>
    </w:p>
    <w:p w14:paraId="18EEB363" w14:textId="77777777" w:rsidR="00040C95" w:rsidRPr="0044524F" w:rsidRDefault="00040C95" w:rsidP="009654CF">
      <w:pPr>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rPr>
        <w:t xml:space="preserve">АВП РФ. Ф. 027а. </w:t>
      </w:r>
      <w:r w:rsidRPr="0044524F">
        <w:rPr>
          <w:rFonts w:ascii="Times New Roman" w:hAnsi="Times New Roman"/>
          <w:color w:val="000000" w:themeColor="text1"/>
          <w:sz w:val="16"/>
          <w:szCs w:val="16"/>
          <w:lang w:val="en-US"/>
        </w:rPr>
        <w:t xml:space="preserve">On. 8. </w:t>
      </w:r>
      <w:r w:rsidRPr="0044524F">
        <w:rPr>
          <w:rFonts w:ascii="Times New Roman" w:hAnsi="Times New Roman"/>
          <w:color w:val="000000" w:themeColor="text1"/>
          <w:sz w:val="16"/>
          <w:szCs w:val="16"/>
        </w:rPr>
        <w:t>П</w:t>
      </w:r>
      <w:r w:rsidRPr="0044524F">
        <w:rPr>
          <w:rFonts w:ascii="Times New Roman" w:hAnsi="Times New Roman"/>
          <w:color w:val="000000" w:themeColor="text1"/>
          <w:sz w:val="16"/>
          <w:szCs w:val="16"/>
          <w:lang w:val="en-US"/>
        </w:rPr>
        <w:t xml:space="preserve">. 32. </w:t>
      </w:r>
      <w:r w:rsidRPr="0044524F">
        <w:rPr>
          <w:rFonts w:ascii="Times New Roman" w:hAnsi="Times New Roman"/>
          <w:color w:val="000000" w:themeColor="text1"/>
          <w:sz w:val="16"/>
          <w:szCs w:val="16"/>
        </w:rPr>
        <w:t>Д</w:t>
      </w:r>
      <w:r w:rsidRPr="0044524F">
        <w:rPr>
          <w:rFonts w:ascii="Times New Roman" w:hAnsi="Times New Roman"/>
          <w:color w:val="000000" w:themeColor="text1"/>
          <w:sz w:val="16"/>
          <w:szCs w:val="16"/>
          <w:lang w:val="en-US"/>
        </w:rPr>
        <w:t xml:space="preserve">. 83. </w:t>
      </w:r>
      <w:r w:rsidRPr="0044524F">
        <w:rPr>
          <w:rFonts w:ascii="Times New Roman" w:hAnsi="Times New Roman"/>
          <w:color w:val="000000" w:themeColor="text1"/>
          <w:sz w:val="16"/>
          <w:szCs w:val="16"/>
        </w:rPr>
        <w:t>Л</w:t>
      </w:r>
      <w:r w:rsidRPr="0044524F">
        <w:rPr>
          <w:rFonts w:ascii="Times New Roman" w:hAnsi="Times New Roman"/>
          <w:color w:val="000000" w:themeColor="text1"/>
          <w:sz w:val="16"/>
          <w:szCs w:val="16"/>
          <w:lang w:val="en-US"/>
        </w:rPr>
        <w:t xml:space="preserve">. 8. </w:t>
      </w:r>
      <w:r w:rsidRPr="0044524F">
        <w:rPr>
          <w:rFonts w:ascii="Times New Roman" w:hAnsi="Times New Roman"/>
          <w:color w:val="000000" w:themeColor="text1"/>
          <w:sz w:val="16"/>
          <w:szCs w:val="16"/>
        </w:rPr>
        <w:t>Копия</w:t>
      </w:r>
      <w:r w:rsidRPr="0044524F">
        <w:rPr>
          <w:rFonts w:ascii="Times New Roman" w:hAnsi="Times New Roman"/>
          <w:color w:val="000000" w:themeColor="text1"/>
          <w:sz w:val="16"/>
          <w:szCs w:val="16"/>
          <w:lang w:val="en-US"/>
        </w:rPr>
        <w:t>.</w:t>
      </w:r>
    </w:p>
    <w:p w14:paraId="18648E45" w14:textId="77777777" w:rsidR="00040C95" w:rsidRPr="0044524F" w:rsidRDefault="00040C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Копии записки разосланы В.М. Молотову и Г.Г. Ягоде (20414).</w:t>
      </w:r>
    </w:p>
    <w:p w14:paraId="64B2B479" w14:textId="77777777" w:rsidR="00040C95" w:rsidRPr="0044524F" w:rsidRDefault="00040C95" w:rsidP="009654CF">
      <w:pPr>
        <w:spacing w:after="0" w:line="240" w:lineRule="auto"/>
        <w:jc w:val="both"/>
        <w:rPr>
          <w:rFonts w:ascii="Times New Roman" w:hAnsi="Times New Roman"/>
          <w:color w:val="000000" w:themeColor="text1"/>
          <w:sz w:val="16"/>
          <w:szCs w:val="16"/>
        </w:rPr>
      </w:pPr>
    </w:p>
    <w:p w14:paraId="3D1F7E3D" w14:textId="77777777" w:rsidR="004622D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C3AD049" w14:textId="77777777" w:rsidR="004622D9" w:rsidRPr="0044524F" w:rsidRDefault="004622D9" w:rsidP="009654CF">
      <w:pPr>
        <w:spacing w:after="0" w:line="240" w:lineRule="auto"/>
        <w:jc w:val="both"/>
        <w:rPr>
          <w:rFonts w:ascii="Times New Roman" w:hAnsi="Times New Roman"/>
          <w:iCs/>
          <w:color w:val="000000" w:themeColor="text1"/>
          <w:sz w:val="16"/>
          <w:szCs w:val="16"/>
        </w:rPr>
      </w:pPr>
    </w:p>
    <w:p w14:paraId="77557076"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июля 1933 г. Из доклада наркома по военным и морским делам СССР и председателя Реввоенсовета СССР К. Е. Ворошилова председателю Комиссии обороны СССР В. М. Молотову «О системе танкового вооружения на вторую пятилетку»</w:t>
      </w:r>
    </w:p>
    <w:p w14:paraId="23C84718"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секретно.</w:t>
      </w:r>
    </w:p>
    <w:p w14:paraId="555C30AB"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Итоги первой пятилетки</w:t>
      </w:r>
    </w:p>
    <w:p w14:paraId="4CC3FEDD"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Количественные и качественные показатели</w:t>
      </w:r>
    </w:p>
    <w:p w14:paraId="16154FF6"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Система автобронетанкового вооружения, с которой мы вступили в первую пятилетку, в основном была построена на принципе внедрения танков в общевойсковые соединения, как средства их усиления при действиях в тактической зоне. Однако на основе лучших заграничных типов и ряда собственных совершенных конструкций в течение первой пятилетки удалось поставить на массовое производство образцы наиболее современного танкового вооружения, и эти технические достижения создали прочные предпосылки к коренному изменению оперативно-тактических взглядов на применение танков и потребовали решительных организационных изменений мотомеханизированных войск в сторону: 1) создания самостоятельных мехсоединений; 2) создания мощного танкового резерва Главного командования; 3) органического оснащения мехчастями кавалерийских дивизий и бригад; 4) органического оснащения танковыми частями стрелковых дивизий.</w:t>
      </w:r>
    </w:p>
    <w:p w14:paraId="4AA94484"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Успехи социалистического строительства обеспечили создание своей собственной авиационной, автотракторной и танковой базы, и первая пятилетка превратила РККА из армии в отношении механизации отсталой — в армию передовую и, во всяком случае, по числу и качеству боевых машин не уступающую самой сильной капиталистической армии.</w:t>
      </w:r>
    </w:p>
    <w:p w14:paraId="5AB665FA"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Танки в 1933 г. В сумме наши достижения по механизации РККА к 1 мая 1933 г. выражаются следующей таблицей: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13"/>
        <w:gridCol w:w="1399"/>
      </w:tblGrid>
      <w:tr w:rsidR="004E10C1" w:rsidRPr="0044524F" w14:paraId="313320A5" w14:textId="77777777" w:rsidTr="004622D9">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273027C"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Количество танков в РККА на 1 мая 1933 г.</w:t>
            </w:r>
          </w:p>
        </w:tc>
      </w:tr>
      <w:tr w:rsidR="004E10C1" w:rsidRPr="0044524F" w14:paraId="306CE9BB"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782C5E"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27 — 2430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ABE22"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БТ — 710</w:t>
            </w:r>
          </w:p>
        </w:tc>
      </w:tr>
      <w:tr w:rsidR="004E10C1" w:rsidRPr="0044524F" w14:paraId="4A0EE56C"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4F7A6E"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37 — 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8C373"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24 — 25</w:t>
            </w:r>
          </w:p>
        </w:tc>
      </w:tr>
      <w:tr w:rsidR="004E10C1" w:rsidRPr="0044524F" w14:paraId="22EF3739"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84477D"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w:t>
            </w:r>
            <w:r w:rsidRPr="0044524F">
              <w:rPr>
                <w:rFonts w:ascii="Times New Roman" w:hAnsi="Times New Roman"/>
                <w:color w:val="000000" w:themeColor="text1"/>
                <w:sz w:val="16"/>
                <w:szCs w:val="16"/>
              </w:rPr>
              <w:noBreakHyphen/>
              <w:t>18 — 950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B7456D"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 </w:t>
            </w:r>
            <w:r w:rsidRPr="0044524F">
              <w:rPr>
                <w:rFonts w:ascii="Times New Roman" w:hAnsi="Times New Roman"/>
                <w:color w:val="000000" w:themeColor="text1"/>
                <w:sz w:val="16"/>
                <w:szCs w:val="16"/>
              </w:rPr>
              <w:noBreakHyphen/>
              <w:t>28 — 12</w:t>
            </w:r>
          </w:p>
        </w:tc>
      </w:tr>
      <w:tr w:rsidR="004E10C1" w:rsidRPr="0044524F" w14:paraId="35D674D9" w14:textId="77777777" w:rsidTr="004622D9">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264A44"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26 — 1550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FBF443"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35 — 2</w:t>
            </w:r>
          </w:p>
        </w:tc>
      </w:tr>
      <w:tr w:rsidR="004E10C1" w:rsidRPr="0044524F" w14:paraId="5B2AB733" w14:textId="77777777" w:rsidTr="004622D9">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F4D7FBF"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5729</w:t>
            </w:r>
          </w:p>
        </w:tc>
      </w:tr>
    </w:tbl>
    <w:p w14:paraId="10C30043"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Оценка. Это свидетельствует об исключительном успехе нашей советской техники и производства, т. к. на 1 января 1929 г. РККА имела всего 90 танков устарелых заграничных систем и несколько десятков танков Т</w:t>
      </w:r>
      <w:r w:rsidRPr="0044524F">
        <w:rPr>
          <w:rFonts w:ascii="Times New Roman" w:hAnsi="Times New Roman"/>
          <w:color w:val="000000" w:themeColor="text1"/>
          <w:sz w:val="16"/>
          <w:szCs w:val="16"/>
        </w:rPr>
        <w:noBreakHyphen/>
        <w:t>18.</w:t>
      </w:r>
    </w:p>
    <w:p w14:paraId="23EDD0ED"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Организационная структура мехвойск</w:t>
      </w:r>
    </w:p>
    <w:p w14:paraId="7574CB9E"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Положение в 1929 г. В начале первой пятилетки организационная структура танковых частей предусматривалась в виде отдельных танковых батальонов или танковых полков, лишь на время боя придаваемых общевойсковым соединениям; в части создания самостоятельных механизированных соединений ставились лишь опытные задачи.</w:t>
      </w:r>
    </w:p>
    <w:p w14:paraId="1CB45D18"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Положение в 1933 г. Приведенные выше технические и количественные достижения обусловили коренную переоценку оперативно-тактических взглядов на применение танков и потребовали решительных организационных изменений. Дальнейшее организационное развитие пошло по линиям: а) создания самостоятельных мехсоединений, способных решать задачи на всей глубине современной операции; б) создания мощного танкового резерва Главного командования (ТРГК), как средства усиления и прорыва; в) широкого органического внедрения танков в общевойсковые соединения.</w:t>
      </w:r>
    </w:p>
    <w:p w14:paraId="4E641C63"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мая 1933 г. РККА имеет:</w:t>
      </w:r>
    </w:p>
    <w:p w14:paraId="71A1E46B"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Мехсоединения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6"/>
        <w:gridCol w:w="2432"/>
        <w:gridCol w:w="2527"/>
        <w:gridCol w:w="3983"/>
        <w:gridCol w:w="1134"/>
      </w:tblGrid>
      <w:tr w:rsidR="004E10C1" w:rsidRPr="0044524F" w14:paraId="08200ED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AC4D0A2"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B84C91F"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мехкорпуса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0245DE3"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отд[ельных]</w:t>
            </w:r>
          </w:p>
          <w:p w14:paraId="1E32AD13"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мехбригад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926830D" w14:textId="29ADD63A"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мехполков и 7</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мех-</w:t>
            </w:r>
          </w:p>
          <w:p w14:paraId="757E58B2"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дивизионов конницы</w:t>
            </w:r>
          </w:p>
        </w:tc>
        <w:tc>
          <w:tcPr>
            <w:tcW w:w="0" w:type="auto"/>
            <w:tcBorders>
              <w:top w:val="outset" w:sz="6" w:space="0" w:color="auto"/>
              <w:left w:val="outset" w:sz="6" w:space="0" w:color="auto"/>
              <w:bottom w:val="outset" w:sz="6" w:space="0" w:color="auto"/>
              <w:right w:val="outset" w:sz="6" w:space="0" w:color="auto"/>
            </w:tcBorders>
            <w:vAlign w:val="center"/>
            <w:hideMark/>
          </w:tcPr>
          <w:p w14:paraId="0B1D8FBD"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r>
      <w:tr w:rsidR="004E10C1" w:rsidRPr="0044524F" w14:paraId="320F797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E71FE2"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EF4A5"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C4C16"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FC248"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D1947"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r>
      <w:tr w:rsidR="004E10C1" w:rsidRPr="0044524F" w14:paraId="7169C62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6B34DFB"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77C34CCE"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6664A3"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2F86F9"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9DC6A"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r>
      <w:tr w:rsidR="004E10C1" w:rsidRPr="0044524F" w14:paraId="61E49D1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E43C9C"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2BF5F02F"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0C07CE"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43451"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A7D009"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w:t>
            </w:r>
          </w:p>
        </w:tc>
      </w:tr>
      <w:tr w:rsidR="004E10C1" w:rsidRPr="0044524F" w14:paraId="052447A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6C7C6A"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EDB34B"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41459"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8D547B"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14:paraId="53EEA45C"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542</w:t>
            </w:r>
          </w:p>
        </w:tc>
      </w:tr>
      <w:tr w:rsidR="004E10C1" w:rsidRPr="0044524F" w14:paraId="6C18A98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DE5AB0"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49FD88"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04451"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99F48"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3A806E6A"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1897</w:t>
            </w:r>
          </w:p>
        </w:tc>
      </w:tr>
    </w:tbl>
    <w:p w14:paraId="092BA145"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Танковый резерв Главного командования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61"/>
        <w:gridCol w:w="3405"/>
        <w:gridCol w:w="4435"/>
        <w:gridCol w:w="1221"/>
      </w:tblGrid>
      <w:tr w:rsidR="004E10C1" w:rsidRPr="0044524F" w14:paraId="2B4690C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D67AA7"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42C4769"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танковых полка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1BC72D2"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танковых батальонов</w:t>
            </w:r>
          </w:p>
          <w:p w14:paraId="058D9671"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4 танковых роты</w:t>
            </w:r>
          </w:p>
        </w:tc>
        <w:tc>
          <w:tcPr>
            <w:tcW w:w="0" w:type="auto"/>
            <w:tcBorders>
              <w:top w:val="outset" w:sz="6" w:space="0" w:color="auto"/>
              <w:left w:val="outset" w:sz="6" w:space="0" w:color="auto"/>
              <w:bottom w:val="outset" w:sz="6" w:space="0" w:color="auto"/>
              <w:right w:val="outset" w:sz="6" w:space="0" w:color="auto"/>
            </w:tcBorders>
            <w:vAlign w:val="center"/>
            <w:hideMark/>
          </w:tcPr>
          <w:p w14:paraId="23D130B7"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r>
      <w:tr w:rsidR="004E10C1" w:rsidRPr="0044524F" w14:paraId="695206C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2D1A41"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56550209"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3BE59E"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E4A9C8"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r>
      <w:tr w:rsidR="004E10C1" w:rsidRPr="0044524F" w14:paraId="62E6B87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ADB68E0"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305A9"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0CE548"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4E088"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1D18B73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83F9F32"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B2591"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D14CD"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C3D03E"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6513298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39608B"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398ABD"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68C511F"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10F1A5"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r>
      <w:tr w:rsidR="004E10C1" w:rsidRPr="0044524F" w14:paraId="22D0C23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2DBB33"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73571E"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1C73B"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A4F827"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52D1429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B78DD9"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28 и Т</w:t>
            </w:r>
            <w:r w:rsidRPr="0044524F">
              <w:rPr>
                <w:rFonts w:ascii="Times New Roman" w:hAnsi="Times New Roman"/>
                <w:color w:val="000000" w:themeColor="text1"/>
                <w:sz w:val="16"/>
                <w:szCs w:val="16"/>
              </w:rPr>
              <w:noBreakHyphen/>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99DD1"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8288D"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0" w:type="auto"/>
            <w:tcBorders>
              <w:top w:val="outset" w:sz="6" w:space="0" w:color="auto"/>
              <w:left w:val="outset" w:sz="6" w:space="0" w:color="auto"/>
              <w:bottom w:val="outset" w:sz="6" w:space="0" w:color="auto"/>
              <w:right w:val="outset" w:sz="6" w:space="0" w:color="auto"/>
            </w:tcBorders>
            <w:vAlign w:val="center"/>
            <w:hideMark/>
          </w:tcPr>
          <w:p w14:paraId="4DF889F4"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r>
      <w:tr w:rsidR="004E10C1" w:rsidRPr="0044524F" w14:paraId="465CC2E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0F45261"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8091D90"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0C024B6"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64D1649"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849</w:t>
            </w:r>
          </w:p>
        </w:tc>
      </w:tr>
    </w:tbl>
    <w:p w14:paraId="6FAD6C88"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Органически внедренные в общевойсковые соединения</w:t>
      </w:r>
    </w:p>
    <w:p w14:paraId="6B299716"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отдельных танковых батальонов с. д.; 23 отдельных танкетных батальонов с. д.; 37 танкетных рот; 6 автобронерот и 1 мото-мехбатальон с общим наличием: танкеток Т</w:t>
      </w:r>
      <w:r w:rsidRPr="0044524F">
        <w:rPr>
          <w:rFonts w:ascii="Times New Roman" w:hAnsi="Times New Roman"/>
          <w:color w:val="000000" w:themeColor="text1"/>
          <w:sz w:val="16"/>
          <w:szCs w:val="16"/>
        </w:rPr>
        <w:noBreakHyphen/>
        <w:t>27 — 1950; танков Т</w:t>
      </w:r>
      <w:r w:rsidRPr="0044524F">
        <w:rPr>
          <w:rFonts w:ascii="Times New Roman" w:hAnsi="Times New Roman"/>
          <w:color w:val="000000" w:themeColor="text1"/>
          <w:sz w:val="16"/>
          <w:szCs w:val="16"/>
        </w:rPr>
        <w:noBreakHyphen/>
        <w:t>18 — 380; танков Т</w:t>
      </w:r>
      <w:r w:rsidRPr="0044524F">
        <w:rPr>
          <w:rFonts w:ascii="Times New Roman" w:hAnsi="Times New Roman"/>
          <w:color w:val="000000" w:themeColor="text1"/>
          <w:sz w:val="16"/>
          <w:szCs w:val="16"/>
        </w:rPr>
        <w:noBreakHyphen/>
        <w:t>26 — 430; танков БТ — 138; итого — 2898¹*.</w:t>
      </w:r>
    </w:p>
    <w:p w14:paraId="35962699"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Выводы</w:t>
      </w:r>
    </w:p>
    <w:p w14:paraId="5C537BF2"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1) Достижения РККА за первую пятилетку в сравнении с заграницей</w:t>
      </w:r>
    </w:p>
    <w:p w14:paraId="09C6CDE1"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Первая пятилетка превратила РККА из армии в отношении механизации отсталой в армию передовую, и, во всяком случае, по числу и качеству боевых машин, не уступающую любой, самой сильной капиталистической армии.</w:t>
      </w:r>
    </w:p>
    <w:p w14:paraId="2AD4F7D9"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Конструкции танков, состоящих в данный момент на вооружении РККА, могут быть сравниваемы в отношении их боевых качеств только с самыми лучшими аналогичными образцами заграничной техники, т. к. они не только не уступают им по отдельным своим элементам, но даже по некоторым категориям машин превосходят лучшие заграничные образцы: а) разведывательный танк Т</w:t>
      </w:r>
      <w:r w:rsidRPr="0044524F">
        <w:rPr>
          <w:color w:val="000000" w:themeColor="text1"/>
          <w:sz w:val="16"/>
          <w:szCs w:val="16"/>
        </w:rPr>
        <w:noBreakHyphen/>
        <w:t>37 плавающего типа, уступая английскому танку амфибия «Карден-Ллойд» в скорости хода, превосходит последний по мягкости подвески и по толщине брони; б) общевойсковой танк Т</w:t>
      </w:r>
      <w:r w:rsidRPr="0044524F">
        <w:rPr>
          <w:color w:val="000000" w:themeColor="text1"/>
          <w:sz w:val="16"/>
          <w:szCs w:val="16"/>
        </w:rPr>
        <w:noBreakHyphen/>
        <w:t>26 ничем не уступает английскому легкому танку «Виккерс», а по мощности вооружения превосходит его; в) оперативный танк БТ ничем не уступает американскому быстроходному танку «Кристи», а по мощности вооружения превосходит его; г) танк качеств[енного] усиления Т</w:t>
      </w:r>
      <w:r w:rsidRPr="0044524F">
        <w:rPr>
          <w:color w:val="000000" w:themeColor="text1"/>
          <w:sz w:val="16"/>
          <w:szCs w:val="16"/>
        </w:rPr>
        <w:noBreakHyphen/>
        <w:t>28 значительно превосходит средний танк Виккерса по мощности мотора, скорости, вооружению и лучшим качеством ходовых частей; д) мощный танк особого назначения Т</w:t>
      </w:r>
      <w:r w:rsidRPr="0044524F">
        <w:rPr>
          <w:color w:val="000000" w:themeColor="text1"/>
          <w:sz w:val="16"/>
          <w:szCs w:val="16"/>
        </w:rPr>
        <w:noBreakHyphen/>
        <w:t>35, не имеющий себе равного за границей, значительно превосходит французский танк ЗС по скорости хода и качествам ходовых частей; е) опытный образец оперативного плавающего танка ПТ</w:t>
      </w:r>
      <w:r w:rsidRPr="0044524F">
        <w:rPr>
          <w:color w:val="000000" w:themeColor="text1"/>
          <w:sz w:val="16"/>
          <w:szCs w:val="16"/>
        </w:rPr>
        <w:noBreakHyphen/>
        <w:t>1 по новизне и совершенству конструкции не имеет себе равного за границей. (Таблицу сравнительных характеристик танков см. на следующей странице)²*.</w:t>
      </w:r>
    </w:p>
    <w:p w14:paraId="473501C5"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По количеству боевых машин, фактически состоящих на вооружении, Красная армия стоит на первом месте: РККА к 1 мая имеет 5600 танков, из них вполне современных около 4800 танков, тогда как 6 главнейших капиталистических государств, вместе взятых, имеют не более 3</w:t>
      </w:r>
      <w:r w:rsidRPr="0044524F">
        <w:rPr>
          <w:color w:val="000000" w:themeColor="text1"/>
          <w:sz w:val="16"/>
          <w:szCs w:val="16"/>
        </w:rPr>
        <w:noBreakHyphen/>
        <w:t>4 тыс. современных танков. Однако мобилизационные возможности Англии, Франции и Америки каждой в отдельности пока что выше наших. Это ставит перед нами важнейшую задачу обеспечения такой мобилизационно-производственной базы, которая в случае надобности могла бы немедленно дать армии необходимую массу танков. Создание такой прочной мобилизационно-производственной базы позволит нам в ближайшие годы перенести центр тяжести с огромных заказов мирного времени на подготовку производства к выпуску в военное время массового количества вполне современных боевых машин.</w:t>
      </w:r>
    </w:p>
    <w:p w14:paraId="5791B669" w14:textId="77777777" w:rsidR="004622D9" w:rsidRPr="0044524F" w:rsidRDefault="004622D9" w:rsidP="009654CF">
      <w:pPr>
        <w:pStyle w:val="rtejustify"/>
        <w:spacing w:before="0" w:after="0"/>
        <w:rPr>
          <w:color w:val="000000" w:themeColor="text1"/>
          <w:sz w:val="16"/>
          <w:szCs w:val="16"/>
        </w:rPr>
      </w:pPr>
      <w:r w:rsidRPr="0044524F">
        <w:rPr>
          <w:rStyle w:val="af0"/>
          <w:bCs/>
          <w:i w:val="0"/>
          <w:color w:val="000000" w:themeColor="text1"/>
          <w:sz w:val="16"/>
          <w:szCs w:val="16"/>
        </w:rPr>
        <w:t>Наши слабые участки</w:t>
      </w:r>
      <w:r w:rsidRPr="0044524F">
        <w:rPr>
          <w:color w:val="000000" w:themeColor="text1"/>
          <w:sz w:val="16"/>
          <w:szCs w:val="16"/>
        </w:rPr>
        <w:t>. Однако наряду с количественными и качественными достижениями имеются серьезные отставания:</w:t>
      </w:r>
    </w:p>
    <w:p w14:paraId="0C0FBDCD"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1. </w:t>
      </w:r>
      <w:r w:rsidRPr="0044524F">
        <w:rPr>
          <w:rStyle w:val="af0"/>
          <w:bCs/>
          <w:i w:val="0"/>
          <w:color w:val="000000" w:themeColor="text1"/>
          <w:sz w:val="16"/>
          <w:szCs w:val="16"/>
        </w:rPr>
        <w:t>Неполная комплектность наших боевых машин</w:t>
      </w:r>
      <w:r w:rsidRPr="0044524F">
        <w:rPr>
          <w:color w:val="000000" w:themeColor="text1"/>
          <w:sz w:val="16"/>
          <w:szCs w:val="16"/>
        </w:rPr>
        <w:t>, а) Запаздывание с поступлением вооружения и особенно огнеприпасов для готовых боевых машин (например, 620 танков БТ не имеют положенных пушек и имеют только пулеметное вооружение); б) отсутствие налаженного массового производства приборов управления огнем из танков (например, перископический прицел имеется только в образцах; телескопических прицелов на сегодняшний день имеется только 175 шт.); в) огнеприпасы для танковых пушек имеются в производстве в незначительном количестве, не обеспечивающем даже текущую боевую подготовку войск; г) радиоустановки имеются только в опытных образцах, т. к. не обеспечена комплектность монтажа, антенного устройства и экранировки.</w:t>
      </w:r>
    </w:p>
    <w:p w14:paraId="52F12B47"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2. </w:t>
      </w:r>
      <w:r w:rsidRPr="0044524F">
        <w:rPr>
          <w:rStyle w:val="af0"/>
          <w:bCs/>
          <w:i w:val="0"/>
          <w:color w:val="000000" w:themeColor="text1"/>
          <w:sz w:val="16"/>
          <w:szCs w:val="16"/>
        </w:rPr>
        <w:t>Мотор</w:t>
      </w:r>
      <w:r w:rsidRPr="0044524F">
        <w:rPr>
          <w:color w:val="000000" w:themeColor="text1"/>
          <w:sz w:val="16"/>
          <w:szCs w:val="16"/>
        </w:rPr>
        <w:t>. Танк БТ не обеспечен мотором своего производства (пока что ставится мотор «Либерти» и только разрабатываются опытные образцы дизель-мотора).</w:t>
      </w:r>
    </w:p>
    <w:p w14:paraId="0916196A"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3. </w:t>
      </w:r>
      <w:r w:rsidRPr="0044524F">
        <w:rPr>
          <w:rStyle w:val="af0"/>
          <w:bCs/>
          <w:i w:val="0"/>
          <w:color w:val="000000" w:themeColor="text1"/>
          <w:sz w:val="16"/>
          <w:szCs w:val="16"/>
        </w:rPr>
        <w:t>Запасные части</w:t>
      </w:r>
      <w:r w:rsidRPr="0044524F">
        <w:rPr>
          <w:color w:val="000000" w:themeColor="text1"/>
          <w:sz w:val="16"/>
          <w:szCs w:val="16"/>
        </w:rPr>
        <w:t>. Запасные части продолжают оставаться очень слабым местом. В настоящее время обеспеченность запчастями составляет 25</w:t>
      </w:r>
      <w:r w:rsidRPr="0044524F">
        <w:rPr>
          <w:color w:val="000000" w:themeColor="text1"/>
          <w:sz w:val="16"/>
          <w:szCs w:val="16"/>
        </w:rPr>
        <w:noBreakHyphen/>
        <w:t>30% от плана.</w:t>
      </w:r>
    </w:p>
    <w:p w14:paraId="2FD9AA16"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4. </w:t>
      </w:r>
      <w:r w:rsidRPr="0044524F">
        <w:rPr>
          <w:rStyle w:val="af0"/>
          <w:bCs/>
          <w:i w:val="0"/>
          <w:color w:val="000000" w:themeColor="text1"/>
          <w:sz w:val="16"/>
          <w:szCs w:val="16"/>
        </w:rPr>
        <w:t>Ремонтная база</w:t>
      </w:r>
      <w:r w:rsidRPr="0044524F">
        <w:rPr>
          <w:color w:val="000000" w:themeColor="text1"/>
          <w:sz w:val="16"/>
          <w:szCs w:val="16"/>
        </w:rPr>
        <w:t>. Приспособленных заводов для ремонта танков не только в военное время, но и в мирное время в стране не имеется (разработанные мобилизационные планы по ремонтным базам на мирное и военное время не обеспечены реальными производственными возможностями).</w:t>
      </w:r>
    </w:p>
    <w:p w14:paraId="4C5ED8C5"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5. </w:t>
      </w:r>
      <w:r w:rsidRPr="0044524F">
        <w:rPr>
          <w:rStyle w:val="af0"/>
          <w:bCs/>
          <w:i w:val="0"/>
          <w:color w:val="000000" w:themeColor="text1"/>
          <w:sz w:val="16"/>
          <w:szCs w:val="16"/>
        </w:rPr>
        <w:t>Механизация и моторизация тыла</w:t>
      </w:r>
      <w:r w:rsidRPr="0044524F">
        <w:rPr>
          <w:color w:val="000000" w:themeColor="text1"/>
          <w:sz w:val="16"/>
          <w:szCs w:val="16"/>
        </w:rPr>
        <w:t>. Механизация и моторизация тыла отстают от реальных потребностей в то время, как механизированные части могут работать только со стопроцентно мотомеханизированным тылом. По цистернам обеспеченность 15%, водомаслозаправок совсем нет, и прочие вспомогательные машины имеются только в опытных образцах. В подвижных походных мастерских обеспеченность составляет 16%, железнодорожных мастерских — 16%.</w:t>
      </w:r>
    </w:p>
    <w:p w14:paraId="6DAEE20B"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6. </w:t>
      </w:r>
      <w:r w:rsidRPr="0044524F">
        <w:rPr>
          <w:rStyle w:val="af0"/>
          <w:bCs/>
          <w:i w:val="0"/>
          <w:color w:val="000000" w:themeColor="text1"/>
          <w:sz w:val="16"/>
          <w:szCs w:val="16"/>
        </w:rPr>
        <w:t>Гаражи и гаражное строительство</w:t>
      </w:r>
      <w:r w:rsidRPr="0044524F">
        <w:rPr>
          <w:color w:val="000000" w:themeColor="text1"/>
          <w:sz w:val="16"/>
          <w:szCs w:val="16"/>
        </w:rPr>
        <w:t>. Готовыми гаражами и гаражным строительством обеспеченность составляет 50% от наличия машин.</w:t>
      </w:r>
    </w:p>
    <w:p w14:paraId="6922B016"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7. </w:t>
      </w:r>
      <w:r w:rsidRPr="0044524F">
        <w:rPr>
          <w:rStyle w:val="af0"/>
          <w:bCs/>
          <w:i w:val="0"/>
          <w:color w:val="000000" w:themeColor="text1"/>
          <w:sz w:val="16"/>
          <w:szCs w:val="16"/>
        </w:rPr>
        <w:t>Стационарные мастерские</w:t>
      </w:r>
      <w:r w:rsidRPr="0044524F">
        <w:rPr>
          <w:color w:val="000000" w:themeColor="text1"/>
          <w:sz w:val="16"/>
          <w:szCs w:val="16"/>
        </w:rPr>
        <w:t>. Стационарные мастерские — узкое место по текущему среднему ремонту. Строительство их в 1933 г. обеспечено на 65%; оборудованием они обеспечены только в размере 40%.</w:t>
      </w:r>
    </w:p>
    <w:p w14:paraId="72CA3200"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8. </w:t>
      </w:r>
      <w:r w:rsidRPr="0044524F">
        <w:rPr>
          <w:rStyle w:val="af0"/>
          <w:bCs/>
          <w:i w:val="0"/>
          <w:color w:val="000000" w:themeColor="text1"/>
          <w:sz w:val="16"/>
          <w:szCs w:val="16"/>
        </w:rPr>
        <w:t>Качество продукции</w:t>
      </w:r>
      <w:r w:rsidRPr="0044524F">
        <w:rPr>
          <w:color w:val="000000" w:themeColor="text1"/>
          <w:sz w:val="16"/>
          <w:szCs w:val="16"/>
        </w:rPr>
        <w:t>. Качество продукции еще также отстает от тактико-технических требований; а) броня имеет большой брак в производстве (45</w:t>
      </w:r>
      <w:r w:rsidRPr="0044524F">
        <w:rPr>
          <w:color w:val="000000" w:themeColor="text1"/>
          <w:sz w:val="16"/>
          <w:szCs w:val="16"/>
        </w:rPr>
        <w:noBreakHyphen/>
        <w:t>50%, а отсюда ее недостатки и низкое качество); б) некондиционность отдельных деталей и отдельных агрегатов механизма боевых машин по причинам плохого производственного выполнения. Небрежная сборка боевых машин, особенно по мотору и коробке скоростей; в) импортная зависимость по шарикоподшипникам и электрооборудованию.</w:t>
      </w:r>
    </w:p>
    <w:p w14:paraId="51ED2D6C"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9. </w:t>
      </w:r>
      <w:r w:rsidRPr="0044524F">
        <w:rPr>
          <w:rStyle w:val="af0"/>
          <w:bCs/>
          <w:i w:val="0"/>
          <w:color w:val="000000" w:themeColor="text1"/>
          <w:sz w:val="16"/>
          <w:szCs w:val="16"/>
        </w:rPr>
        <w:t>Горючее</w:t>
      </w:r>
      <w:r w:rsidRPr="0044524F">
        <w:rPr>
          <w:color w:val="000000" w:themeColor="text1"/>
          <w:sz w:val="16"/>
          <w:szCs w:val="16"/>
        </w:rPr>
        <w:t>. Необеспеченность оборудования хранилищами для мобзапасов и средствами подвоза к фронту.</w:t>
      </w:r>
    </w:p>
    <w:p w14:paraId="12F47928"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Важнейшей задачей второй пятилетки наряду с созданием мощной производственной базы и конструированием новых образцов является самая интенсивная работа по изжитию перечисленных узких мест и прежде всего борьба за полную комплектность боевых машин и мотомеханизированный тыл. Без этих условий мы не сумеем полностью использовать боевые возможности наших машин.</w:t>
      </w:r>
    </w:p>
    <w:p w14:paraId="47D89CBE"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Задачи на вторую пятилетку</w:t>
      </w:r>
    </w:p>
    <w:p w14:paraId="5C01FB1D"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1. Наши основные оперативные взгляды на развитие и применение мехвойск</w:t>
      </w:r>
    </w:p>
    <w:p w14:paraId="530B7C6C"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Бурный рост народного хозяйства СССР позволяет строить наши расчеты на самом широком внедрении механизации в РККА с одновременной ликвидацией всего недоделанного и недоработанного в первую пятилетку. Вторая пятилетка должна сделать механизацию одним из основных и решающих элементов будущих операций Красной армии.</w:t>
      </w:r>
    </w:p>
    <w:p w14:paraId="7AB122DB"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lastRenderedPageBreak/>
        <w:t>Вытекающие из этого требования: а) лучшие, наиболее мощные и быстроходные танки должны быть сгруппированы в сильные мехсоединения оперативного и стратегического значения (мехбригады и мехкорпуса); б) в распоряжении Главного командования должен быть сильный резерв танков (количественного и качественного значения), который бы обеспечивал создание абсолютного танкового превосходства над противником на ударных направлениях; в) стратегическая конница, сохраняющая и впредь свое значение, прочно оснащается мехсредствами и самоходной артиллерией; г) общевойсковые соединения (большинство дивизий, а в дальнейшем и полков) должны иметь свои органические мехчасти как для разведки, так и для боя.</w:t>
      </w:r>
    </w:p>
    <w:p w14:paraId="789333C6"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Исходя из этих требований, на ближайшие годы на массовом производстве должны находиться следующие основные типы боевых машин:</w:t>
      </w:r>
    </w:p>
    <w:p w14:paraId="42363BD3"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1) </w:t>
      </w:r>
      <w:r w:rsidRPr="0044524F">
        <w:rPr>
          <w:rStyle w:val="af0"/>
          <w:bCs/>
          <w:i w:val="0"/>
          <w:color w:val="000000" w:themeColor="text1"/>
          <w:sz w:val="16"/>
          <w:szCs w:val="16"/>
        </w:rPr>
        <w:t>Разведывательный танк</w:t>
      </w:r>
      <w:r w:rsidRPr="0044524F">
        <w:rPr>
          <w:color w:val="000000" w:themeColor="text1"/>
          <w:sz w:val="16"/>
          <w:szCs w:val="16"/>
        </w:rPr>
        <w:t xml:space="preserve"> (танк Т</w:t>
      </w:r>
      <w:r w:rsidRPr="0044524F">
        <w:rPr>
          <w:color w:val="000000" w:themeColor="text1"/>
          <w:sz w:val="16"/>
          <w:szCs w:val="16"/>
        </w:rPr>
        <w:noBreakHyphen/>
        <w:t>37). Основной танк службы боевого обеспечения всех мехсоединений и средство боевой разведки и боя пехоты. Основные требования: быстроходность, вездеходность (в том числе плавучесть), маневренность, низкий габарит, дешевизна и массовость производства.</w:t>
      </w:r>
    </w:p>
    <w:p w14:paraId="35A1E219"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2) </w:t>
      </w:r>
      <w:r w:rsidRPr="0044524F">
        <w:rPr>
          <w:rStyle w:val="af0"/>
          <w:bCs/>
          <w:i w:val="0"/>
          <w:color w:val="000000" w:themeColor="text1"/>
          <w:sz w:val="16"/>
          <w:szCs w:val="16"/>
        </w:rPr>
        <w:t>Общевойсковой танк</w:t>
      </w:r>
      <w:r w:rsidRPr="0044524F">
        <w:rPr>
          <w:color w:val="000000" w:themeColor="text1"/>
          <w:sz w:val="16"/>
          <w:szCs w:val="16"/>
        </w:rPr>
        <w:t xml:space="preserve"> (танк Т</w:t>
      </w:r>
      <w:r w:rsidRPr="0044524F">
        <w:rPr>
          <w:color w:val="000000" w:themeColor="text1"/>
          <w:sz w:val="16"/>
          <w:szCs w:val="16"/>
        </w:rPr>
        <w:noBreakHyphen/>
        <w:t>26). Основной, органический танк общевойсковых соединений; он же — танк количественного усиления ТРГК. Основные требования — маневренность на поле боя, броня, защищающая от бронебойных пуль, разнообразное вооружение (пушка, пулеметы, огнемет, химприборы), наконец, дешевизна и массовость производства.</w:t>
      </w:r>
    </w:p>
    <w:p w14:paraId="1E6BA7C2"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3) </w:t>
      </w:r>
      <w:r w:rsidRPr="0044524F">
        <w:rPr>
          <w:rStyle w:val="af0"/>
          <w:bCs/>
          <w:i w:val="0"/>
          <w:color w:val="000000" w:themeColor="text1"/>
          <w:sz w:val="16"/>
          <w:szCs w:val="16"/>
        </w:rPr>
        <w:t>Оперативный танк</w:t>
      </w:r>
      <w:r w:rsidRPr="0044524F">
        <w:rPr>
          <w:color w:val="000000" w:themeColor="text1"/>
          <w:sz w:val="16"/>
          <w:szCs w:val="16"/>
        </w:rPr>
        <w:t xml:space="preserve"> (танк БТ, в дальнейшем типа ПТ</w:t>
      </w:r>
      <w:r w:rsidRPr="0044524F">
        <w:rPr>
          <w:color w:val="000000" w:themeColor="text1"/>
          <w:sz w:val="16"/>
          <w:szCs w:val="16"/>
        </w:rPr>
        <w:noBreakHyphen/>
        <w:t>1). Танк самостоятельных мехсоединений. Все в этом танке подчиняется требованиям быстроходности, вездеходности (в том числе плавучести) и мощного вооружения.</w:t>
      </w:r>
    </w:p>
    <w:p w14:paraId="230F8CAE"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4) </w:t>
      </w:r>
      <w:r w:rsidRPr="0044524F">
        <w:rPr>
          <w:rStyle w:val="af0"/>
          <w:bCs/>
          <w:i w:val="0"/>
          <w:color w:val="000000" w:themeColor="text1"/>
          <w:sz w:val="16"/>
          <w:szCs w:val="16"/>
        </w:rPr>
        <w:t>Танк качественного усиления</w:t>
      </w:r>
      <w:r w:rsidRPr="0044524F">
        <w:rPr>
          <w:color w:val="000000" w:themeColor="text1"/>
          <w:sz w:val="16"/>
          <w:szCs w:val="16"/>
        </w:rPr>
        <w:t xml:space="preserve"> (ТРГК) (танк Т</w:t>
      </w:r>
      <w:r w:rsidRPr="0044524F">
        <w:rPr>
          <w:color w:val="000000" w:themeColor="text1"/>
          <w:sz w:val="16"/>
          <w:szCs w:val="16"/>
        </w:rPr>
        <w:noBreakHyphen/>
        <w:t>28). Основные требования: сильное вооружение и броня, быстроходность, позволяющая его применить в операции совместно с мехсоединениями.</w:t>
      </w:r>
    </w:p>
    <w:p w14:paraId="2694A277"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5) </w:t>
      </w:r>
      <w:r w:rsidRPr="0044524F">
        <w:rPr>
          <w:rStyle w:val="af0"/>
          <w:bCs/>
          <w:i w:val="0"/>
          <w:color w:val="000000" w:themeColor="text1"/>
          <w:sz w:val="16"/>
          <w:szCs w:val="16"/>
        </w:rPr>
        <w:t>Мощный танк особого назначения</w:t>
      </w:r>
      <w:r w:rsidRPr="0044524F">
        <w:rPr>
          <w:color w:val="000000" w:themeColor="text1"/>
          <w:sz w:val="16"/>
          <w:szCs w:val="16"/>
        </w:rPr>
        <w:t xml:space="preserve"> (подходящий на сегодня танк — Т</w:t>
      </w:r>
      <w:r w:rsidRPr="0044524F">
        <w:rPr>
          <w:color w:val="000000" w:themeColor="text1"/>
          <w:sz w:val="16"/>
          <w:szCs w:val="16"/>
        </w:rPr>
        <w:noBreakHyphen/>
        <w:t>35). Танк качественного, добавочного усиления при прорыве сильно и заблаговременно укрепленных полос. Основное требование — мощное вооружение и броня, защищающая от мелкокалиберных снарядов. Предусмотреть возможность использования и постановки на производство во время войны имеющегося опытного образца танка Т</w:t>
      </w:r>
      <w:r w:rsidRPr="0044524F">
        <w:rPr>
          <w:color w:val="000000" w:themeColor="text1"/>
          <w:sz w:val="16"/>
          <w:szCs w:val="16"/>
        </w:rPr>
        <w:noBreakHyphen/>
        <w:t>34 на базе автомобильной промышленности.</w:t>
      </w:r>
    </w:p>
    <w:p w14:paraId="2F296C00"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Исходя из вышеизложенного, РВС СССР утвердил следующую систему бронетанкового вооружения:</w:t>
      </w:r>
    </w:p>
    <w:p w14:paraId="6320FB63"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1. Основные танки — 5 типов: а) разведывательный типа Т</w:t>
      </w:r>
      <w:r w:rsidRPr="0044524F">
        <w:rPr>
          <w:color w:val="000000" w:themeColor="text1"/>
          <w:sz w:val="16"/>
          <w:szCs w:val="16"/>
        </w:rPr>
        <w:noBreakHyphen/>
        <w:t>37; б) общевойсковой типа Т</w:t>
      </w:r>
      <w:r w:rsidRPr="0044524F">
        <w:rPr>
          <w:color w:val="000000" w:themeColor="text1"/>
          <w:sz w:val="16"/>
          <w:szCs w:val="16"/>
        </w:rPr>
        <w:noBreakHyphen/>
        <w:t>26; в) оперативный типа БТ, в дальнейшем ПТ</w:t>
      </w:r>
      <w:r w:rsidRPr="0044524F">
        <w:rPr>
          <w:color w:val="000000" w:themeColor="text1"/>
          <w:sz w:val="16"/>
          <w:szCs w:val="16"/>
        </w:rPr>
        <w:noBreakHyphen/>
        <w:t>1; г) танк качественного усиления ТРГК Т</w:t>
      </w:r>
      <w:r w:rsidRPr="0044524F">
        <w:rPr>
          <w:color w:val="000000" w:themeColor="text1"/>
          <w:sz w:val="16"/>
          <w:szCs w:val="16"/>
        </w:rPr>
        <w:noBreakHyphen/>
        <w:t>28; д) мощный танк особого назначения типа Т</w:t>
      </w:r>
      <w:r w:rsidRPr="0044524F">
        <w:rPr>
          <w:color w:val="000000" w:themeColor="text1"/>
          <w:sz w:val="16"/>
          <w:szCs w:val="16"/>
        </w:rPr>
        <w:noBreakHyphen/>
        <w:t>35.</w:t>
      </w:r>
    </w:p>
    <w:p w14:paraId="0358F86F"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2. Специальные танки — 7 типов (на шасси стандартных с перечисленными выше танками): а) 3 химических; б) 2 саперных; в) самоходная артиллерийская установка; г) танк управления.</w:t>
      </w:r>
    </w:p>
    <w:p w14:paraId="073F6A48"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3. Бронемашины — 2 типа (на шасси «Форд</w:t>
      </w:r>
      <w:r w:rsidRPr="0044524F">
        <w:rPr>
          <w:color w:val="000000" w:themeColor="text1"/>
          <w:sz w:val="16"/>
          <w:szCs w:val="16"/>
        </w:rPr>
        <w:noBreakHyphen/>
        <w:t>А» и «Форд</w:t>
      </w:r>
      <w:r w:rsidRPr="0044524F">
        <w:rPr>
          <w:color w:val="000000" w:themeColor="text1"/>
          <w:sz w:val="16"/>
          <w:szCs w:val="16"/>
        </w:rPr>
        <w:noBreakHyphen/>
        <w:t>ЗА»): а) разведывательная; б) боевая.</w:t>
      </w:r>
    </w:p>
    <w:p w14:paraId="26DD093A"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4. Железнодорожные боевые машины — 2 типа: а) мото-броневагон; б) разведывательная дрезина-бронеавтомобиль (стандартный с бронемашиной).</w:t>
      </w:r>
    </w:p>
    <w:p w14:paraId="08B7AAF9"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5. Тракторы — 3 типа (все типы общегосударственные): а) легкий быстроходный трактор СТЗ</w:t>
      </w:r>
      <w:r w:rsidRPr="0044524F">
        <w:rPr>
          <w:color w:val="000000" w:themeColor="text1"/>
          <w:sz w:val="16"/>
          <w:szCs w:val="16"/>
        </w:rPr>
        <w:noBreakHyphen/>
        <w:t>З; б) тяжелый быстроходный трактор «Коммунар»; в) тяжелый мощный трактор «Сталинец».</w:t>
      </w:r>
    </w:p>
    <w:p w14:paraId="0926CF14"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6. Транспортеры — 2 типа: а) транспортер боеприпасов на поле боя (шасси стандартные с разведывательным танком); б) транспортер пехоты (на шасси легкого трактора).</w:t>
      </w:r>
    </w:p>
    <w:p w14:paraId="30E2E3B8"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7. Транспортные машины (существующие на массовом производстве с установкой трехосных ходовых частей и полугусеничных снежных ходов): а) «Форд-А»; б) «Форд</w:t>
      </w:r>
      <w:r w:rsidRPr="0044524F">
        <w:rPr>
          <w:color w:val="000000" w:themeColor="text1"/>
          <w:sz w:val="16"/>
          <w:szCs w:val="16"/>
        </w:rPr>
        <w:noBreakHyphen/>
        <w:t>АА»; в) АМО</w:t>
      </w:r>
      <w:r w:rsidRPr="0044524F">
        <w:rPr>
          <w:color w:val="000000" w:themeColor="text1"/>
          <w:sz w:val="16"/>
          <w:szCs w:val="16"/>
        </w:rPr>
        <w:noBreakHyphen/>
        <w:t>5; г) Я</w:t>
      </w:r>
      <w:r w:rsidRPr="0044524F">
        <w:rPr>
          <w:color w:val="000000" w:themeColor="text1"/>
          <w:sz w:val="16"/>
          <w:szCs w:val="16"/>
        </w:rPr>
        <w:noBreakHyphen/>
        <w:t>5. ...³*</w:t>
      </w:r>
    </w:p>
    <w:p w14:paraId="0B46DF31"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Новые проблемы механизации РККА</w:t>
      </w:r>
    </w:p>
    <w:p w14:paraId="38ED0A02"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В качестве специальной научно-исследовательской работы по разрешению новых проблем механизации РККА ставятся следующие задачи:</w:t>
      </w:r>
    </w:p>
    <w:p w14:paraId="78A5B2D5"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1. Разработка вопросов переброски с десантными целями танков по воздуху на самолетах. 2. Изготовление образцов приспособлений к существующим типам машин для движения их в зимних условиях. 3. Окончательное решение проблемы и создание телеуправляемых танков. 4. Перевод всех моторов на тяжелое топливо.</w:t>
      </w:r>
    </w:p>
    <w:p w14:paraId="07CA99DB"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Прошу утвердить представляемую систему бронетанкового вооружения.</w:t>
      </w:r>
    </w:p>
    <w:p w14:paraId="027D1F6F" w14:textId="77777777" w:rsidR="004622D9" w:rsidRPr="0044524F" w:rsidRDefault="004622D9" w:rsidP="009654CF">
      <w:pPr>
        <w:pStyle w:val="rtejustify"/>
        <w:spacing w:before="0" w:after="0"/>
        <w:rPr>
          <w:color w:val="000000" w:themeColor="text1"/>
          <w:sz w:val="16"/>
          <w:szCs w:val="16"/>
        </w:rPr>
      </w:pPr>
      <w:r w:rsidRPr="0044524F">
        <w:rPr>
          <w:rStyle w:val="af0"/>
          <w:i w:val="0"/>
          <w:color w:val="000000" w:themeColor="text1"/>
          <w:sz w:val="16"/>
          <w:szCs w:val="16"/>
        </w:rPr>
        <w:t>Приложение</w:t>
      </w:r>
      <w:r w:rsidRPr="0044524F">
        <w:rPr>
          <w:color w:val="000000" w:themeColor="text1"/>
          <w:sz w:val="16"/>
          <w:szCs w:val="16"/>
        </w:rPr>
        <w:t>: проект постановления КО⁴*.</w:t>
      </w:r>
    </w:p>
    <w:p w14:paraId="152B93A2" w14:textId="77777777" w:rsidR="004622D9" w:rsidRPr="0044524F" w:rsidRDefault="004622D9" w:rsidP="009654CF">
      <w:pPr>
        <w:pStyle w:val="ae"/>
        <w:spacing w:before="0" w:after="0"/>
        <w:jc w:val="both"/>
        <w:rPr>
          <w:color w:val="000000" w:themeColor="text1"/>
          <w:sz w:val="16"/>
          <w:szCs w:val="16"/>
        </w:rPr>
      </w:pPr>
      <w:r w:rsidRPr="0044524F">
        <w:rPr>
          <w:rStyle w:val="af0"/>
          <w:i w:val="0"/>
          <w:color w:val="000000" w:themeColor="text1"/>
          <w:sz w:val="16"/>
          <w:szCs w:val="16"/>
        </w:rPr>
        <w:t>Народный комиссар по военным и морским делам и председатель РВС Союза ССР Ворошилов</w:t>
      </w:r>
    </w:p>
    <w:p w14:paraId="43CB6B12" w14:textId="77777777" w:rsidR="004622D9" w:rsidRPr="0044524F" w:rsidRDefault="004622D9"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6DD76B60"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¹* Далее опущен раздел 3. «Состояние и итоги работ по механизации за границей».</w:t>
      </w:r>
    </w:p>
    <w:p w14:paraId="7C3F39E8"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²* Таблица не публикуется (см. там же, АП РФ. Л. 166; ГА РФ Л. 27).</w:t>
      </w:r>
    </w:p>
    <w:p w14:paraId="209D7930"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³* Опущены сведения о тактико-технических требованиях к перечисленным машинам, а также разделы: «2. Специальные танки»; «3. Бронеавтомобили»; «4. Железнодорожные боевые машины»; «5. Тракторы»; «6. Транспортеры»; «7. Транспортные машины».</w:t>
      </w:r>
    </w:p>
    <w:p w14:paraId="543EDC4F" w14:textId="77777777" w:rsidR="004622D9" w:rsidRPr="0044524F" w:rsidRDefault="004622D9" w:rsidP="009654CF">
      <w:pPr>
        <w:pStyle w:val="rtejustify"/>
        <w:spacing w:before="0" w:after="0"/>
        <w:rPr>
          <w:color w:val="000000" w:themeColor="text1"/>
          <w:sz w:val="16"/>
          <w:szCs w:val="16"/>
        </w:rPr>
      </w:pPr>
      <w:r w:rsidRPr="0044524F">
        <w:rPr>
          <w:color w:val="000000" w:themeColor="text1"/>
          <w:sz w:val="16"/>
          <w:szCs w:val="16"/>
        </w:rPr>
        <w:t xml:space="preserve">⁴* Приложение не публикуется. Принятое постановление см. </w:t>
      </w:r>
      <w:hyperlink r:id="rId267" w:history="1">
        <w:r w:rsidRPr="0044524F">
          <w:rPr>
            <w:rStyle w:val="a5"/>
            <w:color w:val="000000" w:themeColor="text1"/>
            <w:sz w:val="16"/>
            <w:szCs w:val="16"/>
          </w:rPr>
          <w:t>документ от 13 августа 1933 г. — Постановление СТО СССР № 71сс/о «О системе танкового вооружения РККА»</w:t>
        </w:r>
      </w:hyperlink>
      <w:r w:rsidRPr="0044524F">
        <w:rPr>
          <w:color w:val="000000" w:themeColor="text1"/>
          <w:sz w:val="16"/>
          <w:szCs w:val="16"/>
        </w:rPr>
        <w:t>.</w:t>
      </w:r>
    </w:p>
    <w:p w14:paraId="0A96B38B"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 3. Оп. 46. Д. 381. Л. 134-156. Подлинник.</w:t>
      </w:r>
    </w:p>
    <w:p w14:paraId="5272A41A"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 РФ. Ф. Р-8418. Оп. 8. Д. 44. Л. 20-43. Подлинник (15274).</w:t>
      </w:r>
    </w:p>
    <w:p w14:paraId="130E53A9" w14:textId="77777777" w:rsidR="004622D9" w:rsidRPr="0044524F" w:rsidRDefault="004622D9" w:rsidP="009654CF">
      <w:pPr>
        <w:spacing w:after="0" w:line="240" w:lineRule="auto"/>
        <w:jc w:val="both"/>
        <w:rPr>
          <w:rFonts w:ascii="Times New Roman" w:hAnsi="Times New Roman"/>
          <w:iCs/>
          <w:color w:val="000000" w:themeColor="text1"/>
          <w:sz w:val="16"/>
          <w:szCs w:val="16"/>
        </w:rPr>
      </w:pPr>
    </w:p>
    <w:p w14:paraId="6A1E6367" w14:textId="77777777" w:rsidR="008A6A4E" w:rsidRPr="0044524F" w:rsidRDefault="008A6A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июля 1933 г. нарком по военным и морским делам СССР и председатель Реввоенсовета СССР К.Е. Ворошилов докладывал председателю Комиссии обороны СССР В.М. Молотову об итогах первой пятилетки: «Конструкции танков, состоящих в данный момент на вооружении РККА, могут быть сравниваемы в отношении их боевых качеств только с самыми лучшими аналогичными образцами заграничной техники, т. к. они не только не уступают им по отдельным своим элементам, но даже по некоторым категориям машин превосходят лучшие заграничные образцы: а) разведывательный танк Т-37 плавающего типа, уступая английскому танку амфибия «Карден-Ллойд» в скорости хода, превосходит последний по мягкости подвески и по толщине брони; б) общевойсковой танк Т-26 ничем не уступает английскому легкому танку «Виккерс», а по мощности вооружения превосходит его; в) оперативный танк БТ ничем не уступает американскому быстроходному танку «Кристи», а по мощности вооружения превосходит его; г) танк качеств[енного] усиления Т-28 значительно превосходит средний танк Виккерса по мощности мотора, скорости, вооружению и лучшим качеством ходовых частей; д) мощный танк особого назначения Т-35, не имеющий себе равного за границей, значительно превосходит французский танк ЗС по скорости хода и качествам ходовых частей; е) опытный образец оперативного плавающего танка ПТ-1 по новизне и совершенству конструкции не имеет себе равного за границей».</w:t>
      </w:r>
    </w:p>
    <w:p w14:paraId="2AD8669F" w14:textId="77777777" w:rsidR="008A6A4E" w:rsidRPr="0044524F" w:rsidRDefault="008A6A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Крайне оптимистично К. Е. Ворошилов оценивал количество выпущенных танков: «По количеству боевых машин, фактически состоящих на вооружении, Красная армия стоит на первом месте: РККА к 1 мая имеет 5600 танков, из них вполне современных около 4800 танков, тогда как 6 главнейших капиталистических государств, вместе взятых, имеют не более 3-4 тыс. современных танков». Но необходимо оговориться, что в общее число советских танков, перечисленных К. Е. Ворошиловым, входили почти 2,5 тыс. танкеток Т-27 и, например, только 12 танков Т-28 и 2 танка Т-35 (их производство только начиналось)[79].</w:t>
      </w:r>
    </w:p>
    <w:p w14:paraId="4AE5B36F" w14:textId="77777777" w:rsidR="008A6A4E" w:rsidRPr="0044524F" w:rsidRDefault="008A6A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Вместе с победными реляциями в первой части своего доклада, касающихся прежде всего количественной составляющей танкового парка РККА и достижений советской промышленности, К. Е. Ворошилов далее указывал на основные негативные черты развития отечественного танкостроения в частности и всей военной промышленности в целом. Отечественная промышленность боеприпасов работала неудовлетворительно: «Огнеприпасы для танковых пушек имеются в производстве в незначительном количестве, не обеспечивающем даже текущую боевую подготовку войск». 620 танков БТ из 710 изготовленных не имели пушечного вооружения, поскольку требуемое количество пушек еще не было изготовлено. С 1932 г. так и не был решен вопрос создания собственной моторной базы для БТ. На эти танки продолжали устанавливать американские «Либерти». Также осталась проблема зависимости от импорта подшипников и электрооборудования. К этому нужно добавить недостаточную обеспеченность запасными частями (25</w:t>
      </w:r>
      <w:r w:rsidRPr="0044524F">
        <w:rPr>
          <w:rFonts w:ascii="Times New Roman" w:hAnsi="Times New Roman"/>
          <w:color w:val="000000" w:themeColor="text1"/>
          <w:sz w:val="16"/>
          <w:szCs w:val="16"/>
        </w:rPr>
        <w:softHyphen/>
        <w:t>30 % от плана) при низком качестве и надежности отдельных узлов и агрегатов[80] (23536).</w:t>
      </w:r>
    </w:p>
    <w:p w14:paraId="692182B6" w14:textId="77777777" w:rsidR="008A6A4E" w:rsidRPr="0044524F" w:rsidRDefault="008A6A4E" w:rsidP="009654CF">
      <w:pPr>
        <w:spacing w:after="0" w:line="240" w:lineRule="auto"/>
        <w:jc w:val="both"/>
        <w:rPr>
          <w:rFonts w:ascii="Times New Roman" w:hAnsi="Times New Roman"/>
          <w:color w:val="000000" w:themeColor="text1"/>
          <w:sz w:val="16"/>
          <w:szCs w:val="16"/>
        </w:rPr>
      </w:pPr>
    </w:p>
    <w:p w14:paraId="27AC488C" w14:textId="77777777" w:rsidR="00C22911"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1767E7A5"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082E750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16 июля 1933 года датируется подписанный Томсоном рапорт о имевших место в Липецкой школе лётных происшествиях. Между тем фон дер Лит-Томсен вернулся в Германию ещё в 1928 году. </w:t>
      </w:r>
    </w:p>
    <w:p w14:paraId="794CE12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целом объект в Липецке обходился рейхсверу в среднем в 2 млн марок ежегодно. В отдельные же годы расходы были существенно большими (в 1929 г. — 3,9 млн, 1930 г. — 3,1 млн), и это без учёта затрат на создание необходимой инфраструктуры. Между тем согласно подготовленной в январе 1929 года начальником IV Управления Штаба РККА (военная разведка</w:t>
      </w:r>
      <w:r w:rsidRPr="0044524F">
        <w:rPr>
          <w:rFonts w:ascii="Times New Roman" w:hAnsi="Times New Roman"/>
          <w:iCs/>
          <w:color w:val="000000" w:themeColor="text1"/>
          <w:sz w:val="16"/>
          <w:szCs w:val="16"/>
        </w:rPr>
        <w:t xml:space="preserve"> )</w:t>
      </w:r>
      <w:r w:rsidRPr="0044524F">
        <w:rPr>
          <w:rFonts w:ascii="Times New Roman" w:hAnsi="Times New Roman"/>
          <w:color w:val="000000" w:themeColor="text1"/>
          <w:sz w:val="16"/>
          <w:szCs w:val="16"/>
        </w:rPr>
        <w:t xml:space="preserve"> Я.Берзиным секретной справке расходы, связанные с капитальным строительством на липецком объекте, составили в 1925 году 120 тыс. руб., в 1926-230 тыс. руб., в 1927-1928 гг. — 750 тыс. руб. (Дьяков Ю. Л., Бушуева Т. С. Фашистский меч ковался в СССР... С. 169-170) (11208).</w:t>
      </w:r>
    </w:p>
    <w:p w14:paraId="1565FA1F"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04393B3A" w14:textId="77777777" w:rsidR="004622D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2A1C9E2" w14:textId="77777777" w:rsidR="004622D9" w:rsidRPr="0044524F" w:rsidRDefault="004622D9" w:rsidP="009654CF">
      <w:pPr>
        <w:spacing w:after="0" w:line="240" w:lineRule="auto"/>
        <w:jc w:val="both"/>
        <w:rPr>
          <w:rFonts w:ascii="Times New Roman" w:hAnsi="Times New Roman"/>
          <w:iCs/>
          <w:color w:val="000000" w:themeColor="text1"/>
          <w:sz w:val="16"/>
          <w:szCs w:val="16"/>
        </w:rPr>
      </w:pPr>
    </w:p>
    <w:p w14:paraId="33CAA437" w14:textId="77777777" w:rsidR="004622D9" w:rsidRPr="0044524F" w:rsidRDefault="004622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июля в 1933 году имея на борту 800 тонн груза, 3 500 тонн угля и более 100 человек, "Челюскин" выходит из Ленинграда в героический поход сквозь льды по Северному морскому пути. Начальник экспедиции Отто Юльевич Шмидт. 13 августа 1933 "Челюскин" столкнется с полярными льдами, а затем навсегда в них застрянет. После этого никто не сомневается в том, что судно затонет - это и произойдет 13 февраля 1934. Всех участников экспедиции спасут. За их спасением будет следить весь мир (14954).</w:t>
      </w:r>
    </w:p>
    <w:p w14:paraId="000AA5E8" w14:textId="77777777" w:rsidR="004622D9" w:rsidRPr="0044524F" w:rsidRDefault="004622D9" w:rsidP="009654CF">
      <w:pPr>
        <w:spacing w:after="0" w:line="240" w:lineRule="auto"/>
        <w:jc w:val="both"/>
        <w:rPr>
          <w:rFonts w:ascii="Times New Roman" w:hAnsi="Times New Roman"/>
          <w:color w:val="000000" w:themeColor="text1"/>
          <w:sz w:val="16"/>
          <w:szCs w:val="16"/>
        </w:rPr>
      </w:pPr>
    </w:p>
    <w:p w14:paraId="6C44B701" w14:textId="77777777" w:rsidR="00040C95" w:rsidRPr="0044524F" w:rsidRDefault="00040C9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16 июля 1933 судно Челюскин вышло в дальний поход. 25 июля во второй раз отплыло из Копенгагена и только 2 августа пришвартовалось в Мурманске. Там оказалось, что груз для Врангеля еще не поступил, и ждать его пришлось неделю. Наконец, 10 августа, с запозданием в двадцать дней, «Челюскин» вышел в море, но спустя всего два дня О.Ю. Шмидту пришлось послать в Москву тревожную телеграмму: «Сам корпус судна слабее, чем предполагали. Удары льдин причинили носовой части корпуса повреждения в виде вмятин, срезаны также несколько заклепок». Через неделю вновь пришлось сообщить: «Прочность корпуса как общая, так местная недостаточна и для данного рейса не пригодна. Превышение 115 оборотов машины вызывает общую вибрацию корпуса, особенно заметную в районе 94 шпангоута… Управляемость на малых ходах плохая, затрудняет работу во льдах» (20467).</w:t>
      </w:r>
    </w:p>
    <w:p w14:paraId="232D907C" w14:textId="77777777" w:rsidR="00040C95" w:rsidRPr="0044524F" w:rsidRDefault="00040C95" w:rsidP="009654CF">
      <w:pPr>
        <w:spacing w:after="0" w:line="240" w:lineRule="auto"/>
        <w:jc w:val="both"/>
        <w:rPr>
          <w:rFonts w:ascii="Times New Roman" w:hAnsi="Times New Roman"/>
          <w:color w:val="000000" w:themeColor="text1"/>
          <w:sz w:val="16"/>
          <w:szCs w:val="16"/>
        </w:rPr>
      </w:pPr>
    </w:p>
    <w:p w14:paraId="338B532E"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302D166"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1E27F45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ночь с 16 на 17 июля 1933 в 600 км от Каунаса разбилась Белланка Литуаника, летевшая из Нью-Йорка 15 (238,125).</w:t>
      </w:r>
    </w:p>
    <w:p w14:paraId="7DD4C574"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66A7F7E9"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4DEA0C0"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2F4AC24A" w14:textId="77777777" w:rsidR="008A6A4E" w:rsidRPr="0044524F" w:rsidRDefault="008A6A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г. заводские испытания И-14 были прерваны и самолет возвратили в ЦАГИ для доработок. Испытания возобновились 30 сентября 1933 г., но продолжались они недолго: 25 октября 1933 г. И-14 вновь вернули в ЦАГИ для устранения выявленных недостатков (23455).</w:t>
      </w:r>
    </w:p>
    <w:p w14:paraId="620C5BF6" w14:textId="77777777" w:rsidR="008A6A4E" w:rsidRPr="0044524F" w:rsidRDefault="008A6A4E" w:rsidP="009654CF">
      <w:pPr>
        <w:spacing w:after="0" w:line="240" w:lineRule="auto"/>
        <w:jc w:val="both"/>
        <w:rPr>
          <w:rFonts w:ascii="Times New Roman" w:hAnsi="Times New Roman"/>
          <w:color w:val="000000" w:themeColor="text1"/>
          <w:sz w:val="16"/>
          <w:szCs w:val="16"/>
        </w:rPr>
      </w:pPr>
    </w:p>
    <w:p w14:paraId="120DB14B" w14:textId="77777777" w:rsidR="006C77DB" w:rsidRPr="00142305" w:rsidRDefault="006C77DB" w:rsidP="006C77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июля 1933 г. заводские испытания И-14 были прерваны и самолет возвратили в ЦАГИ для доработок. Испытания возобновились 30 сентября 1933 г., но продолжались они недолго: 25 октября 1933 г. И-14 вновь вернули в ЦАГИ для устранения выявленных недостатков.</w:t>
      </w:r>
    </w:p>
    <w:p w14:paraId="32574EA8" w14:textId="77777777" w:rsidR="006C77DB" w:rsidRPr="00142305" w:rsidRDefault="006C77DB" w:rsidP="006C77D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Неудачное начало заводских испытаний И-14 показало, что процесс доводки конструкции может потребовать много времени без твердой гарантии его успешного завершения. В этих условиях руководство ВВС было вынуждено выдать задание Н. Н. Поликарпову на проектирование альтернативного скоростного истребителя-моноплана И-16 (25035).</w:t>
      </w:r>
    </w:p>
    <w:p w14:paraId="5A7156A6" w14:textId="77777777" w:rsidR="006C77DB" w:rsidRPr="00142305" w:rsidRDefault="006C77DB" w:rsidP="006C77DB">
      <w:pPr>
        <w:spacing w:after="0" w:line="240" w:lineRule="auto"/>
        <w:jc w:val="both"/>
        <w:rPr>
          <w:rFonts w:ascii="Times New Roman" w:hAnsi="Times New Roman"/>
          <w:color w:val="0070C0"/>
          <w:sz w:val="16"/>
          <w:szCs w:val="16"/>
        </w:rPr>
      </w:pPr>
    </w:p>
    <w:p w14:paraId="4916136B" w14:textId="77777777" w:rsidR="006C77DB" w:rsidRPr="00142305" w:rsidRDefault="006C77DB" w:rsidP="006C77D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17 июля 1933 г. руководители испытаний И-4 с АПК-3бис заявили, что пушка «боевым требованиям не удовлетворяет», и система будет использоваться как учебная, а планируемый заказ на 50 пушек АПК-3бис размещению не подлежит (25213).</w:t>
      </w:r>
    </w:p>
    <w:p w14:paraId="6EF3C609" w14:textId="77777777" w:rsidR="006C77DB" w:rsidRPr="00142305" w:rsidRDefault="006C77DB" w:rsidP="006C77DB">
      <w:pPr>
        <w:spacing w:after="0" w:line="240" w:lineRule="auto"/>
        <w:jc w:val="both"/>
        <w:rPr>
          <w:rFonts w:ascii="Times New Roman" w:hAnsi="Times New Roman"/>
          <w:color w:val="0070C0"/>
          <w:sz w:val="16"/>
          <w:szCs w:val="16"/>
        </w:rPr>
      </w:pPr>
    </w:p>
    <w:p w14:paraId="7BC9D04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руководители испытаний АПК-3бис на И-4 заявили, что пушка “боевым требованиям не удовлетворяет” и что система будет использоваться как учебная, а заказ на 50 АПК-3бис - размещен не будет (3996, 100).</w:t>
      </w:r>
    </w:p>
    <w:p w14:paraId="0848D8B1"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6DADB31F"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И-14 возвратили в ЗОК ЦАГИ для их устранения. До 30 сен</w:t>
      </w:r>
      <w:r w:rsidRPr="0044524F">
        <w:rPr>
          <w:rFonts w:ascii="Times New Roman" w:hAnsi="Times New Roman"/>
          <w:color w:val="000000" w:themeColor="text1"/>
          <w:sz w:val="16"/>
          <w:szCs w:val="16"/>
        </w:rPr>
        <w:softHyphen/>
        <w:t>тября на самолёте выполнили следующие работы: отрегулировали систему уборки и выпуска шасси; на отъёмных частях крыла перкалевую обшивку заменили гофрирован</w:t>
      </w:r>
      <w:r w:rsidRPr="0044524F">
        <w:rPr>
          <w:rFonts w:ascii="Times New Roman" w:hAnsi="Times New Roman"/>
          <w:color w:val="000000" w:themeColor="text1"/>
          <w:sz w:val="16"/>
          <w:szCs w:val="16"/>
        </w:rPr>
        <w:softHyphen/>
        <w:t>ной; установили масляный радиатор с увеличенной площадью охлаждения; передела</w:t>
      </w:r>
      <w:r w:rsidRPr="0044524F">
        <w:rPr>
          <w:rFonts w:ascii="Times New Roman" w:hAnsi="Times New Roman"/>
          <w:color w:val="000000" w:themeColor="text1"/>
          <w:sz w:val="16"/>
          <w:szCs w:val="16"/>
        </w:rPr>
        <w:softHyphen/>
        <w:t>ли выхлопной коллектор мотора. В связи с затруднениями, возникшими при доводке самолёта и срывом сроков передачи его на госиспытания (15.03.33), постановлением РВС СССР от 17.07.33 г. определили новый срок — 1.02.34 г.</w:t>
      </w:r>
    </w:p>
    <w:p w14:paraId="3BBDAEA3"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Учитывая то, что в Советском Союзе имелся лишь один экземпляр мотора </w:t>
      </w:r>
      <w:r w:rsidRPr="0044524F">
        <w:rPr>
          <w:rFonts w:ascii="Times New Roman" w:hAnsi="Times New Roman"/>
          <w:color w:val="000000" w:themeColor="text1"/>
          <w:sz w:val="16"/>
          <w:szCs w:val="16"/>
          <w:lang w:val="en-US"/>
        </w:rPr>
        <w:t>Bristol</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Mer</w:t>
      </w:r>
      <w:r w:rsidRPr="0044524F">
        <w:rPr>
          <w:rFonts w:ascii="Times New Roman" w:hAnsi="Times New Roman"/>
          <w:color w:val="000000" w:themeColor="text1"/>
          <w:sz w:val="16"/>
          <w:szCs w:val="16"/>
        </w:rPr>
        <w:softHyphen/>
      </w:r>
      <w:r w:rsidRPr="0044524F">
        <w:rPr>
          <w:rFonts w:ascii="Times New Roman" w:hAnsi="Times New Roman"/>
          <w:color w:val="000000" w:themeColor="text1"/>
          <w:sz w:val="16"/>
          <w:szCs w:val="16"/>
          <w:lang w:val="en-US"/>
        </w:rPr>
        <w:t>cury</w:t>
      </w:r>
      <w:r w:rsidRPr="0044524F">
        <w:rPr>
          <w:rFonts w:ascii="Times New Roman" w:hAnsi="Times New Roman"/>
          <w:color w:val="000000" w:themeColor="text1"/>
          <w:sz w:val="16"/>
          <w:szCs w:val="16"/>
        </w:rPr>
        <w:t>, в июле 1933 г. в ЦАГИ приступили к постройке второго экземпляра И-14 или так на</w:t>
      </w:r>
      <w:r w:rsidRPr="0044524F">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44524F">
        <w:rPr>
          <w:rFonts w:ascii="Times New Roman" w:hAnsi="Times New Roman"/>
          <w:color w:val="000000" w:themeColor="text1"/>
          <w:sz w:val="16"/>
          <w:szCs w:val="16"/>
          <w:lang w:val="en-US"/>
        </w:rPr>
        <w:t>Wright</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CycloneF</w:t>
      </w:r>
      <w:r w:rsidRPr="0044524F">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76E17F26" w14:textId="77777777" w:rsidR="00B4520E" w:rsidRPr="0044524F" w:rsidRDefault="00B4520E" w:rsidP="009654CF">
      <w:pPr>
        <w:spacing w:after="0" w:line="240" w:lineRule="auto"/>
        <w:jc w:val="both"/>
        <w:rPr>
          <w:rFonts w:ascii="Times New Roman" w:hAnsi="Times New Roman"/>
          <w:color w:val="000000" w:themeColor="text1"/>
          <w:sz w:val="16"/>
          <w:szCs w:val="16"/>
        </w:rPr>
      </w:pPr>
    </w:p>
    <w:p w14:paraId="43D7D023" w14:textId="77777777" w:rsidR="00DC5A55" w:rsidRPr="0044524F" w:rsidRDefault="00DC5A55"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17 июля 1933 И-14 был возвращена в ЗОК ЦАГИ для устранения недостатков. До 30 сентября на самолете выполнили следующие работы: отрегулировали систему уборки и выпуска шасси; на отъемных частях крыла перкалевую обшивку заменили на гофрированную; установили масляный радиатор с увеличенной площадью охлаждения; переделали выхлопной коллектор мотора. В связи с затруднениями, возникшими при доводке самолета и срывом сроков передачи его на госиспытания (15.03.33), постановлением РВС СССР от 17.07.33 был определен новый срок – 1.02.34 г. (19177).</w:t>
      </w:r>
    </w:p>
    <w:p w14:paraId="4958A7F4" w14:textId="77777777" w:rsidR="00DC5A55" w:rsidRPr="0044524F" w:rsidRDefault="00DC5A55" w:rsidP="009654CF">
      <w:pPr>
        <w:pStyle w:val="ae"/>
        <w:shd w:val="clear" w:color="auto" w:fill="FFFFFF"/>
        <w:spacing w:before="0" w:after="0"/>
        <w:jc w:val="both"/>
        <w:textAlignment w:val="baseline"/>
        <w:rPr>
          <w:color w:val="000000" w:themeColor="text1"/>
          <w:sz w:val="16"/>
          <w:szCs w:val="16"/>
        </w:rPr>
      </w:pPr>
    </w:p>
    <w:p w14:paraId="6930224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г. руководители испытаний заявили, что пушка «боевым требованиям не удовлетворяет» и система будет использоваться как учебная, а планируемый заказ на 50 пушек АПК-Збис размещению не подлежит (12091).</w:t>
      </w:r>
    </w:p>
    <w:p w14:paraId="76A06B3D"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033EF4C1" w14:textId="77777777" w:rsidR="00DC5A55" w:rsidRPr="0044524F" w:rsidRDefault="00DC5A55"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17 июля 1933 Постановление РВС СССР от 17.07.33 установило новый срок сдачи самолета ДИП на государственные испытания — 1 июня 1934 года (19175).</w:t>
      </w:r>
    </w:p>
    <w:p w14:paraId="214051AE" w14:textId="77777777" w:rsidR="00DC5A55" w:rsidRPr="0044524F" w:rsidRDefault="00DC5A55" w:rsidP="009654CF">
      <w:pPr>
        <w:pStyle w:val="ae"/>
        <w:shd w:val="clear" w:color="auto" w:fill="FFFFFF"/>
        <w:spacing w:before="0" w:after="0"/>
        <w:jc w:val="both"/>
        <w:textAlignment w:val="baseline"/>
        <w:rPr>
          <w:color w:val="000000" w:themeColor="text1"/>
          <w:sz w:val="16"/>
          <w:szCs w:val="16"/>
        </w:rPr>
      </w:pPr>
    </w:p>
    <w:p w14:paraId="3B8A313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года РВС Союза подтвердил Наркомтяжпрому, что с 1 января 1934 года не будет принимать ни одного М-34 без редуктора для тяжелых самолетов (4267,15-17).</w:t>
      </w:r>
    </w:p>
    <w:p w14:paraId="3F8EF3E1"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6A2EE3F7" w14:textId="77777777" w:rsidR="00C22911" w:rsidRPr="0044524F" w:rsidRDefault="00C2291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г. постановлением Реввоенсовета от ЦИАМ требовалось к маю 1934 г. выставить на испытания модифика</w:t>
      </w:r>
      <w:r w:rsidRPr="0044524F">
        <w:rPr>
          <w:rFonts w:ascii="Times New Roman" w:hAnsi="Times New Roman"/>
          <w:color w:val="000000" w:themeColor="text1"/>
          <w:sz w:val="16"/>
          <w:szCs w:val="16"/>
        </w:rPr>
        <w:softHyphen/>
        <w:t>цию двигателя с редуктором и нагне</w:t>
      </w:r>
      <w:r w:rsidRPr="0044524F">
        <w:rPr>
          <w:rFonts w:ascii="Times New Roman" w:hAnsi="Times New Roman"/>
          <w:color w:val="000000" w:themeColor="text1"/>
          <w:sz w:val="16"/>
          <w:szCs w:val="16"/>
        </w:rPr>
        <w:softHyphen/>
        <w:t>тателем, форсированную до 950 л.с. Этот вариант, проектировавшийся с осени 1933 г., именовался М-34ФРН (он же М-34РФН и М-34РНФ). Моторы серии «Б» дали выигрыш в надежности, но не в мощности. Новый мотор представлял собой сильно дорабо</w:t>
      </w:r>
      <w:r w:rsidRPr="0044524F">
        <w:rPr>
          <w:rFonts w:ascii="Times New Roman" w:hAnsi="Times New Roman"/>
          <w:color w:val="000000" w:themeColor="text1"/>
          <w:sz w:val="16"/>
          <w:szCs w:val="16"/>
        </w:rPr>
        <w:softHyphen/>
        <w:t>танный вариант М-34РНБ с некото</w:t>
      </w:r>
      <w:r w:rsidRPr="0044524F">
        <w:rPr>
          <w:rFonts w:ascii="Times New Roman" w:hAnsi="Times New Roman"/>
          <w:color w:val="000000" w:themeColor="text1"/>
          <w:sz w:val="16"/>
          <w:szCs w:val="16"/>
        </w:rPr>
        <w:softHyphen/>
        <w:t>рыми конструктивными элементами от так называемого «М-34Р эталон 1934 г.». На нем усилили коленчатый вал, редуктор и картер. Централь</w:t>
      </w:r>
      <w:r w:rsidRPr="0044524F">
        <w:rPr>
          <w:rFonts w:ascii="Times New Roman" w:hAnsi="Times New Roman"/>
          <w:color w:val="000000" w:themeColor="text1"/>
          <w:sz w:val="16"/>
          <w:szCs w:val="16"/>
        </w:rPr>
        <w:softHyphen/>
        <w:t>ное сочленение шатунов заменили боковым (главный — прицепной). При этом проиграли в плавности хода, но выиграли в надежности. Изменили си</w:t>
      </w:r>
      <w:r w:rsidRPr="0044524F">
        <w:rPr>
          <w:rFonts w:ascii="Times New Roman" w:hAnsi="Times New Roman"/>
          <w:color w:val="000000" w:themeColor="text1"/>
          <w:sz w:val="16"/>
          <w:szCs w:val="16"/>
        </w:rPr>
        <w:softHyphen/>
        <w:t>стему смазки (масло пустили через вал), усовершенствовали нагнета</w:t>
      </w:r>
      <w:r w:rsidRPr="0044524F">
        <w:rPr>
          <w:rFonts w:ascii="Times New Roman" w:hAnsi="Times New Roman"/>
          <w:color w:val="000000" w:themeColor="text1"/>
          <w:sz w:val="16"/>
          <w:szCs w:val="16"/>
        </w:rPr>
        <w:softHyphen/>
        <w:t>тель, подняв наддув, внедрили новый механизм газораспределения, а кар</w:t>
      </w:r>
      <w:r w:rsidRPr="0044524F">
        <w:rPr>
          <w:rFonts w:ascii="Times New Roman" w:hAnsi="Times New Roman"/>
          <w:color w:val="000000" w:themeColor="text1"/>
          <w:sz w:val="16"/>
          <w:szCs w:val="16"/>
        </w:rPr>
        <w:softHyphen/>
        <w:t>бюраторы (их стало несколько) уста</w:t>
      </w:r>
      <w:r w:rsidRPr="0044524F">
        <w:rPr>
          <w:rFonts w:ascii="Times New Roman" w:hAnsi="Times New Roman"/>
          <w:color w:val="000000" w:themeColor="text1"/>
          <w:sz w:val="16"/>
          <w:szCs w:val="16"/>
        </w:rPr>
        <w:softHyphen/>
        <w:t>новили после нагнетателя.</w:t>
      </w:r>
    </w:p>
    <w:p w14:paraId="23EC63C8" w14:textId="77777777" w:rsidR="00C22911" w:rsidRPr="0044524F" w:rsidRDefault="00C22911" w:rsidP="009654CF">
      <w:pPr>
        <w:shd w:val="clear" w:color="auto" w:fill="FFFFFF"/>
        <w:spacing w:after="0" w:line="240" w:lineRule="auto"/>
        <w:jc w:val="both"/>
        <w:rPr>
          <w:rFonts w:ascii="Times New Roman" w:hAnsi="Times New Roman"/>
          <w:color w:val="000000" w:themeColor="text1"/>
          <w:sz w:val="16"/>
          <w:szCs w:val="16"/>
        </w:rPr>
      </w:pPr>
    </w:p>
    <w:p w14:paraId="3EBCBC7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состоялось второе заседание первой партийно-технической конференции КОСОС ЦАГИ, которая началась 14 июля 1933 (1072).</w:t>
      </w:r>
    </w:p>
    <w:p w14:paraId="6996B54F"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55B68B9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решение Реввоенсовета отметило отставание авиамоторостроения и указало на необходимость срочных мер. СТО - решил закупать за рубежом (62,18).</w:t>
      </w:r>
    </w:p>
    <w:p w14:paraId="5716DFCC"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2394862E" w14:textId="77777777" w:rsidR="00B4520E" w:rsidRPr="0044524F" w:rsidRDefault="00B4520E" w:rsidP="009654CF">
      <w:pPr>
        <w:pStyle w:val="rtejustify"/>
        <w:spacing w:before="0" w:after="0"/>
        <w:rPr>
          <w:color w:val="000000" w:themeColor="text1"/>
          <w:sz w:val="16"/>
          <w:szCs w:val="16"/>
        </w:rPr>
      </w:pPr>
      <w:r w:rsidRPr="0044524F">
        <w:rPr>
          <w:rStyle w:val="af0"/>
          <w:bCs/>
          <w:i w:val="0"/>
          <w:color w:val="000000" w:themeColor="text1"/>
          <w:sz w:val="16"/>
          <w:szCs w:val="16"/>
        </w:rPr>
        <w:t>17 июля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ходе выполнения плана опытного самолето- и моторостроения и вооружения авиации». (РГВА. Ф. 4. Оп. 18. Д. 23. Л. 295</w:t>
      </w:r>
      <w:r w:rsidRPr="0044524F">
        <w:rPr>
          <w:color w:val="000000" w:themeColor="text1"/>
          <w:sz w:val="16"/>
          <w:szCs w:val="16"/>
        </w:rPr>
        <w:noBreakHyphen/>
        <w:t>306) (15461).</w:t>
      </w:r>
    </w:p>
    <w:p w14:paraId="13EC49DC" w14:textId="77777777" w:rsidR="00B4520E" w:rsidRPr="0044524F" w:rsidRDefault="00B4520E" w:rsidP="009654CF">
      <w:pPr>
        <w:pStyle w:val="rtejustify"/>
        <w:spacing w:before="0" w:after="0"/>
        <w:rPr>
          <w:rStyle w:val="af0"/>
          <w:bCs/>
          <w:i w:val="0"/>
          <w:color w:val="000000" w:themeColor="text1"/>
          <w:sz w:val="16"/>
          <w:szCs w:val="16"/>
        </w:rPr>
      </w:pPr>
    </w:p>
    <w:p w14:paraId="6ADA4AC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ГУАП и РВС пересмотрели план опытного строительства на 1933, утвержденный Правительством 4 июля 1932 (2287,252).</w:t>
      </w:r>
    </w:p>
    <w:p w14:paraId="53735D34"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02EA19E3" w14:textId="77777777" w:rsidR="001C6342" w:rsidRPr="0044524F" w:rsidRDefault="001C634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17 июля 1933 года, план опытного самолетостроения был откорректированном по постановлению Реввоенсовета (19843).</w:t>
      </w:r>
    </w:p>
    <w:p w14:paraId="69EFB962" w14:textId="77777777" w:rsidR="001C6342" w:rsidRPr="0044524F" w:rsidRDefault="001C6342" w:rsidP="009654CF">
      <w:pPr>
        <w:spacing w:after="0" w:line="240" w:lineRule="auto"/>
        <w:jc w:val="both"/>
        <w:rPr>
          <w:rFonts w:ascii="Times New Roman" w:eastAsia="Times New Roman" w:hAnsi="Times New Roman"/>
          <w:color w:val="000000" w:themeColor="text1"/>
          <w:sz w:val="16"/>
          <w:szCs w:val="16"/>
          <w:shd w:val="clear" w:color="auto" w:fill="DCDCDC"/>
          <w:lang w:eastAsia="ru-RU"/>
        </w:rPr>
      </w:pPr>
    </w:p>
    <w:p w14:paraId="2CA7CCFB" w14:textId="77777777" w:rsidR="001C6342" w:rsidRPr="0044524F" w:rsidRDefault="001C6342" w:rsidP="009654CF">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4524F">
        <w:rPr>
          <w:rFonts w:ascii="Times New Roman" w:hAnsi="Times New Roman" w:cs="Times New Roman"/>
          <w:color w:val="000000" w:themeColor="text1"/>
          <w:spacing w:val="0"/>
          <w:sz w:val="16"/>
          <w:szCs w:val="16"/>
        </w:rPr>
        <w:t>17 июля 1933 года поста</w:t>
      </w:r>
      <w:r w:rsidRPr="0044524F">
        <w:rPr>
          <w:rFonts w:ascii="Times New Roman" w:hAnsi="Times New Roman" w:cs="Times New Roman"/>
          <w:color w:val="000000" w:themeColor="text1"/>
          <w:spacing w:val="0"/>
          <w:sz w:val="16"/>
          <w:szCs w:val="16"/>
        </w:rPr>
        <w:softHyphen/>
        <w:t>новление Реввоенсовета откорректировало плане опытного самолетостроения (19933).</w:t>
      </w:r>
    </w:p>
    <w:p w14:paraId="3C6F84A3" w14:textId="77777777" w:rsidR="001C6342" w:rsidRPr="0044524F" w:rsidRDefault="001C6342" w:rsidP="009654CF">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p>
    <w:p w14:paraId="0BCB74A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И-14 (АНТ-31) из ОЭЛИД, куда машина поступила в июне (4020,11), отправили назад в ЦАГИ для доделок и работа шла до 30 сентября 1933 (1454,25).</w:t>
      </w:r>
    </w:p>
    <w:p w14:paraId="1745E4B6"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6F63D1A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И-14 был передана обратно в ЦАГИ, поскольку в акте было записано, что самолет имеет ряд конструктивных недостатков.</w:t>
      </w:r>
    </w:p>
    <w:p w14:paraId="636E4AE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цехе ЗОК на головном самолете произвели регулировку убирающегося шасси, заменили консоли с полотняной обшивкой на новые, умевшие метеллическую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 таком виде И-14 30 сентября 1933 г. вновь отправили на аэродром, где летчикииспытатели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ЗОКдлн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193C8751"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421FEA85" w14:textId="77777777" w:rsidR="00C22911" w:rsidRPr="0044524F" w:rsidRDefault="00C2291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г. Г.Э.Лангемак утвердил полевой 74-мм универсальный ракетный снаряд РС-74-О и А модели 1330 осветительного и агитационного дейст</w:t>
      </w:r>
      <w:r w:rsidRPr="0044524F">
        <w:rPr>
          <w:rFonts w:ascii="Times New Roman" w:hAnsi="Times New Roman"/>
          <w:color w:val="000000" w:themeColor="text1"/>
          <w:sz w:val="16"/>
          <w:szCs w:val="16"/>
        </w:rPr>
        <w:softHyphen/>
        <w:t>вия, которые разработал В.А.Артемьев, сконструировал, по-види</w:t>
      </w:r>
      <w:r w:rsidRPr="0044524F">
        <w:rPr>
          <w:rFonts w:ascii="Times New Roman" w:hAnsi="Times New Roman"/>
          <w:color w:val="000000" w:themeColor="text1"/>
          <w:sz w:val="16"/>
          <w:szCs w:val="16"/>
        </w:rPr>
        <w:softHyphen/>
        <w:t>мому, Л.Э.Шварц (подпись на чертеже неразборчива), а чертежи исполнил Б.Андерсон. Если придерживать</w:t>
      </w:r>
      <w:r w:rsidRPr="0044524F">
        <w:rPr>
          <w:rFonts w:ascii="Times New Roman" w:hAnsi="Times New Roman"/>
          <w:color w:val="000000" w:themeColor="text1"/>
          <w:sz w:val="16"/>
          <w:szCs w:val="16"/>
        </w:rPr>
        <w:softHyphen/>
        <w:t>ся устоявшихся авиационных традиций, когда калибр РС измеряют по диаметру корпуса двигателя, то РС-74А можно отнести к надкалиберному боеприпасу. То есть, в основе его силовой установки был использован уд</w:t>
      </w:r>
      <w:r w:rsidRPr="0044524F">
        <w:rPr>
          <w:rFonts w:ascii="Times New Roman" w:hAnsi="Times New Roman"/>
          <w:color w:val="000000" w:themeColor="text1"/>
          <w:sz w:val="16"/>
          <w:szCs w:val="16"/>
        </w:rPr>
        <w:softHyphen/>
        <w:t>линенный вариант двигателя от ТРС-68С и ТРС-68Т с наибольшим диа</w:t>
      </w:r>
      <w:r w:rsidRPr="0044524F">
        <w:rPr>
          <w:rFonts w:ascii="Times New Roman" w:hAnsi="Times New Roman"/>
          <w:color w:val="000000" w:themeColor="text1"/>
          <w:sz w:val="16"/>
          <w:szCs w:val="16"/>
        </w:rPr>
        <w:softHyphen/>
        <w:t xml:space="preserve">метром 68 мм. Однако, боковые </w:t>
      </w:r>
      <w:r w:rsidRPr="0044524F">
        <w:rPr>
          <w:rFonts w:ascii="Times New Roman" w:hAnsi="Times New Roman"/>
          <w:color w:val="000000" w:themeColor="text1"/>
          <w:sz w:val="16"/>
          <w:szCs w:val="16"/>
        </w:rPr>
        <w:lastRenderedPageBreak/>
        <w:t>тангенциальные отверстия у РС-74А от</w:t>
      </w:r>
      <w:r w:rsidRPr="0044524F">
        <w:rPr>
          <w:rFonts w:ascii="Times New Roman" w:hAnsi="Times New Roman"/>
          <w:color w:val="000000" w:themeColor="text1"/>
          <w:sz w:val="16"/>
          <w:szCs w:val="16"/>
        </w:rPr>
        <w:softHyphen/>
        <w:t>сутствовали, а стабилизировался снаряд на траектории оперением минометного типа с восемью крыльями размахом 106 мм. Что любопытно, его крепили заклепками к цилиндрической трубке, установленной в хвостовой части боеприпаса за сопловым срезом. Таким образом, выпускную часть сопла удлинили цилиндрической «уравни</w:t>
      </w:r>
      <w:r w:rsidRPr="0044524F">
        <w:rPr>
          <w:rFonts w:ascii="Times New Roman" w:hAnsi="Times New Roman"/>
          <w:color w:val="000000" w:themeColor="text1"/>
          <w:sz w:val="16"/>
          <w:szCs w:val="16"/>
        </w:rPr>
        <w:softHyphen/>
        <w:t>тельной частью». Теоретически давление продуктов горения РЗ на срезе сопла должно было соответствовать атмосферному, поэтому удлинять его цилиндрической трубкой можно было без проблем. Однако, у РС-74 в стенках выпускного цилиндра были выполнены четыре прямых сквоз</w:t>
      </w:r>
      <w:r w:rsidRPr="0044524F">
        <w:rPr>
          <w:rFonts w:ascii="Times New Roman" w:hAnsi="Times New Roman"/>
          <w:color w:val="000000" w:themeColor="text1"/>
          <w:sz w:val="16"/>
          <w:szCs w:val="16"/>
        </w:rPr>
        <w:softHyphen/>
        <w:t>ных отверстия диаметром 6 мм. Подобным элементом обладала и 1000-кг воздушно-реактивная торпеда конструкции инженера Тверского (о ней речь пойдет ниже) (11402).</w:t>
      </w:r>
    </w:p>
    <w:p w14:paraId="5D74BDB7" w14:textId="77777777" w:rsidR="00C22911" w:rsidRPr="0044524F" w:rsidRDefault="00C22911" w:rsidP="009654CF">
      <w:pPr>
        <w:shd w:val="clear" w:color="auto" w:fill="FFFFFF"/>
        <w:spacing w:after="0" w:line="240" w:lineRule="auto"/>
        <w:jc w:val="both"/>
        <w:rPr>
          <w:rFonts w:ascii="Times New Roman" w:hAnsi="Times New Roman"/>
          <w:color w:val="000000" w:themeColor="text1"/>
          <w:sz w:val="16"/>
          <w:szCs w:val="16"/>
        </w:rPr>
      </w:pPr>
    </w:p>
    <w:p w14:paraId="629F07AB"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9F6246F"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10CC96D9" w14:textId="77777777" w:rsidR="00385FF5" w:rsidRPr="00142305" w:rsidRDefault="00385FF5" w:rsidP="00385F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17 июня 1933 г. на НИАПе начались полигонные испытания 82-мм миномётов, изготовленных на заводе «Красный Октябрь». Вес миномётов с колёсным ходом составлял 81 кг. Стрельба велась трофейными минами с шестикрылыми стабилизаторами. Всего у китайцев было захвачено около 10 тысяч мин. Стрельба ими велась на дистанции от 1800 до 80 метров.</w:t>
      </w:r>
    </w:p>
    <w:p w14:paraId="13C3C24D" w14:textId="77777777" w:rsidR="00385FF5" w:rsidRPr="00142305" w:rsidRDefault="00385FF5" w:rsidP="00385F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Качество миномётов и отечественных мин было неудовлетворительное, и испытания шли одно за другим. К работе над миномётами подключились заводы № 13 (г. Брянск) и № 7 («Красный Арсенал»). Постепенно завод № 7 стал ведущим разработчиком и изготовителем миномётов (25184).</w:t>
      </w:r>
    </w:p>
    <w:p w14:paraId="5801B1AE" w14:textId="77777777" w:rsidR="00385FF5" w:rsidRPr="00142305" w:rsidRDefault="00385FF5" w:rsidP="00385FF5">
      <w:pPr>
        <w:spacing w:after="0" w:line="240" w:lineRule="auto"/>
        <w:jc w:val="both"/>
        <w:rPr>
          <w:rFonts w:ascii="Times New Roman" w:hAnsi="Times New Roman"/>
          <w:color w:val="0070C0"/>
          <w:sz w:val="16"/>
          <w:szCs w:val="16"/>
        </w:rPr>
      </w:pPr>
    </w:p>
    <w:p w14:paraId="42E06CB9" w14:textId="77777777" w:rsidR="00B4520E" w:rsidRPr="0044524F" w:rsidRDefault="00B4520E" w:rsidP="009654CF">
      <w:pPr>
        <w:pStyle w:val="rtejustify"/>
        <w:spacing w:before="0" w:after="0"/>
        <w:rPr>
          <w:color w:val="000000" w:themeColor="text1"/>
          <w:sz w:val="16"/>
          <w:szCs w:val="16"/>
        </w:rPr>
      </w:pPr>
      <w:r w:rsidRPr="0044524F">
        <w:rPr>
          <w:rStyle w:val="af0"/>
          <w:bCs/>
          <w:i w:val="0"/>
          <w:color w:val="000000" w:themeColor="text1"/>
          <w:sz w:val="16"/>
          <w:szCs w:val="16"/>
        </w:rPr>
        <w:t>17 июля 1933 вышел приказ НКТП № 101сс.</w:t>
      </w:r>
      <w:r w:rsidRPr="0044524F">
        <w:rPr>
          <w:color w:val="000000" w:themeColor="text1"/>
          <w:sz w:val="16"/>
          <w:szCs w:val="16"/>
        </w:rPr>
        <w:t xml:space="preserve"> О строительных работах по Челябинскому заводу № 78. (РГАЭ. Ф. 7297. Оп. 38. Д. 38. Л. 46</w:t>
      </w:r>
      <w:r w:rsidRPr="0044524F">
        <w:rPr>
          <w:color w:val="000000" w:themeColor="text1"/>
          <w:sz w:val="16"/>
          <w:szCs w:val="16"/>
        </w:rPr>
        <w:noBreakHyphen/>
        <w:t>44) (15246).</w:t>
      </w:r>
    </w:p>
    <w:p w14:paraId="36B7CA1A" w14:textId="77777777" w:rsidR="00B4520E" w:rsidRPr="0044524F" w:rsidRDefault="00B4520E" w:rsidP="009654CF">
      <w:pPr>
        <w:pStyle w:val="rtejustify"/>
        <w:spacing w:before="0" w:after="0"/>
        <w:rPr>
          <w:color w:val="000000" w:themeColor="text1"/>
          <w:sz w:val="16"/>
          <w:szCs w:val="16"/>
        </w:rPr>
      </w:pPr>
    </w:p>
    <w:p w14:paraId="43D11991" w14:textId="77777777" w:rsidR="00C22911" w:rsidRPr="0044524F" w:rsidRDefault="00C22911"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1933-го года на общезаводской конференции заводского комитета «Нового Сормова» также отмечались многочисленные негативные моменты в работе предприятия — «вокруг цехов разбросаны импортные детали, плановые задания запутаны, техучеба проходит неудовлетворительно, много прогулов». [15 — Там же, Л. 15.] (11741).</w:t>
      </w:r>
    </w:p>
    <w:p w14:paraId="47CEAC83" w14:textId="77777777" w:rsidR="00C22911" w:rsidRPr="0044524F" w:rsidRDefault="00C22911" w:rsidP="009654CF">
      <w:pPr>
        <w:shd w:val="clear" w:color="auto" w:fill="FFFFFF"/>
        <w:spacing w:after="0" w:line="240" w:lineRule="auto"/>
        <w:jc w:val="both"/>
        <w:rPr>
          <w:rFonts w:ascii="Times New Roman" w:hAnsi="Times New Roman"/>
          <w:color w:val="000000" w:themeColor="text1"/>
          <w:sz w:val="16"/>
          <w:szCs w:val="16"/>
        </w:rPr>
      </w:pPr>
    </w:p>
    <w:p w14:paraId="5EBCF973" w14:textId="77777777" w:rsidR="004907CB" w:rsidRPr="0044524F" w:rsidRDefault="004907C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г. первый алюминий дал Днепровский алюминиевый завод им. Кирова в Запорожье. Завод использовал энергию Днепрогэса и был первым крупным предприятием алюминиевой отрасли в СССР. На год раньше Днепровского завода был пущен Волховский алюминиевый завод, но он имел небольшую мощность. В годы войны оба завода прекратили работу, что привело к огромному дефициту «крылатого металла» в СССР. Проблема была частично решена только в 1943 г. с пуском завода в Новокузнецке (17325).</w:t>
      </w:r>
    </w:p>
    <w:p w14:paraId="12BAA525" w14:textId="77777777" w:rsidR="004907CB" w:rsidRPr="0044524F" w:rsidRDefault="004907CB" w:rsidP="009654CF">
      <w:pPr>
        <w:shd w:val="clear" w:color="auto" w:fill="FFFFFF"/>
        <w:spacing w:after="0" w:line="240" w:lineRule="auto"/>
        <w:jc w:val="both"/>
        <w:rPr>
          <w:rFonts w:ascii="Times New Roman" w:hAnsi="Times New Roman"/>
          <w:color w:val="000000" w:themeColor="text1"/>
          <w:sz w:val="16"/>
          <w:szCs w:val="16"/>
        </w:rPr>
      </w:pPr>
    </w:p>
    <w:p w14:paraId="36C2A3F8" w14:textId="66FD01D0" w:rsidR="008A6A4E" w:rsidRPr="0044524F" w:rsidRDefault="008A6A4E"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35BD6298" w14:textId="77777777" w:rsidR="008A6A4E" w:rsidRPr="0044524F" w:rsidRDefault="008A6A4E" w:rsidP="009654CF">
      <w:pPr>
        <w:spacing w:after="0" w:line="240" w:lineRule="auto"/>
        <w:jc w:val="both"/>
        <w:rPr>
          <w:rFonts w:ascii="Times New Roman" w:hAnsi="Times New Roman"/>
          <w:i/>
          <w:iCs/>
          <w:color w:val="000000" w:themeColor="text1"/>
          <w:sz w:val="16"/>
          <w:szCs w:val="16"/>
        </w:rPr>
      </w:pPr>
    </w:p>
    <w:p w14:paraId="3D7C2F72" w14:textId="77777777" w:rsidR="008A6A4E" w:rsidRPr="0044524F" w:rsidRDefault="008A6A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года 111-я тбаэ в составе 11 самолетов ТБ-3, которая стартовала из Воронежа, прибыла на место. Один ТБ-3 для этой эскадрильи прибыл еще в 1932 г.</w:t>
      </w:r>
    </w:p>
    <w:p w14:paraId="6034F42A" w14:textId="77777777" w:rsidR="008A6A4E" w:rsidRPr="0044524F" w:rsidRDefault="008A6A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Кстати, еще до старта на аэродром Воздвиженка были отправлены эшелоны с техническим имущест</w:t>
      </w:r>
      <w:r w:rsidRPr="0044524F">
        <w:rPr>
          <w:rFonts w:ascii="Times New Roman" w:hAnsi="Times New Roman"/>
          <w:color w:val="000000" w:themeColor="text1"/>
          <w:sz w:val="16"/>
          <w:szCs w:val="16"/>
        </w:rPr>
        <w:softHyphen/>
        <w:t>вом, с семьями и авиаремонтный поезд (23378).</w:t>
      </w:r>
    </w:p>
    <w:p w14:paraId="6A87E199" w14:textId="77777777" w:rsidR="008A6A4E" w:rsidRPr="0044524F" w:rsidRDefault="008A6A4E" w:rsidP="009654CF">
      <w:pPr>
        <w:spacing w:after="0" w:line="240" w:lineRule="auto"/>
        <w:jc w:val="both"/>
        <w:rPr>
          <w:rFonts w:ascii="Times New Roman" w:hAnsi="Times New Roman"/>
          <w:color w:val="000000" w:themeColor="text1"/>
          <w:sz w:val="16"/>
          <w:szCs w:val="16"/>
        </w:rPr>
      </w:pPr>
    </w:p>
    <w:p w14:paraId="1D5E334B" w14:textId="641932C4"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1E27639"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27DE4878"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после завершения строительства Днепрогэса и ликвидации днепровских порогов пущен первый пароход по маршруту Киев-Херсон (4962).</w:t>
      </w:r>
    </w:p>
    <w:p w14:paraId="158EDC51" w14:textId="77777777" w:rsidR="00C22911" w:rsidRPr="0044524F" w:rsidRDefault="00C22911" w:rsidP="009654CF">
      <w:pPr>
        <w:tabs>
          <w:tab w:val="left" w:pos="11199"/>
        </w:tabs>
        <w:spacing w:after="0" w:line="240" w:lineRule="auto"/>
        <w:jc w:val="both"/>
        <w:rPr>
          <w:rFonts w:ascii="Times New Roman" w:hAnsi="Times New Roman"/>
          <w:color w:val="000000" w:themeColor="text1"/>
          <w:sz w:val="16"/>
          <w:szCs w:val="16"/>
        </w:rPr>
      </w:pPr>
    </w:p>
    <w:p w14:paraId="6AE53954" w14:textId="77777777" w:rsidR="008D5554" w:rsidRPr="0044524F" w:rsidRDefault="008D555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после завершения строительства Днепрогэса и ликвидации днепровских порогов, на протяжении веков делившие Днепр на две не связанные между собой части, запустили первый пароход "В.Я. Чубарь" по маршруту Киев-Херсон. Первым пароходом прошедшим по судоходному шлюзу 1 мая 1933 года был пароход "Софья Перовская" (21177).</w:t>
      </w:r>
    </w:p>
    <w:p w14:paraId="76D54772" w14:textId="77777777" w:rsidR="008D5554" w:rsidRPr="0044524F" w:rsidRDefault="008D5554" w:rsidP="009654CF">
      <w:pPr>
        <w:spacing w:after="0" w:line="240" w:lineRule="auto"/>
        <w:jc w:val="both"/>
        <w:rPr>
          <w:rFonts w:ascii="Times New Roman" w:hAnsi="Times New Roman"/>
          <w:color w:val="000000" w:themeColor="text1"/>
          <w:sz w:val="16"/>
          <w:szCs w:val="16"/>
        </w:rPr>
      </w:pPr>
    </w:p>
    <w:p w14:paraId="24A6D629"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F72A85B"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04240C17" w14:textId="77777777" w:rsidR="001C6342" w:rsidRPr="0044524F" w:rsidRDefault="001C6342"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17 июля 1933 в 14.20 Вилли Пост, который решил превзойти свой же рекорд двухлетней давности, оснастив «Винни Мэй» новейшим автопилотом «Сперри» и радиокомпасом и вылетел 15 июля в 5 часов утра из Нью-Йорка, приземлился в Москве, а через три часа стартовал дальше на восток. 18 июля в 6.30 утра «Локхид» сел в Новосибирске, а через два с половиной часа американец вновь был в воздухе. В 15.35 он был в Иркутске, а уже через три с небольшим часа направился в Хабаровск. Усталый Пост встретил на этом этапе крайне неблагоприятную погоду: дождь, сильный ветер, низкая облачность. Пришлось приземлиться в городе Рухлово (ныне Сковородино, Амурской области). Выйдя из самолета и едва добравшись до кровати, Пост тут же уснул.</w:t>
      </w:r>
    </w:p>
    <w:p w14:paraId="75F08FB1" w14:textId="77777777" w:rsidR="001C6342" w:rsidRPr="0044524F" w:rsidRDefault="001C634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В полночь 20 июля американский рекордсмен вылетел из Рухлово. В Хабаровске он был около 4 часов утра, а в 6 часов – вылетел в Ном. В полете, рассчитав запас и расход топлива, Пост принял решение не садиться в Номе, а продолжить полет до Фербанкса, но был вынужден сесть в местечке Флэт (Flat), не долетев до места назначения 600 км. При посадке было повреждено шасси и винт. Пост сообщил о повреждениях в Фернбанкс и к нему с новым винтом вылетел, уже известный нам, пилот Джо Кроссон. Самолет был быстро восстановлен и 21 июля рекордный перелет продолжился. Пост, совершив посадки в Фербанксе и Эдмонтоне, 22 июля в полночь приземлился в Нью-Йорке встречаемый многотысячной толпой. Вилли Пост установил новый рекорд кругосветного перелета – 7 суток 18 часов 50 минут (21438).</w:t>
      </w:r>
    </w:p>
    <w:p w14:paraId="28C56221" w14:textId="77777777" w:rsidR="001C6342" w:rsidRPr="0044524F" w:rsidRDefault="001C6342" w:rsidP="009654CF">
      <w:pPr>
        <w:spacing w:after="0" w:line="240" w:lineRule="auto"/>
        <w:jc w:val="both"/>
        <w:rPr>
          <w:rFonts w:ascii="Times New Roman" w:hAnsi="Times New Roman"/>
          <w:color w:val="000000" w:themeColor="text1"/>
          <w:sz w:val="16"/>
          <w:szCs w:val="16"/>
        </w:rPr>
      </w:pPr>
    </w:p>
    <w:p w14:paraId="5CB16D25" w14:textId="77777777" w:rsidR="004907CB" w:rsidRPr="0044524F" w:rsidRDefault="004907C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17 июля 1933 г. над Германией при попытке совершить трансатлантический перелет из Нью-Йорка в Каунас погибли американские летчики литовского происхождения Стяпонас Дарюс и Стасис Гиренас. Они вылетели из Нью-Йорка утром 15 июля на самолете </w:t>
      </w:r>
      <w:r w:rsidRPr="0044524F">
        <w:rPr>
          <w:rFonts w:ascii="Times New Roman" w:eastAsia="Times New Roman" w:hAnsi="Times New Roman"/>
          <w:bCs/>
          <w:iCs/>
          <w:color w:val="000000" w:themeColor="text1"/>
          <w:sz w:val="16"/>
          <w:szCs w:val="16"/>
          <w:lang w:eastAsia="ru-RU"/>
        </w:rPr>
        <w:t xml:space="preserve">«Bellanca CH-300 Pacemaker», </w:t>
      </w:r>
      <w:r w:rsidRPr="0044524F">
        <w:rPr>
          <w:rFonts w:ascii="Times New Roman" w:eastAsia="Times New Roman" w:hAnsi="Times New Roman"/>
          <w:color w:val="000000" w:themeColor="text1"/>
          <w:sz w:val="16"/>
          <w:szCs w:val="16"/>
          <w:lang w:eastAsia="ru-RU"/>
        </w:rPr>
        <w:t>конструкции Джузеппе Беланча, полет проходил нормально. Уже над Германией почти в час ночи 17 июля самолет Дарюса и Гиренаса потерпел аварию, утреннее приземление в Каунасе не состоялось. Главная причина, которую называли, — перерасход топлива и неожиданное опасное снижение. Стасису Гиренасу было 39 лет, Стяпонасу Дарюсу – 37 лет. Дарюс – футболист, участник олимпиады 1924 г. в Париже – запасной вратарь сборной Литвы. Летчики Дарюс и Гиренас – национальные герои Литвы (17325).</w:t>
      </w:r>
    </w:p>
    <w:p w14:paraId="1DB5063A" w14:textId="77777777" w:rsidR="004907CB" w:rsidRPr="0044524F" w:rsidRDefault="004907CB" w:rsidP="009654CF">
      <w:pPr>
        <w:spacing w:after="0" w:line="240" w:lineRule="auto"/>
        <w:jc w:val="both"/>
        <w:rPr>
          <w:rFonts w:ascii="Times New Roman" w:hAnsi="Times New Roman"/>
          <w:iCs/>
          <w:color w:val="000000" w:themeColor="text1"/>
          <w:sz w:val="16"/>
          <w:szCs w:val="16"/>
        </w:rPr>
      </w:pPr>
    </w:p>
    <w:p w14:paraId="44BC941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 1933 года, после прихода к власти во Франции блока радикалов и социалистов, Троцкий получил от французского правительства разрешение на проживание в этой стране (9492).</w:t>
      </w:r>
    </w:p>
    <w:p w14:paraId="118B33D2"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244FA880"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F000C98"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5FEFF1B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18-19 июля 1933 был перелет из Москвы в Варшаву Ф.А.Ингауниса и Б.А.Туржанского с механиками на двух Р-5, но по разным маршрутам - Москва-Гомель-Львов (Ингаунис) и Москва-Витебск-Вильнюс. На обратном пути - поменялись. Ответный на визит Баяна и Дудзинского в мае 1933 (438,650).</w:t>
      </w:r>
    </w:p>
    <w:p w14:paraId="1319EDA7"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22BD413B" w14:textId="77777777" w:rsidR="00E274FA" w:rsidRPr="0044524F" w:rsidRDefault="00E274F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18-19 июля 1933 г. состоялся перелет из Москвы в Варшаву военных лет</w:t>
      </w:r>
      <w:r w:rsidRPr="0044524F">
        <w:rPr>
          <w:rFonts w:ascii="Times New Roman" w:hAnsi="Times New Roman"/>
          <w:color w:val="000000" w:themeColor="text1"/>
          <w:sz w:val="16"/>
          <w:szCs w:val="16"/>
        </w:rPr>
        <w:softHyphen/>
        <w:t>чиков Ф.А.Ингауниса и В.А.Турканского на двух самолетах Р-5 со свомми механиками. Перелет был предпринят с ответным визитом на прилет в Москву польских летчиков Баяна и Дудзинокого в мае этого же года. Ингаунис летел через Гомель-Львов, Турханский - через Витебск-Вильнюс, а на обратном полете летчики, поменялись маршрутами.</w:t>
      </w:r>
    </w:p>
    <w:p w14:paraId="517C27AF" w14:textId="77777777" w:rsidR="00E274FA" w:rsidRPr="0044524F" w:rsidRDefault="00E274F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18 июля 1933; ВВФ,1933/ (23370).</w:t>
      </w:r>
    </w:p>
    <w:p w14:paraId="230B47B5" w14:textId="77777777" w:rsidR="00E274FA" w:rsidRPr="0044524F" w:rsidRDefault="00E274FA" w:rsidP="009654CF">
      <w:pPr>
        <w:spacing w:after="0" w:line="240" w:lineRule="auto"/>
        <w:jc w:val="both"/>
        <w:rPr>
          <w:rFonts w:ascii="Times New Roman" w:hAnsi="Times New Roman"/>
          <w:color w:val="000000" w:themeColor="text1"/>
          <w:sz w:val="16"/>
          <w:szCs w:val="16"/>
        </w:rPr>
      </w:pPr>
    </w:p>
    <w:p w14:paraId="64BEDB2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июля 1933 в Москву из Милана прилетел летчик ди Бернарди на самолете "Капрони-111". Этот 5-местный подкосный высокоплан с мотором "Ассо-Изотта Фраскини" 750 л.с. покрыл расстояние 2600 км без посадки за 12 летных часов. Перелет не посягал на рекордные достижения, однако являлся частью демонстрации военных приготовлений авиации Италии. Интересно, что буквально на следующий день на другой стороне земного шара итальянцы заявили о себе заметно более масштабной акцией (11941).</w:t>
      </w:r>
    </w:p>
    <w:p w14:paraId="08EA9647"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1EAB555D" w14:textId="77777777" w:rsidR="0095246B" w:rsidRPr="0044524F" w:rsidRDefault="0095246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июля 1933 г. в Москву прилетели итальянские летчики де-Бернарди и Марацини с целью показа своего самолета Капрони-111 с мотором Изотта-Фраскини 750 л.с. С ними прилетели и два представителя фирмы Кипрони. Расстояние Милан-Москва 2600 км летчики пролетели без посадки за 12 летных часов, 19-го июля летчики сделали ряд показательных полетов с советскими специалистами на борту, но заинтересовать кого-либо из них своим самолетом не могли. 22-го июля итальянцы вылетели на Берлин.</w:t>
      </w:r>
    </w:p>
    <w:p w14:paraId="2DF69C64" w14:textId="77777777" w:rsidR="0095246B" w:rsidRPr="0044524F" w:rsidRDefault="0095246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ЦИК СССР» за 20 июля 1933 и др./ (23370).</w:t>
      </w:r>
    </w:p>
    <w:p w14:paraId="68DA665E" w14:textId="77777777" w:rsidR="0095246B" w:rsidRPr="0044524F" w:rsidRDefault="0095246B" w:rsidP="009654CF">
      <w:pPr>
        <w:spacing w:after="0" w:line="240" w:lineRule="auto"/>
        <w:jc w:val="both"/>
        <w:rPr>
          <w:rFonts w:ascii="Times New Roman" w:hAnsi="Times New Roman"/>
          <w:color w:val="000000" w:themeColor="text1"/>
          <w:sz w:val="16"/>
          <w:szCs w:val="16"/>
        </w:rPr>
      </w:pPr>
    </w:p>
    <w:p w14:paraId="2A93E83A"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740C906"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5B6C976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18 по 25 июля 1933 Сталин, Ворошилов и Киров совершили на теплоходе «Анохин» поездку по Беломорско-Балтийскому каналу, ознакомившись с его сооружениями и встретившись в районе порта Сорока с эскадрой боевых кораблей Северного флота, совершавшей переход по каналу из Балтийского в Белое море (7560).</w:t>
      </w:r>
    </w:p>
    <w:p w14:paraId="6FF8913F"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2DE90763" w14:textId="77777777" w:rsidR="004907CB" w:rsidRPr="0044524F" w:rsidRDefault="004907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июля (1933)</w:t>
      </w:r>
      <w:r w:rsidRPr="0044524F">
        <w:rPr>
          <w:rFonts w:ascii="Times New Roman" w:hAnsi="Times New Roman"/>
          <w:bCs/>
          <w:color w:val="000000" w:themeColor="text1"/>
          <w:sz w:val="16"/>
          <w:szCs w:val="16"/>
        </w:rPr>
        <w:t xml:space="preserve"> Сталин и Ворошилов приехали в Ленинград и вместе с Кировым в тот же день на пароходе «Анохин» в сопровождении начальника ОГПУ Ягоды отбыли на Беломорско-Балтийский канал.» (17325).</w:t>
      </w:r>
    </w:p>
    <w:p w14:paraId="5FCD3136" w14:textId="77777777" w:rsidR="004907CB" w:rsidRPr="0044524F" w:rsidRDefault="004907CB" w:rsidP="009654CF">
      <w:pPr>
        <w:spacing w:after="0" w:line="240" w:lineRule="auto"/>
        <w:jc w:val="both"/>
        <w:rPr>
          <w:rFonts w:ascii="Times New Roman" w:hAnsi="Times New Roman"/>
          <w:color w:val="000000" w:themeColor="text1"/>
          <w:sz w:val="16"/>
          <w:szCs w:val="16"/>
        </w:rPr>
      </w:pPr>
    </w:p>
    <w:p w14:paraId="2B0D1940" w14:textId="77777777" w:rsidR="008D5554" w:rsidRPr="0044524F" w:rsidRDefault="008D5554"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08E75FB" w14:textId="77777777" w:rsidR="008D5554" w:rsidRPr="0044524F" w:rsidRDefault="008D5554" w:rsidP="009654CF">
      <w:pPr>
        <w:spacing w:after="0" w:line="240" w:lineRule="auto"/>
        <w:jc w:val="both"/>
        <w:rPr>
          <w:rFonts w:ascii="Times New Roman" w:hAnsi="Times New Roman"/>
          <w:iCs/>
          <w:color w:val="000000" w:themeColor="text1"/>
          <w:sz w:val="16"/>
          <w:szCs w:val="16"/>
        </w:rPr>
      </w:pPr>
    </w:p>
    <w:p w14:paraId="74B94E5C" w14:textId="77777777" w:rsidR="008D5554" w:rsidRPr="0044524F" w:rsidRDefault="008D555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18 июля 1933 года итальянский самолет «Капрони» Ca.111 (Caproni) под управлением мирового рекордсмена Марио де Бернарди (Mario de Bernardi) с пятью пассажирами на борту без промежуточных посадок прибыл из Милана в Москву (21438).</w:t>
      </w:r>
    </w:p>
    <w:p w14:paraId="04001E0E" w14:textId="77777777" w:rsidR="008D5554" w:rsidRPr="0044524F" w:rsidRDefault="008D5554" w:rsidP="009654CF">
      <w:pPr>
        <w:spacing w:after="0" w:line="240" w:lineRule="auto"/>
        <w:jc w:val="both"/>
        <w:rPr>
          <w:rFonts w:ascii="Times New Roman" w:hAnsi="Times New Roman"/>
          <w:color w:val="000000" w:themeColor="text1"/>
          <w:sz w:val="16"/>
          <w:szCs w:val="16"/>
        </w:rPr>
      </w:pPr>
    </w:p>
    <w:p w14:paraId="5DE5D30F"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4DEDC9C"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04C237A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июля 1933 ГИ-М ВВС РККА Аузен утвердит Техтребования к одноместному истребителю И-16 (ЦКБ-12) под мотор М-22 (2303,21).</w:t>
      </w:r>
    </w:p>
    <w:p w14:paraId="29DE83A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Летные данные</w:t>
      </w:r>
    </w:p>
    <w:p w14:paraId="586D39B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полезной нагрузкой 230,6 кг и запасом горбчего и смазочного, обеспечивающим технический радиус действия 250 км на боевой высоте 5000 м, должен обладать следующими ЛД:</w:t>
      </w:r>
    </w:p>
    <w:p w14:paraId="714B129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Скорость макс. на высоте 5000 м</w:t>
      </w:r>
      <w:r w:rsidRPr="0044524F">
        <w:rPr>
          <w:rFonts w:ascii="Times New Roman" w:hAnsi="Times New Roman"/>
          <w:color w:val="000000" w:themeColor="text1"/>
          <w:sz w:val="16"/>
          <w:szCs w:val="16"/>
        </w:rPr>
        <w:tab/>
        <w:t>300</w:t>
      </w:r>
    </w:p>
    <w:p w14:paraId="68151C2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Время набора высоты 5000 м</w:t>
      </w:r>
      <w:r w:rsidRPr="0044524F">
        <w:rPr>
          <w:rFonts w:ascii="Times New Roman" w:hAnsi="Times New Roman"/>
          <w:color w:val="000000" w:themeColor="text1"/>
          <w:sz w:val="16"/>
          <w:szCs w:val="16"/>
        </w:rPr>
        <w:tab/>
        <w:t>7,5-8</w:t>
      </w:r>
    </w:p>
    <w:p w14:paraId="0CE5A9D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Потолок практический не менее 6500</w:t>
      </w:r>
    </w:p>
    <w:p w14:paraId="61B21E6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Посадочная скорость не более</w:t>
      </w:r>
      <w:r w:rsidRPr="0044524F">
        <w:rPr>
          <w:rFonts w:ascii="Times New Roman" w:hAnsi="Times New Roman"/>
          <w:color w:val="000000" w:themeColor="text1"/>
          <w:sz w:val="16"/>
          <w:szCs w:val="16"/>
        </w:rPr>
        <w:tab/>
        <w:t>100-105</w:t>
      </w:r>
    </w:p>
    <w:p w14:paraId="0945728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4848148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Емкость баков д.б. расчитана на технический радиус в 300 км</w:t>
      </w:r>
    </w:p>
    <w:p w14:paraId="1047D38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Последовательность требований</w:t>
      </w:r>
    </w:p>
    <w:p w14:paraId="2E8A0DF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Тактические свойства с-та требуют, чтобы при выполнении и перевыполнении поставленных выше лд конструктор, учитывал нижеследующую по важности их последовательность:</w:t>
      </w:r>
    </w:p>
    <w:p w14:paraId="0146EAF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Скорость</w:t>
      </w:r>
    </w:p>
    <w:p w14:paraId="18AFDF1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Скороподъемность</w:t>
      </w:r>
    </w:p>
    <w:p w14:paraId="2E0E506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Маневренность</w:t>
      </w:r>
    </w:p>
    <w:p w14:paraId="762F0C44"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Полетные качества</w:t>
      </w:r>
    </w:p>
    <w:p w14:paraId="05F67F8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Длина разбега с-та при безветрии не д. превышать 60 м</w:t>
      </w:r>
    </w:p>
    <w:p w14:paraId="5C87592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Длина пробега при применении тормозов не д.б. более 120 м</w:t>
      </w:r>
    </w:p>
    <w:p w14:paraId="4F73F15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Разбег и пробег с-та д.б. устойчивыми без всяких тенденций к разворачиванию</w:t>
      </w:r>
    </w:p>
    <w:p w14:paraId="2DFEEEC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С-т должен на высоте 5000 м выполнять все фигуры высшего пилотажа</w:t>
      </w:r>
    </w:p>
    <w:p w14:paraId="281AFD0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Серийные пятикратные мертвые петли на высоте 5000 м д. Выполняться без снижения</w:t>
      </w:r>
    </w:p>
    <w:p w14:paraId="2E6A640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Серийные пятикрытные виражи на высоте 1000 м без снижения д. Выполняться за 13 с. Восьмерки на высоте 1000 м должны выполняться не больше, чем за 27 с.</w:t>
      </w:r>
    </w:p>
    <w:p w14:paraId="428CB3B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Двойной переворо на высоте 1000 м должен выполняться как левый, так и правый, не долбше, чем за 4-4,5</w:t>
      </w:r>
    </w:p>
    <w:p w14:paraId="2AD661E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При потери скорости до посадочной с-т должен иметь хорошую управляемость</w:t>
      </w:r>
    </w:p>
    <w:p w14:paraId="7D766AC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С-т не должен иметь тенденции к срывы в штопор на всех режимах. При сознательном введении в штопор с-т должен легко входить в него и выходить из него (обратная нога и ручка нейтральна) с запаздывание не более полувитка писле 6 витков.</w:t>
      </w:r>
    </w:p>
    <w:p w14:paraId="42EC27C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С-т должен допускать пикирование под углом 90 гр. с мотором на малом гагу на протяжении по вертикали не менее 1200 м. Во время пикирования на этих условиях является обязательным сохранени полной устойчивости по трем осям (продольно, поперечной, пути).</w:t>
      </w:r>
    </w:p>
    <w:p w14:paraId="78BF712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С-т должен быть в продольном отношении и в отношении пути устойчив на всех режимах от отвесного пикирования до посадочного для всех присущих ему вариантов нагрузкок.</w:t>
      </w:r>
    </w:p>
    <w:p w14:paraId="6365FB2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Балансировка с-та д.б. такова, чтобы при всех длительных режимах полета (подъем, полет на крейсерской скорости) давление на ручку было не более 0,5 кг</w:t>
      </w:r>
    </w:p>
    <w:p w14:paraId="5A5FFFE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При производстве любых фигур, присущих с-ту, включая пикирование или крутое пикирование и выход из них при управлении РВ и элеронами на боевой высоте давление не д. Превышать 1 кг</w:t>
      </w:r>
    </w:p>
    <w:p w14:paraId="2FE9DFE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При производстве на боевой высоте фигур, присущих данному с-ту, давление на ногу не должно превышать 2 кг</w:t>
      </w:r>
    </w:p>
    <w:p w14:paraId="3A3F21E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При пикировании с-та на ручку не должно возникать обратного давления (затягивание в пикирование)</w:t>
      </w:r>
    </w:p>
    <w:p w14:paraId="23040F8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При производстве фигур ни при каких отклонениях рудей не должно иметь место явление перекомпенсации</w:t>
      </w:r>
    </w:p>
    <w:p w14:paraId="6DD496D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Руление на земле д.б. возвожно на скорости, позволяющей сопровождать с-т шагом. При этой скорости д.б. сохранена эффективность рулей.</w:t>
      </w:r>
    </w:p>
    <w:p w14:paraId="0FACA0E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Ни при каких режимах полета не д водникать вибрации оперения и крыльев</w:t>
      </w:r>
    </w:p>
    <w:p w14:paraId="6CA5D19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Конструкция</w:t>
      </w:r>
    </w:p>
    <w:p w14:paraId="3066DB4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 Общие требования к с-там 5 летнего плана)</w:t>
      </w:r>
    </w:p>
    <w:p w14:paraId="74F841EF"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 по нормам прочности дюб. Отнесен к 12 группе 2-0го класса с учетом того, что его конструкци и материал (удельный вес и сортамент) будут таковыми, которые позволяют серийным з-дам выпускать с-т без перетяжеления.</w:t>
      </w:r>
    </w:p>
    <w:p w14:paraId="73065EA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С-т д.б. снабжен стабилизаторов, регулируемым только на земле</w:t>
      </w:r>
    </w:p>
    <w:p w14:paraId="566A8EE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Крылья д.б. снабжены поручнями для привязывания с-та на стоянке</w:t>
      </w:r>
    </w:p>
    <w:p w14:paraId="50F80F9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Конструкция д. Иметь люки для просмотра всех трущихся частей управления (ролики, качелки, направляющие).</w:t>
      </w:r>
    </w:p>
    <w:p w14:paraId="577B53D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Расположение баков и их крепление д. Обеспечить возможность смены баков для ремонта бз разборки с-та в течение не свыше 1 часа</w:t>
      </w:r>
    </w:p>
    <w:p w14:paraId="314B871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Капотирование мотора д. Обеспечивать возможность просмотра без снятия капота фильтров, карбюратора, помп, бензо- и маслопроводки и свечей</w:t>
      </w:r>
    </w:p>
    <w:p w14:paraId="3989609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Снятие капотов не должно отнимать времени более 2-х минут, закопачивание - 5 минут (при кольце Тауненда).</w:t>
      </w:r>
    </w:p>
    <w:p w14:paraId="664BF47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Конструкция рукояток управления мотором у пилота д. Допускать возможность управления одной рукой в мягкой пречатке.</w:t>
      </w:r>
    </w:p>
    <w:p w14:paraId="0AEDA6F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Передача управления мотором д.б. жесткой и не иметь люфтов (в пределах заводских допусков)</w:t>
      </w:r>
    </w:p>
    <w:p w14:paraId="5A2AF44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С-т д.б. снабжен самопуском из кабины л, присущем данному типу мотора</w:t>
      </w:r>
    </w:p>
    <w:p w14:paraId="3CE9F12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На втулке винта д.б. смонтирован храповик для запуска автомобильным пускачем</w:t>
      </w:r>
    </w:p>
    <w:p w14:paraId="75D5493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Конструкция ф-жа д предусматривать защиту л при капоте</w:t>
      </w:r>
    </w:p>
    <w:p w14:paraId="1265EFD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Д.б. обеспечена возможность легкого выпрыгивания л на парашюте, конструктор д. Доказать возможность и наилучший способ оставления с-та</w:t>
      </w:r>
    </w:p>
    <w:p w14:paraId="6BADC0B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Сидение л должно обеспечивать удобство пилотирования и стрельбы в зимнем летном обмундировании с парашютом</w:t>
      </w:r>
    </w:p>
    <w:p w14:paraId="03C761F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С-т должен обладать тормозными колесами, затормаживаемыми как совместно, так и по отдельности</w:t>
      </w:r>
    </w:p>
    <w:p w14:paraId="1305CB7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Аммортизация д.б. масляно-пневматической, не замерзающей до минус 60</w:t>
      </w:r>
    </w:p>
    <w:p w14:paraId="605AAD4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Должна быть предусмотрена возможность легкой смены колес на лыжи и иметь крепления амортизаторов лыж</w:t>
      </w:r>
    </w:p>
    <w:p w14:paraId="11B666F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Д.б. обеспечена возможность разгрузки пневматиков во время стоянки на земле и места для хранения троссов при буксировке с-тов трактором на аэродроме</w:t>
      </w:r>
    </w:p>
    <w:p w14:paraId="1D98FA5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Коллектор для выхлопных газов должен обеспечивать л от ослепления при ночных полетах (коллектор д.б. съемным и входит в счет перегрузки)</w:t>
      </w:r>
    </w:p>
    <w:p w14:paraId="10C8583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С-т должен иметь максимально обтекаемые формы с широким применением обтекателей на всех, могущих создавать лобавочное сопротивление частях</w:t>
      </w:r>
    </w:p>
    <w:p w14:paraId="70EDC8F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Ни при каких режимах работы мотора не д. Набльдаться вибрации отдельных элементов конструкции с-та</w:t>
      </w:r>
    </w:p>
    <w:p w14:paraId="6D439D6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При стрельбе из пулеметов не должны разрушаться никакие элементы конструкции</w:t>
      </w:r>
    </w:p>
    <w:p w14:paraId="55FA1AA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Нагрузка (2303,21).</w:t>
      </w:r>
    </w:p>
    <w:p w14:paraId="76DD9FAE"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729D75E1" w14:textId="77777777" w:rsidR="00385FF5" w:rsidRPr="00142305" w:rsidRDefault="00385FF5" w:rsidP="00385FF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19 июля 1933 года глав</w:t>
      </w:r>
      <w:r w:rsidRPr="00142305">
        <w:rPr>
          <w:rStyle w:val="aff"/>
          <w:rFonts w:ascii="Times New Roman" w:hAnsi="Times New Roman" w:cs="Times New Roman"/>
          <w:color w:val="0070C0"/>
          <w:spacing w:val="0"/>
          <w:sz w:val="16"/>
          <w:szCs w:val="16"/>
        </w:rPr>
        <w:softHyphen/>
        <w:t>ный инженер-механик ВВС РККА Адольф Кар</w:t>
      </w:r>
      <w:r w:rsidRPr="00142305">
        <w:rPr>
          <w:rStyle w:val="aff"/>
          <w:rFonts w:ascii="Times New Roman" w:hAnsi="Times New Roman" w:cs="Times New Roman"/>
          <w:color w:val="0070C0"/>
          <w:spacing w:val="0"/>
          <w:sz w:val="16"/>
          <w:szCs w:val="16"/>
        </w:rPr>
        <w:softHyphen/>
        <w:t>лович Аузан утвердил Технические требова</w:t>
      </w:r>
      <w:r w:rsidRPr="00142305">
        <w:rPr>
          <w:rStyle w:val="aff"/>
          <w:rFonts w:ascii="Times New Roman" w:hAnsi="Times New Roman" w:cs="Times New Roman"/>
          <w:color w:val="0070C0"/>
          <w:spacing w:val="0"/>
          <w:sz w:val="16"/>
          <w:szCs w:val="16"/>
        </w:rPr>
        <w:softHyphen/>
        <w:t>ния к одноместному истребителю И-16 (ЦКБ</w:t>
      </w:r>
      <w:r w:rsidRPr="00142305">
        <w:rPr>
          <w:rStyle w:val="aff"/>
          <w:rFonts w:ascii="Times New Roman" w:hAnsi="Times New Roman" w:cs="Times New Roman"/>
          <w:color w:val="0070C0"/>
          <w:spacing w:val="0"/>
          <w:sz w:val="16"/>
          <w:szCs w:val="16"/>
        </w:rPr>
        <w:softHyphen/>
        <w:t>12) под мотор М-22.</w:t>
      </w:r>
    </w:p>
    <w:p w14:paraId="1DC03559" w14:textId="77777777" w:rsidR="00385FF5" w:rsidRPr="00142305" w:rsidRDefault="00385FF5" w:rsidP="00385FF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Военные все еще учились выдвигать гра</w:t>
      </w:r>
      <w:r w:rsidRPr="00142305">
        <w:rPr>
          <w:rStyle w:val="aff"/>
          <w:rFonts w:ascii="Times New Roman" w:hAnsi="Times New Roman" w:cs="Times New Roman"/>
          <w:color w:val="0070C0"/>
          <w:spacing w:val="0"/>
          <w:sz w:val="16"/>
          <w:szCs w:val="16"/>
        </w:rPr>
        <w:softHyphen/>
        <w:t>мотные требования к авиационной технике, и в достаточно объемный документ попали очевидные вещи, написанные по принципу «Волга впадает в Каспийское море», вроде таких: «При стрельбе из пулеметов не долж</w:t>
      </w:r>
      <w:r w:rsidRPr="00142305">
        <w:rPr>
          <w:rStyle w:val="aff"/>
          <w:rFonts w:ascii="Times New Roman" w:hAnsi="Times New Roman" w:cs="Times New Roman"/>
          <w:color w:val="0070C0"/>
          <w:spacing w:val="0"/>
          <w:sz w:val="16"/>
          <w:szCs w:val="16"/>
        </w:rPr>
        <w:softHyphen/>
        <w:t>ны разрушаться никакие элементы кон</w:t>
      </w:r>
      <w:r w:rsidRPr="00142305">
        <w:rPr>
          <w:rStyle w:val="aff"/>
          <w:rFonts w:ascii="Times New Roman" w:hAnsi="Times New Roman" w:cs="Times New Roman"/>
          <w:color w:val="0070C0"/>
          <w:spacing w:val="0"/>
          <w:sz w:val="16"/>
          <w:szCs w:val="16"/>
        </w:rPr>
        <w:softHyphen/>
        <w:t>струкции». Просто абсурдные: «Руление на земле должно быть возможно на скорости, позволяющей сопровождать самолет шагом. При этой скорости должна быть со</w:t>
      </w:r>
      <w:r w:rsidRPr="00142305">
        <w:rPr>
          <w:rStyle w:val="aff"/>
          <w:rFonts w:ascii="Times New Roman" w:hAnsi="Times New Roman" w:cs="Times New Roman"/>
          <w:color w:val="0070C0"/>
          <w:spacing w:val="0"/>
          <w:sz w:val="16"/>
          <w:szCs w:val="16"/>
        </w:rPr>
        <w:softHyphen/>
        <w:t xml:space="preserve">хранена эффективность рулей». </w:t>
      </w:r>
      <w:r w:rsidRPr="00142305">
        <w:rPr>
          <w:rStyle w:val="aff"/>
          <w:rFonts w:ascii="Times New Roman" w:hAnsi="Times New Roman" w:cs="Times New Roman"/>
          <w:color w:val="0070C0"/>
          <w:spacing w:val="0"/>
          <w:sz w:val="16"/>
          <w:szCs w:val="16"/>
        </w:rPr>
        <w:lastRenderedPageBreak/>
        <w:t>Имелись и весьма спорные условия: «Должна быть обеспечена возможность разгрузки пневма- тиков во время стоянки на земле и места для хранения тросов при буксировке самоле</w:t>
      </w:r>
      <w:r w:rsidRPr="00142305">
        <w:rPr>
          <w:rStyle w:val="aff"/>
          <w:rFonts w:ascii="Times New Roman" w:hAnsi="Times New Roman" w:cs="Times New Roman"/>
          <w:color w:val="0070C0"/>
          <w:spacing w:val="0"/>
          <w:sz w:val="16"/>
          <w:szCs w:val="16"/>
        </w:rPr>
        <w:softHyphen/>
        <w:t>тов трактором на аэродроме».</w:t>
      </w:r>
    </w:p>
    <w:p w14:paraId="71CB4D81" w14:textId="77777777" w:rsidR="00385FF5" w:rsidRPr="00142305" w:rsidRDefault="00385FF5" w:rsidP="00385FF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Что касается ЛТХ, то самолет с полезной нагрузкой 230,6 кг и запасом горючего и сма</w:t>
      </w:r>
      <w:r w:rsidRPr="00142305">
        <w:rPr>
          <w:rStyle w:val="aff"/>
          <w:rFonts w:ascii="Times New Roman" w:hAnsi="Times New Roman" w:cs="Times New Roman"/>
          <w:color w:val="0070C0"/>
          <w:spacing w:val="0"/>
          <w:sz w:val="16"/>
          <w:szCs w:val="16"/>
        </w:rPr>
        <w:softHyphen/>
        <w:t>зочного, обеспечивающим технический ра</w:t>
      </w:r>
      <w:r w:rsidRPr="00142305">
        <w:rPr>
          <w:rStyle w:val="aff"/>
          <w:rFonts w:ascii="Times New Roman" w:hAnsi="Times New Roman" w:cs="Times New Roman"/>
          <w:color w:val="0070C0"/>
          <w:spacing w:val="0"/>
          <w:sz w:val="16"/>
          <w:szCs w:val="16"/>
        </w:rPr>
        <w:softHyphen/>
        <w:t>диус действия 250 км на боевой высоте 5000 м, должен был развивать максимальную ско</w:t>
      </w:r>
      <w:r w:rsidRPr="00142305">
        <w:rPr>
          <w:rStyle w:val="aff"/>
          <w:rFonts w:ascii="Times New Roman" w:hAnsi="Times New Roman" w:cs="Times New Roman"/>
          <w:color w:val="0070C0"/>
          <w:spacing w:val="0"/>
          <w:sz w:val="16"/>
          <w:szCs w:val="16"/>
        </w:rPr>
        <w:softHyphen/>
        <w:t>рость в 300 км/ч, иметь практический пото</w:t>
      </w:r>
      <w:r w:rsidRPr="00142305">
        <w:rPr>
          <w:rStyle w:val="aff"/>
          <w:rFonts w:ascii="Times New Roman" w:hAnsi="Times New Roman" w:cs="Times New Roman"/>
          <w:color w:val="0070C0"/>
          <w:spacing w:val="0"/>
          <w:sz w:val="16"/>
          <w:szCs w:val="16"/>
        </w:rPr>
        <w:softHyphen/>
        <w:t>лок не менее 6500 м и посадочную скорость не более 100-105 км/ч. Время набора боевой высоты 5000 метров должно было составлять 7,5-8 минут. Длина разбега в безветрие не должна была превышать 60 м, пробег с тормо</w:t>
      </w:r>
      <w:r w:rsidRPr="00142305">
        <w:rPr>
          <w:rStyle w:val="aff"/>
          <w:rFonts w:ascii="Times New Roman" w:hAnsi="Times New Roman" w:cs="Times New Roman"/>
          <w:color w:val="0070C0"/>
          <w:spacing w:val="0"/>
          <w:sz w:val="16"/>
          <w:szCs w:val="16"/>
        </w:rPr>
        <w:softHyphen/>
        <w:t>зами – не более 120 м, при этом самолет дол</w:t>
      </w:r>
      <w:r w:rsidRPr="00142305">
        <w:rPr>
          <w:rStyle w:val="aff"/>
          <w:rFonts w:ascii="Times New Roman" w:hAnsi="Times New Roman" w:cs="Times New Roman"/>
          <w:color w:val="0070C0"/>
          <w:spacing w:val="0"/>
          <w:sz w:val="16"/>
          <w:szCs w:val="16"/>
        </w:rPr>
        <w:softHyphen/>
        <w:t>жен был сохранять устойчивость безо всяких тенденций к развороту. Особо оговарива</w:t>
      </w:r>
      <w:r w:rsidRPr="00142305">
        <w:rPr>
          <w:rStyle w:val="aff"/>
          <w:rFonts w:ascii="Times New Roman" w:hAnsi="Times New Roman" w:cs="Times New Roman"/>
          <w:color w:val="0070C0"/>
          <w:spacing w:val="0"/>
          <w:sz w:val="16"/>
          <w:szCs w:val="16"/>
        </w:rPr>
        <w:softHyphen/>
        <w:t>лось, что емкость баков должна быть рассчи</w:t>
      </w:r>
      <w:r w:rsidRPr="00142305">
        <w:rPr>
          <w:rStyle w:val="aff"/>
          <w:rFonts w:ascii="Times New Roman" w:hAnsi="Times New Roman" w:cs="Times New Roman"/>
          <w:color w:val="0070C0"/>
          <w:spacing w:val="0"/>
          <w:sz w:val="16"/>
          <w:szCs w:val="16"/>
        </w:rPr>
        <w:softHyphen/>
        <w:t>тана на технический радиус в 300 км.</w:t>
      </w:r>
    </w:p>
    <w:p w14:paraId="1F693438" w14:textId="77777777" w:rsidR="00385FF5" w:rsidRPr="00142305" w:rsidRDefault="00385FF5" w:rsidP="00385FF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Приоритеты в соблюдении предъявляе</w:t>
      </w:r>
      <w:r w:rsidRPr="00142305">
        <w:rPr>
          <w:rStyle w:val="aff"/>
          <w:rFonts w:ascii="Times New Roman" w:hAnsi="Times New Roman" w:cs="Times New Roman"/>
          <w:color w:val="0070C0"/>
          <w:spacing w:val="0"/>
          <w:sz w:val="16"/>
          <w:szCs w:val="16"/>
        </w:rPr>
        <w:softHyphen/>
        <w:t>мых требований военные расставили так: скорость, скороподъемность, маневрен</w:t>
      </w:r>
      <w:r w:rsidRPr="00142305">
        <w:rPr>
          <w:rStyle w:val="aff"/>
          <w:rFonts w:ascii="Times New Roman" w:hAnsi="Times New Roman" w:cs="Times New Roman"/>
          <w:color w:val="0070C0"/>
          <w:spacing w:val="0"/>
          <w:sz w:val="16"/>
          <w:szCs w:val="16"/>
        </w:rPr>
        <w:softHyphen/>
        <w:t>ность. Причем последнее условие обговари</w:t>
      </w:r>
      <w:r w:rsidRPr="00142305">
        <w:rPr>
          <w:rStyle w:val="aff"/>
          <w:rFonts w:ascii="Times New Roman" w:hAnsi="Times New Roman" w:cs="Times New Roman"/>
          <w:color w:val="0070C0"/>
          <w:spacing w:val="0"/>
          <w:sz w:val="16"/>
          <w:szCs w:val="16"/>
        </w:rPr>
        <w:softHyphen/>
        <w:t>валось достаточно подробно. Самолет дол</w:t>
      </w:r>
      <w:r w:rsidRPr="00142305">
        <w:rPr>
          <w:rStyle w:val="aff"/>
          <w:rFonts w:ascii="Times New Roman" w:hAnsi="Times New Roman" w:cs="Times New Roman"/>
          <w:color w:val="0070C0"/>
          <w:spacing w:val="0"/>
          <w:sz w:val="16"/>
          <w:szCs w:val="16"/>
        </w:rPr>
        <w:softHyphen/>
        <w:t>жен был на высоте 5000 м выполнять все фи</w:t>
      </w:r>
      <w:r w:rsidRPr="00142305">
        <w:rPr>
          <w:rStyle w:val="aff"/>
          <w:rFonts w:ascii="Times New Roman" w:hAnsi="Times New Roman" w:cs="Times New Roman"/>
          <w:color w:val="0070C0"/>
          <w:spacing w:val="0"/>
          <w:sz w:val="16"/>
          <w:szCs w:val="16"/>
        </w:rPr>
        <w:softHyphen/>
        <w:t>гуры высшего пилотажа. При этом серийные пятикратные мертвые петли на высоте 5000 м требовалось выполняться без снижения.</w:t>
      </w:r>
    </w:p>
    <w:p w14:paraId="2205009E" w14:textId="77777777" w:rsidR="00385FF5" w:rsidRPr="00142305" w:rsidRDefault="00385FF5" w:rsidP="00385FF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выполнение серийных пятикратных вира</w:t>
      </w:r>
      <w:r w:rsidRPr="00142305">
        <w:rPr>
          <w:rStyle w:val="aff"/>
          <w:rFonts w:ascii="Times New Roman" w:hAnsi="Times New Roman" w:cs="Times New Roman"/>
          <w:color w:val="0070C0"/>
          <w:spacing w:val="0"/>
          <w:sz w:val="16"/>
          <w:szCs w:val="16"/>
        </w:rPr>
        <w:softHyphen/>
        <w:t>жей на высоте 1000 м также без снижения отводилось 13 секунд, а восьмерок на той же высоте – 27 секунд. Двойной переворот на высоте 1000 м должен был выполняться как левый, так и правый, не дольше, чем за 4-4,5 секунды</w:t>
      </w:r>
    </w:p>
    <w:p w14:paraId="34F570AF" w14:textId="77777777" w:rsidR="00385FF5" w:rsidRPr="00142305" w:rsidRDefault="00385FF5" w:rsidP="00385FF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При потере скорости до посадочной И-16 должен был иметь хорошую управляемость, а также не иметь тенденции к срыву в штопор на всех режимах. При сознательном вводе в штопор самолет должен был легко входить в него и выходить из него (обратная нога и</w:t>
      </w:r>
    </w:p>
    <w:p w14:paraId="46F0C7C2" w14:textId="77777777" w:rsidR="00385FF5" w:rsidRPr="00142305" w:rsidRDefault="00385FF5" w:rsidP="00385FF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ручка нейтральна) с запаздывание не более полувитка после 6 витков.</w:t>
      </w:r>
    </w:p>
    <w:p w14:paraId="1E2C43AE" w14:textId="77777777" w:rsidR="00385FF5" w:rsidRPr="00142305" w:rsidRDefault="00385FF5" w:rsidP="00385FF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Самолет должен был допускать пикиро</w:t>
      </w:r>
      <w:r w:rsidRPr="00142305">
        <w:rPr>
          <w:rStyle w:val="aff"/>
          <w:rFonts w:ascii="Times New Roman" w:hAnsi="Times New Roman" w:cs="Times New Roman"/>
          <w:color w:val="0070C0"/>
          <w:spacing w:val="0"/>
          <w:sz w:val="16"/>
          <w:szCs w:val="16"/>
        </w:rPr>
        <w:softHyphen/>
        <w:t>вание под углом 90 градусов на малом газу, на протяжении по вертикали не менее 1200 м. Во время пикирования на этих условиях требовалось обязательное сохранение пол</w:t>
      </w:r>
      <w:r w:rsidRPr="00142305">
        <w:rPr>
          <w:rStyle w:val="aff"/>
          <w:rFonts w:ascii="Times New Roman" w:hAnsi="Times New Roman" w:cs="Times New Roman"/>
          <w:color w:val="0070C0"/>
          <w:spacing w:val="0"/>
          <w:sz w:val="16"/>
          <w:szCs w:val="16"/>
        </w:rPr>
        <w:softHyphen/>
        <w:t>ной устойчивости по трем осям. В продоль</w:t>
      </w:r>
      <w:r w:rsidRPr="00142305">
        <w:rPr>
          <w:rStyle w:val="aff"/>
          <w:rFonts w:ascii="Times New Roman" w:hAnsi="Times New Roman" w:cs="Times New Roman"/>
          <w:color w:val="0070C0"/>
          <w:spacing w:val="0"/>
          <w:sz w:val="16"/>
          <w:szCs w:val="16"/>
        </w:rPr>
        <w:softHyphen/>
        <w:t>ном отношении и в отношении пути И-16 должен был сохранять устойчивость на всех режимах – от отвесного пикирования до по</w:t>
      </w:r>
      <w:r w:rsidRPr="00142305">
        <w:rPr>
          <w:rStyle w:val="aff"/>
          <w:rFonts w:ascii="Times New Roman" w:hAnsi="Times New Roman" w:cs="Times New Roman"/>
          <w:color w:val="0070C0"/>
          <w:spacing w:val="0"/>
          <w:sz w:val="16"/>
          <w:szCs w:val="16"/>
        </w:rPr>
        <w:softHyphen/>
        <w:t>садки для всех присущих ему вариантов на</w:t>
      </w:r>
      <w:r w:rsidRPr="00142305">
        <w:rPr>
          <w:rStyle w:val="aff"/>
          <w:rFonts w:ascii="Times New Roman" w:hAnsi="Times New Roman" w:cs="Times New Roman"/>
          <w:color w:val="0070C0"/>
          <w:spacing w:val="0"/>
          <w:sz w:val="16"/>
          <w:szCs w:val="16"/>
        </w:rPr>
        <w:softHyphen/>
        <w:t>грузки.</w:t>
      </w:r>
    </w:p>
    <w:p w14:paraId="232D3AC3" w14:textId="77777777" w:rsidR="00385FF5" w:rsidRPr="00142305" w:rsidRDefault="00385FF5" w:rsidP="00385FF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Не очень понятно почему, но технических требований на вариант с «Циклоном» ВВС не выдали. В целом, проект ЦКБ-12М-22 воен</w:t>
      </w:r>
      <w:r w:rsidRPr="00142305">
        <w:rPr>
          <w:rStyle w:val="aff"/>
          <w:rFonts w:ascii="Times New Roman" w:hAnsi="Times New Roman" w:cs="Times New Roman"/>
          <w:color w:val="0070C0"/>
          <w:spacing w:val="0"/>
          <w:sz w:val="16"/>
          <w:szCs w:val="16"/>
        </w:rPr>
        <w:softHyphen/>
        <w:t>ных устраивал, однако, даже несмотря на на</w:t>
      </w:r>
      <w:r w:rsidRPr="00142305">
        <w:rPr>
          <w:rStyle w:val="aff"/>
          <w:rFonts w:ascii="Times New Roman" w:hAnsi="Times New Roman" w:cs="Times New Roman"/>
          <w:color w:val="0070C0"/>
          <w:spacing w:val="0"/>
          <w:sz w:val="16"/>
          <w:szCs w:val="16"/>
        </w:rPr>
        <w:softHyphen/>
        <w:t>личие утвержденных требований, он оста</w:t>
      </w:r>
      <w:r w:rsidRPr="00142305">
        <w:rPr>
          <w:rStyle w:val="aff"/>
          <w:rFonts w:ascii="Times New Roman" w:hAnsi="Times New Roman" w:cs="Times New Roman"/>
          <w:color w:val="0070C0"/>
          <w:spacing w:val="0"/>
          <w:sz w:val="16"/>
          <w:szCs w:val="16"/>
        </w:rPr>
        <w:softHyphen/>
        <w:t>вался инициативной разработкой. Построй</w:t>
      </w:r>
      <w:r w:rsidRPr="00142305">
        <w:rPr>
          <w:rStyle w:val="aff"/>
          <w:rFonts w:ascii="Times New Roman" w:hAnsi="Times New Roman" w:cs="Times New Roman"/>
          <w:color w:val="0070C0"/>
          <w:spacing w:val="0"/>
          <w:sz w:val="16"/>
          <w:szCs w:val="16"/>
        </w:rPr>
        <w:softHyphen/>
        <w:t>ка макета и подготовка пакета рабочей доку</w:t>
      </w:r>
      <w:r w:rsidRPr="00142305">
        <w:rPr>
          <w:rStyle w:val="aff"/>
          <w:rFonts w:ascii="Times New Roman" w:hAnsi="Times New Roman" w:cs="Times New Roman"/>
          <w:color w:val="0070C0"/>
          <w:spacing w:val="0"/>
          <w:sz w:val="16"/>
          <w:szCs w:val="16"/>
        </w:rPr>
        <w:softHyphen/>
        <w:t>ментации шли в режиме приоритета плано</w:t>
      </w:r>
      <w:r w:rsidRPr="00142305">
        <w:rPr>
          <w:rStyle w:val="aff"/>
          <w:rFonts w:ascii="Times New Roman" w:hAnsi="Times New Roman" w:cs="Times New Roman"/>
          <w:color w:val="0070C0"/>
          <w:spacing w:val="0"/>
          <w:sz w:val="16"/>
          <w:szCs w:val="16"/>
        </w:rPr>
        <w:softHyphen/>
        <w:t>вых тем ЦКБ. Макет был готов только поздней осенью, комиссия по его рассмотрению засе</w:t>
      </w:r>
      <w:r w:rsidRPr="00142305">
        <w:rPr>
          <w:rStyle w:val="aff"/>
          <w:rFonts w:ascii="Times New Roman" w:hAnsi="Times New Roman" w:cs="Times New Roman"/>
          <w:color w:val="0070C0"/>
          <w:spacing w:val="0"/>
          <w:sz w:val="16"/>
          <w:szCs w:val="16"/>
        </w:rPr>
        <w:softHyphen/>
        <w:t>дала в конце октября – начале ноября 1933 года. Все двигалось по накатанной колее до конца осени 1933 года, хотя канцелярские бои и битвы гремели уже давно, а в бюрокра</w:t>
      </w:r>
      <w:r w:rsidRPr="00142305">
        <w:rPr>
          <w:rStyle w:val="aff"/>
          <w:rFonts w:ascii="Times New Roman" w:hAnsi="Times New Roman" w:cs="Times New Roman"/>
          <w:color w:val="0070C0"/>
          <w:spacing w:val="0"/>
          <w:sz w:val="16"/>
          <w:szCs w:val="16"/>
        </w:rPr>
        <w:softHyphen/>
        <w:t>тической писанине извели немало писчебу</w:t>
      </w:r>
      <w:r w:rsidRPr="00142305">
        <w:rPr>
          <w:rStyle w:val="aff"/>
          <w:rFonts w:ascii="Times New Roman" w:hAnsi="Times New Roman" w:cs="Times New Roman"/>
          <w:color w:val="0070C0"/>
          <w:spacing w:val="0"/>
          <w:sz w:val="16"/>
          <w:szCs w:val="16"/>
        </w:rPr>
        <w:softHyphen/>
        <w:t>мажного товара (25519).</w:t>
      </w:r>
    </w:p>
    <w:p w14:paraId="1934086F" w14:textId="77777777" w:rsidR="00385FF5" w:rsidRPr="00142305" w:rsidRDefault="00385FF5" w:rsidP="00385FF5">
      <w:pPr>
        <w:spacing w:after="0" w:line="240" w:lineRule="auto"/>
        <w:jc w:val="both"/>
        <w:rPr>
          <w:rFonts w:ascii="Times New Roman" w:hAnsi="Times New Roman"/>
          <w:color w:val="0070C0"/>
          <w:sz w:val="16"/>
          <w:szCs w:val="16"/>
        </w:rPr>
      </w:pPr>
    </w:p>
    <w:p w14:paraId="2F43D1B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июля 1933 года с исх. № 615/116с был направлен/получен</w:t>
      </w:r>
    </w:p>
    <w:p w14:paraId="57D05A5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Список заводов, ремонтных мастерских, научно-исследовательских учреждений, школ и учебных заведений Аэрофлота на 1 июля 1933 года</w:t>
      </w:r>
    </w:p>
    <w:p w14:paraId="6F2618F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551"/>
        <w:gridCol w:w="2693"/>
        <w:gridCol w:w="2835"/>
      </w:tblGrid>
      <w:tr w:rsidR="004E10C1" w:rsidRPr="0044524F" w14:paraId="631C3C26" w14:textId="77777777">
        <w:tc>
          <w:tcPr>
            <w:tcW w:w="2235" w:type="dxa"/>
          </w:tcPr>
          <w:p w14:paraId="23997EE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2551" w:type="dxa"/>
          </w:tcPr>
          <w:p w14:paraId="52A6011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Местонахождение</w:t>
            </w:r>
          </w:p>
        </w:tc>
        <w:tc>
          <w:tcPr>
            <w:tcW w:w="2693" w:type="dxa"/>
          </w:tcPr>
          <w:p w14:paraId="4583B5E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 работы</w:t>
            </w:r>
          </w:p>
        </w:tc>
        <w:tc>
          <w:tcPr>
            <w:tcW w:w="2835" w:type="dxa"/>
          </w:tcPr>
          <w:p w14:paraId="68E638C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w:t>
            </w:r>
          </w:p>
        </w:tc>
      </w:tr>
    </w:tbl>
    <w:p w14:paraId="4D3C573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551"/>
        <w:gridCol w:w="2693"/>
        <w:gridCol w:w="2835"/>
      </w:tblGrid>
      <w:tr w:rsidR="004E10C1" w:rsidRPr="0044524F" w14:paraId="7356B351" w14:textId="77777777">
        <w:tc>
          <w:tcPr>
            <w:tcW w:w="2235" w:type="dxa"/>
          </w:tcPr>
          <w:p w14:paraId="1EE9E764"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81</w:t>
            </w:r>
          </w:p>
        </w:tc>
        <w:tc>
          <w:tcPr>
            <w:tcW w:w="2551" w:type="dxa"/>
          </w:tcPr>
          <w:p w14:paraId="0E5EB31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Тушино</w:t>
            </w:r>
          </w:p>
        </w:tc>
        <w:tc>
          <w:tcPr>
            <w:tcW w:w="2693" w:type="dxa"/>
          </w:tcPr>
          <w:p w14:paraId="6208F89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стальных самолетов</w:t>
            </w:r>
          </w:p>
        </w:tc>
        <w:tc>
          <w:tcPr>
            <w:tcW w:w="2835" w:type="dxa"/>
          </w:tcPr>
          <w:p w14:paraId="0D36333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Действующий</w:t>
            </w:r>
          </w:p>
        </w:tc>
      </w:tr>
      <w:tr w:rsidR="004E10C1" w:rsidRPr="0044524F" w14:paraId="66A516AD" w14:textId="77777777">
        <w:tc>
          <w:tcPr>
            <w:tcW w:w="2235" w:type="dxa"/>
          </w:tcPr>
          <w:p w14:paraId="602A266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82</w:t>
            </w:r>
          </w:p>
        </w:tc>
        <w:tc>
          <w:tcPr>
            <w:tcW w:w="2551" w:type="dxa"/>
          </w:tcPr>
          <w:p w14:paraId="4C113B7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Тушино</w:t>
            </w:r>
          </w:p>
        </w:tc>
        <w:tc>
          <w:tcPr>
            <w:tcW w:w="2693" w:type="dxa"/>
          </w:tcPr>
          <w:p w14:paraId="4C23984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запчастей и аэродромного оборудования</w:t>
            </w:r>
          </w:p>
        </w:tc>
        <w:tc>
          <w:tcPr>
            <w:tcW w:w="2835" w:type="dxa"/>
          </w:tcPr>
          <w:p w14:paraId="0C95B74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Строящийся</w:t>
            </w:r>
          </w:p>
        </w:tc>
      </w:tr>
      <w:tr w:rsidR="004E10C1" w:rsidRPr="0044524F" w14:paraId="12F7E878" w14:textId="77777777">
        <w:tc>
          <w:tcPr>
            <w:tcW w:w="2235" w:type="dxa"/>
          </w:tcPr>
          <w:p w14:paraId="6663DCA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83</w:t>
            </w:r>
          </w:p>
        </w:tc>
        <w:tc>
          <w:tcPr>
            <w:tcW w:w="2551" w:type="dxa"/>
          </w:tcPr>
          <w:p w14:paraId="20153C3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Хабаровск</w:t>
            </w:r>
          </w:p>
        </w:tc>
        <w:tc>
          <w:tcPr>
            <w:tcW w:w="2693" w:type="dxa"/>
          </w:tcPr>
          <w:p w14:paraId="69B4481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Ремонт самолетов и моторов</w:t>
            </w:r>
          </w:p>
        </w:tc>
        <w:tc>
          <w:tcPr>
            <w:tcW w:w="2835" w:type="dxa"/>
          </w:tcPr>
          <w:p w14:paraId="443DD3E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Строящийся</w:t>
            </w:r>
          </w:p>
        </w:tc>
      </w:tr>
      <w:tr w:rsidR="004E10C1" w:rsidRPr="0044524F" w14:paraId="63ED76BE" w14:textId="77777777">
        <w:tc>
          <w:tcPr>
            <w:tcW w:w="2235" w:type="dxa"/>
          </w:tcPr>
          <w:p w14:paraId="4B9DEE0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84</w:t>
            </w:r>
          </w:p>
        </w:tc>
        <w:tc>
          <w:tcPr>
            <w:tcW w:w="2551" w:type="dxa"/>
          </w:tcPr>
          <w:p w14:paraId="04C06ED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Химки</w:t>
            </w:r>
          </w:p>
        </w:tc>
        <w:tc>
          <w:tcPr>
            <w:tcW w:w="2693" w:type="dxa"/>
          </w:tcPr>
          <w:p w14:paraId="6569C73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Ремонт самолетов и моторов</w:t>
            </w:r>
          </w:p>
        </w:tc>
        <w:tc>
          <w:tcPr>
            <w:tcW w:w="2835" w:type="dxa"/>
          </w:tcPr>
          <w:p w14:paraId="260D366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Строящийся</w:t>
            </w:r>
          </w:p>
        </w:tc>
      </w:tr>
      <w:tr w:rsidR="004E10C1" w:rsidRPr="0044524F" w14:paraId="5F57E2CF" w14:textId="77777777">
        <w:tc>
          <w:tcPr>
            <w:tcW w:w="2235" w:type="dxa"/>
          </w:tcPr>
          <w:p w14:paraId="27F148F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85</w:t>
            </w:r>
          </w:p>
        </w:tc>
        <w:tc>
          <w:tcPr>
            <w:tcW w:w="2551" w:type="dxa"/>
          </w:tcPr>
          <w:p w14:paraId="6E89F65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Тушино</w:t>
            </w:r>
          </w:p>
        </w:tc>
        <w:tc>
          <w:tcPr>
            <w:tcW w:w="2693" w:type="dxa"/>
          </w:tcPr>
          <w:p w14:paraId="3DBB4430"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радиоаппаратуры</w:t>
            </w:r>
          </w:p>
        </w:tc>
        <w:tc>
          <w:tcPr>
            <w:tcW w:w="2835" w:type="dxa"/>
          </w:tcPr>
          <w:p w14:paraId="5433B94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Строящийся. Мастерские работают с 1932 года.</w:t>
            </w:r>
          </w:p>
        </w:tc>
      </w:tr>
      <w:tr w:rsidR="004E10C1" w:rsidRPr="0044524F" w14:paraId="6DB159D2" w14:textId="77777777">
        <w:tc>
          <w:tcPr>
            <w:tcW w:w="2235" w:type="dxa"/>
          </w:tcPr>
          <w:p w14:paraId="49A50F5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86</w:t>
            </w:r>
          </w:p>
        </w:tc>
        <w:tc>
          <w:tcPr>
            <w:tcW w:w="2551" w:type="dxa"/>
          </w:tcPr>
          <w:p w14:paraId="5C4B5FC4"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Батайск</w:t>
            </w:r>
          </w:p>
        </w:tc>
        <w:tc>
          <w:tcPr>
            <w:tcW w:w="2693" w:type="dxa"/>
          </w:tcPr>
          <w:p w14:paraId="52A5BB24"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Ремонт самолетов и моторов</w:t>
            </w:r>
          </w:p>
        </w:tc>
        <w:tc>
          <w:tcPr>
            <w:tcW w:w="2835" w:type="dxa"/>
          </w:tcPr>
          <w:p w14:paraId="3B09453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Действующий</w:t>
            </w:r>
          </w:p>
        </w:tc>
      </w:tr>
      <w:tr w:rsidR="004E10C1" w:rsidRPr="0044524F" w14:paraId="0A53E43C" w14:textId="77777777">
        <w:tc>
          <w:tcPr>
            <w:tcW w:w="2235" w:type="dxa"/>
          </w:tcPr>
          <w:p w14:paraId="47CFBD6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87</w:t>
            </w:r>
          </w:p>
        </w:tc>
        <w:tc>
          <w:tcPr>
            <w:tcW w:w="2551" w:type="dxa"/>
          </w:tcPr>
          <w:p w14:paraId="07A12841"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c>
          <w:tcPr>
            <w:tcW w:w="2693" w:type="dxa"/>
          </w:tcPr>
          <w:p w14:paraId="4C91FC4F"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c>
          <w:tcPr>
            <w:tcW w:w="2835" w:type="dxa"/>
          </w:tcPr>
          <w:p w14:paraId="17895378"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r>
      <w:tr w:rsidR="004E10C1" w:rsidRPr="0044524F" w14:paraId="03E9C0FD" w14:textId="77777777">
        <w:tc>
          <w:tcPr>
            <w:tcW w:w="2235" w:type="dxa"/>
          </w:tcPr>
          <w:p w14:paraId="4F6789C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88</w:t>
            </w:r>
          </w:p>
        </w:tc>
        <w:tc>
          <w:tcPr>
            <w:tcW w:w="2551" w:type="dxa"/>
          </w:tcPr>
          <w:p w14:paraId="521D185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Балашов</w:t>
            </w:r>
          </w:p>
        </w:tc>
        <w:tc>
          <w:tcPr>
            <w:tcW w:w="2693" w:type="dxa"/>
          </w:tcPr>
          <w:p w14:paraId="413BB04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Ремонт самолетов и моторов</w:t>
            </w:r>
          </w:p>
        </w:tc>
        <w:tc>
          <w:tcPr>
            <w:tcW w:w="2835" w:type="dxa"/>
          </w:tcPr>
          <w:p w14:paraId="29E6522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Действующий</w:t>
            </w:r>
          </w:p>
        </w:tc>
      </w:tr>
      <w:tr w:rsidR="004E10C1" w:rsidRPr="0044524F" w14:paraId="16D1E462" w14:textId="77777777">
        <w:tc>
          <w:tcPr>
            <w:tcW w:w="2235" w:type="dxa"/>
          </w:tcPr>
          <w:p w14:paraId="399D6D3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УНИАДИ</w:t>
            </w:r>
          </w:p>
        </w:tc>
        <w:tc>
          <w:tcPr>
            <w:tcW w:w="2551" w:type="dxa"/>
          </w:tcPr>
          <w:p w14:paraId="6772F55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Харьков</w:t>
            </w:r>
          </w:p>
        </w:tc>
        <w:tc>
          <w:tcPr>
            <w:tcW w:w="2693" w:type="dxa"/>
          </w:tcPr>
          <w:p w14:paraId="403B3D8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авиадизелей</w:t>
            </w:r>
          </w:p>
        </w:tc>
        <w:tc>
          <w:tcPr>
            <w:tcW w:w="2835" w:type="dxa"/>
          </w:tcPr>
          <w:p w14:paraId="3BB4815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Действующий</w:t>
            </w:r>
          </w:p>
        </w:tc>
      </w:tr>
      <w:tr w:rsidR="004E10C1" w:rsidRPr="0044524F" w14:paraId="66125554" w14:textId="77777777">
        <w:tc>
          <w:tcPr>
            <w:tcW w:w="2235" w:type="dxa"/>
          </w:tcPr>
          <w:p w14:paraId="0D3342E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Верфь Дирижаблестрой</w:t>
            </w:r>
          </w:p>
        </w:tc>
        <w:tc>
          <w:tcPr>
            <w:tcW w:w="2551" w:type="dxa"/>
          </w:tcPr>
          <w:p w14:paraId="029AF78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Долгопрудная</w:t>
            </w:r>
          </w:p>
        </w:tc>
        <w:tc>
          <w:tcPr>
            <w:tcW w:w="2693" w:type="dxa"/>
          </w:tcPr>
          <w:p w14:paraId="0E15EA4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дирижаблей</w:t>
            </w:r>
          </w:p>
        </w:tc>
        <w:tc>
          <w:tcPr>
            <w:tcW w:w="2835" w:type="dxa"/>
          </w:tcPr>
          <w:p w14:paraId="79CA6F07"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Действующий</w:t>
            </w:r>
          </w:p>
        </w:tc>
      </w:tr>
    </w:tbl>
    <w:p w14:paraId="68606608"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Научно-исследовательские учреждения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551"/>
        <w:gridCol w:w="2693"/>
        <w:gridCol w:w="2835"/>
      </w:tblGrid>
      <w:tr w:rsidR="004E10C1" w:rsidRPr="0044524F" w14:paraId="2F603C81" w14:textId="77777777">
        <w:tc>
          <w:tcPr>
            <w:tcW w:w="2235" w:type="dxa"/>
          </w:tcPr>
          <w:p w14:paraId="55373E0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самолетный</w:t>
            </w:r>
          </w:p>
        </w:tc>
        <w:tc>
          <w:tcPr>
            <w:tcW w:w="2551" w:type="dxa"/>
          </w:tcPr>
          <w:p w14:paraId="4353C62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Красноармейская, 17</w:t>
            </w:r>
          </w:p>
        </w:tc>
        <w:tc>
          <w:tcPr>
            <w:tcW w:w="2693" w:type="dxa"/>
          </w:tcPr>
          <w:p w14:paraId="7FE5625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 самолетов и техническая эксплуатация</w:t>
            </w:r>
          </w:p>
        </w:tc>
        <w:tc>
          <w:tcPr>
            <w:tcW w:w="2835" w:type="dxa"/>
          </w:tcPr>
          <w:p w14:paraId="1DFA88D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Действующий</w:t>
            </w:r>
          </w:p>
        </w:tc>
      </w:tr>
      <w:tr w:rsidR="004E10C1" w:rsidRPr="0044524F" w14:paraId="002842D7" w14:textId="77777777">
        <w:tc>
          <w:tcPr>
            <w:tcW w:w="2235" w:type="dxa"/>
          </w:tcPr>
          <w:p w14:paraId="19FDF4A3"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НИАИ (аэро)</w:t>
            </w:r>
          </w:p>
        </w:tc>
        <w:tc>
          <w:tcPr>
            <w:tcW w:w="2551" w:type="dxa"/>
          </w:tcPr>
          <w:p w14:paraId="3E9EC78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Ленинград, ул. Плеханова, 7</w:t>
            </w:r>
          </w:p>
        </w:tc>
        <w:tc>
          <w:tcPr>
            <w:tcW w:w="2693" w:type="dxa"/>
          </w:tcPr>
          <w:p w14:paraId="6C59C70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 самолетов, земное оборудование и техническая эксплуатация</w:t>
            </w:r>
          </w:p>
        </w:tc>
        <w:tc>
          <w:tcPr>
            <w:tcW w:w="2835" w:type="dxa"/>
          </w:tcPr>
          <w:p w14:paraId="4B3660B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Действующий</w:t>
            </w:r>
          </w:p>
        </w:tc>
      </w:tr>
      <w:tr w:rsidR="004E10C1" w:rsidRPr="0044524F" w14:paraId="316299F9" w14:textId="77777777">
        <w:tc>
          <w:tcPr>
            <w:tcW w:w="2235" w:type="dxa"/>
          </w:tcPr>
          <w:p w14:paraId="2398F21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авиадвигателей</w:t>
            </w:r>
          </w:p>
        </w:tc>
        <w:tc>
          <w:tcPr>
            <w:tcW w:w="2551" w:type="dxa"/>
          </w:tcPr>
          <w:p w14:paraId="3D8C613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Тушино, Авиагородок, корп. Б</w:t>
            </w:r>
          </w:p>
        </w:tc>
        <w:tc>
          <w:tcPr>
            <w:tcW w:w="2693" w:type="dxa"/>
          </w:tcPr>
          <w:p w14:paraId="4D79F1FD"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 авиадвигателей воздушного охлаждения и техническая эксплуатация моторов</w:t>
            </w:r>
          </w:p>
        </w:tc>
        <w:tc>
          <w:tcPr>
            <w:tcW w:w="2835" w:type="dxa"/>
          </w:tcPr>
          <w:p w14:paraId="5A45588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Действующий</w:t>
            </w:r>
          </w:p>
        </w:tc>
      </w:tr>
      <w:tr w:rsidR="004E10C1" w:rsidRPr="0044524F" w14:paraId="4261FB0F" w14:textId="77777777">
        <w:tc>
          <w:tcPr>
            <w:tcW w:w="2235" w:type="dxa"/>
          </w:tcPr>
          <w:p w14:paraId="2EB9B84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Украинский научно-исследовательский авиадизельный институт (Харьковский филиал)</w:t>
            </w:r>
          </w:p>
        </w:tc>
        <w:tc>
          <w:tcPr>
            <w:tcW w:w="2551" w:type="dxa"/>
          </w:tcPr>
          <w:p w14:paraId="25DE647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Харьков, Черноглазовская, 21/23</w:t>
            </w:r>
          </w:p>
        </w:tc>
        <w:tc>
          <w:tcPr>
            <w:tcW w:w="2693" w:type="dxa"/>
          </w:tcPr>
          <w:p w14:paraId="5FBFF9D2"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Конструирование авиадизелей</w:t>
            </w:r>
          </w:p>
        </w:tc>
        <w:tc>
          <w:tcPr>
            <w:tcW w:w="2835" w:type="dxa"/>
          </w:tcPr>
          <w:p w14:paraId="62DFE50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Действующий</w:t>
            </w:r>
          </w:p>
        </w:tc>
      </w:tr>
      <w:tr w:rsidR="004E10C1" w:rsidRPr="0044524F" w14:paraId="3AF4C819" w14:textId="77777777">
        <w:tc>
          <w:tcPr>
            <w:tcW w:w="2235" w:type="dxa"/>
          </w:tcPr>
          <w:p w14:paraId="43E94D29"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Киевский НИИ авиадвигателей</w:t>
            </w:r>
          </w:p>
        </w:tc>
        <w:tc>
          <w:tcPr>
            <w:tcW w:w="2551" w:type="dxa"/>
          </w:tcPr>
          <w:p w14:paraId="6841E825"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Киев, Прорезная, 25</w:t>
            </w:r>
          </w:p>
        </w:tc>
        <w:tc>
          <w:tcPr>
            <w:tcW w:w="2693" w:type="dxa"/>
          </w:tcPr>
          <w:p w14:paraId="4373D3D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Конструирование авиадвигателей</w:t>
            </w:r>
          </w:p>
        </w:tc>
        <w:tc>
          <w:tcPr>
            <w:tcW w:w="2835" w:type="dxa"/>
          </w:tcPr>
          <w:p w14:paraId="4D93D23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Действующий</w:t>
            </w:r>
          </w:p>
        </w:tc>
      </w:tr>
      <w:tr w:rsidR="004E10C1" w:rsidRPr="0044524F" w14:paraId="416F7BB6" w14:textId="77777777">
        <w:tc>
          <w:tcPr>
            <w:tcW w:w="2235" w:type="dxa"/>
          </w:tcPr>
          <w:p w14:paraId="5BAD366E"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спецслужб</w:t>
            </w:r>
          </w:p>
        </w:tc>
        <w:tc>
          <w:tcPr>
            <w:tcW w:w="2551" w:type="dxa"/>
          </w:tcPr>
          <w:p w14:paraId="1F0E0184"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Тушино</w:t>
            </w:r>
          </w:p>
        </w:tc>
        <w:tc>
          <w:tcPr>
            <w:tcW w:w="2693" w:type="dxa"/>
          </w:tcPr>
          <w:p w14:paraId="775CD97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Аэронавигация, аэрография, радио, светотехника, земное оборудование и авиаприборы</w:t>
            </w:r>
          </w:p>
        </w:tc>
        <w:tc>
          <w:tcPr>
            <w:tcW w:w="2835" w:type="dxa"/>
          </w:tcPr>
          <w:p w14:paraId="401003D3"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r>
      <w:tr w:rsidR="004E10C1" w:rsidRPr="0044524F" w14:paraId="2979BF3F" w14:textId="77777777">
        <w:tc>
          <w:tcPr>
            <w:tcW w:w="2235" w:type="dxa"/>
          </w:tcPr>
          <w:p w14:paraId="6CE9C89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ВНИИСХА (с/х авиация)</w:t>
            </w:r>
          </w:p>
        </w:tc>
        <w:tc>
          <w:tcPr>
            <w:tcW w:w="2551" w:type="dxa"/>
          </w:tcPr>
          <w:p w14:paraId="5FC109A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Елецкий пер., 7</w:t>
            </w:r>
          </w:p>
        </w:tc>
        <w:tc>
          <w:tcPr>
            <w:tcW w:w="2693" w:type="dxa"/>
          </w:tcPr>
          <w:p w14:paraId="0B9CC39C"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вопросов методики и техн. применения авиации в с/х</w:t>
            </w:r>
          </w:p>
        </w:tc>
        <w:tc>
          <w:tcPr>
            <w:tcW w:w="2835" w:type="dxa"/>
          </w:tcPr>
          <w:p w14:paraId="1808ED06"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r>
      <w:tr w:rsidR="004E10C1" w:rsidRPr="0044524F" w14:paraId="3B85A2D2" w14:textId="77777777">
        <w:tc>
          <w:tcPr>
            <w:tcW w:w="2235" w:type="dxa"/>
          </w:tcPr>
          <w:p w14:paraId="3EAA92F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Психофизиологическая лаборатория</w:t>
            </w:r>
          </w:p>
        </w:tc>
        <w:tc>
          <w:tcPr>
            <w:tcW w:w="2551" w:type="dxa"/>
          </w:tcPr>
          <w:p w14:paraId="30D5586A"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Тушино</w:t>
            </w:r>
          </w:p>
        </w:tc>
        <w:tc>
          <w:tcPr>
            <w:tcW w:w="2693" w:type="dxa"/>
          </w:tcPr>
          <w:p w14:paraId="03AD9AF3"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c>
          <w:tcPr>
            <w:tcW w:w="2835" w:type="dxa"/>
          </w:tcPr>
          <w:p w14:paraId="361E17D9" w14:textId="77777777" w:rsidR="00C22911" w:rsidRPr="0044524F" w:rsidRDefault="00C22911" w:rsidP="009654CF">
            <w:pPr>
              <w:spacing w:after="0" w:line="240" w:lineRule="auto"/>
              <w:jc w:val="both"/>
              <w:rPr>
                <w:rFonts w:ascii="Times New Roman" w:hAnsi="Times New Roman"/>
                <w:color w:val="000000" w:themeColor="text1"/>
                <w:sz w:val="16"/>
                <w:szCs w:val="16"/>
              </w:rPr>
            </w:pPr>
          </w:p>
        </w:tc>
      </w:tr>
    </w:tbl>
    <w:p w14:paraId="10C4149B"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(7741, 55-56)</w:t>
      </w:r>
    </w:p>
    <w:p w14:paraId="4D572845"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015822D5" w14:textId="77777777" w:rsidR="009401EE" w:rsidRPr="0044524F" w:rsidRDefault="009401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с 19 июля по 19 декабря 1933 г. исходя из Протоколов Президиума ЦС ОСОАВИАХИМ, С.П.К., который будучи членом Совета Общего собрания ОСОАВИАХИМ был обязан присутствовать на заседаниях Президиума, но всегда пренебрегал этой обязанностью, пока решался вопрос о создании РНИИ, не пропустил ни одного собрания Президиума ЦС ОСОАВИАХИМ, в прениях не участвовал, не выступал, создается впечатление, что он все время ждал, вдруг скажут, что решение в «верхах» наконец вынесено (ГА РФ. ФондР-8355. Оп. 1. Д. 70. Л. 41, 51, 69.) (22685).</w:t>
      </w:r>
    </w:p>
    <w:p w14:paraId="2D3CFAA8" w14:textId="77777777" w:rsidR="009401EE" w:rsidRPr="0044524F" w:rsidRDefault="009401EE" w:rsidP="009654CF">
      <w:pPr>
        <w:spacing w:after="0" w:line="240" w:lineRule="auto"/>
        <w:jc w:val="both"/>
        <w:rPr>
          <w:rFonts w:ascii="Times New Roman" w:hAnsi="Times New Roman"/>
          <w:color w:val="000000" w:themeColor="text1"/>
          <w:sz w:val="16"/>
          <w:szCs w:val="16"/>
        </w:rPr>
      </w:pPr>
    </w:p>
    <w:p w14:paraId="23B0AE1E"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C148093"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499572C6"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июля 1933 г. Приказ начальника Военно-химического управления и химических войск РККА Я.М.Фишмана об установлении места для размещения нового военно-химического склада центрального подчинения в районе ЦВХП (станция Причернавская). В 1936 г. руководству склада было приказано начать его формирование. Ныне - это склад химического оружия в районе полигона Шиханы (Саратовская область) (4423).</w:t>
      </w:r>
    </w:p>
    <w:p w14:paraId="0560FAF0"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748776F7" w14:textId="77777777" w:rsidR="00B4520E" w:rsidRPr="0044524F" w:rsidRDefault="00B4520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bCs/>
          <w:iCs/>
          <w:color w:val="000000" w:themeColor="text1"/>
          <w:sz w:val="16"/>
          <w:szCs w:val="16"/>
        </w:rPr>
        <w:t>19 июля 1933 г.</w:t>
      </w:r>
      <w:r w:rsidRPr="0044524F">
        <w:rPr>
          <w:rFonts w:ascii="Times New Roman" w:hAnsi="Times New Roman"/>
          <w:color w:val="000000" w:themeColor="text1"/>
          <w:sz w:val="16"/>
          <w:szCs w:val="16"/>
        </w:rPr>
        <w:t xml:space="preserve"> Приказ начальника ВОХИМУ и химических войск РККА Я.М.Фишмана о месте размещения военно-химического склада центрального подчинения в районе полигона Шиханы (Саратовская область). В 1936 г. руководству склада № 303 было приказано начать его формирование. Этот склад химического оружия сохранился до наших дней (17133).</w:t>
      </w:r>
    </w:p>
    <w:p w14:paraId="0BEBE143" w14:textId="77777777" w:rsidR="00B4520E" w:rsidRPr="0044524F" w:rsidRDefault="00B4520E" w:rsidP="009654CF">
      <w:pPr>
        <w:shd w:val="clear" w:color="auto" w:fill="FFFFFF"/>
        <w:spacing w:after="0" w:line="240" w:lineRule="auto"/>
        <w:jc w:val="both"/>
        <w:rPr>
          <w:rFonts w:ascii="Times New Roman" w:hAnsi="Times New Roman"/>
          <w:color w:val="000000" w:themeColor="text1"/>
          <w:sz w:val="16"/>
          <w:szCs w:val="16"/>
        </w:rPr>
      </w:pPr>
    </w:p>
    <w:p w14:paraId="732D80CF" w14:textId="77777777" w:rsidR="00C2291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3B36B41" w14:textId="77777777" w:rsidR="00C22911" w:rsidRPr="0044524F" w:rsidRDefault="00C22911" w:rsidP="009654CF">
      <w:pPr>
        <w:spacing w:after="0" w:line="240" w:lineRule="auto"/>
        <w:jc w:val="both"/>
        <w:rPr>
          <w:rFonts w:ascii="Times New Roman" w:hAnsi="Times New Roman"/>
          <w:iCs/>
          <w:color w:val="000000" w:themeColor="text1"/>
          <w:sz w:val="16"/>
          <w:szCs w:val="16"/>
        </w:rPr>
      </w:pPr>
    </w:p>
    <w:p w14:paraId="05265F61" w14:textId="77777777" w:rsidR="00C22911" w:rsidRPr="0044524F" w:rsidRDefault="00C22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19 июля 1933 началась ликвидация присутствия немцев в Липецке и была завершена 11 сентября. Они отправили в Германию три самолета (летом), все пулеметы, имущество опытной группы, четыре мотора, все парашюты, оптические прицелы, рации, дыхательные приборы, архивы, всего семь вагонов. Перешедшее во владение УВВС имущество составило «значительную ценность» (ангары, жилые дома, мастерские, электростанция, телефонная станция, фотолаборатория, 15 самолетов, весь автотранспорт, склад с имуществом, лазарет, полигон, аэродром и т. д. ) (РГВА, ф. 33987, on. 3, д. 504, л. 160-165.). Всего, по подсчетам немцев, ими было оставлено в безвозмездное пользование советской стороне имущества на сумму в 2,9 млн. германских марок (ADAP, Ser.C, Bd. 1,2. S. 861.) (11784).</w:t>
      </w:r>
    </w:p>
    <w:p w14:paraId="2C25B9A5" w14:textId="77777777" w:rsidR="00C22911" w:rsidRPr="0044524F" w:rsidRDefault="00C22911" w:rsidP="009654CF">
      <w:pPr>
        <w:spacing w:after="0" w:line="240" w:lineRule="auto"/>
        <w:jc w:val="both"/>
        <w:rPr>
          <w:rFonts w:ascii="Times New Roman" w:hAnsi="Times New Roman"/>
          <w:color w:val="000000" w:themeColor="text1"/>
          <w:sz w:val="16"/>
          <w:szCs w:val="16"/>
        </w:rPr>
      </w:pPr>
    </w:p>
    <w:p w14:paraId="3E4FCBA1" w14:textId="77777777" w:rsidR="002D74CC" w:rsidRPr="0044524F" w:rsidRDefault="002D74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июля 1933 началась и была завершена 11 сентября 1933 ликвидация присутствия немцев в Липецке. Они отправили в Германию три самолета (летом), все пулеметы, имущество опытной группы, четыре мотора, все парашюты, [306] оптические прицелы, рации, дыхательные приборы, архивы, всего семь вагонов. Перешедшее во владение УВВС имущество составило «значительную ценность» (ангары, жилые дома, мастерские, электростанция, телефонная станция, фотолаборатория, 15 самолетов, весь автотранспорт, склад с имуществом, лазарет, полигон, аэродром и т. д.)</w:t>
      </w:r>
      <w:hyperlink r:id="rId268" w:anchor="n_477" w:history="1">
        <w:r w:rsidRPr="0044524F">
          <w:rPr>
            <w:rStyle w:val="a5"/>
            <w:rFonts w:ascii="Times New Roman" w:hAnsi="Times New Roman"/>
            <w:color w:val="000000" w:themeColor="text1"/>
            <w:sz w:val="16"/>
            <w:szCs w:val="16"/>
          </w:rPr>
          <w:t>[477]</w:t>
        </w:r>
      </w:hyperlink>
      <w:r w:rsidRPr="0044524F">
        <w:rPr>
          <w:rFonts w:ascii="Times New Roman" w:hAnsi="Times New Roman"/>
          <w:color w:val="000000" w:themeColor="text1"/>
          <w:sz w:val="16"/>
          <w:szCs w:val="16"/>
        </w:rPr>
        <w:t>. Всего, по подсчетам немцев, ими было оставлено в безвозмездное пользование советской стороне имущества на сумму в 2,9 млн. германских марок (18265).</w:t>
      </w:r>
    </w:p>
    <w:p w14:paraId="1643AD6B" w14:textId="77777777" w:rsidR="002D74CC" w:rsidRPr="0044524F" w:rsidRDefault="002D74CC" w:rsidP="009654CF">
      <w:pPr>
        <w:spacing w:after="0" w:line="240" w:lineRule="auto"/>
        <w:jc w:val="both"/>
        <w:rPr>
          <w:rFonts w:ascii="Times New Roman" w:hAnsi="Times New Roman"/>
          <w:color w:val="000000" w:themeColor="text1"/>
          <w:sz w:val="16"/>
          <w:szCs w:val="16"/>
        </w:rPr>
      </w:pPr>
    </w:p>
    <w:p w14:paraId="41B9195F"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июля 1933 г. началась ликвидация липецкой станции. Самолеты опытной группы, парашюты, дыхательные приборы, летные комбинезоны, все оружие, боеприпасы, фотопулеметы, оптические прицелы, бом</w:t>
      </w:r>
      <w:r w:rsidRPr="00142305">
        <w:rPr>
          <w:rFonts w:ascii="Times New Roman" w:hAnsi="Times New Roman"/>
          <w:color w:val="0070C0"/>
          <w:sz w:val="16"/>
          <w:szCs w:val="16"/>
        </w:rPr>
        <w:softHyphen/>
        <w:t>босбрасыватели немцы увозили в Германию. «Тов. Сухоруков про</w:t>
      </w:r>
      <w:r w:rsidRPr="00142305">
        <w:rPr>
          <w:rFonts w:ascii="Times New Roman" w:hAnsi="Times New Roman"/>
          <w:color w:val="0070C0"/>
          <w:sz w:val="16"/>
          <w:szCs w:val="16"/>
        </w:rPr>
        <w:softHyphen/>
        <w:t>сил передать Вам о необходимости проявить максимум бдительно</w:t>
      </w:r>
      <w:r w:rsidRPr="00142305">
        <w:rPr>
          <w:rFonts w:ascii="Times New Roman" w:hAnsi="Times New Roman"/>
          <w:color w:val="0070C0"/>
          <w:sz w:val="16"/>
          <w:szCs w:val="16"/>
        </w:rPr>
        <w:softHyphen/>
        <w:t>сти к «друзьям» сейчас, в понятное Вам время. Разумеется, что у Вас организовано дело так, что Вы не только будете строго наблюдать за отправляемым грузом, но и кое-что извлекать, что могла быть нам неизвестно», — инструктировало начальника 4-го авиаотряда мос</w:t>
      </w:r>
      <w:r w:rsidRPr="00142305">
        <w:rPr>
          <w:rFonts w:ascii="Times New Roman" w:hAnsi="Times New Roman"/>
          <w:color w:val="0070C0"/>
          <w:sz w:val="16"/>
          <w:szCs w:val="16"/>
        </w:rPr>
        <w:softHyphen/>
        <w:t>ковское начальство.</w:t>
      </w:r>
    </w:p>
    <w:p w14:paraId="750F26EE"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Часть своего имущества немцы сумели продать. Так, за 165 рублей у них было приобретено 100 бутылок вина и 20 бутылок ко</w:t>
      </w:r>
      <w:r w:rsidRPr="00142305">
        <w:rPr>
          <w:rFonts w:ascii="Times New Roman" w:hAnsi="Times New Roman"/>
          <w:color w:val="0070C0"/>
          <w:sz w:val="16"/>
          <w:szCs w:val="16"/>
        </w:rPr>
        <w:softHyphen/>
        <w:t>ньяка. Была продана также большая часть фотоаппаратуры (25025).</w:t>
      </w:r>
    </w:p>
    <w:p w14:paraId="61556C00" w14:textId="77777777" w:rsidR="00A61E06" w:rsidRPr="00142305" w:rsidRDefault="00A61E06" w:rsidP="00A61E06">
      <w:pPr>
        <w:spacing w:after="0" w:line="240" w:lineRule="auto"/>
        <w:jc w:val="both"/>
        <w:rPr>
          <w:rFonts w:ascii="Times New Roman" w:hAnsi="Times New Roman"/>
          <w:color w:val="0070C0"/>
          <w:sz w:val="16"/>
          <w:szCs w:val="16"/>
        </w:rPr>
      </w:pPr>
    </w:p>
    <w:p w14:paraId="3D6091C0" w14:textId="77777777" w:rsidR="001E6614" w:rsidRPr="0044524F" w:rsidRDefault="001E66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июля 1933 г. у берегов Камчатки японский миноносец захватил советский траулер «Алексей Пешков». Японцы объясняли свои действия тем, что «Алексей Пешков» с советскими пограничниками на борту участвовал в захвате японского судна, которое, по мнению советских властей, занималось ловом рыбы в пределах прибрежной зоны СССР. Переговоры о судьбе «Алексея Пешкова» проходили безуспешно. 14 сентября советский полпред в Японии вручил министру иностранных дел Японии ноту с требованием освободить судно. Однако договоренность по этому вопросу была достигнута только в конце мая 1934 г. (ДВП. Т. XVI. С. 515–517, 850–851) (17281).</w:t>
      </w:r>
    </w:p>
    <w:p w14:paraId="3CC44F36" w14:textId="77777777" w:rsidR="001E6614" w:rsidRPr="0044524F" w:rsidRDefault="001E6614" w:rsidP="009654CF">
      <w:pPr>
        <w:spacing w:after="0" w:line="240" w:lineRule="auto"/>
        <w:jc w:val="both"/>
        <w:rPr>
          <w:rFonts w:ascii="Times New Roman" w:hAnsi="Times New Roman"/>
          <w:color w:val="000000" w:themeColor="text1"/>
          <w:sz w:val="16"/>
          <w:szCs w:val="16"/>
        </w:rPr>
      </w:pPr>
    </w:p>
    <w:p w14:paraId="521FAA00"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3C9A49C"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9BCA9A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июля 1933, преодолев 11300 км, итальянская эскадра в составе 24 машин, которая осуществила трансокеанский перелет из Орбетелло в Нью- Йорк и обратно, прибыла в Нью-Йорк. Обратный путь пролегал через Ньюфаундленд, Азорские острова и Пиренейский полуостров. Суммарная дальность этого массового перелета составила свыше 25000 км. Целью перелета назывались поиски более коротких и надежных маршрутов, соединяющих Европу с Америкой. Впрочем, военная составляющая этой летней демонстрации ни у кого не вызывала сомнения. Еще в 1928 г. французы неприятно удивились появлению над Марселем итальянской воздушной эскадры в составе 61 гидросамолета. А когда в 1929 г. эскадра из 35 гидросамолетов под руководством министра авиации Италии генерала Бальбо совершила перелет Италия - Греция - Турция - Болгария - Румыния - СССР (Одесса) и обратно, стало ясно, что перелет 1928-го в западной части Средиземного моря явился не случайным эпизодом, а звеном целой системы. В конце 1930 г. 12 летающих лодок SM-55 стартовали с гидробазы в Орбетелло под Римом с целью совершить первый групповой трансатлантический бросок в Южную Америку. После посещения портов Наталь, Бахийя и Рио-де-Жанейро эскадра вернулась на родину. В этом перелете, общей протяженностью 10240 км, из которых около 3000 км проходили над океаном, итальянцы потеряли три двух- лодочных "Савойи", которые немедленно заменялись запасными лодками. Впрочем, указанные потери при проведении столь сложного и масштабного воздушного рейда, напоминающего боевую вылазку, считались вполне допустимыми (11941).</w:t>
      </w:r>
    </w:p>
    <w:p w14:paraId="25C508E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12F2E687"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июля 1933 в Японии продемонстрирован пулемет, способный совершить тысячу выстрелов в минуту (4962).</w:t>
      </w:r>
    </w:p>
    <w:p w14:paraId="0B827867"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751B31A"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июля 1933 создана Новая демократическая партия Канады (4962).</w:t>
      </w:r>
    </w:p>
    <w:p w14:paraId="0450C251"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93B570C"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48734FC"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2088848"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июля 1933, захватив Маттерна и оборудование его машины, Леваневский прибыл на Аляску в Ном. Затем СССР-Н8 прошел по северному побережью Чукотки и выполнил ряд ледовых разведок для судов Колымской экспедиции 1933 г. и зимующего каравана судов Колымской экспедиции 1932 г.</w:t>
      </w:r>
    </w:p>
    <w:p w14:paraId="0C60F8BE"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Дальнейшие полеты самолета:</w:t>
      </w:r>
    </w:p>
    <w:p w14:paraId="7F33488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12-го августа - летал на о. Врангеля; привез сведения, что зимовщики здоровы и что зимовка прошла благополучно.</w:t>
      </w:r>
    </w:p>
    <w:p w14:paraId="6D72ED30"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18-го августа - вылетал к м. Биллингс навстречу судам.</w:t>
      </w:r>
    </w:p>
    <w:p w14:paraId="6D022B78"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r w:rsidRPr="0044524F">
        <w:rPr>
          <w:rFonts w:ascii="Times New Roman" w:hAnsi="Times New Roman"/>
          <w:color w:val="000000" w:themeColor="text1"/>
          <w:sz w:val="16"/>
          <w:szCs w:val="16"/>
        </w:rPr>
        <w:tab/>
        <w:t>го</w:t>
      </w:r>
      <w:r w:rsidRPr="0044524F">
        <w:rPr>
          <w:rFonts w:ascii="Times New Roman" w:hAnsi="Times New Roman"/>
          <w:color w:val="000000" w:themeColor="text1"/>
          <w:sz w:val="16"/>
          <w:szCs w:val="16"/>
        </w:rPr>
        <w:tab/>
        <w:t>августа - на м. Северный, встретив в пути шквал с пургой.</w:t>
      </w:r>
    </w:p>
    <w:p w14:paraId="074A7D2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r w:rsidRPr="0044524F">
        <w:rPr>
          <w:rFonts w:ascii="Times New Roman" w:hAnsi="Times New Roman"/>
          <w:color w:val="000000" w:themeColor="text1"/>
          <w:sz w:val="16"/>
          <w:szCs w:val="16"/>
        </w:rPr>
        <w:tab/>
        <w:t>го</w:t>
      </w:r>
      <w:r w:rsidRPr="0044524F">
        <w:rPr>
          <w:rFonts w:ascii="Times New Roman" w:hAnsi="Times New Roman"/>
          <w:color w:val="000000" w:themeColor="text1"/>
          <w:sz w:val="16"/>
          <w:szCs w:val="16"/>
        </w:rPr>
        <w:tab/>
        <w:t>- вылетел на м. Ванкарем для разведки проходов судам "Сунчан" и "Партизан".</w:t>
      </w:r>
    </w:p>
    <w:p w14:paraId="4FAF091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25-го августа самолет находился на мысе Северном, а к 27 августа прошел в устье Лены.</w:t>
      </w:r>
    </w:p>
    <w:p w14:paraId="08FBC638"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навигации, 24 сентября, СССР-Н8 прибыл в Иркутск, где экипаж сдал его в авиаремонтные мастерские Аэрофлота. Налет за год составил 222 часа, пройденное расстояние - свыше 37000 км.</w:t>
      </w:r>
    </w:p>
    <w:p w14:paraId="3DEFFB2E"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1934 г. СССР-Н8 использовался для проведения ледовой разведки в море Лаптевых. Командир П.Г.Головин, штурман А.П.Ште- пенко (у него это был первый сезон работы в Арктике, поэтому вылетел в легоньком кителе) бортмеханики Н.Л.Кекушев и Краснопевков (11970).</w:t>
      </w:r>
    </w:p>
    <w:p w14:paraId="3A83ED5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72346C48" w14:textId="77777777" w:rsidR="00264DA9"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602AEBE8"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9A916E5"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20 июля по 4 сентября 1933 прошла ликвидация танковой школы в Казани. В Германию было вывезено шесть больших и четыре малых танка, восьмиколесная машина, снаряжение и вооружение (всего 19 вагонов). Оставшаяся в безвозмездное пользование «собственность» «потянула» на 220 тыс. руб. (РГВА, ф. 33987, оп. 3, д. 504, л. 153.). Советник германского посольства в СССР Твардовский по итогам визита генерал-лейтенанта Лютца, «закрывавшего» «Казань» с помощью Халепского, записал 21 августа 1933 г.: «Главу особо доверительного сотрудничества следует считать законченной» (ADAP, Ser.C, Bd.I,2. S. 758-759.). Типпельскирх, зав. русской референтурой Восточноевропейского отдела МИД Германии, сделал на полях этой записи пометку: «&lt;...&gt; согласно сообщениям военного атташе полковника Хартмана русские даже оставили открытой дверь для будущего военного сотрудничества с нами» (ADAP, Ser.C, Bd.I,2. S. 758-759.) (11784).</w:t>
      </w:r>
    </w:p>
    <w:p w14:paraId="16E0337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3222779A" w14:textId="77777777" w:rsidR="002D74CC" w:rsidRPr="0044524F" w:rsidRDefault="002D74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срок с 20 июля по 4 сентября 1933 прошла ликвидация танковой школы в Казани. В Германию было вывезено шесть больших и четыре малых танка, восьмиколесная машина, снаряжение и вооружение (всего 19 вагонов). Оставшаяся в безвозмездное пользование «собственность» «потянула» на 220 тыс. руб.</w:t>
      </w:r>
      <w:hyperlink r:id="rId269" w:anchor="n_474" w:history="1">
        <w:r w:rsidRPr="0044524F">
          <w:rPr>
            <w:rStyle w:val="a5"/>
            <w:rFonts w:ascii="Times New Roman" w:hAnsi="Times New Roman"/>
            <w:color w:val="000000" w:themeColor="text1"/>
            <w:sz w:val="16"/>
            <w:szCs w:val="16"/>
          </w:rPr>
          <w:t>[474]</w:t>
        </w:r>
      </w:hyperlink>
      <w:r w:rsidRPr="0044524F">
        <w:rPr>
          <w:rFonts w:ascii="Times New Roman" w:hAnsi="Times New Roman"/>
          <w:color w:val="000000" w:themeColor="text1"/>
          <w:sz w:val="16"/>
          <w:szCs w:val="16"/>
        </w:rPr>
        <w:t> Советник германского посольства в СССР Твардовский по итогам визита генерал-лейтенанта Лютца, «закрывавшего» «Казань» с помощью Халепского, записал 21 августа 1933 г.: «Главу особо доверительного сотрудничества следует считать законченной» (18265).</w:t>
      </w:r>
    </w:p>
    <w:p w14:paraId="6F532AF4" w14:textId="77777777" w:rsidR="002D74CC" w:rsidRPr="0044524F" w:rsidRDefault="002D74CC" w:rsidP="009654CF">
      <w:pPr>
        <w:spacing w:after="0" w:line="240" w:lineRule="auto"/>
        <w:jc w:val="both"/>
        <w:rPr>
          <w:rFonts w:ascii="Times New Roman" w:hAnsi="Times New Roman"/>
          <w:color w:val="000000" w:themeColor="text1"/>
          <w:sz w:val="16"/>
          <w:szCs w:val="16"/>
        </w:rPr>
      </w:pPr>
    </w:p>
    <w:p w14:paraId="64A3D4F0"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C2CF697"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3FD0546" w14:textId="77777777" w:rsidR="002D74CC" w:rsidRPr="0044524F" w:rsidRDefault="002D74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июля 1933. Президиум Моссовета поручил группе специалистов проработать вопрос о прокладке опытной линии троллейбуса (18722).</w:t>
      </w:r>
    </w:p>
    <w:p w14:paraId="7CC04989" w14:textId="77777777" w:rsidR="002D74CC" w:rsidRPr="0044524F" w:rsidRDefault="002D74CC" w:rsidP="009654CF">
      <w:pPr>
        <w:spacing w:after="0" w:line="240" w:lineRule="auto"/>
        <w:jc w:val="both"/>
        <w:rPr>
          <w:rFonts w:ascii="Times New Roman" w:hAnsi="Times New Roman"/>
          <w:color w:val="000000" w:themeColor="text1"/>
          <w:sz w:val="16"/>
          <w:szCs w:val="16"/>
        </w:rPr>
      </w:pPr>
    </w:p>
    <w:p w14:paraId="77D1F75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июля 1933 в Харькове согласно донесению консула Италии: "Мобилизация городских жителей приняла грандиозные размеры.... На этой неделе, по крайней мере, 20.000 человек посылаются ежедневно в деревню... Позавчера они окружили базар, захватили там всех здоровых людей, мужчин, женщин, подростков обоего пола и отвезли их на вокзал под охраной ГПУ, чтобы затем послать их на поля" (10687).</w:t>
      </w:r>
    </w:p>
    <w:p w14:paraId="4D09C3A7"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0AA3C6CC"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80E2D84"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2F4FDA3"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июля 1933 в Японии продемонстрирован пулемет, способный совершить тысячу выстрелов в минуту (4962).</w:t>
      </w:r>
    </w:p>
    <w:p w14:paraId="6BB34A80"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0410BA" w14:textId="77777777" w:rsidR="009401EE" w:rsidRPr="0044524F" w:rsidRDefault="009401EE"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B029C24" w14:textId="77777777" w:rsidR="009401EE" w:rsidRPr="0044524F" w:rsidRDefault="009401E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C2AF0E5" w14:textId="77777777" w:rsidR="009401EE" w:rsidRPr="0044524F" w:rsidRDefault="009401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июля 1933 г. начались испытания автожира А-6. Летали Корзин</w:t>
      </w:r>
      <w:r w:rsidRPr="0044524F">
        <w:rPr>
          <w:rFonts w:ascii="Times New Roman" w:hAnsi="Times New Roman"/>
          <w:color w:val="000000" w:themeColor="text1"/>
          <w:sz w:val="16"/>
          <w:szCs w:val="16"/>
        </w:rPr>
        <w:softHyphen/>
        <w:t>щиков и Попов, которые вместе с другими пилотами в те</w:t>
      </w:r>
      <w:r w:rsidRPr="0044524F">
        <w:rPr>
          <w:rFonts w:ascii="Times New Roman" w:hAnsi="Times New Roman"/>
          <w:color w:val="000000" w:themeColor="text1"/>
          <w:sz w:val="16"/>
          <w:szCs w:val="16"/>
        </w:rPr>
        <w:softHyphen/>
        <w:t>чение полугода произвели порядка 90 полетов. При про</w:t>
      </w:r>
      <w:r w:rsidRPr="0044524F">
        <w:rPr>
          <w:rFonts w:ascii="Times New Roman" w:hAnsi="Times New Roman"/>
          <w:color w:val="000000" w:themeColor="text1"/>
          <w:sz w:val="16"/>
          <w:szCs w:val="16"/>
        </w:rPr>
        <w:softHyphen/>
        <w:t>ведении контрольных полетов в воздух вместе с летчиком Корзинщиковым поднимались инженеры Черемухин и Миль.</w:t>
      </w:r>
    </w:p>
    <w:p w14:paraId="66684590" w14:textId="77777777" w:rsidR="009401EE" w:rsidRPr="0044524F" w:rsidRDefault="009401EE" w:rsidP="009654CF">
      <w:pPr>
        <w:shd w:val="clear" w:color="auto" w:fill="FFFFFF"/>
        <w:spacing w:after="0" w:line="240" w:lineRule="auto"/>
        <w:jc w:val="both"/>
        <w:rPr>
          <w:rFonts w:ascii="Times New Roman" w:hAnsi="Times New Roman"/>
          <w:color w:val="000000" w:themeColor="text1"/>
          <w:sz w:val="16"/>
          <w:szCs w:val="16"/>
        </w:rPr>
      </w:pPr>
    </w:p>
    <w:p w14:paraId="583E0D1B" w14:textId="77777777" w:rsidR="00FA6C6A"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5F89A158" w14:textId="77777777" w:rsidR="00FA6C6A" w:rsidRPr="0044524F" w:rsidRDefault="00FA6C6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DFF9352"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21 июля 1933 г. эскадра, проведенная по ББК, перевооруженная и в полной боевой готовности, уже смогла принять на борт руководителей советского государства в Сорокской губе. Ядро Северной Военной флотилии было создано. </w:t>
      </w:r>
    </w:p>
    <w:p w14:paraId="10C38F47"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Каково было значение Беломорско-Балтийского канала? Если до открытия канала суда тратили на переход из Ленинграда в Архангельск 17 дней, то с начала навигации такой путь стал занимать не больше 4 дней. Судовой путь пролегал по советской территории, что создало условия для усиления советской военно-морской мощи на Севере путем межтеатрового маневра кораблей Балтфлота. При отсутствии канала создание сколько-нибудь значительных морских сил было невозможно. Семнадцатидневный переход вокруг Скандинавии при полном отсутствии промежуточных баз, невозможности пополнения запасов был не под силу военным кораблям среднего и малого водоизмещения. Дальность плавания советских эскадренных миноносцев того времени составляла 1700 миль, а между Кронштадтом и Полярным лежали 2300 миль штормового моря. </w:t>
      </w:r>
    </w:p>
    <w:p w14:paraId="395C4C25"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Открытие навигации по ББК дало стратегический выигрыш почти немедленно. Все 20-е годы в Белом море продолжалась "тюленья война": конфликт между СССР и Норвегией из-за биологических ресурсов. Каждую весну сотни норвежских и английских траулеров входили в горло Белого моря и методично выбивали беломорского тюленя. Попытки слабых судов морской пограничной охраны вмешаться в ситуацию немедленно пресекались норвежскими и британскими военными кораблями. Насколько широко была поставлена "силовая поддержка", видно из того, что на границе территориальных вод СССР в путину постоянно находилась эскадра британского флота, с крейсером в качестве флагмана. Дело дважды, в 1929 и 1930 годах, доходило до обстрела советской территории норвежскими кораблями. </w:t>
      </w:r>
    </w:p>
    <w:p w14:paraId="24E1E782"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Урегулировать конфликт политическим путем было невозможно: королевство Норвегия не признавало СССР. Зато летом 1933 г., с переброской по каналу подводных лодок, норвежская сторона настолько изменила свою позицию, что стало возможным восстановление между странами дипломатических отношений. До начала Великой Отечественной войны было проведено б операций по переброске каналом эскадренных миноносцев, 2 операции по переброске сторожевых кораблей и 9 (!) перебросок подводных лодок. Три корабля, эсминцы "Сталин" и "Войков" и подводная лодка Щ-404, по Северному морскому пути перешли на Дальний Восток и вошли в состав ТОФ (переброска кораблей этого класса другим путем для СССР в 30-е гг. была невозможна). </w:t>
      </w:r>
    </w:p>
    <w:p w14:paraId="097B2552"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Всего в 1933–1941 гг. по каналу было переведено на Север 10 эсминцев, 3 сторожевых корабля и 26 подводных лодок. Последние корабли прошли по трассе 29 августа 1941 г. </w:t>
      </w:r>
    </w:p>
    <w:p w14:paraId="54536C04"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Значение ББК для обороны СССР вполне осознавалось военными деятелями Запада. В 1940 г., когда Англия и Франция готовились в порядке помощи Финляндии высадить десант на севере СССР, командующий французским флотом адмирал Ж. Дарлан настаивал на захвате канала неповрежденным, считая его использование союзниками ключевым фактором для захвата Ленинграда. Все оперативные планы финской армии, составлявшиеся в 1940–1941 гг., непременно предусматривали захват либо вывод из строя сооружений канала, который считался в Хельсинки "главной опорой" Советской власти в Карелии. А военно-морской атташе Германии в мае 1941 г. высказывал тревогу по поводу того, что "Балтийский и Северный флоты русских благодаря Беломорскому каналу служат резервом друг для друга". В том, что в годы Великой Отечественной войны успешные действия Северного флота способствовали удержанию Советского Заполярья, тоже состоит значение Беломорско-Балтийского канала (12129).</w:t>
      </w:r>
    </w:p>
    <w:p w14:paraId="1F63BC42" w14:textId="77777777" w:rsidR="00FA6C6A" w:rsidRPr="0044524F" w:rsidRDefault="00FA6C6A" w:rsidP="009654CF">
      <w:pPr>
        <w:spacing w:after="0" w:line="240" w:lineRule="auto"/>
        <w:jc w:val="both"/>
        <w:rPr>
          <w:rFonts w:ascii="Times New Roman" w:hAnsi="Times New Roman"/>
          <w:color w:val="000000" w:themeColor="text1"/>
          <w:sz w:val="16"/>
          <w:szCs w:val="16"/>
        </w:rPr>
      </w:pPr>
    </w:p>
    <w:p w14:paraId="5039EB8B"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июля в 1933 году (21-22 июля) партийно-правительственная комиссия в составе К.Ворошилова, С.М.Кирова и И.В.Сталина посетила корабли Северной флотилии и наметила места их базирования в бухтах Кольского залива. Местом для главной базы была выбрана Екатерининская гавань, на берегу которой 6 июля 1899 г. был основан город Александровск; ныне город Полярный (14959).</w:t>
      </w:r>
    </w:p>
    <w:p w14:paraId="590E1CD8" w14:textId="77777777" w:rsidR="00B4520E" w:rsidRPr="0044524F" w:rsidRDefault="00B4520E" w:rsidP="009654CF">
      <w:pPr>
        <w:spacing w:after="0" w:line="240" w:lineRule="auto"/>
        <w:jc w:val="both"/>
        <w:rPr>
          <w:rFonts w:ascii="Times New Roman" w:hAnsi="Times New Roman"/>
          <w:color w:val="000000" w:themeColor="text1"/>
          <w:sz w:val="16"/>
          <w:szCs w:val="16"/>
        </w:rPr>
      </w:pPr>
    </w:p>
    <w:p w14:paraId="0D757326" w14:textId="6E2CF27B" w:rsidR="00264DA9" w:rsidRPr="0044524F" w:rsidRDefault="00264DA9" w:rsidP="009654CF">
      <w:pPr>
        <w:autoSpaceDE w:val="0"/>
        <w:autoSpaceDN w:val="0"/>
        <w:adjustRightInd w:val="0"/>
        <w:spacing w:after="0" w:line="240" w:lineRule="auto"/>
        <w:jc w:val="both"/>
        <w:rPr>
          <w:rFonts w:ascii="Times New Roman" w:hAnsi="Times New Roman"/>
          <w:i/>
          <w:color w:val="000000" w:themeColor="text1"/>
          <w:sz w:val="16"/>
          <w:szCs w:val="16"/>
        </w:rPr>
      </w:pPr>
      <w:r w:rsidRPr="0044524F">
        <w:rPr>
          <w:rFonts w:ascii="Times New Roman" w:hAnsi="Times New Roman"/>
          <w:i/>
          <w:color w:val="000000" w:themeColor="text1"/>
          <w:sz w:val="16"/>
          <w:szCs w:val="16"/>
        </w:rPr>
        <w:t>Жизнь и внутрен</w:t>
      </w:r>
      <w:r w:rsidR="009401EE" w:rsidRPr="0044524F">
        <w:rPr>
          <w:rFonts w:ascii="Times New Roman" w:hAnsi="Times New Roman"/>
          <w:i/>
          <w:color w:val="000000" w:themeColor="text1"/>
          <w:sz w:val="16"/>
          <w:szCs w:val="16"/>
        </w:rPr>
        <w:t>н</w:t>
      </w:r>
      <w:r w:rsidRPr="0044524F">
        <w:rPr>
          <w:rFonts w:ascii="Times New Roman" w:hAnsi="Times New Roman"/>
          <w:i/>
          <w:color w:val="000000" w:themeColor="text1"/>
          <w:sz w:val="16"/>
          <w:szCs w:val="16"/>
        </w:rPr>
        <w:t>яя политика:</w:t>
      </w:r>
    </w:p>
    <w:p w14:paraId="6DCF22C3" w14:textId="77777777" w:rsidR="00264DA9" w:rsidRPr="0044524F" w:rsidRDefault="00264DA9" w:rsidP="009654CF">
      <w:pPr>
        <w:autoSpaceDE w:val="0"/>
        <w:autoSpaceDN w:val="0"/>
        <w:adjustRightInd w:val="0"/>
        <w:spacing w:after="0" w:line="240" w:lineRule="auto"/>
        <w:jc w:val="both"/>
        <w:rPr>
          <w:rFonts w:ascii="Times New Roman" w:hAnsi="Times New Roman"/>
          <w:i/>
          <w:color w:val="000000" w:themeColor="text1"/>
          <w:sz w:val="16"/>
          <w:szCs w:val="16"/>
        </w:rPr>
      </w:pPr>
    </w:p>
    <w:p w14:paraId="3E75884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21 и 27 июля 1933. Из протокола заседания Политбюро N 142, особая папка, 1933 г.</w:t>
      </w:r>
    </w:p>
    <w:p w14:paraId="3DF8F15E"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Востсибкрайкома </w:t>
      </w:r>
    </w:p>
    <w:p w14:paraId="12506F2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Принять следующие предложения т. Леонова: </w:t>
      </w:r>
    </w:p>
    <w:p w14:paraId="32C3FF8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Увеличить войска погранохраны в Восточной Сибири на 20% путем укрупнения погранотрядов. </w:t>
      </w:r>
    </w:p>
    <w:p w14:paraId="242DF2B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Приравнять Забайкалье Востсибкрая по условиям режима в нем к ДВК, предоставив полномочному представителю ОГПУ право решительных мероприятий по искоренению враждебных элементов, связанных в прошлом с закордонной белогвардейщиной. </w:t>
      </w:r>
    </w:p>
    <w:p w14:paraId="11C65F08"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Провести в Чите и в пограничных районах по примеру западной границы паспортизацию (11652).</w:t>
      </w:r>
    </w:p>
    <w:p w14:paraId="023880FD"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4CB91D89" w14:textId="77777777" w:rsidR="00B4520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4AEF061" w14:textId="77777777" w:rsidR="00B4520E" w:rsidRPr="0044524F" w:rsidRDefault="00B4520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648A163"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21 июля в 1933 году прототип </w:t>
      </w:r>
      <w:hyperlink r:id="rId270" w:tgtFrame="_blank" w:history="1">
        <w:r w:rsidRPr="0044524F">
          <w:rPr>
            <w:rFonts w:ascii="Times New Roman" w:hAnsi="Times New Roman"/>
            <w:color w:val="000000" w:themeColor="text1"/>
            <w:sz w:val="16"/>
            <w:szCs w:val="16"/>
          </w:rPr>
          <w:t xml:space="preserve">«S.231.1» </w:t>
        </w:r>
      </w:hyperlink>
      <w:r w:rsidRPr="0044524F">
        <w:rPr>
          <w:rFonts w:ascii="Times New Roman" w:hAnsi="Times New Roman"/>
          <w:color w:val="000000" w:themeColor="text1"/>
          <w:sz w:val="16"/>
          <w:szCs w:val="16"/>
        </w:rPr>
        <w:t>(иногда он обозначался как «S.31A») чешского истребителя «Letov» «S.231» был передан в VLTU (Военный Технический Авиационный Институт) в Праге-Летнани, где проводились государственные испытания самолётов, принимаемых на вооружение. Полёты закончились катастрофой, в которой погиб лётчик-испытатель сержант Р.Чернин, а самолёт был полностью разрушен. Это показало, что жесткость корпуса не была достаточна, хотя результаты предыдущих тестов были приемлемы (14959).</w:t>
      </w:r>
    </w:p>
    <w:p w14:paraId="5B643F62" w14:textId="77777777" w:rsidR="00B4520E" w:rsidRPr="0044524F" w:rsidRDefault="00B4520E" w:rsidP="009654CF">
      <w:pPr>
        <w:spacing w:after="0" w:line="240" w:lineRule="auto"/>
        <w:jc w:val="both"/>
        <w:rPr>
          <w:rFonts w:ascii="Times New Roman" w:hAnsi="Times New Roman"/>
          <w:color w:val="000000" w:themeColor="text1"/>
          <w:sz w:val="16"/>
          <w:szCs w:val="16"/>
        </w:rPr>
      </w:pPr>
    </w:p>
    <w:p w14:paraId="5D7E7472" w14:textId="77777777" w:rsidR="00A61E06" w:rsidRPr="00A61E06" w:rsidRDefault="00A61E06" w:rsidP="00A61E06">
      <w:pPr>
        <w:pStyle w:val="aff9"/>
        <w:spacing w:line="240" w:lineRule="auto"/>
        <w:jc w:val="both"/>
        <w:rPr>
          <w:rFonts w:ascii="Times New Roman" w:hAnsi="Times New Roman" w:cs="Times New Roman"/>
          <w:color w:val="0070C0"/>
          <w:sz w:val="16"/>
          <w:szCs w:val="16"/>
        </w:rPr>
      </w:pPr>
      <w:r w:rsidRPr="00A61E06">
        <w:rPr>
          <w:rStyle w:val="affa"/>
          <w:rFonts w:ascii="Times New Roman" w:hAnsi="Times New Roman" w:cs="Times New Roman"/>
          <w:color w:val="0070C0"/>
          <w:sz w:val="16"/>
          <w:szCs w:val="16"/>
        </w:rPr>
        <w:t xml:space="preserve">21 июля 1933 г. истребитель </w:t>
      </w:r>
      <w:r w:rsidRPr="00A61E06">
        <w:rPr>
          <w:rStyle w:val="affa"/>
          <w:rFonts w:ascii="Times New Roman" w:hAnsi="Times New Roman" w:cs="Times New Roman"/>
          <w:color w:val="0070C0"/>
          <w:sz w:val="16"/>
          <w:szCs w:val="16"/>
          <w:lang w:val="en-US"/>
        </w:rPr>
        <w:t>F</w:t>
      </w:r>
      <w:r w:rsidRPr="00A61E06">
        <w:rPr>
          <w:rStyle w:val="affa"/>
          <w:rFonts w:ascii="Times New Roman" w:hAnsi="Times New Roman" w:cs="Times New Roman"/>
          <w:color w:val="0070C0"/>
          <w:sz w:val="16"/>
          <w:szCs w:val="16"/>
        </w:rPr>
        <w:t>9</w:t>
      </w:r>
      <w:r w:rsidRPr="00A61E06">
        <w:rPr>
          <w:rStyle w:val="affa"/>
          <w:rFonts w:ascii="Times New Roman" w:hAnsi="Times New Roman" w:cs="Times New Roman"/>
          <w:color w:val="0070C0"/>
          <w:sz w:val="16"/>
          <w:szCs w:val="16"/>
          <w:lang w:val="en-US"/>
        </w:rPr>
        <w:t>C</w:t>
      </w:r>
      <w:r w:rsidRPr="00A61E06">
        <w:rPr>
          <w:rStyle w:val="affa"/>
          <w:rFonts w:ascii="Times New Roman" w:hAnsi="Times New Roman" w:cs="Times New Roman"/>
          <w:color w:val="0070C0"/>
          <w:sz w:val="16"/>
          <w:szCs w:val="16"/>
        </w:rPr>
        <w:t xml:space="preserve">-2 </w:t>
      </w:r>
      <w:r w:rsidRPr="00A61E06">
        <w:rPr>
          <w:rStyle w:val="affa"/>
          <w:rFonts w:ascii="Times New Roman" w:hAnsi="Times New Roman" w:cs="Times New Roman"/>
          <w:color w:val="0070C0"/>
          <w:sz w:val="16"/>
          <w:szCs w:val="16"/>
          <w:lang w:val="en-US"/>
        </w:rPr>
        <w:t>Sparrowhawk</w:t>
      </w:r>
      <w:r w:rsidRPr="00A61E06">
        <w:rPr>
          <w:rStyle w:val="affa"/>
          <w:rFonts w:ascii="Times New Roman" w:hAnsi="Times New Roman" w:cs="Times New Roman"/>
          <w:color w:val="0070C0"/>
          <w:sz w:val="16"/>
          <w:szCs w:val="16"/>
        </w:rPr>
        <w:t xml:space="preserve"> впервые покинул борт дирижабля</w:t>
      </w:r>
      <w:r w:rsidRPr="00A61E06">
        <w:rPr>
          <w:rStyle w:val="aff"/>
          <w:rFonts w:ascii="Times New Roman" w:hAnsi="Times New Roman" w:cs="Times New Roman"/>
          <w:color w:val="0070C0"/>
          <w:spacing w:val="0"/>
          <w:sz w:val="16"/>
          <w:szCs w:val="16"/>
        </w:rPr>
        <w:t xml:space="preserve"> </w:t>
      </w:r>
      <w:r w:rsidRPr="00A61E06">
        <w:rPr>
          <w:rStyle w:val="aff"/>
          <w:rFonts w:ascii="Times New Roman" w:hAnsi="Times New Roman" w:cs="Times New Roman"/>
          <w:b w:val="0"/>
          <w:bCs w:val="0"/>
          <w:color w:val="0070C0"/>
          <w:spacing w:val="0"/>
          <w:sz w:val="16"/>
          <w:szCs w:val="16"/>
          <w:lang w:val="en-US"/>
        </w:rPr>
        <w:t>Mac</w:t>
      </w:r>
      <w:r w:rsidRPr="00A61E06">
        <w:rPr>
          <w:rStyle w:val="aff"/>
          <w:rFonts w:ascii="Times New Roman" w:hAnsi="Times New Roman" w:cs="Times New Roman"/>
          <w:b w:val="0"/>
          <w:bCs w:val="0"/>
          <w:color w:val="0070C0"/>
          <w:spacing w:val="0"/>
          <w:sz w:val="16"/>
          <w:szCs w:val="16"/>
        </w:rPr>
        <w:t>о</w:t>
      </w:r>
      <w:r w:rsidRPr="00A61E06">
        <w:rPr>
          <w:rStyle w:val="aff"/>
          <w:rFonts w:ascii="Times New Roman" w:hAnsi="Times New Roman" w:cs="Times New Roman"/>
          <w:b w:val="0"/>
          <w:bCs w:val="0"/>
          <w:color w:val="0070C0"/>
          <w:spacing w:val="0"/>
          <w:sz w:val="16"/>
          <w:szCs w:val="16"/>
          <w:lang w:val="en-US"/>
        </w:rPr>
        <w:t>n</w:t>
      </w:r>
      <w:r w:rsidRPr="00A61E06">
        <w:rPr>
          <w:rStyle w:val="aff"/>
          <w:rFonts w:ascii="Times New Roman" w:hAnsi="Times New Roman" w:cs="Times New Roman"/>
          <w:b w:val="0"/>
          <w:bCs w:val="0"/>
          <w:color w:val="0070C0"/>
          <w:spacing w:val="0"/>
          <w:sz w:val="16"/>
          <w:szCs w:val="16"/>
        </w:rPr>
        <w:t>. С 12 по 15 октября 1933 года Масоп, покинув Восточное побережье, совершил трансконтинентальный перелёт к месту постоянного базирования на авиабазу Саннивейл, Калифорния (25618).</w:t>
      </w:r>
    </w:p>
    <w:p w14:paraId="57462DA0" w14:textId="77777777" w:rsidR="00A61E06" w:rsidRPr="00A61E06" w:rsidRDefault="00A61E06" w:rsidP="00A61E06">
      <w:pPr>
        <w:spacing w:after="0" w:line="240" w:lineRule="auto"/>
        <w:jc w:val="both"/>
        <w:rPr>
          <w:rFonts w:ascii="Times New Roman" w:hAnsi="Times New Roman"/>
          <w:color w:val="0070C0"/>
          <w:sz w:val="16"/>
          <w:szCs w:val="16"/>
        </w:rPr>
      </w:pPr>
    </w:p>
    <w:p w14:paraId="2FE08C83"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21 июля в 1933 году состоялся первый полет бельгийского самолета </w:t>
      </w:r>
      <w:hyperlink r:id="rId271" w:tgtFrame="_blank" w:history="1">
        <w:r w:rsidRPr="0044524F">
          <w:rPr>
            <w:rFonts w:ascii="Times New Roman" w:hAnsi="Times New Roman"/>
            <w:color w:val="000000" w:themeColor="text1"/>
            <w:sz w:val="16"/>
            <w:szCs w:val="16"/>
          </w:rPr>
          <w:t xml:space="preserve">«R-34». </w:t>
        </w:r>
      </w:hyperlink>
      <w:r w:rsidRPr="0044524F">
        <w:rPr>
          <w:rFonts w:ascii="Times New Roman" w:hAnsi="Times New Roman"/>
          <w:color w:val="000000" w:themeColor="text1"/>
          <w:sz w:val="16"/>
          <w:szCs w:val="16"/>
        </w:rPr>
        <w:t>«R-34» - учебно-тренировочный самолет, спроектированный бельгийским конструктором Альфредом Ренаром. Самолет строился по заказу ВВС Бельгии, нуждавшихся в самолете первоначальной подготовки летчиков истребительной авиации. В октябре 1934 года самолет принял участие в сравнительных испытаниях ВВС Бельгии. Помимо «R-34» в них участвовали французский УТС «LACA» «BT-7», советский «СВ-5» и английский «Avro 625», который и был принят на вооружение. Однако несколько самолетов «R-34» были все закуплены для Летной школы в Брюсселе. На них были установлены новые двигатели «Armstrong» «Siddeley Lynx» мощностью 260 л.с. Самолеты использовались до 1939 года (14959).</w:t>
      </w:r>
    </w:p>
    <w:p w14:paraId="547B455F" w14:textId="77777777" w:rsidR="00B4520E" w:rsidRPr="0044524F" w:rsidRDefault="00B4520E" w:rsidP="009654CF">
      <w:pPr>
        <w:spacing w:after="0" w:line="240" w:lineRule="auto"/>
        <w:jc w:val="both"/>
        <w:rPr>
          <w:rFonts w:ascii="Times New Roman" w:hAnsi="Times New Roman"/>
          <w:color w:val="000000" w:themeColor="text1"/>
          <w:sz w:val="16"/>
          <w:szCs w:val="16"/>
        </w:rPr>
      </w:pPr>
    </w:p>
    <w:p w14:paraId="182127CE"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B00B897"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5B65FE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июля 1933 Громов опять поднялся на ТБ-4 в воздух. Усилия на штурвале и педалях по-прежнему были очень велики. С педалями вообще творилось что-то странное. Нагрузки "скакали", то увеличиваясь, то уменьшаясь.Появилась гипотеза, что имеет место перекомпенсация руля направления. При одном из последующих полетов, 5 августа, с тандемной установки сорвало задний капот, который ударом расколол винт. 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(12024).</w:t>
      </w:r>
    </w:p>
    <w:p w14:paraId="7089319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5A3FB189"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июля 1933 Громов опять поднялся в воздух. Появилась гипотеза, что имеет место перекомпенсация руля направления. При одном из последующих полетов, 5 августа, с тандемной установки сорвало задний капот, который ударом расколол винт.</w:t>
      </w:r>
    </w:p>
    <w:p w14:paraId="588ACC9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(12036).</w:t>
      </w:r>
    </w:p>
    <w:p w14:paraId="5FD7349D"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78D16ED4"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июля 1933 г. Громов второй раз поднялся АНТ-16 в воздух. Появи</w:t>
      </w:r>
      <w:r w:rsidRPr="00142305">
        <w:rPr>
          <w:rFonts w:ascii="Times New Roman" w:hAnsi="Times New Roman"/>
          <w:color w:val="0070C0"/>
          <w:sz w:val="16"/>
          <w:szCs w:val="16"/>
        </w:rPr>
        <w:softHyphen/>
        <w:t>лась гипотеза, что имеет место перекомпенсация руля на</w:t>
      </w:r>
      <w:r w:rsidRPr="00142305">
        <w:rPr>
          <w:rFonts w:ascii="Times New Roman" w:hAnsi="Times New Roman"/>
          <w:color w:val="0070C0"/>
          <w:sz w:val="16"/>
          <w:szCs w:val="16"/>
        </w:rPr>
        <w:softHyphen/>
        <w:t>правления. При одном из последующих полетов, 5 августа, с тандемной установки сорвало задний капот, который уда</w:t>
      </w:r>
      <w:r w:rsidRPr="00142305">
        <w:rPr>
          <w:rFonts w:ascii="Times New Roman" w:hAnsi="Times New Roman"/>
          <w:color w:val="0070C0"/>
          <w:sz w:val="16"/>
          <w:szCs w:val="16"/>
        </w:rPr>
        <w:softHyphen/>
        <w:t>ром расколол винт (24977).</w:t>
      </w:r>
    </w:p>
    <w:p w14:paraId="1595C5A3" w14:textId="77777777" w:rsidR="00A61E06" w:rsidRPr="00142305" w:rsidRDefault="00A61E06" w:rsidP="00A61E06">
      <w:pPr>
        <w:spacing w:after="0" w:line="240" w:lineRule="auto"/>
        <w:jc w:val="both"/>
        <w:rPr>
          <w:rFonts w:ascii="Times New Roman" w:hAnsi="Times New Roman"/>
          <w:color w:val="0070C0"/>
          <w:sz w:val="16"/>
          <w:szCs w:val="16"/>
        </w:rPr>
      </w:pPr>
    </w:p>
    <w:p w14:paraId="5E0A459F"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июля и 10 сентября 1933 г. на заводских испытаниях нагнетатель А.Н Данилевского и Е.О. Дмит</w:t>
      </w:r>
      <w:r w:rsidRPr="0044524F">
        <w:rPr>
          <w:rFonts w:ascii="Times New Roman" w:hAnsi="Times New Roman"/>
          <w:color w:val="000000" w:themeColor="text1"/>
          <w:sz w:val="16"/>
          <w:szCs w:val="16"/>
        </w:rPr>
        <w:softHyphen/>
        <w:t>риевского дважды выходил из строя После этого спроектировали и изго</w:t>
      </w:r>
      <w:r w:rsidRPr="0044524F">
        <w:rPr>
          <w:rFonts w:ascii="Times New Roman" w:hAnsi="Times New Roman"/>
          <w:color w:val="000000" w:themeColor="text1"/>
          <w:sz w:val="16"/>
          <w:szCs w:val="16"/>
        </w:rPr>
        <w:softHyphen/>
        <w:t>товили новую, усиленную ребрами, заднюю крышку. Государственные испытания прошли удачнее. М-34Н проходил их с 25 декабря 1933 г., акт об успешном завершении утвер</w:t>
      </w:r>
      <w:r w:rsidRPr="0044524F">
        <w:rPr>
          <w:rFonts w:ascii="Times New Roman" w:hAnsi="Times New Roman"/>
          <w:color w:val="000000" w:themeColor="text1"/>
          <w:sz w:val="16"/>
          <w:szCs w:val="16"/>
        </w:rPr>
        <w:softHyphen/>
        <w:t>дили 7 февраля 1934 г., а серия по</w:t>
      </w:r>
      <w:r w:rsidRPr="0044524F">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44524F">
        <w:rPr>
          <w:rFonts w:ascii="Times New Roman" w:hAnsi="Times New Roman"/>
          <w:color w:val="000000" w:themeColor="text1"/>
          <w:sz w:val="16"/>
          <w:szCs w:val="16"/>
        </w:rPr>
        <w:softHyphen/>
        <w:t>тироваться на моторы других моди</w:t>
      </w:r>
      <w:r w:rsidRPr="0044524F">
        <w:rPr>
          <w:rFonts w:ascii="Times New Roman" w:hAnsi="Times New Roman"/>
          <w:color w:val="000000" w:themeColor="text1"/>
          <w:sz w:val="16"/>
          <w:szCs w:val="16"/>
        </w:rPr>
        <w:softHyphen/>
        <w:t>фикаций. В дальнейшем его хотели сделать отключаемым на малых вы</w:t>
      </w:r>
      <w:r w:rsidRPr="0044524F">
        <w:rPr>
          <w:rFonts w:ascii="Times New Roman" w:hAnsi="Times New Roman"/>
          <w:color w:val="000000" w:themeColor="text1"/>
          <w:sz w:val="16"/>
          <w:szCs w:val="16"/>
        </w:rPr>
        <w:softHyphen/>
        <w:t>сотах, но это намерение так и не было претворено в жизнь. Надеж</w:t>
      </w:r>
      <w:r w:rsidRPr="0044524F">
        <w:rPr>
          <w:rFonts w:ascii="Times New Roman" w:hAnsi="Times New Roman"/>
          <w:color w:val="000000" w:themeColor="text1"/>
          <w:sz w:val="16"/>
          <w:szCs w:val="16"/>
        </w:rPr>
        <w:softHyphen/>
        <w:t>ность М-34Н была невысока. Во-пер</w:t>
      </w:r>
      <w:r w:rsidRPr="0044524F">
        <w:rPr>
          <w:rFonts w:ascii="Times New Roman" w:hAnsi="Times New Roman"/>
          <w:color w:val="000000" w:themeColor="text1"/>
          <w:sz w:val="16"/>
          <w:szCs w:val="16"/>
        </w:rPr>
        <w:softHyphen/>
        <w:t>вых, разрушались подшипники, на которых стояла крыльчатка. Во-вто</w:t>
      </w:r>
      <w:r w:rsidRPr="0044524F">
        <w:rPr>
          <w:rFonts w:ascii="Times New Roman" w:hAnsi="Times New Roman"/>
          <w:color w:val="000000" w:themeColor="text1"/>
          <w:sz w:val="16"/>
          <w:szCs w:val="16"/>
        </w:rPr>
        <w:softHyphen/>
        <w:t>рых, нагнетатель у М-34Р распола</w:t>
      </w:r>
      <w:r w:rsidRPr="0044524F">
        <w:rPr>
          <w:rFonts w:ascii="Times New Roman" w:hAnsi="Times New Roman"/>
          <w:color w:val="000000" w:themeColor="text1"/>
          <w:sz w:val="16"/>
          <w:szCs w:val="16"/>
        </w:rPr>
        <w:softHyphen/>
        <w:t>гался за карбюратором; в нем сжи</w:t>
      </w:r>
      <w:r w:rsidRPr="0044524F">
        <w:rPr>
          <w:rFonts w:ascii="Times New Roman" w:hAnsi="Times New Roman"/>
          <w:color w:val="000000" w:themeColor="text1"/>
          <w:sz w:val="16"/>
          <w:szCs w:val="16"/>
        </w:rPr>
        <w:softHyphen/>
        <w:t xml:space="preserve">мался </w:t>
      </w:r>
      <w:r w:rsidRPr="0044524F">
        <w:rPr>
          <w:rFonts w:ascii="Times New Roman" w:hAnsi="Times New Roman"/>
          <w:color w:val="000000" w:themeColor="text1"/>
          <w:sz w:val="16"/>
          <w:szCs w:val="16"/>
        </w:rPr>
        <w:lastRenderedPageBreak/>
        <w:t>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44524F">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44524F">
        <w:rPr>
          <w:rFonts w:ascii="Times New Roman" w:hAnsi="Times New Roman"/>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44524F">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44524F">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44524F">
        <w:rPr>
          <w:rFonts w:ascii="Times New Roman" w:hAnsi="Times New Roman"/>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44524F">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44524F">
        <w:rPr>
          <w:rFonts w:ascii="Times New Roman" w:hAnsi="Times New Roman"/>
          <w:color w:val="000000" w:themeColor="text1"/>
          <w:sz w:val="16"/>
          <w:szCs w:val="16"/>
        </w:rPr>
        <w:softHyphen/>
        <w:t>ило газораспределение, от вибраций появлялись трещины на лапах креп</w:t>
      </w:r>
      <w:r w:rsidRPr="0044524F">
        <w:rPr>
          <w:rFonts w:ascii="Times New Roman" w:hAnsi="Times New Roman"/>
          <w:color w:val="000000" w:themeColor="text1"/>
          <w:sz w:val="16"/>
          <w:szCs w:val="16"/>
        </w:rPr>
        <w:softHyphen/>
        <w:t>ления к раме. Но нагнетатель и ре</w:t>
      </w:r>
      <w:r w:rsidRPr="0044524F">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44524F">
        <w:rPr>
          <w:rFonts w:ascii="Times New Roman" w:hAnsi="Times New Roman"/>
          <w:color w:val="000000" w:themeColor="text1"/>
          <w:sz w:val="16"/>
          <w:szCs w:val="16"/>
        </w:rPr>
        <w:softHyphen/>
        <w:t>тябре, но и они закончились неудач</w:t>
      </w:r>
      <w:r w:rsidRPr="0044524F">
        <w:rPr>
          <w:rFonts w:ascii="Times New Roman" w:hAnsi="Times New Roman"/>
          <w:color w:val="000000" w:themeColor="text1"/>
          <w:sz w:val="16"/>
          <w:szCs w:val="16"/>
        </w:rPr>
        <w:softHyphen/>
        <w:t>но - прогорели поршни. В результа</w:t>
      </w:r>
      <w:r w:rsidRPr="0044524F">
        <w:rPr>
          <w:rFonts w:ascii="Times New Roman" w:hAnsi="Times New Roman"/>
          <w:color w:val="000000" w:themeColor="text1"/>
          <w:sz w:val="16"/>
          <w:szCs w:val="16"/>
        </w:rPr>
        <w:softHyphen/>
        <w:t>те М-34РН в 1934 г. выпустили лишь небольшой серией. Поскольку нагне</w:t>
      </w:r>
      <w:r w:rsidRPr="0044524F">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4B1DD5C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5A200FB4" w14:textId="77777777" w:rsidR="009401EE" w:rsidRPr="0044524F" w:rsidRDefault="009401EE"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B0754FE" w14:textId="77777777" w:rsidR="009401EE" w:rsidRPr="0044524F" w:rsidRDefault="009401E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E3147BD" w14:textId="77777777" w:rsidR="009401EE" w:rsidRPr="0044524F" w:rsidRDefault="009401E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 22 июля 1933 комиссия Орджоникидзе, созданная для подготовки проекта постановления Совета Труда и Обороны СССР о перспективной программе развития военных производств и подачи НКВМ предметов боевого снабжения, завершила подробное исследование и определила объем выпуска продукции на поенное время и капитальных вложений в соответствующие предприятия по годам. Подача артиллерии и ручного оружия была определена только на 1934 г., танков -на 1934-1935 гг., боеприпасов -на 1934-1936 гг.; по авиапромышленности были согласованы подача и производственная мощность на 1934-1938 гг. Проект комиссии содержал калькуляцию капиталовложений на 1934 г. общим размером в 2350 млн руб. и дополнительных затрат на второе полугодие 1933 г. (150 млн руб.). Взамен обещалось обеспечить при возникновении войны подачу в 1936 г. 100 млн артвыстрелов, 8 млрд винтпатронов, 300 тыс. т авиабомб, около 14 тыс. самолетов; в 1935 г. - 33,4 тыс. танков (включая 16 тыс. танкеток) и 2 тыс. бронемашин, в 1934 г. - около 24 тыс. орудий (Черновая запись "Проект ком[иссии] т. Орджоникидзе от 22.07.1933 г." // РГАЭ. Ф. 4372. Оп. 91- Д 1455. Л. 42-41 об.).</w:t>
      </w:r>
    </w:p>
    <w:p w14:paraId="239A0510" w14:textId="77777777" w:rsidR="009401EE" w:rsidRPr="0044524F" w:rsidRDefault="009401E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своем заключении на программу комиссии Орджоникидзе сектор обороны Госплана согласился с расчетами в части боеприпасов, ручного оружия, авиации, пороха, взрывчатых и отравляющих веществ. ("По перечисленным номенклатурам необходимые мощности могут быть созданы, хотя для этого потребуются большие капиталовложения и громадное напряжение в развитии заводов и их освоении".) Задания на создание мощностей по производству орудийных систем и танков па 1934 г. сектор обороны счел превышающими реальные силы "при максимально возможном развитии заводов" примерно в полтора раза (Заключение Начальника Сектора Обороны Госплана Ботнера и Заместителя Начальника Сектора Обороны Госплана Колесинского по проекту постановления Совета Труда и Обороны о перспективной программе развития военных производств и подачи НКВМору предметов боевого снабжения, 16.08.1933 // Там же. Л. 48-47. Делопроизводственная помета ("1 экз. передан лично т. Межлауку 17/VIII-33 г.") и правка в тексте указывают на то, что этот документ предназначался для направления в правительство от имени Госплана СССР). Разногласия между НКТП и Госпланом СССР (не говоря уже о военном ведомстве, мыслившем иными временными масштабами, чем работники тяжелой промышленности) исключали возможность принятия правительством пятилетнего плана развития военных производств. С мечтой о таком плане сектору обороны Госплана и НКВМ пришлось проститься (22725).</w:t>
      </w:r>
    </w:p>
    <w:p w14:paraId="66C103C3" w14:textId="77777777" w:rsidR="009401EE" w:rsidRPr="0044524F" w:rsidRDefault="009401EE" w:rsidP="009654CF">
      <w:pPr>
        <w:shd w:val="clear" w:color="auto" w:fill="FFFFFF"/>
        <w:spacing w:after="0" w:line="240" w:lineRule="auto"/>
        <w:jc w:val="both"/>
        <w:rPr>
          <w:rFonts w:ascii="Times New Roman" w:hAnsi="Times New Roman"/>
          <w:color w:val="000000" w:themeColor="text1"/>
          <w:sz w:val="16"/>
          <w:szCs w:val="16"/>
        </w:rPr>
      </w:pPr>
    </w:p>
    <w:p w14:paraId="529E23A8"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7CAB601"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6B5134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июля 1933 г., после того, как 30 мая и 13 июня 1933 Москва отказалась от совместного производства химических опытов («Томка») и дальнейшей деятельности танковой школы в Казани, германский военный атташе Хартман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7BB0D57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49F943AA" w14:textId="77777777" w:rsidR="002D74CC" w:rsidRPr="0044524F" w:rsidRDefault="002D74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июля 1933 г. германский военный атташе Хартман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w:t>
      </w:r>
    </w:p>
    <w:p w14:paraId="7AA5B515" w14:textId="77777777" w:rsidR="002D74CC" w:rsidRPr="0044524F" w:rsidRDefault="002D74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мая и 13 июня 1933 Москвы отказалась от совместного производства химических опытов («Томка») и дальнейшей деятельности танковой школы в Казани (18265).</w:t>
      </w:r>
    </w:p>
    <w:p w14:paraId="4220EF26" w14:textId="77777777" w:rsidR="002D74CC" w:rsidRPr="0044524F" w:rsidRDefault="002D74CC" w:rsidP="009654CF">
      <w:pPr>
        <w:spacing w:after="0" w:line="240" w:lineRule="auto"/>
        <w:jc w:val="both"/>
        <w:rPr>
          <w:rFonts w:ascii="Times New Roman" w:hAnsi="Times New Roman"/>
          <w:color w:val="000000" w:themeColor="text1"/>
          <w:sz w:val="16"/>
          <w:szCs w:val="16"/>
        </w:rPr>
      </w:pPr>
    </w:p>
    <w:p w14:paraId="04835CD9"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E8DB4B8"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D5AC00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июля 1933 Willey Post завершил кругосветный перелет на Winnie Mae, выполненный за 7 дней, 18 час. и 45 минут.</w:t>
      </w:r>
    </w:p>
    <w:p w14:paraId="7D8677F4"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B4C58D"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июля в 1933 году американский пилот Вилли Пост (Wiley Post) завершает первый одиночный полет вокруг Земли на аэроплане - путешествие потребовало 7 дней, 18 часов и 49.5 мин (14960).</w:t>
      </w:r>
    </w:p>
    <w:p w14:paraId="740B7A13" w14:textId="77777777" w:rsidR="00B4520E" w:rsidRPr="0044524F" w:rsidRDefault="00B4520E" w:rsidP="009654CF">
      <w:pPr>
        <w:spacing w:after="0" w:line="240" w:lineRule="auto"/>
        <w:jc w:val="both"/>
        <w:rPr>
          <w:rFonts w:ascii="Times New Roman" w:hAnsi="Times New Roman"/>
          <w:color w:val="000000" w:themeColor="text1"/>
          <w:sz w:val="16"/>
          <w:szCs w:val="16"/>
        </w:rPr>
      </w:pPr>
    </w:p>
    <w:p w14:paraId="77573285"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июля 1933 американский пилот Вилли Пост совершил первый в истории одиночный полет вокруг Земли (4962).</w:t>
      </w:r>
    </w:p>
    <w:p w14:paraId="673A0FD3"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97A7F20" w14:textId="77777777" w:rsidR="0089252B" w:rsidRPr="0044524F" w:rsidRDefault="008925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июля 1933 - Американский пилот Уайли Пост первым в одиночку совершил кругосветный перелёт Нью-Йорк - Берлин - Москва - Аляска - Нью-Йорк, пользуясь исключительно автопилотом тех лет - гироскопом, радиопеленгатором и компасом, за 7 суток 18 часов 49 минут (22422).</w:t>
      </w:r>
    </w:p>
    <w:p w14:paraId="3B6B9EF4" w14:textId="77777777" w:rsidR="0089252B" w:rsidRPr="0044524F" w:rsidRDefault="0089252B" w:rsidP="009654CF">
      <w:pPr>
        <w:spacing w:after="0" w:line="240" w:lineRule="auto"/>
        <w:jc w:val="both"/>
        <w:rPr>
          <w:rFonts w:ascii="Times New Roman" w:hAnsi="Times New Roman"/>
          <w:color w:val="000000" w:themeColor="text1"/>
          <w:sz w:val="16"/>
          <w:szCs w:val="16"/>
        </w:rPr>
      </w:pPr>
    </w:p>
    <w:p w14:paraId="70EE3D6A" w14:textId="77777777" w:rsidR="0089252B" w:rsidRPr="0044524F" w:rsidRDefault="008925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июля 1933 британские пилоты Эми Джонсон и Джим Моллисон, летающие на de Havilland DH.84 Dragon I G-ACCV Seafarer, начинают первый беспосадочный перелет из Великобритании в США, взлетая из Пендин-Сэндс в Южном Уэльсе и совершая аварийную посадку. в Бриджпорте, Коннектикут (20802).</w:t>
      </w:r>
    </w:p>
    <w:p w14:paraId="7EB707A9" w14:textId="77777777" w:rsidR="0089252B" w:rsidRPr="0044524F" w:rsidRDefault="0089252B" w:rsidP="009654CF">
      <w:pPr>
        <w:spacing w:after="0" w:line="240" w:lineRule="auto"/>
        <w:jc w:val="both"/>
        <w:rPr>
          <w:rFonts w:ascii="Times New Roman" w:hAnsi="Times New Roman"/>
          <w:color w:val="000000" w:themeColor="text1"/>
          <w:sz w:val="16"/>
          <w:szCs w:val="16"/>
        </w:rPr>
      </w:pPr>
    </w:p>
    <w:p w14:paraId="397E071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июля 1933 на спортивном самолете D.H. Moth известные английские авиаторы, супруги Моллисон стартовали из Уэльса по направлению на Нью- Йорк. При полете над океаном самолет несколько отклонился от курса и очутился над Ньюфаундлендом. Направившись к Нью-Йорку, Моллисоны в 90 км от него оказались вынуждены сделать посадку на аэродроме в Бриджпорте, отчасти в связи с нехваткой горючего, отчасти из-за усталости. Утомленный до полного истощения Моллисон не смог различить сигнальных огней и приземлился за пределами аэродрома. Самолет потерпел аварию, однако летчики, хотя и с многочисленными ранениями, остались живы (11941).</w:t>
      </w:r>
    </w:p>
    <w:p w14:paraId="32E1E2D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14C63873" w14:textId="57F4157B" w:rsidR="008A6A4E" w:rsidRPr="0044524F" w:rsidRDefault="008A6A4E"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5405EA52" w14:textId="77777777" w:rsidR="008A6A4E" w:rsidRPr="0044524F" w:rsidRDefault="008A6A4E"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01FB3179" w14:textId="77777777" w:rsidR="008A6A4E" w:rsidRPr="0044524F" w:rsidRDefault="008A6A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21 июля 1933 г. состоялся первый полет опытного образца «Супермарин» «Уолрэс», который сначала назывался «Сигал» V и являлся переделкой летающей лодки «Сигал» в амфибию. Экипаж состоял из двух-четырех человек, вооружение складывалось из двух пулеметов калибра 7,69 мм. Машину собирались использовать как корабель</w:t>
      </w:r>
      <w:r w:rsidRPr="0044524F">
        <w:rPr>
          <w:rFonts w:ascii="Times New Roman" w:hAnsi="Times New Roman"/>
          <w:color w:val="000000" w:themeColor="text1"/>
          <w:sz w:val="16"/>
          <w:szCs w:val="16"/>
        </w:rPr>
        <w:softHyphen/>
        <w:t>ный катапультный разведчик и самолет связи.</w:t>
      </w:r>
    </w:p>
    <w:p w14:paraId="1CA58EBB" w14:textId="77777777" w:rsidR="008A6A4E" w:rsidRPr="0044524F" w:rsidRDefault="008A6A4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серийное производство «Сигал» V запустили в июне 1935 г., выполняя заказ австралийского флота, а с 1936 г. стали строить эти разведчики в немного дорабо</w:t>
      </w:r>
      <w:r w:rsidRPr="0044524F">
        <w:rPr>
          <w:rFonts w:ascii="Times New Roman" w:hAnsi="Times New Roman"/>
          <w:color w:val="000000" w:themeColor="text1"/>
          <w:sz w:val="16"/>
          <w:szCs w:val="16"/>
        </w:rPr>
        <w:softHyphen/>
        <w:t>танном виде как «Уолрэс» для британского Адмиралтейства. Надежный и довольно мореходный биплан удержался в произ</w:t>
      </w:r>
      <w:r w:rsidRPr="0044524F">
        <w:rPr>
          <w:rFonts w:ascii="Times New Roman" w:hAnsi="Times New Roman"/>
          <w:color w:val="000000" w:themeColor="text1"/>
          <w:sz w:val="16"/>
          <w:szCs w:val="16"/>
        </w:rPr>
        <w:softHyphen/>
        <w:t>водстве до января 1944 г. (23513).</w:t>
      </w:r>
    </w:p>
    <w:p w14:paraId="16615004" w14:textId="77777777" w:rsidR="008A6A4E" w:rsidRPr="0044524F" w:rsidRDefault="008A6A4E" w:rsidP="009654CF">
      <w:pPr>
        <w:spacing w:after="0" w:line="240" w:lineRule="auto"/>
        <w:jc w:val="both"/>
        <w:rPr>
          <w:rFonts w:ascii="Times New Roman" w:hAnsi="Times New Roman"/>
          <w:color w:val="000000" w:themeColor="text1"/>
          <w:sz w:val="16"/>
          <w:szCs w:val="16"/>
        </w:rPr>
      </w:pPr>
    </w:p>
    <w:p w14:paraId="261E44F9" w14:textId="77777777" w:rsidR="00A61E06" w:rsidRPr="0044524F" w:rsidRDefault="00A61E06" w:rsidP="00A61E06">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248CA96" w14:textId="77777777" w:rsidR="00A61E06" w:rsidRPr="0044524F" w:rsidRDefault="00A61E06" w:rsidP="00A61E06">
      <w:pPr>
        <w:autoSpaceDE w:val="0"/>
        <w:autoSpaceDN w:val="0"/>
        <w:adjustRightInd w:val="0"/>
        <w:spacing w:after="0" w:line="240" w:lineRule="auto"/>
        <w:jc w:val="both"/>
        <w:rPr>
          <w:rFonts w:ascii="Times New Roman" w:hAnsi="Times New Roman"/>
          <w:iCs/>
          <w:color w:val="000000" w:themeColor="text1"/>
          <w:sz w:val="16"/>
          <w:szCs w:val="16"/>
        </w:rPr>
      </w:pPr>
    </w:p>
    <w:p w14:paraId="1B757639"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23 июля по 29 августа 1933 г. проходили большие испытания СУ-76К с пушкой Курчевского на НИАП по программе УММ и ГАУ. Из пушки сделали 575 выстрелов, а общий пробег машины достиг 100 км. Скорострельность составила 6—7 выстр./мин. В ходе испытаний было зафиксированы (около 5%) затяжные выстрелы и плевки — падения снарядов в 3—4 м отдула. Меткость на расстояниях до 400— 600 м признали приемлемой, а на больших дистанциях — неудовлетворительной. Наблюдался также прогиб броневого щита в результате воздействия пороховых газов.</w:t>
      </w:r>
    </w:p>
    <w:p w14:paraId="0445276D"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заключении комиссии отмечалось, что СУ-76К, безусловно, заслуживает внимания и после устранения (в очередной раз) неполадок может быть допущена к войсковым испытаниям. После ремонта на заводе №8 в Подлипках машина в декабре 1933 г. демонстрировалась на Химическом полигоне в Кузьминках. Потом вновь поступила на испытания.</w:t>
      </w:r>
    </w:p>
    <w:p w14:paraId="6C063558" w14:textId="5C05E654"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многочисленных испытаний (в результате одного из них погиб инженер А.Я. Нейланд) регулярно отмечалась, что </w:t>
      </w:r>
      <w:hyperlink r:id="rId272" w:history="1">
        <w:r w:rsidRPr="00142305">
          <w:rPr>
            <w:rStyle w:val="a5"/>
            <w:rFonts w:ascii="Times New Roman" w:hAnsi="Times New Roman"/>
            <w:color w:val="0070C0"/>
            <w:sz w:val="16"/>
            <w:szCs w:val="16"/>
          </w:rPr>
          <w:t>танк</w:t>
        </w:r>
      </w:hyperlink>
      <w:r w:rsidRPr="00142305">
        <w:rPr>
          <w:rFonts w:ascii="Times New Roman" w:hAnsi="Times New Roman"/>
          <w:color w:val="0070C0"/>
          <w:sz w:val="16"/>
          <w:szCs w:val="16"/>
        </w:rPr>
        <w:t>етка с ДРП заслуживает внимания, но требует устранения недостатков. Однако недостатки так и не устранили. На вооружение СУ-76К не приняли и в серийное производство не передавали</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(25554).</w:t>
      </w:r>
    </w:p>
    <w:p w14:paraId="45396C60" w14:textId="77777777" w:rsidR="00A61E06" w:rsidRPr="00142305" w:rsidRDefault="00A61E06" w:rsidP="00A61E06">
      <w:pPr>
        <w:spacing w:after="0" w:line="240" w:lineRule="auto"/>
        <w:jc w:val="both"/>
        <w:rPr>
          <w:rFonts w:ascii="Times New Roman" w:hAnsi="Times New Roman"/>
          <w:color w:val="0070C0"/>
          <w:sz w:val="16"/>
          <w:szCs w:val="16"/>
        </w:rPr>
      </w:pPr>
    </w:p>
    <w:p w14:paraId="1EC8B092" w14:textId="13703DF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42A8FAF"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FD6DA5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24-го июля 1933 самолет ДВ СССР-Н2 стартовал из Красноярска в Игарку, а 25-го вылетел в Усть-Порт, приводнившись там в тот же день. На следующий день выяснилось, что самолеты, предназначенные для ледовой разведки с о. Вайгач, к сроку не прибудут, и до 10 августа СССР-Н2 должен один обслуживать все Карское море.</w:t>
      </w:r>
    </w:p>
    <w:p w14:paraId="3083AE39"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28-го июля вылетели на о. Вайгач. Пройдя по маршруту Усть-Порт - Новый Порт - Байда- рацкая губа - Вайгач, затем до о. Сибирякова, встретили туман и сели, не долетев до цели. 29-го июля сделали три новых попытки, но все они не увенчались успехом: во всех направлениях, кроме восточного, был туман. Пришлось ждать улучшения погоды на Диксоне. Здесь имелся комплект винтов для "Валя" и экипаж, воспользовавшись паузой в полетах, заменил на них свои старые, еще в Красноярске признанные негодными. 30-го июля винты опробовали в полете, при этом увидели, что на севере и северо-западе тумана нет, в отличие от восточного и северо-восточного направления.</w:t>
      </w:r>
    </w:p>
    <w:p w14:paraId="46BFA06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31-го июля СССР-Н2 отправился на ледовую разведку в направлении м. Желания. Недалеко от о. Белого прошли над "Сибиряковым", сообщив ему ледовую обстановку по маршруту. Через 7 минут после встречи машина попала в сплошной дождь и, не имея высоты, приводнилась, пробыв в воздухе 2 ч. 48 мин.</w:t>
      </w:r>
    </w:p>
    <w:p w14:paraId="4078F47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дождавшись к утру прояснения тумана, экипаж установил антенну и сообщил ледовую обстановку и свои координаты. В ответ командование приказало авиаторам перелететь в бухту Варнека и там ждать дальнейших указаний. Немедленно выполнить это распоряжение помешало отсутствие на самолете... табака. Утром 1-го августа курильщики подрулили на гидроплане к берегу, вступили в торговые отношения с самоедами и выменяли махорку на чай. Вылететь в бухту Варнека удалось на следующий день, а 3-го августа они сели на Маточкином Шаре. Здесь Алексеев получил телеграмму о тяжелом положении каравана, застрявшего во льду, и распоряжение лететь скорее для поисков чистой воды. После заправки, в 19 ч. 42 мин., самолет вылетел на помощь каравану. Через два часа СССР-Н2 прошел над судами и определил, что они идут, удаляясь от чистой воды. Сообщив на ледокол поправки к курсу, гидроплан направился на Диксон, куда и прибыл в 24 ч. 55 мин. (11970).</w:t>
      </w:r>
    </w:p>
    <w:p w14:paraId="7B46844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5B4D102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24 июля по 9 октября 1933 были проведены дополнительные испытания МАВ-1 (ВОМИЗЫ-100). Морские испытания с корабля произведены в ладожском озере на глубинах от 5 до 43 морских саженей. 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 Сброшено с самолета 2 раза с бикфордовым шнуром и 7 раз с гидростатической отдачей (3052).</w:t>
      </w:r>
    </w:p>
    <w:p w14:paraId="36716DED"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3892FB0F"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9B63FBE"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FB85F4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Утром 24 июля 1933 года все германские газеты напечатали статьи, перепевавшие один и тот же сюжет: "Красная чума над Берлином!. "Иностранные самолеты неизвестного типа улетели неопознанными!, "Германия беззащитна! - кричали заголовки. В тексте же значилось: "Над Берлином появились самолеты неизвестного в Германии типа. С них были сброшены листовки с оскорблениями по адресу германского правительства. Листовки были сброшены над правительственными зданиями и над восточными районами города. Так как воздушная полиция... не имела собственных самолетов, а спортивные самолеты, находившиеся на аэродроме, значительно уступали в скорости иностранным самолетам, последним удалось улететь неопознанными... Этот случай бросает яркий свет на невыносимое положение, в котором оказалась в настоящее время Германия....По требованию враждебных иностранных держав Германия осуждена на бессилие и лишена возможности защищаться от нарушения ее воздушного суверенитета. Каждая птица имеет право защищаться, если ее гнездо подвергается нападению. Лишь Германия принуждена с подрезанными крыльями и связанными когтями беспомощно смотреть, как позорят ее гнездо...Никто не видел ни самолетов-нарушителей, ни листовок. Газеты не напечатали выдержки из прокламаций - слишком оскорбительно, как заявило министерство авиации, было их содержание (3861).</w:t>
      </w:r>
    </w:p>
    <w:p w14:paraId="3F2CC97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3438BDEE"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FDB310B"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6F56E2E"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июля 1933 в 1.5 км от Монинского аэродрома в 11:43 потерпел аварию ТБ-3 М-17 N 22114 полетным весом 16 т под управлением М.А.Горбунова при выполнении контрольного полета на 6 час. по маршруту Монино-Кинель-Монино (2331,225).</w:t>
      </w:r>
    </w:p>
    <w:p w14:paraId="6090A5DD"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2837F03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июля 1933 была назначена макетная комиссия по РД - военный вариант (1102).</w:t>
      </w:r>
    </w:p>
    <w:p w14:paraId="0508560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31596C40" w14:textId="7279D451" w:rsidR="006A5EEF" w:rsidRPr="0044524F" w:rsidRDefault="006A5E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июля 1933</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состоялась макет</w:t>
      </w:r>
      <w:r w:rsidRPr="0044524F">
        <w:rPr>
          <w:rFonts w:ascii="Times New Roman" w:hAnsi="Times New Roman"/>
          <w:color w:val="000000" w:themeColor="text1"/>
          <w:sz w:val="16"/>
          <w:szCs w:val="16"/>
        </w:rPr>
        <w:softHyphen/>
        <w:t>ная комиссия по АНТ-36 (военный вариант РД) с представителями НИИ ВВС. С незначительными замечаниями макет утвердили.</w:t>
      </w:r>
    </w:p>
    <w:p w14:paraId="4E9AA9F1" w14:textId="77777777" w:rsidR="006A5EEF" w:rsidRPr="0044524F" w:rsidRDefault="006A5E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ЦАГИ получил до</w:t>
      </w:r>
      <w:r w:rsidRPr="0044524F">
        <w:rPr>
          <w:rFonts w:ascii="Times New Roman" w:hAnsi="Times New Roman"/>
          <w:color w:val="000000" w:themeColor="text1"/>
          <w:sz w:val="16"/>
          <w:szCs w:val="16"/>
        </w:rPr>
        <w:softHyphen/>
        <w:t>полнительные пожелания военных:</w:t>
      </w:r>
    </w:p>
    <w:p w14:paraId="1E766276" w14:textId="77777777" w:rsidR="006A5EEF" w:rsidRPr="0044524F" w:rsidRDefault="006A5E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педали ножного управления долж</w:t>
      </w:r>
      <w:r w:rsidRPr="0044524F">
        <w:rPr>
          <w:rFonts w:ascii="Times New Roman" w:hAnsi="Times New Roman"/>
          <w:color w:val="000000" w:themeColor="text1"/>
          <w:sz w:val="16"/>
          <w:szCs w:val="16"/>
        </w:rPr>
        <w:softHyphen/>
        <w:t>ны регулироваться под рост летчика,</w:t>
      </w:r>
    </w:p>
    <w:p w14:paraId="3EAC0F86" w14:textId="77777777" w:rsidR="006A5EEF" w:rsidRPr="0044524F" w:rsidRDefault="006A5E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системы слива горючего, в полете надо предусмотреть возможность дозаправки самолета в воздухе,</w:t>
      </w:r>
    </w:p>
    <w:p w14:paraId="69DC6C88" w14:textId="77777777" w:rsidR="006A5EEF" w:rsidRPr="0044524F" w:rsidRDefault="006A5E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должен запускаться из ка</w:t>
      </w:r>
      <w:r w:rsidRPr="0044524F">
        <w:rPr>
          <w:rFonts w:ascii="Times New Roman" w:hAnsi="Times New Roman"/>
          <w:color w:val="000000" w:themeColor="text1"/>
          <w:sz w:val="16"/>
          <w:szCs w:val="16"/>
        </w:rPr>
        <w:softHyphen/>
        <w:t>бины летчика,</w:t>
      </w:r>
    </w:p>
    <w:p w14:paraId="483C89FA" w14:textId="77777777" w:rsidR="006A5EEF" w:rsidRPr="0044524F" w:rsidRDefault="006A5E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нужны приборы, указывающие рас</w:t>
      </w:r>
      <w:r w:rsidRPr="0044524F">
        <w:rPr>
          <w:rFonts w:ascii="Times New Roman" w:hAnsi="Times New Roman"/>
          <w:color w:val="000000" w:themeColor="text1"/>
          <w:sz w:val="16"/>
          <w:szCs w:val="16"/>
        </w:rPr>
        <w:softHyphen/>
        <w:t>ход горючего в полете.</w:t>
      </w:r>
    </w:p>
    <w:p w14:paraId="55861D3A" w14:textId="77777777" w:rsidR="006A5EEF" w:rsidRPr="0044524F" w:rsidRDefault="006A5E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 оборонительного вооруже</w:t>
      </w:r>
      <w:r w:rsidRPr="0044524F">
        <w:rPr>
          <w:rFonts w:ascii="Times New Roman" w:hAnsi="Times New Roman"/>
          <w:color w:val="000000" w:themeColor="text1"/>
          <w:sz w:val="16"/>
          <w:szCs w:val="16"/>
        </w:rPr>
        <w:softHyphen/>
        <w:t>ния должен был входить пулемет ДА у первого стрелка (он же штурман), такой же пулемет — у второго стрелка (он же второй летчик) и еще один пулемет — на «подхвостовом огневом гнезде» для</w:t>
      </w:r>
      <w:r w:rsidRPr="0044524F">
        <w:rPr>
          <w:rFonts w:ascii="Times New Roman" w:hAnsi="Times New Roman"/>
          <w:color w:val="000000" w:themeColor="text1"/>
          <w:sz w:val="16"/>
          <w:szCs w:val="16"/>
        </w:rPr>
        <w:tab/>
        <w:t>4 июля 1933 г. начали строить «МГ», а менее чем через год — 1 апреля 1934 г. он уже был готов. Его расстыковали и по час</w:t>
      </w:r>
      <w:r w:rsidRPr="0044524F">
        <w:rPr>
          <w:rFonts w:ascii="Times New Roman" w:hAnsi="Times New Roman"/>
          <w:color w:val="000000" w:themeColor="text1"/>
          <w:sz w:val="16"/>
          <w:szCs w:val="16"/>
        </w:rPr>
        <w:softHyphen/>
        <w:t>тям перевезли на Центральный аэродром, где снова собрали. На постройку «МГ» за</w:t>
      </w:r>
      <w:r w:rsidRPr="0044524F">
        <w:rPr>
          <w:rFonts w:ascii="Times New Roman" w:hAnsi="Times New Roman"/>
          <w:color w:val="000000" w:themeColor="text1"/>
          <w:sz w:val="16"/>
          <w:szCs w:val="16"/>
        </w:rPr>
        <w:softHyphen/>
        <w:t>тратили 586,8 тыс. часов и 2574,4 тыс. руб</w:t>
      </w:r>
      <w:r w:rsidRPr="0044524F">
        <w:rPr>
          <w:rFonts w:ascii="Times New Roman" w:hAnsi="Times New Roman"/>
          <w:color w:val="000000" w:themeColor="text1"/>
          <w:sz w:val="16"/>
          <w:szCs w:val="16"/>
        </w:rPr>
        <w:softHyphen/>
        <w:t>лей (не считая институтских расходов) (23474).</w:t>
      </w:r>
    </w:p>
    <w:p w14:paraId="151C1902" w14:textId="77777777" w:rsidR="006A5EEF" w:rsidRPr="0044524F" w:rsidRDefault="006A5EEF" w:rsidP="009654CF">
      <w:pPr>
        <w:spacing w:after="0" w:line="240" w:lineRule="auto"/>
        <w:jc w:val="both"/>
        <w:rPr>
          <w:rFonts w:ascii="Times New Roman" w:hAnsi="Times New Roman"/>
          <w:color w:val="000000" w:themeColor="text1"/>
          <w:sz w:val="16"/>
          <w:szCs w:val="16"/>
        </w:rPr>
      </w:pPr>
    </w:p>
    <w:p w14:paraId="0BBCAFE0" w14:textId="77777777" w:rsidR="00900AA0" w:rsidRPr="0044524F" w:rsidRDefault="00900AA0" w:rsidP="00900AA0">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0B3DBE5" w14:textId="77777777" w:rsidR="00900AA0" w:rsidRPr="0044524F" w:rsidRDefault="00900AA0" w:rsidP="00900AA0">
      <w:pPr>
        <w:autoSpaceDE w:val="0"/>
        <w:autoSpaceDN w:val="0"/>
        <w:adjustRightInd w:val="0"/>
        <w:spacing w:after="0" w:line="240" w:lineRule="auto"/>
        <w:jc w:val="both"/>
        <w:rPr>
          <w:rFonts w:ascii="Times New Roman" w:hAnsi="Times New Roman"/>
          <w:iCs/>
          <w:color w:val="000000" w:themeColor="text1"/>
          <w:sz w:val="16"/>
          <w:szCs w:val="16"/>
        </w:rPr>
      </w:pPr>
    </w:p>
    <w:p w14:paraId="7DC8B8B8" w14:textId="77777777" w:rsidR="00900AA0" w:rsidRPr="00951B40" w:rsidRDefault="00900AA0" w:rsidP="00900AA0">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25 июня - 4 июля 1933 года первые два эксперименталь</w:t>
      </w:r>
      <w:r w:rsidRPr="00951B40">
        <w:rPr>
          <w:rStyle w:val="aff"/>
          <w:rFonts w:ascii="Times New Roman" w:hAnsi="Times New Roman" w:cs="Times New Roman"/>
          <w:color w:val="0070C0"/>
          <w:spacing w:val="0"/>
          <w:sz w:val="16"/>
          <w:szCs w:val="16"/>
        </w:rPr>
        <w:softHyphen/>
        <w:t>ных автомобиля трехосных АМО-6, прототипом для которых по</w:t>
      </w:r>
      <w:r w:rsidRPr="00951B40">
        <w:rPr>
          <w:rStyle w:val="aff"/>
          <w:rFonts w:ascii="Times New Roman" w:hAnsi="Times New Roman" w:cs="Times New Roman"/>
          <w:color w:val="0070C0"/>
          <w:spacing w:val="0"/>
          <w:sz w:val="16"/>
          <w:szCs w:val="16"/>
        </w:rPr>
        <w:softHyphen/>
        <w:t xml:space="preserve">служили английские грузовики </w:t>
      </w:r>
      <w:r w:rsidRPr="00951B40">
        <w:rPr>
          <w:rStyle w:val="aff"/>
          <w:rFonts w:ascii="Times New Roman" w:hAnsi="Times New Roman" w:cs="Times New Roman"/>
          <w:color w:val="0070C0"/>
          <w:spacing w:val="0"/>
          <w:sz w:val="16"/>
          <w:szCs w:val="16"/>
          <w:lang w:val="en-US"/>
        </w:rPr>
        <w:t>WD</w:t>
      </w:r>
      <w:r w:rsidRPr="00951B40">
        <w:rPr>
          <w:rStyle w:val="aff"/>
          <w:rFonts w:ascii="Times New Roman" w:hAnsi="Times New Roman" w:cs="Times New Roman"/>
          <w:color w:val="0070C0"/>
          <w:spacing w:val="0"/>
          <w:sz w:val="16"/>
          <w:szCs w:val="16"/>
        </w:rPr>
        <w:t xml:space="preserve"> (</w:t>
      </w:r>
      <w:r w:rsidRPr="00951B40">
        <w:rPr>
          <w:rStyle w:val="aff"/>
          <w:rFonts w:ascii="Times New Roman" w:hAnsi="Times New Roman" w:cs="Times New Roman"/>
          <w:color w:val="0070C0"/>
          <w:spacing w:val="0"/>
          <w:sz w:val="16"/>
          <w:szCs w:val="16"/>
          <w:lang w:val="en-US"/>
        </w:rPr>
        <w:t>War</w:t>
      </w:r>
      <w:r w:rsidRPr="00951B40">
        <w:rPr>
          <w:rStyle w:val="aff"/>
          <w:rFonts w:ascii="Times New Roman" w:hAnsi="Times New Roman" w:cs="Times New Roman"/>
          <w:color w:val="0070C0"/>
          <w:spacing w:val="0"/>
          <w:sz w:val="16"/>
          <w:szCs w:val="16"/>
        </w:rPr>
        <w:t xml:space="preserve"> </w:t>
      </w:r>
      <w:r w:rsidRPr="00951B40">
        <w:rPr>
          <w:rStyle w:val="aff"/>
          <w:rFonts w:ascii="Times New Roman" w:hAnsi="Times New Roman" w:cs="Times New Roman"/>
          <w:color w:val="0070C0"/>
          <w:spacing w:val="0"/>
          <w:sz w:val="16"/>
          <w:szCs w:val="16"/>
          <w:lang w:val="en-US"/>
        </w:rPr>
        <w:t>Department</w:t>
      </w:r>
      <w:r w:rsidRPr="00951B40">
        <w:rPr>
          <w:rStyle w:val="aff"/>
          <w:rFonts w:ascii="Times New Roman" w:hAnsi="Times New Roman" w:cs="Times New Roman"/>
          <w:color w:val="0070C0"/>
          <w:spacing w:val="0"/>
          <w:sz w:val="16"/>
          <w:szCs w:val="16"/>
        </w:rPr>
        <w:t>), а также отечествен</w:t>
      </w:r>
      <w:r w:rsidRPr="00951B40">
        <w:rPr>
          <w:rStyle w:val="aff"/>
          <w:rFonts w:ascii="Times New Roman" w:hAnsi="Times New Roman" w:cs="Times New Roman"/>
          <w:color w:val="0070C0"/>
          <w:spacing w:val="0"/>
          <w:sz w:val="16"/>
          <w:szCs w:val="16"/>
        </w:rPr>
        <w:softHyphen/>
        <w:t>ная разработка АМО-З-НАТИ, испытыва</w:t>
      </w:r>
      <w:r w:rsidRPr="00951B40">
        <w:rPr>
          <w:rStyle w:val="aff"/>
          <w:rFonts w:ascii="Times New Roman" w:hAnsi="Times New Roman" w:cs="Times New Roman"/>
          <w:color w:val="0070C0"/>
          <w:spacing w:val="0"/>
          <w:sz w:val="16"/>
          <w:szCs w:val="16"/>
        </w:rPr>
        <w:softHyphen/>
        <w:t>лись в пробеге Москва - Минск - Москва. Спустя год завод приступил к изго</w:t>
      </w:r>
      <w:r w:rsidRPr="00951B40">
        <w:rPr>
          <w:rStyle w:val="aff"/>
          <w:rFonts w:ascii="Times New Roman" w:hAnsi="Times New Roman" w:cs="Times New Roman"/>
          <w:color w:val="0070C0"/>
          <w:spacing w:val="0"/>
          <w:sz w:val="16"/>
          <w:szCs w:val="16"/>
        </w:rPr>
        <w:softHyphen/>
        <w:t>товлению опытной партии этих ма</w:t>
      </w:r>
      <w:r w:rsidRPr="00951B40">
        <w:rPr>
          <w:rStyle w:val="aff"/>
          <w:rFonts w:ascii="Times New Roman" w:hAnsi="Times New Roman" w:cs="Times New Roman"/>
          <w:color w:val="0070C0"/>
          <w:spacing w:val="0"/>
          <w:sz w:val="16"/>
          <w:szCs w:val="16"/>
        </w:rPr>
        <w:softHyphen/>
        <w:t>шин, получивших название ЗиС-6. В сентябре они участвовали в испыта</w:t>
      </w:r>
      <w:r w:rsidRPr="00951B40">
        <w:rPr>
          <w:rStyle w:val="aff"/>
          <w:rFonts w:ascii="Times New Roman" w:hAnsi="Times New Roman" w:cs="Times New Roman"/>
          <w:color w:val="0070C0"/>
          <w:spacing w:val="0"/>
          <w:sz w:val="16"/>
          <w:szCs w:val="16"/>
        </w:rPr>
        <w:softHyphen/>
        <w:t>тельном пробеге по маршруту Мос</w:t>
      </w:r>
      <w:r w:rsidRPr="00951B40">
        <w:rPr>
          <w:rStyle w:val="aff"/>
          <w:rFonts w:ascii="Times New Roman" w:hAnsi="Times New Roman" w:cs="Times New Roman"/>
          <w:color w:val="0070C0"/>
          <w:spacing w:val="0"/>
          <w:sz w:val="16"/>
          <w:szCs w:val="16"/>
        </w:rPr>
        <w:softHyphen/>
        <w:t>ква - Киев - Харьков - Москва, а в декабре началось их серийное произ</w:t>
      </w:r>
      <w:r w:rsidRPr="00951B40">
        <w:rPr>
          <w:rStyle w:val="aff"/>
          <w:rFonts w:ascii="Times New Roman" w:hAnsi="Times New Roman" w:cs="Times New Roman"/>
          <w:color w:val="0070C0"/>
          <w:spacing w:val="0"/>
          <w:sz w:val="16"/>
          <w:szCs w:val="16"/>
        </w:rPr>
        <w:softHyphen/>
        <w:t>водство. Всего за 1933 год изготови</w:t>
      </w:r>
      <w:r w:rsidRPr="00951B40">
        <w:rPr>
          <w:rStyle w:val="aff"/>
          <w:rFonts w:ascii="Times New Roman" w:hAnsi="Times New Roman" w:cs="Times New Roman"/>
          <w:color w:val="0070C0"/>
          <w:spacing w:val="0"/>
          <w:sz w:val="16"/>
          <w:szCs w:val="16"/>
        </w:rPr>
        <w:softHyphen/>
        <w:t>ли 20 экземпляров. После реконст</w:t>
      </w:r>
      <w:r w:rsidRPr="00951B40">
        <w:rPr>
          <w:rStyle w:val="aff"/>
          <w:rFonts w:ascii="Times New Roman" w:hAnsi="Times New Roman" w:cs="Times New Roman"/>
          <w:color w:val="0070C0"/>
          <w:spacing w:val="0"/>
          <w:sz w:val="16"/>
          <w:szCs w:val="16"/>
        </w:rPr>
        <w:softHyphen/>
        <w:t>рукции завода производство ЗиС-6 возросло. Наиболее продуктивным был 1939 год, когда изготовили 4460 трехосных автомашин. До дня эваку</w:t>
      </w:r>
      <w:r w:rsidRPr="00951B40">
        <w:rPr>
          <w:rStyle w:val="aff"/>
          <w:rFonts w:ascii="Times New Roman" w:hAnsi="Times New Roman" w:cs="Times New Roman"/>
          <w:color w:val="0070C0"/>
          <w:spacing w:val="0"/>
          <w:sz w:val="16"/>
          <w:szCs w:val="16"/>
        </w:rPr>
        <w:softHyphen/>
        <w:t>ации завода, 16.10.1941, было выпу</w:t>
      </w:r>
      <w:r w:rsidRPr="00951B40">
        <w:rPr>
          <w:rStyle w:val="aff"/>
          <w:rFonts w:ascii="Times New Roman" w:hAnsi="Times New Roman" w:cs="Times New Roman"/>
          <w:color w:val="0070C0"/>
          <w:spacing w:val="0"/>
          <w:sz w:val="16"/>
          <w:szCs w:val="16"/>
        </w:rPr>
        <w:softHyphen/>
        <w:t>щено 21239 ЗиС-6 (25777).</w:t>
      </w:r>
    </w:p>
    <w:p w14:paraId="1863625B" w14:textId="77777777" w:rsidR="00900AA0" w:rsidRPr="00951B40" w:rsidRDefault="00900AA0" w:rsidP="00900AA0">
      <w:pPr>
        <w:spacing w:after="0" w:line="240" w:lineRule="auto"/>
        <w:jc w:val="both"/>
        <w:rPr>
          <w:rFonts w:ascii="Times New Roman" w:hAnsi="Times New Roman"/>
          <w:color w:val="0070C0"/>
          <w:sz w:val="16"/>
          <w:szCs w:val="16"/>
        </w:rPr>
      </w:pPr>
    </w:p>
    <w:p w14:paraId="2BD8829D"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C178C7D"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E756DE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июля 1933 Челюскин, построенный Копенгагене (7000 т водоизмещения), прибыл в Ленинград и в августе 1933 - отправился (67,63).</w:t>
      </w:r>
    </w:p>
    <w:p w14:paraId="1A051BB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51061B0B"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За рубежом:</w:t>
      </w:r>
    </w:p>
    <w:p w14:paraId="724858B9"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C80A857"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июля 1933 Лев Троцкий, изгнанный из СССР, прибыл в Марсель (4962).</w:t>
      </w:r>
    </w:p>
    <w:p w14:paraId="4EC70A9D"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EF1049"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июля 1933 немецкие нацисты объявили о введении программы стерилизации для инвалидов (4962).</w:t>
      </w:r>
    </w:p>
    <w:p w14:paraId="2250A5E6"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AF9392E"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6135E46"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0145EA1"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июля 1933 года закончились войсковые испытания вооруженного самолета У-2 М-11, которые проходили в Борисоглебской школе с 23 июня 1933 (6644).</w:t>
      </w:r>
    </w:p>
    <w:p w14:paraId="287EE6A2"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2762ABC6"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7 сектора Калилец</w:t>
      </w:r>
    </w:p>
    <w:p w14:paraId="0F6480A8"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w:t>
      </w:r>
    </w:p>
    <w:p w14:paraId="1DA86993"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Агеев</w:t>
      </w:r>
    </w:p>
    <w:p w14:paraId="60E6FD40"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Чугунов</w:t>
      </w:r>
    </w:p>
    <w:p w14:paraId="188E59B8"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281496AD"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летно-тактические и эксплуатационные данные вооруженного самолета У-2, исходя из возможности использования его для боевой и тактической подготовки летного состава (летчиков и летчиков-наблюдателей).</w:t>
      </w:r>
    </w:p>
    <w:p w14:paraId="38E5327B"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4BCE6509"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возможным после устранения дефектов вооруженный самолет У-2 допустить к серийному производству.</w:t>
      </w:r>
    </w:p>
    <w:p w14:paraId="4806E7A1"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испытаний</w:t>
      </w:r>
    </w:p>
    <w:p w14:paraId="4BF0F1C4"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испытаниях принимали участие 3 самолета У-2 М-11 2-ой Борисоглебской Школы летчиков (6644).</w:t>
      </w:r>
    </w:p>
    <w:p w14:paraId="7577C3B7"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9C49AE"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июля 1933 состоялось второе заседание первой партийно-технической конференции КОСОС ЦАГИ, которая началась 14 июля 1933 (1072).</w:t>
      </w:r>
    </w:p>
    <w:p w14:paraId="1CC357FA"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0D12DB67"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июля 1933, выступая на 1-й партийно-технической конференции КОСОС ЦАГИ «По ов</w:t>
      </w:r>
      <w:r w:rsidRPr="0044524F">
        <w:rPr>
          <w:rFonts w:ascii="Times New Roman" w:hAnsi="Times New Roman"/>
          <w:color w:val="000000" w:themeColor="text1"/>
          <w:sz w:val="16"/>
          <w:szCs w:val="16"/>
        </w:rPr>
        <w:softHyphen/>
        <w:t>ладению техникой», П.О. Сухой доложил о работе бригады над новыми проектами:</w:t>
      </w:r>
    </w:p>
    <w:p w14:paraId="2777C022"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..Прежде всего, я остановлюсь на самолёте И-14 ...Мы видим, что в среднем моно</w:t>
      </w:r>
      <w:r w:rsidRPr="0044524F">
        <w:rPr>
          <w:rFonts w:ascii="Times New Roman" w:hAnsi="Times New Roman"/>
          <w:color w:val="000000" w:themeColor="text1"/>
          <w:sz w:val="16"/>
          <w:szCs w:val="16"/>
        </w:rPr>
        <w:softHyphen/>
        <w:t>планы занимают (во всем мире) — около 40% и после 1932 года мы имеем резкое по</w:t>
      </w:r>
      <w:r w:rsidRPr="0044524F">
        <w:rPr>
          <w:rFonts w:ascii="Times New Roman" w:hAnsi="Times New Roman"/>
          <w:color w:val="000000" w:themeColor="text1"/>
          <w:sz w:val="16"/>
          <w:szCs w:val="16"/>
        </w:rPr>
        <w:softHyphen/>
        <w:t xml:space="preserve">вышение монопланов до 78%. Надо думать, что повышение процента находится, </w:t>
      </w:r>
      <w:r w:rsidRPr="0044524F">
        <w:rPr>
          <w:rStyle w:val="aff8"/>
          <w:rFonts w:ascii="Times New Roman" w:hAnsi="Times New Roman" w:cs="Times New Roman"/>
          <w:b w:val="0"/>
          <w:color w:val="000000" w:themeColor="text1"/>
          <w:spacing w:val="0"/>
          <w:sz w:val="16"/>
          <w:szCs w:val="16"/>
        </w:rPr>
        <w:t xml:space="preserve">130 </w:t>
      </w:r>
      <w:r w:rsidRPr="0044524F">
        <w:rPr>
          <w:rFonts w:ascii="Times New Roman" w:hAnsi="Times New Roman"/>
          <w:color w:val="000000" w:themeColor="text1"/>
          <w:sz w:val="16"/>
          <w:szCs w:val="16"/>
        </w:rPr>
        <w:t>главным образом, в зависимости от развития французской авиации. По-видимому, в так</w:t>
      </w:r>
      <w:r w:rsidRPr="0044524F">
        <w:rPr>
          <w:rFonts w:ascii="Times New Roman" w:hAnsi="Times New Roman"/>
          <w:color w:val="000000" w:themeColor="text1"/>
          <w:sz w:val="16"/>
          <w:szCs w:val="16"/>
        </w:rPr>
        <w:softHyphen/>
        <w:t>тике Франции произошел резкий перелом в сторону производства типов моноплана.</w:t>
      </w:r>
    </w:p>
    <w:p w14:paraId="3812974B"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посмотреть распределение по странам, то мы видим: на 1931 год, примерно, монопланов было 75% и на первом месте стоит Франция и, наоборот, на первом ме</w:t>
      </w:r>
      <w:r w:rsidRPr="0044524F">
        <w:rPr>
          <w:rFonts w:ascii="Times New Roman" w:hAnsi="Times New Roman"/>
          <w:color w:val="000000" w:themeColor="text1"/>
          <w:sz w:val="16"/>
          <w:szCs w:val="16"/>
        </w:rPr>
        <w:softHyphen/>
        <w:t>сте по производству бипланов находится Италия; дальше идёт Англия; все другие стра</w:t>
      </w:r>
      <w:r w:rsidRPr="0044524F">
        <w:rPr>
          <w:rFonts w:ascii="Times New Roman" w:hAnsi="Times New Roman"/>
          <w:color w:val="000000" w:themeColor="text1"/>
          <w:sz w:val="16"/>
          <w:szCs w:val="16"/>
        </w:rPr>
        <w:softHyphen/>
        <w:t>ны занимают промежуточные места.</w:t>
      </w:r>
    </w:p>
    <w:p w14:paraId="3C42E1E7"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Настоящая схема самолёта И-14 является первой, потому что до сего времени бом</w:t>
      </w:r>
      <w:r w:rsidRPr="0044524F">
        <w:rPr>
          <w:rFonts w:ascii="Times New Roman" w:hAnsi="Times New Roman"/>
          <w:color w:val="000000" w:themeColor="text1"/>
          <w:sz w:val="16"/>
          <w:szCs w:val="16"/>
        </w:rPr>
        <w:softHyphen/>
        <w:t>бардировочных типов самолётов истребителей у нас не было. И когда в 1932 году стал вопрос относительно схемы, то Андрею Николаевичу (Туполеву) пришлось выдержать оп</w:t>
      </w:r>
      <w:r w:rsidRPr="0044524F">
        <w:rPr>
          <w:rFonts w:ascii="Times New Roman" w:hAnsi="Times New Roman"/>
          <w:color w:val="000000" w:themeColor="text1"/>
          <w:sz w:val="16"/>
          <w:szCs w:val="16"/>
        </w:rPr>
        <w:softHyphen/>
        <w:t>ределённый напор со стороны УВВС, которые предлагали изменение и улучшение само</w:t>
      </w:r>
      <w:r w:rsidRPr="0044524F">
        <w:rPr>
          <w:rFonts w:ascii="Times New Roman" w:hAnsi="Times New Roman"/>
          <w:color w:val="000000" w:themeColor="text1"/>
          <w:sz w:val="16"/>
          <w:szCs w:val="16"/>
        </w:rPr>
        <w:softHyphen/>
        <w:t>лёта И-5, и только определенное давление А.Н. заставило точку зрения НИИ ВВС изме</w:t>
      </w:r>
      <w:r w:rsidRPr="0044524F">
        <w:rPr>
          <w:rFonts w:ascii="Times New Roman" w:hAnsi="Times New Roman"/>
          <w:color w:val="000000" w:themeColor="text1"/>
          <w:sz w:val="16"/>
          <w:szCs w:val="16"/>
        </w:rPr>
        <w:softHyphen/>
        <w:t>нить и теперь, когда мы подводим результаты, можно сказать, что по данной схеме мы совершенно определенно выгадали и попали на уровень мировых стран.</w:t>
      </w:r>
    </w:p>
    <w:p w14:paraId="6CE12399"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Теперь для того, чтобы сравнить наши самолёты с целым рядом заграничных самолё</w:t>
      </w:r>
      <w:r w:rsidRPr="0044524F">
        <w:rPr>
          <w:rFonts w:ascii="Times New Roman" w:hAnsi="Times New Roman"/>
          <w:color w:val="000000" w:themeColor="text1"/>
          <w:sz w:val="16"/>
          <w:szCs w:val="16"/>
        </w:rPr>
        <w:softHyphen/>
        <w:t>тов, мы выбрали 27 лучших мировых самолётов: 5 английских, 10 французских, 3 амери</w:t>
      </w:r>
      <w:r w:rsidRPr="0044524F">
        <w:rPr>
          <w:rFonts w:ascii="Times New Roman" w:hAnsi="Times New Roman"/>
          <w:color w:val="000000" w:themeColor="text1"/>
          <w:sz w:val="16"/>
          <w:szCs w:val="16"/>
        </w:rPr>
        <w:softHyphen/>
        <w:t>канских, 2 польских и по 1-2 самолётам других стран.</w:t>
      </w:r>
    </w:p>
    <w:p w14:paraId="141F85C4"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сравнения с И-14 были положены расчётные данные. Те испытания, которые проведены на сегодняшний день, показали нам, что есть полное основание считать, что расчётные лётные данные у нас полностью совпадают с данными, полученными в по</w:t>
      </w:r>
      <w:r w:rsidRPr="0044524F">
        <w:rPr>
          <w:rFonts w:ascii="Times New Roman" w:hAnsi="Times New Roman"/>
          <w:color w:val="000000" w:themeColor="text1"/>
          <w:sz w:val="16"/>
          <w:szCs w:val="16"/>
        </w:rPr>
        <w:softHyphen/>
        <w:t>лёте. Есть указание на некоторое превышение, но, во всяком случае, поскольку сей</w:t>
      </w:r>
      <w:r w:rsidRPr="0044524F">
        <w:rPr>
          <w:rFonts w:ascii="Times New Roman" w:hAnsi="Times New Roman"/>
          <w:color w:val="000000" w:themeColor="text1"/>
          <w:sz w:val="16"/>
          <w:szCs w:val="16"/>
        </w:rPr>
        <w:softHyphen/>
        <w:t>час мы полных полётных данных не имеем, мы базируемся на данных расчётных, учитывая то, что коррективы могут быть только в сторону улучшения...</w:t>
      </w:r>
    </w:p>
    <w:p w14:paraId="185B7A4F"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Переходя к скороподъёмности, мы видим, что по сравнению с перечисленными са</w:t>
      </w:r>
      <w:r w:rsidRPr="0044524F">
        <w:rPr>
          <w:rFonts w:ascii="Times New Roman" w:hAnsi="Times New Roman"/>
          <w:color w:val="000000" w:themeColor="text1"/>
          <w:sz w:val="16"/>
          <w:szCs w:val="16"/>
        </w:rPr>
        <w:softHyphen/>
        <w:t>молётами И-14 стоит выше. Мы имеем 7</w:t>
      </w:r>
      <w:r w:rsidRPr="0044524F">
        <w:rPr>
          <w:rFonts w:ascii="Times New Roman" w:hAnsi="Times New Roman"/>
          <w:color w:val="000000" w:themeColor="text1"/>
          <w:sz w:val="16"/>
          <w:szCs w:val="16"/>
          <w:vertAlign w:val="superscript"/>
        </w:rPr>
        <w:t>1</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vertAlign w:val="subscript"/>
        </w:rPr>
        <w:t>4</w:t>
      </w:r>
      <w:r w:rsidRPr="0044524F">
        <w:rPr>
          <w:rFonts w:ascii="Times New Roman" w:hAnsi="Times New Roman"/>
          <w:color w:val="000000" w:themeColor="text1"/>
          <w:sz w:val="16"/>
          <w:szCs w:val="16"/>
        </w:rPr>
        <w:t xml:space="preserve"> минуты в среднем...</w:t>
      </w:r>
    </w:p>
    <w:p w14:paraId="086FF4D5"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практическому потолку — с 1930 года, с переходом на моторы с воздушным ох</w:t>
      </w:r>
      <w:r w:rsidRPr="0044524F">
        <w:rPr>
          <w:rFonts w:ascii="Times New Roman" w:hAnsi="Times New Roman"/>
          <w:color w:val="000000" w:themeColor="text1"/>
          <w:sz w:val="16"/>
          <w:szCs w:val="16"/>
        </w:rPr>
        <w:softHyphen/>
        <w:t>лаждением — мы имеем резкое повышение потолка...</w:t>
      </w:r>
    </w:p>
    <w:p w14:paraId="4A103179"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только с посадочной скоростью мы имеем худшее положение: посадочная ско</w:t>
      </w:r>
      <w:r w:rsidRPr="0044524F">
        <w:rPr>
          <w:rFonts w:ascii="Times New Roman" w:hAnsi="Times New Roman"/>
          <w:color w:val="000000" w:themeColor="text1"/>
          <w:sz w:val="16"/>
          <w:szCs w:val="16"/>
        </w:rPr>
        <w:softHyphen/>
        <w:t>рость И-14 лежит на 10% выше той посадочной скорости, которая имеется на загра</w:t>
      </w:r>
      <w:r w:rsidRPr="0044524F">
        <w:rPr>
          <w:rFonts w:ascii="Times New Roman" w:hAnsi="Times New Roman"/>
          <w:color w:val="000000" w:themeColor="text1"/>
          <w:sz w:val="16"/>
          <w:szCs w:val="16"/>
        </w:rPr>
        <w:softHyphen/>
        <w:t>ничных самолетах, но нами приняты меры, чтобы её уменьшить и на дублере она уже не должна превзойти намеченной средней...</w:t>
      </w:r>
    </w:p>
    <w:p w14:paraId="6A46BB3B"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если мы будем идти по пути развития монопланов и по пути... уве</w:t>
      </w:r>
      <w:r w:rsidRPr="0044524F">
        <w:rPr>
          <w:rFonts w:ascii="Times New Roman" w:hAnsi="Times New Roman"/>
          <w:color w:val="000000" w:themeColor="text1"/>
          <w:sz w:val="16"/>
          <w:szCs w:val="16"/>
        </w:rPr>
        <w:softHyphen/>
        <w:t>личения нагрузки на квадратный метр, посадочная скорость всё ж таки будет расти, ес</w:t>
      </w:r>
      <w:r w:rsidRPr="0044524F">
        <w:rPr>
          <w:rFonts w:ascii="Times New Roman" w:hAnsi="Times New Roman"/>
          <w:color w:val="000000" w:themeColor="text1"/>
          <w:sz w:val="16"/>
          <w:szCs w:val="16"/>
        </w:rPr>
        <w:softHyphen/>
        <w:t>ли не будет принят ряд мероприятий для её уменьшения.</w:t>
      </w:r>
    </w:p>
    <w:p w14:paraId="3689C331"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 общем нужно сказать, что данные И-14, по сравнению с заграничными самолё</w:t>
      </w:r>
      <w:r w:rsidRPr="0044524F">
        <w:rPr>
          <w:rFonts w:ascii="Times New Roman" w:hAnsi="Times New Roman"/>
          <w:color w:val="000000" w:themeColor="text1"/>
          <w:sz w:val="16"/>
          <w:szCs w:val="16"/>
        </w:rPr>
        <w:softHyphen/>
        <w:t>тами, — выше, за исключением посадочной скорости...</w:t>
      </w:r>
    </w:p>
    <w:p w14:paraId="5E11F2D6"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Теперь, что можно предложить для увеличения качества этой машины (И-14):</w:t>
      </w:r>
    </w:p>
    <w:p w14:paraId="719DD2E2" w14:textId="77777777" w:rsidR="00B4520E" w:rsidRPr="0044524F" w:rsidRDefault="00B4520E" w:rsidP="009654CF">
      <w:pPr>
        <w:numPr>
          <w:ilvl w:val="0"/>
          <w:numId w:val="457"/>
        </w:numPr>
        <w:tabs>
          <w:tab w:val="left" w:pos="236"/>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уменьшение посадочной скорости за счёт установки металлического воздушного винта;</w:t>
      </w:r>
    </w:p>
    <w:p w14:paraId="4EB00B75" w14:textId="77777777" w:rsidR="00B4520E" w:rsidRPr="0044524F" w:rsidRDefault="00B4520E" w:rsidP="009654CF">
      <w:pPr>
        <w:numPr>
          <w:ilvl w:val="0"/>
          <w:numId w:val="457"/>
        </w:numPr>
        <w:tabs>
          <w:tab w:val="left" w:pos="255"/>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отделка поверхности, т.е. окраска;</w:t>
      </w:r>
    </w:p>
    <w:p w14:paraId="52B45BF3" w14:textId="77777777" w:rsidR="00B4520E" w:rsidRPr="0044524F" w:rsidRDefault="00B4520E" w:rsidP="009654CF">
      <w:pPr>
        <w:numPr>
          <w:ilvl w:val="0"/>
          <w:numId w:val="457"/>
        </w:numPr>
        <w:tabs>
          <w:tab w:val="left" w:pos="255"/>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аккуратное и качественное выполнение поверхности самолёта в производстве...» (15823).</w:t>
      </w:r>
    </w:p>
    <w:p w14:paraId="6C3847F3" w14:textId="77777777" w:rsidR="00B4520E" w:rsidRPr="0044524F" w:rsidRDefault="00B4520E" w:rsidP="009654CF">
      <w:pPr>
        <w:spacing w:after="0" w:line="240" w:lineRule="auto"/>
        <w:jc w:val="both"/>
        <w:rPr>
          <w:rFonts w:ascii="Times New Roman" w:hAnsi="Times New Roman"/>
          <w:color w:val="000000" w:themeColor="text1"/>
          <w:sz w:val="16"/>
          <w:szCs w:val="16"/>
        </w:rPr>
      </w:pPr>
    </w:p>
    <w:p w14:paraId="462D2AD7"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26 июля 1933 в своем выступлении на 1-ой партийно-технической конференции КОСОС ЦАГИ «По овладению техникой» П. О. Сухой доложил о работе бригады над новыми проектами:</w:t>
      </w:r>
    </w:p>
    <w:p w14:paraId="4DD153CB"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 Прежде всего, я остановлюсь на самолете И-14. …Мы видим, что в среднем монопланы занимают (во всем мире) – около 40% и после 1932 года мы имеем резкое повышение монопланов до 78%. Надо думать, что повышение процента находится, главным образом, в зависимости от развития французской авиации. По-видимому, в тактике Франции произошел резкий перелом в сторону производства типов моноплана.</w:t>
      </w:r>
    </w:p>
    <w:p w14:paraId="72887CD7"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Если посмотреть распределение по странам, то мы видим: на 1931 год, примерно, монопланов было 75% и на первом месте стоит Франция и, наоборот, на первом месте по производству бипланов находится Италия; дальше идет Англия; все другие страны занимают промежуточные места.</w:t>
      </w:r>
    </w:p>
    <w:p w14:paraId="792A4C19"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Настоящая схема самолета И-14 является первой, потому что до сего времени бомбардировочных типов самолетов истребителей у нас не было. И когда в 1932 году стал вопрос относительно схемы, то Андрею Николаевичу (Туполеву) пришлось выдержать определенный напор со стороны УВВС, которые предлагали изменение и улучшение самолета И-5, и только определенное давление А.Н. заставило точку зрения НИИ ВВС изменить и теперь, когда мы подводим результаты, можно сказать, что по данной схеме мы совершенно определенно выгадали и попали на уровень мировых стран.</w:t>
      </w:r>
    </w:p>
    <w:p w14:paraId="66B64EFE"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Теперь для того, чтобы сравнить наши самолеты с целым рядом заграничных самолетов, мы выбрали 27 лучших мировых самолетов: 5 английских, 10 французских, 3 американских, 2 польских и по 1-2 самолетам других стран.</w:t>
      </w:r>
    </w:p>
    <w:p w14:paraId="7B016679"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Для сравнения с И-14 были положены расчетные данные. Те испытания, которые проведены на сегодняшний день, показали нам, что есть полное основание считать, что расчетные летные данные у нас полностью совпадают с данными, полученными в полете. Есть указание на некоторое превышение, но во всяком случае, поскольку сейчас мы полных полетных данных не имеем, мы базируемся на данных расчетных, учитывая то, что коррективы могут быть только в сторону улучшения. …</w:t>
      </w:r>
    </w:p>
    <w:p w14:paraId="7FC527FD"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Переходя к скороподъемности, мы видим, что по сравнению с перечисленными самолетами И-14 стоит выше. Мы имеем 7 минут в среднем. …</w:t>
      </w:r>
    </w:p>
    <w:p w14:paraId="499C14D0"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По практическому потолку – с 1930 года, с переходом на моторы с воздушным охлаждением – мы имеем резкое повышение потолка. …</w:t>
      </w:r>
    </w:p>
    <w:p w14:paraId="03D74BCE"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И только с посадочной скоростью мы имеем худшее положение: посадочная скорость И-14 лежит на 10% выше той посадочной скорости, которая имеется на заграничных самолетах, но нами приняты меры, чтобы ее уменьшить и на дублере она уже не должна превзойти намеченной средней. …</w:t>
      </w:r>
    </w:p>
    <w:p w14:paraId="7583C1F3"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Таким образом, если мы будем идти по пути развития монопланов и по пути … увеличения нагрузки на квадратный метр, посадочная скорость все ж таки будет расти, если не будет принят ряд мероприятий для ее уменьшения.</w:t>
      </w:r>
    </w:p>
    <w:p w14:paraId="5AB4763F"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А в общем нужно сказать, что данные И-14, по сравнению с заграничными самолетами, – выше, за исключением посадочной скорости. …</w:t>
      </w:r>
    </w:p>
    <w:p w14:paraId="5829292D"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Теперь, что можно предложить для увеличения качества этой машины (И-14):</w:t>
      </w:r>
    </w:p>
    <w:p w14:paraId="3E1D7877"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 уменьшение посадочной скорости за счет установки металлического воздушного винта;</w:t>
      </w:r>
    </w:p>
    <w:p w14:paraId="0BA35443"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 отделка поверхности, т.е. окраска;</w:t>
      </w:r>
    </w:p>
    <w:p w14:paraId="13E43874" w14:textId="77777777" w:rsidR="002D74CC" w:rsidRPr="0044524F" w:rsidRDefault="002D74CC" w:rsidP="009654CF">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44524F">
        <w:rPr>
          <w:rStyle w:val="af0"/>
          <w:i w:val="0"/>
          <w:color w:val="000000" w:themeColor="text1"/>
          <w:sz w:val="16"/>
          <w:szCs w:val="16"/>
          <w:bdr w:val="none" w:sz="0" w:space="0" w:color="auto" w:frame="1"/>
        </w:rPr>
        <w:t>— аккуратное и качественное выполнение поверхности самолета в производстве. …» (19177).</w:t>
      </w:r>
    </w:p>
    <w:p w14:paraId="355670C4" w14:textId="77777777" w:rsidR="002D74CC" w:rsidRPr="0044524F" w:rsidRDefault="002D74CC" w:rsidP="009654CF">
      <w:pPr>
        <w:pStyle w:val="ae"/>
        <w:shd w:val="clear" w:color="auto" w:fill="FFFFFF"/>
        <w:spacing w:before="0" w:after="0"/>
        <w:jc w:val="both"/>
        <w:textAlignment w:val="baseline"/>
        <w:rPr>
          <w:color w:val="000000" w:themeColor="text1"/>
          <w:sz w:val="16"/>
          <w:szCs w:val="16"/>
        </w:rPr>
      </w:pPr>
    </w:p>
    <w:p w14:paraId="5030D2A3" w14:textId="77777777" w:rsidR="00B4520E" w:rsidRPr="0044524F" w:rsidRDefault="00B4520E" w:rsidP="009654CF">
      <w:pPr>
        <w:pStyle w:val="rtejustify"/>
        <w:spacing w:before="0" w:after="0"/>
        <w:rPr>
          <w:color w:val="000000" w:themeColor="text1"/>
          <w:sz w:val="16"/>
          <w:szCs w:val="16"/>
        </w:rPr>
      </w:pPr>
      <w:r w:rsidRPr="0044524F">
        <w:rPr>
          <w:rStyle w:val="af0"/>
          <w:bCs/>
          <w:i w:val="0"/>
          <w:color w:val="000000" w:themeColor="text1"/>
          <w:sz w:val="16"/>
          <w:szCs w:val="16"/>
        </w:rPr>
        <w:t>26 июля</w:t>
      </w:r>
      <w:r w:rsidRPr="0044524F">
        <w:rPr>
          <w:color w:val="000000" w:themeColor="text1"/>
          <w:sz w:val="16"/>
          <w:szCs w:val="16"/>
        </w:rPr>
        <w:t xml:space="preserve"> 1933. Постановление СТО СССР № 65сс/о «О строительстве авиаремонтных заводов № 125 и 126». (ГА РФ. Ф. Р</w:t>
      </w:r>
      <w:r w:rsidRPr="0044524F">
        <w:rPr>
          <w:color w:val="000000" w:themeColor="text1"/>
          <w:sz w:val="16"/>
          <w:szCs w:val="16"/>
        </w:rPr>
        <w:noBreakHyphen/>
        <w:t>8418. Оп. 28. Д. 2. Л. 61</w:t>
      </w:r>
      <w:r w:rsidRPr="0044524F">
        <w:rPr>
          <w:color w:val="000000" w:themeColor="text1"/>
          <w:sz w:val="16"/>
          <w:szCs w:val="16"/>
        </w:rPr>
        <w:noBreakHyphen/>
        <w:t>62) (15460).</w:t>
      </w:r>
    </w:p>
    <w:p w14:paraId="7C0DA355" w14:textId="77777777" w:rsidR="00B4520E" w:rsidRPr="0044524F" w:rsidRDefault="00B4520E" w:rsidP="009654CF">
      <w:pPr>
        <w:pStyle w:val="rtejustify"/>
        <w:spacing w:before="0" w:after="0"/>
        <w:rPr>
          <w:color w:val="000000" w:themeColor="text1"/>
          <w:sz w:val="16"/>
          <w:szCs w:val="16"/>
        </w:rPr>
      </w:pPr>
    </w:p>
    <w:p w14:paraId="323FF834"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B21B456"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7103217"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26 июля по 15 августа 1933 был ликвидирован объект томка и в безвозмездное владение ЦВХП перешли все строения и оборудование - примерно на 50-60 тыс. золотых руб. Часть имущества попала в НИХО. Немцы смогли вывезти только личное имущество и пушки - два вагона и 4 платформы. 29 августа и 11 сентября покинуло пределы России по жд и через Ленинградский порт (6221).</w:t>
      </w:r>
    </w:p>
    <w:p w14:paraId="035E76F3"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A05EC8B" w14:textId="77777777" w:rsidR="002D74CC" w:rsidRPr="0044524F" w:rsidRDefault="002D74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26 июля по 15 августа 1933 менее чем за месяц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40–50 тыс. золотых руб. (18265). </w:t>
      </w:r>
    </w:p>
    <w:p w14:paraId="3050670A" w14:textId="77777777" w:rsidR="002D74CC" w:rsidRPr="0044524F" w:rsidRDefault="002D74CC" w:rsidP="009654CF">
      <w:pPr>
        <w:spacing w:after="0" w:line="240" w:lineRule="auto"/>
        <w:jc w:val="both"/>
        <w:rPr>
          <w:rFonts w:ascii="Times New Roman" w:hAnsi="Times New Roman"/>
          <w:color w:val="000000" w:themeColor="text1"/>
          <w:sz w:val="16"/>
          <w:szCs w:val="16"/>
        </w:rPr>
      </w:pPr>
    </w:p>
    <w:p w14:paraId="178DBC9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июля 1933 на ЗИС сделали первую ЗИС-5 (1069,68).</w:t>
      </w:r>
    </w:p>
    <w:p w14:paraId="3389553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3696B65C" w14:textId="77777777" w:rsidR="00F75FDE" w:rsidRPr="0044524F" w:rsidRDefault="00F75FD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июля 1933 - прекращение автозаводом выпуска автомобилей АМО-3 и АМО-4 и начало поточного выпуска двух новых моделей – ЗИС-5 (4х2) и трехосных ЗИС-6 (6х4) (17494).</w:t>
      </w:r>
    </w:p>
    <w:p w14:paraId="4EDEB4AC" w14:textId="77777777" w:rsidR="00F75FDE" w:rsidRPr="0044524F" w:rsidRDefault="00F75FDE" w:rsidP="009654CF">
      <w:pPr>
        <w:spacing w:after="0" w:line="240" w:lineRule="auto"/>
        <w:jc w:val="both"/>
        <w:rPr>
          <w:rFonts w:ascii="Times New Roman" w:hAnsi="Times New Roman"/>
          <w:color w:val="000000" w:themeColor="text1"/>
          <w:sz w:val="16"/>
          <w:szCs w:val="16"/>
        </w:rPr>
      </w:pPr>
    </w:p>
    <w:p w14:paraId="50C60EBD"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26 июля 1933 началась эвакуация германского персонала и части оборудования с объекта Томка, которая закончилась к 15 августа 1933 г. Во владении ЦВХМ безвозмездно перешли все строения, ангар, ме-мастерская со всем оборудованием, станками и к набором инструментов, наливная станция, электростанция и водокачка с новой моторной установкой, полнос</w:t>
      </w:r>
      <w:r w:rsidRPr="0044524F">
        <w:rPr>
          <w:rFonts w:ascii="Times New Roman" w:hAnsi="Times New Roman"/>
          <w:color w:val="000000" w:themeColor="text1"/>
          <w:sz w:val="16"/>
          <w:szCs w:val="16"/>
        </w:rPr>
        <w:softHyphen/>
        <w:t>тью обеспечивавшая работы в данном районе, гараж с 6 лег</w:t>
      </w:r>
      <w:r w:rsidRPr="0044524F">
        <w:rPr>
          <w:rFonts w:ascii="Times New Roman" w:hAnsi="Times New Roman"/>
          <w:color w:val="000000" w:themeColor="text1"/>
          <w:sz w:val="16"/>
          <w:szCs w:val="16"/>
        </w:rPr>
        <w:softHyphen/>
        <w:t>ковыми и 3 грузовыми автомобилями и тягачом, оборудова</w:t>
      </w:r>
      <w:r w:rsidRPr="0044524F">
        <w:rPr>
          <w:rFonts w:ascii="Times New Roman" w:hAnsi="Times New Roman"/>
          <w:color w:val="000000" w:themeColor="text1"/>
          <w:sz w:val="16"/>
          <w:szCs w:val="16"/>
        </w:rPr>
        <w:softHyphen/>
        <w:t>ние походной снаряжательной мастерской, химическая лабо</w:t>
      </w:r>
      <w:r w:rsidRPr="0044524F">
        <w:rPr>
          <w:rFonts w:ascii="Times New Roman" w:hAnsi="Times New Roman"/>
          <w:color w:val="000000" w:themeColor="text1"/>
          <w:sz w:val="16"/>
          <w:szCs w:val="16"/>
        </w:rPr>
        <w:softHyphen/>
        <w:t>ратория, дегазационная мастерская, казино, технические мастерские, реактивы, хозяйственные принадлежности и др; По приблизительным подсчетам стоимость оставленного нем</w:t>
      </w:r>
      <w:r w:rsidRPr="0044524F">
        <w:rPr>
          <w:rFonts w:ascii="Times New Roman" w:hAnsi="Times New Roman"/>
          <w:color w:val="000000" w:themeColor="text1"/>
          <w:sz w:val="16"/>
          <w:szCs w:val="16"/>
        </w:rPr>
        <w:softHyphen/>
        <w:t>цами имущества оценивалась в 40—50 тыс. золотых рублей. СССР была приобретена у “друзей” опытная боевая химичес</w:t>
      </w:r>
      <w:r w:rsidRPr="0044524F">
        <w:rPr>
          <w:rFonts w:ascii="Times New Roman" w:hAnsi="Times New Roman"/>
          <w:color w:val="000000" w:themeColor="text1"/>
          <w:sz w:val="16"/>
          <w:szCs w:val="16"/>
        </w:rPr>
        <w:softHyphen/>
        <w:t>кая машина крупповского образца за 5 тыс. рублей (советс</w:t>
      </w:r>
      <w:r w:rsidRPr="0044524F">
        <w:rPr>
          <w:rFonts w:ascii="Times New Roman" w:hAnsi="Times New Roman"/>
          <w:color w:val="000000" w:themeColor="text1"/>
          <w:sz w:val="16"/>
          <w:szCs w:val="16"/>
        </w:rPr>
        <w:softHyphen/>
        <w:t>кими дензнаками), по утверждению немцев она им обошлась в 15 тыс. марок (10670,176).</w:t>
      </w:r>
    </w:p>
    <w:p w14:paraId="593043D9"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BA7B7D8" w14:textId="77777777" w:rsidR="00264DA9"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5C44B568"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2F02BC0"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июля — 15 августа 1933 менее чем за месяц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 (11784).</w:t>
      </w:r>
    </w:p>
    <w:p w14:paraId="62CB3DD7"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2A1039D2"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B870987"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6854A8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июля 1933 машина Дорнье Дорнье "Валь" СССР-Н9 - Заводской № 238, двигатели - 2 М-17 (так в документе), дата присвоения опознавательного знака с литерой "Н" - 22.08.33 г. более совершенной конструкции, принятая 23-го июня 1933 г. приемочной комиссией советского торгпредства, вылетела в Ленинград, где должна была проходить испытания. Окончание испытаний планировалось на 1 сентября, после чего самолет должен был отправиться в Карское море для ледовой разведки и вывозки пушнины с дальних пунктов. Первый сезон эксплуатации СССР-Н9 оказался неудачным по причине поломки двигателя в бухте Пойндте. Необходимо было заменить два поршня кормового мотора. На выручку экипажа 10-го сентября с запасными частями прибыл "Валь" СССР-Н2. Предполагалось лететь на базу на одном моторе, но за час до взлета у бортмеханика возникло подозрение еще и на задир поршней носового мотора. Перелет на базу был отставлен, и самолет погрузили на борт подошедшего судна (11970).</w:t>
      </w:r>
    </w:p>
    <w:p w14:paraId="1288BF4A"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231F2DBC"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27 июля в 1933 году первый полёт экспериментального самолёта Р.Л.Бартини </w:t>
      </w:r>
      <w:hyperlink r:id="rId273" w:tgtFrame="_blank" w:history="1">
        <w:r w:rsidRPr="0044524F">
          <w:rPr>
            <w:rFonts w:ascii="Times New Roman" w:hAnsi="Times New Roman"/>
            <w:color w:val="000000" w:themeColor="text1"/>
            <w:sz w:val="16"/>
            <w:szCs w:val="16"/>
          </w:rPr>
          <w:t xml:space="preserve">«Сталь-6» </w:t>
        </w:r>
      </w:hyperlink>
      <w:r w:rsidRPr="0044524F">
        <w:rPr>
          <w:rFonts w:ascii="Times New Roman" w:hAnsi="Times New Roman"/>
          <w:color w:val="000000" w:themeColor="text1"/>
          <w:sz w:val="16"/>
          <w:szCs w:val="16"/>
        </w:rPr>
        <w:t>с испарительным охлаждением и одноколёсным убирающимся шасси, лётчик-испытатель А.Б.Юмашев (14965).</w:t>
      </w:r>
    </w:p>
    <w:p w14:paraId="7E2A5372" w14:textId="77777777" w:rsidR="00B4520E" w:rsidRPr="0044524F" w:rsidRDefault="00B4520E" w:rsidP="009654CF">
      <w:pPr>
        <w:spacing w:after="0" w:line="240" w:lineRule="auto"/>
        <w:jc w:val="both"/>
        <w:rPr>
          <w:rFonts w:ascii="Times New Roman" w:hAnsi="Times New Roman"/>
          <w:color w:val="000000" w:themeColor="text1"/>
          <w:sz w:val="16"/>
          <w:szCs w:val="16"/>
        </w:rPr>
      </w:pPr>
    </w:p>
    <w:p w14:paraId="38D02790" w14:textId="77777777" w:rsidR="00F75FDE" w:rsidRPr="0044524F" w:rsidRDefault="00F75FD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27 июля 1933 г. лётчик-испытатель НИИ ВВС А.Б. Юмашев начал рулёжки и подлёты на «Сталь-6». Из-за повреждения подкрыльевых костылей испытания продолжили в середине августа (17489).</w:t>
      </w:r>
    </w:p>
    <w:p w14:paraId="248A8F90" w14:textId="77777777" w:rsidR="00F75FDE" w:rsidRPr="0044524F" w:rsidRDefault="00F75FDE" w:rsidP="009654CF">
      <w:pPr>
        <w:spacing w:after="0" w:line="240" w:lineRule="auto"/>
        <w:jc w:val="both"/>
        <w:rPr>
          <w:rFonts w:ascii="Times New Roman" w:eastAsia="Times New Roman" w:hAnsi="Times New Roman"/>
          <w:color w:val="000000" w:themeColor="text1"/>
          <w:sz w:val="16"/>
          <w:szCs w:val="16"/>
          <w:lang w:eastAsia="ru-RU"/>
        </w:rPr>
      </w:pPr>
    </w:p>
    <w:p w14:paraId="72B24F64"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июля 1933 г. лётчик-испытатель НИИ ВВС А.Б. Юмашев начал рулежки и подлёты на «Сталь-6». Из-за повреждения подкрыльевых костылей испытания продолжили в середине августа (15844).</w:t>
      </w:r>
    </w:p>
    <w:p w14:paraId="3D9CA57E"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«Сталь-6» был свободнонесущим монопланом очень обтекаемой формы. Силовой кар</w:t>
      </w:r>
      <w:r w:rsidRPr="0044524F">
        <w:rPr>
          <w:rFonts w:ascii="Times New Roman" w:hAnsi="Times New Roman"/>
          <w:color w:val="000000" w:themeColor="text1"/>
          <w:sz w:val="16"/>
          <w:szCs w:val="16"/>
        </w:rPr>
        <w:softHyphen/>
        <w:t xml:space="preserve">кас крыла, фюзеляжа и оперения — из стальных труб. Для снижения веса лонжероны крыла в виде пучка сваренных между собой хромомолибденовых труб сужались к концам за счёт постепенного уменьшения их числа: передний лонжерон у основания имел семь труб, затем </w:t>
      </w:r>
      <w:bookmarkStart w:id="37" w:name="bookmark26"/>
      <w:r w:rsidRPr="0044524F">
        <w:rPr>
          <w:rFonts w:ascii="Times New Roman" w:hAnsi="Times New Roman"/>
          <w:color w:val="000000" w:themeColor="text1"/>
          <w:sz w:val="16"/>
          <w:szCs w:val="16"/>
        </w:rPr>
        <w:t>пять, затем три, и на конце - одну. Задний лонжерон имел аналогичную конструкцию,</w:t>
      </w:r>
      <w:bookmarkEnd w:id="37"/>
      <w:r w:rsidRPr="0044524F">
        <w:rPr>
          <w:rStyle w:val="12pt70"/>
          <w:rFonts w:ascii="Times New Roman" w:eastAsia="Arial Unicode MS" w:hAnsi="Times New Roman" w:cs="Times New Roman"/>
          <w:color w:val="000000" w:themeColor="text1"/>
          <w:w w:val="100"/>
          <w:sz w:val="16"/>
          <w:szCs w:val="16"/>
        </w:rPr>
        <w:t>но начинался с пяти труб. Внутренние раскосы и ферменные нервюры крыла и опере</w:t>
      </w:r>
      <w:r w:rsidRPr="0044524F">
        <w:rPr>
          <w:rStyle w:val="12pt70"/>
          <w:rFonts w:ascii="Times New Roman" w:eastAsia="Arial Unicode MS" w:hAnsi="Times New Roman" w:cs="Times New Roman"/>
          <w:color w:val="000000" w:themeColor="text1"/>
          <w:w w:val="100"/>
          <w:sz w:val="16"/>
          <w:szCs w:val="16"/>
        </w:rPr>
        <w:softHyphen/>
      </w:r>
      <w:r w:rsidRPr="0044524F">
        <w:rPr>
          <w:rFonts w:ascii="Times New Roman" w:hAnsi="Times New Roman"/>
          <w:color w:val="000000" w:themeColor="text1"/>
          <w:sz w:val="16"/>
          <w:szCs w:val="16"/>
        </w:rPr>
        <w:t>ния крыла были из нержавеющей стали и крепились к лонжеронам точечной электрос</w:t>
      </w:r>
      <w:r w:rsidRPr="0044524F">
        <w:rPr>
          <w:rFonts w:ascii="Times New Roman" w:hAnsi="Times New Roman"/>
          <w:color w:val="000000" w:themeColor="text1"/>
          <w:sz w:val="16"/>
          <w:szCs w:val="16"/>
        </w:rPr>
        <w:softHyphen/>
        <w:t>варкой.</w:t>
      </w:r>
    </w:p>
    <w:p w14:paraId="3D85977C"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Технология электросварки обычной и нержавеющей стали различна: для соединения де</w:t>
      </w:r>
      <w:r w:rsidRPr="0044524F">
        <w:rPr>
          <w:rFonts w:ascii="Times New Roman" w:hAnsi="Times New Roman"/>
          <w:color w:val="000000" w:themeColor="text1"/>
          <w:sz w:val="16"/>
          <w:szCs w:val="16"/>
        </w:rPr>
        <w:softHyphen/>
        <w:t>талей из хромомолибденовой стали нужно использовать сравнительно слабый, но продол</w:t>
      </w:r>
      <w:r w:rsidRPr="0044524F">
        <w:rPr>
          <w:rFonts w:ascii="Times New Roman" w:hAnsi="Times New Roman"/>
          <w:color w:val="000000" w:themeColor="text1"/>
          <w:sz w:val="16"/>
          <w:szCs w:val="16"/>
        </w:rPr>
        <w:softHyphen/>
        <w:t>жительный нагрев, иначе сварная точка становилась хрупкой, а листовую нержавеющую сталь сваривали коротким сильным электрическим импульсом. Бартини и инженер С.М. Попов разработали специальный метод: сначала давали большой, но короткий ток, затем через реостат снижали нагрев до температуры, требуемой для сварки хромомолибденовых труб. Регулирование процесса, своевременные смены режимов были доверены автоматике (15844).</w:t>
      </w:r>
    </w:p>
    <w:p w14:paraId="4911392D"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Обшивку крыла выполнили из тонких листов нержавеющей стали, фюзеляжа - из фанеры, обтянутой перкалем, хвостовое оперение имело фанерную обшивку, а руле</w:t>
      </w:r>
      <w:r w:rsidRPr="0044524F">
        <w:rPr>
          <w:rFonts w:ascii="Times New Roman" w:hAnsi="Times New Roman"/>
          <w:color w:val="000000" w:themeColor="text1"/>
          <w:sz w:val="16"/>
          <w:szCs w:val="16"/>
        </w:rPr>
        <w:softHyphen/>
        <w:t>вые поверхности - полотняную. При изготовлении масляного бака применялся сплав электрон.</w:t>
      </w:r>
    </w:p>
    <w:p w14:paraId="34CB57FA"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Горизонтальный стабилизатор - переставной, с изменяемым углом установки на земле для регулировки продольной балансировки самолёта. В управление элеронами было вве</w:t>
      </w:r>
      <w:r w:rsidRPr="0044524F">
        <w:rPr>
          <w:rFonts w:ascii="Times New Roman" w:hAnsi="Times New Roman"/>
          <w:color w:val="000000" w:themeColor="text1"/>
          <w:sz w:val="16"/>
          <w:szCs w:val="16"/>
        </w:rPr>
        <w:softHyphen/>
        <w:t xml:space="preserve">дено устройство, позволяющее синхронно отклонять их вниз как закрылки на угол до 30°. Позднее такой тип элеронов назвали «флапероны» (от английских </w:t>
      </w:r>
      <w:r w:rsidRPr="0044524F">
        <w:rPr>
          <w:rFonts w:ascii="Times New Roman" w:hAnsi="Times New Roman"/>
          <w:color w:val="000000" w:themeColor="text1"/>
          <w:sz w:val="16"/>
          <w:szCs w:val="16"/>
          <w:lang w:val="en-US"/>
        </w:rPr>
        <w:t>flap</w:t>
      </w:r>
      <w:r w:rsidRPr="0044524F">
        <w:rPr>
          <w:rFonts w:ascii="Times New Roman" w:hAnsi="Times New Roman"/>
          <w:color w:val="000000" w:themeColor="text1"/>
          <w:sz w:val="16"/>
          <w:szCs w:val="16"/>
        </w:rPr>
        <w:t xml:space="preserve"> - закрылок и (</w:t>
      </w:r>
      <w:r w:rsidRPr="0044524F">
        <w:rPr>
          <w:rFonts w:ascii="Times New Roman" w:hAnsi="Times New Roman"/>
          <w:color w:val="000000" w:themeColor="text1"/>
          <w:sz w:val="16"/>
          <w:szCs w:val="16"/>
          <w:lang w:val="en-US"/>
        </w:rPr>
        <w:t>ail</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val="en-US"/>
        </w:rPr>
        <w:t>eron</w:t>
      </w:r>
      <w:r w:rsidRPr="0044524F">
        <w:rPr>
          <w:rFonts w:ascii="Times New Roman" w:hAnsi="Times New Roman"/>
          <w:color w:val="000000" w:themeColor="text1"/>
          <w:sz w:val="16"/>
          <w:szCs w:val="16"/>
        </w:rPr>
        <w:t xml:space="preserve"> - элерон).</w:t>
      </w:r>
    </w:p>
    <w:p w14:paraId="77FAE97C"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В.Б. Шавров пишет, что в системе управления рулями высоты имелась раздвижная ка</w:t>
      </w:r>
      <w:r w:rsidRPr="0044524F">
        <w:rPr>
          <w:rFonts w:ascii="Times New Roman" w:hAnsi="Times New Roman"/>
          <w:color w:val="000000" w:themeColor="text1"/>
          <w:sz w:val="16"/>
          <w:szCs w:val="16"/>
        </w:rPr>
        <w:softHyphen/>
        <w:t>чалка, длина которой могла регулироваться лётчиком, чтобы менять угол отклонения рулей в зависимости от скорости полёта. Бартини действительно изобрёл такое устройство («Способ улучшения управления на самолётах с большим диапазоном скорости», 1932 г.), однако, по-видимому, не установил его на самолёт, т. к. в весьма подробном отчёте по государственным испытаниям «Стали-6» упоминаний о нём нет.</w:t>
      </w:r>
    </w:p>
    <w:p w14:paraId="6FDC27D0"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водяного охлаждения мощностью 680 л.с. не имел привычного радиатора, его роль выполняла двойная металлическая обшивка крыла, соединённая электросваркой с применением пайки для герметизации. Вода, омывая цилиндры двигателя, испарялась, в виде пара попадала в пространство между слоями обшивки, охлаждаемая потоком возду</w:t>
      </w:r>
      <w:r w:rsidRPr="0044524F">
        <w:rPr>
          <w:rFonts w:ascii="Times New Roman" w:hAnsi="Times New Roman"/>
          <w:color w:val="000000" w:themeColor="text1"/>
          <w:sz w:val="16"/>
          <w:szCs w:val="16"/>
        </w:rPr>
        <w:softHyphen/>
        <w:t>ха конденсировалась и с помощью помпы возвращалась обратно к двигателю. Обшивка- конденсатор занимала всю верхнюю часть крыла и часть нижней поверхности от носка до переднего лонжерона. Маслобак также находился в крыле, масло охлаждалось той же самой остывшей в крыле водой.</w:t>
      </w:r>
    </w:p>
    <w:p w14:paraId="6BF05ACF"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Систему поверхностного крыльевого охлаждения впервые применили на итальянском гоночном гидросамолёте Мак- ки М.72 в 1931 г. Но «Сталь-6» строили, прежде всего, как прототип истребителя. Учиты</w:t>
      </w:r>
      <w:r w:rsidRPr="0044524F">
        <w:rPr>
          <w:rFonts w:ascii="Times New Roman" w:hAnsi="Times New Roman"/>
          <w:color w:val="000000" w:themeColor="text1"/>
          <w:sz w:val="16"/>
          <w:szCs w:val="16"/>
        </w:rPr>
        <w:softHyphen/>
        <w:t>вая уязвимость поверхностных радиаторов в боевых условиях. Бартини разделил их на 30 сек</w:t>
      </w:r>
      <w:r w:rsidRPr="0044524F">
        <w:rPr>
          <w:rFonts w:ascii="Times New Roman" w:hAnsi="Times New Roman"/>
          <w:color w:val="000000" w:themeColor="text1"/>
          <w:sz w:val="16"/>
          <w:szCs w:val="16"/>
        </w:rPr>
        <w:softHyphen/>
        <w:t>ций, закрыв щели между ними стальными лентами, а также установил резервный 19-литро</w:t>
      </w:r>
      <w:r w:rsidRPr="0044524F">
        <w:rPr>
          <w:rFonts w:ascii="Times New Roman" w:hAnsi="Times New Roman"/>
          <w:color w:val="000000" w:themeColor="text1"/>
          <w:sz w:val="16"/>
          <w:szCs w:val="16"/>
        </w:rPr>
        <w:softHyphen/>
        <w:t>вый бачок, соединённый с водя</w:t>
      </w:r>
      <w:r w:rsidRPr="0044524F">
        <w:rPr>
          <w:rFonts w:ascii="Times New Roman" w:hAnsi="Times New Roman"/>
          <w:color w:val="000000" w:themeColor="text1"/>
          <w:sz w:val="16"/>
          <w:szCs w:val="16"/>
        </w:rPr>
        <w:softHyphen/>
        <w:t>ной магистралью.</w:t>
      </w:r>
    </w:p>
    <w:p w14:paraId="7ED8A7F6"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Ещё одной новинкой стало применение на самолёте ме</w:t>
      </w:r>
      <w:r w:rsidRPr="0044524F">
        <w:rPr>
          <w:rFonts w:ascii="Times New Roman" w:hAnsi="Times New Roman"/>
          <w:color w:val="000000" w:themeColor="text1"/>
          <w:sz w:val="16"/>
          <w:szCs w:val="16"/>
        </w:rPr>
        <w:softHyphen/>
        <w:t>таллического винта изменяемого шага. Правда, угол установки лопастей можно было ре</w:t>
      </w:r>
      <w:r w:rsidRPr="0044524F">
        <w:rPr>
          <w:rFonts w:ascii="Times New Roman" w:hAnsi="Times New Roman"/>
          <w:color w:val="000000" w:themeColor="text1"/>
          <w:sz w:val="16"/>
          <w:szCs w:val="16"/>
        </w:rPr>
        <w:softHyphen/>
        <w:t>гулировать только на земле.</w:t>
      </w:r>
    </w:p>
    <w:p w14:paraId="58B096CE"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«Сталь-6» был первым в мире самолётом с убирающимся одноколесным шасси (впервые в СССР убираемое шасси сделали на пассажирском ХАИ-1 в 1932 г., но на небольшом од</w:t>
      </w:r>
      <w:r w:rsidRPr="0044524F">
        <w:rPr>
          <w:rFonts w:ascii="Times New Roman" w:hAnsi="Times New Roman"/>
          <w:color w:val="000000" w:themeColor="text1"/>
          <w:sz w:val="16"/>
          <w:szCs w:val="16"/>
        </w:rPr>
        <w:softHyphen/>
        <w:t>номестном самолёте Бартини внутреннего пространства для двух колёс не было). Колесо втягивалось с помощью тросов, наматываемых на специальный штурвал в кабине. Сначала убиралось само колесо диаметром 800 мм, оно заходило в нишу в фюзеляже между ног пилота, которая закрывалась створками. Во время подъёма колеса второй трое подтягивал подкрыльевые костыли в горизонтальное положение. Выпуск шасси происходил за счёт собственного веса колеса и костылей с последующей доводкой их тросом до фиксации в механических замках. Для уборки шасси надо было сделать 23 полных оборота штурвала, это занимало 2,5-3 минуты. Выпуск происходил быстрее - за 1,5-2 минуты. При уборке шасси штурвал приходилось вращать с усилием до 15 кг. Об уборке и выпуске колеса и костылей сигнализировали лампочки на приборной доске.</w:t>
      </w:r>
    </w:p>
    <w:p w14:paraId="09964238"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Кабина пилота была закрыта сдвижным фонарём, практически не выступающим за об</w:t>
      </w:r>
      <w:r w:rsidRPr="0044524F">
        <w:rPr>
          <w:rFonts w:ascii="Times New Roman" w:hAnsi="Times New Roman"/>
          <w:color w:val="000000" w:themeColor="text1"/>
          <w:sz w:val="16"/>
          <w:szCs w:val="16"/>
        </w:rPr>
        <w:softHyphen/>
        <w:t>воды фюзеляжа. Он имел каркас стальных труб и был обтянут целлоном; небьющихся типов стекла типа триплекс тогда ещё не было.</w:t>
      </w:r>
    </w:p>
    <w:p w14:paraId="6477089A" w14:textId="77777777" w:rsidR="00B4520E" w:rsidRPr="0044524F" w:rsidRDefault="00B452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Самолёт имел длину 6,9 м, размах крыла 9 м, площадь крыла 13,8 кв.м. Вес конструкции равнялся 928 кг (15844).</w:t>
      </w:r>
    </w:p>
    <w:p w14:paraId="4591E6DE" w14:textId="77777777" w:rsidR="00B4520E" w:rsidRPr="0044524F" w:rsidRDefault="00B4520E" w:rsidP="009654CF">
      <w:pPr>
        <w:spacing w:after="0" w:line="240" w:lineRule="auto"/>
        <w:jc w:val="both"/>
        <w:rPr>
          <w:rFonts w:ascii="Times New Roman" w:hAnsi="Times New Roman"/>
          <w:color w:val="000000" w:themeColor="text1"/>
          <w:sz w:val="16"/>
          <w:szCs w:val="16"/>
        </w:rPr>
      </w:pPr>
    </w:p>
    <w:p w14:paraId="0952B435"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27 июля и 17 августа 1933 г. на НИАП из спе</w:t>
      </w:r>
      <w:r w:rsidRPr="0044524F">
        <w:rPr>
          <w:rFonts w:ascii="Times New Roman" w:hAnsi="Times New Roman"/>
          <w:color w:val="000000" w:themeColor="text1"/>
          <w:sz w:val="16"/>
          <w:szCs w:val="16"/>
        </w:rPr>
        <w:softHyphen/>
        <w:t>циальных направляющих модели 1294, смонтированных на лафете гор</w:t>
      </w:r>
      <w:r w:rsidRPr="0044524F">
        <w:rPr>
          <w:rFonts w:ascii="Times New Roman" w:hAnsi="Times New Roman"/>
          <w:color w:val="000000" w:themeColor="text1"/>
          <w:sz w:val="16"/>
          <w:szCs w:val="16"/>
        </w:rPr>
        <w:softHyphen/>
        <w:t>ной пушки образца 1909 г. вели стрельбу новыми РС-132 мм за основу, которых взяли РС-132 модели 561 (корпус БЧ и камера двигателя), но оснастили их стабилизатором модели 1273 из 4 крыльев размахом 400 мм и из 6 крыльев размахом 300 мм. РЗ умень</w:t>
      </w:r>
      <w:r w:rsidRPr="0044524F">
        <w:rPr>
          <w:rFonts w:ascii="Times New Roman" w:hAnsi="Times New Roman"/>
          <w:color w:val="000000" w:themeColor="text1"/>
          <w:sz w:val="16"/>
          <w:szCs w:val="16"/>
        </w:rPr>
        <w:softHyphen/>
        <w:t>шили с 3,11 кг до 2,78 кг. Благодаря подбору сопла, давление в камере двигателя снизилось с 250 кг/см" до 180, а также РС-82 со стабилизаторами. В обоих случаях было выпущено по 20 снаря</w:t>
      </w:r>
      <w:r w:rsidRPr="0044524F">
        <w:rPr>
          <w:rFonts w:ascii="Times New Roman" w:hAnsi="Times New Roman"/>
          <w:color w:val="000000" w:themeColor="text1"/>
          <w:sz w:val="16"/>
          <w:szCs w:val="16"/>
        </w:rPr>
        <w:softHyphen/>
        <w:t>дов. В июльских опытах первый снаряд, упавший в двух километрах, не заметили. Седьмой также не нашли, так как он уклонился на 200 м в сторону от директрисы. Несмотря на возросшую, в сравнении с преды</w:t>
      </w:r>
      <w:r w:rsidRPr="0044524F">
        <w:rPr>
          <w:rFonts w:ascii="Times New Roman" w:hAnsi="Times New Roman"/>
          <w:color w:val="000000" w:themeColor="text1"/>
          <w:sz w:val="16"/>
          <w:szCs w:val="16"/>
        </w:rPr>
        <w:softHyphen/>
        <w:t>дущими отстрелами, точность стрельбы, она все же оставалась неудовле</w:t>
      </w:r>
      <w:r w:rsidRPr="0044524F">
        <w:rPr>
          <w:rFonts w:ascii="Times New Roman" w:hAnsi="Times New Roman"/>
          <w:color w:val="000000" w:themeColor="text1"/>
          <w:sz w:val="16"/>
          <w:szCs w:val="16"/>
        </w:rPr>
        <w:softHyphen/>
        <w:t>творительной. В 60-е годы прошлого столетия исследователи истории развития оте</w:t>
      </w:r>
      <w:r w:rsidRPr="0044524F">
        <w:rPr>
          <w:rFonts w:ascii="Times New Roman" w:hAnsi="Times New Roman"/>
          <w:color w:val="000000" w:themeColor="text1"/>
          <w:sz w:val="16"/>
          <w:szCs w:val="16"/>
        </w:rPr>
        <w:softHyphen/>
        <w:t>чественного ракетного вооружения, решив «отшлифовать» ход развития событий, по-своему прокомментировали многолетний интервал между началом работ по авиационным РС и первыми положительными резуль</w:t>
      </w:r>
      <w:r w:rsidRPr="0044524F">
        <w:rPr>
          <w:rFonts w:ascii="Times New Roman" w:hAnsi="Times New Roman"/>
          <w:color w:val="000000" w:themeColor="text1"/>
          <w:sz w:val="16"/>
          <w:szCs w:val="16"/>
        </w:rPr>
        <w:softHyphen/>
        <w:t>татами заводских и полигонных испытаний. Согласно их версии (затем она была принята в качестве официальной) в РНИИ НКТП неудачи в опытах с ТРС побудили конструкторов создать оперенные снаряды. Однако анализ годовых отчетов по научно-технической деятельности РНИИ дает основания утверждать, что работы по ТРС и оперенным РС в ГДЛ (позже она приобрела статус ленинградского отделения РНИИ), а затем и в московском РНИИ шли параллельно. Более убедительной причиной отказа авиаторов от ТРС выглядит низкая технологичность массового производства таких снарядов. Именно по этой причине в истории отечественной техники так и не поступали на вооружение куда более солидные проекты и образцы. В ситуации с турбореактивными снарядами, тангенциальные сопла малого диаметра требовали чрезвычайной тщательности и точности сверления. Отклонение всего в десятые доли миллиметра тотчас ска</w:t>
      </w:r>
      <w:r w:rsidRPr="0044524F">
        <w:rPr>
          <w:rFonts w:ascii="Times New Roman" w:hAnsi="Times New Roman"/>
          <w:color w:val="000000" w:themeColor="text1"/>
          <w:sz w:val="16"/>
          <w:szCs w:val="16"/>
        </w:rPr>
        <w:softHyphen/>
        <w:t>зывалось на точности стрельбы, поэтому в большом количестве произ</w:t>
      </w:r>
      <w:r w:rsidRPr="0044524F">
        <w:rPr>
          <w:rFonts w:ascii="Times New Roman" w:hAnsi="Times New Roman"/>
          <w:color w:val="000000" w:themeColor="text1"/>
          <w:sz w:val="16"/>
          <w:szCs w:val="16"/>
        </w:rPr>
        <w:softHyphen/>
        <w:t>водить качественные ТРС в то время было чересчур дорого, да и прак</w:t>
      </w:r>
      <w:r w:rsidRPr="0044524F">
        <w:rPr>
          <w:rFonts w:ascii="Times New Roman" w:hAnsi="Times New Roman"/>
          <w:color w:val="000000" w:themeColor="text1"/>
          <w:sz w:val="16"/>
          <w:szCs w:val="16"/>
        </w:rPr>
        <w:softHyphen/>
        <w:t>тически невозможно (11402).</w:t>
      </w:r>
    </w:p>
    <w:p w14:paraId="44D81BC3"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6516190" w14:textId="77777777" w:rsidR="00A61E06" w:rsidRPr="00142305" w:rsidRDefault="00A61E06" w:rsidP="00A61E06">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С 27 июля по 19 августа 1933 г. командир морской лётчик Ф.К. Куканов, его помощник Г.А. Страубе, первый механик В. Шадрин и второй механик Л.П. Демидов на трёхмоторном поплавковом «Юнкерсе» ЮГ-1 с опознавательным знаком «Н-4» вместе с С.В. Обручевым и геодезистом К.Л. Салищевым впервые пересёк загадочный тогда Анадырский хребет между заливом Креста и устьем Амгуэмы, чем ликвидировал на карте очередное «белое пят</w:t>
      </w:r>
      <w:r w:rsidRPr="00142305">
        <w:rPr>
          <w:rStyle w:val="aff"/>
          <w:rFonts w:ascii="Times New Roman" w:hAnsi="Times New Roman" w:cs="Times New Roman"/>
          <w:color w:val="0070C0"/>
          <w:spacing w:val="0"/>
          <w:sz w:val="16"/>
          <w:szCs w:val="16"/>
        </w:rPr>
        <w:softHyphen/>
        <w:t>но», на котором до этого сто лет красовалась надпись: «Не исследовано».</w:t>
      </w:r>
    </w:p>
    <w:p w14:paraId="6B18AFA5"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Полёт раскрыл и тайну вершины Матачингая. Она оказалась на 1000 метров ниже, чем было обозначено на карте, и нс являлась вулканом,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 xml:space="preserve"> 1е менее важные открытия сделали авиаторы в западной части Чукотки при полётах к верховьям Анадыря.</w:t>
      </w:r>
    </w:p>
    <w:p w14:paraId="2D174115"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С.В. Обручеву удалось провести визуальную геомор</w:t>
      </w:r>
      <w:r w:rsidRPr="00142305">
        <w:rPr>
          <w:rStyle w:val="aff"/>
          <w:rFonts w:ascii="Times New Roman" w:hAnsi="Times New Roman" w:cs="Times New Roman"/>
          <w:color w:val="0070C0"/>
          <w:spacing w:val="0"/>
          <w:sz w:val="16"/>
          <w:szCs w:val="16"/>
        </w:rPr>
        <w:softHyphen/>
        <w:t>фологическую съёмку па площади 400 тыс. кв. километров, был заснят па фотоплёнку ряд интересных с геологической точки зрения объектов. А геодезическая съёмка, осущест</w:t>
      </w:r>
      <w:r w:rsidRPr="00142305">
        <w:rPr>
          <w:rStyle w:val="aff"/>
          <w:rFonts w:ascii="Times New Roman" w:hAnsi="Times New Roman" w:cs="Times New Roman"/>
          <w:color w:val="0070C0"/>
          <w:spacing w:val="0"/>
          <w:sz w:val="16"/>
          <w:szCs w:val="16"/>
        </w:rPr>
        <w:softHyphen/>
        <w:t>влённая К. Салищевым, позволила составить первые топо</w:t>
      </w:r>
      <w:r w:rsidRPr="00142305">
        <w:rPr>
          <w:rStyle w:val="aff"/>
          <w:rFonts w:ascii="Times New Roman" w:hAnsi="Times New Roman" w:cs="Times New Roman"/>
          <w:color w:val="0070C0"/>
          <w:spacing w:val="0"/>
          <w:sz w:val="16"/>
          <w:szCs w:val="16"/>
        </w:rPr>
        <w:softHyphen/>
        <w:t>графическую и геологическую карты Чукотки.</w:t>
      </w:r>
    </w:p>
    <w:p w14:paraId="70288B15"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Наблюдения с самолёта показали возможность одно</w:t>
      </w:r>
      <w:r w:rsidRPr="00142305">
        <w:rPr>
          <w:rStyle w:val="aff"/>
          <w:rFonts w:ascii="Times New Roman" w:hAnsi="Times New Roman" w:cs="Times New Roman"/>
          <w:color w:val="0070C0"/>
          <w:spacing w:val="0"/>
          <w:sz w:val="16"/>
          <w:szCs w:val="16"/>
        </w:rPr>
        <w:softHyphen/>
        <w:t>временного охвата взором обширных территорий, что по</w:t>
      </w:r>
      <w:r w:rsidRPr="00142305">
        <w:rPr>
          <w:rStyle w:val="aff"/>
          <w:rFonts w:ascii="Times New Roman" w:hAnsi="Times New Roman" w:cs="Times New Roman"/>
          <w:color w:val="0070C0"/>
          <w:spacing w:val="0"/>
          <w:sz w:val="16"/>
          <w:szCs w:val="16"/>
        </w:rPr>
        <w:softHyphen/>
        <w:t>зволяло подмечать особенности, которые ускользают от на</w:t>
      </w:r>
      <w:r w:rsidRPr="00142305">
        <w:rPr>
          <w:rStyle w:val="aff"/>
          <w:rFonts w:ascii="Times New Roman" w:hAnsi="Times New Roman" w:cs="Times New Roman"/>
          <w:color w:val="0070C0"/>
          <w:spacing w:val="0"/>
          <w:sz w:val="16"/>
          <w:szCs w:val="16"/>
        </w:rPr>
        <w:softHyphen/>
        <w:t>блюдателя, передвигающегося пешком. Легче улавливаются многие черты взаимосвязи форм рельефа, закономерности их связи с геологическим прошлым. Производительность работ на самолёте несоизмеримо выше по сравнению с на</w:t>
      </w:r>
      <w:r w:rsidRPr="00142305">
        <w:rPr>
          <w:rStyle w:val="aff"/>
          <w:rFonts w:ascii="Times New Roman" w:hAnsi="Times New Roman" w:cs="Times New Roman"/>
          <w:color w:val="0070C0"/>
          <w:spacing w:val="0"/>
          <w:sz w:val="16"/>
          <w:szCs w:val="16"/>
        </w:rPr>
        <w:softHyphen/>
        <w:t>земными съёмками. При традиционных методах на создание таких карт потребовалось бы до десяти лет (25653).</w:t>
      </w:r>
    </w:p>
    <w:p w14:paraId="5E6C9745" w14:textId="77777777" w:rsidR="00A61E06" w:rsidRPr="00142305" w:rsidRDefault="00A61E06" w:rsidP="00A61E06">
      <w:pPr>
        <w:spacing w:after="0" w:line="240" w:lineRule="auto"/>
        <w:jc w:val="both"/>
        <w:rPr>
          <w:rFonts w:ascii="Times New Roman" w:hAnsi="Times New Roman"/>
          <w:color w:val="0070C0"/>
          <w:sz w:val="16"/>
          <w:szCs w:val="16"/>
        </w:rPr>
      </w:pPr>
    </w:p>
    <w:p w14:paraId="31ADDEC2"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64786EC"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11012C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июля 1933 закончились испытания турельных авиационных пулеметов калибра 7,62 мм ШКАС-МК-1933 г. за NN 114, 116, 156 и 160, которые проходили с 8 июля 1933. Испытуемые образцы были изготовлены отделом опытных работ Тульского оружейного завода. Проект был составлен конструкторами Шпитальным и Комарицким. В полете образцы были испытаны на самолете Р-5. Летчик - Уроничев К.А. (3053).</w:t>
      </w:r>
    </w:p>
    <w:p w14:paraId="50AC5C3D"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7F5B8019"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июля 1933 состоялся первый полет вертолета ЦАГИ-5ЭА (274), сделанного из 3-ЭА. Испытания велись до 1936 (391,40).</w:t>
      </w:r>
    </w:p>
    <w:p w14:paraId="744E4D85"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7B00CCB1" w14:textId="77777777" w:rsidR="00623094" w:rsidRPr="0044524F" w:rsidRDefault="006230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28 июля в 1933 году первый полет </w:t>
      </w:r>
      <w:hyperlink r:id="rId274" w:tgtFrame="_blank" w:history="1">
        <w:r w:rsidRPr="0044524F">
          <w:rPr>
            <w:rFonts w:ascii="Times New Roman" w:hAnsi="Times New Roman"/>
            <w:color w:val="000000" w:themeColor="text1"/>
            <w:sz w:val="16"/>
            <w:szCs w:val="16"/>
          </w:rPr>
          <w:t xml:space="preserve">вертолета </w:t>
        </w:r>
      </w:hyperlink>
      <w:hyperlink r:id="rId275" w:tgtFrame="_blank" w:history="1">
        <w:r w:rsidRPr="0044524F">
          <w:rPr>
            <w:rFonts w:ascii="Times New Roman" w:hAnsi="Times New Roman"/>
            <w:color w:val="000000" w:themeColor="text1"/>
            <w:sz w:val="16"/>
            <w:szCs w:val="16"/>
          </w:rPr>
          <w:t xml:space="preserve">«ЦАГИ-5ЭА», </w:t>
        </w:r>
      </w:hyperlink>
      <w:r w:rsidRPr="0044524F">
        <w:rPr>
          <w:rFonts w:ascii="Times New Roman" w:hAnsi="Times New Roman"/>
          <w:color w:val="000000" w:themeColor="text1"/>
          <w:sz w:val="16"/>
          <w:szCs w:val="16"/>
        </w:rPr>
        <w:t>А.М.Черемухин (14966).</w:t>
      </w:r>
    </w:p>
    <w:p w14:paraId="68B9995C" w14:textId="77777777" w:rsidR="00623094" w:rsidRPr="0044524F" w:rsidRDefault="00623094" w:rsidP="009654CF">
      <w:pPr>
        <w:spacing w:after="0" w:line="240" w:lineRule="auto"/>
        <w:jc w:val="both"/>
        <w:rPr>
          <w:rFonts w:ascii="Times New Roman" w:hAnsi="Times New Roman"/>
          <w:color w:val="000000" w:themeColor="text1"/>
          <w:sz w:val="16"/>
          <w:szCs w:val="16"/>
        </w:rPr>
      </w:pPr>
    </w:p>
    <w:p w14:paraId="333D506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июля 1933 Пом. Нач. Алмазов писал письмо N 257/446с Нач. ЦАГИ Харламову, Нач. ЦИАМ Побережному и Дир. завода 39 Марголину в сопровождение исправленной копии постановления РВС "О ходе выполнения плана опытного самолето и моторостроения и вооружения авиации" от 17 июля 1933 для руководства." (2286,67).</w:t>
      </w:r>
    </w:p>
    <w:p w14:paraId="5241CA5E"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и нет ясности, 17 июля или 17 июня - похоже, все таки июля.</w:t>
      </w:r>
    </w:p>
    <w:p w14:paraId="40FD614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53898E3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июля 1933 Нач. ЦКБ завода 39 С.В.И. подготовил справку по характеристикам самолетов ЦКБ:</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739"/>
        <w:gridCol w:w="1115"/>
        <w:gridCol w:w="2854"/>
      </w:tblGrid>
      <w:tr w:rsidR="004E10C1" w:rsidRPr="0044524F" w14:paraId="1884EB4C" w14:textId="77777777">
        <w:tc>
          <w:tcPr>
            <w:tcW w:w="1252" w:type="dxa"/>
          </w:tcPr>
          <w:p w14:paraId="5F21173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 Название</w:t>
            </w:r>
          </w:p>
        </w:tc>
        <w:tc>
          <w:tcPr>
            <w:tcW w:w="1252" w:type="dxa"/>
          </w:tcPr>
          <w:p w14:paraId="138466E9"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Вес/груз</w:t>
            </w:r>
          </w:p>
        </w:tc>
        <w:tc>
          <w:tcPr>
            <w:tcW w:w="1252" w:type="dxa"/>
          </w:tcPr>
          <w:p w14:paraId="596CA88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w:t>
            </w:r>
          </w:p>
        </w:tc>
        <w:tc>
          <w:tcPr>
            <w:tcW w:w="1739" w:type="dxa"/>
          </w:tcPr>
          <w:p w14:paraId="3889F92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Матер.</w:t>
            </w:r>
          </w:p>
        </w:tc>
        <w:tc>
          <w:tcPr>
            <w:tcW w:w="1115" w:type="dxa"/>
          </w:tcPr>
          <w:p w14:paraId="2027B977"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w:t>
            </w:r>
          </w:p>
        </w:tc>
        <w:tc>
          <w:tcPr>
            <w:tcW w:w="2854" w:type="dxa"/>
          </w:tcPr>
          <w:p w14:paraId="2F02C679"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Применение</w:t>
            </w:r>
          </w:p>
        </w:tc>
      </w:tr>
      <w:tr w:rsidR="004E10C1" w:rsidRPr="0044524F" w14:paraId="5036D19A" w14:textId="77777777">
        <w:tc>
          <w:tcPr>
            <w:tcW w:w="1252" w:type="dxa"/>
          </w:tcPr>
          <w:p w14:paraId="3E43863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Pr>
          <w:p w14:paraId="3F7FFFD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252" w:type="dxa"/>
          </w:tcPr>
          <w:p w14:paraId="2C8770A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739" w:type="dxa"/>
          </w:tcPr>
          <w:p w14:paraId="62F9159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15" w:type="dxa"/>
          </w:tcPr>
          <w:p w14:paraId="08BF70F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макс./пос./крейс.</w:t>
            </w:r>
          </w:p>
        </w:tc>
        <w:tc>
          <w:tcPr>
            <w:tcW w:w="2854" w:type="dxa"/>
          </w:tcPr>
          <w:p w14:paraId="335EA04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368C415" w14:textId="77777777">
        <w:tc>
          <w:tcPr>
            <w:tcW w:w="1252" w:type="dxa"/>
          </w:tcPr>
          <w:p w14:paraId="6213E1AD"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ЦКБ-9 М-11</w:t>
            </w:r>
          </w:p>
        </w:tc>
        <w:tc>
          <w:tcPr>
            <w:tcW w:w="1252" w:type="dxa"/>
          </w:tcPr>
          <w:p w14:paraId="2FC596C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938/338</w:t>
            </w:r>
          </w:p>
        </w:tc>
        <w:tc>
          <w:tcPr>
            <w:tcW w:w="1252" w:type="dxa"/>
          </w:tcPr>
          <w:p w14:paraId="4A36C7A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739" w:type="dxa"/>
          </w:tcPr>
          <w:p w14:paraId="32955C2E"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 пол., дюр.</w:t>
            </w:r>
          </w:p>
        </w:tc>
        <w:tc>
          <w:tcPr>
            <w:tcW w:w="1115" w:type="dxa"/>
          </w:tcPr>
          <w:p w14:paraId="26FE31B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232/85/190</w:t>
            </w:r>
          </w:p>
        </w:tc>
        <w:tc>
          <w:tcPr>
            <w:tcW w:w="2854" w:type="dxa"/>
          </w:tcPr>
          <w:p w14:paraId="00C7287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2860A98" w14:textId="77777777">
        <w:tc>
          <w:tcPr>
            <w:tcW w:w="1252" w:type="dxa"/>
          </w:tcPr>
          <w:p w14:paraId="15374BD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ЦКБ-6 М-49</w:t>
            </w:r>
          </w:p>
        </w:tc>
        <w:tc>
          <w:tcPr>
            <w:tcW w:w="1252" w:type="dxa"/>
          </w:tcPr>
          <w:p w14:paraId="056495C7"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1750/700</w:t>
            </w:r>
          </w:p>
        </w:tc>
        <w:tc>
          <w:tcPr>
            <w:tcW w:w="1252" w:type="dxa"/>
          </w:tcPr>
          <w:p w14:paraId="7ED2A8A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739" w:type="dxa"/>
          </w:tcPr>
          <w:p w14:paraId="729C820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 пол., дюр.</w:t>
            </w:r>
          </w:p>
        </w:tc>
        <w:tc>
          <w:tcPr>
            <w:tcW w:w="1115" w:type="dxa"/>
          </w:tcPr>
          <w:p w14:paraId="793445E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245/90-95/200</w:t>
            </w:r>
          </w:p>
        </w:tc>
        <w:tc>
          <w:tcPr>
            <w:tcW w:w="2854" w:type="dxa"/>
          </w:tcPr>
          <w:p w14:paraId="656A1A7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 сообщ. на местн. линиях</w:t>
            </w:r>
          </w:p>
        </w:tc>
      </w:tr>
      <w:tr w:rsidR="004E10C1" w:rsidRPr="0044524F" w14:paraId="57CC8CB1" w14:textId="77777777">
        <w:tc>
          <w:tcPr>
            <w:tcW w:w="1252" w:type="dxa"/>
          </w:tcPr>
          <w:p w14:paraId="5B51280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 М-34 (м ТШ)</w:t>
            </w:r>
          </w:p>
        </w:tc>
        <w:tc>
          <w:tcPr>
            <w:tcW w:w="1252" w:type="dxa"/>
          </w:tcPr>
          <w:p w14:paraId="5378B6C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3650/1400</w:t>
            </w:r>
          </w:p>
        </w:tc>
        <w:tc>
          <w:tcPr>
            <w:tcW w:w="1252" w:type="dxa"/>
          </w:tcPr>
          <w:p w14:paraId="5909F41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739" w:type="dxa"/>
          </w:tcPr>
          <w:p w14:paraId="6DE729B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 дюраль</w:t>
            </w:r>
          </w:p>
        </w:tc>
        <w:tc>
          <w:tcPr>
            <w:tcW w:w="1115" w:type="dxa"/>
          </w:tcPr>
          <w:p w14:paraId="583762B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260/95/225</w:t>
            </w:r>
          </w:p>
        </w:tc>
        <w:tc>
          <w:tcPr>
            <w:tcW w:w="2854" w:type="dxa"/>
          </w:tcPr>
          <w:p w14:paraId="5FD3B4D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 маш., Ш, Б</w:t>
            </w:r>
          </w:p>
        </w:tc>
      </w:tr>
      <w:tr w:rsidR="004E10C1" w:rsidRPr="0044524F" w14:paraId="6E92C2A2" w14:textId="77777777">
        <w:tc>
          <w:tcPr>
            <w:tcW w:w="1252" w:type="dxa"/>
          </w:tcPr>
          <w:p w14:paraId="5D3E492D"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ЛК М-11</w:t>
            </w:r>
          </w:p>
        </w:tc>
        <w:tc>
          <w:tcPr>
            <w:tcW w:w="1252" w:type="dxa"/>
          </w:tcPr>
          <w:p w14:paraId="398A2C3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560/210</w:t>
            </w:r>
          </w:p>
        </w:tc>
        <w:tc>
          <w:tcPr>
            <w:tcW w:w="1252" w:type="dxa"/>
          </w:tcPr>
          <w:p w14:paraId="04D0521E"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739" w:type="dxa"/>
          </w:tcPr>
          <w:p w14:paraId="46EB0B9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 пол.</w:t>
            </w:r>
          </w:p>
        </w:tc>
        <w:tc>
          <w:tcPr>
            <w:tcW w:w="1115" w:type="dxa"/>
          </w:tcPr>
          <w:p w14:paraId="4228464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195/65/160</w:t>
            </w:r>
          </w:p>
        </w:tc>
        <w:tc>
          <w:tcPr>
            <w:tcW w:w="2854" w:type="dxa"/>
          </w:tcPr>
          <w:p w14:paraId="1E1D8C0E"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w:t>
            </w:r>
          </w:p>
        </w:tc>
      </w:tr>
      <w:tr w:rsidR="004E10C1" w:rsidRPr="0044524F" w14:paraId="20180847" w14:textId="77777777">
        <w:tc>
          <w:tcPr>
            <w:tcW w:w="1252" w:type="dxa"/>
          </w:tcPr>
          <w:p w14:paraId="0F41C0F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ЛК 2М-11</w:t>
            </w:r>
          </w:p>
        </w:tc>
        <w:tc>
          <w:tcPr>
            <w:tcW w:w="1252" w:type="dxa"/>
          </w:tcPr>
          <w:p w14:paraId="68952809"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1840/830</w:t>
            </w:r>
          </w:p>
        </w:tc>
        <w:tc>
          <w:tcPr>
            <w:tcW w:w="1252" w:type="dxa"/>
          </w:tcPr>
          <w:p w14:paraId="3D2DCCB8"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739" w:type="dxa"/>
          </w:tcPr>
          <w:p w14:paraId="2113747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 пол., дюр.</w:t>
            </w:r>
          </w:p>
        </w:tc>
        <w:tc>
          <w:tcPr>
            <w:tcW w:w="1115" w:type="dxa"/>
          </w:tcPr>
          <w:p w14:paraId="0267562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210/70/180</w:t>
            </w:r>
          </w:p>
        </w:tc>
        <w:tc>
          <w:tcPr>
            <w:tcW w:w="2854" w:type="dxa"/>
          </w:tcPr>
          <w:p w14:paraId="516162C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Почтово-пассажирский</w:t>
            </w:r>
          </w:p>
        </w:tc>
      </w:tr>
      <w:tr w:rsidR="004E10C1" w:rsidRPr="0044524F" w14:paraId="7B07075F" w14:textId="77777777">
        <w:tc>
          <w:tcPr>
            <w:tcW w:w="1252" w:type="dxa"/>
          </w:tcPr>
          <w:p w14:paraId="55023FF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 Крыло М-11</w:t>
            </w:r>
          </w:p>
        </w:tc>
        <w:tc>
          <w:tcPr>
            <w:tcW w:w="1252" w:type="dxa"/>
          </w:tcPr>
          <w:p w14:paraId="525BEA9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800/250</w:t>
            </w:r>
          </w:p>
        </w:tc>
        <w:tc>
          <w:tcPr>
            <w:tcW w:w="1252" w:type="dxa"/>
          </w:tcPr>
          <w:p w14:paraId="2B42E41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739" w:type="dxa"/>
          </w:tcPr>
          <w:p w14:paraId="403431C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 пол., дюр.</w:t>
            </w:r>
          </w:p>
        </w:tc>
        <w:tc>
          <w:tcPr>
            <w:tcW w:w="1115" w:type="dxa"/>
          </w:tcPr>
          <w:p w14:paraId="2D664B5A"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195/65/165</w:t>
            </w:r>
          </w:p>
        </w:tc>
        <w:tc>
          <w:tcPr>
            <w:tcW w:w="2854" w:type="dxa"/>
          </w:tcPr>
          <w:p w14:paraId="48658E0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 (2304,40)</w:t>
            </w:r>
          </w:p>
        </w:tc>
      </w:tr>
    </w:tbl>
    <w:p w14:paraId="57B2BD5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7F17DB1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июля 1933 из Севастополя на ДВ вылетел первый гидроплан S.55 закупленный ГВФ. Перелет был выполнен экипажем А.С.Демченко с участием вп Конкина, ш Петровым, мех. Эренпрейса. Маршрут - Севастополь - Вольск - Казань - Свердловск - Тобольск - Новосибирск - Красноярск - Стрелка - Братск - Иркутск - Чита - Благовещенск - Хабаровск - Владивосток. Всего 10500 км, а от Италии - 15000 км. Прилетели во Владивосток в начале августа и 18 августа Демченко наградили ОКЗн (1834,16).</w:t>
      </w:r>
    </w:p>
    <w:p w14:paraId="513C418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0FAA481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июля 1933 перелет Савойи С.55 из Италии на ДВ возобновился. Самолет вылетел с новым экипа-жем-.Демченко - командир, Конкин - второй пилот, Петров - штурман и Эренпрейс - бортмеханик. Дорога была длинной: Севастополь - Вольск - Казань - Свердловск - Тобольск - Новосибирск - Красноярск - Стрелка - Братск - Иркутск - Чита - Благовещенск - Хабаровск - Владивосток. Всего 10.500 км, а если считать от Сесто-Кален-де в Италии - 15.000 км. В пути не обошлось без накладок. В Казани двое встречающих, обязанных выложить при появлении самолета посадочный знак, от долгого ожидания заснули. Демченко не смог их разбудить, даже пройдя над спящими на малой высоте. В Красноярске местный уполномоченный не придумал ничего лучшего, как переправиться на лодке на лежащий посреди Енисея маленький, поросший густым лесом островок (теперь это остров Отдыха - Прим. ред.), откуда и начал махать-руками, давая пилотам «ценные указания» (5486,4).</w:t>
      </w:r>
    </w:p>
    <w:p w14:paraId="129C336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0D6C03B5" w14:textId="77777777" w:rsidR="00623094" w:rsidRPr="0044524F" w:rsidRDefault="006230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28 июля в 1933 году из Севастополя вылетел </w:t>
      </w:r>
      <w:hyperlink r:id="rId276" w:tgtFrame="_blank" w:history="1">
        <w:r w:rsidRPr="0044524F">
          <w:rPr>
            <w:rFonts w:ascii="Times New Roman" w:hAnsi="Times New Roman"/>
            <w:color w:val="000000" w:themeColor="text1"/>
            <w:sz w:val="16"/>
            <w:szCs w:val="16"/>
          </w:rPr>
          <w:t xml:space="preserve">«S.55» </w:t>
        </w:r>
      </w:hyperlink>
      <w:r w:rsidRPr="0044524F">
        <w:rPr>
          <w:rFonts w:ascii="Times New Roman" w:hAnsi="Times New Roman"/>
          <w:color w:val="000000" w:themeColor="text1"/>
          <w:sz w:val="16"/>
          <w:szCs w:val="16"/>
        </w:rPr>
        <w:t>с экипажем Демченко - командир самолета, Конкин - второй пилот, Петров - штурман и Эренпрейс - бортмеханик. Дорога была длинной: Севастополь - Вольск - Казань - Свердловск - Тобольск - Новосибирск - Красноярск - Стрелка - Братск - Иркутск - Чита - Благовещенск - Хабаровск - Владивосток. Всего 10500 км, а если считать от Сесто-Календе в Италии - 15000 км. В начале августа "Савойя" благополучно прибыла во Владивосток, а 18 августа Демченко был награжден орденом Красной звезды. В конце сентября 1933 года он совершил рейс Владивосток - Петропавловск и обратно. Перелет занял четверо суток. Вслед за первым «S.55» на Дальний Восток перегнали еще четыре машины. При этом самолет, командиром которого был Б.Л.Бухгольц, разбился на одном из промежуточных этапов. Шедшая на небольшой высоте летающая лодка вдруг клюнула носом и врезалась в землю. Причины катастрофы установить не удалось (14966).</w:t>
      </w:r>
    </w:p>
    <w:p w14:paraId="03D6E6B6" w14:textId="77777777" w:rsidR="00623094" w:rsidRPr="0044524F" w:rsidRDefault="00623094" w:rsidP="009654CF">
      <w:pPr>
        <w:spacing w:after="0" w:line="240" w:lineRule="auto"/>
        <w:jc w:val="both"/>
        <w:rPr>
          <w:rFonts w:ascii="Times New Roman" w:hAnsi="Times New Roman"/>
          <w:color w:val="000000" w:themeColor="text1"/>
          <w:sz w:val="16"/>
          <w:szCs w:val="16"/>
        </w:rPr>
      </w:pPr>
    </w:p>
    <w:p w14:paraId="5ED48D97" w14:textId="77777777" w:rsidR="0089252B" w:rsidRPr="0044524F" w:rsidRDefault="008925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июля 1933 самолет С55 отправился с новым экипажем: А.С. Демченко в качестве командира, вторым пилотом Конкиным, штурманом Петровым и механиком Эренпрайсом. Маршрут шел через Севастополь - Вольск - Казань - Свердловск - Тобольск - Новосибирск - Красноярск - Стрелка - Братск - Иркутск - Чита - Благовещенск - Хабаровск - Владивосток, что составило в итоге 10.500 километров, а если считать от Сесто Календе – 15.000 км. В начале августа самолет без значительных происшествий долетел до Владивостока (21410).</w:t>
      </w:r>
    </w:p>
    <w:p w14:paraId="1B48C66E" w14:textId="77777777" w:rsidR="0089252B" w:rsidRPr="0044524F" w:rsidRDefault="0089252B" w:rsidP="009654CF">
      <w:pPr>
        <w:spacing w:after="0" w:line="240" w:lineRule="auto"/>
        <w:jc w:val="both"/>
        <w:rPr>
          <w:rFonts w:ascii="Times New Roman" w:hAnsi="Times New Roman"/>
          <w:color w:val="000000" w:themeColor="text1"/>
          <w:sz w:val="16"/>
          <w:szCs w:val="16"/>
        </w:rPr>
      </w:pPr>
    </w:p>
    <w:p w14:paraId="665D912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28 июля 1933 С.А.Леваневский, вернувшись с Аляски, совершил разведочный полет по северному побережью Ледовитого океана для судов Колымской экспедиции, затем вернулся в Иркутск, покрыв 37000 км за 220 час (438,647).</w:t>
      </w:r>
    </w:p>
    <w:p w14:paraId="2E979357"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07FC2D3A"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июля 1933 г. дата присвоения опознавательного знака с литерой "Н" - СССР-Н21 - Ш-2, зав. № HJ31175, мотор - М-11. Первоначальный владелец воздушного судна - УВС ГУСМП. Участвовал в походе парохода "Челюскин", экипаж состоял из пилота М.С. Бабушкина и бортмеханика Г.С. Валавина. После "челюскинской" эпопеи эксплуатироваться больше не мог, его списали по износу и исключили из списков самолетного парка ГУСМП 05.01.35 г. (11949).</w:t>
      </w:r>
    </w:p>
    <w:p w14:paraId="705FBB85"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23A9D906"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5F790D3"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57BB9B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28 июля по 29 августа 1933 танкетку Т-27 с 76-мм пушкой Курчевского, которую доставили в Ленинград на НИАП, испытывали стрельбой и возкой.</w:t>
      </w:r>
    </w:p>
    <w:p w14:paraId="369114E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Скорострельность составила 6–7 выстр/мин. Экипаж танкетки Т-27 — 2 человека. Вооружение: только 76-мм пушка К. Боекомплект 30 снарядов.</w:t>
      </w:r>
    </w:p>
    <w:p w14:paraId="76DC8157"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Сравнительные данные стрельбы снарядами чертежа 3999 с 76-мм полковой пушкой обр. 1927 г. показали, что отклонения по высоте те же, что и у полковой пушки, а боковое рассеивание лучше табличного у полковой пушки.</w:t>
      </w:r>
    </w:p>
    <w:p w14:paraId="045ADE1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возкой проводились на дистанции 50 км по шоссе со скоростью 20–30 км/час. Комиссия сделала следующие выводы:</w:t>
      </w:r>
    </w:p>
    <w:p w14:paraId="2D07F3F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Достигнута скорострельность 18 выстрелов в 3 минуты.</w:t>
      </w:r>
    </w:p>
    <w:p w14:paraId="25267CF5"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Боеприпасы должны быть одинаковой длины для всех снарядов, так как при стрельбе бронебойными снарядами чертежа 4716 пользоваться механизмом заряжания нельзя, поскольку снаряды слишком длинные.</w:t>
      </w:r>
    </w:p>
    <w:p w14:paraId="5094880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Деревянные поддоны у патронов должны быть строго калиброваны по диаметру сопла.</w:t>
      </w:r>
    </w:p>
    <w:p w14:paraId="6D32C017"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Необходимо, кроме пушки, поставить на танкетку 7,62-мм пулемет ДТ (12091).</w:t>
      </w:r>
    </w:p>
    <w:p w14:paraId="4F002CDD"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5CD543AF"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28 июля по 29 августа 1933 г. на НИАП производились испытания танкетки Т-27 с 76-мм пушкой Курчевского стрельбой и возкой.</w:t>
      </w:r>
    </w:p>
    <w:p w14:paraId="7C9267CA" w14:textId="77777777" w:rsidR="00A61E06" w:rsidRPr="00A61E06" w:rsidRDefault="00A61E06" w:rsidP="00A61E06">
      <w:pPr>
        <w:pStyle w:val="aff0"/>
        <w:spacing w:line="240" w:lineRule="auto"/>
        <w:rPr>
          <w:rFonts w:ascii="Times New Roman" w:hAnsi="Times New Roman" w:cs="Times New Roman"/>
          <w:i w:val="0"/>
          <w:iCs w:val="0"/>
          <w:color w:val="0070C0"/>
          <w:sz w:val="16"/>
          <w:szCs w:val="16"/>
          <w:lang w:val="ru-RU"/>
        </w:rPr>
      </w:pPr>
      <w:r w:rsidRPr="00A61E06">
        <w:rPr>
          <w:rStyle w:val="aff1"/>
          <w:rFonts w:ascii="Times New Roman" w:hAnsi="Times New Roman" w:cs="Times New Roman"/>
          <w:color w:val="0070C0"/>
          <w:sz w:val="16"/>
          <w:szCs w:val="16"/>
          <w:lang w:val="ru-RU"/>
        </w:rPr>
        <w:t>Результаты испытаний 76-мм пушки К на танкетке Т-27 в июле —августе 1933 г.</w:t>
      </w:r>
    </w:p>
    <w:tbl>
      <w:tblPr>
        <w:tblOverlap w:val="never"/>
        <w:tblW w:w="0" w:type="auto"/>
        <w:jc w:val="center"/>
        <w:tblLayout w:type="fixed"/>
        <w:tblCellMar>
          <w:left w:w="10" w:type="dxa"/>
          <w:right w:w="10" w:type="dxa"/>
        </w:tblCellMar>
        <w:tblLook w:val="04A0" w:firstRow="1" w:lastRow="0" w:firstColumn="1" w:lastColumn="0" w:noHBand="0" w:noVBand="1"/>
      </w:tblPr>
      <w:tblGrid>
        <w:gridCol w:w="3240"/>
        <w:gridCol w:w="1445"/>
        <w:gridCol w:w="2256"/>
        <w:gridCol w:w="1790"/>
        <w:gridCol w:w="557"/>
      </w:tblGrid>
      <w:tr w:rsidR="00A61E06" w:rsidRPr="00142305" w14:paraId="126B7B9E" w14:textId="77777777" w:rsidTr="00DC550A">
        <w:trPr>
          <w:trHeight w:hRule="exact" w:val="595"/>
          <w:jc w:val="center"/>
        </w:trPr>
        <w:tc>
          <w:tcPr>
            <w:tcW w:w="3240" w:type="dxa"/>
            <w:vMerge w:val="restart"/>
            <w:tcBorders>
              <w:top w:val="single" w:sz="4" w:space="0" w:color="auto"/>
              <w:left w:val="single" w:sz="4" w:space="0" w:color="auto"/>
            </w:tcBorders>
            <w:vAlign w:val="center"/>
          </w:tcPr>
          <w:p w14:paraId="17A49AB5"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Снаряд</w:t>
            </w:r>
          </w:p>
        </w:tc>
        <w:tc>
          <w:tcPr>
            <w:tcW w:w="1445" w:type="dxa"/>
            <w:vMerge w:val="restart"/>
            <w:tcBorders>
              <w:top w:val="single" w:sz="4" w:space="0" w:color="auto"/>
              <w:left w:val="single" w:sz="4" w:space="0" w:color="auto"/>
            </w:tcBorders>
            <w:vAlign w:val="center"/>
          </w:tcPr>
          <w:p w14:paraId="20CFE201"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Вес снаряда, кг</w:t>
            </w:r>
          </w:p>
        </w:tc>
        <w:tc>
          <w:tcPr>
            <w:tcW w:w="2256" w:type="dxa"/>
            <w:vMerge w:val="restart"/>
            <w:tcBorders>
              <w:top w:val="single" w:sz="4" w:space="0" w:color="auto"/>
              <w:left w:val="single" w:sz="4" w:space="0" w:color="auto"/>
            </w:tcBorders>
            <w:vAlign w:val="center"/>
          </w:tcPr>
          <w:p w14:paraId="621E0871"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Начальная скорость, м/с</w:t>
            </w:r>
          </w:p>
        </w:tc>
        <w:tc>
          <w:tcPr>
            <w:tcW w:w="2347" w:type="dxa"/>
            <w:gridSpan w:val="2"/>
            <w:tcBorders>
              <w:top w:val="single" w:sz="4" w:space="0" w:color="auto"/>
              <w:left w:val="single" w:sz="4" w:space="0" w:color="auto"/>
              <w:right w:val="single" w:sz="4" w:space="0" w:color="auto"/>
            </w:tcBorders>
          </w:tcPr>
          <w:p w14:paraId="3536CD37"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Дальность стрельбы при:</w:t>
            </w:r>
          </w:p>
        </w:tc>
      </w:tr>
      <w:tr w:rsidR="00A61E06" w:rsidRPr="00142305" w14:paraId="516ECAEF" w14:textId="77777777" w:rsidTr="00DC550A">
        <w:trPr>
          <w:trHeight w:hRule="exact" w:val="346"/>
          <w:jc w:val="center"/>
        </w:trPr>
        <w:tc>
          <w:tcPr>
            <w:tcW w:w="3240" w:type="dxa"/>
            <w:vMerge/>
            <w:tcBorders>
              <w:left w:val="single" w:sz="4" w:space="0" w:color="auto"/>
            </w:tcBorders>
            <w:vAlign w:val="center"/>
          </w:tcPr>
          <w:p w14:paraId="40721E8F" w14:textId="77777777" w:rsidR="00A61E06" w:rsidRPr="00142305" w:rsidRDefault="00A61E06" w:rsidP="00DC550A">
            <w:pPr>
              <w:spacing w:after="0" w:line="240" w:lineRule="auto"/>
              <w:jc w:val="both"/>
              <w:rPr>
                <w:rFonts w:ascii="Times New Roman" w:hAnsi="Times New Roman"/>
                <w:color w:val="0070C0"/>
                <w:sz w:val="16"/>
                <w:szCs w:val="16"/>
              </w:rPr>
            </w:pPr>
          </w:p>
        </w:tc>
        <w:tc>
          <w:tcPr>
            <w:tcW w:w="1445" w:type="dxa"/>
            <w:vMerge/>
            <w:tcBorders>
              <w:left w:val="single" w:sz="4" w:space="0" w:color="auto"/>
            </w:tcBorders>
            <w:vAlign w:val="center"/>
          </w:tcPr>
          <w:p w14:paraId="750B3CB2" w14:textId="77777777" w:rsidR="00A61E06" w:rsidRPr="00142305" w:rsidRDefault="00A61E06" w:rsidP="00DC550A">
            <w:pPr>
              <w:spacing w:after="0" w:line="240" w:lineRule="auto"/>
              <w:jc w:val="both"/>
              <w:rPr>
                <w:rFonts w:ascii="Times New Roman" w:hAnsi="Times New Roman"/>
                <w:color w:val="0070C0"/>
                <w:sz w:val="16"/>
                <w:szCs w:val="16"/>
              </w:rPr>
            </w:pPr>
          </w:p>
        </w:tc>
        <w:tc>
          <w:tcPr>
            <w:tcW w:w="2256" w:type="dxa"/>
            <w:vMerge/>
            <w:tcBorders>
              <w:left w:val="single" w:sz="4" w:space="0" w:color="auto"/>
            </w:tcBorders>
            <w:vAlign w:val="center"/>
          </w:tcPr>
          <w:p w14:paraId="4B247652" w14:textId="77777777" w:rsidR="00A61E06" w:rsidRPr="00142305" w:rsidRDefault="00A61E06" w:rsidP="00DC550A">
            <w:pPr>
              <w:spacing w:after="0" w:line="240" w:lineRule="auto"/>
              <w:jc w:val="both"/>
              <w:rPr>
                <w:rFonts w:ascii="Times New Roman" w:hAnsi="Times New Roman"/>
                <w:color w:val="0070C0"/>
                <w:sz w:val="16"/>
                <w:szCs w:val="16"/>
              </w:rPr>
            </w:pPr>
          </w:p>
        </w:tc>
        <w:tc>
          <w:tcPr>
            <w:tcW w:w="1790" w:type="dxa"/>
            <w:tcBorders>
              <w:top w:val="single" w:sz="4" w:space="0" w:color="auto"/>
              <w:left w:val="single" w:sz="4" w:space="0" w:color="auto"/>
            </w:tcBorders>
          </w:tcPr>
          <w:p w14:paraId="50DBF2CB"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+5°</w:t>
            </w:r>
          </w:p>
        </w:tc>
        <w:tc>
          <w:tcPr>
            <w:tcW w:w="557" w:type="dxa"/>
            <w:tcBorders>
              <w:top w:val="single" w:sz="4" w:space="0" w:color="auto"/>
              <w:left w:val="single" w:sz="4" w:space="0" w:color="auto"/>
              <w:right w:val="single" w:sz="4" w:space="0" w:color="auto"/>
            </w:tcBorders>
          </w:tcPr>
          <w:p w14:paraId="20FE28C5"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+35°</w:t>
            </w:r>
          </w:p>
        </w:tc>
      </w:tr>
      <w:tr w:rsidR="00A61E06" w:rsidRPr="00142305" w14:paraId="21E6E6B6" w14:textId="77777777" w:rsidTr="00DC550A">
        <w:trPr>
          <w:trHeight w:hRule="exact" w:val="624"/>
          <w:jc w:val="center"/>
        </w:trPr>
        <w:tc>
          <w:tcPr>
            <w:tcW w:w="3240" w:type="dxa"/>
            <w:tcBorders>
              <w:top w:val="single" w:sz="4" w:space="0" w:color="auto"/>
              <w:left w:val="single" w:sz="4" w:space="0" w:color="auto"/>
            </w:tcBorders>
          </w:tcPr>
          <w:p w14:paraId="226C0399"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Практическая шрапнель чертежа 3999</w:t>
            </w:r>
          </w:p>
        </w:tc>
        <w:tc>
          <w:tcPr>
            <w:tcW w:w="1445" w:type="dxa"/>
            <w:tcBorders>
              <w:top w:val="single" w:sz="4" w:space="0" w:color="auto"/>
              <w:left w:val="single" w:sz="4" w:space="0" w:color="auto"/>
            </w:tcBorders>
            <w:vAlign w:val="center"/>
          </w:tcPr>
          <w:p w14:paraId="24D2D714"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3,2</w:t>
            </w:r>
          </w:p>
        </w:tc>
        <w:tc>
          <w:tcPr>
            <w:tcW w:w="2256" w:type="dxa"/>
            <w:tcBorders>
              <w:top w:val="single" w:sz="4" w:space="0" w:color="auto"/>
              <w:left w:val="single" w:sz="4" w:space="0" w:color="auto"/>
            </w:tcBorders>
            <w:vAlign w:val="center"/>
          </w:tcPr>
          <w:p w14:paraId="4791F394"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341</w:t>
            </w:r>
          </w:p>
        </w:tc>
        <w:tc>
          <w:tcPr>
            <w:tcW w:w="1790" w:type="dxa"/>
            <w:tcBorders>
              <w:top w:val="single" w:sz="4" w:space="0" w:color="auto"/>
              <w:left w:val="single" w:sz="4" w:space="0" w:color="auto"/>
            </w:tcBorders>
            <w:vAlign w:val="center"/>
          </w:tcPr>
          <w:p w14:paraId="453A6263"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1400</w:t>
            </w:r>
          </w:p>
        </w:tc>
        <w:tc>
          <w:tcPr>
            <w:tcW w:w="557" w:type="dxa"/>
            <w:tcBorders>
              <w:top w:val="single" w:sz="4" w:space="0" w:color="auto"/>
              <w:left w:val="single" w:sz="4" w:space="0" w:color="auto"/>
              <w:right w:val="single" w:sz="4" w:space="0" w:color="auto"/>
            </w:tcBorders>
            <w:vAlign w:val="center"/>
          </w:tcPr>
          <w:p w14:paraId="6BDD3FD6"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4300</w:t>
            </w:r>
          </w:p>
        </w:tc>
      </w:tr>
      <w:tr w:rsidR="00A61E06" w:rsidRPr="00142305" w14:paraId="2B1F3971" w14:textId="77777777" w:rsidTr="00DC550A">
        <w:trPr>
          <w:trHeight w:hRule="exact" w:val="365"/>
          <w:jc w:val="center"/>
        </w:trPr>
        <w:tc>
          <w:tcPr>
            <w:tcW w:w="3240" w:type="dxa"/>
            <w:tcBorders>
              <w:top w:val="single" w:sz="4" w:space="0" w:color="auto"/>
              <w:left w:val="single" w:sz="4" w:space="0" w:color="auto"/>
              <w:bottom w:val="single" w:sz="4" w:space="0" w:color="auto"/>
            </w:tcBorders>
          </w:tcPr>
          <w:p w14:paraId="322D923C"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Бронебойный чертежа 4716</w:t>
            </w:r>
          </w:p>
        </w:tc>
        <w:tc>
          <w:tcPr>
            <w:tcW w:w="1445" w:type="dxa"/>
            <w:tcBorders>
              <w:top w:val="single" w:sz="4" w:space="0" w:color="auto"/>
              <w:left w:val="single" w:sz="4" w:space="0" w:color="auto"/>
              <w:bottom w:val="single" w:sz="4" w:space="0" w:color="auto"/>
            </w:tcBorders>
          </w:tcPr>
          <w:p w14:paraId="194FD187"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4,0</w:t>
            </w:r>
          </w:p>
        </w:tc>
        <w:tc>
          <w:tcPr>
            <w:tcW w:w="2256" w:type="dxa"/>
            <w:tcBorders>
              <w:top w:val="single" w:sz="4" w:space="0" w:color="auto"/>
              <w:left w:val="single" w:sz="4" w:space="0" w:color="auto"/>
              <w:bottom w:val="single" w:sz="4" w:space="0" w:color="auto"/>
            </w:tcBorders>
          </w:tcPr>
          <w:p w14:paraId="2625F7B2"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278</w:t>
            </w:r>
          </w:p>
        </w:tc>
        <w:tc>
          <w:tcPr>
            <w:tcW w:w="1790" w:type="dxa"/>
            <w:tcBorders>
              <w:top w:val="single" w:sz="4" w:space="0" w:color="auto"/>
              <w:left w:val="single" w:sz="4" w:space="0" w:color="auto"/>
              <w:bottom w:val="single" w:sz="4" w:space="0" w:color="auto"/>
            </w:tcBorders>
          </w:tcPr>
          <w:p w14:paraId="199C1E5D"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1100</w:t>
            </w:r>
          </w:p>
        </w:tc>
        <w:tc>
          <w:tcPr>
            <w:tcW w:w="557" w:type="dxa"/>
            <w:tcBorders>
              <w:top w:val="single" w:sz="4" w:space="0" w:color="auto"/>
              <w:left w:val="single" w:sz="4" w:space="0" w:color="auto"/>
              <w:bottom w:val="single" w:sz="4" w:space="0" w:color="auto"/>
              <w:right w:val="single" w:sz="4" w:space="0" w:color="auto"/>
            </w:tcBorders>
          </w:tcPr>
          <w:p w14:paraId="1545A031" w14:textId="77777777" w:rsidR="00A61E06" w:rsidRPr="00142305" w:rsidRDefault="00A61E06"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4000</w:t>
            </w:r>
          </w:p>
        </w:tc>
      </w:tr>
    </w:tbl>
    <w:p w14:paraId="67EB5C05"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Скорострельность составила 6–7 выстр./мин. Экипаж танкетки Т-27 — 2 человека. Вооружение: только 76-мм пушка К. Боекомплект 30 снарядов.</w:t>
      </w:r>
    </w:p>
    <w:p w14:paraId="4B361FF4"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Сравнительные данные стрельбы снарядами чертежа 3999 с 76-мм полковой пушкой обр. 1927 г. показали, что отклонения по высоте те же, что и у полковой пушки, а боковое рассеивание лучше табличного у полковой пушки.</w:t>
      </w:r>
    </w:p>
    <w:p w14:paraId="7674C24F"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Испытания возкой проводились на дистанции 50 км по шоссе со скоростью 20–30 км/час.</w:t>
      </w:r>
    </w:p>
    <w:p w14:paraId="784F3566"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Комиссия сделала следующие выводы:</w:t>
      </w:r>
    </w:p>
    <w:p w14:paraId="11C08F0E" w14:textId="77777777" w:rsidR="00A61E06" w:rsidRPr="00142305" w:rsidRDefault="00A61E06" w:rsidP="00A61E06">
      <w:pPr>
        <w:widowControl w:val="0"/>
        <w:tabs>
          <w:tab w:val="left" w:pos="973"/>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 Достигнута скорострельность 18 выстрелов в 3 минуты.</w:t>
      </w:r>
    </w:p>
    <w:p w14:paraId="233CCF73" w14:textId="77777777" w:rsidR="00A61E06" w:rsidRPr="00142305" w:rsidRDefault="00A61E06" w:rsidP="00A61E06">
      <w:pPr>
        <w:widowControl w:val="0"/>
        <w:tabs>
          <w:tab w:val="left" w:pos="96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Боеприпасы должны быть одинаковой длины для всех снарядов, так как при стрельбе бронебойными снарядами чертежа 4716 пользоваться механизмом заряжания нельзя, поскольку снаряды слишком длинные.</w:t>
      </w:r>
    </w:p>
    <w:p w14:paraId="6EEF2D91" w14:textId="77777777" w:rsidR="00A61E06" w:rsidRPr="00142305" w:rsidRDefault="00A61E06" w:rsidP="00A61E06">
      <w:pPr>
        <w:widowControl w:val="0"/>
        <w:tabs>
          <w:tab w:val="left" w:pos="968"/>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 Деревянные поддоны у патронов должны быть строго калиброваны по диаметру сопла.</w:t>
      </w:r>
    </w:p>
    <w:p w14:paraId="68B3F5C1" w14:textId="77777777" w:rsidR="00A61E06" w:rsidRPr="00142305" w:rsidRDefault="00A61E06" w:rsidP="00A61E06">
      <w:pPr>
        <w:widowControl w:val="0"/>
        <w:tabs>
          <w:tab w:val="left" w:pos="973"/>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4. Необходимо, кроме пушки, поставить на танкетку 7,62-мм пулемет ДТ.</w:t>
      </w:r>
    </w:p>
    <w:p w14:paraId="5AE7E479" w14:textId="77777777" w:rsidR="00A61E06" w:rsidRPr="00142305" w:rsidRDefault="00A61E06" w:rsidP="00A61E06">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Очередные испытания Т-27 с 76-мм пушкой Курчевского, которая к тому времени получила название ТПК-27, прошли на Кунцевском полигоне 25 апреля 1934 г. (26213).</w:t>
      </w:r>
    </w:p>
    <w:p w14:paraId="0D34DD5D" w14:textId="77777777" w:rsidR="00A61E06" w:rsidRPr="00142305" w:rsidRDefault="00A61E06" w:rsidP="00A61E06">
      <w:pPr>
        <w:spacing w:after="0" w:line="240" w:lineRule="auto"/>
        <w:jc w:val="both"/>
        <w:rPr>
          <w:rStyle w:val="aff"/>
          <w:rFonts w:ascii="Times New Roman" w:hAnsi="Times New Roman" w:cs="Times New Roman"/>
          <w:color w:val="0070C0"/>
          <w:spacing w:val="0"/>
          <w:sz w:val="16"/>
          <w:szCs w:val="16"/>
        </w:rPr>
      </w:pPr>
    </w:p>
    <w:p w14:paraId="54C5F386"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91C4255"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C298AD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28 июля и 3 августа 1933. Из протокола заседания Политбюро N 142, особая папка, 1933 г.</w:t>
      </w:r>
    </w:p>
    <w:p w14:paraId="40C17E9A"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Далькрайкома ВКП(б) </w:t>
      </w:r>
    </w:p>
    <w:p w14:paraId="5A22C1D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Разрешить Дальне-Восточному крайкому выселение 5 тыс. кулацких семейств из сельских районов края для использования на хозработах на предприятиях золотой и лесной промышленности (11652). </w:t>
      </w:r>
    </w:p>
    <w:p w14:paraId="02745F6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457BDE23"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C05ACA6"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0BD352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июля 1933 были установлены дипотношения с Испанией (3960, 292).</w:t>
      </w:r>
    </w:p>
    <w:p w14:paraId="35AD9CC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60650058"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28 июля и 3 августа 1933. Из протокола заседания Политбюро N 142, особая папка, 1933 г.</w:t>
      </w:r>
    </w:p>
    <w:p w14:paraId="1DCB1FB0"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протоколах V (Лондонского) съезда партии </w:t>
      </w:r>
    </w:p>
    <w:p w14:paraId="148B761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ИМЭЛ приобрести подлинники протоколов V (Лондонского) съезда партии с расходованием на это 3750 рублей золотом (11652).</w:t>
      </w:r>
    </w:p>
    <w:p w14:paraId="453EDB7A"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17769FD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28 июля и 3 августа 1933. Из протокола заседания Политбюро N 142, особая папка, 1933 г.</w:t>
      </w:r>
    </w:p>
    <w:p w14:paraId="3CDF417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поездке группы профессоров медицины в Латвию </w:t>
      </w:r>
    </w:p>
    <w:p w14:paraId="5BDE5E5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поездку группе профессоров медицины в Латвию для прочтения лекций на курсах усовершенствования врачей без выдачи валюты (11652).</w:t>
      </w:r>
    </w:p>
    <w:p w14:paraId="7CD55A8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200019EF"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EEFB493"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CEF419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июля 1933 была представлена боевая схема самолета МИ3-2М34 опытный (7415, 16).</w:t>
      </w:r>
    </w:p>
    <w:p w14:paraId="51B35388"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67986BE9"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июля 1933 года закончились совместные испытания головного серийного самолета «Z» № 39004 с мотором Гном Рон ЮVI 9 АО, которые проходили с 28 июня 1933 (6787).</w:t>
      </w:r>
    </w:p>
    <w:p w14:paraId="5D70ABE0"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467E8F3C"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Холодов</w:t>
      </w:r>
    </w:p>
    <w:p w14:paraId="0049C8FE"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Попов</w:t>
      </w:r>
    </w:p>
    <w:p w14:paraId="29B063BC"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6EEEE442"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самолета и выявление дефектов для исправления их на последующих образцах.</w:t>
      </w:r>
    </w:p>
    <w:p w14:paraId="5DB7B2B5"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6B4FB7F9" w14:textId="77777777" w:rsidR="00264DA9" w:rsidRPr="0044524F" w:rsidRDefault="00264DA9"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совершенно необходимым форсировать доводку пушечного вооружения с тем, чтобы последнее было испытано на самолете не позднее 1 сентября 1932 года.</w:t>
      </w:r>
    </w:p>
    <w:p w14:paraId="6C51ACB6"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145BB9A1"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поступил на испытания – 28 июня 1932 года</w:t>
      </w:r>
    </w:p>
    <w:p w14:paraId="1DED248A"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начато – 28 июня 1932 года</w:t>
      </w:r>
    </w:p>
    <w:p w14:paraId="2D9F8DD0"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окончено – 29 июля 1932 года</w:t>
      </w:r>
    </w:p>
    <w:p w14:paraId="5D102992"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испытания 32 календарных дня.</w:t>
      </w:r>
    </w:p>
    <w:p w14:paraId="5017AB0B"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произведено в 9 летных дней (6787).</w:t>
      </w:r>
    </w:p>
    <w:p w14:paraId="37099924"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44D33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29 июля 1933 самолет К-7 был закончен постройкой и выведен на аэродром (1076,595).</w:t>
      </w:r>
    </w:p>
    <w:p w14:paraId="1968D13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в тот же день, но в июне</w:t>
      </w:r>
    </w:p>
    <w:p w14:paraId="652EB65E"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4C17255D"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июля 1933 ЦАГИ и завод 39 подписали договор N 106 на изготовлении в ЦАГИ РД военный вариант (1102).</w:t>
      </w:r>
    </w:p>
    <w:p w14:paraId="2F014C3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5FD65F67"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июля 1933 года начальник Газодинамической лаборатории Клейменов писал письмо № 537с начальнику управления военных изобретений.</w:t>
      </w:r>
    </w:p>
    <w:p w14:paraId="3E16E8CE"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Настоящим доношу, что лабораторные испытания по разгону самолета ТБ-1 удовлетворительно закончены.</w:t>
      </w:r>
    </w:p>
    <w:p w14:paraId="0FEE0061"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Присутствовавший на последнем испытании начальник ВВС Реввоенсовета Алкснис просил сверх программы произвести дополнительные испытания с весом самолета 8000 кг. Эти испытания подготавливаются (6795, 49).</w:t>
      </w:r>
    </w:p>
    <w:p w14:paraId="38913F0A"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2C2625"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июля 1933 дата присвоения опознавательного знака с литерой "Н" - СССР-Н20 - Ш-2, зав. № Ш31174, мотор - М-11.Первоначальный владелец воздушного судна - УВС ГУСМП. Самолет выпуска 1932 г. За 1933- 35 гг. СССР-Н20 налетал на Земле Франца-Иосифа 101 ч. 23 мин. В 1937-38 гг. в Беломорском отряде УПА, в 1939 г. принят на баланс Игарского авиаотряда. В 1939 г. самолет проходил капитальный ремонт на КАРЗе. В конце марта 1941 г. самолету требовался уже восстановительный ремонт. Шпангоуты, лонжероны и стрингера были поражены грибком, подкосы центроплана и стабилизатора проржавели. Комиссия КАРЗа предложила списать машину, что и было сделано приказом по ГУСМП № Р-147 от 22.5.41 г. (11955).</w:t>
      </w:r>
    </w:p>
    <w:p w14:paraId="33C0262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6D851975"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62E958A"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42BA8AC"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29 июля 1933 г. из имущества ТЕКО («Камы») было пре</w:t>
      </w:r>
      <w:r w:rsidRPr="0044524F">
        <w:rPr>
          <w:rFonts w:ascii="Times New Roman" w:hAnsi="Times New Roman"/>
          <w:color w:val="000000" w:themeColor="text1"/>
          <w:sz w:val="16"/>
          <w:szCs w:val="16"/>
        </w:rPr>
        <w:softHyphen/>
        <w:t>дусмотрено к отправке в Германию:</w:t>
      </w:r>
    </w:p>
    <w:p w14:paraId="79F2AAA5"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Машины (колесные машины, тягачи, 2 больших трактора «Даймлер-Бенц», 2 больших и 2 легких трактора «Крупп», 2 больших и 2 лег</w:t>
      </w:r>
      <w:r w:rsidRPr="0044524F">
        <w:rPr>
          <w:rFonts w:ascii="Times New Roman" w:hAnsi="Times New Roman"/>
          <w:color w:val="000000" w:themeColor="text1"/>
          <w:sz w:val="16"/>
          <w:szCs w:val="16"/>
        </w:rPr>
        <w:softHyphen/>
        <w:t>ких трактора Рейнметалл.</w:t>
      </w:r>
    </w:p>
    <w:p w14:paraId="6D8965D0"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Оружие и оптические приборы: 2 7,5-см пушки Рейнметалл с тормозом, воздушным накатником, 1 7,5-см пушка «Крупп» с тормозом и воздушным накатником, 4 3,7-см пуш</w:t>
      </w:r>
      <w:r w:rsidRPr="0044524F">
        <w:rPr>
          <w:rFonts w:ascii="Times New Roman" w:hAnsi="Times New Roman"/>
          <w:color w:val="000000" w:themeColor="text1"/>
          <w:sz w:val="16"/>
          <w:szCs w:val="16"/>
        </w:rPr>
        <w:softHyphen/>
        <w:t>ки 45—2 с тормозом и воздушным накатником, 3 3,7-см ав</w:t>
      </w:r>
      <w:r w:rsidRPr="0044524F">
        <w:rPr>
          <w:rFonts w:ascii="Times New Roman" w:hAnsi="Times New Roman"/>
          <w:color w:val="000000" w:themeColor="text1"/>
          <w:sz w:val="16"/>
          <w:szCs w:val="16"/>
        </w:rPr>
        <w:softHyphen/>
        <w:t>томатические пушки с принадлежностями, к ним же 4 опти</w:t>
      </w:r>
      <w:r w:rsidRPr="0044524F">
        <w:rPr>
          <w:rFonts w:ascii="Times New Roman" w:hAnsi="Times New Roman"/>
          <w:color w:val="000000" w:themeColor="text1"/>
          <w:sz w:val="16"/>
          <w:szCs w:val="16"/>
        </w:rPr>
        <w:softHyphen/>
        <w:t>ческих прицела; 1 пулемет 08/15 с принадлежностью; 3 пуле</w:t>
      </w:r>
      <w:r w:rsidRPr="0044524F">
        <w:rPr>
          <w:rFonts w:ascii="Times New Roman" w:hAnsi="Times New Roman"/>
          <w:color w:val="000000" w:themeColor="text1"/>
          <w:sz w:val="16"/>
          <w:szCs w:val="16"/>
        </w:rPr>
        <w:softHyphen/>
        <w:t>мета 13с принадлежностью; 4 пулемета «Седа» с принадлеж</w:t>
      </w:r>
      <w:r w:rsidRPr="0044524F">
        <w:rPr>
          <w:rFonts w:ascii="Times New Roman" w:hAnsi="Times New Roman"/>
          <w:color w:val="000000" w:themeColor="text1"/>
          <w:sz w:val="16"/>
          <w:szCs w:val="16"/>
        </w:rPr>
        <w:softHyphen/>
        <w:t>ностью, 10 пулеметов... 15 с принадлежностью; 3 винтовки 98; 5 автоматических пистолетов; 12 пистолетов 08; оптика, стереотрубы и др...</w:t>
      </w:r>
    </w:p>
    <w:p w14:paraId="4B13CFBA"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Боеприпасы: 800 7,5-см учебных гранат; 2000 3,7 см учеб</w:t>
      </w:r>
      <w:r w:rsidRPr="0044524F">
        <w:rPr>
          <w:rFonts w:ascii="Times New Roman" w:hAnsi="Times New Roman"/>
          <w:color w:val="000000" w:themeColor="text1"/>
          <w:sz w:val="16"/>
          <w:szCs w:val="16"/>
        </w:rPr>
        <w:softHyphen/>
        <w:t>ных гранат, патроны, гранаты».</w:t>
      </w:r>
    </w:p>
    <w:p w14:paraId="5214F374"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Безвозмездно было передано РККА:\</w:t>
      </w:r>
    </w:p>
    <w:p w14:paraId="08CC7DAA"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Все проведенные за текущие годы стройки, включая стандартно поставленное машинное оборудование в мастерских, которые согласно ин</w:t>
      </w:r>
      <w:r w:rsidRPr="0044524F">
        <w:rPr>
          <w:rFonts w:ascii="Times New Roman" w:hAnsi="Times New Roman"/>
          <w:color w:val="000000" w:themeColor="text1"/>
          <w:sz w:val="16"/>
          <w:szCs w:val="16"/>
        </w:rPr>
        <w:softHyphen/>
        <w:t>вентаризации, имеют ценность свыше 650 000 рублей...</w:t>
      </w:r>
    </w:p>
    <w:p w14:paraId="27FD920A"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Обо</w:t>
      </w:r>
      <w:r w:rsidRPr="0044524F">
        <w:rPr>
          <w:rFonts w:ascii="Times New Roman" w:hAnsi="Times New Roman"/>
          <w:color w:val="000000" w:themeColor="text1"/>
          <w:sz w:val="16"/>
          <w:szCs w:val="16"/>
        </w:rPr>
        <w:softHyphen/>
        <w:t>рудование мастерских (пресс, станки, пилы, краны, ма</w:t>
      </w:r>
      <w:r w:rsidRPr="0044524F">
        <w:rPr>
          <w:rFonts w:ascii="Times New Roman" w:hAnsi="Times New Roman"/>
          <w:color w:val="000000" w:themeColor="text1"/>
          <w:sz w:val="16"/>
          <w:szCs w:val="16"/>
        </w:rPr>
        <w:softHyphen/>
        <w:t>шина для выдавливания рулонов жести)... 3. Оборудование мебелью жилых и служебных помещений, казино, прачечной со стоимостью в 180 000 руб. 4. Радиоприборы. 5. Оборудова</w:t>
      </w:r>
      <w:r w:rsidRPr="0044524F">
        <w:rPr>
          <w:rFonts w:ascii="Times New Roman" w:hAnsi="Times New Roman"/>
          <w:color w:val="000000" w:themeColor="text1"/>
          <w:sz w:val="16"/>
          <w:szCs w:val="16"/>
        </w:rPr>
        <w:softHyphen/>
        <w:t>ние для стрелкового обучения (тиры)... » (10560,230).</w:t>
      </w:r>
    </w:p>
    <w:p w14:paraId="45D854B6" w14:textId="77777777" w:rsidR="00264DA9" w:rsidRPr="0044524F" w:rsidRDefault="00264DA9"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2590CEE"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29 июля 1933 г. из имущества ТЕКО («Камы») было предусмотрено к отправке в Германию:</w:t>
      </w:r>
    </w:p>
    <w:p w14:paraId="5D51F4FB"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Машины (колёсные машины, тягачи, 2 больших трактора «Даймлер-Бенц», 2 больших и 2 лёгких трактора «Крупп», 2 больших и 2 лёгких трактора «Рейнметалл». [Читатель уже знает, что это были за «тракторы».]</w:t>
      </w:r>
    </w:p>
    <w:p w14:paraId="2C301807"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Оружие и оптические приборы: две – 7,5-см пушки «Рейнметалл» с тормозом, воздушным накатником, одна 7,5-см пушка «Крупп» с тормозом и воздушным накатником, четыре 3,7-см пушки 45–2 с тормозом и воздушным накатником, три 3,7-см автоматические пушки с принадлежностями, к ним же 4 оптических прицела; 1 пулемёт 08/15 с принадлежностью; 3 пулемёта 13 с принадлежностью; 4 пулемёта «Седа» с принадлежностью, 10 пулемётов».</w:t>
      </w:r>
    </w:p>
    <w:p w14:paraId="4C168C06"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Немцы предлагали продать советской стороне несколько автомашин и мотоциклов, включая вездеход «Бюссинг-НАГ», на сумму 159 тыс. рублей; радиотехническое оборудование (передатчики и приёмники «Телефункен» и «Лоренц») на сумму 10 970 рублей; оружейные и оптические приспособления и т. д. Всего на сумму 284 270 рублей (25184).</w:t>
      </w:r>
    </w:p>
    <w:p w14:paraId="1806A6F6" w14:textId="77777777" w:rsidR="00A61E06" w:rsidRPr="00142305" w:rsidRDefault="00A61E06" w:rsidP="00A61E06">
      <w:pPr>
        <w:spacing w:after="0" w:line="240" w:lineRule="auto"/>
        <w:jc w:val="both"/>
        <w:rPr>
          <w:rFonts w:ascii="Times New Roman" w:hAnsi="Times New Roman"/>
          <w:color w:val="0070C0"/>
          <w:sz w:val="16"/>
          <w:szCs w:val="16"/>
        </w:rPr>
      </w:pPr>
    </w:p>
    <w:p w14:paraId="1736A41C"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6427F6B"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01EFD0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июля 1933 вышло постановление РВС по докладу нач. ВМС “Об итогах первой пятилетки в области вооружения ВМС РККА” - отметили неудовлетворительное состояние в изготовлении крупнокалиберных снарядов (5484,196).</w:t>
      </w:r>
    </w:p>
    <w:p w14:paraId="1FDD77C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0E496B75"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1AC30A3"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5D29B7B"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31 июля по 11 сентября 1934 года проходили гос. испытания опытного самолета ЛР-М34Н (легкий разведчик) (6664).</w:t>
      </w:r>
    </w:p>
    <w:p w14:paraId="6BA39559"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7DA56519"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Калилец</w:t>
      </w:r>
    </w:p>
    <w:p w14:paraId="4D247454"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–Долгов</w:t>
      </w:r>
    </w:p>
    <w:p w14:paraId="0A8FAB49"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44AAD128" w14:textId="77777777" w:rsidR="00264DA9" w:rsidRPr="0044524F" w:rsidRDefault="00264DA9"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w:t>
      </w:r>
    </w:p>
    <w:p w14:paraId="6826C9DD" w14:textId="77777777" w:rsidR="00264DA9" w:rsidRPr="0044524F" w:rsidRDefault="00264DA9"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Выявление эксплуатационных свойств самолета.</w:t>
      </w:r>
    </w:p>
    <w:p w14:paraId="331B176D" w14:textId="77777777" w:rsidR="00264DA9" w:rsidRPr="0044524F" w:rsidRDefault="00264DA9"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Оценка тактических свойств самолета.</w:t>
      </w:r>
    </w:p>
    <w:p w14:paraId="315E78E8"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0511AA0" w14:textId="77777777" w:rsidR="00264DA9" w:rsidRPr="0044524F" w:rsidRDefault="00264DA9"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ЛР обладает хорошими летными данными, является современным разведчиком и может быть пущен в серийную постройку.</w:t>
      </w:r>
    </w:p>
    <w:p w14:paraId="12772466"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w:t>
      </w:r>
    </w:p>
    <w:p w14:paraId="7FBC2056"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прохождения испытаний самолета ЛР-М34Н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79C4C8FC" w14:textId="77777777">
        <w:tc>
          <w:tcPr>
            <w:tcW w:w="5636" w:type="dxa"/>
          </w:tcPr>
          <w:p w14:paraId="6F3187CA"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июля 1934 года</w:t>
            </w:r>
          </w:p>
        </w:tc>
        <w:tc>
          <w:tcPr>
            <w:tcW w:w="5636" w:type="dxa"/>
          </w:tcPr>
          <w:p w14:paraId="5A3336A9"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поступил на гос. испытания.</w:t>
            </w:r>
          </w:p>
        </w:tc>
      </w:tr>
      <w:tr w:rsidR="004E10C1" w:rsidRPr="0044524F" w14:paraId="654EADB0" w14:textId="77777777">
        <w:tc>
          <w:tcPr>
            <w:tcW w:w="5636" w:type="dxa"/>
          </w:tcPr>
          <w:p w14:paraId="0D5F525A"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1934 года</w:t>
            </w:r>
          </w:p>
        </w:tc>
        <w:tc>
          <w:tcPr>
            <w:tcW w:w="5636" w:type="dxa"/>
          </w:tcPr>
          <w:p w14:paraId="1CE70244"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6EE91C78" w14:textId="77777777">
        <w:tc>
          <w:tcPr>
            <w:tcW w:w="5636" w:type="dxa"/>
          </w:tcPr>
          <w:p w14:paraId="166A219D"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августа 1934 года</w:t>
            </w:r>
          </w:p>
        </w:tc>
        <w:tc>
          <w:tcPr>
            <w:tcW w:w="5636" w:type="dxa"/>
          </w:tcPr>
          <w:p w14:paraId="0098545D"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зубцы.</w:t>
            </w:r>
          </w:p>
        </w:tc>
      </w:tr>
      <w:tr w:rsidR="004E10C1" w:rsidRPr="0044524F" w14:paraId="4E6DE6DE" w14:textId="77777777">
        <w:tc>
          <w:tcPr>
            <w:tcW w:w="5636" w:type="dxa"/>
          </w:tcPr>
          <w:p w14:paraId="7FF619A2"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1934 года</w:t>
            </w:r>
          </w:p>
        </w:tc>
        <w:tc>
          <w:tcPr>
            <w:tcW w:w="5636" w:type="dxa"/>
          </w:tcPr>
          <w:p w14:paraId="1F4252C4"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для проверки автоматического регулятора.</w:t>
            </w:r>
          </w:p>
        </w:tc>
      </w:tr>
      <w:tr w:rsidR="004E10C1" w:rsidRPr="0044524F" w14:paraId="7EAF1692" w14:textId="77777777">
        <w:tc>
          <w:tcPr>
            <w:tcW w:w="5636" w:type="dxa"/>
          </w:tcPr>
          <w:p w14:paraId="693EBF4B"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1934 года</w:t>
            </w:r>
          </w:p>
        </w:tc>
        <w:tc>
          <w:tcPr>
            <w:tcW w:w="5636" w:type="dxa"/>
          </w:tcPr>
          <w:p w14:paraId="273D889F"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испытание бомбардировочного вооружения.</w:t>
            </w:r>
          </w:p>
        </w:tc>
      </w:tr>
      <w:tr w:rsidR="004E10C1" w:rsidRPr="0044524F" w14:paraId="4949EA1D" w14:textId="77777777">
        <w:tc>
          <w:tcPr>
            <w:tcW w:w="5636" w:type="dxa"/>
          </w:tcPr>
          <w:p w14:paraId="1E01E4F0"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1934 года</w:t>
            </w:r>
          </w:p>
        </w:tc>
        <w:tc>
          <w:tcPr>
            <w:tcW w:w="5636" w:type="dxa"/>
          </w:tcPr>
          <w:p w14:paraId="49B89571"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маневренность и устойчивость.</w:t>
            </w:r>
          </w:p>
        </w:tc>
      </w:tr>
      <w:tr w:rsidR="004E10C1" w:rsidRPr="0044524F" w14:paraId="0429DDAA" w14:textId="77777777">
        <w:tc>
          <w:tcPr>
            <w:tcW w:w="5636" w:type="dxa"/>
          </w:tcPr>
          <w:p w14:paraId="33A7411D"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1934 года</w:t>
            </w:r>
          </w:p>
        </w:tc>
        <w:tc>
          <w:tcPr>
            <w:tcW w:w="5636" w:type="dxa"/>
          </w:tcPr>
          <w:p w14:paraId="3279C290"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зубцы.</w:t>
            </w:r>
          </w:p>
        </w:tc>
      </w:tr>
      <w:tr w:rsidR="004E10C1" w:rsidRPr="0044524F" w14:paraId="06C65FFA" w14:textId="77777777">
        <w:tc>
          <w:tcPr>
            <w:tcW w:w="5636" w:type="dxa"/>
          </w:tcPr>
          <w:p w14:paraId="552983F2"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1934 года</w:t>
            </w:r>
          </w:p>
        </w:tc>
        <w:tc>
          <w:tcPr>
            <w:tcW w:w="5636" w:type="dxa"/>
          </w:tcPr>
          <w:p w14:paraId="34B7B5CE"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 с бомбами.</w:t>
            </w:r>
          </w:p>
        </w:tc>
      </w:tr>
      <w:tr w:rsidR="004E10C1" w:rsidRPr="0044524F" w14:paraId="01744E6F" w14:textId="77777777">
        <w:tc>
          <w:tcPr>
            <w:tcW w:w="5636" w:type="dxa"/>
          </w:tcPr>
          <w:p w14:paraId="035CBFE2"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1934 года</w:t>
            </w:r>
          </w:p>
        </w:tc>
        <w:tc>
          <w:tcPr>
            <w:tcW w:w="5636" w:type="dxa"/>
          </w:tcPr>
          <w:p w14:paraId="1839EE36"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с бомбами.</w:t>
            </w:r>
          </w:p>
        </w:tc>
      </w:tr>
      <w:tr w:rsidR="004E10C1" w:rsidRPr="0044524F" w14:paraId="422510A0" w14:textId="77777777">
        <w:tc>
          <w:tcPr>
            <w:tcW w:w="5636" w:type="dxa"/>
          </w:tcPr>
          <w:p w14:paraId="65F1B05E"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1934 года</w:t>
            </w:r>
          </w:p>
        </w:tc>
        <w:tc>
          <w:tcPr>
            <w:tcW w:w="5636" w:type="dxa"/>
          </w:tcPr>
          <w:p w14:paraId="04080143"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w:t>
            </w:r>
          </w:p>
        </w:tc>
      </w:tr>
      <w:tr w:rsidR="004E10C1" w:rsidRPr="0044524F" w14:paraId="43926E1B" w14:textId="77777777">
        <w:tc>
          <w:tcPr>
            <w:tcW w:w="5636" w:type="dxa"/>
          </w:tcPr>
          <w:p w14:paraId="22FBA730"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1934 года</w:t>
            </w:r>
          </w:p>
        </w:tc>
        <w:tc>
          <w:tcPr>
            <w:tcW w:w="5636" w:type="dxa"/>
          </w:tcPr>
          <w:p w14:paraId="2B49A6D8"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Пробный полет с новым мотором.</w:t>
            </w:r>
          </w:p>
        </w:tc>
      </w:tr>
      <w:tr w:rsidR="004E10C1" w:rsidRPr="0044524F" w14:paraId="5ECB61A6" w14:textId="77777777">
        <w:tc>
          <w:tcPr>
            <w:tcW w:w="5636" w:type="dxa"/>
          </w:tcPr>
          <w:p w14:paraId="6396E024"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1934 года</w:t>
            </w:r>
          </w:p>
        </w:tc>
        <w:tc>
          <w:tcPr>
            <w:tcW w:w="5636" w:type="dxa"/>
          </w:tcPr>
          <w:p w14:paraId="2E21B938"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испытание химвооружения.</w:t>
            </w:r>
          </w:p>
        </w:tc>
      </w:tr>
      <w:tr w:rsidR="004E10C1" w:rsidRPr="0044524F" w14:paraId="421EE412" w14:textId="77777777">
        <w:tc>
          <w:tcPr>
            <w:tcW w:w="5636" w:type="dxa"/>
          </w:tcPr>
          <w:p w14:paraId="3B6E0202"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августа 1934 года</w:t>
            </w:r>
          </w:p>
        </w:tc>
        <w:tc>
          <w:tcPr>
            <w:tcW w:w="5636" w:type="dxa"/>
          </w:tcPr>
          <w:p w14:paraId="064FE55D"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испытание химвооружения.</w:t>
            </w:r>
          </w:p>
        </w:tc>
      </w:tr>
      <w:tr w:rsidR="004E10C1" w:rsidRPr="0044524F" w14:paraId="05BAD3B2" w14:textId="77777777">
        <w:tc>
          <w:tcPr>
            <w:tcW w:w="5636" w:type="dxa"/>
          </w:tcPr>
          <w:p w14:paraId="362064BA"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августа 1934 года</w:t>
            </w:r>
          </w:p>
        </w:tc>
        <w:tc>
          <w:tcPr>
            <w:tcW w:w="5636" w:type="dxa"/>
          </w:tcPr>
          <w:p w14:paraId="13C4F36A"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расчетную высоту для подбора оборотов винта.</w:t>
            </w:r>
          </w:p>
        </w:tc>
      </w:tr>
      <w:tr w:rsidR="004E10C1" w:rsidRPr="0044524F" w14:paraId="4A359374" w14:textId="77777777">
        <w:tc>
          <w:tcPr>
            <w:tcW w:w="5636" w:type="dxa"/>
          </w:tcPr>
          <w:p w14:paraId="6B581141"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августа 1934 года</w:t>
            </w:r>
          </w:p>
        </w:tc>
        <w:tc>
          <w:tcPr>
            <w:tcW w:w="5636" w:type="dxa"/>
          </w:tcPr>
          <w:p w14:paraId="2C9AD04B"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расчетную высоту для подбора оборотов винта.</w:t>
            </w:r>
          </w:p>
        </w:tc>
      </w:tr>
      <w:tr w:rsidR="004E10C1" w:rsidRPr="0044524F" w14:paraId="12CA99E8" w14:textId="77777777">
        <w:tc>
          <w:tcPr>
            <w:tcW w:w="5636" w:type="dxa"/>
          </w:tcPr>
          <w:p w14:paraId="0466AA8D"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1934 года</w:t>
            </w:r>
          </w:p>
        </w:tc>
        <w:tc>
          <w:tcPr>
            <w:tcW w:w="5636" w:type="dxa"/>
          </w:tcPr>
          <w:p w14:paraId="71A99BCA"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выявление скороподъемности и скоростей по высотам.</w:t>
            </w:r>
          </w:p>
        </w:tc>
      </w:tr>
      <w:tr w:rsidR="004E10C1" w:rsidRPr="0044524F" w14:paraId="3E9064B6" w14:textId="77777777">
        <w:tc>
          <w:tcPr>
            <w:tcW w:w="5636" w:type="dxa"/>
          </w:tcPr>
          <w:p w14:paraId="017F2723"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1934 года</w:t>
            </w:r>
          </w:p>
        </w:tc>
        <w:tc>
          <w:tcPr>
            <w:tcW w:w="5636" w:type="dxa"/>
          </w:tcPr>
          <w:p w14:paraId="060D12A1"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испытание стрелкового и бомбардировочного вооружения.</w:t>
            </w:r>
          </w:p>
        </w:tc>
      </w:tr>
      <w:tr w:rsidR="004E10C1" w:rsidRPr="0044524F" w14:paraId="2026393C" w14:textId="77777777">
        <w:tc>
          <w:tcPr>
            <w:tcW w:w="5636" w:type="dxa"/>
          </w:tcPr>
          <w:p w14:paraId="44745E43"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1934 года</w:t>
            </w:r>
          </w:p>
        </w:tc>
        <w:tc>
          <w:tcPr>
            <w:tcW w:w="5636" w:type="dxa"/>
          </w:tcPr>
          <w:p w14:paraId="3F50F726"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с новым винтом.</w:t>
            </w:r>
          </w:p>
        </w:tc>
      </w:tr>
      <w:tr w:rsidR="004E10C1" w:rsidRPr="0044524F" w14:paraId="05C070AE" w14:textId="77777777">
        <w:tc>
          <w:tcPr>
            <w:tcW w:w="5636" w:type="dxa"/>
          </w:tcPr>
          <w:p w14:paraId="756E70C2"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1934 года</w:t>
            </w:r>
          </w:p>
        </w:tc>
        <w:tc>
          <w:tcPr>
            <w:tcW w:w="5636" w:type="dxa"/>
          </w:tcPr>
          <w:p w14:paraId="28E8CAFF"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по треугольнику.</w:t>
            </w:r>
          </w:p>
        </w:tc>
      </w:tr>
      <w:tr w:rsidR="004E10C1" w:rsidRPr="0044524F" w14:paraId="0FC5431F" w14:textId="77777777">
        <w:tc>
          <w:tcPr>
            <w:tcW w:w="5636" w:type="dxa"/>
          </w:tcPr>
          <w:p w14:paraId="42AF8719"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сентября 1934 года</w:t>
            </w:r>
          </w:p>
        </w:tc>
        <w:tc>
          <w:tcPr>
            <w:tcW w:w="5636" w:type="dxa"/>
          </w:tcPr>
          <w:p w14:paraId="62DE9349"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самолета.</w:t>
            </w:r>
          </w:p>
        </w:tc>
      </w:tr>
      <w:tr w:rsidR="004E10C1" w:rsidRPr="0044524F" w14:paraId="40115274" w14:textId="77777777">
        <w:tc>
          <w:tcPr>
            <w:tcW w:w="5636" w:type="dxa"/>
          </w:tcPr>
          <w:p w14:paraId="1DACA972"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сентября 1934 года</w:t>
            </w:r>
          </w:p>
        </w:tc>
        <w:tc>
          <w:tcPr>
            <w:tcW w:w="5636" w:type="dxa"/>
          </w:tcPr>
          <w:p w14:paraId="03ED4233"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самолета.</w:t>
            </w:r>
          </w:p>
        </w:tc>
      </w:tr>
      <w:tr w:rsidR="004E10C1" w:rsidRPr="0044524F" w14:paraId="55317EE9" w14:textId="77777777">
        <w:tc>
          <w:tcPr>
            <w:tcW w:w="5636" w:type="dxa"/>
          </w:tcPr>
          <w:p w14:paraId="73950142"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1934 года</w:t>
            </w:r>
          </w:p>
        </w:tc>
        <w:tc>
          <w:tcPr>
            <w:tcW w:w="5636" w:type="dxa"/>
          </w:tcPr>
          <w:p w14:paraId="365E2801"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w:t>
            </w:r>
          </w:p>
        </w:tc>
      </w:tr>
      <w:tr w:rsidR="004E10C1" w:rsidRPr="0044524F" w14:paraId="4C72AB79" w14:textId="77777777">
        <w:tc>
          <w:tcPr>
            <w:tcW w:w="5636" w:type="dxa"/>
          </w:tcPr>
          <w:p w14:paraId="66DE9499"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1934 года</w:t>
            </w:r>
          </w:p>
        </w:tc>
        <w:tc>
          <w:tcPr>
            <w:tcW w:w="5636" w:type="dxa"/>
          </w:tcPr>
          <w:p w14:paraId="03F79744"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с расчетным весом.</w:t>
            </w:r>
          </w:p>
        </w:tc>
      </w:tr>
      <w:tr w:rsidR="004E10C1" w:rsidRPr="0044524F" w14:paraId="514A822C" w14:textId="77777777">
        <w:tc>
          <w:tcPr>
            <w:tcW w:w="5636" w:type="dxa"/>
          </w:tcPr>
          <w:p w14:paraId="66291B65"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11 сентября 1934 года</w:t>
            </w:r>
          </w:p>
        </w:tc>
        <w:tc>
          <w:tcPr>
            <w:tcW w:w="5636" w:type="dxa"/>
          </w:tcPr>
          <w:p w14:paraId="520CD4BF"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воздушный бой с другими самолетами.</w:t>
            </w:r>
          </w:p>
        </w:tc>
      </w:tr>
    </w:tbl>
    <w:p w14:paraId="3270A335"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выполнены с 31 июля по 11 сентября 1934 года, т.е. за 43 календарных дня, из них полетных дней – 14. Сделано 48 полетов общей продолжительностью 31 час. 10 мин.</w:t>
      </w:r>
    </w:p>
    <w:p w14:paraId="2631FE33"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ЛР-М34Н двухместный полутороплан смешанной конструкции.</w:t>
      </w:r>
    </w:p>
    <w:p w14:paraId="66F1AB1D"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Основное назначение – легкий армейский разведчик и легкий бомбардировщик для полетов днем и ночью. Вооружен одним пулеметом ПВ-1 для стрельбы вперед (через винт) и одним пулеметом Шкасс назад с экранированной турели. Может нести 200 кг бомб или химвооружения (6664).</w:t>
      </w:r>
    </w:p>
    <w:p w14:paraId="603E6767"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511BB86"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июля 1933 года главный инженер-механик ВВС Аузан писал письмо N 2/0965 начальнику штаба ВВС.</w:t>
      </w:r>
    </w:p>
    <w:p w14:paraId="2453ED1B"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Технические требования к одноместному истребителю И-16 (ЦКБ N 12) под мотор М-22 (3899,423-427).</w:t>
      </w:r>
    </w:p>
    <w:p w14:paraId="42BBEE17"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данные</w:t>
      </w:r>
    </w:p>
    <w:p w14:paraId="3EA9B48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полезной нагрузкой 220,6 кг и запасом горючего и смазочного обеспечивающим технический радиус действия250 км на высоте 5000 м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3E2A11AC" w14:textId="77777777">
        <w:tc>
          <w:tcPr>
            <w:tcW w:w="5636" w:type="dxa"/>
          </w:tcPr>
          <w:p w14:paraId="0F80A160"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 на высоте 5000 м</w:t>
            </w:r>
          </w:p>
        </w:tc>
        <w:tc>
          <w:tcPr>
            <w:tcW w:w="5636" w:type="dxa"/>
          </w:tcPr>
          <w:p w14:paraId="54BBA808"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 км/час</w:t>
            </w:r>
          </w:p>
        </w:tc>
      </w:tr>
      <w:tr w:rsidR="004E10C1" w:rsidRPr="0044524F" w14:paraId="73690304" w14:textId="77777777">
        <w:tc>
          <w:tcPr>
            <w:tcW w:w="5636" w:type="dxa"/>
          </w:tcPr>
          <w:p w14:paraId="6EF4DA5C"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5000 м</w:t>
            </w:r>
          </w:p>
        </w:tc>
        <w:tc>
          <w:tcPr>
            <w:tcW w:w="5636" w:type="dxa"/>
          </w:tcPr>
          <w:p w14:paraId="4269E45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7,5-8 мин.</w:t>
            </w:r>
          </w:p>
        </w:tc>
      </w:tr>
      <w:tr w:rsidR="004E10C1" w:rsidRPr="0044524F" w14:paraId="33B8384F" w14:textId="77777777">
        <w:tc>
          <w:tcPr>
            <w:tcW w:w="5636" w:type="dxa"/>
          </w:tcPr>
          <w:p w14:paraId="1EA5998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практический не менее</w:t>
            </w:r>
          </w:p>
        </w:tc>
        <w:tc>
          <w:tcPr>
            <w:tcW w:w="5636" w:type="dxa"/>
          </w:tcPr>
          <w:p w14:paraId="51FEB6D0"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6500 м</w:t>
            </w:r>
          </w:p>
        </w:tc>
      </w:tr>
      <w:tr w:rsidR="004E10C1" w:rsidRPr="0044524F" w14:paraId="4E7ECD2F" w14:textId="77777777">
        <w:tc>
          <w:tcPr>
            <w:tcW w:w="5636" w:type="dxa"/>
          </w:tcPr>
          <w:p w14:paraId="3D54F40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не более</w:t>
            </w:r>
          </w:p>
        </w:tc>
        <w:tc>
          <w:tcPr>
            <w:tcW w:w="5636" w:type="dxa"/>
          </w:tcPr>
          <w:p w14:paraId="7F21CB3D"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100-105 км/час</w:t>
            </w:r>
          </w:p>
        </w:tc>
      </w:tr>
    </w:tbl>
    <w:p w14:paraId="71925EC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емкость баков должна быть рассчитана на технический радиус - 300 км.</w:t>
      </w:r>
    </w:p>
    <w:p w14:paraId="174C2A21"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Последовательность требований</w:t>
      </w:r>
    </w:p>
    <w:p w14:paraId="5FF90270"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Тактические свойства самолета требуют, чтобы при выполнении и перевыполнении поставленных выше летных данных конструктор учитывал нижеследующую по важности их последовательность:</w:t>
      </w:r>
    </w:p>
    <w:p w14:paraId="6EDF6358"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w:t>
      </w:r>
    </w:p>
    <w:p w14:paraId="0AF30CF3"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w:t>
      </w:r>
    </w:p>
    <w:p w14:paraId="294481F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Маневренность (3899,423-427).</w:t>
      </w:r>
    </w:p>
    <w:p w14:paraId="443BE48F"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3C159FD8"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31 июля 1933 г. приказ НКВМ и НКТП обязал завод № 22 производить внедрение конструкции военного варианта АНТ-14 в серийное производство (25604).</w:t>
      </w:r>
    </w:p>
    <w:p w14:paraId="24A1F0F8" w14:textId="77777777" w:rsidR="00A61E06" w:rsidRPr="00142305" w:rsidRDefault="00A61E06" w:rsidP="00A61E06">
      <w:pPr>
        <w:spacing w:after="0" w:line="240" w:lineRule="auto"/>
        <w:jc w:val="both"/>
        <w:rPr>
          <w:rFonts w:ascii="Times New Roman" w:hAnsi="Times New Roman"/>
          <w:color w:val="0070C0"/>
          <w:sz w:val="16"/>
          <w:szCs w:val="16"/>
        </w:rPr>
      </w:pPr>
    </w:p>
    <w:p w14:paraId="48BC2262" w14:textId="77777777" w:rsidR="00264DA9"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747FDAAC"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7F4E6DA"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июля 1933 года командующий ЛВО выпустил специальный приказ, где "начальникам лагерных сборов округа и командирам частей" напоминалось о необходимости работы "с боевыми ОВ, тщательно соблюдая меры безопасности". Отделение в приказе командиров частей от начальников лагерных сборов было далеко не лишним - в то лето многие воинские части работали с ипритом вне перечисленных лагерей, то есть непосредственно в районе своих расположений. В частности, летчики 3-й авиабригады особого назначения оперировали с ипритом на летней площадке аэродрома Детское Село (это было еще до переименования его в г. Пушкин) столь активно, что забывали дегазировать зараженные ими поля. Бочки они "хранили" непосредственно на своем поле. Соответственно, среди работавших на соседних полях работниц совхоза "Красный авиатор", который был создан специально для их кормления, появилось поражения ипритом (4 случая были зафиксированы официально). А летчики 253 авиапарка завезенные к ним бочки с ипритом и не израсходованные в 1933 году оставили на хранение на своем складе. Не будучи профессионалами-химиками и занятые другими делами, летчики просто забыли выполнять обязательные технологические операции по выпуску давления из этих бочек (9065).</w:t>
      </w:r>
    </w:p>
    <w:p w14:paraId="39492877"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46A22CF4" w14:textId="77777777" w:rsidR="00B04519" w:rsidRPr="0044524F" w:rsidRDefault="00B0451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bCs/>
          <w:iCs/>
          <w:color w:val="000000" w:themeColor="text1"/>
          <w:sz w:val="16"/>
          <w:szCs w:val="16"/>
        </w:rPr>
        <w:t>31 июля 1933 г.</w:t>
      </w:r>
      <w:r w:rsidRPr="0044524F">
        <w:rPr>
          <w:rFonts w:ascii="Times New Roman" w:hAnsi="Times New Roman"/>
          <w:color w:val="000000" w:themeColor="text1"/>
          <w:sz w:val="16"/>
          <w:szCs w:val="16"/>
        </w:rPr>
        <w:t xml:space="preserve"> Приказ командующего Ленинградского военного округа И.П.Белова, в котором «</w:t>
      </w:r>
      <w:r w:rsidRPr="0044524F">
        <w:rPr>
          <w:rFonts w:ascii="Times New Roman" w:hAnsi="Times New Roman"/>
          <w:iCs/>
          <w:color w:val="000000" w:themeColor="text1"/>
          <w:sz w:val="16"/>
          <w:szCs w:val="16"/>
        </w:rPr>
        <w:t>начальникам лагерных сборов округа и командирам частей</w:t>
      </w:r>
      <w:r w:rsidRPr="0044524F">
        <w:rPr>
          <w:rFonts w:ascii="Times New Roman" w:hAnsi="Times New Roman"/>
          <w:color w:val="000000" w:themeColor="text1"/>
          <w:sz w:val="16"/>
          <w:szCs w:val="16"/>
        </w:rPr>
        <w:t>» напоминалось о необходимости работы «</w:t>
      </w:r>
      <w:r w:rsidRPr="0044524F">
        <w:rPr>
          <w:rFonts w:ascii="Times New Roman" w:hAnsi="Times New Roman"/>
          <w:iCs/>
          <w:color w:val="000000" w:themeColor="text1"/>
          <w:sz w:val="16"/>
          <w:szCs w:val="16"/>
        </w:rPr>
        <w:t>с боевыми ОВ, тщательно соблюдая меры безопасности</w:t>
      </w:r>
      <w:r w:rsidRPr="0044524F">
        <w:rPr>
          <w:rFonts w:ascii="Times New Roman" w:hAnsi="Times New Roman"/>
          <w:color w:val="000000" w:themeColor="text1"/>
          <w:sz w:val="16"/>
          <w:szCs w:val="16"/>
        </w:rPr>
        <w:t>». Отделение в приказе командиров частей от начальников лагерных сборов было не лишним — в то лето многие воинские части работали с ипритом вне 12 лагерей, то есть непосредственно в районе своих расположений. В частности, летчики 3-й авиабригады особого назначения оперировали с ипритом на летней площадке аэродрома Детское Село столь активно, что забывали дегазировать зараженные ими поля. Бочки они «хранили» непосредственно на своем поле. Соответственно, среди работавших на соседних полях работниц совхоза «Красный авиатор», который был создан специально для кормления военных летчиков, появилось поражения ипритом (4 случая были официально зафиксированы). А летчики 253 авиапарка завезенные к ним бочки с ипритом и не израсходованные в 1933 году оставили на хранение на своем складе. Не будучи профессионалами-химиками и занятые другими делами, летчики просто забыли выполнять обязательные технологические операции по выпуску давления из этих бочек. Кстати, в то лето 1933 года в ЛВО произошли неординарные события. В иногороднем отделе склада № 54 (основной склад располагался в Ленинграде, а его отдел был вынесен непосредственно в Левашовский лагерь, ближе к войскам) произошел взрыв бочки с ипритом. При разборе выяснилось, что партия из 34 бочек с ипритом, полученных еще в 1932 году, хранилась небрежно. Кончилось тем, что одна из бочек с «некондиционным ипритом» взорвалась. Судьбу и бочки, и остатков иприта предугадать нетрудно — по действовавшим правилам они были просто закопаны на территории лагеря (17133).</w:t>
      </w:r>
    </w:p>
    <w:p w14:paraId="56A370AB" w14:textId="77777777" w:rsidR="00B04519" w:rsidRPr="0044524F" w:rsidRDefault="00B04519" w:rsidP="009654CF">
      <w:pPr>
        <w:shd w:val="clear" w:color="auto" w:fill="FFFFFF"/>
        <w:spacing w:after="0" w:line="240" w:lineRule="auto"/>
        <w:jc w:val="both"/>
        <w:rPr>
          <w:rFonts w:ascii="Times New Roman" w:hAnsi="Times New Roman"/>
          <w:color w:val="000000" w:themeColor="text1"/>
          <w:sz w:val="16"/>
          <w:szCs w:val="16"/>
        </w:rPr>
      </w:pPr>
    </w:p>
    <w:p w14:paraId="57263CC4" w14:textId="77777777" w:rsidR="00264DA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0F61393" w14:textId="77777777" w:rsidR="00264DA9" w:rsidRPr="0044524F" w:rsidRDefault="00264DA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B59EF95"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июля 1933 вышел Отчет об испытании двух облегченных самолетов ТБ3-4М17 за №№ 22243 и 22250 на определение расхода горючего и предельной дальности (6794).</w:t>
      </w:r>
    </w:p>
    <w:p w14:paraId="3448E04D"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6AD1B426"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НИИ ВВС:</w:t>
      </w:r>
    </w:p>
    <w:p w14:paraId="09F90F44"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Лосюков</w:t>
      </w:r>
    </w:p>
    <w:p w14:paraId="32CB681D"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Юмашев</w:t>
      </w:r>
    </w:p>
    <w:p w14:paraId="4065F428"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ЦАГИ:</w:t>
      </w:r>
    </w:p>
    <w:p w14:paraId="22547148"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Тайц</w:t>
      </w:r>
    </w:p>
    <w:p w14:paraId="1C8AAD54"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Громов</w:t>
      </w:r>
    </w:p>
    <w:p w14:paraId="0F281EA6"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112C8373"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задания Правительства об увеличении радиуса действия и бомбовой нагрузки самолета ТБ3:</w:t>
      </w:r>
    </w:p>
    <w:p w14:paraId="73BB8EA4" w14:textId="77777777" w:rsidR="00264DA9" w:rsidRPr="0044524F" w:rsidRDefault="00264DA9"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максимальной дальности самолета при разном горючем (бензольная и этиловая смеси).</w:t>
      </w:r>
    </w:p>
    <w:p w14:paraId="7D5C2ECC" w14:textId="77777777" w:rsidR="00264DA9" w:rsidRPr="0044524F" w:rsidRDefault="00264DA9"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наивыгоднейшего положения высотного корректора на разных высотах.</w:t>
      </w:r>
    </w:p>
    <w:p w14:paraId="547C46D0" w14:textId="77777777" w:rsidR="00264DA9" w:rsidRPr="0044524F" w:rsidRDefault="00264DA9"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расходов указанных видов горючего при полетах на предельной дальности.</w:t>
      </w:r>
    </w:p>
    <w:p w14:paraId="3EB57965" w14:textId="77777777" w:rsidR="00264DA9" w:rsidRPr="0044524F" w:rsidRDefault="00264DA9"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максимального полетного веса самолета и особенностей взлета и пилотажа при этом весе.</w:t>
      </w:r>
    </w:p>
    <w:p w14:paraId="52FEFDBE"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B594B00" w14:textId="77777777" w:rsidR="00264DA9" w:rsidRPr="0044524F" w:rsidRDefault="00264DA9"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произведенных испытаний НИИ ВВС и ЦАГИ считают возможным допустить для дальних перелетов полетный вес самолета ТБ3-4М17 19,5 тонн и регулировку моторов, имевшую место при испытаниях.</w:t>
      </w:r>
    </w:p>
    <w:p w14:paraId="4B9F04D5"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2E89444F"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получены ЦАГИ от 22 завода 26 июня 1933 года</w:t>
      </w:r>
    </w:p>
    <w:p w14:paraId="630E57E0"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подготовлены ЗОКом ЦАГИ и переданы в ОЭЛИД ЦАГИ для испытания 7 июля 1933 года</w:t>
      </w:r>
    </w:p>
    <w:p w14:paraId="384E09A9"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начато 7 июля 1933 года</w:t>
      </w:r>
    </w:p>
    <w:p w14:paraId="24D577B5"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закончено 11 июля 1933 года</w:t>
      </w:r>
    </w:p>
    <w:p w14:paraId="2C5E1008"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испытание 5 дней, из них самолет летал 4 дня (6794).</w:t>
      </w:r>
    </w:p>
    <w:p w14:paraId="2F99BC01" w14:textId="77777777" w:rsidR="00264DA9" w:rsidRPr="0044524F" w:rsidRDefault="00264DA9"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CE3593" w14:textId="77777777" w:rsidR="00F75FDE" w:rsidRPr="0044524F" w:rsidRDefault="00F75FD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 конца июля 1933 по начало сентября 1933 г. в Особом техническом бюро ВВС, созданном на основе конструкторского отдела Гроховского, велись работы по модификации топливной системы ТБ-3.</w:t>
      </w:r>
    </w:p>
    <w:p w14:paraId="7CEA1F9E" w14:textId="77777777" w:rsidR="00F75FDE" w:rsidRPr="0044524F" w:rsidRDefault="00F75FDE" w:rsidP="009654CF">
      <w:pPr>
        <w:spacing w:after="0" w:line="240" w:lineRule="auto"/>
        <w:jc w:val="both"/>
        <w:rPr>
          <w:rFonts w:ascii="Times New Roman" w:eastAsia="Times New Roman" w:hAnsi="Times New Roman"/>
          <w:color w:val="000000" w:themeColor="text1"/>
          <w:sz w:val="16"/>
          <w:szCs w:val="16"/>
          <w:lang w:eastAsia="ru-RU"/>
        </w:rPr>
      </w:pPr>
    </w:p>
    <w:p w14:paraId="3CCBDAB9"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конце июля 1933 для приемки пятой Савойи С.55, предназначенной для ГУСМП, прибыл экипаж известного летчика Б.Л.Бухгольца. Он провел испытания «Савойи» перед перегонкой на север. Далее самолет должен был следовать по маршруту Севастополь - Свердловск - Иркутск - Якутск - Нижнеколымск - остров Врангеля и </w:t>
      </w:r>
      <w:r w:rsidRPr="0044524F">
        <w:rPr>
          <w:rFonts w:ascii="Times New Roman" w:hAnsi="Times New Roman"/>
          <w:color w:val="000000" w:themeColor="text1"/>
          <w:sz w:val="16"/>
          <w:szCs w:val="16"/>
        </w:rPr>
        <w:lastRenderedPageBreak/>
        <w:t>далее на ледовую разведку. Но по пути произошла катастрофа. В районе Сталинграда машина, пролетавшая над Волгой на небольшой высоте, вдруг клюнула носом и врезалась в воду. Из экипажа никто не спасся, а причину катастрофы установить не удалось (5486,4).</w:t>
      </w:r>
    </w:p>
    <w:p w14:paraId="7392BB74"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5F2E3F95"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июля 1933 на ДВ СССР-Н2 сменили двигатели и оборудовали всем необходимым снаряжением для выполнения морских разведок. Снаряжение состояло из радиостанции,перспективного фотоаппарата форматом 13x18 см, фотоаппаратов "Лейка" и "Цейс", винтовки "Маузер" с 60 патронами, клиппер-бота, плавучего якоря и 50-метрового каната. Экипаж состоял из 5-ти человек: командир А.Д.Алексеев, пилот В.С.Молоков, 1-й бортмеханик Г.Т.Побежимов, 2-й бортмеханик Петров. Винты, запрошенные из Москвы, в срок не пришли, поэтому решили лететь на старых, захватив запасными два винта Дорнье (так указано в документе) (11970).</w:t>
      </w:r>
    </w:p>
    <w:p w14:paraId="0C4A2D72" w14:textId="77777777" w:rsidR="00264DA9" w:rsidRPr="0044524F" w:rsidRDefault="00264DA9" w:rsidP="009654CF">
      <w:pPr>
        <w:autoSpaceDE w:val="0"/>
        <w:autoSpaceDN w:val="0"/>
        <w:adjustRightInd w:val="0"/>
        <w:spacing w:after="0" w:line="240" w:lineRule="auto"/>
        <w:jc w:val="both"/>
        <w:rPr>
          <w:rFonts w:ascii="Times New Roman" w:hAnsi="Times New Roman"/>
          <w:color w:val="000000" w:themeColor="text1"/>
          <w:sz w:val="16"/>
          <w:szCs w:val="16"/>
        </w:rPr>
      </w:pPr>
    </w:p>
    <w:p w14:paraId="14BE1AA0" w14:textId="77777777" w:rsidR="007A7AC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C10260B" w14:textId="77777777" w:rsidR="007A7AC1" w:rsidRPr="0044524F" w:rsidRDefault="007A7AC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2905D7E" w14:textId="77777777" w:rsidR="007A7AC1" w:rsidRPr="0044524F" w:rsidRDefault="007A7AC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июля 1933 года закончились испытания бронеавтомобиля ФАИ на НИБТ полигоне, которые проходили с 5 марта 1933. Показав неплохие результаты — максимальная скорость ФАИ составила 85 км/ч, запас хода по шоссе 210 км, по проселку до 120 км, броневик уверенно двигался по фунтовым и за</w:t>
      </w:r>
      <w:r w:rsidRPr="0044524F">
        <w:rPr>
          <w:rFonts w:ascii="Times New Roman" w:hAnsi="Times New Roman"/>
          <w:color w:val="000000" w:themeColor="text1"/>
          <w:sz w:val="16"/>
          <w:szCs w:val="16"/>
        </w:rPr>
        <w:softHyphen/>
        <w:t>снеженным дорогам. По результатам испытаний был со</w:t>
      </w:r>
      <w:r w:rsidRPr="0044524F">
        <w:rPr>
          <w:rFonts w:ascii="Times New Roman" w:hAnsi="Times New Roman"/>
          <w:color w:val="000000" w:themeColor="text1"/>
          <w:sz w:val="16"/>
          <w:szCs w:val="16"/>
        </w:rPr>
        <w:softHyphen/>
        <w:t>ставлен перечень изменений, которые предполагалось вне</w:t>
      </w:r>
      <w:r w:rsidRPr="0044524F">
        <w:rPr>
          <w:rFonts w:ascii="Times New Roman" w:hAnsi="Times New Roman"/>
          <w:color w:val="000000" w:themeColor="text1"/>
          <w:sz w:val="16"/>
          <w:szCs w:val="16"/>
        </w:rPr>
        <w:softHyphen/>
        <w:t>сти в конструкцию в ходе серийного производства (11284).</w:t>
      </w:r>
    </w:p>
    <w:p w14:paraId="275FA163" w14:textId="77777777" w:rsidR="007A7AC1" w:rsidRPr="0044524F" w:rsidRDefault="007A7AC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ABF1B20" w14:textId="7F12EF81" w:rsidR="00EB0B16" w:rsidRPr="0044524F" w:rsidRDefault="00EB0B1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июля</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 СНК СССР на имя Молотова поступило несколько телеграмм с мест о том, что запорожский завод «Коммунар» отгружает новые комбайны без ряда важнейших узлов</w:t>
      </w:r>
      <w:r w:rsidRPr="0044524F">
        <w:rPr>
          <w:rFonts w:ascii="Times New Roman" w:hAnsi="Times New Roman"/>
          <w:color w:val="000000" w:themeColor="text1"/>
          <w:sz w:val="16"/>
          <w:szCs w:val="16"/>
          <w:vertAlign w:val="superscript"/>
        </w:rPr>
        <w:t>9</w:t>
      </w:r>
      <w:r w:rsidRPr="0044524F">
        <w:rPr>
          <w:rFonts w:ascii="Times New Roman" w:hAnsi="Times New Roman"/>
          <w:color w:val="000000" w:themeColor="text1"/>
          <w:sz w:val="16"/>
          <w:szCs w:val="16"/>
        </w:rPr>
        <w:t>. На основании этих сигналов СНК 28 июля принял опросом постановление «О преступной засылке некомплектных комбайнов в МТС и совхозы». СНК потребовал от НКТП немедленно прекратить посылку некомплектных комбайнов и снабдить уже посланные некомплектные комбайны недостающими частями, а также поручил прокурору СССР И.А.Акулову немедленно арестовать и привлечь к суду хозяйственных руководителей, виновных в отправке некомплектных комбайнов. Это решение вызвало протесты. Секретарь Днепропетровского обкома партии М.М.Хатаевич отправил специальное письмо в несколько адресов: в СНК СССР, в ЦК компартии Украины, в НКТП (Орджоникидзе), в ЦКК ВКП(б), прокурорам СССР и Украины. Он доказывал, что завод «Коммунар» работает хорошо, что некомплектная отгрузка комбайнов была вызвана желанием предотвратить хищения деталей: некоторые части комбайнов в специальных ящиках перевозились отдельно. «В целом, завод имеет больше заслуг, нежели недочетов. В связи с этим обком считал бы целесообразным судебного следствия против руководства завода[...] не возбуждать!...]» — писал Хатаевич. Получив это письмо, Молотов ответил Хатаевичу: «О достижениях «Коммунара» нам хорошо известно, также известно прокуратуре. Судом это будет учтено. Данный судебный процесс имеет далеко не только заводское значение и отмена его безусловно нецелесообразна» (17281).</w:t>
      </w:r>
    </w:p>
    <w:p w14:paraId="30804B08" w14:textId="77777777" w:rsidR="00EB0B16" w:rsidRPr="0044524F" w:rsidRDefault="00EB0B1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B326B" w14:textId="77777777" w:rsidR="006A14F5" w:rsidRPr="0044524F" w:rsidRDefault="006A14F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425A1BC5" w14:textId="77777777" w:rsidR="006A14F5" w:rsidRPr="0044524F" w:rsidRDefault="006A14F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5E839CC" w14:textId="77777777" w:rsidR="006A14F5" w:rsidRPr="0044524F" w:rsidRDefault="006A14F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июля 1933 г. Ворошилов утвердил график ликвидации предприятий «друзей».</w:t>
      </w:r>
    </w:p>
    <w:p w14:paraId="08FE09CD" w14:textId="77777777" w:rsidR="006A14F5" w:rsidRPr="0044524F" w:rsidRDefault="006A14F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40–50 тыс. золотых руб. </w:t>
      </w:r>
    </w:p>
    <w:p w14:paraId="14CAA3EA" w14:textId="77777777" w:rsidR="006A14F5" w:rsidRPr="0044524F" w:rsidRDefault="006A14F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срок с 20 июля по 4 сентября прошла ликвидация танковой школы в Казани. В Германию было вывезено шесть больших и четыре малых танка, восьмиколесная машина, снаряжение и вооружение (всего 19 вагонов). Оставшаяся в безвозмездное пользование «собственность» «потянула» на 220 тыс. руб. Советник германского посольства в СССР Твардовский по итогам визита генерал-лейтенанта Лютца, «закрывавшего» «Казань» с помощью Халепского, записал 21 августа 1933 г.:</w:t>
      </w:r>
    </w:p>
    <w:p w14:paraId="3CFF0274" w14:textId="77777777" w:rsidR="006A14F5" w:rsidRPr="0044524F" w:rsidRDefault="006A14F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«Главу особо доверительного сотрудничества следует считать законченной» (18265).</w:t>
      </w:r>
    </w:p>
    <w:p w14:paraId="1E0DE9B2" w14:textId="77777777" w:rsidR="006A14F5" w:rsidRPr="0044524F" w:rsidRDefault="006A14F5" w:rsidP="009654CF">
      <w:pPr>
        <w:spacing w:after="0" w:line="240" w:lineRule="auto"/>
        <w:jc w:val="both"/>
        <w:rPr>
          <w:rFonts w:ascii="Times New Roman" w:hAnsi="Times New Roman"/>
          <w:color w:val="000000" w:themeColor="text1"/>
          <w:sz w:val="16"/>
          <w:szCs w:val="16"/>
        </w:rPr>
      </w:pPr>
    </w:p>
    <w:p w14:paraId="16CB0511" w14:textId="77777777" w:rsidR="007A7AC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58E27E2" w14:textId="77777777" w:rsidR="007A7AC1" w:rsidRPr="0044524F" w:rsidRDefault="007A7AC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99CC04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заводские испытания прошла пассажирская версия Р-6 (АНТ-7) с БМВ-6 на 7 пассажиров. Потом были и государственные. Именно эта машина разбилась 5 сентября 1933 (2766,34).</w:t>
      </w:r>
    </w:p>
    <w:p w14:paraId="4D88251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7B0425B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первый опытный Р-6 был переоборудован в пассажирскую машину на 7 человек. В том же июле были проведены заводские испытания. Допустили к эксплуатации и летали в Воронеж, Казань, Киев, Таганро. Именно на этой машине разбился П.И.Баранов, Баранова, А.Э.Гольцман, С.П.Горбунов, Зархар, Петров, Плотников, Дорфман. Вопрос о серии - отпал (346,38).</w:t>
      </w:r>
    </w:p>
    <w:p w14:paraId="6927E46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3A7308A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опытный АНТ-7 Р-6 был переделан ЦАГИ в пассажирский самолет, который получил обозначение USSR-S5. На нем погиб П.И.Б. (1017,198) 21 июля он проходил заводские испытания (1017,200).</w:t>
      </w:r>
    </w:p>
    <w:p w14:paraId="6A20E84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0B7CE429"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пассажирская версия Р-6 прошла заводские испытания, а следом за ними - государственные.</w:t>
      </w:r>
    </w:p>
    <w:p w14:paraId="5149BAFB"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АНТ-7 передали в лётный отряд ГУАП Наркомтяжпрома. Там он эксплуатиро-вался как служебный, перевозя предста-вителей руководства на заводы.</w:t>
      </w:r>
    </w:p>
    <w:p w14:paraId="149710F8"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вариант Р-6 имел на правом борту входную дверь в салон, а эки-паж попадал внутрь через сдвижную секцию фонаря кабины.</w:t>
      </w:r>
    </w:p>
    <w:p w14:paraId="0272AF26"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 машина разбилась 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04B5E900" w14:textId="77777777" w:rsidR="00FA6C6A" w:rsidRPr="0044524F" w:rsidRDefault="00FA6C6A" w:rsidP="009654CF">
      <w:pPr>
        <w:spacing w:after="0" w:line="240" w:lineRule="auto"/>
        <w:jc w:val="both"/>
        <w:rPr>
          <w:rFonts w:ascii="Times New Roman" w:hAnsi="Times New Roman"/>
          <w:color w:val="000000" w:themeColor="text1"/>
          <w:sz w:val="16"/>
          <w:szCs w:val="16"/>
        </w:rPr>
      </w:pPr>
    </w:p>
    <w:p w14:paraId="6D63FE07"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ОКБ А.Н.Т. удалось переоборудовать первую опытную машину АНТ-7 в пас</w:t>
      </w:r>
      <w:r w:rsidRPr="0044524F">
        <w:rPr>
          <w:rFonts w:ascii="Times New Roman" w:hAnsi="Times New Roman"/>
          <w:color w:val="000000" w:themeColor="text1"/>
          <w:sz w:val="16"/>
          <w:szCs w:val="16"/>
        </w:rPr>
        <w:softHyphen/>
        <w:t>сажирскую. Изменения в основном кос</w:t>
      </w:r>
      <w:r w:rsidRPr="0044524F">
        <w:rPr>
          <w:rFonts w:ascii="Times New Roman" w:hAnsi="Times New Roman"/>
          <w:color w:val="000000" w:themeColor="text1"/>
          <w:sz w:val="16"/>
          <w:szCs w:val="16"/>
        </w:rPr>
        <w:softHyphen/>
        <w:t>нулись фюзеляжа:</w:t>
      </w:r>
    </w:p>
    <w:p w14:paraId="301540FD"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прорезали окна и установили си</w:t>
      </w:r>
      <w:r w:rsidRPr="0044524F">
        <w:rPr>
          <w:rFonts w:ascii="Times New Roman" w:hAnsi="Times New Roman"/>
          <w:color w:val="000000" w:themeColor="text1"/>
          <w:sz w:val="16"/>
          <w:szCs w:val="16"/>
        </w:rPr>
        <w:softHyphen/>
        <w:t>денья,</w:t>
      </w:r>
    </w:p>
    <w:p w14:paraId="3A6AF9DC"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общую массу бензина довели до 1720 кг,</w:t>
      </w:r>
    </w:p>
    <w:p w14:paraId="35003F7E"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салоном, в конце фюзеляжа, оборудовали изолированный багажный отсек,</w:t>
      </w:r>
    </w:p>
    <w:p w14:paraId="6590A50E"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кабину пилотов закрыли фонарем.</w:t>
      </w:r>
    </w:p>
    <w:p w14:paraId="7918F395"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мог брать семь пассажиров. Экипаж состоял из двух человек.</w:t>
      </w:r>
    </w:p>
    <w:p w14:paraId="4D4591BD"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пассажирский АНТ—7 с двумя моторами BMW VI прошел за</w:t>
      </w:r>
      <w:r w:rsidRPr="0044524F">
        <w:rPr>
          <w:rFonts w:ascii="Times New Roman" w:hAnsi="Times New Roman"/>
          <w:color w:val="000000" w:themeColor="text1"/>
          <w:sz w:val="16"/>
          <w:szCs w:val="16"/>
        </w:rPr>
        <w:softHyphen/>
        <w:t>водские испытания. При массе полезной нагрузки 2500 кг он имел крейсерскую скорость 220 км/ч и расчетную дальность 1900 км. Самолет был устойчив на всех режимах, прост и удобен в управлении, легко взлетал. Машину допустили к экс</w:t>
      </w:r>
      <w:r w:rsidRPr="0044524F">
        <w:rPr>
          <w:rFonts w:ascii="Times New Roman" w:hAnsi="Times New Roman"/>
          <w:color w:val="000000" w:themeColor="text1"/>
          <w:sz w:val="16"/>
          <w:szCs w:val="16"/>
        </w:rPr>
        <w:softHyphen/>
        <w:t>плуатации в качестве скоростного даль</w:t>
      </w:r>
      <w:r w:rsidRPr="0044524F">
        <w:rPr>
          <w:rFonts w:ascii="Times New Roman" w:hAnsi="Times New Roman"/>
          <w:color w:val="000000" w:themeColor="text1"/>
          <w:sz w:val="16"/>
          <w:szCs w:val="16"/>
        </w:rPr>
        <w:softHyphen/>
        <w:t>него пассажирского самолета, после чего она совершила ряд полетов в Воронеж, Казань, Киев, Таганрог.</w:t>
      </w:r>
    </w:p>
    <w:p w14:paraId="00F4EE2F"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г. самолет разбился. Погибли все: экипаж — Петров, Плотни</w:t>
      </w:r>
      <w:r w:rsidRPr="0044524F">
        <w:rPr>
          <w:rFonts w:ascii="Times New Roman" w:hAnsi="Times New Roman"/>
          <w:color w:val="000000" w:themeColor="text1"/>
          <w:sz w:val="16"/>
          <w:szCs w:val="16"/>
        </w:rPr>
        <w:softHyphen/>
        <w:t>ков, Дорфман; пассажиры — Баранов, Ба</w:t>
      </w:r>
      <w:r w:rsidRPr="0044524F">
        <w:rPr>
          <w:rFonts w:ascii="Times New Roman" w:hAnsi="Times New Roman"/>
          <w:color w:val="000000" w:themeColor="text1"/>
          <w:sz w:val="16"/>
          <w:szCs w:val="16"/>
        </w:rPr>
        <w:softHyphen/>
        <w:t>ранова, Гольцман, Горбунов, Зарзар. Ка</w:t>
      </w:r>
      <w:r w:rsidRPr="0044524F">
        <w:rPr>
          <w:rFonts w:ascii="Times New Roman" w:hAnsi="Times New Roman"/>
          <w:color w:val="000000" w:themeColor="text1"/>
          <w:sz w:val="16"/>
          <w:szCs w:val="16"/>
        </w:rPr>
        <w:softHyphen/>
        <w:t>тастрофа произошла при чрезвычайно скверной погоде — был сильный туман, сплошная облачность. Машина не имела необходимого оборудования для полета в таких условиях. Вылет был недопустим.</w:t>
      </w:r>
    </w:p>
    <w:p w14:paraId="4F62317A"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Правительственная аварийная ко</w:t>
      </w:r>
      <w:r w:rsidRPr="0044524F">
        <w:rPr>
          <w:rFonts w:ascii="Times New Roman" w:hAnsi="Times New Roman"/>
          <w:color w:val="000000" w:themeColor="text1"/>
          <w:sz w:val="16"/>
          <w:szCs w:val="16"/>
        </w:rPr>
        <w:softHyphen/>
        <w:t>миссия отметила, что материальная часть самолета сомнений в надежности не вы</w:t>
      </w:r>
      <w:r w:rsidRPr="0044524F">
        <w:rPr>
          <w:rFonts w:ascii="Times New Roman" w:hAnsi="Times New Roman"/>
          <w:color w:val="000000" w:themeColor="text1"/>
          <w:sz w:val="16"/>
          <w:szCs w:val="16"/>
        </w:rPr>
        <w:softHyphen/>
        <w:t>зывает. Однако вопрос о серийном про</w:t>
      </w:r>
      <w:r w:rsidRPr="0044524F">
        <w:rPr>
          <w:rFonts w:ascii="Times New Roman" w:hAnsi="Times New Roman"/>
          <w:color w:val="000000" w:themeColor="text1"/>
          <w:sz w:val="16"/>
          <w:szCs w:val="16"/>
        </w:rPr>
        <w:softHyphen/>
        <w:t>изводстве отпал сам собой (2344).</w:t>
      </w:r>
    </w:p>
    <w:p w14:paraId="0510FC34"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51B84E36" w14:textId="77777777" w:rsidR="007C6BD8" w:rsidRPr="0044524F" w:rsidRDefault="007C6BD8"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июле 1933 в ЦАГИ формально началась работа по приспособлению ТБ-4 для перевозки по воздуху танков по две штуки Т-18, Т-34, Т-26, Т-37 или сразу четырёх танкеток Т-27.</w:t>
      </w:r>
    </w:p>
    <w:p w14:paraId="269D5AB5" w14:textId="77777777" w:rsidR="007C6BD8" w:rsidRPr="0044524F" w:rsidRDefault="007C6BD8" w:rsidP="009654CF">
      <w:pPr>
        <w:pStyle w:val="ae"/>
        <w:shd w:val="clear" w:color="auto" w:fill="FFFFFF"/>
        <w:spacing w:before="0" w:after="0"/>
        <w:jc w:val="both"/>
        <w:rPr>
          <w:color w:val="000000" w:themeColor="text1"/>
          <w:sz w:val="16"/>
          <w:szCs w:val="16"/>
        </w:rPr>
      </w:pPr>
      <w:r w:rsidRPr="0044524F">
        <w:rPr>
          <w:color w:val="000000" w:themeColor="text1"/>
          <w:sz w:val="16"/>
          <w:szCs w:val="16"/>
        </w:rPr>
        <w:t>Через некоторое время системы внешней подвески танков к самолету были доведены до работоспособного состояния и приняты на снабжение армии (19530).</w:t>
      </w:r>
    </w:p>
    <w:p w14:paraId="7DAD87EC" w14:textId="77777777" w:rsidR="007C6BD8" w:rsidRPr="0044524F" w:rsidRDefault="007C6BD8" w:rsidP="009654CF">
      <w:pPr>
        <w:pStyle w:val="ae"/>
        <w:shd w:val="clear" w:color="auto" w:fill="FFFFFF"/>
        <w:spacing w:before="0" w:after="0"/>
        <w:jc w:val="both"/>
        <w:rPr>
          <w:color w:val="000000" w:themeColor="text1"/>
          <w:sz w:val="16"/>
          <w:szCs w:val="16"/>
        </w:rPr>
      </w:pPr>
    </w:p>
    <w:p w14:paraId="05447574" w14:textId="77777777" w:rsidR="007C6BD8" w:rsidRPr="0044524F" w:rsidRDefault="007C6BD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 июле 1933 вели испытания головного комплект переделки ТБ под звено в Кречевицах, где базировалась 1-я авиабригада. Дело в том, что 3-я бригада к этому времени получила приставку «особого назначения» и стала специализироваться на воздушно-десантных операциях. Поэтому место войсковых испытаний перенесли.</w:t>
      </w:r>
    </w:p>
    <w:p w14:paraId="2E5A9B6A" w14:textId="77777777" w:rsidR="007C6BD8" w:rsidRPr="0044524F" w:rsidRDefault="007C6BD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Носитель получил усиленное шасси с добавочными стойками. На И-4 сохранили нижние плоскости, поскольку сочли, что снятие их ничего не дало. Задний замок перенесли со стойки треноги на фюзеляж истребителя.</w:t>
      </w:r>
    </w:p>
    <w:p w14:paraId="6508F4CB" w14:textId="77777777" w:rsidR="007C6BD8" w:rsidRPr="0044524F" w:rsidRDefault="007C6BD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 xml:space="preserve">Руководил испытаниями в качестве председателя комиссии А.И. Залевский. На борту ТБ-1 находились Стефановский, Вахмистров, Морозов и Никитин. В кабине левого И-4 сидел В.К. Коккинаки, правого - В.А. Степан- ченок. В первом полете взлетный вес всей связки составлял 9500 кг. Замеренное время разбега составило 12 с. В отчете записано: «Взлет нормальный. Самолет в полете устойчив, допускает виражи до 60 градусов». Оба истребителя сбросили одновременно на высоте 600 м. </w:t>
      </w:r>
      <w:r w:rsidRPr="0044524F">
        <w:rPr>
          <w:rFonts w:ascii="Times New Roman" w:hAnsi="Times New Roman" w:cs="Times New Roman"/>
          <w:color w:val="000000" w:themeColor="text1"/>
        </w:rPr>
        <w:lastRenderedPageBreak/>
        <w:t>Никаких происшествий не отмечалось.</w:t>
      </w:r>
    </w:p>
    <w:p w14:paraId="23A3EDEF" w14:textId="77777777" w:rsidR="007C6BD8" w:rsidRPr="0044524F" w:rsidRDefault="007C6BD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Всего выполнили пять полетов. В ходе испытаний также проводили подготовку строевых летчиков, которым предстояло эксплуатировать «звенья». С новой техникой в воздухе познакомили двух летчиков-истребителей и трех командиров ТБ-1.</w:t>
      </w:r>
    </w:p>
    <w:p w14:paraId="62EBA9A9" w14:textId="77777777" w:rsidR="007C6BD8" w:rsidRPr="0044524F" w:rsidRDefault="007C6BD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Общий вывод отчета гласил: «...вполне годен к эксплуатации в строевых частях ВВС РККА».</w:t>
      </w:r>
    </w:p>
    <w:p w14:paraId="05D8AF4F" w14:textId="77777777" w:rsidR="007C6BD8" w:rsidRPr="0044524F" w:rsidRDefault="007C6BD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Но «Звено-1» на вооружение не поступило. Упомянутый выше комплект так и остался единственным. Распоряжение о передаче для доработки последующих десяти И-4 отменили. Причиной стало желание начальника ВВС Я.И. Алксниса заменить эти машины на более современные И-5 (19100).</w:t>
      </w:r>
    </w:p>
    <w:p w14:paraId="64CA274A" w14:textId="77777777" w:rsidR="007C6BD8" w:rsidRPr="0044524F" w:rsidRDefault="007C6BD8" w:rsidP="009654CF">
      <w:pPr>
        <w:pStyle w:val="a8"/>
        <w:jc w:val="both"/>
        <w:rPr>
          <w:rFonts w:ascii="Times New Roman" w:hAnsi="Times New Roman" w:cs="Times New Roman"/>
          <w:color w:val="000000" w:themeColor="text1"/>
        </w:rPr>
      </w:pPr>
    </w:p>
    <w:p w14:paraId="3606319B"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в ЦАГИ формально началась работа по приспособлению ТБ-4 для перевозки по воздуху танков по две штуки Т-18, Т-34, Т-26, Т-37 или сразу четырёх танкеток Т-27.</w:t>
      </w:r>
    </w:p>
    <w:p w14:paraId="26A9E5DF"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некоторое время системы внешней подвески танков к самолету были доведены до работоспособного состояния и приняты на снабжение армии (24266).</w:t>
      </w:r>
    </w:p>
    <w:p w14:paraId="5EE45854"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3A52279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началось проектирование МГ (81,91).</w:t>
      </w:r>
    </w:p>
    <w:p w14:paraId="7CC4857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1A4040D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начали строить И-14бис. Ви назначили Н.Н.Фадеева (4020,12).</w:t>
      </w:r>
    </w:p>
    <w:p w14:paraId="2E04CE5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096C2BE9" w14:textId="77777777" w:rsidR="007C6BD8" w:rsidRPr="0044524F" w:rsidRDefault="007C6BD8"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В июле 1933 года, учитывая то, что в Советском Союзе имелся лишь один экземпляр мотора Bristol Mercury, в ЦАГИ приступили к постройке второго экземпляра самолета И-14 или так называемого «дублера» (И-14бис, АНТ-31бис, заказ 7189, иногда в переписке – И-14 РЦ) с мотором Wright-Cyclone F2. При проектировании дублера были учтены некоторые недостатки первого экземпляра самолета (19177).</w:t>
      </w:r>
    </w:p>
    <w:p w14:paraId="15DD3063" w14:textId="77777777" w:rsidR="007C6BD8" w:rsidRPr="0044524F" w:rsidRDefault="007C6BD8" w:rsidP="009654CF">
      <w:pPr>
        <w:pStyle w:val="ae"/>
        <w:shd w:val="clear" w:color="auto" w:fill="FFFFFF"/>
        <w:spacing w:before="0" w:after="0"/>
        <w:jc w:val="both"/>
        <w:textAlignment w:val="baseline"/>
        <w:rPr>
          <w:color w:val="000000" w:themeColor="text1"/>
          <w:sz w:val="16"/>
          <w:szCs w:val="16"/>
        </w:rPr>
      </w:pPr>
    </w:p>
    <w:p w14:paraId="6195F5E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началась работа по сборке дублера И-14, но к полномасштабной постройке приступили лишь 10 августа 1933 г. Чертежи на консоли были получены ЗОКом 7 октября 1933 г., сборку лонжеронов завершили 25 ноября, нервюры собрали лишь 1 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51081BC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3F1F62B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Консоли крыла были собраны 13 января 1934 г. </w:t>
      </w:r>
    </w:p>
    <w:p w14:paraId="321BA94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6A39E09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496A960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909ED0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2CD6C34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460ECBF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40B4AE8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6E9785E5" w14:textId="50C8E7DC" w:rsidR="007906C7" w:rsidRPr="0044524F" w:rsidRDefault="007906C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июле 1933 г., учитывая то, что в Советском Союзе имелся лишь один экземпляр мотора </w:t>
      </w:r>
      <w:r w:rsidRPr="0044524F">
        <w:rPr>
          <w:rFonts w:ascii="Times New Roman" w:hAnsi="Times New Roman"/>
          <w:color w:val="000000" w:themeColor="text1"/>
          <w:sz w:val="16"/>
          <w:szCs w:val="16"/>
          <w:lang w:val="en-US"/>
        </w:rPr>
        <w:t>Bristol</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Mer</w:t>
      </w:r>
      <w:r w:rsidRPr="0044524F">
        <w:rPr>
          <w:rFonts w:ascii="Times New Roman" w:hAnsi="Times New Roman"/>
          <w:color w:val="000000" w:themeColor="text1"/>
          <w:sz w:val="16"/>
          <w:szCs w:val="16"/>
        </w:rPr>
        <w:softHyphen/>
      </w:r>
      <w:r w:rsidRPr="0044524F">
        <w:rPr>
          <w:rFonts w:ascii="Times New Roman" w:hAnsi="Times New Roman"/>
          <w:color w:val="000000" w:themeColor="text1"/>
          <w:sz w:val="16"/>
          <w:szCs w:val="16"/>
          <w:lang w:val="en-US"/>
        </w:rPr>
        <w:t>cury</w:t>
      </w:r>
      <w:r w:rsidRPr="0044524F">
        <w:rPr>
          <w:rFonts w:ascii="Times New Roman" w:hAnsi="Times New Roman"/>
          <w:color w:val="000000" w:themeColor="text1"/>
          <w:sz w:val="16"/>
          <w:szCs w:val="16"/>
        </w:rPr>
        <w:t>,</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ЦАГИ приступили к постройке второго экземпляра И-14 или так на</w:t>
      </w:r>
      <w:r w:rsidRPr="0044524F">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44524F">
        <w:rPr>
          <w:rFonts w:ascii="Times New Roman" w:hAnsi="Times New Roman"/>
          <w:color w:val="000000" w:themeColor="text1"/>
          <w:sz w:val="16"/>
          <w:szCs w:val="16"/>
          <w:lang w:val="en-US"/>
        </w:rPr>
        <w:t>Wright</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CycloneF</w:t>
      </w:r>
      <w:r w:rsidRPr="0044524F">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45F885C5" w14:textId="77777777" w:rsidR="007906C7" w:rsidRPr="0044524F" w:rsidRDefault="007906C7" w:rsidP="009654CF">
      <w:pPr>
        <w:spacing w:after="0" w:line="240" w:lineRule="auto"/>
        <w:jc w:val="both"/>
        <w:rPr>
          <w:rFonts w:ascii="Times New Roman" w:hAnsi="Times New Roman"/>
          <w:color w:val="000000" w:themeColor="text1"/>
          <w:sz w:val="16"/>
          <w:szCs w:val="16"/>
        </w:rPr>
      </w:pPr>
    </w:p>
    <w:p w14:paraId="6A30BFD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июля 1933 по октябрь проходили испытания серийных Z завода 39 (80,129).</w:t>
      </w:r>
    </w:p>
    <w:p w14:paraId="6B3C7CC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0A8D0C0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на испытания предъявили усовершенствованный И-5 с обтекателями на колесах. После доработок стал эталоном 1933 (222,10).</w:t>
      </w:r>
    </w:p>
    <w:p w14:paraId="6012777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3F7E597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появился второй эскизный проект И-16, который получил обозначение ЦКБ-12. Постройка началась в августе (129,2).</w:t>
      </w:r>
    </w:p>
    <w:p w14:paraId="6D3BE5E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65B423CD"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года был готов второй вариант проекта И-16.</w:t>
      </w:r>
    </w:p>
    <w:p w14:paraId="4ACE5D9E"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Организационные трудности, связанные с переба</w:t>
      </w:r>
      <w:r w:rsidRPr="0044524F">
        <w:rPr>
          <w:rFonts w:ascii="Times New Roman" w:hAnsi="Times New Roman"/>
          <w:color w:val="000000" w:themeColor="text1"/>
          <w:sz w:val="16"/>
          <w:szCs w:val="16"/>
        </w:rPr>
        <w:softHyphen/>
        <w:t>зированием ЦКБ на завод № 39, и срочная работа над И-15 отодви</w:t>
      </w:r>
      <w:r w:rsidRPr="0044524F">
        <w:rPr>
          <w:rFonts w:ascii="Times New Roman" w:hAnsi="Times New Roman"/>
          <w:color w:val="000000" w:themeColor="text1"/>
          <w:sz w:val="16"/>
          <w:szCs w:val="16"/>
        </w:rPr>
        <w:softHyphen/>
        <w:t>нули проектирование И-16 на несколько месяцев.</w:t>
      </w:r>
    </w:p>
    <w:p w14:paraId="69EA50AF"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И-16 - смешанная, фюзеляж - деревянный, вы</w:t>
      </w:r>
      <w:r w:rsidRPr="0044524F">
        <w:rPr>
          <w:rFonts w:ascii="Times New Roman" w:hAnsi="Times New Roman"/>
          <w:color w:val="000000" w:themeColor="text1"/>
          <w:sz w:val="16"/>
          <w:szCs w:val="16"/>
        </w:rPr>
        <w:softHyphen/>
        <w:t>клеенный из шпона, его каркас составляли 4 лонжерона и 11 шпан</w:t>
      </w:r>
      <w:r w:rsidRPr="0044524F">
        <w:rPr>
          <w:rFonts w:ascii="Times New Roman" w:hAnsi="Times New Roman"/>
          <w:color w:val="000000" w:themeColor="text1"/>
          <w:sz w:val="16"/>
          <w:szCs w:val="16"/>
        </w:rPr>
        <w:softHyphen/>
        <w:t>гоутов. Лонжероны крыла выполнялись из труб ХМА (потом - 30 ХГСА), нервюры - ферменные, дюралюминиевые. Обшивка цен</w:t>
      </w:r>
      <w:r w:rsidRPr="0044524F">
        <w:rPr>
          <w:rFonts w:ascii="Times New Roman" w:hAnsi="Times New Roman"/>
          <w:color w:val="000000" w:themeColor="text1"/>
          <w:sz w:val="16"/>
          <w:szCs w:val="16"/>
        </w:rPr>
        <w:softHyphen/>
        <w:t>троплана - листовой Д1, консолей - Д1 до первого лонжерона и по</w:t>
      </w:r>
      <w:r w:rsidRPr="0044524F">
        <w:rPr>
          <w:rFonts w:ascii="Times New Roman" w:hAnsi="Times New Roman"/>
          <w:color w:val="000000" w:themeColor="text1"/>
          <w:sz w:val="16"/>
          <w:szCs w:val="16"/>
        </w:rPr>
        <w:softHyphen/>
        <w:t>лотно. Элероны и оперение делались из дюралюминия с обтяжкой полотном. Шасси - пирамидальное, убирающееся с помощью тро</w:t>
      </w:r>
      <w:r w:rsidRPr="0044524F">
        <w:rPr>
          <w:rFonts w:ascii="Times New Roman" w:hAnsi="Times New Roman"/>
          <w:color w:val="000000" w:themeColor="text1"/>
          <w:sz w:val="16"/>
          <w:szCs w:val="16"/>
        </w:rPr>
        <w:softHyphen/>
        <w:t>совой лебёдки.</w:t>
      </w:r>
    </w:p>
    <w:p w14:paraId="5D26450E"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втором варианте проекта И-16 вместо предусмотренного, но ещё не освоенного у нас мотора Райт «Циклон» F-3 (712 л.с. - будущий М-25), решили использовать серийный М-22. Такое решение оказалось правиль</w:t>
      </w:r>
      <w:r w:rsidRPr="0044524F">
        <w:rPr>
          <w:rFonts w:ascii="Times New Roman" w:hAnsi="Times New Roman"/>
          <w:color w:val="000000" w:themeColor="text1"/>
          <w:sz w:val="16"/>
          <w:szCs w:val="16"/>
        </w:rPr>
        <w:softHyphen/>
        <w:t>ным, т. к. экономило время. В отличие от первого варианта, мотор закрывался капотом NACA, а не кольцом Тауненда, фонарь сдвигался вперёд. С августа 1933 г. началась постройка, и 30 декабря Чкалов выполнил первый полёт на И-16 с М-22 (23595).</w:t>
      </w:r>
    </w:p>
    <w:p w14:paraId="2034111D"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2DEFB26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был выпущен ЛР c М-34 (24,64) и его испытания закончил к лету 1934 (92,422).</w:t>
      </w:r>
    </w:p>
    <w:p w14:paraId="5F9CBB7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испытания ЛР прошел летом 1933. Были сравнительные испытания ЛР и ХАИ-1 и ХАИ - выиграл (1148,27).</w:t>
      </w:r>
    </w:p>
    <w:p w14:paraId="1AD0A31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510D818C" w14:textId="77777777" w:rsidR="007906C7" w:rsidRPr="0044524F" w:rsidRDefault="007906C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году конструкторский коллектив С.А. Кочеригина создает легкий двухместный самолет-разведчик ЛР с мотором М-34 со взлетной мощностью 750 л.с. Самолет мог применяться и в качестве двухместного истребителя. Проектирование ЛРМ-34 (ЦКБ-1) началось в начале 1932 года в ЦКБ ЦАГИ.</w:t>
      </w:r>
    </w:p>
    <w:p w14:paraId="0E2FA9AF" w14:textId="77777777" w:rsidR="007906C7" w:rsidRPr="0044524F" w:rsidRDefault="007906C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представлял собой одномоторный двухместный полутораплан смешанной конструкции. По схеме он повторял поликарповский разведчик Р-5 и имел то же вооружение. Однако благодаря более мощному двигателю, несколько лучшей аэродинамике, меньшим геометрическим размерам, ЛРМ-34 имел лучшие летные данные в сравнении с Р-5. При полетном весе 2426 кг, максимальная скорость полета ЛР у земли составляла 271 км/ч, а на высоте 5000 метров – 247 км/ч. Высоту 3000 метров самолет набирал за 7,3 минуты, дальность полета составляла 700 км. Вираж выполнялся за 17 секунд. Стрелковое вооружение разведчика состояло из одного синхронного пулемета ПВ-1 и одного оборонительного ШКАС на турели у летнаба. Нормальная бомбовая нагрузка составляла 200 кг.</w:t>
      </w:r>
    </w:p>
    <w:p w14:paraId="558D5F89" w14:textId="77777777" w:rsidR="007906C7" w:rsidRPr="0044524F" w:rsidRDefault="007906C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установки на втором опытном экземпляре ЛР более мощного и высотного двигателя М-34Н (с нагнетателем, мощностью 835 л.с.), летные данные разведчика заметно улучшились. При полетном весе 2590 кг., ЛР-34Н имел максимальную скорость у земли 282 км/ч, а на высоте 4000 метров – 319 км/ч. Время подъема на высоту 3000 метров составляло 6 минут. Радиус действия разведчика на высоте 3000 метров – 340 км.</w:t>
      </w:r>
    </w:p>
    <w:p w14:paraId="2B96F71E" w14:textId="77777777" w:rsidR="007906C7" w:rsidRPr="0044524F" w:rsidRDefault="007906C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Государственные испытания ЛРМ-34Н летом 1934 года прошли с высокой оценкой. Самолет мог вполне рассматриваться в качестве легкого небронированного штурмовика-разведчика: в этом случае наступательное вооружение требовалось усилить. Однако в отчете по Госиспытаниям, утвержденным 3-го октября 1934 года начальником ВВС Я.И. Алкснисом указывалось, что обзор из кабины летнаба ограничен, имеется тенденция к «рысканию» при пробеге и взлете. При этом отмечалось, что представленный на испытания самолет выполнен заводом № 39 небрежно, с плохой отделкой внешней поверхности.</w:t>
      </w:r>
    </w:p>
    <w:p w14:paraId="59930666" w14:textId="77777777" w:rsidR="007906C7" w:rsidRPr="0044524F" w:rsidRDefault="007906C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выявленные недостатки, военные рекомендовали запустить ЛРМ-34Н в серийное производство в варианте легкого штурмовика-разведчика при условии доведения самолета до состояния эталона. Кроме того, предлагалось разработать новую экранированную турель, увеличить радиус действия самолета на высоте 3000 метров до 400 км и максимальную скорость полета на высоте 4000 метров – до 360 км/ч. Но в серию ЛРМ-34Н запущен не был. Предпочтение было отдано легкому штурмовику «Р-Z», являвшемуся глубокой модификацией массового разведчика Р-5 с более освоенной в производственном отношении конструкцией (15223).</w:t>
      </w:r>
    </w:p>
    <w:p w14:paraId="78696259" w14:textId="77777777" w:rsidR="007906C7" w:rsidRPr="0044524F" w:rsidRDefault="007906C7" w:rsidP="009654CF">
      <w:pPr>
        <w:shd w:val="clear" w:color="auto" w:fill="FFFFFF"/>
        <w:spacing w:after="0" w:line="240" w:lineRule="auto"/>
        <w:jc w:val="both"/>
        <w:rPr>
          <w:rFonts w:ascii="Times New Roman" w:hAnsi="Times New Roman"/>
          <w:color w:val="000000" w:themeColor="text1"/>
          <w:sz w:val="16"/>
          <w:szCs w:val="16"/>
        </w:rPr>
      </w:pPr>
    </w:p>
    <w:p w14:paraId="7DEEF4B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июле 1933 г. первый опытный образец ЛР, построенный на заводе № 39, вышел на испытания и был оснащён мотором М-34 без нагнетателя. Машина показала лётные данные, значительно превосходящие Р-5 и приближающиеся к характеристикам одноместных истребителей того времени. В следующем году построили </w:t>
      </w:r>
      <w:r w:rsidRPr="0044524F">
        <w:rPr>
          <w:rFonts w:ascii="Times New Roman" w:hAnsi="Times New Roman"/>
          <w:color w:val="000000" w:themeColor="text1"/>
          <w:sz w:val="16"/>
          <w:szCs w:val="16"/>
        </w:rPr>
        <w:lastRenderedPageBreak/>
        <w:t>второй экземпляр с двигателем М-34Н. Хотя полётный вес возрос, его данные были ещё выше, за исключением дальности полёта, немного понизившейся, несмотря на увеличение запаса топлива. ЛР успешно прошёл государственные испытания, получив удовлетворительную оценку.</w:t>
      </w:r>
    </w:p>
    <w:p w14:paraId="532F824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Военные настаивали на скорейшем запуске Л Р в серийное производство на заводе № 1 вместо Р-5. Но директор предприятия Беленкович, поддерживаемый руководством ГУАП, категорически отказывался от этой машины, обещая вместо неё свой Р-Зет. Директора понять можно: Р-Зет, несмотря на все отличия, технологически был очень близок к хорошо освоенному Р-5. Машину намеренно проектировали под возможности предприятия. Это позволяло быстро освоить массовый выпуск, не перестраивая производство, используя часть старой оснастки. Принятие Р-Зет сулило снижение себестоимости и гарантированное выполнение плана. Последнее радовало и руководство ГУАП, постоянно испытывавшее давление сверху.</w:t>
      </w:r>
    </w:p>
    <w:p w14:paraId="60A5974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Использовались все рычаги, чтобы навязать УВВС разведчик завода № 1. Итак, имелся уже летающий ЛР с хорошими лётными данными, но промышленность не рвалась осваивать выпуск машины, по конструкции существенно отличавшейся от привычного Р-5. Кроме того, для его массового производства требовалось большое количество дефицитных труб из хромомолибденовой стали.</w:t>
      </w:r>
    </w:p>
    <w:p w14:paraId="4BA8CB6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Существовавший тогда только на бумаге Р-Зет был выгоден в первую очередь промышленности. Взамен ГУАП обещало военным быстрое наращивание его выпуска (и, соответственно, скорейшее перевооружение авиачастей), относительную дешевизну машины и простоту её освоения за счёт преемственности с Р-5. Кроме того, существенным аргументом явилась бомбовая нагрузка Р-Зет, позволявшая использовать этот самолёт как лёгкий бомбардировщик. ЛР, у которого упор делался на скорость и маневренность, мог нести значительно меньший вес бомб, причём только мелких калибров.</w:t>
      </w:r>
    </w:p>
    <w:p w14:paraId="258FA44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Управлению ВВС, скрепя сердце, пришлось согласиться. Срок выпуска "зета" на госиспытания назначили на 15 апреля 1935 г. (11995).</w:t>
      </w:r>
    </w:p>
    <w:p w14:paraId="129F0A2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7A55F88C" w14:textId="77777777" w:rsidR="00F75FDE" w:rsidRPr="0044524F" w:rsidRDefault="00F75FD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июле 1933 с находящегося под Новгородом Кречевицкого аэродрома сотрудники НИИ ВВС провели контрольные испытания модифицированного «Звена-1». ТБ-1 пилотировал П.М. Стефановский, истребители — В.К. Коккинаки и В.А. Степанчёнок. Все три самолёта были другие, не те, которые летали на испытаниях 1931–1932 гг. Менялись и лётчики: под руководством Стефановского за пять полётов были оттренированы два лётчика-истребителя и три командира ТБ-1. С истребителями на крыле бомбардировщик выполнял виражи с креном до 60 градусов.</w:t>
      </w:r>
    </w:p>
    <w:p w14:paraId="4F2D0666" w14:textId="77777777" w:rsidR="00F75FDE" w:rsidRPr="0044524F" w:rsidRDefault="00F75FDE"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Конструктивные доработки сочли полезными. «Самолёт 3–1 с вышеуказанными переделками вполне пригоден к эксплуатации в строевых частях ВВС РККА», — отмечалось в заключении по испытаниям </w:t>
      </w:r>
      <w:hyperlink r:id="rId277" w:history="1">
        <w:r w:rsidRPr="0044524F">
          <w:rPr>
            <w:rFonts w:ascii="Times New Roman" w:eastAsia="Times New Roman" w:hAnsi="Times New Roman"/>
            <w:color w:val="000000" w:themeColor="text1"/>
            <w:sz w:val="16"/>
            <w:szCs w:val="16"/>
            <w:lang w:eastAsia="ru-RU"/>
          </w:rPr>
          <w:t>[81]</w:t>
        </w:r>
      </w:hyperlink>
      <w:r w:rsidRPr="0044524F">
        <w:rPr>
          <w:rFonts w:ascii="Times New Roman" w:eastAsia="Times New Roman" w:hAnsi="Times New Roman"/>
          <w:color w:val="000000" w:themeColor="text1"/>
          <w:sz w:val="16"/>
          <w:szCs w:val="16"/>
          <w:lang w:eastAsia="ru-RU"/>
        </w:rPr>
        <w:t xml:space="preserve"> . Была изготовлена малая серия для войсковых испытаний — шесть «звеньев». Они базировались на аэродроме 2-й тяжёлобомбардировочной авиабригады в Кречевицах до 1937 г. (17489).</w:t>
      </w:r>
    </w:p>
    <w:p w14:paraId="0D5B547E" w14:textId="77777777" w:rsidR="00F75FDE" w:rsidRPr="0044524F" w:rsidRDefault="00F75FDE" w:rsidP="009654CF">
      <w:pPr>
        <w:spacing w:after="0" w:line="240" w:lineRule="auto"/>
        <w:jc w:val="both"/>
        <w:rPr>
          <w:rFonts w:ascii="Times New Roman" w:eastAsia="Times New Roman" w:hAnsi="Times New Roman"/>
          <w:color w:val="000000" w:themeColor="text1"/>
          <w:sz w:val="16"/>
          <w:szCs w:val="16"/>
          <w:lang w:eastAsia="ru-RU"/>
        </w:rPr>
      </w:pPr>
    </w:p>
    <w:p w14:paraId="03C52CA9" w14:textId="77777777" w:rsidR="00F75FDE" w:rsidRPr="0044524F" w:rsidRDefault="00F75FDE" w:rsidP="009654CF">
      <w:pPr>
        <w:pStyle w:val="a3"/>
        <w:rPr>
          <w:color w:val="000000" w:themeColor="text1"/>
          <w:lang w:val="ru-RU"/>
        </w:rPr>
      </w:pPr>
      <w:r w:rsidRPr="0044524F">
        <w:rPr>
          <w:color w:val="000000" w:themeColor="text1"/>
          <w:lang w:val="ru-RU"/>
        </w:rPr>
        <w:t>В июле 1933 в Кречевицах, где базировалась 1-я авиабри</w:t>
      </w:r>
      <w:r w:rsidRPr="0044524F">
        <w:rPr>
          <w:color w:val="000000" w:themeColor="text1"/>
          <w:lang w:val="ru-RU"/>
        </w:rPr>
        <w:softHyphen/>
        <w:t>гада, вели испытания подготовленного в июне 1933 г. головного комплекта, включавшего ТБ-1 №677 и два И-4 (№1533 - левый и №1583 - правый). 3-я бригада к этому времени получила приставку «особого назначения» и стала специализировать</w:t>
      </w:r>
      <w:r w:rsidRPr="0044524F">
        <w:rPr>
          <w:color w:val="000000" w:themeColor="text1"/>
          <w:lang w:val="ru-RU"/>
        </w:rPr>
        <w:softHyphen/>
        <w:t>ся на воздушно-десантных операциях. Поэтому место войсковых испытаний перенесли.</w:t>
      </w:r>
    </w:p>
    <w:p w14:paraId="3E4EFC6D" w14:textId="77777777" w:rsidR="00F75FDE" w:rsidRPr="0044524F" w:rsidRDefault="00F75FDE" w:rsidP="009654CF">
      <w:pPr>
        <w:pStyle w:val="a3"/>
        <w:rPr>
          <w:color w:val="000000" w:themeColor="text1"/>
          <w:lang w:val="ru-RU"/>
        </w:rPr>
      </w:pPr>
      <w:r w:rsidRPr="0044524F">
        <w:rPr>
          <w:color w:val="000000" w:themeColor="text1"/>
          <w:lang w:val="ru-RU"/>
        </w:rPr>
        <w:t>Носитель получил усиленное шасси с добавочными стойками. На И-4 сохрани</w:t>
      </w:r>
      <w:r w:rsidRPr="0044524F">
        <w:rPr>
          <w:color w:val="000000" w:themeColor="text1"/>
          <w:lang w:val="ru-RU"/>
        </w:rPr>
        <w:softHyphen/>
        <w:t>ли нижние плоскости, поскольку сочли, что снятие их ничего не дало. Задний за</w:t>
      </w:r>
      <w:r w:rsidRPr="0044524F">
        <w:rPr>
          <w:color w:val="000000" w:themeColor="text1"/>
          <w:lang w:val="ru-RU"/>
        </w:rPr>
        <w:softHyphen/>
        <w:t>мок перенесли со стойки треноги на фю</w:t>
      </w:r>
      <w:r w:rsidRPr="0044524F">
        <w:rPr>
          <w:color w:val="000000" w:themeColor="text1"/>
          <w:lang w:val="ru-RU"/>
        </w:rPr>
        <w:softHyphen/>
        <w:t>зеляж истребителя.</w:t>
      </w:r>
    </w:p>
    <w:p w14:paraId="7736C1CD" w14:textId="77777777" w:rsidR="00F75FDE" w:rsidRPr="0044524F" w:rsidRDefault="00F75FDE" w:rsidP="009654CF">
      <w:pPr>
        <w:pStyle w:val="a3"/>
        <w:rPr>
          <w:color w:val="000000" w:themeColor="text1"/>
          <w:lang w:val="ru-RU"/>
        </w:rPr>
      </w:pPr>
      <w:r w:rsidRPr="0044524F">
        <w:rPr>
          <w:color w:val="000000" w:themeColor="text1"/>
          <w:lang w:val="ru-RU"/>
        </w:rPr>
        <w:t>Председателя комиссии А.И. Залевский. На борту ТБ-1 находились Стефановский, Вахмистров, Морозов и Никитин. В кабине левого И-4 сидел В.К. Коккинаки, правого - В.А. Степанченок. В первом полете взлет</w:t>
      </w:r>
      <w:r w:rsidRPr="0044524F">
        <w:rPr>
          <w:color w:val="000000" w:themeColor="text1"/>
          <w:lang w:val="ru-RU"/>
        </w:rPr>
        <w:softHyphen/>
        <w:t>ный вес всей связки составлял 9500 кг. Замеренное время разбега составило 12 с. В отчете записано:</w:t>
      </w:r>
      <w:r w:rsidRPr="0044524F">
        <w:rPr>
          <w:rStyle w:val="13ArialNarrow1"/>
          <w:rFonts w:ascii="Times New Roman" w:hAnsi="Times New Roman" w:cs="Times New Roman"/>
          <w:i w:val="0"/>
          <w:color w:val="000000" w:themeColor="text1"/>
          <w:sz w:val="16"/>
          <w:szCs w:val="16"/>
          <w:lang w:val="ru-RU"/>
        </w:rPr>
        <w:t xml:space="preserve"> «Взлет нормальный. Самолет в полете устойчив, допускает виражи до 60 градусов».</w:t>
      </w:r>
      <w:r w:rsidRPr="0044524F">
        <w:rPr>
          <w:color w:val="000000" w:themeColor="text1"/>
          <w:lang w:val="ru-RU"/>
        </w:rPr>
        <w:t xml:space="preserve"> Оба истребителя сбросили одновременно на высоте 600 м. Никаких происшествий не отмечалось.</w:t>
      </w:r>
    </w:p>
    <w:p w14:paraId="0AB5DE5F" w14:textId="77777777" w:rsidR="00F75FDE" w:rsidRPr="0044524F" w:rsidRDefault="00F75FDE" w:rsidP="009654CF">
      <w:pPr>
        <w:pStyle w:val="a3"/>
        <w:rPr>
          <w:color w:val="000000" w:themeColor="text1"/>
          <w:lang w:val="ru-RU"/>
        </w:rPr>
      </w:pPr>
      <w:r w:rsidRPr="0044524F">
        <w:rPr>
          <w:color w:val="000000" w:themeColor="text1"/>
          <w:lang w:val="ru-RU"/>
        </w:rPr>
        <w:t>Всего выполнили пять полетов. В ходе испытаний также проводили под</w:t>
      </w:r>
      <w:r w:rsidRPr="0044524F">
        <w:rPr>
          <w:color w:val="000000" w:themeColor="text1"/>
          <w:lang w:val="ru-RU"/>
        </w:rPr>
        <w:softHyphen/>
        <w:t>готовку строевых летчиков, которым предстояло эксплуатировать «звенья». С новой техникой в воздухе познакоми</w:t>
      </w:r>
      <w:r w:rsidRPr="0044524F">
        <w:rPr>
          <w:color w:val="000000" w:themeColor="text1"/>
          <w:lang w:val="ru-RU"/>
        </w:rPr>
        <w:softHyphen/>
        <w:t>ли двух летчиков-истребителей и трех командиров ТБ-1.</w:t>
      </w:r>
    </w:p>
    <w:p w14:paraId="7E209097" w14:textId="77777777" w:rsidR="00F75FDE" w:rsidRPr="0044524F" w:rsidRDefault="00F75FDE" w:rsidP="009654CF">
      <w:pPr>
        <w:pStyle w:val="a3"/>
        <w:rPr>
          <w:color w:val="000000" w:themeColor="text1"/>
          <w:lang w:val="ru-RU"/>
        </w:rPr>
      </w:pPr>
      <w:r w:rsidRPr="0044524F">
        <w:rPr>
          <w:color w:val="000000" w:themeColor="text1"/>
          <w:lang w:val="ru-RU"/>
        </w:rPr>
        <w:t>Общий вывод отчета гласил: «...впол</w:t>
      </w:r>
      <w:r w:rsidRPr="0044524F">
        <w:rPr>
          <w:color w:val="000000" w:themeColor="text1"/>
          <w:lang w:val="ru-RU"/>
        </w:rPr>
        <w:softHyphen/>
        <w:t>не годен к эксплуатации в строевых ча</w:t>
      </w:r>
      <w:r w:rsidRPr="0044524F">
        <w:rPr>
          <w:color w:val="000000" w:themeColor="text1"/>
          <w:lang w:val="ru-RU"/>
        </w:rPr>
        <w:softHyphen/>
        <w:t>стях ВВС РККА».</w:t>
      </w:r>
    </w:p>
    <w:p w14:paraId="4257E5E5" w14:textId="77777777" w:rsidR="00F75FDE" w:rsidRPr="0044524F" w:rsidRDefault="00F75FDE" w:rsidP="009654CF">
      <w:pPr>
        <w:pStyle w:val="a3"/>
        <w:rPr>
          <w:color w:val="000000" w:themeColor="text1"/>
          <w:lang w:val="ru-RU"/>
        </w:rPr>
      </w:pPr>
      <w:r w:rsidRPr="0044524F">
        <w:rPr>
          <w:color w:val="000000" w:themeColor="text1"/>
          <w:lang w:val="ru-RU"/>
        </w:rPr>
        <w:t>Но «Звено-1» на вооружение не по</w:t>
      </w:r>
      <w:r w:rsidRPr="0044524F">
        <w:rPr>
          <w:color w:val="000000" w:themeColor="text1"/>
          <w:lang w:val="ru-RU"/>
        </w:rPr>
        <w:softHyphen/>
        <w:t>ступило. Упомянутый выше комплект так и остался единственным. Распоряжение о передаче для доработки последующих десяти И-4 отменили. Причиной стало желание начальника ВВС Я.И. Алксниса заменить эти машины на более современ</w:t>
      </w:r>
      <w:r w:rsidRPr="0044524F">
        <w:rPr>
          <w:color w:val="000000" w:themeColor="text1"/>
          <w:lang w:val="ru-RU"/>
        </w:rPr>
        <w:softHyphen/>
        <w:t>ные И-5. Те тоже были бипланами, но вес имели поменьше и летные данные повы</w:t>
      </w:r>
      <w:r w:rsidRPr="0044524F">
        <w:rPr>
          <w:color w:val="000000" w:themeColor="text1"/>
          <w:lang w:val="ru-RU"/>
        </w:rPr>
        <w:softHyphen/>
        <w:t>ше (17741).</w:t>
      </w:r>
    </w:p>
    <w:p w14:paraId="411B518A" w14:textId="77777777" w:rsidR="00F75FDE" w:rsidRPr="0044524F" w:rsidRDefault="00F75FDE" w:rsidP="009654CF">
      <w:pPr>
        <w:spacing w:after="0" w:line="240" w:lineRule="auto"/>
        <w:jc w:val="both"/>
        <w:rPr>
          <w:rFonts w:ascii="Times New Roman" w:eastAsia="Times New Roman" w:hAnsi="Times New Roman"/>
          <w:color w:val="000000" w:themeColor="text1"/>
          <w:sz w:val="16"/>
          <w:szCs w:val="16"/>
          <w:lang w:eastAsia="ru-RU"/>
        </w:rPr>
      </w:pPr>
    </w:p>
    <w:p w14:paraId="7A47412D" w14:textId="77777777" w:rsidR="00DB7495" w:rsidRPr="0044524F" w:rsidRDefault="00DB74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после завершения войсковых испытаний СЗ-1 на</w:t>
      </w:r>
      <w:r w:rsidRPr="0044524F">
        <w:rPr>
          <w:rFonts w:ascii="Times New Roman" w:hAnsi="Times New Roman"/>
          <w:color w:val="000000" w:themeColor="text1"/>
          <w:sz w:val="16"/>
          <w:szCs w:val="16"/>
        </w:rPr>
        <w:softHyphen/>
        <w:t>чальник ВВС Алкснис направил докладную записку на имя заместителя Председателя РВС СССР Туха</w:t>
      </w:r>
      <w:r w:rsidRPr="0044524F">
        <w:rPr>
          <w:rFonts w:ascii="Times New Roman" w:hAnsi="Times New Roman"/>
          <w:color w:val="000000" w:themeColor="text1"/>
          <w:sz w:val="16"/>
          <w:szCs w:val="16"/>
        </w:rPr>
        <w:softHyphen/>
        <w:t>чевского. В ней говорилось, что теперь полезная нагрузка ТБ-1 может быть увеличена с 3500 кг до 4650 кг при условии сопровождения истребителями до це</w:t>
      </w:r>
      <w:r w:rsidRPr="0044524F">
        <w:rPr>
          <w:rFonts w:ascii="Times New Roman" w:hAnsi="Times New Roman"/>
          <w:color w:val="000000" w:themeColor="text1"/>
          <w:sz w:val="16"/>
          <w:szCs w:val="16"/>
        </w:rPr>
        <w:softHyphen/>
        <w:t>ли и обратно и до 5230 кг — при сопровождении ис</w:t>
      </w:r>
      <w:r w:rsidRPr="0044524F">
        <w:rPr>
          <w:rFonts w:ascii="Times New Roman" w:hAnsi="Times New Roman"/>
          <w:color w:val="000000" w:themeColor="text1"/>
          <w:sz w:val="16"/>
          <w:szCs w:val="16"/>
        </w:rPr>
        <w:softHyphen/>
        <w:t>требителями на расстоянии 50 км. В первом вариан</w:t>
      </w:r>
      <w:r w:rsidRPr="0044524F">
        <w:rPr>
          <w:rFonts w:ascii="Times New Roman" w:hAnsi="Times New Roman"/>
          <w:color w:val="000000" w:themeColor="text1"/>
          <w:sz w:val="16"/>
          <w:szCs w:val="16"/>
        </w:rPr>
        <w:softHyphen/>
        <w:t>те дальность ТБ-1 с одной тонной бомб увеличивает</w:t>
      </w:r>
      <w:r w:rsidRPr="0044524F">
        <w:rPr>
          <w:rFonts w:ascii="Times New Roman" w:hAnsi="Times New Roman"/>
          <w:color w:val="000000" w:themeColor="text1"/>
          <w:sz w:val="16"/>
          <w:szCs w:val="16"/>
        </w:rPr>
        <w:softHyphen/>
        <w:t>ся с 820 до 1580 км, а во втором (сопровождение до 50 км) дальность увеличивается до 2000 км</w:t>
      </w:r>
    </w:p>
    <w:p w14:paraId="1A9C5230" w14:textId="77777777" w:rsidR="00DB7495" w:rsidRPr="0044524F" w:rsidRDefault="00DB7495" w:rsidP="009654CF">
      <w:pPr>
        <w:spacing w:after="0" w:line="240" w:lineRule="auto"/>
        <w:jc w:val="both"/>
        <w:rPr>
          <w:rFonts w:ascii="Times New Roman" w:hAnsi="Times New Roman"/>
          <w:color w:val="000000" w:themeColor="text1"/>
          <w:sz w:val="16"/>
          <w:szCs w:val="16"/>
        </w:rPr>
      </w:pPr>
    </w:p>
    <w:p w14:paraId="501402A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июля 1933 проходили испытания вертолета ЦАГИ 5-ЭА с шестилопастным винтом И.П.Братухина (80,401).</w:t>
      </w:r>
    </w:p>
    <w:p w14:paraId="2AB7CE7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68786B5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июля 1933 закончилась постройка автожира ЭА-6, которая началась в марте 1932 (1017,279).</w:t>
      </w:r>
    </w:p>
    <w:p w14:paraId="6EBBE19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38C97183" w14:textId="77777777" w:rsidR="007A7AC1" w:rsidRPr="0044524F" w:rsidRDefault="007A7AC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бригада № 2 (Поликарпова) ЦКБ заво</w:t>
      </w:r>
      <w:r w:rsidRPr="0044524F">
        <w:rPr>
          <w:rFonts w:ascii="Times New Roman" w:hAnsi="Times New Roman"/>
          <w:color w:val="000000" w:themeColor="text1"/>
          <w:sz w:val="16"/>
          <w:szCs w:val="16"/>
        </w:rPr>
        <w:softHyphen/>
        <w:t>да № 39 разработала проект четырехместного пассажир</w:t>
      </w:r>
      <w:r w:rsidRPr="0044524F">
        <w:rPr>
          <w:rFonts w:ascii="Times New Roman" w:hAnsi="Times New Roman"/>
          <w:color w:val="000000" w:themeColor="text1"/>
          <w:sz w:val="16"/>
          <w:szCs w:val="16"/>
        </w:rPr>
        <w:softHyphen/>
        <w:t>ского самолета-низкоплана ЦКБ-6 для воздушных линий небольшой протяженности (600-650 км), представляв</w:t>
      </w:r>
      <w:r w:rsidRPr="0044524F">
        <w:rPr>
          <w:rFonts w:ascii="Times New Roman" w:hAnsi="Times New Roman"/>
          <w:color w:val="000000" w:themeColor="text1"/>
          <w:sz w:val="16"/>
          <w:szCs w:val="16"/>
        </w:rPr>
        <w:softHyphen/>
        <w:t>шего собой развитие предыдущего проекта. Ведущим конструктором по машине был В.К.Таиров. Самолет имел хорошо обтекаемые формы, убираемое шасси (су</w:t>
      </w:r>
      <w:r w:rsidRPr="0044524F">
        <w:rPr>
          <w:rFonts w:ascii="Times New Roman" w:hAnsi="Times New Roman"/>
          <w:color w:val="000000" w:themeColor="text1"/>
          <w:sz w:val="16"/>
          <w:szCs w:val="16"/>
        </w:rPr>
        <w:softHyphen/>
        <w:t>ществовал также вариант с шасси в «штанах»). На ЦКБ-6 предполагалось установить новый мотор М-49 мощнос</w:t>
      </w:r>
      <w:r w:rsidRPr="0044524F">
        <w:rPr>
          <w:rFonts w:ascii="Times New Roman" w:hAnsi="Times New Roman"/>
          <w:color w:val="000000" w:themeColor="text1"/>
          <w:sz w:val="16"/>
          <w:szCs w:val="16"/>
        </w:rPr>
        <w:softHyphen/>
        <w:t>тью в 300 л.с., который еще только разрабатывался в КБ запорожского завода № 29. И хотя возможности для реа</w:t>
      </w:r>
      <w:r w:rsidRPr="0044524F">
        <w:rPr>
          <w:rFonts w:ascii="Times New Roman" w:hAnsi="Times New Roman"/>
          <w:color w:val="000000" w:themeColor="text1"/>
          <w:sz w:val="16"/>
          <w:szCs w:val="16"/>
        </w:rPr>
        <w:softHyphen/>
        <w:t>лизации проекта не было (к тому же, двигатель не вышел из стадии доработок), Поликарпов некоторое время про</w:t>
      </w:r>
      <w:r w:rsidRPr="0044524F">
        <w:rPr>
          <w:rFonts w:ascii="Times New Roman" w:hAnsi="Times New Roman"/>
          <w:color w:val="000000" w:themeColor="text1"/>
          <w:sz w:val="16"/>
          <w:szCs w:val="16"/>
        </w:rPr>
        <w:softHyphen/>
        <w:t>должал его совершенствовать. Эти работы позже легли в основу ОКО-1 - первой самостоятельной машины В.К.Таирова, назначенного в 1935 г. главным конструкто</w:t>
      </w:r>
      <w:r w:rsidRPr="0044524F">
        <w:rPr>
          <w:rFonts w:ascii="Times New Roman" w:hAnsi="Times New Roman"/>
          <w:color w:val="000000" w:themeColor="text1"/>
          <w:sz w:val="16"/>
          <w:szCs w:val="16"/>
        </w:rPr>
        <w:softHyphen/>
        <w:t>ром опытно-конструкторского отдела авиационного за</w:t>
      </w:r>
      <w:r w:rsidRPr="0044524F">
        <w:rPr>
          <w:rFonts w:ascii="Times New Roman" w:hAnsi="Times New Roman"/>
          <w:color w:val="000000" w:themeColor="text1"/>
          <w:sz w:val="16"/>
          <w:szCs w:val="16"/>
        </w:rPr>
        <w:softHyphen/>
        <w:t>вода № 43 в Киеве (10667).</w:t>
      </w:r>
    </w:p>
    <w:p w14:paraId="23146F8E" w14:textId="77777777" w:rsidR="007A7AC1" w:rsidRPr="0044524F" w:rsidRDefault="007A7AC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08609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июля 1933 стали серийно делать Сталь-2 на заводе N 81 (80,370).</w:t>
      </w:r>
    </w:p>
    <w:p w14:paraId="766D8D8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4EE7912F"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июле 1933 г. Н. Н. Поликарпов и начальник ЦКБ С. В. Ильюшин подписали проект ЦКБ-6 и направили его в главк. </w:t>
      </w:r>
    </w:p>
    <w:p w14:paraId="24B99FB4"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ЦКБ-6 представлял собой цельнодеревянный пятиместный самолет-низкоплан (один летчик и четыре пассажира) с мотором воздушного охлаждения М-49 мощностью в 300 л.с. с убираемым шасси. Все пассажиры располагались в отдельном салоне. При необходимости можно было установить дополнительное приставное сиденье рядом с пилотом. Основное назначение — обслуживание местных линий (межобластные перевозки). Расчетная дальность полета составляла 600–650 км. Просматривалась возможность установки мотора М-22.</w:t>
      </w:r>
    </w:p>
    <w:p w14:paraId="003077E3"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 там решили не реализовывать, так как в то время на Горьковском авиационном заводе № 21 полным ходом шла подготовка к серийному производству близкого по типу семи местного пассажирского самолета ХАИ-1 (первый полет опытного экземпляра состоялся 8 октября 1932 г.), разрабатывался и его военный вариант.</w:t>
      </w:r>
    </w:p>
    <w:p w14:paraId="5E73FB7B"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по указанию Поликарпова работы над ЦКБ-6 в бригаде № 3 продолжились, но уже в другой, семиместной модификации (25035).</w:t>
      </w:r>
    </w:p>
    <w:p w14:paraId="22838A7C" w14:textId="77777777" w:rsidR="00CF5BF0" w:rsidRPr="00142305" w:rsidRDefault="00CF5BF0" w:rsidP="00CF5BF0">
      <w:pPr>
        <w:spacing w:after="0" w:line="240" w:lineRule="auto"/>
        <w:jc w:val="both"/>
        <w:rPr>
          <w:rFonts w:ascii="Times New Roman" w:hAnsi="Times New Roman"/>
          <w:color w:val="0070C0"/>
          <w:sz w:val="16"/>
          <w:szCs w:val="16"/>
        </w:rPr>
      </w:pPr>
    </w:p>
    <w:p w14:paraId="0417C178"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1933 рискнули первый раз подняться в воздух на С-62 с М-34. С 1 августа предполагалось начать государственные испытания этого варианта, но 29 сентяб</w:t>
      </w:r>
      <w:r w:rsidRPr="00142305">
        <w:rPr>
          <w:rFonts w:ascii="Times New Roman" w:hAnsi="Times New Roman"/>
          <w:color w:val="0070C0"/>
          <w:sz w:val="16"/>
          <w:szCs w:val="16"/>
        </w:rPr>
        <w:softHyphen/>
        <w:t>ря только приступили к официальным за</w:t>
      </w:r>
      <w:r w:rsidRPr="00142305">
        <w:rPr>
          <w:rFonts w:ascii="Times New Roman" w:hAnsi="Times New Roman"/>
          <w:color w:val="0070C0"/>
          <w:sz w:val="16"/>
          <w:szCs w:val="16"/>
        </w:rPr>
        <w:softHyphen/>
        <w:t>водским испытаниям. Летные данные с двигателем М-34 получились хуже, чем с Ассо 750. 16 октября из Таганрога в Мос</w:t>
      </w:r>
      <w:r w:rsidRPr="00142305">
        <w:rPr>
          <w:rFonts w:ascii="Times New Roman" w:hAnsi="Times New Roman"/>
          <w:color w:val="0070C0"/>
          <w:sz w:val="16"/>
          <w:szCs w:val="16"/>
        </w:rPr>
        <w:softHyphen/>
        <w:t>кву доложили, что добились охлаждения «близкого к нормальному» (24948).</w:t>
      </w:r>
    </w:p>
    <w:p w14:paraId="1E65D942" w14:textId="77777777" w:rsidR="00CF5BF0" w:rsidRPr="00142305" w:rsidRDefault="00CF5BF0" w:rsidP="00CF5BF0">
      <w:pPr>
        <w:spacing w:after="0" w:line="240" w:lineRule="auto"/>
        <w:jc w:val="both"/>
        <w:rPr>
          <w:rFonts w:ascii="Times New Roman" w:hAnsi="Times New Roman"/>
          <w:color w:val="0070C0"/>
          <w:sz w:val="16"/>
          <w:szCs w:val="16"/>
        </w:rPr>
      </w:pPr>
    </w:p>
    <w:p w14:paraId="63DBD26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были готовы проект и чертежи бесхвостого планера П.Г.Бенинга Осовиахимовец ХАИ (553,153).</w:t>
      </w:r>
    </w:p>
    <w:p w14:paraId="0324A40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49BED014"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1933 г. был изготовлен первый опытный образец авиадизеля АН-1 (главный конструктор А.Д. Чаромский) - четырехтактного, 12-цилиндрового, V -образного, с углом развала 60°, диаметр цилиндров - 180 мм, ход поршня - 200 мм. При мощности 814 л.с. он имел удельный расход топлива 179 г/(л.с/ч), что примерно на 20...25% ниже расхода у бензиновых двигателей аналогичной схемы. В 1935 г. авиадизель АН-1 прошел государственный стендовые испытания и были начаты летные испытания. Однако невысотный двигатель уже не мог представлять интереса, в 1936 г. был построен образец с центробежным нагнетателем мощностью 750 л.с. на высоте 2500 м и удельной массой 1,39 кг/л.с. (масса около 1040 кг). Двигатель был доведен и в январе 1937 г. прошел государственные стендовые испытания. Получена взлетная мощность 900 (913) л.с. и номинальная мощность 900 л.с. на высоте 2500 м. Авиадизель получил наименование АН-1А. Выпущена была малая серия. Летные испытания авиадизеля АН-1А проводились совместно с самолетом ТБ-3Д с 3 августа по 21 сентября 1937 г. и с 9 марта по 23 марта 1938 г. (25039).</w:t>
      </w:r>
    </w:p>
    <w:p w14:paraId="38416EE0" w14:textId="77777777" w:rsidR="00CF5BF0" w:rsidRPr="00142305" w:rsidRDefault="00CF5BF0" w:rsidP="00CF5BF0">
      <w:pPr>
        <w:spacing w:after="0" w:line="240" w:lineRule="auto"/>
        <w:jc w:val="both"/>
        <w:rPr>
          <w:rFonts w:ascii="Times New Roman" w:hAnsi="Times New Roman"/>
          <w:color w:val="0070C0"/>
          <w:sz w:val="16"/>
          <w:szCs w:val="16"/>
        </w:rPr>
      </w:pPr>
    </w:p>
    <w:p w14:paraId="2FB445E7" w14:textId="77777777" w:rsidR="007A7AC1" w:rsidRPr="0044524F" w:rsidRDefault="007A7AC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серию «Д» М-34 завода № 24 приемщики пропустили, а «Е» в сентябре опять была забракована. Инспектор Уп</w:t>
      </w:r>
      <w:r w:rsidRPr="0044524F">
        <w:rPr>
          <w:rFonts w:ascii="Times New Roman" w:hAnsi="Times New Roman"/>
          <w:color w:val="000000" w:themeColor="text1"/>
          <w:sz w:val="16"/>
          <w:szCs w:val="16"/>
        </w:rPr>
        <w:softHyphen/>
        <w:t>равления материально-технического снабжения в июле 1933 г. доклады</w:t>
      </w:r>
      <w:r w:rsidRPr="0044524F">
        <w:rPr>
          <w:rFonts w:ascii="Times New Roman" w:hAnsi="Times New Roman"/>
          <w:color w:val="000000" w:themeColor="text1"/>
          <w:sz w:val="16"/>
          <w:szCs w:val="16"/>
        </w:rPr>
        <w:softHyphen/>
        <w:t>вал в УВВС: «Качество моторов М-34, выпускаемых заводом, с начала производства оставляет желать мно</w:t>
      </w:r>
      <w:r w:rsidRPr="0044524F">
        <w:rPr>
          <w:rFonts w:ascii="Times New Roman" w:hAnsi="Times New Roman"/>
          <w:color w:val="000000" w:themeColor="text1"/>
          <w:sz w:val="16"/>
          <w:szCs w:val="16"/>
        </w:rPr>
        <w:softHyphen/>
        <w:t>го лучшего» (11848).</w:t>
      </w:r>
    </w:p>
    <w:p w14:paraId="31EA87B6" w14:textId="77777777" w:rsidR="007A7AC1" w:rsidRPr="0044524F" w:rsidRDefault="007A7AC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6524F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года зам. наркома тяжелой промышленности и начальник Глававиапрома Баранов писал письмо № оп318/397с в СНК Базилевичу</w:t>
      </w:r>
    </w:p>
    <w:p w14:paraId="7C47D50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 № 729/ко от 22 мая 1933 года</w:t>
      </w:r>
    </w:p>
    <w:p w14:paraId="6AC410F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всестороннего освещения вопроса по письму зам. наркома УССР Любченко о паровой турбине и дизеля Н-4 ХАИ, сообщаю, что работы по проектированию и постройке этих объектов выполняются на основании задания УВВС непосредственно Институту, оформленного специальным договором, в котором предусматривалось полное финансирование этих работ во всех стадиях производства.</w:t>
      </w:r>
    </w:p>
    <w:p w14:paraId="7ECC6A3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постановлением СНК в апреле 1933 года мною было принято на себя дальнейшее общее руководство и финансирование одного из этих заданий, а именно паротурбины. В настоящее время отпуск денег на это задание ГУАПом уже производится.</w:t>
      </w:r>
    </w:p>
    <w:p w14:paraId="0314861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же касается вопроса о дизеле Н-4, проектирование и производство которого ведется так же по заданию и договору УВВС с ХАИ, сообщаю, что УВВС прекратило финансирование этой работы.</w:t>
      </w:r>
    </w:p>
    <w:p w14:paraId="4568273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июня, по договоренности с УВВС и ХАИ мною принято на себя это задание и начиная со второй половины текущего года будет производиться плановый отпуск кредитов.</w:t>
      </w:r>
    </w:p>
    <w:p w14:paraId="47B48E0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особо подчеркнуть, что случай отказа от финансирования работ по заключенным договорам со стороны УВВС не единичный. В таком же положении находится газовая турбина, выполняемая Всесоюзным теплотехническим институтом по заданию и договору с УВВС, от финансирования которой УВВС так же отказывается.</w:t>
      </w:r>
    </w:p>
    <w:p w14:paraId="74B9330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Включением в финансовый план двух трудоемких заданий, а именно: паровой турбины и нефтяного двигателя исчерпываются все финансовые возможности ГУАП и включение еще нового задания не может быть принято ни под каким предлогом.</w:t>
      </w:r>
    </w:p>
    <w:p w14:paraId="7FE76BE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вопросу об изготовлении литья на заводе № 26 для авиадизеля, проектируемого Украинским научно-исследовательским авиадизельным институтом, сообщаю, изготовление его проводится и сроки согласованы с их представителями.</w:t>
      </w:r>
    </w:p>
    <w:p w14:paraId="6C229CE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наконец, по вопросу о дополнительном ассигновании на строительство ХАИ сообщаю, что в соответствии с пересмотром титула работ по капитальному строительству, я счел возможным увеличить ассигнования до 400 тысяч рублей, что в общей сумме составит 1600 тысяч рублей и удовлетовряет потребности Института в текущем году (3530,135).</w:t>
      </w:r>
    </w:p>
    <w:p w14:paraId="06EB62F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0F3FF44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был создан ЦИАТИМ (80,82).</w:t>
      </w:r>
    </w:p>
    <w:p w14:paraId="238BD04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45C2881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были за подписью Пом. Нач. ГУАП Алмазова и Нач. моторного сектора Дементьева были подготовлены:</w:t>
      </w:r>
    </w:p>
    <w:p w14:paraId="52EABE3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Краткий технический отчет по опытному строительству самолетов за 1-ю половину 1933 (2310,143).</w:t>
      </w:r>
    </w:p>
    <w:p w14:paraId="128FBC6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Основными задачами работ по опытному строительству в 1933 году оставались:</w:t>
      </w:r>
    </w:p>
    <w:p w14:paraId="2F3BFB1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выполнение работ, незаконченных в 1932 г. по плану, утвержденному Правительством от 4/VII-32 г.</w:t>
      </w:r>
    </w:p>
    <w:p w14:paraId="2B1C46E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Создание новых самолетов, оборудованных артиллерийским вооружением.</w:t>
      </w:r>
    </w:p>
    <w:p w14:paraId="76D8991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Создание новых маломощных, гражданских самолетов.</w:t>
      </w:r>
    </w:p>
    <w:p w14:paraId="6E76797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Применение конструктивных усовершенствований в частях самолетов, повышающие летно-тактические и эксплуатационные данные (масляная амортизация, тормозные колеса, убирающиеся шасси, крыльевые радиаторы, капоты и др.).</w:t>
      </w:r>
    </w:p>
    <w:p w14:paraId="521E061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Применение на самолетах электрифицированного оборудования (бомбового, пулеметного, управления и пр.).</w:t>
      </w:r>
    </w:p>
    <w:p w14:paraId="64DDA8E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невыполнением плана 1932 г. в сроки утвержденные Правительством от 4/VII-32 г. по причинам, изложенным в докладе по опытному строительству за 1932 год - явилась необходимость ранее поставленные задания пересмотреть в комиссии РВС СССР.</w:t>
      </w:r>
    </w:p>
    <w:p w14:paraId="26A5975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Следствием пересмотра в соответствии с актуальностью работ и реальными возможностями выполнения их в зависимости от действительной готовности и наличия нужных моторов - все работы были разбиты на опытные (первоочередные) не требующие дополнительного экспериментирования и работы экспериментальные (второочередные), требующие как специального исследования, так и предварительного эксперимента. Часть же самолетов, как-то Р-5-М34, И12-2М22, И13-М32, согласно решения комиссии, с плана сняты.</w:t>
      </w:r>
    </w:p>
    <w:p w14:paraId="39AC7E6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Переработанный таким образом план и является основой для работ 1933 г.</w:t>
      </w:r>
    </w:p>
    <w:p w14:paraId="297A61C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его опытными организациями (ЦАГИ, зав. 39, ХАЗОС, ХАИ, МАИ) произведено следующее (2310,143):</w:t>
      </w:r>
    </w:p>
    <w:p w14:paraId="5704FA4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369"/>
        <w:gridCol w:w="7512"/>
      </w:tblGrid>
      <w:tr w:rsidR="004E10C1" w:rsidRPr="0044524F" w14:paraId="541C92EB" w14:textId="77777777">
        <w:tc>
          <w:tcPr>
            <w:tcW w:w="3369" w:type="dxa"/>
          </w:tcPr>
          <w:p w14:paraId="7501AB5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w:t>
            </w:r>
          </w:p>
        </w:tc>
        <w:tc>
          <w:tcPr>
            <w:tcW w:w="7512" w:type="dxa"/>
          </w:tcPr>
          <w:p w14:paraId="5C16072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Несвоевременная подача моторов (вместо 1/VIII - 10.XII-32 г.) послужила причиной сдвига</w:t>
            </w:r>
          </w:p>
        </w:tc>
      </w:tr>
      <w:tr w:rsidR="004E10C1" w:rsidRPr="0044524F" w14:paraId="745FD05B" w14:textId="77777777">
        <w:tc>
          <w:tcPr>
            <w:tcW w:w="3369" w:type="dxa"/>
          </w:tcPr>
          <w:p w14:paraId="673D2CF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w:t>
            </w:r>
          </w:p>
        </w:tc>
        <w:tc>
          <w:tcPr>
            <w:tcW w:w="7512" w:type="dxa"/>
          </w:tcPr>
          <w:p w14:paraId="30F2F9A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срока по выпуску самолета на заводские испытания. Только в марте месяце самолет смог быть</w:t>
            </w:r>
          </w:p>
        </w:tc>
      </w:tr>
      <w:tr w:rsidR="004E10C1" w:rsidRPr="0044524F" w14:paraId="0C4C9EB3" w14:textId="77777777">
        <w:tc>
          <w:tcPr>
            <w:tcW w:w="3369" w:type="dxa"/>
          </w:tcPr>
          <w:p w14:paraId="1AC933B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бомбовоз дюралевой</w:t>
            </w:r>
          </w:p>
        </w:tc>
        <w:tc>
          <w:tcPr>
            <w:tcW w:w="7512" w:type="dxa"/>
          </w:tcPr>
          <w:p w14:paraId="33D1A25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отправлен на аэродром. В течение апреля, мая и июня проводились работы по доводке самолета и</w:t>
            </w:r>
          </w:p>
        </w:tc>
      </w:tr>
      <w:tr w:rsidR="004E10C1" w:rsidRPr="0044524F" w14:paraId="7ED606FC" w14:textId="77777777">
        <w:tc>
          <w:tcPr>
            <w:tcW w:w="3369" w:type="dxa"/>
          </w:tcPr>
          <w:p w14:paraId="7270DF0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 С норм.</w:t>
            </w:r>
          </w:p>
        </w:tc>
        <w:tc>
          <w:tcPr>
            <w:tcW w:w="7512" w:type="dxa"/>
          </w:tcPr>
          <w:p w14:paraId="6F2879D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моторов. Основные из них заключались в переделках стабилизатора, наладке моторного</w:t>
            </w:r>
          </w:p>
        </w:tc>
      </w:tr>
      <w:tr w:rsidR="004E10C1" w:rsidRPr="0044524F" w14:paraId="4B3E8383" w14:textId="77777777">
        <w:tc>
          <w:tcPr>
            <w:tcW w:w="3369" w:type="dxa"/>
          </w:tcPr>
          <w:p w14:paraId="73D6FD6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нагрузкой в полете</w:t>
            </w:r>
          </w:p>
        </w:tc>
        <w:tc>
          <w:tcPr>
            <w:tcW w:w="7512" w:type="dxa"/>
          </w:tcPr>
          <w:p w14:paraId="19C5905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хозяйства, установке и отладке ЦЕС'а и оборудования, в переделках капотов и коллекторов,</w:t>
            </w:r>
          </w:p>
        </w:tc>
      </w:tr>
      <w:tr w:rsidR="004E10C1" w:rsidRPr="0044524F" w14:paraId="2DA0B0BC" w14:textId="77777777">
        <w:tc>
          <w:tcPr>
            <w:tcW w:w="3369" w:type="dxa"/>
          </w:tcPr>
          <w:p w14:paraId="38481DB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 тн. Вооружен 10</w:t>
            </w:r>
          </w:p>
        </w:tc>
        <w:tc>
          <w:tcPr>
            <w:tcW w:w="7512" w:type="dxa"/>
          </w:tcPr>
          <w:p w14:paraId="41A9E41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переделках винтов, изготовлении радиаторов (водо-масл. и возд. масл.). Значительной задержкой</w:t>
            </w:r>
          </w:p>
        </w:tc>
      </w:tr>
      <w:tr w:rsidR="004E10C1" w:rsidRPr="0044524F" w14:paraId="0EB343B7" w14:textId="77777777">
        <w:tc>
          <w:tcPr>
            <w:tcW w:w="3369" w:type="dxa"/>
          </w:tcPr>
          <w:p w14:paraId="08A8D65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 и 2 пушк.</w:t>
            </w:r>
          </w:p>
        </w:tc>
        <w:tc>
          <w:tcPr>
            <w:tcW w:w="7512" w:type="dxa"/>
          </w:tcPr>
          <w:p w14:paraId="5034A53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служил нерешенный вопрос с охлаждением масла, проводимый на сам. ТБ3.</w:t>
            </w:r>
          </w:p>
        </w:tc>
      </w:tr>
      <w:tr w:rsidR="004E10C1" w:rsidRPr="0044524F" w14:paraId="3BF4B714" w14:textId="77777777">
        <w:tc>
          <w:tcPr>
            <w:tcW w:w="3369" w:type="dxa"/>
          </w:tcPr>
          <w:p w14:paraId="0E398C5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w:t>
            </w:r>
          </w:p>
        </w:tc>
        <w:tc>
          <w:tcPr>
            <w:tcW w:w="7512" w:type="dxa"/>
          </w:tcPr>
          <w:p w14:paraId="50C8A1D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3/VII самолет был выпущен в воздух. Крупных дефектов не обнаружено. Со второй половины</w:t>
            </w:r>
          </w:p>
        </w:tc>
      </w:tr>
      <w:tr w:rsidR="004E10C1" w:rsidRPr="0044524F" w14:paraId="65497E28" w14:textId="77777777">
        <w:tc>
          <w:tcPr>
            <w:tcW w:w="3369" w:type="dxa"/>
          </w:tcPr>
          <w:p w14:paraId="3620402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перегрузкой 2000 км</w:t>
            </w:r>
          </w:p>
        </w:tc>
        <w:tc>
          <w:tcPr>
            <w:tcW w:w="7512" w:type="dxa"/>
          </w:tcPr>
          <w:p w14:paraId="0E4AC3E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июня самолет должен проходить программные испытания с весом в 25 тонн.</w:t>
            </w:r>
          </w:p>
        </w:tc>
      </w:tr>
      <w:tr w:rsidR="004E10C1" w:rsidRPr="0044524F" w14:paraId="022620E4" w14:textId="77777777">
        <w:tc>
          <w:tcPr>
            <w:tcW w:w="3369" w:type="dxa"/>
          </w:tcPr>
          <w:p w14:paraId="4F79A23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на 3000 м -....</w:t>
            </w:r>
          </w:p>
        </w:tc>
        <w:tc>
          <w:tcPr>
            <w:tcW w:w="7512" w:type="dxa"/>
          </w:tcPr>
          <w:p w14:paraId="08500D9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с целью улучшения всех данных самолета, на основе предварительных</w:t>
            </w:r>
          </w:p>
        </w:tc>
      </w:tr>
      <w:tr w:rsidR="004E10C1" w:rsidRPr="0044524F" w14:paraId="7132C22C" w14:textId="77777777">
        <w:tc>
          <w:tcPr>
            <w:tcW w:w="3369" w:type="dxa"/>
          </w:tcPr>
          <w:p w14:paraId="0BC885C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w:t>
            </w:r>
          </w:p>
        </w:tc>
        <w:tc>
          <w:tcPr>
            <w:tcW w:w="7512" w:type="dxa"/>
          </w:tcPr>
          <w:p w14:paraId="26C1BB1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испытаний сам. Р.Д. ЦАГИ производит значительные изменения самолета, заключающиеся в</w:t>
            </w:r>
          </w:p>
        </w:tc>
      </w:tr>
      <w:tr w:rsidR="004E10C1" w:rsidRPr="0044524F" w14:paraId="23952F42" w14:textId="77777777">
        <w:tc>
          <w:tcPr>
            <w:tcW w:w="3369" w:type="dxa"/>
          </w:tcPr>
          <w:p w14:paraId="435013B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VIII-33 г.</w:t>
            </w:r>
          </w:p>
        </w:tc>
        <w:tc>
          <w:tcPr>
            <w:tcW w:w="7512" w:type="dxa"/>
          </w:tcPr>
          <w:p w14:paraId="72117A7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увеличении площади крыльев, за счет размаха и установкой дополнительно двух моторов - М54 в</w:t>
            </w:r>
          </w:p>
        </w:tc>
      </w:tr>
      <w:tr w:rsidR="004E10C1" w:rsidRPr="0044524F" w14:paraId="57F8D2B5" w14:textId="77777777">
        <w:tc>
          <w:tcPr>
            <w:tcW w:w="3369" w:type="dxa"/>
          </w:tcPr>
          <w:p w14:paraId="2D42B7A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738BDF0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крыльях.</w:t>
            </w:r>
          </w:p>
        </w:tc>
      </w:tr>
      <w:tr w:rsidR="004E10C1" w:rsidRPr="0044524F" w14:paraId="3CAD5BD2" w14:textId="77777777">
        <w:tc>
          <w:tcPr>
            <w:tcW w:w="3369" w:type="dxa"/>
          </w:tcPr>
          <w:p w14:paraId="7FB853A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ТБ3-4М34РН</w:t>
            </w:r>
          </w:p>
        </w:tc>
        <w:tc>
          <w:tcPr>
            <w:tcW w:w="7512" w:type="dxa"/>
          </w:tcPr>
          <w:p w14:paraId="5D6D143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Самолет был с моторами без редуктора и нагнетателя переброшен на аэродром в декабре 32 г.</w:t>
            </w:r>
          </w:p>
        </w:tc>
      </w:tr>
      <w:tr w:rsidR="004E10C1" w:rsidRPr="0044524F" w14:paraId="7B6216B3" w14:textId="77777777">
        <w:tc>
          <w:tcPr>
            <w:tcW w:w="3369" w:type="dxa"/>
          </w:tcPr>
          <w:p w14:paraId="61A858F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Модификация ТБ3-4М17,</w:t>
            </w:r>
          </w:p>
        </w:tc>
        <w:tc>
          <w:tcPr>
            <w:tcW w:w="7512" w:type="dxa"/>
          </w:tcPr>
          <w:p w14:paraId="1269AEC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первых же пробах мотора были обнаружены крупные недостатки в моторном хозяйстве:</w:t>
            </w:r>
          </w:p>
        </w:tc>
      </w:tr>
      <w:tr w:rsidR="004E10C1" w:rsidRPr="0044524F" w14:paraId="7F787FB2" w14:textId="77777777">
        <w:tc>
          <w:tcPr>
            <w:tcW w:w="3369" w:type="dxa"/>
          </w:tcPr>
          <w:p w14:paraId="7D0DC32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19,5 тн.</w:t>
            </w:r>
          </w:p>
        </w:tc>
        <w:tc>
          <w:tcPr>
            <w:tcW w:w="7512" w:type="dxa"/>
          </w:tcPr>
          <w:p w14:paraId="14042E7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(перегрев масла, течи в трубопроводах, тресканье глушителей, плохая работа самих моторов,</w:t>
            </w:r>
          </w:p>
        </w:tc>
      </w:tr>
      <w:tr w:rsidR="004E10C1" w:rsidRPr="0044524F" w14:paraId="58C1C187" w14:textId="77777777">
        <w:tc>
          <w:tcPr>
            <w:tcW w:w="3369" w:type="dxa"/>
          </w:tcPr>
          <w:p w14:paraId="4CC7CD6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- 2400 км.</w:t>
            </w:r>
          </w:p>
        </w:tc>
        <w:tc>
          <w:tcPr>
            <w:tcW w:w="7512" w:type="dxa"/>
          </w:tcPr>
          <w:p w14:paraId="281F6DB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непригодность винтов и др.). Январские моторы крайне затрудняли работу. Совместными силами</w:t>
            </w:r>
          </w:p>
        </w:tc>
      </w:tr>
      <w:tr w:rsidR="004E10C1" w:rsidRPr="0044524F" w14:paraId="0DF57C5B" w14:textId="77777777">
        <w:tc>
          <w:tcPr>
            <w:tcW w:w="3369" w:type="dxa"/>
          </w:tcPr>
          <w:p w14:paraId="1C2A380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перегрузкой 3000 км.</w:t>
            </w:r>
          </w:p>
        </w:tc>
        <w:tc>
          <w:tcPr>
            <w:tcW w:w="7512" w:type="dxa"/>
          </w:tcPr>
          <w:p w14:paraId="1AB4322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ЦИАМ, НИИ ВВС к 8/III самолет удалось подготовить к полету. После пробного полета</w:t>
            </w:r>
          </w:p>
        </w:tc>
      </w:tr>
      <w:tr w:rsidR="004E10C1" w:rsidRPr="0044524F" w14:paraId="676B898F" w14:textId="77777777">
        <w:tc>
          <w:tcPr>
            <w:tcW w:w="3369" w:type="dxa"/>
          </w:tcPr>
          <w:p w14:paraId="1DB075A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5000 м -</w:t>
            </w:r>
          </w:p>
        </w:tc>
        <w:tc>
          <w:tcPr>
            <w:tcW w:w="7512" w:type="dxa"/>
          </w:tcPr>
          <w:p w14:paraId="159DF27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обнаружены новые дефекты (масл. радиат., коллектора, подогрев), по частичному</w:t>
            </w:r>
          </w:p>
        </w:tc>
      </w:tr>
      <w:tr w:rsidR="004E10C1" w:rsidRPr="0044524F" w14:paraId="41FE6EFB" w14:textId="77777777">
        <w:tc>
          <w:tcPr>
            <w:tcW w:w="3369" w:type="dxa"/>
          </w:tcPr>
          <w:p w14:paraId="238913F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 км/час. Сбрасываем.</w:t>
            </w:r>
          </w:p>
        </w:tc>
        <w:tc>
          <w:tcPr>
            <w:tcW w:w="7512" w:type="dxa"/>
          </w:tcPr>
          <w:p w14:paraId="5CD066A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устранению которых проводились полеты по проверке надежности работы всего моторного</w:t>
            </w:r>
          </w:p>
        </w:tc>
      </w:tr>
      <w:tr w:rsidR="004E10C1" w:rsidRPr="0044524F" w14:paraId="0A463B09" w14:textId="77777777">
        <w:tc>
          <w:tcPr>
            <w:tcW w:w="3369" w:type="dxa"/>
          </w:tcPr>
          <w:p w14:paraId="58F45F0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груз -...... 1500 кг.</w:t>
            </w:r>
          </w:p>
        </w:tc>
        <w:tc>
          <w:tcPr>
            <w:tcW w:w="7512" w:type="dxa"/>
          </w:tcPr>
          <w:p w14:paraId="31EDC90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хозяйства. При полете с полным весом самолет потерпел аварию.</w:t>
            </w:r>
          </w:p>
        </w:tc>
      </w:tr>
      <w:tr w:rsidR="004E10C1" w:rsidRPr="0044524F" w14:paraId="75166C0D" w14:textId="77777777">
        <w:tc>
          <w:tcPr>
            <w:tcW w:w="3369" w:type="dxa"/>
          </w:tcPr>
          <w:p w14:paraId="435376C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w:t>
            </w:r>
          </w:p>
        </w:tc>
        <w:tc>
          <w:tcPr>
            <w:tcW w:w="7512" w:type="dxa"/>
          </w:tcPr>
          <w:p w14:paraId="7401689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20/IV новый самолет зав. 22 был получен ЦАГИ, на котором продолжаются заводские испытания</w:t>
            </w:r>
          </w:p>
        </w:tc>
      </w:tr>
      <w:tr w:rsidR="004E10C1" w:rsidRPr="0044524F" w14:paraId="5F43D2D7" w14:textId="77777777">
        <w:tc>
          <w:tcPr>
            <w:tcW w:w="3369" w:type="dxa"/>
          </w:tcPr>
          <w:p w14:paraId="783C310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1/X-34 г.</w:t>
            </w:r>
          </w:p>
        </w:tc>
        <w:tc>
          <w:tcPr>
            <w:tcW w:w="7512" w:type="dxa"/>
          </w:tcPr>
          <w:p w14:paraId="3831883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доводка.</w:t>
            </w:r>
          </w:p>
        </w:tc>
      </w:tr>
      <w:tr w:rsidR="004E10C1" w:rsidRPr="0044524F" w14:paraId="66BBEB5D" w14:textId="77777777">
        <w:tc>
          <w:tcPr>
            <w:tcW w:w="3369" w:type="dxa"/>
          </w:tcPr>
          <w:p w14:paraId="47FC5DA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w:t>
            </w:r>
          </w:p>
        </w:tc>
        <w:tc>
          <w:tcPr>
            <w:tcW w:w="7512" w:type="dxa"/>
          </w:tcPr>
          <w:p w14:paraId="37A2419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Запоздание в выпуске машин проистекало по тем же причинам (несвоевременная подача</w:t>
            </w:r>
          </w:p>
        </w:tc>
      </w:tr>
      <w:tr w:rsidR="004E10C1" w:rsidRPr="0044524F" w14:paraId="472ECEE4" w14:textId="77777777">
        <w:tc>
          <w:tcPr>
            <w:tcW w:w="3369" w:type="dxa"/>
          </w:tcPr>
          <w:p w14:paraId="52414BF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.....местный истребитель</w:t>
            </w:r>
          </w:p>
        </w:tc>
        <w:tc>
          <w:tcPr>
            <w:tcW w:w="7512" w:type="dxa"/>
          </w:tcPr>
          <w:p w14:paraId="2E0D16C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моторов, неясность типа радиаторов, коллекторов и пр.). Моторы вместо 1/IX были получены</w:t>
            </w:r>
          </w:p>
        </w:tc>
      </w:tr>
      <w:tr w:rsidR="004E10C1" w:rsidRPr="0044524F" w14:paraId="16CF6CF9" w14:textId="77777777">
        <w:tc>
          <w:tcPr>
            <w:tcW w:w="3369" w:type="dxa"/>
          </w:tcPr>
          <w:p w14:paraId="69C3E66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дюралевый. Вооружен 6</w:t>
            </w:r>
          </w:p>
        </w:tc>
        <w:tc>
          <w:tcPr>
            <w:tcW w:w="7512" w:type="dxa"/>
          </w:tcPr>
          <w:p w14:paraId="1B6BEF7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22/XII. Самолет в марте был перевезен на аэродром, где доводка моторного хозяйства и</w:t>
            </w:r>
          </w:p>
        </w:tc>
      </w:tr>
      <w:tr w:rsidR="004E10C1" w:rsidRPr="0044524F" w14:paraId="0E3401A1" w14:textId="77777777">
        <w:tc>
          <w:tcPr>
            <w:tcW w:w="3369" w:type="dxa"/>
          </w:tcPr>
          <w:p w14:paraId="2E9448C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 и..... пушкой.</w:t>
            </w:r>
          </w:p>
        </w:tc>
        <w:tc>
          <w:tcPr>
            <w:tcW w:w="7512" w:type="dxa"/>
          </w:tcPr>
          <w:p w14:paraId="09B8B63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подъемного механизма шасси заняла почти месяц. 6/V самолет совершил пробную рулежку и</w:t>
            </w:r>
          </w:p>
        </w:tc>
      </w:tr>
      <w:tr w:rsidR="004E10C1" w:rsidRPr="0044524F" w14:paraId="5E23804D" w14:textId="77777777">
        <w:tc>
          <w:tcPr>
            <w:tcW w:w="3369" w:type="dxa"/>
          </w:tcPr>
          <w:p w14:paraId="7C2F2B3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5000 м -</w:t>
            </w:r>
          </w:p>
        </w:tc>
        <w:tc>
          <w:tcPr>
            <w:tcW w:w="7512" w:type="dxa"/>
          </w:tcPr>
          <w:p w14:paraId="3898EF5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 по прямой. Дальнейшие испытания (при постоянных неполадках моторного хозяйства)</w:t>
            </w:r>
          </w:p>
        </w:tc>
      </w:tr>
      <w:tr w:rsidR="004E10C1" w:rsidRPr="0044524F" w14:paraId="386DDE15" w14:textId="77777777">
        <w:tc>
          <w:tcPr>
            <w:tcW w:w="3369" w:type="dxa"/>
          </w:tcPr>
          <w:p w14:paraId="12FDE8A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300 км/час. Время</w:t>
            </w:r>
          </w:p>
        </w:tc>
        <w:tc>
          <w:tcPr>
            <w:tcW w:w="7512" w:type="dxa"/>
          </w:tcPr>
          <w:p w14:paraId="31D44BD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обнаружили крупные дефекты в машине (вибрации оперения, недостаточность элеронов, большая</w:t>
            </w:r>
          </w:p>
        </w:tc>
      </w:tr>
      <w:tr w:rsidR="004E10C1" w:rsidRPr="0044524F" w14:paraId="6F0B997C" w14:textId="77777777">
        <w:tc>
          <w:tcPr>
            <w:tcW w:w="3369" w:type="dxa"/>
          </w:tcPr>
          <w:p w14:paraId="69ED8BD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подъема 15 м на высоту</w:t>
            </w:r>
          </w:p>
        </w:tc>
        <w:tc>
          <w:tcPr>
            <w:tcW w:w="7512" w:type="dxa"/>
          </w:tcPr>
          <w:p w14:paraId="591AAA7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минимальная скорость, тенденция валиться на нос при сбавленных оборотах, трудность посадки</w:t>
            </w:r>
          </w:p>
        </w:tc>
      </w:tr>
      <w:tr w:rsidR="004E10C1" w:rsidRPr="0044524F" w14:paraId="2ADAA2D7" w14:textId="77777777">
        <w:tc>
          <w:tcPr>
            <w:tcW w:w="3369" w:type="dxa"/>
          </w:tcPr>
          <w:p w14:paraId="2B0C119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 м. Скорость - 1000 км</w:t>
            </w:r>
          </w:p>
        </w:tc>
        <w:tc>
          <w:tcPr>
            <w:tcW w:w="7512" w:type="dxa"/>
          </w:tcPr>
          <w:p w14:paraId="090BF5A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 моторов). Объединенными силами теоретических и опытных работников проведены большие</w:t>
            </w:r>
          </w:p>
        </w:tc>
      </w:tr>
      <w:tr w:rsidR="004E10C1" w:rsidRPr="0044524F" w14:paraId="1FFBC4C7" w14:textId="77777777">
        <w:tc>
          <w:tcPr>
            <w:tcW w:w="3369" w:type="dxa"/>
          </w:tcPr>
          <w:p w14:paraId="20A5CFE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 на</w:t>
            </w:r>
          </w:p>
        </w:tc>
        <w:tc>
          <w:tcPr>
            <w:tcW w:w="7512" w:type="dxa"/>
          </w:tcPr>
          <w:p w14:paraId="142664F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исследованию причин дефектов).Поставленные и испытанные закрылки показали</w:t>
            </w:r>
          </w:p>
        </w:tc>
      </w:tr>
      <w:tr w:rsidR="004E10C1" w:rsidRPr="0044524F" w14:paraId="7B535D08" w14:textId="77777777">
        <w:tc>
          <w:tcPr>
            <w:tcW w:w="3369" w:type="dxa"/>
          </w:tcPr>
          <w:p w14:paraId="18B8BB7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1/IX-33 г.</w:t>
            </w:r>
          </w:p>
        </w:tc>
        <w:tc>
          <w:tcPr>
            <w:tcW w:w="7512" w:type="dxa"/>
          </w:tcPr>
          <w:p w14:paraId="01FDA94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недостаточность этого мероприятия и в настоящее время ведутся изменения в соединении крыла</w:t>
            </w:r>
          </w:p>
        </w:tc>
      </w:tr>
      <w:tr w:rsidR="004E10C1" w:rsidRPr="0044524F" w14:paraId="36551788" w14:textId="77777777">
        <w:tc>
          <w:tcPr>
            <w:tcW w:w="3369" w:type="dxa"/>
          </w:tcPr>
          <w:p w14:paraId="4824F91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4D75AC0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фюзеляжем в отношении плавного обтекания, долженствующего уничтожить срывы потока и </w:t>
            </w:r>
          </w:p>
        </w:tc>
      </w:tr>
      <w:tr w:rsidR="004E10C1" w:rsidRPr="0044524F" w14:paraId="6AADBD19" w14:textId="77777777">
        <w:tc>
          <w:tcPr>
            <w:tcW w:w="3369" w:type="dxa"/>
          </w:tcPr>
          <w:p w14:paraId="79747C7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04D7ED0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следовательно уничтожить вибрации и улучшить качество на малых скоростях. Во второй</w:t>
            </w:r>
          </w:p>
        </w:tc>
      </w:tr>
      <w:tr w:rsidR="004E10C1" w:rsidRPr="0044524F" w14:paraId="47A209EB" w14:textId="77777777">
        <w:tc>
          <w:tcPr>
            <w:tcW w:w="3369" w:type="dxa"/>
          </w:tcPr>
          <w:p w14:paraId="263C5CD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74C1BDF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половине июля самолет должен испытываться с новыми изменениями.</w:t>
            </w:r>
          </w:p>
        </w:tc>
      </w:tr>
      <w:tr w:rsidR="004E10C1" w:rsidRPr="0044524F" w14:paraId="455E1FE7" w14:textId="77777777">
        <w:tc>
          <w:tcPr>
            <w:tcW w:w="3369" w:type="dxa"/>
          </w:tcPr>
          <w:p w14:paraId="2E635E0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ЛИ1 - 6М34РН</w:t>
            </w:r>
          </w:p>
        </w:tc>
        <w:tc>
          <w:tcPr>
            <w:tcW w:w="7512" w:type="dxa"/>
          </w:tcPr>
          <w:p w14:paraId="351A19D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Макет самолета утвержден 2/IV-33 г. Проектированием закончен на 95% и находится в </w:t>
            </w:r>
          </w:p>
        </w:tc>
      </w:tr>
      <w:tr w:rsidR="004E10C1" w:rsidRPr="0044524F" w14:paraId="7AE19B43" w14:textId="77777777">
        <w:tc>
          <w:tcPr>
            <w:tcW w:w="3369" w:type="dxa"/>
          </w:tcPr>
          <w:p w14:paraId="46FAAFB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крейсер,</w:t>
            </w:r>
          </w:p>
        </w:tc>
        <w:tc>
          <w:tcPr>
            <w:tcW w:w="7512" w:type="dxa"/>
          </w:tcPr>
          <w:p w14:paraId="1A34E92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постройке. Техническая готовность в производстве около 35%. Объем крыльев, центроплан, лодки,</w:t>
            </w:r>
          </w:p>
        </w:tc>
      </w:tr>
      <w:tr w:rsidR="004E10C1" w:rsidRPr="0044524F" w14:paraId="53C7C73B" w14:textId="77777777">
        <w:tc>
          <w:tcPr>
            <w:tcW w:w="3369" w:type="dxa"/>
          </w:tcPr>
          <w:p w14:paraId="3C0E639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Дюралевый, двухлодочный,</w:t>
            </w:r>
          </w:p>
        </w:tc>
        <w:tc>
          <w:tcPr>
            <w:tcW w:w="7512" w:type="dxa"/>
          </w:tcPr>
          <w:p w14:paraId="0F0F29E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лимузин, управление, оперение, моторное оборудование, спец. оборудование находятся в процессе</w:t>
            </w:r>
          </w:p>
        </w:tc>
      </w:tr>
      <w:tr w:rsidR="004E10C1" w:rsidRPr="0044524F" w14:paraId="1408CB86" w14:textId="77777777">
        <w:tc>
          <w:tcPr>
            <w:tcW w:w="3369" w:type="dxa"/>
          </w:tcPr>
          <w:p w14:paraId="3232F86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тандемными </w:t>
            </w:r>
          </w:p>
        </w:tc>
        <w:tc>
          <w:tcPr>
            <w:tcW w:w="7512" w:type="dxa"/>
          </w:tcPr>
          <w:p w14:paraId="686F61D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изготовления.</w:t>
            </w:r>
          </w:p>
        </w:tc>
      </w:tr>
      <w:tr w:rsidR="004E10C1" w:rsidRPr="0044524F" w14:paraId="50A152AC" w14:textId="77777777">
        <w:tc>
          <w:tcPr>
            <w:tcW w:w="3369" w:type="dxa"/>
          </w:tcPr>
          <w:p w14:paraId="30748E6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Установками моторов,</w:t>
            </w:r>
          </w:p>
        </w:tc>
        <w:tc>
          <w:tcPr>
            <w:tcW w:w="7512" w:type="dxa"/>
          </w:tcPr>
          <w:p w14:paraId="0288AEA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3E04742" w14:textId="77777777">
        <w:tc>
          <w:tcPr>
            <w:tcW w:w="3369" w:type="dxa"/>
          </w:tcPr>
          <w:p w14:paraId="57ED830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крыле моноплан несущий</w:t>
            </w:r>
          </w:p>
        </w:tc>
        <w:tc>
          <w:tcPr>
            <w:tcW w:w="7512" w:type="dxa"/>
          </w:tcPr>
          <w:p w14:paraId="4DC9702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C5ADD41" w14:textId="77777777">
        <w:tc>
          <w:tcPr>
            <w:tcW w:w="3369" w:type="dxa"/>
          </w:tcPr>
          <w:p w14:paraId="0E1A869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кг бомб и торпеду</w:t>
            </w:r>
          </w:p>
        </w:tc>
        <w:tc>
          <w:tcPr>
            <w:tcW w:w="7512" w:type="dxa"/>
          </w:tcPr>
          <w:p w14:paraId="2AA94F7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B78434C" w14:textId="77777777">
        <w:tc>
          <w:tcPr>
            <w:tcW w:w="3369" w:type="dxa"/>
          </w:tcPr>
          <w:p w14:paraId="04E6C99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кг бомб и торпеду</w:t>
            </w:r>
          </w:p>
        </w:tc>
        <w:tc>
          <w:tcPr>
            <w:tcW w:w="7512" w:type="dxa"/>
          </w:tcPr>
          <w:p w14:paraId="24D0DB4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4F419CD" w14:textId="77777777">
        <w:tc>
          <w:tcPr>
            <w:tcW w:w="3369" w:type="dxa"/>
          </w:tcPr>
          <w:p w14:paraId="4FBAB00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кг. Полетный вес</w:t>
            </w:r>
          </w:p>
        </w:tc>
        <w:tc>
          <w:tcPr>
            <w:tcW w:w="7512" w:type="dxa"/>
          </w:tcPr>
          <w:p w14:paraId="47FFA1E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4E6DC68" w14:textId="77777777">
        <w:tc>
          <w:tcPr>
            <w:tcW w:w="3369" w:type="dxa"/>
          </w:tcPr>
          <w:p w14:paraId="138EAE5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25 тонн. Вооружен 4 </w:t>
            </w:r>
          </w:p>
        </w:tc>
        <w:tc>
          <w:tcPr>
            <w:tcW w:w="7512" w:type="dxa"/>
          </w:tcPr>
          <w:p w14:paraId="63C3AD9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9382B45" w14:textId="77777777">
        <w:tc>
          <w:tcPr>
            <w:tcW w:w="3369" w:type="dxa"/>
          </w:tcPr>
          <w:p w14:paraId="07A2733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 и 2 пушками.</w:t>
            </w:r>
          </w:p>
        </w:tc>
        <w:tc>
          <w:tcPr>
            <w:tcW w:w="7512" w:type="dxa"/>
          </w:tcPr>
          <w:p w14:paraId="7E2B2BB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4D9DEBB" w14:textId="77777777">
        <w:tc>
          <w:tcPr>
            <w:tcW w:w="3369" w:type="dxa"/>
          </w:tcPr>
          <w:p w14:paraId="5AE0ED9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4000 м -</w:t>
            </w:r>
          </w:p>
        </w:tc>
        <w:tc>
          <w:tcPr>
            <w:tcW w:w="7512" w:type="dxa"/>
          </w:tcPr>
          <w:p w14:paraId="020715B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17CC608" w14:textId="77777777">
        <w:tc>
          <w:tcPr>
            <w:tcW w:w="3369" w:type="dxa"/>
          </w:tcPr>
          <w:p w14:paraId="15429B6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км/час.</w:t>
            </w:r>
          </w:p>
        </w:tc>
        <w:tc>
          <w:tcPr>
            <w:tcW w:w="7512" w:type="dxa"/>
          </w:tcPr>
          <w:p w14:paraId="3751A03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717038D" w14:textId="77777777">
        <w:tc>
          <w:tcPr>
            <w:tcW w:w="3369" w:type="dxa"/>
          </w:tcPr>
          <w:p w14:paraId="3AC60F8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- 1500 км.</w:t>
            </w:r>
          </w:p>
        </w:tc>
        <w:tc>
          <w:tcPr>
            <w:tcW w:w="7512" w:type="dxa"/>
          </w:tcPr>
          <w:p w14:paraId="5B4D7F3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E41C0E9" w14:textId="77777777">
        <w:tc>
          <w:tcPr>
            <w:tcW w:w="3369" w:type="dxa"/>
          </w:tcPr>
          <w:p w14:paraId="58F0217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перегрузкой 2400 км.</w:t>
            </w:r>
          </w:p>
        </w:tc>
        <w:tc>
          <w:tcPr>
            <w:tcW w:w="7512" w:type="dxa"/>
          </w:tcPr>
          <w:p w14:paraId="0F41E6D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A10045D" w14:textId="77777777">
        <w:tc>
          <w:tcPr>
            <w:tcW w:w="3369" w:type="dxa"/>
          </w:tcPr>
          <w:p w14:paraId="6B929FA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w:t>
            </w:r>
          </w:p>
        </w:tc>
        <w:tc>
          <w:tcPr>
            <w:tcW w:w="7512" w:type="dxa"/>
          </w:tcPr>
          <w:p w14:paraId="7304CBE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D68F3D2" w14:textId="77777777">
        <w:tc>
          <w:tcPr>
            <w:tcW w:w="3369" w:type="dxa"/>
          </w:tcPr>
          <w:p w14:paraId="73841F5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1/VIII-34 г.</w:t>
            </w:r>
          </w:p>
        </w:tc>
        <w:tc>
          <w:tcPr>
            <w:tcW w:w="7512" w:type="dxa"/>
          </w:tcPr>
          <w:p w14:paraId="2EB3A90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4018C69" w14:textId="77777777">
        <w:tc>
          <w:tcPr>
            <w:tcW w:w="3369" w:type="dxa"/>
          </w:tcPr>
          <w:p w14:paraId="7E5E9D8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МДР-4-3М34Р</w:t>
            </w:r>
          </w:p>
        </w:tc>
        <w:tc>
          <w:tcPr>
            <w:tcW w:w="7512" w:type="dxa"/>
          </w:tcPr>
          <w:p w14:paraId="0ECEF10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Макет самолета утвержден - 1/VI-33 г. Проектные и конструктивные работы выражаются в 20% </w:t>
            </w:r>
          </w:p>
        </w:tc>
      </w:tr>
      <w:tr w:rsidR="004E10C1" w:rsidRPr="0044524F" w14:paraId="7BAFB03C" w14:textId="77777777">
        <w:tc>
          <w:tcPr>
            <w:tcW w:w="3369" w:type="dxa"/>
          </w:tcPr>
          <w:p w14:paraId="3A745D1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Морской дальний </w:t>
            </w:r>
          </w:p>
        </w:tc>
        <w:tc>
          <w:tcPr>
            <w:tcW w:w="7512" w:type="dxa"/>
          </w:tcPr>
          <w:p w14:paraId="1D23A64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технической готовности. Полное развертывание работ по производству предположено после</w:t>
            </w:r>
          </w:p>
        </w:tc>
      </w:tr>
      <w:tr w:rsidR="004E10C1" w:rsidRPr="0044524F" w14:paraId="0CB68047" w14:textId="77777777">
        <w:tc>
          <w:tcPr>
            <w:tcW w:w="3369" w:type="dxa"/>
          </w:tcPr>
          <w:p w14:paraId="1E08ECF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 одноместный.</w:t>
            </w:r>
          </w:p>
        </w:tc>
        <w:tc>
          <w:tcPr>
            <w:tcW w:w="7512" w:type="dxa"/>
          </w:tcPr>
          <w:p w14:paraId="5777098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сдачи в производство всех чертежей, т.е. к октябрю с/г.</w:t>
            </w:r>
          </w:p>
        </w:tc>
      </w:tr>
      <w:tr w:rsidR="004E10C1" w:rsidRPr="0044524F" w14:paraId="0F7179B0" w14:textId="77777777">
        <w:tc>
          <w:tcPr>
            <w:tcW w:w="3369" w:type="dxa"/>
          </w:tcPr>
          <w:p w14:paraId="5063E8A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 4-мя......</w:t>
            </w:r>
          </w:p>
        </w:tc>
        <w:tc>
          <w:tcPr>
            <w:tcW w:w="7512" w:type="dxa"/>
          </w:tcPr>
          <w:p w14:paraId="23E125B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E738E2E" w14:textId="77777777">
        <w:tc>
          <w:tcPr>
            <w:tcW w:w="3369" w:type="dxa"/>
          </w:tcPr>
          <w:p w14:paraId="0F5606F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сбрасываем. грузом -</w:t>
            </w:r>
          </w:p>
        </w:tc>
        <w:tc>
          <w:tcPr>
            <w:tcW w:w="7512" w:type="dxa"/>
          </w:tcPr>
          <w:p w14:paraId="7256FEA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D3173B3" w14:textId="77777777">
        <w:tc>
          <w:tcPr>
            <w:tcW w:w="3369" w:type="dxa"/>
          </w:tcPr>
          <w:p w14:paraId="022241F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 кг.</w:t>
            </w:r>
          </w:p>
        </w:tc>
        <w:tc>
          <w:tcPr>
            <w:tcW w:w="7512" w:type="dxa"/>
          </w:tcPr>
          <w:p w14:paraId="774996F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D71F32C" w14:textId="77777777">
        <w:tc>
          <w:tcPr>
            <w:tcW w:w="3369" w:type="dxa"/>
          </w:tcPr>
          <w:p w14:paraId="4D306F1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1500 км.</w:t>
            </w:r>
          </w:p>
        </w:tc>
        <w:tc>
          <w:tcPr>
            <w:tcW w:w="7512" w:type="dxa"/>
          </w:tcPr>
          <w:p w14:paraId="5621E59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DA18783" w14:textId="77777777">
        <w:tc>
          <w:tcPr>
            <w:tcW w:w="3369" w:type="dxa"/>
          </w:tcPr>
          <w:p w14:paraId="478AE1F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перегрузкой - 2500 км.</w:t>
            </w:r>
          </w:p>
        </w:tc>
        <w:tc>
          <w:tcPr>
            <w:tcW w:w="7512" w:type="dxa"/>
          </w:tcPr>
          <w:p w14:paraId="360B615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E3E5FD9" w14:textId="77777777">
        <w:tc>
          <w:tcPr>
            <w:tcW w:w="3369" w:type="dxa"/>
          </w:tcPr>
          <w:p w14:paraId="68D8AF0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300 - 215 км/час.</w:t>
            </w:r>
          </w:p>
        </w:tc>
        <w:tc>
          <w:tcPr>
            <w:tcW w:w="7512" w:type="dxa"/>
          </w:tcPr>
          <w:p w14:paraId="5BBFF59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C728F60" w14:textId="77777777">
        <w:tc>
          <w:tcPr>
            <w:tcW w:w="3369" w:type="dxa"/>
          </w:tcPr>
          <w:p w14:paraId="69F0038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 1/V-34 г.</w:t>
            </w:r>
          </w:p>
        </w:tc>
        <w:tc>
          <w:tcPr>
            <w:tcW w:w="7512" w:type="dxa"/>
          </w:tcPr>
          <w:p w14:paraId="37C49AC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4412A53" w14:textId="77777777">
        <w:tc>
          <w:tcPr>
            <w:tcW w:w="3369" w:type="dxa"/>
          </w:tcPr>
          <w:p w14:paraId="21F3098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 - М34Н</w:t>
            </w:r>
          </w:p>
        </w:tc>
        <w:tc>
          <w:tcPr>
            <w:tcW w:w="7512" w:type="dxa"/>
          </w:tcPr>
          <w:p w14:paraId="03C0531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Самолет развернут постройкой в полном объеме. Техническая готовность по 2-м машинам</w:t>
            </w:r>
          </w:p>
        </w:tc>
      </w:tr>
      <w:tr w:rsidR="004E10C1" w:rsidRPr="0044524F" w14:paraId="0C323B24" w14:textId="77777777">
        <w:tc>
          <w:tcPr>
            <w:tcW w:w="3369" w:type="dxa"/>
          </w:tcPr>
          <w:p w14:paraId="53015AC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разведчик.</w:t>
            </w:r>
          </w:p>
        </w:tc>
        <w:tc>
          <w:tcPr>
            <w:tcW w:w="7512" w:type="dxa"/>
          </w:tcPr>
          <w:p w14:paraId="7603D5E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выражается около 50%. В настоящее время производится сборка крыльев и монтаж управления.</w:t>
            </w:r>
          </w:p>
        </w:tc>
      </w:tr>
      <w:tr w:rsidR="004E10C1" w:rsidRPr="0044524F" w14:paraId="2ECB61C6" w14:textId="77777777">
        <w:tc>
          <w:tcPr>
            <w:tcW w:w="3369" w:type="dxa"/>
          </w:tcPr>
          <w:p w14:paraId="7E13925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хромомолибденовых </w:t>
            </w:r>
          </w:p>
        </w:tc>
        <w:tc>
          <w:tcPr>
            <w:tcW w:w="7512" w:type="dxa"/>
          </w:tcPr>
          <w:p w14:paraId="4FE211A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 выполнен на 33%, крылья на 93%, оперение на 97%, мотоустановки на 50%, управление</w:t>
            </w:r>
          </w:p>
        </w:tc>
      </w:tr>
      <w:tr w:rsidR="004E10C1" w:rsidRPr="0044524F" w14:paraId="5D9EFE66" w14:textId="77777777">
        <w:tc>
          <w:tcPr>
            <w:tcW w:w="3369" w:type="dxa"/>
          </w:tcPr>
          <w:p w14:paraId="4B72AE5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 полутороплан.</w:t>
            </w:r>
          </w:p>
        </w:tc>
        <w:tc>
          <w:tcPr>
            <w:tcW w:w="7512" w:type="dxa"/>
          </w:tcPr>
          <w:p w14:paraId="0996148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68%, шасси около 50%, спецоборудование на 100%, стрелковое вооружение около 50%,</w:t>
            </w:r>
          </w:p>
        </w:tc>
      </w:tr>
      <w:tr w:rsidR="004E10C1" w:rsidRPr="0044524F" w14:paraId="2F7B97ED" w14:textId="77777777">
        <w:tc>
          <w:tcPr>
            <w:tcW w:w="3369" w:type="dxa"/>
          </w:tcPr>
          <w:p w14:paraId="37926A1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 легкими и тяжел.</w:t>
            </w:r>
          </w:p>
        </w:tc>
        <w:tc>
          <w:tcPr>
            <w:tcW w:w="7512" w:type="dxa"/>
          </w:tcPr>
          <w:p w14:paraId="06FCE8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бомбардировочное около 32%.</w:t>
            </w:r>
          </w:p>
        </w:tc>
      </w:tr>
      <w:tr w:rsidR="004E10C1" w:rsidRPr="0044524F" w14:paraId="4BF96B83" w14:textId="77777777">
        <w:tc>
          <w:tcPr>
            <w:tcW w:w="3369" w:type="dxa"/>
          </w:tcPr>
          <w:p w14:paraId="3380335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800 км.</w:t>
            </w:r>
          </w:p>
        </w:tc>
        <w:tc>
          <w:tcPr>
            <w:tcW w:w="7512" w:type="dxa"/>
          </w:tcPr>
          <w:p w14:paraId="583D8A8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Выпуск на аэродром предполагается к 15/VIII. Если не окажется крупных неполадок в начале</w:t>
            </w:r>
          </w:p>
        </w:tc>
      </w:tr>
      <w:tr w:rsidR="004E10C1" w:rsidRPr="0044524F" w14:paraId="220B5136" w14:textId="77777777">
        <w:tc>
          <w:tcPr>
            <w:tcW w:w="3369" w:type="dxa"/>
          </w:tcPr>
          <w:p w14:paraId="3A9E591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перегрузкой - 1400 км.</w:t>
            </w:r>
          </w:p>
        </w:tc>
        <w:tc>
          <w:tcPr>
            <w:tcW w:w="7512" w:type="dxa"/>
          </w:tcPr>
          <w:p w14:paraId="67CC41F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сентября машина может быть сдана на гос. испытания.</w:t>
            </w:r>
          </w:p>
        </w:tc>
      </w:tr>
      <w:tr w:rsidR="004E10C1" w:rsidRPr="0044524F" w14:paraId="39F1C086" w14:textId="77777777">
        <w:tc>
          <w:tcPr>
            <w:tcW w:w="3369" w:type="dxa"/>
          </w:tcPr>
          <w:p w14:paraId="27374C1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Сбрасыв. груз - 500 кг.</w:t>
            </w:r>
          </w:p>
        </w:tc>
        <w:tc>
          <w:tcPr>
            <w:tcW w:w="7512" w:type="dxa"/>
          </w:tcPr>
          <w:p w14:paraId="0F6F3FD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3A44B3D" w14:textId="77777777">
        <w:tc>
          <w:tcPr>
            <w:tcW w:w="3369" w:type="dxa"/>
          </w:tcPr>
          <w:p w14:paraId="0A73BA3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на 5000 - 310 км/час.</w:t>
            </w:r>
          </w:p>
        </w:tc>
        <w:tc>
          <w:tcPr>
            <w:tcW w:w="7512" w:type="dxa"/>
          </w:tcPr>
          <w:p w14:paraId="14BB61D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054F78B" w14:textId="77777777">
        <w:tc>
          <w:tcPr>
            <w:tcW w:w="3369" w:type="dxa"/>
          </w:tcPr>
          <w:p w14:paraId="00E76B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5000 м.</w:t>
            </w:r>
          </w:p>
        </w:tc>
        <w:tc>
          <w:tcPr>
            <w:tcW w:w="7512" w:type="dxa"/>
          </w:tcPr>
          <w:p w14:paraId="492089D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3FA1E31" w14:textId="77777777">
        <w:tc>
          <w:tcPr>
            <w:tcW w:w="3369" w:type="dxa"/>
          </w:tcPr>
          <w:p w14:paraId="56A946C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- 13 мин.</w:t>
            </w:r>
          </w:p>
        </w:tc>
        <w:tc>
          <w:tcPr>
            <w:tcW w:w="7512" w:type="dxa"/>
          </w:tcPr>
          <w:p w14:paraId="370DB58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9174CB0" w14:textId="77777777">
        <w:tc>
          <w:tcPr>
            <w:tcW w:w="3369" w:type="dxa"/>
          </w:tcPr>
          <w:p w14:paraId="4D64F3F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 без</w:t>
            </w:r>
          </w:p>
        </w:tc>
        <w:tc>
          <w:tcPr>
            <w:tcW w:w="7512" w:type="dxa"/>
          </w:tcPr>
          <w:p w14:paraId="34F07DC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8A2E05E" w14:textId="77777777">
        <w:tc>
          <w:tcPr>
            <w:tcW w:w="3369" w:type="dxa"/>
          </w:tcPr>
          <w:p w14:paraId="5DE5B14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редуктора - 1/IX-33 г.</w:t>
            </w:r>
          </w:p>
        </w:tc>
        <w:tc>
          <w:tcPr>
            <w:tcW w:w="7512" w:type="dxa"/>
          </w:tcPr>
          <w:p w14:paraId="4FCF23F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DD9BACD" w14:textId="77777777">
        <w:tc>
          <w:tcPr>
            <w:tcW w:w="3369" w:type="dxa"/>
          </w:tcPr>
          <w:p w14:paraId="7B864DB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w:t>
            </w:r>
          </w:p>
        </w:tc>
        <w:tc>
          <w:tcPr>
            <w:tcW w:w="7512" w:type="dxa"/>
          </w:tcPr>
          <w:p w14:paraId="6A61327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Макет самолета утвержден. Ведется проектирование и разработка конструкции. Техническая</w:t>
            </w:r>
          </w:p>
        </w:tc>
      </w:tr>
      <w:tr w:rsidR="004E10C1" w:rsidRPr="0044524F" w14:paraId="7A6BF708" w14:textId="77777777">
        <w:tc>
          <w:tcPr>
            <w:tcW w:w="3369" w:type="dxa"/>
          </w:tcPr>
          <w:p w14:paraId="14E00D7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штурмовик.</w:t>
            </w:r>
          </w:p>
        </w:tc>
        <w:tc>
          <w:tcPr>
            <w:tcW w:w="7512" w:type="dxa"/>
          </w:tcPr>
          <w:p w14:paraId="72712A2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готовность проектирования выполнена на 70%. По состоянию работ и при создании нужных</w:t>
            </w:r>
          </w:p>
        </w:tc>
      </w:tr>
      <w:tr w:rsidR="004E10C1" w:rsidRPr="0044524F" w14:paraId="08157C7A" w14:textId="77777777">
        <w:tc>
          <w:tcPr>
            <w:tcW w:w="3369" w:type="dxa"/>
          </w:tcPr>
          <w:p w14:paraId="1AF0E35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Бронированный моноплан</w:t>
            </w:r>
          </w:p>
        </w:tc>
        <w:tc>
          <w:tcPr>
            <w:tcW w:w="7512" w:type="dxa"/>
          </w:tcPr>
          <w:p w14:paraId="264D8C8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темпов плановый срок может быть выдержан.</w:t>
            </w:r>
          </w:p>
        </w:tc>
      </w:tr>
      <w:tr w:rsidR="004E10C1" w:rsidRPr="0044524F" w14:paraId="7D6829C4" w14:textId="77777777">
        <w:tc>
          <w:tcPr>
            <w:tcW w:w="3369" w:type="dxa"/>
          </w:tcPr>
          <w:p w14:paraId="3B550ED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низко.... крылом,</w:t>
            </w:r>
          </w:p>
        </w:tc>
        <w:tc>
          <w:tcPr>
            <w:tcW w:w="7512" w:type="dxa"/>
          </w:tcPr>
          <w:p w14:paraId="492722A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B084DCF" w14:textId="77777777">
        <w:tc>
          <w:tcPr>
            <w:tcW w:w="3369" w:type="dxa"/>
          </w:tcPr>
          <w:p w14:paraId="201735A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вооруженный батареей</w:t>
            </w:r>
          </w:p>
        </w:tc>
        <w:tc>
          <w:tcPr>
            <w:tcW w:w="7512" w:type="dxa"/>
          </w:tcPr>
          <w:p w14:paraId="3571D51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65BB53" w14:textId="77777777">
        <w:tc>
          <w:tcPr>
            <w:tcW w:w="3369" w:type="dxa"/>
          </w:tcPr>
          <w:p w14:paraId="389DED7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пулеметов.... шт. со</w:t>
            </w:r>
          </w:p>
        </w:tc>
        <w:tc>
          <w:tcPr>
            <w:tcW w:w="7512" w:type="dxa"/>
          </w:tcPr>
          <w:p w14:paraId="1DABE46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BCFE4DF" w14:textId="77777777">
        <w:tc>
          <w:tcPr>
            <w:tcW w:w="3369" w:type="dxa"/>
          </w:tcPr>
          <w:p w14:paraId="67D047A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скоростью у земли в</w:t>
            </w:r>
          </w:p>
        </w:tc>
        <w:tc>
          <w:tcPr>
            <w:tcW w:w="7512" w:type="dxa"/>
          </w:tcPr>
          <w:p w14:paraId="3C5AA09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EA79E5" w14:textId="77777777">
        <w:tc>
          <w:tcPr>
            <w:tcW w:w="3369" w:type="dxa"/>
          </w:tcPr>
          <w:p w14:paraId="718C304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 км/час, скорость</w:t>
            </w:r>
          </w:p>
        </w:tc>
        <w:tc>
          <w:tcPr>
            <w:tcW w:w="7512" w:type="dxa"/>
          </w:tcPr>
          <w:p w14:paraId="2A25EC6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4CF2CBF" w14:textId="77777777">
        <w:tc>
          <w:tcPr>
            <w:tcW w:w="3369" w:type="dxa"/>
          </w:tcPr>
          <w:p w14:paraId="3D52F73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подъема на 3000 - 11 мин.</w:t>
            </w:r>
          </w:p>
        </w:tc>
        <w:tc>
          <w:tcPr>
            <w:tcW w:w="7512" w:type="dxa"/>
          </w:tcPr>
          <w:p w14:paraId="32E20B1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A920C66" w14:textId="77777777">
        <w:tc>
          <w:tcPr>
            <w:tcW w:w="3369" w:type="dxa"/>
          </w:tcPr>
          <w:p w14:paraId="3AF45D4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Дальностью - 800 км. Срок</w:t>
            </w:r>
          </w:p>
        </w:tc>
        <w:tc>
          <w:tcPr>
            <w:tcW w:w="7512" w:type="dxa"/>
          </w:tcPr>
          <w:p w14:paraId="4BAA2D2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F5B71A3" w14:textId="77777777">
        <w:tc>
          <w:tcPr>
            <w:tcW w:w="3369" w:type="dxa"/>
          </w:tcPr>
          <w:p w14:paraId="2FF294D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предъявления -.... 34 г.</w:t>
            </w:r>
          </w:p>
        </w:tc>
        <w:tc>
          <w:tcPr>
            <w:tcW w:w="7512" w:type="dxa"/>
          </w:tcPr>
          <w:p w14:paraId="084522F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7BC2E99" w14:textId="77777777">
        <w:tc>
          <w:tcPr>
            <w:tcW w:w="3369" w:type="dxa"/>
          </w:tcPr>
          <w:p w14:paraId="5223697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 Бростоль-Мерк.</w:t>
            </w:r>
          </w:p>
        </w:tc>
        <w:tc>
          <w:tcPr>
            <w:tcW w:w="7512" w:type="dxa"/>
          </w:tcPr>
          <w:p w14:paraId="339289C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Самолет перевезен на аэродром 26/V-с.г. При пробе мотора обнаружился перегрев мотора и</w:t>
            </w:r>
          </w:p>
        </w:tc>
      </w:tr>
      <w:tr w:rsidR="004E10C1" w:rsidRPr="0044524F" w14:paraId="6B8DCD35" w14:textId="77777777">
        <w:tc>
          <w:tcPr>
            <w:tcW w:w="3369" w:type="dxa"/>
          </w:tcPr>
          <w:p w14:paraId="295469D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w:t>
            </w:r>
          </w:p>
        </w:tc>
        <w:tc>
          <w:tcPr>
            <w:tcW w:w="7512" w:type="dxa"/>
          </w:tcPr>
          <w:p w14:paraId="266E2BA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детонации. 27/V после изменения состава горючего самолет опробовали в воздухе, при чем </w:t>
            </w:r>
          </w:p>
        </w:tc>
      </w:tr>
      <w:tr w:rsidR="004E10C1" w:rsidRPr="0044524F" w14:paraId="07D80B48" w14:textId="77777777">
        <w:tc>
          <w:tcPr>
            <w:tcW w:w="3369" w:type="dxa"/>
          </w:tcPr>
          <w:p w14:paraId="3A0649C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дюралевой конструкции с</w:t>
            </w:r>
          </w:p>
        </w:tc>
        <w:tc>
          <w:tcPr>
            <w:tcW w:w="7512" w:type="dxa"/>
          </w:tcPr>
          <w:p w14:paraId="1E4994A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обнаружились мелкие дефекты в амортизации. Летные качества машины хорошие. В настоящее</w:t>
            </w:r>
          </w:p>
        </w:tc>
      </w:tr>
      <w:tr w:rsidR="004E10C1" w:rsidRPr="0044524F" w14:paraId="1477537C" w14:textId="77777777">
        <w:tc>
          <w:tcPr>
            <w:tcW w:w="3369" w:type="dxa"/>
          </w:tcPr>
          <w:p w14:paraId="0635896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убирающимся в полете </w:t>
            </w:r>
          </w:p>
        </w:tc>
        <w:tc>
          <w:tcPr>
            <w:tcW w:w="7512" w:type="dxa"/>
          </w:tcPr>
          <w:p w14:paraId="4EE3CE8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машина проходит программные испытания и производится улучшенная конструкция</w:t>
            </w:r>
          </w:p>
        </w:tc>
      </w:tr>
      <w:tr w:rsidR="004E10C1" w:rsidRPr="0044524F" w14:paraId="506BBD13" w14:textId="77777777">
        <w:tc>
          <w:tcPr>
            <w:tcW w:w="3369" w:type="dxa"/>
          </w:tcPr>
          <w:p w14:paraId="40CA7D3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вооруженный 2-мя</w:t>
            </w:r>
          </w:p>
        </w:tc>
        <w:tc>
          <w:tcPr>
            <w:tcW w:w="7512" w:type="dxa"/>
          </w:tcPr>
          <w:p w14:paraId="333341B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механизма подъема шасси и ужесченная обшивка крыльев. передача на гос. испытания может </w:t>
            </w:r>
          </w:p>
        </w:tc>
      </w:tr>
      <w:tr w:rsidR="004E10C1" w:rsidRPr="0044524F" w14:paraId="16D96FF1" w14:textId="77777777">
        <w:tc>
          <w:tcPr>
            <w:tcW w:w="3369" w:type="dxa"/>
          </w:tcPr>
          <w:p w14:paraId="50416E5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пушками, со скоростью </w:t>
            </w:r>
          </w:p>
        </w:tc>
        <w:tc>
          <w:tcPr>
            <w:tcW w:w="7512" w:type="dxa"/>
          </w:tcPr>
          <w:p w14:paraId="7932399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задержаться из-за отсутствия пушек.</w:t>
            </w:r>
          </w:p>
        </w:tc>
      </w:tr>
      <w:tr w:rsidR="004E10C1" w:rsidRPr="0044524F" w14:paraId="53B8A697" w14:textId="77777777">
        <w:tc>
          <w:tcPr>
            <w:tcW w:w="3369" w:type="dxa"/>
          </w:tcPr>
          <w:p w14:paraId="2EA828A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5000 м - 400 км/час,</w:t>
            </w:r>
          </w:p>
        </w:tc>
        <w:tc>
          <w:tcPr>
            <w:tcW w:w="7512" w:type="dxa"/>
          </w:tcPr>
          <w:p w14:paraId="042D2A3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600A7C2" w14:textId="77777777">
        <w:tc>
          <w:tcPr>
            <w:tcW w:w="3369" w:type="dxa"/>
          </w:tcPr>
          <w:p w14:paraId="6DDBD44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Скороподъемность на </w:t>
            </w:r>
          </w:p>
        </w:tc>
        <w:tc>
          <w:tcPr>
            <w:tcW w:w="7512" w:type="dxa"/>
          </w:tcPr>
          <w:p w14:paraId="256CB24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D6A4C91" w14:textId="77777777">
        <w:tc>
          <w:tcPr>
            <w:tcW w:w="3369" w:type="dxa"/>
          </w:tcPr>
          <w:p w14:paraId="7230A66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 м..... мин.,</w:t>
            </w:r>
          </w:p>
        </w:tc>
        <w:tc>
          <w:tcPr>
            <w:tcW w:w="7512" w:type="dxa"/>
          </w:tcPr>
          <w:p w14:paraId="4F6B961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9221F23" w14:textId="77777777">
        <w:tc>
          <w:tcPr>
            <w:tcW w:w="3369" w:type="dxa"/>
          </w:tcPr>
          <w:p w14:paraId="220850D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дальностью 5000 км.</w:t>
            </w:r>
          </w:p>
        </w:tc>
        <w:tc>
          <w:tcPr>
            <w:tcW w:w="7512" w:type="dxa"/>
          </w:tcPr>
          <w:p w14:paraId="3410F20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1B6229F" w14:textId="77777777">
        <w:tc>
          <w:tcPr>
            <w:tcW w:w="3369" w:type="dxa"/>
          </w:tcPr>
          <w:p w14:paraId="7D11295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w:t>
            </w:r>
          </w:p>
        </w:tc>
        <w:tc>
          <w:tcPr>
            <w:tcW w:w="7512" w:type="dxa"/>
          </w:tcPr>
          <w:p w14:paraId="166C3EE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28AE427" w14:textId="77777777">
        <w:tc>
          <w:tcPr>
            <w:tcW w:w="3369" w:type="dxa"/>
          </w:tcPr>
          <w:p w14:paraId="535B0D8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15/VII-33.</w:t>
            </w:r>
          </w:p>
        </w:tc>
        <w:tc>
          <w:tcPr>
            <w:tcW w:w="7512" w:type="dxa"/>
          </w:tcPr>
          <w:p w14:paraId="6722866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E71BC2E" w14:textId="77777777">
        <w:tc>
          <w:tcPr>
            <w:tcW w:w="3369" w:type="dxa"/>
          </w:tcPr>
          <w:p w14:paraId="155F71A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 Райт-Циклон</w:t>
            </w:r>
          </w:p>
        </w:tc>
        <w:tc>
          <w:tcPr>
            <w:tcW w:w="7512" w:type="dxa"/>
          </w:tcPr>
          <w:p w14:paraId="0996EF9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Самолет находится в процессе разработки и улучшения конструкции. Проектирование</w:t>
            </w:r>
          </w:p>
        </w:tc>
      </w:tr>
      <w:tr w:rsidR="004E10C1" w:rsidRPr="0044524F" w14:paraId="77E96660" w14:textId="77777777">
        <w:tc>
          <w:tcPr>
            <w:tcW w:w="3369" w:type="dxa"/>
          </w:tcPr>
          <w:p w14:paraId="6C4D327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же самолет, но с</w:t>
            </w:r>
          </w:p>
        </w:tc>
        <w:tc>
          <w:tcPr>
            <w:tcW w:w="7512" w:type="dxa"/>
          </w:tcPr>
          <w:p w14:paraId="6896AFF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выполнено около 35%. При наличии мотора срок должен быть выдержан.</w:t>
            </w:r>
          </w:p>
        </w:tc>
      </w:tr>
      <w:tr w:rsidR="004E10C1" w:rsidRPr="0044524F" w14:paraId="6D7FA29D" w14:textId="77777777">
        <w:tc>
          <w:tcPr>
            <w:tcW w:w="3369" w:type="dxa"/>
          </w:tcPr>
          <w:p w14:paraId="5009744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другим мотором, имеющим</w:t>
            </w:r>
          </w:p>
        </w:tc>
        <w:tc>
          <w:tcPr>
            <w:tcW w:w="7512" w:type="dxa"/>
          </w:tcPr>
          <w:p w14:paraId="15BF788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2E201C" w14:textId="77777777">
        <w:tc>
          <w:tcPr>
            <w:tcW w:w="3369" w:type="dxa"/>
          </w:tcPr>
          <w:p w14:paraId="548E5D7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нас перспективу.</w:t>
            </w:r>
          </w:p>
        </w:tc>
        <w:tc>
          <w:tcPr>
            <w:tcW w:w="7512" w:type="dxa"/>
          </w:tcPr>
          <w:p w14:paraId="74A5795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BB28C87" w14:textId="77777777">
        <w:tc>
          <w:tcPr>
            <w:tcW w:w="3369" w:type="dxa"/>
          </w:tcPr>
          <w:p w14:paraId="0392898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w:t>
            </w:r>
          </w:p>
        </w:tc>
        <w:tc>
          <w:tcPr>
            <w:tcW w:w="7512" w:type="dxa"/>
          </w:tcPr>
          <w:p w14:paraId="27B37C4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C12EE4" w14:textId="77777777">
        <w:tc>
          <w:tcPr>
            <w:tcW w:w="3369" w:type="dxa"/>
          </w:tcPr>
          <w:p w14:paraId="7BC5D26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1/II-34 г.</w:t>
            </w:r>
          </w:p>
        </w:tc>
        <w:tc>
          <w:tcPr>
            <w:tcW w:w="7512" w:type="dxa"/>
          </w:tcPr>
          <w:p w14:paraId="6F24F46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31F2946" w14:textId="77777777">
        <w:tc>
          <w:tcPr>
            <w:tcW w:w="3369" w:type="dxa"/>
          </w:tcPr>
          <w:p w14:paraId="4930DD6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 Райт-Циклон</w:t>
            </w:r>
          </w:p>
        </w:tc>
        <w:tc>
          <w:tcPr>
            <w:tcW w:w="7512" w:type="dxa"/>
          </w:tcPr>
          <w:p w14:paraId="72ABC7D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Макет самолета утвержден. Проектирование закончено на 98%. Чертежи переданы на</w:t>
            </w:r>
          </w:p>
        </w:tc>
      </w:tr>
      <w:tr w:rsidR="004E10C1" w:rsidRPr="0044524F" w14:paraId="504F490D" w14:textId="77777777">
        <w:tc>
          <w:tcPr>
            <w:tcW w:w="3369" w:type="dxa"/>
          </w:tcPr>
          <w:p w14:paraId="1D7F411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w:t>
            </w:r>
          </w:p>
        </w:tc>
        <w:tc>
          <w:tcPr>
            <w:tcW w:w="7512" w:type="dxa"/>
          </w:tcPr>
          <w:p w14:paraId="35EFEC7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Ведутся статиспытания. Техническая готовность в производстве - 3%. По</w:t>
            </w:r>
          </w:p>
        </w:tc>
      </w:tr>
      <w:tr w:rsidR="004E10C1" w:rsidRPr="0044524F" w14:paraId="31E026E6" w14:textId="77777777">
        <w:tc>
          <w:tcPr>
            <w:tcW w:w="3369" w:type="dxa"/>
          </w:tcPr>
          <w:p w14:paraId="0CB25DE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теми же данными, что</w:t>
            </w:r>
          </w:p>
        </w:tc>
        <w:tc>
          <w:tcPr>
            <w:tcW w:w="7512" w:type="dxa"/>
          </w:tcPr>
          <w:p w14:paraId="31CA1DA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фюзеляжу - 14%, по крыльям около 10%, шасси около 5%. Мотор есть. Срок должен быть</w:t>
            </w:r>
          </w:p>
        </w:tc>
      </w:tr>
      <w:tr w:rsidR="004E10C1" w:rsidRPr="0044524F" w14:paraId="3C2056E1" w14:textId="77777777">
        <w:tc>
          <w:tcPr>
            <w:tcW w:w="3369" w:type="dxa"/>
          </w:tcPr>
          <w:p w14:paraId="7F4104D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И-14, но вооруженный</w:t>
            </w:r>
          </w:p>
        </w:tc>
        <w:tc>
          <w:tcPr>
            <w:tcW w:w="7512" w:type="dxa"/>
          </w:tcPr>
          <w:p w14:paraId="7C64A52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выдержан.</w:t>
            </w:r>
          </w:p>
        </w:tc>
      </w:tr>
      <w:tr w:rsidR="004E10C1" w:rsidRPr="0044524F" w14:paraId="4C381685" w14:textId="77777777">
        <w:tc>
          <w:tcPr>
            <w:tcW w:w="3369" w:type="dxa"/>
          </w:tcPr>
          <w:p w14:paraId="3FB1D8D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4-мя пулеметами</w:t>
            </w:r>
          </w:p>
        </w:tc>
        <w:tc>
          <w:tcPr>
            <w:tcW w:w="7512" w:type="dxa"/>
          </w:tcPr>
          <w:p w14:paraId="24D9A26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58A396C" w14:textId="77777777">
        <w:tc>
          <w:tcPr>
            <w:tcW w:w="3369" w:type="dxa"/>
          </w:tcPr>
          <w:p w14:paraId="1EC4C2A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смешанной конструкции</w:t>
            </w:r>
          </w:p>
        </w:tc>
        <w:tc>
          <w:tcPr>
            <w:tcW w:w="7512" w:type="dxa"/>
          </w:tcPr>
          <w:p w14:paraId="7D6BA44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4035337" w14:textId="77777777">
        <w:tc>
          <w:tcPr>
            <w:tcW w:w="3369" w:type="dxa"/>
          </w:tcPr>
          <w:p w14:paraId="42C9A10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хромомолибденовых</w:t>
            </w:r>
          </w:p>
        </w:tc>
        <w:tc>
          <w:tcPr>
            <w:tcW w:w="7512" w:type="dxa"/>
          </w:tcPr>
          <w:p w14:paraId="4C3262C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2A378E6" w14:textId="77777777">
        <w:tc>
          <w:tcPr>
            <w:tcW w:w="3369" w:type="dxa"/>
          </w:tcPr>
          <w:p w14:paraId="4E9C3B4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 и дерева. Срок</w:t>
            </w:r>
          </w:p>
        </w:tc>
        <w:tc>
          <w:tcPr>
            <w:tcW w:w="7512" w:type="dxa"/>
          </w:tcPr>
          <w:p w14:paraId="5A9BB60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C1A0CD2" w14:textId="77777777">
        <w:tc>
          <w:tcPr>
            <w:tcW w:w="3369" w:type="dxa"/>
          </w:tcPr>
          <w:p w14:paraId="7461CC2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предъявления 1/XII-33г.</w:t>
            </w:r>
          </w:p>
        </w:tc>
        <w:tc>
          <w:tcPr>
            <w:tcW w:w="7512" w:type="dxa"/>
          </w:tcPr>
          <w:p w14:paraId="66E28B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F4345FE" w14:textId="77777777">
        <w:tc>
          <w:tcPr>
            <w:tcW w:w="3369" w:type="dxa"/>
          </w:tcPr>
          <w:p w14:paraId="2E6A837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М58</w:t>
            </w:r>
          </w:p>
        </w:tc>
        <w:tc>
          <w:tcPr>
            <w:tcW w:w="7512" w:type="dxa"/>
          </w:tcPr>
          <w:p w14:paraId="4743633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Произведены предварительные расчеты и увязка по установке мотора М-58.</w:t>
            </w:r>
          </w:p>
        </w:tc>
      </w:tr>
      <w:tr w:rsidR="004E10C1" w:rsidRPr="0044524F" w14:paraId="7E258FA8" w14:textId="77777777">
        <w:tc>
          <w:tcPr>
            <w:tcW w:w="3369" w:type="dxa"/>
          </w:tcPr>
          <w:p w14:paraId="52E126D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же истребитель, но</w:t>
            </w:r>
          </w:p>
        </w:tc>
        <w:tc>
          <w:tcPr>
            <w:tcW w:w="7512" w:type="dxa"/>
          </w:tcPr>
          <w:p w14:paraId="229D0DC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AB01376" w14:textId="77777777">
        <w:tc>
          <w:tcPr>
            <w:tcW w:w="3369" w:type="dxa"/>
          </w:tcPr>
          <w:p w14:paraId="02052B7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советским мотором.</w:t>
            </w:r>
          </w:p>
        </w:tc>
        <w:tc>
          <w:tcPr>
            <w:tcW w:w="7512" w:type="dxa"/>
          </w:tcPr>
          <w:p w14:paraId="1B619C2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58BE452" w14:textId="77777777">
        <w:tc>
          <w:tcPr>
            <w:tcW w:w="3369" w:type="dxa"/>
          </w:tcPr>
          <w:p w14:paraId="1FE73C1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те же. Срок</w:t>
            </w:r>
          </w:p>
        </w:tc>
        <w:tc>
          <w:tcPr>
            <w:tcW w:w="7512" w:type="dxa"/>
          </w:tcPr>
          <w:p w14:paraId="04F8BD8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373392E" w14:textId="77777777">
        <w:tc>
          <w:tcPr>
            <w:tcW w:w="3369" w:type="dxa"/>
          </w:tcPr>
          <w:p w14:paraId="72C2F66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предъявления через 6</w:t>
            </w:r>
          </w:p>
        </w:tc>
        <w:tc>
          <w:tcPr>
            <w:tcW w:w="7512" w:type="dxa"/>
          </w:tcPr>
          <w:p w14:paraId="3C74AF3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A57E2F4" w14:textId="77777777">
        <w:tc>
          <w:tcPr>
            <w:tcW w:w="3369" w:type="dxa"/>
          </w:tcPr>
          <w:p w14:paraId="5665963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месяцев после получения</w:t>
            </w:r>
          </w:p>
        </w:tc>
        <w:tc>
          <w:tcPr>
            <w:tcW w:w="7512" w:type="dxa"/>
          </w:tcPr>
          <w:p w14:paraId="12419E0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1EF5C18" w14:textId="77777777">
        <w:tc>
          <w:tcPr>
            <w:tcW w:w="3369" w:type="dxa"/>
          </w:tcPr>
          <w:p w14:paraId="18AAB33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мотора.</w:t>
            </w:r>
          </w:p>
        </w:tc>
        <w:tc>
          <w:tcPr>
            <w:tcW w:w="7512" w:type="dxa"/>
          </w:tcPr>
          <w:p w14:paraId="67AAE3B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300DBDD" w14:textId="77777777">
        <w:tc>
          <w:tcPr>
            <w:tcW w:w="3369" w:type="dxa"/>
          </w:tcPr>
          <w:p w14:paraId="76ACD26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МБР4 - М34</w:t>
            </w:r>
          </w:p>
        </w:tc>
        <w:tc>
          <w:tcPr>
            <w:tcW w:w="7512" w:type="dxa"/>
          </w:tcPr>
          <w:p w14:paraId="5F113A9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Задержкой послужила поздняя подача мотора. Пробные полеты показали непригодность</w:t>
            </w:r>
          </w:p>
        </w:tc>
      </w:tr>
      <w:tr w:rsidR="004E10C1" w:rsidRPr="0044524F" w14:paraId="7252AC8C" w14:textId="77777777">
        <w:tc>
          <w:tcPr>
            <w:tcW w:w="3369" w:type="dxa"/>
          </w:tcPr>
          <w:p w14:paraId="42FF8B8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 ближн. разведчик.</w:t>
            </w:r>
          </w:p>
        </w:tc>
        <w:tc>
          <w:tcPr>
            <w:tcW w:w="7512" w:type="dxa"/>
          </w:tcPr>
          <w:p w14:paraId="609940A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масляного моторного оборудования. Повторные полеты с новыми измененными радиаторами</w:t>
            </w:r>
          </w:p>
        </w:tc>
      </w:tr>
      <w:tr w:rsidR="004E10C1" w:rsidRPr="0044524F" w14:paraId="327BD8FB" w14:textId="77777777">
        <w:tc>
          <w:tcPr>
            <w:tcW w:w="3369" w:type="dxa"/>
          </w:tcPr>
          <w:p w14:paraId="68B25B3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Модификация С62бис под </w:t>
            </w:r>
          </w:p>
        </w:tc>
        <w:tc>
          <w:tcPr>
            <w:tcW w:w="7512" w:type="dxa"/>
          </w:tcPr>
          <w:p w14:paraId="1D6122A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дают повышенную температуру масла. Ведется доводка.</w:t>
            </w:r>
          </w:p>
        </w:tc>
      </w:tr>
      <w:tr w:rsidR="004E10C1" w:rsidRPr="0044524F" w14:paraId="28EB8CFE" w14:textId="77777777">
        <w:tc>
          <w:tcPr>
            <w:tcW w:w="3369" w:type="dxa"/>
          </w:tcPr>
          <w:p w14:paraId="543FED6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Срок предъявления</w:t>
            </w:r>
          </w:p>
        </w:tc>
        <w:tc>
          <w:tcPr>
            <w:tcW w:w="7512" w:type="dxa"/>
          </w:tcPr>
          <w:p w14:paraId="33824DB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35EE5B2" w14:textId="77777777">
        <w:tc>
          <w:tcPr>
            <w:tcW w:w="3369" w:type="dxa"/>
          </w:tcPr>
          <w:p w14:paraId="6F8CB24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1/VIII-33 г.</w:t>
            </w:r>
          </w:p>
        </w:tc>
        <w:tc>
          <w:tcPr>
            <w:tcW w:w="7512" w:type="dxa"/>
          </w:tcPr>
          <w:p w14:paraId="039F5A7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A53B7DA" w14:textId="77777777">
        <w:tc>
          <w:tcPr>
            <w:tcW w:w="3369" w:type="dxa"/>
          </w:tcPr>
          <w:p w14:paraId="3A9E9C4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 самолеты.</w:t>
            </w:r>
          </w:p>
        </w:tc>
        <w:tc>
          <w:tcPr>
            <w:tcW w:w="7512" w:type="dxa"/>
          </w:tcPr>
          <w:p w14:paraId="71DF307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F48882C" w14:textId="77777777">
        <w:tc>
          <w:tcPr>
            <w:tcW w:w="3369" w:type="dxa"/>
          </w:tcPr>
          <w:p w14:paraId="18C0DFA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СК1 - 2М32 (или М34 или</w:t>
            </w:r>
          </w:p>
        </w:tc>
        <w:tc>
          <w:tcPr>
            <w:tcW w:w="7512" w:type="dxa"/>
          </w:tcPr>
          <w:p w14:paraId="3A5162D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Отсутствие моторов М32 и неясность с установкой других моторов создали замедленные</w:t>
            </w:r>
          </w:p>
        </w:tc>
      </w:tr>
      <w:tr w:rsidR="004E10C1" w:rsidRPr="0044524F" w14:paraId="269CB1D5" w14:textId="77777777">
        <w:tc>
          <w:tcPr>
            <w:tcW w:w="3369" w:type="dxa"/>
          </w:tcPr>
          <w:p w14:paraId="7C9CEC2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Керт.Конвер.)</w:t>
            </w:r>
          </w:p>
        </w:tc>
        <w:tc>
          <w:tcPr>
            <w:tcW w:w="7512" w:type="dxa"/>
          </w:tcPr>
          <w:p w14:paraId="2B1D85A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темпы в работе. В настоящее время проектирование закончено около 70%. Самолет запущен в</w:t>
            </w:r>
          </w:p>
        </w:tc>
      </w:tr>
      <w:tr w:rsidR="004E10C1" w:rsidRPr="0044524F" w14:paraId="581CE9A0" w14:textId="77777777">
        <w:tc>
          <w:tcPr>
            <w:tcW w:w="3369" w:type="dxa"/>
          </w:tcPr>
          <w:p w14:paraId="645EF64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Сухопутный крейсер.</w:t>
            </w:r>
          </w:p>
        </w:tc>
        <w:tc>
          <w:tcPr>
            <w:tcW w:w="7512" w:type="dxa"/>
          </w:tcPr>
          <w:p w14:paraId="2A1A904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Идет заготовка деталей и частей. Общий процент технической готовности -</w:t>
            </w:r>
          </w:p>
        </w:tc>
      </w:tr>
      <w:tr w:rsidR="004E10C1" w:rsidRPr="0044524F" w14:paraId="37D176BF" w14:textId="77777777">
        <w:tc>
          <w:tcPr>
            <w:tcW w:w="3369" w:type="dxa"/>
          </w:tcPr>
          <w:p w14:paraId="683B7B0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Дюралевый моноплан с</w:t>
            </w:r>
          </w:p>
        </w:tc>
        <w:tc>
          <w:tcPr>
            <w:tcW w:w="7512" w:type="dxa"/>
          </w:tcPr>
          <w:p w14:paraId="4CECE9C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r>
      <w:tr w:rsidR="004E10C1" w:rsidRPr="0044524F" w14:paraId="6351A720" w14:textId="77777777">
        <w:tc>
          <w:tcPr>
            <w:tcW w:w="3369" w:type="dxa"/>
          </w:tcPr>
          <w:p w14:paraId="79C5561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убирающимся в полете шасси,</w:t>
            </w:r>
          </w:p>
        </w:tc>
        <w:tc>
          <w:tcPr>
            <w:tcW w:w="7512" w:type="dxa"/>
          </w:tcPr>
          <w:p w14:paraId="2284FFA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DD6B24E" w14:textId="77777777">
        <w:tc>
          <w:tcPr>
            <w:tcW w:w="3369" w:type="dxa"/>
          </w:tcPr>
          <w:p w14:paraId="4E856C9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вооруженный легкими и </w:t>
            </w:r>
          </w:p>
        </w:tc>
        <w:tc>
          <w:tcPr>
            <w:tcW w:w="7512" w:type="dxa"/>
          </w:tcPr>
          <w:p w14:paraId="6FA2A66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B8CD916" w14:textId="77777777">
        <w:tc>
          <w:tcPr>
            <w:tcW w:w="3369" w:type="dxa"/>
          </w:tcPr>
          <w:p w14:paraId="408341F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тяжелыми пулеметами. Со</w:t>
            </w:r>
          </w:p>
        </w:tc>
        <w:tc>
          <w:tcPr>
            <w:tcW w:w="7512" w:type="dxa"/>
          </w:tcPr>
          <w:p w14:paraId="06865C3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E3A6573" w14:textId="77777777">
        <w:tc>
          <w:tcPr>
            <w:tcW w:w="3369" w:type="dxa"/>
          </w:tcPr>
          <w:p w14:paraId="15710DC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скоростью на 5000 - 300 км/час.</w:t>
            </w:r>
          </w:p>
        </w:tc>
        <w:tc>
          <w:tcPr>
            <w:tcW w:w="7512" w:type="dxa"/>
          </w:tcPr>
          <w:p w14:paraId="2D2ACE5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DFEB787" w14:textId="77777777">
        <w:tc>
          <w:tcPr>
            <w:tcW w:w="3369" w:type="dxa"/>
          </w:tcPr>
          <w:p w14:paraId="0152CD1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Дальностью - 1200 км. С</w:t>
            </w:r>
          </w:p>
        </w:tc>
        <w:tc>
          <w:tcPr>
            <w:tcW w:w="7512" w:type="dxa"/>
          </w:tcPr>
          <w:p w14:paraId="6091A1F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8ADA081" w14:textId="77777777">
        <w:tc>
          <w:tcPr>
            <w:tcW w:w="3369" w:type="dxa"/>
          </w:tcPr>
          <w:p w14:paraId="3FD3899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перегрузкой - 2000 км.</w:t>
            </w:r>
          </w:p>
        </w:tc>
        <w:tc>
          <w:tcPr>
            <w:tcW w:w="7512" w:type="dxa"/>
          </w:tcPr>
          <w:p w14:paraId="31522DA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DF02D2A" w14:textId="77777777">
        <w:tc>
          <w:tcPr>
            <w:tcW w:w="3369" w:type="dxa"/>
          </w:tcPr>
          <w:p w14:paraId="77F349F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Сбрасыв. груз - 500 кг.</w:t>
            </w:r>
          </w:p>
        </w:tc>
        <w:tc>
          <w:tcPr>
            <w:tcW w:w="7512" w:type="dxa"/>
          </w:tcPr>
          <w:p w14:paraId="4B6A093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BE1DABD" w14:textId="77777777">
        <w:tc>
          <w:tcPr>
            <w:tcW w:w="3369" w:type="dxa"/>
          </w:tcPr>
          <w:p w14:paraId="4201883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аэродром -</w:t>
            </w:r>
          </w:p>
        </w:tc>
        <w:tc>
          <w:tcPr>
            <w:tcW w:w="7512" w:type="dxa"/>
          </w:tcPr>
          <w:p w14:paraId="4FD3654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D463664" w14:textId="77777777">
        <w:tc>
          <w:tcPr>
            <w:tcW w:w="3369" w:type="dxa"/>
          </w:tcPr>
          <w:p w14:paraId="2291857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1/XII-34 г.</w:t>
            </w:r>
          </w:p>
        </w:tc>
        <w:tc>
          <w:tcPr>
            <w:tcW w:w="7512" w:type="dxa"/>
          </w:tcPr>
          <w:p w14:paraId="43B9E2F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0AF3038" w14:textId="77777777">
        <w:tc>
          <w:tcPr>
            <w:tcW w:w="3369" w:type="dxa"/>
          </w:tcPr>
          <w:p w14:paraId="19A1676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ВС-2М22</w:t>
            </w:r>
          </w:p>
        </w:tc>
        <w:tc>
          <w:tcPr>
            <w:tcW w:w="7512" w:type="dxa"/>
          </w:tcPr>
          <w:p w14:paraId="6009BD4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Эскизный проект самолета представлен ХАЗОС"ом был в конце мая. При рассмотрении </w:t>
            </w:r>
          </w:p>
        </w:tc>
      </w:tr>
      <w:tr w:rsidR="004E10C1" w:rsidRPr="0044524F" w14:paraId="757B6675" w14:textId="77777777">
        <w:tc>
          <w:tcPr>
            <w:tcW w:w="3369" w:type="dxa"/>
          </w:tcPr>
          <w:p w14:paraId="0BD9D5F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Войсковой самолет.</w:t>
            </w:r>
          </w:p>
        </w:tc>
        <w:tc>
          <w:tcPr>
            <w:tcW w:w="7512" w:type="dxa"/>
          </w:tcPr>
          <w:p w14:paraId="3EF26E3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установлена необходимость серьезных исправлений. В настоящее время ведутся изыскания по</w:t>
            </w:r>
          </w:p>
        </w:tc>
      </w:tr>
      <w:tr w:rsidR="004E10C1" w:rsidRPr="0044524F" w14:paraId="3E201072" w14:textId="77777777">
        <w:tc>
          <w:tcPr>
            <w:tcW w:w="3369" w:type="dxa"/>
          </w:tcPr>
          <w:p w14:paraId="1A1689F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Деревянной конструкции</w:t>
            </w:r>
          </w:p>
        </w:tc>
        <w:tc>
          <w:tcPr>
            <w:tcW w:w="7512" w:type="dxa"/>
          </w:tcPr>
          <w:p w14:paraId="6DB7C57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боевой схеме и продувка моделей. Новый эскизный проект должен быть представлен в августе.</w:t>
            </w:r>
          </w:p>
        </w:tc>
      </w:tr>
      <w:tr w:rsidR="004E10C1" w:rsidRPr="0044524F" w14:paraId="71B0CFFE" w14:textId="77777777">
        <w:tc>
          <w:tcPr>
            <w:tcW w:w="3369" w:type="dxa"/>
          </w:tcPr>
          <w:p w14:paraId="6F23BC8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типа летающего крыла,</w:t>
            </w:r>
          </w:p>
        </w:tc>
        <w:tc>
          <w:tcPr>
            <w:tcW w:w="7512" w:type="dxa"/>
          </w:tcPr>
          <w:p w14:paraId="490576F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952B7B2" w14:textId="77777777">
        <w:tc>
          <w:tcPr>
            <w:tcW w:w="3369" w:type="dxa"/>
          </w:tcPr>
          <w:p w14:paraId="2728385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убирающимся в полете</w:t>
            </w:r>
          </w:p>
        </w:tc>
        <w:tc>
          <w:tcPr>
            <w:tcW w:w="7512" w:type="dxa"/>
          </w:tcPr>
          <w:p w14:paraId="4D05246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FD8C2A0" w14:textId="77777777">
        <w:tc>
          <w:tcPr>
            <w:tcW w:w="3369" w:type="dxa"/>
          </w:tcPr>
          <w:p w14:paraId="555E028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Вооружен легкими</w:t>
            </w:r>
          </w:p>
        </w:tc>
        <w:tc>
          <w:tcPr>
            <w:tcW w:w="7512" w:type="dxa"/>
          </w:tcPr>
          <w:p w14:paraId="1294C1B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AC97DDD" w14:textId="77777777">
        <w:tc>
          <w:tcPr>
            <w:tcW w:w="3369" w:type="dxa"/>
          </w:tcPr>
          <w:p w14:paraId="69AF6DF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 Со скоростью на</w:t>
            </w:r>
          </w:p>
        </w:tc>
        <w:tc>
          <w:tcPr>
            <w:tcW w:w="7512" w:type="dxa"/>
          </w:tcPr>
          <w:p w14:paraId="0A1A375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69DCE75" w14:textId="77777777">
        <w:tc>
          <w:tcPr>
            <w:tcW w:w="3369" w:type="dxa"/>
          </w:tcPr>
          <w:p w14:paraId="0EEE53C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 - 250 км/час,</w:t>
            </w:r>
          </w:p>
        </w:tc>
        <w:tc>
          <w:tcPr>
            <w:tcW w:w="7512" w:type="dxa"/>
          </w:tcPr>
          <w:p w14:paraId="6811315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C0A9A07" w14:textId="77777777">
        <w:tc>
          <w:tcPr>
            <w:tcW w:w="3369" w:type="dxa"/>
          </w:tcPr>
          <w:p w14:paraId="1F065D2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w:t>
            </w:r>
          </w:p>
        </w:tc>
        <w:tc>
          <w:tcPr>
            <w:tcW w:w="7512" w:type="dxa"/>
          </w:tcPr>
          <w:p w14:paraId="522FBA4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4B2C046" w14:textId="77777777">
        <w:tc>
          <w:tcPr>
            <w:tcW w:w="3369" w:type="dxa"/>
          </w:tcPr>
          <w:p w14:paraId="0DC3BCA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 - 12 мин.,</w:t>
            </w:r>
          </w:p>
        </w:tc>
        <w:tc>
          <w:tcPr>
            <w:tcW w:w="7512" w:type="dxa"/>
          </w:tcPr>
          <w:p w14:paraId="2929692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F628C59" w14:textId="77777777">
        <w:tc>
          <w:tcPr>
            <w:tcW w:w="3369" w:type="dxa"/>
          </w:tcPr>
          <w:p w14:paraId="48871A7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дальностью полета - 700 км,</w:t>
            </w:r>
          </w:p>
        </w:tc>
        <w:tc>
          <w:tcPr>
            <w:tcW w:w="7512" w:type="dxa"/>
          </w:tcPr>
          <w:p w14:paraId="02101E2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A08E128" w14:textId="77777777">
        <w:tc>
          <w:tcPr>
            <w:tcW w:w="3369" w:type="dxa"/>
          </w:tcPr>
          <w:p w14:paraId="42AF10A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перегрузкой 1200 км.</w:t>
            </w:r>
          </w:p>
        </w:tc>
        <w:tc>
          <w:tcPr>
            <w:tcW w:w="7512" w:type="dxa"/>
          </w:tcPr>
          <w:p w14:paraId="511F54E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31C7E6A" w14:textId="77777777">
        <w:tc>
          <w:tcPr>
            <w:tcW w:w="3369" w:type="dxa"/>
          </w:tcPr>
          <w:p w14:paraId="01B2A11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аэродром -</w:t>
            </w:r>
          </w:p>
        </w:tc>
        <w:tc>
          <w:tcPr>
            <w:tcW w:w="7512" w:type="dxa"/>
          </w:tcPr>
          <w:p w14:paraId="3CD99B0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7B5DADF" w14:textId="77777777">
        <w:tc>
          <w:tcPr>
            <w:tcW w:w="3369" w:type="dxa"/>
          </w:tcPr>
          <w:p w14:paraId="772A551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1/V-34 г.</w:t>
            </w:r>
          </w:p>
        </w:tc>
        <w:tc>
          <w:tcPr>
            <w:tcW w:w="7512" w:type="dxa"/>
          </w:tcPr>
          <w:p w14:paraId="2E0F301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F78A05D" w14:textId="77777777">
        <w:tc>
          <w:tcPr>
            <w:tcW w:w="3369" w:type="dxa"/>
          </w:tcPr>
          <w:p w14:paraId="369A6D0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ДИП-2М34</w:t>
            </w:r>
          </w:p>
        </w:tc>
        <w:tc>
          <w:tcPr>
            <w:tcW w:w="7512" w:type="dxa"/>
          </w:tcPr>
          <w:p w14:paraId="5D55CBC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Проектирование самолета закончено на 70%. По сданным на производство чертежам</w:t>
            </w:r>
          </w:p>
        </w:tc>
      </w:tr>
      <w:tr w:rsidR="004E10C1" w:rsidRPr="0044524F" w14:paraId="6F7BD814" w14:textId="77777777">
        <w:tc>
          <w:tcPr>
            <w:tcW w:w="3369" w:type="dxa"/>
          </w:tcPr>
          <w:p w14:paraId="11ACD34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Двухместный пушечный</w:t>
            </w:r>
          </w:p>
        </w:tc>
        <w:tc>
          <w:tcPr>
            <w:tcW w:w="7512" w:type="dxa"/>
          </w:tcPr>
          <w:p w14:paraId="2E32D75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изготовляются центроплан, фюзеляж. Отъемы и оперение закончены. Общая техническая</w:t>
            </w:r>
          </w:p>
        </w:tc>
      </w:tr>
      <w:tr w:rsidR="004E10C1" w:rsidRPr="0044524F" w14:paraId="59BD9BD3" w14:textId="77777777">
        <w:tc>
          <w:tcPr>
            <w:tcW w:w="3369" w:type="dxa"/>
          </w:tcPr>
          <w:p w14:paraId="7D1D6F4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истребитель. Дюралевый.</w:t>
            </w:r>
          </w:p>
        </w:tc>
        <w:tc>
          <w:tcPr>
            <w:tcW w:w="7512" w:type="dxa"/>
          </w:tcPr>
          <w:p w14:paraId="6D43B68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готовность выражается в 20%.</w:t>
            </w:r>
          </w:p>
        </w:tc>
      </w:tr>
      <w:tr w:rsidR="004E10C1" w:rsidRPr="0044524F" w14:paraId="2C399B21" w14:textId="77777777">
        <w:tc>
          <w:tcPr>
            <w:tcW w:w="3369" w:type="dxa"/>
          </w:tcPr>
          <w:p w14:paraId="5A0FDE9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Вооруженный пушками со</w:t>
            </w:r>
          </w:p>
        </w:tc>
        <w:tc>
          <w:tcPr>
            <w:tcW w:w="7512" w:type="dxa"/>
          </w:tcPr>
          <w:p w14:paraId="2DDA569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стороны ВВС имеется неясность по вопросу вооружения и оборудования.</w:t>
            </w:r>
          </w:p>
        </w:tc>
      </w:tr>
      <w:tr w:rsidR="004E10C1" w:rsidRPr="0044524F" w14:paraId="0524ABD7" w14:textId="77777777">
        <w:tc>
          <w:tcPr>
            <w:tcW w:w="3369" w:type="dxa"/>
          </w:tcPr>
          <w:p w14:paraId="39010F8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 на 5000 м -</w:t>
            </w:r>
          </w:p>
        </w:tc>
        <w:tc>
          <w:tcPr>
            <w:tcW w:w="7512" w:type="dxa"/>
          </w:tcPr>
          <w:p w14:paraId="78BCFC3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B68D855" w14:textId="77777777">
        <w:tc>
          <w:tcPr>
            <w:tcW w:w="3369" w:type="dxa"/>
          </w:tcPr>
          <w:p w14:paraId="6AE1134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 км/час, скороподъемн. -</w:t>
            </w:r>
          </w:p>
        </w:tc>
        <w:tc>
          <w:tcPr>
            <w:tcW w:w="7512" w:type="dxa"/>
          </w:tcPr>
          <w:p w14:paraId="57AD38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EAD1E92" w14:textId="77777777">
        <w:tc>
          <w:tcPr>
            <w:tcW w:w="3369" w:type="dxa"/>
          </w:tcPr>
          <w:p w14:paraId="703FEFC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5000 м - 15 мин.,</w:t>
            </w:r>
          </w:p>
        </w:tc>
        <w:tc>
          <w:tcPr>
            <w:tcW w:w="7512" w:type="dxa"/>
          </w:tcPr>
          <w:p w14:paraId="5FDE4FE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2DB1532" w14:textId="77777777">
        <w:tc>
          <w:tcPr>
            <w:tcW w:w="3369" w:type="dxa"/>
          </w:tcPr>
          <w:p w14:paraId="027AC15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дальностью 600 км, с</w:t>
            </w:r>
          </w:p>
        </w:tc>
        <w:tc>
          <w:tcPr>
            <w:tcW w:w="7512" w:type="dxa"/>
          </w:tcPr>
          <w:p w14:paraId="3A57516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45E483A" w14:textId="77777777">
        <w:tc>
          <w:tcPr>
            <w:tcW w:w="3369" w:type="dxa"/>
          </w:tcPr>
          <w:p w14:paraId="69C8E6C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перегрузкой 1000 км.</w:t>
            </w:r>
          </w:p>
        </w:tc>
        <w:tc>
          <w:tcPr>
            <w:tcW w:w="7512" w:type="dxa"/>
          </w:tcPr>
          <w:p w14:paraId="5B4AEC7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9E3B4AB" w14:textId="77777777">
        <w:tc>
          <w:tcPr>
            <w:tcW w:w="3369" w:type="dxa"/>
          </w:tcPr>
          <w:p w14:paraId="1005BF5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аэродр.</w:t>
            </w:r>
          </w:p>
        </w:tc>
        <w:tc>
          <w:tcPr>
            <w:tcW w:w="7512" w:type="dxa"/>
          </w:tcPr>
          <w:p w14:paraId="478A90D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7B3152F" w14:textId="77777777">
        <w:tc>
          <w:tcPr>
            <w:tcW w:w="3369" w:type="dxa"/>
          </w:tcPr>
          <w:p w14:paraId="1F96C3D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1/VI-34.</w:t>
            </w:r>
          </w:p>
        </w:tc>
        <w:tc>
          <w:tcPr>
            <w:tcW w:w="7512" w:type="dxa"/>
          </w:tcPr>
          <w:p w14:paraId="75E2C52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6D2E367" w14:textId="77777777">
        <w:tc>
          <w:tcPr>
            <w:tcW w:w="3369" w:type="dxa"/>
          </w:tcPr>
          <w:p w14:paraId="4C406AA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ДИ6 - Райт-Циклон</w:t>
            </w:r>
          </w:p>
        </w:tc>
        <w:tc>
          <w:tcPr>
            <w:tcW w:w="7512" w:type="dxa"/>
          </w:tcPr>
          <w:p w14:paraId="5E47E2C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Ведутся работы по изысканию и выработке схемы самолета. Замедленные темпы</w:t>
            </w:r>
          </w:p>
        </w:tc>
      </w:tr>
      <w:tr w:rsidR="004E10C1" w:rsidRPr="0044524F" w14:paraId="5514A4B1" w14:textId="77777777">
        <w:tc>
          <w:tcPr>
            <w:tcW w:w="3369" w:type="dxa"/>
          </w:tcPr>
          <w:p w14:paraId="636A9F5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Двухместный истребитель,</w:t>
            </w:r>
          </w:p>
        </w:tc>
        <w:tc>
          <w:tcPr>
            <w:tcW w:w="7512" w:type="dxa"/>
          </w:tcPr>
          <w:p w14:paraId="0C708E6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вызываются отсутствием мотора.</w:t>
            </w:r>
          </w:p>
        </w:tc>
      </w:tr>
      <w:tr w:rsidR="004E10C1" w:rsidRPr="0044524F" w14:paraId="13DFAE2F" w14:textId="77777777">
        <w:tc>
          <w:tcPr>
            <w:tcW w:w="3369" w:type="dxa"/>
          </w:tcPr>
          <w:p w14:paraId="13FF03E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вооруженный пулеметами</w:t>
            </w:r>
          </w:p>
        </w:tc>
        <w:tc>
          <w:tcPr>
            <w:tcW w:w="7512" w:type="dxa"/>
          </w:tcPr>
          <w:p w14:paraId="39447F9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4094CB0" w14:textId="77777777">
        <w:tc>
          <w:tcPr>
            <w:tcW w:w="3369" w:type="dxa"/>
          </w:tcPr>
          <w:p w14:paraId="0729EAE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 и тяж.), смешанной</w:t>
            </w:r>
          </w:p>
        </w:tc>
        <w:tc>
          <w:tcPr>
            <w:tcW w:w="7512" w:type="dxa"/>
          </w:tcPr>
          <w:p w14:paraId="6E24C79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819309C" w14:textId="77777777">
        <w:tc>
          <w:tcPr>
            <w:tcW w:w="3369" w:type="dxa"/>
          </w:tcPr>
          <w:p w14:paraId="43CFC03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 со скор. на</w:t>
            </w:r>
          </w:p>
        </w:tc>
        <w:tc>
          <w:tcPr>
            <w:tcW w:w="7512" w:type="dxa"/>
          </w:tcPr>
          <w:p w14:paraId="140D2A3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6F9BD2F" w14:textId="77777777">
        <w:tc>
          <w:tcPr>
            <w:tcW w:w="3369" w:type="dxa"/>
          </w:tcPr>
          <w:p w14:paraId="596AA61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 м -..... км/час,</w:t>
            </w:r>
          </w:p>
        </w:tc>
        <w:tc>
          <w:tcPr>
            <w:tcW w:w="7512" w:type="dxa"/>
          </w:tcPr>
          <w:p w14:paraId="6B729CE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F596C95" w14:textId="77777777">
        <w:tc>
          <w:tcPr>
            <w:tcW w:w="3369" w:type="dxa"/>
          </w:tcPr>
          <w:p w14:paraId="55DB6C5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 на 5000 м -</w:t>
            </w:r>
          </w:p>
        </w:tc>
        <w:tc>
          <w:tcPr>
            <w:tcW w:w="7512" w:type="dxa"/>
          </w:tcPr>
          <w:p w14:paraId="5DD8559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1ED188D" w14:textId="77777777">
        <w:tc>
          <w:tcPr>
            <w:tcW w:w="3369" w:type="dxa"/>
          </w:tcPr>
          <w:p w14:paraId="34A7765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мин., дальностью 800 км,</w:t>
            </w:r>
          </w:p>
        </w:tc>
        <w:tc>
          <w:tcPr>
            <w:tcW w:w="7512" w:type="dxa"/>
          </w:tcPr>
          <w:p w14:paraId="17736B6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6A44F29" w14:textId="77777777">
        <w:tc>
          <w:tcPr>
            <w:tcW w:w="3369" w:type="dxa"/>
          </w:tcPr>
          <w:p w14:paraId="3FD3BEE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перегрузкой - 1400 км.</w:t>
            </w:r>
          </w:p>
        </w:tc>
        <w:tc>
          <w:tcPr>
            <w:tcW w:w="7512" w:type="dxa"/>
          </w:tcPr>
          <w:p w14:paraId="394F6A0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FD5C608" w14:textId="77777777">
        <w:tc>
          <w:tcPr>
            <w:tcW w:w="3369" w:type="dxa"/>
          </w:tcPr>
          <w:p w14:paraId="587DBAF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аэродром -</w:t>
            </w:r>
          </w:p>
        </w:tc>
        <w:tc>
          <w:tcPr>
            <w:tcW w:w="7512" w:type="dxa"/>
          </w:tcPr>
          <w:p w14:paraId="6A79DB0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B29B58B" w14:textId="77777777">
        <w:tc>
          <w:tcPr>
            <w:tcW w:w="3369" w:type="dxa"/>
          </w:tcPr>
          <w:p w14:paraId="271B1D3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1/V-34 г.</w:t>
            </w:r>
          </w:p>
        </w:tc>
        <w:tc>
          <w:tcPr>
            <w:tcW w:w="7512" w:type="dxa"/>
          </w:tcPr>
          <w:p w14:paraId="563C879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0C94CA" w14:textId="77777777">
        <w:tc>
          <w:tcPr>
            <w:tcW w:w="3369" w:type="dxa"/>
          </w:tcPr>
          <w:p w14:paraId="3A26769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К-7-7М34</w:t>
            </w:r>
          </w:p>
        </w:tc>
        <w:tc>
          <w:tcPr>
            <w:tcW w:w="7512" w:type="dxa"/>
          </w:tcPr>
          <w:p w14:paraId="70A0DB5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Все части самолета закончены и заканчивается сборка и обшивка машины. Моторные</w:t>
            </w:r>
          </w:p>
        </w:tc>
      </w:tr>
      <w:tr w:rsidR="004E10C1" w:rsidRPr="0044524F" w14:paraId="3A745D54" w14:textId="77777777">
        <w:tc>
          <w:tcPr>
            <w:tcW w:w="3369" w:type="dxa"/>
          </w:tcPr>
          <w:p w14:paraId="0BB4FC1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из</w:t>
            </w:r>
          </w:p>
        </w:tc>
        <w:tc>
          <w:tcPr>
            <w:tcW w:w="7512" w:type="dxa"/>
          </w:tcPr>
          <w:p w14:paraId="3938287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установки с моторами, оборудованием и проводкой, опробованы на особой установке и</w:t>
            </w:r>
          </w:p>
        </w:tc>
      </w:tr>
      <w:tr w:rsidR="004E10C1" w:rsidRPr="0044524F" w14:paraId="590CF1B6" w14:textId="77777777">
        <w:tc>
          <w:tcPr>
            <w:tcW w:w="3369" w:type="dxa"/>
          </w:tcPr>
          <w:p w14:paraId="1D2D370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стальных </w:t>
            </w:r>
          </w:p>
        </w:tc>
        <w:tc>
          <w:tcPr>
            <w:tcW w:w="7512" w:type="dxa"/>
          </w:tcPr>
          <w:p w14:paraId="6AA50DB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дали благоприятные результаты. Одновременно идет оборудование самолета. поставленный</w:t>
            </w:r>
          </w:p>
        </w:tc>
      </w:tr>
      <w:tr w:rsidR="004E10C1" w:rsidRPr="0044524F" w14:paraId="68D0C826" w14:textId="77777777">
        <w:tc>
          <w:tcPr>
            <w:tcW w:w="3369" w:type="dxa"/>
          </w:tcPr>
          <w:p w14:paraId="60A1BC1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хромомолибденовых</w:t>
            </w:r>
          </w:p>
        </w:tc>
        <w:tc>
          <w:tcPr>
            <w:tcW w:w="7512" w:type="dxa"/>
          </w:tcPr>
          <w:p w14:paraId="37B9AA8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предполагается выполнить.</w:t>
            </w:r>
          </w:p>
        </w:tc>
      </w:tr>
      <w:tr w:rsidR="004E10C1" w:rsidRPr="0044524F" w14:paraId="7243CAEB" w14:textId="77777777">
        <w:tc>
          <w:tcPr>
            <w:tcW w:w="3369" w:type="dxa"/>
          </w:tcPr>
          <w:p w14:paraId="2C9B4D5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 двухфюзеляжный,</w:t>
            </w:r>
          </w:p>
        </w:tc>
        <w:tc>
          <w:tcPr>
            <w:tcW w:w="7512" w:type="dxa"/>
          </w:tcPr>
          <w:p w14:paraId="5CF3064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324758A" w14:textId="77777777">
        <w:tc>
          <w:tcPr>
            <w:tcW w:w="3369" w:type="dxa"/>
          </w:tcPr>
          <w:p w14:paraId="2DCC9B6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вооруженный легкими</w:t>
            </w:r>
          </w:p>
        </w:tc>
        <w:tc>
          <w:tcPr>
            <w:tcW w:w="7512" w:type="dxa"/>
          </w:tcPr>
          <w:p w14:paraId="1D716B0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9AF3339" w14:textId="77777777">
        <w:tc>
          <w:tcPr>
            <w:tcW w:w="3369" w:type="dxa"/>
          </w:tcPr>
          <w:p w14:paraId="48BE023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тяжелыми пулеметами -</w:t>
            </w:r>
          </w:p>
        </w:tc>
        <w:tc>
          <w:tcPr>
            <w:tcW w:w="7512" w:type="dxa"/>
          </w:tcPr>
          <w:p w14:paraId="3C6855C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22B99F2" w14:textId="77777777">
        <w:tc>
          <w:tcPr>
            <w:tcW w:w="3369" w:type="dxa"/>
          </w:tcPr>
          <w:p w14:paraId="214CBE3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шт., 3-мя автоматич.</w:t>
            </w:r>
          </w:p>
        </w:tc>
        <w:tc>
          <w:tcPr>
            <w:tcW w:w="7512" w:type="dxa"/>
          </w:tcPr>
          <w:p w14:paraId="182A19C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A08B75E" w14:textId="77777777">
        <w:tc>
          <w:tcPr>
            <w:tcW w:w="3369" w:type="dxa"/>
          </w:tcPr>
          <w:p w14:paraId="7DBDAAA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пушками и 1000 кг бомб.</w:t>
            </w:r>
          </w:p>
        </w:tc>
        <w:tc>
          <w:tcPr>
            <w:tcW w:w="7512" w:type="dxa"/>
          </w:tcPr>
          <w:p w14:paraId="7048F5C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F28FE3A" w14:textId="77777777">
        <w:tc>
          <w:tcPr>
            <w:tcW w:w="3369" w:type="dxa"/>
          </w:tcPr>
          <w:p w14:paraId="7B6F6B4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аэродром -</w:t>
            </w:r>
          </w:p>
        </w:tc>
        <w:tc>
          <w:tcPr>
            <w:tcW w:w="7512" w:type="dxa"/>
          </w:tcPr>
          <w:p w14:paraId="7C73BD1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184C306" w14:textId="77777777">
        <w:tc>
          <w:tcPr>
            <w:tcW w:w="3369" w:type="dxa"/>
          </w:tcPr>
          <w:p w14:paraId="62ADFB2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1/VIII-33 г.</w:t>
            </w:r>
          </w:p>
        </w:tc>
        <w:tc>
          <w:tcPr>
            <w:tcW w:w="7512" w:type="dxa"/>
          </w:tcPr>
          <w:p w14:paraId="4789837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CFBC2C8" w14:textId="77777777">
        <w:tc>
          <w:tcPr>
            <w:tcW w:w="3369" w:type="dxa"/>
          </w:tcPr>
          <w:p w14:paraId="5D3A746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w:t>
            </w:r>
          </w:p>
        </w:tc>
        <w:tc>
          <w:tcPr>
            <w:tcW w:w="7512" w:type="dxa"/>
          </w:tcPr>
          <w:p w14:paraId="2690683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 Закончена общая компоновка. Впервые осуществляемая ЦАГИ такого тоннажа машина </w:t>
            </w:r>
          </w:p>
        </w:tc>
      </w:tr>
      <w:tr w:rsidR="004E10C1" w:rsidRPr="0044524F" w14:paraId="6DF6A0E1" w14:textId="77777777">
        <w:tc>
          <w:tcPr>
            <w:tcW w:w="3369" w:type="dxa"/>
          </w:tcPr>
          <w:p w14:paraId="316C253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с</w:t>
            </w:r>
          </w:p>
        </w:tc>
        <w:tc>
          <w:tcPr>
            <w:tcW w:w="7512" w:type="dxa"/>
          </w:tcPr>
          <w:p w14:paraId="1CDD399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встречает ряд совершенно новых вопросов, требующих предварительных исследований,</w:t>
            </w:r>
          </w:p>
        </w:tc>
      </w:tr>
      <w:tr w:rsidR="004E10C1" w:rsidRPr="0044524F" w14:paraId="32CD179B" w14:textId="77777777">
        <w:tc>
          <w:tcPr>
            <w:tcW w:w="3369" w:type="dxa"/>
          </w:tcPr>
          <w:p w14:paraId="2986C7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 весом 70-80 тонн</w:t>
            </w:r>
          </w:p>
        </w:tc>
        <w:tc>
          <w:tcPr>
            <w:tcW w:w="7512" w:type="dxa"/>
          </w:tcPr>
          <w:p w14:paraId="32AD060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изысканий и эксперимента. Кроме применения хромомолибденовой стали, ЦАГИ поставлена</w:t>
            </w:r>
          </w:p>
        </w:tc>
      </w:tr>
      <w:tr w:rsidR="004E10C1" w:rsidRPr="0044524F" w14:paraId="7EB2AA3B" w14:textId="77777777">
        <w:tc>
          <w:tcPr>
            <w:tcW w:w="3369" w:type="dxa"/>
          </w:tcPr>
          <w:p w14:paraId="010F5FB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стали. Вооруженный</w:t>
            </w:r>
          </w:p>
        </w:tc>
        <w:tc>
          <w:tcPr>
            <w:tcW w:w="7512" w:type="dxa"/>
          </w:tcPr>
          <w:p w14:paraId="45D7B11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задача добиться применения исключительно советских материалов. Предварительные</w:t>
            </w:r>
          </w:p>
        </w:tc>
      </w:tr>
      <w:tr w:rsidR="004E10C1" w:rsidRPr="0044524F" w14:paraId="05E8159B" w14:textId="77777777">
        <w:tc>
          <w:tcPr>
            <w:tcW w:w="3369" w:type="dxa"/>
          </w:tcPr>
          <w:p w14:paraId="2739990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тяжелыми пулеметами и</w:t>
            </w:r>
          </w:p>
        </w:tc>
        <w:tc>
          <w:tcPr>
            <w:tcW w:w="7512" w:type="dxa"/>
          </w:tcPr>
          <w:p w14:paraId="67B0D4F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разработки говорят о возможности осуществления поставленной задачи. В настоящее</w:t>
            </w:r>
          </w:p>
        </w:tc>
      </w:tr>
      <w:tr w:rsidR="004E10C1" w:rsidRPr="0044524F" w14:paraId="0DBBA507" w14:textId="77777777">
        <w:tc>
          <w:tcPr>
            <w:tcW w:w="3369" w:type="dxa"/>
          </w:tcPr>
          <w:p w14:paraId="33917C0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пушками, со </w:t>
            </w:r>
          </w:p>
        </w:tc>
        <w:tc>
          <w:tcPr>
            <w:tcW w:w="7512" w:type="dxa"/>
          </w:tcPr>
          <w:p w14:paraId="6F50E70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ведутся расчеты, продувки, изготовляется специальный планер, проектируется фюзеляж</w:t>
            </w:r>
          </w:p>
        </w:tc>
      </w:tr>
      <w:tr w:rsidR="004E10C1" w:rsidRPr="0044524F" w14:paraId="4FFFD484" w14:textId="77777777">
        <w:tc>
          <w:tcPr>
            <w:tcW w:w="3369" w:type="dxa"/>
          </w:tcPr>
          <w:p w14:paraId="72B6BAE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сбрасываемым грузом -</w:t>
            </w:r>
          </w:p>
        </w:tc>
        <w:tc>
          <w:tcPr>
            <w:tcW w:w="7512" w:type="dxa"/>
          </w:tcPr>
          <w:p w14:paraId="672D4D6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крылья, управление, вооружение, посадочные приспособления. В постройке находится</w:t>
            </w:r>
          </w:p>
        </w:tc>
      </w:tr>
      <w:tr w:rsidR="004E10C1" w:rsidRPr="0044524F" w14:paraId="2C36A2B1" w14:textId="77777777">
        <w:tc>
          <w:tcPr>
            <w:tcW w:w="3369" w:type="dxa"/>
          </w:tcPr>
          <w:p w14:paraId="2488B33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тн., скор. на 5000 м -</w:t>
            </w:r>
          </w:p>
        </w:tc>
        <w:tc>
          <w:tcPr>
            <w:tcW w:w="7512" w:type="dxa"/>
          </w:tcPr>
          <w:p w14:paraId="2B4FB74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 лонжерон из хромомолибд. труб.</w:t>
            </w:r>
          </w:p>
        </w:tc>
      </w:tr>
      <w:tr w:rsidR="004E10C1" w:rsidRPr="0044524F" w14:paraId="64194E30" w14:textId="77777777">
        <w:tc>
          <w:tcPr>
            <w:tcW w:w="3369" w:type="dxa"/>
          </w:tcPr>
          <w:p w14:paraId="470C24D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 км/час, дальность -</w:t>
            </w:r>
          </w:p>
        </w:tc>
        <w:tc>
          <w:tcPr>
            <w:tcW w:w="7512" w:type="dxa"/>
          </w:tcPr>
          <w:p w14:paraId="37EEED7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565FEE7" w14:textId="77777777">
        <w:tc>
          <w:tcPr>
            <w:tcW w:w="3369" w:type="dxa"/>
          </w:tcPr>
          <w:p w14:paraId="39D984B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3000 км, с перегрузкой -</w:t>
            </w:r>
          </w:p>
        </w:tc>
        <w:tc>
          <w:tcPr>
            <w:tcW w:w="7512" w:type="dxa"/>
          </w:tcPr>
          <w:p w14:paraId="68C5554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941A659" w14:textId="77777777">
        <w:tc>
          <w:tcPr>
            <w:tcW w:w="3369" w:type="dxa"/>
          </w:tcPr>
          <w:p w14:paraId="64F0C9E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 км. Срок выхода на</w:t>
            </w:r>
          </w:p>
        </w:tc>
        <w:tc>
          <w:tcPr>
            <w:tcW w:w="7512" w:type="dxa"/>
          </w:tcPr>
          <w:p w14:paraId="047E384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ECC27B1" w14:textId="77777777">
        <w:tc>
          <w:tcPr>
            <w:tcW w:w="3369" w:type="dxa"/>
          </w:tcPr>
          <w:p w14:paraId="6697AB2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аэродром - 1/XII-35 г.</w:t>
            </w:r>
          </w:p>
        </w:tc>
        <w:tc>
          <w:tcPr>
            <w:tcW w:w="7512" w:type="dxa"/>
          </w:tcPr>
          <w:p w14:paraId="638CE22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C79BAF9" w14:textId="77777777">
        <w:tc>
          <w:tcPr>
            <w:tcW w:w="3369" w:type="dxa"/>
          </w:tcPr>
          <w:p w14:paraId="691B760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СР-1 - М85</w:t>
            </w:r>
          </w:p>
        </w:tc>
        <w:tc>
          <w:tcPr>
            <w:tcW w:w="7512" w:type="dxa"/>
          </w:tcPr>
          <w:p w14:paraId="5D8B1A3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Самолет в июне с. г. поставлен в план. Проектирование и постройку предполагается в</w:t>
            </w:r>
          </w:p>
        </w:tc>
      </w:tr>
      <w:tr w:rsidR="004E10C1" w:rsidRPr="0044524F" w14:paraId="5BDC81B7" w14:textId="77777777">
        <w:tc>
          <w:tcPr>
            <w:tcW w:w="3369" w:type="dxa"/>
          </w:tcPr>
          <w:p w14:paraId="2506BA2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Скоростной разведчик,</w:t>
            </w:r>
          </w:p>
        </w:tc>
        <w:tc>
          <w:tcPr>
            <w:tcW w:w="7512" w:type="dxa"/>
          </w:tcPr>
          <w:p w14:paraId="0E1F250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 по типу самолета ХАИ-1.</w:t>
            </w:r>
          </w:p>
        </w:tc>
      </w:tr>
      <w:tr w:rsidR="004E10C1" w:rsidRPr="0044524F" w14:paraId="2AF28314" w14:textId="77777777">
        <w:tc>
          <w:tcPr>
            <w:tcW w:w="3369" w:type="dxa"/>
          </w:tcPr>
          <w:p w14:paraId="3569333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 425 км/час на</w:t>
            </w:r>
          </w:p>
        </w:tc>
        <w:tc>
          <w:tcPr>
            <w:tcW w:w="7512" w:type="dxa"/>
          </w:tcPr>
          <w:p w14:paraId="1FDE370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E0D4815" w14:textId="77777777">
        <w:tc>
          <w:tcPr>
            <w:tcW w:w="3369" w:type="dxa"/>
          </w:tcPr>
          <w:p w14:paraId="349B673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 м, скороподъемн. -</w:t>
            </w:r>
          </w:p>
        </w:tc>
        <w:tc>
          <w:tcPr>
            <w:tcW w:w="7512" w:type="dxa"/>
          </w:tcPr>
          <w:p w14:paraId="48D27CD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D677823" w14:textId="77777777">
        <w:tc>
          <w:tcPr>
            <w:tcW w:w="3369" w:type="dxa"/>
          </w:tcPr>
          <w:p w14:paraId="6E933BF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мин. на 4000 м,</w:t>
            </w:r>
          </w:p>
        </w:tc>
        <w:tc>
          <w:tcPr>
            <w:tcW w:w="7512" w:type="dxa"/>
          </w:tcPr>
          <w:p w14:paraId="217194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5973B77" w14:textId="77777777">
        <w:tc>
          <w:tcPr>
            <w:tcW w:w="3369" w:type="dxa"/>
          </w:tcPr>
          <w:p w14:paraId="2578988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- 1000 км.</w:t>
            </w:r>
          </w:p>
        </w:tc>
        <w:tc>
          <w:tcPr>
            <w:tcW w:w="7512" w:type="dxa"/>
          </w:tcPr>
          <w:p w14:paraId="1E7F52C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609CB7F" w14:textId="77777777">
        <w:tc>
          <w:tcPr>
            <w:tcW w:w="3369" w:type="dxa"/>
          </w:tcPr>
          <w:p w14:paraId="65D10D4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через 6</w:t>
            </w:r>
          </w:p>
        </w:tc>
        <w:tc>
          <w:tcPr>
            <w:tcW w:w="7512" w:type="dxa"/>
          </w:tcPr>
          <w:p w14:paraId="1FF7872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ACB78B3" w14:textId="77777777">
        <w:tc>
          <w:tcPr>
            <w:tcW w:w="3369" w:type="dxa"/>
          </w:tcPr>
          <w:p w14:paraId="70D0B48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месяцев после получения</w:t>
            </w:r>
          </w:p>
        </w:tc>
        <w:tc>
          <w:tcPr>
            <w:tcW w:w="7512" w:type="dxa"/>
          </w:tcPr>
          <w:p w14:paraId="11AAA6B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C331B3C" w14:textId="77777777">
        <w:tc>
          <w:tcPr>
            <w:tcW w:w="3369" w:type="dxa"/>
          </w:tcPr>
          <w:p w14:paraId="4AE2554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мотора.</w:t>
            </w:r>
          </w:p>
        </w:tc>
        <w:tc>
          <w:tcPr>
            <w:tcW w:w="7512" w:type="dxa"/>
          </w:tcPr>
          <w:p w14:paraId="67EE4DF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C7FB09" w14:textId="77777777">
        <w:tc>
          <w:tcPr>
            <w:tcW w:w="3369" w:type="dxa"/>
          </w:tcPr>
          <w:p w14:paraId="0FA8A05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С.С. - М34</w:t>
            </w:r>
          </w:p>
        </w:tc>
        <w:tc>
          <w:tcPr>
            <w:tcW w:w="7512" w:type="dxa"/>
          </w:tcPr>
          <w:p w14:paraId="531C17C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Проектирование самолета закончено. Чертежи переданы на производство. Находится от 1</w:t>
            </w:r>
          </w:p>
        </w:tc>
      </w:tr>
      <w:tr w:rsidR="004E10C1" w:rsidRPr="0044524F" w14:paraId="1B19F9C5" w14:textId="77777777">
        <w:tc>
          <w:tcPr>
            <w:tcW w:w="3369" w:type="dxa"/>
          </w:tcPr>
          <w:p w14:paraId="4DF683C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Стратосферный самолет,</w:t>
            </w:r>
          </w:p>
        </w:tc>
        <w:tc>
          <w:tcPr>
            <w:tcW w:w="7512" w:type="dxa"/>
          </w:tcPr>
          <w:p w14:paraId="052943C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9% готовности кабина пилота, крылья, фюзеляж, оперение, мотоустановка, управление. Общ.</w:t>
            </w:r>
          </w:p>
        </w:tc>
      </w:tr>
      <w:tr w:rsidR="004E10C1" w:rsidRPr="0044524F" w14:paraId="40E4B1EB" w14:textId="77777777">
        <w:tc>
          <w:tcPr>
            <w:tcW w:w="3369" w:type="dxa"/>
          </w:tcPr>
          <w:p w14:paraId="4E8FB13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дюралевой конструкции</w:t>
            </w:r>
          </w:p>
        </w:tc>
        <w:tc>
          <w:tcPr>
            <w:tcW w:w="7512" w:type="dxa"/>
          </w:tcPr>
          <w:p w14:paraId="798D683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 готовность около 8%. За отсутствием мотора с нагнетателем для освоения самолета</w:t>
            </w:r>
          </w:p>
        </w:tc>
      </w:tr>
      <w:tr w:rsidR="004E10C1" w:rsidRPr="0044524F" w14:paraId="01B78D27" w14:textId="77777777">
        <w:tc>
          <w:tcPr>
            <w:tcW w:w="3369" w:type="dxa"/>
          </w:tcPr>
          <w:p w14:paraId="208A626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герметической кабиной.</w:t>
            </w:r>
          </w:p>
        </w:tc>
        <w:tc>
          <w:tcPr>
            <w:tcW w:w="7512" w:type="dxa"/>
          </w:tcPr>
          <w:p w14:paraId="77EE080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поверке ряда экспериментальных вопросов (кабина, проводка управления, поведение на</w:t>
            </w:r>
          </w:p>
        </w:tc>
      </w:tr>
      <w:tr w:rsidR="004E10C1" w:rsidRPr="0044524F" w14:paraId="1DFDF8BA" w14:textId="77777777">
        <w:tc>
          <w:tcPr>
            <w:tcW w:w="3369" w:type="dxa"/>
          </w:tcPr>
          <w:p w14:paraId="79AECE1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- 1/I-34 г.</w:t>
            </w:r>
          </w:p>
        </w:tc>
        <w:tc>
          <w:tcPr>
            <w:tcW w:w="7512" w:type="dxa"/>
          </w:tcPr>
          <w:p w14:paraId="4224EF5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большой высоте при низких температурах и пр.) самолет будет выпущен с мотором без</w:t>
            </w:r>
          </w:p>
        </w:tc>
      </w:tr>
      <w:tr w:rsidR="004E10C1" w:rsidRPr="0044524F" w14:paraId="03DC9A6D" w14:textId="77777777">
        <w:tc>
          <w:tcPr>
            <w:tcW w:w="3369" w:type="dxa"/>
          </w:tcPr>
          <w:p w14:paraId="333BCC8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1822A33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нагнетателя.</w:t>
            </w:r>
          </w:p>
        </w:tc>
      </w:tr>
      <w:tr w:rsidR="004E10C1" w:rsidRPr="0044524F" w14:paraId="55ECF24B" w14:textId="77777777">
        <w:tc>
          <w:tcPr>
            <w:tcW w:w="3369" w:type="dxa"/>
          </w:tcPr>
          <w:p w14:paraId="411CFD7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Л.К. - 2М11</w:t>
            </w:r>
          </w:p>
        </w:tc>
        <w:tc>
          <w:tcPr>
            <w:tcW w:w="7512" w:type="dxa"/>
          </w:tcPr>
          <w:p w14:paraId="1034D57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Заканчивается работа по эскизному проекту и приступают к постройке макета.</w:t>
            </w:r>
          </w:p>
        </w:tc>
      </w:tr>
      <w:tr w:rsidR="004E10C1" w:rsidRPr="0044524F" w14:paraId="7444B6AC" w14:textId="77777777">
        <w:tc>
          <w:tcPr>
            <w:tcW w:w="3369" w:type="dxa"/>
          </w:tcPr>
          <w:p w14:paraId="7E18017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Продолжение эксперимента</w:t>
            </w:r>
          </w:p>
        </w:tc>
        <w:tc>
          <w:tcPr>
            <w:tcW w:w="7512" w:type="dxa"/>
          </w:tcPr>
          <w:p w14:paraId="79FCDA0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8EA06DE" w14:textId="77777777">
        <w:tc>
          <w:tcPr>
            <w:tcW w:w="3369" w:type="dxa"/>
          </w:tcPr>
          <w:p w14:paraId="0B20E1F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- 1/I-34 г.</w:t>
            </w:r>
          </w:p>
        </w:tc>
        <w:tc>
          <w:tcPr>
            <w:tcW w:w="7512" w:type="dxa"/>
          </w:tcPr>
          <w:p w14:paraId="078A8A5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AA05AAE" w14:textId="77777777">
        <w:tc>
          <w:tcPr>
            <w:tcW w:w="3369" w:type="dxa"/>
          </w:tcPr>
          <w:p w14:paraId="751655A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Р.К. - М11</w:t>
            </w:r>
          </w:p>
        </w:tc>
        <w:tc>
          <w:tcPr>
            <w:tcW w:w="7512" w:type="dxa"/>
          </w:tcPr>
          <w:p w14:paraId="74DFD94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Проектирование самолета закончено. Чертежи переданы в производство. Идет заготовка</w:t>
            </w:r>
          </w:p>
        </w:tc>
      </w:tr>
      <w:tr w:rsidR="004E10C1" w:rsidRPr="0044524F" w14:paraId="4C24DD34" w14:textId="77777777">
        <w:tc>
          <w:tcPr>
            <w:tcW w:w="3369" w:type="dxa"/>
          </w:tcPr>
          <w:p w14:paraId="04C39AD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Разрезное крыло</w:t>
            </w:r>
          </w:p>
        </w:tc>
        <w:tc>
          <w:tcPr>
            <w:tcW w:w="7512" w:type="dxa"/>
          </w:tcPr>
          <w:p w14:paraId="5F188EA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деталей.</w:t>
            </w:r>
          </w:p>
        </w:tc>
      </w:tr>
      <w:tr w:rsidR="004E10C1" w:rsidRPr="0044524F" w14:paraId="00BB1D49" w14:textId="77777777">
        <w:tc>
          <w:tcPr>
            <w:tcW w:w="3369" w:type="dxa"/>
          </w:tcPr>
          <w:p w14:paraId="3D46F38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(Кричевского). Срок</w:t>
            </w:r>
          </w:p>
        </w:tc>
        <w:tc>
          <w:tcPr>
            <w:tcW w:w="7512" w:type="dxa"/>
          </w:tcPr>
          <w:p w14:paraId="65F846A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5778A6D" w14:textId="77777777">
        <w:tc>
          <w:tcPr>
            <w:tcW w:w="3369" w:type="dxa"/>
          </w:tcPr>
          <w:p w14:paraId="255F17D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выхода 1/X-33 г.</w:t>
            </w:r>
          </w:p>
        </w:tc>
        <w:tc>
          <w:tcPr>
            <w:tcW w:w="7512" w:type="dxa"/>
          </w:tcPr>
          <w:p w14:paraId="4C2368C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0957988" w14:textId="77777777">
        <w:tc>
          <w:tcPr>
            <w:tcW w:w="3369" w:type="dxa"/>
          </w:tcPr>
          <w:p w14:paraId="5606379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ВГ2</w:t>
            </w:r>
          </w:p>
        </w:tc>
        <w:tc>
          <w:tcPr>
            <w:tcW w:w="7512" w:type="dxa"/>
          </w:tcPr>
          <w:p w14:paraId="478F53F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Геликоптер заканчивается производством и является вторым экземпляром со специальным</w:t>
            </w:r>
          </w:p>
        </w:tc>
      </w:tr>
      <w:tr w:rsidR="004E10C1" w:rsidRPr="0044524F" w14:paraId="5D536EF8" w14:textId="77777777">
        <w:tc>
          <w:tcPr>
            <w:tcW w:w="3369" w:type="dxa"/>
          </w:tcPr>
          <w:p w14:paraId="61643C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15/VII-33 г.</w:t>
            </w:r>
          </w:p>
        </w:tc>
        <w:tc>
          <w:tcPr>
            <w:tcW w:w="7512" w:type="dxa"/>
          </w:tcPr>
          <w:p w14:paraId="5D7E9C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6-ти лопастным винтом. Срок начала исследований в натуру д. б. выдержан.</w:t>
            </w:r>
          </w:p>
        </w:tc>
      </w:tr>
      <w:tr w:rsidR="004E10C1" w:rsidRPr="0044524F" w14:paraId="6778CB9C" w14:textId="77777777">
        <w:tc>
          <w:tcPr>
            <w:tcW w:w="3369" w:type="dxa"/>
          </w:tcPr>
          <w:p w14:paraId="64D506E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 М22</w:t>
            </w:r>
          </w:p>
        </w:tc>
        <w:tc>
          <w:tcPr>
            <w:tcW w:w="7512" w:type="dxa"/>
          </w:tcPr>
          <w:p w14:paraId="5B76611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Разработка проекта заканчивается и идет частичная заготовка деталей. Срок 1/X должен</w:t>
            </w:r>
          </w:p>
        </w:tc>
      </w:tr>
      <w:tr w:rsidR="004E10C1" w:rsidRPr="0044524F" w14:paraId="1AA01215" w14:textId="77777777">
        <w:tc>
          <w:tcPr>
            <w:tcW w:w="3369" w:type="dxa"/>
          </w:tcPr>
          <w:p w14:paraId="2028085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1/X-33 г.</w:t>
            </w:r>
          </w:p>
        </w:tc>
        <w:tc>
          <w:tcPr>
            <w:tcW w:w="7512" w:type="dxa"/>
          </w:tcPr>
          <w:p w14:paraId="3AD50EA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быть выдержан.</w:t>
            </w:r>
          </w:p>
        </w:tc>
      </w:tr>
      <w:tr w:rsidR="004E10C1" w:rsidRPr="0044524F" w14:paraId="56BBE6C2" w14:textId="77777777">
        <w:tc>
          <w:tcPr>
            <w:tcW w:w="3369" w:type="dxa"/>
          </w:tcPr>
          <w:p w14:paraId="09E27B4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 М34</w:t>
            </w:r>
          </w:p>
        </w:tc>
        <w:tc>
          <w:tcPr>
            <w:tcW w:w="7512" w:type="dxa"/>
          </w:tcPr>
          <w:p w14:paraId="50A14AB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10/VI самолет отправлен на аэродром. 22/VI выпущен в пробный полет. В настоящее время</w:t>
            </w:r>
          </w:p>
        </w:tc>
      </w:tr>
      <w:tr w:rsidR="004E10C1" w:rsidRPr="0044524F" w14:paraId="5519F3C8" w14:textId="77777777">
        <w:tc>
          <w:tcPr>
            <w:tcW w:w="3369" w:type="dxa"/>
          </w:tcPr>
          <w:p w14:paraId="019074A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для рекорда</w:t>
            </w:r>
          </w:p>
        </w:tc>
        <w:tc>
          <w:tcPr>
            <w:tcW w:w="7512" w:type="dxa"/>
          </w:tcPr>
          <w:p w14:paraId="1DD6D0E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проведена первая половина программных испытаний. Самолет показал хорошие летные </w:t>
            </w:r>
          </w:p>
        </w:tc>
      </w:tr>
      <w:tr w:rsidR="004E10C1" w:rsidRPr="0044524F" w14:paraId="3ED9DF63" w14:textId="77777777">
        <w:tc>
          <w:tcPr>
            <w:tcW w:w="3369" w:type="dxa"/>
          </w:tcPr>
          <w:p w14:paraId="5FAA234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дальность, со</w:t>
            </w:r>
          </w:p>
        </w:tc>
        <w:tc>
          <w:tcPr>
            <w:tcW w:w="7512" w:type="dxa"/>
          </w:tcPr>
          <w:p w14:paraId="1D180DE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качества. Имеются неполадки с крыльевыми радиаторами (текут). Изготовлены новые из</w:t>
            </w:r>
          </w:p>
        </w:tc>
      </w:tr>
      <w:tr w:rsidR="004E10C1" w:rsidRPr="0044524F" w14:paraId="50B1832F" w14:textId="77777777">
        <w:tc>
          <w:tcPr>
            <w:tcW w:w="3369" w:type="dxa"/>
          </w:tcPr>
          <w:p w14:paraId="475BA09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специально</w:t>
            </w:r>
          </w:p>
        </w:tc>
        <w:tc>
          <w:tcPr>
            <w:tcW w:w="7512" w:type="dxa"/>
          </w:tcPr>
          <w:p w14:paraId="212CD9F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нержавеющ. стали и из утолщенной латуни. В двадцатых числах июля самолет с новыми</w:t>
            </w:r>
          </w:p>
        </w:tc>
      </w:tr>
      <w:tr w:rsidR="004E10C1" w:rsidRPr="0044524F" w14:paraId="61824373" w14:textId="77777777">
        <w:tc>
          <w:tcPr>
            <w:tcW w:w="3369" w:type="dxa"/>
          </w:tcPr>
          <w:p w14:paraId="4502885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установленными и</w:t>
            </w:r>
          </w:p>
        </w:tc>
        <w:tc>
          <w:tcPr>
            <w:tcW w:w="7512" w:type="dxa"/>
          </w:tcPr>
          <w:p w14:paraId="0D35BC3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радиаторами должен продолжать испытания.</w:t>
            </w:r>
          </w:p>
        </w:tc>
      </w:tr>
      <w:tr w:rsidR="004E10C1" w:rsidRPr="0044524F" w14:paraId="2903E71C" w14:textId="77777777">
        <w:tc>
          <w:tcPr>
            <w:tcW w:w="3369" w:type="dxa"/>
          </w:tcPr>
          <w:p w14:paraId="5D6278D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входящими в систему</w:t>
            </w:r>
          </w:p>
        </w:tc>
        <w:tc>
          <w:tcPr>
            <w:tcW w:w="7512" w:type="dxa"/>
          </w:tcPr>
          <w:p w14:paraId="25C245F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3BF2508" w14:textId="77777777">
        <w:tc>
          <w:tcPr>
            <w:tcW w:w="3369" w:type="dxa"/>
          </w:tcPr>
          <w:p w14:paraId="15C5DBB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 баками.</w:t>
            </w:r>
          </w:p>
        </w:tc>
        <w:tc>
          <w:tcPr>
            <w:tcW w:w="7512" w:type="dxa"/>
          </w:tcPr>
          <w:p w14:paraId="628BAED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CAAB4EA" w14:textId="77777777">
        <w:tc>
          <w:tcPr>
            <w:tcW w:w="3369" w:type="dxa"/>
          </w:tcPr>
          <w:p w14:paraId="76FC5CD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Дюралевый, с убирающимся</w:t>
            </w:r>
          </w:p>
        </w:tc>
        <w:tc>
          <w:tcPr>
            <w:tcW w:w="7512" w:type="dxa"/>
          </w:tcPr>
          <w:p w14:paraId="4A82F2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436371B" w14:textId="77777777">
        <w:tc>
          <w:tcPr>
            <w:tcW w:w="3369" w:type="dxa"/>
          </w:tcPr>
          <w:p w14:paraId="5BEB3F2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полете шасси, с</w:t>
            </w:r>
          </w:p>
        </w:tc>
        <w:tc>
          <w:tcPr>
            <w:tcW w:w="7512" w:type="dxa"/>
          </w:tcPr>
          <w:p w14:paraId="6AE3E78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91CB09A" w14:textId="77777777">
        <w:tc>
          <w:tcPr>
            <w:tcW w:w="3369" w:type="dxa"/>
          </w:tcPr>
          <w:p w14:paraId="6EECD37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большим удлинением</w:t>
            </w:r>
          </w:p>
        </w:tc>
        <w:tc>
          <w:tcPr>
            <w:tcW w:w="7512" w:type="dxa"/>
          </w:tcPr>
          <w:p w14:paraId="0E7928B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AC0778F" w14:textId="77777777">
        <w:tc>
          <w:tcPr>
            <w:tcW w:w="3369" w:type="dxa"/>
          </w:tcPr>
          <w:p w14:paraId="3CAFEAE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крыльев аэродинамически</w:t>
            </w:r>
          </w:p>
        </w:tc>
        <w:tc>
          <w:tcPr>
            <w:tcW w:w="7512" w:type="dxa"/>
          </w:tcPr>
          <w:p w14:paraId="43D3430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891A0B6" w14:textId="77777777">
        <w:tc>
          <w:tcPr>
            <w:tcW w:w="3369" w:type="dxa"/>
          </w:tcPr>
          <w:p w14:paraId="64B76C0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выгодную схему.</w:t>
            </w:r>
          </w:p>
        </w:tc>
        <w:tc>
          <w:tcPr>
            <w:tcW w:w="7512" w:type="dxa"/>
          </w:tcPr>
          <w:p w14:paraId="6BB7785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3723838" w14:textId="77777777">
        <w:tc>
          <w:tcPr>
            <w:tcW w:w="3369" w:type="dxa"/>
          </w:tcPr>
          <w:p w14:paraId="05CF5BF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перелета на</w:t>
            </w:r>
          </w:p>
        </w:tc>
        <w:tc>
          <w:tcPr>
            <w:tcW w:w="7512" w:type="dxa"/>
          </w:tcPr>
          <w:p w14:paraId="7F087B6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ABEAD32" w14:textId="77777777">
        <w:tc>
          <w:tcPr>
            <w:tcW w:w="3369" w:type="dxa"/>
          </w:tcPr>
          <w:p w14:paraId="4FE3791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1/X-33 г.</w:t>
            </w:r>
          </w:p>
        </w:tc>
        <w:tc>
          <w:tcPr>
            <w:tcW w:w="7512" w:type="dxa"/>
          </w:tcPr>
          <w:p w14:paraId="64AA0CE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D4D1AD1" w14:textId="77777777">
        <w:tc>
          <w:tcPr>
            <w:tcW w:w="3369" w:type="dxa"/>
          </w:tcPr>
          <w:p w14:paraId="300753D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Р5 - М17</w:t>
            </w:r>
          </w:p>
        </w:tc>
        <w:tc>
          <w:tcPr>
            <w:tcW w:w="7512" w:type="dxa"/>
          </w:tcPr>
          <w:p w14:paraId="242868E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Самолет был изготовлен в двух вариантах разрезных крыльев. И тот и другой прошли</w:t>
            </w:r>
          </w:p>
        </w:tc>
      </w:tr>
      <w:tr w:rsidR="004E10C1" w:rsidRPr="0044524F" w14:paraId="2D6E966D" w14:textId="77777777">
        <w:tc>
          <w:tcPr>
            <w:tcW w:w="3369" w:type="dxa"/>
          </w:tcPr>
          <w:p w14:paraId="520AA6E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разрезными крыльями,</w:t>
            </w:r>
          </w:p>
        </w:tc>
        <w:tc>
          <w:tcPr>
            <w:tcW w:w="7512" w:type="dxa"/>
          </w:tcPr>
          <w:p w14:paraId="7DB1EA1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заводские и государственные испытания, при чем второй вариант оказался более приемлемым</w:t>
            </w:r>
          </w:p>
        </w:tc>
      </w:tr>
      <w:tr w:rsidR="004E10C1" w:rsidRPr="0044524F" w14:paraId="0B463FF0" w14:textId="77777777">
        <w:tc>
          <w:tcPr>
            <w:tcW w:w="3369" w:type="dxa"/>
          </w:tcPr>
          <w:p w14:paraId="068DA93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являющ. обычным Р5, но</w:t>
            </w:r>
          </w:p>
        </w:tc>
        <w:tc>
          <w:tcPr>
            <w:tcW w:w="7512" w:type="dxa"/>
          </w:tcPr>
          <w:p w14:paraId="03A27A9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дал по сравнению с обычным самолетом улучшение управляемости на малых скоростях,</w:t>
            </w:r>
          </w:p>
        </w:tc>
      </w:tr>
      <w:tr w:rsidR="004E10C1" w:rsidRPr="0044524F" w14:paraId="75A522EE" w14:textId="77777777">
        <w:tc>
          <w:tcPr>
            <w:tcW w:w="3369" w:type="dxa"/>
          </w:tcPr>
          <w:p w14:paraId="210F936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переделанной коробкой</w:t>
            </w:r>
          </w:p>
        </w:tc>
        <w:tc>
          <w:tcPr>
            <w:tcW w:w="7512" w:type="dxa"/>
          </w:tcPr>
          <w:p w14:paraId="6D97DA7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меньшую посадочную скорость, уменьшение пробега, но одновременно потерял 12 км/час на</w:t>
            </w:r>
          </w:p>
        </w:tc>
      </w:tr>
      <w:tr w:rsidR="004E10C1" w:rsidRPr="0044524F" w14:paraId="7BA8C6D5" w14:textId="77777777">
        <w:tc>
          <w:tcPr>
            <w:tcW w:w="3369" w:type="dxa"/>
          </w:tcPr>
          <w:p w14:paraId="5B39EFA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крыльев и</w:t>
            </w:r>
          </w:p>
        </w:tc>
        <w:tc>
          <w:tcPr>
            <w:tcW w:w="7512" w:type="dxa"/>
          </w:tcPr>
          <w:p w14:paraId="58ACE3B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максимальной скорости. ВВС"ом дается заказ на изготовление 10 шт. самолетов для войсковой</w:t>
            </w:r>
          </w:p>
        </w:tc>
      </w:tr>
      <w:tr w:rsidR="004E10C1" w:rsidRPr="0044524F" w14:paraId="19D5A7D4" w14:textId="77777777">
        <w:tc>
          <w:tcPr>
            <w:tcW w:w="3369" w:type="dxa"/>
          </w:tcPr>
          <w:p w14:paraId="14E0D40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видоизмененным шасси.</w:t>
            </w:r>
          </w:p>
        </w:tc>
        <w:tc>
          <w:tcPr>
            <w:tcW w:w="7512" w:type="dxa"/>
          </w:tcPr>
          <w:p w14:paraId="1033447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серии.</w:t>
            </w:r>
          </w:p>
        </w:tc>
      </w:tr>
      <w:tr w:rsidR="004E10C1" w:rsidRPr="0044524F" w14:paraId="22A6503E" w14:textId="77777777">
        <w:tc>
          <w:tcPr>
            <w:tcW w:w="3369" w:type="dxa"/>
          </w:tcPr>
          <w:p w14:paraId="34941E6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не значащиеся в плане утвержденном комиссией РВС СССР.</w:t>
            </w:r>
          </w:p>
        </w:tc>
        <w:tc>
          <w:tcPr>
            <w:tcW w:w="7512" w:type="dxa"/>
          </w:tcPr>
          <w:p w14:paraId="315EF33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70B9304" w14:textId="77777777">
        <w:tc>
          <w:tcPr>
            <w:tcW w:w="3369" w:type="dxa"/>
          </w:tcPr>
          <w:p w14:paraId="61610F4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ТБ4 - 6М34</w:t>
            </w:r>
          </w:p>
        </w:tc>
        <w:tc>
          <w:tcPr>
            <w:tcW w:w="7512" w:type="dxa"/>
          </w:tcPr>
          <w:p w14:paraId="6393C57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Является усовершенствованным экземпляром опытного самолета. Готовность к настоящему</w:t>
            </w:r>
          </w:p>
        </w:tc>
      </w:tr>
      <w:tr w:rsidR="004E10C1" w:rsidRPr="0044524F" w14:paraId="1D485C6B" w14:textId="77777777">
        <w:tc>
          <w:tcPr>
            <w:tcW w:w="3369" w:type="dxa"/>
          </w:tcPr>
          <w:p w14:paraId="5213D50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Головной экземпл.</w:t>
            </w:r>
          </w:p>
        </w:tc>
        <w:tc>
          <w:tcPr>
            <w:tcW w:w="7512" w:type="dxa"/>
          </w:tcPr>
          <w:p w14:paraId="5DE109F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времени выражается в 55%, но в связи с увеличением площади, размаха и установкой 8-ми </w:t>
            </w:r>
          </w:p>
        </w:tc>
      </w:tr>
      <w:tr w:rsidR="004E10C1" w:rsidRPr="0044524F" w14:paraId="0C0FD511" w14:textId="77777777">
        <w:tc>
          <w:tcPr>
            <w:tcW w:w="3369" w:type="dxa"/>
          </w:tcPr>
          <w:p w14:paraId="7C0E28D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4642CF1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моторов и предстоящих переделок процент необходимо снизить.</w:t>
            </w:r>
          </w:p>
        </w:tc>
      </w:tr>
      <w:tr w:rsidR="004E10C1" w:rsidRPr="0044524F" w14:paraId="1FAECFF3" w14:textId="77777777">
        <w:tc>
          <w:tcPr>
            <w:tcW w:w="3369" w:type="dxa"/>
          </w:tcPr>
          <w:p w14:paraId="566D9EA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ТБ3 - 4М34Р</w:t>
            </w:r>
          </w:p>
        </w:tc>
        <w:tc>
          <w:tcPr>
            <w:tcW w:w="7512" w:type="dxa"/>
          </w:tcPr>
          <w:p w14:paraId="466B5B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связи с установкой мотора с редуктором и необходимыми усовершенствованиями возникают</w:t>
            </w:r>
          </w:p>
        </w:tc>
      </w:tr>
      <w:tr w:rsidR="004E10C1" w:rsidRPr="0044524F" w14:paraId="588D4523" w14:textId="77777777">
        <w:tc>
          <w:tcPr>
            <w:tcW w:w="3369" w:type="dxa"/>
          </w:tcPr>
          <w:p w14:paraId="106C616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мотора с</w:t>
            </w:r>
          </w:p>
        </w:tc>
        <w:tc>
          <w:tcPr>
            <w:tcW w:w="7512" w:type="dxa"/>
          </w:tcPr>
          <w:p w14:paraId="28E0F11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крупные переделки. Отсутствие мотора и готового самолета для переделок сильно тормозят </w:t>
            </w:r>
          </w:p>
        </w:tc>
      </w:tr>
      <w:tr w:rsidR="004E10C1" w:rsidRPr="0044524F" w14:paraId="49CC78E9" w14:textId="77777777">
        <w:tc>
          <w:tcPr>
            <w:tcW w:w="3369" w:type="dxa"/>
          </w:tcPr>
          <w:p w14:paraId="3EA2246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редуктором.</w:t>
            </w:r>
          </w:p>
        </w:tc>
        <w:tc>
          <w:tcPr>
            <w:tcW w:w="7512" w:type="dxa"/>
          </w:tcPr>
          <w:p w14:paraId="6D5AA72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дело.</w:t>
            </w:r>
          </w:p>
        </w:tc>
      </w:tr>
      <w:tr w:rsidR="004E10C1" w:rsidRPr="0044524F" w14:paraId="38F4ACEC" w14:textId="77777777">
        <w:tc>
          <w:tcPr>
            <w:tcW w:w="3369" w:type="dxa"/>
          </w:tcPr>
          <w:p w14:paraId="44475D6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МИ3 - 2М34</w:t>
            </w:r>
          </w:p>
        </w:tc>
        <w:tc>
          <w:tcPr>
            <w:tcW w:w="7512" w:type="dxa"/>
          </w:tcPr>
          <w:p w14:paraId="00D6512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Головной МИ3 являлся улучшенным экземпляром и готов в производстве на 60%.</w:t>
            </w:r>
          </w:p>
        </w:tc>
      </w:tr>
      <w:tr w:rsidR="004E10C1" w:rsidRPr="0044524F" w14:paraId="3A2292E5" w14:textId="77777777">
        <w:tc>
          <w:tcPr>
            <w:tcW w:w="3369" w:type="dxa"/>
          </w:tcPr>
          <w:p w14:paraId="1D9AAC7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Головной.</w:t>
            </w:r>
          </w:p>
        </w:tc>
        <w:tc>
          <w:tcPr>
            <w:tcW w:w="7512" w:type="dxa"/>
          </w:tcPr>
          <w:p w14:paraId="51D6D7D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Проектированием закончен на 99%. Но в связи с обнаруженными дефектами на опытном</w:t>
            </w:r>
          </w:p>
        </w:tc>
      </w:tr>
      <w:tr w:rsidR="004E10C1" w:rsidRPr="0044524F" w14:paraId="5A8C0B70" w14:textId="77777777">
        <w:tc>
          <w:tcPr>
            <w:tcW w:w="3369" w:type="dxa"/>
          </w:tcPr>
          <w:p w14:paraId="5B6A1B7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10AD11A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экземпляре работы приостановлены, впредь до выяснения результатов переделок в полете на</w:t>
            </w:r>
          </w:p>
        </w:tc>
      </w:tr>
      <w:tr w:rsidR="004E10C1" w:rsidRPr="0044524F" w14:paraId="20D9CE51" w14:textId="77777777">
        <w:tc>
          <w:tcPr>
            <w:tcW w:w="3369" w:type="dxa"/>
          </w:tcPr>
          <w:p w14:paraId="499FAF9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512" w:type="dxa"/>
          </w:tcPr>
          <w:p w14:paraId="0E20F16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опытном экземпляре.</w:t>
            </w:r>
          </w:p>
        </w:tc>
      </w:tr>
      <w:tr w:rsidR="004E10C1" w:rsidRPr="0044524F" w14:paraId="7C9EC565" w14:textId="77777777">
        <w:tc>
          <w:tcPr>
            <w:tcW w:w="3369" w:type="dxa"/>
          </w:tcPr>
          <w:p w14:paraId="5ECCC15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 - М34 головной.</w:t>
            </w:r>
          </w:p>
        </w:tc>
        <w:tc>
          <w:tcPr>
            <w:tcW w:w="7512" w:type="dxa"/>
          </w:tcPr>
          <w:p w14:paraId="7022A84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D70B80C" w14:textId="77777777">
        <w:tc>
          <w:tcPr>
            <w:tcW w:w="3369" w:type="dxa"/>
          </w:tcPr>
          <w:p w14:paraId="72079B9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ТШ3 - М34 головной.</w:t>
            </w:r>
          </w:p>
        </w:tc>
        <w:tc>
          <w:tcPr>
            <w:tcW w:w="7512" w:type="dxa"/>
          </w:tcPr>
          <w:p w14:paraId="28E9D3D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9C025E4" w14:textId="77777777">
        <w:tc>
          <w:tcPr>
            <w:tcW w:w="3369" w:type="dxa"/>
          </w:tcPr>
          <w:p w14:paraId="58516F2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 - И49</w:t>
            </w:r>
          </w:p>
        </w:tc>
        <w:tc>
          <w:tcPr>
            <w:tcW w:w="7512" w:type="dxa"/>
          </w:tcPr>
          <w:p w14:paraId="4721763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Эскизный проект разработан и идет постройка макета.</w:t>
            </w:r>
          </w:p>
        </w:tc>
      </w:tr>
      <w:tr w:rsidR="004E10C1" w:rsidRPr="0044524F" w14:paraId="5ADAB606" w14:textId="77777777">
        <w:tc>
          <w:tcPr>
            <w:tcW w:w="3369" w:type="dxa"/>
          </w:tcPr>
          <w:p w14:paraId="0B7A91D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Пассажирская 6-ти</w:t>
            </w:r>
          </w:p>
        </w:tc>
        <w:tc>
          <w:tcPr>
            <w:tcW w:w="7512" w:type="dxa"/>
          </w:tcPr>
          <w:p w14:paraId="7839C22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5D72707" w14:textId="77777777">
        <w:tc>
          <w:tcPr>
            <w:tcW w:w="3369" w:type="dxa"/>
          </w:tcPr>
          <w:p w14:paraId="1385EC4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местная машина.</w:t>
            </w:r>
          </w:p>
        </w:tc>
        <w:tc>
          <w:tcPr>
            <w:tcW w:w="7512" w:type="dxa"/>
          </w:tcPr>
          <w:p w14:paraId="13C55EE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7A1D3EF" w14:textId="77777777">
        <w:tc>
          <w:tcPr>
            <w:tcW w:w="3369" w:type="dxa"/>
          </w:tcPr>
          <w:p w14:paraId="7A01003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 - М11</w:t>
            </w:r>
          </w:p>
        </w:tc>
        <w:tc>
          <w:tcPr>
            <w:tcW w:w="7512" w:type="dxa"/>
          </w:tcPr>
          <w:p w14:paraId="13726BE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Идет разработка эскизного проекта и постройка макета.</w:t>
            </w:r>
          </w:p>
        </w:tc>
      </w:tr>
      <w:tr w:rsidR="004E10C1" w:rsidRPr="0044524F" w14:paraId="0B8B7B5D" w14:textId="77777777">
        <w:tc>
          <w:tcPr>
            <w:tcW w:w="3369" w:type="dxa"/>
          </w:tcPr>
          <w:p w14:paraId="064C43F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Маломощный самолет</w:t>
            </w:r>
          </w:p>
        </w:tc>
        <w:tc>
          <w:tcPr>
            <w:tcW w:w="7512" w:type="dxa"/>
          </w:tcPr>
          <w:p w14:paraId="36D7B01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86E9383" w14:textId="77777777">
        <w:tc>
          <w:tcPr>
            <w:tcW w:w="3369" w:type="dxa"/>
          </w:tcPr>
          <w:p w14:paraId="01084ED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связи, спорта туризма.</w:t>
            </w:r>
          </w:p>
        </w:tc>
        <w:tc>
          <w:tcPr>
            <w:tcW w:w="7512" w:type="dxa"/>
          </w:tcPr>
          <w:p w14:paraId="36C46BF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0B8949C" w14:textId="77777777">
        <w:tc>
          <w:tcPr>
            <w:tcW w:w="3369" w:type="dxa"/>
          </w:tcPr>
          <w:p w14:paraId="351DD10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ХАИ-1 - М22.</w:t>
            </w:r>
          </w:p>
        </w:tc>
        <w:tc>
          <w:tcPr>
            <w:tcW w:w="7512" w:type="dxa"/>
          </w:tcPr>
          <w:p w14:paraId="53E985A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Самолет в текущем полугодии прошел государств. испытания, показал очень хорошие летные</w:t>
            </w:r>
          </w:p>
        </w:tc>
      </w:tr>
      <w:tr w:rsidR="004E10C1" w:rsidRPr="0044524F" w14:paraId="3466BA8C" w14:textId="77777777">
        <w:tc>
          <w:tcPr>
            <w:tcW w:w="3369" w:type="dxa"/>
          </w:tcPr>
          <w:p w14:paraId="0429E8B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скоростной</w:t>
            </w:r>
          </w:p>
        </w:tc>
        <w:tc>
          <w:tcPr>
            <w:tcW w:w="7512" w:type="dxa"/>
          </w:tcPr>
          <w:p w14:paraId="56D13EE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качества и принят ко внедрению на зав. 21. ВВС"ом дано задание на постройку военного варианта</w:t>
            </w:r>
          </w:p>
        </w:tc>
      </w:tr>
      <w:tr w:rsidR="004E10C1" w:rsidRPr="0044524F" w14:paraId="02F0BA83" w14:textId="77777777">
        <w:tc>
          <w:tcPr>
            <w:tcW w:w="3369" w:type="dxa"/>
          </w:tcPr>
          <w:p w14:paraId="640F612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8-ми мест.</w:t>
            </w:r>
          </w:p>
        </w:tc>
        <w:tc>
          <w:tcPr>
            <w:tcW w:w="7512" w:type="dxa"/>
          </w:tcPr>
          <w:p w14:paraId="3D0EFC4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бомбардировщика. В настоящее время группа конструкторов Харьк. авиаинститута совместно с</w:t>
            </w:r>
          </w:p>
        </w:tc>
      </w:tr>
      <w:tr w:rsidR="004E10C1" w:rsidRPr="0044524F" w14:paraId="22243CA6" w14:textId="77777777">
        <w:tc>
          <w:tcPr>
            <w:tcW w:w="3369" w:type="dxa"/>
          </w:tcPr>
          <w:p w14:paraId="682FE61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деревян. конструкции,</w:t>
            </w:r>
          </w:p>
        </w:tc>
        <w:tc>
          <w:tcPr>
            <w:tcW w:w="7512" w:type="dxa"/>
          </w:tcPr>
          <w:p w14:paraId="109AEA8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21 разрабатывают рабочие чертежи, приспособления и пр. для внедрения самолета.</w:t>
            </w:r>
          </w:p>
        </w:tc>
      </w:tr>
      <w:tr w:rsidR="004E10C1" w:rsidRPr="0044524F" w14:paraId="25462436" w14:textId="77777777">
        <w:tc>
          <w:tcPr>
            <w:tcW w:w="3369" w:type="dxa"/>
          </w:tcPr>
          <w:p w14:paraId="63376C9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типа монокок, с</w:t>
            </w:r>
          </w:p>
        </w:tc>
        <w:tc>
          <w:tcPr>
            <w:tcW w:w="7512" w:type="dxa"/>
          </w:tcPr>
          <w:p w14:paraId="604DD73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035322A" w14:textId="77777777">
        <w:tc>
          <w:tcPr>
            <w:tcW w:w="3369" w:type="dxa"/>
          </w:tcPr>
          <w:p w14:paraId="0EE7ED2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убирающимся в полете</w:t>
            </w:r>
          </w:p>
        </w:tc>
        <w:tc>
          <w:tcPr>
            <w:tcW w:w="7512" w:type="dxa"/>
          </w:tcPr>
          <w:p w14:paraId="7282D51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58AAA86" w14:textId="77777777">
        <w:tc>
          <w:tcPr>
            <w:tcW w:w="3369" w:type="dxa"/>
          </w:tcPr>
          <w:p w14:paraId="33D23D4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Скорость у</w:t>
            </w:r>
          </w:p>
        </w:tc>
        <w:tc>
          <w:tcPr>
            <w:tcW w:w="7512" w:type="dxa"/>
          </w:tcPr>
          <w:p w14:paraId="2385228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611577E" w14:textId="77777777">
        <w:tc>
          <w:tcPr>
            <w:tcW w:w="3369" w:type="dxa"/>
          </w:tcPr>
          <w:p w14:paraId="73BCBED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земли 292 км/час.</w:t>
            </w:r>
          </w:p>
        </w:tc>
        <w:tc>
          <w:tcPr>
            <w:tcW w:w="7512" w:type="dxa"/>
          </w:tcPr>
          <w:p w14:paraId="2AF1B74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BAB4777" w14:textId="77777777">
        <w:tc>
          <w:tcPr>
            <w:tcW w:w="3369" w:type="dxa"/>
          </w:tcPr>
          <w:p w14:paraId="32564C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7200 м.</w:t>
            </w:r>
          </w:p>
        </w:tc>
        <w:tc>
          <w:tcPr>
            <w:tcW w:w="7512" w:type="dxa"/>
          </w:tcPr>
          <w:p w14:paraId="33CD07A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E47339D" w14:textId="77777777">
        <w:tc>
          <w:tcPr>
            <w:tcW w:w="3369" w:type="dxa"/>
          </w:tcPr>
          <w:p w14:paraId="54E18A1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Р6-2М17</w:t>
            </w:r>
          </w:p>
        </w:tc>
        <w:tc>
          <w:tcPr>
            <w:tcW w:w="7512" w:type="dxa"/>
          </w:tcPr>
          <w:p w14:paraId="6B7BFA8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Самолет спроектирован, построен и в настоящее время проходит заводские испытания.</w:t>
            </w:r>
          </w:p>
        </w:tc>
      </w:tr>
      <w:tr w:rsidR="004E10C1" w:rsidRPr="0044524F" w14:paraId="05BD878B" w14:textId="77777777">
        <w:tc>
          <w:tcPr>
            <w:tcW w:w="3369" w:type="dxa"/>
          </w:tcPr>
          <w:p w14:paraId="5C93B96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Модификация под 6-ти</w:t>
            </w:r>
          </w:p>
        </w:tc>
        <w:tc>
          <w:tcPr>
            <w:tcW w:w="7512" w:type="dxa"/>
          </w:tcPr>
          <w:p w14:paraId="2A3D1E3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Первые полеты дают очень хорошие показатели.</w:t>
            </w:r>
          </w:p>
        </w:tc>
      </w:tr>
      <w:tr w:rsidR="004E10C1" w:rsidRPr="0044524F" w14:paraId="53281563" w14:textId="77777777">
        <w:tc>
          <w:tcPr>
            <w:tcW w:w="3369" w:type="dxa"/>
          </w:tcPr>
          <w:p w14:paraId="5305854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местный пассажирский.</w:t>
            </w:r>
          </w:p>
        </w:tc>
        <w:tc>
          <w:tcPr>
            <w:tcW w:w="7512" w:type="dxa"/>
          </w:tcPr>
          <w:p w14:paraId="15D623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E980DA6" w14:textId="77777777">
        <w:tc>
          <w:tcPr>
            <w:tcW w:w="3369" w:type="dxa"/>
          </w:tcPr>
          <w:p w14:paraId="43C94D5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МГ-8М34</w:t>
            </w:r>
          </w:p>
        </w:tc>
        <w:tc>
          <w:tcPr>
            <w:tcW w:w="7512" w:type="dxa"/>
          </w:tcPr>
          <w:p w14:paraId="1CA9867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Самолет находится в постройке. Общая техническая готовность в производство около 10%.</w:t>
            </w:r>
          </w:p>
        </w:tc>
      </w:tr>
      <w:tr w:rsidR="004E10C1" w:rsidRPr="0044524F" w14:paraId="2DB70605" w14:textId="77777777">
        <w:tc>
          <w:tcPr>
            <w:tcW w:w="3369" w:type="dxa"/>
          </w:tcPr>
          <w:p w14:paraId="1A50564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самолет "Максим</w:t>
            </w:r>
          </w:p>
        </w:tc>
        <w:tc>
          <w:tcPr>
            <w:tcW w:w="7512" w:type="dxa"/>
          </w:tcPr>
          <w:p w14:paraId="170B75E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Проектирование закончено на 50%. Большое количество деталей заготовлено, некоторые уже </w:t>
            </w:r>
          </w:p>
        </w:tc>
      </w:tr>
      <w:tr w:rsidR="004E10C1" w:rsidRPr="0044524F" w14:paraId="14C11B48" w14:textId="77777777">
        <w:tc>
          <w:tcPr>
            <w:tcW w:w="3369" w:type="dxa"/>
          </w:tcPr>
          <w:p w14:paraId="616EC54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Горький".</w:t>
            </w:r>
          </w:p>
        </w:tc>
        <w:tc>
          <w:tcPr>
            <w:tcW w:w="7512" w:type="dxa"/>
          </w:tcPr>
          <w:p w14:paraId="71924DD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закончены и некоторые части в сборке. Нужны моторы с редукторами и к ним специальные </w:t>
            </w:r>
          </w:p>
        </w:tc>
      </w:tr>
      <w:tr w:rsidR="004E10C1" w:rsidRPr="0044524F" w14:paraId="2938386C" w14:textId="77777777">
        <w:tc>
          <w:tcPr>
            <w:tcW w:w="3369" w:type="dxa"/>
          </w:tcPr>
          <w:p w14:paraId="4F405B7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модифицированный,</w:t>
            </w:r>
          </w:p>
        </w:tc>
        <w:tc>
          <w:tcPr>
            <w:tcW w:w="7512" w:type="dxa"/>
          </w:tcPr>
          <w:p w14:paraId="7301DAE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металлические винты.</w:t>
            </w:r>
          </w:p>
        </w:tc>
      </w:tr>
      <w:tr w:rsidR="004E10C1" w:rsidRPr="0044524F" w14:paraId="19A40880" w14:textId="77777777">
        <w:tc>
          <w:tcPr>
            <w:tcW w:w="3369" w:type="dxa"/>
          </w:tcPr>
          <w:p w14:paraId="6CD952F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улучшенный и специально</w:t>
            </w:r>
          </w:p>
        </w:tc>
        <w:tc>
          <w:tcPr>
            <w:tcW w:w="7512" w:type="dxa"/>
          </w:tcPr>
          <w:p w14:paraId="68517FE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F4E4596" w14:textId="77777777">
        <w:tc>
          <w:tcPr>
            <w:tcW w:w="3369" w:type="dxa"/>
          </w:tcPr>
          <w:p w14:paraId="44E6D29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предназначенный для</w:t>
            </w:r>
          </w:p>
        </w:tc>
        <w:tc>
          <w:tcPr>
            <w:tcW w:w="7512" w:type="dxa"/>
          </w:tcPr>
          <w:p w14:paraId="6629DE9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B37778F" w14:textId="77777777">
        <w:tc>
          <w:tcPr>
            <w:tcW w:w="3369" w:type="dxa"/>
          </w:tcPr>
          <w:p w14:paraId="28D084C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пропаганды с добавлением</w:t>
            </w:r>
          </w:p>
        </w:tc>
        <w:tc>
          <w:tcPr>
            <w:tcW w:w="7512" w:type="dxa"/>
          </w:tcPr>
          <w:p w14:paraId="6283894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3E3ACA3" w14:textId="77777777">
        <w:tc>
          <w:tcPr>
            <w:tcW w:w="3369" w:type="dxa"/>
          </w:tcPr>
          <w:p w14:paraId="49F29D5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2-х моторов к самолету</w:t>
            </w:r>
          </w:p>
        </w:tc>
        <w:tc>
          <w:tcPr>
            <w:tcW w:w="7512" w:type="dxa"/>
          </w:tcPr>
          <w:p w14:paraId="7B89E35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E439E22" w14:textId="77777777">
        <w:tc>
          <w:tcPr>
            <w:tcW w:w="3369" w:type="dxa"/>
          </w:tcPr>
          <w:p w14:paraId="0062EB3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 Пуск машины</w:t>
            </w:r>
          </w:p>
        </w:tc>
        <w:tc>
          <w:tcPr>
            <w:tcW w:w="7512" w:type="dxa"/>
          </w:tcPr>
          <w:p w14:paraId="6DE67C8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3192932" w14:textId="77777777">
        <w:tc>
          <w:tcPr>
            <w:tcW w:w="3369" w:type="dxa"/>
          </w:tcPr>
          <w:p w14:paraId="43165F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V/-34 г. (2310,143)</w:t>
            </w:r>
          </w:p>
        </w:tc>
        <w:tc>
          <w:tcPr>
            <w:tcW w:w="7512" w:type="dxa"/>
          </w:tcPr>
          <w:p w14:paraId="4C67544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674E313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указанных работ по самолетам проведены большие работы по тормозным колесам, металлическим винтам, вооружению и оборудованию самолетов.</w:t>
      </w:r>
    </w:p>
    <w:p w14:paraId="3DC3D55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тормозным колесам.</w:t>
      </w:r>
    </w:p>
    <w:p w14:paraId="1CDC3ED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Сконструированы все размеры тормозных колес, из которых 900х200 и....х300 прошли гос. испытания на самолетах Р5 и ТБ3. Колеса, тормоза и управление ими признаны удовлетворительными и пригодными для принятия в серийное производство.</w:t>
      </w:r>
    </w:p>
    <w:p w14:paraId="486304C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Размер 700х100 изготовлен, прошел с хорошими результатами стат. испыт., поставлен на самолет И-14 и проходит заводские испытания.</w:t>
      </w:r>
    </w:p>
    <w:p w14:paraId="19BB6E9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Размер 600х75 подготовлен к стат. испытаниям.</w:t>
      </w:r>
    </w:p>
    <w:p w14:paraId="468E229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Размер 800х150 - находится в сборке.</w:t>
      </w:r>
    </w:p>
    <w:p w14:paraId="55D2F51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Размер 1100х250 - находится в сборке.</w:t>
      </w:r>
    </w:p>
    <w:p w14:paraId="1911709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Размер 750х125 - находится в сборке.</w:t>
      </w:r>
    </w:p>
    <w:p w14:paraId="4D180BC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этого сконструированы и построены колеса с внутренней.... размером 700х100, хорошо прошедшие статистические испытания. Сейчас производятся колеса для установки на самолет. Такие же колеса..... для ТШ размером 900х200</w:t>
      </w:r>
    </w:p>
    <w:p w14:paraId="2E894F8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этого проведены большие изыскательные и экспериментальные работы по различным типам управления (гидравлическим, пневматическим, смешанным масляно-пневматич. механическим), а также по тормозам (различное..... колодок, наивыгоднейшая установка, подбор тормозящего слоя - фибра,.... и пр.).</w:t>
      </w:r>
    </w:p>
    <w:p w14:paraId="64BCAD4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Проведены большие работы по лыжам в смысле получения лыж с меньшими.... Достигнуты удовлетворительные результаты - лыжи для истребителей и разведчиков удалось облегчить на 8-14 кг при повышенной по сравнению со старыми, прочностью.</w:t>
      </w:r>
    </w:p>
    <w:p w14:paraId="355088A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металлическим винтам.</w:t>
      </w:r>
    </w:p>
    <w:p w14:paraId="6D98802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 установлено на сам. И5 с металлическими винтом, что несмотря на увеличение веса самого винта, летные данные самолета с металлическим винтом значительно улучшаются. Это же подтверждено и в 1933 г. на самолете ХАИ-1.</w:t>
      </w:r>
    </w:p>
    <w:p w14:paraId="0E787B0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Реально необходимыми винтами являются винты к моторам с редуктором, - поэтому все усилия были направлены к тому, чтобы спроектировать и освоить изготовление винтов с большим диаметром (4,5 - 5 м), что является большой трудностью, как в смысле получения однородных больших поковок, штампов, так и в смысле обработки их, ибо требуются специальные станки с большим расстоянием между центрами.</w:t>
      </w:r>
    </w:p>
    <w:p w14:paraId="3F14C44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настоящему времени с проектированием больших винтов решение найдено и чертежи для изготовления поступят в августе месяце. Способы изготовления проработаны зав. N 28, кот. обеспечивается сейчас минимально необходимыми станками с тем, чтобы к концу 33 г. обеспечить выпуск металлических винтов на выходящие опытные машины.</w:t>
      </w:r>
    </w:p>
    <w:p w14:paraId="1ABB115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вооружению.</w:t>
      </w:r>
    </w:p>
    <w:p w14:paraId="1594206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вооружению пушками проведены крупные работы по экспериментальным установкам на самолетах И4, и ТБ3. На И4 после больших усилий и исправлений самолета удалось достигнуть вполне удовлетворительных результатов.</w:t>
      </w:r>
    </w:p>
    <w:p w14:paraId="6EAAD57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 же результаты достигнуты на самолете. Орудия отложены, произв. стрельбы и самолеты доведены до нужного состояния. Эти опыты с совершенной очевидностью показали, что под вооружение пушками приходится вести специальную конструкцию установок и специфическое приспособление самолетов. Задержками в этих работах служили постоянные неполадки с материальной частью артиллерийского имущества (пушки, снаряды, магазины и пр.).</w:t>
      </w:r>
    </w:p>
    <w:p w14:paraId="2ACB56B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самолете ТБ3, подготовленном как летающая лаборатория вооружения проведены крупные работы по установке пушек на турелях, но летные испытания еще не закончены (2310,143).</w:t>
      </w:r>
    </w:p>
    <w:p w14:paraId="55C9D43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 работы по электрооборудованию самолетов.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627"/>
      </w:tblGrid>
      <w:tr w:rsidR="004E10C1" w:rsidRPr="0044524F" w14:paraId="5B8FA4B3" w14:textId="77777777">
        <w:tc>
          <w:tcPr>
            <w:tcW w:w="2254" w:type="dxa"/>
          </w:tcPr>
          <w:p w14:paraId="3ADFFF6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Центральные</w:t>
            </w:r>
          </w:p>
        </w:tc>
        <w:tc>
          <w:tcPr>
            <w:tcW w:w="8627" w:type="dxa"/>
          </w:tcPr>
          <w:p w14:paraId="3E54F03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Ц.Э.С. состоит из 3-х основных элементов:</w:t>
            </w:r>
          </w:p>
        </w:tc>
      </w:tr>
      <w:tr w:rsidR="004E10C1" w:rsidRPr="0044524F" w14:paraId="563AA947" w14:textId="77777777">
        <w:tc>
          <w:tcPr>
            <w:tcW w:w="2254" w:type="dxa"/>
          </w:tcPr>
          <w:p w14:paraId="30AE4E8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электростанции</w:t>
            </w:r>
          </w:p>
        </w:tc>
        <w:tc>
          <w:tcPr>
            <w:tcW w:w="8627" w:type="dxa"/>
          </w:tcPr>
          <w:p w14:paraId="2A067EC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динамо ДС - 2600</w:t>
            </w:r>
          </w:p>
        </w:tc>
      </w:tr>
      <w:tr w:rsidR="004E10C1" w:rsidRPr="0044524F" w14:paraId="53E89B80" w14:textId="77777777">
        <w:tc>
          <w:tcPr>
            <w:tcW w:w="2254" w:type="dxa"/>
          </w:tcPr>
          <w:p w14:paraId="237CF4D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самолетах</w:t>
            </w:r>
          </w:p>
        </w:tc>
        <w:tc>
          <w:tcPr>
            <w:tcW w:w="8627" w:type="dxa"/>
          </w:tcPr>
          <w:p w14:paraId="0BC9B31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двигателя внутреннего сгорания</w:t>
            </w:r>
          </w:p>
        </w:tc>
      </w:tr>
      <w:tr w:rsidR="004E10C1" w:rsidRPr="0044524F" w14:paraId="53963F3F" w14:textId="77777777">
        <w:tc>
          <w:tcPr>
            <w:tcW w:w="2254" w:type="dxa"/>
          </w:tcPr>
          <w:p w14:paraId="1DA25A0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П.Э.С.</w:t>
            </w:r>
          </w:p>
        </w:tc>
        <w:tc>
          <w:tcPr>
            <w:tcW w:w="8627" w:type="dxa"/>
          </w:tcPr>
          <w:p w14:paraId="7864F19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аккумуляторной батареи.</w:t>
            </w:r>
          </w:p>
        </w:tc>
      </w:tr>
      <w:tr w:rsidR="004E10C1" w:rsidRPr="0044524F" w14:paraId="15948713" w14:textId="77777777">
        <w:tc>
          <w:tcPr>
            <w:tcW w:w="2254" w:type="dxa"/>
          </w:tcPr>
          <w:p w14:paraId="46052FA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002C6E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ЦАГИ - ведутся подготовительные работы под руководством инж. Наумова, в настоящее время - последний </w:t>
            </w:r>
          </w:p>
        </w:tc>
      </w:tr>
      <w:tr w:rsidR="004E10C1" w:rsidRPr="0044524F" w14:paraId="268AADD8" w14:textId="77777777">
        <w:tc>
          <w:tcPr>
            <w:tcW w:w="2254" w:type="dxa"/>
          </w:tcPr>
          <w:p w14:paraId="7E0E958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08A592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в Ленинграде, где выясняет вопрос с изготовлением двигателя внутреннего сгорания.</w:t>
            </w:r>
          </w:p>
        </w:tc>
      </w:tr>
      <w:tr w:rsidR="004E10C1" w:rsidRPr="0044524F" w14:paraId="3E471D59" w14:textId="77777777">
        <w:tc>
          <w:tcPr>
            <w:tcW w:w="2254" w:type="dxa"/>
          </w:tcPr>
          <w:p w14:paraId="313C034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6574D8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Динами ДС - 2600 - изготовляется электрозаводом им. Лепсе - первый экземпляр готов и проходит испытания.</w:t>
            </w:r>
          </w:p>
        </w:tc>
      </w:tr>
      <w:tr w:rsidR="004E10C1" w:rsidRPr="0044524F" w14:paraId="7EAD1FA2" w14:textId="77777777">
        <w:tc>
          <w:tcPr>
            <w:tcW w:w="2254" w:type="dxa"/>
          </w:tcPr>
          <w:p w14:paraId="493DB43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F37E73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Аккумуляторы типа 24 IV - 24 ампера изготовляются Саратовским аккумуляторным заводом.</w:t>
            </w:r>
          </w:p>
        </w:tc>
      </w:tr>
      <w:tr w:rsidR="004E10C1" w:rsidRPr="0044524F" w14:paraId="5D0D32A7" w14:textId="77777777">
        <w:tc>
          <w:tcPr>
            <w:tcW w:w="2254" w:type="dxa"/>
          </w:tcPr>
          <w:p w14:paraId="52A38C1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741A96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Вторую работу по Ц.Э.С. - ведет Х.А.З. для самолета К-7 (изготовляются 2 комплекта). Вся станция</w:t>
            </w:r>
          </w:p>
        </w:tc>
      </w:tr>
      <w:tr w:rsidR="004E10C1" w:rsidRPr="0044524F" w14:paraId="0BB3C92E" w14:textId="77777777">
        <w:tc>
          <w:tcPr>
            <w:tcW w:w="2254" w:type="dxa"/>
          </w:tcPr>
          <w:p w14:paraId="5E5D272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6B2FD7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монтируется из тех же элементов - причем двигатель изготовляет сам Х.А.З.О.С. Монтаж Ц.Э.С. и установку</w:t>
            </w:r>
          </w:p>
        </w:tc>
      </w:tr>
      <w:tr w:rsidR="004E10C1" w:rsidRPr="0044524F" w14:paraId="3C29FD9E" w14:textId="77777777">
        <w:tc>
          <w:tcPr>
            <w:tcW w:w="2254" w:type="dxa"/>
          </w:tcPr>
          <w:p w14:paraId="0B39AD9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EC58FC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ее на самолет К-7 - будет делать также ХАЗ.</w:t>
            </w:r>
          </w:p>
        </w:tc>
      </w:tr>
      <w:tr w:rsidR="004E10C1" w:rsidRPr="0044524F" w14:paraId="073CF6F5" w14:textId="77777777">
        <w:tc>
          <w:tcPr>
            <w:tcW w:w="2254" w:type="dxa"/>
          </w:tcPr>
          <w:p w14:paraId="31F369F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23430B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с заказом ЦЭС заграницей - пока решен отрицательно; предполагалось заказать 5 станций у фирмы</w:t>
            </w:r>
          </w:p>
        </w:tc>
      </w:tr>
      <w:tr w:rsidR="004E10C1" w:rsidRPr="0044524F" w14:paraId="670FB556" w14:textId="77777777">
        <w:tc>
          <w:tcPr>
            <w:tcW w:w="2254" w:type="dxa"/>
          </w:tcPr>
          <w:p w14:paraId="48DAC3C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B94D08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Сименс - последняя запросила за одну станцию 7000 рублей, что потребовало бы затраты 35000 зол. рублей</w:t>
            </w:r>
          </w:p>
        </w:tc>
      </w:tr>
      <w:tr w:rsidR="004E10C1" w:rsidRPr="0044524F" w14:paraId="28916BC6" w14:textId="77777777">
        <w:tc>
          <w:tcPr>
            <w:tcW w:w="2254" w:type="dxa"/>
          </w:tcPr>
          <w:p w14:paraId="60AC813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4E677D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плюс 4000 накладных расходов.</w:t>
            </w:r>
          </w:p>
        </w:tc>
      </w:tr>
      <w:tr w:rsidR="004E10C1" w:rsidRPr="0044524F" w14:paraId="71B11497" w14:textId="77777777">
        <w:tc>
          <w:tcPr>
            <w:tcW w:w="2254" w:type="dxa"/>
          </w:tcPr>
          <w:p w14:paraId="6DE0428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Модифицированное</w:t>
            </w:r>
          </w:p>
        </w:tc>
        <w:tc>
          <w:tcPr>
            <w:tcW w:w="8627" w:type="dxa"/>
          </w:tcPr>
          <w:p w14:paraId="4F65065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установка сделана на самолете ТБ-4, путем установки динамо стартерного типа</w:t>
            </w:r>
          </w:p>
        </w:tc>
      </w:tr>
      <w:tr w:rsidR="004E10C1" w:rsidRPr="0044524F" w14:paraId="27BECB58" w14:textId="77777777">
        <w:tc>
          <w:tcPr>
            <w:tcW w:w="2254" w:type="dxa"/>
          </w:tcPr>
          <w:p w14:paraId="316FCEA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изменение угла</w:t>
            </w:r>
          </w:p>
        </w:tc>
        <w:tc>
          <w:tcPr>
            <w:tcW w:w="8627" w:type="dxa"/>
          </w:tcPr>
          <w:p w14:paraId="2957C8C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киловатт). Мощность 3 НР.</w:t>
            </w:r>
          </w:p>
        </w:tc>
      </w:tr>
      <w:tr w:rsidR="004E10C1" w:rsidRPr="0044524F" w14:paraId="3DEBE2DE" w14:textId="77777777">
        <w:tc>
          <w:tcPr>
            <w:tcW w:w="2254" w:type="dxa"/>
          </w:tcPr>
          <w:p w14:paraId="5D8BC04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атаки у</w:t>
            </w:r>
          </w:p>
        </w:tc>
        <w:tc>
          <w:tcPr>
            <w:tcW w:w="8627" w:type="dxa"/>
          </w:tcPr>
          <w:p w14:paraId="555BCD9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Изменение угла атаки происходит вполне удовлетворительно, но Конструкторским отделом</w:t>
            </w:r>
          </w:p>
        </w:tc>
      </w:tr>
      <w:tr w:rsidR="004E10C1" w:rsidRPr="0044524F" w14:paraId="6D65154E" w14:textId="77777777">
        <w:tc>
          <w:tcPr>
            <w:tcW w:w="2254" w:type="dxa"/>
          </w:tcPr>
          <w:p w14:paraId="1D6B288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стабилизатора</w:t>
            </w:r>
          </w:p>
        </w:tc>
        <w:tc>
          <w:tcPr>
            <w:tcW w:w="8627" w:type="dxa"/>
          </w:tcPr>
          <w:p w14:paraId="32FEA0A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ведется перерасчет и будут введены дополнительные улучшения в кинематику.</w:t>
            </w:r>
          </w:p>
        </w:tc>
      </w:tr>
      <w:tr w:rsidR="004E10C1" w:rsidRPr="0044524F" w14:paraId="3BFE4187" w14:textId="77777777">
        <w:tc>
          <w:tcPr>
            <w:tcW w:w="2254" w:type="dxa"/>
          </w:tcPr>
          <w:p w14:paraId="59EF42D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 ТБ4</w:t>
            </w:r>
          </w:p>
        </w:tc>
        <w:tc>
          <w:tcPr>
            <w:tcW w:w="8627" w:type="dxa"/>
          </w:tcPr>
          <w:p w14:paraId="4AE4863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Предположено выиграть в мощности, а также и в весе динамо.</w:t>
            </w:r>
          </w:p>
        </w:tc>
      </w:tr>
      <w:tr w:rsidR="004E10C1" w:rsidRPr="0044524F" w14:paraId="6DED6777" w14:textId="77777777">
        <w:tc>
          <w:tcPr>
            <w:tcW w:w="2254" w:type="dxa"/>
          </w:tcPr>
          <w:p w14:paraId="2424A57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Электротахометры</w:t>
            </w:r>
          </w:p>
        </w:tc>
        <w:tc>
          <w:tcPr>
            <w:tcW w:w="8627" w:type="dxa"/>
          </w:tcPr>
          <w:p w14:paraId="2CEBD23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Тахометр состоит из 3-х основных элементов динамо, гибкого вала и показателя.</w:t>
            </w:r>
          </w:p>
        </w:tc>
      </w:tr>
      <w:tr w:rsidR="004E10C1" w:rsidRPr="0044524F" w14:paraId="1D48F881" w14:textId="77777777">
        <w:tc>
          <w:tcPr>
            <w:tcW w:w="2254" w:type="dxa"/>
          </w:tcPr>
          <w:p w14:paraId="47A7435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6CFCF1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НИИ УВВС в июле с. г. проведены испытания динамо изготовленных Ярославским</w:t>
            </w:r>
          </w:p>
        </w:tc>
      </w:tr>
      <w:tr w:rsidR="004E10C1" w:rsidRPr="0044524F" w14:paraId="7258D3A2" w14:textId="77777777">
        <w:tc>
          <w:tcPr>
            <w:tcW w:w="2254" w:type="dxa"/>
          </w:tcPr>
          <w:p w14:paraId="1372419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14BC1D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электрозаводом.</w:t>
            </w:r>
          </w:p>
        </w:tc>
      </w:tr>
      <w:tr w:rsidR="004E10C1" w:rsidRPr="0044524F" w14:paraId="5141D402" w14:textId="77777777">
        <w:tc>
          <w:tcPr>
            <w:tcW w:w="2254" w:type="dxa"/>
          </w:tcPr>
          <w:p w14:paraId="54BBEF5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48D93E8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Показатели изготовлены заводом "Электроприбор" - Ленинград.</w:t>
            </w:r>
          </w:p>
        </w:tc>
      </w:tr>
      <w:tr w:rsidR="004E10C1" w:rsidRPr="0044524F" w14:paraId="7C78115F" w14:textId="77777777">
        <w:tc>
          <w:tcPr>
            <w:tcW w:w="2254" w:type="dxa"/>
          </w:tcPr>
          <w:p w14:paraId="656F255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3F7976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Оба агрегата при испытании в НИИ показали хорошую работу.</w:t>
            </w:r>
          </w:p>
        </w:tc>
      </w:tr>
      <w:tr w:rsidR="004E10C1" w:rsidRPr="0044524F" w14:paraId="4A69D78E" w14:textId="77777777">
        <w:tc>
          <w:tcPr>
            <w:tcW w:w="2254" w:type="dxa"/>
          </w:tcPr>
          <w:p w14:paraId="253F6A5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CDE623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Гибкий вал, изготовленный на заводе Батищева в Туле, внешне вполне удовлетворяет </w:t>
            </w:r>
          </w:p>
        </w:tc>
      </w:tr>
      <w:tr w:rsidR="004E10C1" w:rsidRPr="0044524F" w14:paraId="05E8260C" w14:textId="77777777">
        <w:tc>
          <w:tcPr>
            <w:tcW w:w="2254" w:type="dxa"/>
          </w:tcPr>
          <w:p w14:paraId="597F2FB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F55494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техническим требованиям. В настоящее время НИИ приступило к испытаниям всего собранного</w:t>
            </w:r>
          </w:p>
        </w:tc>
      </w:tr>
      <w:tr w:rsidR="004E10C1" w:rsidRPr="0044524F" w14:paraId="41FAEDB6" w14:textId="77777777">
        <w:tc>
          <w:tcPr>
            <w:tcW w:w="2254" w:type="dxa"/>
          </w:tcPr>
          <w:p w14:paraId="36084F5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7D859D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комплекта с установкой на самолете.</w:t>
            </w:r>
          </w:p>
        </w:tc>
      </w:tr>
      <w:tr w:rsidR="004E10C1" w:rsidRPr="0044524F" w14:paraId="4FECD024" w14:textId="77777777">
        <w:tc>
          <w:tcPr>
            <w:tcW w:w="2254" w:type="dxa"/>
          </w:tcPr>
          <w:p w14:paraId="527E34E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4EC0A7A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Динамо и показатели, с согласия НИИ, пущены в первые опытные серии.</w:t>
            </w:r>
          </w:p>
        </w:tc>
      </w:tr>
      <w:tr w:rsidR="004E10C1" w:rsidRPr="0044524F" w14:paraId="13FE7EE0" w14:textId="77777777">
        <w:tc>
          <w:tcPr>
            <w:tcW w:w="2254" w:type="dxa"/>
          </w:tcPr>
          <w:p w14:paraId="4AF9D57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Электрифицированное вооружение</w:t>
            </w:r>
          </w:p>
        </w:tc>
        <w:tc>
          <w:tcPr>
            <w:tcW w:w="8627" w:type="dxa"/>
          </w:tcPr>
          <w:p w14:paraId="6D7DF3C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40FD56D" w14:textId="77777777">
        <w:tc>
          <w:tcPr>
            <w:tcW w:w="2254" w:type="dxa"/>
          </w:tcPr>
          <w:p w14:paraId="25561F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(стрелковое)</w:t>
            </w:r>
          </w:p>
        </w:tc>
        <w:tc>
          <w:tcPr>
            <w:tcW w:w="8627" w:type="dxa"/>
          </w:tcPr>
          <w:p w14:paraId="740FFAA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647B084" w14:textId="77777777">
        <w:tc>
          <w:tcPr>
            <w:tcW w:w="2254" w:type="dxa"/>
          </w:tcPr>
          <w:p w14:paraId="0E7B7AB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Электрифицированная</w:t>
            </w:r>
          </w:p>
        </w:tc>
        <w:tc>
          <w:tcPr>
            <w:tcW w:w="8627" w:type="dxa"/>
          </w:tcPr>
          <w:p w14:paraId="321F4FD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Электрифицированная пулеметная турель. Изменение положения турели, как в вертикальном,</w:t>
            </w:r>
          </w:p>
        </w:tc>
      </w:tr>
      <w:tr w:rsidR="004E10C1" w:rsidRPr="0044524F" w14:paraId="1C20E191" w14:textId="77777777">
        <w:tc>
          <w:tcPr>
            <w:tcW w:w="2254" w:type="dxa"/>
          </w:tcPr>
          <w:p w14:paraId="374BB2F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ТУР</w:t>
            </w:r>
          </w:p>
        </w:tc>
        <w:tc>
          <w:tcPr>
            <w:tcW w:w="8627" w:type="dxa"/>
          </w:tcPr>
          <w:p w14:paraId="6E1E514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и горизонтальном направлениях - производится работой электромотора.</w:t>
            </w:r>
          </w:p>
        </w:tc>
      </w:tr>
      <w:tr w:rsidR="004E10C1" w:rsidRPr="0044524F" w14:paraId="63214C02" w14:textId="77777777">
        <w:tc>
          <w:tcPr>
            <w:tcW w:w="2254" w:type="dxa"/>
          </w:tcPr>
          <w:p w14:paraId="347A4A5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282130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установлен мотор "Делько" около 400 ватт при 12 вольтах -</w:t>
            </w:r>
          </w:p>
        </w:tc>
      </w:tr>
      <w:tr w:rsidR="004E10C1" w:rsidRPr="0044524F" w14:paraId="0BD54531" w14:textId="77777777">
        <w:tc>
          <w:tcPr>
            <w:tcW w:w="2254" w:type="dxa"/>
          </w:tcPr>
          <w:p w14:paraId="0F6DDFB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52C340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предположено заменить мотор на более легкий порядка 3,5 кг. Вес "Делько" - 5 кг.</w:t>
            </w:r>
          </w:p>
        </w:tc>
      </w:tr>
      <w:tr w:rsidR="004E10C1" w:rsidRPr="0044524F" w14:paraId="53CD3BD9" w14:textId="77777777">
        <w:tc>
          <w:tcPr>
            <w:tcW w:w="2254" w:type="dxa"/>
          </w:tcPr>
          <w:p w14:paraId="0FCC2F5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73FC09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ведет ЦАГИ.</w:t>
            </w:r>
          </w:p>
        </w:tc>
      </w:tr>
      <w:tr w:rsidR="004E10C1" w:rsidRPr="0044524F" w14:paraId="76CEA8F8" w14:textId="77777777">
        <w:tc>
          <w:tcPr>
            <w:tcW w:w="2254" w:type="dxa"/>
          </w:tcPr>
          <w:p w14:paraId="037DD47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Электрифицированная</w:t>
            </w:r>
          </w:p>
        </w:tc>
        <w:tc>
          <w:tcPr>
            <w:tcW w:w="8627" w:type="dxa"/>
          </w:tcPr>
          <w:p w14:paraId="0D4DA56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башен закончена.</w:t>
            </w:r>
          </w:p>
        </w:tc>
      </w:tr>
      <w:tr w:rsidR="004E10C1" w:rsidRPr="0044524F" w14:paraId="2F2255AC" w14:textId="77777777">
        <w:tc>
          <w:tcPr>
            <w:tcW w:w="2254" w:type="dxa"/>
          </w:tcPr>
          <w:p w14:paraId="7135226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вращающаяся башня</w:t>
            </w:r>
          </w:p>
        </w:tc>
        <w:tc>
          <w:tcPr>
            <w:tcW w:w="8627" w:type="dxa"/>
          </w:tcPr>
          <w:p w14:paraId="1E75FAC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Идут земные испытания. Предстоит установка на самолет и летные испытания на летающей</w:t>
            </w:r>
          </w:p>
        </w:tc>
      </w:tr>
      <w:tr w:rsidR="004E10C1" w:rsidRPr="0044524F" w14:paraId="4D7114C5" w14:textId="77777777">
        <w:tc>
          <w:tcPr>
            <w:tcW w:w="2254" w:type="dxa"/>
          </w:tcPr>
          <w:p w14:paraId="533D75D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СП-4 цилиндрическая</w:t>
            </w:r>
          </w:p>
        </w:tc>
        <w:tc>
          <w:tcPr>
            <w:tcW w:w="8627" w:type="dxa"/>
          </w:tcPr>
          <w:p w14:paraId="77DF529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лаборатории.</w:t>
            </w:r>
          </w:p>
        </w:tc>
      </w:tr>
      <w:tr w:rsidR="004E10C1" w:rsidRPr="0044524F" w14:paraId="4C91A629" w14:textId="77777777">
        <w:tc>
          <w:tcPr>
            <w:tcW w:w="2254" w:type="dxa"/>
          </w:tcPr>
          <w:p w14:paraId="0636AB3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A52910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ЦАГИ.</w:t>
            </w:r>
          </w:p>
        </w:tc>
      </w:tr>
      <w:tr w:rsidR="004E10C1" w:rsidRPr="0044524F" w14:paraId="0E733473" w14:textId="77777777">
        <w:tc>
          <w:tcPr>
            <w:tcW w:w="2254" w:type="dxa"/>
          </w:tcPr>
          <w:p w14:paraId="0AA041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Электрифицированная</w:t>
            </w:r>
          </w:p>
        </w:tc>
        <w:tc>
          <w:tcPr>
            <w:tcW w:w="8627" w:type="dxa"/>
          </w:tcPr>
          <w:p w14:paraId="4108ECD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башен закончена. Чертежи переданы серийному заводу. Башня подлежит</w:t>
            </w:r>
          </w:p>
        </w:tc>
      </w:tr>
      <w:tr w:rsidR="004E10C1" w:rsidRPr="0044524F" w14:paraId="0592E6CA" w14:textId="77777777">
        <w:tc>
          <w:tcPr>
            <w:tcW w:w="2254" w:type="dxa"/>
          </w:tcPr>
          <w:p w14:paraId="74AFDDA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башня д/пушки</w:t>
            </w:r>
          </w:p>
        </w:tc>
        <w:tc>
          <w:tcPr>
            <w:tcW w:w="8627" w:type="dxa"/>
          </w:tcPr>
          <w:p w14:paraId="19D7C45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установке на самолеты ТБ-4. Работа ЦАГИ.</w:t>
            </w:r>
          </w:p>
        </w:tc>
      </w:tr>
      <w:tr w:rsidR="004E10C1" w:rsidRPr="0044524F" w14:paraId="6D46E873" w14:textId="77777777">
        <w:tc>
          <w:tcPr>
            <w:tcW w:w="2254" w:type="dxa"/>
          </w:tcPr>
          <w:p w14:paraId="6FAC8FE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Электрифицированное</w:t>
            </w:r>
          </w:p>
        </w:tc>
        <w:tc>
          <w:tcPr>
            <w:tcW w:w="8627" w:type="dxa"/>
          </w:tcPr>
          <w:p w14:paraId="4A1A47F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Произведены государственные испытания в НИИ УВВС, как земные, так и в воздухе.</w:t>
            </w:r>
          </w:p>
        </w:tc>
      </w:tr>
      <w:tr w:rsidR="004E10C1" w:rsidRPr="0044524F" w14:paraId="344E0E4D" w14:textId="77777777">
        <w:tc>
          <w:tcPr>
            <w:tcW w:w="2254" w:type="dxa"/>
          </w:tcPr>
          <w:p w14:paraId="5450864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открытие огня</w:t>
            </w:r>
          </w:p>
        </w:tc>
        <w:tc>
          <w:tcPr>
            <w:tcW w:w="8627" w:type="dxa"/>
          </w:tcPr>
          <w:p w14:paraId="303D21F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Прибор дал безотказную работу. Распоряжением Н-ка УВВС вооружаются первые 50</w:t>
            </w:r>
          </w:p>
        </w:tc>
      </w:tr>
      <w:tr w:rsidR="004E10C1" w:rsidRPr="0044524F" w14:paraId="4E104136" w14:textId="77777777">
        <w:tc>
          <w:tcPr>
            <w:tcW w:w="2254" w:type="dxa"/>
          </w:tcPr>
          <w:p w14:paraId="3187719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пулеметов на</w:t>
            </w:r>
          </w:p>
        </w:tc>
        <w:tc>
          <w:tcPr>
            <w:tcW w:w="8627" w:type="dxa"/>
          </w:tcPr>
          <w:p w14:paraId="341CC07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самолетов И-5 - выпускаемых заводом N 21. Заказано 200 приборов. Открытие огня</w:t>
            </w:r>
          </w:p>
        </w:tc>
      </w:tr>
      <w:tr w:rsidR="004E10C1" w:rsidRPr="0044524F" w14:paraId="34ABBADC" w14:textId="77777777">
        <w:tc>
          <w:tcPr>
            <w:tcW w:w="2254" w:type="dxa"/>
          </w:tcPr>
          <w:p w14:paraId="60A2A65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истребительных</w:t>
            </w:r>
          </w:p>
        </w:tc>
        <w:tc>
          <w:tcPr>
            <w:tcW w:w="8627" w:type="dxa"/>
          </w:tcPr>
          <w:p w14:paraId="5AD4E6E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происходит путем простого нажатия кнопок, установленных на гашетках, - на ручке</w:t>
            </w:r>
          </w:p>
        </w:tc>
      </w:tr>
      <w:tr w:rsidR="004E10C1" w:rsidRPr="0044524F" w14:paraId="746B2279" w14:textId="77777777">
        <w:tc>
          <w:tcPr>
            <w:tcW w:w="2254" w:type="dxa"/>
          </w:tcPr>
          <w:p w14:paraId="3B2C5C9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самолетах И-5</w:t>
            </w:r>
          </w:p>
        </w:tc>
        <w:tc>
          <w:tcPr>
            <w:tcW w:w="8627" w:type="dxa"/>
          </w:tcPr>
          <w:p w14:paraId="2FE80DE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управления у пилота.</w:t>
            </w:r>
          </w:p>
        </w:tc>
      </w:tr>
      <w:tr w:rsidR="004E10C1" w:rsidRPr="0044524F" w14:paraId="69E86D83" w14:textId="77777777">
        <w:tc>
          <w:tcPr>
            <w:tcW w:w="2254" w:type="dxa"/>
          </w:tcPr>
          <w:p w14:paraId="4D1672F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системы Брагина.</w:t>
            </w:r>
          </w:p>
        </w:tc>
        <w:tc>
          <w:tcPr>
            <w:tcW w:w="8627" w:type="dxa"/>
          </w:tcPr>
          <w:p w14:paraId="7144727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EA3B141" w14:textId="77777777">
        <w:tc>
          <w:tcPr>
            <w:tcW w:w="2254" w:type="dxa"/>
          </w:tcPr>
          <w:p w14:paraId="14BE279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Бомбардировочное вооружение.</w:t>
            </w:r>
          </w:p>
        </w:tc>
        <w:tc>
          <w:tcPr>
            <w:tcW w:w="8627" w:type="dxa"/>
          </w:tcPr>
          <w:p w14:paraId="5E02708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F5C8EE3" w14:textId="77777777">
        <w:tc>
          <w:tcPr>
            <w:tcW w:w="2254" w:type="dxa"/>
          </w:tcPr>
          <w:p w14:paraId="08D3C5A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Электрофицирование</w:t>
            </w:r>
          </w:p>
        </w:tc>
        <w:tc>
          <w:tcPr>
            <w:tcW w:w="8627" w:type="dxa"/>
          </w:tcPr>
          <w:p w14:paraId="3F529CF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Электрофицирование произведено путем установки электромагнитов системы Китенко.</w:t>
            </w:r>
          </w:p>
        </w:tc>
      </w:tr>
      <w:tr w:rsidR="004E10C1" w:rsidRPr="0044524F" w14:paraId="23F639DA" w14:textId="77777777">
        <w:tc>
          <w:tcPr>
            <w:tcW w:w="2254" w:type="dxa"/>
          </w:tcPr>
          <w:p w14:paraId="7CE28E8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балок бомбодержателей:</w:t>
            </w:r>
          </w:p>
        </w:tc>
        <w:tc>
          <w:tcPr>
            <w:tcW w:w="8627" w:type="dxa"/>
          </w:tcPr>
          <w:p w14:paraId="1A82B8B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дали хорошие результаты. Балки изготовляются вместе с деталями</w:t>
            </w:r>
          </w:p>
        </w:tc>
      </w:tr>
      <w:tr w:rsidR="004E10C1" w:rsidRPr="0044524F" w14:paraId="1F3E6279" w14:textId="77777777">
        <w:tc>
          <w:tcPr>
            <w:tcW w:w="2254" w:type="dxa"/>
          </w:tcPr>
          <w:p w14:paraId="3816181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 6</w:t>
            </w:r>
          </w:p>
        </w:tc>
        <w:tc>
          <w:tcPr>
            <w:tcW w:w="8627" w:type="dxa"/>
          </w:tcPr>
          <w:p w14:paraId="42A7178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д/электрифицирования заводом N 32.</w:t>
            </w:r>
          </w:p>
        </w:tc>
      </w:tr>
      <w:tr w:rsidR="004E10C1" w:rsidRPr="0044524F" w14:paraId="3AB7E6B8" w14:textId="77777777">
        <w:tc>
          <w:tcPr>
            <w:tcW w:w="2254" w:type="dxa"/>
          </w:tcPr>
          <w:p w14:paraId="375479E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 7</w:t>
            </w:r>
          </w:p>
        </w:tc>
        <w:tc>
          <w:tcPr>
            <w:tcW w:w="8627" w:type="dxa"/>
          </w:tcPr>
          <w:p w14:paraId="3ED634E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Окончательно решение вопроса с электрифицированием задерживается отсутствием</w:t>
            </w:r>
          </w:p>
        </w:tc>
      </w:tr>
      <w:tr w:rsidR="004E10C1" w:rsidRPr="0044524F" w14:paraId="1CBB39AC" w14:textId="77777777">
        <w:tc>
          <w:tcPr>
            <w:tcW w:w="2254" w:type="dxa"/>
          </w:tcPr>
          <w:p w14:paraId="3C1AFD2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Д.О.С.</w:t>
            </w:r>
          </w:p>
        </w:tc>
        <w:tc>
          <w:tcPr>
            <w:tcW w:w="8627" w:type="dxa"/>
          </w:tcPr>
          <w:p w14:paraId="726EB8F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утвержденного образца электросбрасывателя типа С.Р.</w:t>
            </w:r>
          </w:p>
        </w:tc>
      </w:tr>
      <w:tr w:rsidR="004E10C1" w:rsidRPr="0044524F" w14:paraId="561C00B6" w14:textId="77777777">
        <w:tc>
          <w:tcPr>
            <w:tcW w:w="2254" w:type="dxa"/>
          </w:tcPr>
          <w:p w14:paraId="55A02FD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D58E37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Электросбрасыватель "Остехбюро" работает хорошо, - вопрос за окончательным утверждением</w:t>
            </w:r>
          </w:p>
        </w:tc>
      </w:tr>
      <w:tr w:rsidR="004E10C1" w:rsidRPr="0044524F" w14:paraId="7969A383" w14:textId="77777777">
        <w:tc>
          <w:tcPr>
            <w:tcW w:w="2254" w:type="dxa"/>
          </w:tcPr>
          <w:p w14:paraId="0B5418E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44C97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но он предназначен для самолетов тяжелого типа.</w:t>
            </w:r>
          </w:p>
        </w:tc>
      </w:tr>
      <w:tr w:rsidR="004E10C1" w:rsidRPr="0044524F" w14:paraId="79B4A55B" w14:textId="77777777">
        <w:tc>
          <w:tcPr>
            <w:tcW w:w="2254" w:type="dxa"/>
          </w:tcPr>
          <w:p w14:paraId="64B2D05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AEEE42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Электросбрасыватель "С.Р." предназначенный для самолетов разведывательного типа - до сих</w:t>
            </w:r>
          </w:p>
        </w:tc>
      </w:tr>
      <w:tr w:rsidR="004E10C1" w:rsidRPr="0044524F" w14:paraId="6B3EC31E" w14:textId="77777777">
        <w:tc>
          <w:tcPr>
            <w:tcW w:w="2254" w:type="dxa"/>
          </w:tcPr>
          <w:p w14:paraId="22387C7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C0A893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 в доводке и заключения НИИ о нем нет.</w:t>
            </w:r>
          </w:p>
        </w:tc>
      </w:tr>
      <w:tr w:rsidR="004E10C1" w:rsidRPr="0044524F" w14:paraId="78C50605" w14:textId="77777777">
        <w:tc>
          <w:tcPr>
            <w:tcW w:w="2254" w:type="dxa"/>
          </w:tcPr>
          <w:p w14:paraId="61D0425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D8D175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с электрофицированием Д.О.С. находится на заключении в НИИ УВВС.</w:t>
            </w:r>
          </w:p>
        </w:tc>
      </w:tr>
      <w:tr w:rsidR="004E10C1" w:rsidRPr="0044524F" w14:paraId="67517B03" w14:textId="77777777">
        <w:tc>
          <w:tcPr>
            <w:tcW w:w="2254" w:type="dxa"/>
          </w:tcPr>
          <w:p w14:paraId="3984EE7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Электрифицированные</w:t>
            </w:r>
          </w:p>
        </w:tc>
        <w:tc>
          <w:tcPr>
            <w:tcW w:w="8627" w:type="dxa"/>
          </w:tcPr>
          <w:p w14:paraId="3BBD46C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Балки типа Д-1 устанавливаются на нижних крыльях истребительных самолетов, кроме того</w:t>
            </w:r>
          </w:p>
        </w:tc>
      </w:tr>
      <w:tr w:rsidR="004E10C1" w:rsidRPr="0044524F" w14:paraId="01A46472" w14:textId="77777777">
        <w:tc>
          <w:tcPr>
            <w:tcW w:w="2254" w:type="dxa"/>
          </w:tcPr>
          <w:p w14:paraId="3BE914C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балки бомбодержателей</w:t>
            </w:r>
          </w:p>
        </w:tc>
        <w:tc>
          <w:tcPr>
            <w:tcW w:w="8627" w:type="dxa"/>
          </w:tcPr>
          <w:p w14:paraId="77D0003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предназначены к установке на самолеты и тяжелых типов и в ЦАГИ ведется конструктивная</w:t>
            </w:r>
          </w:p>
        </w:tc>
      </w:tr>
      <w:tr w:rsidR="004E10C1" w:rsidRPr="0044524F" w14:paraId="69B932AB" w14:textId="77777777">
        <w:tc>
          <w:tcPr>
            <w:tcW w:w="2254" w:type="dxa"/>
          </w:tcPr>
          <w:p w14:paraId="1AAE1AA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типа Д-1.</w:t>
            </w:r>
          </w:p>
        </w:tc>
        <w:tc>
          <w:tcPr>
            <w:tcW w:w="8627" w:type="dxa"/>
          </w:tcPr>
          <w:p w14:paraId="2440EC6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w:t>
            </w:r>
          </w:p>
        </w:tc>
      </w:tr>
      <w:tr w:rsidR="004E10C1" w:rsidRPr="0044524F" w14:paraId="3300F415" w14:textId="77777777">
        <w:tc>
          <w:tcPr>
            <w:tcW w:w="2254" w:type="dxa"/>
          </w:tcPr>
          <w:p w14:paraId="00D9C21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CF8E1F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Балки позволяют производить - сбрасывание, как при помощи электричества, так и механически.</w:t>
            </w:r>
          </w:p>
        </w:tc>
      </w:tr>
      <w:tr w:rsidR="004E10C1" w:rsidRPr="0044524F" w14:paraId="1C02772E" w14:textId="77777777">
        <w:tc>
          <w:tcPr>
            <w:tcW w:w="2254" w:type="dxa"/>
          </w:tcPr>
          <w:p w14:paraId="46A08F8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8AF66A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истребительный самолет устанавливается 4 шт., причем ЦКБ зав. N 39 разрабатывается их</w:t>
            </w:r>
          </w:p>
        </w:tc>
      </w:tr>
      <w:tr w:rsidR="004E10C1" w:rsidRPr="0044524F" w14:paraId="116DE5FD" w14:textId="77777777">
        <w:tc>
          <w:tcPr>
            <w:tcW w:w="2254" w:type="dxa"/>
          </w:tcPr>
          <w:p w14:paraId="25A2D70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731F438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во внутрь крыла.</w:t>
            </w:r>
          </w:p>
        </w:tc>
      </w:tr>
      <w:tr w:rsidR="004E10C1" w:rsidRPr="0044524F" w14:paraId="6F300CAB" w14:textId="77777777">
        <w:tc>
          <w:tcPr>
            <w:tcW w:w="2254" w:type="dxa"/>
          </w:tcPr>
          <w:p w14:paraId="401CD5E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D45F0B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первую очередь балки установлены на сам. И-5 (эталон зав. N 21) и подлежат испытаниям в</w:t>
            </w:r>
          </w:p>
        </w:tc>
      </w:tr>
      <w:tr w:rsidR="004E10C1" w:rsidRPr="0044524F" w14:paraId="11D3DD4E" w14:textId="77777777">
        <w:tc>
          <w:tcPr>
            <w:tcW w:w="2254" w:type="dxa"/>
          </w:tcPr>
          <w:p w14:paraId="2162EFD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B96C36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w:t>
            </w:r>
          </w:p>
        </w:tc>
      </w:tr>
      <w:tr w:rsidR="004E10C1" w:rsidRPr="0044524F" w14:paraId="2C8DB040" w14:textId="77777777">
        <w:tc>
          <w:tcPr>
            <w:tcW w:w="2254" w:type="dxa"/>
          </w:tcPr>
          <w:p w14:paraId="07DDAF8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EA2F49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Сбрасывание производится при помощи электросбрасывателя "С.И.", который также</w:t>
            </w:r>
          </w:p>
        </w:tc>
      </w:tr>
      <w:tr w:rsidR="004E10C1" w:rsidRPr="0044524F" w14:paraId="643F1A32" w14:textId="77777777">
        <w:tc>
          <w:tcPr>
            <w:tcW w:w="2254" w:type="dxa"/>
          </w:tcPr>
          <w:p w14:paraId="52AF62F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D745D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предъявляется на гос. испытания.</w:t>
            </w:r>
          </w:p>
        </w:tc>
      </w:tr>
      <w:tr w:rsidR="004E10C1" w:rsidRPr="0044524F" w14:paraId="1BA443F6" w14:textId="77777777">
        <w:tc>
          <w:tcPr>
            <w:tcW w:w="2254" w:type="dxa"/>
          </w:tcPr>
          <w:p w14:paraId="63DCEE1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DA7DBB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все бомбодержатели дер. 6, 7, 13, 15, 16 и Д.О.С. - имеют разработанную</w:t>
            </w:r>
          </w:p>
        </w:tc>
      </w:tr>
      <w:tr w:rsidR="004E10C1" w:rsidRPr="0044524F" w14:paraId="5353ACD6" w14:textId="77777777">
        <w:tc>
          <w:tcPr>
            <w:tcW w:w="2254" w:type="dxa"/>
          </w:tcPr>
          <w:p w14:paraId="07CFF75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051205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пиротехническую установку, для сбрасывания. В этом случае оно происходит вследствие</w:t>
            </w:r>
          </w:p>
        </w:tc>
      </w:tr>
      <w:tr w:rsidR="004E10C1" w:rsidRPr="0044524F" w14:paraId="3E98519B" w14:textId="77777777">
        <w:tc>
          <w:tcPr>
            <w:tcW w:w="2254" w:type="dxa"/>
          </w:tcPr>
          <w:p w14:paraId="4C1A5CC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A66A36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воспламенения заряда от электронакала - проводника, выстрел освобождает щеколду замка и</w:t>
            </w:r>
          </w:p>
        </w:tc>
      </w:tr>
      <w:tr w:rsidR="004E10C1" w:rsidRPr="0044524F" w14:paraId="389FA37F" w14:textId="77777777">
        <w:tc>
          <w:tcPr>
            <w:tcW w:w="2254" w:type="dxa"/>
          </w:tcPr>
          <w:p w14:paraId="747F8C4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C36AD3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 освобождается из держателя (2310,143).</w:t>
            </w:r>
          </w:p>
        </w:tc>
      </w:tr>
      <w:tr w:rsidR="004E10C1" w:rsidRPr="0044524F" w14:paraId="6EE3AE72" w14:textId="77777777">
        <w:tc>
          <w:tcPr>
            <w:tcW w:w="2254" w:type="dxa"/>
          </w:tcPr>
          <w:p w14:paraId="5F4FFF6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Химвооружение.</w:t>
            </w:r>
          </w:p>
        </w:tc>
        <w:tc>
          <w:tcPr>
            <w:tcW w:w="8627" w:type="dxa"/>
          </w:tcPr>
          <w:p w14:paraId="1B06CC9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0926D39" w14:textId="77777777">
        <w:tc>
          <w:tcPr>
            <w:tcW w:w="2254" w:type="dxa"/>
          </w:tcPr>
          <w:p w14:paraId="2FA8335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Химвооружение</w:t>
            </w:r>
          </w:p>
        </w:tc>
        <w:tc>
          <w:tcPr>
            <w:tcW w:w="8627" w:type="dxa"/>
          </w:tcPr>
          <w:p w14:paraId="62C6680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C4D07D4" w14:textId="77777777">
        <w:tc>
          <w:tcPr>
            <w:tcW w:w="2254" w:type="dxa"/>
          </w:tcPr>
          <w:p w14:paraId="3C750DE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выливного характера.</w:t>
            </w:r>
          </w:p>
        </w:tc>
        <w:tc>
          <w:tcPr>
            <w:tcW w:w="8627" w:type="dxa"/>
          </w:tcPr>
          <w:p w14:paraId="71A2596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EBE3075" w14:textId="77777777">
        <w:tc>
          <w:tcPr>
            <w:tcW w:w="2254" w:type="dxa"/>
          </w:tcPr>
          <w:p w14:paraId="3232456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ВАП-4</w:t>
            </w:r>
          </w:p>
        </w:tc>
        <w:tc>
          <w:tcPr>
            <w:tcW w:w="8627" w:type="dxa"/>
          </w:tcPr>
          <w:p w14:paraId="4D9E58B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Идет доводка на самолете Р-5. Установки на самолетах МБР-4 и МВР-3 - сданы.</w:t>
            </w:r>
          </w:p>
        </w:tc>
      </w:tr>
      <w:tr w:rsidR="004E10C1" w:rsidRPr="0044524F" w14:paraId="54048DB0" w14:textId="77777777">
        <w:tc>
          <w:tcPr>
            <w:tcW w:w="2254" w:type="dxa"/>
          </w:tcPr>
          <w:p w14:paraId="7155D96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ВАП-5</w:t>
            </w:r>
          </w:p>
        </w:tc>
        <w:tc>
          <w:tcPr>
            <w:tcW w:w="8627" w:type="dxa"/>
          </w:tcPr>
          <w:p w14:paraId="05817F7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Образец прошел государственные испытания.</w:t>
            </w:r>
          </w:p>
        </w:tc>
      </w:tr>
      <w:tr w:rsidR="004E10C1" w:rsidRPr="0044524F" w14:paraId="35A4E1AE" w14:textId="77777777">
        <w:tc>
          <w:tcPr>
            <w:tcW w:w="2254" w:type="dxa"/>
          </w:tcPr>
          <w:p w14:paraId="4DBC8A6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ВАП-6</w:t>
            </w:r>
          </w:p>
        </w:tc>
        <w:tc>
          <w:tcPr>
            <w:tcW w:w="8627" w:type="dxa"/>
          </w:tcPr>
          <w:p w14:paraId="5515853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 августе предстоят госуд. испытания на сам. И-5.</w:t>
            </w:r>
          </w:p>
        </w:tc>
      </w:tr>
      <w:tr w:rsidR="004E10C1" w:rsidRPr="0044524F" w14:paraId="5932AEC3" w14:textId="77777777">
        <w:tc>
          <w:tcPr>
            <w:tcW w:w="2254" w:type="dxa"/>
          </w:tcPr>
          <w:p w14:paraId="1172A15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Химвооружение</w:t>
            </w:r>
          </w:p>
        </w:tc>
        <w:tc>
          <w:tcPr>
            <w:tcW w:w="8627" w:type="dxa"/>
          </w:tcPr>
          <w:p w14:paraId="75A5156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B2B07C9" w14:textId="77777777">
        <w:tc>
          <w:tcPr>
            <w:tcW w:w="2254" w:type="dxa"/>
          </w:tcPr>
          <w:p w14:paraId="08675E6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дымового характера.</w:t>
            </w:r>
          </w:p>
        </w:tc>
        <w:tc>
          <w:tcPr>
            <w:tcW w:w="8627" w:type="dxa"/>
          </w:tcPr>
          <w:p w14:paraId="009DA76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82D9D53" w14:textId="77777777">
        <w:tc>
          <w:tcPr>
            <w:tcW w:w="2254" w:type="dxa"/>
          </w:tcPr>
          <w:p w14:paraId="7CD671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ДХ-1</w:t>
            </w:r>
          </w:p>
        </w:tc>
        <w:tc>
          <w:tcPr>
            <w:tcW w:w="8627" w:type="dxa"/>
          </w:tcPr>
          <w:p w14:paraId="49D8AB3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Прибор проходит испытания на полигоне на сам. И-5.</w:t>
            </w:r>
          </w:p>
        </w:tc>
      </w:tr>
      <w:tr w:rsidR="004E10C1" w:rsidRPr="0044524F" w14:paraId="48C5F316" w14:textId="77777777">
        <w:tc>
          <w:tcPr>
            <w:tcW w:w="2254" w:type="dxa"/>
          </w:tcPr>
          <w:p w14:paraId="28F9370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Д-3</w:t>
            </w:r>
          </w:p>
        </w:tc>
        <w:tc>
          <w:tcPr>
            <w:tcW w:w="8627" w:type="dxa"/>
          </w:tcPr>
          <w:p w14:paraId="7BC17C2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Прибор пущен в серийное производство.</w:t>
            </w:r>
          </w:p>
        </w:tc>
      </w:tr>
      <w:tr w:rsidR="004E10C1" w:rsidRPr="0044524F" w14:paraId="4EC4D633" w14:textId="77777777">
        <w:tc>
          <w:tcPr>
            <w:tcW w:w="2254" w:type="dxa"/>
          </w:tcPr>
          <w:p w14:paraId="6D0B6EE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8627" w:type="dxa"/>
          </w:tcPr>
          <w:p w14:paraId="6AAB756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Приобретен из заграницы. Установлен на Р-6. Установка принята.</w:t>
            </w:r>
          </w:p>
        </w:tc>
      </w:tr>
      <w:tr w:rsidR="004E10C1" w:rsidRPr="0044524F" w14:paraId="346A140F" w14:textId="77777777">
        <w:tc>
          <w:tcPr>
            <w:tcW w:w="2254" w:type="dxa"/>
          </w:tcPr>
          <w:p w14:paraId="705A492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Ампульные кассеты.</w:t>
            </w:r>
          </w:p>
        </w:tc>
        <w:tc>
          <w:tcPr>
            <w:tcW w:w="8627" w:type="dxa"/>
          </w:tcPr>
          <w:p w14:paraId="52B63DB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Предназначены д/установки на самолеты ТБ-3. Предстоят испытания самих ампул - одних</w:t>
            </w:r>
          </w:p>
        </w:tc>
      </w:tr>
      <w:tr w:rsidR="004E10C1" w:rsidRPr="0044524F" w14:paraId="6AB9E13B" w14:textId="77777777">
        <w:tc>
          <w:tcPr>
            <w:tcW w:w="2254" w:type="dxa"/>
          </w:tcPr>
          <w:p w14:paraId="64904BF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0EBFAF6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изготовленных из латуни, вторых из жести, чтобы выяснить их степень раскрытия при падении.</w:t>
            </w:r>
          </w:p>
        </w:tc>
      </w:tr>
      <w:tr w:rsidR="004E10C1" w:rsidRPr="0044524F" w14:paraId="598A4B20" w14:textId="77777777">
        <w:tc>
          <w:tcPr>
            <w:tcW w:w="2254" w:type="dxa"/>
          </w:tcPr>
          <w:p w14:paraId="78027F3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2D6E7E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самолетов МК-1 и МИ3 ампульные кассеты находятся в производстве.</w:t>
            </w:r>
          </w:p>
        </w:tc>
      </w:tr>
      <w:tr w:rsidR="004E10C1" w:rsidRPr="0044524F" w14:paraId="647284AA" w14:textId="77777777">
        <w:tc>
          <w:tcPr>
            <w:tcW w:w="2254" w:type="dxa"/>
          </w:tcPr>
          <w:p w14:paraId="2970E0C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Фотооборудование.</w:t>
            </w:r>
          </w:p>
        </w:tc>
        <w:tc>
          <w:tcPr>
            <w:tcW w:w="8627" w:type="dxa"/>
          </w:tcPr>
          <w:p w14:paraId="6A6CA13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6F60CC2" w14:textId="77777777">
        <w:tc>
          <w:tcPr>
            <w:tcW w:w="2254" w:type="dxa"/>
          </w:tcPr>
          <w:p w14:paraId="18584FF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установка</w:t>
            </w:r>
          </w:p>
        </w:tc>
        <w:tc>
          <w:tcPr>
            <w:tcW w:w="8627" w:type="dxa"/>
          </w:tcPr>
          <w:p w14:paraId="0F017BC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Закончена конструктивная разработка и рабочие чертежи сданы зав. N 22. Установка была</w:t>
            </w:r>
          </w:p>
        </w:tc>
      </w:tr>
      <w:tr w:rsidR="004E10C1" w:rsidRPr="0044524F" w14:paraId="6B65DF2B" w14:textId="77777777">
        <w:tc>
          <w:tcPr>
            <w:tcW w:w="2254" w:type="dxa"/>
          </w:tcPr>
          <w:p w14:paraId="6854404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фотоаппарата А.Ф.А.</w:t>
            </w:r>
          </w:p>
        </w:tc>
        <w:tc>
          <w:tcPr>
            <w:tcW w:w="8627" w:type="dxa"/>
          </w:tcPr>
          <w:p w14:paraId="03338AF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испытана путем проверки ее работы на земле. Применение жесткой проводки не отразилось на</w:t>
            </w:r>
          </w:p>
        </w:tc>
      </w:tr>
      <w:tr w:rsidR="004E10C1" w:rsidRPr="0044524F" w14:paraId="5140E54D" w14:textId="77777777">
        <w:tc>
          <w:tcPr>
            <w:tcW w:w="2254" w:type="dxa"/>
          </w:tcPr>
          <w:p w14:paraId="3E2F677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 МИ-3.</w:t>
            </w:r>
          </w:p>
        </w:tc>
        <w:tc>
          <w:tcPr>
            <w:tcW w:w="8627" w:type="dxa"/>
          </w:tcPr>
          <w:p w14:paraId="3BA2025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четкости работы аппарата.</w:t>
            </w:r>
          </w:p>
        </w:tc>
      </w:tr>
      <w:tr w:rsidR="004E10C1" w:rsidRPr="0044524F" w14:paraId="5F47D147" w14:textId="77777777">
        <w:tc>
          <w:tcPr>
            <w:tcW w:w="2254" w:type="dxa"/>
          </w:tcPr>
          <w:p w14:paraId="41A9941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21A2028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состоит:</w:t>
            </w:r>
          </w:p>
        </w:tc>
      </w:tr>
      <w:tr w:rsidR="004E10C1" w:rsidRPr="0044524F" w14:paraId="5204DC80" w14:textId="77777777">
        <w:tc>
          <w:tcPr>
            <w:tcW w:w="2254" w:type="dxa"/>
          </w:tcPr>
          <w:p w14:paraId="613481A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365E12D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командного прибора;</w:t>
            </w:r>
          </w:p>
        </w:tc>
      </w:tr>
      <w:tr w:rsidR="004E10C1" w:rsidRPr="0044524F" w14:paraId="47EFE142" w14:textId="77777777">
        <w:tc>
          <w:tcPr>
            <w:tcW w:w="2254" w:type="dxa"/>
          </w:tcPr>
          <w:p w14:paraId="1F8C0F0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5B28D13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ветрянки;</w:t>
            </w:r>
          </w:p>
        </w:tc>
      </w:tr>
      <w:tr w:rsidR="004E10C1" w:rsidRPr="0044524F" w14:paraId="31B4183E" w14:textId="77777777">
        <w:tc>
          <w:tcPr>
            <w:tcW w:w="2254" w:type="dxa"/>
          </w:tcPr>
          <w:p w14:paraId="58A1817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46F14A1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аварийного включения;</w:t>
            </w:r>
          </w:p>
        </w:tc>
      </w:tr>
      <w:tr w:rsidR="004E10C1" w:rsidRPr="0044524F" w14:paraId="37A7672B" w14:textId="77777777">
        <w:tc>
          <w:tcPr>
            <w:tcW w:w="2254" w:type="dxa"/>
          </w:tcPr>
          <w:p w14:paraId="6512CBB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1D1E8A2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гибкой и жесткой проводки</w:t>
            </w:r>
          </w:p>
        </w:tc>
      </w:tr>
      <w:tr w:rsidR="004E10C1" w:rsidRPr="0044524F" w14:paraId="652E3DDF" w14:textId="77777777">
        <w:tc>
          <w:tcPr>
            <w:tcW w:w="2254" w:type="dxa"/>
          </w:tcPr>
          <w:p w14:paraId="2C2DA46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627" w:type="dxa"/>
          </w:tcPr>
          <w:p w14:paraId="6E08DDB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самого аппарата А.Ф.А.-13, помещенного между 2 и 3 лонжероном центроплана.</w:t>
            </w:r>
          </w:p>
        </w:tc>
      </w:tr>
    </w:tbl>
    <w:p w14:paraId="3A087B0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Краткие выводы.</w:t>
      </w:r>
    </w:p>
    <w:p w14:paraId="7264FF1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Планом 1933-1934 г. поставлено - 12 опытных типов самолетов; 14 - экспериментальных; 10 - не значащихся в плане. Итого - 36 машин.</w:t>
      </w:r>
    </w:p>
    <w:p w14:paraId="279B8B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Из них самолеты: 1) ТБ4-6М34; 2) ТБ3-4М34; 3) И-14 - М.Б.; 4) МИ3-2М34; 5) РД-М34; 6) Р6-2М17 - в пассажирском варианте; 7) Автожир М26; 8) Автожир М-11; 9) МБР4-М34 - находятся на заводских испытаниях, которые почти на 50% закончены. Сроки сдачи на гос. испытания, судя по ходу работ, должны быть выдержаны.</w:t>
      </w:r>
    </w:p>
    <w:p w14:paraId="154ED49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Из построенных машин передаются на внедрение серийной постройки: 1) ТБ4, 2) МИ3, 3) И-14 -М22, 4) ХАИ-1, 5) Р5 с разр. кр., 6) Р.Д. в военном варианте, 7) МБР4-М34.</w:t>
      </w:r>
    </w:p>
    <w:p w14:paraId="0C3FA47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Внедрены в производство и находятся в постройке: 1) МБР2-М17; 2) Р5 на поплавках; 3) Р6 на поплавках; 4) И5 - с поворотными стойками; Р5 - с тормозными шасси и колесами; 6) ТБ3-4М17 с тормозными колесами; 7) Автожир М26.</w:t>
      </w:r>
    </w:p>
    <w:p w14:paraId="0096294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переданы и прошли государственные испытания: 1) Р5 с разр. кр., 2) Р5 с торм. колесами, 3) ТБ3 с торм. кол., 4) ХАИ-1, 5) И5 с повор. стойк., 6) ДИ4-К.К.</w:t>
      </w:r>
    </w:p>
    <w:p w14:paraId="1BB94DE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Основными причинами задерживающими опытное самолетостроение является отсутствие вполне надежно испытанных и доведенных на самолетах отечественных моторов.</w:t>
      </w:r>
    </w:p>
    <w:p w14:paraId="2EEF302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Примерами этого положения может служить все самолеты выпущенные на заводские испытания.</w:t>
      </w:r>
    </w:p>
    <w:p w14:paraId="2916155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доводки моторного хозяйства на самолетах ТБ3 и ТБ4 и МИ3 и до выпуска самолетов потребовалось несколько месяцев, тогда как для сам. И-14 с мотором заграничным и не отступающим по своим свойствам от обычных, - потребовалось до выпуска в воздухе несколько дней.</w:t>
      </w:r>
    </w:p>
    <w:p w14:paraId="4F3DF81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Краткий технический отчет по опытному строительству моторов за 1-ое полугодие 1933 г.</w:t>
      </w:r>
    </w:p>
    <w:p w14:paraId="1763A37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Основными задачами по опытному моторостроению на 1933 г. являлись:</w:t>
      </w:r>
    </w:p>
    <w:p w14:paraId="6483269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Выполнение работ, незаконченных в 1932 г. по плану утвержденному Правительством от 4/VII-32 г.</w:t>
      </w:r>
    </w:p>
    <w:p w14:paraId="166C02D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Создание для моторов М-34 мощного нагнетателя до высоты 3500 м, а далее до 5000 м и редуктора к этому мотору.</w:t>
      </w:r>
    </w:p>
    <w:p w14:paraId="48B69ED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Создание винта переменного шага позволяющего максимально использовать мощности высотного мотора.</w:t>
      </w:r>
    </w:p>
    <w:p w14:paraId="20F9888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Создание мощного двигателя воздушного охлаждения для истребительной авиации (М-58, М-38).</w:t>
      </w:r>
    </w:p>
    <w:p w14:paraId="1FF7BA1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Создание опытного образца нефтяного мотора АП1.</w:t>
      </w:r>
    </w:p>
    <w:p w14:paraId="7DAB321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Создание сверхмощного бензин. мотора сочетающего в одном агрегате 2000 л. сил.</w:t>
      </w:r>
    </w:p>
    <w:p w14:paraId="2BAE64F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Изготовление и испытание реверса мотора М-34 для нужд УВМС.</w:t>
      </w:r>
    </w:p>
    <w:p w14:paraId="5C6531D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Доводка мотора М-34 в условиях его на самолеты и изучения винтомоторной группы.</w:t>
      </w:r>
    </w:p>
    <w:p w14:paraId="3135456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Выпуск малой опытной серии моторов М-34Р (с редуктором).</w:t>
      </w:r>
    </w:p>
    <w:p w14:paraId="63B4E49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Создание собственного карбюратора для мотора М-34 и усовершенствование других агрегатов.</w:t>
      </w:r>
    </w:p>
    <w:p w14:paraId="2DB1B8E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Создание модификаций М-11 (М-51) в виде 7 и 9 конечной звезды для удовлетворения нужд учебной авиации и гражд. флота.</w:t>
      </w:r>
    </w:p>
    <w:p w14:paraId="160FB6D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Работы над семьей мотора М-34 (М52, М-34Р, М-34Н, ГМ-34).</w:t>
      </w:r>
    </w:p>
    <w:p w14:paraId="73E6E53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Работы Х.А.И. по паровым турбинам и нефтяным двигателям.</w:t>
      </w:r>
    </w:p>
    <w:p w14:paraId="7BF38FB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Широкий фронт работ по опытному моторостроению, выражающийся в изготовлении до "20" опытных объектов, потребовал сосредоточить внимание на наиболее актуальных задачах. Комиссией РВС СССР был произведен пересмотр объектов в соответствии с технико-тактическими требованиями, ввиду чего работы разбиты на первоочередные, не требующие дополнительного экспериментирования, работы экспериментальные второй очереди и экспериментальные работы 3-й очереди, требующие глубокого и широкого экспериментирования и исследования.</w:t>
      </w:r>
    </w:p>
    <w:p w14:paraId="49DE717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Указанный план положен в основу работ 1933 г.</w:t>
      </w:r>
    </w:p>
    <w:p w14:paraId="75B3F5C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плана ВВС СССР в области опытного моторостроения, за 1-ое полугодие произведено следующее: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02"/>
        <w:gridCol w:w="8079"/>
      </w:tblGrid>
      <w:tr w:rsidR="004E10C1" w:rsidRPr="0044524F" w14:paraId="53FD3415" w14:textId="77777777">
        <w:tc>
          <w:tcPr>
            <w:tcW w:w="2802" w:type="dxa"/>
          </w:tcPr>
          <w:p w14:paraId="13E82CA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М-34</w:t>
            </w:r>
          </w:p>
        </w:tc>
        <w:tc>
          <w:tcPr>
            <w:tcW w:w="8079" w:type="dxa"/>
          </w:tcPr>
          <w:p w14:paraId="4D0500D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Мотор прошел государственные 100 час испытания в ноябре 1931 г. и внедрен в серийное пр-во на </w:t>
            </w:r>
          </w:p>
        </w:tc>
      </w:tr>
      <w:tr w:rsidR="004E10C1" w:rsidRPr="0044524F" w14:paraId="74F2FCEF" w14:textId="77777777">
        <w:tc>
          <w:tcPr>
            <w:tcW w:w="2802" w:type="dxa"/>
          </w:tcPr>
          <w:p w14:paraId="33C3E18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750 л. с.</w:t>
            </w:r>
          </w:p>
        </w:tc>
        <w:tc>
          <w:tcPr>
            <w:tcW w:w="8079" w:type="dxa"/>
          </w:tcPr>
          <w:p w14:paraId="7CAF87A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заводе N 24 с мая 1932 г.</w:t>
            </w:r>
          </w:p>
        </w:tc>
      </w:tr>
      <w:tr w:rsidR="004E10C1" w:rsidRPr="0044524F" w14:paraId="4C38294B" w14:textId="77777777">
        <w:tc>
          <w:tcPr>
            <w:tcW w:w="2802" w:type="dxa"/>
          </w:tcPr>
          <w:p w14:paraId="28DE47C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600</w:t>
            </w:r>
          </w:p>
        </w:tc>
        <w:tc>
          <w:tcPr>
            <w:tcW w:w="8079" w:type="dxa"/>
          </w:tcPr>
          <w:p w14:paraId="72734C0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Первое полугодие 1933 года явилось этапом изучения винтомоторной группы и работы мотора</w:t>
            </w:r>
          </w:p>
        </w:tc>
      </w:tr>
      <w:tr w:rsidR="004E10C1" w:rsidRPr="0044524F" w14:paraId="1306AA36" w14:textId="77777777">
        <w:tc>
          <w:tcPr>
            <w:tcW w:w="2802" w:type="dxa"/>
          </w:tcPr>
          <w:p w14:paraId="2194F53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 ЦИАМ"а</w:t>
            </w:r>
          </w:p>
        </w:tc>
        <w:tc>
          <w:tcPr>
            <w:tcW w:w="8079" w:type="dxa"/>
          </w:tcPr>
          <w:p w14:paraId="6A8F358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на самолетах (Р-5, ТБ-3, ТБ-4, МИ3).</w:t>
            </w:r>
          </w:p>
        </w:tc>
      </w:tr>
      <w:tr w:rsidR="004E10C1" w:rsidRPr="0044524F" w14:paraId="459D71FB" w14:textId="77777777">
        <w:tc>
          <w:tcPr>
            <w:tcW w:w="2802" w:type="dxa"/>
          </w:tcPr>
          <w:p w14:paraId="01BC856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85590B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 сложной оказалась задача охлаждения мотора, в особенности масла. Были испытаны</w:t>
            </w:r>
          </w:p>
        </w:tc>
      </w:tr>
      <w:tr w:rsidR="004E10C1" w:rsidRPr="0044524F" w14:paraId="0C24454C" w14:textId="77777777">
        <w:tc>
          <w:tcPr>
            <w:tcW w:w="2802" w:type="dxa"/>
          </w:tcPr>
          <w:p w14:paraId="442A8F3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FC3F89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воздушные и водомасляные радиаторы, которые после непродолжительной работы мотора</w:t>
            </w:r>
          </w:p>
        </w:tc>
      </w:tr>
      <w:tr w:rsidR="004E10C1" w:rsidRPr="0044524F" w14:paraId="1745879F" w14:textId="77777777">
        <w:tc>
          <w:tcPr>
            <w:tcW w:w="2802" w:type="dxa"/>
          </w:tcPr>
          <w:p w14:paraId="66832DE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5185DB9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давали течь и разрывались. Введением в схему "шунта" с редукционным клапаном и</w:t>
            </w:r>
          </w:p>
        </w:tc>
      </w:tr>
      <w:tr w:rsidR="004E10C1" w:rsidRPr="0044524F" w14:paraId="7A549C12" w14:textId="77777777">
        <w:tc>
          <w:tcPr>
            <w:tcW w:w="2802" w:type="dxa"/>
          </w:tcPr>
          <w:p w14:paraId="6170A3D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94A817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дополнительным воздушным радиатором дефекты изжиты и схема работает на самолетах вполне</w:t>
            </w:r>
          </w:p>
        </w:tc>
      </w:tr>
      <w:tr w:rsidR="004E10C1" w:rsidRPr="0044524F" w14:paraId="16506E5D" w14:textId="77777777">
        <w:tc>
          <w:tcPr>
            <w:tcW w:w="2802" w:type="dxa"/>
          </w:tcPr>
          <w:p w14:paraId="1AF45E7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BD7F14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удовлетворительно.</w:t>
            </w:r>
          </w:p>
        </w:tc>
      </w:tr>
      <w:tr w:rsidR="004E10C1" w:rsidRPr="0044524F" w14:paraId="4F56FEA5" w14:textId="77777777">
        <w:tc>
          <w:tcPr>
            <w:tcW w:w="2802" w:type="dxa"/>
          </w:tcPr>
          <w:p w14:paraId="26A6AE6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37D0C8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Предварительные испытания опытных самолетов с моторами М-34 показали вполне</w:t>
            </w:r>
          </w:p>
        </w:tc>
      </w:tr>
      <w:tr w:rsidR="004E10C1" w:rsidRPr="0044524F" w14:paraId="6D54BFA5" w14:textId="77777777">
        <w:tc>
          <w:tcPr>
            <w:tcW w:w="2802" w:type="dxa"/>
          </w:tcPr>
          <w:p w14:paraId="5773EB1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150EA17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удовлетворительную работу моторов.</w:t>
            </w:r>
          </w:p>
        </w:tc>
      </w:tr>
      <w:tr w:rsidR="004E10C1" w:rsidRPr="0044524F" w14:paraId="09C4B26C" w14:textId="77777777">
        <w:tc>
          <w:tcPr>
            <w:tcW w:w="2802" w:type="dxa"/>
          </w:tcPr>
          <w:p w14:paraId="67491B5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AAAE94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Дальнейшим этапом в работе намечается проведение испытаний М-34 с карбюратором</w:t>
            </w:r>
          </w:p>
        </w:tc>
      </w:tr>
      <w:tr w:rsidR="004E10C1" w:rsidRPr="0044524F" w14:paraId="7B3081A7" w14:textId="77777777">
        <w:tc>
          <w:tcPr>
            <w:tcW w:w="2802" w:type="dxa"/>
          </w:tcPr>
          <w:p w14:paraId="59FD9A7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11CDBF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отечественной конструкции 92КД3, наземные госуд. испытания которого НИИ ВВС признаны</w:t>
            </w:r>
          </w:p>
        </w:tc>
      </w:tr>
      <w:tr w:rsidR="004E10C1" w:rsidRPr="0044524F" w14:paraId="31EA420B" w14:textId="77777777">
        <w:tc>
          <w:tcPr>
            <w:tcW w:w="2802" w:type="dxa"/>
          </w:tcPr>
          <w:p w14:paraId="0EEAD08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14F151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удовлетворительными и наконец - проверка мотора М-34 в эксплуатации в строевых частях ВВС.</w:t>
            </w:r>
          </w:p>
        </w:tc>
      </w:tr>
      <w:tr w:rsidR="004E10C1" w:rsidRPr="0044524F" w14:paraId="3C4C17F7" w14:textId="77777777">
        <w:tc>
          <w:tcPr>
            <w:tcW w:w="2802" w:type="dxa"/>
          </w:tcPr>
          <w:p w14:paraId="02F47C8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 с редуктором</w:t>
            </w:r>
          </w:p>
        </w:tc>
        <w:tc>
          <w:tcPr>
            <w:tcW w:w="8079" w:type="dxa"/>
          </w:tcPr>
          <w:p w14:paraId="785A53C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поступил на заводские испытания в ноябре 1932 г.</w:t>
            </w:r>
          </w:p>
        </w:tc>
      </w:tr>
      <w:tr w:rsidR="004E10C1" w:rsidRPr="0044524F" w14:paraId="35704D30" w14:textId="77777777">
        <w:tc>
          <w:tcPr>
            <w:tcW w:w="2802" w:type="dxa"/>
          </w:tcPr>
          <w:p w14:paraId="4E402B1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750 л.с.</w:t>
            </w:r>
          </w:p>
        </w:tc>
        <w:tc>
          <w:tcPr>
            <w:tcW w:w="8079" w:type="dxa"/>
          </w:tcPr>
          <w:p w14:paraId="0EC1A1F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Заводские испытания выявили незначительные дефекты, которые были устранены и мотор 25/III-</w:t>
            </w:r>
          </w:p>
        </w:tc>
      </w:tr>
      <w:tr w:rsidR="004E10C1" w:rsidRPr="0044524F" w14:paraId="15B08103" w14:textId="77777777">
        <w:tc>
          <w:tcPr>
            <w:tcW w:w="2802" w:type="dxa"/>
          </w:tcPr>
          <w:p w14:paraId="304E01F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675 кг</w:t>
            </w:r>
          </w:p>
        </w:tc>
        <w:tc>
          <w:tcPr>
            <w:tcW w:w="8079" w:type="dxa"/>
          </w:tcPr>
          <w:p w14:paraId="3BADCD7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с.г. предъявлен на государст. испытание, которое признано удовлетворительным.</w:t>
            </w:r>
          </w:p>
        </w:tc>
      </w:tr>
      <w:tr w:rsidR="004E10C1" w:rsidRPr="0044524F" w14:paraId="0B99F4A4" w14:textId="77777777">
        <w:tc>
          <w:tcPr>
            <w:tcW w:w="2802" w:type="dxa"/>
          </w:tcPr>
          <w:p w14:paraId="2F5212B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 25/III-33г.</w:t>
            </w:r>
          </w:p>
        </w:tc>
        <w:tc>
          <w:tcPr>
            <w:tcW w:w="8079" w:type="dxa"/>
          </w:tcPr>
          <w:p w14:paraId="7AA4493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передан в серийное производство на завод N 24; ориентировочный выпуск первых</w:t>
            </w:r>
          </w:p>
        </w:tc>
      </w:tr>
      <w:tr w:rsidR="004E10C1" w:rsidRPr="0044524F" w14:paraId="336CF33C" w14:textId="77777777">
        <w:tc>
          <w:tcPr>
            <w:tcW w:w="2802" w:type="dxa"/>
          </w:tcPr>
          <w:p w14:paraId="2C4ADE7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ЦИАМ</w:t>
            </w:r>
          </w:p>
        </w:tc>
        <w:tc>
          <w:tcPr>
            <w:tcW w:w="8079" w:type="dxa"/>
          </w:tcPr>
          <w:p w14:paraId="4F455F7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серийных моторов в ноябре-декабре с.г.</w:t>
            </w:r>
          </w:p>
        </w:tc>
      </w:tr>
      <w:tr w:rsidR="004E10C1" w:rsidRPr="0044524F" w14:paraId="31BDF0C2" w14:textId="77777777">
        <w:tc>
          <w:tcPr>
            <w:tcW w:w="2802" w:type="dxa"/>
          </w:tcPr>
          <w:p w14:paraId="75BC20C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4D43812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Произведена подготовка к изготовлению опытной серии М-34Р, со сроком выпуска моторов в</w:t>
            </w:r>
          </w:p>
        </w:tc>
      </w:tr>
      <w:tr w:rsidR="004E10C1" w:rsidRPr="0044524F" w14:paraId="6FAFEA65" w14:textId="77777777">
        <w:tc>
          <w:tcPr>
            <w:tcW w:w="2802" w:type="dxa"/>
          </w:tcPr>
          <w:p w14:paraId="5ECA228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B9BB65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 7 экз. к 20/VIII, для установки на опытные самолеты ЦАГИ.</w:t>
            </w:r>
          </w:p>
        </w:tc>
      </w:tr>
      <w:tr w:rsidR="004E10C1" w:rsidRPr="0044524F" w14:paraId="547C3919" w14:textId="77777777">
        <w:tc>
          <w:tcPr>
            <w:tcW w:w="2802" w:type="dxa"/>
          </w:tcPr>
          <w:p w14:paraId="4AC0120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457FD78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Дальнейшим этапом в работах по мотору М-34Р является повышение мощности до 900 л.с., что по</w:t>
            </w:r>
          </w:p>
        </w:tc>
      </w:tr>
      <w:tr w:rsidR="004E10C1" w:rsidRPr="0044524F" w14:paraId="26F343F5" w14:textId="77777777">
        <w:tc>
          <w:tcPr>
            <w:tcW w:w="2802" w:type="dxa"/>
          </w:tcPr>
          <w:p w14:paraId="3CA752D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A22DFD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расчетной прочности редуктора вполне допустимо.</w:t>
            </w:r>
          </w:p>
        </w:tc>
      </w:tr>
      <w:tr w:rsidR="004E10C1" w:rsidRPr="0044524F" w14:paraId="5C841234" w14:textId="77777777">
        <w:tc>
          <w:tcPr>
            <w:tcW w:w="2802" w:type="dxa"/>
          </w:tcPr>
          <w:p w14:paraId="5D82CEA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E3F469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малой опытной серии - 75%.</w:t>
            </w:r>
          </w:p>
        </w:tc>
      </w:tr>
      <w:tr w:rsidR="004E10C1" w:rsidRPr="0044524F" w14:paraId="66ADD14C" w14:textId="77777777">
        <w:tc>
          <w:tcPr>
            <w:tcW w:w="2802" w:type="dxa"/>
          </w:tcPr>
          <w:p w14:paraId="51BB3EC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М-34РН.. цилиндр.</w:t>
            </w:r>
          </w:p>
        </w:tc>
        <w:tc>
          <w:tcPr>
            <w:tcW w:w="8079" w:type="dxa"/>
          </w:tcPr>
          <w:p w14:paraId="1763B1E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плану ЦИАМ должен дать к 1/I-34 г. 7 нагнетателей для моторов М-34Р малой серии.</w:t>
            </w:r>
          </w:p>
        </w:tc>
      </w:tr>
      <w:tr w:rsidR="004E10C1" w:rsidRPr="0044524F" w14:paraId="418D7A1B" w14:textId="77777777">
        <w:tc>
          <w:tcPr>
            <w:tcW w:w="2802" w:type="dxa"/>
          </w:tcPr>
          <w:p w14:paraId="354348A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Водяное охлажд.</w:t>
            </w:r>
          </w:p>
        </w:tc>
        <w:tc>
          <w:tcPr>
            <w:tcW w:w="8079" w:type="dxa"/>
          </w:tcPr>
          <w:p w14:paraId="7146BB5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Ведутся работы с двумя типами нагнетателей: выключающийся и невыключающийся.</w:t>
            </w:r>
          </w:p>
        </w:tc>
      </w:tr>
      <w:tr w:rsidR="004E10C1" w:rsidRPr="0044524F" w14:paraId="05DC08EB" w14:textId="77777777">
        <w:tc>
          <w:tcPr>
            <w:tcW w:w="2802" w:type="dxa"/>
          </w:tcPr>
          <w:p w14:paraId="6B92298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1750 л.с.</w:t>
            </w:r>
          </w:p>
        </w:tc>
        <w:tc>
          <w:tcPr>
            <w:tcW w:w="8079" w:type="dxa"/>
          </w:tcPr>
          <w:p w14:paraId="6151454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Нагнетатель невыключающийся N 1 изготовлен, прошел лабораторн. испытания и был поставлен </w:t>
            </w:r>
          </w:p>
        </w:tc>
      </w:tr>
      <w:tr w:rsidR="004E10C1" w:rsidRPr="0044524F" w14:paraId="28EADFAE" w14:textId="77777777">
        <w:tc>
          <w:tcPr>
            <w:tcW w:w="2802" w:type="dxa"/>
          </w:tcPr>
          <w:p w14:paraId="654EDB7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1900 об/мин</w:t>
            </w:r>
          </w:p>
        </w:tc>
        <w:tc>
          <w:tcPr>
            <w:tcW w:w="8079" w:type="dxa"/>
          </w:tcPr>
          <w:p w14:paraId="1D4631A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мотор. На моторе нагнетат. проработал около 110 часов и дал хорошие показатели. В</w:t>
            </w:r>
          </w:p>
        </w:tc>
      </w:tr>
      <w:tr w:rsidR="004E10C1" w:rsidRPr="0044524F" w14:paraId="789A9223" w14:textId="77777777">
        <w:tc>
          <w:tcPr>
            <w:tcW w:w="2802" w:type="dxa"/>
          </w:tcPr>
          <w:p w14:paraId="5593E92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3500 м</w:t>
            </w:r>
          </w:p>
        </w:tc>
        <w:tc>
          <w:tcPr>
            <w:tcW w:w="8079" w:type="dxa"/>
          </w:tcPr>
          <w:p w14:paraId="2664804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результате испытаний выявлены слабые места нагнетателя, которые будут учтены при</w:t>
            </w:r>
          </w:p>
        </w:tc>
      </w:tr>
      <w:tr w:rsidR="004E10C1" w:rsidRPr="0044524F" w14:paraId="2CB0B1A6" w14:textId="77777777">
        <w:tc>
          <w:tcPr>
            <w:tcW w:w="2802" w:type="dxa"/>
          </w:tcPr>
          <w:p w14:paraId="5CE5413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втулки 720 к.</w:t>
            </w:r>
          </w:p>
        </w:tc>
        <w:tc>
          <w:tcPr>
            <w:tcW w:w="8079" w:type="dxa"/>
          </w:tcPr>
          <w:p w14:paraId="62031E5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изготовлении следующих нагнетателей.</w:t>
            </w:r>
          </w:p>
        </w:tc>
      </w:tr>
      <w:tr w:rsidR="004E10C1" w:rsidRPr="0044524F" w14:paraId="58C21F33" w14:textId="77777777">
        <w:tc>
          <w:tcPr>
            <w:tcW w:w="2802" w:type="dxa"/>
          </w:tcPr>
          <w:p w14:paraId="119BFB4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исп. 1/IX-33г.</w:t>
            </w:r>
          </w:p>
        </w:tc>
        <w:tc>
          <w:tcPr>
            <w:tcW w:w="8079" w:type="dxa"/>
          </w:tcPr>
          <w:p w14:paraId="2804BC8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Нагнет. N 2 законч. производством. N 3, 4 и 5 окончены будут к 15/VIII-33 г. Нагнетатель</w:t>
            </w:r>
          </w:p>
        </w:tc>
      </w:tr>
      <w:tr w:rsidR="004E10C1" w:rsidRPr="0044524F" w14:paraId="5116730A" w14:textId="77777777">
        <w:tc>
          <w:tcPr>
            <w:tcW w:w="2802" w:type="dxa"/>
          </w:tcPr>
          <w:p w14:paraId="2A33C74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w:t>
            </w:r>
          </w:p>
        </w:tc>
        <w:tc>
          <w:tcPr>
            <w:tcW w:w="8079" w:type="dxa"/>
          </w:tcPr>
          <w:p w14:paraId="1F711A9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выключающийся. Всего изготовл. 4 нагнетателя, N 2, 3 и 4 для дальнейших испыт. негодны, N 1</w:t>
            </w:r>
          </w:p>
        </w:tc>
      </w:tr>
      <w:tr w:rsidR="004E10C1" w:rsidRPr="0044524F" w14:paraId="14B9A6A4" w14:textId="77777777">
        <w:tc>
          <w:tcPr>
            <w:tcW w:w="2802" w:type="dxa"/>
          </w:tcPr>
          <w:p w14:paraId="6548327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12-ти цилиндр.</w:t>
            </w:r>
          </w:p>
        </w:tc>
        <w:tc>
          <w:tcPr>
            <w:tcW w:w="8079" w:type="dxa"/>
          </w:tcPr>
          <w:p w14:paraId="1DC4749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восстанав. в пр-ве N 5 и 6 с окончанием произв. 30/IX-33 г. В процессе испытаний проведен</w:t>
            </w:r>
          </w:p>
        </w:tc>
      </w:tr>
      <w:tr w:rsidR="004E10C1" w:rsidRPr="0044524F" w14:paraId="44179A92" w14:textId="77777777">
        <w:tc>
          <w:tcPr>
            <w:tcW w:w="2802" w:type="dxa"/>
          </w:tcPr>
          <w:p w14:paraId="313A96A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 охлажд.</w:t>
            </w:r>
          </w:p>
        </w:tc>
        <w:tc>
          <w:tcPr>
            <w:tcW w:w="8079" w:type="dxa"/>
          </w:tcPr>
          <w:p w14:paraId="2FB1690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 конструктивн. изменений. N 3 и 4 будут собраны с усиленными корпусами.</w:t>
            </w:r>
          </w:p>
        </w:tc>
      </w:tr>
      <w:tr w:rsidR="004E10C1" w:rsidRPr="0044524F" w14:paraId="43F5B800" w14:textId="77777777">
        <w:tc>
          <w:tcPr>
            <w:tcW w:w="2802" w:type="dxa"/>
          </w:tcPr>
          <w:p w14:paraId="5891A92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750 л.с.</w:t>
            </w:r>
          </w:p>
        </w:tc>
        <w:tc>
          <w:tcPr>
            <w:tcW w:w="8079" w:type="dxa"/>
          </w:tcPr>
          <w:p w14:paraId="67124BE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 нагнетат. к гос. испыт. = 80%.</w:t>
            </w:r>
          </w:p>
        </w:tc>
      </w:tr>
      <w:tr w:rsidR="004E10C1" w:rsidRPr="0044524F" w14:paraId="55232BFB" w14:textId="77777777">
        <w:tc>
          <w:tcPr>
            <w:tcW w:w="2802" w:type="dxa"/>
          </w:tcPr>
          <w:p w14:paraId="44A0B9D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1900 об/мин.</w:t>
            </w:r>
          </w:p>
        </w:tc>
        <w:tc>
          <w:tcPr>
            <w:tcW w:w="8079" w:type="dxa"/>
          </w:tcPr>
          <w:p w14:paraId="6506E8F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29A740A" w14:textId="77777777">
        <w:tc>
          <w:tcPr>
            <w:tcW w:w="2802" w:type="dxa"/>
          </w:tcPr>
          <w:p w14:paraId="415B327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3500 м</w:t>
            </w:r>
          </w:p>
        </w:tc>
        <w:tc>
          <w:tcPr>
            <w:tcW w:w="8079" w:type="dxa"/>
          </w:tcPr>
          <w:p w14:paraId="62AD04B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8BB1102" w14:textId="77777777">
        <w:tc>
          <w:tcPr>
            <w:tcW w:w="2802" w:type="dxa"/>
          </w:tcPr>
          <w:p w14:paraId="1A6266C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 втулки 650 кг</w:t>
            </w:r>
          </w:p>
        </w:tc>
        <w:tc>
          <w:tcPr>
            <w:tcW w:w="8079" w:type="dxa"/>
          </w:tcPr>
          <w:p w14:paraId="4C0D63D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EE3C95F" w14:textId="77777777">
        <w:tc>
          <w:tcPr>
            <w:tcW w:w="2802" w:type="dxa"/>
          </w:tcPr>
          <w:p w14:paraId="7B88498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исп. 1/IX-33г.</w:t>
            </w:r>
          </w:p>
        </w:tc>
        <w:tc>
          <w:tcPr>
            <w:tcW w:w="8079" w:type="dxa"/>
          </w:tcPr>
          <w:p w14:paraId="367984A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FFC8886" w14:textId="77777777">
        <w:tc>
          <w:tcPr>
            <w:tcW w:w="2802" w:type="dxa"/>
          </w:tcPr>
          <w:p w14:paraId="33B12A4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М-349с электр. картером</w:t>
            </w:r>
          </w:p>
        </w:tc>
        <w:tc>
          <w:tcPr>
            <w:tcW w:w="8079" w:type="dxa"/>
          </w:tcPr>
          <w:p w14:paraId="2EAF23C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ЦИАМ'ом отлиты 3 электронных картера, которые переданы для обработки на зав. 24. Один</w:t>
            </w:r>
          </w:p>
        </w:tc>
      </w:tr>
      <w:tr w:rsidR="004E10C1" w:rsidRPr="0044524F" w14:paraId="0E541073" w14:textId="77777777">
        <w:tc>
          <w:tcPr>
            <w:tcW w:w="2802" w:type="dxa"/>
          </w:tcPr>
          <w:p w14:paraId="660E407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 цилиндр.</w:t>
            </w:r>
          </w:p>
        </w:tc>
        <w:tc>
          <w:tcPr>
            <w:tcW w:w="8079" w:type="dxa"/>
          </w:tcPr>
          <w:p w14:paraId="4BCCE40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картер вышел в брак, а остальные два после обработки поступили в монтажный цех ЦИАМ'а с</w:t>
            </w:r>
          </w:p>
        </w:tc>
      </w:tr>
      <w:tr w:rsidR="004E10C1" w:rsidRPr="0044524F" w14:paraId="4E20E3A4" w14:textId="77777777">
        <w:tc>
          <w:tcPr>
            <w:tcW w:w="2802" w:type="dxa"/>
          </w:tcPr>
          <w:p w14:paraId="4A07B89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Водян. охлажд.</w:t>
            </w:r>
          </w:p>
        </w:tc>
        <w:tc>
          <w:tcPr>
            <w:tcW w:w="8079" w:type="dxa"/>
          </w:tcPr>
          <w:p w14:paraId="25411D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ориентировочн. сроком окончания монтажа и начала заводских испытаний август 1933 г.</w:t>
            </w:r>
          </w:p>
        </w:tc>
      </w:tr>
      <w:tr w:rsidR="004E10C1" w:rsidRPr="0044524F" w14:paraId="6A9C7D81" w14:textId="77777777">
        <w:tc>
          <w:tcPr>
            <w:tcW w:w="2802" w:type="dxa"/>
          </w:tcPr>
          <w:p w14:paraId="5EC9DDD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750 л.с.</w:t>
            </w:r>
          </w:p>
        </w:tc>
        <w:tc>
          <w:tcPr>
            <w:tcW w:w="8079" w:type="dxa"/>
          </w:tcPr>
          <w:p w14:paraId="014FB9E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 к гос. испытан. = 45%.</w:t>
            </w:r>
          </w:p>
        </w:tc>
      </w:tr>
      <w:tr w:rsidR="004E10C1" w:rsidRPr="0044524F" w14:paraId="6C4DCC82" w14:textId="77777777">
        <w:tc>
          <w:tcPr>
            <w:tcW w:w="2802" w:type="dxa"/>
          </w:tcPr>
          <w:p w14:paraId="1087B7D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1900 об/мин.</w:t>
            </w:r>
          </w:p>
        </w:tc>
        <w:tc>
          <w:tcPr>
            <w:tcW w:w="8079" w:type="dxa"/>
          </w:tcPr>
          <w:p w14:paraId="41A4DA0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8282CC8" w14:textId="77777777">
        <w:tc>
          <w:tcPr>
            <w:tcW w:w="2802" w:type="dxa"/>
          </w:tcPr>
          <w:p w14:paraId="7FAB825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 втулки 560 кг</w:t>
            </w:r>
          </w:p>
        </w:tc>
        <w:tc>
          <w:tcPr>
            <w:tcW w:w="8079" w:type="dxa"/>
          </w:tcPr>
          <w:p w14:paraId="71B56D1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3C4E5F6" w14:textId="77777777">
        <w:tc>
          <w:tcPr>
            <w:tcW w:w="2802" w:type="dxa"/>
          </w:tcPr>
          <w:p w14:paraId="184ACB8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 гос. испыт. 1/XII-33г.</w:t>
            </w:r>
          </w:p>
        </w:tc>
        <w:tc>
          <w:tcPr>
            <w:tcW w:w="8079" w:type="dxa"/>
          </w:tcPr>
          <w:p w14:paraId="086DB4F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399F053" w14:textId="77777777">
        <w:tc>
          <w:tcPr>
            <w:tcW w:w="2802" w:type="dxa"/>
          </w:tcPr>
          <w:p w14:paraId="63B6F3F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 (форсированный</w:t>
            </w:r>
          </w:p>
        </w:tc>
        <w:tc>
          <w:tcPr>
            <w:tcW w:w="8079" w:type="dxa"/>
          </w:tcPr>
          <w:p w14:paraId="7CBA569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Проведены просчеты, эксперименты и приступлено к эскизной компоновки.</w:t>
            </w:r>
          </w:p>
        </w:tc>
      </w:tr>
      <w:tr w:rsidR="004E10C1" w:rsidRPr="0044524F" w14:paraId="0C81B62B" w14:textId="77777777">
        <w:tc>
          <w:tcPr>
            <w:tcW w:w="2802" w:type="dxa"/>
          </w:tcPr>
          <w:p w14:paraId="13A55C9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нагнетателем)</w:t>
            </w:r>
          </w:p>
        </w:tc>
        <w:tc>
          <w:tcPr>
            <w:tcW w:w="8079" w:type="dxa"/>
          </w:tcPr>
          <w:p w14:paraId="49DF09A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плану предусматривается изготовление 4-х моторов со сроком 1/II-34г.</w:t>
            </w:r>
          </w:p>
        </w:tc>
      </w:tr>
      <w:tr w:rsidR="004E10C1" w:rsidRPr="0044524F" w14:paraId="1F31F9D5" w14:textId="77777777">
        <w:tc>
          <w:tcPr>
            <w:tcW w:w="2802" w:type="dxa"/>
          </w:tcPr>
          <w:p w14:paraId="67363E1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900 л.с.</w:t>
            </w:r>
          </w:p>
        </w:tc>
        <w:tc>
          <w:tcPr>
            <w:tcW w:w="8079" w:type="dxa"/>
          </w:tcPr>
          <w:p w14:paraId="26F8506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окончания эскизной компоновки 1/VIII-с.г.</w:t>
            </w:r>
          </w:p>
        </w:tc>
      </w:tr>
      <w:tr w:rsidR="004E10C1" w:rsidRPr="0044524F" w14:paraId="4518EC6B" w14:textId="77777777">
        <w:tc>
          <w:tcPr>
            <w:tcW w:w="2802" w:type="dxa"/>
          </w:tcPr>
          <w:p w14:paraId="5B4A158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 = 3500 м</w:t>
            </w:r>
          </w:p>
        </w:tc>
        <w:tc>
          <w:tcPr>
            <w:tcW w:w="8079" w:type="dxa"/>
          </w:tcPr>
          <w:p w14:paraId="4427C76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Рабочие чертежи должны быть переданы в пр-во 1/IX-с.г.</w:t>
            </w:r>
          </w:p>
        </w:tc>
      </w:tr>
      <w:tr w:rsidR="004E10C1" w:rsidRPr="0044524F" w14:paraId="1A28EAB2" w14:textId="77777777">
        <w:tc>
          <w:tcPr>
            <w:tcW w:w="2802" w:type="dxa"/>
          </w:tcPr>
          <w:p w14:paraId="68329B5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 гос. испыт. 1/V-34г.</w:t>
            </w:r>
          </w:p>
        </w:tc>
        <w:tc>
          <w:tcPr>
            <w:tcW w:w="8079" w:type="dxa"/>
          </w:tcPr>
          <w:p w14:paraId="787E239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к гос. исп. = 5%.</w:t>
            </w:r>
          </w:p>
        </w:tc>
      </w:tr>
      <w:tr w:rsidR="004E10C1" w:rsidRPr="0044524F" w14:paraId="5C80C8B5" w14:textId="77777777">
        <w:tc>
          <w:tcPr>
            <w:tcW w:w="2802" w:type="dxa"/>
          </w:tcPr>
          <w:p w14:paraId="2EC06C0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 (форсиров.</w:t>
            </w:r>
          </w:p>
        </w:tc>
        <w:tc>
          <w:tcPr>
            <w:tcW w:w="8079" w:type="dxa"/>
          </w:tcPr>
          <w:p w14:paraId="26FD3FA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ведутся просчеты.</w:t>
            </w:r>
          </w:p>
        </w:tc>
      </w:tr>
      <w:tr w:rsidR="004E10C1" w:rsidRPr="0044524F" w14:paraId="1ABBBFFC" w14:textId="77777777">
        <w:tc>
          <w:tcPr>
            <w:tcW w:w="2802" w:type="dxa"/>
          </w:tcPr>
          <w:p w14:paraId="53A0A11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редукторн. с нагнетат.)</w:t>
            </w:r>
          </w:p>
        </w:tc>
        <w:tc>
          <w:tcPr>
            <w:tcW w:w="8079" w:type="dxa"/>
          </w:tcPr>
          <w:p w14:paraId="544FF6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2415A61" w14:textId="77777777">
        <w:tc>
          <w:tcPr>
            <w:tcW w:w="2802" w:type="dxa"/>
          </w:tcPr>
          <w:p w14:paraId="2FC0F22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900 л.с.</w:t>
            </w:r>
          </w:p>
        </w:tc>
        <w:tc>
          <w:tcPr>
            <w:tcW w:w="8079" w:type="dxa"/>
          </w:tcPr>
          <w:p w14:paraId="1816803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9B65C6E" w14:textId="77777777">
        <w:tc>
          <w:tcPr>
            <w:tcW w:w="2802" w:type="dxa"/>
          </w:tcPr>
          <w:p w14:paraId="10350F0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 = 5000 м</w:t>
            </w:r>
          </w:p>
        </w:tc>
        <w:tc>
          <w:tcPr>
            <w:tcW w:w="8079" w:type="dxa"/>
          </w:tcPr>
          <w:p w14:paraId="5E8D9C6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93ADCF8" w14:textId="77777777">
        <w:tc>
          <w:tcPr>
            <w:tcW w:w="2802" w:type="dxa"/>
          </w:tcPr>
          <w:p w14:paraId="6404E49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 гос. исп. 1/IX-34 г.</w:t>
            </w:r>
          </w:p>
        </w:tc>
        <w:tc>
          <w:tcPr>
            <w:tcW w:w="8079" w:type="dxa"/>
          </w:tcPr>
          <w:p w14:paraId="2AC16B3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A6607BE" w14:textId="77777777">
        <w:tc>
          <w:tcPr>
            <w:tcW w:w="2802" w:type="dxa"/>
          </w:tcPr>
          <w:p w14:paraId="423BF49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М-34ФРНУ (с удлин.</w:t>
            </w:r>
          </w:p>
        </w:tc>
        <w:tc>
          <w:tcPr>
            <w:tcW w:w="8079" w:type="dxa"/>
          </w:tcPr>
          <w:p w14:paraId="1122AD7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Разрабатываются чертежи деталей удлиненного вала. Срок окончан. работ 15/VII-с.г.</w:t>
            </w:r>
          </w:p>
        </w:tc>
      </w:tr>
      <w:tr w:rsidR="004E10C1" w:rsidRPr="0044524F" w14:paraId="7F488D34" w14:textId="77777777">
        <w:tc>
          <w:tcPr>
            <w:tcW w:w="2802" w:type="dxa"/>
          </w:tcPr>
          <w:p w14:paraId="37440FD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валом)</w:t>
            </w:r>
          </w:p>
        </w:tc>
        <w:tc>
          <w:tcPr>
            <w:tcW w:w="8079" w:type="dxa"/>
          </w:tcPr>
          <w:p w14:paraId="492082D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изготовления экспериментальн. деталей и сборки мотора 15/X-33 г.</w:t>
            </w:r>
          </w:p>
        </w:tc>
      </w:tr>
      <w:tr w:rsidR="004E10C1" w:rsidRPr="0044524F" w14:paraId="770987CE" w14:textId="77777777">
        <w:tc>
          <w:tcPr>
            <w:tcW w:w="2802" w:type="dxa"/>
          </w:tcPr>
          <w:p w14:paraId="1D5E03F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900 л.с.</w:t>
            </w:r>
          </w:p>
        </w:tc>
        <w:tc>
          <w:tcPr>
            <w:tcW w:w="8079" w:type="dxa"/>
          </w:tcPr>
          <w:p w14:paraId="3ACA1EB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 к гос. исп. 5%.</w:t>
            </w:r>
          </w:p>
        </w:tc>
      </w:tr>
      <w:tr w:rsidR="004E10C1" w:rsidRPr="0044524F" w14:paraId="6E8E90A6" w14:textId="77777777">
        <w:tc>
          <w:tcPr>
            <w:tcW w:w="2802" w:type="dxa"/>
          </w:tcPr>
          <w:p w14:paraId="43ABD98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 5000 м</w:t>
            </w:r>
          </w:p>
        </w:tc>
        <w:tc>
          <w:tcPr>
            <w:tcW w:w="8079" w:type="dxa"/>
          </w:tcPr>
          <w:p w14:paraId="32C5EF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EF13029" w14:textId="77777777">
        <w:tc>
          <w:tcPr>
            <w:tcW w:w="2802" w:type="dxa"/>
          </w:tcPr>
          <w:p w14:paraId="6E501B1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 гос. исп. 1/IX-34г.</w:t>
            </w:r>
          </w:p>
        </w:tc>
        <w:tc>
          <w:tcPr>
            <w:tcW w:w="8079" w:type="dxa"/>
          </w:tcPr>
          <w:p w14:paraId="122BA1F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342BDC4" w14:textId="77777777">
        <w:tc>
          <w:tcPr>
            <w:tcW w:w="2802" w:type="dxa"/>
          </w:tcPr>
          <w:p w14:paraId="75D16DE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ВПШ (Микулина)</w:t>
            </w:r>
          </w:p>
        </w:tc>
        <w:tc>
          <w:tcPr>
            <w:tcW w:w="8079" w:type="dxa"/>
          </w:tcPr>
          <w:p w14:paraId="7E72556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Рабочие, детальные, а также узловые и сборочные чертежи закончены и передаются в</w:t>
            </w:r>
          </w:p>
        </w:tc>
      </w:tr>
      <w:tr w:rsidR="004E10C1" w:rsidRPr="0044524F" w14:paraId="12877A2E" w14:textId="77777777">
        <w:tc>
          <w:tcPr>
            <w:tcW w:w="2802" w:type="dxa"/>
          </w:tcPr>
          <w:p w14:paraId="3276B2F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EBD62E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Лопасти для винтов заказаны.</w:t>
            </w:r>
          </w:p>
        </w:tc>
      </w:tr>
      <w:tr w:rsidR="004E10C1" w:rsidRPr="0044524F" w14:paraId="2B8D5A58" w14:textId="77777777">
        <w:tc>
          <w:tcPr>
            <w:tcW w:w="2802" w:type="dxa"/>
          </w:tcPr>
          <w:p w14:paraId="7266F6C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315EF6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изгот. ВПШ N 1 и 2 - 15/Х-с.г.</w:t>
            </w:r>
          </w:p>
        </w:tc>
      </w:tr>
      <w:tr w:rsidR="004E10C1" w:rsidRPr="0044524F" w14:paraId="2F38F606" w14:textId="77777777">
        <w:tc>
          <w:tcPr>
            <w:tcW w:w="2802" w:type="dxa"/>
          </w:tcPr>
          <w:p w14:paraId="68CFB06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2AFD98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изгот. ВПШ N 3, 4 и 5 - 1/XII-с.г.</w:t>
            </w:r>
          </w:p>
        </w:tc>
      </w:tr>
      <w:tr w:rsidR="004E10C1" w:rsidRPr="0044524F" w14:paraId="30059629" w14:textId="77777777">
        <w:tc>
          <w:tcPr>
            <w:tcW w:w="2802" w:type="dxa"/>
          </w:tcPr>
          <w:p w14:paraId="3742FFD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05D229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к гос. исп. 40%.</w:t>
            </w:r>
          </w:p>
        </w:tc>
      </w:tr>
      <w:tr w:rsidR="004E10C1" w:rsidRPr="0044524F" w14:paraId="76D75E9E" w14:textId="77777777">
        <w:tc>
          <w:tcPr>
            <w:tcW w:w="2802" w:type="dxa"/>
          </w:tcPr>
          <w:p w14:paraId="615E746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ВМ-34</w:t>
            </w:r>
          </w:p>
        </w:tc>
        <w:tc>
          <w:tcPr>
            <w:tcW w:w="8079" w:type="dxa"/>
          </w:tcPr>
          <w:p w14:paraId="7FA4F85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N 1 20/V-с.г. был предъявлен на 50-ти часовое государств. испытание. На 48-ом</w:t>
            </w:r>
          </w:p>
        </w:tc>
      </w:tr>
      <w:tr w:rsidR="004E10C1" w:rsidRPr="0044524F" w14:paraId="61703016" w14:textId="77777777">
        <w:tc>
          <w:tcPr>
            <w:tcW w:w="2802" w:type="dxa"/>
          </w:tcPr>
          <w:p w14:paraId="3F55C4E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 цилиндр.</w:t>
            </w:r>
          </w:p>
        </w:tc>
        <w:tc>
          <w:tcPr>
            <w:tcW w:w="8079" w:type="dxa"/>
          </w:tcPr>
          <w:p w14:paraId="5870260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часу произошла авария - лопнула обойма упорного подшипника водяной помпы. При разборке</w:t>
            </w:r>
          </w:p>
        </w:tc>
      </w:tr>
      <w:tr w:rsidR="004E10C1" w:rsidRPr="0044524F" w14:paraId="0C379049" w14:textId="77777777">
        <w:tc>
          <w:tcPr>
            <w:tcW w:w="2802" w:type="dxa"/>
          </w:tcPr>
          <w:p w14:paraId="27F1AFC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Водяное охлажд.</w:t>
            </w:r>
          </w:p>
        </w:tc>
        <w:tc>
          <w:tcPr>
            <w:tcW w:w="8079" w:type="dxa"/>
          </w:tcPr>
          <w:p w14:paraId="7DF0714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обнаружена трещина на валу реверса. Заключением Комиссии УВМС результат испытаний</w:t>
            </w:r>
          </w:p>
        </w:tc>
      </w:tr>
      <w:tr w:rsidR="004E10C1" w:rsidRPr="0044524F" w14:paraId="764EEEB6" w14:textId="77777777">
        <w:tc>
          <w:tcPr>
            <w:tcW w:w="2802" w:type="dxa"/>
          </w:tcPr>
          <w:p w14:paraId="4AA6F6F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750 л.с.</w:t>
            </w:r>
          </w:p>
        </w:tc>
        <w:tc>
          <w:tcPr>
            <w:tcW w:w="8079" w:type="dxa"/>
          </w:tcPr>
          <w:p w14:paraId="025E4A2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признан неудовлетвор.</w:t>
            </w:r>
          </w:p>
        </w:tc>
      </w:tr>
      <w:tr w:rsidR="004E10C1" w:rsidRPr="0044524F" w14:paraId="7EDCE880" w14:textId="77777777">
        <w:tc>
          <w:tcPr>
            <w:tcW w:w="2802" w:type="dxa"/>
          </w:tcPr>
          <w:p w14:paraId="4D28BFB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1900 об/мин.</w:t>
            </w:r>
          </w:p>
        </w:tc>
        <w:tc>
          <w:tcPr>
            <w:tcW w:w="8079" w:type="dxa"/>
          </w:tcPr>
          <w:p w14:paraId="2F4ED8B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Дальнейшие испытания решено проводить на глиссере на море. К этому испытанию ЦИАМ</w:t>
            </w:r>
          </w:p>
        </w:tc>
      </w:tr>
      <w:tr w:rsidR="004E10C1" w:rsidRPr="0044524F" w14:paraId="3B9A454E" w14:textId="77777777">
        <w:tc>
          <w:tcPr>
            <w:tcW w:w="2802" w:type="dxa"/>
          </w:tcPr>
          <w:p w14:paraId="7BD078A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 втулки 950 кг</w:t>
            </w:r>
          </w:p>
        </w:tc>
        <w:tc>
          <w:tcPr>
            <w:tcW w:w="8079" w:type="dxa"/>
          </w:tcPr>
          <w:p w14:paraId="07B165C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готовит 2 экз. моторов с тем, чтобы передать их для установки на глиссере в августе и</w:t>
            </w:r>
          </w:p>
        </w:tc>
      </w:tr>
      <w:tr w:rsidR="004E10C1" w:rsidRPr="0044524F" w14:paraId="5B2DFCC8" w14:textId="77777777">
        <w:tc>
          <w:tcPr>
            <w:tcW w:w="2802" w:type="dxa"/>
          </w:tcPr>
          <w:p w14:paraId="28619C2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 гос. исп. 1/VII-33г.</w:t>
            </w:r>
          </w:p>
        </w:tc>
        <w:tc>
          <w:tcPr>
            <w:tcW w:w="8079" w:type="dxa"/>
          </w:tcPr>
          <w:p w14:paraId="43B03D5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проведении гос. испытаний в условиях моря.</w:t>
            </w:r>
          </w:p>
        </w:tc>
      </w:tr>
      <w:tr w:rsidR="004E10C1" w:rsidRPr="0044524F" w14:paraId="00750F74" w14:textId="77777777">
        <w:tc>
          <w:tcPr>
            <w:tcW w:w="2802" w:type="dxa"/>
          </w:tcPr>
          <w:p w14:paraId="0E477E1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7BE093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 к гос. испытаниям - 90%.</w:t>
            </w:r>
          </w:p>
        </w:tc>
      </w:tr>
      <w:tr w:rsidR="004E10C1" w:rsidRPr="0044524F" w14:paraId="50B80A99" w14:textId="77777777">
        <w:tc>
          <w:tcPr>
            <w:tcW w:w="2802" w:type="dxa"/>
          </w:tcPr>
          <w:p w14:paraId="25DE81A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 (форсированный</w:t>
            </w:r>
          </w:p>
        </w:tc>
        <w:tc>
          <w:tcPr>
            <w:tcW w:w="8079" w:type="dxa"/>
          </w:tcPr>
          <w:p w14:paraId="6420931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работы по форсированию готовятся 2 мотора. При их производстве будут учтены данные</w:t>
            </w:r>
          </w:p>
        </w:tc>
      </w:tr>
      <w:tr w:rsidR="004E10C1" w:rsidRPr="0044524F" w14:paraId="08110B2A" w14:textId="77777777">
        <w:tc>
          <w:tcPr>
            <w:tcW w:w="2802" w:type="dxa"/>
          </w:tcPr>
          <w:p w14:paraId="3F7B6FF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редукторный)</w:t>
            </w:r>
          </w:p>
        </w:tc>
        <w:tc>
          <w:tcPr>
            <w:tcW w:w="8079" w:type="dxa"/>
          </w:tcPr>
          <w:p w14:paraId="7D823AA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полученные при форсировании серийного мотора М-34. Внесены изменения в картер мотора</w:t>
            </w:r>
          </w:p>
        </w:tc>
      </w:tr>
      <w:tr w:rsidR="004E10C1" w:rsidRPr="0044524F" w14:paraId="72309AD9" w14:textId="77777777">
        <w:tc>
          <w:tcPr>
            <w:tcW w:w="2802" w:type="dxa"/>
          </w:tcPr>
          <w:p w14:paraId="10E5EC5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 цилиндр.</w:t>
            </w:r>
          </w:p>
        </w:tc>
        <w:tc>
          <w:tcPr>
            <w:tcW w:w="8079" w:type="dxa"/>
          </w:tcPr>
          <w:p w14:paraId="5FA904F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(усилена 4-я перегородка).</w:t>
            </w:r>
          </w:p>
        </w:tc>
      </w:tr>
      <w:tr w:rsidR="004E10C1" w:rsidRPr="0044524F" w14:paraId="7DB949C1" w14:textId="77777777">
        <w:tc>
          <w:tcPr>
            <w:tcW w:w="2802" w:type="dxa"/>
          </w:tcPr>
          <w:p w14:paraId="4DB1613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Водяное охлажд.</w:t>
            </w:r>
          </w:p>
        </w:tc>
        <w:tc>
          <w:tcPr>
            <w:tcW w:w="8079" w:type="dxa"/>
          </w:tcPr>
          <w:p w14:paraId="28EBEB9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 к гос. испытан. - 30%.</w:t>
            </w:r>
          </w:p>
        </w:tc>
      </w:tr>
      <w:tr w:rsidR="004E10C1" w:rsidRPr="0044524F" w14:paraId="02F49670" w14:textId="77777777">
        <w:tc>
          <w:tcPr>
            <w:tcW w:w="2802" w:type="dxa"/>
          </w:tcPr>
          <w:p w14:paraId="484F6BC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900 л.с.</w:t>
            </w:r>
          </w:p>
        </w:tc>
        <w:tc>
          <w:tcPr>
            <w:tcW w:w="8079" w:type="dxa"/>
          </w:tcPr>
          <w:p w14:paraId="29E64BB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53EF05D" w14:textId="77777777">
        <w:tc>
          <w:tcPr>
            <w:tcW w:w="2802" w:type="dxa"/>
          </w:tcPr>
          <w:p w14:paraId="7C3BF51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без втулки 675 кг</w:t>
            </w:r>
          </w:p>
        </w:tc>
        <w:tc>
          <w:tcPr>
            <w:tcW w:w="8079" w:type="dxa"/>
          </w:tcPr>
          <w:p w14:paraId="233577B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BCC1EB3" w14:textId="77777777">
        <w:tc>
          <w:tcPr>
            <w:tcW w:w="2802" w:type="dxa"/>
          </w:tcPr>
          <w:p w14:paraId="6A97F8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 гос. исп. 1/III-34г.</w:t>
            </w:r>
          </w:p>
        </w:tc>
        <w:tc>
          <w:tcPr>
            <w:tcW w:w="8079" w:type="dxa"/>
          </w:tcPr>
          <w:p w14:paraId="6330A23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5BAAE28" w14:textId="77777777">
        <w:tc>
          <w:tcPr>
            <w:tcW w:w="2802" w:type="dxa"/>
          </w:tcPr>
          <w:p w14:paraId="40C2A97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М-52.........</w:t>
            </w:r>
          </w:p>
        </w:tc>
        <w:tc>
          <w:tcPr>
            <w:tcW w:w="8079" w:type="dxa"/>
          </w:tcPr>
          <w:p w14:paraId="06ED394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предназначается для переходн. типов самолетов (от учебного к боевому) и для гражд.</w:t>
            </w:r>
          </w:p>
        </w:tc>
      </w:tr>
      <w:tr w:rsidR="004E10C1" w:rsidRPr="0044524F" w14:paraId="4EDFE259" w14:textId="77777777">
        <w:tc>
          <w:tcPr>
            <w:tcW w:w="2802" w:type="dxa"/>
          </w:tcPr>
          <w:p w14:paraId="75B8272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6-ти цилиндр.</w:t>
            </w:r>
          </w:p>
        </w:tc>
        <w:tc>
          <w:tcPr>
            <w:tcW w:w="8079" w:type="dxa"/>
          </w:tcPr>
          <w:p w14:paraId="34C3996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авиации.</w:t>
            </w:r>
          </w:p>
        </w:tc>
      </w:tr>
      <w:tr w:rsidR="004E10C1" w:rsidRPr="0044524F" w14:paraId="0665D944" w14:textId="77777777">
        <w:tc>
          <w:tcPr>
            <w:tcW w:w="2802" w:type="dxa"/>
          </w:tcPr>
          <w:p w14:paraId="7DFB4E7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350 л.с.</w:t>
            </w:r>
          </w:p>
        </w:tc>
        <w:tc>
          <w:tcPr>
            <w:tcW w:w="8079" w:type="dxa"/>
          </w:tcPr>
          <w:p w14:paraId="2CFD244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является одноблочной модификацией мотора М-34. Проект мотора закончен в ноябре</w:t>
            </w:r>
          </w:p>
        </w:tc>
      </w:tr>
      <w:tr w:rsidR="004E10C1" w:rsidRPr="0044524F" w14:paraId="4171259C" w14:textId="77777777">
        <w:tc>
          <w:tcPr>
            <w:tcW w:w="2802" w:type="dxa"/>
          </w:tcPr>
          <w:p w14:paraId="0C4CC9E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1740 об/мин</w:t>
            </w:r>
          </w:p>
        </w:tc>
        <w:tc>
          <w:tcPr>
            <w:tcW w:w="8079" w:type="dxa"/>
          </w:tcPr>
          <w:p w14:paraId="78E9EE8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года. Первый экземпляр вышел из пр-ва 3/XII-32 г.</w:t>
            </w:r>
          </w:p>
        </w:tc>
      </w:tr>
      <w:tr w:rsidR="004E10C1" w:rsidRPr="0044524F" w14:paraId="34B974BA" w14:textId="77777777">
        <w:tc>
          <w:tcPr>
            <w:tcW w:w="2802" w:type="dxa"/>
          </w:tcPr>
          <w:p w14:paraId="2CBCA6B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исп. 1/XII-33г.</w:t>
            </w:r>
          </w:p>
        </w:tc>
        <w:tc>
          <w:tcPr>
            <w:tcW w:w="8079" w:type="dxa"/>
          </w:tcPr>
          <w:p w14:paraId="5C549A8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11 часовой режимной работы лопнула нижняя часть картера. Мотор будет восстановлен с</w:t>
            </w:r>
          </w:p>
        </w:tc>
      </w:tr>
      <w:tr w:rsidR="004E10C1" w:rsidRPr="0044524F" w14:paraId="12743746" w14:textId="77777777">
        <w:tc>
          <w:tcPr>
            <w:tcW w:w="2802" w:type="dxa"/>
          </w:tcPr>
          <w:p w14:paraId="49BFE02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108320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усиленным картером к 1/VIII-с.г. и пойдет на 50 часовое заводское испытание. Мотор во </w:t>
            </w:r>
          </w:p>
        </w:tc>
      </w:tr>
      <w:tr w:rsidR="004E10C1" w:rsidRPr="0044524F" w14:paraId="27BAB6C0" w14:textId="77777777">
        <w:tc>
          <w:tcPr>
            <w:tcW w:w="2802" w:type="dxa"/>
          </w:tcPr>
          <w:p w14:paraId="0F792E2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6EC711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работы дал - 465 л.с. при = 1900 об/мин.</w:t>
            </w:r>
          </w:p>
        </w:tc>
      </w:tr>
      <w:tr w:rsidR="004E10C1" w:rsidRPr="0044524F" w14:paraId="6873D1FA" w14:textId="77777777">
        <w:tc>
          <w:tcPr>
            <w:tcW w:w="2802" w:type="dxa"/>
          </w:tcPr>
          <w:p w14:paraId="4101BD3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AC4BC2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производстве находятся 2 мотора новой компоновки.</w:t>
            </w:r>
          </w:p>
        </w:tc>
      </w:tr>
      <w:tr w:rsidR="004E10C1" w:rsidRPr="0044524F" w14:paraId="1CD60F45" w14:textId="77777777">
        <w:tc>
          <w:tcPr>
            <w:tcW w:w="2802" w:type="dxa"/>
          </w:tcPr>
          <w:p w14:paraId="3E4B568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B43A32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 к гос. испыт. = 60%.</w:t>
            </w:r>
          </w:p>
        </w:tc>
      </w:tr>
      <w:tr w:rsidR="004E10C1" w:rsidRPr="0044524F" w14:paraId="6F0F554A" w14:textId="77777777">
        <w:tc>
          <w:tcPr>
            <w:tcW w:w="2802" w:type="dxa"/>
          </w:tcPr>
          <w:p w14:paraId="5B147B4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 9 цил.</w:t>
            </w:r>
          </w:p>
        </w:tc>
        <w:tc>
          <w:tcPr>
            <w:tcW w:w="8079" w:type="dxa"/>
          </w:tcPr>
          <w:p w14:paraId="3BCAD30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предназначен для истребителей.</w:t>
            </w:r>
          </w:p>
        </w:tc>
      </w:tr>
      <w:tr w:rsidR="004E10C1" w:rsidRPr="0044524F" w14:paraId="5F0A2B3C" w14:textId="77777777">
        <w:tc>
          <w:tcPr>
            <w:tcW w:w="2802" w:type="dxa"/>
          </w:tcPr>
          <w:p w14:paraId="3A47E13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550 л.с.</w:t>
            </w:r>
          </w:p>
        </w:tc>
        <w:tc>
          <w:tcPr>
            <w:tcW w:w="8079" w:type="dxa"/>
          </w:tcPr>
          <w:p w14:paraId="72987D4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и рабочие чертежи мотора закончены к 15/VIII-31 г. 1/V-32 г. мотор поступил на</w:t>
            </w:r>
          </w:p>
        </w:tc>
      </w:tr>
      <w:tr w:rsidR="004E10C1" w:rsidRPr="0044524F" w14:paraId="0919956E" w14:textId="77777777">
        <w:tc>
          <w:tcPr>
            <w:tcW w:w="2802" w:type="dxa"/>
          </w:tcPr>
          <w:p w14:paraId="24298A1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....1900 об/мин.</w:t>
            </w:r>
          </w:p>
        </w:tc>
        <w:tc>
          <w:tcPr>
            <w:tcW w:w="8079" w:type="dxa"/>
          </w:tcPr>
          <w:p w14:paraId="68A47B4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В процессе проведенных испытаний выявлен ряд дефектов, как-то: трещины между</w:t>
            </w:r>
          </w:p>
        </w:tc>
      </w:tr>
      <w:tr w:rsidR="004E10C1" w:rsidRPr="0044524F" w14:paraId="58847195" w14:textId="77777777">
        <w:tc>
          <w:tcPr>
            <w:tcW w:w="2802" w:type="dxa"/>
          </w:tcPr>
          <w:p w14:paraId="3586598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450 кг</w:t>
            </w:r>
          </w:p>
        </w:tc>
        <w:tc>
          <w:tcPr>
            <w:tcW w:w="8079" w:type="dxa"/>
          </w:tcPr>
          <w:p w14:paraId="7E247AB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клапанными гнездами в головке цилиндра, выкрашивание азотированного слоя кулачковой</w:t>
            </w:r>
          </w:p>
        </w:tc>
      </w:tr>
      <w:tr w:rsidR="004E10C1" w:rsidRPr="0044524F" w14:paraId="3EC9204E" w14:textId="77777777">
        <w:tc>
          <w:tcPr>
            <w:tcW w:w="2802" w:type="dxa"/>
          </w:tcPr>
          <w:p w14:paraId="6C06367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0,82 кг/л.с.</w:t>
            </w:r>
          </w:p>
        </w:tc>
        <w:tc>
          <w:tcPr>
            <w:tcW w:w="8079" w:type="dxa"/>
          </w:tcPr>
          <w:p w14:paraId="4564958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шайбы, поломки коробок выхлопа у головок новой конструкции, выгорание поршней, поломка </w:t>
            </w:r>
          </w:p>
        </w:tc>
      </w:tr>
      <w:tr w:rsidR="004E10C1" w:rsidRPr="0044524F" w14:paraId="0D9F9E9F" w14:textId="77777777">
        <w:tc>
          <w:tcPr>
            <w:tcW w:w="2802" w:type="dxa"/>
          </w:tcPr>
          <w:p w14:paraId="44E9160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....установки на</w:t>
            </w:r>
          </w:p>
        </w:tc>
        <w:tc>
          <w:tcPr>
            <w:tcW w:w="8079" w:type="dxa"/>
          </w:tcPr>
          <w:p w14:paraId="3CFE94C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роликов толкателей и др. Дефект головки цил. затрудняет выявление и изжитие других дефектов</w:t>
            </w:r>
          </w:p>
        </w:tc>
      </w:tr>
      <w:tr w:rsidR="004E10C1" w:rsidRPr="0044524F" w14:paraId="6852BED5" w14:textId="77777777">
        <w:tc>
          <w:tcPr>
            <w:tcW w:w="2802" w:type="dxa"/>
          </w:tcPr>
          <w:p w14:paraId="3F94EFE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испыт. 1/I-34г.</w:t>
            </w:r>
          </w:p>
        </w:tc>
        <w:tc>
          <w:tcPr>
            <w:tcW w:w="8079" w:type="dxa"/>
          </w:tcPr>
          <w:p w14:paraId="4FC58A2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мотора. Решено в ближайшее время проводить испытание мотора с 2-х клапанной головкой</w:t>
            </w:r>
          </w:p>
        </w:tc>
      </w:tr>
      <w:tr w:rsidR="004E10C1" w:rsidRPr="0044524F" w14:paraId="034BCB1D" w14:textId="77777777">
        <w:tc>
          <w:tcPr>
            <w:tcW w:w="2802" w:type="dxa"/>
          </w:tcPr>
          <w:p w14:paraId="496FCD1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11BD1C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(временно) типа М-58 (давшей в результате испыт. неплохие результаты), в целях изжития других</w:t>
            </w:r>
          </w:p>
        </w:tc>
      </w:tr>
      <w:tr w:rsidR="004E10C1" w:rsidRPr="0044524F" w14:paraId="5D24D783" w14:textId="77777777">
        <w:tc>
          <w:tcPr>
            <w:tcW w:w="2802" w:type="dxa"/>
          </w:tcPr>
          <w:p w14:paraId="0DBBC8C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811C7A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дефектов мотора. Одновременно проводится работа по конструированию головки к мот. М-38 4-х</w:t>
            </w:r>
          </w:p>
        </w:tc>
      </w:tr>
      <w:tr w:rsidR="004E10C1" w:rsidRPr="0044524F" w14:paraId="116C459F" w14:textId="77777777">
        <w:tc>
          <w:tcPr>
            <w:tcW w:w="2802" w:type="dxa"/>
          </w:tcPr>
          <w:p w14:paraId="696C9D0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6D0C04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клапанная, с которой мотор будет предъявлен на гос. испыт. Всего мотор прошел около 220 часов,</w:t>
            </w:r>
          </w:p>
        </w:tc>
      </w:tr>
      <w:tr w:rsidR="004E10C1" w:rsidRPr="0044524F" w14:paraId="4547009C" w14:textId="77777777">
        <w:tc>
          <w:tcPr>
            <w:tcW w:w="2802" w:type="dxa"/>
          </w:tcPr>
          <w:p w14:paraId="01B7AD9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E8B68F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которых около 85 часов режимных. Проведенные испытания выявили надежность основных</w:t>
            </w:r>
          </w:p>
        </w:tc>
      </w:tr>
      <w:tr w:rsidR="004E10C1" w:rsidRPr="0044524F" w14:paraId="05269424" w14:textId="77777777">
        <w:tc>
          <w:tcPr>
            <w:tcW w:w="2802" w:type="dxa"/>
          </w:tcPr>
          <w:p w14:paraId="4FEF3DA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81D3F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узлов мотора: кол. вал, нагнетатель, шатунно-поршневой механизм и др. В доводке мотора</w:t>
            </w:r>
          </w:p>
        </w:tc>
      </w:tr>
      <w:tr w:rsidR="004E10C1" w:rsidRPr="0044524F" w14:paraId="759E4E59" w14:textId="77777777">
        <w:tc>
          <w:tcPr>
            <w:tcW w:w="2802" w:type="dxa"/>
          </w:tcPr>
          <w:p w14:paraId="340DE0A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13711E2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осталось в основном изжитие дефекта головки цилиндра, на которой и будет во 2-ю половину</w:t>
            </w:r>
          </w:p>
        </w:tc>
      </w:tr>
      <w:tr w:rsidR="004E10C1" w:rsidRPr="0044524F" w14:paraId="40A8AC31" w14:textId="77777777">
        <w:tc>
          <w:tcPr>
            <w:tcW w:w="2802" w:type="dxa"/>
          </w:tcPr>
          <w:p w14:paraId="5530B58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48B0C5F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 сосредоточено внимание.</w:t>
            </w:r>
          </w:p>
        </w:tc>
      </w:tr>
      <w:tr w:rsidR="004E10C1" w:rsidRPr="0044524F" w14:paraId="7ECE7FFA" w14:textId="77777777">
        <w:tc>
          <w:tcPr>
            <w:tcW w:w="2802" w:type="dxa"/>
          </w:tcPr>
          <w:p w14:paraId="21E2A48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ECD8E0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к гос. исп. - 60%.</w:t>
            </w:r>
          </w:p>
        </w:tc>
      </w:tr>
      <w:tr w:rsidR="004E10C1" w:rsidRPr="0044524F" w14:paraId="5C7D02FD" w14:textId="77777777">
        <w:tc>
          <w:tcPr>
            <w:tcW w:w="2802" w:type="dxa"/>
          </w:tcPr>
          <w:p w14:paraId="5310871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w:t>
            </w:r>
          </w:p>
        </w:tc>
        <w:tc>
          <w:tcPr>
            <w:tcW w:w="8079" w:type="dxa"/>
          </w:tcPr>
          <w:p w14:paraId="3C1A6AB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предназначен для быстроходных самолетов и для некоторых категорий разведывателей.</w:t>
            </w:r>
          </w:p>
        </w:tc>
      </w:tr>
      <w:tr w:rsidR="004E10C1" w:rsidRPr="0044524F" w14:paraId="2B1C83F8" w14:textId="77777777">
        <w:tc>
          <w:tcPr>
            <w:tcW w:w="2802" w:type="dxa"/>
          </w:tcPr>
          <w:p w14:paraId="42E87E3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13-ти цилиндровый</w:t>
            </w:r>
          </w:p>
        </w:tc>
        <w:tc>
          <w:tcPr>
            <w:tcW w:w="8079" w:type="dxa"/>
          </w:tcPr>
          <w:p w14:paraId="6C3E3FA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мотора закончено к ноябрю 1932 г. Тогда же мотор поставлен на зав. испытания.</w:t>
            </w:r>
          </w:p>
        </w:tc>
      </w:tr>
      <w:tr w:rsidR="004E10C1" w:rsidRPr="0044524F" w14:paraId="641D5B3B" w14:textId="77777777">
        <w:tc>
          <w:tcPr>
            <w:tcW w:w="2802" w:type="dxa"/>
          </w:tcPr>
          <w:p w14:paraId="7FFF91A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цил. 60 градусов</w:t>
            </w:r>
          </w:p>
        </w:tc>
        <w:tc>
          <w:tcPr>
            <w:tcW w:w="8079" w:type="dxa"/>
          </w:tcPr>
          <w:p w14:paraId="0A83248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 ряд дефектов: течь из блока, недостат. смазка, разрушение шатун. вкладышей.</w:t>
            </w:r>
          </w:p>
        </w:tc>
      </w:tr>
      <w:tr w:rsidR="004E10C1" w:rsidRPr="0044524F" w14:paraId="05482047" w14:textId="77777777">
        <w:tc>
          <w:tcPr>
            <w:tcW w:w="2802" w:type="dxa"/>
          </w:tcPr>
          <w:p w14:paraId="5541E0D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2600 об/мин.</w:t>
            </w:r>
          </w:p>
        </w:tc>
        <w:tc>
          <w:tcPr>
            <w:tcW w:w="8079" w:type="dxa"/>
          </w:tcPr>
          <w:p w14:paraId="5B5C76D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мотор наработал около 60 часов.</w:t>
            </w:r>
          </w:p>
        </w:tc>
      </w:tr>
      <w:tr w:rsidR="004E10C1" w:rsidRPr="0044524F" w14:paraId="0FC60E1D" w14:textId="77777777">
        <w:tc>
          <w:tcPr>
            <w:tcW w:w="2802" w:type="dxa"/>
          </w:tcPr>
          <w:p w14:paraId="3B0AF52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380 кг.</w:t>
            </w:r>
          </w:p>
        </w:tc>
        <w:tc>
          <w:tcPr>
            <w:tcW w:w="8079" w:type="dxa"/>
          </w:tcPr>
          <w:p w14:paraId="2E6C675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дал 600 л.с. при 3180 об./мин.</w:t>
            </w:r>
          </w:p>
        </w:tc>
      </w:tr>
      <w:tr w:rsidR="004E10C1" w:rsidRPr="0044524F" w14:paraId="3ED03A81" w14:textId="77777777">
        <w:tc>
          <w:tcPr>
            <w:tcW w:w="2802" w:type="dxa"/>
          </w:tcPr>
          <w:p w14:paraId="3C18324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0,638.</w:t>
            </w:r>
          </w:p>
        </w:tc>
        <w:tc>
          <w:tcPr>
            <w:tcW w:w="8079" w:type="dxa"/>
          </w:tcPr>
          <w:p w14:paraId="074D62B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Так как причиной подтекания блоков является недостаточная жесткость блока и головки, то </w:t>
            </w:r>
          </w:p>
        </w:tc>
      </w:tr>
      <w:tr w:rsidR="004E10C1" w:rsidRPr="0044524F" w14:paraId="78665C7A" w14:textId="77777777">
        <w:tc>
          <w:tcPr>
            <w:tcW w:w="2802" w:type="dxa"/>
          </w:tcPr>
          <w:p w14:paraId="556139A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испыт.</w:t>
            </w:r>
          </w:p>
        </w:tc>
        <w:tc>
          <w:tcPr>
            <w:tcW w:w="8079" w:type="dxa"/>
          </w:tcPr>
          <w:p w14:paraId="0DEDD73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детали конструкт. переделаны в сторону большей жесткости. Моторы N 1 и N 2 в новом</w:t>
            </w:r>
          </w:p>
        </w:tc>
      </w:tr>
      <w:tr w:rsidR="004E10C1" w:rsidRPr="0044524F" w14:paraId="6CBA3A2E" w14:textId="77777777">
        <w:tc>
          <w:tcPr>
            <w:tcW w:w="2802" w:type="dxa"/>
          </w:tcPr>
          <w:p w14:paraId="09F6AC0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5733791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варианте находятся в пр-ве. К 1/VIII-33 г. по плану ЦИАМ моторы поступят на исп. станцию.</w:t>
            </w:r>
          </w:p>
        </w:tc>
      </w:tr>
      <w:tr w:rsidR="004E10C1" w:rsidRPr="0044524F" w14:paraId="1488833E" w14:textId="77777777">
        <w:tc>
          <w:tcPr>
            <w:tcW w:w="2802" w:type="dxa"/>
          </w:tcPr>
          <w:p w14:paraId="3F56DF1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2B929E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нового варианта к гос. испытанию = 45%.</w:t>
            </w:r>
          </w:p>
        </w:tc>
      </w:tr>
      <w:tr w:rsidR="004E10C1" w:rsidRPr="0044524F" w14:paraId="364A970E" w14:textId="77777777">
        <w:tc>
          <w:tcPr>
            <w:tcW w:w="2802" w:type="dxa"/>
          </w:tcPr>
          <w:p w14:paraId="541FA79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М-47</w:t>
            </w:r>
          </w:p>
        </w:tc>
        <w:tc>
          <w:tcPr>
            <w:tcW w:w="8079" w:type="dxa"/>
          </w:tcPr>
          <w:p w14:paraId="5D6CE99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предназначается для многоместн. тяжелых самолетов.</w:t>
            </w:r>
          </w:p>
        </w:tc>
      </w:tr>
      <w:tr w:rsidR="004E10C1" w:rsidRPr="0044524F" w14:paraId="4BF7FD15" w14:textId="77777777">
        <w:tc>
          <w:tcPr>
            <w:tcW w:w="2802" w:type="dxa"/>
          </w:tcPr>
          <w:p w14:paraId="6691D35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цилиндров.</w:t>
            </w:r>
          </w:p>
        </w:tc>
        <w:tc>
          <w:tcPr>
            <w:tcW w:w="8079" w:type="dxa"/>
          </w:tcPr>
          <w:p w14:paraId="0364C57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производство запущено 2 мотора. Мотор N 1 должен быть закончен сборкой 15/VIII-c.г.</w:t>
            </w:r>
          </w:p>
        </w:tc>
      </w:tr>
      <w:tr w:rsidR="004E10C1" w:rsidRPr="0044524F" w14:paraId="666A76AD" w14:textId="77777777">
        <w:tc>
          <w:tcPr>
            <w:tcW w:w="2802" w:type="dxa"/>
          </w:tcPr>
          <w:p w14:paraId="03B4F7D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охлажд.</w:t>
            </w:r>
          </w:p>
        </w:tc>
        <w:tc>
          <w:tcPr>
            <w:tcW w:w="8079" w:type="dxa"/>
          </w:tcPr>
          <w:p w14:paraId="50945AC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Большинство деталей мотора изготовлено. Картер находится в монтаже. Кол. вал 25/VII</w:t>
            </w:r>
          </w:p>
        </w:tc>
      </w:tr>
      <w:tr w:rsidR="004E10C1" w:rsidRPr="0044524F" w14:paraId="1A02DFEC" w14:textId="77777777">
        <w:tc>
          <w:tcPr>
            <w:tcW w:w="2802" w:type="dxa"/>
          </w:tcPr>
          <w:p w14:paraId="1D57BF8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2000 л.с.</w:t>
            </w:r>
          </w:p>
        </w:tc>
        <w:tc>
          <w:tcPr>
            <w:tcW w:w="8079" w:type="dxa"/>
          </w:tcPr>
          <w:p w14:paraId="4A5AD74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передается в монтаж. В конце сентября станет на испытание.</w:t>
            </w:r>
          </w:p>
        </w:tc>
      </w:tr>
      <w:tr w:rsidR="004E10C1" w:rsidRPr="0044524F" w14:paraId="43123C86" w14:textId="77777777">
        <w:tc>
          <w:tcPr>
            <w:tcW w:w="2802" w:type="dxa"/>
          </w:tcPr>
          <w:p w14:paraId="7B551BA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1350 об/мин.</w:t>
            </w:r>
          </w:p>
        </w:tc>
        <w:tc>
          <w:tcPr>
            <w:tcW w:w="8079" w:type="dxa"/>
          </w:tcPr>
          <w:p w14:paraId="0B11C07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N 2 в производстве.</w:t>
            </w:r>
          </w:p>
        </w:tc>
      </w:tr>
      <w:tr w:rsidR="004E10C1" w:rsidRPr="0044524F" w14:paraId="7B8382EF" w14:textId="77777777">
        <w:tc>
          <w:tcPr>
            <w:tcW w:w="2802" w:type="dxa"/>
          </w:tcPr>
          <w:p w14:paraId="2DA8B49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 = 3500 м</w:t>
            </w:r>
          </w:p>
        </w:tc>
        <w:tc>
          <w:tcPr>
            <w:tcW w:w="8079" w:type="dxa"/>
          </w:tcPr>
          <w:p w14:paraId="3C253C3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к гос. испытаниям = 40%.</w:t>
            </w:r>
          </w:p>
        </w:tc>
      </w:tr>
      <w:tr w:rsidR="004E10C1" w:rsidRPr="0044524F" w14:paraId="3F648878" w14:textId="77777777">
        <w:tc>
          <w:tcPr>
            <w:tcW w:w="2802" w:type="dxa"/>
          </w:tcPr>
          <w:p w14:paraId="7F43082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1600 кг</w:t>
            </w:r>
          </w:p>
        </w:tc>
        <w:tc>
          <w:tcPr>
            <w:tcW w:w="8079" w:type="dxa"/>
          </w:tcPr>
          <w:p w14:paraId="499DA23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B07879C" w14:textId="77777777">
        <w:tc>
          <w:tcPr>
            <w:tcW w:w="2802" w:type="dxa"/>
          </w:tcPr>
          <w:p w14:paraId="0ED44CC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- 0,8 кг/л.с.</w:t>
            </w:r>
          </w:p>
        </w:tc>
        <w:tc>
          <w:tcPr>
            <w:tcW w:w="8079" w:type="dxa"/>
          </w:tcPr>
          <w:p w14:paraId="0192E27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109789D" w14:textId="77777777">
        <w:tc>
          <w:tcPr>
            <w:tcW w:w="2802" w:type="dxa"/>
          </w:tcPr>
          <w:p w14:paraId="6AEA605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постановки на</w:t>
            </w:r>
          </w:p>
        </w:tc>
        <w:tc>
          <w:tcPr>
            <w:tcW w:w="8079" w:type="dxa"/>
          </w:tcPr>
          <w:p w14:paraId="3C7EA19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B04CA30" w14:textId="77777777">
        <w:tc>
          <w:tcPr>
            <w:tcW w:w="2802" w:type="dxa"/>
          </w:tcPr>
          <w:p w14:paraId="436514A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испытан. 1/X-33г.</w:t>
            </w:r>
          </w:p>
        </w:tc>
        <w:tc>
          <w:tcPr>
            <w:tcW w:w="8079" w:type="dxa"/>
          </w:tcPr>
          <w:p w14:paraId="17D6EB1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D0DD2D1" w14:textId="77777777">
        <w:tc>
          <w:tcPr>
            <w:tcW w:w="2802" w:type="dxa"/>
          </w:tcPr>
          <w:p w14:paraId="71CD533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М-56Н</w:t>
            </w:r>
          </w:p>
        </w:tc>
        <w:tc>
          <w:tcPr>
            <w:tcW w:w="8079" w:type="dxa"/>
          </w:tcPr>
          <w:p w14:paraId="6CFDBB7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проводятся предварительные исследования и начало эскизной компоновки.</w:t>
            </w:r>
          </w:p>
        </w:tc>
      </w:tr>
      <w:tr w:rsidR="004E10C1" w:rsidRPr="0044524F" w14:paraId="6BE85ABD" w14:textId="77777777">
        <w:tc>
          <w:tcPr>
            <w:tcW w:w="2802" w:type="dxa"/>
          </w:tcPr>
          <w:p w14:paraId="765D8F3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....рядная звезда</w:t>
            </w:r>
          </w:p>
        </w:tc>
        <w:tc>
          <w:tcPr>
            <w:tcW w:w="8079" w:type="dxa"/>
          </w:tcPr>
          <w:p w14:paraId="7E4D05E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048B1D2" w14:textId="77777777">
        <w:tc>
          <w:tcPr>
            <w:tcW w:w="2802" w:type="dxa"/>
          </w:tcPr>
          <w:p w14:paraId="4BEDED2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18</w:t>
            </w:r>
          </w:p>
        </w:tc>
        <w:tc>
          <w:tcPr>
            <w:tcW w:w="8079" w:type="dxa"/>
          </w:tcPr>
          <w:p w14:paraId="01B10CE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57445D" w14:textId="77777777">
        <w:tc>
          <w:tcPr>
            <w:tcW w:w="2802" w:type="dxa"/>
          </w:tcPr>
          <w:p w14:paraId="7FDA65B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Мощность..700 л.с.</w:t>
            </w:r>
          </w:p>
        </w:tc>
        <w:tc>
          <w:tcPr>
            <w:tcW w:w="8079" w:type="dxa"/>
          </w:tcPr>
          <w:p w14:paraId="787DC0B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2803CFC" w14:textId="77777777">
        <w:tc>
          <w:tcPr>
            <w:tcW w:w="2802" w:type="dxa"/>
          </w:tcPr>
          <w:p w14:paraId="2DE65E7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 5000 м</w:t>
            </w:r>
          </w:p>
        </w:tc>
        <w:tc>
          <w:tcPr>
            <w:tcW w:w="8079" w:type="dxa"/>
          </w:tcPr>
          <w:p w14:paraId="79C26A9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AD972F0" w14:textId="77777777">
        <w:tc>
          <w:tcPr>
            <w:tcW w:w="2802" w:type="dxa"/>
          </w:tcPr>
          <w:p w14:paraId="7CB05B7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 втулки 450 кг</w:t>
            </w:r>
          </w:p>
        </w:tc>
        <w:tc>
          <w:tcPr>
            <w:tcW w:w="8079" w:type="dxa"/>
          </w:tcPr>
          <w:p w14:paraId="14B124B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4155CCE" w14:textId="77777777">
        <w:tc>
          <w:tcPr>
            <w:tcW w:w="2802" w:type="dxa"/>
          </w:tcPr>
          <w:p w14:paraId="331B5CD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 1/X-34г.</w:t>
            </w:r>
          </w:p>
        </w:tc>
        <w:tc>
          <w:tcPr>
            <w:tcW w:w="8079" w:type="dxa"/>
          </w:tcPr>
          <w:p w14:paraId="3BC4B30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C164C08" w14:textId="77777777">
        <w:tc>
          <w:tcPr>
            <w:tcW w:w="2802" w:type="dxa"/>
          </w:tcPr>
          <w:p w14:paraId="4295F9F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 о выполнении опытного моторостроения за 1-е полугодие 1933 года.</w:t>
            </w:r>
          </w:p>
        </w:tc>
        <w:tc>
          <w:tcPr>
            <w:tcW w:w="8079" w:type="dxa"/>
          </w:tcPr>
          <w:p w14:paraId="0EA35C3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C2FFC91" w14:textId="77777777">
        <w:tc>
          <w:tcPr>
            <w:tcW w:w="2802" w:type="dxa"/>
          </w:tcPr>
          <w:p w14:paraId="6E6F876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w:t>
            </w:r>
          </w:p>
        </w:tc>
        <w:tc>
          <w:tcPr>
            <w:tcW w:w="8079" w:type="dxa"/>
          </w:tcPr>
          <w:p w14:paraId="47AA529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предназначается для истребителей. Проект мотора с рабочими чертежами сделан к</w:t>
            </w:r>
          </w:p>
        </w:tc>
      </w:tr>
      <w:tr w:rsidR="004E10C1" w:rsidRPr="0044524F" w14:paraId="750374AA" w14:textId="77777777">
        <w:tc>
          <w:tcPr>
            <w:tcW w:w="2802" w:type="dxa"/>
          </w:tcPr>
          <w:p w14:paraId="07F934F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9 цил.</w:t>
            </w:r>
          </w:p>
        </w:tc>
        <w:tc>
          <w:tcPr>
            <w:tcW w:w="8079" w:type="dxa"/>
          </w:tcPr>
          <w:p w14:paraId="7E71F65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1/IX-32 г.</w:t>
            </w:r>
          </w:p>
        </w:tc>
      </w:tr>
      <w:tr w:rsidR="004E10C1" w:rsidRPr="0044524F" w14:paraId="62350C51" w14:textId="77777777">
        <w:tc>
          <w:tcPr>
            <w:tcW w:w="2802" w:type="dxa"/>
          </w:tcPr>
          <w:p w14:paraId="209F85B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2D8620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опытный экземпляр изгот. к 1/IX-32 г.</w:t>
            </w:r>
          </w:p>
        </w:tc>
      </w:tr>
      <w:tr w:rsidR="004E10C1" w:rsidRPr="0044524F" w14:paraId="018A036F" w14:textId="77777777">
        <w:tc>
          <w:tcPr>
            <w:tcW w:w="2802" w:type="dxa"/>
          </w:tcPr>
          <w:p w14:paraId="2826699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4ADFB2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экземпляр - к 1/I-33 г.</w:t>
            </w:r>
          </w:p>
        </w:tc>
      </w:tr>
      <w:tr w:rsidR="004E10C1" w:rsidRPr="0044524F" w14:paraId="49B78E10" w14:textId="77777777">
        <w:tc>
          <w:tcPr>
            <w:tcW w:w="2802" w:type="dxa"/>
          </w:tcPr>
          <w:p w14:paraId="26B2662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2504F1A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Третий экземпляр - к 1/VII-33 г.</w:t>
            </w:r>
          </w:p>
        </w:tc>
      </w:tr>
      <w:tr w:rsidR="004E10C1" w:rsidRPr="0044524F" w14:paraId="477D7F2D" w14:textId="77777777">
        <w:tc>
          <w:tcPr>
            <w:tcW w:w="2802" w:type="dxa"/>
          </w:tcPr>
          <w:p w14:paraId="21D1DDB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0B333B7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поставлен на заводские испытания 18/X-1932 г.</w:t>
            </w:r>
          </w:p>
        </w:tc>
      </w:tr>
      <w:tr w:rsidR="004E10C1" w:rsidRPr="0044524F" w14:paraId="7AE38638" w14:textId="77777777">
        <w:tc>
          <w:tcPr>
            <w:tcW w:w="2802" w:type="dxa"/>
          </w:tcPr>
          <w:p w14:paraId="3484C29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42A854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N 1 прошел всего 92 ч. 25 мин., из них на режиме 12 ч. 43 мин......... характеристика 9/!-33 г. - 675 л.с. - 1800 об/миН Расход горючего 265-290 гр/л.с.ч. Расход масла 62 гр/л.с.ч. и выше. Перепад температ. масла 55-75 градусов. Наддув от 0 до + 30 мм.</w:t>
            </w:r>
          </w:p>
          <w:p w14:paraId="4E48E8B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N 2 прошел всего 45 ч. 30 м., из них на режиме 16 ч. 50 м. Мотор собран с выключенным нагнетателем (валик импеллера путем добавочн. скобы жестко соединен с колен. валом, т.о. турбина, делающая такие же...... как и кол. вал, служит только мешалкой. Сделано это в целях выявления и изжития дефектов мотора без импеллера. Снята характеристика...... 610 л.с. = 1800 об/мин. Расход горючего = 260 гр/л.с.ч. Расход масла 32 гр/л.с.ч. и выше. Температуры такие же как и у N 1.</w:t>
            </w:r>
          </w:p>
          <w:p w14:paraId="5E15679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N 3 в сборке. Укомплектован деталями полностью к 5/VII-33 г.</w:t>
            </w:r>
          </w:p>
          <w:p w14:paraId="7634BA6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испытаний выявлены следующие основные дефекты:</w:t>
            </w:r>
          </w:p>
          <w:p w14:paraId="5FE0602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Поломка щеки к/вала в месте крепления противовесов. Проведено конструктивное изменение к/вала в сторону получения большего запаса прочности в этом месте. Валы данной конструкции находятся в производстве.</w:t>
            </w:r>
          </w:p>
          <w:p w14:paraId="3DD69F4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Трещины вокруг бабышек задней и пром. крышки картера, заедание.... в/импеллера, перегрев в/импеллера, наволаки. бронзы на в/ импеллера..... изменение зазоров, материала небольшие констр. изменения....... окончательно дефект не изжит.</w:t>
            </w:r>
          </w:p>
          <w:p w14:paraId="6DAA179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Большой расход масла. Поставлены кольца типа "Циклон" с 2 градусн. уклоном рабочей поверхн. Результатов пока не получено.</w:t>
            </w:r>
          </w:p>
          <w:p w14:paraId="3158457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Большой перепад температур 65 градусов и большая температ. выходящего масла 120 градусов. Дефект не изжит.</w:t>
            </w:r>
          </w:p>
          <w:p w14:paraId="226E9E7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Односторонний износ шейки к/вала до 0,25 мм за 50 часов работы. Проводится изменение подвода смазки.</w:t>
            </w:r>
          </w:p>
          <w:p w14:paraId="08C1C46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Износ пальцев бок. шатунов до 0,2 мм за 25 час. работы. Проведено изменение подвода смазки.</w:t>
            </w:r>
          </w:p>
          <w:p w14:paraId="0C97508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Поломки клапанных пружин, пружин фрикцион. муфты. Проведено небольшое изменение фрикциона и пружин как фрикционных, так и клапанных.</w:t>
            </w:r>
          </w:p>
          <w:p w14:paraId="23F7E5C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8.Торщевой износ уплотнения в/импеллера вследствие большого осевого давления. Просверлены в турбине отверстия уравнивающие давления с двух сторон турбины.</w:t>
            </w:r>
          </w:p>
          <w:p w14:paraId="78364A9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Обрыв выхлопн. клапанов по месту сверления нижних охлажд. отверстий. Введены клапана без охлажд.</w:t>
            </w:r>
          </w:p>
          <w:p w14:paraId="55D7AFF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10.Износ шайбы распределения, роликов толкателей, заедание осей роликов толкателей и самих толкателей в направляющих. Дефект изжит.</w:t>
            </w:r>
          </w:p>
          <w:p w14:paraId="4E87349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1/VIII ставится на станок с новым усиленным кол. валом.</w:t>
            </w:r>
          </w:p>
          <w:p w14:paraId="33F9106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Доводка мотора разбита на 3 этапа:</w:t>
            </w:r>
          </w:p>
          <w:p w14:paraId="74F6CB7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1-ый этап М-58 без наддува;</w:t>
            </w:r>
          </w:p>
          <w:p w14:paraId="3AE910E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2-ой этап М-58 с наддувом;</w:t>
            </w:r>
          </w:p>
          <w:p w14:paraId="1A39C13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3-ий этап М-58 с наддувом и редуктором.</w:t>
            </w:r>
          </w:p>
          <w:p w14:paraId="34B5176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1-ом этапе т.е. без наддува мотор 1/IX-32 г. ставится на гос. испытание.</w:t>
            </w:r>
          </w:p>
          <w:p w14:paraId="22503A9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к гос. испытан. = 65 %.</w:t>
            </w:r>
          </w:p>
        </w:tc>
      </w:tr>
      <w:tr w:rsidR="004E10C1" w:rsidRPr="0044524F" w14:paraId="780A74A7" w14:textId="77777777">
        <w:tc>
          <w:tcPr>
            <w:tcW w:w="2802" w:type="dxa"/>
          </w:tcPr>
          <w:p w14:paraId="05A0FF5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М-49</w:t>
            </w:r>
          </w:p>
        </w:tc>
        <w:tc>
          <w:tcPr>
            <w:tcW w:w="8079" w:type="dxa"/>
          </w:tcPr>
          <w:p w14:paraId="0C7177B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предназначен на пассажирск. самолеты.</w:t>
            </w:r>
          </w:p>
        </w:tc>
      </w:tr>
      <w:tr w:rsidR="004E10C1" w:rsidRPr="0044524F" w14:paraId="24A1BFCF" w14:textId="77777777">
        <w:tc>
          <w:tcPr>
            <w:tcW w:w="2802" w:type="dxa"/>
          </w:tcPr>
          <w:p w14:paraId="442A2E5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Звезда 9 цил.</w:t>
            </w:r>
          </w:p>
        </w:tc>
        <w:tc>
          <w:tcPr>
            <w:tcW w:w="8079" w:type="dxa"/>
          </w:tcPr>
          <w:p w14:paraId="213FB8D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изготовлен в 3-х экземплярах, из коих один передан НИИ ГУГВФ, а 2 находятся в испытании на</w:t>
            </w:r>
          </w:p>
        </w:tc>
      </w:tr>
      <w:tr w:rsidR="004E10C1" w:rsidRPr="0044524F" w14:paraId="3B7446AB" w14:textId="77777777">
        <w:tc>
          <w:tcPr>
            <w:tcW w:w="2802" w:type="dxa"/>
          </w:tcPr>
          <w:p w14:paraId="6C481D2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300 л.с.</w:t>
            </w:r>
          </w:p>
        </w:tc>
        <w:tc>
          <w:tcPr>
            <w:tcW w:w="8079" w:type="dxa"/>
          </w:tcPr>
          <w:p w14:paraId="25940AE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29.</w:t>
            </w:r>
          </w:p>
        </w:tc>
      </w:tr>
      <w:tr w:rsidR="004E10C1" w:rsidRPr="0044524F" w14:paraId="7B9C7AC5" w14:textId="77777777">
        <w:tc>
          <w:tcPr>
            <w:tcW w:w="2802" w:type="dxa"/>
          </w:tcPr>
          <w:p w14:paraId="76C7F1C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1800 об/мин.</w:t>
            </w:r>
          </w:p>
        </w:tc>
        <w:tc>
          <w:tcPr>
            <w:tcW w:w="8079" w:type="dxa"/>
          </w:tcPr>
          <w:p w14:paraId="6F93291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М-49 N 2 всего прошел 55 ч. 33 мин., из них 16 ч. 50 м. прерывных режимных и 10 ч. режимных (1-ый этап</w:t>
            </w:r>
          </w:p>
        </w:tc>
      </w:tr>
      <w:tr w:rsidR="004E10C1" w:rsidRPr="0044524F" w14:paraId="3FE43274" w14:textId="77777777">
        <w:tc>
          <w:tcPr>
            <w:tcW w:w="2802" w:type="dxa"/>
          </w:tcPr>
          <w:p w14:paraId="3D1EDDE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мот. 243 кг</w:t>
            </w:r>
          </w:p>
        </w:tc>
        <w:tc>
          <w:tcPr>
            <w:tcW w:w="8079" w:type="dxa"/>
          </w:tcPr>
          <w:p w14:paraId="643427B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 50-ти часового испытания).</w:t>
            </w:r>
          </w:p>
        </w:tc>
      </w:tr>
      <w:tr w:rsidR="004E10C1" w:rsidRPr="0044524F" w14:paraId="1FE9870D" w14:textId="77777777">
        <w:tc>
          <w:tcPr>
            <w:tcW w:w="2802" w:type="dxa"/>
          </w:tcPr>
          <w:p w14:paraId="307074F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654405F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Снята характеристика.</w:t>
            </w:r>
          </w:p>
          <w:p w14:paraId="7DA6A81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270 л.с. = 1800 об/мин., расх. горючего - 262 гр/л.с.ч., расход масла 25 гр/л.с.ч., наддув + 60 мм рт. столба.</w:t>
            </w:r>
          </w:p>
          <w:p w14:paraId="7D8AFA0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время испытаний выявлены и в основном изжиты дефекты: накат на роликах толкателей, накат на кулачках распред. шайбы, течь масла из носка картера, поломка двойной шестерни распределения, наклепы в соед. картера, износ пальцев бок. шатунов, заедание втулки в/импеллера, поломка клапанных пружин.</w:t>
            </w:r>
          </w:p>
          <w:p w14:paraId="57A7CF6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стоит на 2-ом этапе длительн. заводск. испытан. Дальнейшая работа по мотору сводится к изжитию дефектов, обнаруженных в процессе испытания и к получению проектной мощности - 300 л.с. при.... = 1800 об/мин., так как мотор на сегодня этой мощности не дает.</w:t>
            </w:r>
          </w:p>
          <w:p w14:paraId="5BCCF7B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испытание будет предъявлен 1/IX-33 г.</w:t>
            </w:r>
          </w:p>
          <w:p w14:paraId="6148EC8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к гос. испытан. = 90%.</w:t>
            </w:r>
          </w:p>
          <w:p w14:paraId="45A6828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39FC93C" w14:textId="77777777">
        <w:tc>
          <w:tcPr>
            <w:tcW w:w="2802" w:type="dxa"/>
          </w:tcPr>
          <w:p w14:paraId="5CEEBEA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w:t>
            </w:r>
          </w:p>
        </w:tc>
        <w:tc>
          <w:tcPr>
            <w:tcW w:w="8079" w:type="dxa"/>
          </w:tcPr>
          <w:p w14:paraId="4E162BE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предназначается для учебных самолетов и автожир Ц.А.Г.И.</w:t>
            </w:r>
          </w:p>
        </w:tc>
      </w:tr>
      <w:tr w:rsidR="004E10C1" w:rsidRPr="0044524F" w14:paraId="7C088060" w14:textId="77777777">
        <w:tc>
          <w:tcPr>
            <w:tcW w:w="2802" w:type="dxa"/>
          </w:tcPr>
          <w:p w14:paraId="63F7EE1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Звезда 7 цил.</w:t>
            </w:r>
          </w:p>
        </w:tc>
        <w:tc>
          <w:tcPr>
            <w:tcW w:w="8079" w:type="dxa"/>
          </w:tcPr>
          <w:p w14:paraId="3975ECC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мотора с рабочими чертежами сделан в период с 15/III-31 г. по 1/IX-31 г. Изготовлено 3 экз. мотора,</w:t>
            </w:r>
          </w:p>
        </w:tc>
      </w:tr>
      <w:tr w:rsidR="004E10C1" w:rsidRPr="0044524F" w14:paraId="2EBAB10E" w14:textId="77777777">
        <w:tc>
          <w:tcPr>
            <w:tcW w:w="2802" w:type="dxa"/>
          </w:tcPr>
          <w:p w14:paraId="6D31E20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195 л.с.</w:t>
            </w:r>
          </w:p>
        </w:tc>
        <w:tc>
          <w:tcPr>
            <w:tcW w:w="8079" w:type="dxa"/>
          </w:tcPr>
          <w:p w14:paraId="2DB909D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коих один находится в НИИ ГУГВФ и 2 на зав. 29.</w:t>
            </w:r>
          </w:p>
        </w:tc>
      </w:tr>
      <w:tr w:rsidR="004E10C1" w:rsidRPr="0044524F" w14:paraId="173B5D68" w14:textId="77777777">
        <w:tc>
          <w:tcPr>
            <w:tcW w:w="2802" w:type="dxa"/>
          </w:tcPr>
          <w:p w14:paraId="4B2731E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1700 об/мин.</w:t>
            </w:r>
          </w:p>
        </w:tc>
        <w:tc>
          <w:tcPr>
            <w:tcW w:w="8079" w:type="dxa"/>
          </w:tcPr>
          <w:p w14:paraId="39B2B0F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начаты 2/VII-32 г. Мотор прошел всего212 ч., из коих на режиме 124 ч.</w:t>
            </w:r>
          </w:p>
        </w:tc>
      </w:tr>
      <w:tr w:rsidR="004E10C1" w:rsidRPr="0044524F" w14:paraId="01074FEA" w14:textId="77777777">
        <w:tc>
          <w:tcPr>
            <w:tcW w:w="2802" w:type="dxa"/>
          </w:tcPr>
          <w:p w14:paraId="5B7B0D4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мотора</w:t>
            </w:r>
          </w:p>
        </w:tc>
        <w:tc>
          <w:tcPr>
            <w:tcW w:w="8079" w:type="dxa"/>
          </w:tcPr>
          <w:p w14:paraId="1ABA883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 кг</w:t>
            </w:r>
          </w:p>
        </w:tc>
      </w:tr>
      <w:tr w:rsidR="004E10C1" w:rsidRPr="0044524F" w14:paraId="6E136637" w14:textId="77777777">
        <w:tc>
          <w:tcPr>
            <w:tcW w:w="2802" w:type="dxa"/>
          </w:tcPr>
          <w:p w14:paraId="1091798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37EF3E3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7/VII-33 г. мотор закончил 50-ти часовое заводское испытание. Сейчас проводится подготовка мотора к гос. испытанию и длит. испытание мотора на повышенном режиме.</w:t>
            </w:r>
          </w:p>
          <w:p w14:paraId="70331FC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время испытаний были выявлены и в основном изжиты следующие дефекты: поломка двойной шестерни распределения, поломка венца фрикциона, течь масла из носка картера, поломка клапанных пружин, износ пальцев..... шатуна, большое осевое давление турбины, подсосы во всасыв. системе и др.</w:t>
            </w:r>
          </w:p>
          <w:p w14:paraId="7457229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к 1/IX-33 г. будет предъявлен на гос. испытание.</w:t>
            </w:r>
          </w:p>
          <w:p w14:paraId="4DD7845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к госуд. испыт. 95%.</w:t>
            </w:r>
          </w:p>
          <w:p w14:paraId="5FFC534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365E9CE" w14:textId="77777777">
        <w:tc>
          <w:tcPr>
            <w:tcW w:w="2802" w:type="dxa"/>
          </w:tcPr>
          <w:p w14:paraId="7945384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конструкция</w:t>
            </w:r>
          </w:p>
        </w:tc>
        <w:tc>
          <w:tcPr>
            <w:tcW w:w="8079" w:type="dxa"/>
          </w:tcPr>
          <w:p w14:paraId="6F8BDB3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Задание ЦИАМ'ом получено в ноябре 1930 г. Предварительно проводились испытания</w:t>
            </w:r>
          </w:p>
        </w:tc>
      </w:tr>
      <w:tr w:rsidR="004E10C1" w:rsidRPr="0044524F" w14:paraId="7B5A0CDD" w14:textId="77777777">
        <w:tc>
          <w:tcPr>
            <w:tcW w:w="2802" w:type="dxa"/>
          </w:tcPr>
          <w:p w14:paraId="57C7646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ЦИАМ.</w:t>
            </w:r>
          </w:p>
        </w:tc>
        <w:tc>
          <w:tcPr>
            <w:tcW w:w="8079" w:type="dxa"/>
          </w:tcPr>
          <w:p w14:paraId="17643BE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одноцилиндровых установок. Проектирование начато в мае 1932 г. 20/XI-32 г. рабочие чертежи</w:t>
            </w:r>
          </w:p>
        </w:tc>
      </w:tr>
      <w:tr w:rsidR="004E10C1" w:rsidRPr="0044524F" w14:paraId="1647FF7D" w14:textId="77777777">
        <w:tc>
          <w:tcPr>
            <w:tcW w:w="2802" w:type="dxa"/>
          </w:tcPr>
          <w:p w14:paraId="48AC6A3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цил. Охлажд.</w:t>
            </w:r>
          </w:p>
        </w:tc>
        <w:tc>
          <w:tcPr>
            <w:tcW w:w="8079" w:type="dxa"/>
          </w:tcPr>
          <w:p w14:paraId="19741B4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сданы в производство. На 1/VII мотор в 3-х экземплярах находится в производстве. К 15/VIII-33г.</w:t>
            </w:r>
          </w:p>
        </w:tc>
      </w:tr>
      <w:tr w:rsidR="004E10C1" w:rsidRPr="0044524F" w14:paraId="7B861EC4" w14:textId="77777777">
        <w:tc>
          <w:tcPr>
            <w:tcW w:w="2802" w:type="dxa"/>
          </w:tcPr>
          <w:p w14:paraId="63211FD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водяное</w:t>
            </w:r>
          </w:p>
        </w:tc>
        <w:tc>
          <w:tcPr>
            <w:tcW w:w="8079" w:type="dxa"/>
          </w:tcPr>
          <w:p w14:paraId="08CEAB1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детали первого экземпляра будут сданы в монтажн. цех. К 1/VII-33 г. из 515 наименов.</w:t>
            </w:r>
          </w:p>
        </w:tc>
      </w:tr>
      <w:tr w:rsidR="004E10C1" w:rsidRPr="0044524F" w14:paraId="51B8947F" w14:textId="77777777">
        <w:tc>
          <w:tcPr>
            <w:tcW w:w="2802" w:type="dxa"/>
          </w:tcPr>
          <w:p w14:paraId="635732B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Располож. цил.</w:t>
            </w:r>
          </w:p>
        </w:tc>
        <w:tc>
          <w:tcPr>
            <w:tcW w:w="8079" w:type="dxa"/>
          </w:tcPr>
          <w:p w14:paraId="2342B8C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окончены производством 413 наименований.</w:t>
            </w:r>
          </w:p>
        </w:tc>
      </w:tr>
      <w:tr w:rsidR="004E10C1" w:rsidRPr="0044524F" w14:paraId="229A3152" w14:textId="77777777">
        <w:tc>
          <w:tcPr>
            <w:tcW w:w="2802" w:type="dxa"/>
          </w:tcPr>
          <w:p w14:paraId="3125A7E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градусов</w:t>
            </w:r>
          </w:p>
        </w:tc>
        <w:tc>
          <w:tcPr>
            <w:tcW w:w="8079" w:type="dxa"/>
          </w:tcPr>
          <w:p w14:paraId="0CA7F62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испытания одноцилиндровой установки выявлено, что вместо проектируемой ранее</w:t>
            </w:r>
          </w:p>
        </w:tc>
      </w:tr>
      <w:tr w:rsidR="004E10C1" w:rsidRPr="0044524F" w14:paraId="27690105" w14:textId="77777777">
        <w:tc>
          <w:tcPr>
            <w:tcW w:w="2802" w:type="dxa"/>
          </w:tcPr>
          <w:p w14:paraId="1062EEC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800 л.с.</w:t>
            </w:r>
          </w:p>
        </w:tc>
        <w:tc>
          <w:tcPr>
            <w:tcW w:w="8079" w:type="dxa"/>
          </w:tcPr>
          <w:p w14:paraId="3E6E456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мощности = 600 л.с. при = 1800 об/мин. мотор может дать 800 л.с.</w:t>
            </w:r>
          </w:p>
        </w:tc>
      </w:tr>
      <w:tr w:rsidR="004E10C1" w:rsidRPr="0044524F" w14:paraId="0E1C6D66" w14:textId="77777777">
        <w:tc>
          <w:tcPr>
            <w:tcW w:w="2802" w:type="dxa"/>
          </w:tcPr>
          <w:p w14:paraId="0258E1A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1800 об/мин.</w:t>
            </w:r>
          </w:p>
        </w:tc>
        <w:tc>
          <w:tcPr>
            <w:tcW w:w="8079" w:type="dxa"/>
          </w:tcPr>
          <w:p w14:paraId="26D680E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к гос. исп. 40%.</w:t>
            </w:r>
          </w:p>
        </w:tc>
      </w:tr>
      <w:tr w:rsidR="004E10C1" w:rsidRPr="0044524F" w14:paraId="3BA37D51" w14:textId="77777777">
        <w:tc>
          <w:tcPr>
            <w:tcW w:w="2802" w:type="dxa"/>
          </w:tcPr>
          <w:p w14:paraId="739DAB1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w:t>
            </w:r>
          </w:p>
        </w:tc>
        <w:tc>
          <w:tcPr>
            <w:tcW w:w="8079" w:type="dxa"/>
          </w:tcPr>
          <w:p w14:paraId="02BA2ED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 кг</w:t>
            </w:r>
          </w:p>
        </w:tc>
      </w:tr>
      <w:tr w:rsidR="004E10C1" w:rsidRPr="0044524F" w14:paraId="79F88758" w14:textId="77777777">
        <w:tc>
          <w:tcPr>
            <w:tcW w:w="2802" w:type="dxa"/>
          </w:tcPr>
          <w:p w14:paraId="0A0B616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1A44FC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постановки на зав.</w:t>
            </w:r>
          </w:p>
          <w:p w14:paraId="4795A1A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 1/XI-33 г.</w:t>
            </w:r>
          </w:p>
          <w:p w14:paraId="5267FA4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8F9CBA4" w14:textId="77777777">
        <w:tc>
          <w:tcPr>
            <w:tcW w:w="2802" w:type="dxa"/>
          </w:tcPr>
          <w:p w14:paraId="4E6D453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Н-2. Конструкция ВНИДИ.</w:t>
            </w:r>
          </w:p>
        </w:tc>
        <w:tc>
          <w:tcPr>
            <w:tcW w:w="8079" w:type="dxa"/>
          </w:tcPr>
          <w:p w14:paraId="5105076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выполняется ВНИДИ в кооперированном порядке. На ЦИАМ'е лежала обязанность</w:t>
            </w:r>
          </w:p>
        </w:tc>
      </w:tr>
      <w:tr w:rsidR="004E10C1" w:rsidRPr="0044524F" w14:paraId="7FFFE991" w14:textId="77777777">
        <w:tc>
          <w:tcPr>
            <w:tcW w:w="2802" w:type="dxa"/>
          </w:tcPr>
          <w:p w14:paraId="3206288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 тактный авиацион.</w:t>
            </w:r>
          </w:p>
        </w:tc>
        <w:tc>
          <w:tcPr>
            <w:tcW w:w="8079" w:type="dxa"/>
          </w:tcPr>
          <w:p w14:paraId="314D5D4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изготовления 164 наименов. деталей. Данный заказ ЦИАМ'ом выполнен.</w:t>
            </w:r>
          </w:p>
        </w:tc>
      </w:tr>
      <w:tr w:rsidR="004E10C1" w:rsidRPr="0044524F" w14:paraId="5CA610ED" w14:textId="77777777">
        <w:tc>
          <w:tcPr>
            <w:tcW w:w="2802" w:type="dxa"/>
          </w:tcPr>
          <w:p w14:paraId="17B0672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w:t>
            </w:r>
          </w:p>
        </w:tc>
        <w:tc>
          <w:tcPr>
            <w:tcW w:w="8079" w:type="dxa"/>
          </w:tcPr>
          <w:p w14:paraId="6571DFD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к госуд. испыт. около 45%.</w:t>
            </w:r>
          </w:p>
        </w:tc>
      </w:tr>
      <w:tr w:rsidR="004E10C1" w:rsidRPr="0044524F" w14:paraId="0C955B3A" w14:textId="77777777">
        <w:tc>
          <w:tcPr>
            <w:tcW w:w="2802" w:type="dxa"/>
          </w:tcPr>
          <w:p w14:paraId="69E446A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79" w:type="dxa"/>
          </w:tcPr>
          <w:p w14:paraId="7577B72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Водяное охлаждение.</w:t>
            </w:r>
          </w:p>
          <w:p w14:paraId="0CBB4E3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цилиндров - 12.</w:t>
            </w:r>
          </w:p>
          <w:p w14:paraId="08B5044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Располож. цил. 60 груд.</w:t>
            </w:r>
          </w:p>
          <w:p w14:paraId="2371DF4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1000 л.с.</w:t>
            </w:r>
          </w:p>
          <w:p w14:paraId="628F653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Обороты =</w:t>
            </w:r>
          </w:p>
          <w:p w14:paraId="322A87D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 1300 кг</w:t>
            </w:r>
          </w:p>
          <w:p w14:paraId="24AAC21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 = 5000 м</w:t>
            </w:r>
          </w:p>
          <w:p w14:paraId="45E4A48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 испыт.</w:t>
            </w:r>
          </w:p>
          <w:p w14:paraId="6F8997E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054D04E" w14:textId="77777777">
        <w:tc>
          <w:tcPr>
            <w:tcW w:w="2802" w:type="dxa"/>
          </w:tcPr>
          <w:p w14:paraId="58D97F8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Н-4. Конструкция ХАИ.</w:t>
            </w:r>
          </w:p>
        </w:tc>
        <w:tc>
          <w:tcPr>
            <w:tcW w:w="8079" w:type="dxa"/>
          </w:tcPr>
          <w:p w14:paraId="2AFE7ED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проводилась по договору с НИИ ВВС. С апреля с.г. финансирование работы и руководство</w:t>
            </w:r>
          </w:p>
        </w:tc>
      </w:tr>
      <w:tr w:rsidR="004E10C1" w:rsidRPr="0044524F" w14:paraId="24989D08" w14:textId="77777777">
        <w:tc>
          <w:tcPr>
            <w:tcW w:w="2802" w:type="dxa"/>
          </w:tcPr>
          <w:p w14:paraId="50C7FDC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 тактный авиацион.</w:t>
            </w:r>
          </w:p>
        </w:tc>
        <w:tc>
          <w:tcPr>
            <w:tcW w:w="8079" w:type="dxa"/>
          </w:tcPr>
          <w:p w14:paraId="235F930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перешло в НТОС ГУАП.</w:t>
            </w:r>
          </w:p>
        </w:tc>
      </w:tr>
      <w:tr w:rsidR="004E10C1" w:rsidRPr="0044524F" w14:paraId="1B42560F" w14:textId="77777777">
        <w:tc>
          <w:tcPr>
            <w:tcW w:w="2802" w:type="dxa"/>
          </w:tcPr>
          <w:p w14:paraId="0DCD10C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w:t>
            </w:r>
          </w:p>
        </w:tc>
        <w:tc>
          <w:tcPr>
            <w:tcW w:w="8079" w:type="dxa"/>
          </w:tcPr>
          <w:p w14:paraId="0F0A5A9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рабочие чертежии, технологические разработки и пр. закончены.</w:t>
            </w:r>
          </w:p>
        </w:tc>
      </w:tr>
      <w:tr w:rsidR="004E10C1" w:rsidRPr="0044524F" w14:paraId="5CA61B01" w14:textId="77777777">
        <w:tc>
          <w:tcPr>
            <w:tcW w:w="2802" w:type="dxa"/>
          </w:tcPr>
          <w:p w14:paraId="5AEC32F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Водяное охлаждение.</w:t>
            </w:r>
          </w:p>
        </w:tc>
        <w:tc>
          <w:tcPr>
            <w:tcW w:w="8079" w:type="dxa"/>
          </w:tcPr>
          <w:p w14:paraId="326B624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Заказа на изготовление деталей размещены полностью. Окончены модельные и кузнечные</w:t>
            </w:r>
          </w:p>
        </w:tc>
      </w:tr>
      <w:tr w:rsidR="004E10C1" w:rsidRPr="0044524F" w14:paraId="0ED25B0B" w14:textId="77777777">
        <w:tc>
          <w:tcPr>
            <w:tcW w:w="2802" w:type="dxa"/>
          </w:tcPr>
          <w:p w14:paraId="6B66CDB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цил. - 12.</w:t>
            </w:r>
          </w:p>
        </w:tc>
        <w:tc>
          <w:tcPr>
            <w:tcW w:w="8079" w:type="dxa"/>
          </w:tcPr>
          <w:p w14:paraId="61EE522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проводится механич. обработка деталей. Сделана одноцилиндр. установка, на которой</w:t>
            </w:r>
          </w:p>
        </w:tc>
      </w:tr>
      <w:tr w:rsidR="004E10C1" w:rsidRPr="0044524F" w14:paraId="33A75E6C" w14:textId="77777777">
        <w:tc>
          <w:tcPr>
            <w:tcW w:w="2802" w:type="dxa"/>
          </w:tcPr>
          <w:p w14:paraId="36FB634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600 л.с.</w:t>
            </w:r>
          </w:p>
        </w:tc>
        <w:tc>
          <w:tcPr>
            <w:tcW w:w="8079" w:type="dxa"/>
          </w:tcPr>
          <w:p w14:paraId="651D648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проводятся испытания теплового процесса и топливоподачи. В IV кв. с.г. мотор будет поставлен</w:t>
            </w:r>
          </w:p>
        </w:tc>
      </w:tr>
      <w:tr w:rsidR="004E10C1" w:rsidRPr="0044524F" w14:paraId="1C82807B" w14:textId="77777777">
        <w:tc>
          <w:tcPr>
            <w:tcW w:w="2802" w:type="dxa"/>
          </w:tcPr>
          <w:p w14:paraId="36DE2FF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 = 3000 м</w:t>
            </w:r>
          </w:p>
        </w:tc>
        <w:tc>
          <w:tcPr>
            <w:tcW w:w="8079" w:type="dxa"/>
          </w:tcPr>
          <w:p w14:paraId="04E33C0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испытание.</w:t>
            </w:r>
          </w:p>
        </w:tc>
      </w:tr>
      <w:tr w:rsidR="004E10C1" w:rsidRPr="0044524F" w14:paraId="0A54A07A" w14:textId="77777777">
        <w:tc>
          <w:tcPr>
            <w:tcW w:w="2802" w:type="dxa"/>
          </w:tcPr>
          <w:p w14:paraId="5587C16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- 600 кг</w:t>
            </w:r>
          </w:p>
        </w:tc>
        <w:tc>
          <w:tcPr>
            <w:tcW w:w="8079" w:type="dxa"/>
          </w:tcPr>
          <w:p w14:paraId="54137AA3"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 к гос. исп. около 25 %.</w:t>
            </w:r>
          </w:p>
        </w:tc>
      </w:tr>
      <w:tr w:rsidR="004E10C1" w:rsidRPr="0044524F" w14:paraId="36742CF3" w14:textId="77777777">
        <w:tc>
          <w:tcPr>
            <w:tcW w:w="2802" w:type="dxa"/>
          </w:tcPr>
          <w:p w14:paraId="6B9D12F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Конструкция</w:t>
            </w:r>
          </w:p>
        </w:tc>
        <w:tc>
          <w:tcPr>
            <w:tcW w:w="8079" w:type="dxa"/>
          </w:tcPr>
          <w:p w14:paraId="03ED020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выполняется по заданию ОКБ ОГПУ. На ЦИАМ'е лежит обязанность изготовления</w:t>
            </w:r>
          </w:p>
        </w:tc>
      </w:tr>
      <w:tr w:rsidR="004E10C1" w:rsidRPr="0044524F" w14:paraId="2FBDA9E8" w14:textId="77777777">
        <w:tc>
          <w:tcPr>
            <w:tcW w:w="2802" w:type="dxa"/>
          </w:tcPr>
          <w:p w14:paraId="21ED2EA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...тактный авиацион.</w:t>
            </w:r>
          </w:p>
        </w:tc>
        <w:tc>
          <w:tcPr>
            <w:tcW w:w="8079" w:type="dxa"/>
          </w:tcPr>
          <w:p w14:paraId="2323CEB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ряда узлов, сборка и испытание мотора. С 1/I-33 г. мотор находится в пр-ве. На 15/VII-33 г. из 262</w:t>
            </w:r>
          </w:p>
        </w:tc>
      </w:tr>
      <w:tr w:rsidR="004E10C1" w:rsidRPr="0044524F" w14:paraId="4E677394" w14:textId="77777777">
        <w:tc>
          <w:tcPr>
            <w:tcW w:w="2802" w:type="dxa"/>
          </w:tcPr>
          <w:p w14:paraId="1A2BECF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w:t>
            </w:r>
          </w:p>
        </w:tc>
        <w:tc>
          <w:tcPr>
            <w:tcW w:w="8079" w:type="dxa"/>
          </w:tcPr>
          <w:p w14:paraId="222DB43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наименований окончено производством 230 наименов. В сборке находятся картер, кол. вал и</w:t>
            </w:r>
          </w:p>
        </w:tc>
      </w:tr>
      <w:tr w:rsidR="004E10C1" w:rsidRPr="0044524F" w14:paraId="323A4079" w14:textId="77777777">
        <w:tc>
          <w:tcPr>
            <w:tcW w:w="2802" w:type="dxa"/>
          </w:tcPr>
          <w:p w14:paraId="71C9C72F"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охлаждение.</w:t>
            </w:r>
          </w:p>
        </w:tc>
        <w:tc>
          <w:tcPr>
            <w:tcW w:w="8079" w:type="dxa"/>
          </w:tcPr>
          <w:p w14:paraId="64EB4EC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продувочный насос. 1/IX-33 г. ставится на зав. испытание.</w:t>
            </w:r>
          </w:p>
        </w:tc>
      </w:tr>
      <w:tr w:rsidR="004E10C1" w:rsidRPr="0044524F" w14:paraId="35047F0B" w14:textId="77777777">
        <w:tc>
          <w:tcPr>
            <w:tcW w:w="2802" w:type="dxa"/>
          </w:tcPr>
          <w:p w14:paraId="7FC8386C"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цилиндров - 24.</w:t>
            </w:r>
          </w:p>
        </w:tc>
        <w:tc>
          <w:tcPr>
            <w:tcW w:w="8079" w:type="dxa"/>
          </w:tcPr>
          <w:p w14:paraId="3F29789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 готовности к гос. исп. около - 40%.</w:t>
            </w:r>
          </w:p>
        </w:tc>
      </w:tr>
      <w:tr w:rsidR="004E10C1" w:rsidRPr="0044524F" w14:paraId="6F9FAE46" w14:textId="77777777">
        <w:tc>
          <w:tcPr>
            <w:tcW w:w="2802" w:type="dxa"/>
          </w:tcPr>
          <w:p w14:paraId="088A8D5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Расположение цил. 60 град.</w:t>
            </w:r>
          </w:p>
        </w:tc>
        <w:tc>
          <w:tcPr>
            <w:tcW w:w="8079" w:type="dxa"/>
          </w:tcPr>
          <w:p w14:paraId="465CC288"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E1BBAD7" w14:textId="77777777">
        <w:tc>
          <w:tcPr>
            <w:tcW w:w="2802" w:type="dxa"/>
          </w:tcPr>
          <w:p w14:paraId="5BEDAF9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2000 л.с.</w:t>
            </w:r>
          </w:p>
        </w:tc>
        <w:tc>
          <w:tcPr>
            <w:tcW w:w="8079" w:type="dxa"/>
          </w:tcPr>
          <w:p w14:paraId="4875E69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383D447" w14:textId="77777777">
        <w:tc>
          <w:tcPr>
            <w:tcW w:w="2802" w:type="dxa"/>
          </w:tcPr>
          <w:p w14:paraId="38DBCCB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1400 об/мин.</w:t>
            </w:r>
          </w:p>
        </w:tc>
        <w:tc>
          <w:tcPr>
            <w:tcW w:w="8079" w:type="dxa"/>
          </w:tcPr>
          <w:p w14:paraId="6349064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D837885" w14:textId="77777777">
        <w:tc>
          <w:tcPr>
            <w:tcW w:w="2802" w:type="dxa"/>
          </w:tcPr>
          <w:p w14:paraId="7373578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 3000 м</w:t>
            </w:r>
          </w:p>
        </w:tc>
        <w:tc>
          <w:tcPr>
            <w:tcW w:w="8079" w:type="dxa"/>
          </w:tcPr>
          <w:p w14:paraId="2AF17E3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01B0E8F" w14:textId="77777777">
        <w:tc>
          <w:tcPr>
            <w:tcW w:w="2802" w:type="dxa"/>
          </w:tcPr>
          <w:p w14:paraId="07B341D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на зав. исп. 1/IX-33 г. (2310,143)</w:t>
            </w:r>
          </w:p>
        </w:tc>
        <w:tc>
          <w:tcPr>
            <w:tcW w:w="8079" w:type="dxa"/>
          </w:tcPr>
          <w:p w14:paraId="02F0849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090A7A44"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720145E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года завод № 45, будущий завод № 95 был включен в число дествующих. В 1938 году завод перешел из НКТП в систему НКОП, а в 1939 году в НКАП. С переходом в 1934 году в систему Глававиапрома ГКТП были развернуты работы по реконструкции завода. К моменту эвакуации предприятия в Верхнюю Салду завод выпускал полуфабрикаты из легких сплавов для моторных и самолетных заводов. Согласно приказу НКАП от 9 октября 1941 года за № 053сс завод начал полную эвакуацию из Кунцево в В. Салда на производственные площади завода «Стальмост» НКТП. На освобожденных площадях завода № 95 в Кунцевском районе Московской области в январе 1942 года был создан филиал завода № 95 на базе которого в дальнейшем был организован завод № 65. На основании Постановления СМ от 27 марта 1953 года завод был передан МОП и в том же году по Постановлению СМ за № 2259-920сс по образованию МАП и приказа МАП от 27 августа 1953 года за № 1сс завод перешел в ведение МАП.</w:t>
      </w:r>
    </w:p>
    <w:p w14:paraId="35E3F93A"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Адрес: В. Салда Свердловской области</w:t>
      </w:r>
    </w:p>
    <w:p w14:paraId="05DCEA0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момента организации по 1934 год – директор Заборов Н.П. В первой половине 1935 года – директор Конторщиков Со второй половины 1935 года по 1936 год – директор Музалевский Ю.Г. С 1937 по первое полугодие 1938 года – директор Лещенко С.М. Со второго полугодия 1938 года по 1942 год – директор Выштынецкий И.С. С 1943 года по 1946 год – директор Лещенко С.М. С 1946 года до сентября 1950 года – директор Журавлев Ф.В. С сентября 1950 года по апрель 1952 года – директор Черняев А.А. С апреля 1952 года до марта 1958 года – директор Агарков Г.Д. С апреля 1958 года – директор Прощицкий Х.С. (9659).</w:t>
      </w:r>
    </w:p>
    <w:p w14:paraId="070B0515"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4CCEB7B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года был сдан в эксплуатацию завод № 95. Завод был эвакуирован на Урал в Верхнюю Салду в октябре 1941 года. 26 января 1942 года приказом НКАП за № 81 было предложено организовать на площадке завода № 95 в Сетуне его филиал с задачей производства проволочной заготовки и штампованных изделий. Одновременно было дано задание организовать разделку и переплавку самолетного лома.</w:t>
      </w:r>
    </w:p>
    <w:p w14:paraId="316BC7F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распоряжения СНК за № 2177-рс от 1 февраля 1943 года и приказа НКАП за № 67 от 5 февраля 1943 года на месте филиала завода № 95 организован самостоятельный металлургический завод и присвоен ему № 65. В 1943 году завод 3 65 освоил серийный выпуск проволоки из алюминиевых сплавов и свыше 15 наименований кузнечных штампованных стальных изделий.</w:t>
      </w:r>
    </w:p>
    <w:p w14:paraId="0EE2532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решению ГКО от 21 февраля 1944 года за № 522с и приказу НКАП за № 178 от 9 марта 1944 года на завод № 65 возложена задача по организации производства гильз для авиационных заводов. С апреля 1944 года завод приступил к выпуску этой продукции.</w:t>
      </w:r>
    </w:p>
    <w:p w14:paraId="1B9DAB0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удовлетворения самолетных и моторных заводов трубами, профилями и прутками из алюминиевых сплавов приказом НКАП за № 595 от 5 сентября 1945 года заводу № 65 было поручено организовать производство этих полуфабрикатов.</w:t>
      </w:r>
    </w:p>
    <w:p w14:paraId="0AB728E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приказа МАП № 289 от 13 мая 1946 года завод приступил к восстановлению прокатного производства.</w:t>
      </w:r>
    </w:p>
    <w:p w14:paraId="2FA8D4F9"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МАП за 3 96 от 21 февраля 1955 года при заводе № 65 организовано ОКБ-65 на которое возложена разработка новых технологических процессов производства деталей и полуфабрикатов и создание новой техники для заводов авиапромышленности. 11 августа 1961 года ЦК КПСС и СМ вынесли постановление за № 728-304 об организации ВНИИ технологии легких и специальных сплавов (ВНИИТЛиСС) с опытным заводом на базе ОКБ-65 и завода № 65.</w:t>
      </w:r>
    </w:p>
    <w:p w14:paraId="7AFF30FD"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филиала завода № 95 с января по 23 декабря 1942 года был И.В. Селихов 23 декабря 1942 года приказом НКАП за № 134-ок директором филиала завода № 95 был назначен Румянцев Б.Ф.</w:t>
      </w:r>
    </w:p>
    <w:p w14:paraId="2B0766A1"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реорганизации филиала в самостоятельный завод № 65 директором завода № 95 был назначен Румянцев Б.Ф.</w:t>
      </w:r>
    </w:p>
    <w:p w14:paraId="55F8E6C2"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НКАП № 254/к от 22 марта 1944 года на должность директора завода назначен Коваль Б.А.</w:t>
      </w:r>
    </w:p>
    <w:p w14:paraId="48B98A2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МАП от 17 апреля 1946 года за № 256/к на должность директора завода назначен Виштынецкий И.С. 23 августа 1950 года на должность директора завода назначен Десятков М.Д.</w:t>
      </w:r>
    </w:p>
    <w:p w14:paraId="10F4CBD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МАП от 28 июня 1954 года за № 304/К директором завода назначен Шапошников В.А., а приказом МАП за № 468 от 22 октября 1955 года Шапошников В.А. по совместительству утвержден в должности гл. конструктора ОКБ-65. 19 августа 1959 года на должность директора завода назначен Квасов Ф.И., в должности гл. конструктора ОКБ-65 оставлен Шапошников В.А.</w:t>
      </w:r>
    </w:p>
    <w:p w14:paraId="1A3BAA6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организацией института на базе ОКБ и завода № 65, приказом председателя ГКАТ от 28 октября 1961 года за № 169к на члена Госкомитета Белова М.Ф. возложено исполнение обязанностей начальника ВНИИТЛиСС.</w:t>
      </w:r>
    </w:p>
    <w:p w14:paraId="7E0501F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Адрес: Москва, Кунцево, ул. Горбунова, д. 20 (9894).</w:t>
      </w:r>
    </w:p>
    <w:p w14:paraId="212944B0"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473CD367"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начался выпуск пулеметов ШКАС по новым чертежам. До конца года производство пулеметов было налажено и перешло от стадии полукустарного изготовления к серийному выпуску. Те</w:t>
      </w:r>
      <w:r w:rsidRPr="0044524F">
        <w:rPr>
          <w:rFonts w:ascii="Times New Roman" w:hAnsi="Times New Roman"/>
          <w:color w:val="000000" w:themeColor="text1"/>
          <w:sz w:val="16"/>
          <w:szCs w:val="16"/>
        </w:rPr>
        <w:softHyphen/>
        <w:t>перь перед конструкторами была поставлена задача приспособить пулемет системы ШКАС для применения в различных точках са</w:t>
      </w:r>
      <w:r w:rsidRPr="0044524F">
        <w:rPr>
          <w:rFonts w:ascii="Times New Roman" w:hAnsi="Times New Roman"/>
          <w:color w:val="000000" w:themeColor="text1"/>
          <w:sz w:val="16"/>
          <w:szCs w:val="16"/>
        </w:rPr>
        <w:softHyphen/>
        <w:t>молета в качестве турельного, синхронного и крыльевого (10695).</w:t>
      </w:r>
    </w:p>
    <w:p w14:paraId="0386EA7E"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69DE8F9B" w14:textId="77777777" w:rsidR="007A7AC1" w:rsidRPr="0044524F" w:rsidRDefault="007A7AC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июля 1933 г. у РС-82 и РС-132 конструкторы ГДЛ УВИ НВ РККА приступили к опытам со снарядами с размахом крыльев оперения «по</w:t>
      </w:r>
      <w:r w:rsidRPr="0044524F">
        <w:rPr>
          <w:rFonts w:ascii="Times New Roman" w:hAnsi="Times New Roman"/>
          <w:color w:val="000000" w:themeColor="text1"/>
          <w:sz w:val="16"/>
          <w:szCs w:val="16"/>
        </w:rPr>
        <w:softHyphen/>
        <w:t>добно стабилизаторам аэробомб», превышающим калибр боеприпасов. То есть, со снарядами, выполненными по схеме аэродинамической ста</w:t>
      </w:r>
      <w:r w:rsidRPr="0044524F">
        <w:rPr>
          <w:rFonts w:ascii="Times New Roman" w:hAnsi="Times New Roman"/>
          <w:color w:val="000000" w:themeColor="text1"/>
          <w:sz w:val="16"/>
          <w:szCs w:val="16"/>
        </w:rPr>
        <w:softHyphen/>
        <w:t>билизации. В калибре 132 мм за основу взяли РС-132 модели 561 (корпус БЧ и камера двигателя), но оснастили их стабилизатором модели 1273 из 4 крыльев размахом 400 мм и из 6 крыльев размахом 300 мм. РЗ умень</w:t>
      </w:r>
      <w:r w:rsidRPr="0044524F">
        <w:rPr>
          <w:rFonts w:ascii="Times New Roman" w:hAnsi="Times New Roman"/>
          <w:color w:val="000000" w:themeColor="text1"/>
          <w:sz w:val="16"/>
          <w:szCs w:val="16"/>
        </w:rPr>
        <w:softHyphen/>
        <w:t>шили с 3,11 кг до 2,78 кг. Благодаря подбору сопла, давление в камере двигателя снизилось с 250 кг/см" до 180. Стрельбу ими провели 27 июля и 17 августа 1933 г. на НИАП из спе</w:t>
      </w:r>
      <w:r w:rsidRPr="0044524F">
        <w:rPr>
          <w:rFonts w:ascii="Times New Roman" w:hAnsi="Times New Roman"/>
          <w:color w:val="000000" w:themeColor="text1"/>
          <w:sz w:val="16"/>
          <w:szCs w:val="16"/>
        </w:rPr>
        <w:softHyphen/>
        <w:t>циальных направляющих модели 1294, смонтированных на лафете гор</w:t>
      </w:r>
      <w:r w:rsidRPr="0044524F">
        <w:rPr>
          <w:rFonts w:ascii="Times New Roman" w:hAnsi="Times New Roman"/>
          <w:color w:val="000000" w:themeColor="text1"/>
          <w:sz w:val="16"/>
          <w:szCs w:val="16"/>
        </w:rPr>
        <w:softHyphen/>
        <w:t>ной пушки образца 1909 г. В обоих случаях было выпущено по 20 снаря</w:t>
      </w:r>
      <w:r w:rsidRPr="0044524F">
        <w:rPr>
          <w:rFonts w:ascii="Times New Roman" w:hAnsi="Times New Roman"/>
          <w:color w:val="000000" w:themeColor="text1"/>
          <w:sz w:val="16"/>
          <w:szCs w:val="16"/>
        </w:rPr>
        <w:softHyphen/>
        <w:t>дов. В июльских опытах первый снаряд, упавший в двух километрах, не заметили. Седьмой также не нашли, так как он уклонился на 200 м в сторону от директрисы. Несмотря на возросшую, в сравнении с преды</w:t>
      </w:r>
      <w:r w:rsidRPr="0044524F">
        <w:rPr>
          <w:rFonts w:ascii="Times New Roman" w:hAnsi="Times New Roman"/>
          <w:color w:val="000000" w:themeColor="text1"/>
          <w:sz w:val="16"/>
          <w:szCs w:val="16"/>
        </w:rPr>
        <w:softHyphen/>
        <w:t>дущими отстрелами, точность стрельбы, она все же оставалась неудовле</w:t>
      </w:r>
      <w:r w:rsidRPr="0044524F">
        <w:rPr>
          <w:rFonts w:ascii="Times New Roman" w:hAnsi="Times New Roman"/>
          <w:color w:val="000000" w:themeColor="text1"/>
          <w:sz w:val="16"/>
          <w:szCs w:val="16"/>
        </w:rPr>
        <w:softHyphen/>
        <w:t>творительной. В 60-е годы прошлого столетия исследователи истории развития оте</w:t>
      </w:r>
      <w:r w:rsidRPr="0044524F">
        <w:rPr>
          <w:rFonts w:ascii="Times New Roman" w:hAnsi="Times New Roman"/>
          <w:color w:val="000000" w:themeColor="text1"/>
          <w:sz w:val="16"/>
          <w:szCs w:val="16"/>
        </w:rPr>
        <w:softHyphen/>
        <w:t>чественного ракетного вооружения, решив «отшлифовать» ход развития событий, по-своему прокомментировали многолетний интервал между началом работ по авиационным РС и первыми положительными резуль</w:t>
      </w:r>
      <w:r w:rsidRPr="0044524F">
        <w:rPr>
          <w:rFonts w:ascii="Times New Roman" w:hAnsi="Times New Roman"/>
          <w:color w:val="000000" w:themeColor="text1"/>
          <w:sz w:val="16"/>
          <w:szCs w:val="16"/>
        </w:rPr>
        <w:softHyphen/>
        <w:t>татами заводских и полигонных испытаний. Согласно их версии (затем она была принята в качестве официальной) в РНИИ НКТП неудачи в опытах с ТРС побудили конструкторов создать оперенные снаряды. Однако анализ годовых отчетов по научно-технической деятельности РНИИ дает основания утверждать, что работы по ТРС и оперенным РС в ГДЛ (позже она приобрела статус ленинградского отделения РНИИ), а затем и в московском РНИИ шли параллельно. Более убедительной причиной отказа авиаторов от ТРС выглядит низкая технологичность массового производства таких снарядов. Именно по этой причине в истории отечественной техники так и не поступали на вооружение куда более солидные проекты и образцы. В ситуации с турбореактивными снарядами, тангенциальные сопла малого диаметра требовали чрезвычайной тщательности и точности сверления. Отклонение всего в десятые доли миллиметра тотчас ска</w:t>
      </w:r>
      <w:r w:rsidRPr="0044524F">
        <w:rPr>
          <w:rFonts w:ascii="Times New Roman" w:hAnsi="Times New Roman"/>
          <w:color w:val="000000" w:themeColor="text1"/>
          <w:sz w:val="16"/>
          <w:szCs w:val="16"/>
        </w:rPr>
        <w:softHyphen/>
        <w:t>зывалось на точности стрельбы, поэтому в большом количестве произ</w:t>
      </w:r>
      <w:r w:rsidRPr="0044524F">
        <w:rPr>
          <w:rFonts w:ascii="Times New Roman" w:hAnsi="Times New Roman"/>
          <w:color w:val="000000" w:themeColor="text1"/>
          <w:sz w:val="16"/>
          <w:szCs w:val="16"/>
        </w:rPr>
        <w:softHyphen/>
        <w:t>водить качественные ТРС в то время было чересчур дорого, да и прак</w:t>
      </w:r>
      <w:r w:rsidRPr="0044524F">
        <w:rPr>
          <w:rFonts w:ascii="Times New Roman" w:hAnsi="Times New Roman"/>
          <w:color w:val="000000" w:themeColor="text1"/>
          <w:sz w:val="16"/>
          <w:szCs w:val="16"/>
        </w:rPr>
        <w:softHyphen/>
        <w:t>тически невозможно (11402).</w:t>
      </w:r>
    </w:p>
    <w:p w14:paraId="1A38111E" w14:textId="77777777" w:rsidR="007A7AC1" w:rsidRPr="0044524F" w:rsidRDefault="007A7AC1"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E3716F7"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июля 1933 г. конструкторы приступили к опытам с РС, оснащенными надкалиберным оперением. Так, для одного из первых РС-132 такого типа размах перьев стабилизатора составлял 400 мм (при четырех перьях), а у другого - 300 мм (при шести). В дальнейшем остано</w:t>
      </w:r>
      <w:r w:rsidRPr="00142305">
        <w:rPr>
          <w:rFonts w:ascii="Times New Roman" w:hAnsi="Times New Roman"/>
          <w:color w:val="0070C0"/>
          <w:sz w:val="16"/>
          <w:szCs w:val="16"/>
        </w:rPr>
        <w:softHyphen/>
        <w:t>вились на четырехперистом стабилизаторе, как более простом, но размах и форму перьев продолжали подбирать опытным путем. Выяснилось, что «получить устойчивость снарядов на траектории возможно с увеличением размаха стабилизатора и тщательности его изготовления». В частности, впервые было выявлено сильное влияние эксцентриситета сопла (в ряде случаев несоосность сопла и боевой части достигала б мм!) и точности монтажа перьев стабилизатора. Типовые дальности стрельбы снарядами РС-132 с наземных пусковых установок с углом возвышения 23° составляли в то время 4100...4200 м.</w:t>
      </w:r>
    </w:p>
    <w:p w14:paraId="1278C518"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Корпуса боевых частей ракетных снарядов, снабженные продольными и поперечными насечками для организо</w:t>
      </w:r>
      <w:r w:rsidRPr="00142305">
        <w:rPr>
          <w:rFonts w:ascii="Times New Roman" w:hAnsi="Times New Roman"/>
          <w:color w:val="0070C0"/>
          <w:sz w:val="16"/>
          <w:szCs w:val="16"/>
        </w:rPr>
        <w:softHyphen/>
        <w:t>ванного дробления на осколки, при экспериментах на дальность и точность стрельбы заливались серой. Твердо</w:t>
      </w:r>
      <w:r w:rsidRPr="00142305">
        <w:rPr>
          <w:rFonts w:ascii="Times New Roman" w:hAnsi="Times New Roman"/>
          <w:color w:val="0070C0"/>
          <w:sz w:val="16"/>
          <w:szCs w:val="16"/>
        </w:rPr>
        <w:softHyphen/>
        <w:t>топливный заряд РС-132 состоял из 28 шашек рецептуры ПТП диаметром 40 мм и длиной 57,5 мм каждая. Четыре секции из семи шашек в поперечном сечении задавали внутренний размер корпуса ракетного двигателя РС - длину порядка 232 мм и диаметр 120 мм. Давление, создавав</w:t>
      </w:r>
      <w:r w:rsidRPr="00142305">
        <w:rPr>
          <w:rFonts w:ascii="Times New Roman" w:hAnsi="Times New Roman"/>
          <w:color w:val="0070C0"/>
          <w:sz w:val="16"/>
          <w:szCs w:val="16"/>
        </w:rPr>
        <w:softHyphen/>
        <w:t>шееся внутри корпуса ракетной части, достигало 250 кг/см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поэтому его стенки не могли быть тонкими. С учетом центри</w:t>
      </w:r>
      <w:r w:rsidRPr="00142305">
        <w:rPr>
          <w:rFonts w:ascii="Times New Roman" w:hAnsi="Times New Roman"/>
          <w:color w:val="0070C0"/>
          <w:sz w:val="16"/>
          <w:szCs w:val="16"/>
        </w:rPr>
        <w:softHyphen/>
        <w:t>рующих буртов и нарезных частей корпусов, обеспечи</w:t>
      </w:r>
      <w:r w:rsidRPr="00142305">
        <w:rPr>
          <w:rFonts w:ascii="Times New Roman" w:hAnsi="Times New Roman"/>
          <w:color w:val="0070C0"/>
          <w:sz w:val="16"/>
          <w:szCs w:val="16"/>
        </w:rPr>
        <w:softHyphen/>
        <w:t>вавших стыковку элементов снаряда, и получался тот самый наружный калибр - 132 мм. В РС-82 применялись подобные пороховые шашки диаметром 24 мм, которые задавали внутренний диаметр корпуса ракетной части снаряда, равный 72 мм. Пятимиллиметровые стенки корпуса с учетом буртов определяли наружный калибр 82 мм.</w:t>
      </w:r>
    </w:p>
    <w:p w14:paraId="3E2DE882"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Корпуса ракетных двигателей в РНИИ в 1933-34 гг. изготавливали, обтачивая штатные корпуса снарядов: 107-мм в случае РС-82 и 152-мм снарядов при произ</w:t>
      </w:r>
      <w:r w:rsidRPr="00142305">
        <w:rPr>
          <w:rFonts w:ascii="Times New Roman" w:hAnsi="Times New Roman"/>
          <w:color w:val="0070C0"/>
          <w:sz w:val="16"/>
          <w:szCs w:val="16"/>
        </w:rPr>
        <w:softHyphen/>
        <w:t>водстве РС-132. Не брезговали даже отстрелянными практическими артснарядами, найденными на полигоне (25026).</w:t>
      </w:r>
    </w:p>
    <w:p w14:paraId="023DA550" w14:textId="77777777" w:rsidR="00CF5BF0" w:rsidRPr="00142305" w:rsidRDefault="00CF5BF0" w:rsidP="00CF5BF0">
      <w:pPr>
        <w:spacing w:after="0" w:line="240" w:lineRule="auto"/>
        <w:jc w:val="both"/>
        <w:rPr>
          <w:rFonts w:ascii="Times New Roman" w:hAnsi="Times New Roman"/>
          <w:color w:val="0070C0"/>
          <w:sz w:val="16"/>
          <w:szCs w:val="16"/>
        </w:rPr>
      </w:pPr>
    </w:p>
    <w:p w14:paraId="73F55D46"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в ответ на перелет польских летчиков в Москву два Р-5 слетали в Варшаву. Самолеты были сделаны по спецзаказу, без вооружения и несли гражданские обозначения. Пилотами стали помощник командующего Украинским военным округом Ф.А. Ингаунис и уже упоминаемый командир 252-й бригады А.А. Туржанский. Машины следовали в столицу Польши по разным маршрутам. Полякам это объяснили тем, что хотят познакомить как можно больше людей с достижениями советской авиации. На самом деле маршруты прокладывало Разведывательное управление, выдавшее экипажам подробное наставление - что и где смотреть. В Варшаве экипажи первым делом отвезли в посольство - якобы для отдыха. Но вместо этого они тут же начали записывать ответы на ранее заданные вопросы. А потом уже начались официальные приветствия и банкет...(11936).</w:t>
      </w:r>
    </w:p>
    <w:p w14:paraId="27083B2B" w14:textId="77777777" w:rsidR="007A7AC1" w:rsidRPr="0044524F" w:rsidRDefault="007A7AC1" w:rsidP="009654CF">
      <w:pPr>
        <w:autoSpaceDE w:val="0"/>
        <w:autoSpaceDN w:val="0"/>
        <w:adjustRightInd w:val="0"/>
        <w:spacing w:after="0" w:line="240" w:lineRule="auto"/>
        <w:jc w:val="both"/>
        <w:rPr>
          <w:rFonts w:ascii="Times New Roman" w:hAnsi="Times New Roman"/>
          <w:color w:val="000000" w:themeColor="text1"/>
          <w:sz w:val="16"/>
          <w:szCs w:val="16"/>
        </w:rPr>
      </w:pPr>
    </w:p>
    <w:p w14:paraId="06E67991" w14:textId="77777777" w:rsidR="00506FF6" w:rsidRPr="0044524F" w:rsidRDefault="00506FF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июле 1933 года руководством СССР было принято решение отправить советских авиаторов в Польшу в ответ на визит польских летчиков Е. Баяна и П. Дудзиньски, которые 16 – 17 мая 1933 года на двух спортивных самолетах пролетели по маршруту Варшава – Харьков – Ленинград.</w:t>
      </w:r>
    </w:p>
    <w:p w14:paraId="52D25CDB" w14:textId="77777777" w:rsidR="00506FF6" w:rsidRPr="0044524F" w:rsidRDefault="00506FF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Перелет состоялся 18 августа на двух самолетах Р-5. Первый из них с экипажем в составе: командира 252-й авиабригады А.А. Туржанского и бригадного инженера И.Е. Павлова, добрался до Варшавы без посадки через Витебск, Полоцк и Вильно, а второй – под управлением помощника командующего УВО Ф.А. Ингауниса и инженера инспекции ВВС РККА А.И. Мезинова, следовал по маршруту Москва – Гомель – Львов – Варшава (с посадкой во Львове), и произвел посадку в Варшаве на час позже самолета Туржанского. В тот же день начальник польской военной авиации Райский устроил в честь советских летчиков обед.</w:t>
      </w:r>
    </w:p>
    <w:p w14:paraId="6B412BB3" w14:textId="77777777" w:rsidR="00506FF6" w:rsidRPr="0044524F" w:rsidRDefault="00506FF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следующий день советские летчики «знакомились с производством польских истребителей, с состоянием 1-го авиационного полка, осмотрели аэродромом, машиностроительные заводы, авиашколу, аэродинамический институт, мастерские туристских самолетов». Вечером Польский аэроклуб устроил для советских летчиков обед, на котором присутствовали начальник генштаба, генерал Консиоровский, высшие офицеры польской авиации, директора польских авиационных заводов, члены советского посольства.</w:t>
      </w:r>
    </w:p>
    <w:p w14:paraId="3E3672AE" w14:textId="77777777" w:rsidR="00506FF6" w:rsidRPr="0044524F" w:rsidRDefault="00506FF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20 июля Ингаунис и Туржанский вылетели в Денблин для осмотра авиационной школы.</w:t>
      </w:r>
    </w:p>
    <w:p w14:paraId="49DA5267" w14:textId="77777777" w:rsidR="00506FF6" w:rsidRPr="0044524F" w:rsidRDefault="00506FF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Программой визита предусматривались демонстрационные полеты польских самолетов в Кракове и «полет над горами Татры у польско-чехословацкой границы».</w:t>
      </w:r>
    </w:p>
    <w:p w14:paraId="57982769" w14:textId="77777777" w:rsidR="00506FF6" w:rsidRPr="0044524F" w:rsidRDefault="00506FF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21 июля советские летчики присутствовали на приеме, устроенном в советском полпредстве для представителей польской гражданской и военной авиации. Вечером руководителем польской гражданской авиации Филипповичем в честь советских летчиков был дан обед.</w:t>
      </w:r>
    </w:p>
    <w:p w14:paraId="032CD9DD" w14:textId="77777777" w:rsidR="00506FF6" w:rsidRPr="0044524F" w:rsidRDefault="00506FF6"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22 июля в 8 часов 30 минут советские экипажи вылетели из Варшавы. Экипаж Ингауниса следовал по маршруту Варшава – Лида – Витебск – Москва. Туржанский избрал маршрут – Варшава – Брест – Гомель – Москва. Самолет Ингауниса совершил посадку в Москве в 17 часов 40 минут, самолет Туржанского – двумя часами позже (21249).</w:t>
      </w:r>
    </w:p>
    <w:p w14:paraId="6AAEAA48" w14:textId="77777777" w:rsidR="00506FF6" w:rsidRPr="0044524F" w:rsidRDefault="00506FF6" w:rsidP="009654CF">
      <w:pPr>
        <w:spacing w:after="0" w:line="240" w:lineRule="auto"/>
        <w:jc w:val="both"/>
        <w:rPr>
          <w:rFonts w:ascii="Times New Roman" w:hAnsi="Times New Roman"/>
          <w:color w:val="000000" w:themeColor="text1"/>
          <w:sz w:val="16"/>
          <w:szCs w:val="16"/>
        </w:rPr>
      </w:pPr>
    </w:p>
    <w:p w14:paraId="1A0D4C34"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I933 г. новым самолетом похвастались в Евро</w:t>
      </w:r>
      <w:r w:rsidRPr="00142305">
        <w:rPr>
          <w:rFonts w:ascii="Times New Roman" w:hAnsi="Times New Roman"/>
          <w:color w:val="0070C0"/>
          <w:sz w:val="16"/>
          <w:szCs w:val="16"/>
        </w:rPr>
        <w:softHyphen/>
        <w:t>пе. В ответ на перелет польских летчиков в Москву два Р-5 слетали в Варшаву. Самолеты делались на заказ, без воо</w:t>
      </w:r>
      <w:r w:rsidRPr="00142305">
        <w:rPr>
          <w:rFonts w:ascii="Times New Roman" w:hAnsi="Times New Roman"/>
          <w:color w:val="0070C0"/>
          <w:sz w:val="16"/>
          <w:szCs w:val="16"/>
        </w:rPr>
        <w:softHyphen/>
        <w:t>ружения и несли гражданские бортовые обозначения. Пи</w:t>
      </w:r>
      <w:r w:rsidRPr="00142305">
        <w:rPr>
          <w:rFonts w:ascii="Times New Roman" w:hAnsi="Times New Roman"/>
          <w:color w:val="0070C0"/>
          <w:sz w:val="16"/>
          <w:szCs w:val="16"/>
        </w:rPr>
        <w:softHyphen/>
        <w:t>лотами были Ф.А. Ингаунис (тогда помощник команду</w:t>
      </w:r>
      <w:r w:rsidRPr="00142305">
        <w:rPr>
          <w:rFonts w:ascii="Times New Roman" w:hAnsi="Times New Roman"/>
          <w:color w:val="0070C0"/>
          <w:sz w:val="16"/>
          <w:szCs w:val="16"/>
        </w:rPr>
        <w:softHyphen/>
        <w:t>ющего Украинским военным округом) и А.А. Туржанский (командир 252-й бригады).</w:t>
      </w:r>
    </w:p>
    <w:p w14:paraId="0B313438"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Машины следовали в столицу Польши по разным мар</w:t>
      </w:r>
      <w:r w:rsidRPr="00142305">
        <w:rPr>
          <w:rFonts w:ascii="Times New Roman" w:hAnsi="Times New Roman"/>
          <w:color w:val="0070C0"/>
          <w:sz w:val="16"/>
          <w:szCs w:val="16"/>
        </w:rPr>
        <w:softHyphen/>
        <w:t>шрутам. Полякам это объяснили тем, что хотят познако</w:t>
      </w:r>
      <w:r w:rsidRPr="00142305">
        <w:rPr>
          <w:rFonts w:ascii="Times New Roman" w:hAnsi="Times New Roman"/>
          <w:color w:val="0070C0"/>
          <w:sz w:val="16"/>
          <w:szCs w:val="16"/>
        </w:rPr>
        <w:softHyphen/>
        <w:t>мить как можно больше людей с достижениями советс</w:t>
      </w:r>
      <w:r w:rsidRPr="00142305">
        <w:rPr>
          <w:rFonts w:ascii="Times New Roman" w:hAnsi="Times New Roman"/>
          <w:color w:val="0070C0"/>
          <w:sz w:val="16"/>
          <w:szCs w:val="16"/>
        </w:rPr>
        <w:softHyphen/>
        <w:t>кой авиации. На самом деле маршруты прокладывало Раз</w:t>
      </w:r>
      <w:r w:rsidRPr="00142305">
        <w:rPr>
          <w:rFonts w:ascii="Times New Roman" w:hAnsi="Times New Roman"/>
          <w:color w:val="0070C0"/>
          <w:sz w:val="16"/>
          <w:szCs w:val="16"/>
        </w:rPr>
        <w:softHyphen/>
        <w:t>ведывательное управление, выдавшее членам экипажей подробное наставление — что и где смотреть.</w:t>
      </w:r>
    </w:p>
    <w:p w14:paraId="79AD0D33" w14:textId="77777777" w:rsidR="00A61E06" w:rsidRPr="00142305" w:rsidRDefault="00A61E06" w:rsidP="00A61E0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Варшаве экипажи первым делом отвезли в посольство - якобы отдохнуть. Но вместо этого они туг же начали записы</w:t>
      </w:r>
      <w:r w:rsidRPr="00142305">
        <w:rPr>
          <w:rFonts w:ascii="Times New Roman" w:hAnsi="Times New Roman"/>
          <w:color w:val="0070C0"/>
          <w:sz w:val="16"/>
          <w:szCs w:val="16"/>
        </w:rPr>
        <w:softHyphen/>
        <w:t>вать ответы на ранее заданные вопросы. А потом уже нача</w:t>
      </w:r>
      <w:r w:rsidRPr="00142305">
        <w:rPr>
          <w:rFonts w:ascii="Times New Roman" w:hAnsi="Times New Roman"/>
          <w:color w:val="0070C0"/>
          <w:sz w:val="16"/>
          <w:szCs w:val="16"/>
        </w:rPr>
        <w:softHyphen/>
        <w:t>лись официальные приветствия и банкеты...(24990).</w:t>
      </w:r>
    </w:p>
    <w:p w14:paraId="7EE05AF4" w14:textId="77777777" w:rsidR="00A61E06" w:rsidRPr="00142305" w:rsidRDefault="00A61E06" w:rsidP="00A61E06">
      <w:pPr>
        <w:spacing w:after="0" w:line="240" w:lineRule="auto"/>
        <w:jc w:val="both"/>
        <w:rPr>
          <w:rFonts w:ascii="Times New Roman" w:hAnsi="Times New Roman"/>
          <w:color w:val="0070C0"/>
          <w:sz w:val="16"/>
          <w:szCs w:val="16"/>
        </w:rPr>
      </w:pPr>
    </w:p>
    <w:p w14:paraId="130D073D" w14:textId="77777777" w:rsidR="00506FF6" w:rsidRPr="0044524F" w:rsidRDefault="00506FF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В.М. Молотов последний раз встречается по вопросу создания РНИИ с Акуловым и Орджоникидзе, предварительно приняв В.П. Глушко, и в августе Ворошилов принимает решение слить ГИРД и ГДЛ и подчинить новую организацию Наркомату тяжелой промышленности СССР (НКШ СССР) Серго Орджоникидзе (РГАСПИ, ф. 82, оп. 2, д. 447, Списки за июнь, июль, август 1933 г.) (22685).</w:t>
      </w:r>
    </w:p>
    <w:p w14:paraId="75DB6FAC" w14:textId="77777777" w:rsidR="00506FF6" w:rsidRPr="0044524F" w:rsidRDefault="00506FF6" w:rsidP="009654CF">
      <w:pPr>
        <w:spacing w:after="0" w:line="240" w:lineRule="auto"/>
        <w:jc w:val="both"/>
        <w:rPr>
          <w:rFonts w:ascii="Times New Roman" w:hAnsi="Times New Roman"/>
          <w:color w:val="000000" w:themeColor="text1"/>
          <w:sz w:val="16"/>
          <w:szCs w:val="16"/>
        </w:rPr>
      </w:pPr>
    </w:p>
    <w:p w14:paraId="29E4F664" w14:textId="77777777" w:rsidR="00BC0C54" w:rsidRPr="0044524F" w:rsidRDefault="00BC0C5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 мае 1934 г. на основе проекта дирижабля N-5, разрабатывавшегося У. Нобиле в 1927 г. велось проектирование по</w:t>
      </w:r>
      <w:r w:rsidRPr="0044524F">
        <w:rPr>
          <w:rFonts w:ascii="Times New Roman" w:hAnsi="Times New Roman"/>
          <w:color w:val="000000" w:themeColor="text1"/>
          <w:sz w:val="16"/>
          <w:szCs w:val="16"/>
        </w:rPr>
        <w:softHyphen/>
        <w:t>лужёсткого дирижабля ДП-5 объёмом 50 000 м3 (49 000 м3).</w:t>
      </w:r>
    </w:p>
    <w:p w14:paraId="4FCD18BE" w14:textId="77777777" w:rsidR="00BC0C54" w:rsidRPr="0044524F" w:rsidRDefault="00BC0C5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ДП-5 должен был иметь следующие харак</w:t>
      </w:r>
      <w:r w:rsidRPr="0044524F">
        <w:rPr>
          <w:rFonts w:ascii="Times New Roman" w:hAnsi="Times New Roman"/>
          <w:color w:val="000000" w:themeColor="text1"/>
          <w:sz w:val="16"/>
          <w:szCs w:val="16"/>
        </w:rPr>
        <w:softHyphen/>
        <w:t>теристики: длина — 152 м, диаметр миделя — 29 м, высота — 31 м, радиус действия — до 7000 км, крейсерская скорость — 100 км/ч (20120).</w:t>
      </w:r>
    </w:p>
    <w:p w14:paraId="0A3B16A1" w14:textId="77777777" w:rsidR="00BC0C54" w:rsidRPr="0044524F" w:rsidRDefault="00BC0C54" w:rsidP="009654CF">
      <w:pPr>
        <w:spacing w:after="0" w:line="240" w:lineRule="auto"/>
        <w:jc w:val="both"/>
        <w:rPr>
          <w:rFonts w:ascii="Times New Roman" w:hAnsi="Times New Roman"/>
          <w:color w:val="000000" w:themeColor="text1"/>
          <w:sz w:val="16"/>
          <w:szCs w:val="16"/>
        </w:rPr>
      </w:pPr>
    </w:p>
    <w:p w14:paraId="01D2BA77"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C48128B"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43FC118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ОКБ Опытного завода Спецмаштреста им. Кирова установило на танк Т-26 разработанное в январе 1933 СКБ завода Компрессор оборудование ТДП-3. Опытный образец в августе 1933 прошел войсковые испытания (9527,190).</w:t>
      </w:r>
    </w:p>
    <w:p w14:paraId="383926E6"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03961F53" w14:textId="77777777" w:rsidR="00487C9C" w:rsidRPr="0044524F" w:rsidRDefault="00487C9C" w:rsidP="009654CF">
      <w:pPr>
        <w:pStyle w:val="24"/>
        <w:widowControl/>
        <w:rPr>
          <w:color w:val="000000" w:themeColor="text1"/>
        </w:rPr>
      </w:pPr>
      <w:r w:rsidRPr="0044524F">
        <w:rPr>
          <w:color w:val="000000" w:themeColor="text1"/>
        </w:rPr>
        <w:t>В июле 1933 прошел испытания опытный образец танка подводного хождения Т-26ПХ (АТ-1), разработанный в Спецотделе НАТИ на базе двухбашенного Т-26 (9527,230).</w:t>
      </w:r>
    </w:p>
    <w:p w14:paraId="313C577E" w14:textId="77777777" w:rsidR="00487C9C" w:rsidRPr="0044524F" w:rsidRDefault="00487C9C" w:rsidP="009654CF">
      <w:pPr>
        <w:pStyle w:val="24"/>
        <w:widowControl/>
        <w:rPr>
          <w:color w:val="000000" w:themeColor="text1"/>
        </w:rPr>
      </w:pPr>
    </w:p>
    <w:p w14:paraId="261BD435"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1933 г. Опытный завод Спецмаштреста им. С.М. Кирова выполнил сборку опытного Т-26 с ТДП-3. Работы завершили в минимальное время, поскольку серьезная переделка танка не требовалась. Из башен опытного Т-26 удалили штатное вооружение, на кормовой части надгусеничных полок смонтировали два комплекта ТДП-3, а в боевом отделении поставили секторы управления.</w:t>
      </w:r>
    </w:p>
    <w:p w14:paraId="14A8CCC6"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Химические приборы использовались в изначальной конфигурации. На полке крепился баллон, на котором находились остальные детали, в т.ч. распылители. При помощи пары труб ТДП-3 соединялись с обитаемым отсеком танка; в них помещалась тросовая проводка управления. Наличие двух баллонов с химикатами позволяло увеличить продолжительность или интенсивность распыления.</w:t>
      </w:r>
    </w:p>
    <w:p w14:paraId="2AC48167"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ТТХ танка после переделки в целом не изменились. Установка двух комплектов общей массой более 300 кг отчасти компенсировалась отсутствием вооружения. По подвижности, защите и т.д. Т-26 с приборами ТДП-3 не уступал аналогичным машинам в базовой конфигурации.</w:t>
      </w:r>
    </w:p>
    <w:p w14:paraId="4FA50C1B"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Войсковые испытания опытного Т-26 с двумя ТДП-3 продолжались до октября 1933 г. Специалисты РККА не рекомендовали этот образец к принятию на вооружение. Вероятно, емкость штатных баллонов для смесей вновь посчитали недостаточной. Кроме того, существенной проблемой являлось открытое размещение баллонов, которые, в отличие от ХТ-18, не прикрывались броней танка-носителя (25470).</w:t>
      </w:r>
    </w:p>
    <w:p w14:paraId="09CE50C9" w14:textId="77777777" w:rsidR="00CF5BF0" w:rsidRPr="00142305" w:rsidRDefault="00CF5BF0" w:rsidP="00CF5BF0">
      <w:pPr>
        <w:spacing w:after="0" w:line="240" w:lineRule="auto"/>
        <w:jc w:val="both"/>
        <w:rPr>
          <w:rFonts w:ascii="Times New Roman" w:hAnsi="Times New Roman"/>
          <w:color w:val="0070C0"/>
          <w:sz w:val="16"/>
          <w:szCs w:val="16"/>
        </w:rPr>
      </w:pPr>
    </w:p>
    <w:p w14:paraId="5DB1DB67"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июле 1933 г. началось </w:t>
      </w:r>
      <w:r>
        <w:rPr>
          <w:rStyle w:val="aff"/>
          <w:rFonts w:ascii="Times New Roman" w:hAnsi="Times New Roman" w:cs="Times New Roman"/>
          <w:color w:val="0070C0"/>
        </w:rPr>
        <w:t>с</w:t>
      </w:r>
      <w:r w:rsidRPr="00142305">
        <w:rPr>
          <w:rStyle w:val="aff"/>
          <w:rFonts w:ascii="Times New Roman" w:hAnsi="Times New Roman" w:cs="Times New Roman"/>
          <w:color w:val="0070C0"/>
          <w:spacing w:val="0"/>
          <w:sz w:val="16"/>
          <w:szCs w:val="16"/>
        </w:rPr>
        <w:t>ерийное производство артиллерийского тягача на шасси легкого танка Т-26, спроектированного в КБ завода им. Ворошилова, и до конца года было выпущено 163 Т-26Т. На ис</w:t>
      </w:r>
      <w:r w:rsidRPr="00142305">
        <w:rPr>
          <w:rStyle w:val="aff"/>
          <w:rFonts w:ascii="Times New Roman" w:hAnsi="Times New Roman" w:cs="Times New Roman"/>
          <w:color w:val="0070C0"/>
          <w:spacing w:val="0"/>
          <w:sz w:val="16"/>
          <w:szCs w:val="16"/>
        </w:rPr>
        <w:softHyphen/>
        <w:t>пытаниях тягач не мог тянуть 7-тонный груз по размытым просе</w:t>
      </w:r>
      <w:r w:rsidRPr="00142305">
        <w:rPr>
          <w:rStyle w:val="aff"/>
          <w:rFonts w:ascii="Times New Roman" w:hAnsi="Times New Roman" w:cs="Times New Roman"/>
          <w:color w:val="0070C0"/>
          <w:spacing w:val="0"/>
          <w:sz w:val="16"/>
          <w:szCs w:val="16"/>
        </w:rPr>
        <w:softHyphen/>
        <w:t>лочным дорогам. К 1июня 1941 г. в танковых частях РККА числи</w:t>
      </w:r>
      <w:r w:rsidRPr="00142305">
        <w:rPr>
          <w:rStyle w:val="aff"/>
          <w:rFonts w:ascii="Times New Roman" w:hAnsi="Times New Roman" w:cs="Times New Roman"/>
          <w:color w:val="0070C0"/>
          <w:spacing w:val="0"/>
          <w:sz w:val="16"/>
          <w:szCs w:val="16"/>
        </w:rPr>
        <w:softHyphen/>
        <w:t>лось 211 тягачей на базе танка Т-26 (25436).</w:t>
      </w:r>
    </w:p>
    <w:p w14:paraId="0B3AD796" w14:textId="77777777" w:rsidR="00CF5BF0" w:rsidRPr="00142305" w:rsidRDefault="00CF5BF0" w:rsidP="00CF5BF0">
      <w:pPr>
        <w:spacing w:after="0" w:line="240" w:lineRule="auto"/>
        <w:jc w:val="both"/>
        <w:rPr>
          <w:rFonts w:ascii="Times New Roman" w:hAnsi="Times New Roman"/>
          <w:color w:val="0070C0"/>
          <w:sz w:val="16"/>
          <w:szCs w:val="16"/>
        </w:rPr>
      </w:pPr>
    </w:p>
    <w:p w14:paraId="58A3A8E9" w14:textId="77777777" w:rsidR="00BC0C54" w:rsidRPr="0044524F" w:rsidRDefault="00BC0C54"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lastRenderedPageBreak/>
        <w:t xml:space="preserve">В июле 1933 года ОКМО был закончен проект Т-34-1. Иногда его именуют самоходной артиллерийской установкой, но это не так. Его именовали как "легчайший танк". Вместо вращающейся башни машина получала рубку, в которой разместили 45-мм танковую пушку, но в работу его не утвердили. Да и второй вариант Т-34 делался отчасти уже по инерции (22724). </w:t>
      </w:r>
    </w:p>
    <w:p w14:paraId="1993DCAC" w14:textId="77777777" w:rsidR="00BC0C54" w:rsidRPr="0044524F" w:rsidRDefault="00BC0C54" w:rsidP="009654CF">
      <w:pPr>
        <w:spacing w:after="0" w:line="240" w:lineRule="auto"/>
        <w:jc w:val="both"/>
        <w:rPr>
          <w:rFonts w:ascii="Times New Roman" w:hAnsi="Times New Roman"/>
          <w:color w:val="000000" w:themeColor="text1"/>
          <w:sz w:val="16"/>
          <w:szCs w:val="16"/>
          <w:shd w:val="clear" w:color="auto" w:fill="FFFFFF"/>
        </w:rPr>
      </w:pPr>
    </w:p>
    <w:p w14:paraId="1BD36EDF"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1932 года вышел на испытания плавающий танк Т-37 конструкции ОКМО. Его компоновка была подобна Т-33 и амфи</w:t>
      </w:r>
      <w:r w:rsidRPr="00142305">
        <w:rPr>
          <w:rFonts w:ascii="Times New Roman" w:hAnsi="Times New Roman"/>
          <w:color w:val="0070C0"/>
          <w:sz w:val="16"/>
          <w:szCs w:val="16"/>
        </w:rPr>
        <w:softHyphen/>
        <w:t>бии Vickers-Carden-Loyd. Т-37 имел клепа</w:t>
      </w:r>
      <w:r w:rsidRPr="00142305">
        <w:rPr>
          <w:rFonts w:ascii="Times New Roman" w:hAnsi="Times New Roman"/>
          <w:color w:val="0070C0"/>
          <w:sz w:val="16"/>
          <w:szCs w:val="16"/>
        </w:rPr>
        <w:softHyphen/>
        <w:t>но-сварной корпус, изготовленный из обыч</w:t>
      </w:r>
      <w:r w:rsidRPr="00142305">
        <w:rPr>
          <w:rFonts w:ascii="Times New Roman" w:hAnsi="Times New Roman"/>
          <w:color w:val="0070C0"/>
          <w:sz w:val="16"/>
          <w:szCs w:val="16"/>
        </w:rPr>
        <w:softHyphen/>
        <w:t>ной (не броневой) стали. На крыше устанав</w:t>
      </w:r>
      <w:r w:rsidRPr="00142305">
        <w:rPr>
          <w:rFonts w:ascii="Times New Roman" w:hAnsi="Times New Roman"/>
          <w:color w:val="0070C0"/>
          <w:sz w:val="16"/>
          <w:szCs w:val="16"/>
        </w:rPr>
        <w:softHyphen/>
        <w:t>ливалась башня, смещенная к левому борту. Ее вращение осуществлялось вручную. Воо</w:t>
      </w:r>
      <w:r w:rsidRPr="00142305">
        <w:rPr>
          <w:rFonts w:ascii="Times New Roman" w:hAnsi="Times New Roman"/>
          <w:color w:val="0070C0"/>
          <w:sz w:val="16"/>
          <w:szCs w:val="16"/>
        </w:rPr>
        <w:softHyphen/>
        <w:t>ружение танка состояло из 7,62-мм пулеме</w:t>
      </w:r>
      <w:r w:rsidRPr="00142305">
        <w:rPr>
          <w:rFonts w:ascii="Times New Roman" w:hAnsi="Times New Roman"/>
          <w:color w:val="0070C0"/>
          <w:sz w:val="16"/>
          <w:szCs w:val="16"/>
        </w:rPr>
        <w:softHyphen/>
        <w:t>та ДТ, установленного в шаровой установке, смонтированной в переднем листе башни.</w:t>
      </w:r>
    </w:p>
    <w:p w14:paraId="1951111E"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Автомобильный карбюраторный двигатель Форд-АА мощностью 40 л.с., расположенный продольно, был смещен к правому борту. Он позволял 2,85-тонной машине развивать ско</w:t>
      </w:r>
      <w:r w:rsidRPr="00142305">
        <w:rPr>
          <w:rFonts w:ascii="Times New Roman" w:hAnsi="Times New Roman"/>
          <w:color w:val="0070C0"/>
          <w:sz w:val="16"/>
          <w:szCs w:val="16"/>
        </w:rPr>
        <w:softHyphen/>
        <w:t>рость до 35 км/ч по шоссе и 4 км/ч на плаву. Запас хода танка по шоссе составлял 160 км.</w:t>
      </w:r>
    </w:p>
    <w:p w14:paraId="560A76E7"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заводских испытаний у танка Т-37 выявилось большое количество недостатков и недоработок, поэтому дальнейшие работы по машине прекратили осенью 1932 года. Впос</w:t>
      </w:r>
      <w:r w:rsidRPr="00142305">
        <w:rPr>
          <w:rFonts w:ascii="Times New Roman" w:hAnsi="Times New Roman"/>
          <w:color w:val="0070C0"/>
          <w:sz w:val="16"/>
          <w:szCs w:val="16"/>
        </w:rPr>
        <w:softHyphen/>
        <w:t>ледствии танк Т-37 был отправлен в утиль (25019).</w:t>
      </w:r>
    </w:p>
    <w:p w14:paraId="6A804EF0" w14:textId="77777777" w:rsidR="00CF5BF0" w:rsidRPr="00142305" w:rsidRDefault="00CF5BF0" w:rsidP="00CF5BF0">
      <w:pPr>
        <w:spacing w:after="0" w:line="240" w:lineRule="auto"/>
        <w:jc w:val="both"/>
        <w:rPr>
          <w:rFonts w:ascii="Times New Roman" w:hAnsi="Times New Roman"/>
          <w:color w:val="0070C0"/>
          <w:sz w:val="16"/>
          <w:szCs w:val="16"/>
        </w:rPr>
      </w:pPr>
    </w:p>
    <w:p w14:paraId="7A687B8E" w14:textId="77777777" w:rsidR="00BC0C54" w:rsidRPr="0044524F" w:rsidRDefault="00BC0C54"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rPr>
        <w:t>В июле 1933 года на брянском машиностроительном заводе «Красный Профинтерн», строившем железнодорожные вагоны, цистерны, паровозы CO, была собрана Первая серийная модернизированная тяжелая бронеплощадка, а последняя, десятая, — в 1934 году. В общей же сложности от склада № 60 и завода «Красный Профинтерн» Красная Армия получила 26 тяжелых бронеплощадок.</w:t>
      </w:r>
    </w:p>
    <w:p w14:paraId="1558F12C" w14:textId="77777777" w:rsidR="00BC0C54" w:rsidRPr="0044524F" w:rsidRDefault="00BC0C5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1935 года и до начала войны «Красный Профинтерн» был единственным предприятием, занимавшимся серийным изготовлением бронепоездов.</w:t>
      </w:r>
    </w:p>
    <w:p w14:paraId="1028DEC2" w14:textId="77777777" w:rsidR="00BC0C54" w:rsidRPr="0044524F" w:rsidRDefault="00BC0C54"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rPr>
        <w:t>С 1935 года все построенные тяжелые бронеплощадки переименовали в ПТ-35 (бронеплощадка тяжелая образца 1935 года). Легкие бронеплощадки к тому времени именовались ПЛ-35 (бронеплощадка легкая образца 1935 года), а бронепаровозы — ПР-35 (бронепаровоз образца 1935 года) (22744).</w:t>
      </w:r>
    </w:p>
    <w:p w14:paraId="0AF66DAE" w14:textId="77777777" w:rsidR="00BC0C54" w:rsidRPr="0044524F" w:rsidRDefault="00BC0C54" w:rsidP="009654CF">
      <w:pPr>
        <w:spacing w:after="0" w:line="240" w:lineRule="auto"/>
        <w:jc w:val="both"/>
        <w:rPr>
          <w:rFonts w:ascii="Times New Roman" w:hAnsi="Times New Roman"/>
          <w:color w:val="000000" w:themeColor="text1"/>
          <w:sz w:val="16"/>
          <w:szCs w:val="16"/>
          <w:shd w:val="clear" w:color="auto" w:fill="FFFFFF"/>
        </w:rPr>
      </w:pPr>
    </w:p>
    <w:p w14:paraId="72F55A48"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июле 1933 года на СТЗ выезжает комиссия. Рассмотрев состояние дела, она пришла к выводу, что разработать универсальную машину, наилучшим образом сочетающую в себе и скоростные, и тяговые характеристики, невозможно. Мировая практика не знает ничего подобного. Однако производство машин с различными характеристиками можно наладить на одном заводе из унифицированных узлов и деталей. </w:t>
      </w:r>
    </w:p>
    <w:p w14:paraId="4995705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раз такой вариант и предложили конструкторы НАТИ. Они представили комиссии чертежи общих видов двух машин — трактора для сельского хозяйства и для транспорта, — отличающихся друг от друга только местом расположения водителя и органов управления. На сельскохозяйственном тракторе нет грузовой платформы, она устанавливается только на транспортном. Такая компоновка хоть и не дает возможности одновременно использовать трактор и в сельском хозяйстве, и на транспорте, зато позволяет собрать их на одном конвейере из унифицированных деталей. В своем решении конструкторы НАТИ исходили из того, что завод будет выпускать определенное количество тракторов обоих типов. Чтобы ускорить работу, комиссия рекомендовала направить в Сталинград группу конструкторов НАТИ во главе с В. Слонимским (11418).</w:t>
      </w:r>
    </w:p>
    <w:p w14:paraId="0504BBDD"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21A7CE7A" w14:textId="77777777" w:rsidR="00487C9C" w:rsidRPr="0044524F" w:rsidRDefault="00487C9C" w:rsidP="009654CF">
      <w:pPr>
        <w:pStyle w:val="24"/>
        <w:widowControl/>
        <w:rPr>
          <w:color w:val="000000" w:themeColor="text1"/>
        </w:rPr>
      </w:pPr>
      <w:r w:rsidRPr="0044524F">
        <w:rPr>
          <w:color w:val="000000" w:themeColor="text1"/>
        </w:rPr>
        <w:t>В июле 1933 года мастерские, которые были заняты изготовлением образцов малолитражных автомобилей и мотоциклов по конструкциям, разработанным НАТИ и за первый (1932-й) год существования изготовили и выпустили 2 автомобиля марки НАТИ-2, были переведены в систему НКТП, после чего были переименованы в Мотоциклетный завод.</w:t>
      </w:r>
    </w:p>
    <w:p w14:paraId="3DA8D2D8" w14:textId="77777777" w:rsidR="00487C9C" w:rsidRPr="0044524F" w:rsidRDefault="00487C9C" w:rsidP="009654CF">
      <w:pPr>
        <w:pStyle w:val="24"/>
        <w:widowControl/>
        <w:rPr>
          <w:color w:val="000000" w:themeColor="text1"/>
        </w:rPr>
      </w:pPr>
      <w:r w:rsidRPr="0044524F">
        <w:rPr>
          <w:color w:val="000000" w:themeColor="text1"/>
        </w:rPr>
        <w:t>За период нахождения завода в системе НКТП, завод передавался из одного гл. управления в другое – Главмашпрому, Главметизу, Главширпотребу, Главмотовелопрому..</w:t>
      </w:r>
    </w:p>
    <w:p w14:paraId="10AD8EF9" w14:textId="77777777" w:rsidR="00487C9C" w:rsidRPr="0044524F" w:rsidRDefault="00487C9C" w:rsidP="009654CF">
      <w:pPr>
        <w:pStyle w:val="24"/>
        <w:widowControl/>
        <w:rPr>
          <w:color w:val="000000" w:themeColor="text1"/>
        </w:rPr>
      </w:pPr>
      <w:r w:rsidRPr="0044524F">
        <w:rPr>
          <w:color w:val="000000" w:themeColor="text1"/>
        </w:rPr>
        <w:t>В системе Главмотовелопрома завод находился до момента его передачи в систему НКВ, т.е. до конца 1941 года.</w:t>
      </w:r>
    </w:p>
    <w:p w14:paraId="6D52AC83" w14:textId="77777777" w:rsidR="00487C9C" w:rsidRPr="0044524F" w:rsidRDefault="00487C9C" w:rsidP="009654CF">
      <w:pPr>
        <w:pStyle w:val="24"/>
        <w:widowControl/>
        <w:rPr>
          <w:color w:val="000000" w:themeColor="text1"/>
        </w:rPr>
      </w:pPr>
      <w:r w:rsidRPr="0044524F">
        <w:rPr>
          <w:color w:val="000000" w:themeColor="text1"/>
        </w:rPr>
        <w:t>Завод № 524 МВ был организован на основании постановления ГКО от 23 ноября 1941 года на производственной базе мотоциклетного завода, Главмотовелопрома НК среднего машиностроения, переданного в систему оборонной промышленности 5 декабря 1941 года.</w:t>
      </w:r>
    </w:p>
    <w:p w14:paraId="17B1176D" w14:textId="77777777" w:rsidR="00487C9C" w:rsidRPr="0044524F" w:rsidRDefault="00487C9C" w:rsidP="009654CF">
      <w:pPr>
        <w:pStyle w:val="24"/>
        <w:widowControl/>
        <w:rPr>
          <w:color w:val="000000" w:themeColor="text1"/>
        </w:rPr>
      </w:pPr>
      <w:r w:rsidRPr="0044524F">
        <w:rPr>
          <w:color w:val="000000" w:themeColor="text1"/>
        </w:rPr>
        <w:t>Основной задачей организации завода № 524 и передачи его в Министерство вооружения было в основном изготовление пулемета системы «Максим», станка системы Соколова и изготовление запасных деталей и узлов пулемета «Максим». Указанная продукция изготовлялась на заводе с 1942 года до 1945 года включительно. С 1945 года завод изготавливал охотничьи ружья, электромоторные пилы, а также тракторные детали для с/х. В 1948 году заводом был освоен из оборонной продукции автомат системы Калашникова (АК-47). В сентябре 1949 года завод был передан в 4 гл. управление МОП с прекращением выпуска всех изделий ранее изготовлявшихся на заводе и переводом завода на освоение новых производств.</w:t>
      </w:r>
    </w:p>
    <w:p w14:paraId="7FDC718F" w14:textId="77777777" w:rsidR="00487C9C" w:rsidRPr="0044524F" w:rsidRDefault="00487C9C" w:rsidP="009654CF">
      <w:pPr>
        <w:pStyle w:val="24"/>
        <w:widowControl/>
        <w:rPr>
          <w:color w:val="000000" w:themeColor="text1"/>
        </w:rPr>
      </w:pPr>
      <w:r w:rsidRPr="0044524F">
        <w:rPr>
          <w:color w:val="000000" w:themeColor="text1"/>
        </w:rPr>
        <w:t>Первоначальной базой на которой был организован Мотоциклетный завод, служили помещения бывшей частной фабрики охотружей.</w:t>
      </w:r>
    </w:p>
    <w:p w14:paraId="46FD674C" w14:textId="77777777" w:rsidR="00487C9C" w:rsidRPr="0044524F" w:rsidRDefault="00487C9C" w:rsidP="009654CF">
      <w:pPr>
        <w:pStyle w:val="24"/>
        <w:widowControl/>
        <w:rPr>
          <w:color w:val="000000" w:themeColor="text1"/>
        </w:rPr>
      </w:pPr>
      <w:r w:rsidRPr="0044524F">
        <w:rPr>
          <w:color w:val="000000" w:themeColor="text1"/>
        </w:rPr>
        <w:t>Адрес: Ижевск, п/я 33</w:t>
      </w:r>
    </w:p>
    <w:p w14:paraId="02709B44" w14:textId="77777777" w:rsidR="00487C9C" w:rsidRPr="0044524F" w:rsidRDefault="00487C9C" w:rsidP="009654CF">
      <w:pPr>
        <w:pStyle w:val="24"/>
        <w:widowControl/>
        <w:rPr>
          <w:color w:val="000000" w:themeColor="text1"/>
        </w:rPr>
      </w:pPr>
      <w:r w:rsidRPr="0044524F">
        <w:rPr>
          <w:color w:val="000000" w:themeColor="text1"/>
        </w:rPr>
        <w:t>Директор – Фомин</w:t>
      </w:r>
    </w:p>
    <w:p w14:paraId="35012C36" w14:textId="77777777" w:rsidR="00487C9C" w:rsidRPr="0044524F" w:rsidRDefault="00487C9C" w:rsidP="009654CF">
      <w:pPr>
        <w:pStyle w:val="24"/>
        <w:widowControl/>
        <w:rPr>
          <w:color w:val="000000" w:themeColor="text1"/>
        </w:rPr>
      </w:pPr>
      <w:r w:rsidRPr="0044524F">
        <w:rPr>
          <w:color w:val="000000" w:themeColor="text1"/>
        </w:rPr>
        <w:t>Территория завода расположена в центральной части Ижевска, между улицами М. Горького, Красной и переулками Бородина и Красногеройским (9560).</w:t>
      </w:r>
    </w:p>
    <w:p w14:paraId="0909E96B" w14:textId="77777777" w:rsidR="00487C9C" w:rsidRPr="0044524F" w:rsidRDefault="00487C9C" w:rsidP="009654CF">
      <w:pPr>
        <w:pStyle w:val="24"/>
        <w:widowControl/>
        <w:rPr>
          <w:color w:val="000000" w:themeColor="text1"/>
        </w:rPr>
      </w:pPr>
    </w:p>
    <w:p w14:paraId="5C4C5129" w14:textId="77777777" w:rsidR="00487C9C" w:rsidRPr="0044524F" w:rsidRDefault="00487C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руководство НАТИ потребовало своим ходом перегнать новые мотоциклы из Ижевска в Москву [4.68]. В мотоколонну включили четыре НАТИ-А-750 и один ИЖ-7. Предстоящий мото</w:t>
      </w:r>
      <w:r w:rsidRPr="0044524F">
        <w:rPr>
          <w:rFonts w:ascii="Times New Roman" w:hAnsi="Times New Roman"/>
          <w:color w:val="000000" w:themeColor="text1"/>
          <w:sz w:val="16"/>
          <w:szCs w:val="16"/>
        </w:rPr>
        <w:softHyphen/>
        <w:t>пробег в технической прессе назвали «Предварительным испыта</w:t>
      </w:r>
      <w:r w:rsidRPr="0044524F">
        <w:rPr>
          <w:rFonts w:ascii="Times New Roman" w:hAnsi="Times New Roman"/>
          <w:color w:val="000000" w:themeColor="text1"/>
          <w:sz w:val="16"/>
          <w:szCs w:val="16"/>
        </w:rPr>
        <w:softHyphen/>
        <w:t>тельным пробегом опытных советских мотоциклов НАТИ-А-750» [4.69]. Для сравнения опытных образцов тяжёлых отечественных мотоциклов с иномарками в пробег отправили две импортные ма</w:t>
      </w:r>
      <w:r w:rsidRPr="0044524F">
        <w:rPr>
          <w:rFonts w:ascii="Times New Roman" w:hAnsi="Times New Roman"/>
          <w:color w:val="000000" w:themeColor="text1"/>
          <w:sz w:val="16"/>
          <w:szCs w:val="16"/>
        </w:rPr>
        <w:softHyphen/>
        <w:t xml:space="preserve">шины: одиночку </w:t>
      </w:r>
      <w:r w:rsidRPr="0044524F">
        <w:rPr>
          <w:rFonts w:ascii="Times New Roman" w:hAnsi="Times New Roman"/>
          <w:color w:val="000000" w:themeColor="text1"/>
          <w:sz w:val="16"/>
          <w:szCs w:val="16"/>
          <w:lang w:val="en-US"/>
        </w:rPr>
        <w:t>Harley</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Davidson</w:t>
      </w:r>
      <w:r w:rsidRPr="0044524F">
        <w:rPr>
          <w:rFonts w:ascii="Times New Roman" w:hAnsi="Times New Roman"/>
          <w:color w:val="000000" w:themeColor="text1"/>
          <w:sz w:val="16"/>
          <w:szCs w:val="16"/>
        </w:rPr>
        <w:t>, изготовленную в начале 1933 г., а также ВМ</w:t>
      </w:r>
      <w:r w:rsidRPr="0044524F">
        <w:rPr>
          <w:rFonts w:ascii="Times New Roman" w:hAnsi="Times New Roman"/>
          <w:color w:val="000000" w:themeColor="text1"/>
          <w:sz w:val="16"/>
          <w:szCs w:val="16"/>
          <w:lang w:val="en-US"/>
        </w:rPr>
        <w:t>WR</w:t>
      </w:r>
      <w:r w:rsidRPr="0044524F">
        <w:rPr>
          <w:rFonts w:ascii="Times New Roman" w:hAnsi="Times New Roman"/>
          <w:color w:val="000000" w:themeColor="text1"/>
          <w:sz w:val="16"/>
          <w:szCs w:val="16"/>
        </w:rPr>
        <w:t>-16 с коляской, выпущенный в 1931 г. и переданный фирмой В</w:t>
      </w:r>
      <w:r w:rsidRPr="0044524F">
        <w:rPr>
          <w:rFonts w:ascii="Times New Roman" w:hAnsi="Times New Roman"/>
          <w:color w:val="000000" w:themeColor="text1"/>
          <w:sz w:val="16"/>
          <w:szCs w:val="16"/>
          <w:lang w:val="en-US"/>
        </w:rPr>
        <w:t>MW</w:t>
      </w:r>
      <w:r w:rsidRPr="0044524F">
        <w:rPr>
          <w:rFonts w:ascii="Times New Roman" w:hAnsi="Times New Roman"/>
          <w:color w:val="000000" w:themeColor="text1"/>
          <w:sz w:val="16"/>
          <w:szCs w:val="16"/>
        </w:rPr>
        <w:t xml:space="preserve"> П.В. Можарову для испытаний [4.70]. Путь в столицу лежал через город Горький. До него из Ижев</w:t>
      </w:r>
      <w:r w:rsidRPr="0044524F">
        <w:rPr>
          <w:rFonts w:ascii="Times New Roman" w:hAnsi="Times New Roman"/>
          <w:color w:val="000000" w:themeColor="text1"/>
          <w:sz w:val="16"/>
          <w:szCs w:val="16"/>
        </w:rPr>
        <w:softHyphen/>
        <w:t>ска требовалось ехать по гужевой дороге, о которой П.В. Можаров говаривал тогда: «Колеи телег, усыпанные гвоздями от лоша</w:t>
      </w:r>
      <w:r w:rsidRPr="0044524F">
        <w:rPr>
          <w:rFonts w:ascii="Times New Roman" w:hAnsi="Times New Roman"/>
          <w:color w:val="000000" w:themeColor="text1"/>
          <w:sz w:val="16"/>
          <w:szCs w:val="16"/>
        </w:rPr>
        <w:softHyphen/>
        <w:t>диных подков». Дожди превратили её в сплошную грязь, поэтому решили до Горького добраться пароходом по Каме, а до ближай</w:t>
      </w:r>
      <w:r w:rsidRPr="0044524F">
        <w:rPr>
          <w:rFonts w:ascii="Times New Roman" w:hAnsi="Times New Roman"/>
          <w:color w:val="000000" w:themeColor="text1"/>
          <w:sz w:val="16"/>
          <w:szCs w:val="16"/>
        </w:rPr>
        <w:softHyphen/>
        <w:t>шего речного порта в Сарапуле 60 км проехать по хорошо ука</w:t>
      </w:r>
      <w:r w:rsidRPr="0044524F">
        <w:rPr>
          <w:rFonts w:ascii="Times New Roman" w:hAnsi="Times New Roman"/>
          <w:color w:val="000000" w:themeColor="text1"/>
          <w:sz w:val="16"/>
          <w:szCs w:val="16"/>
        </w:rPr>
        <w:softHyphen/>
        <w:t>танной дороге. В Москву прибыли вполне благополучно: фини</w:t>
      </w:r>
      <w:r w:rsidRPr="0044524F">
        <w:rPr>
          <w:rFonts w:ascii="Times New Roman" w:hAnsi="Times New Roman"/>
          <w:color w:val="000000" w:themeColor="text1"/>
          <w:sz w:val="16"/>
          <w:szCs w:val="16"/>
        </w:rPr>
        <w:softHyphen/>
        <w:t>шировали при въезде в столицу у Рогожской заставы (ныне пло</w:t>
      </w:r>
      <w:r w:rsidRPr="0044524F">
        <w:rPr>
          <w:rFonts w:ascii="Times New Roman" w:hAnsi="Times New Roman"/>
          <w:color w:val="000000" w:themeColor="text1"/>
          <w:sz w:val="16"/>
          <w:szCs w:val="16"/>
        </w:rPr>
        <w:softHyphen/>
        <w:t>щади Ильича). Ижевскую колонну встречали председатель мото</w:t>
      </w:r>
      <w:r w:rsidRPr="0044524F">
        <w:rPr>
          <w:rFonts w:ascii="Times New Roman" w:hAnsi="Times New Roman"/>
          <w:color w:val="000000" w:themeColor="text1"/>
          <w:sz w:val="16"/>
          <w:szCs w:val="16"/>
        </w:rPr>
        <w:softHyphen/>
        <w:t>секции ЦС АВТОДОР СССР С.С. Каменев, представители обще</w:t>
      </w:r>
      <w:r w:rsidRPr="0044524F">
        <w:rPr>
          <w:rFonts w:ascii="Times New Roman" w:hAnsi="Times New Roman"/>
          <w:color w:val="000000" w:themeColor="text1"/>
          <w:sz w:val="16"/>
          <w:szCs w:val="16"/>
        </w:rPr>
        <w:softHyphen/>
        <w:t>ственности Москвы, мотоциклисты спортивных обществ «Дина</w:t>
      </w:r>
      <w:r w:rsidRPr="0044524F">
        <w:rPr>
          <w:rFonts w:ascii="Times New Roman" w:hAnsi="Times New Roman"/>
          <w:color w:val="000000" w:themeColor="text1"/>
          <w:sz w:val="16"/>
          <w:szCs w:val="16"/>
        </w:rPr>
        <w:softHyphen/>
        <w:t>мо» и Московского автоклуба [4.69].</w:t>
      </w:r>
    </w:p>
    <w:p w14:paraId="76D280EF" w14:textId="77777777" w:rsidR="00487C9C" w:rsidRPr="0044524F" w:rsidRDefault="00487C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Новые ижевские мотоциклы перегнали в НАТИ, где их испы</w:t>
      </w:r>
      <w:r w:rsidRPr="0044524F">
        <w:rPr>
          <w:rFonts w:ascii="Times New Roman" w:hAnsi="Times New Roman"/>
          <w:color w:val="000000" w:themeColor="text1"/>
          <w:sz w:val="16"/>
          <w:szCs w:val="16"/>
        </w:rPr>
        <w:softHyphen/>
        <w:t>тывали на пробеговых стендах и в длительном мотопробеге, протяжённостью около 5 тыс. км по территории Московской об</w:t>
      </w:r>
      <w:r w:rsidRPr="0044524F">
        <w:rPr>
          <w:rFonts w:ascii="Times New Roman" w:hAnsi="Times New Roman"/>
          <w:color w:val="000000" w:themeColor="text1"/>
          <w:sz w:val="16"/>
          <w:szCs w:val="16"/>
        </w:rPr>
        <w:softHyphen/>
        <w:t>ласти [4.71]. Осенью 1933 г. мотоцикл-одиночку НАТИ-А-750 с заводским номером 2 передали в Политехнический музей столи</w:t>
      </w:r>
      <w:r w:rsidRPr="0044524F">
        <w:rPr>
          <w:rFonts w:ascii="Times New Roman" w:hAnsi="Times New Roman"/>
          <w:color w:val="000000" w:themeColor="text1"/>
          <w:sz w:val="16"/>
          <w:szCs w:val="16"/>
        </w:rPr>
        <w:softHyphen/>
        <w:t>цы [4.72] (11429).</w:t>
      </w:r>
    </w:p>
    <w:p w14:paraId="04A95860" w14:textId="77777777" w:rsidR="00487C9C" w:rsidRPr="0044524F" w:rsidRDefault="00487C9C" w:rsidP="009654CF">
      <w:pPr>
        <w:shd w:val="clear" w:color="auto" w:fill="FFFFFF"/>
        <w:spacing w:after="0" w:line="240" w:lineRule="auto"/>
        <w:jc w:val="both"/>
        <w:rPr>
          <w:rFonts w:ascii="Times New Roman" w:hAnsi="Times New Roman"/>
          <w:color w:val="000000" w:themeColor="text1"/>
          <w:sz w:val="16"/>
          <w:szCs w:val="16"/>
        </w:rPr>
      </w:pPr>
    </w:p>
    <w:p w14:paraId="6FAFFE9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в Ижевске создан мотозавод. Мотозавод из системы СНХ передан в подчинение 5ГУ МОМ и по приказу от 6.03.1966 г. переименован в Ижевский мотозавод.</w:t>
      </w:r>
    </w:p>
    <w:p w14:paraId="4DC7BF8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1980-е г. построен корпус микроэлектроники.</w:t>
      </w:r>
    </w:p>
    <w:p w14:paraId="030B6681"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Директор (1960-е)- И.С. Стыценко. </w:t>
      </w:r>
    </w:p>
    <w:p w14:paraId="676808C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Производство: наземные и корабельные командно-измерительные станции управления КА (1960-е); аппаратура обработки телеметрической информации СТИ-90 (1968-).77 </w:t>
      </w:r>
    </w:p>
    <w:p w14:paraId="1D2590B1"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Ижевский мотозавод МОМ</w:t>
      </w:r>
    </w:p>
    <w:p w14:paraId="452C8AFA"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Удмуртия г. Ижевск (10776).</w:t>
      </w:r>
    </w:p>
    <w:p w14:paraId="58DC66E5"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1A644360" w14:textId="2DCD0F2D"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заводу (Государственный завод «Двигатель» № 181 НКОП, НКСП, МСП, МТиТМ, «Заведение типографских принадлежностей», «Механический чугунолитейный завод « Г.А. Лесснер», Завод «Старый Лесснер», Механический завод № 1 Русского АО соединенных механических заводов, Петроградский государственный завод № 4 среднего машиностроения, Государственный механический завод № 29 «Торпедо», Ленинградский государственный минный завод «Торпедо» ВСНХ, Завод «Двигатель» ВСНХ, НКТП, НКОП, ФГУП СКБ «Завод «Двигатель», ОАО «Завод «Двигатель» /г. Санкт-Петербург,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Петроград,</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Ленинград «Сдвиг»/ /194044</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Санкт-Петербург Пироговская наб., 13 тел. 542-01-21, 292-27-14/) из УМС РККА передана Феодосийская пристрелочная станция, в 1937 г. она являлась филиалом завода (ФОЗД), по пр. № 0173 от 8.08.1937 г. станция выделена в самостоятельное предприятие (далее завод №238 НКОП).</w:t>
      </w:r>
    </w:p>
    <w:p w14:paraId="137967BC"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1936 г. был единственным заводом, выпускавшим торпеды. Затем на базе его производства организованы заводы № 182 и № 175.</w:t>
      </w:r>
    </w:p>
    <w:p w14:paraId="338D5111"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 68сс от 26.02.1938 г. заводу поручено изготовление опытной партии из 20 шт. торпеды Т-53-38 по образцу фиумской торпеды. Этим же приказом на завод направлено 7 молодых специалистов; приказом НКОП/НКВМФ № 230с от 1.07.1938 г. требовалось представить к 10.07.1938 г. на госиспытания 7 торпед 53-38. Во исполнение постановления СНК № 202сс от 9.08.1938 г. пр. № 349сс от 3/4.09.1938 г. заводу установлен план сдачи торпед на 07-12.1938 г.: 53-38 - 300, Д-4 - 82 шт. Производственная программа на 1938 г.: 120 Д-4 (изготовлено 90), 300 Т-53-38 (159). К 1939 г. торпеда Д-4 была признана «вредительской конструкцией».</w:t>
      </w:r>
    </w:p>
    <w:p w14:paraId="4F6BD4B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 № 415сс от 28/29.10.1938 г. заводу поручено изготовить для завода № 231 5 комплектов приборов «ВР», «УЗО» и «КО».</w:t>
      </w:r>
    </w:p>
    <w:p w14:paraId="76CD2F2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285сс/904сс от 25.08.1941 г. завод № 181 эвакуирован на заводы № 337 НКАП в Куйбышев и завод № 231 НКСП в Уральск. Оставшаяся часть завода всю войну продолжала выпускать продукцию, ремонтировать торпеды. 17.06.1944 г. вышло постановление ГКО № 6060 об организации на заводе производства электроторпед ЭТ-80.</w:t>
      </w:r>
    </w:p>
    <w:p w14:paraId="3896B28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1946 г. завод № 181 - в ведении МСП, в 03.1953-05.1954 г. - МТиТМ, затем - снова в МСП, в 1957-65 г. - в ведении Управления судостроительной промышленности ЛенСНХ. В 1966 г. завод присоединен к НИИ-400 в качестве опытного производства.</w:t>
      </w:r>
    </w:p>
    <w:p w14:paraId="084AAF58"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работ по основному профилю, завод изготавливал системы автоматического управления и регулирования ЯЭУ АПЛ и ледоколов «Ленин», «Арктика», «Сибирь», «Россия».</w:t>
      </w:r>
    </w:p>
    <w:p w14:paraId="34358A7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(2003-07 г.): самонаводящиеся, телеуправляемые электрические торпеды; донные и самотранспортирующиеся мины; приборы гидроакустического противодействия; подводные самотранспортирующиеся средства доставки водолазов; подготовка производства торпед: универсальной глубоководной самонаводящейся УГСТ и электрической ТЭ-2.</w:t>
      </w:r>
    </w:p>
    <w:p w14:paraId="050D428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1973 г. завод входил в состав НПО «Уран». В 2003 г. имел форму ФГУП. По Указу Президента РФ № 1009 от 4.08.2004 г. ОАО вошло в число стратегических оборонных предприятий. Входило в состав концерна «Морское подводное оружие» (2007 г.).</w:t>
      </w:r>
    </w:p>
    <w:p w14:paraId="68BF273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Располагался на одной территории с ЦНИИ «Гидроприбор».</w:t>
      </w:r>
    </w:p>
    <w:p w14:paraId="084F41F8" w14:textId="2E33351B"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Директор (-1911-07.1917 г.-)- М.С. Плотников, (1926-3 </w:t>
      </w:r>
      <w:r w:rsidRPr="0044524F">
        <w:rPr>
          <w:rFonts w:ascii="Times New Roman" w:hAnsi="Times New Roman"/>
          <w:color w:val="000000" w:themeColor="text1"/>
          <w:sz w:val="16"/>
          <w:szCs w:val="16"/>
          <w:lang w:val="en-US"/>
        </w:rPr>
        <w:t>lr</w:t>
      </w:r>
      <w:r w:rsidRPr="0044524F">
        <w:rPr>
          <w:rFonts w:ascii="Times New Roman" w:hAnsi="Times New Roman"/>
          <w:color w:val="000000" w:themeColor="text1"/>
          <w:sz w:val="16"/>
          <w:szCs w:val="16"/>
        </w:rPr>
        <w:t>!)- Н.К. Чеснов, (1931-34; 7.09.1937-07.1938 г.-)- Д.Н. Никаноров, (-10.1936 г.)- Абрамов (репрессирован); и.о. (1936 г.)- Ф.М. Ломанов; (1.02-16.05.1937 г.)- Ф.М. Ломанов; и.о. (29.05-7.09.1937 г.)- Б.А. Хазанов; (10.1938 г.)- Никаноров, (1939-41 г.)- М.Б. Розенштейн, (1941- 50 г.)- Б.П. Румянцев, (1950-62 г.)- Е.Т. Николаев, (1962-70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Г.Д. Кортажев, (1970-83 г.)- ГЛ. Корсаков, "(1983- 90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Г.Н. Худин, (1991-2005 г.-)- В.А. Иванов.</w:t>
      </w:r>
      <w:r w:rsidRPr="0044524F">
        <w:rPr>
          <w:rFonts w:ascii="Times New Roman" w:hAnsi="Times New Roman"/>
          <w:color w:val="000000" w:themeColor="text1"/>
          <w:sz w:val="16"/>
          <w:szCs w:val="16"/>
          <w:vertAlign w:val="superscript"/>
        </w:rPr>
        <w:t>101</w:t>
      </w:r>
      <w:r w:rsidRPr="0044524F">
        <w:rPr>
          <w:rFonts w:ascii="Times New Roman" w:hAnsi="Times New Roman"/>
          <w:color w:val="000000" w:themeColor="text1"/>
          <w:sz w:val="16"/>
          <w:szCs w:val="16"/>
        </w:rPr>
        <w:t xml:space="preserve"> Гендиректор (2007 г.)- П.В. Черепанов.</w:t>
      </w:r>
    </w:p>
    <w:p w14:paraId="63A27F4A" w14:textId="0F9FB6DF"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строительства- Лидванов, (1937 г.)- Иванов. Зам. директора: по ПВО и охране (19.07.1938 г.-)- П.П. Владиславов; (-06-7.09.1937; 25.09.1937 г.-)- П.М. Кнышев; и.о. 2-го зам. директора (20.08.1937 г.-)- А.П. Сальковский. Помощник директора: и.о. (-20.08.1937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Г.В. Галкин; по найму и увольнению (06.1937 г.)- А.Ф. Тимофеев; по коммерческой части (1937 г.)- Андреев.</w:t>
      </w:r>
    </w:p>
    <w:p w14:paraId="6BFA1C9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технический (-1936 г.)- Виленский, (7.09.1937 г.-)- И.К. Германович, (23.11.1938 г.-)- Ф.И. Горбатов; коммерческий (-10.1936 г.)- Лисичкин (репрессирован).</w:t>
      </w:r>
    </w:p>
    <w:p w14:paraId="7526A29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директора: коммерческого (-10.1936 г.)- Белов (репрессирован).</w:t>
      </w:r>
    </w:p>
    <w:p w14:paraId="66396D3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(08.1936 г.)- Виленский (репрессирован); и.о. (1936 г.)- Ф.М. Ломанов; (-06-7.09.1937; 25.09.1937 г.- )- П.М. Кнышев, (-02-09.1938 г.-)- Ф.И. Горбатов, (-21.11.1938 г.)- И.К. Германович (снят); и.о (-23.11.1938 г.)- Ф.И. Горбатов; (23.11.1938 г.-)- Б.П. Румянцев.</w:t>
      </w:r>
    </w:p>
    <w:p w14:paraId="44201E37"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(02.1937 г.)- Волков.</w:t>
      </w:r>
    </w:p>
    <w:p w14:paraId="1F33FD2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технолог (-23.11.1938 г.)- Б.П. Румянцев.</w:t>
      </w:r>
    </w:p>
    <w:p w14:paraId="2883542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производства (23.11.1938 г.-)- Б.П. Румянцев.</w:t>
      </w:r>
    </w:p>
    <w:p w14:paraId="513F27B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цехов: сборочного (02.1937 г.)- Осокин; литейного (01.1937 г.)- Лебедев.</w:t>
      </w:r>
    </w:p>
    <w:p w14:paraId="7EE46EE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цеха: № 3 (08.1937 г.)- Сердцев; сборочного (02.1937 г.)- Сердцев.</w:t>
      </w:r>
    </w:p>
    <w:p w14:paraId="1C7E72D3"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КО (09.1938 г.)- Тимофеев; технического (02.1938 г.)- Зиновьев; ОТК (02.1937 г.)- Кнышев; ППО (-10.1936 г.)- Морозов (репрессирован); планового (1937 г.)- Шемаханов; снабжения (1930-е)- Жестянников (репрессирован); ОКС (1936 г.)- Соловьев; внешних связей и маркетинга (2006 г.)- Ю.А. Мельников.</w:t>
      </w:r>
    </w:p>
    <w:p w14:paraId="3A07CE6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отдела: ППО (10.1936 г.)- Клюйко (репрессирован).</w:t>
      </w:r>
    </w:p>
    <w:p w14:paraId="5886701A"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Производство: ПЛ С.К. Джевецкого (1882-83)- 50 (вместе с Невским заводом), полуподводная лодка «Кета» пр. С.А. Яновича (1904-05), сборка ПЛ Лэка «Осетр» (1905); холодильные машины Вестингауз-Леблан и артиллерийские элеваторы для линкоров и крейсеров (1910-14), воздухонагнетательные насосы торпедных аппаратов для крейсеров (1910-е); торпеды: мина Уайтхеда (1883-89)- 176; парогазовые Т-53-27 (1937), Т-53-38 (- 1938-40-), Т-53-39, Т-45-36; электрические Т-53-36 (Д-4, 1935-38)- 117, ЭТ-80 (1942-), ЭТ-46 (1946-); радиоуправляемая «Акула-1» (1937), самонаводящиеся САЭТ-50 (1950-), САЭТ-50М (1954-), СЭТ-53 (1950-), СЭТ-53М (1960-е), СЭТ-65 (1970-е), СЭТ-65А для АПЛ, телеуправляемые ТЭСТ-68 (1968-), ТЭСТ-71 (1970-е), ТЭСТ-71МЭ-НК (2001-); Д-5, Д-10 (опытные, 1937); мины; автомобили: почтовый фургон (1904)- 14, легковые, грузовики на 1,2 т и 2 т, пожарные машины, фургоны, автобусы (1904-09), автомобиль для Предсовмина России (1906); катерный электромагнитный караван-трал КЭМПТ; пистолет-пулемет ППД-40, пистолет «Балтиец», детали к авиабомбам, </w:t>
      </w:r>
      <w:r w:rsidRPr="0044524F">
        <w:rPr>
          <w:rFonts w:ascii="Times New Roman" w:hAnsi="Times New Roman"/>
          <w:color w:val="000000" w:themeColor="text1"/>
          <w:sz w:val="16"/>
          <w:szCs w:val="16"/>
          <w:lang w:val="en-US"/>
        </w:rPr>
        <w:t>PC</w:t>
      </w:r>
      <w:r w:rsidRPr="0044524F">
        <w:rPr>
          <w:rFonts w:ascii="Times New Roman" w:hAnsi="Times New Roman"/>
          <w:color w:val="000000" w:themeColor="text1"/>
          <w:sz w:val="16"/>
          <w:szCs w:val="16"/>
        </w:rPr>
        <w:t xml:space="preserve"> М-13 (ВОВ); аппаратура самонаведения «Сапфир» (1980-е), средство акустического противодействия МГ-74; минно-ракетный и минно-торпедный ПЖ МРПК-1, МТПК-1, МТПК-2, авиационная противодесантная донная мина АПДМ (1980-е); самоходное средство для водолазов «Сирена» (1959-), «Сирена- УМЭ» (2000-е); аппарат «Марина», буксировщики аквалангиста «Нептун», «Протон-У», СОМ-1;</w:t>
      </w:r>
      <w:r w:rsidRPr="0044524F">
        <w:rPr>
          <w:rFonts w:ascii="Times New Roman" w:hAnsi="Times New Roman"/>
          <w:color w:val="000000" w:themeColor="text1"/>
          <w:sz w:val="16"/>
          <w:szCs w:val="16"/>
          <w:vertAlign w:val="superscript"/>
        </w:rPr>
        <w:t xml:space="preserve">23 </w:t>
      </w:r>
      <w:r w:rsidRPr="0044524F">
        <w:rPr>
          <w:rFonts w:ascii="Times New Roman" w:hAnsi="Times New Roman"/>
          <w:color w:val="000000" w:themeColor="text1"/>
          <w:sz w:val="16"/>
          <w:szCs w:val="16"/>
        </w:rPr>
        <w:t>транспортировочно-спасательная система «Акья» (2000-е); электрофон УРГ, электропроигрыватель «Аврора»; бытовой газовый комплекс НГБ.</w:t>
      </w:r>
    </w:p>
    <w:p w14:paraId="38878D1B"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Опытно-конструкторский отдел (ОКО) завода «Двигатель», ЦКБ-39 НКОП, НКСП</w:t>
      </w:r>
    </w:p>
    <w:p w14:paraId="433D21B8"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Велась разработка новых образцов торпед: Д-5 (1935-36 г.), Д-6 (проект), ПБ-7 (авторы Перля, Брун, в 1936 г.- опытный образец), Д-10 (проектировалась в 1936 г.), ДД-9 (с кислородным двигателем), ПБ-9.</w:t>
      </w:r>
    </w:p>
    <w:p w14:paraId="1B4372A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 имел свою производственную базу (30 станков) (1936 г.). По пр. № 0214 от 26.09.1937 г. на базе КО завода и соответствующего отдела Остехупра организовано ЦКБ-39 в ведении вновь созданного 17ГУ. ЦКБ предан в качестве опытно-экспериментального завод им. Ворошилова (с мастерскими «Красный изобретатель» при нем). По пр. № 0238 от 5.11.1937 г. ЦКБ-39 размещено вместе с ЦКБ-36 в здании бывшего КБ-21. В 02.1939 г. из 17ГУ передано в ведение НКСП.</w:t>
      </w:r>
    </w:p>
    <w:p w14:paraId="059320BB"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 № 415сс от 28/29.10.1938 г. ЦКБ совместно с заводом № 231 требовалось к 1.12.1938 г. изготовить две опытные торпеды «53-39». Для форсирования работ по торпеде </w:t>
      </w:r>
      <w:r w:rsidRPr="0044524F">
        <w:rPr>
          <w:rFonts w:ascii="Times New Roman" w:hAnsi="Times New Roman"/>
          <w:color w:val="000000" w:themeColor="text1"/>
          <w:sz w:val="16"/>
          <w:szCs w:val="16"/>
          <w:lang w:val="en-US"/>
        </w:rPr>
        <w:t>ACT</w:t>
      </w:r>
      <w:r w:rsidRPr="0044524F">
        <w:rPr>
          <w:rFonts w:ascii="Times New Roman" w:hAnsi="Times New Roman"/>
          <w:color w:val="000000" w:themeColor="text1"/>
          <w:sz w:val="16"/>
          <w:szCs w:val="16"/>
        </w:rPr>
        <w:t xml:space="preserve"> требовалось к 25.12.1938 г. закончить проект переоборудования бывшего газового завода в Ленинграде под спецлабораторию ЦКБ-39.</w:t>
      </w:r>
    </w:p>
    <w:p w14:paraId="785B5D27"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1941 г. ЦКБ-39 ликвидировано, образовав вместе с ЦКБ-36 ОКБ завода № 231 НКСП.</w:t>
      </w:r>
      <w:r w:rsidRPr="0044524F">
        <w:rPr>
          <w:rFonts w:ascii="Times New Roman" w:hAnsi="Times New Roman"/>
          <w:color w:val="000000" w:themeColor="text1"/>
          <w:sz w:val="16"/>
          <w:szCs w:val="16"/>
          <w:vertAlign w:val="superscript"/>
        </w:rPr>
        <w:t>61</w:t>
      </w:r>
    </w:p>
    <w:p w14:paraId="64119C5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(2.02-5.11.1938 г.)- П.Я. Кононов, (5.11.1938 г.-)- М.П. Максимов.</w:t>
      </w:r>
    </w:p>
    <w:p w14:paraId="12A7F3DA" w14:textId="4B1E18D3"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группы № 4 (12.1938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Диллон.</w:t>
      </w:r>
      <w:r w:rsidRPr="0044524F">
        <w:rPr>
          <w:rFonts w:ascii="Times New Roman" w:hAnsi="Times New Roman"/>
          <w:color w:val="000000" w:themeColor="text1"/>
          <w:sz w:val="16"/>
          <w:szCs w:val="16"/>
          <w:vertAlign w:val="superscript"/>
        </w:rPr>
        <w:t>139</w:t>
      </w:r>
    </w:p>
    <w:p w14:paraId="5042ACCA"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СКВ завода № 181</w:t>
      </w:r>
    </w:p>
    <w:p w14:paraId="28EB9CD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ГКО № 2318 от 17.09.1942 г. торпеда ЭТ-80 и глубоководный минный защитник ГМЗ пнв. В соответствии с ПСМ № 1120-583 от 15.08.1956 г. торпеда ЭТ-56 пнв.</w:t>
      </w:r>
    </w:p>
    <w:p w14:paraId="71EDE888"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1961-63 г. велись работы по первой отечественной телеуправляемой по проводам торпеде ТЭСТ-68 (разработка РКД и изготовление опытных образцов).</w:t>
      </w:r>
    </w:p>
    <w:p w14:paraId="4EFE9B3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Проведена модернизация самоходного носителя водолазов «Сирена» в «Сирена-УМ». Затем были разработаны собственные модели буксировщиков водолазов.</w:t>
      </w:r>
    </w:p>
    <w:p w14:paraId="1895B040" w14:textId="2D22B273"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Ведущие конструкторы: (1950-е)-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Г.Д. Карташев, (1950-е)- В.А. Косарев, (1950-е)- Д.А. Петров, (-1943-50-е)- Н.Н. Шамарин, (1950-е)- И.П. Яковлев.</w:t>
      </w:r>
    </w:p>
    <w:p w14:paraId="4197593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Создано: электроторпеды: ЭТ-80 (пнв 17.09.1942 г.), ЭТ-46 (1945, на базе трофейной </w:t>
      </w:r>
      <w:r w:rsidRPr="0044524F">
        <w:rPr>
          <w:rFonts w:ascii="Times New Roman" w:hAnsi="Times New Roman"/>
          <w:color w:val="000000" w:themeColor="text1"/>
          <w:sz w:val="16"/>
          <w:szCs w:val="16"/>
          <w:lang w:val="en-US"/>
        </w:rPr>
        <w:t>G</w:t>
      </w:r>
      <w:r w:rsidRPr="0044524F">
        <w:rPr>
          <w:rFonts w:ascii="Times New Roman" w:hAnsi="Times New Roman"/>
          <w:color w:val="000000" w:themeColor="text1"/>
          <w:sz w:val="16"/>
          <w:szCs w:val="16"/>
        </w:rPr>
        <w:t>-7</w:t>
      </w:r>
      <w:r w:rsidRPr="0044524F">
        <w:rPr>
          <w:rFonts w:ascii="Times New Roman" w:hAnsi="Times New Roman"/>
          <w:color w:val="000000" w:themeColor="text1"/>
          <w:sz w:val="16"/>
          <w:szCs w:val="16"/>
          <w:lang w:val="en-US"/>
        </w:rPr>
        <w:t>E</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vertAlign w:val="superscript"/>
        </w:rPr>
        <w:t>61</w:t>
      </w:r>
      <w:r w:rsidRPr="0044524F">
        <w:rPr>
          <w:rFonts w:ascii="Times New Roman" w:hAnsi="Times New Roman"/>
          <w:color w:val="000000" w:themeColor="text1"/>
          <w:sz w:val="16"/>
          <w:szCs w:val="16"/>
        </w:rPr>
        <w:t xml:space="preserve"> ЭТ-56 (пнв 15.08.1956 г.); самонаводящаяся САЭТ-60 (1950-е), СЭТ-65КЭ; телеуправляемая по проводам ТЭСТ-68 (пнв в 1968 г.), ТЭСТ-71МК (с аппаратурой самонаведения «Керамика»), универсальная ТЭСТ-71МЭ-НК (2000-е); буксировщики водолазов «Сирена», «Сирена-К, -М», «Гроздь», «Анемона-АК», «Нептун», «Протон-У», «Сом-1» (1970-2001) (11982).</w:t>
      </w:r>
    </w:p>
    <w:p w14:paraId="6646AE9B"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40A5546A"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станция (Торпедно-испытательный завод № 238 НКОП, НКСП, Феодосийская пристрелочная станция, Феодосийское отделение завода «Двигатель» (ФОЗД), Феодосийская испытательная станция НКОП /г. Феодосия п/я 24 «Молот» (1937 г.)/) была передана из ведения УМС РККА заводу «Двигатель», в 1936-37 г. являлась его филиалом. В 1936 г. станция являлась единственным предприятием в стране по испытанию и сдаче торпед. По пр. № 0173 от 8.08.1937 г. выделена в самостоятельную Феодосийскую испытательную станцию в ведении ЗГУ, по пр. № 0214 от 26.09.1937 г. станция передана в ведение вновь созданного 17ГУ. По пр. № 70с от 5.03.1938 г. станция реорганизована в Торпедно-испытательный завод № 238 17ГУ НКОП. В 02.1939 г. из 17ГУ передан в ведение НКСП.</w:t>
      </w:r>
    </w:p>
    <w:p w14:paraId="21A433C3" w14:textId="44AD468A"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составе станции (1936 г.): пристрелочный павильон; цеха: морской, сборочный (корпуса № 2, 3), ремонтно- механический, машинный. Приказом № 0154 от 10.07.1937 г. утверждено плановое задание на строительство нового павильона для отстрела торпед, сооружаемого в Двуякорной бухте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Феодосия рядом с существуюим павильоном со сроком ввода - к 1.12.1937 г. По пр. № 68сс от 26.02.1938 г. на завод направлено 10 молодых специалистов и 10 чел. с заводов НКМ. Пост, правительства № 242сс от 5.10.1938 г. и пр. № 410с от 25.10.1938 г. была отменена реконструкция Феодосийской пристрелочной станции. Строительство новой Феодосийской торпедно-пристрелочной станции было предписано вести в районе дер. Дальние Камыши. Для этого было организовано управление строительства «Южная точка» в ведении 17ГУ.</w:t>
      </w:r>
    </w:p>
    <w:p w14:paraId="33627DBB"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04.1937 г. - испытания радиоуправляемой торпеды «Акула-1». Приказом № 102сс от 22.03.1938 г. требовалось к 29.03.1938 г. представить план организации работ по испытанию на заводе опытной бесследной водородно-кислородной торпеды.</w:t>
      </w:r>
    </w:p>
    <w:p w14:paraId="647E4A1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1938 г. Ф.И. Наумов изобрел прибор для ПЛ. Для его реализации и внедрения на ВМФ пр. № 409сс от 23/25.10.1938 г. заводу № 103 предписано к 25.11.1938 г. изготовить и испытать 24 прибора.</w:t>
      </w:r>
    </w:p>
    <w:p w14:paraId="5BEE634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начала войны завод эвакуирован на заводы № 239 в Петропавловск и № 182 в Махачкалу.</w:t>
      </w:r>
      <w:r w:rsidRPr="0044524F">
        <w:rPr>
          <w:rFonts w:ascii="Times New Roman" w:hAnsi="Times New Roman"/>
          <w:color w:val="000000" w:themeColor="text1"/>
          <w:sz w:val="16"/>
          <w:szCs w:val="16"/>
          <w:vertAlign w:val="superscript"/>
        </w:rPr>
        <w:t>61</w:t>
      </w:r>
    </w:p>
    <w:p w14:paraId="6363505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Пристрелочная станция в 1941 г. после начала войны эвакуирована в Тюмень на площадку завода № 639. После освобождения Крыма на старом месте у дер. Дальние Камыши создан завод № 831.</w:t>
      </w:r>
    </w:p>
    <w:p w14:paraId="740EFB1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(1930-е)- Григорьев, (-15.07.1937 г.)- А.И. Железный (снят как не справившийся), (15.07- 23.11.1937 г.)- А.А. Белянский. Директор (23.11.1937-19.07.1938 г.)- П.Н. Рупасов, (19.07.1938 г.-&gt; Н.П. Дрямов.</w:t>
      </w:r>
    </w:p>
    <w:p w14:paraId="7DC486FC"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строительства (01.1938 г.)- Беликов, «Южной точки» (26.10.1938 г.-)- М.Н. Клюнин. Зам. директора (23.12.1937 г.-)- Ф.И. Наумов. Помощник директора по найму и увольнению (06.1937 г.)- И. Г. Подгола.</w:t>
      </w:r>
    </w:p>
    <w:p w14:paraId="777B70B2"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(02.1937 г.)- Смирнов, (23.12.1937-10.1938 г.-)- Ф.И. Наумов.</w:t>
      </w:r>
    </w:p>
    <w:p w14:paraId="559F664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Начальники отделов: ОТК (08.1937 г.)- Якобсон.</w:t>
      </w:r>
    </w:p>
    <w:p w14:paraId="5F24B21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Руководители групп: (03.1938 г.)- Голиков (11982).</w:t>
      </w:r>
    </w:p>
    <w:p w14:paraId="1DD15B46" w14:textId="77777777" w:rsidR="00E72149" w:rsidRPr="0044524F" w:rsidRDefault="00E72149" w:rsidP="009654CF">
      <w:pPr>
        <w:spacing w:after="0" w:line="240" w:lineRule="auto"/>
        <w:jc w:val="both"/>
        <w:rPr>
          <w:rFonts w:ascii="Times New Roman" w:hAnsi="Times New Roman"/>
          <w:color w:val="000000" w:themeColor="text1"/>
          <w:sz w:val="16"/>
          <w:szCs w:val="16"/>
        </w:rPr>
      </w:pPr>
    </w:p>
    <w:p w14:paraId="03A75F61"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июле 1933 года «пущен в строй» Днепровский алюминиевый завод. </w:t>
      </w:r>
    </w:p>
    <w:p w14:paraId="4702C2A3"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Развитие алюминиевого производства органично вписывалось в план ГОЭЛРО, по которому создавалась энергетическая база для превращения России в крупную индустриальную державу. Без алюминия, как основного металла для электротехники, невозможна была реализация плана ГОЭЛРО, а без его реализации создание энергоемкого алюминиевого производства. </w:t>
      </w:r>
    </w:p>
    <w:p w14:paraId="4FF1BC1C"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Уже в эти годы закладывались основные принципы создания российской алюминиевой промышленности – строительство алюминиевых предприятий в непосредственной близости от энергомощностей, работающих на наименее затратной, экологически чисто и возобновляемой гидроэнергии. </w:t>
      </w:r>
    </w:p>
    <w:p w14:paraId="07CA504C"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Наиболее полную практическую реализацию эти принципы получили в годы, когда Правительство СССР возглавлял А.Н.Косыгин. Именно тогда алюминиевая промышленность стала развиваться в Сибири на базе крупнейших в мире гидростанций. </w:t>
      </w:r>
    </w:p>
    <w:p w14:paraId="77772A14"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годы Великой Отечественной войны проблема обеспечения алюминием советской авиации стала особенно острой, так как в самом начале войны страна лишилась производителей алюминия – Волховского и Днепровского алюминиевых заводов. </w:t>
      </w:r>
    </w:p>
    <w:p w14:paraId="3196437E"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Государство приняло экстренные меры по перемещению алюминиевого производства на Урал и в Сибирь. При строительстве Богословского и Новокузнецкого алюминиевых заводов, которое велось ускоренными темпами и было завершено в годы войны, использовалось оборудование, вывезенное с Бокситогорского, Волховского и Днепровского заводов. </w:t>
      </w:r>
    </w:p>
    <w:p w14:paraId="6CA806EC"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военные годы было произведено 350 тыс.т алюминия и 755 тыс.т глинозема. С первых же дней войны на Уральском алюминиевом заводе (УАЗ) было организовано производство кремния и силумина. Таким образом, страна получила значительное количество алюминия для авиастроения. И это обстоятельство стало одним из решающих факторов в достижении Великой Победы (12272).</w:t>
      </w:r>
    </w:p>
    <w:p w14:paraId="051E76E3" w14:textId="77777777" w:rsidR="00FA6C6A" w:rsidRPr="0044524F" w:rsidRDefault="00FA6C6A" w:rsidP="009654CF">
      <w:pPr>
        <w:spacing w:after="0" w:line="240" w:lineRule="auto"/>
        <w:jc w:val="both"/>
        <w:rPr>
          <w:rFonts w:ascii="Times New Roman" w:hAnsi="Times New Roman"/>
          <w:color w:val="000000" w:themeColor="text1"/>
          <w:sz w:val="16"/>
          <w:szCs w:val="16"/>
        </w:rPr>
      </w:pPr>
    </w:p>
    <w:p w14:paraId="7CC38C59" w14:textId="77777777" w:rsidR="00487C9C"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74EC20C6"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50EA800D"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июль 1933 г. в ВВС Белорусского ВО числилось 46 самолетов И-7, в ВВС МВО – 1 самолет И-7, в летной школе – 1 самолет (24331).</w:t>
      </w:r>
    </w:p>
    <w:p w14:paraId="4F3F55C7"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21B2423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СТО поставил задачи Морским силам РККА (3898).</w:t>
      </w:r>
    </w:p>
    <w:p w14:paraId="4EA4172B"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0819B3E0"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D165763"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3D2367F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новым самолетом похвастались в Европе. В ответ на перелет польских летчиков в Москву два Р-5 слетали в Варшаву. Самолеты делались на заказ, без вооружения и несли гражданские бортовые обозначения. Пилотами были Ф.А. Ингаунис (тогда помощник командующего Украинским военным округом) и уже упоминавшийся А.А. Туржанский (командир 252-й бригады).</w:t>
      </w:r>
    </w:p>
    <w:p w14:paraId="1257C03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Машины следовали в столицу Польши по разным маршрутам. Полякам это объяснили тем, что хотят познакомить как можно больше людей с достижениями советской авиации. На самом деле маршруты прокладывало Разведывательное управление, выдавшее членам экипажей подробное наставление - что и где смотреть.</w:t>
      </w:r>
    </w:p>
    <w:p w14:paraId="4B754615"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Варшаве экипажи первым делом отвезли в посольство - якобы отдохнуть. Но вместо этого они туг же начали записывать ответы на ранее заданные вопросы. А потом уже начались официальные приветствия и банкеты...(12034).</w:t>
      </w:r>
    </w:p>
    <w:p w14:paraId="6D0E807F"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6064856A"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B5F2853"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5C9AB272"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года поднялся в воздух родоначальник семейства - опытный DC-1. На его базе создали DС-2, выпуск которых завод фирмы "Дуглас" начал с мая 1934 года (3457,50).</w:t>
      </w:r>
    </w:p>
    <w:p w14:paraId="35BCA564"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32EF13A8"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года поднялся в воздух DC-1, ставший родоначальником всего семейства. На его базе создали DC-2, выпуск которых завод фирмы «Дуглас» начал с мая 1934 года. В том же году пасса</w:t>
      </w:r>
      <w:r w:rsidRPr="0044524F">
        <w:rPr>
          <w:rFonts w:ascii="Times New Roman" w:hAnsi="Times New Roman"/>
          <w:color w:val="000000" w:themeColor="text1"/>
          <w:sz w:val="16"/>
          <w:szCs w:val="16"/>
        </w:rPr>
        <w:softHyphen/>
        <w:t>жирские лайнеры Дугласа вышли на линии США. Они быстро завоевали популярность высокими летными данными, надежностью и экономичностью. Объем за</w:t>
      </w:r>
      <w:r w:rsidRPr="0044524F">
        <w:rPr>
          <w:rFonts w:ascii="Times New Roman" w:hAnsi="Times New Roman"/>
          <w:color w:val="000000" w:themeColor="text1"/>
          <w:sz w:val="16"/>
          <w:szCs w:val="16"/>
        </w:rPr>
        <w:softHyphen/>
        <w:t>казов фирмы постоянно нарастал. Самолеты строились как в гражданском, так и в военно-транспортном ис</w:t>
      </w:r>
      <w:r w:rsidRPr="0044524F">
        <w:rPr>
          <w:rFonts w:ascii="Times New Roman" w:hAnsi="Times New Roman"/>
          <w:color w:val="000000" w:themeColor="text1"/>
          <w:sz w:val="16"/>
          <w:szCs w:val="16"/>
        </w:rPr>
        <w:softHyphen/>
        <w:t>полнении—с усиленным полом и широким загрузоч</w:t>
      </w:r>
      <w:r w:rsidRPr="0044524F">
        <w:rPr>
          <w:rFonts w:ascii="Times New Roman" w:hAnsi="Times New Roman"/>
          <w:color w:val="000000" w:themeColor="text1"/>
          <w:sz w:val="16"/>
          <w:szCs w:val="16"/>
        </w:rPr>
        <w:softHyphen/>
        <w:t>ным люком (23545).</w:t>
      </w:r>
    </w:p>
    <w:p w14:paraId="18D1EDDF"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2121CF5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Валти вновь передал в Америкен эирлайнз доработанный V-1 для регулярной работе на воздушных трассах (3877,17).</w:t>
      </w:r>
    </w:p>
    <w:p w14:paraId="291BE033"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7FC549BF" w14:textId="77777777" w:rsidR="00BC0C54" w:rsidRPr="0044524F" w:rsidRDefault="00BC0C5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Misr Airlines, которая позже станет Egyptair, начинает полеты на авиалайнерах de Havilland DH.84 Dragon для обслуживания Каира, Александрии и Мерса-Матрух (20802).</w:t>
      </w:r>
    </w:p>
    <w:p w14:paraId="4EAB2D0F" w14:textId="77777777" w:rsidR="00BC0C54" w:rsidRPr="0044524F" w:rsidRDefault="00BC0C54" w:rsidP="009654CF">
      <w:pPr>
        <w:spacing w:after="0" w:line="240" w:lineRule="auto"/>
        <w:jc w:val="both"/>
        <w:rPr>
          <w:rFonts w:ascii="Times New Roman" w:hAnsi="Times New Roman"/>
          <w:color w:val="000000" w:themeColor="text1"/>
          <w:sz w:val="16"/>
          <w:szCs w:val="16"/>
        </w:rPr>
      </w:pPr>
    </w:p>
    <w:p w14:paraId="2D74C2B8"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35EDD8A"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1965E907"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 августе 1933 г. самолет № 759 с "газовым агрегатом" проходил испытания. Старт пытались облегчить применением ракетных ускорителей, в документах именовавшихся "газовым агрегатом". Разрабатывала их Газодинамическая лаборатория (ГДЛ) в Ленинграде. Шесть пороховых ускорителей монтировались группами по три на верхней поверхности крыла. В крыло заделали дюралюминиевые фермы, передававшие нагрузку на узлы крепления шасси. Сопла были развернуты так, что струи шли выше горизонтального оперения и под небольшим углом к фюзеляжу - конструкторы боялись повреждения обшивки. Воспламенялись ракеты электрозапалом, а камеры одного блока соединялись огневыми трубками. Летал на нем пилот ГДЛ Благин, второй штурвал иногда держал летчик Миндер из НИИ ВВС. Разбег действительно значительно уменьшился: при взлетном весе 8000 кг составлял 140 - 160 м, а без ракет бомбардировщик до отрыва от земли пробегал 520 м. Но установка не вполне соответствовала требованиям задания. Вес ее составлял 469 кг, из них более 400 кг оставались после взлета бесполезным грузом: несущую конструкцию и камеры ни сбросить, ни даже быстро снять не удавалось. В НИИ ВВС устройство сочли недоработанным. Начальник УВВС Я.И. Апкснис поддерживал продолжение работы и даже предлагал провести войсковые испытания на трех машинах, но постепенно интерес к совершенствованию ТБ-1 упал, и конструкторы переключились на создание подобной установки для ТБ-3 (12001).</w:t>
      </w:r>
    </w:p>
    <w:p w14:paraId="75A9689D"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7F1F3C47"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июле-ноябре 1933 года были проведены летные испытания Э-31 (АИР-4 с "открылками", или "щитками-закрылками" (подкрыльные щитки)) с участием Ю. И. Пионтковского. Несмотря на крайне неудовлетворительную работу изношенного мотора "Вальтер", результаты превзошли ожидания. Минимальная скорость планирования оказалась 35 км/ч, наименьшая посадочная скорость 30 км/ч, вместо предполагавшейся 54 км/ч. Самолет делал совершенно автожирную посадку, идя под очень крутым углом, а затем, коснувшись земли, уменьшал пробег в три раза - со 160 до 52 м. Разбег сокращался на 20-25 м. Была отмечена необыкновенная устойчивость самолета на самых малых скоростях при прекрасной его управляемости и антиштопорных свойствах. Концевые элероны улучшали и работу руля направления. Недостатком установки было значительное увеличение веса конструкции самолета - до 60 кг (11981).</w:t>
      </w:r>
    </w:p>
    <w:p w14:paraId="6C5869B3"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15F9D843"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июле-ноябре 1933 года были прове</w:t>
      </w:r>
      <w:r w:rsidRPr="00142305">
        <w:rPr>
          <w:rFonts w:ascii="Times New Roman" w:hAnsi="Times New Roman"/>
          <w:color w:val="0070C0"/>
          <w:sz w:val="16"/>
          <w:szCs w:val="16"/>
        </w:rPr>
        <w:softHyphen/>
        <w:t>дены испытания Э-31 (АИР-4 СССР-311 с новым крылом). Летал Ю.И. Пионт</w:t>
      </w:r>
      <w:r w:rsidRPr="00142305">
        <w:rPr>
          <w:rFonts w:ascii="Times New Roman" w:hAnsi="Times New Roman"/>
          <w:color w:val="0070C0"/>
          <w:sz w:val="16"/>
          <w:szCs w:val="16"/>
        </w:rPr>
        <w:softHyphen/>
        <w:t>ковский. Результаты превзошли ожидания! Минимальная скорость планирования ока</w:t>
      </w:r>
      <w:r w:rsidRPr="00142305">
        <w:rPr>
          <w:rFonts w:ascii="Times New Roman" w:hAnsi="Times New Roman"/>
          <w:color w:val="0070C0"/>
          <w:sz w:val="16"/>
          <w:szCs w:val="16"/>
        </w:rPr>
        <w:softHyphen/>
        <w:t>залась равной всего 35 км/ч, а посадочная скорость - 30 км/ч, вместо предполагавшей</w:t>
      </w:r>
      <w:r w:rsidRPr="00142305">
        <w:rPr>
          <w:rFonts w:ascii="Times New Roman" w:hAnsi="Times New Roman"/>
          <w:color w:val="0070C0"/>
          <w:sz w:val="16"/>
          <w:szCs w:val="16"/>
        </w:rPr>
        <w:softHyphen/>
        <w:t>ся 54 км/ч. У исходного АИР-4 посадочная скорость составляла 60-65 км/ч, то есть диапазон скоростей увеличился практически вдвое. Длина разбега уменьшилась вдвое - с 60 до 35 м, а длина пробега втрое - с 160 до 52 м.</w:t>
      </w:r>
    </w:p>
    <w:p w14:paraId="2CEA47F3"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Р.Л. Бартини при проектировании своего «арктического разведчика» в полной мере использовал результаты испытаний Э-31. У него тоже всю заднюю кромку крыла за</w:t>
      </w:r>
      <w:r w:rsidRPr="00142305">
        <w:rPr>
          <w:rFonts w:ascii="Times New Roman" w:hAnsi="Times New Roman"/>
          <w:color w:val="0070C0"/>
          <w:sz w:val="16"/>
          <w:szCs w:val="16"/>
        </w:rPr>
        <w:softHyphen/>
        <w:t>нимали пятисекционные посадочные щитки, отклоняемые на угол до 60°, но в отличие от Э-31, выдвижные - типа «Цап». Поэтому при отклонении закрылков эффективная площадь крыла несколько увеличивалась. Как было и на Э-31, Р.Л. Бартини применил для управле</w:t>
      </w:r>
      <w:r w:rsidRPr="00142305">
        <w:rPr>
          <w:rFonts w:ascii="Times New Roman" w:hAnsi="Times New Roman"/>
          <w:color w:val="0070C0"/>
          <w:sz w:val="16"/>
          <w:szCs w:val="16"/>
        </w:rPr>
        <w:softHyphen/>
        <w:t>ния по крену концевые плавающие элероны, но сделал их двойными, со щелью между пе</w:t>
      </w:r>
      <w:r w:rsidRPr="00142305">
        <w:rPr>
          <w:rFonts w:ascii="Times New Roman" w:hAnsi="Times New Roman"/>
          <w:color w:val="0070C0"/>
          <w:sz w:val="16"/>
          <w:szCs w:val="16"/>
        </w:rPr>
        <w:softHyphen/>
        <w:t>редней и задней управляющими плоскостями. При посадке задние секции плавающих элеронов могли одновременно отклоняться вниз и работать как дополнительные закрылки (24929).</w:t>
      </w:r>
    </w:p>
    <w:p w14:paraId="32D7054D" w14:textId="77777777" w:rsidR="00CF5BF0" w:rsidRPr="00142305" w:rsidRDefault="00CF5BF0" w:rsidP="00CF5BF0">
      <w:pPr>
        <w:spacing w:after="0" w:line="240" w:lineRule="auto"/>
        <w:jc w:val="both"/>
        <w:rPr>
          <w:rFonts w:ascii="Times New Roman" w:hAnsi="Times New Roman"/>
          <w:color w:val="0070C0"/>
          <w:sz w:val="16"/>
          <w:szCs w:val="16"/>
        </w:rPr>
      </w:pPr>
    </w:p>
    <w:p w14:paraId="16DBE64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июле-сентябре 1933 г. вновь проходили полигонные испытания мины МАВ-2 (ВОМИЗА-250). Тяжелую и громоздкую МАВ-2 поплавковый ТБ-1 а поднять не мог, колесный ТБ-1 взлетал с ней, но за счет значительного сокращения запаса горючего, а следовательно, уменьшения радиуса действия. Единственным полноценным носителем ВОМИЗы-250 являлся четырехмоторный ТБ-3. В ходе доработки вес мины уменьшили до 1330 кг. В 1934 г. промышленности запланировали выпуск 100 усовершенствованных МАВ-2. Позднее последовали новые заказы. Всего в 30-х годах изготовили около 200 таких мин. В 1936 г. производство, а точнее переделка, </w:t>
      </w:r>
      <w:r w:rsidRPr="0044524F">
        <w:rPr>
          <w:rFonts w:ascii="Times New Roman" w:hAnsi="Times New Roman"/>
          <w:color w:val="000000" w:themeColor="text1"/>
          <w:sz w:val="16"/>
          <w:szCs w:val="16"/>
        </w:rPr>
        <w:lastRenderedPageBreak/>
        <w:t>мин МАВ-1 и МАВ-2 было прекращено. Мины, сбрасывавшиеся с парашютами, обладали двумя существенными недостатками: значительным временем спуска и большим отклонением от точки прицеливания, обусловленным сносом от ветра. Попытались обойтись без парашютов (12002).</w:t>
      </w:r>
    </w:p>
    <w:p w14:paraId="0D1CE039"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11BE179B"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июле - августе 1933 г. пороховые стартовых ускорители ГДЛ («газовый агрегат») проходили испытания и самолет ТБ-1 № 759 (по другим данным - самолет № 726). Здесь стартовые ус</w:t>
      </w:r>
      <w:r w:rsidRPr="00142305">
        <w:rPr>
          <w:rFonts w:ascii="Times New Roman" w:hAnsi="Times New Roman"/>
          <w:color w:val="0070C0"/>
          <w:sz w:val="16"/>
          <w:szCs w:val="16"/>
        </w:rPr>
        <w:softHyphen/>
        <w:t>корители поставили по одному сверху и по два снизу с каждой стороны центроплана. Дополнительная масса составила 469 кг.</w:t>
      </w:r>
    </w:p>
    <w:p w14:paraId="449C4171"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Летал на нем пилот ГДЛ Н.П. Благин, второй штур</w:t>
      </w:r>
      <w:r w:rsidRPr="00142305">
        <w:rPr>
          <w:rFonts w:ascii="Times New Roman" w:hAnsi="Times New Roman"/>
          <w:color w:val="0070C0"/>
          <w:sz w:val="16"/>
          <w:szCs w:val="16"/>
        </w:rPr>
        <w:softHyphen/>
        <w:t>вал иногда «держал» летчик Миндер из НИИ ВВС. Ве</w:t>
      </w:r>
      <w:r w:rsidRPr="00142305">
        <w:rPr>
          <w:rFonts w:ascii="Times New Roman" w:hAnsi="Times New Roman"/>
          <w:color w:val="0070C0"/>
          <w:sz w:val="16"/>
          <w:szCs w:val="16"/>
        </w:rPr>
        <w:softHyphen/>
        <w:t>дущим по испытаниям стартовых ускорителей являлся В.Н. Дудаков.</w:t>
      </w:r>
    </w:p>
    <w:p w14:paraId="3987655E"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ходе испытаний получили очень удачные резуль</w:t>
      </w:r>
      <w:r w:rsidRPr="00142305">
        <w:rPr>
          <w:rFonts w:ascii="Times New Roman" w:hAnsi="Times New Roman"/>
          <w:color w:val="0070C0"/>
          <w:sz w:val="16"/>
          <w:szCs w:val="16"/>
        </w:rPr>
        <w:softHyphen/>
        <w:t>таты: время разбега иногда сокращалось до нескольких секунд, а сам разбег действительно значительно умень</w:t>
      </w:r>
      <w:r w:rsidRPr="00142305">
        <w:rPr>
          <w:rFonts w:ascii="Times New Roman" w:hAnsi="Times New Roman"/>
          <w:color w:val="0070C0"/>
          <w:sz w:val="16"/>
          <w:szCs w:val="16"/>
        </w:rPr>
        <w:softHyphen/>
        <w:t>шился: при взлетном весе 8000 кг он составлял всего 140-160 м, а без ракет бомбардировщик до отрыва от земли пробегал 520 м.</w:t>
      </w:r>
    </w:p>
    <w:p w14:paraId="1A488E68"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испытания показали, что установка ускори</w:t>
      </w:r>
      <w:r w:rsidRPr="00142305">
        <w:rPr>
          <w:rFonts w:ascii="Times New Roman" w:hAnsi="Times New Roman"/>
          <w:color w:val="0070C0"/>
          <w:sz w:val="16"/>
          <w:szCs w:val="16"/>
        </w:rPr>
        <w:softHyphen/>
        <w:t>телей вызвала повреждение обшивки и других элемен</w:t>
      </w:r>
      <w:r w:rsidRPr="00142305">
        <w:rPr>
          <w:rFonts w:ascii="Times New Roman" w:hAnsi="Times New Roman"/>
          <w:color w:val="0070C0"/>
          <w:sz w:val="16"/>
          <w:szCs w:val="16"/>
        </w:rPr>
        <w:softHyphen/>
        <w:t>тов конструкции. ЦАГИ произвел тщательный расчет прочности крыла и ряда конструктивных элементов, и после доработки самолета с 20 августа по 5 сентября 1935 г. в НИИ ВВС провели повторное испытание стар</w:t>
      </w:r>
      <w:r w:rsidRPr="00142305">
        <w:rPr>
          <w:rFonts w:ascii="Times New Roman" w:hAnsi="Times New Roman"/>
          <w:color w:val="0070C0"/>
          <w:sz w:val="16"/>
          <w:szCs w:val="16"/>
        </w:rPr>
        <w:softHyphen/>
        <w:t>товых ускорителей на серийном ТБ-1 № 726.</w:t>
      </w:r>
    </w:p>
    <w:p w14:paraId="6C8BFBA7"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вновь положительных результатов не достигли по причине разрушающего воздействия стартовых ускори</w:t>
      </w:r>
      <w:r w:rsidRPr="00142305">
        <w:rPr>
          <w:rFonts w:ascii="Times New Roman" w:hAnsi="Times New Roman"/>
          <w:color w:val="0070C0"/>
          <w:sz w:val="16"/>
          <w:szCs w:val="16"/>
        </w:rPr>
        <w:softHyphen/>
        <w:t>телей. К тому же установка не вполне соответствовала требованиям технического задания. Вес ее составлял 469 кг, из них более 400 кг оставались после взлета бес</w:t>
      </w:r>
      <w:r w:rsidRPr="00142305">
        <w:rPr>
          <w:rFonts w:ascii="Times New Roman" w:hAnsi="Times New Roman"/>
          <w:color w:val="0070C0"/>
          <w:sz w:val="16"/>
          <w:szCs w:val="16"/>
        </w:rPr>
        <w:softHyphen/>
        <w:t>полезным грузом: несущую конструкцию и камеры ни сбросить, ни даже быстро снять не удавалось. В НИИ ВВС устройство сочли недоработанным, в заключении на основании испытаний говорилось:</w:t>
      </w:r>
    </w:p>
    <w:p w14:paraId="514227A2" w14:textId="77777777" w:rsidR="00CF5BF0" w:rsidRPr="00142305" w:rsidRDefault="00CF5BF0" w:rsidP="00CF5BF0">
      <w:pPr>
        <w:widowControl w:val="0"/>
        <w:tabs>
          <w:tab w:val="left" w:pos="558"/>
        </w:tabs>
        <w:spacing w:after="0" w:line="240" w:lineRule="auto"/>
        <w:jc w:val="both"/>
        <w:rPr>
          <w:rFonts w:ascii="Times New Roman" w:hAnsi="Times New Roman"/>
          <w:color w:val="0070C0"/>
          <w:sz w:val="16"/>
          <w:szCs w:val="16"/>
        </w:rPr>
      </w:pPr>
      <w:bookmarkStart w:id="38" w:name="bookmark220"/>
      <w:bookmarkEnd w:id="38"/>
      <w:r w:rsidRPr="00142305">
        <w:rPr>
          <w:rFonts w:ascii="Times New Roman" w:hAnsi="Times New Roman"/>
          <w:color w:val="0070C0"/>
          <w:sz w:val="16"/>
          <w:szCs w:val="16"/>
        </w:rPr>
        <w:t>- Предъявленный самолет ТБ-1 № 726, оборудован</w:t>
      </w:r>
      <w:r w:rsidRPr="00142305">
        <w:rPr>
          <w:rFonts w:ascii="Times New Roman" w:hAnsi="Times New Roman"/>
          <w:color w:val="0070C0"/>
          <w:sz w:val="16"/>
          <w:szCs w:val="16"/>
        </w:rPr>
        <w:softHyphen/>
        <w:t>ный стартовыми ракетами, испытания не выдержал;</w:t>
      </w:r>
    </w:p>
    <w:p w14:paraId="71F75654" w14:textId="77777777" w:rsidR="00CF5BF0" w:rsidRPr="00142305" w:rsidRDefault="00CF5BF0" w:rsidP="00CF5BF0">
      <w:pPr>
        <w:widowControl w:val="0"/>
        <w:tabs>
          <w:tab w:val="left" w:pos="586"/>
        </w:tabs>
        <w:spacing w:after="0" w:line="240" w:lineRule="auto"/>
        <w:jc w:val="both"/>
        <w:rPr>
          <w:rFonts w:ascii="Times New Roman" w:hAnsi="Times New Roman"/>
          <w:color w:val="0070C0"/>
          <w:sz w:val="16"/>
          <w:szCs w:val="16"/>
        </w:rPr>
      </w:pPr>
      <w:bookmarkStart w:id="39" w:name="bookmark221"/>
      <w:bookmarkEnd w:id="39"/>
      <w:r w:rsidRPr="00142305">
        <w:rPr>
          <w:rFonts w:ascii="Times New Roman" w:hAnsi="Times New Roman"/>
          <w:color w:val="0070C0"/>
          <w:sz w:val="16"/>
          <w:szCs w:val="16"/>
        </w:rPr>
        <w:t>- В результате испытаний выяснилось: отставание и отрыв гофра, треснули шпангоуты задней части фю</w:t>
      </w:r>
      <w:r w:rsidRPr="00142305">
        <w:rPr>
          <w:rFonts w:ascii="Times New Roman" w:hAnsi="Times New Roman"/>
          <w:color w:val="0070C0"/>
          <w:sz w:val="16"/>
          <w:szCs w:val="16"/>
        </w:rPr>
        <w:softHyphen/>
        <w:t>зеляжа и др.;</w:t>
      </w:r>
    </w:p>
    <w:p w14:paraId="38B7C49C" w14:textId="77777777" w:rsidR="00CF5BF0" w:rsidRPr="00142305" w:rsidRDefault="00CF5BF0" w:rsidP="00CF5BF0">
      <w:pPr>
        <w:widowControl w:val="0"/>
        <w:tabs>
          <w:tab w:val="left" w:pos="591"/>
        </w:tabs>
        <w:spacing w:after="0" w:line="240" w:lineRule="auto"/>
        <w:jc w:val="both"/>
        <w:rPr>
          <w:rFonts w:ascii="Times New Roman" w:hAnsi="Times New Roman"/>
          <w:color w:val="0070C0"/>
          <w:sz w:val="16"/>
          <w:szCs w:val="16"/>
        </w:rPr>
      </w:pPr>
      <w:bookmarkStart w:id="40" w:name="bookmark222"/>
      <w:bookmarkEnd w:id="40"/>
      <w:r w:rsidRPr="00142305">
        <w:rPr>
          <w:rFonts w:ascii="Times New Roman" w:hAnsi="Times New Roman"/>
          <w:color w:val="0070C0"/>
          <w:sz w:val="16"/>
          <w:szCs w:val="16"/>
        </w:rPr>
        <w:t>- Необходимо устранить разрушающее действие ракет на конструкцию самолета.</w:t>
      </w:r>
    </w:p>
    <w:p w14:paraId="7CFE6451"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Хотя Начальник УВВС Я.И. Алкснис поддерживал продолжение работ и даже предлагал провести вой</w:t>
      </w:r>
      <w:r w:rsidRPr="00142305">
        <w:rPr>
          <w:rFonts w:ascii="Times New Roman" w:hAnsi="Times New Roman"/>
          <w:color w:val="0070C0"/>
          <w:sz w:val="16"/>
          <w:szCs w:val="16"/>
        </w:rPr>
        <w:softHyphen/>
        <w:t>сковые испытания на трех машинах, но постепенно интерес к совершенствованию ТБ-1 упал, и конструк</w:t>
      </w:r>
      <w:r w:rsidRPr="00142305">
        <w:rPr>
          <w:rFonts w:ascii="Times New Roman" w:hAnsi="Times New Roman"/>
          <w:color w:val="0070C0"/>
          <w:sz w:val="16"/>
          <w:szCs w:val="16"/>
        </w:rPr>
        <w:softHyphen/>
        <w:t>торы переключились на создание подобной установки для ТБ-3 (25004).</w:t>
      </w:r>
    </w:p>
    <w:p w14:paraId="465B7ADA" w14:textId="77777777" w:rsidR="00CF5BF0" w:rsidRPr="00142305" w:rsidRDefault="00CF5BF0" w:rsidP="00CF5BF0">
      <w:pPr>
        <w:spacing w:after="0" w:line="240" w:lineRule="auto"/>
        <w:jc w:val="both"/>
        <w:rPr>
          <w:rFonts w:ascii="Times New Roman" w:hAnsi="Times New Roman"/>
          <w:color w:val="0070C0"/>
          <w:sz w:val="16"/>
          <w:szCs w:val="16"/>
        </w:rPr>
      </w:pPr>
    </w:p>
    <w:p w14:paraId="3E84C7C0" w14:textId="77777777" w:rsidR="00CF5BF0" w:rsidRPr="00142305" w:rsidRDefault="00CF5BF0" w:rsidP="00CF5BF0">
      <w:pPr>
        <w:widowControl w:val="0"/>
        <w:tabs>
          <w:tab w:val="left" w:pos="337"/>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июле-августе 1933 г., помимо решения задач по проводке судов во льдах Карского моря. УВС ГУСМП приняла участие в Западно-Таймырской комплексной экспедиции, в которую входили начальник авиаизыскательского звена И. Щербаков, топограф и геодезист И. Татарко и речник Жуков. Участники экспедиции выявили и описали в Карском море и на его побережье ряд гидроаэродромов: в бухтах Неожиданностей, Витольда, Широкой, «Белушья губа», «Малые Кармакулы», «Поморская губа», «Мыс Лагерный» и на реке Ленивой. Кроме того, в интересах составления аэролоции воздушной линии порт Игарка о. Диксон в период с 14 по 17 августа было проведено обсле</w:t>
      </w:r>
      <w:r w:rsidRPr="00142305">
        <w:rPr>
          <w:rStyle w:val="aff"/>
          <w:rFonts w:ascii="Times New Roman" w:hAnsi="Times New Roman" w:cs="Times New Roman"/>
          <w:color w:val="0070C0"/>
          <w:spacing w:val="0"/>
          <w:sz w:val="16"/>
          <w:szCs w:val="16"/>
        </w:rPr>
        <w:softHyphen/>
        <w:t>дование о. Диксон, фактории Гольчиха, Усть-Енисейского порта и о. Дудинка (25653).</w:t>
      </w:r>
    </w:p>
    <w:p w14:paraId="06EFE054" w14:textId="77777777" w:rsidR="00CF5BF0" w:rsidRPr="00142305" w:rsidRDefault="00CF5BF0" w:rsidP="00CF5BF0">
      <w:pPr>
        <w:spacing w:after="0" w:line="240" w:lineRule="auto"/>
        <w:jc w:val="both"/>
        <w:rPr>
          <w:rFonts w:ascii="Times New Roman" w:hAnsi="Times New Roman"/>
          <w:color w:val="0070C0"/>
          <w:sz w:val="16"/>
          <w:szCs w:val="16"/>
        </w:rPr>
      </w:pPr>
    </w:p>
    <w:p w14:paraId="27D29C50" w14:textId="77777777" w:rsidR="004B157C" w:rsidRPr="0044524F" w:rsidRDefault="004B157C"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5C365FA" w14:textId="77777777" w:rsidR="004B157C" w:rsidRPr="0044524F" w:rsidRDefault="004B157C" w:rsidP="009654CF">
      <w:pPr>
        <w:spacing w:after="0" w:line="240" w:lineRule="auto"/>
        <w:jc w:val="both"/>
        <w:rPr>
          <w:rFonts w:ascii="Times New Roman" w:hAnsi="Times New Roman"/>
          <w:iCs/>
          <w:color w:val="000000" w:themeColor="text1"/>
          <w:sz w:val="16"/>
          <w:szCs w:val="16"/>
        </w:rPr>
      </w:pPr>
    </w:p>
    <w:p w14:paraId="442C1B82" w14:textId="04C21083" w:rsidR="004B157C" w:rsidRPr="0044524F" w:rsidRDefault="004B157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 сентябре 1933 четырех грузовых автомобилей АМО-3 в числе 23 машин советского производства участвовали во Всесоюзном автопробеге по маршруту Москва – Каракумы – Москва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(17494).</w:t>
      </w:r>
    </w:p>
    <w:p w14:paraId="6B283572" w14:textId="77777777" w:rsidR="004B157C" w:rsidRPr="0044524F" w:rsidRDefault="004B157C" w:rsidP="009654CF">
      <w:pPr>
        <w:spacing w:after="0" w:line="240" w:lineRule="auto"/>
        <w:jc w:val="both"/>
        <w:rPr>
          <w:rFonts w:ascii="Times New Roman" w:eastAsia="Times New Roman" w:hAnsi="Times New Roman"/>
          <w:color w:val="000000" w:themeColor="text1"/>
          <w:sz w:val="16"/>
          <w:szCs w:val="16"/>
          <w:lang w:eastAsia="ru-RU"/>
        </w:rPr>
      </w:pPr>
    </w:p>
    <w:p w14:paraId="009753D9" w14:textId="77777777" w:rsidR="00F473A0"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8786201" w14:textId="77777777" w:rsidR="00F473A0" w:rsidRPr="0044524F" w:rsidRDefault="00F473A0" w:rsidP="009654CF">
      <w:pPr>
        <w:spacing w:after="0" w:line="240" w:lineRule="auto"/>
        <w:jc w:val="both"/>
        <w:rPr>
          <w:rFonts w:ascii="Times New Roman" w:hAnsi="Times New Roman"/>
          <w:iCs/>
          <w:color w:val="000000" w:themeColor="text1"/>
          <w:sz w:val="16"/>
          <w:szCs w:val="16"/>
        </w:rPr>
      </w:pPr>
    </w:p>
    <w:p w14:paraId="4D54A6B7"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июле-августе 1933 года была выпущена установочная партия шасси по цене 37800 рейхсмарок за штуку. При этом машины имели целый ряд отличий от опытного образца «малого трактора». По итогам испытаний был увеличен диаметр ленивца, на надмоторной плите появились характерные «уши» воздухозаборников. На машине использовался более мощный мотор Krupp M 302, который имел мощность 56 лошадиных сил, а при 2600 об/мин – 60 лошадиных сил.</w:t>
      </w:r>
    </w:p>
    <w:p w14:paraId="438CA46E"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Опытный образец изготовлялся из неброневой стали, но уже в июне 1933 года прошёл испытания обстрелом первый корпус, выполненный из полноценной брони. Поскольку в ходе испытаний имели место два пробития 7,9-мм тяжёлыми пулями, толщина брони машины была увеличена с 8 до 13 мм.</w:t>
      </w:r>
    </w:p>
    <w:p w14:paraId="058CE3A9" w14:textId="77777777" w:rsidR="00F473A0" w:rsidRPr="0044524F" w:rsidRDefault="00F473A0" w:rsidP="009654CF">
      <w:pPr>
        <w:pStyle w:val="ae"/>
        <w:shd w:val="clear" w:color="auto" w:fill="FFFFFF"/>
        <w:spacing w:before="0" w:after="0"/>
        <w:jc w:val="both"/>
        <w:rPr>
          <w:color w:val="000000" w:themeColor="text1"/>
          <w:sz w:val="16"/>
          <w:szCs w:val="16"/>
        </w:rPr>
      </w:pPr>
      <w:r w:rsidRPr="0044524F">
        <w:rPr>
          <w:color w:val="000000" w:themeColor="text1"/>
          <w:sz w:val="16"/>
          <w:szCs w:val="16"/>
        </w:rPr>
        <w:t xml:space="preserve">Выпущенные шасси использовались в качестве испытательных стендов. На них отрабатывались различные технические решения. Кстати говоря, именно на Kleintraktor должны были испытать торсионную подвеску разработки Porsche K.G. По ряду причин это мероприятие не случилось, и в итоге первым танком с торсионной подвеской стал шведский </w:t>
      </w:r>
      <w:hyperlink r:id="rId278" w:history="1">
        <w:r w:rsidRPr="0044524F">
          <w:rPr>
            <w:rStyle w:val="a5"/>
            <w:rFonts w:eastAsiaTheme="majorEastAsia"/>
            <w:color w:val="000000" w:themeColor="text1"/>
            <w:sz w:val="16"/>
            <w:szCs w:val="16"/>
            <w:u w:val="none"/>
          </w:rPr>
          <w:t>Landsverk L-60</w:t>
        </w:r>
      </w:hyperlink>
      <w:r w:rsidRPr="0044524F">
        <w:rPr>
          <w:rStyle w:val="a5"/>
          <w:rFonts w:eastAsiaTheme="majorEastAsia"/>
          <w:color w:val="000000" w:themeColor="text1"/>
          <w:sz w:val="16"/>
          <w:szCs w:val="16"/>
          <w:u w:val="none"/>
        </w:rPr>
        <w:t xml:space="preserve"> (17463)</w:t>
      </w:r>
      <w:r w:rsidRPr="0044524F">
        <w:rPr>
          <w:color w:val="000000" w:themeColor="text1"/>
          <w:sz w:val="16"/>
          <w:szCs w:val="16"/>
        </w:rPr>
        <w:t>.</w:t>
      </w:r>
    </w:p>
    <w:p w14:paraId="090679C1" w14:textId="77777777" w:rsidR="00F473A0" w:rsidRPr="0044524F" w:rsidRDefault="00F473A0" w:rsidP="009654CF">
      <w:pPr>
        <w:spacing w:after="0" w:line="240" w:lineRule="auto"/>
        <w:jc w:val="both"/>
        <w:rPr>
          <w:rFonts w:ascii="Times New Roman" w:hAnsi="Times New Roman"/>
          <w:color w:val="000000" w:themeColor="text1"/>
          <w:sz w:val="16"/>
          <w:szCs w:val="16"/>
        </w:rPr>
      </w:pPr>
    </w:p>
    <w:p w14:paraId="18DFE422" w14:textId="77777777" w:rsidR="00820A14" w:rsidRPr="0044524F" w:rsidRDefault="00820A14"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03FB3C2" w14:textId="77777777" w:rsidR="00820A14" w:rsidRPr="0044524F" w:rsidRDefault="00820A14" w:rsidP="009654CF">
      <w:pPr>
        <w:spacing w:after="0" w:line="240" w:lineRule="auto"/>
        <w:jc w:val="both"/>
        <w:rPr>
          <w:rFonts w:ascii="Times New Roman" w:hAnsi="Times New Roman"/>
          <w:iCs/>
          <w:color w:val="000000" w:themeColor="text1"/>
          <w:sz w:val="16"/>
          <w:szCs w:val="16"/>
        </w:rPr>
      </w:pPr>
    </w:p>
    <w:p w14:paraId="6254AC52"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лета 1933 г. фирмы «Физелер» (Fieseler) и «Хеншель» (Henschel) на кон</w:t>
      </w:r>
      <w:r w:rsidRPr="0044524F">
        <w:rPr>
          <w:rFonts w:ascii="Times New Roman" w:hAnsi="Times New Roman"/>
          <w:color w:val="000000" w:themeColor="text1"/>
          <w:sz w:val="16"/>
          <w:szCs w:val="16"/>
        </w:rPr>
        <w:softHyphen/>
        <w:t>курсной основе приступили к разработке пикирующего бомбардировщика в рамках первого (так называемого «немедленного») этапа программы «Sturzkampfflugzeug». От этих машин не требовали особо высоких бо</w:t>
      </w:r>
      <w:r w:rsidRPr="0044524F">
        <w:rPr>
          <w:rFonts w:ascii="Times New Roman" w:hAnsi="Times New Roman"/>
          <w:color w:val="000000" w:themeColor="text1"/>
          <w:sz w:val="16"/>
          <w:szCs w:val="16"/>
        </w:rPr>
        <w:softHyphen/>
        <w:t>евых и летно-технических качеств, так как время на их создание было жестко лимити</w:t>
      </w:r>
      <w:r w:rsidRPr="0044524F">
        <w:rPr>
          <w:rFonts w:ascii="Times New Roman" w:hAnsi="Times New Roman"/>
          <w:color w:val="000000" w:themeColor="text1"/>
          <w:sz w:val="16"/>
          <w:szCs w:val="16"/>
        </w:rPr>
        <w:softHyphen/>
        <w:t>ровано. Оба самолета имели бипланную схе</w:t>
      </w:r>
      <w:r w:rsidRPr="0044524F">
        <w:rPr>
          <w:rFonts w:ascii="Times New Roman" w:hAnsi="Times New Roman"/>
          <w:color w:val="000000" w:themeColor="text1"/>
          <w:sz w:val="16"/>
          <w:szCs w:val="16"/>
        </w:rPr>
        <w:softHyphen/>
        <w:t>му с неубирающимися шасси. Характерным отличием пикировщика «Физилер» Fi 98, созданного под руководством Рейнольда Мевеса, было применение дополнительного регулируемого стабилизатора на вершине киля. Во всех других отношениях это был вполне обычный двухстоечный расчалоч- ный биплан с весьма несовершенной аэро</w:t>
      </w:r>
      <w:r w:rsidRPr="0044524F">
        <w:rPr>
          <w:rFonts w:ascii="Times New Roman" w:hAnsi="Times New Roman"/>
          <w:color w:val="000000" w:themeColor="text1"/>
          <w:sz w:val="16"/>
          <w:szCs w:val="16"/>
        </w:rPr>
        <w:softHyphen/>
        <w:t>динамикой. Машина не удовлетворила представителей рейхсминистерства авиа</w:t>
      </w:r>
      <w:r w:rsidRPr="0044524F">
        <w:rPr>
          <w:rFonts w:ascii="Times New Roman" w:hAnsi="Times New Roman"/>
          <w:color w:val="000000" w:themeColor="text1"/>
          <w:sz w:val="16"/>
          <w:szCs w:val="16"/>
        </w:rPr>
        <w:softHyphen/>
        <w:t>ции (RLM — Reichsluftfahrtministerium).</w:t>
      </w:r>
    </w:p>
    <w:p w14:paraId="6563B6C8"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Зато пикировщик фирмы «Хеншель» по</w:t>
      </w:r>
      <w:r w:rsidRPr="0044524F">
        <w:rPr>
          <w:rFonts w:ascii="Times New Roman" w:hAnsi="Times New Roman"/>
          <w:color w:val="000000" w:themeColor="text1"/>
          <w:sz w:val="16"/>
          <w:szCs w:val="16"/>
        </w:rPr>
        <w:softHyphen/>
        <w:t>лучился весьма интересным. Самолет Hs 123 представлял собой одноместный одностоеч</w:t>
      </w:r>
      <w:r w:rsidRPr="0044524F">
        <w:rPr>
          <w:rFonts w:ascii="Times New Roman" w:hAnsi="Times New Roman"/>
          <w:color w:val="000000" w:themeColor="text1"/>
          <w:sz w:val="16"/>
          <w:szCs w:val="16"/>
        </w:rPr>
        <w:softHyphen/>
        <w:t>ный полутораплан, совершенно лишенный растяжек. Он был способен нести под ниж</w:t>
      </w:r>
      <w:r w:rsidRPr="0044524F">
        <w:rPr>
          <w:rFonts w:ascii="Times New Roman" w:hAnsi="Times New Roman"/>
          <w:color w:val="000000" w:themeColor="text1"/>
          <w:sz w:val="16"/>
          <w:szCs w:val="16"/>
        </w:rPr>
        <w:softHyphen/>
        <w:t>ними плоскостями четыре бомбы SC50 и применять их с пикирования под углом до 60°. Силовая установка — звездообразный мотор воздушного охлаждения BMW 132А-3 мощностью 650 л.с. В ходе сравнительных испытаний, проведенных весной 1935 г., прототип Hs 123VI продемонстрировал полное превосходство над Fi 98. В начале мая новейший «хеншель» был показан ши</w:t>
      </w:r>
      <w:r w:rsidRPr="0044524F">
        <w:rPr>
          <w:rFonts w:ascii="Times New Roman" w:hAnsi="Times New Roman"/>
          <w:color w:val="000000" w:themeColor="text1"/>
          <w:sz w:val="16"/>
          <w:szCs w:val="16"/>
        </w:rPr>
        <w:softHyphen/>
        <w:t>рокой публике. Пилотировал машину Эрнст Удет. Его полеты несколько подогре</w:t>
      </w:r>
      <w:r w:rsidRPr="0044524F">
        <w:rPr>
          <w:rFonts w:ascii="Times New Roman" w:hAnsi="Times New Roman"/>
          <w:color w:val="000000" w:themeColor="text1"/>
          <w:sz w:val="16"/>
          <w:szCs w:val="16"/>
        </w:rPr>
        <w:softHyphen/>
        <w:t>ли интерес руководства Люфтваффе к пикирующим бомбардировщикам, хотя возглавлявший Техническое управление (Т-Amt — Technisches-Amt) полковник Вольфрам фон Рихтгофен, разочарованный результатами внедрения Не 50А в войска, предпочитал штурмовики.</w:t>
      </w:r>
    </w:p>
    <w:p w14:paraId="3D680434"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Спустя год, после проведения необходи</w:t>
      </w:r>
      <w:r w:rsidRPr="0044524F">
        <w:rPr>
          <w:rFonts w:ascii="Times New Roman" w:hAnsi="Times New Roman"/>
          <w:color w:val="000000" w:themeColor="text1"/>
          <w:sz w:val="16"/>
          <w:szCs w:val="16"/>
        </w:rPr>
        <w:softHyphen/>
        <w:t>мых изменений и доработок, а также нала</w:t>
      </w:r>
      <w:r w:rsidRPr="0044524F">
        <w:rPr>
          <w:rFonts w:ascii="Times New Roman" w:hAnsi="Times New Roman"/>
          <w:color w:val="000000" w:themeColor="text1"/>
          <w:sz w:val="16"/>
          <w:szCs w:val="16"/>
        </w:rPr>
        <w:softHyphen/>
        <w:t>живания производства, первые серийные Hs 123А-1 поступили на вооружение авиа</w:t>
      </w:r>
      <w:r w:rsidRPr="0044524F">
        <w:rPr>
          <w:rFonts w:ascii="Times New Roman" w:hAnsi="Times New Roman"/>
          <w:color w:val="000000" w:themeColor="text1"/>
          <w:sz w:val="16"/>
          <w:szCs w:val="16"/>
        </w:rPr>
        <w:softHyphen/>
        <w:t>групп пикирующих бомбардировщиков. Осенью 1936 г. они полностью вытеснили устаревшие Не 50А и Аг 65 из I/StG 162, а по</w:t>
      </w:r>
      <w:r w:rsidRPr="0044524F">
        <w:rPr>
          <w:rFonts w:ascii="Times New Roman" w:hAnsi="Times New Roman"/>
          <w:color w:val="000000" w:themeColor="text1"/>
          <w:sz w:val="16"/>
          <w:szCs w:val="16"/>
        </w:rPr>
        <w:softHyphen/>
        <w:t>зднее из II/StG 162 и I/StG 165 (24187).</w:t>
      </w:r>
    </w:p>
    <w:p w14:paraId="5A7607CB"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58798CCC"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A1B43FA"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355ECB1D"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августу 1932 в ХАЗОС закончилась постройка К-7, которая началась в июле 1932 (2287,131).</w:t>
      </w:r>
    </w:p>
    <w:p w14:paraId="10A2DCC6"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3F2D6763"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августу 1933 самолет К-7 был выпущен на испытания в частичной комплектации. Не были установлены:</w:t>
      </w:r>
    </w:p>
    <w:p w14:paraId="4BE406DF"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радиостанция;</w:t>
      </w:r>
    </w:p>
    <w:p w14:paraId="05E884EA"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пассажирское оборудование;</w:t>
      </w:r>
    </w:p>
    <w:p w14:paraId="443FA7B3"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вооружение (но все турельные кольца и крепления бомбодержателей, включенные в силовую схему каркаса, были поставлены;</w:t>
      </w:r>
    </w:p>
    <w:p w14:paraId="59115BB0"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осветительное оборудование.</w:t>
      </w:r>
    </w:p>
    <w:p w14:paraId="09F74ABA"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испытания К-7 ведущим летчиком был назначен М.А. Снегирев, дублером ведущего летчика – А.Н. Грацианский, старшим бортмехаником – П.Н. Власов (23561).</w:t>
      </w:r>
    </w:p>
    <w:p w14:paraId="6EFA889A"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1C575D48"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августу 1933 г. ОКБ А.Н. Туполева подготовило проект и построило первый макет дальнего бомбардировщика на базе АНТ-25. Ему было присвоено название АНТ-36 (ДБ-1). ВВС, как заказчик, отдавали приоритет дальности полёта, бомбовой нагрузке и скорости машины. Проект и макет ДБ-1 были приняты. В военном варианте у него в основном сохранилась конструкция пла</w:t>
      </w:r>
      <w:r w:rsidRPr="0044524F">
        <w:rPr>
          <w:rFonts w:ascii="Times New Roman" w:hAnsi="Times New Roman"/>
          <w:color w:val="000000" w:themeColor="text1"/>
          <w:sz w:val="16"/>
          <w:szCs w:val="16"/>
        </w:rPr>
        <w:softHyphen/>
        <w:t>нера, силовая установка и компоновка ка</w:t>
      </w:r>
      <w:r w:rsidRPr="0044524F">
        <w:rPr>
          <w:rFonts w:ascii="Times New Roman" w:hAnsi="Times New Roman"/>
          <w:color w:val="000000" w:themeColor="text1"/>
          <w:sz w:val="16"/>
          <w:szCs w:val="16"/>
        </w:rPr>
        <w:softHyphen/>
        <w:t>бин АНТ-25. В центроплане был сделан бомбоотсек с вертикальной подвеской десяти 100-кг бомб, а в кабинах второ</w:t>
      </w:r>
      <w:r w:rsidRPr="0044524F">
        <w:rPr>
          <w:rFonts w:ascii="Times New Roman" w:hAnsi="Times New Roman"/>
          <w:color w:val="000000" w:themeColor="text1"/>
          <w:sz w:val="16"/>
          <w:szCs w:val="16"/>
        </w:rPr>
        <w:softHyphen/>
        <w:t>го лётчика и штурмана установили пуле</w:t>
      </w:r>
      <w:r w:rsidRPr="0044524F">
        <w:rPr>
          <w:rFonts w:ascii="Times New Roman" w:hAnsi="Times New Roman"/>
          <w:color w:val="000000" w:themeColor="text1"/>
          <w:sz w:val="16"/>
          <w:szCs w:val="16"/>
        </w:rPr>
        <w:softHyphen/>
        <w:t>мётные установки (одна из них - для об</w:t>
      </w:r>
      <w:r w:rsidRPr="0044524F">
        <w:rPr>
          <w:rFonts w:ascii="Times New Roman" w:hAnsi="Times New Roman"/>
          <w:color w:val="000000" w:themeColor="text1"/>
          <w:sz w:val="16"/>
          <w:szCs w:val="16"/>
        </w:rPr>
        <w:softHyphen/>
        <w:t>стрела назад и вниз) и аэрофотоаппарат АФА-14. В 1934 г. началась серийная по</w:t>
      </w:r>
      <w:r w:rsidRPr="0044524F">
        <w:rPr>
          <w:rFonts w:ascii="Times New Roman" w:hAnsi="Times New Roman"/>
          <w:color w:val="000000" w:themeColor="text1"/>
          <w:sz w:val="16"/>
          <w:szCs w:val="16"/>
        </w:rPr>
        <w:softHyphen/>
        <w:t>стройка ДБ-1 на воронежском заводе № 18.</w:t>
      </w:r>
    </w:p>
    <w:p w14:paraId="5EA244D5"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авиационном заводе №18, где успели собрать 18 самолётов ДБ-1, 2 за</w:t>
      </w:r>
      <w:r w:rsidRPr="0044524F">
        <w:rPr>
          <w:rFonts w:ascii="Times New Roman" w:hAnsi="Times New Roman"/>
          <w:color w:val="000000" w:themeColor="text1"/>
          <w:sz w:val="16"/>
          <w:szCs w:val="16"/>
        </w:rPr>
        <w:softHyphen/>
        <w:t>браковали, не допустив к эксплуатации, а 3 оставили на заводе (в бригаде ЦАГИ). Ещё один бомбардировщик остался в Ле</w:t>
      </w:r>
      <w:r w:rsidRPr="0044524F">
        <w:rPr>
          <w:rFonts w:ascii="Times New Roman" w:hAnsi="Times New Roman"/>
          <w:color w:val="000000" w:themeColor="text1"/>
          <w:sz w:val="16"/>
          <w:szCs w:val="16"/>
        </w:rPr>
        <w:softHyphen/>
        <w:t>нинграде, а 2 - в НИИ ВВС на Щёлковском аэродроме. В итоге лишь 10 машин посту</w:t>
      </w:r>
      <w:r w:rsidRPr="0044524F">
        <w:rPr>
          <w:rFonts w:ascii="Times New Roman" w:hAnsi="Times New Roman"/>
          <w:color w:val="000000" w:themeColor="text1"/>
          <w:sz w:val="16"/>
          <w:szCs w:val="16"/>
        </w:rPr>
        <w:softHyphen/>
        <w:t>пили в войска, в 11-ю тяжёлую бомбар</w:t>
      </w:r>
      <w:r w:rsidRPr="0044524F">
        <w:rPr>
          <w:rFonts w:ascii="Times New Roman" w:hAnsi="Times New Roman"/>
          <w:color w:val="000000" w:themeColor="text1"/>
          <w:sz w:val="16"/>
          <w:szCs w:val="16"/>
        </w:rPr>
        <w:softHyphen/>
        <w:t>дировочную авиабригаду, базировавшую</w:t>
      </w:r>
      <w:r w:rsidRPr="0044524F">
        <w:rPr>
          <w:rFonts w:ascii="Times New Roman" w:hAnsi="Times New Roman"/>
          <w:color w:val="000000" w:themeColor="text1"/>
          <w:sz w:val="16"/>
          <w:szCs w:val="16"/>
        </w:rPr>
        <w:softHyphen/>
        <w:t>ся на комендантском аэродроме («А») под Воронежем (51-я, 53-я, 59-я тбаэ, 54-я шаэ). Там ДБ-1 эксплуатировались до 1936</w:t>
      </w:r>
      <w:r w:rsidRPr="0044524F">
        <w:rPr>
          <w:rFonts w:ascii="Times New Roman" w:hAnsi="Times New Roman"/>
          <w:color w:val="000000" w:themeColor="text1"/>
          <w:sz w:val="16"/>
          <w:szCs w:val="16"/>
        </w:rPr>
        <w:softHyphen/>
        <w:t>1937 гг. Однако вследствие множественных недостатков в воздух они поднимались редко (отдельные экземпляры за два года налетали всего по 60 часов). Опытная экс</w:t>
      </w:r>
      <w:r w:rsidRPr="0044524F">
        <w:rPr>
          <w:rFonts w:ascii="Times New Roman" w:hAnsi="Times New Roman"/>
          <w:color w:val="000000" w:themeColor="text1"/>
          <w:sz w:val="16"/>
          <w:szCs w:val="16"/>
        </w:rPr>
        <w:softHyphen/>
        <w:t>плуатация ДБ-1 показала, что они не обла</w:t>
      </w:r>
      <w:r w:rsidRPr="0044524F">
        <w:rPr>
          <w:rFonts w:ascii="Times New Roman" w:hAnsi="Times New Roman"/>
          <w:color w:val="000000" w:themeColor="text1"/>
          <w:sz w:val="16"/>
          <w:szCs w:val="16"/>
        </w:rPr>
        <w:softHyphen/>
        <w:t>дали необходимыми скоростью полёта и бомбовой нагрузкой для самолётов тако</w:t>
      </w:r>
      <w:r w:rsidRPr="0044524F">
        <w:rPr>
          <w:rFonts w:ascii="Times New Roman" w:hAnsi="Times New Roman"/>
          <w:color w:val="000000" w:themeColor="text1"/>
          <w:sz w:val="16"/>
          <w:szCs w:val="16"/>
        </w:rPr>
        <w:softHyphen/>
        <w:t>го класса и против современных истре</w:t>
      </w:r>
      <w:r w:rsidRPr="0044524F">
        <w:rPr>
          <w:rFonts w:ascii="Times New Roman" w:hAnsi="Times New Roman"/>
          <w:color w:val="000000" w:themeColor="text1"/>
          <w:sz w:val="16"/>
          <w:szCs w:val="16"/>
        </w:rPr>
        <w:softHyphen/>
        <w:t>бителей (со скоростью 400 км/ч и выше, что показала начавшаяся война в Испа</w:t>
      </w:r>
      <w:r w:rsidRPr="0044524F">
        <w:rPr>
          <w:rFonts w:ascii="Times New Roman" w:hAnsi="Times New Roman"/>
          <w:color w:val="000000" w:themeColor="text1"/>
          <w:sz w:val="16"/>
          <w:szCs w:val="16"/>
        </w:rPr>
        <w:softHyphen/>
        <w:t>нии) оказались фактически беззащитны</w:t>
      </w:r>
      <w:r w:rsidRPr="0044524F">
        <w:rPr>
          <w:rFonts w:ascii="Times New Roman" w:hAnsi="Times New Roman"/>
          <w:color w:val="000000" w:themeColor="text1"/>
          <w:sz w:val="16"/>
          <w:szCs w:val="16"/>
        </w:rPr>
        <w:softHyphen/>
        <w:t>ми. В этих обстоятельствах НКАП решил не тратить силы и средства на дальнейшее развитие схемы АНТ-36 и сосредоточить все усилия на разработке новых само</w:t>
      </w:r>
      <w:r w:rsidRPr="0044524F">
        <w:rPr>
          <w:rFonts w:ascii="Times New Roman" w:hAnsi="Times New Roman"/>
          <w:color w:val="000000" w:themeColor="text1"/>
          <w:sz w:val="16"/>
          <w:szCs w:val="16"/>
        </w:rPr>
        <w:softHyphen/>
        <w:t>лётов. В результате, в 1937 г. все строевые ДБ-1 были законсервированы и долгое время простояли на краю аэродрома. По</w:t>
      </w:r>
      <w:r w:rsidRPr="0044524F">
        <w:rPr>
          <w:rFonts w:ascii="Times New Roman" w:hAnsi="Times New Roman"/>
          <w:color w:val="000000" w:themeColor="text1"/>
          <w:sz w:val="16"/>
          <w:szCs w:val="16"/>
        </w:rPr>
        <w:softHyphen/>
        <w:t>зже было приято решение об использова</w:t>
      </w:r>
      <w:r w:rsidRPr="0044524F">
        <w:rPr>
          <w:rFonts w:ascii="Times New Roman" w:hAnsi="Times New Roman"/>
          <w:color w:val="000000" w:themeColor="text1"/>
          <w:sz w:val="16"/>
          <w:szCs w:val="16"/>
        </w:rPr>
        <w:softHyphen/>
        <w:t>нии их в качестве наземных мишеней для самолётов-бомбардировщиков и штурмо</w:t>
      </w:r>
      <w:r w:rsidRPr="0044524F">
        <w:rPr>
          <w:rFonts w:ascii="Times New Roman" w:hAnsi="Times New Roman"/>
          <w:color w:val="000000" w:themeColor="text1"/>
          <w:sz w:val="16"/>
          <w:szCs w:val="16"/>
        </w:rPr>
        <w:softHyphen/>
        <w:t>виков на войсковых полигонах. (24309).</w:t>
      </w:r>
    </w:p>
    <w:p w14:paraId="123789A1"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130BADC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августу 1933 в КБ А.Н.Т. был подготовлен проект и построен макет ДБ-1 АНТ-36 и после того как они были приняты заказчиком их решили запустить на 18 заводе и изготовить 24 машины. Из узлов АНТ-26 и 10хФАБ-100 вертикально (2233,44).</w:t>
      </w:r>
    </w:p>
    <w:p w14:paraId="42178576"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1B67E09A" w14:textId="77777777" w:rsidR="007C6BD8" w:rsidRPr="0044524F" w:rsidRDefault="007C6BD8"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К августу 1933 г. КБ АНТ подготовило проект и построило макет дальнего бомбардировщика, получившего внутреннее обозначение АНТ-36 и официальное – ДБ-1. Проект и макет были приняты заказчиком, и сразу же было решено запустить самолет ДБ-1 в серию на заводе № 18, построив первую партию машин в количестве 24 самолетов. Общий выпуск намечался в 50 машин.</w:t>
      </w:r>
    </w:p>
    <w:p w14:paraId="7B203A86" w14:textId="77777777" w:rsidR="007C6BD8" w:rsidRPr="0044524F" w:rsidRDefault="007C6BD8" w:rsidP="009654CF">
      <w:pPr>
        <w:pStyle w:val="rtecenter"/>
        <w:shd w:val="clear" w:color="auto" w:fill="FFFFFF"/>
        <w:tabs>
          <w:tab w:val="left" w:pos="3544"/>
        </w:tabs>
        <w:spacing w:before="0" w:after="0"/>
        <w:jc w:val="both"/>
        <w:textAlignment w:val="baseline"/>
        <w:rPr>
          <w:color w:val="000000" w:themeColor="text1"/>
          <w:sz w:val="16"/>
          <w:szCs w:val="16"/>
        </w:rPr>
      </w:pPr>
      <w:r w:rsidRPr="0044524F">
        <w:rPr>
          <w:color w:val="000000" w:themeColor="text1"/>
          <w:sz w:val="16"/>
          <w:szCs w:val="16"/>
        </w:rPr>
        <w:t>Еще в начале проектирования АНТ-25 (РД) предусматривалось создание его военного варианта для ВВС в качестве дальнего бомбардировщика и дальнего разведчика. Согласно ТТТ ВВС дальний бомбардировщик должен был иметь с бомбовой нагрузкой 1000 кг радиус 2000 км при крейсерской скорости 200 км/ч. Приоритет отдавался дальности полета, затем шла бомбовая нагрузка и наконец скорость (19185).</w:t>
      </w:r>
    </w:p>
    <w:p w14:paraId="1E722AEE" w14:textId="77777777" w:rsidR="007C6BD8" w:rsidRPr="0044524F" w:rsidRDefault="007C6BD8" w:rsidP="009654CF">
      <w:pPr>
        <w:pStyle w:val="rtecenter"/>
        <w:shd w:val="clear" w:color="auto" w:fill="FFFFFF"/>
        <w:tabs>
          <w:tab w:val="left" w:pos="3544"/>
        </w:tabs>
        <w:spacing w:before="0" w:after="0"/>
        <w:jc w:val="both"/>
        <w:textAlignment w:val="baseline"/>
        <w:rPr>
          <w:color w:val="000000" w:themeColor="text1"/>
          <w:sz w:val="16"/>
          <w:szCs w:val="16"/>
        </w:rPr>
      </w:pPr>
    </w:p>
    <w:p w14:paraId="25B8E654"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августу 1933 г. КБ А.Н.Т. подготовило проект и построило макет дальнего бомбардировщика, получившего внутреннее обозначение АНТ-36 и официальное – ДБ-1. Проект и макет были приняты заказчиком, и сразу же было решено запустить самолет ДБ-1 в серию на заводе №18, построив первую партию машин в количестве 24 самолетов. Общий выпуск намечался в 50 машин.</w:t>
      </w:r>
    </w:p>
    <w:p w14:paraId="4168E8C7" w14:textId="77777777" w:rsidR="00CF5BF0" w:rsidRPr="00142305" w:rsidRDefault="00CF5BF0" w:rsidP="00CF5B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в 1934 г. ВВС РККА начали менять свои взгляды на самолеты класса дальний бомбардировщик. Были составлены технические требования, в соответствии с которыми новый бомбардировщик должен был нести 1000 кг бомб на дальность не менее 3000 км и на расчетной высоте обладать максимальной скоростью полета не менее 350 км/ч (25258).</w:t>
      </w:r>
    </w:p>
    <w:p w14:paraId="70B6DFF9" w14:textId="77777777" w:rsidR="00CF5BF0" w:rsidRPr="00142305" w:rsidRDefault="00CF5BF0" w:rsidP="00CF5BF0">
      <w:pPr>
        <w:spacing w:after="0" w:line="240" w:lineRule="auto"/>
        <w:jc w:val="both"/>
        <w:rPr>
          <w:rFonts w:ascii="Times New Roman" w:hAnsi="Times New Roman"/>
          <w:color w:val="0070C0"/>
          <w:sz w:val="16"/>
          <w:szCs w:val="16"/>
        </w:rPr>
      </w:pPr>
    </w:p>
    <w:p w14:paraId="616DE2DA" w14:textId="77777777" w:rsidR="00E7214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FA4B955" w14:textId="77777777" w:rsidR="00E72149" w:rsidRPr="0044524F" w:rsidRDefault="00E72149" w:rsidP="009654CF">
      <w:pPr>
        <w:spacing w:after="0" w:line="240" w:lineRule="auto"/>
        <w:jc w:val="both"/>
        <w:rPr>
          <w:rFonts w:ascii="Times New Roman" w:hAnsi="Times New Roman"/>
          <w:iCs/>
          <w:color w:val="000000" w:themeColor="text1"/>
          <w:sz w:val="16"/>
          <w:szCs w:val="16"/>
        </w:rPr>
      </w:pPr>
    </w:p>
    <w:p w14:paraId="7D66E08B" w14:textId="54D12B0D" w:rsidR="00E72149" w:rsidRPr="0044524F" w:rsidRDefault="00E7214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августу 1933 результаты продувок обработали и вместе с эскизным проектом самолета "Фьюри моноплейн" ("Фьюри"- моноплан) – будущего Харрикейна представили министерству авиации. Большого интереса они не вызвали, ибо чиновники все-таки более склонялись к проверенным бипланам. Кэмм продолжил работу на свой риск и за счет фирмы (он был не только главным конструктором, но и членом совета директоров). А деньги у "Хаукер" были - на базе "Харта" расплодилось большое семейство легких бомбардировщиков, разведчиков и тяжелых истребителей, ставшее одной из основных составных частей парка королевских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ВВС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межвоенные годы. Более того, перестраховываясь, Кэмм делал сразу две машины: параллельно с "Фьюри"- монопланом готовился и биплан РУ.З, представлявший собой "Фьюри" с усиленным вооружением и тем же мотором "Госхок". Политика британского министерства авиации в отношении материальной части истребительной авиации в те годы определялась техническим заданием Р.7/30. Это задание было довольно "размытым", противоречивым, ибо исходило лишь из минимального прироста летных данных с сохранением маломощного вооружения и привычной тактики ближнего маневренного боя - т.н. "собачьей свалки". Максимальная скорость планировалась всего в 250 миль/час (403 км/ч). Продолжая принятую после Первой мировой войны традицию жесткой экономии, самолет хотели сделать универсальным. Он должен был быть и перехватчиком, и вести воздушный бой с истребителями противника у линии фронта, и сопровождать бомбардировщики. В итоге, обилие противоречивых требований сделало задание вообще трудновыполнимым. Задание Р.7/30 просуществовало долго, хотя время от времени в него вносили некоторые изменения. Так, в 1939 г. максимальную скорость подняли до 443 км/ч. Первоначально Кэмм исходил лишь из глубокой модернизации "Фьюри". Он решил превратить его в моноплан. В 1925 г. Кэмм уже создал небольшой истребитель-моноплан, но тот не имел успеха и не был запущен в серию. Теперь же он счел, что время монопланов пришло. В этом он не был одинок. По всему миру создавалось новое поколение скоростных истребителей, прозванное впоследствии на западе "новой волной". За основу приняли один из опытных вариантов - "Хай Спид Фьюри" ("скоростной"). Фюзеляж от него взяли почти целиком, хотя размеры шпангоутов в средней части увеличили, чтобы сделать кабину закрытой. Фюзеляж имел традиционную для "Хаукер” конструкцию, запатентованную еще Т.Сопвичем в 1926 г. – несущую ферму из труб, усиленную косыми расчалками, поверх которой одевались шпангоуты и стрингеры, лишь поддерживавшие полотняную обшивку. Перешло к моноплану и оперение. Шасси тоже сохранили старое: неубирающиеся свободнонесущие стойки и колеса в каплевидных обтекателях. Заново спроектировали лишь крыло довольно толстого профиля. На истребителе собирались установить новый двигатель фирмы Роллс-Ройс "Госхок" с испарительным охлаждением (15129).</w:t>
      </w:r>
    </w:p>
    <w:p w14:paraId="6EC13F8F" w14:textId="77777777" w:rsidR="00E72149" w:rsidRPr="0044524F" w:rsidRDefault="00E72149" w:rsidP="009654CF">
      <w:pPr>
        <w:spacing w:after="0" w:line="240" w:lineRule="auto"/>
        <w:jc w:val="both"/>
        <w:rPr>
          <w:rFonts w:ascii="Times New Roman" w:hAnsi="Times New Roman"/>
          <w:color w:val="000000" w:themeColor="text1"/>
          <w:sz w:val="16"/>
          <w:szCs w:val="16"/>
        </w:rPr>
      </w:pPr>
    </w:p>
    <w:p w14:paraId="06B055F3"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5DE0EA4"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22E4685F"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прошли испытания самолета ТБ3 № 22311 с 4-мя моторами М17 Е=7,3 измененной конструкции (6637).</w:t>
      </w:r>
    </w:p>
    <w:p w14:paraId="12CF685C"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39E34B7E"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испытания – Фролов</w:t>
      </w:r>
    </w:p>
    <w:p w14:paraId="5FD3F1D8"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Байдуков</w:t>
      </w:r>
    </w:p>
    <w:p w14:paraId="60F1D9D6"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393ED5F0"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в какой мере самолет с измененной конструкцией и проведенными облегчениями удовлетворяет техусловиям на поставку ТБ3. Определить вес облегченной конструкции, удобство работы штурмана в измененной носовой части – Ф-1, а также работу с укороченными ДЕР 25 и 26.</w:t>
      </w:r>
    </w:p>
    <w:p w14:paraId="3AA220F2"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8D6A5B3" w14:textId="77777777" w:rsidR="00487C9C" w:rsidRPr="0044524F" w:rsidRDefault="00487C9C" w:rsidP="009654CF">
      <w:pPr>
        <w:numPr>
          <w:ilvl w:val="0"/>
          <w:numId w:val="23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ТБ3 № 22311 измененной конструкции по своему конструктивному и производственному выполнению, а также по своим летным эксплуатационным данным техусловиям на поставку самолета ТБ3 вполне удовлетворяет.</w:t>
      </w:r>
    </w:p>
    <w:p w14:paraId="5D9FB04C" w14:textId="77777777" w:rsidR="00487C9C" w:rsidRPr="0044524F" w:rsidRDefault="00487C9C" w:rsidP="009654CF">
      <w:pPr>
        <w:numPr>
          <w:ilvl w:val="0"/>
          <w:numId w:val="23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вес пустого самолета 10817 кг в дальнейшей работе по облегчению исходить из этого веса.</w:t>
      </w:r>
    </w:p>
    <w:p w14:paraId="523B3F95"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проведены кроме облетов в один летный день – 1 августа 1933 года (6637).</w:t>
      </w:r>
    </w:p>
    <w:p w14:paraId="46030727"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p>
    <w:p w14:paraId="7D363CB4"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 по 5 августа 1933 проходили испытания самолета И7 №4449 (эталон на 1933 год) с мотором М-17 № 262646 (6786).</w:t>
      </w:r>
    </w:p>
    <w:p w14:paraId="24C3C7EB"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p>
    <w:p w14:paraId="05D94609"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7B607B91"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Проверка летных данных самолета И7-М17 № 4449 эталона на 1933 год после улучшения обтекателей узлов стоек, новых моторных капотов и установки обтекателя на колесах.</w:t>
      </w:r>
    </w:p>
    <w:p w14:paraId="3F7161A3"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BBB7CB5" w14:textId="77777777" w:rsidR="00487C9C" w:rsidRPr="0044524F" w:rsidRDefault="00487C9C" w:rsidP="009654CF">
      <w:pPr>
        <w:numPr>
          <w:ilvl w:val="0"/>
          <w:numId w:val="23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И7-М17 № 4449 может быть утвержден как эталон на 1933 год (с доработками).</w:t>
      </w:r>
    </w:p>
    <w:p w14:paraId="62AC2B6E"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020B0896"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Часовиков</w:t>
      </w:r>
    </w:p>
    <w:p w14:paraId="7C550C00"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Кокинаки</w:t>
      </w:r>
    </w:p>
    <w:p w14:paraId="65BA4DF7"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374DF823"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получен с завода № 1 - 1 августа 1933 года</w:t>
      </w:r>
    </w:p>
    <w:p w14:paraId="453536C6"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километраж по программе - 2 августа 1933 года</w:t>
      </w:r>
    </w:p>
    <w:p w14:paraId="25831E87"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и скорости по высотам – 3 августа 1933 года</w:t>
      </w:r>
    </w:p>
    <w:p w14:paraId="3236D74B"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и скорости по высотам – 3 августа 1933 года</w:t>
      </w:r>
    </w:p>
    <w:p w14:paraId="7CEE1F33"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километраж по программе - 3 августа 1933 года</w:t>
      </w:r>
    </w:p>
    <w:p w14:paraId="562FE841"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без обтекателей на колесах - 4 августа 1933 года</w:t>
      </w:r>
    </w:p>
    <w:p w14:paraId="06EDE1DB"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бомбометание учебными бомбами - 4 августа 1933 года</w:t>
      </w:r>
    </w:p>
    <w:p w14:paraId="6EFE32AC"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сдан на завод № 1 – 5 августа 1933 года (6786).</w:t>
      </w:r>
    </w:p>
    <w:p w14:paraId="28EADF74"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p>
    <w:p w14:paraId="2E5ECF36"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 доработанный самолет И-7 №4449 (эталон на 1933 год) с мотором М-17ф №262646 принят на повторные испытания в НИИ ВВС РККА. Проверка летных данных после внесения улучшений. Ответственные исполнители: ведущий инженер Часовиков, ведущий летчик-испытатель Кокинаки.</w:t>
      </w:r>
    </w:p>
    <w:p w14:paraId="0640298E"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августа 1933 г. выполнен первый полет на километраж.</w:t>
      </w:r>
    </w:p>
    <w:p w14:paraId="6686E561"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августа 1933 г. выполнены полеты на скороподъемность и скорости по высотам и второй полет на километраж.</w:t>
      </w:r>
    </w:p>
    <w:p w14:paraId="601AAE4D"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1933 г. выполнены третий полет на километраж без обтекателей на колесах и на бомбометание учебными бомбами.</w:t>
      </w:r>
    </w:p>
    <w:p w14:paraId="7A9DA7AC"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г. самолет И-7 №4449 (эталон на 1933 год) с мотором М-17ф №262646 закончил повторные испытания в НИИ ВВС РККА. Заключение: самолет И-7 М-17 №4449 может быть утвержден как эталон на 1933 г. (со сделанными доработками).</w:t>
      </w:r>
    </w:p>
    <w:p w14:paraId="0D365A50"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г. самолет возвращен на завод №1, где на нем установлено полностью новое оперение, каркас которого изготовлен из профилей из дюраля Д1 на заклепках вместо хромомолибденовых труб на сварке. Нервюры рулей установлены по потоку (в исходной конструкции были «змейкой»).</w:t>
      </w:r>
    </w:p>
    <w:p w14:paraId="79336708"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Новое оперение по расчету имело лучшую прочность (длительную – ресурс) при меньшем весе.</w:t>
      </w:r>
    </w:p>
    <w:p w14:paraId="4404920C"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ГУАП предложил считать этот самолет эталоном для серийного производства на 1934 г., однако Управление материально-технического снабжения ВВС с этим не согласилось, требуя постройки нового эталонного образца к 15 марта 1934 г. По этому поводу проведены совещания под председательством начальника УМТС Жарова 11, 16 и 26 ноября 1933 г., однако ГУАП при поддержке Правительства настоял на своем решении (24331).</w:t>
      </w:r>
    </w:p>
    <w:p w14:paraId="7E639ED0"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4ED08434"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августа 1933 г. цена серийного истребителя И-7 выпуска завода №1 определена в 50000 руб., для сравнения – один И-5 стоил 564000 руб., остаточная цена самолета И-4 (выпуск прекращен в 1932 г.) была 38500 руб. (24331).</w:t>
      </w:r>
    </w:p>
    <w:p w14:paraId="306C956F"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558B3F6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августа 1933 И-5 был самым дорогим советским истребителем и стоил 56.4 тыс. по сравнению с 38.5 - И-4 и 50 - И-7 (191,27).</w:t>
      </w:r>
    </w:p>
    <w:p w14:paraId="5A0D3414"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4793CA4B"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В записе ОГПУ Г.Ягода докладывал "...На ряде заводов существует система премирования работников ОТК и военприемки за количество сданной заводом продукции, благодаря чему, естественно, ослабляется внимание к ее качеству" (1566,94).</w:t>
      </w:r>
    </w:p>
    <w:p w14:paraId="0BC46FB9"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09FEC2D5" w14:textId="77777777" w:rsidR="006474C8" w:rsidRPr="0044524F" w:rsidRDefault="006474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августа в 1933 году начинаются регулярные рейсы по маршруту Тбилиси-Ереван на самолете </w:t>
      </w:r>
      <w:hyperlink r:id="rId279" w:tgtFrame="_blank" w:history="1">
        <w:r w:rsidRPr="0044524F">
          <w:rPr>
            <w:rFonts w:ascii="Times New Roman" w:hAnsi="Times New Roman"/>
            <w:color w:val="000000" w:themeColor="text1"/>
            <w:sz w:val="16"/>
            <w:szCs w:val="16"/>
          </w:rPr>
          <w:t xml:space="preserve">«К-5». </w:t>
        </w:r>
      </w:hyperlink>
    </w:p>
    <w:p w14:paraId="0D8528D1" w14:textId="77777777" w:rsidR="006474C8" w:rsidRPr="0044524F" w:rsidRDefault="006474C8" w:rsidP="009654CF">
      <w:pPr>
        <w:spacing w:after="0" w:line="240" w:lineRule="auto"/>
        <w:jc w:val="both"/>
        <w:rPr>
          <w:rFonts w:ascii="Times New Roman" w:hAnsi="Times New Roman"/>
          <w:color w:val="000000" w:themeColor="text1"/>
          <w:sz w:val="16"/>
          <w:szCs w:val="16"/>
        </w:rPr>
      </w:pPr>
    </w:p>
    <w:p w14:paraId="487B9FAF"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9A9DA89"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14318B12"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1 по 15 августа 1933 на НИАП проводилась показательная стрельба из СУ-14 с 203-мм гаубицей Б-4 в присутствии маршала Ворошилова. После этого СУ-14 долго ремонтировалась и модернизировалась ( в основном ходовая часть) (3861).</w:t>
      </w:r>
    </w:p>
    <w:p w14:paraId="4BB0E816"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5CC476D2"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 августа 1933 года Московский автосборочный завод имени КИМ получил статус филиала Горьковского автозавода (ГАЗ) и полностью перешел на сборку грузовых автомобилей ГАЗ-АА («полуторка») и комбайновых двигателей только из отечественных комплектующих, поставляемых Нижегородским автозаводом и его поставщиками. В 1935-1937-х годах без остановки производства была проведена реконструкция завода, ставившая целью довести его производительность до 60 тыс. автомобилей в год (200 автомобилей в сутки), а также освоение выпуска модернизированной «полуторки» ГАЗ-АА и легкового автомобиля М-1 (однако, в последствии ГАЗ отказался от планов сборки модели М-1 на своем московском филиале и ни один товарный автомобиль этой модели произведен на нем не был) (10766).</w:t>
      </w:r>
    </w:p>
    <w:p w14:paraId="780F4687"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7D11ACFD" w14:textId="77777777" w:rsidR="00487C9C" w:rsidRPr="0044524F" w:rsidRDefault="00487C9C"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С 1 августа 1933 года Московский автосборочный завод имени КИМ получил статус филиала Горьковского автозавода (ГАЗ) и полностью перешел на сборку грузовых автомобилей ГАЗ-АА («полуторка») и комбайновых двигателей только из отечественных комплектующих, поставляемых Нижегородским автозаводом и его поставщиками (11580).</w:t>
      </w:r>
    </w:p>
    <w:p w14:paraId="2A26612B" w14:textId="77777777" w:rsidR="00487C9C" w:rsidRPr="0044524F" w:rsidRDefault="00487C9C" w:rsidP="009654CF">
      <w:pPr>
        <w:pStyle w:val="af2"/>
        <w:jc w:val="both"/>
        <w:rPr>
          <w:i w:val="0"/>
          <w:iCs w:val="0"/>
          <w:color w:val="000000" w:themeColor="text1"/>
          <w:spacing w:val="0"/>
          <w:kern w:val="0"/>
          <w:position w:val="0"/>
          <w:sz w:val="16"/>
          <w:szCs w:val="16"/>
          <w:lang w:val="ru-RU"/>
        </w:rPr>
      </w:pPr>
    </w:p>
    <w:p w14:paraId="1D6A80D2" w14:textId="77777777" w:rsidR="006474C8" w:rsidRPr="0044524F" w:rsidRDefault="006474C8" w:rsidP="009654CF">
      <w:pPr>
        <w:pStyle w:val="rtejustify"/>
        <w:spacing w:before="0" w:after="0"/>
        <w:rPr>
          <w:color w:val="000000" w:themeColor="text1"/>
          <w:sz w:val="16"/>
          <w:szCs w:val="16"/>
        </w:rPr>
      </w:pPr>
      <w:r w:rsidRPr="0044524F">
        <w:rPr>
          <w:rStyle w:val="af0"/>
          <w:bCs/>
          <w:i w:val="0"/>
          <w:color w:val="000000" w:themeColor="text1"/>
          <w:sz w:val="16"/>
          <w:szCs w:val="16"/>
        </w:rPr>
        <w:t>1 августа</w:t>
      </w:r>
      <w:r w:rsidRPr="0044524F">
        <w:rPr>
          <w:color w:val="000000" w:themeColor="text1"/>
          <w:sz w:val="16"/>
          <w:szCs w:val="16"/>
        </w:rPr>
        <w:t xml:space="preserve"> 1933. Протокол заседания Политбюро ЦК ВКП (б) № 142. </w:t>
      </w:r>
      <w:hyperlink r:id="rId280" w:anchor="showunit&amp;id=87074" w:history="1">
        <w:r w:rsidRPr="0044524F">
          <w:rPr>
            <w:rStyle w:val="a5"/>
            <w:color w:val="000000" w:themeColor="text1"/>
            <w:sz w:val="16"/>
            <w:szCs w:val="16"/>
          </w:rPr>
          <w:t>2. Предложение Ворошилова о подводной лодке</w:t>
        </w:r>
      </w:hyperlink>
      <w:r w:rsidRPr="0044524F">
        <w:rPr>
          <w:color w:val="000000" w:themeColor="text1"/>
          <w:sz w:val="16"/>
          <w:szCs w:val="16"/>
        </w:rPr>
        <w:t xml:space="preserve"> (Ворошилов). — ОП. Решено: проект договора с немецкой фирмой о подводной лодке утвердить и передать на окончательное редактирование тт. Ворошилова и Пятакова. </w:t>
      </w:r>
      <w:hyperlink r:id="rId281" w:anchor="showunit&amp;id=87092" w:history="1">
        <w:r w:rsidRPr="0044524F">
          <w:rPr>
            <w:rStyle w:val="a5"/>
            <w:color w:val="000000" w:themeColor="text1"/>
            <w:sz w:val="16"/>
            <w:szCs w:val="16"/>
          </w:rPr>
          <w:t>36/22. Об экспортно-импортном и валютном планах на III квартал 1933 г.</w:t>
        </w:r>
      </w:hyperlink>
      <w:r w:rsidRPr="0044524F">
        <w:rPr>
          <w:color w:val="000000" w:themeColor="text1"/>
          <w:sz w:val="16"/>
          <w:szCs w:val="16"/>
        </w:rPr>
        <w:t xml:space="preserve"> (ПБ от 21 июля 1933 г.). — ОП. Решено утвердить решения Валютной комиссии по экспортно-импортному и валютному планам на 3 квартал 1933 г. по Западу и Востоку и по плану Торгсина на 3 квартал 1933 г. со следующими дополнениями и поправками: а) концентрация в 3 квартале 50 млн. пудов; б) план экспорта топлива на август и сентябрь обсудить особо; в) обсудить особо экспорт глицерина; г) план сдачи сала Торгсину вместо 800 тонн утвердить 500 тонн; план сдачи сахара Торгсину вместо 10 тыс. тонн утвердить 8 тыс. тонн; исключить из плана сахар в 3 квартале на Монголию и Туву с тем, чтобы вопросы об увеличении плана сдачи сала и сахара Торгсину и о сахаре в 3 квартале на Монголию и Туву обсудить дополнительно вместе с остальными отложенными вопросами. В постановлении Валютной комиссии определены конкретные задания по объемам импорта, экспорта и по неторговой части в отдельных регионах: Запад, Восток, Монголия, Тува, Западный Китай, Афганистан, Персия. В целях обеспечения выполнения валютного и экспортного планов в 3 квартале 1933 г., Валютная комиссия обязала соответствующие ведомства и наркоматы (Главзолото, Главцветмет, Главнефть, Главрыба, Главвоздухфлот, Наркомвод, Наркомлегпром, Наркомтяжпром) обеспечить своевременное производство продукции на экспорт, завершить строительство и переоборудование сопутствующих предприятий, а также доставку экспортных грузов в морские порты. </w:t>
      </w:r>
      <w:hyperlink r:id="rId282" w:anchor="showunit&amp;id=87110" w:history="1">
        <w:r w:rsidRPr="0044524F">
          <w:rPr>
            <w:rStyle w:val="a5"/>
            <w:color w:val="000000" w:themeColor="text1"/>
            <w:sz w:val="16"/>
            <w:szCs w:val="16"/>
          </w:rPr>
          <w:t>52/38. Об алюминиевой промышленности</w:t>
        </w:r>
      </w:hyperlink>
      <w:r w:rsidRPr="0044524F">
        <w:rPr>
          <w:color w:val="000000" w:themeColor="text1"/>
          <w:sz w:val="16"/>
          <w:szCs w:val="16"/>
        </w:rPr>
        <w:t xml:space="preserve"> (ПБ от 26 июля 1933 г.). Решено утвердить следующее постановление СТО: 1. Констатируя значительные успехи в деле создания советской алюминиевой промышленности, отметить, однако, отставание пуска алюминиевых предприятий против установленных ранее Правительством сроков. 2. Обязать НКТП добиться в 3 квартале с. г. полного освоения проектной мощности по Волховскому глиноземному заводу. 3. Обязать НКТП и исполняющего обязанности начальника Днепровского объединенного строительства Михайлова всемерно форсировать строительно-монтажные работы по Днепровскому алюминиевому комбинату с тем, чтобы обеспечить пуск глиноземного завода в 4 квартале с. г. Одновременно форсировать доработку технологического метода на Ленинградском опытном заводе Союзалюминия. 4. Отметить значительную задержку в выполнении задания в отношении подготовительных и строительных работ по Тихвину, Уралу и Кандалакше, обязав НКТПром усилить эти работы с тем, чтобы обеспечить приступ к широкому развороту строительных работ, начиная с 1934 года. 5. Подтвердить решение НКТП об увеличении программы выплавки алюминия в 3 квартале с 1100 до 1800 тонн, забронировав добавочные 700 тонн металла исключительно на производство кабелей для высоковольтных линий передач (15462).</w:t>
      </w:r>
    </w:p>
    <w:p w14:paraId="19DCB5BC" w14:textId="77777777" w:rsidR="006474C8" w:rsidRPr="0044524F" w:rsidRDefault="006474C8" w:rsidP="009654CF">
      <w:pPr>
        <w:pStyle w:val="rtejustify"/>
        <w:spacing w:before="0" w:after="0"/>
        <w:rPr>
          <w:color w:val="000000" w:themeColor="text1"/>
          <w:sz w:val="16"/>
          <w:szCs w:val="16"/>
        </w:rPr>
      </w:pPr>
    </w:p>
    <w:p w14:paraId="43349EAD" w14:textId="77777777" w:rsidR="006474C8" w:rsidRPr="0044524F" w:rsidRDefault="006474C8"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1 августа 1933 г. Протокол ПБ № 142 п.52/38: Об алюминиевой промышленности. Решено утвердить следующее постановление СТО: 1. Констатируя значительные успехи в деле создания советской алюминиевой промышленности, отметить, однако, отставание пуска алюминиевых предприятий против установленных ранее Правительством сроков. 2. Обязать НКТП добиться в 3 квартале с.г. полного освоения проектной мощности по Волховскому глиноземному заводу. 3. Обязать НКТП и исполняющего обязанности начальника Днепровского объединенного строительства Михайлова всемерно форсировать строительно-монтажные работы по Днепровскому алюминиевому комбинату с тем, чтобы обеспечить пуск глиноземного завода в 4 квартале с.г. Одновременно форсировать доработку технологического метода на Ленинградском опытном заводе Союзалюминия. 4. Отметить значительную задержку в выполнении задания в отношении подготовительных и строительных работ по Тихвину, Уралу и Кандалакше, обязав НКТПром усилить эти работы с тем, чтобы обеспечить приступ к широкому развороту строительных работ, начиная с 1934 года. 5. Подтвердить решение НКТП об увеличении программы выплавки алюминия в 3 квартале с 1100 до 1800 тонн, забронировав добавочные 700 тонн металла исключительно на производство кабелей для высоковольтных линий передач (15882).</w:t>
      </w:r>
    </w:p>
    <w:p w14:paraId="54B82139" w14:textId="77777777" w:rsidR="006474C8" w:rsidRPr="0044524F" w:rsidRDefault="006474C8" w:rsidP="009654CF">
      <w:pPr>
        <w:spacing w:after="0" w:line="240" w:lineRule="auto"/>
        <w:jc w:val="both"/>
        <w:rPr>
          <w:rFonts w:ascii="Times New Roman" w:hAnsi="Times New Roman"/>
          <w:iCs/>
          <w:color w:val="000000" w:themeColor="text1"/>
          <w:sz w:val="16"/>
          <w:szCs w:val="16"/>
        </w:rPr>
      </w:pPr>
    </w:p>
    <w:p w14:paraId="36DF6166"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w:t>
      </w:r>
    </w:p>
    <w:p w14:paraId="32A849CA"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142 заседания Политбюро ЦК ВКП(б) от 1 августа 1933 года</w:t>
      </w:r>
    </w:p>
    <w:p w14:paraId="7D23AC03"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w:t>
      </w:r>
      <w:r w:rsidRPr="0044524F">
        <w:rPr>
          <w:rFonts w:ascii="Times New Roman" w:hAnsi="Times New Roman"/>
          <w:color w:val="000000" w:themeColor="text1"/>
          <w:sz w:val="16"/>
          <w:szCs w:val="16"/>
        </w:rPr>
        <w:noBreakHyphen/>
        <w:t>го августа 1933 года.</w:t>
      </w:r>
    </w:p>
    <w:p w14:paraId="5C8AE2ED"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Решения Политбюро от 1.VIII.1933 г.</w:t>
      </w:r>
    </w:p>
    <w:p w14:paraId="57309768"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2: Предложение т. Ворошилова о подводной лодке</w:t>
      </w:r>
    </w:p>
    <w:p w14:paraId="7E2D4D8A"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(Ворошилов).</w:t>
      </w:r>
    </w:p>
    <w:p w14:paraId="2B04A264"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6BD6A886"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договора с немецкой фирмой о подводной лодке утвердить и передать на окончательное редактирование т.т. Ворошилова и Пятакова.</w:t>
      </w:r>
    </w:p>
    <w:p w14:paraId="250C007C"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587B6CC9"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Ворошилову, Пятакову.</w:t>
      </w:r>
    </w:p>
    <w:p w14:paraId="12094FC3"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13: О подготовке и проведении всесоюзного праздника воздушного флота</w:t>
      </w:r>
    </w:p>
    <w:p w14:paraId="0A459F2B"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(Ворошилов, Гольцман).</w:t>
      </w:r>
    </w:p>
    <w:p w14:paraId="2BF7F85C"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Создать для подготовки и проведения всесоюзного праздника воздушного флота комиссию в составе т.т. Антипова, Эйдемана, Алксниса, Гольцмана, Баранова, Косарева, Усова, Николаевой и представителей от ВЦСПС и “Динамо”.</w:t>
      </w:r>
    </w:p>
    <w:p w14:paraId="62FF9CB0"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Созыв комиссии за т. Антиповым.</w:t>
      </w:r>
    </w:p>
    <w:p w14:paraId="032AFFC8"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20/6: О разрешении т. Осинскому полета на аэроплане</w:t>
      </w:r>
    </w:p>
    <w:p w14:paraId="23A34817"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т. Осинскому поездку на аэроплане на Украину и Северный Кавказ.</w:t>
      </w:r>
    </w:p>
    <w:p w14:paraId="4A11692F"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21/7: О машинах для Интуриста</w:t>
      </w:r>
    </w:p>
    <w:p w14:paraId="18FCFDDA"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гараж ЦИК Союза и автобазу СНК выделить не менее 60% автомашин с шоферами в распоряжение Интуриста на следующие дни:</w:t>
      </w:r>
    </w:p>
    <w:p w14:paraId="3CA35C80"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июль — 23, 24, 29, 30;</w:t>
      </w:r>
    </w:p>
    <w:p w14:paraId="62207F34"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август — 12, 13.</w:t>
      </w:r>
    </w:p>
    <w:p w14:paraId="13BCCC87"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52/38: Об алюминиевой промышленности</w:t>
      </w:r>
    </w:p>
    <w:p w14:paraId="4CFF1A54"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следующее постановление СТО:</w:t>
      </w:r>
    </w:p>
    <w:p w14:paraId="71A1E6B3"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 Констатируя значительные успехи в деле создания советской алюминиевой промышленности, отметить, однако, отставание пуска алюминиевых предприятий против установленных ранее Правительством сроков.</w:t>
      </w:r>
    </w:p>
    <w:p w14:paraId="6B1C473A"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Обязать НКТП добиться в III квартале с. г. полного освоения проектной мощности по Волховскому глиноземному заводу.</w:t>
      </w:r>
    </w:p>
    <w:p w14:paraId="36E572FB"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Обязать НКТП и исполняющего обязанности начальника Днепровского объединенного строительства т. Михайлова всемерно форсировать строительно-монтажные работы по днепровскому алюминиевому комбинату с тем, чтобы обеспечить пуск глиноземного завода в IV квартале с. г. Одновременно форсировать доработку технологического метода на Ленинградском опытном заводе Союзалюминия.</w:t>
      </w:r>
    </w:p>
    <w:p w14:paraId="1B78EB37"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Отметить значительную задержку в выполнении задания в отношении подготовительных и строительных работ по Тихвину, Уралу и Кандалакше, обязав НКТПром усилить эти работы с тем, чтобы обеспечить приступ к широкому развороту строительных работ, начиная с 1934 года.</w:t>
      </w:r>
    </w:p>
    <w:p w14:paraId="08E46344" w14:textId="77777777" w:rsidR="003E6E3B" w:rsidRPr="0044524F" w:rsidRDefault="003E6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Подтвердить решение НКТП об увеличении программы выплавки алюминия в III квартале с 1.100 до 1.800 тонн, забронировав добавочные 700 тонн металла исключительно на производство кабелей для высоковольтных линии передач (18066).</w:t>
      </w:r>
    </w:p>
    <w:p w14:paraId="3CC0E9B7" w14:textId="77777777" w:rsidR="003E6E3B" w:rsidRPr="0044524F" w:rsidRDefault="003E6E3B" w:rsidP="009654CF">
      <w:pPr>
        <w:spacing w:after="0" w:line="240" w:lineRule="auto"/>
        <w:jc w:val="both"/>
        <w:rPr>
          <w:rFonts w:ascii="Times New Roman" w:hAnsi="Times New Roman"/>
          <w:color w:val="000000" w:themeColor="text1"/>
          <w:sz w:val="16"/>
          <w:szCs w:val="16"/>
        </w:rPr>
      </w:pPr>
    </w:p>
    <w:p w14:paraId="4FD2EC4B" w14:textId="77777777" w:rsidR="00487C9C" w:rsidRPr="0044524F" w:rsidRDefault="00487C9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 была подготовлена записка зампредседателя ОПТУ Г.Ягоды в СНК СССР «...На ряде заводов, — пишет Яго</w:t>
      </w:r>
      <w:r w:rsidRPr="0044524F">
        <w:rPr>
          <w:rFonts w:ascii="Times New Roman" w:hAnsi="Times New Roman"/>
          <w:color w:val="000000" w:themeColor="text1"/>
          <w:sz w:val="16"/>
          <w:szCs w:val="16"/>
        </w:rPr>
        <w:softHyphen/>
        <w:t>да, — существует система премирования работников ОТК и военприемки за количество сданной заводом продукции, благодаря чему, естественно, ослабляется внимание к ее качеству» (ГАРФ ф. 8418, оп. 8, д. 175, л. 5) (1566,84).</w:t>
      </w:r>
    </w:p>
    <w:p w14:paraId="69BFD8C7" w14:textId="77777777" w:rsidR="00487C9C" w:rsidRPr="0044524F" w:rsidRDefault="00487C9C" w:rsidP="009654CF">
      <w:pPr>
        <w:shd w:val="clear" w:color="auto" w:fill="FFFFFF"/>
        <w:spacing w:after="0" w:line="240" w:lineRule="auto"/>
        <w:jc w:val="both"/>
        <w:rPr>
          <w:rFonts w:ascii="Times New Roman" w:hAnsi="Times New Roman"/>
          <w:color w:val="000000" w:themeColor="text1"/>
          <w:sz w:val="16"/>
          <w:szCs w:val="16"/>
        </w:rPr>
      </w:pPr>
    </w:p>
    <w:p w14:paraId="7FEC3AD5" w14:textId="77777777" w:rsidR="00D7310A" w:rsidRPr="0044524F" w:rsidRDefault="00D731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 27 октября 1933 г. войсковые испытания радио катеров системы Остехбюро в районе Пейпия Балтийского моря. Председатель комиссии – заместитель начальника штаба Морских дел В.М. Орлов. Комиссия вынесла заключение, что аппаратура торпедных катеров типа Ш-4 134 системы Остехбюро пригодна для вооружения ВМС РККА (18667).</w:t>
      </w:r>
    </w:p>
    <w:p w14:paraId="2499F6D7" w14:textId="77777777" w:rsidR="00D7310A" w:rsidRPr="0044524F" w:rsidRDefault="00D7310A" w:rsidP="009654CF">
      <w:pPr>
        <w:spacing w:after="0" w:line="240" w:lineRule="auto"/>
        <w:jc w:val="both"/>
        <w:rPr>
          <w:rFonts w:ascii="Times New Roman" w:hAnsi="Times New Roman"/>
          <w:color w:val="000000" w:themeColor="text1"/>
          <w:sz w:val="16"/>
          <w:szCs w:val="16"/>
        </w:rPr>
      </w:pPr>
    </w:p>
    <w:p w14:paraId="2495F2F1" w14:textId="77777777" w:rsidR="00D759F6" w:rsidRPr="0044524F" w:rsidRDefault="00D759F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состоялось заседание ПБ и был оформлен протокол № 142</w:t>
      </w:r>
    </w:p>
    <w:p w14:paraId="2795D6AD" w14:textId="77777777" w:rsidR="00D759F6" w:rsidRPr="0044524F" w:rsidRDefault="00D759F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Предложение т.Ворошилова о подводной лодке, (т.Ворошилов).</w:t>
      </w:r>
    </w:p>
    <w:p w14:paraId="3A597D7F" w14:textId="77777777" w:rsidR="00D759F6" w:rsidRPr="0044524F" w:rsidRDefault="00D759F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договора с немецкой Фирмой о подводной лодке утвердить и передать на окончательное редактирование</w:t>
      </w:r>
    </w:p>
    <w:p w14:paraId="16303207" w14:textId="77777777" w:rsidR="00D759F6" w:rsidRPr="0044524F" w:rsidRDefault="00D759F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т.т. Ворошилову Пятакову (22992).</w:t>
      </w:r>
    </w:p>
    <w:p w14:paraId="51FBF58F" w14:textId="77777777" w:rsidR="00D759F6" w:rsidRPr="0044524F" w:rsidRDefault="00D759F6" w:rsidP="009654CF">
      <w:pPr>
        <w:spacing w:after="0" w:line="240" w:lineRule="auto"/>
        <w:jc w:val="both"/>
        <w:rPr>
          <w:rFonts w:ascii="Times New Roman" w:hAnsi="Times New Roman"/>
          <w:color w:val="000000" w:themeColor="text1"/>
          <w:sz w:val="16"/>
          <w:szCs w:val="16"/>
        </w:rPr>
      </w:pPr>
    </w:p>
    <w:p w14:paraId="419F5A84"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9604D93"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1E8CCF28"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Москва.ВЦИК и СНК приняли новый Исправительно-трудовой Кодекс (ИТК СССР) (10687).</w:t>
      </w:r>
    </w:p>
    <w:p w14:paraId="1AF3E157"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191875BD"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A6990CD"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1EE4EAB5"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августа 1933 года был утвержден пом. нач. ГУАП как временный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4E10C1" w:rsidRPr="0044524F" w14:paraId="489D7B56" w14:textId="77777777">
        <w:tc>
          <w:tcPr>
            <w:tcW w:w="2818" w:type="dxa"/>
          </w:tcPr>
          <w:p w14:paraId="4F0CDA4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w:t>
            </w:r>
          </w:p>
        </w:tc>
        <w:tc>
          <w:tcPr>
            <w:tcW w:w="2818" w:type="dxa"/>
          </w:tcPr>
          <w:p w14:paraId="3B1DA171"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Глававиапром</w:t>
            </w:r>
          </w:p>
        </w:tc>
        <w:tc>
          <w:tcPr>
            <w:tcW w:w="2818" w:type="dxa"/>
          </w:tcPr>
          <w:p w14:paraId="7AC73DD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Объединенное бюро стандартизации (ОБСА)</w:t>
            </w:r>
          </w:p>
        </w:tc>
      </w:tr>
      <w:tr w:rsidR="004E10C1" w:rsidRPr="0044524F" w14:paraId="04B1724D" w14:textId="77777777">
        <w:tc>
          <w:tcPr>
            <w:tcW w:w="2818" w:type="dxa"/>
          </w:tcPr>
          <w:p w14:paraId="5C917EA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Ведомственный стандарт</w:t>
            </w:r>
          </w:p>
        </w:tc>
        <w:tc>
          <w:tcPr>
            <w:tcW w:w="2818" w:type="dxa"/>
          </w:tcPr>
          <w:p w14:paraId="54B5133A"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c>
          <w:tcPr>
            <w:tcW w:w="2818" w:type="dxa"/>
          </w:tcPr>
          <w:p w14:paraId="41AF7F3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 СТУ</w:t>
            </w:r>
          </w:p>
        </w:tc>
      </w:tr>
      <w:tr w:rsidR="004E10C1" w:rsidRPr="0044524F" w14:paraId="70E80B0E" w14:textId="77777777">
        <w:tc>
          <w:tcPr>
            <w:tcW w:w="2818" w:type="dxa"/>
          </w:tcPr>
          <w:p w14:paraId="267AA25B"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Р-5а</w:t>
            </w:r>
          </w:p>
        </w:tc>
        <w:tc>
          <w:tcPr>
            <w:tcW w:w="2818" w:type="dxa"/>
          </w:tcPr>
          <w:p w14:paraId="49B3413E"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c>
          <w:tcPr>
            <w:tcW w:w="2818" w:type="dxa"/>
          </w:tcPr>
          <w:p w14:paraId="7CDACC9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16А</w:t>
            </w:r>
          </w:p>
        </w:tc>
      </w:tr>
      <w:tr w:rsidR="004E10C1" w:rsidRPr="0044524F" w14:paraId="7E48E1F5" w14:textId="77777777">
        <w:tc>
          <w:tcPr>
            <w:tcW w:w="2818" w:type="dxa"/>
          </w:tcPr>
          <w:p w14:paraId="10FD137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w:t>
            </w:r>
          </w:p>
        </w:tc>
        <w:tc>
          <w:tcPr>
            <w:tcW w:w="2818" w:type="dxa"/>
          </w:tcPr>
          <w:p w14:paraId="57E1A8E8"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c>
          <w:tcPr>
            <w:tcW w:w="2818" w:type="dxa"/>
          </w:tcPr>
          <w:p w14:paraId="0719A7D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1-е издание (3100)</w:t>
            </w:r>
          </w:p>
        </w:tc>
      </w:tr>
    </w:tbl>
    <w:p w14:paraId="4D1161B3"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2EDDE6D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августа 1933 дата присвоения опознавательного знака с литерой "Н" - СССР-Н17 - ПС-5 (ЮГ-1), зав. № 942, моторы - 3 Junkers L-5. Первоначальный владелец воздушного судна - УВС ГУСМП. Во второй половине 1933 г. самолет был принят Управлением Воздушной службы ГУСМП от ОСТЕХБЮРО в Ленинграде. 04.10.1934 г. самолет перерегистрировали с опознавательным знаком СССР-Л1455, владелец - Среднеазиатское Управление ГВФ. Исключен из списков самолетного парка ГВФ 04.05.36 г.</w:t>
      </w:r>
    </w:p>
    <w:p w14:paraId="11EEC07F"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0F5B868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августа 1933 Н.А.Евдокимов установил новый рекорд затяжного прыжка, оставив машину на 6700 м и падая до 6220 за 108 сек. (438,650).</w:t>
      </w:r>
    </w:p>
    <w:p w14:paraId="4545B4D3"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75362464" w14:textId="3D0076C2" w:rsidR="00CA3267" w:rsidRPr="0044524F" w:rsidRDefault="00CA3267" w:rsidP="009654CF">
      <w:pPr>
        <w:spacing w:after="0" w:line="240" w:lineRule="auto"/>
        <w:jc w:val="both"/>
        <w:rPr>
          <w:rFonts w:ascii="Times New Roman" w:hAnsi="Times New Roman"/>
          <w:color w:val="000000" w:themeColor="text1"/>
          <w:sz w:val="16"/>
          <w:szCs w:val="16"/>
        </w:rPr>
      </w:pPr>
      <w:r w:rsidRPr="0044524F">
        <w:rPr>
          <w:rFonts w:ascii="Times New Roman" w:hAnsi="Times New Roman"/>
          <w:noProof/>
          <w:color w:val="000000" w:themeColor="text1"/>
          <w:sz w:val="16"/>
          <w:szCs w:val="16"/>
        </w:rPr>
        <w:t xml:space="preserve">2 августа 1933 г. инструктор парашютного дела летчик Н.А.Евдокимов установил новый мировой рекорд затяжного прыжка. Оставив самолет на высоте 6700 м, он падал не раскрывая парашюта 6229 м. Свободное </w:t>
      </w:r>
      <w:r w:rsidRPr="0044524F">
        <w:rPr>
          <w:rFonts w:ascii="Times New Roman" w:hAnsi="Times New Roman"/>
          <w:color w:val="000000" w:themeColor="text1"/>
          <w:sz w:val="16"/>
          <w:szCs w:val="16"/>
        </w:rPr>
        <w:t>падение продолжалось 108 сек. Этим прыжком Евдокимов перекрыл рекорд только что установленный Каштановым в всесоюзный в 3170 и и мировой рекорд 6300 м, установленный датчанином</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Дж. Транумом в мае этого же года.</w:t>
      </w:r>
    </w:p>
    <w:p w14:paraId="391F1613" w14:textId="77777777" w:rsidR="00CA3267" w:rsidRPr="0044524F" w:rsidRDefault="00CA326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4 августа 1933/ (23370).</w:t>
      </w:r>
    </w:p>
    <w:p w14:paraId="789EB994" w14:textId="77777777" w:rsidR="00CA3267" w:rsidRPr="0044524F" w:rsidRDefault="00CA3267" w:rsidP="009654CF">
      <w:pPr>
        <w:spacing w:after="0" w:line="240" w:lineRule="auto"/>
        <w:jc w:val="both"/>
        <w:rPr>
          <w:rFonts w:ascii="Times New Roman" w:hAnsi="Times New Roman"/>
          <w:color w:val="000000" w:themeColor="text1"/>
          <w:sz w:val="16"/>
          <w:szCs w:val="16"/>
        </w:rPr>
      </w:pPr>
    </w:p>
    <w:p w14:paraId="1E36E82F" w14:textId="77777777" w:rsidR="00EB25C4" w:rsidRPr="0044524F" w:rsidRDefault="00EB25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августа в 1933 году на учениях Белорусского военного округа был выброшен десант в 900 человек, а в 1935 почти одновременно десантировались в Киевском военном округе 1200 человек, в Белорусском - 1800 (14971).</w:t>
      </w:r>
    </w:p>
    <w:p w14:paraId="3B760B45" w14:textId="77777777" w:rsidR="00EB25C4" w:rsidRPr="0044524F" w:rsidRDefault="00EB25C4" w:rsidP="009654CF">
      <w:pPr>
        <w:spacing w:after="0" w:line="240" w:lineRule="auto"/>
        <w:jc w:val="both"/>
        <w:rPr>
          <w:rFonts w:ascii="Times New Roman" w:hAnsi="Times New Roman"/>
          <w:color w:val="000000" w:themeColor="text1"/>
          <w:sz w:val="16"/>
          <w:szCs w:val="16"/>
        </w:rPr>
      </w:pPr>
    </w:p>
    <w:p w14:paraId="2D1BC1E6" w14:textId="77777777" w:rsidR="00084E79" w:rsidRPr="00142305" w:rsidRDefault="00084E79" w:rsidP="00084E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 августа 1933 г. пароход Челюскин прибыл в Мурманск. В порту дополнительно провели его окончатель</w:t>
      </w:r>
      <w:r w:rsidRPr="00142305">
        <w:rPr>
          <w:rStyle w:val="aff"/>
          <w:rFonts w:ascii="Times New Roman" w:hAnsi="Times New Roman" w:cs="Times New Roman"/>
          <w:color w:val="0070C0"/>
          <w:spacing w:val="0"/>
          <w:sz w:val="16"/>
          <w:szCs w:val="16"/>
        </w:rPr>
        <w:softHyphen/>
        <w:t>ную доза грузку, чего не успел и сделать в Ленинграде. Па его борт поднялись более ста человек: экипаж, научная группа, очередная смена для зимовки на о.Врангеля и плотинки, которым предстояло возвести па острове несколько сбор</w:t>
      </w:r>
      <w:r w:rsidRPr="00142305">
        <w:rPr>
          <w:rStyle w:val="aff"/>
          <w:rFonts w:ascii="Times New Roman" w:hAnsi="Times New Roman" w:cs="Times New Roman"/>
          <w:color w:val="0070C0"/>
          <w:spacing w:val="0"/>
          <w:sz w:val="16"/>
          <w:szCs w:val="16"/>
        </w:rPr>
        <w:softHyphen/>
        <w:t>ных домов. Интересно, что в столь рискованное плавание в числе пассажиров отправились 10 женщин (среди них одна беременная - родила на судне).</w:t>
      </w:r>
    </w:p>
    <w:p w14:paraId="1CEA6E52" w14:textId="77777777" w:rsidR="00084E79" w:rsidRPr="00142305" w:rsidRDefault="00084E79" w:rsidP="00084E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выполнения ледовых разведок на пароходе разме</w:t>
      </w:r>
      <w:r w:rsidRPr="00142305">
        <w:rPr>
          <w:rStyle w:val="aff"/>
          <w:rFonts w:ascii="Times New Roman" w:hAnsi="Times New Roman" w:cs="Times New Roman"/>
          <w:color w:val="0070C0"/>
          <w:spacing w:val="0"/>
          <w:sz w:val="16"/>
          <w:szCs w:val="16"/>
        </w:rPr>
        <w:softHyphen/>
        <w:t>стили небольшой самолет-амфибию Ш-2 11-21 с опытным лётчиком М.С. Бабушкиным и бортмехаником Г.С. Валавнным. М.С. Бабушкин хорошо зарекомендовал себя налсдовой разведке во время зверобойного промысла в Белом море и при спасении экспедиции У. Нобиле па дирижабле «Италия».</w:t>
      </w:r>
    </w:p>
    <w:p w14:paraId="68970A7E" w14:textId="77777777" w:rsidR="00084E79" w:rsidRPr="00142305" w:rsidRDefault="00084E79" w:rsidP="00084E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Хотя амфибию М.С. Бабушкина и включили в реестр УВС, однако ио причине спешки опознавательные знаки на него не нанесли. Зато на носу написали название парохода. В походном положении самолёт располагался на баке со сложенными крыльями н занимал места ненамного больше, чем судовая шлюпка. Перед полётами его с помощью грузовой стрелы опускали на воду пли лёд и раскладывали крылья (25653).</w:t>
      </w:r>
    </w:p>
    <w:p w14:paraId="057A614A" w14:textId="77777777" w:rsidR="00084E79" w:rsidRPr="00142305" w:rsidRDefault="00084E79" w:rsidP="00084E79">
      <w:pPr>
        <w:spacing w:after="0" w:line="240" w:lineRule="auto"/>
        <w:jc w:val="both"/>
        <w:rPr>
          <w:rFonts w:ascii="Times New Roman" w:hAnsi="Times New Roman"/>
          <w:color w:val="0070C0"/>
          <w:sz w:val="16"/>
          <w:szCs w:val="16"/>
        </w:rPr>
      </w:pPr>
    </w:p>
    <w:p w14:paraId="3A9B38BF"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FDCD9B1"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06984122"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августа 1933 был открыт Беломоро-Балтийский канал (3263,420).</w:t>
      </w:r>
    </w:p>
    <w:p w14:paraId="1A076323"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2872E885"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августа 1933 года СНК СССР принял постановление, согласно которого Беломорско-Балтийский водный путь принимался в эксплуатацию и зачислялся в число действующих внутренних водных путей СССР.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(навигация на канале началась 28 мая 1933 года) (9046).</w:t>
      </w:r>
    </w:p>
    <w:p w14:paraId="5B4EEFA3"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7E4C1854"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августа 1933 г. Постановлением ЦК ВКП(б) ББ канал был официально зачислен в число действующих водных путей Союза ССР. В постановлении особо подчеркивался масштаб проделанной работы. На трассе канала возведено 128 гидротехнических сооружений: 19 шлюзов, 15 плотин, 12 водоспусков, 49 дамб и 33 искусственных канала. Вынуто 21 млн. кубометров грунта, уложено 390 тыс. кубометров бетона и 921 тыс. кубометров ряжевых конструкций. Строительство обошлось почти в 4 раза дешевле первоначальной сметной стоимости и было закончено точно в срок. </w:t>
      </w:r>
    </w:p>
    <w:p w14:paraId="484E3FBB"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 временем к переходу по трассе канала готовилась первая группа военных кораблей Балтийского флота. Хотя официально канал был принят в эксплуатацию только 2 августа 1933 г., интересы обороны страны требовали скорейшего создания на Севере военно-морской группировки (12129).</w:t>
      </w:r>
    </w:p>
    <w:p w14:paraId="7CEFD474" w14:textId="77777777" w:rsidR="00FA6C6A" w:rsidRPr="0044524F" w:rsidRDefault="00FA6C6A" w:rsidP="009654CF">
      <w:pPr>
        <w:spacing w:after="0" w:line="240" w:lineRule="auto"/>
        <w:jc w:val="both"/>
        <w:rPr>
          <w:rFonts w:ascii="Times New Roman" w:hAnsi="Times New Roman"/>
          <w:color w:val="000000" w:themeColor="text1"/>
          <w:sz w:val="16"/>
          <w:szCs w:val="16"/>
        </w:rPr>
      </w:pPr>
    </w:p>
    <w:p w14:paraId="04366ECC" w14:textId="77777777" w:rsidR="00D759F6" w:rsidRPr="0044524F" w:rsidRDefault="00D759F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августа 1933 года строительство Б-Б канала было завершено. Официальное открытие канала состоялось 5 августа 1933 года.</w:t>
      </w:r>
    </w:p>
    <w:p w14:paraId="37454720" w14:textId="77777777" w:rsidR="00D759F6" w:rsidRPr="0044524F" w:rsidRDefault="00D759F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года был организован Беломорско-Балтийский комбинат, в задачи которого входила эксплуатация канала, а также освоение районов, которые окружали канал.</w:t>
      </w:r>
    </w:p>
    <w:p w14:paraId="77C6673F" w14:textId="77777777" w:rsidR="00D759F6" w:rsidRPr="0044524F" w:rsidRDefault="00D759F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 августа 1933 года ББК посетила группа из 120 писателей и художников во главе с Максимом Горьким (также среди них были такие известные писатели, как Алексей Толстой, Михаил Зощенко, Вс. Иванов, Виктор Шкловский, Ильф и Петров, Бруно Ясeнский, Валентин Катаев, Вера Инбер, С. Буданцев, Д. Мирский и </w:t>
      </w:r>
      <w:r w:rsidRPr="0044524F">
        <w:rPr>
          <w:rFonts w:ascii="Times New Roman" w:hAnsi="Times New Roman"/>
          <w:color w:val="000000" w:themeColor="text1"/>
          <w:sz w:val="16"/>
          <w:szCs w:val="16"/>
        </w:rPr>
        <w:lastRenderedPageBreak/>
        <w:t>другие) для освещения строительства канала. Часть из них (36 человек) приняли затем участие в написании 600-страничной книги, посвящённой созданию Беломорканала. Памятная книга "Беломорско-Балтийский канал имени Сталина" была издана в конце 1934 года Гос. издательством "История фабрик и заводов", специально к XVII съезду коммунистической партии. Редакторами книги являлись: Максим Горький, Л. Л. Авербах, С. Г. Фирин.</w:t>
      </w:r>
    </w:p>
    <w:p w14:paraId="1173C6D0" w14:textId="77777777" w:rsidR="00D759F6" w:rsidRPr="0044524F" w:rsidRDefault="00D759F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Официальное открытие первой судоходной навигации состоялось 30 августа 1933 года.</w:t>
      </w:r>
    </w:p>
    <w:p w14:paraId="219ED4D5" w14:textId="77777777" w:rsidR="00D759F6" w:rsidRPr="0044524F" w:rsidRDefault="00D759F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стратегической точки зрения канал предоставил возможность связать Белое и Балтийское моря. Уже в 1933 году Беломорский канал позволил создать защиту северных рубежей государства. До этого времени северо-арктическое побережье практически никем не охранялось и не было защищено от возможного вторжения. Первыми судами, прошедшими по новой водной трассе, стали военные корабли - одни из первых советских субмарин класса "Декабрист".</w:t>
      </w:r>
    </w:p>
    <w:p w14:paraId="6557BCDA" w14:textId="77777777" w:rsidR="00D759F6" w:rsidRPr="0044524F" w:rsidRDefault="00D759F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первую навигацию 1933 года было перевезено 1143 тыс. тонн грузов и 27 тыс. пассажиров. В 1940 году объём перевозок составил около миллиона тонн. Пик грузоперевозок по каналу пришёлся на 1985 год. Тогда по Беломорско-Балтийскому водному пути было перевезено 7 млн. 300 тыс. тонн грузов. Такие объёмы перевозок сохранялись на протяжении последующих пяти лет, после чего интенсивность судоходства по каналу значительно снизилась (21177).</w:t>
      </w:r>
    </w:p>
    <w:p w14:paraId="71F4F05A" w14:textId="77777777" w:rsidR="00D759F6" w:rsidRPr="0044524F" w:rsidRDefault="00D759F6" w:rsidP="009654CF">
      <w:pPr>
        <w:spacing w:after="0" w:line="240" w:lineRule="auto"/>
        <w:jc w:val="both"/>
        <w:rPr>
          <w:rFonts w:ascii="Times New Roman" w:hAnsi="Times New Roman"/>
          <w:color w:val="000000" w:themeColor="text1"/>
          <w:sz w:val="16"/>
          <w:szCs w:val="16"/>
        </w:rPr>
      </w:pPr>
    </w:p>
    <w:p w14:paraId="17B65915" w14:textId="77777777" w:rsidR="00EB25C4" w:rsidRPr="0044524F" w:rsidRDefault="00EB25C4" w:rsidP="009654CF">
      <w:pPr>
        <w:pStyle w:val="rtejustify"/>
        <w:spacing w:before="0" w:after="0"/>
        <w:rPr>
          <w:color w:val="000000" w:themeColor="text1"/>
          <w:sz w:val="16"/>
          <w:szCs w:val="16"/>
        </w:rPr>
      </w:pPr>
      <w:r w:rsidRPr="0044524F">
        <w:rPr>
          <w:color w:val="000000" w:themeColor="text1"/>
          <w:sz w:val="16"/>
          <w:szCs w:val="16"/>
        </w:rPr>
        <w:t>2 августа 1933 Об открытии Беломорско-Балтийского канала имени тов. Сталина</w:t>
      </w:r>
    </w:p>
    <w:p w14:paraId="498446AE" w14:textId="77777777" w:rsidR="00FA6C6A" w:rsidRPr="0044524F" w:rsidRDefault="00FA6C6A" w:rsidP="009654CF">
      <w:pPr>
        <w:pStyle w:val="rtejustify"/>
        <w:spacing w:before="0" w:after="0"/>
        <w:rPr>
          <w:color w:val="000000" w:themeColor="text1"/>
          <w:sz w:val="16"/>
          <w:szCs w:val="16"/>
        </w:rPr>
      </w:pPr>
      <w:r w:rsidRPr="0044524F">
        <w:rPr>
          <w:color w:val="000000" w:themeColor="text1"/>
          <w:sz w:val="16"/>
          <w:szCs w:val="16"/>
        </w:rPr>
        <w:t>Совет народных комиссаров Союза ССР, заслушав доклад председателя правительственной комиссии по приёмке Беломорско-Балтийского водного пути т. К. М. Ленина — постановляет:</w:t>
      </w:r>
    </w:p>
    <w:p w14:paraId="7298690F" w14:textId="77777777" w:rsidR="00FA6C6A" w:rsidRPr="0044524F" w:rsidRDefault="00FA6C6A" w:rsidP="009654CF">
      <w:pPr>
        <w:pStyle w:val="rtejustify"/>
        <w:spacing w:before="0" w:after="0"/>
        <w:rPr>
          <w:color w:val="000000" w:themeColor="text1"/>
          <w:sz w:val="16"/>
          <w:szCs w:val="16"/>
        </w:rPr>
      </w:pPr>
      <w:r w:rsidRPr="0044524F">
        <w:rPr>
          <w:color w:val="000000" w:themeColor="text1"/>
          <w:sz w:val="16"/>
          <w:szCs w:val="16"/>
        </w:rPr>
        <w:t>1. Сооружение Беломорско-Балтийского водного пути, предпринятое по инициативе т. Сталина и открывающее широкие перспективы для дальнейшего экономического и культурного подъёма советской Карелии и всего севера Союза ССР — считать законченным. Создание такого мощного транспортного пути, общим протяжением с подходными каналами в 227 километров от Онежского озера до Белого моря, с расположением на нём комплекса сложных гидротехнических сооружений общим числом 128, из коих: шлюзов — 19, плотин — 15, водоспусков — 12, дамб — 49 и искусственных каналов — 33, обеспечивает установление непосредственной водной связи между Балтийским морем и советским Севером и даёт возможность немедленного приступа к широкой эксплуатации лесных, минерально-рудных, рыбных и прочих природных богатств этого края.</w:t>
      </w:r>
    </w:p>
    <w:p w14:paraId="5C035B36" w14:textId="77777777" w:rsidR="00FA6C6A" w:rsidRPr="0044524F" w:rsidRDefault="00FA6C6A" w:rsidP="009654CF">
      <w:pPr>
        <w:pStyle w:val="rtejustify"/>
        <w:spacing w:before="0" w:after="0"/>
        <w:rPr>
          <w:color w:val="000000" w:themeColor="text1"/>
          <w:sz w:val="16"/>
          <w:szCs w:val="16"/>
        </w:rPr>
      </w:pPr>
      <w:r w:rsidRPr="0044524F">
        <w:rPr>
          <w:color w:val="000000" w:themeColor="text1"/>
          <w:sz w:val="16"/>
          <w:szCs w:val="16"/>
        </w:rPr>
        <w:t>2. Отметить, что сооружение Беломорско-Балтийского водного пути с общим объёмом строительных работ земляных и скальных — 21 миллион кубометров, бетонных — 390 тысяч кубометров и ряжевых — 921 тыс. кубометров — выполнены Беломорстроем под руководством ОГПУ силами осуждённых на разные сроки уголовных в исключительно трудных геологических и гидрологических условиях в рекордно-короткий в практике гидротехнического строительства срок — 20 месяцев.</w:t>
      </w:r>
    </w:p>
    <w:p w14:paraId="07CEFCB7" w14:textId="77777777" w:rsidR="00FA6C6A" w:rsidRPr="0044524F" w:rsidRDefault="00FA6C6A" w:rsidP="009654CF">
      <w:pPr>
        <w:pStyle w:val="rtejustify"/>
        <w:spacing w:before="0" w:after="0"/>
        <w:rPr>
          <w:color w:val="000000" w:themeColor="text1"/>
          <w:sz w:val="16"/>
          <w:szCs w:val="16"/>
        </w:rPr>
      </w:pPr>
      <w:r w:rsidRPr="0044524F">
        <w:rPr>
          <w:color w:val="000000" w:themeColor="text1"/>
          <w:sz w:val="16"/>
          <w:szCs w:val="16"/>
        </w:rPr>
        <w:t>Вместе с тем, Совет народных комиссаров Союза ССР отмечает чёткую и образцовую организацию труда и производства, настойчивую инициативу руководителей строительства в области выбора и широкого внедрения новых стандартных и совершенных инженерных конструкций и максимальное использование при постройке канала местных строительных материалов, с одновременным достижением высокого качества строительных работ и безупречного их внешнего оформления.</w:t>
      </w:r>
    </w:p>
    <w:p w14:paraId="2AC1A0A5" w14:textId="77777777" w:rsidR="00FA6C6A" w:rsidRPr="0044524F" w:rsidRDefault="00FA6C6A" w:rsidP="009654CF">
      <w:pPr>
        <w:pStyle w:val="rtejustify"/>
        <w:spacing w:before="0" w:after="0"/>
        <w:rPr>
          <w:color w:val="000000" w:themeColor="text1"/>
          <w:sz w:val="16"/>
          <w:szCs w:val="16"/>
        </w:rPr>
      </w:pPr>
      <w:r w:rsidRPr="0044524F">
        <w:rPr>
          <w:color w:val="000000" w:themeColor="text1"/>
          <w:sz w:val="16"/>
          <w:szCs w:val="16"/>
        </w:rPr>
        <w:t>Отметить также, что в процессе строительства Беломорско-Балтийского водного пути, на основе правильного проведения исправительно-трудовой политики советской власти, Главное управление исправительно-трудовыми лагерями. ОГПУ провело большую политико-воспитательную работу среди заключённых, получивших трудовые навыки и квалификацию и в целом ряде случаев хороню проявивших себя в работе на строительстве.</w:t>
      </w:r>
    </w:p>
    <w:p w14:paraId="613C9B34" w14:textId="77777777" w:rsidR="00FA6C6A" w:rsidRPr="0044524F" w:rsidRDefault="00FA6C6A" w:rsidP="009654CF">
      <w:pPr>
        <w:pStyle w:val="rtejustify"/>
        <w:spacing w:before="0" w:after="0"/>
        <w:rPr>
          <w:color w:val="000000" w:themeColor="text1"/>
          <w:sz w:val="16"/>
          <w:szCs w:val="16"/>
        </w:rPr>
      </w:pPr>
      <w:r w:rsidRPr="0044524F">
        <w:rPr>
          <w:color w:val="000000" w:themeColor="text1"/>
          <w:sz w:val="16"/>
          <w:szCs w:val="16"/>
        </w:rPr>
        <w:t>В соответствии с этим, возбудить перед Центральным исполнительным комитетом Союза советских социалистических республик ходатайство о награждении наиболее, заслужённых и отличившихся работников, инженеров и руководителей Беломорстроя.</w:t>
      </w:r>
    </w:p>
    <w:p w14:paraId="6D1AFBBF" w14:textId="77777777" w:rsidR="00FA6C6A" w:rsidRPr="0044524F" w:rsidRDefault="00FA6C6A" w:rsidP="009654CF">
      <w:pPr>
        <w:pStyle w:val="rtejustify"/>
        <w:spacing w:before="0" w:after="0"/>
        <w:rPr>
          <w:color w:val="000000" w:themeColor="text1"/>
          <w:sz w:val="16"/>
          <w:szCs w:val="16"/>
        </w:rPr>
      </w:pPr>
      <w:r w:rsidRPr="0044524F">
        <w:rPr>
          <w:color w:val="000000" w:themeColor="text1"/>
          <w:sz w:val="16"/>
          <w:szCs w:val="16"/>
        </w:rPr>
        <w:t>3. Работу правительственной комиссии по приёмке Беломорско-Балтийского водного пути одобрить и считать законченной.</w:t>
      </w:r>
    </w:p>
    <w:p w14:paraId="3F38B0C5" w14:textId="77777777" w:rsidR="00FA6C6A" w:rsidRPr="0044524F" w:rsidRDefault="00FA6C6A" w:rsidP="009654CF">
      <w:pPr>
        <w:pStyle w:val="rtejustify"/>
        <w:spacing w:before="0" w:after="0"/>
        <w:rPr>
          <w:color w:val="000000" w:themeColor="text1"/>
          <w:sz w:val="16"/>
          <w:szCs w:val="16"/>
        </w:rPr>
      </w:pPr>
      <w:r w:rsidRPr="0044524F">
        <w:rPr>
          <w:color w:val="000000" w:themeColor="text1"/>
          <w:sz w:val="16"/>
          <w:szCs w:val="16"/>
        </w:rPr>
        <w:t>Генеральный акт приёмки Беломорско-Балтийского водного пути опубликовать.</w:t>
      </w:r>
    </w:p>
    <w:p w14:paraId="7CE23C12" w14:textId="77777777" w:rsidR="00FA6C6A" w:rsidRPr="0044524F" w:rsidRDefault="00FA6C6A" w:rsidP="009654CF">
      <w:pPr>
        <w:pStyle w:val="rtejustify"/>
        <w:spacing w:before="0" w:after="0"/>
        <w:rPr>
          <w:color w:val="000000" w:themeColor="text1"/>
          <w:sz w:val="16"/>
          <w:szCs w:val="16"/>
        </w:rPr>
      </w:pPr>
      <w:r w:rsidRPr="0044524F">
        <w:rPr>
          <w:color w:val="000000" w:themeColor="text1"/>
          <w:sz w:val="16"/>
          <w:szCs w:val="16"/>
        </w:rPr>
        <w:t>4. Принять Беломорско-Балтийский водный путь в эксплоатацию с присвоением ему наименования «Беломорско-Балтийский канал имени тов. Сталина» и считать его открытым для плавания судов озёрно-мор- ского типа.</w:t>
      </w:r>
    </w:p>
    <w:p w14:paraId="0E277BD3" w14:textId="77777777" w:rsidR="00FA6C6A" w:rsidRPr="0044524F" w:rsidRDefault="00FA6C6A" w:rsidP="009654CF">
      <w:pPr>
        <w:pStyle w:val="rtejustify"/>
        <w:spacing w:before="0" w:after="0"/>
        <w:rPr>
          <w:color w:val="000000" w:themeColor="text1"/>
          <w:sz w:val="16"/>
          <w:szCs w:val="16"/>
        </w:rPr>
      </w:pPr>
      <w:r w:rsidRPr="0044524F">
        <w:rPr>
          <w:color w:val="000000" w:themeColor="text1"/>
          <w:sz w:val="16"/>
          <w:szCs w:val="16"/>
        </w:rPr>
        <w:t>Зачислить Беломорско-Балтийский канал имени тов. Сталина в число действующих внутренних водных путей Союза ССР.</w:t>
      </w:r>
    </w:p>
    <w:p w14:paraId="1BC5F5BE" w14:textId="77777777" w:rsidR="00FA6C6A" w:rsidRPr="0044524F" w:rsidRDefault="00FA6C6A" w:rsidP="009654CF">
      <w:pPr>
        <w:pStyle w:val="rteright"/>
        <w:spacing w:before="0" w:after="0"/>
        <w:jc w:val="both"/>
        <w:rPr>
          <w:color w:val="000000" w:themeColor="text1"/>
          <w:sz w:val="16"/>
          <w:szCs w:val="16"/>
        </w:rPr>
      </w:pPr>
      <w:r w:rsidRPr="0044524F">
        <w:rPr>
          <w:color w:val="000000" w:themeColor="text1"/>
          <w:sz w:val="16"/>
          <w:szCs w:val="16"/>
        </w:rPr>
        <w:t>Председатель СНК Союза ССР В. Молотов (Скрябин).</w:t>
      </w:r>
    </w:p>
    <w:p w14:paraId="14713452" w14:textId="77777777" w:rsidR="00FA6C6A" w:rsidRPr="0044524F" w:rsidRDefault="00FA6C6A" w:rsidP="009654CF">
      <w:pPr>
        <w:pStyle w:val="rteright"/>
        <w:spacing w:before="0" w:after="0"/>
        <w:jc w:val="both"/>
        <w:rPr>
          <w:color w:val="000000" w:themeColor="text1"/>
          <w:sz w:val="16"/>
          <w:szCs w:val="16"/>
        </w:rPr>
      </w:pPr>
      <w:r w:rsidRPr="0044524F">
        <w:rPr>
          <w:color w:val="000000" w:themeColor="text1"/>
          <w:sz w:val="16"/>
          <w:szCs w:val="16"/>
        </w:rPr>
        <w:t>Управляющий делами СНК Союза ССР И. Мирошников.</w:t>
      </w:r>
    </w:p>
    <w:p w14:paraId="55F0ED67" w14:textId="77777777" w:rsidR="00FA6C6A" w:rsidRPr="0044524F" w:rsidRDefault="00FA6C6A" w:rsidP="009654CF">
      <w:pPr>
        <w:pStyle w:val="ae"/>
        <w:spacing w:before="0" w:after="0"/>
        <w:jc w:val="both"/>
        <w:rPr>
          <w:color w:val="000000" w:themeColor="text1"/>
          <w:sz w:val="16"/>
          <w:szCs w:val="16"/>
        </w:rPr>
      </w:pPr>
      <w:r w:rsidRPr="0044524F">
        <w:rPr>
          <w:color w:val="000000" w:themeColor="text1"/>
          <w:sz w:val="16"/>
          <w:szCs w:val="16"/>
        </w:rPr>
        <w:t>Москва, Кремль. 2 августа 1933 г.</w:t>
      </w:r>
    </w:p>
    <w:p w14:paraId="16D06A6D" w14:textId="77777777" w:rsidR="00FA6C6A" w:rsidRPr="0044524F" w:rsidRDefault="00FA6C6A" w:rsidP="009654CF">
      <w:pPr>
        <w:pStyle w:val="rtecenter"/>
        <w:spacing w:before="0" w:after="0"/>
        <w:jc w:val="both"/>
        <w:rPr>
          <w:color w:val="000000" w:themeColor="text1"/>
          <w:sz w:val="16"/>
          <w:szCs w:val="16"/>
        </w:rPr>
      </w:pPr>
      <w:r w:rsidRPr="0044524F">
        <w:rPr>
          <w:color w:val="000000" w:themeColor="text1"/>
          <w:sz w:val="16"/>
          <w:szCs w:val="16"/>
        </w:rPr>
        <w:t>Опубликовано в № 193 Известий ЦИК Союза ССР и ВЦИК от 5 августа 1933 г. (12586)</w:t>
      </w:r>
    </w:p>
    <w:p w14:paraId="548FA18D" w14:textId="77777777" w:rsidR="00EB25C4" w:rsidRPr="0044524F" w:rsidRDefault="00EB25C4" w:rsidP="009654CF">
      <w:pPr>
        <w:spacing w:after="0" w:line="240" w:lineRule="auto"/>
        <w:jc w:val="both"/>
        <w:rPr>
          <w:rFonts w:ascii="Times New Roman" w:hAnsi="Times New Roman"/>
          <w:iCs/>
          <w:color w:val="000000" w:themeColor="text1"/>
          <w:sz w:val="16"/>
          <w:szCs w:val="16"/>
        </w:rPr>
      </w:pPr>
    </w:p>
    <w:p w14:paraId="253582C7"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0E6DCFE"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03B8C7C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августа 1933г. в саду им. Горького г. Ижевска прошло массовое гуляние, посвященное выпуску Ижевским мотоциклетным заводом 5-ти опытных мотоциклов. Освоение производства мотоциклов шло не просто. По сути, без какой-либо иностранной помощи, создавалась новая отрасль отечественного машиностроения. В Удмуртии развитие машиностроения и, в частности, мотоциклостроения рассматривалось как магистральный путь для преодоления экономической отсталости. В кратчайшие сроки задача по налаживанию массового выпуска мотоциклов была решена успешно. Об этом говорят следующие цифры. Если в 1933 г. всего было выпущено 4 мотоцикла модели НАТИ-750 и 1 мотоцикл Иж-7, в 1934 – 111 мотоциклов Иж-7, то в 1937 г. уже 3010 машин. За предвоенные годы было произведено 17 тысяч мотоциклов (Иж-7, Иж-8, Иж-9). В декабре 1941 г. выпуск мотоциклов был приостановлен в связи с освоением нового изделия – станкового пулемета "Максим" (11937).</w:t>
      </w:r>
    </w:p>
    <w:p w14:paraId="62D5E0E8" w14:textId="59B9340E" w:rsidR="00487C9C" w:rsidRPr="0044524F" w:rsidRDefault="00487C9C" w:rsidP="009654CF">
      <w:pPr>
        <w:spacing w:after="0" w:line="240" w:lineRule="auto"/>
        <w:jc w:val="both"/>
        <w:rPr>
          <w:rFonts w:ascii="Times New Roman" w:hAnsi="Times New Roman"/>
          <w:color w:val="000000" w:themeColor="text1"/>
          <w:sz w:val="16"/>
          <w:szCs w:val="16"/>
        </w:rPr>
      </w:pPr>
    </w:p>
    <w:p w14:paraId="310ED354" w14:textId="7CDB679C" w:rsidR="00270580" w:rsidRPr="0044524F" w:rsidRDefault="00270580"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Внешняя политика:</w:t>
      </w:r>
    </w:p>
    <w:p w14:paraId="1DC76B35" w14:textId="77777777" w:rsidR="00270580" w:rsidRPr="0044524F" w:rsidRDefault="00270580" w:rsidP="009654CF">
      <w:pPr>
        <w:spacing w:after="0" w:line="240" w:lineRule="auto"/>
        <w:jc w:val="both"/>
        <w:rPr>
          <w:rFonts w:ascii="Times New Roman" w:hAnsi="Times New Roman"/>
          <w:i/>
          <w:iCs/>
          <w:color w:val="000000" w:themeColor="text1"/>
          <w:sz w:val="16"/>
          <w:szCs w:val="16"/>
        </w:rPr>
      </w:pPr>
    </w:p>
    <w:p w14:paraId="2B6F4346"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августа 1933 опросом членов ПБ</w:t>
      </w:r>
    </w:p>
    <w:p w14:paraId="66748D26"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 - Вопрос_т. Ворошилова</w:t>
      </w:r>
    </w:p>
    <w:p w14:paraId="2057D7E7"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Послать на итальянские маневры и у нас принять 2-3 человек.</w:t>
      </w:r>
    </w:p>
    <w:p w14:paraId="65027E60"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Принять у нас (осенью) и послать в Италию 2-3 командиров для присутствия на упражнениях флотов.</w:t>
      </w:r>
    </w:p>
    <w:p w14:paraId="2BB71154"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После окончания летней учебы произвести учебный поход отряда кораблей в Средиземное море, с заходом в Стамбул, Грецию и один из итальянских портов.</w:t>
      </w:r>
    </w:p>
    <w:p w14:paraId="29207EEF"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т.Ворошилову.</w:t>
      </w:r>
    </w:p>
    <w:p w14:paraId="5EB2723C"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состоялось заседание ПБ и был оформлен протокол № 143 (22993)</w:t>
      </w:r>
    </w:p>
    <w:p w14:paraId="7ED558B6" w14:textId="77777777" w:rsidR="00270580" w:rsidRPr="0044524F" w:rsidRDefault="00270580" w:rsidP="009654CF">
      <w:pPr>
        <w:spacing w:after="0" w:line="240" w:lineRule="auto"/>
        <w:jc w:val="both"/>
        <w:rPr>
          <w:rFonts w:ascii="Times New Roman" w:hAnsi="Times New Roman"/>
          <w:color w:val="000000" w:themeColor="text1"/>
          <w:sz w:val="16"/>
          <w:szCs w:val="16"/>
        </w:rPr>
      </w:pPr>
    </w:p>
    <w:p w14:paraId="42221187"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0073B71"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25148EC7" w14:textId="77777777" w:rsidR="00270580" w:rsidRPr="0044524F" w:rsidRDefault="00270580" w:rsidP="009654CF">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4524F">
        <w:rPr>
          <w:rFonts w:ascii="Times New Roman" w:hAnsi="Times New Roman" w:cs="Times New Roman"/>
          <w:color w:val="000000" w:themeColor="text1"/>
          <w:spacing w:val="0"/>
          <w:sz w:val="16"/>
          <w:szCs w:val="16"/>
        </w:rPr>
        <w:t>4 августа 1933 военпреды завода №1 передали ДГ- 52 представителям НИИ ВВС. К этому моменту опытный ИП-1 совершил 64 полета на завод</w:t>
      </w:r>
      <w:r w:rsidRPr="0044524F">
        <w:rPr>
          <w:rFonts w:ascii="Times New Roman" w:hAnsi="Times New Roman" w:cs="Times New Roman"/>
          <w:color w:val="000000" w:themeColor="text1"/>
          <w:spacing w:val="0"/>
          <w:sz w:val="16"/>
          <w:szCs w:val="16"/>
        </w:rPr>
        <w:softHyphen/>
        <w:t>ских и государственных испытаниях.</w:t>
      </w:r>
    </w:p>
    <w:p w14:paraId="20B638D8" w14:textId="77777777" w:rsidR="00270580" w:rsidRPr="0044524F" w:rsidRDefault="00270580"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Главная цель испытаний летней серии - определение живучести элементов конструк</w:t>
      </w:r>
      <w:r w:rsidRPr="0044524F">
        <w:rPr>
          <w:rFonts w:ascii="Times New Roman" w:hAnsi="Times New Roman"/>
          <w:color w:val="000000" w:themeColor="text1"/>
          <w:sz w:val="16"/>
          <w:szCs w:val="16"/>
        </w:rPr>
        <w:softHyphen/>
        <w:t>ции при стрельбе из АПК, а также выносливо</w:t>
      </w:r>
      <w:r w:rsidRPr="0044524F">
        <w:rPr>
          <w:rFonts w:ascii="Times New Roman" w:hAnsi="Times New Roman"/>
          <w:color w:val="000000" w:themeColor="text1"/>
          <w:sz w:val="16"/>
          <w:szCs w:val="16"/>
        </w:rPr>
        <w:softHyphen/>
        <w:t>сти шасси и механизмов уборки выпуска во время интенсивных полетов. Кроме того, предстояло оценить работу дифференциаль</w:t>
      </w:r>
      <w:r w:rsidRPr="0044524F">
        <w:rPr>
          <w:rFonts w:ascii="Times New Roman" w:hAnsi="Times New Roman"/>
          <w:color w:val="000000" w:themeColor="text1"/>
          <w:sz w:val="16"/>
          <w:szCs w:val="16"/>
        </w:rPr>
        <w:softHyphen/>
        <w:t>ного механизма управления элеронов и их эффективность на посадке. Военные посчи</w:t>
      </w:r>
      <w:r w:rsidRPr="0044524F">
        <w:rPr>
          <w:rFonts w:ascii="Times New Roman" w:hAnsi="Times New Roman"/>
          <w:color w:val="000000" w:themeColor="text1"/>
          <w:sz w:val="16"/>
          <w:szCs w:val="16"/>
        </w:rPr>
        <w:softHyphen/>
        <w:t>тали доработки капотов достаточно серьез</w:t>
      </w:r>
      <w:r w:rsidRPr="0044524F">
        <w:rPr>
          <w:rFonts w:ascii="Times New Roman" w:hAnsi="Times New Roman"/>
          <w:color w:val="000000" w:themeColor="text1"/>
          <w:sz w:val="16"/>
          <w:szCs w:val="16"/>
        </w:rPr>
        <w:softHyphen/>
        <w:t>ными. Было принято решение провести испытания мотоустановки по отдельной про</w:t>
      </w:r>
      <w:r w:rsidRPr="0044524F">
        <w:rPr>
          <w:rFonts w:ascii="Times New Roman" w:hAnsi="Times New Roman"/>
          <w:color w:val="000000" w:themeColor="text1"/>
          <w:sz w:val="16"/>
          <w:szCs w:val="16"/>
        </w:rPr>
        <w:softHyphen/>
        <w:t>грамме. По сравнению с заводскими и зимни</w:t>
      </w:r>
      <w:r w:rsidRPr="0044524F">
        <w:rPr>
          <w:rFonts w:ascii="Times New Roman" w:hAnsi="Times New Roman"/>
          <w:color w:val="000000" w:themeColor="text1"/>
          <w:sz w:val="16"/>
          <w:szCs w:val="16"/>
        </w:rPr>
        <w:softHyphen/>
        <w:t>ми испытаниями, размах летних впечатлял. Было выполнено 344 зачетных полета, из них с уборкой шасси - 263. 55 циклов уборки- выпуска провели на земле. Как правило, за летный день выполняли более 20 вылетов, а 29 августа ДГ-52 сделал 67 посадок. В 47 полетах в этот день выполнили уборку шасси. Несмотря на достаточно высокую оценку зимой взлетно-посадочных устройств, не все пошло гладко. Уже после шести полетов во время приемки правую амортстойку сняли для ремонта - травил воздух в местах пайки оловом. В ходе испытаний стойки демонти</w:t>
      </w:r>
      <w:r w:rsidRPr="0044524F">
        <w:rPr>
          <w:rFonts w:ascii="Times New Roman" w:hAnsi="Times New Roman"/>
          <w:color w:val="000000" w:themeColor="text1"/>
          <w:sz w:val="16"/>
          <w:szCs w:val="16"/>
        </w:rPr>
        <w:softHyphen/>
        <w:t>ровали еще не раз. В итоге конструкцию некоторых узлов пришлось изменить. В местах утечки пайку заменили резьбовыми соединениями. Неудачным оказалось креп</w:t>
      </w:r>
      <w:r w:rsidRPr="0044524F">
        <w:rPr>
          <w:rFonts w:ascii="Times New Roman" w:hAnsi="Times New Roman"/>
          <w:color w:val="000000" w:themeColor="text1"/>
          <w:sz w:val="16"/>
          <w:szCs w:val="16"/>
        </w:rPr>
        <w:softHyphen/>
        <w:t>ление колес и оси вращения лыж: их невоз</w:t>
      </w:r>
      <w:r w:rsidRPr="0044524F">
        <w:rPr>
          <w:rFonts w:ascii="Times New Roman" w:hAnsi="Times New Roman"/>
          <w:color w:val="000000" w:themeColor="text1"/>
          <w:sz w:val="16"/>
          <w:szCs w:val="16"/>
        </w:rPr>
        <w:softHyphen/>
        <w:t>можно было разобрать без демонтажа баш</w:t>
      </w:r>
      <w:r w:rsidRPr="0044524F">
        <w:rPr>
          <w:rFonts w:ascii="Times New Roman" w:hAnsi="Times New Roman"/>
          <w:color w:val="000000" w:themeColor="text1"/>
          <w:sz w:val="16"/>
          <w:szCs w:val="16"/>
        </w:rPr>
        <w:softHyphen/>
        <w:t>маков передней вилки. На вполне заурядную операцию - замену колеса - требовалось слишком много времени и трудозатрат.</w:t>
      </w:r>
    </w:p>
    <w:p w14:paraId="09AF7410" w14:textId="77777777" w:rsidR="00270580" w:rsidRPr="0044524F" w:rsidRDefault="00270580" w:rsidP="009654CF">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4524F">
        <w:rPr>
          <w:rFonts w:ascii="Times New Roman" w:hAnsi="Times New Roman" w:cs="Times New Roman"/>
          <w:color w:val="000000" w:themeColor="text1"/>
          <w:spacing w:val="0"/>
          <w:sz w:val="16"/>
          <w:szCs w:val="16"/>
        </w:rPr>
        <w:t>На испытания винтомоторной группы отвели всего пять полетов. Ответственным исполнителем был назначен инженер 4-го отделения НИИ ВВС Коротнев. Измеритель</w:t>
      </w:r>
      <w:r w:rsidRPr="0044524F">
        <w:rPr>
          <w:rFonts w:ascii="Times New Roman" w:hAnsi="Times New Roman" w:cs="Times New Roman"/>
          <w:color w:val="000000" w:themeColor="text1"/>
          <w:spacing w:val="0"/>
          <w:sz w:val="16"/>
          <w:szCs w:val="16"/>
        </w:rPr>
        <w:softHyphen/>
        <w:t>ную аппаратуру смонтировали, пока самолет в первый раз ждал правую стойку из ремонта. Несмотря на скромное число вылетов, объем работ был достаточно велик. Удалось опре</w:t>
      </w:r>
      <w:r w:rsidRPr="0044524F">
        <w:rPr>
          <w:rFonts w:ascii="Times New Roman" w:hAnsi="Times New Roman" w:cs="Times New Roman"/>
          <w:color w:val="000000" w:themeColor="text1"/>
          <w:spacing w:val="0"/>
          <w:sz w:val="16"/>
          <w:szCs w:val="16"/>
        </w:rPr>
        <w:softHyphen/>
        <w:t>делить равномерность обдува головок цилиндров на различных высотах полета и режимах работы мотора, а также эффектив</w:t>
      </w:r>
      <w:r w:rsidRPr="0044524F">
        <w:rPr>
          <w:rFonts w:ascii="Times New Roman" w:hAnsi="Times New Roman" w:cs="Times New Roman"/>
          <w:color w:val="000000" w:themeColor="text1"/>
          <w:spacing w:val="0"/>
          <w:sz w:val="16"/>
          <w:szCs w:val="16"/>
        </w:rPr>
        <w:softHyphen/>
        <w:t>ность работы маслосистемы. Работу системы бензопитания с малым остатком горючего всесторонне оценили при интенсивном маневрировании на виражах, выводе из пикирования и горках. Помимо этого были замерены температуры в зоне установки маг</w:t>
      </w:r>
      <w:r w:rsidRPr="0044524F">
        <w:rPr>
          <w:rFonts w:ascii="Times New Roman" w:hAnsi="Times New Roman" w:cs="Times New Roman"/>
          <w:color w:val="000000" w:themeColor="text1"/>
          <w:spacing w:val="0"/>
          <w:sz w:val="16"/>
          <w:szCs w:val="16"/>
        </w:rPr>
        <w:softHyphen/>
        <w:t>нето и динамо-машины, интенсивность подо</w:t>
      </w:r>
      <w:r w:rsidRPr="0044524F">
        <w:rPr>
          <w:rFonts w:ascii="Times New Roman" w:hAnsi="Times New Roman" w:cs="Times New Roman"/>
          <w:color w:val="000000" w:themeColor="text1"/>
          <w:spacing w:val="0"/>
          <w:sz w:val="16"/>
          <w:szCs w:val="16"/>
        </w:rPr>
        <w:softHyphen/>
        <w:t>грева всасываемого в карбюратор воздуха, а также установлены режимы, на которых воз</w:t>
      </w:r>
      <w:r w:rsidRPr="0044524F">
        <w:rPr>
          <w:rFonts w:ascii="Times New Roman" w:hAnsi="Times New Roman" w:cs="Times New Roman"/>
          <w:color w:val="000000" w:themeColor="text1"/>
          <w:spacing w:val="0"/>
          <w:sz w:val="16"/>
          <w:szCs w:val="16"/>
        </w:rPr>
        <w:softHyphen/>
        <w:t>никала тряска мотора.</w:t>
      </w:r>
    </w:p>
    <w:p w14:paraId="2B044921" w14:textId="77777777" w:rsidR="00270580" w:rsidRPr="0044524F" w:rsidRDefault="00270580" w:rsidP="009654CF">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4524F">
        <w:rPr>
          <w:rFonts w:ascii="Times New Roman" w:hAnsi="Times New Roman" w:cs="Times New Roman"/>
          <w:color w:val="000000" w:themeColor="text1"/>
          <w:spacing w:val="0"/>
          <w:sz w:val="16"/>
          <w:szCs w:val="16"/>
        </w:rPr>
        <w:t>Претензий не было только к условиям работы магнето и динамо-машины. Масло перегревалось - сказывалось отсутствие маслорадиатора, на что, кстати, указывал представитель фирмы Райт. Температура головок цилиндров падала до 100 градусов на высоте выше 4000 метров, при максималь</w:t>
      </w:r>
      <w:r w:rsidRPr="0044524F">
        <w:rPr>
          <w:rFonts w:ascii="Times New Roman" w:hAnsi="Times New Roman" w:cs="Times New Roman"/>
          <w:color w:val="000000" w:themeColor="text1"/>
          <w:spacing w:val="0"/>
          <w:sz w:val="16"/>
          <w:szCs w:val="16"/>
        </w:rPr>
        <w:softHyphen/>
        <w:t>но допустимом значении 260 градусов, при этом приемистость мотора становилась нена</w:t>
      </w:r>
      <w:r w:rsidRPr="0044524F">
        <w:rPr>
          <w:rFonts w:ascii="Times New Roman" w:hAnsi="Times New Roman" w:cs="Times New Roman"/>
          <w:color w:val="000000" w:themeColor="text1"/>
          <w:spacing w:val="0"/>
          <w:sz w:val="16"/>
          <w:szCs w:val="16"/>
        </w:rPr>
        <w:softHyphen/>
        <w:t>дежной. При остатке бензина менее 40 кг мотор начинал давать перебои. Для нормаль</w:t>
      </w:r>
      <w:r w:rsidRPr="0044524F">
        <w:rPr>
          <w:rFonts w:ascii="Times New Roman" w:hAnsi="Times New Roman" w:cs="Times New Roman"/>
          <w:color w:val="000000" w:themeColor="text1"/>
          <w:spacing w:val="0"/>
          <w:sz w:val="16"/>
          <w:szCs w:val="16"/>
        </w:rPr>
        <w:softHyphen/>
        <w:t>ного выполнения фигур высшего пилотажа требовалось, по крайней мере, 50 кг топлива. Подогрев воздуха, поступающего в карбюра</w:t>
      </w:r>
      <w:r w:rsidRPr="0044524F">
        <w:rPr>
          <w:rFonts w:ascii="Times New Roman" w:hAnsi="Times New Roman" w:cs="Times New Roman"/>
          <w:color w:val="000000" w:themeColor="text1"/>
          <w:spacing w:val="0"/>
          <w:sz w:val="16"/>
          <w:szCs w:val="16"/>
        </w:rPr>
        <w:softHyphen/>
        <w:t>тор, признали недостаточным.</w:t>
      </w:r>
    </w:p>
    <w:p w14:paraId="5E763D1F" w14:textId="77777777" w:rsidR="00270580" w:rsidRPr="0044524F" w:rsidRDefault="00270580" w:rsidP="009654CF">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4524F">
        <w:rPr>
          <w:rFonts w:ascii="Times New Roman" w:hAnsi="Times New Roman" w:cs="Times New Roman"/>
          <w:color w:val="000000" w:themeColor="text1"/>
          <w:spacing w:val="0"/>
          <w:sz w:val="16"/>
          <w:szCs w:val="16"/>
        </w:rPr>
        <w:lastRenderedPageBreak/>
        <w:t>Военные не делали категоричных выво</w:t>
      </w:r>
      <w:r w:rsidRPr="0044524F">
        <w:rPr>
          <w:rFonts w:ascii="Times New Roman" w:hAnsi="Times New Roman" w:cs="Times New Roman"/>
          <w:color w:val="000000" w:themeColor="text1"/>
          <w:spacing w:val="0"/>
          <w:sz w:val="16"/>
          <w:szCs w:val="16"/>
        </w:rPr>
        <w:softHyphen/>
        <w:t>дов, однако, по сути, мотоустановку они забраковали. В заключении к отчету было сказано: «...вследствие перегрева масла, переохлаждения цилиндров и дефекта пита</w:t>
      </w:r>
      <w:r w:rsidRPr="0044524F">
        <w:rPr>
          <w:rFonts w:ascii="Times New Roman" w:hAnsi="Times New Roman" w:cs="Times New Roman"/>
          <w:color w:val="000000" w:themeColor="text1"/>
          <w:spacing w:val="0"/>
          <w:sz w:val="16"/>
          <w:szCs w:val="16"/>
        </w:rPr>
        <w:softHyphen/>
        <w:t>ния горючим, винтомоторная группа самоле</w:t>
      </w:r>
      <w:r w:rsidRPr="0044524F">
        <w:rPr>
          <w:rFonts w:ascii="Times New Roman" w:hAnsi="Times New Roman" w:cs="Times New Roman"/>
          <w:color w:val="000000" w:themeColor="text1"/>
          <w:spacing w:val="0"/>
          <w:sz w:val="16"/>
          <w:szCs w:val="16"/>
        </w:rPr>
        <w:softHyphen/>
        <w:t>та ИП-1 с мотором «Райт-Циклон» не обес</w:t>
      </w:r>
      <w:r w:rsidRPr="0044524F">
        <w:rPr>
          <w:rFonts w:ascii="Times New Roman" w:hAnsi="Times New Roman" w:cs="Times New Roman"/>
          <w:color w:val="000000" w:themeColor="text1"/>
          <w:spacing w:val="0"/>
          <w:sz w:val="16"/>
          <w:szCs w:val="16"/>
        </w:rPr>
        <w:softHyphen/>
        <w:t>печивает надежной эксплуатации и снижает боевые качества самолета». В серию пошел иной, пятый вариант капотов с выхлопными коллекторами вместо индивидуальных патрубков. Топливную систему тоже переде</w:t>
      </w:r>
      <w:r w:rsidRPr="0044524F">
        <w:rPr>
          <w:rFonts w:ascii="Times New Roman" w:hAnsi="Times New Roman" w:cs="Times New Roman"/>
          <w:color w:val="000000" w:themeColor="text1"/>
          <w:spacing w:val="0"/>
          <w:sz w:val="16"/>
          <w:szCs w:val="16"/>
        </w:rPr>
        <w:softHyphen/>
        <w:t>лали.</w:t>
      </w:r>
    </w:p>
    <w:p w14:paraId="7913A8B2" w14:textId="77777777" w:rsidR="00270580" w:rsidRPr="0044524F" w:rsidRDefault="00270580" w:rsidP="009654CF">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4524F">
        <w:rPr>
          <w:rFonts w:ascii="Times New Roman" w:hAnsi="Times New Roman" w:cs="Times New Roman"/>
          <w:color w:val="000000" w:themeColor="text1"/>
          <w:spacing w:val="0"/>
          <w:sz w:val="16"/>
          <w:szCs w:val="16"/>
        </w:rPr>
        <w:t>Зависающие элероны оказались мало</w:t>
      </w:r>
      <w:r w:rsidRPr="0044524F">
        <w:rPr>
          <w:rFonts w:ascii="Times New Roman" w:hAnsi="Times New Roman" w:cs="Times New Roman"/>
          <w:color w:val="000000" w:themeColor="text1"/>
          <w:spacing w:val="0"/>
          <w:sz w:val="16"/>
          <w:szCs w:val="16"/>
        </w:rPr>
        <w:softHyphen/>
        <w:t>эффективны. При отклонении элеронов на 15-17 градусов посадочная скорость умень</w:t>
      </w:r>
      <w:r w:rsidRPr="0044524F">
        <w:rPr>
          <w:rFonts w:ascii="Times New Roman" w:hAnsi="Times New Roman" w:cs="Times New Roman"/>
          <w:color w:val="000000" w:themeColor="text1"/>
          <w:spacing w:val="0"/>
          <w:sz w:val="16"/>
          <w:szCs w:val="16"/>
        </w:rPr>
        <w:softHyphen/>
        <w:t xml:space="preserve">шалась всего на 5 км/ч - со </w:t>
      </w:r>
      <w:r w:rsidRPr="0044524F">
        <w:rPr>
          <w:rStyle w:val="142"/>
          <w:rFonts w:ascii="Times New Roman" w:hAnsi="Times New Roman" w:cs="Times New Roman"/>
          <w:color w:val="000000" w:themeColor="text1"/>
          <w:sz w:val="16"/>
          <w:szCs w:val="16"/>
        </w:rPr>
        <w:t>115 до 110</w:t>
      </w:r>
      <w:r w:rsidRPr="0044524F">
        <w:rPr>
          <w:rFonts w:ascii="Times New Roman" w:hAnsi="Times New Roman" w:cs="Times New Roman"/>
          <w:color w:val="000000" w:themeColor="text1"/>
          <w:spacing w:val="0"/>
          <w:sz w:val="16"/>
          <w:szCs w:val="16"/>
        </w:rPr>
        <w:t xml:space="preserve"> км/ч, при этом траектория снижения становилась несколько круче, а от пилота требовалось повышенное внимание из-за значительно худшей управляемости. Для освобождения конструкции от лишних механизмов, умень</w:t>
      </w:r>
      <w:r w:rsidRPr="0044524F">
        <w:rPr>
          <w:rFonts w:ascii="Times New Roman" w:hAnsi="Times New Roman" w:cs="Times New Roman"/>
          <w:color w:val="000000" w:themeColor="text1"/>
          <w:spacing w:val="0"/>
          <w:sz w:val="16"/>
          <w:szCs w:val="16"/>
        </w:rPr>
        <w:softHyphen/>
        <w:t>шения веса самолета и повышения безопас</w:t>
      </w:r>
      <w:r w:rsidRPr="0044524F">
        <w:rPr>
          <w:rFonts w:ascii="Times New Roman" w:hAnsi="Times New Roman" w:cs="Times New Roman"/>
          <w:color w:val="000000" w:themeColor="text1"/>
          <w:spacing w:val="0"/>
          <w:sz w:val="16"/>
          <w:szCs w:val="16"/>
        </w:rPr>
        <w:softHyphen/>
        <w:t>ности полета Федрови вообще предложил…</w:t>
      </w:r>
    </w:p>
    <w:p w14:paraId="023BBE16" w14:textId="77777777" w:rsidR="00270580" w:rsidRPr="0044524F" w:rsidRDefault="00270580" w:rsidP="009654CF">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4524F">
        <w:rPr>
          <w:rFonts w:ascii="Times New Roman" w:hAnsi="Times New Roman" w:cs="Times New Roman"/>
          <w:color w:val="000000" w:themeColor="text1"/>
          <w:spacing w:val="0"/>
          <w:sz w:val="16"/>
          <w:szCs w:val="16"/>
        </w:rPr>
        <w:t>Кульминацией испытаний должны были стать стрельбы из АПК. Особых замечаний к техническому состоянию планера самолета перед этим этапом испытаний не было, тем не менее, удалось произвести только 29 выстре</w:t>
      </w:r>
      <w:r w:rsidRPr="0044524F">
        <w:rPr>
          <w:rFonts w:ascii="Times New Roman" w:hAnsi="Times New Roman" w:cs="Times New Roman"/>
          <w:color w:val="000000" w:themeColor="text1"/>
          <w:spacing w:val="0"/>
          <w:sz w:val="16"/>
          <w:szCs w:val="16"/>
        </w:rPr>
        <w:softHyphen/>
        <w:t>лов. 17 августа было выполнено 29 полетов по программе, в том числе пять - на испыта</w:t>
      </w:r>
      <w:r w:rsidRPr="0044524F">
        <w:rPr>
          <w:rFonts w:ascii="Times New Roman" w:hAnsi="Times New Roman" w:cs="Times New Roman"/>
          <w:color w:val="000000" w:themeColor="text1"/>
          <w:spacing w:val="0"/>
          <w:sz w:val="16"/>
          <w:szCs w:val="16"/>
        </w:rPr>
        <w:softHyphen/>
        <w:t>ния прицела. 18 числа по понятным причи</w:t>
      </w:r>
      <w:r w:rsidRPr="0044524F">
        <w:rPr>
          <w:rFonts w:ascii="Times New Roman" w:hAnsi="Times New Roman" w:cs="Times New Roman"/>
          <w:color w:val="000000" w:themeColor="text1"/>
          <w:spacing w:val="0"/>
          <w:sz w:val="16"/>
          <w:szCs w:val="16"/>
        </w:rPr>
        <w:softHyphen/>
        <w:t>нам полетов не было, а на следующий день в двух из двенадцати вылетов опробовали ДРП. При первой стрельбе выполнили 5 выстрелов из левого орудия и 7 из правого. После посадки обнаружили значительные деформации обшивки стабилизатора, рулей направления и высоты. Кроме того появи</w:t>
      </w:r>
      <w:r w:rsidRPr="0044524F">
        <w:rPr>
          <w:rFonts w:ascii="Times New Roman" w:hAnsi="Times New Roman" w:cs="Times New Roman"/>
          <w:color w:val="000000" w:themeColor="text1"/>
          <w:spacing w:val="0"/>
          <w:sz w:val="16"/>
          <w:szCs w:val="16"/>
        </w:rPr>
        <w:softHyphen/>
        <w:t>лись трещины по заклепочному шву в ниж</w:t>
      </w:r>
      <w:r w:rsidRPr="0044524F">
        <w:rPr>
          <w:rFonts w:ascii="Times New Roman" w:hAnsi="Times New Roman" w:cs="Times New Roman"/>
          <w:color w:val="000000" w:themeColor="text1"/>
          <w:spacing w:val="0"/>
          <w:sz w:val="16"/>
          <w:szCs w:val="16"/>
        </w:rPr>
        <w:softHyphen/>
        <w:t>ней обшивке центроплана и был разбит тер</w:t>
      </w:r>
      <w:r w:rsidRPr="0044524F">
        <w:rPr>
          <w:rFonts w:ascii="Times New Roman" w:hAnsi="Times New Roman" w:cs="Times New Roman"/>
          <w:color w:val="000000" w:themeColor="text1"/>
          <w:spacing w:val="0"/>
          <w:sz w:val="16"/>
          <w:szCs w:val="16"/>
        </w:rPr>
        <w:softHyphen/>
        <w:t>мометр, установленный на верхней обшив</w:t>
      </w:r>
      <w:r w:rsidRPr="0044524F">
        <w:rPr>
          <w:rFonts w:ascii="Times New Roman" w:hAnsi="Times New Roman" w:cs="Times New Roman"/>
          <w:color w:val="000000" w:themeColor="text1"/>
          <w:spacing w:val="0"/>
          <w:sz w:val="16"/>
          <w:szCs w:val="16"/>
        </w:rPr>
        <w:softHyphen/>
        <w:t>ке. Во втором вылете удалось выстрелить только 3 раза. Во время третьего выстрела на скорости 400 км/ч разрушился крон</w:t>
      </w:r>
      <w:r w:rsidRPr="0044524F">
        <w:rPr>
          <w:rFonts w:ascii="Times New Roman" w:hAnsi="Times New Roman" w:cs="Times New Roman"/>
          <w:color w:val="000000" w:themeColor="text1"/>
          <w:spacing w:val="0"/>
          <w:sz w:val="16"/>
          <w:szCs w:val="16"/>
        </w:rPr>
        <w:softHyphen/>
        <w:t>штейн флетнера руля высоты. Флетнер заклинило, и полет был прерван. Заводская бригада оперативно устранила дефект. 20 августа выполнили 31 полет на испытания шасси, 21-го - еще 24, плюс один вылет со стрельбой. Было произведено 14 выстрелов на скорости 250-300 км/ч. Дальнейшие испытания самолета на живучесть от арт- стрельбы посчитали невозможными: только хлопунов на поверхности крыла и центро</w:t>
      </w:r>
      <w:r w:rsidRPr="0044524F">
        <w:rPr>
          <w:rFonts w:ascii="Times New Roman" w:hAnsi="Times New Roman" w:cs="Times New Roman"/>
          <w:color w:val="000000" w:themeColor="text1"/>
          <w:spacing w:val="0"/>
          <w:sz w:val="16"/>
          <w:szCs w:val="16"/>
        </w:rPr>
        <w:softHyphen/>
        <w:t>плана насчитали 39, еще 26 обнаружили на рулях высоты. Кроме того, имелись много</w:t>
      </w:r>
      <w:r w:rsidRPr="0044524F">
        <w:rPr>
          <w:rFonts w:ascii="Times New Roman" w:hAnsi="Times New Roman" w:cs="Times New Roman"/>
          <w:color w:val="000000" w:themeColor="text1"/>
          <w:spacing w:val="0"/>
          <w:sz w:val="16"/>
          <w:szCs w:val="16"/>
        </w:rPr>
        <w:softHyphen/>
        <w:t>численные обрывы заклепок и вспучивание обшивки вокруг заклепок. Во множестве мест полки нервюр отходили вместе с обшивкой. Имелись места разрушения соединения стрингеров с нервюрами и пол</w:t>
      </w:r>
      <w:r w:rsidRPr="0044524F">
        <w:rPr>
          <w:rFonts w:ascii="Times New Roman" w:hAnsi="Times New Roman" w:cs="Times New Roman"/>
          <w:color w:val="000000" w:themeColor="text1"/>
          <w:spacing w:val="0"/>
          <w:sz w:val="16"/>
          <w:szCs w:val="16"/>
        </w:rPr>
        <w:softHyphen/>
        <w:t>ного разрыва обшивки.</w:t>
      </w:r>
    </w:p>
    <w:p w14:paraId="48F80A90" w14:textId="77777777" w:rsidR="00270580" w:rsidRPr="0044524F" w:rsidRDefault="00270580" w:rsidP="009654CF">
      <w:pPr>
        <w:pStyle w:val="17"/>
        <w:shd w:val="clear" w:color="auto" w:fill="auto"/>
        <w:spacing w:before="0" w:line="240" w:lineRule="auto"/>
        <w:ind w:firstLine="0"/>
        <w:jc w:val="both"/>
        <w:rPr>
          <w:rFonts w:ascii="Times New Roman" w:hAnsi="Times New Roman" w:cs="Times New Roman"/>
          <w:color w:val="000000" w:themeColor="text1"/>
          <w:spacing w:val="0"/>
          <w:sz w:val="16"/>
          <w:szCs w:val="16"/>
        </w:rPr>
      </w:pPr>
      <w:r w:rsidRPr="0044524F">
        <w:rPr>
          <w:rFonts w:ascii="Times New Roman" w:hAnsi="Times New Roman" w:cs="Times New Roman"/>
          <w:color w:val="000000" w:themeColor="text1"/>
          <w:spacing w:val="0"/>
          <w:sz w:val="16"/>
          <w:szCs w:val="16"/>
        </w:rPr>
        <w:t>Несмотря на многочисленные поврежде</w:t>
      </w:r>
      <w:r w:rsidRPr="0044524F">
        <w:rPr>
          <w:rFonts w:ascii="Times New Roman" w:hAnsi="Times New Roman" w:cs="Times New Roman"/>
          <w:color w:val="000000" w:themeColor="text1"/>
          <w:spacing w:val="0"/>
          <w:sz w:val="16"/>
          <w:szCs w:val="16"/>
        </w:rPr>
        <w:softHyphen/>
        <w:t>ния, испытания не прервали. Было выполне</w:t>
      </w:r>
      <w:r w:rsidRPr="0044524F">
        <w:rPr>
          <w:rFonts w:ascii="Times New Roman" w:hAnsi="Times New Roman" w:cs="Times New Roman"/>
          <w:color w:val="000000" w:themeColor="text1"/>
          <w:spacing w:val="0"/>
          <w:sz w:val="16"/>
          <w:szCs w:val="16"/>
        </w:rPr>
        <w:softHyphen/>
        <w:t>но еще 102 вылета на испытания шасси. Лета</w:t>
      </w:r>
      <w:r w:rsidRPr="0044524F">
        <w:rPr>
          <w:rFonts w:ascii="Times New Roman" w:hAnsi="Times New Roman" w:cs="Times New Roman"/>
          <w:color w:val="000000" w:themeColor="text1"/>
          <w:spacing w:val="0"/>
          <w:sz w:val="16"/>
          <w:szCs w:val="16"/>
        </w:rPr>
        <w:softHyphen/>
        <w:t>ли «блинчиком», дабы не создавать излиш</w:t>
      </w:r>
      <w:r w:rsidRPr="0044524F">
        <w:rPr>
          <w:rFonts w:ascii="Times New Roman" w:hAnsi="Times New Roman" w:cs="Times New Roman"/>
          <w:color w:val="000000" w:themeColor="text1"/>
          <w:spacing w:val="0"/>
          <w:sz w:val="16"/>
          <w:szCs w:val="16"/>
        </w:rPr>
        <w:softHyphen/>
        <w:t>них перегрузок, и 29 августа, как уже говори</w:t>
      </w:r>
      <w:r w:rsidRPr="0044524F">
        <w:rPr>
          <w:rFonts w:ascii="Times New Roman" w:hAnsi="Times New Roman" w:cs="Times New Roman"/>
          <w:color w:val="000000" w:themeColor="text1"/>
          <w:spacing w:val="0"/>
          <w:sz w:val="16"/>
          <w:szCs w:val="16"/>
        </w:rPr>
        <w:softHyphen/>
        <w:t>лось выше, даже установили своеобразный рекорд этих испытаний, выполнив в один день 67 полетов, правда, последний вылет закончился вынужденной посадкой на аэро</w:t>
      </w:r>
      <w:r w:rsidRPr="0044524F">
        <w:rPr>
          <w:rFonts w:ascii="Times New Roman" w:hAnsi="Times New Roman" w:cs="Times New Roman"/>
          <w:color w:val="000000" w:themeColor="text1"/>
          <w:spacing w:val="0"/>
          <w:sz w:val="16"/>
          <w:szCs w:val="16"/>
        </w:rPr>
        <w:softHyphen/>
        <w:t>дром - засорился жиклер карбюратора. Начальство решило судьбу больше не иску</w:t>
      </w:r>
      <w:r w:rsidRPr="0044524F">
        <w:rPr>
          <w:rFonts w:ascii="Times New Roman" w:hAnsi="Times New Roman" w:cs="Times New Roman"/>
          <w:color w:val="000000" w:themeColor="text1"/>
          <w:spacing w:val="0"/>
          <w:sz w:val="16"/>
          <w:szCs w:val="16"/>
        </w:rPr>
        <w:softHyphen/>
        <w:t>шать, и испытания прервали, отметив в заключении, что ввиду значительных разру</w:t>
      </w:r>
      <w:r w:rsidRPr="0044524F">
        <w:rPr>
          <w:rFonts w:ascii="Times New Roman" w:hAnsi="Times New Roman" w:cs="Times New Roman"/>
          <w:color w:val="000000" w:themeColor="text1"/>
          <w:spacing w:val="0"/>
          <w:sz w:val="16"/>
          <w:szCs w:val="16"/>
        </w:rPr>
        <w:softHyphen/>
        <w:t>шений и деформаций без капитального ремонта и устранения выявленных недостат</w:t>
      </w:r>
      <w:r w:rsidRPr="0044524F">
        <w:rPr>
          <w:rFonts w:ascii="Times New Roman" w:hAnsi="Times New Roman" w:cs="Times New Roman"/>
          <w:color w:val="000000" w:themeColor="text1"/>
          <w:spacing w:val="0"/>
          <w:sz w:val="16"/>
          <w:szCs w:val="16"/>
        </w:rPr>
        <w:softHyphen/>
        <w:t>ков ИП-1РЦФ-3 до дальнейших испытаний допущен быть не может (19933).</w:t>
      </w:r>
    </w:p>
    <w:p w14:paraId="6EBA1579" w14:textId="77777777" w:rsidR="00270580" w:rsidRPr="0044524F" w:rsidRDefault="00270580" w:rsidP="009654CF">
      <w:pPr>
        <w:shd w:val="clear" w:color="auto" w:fill="FFFFFF"/>
        <w:spacing w:after="0" w:line="240" w:lineRule="auto"/>
        <w:jc w:val="both"/>
        <w:rPr>
          <w:rFonts w:ascii="Times New Roman" w:hAnsi="Times New Roman"/>
          <w:color w:val="000000" w:themeColor="text1"/>
          <w:sz w:val="16"/>
          <w:szCs w:val="16"/>
        </w:rPr>
      </w:pPr>
    </w:p>
    <w:p w14:paraId="208017E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1933 года было направлено письмо Гл. управления ГВФ № 15сс в Совнарком Базилевичу,</w:t>
      </w:r>
    </w:p>
    <w:p w14:paraId="6D218EB8"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копия управделами НКВМ ВВС, на № 3022/сс</w:t>
      </w:r>
    </w:p>
    <w:p w14:paraId="3B6D239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вопросу опытного самолето- и моторостроения</w:t>
      </w:r>
    </w:p>
    <w:p w14:paraId="64FAAC9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Реввоенсовет постановлением своим от 17 июля 1933 года (выписка от 21 июля 1933 года за № 3022/сс получена в ГУГВФ 22 июля 1933 года) по вопросу о ходе выполнения плана опытного самолето- и моторостроения и вооружения авиации просит СТО обязать меня как «самовольно прекратившего работы по плану опытного строительства ВВС, утвержденные СТО 4 июля 1932 года в части касающейся ГУГВФ в декадный срок представить новые сроки предъявления этих опытных самолетов на гос. испытания, согласованные с начальником ВВС».</w:t>
      </w:r>
    </w:p>
    <w:p w14:paraId="7FBD310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Сообщаю по существу вопроса:</w:t>
      </w:r>
    </w:p>
    <w:p w14:paraId="180E5DD1" w14:textId="77777777" w:rsidR="00487C9C" w:rsidRPr="0044524F" w:rsidRDefault="00487C9C" w:rsidP="009654CF">
      <w:pPr>
        <w:numPr>
          <w:ilvl w:val="0"/>
          <w:numId w:val="23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постановлением СТО от 4 июля 1932 года задание на опытное строительство было возложено на НИИ самолетный и НИАИ Ленинградского учебного комбината, коими и производилась разработка по означенному заданию.</w:t>
      </w:r>
    </w:p>
    <w:p w14:paraId="7A31DC09" w14:textId="77777777" w:rsidR="00487C9C" w:rsidRPr="0044524F" w:rsidRDefault="00487C9C" w:rsidP="009654CF">
      <w:pPr>
        <w:numPr>
          <w:ilvl w:val="0"/>
          <w:numId w:val="23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опытной постройки специальных машин встретилась необходимость в получении техусловий и денежных средств. Отношением от 5-7 января за № 77/сс на имя начальника ВВС Алксниса и в копии начальника НИИ ВВС были запрошены техусловия и денежные средства, но до сего времени не получено указаний в отношении сроков и денежных средств.</w:t>
      </w:r>
    </w:p>
    <w:p w14:paraId="65D33F8D" w14:textId="77777777" w:rsidR="00487C9C" w:rsidRPr="0044524F" w:rsidRDefault="00487C9C" w:rsidP="009654CF">
      <w:pPr>
        <w:numPr>
          <w:ilvl w:val="0"/>
          <w:numId w:val="23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апреля 1933 года за № 6/сс на Ваше имя мною было послано письмо с изложением положения дела проектирования постройки означенных машин с уведомлением: о неполучении ответа от Алксниса на запрос от 5-7 января за № 77 и о приостановлении работы Ленинградским учебным комбинатом вследствие отсутствия финансирования со стороны ВВС. Ответа от Вас до настоящего времени не получено.</w:t>
      </w:r>
    </w:p>
    <w:p w14:paraId="7439EED8" w14:textId="77777777" w:rsidR="00487C9C" w:rsidRPr="0044524F" w:rsidRDefault="00487C9C" w:rsidP="009654CF">
      <w:pPr>
        <w:numPr>
          <w:ilvl w:val="0"/>
          <w:numId w:val="23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апреля 1933 года за №9/с на Ваше имя мною послано второе письмо с уведомлением о чрезвычайной затяжке разрешения этого вопроса в целом в Штабе РККА, неполучения необходимых средств и об удовлетворении мною ходатайства Ленинградского учебного комбината – дальнейшие работы по постройке двух опытных самолетов прекратить. На мою просьбу о снятии указанного задания КО с ГУГВФ ответа от Вас не получено.</w:t>
      </w:r>
    </w:p>
    <w:p w14:paraId="6D8CC083" w14:textId="77777777" w:rsidR="00487C9C" w:rsidRPr="0044524F" w:rsidRDefault="00487C9C" w:rsidP="009654CF">
      <w:pPr>
        <w:pStyle w:val="a3"/>
        <w:widowControl/>
        <w:rPr>
          <w:color w:val="000000" w:themeColor="text1"/>
          <w:lang w:val="ru-RU"/>
        </w:rPr>
      </w:pPr>
      <w:r w:rsidRPr="0044524F">
        <w:rPr>
          <w:color w:val="000000" w:themeColor="text1"/>
          <w:lang w:val="ru-RU"/>
        </w:rPr>
        <w:t>Ввиду изложенного Постановление РВС от 17 июля 1933 года не отвечает действительному положению дела.</w:t>
      </w:r>
    </w:p>
    <w:p w14:paraId="4BC25F18"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вашего распоряжения:</w:t>
      </w:r>
    </w:p>
    <w:p w14:paraId="7AC6FF25" w14:textId="77777777" w:rsidR="00487C9C" w:rsidRPr="0044524F" w:rsidRDefault="00487C9C" w:rsidP="009654CF">
      <w:pPr>
        <w:numPr>
          <w:ilvl w:val="0"/>
          <w:numId w:val="24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Снять с Аэрофлота постройку опытных машин У3-бис-48, У3-М52 и МБР-5.</w:t>
      </w:r>
    </w:p>
    <w:p w14:paraId="3F373011" w14:textId="77777777" w:rsidR="00487C9C" w:rsidRPr="0044524F" w:rsidRDefault="00487C9C" w:rsidP="009654CF">
      <w:pPr>
        <w:numPr>
          <w:ilvl w:val="0"/>
          <w:numId w:val="24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Оставить за Аэрофлотом проектирование и постройку тяжелых химических боевых Х1-2М-34 (он же Сталь-5).</w:t>
      </w:r>
    </w:p>
    <w:p w14:paraId="433BDF4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ведется по сметам НИИ самолетного ГУГВФ.. (4223,15).</w:t>
      </w:r>
    </w:p>
    <w:p w14:paraId="6AF29916"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1ADB84D8"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4 августа 1933 два первых автожира А-4 (московской и киевской постройки) совершили 28 полетов с общим полетным временем 7 часов 53 минуты (20381).</w:t>
      </w:r>
    </w:p>
    <w:p w14:paraId="72840D6F" w14:textId="77777777" w:rsidR="00270580" w:rsidRPr="0044524F" w:rsidRDefault="00270580" w:rsidP="009654CF">
      <w:pPr>
        <w:spacing w:after="0" w:line="240" w:lineRule="auto"/>
        <w:jc w:val="both"/>
        <w:rPr>
          <w:rFonts w:ascii="Times New Roman" w:hAnsi="Times New Roman"/>
          <w:color w:val="000000" w:themeColor="text1"/>
          <w:sz w:val="16"/>
          <w:szCs w:val="16"/>
        </w:rPr>
      </w:pPr>
    </w:p>
    <w:p w14:paraId="77E7D47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1933 г. при рассмотрении программы испытаний готового стратостата Осоавиахим-1 на заседании научно-экспертного консультационного совета были поставлены вопросы и высказаны мнения:</w:t>
      </w:r>
    </w:p>
    <w:p w14:paraId="13CE62E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люк гондолы с отдельными болтами, хотя бы их было 12 штук, не дает никакой гарантии, что им сумеют воспользоваться во время аварии. Следует отказаться от заболчивания люка и перейти к креплению типа заклинения, которое даст возможность моментально открывать люк. Т. Федосеенко возражал против этой новой конструкции, т. к. это значило делать новую гондолу. Вместе с тем, т. Федосеенко считал, что при аварии на 16.000 м люк все равно может быть открыт только на 6.000 м (люк закрывается при подъеме в этой зоне и давление внутреннее и наружное уравновешивается только на этой высоте). При падении камнем с этой высоты сам стратостат будет служить парашютом. Тов. Ильин требовал обязательной переделки люка, но в конечном счете передали вопрос на разрешение комиссии из инженеров Чертовского, Спасского, Кирпичникова и Синицына. Решения этой комиссии нигде не зафиксировано, но люк фактически остался прежней конструкции.</w:t>
      </w:r>
    </w:p>
    <w:p w14:paraId="6FB4D5A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Сбрасыватели балласта также вызывали вопросы и сомнения, т. к. пропуск через них дроби с перекрытием трубки кранами требовал и внимательности и работы в спокойных условиях. На том же заседании ставился вопрос о жидкостном балласте и как сбрасывать балласт за счет инструмента и приборов, если люк не может быть быстро открыт. Тов. Федосеенко считал, что объем жидкости будет слишком велик и в гондоле неудобен, поэтому следует остаться при старой конструкции сбрасывателей и роде балласта. Он приводил расчет на основе испытаний, что балласт в 800 кг может быть сброшен в 800 сек. без учета промежутков на открывание и закрывание кранов. Балластосбрасыватели остались старой конструкции, т. е. с одновременной загрузкой воронки на 20 кг. </w:t>
      </w:r>
    </w:p>
    <w:p w14:paraId="0775B8D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Вопрос использования оболочки как парашюта в критических положениях при спуске не получил ясного разрешения. При обсуждении вопроса о закреплении уздечки от разрывного, инженер Васенко [говорил:] «если падение будет очень быстрым, уздечка не выдержит и оборвется сама, воображаемый парашют у нас получится, но как он будет работать, этот вопрос не исследован». </w:t>
      </w:r>
    </w:p>
    <w:p w14:paraId="4A41FBE2"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совещания т. Барандохин считал, что этот вопрос имеет две точки зрения и трудно докопаться, кто прав, что ни к каким выводам сейчас прийти нельзя, но в практической работе нужно еще раз это продумать. Вопрос о парашютировании остался неразрешенным (11611).</w:t>
      </w:r>
    </w:p>
    <w:p w14:paraId="6068E1C5"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17227C1A"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1933 г. «СССР В-2» прибыл в Кронштадт и оттуда с флотом проследовал в открытое море. Исполняя роль сторожевого охранения, аэронав</w:t>
      </w:r>
      <w:r w:rsidRPr="0044524F">
        <w:rPr>
          <w:rFonts w:ascii="Times New Roman" w:hAnsi="Times New Roman"/>
          <w:color w:val="000000" w:themeColor="text1"/>
          <w:sz w:val="16"/>
          <w:szCs w:val="16"/>
        </w:rPr>
        <w:softHyphen/>
        <w:t>ты продемонстрировали морякам все возмож</w:t>
      </w:r>
      <w:r w:rsidRPr="0044524F">
        <w:rPr>
          <w:rFonts w:ascii="Times New Roman" w:hAnsi="Times New Roman"/>
          <w:color w:val="000000" w:themeColor="text1"/>
          <w:sz w:val="16"/>
          <w:szCs w:val="16"/>
        </w:rPr>
        <w:softHyphen/>
        <w:t>ности дирижабля: изменение скоростей и высот, зависание над определённой точкой, маневриро</w:t>
      </w:r>
      <w:r w:rsidRPr="0044524F">
        <w:rPr>
          <w:rFonts w:ascii="Times New Roman" w:hAnsi="Times New Roman"/>
          <w:color w:val="000000" w:themeColor="text1"/>
          <w:sz w:val="16"/>
          <w:szCs w:val="16"/>
        </w:rPr>
        <w:softHyphen/>
        <w:t>вание, осуществление связи с кораблями. Экипаж «СССР В-2» установил почти все действия кораб</w:t>
      </w:r>
      <w:r w:rsidRPr="0044524F">
        <w:rPr>
          <w:rFonts w:ascii="Times New Roman" w:hAnsi="Times New Roman"/>
          <w:color w:val="000000" w:themeColor="text1"/>
          <w:sz w:val="16"/>
          <w:szCs w:val="16"/>
        </w:rPr>
        <w:softHyphen/>
        <w:t>лей флота. Это произвело большое впечатление на моряков: «Подобного рода полнота наблюде</w:t>
      </w:r>
      <w:r w:rsidRPr="0044524F">
        <w:rPr>
          <w:rFonts w:ascii="Times New Roman" w:hAnsi="Times New Roman"/>
          <w:color w:val="000000" w:themeColor="text1"/>
          <w:sz w:val="16"/>
          <w:szCs w:val="16"/>
        </w:rPr>
        <w:softHyphen/>
        <w:t>ний одним дирижаблем, помимо использования возможностей в качестве сторожевого охране</w:t>
      </w:r>
      <w:r w:rsidRPr="0044524F">
        <w:rPr>
          <w:rFonts w:ascii="Times New Roman" w:hAnsi="Times New Roman"/>
          <w:color w:val="000000" w:themeColor="text1"/>
          <w:sz w:val="16"/>
          <w:szCs w:val="16"/>
        </w:rPr>
        <w:softHyphen/>
        <w:t>ния, выдвигает его как средство, могущее быть широко использовано командованием Морских Сил или соединения для личного контроля над ходом упражнения как всем флотом, так и его со</w:t>
      </w:r>
      <w:r w:rsidRPr="0044524F">
        <w:rPr>
          <w:rFonts w:ascii="Times New Roman" w:hAnsi="Times New Roman"/>
          <w:color w:val="000000" w:themeColor="text1"/>
          <w:sz w:val="16"/>
          <w:szCs w:val="16"/>
        </w:rPr>
        <w:softHyphen/>
        <w:t>единениями».</w:t>
      </w:r>
    </w:p>
    <w:p w14:paraId="20FFB0D6"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Общий итог учений оказался благоприятным для дирижаблей. Комиссия Морских сил РККА предложила руководству начать финансирова</w:t>
      </w:r>
      <w:r w:rsidRPr="0044524F">
        <w:rPr>
          <w:rFonts w:ascii="Times New Roman" w:hAnsi="Times New Roman"/>
          <w:color w:val="000000" w:themeColor="text1"/>
          <w:sz w:val="16"/>
          <w:szCs w:val="16"/>
        </w:rPr>
        <w:softHyphen/>
        <w:t>ние проекта специального морского дирижабля и приступить к подготовке воздухоплавательных кадров для Морских сил (20120).</w:t>
      </w:r>
    </w:p>
    <w:p w14:paraId="0C2FCED9" w14:textId="77777777" w:rsidR="00270580" w:rsidRPr="0044524F" w:rsidRDefault="00270580" w:rsidP="009654CF">
      <w:pPr>
        <w:spacing w:after="0" w:line="240" w:lineRule="auto"/>
        <w:jc w:val="both"/>
        <w:rPr>
          <w:rFonts w:ascii="Times New Roman" w:hAnsi="Times New Roman"/>
          <w:color w:val="000000" w:themeColor="text1"/>
          <w:sz w:val="16"/>
          <w:szCs w:val="16"/>
        </w:rPr>
      </w:pPr>
    </w:p>
    <w:p w14:paraId="67C246BB" w14:textId="77777777" w:rsidR="00270580" w:rsidRPr="0044524F" w:rsidRDefault="00270580"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32067C6" w14:textId="77777777" w:rsidR="00270580" w:rsidRPr="0044524F" w:rsidRDefault="00270580" w:rsidP="009654CF">
      <w:pPr>
        <w:spacing w:after="0" w:line="240" w:lineRule="auto"/>
        <w:jc w:val="both"/>
        <w:rPr>
          <w:rFonts w:ascii="Times New Roman" w:hAnsi="Times New Roman"/>
          <w:iCs/>
          <w:color w:val="000000" w:themeColor="text1"/>
          <w:sz w:val="16"/>
          <w:szCs w:val="16"/>
        </w:rPr>
      </w:pPr>
    </w:p>
    <w:p w14:paraId="2DC08461"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1933 опросом членов ПБ</w:t>
      </w:r>
    </w:p>
    <w:p w14:paraId="4DA34CBD"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31/17.- Вопрос т. Ворошилова..</w:t>
      </w:r>
    </w:p>
    <w:p w14:paraId="0CC3BDCA"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Командировать в Италию для приемки у фирмы Пелегатти забортных моторов сроком на один месяц т. Грубила Е.Ю.</w:t>
      </w:r>
    </w:p>
    <w:p w14:paraId="4C549AAA"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Выписа послана: т. т. Ворошилову, Артузову.</w:t>
      </w:r>
    </w:p>
    <w:p w14:paraId="64BE5302" w14:textId="77777777" w:rsidR="00270580" w:rsidRPr="0044524F" w:rsidRDefault="0027058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состоялось заседание ПБ и был оформлен протокол № 143 (22993)</w:t>
      </w:r>
    </w:p>
    <w:p w14:paraId="7483591A" w14:textId="77777777" w:rsidR="00270580" w:rsidRPr="0044524F" w:rsidRDefault="00270580" w:rsidP="009654CF">
      <w:pPr>
        <w:spacing w:after="0" w:line="240" w:lineRule="auto"/>
        <w:jc w:val="both"/>
        <w:rPr>
          <w:rFonts w:ascii="Times New Roman" w:hAnsi="Times New Roman"/>
          <w:color w:val="000000" w:themeColor="text1"/>
          <w:sz w:val="16"/>
          <w:szCs w:val="16"/>
        </w:rPr>
      </w:pPr>
    </w:p>
    <w:p w14:paraId="32AA2626"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48642A4"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6DB7685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1933 появилось еще и постановление ЦИК «О предоставлении льгот участникам строительства Беломорско-Балтийского канала имени Сталина»:</w:t>
      </w:r>
    </w:p>
    <w:p w14:paraId="3029C3F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успешным окончанием строительства Беломорско-Балтийского канала имени т. Сталина, имеющего огромное народнохозяйственное значение, и передачей канала в эксплуатацию - ЦИК СССР постановляет:</w:t>
      </w:r>
    </w:p>
    <w:p w14:paraId="4D50B5B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Принять к сведению, что к моменту окончания строительства Беломорско-Балтийского канала имени т. Сталина органами ОГПУ СССР уже полностью освобождены от дальнейшего отбывания мер социальной защиты - 12.484 человека, как наиболее исправившиеся и ставшие полезными для социалистического строительства, и сокращены сроки отбывания мер социальной защиты в отношении 59.516 человек, осужденных на разные сроки и проявивших себя энергичными работниками на строительстве.</w:t>
      </w:r>
    </w:p>
    <w:p w14:paraId="2C585AD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 самоотверженную работу на строительстве Беломорско-Балтийского канала имени тов. Сталина снять судимость и восстановить в гражданских правах 500 человек по представленному ОГПУ СССР списку.</w:t>
      </w:r>
    </w:p>
    <w:p w14:paraId="54A2B643"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Поручить ОГПУ СССР обеспечить дальнейшее поднятие квалификации в строительном деле наиболее талантливых работников из числа бывших уголовников-рецидивистов и при поступлении их в учебные заведения обеспечить стипендией» (7560).</w:t>
      </w:r>
    </w:p>
    <w:p w14:paraId="01370A5A"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3794C249" w14:textId="77777777" w:rsidR="00EB25C4" w:rsidRPr="0044524F" w:rsidRDefault="00EB25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в 1933 году Генрих Ягода и большая группа его подчиненных награждаются орденами, а Беломорканал окажется несудоходным (14973).</w:t>
      </w:r>
    </w:p>
    <w:p w14:paraId="60EE4F13" w14:textId="77777777" w:rsidR="00EB25C4" w:rsidRPr="0044524F" w:rsidRDefault="00EB25C4" w:rsidP="009654CF">
      <w:pPr>
        <w:spacing w:after="0" w:line="240" w:lineRule="auto"/>
        <w:jc w:val="both"/>
        <w:rPr>
          <w:rFonts w:ascii="Times New Roman" w:hAnsi="Times New Roman"/>
          <w:color w:val="000000" w:themeColor="text1"/>
          <w:sz w:val="16"/>
          <w:szCs w:val="16"/>
        </w:rPr>
      </w:pPr>
    </w:p>
    <w:p w14:paraId="315C6811"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11117B0"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3002C822"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1933 командующий ВМС США Томас Г. В. Сеттл пытается установить новый рекорд высоты на «Веке прогресса» - воздушном шаре диаметром 105 футов (32 метра) и объемом 600000 кубических футов (16 990 кубических метров) с герметичной гондолой. Запущенный с поля Солдат в Чикаго, штат Иллинойс, его полет достигает высоты всего 5 000 футов (1524 метра) и длится всего 15 минут, прежде чем воздушный шар опускается обратно на землю из-за приоткрытого клапана (20802).</w:t>
      </w:r>
    </w:p>
    <w:p w14:paraId="75C492EB" w14:textId="77777777" w:rsidR="00B80264" w:rsidRPr="0044524F" w:rsidRDefault="00B80264" w:rsidP="009654CF">
      <w:pPr>
        <w:spacing w:after="0" w:line="240" w:lineRule="auto"/>
        <w:jc w:val="both"/>
        <w:rPr>
          <w:rFonts w:ascii="Times New Roman" w:hAnsi="Times New Roman"/>
          <w:color w:val="000000" w:themeColor="text1"/>
          <w:sz w:val="16"/>
          <w:szCs w:val="16"/>
        </w:rPr>
      </w:pPr>
    </w:p>
    <w:p w14:paraId="47C687AA"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1933 нацистское приветствие рукой стало обязательным для всех жителей Германии (4962).</w:t>
      </w:r>
    </w:p>
    <w:p w14:paraId="264F5E99"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p>
    <w:p w14:paraId="4DECE541"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1933 была всеобщая забастовка на Кубе (3960, 303).</w:t>
      </w:r>
    </w:p>
    <w:p w14:paraId="1423C801"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p>
    <w:p w14:paraId="3BBC9C97"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DD0189C"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434CE4A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в полете на ТБ-4 с тандемной установки сорвало задний капот, который ударом расколол винт. Самолет поставили на ремонт. Воспользовавшись паузой, переделали оперение. Изменили угол установки стабилизатора,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максимальной скорости (12024).</w:t>
      </w:r>
    </w:p>
    <w:p w14:paraId="77EC952F"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4A2426F5"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закончились испытания самолета И7 №4449 (эталон на 1933 год) с мотором М-17 № 262646, которые проходили с 1 августа 1933 (6786).</w:t>
      </w:r>
    </w:p>
    <w:p w14:paraId="67F75AA5"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175D5D63"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Проверка летных данных самолета И7-М17 № 4449 эталона на 1933 год после улучшения обтекателей узлов стоек, новых моторных капотов и установки обтекателя на колесах.</w:t>
      </w:r>
    </w:p>
    <w:p w14:paraId="73D45296"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3714A77" w14:textId="77777777" w:rsidR="00487C9C" w:rsidRPr="0044524F" w:rsidRDefault="00487C9C" w:rsidP="009654CF">
      <w:pPr>
        <w:numPr>
          <w:ilvl w:val="0"/>
          <w:numId w:val="24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И7-М17 № 4449 может быть утвержден как эталон на 1933 год (с доработками).</w:t>
      </w:r>
    </w:p>
    <w:p w14:paraId="1C428861"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3F76C037"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Часовиков</w:t>
      </w:r>
    </w:p>
    <w:p w14:paraId="49B8C2B0"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Кокинаки</w:t>
      </w:r>
    </w:p>
    <w:p w14:paraId="5011C96E"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55696597"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получен с завода № 1 - 1 августа 1933 года</w:t>
      </w:r>
    </w:p>
    <w:p w14:paraId="476B2985"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километраж по программе - 2 августа 1933 года</w:t>
      </w:r>
    </w:p>
    <w:p w14:paraId="7524C115"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и скорости по высотам – 3 августа 1933 года</w:t>
      </w:r>
    </w:p>
    <w:p w14:paraId="1E1046CE"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и скорости по высотам – 3 августа 1933 года</w:t>
      </w:r>
    </w:p>
    <w:p w14:paraId="71791032"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километраж по программе - 3 августа 1933 года</w:t>
      </w:r>
    </w:p>
    <w:p w14:paraId="4C6F3351"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без обтекателей на колесах - 4 августа 1933 года</w:t>
      </w:r>
    </w:p>
    <w:p w14:paraId="61108CA8"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бомбометание учебными бомбами - 4 августа 1933 года</w:t>
      </w:r>
    </w:p>
    <w:p w14:paraId="52F0E7E4"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сдан на завод № 1 – 5 августа 1933 года (6786).</w:t>
      </w:r>
    </w:p>
    <w:p w14:paraId="7EFCEE04"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p>
    <w:p w14:paraId="1A5A8C45" w14:textId="77777777" w:rsidR="00436E2B" w:rsidRPr="00142305" w:rsidRDefault="00436E2B" w:rsidP="00436E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августа 1933 г. в полете на АНТ-16 с тандемной установки сорвало задний капот, который уда</w:t>
      </w:r>
      <w:r w:rsidRPr="00142305">
        <w:rPr>
          <w:rFonts w:ascii="Times New Roman" w:hAnsi="Times New Roman"/>
          <w:color w:val="0070C0"/>
          <w:sz w:val="16"/>
          <w:szCs w:val="16"/>
        </w:rPr>
        <w:softHyphen/>
        <w:t>ром расколол винт.</w:t>
      </w:r>
    </w:p>
    <w:p w14:paraId="1EC40378" w14:textId="77777777" w:rsidR="00436E2B" w:rsidRPr="00142305" w:rsidRDefault="00436E2B" w:rsidP="00436E2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поставили на ремонт. Воспользовавшись пау</w:t>
      </w:r>
      <w:r w:rsidRPr="00142305">
        <w:rPr>
          <w:rFonts w:ascii="Times New Roman" w:hAnsi="Times New Roman"/>
          <w:color w:val="0070C0"/>
          <w:sz w:val="16"/>
          <w:szCs w:val="16"/>
        </w:rPr>
        <w:softHyphen/>
        <w:t>зой, переделали оперение. Изменили угол установки стаби</w:t>
      </w:r>
      <w:r w:rsidRPr="00142305">
        <w:rPr>
          <w:rFonts w:ascii="Times New Roman" w:hAnsi="Times New Roman"/>
          <w:color w:val="0070C0"/>
          <w:sz w:val="16"/>
          <w:szCs w:val="16"/>
        </w:rPr>
        <w:softHyphen/>
        <w:t>лизатора, подрезали руль направления. Это действительно улучшило путевую устойчивость. В то же время на самолете поставили новые винты: это благотворно сказалось на мак</w:t>
      </w:r>
      <w:r w:rsidRPr="00142305">
        <w:rPr>
          <w:rFonts w:ascii="Times New Roman" w:hAnsi="Times New Roman"/>
          <w:color w:val="0070C0"/>
          <w:sz w:val="16"/>
          <w:szCs w:val="16"/>
        </w:rPr>
        <w:softHyphen/>
        <w:t>симальной скорости (24977).</w:t>
      </w:r>
    </w:p>
    <w:p w14:paraId="60C5C23F" w14:textId="77777777" w:rsidR="00436E2B" w:rsidRPr="00142305" w:rsidRDefault="00436E2B" w:rsidP="00436E2B">
      <w:pPr>
        <w:spacing w:after="0" w:line="240" w:lineRule="auto"/>
        <w:jc w:val="both"/>
        <w:rPr>
          <w:rFonts w:ascii="Times New Roman" w:hAnsi="Times New Roman"/>
          <w:color w:val="0070C0"/>
          <w:sz w:val="16"/>
          <w:szCs w:val="16"/>
        </w:rPr>
      </w:pPr>
    </w:p>
    <w:p w14:paraId="4616852C"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г. самолет И-7 №4449 (эталон на 1933 год) с мотором М-17ф №262646 закончил повторные испытания в НИИ ВВС РККА. Заключение: самолет И-7 М-17 №4449 может быть утвержден как эталон на 1933 г. (со сделанными доработками).</w:t>
      </w:r>
    </w:p>
    <w:p w14:paraId="68FFB602"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г. самолет возвращен на завод №1, где на нем установлено полностью новое оперение, каркас которого изготовлен из профилей из дюраля Д1 на заклепках вместо хромомолибденовых труб на сварке. Нервюры рулей установлены по потоку (в исходной конструкции были «змейкой»).</w:t>
      </w:r>
    </w:p>
    <w:p w14:paraId="34F66071"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Новое оперение по расчету имело лучшую прочность (длительную – ресурс) при меньшем весе.</w:t>
      </w:r>
    </w:p>
    <w:p w14:paraId="6ADE903C"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ГУАП предложил считать этот самолет эталоном для серийного производства на 1934 г., однако Управление материально-технического снабжения ВВС с этим не согласилось, требуя постройки нового эталонного образца к 15 марта 1934 г. По этому поводу проведены совещания под председательством начальника УМТС Жарова 11, 16 и 26 ноября 1933 г., однако ГУАП при поддержке Правительства настоял на своем решении (24331).</w:t>
      </w:r>
    </w:p>
    <w:p w14:paraId="77504F0C"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484407A3"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года Начальник НИИ ВВС Зильберт утвердил протокол Тактико-технического совещания НИИ ВВС (Журнал № 4) от 25 июля 1933 года (6788).</w:t>
      </w:r>
    </w:p>
    <w:p w14:paraId="74E5DF8A"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разбиравшихся вопросов</w:t>
      </w:r>
    </w:p>
    <w:p w14:paraId="31BD9D7B" w14:textId="77777777" w:rsidR="00487C9C" w:rsidRPr="0044524F" w:rsidRDefault="00487C9C" w:rsidP="009654CF">
      <w:pPr>
        <w:numPr>
          <w:ilvl w:val="0"/>
          <w:numId w:val="24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Тактические требования к транспортному самолету. Докладчик Гребенев.</w:t>
      </w:r>
    </w:p>
    <w:p w14:paraId="524F4456" w14:textId="77777777" w:rsidR="00487C9C" w:rsidRPr="0044524F" w:rsidRDefault="00487C9C" w:rsidP="009654CF">
      <w:pPr>
        <w:numPr>
          <w:ilvl w:val="0"/>
          <w:numId w:val="24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Возможность военного использования самолета АИР-4. Докладчик Ковалев.</w:t>
      </w:r>
    </w:p>
    <w:p w14:paraId="45FD6A1D" w14:textId="77777777" w:rsidR="00487C9C" w:rsidRPr="0044524F" w:rsidRDefault="00487C9C" w:rsidP="009654CF">
      <w:pPr>
        <w:numPr>
          <w:ilvl w:val="0"/>
          <w:numId w:val="24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Эскизно-схематический проект понтона-гидроаэродрома. Докладчик Орехов (6788).</w:t>
      </w:r>
    </w:p>
    <w:p w14:paraId="25DCB054" w14:textId="77777777" w:rsidR="00487C9C" w:rsidRPr="0044524F" w:rsidRDefault="00487C9C" w:rsidP="009654CF">
      <w:pPr>
        <w:tabs>
          <w:tab w:val="left" w:pos="360"/>
          <w:tab w:val="left" w:pos="11199"/>
        </w:tabs>
        <w:spacing w:after="0" w:line="240" w:lineRule="auto"/>
        <w:jc w:val="both"/>
        <w:rPr>
          <w:rFonts w:ascii="Times New Roman" w:hAnsi="Times New Roman"/>
          <w:color w:val="000000" w:themeColor="text1"/>
          <w:sz w:val="16"/>
          <w:szCs w:val="16"/>
        </w:rPr>
      </w:pPr>
    </w:p>
    <w:p w14:paraId="1E655F88"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ЦК и авиаконструкторы обсуждали положение в гидросамолетостроении. Это была первая встреча Г.М.Бериева с И.В.Сталиным (66,155).</w:t>
      </w:r>
    </w:p>
    <w:p w14:paraId="320EB627"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796ED68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рассказам А.С.Я. С.В.И. был вызван 5 августа 1933 к К.Е.В., где был П.И.Баранов. Поехали на дачу И.В.С., где состоялось совещание по авиационным вопросам. В основном темой была морская авиация. После трех часов совещания играли в городки. С.В.И. играл на равных с И.В.С. Далее опять было совещание до ночи (74,86).</w:t>
      </w:r>
    </w:p>
    <w:p w14:paraId="2C28C32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Посещение С.В.Ильюшиным в августе 1933 совместно с П.И.Барановым (а также Я.И.Алкснисом, А.Н.Туполевым, Погосским, К.Е.Ворошиловым) дачи И.В.Сталина (24,69) сыграло важную роль в его судьбе.</w:t>
      </w:r>
    </w:p>
    <w:p w14:paraId="32D35502"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несколько дней после совещания у И.В.Сталина С.В.И. и Г.М.Бериева вызвали в Реввоенсовет и сообщили, что МБР-2 принят на вооружение ВМС и С.В.И. поздравил Г.М.Бериева как авиаконструктора. Решили запускать в Таганроге (директор - Ф.П.Мурашев - выпускник Промакадемии) вместо Ш-2 и Савойя-62бис. Вышло соответствующее постановление правительства. запустили в 1933 и сделали 1400 (79,208).</w:t>
      </w:r>
    </w:p>
    <w:p w14:paraId="7070FD2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С.В.И. пытался дать самостоятельность Г.М.Бериеву и заставить Д.П.Г., получившему задание на четырехмоторный морской бомбардировщик, консультировать его. Д.П.Г. отказался и отказался от гидро вообще передав группу Р.Л.Бартини и похвалив его проект 40 тонного самолета, а сам - стал заниматься ПИ (79,131).</w:t>
      </w:r>
    </w:p>
    <w:p w14:paraId="39AC8953"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2B1D0BF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5 августа 1933 г. С.В.Ильюшин был вызван к наркому обороны К.Е.Ворошилову. В приемной он встретил начальника ВАО П.И.Баранова, начальника ВВС Я.И.Алксниса, А.Н.Туполева и его заместителя И.И.По-госского, начальника бригады морских самолетов КОСОС. Выйдя к собравшимся и не говоря ни слова о цели встречи, К.Е.Ворошилов предложил всем пройти к ожидавшим их машинам. Выехав со двора наркомата, машины помчались за город, на дачу Сталина, где состоялось совещание по авиационным вопросам. Сначала обсудили вопрос о выпуске летающих лодок на одном из заводов, а затем перешли к главному - как решить проблему создания легких и мощных двигателей воздушного и жидкостного охлаждения. П.И.Баранов предложил закупить лицензии на производство в СССР лучших зарубежных двигателей. Суждения всех сводились к одному: целесообразно сделать это как можно скорее. Тут же была предложена комиссия для поездки за границу, в которую вошли, в частности, С.В.Ильюшин и В.Я.Климов. Сталин подвел итог: «Комиссии без лицензии не приезжать!» (9528).</w:t>
      </w:r>
    </w:p>
    <w:p w14:paraId="1461FD1F"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0E384CA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года новостройку ЗГО - Сибмашстроя - будущего завода № 153 - посетил нарком тяжелой промышленности Серго Орджоникидзе. Он мог уже воочию познакомиться с ремонтно-механическим, инструментальным и модельными цехами, со строительством кочегарки, побывал и в общежитии котельно-вагонеточного цеха. Этой поездкой наркома были определены новые направления и перспективы строительства - в процессе стройки, в 1933 году, завод изменил свой профиль и стал называться «Сибмашстрой», начав выполнять государственные заказы по изготовлению запчастей для тракторов, комбайнов и мелкого инструмента. А позднее начался выпуск простейших сельскохозяйственных машин (льнотрепалки) и освоение массового производства насосов типа «Комсомолец» (10764).</w:t>
      </w:r>
    </w:p>
    <w:p w14:paraId="20E26E74"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29B4174F"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CEEE9E4"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748FD8D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Реввоенсовет одобрил уточненную "Систему артиллерийского вооружения на вторую пятилетку" (1073,34).</w:t>
      </w:r>
    </w:p>
    <w:p w14:paraId="4D7FC564"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39C47A33" w14:textId="77777777" w:rsidR="00487C9C" w:rsidRPr="0044524F" w:rsidRDefault="00487C9C" w:rsidP="009654CF">
      <w:pPr>
        <w:pStyle w:val="a8"/>
        <w:widowControl/>
        <w:jc w:val="both"/>
        <w:rPr>
          <w:rFonts w:ascii="Times New Roman" w:hAnsi="Times New Roman" w:cs="Times New Roman"/>
          <w:color w:val="000000" w:themeColor="text1"/>
        </w:rPr>
      </w:pPr>
      <w:r w:rsidRPr="0044524F">
        <w:rPr>
          <w:rFonts w:ascii="Times New Roman" w:hAnsi="Times New Roman" w:cs="Times New Roman"/>
          <w:color w:val="000000" w:themeColor="text1"/>
        </w:rPr>
        <w:t>5 августа 1933 года РВС СССР утвердил "Систему артвооружения РККА на вторую пятилетку" (9641).</w:t>
      </w:r>
    </w:p>
    <w:p w14:paraId="4190CD72" w14:textId="77777777" w:rsidR="00487C9C" w:rsidRPr="0044524F" w:rsidRDefault="00487C9C" w:rsidP="009654CF">
      <w:pPr>
        <w:pStyle w:val="a8"/>
        <w:widowControl/>
        <w:jc w:val="both"/>
        <w:rPr>
          <w:rFonts w:ascii="Times New Roman" w:hAnsi="Times New Roman" w:cs="Times New Roman"/>
          <w:color w:val="000000" w:themeColor="text1"/>
        </w:rPr>
      </w:pPr>
    </w:p>
    <w:p w14:paraId="6B265CDD" w14:textId="77777777" w:rsidR="00716C34" w:rsidRPr="0044524F" w:rsidRDefault="00716C34" w:rsidP="009654CF">
      <w:pPr>
        <w:pStyle w:val="rtejustify"/>
        <w:spacing w:before="0" w:after="0"/>
        <w:rPr>
          <w:color w:val="000000" w:themeColor="text1"/>
          <w:sz w:val="16"/>
          <w:szCs w:val="16"/>
        </w:rPr>
      </w:pPr>
      <w:r w:rsidRPr="0044524F">
        <w:rPr>
          <w:rStyle w:val="af0"/>
          <w:bCs/>
          <w:i w:val="0"/>
          <w:color w:val="000000" w:themeColor="text1"/>
          <w:sz w:val="16"/>
          <w:szCs w:val="16"/>
        </w:rPr>
        <w:t>5 августа</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Проект постановления «О системе артиллерийского вооружения РККА на вторую пятилетку». (РГВА. Ф. 4. Оп. 18. Д. 23. Л. 307</w:t>
      </w:r>
      <w:r w:rsidRPr="0044524F">
        <w:rPr>
          <w:color w:val="000000" w:themeColor="text1"/>
          <w:sz w:val="16"/>
          <w:szCs w:val="16"/>
        </w:rPr>
        <w:noBreakHyphen/>
        <w:t>313) (15461).</w:t>
      </w:r>
    </w:p>
    <w:p w14:paraId="39C56AF2" w14:textId="77777777" w:rsidR="00716C34" w:rsidRPr="0044524F" w:rsidRDefault="00716C34" w:rsidP="009654CF">
      <w:pPr>
        <w:pStyle w:val="rtejustify"/>
        <w:spacing w:before="0" w:after="0"/>
        <w:rPr>
          <w:rStyle w:val="af0"/>
          <w:bCs/>
          <w:i w:val="0"/>
          <w:color w:val="000000" w:themeColor="text1"/>
          <w:sz w:val="16"/>
          <w:szCs w:val="16"/>
        </w:rPr>
      </w:pPr>
    </w:p>
    <w:p w14:paraId="5DF602C2"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г. было принято Постановление РВС СССР «О системе артиллерийского вооружения на вторую пятилетку (1933-1937 гг.)», 11 января 1934 г. система была утверждена Наркомом обороны СССР. 22 марта 1934 г. данное Постановление РВС СССР было принято СТО СССР. В основе данной системы лежала идея создания универсальных орудий, которые сочетали бы в себе характеристики и возможности систем различных видов. Что касается орудий артиллерии ближнего боя, основным видом признавались мортиры – минометы в данной системе отсутствовали.220 (20074).</w:t>
      </w:r>
    </w:p>
    <w:p w14:paraId="41D4B6CD" w14:textId="77777777" w:rsidR="00B80264" w:rsidRPr="0044524F" w:rsidRDefault="00B80264" w:rsidP="009654CF">
      <w:pPr>
        <w:spacing w:after="0" w:line="240" w:lineRule="auto"/>
        <w:jc w:val="both"/>
        <w:rPr>
          <w:rFonts w:ascii="Times New Roman" w:hAnsi="Times New Roman"/>
          <w:color w:val="000000" w:themeColor="text1"/>
          <w:sz w:val="16"/>
          <w:szCs w:val="16"/>
        </w:rPr>
      </w:pPr>
    </w:p>
    <w:p w14:paraId="1690BBD9"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5 августа 1933 г. Реввоенсовет СССР утвердил новую систему артиллерийского вооружения на 1933—1937 гг., в которой фигурировала и 76-мм пушка-мортира. Эта система предназначалась для вооружения стрелковых батальонов. 76-мм пушка-мортира должна была иметь вес 140—150 кг, дальность стрельбы 5 —7 км и скорострельность 15—20 выстрелов в минуту.</w:t>
      </w:r>
    </w:p>
    <w:p w14:paraId="498325CF"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Первым батальонной пушкой занялся известный конструктор В.Н. Сидоренко. В 1935 г. он закончил проектирование 76-мм пушки 35К, а 9 мая 1936 г. завод № 8 сдал военпреду ее первый опытный образец (26440).</w:t>
      </w:r>
    </w:p>
    <w:p w14:paraId="474E55F5" w14:textId="77777777" w:rsidR="00D602F8" w:rsidRPr="00142305" w:rsidRDefault="00D602F8" w:rsidP="00D602F8">
      <w:pPr>
        <w:spacing w:after="0" w:line="240" w:lineRule="auto"/>
        <w:jc w:val="both"/>
        <w:rPr>
          <w:rFonts w:ascii="Times New Roman" w:hAnsi="Times New Roman"/>
          <w:color w:val="0070C0"/>
          <w:sz w:val="16"/>
          <w:szCs w:val="16"/>
        </w:rPr>
      </w:pPr>
    </w:p>
    <w:p w14:paraId="65A485AD" w14:textId="77777777" w:rsidR="00487C9C"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73A92DCA"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3C4E8675"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в соответствии с июньским 1933 решением перевести часть кораблей Балтфлота на Север военные корабли проследовав по Беломоро-Балтийскому каналу вошли в Мурманск заложив СФ. 17 сентября по жд из Ленинграда привезли разведывательное подразделение на МБР-2 (1085,94). Это был первый отряд Экспедиции особого назначения (ЭОН-1) в составе 2 эсминцев, 2 СКР и 2 п/л (3398,272).</w:t>
      </w:r>
    </w:p>
    <w:p w14:paraId="2B891BE2"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45FF7DB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года у Советской страны появилась новая Северная Военная флотилия, в 1937 году преобразованная в Северный флот. При отсутствии канала создание сколько-нибудь значительных морских сил было невозможно (9047).</w:t>
      </w:r>
    </w:p>
    <w:p w14:paraId="75870D20"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590F8C8B"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48F9D84"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549AB5C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приказом по лагерю № 270 объявлялась директива ГУЛАГа о борьбе с уголовным жаргоном от 2 июля, осуждающая тенденцию внедрения уголовного жаргона «в разговорный обиход вольнонаемных и даже чекистского персонала, вплоть до использования в лагерной печати, многотиражных и особенно стенных газетах» в репертуаре агитбригад. На основании этой директивы в Дмитлаге в очередной раз воспрещалось использование «преступного жаргона, являющегося пережитком социально-бытовой искалеченности, мешающей и задерживающей коренную перековку человека» (7560).</w:t>
      </w:r>
    </w:p>
    <w:p w14:paraId="4E3D8C68"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2A405331"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0C43760"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028D16A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 августа 1933 г. французские пилоты Росси (Maurice Rossi) и Кодос (Paul Codos) на самолете Блерио-110 "Josef Le Brix" осуществили рекордный перелет из Нью-Йорка в сирийский город Райак (французская территория в Сирии) протяженностью 9104 км.</w:t>
      </w:r>
    </w:p>
    <w:p w14:paraId="79AB922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4E10C1" w:rsidRPr="0044524F" w14:paraId="6241CCBC" w14:textId="77777777">
        <w:tc>
          <w:tcPr>
            <w:tcW w:w="1145" w:type="dxa"/>
            <w:tcBorders>
              <w:top w:val="single" w:sz="12" w:space="0" w:color="auto"/>
            </w:tcBorders>
          </w:tcPr>
          <w:p w14:paraId="4614084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w:t>
            </w:r>
          </w:p>
        </w:tc>
        <w:tc>
          <w:tcPr>
            <w:tcW w:w="1145" w:type="dxa"/>
            <w:tcBorders>
              <w:top w:val="single" w:sz="12" w:space="0" w:color="auto"/>
            </w:tcBorders>
          </w:tcPr>
          <w:p w14:paraId="098E460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Двигатель(л.с.)</w:t>
            </w:r>
          </w:p>
        </w:tc>
        <w:tc>
          <w:tcPr>
            <w:tcW w:w="1145" w:type="dxa"/>
            <w:tcBorders>
              <w:top w:val="single" w:sz="12" w:space="0" w:color="auto"/>
            </w:tcBorders>
          </w:tcPr>
          <w:p w14:paraId="3220C01A"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(м)</w:t>
            </w:r>
          </w:p>
        </w:tc>
        <w:tc>
          <w:tcPr>
            <w:tcW w:w="1145" w:type="dxa"/>
            <w:tcBorders>
              <w:top w:val="single" w:sz="12" w:space="0" w:color="auto"/>
            </w:tcBorders>
          </w:tcPr>
          <w:p w14:paraId="2D76653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(мг)</w:t>
            </w:r>
          </w:p>
        </w:tc>
        <w:tc>
          <w:tcPr>
            <w:tcW w:w="1145" w:type="dxa"/>
            <w:tcBorders>
              <w:top w:val="single" w:sz="12" w:space="0" w:color="auto"/>
            </w:tcBorders>
          </w:tcPr>
          <w:p w14:paraId="32159233"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Удлинение</w:t>
            </w:r>
          </w:p>
        </w:tc>
        <w:tc>
          <w:tcPr>
            <w:tcW w:w="1145" w:type="dxa"/>
            <w:tcBorders>
              <w:top w:val="single" w:sz="12" w:space="0" w:color="auto"/>
            </w:tcBorders>
          </w:tcPr>
          <w:p w14:paraId="0096703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(кг)</w:t>
            </w:r>
          </w:p>
        </w:tc>
        <w:tc>
          <w:tcPr>
            <w:tcW w:w="1145" w:type="dxa"/>
            <w:tcBorders>
              <w:top w:val="single" w:sz="12" w:space="0" w:color="auto"/>
            </w:tcBorders>
          </w:tcPr>
          <w:p w14:paraId="265CB977"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(кг)</w:t>
            </w:r>
          </w:p>
        </w:tc>
        <w:tc>
          <w:tcPr>
            <w:tcW w:w="1145" w:type="dxa"/>
            <w:tcBorders>
              <w:top w:val="single" w:sz="12" w:space="0" w:color="auto"/>
            </w:tcBorders>
          </w:tcPr>
          <w:p w14:paraId="4E43D3E3"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1B247FA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крыло (кг/м2)</w:t>
            </w:r>
          </w:p>
        </w:tc>
      </w:tr>
      <w:tr w:rsidR="004E10C1" w:rsidRPr="0044524F" w14:paraId="64FD0A06" w14:textId="77777777">
        <w:tc>
          <w:tcPr>
            <w:tcW w:w="1145" w:type="dxa"/>
          </w:tcPr>
          <w:p w14:paraId="11582270"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c>
          <w:tcPr>
            <w:tcW w:w="1145" w:type="dxa"/>
          </w:tcPr>
          <w:p w14:paraId="7D2DE9DE"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c>
          <w:tcPr>
            <w:tcW w:w="1145" w:type="dxa"/>
          </w:tcPr>
          <w:p w14:paraId="6571D8EA"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c>
          <w:tcPr>
            <w:tcW w:w="1145" w:type="dxa"/>
          </w:tcPr>
          <w:p w14:paraId="5B9B7F2B"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c>
          <w:tcPr>
            <w:tcW w:w="1145" w:type="dxa"/>
          </w:tcPr>
          <w:p w14:paraId="776A7F9E"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c>
          <w:tcPr>
            <w:tcW w:w="1145" w:type="dxa"/>
          </w:tcPr>
          <w:p w14:paraId="4BAEB8EC"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c>
          <w:tcPr>
            <w:tcW w:w="1145" w:type="dxa"/>
          </w:tcPr>
          <w:p w14:paraId="08F91E90"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c>
          <w:tcPr>
            <w:tcW w:w="1145" w:type="dxa"/>
          </w:tcPr>
          <w:p w14:paraId="58163235"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c>
          <w:tcPr>
            <w:tcW w:w="1145" w:type="dxa"/>
          </w:tcPr>
          <w:p w14:paraId="6691086C"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r>
      <w:tr w:rsidR="004E10C1" w:rsidRPr="0044524F" w14:paraId="21372340" w14:textId="77777777">
        <w:tc>
          <w:tcPr>
            <w:tcW w:w="1145" w:type="dxa"/>
          </w:tcPr>
          <w:p w14:paraId="5A766C82"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Фэйри LR</w:t>
            </w:r>
          </w:p>
        </w:tc>
        <w:tc>
          <w:tcPr>
            <w:tcW w:w="1145" w:type="dxa"/>
          </w:tcPr>
          <w:p w14:paraId="0C2D9963"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Нэпир XI (530)</w:t>
            </w:r>
          </w:p>
        </w:tc>
        <w:tc>
          <w:tcPr>
            <w:tcW w:w="1145" w:type="dxa"/>
          </w:tcPr>
          <w:p w14:paraId="4C621C7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145" w:type="dxa"/>
          </w:tcPr>
          <w:p w14:paraId="6AEBEA15"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82,0</w:t>
            </w:r>
          </w:p>
        </w:tc>
        <w:tc>
          <w:tcPr>
            <w:tcW w:w="1145" w:type="dxa"/>
          </w:tcPr>
          <w:p w14:paraId="77801F7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1145" w:type="dxa"/>
          </w:tcPr>
          <w:p w14:paraId="0942F69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145" w:type="dxa"/>
          </w:tcPr>
          <w:p w14:paraId="68FBA04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7800</w:t>
            </w:r>
          </w:p>
        </w:tc>
        <w:tc>
          <w:tcPr>
            <w:tcW w:w="1145" w:type="dxa"/>
          </w:tcPr>
          <w:p w14:paraId="18419DD1"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4500</w:t>
            </w:r>
          </w:p>
        </w:tc>
        <w:tc>
          <w:tcPr>
            <w:tcW w:w="1145" w:type="dxa"/>
          </w:tcPr>
          <w:p w14:paraId="2850075C"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r>
      <w:tr w:rsidR="004E10C1" w:rsidRPr="0044524F" w14:paraId="25C12B4F" w14:textId="77777777">
        <w:tc>
          <w:tcPr>
            <w:tcW w:w="1145" w:type="dxa"/>
          </w:tcPr>
          <w:p w14:paraId="5B500505"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Савойя S-64</w:t>
            </w:r>
          </w:p>
        </w:tc>
        <w:tc>
          <w:tcPr>
            <w:tcW w:w="1145" w:type="dxa"/>
          </w:tcPr>
          <w:p w14:paraId="27DD888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Фиат А-22Т (620)</w:t>
            </w:r>
          </w:p>
        </w:tc>
        <w:tc>
          <w:tcPr>
            <w:tcW w:w="1145" w:type="dxa"/>
          </w:tcPr>
          <w:p w14:paraId="78CC6D1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145" w:type="dxa"/>
          </w:tcPr>
          <w:p w14:paraId="55825D27"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145" w:type="dxa"/>
          </w:tcPr>
          <w:p w14:paraId="053C91CA"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7,75</w:t>
            </w:r>
          </w:p>
        </w:tc>
        <w:tc>
          <w:tcPr>
            <w:tcW w:w="1145" w:type="dxa"/>
          </w:tcPr>
          <w:p w14:paraId="7FB1A61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2670</w:t>
            </w:r>
          </w:p>
        </w:tc>
        <w:tc>
          <w:tcPr>
            <w:tcW w:w="1145" w:type="dxa"/>
          </w:tcPr>
          <w:p w14:paraId="5D3D5A3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7200</w:t>
            </w:r>
          </w:p>
        </w:tc>
        <w:tc>
          <w:tcPr>
            <w:tcW w:w="1145" w:type="dxa"/>
          </w:tcPr>
          <w:p w14:paraId="15BA705C"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4550</w:t>
            </w:r>
          </w:p>
        </w:tc>
        <w:tc>
          <w:tcPr>
            <w:tcW w:w="1145" w:type="dxa"/>
          </w:tcPr>
          <w:p w14:paraId="2C752961"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r>
      <w:tr w:rsidR="004E10C1" w:rsidRPr="0044524F" w14:paraId="29BA04AB" w14:textId="77777777">
        <w:tc>
          <w:tcPr>
            <w:tcW w:w="1145" w:type="dxa"/>
          </w:tcPr>
          <w:p w14:paraId="7EA72A98"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Блерио-110</w:t>
            </w:r>
          </w:p>
        </w:tc>
        <w:tc>
          <w:tcPr>
            <w:tcW w:w="1145" w:type="dxa"/>
          </w:tcPr>
          <w:p w14:paraId="6E1A128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12МЬг (500)</w:t>
            </w:r>
          </w:p>
        </w:tc>
        <w:tc>
          <w:tcPr>
            <w:tcW w:w="1145" w:type="dxa"/>
          </w:tcPr>
          <w:p w14:paraId="7946F633"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w:t>
            </w:r>
          </w:p>
        </w:tc>
        <w:tc>
          <w:tcPr>
            <w:tcW w:w="1145" w:type="dxa"/>
          </w:tcPr>
          <w:p w14:paraId="32600547"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81,0</w:t>
            </w:r>
          </w:p>
        </w:tc>
        <w:tc>
          <w:tcPr>
            <w:tcW w:w="1145" w:type="dxa"/>
          </w:tcPr>
          <w:p w14:paraId="28B74D4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8,65</w:t>
            </w:r>
          </w:p>
        </w:tc>
        <w:tc>
          <w:tcPr>
            <w:tcW w:w="1145" w:type="dxa"/>
          </w:tcPr>
          <w:p w14:paraId="1B1CB0DB"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2700</w:t>
            </w:r>
          </w:p>
        </w:tc>
        <w:tc>
          <w:tcPr>
            <w:tcW w:w="1145" w:type="dxa"/>
          </w:tcPr>
          <w:p w14:paraId="36B9720A"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8500</w:t>
            </w:r>
          </w:p>
        </w:tc>
        <w:tc>
          <w:tcPr>
            <w:tcW w:w="1145" w:type="dxa"/>
          </w:tcPr>
          <w:p w14:paraId="0358B11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5500</w:t>
            </w:r>
          </w:p>
        </w:tc>
        <w:tc>
          <w:tcPr>
            <w:tcW w:w="1145" w:type="dxa"/>
          </w:tcPr>
          <w:p w14:paraId="7C8F8A4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104,5</w:t>
            </w:r>
          </w:p>
        </w:tc>
      </w:tr>
      <w:tr w:rsidR="004E10C1" w:rsidRPr="0044524F" w14:paraId="75D33C8B" w14:textId="77777777">
        <w:tc>
          <w:tcPr>
            <w:tcW w:w="1145" w:type="dxa"/>
          </w:tcPr>
          <w:p w14:paraId="6051D34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Девуатин D.33</w:t>
            </w:r>
          </w:p>
        </w:tc>
        <w:tc>
          <w:tcPr>
            <w:tcW w:w="1145" w:type="dxa"/>
          </w:tcPr>
          <w:p w14:paraId="3E23761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12Nb (650)</w:t>
            </w:r>
          </w:p>
        </w:tc>
        <w:tc>
          <w:tcPr>
            <w:tcW w:w="1145" w:type="dxa"/>
          </w:tcPr>
          <w:p w14:paraId="7175BFF2"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1145" w:type="dxa"/>
          </w:tcPr>
          <w:p w14:paraId="4D518938"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78,0</w:t>
            </w:r>
          </w:p>
        </w:tc>
        <w:tc>
          <w:tcPr>
            <w:tcW w:w="1145" w:type="dxa"/>
          </w:tcPr>
          <w:p w14:paraId="4C0A0F2C"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145" w:type="dxa"/>
          </w:tcPr>
          <w:p w14:paraId="38F4DF0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3100</w:t>
            </w:r>
          </w:p>
        </w:tc>
        <w:tc>
          <w:tcPr>
            <w:tcW w:w="1145" w:type="dxa"/>
          </w:tcPr>
          <w:p w14:paraId="251DEE4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9200</w:t>
            </w:r>
          </w:p>
        </w:tc>
        <w:tc>
          <w:tcPr>
            <w:tcW w:w="1145" w:type="dxa"/>
          </w:tcPr>
          <w:p w14:paraId="084B23F7"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5600</w:t>
            </w:r>
          </w:p>
        </w:tc>
        <w:tc>
          <w:tcPr>
            <w:tcW w:w="1145" w:type="dxa"/>
          </w:tcPr>
          <w:p w14:paraId="45AF6C1C"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117,5</w:t>
            </w:r>
          </w:p>
        </w:tc>
      </w:tr>
      <w:tr w:rsidR="004E10C1" w:rsidRPr="0044524F" w14:paraId="4F1B60ED" w14:textId="77777777">
        <w:tc>
          <w:tcPr>
            <w:tcW w:w="1145" w:type="dxa"/>
            <w:tcBorders>
              <w:bottom w:val="single" w:sz="12" w:space="0" w:color="auto"/>
            </w:tcBorders>
          </w:tcPr>
          <w:p w14:paraId="43C6A08C"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Бернар-80</w:t>
            </w:r>
          </w:p>
        </w:tc>
        <w:tc>
          <w:tcPr>
            <w:tcW w:w="1145" w:type="dxa"/>
            <w:tcBorders>
              <w:bottom w:val="single" w:sz="12" w:space="0" w:color="auto"/>
            </w:tcBorders>
          </w:tcPr>
          <w:p w14:paraId="360A050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12Nb (650)</w:t>
            </w:r>
          </w:p>
        </w:tc>
        <w:tc>
          <w:tcPr>
            <w:tcW w:w="1145" w:type="dxa"/>
            <w:tcBorders>
              <w:bottom w:val="single" w:sz="12" w:space="0" w:color="auto"/>
            </w:tcBorders>
          </w:tcPr>
          <w:p w14:paraId="396FEC82"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1145" w:type="dxa"/>
            <w:tcBorders>
              <w:bottom w:val="single" w:sz="12" w:space="0" w:color="auto"/>
            </w:tcBorders>
          </w:tcPr>
          <w:p w14:paraId="15D1009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1145" w:type="dxa"/>
            <w:tcBorders>
              <w:bottom w:val="single" w:sz="12" w:space="0" w:color="auto"/>
            </w:tcBorders>
          </w:tcPr>
          <w:p w14:paraId="0E10274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1145" w:type="dxa"/>
            <w:tcBorders>
              <w:bottom w:val="single" w:sz="12" w:space="0" w:color="auto"/>
            </w:tcBorders>
          </w:tcPr>
          <w:p w14:paraId="1CC08047"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3100</w:t>
            </w:r>
          </w:p>
        </w:tc>
        <w:tc>
          <w:tcPr>
            <w:tcW w:w="1145" w:type="dxa"/>
            <w:tcBorders>
              <w:bottom w:val="single" w:sz="12" w:space="0" w:color="auto"/>
            </w:tcBorders>
          </w:tcPr>
          <w:p w14:paraId="2005EC53"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8625</w:t>
            </w:r>
          </w:p>
        </w:tc>
        <w:tc>
          <w:tcPr>
            <w:tcW w:w="1145" w:type="dxa"/>
            <w:tcBorders>
              <w:bottom w:val="single" w:sz="12" w:space="0" w:color="auto"/>
            </w:tcBorders>
          </w:tcPr>
          <w:p w14:paraId="1E47FF6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145" w:type="dxa"/>
            <w:tcBorders>
              <w:bottom w:val="single" w:sz="12" w:space="0" w:color="auto"/>
            </w:tcBorders>
          </w:tcPr>
          <w:p w14:paraId="4B1DBE53"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123,0</w:t>
            </w:r>
          </w:p>
        </w:tc>
      </w:tr>
    </w:tbl>
    <w:p w14:paraId="686237B7"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1B005C99"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77ED0962"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 августа 1933 года французы Колос и Росси устано</w:t>
      </w:r>
      <w:r w:rsidRPr="0044524F">
        <w:rPr>
          <w:rFonts w:ascii="Times New Roman" w:hAnsi="Times New Roman"/>
          <w:color w:val="000000" w:themeColor="text1"/>
          <w:sz w:val="16"/>
          <w:szCs w:val="16"/>
        </w:rPr>
        <w:softHyphen/>
        <w:t>вили очередной мировой рекорд, пролетев по прямой на самолете «Блерио-110», на</w:t>
      </w:r>
      <w:r w:rsidRPr="0044524F">
        <w:rPr>
          <w:rFonts w:ascii="Times New Roman" w:hAnsi="Times New Roman"/>
          <w:color w:val="000000" w:themeColor="text1"/>
          <w:sz w:val="16"/>
          <w:szCs w:val="16"/>
        </w:rPr>
        <w:softHyphen/>
        <w:t>званном «Жозеф Ле Бри», 9104 км (12725).</w:t>
      </w:r>
    </w:p>
    <w:p w14:paraId="5B8DF075" w14:textId="77777777" w:rsidR="004050DA" w:rsidRPr="0044524F" w:rsidRDefault="004050DA" w:rsidP="009654CF">
      <w:pPr>
        <w:spacing w:after="0" w:line="240" w:lineRule="auto"/>
        <w:jc w:val="both"/>
        <w:rPr>
          <w:rFonts w:ascii="Times New Roman" w:hAnsi="Times New Roman"/>
          <w:color w:val="000000" w:themeColor="text1"/>
          <w:sz w:val="16"/>
          <w:szCs w:val="16"/>
        </w:rPr>
      </w:pPr>
    </w:p>
    <w:p w14:paraId="0FF64C8B" w14:textId="77777777" w:rsidR="00D602F8" w:rsidRPr="00142305" w:rsidRDefault="00D602F8" w:rsidP="00D602F8">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период 5—7 августа 1933 г. французские пилоты Росси и Кодос осуществили на «Блерио-110» рекордный перелет протяженностью 9104 км из Нью-Йорка в сирийский город Райак (французская тер</w:t>
      </w:r>
      <w:r w:rsidRPr="00142305">
        <w:rPr>
          <w:rStyle w:val="aff"/>
          <w:rFonts w:ascii="Times New Roman" w:hAnsi="Times New Roman" w:cs="Times New Roman"/>
          <w:color w:val="0070C0"/>
          <w:spacing w:val="0"/>
          <w:sz w:val="16"/>
          <w:szCs w:val="16"/>
        </w:rPr>
        <w:softHyphen/>
        <w:t>ритория в Сирии) за 56 ч.</w:t>
      </w:r>
    </w:p>
    <w:p w14:paraId="76E33940"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Цельнодеревянный высокоплан «Блерио-110» имел крыло с размахом 26,5 м, которое поддерживалось рас</w:t>
      </w:r>
      <w:r w:rsidRPr="00142305">
        <w:rPr>
          <w:rStyle w:val="aff"/>
          <w:rFonts w:ascii="Times New Roman" w:hAnsi="Times New Roman" w:cs="Times New Roman"/>
          <w:color w:val="0070C0"/>
          <w:spacing w:val="0"/>
          <w:sz w:val="16"/>
          <w:szCs w:val="16"/>
        </w:rPr>
        <w:softHyphen/>
        <w:t>чалками и в плане имело почти эллиптическую форму, а в его сече</w:t>
      </w:r>
      <w:r w:rsidRPr="00142305">
        <w:rPr>
          <w:rStyle w:val="aff"/>
          <w:rFonts w:ascii="Times New Roman" w:hAnsi="Times New Roman" w:cs="Times New Roman"/>
          <w:color w:val="0070C0"/>
          <w:spacing w:val="0"/>
          <w:sz w:val="16"/>
          <w:szCs w:val="16"/>
        </w:rPr>
        <w:softHyphen/>
        <w:t>нии использовался выпукло-вогнутый профиль, который поми</w:t>
      </w:r>
      <w:r w:rsidRPr="00142305">
        <w:rPr>
          <w:rStyle w:val="aff"/>
          <w:rFonts w:ascii="Times New Roman" w:hAnsi="Times New Roman" w:cs="Times New Roman"/>
          <w:color w:val="0070C0"/>
          <w:spacing w:val="0"/>
          <w:sz w:val="16"/>
          <w:szCs w:val="16"/>
        </w:rPr>
        <w:softHyphen/>
        <w:t>мо прочего снижал неприятные явления изменения центровки по мере выработки горючего из фюзеляжных баков. Фюзеляж самолета был деревянным, типа монокок, почти треугольного сечения, что позволяло наиболее эффективно крепить поддерживающие крыльевые расчалки. Кабина пилотов не имела вы</w:t>
      </w:r>
      <w:r w:rsidRPr="00142305">
        <w:rPr>
          <w:rStyle w:val="aff"/>
          <w:rFonts w:ascii="Times New Roman" w:hAnsi="Times New Roman" w:cs="Times New Roman"/>
          <w:color w:val="0070C0"/>
          <w:spacing w:val="0"/>
          <w:sz w:val="16"/>
          <w:szCs w:val="16"/>
        </w:rPr>
        <w:softHyphen/>
        <w:t>ступа из фюзеляжа, поэтому для получения необходимого обзора на взлете и посадке высокоплан оборудовали специальным перископом. Двигатель «Испано-Сюза» 12 МБг мощностью 500 л. с. был снабжен лобовым радиатором. Горючее общей ем</w:t>
      </w:r>
      <w:r w:rsidRPr="00142305">
        <w:rPr>
          <w:rStyle w:val="aff"/>
          <w:rFonts w:ascii="Times New Roman" w:hAnsi="Times New Roman" w:cs="Times New Roman"/>
          <w:color w:val="0070C0"/>
          <w:spacing w:val="0"/>
          <w:sz w:val="16"/>
          <w:szCs w:val="16"/>
        </w:rPr>
        <w:softHyphen/>
        <w:t>костью 7855 литров размещалось в 8 крыльевых топливных ба</w:t>
      </w:r>
      <w:r w:rsidRPr="00142305">
        <w:rPr>
          <w:rStyle w:val="aff"/>
          <w:rFonts w:ascii="Times New Roman" w:hAnsi="Times New Roman" w:cs="Times New Roman"/>
          <w:color w:val="0070C0"/>
          <w:spacing w:val="0"/>
          <w:sz w:val="16"/>
          <w:szCs w:val="16"/>
        </w:rPr>
        <w:softHyphen/>
        <w:t>ках и в 4 фюзеляжных. Шасси неубираемое, на пирамидальных стойках, было снабжено резиновой амортизацией (25675).</w:t>
      </w:r>
    </w:p>
    <w:p w14:paraId="06183467" w14:textId="77777777" w:rsidR="00D602F8" w:rsidRPr="00142305" w:rsidRDefault="00D602F8" w:rsidP="00D602F8">
      <w:pPr>
        <w:spacing w:after="0" w:line="240" w:lineRule="auto"/>
        <w:jc w:val="both"/>
        <w:rPr>
          <w:rFonts w:ascii="Times New Roman" w:hAnsi="Times New Roman"/>
          <w:color w:val="0070C0"/>
          <w:sz w:val="16"/>
          <w:szCs w:val="16"/>
        </w:rPr>
      </w:pPr>
    </w:p>
    <w:p w14:paraId="6F4E9C15" w14:textId="77777777" w:rsidR="00716C34" w:rsidRPr="0044524F" w:rsidRDefault="00716C3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5 августа в 1933 году экипаж в составе Paul Codos и Maurice Rossi взлетев в Нью-Йорке приземлился 7 августа на аэродроме Райак в Сирии, преодолев за 55 часов 9100 километров и установив новый мировой рекорд на дальность полета. </w:t>
      </w:r>
      <w:hyperlink r:id="rId283" w:tgtFrame="_blank" w:history="1">
        <w:r w:rsidRPr="0044524F">
          <w:rPr>
            <w:rFonts w:ascii="Times New Roman" w:hAnsi="Times New Roman"/>
            <w:color w:val="000000" w:themeColor="text1"/>
            <w:sz w:val="16"/>
            <w:szCs w:val="16"/>
          </w:rPr>
          <w:t xml:space="preserve">«Bl-110» «Joseph Le Brix» </w:t>
        </w:r>
      </w:hyperlink>
      <w:r w:rsidRPr="0044524F">
        <w:rPr>
          <w:rFonts w:ascii="Times New Roman" w:hAnsi="Times New Roman"/>
          <w:color w:val="000000" w:themeColor="text1"/>
          <w:sz w:val="16"/>
          <w:szCs w:val="16"/>
        </w:rPr>
        <w:t>- рекордный самолет, разработанный французской фирмой «Bleriot». Первый полет самолета состоялся 16 мая 1930 года. 26 февраля 1931 года, после проведения испытаний, французские летчики Lucien Bossoutrot и Maurice Rossi совершили на нем перелет преодолев 8822 километров за 75 часов и 23 минуты. Полет закончившийся 1 марта стал мировым рекордом для полетов по замкнутой петле. Уже 23 марта пилоты устанавливают новый мировой рекорд преодолев 10601 километров за 76 часов и 34 минуты (14974).</w:t>
      </w:r>
    </w:p>
    <w:p w14:paraId="35C6BAD4" w14:textId="77777777" w:rsidR="00716C34" w:rsidRPr="0044524F" w:rsidRDefault="00716C34" w:rsidP="009654CF">
      <w:pPr>
        <w:spacing w:after="0" w:line="240" w:lineRule="auto"/>
        <w:jc w:val="both"/>
        <w:rPr>
          <w:rFonts w:ascii="Times New Roman" w:hAnsi="Times New Roman"/>
          <w:color w:val="000000" w:themeColor="text1"/>
          <w:sz w:val="16"/>
          <w:szCs w:val="16"/>
        </w:rPr>
      </w:pPr>
    </w:p>
    <w:p w14:paraId="4D4CE97C"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 августа 1933 французские авиаторы Морис Росси и Поль Кодос совершают перелет на Blériot 110 Joseph le Brix из Флойд Беннетт Филд в Нью-Йорке в Раяк на территории под французским мандатом в Сирии и Ливане, установив новый рекорд дальности без дозаправки в 9 104 км (5654 км). миль) (20802).</w:t>
      </w:r>
    </w:p>
    <w:p w14:paraId="1AA61802" w14:textId="77777777" w:rsidR="00B80264" w:rsidRPr="0044524F" w:rsidRDefault="00B80264" w:rsidP="009654CF">
      <w:pPr>
        <w:spacing w:after="0" w:line="240" w:lineRule="auto"/>
        <w:jc w:val="both"/>
        <w:rPr>
          <w:rFonts w:ascii="Times New Roman" w:hAnsi="Times New Roman"/>
          <w:color w:val="000000" w:themeColor="text1"/>
          <w:sz w:val="16"/>
          <w:szCs w:val="16"/>
        </w:rPr>
      </w:pPr>
    </w:p>
    <w:p w14:paraId="70F3D605"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 Экипаж в составе Paul Codos и Maurice Rossi взлетев в Нью-Йорке приземлился 7 августа на аэродроме Райак в Сирии, преодолев за 55 часов 9100 километров и установив новый мировой рекорд на дальность полета. Bl-110 Joseph Le Brix - рекордный самолет, разработанный французской фирмой Bleriot. Первый полет самолета состоялся 16 мая 1930 года. 26 февраля 1931 года, после проведения испытаний, французские летчики Lucien Bossoutrot и Maurice Rossi совершили на нем перелет преодолев 8822 километров за 75 часов и 23 минуты. Полет закончившийся 1 марта стал мировым рекордом для полетов по замкнутой петле. Уже 23 марта пилоты устанавливают новый мировой рекорд преодолев 10601 километров за 76 часов и 34 минуты (22408).</w:t>
      </w:r>
    </w:p>
    <w:p w14:paraId="55668117" w14:textId="77777777" w:rsidR="00B80264" w:rsidRPr="0044524F" w:rsidRDefault="00B80264" w:rsidP="009654CF">
      <w:pPr>
        <w:spacing w:after="0" w:line="240" w:lineRule="auto"/>
        <w:jc w:val="both"/>
        <w:rPr>
          <w:rFonts w:ascii="Times New Roman" w:hAnsi="Times New Roman"/>
          <w:color w:val="000000" w:themeColor="text1"/>
          <w:sz w:val="16"/>
          <w:szCs w:val="16"/>
        </w:rPr>
      </w:pPr>
    </w:p>
    <w:p w14:paraId="23FA31C1"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1933 Польша заключает соглашение с вольным городом Данцигом (современный польский г. Гданьск) (7451).</w:t>
      </w:r>
    </w:p>
    <w:p w14:paraId="505391AE"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31088E83"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0500A50"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1BAEEE04"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августа 1933 года доработанный самолет ТБ-3 совершил беспосадочный перелет по маршруту Щелково (ныне аэродром Чкаловская) - Евпатория - Щелково за 15,5 часа. На полигоне в Евпатории сбросили 2500 кг бомб. По остатку горючего сделали вывод: «Самолет допускает при безветрии бомбовую нагрузку 3200 кг при полете на радиус 1200 км и 2000 кг при полете на радиус 1500 км» (24991).</w:t>
      </w:r>
    </w:p>
    <w:p w14:paraId="20EDE04E" w14:textId="77777777" w:rsidR="00D602F8" w:rsidRPr="00142305" w:rsidRDefault="00D602F8" w:rsidP="00D602F8">
      <w:pPr>
        <w:spacing w:after="0" w:line="240" w:lineRule="auto"/>
        <w:jc w:val="both"/>
        <w:rPr>
          <w:rFonts w:ascii="Times New Roman" w:hAnsi="Times New Roman"/>
          <w:color w:val="0070C0"/>
          <w:sz w:val="16"/>
          <w:szCs w:val="16"/>
        </w:rPr>
      </w:pPr>
    </w:p>
    <w:p w14:paraId="09A866EC"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августа 1933 на К-7 К.А.К. была проба моторов и в течение 1:40 все 7 моторов работали одновременно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35DF43E3" w14:textId="77777777">
        <w:tc>
          <w:tcPr>
            <w:tcW w:w="1384" w:type="dxa"/>
            <w:tcBorders>
              <w:top w:val="single" w:sz="12" w:space="0" w:color="auto"/>
            </w:tcBorders>
          </w:tcPr>
          <w:p w14:paraId="1C8126A1"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21B3BF7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tc>
        <w:tc>
          <w:tcPr>
            <w:tcW w:w="1089" w:type="dxa"/>
            <w:tcBorders>
              <w:top w:val="single" w:sz="12" w:space="0" w:color="auto"/>
            </w:tcBorders>
          </w:tcPr>
          <w:p w14:paraId="07C5DF7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D1A0BBA"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7B40CD5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001161B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2D0F385F" w14:textId="77777777">
        <w:tc>
          <w:tcPr>
            <w:tcW w:w="1384" w:type="dxa"/>
            <w:tcBorders>
              <w:bottom w:val="single" w:sz="12" w:space="0" w:color="auto"/>
            </w:tcBorders>
          </w:tcPr>
          <w:p w14:paraId="513C2618"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августа 1933</w:t>
            </w:r>
          </w:p>
        </w:tc>
        <w:tc>
          <w:tcPr>
            <w:tcW w:w="2410" w:type="dxa"/>
            <w:tcBorders>
              <w:bottom w:val="single" w:sz="12" w:space="0" w:color="auto"/>
            </w:tcBorders>
          </w:tcPr>
          <w:p w14:paraId="0B8E4AE7"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Проба мотора</w:t>
            </w:r>
          </w:p>
        </w:tc>
        <w:tc>
          <w:tcPr>
            <w:tcW w:w="1089" w:type="dxa"/>
            <w:tcBorders>
              <w:bottom w:val="single" w:sz="12" w:space="0" w:color="auto"/>
            </w:tcBorders>
          </w:tcPr>
          <w:p w14:paraId="6CDC2DC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c>
          <w:tcPr>
            <w:tcW w:w="3447" w:type="dxa"/>
            <w:tcBorders>
              <w:bottom w:val="single" w:sz="12" w:space="0" w:color="auto"/>
            </w:tcBorders>
          </w:tcPr>
          <w:p w14:paraId="55D4E51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7 моторов с-та работали нормально</w:t>
            </w:r>
          </w:p>
        </w:tc>
        <w:tc>
          <w:tcPr>
            <w:tcW w:w="1776" w:type="dxa"/>
            <w:tcBorders>
              <w:bottom w:val="single" w:sz="12" w:space="0" w:color="auto"/>
            </w:tcBorders>
          </w:tcPr>
          <w:p w14:paraId="63647273"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Поправки к электрическим счетчикам оборотов - 180-200</w:t>
            </w:r>
          </w:p>
        </w:tc>
        <w:tc>
          <w:tcPr>
            <w:tcW w:w="1105" w:type="dxa"/>
            <w:tcBorders>
              <w:bottom w:val="single" w:sz="12" w:space="0" w:color="auto"/>
            </w:tcBorders>
          </w:tcPr>
          <w:p w14:paraId="1F87853D"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r>
    </w:tbl>
    <w:p w14:paraId="3BF26BBB"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5E1BA8E4"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662B295D"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0DEBC43"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1BE92A43"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августа 1933 года был подготовлен Отчет о совместном испытании с 39 заводом головного серийного самолета «Z» № 39004 с мотором Гном Рон ЮVI 9 АО (6787).</w:t>
      </w:r>
    </w:p>
    <w:p w14:paraId="5B071099"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3914A9A1"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Холодов</w:t>
      </w:r>
    </w:p>
    <w:p w14:paraId="68BC5C7A"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Попов</w:t>
      </w:r>
    </w:p>
    <w:p w14:paraId="1D34B01B"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0954B1FC"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данных самолета и выявление дефектов для исправления их на последующих образцах.</w:t>
      </w:r>
    </w:p>
    <w:p w14:paraId="113CD08A"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6518F641" w14:textId="77777777" w:rsidR="00487C9C" w:rsidRPr="0044524F" w:rsidRDefault="00487C9C" w:rsidP="009654CF">
      <w:pPr>
        <w:numPr>
          <w:ilvl w:val="0"/>
          <w:numId w:val="24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совершенно необходимым форсировать доводку пушечного вооружения с тем, чтобы последнее было испытано на самолете не позднее 1 сентября 1932 года.</w:t>
      </w:r>
    </w:p>
    <w:p w14:paraId="09ABF754"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253C1195"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поступил на испытания – 28 июня 1932 года</w:t>
      </w:r>
    </w:p>
    <w:p w14:paraId="0C7B4039"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начато – 28 июня 1932 года</w:t>
      </w:r>
    </w:p>
    <w:p w14:paraId="6F5B7BEF"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окончено – 29 июля 1932 года</w:t>
      </w:r>
    </w:p>
    <w:p w14:paraId="23AE66A1"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испытания 32 календарных дня.</w:t>
      </w:r>
    </w:p>
    <w:p w14:paraId="74A3EA0E"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произведено в 9 летных дней (6787).</w:t>
      </w:r>
    </w:p>
    <w:p w14:paraId="4F57046F"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p>
    <w:p w14:paraId="5851FF26"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августа 1933 г. состоялось ещё одно совещание по вопросам гидроавиации, на этот раз в Кремле под председательством И.В. Сталина.. Через несколько дней после него Ильюшина и Бериева вызвали в Реввоенсовет СССР и сообщили, что решением правительства МБР-2 принят на вооружение. Ильюшин тут же поздравил Бериева с этим знаменательным событием, означавшим, что он официально признан как авиаконструктор.</w:t>
      </w:r>
    </w:p>
    <w:p w14:paraId="5CB63310"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серийного производства нового морского разведчика ГУАП выбрало таганрогский завод № 31 - в то время одно из крупнейших отечественных авиационных предприятий, имевший большой опыт строительства морских самолётов. Производственная программа завода на тот момент была весьма напряжённой и включала крупносерийный выпуск амфибии LLI-2, поплавкового варианта "крейсера" Р-6 - МР-6, а также летающих лодок МБР-4 (копия итальянской S.62bis). Сменить последние в строевых частях и должен был МБР-2 (12003).</w:t>
      </w:r>
    </w:p>
    <w:p w14:paraId="54D1D9FB"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7A5EEE95"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В начале августа 1933 г. состоя</w:t>
      </w:r>
      <w:r w:rsidRPr="00142305">
        <w:rPr>
          <w:rStyle w:val="aff"/>
          <w:rFonts w:ascii="Times New Roman" w:eastAsiaTheme="minorHAnsi" w:hAnsi="Times New Roman" w:cs="Times New Roman"/>
          <w:color w:val="0070C0"/>
          <w:spacing w:val="0"/>
          <w:sz w:val="16"/>
          <w:szCs w:val="16"/>
        </w:rPr>
        <w:softHyphen/>
        <w:t>лось еще одно совещание по состоянию морской авиации, на этот раз в Кремле под председательст</w:t>
      </w:r>
      <w:r w:rsidRPr="00142305">
        <w:rPr>
          <w:rStyle w:val="aff"/>
          <w:rFonts w:ascii="Times New Roman" w:eastAsiaTheme="minorHAnsi" w:hAnsi="Times New Roman" w:cs="Times New Roman"/>
          <w:color w:val="0070C0"/>
          <w:spacing w:val="0"/>
          <w:sz w:val="16"/>
          <w:szCs w:val="16"/>
        </w:rPr>
        <w:softHyphen/>
        <w:t>вом И.В. Сталина. Через несколько дней после него началь</w:t>
      </w:r>
      <w:r w:rsidRPr="00142305">
        <w:rPr>
          <w:rStyle w:val="aff"/>
          <w:rFonts w:ascii="Times New Roman" w:eastAsiaTheme="minorHAnsi" w:hAnsi="Times New Roman" w:cs="Times New Roman"/>
          <w:color w:val="0070C0"/>
          <w:spacing w:val="0"/>
          <w:sz w:val="16"/>
          <w:szCs w:val="16"/>
        </w:rPr>
        <w:softHyphen/>
        <w:t>ника ЦКБ С.В. Ильюшина и Г.М. Бе</w:t>
      </w:r>
      <w:r w:rsidRPr="00142305">
        <w:rPr>
          <w:rStyle w:val="aff"/>
          <w:rFonts w:ascii="Times New Roman" w:eastAsiaTheme="minorHAnsi" w:hAnsi="Times New Roman" w:cs="Times New Roman"/>
          <w:color w:val="0070C0"/>
          <w:spacing w:val="0"/>
          <w:sz w:val="16"/>
          <w:szCs w:val="16"/>
        </w:rPr>
        <w:softHyphen/>
        <w:t>риева вызвали в Реввоенсовет СССР и сообщили, что МБР-2 решением правительства принят на вооруже</w:t>
      </w:r>
      <w:r w:rsidRPr="00142305">
        <w:rPr>
          <w:rStyle w:val="aff"/>
          <w:rFonts w:ascii="Times New Roman" w:eastAsiaTheme="minorHAnsi" w:hAnsi="Times New Roman" w:cs="Times New Roman"/>
          <w:color w:val="0070C0"/>
          <w:spacing w:val="0"/>
          <w:sz w:val="16"/>
          <w:szCs w:val="16"/>
        </w:rPr>
        <w:softHyphen/>
        <w:t>ние морской авиации. Ильюшин тут же поздравил Бериева с этим знаменательным событием, озна</w:t>
      </w:r>
      <w:r w:rsidRPr="00142305">
        <w:rPr>
          <w:rStyle w:val="aff"/>
          <w:rFonts w:ascii="Times New Roman" w:eastAsiaTheme="minorHAnsi" w:hAnsi="Times New Roman" w:cs="Times New Roman"/>
          <w:color w:val="0070C0"/>
          <w:spacing w:val="0"/>
          <w:sz w:val="16"/>
          <w:szCs w:val="16"/>
        </w:rPr>
        <w:softHyphen/>
        <w:t>чавшим, что он официально при</w:t>
      </w:r>
      <w:r w:rsidRPr="00142305">
        <w:rPr>
          <w:rStyle w:val="aff"/>
          <w:rFonts w:ascii="Times New Roman" w:eastAsiaTheme="minorHAnsi" w:hAnsi="Times New Roman" w:cs="Times New Roman"/>
          <w:color w:val="0070C0"/>
          <w:spacing w:val="0"/>
          <w:sz w:val="16"/>
          <w:szCs w:val="16"/>
        </w:rPr>
        <w:softHyphen/>
        <w:t>знан как авиаконструктор.</w:t>
      </w:r>
    </w:p>
    <w:p w14:paraId="26F3CA1C"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Главным управлением авиаци</w:t>
      </w:r>
      <w:r w:rsidRPr="00142305">
        <w:rPr>
          <w:rStyle w:val="aff"/>
          <w:rFonts w:ascii="Times New Roman" w:eastAsiaTheme="minorHAnsi" w:hAnsi="Times New Roman" w:cs="Times New Roman"/>
          <w:color w:val="0070C0"/>
          <w:spacing w:val="0"/>
          <w:sz w:val="16"/>
          <w:szCs w:val="16"/>
        </w:rPr>
        <w:softHyphen/>
        <w:t>онной промышленности (ГУАИ) для серийного производства ново</w:t>
      </w:r>
      <w:r w:rsidRPr="00142305">
        <w:rPr>
          <w:rStyle w:val="aff"/>
          <w:rFonts w:ascii="Times New Roman" w:eastAsiaTheme="minorHAnsi" w:hAnsi="Times New Roman" w:cs="Times New Roman"/>
          <w:color w:val="0070C0"/>
          <w:spacing w:val="0"/>
          <w:sz w:val="16"/>
          <w:szCs w:val="16"/>
        </w:rPr>
        <w:softHyphen/>
        <w:t>го морского разведчика без колеба</w:t>
      </w:r>
      <w:r w:rsidRPr="00142305">
        <w:rPr>
          <w:rStyle w:val="aff"/>
          <w:rFonts w:ascii="Times New Roman" w:eastAsiaTheme="minorHAnsi" w:hAnsi="Times New Roman" w:cs="Times New Roman"/>
          <w:color w:val="0070C0"/>
          <w:spacing w:val="0"/>
          <w:sz w:val="16"/>
          <w:szCs w:val="16"/>
        </w:rPr>
        <w:softHyphen/>
        <w:t>ний был выбран таганрогский за</w:t>
      </w:r>
      <w:r w:rsidRPr="00142305">
        <w:rPr>
          <w:rStyle w:val="aff"/>
          <w:rFonts w:ascii="Times New Roman" w:eastAsiaTheme="minorHAnsi" w:hAnsi="Times New Roman" w:cs="Times New Roman"/>
          <w:color w:val="0070C0"/>
          <w:spacing w:val="0"/>
          <w:sz w:val="16"/>
          <w:szCs w:val="16"/>
        </w:rPr>
        <w:softHyphen/>
        <w:t>вод №31. Севастопольский 45-й за</w:t>
      </w:r>
      <w:r w:rsidRPr="00142305">
        <w:rPr>
          <w:rStyle w:val="aff"/>
          <w:rFonts w:ascii="Times New Roman" w:eastAsiaTheme="minorHAnsi" w:hAnsi="Times New Roman" w:cs="Times New Roman"/>
          <w:color w:val="0070C0"/>
          <w:spacing w:val="0"/>
          <w:sz w:val="16"/>
          <w:szCs w:val="16"/>
        </w:rPr>
        <w:softHyphen/>
        <w:t>вод, бывший, по сути, большими авиаремонтными мастерскими, для постройки крупной серии просто не годился (25061).</w:t>
      </w:r>
    </w:p>
    <w:p w14:paraId="719D50F0" w14:textId="77777777" w:rsidR="00D602F8" w:rsidRPr="00142305" w:rsidRDefault="00D602F8" w:rsidP="00D602F8">
      <w:pPr>
        <w:spacing w:after="0" w:line="240" w:lineRule="auto"/>
        <w:jc w:val="both"/>
        <w:rPr>
          <w:rFonts w:ascii="Times New Roman" w:hAnsi="Times New Roman"/>
          <w:color w:val="0070C0"/>
          <w:sz w:val="16"/>
          <w:szCs w:val="16"/>
        </w:rPr>
      </w:pPr>
    </w:p>
    <w:p w14:paraId="11A464FA"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августа 1933 А.С.Демченко прибыл на гражданской лл S.55 во Владивосток. Одну из 6 Савой, купленных ГВФ для ДВ, упала с малой высоты в Волгу в районе Сталинграда (2446,41).</w:t>
      </w:r>
    </w:p>
    <w:p w14:paraId="6AC288C9"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4406692D"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августа 1933 «Савойя» С.55 благополучно прибыла во Владивосток, а 18 августа Демченко был награжден орденом Красной Звезды (5486,4).</w:t>
      </w:r>
    </w:p>
    <w:p w14:paraId="44FDBB3D"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6097B1E8"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августа 1933 самолет С55 без значительных происшествий долетел до Владивостока. Маршрут шел через Севастополь - Вольск - Казань - Свердловск - Тобольск - Новосибирск - Красноярск - Стрелка - Братск - Иркутск - Чита - Благовещенск - Хабаровск - Владивосток, что составило в итоге 10.500 километров, а если считать от Сесто Календе – 15.000 км.</w:t>
      </w:r>
    </w:p>
    <w:p w14:paraId="369102CC"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зимы самолет был демонтирован и отправлен на хранение на портовом складе во Владивостоке, где находились также другие три летающие лодки S.55, прибывшие морским путем. Пятый же самолет из заказанной серии был собран Севастополе и передан Управлению Воздушной службы ГУСМП (21410).</w:t>
      </w:r>
    </w:p>
    <w:p w14:paraId="74252D10" w14:textId="77777777" w:rsidR="00B80264" w:rsidRPr="0044524F" w:rsidRDefault="00B80264" w:rsidP="009654CF">
      <w:pPr>
        <w:spacing w:after="0" w:line="240" w:lineRule="auto"/>
        <w:jc w:val="both"/>
        <w:rPr>
          <w:rFonts w:ascii="Times New Roman" w:hAnsi="Times New Roman"/>
          <w:color w:val="000000" w:themeColor="text1"/>
          <w:sz w:val="16"/>
          <w:szCs w:val="16"/>
        </w:rPr>
      </w:pPr>
    </w:p>
    <w:p w14:paraId="77140D57" w14:textId="24B4E69D" w:rsidR="00D602F8" w:rsidRPr="0044524F" w:rsidRDefault="00D602F8" w:rsidP="00D602F8">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44524F">
        <w:rPr>
          <w:rFonts w:ascii="Times New Roman" w:hAnsi="Times New Roman"/>
          <w:i/>
          <w:iCs/>
          <w:color w:val="000000" w:themeColor="text1"/>
          <w:sz w:val="16"/>
          <w:szCs w:val="16"/>
        </w:rPr>
        <w:t>:</w:t>
      </w:r>
    </w:p>
    <w:p w14:paraId="5750A98E" w14:textId="77777777" w:rsidR="00D602F8" w:rsidRPr="0044524F" w:rsidRDefault="00D602F8" w:rsidP="00D602F8">
      <w:pPr>
        <w:spacing w:after="0" w:line="240" w:lineRule="auto"/>
        <w:jc w:val="both"/>
        <w:rPr>
          <w:rFonts w:ascii="Times New Roman" w:hAnsi="Times New Roman"/>
          <w:iCs/>
          <w:color w:val="000000" w:themeColor="text1"/>
          <w:sz w:val="16"/>
          <w:szCs w:val="16"/>
        </w:rPr>
      </w:pPr>
    </w:p>
    <w:p w14:paraId="1FAA33C8"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августа 1933 года авиационно-ремонтный поезд № 1 прибыл к месту своего назначения на разъезд Дубининский. Позже местом стоянки избрали посёлок бывшей «Коммуны Ленина» в 20 км от первого места и в 20 км от аэродрома Воздвиженка, на котором базировалась 28-я тяжелобомбардировочная авиационная бригада , чьи самолёты ТБ-3 в основном и должны были ремонтировать подвижные мастерские. Поезд поступил в непосредственное подчинение помощнику командующего Морскими силами Дальнего Востока по авиации – начальнику ВВС МСДВ комдиву Л.И. Никифорову.</w:t>
      </w:r>
    </w:p>
    <w:p w14:paraId="5F9136A7"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С декабря 1933 года мастерские поезда вышли на свою расчётную мощность - капитальный ремонт 4 самолётов ТБ-3, средний и капитальный ремонт 30 моторов М-17 в месяц. Несмотря на то, что мастерские были специализированы и рассчитаны только на ремонт бомбардировщиков ТБ-3, они ремонтировали и другие самолёты, как , например, летающие лодки МБР-4.</w:t>
      </w:r>
    </w:p>
    <w:p w14:paraId="60EA8AF2"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 авиационно-ремонтного поезда № 1</w:t>
      </w:r>
      <w:r w:rsidRPr="00142305">
        <w:rPr>
          <w:rFonts w:ascii="Times New Roman" w:hAnsi="Times New Roman"/>
          <w:b/>
          <w:bCs/>
          <w:color w:val="0070C0"/>
          <w:sz w:val="16"/>
          <w:szCs w:val="16"/>
        </w:rPr>
        <w:t xml:space="preserve"> </w:t>
      </w:r>
      <w:r w:rsidRPr="00142305">
        <w:rPr>
          <w:rFonts w:ascii="Times New Roman" w:hAnsi="Times New Roman"/>
          <w:color w:val="0070C0"/>
          <w:sz w:val="16"/>
          <w:szCs w:val="16"/>
        </w:rPr>
        <w:t>оказался положительным , и руководство ВВС РККА приняло решение о формировании ещё двух спецпоездов: одного для ВВС Забайкальского военного округа, сформированного приказом НКО СССР от 17 мая 1935 года на базе Забайкальской группы войск ОКДВА, и одного для ВВС ОКДВА. В обоих объединениях довольно быстро значительно возросло количество авиачастей и, соответственно, самолётов. И оба должны были прикрыть авиацией огромные пространства в Забайкалье и на Дальнем Востоке.</w:t>
      </w:r>
    </w:p>
    <w:p w14:paraId="20E13D6F"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Вскоре был сформирован и в 1935 году прибыл в состав ВВС Забайкальского военного округа (ЗВО) авиационно-ремонтный поезд № 2. Местом его базирования был выбран г. Нерчинск в 305 км к востоку от Читы.</w:t>
      </w:r>
    </w:p>
    <w:p w14:paraId="7BFE84CA"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Авиационно-ремонтный поезд № 3 формировался в соответствии с постановлением Правительства СССР </w:t>
      </w:r>
    </w:p>
    <w:p w14:paraId="6E3945CC"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eastAsia="Times New Roman" w:hAnsi="Times New Roman"/>
          <w:color w:val="0070C0"/>
          <w:sz w:val="16"/>
          <w:szCs w:val="16"/>
        </w:rPr>
        <w:t>№ 128</w:t>
      </w:r>
      <w:r w:rsidRPr="00142305">
        <w:rPr>
          <w:rFonts w:ascii="Times New Roman" w:hAnsi="Times New Roman"/>
          <w:color w:val="0070C0"/>
          <w:sz w:val="16"/>
          <w:szCs w:val="16"/>
        </w:rPr>
        <w:t>сс 1936 года. Срок реализации постановления - 1937 год. Ответственная организация – Управление ВВС РККА. Управление в срок уложилось, в течение 1937 года поезд был сформирован, оборудован, снабжён запасными частями, материалами и инструментом, укомплектован личным составом и подготовлен к отправке к месту дислокации. Начальником авиаремпоезда № 3 был назначен военный инженер 3 ранга В.А. Шалин</w:t>
      </w:r>
      <w:bookmarkStart w:id="41" w:name="_Hlk196644118"/>
      <w:r w:rsidRPr="00142305">
        <w:rPr>
          <w:rFonts w:ascii="Times New Roman" w:hAnsi="Times New Roman"/>
          <w:color w:val="0070C0"/>
          <w:sz w:val="16"/>
          <w:szCs w:val="16"/>
        </w:rPr>
        <w:t>. 9 января 1938 года комиссия под председательством начальника Ремонтного управления УВВС РККА военного инженера 3 ранга И.А. Сенька составила специальный акт о готовности авиационно-ремонтного поезда № 3 следовать в пункт дислокации.</w:t>
      </w:r>
    </w:p>
    <w:p w14:paraId="26378C3C"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Вскоре он был отправлен на Дальний Восток к месту постоянной дислокации на ст. Чернышёвка, в 16 км северо-западнее от г. Арсеньева. Весной поезд прибыл к месту назначения и приступил к планомерной работе (25138).</w:t>
      </w:r>
    </w:p>
    <w:p w14:paraId="3C0BADA4" w14:textId="77777777" w:rsidR="00D602F8" w:rsidRPr="00142305" w:rsidRDefault="00D602F8" w:rsidP="00D602F8">
      <w:pPr>
        <w:spacing w:after="0" w:line="240" w:lineRule="auto"/>
        <w:jc w:val="both"/>
        <w:rPr>
          <w:rFonts w:ascii="Times New Roman" w:hAnsi="Times New Roman"/>
          <w:color w:val="0070C0"/>
          <w:sz w:val="16"/>
          <w:szCs w:val="16"/>
        </w:rPr>
      </w:pPr>
    </w:p>
    <w:bookmarkEnd w:id="41"/>
    <w:p w14:paraId="5504EF79" w14:textId="77777777" w:rsidR="00487C9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963C668" w14:textId="77777777" w:rsidR="00487C9C" w:rsidRPr="0044524F" w:rsidRDefault="00487C9C" w:rsidP="009654CF">
      <w:pPr>
        <w:spacing w:after="0" w:line="240" w:lineRule="auto"/>
        <w:jc w:val="both"/>
        <w:rPr>
          <w:rFonts w:ascii="Times New Roman" w:hAnsi="Times New Roman"/>
          <w:iCs/>
          <w:color w:val="000000" w:themeColor="text1"/>
          <w:sz w:val="16"/>
          <w:szCs w:val="16"/>
        </w:rPr>
      </w:pPr>
    </w:p>
    <w:p w14:paraId="43BF484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 вышло постановление Правительства N К-30с, согласно которому ГУАП д.б. на заводе 45 произвести окончательную сборку и заводские испытания ДАР-2 (группы Чухновского). Потом оно не понадобилось, т.к. доводку и проведение заводских испытаний предпочли делать на заводе им. Марти (2266,235).</w:t>
      </w:r>
    </w:p>
    <w:p w14:paraId="1C44334B"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7F708ED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 проводилось взвешивание пустого К-7 К.А.К. и вес конструкции оказался 22.9 тон была проба моторов и в течение 1:40 все 7 моторов работали одновременно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6986B321" w14:textId="77777777">
        <w:tc>
          <w:tcPr>
            <w:tcW w:w="1384" w:type="dxa"/>
            <w:tcBorders>
              <w:top w:val="single" w:sz="12" w:space="0" w:color="auto"/>
            </w:tcBorders>
          </w:tcPr>
          <w:p w14:paraId="1C25FDEB"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788AF26A"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tc>
        <w:tc>
          <w:tcPr>
            <w:tcW w:w="1089" w:type="dxa"/>
            <w:tcBorders>
              <w:top w:val="single" w:sz="12" w:space="0" w:color="auto"/>
            </w:tcBorders>
          </w:tcPr>
          <w:p w14:paraId="0582C8BE"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055BDACC"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2FE5794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116BA431"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536A3DC9" w14:textId="77777777">
        <w:tc>
          <w:tcPr>
            <w:tcW w:w="1384" w:type="dxa"/>
            <w:tcBorders>
              <w:bottom w:val="single" w:sz="12" w:space="0" w:color="auto"/>
            </w:tcBorders>
          </w:tcPr>
          <w:p w14:paraId="6F92F631"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w:t>
            </w:r>
          </w:p>
        </w:tc>
        <w:tc>
          <w:tcPr>
            <w:tcW w:w="2410" w:type="dxa"/>
            <w:tcBorders>
              <w:bottom w:val="single" w:sz="12" w:space="0" w:color="auto"/>
            </w:tcBorders>
          </w:tcPr>
          <w:p w14:paraId="73FBA3A5"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Взвешивание пустого с-та и определение ЦТ</w:t>
            </w:r>
          </w:p>
        </w:tc>
        <w:tc>
          <w:tcPr>
            <w:tcW w:w="1089" w:type="dxa"/>
            <w:tcBorders>
              <w:bottom w:val="single" w:sz="12" w:space="0" w:color="auto"/>
            </w:tcBorders>
          </w:tcPr>
          <w:p w14:paraId="17C1D5D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447" w:type="dxa"/>
            <w:tcBorders>
              <w:bottom w:val="single" w:sz="12" w:space="0" w:color="auto"/>
            </w:tcBorders>
          </w:tcPr>
          <w:p w14:paraId="02369944"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конструкции пустого с-та - 22.900 кг. ЦТ расположен на 32,5% макс. аэродинамической хорды</w:t>
            </w:r>
          </w:p>
        </w:tc>
        <w:tc>
          <w:tcPr>
            <w:tcW w:w="1776" w:type="dxa"/>
            <w:tcBorders>
              <w:bottom w:val="single" w:sz="12" w:space="0" w:color="auto"/>
            </w:tcBorders>
          </w:tcPr>
          <w:p w14:paraId="03A28399"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05" w:type="dxa"/>
            <w:tcBorders>
              <w:bottom w:val="single" w:sz="12" w:space="0" w:color="auto"/>
            </w:tcBorders>
          </w:tcPr>
          <w:p w14:paraId="0C9F396A" w14:textId="77777777" w:rsidR="00487C9C" w:rsidRPr="0044524F" w:rsidRDefault="00487C9C" w:rsidP="009654CF">
            <w:pPr>
              <w:spacing w:after="0" w:line="240" w:lineRule="auto"/>
              <w:jc w:val="both"/>
              <w:rPr>
                <w:rFonts w:ascii="Times New Roman" w:hAnsi="Times New Roman"/>
                <w:color w:val="000000" w:themeColor="text1"/>
                <w:sz w:val="16"/>
                <w:szCs w:val="16"/>
              </w:rPr>
            </w:pPr>
          </w:p>
        </w:tc>
      </w:tr>
    </w:tbl>
    <w:p w14:paraId="2DD131FF"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4D77DEC0"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0AA940CC" w14:textId="77777777" w:rsidR="00D33382" w:rsidRPr="0044524F" w:rsidRDefault="00D33382" w:rsidP="009654CF">
      <w:pPr>
        <w:pStyle w:val="a3"/>
        <w:rPr>
          <w:color w:val="000000" w:themeColor="text1"/>
          <w:lang w:val="ru-RU"/>
        </w:rPr>
      </w:pPr>
      <w:r w:rsidRPr="0044524F">
        <w:rPr>
          <w:color w:val="000000" w:themeColor="text1"/>
          <w:lang w:val="ru-RU"/>
        </w:rPr>
        <w:t>7 августа 1933 г. Алкснис поинтересо</w:t>
      </w:r>
      <w:r w:rsidRPr="0044524F">
        <w:rPr>
          <w:color w:val="000000" w:themeColor="text1"/>
          <w:lang w:val="ru-RU"/>
        </w:rPr>
        <w:softHyphen/>
        <w:t>вался у тогдашнего начальника НИИ ВВС Г.А. Зильберта, можно ли осуществить замену И-4 на И-5.</w:t>
      </w:r>
    </w:p>
    <w:p w14:paraId="1A278BCF" w14:textId="77777777" w:rsidR="00D33382" w:rsidRPr="0044524F" w:rsidRDefault="00D333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Вахмистров быстро подготовил встречное предложение, представив проект «Звено-</w:t>
      </w:r>
      <w:r w:rsidRPr="0044524F">
        <w:rPr>
          <w:rFonts w:ascii="Times New Roman" w:hAnsi="Times New Roman"/>
          <w:color w:val="000000" w:themeColor="text1"/>
          <w:sz w:val="16"/>
          <w:szCs w:val="16"/>
          <w:lang w:val="en-US"/>
        </w:rPr>
        <w:t>la</w:t>
      </w:r>
      <w:r w:rsidRPr="0044524F">
        <w:rPr>
          <w:rFonts w:ascii="Times New Roman" w:hAnsi="Times New Roman"/>
          <w:color w:val="000000" w:themeColor="text1"/>
          <w:sz w:val="16"/>
          <w:szCs w:val="16"/>
        </w:rPr>
        <w:t>». Схема крепления ис</w:t>
      </w:r>
      <w:r w:rsidRPr="0044524F">
        <w:rPr>
          <w:rFonts w:ascii="Times New Roman" w:hAnsi="Times New Roman"/>
          <w:color w:val="000000" w:themeColor="text1"/>
          <w:sz w:val="16"/>
          <w:szCs w:val="16"/>
        </w:rPr>
        <w:softHyphen/>
        <w:t>требителей оставалась той же, что и на «Звене-1» в последнем варианте. Имев</w:t>
      </w:r>
      <w:r w:rsidRPr="0044524F">
        <w:rPr>
          <w:rFonts w:ascii="Times New Roman" w:hAnsi="Times New Roman"/>
          <w:color w:val="000000" w:themeColor="text1"/>
          <w:sz w:val="16"/>
          <w:szCs w:val="16"/>
        </w:rPr>
        <w:softHyphen/>
        <w:t>шийся в НИИ ВВС носитель переделали под пару И-5. Уже в сентябре состоялся первый полет (17741).</w:t>
      </w:r>
    </w:p>
    <w:p w14:paraId="7A2B326D" w14:textId="77777777" w:rsidR="00D33382" w:rsidRPr="0044524F" w:rsidRDefault="00D33382" w:rsidP="009654CF">
      <w:pPr>
        <w:spacing w:after="0" w:line="240" w:lineRule="auto"/>
        <w:jc w:val="both"/>
        <w:rPr>
          <w:rFonts w:ascii="Times New Roman" w:eastAsia="Times New Roman" w:hAnsi="Times New Roman"/>
          <w:color w:val="000000" w:themeColor="text1"/>
          <w:sz w:val="16"/>
          <w:szCs w:val="16"/>
          <w:lang w:eastAsia="ru-RU"/>
        </w:rPr>
      </w:pPr>
    </w:p>
    <w:p w14:paraId="663A8292"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 года начальник Газодинамической лаборатории Клейменов писал письмо № 539с начальнику ВВС Алкснису.</w:t>
      </w:r>
    </w:p>
    <w:p w14:paraId="6DB0085B"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Доношу, что согласно Ваших указаний лабораторией дополнительно сверх программных испытаний 4 и 7 августа проведен разгон самолета ТБ1 с весом 8000 кг (6795, 65).</w:t>
      </w:r>
    </w:p>
    <w:p w14:paraId="153D8BCA" w14:textId="77777777" w:rsidR="00487C9C" w:rsidRPr="0044524F" w:rsidRDefault="00487C9C" w:rsidP="009654CF">
      <w:pPr>
        <w:tabs>
          <w:tab w:val="left" w:pos="11199"/>
        </w:tabs>
        <w:spacing w:after="0" w:line="240" w:lineRule="auto"/>
        <w:jc w:val="both"/>
        <w:rPr>
          <w:rFonts w:ascii="Times New Roman" w:hAnsi="Times New Roman"/>
          <w:color w:val="000000" w:themeColor="text1"/>
          <w:sz w:val="16"/>
          <w:szCs w:val="16"/>
        </w:rPr>
      </w:pPr>
    </w:p>
    <w:p w14:paraId="75287A41" w14:textId="77777777" w:rsidR="00D33382" w:rsidRPr="0044524F" w:rsidRDefault="00D3338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7 августа 1933 г. закончились испытания ракетных ускорителей на ТБ-1 при различном взлётном весе, которые шли с 11 июля. Чтобы уменьшить воздействие реактивной струи на хвостовое оперение, в 1933 г. расположение ускорителей изменили. Теперь их установили в связках по три ракеты на верхней поверхности каждого крыла. Они крепились на дюралевых фермах, проходящих сквозь крыло и соединенных с узлами шасси. Угол установки сопел ускорителей подобрали так, чтобы струя газов проходила над горизонтальным стабилизатором и не задевала боковую обшивку фюзеляжа.</w:t>
      </w:r>
    </w:p>
    <w:p w14:paraId="2CE70075" w14:textId="77777777" w:rsidR="00D33382" w:rsidRPr="0044524F" w:rsidRDefault="00D3338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Самолёт пилотировал лётчик-испытатель Н.П. Благин, в качестве наблюдающих летали инженеры ГДЛ Дудаков и Ширяев. Было проведено семь взлётов, из них пять — с ускорителями. Каждый ускоритель был рассчитан на 15 шашек пироксилино-тротилового пороха. На подготовку полёта (заряжание ракет, проверка цепи зажигания и др.) уходило от часа до полутора.</w:t>
      </w:r>
    </w:p>
    <w:p w14:paraId="35095143" w14:textId="77777777" w:rsidR="00D33382" w:rsidRPr="0044524F" w:rsidRDefault="00D3338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дневнике испытаний сообщалось:</w:t>
      </w:r>
    </w:p>
    <w:p w14:paraId="417F3921" w14:textId="77777777" w:rsidR="00D33382" w:rsidRPr="0044524F" w:rsidRDefault="00D3338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11 июля — два взлёта без запуска ускорителей.</w:t>
      </w:r>
    </w:p>
    <w:p w14:paraId="48BF6CE5" w14:textId="77777777" w:rsidR="00D33382" w:rsidRPr="0044524F" w:rsidRDefault="00D3338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16 июля — два взлёта с 3/5 полного заряда ускорителей (9 шашек).</w:t>
      </w:r>
    </w:p>
    <w:p w14:paraId="72C17916" w14:textId="77777777" w:rsidR="00D33382" w:rsidRPr="0044524F" w:rsidRDefault="00D3338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21, 22 июля — взлёты с полным зарядом.</w:t>
      </w:r>
    </w:p>
    <w:p w14:paraId="034F306A" w14:textId="77777777" w:rsidR="00D33382" w:rsidRPr="0044524F" w:rsidRDefault="00D3338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7 августа — взлёт с ускорителями с увеличенным до 8 т полётном весе самолёта (сверх программы, по указанию начальника ВВС Алксниса) </w:t>
      </w:r>
      <w:hyperlink r:id="rId284" w:history="1">
        <w:r w:rsidRPr="0044524F">
          <w:rPr>
            <w:rFonts w:ascii="Times New Roman" w:eastAsia="Times New Roman" w:hAnsi="Times New Roman"/>
            <w:color w:val="000000" w:themeColor="text1"/>
            <w:sz w:val="16"/>
            <w:szCs w:val="16"/>
            <w:lang w:eastAsia="ru-RU"/>
          </w:rPr>
          <w:t>[66]</w:t>
        </w:r>
      </w:hyperlink>
      <w:r w:rsidRPr="0044524F">
        <w:rPr>
          <w:rFonts w:ascii="Times New Roman" w:eastAsia="Times New Roman" w:hAnsi="Times New Roman"/>
          <w:color w:val="000000" w:themeColor="text1"/>
          <w:sz w:val="16"/>
          <w:szCs w:val="16"/>
          <w:lang w:eastAsia="ru-RU"/>
        </w:rPr>
        <w:t xml:space="preserve"> .</w:t>
      </w:r>
    </w:p>
    <w:p w14:paraId="100109E2" w14:textId="77777777" w:rsidR="00D33382" w:rsidRPr="0044524F" w:rsidRDefault="00D3338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Наилучший эффект достигался при включении ускорителей после короткого пробега при полной тяге винтов.</w:t>
      </w:r>
    </w:p>
    <w:p w14:paraId="12E4DF80" w14:textId="77777777" w:rsidR="00D33382" w:rsidRPr="0044524F" w:rsidRDefault="00D3338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октябре прошли государственные испытания ТБ-1 с ускорителями. Ведущим лётчиком был испытатель НИИ ВВС К.П. Миндер.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 (17489).</w:t>
      </w:r>
    </w:p>
    <w:p w14:paraId="715EE50C" w14:textId="77777777" w:rsidR="00D33382" w:rsidRPr="0044524F" w:rsidRDefault="00D33382" w:rsidP="009654CF">
      <w:pPr>
        <w:spacing w:after="0" w:line="240" w:lineRule="auto"/>
        <w:jc w:val="both"/>
        <w:rPr>
          <w:rFonts w:ascii="Times New Roman" w:eastAsia="Times New Roman" w:hAnsi="Times New Roman"/>
          <w:color w:val="000000" w:themeColor="text1"/>
          <w:sz w:val="16"/>
          <w:szCs w:val="16"/>
          <w:lang w:eastAsia="ru-RU"/>
        </w:rPr>
      </w:pPr>
    </w:p>
    <w:p w14:paraId="6085FC5C"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 состоялось заседание у нач. ГУАП П.И.Б. (протокол 105):</w:t>
      </w:r>
    </w:p>
    <w:p w14:paraId="0F2F5122" w14:textId="77777777" w:rsidR="00487C9C" w:rsidRPr="0044524F" w:rsidRDefault="00487C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морским гидросамолетостроении" (2291,249).</w:t>
      </w:r>
    </w:p>
    <w:p w14:paraId="2548348F" w14:textId="77777777" w:rsidR="00487C9C" w:rsidRPr="0044524F" w:rsidRDefault="00487C9C" w:rsidP="009654CF">
      <w:pPr>
        <w:spacing w:after="0" w:line="240" w:lineRule="auto"/>
        <w:jc w:val="both"/>
        <w:rPr>
          <w:rFonts w:ascii="Times New Roman" w:hAnsi="Times New Roman"/>
          <w:color w:val="000000" w:themeColor="text1"/>
          <w:sz w:val="16"/>
          <w:szCs w:val="16"/>
        </w:rPr>
      </w:pPr>
    </w:p>
    <w:p w14:paraId="7599D593" w14:textId="77777777" w:rsidR="00C94382" w:rsidRPr="0044524F" w:rsidRDefault="00C943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 г. приказом Народного Комиссара по военным и морским делам К.Е.Ворошилова утвержден авиационный марш "Все выше и выше», написанный композитором Ю.Хайтом на слова поэта П.Германа.</w:t>
      </w:r>
    </w:p>
    <w:p w14:paraId="29A363A9" w14:textId="77777777" w:rsidR="00C94382" w:rsidRPr="0044524F" w:rsidRDefault="00C943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/ВВФ, 1933 № 9/ (33370).</w:t>
      </w:r>
    </w:p>
    <w:p w14:paraId="7C331C96" w14:textId="77777777" w:rsidR="00C94382" w:rsidRPr="0044524F" w:rsidRDefault="00C94382" w:rsidP="009654CF">
      <w:pPr>
        <w:spacing w:after="0" w:line="240" w:lineRule="auto"/>
        <w:jc w:val="both"/>
        <w:rPr>
          <w:rFonts w:ascii="Times New Roman" w:hAnsi="Times New Roman"/>
          <w:color w:val="000000" w:themeColor="text1"/>
          <w:sz w:val="16"/>
          <w:szCs w:val="16"/>
        </w:rPr>
      </w:pPr>
    </w:p>
    <w:p w14:paraId="5E15160F" w14:textId="77777777" w:rsidR="008D15E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9FC1B8F" w14:textId="77777777" w:rsidR="008D15E1" w:rsidRPr="0044524F" w:rsidRDefault="008D15E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FFB23ED"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августа 1933 года на заседании Научно-технического комитета УММ РККА рассматривали 6 и 7 варианты Т-39.</w:t>
      </w:r>
    </w:p>
    <w:p w14:paraId="509E07F9"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Вариант № 7 представлял собой 90-тонный танк с 50-75-мм броней, вооруженный дву</w:t>
      </w:r>
      <w:r w:rsidRPr="00142305">
        <w:rPr>
          <w:rFonts w:ascii="Times New Roman" w:hAnsi="Times New Roman"/>
          <w:color w:val="0070C0"/>
          <w:sz w:val="16"/>
          <w:szCs w:val="16"/>
        </w:rPr>
        <w:softHyphen/>
        <w:t>мя 107-мм, двумя 45-мм орудиями и пятью пулеметами. Вариант № 8 отличался глав</w:t>
      </w:r>
      <w:r w:rsidRPr="00142305">
        <w:rPr>
          <w:rFonts w:ascii="Times New Roman" w:hAnsi="Times New Roman"/>
          <w:color w:val="0070C0"/>
          <w:sz w:val="16"/>
          <w:szCs w:val="16"/>
        </w:rPr>
        <w:softHyphen/>
        <w:t>ным образом вооружением - одна 152-мм, три 45-мм орудия и четыре пулемета. В ходе обсуждения военные признали удачными оба варианта. После небольших доработок эскизные чертежи этих Т-39 и их деревянные модели в масштабе 1/10 натуральной вели</w:t>
      </w:r>
      <w:r w:rsidRPr="00142305">
        <w:rPr>
          <w:rFonts w:ascii="Times New Roman" w:hAnsi="Times New Roman"/>
          <w:color w:val="0070C0"/>
          <w:sz w:val="16"/>
          <w:szCs w:val="16"/>
        </w:rPr>
        <w:softHyphen/>
        <w:t>чины направили на рассмотрение народному комиссару обороны СССР К.Е. Ворошилову (25014).</w:t>
      </w:r>
    </w:p>
    <w:p w14:paraId="59A4C33B" w14:textId="77777777" w:rsidR="00D602F8" w:rsidRPr="00142305" w:rsidRDefault="00D602F8" w:rsidP="00D602F8">
      <w:pPr>
        <w:spacing w:after="0" w:line="240" w:lineRule="auto"/>
        <w:jc w:val="both"/>
        <w:rPr>
          <w:rFonts w:ascii="Times New Roman" w:hAnsi="Times New Roman"/>
          <w:color w:val="0070C0"/>
          <w:sz w:val="16"/>
          <w:szCs w:val="16"/>
        </w:rPr>
      </w:pPr>
    </w:p>
    <w:p w14:paraId="07BA1C30" w14:textId="77777777" w:rsidR="008D15E1" w:rsidRPr="0044524F" w:rsidRDefault="008D15E1"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7 августа 1933 г. </w:t>
      </w:r>
      <w:r w:rsidRPr="0044524F">
        <w:rPr>
          <w:rFonts w:ascii="Times New Roman" w:hAnsi="Times New Roman"/>
          <w:color w:val="000000" w:themeColor="text1"/>
          <w:sz w:val="16"/>
          <w:szCs w:val="16"/>
        </w:rPr>
        <w:t>Докладная записка начальника Сектора обороны Госплана СССР¹* С. О. Ботнера руководству Госплана СССР об обеспеченности военной промышленности кадрами</w:t>
      </w:r>
    </w:p>
    <w:p w14:paraId="09D80BBF"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40475B9A" w14:textId="77777777" w:rsidR="008D15E1" w:rsidRPr="0044524F" w:rsidRDefault="008D15E1" w:rsidP="009654CF">
      <w:pPr>
        <w:pStyle w:val="rtejustify"/>
        <w:spacing w:before="0" w:after="0"/>
        <w:rPr>
          <w:color w:val="000000" w:themeColor="text1"/>
          <w:sz w:val="16"/>
          <w:szCs w:val="16"/>
        </w:rPr>
      </w:pPr>
      <w:r w:rsidRPr="0044524F">
        <w:rPr>
          <w:color w:val="000000" w:themeColor="text1"/>
          <w:sz w:val="16"/>
          <w:szCs w:val="16"/>
        </w:rPr>
        <w:t>Мобилизационная готовность военной промышленности в значительной мере зависит от наличия в ней к моменту развертывания квалифицированных кадров рабочих и специалистов, полностью освоивших производство. Положение, которое мы имеем в настоящее время с сохранением кадров в военной промышленности, внушает большие опасения за готовность этого решающего участка. В 1933 г. военная промышленность в связи с незначительным ростом загрузки вынуждена была сокращать количество рабочих и ИТР.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1732"/>
        <w:gridCol w:w="1732"/>
        <w:gridCol w:w="1405"/>
        <w:gridCol w:w="1468"/>
      </w:tblGrid>
      <w:tr w:rsidR="004E10C1" w:rsidRPr="0044524F" w14:paraId="0C4B6D19"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C920C26"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9E8C22E"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рабочих</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16E3747"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ИТР</w:t>
            </w:r>
          </w:p>
        </w:tc>
      </w:tr>
      <w:tr w:rsidR="004E10C1" w:rsidRPr="0044524F" w14:paraId="6AE3D847"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4A50471" w14:textId="77777777" w:rsidR="008D15E1" w:rsidRPr="0044524F" w:rsidRDefault="008D15E1"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9A82AE9"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382E78B"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FF96A22"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695B64"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r>
      <w:tr w:rsidR="004E10C1" w:rsidRPr="0044524F" w14:paraId="74EEED9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ED0A8A"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Снарядный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BA1598"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31 365</w:t>
            </w:r>
          </w:p>
        </w:tc>
        <w:tc>
          <w:tcPr>
            <w:tcW w:w="0" w:type="auto"/>
            <w:tcBorders>
              <w:top w:val="outset" w:sz="6" w:space="0" w:color="auto"/>
              <w:left w:val="outset" w:sz="6" w:space="0" w:color="auto"/>
              <w:bottom w:val="outset" w:sz="6" w:space="0" w:color="auto"/>
              <w:right w:val="outset" w:sz="6" w:space="0" w:color="auto"/>
            </w:tcBorders>
            <w:vAlign w:val="center"/>
            <w:hideMark/>
          </w:tcPr>
          <w:p w14:paraId="26DB2A4F"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2D41E"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3 199</w:t>
            </w:r>
          </w:p>
        </w:tc>
        <w:tc>
          <w:tcPr>
            <w:tcW w:w="0" w:type="auto"/>
            <w:tcBorders>
              <w:top w:val="outset" w:sz="6" w:space="0" w:color="auto"/>
              <w:left w:val="outset" w:sz="6" w:space="0" w:color="auto"/>
              <w:bottom w:val="outset" w:sz="6" w:space="0" w:color="auto"/>
              <w:right w:val="outset" w:sz="6" w:space="0" w:color="auto"/>
            </w:tcBorders>
            <w:vAlign w:val="center"/>
            <w:hideMark/>
          </w:tcPr>
          <w:p w14:paraId="3EC05E50"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3 100²*</w:t>
            </w:r>
          </w:p>
        </w:tc>
      </w:tr>
      <w:tr w:rsidR="004E10C1" w:rsidRPr="0044524F" w14:paraId="3563D9E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1E95FA"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Вохимтрест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C47B3"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21 528</w:t>
            </w:r>
          </w:p>
        </w:tc>
        <w:tc>
          <w:tcPr>
            <w:tcW w:w="0" w:type="auto"/>
            <w:tcBorders>
              <w:top w:val="outset" w:sz="6" w:space="0" w:color="auto"/>
              <w:left w:val="outset" w:sz="6" w:space="0" w:color="auto"/>
              <w:bottom w:val="outset" w:sz="6" w:space="0" w:color="auto"/>
              <w:right w:val="outset" w:sz="6" w:space="0" w:color="auto"/>
            </w:tcBorders>
            <w:vAlign w:val="center"/>
            <w:hideMark/>
          </w:tcPr>
          <w:p w14:paraId="7A077A7C"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20 774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2ECCC"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30A6E"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637051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AB58BF"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Патрубвзрыв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876EC"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56 880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7705EA"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42 717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B2AB51B"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5 316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729124"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4 800</w:t>
            </w:r>
          </w:p>
        </w:tc>
      </w:tr>
      <w:tr w:rsidR="004E10C1" w:rsidRPr="0044524F" w14:paraId="1732361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7CB3C98"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Орудийно</w:t>
            </w:r>
            <w:r w:rsidRPr="0044524F">
              <w:rPr>
                <w:rFonts w:ascii="Times New Roman" w:hAnsi="Times New Roman"/>
                <w:color w:val="000000" w:themeColor="text1"/>
                <w:sz w:val="16"/>
                <w:szCs w:val="16"/>
              </w:rPr>
              <w:noBreakHyphen/>
              <w:t>арсенальный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AE042A5"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54 027</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9B352"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48 632</w:t>
            </w:r>
          </w:p>
        </w:tc>
        <w:tc>
          <w:tcPr>
            <w:tcW w:w="0" w:type="auto"/>
            <w:tcBorders>
              <w:top w:val="outset" w:sz="6" w:space="0" w:color="auto"/>
              <w:left w:val="outset" w:sz="6" w:space="0" w:color="auto"/>
              <w:bottom w:val="outset" w:sz="6" w:space="0" w:color="auto"/>
              <w:right w:val="outset" w:sz="6" w:space="0" w:color="auto"/>
            </w:tcBorders>
            <w:vAlign w:val="center"/>
            <w:hideMark/>
          </w:tcPr>
          <w:p w14:paraId="4A112289"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7 544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6C221"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7 000</w:t>
            </w:r>
          </w:p>
        </w:tc>
      </w:tr>
      <w:tr w:rsidR="004E10C1" w:rsidRPr="0044524F" w14:paraId="7A29339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5202D8"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Пороховые заводы</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40749"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13 787</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86E3C"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9 783</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9D13B"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ACB1AF"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4CCB6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ADA185"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Ружейно-пулеметный трест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A277C"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53 415</w:t>
            </w:r>
          </w:p>
        </w:tc>
        <w:tc>
          <w:tcPr>
            <w:tcW w:w="0" w:type="auto"/>
            <w:tcBorders>
              <w:top w:val="outset" w:sz="6" w:space="0" w:color="auto"/>
              <w:left w:val="outset" w:sz="6" w:space="0" w:color="auto"/>
              <w:bottom w:val="outset" w:sz="6" w:space="0" w:color="auto"/>
              <w:right w:val="outset" w:sz="6" w:space="0" w:color="auto"/>
            </w:tcBorders>
            <w:vAlign w:val="center"/>
            <w:hideMark/>
          </w:tcPr>
          <w:p w14:paraId="4769946A"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40 250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F9494"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5 953</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3C516"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5 300</w:t>
            </w:r>
          </w:p>
        </w:tc>
      </w:tr>
      <w:tr w:rsidR="004E10C1" w:rsidRPr="0044524F" w14:paraId="1BAD420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C77DC15"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430BFD"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231 002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2FB437"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187 241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31216A83"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22 012</w:t>
            </w:r>
          </w:p>
        </w:tc>
        <w:tc>
          <w:tcPr>
            <w:tcW w:w="0" w:type="auto"/>
            <w:tcBorders>
              <w:top w:val="outset" w:sz="6" w:space="0" w:color="auto"/>
              <w:left w:val="outset" w:sz="6" w:space="0" w:color="auto"/>
              <w:bottom w:val="outset" w:sz="6" w:space="0" w:color="auto"/>
              <w:right w:val="outset" w:sz="6" w:space="0" w:color="auto"/>
            </w:tcBorders>
            <w:vAlign w:val="center"/>
            <w:hideMark/>
          </w:tcPr>
          <w:p w14:paraId="69FFF6D5"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20 200</w:t>
            </w:r>
          </w:p>
        </w:tc>
      </w:tr>
    </w:tbl>
    <w:p w14:paraId="60CA57DC" w14:textId="77777777" w:rsidR="008D15E1" w:rsidRPr="0044524F" w:rsidRDefault="008D15E1" w:rsidP="009654CF">
      <w:pPr>
        <w:pStyle w:val="rtejustify"/>
        <w:spacing w:before="0" w:after="0"/>
        <w:rPr>
          <w:color w:val="000000" w:themeColor="text1"/>
          <w:sz w:val="16"/>
          <w:szCs w:val="16"/>
        </w:rPr>
      </w:pPr>
      <w:r w:rsidRPr="0044524F">
        <w:rPr>
          <w:color w:val="000000" w:themeColor="text1"/>
          <w:sz w:val="16"/>
          <w:szCs w:val="16"/>
        </w:rPr>
        <w:t>По указанным выше производствам среднегодовая численность рабочих сократилась на 43,7 тыс. чел. и ИТР — 1,8 тыс. чел., и только по авиационной промышленности, вискозным фабрикам и производству танков не было сокращения рабочих, против IV квартала 1932 г. ИТР и здесь приходилось сокращать. Тем более положение становится напряженным к концу второго пятилетия при росте основного капитала в два с лишним раза и в лучшем случае сохранении рабочих на уровне 1932 г.</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47"/>
        <w:gridCol w:w="859"/>
        <w:gridCol w:w="859"/>
        <w:gridCol w:w="2357"/>
      </w:tblGrid>
      <w:tr w:rsidR="004E10C1" w:rsidRPr="0044524F" w14:paraId="232CF86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D998CE8"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6BF6F09"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35C13"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C01A66"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1937 г. в процентах</w:t>
            </w:r>
          </w:p>
          <w:p w14:paraId="12C17833"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1932 г.</w:t>
            </w:r>
          </w:p>
        </w:tc>
      </w:tr>
      <w:tr w:rsidR="004E10C1" w:rsidRPr="0044524F" w14:paraId="7CA2278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42198E"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Основной производственный фонд в млн. руб. на конец года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5DB0E69"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4CA54"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92DFD7"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234,5</w:t>
            </w:r>
          </w:p>
        </w:tc>
      </w:tr>
      <w:tr w:rsidR="004E10C1" w:rsidRPr="0044524F" w14:paraId="108B734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D33996"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Валовая продукция в млн.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51DB7"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2037,4</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1B074"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BB03BE"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137,4</w:t>
            </w:r>
          </w:p>
        </w:tc>
      </w:tr>
      <w:tr w:rsidR="004E10C1" w:rsidRPr="0044524F" w14:paraId="43B630D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D344A9"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рабочих в тыс.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53FDF29E"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16E77"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F07A79E"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99,5</w:t>
            </w:r>
          </w:p>
        </w:tc>
      </w:tr>
      <w:tr w:rsidR="004E10C1" w:rsidRPr="0044524F" w14:paraId="1CCC5AA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F7B824A"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Выработка на рабочего в руб.</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22BDA"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6397,0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98EAF1"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8828,0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9E17D"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138,0</w:t>
            </w:r>
          </w:p>
        </w:tc>
      </w:tr>
    </w:tbl>
    <w:p w14:paraId="66BD9A7E" w14:textId="77777777" w:rsidR="008D15E1" w:rsidRPr="0044524F" w:rsidRDefault="008D15E1" w:rsidP="009654CF">
      <w:pPr>
        <w:pStyle w:val="rtejustify"/>
        <w:spacing w:before="0" w:after="0"/>
        <w:rPr>
          <w:color w:val="000000" w:themeColor="text1"/>
          <w:sz w:val="16"/>
          <w:szCs w:val="16"/>
        </w:rPr>
      </w:pPr>
      <w:r w:rsidRPr="0044524F">
        <w:rPr>
          <w:color w:val="000000" w:themeColor="text1"/>
          <w:sz w:val="16"/>
          <w:szCs w:val="16"/>
        </w:rPr>
        <w:t>Во втором пятилетии вступают в эксплуатацию 15 новых предприятий; необходимо предусмотреть обеспечение этих предприятий рабочей силой и специалистами. Мы запроектировали 38% роста производительности труда исключительно с целью сохранения наличного состава рабочих, зная, однако, что производительность труда будет значительно выше и, следовательно, рабочих нужно будет сокращать. Производительность труда в военной промышленности не будет ниже, чем в гражданской промышленности, а НКТП проектирует в машиностроении рост производительности труда на 65% и увеличение численности рабочих на 24%. Но даже и при этом условном расчете (38%) не выдерживается необходимое соотношение между темпами роста производительности труда и заработной платы. Рост заработной платы в 1937 г. должен составить 31,8% по отношению к 1932 г. (в том числе в 1933 г. против 1932 г. — 9,7%), т. к. уровень зарплаты в военно-химической промышленности еще очень значительно отстает от уровня зарплаты в гражданской химии, и во втором пятилетии этот разрыв должен быть ликвидирован.</w:t>
      </w:r>
    </w:p>
    <w:p w14:paraId="12DCC2F8" w14:textId="77777777" w:rsidR="008D15E1" w:rsidRPr="0044524F" w:rsidRDefault="008D15E1" w:rsidP="009654CF">
      <w:pPr>
        <w:pStyle w:val="rtejustify"/>
        <w:spacing w:before="0" w:after="0"/>
        <w:rPr>
          <w:color w:val="000000" w:themeColor="text1"/>
          <w:sz w:val="16"/>
          <w:szCs w:val="16"/>
        </w:rPr>
      </w:pPr>
      <w:r w:rsidRPr="0044524F">
        <w:rPr>
          <w:color w:val="000000" w:themeColor="text1"/>
          <w:sz w:val="16"/>
          <w:szCs w:val="16"/>
        </w:rPr>
        <w:t>Обращая Ваше внимание на то, что мы лишены возможности вследствие недостаточной загрузки военной промышленности во втором пятилетии предусмотреть обеспечение ее мобилизационной готовности по линии труда, а также и на то, что себестоимость продукции не может быть снижена в полном соответствии с директивами партии и правительства, прошу Ваших указаний.</w:t>
      </w:r>
    </w:p>
    <w:p w14:paraId="3A306CDA" w14:textId="77777777" w:rsidR="008D15E1" w:rsidRPr="0044524F" w:rsidRDefault="008D15E1"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Сектора обороны Госплана СССР Ботнер</w:t>
      </w:r>
    </w:p>
    <w:p w14:paraId="6ECCA8FB" w14:textId="77777777" w:rsidR="008D15E1" w:rsidRPr="0044524F" w:rsidRDefault="008D15E1"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3C7B9175" w14:textId="77777777" w:rsidR="008D15E1" w:rsidRPr="0044524F" w:rsidRDefault="008D15E1"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Сектор обороны Госплана СССР</w:t>
      </w:r>
      <w:r w:rsidRPr="0044524F">
        <w:rPr>
          <w:color w:val="000000" w:themeColor="text1"/>
          <w:sz w:val="16"/>
          <w:szCs w:val="16"/>
        </w:rPr>
        <w:t xml:space="preserve"> был создан летом 1927 г. на базе Военного бюро Госплана. Первоначально в составе Сектора обороны были организованы 4 самостоятельные комиссии, члены которых являлись высококвалифицированными специалистами и подбор их производился с особой тщательностью. Они не прикреплялись к определенной комиссии, а нагружались по заданию той комиссии, работа которой на данный момент была важнейшей. Одновременно привлекались специалисты из общего аппарата Госплана. Во главе сектора стояли председатель и его заместитель. Президиум Сектора обороны, в состав которого входили руководители комиссий, обсуждал текущие вопросы. Проводились также специальные совещания с главами наркоматов и отдельных их органов по важнейшим вопросам обороны. В наркоматах также создавались специальные комиссии с участием сотрудником Сектора обороны по конкретным вопросам. Задачами Сектора обороны являлись: подсчеты по заявке на военное время (мобзаявке) Наркомата обороны СССР и войск НКВД по всем видам материального обеспечения, разработка цифр объема мобзаданий для отдельных наркоматов, проработка вопросов развития материальной базы народного хозяйства по обеспечению потребностей вооруженных сил на военное время в пятилетием плане, а также в годовых и квартальных планах. Сектор обороны непосредственно ведал специально-оборонной частью народно-хозяйственного плана, а именно: сметой, планом капитального строительства и планом заказов НКО и войск НКВД, планом капитального строительства и производства военной промышленности, планами специально-оборонного строительства по всем отраслям невоенной промышленности, по НКПС, НКВоду, Цудотрансу, НКСвязи и прочим наркоматам, планами специально-оборонного строительства в республиках, краях и областях. Сектор обороны разрабатывал совместно с отделом районного планирования народно-хозяйственные планы с учетом задач и потребностей обороны пограничных областей СССР. По мобилизационным планам наркоматов Сектор обороны разрабатывал вопросы, вытекающие из необходимости координировать мобпланы ведомств по обеспечению их взаимных заявок материальными ресурсами, а также вопросы финансирования мобилизации и обеспечения рабочей силой. Сектор обороны вел наблюдение за ходом выполнения плана в его оборонной части, прорабатывал вопросы оборонного порядка, возникающие в течение хозяйственного года, подготавливал заключения Госплана по оборонным вопросам. В основной структуре Сектора обороны выделялись: сектор военной промышленности, мобилизационный сектор, военная группа, группа транспорта и связи, группа районов, секретная группа и секретариат. 17 сентября 1937 г. в соответствии с постановлением ЦИК и СНК СССР № 108/1637 «Об изменении структуры Госплана СССР» Сектор обороны был реорганизован в Отдел обороны, в составе секторов: плана оборонной промышленности, плана мобилизационной подготовки народного хозяйства, планов НКО и НКВД. (СЗ. 1937 1937 вышел приказ НКОП № 62. Ст. 270; РГАЭ. Ф. 4372. Оп. 91. Д. 2285. Л. 1</w:t>
      </w:r>
      <w:r w:rsidRPr="0044524F">
        <w:rPr>
          <w:color w:val="000000" w:themeColor="text1"/>
          <w:sz w:val="16"/>
          <w:szCs w:val="16"/>
        </w:rPr>
        <w:noBreakHyphen/>
        <w:t>1 об., 3</w:t>
      </w:r>
      <w:r w:rsidRPr="0044524F">
        <w:rPr>
          <w:color w:val="000000" w:themeColor="text1"/>
          <w:sz w:val="16"/>
          <w:szCs w:val="16"/>
        </w:rPr>
        <w:noBreakHyphen/>
        <w:t>4).</w:t>
      </w:r>
    </w:p>
    <w:p w14:paraId="6B87FB1C" w14:textId="77777777" w:rsidR="008D15E1" w:rsidRPr="0044524F" w:rsidRDefault="008D15E1" w:rsidP="009654CF">
      <w:pPr>
        <w:pStyle w:val="rtejustify"/>
        <w:spacing w:before="0" w:after="0"/>
        <w:rPr>
          <w:color w:val="000000" w:themeColor="text1"/>
          <w:sz w:val="16"/>
          <w:szCs w:val="16"/>
        </w:rPr>
      </w:pPr>
      <w:r w:rsidRPr="0044524F">
        <w:rPr>
          <w:color w:val="000000" w:themeColor="text1"/>
          <w:sz w:val="16"/>
          <w:szCs w:val="16"/>
        </w:rPr>
        <w:t>²* Вторая цифра после исправления неразборчива.</w:t>
      </w:r>
    </w:p>
    <w:p w14:paraId="5AB9578F" w14:textId="77777777" w:rsidR="008D15E1" w:rsidRPr="0044524F" w:rsidRDefault="008D15E1" w:rsidP="009654CF">
      <w:pPr>
        <w:pStyle w:val="rtejustify"/>
        <w:spacing w:before="0" w:after="0"/>
        <w:rPr>
          <w:color w:val="000000" w:themeColor="text1"/>
          <w:sz w:val="16"/>
          <w:szCs w:val="16"/>
        </w:rPr>
      </w:pPr>
      <w:r w:rsidRPr="0044524F">
        <w:rPr>
          <w:color w:val="000000" w:themeColor="text1"/>
          <w:sz w:val="16"/>
          <w:szCs w:val="16"/>
        </w:rPr>
        <w:t>РГАЭ. Ф. 4372. Оп. 91. Д. 1395. Л. 97-94 об. Подлинник (14275).</w:t>
      </w:r>
    </w:p>
    <w:p w14:paraId="1360E27E" w14:textId="77777777" w:rsidR="008D15E1" w:rsidRPr="0044524F" w:rsidRDefault="008D15E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B1808F"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 г. была Докладная записка начальника Сектора обороны Госплана СССР39 С. О. Ботнера руководству Госплана СССР об обеспеченности военной промышленности кадрами</w:t>
      </w:r>
    </w:p>
    <w:p w14:paraId="059DADB8"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секретно.</w:t>
      </w:r>
    </w:p>
    <w:p w14:paraId="0D1E0F10"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Мобилизационная готовность военной промышленности в значительной мере зависит от наличия в ней к моменту развертывания квалифицированных кадров рабочих</w:t>
      </w:r>
    </w:p>
    <w:p w14:paraId="55349A86"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специалистов, полностью освоивших производство. Положение, которое мы имеем в</w:t>
      </w:r>
    </w:p>
    <w:p w14:paraId="5E18EBFB"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настоящее время с сохранением кадров в военной промышленности, внушает большие</w:t>
      </w:r>
    </w:p>
    <w:p w14:paraId="7D21EC33"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опасения за готовность этого решающего участка. В 1933 г. военная промышленность</w:t>
      </w:r>
    </w:p>
    <w:p w14:paraId="196F4F93"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незначительным ростом загрузки вынуждена была сокращать количество</w:t>
      </w:r>
    </w:p>
    <w:p w14:paraId="5E4C755F"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рабочих и ИТР.</w:t>
      </w:r>
    </w:p>
    <w:tbl>
      <w:tblPr>
        <w:tblStyle w:val="affe"/>
        <w:tblW w:w="0" w:type="auto"/>
        <w:tblInd w:w="150" w:type="dxa"/>
        <w:tblLook w:val="04A0" w:firstRow="1" w:lastRow="0" w:firstColumn="1" w:lastColumn="0" w:noHBand="0" w:noVBand="1"/>
      </w:tblPr>
      <w:tblGrid>
        <w:gridCol w:w="1116"/>
        <w:gridCol w:w="1093"/>
        <w:gridCol w:w="916"/>
        <w:gridCol w:w="1093"/>
        <w:gridCol w:w="916"/>
      </w:tblGrid>
      <w:tr w:rsidR="00820A14" w:rsidRPr="0044524F" w14:paraId="7090A2A9" w14:textId="77777777" w:rsidTr="00E9136F">
        <w:tc>
          <w:tcPr>
            <w:tcW w:w="803" w:type="dxa"/>
          </w:tcPr>
          <w:p w14:paraId="363F957A" w14:textId="77777777" w:rsidR="00820A14" w:rsidRPr="0044524F" w:rsidRDefault="00820A14" w:rsidP="009654CF">
            <w:pPr>
              <w:spacing w:after="0" w:line="240" w:lineRule="auto"/>
              <w:rPr>
                <w:rFonts w:ascii="Times New Roman" w:hAnsi="Times New Roman" w:cs="Times New Roman"/>
                <w:color w:val="000000" w:themeColor="text1"/>
                <w:sz w:val="16"/>
                <w:szCs w:val="16"/>
              </w:rPr>
            </w:pPr>
          </w:p>
        </w:tc>
        <w:tc>
          <w:tcPr>
            <w:tcW w:w="916" w:type="dxa"/>
          </w:tcPr>
          <w:p w14:paraId="40564C9A"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Численность рабочих</w:t>
            </w:r>
          </w:p>
        </w:tc>
        <w:tc>
          <w:tcPr>
            <w:tcW w:w="916" w:type="dxa"/>
          </w:tcPr>
          <w:p w14:paraId="49C57D45" w14:textId="77777777" w:rsidR="00820A14" w:rsidRPr="0044524F" w:rsidRDefault="00820A14" w:rsidP="009654CF">
            <w:pPr>
              <w:spacing w:after="0" w:line="240" w:lineRule="auto"/>
              <w:rPr>
                <w:rFonts w:ascii="Times New Roman" w:hAnsi="Times New Roman" w:cs="Times New Roman"/>
                <w:color w:val="000000" w:themeColor="text1"/>
                <w:sz w:val="16"/>
                <w:szCs w:val="16"/>
              </w:rPr>
            </w:pPr>
          </w:p>
        </w:tc>
        <w:tc>
          <w:tcPr>
            <w:tcW w:w="916" w:type="dxa"/>
          </w:tcPr>
          <w:p w14:paraId="3863AB4A"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Численность ИТР</w:t>
            </w:r>
          </w:p>
        </w:tc>
        <w:tc>
          <w:tcPr>
            <w:tcW w:w="916" w:type="dxa"/>
          </w:tcPr>
          <w:p w14:paraId="62AF0CF3" w14:textId="77777777" w:rsidR="00820A14" w:rsidRPr="0044524F" w:rsidRDefault="00820A14" w:rsidP="009654CF">
            <w:pPr>
              <w:spacing w:after="0" w:line="240" w:lineRule="auto"/>
              <w:rPr>
                <w:rFonts w:ascii="Times New Roman" w:hAnsi="Times New Roman" w:cs="Times New Roman"/>
                <w:color w:val="000000" w:themeColor="text1"/>
                <w:sz w:val="16"/>
                <w:szCs w:val="16"/>
              </w:rPr>
            </w:pPr>
          </w:p>
        </w:tc>
      </w:tr>
      <w:tr w:rsidR="00820A14" w:rsidRPr="0044524F" w14:paraId="1FAEE0B5" w14:textId="77777777" w:rsidTr="00E9136F">
        <w:tc>
          <w:tcPr>
            <w:tcW w:w="803" w:type="dxa"/>
          </w:tcPr>
          <w:p w14:paraId="77BD2C2C" w14:textId="77777777" w:rsidR="00820A14" w:rsidRPr="0044524F" w:rsidRDefault="00820A14" w:rsidP="009654CF">
            <w:pPr>
              <w:spacing w:after="0" w:line="240" w:lineRule="auto"/>
              <w:rPr>
                <w:rFonts w:ascii="Times New Roman" w:hAnsi="Times New Roman" w:cs="Times New Roman"/>
                <w:color w:val="000000" w:themeColor="text1"/>
                <w:sz w:val="16"/>
                <w:szCs w:val="16"/>
              </w:rPr>
            </w:pPr>
          </w:p>
        </w:tc>
        <w:tc>
          <w:tcPr>
            <w:tcW w:w="916" w:type="dxa"/>
          </w:tcPr>
          <w:p w14:paraId="2F547AB6"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1932 г.</w:t>
            </w:r>
          </w:p>
        </w:tc>
        <w:tc>
          <w:tcPr>
            <w:tcW w:w="916" w:type="dxa"/>
          </w:tcPr>
          <w:p w14:paraId="56F47327"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1933 г.</w:t>
            </w:r>
          </w:p>
        </w:tc>
        <w:tc>
          <w:tcPr>
            <w:tcW w:w="916" w:type="dxa"/>
          </w:tcPr>
          <w:p w14:paraId="7AF2939A"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1932 г.</w:t>
            </w:r>
          </w:p>
        </w:tc>
        <w:tc>
          <w:tcPr>
            <w:tcW w:w="916" w:type="dxa"/>
          </w:tcPr>
          <w:p w14:paraId="4715857D"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1933 г.</w:t>
            </w:r>
          </w:p>
        </w:tc>
      </w:tr>
      <w:tr w:rsidR="00820A14" w:rsidRPr="0044524F" w14:paraId="46CBACB8" w14:textId="77777777" w:rsidTr="00E9136F">
        <w:tc>
          <w:tcPr>
            <w:tcW w:w="803" w:type="dxa"/>
          </w:tcPr>
          <w:p w14:paraId="12EF407F"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Снарядный трест</w:t>
            </w:r>
          </w:p>
        </w:tc>
        <w:tc>
          <w:tcPr>
            <w:tcW w:w="916" w:type="dxa"/>
          </w:tcPr>
          <w:p w14:paraId="7F89F936"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31365</w:t>
            </w:r>
          </w:p>
        </w:tc>
        <w:tc>
          <w:tcPr>
            <w:tcW w:w="916" w:type="dxa"/>
          </w:tcPr>
          <w:p w14:paraId="6B2A8BD8"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25 085</w:t>
            </w:r>
          </w:p>
        </w:tc>
        <w:tc>
          <w:tcPr>
            <w:tcW w:w="916" w:type="dxa"/>
          </w:tcPr>
          <w:p w14:paraId="5A43C7CA"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3199</w:t>
            </w:r>
          </w:p>
        </w:tc>
        <w:tc>
          <w:tcPr>
            <w:tcW w:w="916" w:type="dxa"/>
          </w:tcPr>
          <w:p w14:paraId="755486FE"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 1001*</w:t>
            </w:r>
          </w:p>
        </w:tc>
      </w:tr>
      <w:tr w:rsidR="00820A14" w:rsidRPr="0044524F" w14:paraId="6C74635D" w14:textId="77777777" w:rsidTr="00E9136F">
        <w:tc>
          <w:tcPr>
            <w:tcW w:w="803" w:type="dxa"/>
          </w:tcPr>
          <w:p w14:paraId="0EADDECC"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Вохимтрест</w:t>
            </w:r>
          </w:p>
        </w:tc>
        <w:tc>
          <w:tcPr>
            <w:tcW w:w="916" w:type="dxa"/>
          </w:tcPr>
          <w:p w14:paraId="3F48E451"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21528</w:t>
            </w:r>
          </w:p>
        </w:tc>
        <w:tc>
          <w:tcPr>
            <w:tcW w:w="916" w:type="dxa"/>
          </w:tcPr>
          <w:p w14:paraId="6A6BD7B5"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20 774</w:t>
            </w:r>
          </w:p>
        </w:tc>
        <w:tc>
          <w:tcPr>
            <w:tcW w:w="916" w:type="dxa"/>
          </w:tcPr>
          <w:p w14:paraId="463F2441"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w:t>
            </w:r>
          </w:p>
        </w:tc>
        <w:tc>
          <w:tcPr>
            <w:tcW w:w="916" w:type="dxa"/>
          </w:tcPr>
          <w:p w14:paraId="7F5EA1DC" w14:textId="77777777" w:rsidR="00820A14" w:rsidRPr="0044524F" w:rsidRDefault="00820A14" w:rsidP="009654CF">
            <w:pPr>
              <w:spacing w:after="0" w:line="240" w:lineRule="auto"/>
              <w:rPr>
                <w:rFonts w:ascii="Times New Roman" w:hAnsi="Times New Roman" w:cs="Times New Roman"/>
                <w:color w:val="000000" w:themeColor="text1"/>
                <w:sz w:val="16"/>
                <w:szCs w:val="16"/>
              </w:rPr>
            </w:pPr>
          </w:p>
        </w:tc>
      </w:tr>
      <w:tr w:rsidR="00820A14" w:rsidRPr="0044524F" w14:paraId="6133F0F2" w14:textId="77777777" w:rsidTr="00E9136F">
        <w:tc>
          <w:tcPr>
            <w:tcW w:w="803" w:type="dxa"/>
          </w:tcPr>
          <w:p w14:paraId="4814DD19"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Патрубвзрыв</w:t>
            </w:r>
          </w:p>
        </w:tc>
        <w:tc>
          <w:tcPr>
            <w:tcW w:w="916" w:type="dxa"/>
          </w:tcPr>
          <w:p w14:paraId="6372DABA"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56 880</w:t>
            </w:r>
          </w:p>
        </w:tc>
        <w:tc>
          <w:tcPr>
            <w:tcW w:w="916" w:type="dxa"/>
          </w:tcPr>
          <w:p w14:paraId="483DF8D2"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42 717</w:t>
            </w:r>
          </w:p>
        </w:tc>
        <w:tc>
          <w:tcPr>
            <w:tcW w:w="916" w:type="dxa"/>
          </w:tcPr>
          <w:p w14:paraId="0C7F75AC"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5 316</w:t>
            </w:r>
          </w:p>
        </w:tc>
        <w:tc>
          <w:tcPr>
            <w:tcW w:w="916" w:type="dxa"/>
          </w:tcPr>
          <w:p w14:paraId="10D1F1BF"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4 800</w:t>
            </w:r>
          </w:p>
        </w:tc>
      </w:tr>
      <w:tr w:rsidR="00820A14" w:rsidRPr="0044524F" w14:paraId="59CCD427" w14:textId="77777777" w:rsidTr="00E9136F">
        <w:tc>
          <w:tcPr>
            <w:tcW w:w="803" w:type="dxa"/>
          </w:tcPr>
          <w:p w14:paraId="20AF5579"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Орудийно-арсенальный [трест]</w:t>
            </w:r>
          </w:p>
        </w:tc>
        <w:tc>
          <w:tcPr>
            <w:tcW w:w="916" w:type="dxa"/>
          </w:tcPr>
          <w:p w14:paraId="016EC978"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54 027</w:t>
            </w:r>
          </w:p>
        </w:tc>
        <w:tc>
          <w:tcPr>
            <w:tcW w:w="916" w:type="dxa"/>
          </w:tcPr>
          <w:p w14:paraId="1233B127"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48 632</w:t>
            </w:r>
          </w:p>
        </w:tc>
        <w:tc>
          <w:tcPr>
            <w:tcW w:w="916" w:type="dxa"/>
          </w:tcPr>
          <w:p w14:paraId="641FCD41"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7 544</w:t>
            </w:r>
          </w:p>
        </w:tc>
        <w:tc>
          <w:tcPr>
            <w:tcW w:w="916" w:type="dxa"/>
          </w:tcPr>
          <w:p w14:paraId="331222C6"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7 000</w:t>
            </w:r>
          </w:p>
        </w:tc>
      </w:tr>
      <w:tr w:rsidR="00820A14" w:rsidRPr="0044524F" w14:paraId="1E6D9A8C" w14:textId="77777777" w:rsidTr="00E9136F">
        <w:tc>
          <w:tcPr>
            <w:tcW w:w="803" w:type="dxa"/>
          </w:tcPr>
          <w:p w14:paraId="21F3CE49"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Пороховые заводы</w:t>
            </w:r>
          </w:p>
        </w:tc>
        <w:tc>
          <w:tcPr>
            <w:tcW w:w="916" w:type="dxa"/>
          </w:tcPr>
          <w:p w14:paraId="213D9280"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13 787</w:t>
            </w:r>
          </w:p>
        </w:tc>
        <w:tc>
          <w:tcPr>
            <w:tcW w:w="916" w:type="dxa"/>
          </w:tcPr>
          <w:p w14:paraId="5229F305"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9 783</w:t>
            </w:r>
          </w:p>
        </w:tc>
        <w:tc>
          <w:tcPr>
            <w:tcW w:w="916" w:type="dxa"/>
          </w:tcPr>
          <w:p w14:paraId="2E5CDB56" w14:textId="77777777" w:rsidR="00820A14" w:rsidRPr="0044524F" w:rsidRDefault="00820A14" w:rsidP="009654CF">
            <w:pPr>
              <w:spacing w:after="0" w:line="240" w:lineRule="auto"/>
              <w:rPr>
                <w:rFonts w:ascii="Times New Roman" w:hAnsi="Times New Roman" w:cs="Times New Roman"/>
                <w:color w:val="000000" w:themeColor="text1"/>
                <w:sz w:val="16"/>
                <w:szCs w:val="16"/>
              </w:rPr>
            </w:pPr>
          </w:p>
        </w:tc>
        <w:tc>
          <w:tcPr>
            <w:tcW w:w="916" w:type="dxa"/>
          </w:tcPr>
          <w:p w14:paraId="3B5747E3"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w:t>
            </w:r>
          </w:p>
        </w:tc>
      </w:tr>
      <w:tr w:rsidR="00820A14" w:rsidRPr="0044524F" w14:paraId="24A61270" w14:textId="77777777" w:rsidTr="00E9136F">
        <w:tc>
          <w:tcPr>
            <w:tcW w:w="803" w:type="dxa"/>
          </w:tcPr>
          <w:p w14:paraId="6DCEA07C"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Ружейно-пулеметный трест</w:t>
            </w:r>
          </w:p>
        </w:tc>
        <w:tc>
          <w:tcPr>
            <w:tcW w:w="916" w:type="dxa"/>
          </w:tcPr>
          <w:p w14:paraId="2AEF94A8"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53 415</w:t>
            </w:r>
          </w:p>
        </w:tc>
        <w:tc>
          <w:tcPr>
            <w:tcW w:w="916" w:type="dxa"/>
          </w:tcPr>
          <w:p w14:paraId="4426C22E"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40 250</w:t>
            </w:r>
          </w:p>
        </w:tc>
        <w:tc>
          <w:tcPr>
            <w:tcW w:w="916" w:type="dxa"/>
          </w:tcPr>
          <w:p w14:paraId="1DF42DB0"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5 953</w:t>
            </w:r>
          </w:p>
        </w:tc>
        <w:tc>
          <w:tcPr>
            <w:tcW w:w="916" w:type="dxa"/>
          </w:tcPr>
          <w:p w14:paraId="3B897DA6"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5 300</w:t>
            </w:r>
          </w:p>
        </w:tc>
      </w:tr>
      <w:tr w:rsidR="00820A14" w:rsidRPr="0044524F" w14:paraId="43C0246A" w14:textId="77777777" w:rsidTr="00E9136F">
        <w:tc>
          <w:tcPr>
            <w:tcW w:w="803" w:type="dxa"/>
          </w:tcPr>
          <w:p w14:paraId="121E10F5" w14:textId="77777777" w:rsidR="00820A14" w:rsidRPr="0044524F" w:rsidRDefault="00820A14" w:rsidP="009654CF">
            <w:pPr>
              <w:spacing w:after="0" w:line="240" w:lineRule="auto"/>
              <w:rPr>
                <w:rFonts w:ascii="Times New Roman" w:hAnsi="Times New Roman" w:cs="Times New Roman"/>
                <w:color w:val="000000" w:themeColor="text1"/>
                <w:sz w:val="16"/>
                <w:szCs w:val="16"/>
              </w:rPr>
            </w:pPr>
          </w:p>
        </w:tc>
        <w:tc>
          <w:tcPr>
            <w:tcW w:w="916" w:type="dxa"/>
          </w:tcPr>
          <w:p w14:paraId="267D384F"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231 002</w:t>
            </w:r>
          </w:p>
        </w:tc>
        <w:tc>
          <w:tcPr>
            <w:tcW w:w="916" w:type="dxa"/>
          </w:tcPr>
          <w:p w14:paraId="2CE5F61B"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187 241</w:t>
            </w:r>
          </w:p>
        </w:tc>
        <w:tc>
          <w:tcPr>
            <w:tcW w:w="916" w:type="dxa"/>
          </w:tcPr>
          <w:p w14:paraId="0D1F479F"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22 012</w:t>
            </w:r>
          </w:p>
        </w:tc>
        <w:tc>
          <w:tcPr>
            <w:tcW w:w="916" w:type="dxa"/>
          </w:tcPr>
          <w:p w14:paraId="040B6220"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20 200</w:t>
            </w:r>
          </w:p>
        </w:tc>
      </w:tr>
    </w:tbl>
    <w:p w14:paraId="3D41D897"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указанным выше производствам среднегодовая численность рабочих сократилась на 43,7 тыс. чел. и ИТР — 1,8 тыс. чел., и только по авиационной промышленности, вискозным фабрикам и производству танков не было сокращения рабочих, против IV квартала 1932 г. ИТР и здесь приходилось сокращать. Тем более положение становится напряженным к концу второго пятилетия при росте основного капитала в два с лишним раза и в лучшем случае сохранении рабочих на уровне 1932 г.</w:t>
      </w:r>
    </w:p>
    <w:tbl>
      <w:tblPr>
        <w:tblStyle w:val="affe"/>
        <w:tblW w:w="0" w:type="auto"/>
        <w:tblInd w:w="150" w:type="dxa"/>
        <w:tblLook w:val="04A0" w:firstRow="1" w:lastRow="0" w:firstColumn="1" w:lastColumn="0" w:noHBand="0" w:noVBand="1"/>
      </w:tblPr>
      <w:tblGrid>
        <w:gridCol w:w="1500"/>
        <w:gridCol w:w="916"/>
        <w:gridCol w:w="916"/>
        <w:gridCol w:w="925"/>
      </w:tblGrid>
      <w:tr w:rsidR="00820A14" w:rsidRPr="0044524F" w14:paraId="39B9F31C" w14:textId="77777777" w:rsidTr="00E9136F">
        <w:tc>
          <w:tcPr>
            <w:tcW w:w="803" w:type="dxa"/>
          </w:tcPr>
          <w:p w14:paraId="221EE9C8" w14:textId="77777777" w:rsidR="00820A14" w:rsidRPr="0044524F" w:rsidRDefault="00820A14" w:rsidP="009654CF">
            <w:pPr>
              <w:spacing w:after="0" w:line="240" w:lineRule="auto"/>
              <w:rPr>
                <w:rFonts w:ascii="Times New Roman" w:hAnsi="Times New Roman" w:cs="Times New Roman"/>
                <w:color w:val="000000" w:themeColor="text1"/>
                <w:sz w:val="16"/>
                <w:szCs w:val="16"/>
              </w:rPr>
            </w:pPr>
          </w:p>
        </w:tc>
        <w:tc>
          <w:tcPr>
            <w:tcW w:w="916" w:type="dxa"/>
          </w:tcPr>
          <w:p w14:paraId="16FB57BA"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1932 г.</w:t>
            </w:r>
          </w:p>
        </w:tc>
        <w:tc>
          <w:tcPr>
            <w:tcW w:w="916" w:type="dxa"/>
          </w:tcPr>
          <w:p w14:paraId="43614BA5"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1937 г.</w:t>
            </w:r>
          </w:p>
        </w:tc>
        <w:tc>
          <w:tcPr>
            <w:tcW w:w="916" w:type="dxa"/>
          </w:tcPr>
          <w:p w14:paraId="069FC0F4"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1937 г. в процентах к 1932 г.</w:t>
            </w:r>
          </w:p>
        </w:tc>
      </w:tr>
      <w:tr w:rsidR="00820A14" w:rsidRPr="0044524F" w14:paraId="214E7905" w14:textId="77777777" w:rsidTr="00E9136F">
        <w:tc>
          <w:tcPr>
            <w:tcW w:w="803" w:type="dxa"/>
          </w:tcPr>
          <w:p w14:paraId="2DB041EE"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Основной производственный фонд в млн руб. на конец года</w:t>
            </w:r>
          </w:p>
        </w:tc>
        <w:tc>
          <w:tcPr>
            <w:tcW w:w="916" w:type="dxa"/>
          </w:tcPr>
          <w:p w14:paraId="5DDE093F"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1428,0</w:t>
            </w:r>
          </w:p>
        </w:tc>
        <w:tc>
          <w:tcPr>
            <w:tcW w:w="916" w:type="dxa"/>
          </w:tcPr>
          <w:p w14:paraId="2A15A229"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3350,0</w:t>
            </w:r>
          </w:p>
        </w:tc>
        <w:tc>
          <w:tcPr>
            <w:tcW w:w="916" w:type="dxa"/>
          </w:tcPr>
          <w:p w14:paraId="1AFAC46E"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234,5</w:t>
            </w:r>
          </w:p>
        </w:tc>
      </w:tr>
      <w:tr w:rsidR="00820A14" w:rsidRPr="0044524F" w14:paraId="3D1F88BF" w14:textId="77777777" w:rsidTr="00E9136F">
        <w:tc>
          <w:tcPr>
            <w:tcW w:w="803" w:type="dxa"/>
          </w:tcPr>
          <w:p w14:paraId="5A856C1D"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Валовая продукция в млн руб.</w:t>
            </w:r>
          </w:p>
        </w:tc>
        <w:tc>
          <w:tcPr>
            <w:tcW w:w="916" w:type="dxa"/>
          </w:tcPr>
          <w:p w14:paraId="4B917052"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2037,4</w:t>
            </w:r>
          </w:p>
        </w:tc>
        <w:tc>
          <w:tcPr>
            <w:tcW w:w="916" w:type="dxa"/>
          </w:tcPr>
          <w:p w14:paraId="258EE730"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2800,0</w:t>
            </w:r>
          </w:p>
        </w:tc>
        <w:tc>
          <w:tcPr>
            <w:tcW w:w="916" w:type="dxa"/>
          </w:tcPr>
          <w:p w14:paraId="7647D767"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137,4</w:t>
            </w:r>
          </w:p>
        </w:tc>
      </w:tr>
      <w:tr w:rsidR="00820A14" w:rsidRPr="0044524F" w14:paraId="0C400837" w14:textId="77777777" w:rsidTr="00E9136F">
        <w:tc>
          <w:tcPr>
            <w:tcW w:w="803" w:type="dxa"/>
          </w:tcPr>
          <w:p w14:paraId="7DCDEAD0"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Численность рабочих в тыс. чел.</w:t>
            </w:r>
          </w:p>
        </w:tc>
        <w:tc>
          <w:tcPr>
            <w:tcW w:w="916" w:type="dxa"/>
          </w:tcPr>
          <w:p w14:paraId="5FB62F30"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318,4</w:t>
            </w:r>
          </w:p>
        </w:tc>
        <w:tc>
          <w:tcPr>
            <w:tcW w:w="916" w:type="dxa"/>
          </w:tcPr>
          <w:p w14:paraId="6B3D2791"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317,1</w:t>
            </w:r>
          </w:p>
        </w:tc>
        <w:tc>
          <w:tcPr>
            <w:tcW w:w="916" w:type="dxa"/>
          </w:tcPr>
          <w:p w14:paraId="2423CB6E"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99,5</w:t>
            </w:r>
          </w:p>
        </w:tc>
      </w:tr>
      <w:tr w:rsidR="00820A14" w:rsidRPr="0044524F" w14:paraId="712FDA81" w14:textId="77777777" w:rsidTr="00E9136F">
        <w:tc>
          <w:tcPr>
            <w:tcW w:w="803" w:type="dxa"/>
          </w:tcPr>
          <w:p w14:paraId="0F87E3E0"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Выработка на рабочего в руб.</w:t>
            </w:r>
          </w:p>
        </w:tc>
        <w:tc>
          <w:tcPr>
            <w:tcW w:w="916" w:type="dxa"/>
          </w:tcPr>
          <w:p w14:paraId="6B3DBD32"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6397,0</w:t>
            </w:r>
          </w:p>
        </w:tc>
        <w:tc>
          <w:tcPr>
            <w:tcW w:w="916" w:type="dxa"/>
          </w:tcPr>
          <w:p w14:paraId="3A90298A"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8828,0</w:t>
            </w:r>
          </w:p>
        </w:tc>
        <w:tc>
          <w:tcPr>
            <w:tcW w:w="916" w:type="dxa"/>
          </w:tcPr>
          <w:p w14:paraId="47966F12" w14:textId="77777777" w:rsidR="00820A14" w:rsidRPr="0044524F" w:rsidRDefault="00820A14" w:rsidP="009654CF">
            <w:pPr>
              <w:spacing w:after="0"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138,0</w:t>
            </w:r>
          </w:p>
        </w:tc>
      </w:tr>
    </w:tbl>
    <w:p w14:paraId="53DE8651"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втором пятилетии вступают в эксплуатацию 15 новых предприятий; необходимо предусмотреть обеспечение этих предприятий рабочей силой и специалистами.</w:t>
      </w:r>
    </w:p>
    <w:p w14:paraId="1AD3AA38"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 запроектировали 38% роста производительности труда исключительно с целью сохранения наличного состава рабочих, зная, однако, что производительность труда будет значительно выше и, следовательно, рабочих нужно будет сокращать. Производительность труда в военной промышленности не будет ниже, чем в гражданской промышленности, а НКТП проектирует в машиностроении рост производительности труда на 65% и увеличение численности рабочих на 24%. Но даже и при этом условном расчете (38%) не выдерживается необходимое соотношение между темпами роста производительности труда и заработной платы. Рост заработной платы в 1937 г. должен составить 31,8% по отношению к 1932 г. (в том числе в 1933 г. против 1932 г. — 9,7%), т. к. уровень зарплаты в военно-химической промышленности еще очень значительно отстает от уровня зарплаты в гражданской химии, и во втором пятилетии этот разрыв должен быть ликвидирован.</w:t>
      </w:r>
    </w:p>
    <w:p w14:paraId="4535E32F"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Обращая Ваше внимание на то, что мы лишены возможности вследствие недостаточной загрузки военной промышленности во втором пятилетии предусмотреть обеспечение ее мобилизационной готовности по линии труда, а также и на то, что себестоимость продукции не может быть снижена в полном соответствии с директивами партии и правительства, прошу Ваших указаний.</w:t>
      </w:r>
    </w:p>
    <w:p w14:paraId="3F596ECC"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Сектора обороны Госплана СССР Ботнер</w:t>
      </w:r>
    </w:p>
    <w:p w14:paraId="64FC5116" w14:textId="77777777" w:rsidR="00820A14" w:rsidRPr="0044524F" w:rsidRDefault="00820A1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РГАЭ. Ф. 4372. Оп. 91. Д. 1395. Л. 97-94 об. Подлинник (23644).</w:t>
      </w:r>
    </w:p>
    <w:p w14:paraId="3EBFB60C" w14:textId="77777777" w:rsidR="00820A14" w:rsidRPr="0044524F" w:rsidRDefault="00820A14" w:rsidP="009654CF">
      <w:pPr>
        <w:spacing w:after="0" w:line="240" w:lineRule="auto"/>
        <w:jc w:val="both"/>
        <w:rPr>
          <w:rFonts w:ascii="Times New Roman" w:hAnsi="Times New Roman"/>
          <w:color w:val="000000" w:themeColor="text1"/>
          <w:sz w:val="16"/>
          <w:szCs w:val="16"/>
        </w:rPr>
      </w:pPr>
    </w:p>
    <w:p w14:paraId="45C83FD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 г.</w:t>
      </w:r>
    </w:p>
    <w:p w14:paraId="2E44E315"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СПЕЦСООБЩЕНИЕ Г.Г. ЯГОДЫ И Л.Г. МИРОНОВА И.В. СТАЛИНУ О НАЛИЧИИ «ШПИОНСКОЙ» ОРГАНИЗАЦИИ В ОРУДИЙНО-АРСЕНАЛЬНОЙ ПРОМЫШЛЕННОСТИ</w:t>
      </w:r>
    </w:p>
    <w:p w14:paraId="23C87246"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 г.</w:t>
      </w:r>
    </w:p>
    <w:p w14:paraId="5BD4B282"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294301</w:t>
      </w:r>
    </w:p>
    <w:p w14:paraId="09D0FF38"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 СЕКРЕТНО</w:t>
      </w:r>
      <w:r w:rsidRPr="0044524F">
        <w:rPr>
          <w:rFonts w:ascii="Times New Roman" w:hAnsi="Times New Roman"/>
          <w:color w:val="000000" w:themeColor="text1"/>
          <w:sz w:val="16"/>
          <w:szCs w:val="16"/>
        </w:rPr>
        <w:tab/>
        <w:t>.</w:t>
      </w:r>
    </w:p>
    <w:p w14:paraId="31DBC097"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Следствием установлено, что в орудийно-арсенальной промышленности существует к.-р. вредительская и шпионская организация, охватившая своей деятельностью как центральный аппарат — орудийно-арсенальное объединение, так и его заводы, руководимая немецкими национал-социалистами.</w:t>
      </w:r>
    </w:p>
    <w:p w14:paraId="5678320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Состав организации — бывш. офицеры, дворяне, выходцы из буржуазной среды, часть из них нерепрессированные участники ликвидированной в военной промышленности вредительской организации, возглавлявшейся генералом МИХАЙЛОВЫМ.</w:t>
      </w:r>
    </w:p>
    <w:p w14:paraId="5C231F56"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 организации входит и ряд молодых специалистов.</w:t>
      </w:r>
    </w:p>
    <w:p w14:paraId="4A76115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данному делу арестованы:</w:t>
      </w:r>
    </w:p>
    <w:p w14:paraId="2E83198F"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МИХАЙЛОВ Александр Иванович — быв. тех. директор завода № 8, выходец из буржуазной семьи, в прошлом воспитанник баронессы Шпиглец-Половецкой.</w:t>
      </w:r>
    </w:p>
    <w:p w14:paraId="76784136"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ХАНДОМИРОВ Давид Сергеевич — нач. отдела оборудования и мощностей завода № 8, служащий, выходец из буржуазной семьи.</w:t>
      </w:r>
    </w:p>
    <w:p w14:paraId="7E6AB2A5"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ТЫЧКОВ Игорь Неофитович — пом. нач. инструментального отдела завода № 8, из крестьянской зажиточной семьи.</w:t>
      </w:r>
    </w:p>
    <w:p w14:paraId="5E5451DC"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ШЕФЕР Александр Яковлевич — инженер бюро рационализации завода № 8, в прошлом владелец крупного завода.</w:t>
      </w:r>
    </w:p>
    <w:p w14:paraId="63D550BE"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СЛУЦКИЙ Илья Петрович — техник-нормировщик цеха № 2 завода № 8; до JL918 г. проживал в Польше.</w:t>
      </w:r>
    </w:p>
    <w:p w14:paraId="0987717A"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ТЕЙХМАН Александр Константинович — из буржуазной семьи, офицер, родственники живут в Америке, нач. отдела снабжения Стройконторы завода «Баррикады».</w:t>
      </w:r>
    </w:p>
    <w:p w14:paraId="2C1910BD"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КАМЕНОВ Семен Евграфович — инженер-металлург, нач. термической мастерской завода «Баррикады», родственники и братья офицеры, служили в белой армии, эмигрировали, сам КАМЕНОВ ранее состоял в кулацко-повстанческой организации.</w:t>
      </w:r>
    </w:p>
    <w:p w14:paraId="58A3FE12"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УЛЬЯНОВ Федор Филимонович — главбух завода «Баррикады», до революции работал на Златоустовском заводе, был провокатором, выдавая в руки полиции революционных рабочих.</w:t>
      </w:r>
    </w:p>
    <w:p w14:paraId="2656E975"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КАРПОВИЧ Павел Анзельмович — бывш. пом. нач. управления реконструкции ВОАО и техн. директор завода «Большевик», из дворян, полковник.</w:t>
      </w:r>
    </w:p>
    <w:p w14:paraId="6F46FD13"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ЮРИССОН Георгий Юрьевич — инженер, нач. Орудийского отдела ВОАО, из дворян, бывш. офицер, капитан морского флота.</w:t>
      </w:r>
    </w:p>
    <w:p w14:paraId="1167BE5D"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НОТАРИУС Семен Захарович — гл. механик ВОАО, выходец из буржуазной среды.</w:t>
      </w:r>
    </w:p>
    <w:p w14:paraId="53FE9E05"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СПИРИДОНОВ Павел Георгиевич — инженер отдела капитального строительства ВОАО, сын кулака, бывш. офицер.</w:t>
      </w:r>
    </w:p>
    <w:p w14:paraId="6A011469"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Показаниями указанных лиц, а равно и показаниями и других участников к.-р. организации, нами допрошены, но неарестованны (ПАРИЙСКИЙ В.В. — гл. металлург завода «Баррикады», ДАНИЛЕВСКИЙ В.П. — пом. техн. дир. завода «Баррикады», ЗАКРЖЕВСКИЙ ВЛ. — бывш. техн. дир. завода «Большевик» и МИРОЛЮБОВ — нач. молотового цеха завода «Большевик») — УСТАНОВЛЕНО:</w:t>
      </w:r>
    </w:p>
    <w:p w14:paraId="4678DDE1"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Основание организации положили оставшиеся на свободе участники ликвидированной «МИХАЙЛОВСКОЙ» организации в военной промышленности, которые активизировали свою подрывную деятельность с момента приезда на заводы ВОАО немецких инженеров Фирм «Крѵпп» и «Рейн-Металл», являющихся членами национал-социалистской партии. КИРМЗЕ. Пантенланден. РОЛЬФ; РеСТЁН.'ЗИТЦ и др.</w:t>
      </w:r>
    </w:p>
    <w:p w14:paraId="25E4E37F"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заданию последних на заводах ВОАО созданы фашистские ячейки для подрывной и шпионской работы.</w:t>
      </w:r>
    </w:p>
    <w:p w14:paraId="58F8420C"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Наиболее крупные фашистские ячейки были созданы на ведущих орудийных заводах: Московском № 8, «Баррикады» и «Большевик».</w:t>
      </w:r>
    </w:p>
    <w:p w14:paraId="470AA811"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отъезда указанных выше фашистов в Германию связь осуществлялась через представителя немецких фирм —«Гутегофнунгсштте» и «Шломан» ШВЕРЦА, являющегося поданным ОГПУ, крупным немецким разведчиком. (См. прил. № 1, 2, 3, 4, 5, 6, 7, 8).</w:t>
      </w:r>
    </w:p>
    <w:p w14:paraId="7EDE689E"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Срыв реконструкции орудийных заводов</w:t>
      </w:r>
    </w:p>
    <w:p w14:paraId="35606A7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деятельности указанной к-p вредительской и шпионской организации:</w:t>
      </w:r>
    </w:p>
    <w:p w14:paraId="4EE01A09"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Сорван план реконструкции основных заводов ВОАО («Баррикады», «Новое Сормово», «Большевик» и Пермский).</w:t>
      </w:r>
    </w:p>
    <w:p w14:paraId="0653B2D3"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отпущенных в течение 1931—32 г.г. на промстроительство 186.818.000 рублей израсходовано 145.000.000 рублей или 78%, освоено 85.719.000 рублей или 59%.</w:t>
      </w:r>
    </w:p>
    <w:p w14:paraId="53FFFD2D"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основном удар был направлен на срыв реконструкции горячих цехов и освоения капиталовложений (отпущено 56.723.000 рублей, израсходовано 36.665.000 рублей или 65%, а освоено только 13.893 руб. или 38%) с целью увеличения диспропорции между холодными (обрабатывающими) и горячими (заготовительными) цехами (см. приложение № 9).</w:t>
      </w:r>
    </w:p>
    <w:p w14:paraId="1EA08DDA"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программе 1933 г. горячие цеха загружены на 100% плюс дефицит в прокате в 14 тысяч тонн, вызванный срывом установки крупносортовых станков, механические цеха 65%. (См. приложение № 10).</w:t>
      </w:r>
    </w:p>
    <w:p w14:paraId="106EAA42"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Ввоз ненужного оборудования</w:t>
      </w:r>
    </w:p>
    <w:p w14:paraId="00865316"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-Оборудование, в том числе и импортное, заказывалось некомплектно, с разрывами в сроках поступления и вовсе ненужное ВОАО.</w:t>
      </w:r>
    </w:p>
    <w:p w14:paraId="3C2E33CE"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складах заводов ВОАО лежит в условиях плохого хранения на 11.000.000 руб. неустановленного оборудования, в том числе импортного на 9.000.000 руб. золотом, что приводит к поломке, порче оборудования и потере деталей. (См. приложение № 11, 12, 13, 14, 15 и 16.)</w:t>
      </w:r>
    </w:p>
    <w:p w14:paraId="5386443F"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Срыв текущей военной и мирной программ</w:t>
      </w:r>
    </w:p>
    <w:p w14:paraId="60F50518"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Сорвано выполнение военной программы по орудийным системам. </w:t>
      </w:r>
    </w:p>
    <w:p w14:paraId="32D14C4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 программа 6078 систем, предъявлено 1882 систем, сдано 771.</w:t>
      </w:r>
    </w:p>
    <w:p w14:paraId="2267079F"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1-й квартал 1933 года программа 410, предъявлено 225, сдано 25 систем.</w:t>
      </w:r>
    </w:p>
    <w:p w14:paraId="659C2677"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Срыв программы шел прежде всего за счет наиболее дефицитных и новейших видов вооружений (танковая, противотанковая и зенитная артиллерия, бронебойные снаряды крупного калибра), выпуск которых определяется единицами (см. прилож. № 17 и 18.)</w:t>
      </w:r>
    </w:p>
    <w:p w14:paraId="327C9CEA"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этого на вооружение путем обмана военной приемки сдавались заведомо недоброкачественные системы (см. прилож. 18-а и 39).</w:t>
      </w:r>
    </w:p>
    <w:p w14:paraId="719C963F"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 Срывалось производство мирной продукции тяжелого машиностроения (турбинные диски, ротора, котлы высокого давления, химаппаратура), что создавало необходимость в импорте (см. прилож. № 29, 34.)</w:t>
      </w:r>
    </w:p>
    <w:p w14:paraId="1F3CD58A"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Вредительским планированием и введением технологического процесса создавались заделы и увеличивался брак.</w:t>
      </w:r>
    </w:p>
    <w:p w14:paraId="7BD8E346"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заводах ВОАО имеется незавершенного производства на 107.000.000 руб.</w:t>
      </w:r>
    </w:p>
    <w:p w14:paraId="4A93F3F5"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Брак по основным деталям колеблется от 27 до 75% (см. прилож. № 19 и 19-а).</w:t>
      </w:r>
    </w:p>
    <w:p w14:paraId="2902DDD7"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Членами к-p организации передавались сведения шпионского характера немецким фашистам. (Передан ряд сведений о производственных программах, мобилиз. сведения, чертежи экстродальной 152 м/м пушки). (См. прилож. № 20.)</w:t>
      </w:r>
    </w:p>
    <w:p w14:paraId="6E0540CB"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СЛЕДСТВИЕМ ДОКУМЕНТАЛЬНО ДОКАЗАНЫ СЛЕДУЮЩИЕ АКТЫ ВРЕДИТЕЛЬСТВА</w:t>
      </w:r>
    </w:p>
    <w:p w14:paraId="5A9394B8"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Вредительство на заводе «Баррикады»</w:t>
      </w:r>
    </w:p>
    <w:p w14:paraId="6ABD431D"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реконструкцию и новое строительство горячих механических цехов отпущено 64.000.000 руб., израсходовано 48.000.000 руб. или 79%, освоено 30.000.000 руб. или 58%.</w:t>
      </w:r>
    </w:p>
    <w:p w14:paraId="79C49B6E"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указанной суммы на горячие цеха отпущено 21.000.000 руб., израсходовано 14.000.000 руб. или 67%, а освоено всего лишь 4.900.000 руб. или 34%.</w:t>
      </w:r>
    </w:p>
    <w:p w14:paraId="068BBA62"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Строительство основных горячих цехов (мартеновских, обдирочного, торпедно-прессового, нового термического) сорвано.</w:t>
      </w:r>
    </w:p>
    <w:p w14:paraId="3979F8F9"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Руководители к-p ячейки на заводе — гл. металлург КРАВС-ТАРНАВСКИЙ, его помощник ПАРИЙСКИЙ и зав. термическими цехами НАГОРОВ — договорились саботировать все запросы УКСа, ссылаясь на свою некомпетентность, или вовсе не давать никаких технических указаний, или давать неверные, что и осуществляли.</w:t>
      </w:r>
    </w:p>
    <w:p w14:paraId="17514B37"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участием иноспециалиста ШИЛЛИНГА были даны заведомо неверные технические указания по вновь строящимся мартеновским и вертикально-закалочным печам, понизившие эффективность таковых. (См. прилож. № 21, 22, 23, 24).</w:t>
      </w:r>
    </w:p>
    <w:p w14:paraId="24BF3FE5"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Применялись несовершенные методы плавки и термической обработки, чем повышался брак, понижался процент выполнения производственных заданий по орудийным системам, и выпускались на вооружение недоброкачественные системы.</w:t>
      </w:r>
    </w:p>
    <w:p w14:paraId="5802EF89"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Под видом облегчения процесса ковки орудийных поковок применялась заведомо неправильно изложница, приводившая к загрязнению орудийных труб в ответственных местах (в камере и в начале нарезов).</w:t>
      </w:r>
    </w:p>
    <w:p w14:paraId="03AC2F38"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в 1932 г. окончательно было забраковано 100 труб, а 110, явно недоброкачественных, было направлено на завод N9 13 (Брянский Арсенал).</w:t>
      </w:r>
    </w:p>
    <w:p w14:paraId="7F9C1FA7"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ТАРНАВСКИЙ давал ПАРИЙСКОМУ указания направлять на завод № 13 более загрязненные трубы, заявляя, что там нет оптической трубы. осмотр производится зеркалом и дефекты не будут видны.</w:t>
      </w:r>
    </w:p>
    <w:p w14:paraId="23773F3C"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вредительство было проведено при прямом участии иноспециалистов ФЕЙСТА и БЕРНГОРН, которые доказывали, что шлаковые включения никакого влияния на службу пушек не имеют.</w:t>
      </w:r>
    </w:p>
    <w:p w14:paraId="30C1942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Под предлогом отсутствия пирмотермических приборов, тогда как на складах завода таковые имеются, проводилась кустарно-термическая обработка орудийных деталей, в силу чего от неправильных температур повышался брак, достигавший 30%.</w:t>
      </w:r>
    </w:p>
    <w:p w14:paraId="0D5C535D"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Участником к-p ячейки ШУКАЛОВЫМ (бывший начальник Конструкторского бюро завода), путем неправильных подсчетов напряжений в частях системы, сдавались Военведу пушки явно недоброкачественные.</w:t>
      </w:r>
    </w:p>
    <w:p w14:paraId="29F6D20E"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Сданы Военведу утонченные на 10 м/м ладыги (деталь, которой закрепляет тело с салазкой), что вносит ослабление сечения на 100 м/м и неизбежно приведет к аварии пушки во время стрельбы. Об этом, смеясь, говорил ШУКАЛОВ ПАРИЙСКОМУ после того, как «доказал» военной приемке пригодность этих ладыг.</w:t>
      </w:r>
    </w:p>
    <w:p w14:paraId="7CE5308F"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Сданы кронштейны для 152 м/м пушек, явно негодные по причине большого наличия раковины.</w:t>
      </w:r>
    </w:p>
    <w:p w14:paraId="7F84D71B"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Сдано военному приемщику 212 недоброкачественных труб. Наличие шлаковых включений в камере и в начале нарезов трубы понижает ее службу, а именно: вместо полагающихся 3000 выстрелов возможно только 1500-2000, после чего необходимо перестволение. (См. прилож. № 25, 26, 27, 28.)</w:t>
      </w:r>
    </w:p>
    <w:p w14:paraId="263D1C13"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заданию иноспециалиста КИРМЗЕ задерживали развитие на заводе тяжелого машиностроения (котлы высокого давления, ротора, турбинные валы, химаппаратура), способствуя передаче этих заказов за границу фирме «Крупп». (Сорваны заказы Союзверфи и ВЭО.) (См. прилож. № 29.)</w:t>
      </w:r>
    </w:p>
    <w:p w14:paraId="116AC2B9"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проведения указанных методов вредительства программа завода сорвана:</w:t>
      </w:r>
    </w:p>
    <w:p w14:paraId="47BCE11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 подлежало изготовлению</w:t>
      </w:r>
      <w:r w:rsidRPr="0044524F">
        <w:rPr>
          <w:rFonts w:ascii="Times New Roman" w:hAnsi="Times New Roman"/>
          <w:color w:val="000000" w:themeColor="text1"/>
          <w:sz w:val="16"/>
          <w:szCs w:val="16"/>
        </w:rPr>
        <w:tab/>
        <w:t>— 208 систем.</w:t>
      </w:r>
    </w:p>
    <w:p w14:paraId="341302F2"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Изготовлено и предъявлено к сдаче</w:t>
      </w:r>
      <w:r w:rsidRPr="0044524F">
        <w:rPr>
          <w:rFonts w:ascii="Times New Roman" w:hAnsi="Times New Roman"/>
          <w:color w:val="000000" w:themeColor="text1"/>
          <w:sz w:val="16"/>
          <w:szCs w:val="16"/>
        </w:rPr>
        <w:tab/>
        <w:t>— 50</w:t>
      </w:r>
    </w:p>
    <w:p w14:paraId="5864D97A"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Принято Военведом</w:t>
      </w:r>
      <w:r w:rsidRPr="0044524F">
        <w:rPr>
          <w:rFonts w:ascii="Times New Roman" w:hAnsi="Times New Roman"/>
          <w:color w:val="000000" w:themeColor="text1"/>
          <w:sz w:val="16"/>
          <w:szCs w:val="16"/>
        </w:rPr>
        <w:tab/>
        <w:t>— 0</w:t>
      </w:r>
    </w:p>
    <w:p w14:paraId="2FF7F5D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1 кв[артал] 1933 г. подлежало изготовлению— 60</w:t>
      </w:r>
    </w:p>
    <w:p w14:paraId="569DF3E5"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Изготовлено и предъявлено к сдаче</w:t>
      </w:r>
      <w:r w:rsidRPr="0044524F">
        <w:rPr>
          <w:rFonts w:ascii="Times New Roman" w:hAnsi="Times New Roman"/>
          <w:color w:val="000000" w:themeColor="text1"/>
          <w:sz w:val="16"/>
          <w:szCs w:val="16"/>
        </w:rPr>
        <w:tab/>
        <w:t>— 31</w:t>
      </w:r>
    </w:p>
    <w:p w14:paraId="04A26F0A"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Принято Военведом</w:t>
      </w:r>
      <w:r w:rsidRPr="0044524F">
        <w:rPr>
          <w:rFonts w:ascii="Times New Roman" w:hAnsi="Times New Roman"/>
          <w:color w:val="000000" w:themeColor="text1"/>
          <w:sz w:val="16"/>
          <w:szCs w:val="16"/>
        </w:rPr>
        <w:tab/>
        <w:t>— 7</w:t>
      </w:r>
    </w:p>
    <w:p w14:paraId="668A73C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на складах завода лежит в незавершенном производстве некомплектных деталей на сумму 13 млн. рублей, что в программе 1932 г. в денежном выражении составляет 105%. (См. прилож. Мг 17 и 19.)</w:t>
      </w:r>
    </w:p>
    <w:p w14:paraId="68877187"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Вредительство на заводе «Большевик»</w:t>
      </w:r>
    </w:p>
    <w:p w14:paraId="2F1B2DA6"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реконструкцию и строительство новых цехов в 1931—32 г. было отпущено 30 млн руб., израсходовано 22 млн руб., или 74%, освоено 6 млн — или 35%*.</w:t>
      </w:r>
    </w:p>
    <w:p w14:paraId="40B2F878"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указанной суммы на горячие цеха отпущено 10 млн. руб., израсходовано 5.800.000 руб., или 57%, а освоено всего лишь 3.000.000 руб., или 55%.</w:t>
      </w:r>
    </w:p>
    <w:p w14:paraId="2CF2F228"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Сорвано строительство нового мартеновского, прокатного, фасонно-литейного и ремонтно-механического цехов. (См. прилож. № 9 и 30.)</w:t>
      </w:r>
    </w:p>
    <w:p w14:paraId="7F40A4D8"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КРАВС-ТАРНАВСКИЙ, ПАРИЙСКИЙ, работавшие ранее на заводе «Большевик», и ЗАКРЖЕВСКИЙ — бывш. технический] директор завода, ныне инженер Оптического Объединения, возглавлявшие к-p ячейку на заводе «Большевик», поставили себе задачей по специальному указанию инженера КИРМЗЕ, представителя фирмы «Крупп», не допустить освоения заводом производства крупнокалиберных бронебойных снарядов для Морского Ведомства, что ими и выполнено.</w:t>
      </w:r>
    </w:p>
    <w:p w14:paraId="6E00FB23"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Необходимые для организации производства крупных снарядов пресса не устанавливались. Между тем пресса (вертикальный 2000 тонн и горизонтальный 500 тонн) в течение 15 лет лежат без действия на Ижорском заводе под открытым небом, ржавеют, и некоторые части уже растеряны.</w:t>
      </w:r>
    </w:p>
    <w:p w14:paraId="36AF538B"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«Большевик» имел разрешение на их получение еще в 1931 г.</w:t>
      </w:r>
    </w:p>
    <w:p w14:paraId="7F24CFA3"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Из-за отсутствия прессов работа протекала кустарным способом.</w:t>
      </w:r>
    </w:p>
    <w:p w14:paraId="423E9FBE"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снарядной плавки применялась заведомо недоброкачественная шихта с примесью большого количества фосфора (надо не более 0,02, а было 0,035, т.е. почти в два раза больше против допускаемого).</w:t>
      </w:r>
    </w:p>
    <w:p w14:paraId="77831BDB"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этих действий снарядное производство в течение 5 лет производством не освоено, а изготовленные за этот промежуток времени пошли в сплошной брак. (См. прилож. № 18, 31, 32, 33.)</w:t>
      </w:r>
    </w:p>
    <w:p w14:paraId="7BD0869C"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заданию того же КИРМЗЕ саботировалось и не развивалось тяжелое машиностроение, чем КИРМЗЕ имел в виду добиться увеличения наших заказов фирме «Крупп» (сорваны заказы по турбинным дискам и котлам высокого давления). (См. прилож. № 34, 35.)</w:t>
      </w:r>
    </w:p>
    <w:p w14:paraId="09C8F7CD"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Реконструкция старого мартеновского цеха, при участии немецкого специалиста РЕСГЕНА, произведена с расчетом понижения пропускной способности и увеличения брака. (См. прилож. № 30).</w:t>
      </w:r>
    </w:p>
    <w:p w14:paraId="7DD720F3"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Вредительство на заводе № 8</w:t>
      </w:r>
    </w:p>
    <w:p w14:paraId="4118144C"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Контрреволюционная ячейка, возглавляемая МИХАЙЛОВЫМ, бывш. техн. директор завода и БЕРИНГОМ — нач. конструкторского бюро завода, получив прямые указания от немецких специалистов ПАНТЕН, ВАРНЕКЕ, ЛАНДЕН и других, проводила вредительство в области срыва мелкокалиберной и зенитной артиллерии.</w:t>
      </w:r>
    </w:p>
    <w:p w14:paraId="53CF719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Срыв производства и выпуск негодных систем осуществлялся следующим образом:</w:t>
      </w:r>
    </w:p>
    <w:p w14:paraId="584485DD"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Изготовлялись и спускались в работу чертежи с заведомо неправильно нанесенными базами обмеров и с неправильно проставленными размерами (кожух, инерционный предохранитель, подъемный механизм, компрессор и др.), что приводило к полной дезорганизации производства, увеличивался брак, нарушалась взаимозаменяемость, и собранные системы браковались как негодные. (См. прилож. № 37, 38, 39.)</w:t>
      </w:r>
    </w:p>
    <w:p w14:paraId="57D06658"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Участниками к-p организации ШИРИНКИНЫМ, ЗАБЕЛИНЫМ, ВЛАСОВЫМ, ГНЕДИНЫМ и МИХАЙЛОВЫМ по прямым указаниям иноспециалистов ПАНТЕНА, ЛАНДЕНА и др., систематически тормозилось внедрение в производство технологического процесса, не контролировалось соблюдение цехами запроектированного режима работ, получаемые от конструкторского бюро неверные чертежи пропускались в производство. Допущено пользование в цехах неисправленными лекалами и приспособлениями. Разработкой технологического процесса не обеспечена возможность сохранения клейма на заготовках.</w:t>
      </w:r>
    </w:p>
    <w:p w14:paraId="70F32FDB"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прямым директивам ПАНТЕНА, ЛАНДЕНА и ШУБЕРТА изготовлялись и пускались на сборку заведомо негодные и недоброкачественные детали. (См. прилож. № 40, 41, 42 и 43.)</w:t>
      </w:r>
    </w:p>
    <w:p w14:paraId="3C7FE85C"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Подобными методами вредительства достигнут полный срыв не только подготовленности завода к выполнению правительственного задания, но и текущих программ.</w:t>
      </w:r>
    </w:p>
    <w:p w14:paraId="1201D862"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 программное задание</w:t>
      </w:r>
      <w:r w:rsidRPr="0044524F">
        <w:rPr>
          <w:rFonts w:ascii="Times New Roman" w:hAnsi="Times New Roman"/>
          <w:color w:val="000000" w:themeColor="text1"/>
          <w:sz w:val="16"/>
          <w:szCs w:val="16"/>
        </w:rPr>
        <w:tab/>
        <w:t>— 4915 систем.</w:t>
      </w:r>
    </w:p>
    <w:p w14:paraId="6BD6DB99"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Изготовлено и предъявлено к сдаче</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t>1220</w:t>
      </w:r>
      <w:r w:rsidRPr="0044524F">
        <w:rPr>
          <w:rFonts w:ascii="Times New Roman" w:hAnsi="Times New Roman"/>
          <w:color w:val="000000" w:themeColor="text1"/>
          <w:sz w:val="16"/>
          <w:szCs w:val="16"/>
        </w:rPr>
        <w:tab/>
        <w:t>’</w:t>
      </w:r>
    </w:p>
    <w:p w14:paraId="2CB37F09"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Принято Военведом</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t>339</w:t>
      </w:r>
      <w:r w:rsidRPr="0044524F">
        <w:rPr>
          <w:rFonts w:ascii="Times New Roman" w:hAnsi="Times New Roman"/>
          <w:color w:val="000000" w:themeColor="text1"/>
          <w:sz w:val="16"/>
          <w:szCs w:val="16"/>
        </w:rPr>
        <w:tab/>
        <w:t>'</w:t>
      </w:r>
    </w:p>
    <w:p w14:paraId="7D1D38E2"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кв[артал] 1933 г. программное задание— 310</w:t>
      </w:r>
      <w:r w:rsidRPr="0044524F">
        <w:rPr>
          <w:rFonts w:ascii="Times New Roman" w:hAnsi="Times New Roman"/>
          <w:color w:val="000000" w:themeColor="text1"/>
          <w:sz w:val="16"/>
          <w:szCs w:val="16"/>
        </w:rPr>
        <w:tab/>
        <w:t>'</w:t>
      </w:r>
    </w:p>
    <w:p w14:paraId="651C3447"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Изготовлено и предъявлено к сдаче</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t>185</w:t>
      </w:r>
      <w:r w:rsidRPr="0044524F">
        <w:rPr>
          <w:rFonts w:ascii="Times New Roman" w:hAnsi="Times New Roman"/>
          <w:color w:val="000000" w:themeColor="text1"/>
          <w:sz w:val="16"/>
          <w:szCs w:val="16"/>
        </w:rPr>
        <w:tab/>
        <w:t>'</w:t>
      </w:r>
    </w:p>
    <w:p w14:paraId="060E8381"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Принято Военведом</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t>0</w:t>
      </w:r>
      <w:r w:rsidRPr="0044524F">
        <w:rPr>
          <w:rFonts w:ascii="Times New Roman" w:hAnsi="Times New Roman"/>
          <w:color w:val="000000" w:themeColor="text1"/>
          <w:sz w:val="16"/>
          <w:szCs w:val="16"/>
        </w:rPr>
        <w:tab/>
        <w:t>'(См. прилож. № 17.)</w:t>
      </w:r>
    </w:p>
    <w:p w14:paraId="75D79B11"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Следствие по данному делу заканчивается.</w:t>
      </w:r>
    </w:p>
    <w:p w14:paraId="6B64C5A6"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на заводе № 8 вскрыта шпионская группа, работающая по заданию и под руководством разведывательных органов Польши, о чем направляется Вам отдельная справка.</w:t>
      </w:r>
    </w:p>
    <w:p w14:paraId="13FF4F7E"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ПРЕД ОГПУ ЯГОДА</w:t>
      </w:r>
    </w:p>
    <w:p w14:paraId="449954B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 ЭКУ ОГПУ МИРОНОВ</w:t>
      </w:r>
    </w:p>
    <w:p w14:paraId="4952BB74"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АПРФ. Ф. 3. Оп. 58. Д. 341. Л. 1—11. Подлинник. Машинопись (20916).</w:t>
      </w:r>
    </w:p>
    <w:p w14:paraId="05EE30FA" w14:textId="77777777" w:rsidR="00B80264" w:rsidRPr="0044524F" w:rsidRDefault="00B80264" w:rsidP="009654CF">
      <w:pPr>
        <w:spacing w:after="0" w:line="240" w:lineRule="auto"/>
        <w:jc w:val="both"/>
        <w:rPr>
          <w:rFonts w:ascii="Times New Roman" w:hAnsi="Times New Roman"/>
          <w:color w:val="000000" w:themeColor="text1"/>
          <w:sz w:val="16"/>
          <w:szCs w:val="16"/>
        </w:rPr>
      </w:pPr>
    </w:p>
    <w:p w14:paraId="06DDB193" w14:textId="77777777" w:rsidR="008D15E1" w:rsidRPr="0044524F" w:rsidRDefault="008D15E1" w:rsidP="009654CF">
      <w:pPr>
        <w:pStyle w:val="rtejustify"/>
        <w:spacing w:before="0" w:after="0"/>
        <w:rPr>
          <w:color w:val="000000" w:themeColor="text1"/>
          <w:sz w:val="16"/>
          <w:szCs w:val="16"/>
        </w:rPr>
      </w:pPr>
      <w:r w:rsidRPr="0044524F">
        <w:rPr>
          <w:rStyle w:val="af0"/>
          <w:bCs/>
          <w:i w:val="0"/>
          <w:color w:val="000000" w:themeColor="text1"/>
          <w:sz w:val="16"/>
          <w:szCs w:val="16"/>
        </w:rPr>
        <w:t>7 августа 1933 вышел приказ НКТП № 115с.</w:t>
      </w:r>
      <w:r w:rsidRPr="0044524F">
        <w:rPr>
          <w:color w:val="000000" w:themeColor="text1"/>
          <w:sz w:val="16"/>
          <w:szCs w:val="16"/>
        </w:rPr>
        <w:t xml:space="preserve"> О передаче Ленинградского государственного института «Гипроспецмет» из ведения ВОАО в ГВМУ. (РГАЭ. Ф. 7297. Оп. 38. Д. 35. Л. 58) (15246).</w:t>
      </w:r>
    </w:p>
    <w:p w14:paraId="01F217EB" w14:textId="77777777" w:rsidR="008D15E1" w:rsidRPr="0044524F" w:rsidRDefault="008D15E1" w:rsidP="009654CF">
      <w:pPr>
        <w:pStyle w:val="rtejustify"/>
        <w:spacing w:before="0" w:after="0"/>
        <w:rPr>
          <w:color w:val="000000" w:themeColor="text1"/>
          <w:sz w:val="16"/>
          <w:szCs w:val="16"/>
        </w:rPr>
      </w:pPr>
    </w:p>
    <w:p w14:paraId="3F8C38BC" w14:textId="77777777" w:rsidR="008D15E1"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01695E24" w14:textId="77777777" w:rsidR="008D15E1" w:rsidRPr="0044524F" w:rsidRDefault="008D15E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24D4D64"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7 августа в 1933 году на линкоре </w:t>
      </w:r>
      <w:hyperlink r:id="rId285" w:anchor="101258" w:tgtFrame="_blank" w:history="1">
        <w:r w:rsidRPr="0044524F">
          <w:rPr>
            <w:rFonts w:ascii="Times New Roman" w:hAnsi="Times New Roman"/>
            <w:color w:val="000000" w:themeColor="text1"/>
            <w:sz w:val="16"/>
            <w:szCs w:val="16"/>
          </w:rPr>
          <w:t xml:space="preserve">«Марат» (бывший «Петропавловск») </w:t>
        </w:r>
      </w:hyperlink>
      <w:r w:rsidRPr="0044524F">
        <w:rPr>
          <w:rFonts w:ascii="Times New Roman" w:hAnsi="Times New Roman"/>
          <w:color w:val="000000" w:themeColor="text1"/>
          <w:sz w:val="16"/>
          <w:szCs w:val="16"/>
        </w:rPr>
        <w:t>в результате взрыва башни погило 68 человек (14976).</w:t>
      </w:r>
    </w:p>
    <w:p w14:paraId="2A9EC5A7" w14:textId="77777777" w:rsidR="008D15E1" w:rsidRPr="0044524F" w:rsidRDefault="008D15E1" w:rsidP="009654CF">
      <w:pPr>
        <w:spacing w:after="0" w:line="240" w:lineRule="auto"/>
        <w:jc w:val="both"/>
        <w:rPr>
          <w:rFonts w:ascii="Times New Roman" w:hAnsi="Times New Roman"/>
          <w:color w:val="000000" w:themeColor="text1"/>
          <w:sz w:val="16"/>
          <w:szCs w:val="16"/>
        </w:rPr>
      </w:pPr>
    </w:p>
    <w:p w14:paraId="2811722F"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в 1933 году приказом Реввоенсовета песню "Все выше" объявили маршем ВС СССР - "Авиамаршем". Написана осенью 1920 года по заданию Политуправления Киевского военного округа как песня о красной авиации. Премьера состоялось в Киеве на вокзале перед уезжавшими на фронт красноармейцами, после этого авторы исполняли там "Авиамарш" ежедневно. Текст был размножен Политуправлением, а в 1922 году издан в Киеве. Всеобщую популярность песня приобрела к середине 1920-х. (Славим победу Октября. Том 1, Москва, Музыка, 1967). Песня известна и под другими заглавиями: "Всё выше" и "Марш сталинской авиации" (с измененной 3-й строкой: "Нам Сталин дал стальные руки-крылья"). В песенниках часто датируется 1931 годом (например, Русские советские песни 1917-1977. Составители Н.Крюков и Я.Шведов. Москва, "Художественная литература", 1977) (14976).</w:t>
      </w:r>
    </w:p>
    <w:p w14:paraId="405638BC" w14:textId="77777777" w:rsidR="008D15E1" w:rsidRPr="0044524F" w:rsidRDefault="008D15E1" w:rsidP="009654CF">
      <w:pPr>
        <w:spacing w:after="0" w:line="240" w:lineRule="auto"/>
        <w:jc w:val="both"/>
        <w:rPr>
          <w:rFonts w:ascii="Times New Roman" w:hAnsi="Times New Roman"/>
          <w:color w:val="000000" w:themeColor="text1"/>
          <w:sz w:val="16"/>
          <w:szCs w:val="16"/>
        </w:rPr>
      </w:pPr>
    </w:p>
    <w:p w14:paraId="46CB5EF6" w14:textId="77777777" w:rsidR="008D15E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306D4F8" w14:textId="77777777" w:rsidR="008D15E1" w:rsidRPr="0044524F" w:rsidRDefault="008D15E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824DA27"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7 августа в 1933 году абсолютный мировой рекорд дальности полета по прямой- 9104 км (5 657 миль), пилоты Морис Росси и Павел Коде (Франция) на рекордном самолете </w:t>
      </w:r>
      <w:hyperlink r:id="rId286" w:tgtFrame="_blank" w:history="1">
        <w:r w:rsidRPr="0044524F">
          <w:rPr>
            <w:rFonts w:ascii="Times New Roman" w:hAnsi="Times New Roman"/>
            <w:color w:val="000000" w:themeColor="text1"/>
            <w:sz w:val="16"/>
            <w:szCs w:val="16"/>
          </w:rPr>
          <w:t xml:space="preserve">«Блерио – 110» </w:t>
        </w:r>
      </w:hyperlink>
      <w:r w:rsidRPr="0044524F">
        <w:rPr>
          <w:rFonts w:ascii="Times New Roman" w:hAnsi="Times New Roman"/>
          <w:color w:val="000000" w:themeColor="text1"/>
          <w:sz w:val="16"/>
          <w:szCs w:val="16"/>
        </w:rPr>
        <w:t>"Joseph Le Brix". Самолет «Блерио – 110» был разработан по инициативе Французского правительства для установления рекордов дальности полета. Перелет из Нью-Йорка до авиабазы Раяка (Сирия, ныне Ливан) за 55 часов. Был установлен новый мировой рекорд полета по прямой - 9104,7 км, побитый советским «АНТ-25» в июле 1937 года. Первый полет самолета состоялся 16 мая 1930 года. В период между 15 ноября 1931 года по 26 марта 1932 года он трижды улучшал рекорды дальности полета. Максимальным был рекорд дальности полета по замкнутому маршруту 23-26 марта 1932 года, когда самолет преодолел расстояние в 10601 километр за 76 часов и 34 минуты. В январе 1933 года самолету присвоили наименование "Joseph Le Brix", по имени погибшего на «Dewoitine» «D.332 соперника. Построен всего 1 экземпляр «Блерио – 110». Документы рассказывают, что были дополнительные попытки в течение следующих двух лет, но, когда все оказались безуспешными, проект «Блерио -110» был свернут (14976).</w:t>
      </w:r>
    </w:p>
    <w:p w14:paraId="78D1DC83" w14:textId="77777777" w:rsidR="008D15E1" w:rsidRPr="0044524F" w:rsidRDefault="008D15E1" w:rsidP="009654CF">
      <w:pPr>
        <w:spacing w:after="0" w:line="240" w:lineRule="auto"/>
        <w:jc w:val="both"/>
        <w:rPr>
          <w:rFonts w:ascii="Times New Roman" w:hAnsi="Times New Roman"/>
          <w:color w:val="000000" w:themeColor="text1"/>
          <w:sz w:val="16"/>
          <w:szCs w:val="16"/>
        </w:rPr>
      </w:pPr>
    </w:p>
    <w:p w14:paraId="26059656"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в 1933 году абсолютный мировой рекорд дальности полета - 9104 км, Россия, П.Коде (Франция) на самолете «Блерио Запата» (14976).</w:t>
      </w:r>
    </w:p>
    <w:p w14:paraId="3F6527C0" w14:textId="77777777" w:rsidR="008D15E1" w:rsidRPr="0044524F" w:rsidRDefault="008D15E1" w:rsidP="009654CF">
      <w:pPr>
        <w:spacing w:after="0" w:line="240" w:lineRule="auto"/>
        <w:jc w:val="both"/>
        <w:rPr>
          <w:rFonts w:ascii="Times New Roman" w:hAnsi="Times New Roman"/>
          <w:color w:val="000000" w:themeColor="text1"/>
          <w:sz w:val="16"/>
          <w:szCs w:val="16"/>
        </w:rPr>
      </w:pPr>
    </w:p>
    <w:p w14:paraId="0B07AF4A"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 одна из первых корейских женщин-авиаторов Пак Кён Вон погибает в авиакатастрофе недалеко от Хаконэ, Япония (20802).</w:t>
      </w:r>
    </w:p>
    <w:p w14:paraId="40DC5305" w14:textId="77777777" w:rsidR="00B80264" w:rsidRPr="0044524F" w:rsidRDefault="00B80264" w:rsidP="009654CF">
      <w:pPr>
        <w:spacing w:after="0" w:line="240" w:lineRule="auto"/>
        <w:jc w:val="both"/>
        <w:rPr>
          <w:rFonts w:ascii="Times New Roman" w:hAnsi="Times New Roman"/>
          <w:color w:val="000000" w:themeColor="text1"/>
          <w:sz w:val="16"/>
          <w:szCs w:val="16"/>
        </w:rPr>
      </w:pPr>
    </w:p>
    <w:p w14:paraId="5F69B5F0" w14:textId="77777777" w:rsidR="00B80264" w:rsidRPr="0044524F" w:rsidRDefault="00B802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1933 - Абсолютный мировой рекорд дальности полёта по прямой - 9104 км (5 657 миль); пилоты Морис Росси и Павел Коде (Франция) на рекордном самолёте Blériot 110. Перелёт из Нью-Йорка до авиабазы Раяка (Сирия, ныне Ливан) за 55 часов (22406).</w:t>
      </w:r>
    </w:p>
    <w:p w14:paraId="7575B132" w14:textId="77777777" w:rsidR="00B80264" w:rsidRPr="0044524F" w:rsidRDefault="00B80264" w:rsidP="009654CF">
      <w:pPr>
        <w:spacing w:after="0" w:line="240" w:lineRule="auto"/>
        <w:jc w:val="both"/>
        <w:rPr>
          <w:rFonts w:ascii="Times New Roman" w:hAnsi="Times New Roman"/>
          <w:color w:val="000000" w:themeColor="text1"/>
          <w:sz w:val="16"/>
          <w:szCs w:val="16"/>
        </w:rPr>
      </w:pPr>
    </w:p>
    <w:p w14:paraId="26B2C7AB"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 году японские войска отходят на север от Великой китайской стены (14976).</w:t>
      </w:r>
    </w:p>
    <w:p w14:paraId="33A2B992" w14:textId="77777777" w:rsidR="008D15E1" w:rsidRPr="0044524F" w:rsidRDefault="008D15E1" w:rsidP="009654CF">
      <w:pPr>
        <w:spacing w:after="0" w:line="240" w:lineRule="auto"/>
        <w:jc w:val="both"/>
        <w:rPr>
          <w:rFonts w:ascii="Times New Roman" w:hAnsi="Times New Roman"/>
          <w:color w:val="000000" w:themeColor="text1"/>
          <w:sz w:val="16"/>
          <w:szCs w:val="16"/>
        </w:rPr>
      </w:pPr>
    </w:p>
    <w:p w14:paraId="04B5F6B3"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3C5F0A4"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BADA59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 года проходил испытательный полет по маршруту Щелково-Евпатория-Щелково облегченного самолета ТБ3-4М17 на определение радиуса действия и бомбовой нагрузки самолета.</w:t>
      </w:r>
    </w:p>
    <w:p w14:paraId="7FB6357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0C2D3B0C"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испытания самолета Лосюков</w:t>
      </w:r>
    </w:p>
    <w:p w14:paraId="3E3EECB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Юмашев</w:t>
      </w:r>
    </w:p>
    <w:p w14:paraId="0F0CDD0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7B887BF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3E08501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приказа РВС о дальнейшем увеличении радиуса действия и бомбовой нагрузки самолета ТБ3-4М17.</w:t>
      </w:r>
    </w:p>
    <w:p w14:paraId="5FF5D71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548E7B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Резкое увеличение радиуса действия и бомбовой нагрузки самолета ТБ3-4М17, имеющее место благодаря:</w:t>
      </w:r>
    </w:p>
    <w:p w14:paraId="08EF36D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уменьшения расхода горючего на км пути на 24%, что при запасе топлива 5 тонн составляет 1000 кг;</w:t>
      </w:r>
    </w:p>
    <w:p w14:paraId="5C16E53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облегчения несъемного оборудования и конструкции самолета на 518 кг;</w:t>
      </w:r>
    </w:p>
    <w:p w14:paraId="7563468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увеличения полетного веса самолета на 500 кг;</w:t>
      </w:r>
    </w:p>
    <w:p w14:paraId="7C960FB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уменьшения запаса масла с 460 до 300 кг</w:t>
      </w:r>
    </w:p>
    <w:p w14:paraId="23E6F6B8"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повышает во много раз боевую отдачу тяжелой бомбардировочной авиации ВВС и подлежит скорейшему освоению строевыми частями.</w:t>
      </w:r>
    </w:p>
    <w:p w14:paraId="6E93ACB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радиуса действия и бомбовой нагрузки за счет дальнейшего объединения смеси и увеличения полетного веса самолета НИИ ВВС считает недопустимым... (3903).</w:t>
      </w:r>
    </w:p>
    <w:p w14:paraId="3255A0F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1A0D6F2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 года для окончательного утверждения предварительных расчетов и выводов НИИ был произведен полет облегченного самолета ТБ-3 4М17 с полетным весом 20 тонн, при фактической бомбовой нагрузке 1,5 т по маршруту Щелково – Евпатория – Щелково, общим протяжением 2600 км. Самолет вылетел в 4 час. 43 мин. и вернулся в 20 час. 04 мин., пробыв в воздухе 15 час. 21 мин. при средней путевой скорости 170 км/час. После посадки на аэродроме Щелково в самолете еще оказался запас горючего 800 кг, обеспечивающий продолжение полета еще на 450 км или на 2 час. 45 мин.</w:t>
      </w:r>
    </w:p>
    <w:p w14:paraId="106E57A8"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w:t>
      </w:r>
    </w:p>
    <w:p w14:paraId="742580C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при полетном весе 20 т может быть надежно использован на дальность 2600 км или радиус действия 1300 км с бомбовой нагрузкой 2,5 т (4014,8-10).</w:t>
      </w:r>
    </w:p>
    <w:p w14:paraId="5DC932D8"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0AB0744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 г. экипаж Юмашева совершил беспосадочный перелет Щелково-Евпатория-Щелково, сбросив 2500 кг бомб на полигоне в Крыму и покрыв расстояние в 2500 км (7668).</w:t>
      </w:r>
    </w:p>
    <w:p w14:paraId="2E6A2356"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5763DF33"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августа 1933 г. экипаж Юмашева на ТБ-3 со</w:t>
      </w:r>
      <w:r w:rsidRPr="00142305">
        <w:rPr>
          <w:rFonts w:ascii="Times New Roman" w:hAnsi="Times New Roman"/>
          <w:color w:val="0070C0"/>
          <w:sz w:val="16"/>
          <w:szCs w:val="16"/>
        </w:rPr>
        <w:softHyphen/>
        <w:t>вершил беспосадочный перелет Щелково — Евпатория — Щелково, сбросив 2500 кг бомб на полигоне в Крыму (24977).</w:t>
      </w:r>
    </w:p>
    <w:p w14:paraId="2D76826B" w14:textId="77777777" w:rsidR="00D602F8" w:rsidRPr="00142305" w:rsidRDefault="00D602F8" w:rsidP="00D602F8">
      <w:pPr>
        <w:spacing w:after="0" w:line="240" w:lineRule="auto"/>
        <w:jc w:val="both"/>
        <w:rPr>
          <w:rFonts w:ascii="Times New Roman" w:hAnsi="Times New Roman"/>
          <w:color w:val="0070C0"/>
          <w:sz w:val="16"/>
          <w:szCs w:val="16"/>
        </w:rPr>
      </w:pPr>
    </w:p>
    <w:p w14:paraId="38DA55A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1933-го доработанный самолет ТБ-3 с доработанным опережением зажигания и новой инструкцию по пользованию высотным корректором двигателей М-17, уменьшенным с 460 до 300 кг запасом масла и на 518 кг сниженным весом пустого, а полетным весом, увеличеннм с 19500 до 20000 кг. и бомбовой нагрузкой, доведенной до 3600 кг вместо 1000 кг за счет установки дополнительных держателей Дер-9, совершил беспосадочный перелет по маршруту Щелково - Евпатория - Щелково за 15,5 часов. На полигоне в Евпатории сбросили 2500 кг бомб. По остатку горючего сделали следующий вывод: "...самолет допускает при безветрии бомбовую нагрузку 3200 кг при полете на радиус 1200 км и 2000 кг при полете на радиус 1500 км" (5740,7).</w:t>
      </w:r>
    </w:p>
    <w:p w14:paraId="2B150FC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620C42C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(9 по - 92,437 - нет, это была вторая рулежка - 2306) 1933 были выполнены первые пробежки, а 19 (11 - 1076,595) - первый полет К-7. Присутствовал П.И.Баранов с М.М.Громовым. Был и И.Э.Якир. 21 летал и К.А.К., но создалась аварийная ситуация (70,227). На рулежке при скорости 25 км/час в течение 0:49 оказалось достаточно двух моторов (2306).</w:t>
      </w:r>
    </w:p>
    <w:p w14:paraId="0B69B5B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первый вылет был 11 августа 1933 (392,108) - это не правда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4E75ADF5" w14:textId="77777777">
        <w:tc>
          <w:tcPr>
            <w:tcW w:w="1384" w:type="dxa"/>
            <w:tcBorders>
              <w:top w:val="single" w:sz="12" w:space="0" w:color="auto"/>
            </w:tcBorders>
          </w:tcPr>
          <w:p w14:paraId="716BF707"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55F0BC6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tc>
        <w:tc>
          <w:tcPr>
            <w:tcW w:w="1089" w:type="dxa"/>
            <w:tcBorders>
              <w:top w:val="single" w:sz="12" w:space="0" w:color="auto"/>
            </w:tcBorders>
          </w:tcPr>
          <w:p w14:paraId="0F79AF97"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A51EF5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44580BB7"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Выявленные и устраненные в </w:t>
            </w:r>
            <w:r w:rsidRPr="0044524F">
              <w:rPr>
                <w:rFonts w:ascii="Times New Roman" w:hAnsi="Times New Roman"/>
                <w:color w:val="000000" w:themeColor="text1"/>
                <w:sz w:val="16"/>
                <w:szCs w:val="16"/>
              </w:rPr>
              <w:lastRenderedPageBreak/>
              <w:t>процессе испытаний дефекты</w:t>
            </w:r>
          </w:p>
        </w:tc>
        <w:tc>
          <w:tcPr>
            <w:tcW w:w="1105" w:type="dxa"/>
            <w:tcBorders>
              <w:top w:val="single" w:sz="12" w:space="0" w:color="auto"/>
            </w:tcBorders>
          </w:tcPr>
          <w:p w14:paraId="00C631E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Примечание</w:t>
            </w:r>
          </w:p>
        </w:tc>
      </w:tr>
      <w:tr w:rsidR="004E10C1" w:rsidRPr="0044524F" w14:paraId="69522018" w14:textId="77777777">
        <w:tc>
          <w:tcPr>
            <w:tcW w:w="1384" w:type="dxa"/>
            <w:tcBorders>
              <w:bottom w:val="single" w:sz="12" w:space="0" w:color="auto"/>
            </w:tcBorders>
          </w:tcPr>
          <w:p w14:paraId="139F6294"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w:t>
            </w:r>
          </w:p>
        </w:tc>
        <w:tc>
          <w:tcPr>
            <w:tcW w:w="2410" w:type="dxa"/>
            <w:tcBorders>
              <w:bottom w:val="single" w:sz="12" w:space="0" w:color="auto"/>
            </w:tcBorders>
          </w:tcPr>
          <w:p w14:paraId="64958D26"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рулежка с-та по аэродрому</w:t>
            </w:r>
          </w:p>
        </w:tc>
        <w:tc>
          <w:tcPr>
            <w:tcW w:w="1089" w:type="dxa"/>
            <w:tcBorders>
              <w:bottom w:val="single" w:sz="12" w:space="0" w:color="auto"/>
            </w:tcBorders>
          </w:tcPr>
          <w:p w14:paraId="5854CC4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0:25</w:t>
            </w:r>
          </w:p>
          <w:p w14:paraId="482DF26C"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1:24</w:t>
            </w:r>
          </w:p>
          <w:p w14:paraId="25B9F446"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Рулежка: 0:49</w:t>
            </w:r>
          </w:p>
        </w:tc>
        <w:tc>
          <w:tcPr>
            <w:tcW w:w="3447" w:type="dxa"/>
            <w:tcBorders>
              <w:bottom w:val="single" w:sz="12" w:space="0" w:color="auto"/>
            </w:tcBorders>
          </w:tcPr>
          <w:p w14:paraId="69DCEF8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рулежке достаточно работы 2-х моторов на 1000-1200 оборотов, машина разворачивается при даче усиленного газа одному из крайних моторов. Действие тормозов - удовлетворительное. Скррость рулежки - 25 км/час</w:t>
            </w:r>
          </w:p>
        </w:tc>
        <w:tc>
          <w:tcPr>
            <w:tcW w:w="1776" w:type="dxa"/>
            <w:tcBorders>
              <w:bottom w:val="single" w:sz="12" w:space="0" w:color="auto"/>
            </w:tcBorders>
          </w:tcPr>
          <w:p w14:paraId="5BDD0C0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Регулировка рукояток управления газом - невполне удовлетворительная. Неудобство их расположения (устранено)</w:t>
            </w:r>
          </w:p>
          <w:p w14:paraId="4A23D637"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Слабые ограничители отклонений рулей поворота и глубины (устранены)</w:t>
            </w:r>
          </w:p>
        </w:tc>
        <w:tc>
          <w:tcPr>
            <w:tcW w:w="1105" w:type="dxa"/>
            <w:tcBorders>
              <w:bottom w:val="single" w:sz="12" w:space="0" w:color="auto"/>
            </w:tcBorders>
          </w:tcPr>
          <w:p w14:paraId="5BDDDC1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0EA6379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19AEC9B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617E082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 г. летчик М.А. Снегирев совершил на К-7 первые пробежки по аэродрому. Выявилась недостаточная жесткость хвостовых балок и оперения, затем деформации капотов моторов. Рули оказались недостаточно эффективны, а тормоза колес перегревались. В рапорте было записано: "При торможении самолет резко поднимал хвост и становился на передние колеса". На следующий день рулежку повторили, но она закончилась тем, что лопнула покрышка левого заднего колеса. Машину стали дорабатывать, периодически совершая пробежки по аэродрому (12036).</w:t>
      </w:r>
    </w:p>
    <w:p w14:paraId="3B0B148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212D0C85" w14:textId="77777777" w:rsidR="006E4F50" w:rsidRPr="0044524F" w:rsidRDefault="006E4F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 г. на аэродроме завода №135 Сокольники на северной окраине Харькова была выполнена первая рулежка на самолете К-7.</w:t>
      </w:r>
    </w:p>
    <w:p w14:paraId="58461911" w14:textId="77777777" w:rsidR="006E4F50" w:rsidRPr="0044524F" w:rsidRDefault="006E4F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 1933 г. на том же аэродроме экипаж под командованием М.А. Снегирева выполнил на самолете К-7 первый полет по прямой (фактически только подлет с посадкой перед собой). В нем были выявлены колебания серворулей и РВ уже на разбеге, а после отрыва – всего оперения с амплитудой до 1 м. Эта дата была принята в качестве даты первого полета, поскольку управление опробовалось и оно работало, хотя и с дефектами.</w:t>
      </w:r>
    </w:p>
    <w:p w14:paraId="143C7759" w14:textId="77777777" w:rsidR="006E4F50" w:rsidRPr="0044524F" w:rsidRDefault="006E4F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устранения колебаний оперения самолет был поэтапно доработан:</w:t>
      </w:r>
    </w:p>
    <w:p w14:paraId="6EBB4076" w14:textId="77777777" w:rsidR="006E4F50" w:rsidRPr="0044524F" w:rsidRDefault="006E4F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переделали тросовую проводку управления;</w:t>
      </w:r>
    </w:p>
    <w:p w14:paraId="20A4D260" w14:textId="77777777" w:rsidR="006E4F50" w:rsidRPr="0044524F" w:rsidRDefault="006E4F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над основным ГО была введена дополнительная управляемая горизонтальная плоскость – «стабилитрон» с внутренними подкилями;</w:t>
      </w:r>
    </w:p>
    <w:p w14:paraId="6E2768BD" w14:textId="77777777" w:rsidR="006E4F50" w:rsidRPr="0044524F" w:rsidRDefault="006E4F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сняли серворули с РН (предположительно);</w:t>
      </w:r>
    </w:p>
    <w:p w14:paraId="78EA1FE1" w14:textId="77777777" w:rsidR="006E4F50" w:rsidRPr="0044524F" w:rsidRDefault="006E4F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серворули РВ придвинули вплотную к задней кромке основного РВ;</w:t>
      </w:r>
    </w:p>
    <w:p w14:paraId="48D5F971" w14:textId="77777777" w:rsidR="006E4F50" w:rsidRPr="0044524F" w:rsidRDefault="006E4F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сняли предохранительные хвостовые опоры шасси, поскольку появилось мнение что они увеличивают разнос масс хвостовых балок, провоцируя нарастание их колебаний (23561).</w:t>
      </w:r>
    </w:p>
    <w:p w14:paraId="53CF43E2" w14:textId="77777777" w:rsidR="006E4F50" w:rsidRPr="0044524F" w:rsidRDefault="006E4F50" w:rsidP="009654CF">
      <w:pPr>
        <w:spacing w:after="0" w:line="240" w:lineRule="auto"/>
        <w:jc w:val="both"/>
        <w:rPr>
          <w:rFonts w:ascii="Times New Roman" w:hAnsi="Times New Roman"/>
          <w:color w:val="000000" w:themeColor="text1"/>
          <w:sz w:val="16"/>
          <w:szCs w:val="16"/>
        </w:rPr>
      </w:pPr>
    </w:p>
    <w:p w14:paraId="77D90D2F"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августа 1933 г. летчик М.А. Снегирев совершил на К-7 первые пробежки по аэродрому. Выявилась недостаточная жесткость хвостовых балок и оперения, затем деформации капотов моторов. Рули оказались недостаточно эффектив</w:t>
      </w:r>
      <w:r w:rsidRPr="00142305">
        <w:rPr>
          <w:rFonts w:ascii="Times New Roman" w:hAnsi="Times New Roman"/>
          <w:color w:val="0070C0"/>
          <w:sz w:val="16"/>
          <w:szCs w:val="16"/>
        </w:rPr>
        <w:softHyphen/>
        <w:t>ны, а тормоза колес перегревались. В рапорте было записа</w:t>
      </w:r>
      <w:r w:rsidRPr="00142305">
        <w:rPr>
          <w:rFonts w:ascii="Times New Roman" w:hAnsi="Times New Roman"/>
          <w:color w:val="0070C0"/>
          <w:sz w:val="16"/>
          <w:szCs w:val="16"/>
        </w:rPr>
        <w:softHyphen/>
        <w:t>но: «При торможении самолет резко поднимал хвост и ста</w:t>
      </w:r>
      <w:r w:rsidRPr="00142305">
        <w:rPr>
          <w:rFonts w:ascii="Times New Roman" w:hAnsi="Times New Roman"/>
          <w:color w:val="0070C0"/>
          <w:sz w:val="16"/>
          <w:szCs w:val="16"/>
        </w:rPr>
        <w:softHyphen/>
        <w:t>новился на передние колеса». На следующий день рулежку повторили, но она закончилась тем, что лопнула покрышка левого заднего колеса. Машину стали дорабатывать, перио</w:t>
      </w:r>
      <w:r w:rsidRPr="00142305">
        <w:rPr>
          <w:rFonts w:ascii="Times New Roman" w:hAnsi="Times New Roman"/>
          <w:color w:val="0070C0"/>
          <w:sz w:val="16"/>
          <w:szCs w:val="16"/>
        </w:rPr>
        <w:softHyphen/>
        <w:t>дически совершая пробежки по аэродрому.</w:t>
      </w:r>
    </w:p>
    <w:p w14:paraId="5CDBCD31"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воздух самолет поднялся 19 августа; он не взлетел, а скорее подпрыгнул метров на пять вверх и опять опустил</w:t>
      </w:r>
      <w:r w:rsidRPr="00142305">
        <w:rPr>
          <w:rFonts w:ascii="Times New Roman" w:hAnsi="Times New Roman"/>
          <w:color w:val="0070C0"/>
          <w:sz w:val="16"/>
          <w:szCs w:val="16"/>
        </w:rPr>
        <w:softHyphen/>
        <w:t>ся на летное поле. Этого вполне хватило, чтобы убедиться в недостаточной жесткости оперения. Оно ходило вверх-вниз почти на метр.</w:t>
      </w:r>
    </w:p>
    <w:p w14:paraId="775BBA39"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августа К-7 совершил первый полет по кругу. На мес</w:t>
      </w:r>
      <w:r w:rsidRPr="00142305">
        <w:rPr>
          <w:rFonts w:ascii="Times New Roman" w:hAnsi="Times New Roman"/>
          <w:color w:val="0070C0"/>
          <w:sz w:val="16"/>
          <w:szCs w:val="16"/>
        </w:rPr>
        <w:softHyphen/>
        <w:t>те комавдира самолета сидел М.А Снегирев, место второго пилота занимал конструктор К.А Калинин. На аэродроме присутствовали начальник ГУАП П.И. Баранов, команду</w:t>
      </w:r>
      <w:r w:rsidRPr="00142305">
        <w:rPr>
          <w:rFonts w:ascii="Times New Roman" w:hAnsi="Times New Roman"/>
          <w:color w:val="0070C0"/>
          <w:sz w:val="16"/>
          <w:szCs w:val="16"/>
        </w:rPr>
        <w:softHyphen/>
        <w:t>ющий Украинским военным округом И.Э. Якир и извест</w:t>
      </w:r>
      <w:r w:rsidRPr="00142305">
        <w:rPr>
          <w:rFonts w:ascii="Times New Roman" w:hAnsi="Times New Roman"/>
          <w:color w:val="0070C0"/>
          <w:sz w:val="16"/>
          <w:szCs w:val="16"/>
        </w:rPr>
        <w:softHyphen/>
        <w:t>ный летчик М.М. Громов. После взлета отказал серворуль, а затем нижний руль высоты; потом выяснилось, что лоп</w:t>
      </w:r>
      <w:r w:rsidRPr="00142305">
        <w:rPr>
          <w:rFonts w:ascii="Times New Roman" w:hAnsi="Times New Roman"/>
          <w:color w:val="0070C0"/>
          <w:sz w:val="16"/>
          <w:szCs w:val="16"/>
        </w:rPr>
        <w:softHyphen/>
        <w:t>нул трос. Руль свободно болтался, вызывая тряску самолета. Чтобы помочь летчику, Калинину тоже пришлось взяться за штурвал. Вдвоем они смогли развернуть машину. Конс</w:t>
      </w:r>
      <w:r w:rsidRPr="00142305">
        <w:rPr>
          <w:rFonts w:ascii="Times New Roman" w:hAnsi="Times New Roman"/>
          <w:color w:val="0070C0"/>
          <w:sz w:val="16"/>
          <w:szCs w:val="16"/>
        </w:rPr>
        <w:softHyphen/>
        <w:t>труктор предложил садиться в поле, но взлететь оттуда К-7 бы не смог; его пришлось бы разобрать и вывозить по час</w:t>
      </w:r>
      <w:r w:rsidRPr="00142305">
        <w:rPr>
          <w:rFonts w:ascii="Times New Roman" w:hAnsi="Times New Roman"/>
          <w:color w:val="0070C0"/>
          <w:sz w:val="16"/>
          <w:szCs w:val="16"/>
        </w:rPr>
        <w:softHyphen/>
        <w:t>тям. Снегирев все-таки сумел выполнить круг и призем</w:t>
      </w:r>
      <w:r w:rsidRPr="00142305">
        <w:rPr>
          <w:rFonts w:ascii="Times New Roman" w:hAnsi="Times New Roman"/>
          <w:color w:val="0070C0"/>
          <w:sz w:val="16"/>
          <w:szCs w:val="16"/>
        </w:rPr>
        <w:softHyphen/>
        <w:t>литься. Весь полет продолжался 12 минут. Летчик получил от Баранова благодарность, а конструктор — выговор.</w:t>
      </w:r>
    </w:p>
    <w:p w14:paraId="15040C5A"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краткость первого полета, выявили неэф</w:t>
      </w:r>
      <w:r w:rsidRPr="00142305">
        <w:rPr>
          <w:rFonts w:ascii="Times New Roman" w:hAnsi="Times New Roman"/>
          <w:color w:val="0070C0"/>
          <w:sz w:val="16"/>
          <w:szCs w:val="16"/>
        </w:rPr>
        <w:softHyphen/>
        <w:t>фективность рулей направления, перекомпенсацию серворулей, течи радиаторов, тряску хвостовых балок и непра</w:t>
      </w:r>
      <w:r w:rsidRPr="00142305">
        <w:rPr>
          <w:rFonts w:ascii="Times New Roman" w:hAnsi="Times New Roman"/>
          <w:color w:val="0070C0"/>
          <w:sz w:val="16"/>
          <w:szCs w:val="16"/>
        </w:rPr>
        <w:softHyphen/>
        <w:t>вильную регулировку моторов, приводившую к сильному дымлению. Почти месяц ушел на устранение дефектов. Поскольку бьшо предположение, что трос перерезали вре</w:t>
      </w:r>
      <w:r w:rsidRPr="00142305">
        <w:rPr>
          <w:rFonts w:ascii="Times New Roman" w:hAnsi="Times New Roman"/>
          <w:color w:val="0070C0"/>
          <w:sz w:val="16"/>
          <w:szCs w:val="16"/>
        </w:rPr>
        <w:softHyphen/>
        <w:t>дители, после окончания рабочей смены машину пломби</w:t>
      </w:r>
      <w:r w:rsidRPr="00142305">
        <w:rPr>
          <w:rFonts w:ascii="Times New Roman" w:hAnsi="Times New Roman"/>
          <w:color w:val="0070C0"/>
          <w:sz w:val="16"/>
          <w:szCs w:val="16"/>
        </w:rPr>
        <w:softHyphen/>
        <w:t>ровали, а вокруг нее выставлялся караул красноармейцев (24977).</w:t>
      </w:r>
    </w:p>
    <w:p w14:paraId="575AA50C" w14:textId="77777777" w:rsidR="00D602F8" w:rsidRPr="00142305" w:rsidRDefault="00D602F8" w:rsidP="00D602F8">
      <w:pPr>
        <w:spacing w:after="0" w:line="240" w:lineRule="auto"/>
        <w:jc w:val="both"/>
        <w:rPr>
          <w:rFonts w:ascii="Times New Roman" w:hAnsi="Times New Roman"/>
          <w:color w:val="0070C0"/>
          <w:sz w:val="16"/>
          <w:szCs w:val="16"/>
        </w:rPr>
      </w:pPr>
    </w:p>
    <w:p w14:paraId="6F67AC43" w14:textId="77777777" w:rsidR="006E4F50" w:rsidRPr="0044524F" w:rsidRDefault="006E4F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 г. было направлено письмо в эксперимен</w:t>
      </w:r>
      <w:r w:rsidRPr="0044524F">
        <w:rPr>
          <w:rFonts w:ascii="Times New Roman" w:hAnsi="Times New Roman"/>
          <w:color w:val="000000" w:themeColor="text1"/>
          <w:sz w:val="16"/>
          <w:szCs w:val="16"/>
        </w:rPr>
        <w:softHyphen/>
        <w:t>тальный аэродинамический отдел (ЭАО) ЦАГИ о продув</w:t>
      </w:r>
      <w:r w:rsidRPr="0044524F">
        <w:rPr>
          <w:rFonts w:ascii="Times New Roman" w:hAnsi="Times New Roman"/>
          <w:color w:val="000000" w:themeColor="text1"/>
          <w:sz w:val="16"/>
          <w:szCs w:val="16"/>
        </w:rPr>
        <w:softHyphen/>
        <w:t>ках двух вариантов моделей крыльев ЦКБ-12. Однако ос</w:t>
      </w:r>
      <w:r w:rsidRPr="0044524F">
        <w:rPr>
          <w:rFonts w:ascii="Times New Roman" w:hAnsi="Times New Roman"/>
          <w:color w:val="000000" w:themeColor="text1"/>
          <w:sz w:val="16"/>
          <w:szCs w:val="16"/>
        </w:rPr>
        <w:softHyphen/>
        <w:t>новные исследования фюзеляжей с различными типами капотов моторов Николай Николаевич, не доверяя ЦАГИ, предпочитал проводить в аэродинамической лаборато</w:t>
      </w:r>
      <w:r w:rsidRPr="0044524F">
        <w:rPr>
          <w:rFonts w:ascii="Times New Roman" w:hAnsi="Times New Roman"/>
          <w:color w:val="000000" w:themeColor="text1"/>
          <w:sz w:val="16"/>
          <w:szCs w:val="16"/>
        </w:rPr>
        <w:softHyphen/>
        <w:t>рии Военно-воздушной инженерной академии им. проф. Н.Е. Жуковского. Там, благодаря сочувствию, поддержке и помощи со стороны известного ученого-аэродинамика Б.Н. Юрьева, с 9 августа 1933 г. довольно интенсивно проводились сравнительные исследования моделей фю</w:t>
      </w:r>
      <w:r w:rsidRPr="0044524F">
        <w:rPr>
          <w:rFonts w:ascii="Times New Roman" w:hAnsi="Times New Roman"/>
          <w:color w:val="000000" w:themeColor="text1"/>
          <w:sz w:val="16"/>
          <w:szCs w:val="16"/>
        </w:rPr>
        <w:softHyphen/>
        <w:t>зеляжа ЦКБ-12 с кольцами Тауненда различной ширины (5 шт.) и с капотами НАКА различной длины (6 шт.), что позволило оптимизировать их форму (23455).</w:t>
      </w:r>
    </w:p>
    <w:p w14:paraId="774880EB" w14:textId="77777777" w:rsidR="006E4F50" w:rsidRPr="0044524F" w:rsidRDefault="006E4F50" w:rsidP="009654CF">
      <w:pPr>
        <w:spacing w:after="0" w:line="240" w:lineRule="auto"/>
        <w:jc w:val="both"/>
        <w:rPr>
          <w:rFonts w:ascii="Times New Roman" w:hAnsi="Times New Roman"/>
          <w:color w:val="000000" w:themeColor="text1"/>
          <w:sz w:val="16"/>
          <w:szCs w:val="16"/>
        </w:rPr>
      </w:pPr>
    </w:p>
    <w:p w14:paraId="332096B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 г. в экспериментальный аэродинамический отдел (ЗАО) ЦАГИ было направлено письмо о продувках двух вариантов моделей крыльев ЦКБ-12. Однако основные исследования фюзеляжей с различными типами капотов моторов Поликарпов, не доверяя ЦАГИ, предпочитал проводить в аэродинамической лаборатории Военно-воздушной академии им. проф. Н.Е.Жуковского. Там, благодаря поддержке со стороны известного ученого-аэродинамика Б.Н.Юрьева, с 9 августа 1933 г. довольно ин</w:t>
      </w:r>
      <w:r w:rsidRPr="0044524F">
        <w:rPr>
          <w:rFonts w:ascii="Times New Roman" w:hAnsi="Times New Roman"/>
          <w:color w:val="000000" w:themeColor="text1"/>
          <w:sz w:val="16"/>
          <w:szCs w:val="16"/>
        </w:rPr>
        <w:softHyphen/>
        <w:t>тенсивно шли сравнительные исследования моделей фюзеляжа ЦКБ-12 с кольцами Тауненда различной ши</w:t>
      </w:r>
      <w:r w:rsidRPr="0044524F">
        <w:rPr>
          <w:rFonts w:ascii="Times New Roman" w:hAnsi="Times New Roman"/>
          <w:color w:val="000000" w:themeColor="text1"/>
          <w:sz w:val="16"/>
          <w:szCs w:val="16"/>
        </w:rPr>
        <w:softHyphen/>
        <w:t>рины (5 шт.) и с капотами НАКА различной длины (6 шт.), что позволило оптимизировать их форму (10667).</w:t>
      </w:r>
    </w:p>
    <w:p w14:paraId="0443432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4E4E1B34" w14:textId="77777777" w:rsidR="00D602F8" w:rsidRPr="00142305" w:rsidRDefault="00D602F8" w:rsidP="00D602F8">
      <w:pPr>
        <w:spacing w:after="0" w:line="240" w:lineRule="auto"/>
        <w:jc w:val="both"/>
        <w:rPr>
          <w:rFonts w:ascii="Times New Roman" w:hAnsi="Times New Roman"/>
          <w:color w:val="0070C0"/>
          <w:sz w:val="16"/>
          <w:szCs w:val="16"/>
        </w:rPr>
      </w:pPr>
      <w:bookmarkStart w:id="42" w:name="_Hlk177624798"/>
      <w:r w:rsidRPr="00142305">
        <w:rPr>
          <w:rFonts w:ascii="Times New Roman" w:hAnsi="Times New Roman"/>
          <w:color w:val="0070C0"/>
          <w:sz w:val="16"/>
          <w:szCs w:val="16"/>
        </w:rPr>
        <w:t>8 августа 1933 г. Н.Н.П. было направлено письмо в экспериментальный аэродинамический отдел (ЭАО) ЦАГИ о продувках двух вариантов моделей крыльев ЦКБ-12. Однако основные исследования фюзеляжей с различными типами капотов моторов Николай Николаевич, не доверяя ЦАГИ, предпочитал проводить в аэродинамической лаборатории Военно-воздушной инженерной академии им. проф. Н. Е. Жуковского. Там, благодаря сочувствию, поддержке и помощи со стороны известного ученого-аэродинамика Б. Н. Юрьева, с 9 августа 1933 г. довольно интенсивно проводились сравнительные исследования моделей фюзеляжа ЦКБ-12 с кольцами Тауненда различной ширины (5 шт.) и с капотами НАКА различной длины (6 шт.), что позволило оптимизировать их форму.</w:t>
      </w:r>
    </w:p>
    <w:p w14:paraId="25766CC3"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По свидетельству Д. Л. Томашевича, «при разработке И-16 была объявлена борьба за снижение веса самолета…, над снижением веса работали все, и самолет оказался самым легким в мире». </w:t>
      </w:r>
    </w:p>
    <w:p w14:paraId="4B374AA2"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Еще один участник проектирования ЦКБ-12 инженер</w:t>
      </w:r>
    </w:p>
    <w:p w14:paraId="233701DE"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 Тарасов вспоминал:</w:t>
      </w:r>
    </w:p>
    <w:p w14:paraId="104F7366"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 Николаем Николаевичем у меня с первых дней работы установились деловые корректные отношения. Он не связывал мою инициативу при решении конструкторских вопросов, поэтому работа всегда проходила в духе взаимопонимания. </w:t>
      </w:r>
    </w:p>
    <w:p w14:paraId="530ACA0C"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Особенно сблизил нас подход к решению вопросов о технологичности изготовления деталей и борьбе за вес. </w:t>
      </w:r>
    </w:p>
    <w:p w14:paraId="5FF61ED3"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Николай Николаевич даже добился от директора завода приказа о выплате крупной премии за один килограмм сэкономленного веса. Разработка конструкции агрегатов моторной установки самолета И-16 потребовала новых, неведомых ранее приемов. Пришлось отказаться от стандартных баллонов для воздуха высокого давления, мотораму делать не клепаную, а сварную из шести труб. Кок на воздушный винт решили делать не клепаным, а цельнодавленым. Все это снижало вес. </w:t>
      </w:r>
    </w:p>
    <w:p w14:paraId="00097726"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При выполнении этих работ сказался мой небольшой опыт, полученный на заводе имени Владимира Ильича, где я работал одновременно с учебой в МВТУ. Там разработчик новой конструкции должен был составить смету на ее изготовление. При этом в его обязанности входили консультации с рабочими и мастерами о способах дешевого ее изготовления. Николай Николаевич одобрил его. Как-то в разговоре он сказал: «Вы правильно делаете, что идете за консультацией к рабочему. Он вам все расскажет без всякой задней мысли». Кроме этого, он требовал от нас, чтобы конструктор отправлялся в цех по первому сигналу мастера или рабочего, изготовлявшего детали по выпущенным нами чертежам» (25035). </w:t>
      </w:r>
    </w:p>
    <w:p w14:paraId="062C8EE7" w14:textId="77777777" w:rsidR="00D602F8" w:rsidRPr="00142305" w:rsidRDefault="00D602F8" w:rsidP="00D602F8">
      <w:pPr>
        <w:spacing w:after="0" w:line="240" w:lineRule="auto"/>
        <w:jc w:val="both"/>
        <w:rPr>
          <w:rFonts w:ascii="Times New Roman" w:hAnsi="Times New Roman"/>
          <w:color w:val="0070C0"/>
          <w:sz w:val="16"/>
          <w:szCs w:val="16"/>
        </w:rPr>
      </w:pPr>
    </w:p>
    <w:bookmarkEnd w:id="42"/>
    <w:p w14:paraId="2374D484"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в 1933 году в Москве впервые состоялся воздушный парад. В нем приняли участие дирижабли, легкие самолеты, автожиры и самолеты-гиганты: пятимоторные «АНТ-14» и трехмоторные «АНТ-9» (14977).</w:t>
      </w:r>
    </w:p>
    <w:p w14:paraId="54098426" w14:textId="77777777" w:rsidR="008D15E1" w:rsidRPr="0044524F" w:rsidRDefault="008D15E1" w:rsidP="009654CF">
      <w:pPr>
        <w:spacing w:after="0" w:line="240" w:lineRule="auto"/>
        <w:jc w:val="both"/>
        <w:rPr>
          <w:rFonts w:ascii="Times New Roman" w:hAnsi="Times New Roman"/>
          <w:color w:val="000000" w:themeColor="text1"/>
          <w:sz w:val="16"/>
          <w:szCs w:val="16"/>
        </w:rPr>
      </w:pPr>
    </w:p>
    <w:p w14:paraId="0C1F887D"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8 августа в 1933 году в Москве впервые состоялся воздушный парад. В нем приняли участие дирижабли, легкие самолеты, автожиры и самолеты-гиганты: пятимоторные «АНТ-14» и трехмоторные </w:t>
      </w:r>
      <w:hyperlink r:id="rId287" w:tgtFrame="_blank" w:history="1">
        <w:r w:rsidRPr="0044524F">
          <w:rPr>
            <w:rFonts w:ascii="Times New Roman" w:hAnsi="Times New Roman"/>
            <w:color w:val="000000" w:themeColor="text1"/>
            <w:sz w:val="16"/>
            <w:szCs w:val="16"/>
          </w:rPr>
          <w:t xml:space="preserve">«АНТ-9». </w:t>
        </w:r>
      </w:hyperlink>
      <w:hyperlink r:id="rId288" w:tgtFrame="_blank" w:history="1">
        <w:r w:rsidRPr="0044524F">
          <w:rPr>
            <w:rFonts w:ascii="Times New Roman" w:hAnsi="Times New Roman"/>
            <w:color w:val="000000" w:themeColor="text1"/>
            <w:sz w:val="16"/>
            <w:szCs w:val="16"/>
          </w:rPr>
          <w:t xml:space="preserve">«АНТ-14» "Правда" </w:t>
        </w:r>
      </w:hyperlink>
      <w:r w:rsidRPr="0044524F">
        <w:rPr>
          <w:rFonts w:ascii="Times New Roman" w:hAnsi="Times New Roman"/>
          <w:color w:val="000000" w:themeColor="text1"/>
          <w:sz w:val="16"/>
          <w:szCs w:val="16"/>
        </w:rPr>
        <w:t>- пассажирский самолёт на 36 мест. Из пяти ПД "Гном-Рон-Юпитер VI" четыре располагались в носке крыла по его размаху, один - в носовой части фюзеляжа. По схеме - подкосный цельнометаллический высокоплан с гофрированной обшивкой. Крыло четырёхлонжеронное, фюзеляж практически прямоугольного сечения, шпангоуты в пределах салона рамные, в хвостовой части - ферменные. Самолёт предназначался для проектировавшейся авиалинии Москва - Владивосток и был наиболее крупным пассажирским самолётом тех лет с высокими лётно-техническими характеристиками. Построен в одном экземпляре, так как пассажиро- и грузопоток оказались недостаточными для рентабельной эксплуатации столь больших машин. Под названием "Правда" «АНТ-14» стал флагманом (до постройки «АНТ-20») агитэскадрильи имени М.Горького. Использовался для платных полётов над Москвой, за 10 лет поднял в воздух около 40 тысяч пассажиров. Совершил несколько рейсов по стране и принял участие в авиационном празднике 1935 в Бухаресте (14977).</w:t>
      </w:r>
    </w:p>
    <w:p w14:paraId="30C3DF5B" w14:textId="77777777" w:rsidR="008D15E1" w:rsidRPr="0044524F" w:rsidRDefault="008D15E1" w:rsidP="009654CF">
      <w:pPr>
        <w:spacing w:after="0" w:line="240" w:lineRule="auto"/>
        <w:jc w:val="both"/>
        <w:rPr>
          <w:rFonts w:ascii="Times New Roman" w:hAnsi="Times New Roman"/>
          <w:color w:val="000000" w:themeColor="text1"/>
          <w:sz w:val="16"/>
          <w:szCs w:val="16"/>
        </w:rPr>
      </w:pPr>
    </w:p>
    <w:p w14:paraId="655C6585" w14:textId="77777777" w:rsidR="00CC15F1" w:rsidRPr="0044524F" w:rsidRDefault="00CC15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августа в 1933 году экипаж Юмашева совершил на модифицированном облегченном </w:t>
      </w:r>
      <w:hyperlink r:id="rId289" w:tgtFrame="_blank" w:history="1">
        <w:r w:rsidRPr="0044524F">
          <w:rPr>
            <w:rFonts w:ascii="Times New Roman" w:hAnsi="Times New Roman"/>
            <w:color w:val="000000" w:themeColor="text1"/>
            <w:sz w:val="16"/>
            <w:szCs w:val="16"/>
          </w:rPr>
          <w:t xml:space="preserve">«ТБ-3» </w:t>
        </w:r>
      </w:hyperlink>
      <w:r w:rsidRPr="0044524F">
        <w:rPr>
          <w:rFonts w:ascii="Times New Roman" w:hAnsi="Times New Roman"/>
          <w:color w:val="000000" w:themeColor="text1"/>
          <w:sz w:val="16"/>
          <w:szCs w:val="16"/>
        </w:rPr>
        <w:t>беспосадочный перелет Щелково-Евпатория-Щелково, сбросив 2500 кг бомб на полигоне в Крыму и покрыв расстояние в 2500 км. Юмашев поднял в воздух модифицированный облегченный «ТБ-3». На нем полностью убрали наружную подвеску бомб. Вместо этого в просторном фюзеляже установили дополнительные кассеты «Дер-9». Всего самолет теперь мог нести внутри 36 бомб по 100 кг. За счет демонтажа бомбодержателей под фюзеляжем и крылом, кое-какого оборудования и облегчения самой конструкции выиграли 518 кг. Еще более 100 кг получили за счет уменьшения запаса масла в полтора раза (это внедрили и в серии). Но суммарный вес с бомбами дошел до 20 т. Добавочный бензин и улучшение аэродинамики и позволили еще увеличить дальность (14977).</w:t>
      </w:r>
    </w:p>
    <w:p w14:paraId="24AF99C0" w14:textId="77777777" w:rsidR="00CC15F1" w:rsidRPr="0044524F" w:rsidRDefault="00CC15F1" w:rsidP="009654CF">
      <w:pPr>
        <w:spacing w:after="0" w:line="240" w:lineRule="auto"/>
        <w:jc w:val="both"/>
        <w:rPr>
          <w:rFonts w:ascii="Times New Roman" w:hAnsi="Times New Roman"/>
          <w:color w:val="000000" w:themeColor="text1"/>
          <w:sz w:val="16"/>
          <w:szCs w:val="16"/>
        </w:rPr>
      </w:pPr>
    </w:p>
    <w:p w14:paraId="7FAA2CF1" w14:textId="77777777" w:rsidR="00FA6C6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E8B23B8" w14:textId="77777777" w:rsidR="00FA6C6A" w:rsidRPr="0044524F" w:rsidRDefault="00FA6C6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AE62195" w14:textId="77777777" w:rsidR="00FA6C6A" w:rsidRPr="0044524F" w:rsidRDefault="00FA6C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 г. на заседании комиссии политбюро под председатель</w:t>
      </w:r>
      <w:r w:rsidRPr="0044524F">
        <w:rPr>
          <w:rFonts w:ascii="Times New Roman" w:hAnsi="Times New Roman"/>
          <w:color w:val="000000" w:themeColor="text1"/>
          <w:sz w:val="16"/>
          <w:szCs w:val="16"/>
        </w:rPr>
        <w:softHyphen/>
        <w:t>ством С.М. Куйбышева было принято решение ограничить выпуск партии приспособлений к трактору СХТЗ: четырехколесных — 100 шт., трехколесных — 500 шт. Для покрытия потреб</w:t>
      </w:r>
      <w:r w:rsidRPr="0044524F">
        <w:rPr>
          <w:rFonts w:ascii="Times New Roman" w:hAnsi="Times New Roman"/>
          <w:color w:val="000000" w:themeColor="text1"/>
          <w:sz w:val="16"/>
          <w:szCs w:val="16"/>
        </w:rPr>
        <w:softHyphen/>
        <w:t>ности народного хозяйства в пропашных трак</w:t>
      </w:r>
      <w:r w:rsidRPr="0044524F">
        <w:rPr>
          <w:rFonts w:ascii="Times New Roman" w:hAnsi="Times New Roman"/>
          <w:color w:val="000000" w:themeColor="text1"/>
          <w:sz w:val="16"/>
          <w:szCs w:val="16"/>
        </w:rPr>
        <w:softHyphen/>
        <w:t>торах следовало организовать производство советской версии трактора «Фармол» на заво</w:t>
      </w:r>
      <w:r w:rsidRPr="0044524F">
        <w:rPr>
          <w:rFonts w:ascii="Times New Roman" w:hAnsi="Times New Roman"/>
          <w:color w:val="000000" w:themeColor="text1"/>
          <w:sz w:val="16"/>
          <w:szCs w:val="16"/>
        </w:rPr>
        <w:softHyphen/>
        <w:t>де «Красный Путиловец».</w:t>
      </w:r>
    </w:p>
    <w:p w14:paraId="69A345DD" w14:textId="77777777" w:rsidR="00FA6C6A" w:rsidRPr="0044524F" w:rsidRDefault="00FA6C6A" w:rsidP="009654CF">
      <w:pPr>
        <w:pStyle w:val="aff0"/>
        <w:shd w:val="clear" w:color="auto" w:fill="auto"/>
        <w:spacing w:line="240" w:lineRule="auto"/>
        <w:rPr>
          <w:rFonts w:ascii="Times New Roman" w:hAnsi="Times New Roman" w:cs="Times New Roman"/>
          <w:i w:val="0"/>
          <w:color w:val="000000" w:themeColor="text1"/>
          <w:sz w:val="16"/>
          <w:szCs w:val="16"/>
          <w:lang w:val="ru-RU"/>
        </w:rPr>
      </w:pPr>
      <w:r w:rsidRPr="0044524F">
        <w:rPr>
          <w:rFonts w:ascii="Times New Roman" w:hAnsi="Times New Roman" w:cs="Times New Roman"/>
          <w:i w:val="0"/>
          <w:color w:val="000000" w:themeColor="text1"/>
          <w:sz w:val="16"/>
          <w:szCs w:val="16"/>
          <w:lang w:val="ru-RU"/>
        </w:rPr>
        <w:t>Некоторые показатели пропашных тракторов по данным государственных испытаний</w:t>
      </w:r>
    </w:p>
    <w:tbl>
      <w:tblPr>
        <w:tblW w:w="0" w:type="auto"/>
        <w:tblInd w:w="5" w:type="dxa"/>
        <w:tblLayout w:type="fixed"/>
        <w:tblCellMar>
          <w:left w:w="0" w:type="dxa"/>
          <w:right w:w="0" w:type="dxa"/>
        </w:tblCellMar>
        <w:tblLook w:val="0000" w:firstRow="0" w:lastRow="0" w:firstColumn="0" w:lastColumn="0" w:noHBand="0" w:noVBand="0"/>
      </w:tblPr>
      <w:tblGrid>
        <w:gridCol w:w="1848"/>
        <w:gridCol w:w="1085"/>
        <w:gridCol w:w="1128"/>
        <w:gridCol w:w="1138"/>
        <w:gridCol w:w="1531"/>
      </w:tblGrid>
      <w:tr w:rsidR="004E10C1" w:rsidRPr="0044524F" w14:paraId="2D69B7CE" w14:textId="77777777" w:rsidTr="00CE35D9">
        <w:trPr>
          <w:trHeight w:val="44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37BC2F7D"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Модель трактора</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4976A015"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«Фармол»</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6E81F04"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СХТЗ ВИМЭ, 3-колесный</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1FAD10A"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СХТЗ ВИСХОМ, 4-колесный</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3E325EC0"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СХТЗ,4-колесный омский</w:t>
            </w:r>
          </w:p>
        </w:tc>
      </w:tr>
      <w:tr w:rsidR="004E10C1" w:rsidRPr="0044524F" w14:paraId="103DC772" w14:textId="77777777" w:rsidTr="00CE35D9">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BBD1B53"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Вес пропашника,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30CE0F8D"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1913</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C376A3D"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3409</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24F39415"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 3489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2F84AF17"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3650</w:t>
            </w:r>
          </w:p>
        </w:tc>
      </w:tr>
      <w:tr w:rsidR="004E10C1" w:rsidRPr="0044524F" w14:paraId="6B7E832A" w14:textId="77777777" w:rsidTr="00CE35D9">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2D191BD5"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Общий вес приспособлений,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374D95CB" w14:textId="77777777" w:rsidR="00FA6C6A" w:rsidRPr="0044524F" w:rsidRDefault="00FA6C6A" w:rsidP="009654CF">
            <w:pPr>
              <w:pStyle w:val="182"/>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3678574D"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920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1B9F48C"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811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15E774F4"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954</w:t>
            </w:r>
          </w:p>
        </w:tc>
      </w:tr>
      <w:tr w:rsidR="004E10C1" w:rsidRPr="0044524F" w14:paraId="7989B281"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F7AC9E2"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Вес передней часта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549FC508" w14:textId="77777777" w:rsidR="00FA6C6A" w:rsidRPr="0044524F" w:rsidRDefault="00FA6C6A" w:rsidP="009654CF">
            <w:pPr>
              <w:pStyle w:val="191"/>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1056AD55"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357</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68445F28"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248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22037419"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391</w:t>
            </w:r>
          </w:p>
        </w:tc>
      </w:tr>
      <w:tr w:rsidR="004E10C1" w:rsidRPr="0044524F" w14:paraId="5CBEBD31" w14:textId="77777777" w:rsidTr="00CE35D9">
        <w:trPr>
          <w:trHeight w:val="427"/>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3291ED62"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Вес задней части приспособления,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234C9F72" w14:textId="77777777" w:rsidR="00FA6C6A" w:rsidRPr="0044524F" w:rsidRDefault="00FA6C6A" w:rsidP="009654CF">
            <w:pPr>
              <w:pStyle w:val="182"/>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4D8D9FE5"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563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4D3BF8F8"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563</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10CB27B3"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563</w:t>
            </w:r>
          </w:p>
        </w:tc>
      </w:tr>
      <w:tr w:rsidR="004E10C1" w:rsidRPr="0044524F" w14:paraId="2F5825CF"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1C6CDF5D"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Нагрузка на переднюю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7C1AF1B"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565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7C675ABF"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1084</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24115D94"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1418</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93FCAE9"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1392</w:t>
            </w:r>
          </w:p>
        </w:tc>
      </w:tr>
      <w:tr w:rsidR="004E10C1" w:rsidRPr="0044524F" w14:paraId="6564C8F6" w14:textId="77777777" w:rsidTr="00CE35D9">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3AF55E1"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Нагрузка на заднюю ось, кг</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587E9737"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1348</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B7C0A33"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2323</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30A00B9D"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2071</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06EA4BA6"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2258</w:t>
            </w:r>
          </w:p>
        </w:tc>
      </w:tr>
      <w:tr w:rsidR="004E10C1" w:rsidRPr="0044524F" w14:paraId="6437D50B"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67E8545"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Удельное давление на передние колеса, кг/см</w:t>
            </w:r>
            <w:r w:rsidRPr="0044524F">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1ECB843B"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1,15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09C8EF3"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2,08</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1124A6A5"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1,56</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619BB6B"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1,5</w:t>
            </w:r>
          </w:p>
        </w:tc>
      </w:tr>
      <w:tr w:rsidR="004E10C1" w:rsidRPr="0044524F" w14:paraId="68AD7C5E" w14:textId="77777777" w:rsidTr="00CE35D9">
        <w:trPr>
          <w:trHeight w:val="432"/>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CF4EEFF"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Удельное давление на задние колеса, кг/см</w:t>
            </w:r>
            <w:r w:rsidRPr="0044524F">
              <w:rPr>
                <w:rFonts w:ascii="Times New Roman" w:hAnsi="Times New Roman" w:cs="Times New Roman"/>
                <w:color w:val="000000" w:themeColor="text1"/>
                <w:sz w:val="16"/>
                <w:szCs w:val="16"/>
                <w:vertAlign w:val="superscript"/>
              </w:rPr>
              <w:t>2</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6B818AF8"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1,05</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3BD403B"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1,90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6E560640"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1,69</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753AB7E3"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1,84</w:t>
            </w:r>
          </w:p>
        </w:tc>
      </w:tr>
      <w:tr w:rsidR="004E10C1" w:rsidRPr="0044524F" w14:paraId="152BAC0F" w14:textId="77777777" w:rsidTr="00CE35D9">
        <w:trPr>
          <w:trHeight w:val="235"/>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62891A8E"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Продольная база,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40CCB5D1"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2159</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0867F2EA"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2720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16DEA246"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2100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760411CC"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2500</w:t>
            </w:r>
          </w:p>
        </w:tc>
      </w:tr>
      <w:tr w:rsidR="004E10C1" w:rsidRPr="0044524F" w14:paraId="6E11553F" w14:textId="77777777" w:rsidTr="00CE35D9">
        <w:trPr>
          <w:trHeight w:val="250"/>
        </w:trPr>
        <w:tc>
          <w:tcPr>
            <w:tcW w:w="1848" w:type="dxa"/>
            <w:tcBorders>
              <w:top w:val="single" w:sz="4" w:space="0" w:color="auto"/>
              <w:left w:val="single" w:sz="4" w:space="0" w:color="auto"/>
              <w:bottom w:val="single" w:sz="4" w:space="0" w:color="auto"/>
              <w:right w:val="single" w:sz="4" w:space="0" w:color="auto"/>
            </w:tcBorders>
            <w:shd w:val="clear" w:color="auto" w:fill="FFFFFF"/>
          </w:tcPr>
          <w:p w14:paraId="4774731F"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Дорожный просвет, мм</w:t>
            </w:r>
          </w:p>
        </w:tc>
        <w:tc>
          <w:tcPr>
            <w:tcW w:w="1085" w:type="dxa"/>
            <w:tcBorders>
              <w:top w:val="single" w:sz="4" w:space="0" w:color="auto"/>
              <w:left w:val="single" w:sz="4" w:space="0" w:color="auto"/>
              <w:bottom w:val="single" w:sz="4" w:space="0" w:color="auto"/>
              <w:right w:val="single" w:sz="4" w:space="0" w:color="auto"/>
            </w:tcBorders>
            <w:shd w:val="clear" w:color="auto" w:fill="FFFFFF"/>
          </w:tcPr>
          <w:p w14:paraId="59714487"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736</w:t>
            </w:r>
          </w:p>
        </w:tc>
        <w:tc>
          <w:tcPr>
            <w:tcW w:w="1128" w:type="dxa"/>
            <w:tcBorders>
              <w:top w:val="single" w:sz="4" w:space="0" w:color="auto"/>
              <w:left w:val="single" w:sz="4" w:space="0" w:color="auto"/>
              <w:bottom w:val="single" w:sz="4" w:space="0" w:color="auto"/>
              <w:right w:val="single" w:sz="4" w:space="0" w:color="auto"/>
            </w:tcBorders>
            <w:shd w:val="clear" w:color="auto" w:fill="FFFFFF"/>
          </w:tcPr>
          <w:p w14:paraId="695EC7D5"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700</w:t>
            </w:r>
          </w:p>
        </w:tc>
        <w:tc>
          <w:tcPr>
            <w:tcW w:w="1138" w:type="dxa"/>
            <w:tcBorders>
              <w:top w:val="single" w:sz="4" w:space="0" w:color="auto"/>
              <w:left w:val="single" w:sz="4" w:space="0" w:color="auto"/>
              <w:bottom w:val="single" w:sz="4" w:space="0" w:color="auto"/>
              <w:right w:val="single" w:sz="4" w:space="0" w:color="auto"/>
            </w:tcBorders>
            <w:shd w:val="clear" w:color="auto" w:fill="FFFFFF"/>
          </w:tcPr>
          <w:p w14:paraId="74251995"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610</w:t>
            </w:r>
          </w:p>
        </w:tc>
        <w:tc>
          <w:tcPr>
            <w:tcW w:w="1531" w:type="dxa"/>
            <w:tcBorders>
              <w:top w:val="single" w:sz="4" w:space="0" w:color="auto"/>
              <w:left w:val="single" w:sz="4" w:space="0" w:color="auto"/>
              <w:bottom w:val="single" w:sz="4" w:space="0" w:color="auto"/>
              <w:right w:val="single" w:sz="4" w:space="0" w:color="auto"/>
            </w:tcBorders>
            <w:shd w:val="clear" w:color="auto" w:fill="FFFFFF"/>
          </w:tcPr>
          <w:p w14:paraId="4E5355D9" w14:textId="77777777" w:rsidR="00FA6C6A" w:rsidRPr="0044524F" w:rsidRDefault="00FA6C6A" w:rsidP="009654CF">
            <w:pPr>
              <w:pStyle w:val="152"/>
              <w:shd w:val="clear" w:color="auto" w:fill="auto"/>
              <w:spacing w:line="240" w:lineRule="auto"/>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700</w:t>
            </w:r>
          </w:p>
        </w:tc>
      </w:tr>
    </w:tbl>
    <w:p w14:paraId="2A0055E9" w14:textId="77777777" w:rsidR="00FA6C6A" w:rsidRPr="0044524F" w:rsidRDefault="00FA6C6A" w:rsidP="009654CF">
      <w:pPr>
        <w:pStyle w:val="a3"/>
        <w:rPr>
          <w:color w:val="000000" w:themeColor="text1"/>
        </w:rPr>
      </w:pPr>
      <w:r w:rsidRPr="0044524F">
        <w:rPr>
          <w:color w:val="000000" w:themeColor="text1"/>
        </w:rPr>
        <w:t>(12620).</w:t>
      </w:r>
    </w:p>
    <w:p w14:paraId="69ECA794" w14:textId="77777777" w:rsidR="00FA6C6A" w:rsidRPr="0044524F" w:rsidRDefault="00FA6C6A" w:rsidP="009654CF">
      <w:pPr>
        <w:spacing w:after="0" w:line="240" w:lineRule="auto"/>
        <w:jc w:val="both"/>
        <w:rPr>
          <w:rFonts w:ascii="Times New Roman" w:hAnsi="Times New Roman"/>
          <w:color w:val="000000" w:themeColor="text1"/>
          <w:sz w:val="16"/>
          <w:szCs w:val="16"/>
        </w:rPr>
      </w:pPr>
    </w:p>
    <w:p w14:paraId="79E8EB1B"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августа 1933 г. под председательством С.М. Куйбышева было принято решение ограничить выпуск партии приспособлений к трактору СХТЗ с измененным передним и задним ходами, а также увеличенным клиренсом: четырехколесных – 100 шт., трехколесных – 500 шт. Для покрытия потребности народного хозяйства в пропашных тракторах следовало организовать производство советской версии трактора «Фармол» на заводе «Красный Путиловец» (25583).</w:t>
      </w:r>
    </w:p>
    <w:p w14:paraId="77905E58" w14:textId="77777777" w:rsidR="00D602F8" w:rsidRPr="00142305" w:rsidRDefault="00D602F8" w:rsidP="00D602F8">
      <w:pPr>
        <w:spacing w:after="0" w:line="240" w:lineRule="auto"/>
        <w:jc w:val="both"/>
        <w:rPr>
          <w:rFonts w:ascii="Times New Roman" w:hAnsi="Times New Roman"/>
          <w:color w:val="0070C0"/>
          <w:sz w:val="16"/>
          <w:szCs w:val="16"/>
        </w:rPr>
      </w:pPr>
    </w:p>
    <w:p w14:paraId="36E5D419" w14:textId="77777777" w:rsidR="008D15E1" w:rsidRPr="0044524F" w:rsidRDefault="008D15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в 1933 году В.И.Сталин принял группу работников московского автозавода имени Сталина и дал им указания относительно освоения производства легковых автомобилей (14977).</w:t>
      </w:r>
    </w:p>
    <w:p w14:paraId="2A069C2C" w14:textId="77777777" w:rsidR="008D15E1" w:rsidRPr="0044524F" w:rsidRDefault="008D15E1" w:rsidP="009654CF">
      <w:pPr>
        <w:spacing w:after="0" w:line="240" w:lineRule="auto"/>
        <w:jc w:val="both"/>
        <w:rPr>
          <w:rFonts w:ascii="Times New Roman" w:hAnsi="Times New Roman"/>
          <w:color w:val="000000" w:themeColor="text1"/>
          <w:sz w:val="16"/>
          <w:szCs w:val="16"/>
        </w:rPr>
      </w:pPr>
    </w:p>
    <w:p w14:paraId="5AA21CB3"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833DB44"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6F8A2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1933г. военный атташе Германии Хартман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 (РГВА, ф. 33987, оп. 3, д. 504, л. 153.).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 (11784).</w:t>
      </w:r>
    </w:p>
    <w:p w14:paraId="0A14F5A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6121EE6C" w14:textId="77777777" w:rsidR="00D7310A" w:rsidRPr="0044524F" w:rsidRDefault="00D731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1933 г. военный атташе Германии Хартман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w:t>
      </w:r>
    </w:p>
    <w:p w14:paraId="6DC499BF" w14:textId="77777777" w:rsidR="00D7310A" w:rsidRPr="0044524F" w:rsidRDefault="00D731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«Очень хорошо! В. 15. 8. 1933 г.»,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(18265).</w:t>
      </w:r>
    </w:p>
    <w:p w14:paraId="2A4B1F89" w14:textId="77777777" w:rsidR="00D7310A" w:rsidRPr="0044524F" w:rsidRDefault="00D7310A" w:rsidP="009654CF">
      <w:pPr>
        <w:spacing w:after="0" w:line="240" w:lineRule="auto"/>
        <w:jc w:val="both"/>
        <w:rPr>
          <w:rFonts w:ascii="Times New Roman" w:hAnsi="Times New Roman"/>
          <w:color w:val="000000" w:themeColor="text1"/>
          <w:sz w:val="16"/>
          <w:szCs w:val="16"/>
        </w:rPr>
      </w:pPr>
    </w:p>
    <w:p w14:paraId="1F059B05" w14:textId="77777777" w:rsidR="00CC15F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518D6E6" w14:textId="77777777" w:rsidR="00CC15F1" w:rsidRPr="0044524F" w:rsidRDefault="00CC15F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4F9055B" w14:textId="77777777" w:rsidR="00CC15F1" w:rsidRPr="0044524F" w:rsidRDefault="00CC15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августа в 1933 году состоялся первый полет австрийского легкого многоцелевого самолета </w:t>
      </w:r>
      <w:hyperlink r:id="rId290" w:tgtFrame="_blank" w:history="1">
        <w:r w:rsidRPr="0044524F">
          <w:rPr>
            <w:rFonts w:ascii="Times New Roman" w:hAnsi="Times New Roman"/>
            <w:color w:val="000000" w:themeColor="text1"/>
            <w:sz w:val="16"/>
            <w:szCs w:val="16"/>
          </w:rPr>
          <w:t xml:space="preserve">«Meindl» «A.VII». </w:t>
        </w:r>
      </w:hyperlink>
      <w:r w:rsidRPr="0044524F">
        <w:rPr>
          <w:rFonts w:ascii="Times New Roman" w:hAnsi="Times New Roman"/>
          <w:color w:val="000000" w:themeColor="text1"/>
          <w:sz w:val="16"/>
          <w:szCs w:val="16"/>
        </w:rPr>
        <w:t>Самолёт «Meindl» «A.VII» был разработан конструкторами компании «Meindl Flugzeugbau» Вильгельмом ван Несом и Эрихом Майндлем. Проект самолет был разработан еще в начале 1931 года, однако строительство затянулось почти на два года из-за финансовых трудностей. Самолет серийно выпускали в Австрии с 1934 года. Это были обычные для того времени монопланы с низкорасположенным крылом, неубираемым шасси и открытыми кабинами летчиков. Основная модификация оснащалась радиальным двигателем (в 1932 году был разработан поплавковый вариант самолёта с рядным мотором) (14977).</w:t>
      </w:r>
    </w:p>
    <w:p w14:paraId="304F38B2" w14:textId="77777777" w:rsidR="00CC15F1" w:rsidRPr="0044524F" w:rsidRDefault="00CC15F1" w:rsidP="009654CF">
      <w:pPr>
        <w:spacing w:after="0" w:line="240" w:lineRule="auto"/>
        <w:jc w:val="both"/>
        <w:rPr>
          <w:rFonts w:ascii="Times New Roman" w:hAnsi="Times New Roman"/>
          <w:color w:val="000000" w:themeColor="text1"/>
          <w:sz w:val="16"/>
          <w:szCs w:val="16"/>
        </w:rPr>
      </w:pPr>
    </w:p>
    <w:p w14:paraId="6A3EC6D3"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55E7568"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3CAC7B6"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августа 1933 состоялась вторая рулежка К-7 К.А.К. в течение 45 мин. Разворот на 180 гр. возможен за 1 мин. 20 сек., а полный круг - за 59 сек. Был и непродолжительный отрыв на 1-2 сек. Произошел разрыв покрышки и камеры Пальмер левого заднего колеса и было замечено колебание хвостовых ферм и оперения, впоследствии устраненное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48E82B6F" w14:textId="77777777">
        <w:tc>
          <w:tcPr>
            <w:tcW w:w="1384" w:type="dxa"/>
            <w:tcBorders>
              <w:top w:val="single" w:sz="12" w:space="0" w:color="auto"/>
            </w:tcBorders>
          </w:tcPr>
          <w:p w14:paraId="655C5C0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2344046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tc>
        <w:tc>
          <w:tcPr>
            <w:tcW w:w="1089" w:type="dxa"/>
            <w:tcBorders>
              <w:top w:val="single" w:sz="12" w:space="0" w:color="auto"/>
            </w:tcBorders>
          </w:tcPr>
          <w:p w14:paraId="036A180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827620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9E8C94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327EE37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35F6CB46" w14:textId="77777777">
        <w:tc>
          <w:tcPr>
            <w:tcW w:w="1384" w:type="dxa"/>
            <w:tcBorders>
              <w:bottom w:val="single" w:sz="12" w:space="0" w:color="auto"/>
            </w:tcBorders>
          </w:tcPr>
          <w:p w14:paraId="0DD722C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августа 1933</w:t>
            </w:r>
          </w:p>
        </w:tc>
        <w:tc>
          <w:tcPr>
            <w:tcW w:w="2410" w:type="dxa"/>
            <w:tcBorders>
              <w:bottom w:val="single" w:sz="12" w:space="0" w:color="auto"/>
            </w:tcBorders>
          </w:tcPr>
          <w:p w14:paraId="115F1EB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Вторая рулежка с-та К-7</w:t>
            </w:r>
          </w:p>
        </w:tc>
        <w:tc>
          <w:tcPr>
            <w:tcW w:w="1089" w:type="dxa"/>
            <w:tcBorders>
              <w:bottom w:val="single" w:sz="12" w:space="0" w:color="auto"/>
            </w:tcBorders>
          </w:tcPr>
          <w:p w14:paraId="092B13B4"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0:42</w:t>
            </w:r>
          </w:p>
          <w:p w14:paraId="549F881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1:58</w:t>
            </w:r>
          </w:p>
          <w:p w14:paraId="073531A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Рулежка: 0:45</w:t>
            </w:r>
          </w:p>
        </w:tc>
        <w:tc>
          <w:tcPr>
            <w:tcW w:w="3447" w:type="dxa"/>
            <w:tcBorders>
              <w:bottom w:val="single" w:sz="12" w:space="0" w:color="auto"/>
            </w:tcBorders>
          </w:tcPr>
          <w:p w14:paraId="1EBD9B5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разворот с места на 180 гр. - 1:20</w:t>
            </w:r>
          </w:p>
          <w:p w14:paraId="6AFD5F1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полный круг на 360 гр - 1:18, д - 69 м (против часовой)</w:t>
            </w:r>
          </w:p>
          <w:p w14:paraId="1536440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то же по часовой - 0:59, д. 49 м</w:t>
            </w:r>
          </w:p>
          <w:p w14:paraId="5DDBD95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разворот на 180 гр. - 0:29</w:t>
            </w:r>
          </w:p>
          <w:p w14:paraId="562EC06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скорость пробежки - 60 км/час</w:t>
            </w:r>
          </w:p>
          <w:p w14:paraId="5A989778"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непродолжительный отрыз от земли (1-2 сек)</w:t>
            </w:r>
          </w:p>
          <w:p w14:paraId="2AF7C53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776" w:type="dxa"/>
            <w:tcBorders>
              <w:bottom w:val="single" w:sz="12" w:space="0" w:color="auto"/>
            </w:tcBorders>
          </w:tcPr>
          <w:p w14:paraId="7E54A02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Разрыв покрышки и камеры Пальмер левого заднего колеса правого шасси (устранено)</w:t>
            </w:r>
          </w:p>
          <w:p w14:paraId="0F919AB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Колебания хвостовых ферм и оперения 9устранено)</w:t>
            </w:r>
          </w:p>
        </w:tc>
        <w:tc>
          <w:tcPr>
            <w:tcW w:w="1105" w:type="dxa"/>
            <w:tcBorders>
              <w:bottom w:val="single" w:sz="12" w:space="0" w:color="auto"/>
            </w:tcBorders>
          </w:tcPr>
          <w:p w14:paraId="5FEA2E1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57E108A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6F14FE46"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была телеграмма Калинина ГУАП Алмазову по К-7:</w:t>
      </w:r>
    </w:p>
    <w:p w14:paraId="136BB1F4"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...всех моторов первая рулежка все нормально (2306,9)</w:t>
      </w:r>
    </w:p>
    <w:p w14:paraId="25968E1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1BD702B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августа 1933 года N 2826с Алкснис писал председателю РВС.</w:t>
      </w:r>
    </w:p>
    <w:p w14:paraId="229117C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увеличении бомбовой нагрузки самолета ТБ3 4м17 до 2,5 т на радиус действия 1300 км (при дальности 2600 км).</w:t>
      </w:r>
    </w:p>
    <w:p w14:paraId="334AF914"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Ваших указаний о дополнительных изысканиях путей и способов увеличения радиуса действия и бомбовой нагрузки ТБ3, НИИ ВВС была проделана большая изыскательная работа:</w:t>
      </w:r>
    </w:p>
    <w:p w14:paraId="5E42336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уменьшению расхода горючего и масла;</w:t>
      </w:r>
    </w:p>
    <w:p w14:paraId="2CBBE186"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увеличению общего полетного веса и</w:t>
      </w:r>
    </w:p>
    <w:p w14:paraId="3EC78DF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дальнейшему облегчению конструкции самолета.</w:t>
      </w:r>
    </w:p>
    <w:p w14:paraId="089F51F2"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окончательного утверждения предварительных расчетов и выводов НИИ, согласно Ваших указаний 8 августа 1933 года был произведен полет облегченного самолета ТБ-3 4М17 с полетным весом 20 тонн, при фактической бомбовой нагрузке 1,5 т по маршруту Щелково – Евпатория – Щелково, общим протяжением 2600 км.</w:t>
      </w:r>
    </w:p>
    <w:p w14:paraId="6317706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вылетел в 4 час. 43 мин. и вернулся в 20 час. 04 мин., пробыв в воздухе 15 час. 21 мин. при средней путевой скорости 170 км/час.</w:t>
      </w:r>
    </w:p>
    <w:p w14:paraId="153F0D5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посадки на аэродроме Щелково в самолете еще оказался запас горючего 800 кг, обеспечивающий продолжение полета еще на 450 км или на 2 час. 45 мин.</w:t>
      </w:r>
    </w:p>
    <w:p w14:paraId="2EEE61E6"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w:t>
      </w:r>
    </w:p>
    <w:p w14:paraId="0A2E720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при полетном весе 20 т может быть надежно использован на дальность 2600 км или радиус действия 1300 км с бомбовой нагрузкой 2,5 т (4014,8-10).</w:t>
      </w:r>
    </w:p>
    <w:p w14:paraId="32D81B6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279F269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9 августа 1933 г. в аэродинамической лаборатории Военно-воздушной академии им. проф. Н.Е.Жуковского благодаря поддержке со стороны известного ученого-аэродинамика Б.Н.Юрьева довольно ин</w:t>
      </w:r>
      <w:r w:rsidRPr="0044524F">
        <w:rPr>
          <w:rFonts w:ascii="Times New Roman" w:hAnsi="Times New Roman"/>
          <w:color w:val="000000" w:themeColor="text1"/>
          <w:sz w:val="16"/>
          <w:szCs w:val="16"/>
        </w:rPr>
        <w:softHyphen/>
        <w:t>тенсивно шли сравнительные исследования моделей фюзеляжа ЦКБ-12 с кольцами Тауненда различной ши</w:t>
      </w:r>
      <w:r w:rsidRPr="0044524F">
        <w:rPr>
          <w:rFonts w:ascii="Times New Roman" w:hAnsi="Times New Roman"/>
          <w:color w:val="000000" w:themeColor="text1"/>
          <w:sz w:val="16"/>
          <w:szCs w:val="16"/>
        </w:rPr>
        <w:softHyphen/>
        <w:t>рины (5 шт.) и с капотами НАКА различной длины (6 шт.), что позволило оптимизировать их форму (10667).</w:t>
      </w:r>
    </w:p>
    <w:p w14:paraId="1F992EB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2DD98FED" w14:textId="77777777" w:rsidR="001C2E3A" w:rsidRPr="0044524F" w:rsidRDefault="001C2E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9 августа 1933 г.в ВВА им. Жуковского, благодаря сочувствию, поддержке и помощи со стороны известного ученого-аэродинамика Б.Н. Юрьева, довольно интенсивно проводились сравнительные исследования моделей фю</w:t>
      </w:r>
      <w:r w:rsidRPr="0044524F">
        <w:rPr>
          <w:rFonts w:ascii="Times New Roman" w:hAnsi="Times New Roman"/>
          <w:color w:val="000000" w:themeColor="text1"/>
          <w:sz w:val="16"/>
          <w:szCs w:val="16"/>
        </w:rPr>
        <w:softHyphen/>
        <w:t>зеляжа ЦКБ-12 с кольцами Тауненда различной ширины (5 шт.) и с капотами НАКА различной длины (6 шт.), что позволило оптимизировать их форму (23455).</w:t>
      </w:r>
    </w:p>
    <w:p w14:paraId="0E734E18" w14:textId="77777777" w:rsidR="001C2E3A" w:rsidRPr="0044524F" w:rsidRDefault="001C2E3A" w:rsidP="009654CF">
      <w:pPr>
        <w:spacing w:after="0" w:line="240" w:lineRule="auto"/>
        <w:jc w:val="both"/>
        <w:rPr>
          <w:rFonts w:ascii="Times New Roman" w:hAnsi="Times New Roman"/>
          <w:color w:val="000000" w:themeColor="text1"/>
          <w:sz w:val="16"/>
          <w:szCs w:val="16"/>
        </w:rPr>
      </w:pPr>
    </w:p>
    <w:p w14:paraId="5B5AF4D6" w14:textId="77777777" w:rsidR="00D602F8" w:rsidRPr="00142305" w:rsidRDefault="00D602F8" w:rsidP="00D602F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9 августа 1933 г. в аэродинамической лаборатории Военно-воздушной инженерной академии им. проф. Н. Е. Жуковского благодаря сочувствию, поддержке и помощи со стороны известного ученого-аэродинамика Б. Н. Юрьева, довольно интенсивно проводились сравнительные исследования моделей фюзеляжа ЦКБ-12 с кольцами Тауненда различной ширины (5 шт.) и с капотами НАКА различной длины (6 шт.), что позволило оптимизировать их форму (25035).</w:t>
      </w:r>
    </w:p>
    <w:p w14:paraId="4B6F93ED" w14:textId="77777777" w:rsidR="00D602F8" w:rsidRPr="00142305" w:rsidRDefault="00D602F8" w:rsidP="00D602F8">
      <w:pPr>
        <w:spacing w:after="0" w:line="240" w:lineRule="auto"/>
        <w:jc w:val="both"/>
        <w:rPr>
          <w:rFonts w:ascii="Times New Roman" w:hAnsi="Times New Roman"/>
          <w:color w:val="0070C0"/>
          <w:sz w:val="16"/>
          <w:szCs w:val="16"/>
        </w:rPr>
      </w:pPr>
    </w:p>
    <w:p w14:paraId="704B76E2"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августа 1933</w:t>
      </w:r>
    </w:p>
    <w:p w14:paraId="1A1CBE8E"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Опросом членов Политбюро от 9.VIII.1933 г.</w:t>
      </w:r>
    </w:p>
    <w:p w14:paraId="5BC70A34"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81/67: О конструкторско-производственной деятельности</w:t>
      </w:r>
    </w:p>
    <w:p w14:paraId="7DDF44B4"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Передать Конструкторское Бюро и все предприятия ВИРДЖИЛИ из ведения НКВМ в систему Главного Управления Авиационной Промышленности Наркомтяжпрома СССР.</w:t>
      </w:r>
    </w:p>
    <w:p w14:paraId="795BA918"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Сохранить в системе ГУАП'а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значения.</w:t>
      </w:r>
    </w:p>
    <w:p w14:paraId="4C72F9BA"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Эксплуатировавшийся Бюро ВИРДЖИЛИ, по договору с НКЛесом, Юрюзанский Леспромхоз в месячный срок передать в ведение “Востокостали”, освободив ВИРДЖИЛИ от обязательств по поставкам топлива и стройматериалов заводам “Востокостали” и другим организациям.</w:t>
      </w:r>
    </w:p>
    <w:p w14:paraId="71E31FB8"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Востокосталь в декадный срок ликвидировать всю задолженность по зарплате и задолженность хозяйственным организациям по Юрюзанскому Леспромхозу.</w:t>
      </w:r>
    </w:p>
    <w:p w14:paraId="3144DD2A"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Начальника Глававиапрома:</w:t>
      </w:r>
    </w:p>
    <w:p w14:paraId="39E56FE5"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установить план работ на предприятиях ВИРДЖИЛИ на 1933 год;</w:t>
      </w:r>
    </w:p>
    <w:p w14:paraId="320283A7"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 декадный срок ликвидировать всю задолженность по зарплате на Уральском строительстве и задолженность хозяйственным организациям;</w:t>
      </w:r>
    </w:p>
    <w:p w14:paraId="258160E1"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закрепить за ВИРДЖИЛИ получаемый до настоящего времени персональный оклад в 1.500 рублей в советских знаках и 300 рублей в иностранной валюте;</w:t>
      </w:r>
    </w:p>
    <w:p w14:paraId="6F6E6EF4"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разрешить ВИРДЖИЛИ отправить свою семью в Италию:</w:t>
      </w:r>
    </w:p>
    <w:p w14:paraId="7AA370F6"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разрешить ВИРДЖИЛИ ежегодный отпуск в течение 2</w:t>
      </w:r>
      <w:r w:rsidRPr="0044524F">
        <w:rPr>
          <w:rFonts w:ascii="Times New Roman" w:hAnsi="Times New Roman"/>
          <w:color w:val="000000" w:themeColor="text1"/>
          <w:sz w:val="16"/>
          <w:szCs w:val="16"/>
        </w:rPr>
        <w:noBreakHyphen/>
        <w:t>х месяцев проводить в Италии.</w:t>
      </w:r>
    </w:p>
    <w:p w14:paraId="6B3183FA"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Ассигновать НКТПрому из резервного фонда СНК СССР 2,8 млн. рублей, из них 2,5 млн. рублей на покрытие задолженности по зарплате на Уральском строительстве и лесных разработках и задолженности хозяйственным организациям и 300.000 рублей для обеспечения конструкторской работы Бюро ВИРДЖИЛИ в 1933 году (18068).</w:t>
      </w:r>
    </w:p>
    <w:p w14:paraId="65A0FC56" w14:textId="77777777" w:rsidR="00416641" w:rsidRPr="0044524F" w:rsidRDefault="00416641"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2A2594E"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948E6F8"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CD18592"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августа 1933 внновь рассматривались варианты танка Т-39. Два варианта были признаны «весьма удачными» и послужили образцом для изготовления деревянных моделей в масштабе 1:10, которые после заседания макетной комиссии вместе с пояснительной запиской спецкурьером прибыли к наркому обороны К. Ворошило</w:t>
      </w:r>
      <w:r w:rsidRPr="0044524F">
        <w:rPr>
          <w:rFonts w:ascii="Times New Roman" w:hAnsi="Times New Roman"/>
          <w:color w:val="000000" w:themeColor="text1"/>
          <w:sz w:val="16"/>
          <w:szCs w:val="16"/>
        </w:rPr>
        <w:softHyphen/>
        <w:t>ву (10733,277).</w:t>
      </w:r>
    </w:p>
    <w:p w14:paraId="4CFE04D6"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0C5491"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C151BD0"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0D8CBE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августа 1933 г. на ЗОК ЦАГИ приступили к полномасштабной постройке Чертежи на консоли были получены ЗОКом 7 октября 1933 г., сборку лонжеронов завершили 25 ноября, нервюры собрали лишь 1 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481473B4"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53A79F2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Консоли крыла были собраны 13 января 1934 г. </w:t>
      </w:r>
    </w:p>
    <w:p w14:paraId="6092529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687680F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253F042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7D8E7C37"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5E40517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6481923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59D29E2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000ACA3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августа 1933 в справке ЭКУ ОГПУ "О качественных и тактических показателях самолетов, сконструированных и построенных в ЦАГИ, по сравнению с аналогичными машинами Европы и США" отмечалось, что за небольшими исключениями (ТБ-3 М-17) все остальные машины следует считать экспериментальными (МИ-3), находящимися в процессе окончательного уточнения их конструкции, и лишь после устранения целого ряда конструктивных недостатков - встанет вопрос об их серийном производстве для нужд обороны" (1566,87).</w:t>
      </w:r>
    </w:p>
    <w:p w14:paraId="38FB62D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1F0C8072" w14:textId="77777777" w:rsidR="00FB1B8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DA85375" w14:textId="77777777" w:rsidR="00FB1B8C" w:rsidRPr="0044524F" w:rsidRDefault="00FB1B8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967243" w14:textId="77777777" w:rsidR="00FB1B8C" w:rsidRPr="0044524F" w:rsidRDefault="00FB1B8C" w:rsidP="009654CF">
      <w:pPr>
        <w:pStyle w:val="ae"/>
        <w:spacing w:before="0" w:after="0"/>
        <w:jc w:val="both"/>
        <w:rPr>
          <w:color w:val="000000" w:themeColor="text1"/>
          <w:sz w:val="16"/>
          <w:szCs w:val="16"/>
        </w:rPr>
      </w:pPr>
      <w:r w:rsidRPr="0044524F">
        <w:rPr>
          <w:rStyle w:val="af0"/>
          <w:i w:val="0"/>
          <w:color w:val="000000" w:themeColor="text1"/>
          <w:sz w:val="16"/>
          <w:szCs w:val="16"/>
        </w:rPr>
        <w:t xml:space="preserve">10 августа 1933 г. </w:t>
      </w:r>
      <w:r w:rsidRPr="0044524F">
        <w:rPr>
          <w:color w:val="000000" w:themeColor="text1"/>
          <w:sz w:val="16"/>
          <w:szCs w:val="16"/>
        </w:rPr>
        <w:t>Доклад наркома по военным и морским делам СССР и председателя Реввоенсовета СССР К. Е. Ворошилова председателю Комиссии обороны СССР В. М. Молотову об итогах развития артиллерийского вооружения с 1 октября 1928 г. по 1 мая 1933 г. и о системе артиллерийского вооружения на вторую пятилетку</w:t>
      </w:r>
    </w:p>
    <w:p w14:paraId="0FAA6E7A" w14:textId="77777777" w:rsidR="00FB1B8C" w:rsidRPr="0044524F" w:rsidRDefault="00FB1B8C" w:rsidP="009654CF">
      <w:pPr>
        <w:pStyle w:val="ae"/>
        <w:spacing w:before="0" w:after="0"/>
        <w:jc w:val="both"/>
        <w:rPr>
          <w:color w:val="000000" w:themeColor="text1"/>
          <w:sz w:val="16"/>
          <w:szCs w:val="16"/>
        </w:rPr>
      </w:pPr>
      <w:r w:rsidRPr="0044524F">
        <w:rPr>
          <w:color w:val="000000" w:themeColor="text1"/>
          <w:sz w:val="16"/>
          <w:szCs w:val="16"/>
        </w:rPr>
        <w:t>I. Итоги развития артиллерийского вооружения за время с 1 октября 1928 г. по 1 мая 1933 г.</w:t>
      </w:r>
    </w:p>
    <w:p w14:paraId="185CF4CC"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В количественном отношении оснащение РККА артиллерийским вооружением возросло: по орудиям с 8600 систем до 15 тыс., по пулеметам с 37 тыс. шт. до 132 тыс. Мобзапас выстрелов увеличен, главным образом, за счет имеющихся разрозненных элементов, пополненных заказом новых элементов и, частично, новых выстрелов — с 10 млн. выстрелов до 22,5 млн. выстрелов. Однако запас винтпатронов остался на том же совершенно незначительном уровне.</w:t>
      </w:r>
    </w:p>
    <w:p w14:paraId="4127EB9C"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Качественное развитие артиллерийского вооружения характеризуется, прежде всего, модернизацией артиллерии (в 33 дивизиях модернизированы 76</w:t>
      </w:r>
      <w:r w:rsidRPr="0044524F">
        <w:rPr>
          <w:color w:val="000000" w:themeColor="text1"/>
          <w:sz w:val="16"/>
          <w:szCs w:val="16"/>
        </w:rPr>
        <w:noBreakHyphen/>
        <w:t>мм пушки, в 60 дивизиях модернизированы 122</w:t>
      </w:r>
      <w:r w:rsidRPr="0044524F">
        <w:rPr>
          <w:color w:val="000000" w:themeColor="text1"/>
          <w:sz w:val="16"/>
          <w:szCs w:val="16"/>
        </w:rPr>
        <w:noBreakHyphen/>
        <w:t>мм гаубицы, в 10 корпусных артполках — 107</w:t>
      </w:r>
      <w:r w:rsidRPr="0044524F">
        <w:rPr>
          <w:color w:val="000000" w:themeColor="text1"/>
          <w:sz w:val="16"/>
          <w:szCs w:val="16"/>
        </w:rPr>
        <w:noBreakHyphen/>
        <w:t>мм пушки и в 39 корпусных полках и полках АРГК — 152</w:t>
      </w:r>
      <w:r w:rsidRPr="0044524F">
        <w:rPr>
          <w:color w:val="000000" w:themeColor="text1"/>
          <w:sz w:val="16"/>
          <w:szCs w:val="16"/>
        </w:rPr>
        <w:noBreakHyphen/>
        <w:t>мм гаубицы).</w:t>
      </w:r>
    </w:p>
    <w:p w14:paraId="33868DAC"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Создание и внедрение новых артиллерийских систем уже осуществлено по ряду образцов. На валовое производство поставлены: 45</w:t>
      </w:r>
      <w:r w:rsidRPr="0044524F">
        <w:rPr>
          <w:color w:val="000000" w:themeColor="text1"/>
          <w:sz w:val="16"/>
          <w:szCs w:val="16"/>
        </w:rPr>
        <w:noBreakHyphen/>
        <w:t>мм танковые и противотанковые пушки, 76</w:t>
      </w:r>
      <w:r w:rsidRPr="0044524F">
        <w:rPr>
          <w:color w:val="000000" w:themeColor="text1"/>
          <w:sz w:val="16"/>
          <w:szCs w:val="16"/>
        </w:rPr>
        <w:noBreakHyphen/>
        <w:t>мм зенитные пушки 1931 г., 203</w:t>
      </w:r>
      <w:r w:rsidRPr="0044524F">
        <w:rPr>
          <w:color w:val="000000" w:themeColor="text1"/>
          <w:sz w:val="16"/>
          <w:szCs w:val="16"/>
        </w:rPr>
        <w:noBreakHyphen/>
        <w:t>мм гаубицы Б</w:t>
      </w:r>
      <w:r w:rsidRPr="0044524F">
        <w:rPr>
          <w:color w:val="000000" w:themeColor="text1"/>
          <w:sz w:val="16"/>
          <w:szCs w:val="16"/>
        </w:rPr>
        <w:noBreakHyphen/>
        <w:t>4, 152</w:t>
      </w:r>
      <w:r w:rsidRPr="0044524F">
        <w:rPr>
          <w:color w:val="000000" w:themeColor="text1"/>
          <w:sz w:val="16"/>
          <w:szCs w:val="16"/>
        </w:rPr>
        <w:noBreakHyphen/>
        <w:t>мм мортиры, комплексные пулеметные установки. Заданы для производства первых серий для войсковых испытаний: автоматическая винтовка, 122</w:t>
      </w:r>
      <w:r w:rsidRPr="0044524F">
        <w:rPr>
          <w:color w:val="000000" w:themeColor="text1"/>
          <w:sz w:val="16"/>
          <w:szCs w:val="16"/>
        </w:rPr>
        <w:noBreakHyphen/>
        <w:t>мм пушка, 152</w:t>
      </w:r>
      <w:r w:rsidRPr="0044524F">
        <w:rPr>
          <w:color w:val="000000" w:themeColor="text1"/>
          <w:sz w:val="16"/>
          <w:szCs w:val="16"/>
        </w:rPr>
        <w:noBreakHyphen/>
        <w:t>мм пушка Б</w:t>
      </w:r>
      <w:r w:rsidRPr="0044524F">
        <w:rPr>
          <w:color w:val="000000" w:themeColor="text1"/>
          <w:sz w:val="16"/>
          <w:szCs w:val="16"/>
        </w:rPr>
        <w:noBreakHyphen/>
        <w:t>10, 76</w:t>
      </w:r>
      <w:r w:rsidRPr="0044524F">
        <w:rPr>
          <w:color w:val="000000" w:themeColor="text1"/>
          <w:sz w:val="16"/>
          <w:szCs w:val="16"/>
        </w:rPr>
        <w:noBreakHyphen/>
        <w:t>мм танковая пушка, 7,62</w:t>
      </w:r>
      <w:r w:rsidRPr="0044524F">
        <w:rPr>
          <w:color w:val="000000" w:themeColor="text1"/>
          <w:sz w:val="16"/>
          <w:szCs w:val="16"/>
        </w:rPr>
        <w:noBreakHyphen/>
        <w:t>мм пулемет ШКАС¹* и 12,7</w:t>
      </w:r>
      <w:r w:rsidRPr="0044524F">
        <w:rPr>
          <w:color w:val="000000" w:themeColor="text1"/>
          <w:sz w:val="16"/>
          <w:szCs w:val="16"/>
        </w:rPr>
        <w:noBreakHyphen/>
        <w:t>мм пулемет ШВАК²*. Разработан и ставится на валовое производство ряд оригинальных конструкций орудий (типа Курчевского³*): 76</w:t>
      </w:r>
      <w:r w:rsidRPr="0044524F">
        <w:rPr>
          <w:color w:val="000000" w:themeColor="text1"/>
          <w:sz w:val="16"/>
          <w:szCs w:val="16"/>
        </w:rPr>
        <w:noBreakHyphen/>
        <w:t>мм ДРП, 76</w:t>
      </w:r>
      <w:r w:rsidRPr="0044524F">
        <w:rPr>
          <w:color w:val="000000" w:themeColor="text1"/>
          <w:sz w:val="16"/>
          <w:szCs w:val="16"/>
        </w:rPr>
        <w:noBreakHyphen/>
        <w:t>мм БПК, 76</w:t>
      </w:r>
      <w:r w:rsidRPr="0044524F">
        <w:rPr>
          <w:color w:val="000000" w:themeColor="text1"/>
          <w:sz w:val="16"/>
          <w:szCs w:val="16"/>
        </w:rPr>
        <w:noBreakHyphen/>
        <w:t>мм АПК, 76</w:t>
      </w:r>
      <w:r w:rsidRPr="0044524F">
        <w:rPr>
          <w:color w:val="000000" w:themeColor="text1"/>
          <w:sz w:val="16"/>
          <w:szCs w:val="16"/>
        </w:rPr>
        <w:noBreakHyphen/>
        <w:t>мм СПК, 37</w:t>
      </w:r>
      <w:r w:rsidRPr="0044524F">
        <w:rPr>
          <w:color w:val="000000" w:themeColor="text1"/>
          <w:sz w:val="16"/>
          <w:szCs w:val="16"/>
        </w:rPr>
        <w:noBreakHyphen/>
        <w:t>мм ружье «К». В результате работ по реализации действующей системы вооружения из числа предусмотренных этой системой 44 орудий выполнено 36 орудий и находятся: в периоде изготовления — 2 орудия, на испытании — 1 орудие и в проектировании — 5 орудий. Создана своя конструкторская база, обеспечивающая дальнейшее техническое развитие артиллерийского вооружения.</w:t>
      </w:r>
    </w:p>
    <w:p w14:paraId="4BF5DCB2"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Наряду с этими достижениями в области оснащения артиллерийским вооружением имеет место ряд крупнейших недочетов: 1) вследствие трудностей освоения новых образцов артвооружения, поступление их на вооружение РККА все еще не носит массового характера; 2) модернизация артиллерии в количественном отношении проведена недостаточно, особенно по пушкам; 3) оснащение вооружением новых родов войск отстало от оснащения их новыми боевыми машинами; 4) развитие огнеприпасов в количественном и качественном отношении отстало от развития артиллерийского вооружения (недостает снарядов увеличенной дальности, мало или почти нет специальных типов снарядов, авиабомб и винтпатронов, отстает развертывание массового производства новых современных типов взрывателей и трубок).</w:t>
      </w:r>
    </w:p>
    <w:p w14:paraId="32207101"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II. Развитие артиллерийского вооружения за границей</w:t>
      </w:r>
    </w:p>
    <w:p w14:paraId="219C1320"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Развитие артиллерийского вооружения за границей в настоящее время исходит как из опыта мировой войны, так и из мощного послевоенного развития танков и авиации. Усовершенствование материальной части в основном проводится по линии увеличения дальнобойности, скорострельности (особенно зенитной и противотанковой артиллерии), подвижности (перевод на мехтягу и введение самоходной артиллерии), гаубизации (путем введения уменьшенных зарядов) и повышения мощности отдельного выстрела (как по линии снарядов, трубок и взрывателей, так и по линии порохов и взрыввеществ).</w:t>
      </w:r>
    </w:p>
    <w:p w14:paraId="7B966B58"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В области стрелкового вооружения основное внимание обращено на усовершенствование автоматики (сверхскорострельные пулеметы) и на внедрение ее во все виды стрелкового вооружения (автоматическая винтовка).</w:t>
      </w:r>
    </w:p>
    <w:p w14:paraId="54A0FC10"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Перевооружение буржуазных армий новыми орудиями происходит различно в разных государствах. Крупные государства, по-видимому, не приступают к массовому перевооружению своих армий, исходя из возможностей дальнейшего развития новых образцов и рассчитывая на быстрое перевооружение армии в предмобилизационный период и в начале самой войны. Мелкие государства, как не имеющие развитого производства артвооружения, уже теперь выдают заказы на значительные партии новых орудий различным оружейным заводам.</w:t>
      </w:r>
    </w:p>
    <w:p w14:paraId="3EF2DDA2"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В технике артиллерийского производства осваиваются новейшие конструктивные усовершенствования, а именно: вводятся унифицированные лафеты (общий лафет для пушек и гаубиц одного вида артиллерии), автоматические затворы, лейнеры, автофреттаж, центробежное литье, тележки (вместо существующих боевых осей с колесами), лафеты с горизонтальным углом обстрела в 360° и т. п.</w:t>
      </w:r>
    </w:p>
    <w:p w14:paraId="062D784E"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По линии огнеприпасов разрабатываются реактивные снаряды (находятся в периоде опытных испытаний), вводятся нарезные снаряды, вводятся наконечники для повышения бронебойности, разрабатываются трассирующие снаряды не только для мелкокалиберной, но и для полевой артиллерии, вводятся механические трубки и взрыватели переменного действия до экстрачувствительных включительно и т. п.</w:t>
      </w:r>
    </w:p>
    <w:p w14:paraId="196D03C2"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III. Выводы о развитии артиллерийского вооружения по сравнению с заграницей</w:t>
      </w:r>
    </w:p>
    <w:p w14:paraId="0635DE88"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В количественном отношении оснащение артиллерийским вооружением хотя и резко возросло за истекшие годы, но насыщенность РККА орудиями все же значительно отстает от передовых заграничных армий.</w:t>
      </w:r>
    </w:p>
    <w:p w14:paraId="5BA6AB98"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В стрелковой дивизии имеется:</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957"/>
        <w:gridCol w:w="3210"/>
        <w:gridCol w:w="3106"/>
        <w:gridCol w:w="1049"/>
      </w:tblGrid>
      <w:tr w:rsidR="004E10C1" w:rsidRPr="0044524F" w14:paraId="61E588A6"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411DC28"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C37C09F"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Орудий</w:t>
            </w:r>
          </w:p>
        </w:tc>
      </w:tr>
      <w:tr w:rsidR="004E10C1" w:rsidRPr="0044524F" w14:paraId="2C1FDDCD"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DB82FEE" w14:textId="77777777" w:rsidR="00FB1B8C" w:rsidRPr="0044524F" w:rsidRDefault="00FB1B8C"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E139F51"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Мелко</w:t>
            </w:r>
            <w:r w:rsidRPr="0044524F">
              <w:rPr>
                <w:rFonts w:ascii="Times New Roman" w:hAnsi="Times New Roman"/>
                <w:color w:val="000000" w:themeColor="text1"/>
                <w:sz w:val="16"/>
                <w:szCs w:val="16"/>
              </w:rPr>
              <w:softHyphen/>
              <w:t>калиберных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3C8CF"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Среднего калибра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B73A2"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r>
      <w:tr w:rsidR="004E10C1" w:rsidRPr="0044524F" w14:paraId="3B9EF03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8CD40B"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РККА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F8A47"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8AF4B"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9A07E"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56⁵*</w:t>
            </w:r>
          </w:p>
        </w:tc>
      </w:tr>
      <w:tr w:rsidR="004E10C1" w:rsidRPr="0044524F" w14:paraId="2D861F5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72644A"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американской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E7E63D1"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1C82935"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1BFC0"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146</w:t>
            </w:r>
          </w:p>
        </w:tc>
      </w:tr>
      <w:tr w:rsidR="004E10C1" w:rsidRPr="0044524F" w14:paraId="1F599AE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6DFADF"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французской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DE672"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E8E6A"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A3AAB"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w:t>
            </w:r>
          </w:p>
        </w:tc>
      </w:tr>
      <w:tr w:rsidR="004E10C1" w:rsidRPr="0044524F" w14:paraId="11FEF7D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B973474"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японской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2C41F02"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8E6538A"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F975E"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r>
      <w:tr w:rsidR="004E10C1" w:rsidRPr="0044524F" w14:paraId="295D9CA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77F043"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польской армии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7D493AC3"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7D6057ED"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A207F" w14:textId="77777777" w:rsidR="00FB1B8C" w:rsidRPr="0044524F" w:rsidRDefault="00FB1B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w:t>
            </w:r>
          </w:p>
        </w:tc>
      </w:tr>
    </w:tbl>
    <w:p w14:paraId="074F7788"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В отношении качественного развития артиллерийского вооружения наши работы по новым системам стоят на уровне современных образцов иностранных армий. Недостаточное развитие техники артиллерийского производства затрудняет разработку наиболее совершенных артиллерийских систем. Разработка новых образцов вооружения особенно отстает по авиационным автоматическим пушкам, по дивизионной артиллерии, по мортирам, по самоходной артиллерии, а также и по боеприпасам.</w:t>
      </w:r>
    </w:p>
    <w:p w14:paraId="0EA94D1D"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IV. Задачи на вторую пятилетку</w:t>
      </w:r>
    </w:p>
    <w:p w14:paraId="10000790"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Развитие артиллерийского вооружения во второй пятилетке должно отвечать тем новым задачам, которые поставлены перед артиллерией всем ходом развития военной техники и, главным образом, развитием авиации, танков и средств инженерной обороны. Система артиллерийского вооружения во второй пятилетке должна разрешить следующие основные задачи:</w:t>
      </w:r>
    </w:p>
    <w:p w14:paraId="6C2ED15D"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1. Оснастить авиацию и танки современным вооружением (пушками, пулеметами, огнеприпасами), полностью использующим все тактические возможности машин.</w:t>
      </w:r>
    </w:p>
    <w:p w14:paraId="5B22C383"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2. Обеспечить мото-мехвойска и танковые части специальной самоходной артиллерией.</w:t>
      </w:r>
    </w:p>
    <w:p w14:paraId="5FB353A0"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3. Решить задачи ПВО и ПТО как для войск, так и для ближайшего и дальнего тыла.</w:t>
      </w:r>
    </w:p>
    <w:p w14:paraId="7D9C158F"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4. Приступить к практическому перевооружению войсковой артиллерии новыми образцами.</w:t>
      </w:r>
    </w:p>
    <w:p w14:paraId="67F4197D"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5. Форсировать качественное и количественное развитие АРГК.</w:t>
      </w:r>
    </w:p>
    <w:p w14:paraId="1A82CB12"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6. Разрешить практически проблему нарезных снарядов.</w:t>
      </w:r>
    </w:p>
    <w:p w14:paraId="26B53247"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7. Увеличить живучесть орудий, в частности, широко внедрить лейнирование и применение свободных труб.</w:t>
      </w:r>
    </w:p>
    <w:p w14:paraId="1056A53D"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lastRenderedPageBreak/>
        <w:t>8. Внедрить стандартизацию и унификацию во вновь вводимые образцы вооружения (в частности — общие лафеты для пушек, гаубиц и мортир, соответственно: 76 мм, 122 мм и 152 мм; 122 мм, 152 мм и 203 мм; 152 мм, 203 мм и 305 мм).</w:t>
      </w:r>
    </w:p>
    <w:p w14:paraId="670DC7A9"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9. Внедрить в армию автоматическую винтовку.</w:t>
      </w:r>
    </w:p>
    <w:p w14:paraId="16B18892"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10. Снабдить новые артиллерийские средства современными огнеприпасами, обеспечивающими решение всех специальных задач (бронебойность, бетонобойность, стрельба в зенит, действия: зажигательное, осветительное, дымовое, химическое и осколочно-химическое).</w:t>
      </w:r>
    </w:p>
    <w:p w14:paraId="33D10B47"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В соответствии с этими задачами Реввоенсоветом СССР разработана система артиллерийского вооружения РККА на вторую пятилетку, включенная в прилагаемый проект постановления КО. Эта система учитывает все те новые образцы вооружения, которые были разработаны в процессе реализации первой системы вооружения и удовлетворяют современным требованиям. С другой стороны, новая система вооружения предусматривает дальнейшее усовершенствование артиллерийского вооружения на базе предстоящего развития нашей промышленности.</w:t>
      </w:r>
    </w:p>
    <w:p w14:paraId="75AA6C25"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Новая система вооружения предусматривает 26 орудий, включая дивизионную и корпусную артиллерию, каждая на своем общем лафете с тремя стволами. Сокращено против действующей системы 18 типов орудий. Однако вооружение авиации и мото-мехвойск дает новых 8 систем, ранее в системе вооружения отсутствовавших.</w:t>
      </w:r>
    </w:p>
    <w:p w14:paraId="2603C0FA"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Представляемая система артиллерийского вооружения не обнимает всех задач, выдвигаемых по линии развития артиллерийской техники, почему в области научно-исследовательских и изобретательских работ должен быть решен ряд проблем в отношении: 1) экстрадальней стрельбы; 2) полигональных орудий с точки зрения универсальности орудий и повышения мощности выстрела; 3) новых типов снарядов и авиабомб; 4) новых видов более мощных взрыввеществ и более совершенных порохов.</w:t>
      </w:r>
    </w:p>
    <w:p w14:paraId="790F0245"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V. Предложения</w:t>
      </w:r>
    </w:p>
    <w:p w14:paraId="4FD70DE5"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Представляя на рассмотрение КО проект постановления КО, включающий: 1) систему артиллерийского вооружения на вторую пятилетку; 2) сроки ввода на вооружение и внедрения в массовое производство новых образцов вооружения; 3) перечень основных задач для дальнейших научно-исследовательских и изобретательских работ; прошу утвердить прилагаемый проект постановления.</w:t>
      </w:r>
    </w:p>
    <w:p w14:paraId="083CFBB6" w14:textId="77777777" w:rsidR="00FB1B8C" w:rsidRPr="0044524F" w:rsidRDefault="00FB1B8C" w:rsidP="009654CF">
      <w:pPr>
        <w:pStyle w:val="rtejustify"/>
        <w:spacing w:before="0" w:after="0"/>
        <w:rPr>
          <w:color w:val="000000" w:themeColor="text1"/>
          <w:sz w:val="16"/>
          <w:szCs w:val="16"/>
        </w:rPr>
      </w:pPr>
      <w:r w:rsidRPr="0044524F">
        <w:rPr>
          <w:rStyle w:val="af0"/>
          <w:i w:val="0"/>
          <w:color w:val="000000" w:themeColor="text1"/>
          <w:sz w:val="16"/>
          <w:szCs w:val="16"/>
        </w:rPr>
        <w:t>Приложение</w:t>
      </w:r>
      <w:r w:rsidRPr="0044524F">
        <w:rPr>
          <w:color w:val="000000" w:themeColor="text1"/>
          <w:sz w:val="16"/>
          <w:szCs w:val="16"/>
        </w:rPr>
        <w:t>: проект постановления КО⁶*.</w:t>
      </w:r>
    </w:p>
    <w:p w14:paraId="26912FB7" w14:textId="77777777" w:rsidR="00FB1B8C" w:rsidRPr="0044524F" w:rsidRDefault="00FB1B8C" w:rsidP="009654CF">
      <w:pPr>
        <w:pStyle w:val="ae"/>
        <w:spacing w:before="0" w:after="0"/>
        <w:jc w:val="both"/>
        <w:rPr>
          <w:color w:val="000000" w:themeColor="text1"/>
          <w:sz w:val="16"/>
          <w:szCs w:val="16"/>
        </w:rPr>
      </w:pPr>
      <w:r w:rsidRPr="0044524F">
        <w:rPr>
          <w:rStyle w:val="af0"/>
          <w:i w:val="0"/>
          <w:color w:val="000000" w:themeColor="text1"/>
          <w:sz w:val="16"/>
          <w:szCs w:val="16"/>
        </w:rPr>
        <w:t>Народный комиссар по военным и морским делам и председатель РВС СССР Ворошилов</w:t>
      </w:r>
    </w:p>
    <w:p w14:paraId="2AE0349B" w14:textId="77777777" w:rsidR="00FB1B8C" w:rsidRPr="0044524F" w:rsidRDefault="00FB1B8C"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764EEFD4"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Пулемет ШКАС (Шпитальный-Комарицкий авиационный скорострельный)</w:t>
      </w:r>
      <w:r w:rsidRPr="0044524F">
        <w:rPr>
          <w:color w:val="000000" w:themeColor="text1"/>
          <w:sz w:val="16"/>
          <w:szCs w:val="16"/>
        </w:rPr>
        <w:t xml:space="preserve"> был создан в 1930 г. Пулемет по скорострельности значительно превосходил все известные образцы авиационного стрелкового оружия. 11 октября 1932 г. Реввоенсовет СССР принял постановление о постановке пулемета на вооружение под наименованием «7,62</w:t>
      </w:r>
      <w:r w:rsidRPr="0044524F">
        <w:rPr>
          <w:color w:val="000000" w:themeColor="text1"/>
          <w:sz w:val="16"/>
          <w:szCs w:val="16"/>
        </w:rPr>
        <w:noBreakHyphen/>
        <w:t>мм авиационный скорострельный пулемет системы Шпитального-Комарицкого образца 1932 г.». Однако работы по массовому выпуску ШКАС на Тульском оружейном заводе шли с большим трудом. Согласно справке Особого отдела ОГПУ от 15 февраля 1934 г. в первом полугодии 1933 г. было изготовлено всего 75 пулеметов, причем, только 13 из них измененной конструкции и удовлетворительного качества. Причиной плохого качества пулеметов была названа недоброкачественная сталь. За 1933 г. из опытной партии в 500 пулеметов ШКАС ТОЗом было сдано военной приемке 374 шт., а из валового заказа в 1 тыс. пулеметов военной приемкой принято 165 шт. По сведениям, изложенным в докладной записке членов Комиссии партийного контроля в Комиссию обороны от 10 ноября 1935 г., бывшими работниками конструкторского бюро Шпитального квалифицированным рабочим Савиным и чертежником-конструктором Норовым была разработана новая модификация пулемета. Новая конструкция пулемета давала темп свыше 3 тыс. выстрелов в минуту. Была также значительно упрощена общая конструкция. ШКАС имел 138 деталей, новый пулемет Савина и Норова — 76. Это позволило освоить его с исключительной быстротой: на производство первых трех образцов нового пулемета на Тульском заводе потребовалось всего полтора месяца (28 сентября-15 ноября 1935 г.). Комиссией партийного контроля пулемет Савина, Норова был рекомендован к освоению в серийном производстве, и к окончательному испытанию в 1</w:t>
      </w:r>
      <w:r w:rsidRPr="0044524F">
        <w:rPr>
          <w:color w:val="000000" w:themeColor="text1"/>
          <w:sz w:val="16"/>
          <w:szCs w:val="16"/>
        </w:rPr>
        <w:noBreakHyphen/>
        <w:t>м полугодии 1936 г.». Впоследствии работы по усовершенствованию пулемета ШКАС продолжались, и на протяжении 1933</w:t>
      </w:r>
      <w:r w:rsidRPr="0044524F">
        <w:rPr>
          <w:color w:val="000000" w:themeColor="text1"/>
          <w:sz w:val="16"/>
          <w:szCs w:val="16"/>
        </w:rPr>
        <w:noBreakHyphen/>
        <w:t>1937 гг. были разработаны механическая спарка пулеметов ШКАС, модификация ультра ШКАС, турельный и крыльевой варианты пулемета. К 1936 г. пулеметы системы ШКАС заняли главенствующее положение в системе вооружения советской авиации. (ГАРФ. Ф. Р</w:t>
      </w:r>
      <w:r w:rsidRPr="0044524F">
        <w:rPr>
          <w:color w:val="000000" w:themeColor="text1"/>
          <w:sz w:val="16"/>
          <w:szCs w:val="16"/>
        </w:rPr>
        <w:noBreakHyphen/>
        <w:t>8418. Оп. 9. Д. 29. Л. 61</w:t>
      </w:r>
      <w:r w:rsidRPr="0044524F">
        <w:rPr>
          <w:color w:val="000000" w:themeColor="text1"/>
          <w:sz w:val="16"/>
          <w:szCs w:val="16"/>
        </w:rPr>
        <w:noBreakHyphen/>
        <w:t>64; АП РФ. Ф. 3. Оп. 46. Д. 336. Л. 126</w:t>
      </w:r>
      <w:r w:rsidRPr="0044524F">
        <w:rPr>
          <w:color w:val="000000" w:themeColor="text1"/>
          <w:sz w:val="16"/>
          <w:szCs w:val="16"/>
        </w:rPr>
        <w:noBreakHyphen/>
        <w:t>129).</w:t>
      </w:r>
    </w:p>
    <w:p w14:paraId="4D5389D5"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²* </w:t>
      </w:r>
      <w:r w:rsidRPr="0044524F">
        <w:rPr>
          <w:rStyle w:val="af0"/>
          <w:bCs/>
          <w:i w:val="0"/>
          <w:color w:val="000000" w:themeColor="text1"/>
          <w:sz w:val="16"/>
          <w:szCs w:val="16"/>
        </w:rPr>
        <w:t>ШВАК (Шпиталъный-Владимиров авиационный крупнокалиберный) </w:t>
      </w:r>
      <w:r w:rsidRPr="0044524F">
        <w:rPr>
          <w:color w:val="000000" w:themeColor="text1"/>
          <w:sz w:val="16"/>
          <w:szCs w:val="16"/>
        </w:rPr>
        <w:t>— первый советский крупнокалиберный авиационный пулемет. Был принят на вооружение под названием 12,7</w:t>
      </w:r>
      <w:r w:rsidRPr="0044524F">
        <w:rPr>
          <w:color w:val="000000" w:themeColor="text1"/>
          <w:sz w:val="16"/>
          <w:szCs w:val="16"/>
        </w:rPr>
        <w:noBreakHyphen/>
        <w:t>мм авиационный пулемет системы Шпитального и Владимирова. 9 февраля 1931 г. СТО принял постановление о разработке крупнокалиберного авиационного пулемета калибра 12,7 мм под патрон 12,7</w:t>
      </w:r>
      <w:r w:rsidRPr="0044524F">
        <w:rPr>
          <w:color w:val="000000" w:themeColor="text1"/>
          <w:sz w:val="16"/>
          <w:szCs w:val="16"/>
        </w:rPr>
        <w:noBreakHyphen/>
        <w:t>мм армейского пулемета ДК (Дегтярев крупнокалиберный). Такой пулемет был спроектирован С. В. Владимировым, конструктором пулеметного КБ в Туле. Патроны 12,7</w:t>
      </w:r>
      <w:r w:rsidRPr="0044524F">
        <w:rPr>
          <w:color w:val="000000" w:themeColor="text1"/>
          <w:sz w:val="16"/>
          <w:szCs w:val="16"/>
        </w:rPr>
        <w:noBreakHyphen/>
        <w:t>мм ШВАК производились с теми же типами пуль, что и 12,7</w:t>
      </w:r>
      <w:r w:rsidRPr="0044524F">
        <w:rPr>
          <w:color w:val="000000" w:themeColor="text1"/>
          <w:sz w:val="16"/>
          <w:szCs w:val="16"/>
        </w:rPr>
        <w:noBreakHyphen/>
        <w:t>мм патроны ДК. Пулемет ШВАК изготавливался в крыльевом, турельном, синхронном и моторном вариантах. Он оказался довольно эффективным оружием, однако, имел ряд недостатков. Главными из них были: большая сложность устройства отдельных узлов, что создавало проблемы при разборке и сборке. Своеобразие конструкции пулемета весьма усложнило его производство. В 1935</w:t>
      </w:r>
      <w:r w:rsidRPr="0044524F">
        <w:rPr>
          <w:color w:val="000000" w:themeColor="text1"/>
          <w:sz w:val="16"/>
          <w:szCs w:val="16"/>
        </w:rPr>
        <w:noBreakHyphen/>
        <w:t>1936 гг. на базе 12,7</w:t>
      </w:r>
      <w:r w:rsidRPr="0044524F">
        <w:rPr>
          <w:color w:val="000000" w:themeColor="text1"/>
          <w:sz w:val="16"/>
          <w:szCs w:val="16"/>
        </w:rPr>
        <w:noBreakHyphen/>
        <w:t>мм пулемета ШВАК была создана 20</w:t>
      </w:r>
      <w:r w:rsidRPr="0044524F">
        <w:rPr>
          <w:color w:val="000000" w:themeColor="text1"/>
          <w:sz w:val="16"/>
          <w:szCs w:val="16"/>
        </w:rPr>
        <w:noBreakHyphen/>
        <w:t>мм пушка ШВАК, запущенная в серийное производство в 1936 г. Через несколько месяцев после этого 12,7</w:t>
      </w:r>
      <w:r w:rsidRPr="0044524F">
        <w:rPr>
          <w:color w:val="000000" w:themeColor="text1"/>
          <w:sz w:val="16"/>
          <w:szCs w:val="16"/>
        </w:rPr>
        <w:noBreakHyphen/>
        <w:t>мм пулемет ШВАК был снят с производства.</w:t>
      </w:r>
    </w:p>
    <w:p w14:paraId="18DB86EC"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³* Советским конструктором Л. В. Курчевским в 30</w:t>
      </w:r>
      <w:r w:rsidRPr="0044524F">
        <w:rPr>
          <w:color w:val="000000" w:themeColor="text1"/>
          <w:sz w:val="16"/>
          <w:szCs w:val="16"/>
        </w:rPr>
        <w:noBreakHyphen/>
        <w:t>е годы было создано несколько десятков образцов безоткатных или динамо-реактивных пушек (ДРП) Курчевского и ружей Курчевского (37</w:t>
      </w:r>
      <w:r w:rsidRPr="0044524F">
        <w:rPr>
          <w:color w:val="000000" w:themeColor="text1"/>
          <w:sz w:val="16"/>
          <w:szCs w:val="16"/>
        </w:rPr>
        <w:noBreakHyphen/>
        <w:t>мм ”К”). Пушки Курчевского были буквально всех калибров — 37</w:t>
      </w:r>
      <w:r w:rsidRPr="0044524F">
        <w:rPr>
          <w:color w:val="000000" w:themeColor="text1"/>
          <w:sz w:val="16"/>
          <w:szCs w:val="16"/>
        </w:rPr>
        <w:noBreakHyphen/>
        <w:t>мм, 65</w:t>
      </w:r>
      <w:r w:rsidRPr="0044524F">
        <w:rPr>
          <w:color w:val="000000" w:themeColor="text1"/>
          <w:sz w:val="16"/>
          <w:szCs w:val="16"/>
        </w:rPr>
        <w:noBreakHyphen/>
        <w:t>мм, 76</w:t>
      </w:r>
      <w:r w:rsidRPr="0044524F">
        <w:rPr>
          <w:color w:val="000000" w:themeColor="text1"/>
          <w:sz w:val="16"/>
          <w:szCs w:val="16"/>
        </w:rPr>
        <w:noBreakHyphen/>
        <w:t>мм, 100</w:t>
      </w:r>
      <w:r w:rsidRPr="0044524F">
        <w:rPr>
          <w:color w:val="000000" w:themeColor="text1"/>
          <w:sz w:val="16"/>
          <w:szCs w:val="16"/>
        </w:rPr>
        <w:noBreakHyphen/>
        <w:t>мм, 152</w:t>
      </w:r>
      <w:r w:rsidRPr="0044524F">
        <w:rPr>
          <w:color w:val="000000" w:themeColor="text1"/>
          <w:sz w:val="16"/>
          <w:szCs w:val="16"/>
        </w:rPr>
        <w:noBreakHyphen/>
        <w:t>мм, 305</w:t>
      </w:r>
      <w:r w:rsidRPr="0044524F">
        <w:rPr>
          <w:color w:val="000000" w:themeColor="text1"/>
          <w:sz w:val="16"/>
          <w:szCs w:val="16"/>
        </w:rPr>
        <w:noBreakHyphen/>
        <w:t>мм и 500</w:t>
      </w:r>
      <w:r w:rsidRPr="0044524F">
        <w:rPr>
          <w:color w:val="000000" w:themeColor="text1"/>
          <w:sz w:val="16"/>
          <w:szCs w:val="16"/>
        </w:rPr>
        <w:noBreakHyphen/>
        <w:t>мм и их предполагалось использовать в качестве полевых, горных, самоходных, танковых, авиационных и корабельных орудий. Л. В. Курчевский не был изобретателем безоткатных пушек, он принял для своих разработок уже известный принцип безоткатных орудий и взял схему с нагруженным нарезным стволом, которая имела принципиальные недостатки. В 1932</w:t>
      </w:r>
      <w:r w:rsidRPr="0044524F">
        <w:rPr>
          <w:color w:val="000000" w:themeColor="text1"/>
          <w:sz w:val="16"/>
          <w:szCs w:val="16"/>
        </w:rPr>
        <w:noBreakHyphen/>
        <w:t>1933 гг. было изготовлено около тридцати ружей “К” ММ, которые использовались в войсках для учебных целей. В конце 1932 г. было спроектировано ружье “К” БМ, а в октябре 1933 г. оно прошло войсковые испытания в Московской Пролетарской стрелковой дивизии. Валовое производство ружей “К” было начато в 1932 г. на заводе № 8. В 1935 г. в КБ завода № 8 была произведена первая модернизация 37</w:t>
      </w:r>
      <w:r w:rsidRPr="0044524F">
        <w:rPr>
          <w:color w:val="000000" w:themeColor="text1"/>
          <w:sz w:val="16"/>
          <w:szCs w:val="16"/>
        </w:rPr>
        <w:noBreakHyphen/>
        <w:t>мм ружья “К” БМ. В 1937</w:t>
      </w:r>
      <w:r w:rsidRPr="0044524F">
        <w:rPr>
          <w:color w:val="000000" w:themeColor="text1"/>
          <w:sz w:val="16"/>
          <w:szCs w:val="16"/>
        </w:rPr>
        <w:noBreakHyphen/>
        <w:t>1938 гг. конструкторы завода № 8 провели коренную модернизацию 37</w:t>
      </w:r>
      <w:r w:rsidRPr="0044524F">
        <w:rPr>
          <w:color w:val="000000" w:themeColor="text1"/>
          <w:sz w:val="16"/>
          <w:szCs w:val="16"/>
        </w:rPr>
        <w:noBreakHyphen/>
        <w:t>мм РК БМ, получившего новое название «37</w:t>
      </w:r>
      <w:r w:rsidRPr="0044524F">
        <w:rPr>
          <w:color w:val="000000" w:themeColor="text1"/>
          <w:sz w:val="16"/>
          <w:szCs w:val="16"/>
        </w:rPr>
        <w:noBreakHyphen/>
        <w:t>мм пушка ДР завода № 8». Букву “К” (Курчевский) не упоминали, так как в 1937 г. Курчевский был арестован. Неудобство при стрельбе и транспортировке, малая скорострельность, частые отказы и, наконец, неудовлетворительная бронепробиваемость привели к тому, что уже в 1935</w:t>
      </w:r>
      <w:r w:rsidRPr="0044524F">
        <w:rPr>
          <w:color w:val="000000" w:themeColor="text1"/>
          <w:sz w:val="16"/>
          <w:szCs w:val="16"/>
        </w:rPr>
        <w:noBreakHyphen/>
        <w:t>1936 гг. ружья “К” БМ были сняты с вооружения Красной армии. 76</w:t>
      </w:r>
      <w:r w:rsidRPr="0044524F">
        <w:rPr>
          <w:color w:val="000000" w:themeColor="text1"/>
          <w:sz w:val="16"/>
          <w:szCs w:val="16"/>
        </w:rPr>
        <w:noBreakHyphen/>
        <w:t>мм батальонные пушки Курчевского (БПК) также имели ряд недостатков. Их бронепробиваемость была в 2 с лишним раза хуже, поэтому для борьбы с танками они были фактически бесполезны. 76</w:t>
      </w:r>
      <w:r w:rsidRPr="0044524F">
        <w:rPr>
          <w:color w:val="000000" w:themeColor="text1"/>
          <w:sz w:val="16"/>
          <w:szCs w:val="16"/>
        </w:rPr>
        <w:noBreakHyphen/>
        <w:t>мм авиационная пушка Курчевского (АПК</w:t>
      </w:r>
      <w:r w:rsidRPr="0044524F">
        <w:rPr>
          <w:color w:val="000000" w:themeColor="text1"/>
          <w:sz w:val="16"/>
          <w:szCs w:val="16"/>
        </w:rPr>
        <w:noBreakHyphen/>
        <w:t>4), принятая на вооружение НКО как основной и решающий образец для вооружения пушечных самолетов, была в числе других систем Курчевского поставлена на массовое производство в 1934 г. на заводе № 7, однако, уже в начале 1936 г. стало ясно, что эта пушка небоеспособна. Вместо пушки Курчевского предлагалось взять на вооружение 20</w:t>
      </w:r>
      <w:r w:rsidRPr="0044524F">
        <w:rPr>
          <w:color w:val="000000" w:themeColor="text1"/>
          <w:sz w:val="16"/>
          <w:szCs w:val="16"/>
        </w:rPr>
        <w:noBreakHyphen/>
        <w:t>мм автоматическую пушку Шпитального. (АП РФ. Ф. 3. Оп. 46. Д. 337. Л. 53</w:t>
      </w:r>
      <w:r w:rsidRPr="0044524F">
        <w:rPr>
          <w:color w:val="000000" w:themeColor="text1"/>
          <w:sz w:val="16"/>
          <w:szCs w:val="16"/>
        </w:rPr>
        <w:noBreakHyphen/>
        <w:t>56; РГАЭ. Ф. 7297. Оп. 38. Д. 246. Л. 192</w:t>
      </w:r>
      <w:r w:rsidRPr="0044524F">
        <w:rPr>
          <w:color w:val="000000" w:themeColor="text1"/>
          <w:sz w:val="16"/>
          <w:szCs w:val="16"/>
        </w:rPr>
        <w:noBreakHyphen/>
        <w:t>195)</w:t>
      </w:r>
    </w:p>
    <w:p w14:paraId="38D3DDB5"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⁴* Штатная норма 34 орудия не обеспечена (</w:t>
      </w:r>
      <w:r w:rsidRPr="0044524F">
        <w:rPr>
          <w:rStyle w:val="af0"/>
          <w:i w:val="0"/>
          <w:color w:val="000000" w:themeColor="text1"/>
          <w:sz w:val="16"/>
          <w:szCs w:val="16"/>
        </w:rPr>
        <w:t>Прим. док</w:t>
      </w:r>
      <w:r w:rsidRPr="0044524F">
        <w:rPr>
          <w:color w:val="000000" w:themeColor="text1"/>
          <w:sz w:val="16"/>
          <w:szCs w:val="16"/>
        </w:rPr>
        <w:t>.).</w:t>
      </w:r>
    </w:p>
    <w:p w14:paraId="32ED37A8"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⁵* Рядом вписаны от руки цифры: 66 и 82.</w:t>
      </w:r>
    </w:p>
    <w:p w14:paraId="517CE5C5" w14:textId="77777777" w:rsidR="00FB1B8C" w:rsidRPr="0044524F" w:rsidRDefault="00FB1B8C" w:rsidP="009654CF">
      <w:pPr>
        <w:pStyle w:val="rtejustify"/>
        <w:spacing w:before="0" w:after="0"/>
        <w:rPr>
          <w:color w:val="000000" w:themeColor="text1"/>
          <w:sz w:val="16"/>
          <w:szCs w:val="16"/>
        </w:rPr>
      </w:pPr>
      <w:r w:rsidRPr="0044524F">
        <w:rPr>
          <w:color w:val="000000" w:themeColor="text1"/>
          <w:sz w:val="16"/>
          <w:szCs w:val="16"/>
        </w:rPr>
        <w:t>⁶* Приложение не публикуется. Принятое постановление см. документ № 45.</w:t>
      </w:r>
    </w:p>
    <w:p w14:paraId="3F87AA2E" w14:textId="77777777" w:rsidR="00FB1B8C" w:rsidRPr="0044524F" w:rsidRDefault="00FB1B8C" w:rsidP="009654CF">
      <w:pPr>
        <w:pStyle w:val="ae"/>
        <w:spacing w:before="0" w:after="0"/>
        <w:jc w:val="both"/>
        <w:rPr>
          <w:color w:val="000000" w:themeColor="text1"/>
          <w:sz w:val="16"/>
          <w:szCs w:val="16"/>
        </w:rPr>
      </w:pPr>
      <w:r w:rsidRPr="0044524F">
        <w:rPr>
          <w:color w:val="000000" w:themeColor="text1"/>
          <w:sz w:val="16"/>
          <w:szCs w:val="16"/>
        </w:rPr>
        <w:t>ГА РФ. Ф. Р-8418. Оп. 9. Д. 15. Л. 65-71. Подлинник (15276).</w:t>
      </w:r>
    </w:p>
    <w:p w14:paraId="52988AF7" w14:textId="77777777" w:rsidR="00FB1B8C" w:rsidRPr="0044524F" w:rsidRDefault="00FB1B8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1800EB" w14:textId="77777777" w:rsidR="00F722E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0E81362" w14:textId="77777777" w:rsidR="00F722EC" w:rsidRPr="0044524F" w:rsidRDefault="00F722E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23C7289" w14:textId="77777777" w:rsidR="00F722EC" w:rsidRPr="0044524F" w:rsidRDefault="00F722EC" w:rsidP="009654CF">
      <w:pPr>
        <w:spacing w:after="0" w:line="240" w:lineRule="auto"/>
        <w:jc w:val="both"/>
        <w:rPr>
          <w:rStyle w:val="ucoz-forum-post"/>
          <w:rFonts w:ascii="Times New Roman" w:hAnsi="Times New Roman"/>
          <w:color w:val="000000" w:themeColor="text1"/>
          <w:sz w:val="16"/>
          <w:szCs w:val="16"/>
        </w:rPr>
      </w:pPr>
      <w:r w:rsidRPr="0044524F">
        <w:rPr>
          <w:rStyle w:val="ucoz-forum-post"/>
          <w:rFonts w:ascii="Times New Roman" w:hAnsi="Times New Roman"/>
          <w:color w:val="000000" w:themeColor="text1"/>
          <w:sz w:val="16"/>
          <w:szCs w:val="16"/>
        </w:rPr>
        <w:t>10 августа 1933 года пароход, провожаемый тысячной толпой, отошел от набережной Мурманска. «Челюскин» должен был повторить подвиг «Сибирякова», впервые в истории мореплавания прошедшего за одну летнюю навигацию из Белого моря в Тихий океан. Он должен был стать проверкой проходимости Северного морского пути не только ледоколами, но и транспортными кораблями. Возглавил экспедицию знаменитый полярный исследователь Отто Юльевич Шмидт.</w:t>
      </w:r>
    </w:p>
    <w:p w14:paraId="1402ED1B" w14:textId="77777777" w:rsidR="00F722EC" w:rsidRPr="0044524F" w:rsidRDefault="00F722EC" w:rsidP="009654CF">
      <w:pPr>
        <w:spacing w:after="0" w:line="240" w:lineRule="auto"/>
        <w:jc w:val="both"/>
        <w:rPr>
          <w:rStyle w:val="ucoz-forum-post"/>
          <w:rFonts w:ascii="Times New Roman" w:hAnsi="Times New Roman"/>
          <w:color w:val="000000" w:themeColor="text1"/>
          <w:sz w:val="16"/>
          <w:szCs w:val="16"/>
        </w:rPr>
      </w:pPr>
      <w:r w:rsidRPr="0044524F">
        <w:rPr>
          <w:rStyle w:val="ucoz-forum-post"/>
          <w:rFonts w:ascii="Times New Roman" w:hAnsi="Times New Roman"/>
          <w:color w:val="000000" w:themeColor="text1"/>
          <w:sz w:val="16"/>
          <w:szCs w:val="16"/>
        </w:rPr>
        <w:t>Поначалу плавание шло успешно. Пароход прошел весь маршрут, вошел в Берингов пролив и 7 ноября дал в Москву приветственную радиограмму. Но в проливе началось движение льдов в обратную сторону, и «Челюскин» снова оказался в Чукотском море. Получив повреждения, пароход вмерз в большую льдину и несколько месяцев дрейфовал с ней.</w:t>
      </w:r>
    </w:p>
    <w:p w14:paraId="4F4ED7AF" w14:textId="77777777" w:rsidR="00F722EC" w:rsidRPr="0044524F" w:rsidRDefault="00F722EC" w:rsidP="009654CF">
      <w:pPr>
        <w:spacing w:after="0" w:line="240" w:lineRule="auto"/>
        <w:jc w:val="both"/>
        <w:rPr>
          <w:rStyle w:val="ucoz-forum-post"/>
          <w:rFonts w:ascii="Times New Roman" w:hAnsi="Times New Roman"/>
          <w:color w:val="000000" w:themeColor="text1"/>
          <w:sz w:val="16"/>
          <w:szCs w:val="16"/>
        </w:rPr>
      </w:pPr>
      <w:r w:rsidRPr="0044524F">
        <w:rPr>
          <w:rStyle w:val="ucoz-forum-post"/>
          <w:rFonts w:ascii="Times New Roman" w:hAnsi="Times New Roman"/>
          <w:color w:val="000000" w:themeColor="text1"/>
          <w:sz w:val="16"/>
          <w:szCs w:val="16"/>
        </w:rPr>
        <w:t>13 февраля 1934 года началось сильное сжатие льдов и «Челюскин» затонул.</w:t>
      </w:r>
    </w:p>
    <w:p w14:paraId="1EB53B3A" w14:textId="77777777" w:rsidR="00F722EC" w:rsidRPr="0044524F" w:rsidRDefault="00F722EC" w:rsidP="009654CF">
      <w:pPr>
        <w:spacing w:after="0" w:line="240" w:lineRule="auto"/>
        <w:jc w:val="both"/>
        <w:rPr>
          <w:rStyle w:val="ucoz-forum-post"/>
          <w:rFonts w:ascii="Times New Roman" w:hAnsi="Times New Roman"/>
          <w:color w:val="000000" w:themeColor="text1"/>
          <w:sz w:val="16"/>
          <w:szCs w:val="16"/>
        </w:rPr>
      </w:pPr>
      <w:r w:rsidRPr="0044524F">
        <w:rPr>
          <w:rStyle w:val="ucoz-forum-post"/>
          <w:rFonts w:ascii="Times New Roman" w:hAnsi="Times New Roman"/>
          <w:color w:val="000000" w:themeColor="text1"/>
          <w:sz w:val="16"/>
          <w:szCs w:val="16"/>
        </w:rPr>
        <w:t>На дрейфующий лед сошло 104 человека – среди них 10 женщин и двое маленьких детей. При высадке один человек погиб. В эфир ушла радиограмма: «13 февраля в 15 часов 30 минут в 155 милях от мыса Северного и в 144 милях от мыса Уэлен «Челюскин» затонул, раздавленный сжатием льдов...».</w:t>
      </w:r>
    </w:p>
    <w:p w14:paraId="29ADF411" w14:textId="77777777" w:rsidR="00F722EC" w:rsidRPr="0044524F" w:rsidRDefault="00F722EC" w:rsidP="009654CF">
      <w:pPr>
        <w:spacing w:after="0" w:line="240" w:lineRule="auto"/>
        <w:jc w:val="both"/>
        <w:rPr>
          <w:rStyle w:val="ucoz-forum-post"/>
          <w:rFonts w:ascii="Times New Roman" w:hAnsi="Times New Roman"/>
          <w:color w:val="000000" w:themeColor="text1"/>
          <w:sz w:val="16"/>
          <w:szCs w:val="16"/>
        </w:rPr>
      </w:pPr>
      <w:r w:rsidRPr="0044524F">
        <w:rPr>
          <w:rStyle w:val="ucoz-forum-post"/>
          <w:rFonts w:ascii="Times New Roman" w:hAnsi="Times New Roman"/>
          <w:color w:val="000000" w:themeColor="text1"/>
          <w:sz w:val="16"/>
          <w:szCs w:val="16"/>
        </w:rPr>
        <w:t>На следующий день Москва создала правительственную комиссию по спасению. Сначала решили пробиться к льдине на собачьих упряжках, но это не удалось. Осталась надежда на авиацию. Мир не верил в спасение челюскинцев. Западные газеты писали, что люди на льду обречены, и возбуждать в них надежды на спасение негуманно, это только усугубит их мучения. Датская «Политикен» заочно оплакивала Шмидта: «На льдине Отто Шмидт встретил врага, которого еще никто не мог победить. Он умер как герой, человек, чье имя будет жить среди завоевателей Северного Ледовитого океана».</w:t>
      </w:r>
    </w:p>
    <w:p w14:paraId="1178FB68" w14:textId="77777777" w:rsidR="00F722EC" w:rsidRPr="0044524F" w:rsidRDefault="00F722EC" w:rsidP="009654CF">
      <w:pPr>
        <w:spacing w:after="0" w:line="240" w:lineRule="auto"/>
        <w:jc w:val="both"/>
        <w:rPr>
          <w:rStyle w:val="ucoz-forum-post"/>
          <w:rFonts w:ascii="Times New Roman" w:hAnsi="Times New Roman"/>
          <w:color w:val="000000" w:themeColor="text1"/>
          <w:sz w:val="16"/>
          <w:szCs w:val="16"/>
        </w:rPr>
      </w:pPr>
      <w:r w:rsidRPr="0044524F">
        <w:rPr>
          <w:rStyle w:val="ucoz-forum-post"/>
          <w:rFonts w:ascii="Times New Roman" w:hAnsi="Times New Roman"/>
          <w:color w:val="000000" w:themeColor="text1"/>
          <w:sz w:val="16"/>
          <w:szCs w:val="16"/>
        </w:rPr>
        <w:t>Но летчики совершили невозможное: на легких самолетах они добрались до станции. Было ясно, но холодно – ниже 40 градусов. Люди ждали самолеты возле палатки, которую окрестили аэровокзалом. Летчики совершили более десятка рейсов и эвакуировали попавших в беду. Последними улетали с льдины Отто Шмидт и капитан ледокола Владимир Воронин.</w:t>
      </w:r>
    </w:p>
    <w:p w14:paraId="69518657" w14:textId="77777777" w:rsidR="00F722EC" w:rsidRPr="0044524F" w:rsidRDefault="00F722EC" w:rsidP="009654CF">
      <w:pPr>
        <w:spacing w:after="0" w:line="240" w:lineRule="auto"/>
        <w:jc w:val="both"/>
        <w:rPr>
          <w:rStyle w:val="ucoz-forum-post"/>
          <w:rFonts w:ascii="Times New Roman" w:hAnsi="Times New Roman"/>
          <w:color w:val="000000" w:themeColor="text1"/>
          <w:sz w:val="16"/>
          <w:szCs w:val="16"/>
        </w:rPr>
      </w:pPr>
      <w:r w:rsidRPr="0044524F">
        <w:rPr>
          <w:rStyle w:val="ucoz-forum-post"/>
          <w:rFonts w:ascii="Times New Roman" w:hAnsi="Times New Roman"/>
          <w:color w:val="000000" w:themeColor="text1"/>
          <w:sz w:val="16"/>
          <w:szCs w:val="16"/>
        </w:rPr>
        <w:lastRenderedPageBreak/>
        <w:t>13 апреля 1934 года ледовый лагерь перестал существовать. 20 апреля был издан указ о присвоении летчикам званий Героя Советского Союза. Анатолий Ляпидевский, Сигизмунд Леваневский, Маврикий Слепнев, Николай Каманин, Василий Молоков, Иван Доронин и Михаил Водопьянов были первыми, у кого на груди засверкала Золотая Звезда (15039).</w:t>
      </w:r>
    </w:p>
    <w:p w14:paraId="779BB555" w14:textId="77777777" w:rsidR="00F722EC" w:rsidRPr="0044524F" w:rsidRDefault="00F722EC" w:rsidP="009654CF">
      <w:pPr>
        <w:spacing w:after="0" w:line="240" w:lineRule="auto"/>
        <w:jc w:val="both"/>
        <w:rPr>
          <w:rStyle w:val="ucoz-forum-post"/>
          <w:rFonts w:ascii="Times New Roman" w:hAnsi="Times New Roman"/>
          <w:color w:val="000000" w:themeColor="text1"/>
          <w:sz w:val="16"/>
          <w:szCs w:val="16"/>
        </w:rPr>
      </w:pPr>
    </w:p>
    <w:p w14:paraId="6025ABE7" w14:textId="77777777" w:rsidR="00416641" w:rsidRPr="0044524F" w:rsidRDefault="00416641"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10 августа 1933, с запозданием в двадцать дней, «Челюскин» вышел в море, но спустя всего два дня О.Ю. Шмидту пришлось послать в Москву тревожную телеграмму: «Сам корпус судна слабее, чем предполагали. Удары льдин причинили носовой части корпуса повреждения в виде вмятин, срезаны также несколько заклепок». Через неделю вновь пришлось сообщить: «Прочность корпуса как общая, так местная недостаточна и для данного рейса не пригодна. Превышение 115 оборотов машины вызывает общую вибрацию корпуса, особенно заметную в районе 94 шпангоута… Управляемость на малых ходах плохая, затрудняет работу во льдах» (20467).</w:t>
      </w:r>
    </w:p>
    <w:p w14:paraId="2040B089" w14:textId="77777777" w:rsidR="00416641" w:rsidRPr="0044524F" w:rsidRDefault="00416641" w:rsidP="009654CF">
      <w:pPr>
        <w:spacing w:after="0" w:line="240" w:lineRule="auto"/>
        <w:jc w:val="both"/>
        <w:rPr>
          <w:rFonts w:ascii="Times New Roman" w:hAnsi="Times New Roman"/>
          <w:color w:val="000000" w:themeColor="text1"/>
          <w:sz w:val="16"/>
          <w:szCs w:val="16"/>
        </w:rPr>
      </w:pPr>
    </w:p>
    <w:p w14:paraId="4B1C2960" w14:textId="77777777" w:rsidR="00645745" w:rsidRPr="00142305" w:rsidRDefault="00645745" w:rsidP="006457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10 августа 1933 г. (в преддверии полярной зимы) с опо</w:t>
      </w:r>
      <w:r w:rsidRPr="00142305">
        <w:rPr>
          <w:rStyle w:val="aff"/>
          <w:rFonts w:ascii="Times New Roman" w:hAnsi="Times New Roman" w:cs="Times New Roman"/>
          <w:color w:val="0070C0"/>
          <w:spacing w:val="0"/>
          <w:sz w:val="16"/>
          <w:szCs w:val="16"/>
        </w:rPr>
        <w:softHyphen/>
        <w:t>зданием на 20 суток «Челюскин» вышел из Мурманска. Уже через пять суток в Карском море перегруженный па</w:t>
      </w:r>
      <w:r w:rsidRPr="00142305">
        <w:rPr>
          <w:rStyle w:val="aff"/>
          <w:rFonts w:ascii="Times New Roman" w:hAnsi="Times New Roman" w:cs="Times New Roman"/>
          <w:color w:val="0070C0"/>
          <w:spacing w:val="0"/>
          <w:sz w:val="16"/>
          <w:szCs w:val="16"/>
        </w:rPr>
        <w:softHyphen/>
        <w:t>роход (он взял «лишнюю» тысячу тони угля для ледокола «Красин») получил течь в носовой части, были повреждены 12 шпангоутов и срезаны три десятка заклёпок, в четырёх местах оказались вмятины, судно стало плохо слушаться рулей. Пришлось ремонтироваться на ходу и перегрузить часть угля на подоспевший «Красин».</w:t>
      </w:r>
    </w:p>
    <w:p w14:paraId="126C29CF" w14:textId="77777777" w:rsidR="00645745" w:rsidRPr="00142305" w:rsidRDefault="00645745" w:rsidP="006457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Зная, что от мнения капитана парохода В.И. Воронина зависит многое, нилот М.С. Бабушкин решил приобщить его к полётам, от чего тот раньше категорически отказывался. Когда авиаторы предлагали ему подняться в воздух, он всег</w:t>
      </w:r>
      <w:r w:rsidRPr="00142305">
        <w:rPr>
          <w:rStyle w:val="aff"/>
          <w:rFonts w:ascii="Times New Roman" w:hAnsi="Times New Roman" w:cs="Times New Roman"/>
          <w:color w:val="0070C0"/>
          <w:spacing w:val="0"/>
          <w:sz w:val="16"/>
          <w:szCs w:val="16"/>
        </w:rPr>
        <w:softHyphen/>
        <w:t xml:space="preserve">да находил предлог, чтобы увильнуть. </w:t>
      </w:r>
      <w:r w:rsidRPr="00142305">
        <w:rPr>
          <w:rStyle w:val="aff"/>
          <w:rFonts w:ascii="Times New Roman" w:hAnsi="Times New Roman" w:cs="Times New Roman"/>
          <w:color w:val="0070C0"/>
          <w:spacing w:val="0"/>
          <w:sz w:val="16"/>
          <w:szCs w:val="16"/>
          <w:lang w:val="en-US"/>
        </w:rPr>
        <w:t>B</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 xml:space="preserve"> I. Воронин отнюдь не боялся, по считал полёты в Арктике детской забавой. В тот день полетел сам капитан и оценил возможности, даваемые самолетом (25653).</w:t>
      </w:r>
    </w:p>
    <w:p w14:paraId="5A8CAD2F" w14:textId="77777777" w:rsidR="00645745" w:rsidRPr="00142305" w:rsidRDefault="00645745" w:rsidP="00645745">
      <w:pPr>
        <w:spacing w:after="0" w:line="240" w:lineRule="auto"/>
        <w:jc w:val="both"/>
        <w:rPr>
          <w:rFonts w:ascii="Times New Roman" w:hAnsi="Times New Roman"/>
          <w:color w:val="0070C0"/>
          <w:sz w:val="16"/>
          <w:szCs w:val="16"/>
        </w:rPr>
      </w:pPr>
    </w:p>
    <w:p w14:paraId="2B887624"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D290B16"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A9B13D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НИИ ВВС выдал ТТ на военный вариант ХАИ-1 - ЛБМ-22ХАИ. Хотели 200-400 кг бомб и скорость 280 км/ч (1148,27).</w:t>
      </w:r>
    </w:p>
    <w:p w14:paraId="4A544E68"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4653E430" w14:textId="77777777" w:rsidR="001C2E3A" w:rsidRPr="0044524F" w:rsidRDefault="001C2E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года НИИ-ВВС были выданы технические требования на военный вариант ХАИ-1, в которых говорилось, что новый самолет должен использоваться в качестве вооруженного двухместного фоторазведчика и легкого бомбардировщика на 200–400 кг бомб со следующими характеристиками: с нормальной полной нагрузкой 900 кг максимальная скорость у земли 280 км/час, время подъема на высоту 5000 м — 25 мин, потолок — 6800 м, дальность полета — 820 км (при перегрузке — до 1410 км) (24250).</w:t>
      </w:r>
    </w:p>
    <w:p w14:paraId="1B65DB02" w14:textId="77777777" w:rsidR="001C2E3A" w:rsidRPr="0044524F" w:rsidRDefault="001C2E3A" w:rsidP="009654CF">
      <w:pPr>
        <w:spacing w:after="0" w:line="240" w:lineRule="auto"/>
        <w:jc w:val="both"/>
        <w:rPr>
          <w:rFonts w:ascii="Times New Roman" w:hAnsi="Times New Roman"/>
          <w:color w:val="000000" w:themeColor="text1"/>
          <w:sz w:val="16"/>
          <w:szCs w:val="16"/>
        </w:rPr>
      </w:pPr>
    </w:p>
    <w:p w14:paraId="1F50D3E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состоялось совещание ТТЭС по рассмотрению плана внедрения в производство на заводе 21 самолета ХАИ (2291,272).</w:t>
      </w:r>
    </w:p>
    <w:p w14:paraId="7ADF3DB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61501AD4"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С.П.К. вместе с Я.М. Терентьевым сообщил в ЦС ОХА и УВИ результаты работы комиссии по разработке трудов Ф.А. Цандера, выполняемой согласно постановлению ЦС ОХА от 13 мая 1933 г. (ЦГАОР, ф. 8355, № 7-3, л. 243) (10676).</w:t>
      </w:r>
    </w:p>
    <w:p w14:paraId="5922266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0E294DF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первая попытка запуска ГИРД-Р-1 (09), вторая — 13 августа, обе неудачные. Успешный запуск ракеты состоялся 17 августа, однако из-за негерметичности одного из фланцев двигателя нормальный полет продолжался до высоты около 400 м. Были еще две неудачные попытки запуска ракеты — 5 и 6 ноября. Дальнейшие работы по ракете не планировались (10676).</w:t>
      </w:r>
    </w:p>
    <w:p w14:paraId="61A1985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0F5DE247"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FBE78C4"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92BA8CE"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г. была принята система бронетанкового вооружения на вторую пятилетку, согласно которой первостепенной задачей определялось увеличение подвижности, при этом приоритетным направлением достижения поставленной задачи считались разработка колесно-гусеничных боевых машин и их дальнейшее совершенствование (12137).</w:t>
      </w:r>
    </w:p>
    <w:p w14:paraId="4AF7CA1E" w14:textId="77777777" w:rsidR="006A4DAE" w:rsidRPr="0044524F" w:rsidRDefault="006A4DAE" w:rsidP="009654CF">
      <w:pPr>
        <w:spacing w:after="0" w:line="240" w:lineRule="auto"/>
        <w:jc w:val="both"/>
        <w:rPr>
          <w:rFonts w:ascii="Times New Roman" w:hAnsi="Times New Roman"/>
          <w:color w:val="000000" w:themeColor="text1"/>
          <w:sz w:val="16"/>
          <w:szCs w:val="16"/>
        </w:rPr>
      </w:pPr>
    </w:p>
    <w:p w14:paraId="1F11AE3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был принят на вооружение танк Т-37, разработанный в ОКМО, однако, серийно он не производился (3547).</w:t>
      </w:r>
    </w:p>
    <w:p w14:paraId="0455ABE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65B1A087"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был принят на вооружение танк Т-28 (3547).</w:t>
      </w:r>
    </w:p>
    <w:p w14:paraId="6A68376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3B234F6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года танк Т-28 был принят на вооружение мотомеханизированных войск РККА. Заказ РККА на 1933 год составлял 90 танков, однако в войска была сдана только 41 машина. Т-28 производился в течение восьми лет, и всего за это время было выпущено 503 танка. Серийный Т-28 существенно отличался от прототипа. При сохранении общей компоновки и схемы расположения башен существенным изменениям подвергся корпус, конструкция которого стала сварной. В главной башне измененной формы с развитой кормовой нишей, вместо 45-мм установили 76,2-мм пушку. Подверглись усовершенствованию ходовая часть и моторно-трансмиссионное отделение. Танк Т-28 производился несколькими сериями. Начиная со второй серии, в конструкцию танка вносились многочисленные (более 600) изменения. Вместе с тем, крупных модернизаций, сильно затронувших боевые характеристики танка, было только три (3862).</w:t>
      </w:r>
    </w:p>
    <w:p w14:paraId="54A8FC9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отметить, что в процессе серийного производства удалось достигнуть высокой степени унификации с тяжелым танком Т-35. Например, главная башня (как цилиндрической, так и конической формы) и пулеметные башни на обоих типах машин были одинаковые. Первоначально, танк вооружался 76,2-мм танковой пушкой КТ ("Кировская танковая" - КТ-28) обр.1927/32 года, в установке которой использовалась качающаяся часть 76,2-мм полковой пушки образца 1927 года (3862).</w:t>
      </w:r>
    </w:p>
    <w:p w14:paraId="71EF7AE8"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Малые башни вооружались одним пулеметом ДТ в шаровой установке. Каждая башня могла вращаться от упора в стенку кабины механика-водителя до упора в стенку корпуса танка, горизонтальный угол обстрела при этом составлял 165° (3862).</w:t>
      </w:r>
    </w:p>
    <w:p w14:paraId="0B4B03C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танках последних серий на люке наводчика появилась зенитная турельная установка П-40 с пулеметом ДТ, снабженным коллиматорным прицелом для стрельбы по воздушным целям (3862).</w:t>
      </w:r>
    </w:p>
    <w:p w14:paraId="57DBC52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целом конструкцию танка Т-28 можно признать достаточно совершенной для своего времени. Состав и расположение вооружения, применительно к идее многобашенной компоновки, были оптимальными. Три башни, размещенные в два яруса, при независимом их управлении обеспечивали эффективное сопровождение пехоты массированным огнем, который мог управляться и корректироваться одним командиром (чего не скажешь о Т-35, пятью башнями которого управлять в бою одному командиру было физически невозможно) (3862).</w:t>
      </w:r>
    </w:p>
    <w:p w14:paraId="2526377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Вместе с тем, танк имел и существенные недостатки, особенно в системах двигателя и трансмиссии. Быстро изнашивалась и ходовая часть: лопались рессоры, выходили из строя детали подвески, ломались шестерни бортовых передач. Танки с трудом проходили приемосдаточный пробег, а затем на завод начинали поступать рекламации из войск. Несмотря на ряд переделок и улучшений - усиление амортизаторов ходовых тележек, применение опорных катков с внутренней амортизацией, постоянное совершенствование агрегатов двигателя и трансмиссии - недостатки полностью устранить не удалось. Во многом это было связано как со скудной агрегатной базой, так и с достаточно низкой технологией изготовления. Не сразу были готовы к приему столь сложных боевых машин и войска (3862).</w:t>
      </w:r>
    </w:p>
    <w:p w14:paraId="4629A33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46678BE3"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 19 августа и 4 сентября 1933 имущество объекта Кама ушло из Казани. 6 сентября никого из «друзей» на месте не осталось (10733,127).</w:t>
      </w:r>
    </w:p>
    <w:p w14:paraId="0D6E5690"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F25128" w14:textId="77777777" w:rsidR="00645745" w:rsidRPr="00142305" w:rsidRDefault="00645745" w:rsidP="00645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11 августа 1933 г. из Казани в Ленинград отправился первый транспорт с имуществом «друзей». В его составе было 4 больших и 2 малых «трактора». Далее имущество было отправлено морским путем через Ленинградский порт (25184).</w:t>
      </w:r>
    </w:p>
    <w:p w14:paraId="78206F07" w14:textId="77777777" w:rsidR="00645745" w:rsidRPr="00142305" w:rsidRDefault="00645745" w:rsidP="00645745">
      <w:pPr>
        <w:spacing w:after="0" w:line="240" w:lineRule="auto"/>
        <w:jc w:val="both"/>
        <w:rPr>
          <w:rFonts w:ascii="Times New Roman" w:hAnsi="Times New Roman"/>
          <w:color w:val="0070C0"/>
          <w:sz w:val="16"/>
          <w:szCs w:val="16"/>
        </w:rPr>
      </w:pPr>
    </w:p>
    <w:p w14:paraId="489BDDE4" w14:textId="2DA186C0" w:rsidR="001C2E3A" w:rsidRPr="0044524F" w:rsidRDefault="001C2E3A"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6EAF9B88" w14:textId="77777777" w:rsidR="001C2E3A" w:rsidRPr="0044524F" w:rsidRDefault="001C2E3A"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61EE963B" w14:textId="77777777" w:rsidR="001C2E3A" w:rsidRPr="0044524F" w:rsidRDefault="001C2E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года из Воронежа на ДВ стартовала 43-я аэ 11-й тбаб (командир Карклин). Поначалу местом базирования указывалось Бочкарево, однако уже на маршруте, в Омске, было ука</w:t>
      </w:r>
      <w:r w:rsidRPr="0044524F">
        <w:rPr>
          <w:rFonts w:ascii="Times New Roman" w:hAnsi="Times New Roman"/>
          <w:color w:val="000000" w:themeColor="text1"/>
          <w:sz w:val="16"/>
          <w:szCs w:val="16"/>
        </w:rPr>
        <w:softHyphen/>
        <w:t>зано новое место базирования — аэродром Домна (25 км от Читы). 17 сентября 1933 года последняя, 44-я авиаэскадрилья приземлилась в Домне.</w:t>
      </w:r>
    </w:p>
    <w:p w14:paraId="19064FF2" w14:textId="77777777" w:rsidR="001C2E3A" w:rsidRPr="0044524F" w:rsidRDefault="001C2E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11-я тбаб в составе 41-, 42-, 43-, 44-й тбаэ начала готовиться к перелету позднее всех, так как в июне-июле шло перевооружение с ТБ-1 на ТБ-3, обучение и облет машин. Месяц дово</w:t>
      </w:r>
      <w:r w:rsidRPr="0044524F">
        <w:rPr>
          <w:rFonts w:ascii="Times New Roman" w:hAnsi="Times New Roman"/>
          <w:color w:val="000000" w:themeColor="text1"/>
          <w:sz w:val="16"/>
          <w:szCs w:val="16"/>
        </w:rPr>
        <w:softHyphen/>
        <w:t>дили технику, т.к. не все самолеты были новые. Один ТБ-3 из этой группы был постройки 39-го за</w:t>
      </w:r>
      <w:r w:rsidRPr="0044524F">
        <w:rPr>
          <w:rFonts w:ascii="Times New Roman" w:hAnsi="Times New Roman"/>
          <w:color w:val="000000" w:themeColor="text1"/>
          <w:sz w:val="16"/>
          <w:szCs w:val="16"/>
        </w:rPr>
        <w:softHyphen/>
        <w:t>вода — №3910, остальные все — 22-го завода. Всего насчитывалось 48 самолетов.</w:t>
      </w:r>
    </w:p>
    <w:p w14:paraId="2235A9B8" w14:textId="77777777" w:rsidR="001C2E3A" w:rsidRPr="0044524F" w:rsidRDefault="001C2E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в августе погода оценивалась хуже, однако 11-я бригада перелетела наиболее благополучно — имелось всего две вынужденных посадки: одна про</w:t>
      </w:r>
      <w:r w:rsidRPr="0044524F">
        <w:rPr>
          <w:rFonts w:ascii="Times New Roman" w:hAnsi="Times New Roman"/>
          <w:color w:val="000000" w:themeColor="text1"/>
          <w:sz w:val="16"/>
          <w:szCs w:val="16"/>
        </w:rPr>
        <w:softHyphen/>
        <w:t>изошла вне аэродрома, но без поломок. За все время произошло 4 замены двигателей.</w:t>
      </w:r>
    </w:p>
    <w:p w14:paraId="7FBCB129" w14:textId="77777777" w:rsidR="001C2E3A" w:rsidRPr="0044524F" w:rsidRDefault="001C2E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в 1933 г. перелетели 12+11+49+48=120 ТБ-3. (37)</w:t>
      </w:r>
    </w:p>
    <w:p w14:paraId="04E57061" w14:textId="77777777" w:rsidR="001C2E3A" w:rsidRPr="0044524F" w:rsidRDefault="001C2E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Таким образом, в 1932-1933 годах на Дальний Вос</w:t>
      </w:r>
      <w:r w:rsidRPr="0044524F">
        <w:rPr>
          <w:rFonts w:ascii="Times New Roman" w:hAnsi="Times New Roman"/>
          <w:color w:val="000000" w:themeColor="text1"/>
          <w:sz w:val="16"/>
          <w:szCs w:val="16"/>
        </w:rPr>
        <w:softHyphen/>
        <w:t>ток перелетели 120 тяжелых бомбардировщиков ТБ- 3. Они действительно значительно усилили нашу авиационную группировку перед японцами. Кроме того, в этот период в состав Морских сил Дальнего Востока вступил в строй дивизион торпедных кате</w:t>
      </w:r>
      <w:r w:rsidRPr="0044524F">
        <w:rPr>
          <w:rFonts w:ascii="Times New Roman" w:hAnsi="Times New Roman"/>
          <w:color w:val="000000" w:themeColor="text1"/>
          <w:sz w:val="16"/>
          <w:szCs w:val="16"/>
        </w:rPr>
        <w:softHyphen/>
        <w:t>ров и прибыли 8 подводных лодок. То есть задуман</w:t>
      </w:r>
      <w:r w:rsidRPr="0044524F">
        <w:rPr>
          <w:rFonts w:ascii="Times New Roman" w:hAnsi="Times New Roman"/>
          <w:color w:val="000000" w:themeColor="text1"/>
          <w:sz w:val="16"/>
          <w:szCs w:val="16"/>
        </w:rPr>
        <w:softHyphen/>
        <w:t>ная сила для обороны дальневосточных морских гра</w:t>
      </w:r>
      <w:r w:rsidRPr="0044524F">
        <w:rPr>
          <w:rFonts w:ascii="Times New Roman" w:hAnsi="Times New Roman"/>
          <w:color w:val="000000" w:themeColor="text1"/>
          <w:sz w:val="16"/>
          <w:szCs w:val="16"/>
        </w:rPr>
        <w:softHyphen/>
        <w:t>ниц СССР появилась (23378).</w:t>
      </w:r>
    </w:p>
    <w:p w14:paraId="7114DDBA" w14:textId="77777777" w:rsidR="001C2E3A" w:rsidRPr="0044524F" w:rsidRDefault="001C2E3A" w:rsidP="009654CF">
      <w:pPr>
        <w:spacing w:after="0" w:line="240" w:lineRule="auto"/>
        <w:jc w:val="both"/>
        <w:rPr>
          <w:rFonts w:ascii="Times New Roman" w:hAnsi="Times New Roman"/>
          <w:color w:val="000000" w:themeColor="text1"/>
          <w:sz w:val="16"/>
          <w:szCs w:val="16"/>
        </w:rPr>
      </w:pPr>
    </w:p>
    <w:p w14:paraId="5CFB96A5" w14:textId="1E9C5683"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ACF2AF5"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8AFCBE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была введена в строй первая домна Азовстали в Мариуполе (3481).</w:t>
      </w:r>
    </w:p>
    <w:p w14:paraId="4B2D262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1E1E18A3" w14:textId="77777777" w:rsidR="00EA298A" w:rsidRPr="0044524F" w:rsidRDefault="00EA29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на Мариупольском комбинате «Азовсталь» задута первая доменная печь (4962).</w:t>
      </w:r>
    </w:p>
    <w:p w14:paraId="03A3F6F7" w14:textId="77777777" w:rsidR="00EA298A" w:rsidRPr="0044524F" w:rsidRDefault="00EA29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461BB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11 и 17 августа 1933. Из протокола заседания Политбюро N 143, особая папка, 1933 г.</w:t>
      </w:r>
    </w:p>
    <w:p w14:paraId="50A278AC"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т. Ягоды </w:t>
      </w:r>
    </w:p>
    <w:p w14:paraId="03FC50F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Временно разрешить по делам о вооруженном бандитизме предоставить право судебным тройкам ПП ОГПУ Украины, СКК, НВК, Белоруссии, Казахстана, Урала и Западно-Сибирского края применять к организаторам и бандитскому активу высшую меру наказания (11652).</w:t>
      </w:r>
    </w:p>
    <w:p w14:paraId="01BB4F48"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09DD231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11 и 17 августа 1933. Из протокола заседания Политбюро N 143, особая папка, 1933 г.</w:t>
      </w:r>
    </w:p>
    <w:p w14:paraId="03973FF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ОГПУ </w:t>
      </w:r>
    </w:p>
    <w:p w14:paraId="5C7C8ED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Перевести немедленно в исправительно-трудовые лагеря ОГПУ всех без исключения осужденных судами на 2 года и выше (11652).</w:t>
      </w:r>
    </w:p>
    <w:p w14:paraId="3181266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42AA1A60"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2C2A520"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04584B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11 и 17 августа 1933. Из протокола заседания Политбюро N 143, особая папка, 1933 г.</w:t>
      </w:r>
    </w:p>
    <w:p w14:paraId="1600E38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 отпуске средств ВОКСу в 1933 г. </w:t>
      </w:r>
    </w:p>
    <w:p w14:paraId="3B26833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решение Валютной Комиссии — об отпуске в распоряжение Всесоюзного общества культурной связи с заграницей за счет резервного фонда СНК СССР 8000 рублей в инвалюте в виде дотации на заграничные расходы ВОКСа в 1933 г. (11652).</w:t>
      </w:r>
    </w:p>
    <w:p w14:paraId="4F84E3D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3826A466"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11 и 17 августа 1933. Из протокола заседания Политбюро N 143, особая папка, 1933 г.</w:t>
      </w:r>
    </w:p>
    <w:p w14:paraId="3D7DB45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Шейнмане </w:t>
      </w:r>
    </w:p>
    <w:p w14:paraId="1A7C854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возражать против предложения т. Озерского (торгпред СССР в Англии) о догрузке Шейнмана (отправленный на работу в Лондон бывший председатель правления Госбанка СССР) работой, а также увеличения ему жалованья на 10-15 фунтов стерлингов ежемесячно — с условием, что т. Розенгольц должен предложить Шейнману не вести антисоветских бесед (11652).</w:t>
      </w:r>
    </w:p>
    <w:p w14:paraId="3611276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7E565767" w14:textId="77777777" w:rsidR="00416641" w:rsidRPr="0044524F" w:rsidRDefault="00416641"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163F7AA" w14:textId="77777777" w:rsidR="00416641" w:rsidRPr="0044524F" w:rsidRDefault="0041664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7D906BE"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Boston-Maine Airways, будущая компания Northeast Airlines, становится контрактным перевозчиком National Airways (20802).</w:t>
      </w:r>
    </w:p>
    <w:p w14:paraId="1BE466B7" w14:textId="77777777" w:rsidR="00416641" w:rsidRPr="0044524F" w:rsidRDefault="00416641" w:rsidP="009654CF">
      <w:pPr>
        <w:spacing w:after="0" w:line="240" w:lineRule="auto"/>
        <w:jc w:val="both"/>
        <w:rPr>
          <w:rFonts w:ascii="Times New Roman" w:hAnsi="Times New Roman"/>
          <w:color w:val="000000" w:themeColor="text1"/>
          <w:sz w:val="16"/>
          <w:szCs w:val="16"/>
        </w:rPr>
      </w:pPr>
    </w:p>
    <w:p w14:paraId="24453D18"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августа 1933 состоялся первый полет Блерио 5190 (20802).</w:t>
      </w:r>
    </w:p>
    <w:p w14:paraId="0F45878E" w14:textId="77777777" w:rsidR="00416641" w:rsidRPr="0044524F" w:rsidRDefault="00416641" w:rsidP="009654CF">
      <w:pPr>
        <w:spacing w:after="0" w:line="240" w:lineRule="auto"/>
        <w:jc w:val="both"/>
        <w:rPr>
          <w:rFonts w:ascii="Times New Roman" w:hAnsi="Times New Roman"/>
          <w:color w:val="000000" w:themeColor="text1"/>
          <w:sz w:val="16"/>
          <w:szCs w:val="16"/>
        </w:rPr>
      </w:pPr>
    </w:p>
    <w:p w14:paraId="4B210F2E"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E50281C"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41F9030"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августа 1933 г. начальник ВВС РККА Я.И. Алкснис написал комиссару НИИ ВВС Зильберту записку. В ней он предложил советской делегации, на</w:t>
      </w:r>
      <w:r w:rsidRPr="0044524F">
        <w:rPr>
          <w:rFonts w:ascii="Times New Roman" w:hAnsi="Times New Roman"/>
          <w:color w:val="000000" w:themeColor="text1"/>
          <w:sz w:val="16"/>
          <w:szCs w:val="16"/>
        </w:rPr>
        <w:softHyphen/>
        <w:t>правлявшейся</w:t>
      </w:r>
      <w:r w:rsidRPr="0044524F">
        <w:rPr>
          <w:rFonts w:ascii="Times New Roman" w:hAnsi="Times New Roman"/>
          <w:color w:val="000000" w:themeColor="text1"/>
          <w:sz w:val="16"/>
          <w:szCs w:val="16"/>
          <w:vertAlign w:val="superscript"/>
        </w:rPr>
        <w:t>4</w:t>
      </w:r>
      <w:r w:rsidRPr="0044524F">
        <w:rPr>
          <w:rFonts w:ascii="Times New Roman" w:hAnsi="Times New Roman"/>
          <w:color w:val="000000" w:themeColor="text1"/>
          <w:sz w:val="16"/>
          <w:szCs w:val="16"/>
        </w:rPr>
        <w:t xml:space="preserve"> во Францию для перего</w:t>
      </w:r>
      <w:r w:rsidRPr="0044524F">
        <w:rPr>
          <w:rFonts w:ascii="Times New Roman" w:hAnsi="Times New Roman"/>
          <w:color w:val="000000" w:themeColor="text1"/>
          <w:sz w:val="16"/>
          <w:szCs w:val="16"/>
        </w:rPr>
        <w:softHyphen/>
        <w:t>воров с фирмой «Испано-Сюиза», «по</w:t>
      </w:r>
      <w:r w:rsidRPr="0044524F">
        <w:rPr>
          <w:rFonts w:ascii="Times New Roman" w:hAnsi="Times New Roman"/>
          <w:color w:val="000000" w:themeColor="text1"/>
          <w:sz w:val="16"/>
          <w:szCs w:val="16"/>
        </w:rPr>
        <w:softHyphen/>
        <w:t>путно» ознакомиться с «двухрядной звездой Гнома и Рона». Алкснис предпо</w:t>
      </w:r>
      <w:r w:rsidRPr="0044524F">
        <w:rPr>
          <w:rFonts w:ascii="Times New Roman" w:hAnsi="Times New Roman"/>
          <w:color w:val="000000" w:themeColor="text1"/>
          <w:sz w:val="16"/>
          <w:szCs w:val="16"/>
        </w:rPr>
        <w:softHyphen/>
        <w:t>лагал, что конструктивное сходство (на самом деле практически отсутствовав</w:t>
      </w:r>
      <w:r w:rsidRPr="0044524F">
        <w:rPr>
          <w:rFonts w:ascii="Times New Roman" w:hAnsi="Times New Roman"/>
          <w:color w:val="000000" w:themeColor="text1"/>
          <w:sz w:val="16"/>
          <w:szCs w:val="16"/>
        </w:rPr>
        <w:softHyphen/>
        <w:t>шее) позволит сравнительно легко ос</w:t>
      </w:r>
      <w:r w:rsidRPr="0044524F">
        <w:rPr>
          <w:rFonts w:ascii="Times New Roman" w:hAnsi="Times New Roman"/>
          <w:color w:val="000000" w:themeColor="text1"/>
          <w:sz w:val="16"/>
          <w:szCs w:val="16"/>
        </w:rPr>
        <w:softHyphen/>
        <w:t>воить новый двигатель на заводе №29, строившем до того по лицензии той же фирмы М-22 (Гном-Рон 9А «Юпитер»). Начальник ВВС предложил купить два-три образца для испытаний и 20-30 мо</w:t>
      </w:r>
      <w:r w:rsidRPr="0044524F">
        <w:rPr>
          <w:rFonts w:ascii="Times New Roman" w:hAnsi="Times New Roman"/>
          <w:color w:val="000000" w:themeColor="text1"/>
          <w:sz w:val="16"/>
          <w:szCs w:val="16"/>
        </w:rPr>
        <w:softHyphen/>
        <w:t>торов для опытных самолетов (10734,2).</w:t>
      </w:r>
    </w:p>
    <w:p w14:paraId="79EB6F5B"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81BE1E1"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августа 1933 была записка началь</w:t>
      </w:r>
      <w:r w:rsidRPr="0044524F">
        <w:rPr>
          <w:rFonts w:ascii="Times New Roman" w:hAnsi="Times New Roman"/>
          <w:color w:val="000000" w:themeColor="text1"/>
          <w:sz w:val="16"/>
          <w:szCs w:val="16"/>
        </w:rPr>
        <w:softHyphen/>
        <w:t>ника ВВС РККА Я.И. Алксниса комиссару НИИ ВВС Зильберту. В ней он предложил советской делегации, направлявшейся во Францию для переговоров с фирмой «Испано-Сюиза», «попутно» ознакомиться с «двухрядной звездой Гнома и Рона». Алкснис предполагал, что конструктивное сходство с М-22 (на самом деле практи</w:t>
      </w:r>
      <w:r w:rsidRPr="0044524F">
        <w:rPr>
          <w:rFonts w:ascii="Times New Roman" w:hAnsi="Times New Roman"/>
          <w:color w:val="000000" w:themeColor="text1"/>
          <w:sz w:val="16"/>
          <w:szCs w:val="16"/>
        </w:rPr>
        <w:softHyphen/>
        <w:t>чески отсутствовавшее) позволит сравнительно легко освоить новый дви</w:t>
      </w:r>
      <w:r w:rsidRPr="0044524F">
        <w:rPr>
          <w:rFonts w:ascii="Times New Roman" w:hAnsi="Times New Roman"/>
          <w:color w:val="000000" w:themeColor="text1"/>
          <w:sz w:val="16"/>
          <w:szCs w:val="16"/>
        </w:rPr>
        <w:softHyphen/>
        <w:t>гатель на заводе № 29. Начальник ВВС предложил купить два-три образца для испытаний и 20-30 моторов для опытных самолетов. В сентябре 1933 г. делегация советских моторостроителей, отбиравших об</w:t>
      </w:r>
      <w:r w:rsidRPr="0044524F">
        <w:rPr>
          <w:rFonts w:ascii="Times New Roman" w:hAnsi="Times New Roman"/>
          <w:color w:val="000000" w:themeColor="text1"/>
          <w:sz w:val="16"/>
          <w:szCs w:val="16"/>
        </w:rPr>
        <w:softHyphen/>
        <w:t>разцы двигателей для производства в СССР, отправилась во Францию. Руко</w:t>
      </w:r>
      <w:r w:rsidRPr="0044524F">
        <w:rPr>
          <w:rFonts w:ascii="Times New Roman" w:hAnsi="Times New Roman"/>
          <w:color w:val="000000" w:themeColor="text1"/>
          <w:sz w:val="16"/>
          <w:szCs w:val="16"/>
        </w:rPr>
        <w:softHyphen/>
        <w:t>водителем делегации являлся В.Я. Климов, ВВС представлял М.А. Левин. Двигатели фирмы «Гном-Рон» вызвали большой интерес у советских спе</w:t>
      </w:r>
      <w:r w:rsidRPr="0044524F">
        <w:rPr>
          <w:rFonts w:ascii="Times New Roman" w:hAnsi="Times New Roman"/>
          <w:color w:val="000000" w:themeColor="text1"/>
          <w:sz w:val="16"/>
          <w:szCs w:val="16"/>
        </w:rPr>
        <w:softHyphen/>
        <w:t>циалистов, причем не только двухрядный мотор типа 14К, о котором шла речь первоначально, но и менее мощный унифицированный с ним 9К. Их в первую очередь собирались ставить на бомбардировщики. 7 июня 1934 г. вышло специальное постановление Комитета обороны, предписывавшее Кли</w:t>
      </w:r>
      <w:r w:rsidRPr="0044524F">
        <w:rPr>
          <w:rFonts w:ascii="Times New Roman" w:hAnsi="Times New Roman"/>
          <w:color w:val="000000" w:themeColor="text1"/>
          <w:sz w:val="16"/>
          <w:szCs w:val="16"/>
        </w:rPr>
        <w:softHyphen/>
        <w:t>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 В итоге с фирмой «Гном-Рон» заключили соглашение о технической помощи в освоении двух двигателей семейства К: 9-цилиндровый 9К «Мистраль» и 14-цилиндровый 14К «Мистраль мажор». Первый получил советское обозначение М-75, второй — М-85 (ненадолго его переимено</w:t>
      </w:r>
      <w:r w:rsidRPr="0044524F">
        <w:rPr>
          <w:rFonts w:ascii="Times New Roman" w:hAnsi="Times New Roman"/>
          <w:color w:val="000000" w:themeColor="text1"/>
          <w:sz w:val="16"/>
          <w:szCs w:val="16"/>
        </w:rPr>
        <w:softHyphen/>
        <w:t>вали в М-70, а затем обратно в М-85). Договор предусматривал поставки комплектующих для первых серий двигателей, а также стажировку 15 со</w:t>
      </w:r>
      <w:r w:rsidRPr="0044524F">
        <w:rPr>
          <w:rFonts w:ascii="Times New Roman" w:hAnsi="Times New Roman"/>
          <w:color w:val="000000" w:themeColor="text1"/>
          <w:sz w:val="16"/>
          <w:szCs w:val="16"/>
        </w:rPr>
        <w:softHyphen/>
        <w:t>ветских инженеров на заводе «Гном-Рон» (11852).</w:t>
      </w:r>
    </w:p>
    <w:p w14:paraId="40B55D4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08C7BC18"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августа 1933 г. с записки начальника ВВС РККА Я.И. Алксниса комиссару НИИ ВВС Зильберту начиналась история появления в Советском Союзе французских моторов Гном-Рон 14К. В ней он предложил советской делегации, направлявшейся во Францию для переговоров с фирмой "Испано-Сюиза", "попутно" ознакомиться с "двухрядной звездой Гнома и Ро- GR 14Kdrs на". Алкснис предполагал, что конструктивное сходство (на самом деле практически отсутствовавшее) позволит сравнительно легко освоить новый двигатель на заводе №29, строившем до того по лицензии той же фирмы М-22 (Гном-Рон 9А "Юпитер"). Начальник ВВС предложил купить два-три образца для испытаний и 20-30 моторов для опытных самолетов (12021).</w:t>
      </w:r>
    </w:p>
    <w:p w14:paraId="718795A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7984CC3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августа 1933 начались первые облеты САМ-5 цельнометаллического А.С.Москалева на Воронежском аэродроме. Гос. испытания закончили в Москве в ноябре 1933 (2889,154).</w:t>
      </w:r>
    </w:p>
    <w:p w14:paraId="769BE5D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55CD9DC2"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августа 1933 был установлен мировой рекорд прыжка с наименьшей высоты - 80 м П.Балашев, выпрыгнув из У-2 приземлился на поле стадиона Динамо во время матча (271,134).</w:t>
      </w:r>
    </w:p>
    <w:p w14:paraId="4C29F2E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0058FA3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августа в 1933 году над стадионом "Динамо" в Москве парашютистом П.Балашевым установлен мировой рекорд в парашютном спорте - прыжок с парашютом с высоты всего лишь 80 м (14981).</w:t>
      </w:r>
    </w:p>
    <w:p w14:paraId="7084B9F8" w14:textId="77777777" w:rsidR="00871A0E" w:rsidRPr="0044524F" w:rsidRDefault="00871A0E" w:rsidP="009654CF">
      <w:pPr>
        <w:spacing w:after="0" w:line="240" w:lineRule="auto"/>
        <w:jc w:val="both"/>
        <w:rPr>
          <w:rFonts w:ascii="Times New Roman" w:hAnsi="Times New Roman"/>
          <w:color w:val="000000" w:themeColor="text1"/>
          <w:sz w:val="16"/>
          <w:szCs w:val="16"/>
        </w:rPr>
      </w:pPr>
    </w:p>
    <w:p w14:paraId="2EDF47B2"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6CE4F68"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34BAE08"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августа 1933 дала первый чугун доменная печь № 1 завода "Азовсталь". Строительство завода началось летом 1930 года. В том же году пущен первый сталеплавильный агрегат — мартеновская печь № 1 (21177).</w:t>
      </w:r>
    </w:p>
    <w:p w14:paraId="296021C7" w14:textId="77777777" w:rsidR="00416641" w:rsidRPr="0044524F" w:rsidRDefault="00416641" w:rsidP="009654CF">
      <w:pPr>
        <w:spacing w:after="0" w:line="240" w:lineRule="auto"/>
        <w:jc w:val="both"/>
        <w:rPr>
          <w:rFonts w:ascii="Times New Roman" w:hAnsi="Times New Roman"/>
          <w:color w:val="000000" w:themeColor="text1"/>
          <w:sz w:val="16"/>
          <w:szCs w:val="16"/>
        </w:rPr>
      </w:pPr>
    </w:p>
    <w:p w14:paraId="73C91727"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августа 1933, когда было готово заключение специалистов, осматривающих п/л Е1, строящуюся в Испании в 1932, выступило в силу заключенное в апреле 1933 соглашение с фактическим хозяином фирмы N.V.Ingenieurkantoor voor Scheepsbouw (IvS) - немецкой фирмой Дешимаг на проектирование средней п/л на лицензионных началах. Заказчиком выступала фирма Судоверфь. В условиях договора специально обговаривалось, что фирма-разработчик способствует размещению в Германии советских заказов на механизмы и некоторое оборудование для подводного судостроения. Проект получил советское обозначение - средняя п/л IX серии (4145,29).</w:t>
      </w:r>
    </w:p>
    <w:p w14:paraId="048A333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5A8EDB54" w14:textId="79D34BB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12 августа 1933, после завершения серии испытаний, показавших реальность гарантий, предоставляемых немецкой стороной, договор вступил в силу подписанный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апреле</w:t>
      </w:r>
      <w:hyperlink r:id="rId291" w:history="1">
        <w:r w:rsidRPr="0044524F">
          <w:rPr>
            <w:rStyle w:val="a5"/>
            <w:rFonts w:ascii="Times New Roman" w:hAnsi="Times New Roman"/>
            <w:color w:val="000000" w:themeColor="text1"/>
            <w:sz w:val="16"/>
            <w:szCs w:val="16"/>
          </w:rPr>
          <w:t> 1933 года </w:t>
        </w:r>
      </w:hyperlink>
      <w:hyperlink r:id="rId292" w:history="1">
        <w:r w:rsidRPr="0044524F">
          <w:rPr>
            <w:rStyle w:val="a5"/>
            <w:rFonts w:ascii="Times New Roman" w:hAnsi="Times New Roman"/>
            <w:color w:val="000000" w:themeColor="text1"/>
            <w:sz w:val="16"/>
            <w:szCs w:val="16"/>
          </w:rPr>
          <w:t>«Союзверфь»</w:t>
        </w:r>
      </w:hyperlink>
      <w:r w:rsidRPr="0044524F">
        <w:rPr>
          <w:rFonts w:ascii="Times New Roman" w:hAnsi="Times New Roman"/>
          <w:color w:val="000000" w:themeColor="text1"/>
          <w:sz w:val="16"/>
          <w:szCs w:val="16"/>
        </w:rPr>
        <w:t> и </w:t>
      </w:r>
      <w:hyperlink r:id="rId293" w:history="1">
        <w:r w:rsidRPr="0044524F">
          <w:rPr>
            <w:rStyle w:val="a5"/>
            <w:rFonts w:ascii="Times New Roman" w:hAnsi="Times New Roman"/>
            <w:color w:val="000000" w:themeColor="text1"/>
            <w:sz w:val="16"/>
            <w:szCs w:val="16"/>
          </w:rPr>
          <w:t>«Дешимаг»</w:t>
        </w:r>
      </w:hyperlink>
      <w:r w:rsidRPr="0044524F">
        <w:rPr>
          <w:rFonts w:ascii="Times New Roman" w:hAnsi="Times New Roman"/>
          <w:color w:val="000000" w:themeColor="text1"/>
          <w:sz w:val="16"/>
          <w:szCs w:val="16"/>
        </w:rPr>
        <w:t> («I v S» примерно тогда же была расформирована и вошла в состав «Дешимаг») договор на разработку проекта п/л.</w:t>
      </w:r>
    </w:p>
    <w:p w14:paraId="3580FD55" w14:textId="77777777" w:rsidR="00416641" w:rsidRPr="0044524F" w:rsidRDefault="004166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Договорные обязательства Советский Союз выполнял неукоснительно. Так, 28 ноября 1933 года вышло Постановление Комитета обороны (КО) Совета народных комиссаров (СНК) СССР «Об иностранной технической помощи по постройке подводной лодки типа ―Е-1». Данным постановлением указывалось НКТП С. Г. Орджоникидзе продолжить выполнение договора на техническую помощь по постройке подводной лодки типа «Е-1» с фирмой «Дешимаг», уплатив очередной денежный взнос по договору в размере 20 тысяч долларов США [Там же, д. 498, л. 202] (21528).</w:t>
      </w:r>
    </w:p>
    <w:p w14:paraId="30837B39" w14:textId="77777777" w:rsidR="00416641" w:rsidRPr="0044524F" w:rsidRDefault="00416641" w:rsidP="009654CF">
      <w:pPr>
        <w:spacing w:after="0" w:line="240" w:lineRule="auto"/>
        <w:jc w:val="both"/>
        <w:rPr>
          <w:rFonts w:ascii="Times New Roman" w:hAnsi="Times New Roman"/>
          <w:color w:val="000000" w:themeColor="text1"/>
          <w:sz w:val="16"/>
          <w:szCs w:val="16"/>
        </w:rPr>
      </w:pPr>
    </w:p>
    <w:p w14:paraId="44DBD584"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09B118E"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7FD3DF2" w14:textId="77777777" w:rsidR="00EA298A" w:rsidRPr="0044524F" w:rsidRDefault="00EA29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августа 1933 состоялся первый матч футбольной сборной Украины (с Турцией) (4962).</w:t>
      </w:r>
    </w:p>
    <w:p w14:paraId="693E19B8" w14:textId="77777777" w:rsidR="00EA298A" w:rsidRPr="0044524F" w:rsidRDefault="00EA29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E6D9983"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DA6FF1F"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A961B82"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августа 1933 был свергнут кубинский диктатор Мачадо (2443,407) и диктатором стал Батиста-и-Сальдивар (3186).</w:t>
      </w:r>
    </w:p>
    <w:p w14:paraId="5BAA1C7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28141EE9"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6F2A444"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5949374" w14:textId="77777777" w:rsidR="00871A0E" w:rsidRPr="0044524F" w:rsidRDefault="00871A0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 СТО СССР принял постановление № 72сс «О форсировании морского гидросамолетостроения» (15256).</w:t>
      </w:r>
    </w:p>
    <w:p w14:paraId="6FE99F4E" w14:textId="77777777" w:rsidR="00871A0E" w:rsidRPr="0044524F" w:rsidRDefault="00871A0E" w:rsidP="009654CF">
      <w:pPr>
        <w:autoSpaceDE w:val="0"/>
        <w:autoSpaceDN w:val="0"/>
        <w:adjustRightInd w:val="0"/>
        <w:spacing w:after="0" w:line="240" w:lineRule="auto"/>
        <w:jc w:val="both"/>
        <w:rPr>
          <w:rFonts w:ascii="Times New Roman" w:hAnsi="Times New Roman"/>
          <w:color w:val="000000" w:themeColor="text1"/>
          <w:sz w:val="16"/>
          <w:szCs w:val="16"/>
        </w:rPr>
      </w:pPr>
    </w:p>
    <w:p w14:paraId="70916F3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года постановление № 72сс/о СТО</w:t>
      </w:r>
    </w:p>
    <w:p w14:paraId="16638E62"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форсировании морского гидросамолетостроения</w:t>
      </w:r>
    </w:p>
    <w:p w14:paraId="045A0884"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форсирования морского гидросамолетостроения СТО постановляет:</w:t>
      </w:r>
    </w:p>
    <w:p w14:paraId="0D056B4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31</w:t>
      </w:r>
    </w:p>
    <w:p w14:paraId="23F2170E" w14:textId="77777777" w:rsidR="00EA298A" w:rsidRPr="0044524F" w:rsidRDefault="00EA298A"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Организовать на заводе № 31 производство гидросамолетов МБР-2 с мотором М-17 и МДР-4 с мотором М-34, для чего обязать Глававиапром:</w:t>
      </w:r>
    </w:p>
    <w:p w14:paraId="196B42C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закончить в 1933 году подготовку производства и в начале 1934 года приступить к серийному выпуску самолетов МБР-2;</w:t>
      </w:r>
    </w:p>
    <w:p w14:paraId="42ED020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немедленно начать подготовку производства самолетов МДР-4, не ожидая испытаний и поставить с таким расчетом, чтобы в конце 1934 года начать серийный выпуск самолетов;</w:t>
      </w:r>
    </w:p>
    <w:p w14:paraId="1974134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восстановить на заводе № 31 производство поплавков к самолетам ТБ-1 и Р-6;</w:t>
      </w:r>
    </w:p>
    <w:p w14:paraId="15133B0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снять с производства на заводе № 31 самолеты С-62 с мотором М-34;</w:t>
      </w:r>
    </w:p>
    <w:p w14:paraId="1DCBEE3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производство самолетов Р-6 и АНТ-9 на заводе № 31 закончить в объеме программы 1933 года;</w:t>
      </w:r>
    </w:p>
    <w:p w14:paraId="337E345B"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сроки выпуска самолетов и количество могущих быть изготовленными в 1934 году Глававиапрому определить в месячный срок.</w:t>
      </w:r>
    </w:p>
    <w:p w14:paraId="0BAB5D6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этот же срок определить и все необходимые мероприятия обеспечивающие подготовку и организацию производства гидросамолетов на заводе № 31.</w:t>
      </w:r>
    </w:p>
    <w:p w14:paraId="482A0F4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22</w:t>
      </w:r>
    </w:p>
    <w:p w14:paraId="1099FE9A" w14:textId="77777777" w:rsidR="00EA298A" w:rsidRPr="0044524F" w:rsidRDefault="00EA298A"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Поставить производство гидросамолетов МК на заводе № 22 с организацией окончательной сборки и испытания их в Севастополе в Килленбухте ……………………</w:t>
      </w:r>
    </w:p>
    <w:p w14:paraId="7EC9168F"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125</w:t>
      </w:r>
    </w:p>
    <w:p w14:paraId="03736A22" w14:textId="77777777" w:rsidR="00EA298A" w:rsidRPr="0044524F" w:rsidRDefault="00EA298A"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Поставить производство гидросамолетов МДР-4 на заводе № 125 в Иркутске с таким расчетом, чтобы с начала 1935 года начать серийный выпуск самолетов, определив мощность завода 7 самолетов в месяц при 3-х сменной работе ……………………………</w:t>
      </w:r>
    </w:p>
    <w:p w14:paraId="7DBB4954" w14:textId="77777777" w:rsidR="00EA298A" w:rsidRPr="0044524F" w:rsidRDefault="00EA298A"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Промышленное строительство 126 завода в основном закончить в 1934 году. В первом полугодии 1935 года приступить к подготовке производства на этом заводе самолетов МК.</w:t>
      </w:r>
    </w:p>
    <w:p w14:paraId="14F91773"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………………………………………………(7503, 61-64).</w:t>
      </w:r>
    </w:p>
    <w:p w14:paraId="33055B0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6F825450"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вышло постановление СТО N 72сс/о "О форсировании морского гидросамолетостроения" (2282,38).</w:t>
      </w:r>
    </w:p>
    <w:p w14:paraId="75E97E6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31 (МБР-2 М-17 и МДР-1 с М-34, поплавков Р-6 и ТБ-1 и снять Р-6 и АНТ-9) заводу 22 (МК), 125 (МДР-4), достроить 126, купить 50 РЦ...</w:t>
      </w:r>
    </w:p>
    <w:p w14:paraId="19A3A45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Организовать на заводе 31 производство гидросамолетов МБР-2 М-17 и МДР-1 М-34 для чего:</w:t>
      </w:r>
    </w:p>
    <w:p w14:paraId="35E5675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закончить в 1934 подготовку производства и в начале 1934 приступить к серийному выпуску МБР-2</w:t>
      </w:r>
    </w:p>
    <w:p w14:paraId="3CBB43FC"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немедленно начать подготовку производства МБР-4, не ожидая испытаний, и поставить с таким расчетом, чтобы в конце 1934 начать серийный выпуск самолетов</w:t>
      </w:r>
    </w:p>
    <w:p w14:paraId="772BF548"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восстановить производство поплавков Р-6 и ТБ-1</w:t>
      </w:r>
    </w:p>
    <w:p w14:paraId="6C6DCA1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снять с производства С-62 с М-34</w:t>
      </w:r>
    </w:p>
    <w:p w14:paraId="4AEE7C71"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производство Р-6 и АНТ-9 на заводе закончить в объеме программы 1933...</w:t>
      </w:r>
    </w:p>
    <w:p w14:paraId="3A28DBC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Предложить ГУАП войти в СТО к 1 ноября с предложением об организации строительства завода гидросамолетов на одном из внутренних водных бассейнов СССР.</w:t>
      </w:r>
    </w:p>
    <w:p w14:paraId="4C84749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Для обеспечения истребительной авиации современным мотором водяного охлаждения считать необходимым закупить от 20 до 30 моторов ИС типа 12У с запчастями и инструментом.</w:t>
      </w:r>
    </w:p>
    <w:p w14:paraId="107A15D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основе покупки провести переговоры с ИС о бесплатной техпомощи на ИС для производства в СССР.</w:t>
      </w:r>
    </w:p>
    <w:p w14:paraId="36A456B5"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Окончательную стоимость мотора установить после выяснения комиссией на месте и отпустить средства по представлению т. П.И.Б. из резервного фонда СНК СССР.</w:t>
      </w:r>
    </w:p>
    <w:p w14:paraId="599F3EC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Командировать во Францию для переговоров о покупке моторов ИС и техпомощи на этот мотор комиссии в составе т.т. И.О.Марьямова с 24 завода (пред.), В.И.Климова из ЦИАМ, П.А.Левина из НИИ ВВС РККА и С.В.И. с 39 завода.</w:t>
      </w:r>
    </w:p>
    <w:p w14:paraId="4D38877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Мотор ИС внедрять в производство на заводе 24 - осн." (2282,38).</w:t>
      </w:r>
    </w:p>
    <w:p w14:paraId="0CB220B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289E2509"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 Совет Труда и Обороны принял постановление о начале строительства МДР-4 на заводе №125 с января 1935 г. с темпом выпуска семь самолетов в месяц при трехсменной работе. Для этого утверждался объем капиталовложений в размере 9 млн руб., а на председателя Госплана Гинзбурга возлагалась личная ответственность за своевременную поставку в 1-м квартале 1934 г. 150 станков, стройматериалов, а также 10 грузовиков АМО и четырех автобусов "Форд".</w:t>
      </w:r>
    </w:p>
    <w:p w14:paraId="55FF9D37"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Ирьянов, видя, что к "его объекту" наконец-то обратились лицом, требует электрооборудование для заводской ЛЭП - трансформаторы, семь тонн сталеалюминиевого провода, два трансформатора и даже котел- экономайзер для Иркутской ТЭЦ. Своего энергоузла завод тогда не имел и электроснабжение было ключевым вопросом строительства - оно осуществлялось по воздушной линии с городской электростанции, которая ограничивала мощность потребителей 600 квт.</w:t>
      </w:r>
    </w:p>
    <w:p w14:paraId="4A3F23BE"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Затребованного оборудования в наличии не было, а потому начальник ГУАП П.И.Баранов поручает своему заместителю Елецкому выяснить, "за чей счет" его можно передать Иркутску. Присутствовавшие на заседании директора заводов №22 С.П.Горбунов, №24 - Марьямов и №39 - Марголин решили было, что все отберут у них, но в этот раз повезло - отобрали у ЦИАМ. Правда, только на словах, поскольку ничего в назначенные сроки завод №125 не получил...(12037).</w:t>
      </w:r>
    </w:p>
    <w:p w14:paraId="734B04E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20087D7F"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 Комитет обороны СССР принял постановление о приобретении во Франции 20-30 двигателей «Испано-Сюизы» с запасны</w:t>
      </w:r>
      <w:r w:rsidRPr="0044524F">
        <w:rPr>
          <w:rFonts w:ascii="Times New Roman" w:hAnsi="Times New Roman"/>
          <w:color w:val="000000" w:themeColor="text1"/>
          <w:sz w:val="16"/>
          <w:szCs w:val="16"/>
        </w:rPr>
        <w:softHyphen/>
        <w:t>ми частями и инструментом к ним и проведении переговоров о получе</w:t>
      </w:r>
      <w:r w:rsidRPr="0044524F">
        <w:rPr>
          <w:rFonts w:ascii="Times New Roman" w:hAnsi="Times New Roman"/>
          <w:color w:val="000000" w:themeColor="text1"/>
          <w:sz w:val="16"/>
          <w:szCs w:val="16"/>
        </w:rPr>
        <w:softHyphen/>
        <w:t>нии лицензии и технической помощи фирмы в организации серийного производства их в Советском Союзе. 28 ноября Совет труда и обороны предписал купить 30 готовых двигателей, 50 в виде комплектов деталей и агрегатов и еще на 50 моторов приобрести наиболее сложные в произ</w:t>
      </w:r>
      <w:r w:rsidRPr="0044524F">
        <w:rPr>
          <w:rFonts w:ascii="Times New Roman" w:hAnsi="Times New Roman"/>
          <w:color w:val="000000" w:themeColor="text1"/>
          <w:sz w:val="16"/>
          <w:szCs w:val="16"/>
        </w:rPr>
        <w:softHyphen/>
        <w:t>водстве части. На все это выделили 1 млн 650 тыс. рублей. 15 декабря Комитет обороны потребовал ускорить переговоры, ссылаясь на срочную нужду в современных двигателях, особенно для истребителей. Во Францию командировали комиссию, председателем которой назначили В.Я. Климова. Члены комиссии изучили двигатель и потребовали от фирмы подтвердить заявленные характеристики длительными 100-часовыми испыта</w:t>
      </w:r>
      <w:r w:rsidRPr="0044524F">
        <w:rPr>
          <w:rFonts w:ascii="Times New Roman" w:hAnsi="Times New Roman"/>
          <w:color w:val="000000" w:themeColor="text1"/>
          <w:sz w:val="16"/>
          <w:szCs w:val="16"/>
        </w:rPr>
        <w:softHyphen/>
        <w:t>ниями. Представители «Испано-Сюизы» согласились на это неохотно. Они вы</w:t>
      </w:r>
      <w:r w:rsidRPr="0044524F">
        <w:rPr>
          <w:rFonts w:ascii="Times New Roman" w:hAnsi="Times New Roman"/>
          <w:color w:val="000000" w:themeColor="text1"/>
          <w:sz w:val="16"/>
          <w:szCs w:val="16"/>
        </w:rPr>
        <w:softHyphen/>
        <w:t>брали один двигатель типа 12УЬгз из партии в 20 моторов, изготовленных в соответствии с требованиями французских ВВС. Испытания начались в январе 1934 г.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44524F">
        <w:rPr>
          <w:rFonts w:ascii="Times New Roman" w:hAnsi="Times New Roman"/>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44524F">
        <w:rPr>
          <w:rFonts w:ascii="Times New Roman" w:hAnsi="Times New Roman"/>
          <w:color w:val="000000" w:themeColor="text1"/>
          <w:sz w:val="16"/>
          <w:szCs w:val="16"/>
        </w:rPr>
        <w:softHyphen/>
        <w:t>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44524F">
        <w:rPr>
          <w:rFonts w:ascii="Times New Roman" w:hAnsi="Times New Roman"/>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44524F">
        <w:rPr>
          <w:rFonts w:ascii="Times New Roman" w:hAnsi="Times New Roman"/>
          <w:color w:val="000000" w:themeColor="text1"/>
          <w:sz w:val="16"/>
          <w:szCs w:val="16"/>
        </w:rPr>
        <w:softHyphen/>
        <w:t xml:space="preserve">вторные </w:t>
      </w:r>
      <w:r w:rsidRPr="0044524F">
        <w:rPr>
          <w:rFonts w:ascii="Times New Roman" w:hAnsi="Times New Roman"/>
          <w:color w:val="000000" w:themeColor="text1"/>
          <w:sz w:val="16"/>
          <w:szCs w:val="16"/>
        </w:rPr>
        <w:lastRenderedPageBreak/>
        <w:t>испытания показали, что в этом случае ресурс «Испано-Сюизы» достаточно велик. 14 июня 1934 г. наконец-то подписали соглашение с фир</w:t>
      </w:r>
      <w:r w:rsidRPr="0044524F">
        <w:rPr>
          <w:rFonts w:ascii="Times New Roman" w:hAnsi="Times New Roman"/>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44524F">
        <w:rPr>
          <w:rFonts w:ascii="Times New Roman" w:hAnsi="Times New Roman"/>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44524F">
        <w:rPr>
          <w:rFonts w:ascii="Times New Roman" w:hAnsi="Times New Roman"/>
          <w:color w:val="000000" w:themeColor="text1"/>
          <w:sz w:val="16"/>
          <w:szCs w:val="16"/>
        </w:rPr>
        <w:softHyphen/>
        <w:t>гатели М-17. По первоначальным планам завод № 26 должен был перей</w:t>
      </w:r>
      <w:r w:rsidRPr="0044524F">
        <w:rPr>
          <w:rFonts w:ascii="Times New Roman" w:hAnsi="Times New Roman"/>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44524F">
        <w:rPr>
          <w:rFonts w:ascii="Times New Roman" w:hAnsi="Times New Roman"/>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44524F">
        <w:rPr>
          <w:rFonts w:ascii="Times New Roman" w:hAnsi="Times New Roman"/>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44524F">
        <w:rPr>
          <w:rFonts w:ascii="Times New Roman" w:hAnsi="Times New Roman"/>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44524F">
        <w:rPr>
          <w:rFonts w:ascii="Times New Roman" w:hAnsi="Times New Roman"/>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44524F">
        <w:rPr>
          <w:rFonts w:ascii="Times New Roman" w:hAnsi="Times New Roman"/>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44524F">
        <w:rPr>
          <w:rFonts w:ascii="Times New Roman" w:hAnsi="Times New Roman"/>
          <w:color w:val="000000" w:themeColor="text1"/>
          <w:sz w:val="16"/>
          <w:szCs w:val="16"/>
        </w:rPr>
        <w:softHyphen/>
        <w:t>мов лишь незначительно усовершенство</w:t>
      </w:r>
      <w:r w:rsidRPr="0044524F">
        <w:rPr>
          <w:rFonts w:ascii="Times New Roman" w:hAnsi="Times New Roman"/>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44524F">
        <w:rPr>
          <w:rFonts w:ascii="Times New Roman" w:hAnsi="Times New Roman"/>
          <w:color w:val="000000" w:themeColor="text1"/>
          <w:sz w:val="16"/>
          <w:szCs w:val="16"/>
        </w:rPr>
        <w:softHyphen/>
        <w:t>ной. В ней появлялись и тупиковые вет</w:t>
      </w:r>
      <w:r w:rsidRPr="0044524F">
        <w:rPr>
          <w:rFonts w:ascii="Times New Roman" w:hAnsi="Times New Roman"/>
          <w:color w:val="000000" w:themeColor="text1"/>
          <w:sz w:val="16"/>
          <w:szCs w:val="16"/>
        </w:rPr>
        <w:softHyphen/>
        <w:t>ви, не приведшие к внедрению отдель</w:t>
      </w:r>
      <w:r w:rsidRPr="0044524F">
        <w:rPr>
          <w:rFonts w:ascii="Times New Roman" w:hAnsi="Times New Roman"/>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44524F">
        <w:rPr>
          <w:rFonts w:ascii="Times New Roman" w:hAnsi="Times New Roman"/>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44524F">
        <w:rPr>
          <w:rFonts w:ascii="Times New Roman" w:hAnsi="Times New Roman"/>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44524F">
        <w:rPr>
          <w:rFonts w:ascii="Times New Roman" w:hAnsi="Times New Roman"/>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44524F">
        <w:rPr>
          <w:rFonts w:ascii="Times New Roman" w:hAnsi="Times New Roman"/>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44524F">
        <w:rPr>
          <w:rFonts w:ascii="Times New Roman" w:hAnsi="Times New Roman"/>
          <w:color w:val="000000" w:themeColor="text1"/>
          <w:sz w:val="16"/>
          <w:szCs w:val="16"/>
        </w:rPr>
        <w:softHyphen/>
        <w:t>рения личными инициалами. Теперь наименования моторов этого кон</w:t>
      </w:r>
      <w:r w:rsidRPr="0044524F">
        <w:rPr>
          <w:rFonts w:ascii="Times New Roman" w:hAnsi="Times New Roman"/>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44524F">
        <w:rPr>
          <w:rFonts w:ascii="Times New Roman" w:hAnsi="Times New Roman"/>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44524F">
        <w:rPr>
          <w:rFonts w:ascii="Times New Roman" w:hAnsi="Times New Roman"/>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44524F">
        <w:rPr>
          <w:rFonts w:ascii="Times New Roman" w:hAnsi="Times New Roman"/>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00C3279D"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7782D5" w14:textId="77777777" w:rsidR="00645745" w:rsidRPr="00142305" w:rsidRDefault="00645745" w:rsidP="006457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13 августа 1933 года в результате острой постановки во</w:t>
      </w:r>
      <w:r w:rsidRPr="00142305">
        <w:rPr>
          <w:rStyle w:val="aff"/>
          <w:rFonts w:ascii="Times New Roman" w:hAnsi="Times New Roman" w:cs="Times New Roman"/>
          <w:color w:val="0070C0"/>
          <w:spacing w:val="0"/>
          <w:sz w:val="16"/>
          <w:szCs w:val="16"/>
        </w:rPr>
        <w:softHyphen/>
        <w:t>проса со стороны ВВС, КО приняло реше</w:t>
      </w:r>
      <w:r w:rsidRPr="00142305">
        <w:rPr>
          <w:rStyle w:val="aff"/>
          <w:rFonts w:ascii="Times New Roman" w:hAnsi="Times New Roman" w:cs="Times New Roman"/>
          <w:color w:val="0070C0"/>
          <w:spacing w:val="0"/>
          <w:sz w:val="16"/>
          <w:szCs w:val="16"/>
        </w:rPr>
        <w:softHyphen/>
        <w:t>ние: "для обес</w:t>
      </w:r>
      <w:r w:rsidRPr="00142305">
        <w:rPr>
          <w:rStyle w:val="aff"/>
          <w:rFonts w:ascii="Times New Roman" w:hAnsi="Times New Roman" w:cs="Times New Roman"/>
          <w:color w:val="0070C0"/>
          <w:spacing w:val="0"/>
          <w:sz w:val="16"/>
          <w:szCs w:val="16"/>
        </w:rPr>
        <w:softHyphen/>
        <w:t>печения истребительной авиации современ</w:t>
      </w:r>
      <w:r w:rsidRPr="00142305">
        <w:rPr>
          <w:rStyle w:val="aff"/>
          <w:rFonts w:ascii="Times New Roman" w:hAnsi="Times New Roman" w:cs="Times New Roman"/>
          <w:color w:val="0070C0"/>
          <w:spacing w:val="0"/>
          <w:sz w:val="16"/>
          <w:szCs w:val="16"/>
        </w:rPr>
        <w:softHyphen/>
        <w:t>ными моторами водяного охлаждения счи</w:t>
      </w:r>
      <w:r w:rsidRPr="00142305">
        <w:rPr>
          <w:rStyle w:val="aff"/>
          <w:rFonts w:ascii="Times New Roman" w:hAnsi="Times New Roman" w:cs="Times New Roman"/>
          <w:color w:val="0070C0"/>
          <w:spacing w:val="0"/>
          <w:sz w:val="16"/>
          <w:szCs w:val="16"/>
        </w:rPr>
        <w:softHyphen/>
        <w:t>тать необходимым закупить от 20 до 30 го</w:t>
      </w:r>
      <w:r w:rsidRPr="00142305">
        <w:rPr>
          <w:rStyle w:val="aff"/>
          <w:rFonts w:ascii="Times New Roman" w:hAnsi="Times New Roman" w:cs="Times New Roman"/>
          <w:color w:val="0070C0"/>
          <w:spacing w:val="0"/>
          <w:sz w:val="16"/>
          <w:szCs w:val="16"/>
        </w:rPr>
        <w:softHyphen/>
        <w:t>товых моторов Испано-Сюиза типа 12 УБРС с запасными частями и инструментом" и тех</w:t>
      </w:r>
      <w:r w:rsidRPr="00142305">
        <w:rPr>
          <w:rStyle w:val="aff"/>
          <w:rFonts w:ascii="Times New Roman" w:hAnsi="Times New Roman" w:cs="Times New Roman"/>
          <w:color w:val="0070C0"/>
          <w:spacing w:val="0"/>
          <w:sz w:val="16"/>
          <w:szCs w:val="16"/>
        </w:rPr>
        <w:softHyphen/>
        <w:t>помощь на производство этого типа мото</w:t>
      </w:r>
      <w:r w:rsidRPr="00142305">
        <w:rPr>
          <w:rStyle w:val="aff"/>
          <w:rFonts w:ascii="Times New Roman" w:hAnsi="Times New Roman" w:cs="Times New Roman"/>
          <w:color w:val="0070C0"/>
          <w:spacing w:val="0"/>
          <w:sz w:val="16"/>
          <w:szCs w:val="16"/>
        </w:rPr>
        <w:softHyphen/>
        <w:t>ров в Союзе.</w:t>
      </w:r>
    </w:p>
    <w:p w14:paraId="6FE31A44" w14:textId="77777777" w:rsidR="00645745" w:rsidRPr="00142305" w:rsidRDefault="00645745" w:rsidP="006457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Кроме того, на том же заседании было ре</w:t>
      </w:r>
      <w:r w:rsidRPr="00142305">
        <w:rPr>
          <w:rStyle w:val="aff"/>
          <w:rFonts w:ascii="Times New Roman" w:hAnsi="Times New Roman" w:cs="Times New Roman"/>
          <w:color w:val="0070C0"/>
          <w:spacing w:val="0"/>
          <w:sz w:val="16"/>
          <w:szCs w:val="16"/>
        </w:rPr>
        <w:softHyphen/>
        <w:t>шено закупить 50 готовых моторов воздуш</w:t>
      </w:r>
      <w:r w:rsidRPr="00142305">
        <w:rPr>
          <w:rStyle w:val="aff"/>
          <w:rFonts w:ascii="Times New Roman" w:hAnsi="Times New Roman" w:cs="Times New Roman"/>
          <w:color w:val="0070C0"/>
          <w:spacing w:val="0"/>
          <w:sz w:val="16"/>
          <w:szCs w:val="16"/>
        </w:rPr>
        <w:softHyphen/>
        <w:t>ного охлаждения Райт-Циклон с инструмен</w:t>
      </w:r>
      <w:r w:rsidRPr="00142305">
        <w:rPr>
          <w:rStyle w:val="aff"/>
          <w:rFonts w:ascii="Times New Roman" w:hAnsi="Times New Roman" w:cs="Times New Roman"/>
          <w:color w:val="0070C0"/>
          <w:spacing w:val="0"/>
          <w:sz w:val="16"/>
          <w:szCs w:val="16"/>
        </w:rPr>
        <w:softHyphen/>
        <w:t>том и запасными частями для установки на истребителях. Закупка этих моторов и тех</w:t>
      </w:r>
      <w:r w:rsidRPr="00142305">
        <w:rPr>
          <w:rStyle w:val="aff"/>
          <w:rFonts w:ascii="Times New Roman" w:hAnsi="Times New Roman" w:cs="Times New Roman"/>
          <w:color w:val="0070C0"/>
          <w:spacing w:val="0"/>
          <w:sz w:val="16"/>
          <w:szCs w:val="16"/>
        </w:rPr>
        <w:softHyphen/>
        <w:t>помощи была возложена на НКТПром (25519).</w:t>
      </w:r>
    </w:p>
    <w:p w14:paraId="76738A53" w14:textId="77777777" w:rsidR="00645745" w:rsidRPr="00142305" w:rsidRDefault="00645745" w:rsidP="00645745">
      <w:pPr>
        <w:widowControl w:val="0"/>
        <w:tabs>
          <w:tab w:val="left" w:pos="486"/>
        </w:tabs>
        <w:spacing w:after="0" w:line="240" w:lineRule="auto"/>
        <w:jc w:val="both"/>
        <w:rPr>
          <w:rStyle w:val="aff"/>
          <w:rFonts w:ascii="Times New Roman" w:hAnsi="Times New Roman" w:cs="Times New Roman"/>
          <w:color w:val="0070C0"/>
          <w:spacing w:val="0"/>
          <w:sz w:val="16"/>
          <w:szCs w:val="16"/>
        </w:rPr>
      </w:pPr>
    </w:p>
    <w:p w14:paraId="498E9A72" w14:textId="77777777" w:rsidR="00645745" w:rsidRPr="00142305" w:rsidRDefault="00645745" w:rsidP="006457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13 августа 1933 г. на заседании Совета Труда и Обороны, на котором председательствовал И.В. Сталин, приняли решение приобрести у фирмы «Испано-Сюиза» лицензию и необходимую для освоения производства техническую помощь, от 20 до 30 готовых моторов, запасные части и необходимый инструмент. Импортные двигатели намеревались использовать на опытных самолетах до развертывания собственного производства.</w:t>
      </w:r>
    </w:p>
    <w:p w14:paraId="7EC7F0D6" w14:textId="77777777" w:rsidR="00645745" w:rsidRPr="00142305" w:rsidRDefault="00645745" w:rsidP="006457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Париж отправилась делегация во главе с инженером Владимиром Яковлевичем Климовым.</w:t>
      </w:r>
    </w:p>
    <w:p w14:paraId="576F3162" w14:textId="77777777" w:rsidR="00645745" w:rsidRPr="00142305" w:rsidRDefault="00645745" w:rsidP="0064574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Комиссия начала переговоры с представителями фирмы «Испано-Сюиза» в октябре 1933 г. 28 ноября из Москвы поступило уточняющее распоряжение: приобрести 30 готовых моторов, 50 в виде комплектов деталей и наиболее сложные и трудоемкие детали еще на 50 двигателей. На все это выделялось 1,65 млн рублей в твердой валюте. В соответствии с рекламным буклетом фирмы, максимальная мощность двигателя была определена равной 860 л.с.</w:t>
      </w:r>
    </w:p>
    <w:p w14:paraId="5FC66F51" w14:textId="77777777" w:rsidR="00645745" w:rsidRPr="00142305" w:rsidRDefault="00645745" w:rsidP="0064574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Переговоры проходили непросто. Советская делегация потребовала проведения предварительных 100-часовых испытаний по весьма жесткой программе.</w:t>
      </w:r>
    </w:p>
    <w:p w14:paraId="5AA953C9" w14:textId="77777777" w:rsidR="00645745" w:rsidRPr="00142305" w:rsidRDefault="00645745" w:rsidP="0064574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Представители фирмы заявили, что серийный мотор испытаний в назначенных условиях не выдержит, и предложили поставить на стенд усовершенство</w:t>
      </w:r>
      <w:r w:rsidRPr="00142305">
        <w:rPr>
          <w:rStyle w:val="aff"/>
          <w:rFonts w:ascii="Times New Roman" w:hAnsi="Times New Roman" w:cs="Times New Roman"/>
          <w:color w:val="0070C0"/>
          <w:spacing w:val="0"/>
          <w:sz w:val="16"/>
          <w:szCs w:val="16"/>
        </w:rPr>
        <w:softHyphen/>
        <w:t>ванную опытную модель. Советская комиссия согла</w:t>
      </w:r>
      <w:r w:rsidRPr="00142305">
        <w:rPr>
          <w:rStyle w:val="aff"/>
          <w:rFonts w:ascii="Times New Roman" w:hAnsi="Times New Roman" w:cs="Times New Roman"/>
          <w:color w:val="0070C0"/>
          <w:spacing w:val="0"/>
          <w:sz w:val="16"/>
          <w:szCs w:val="16"/>
        </w:rPr>
        <w:softHyphen/>
        <w:t>силась. Планировалось завершить испытания к 29 января 1934 г., однако постоянные поломки мотора заставили сомневаться в целесообразности заклю</w:t>
      </w:r>
      <w:r w:rsidRPr="00142305">
        <w:rPr>
          <w:rStyle w:val="aff"/>
          <w:rFonts w:ascii="Times New Roman" w:hAnsi="Times New Roman" w:cs="Times New Roman"/>
          <w:color w:val="0070C0"/>
          <w:spacing w:val="0"/>
          <w:sz w:val="16"/>
          <w:szCs w:val="16"/>
        </w:rPr>
        <w:softHyphen/>
        <w:t>чения договора (25145).</w:t>
      </w:r>
    </w:p>
    <w:p w14:paraId="2D002C4C" w14:textId="77777777" w:rsidR="00645745" w:rsidRPr="00142305" w:rsidRDefault="00645745" w:rsidP="00645745">
      <w:pPr>
        <w:spacing w:after="0" w:line="240" w:lineRule="auto"/>
        <w:jc w:val="both"/>
        <w:rPr>
          <w:rFonts w:ascii="Times New Roman" w:hAnsi="Times New Roman"/>
          <w:color w:val="0070C0"/>
          <w:sz w:val="16"/>
          <w:szCs w:val="16"/>
        </w:rPr>
      </w:pPr>
    </w:p>
    <w:p w14:paraId="59D36788"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СТО утвердил площадку для ЦАГИ вблизи Раменское - Стаханово - Жуковский (80,40).</w:t>
      </w:r>
    </w:p>
    <w:p w14:paraId="1E37C0C6"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пока не в Раменском. В первом пятилетнем плане появилась задача строительства нового ЦАГИ и сначала хотели сделать его в Переяславле-Залесском на Плещеевом озере (вообще искали обязательно озеро), но почва на выделенном участке оказалась болотистой (307).</w:t>
      </w:r>
    </w:p>
    <w:p w14:paraId="5BEB2E3D"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6859D0D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13 августа в 1933 году Совет Труда и Обороны утвердил строительную площадку нового ЦАГИ, началось ее освоение </w:t>
      </w:r>
    </w:p>
    <w:p w14:paraId="58ADE3E1" w14:textId="77777777" w:rsidR="00871A0E" w:rsidRPr="0044524F" w:rsidRDefault="00871A0E" w:rsidP="009654CF">
      <w:pPr>
        <w:spacing w:after="0" w:line="240" w:lineRule="auto"/>
        <w:jc w:val="both"/>
        <w:rPr>
          <w:rFonts w:ascii="Times New Roman" w:hAnsi="Times New Roman"/>
          <w:color w:val="000000" w:themeColor="text1"/>
          <w:sz w:val="16"/>
          <w:szCs w:val="16"/>
        </w:rPr>
      </w:pPr>
    </w:p>
    <w:p w14:paraId="15C4E48A" w14:textId="77777777" w:rsidR="00645745" w:rsidRPr="00142305" w:rsidRDefault="00645745" w:rsidP="0064574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августа 1933 г. Совет труда и обороны утвердил строительную площадку для нового ЦАГИ вблизи г. Раменское (ныне г. Жуковский) и началось её освоение. 25 сентября 1935 г. ЭАО был представлен первый вариант блока больших труб, в апреле 1938 г. он был окончательно утвержден, а в августе 1939 г. были введены в эксплуатацию аэродинамические трубы Т-101, а затем Т-104 (25126).</w:t>
      </w:r>
    </w:p>
    <w:p w14:paraId="3D802D97" w14:textId="77777777" w:rsidR="00645745" w:rsidRPr="00142305" w:rsidRDefault="00645745" w:rsidP="00645745">
      <w:pPr>
        <w:spacing w:after="0" w:line="240" w:lineRule="auto"/>
        <w:jc w:val="both"/>
        <w:rPr>
          <w:rFonts w:ascii="Times New Roman" w:hAnsi="Times New Roman"/>
          <w:color w:val="0070C0"/>
          <w:sz w:val="16"/>
          <w:szCs w:val="16"/>
        </w:rPr>
      </w:pPr>
    </w:p>
    <w:p w14:paraId="220C20C8"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вторая неудачная попытка запуска ГИРД-Р-1 (09). Успешный запуск ракеты состоялся 17 августа, однако из-за негерметичности одного из фланцев двигателя нормальный полет продолжался до высоты около 400 м. Были еще две неудачные попытки запуска ракеты — 5 и 6 ноября. Дальнейшие работы по ракете не планировались (10676).</w:t>
      </w:r>
    </w:p>
    <w:p w14:paraId="46525DAA"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60E027C2"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26237FD"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D0A97B6"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вышло постановление СТО N 71сс О системе танкового (автобронетанкового) вооружения РККА и именно после этого началась разработка танковых дизелей (3879,39). В нем указывалось: “С 1934 г. Начать постепенное внедрение в производство в качестве оперативного танка плавающей машины ПТ-1 с таким расчетом, чтобы в 1936 полностью перейти на развернутое производство этого танка на базе и за счет производства Б-Т.” (3881,3).</w:t>
      </w:r>
    </w:p>
    <w:p w14:paraId="7A6B00CC"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760A9096"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 была утверждена новая «система бронетанкового вооружения», в которой было принято решение о том, что танк Т-35 должен быть заменен новым танком прорыва, однако вплоть до его сконструирования «трид</w:t>
      </w:r>
      <w:r w:rsidRPr="0044524F">
        <w:rPr>
          <w:rFonts w:ascii="Times New Roman" w:hAnsi="Times New Roman"/>
          <w:color w:val="000000" w:themeColor="text1"/>
          <w:sz w:val="16"/>
          <w:szCs w:val="16"/>
        </w:rPr>
        <w:softHyphen/>
        <w:t>цать пятый» должен был оставаться в серии (10733,274).</w:t>
      </w:r>
    </w:p>
    <w:p w14:paraId="0E59BBB6"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382FA47" w14:textId="77777777" w:rsidR="00A804B1" w:rsidRPr="0044524F" w:rsidRDefault="00A804B1" w:rsidP="009654CF">
      <w:pPr>
        <w:pStyle w:val="rtejustify"/>
        <w:spacing w:before="0" w:after="0"/>
        <w:rPr>
          <w:color w:val="000000" w:themeColor="text1"/>
          <w:sz w:val="16"/>
          <w:szCs w:val="16"/>
        </w:rPr>
      </w:pPr>
      <w:r w:rsidRPr="0044524F">
        <w:rPr>
          <w:rStyle w:val="af0"/>
          <w:bCs/>
          <w:i w:val="0"/>
          <w:color w:val="000000" w:themeColor="text1"/>
          <w:sz w:val="16"/>
          <w:szCs w:val="16"/>
        </w:rPr>
        <w:t>13 августа</w:t>
      </w:r>
      <w:r w:rsidRPr="0044524F">
        <w:rPr>
          <w:color w:val="000000" w:themeColor="text1"/>
          <w:sz w:val="16"/>
          <w:szCs w:val="16"/>
        </w:rPr>
        <w:t xml:space="preserve">. </w:t>
      </w:r>
      <w:hyperlink r:id="rId294" w:history="1">
        <w:r w:rsidRPr="0044524F">
          <w:rPr>
            <w:rStyle w:val="a5"/>
            <w:color w:val="000000" w:themeColor="text1"/>
            <w:sz w:val="16"/>
            <w:szCs w:val="16"/>
          </w:rPr>
          <w:t>Постановление СТО СССР № 71сс/о «О системе танкового вооружения РККА»</w:t>
        </w:r>
      </w:hyperlink>
      <w:r w:rsidRPr="0044524F">
        <w:rPr>
          <w:color w:val="000000" w:themeColor="text1"/>
          <w:sz w:val="16"/>
          <w:szCs w:val="16"/>
        </w:rPr>
        <w:t>. (ГА РФ. Ф. Р</w:t>
      </w:r>
      <w:r w:rsidRPr="0044524F">
        <w:rPr>
          <w:color w:val="000000" w:themeColor="text1"/>
          <w:sz w:val="16"/>
          <w:szCs w:val="16"/>
        </w:rPr>
        <w:noBreakHyphen/>
        <w:t>8418. Оп. 28. Д. 2. Л. 72</w:t>
      </w:r>
      <w:r w:rsidRPr="0044524F">
        <w:rPr>
          <w:color w:val="000000" w:themeColor="text1"/>
          <w:sz w:val="16"/>
          <w:szCs w:val="16"/>
        </w:rPr>
        <w:noBreakHyphen/>
        <w:t>88) (15460).</w:t>
      </w:r>
    </w:p>
    <w:p w14:paraId="72C8425E" w14:textId="77777777" w:rsidR="00A804B1" w:rsidRPr="0044524F" w:rsidRDefault="00A804B1" w:rsidP="009654CF">
      <w:pPr>
        <w:pStyle w:val="rtejustify"/>
        <w:spacing w:before="0" w:after="0"/>
        <w:rPr>
          <w:color w:val="000000" w:themeColor="text1"/>
          <w:sz w:val="16"/>
          <w:szCs w:val="16"/>
        </w:rPr>
      </w:pPr>
    </w:p>
    <w:p w14:paraId="1F58501B" w14:textId="77777777" w:rsidR="003C1030" w:rsidRPr="0044524F" w:rsidRDefault="003C10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 Комиссия обороны рассмотрела вопрос о системе танкового перевооружения РККА. В основу ее решений были положены директивы И.В. Сталина:</w:t>
      </w:r>
    </w:p>
    <w:p w14:paraId="1A05CBB1" w14:textId="77777777" w:rsidR="003C1030" w:rsidRPr="0044524F" w:rsidRDefault="003C10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Свести все образцы танкового вооружения к 5 типам; 2. Перевести основные типы танков с гусеничного хода на колесно-гусеничный; 3. Разработать переход всех типов танков на дизель-мотор; 4. Улучшить качество боевых машин, находящихся на вооружении (РГВА. Ф. 4. Оп. 14. Д. 1272. Л. 21) (21522).</w:t>
      </w:r>
    </w:p>
    <w:p w14:paraId="6B63FB66" w14:textId="77777777" w:rsidR="003C1030" w:rsidRPr="0044524F" w:rsidRDefault="003C1030" w:rsidP="009654CF">
      <w:pPr>
        <w:spacing w:after="0" w:line="240" w:lineRule="auto"/>
        <w:jc w:val="both"/>
        <w:rPr>
          <w:rFonts w:ascii="Times New Roman" w:hAnsi="Times New Roman"/>
          <w:color w:val="000000" w:themeColor="text1"/>
          <w:sz w:val="16"/>
          <w:szCs w:val="16"/>
        </w:rPr>
      </w:pPr>
    </w:p>
    <w:p w14:paraId="7B4A09E3" w14:textId="77777777" w:rsidR="002F14D1" w:rsidRPr="0044524F" w:rsidRDefault="002F14D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 на заседании Совета труда и обороны СССР было принято Постановление № 71 Л системе танкового вооружения РККА, которым, в частности, предусматривалось к концу второй пятилетки (1937 г.) на все типы разрабатываемых танков вместо бензиновых двигателей устанавливать дизеля. Таким образом, летом 1933 г. руководство страны взяло курс на дизилизацию танковых войск РККА, но последнее слово в этом вопросе оставалось за промышленностью (24586).</w:t>
      </w:r>
    </w:p>
    <w:p w14:paraId="626A519C" w14:textId="77777777" w:rsidR="002F14D1" w:rsidRPr="0044524F" w:rsidRDefault="002F14D1" w:rsidP="009654CF">
      <w:pPr>
        <w:spacing w:after="0" w:line="240" w:lineRule="auto"/>
        <w:jc w:val="both"/>
        <w:rPr>
          <w:rFonts w:ascii="Times New Roman" w:hAnsi="Times New Roman"/>
          <w:color w:val="000000" w:themeColor="text1"/>
          <w:sz w:val="16"/>
          <w:szCs w:val="16"/>
        </w:rPr>
      </w:pPr>
    </w:p>
    <w:p w14:paraId="07A7026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 Постановление СТО СССР № 71сс/о «О системе танкового вооружения РККА»</w:t>
      </w:r>
    </w:p>
    <w:p w14:paraId="2D14768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Совершенно секретно.</w:t>
      </w:r>
    </w:p>
    <w:p w14:paraId="0512C5C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Успехи социалистического строительства в первой пятилетке обеспечили превращение Рабоче-крестьянской Красной армии из армии в отношении механизации отсталой в армию передовую как по количеству, так и по качеству боевых машин, состоящих на вооружении и поставленных на массовое производство. Заново создана специальная производственная база по танкостроению, обеспечивающая уже в настоящее время производство 11 тыс. танков в год.</w:t>
      </w:r>
    </w:p>
    <w:p w14:paraId="3C39018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 этот же период времени выращены новые молодые конструкторские силы, в результате работы которых Красная армия получила на вооружение танки, не уступающие танкам капиталистических армий, а по некоторым типам, превосходящее их.</w:t>
      </w:r>
    </w:p>
    <w:p w14:paraId="71FCB3B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Наряду с этими огромными достижениями остаются еще неразрешенными следующие серьезнейшие задачи: а) мобилизационные производственные мощности промышленности не доведены до установленных правительством размеров; б) некомплектная подача вооружения, оптики, радиоустановок, в связи с чем налицо разрыв между количеством изготовленных танков и количеством укомплектованных до полной боевой готовности их; в) отсутствие самостоятельной производственной базы для мотора танка БТ; г) слаба обеспеченность боевых и транспортных машин запасными частями, инструментом и необходимыми приспособлениями; д) слабо еще механизирован и моторизован тыл мехсоединений и танковых частей; е) отсутствует промышленная ремонтная база для боевых и транспортных машин как для мирного, так и особенно на военное время; ж) еще не окончательно ликвидирована зависимость танкостроения от импорта, в частности по шарикоподшипникам и электрооборудованию; з) не вполне удовлетворительное качество производства танков, как то: броня, производство и сборка моторов и коробок скоростей; и) недостаточно подготовлено производство 45</w:t>
      </w:r>
      <w:r w:rsidRPr="0044524F">
        <w:rPr>
          <w:rFonts w:ascii="Times New Roman" w:hAnsi="Times New Roman"/>
          <w:color w:val="000000" w:themeColor="text1"/>
          <w:sz w:val="16"/>
          <w:szCs w:val="16"/>
        </w:rPr>
        <w:noBreakHyphen/>
        <w:t>мм танковых пушек и выстрелов для них; к) не разрешен полностью вопрос о создании мобилизационных запасов, средств подвоза горючего и смазочного и пунктов питания; л) недостаточная обеспеченность войсковых механизированных частей и соединений мастерскими и гаражами.</w:t>
      </w:r>
    </w:p>
    <w:p w14:paraId="06886B1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Основными задачами на вторую пятилетку в области механизации РККА поставить: 1. В течение второй пятилетки должен быть достигнут такой размах механизации армии, который бы позволил механизированным войскам стать одним из основных, решающих элементов в боевых операциях.</w:t>
      </w:r>
    </w:p>
    <w:p w14:paraId="3A81674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Признать необходимым закончить в течение 1933</w:t>
      </w:r>
      <w:r w:rsidRPr="0044524F">
        <w:rPr>
          <w:rFonts w:ascii="Times New Roman" w:hAnsi="Times New Roman"/>
          <w:color w:val="000000" w:themeColor="text1"/>
          <w:sz w:val="16"/>
          <w:szCs w:val="16"/>
        </w:rPr>
        <w:noBreakHyphen/>
        <w:t>1934 гг. подготовку мобилизационно-производственной базы, обеспечивающей в военное время выпуск массового количества современных танков, согласно ранее принятым решениям.</w:t>
      </w:r>
    </w:p>
    <w:p w14:paraId="1164471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 текущем 1933 г. решительно ликвидировать некомплектность по вооружению, приборам управления огнем и связи выпускаемых из производства машин и окончательно ликвидировать импортную зависимость по шарикоподшипникам и электрооборудованию.</w:t>
      </w:r>
    </w:p>
    <w:p w14:paraId="4F091D7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течение года обеспечить моторизацию, механизацию тыла механизированных соединений и танковых частей вспомогательными машинами: автопоходные мастерские, цистерны, машины технической помощи, водо-масло-заправщики, моечные машины, бензоколонки и т. д.</w:t>
      </w:r>
    </w:p>
    <w:p w14:paraId="2BBB663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 течение 1933-1934 гг. создать ремонтную базу, обеспечивающую потребность механизированных соединений и танковых частей в ремонте как в мирное, так и в военное время. Еще в 1933 г. создать производственные мощности в размерах, обеспечивающих полную и комплектную подачу запасных частей для ремонта боевых машин.</w:t>
      </w:r>
    </w:p>
    <w:p w14:paraId="4F4C667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w:t>
      </w:r>
    </w:p>
    <w:p w14:paraId="4103454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на вторую пятилетку следующую систему бронетанкового вооружения РККА:</w:t>
      </w:r>
    </w:p>
    <w:p w14:paraId="3584DC0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Основные танки — 5 типов: а) Разведывательный танк. Основной танк службы обеспечения всех мехсоединений. Средство боевой разведки и боя пехоты. Основные требования: быстроходность, вездеходность (в том числе плавучесть), маневренность, низкий габарит, дешевизна и массовость производства, б) Общевойсковой танк. Основной танк количественного усиления ТРГК, он же танк общевойсковых соединений. в) Оперативный танк. Танк самостоятельных механизированных соединений. Танк должен быть быстроходным, вездеходным (в том числе плавучим) и мощно вооружен. г) Танк качественного усиления ТРГК. Танк качественного усиления ТРГК для преодолевания сильно укрепленных оборонительных полос. Основные требования: сильное вооружение и броня, быстроходность, позволяющая его применить также в операции совместно с мехсоединениями. д) Мощный танк особого назначения. Танк качественного, добавочного усиления ТРГК при прорыве особо сильно и заблаговременно укрепленных полос. Основное требование — мощное вооружение и броня, защищающая от мелкокалиберных снарядов. Способность бороться с бетонными сооружениями.</w:t>
      </w:r>
    </w:p>
    <w:p w14:paraId="44F8E2D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Специальные танки — 7 типов (на шасси, стандартных с перечисленными выше): а) 3 химических (на шасси общевойскового, разведывательного и оперативного танков); б) 2 саперных (на шасси общевойскового танка и танка качественного усиления ТРГК); в) самоходная артиллерийская установка (на агрегатах общевойскового танка; г) танк управления (на шасси общевойскового танка и танка качественного усиления ТРГК).</w:t>
      </w:r>
    </w:p>
    <w:p w14:paraId="1B2308B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Бронемашины — 2 типа: а) разведывательная (на шасси «Форд</w:t>
      </w:r>
      <w:r w:rsidRPr="0044524F">
        <w:rPr>
          <w:rFonts w:ascii="Times New Roman" w:hAnsi="Times New Roman"/>
          <w:color w:val="000000" w:themeColor="text1"/>
          <w:sz w:val="16"/>
          <w:szCs w:val="16"/>
        </w:rPr>
        <w:noBreakHyphen/>
        <w:t>А»); б) боевая (на шасси «Форд</w:t>
      </w:r>
      <w:r w:rsidRPr="0044524F">
        <w:rPr>
          <w:rFonts w:ascii="Times New Roman" w:hAnsi="Times New Roman"/>
          <w:color w:val="000000" w:themeColor="text1"/>
          <w:sz w:val="16"/>
          <w:szCs w:val="16"/>
        </w:rPr>
        <w:noBreakHyphen/>
        <w:t>ЗА»).</w:t>
      </w:r>
    </w:p>
    <w:p w14:paraId="2A12B15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Железнодорожные боевые машины — 2 типа: а) мото-броневагон; б) разведывательная дрезина — бронеавтомобиль (стандартный с бронемашиной).</w:t>
      </w:r>
    </w:p>
    <w:p w14:paraId="2A2B4F4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Тракторы — 3 типа (все типы общегосударственные): а) легкий быстроходный трактор СТЗ</w:t>
      </w:r>
      <w:r w:rsidRPr="0044524F">
        <w:rPr>
          <w:rFonts w:ascii="Times New Roman" w:hAnsi="Times New Roman"/>
          <w:color w:val="000000" w:themeColor="text1"/>
          <w:sz w:val="16"/>
          <w:szCs w:val="16"/>
        </w:rPr>
        <w:noBreakHyphen/>
        <w:t>З; б) тяжелый быстроходный трактор «Коммунар»; в) тяжелый мощный трактор «Сталинец».</w:t>
      </w:r>
    </w:p>
    <w:p w14:paraId="5A8CE80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Транспортеры — 2 типа: а) транспортер боеприпасов на поле боя (шасси стандартное с разведывательным танком); б) транспортер пехоты (на шасси легкого трактора).</w:t>
      </w:r>
    </w:p>
    <w:p w14:paraId="6AAE25D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Транспортные машины (существующие на массовом производстве с установкой трехосных ходовых частей и полугусеничных снежных ходов): а) «Форд</w:t>
      </w:r>
      <w:r w:rsidRPr="0044524F">
        <w:rPr>
          <w:rFonts w:ascii="Times New Roman" w:hAnsi="Times New Roman"/>
          <w:color w:val="000000" w:themeColor="text1"/>
          <w:sz w:val="16"/>
          <w:szCs w:val="16"/>
        </w:rPr>
        <w:noBreakHyphen/>
        <w:t>А»; б) «Форд</w:t>
      </w:r>
      <w:r w:rsidRPr="0044524F">
        <w:rPr>
          <w:rFonts w:ascii="Times New Roman" w:hAnsi="Times New Roman"/>
          <w:color w:val="000000" w:themeColor="text1"/>
          <w:sz w:val="16"/>
          <w:szCs w:val="16"/>
        </w:rPr>
        <w:noBreakHyphen/>
        <w:t>АА»; в) АМО</w:t>
      </w:r>
      <w:r w:rsidRPr="0044524F">
        <w:rPr>
          <w:rFonts w:ascii="Times New Roman" w:hAnsi="Times New Roman"/>
          <w:color w:val="000000" w:themeColor="text1"/>
          <w:sz w:val="16"/>
          <w:szCs w:val="16"/>
        </w:rPr>
        <w:noBreakHyphen/>
        <w:t>5; г) Я</w:t>
      </w:r>
      <w:r w:rsidRPr="0044524F">
        <w:rPr>
          <w:rFonts w:ascii="Times New Roman" w:hAnsi="Times New Roman"/>
          <w:color w:val="000000" w:themeColor="text1"/>
          <w:sz w:val="16"/>
          <w:szCs w:val="16"/>
        </w:rPr>
        <w:noBreakHyphen/>
        <w:t>5.</w:t>
      </w:r>
    </w:p>
    <w:p w14:paraId="35EE860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w:t>
      </w:r>
    </w:p>
    <w:p w14:paraId="1A982A4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в соответствии с этим на первую половину пятилетки сохранение в производстве следующих типов боевых машин: а) Т</w:t>
      </w:r>
      <w:r w:rsidRPr="0044524F">
        <w:rPr>
          <w:rFonts w:ascii="Times New Roman" w:hAnsi="Times New Roman"/>
          <w:color w:val="000000" w:themeColor="text1"/>
          <w:sz w:val="16"/>
          <w:szCs w:val="16"/>
        </w:rPr>
        <w:noBreakHyphen/>
        <w:t>37 — в качестве разведывательного танка; б) Т</w:t>
      </w:r>
      <w:r w:rsidRPr="0044524F">
        <w:rPr>
          <w:rFonts w:ascii="Times New Roman" w:hAnsi="Times New Roman"/>
          <w:color w:val="000000" w:themeColor="text1"/>
          <w:sz w:val="16"/>
          <w:szCs w:val="16"/>
        </w:rPr>
        <w:noBreakHyphen/>
        <w:t>26 — в качестве общевойскового танка; в) БТ — в качестве оперативного танка; г) Т</w:t>
      </w:r>
      <w:r w:rsidRPr="0044524F">
        <w:rPr>
          <w:rFonts w:ascii="Times New Roman" w:hAnsi="Times New Roman"/>
          <w:color w:val="000000" w:themeColor="text1"/>
          <w:sz w:val="16"/>
          <w:szCs w:val="16"/>
        </w:rPr>
        <w:noBreakHyphen/>
        <w:t>28 — в качестве танка качественного усиления ТРГК; д) Т-35 — в качестве мощного танка особого назначения¹*.</w:t>
      </w:r>
    </w:p>
    <w:p w14:paraId="5A9AFC6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w:t>
      </w:r>
    </w:p>
    <w:p w14:paraId="06D1B2A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целью последующей замены существующих на производстве типов танков на более совершенные конструкции (в соответствии с требованиями системы вооружения): а) начиная с 1934 г. начать постепенное внедрение в производство в качестве оперативного танка плавающей машины ПТ</w:t>
      </w:r>
      <w:r w:rsidRPr="0044524F">
        <w:rPr>
          <w:rFonts w:ascii="Times New Roman" w:hAnsi="Times New Roman"/>
          <w:color w:val="000000" w:themeColor="text1"/>
          <w:sz w:val="16"/>
          <w:szCs w:val="16"/>
        </w:rPr>
        <w:noBreakHyphen/>
        <w:t>1 с таким расчетом, чтобы с 1936 г. полностью перейти на развернутое производство этого танка на базе и за счет производства танка БТ. б) Усовершенствовать конструкцию общевойскового танка Т</w:t>
      </w:r>
      <w:r w:rsidRPr="0044524F">
        <w:rPr>
          <w:rFonts w:ascii="Times New Roman" w:hAnsi="Times New Roman"/>
          <w:color w:val="000000" w:themeColor="text1"/>
          <w:sz w:val="16"/>
          <w:szCs w:val="16"/>
        </w:rPr>
        <w:noBreakHyphen/>
        <w:t>26 и разведывательного танка Т</w:t>
      </w:r>
      <w:r w:rsidRPr="0044524F">
        <w:rPr>
          <w:rFonts w:ascii="Times New Roman" w:hAnsi="Times New Roman"/>
          <w:color w:val="000000" w:themeColor="text1"/>
          <w:sz w:val="16"/>
          <w:szCs w:val="16"/>
        </w:rPr>
        <w:noBreakHyphen/>
        <w:t>37 с целью постановки их на колесно-гусеничный ход с таким расчетом, чтобы с 1936 г. начать развернутое производство колесно-гусеничных танков Т</w:t>
      </w:r>
      <w:r w:rsidRPr="0044524F">
        <w:rPr>
          <w:rFonts w:ascii="Times New Roman" w:hAnsi="Times New Roman"/>
          <w:color w:val="000000" w:themeColor="text1"/>
          <w:sz w:val="16"/>
          <w:szCs w:val="16"/>
        </w:rPr>
        <w:noBreakHyphen/>
        <w:t>26 и Т</w:t>
      </w:r>
      <w:r w:rsidRPr="0044524F">
        <w:rPr>
          <w:rFonts w:ascii="Times New Roman" w:hAnsi="Times New Roman"/>
          <w:color w:val="000000" w:themeColor="text1"/>
          <w:sz w:val="16"/>
          <w:szCs w:val="16"/>
        </w:rPr>
        <w:noBreakHyphen/>
        <w:t>37, взамен производства существующих, в) Усовершенствовать танк Т</w:t>
      </w:r>
      <w:r w:rsidRPr="0044524F">
        <w:rPr>
          <w:rFonts w:ascii="Times New Roman" w:hAnsi="Times New Roman"/>
          <w:color w:val="000000" w:themeColor="text1"/>
          <w:sz w:val="16"/>
          <w:szCs w:val="16"/>
        </w:rPr>
        <w:noBreakHyphen/>
        <w:t>28 путем постановки его на колесно-гусеничный ход, и на производство этой модели танка перейти также с 1936 г. г) Разработать образец и начать в конце пятилетки производство нового, более мощного, чем Т</w:t>
      </w:r>
      <w:r w:rsidRPr="0044524F">
        <w:rPr>
          <w:rFonts w:ascii="Times New Roman" w:hAnsi="Times New Roman"/>
          <w:color w:val="000000" w:themeColor="text1"/>
          <w:sz w:val="16"/>
          <w:szCs w:val="16"/>
        </w:rPr>
        <w:noBreakHyphen/>
        <w:t>35, танка особого назначения, д) Разработать переход всех типов танков на тяжелое топливо (дизель-мотор).</w:t>
      </w:r>
    </w:p>
    <w:p w14:paraId="35BF126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w:t>
      </w:r>
    </w:p>
    <w:p w14:paraId="7E319E3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пятилетки (1937 г.) иметь в производстве только следующие типы танков (и соответствующих им специальных машин): а) разведывательный танк Т</w:t>
      </w:r>
      <w:r w:rsidRPr="0044524F">
        <w:rPr>
          <w:rFonts w:ascii="Times New Roman" w:hAnsi="Times New Roman"/>
          <w:color w:val="000000" w:themeColor="text1"/>
          <w:sz w:val="16"/>
          <w:szCs w:val="16"/>
        </w:rPr>
        <w:noBreakHyphen/>
        <w:t>37 колесно-гусеничный; б) общевойсковой танк Т</w:t>
      </w:r>
      <w:r w:rsidRPr="0044524F">
        <w:rPr>
          <w:rFonts w:ascii="Times New Roman" w:hAnsi="Times New Roman"/>
          <w:color w:val="000000" w:themeColor="text1"/>
          <w:sz w:val="16"/>
          <w:szCs w:val="16"/>
        </w:rPr>
        <w:noBreakHyphen/>
        <w:t>26 колесно-гусеничный; в) оперативный танк ПТ</w:t>
      </w:r>
      <w:r w:rsidRPr="0044524F">
        <w:rPr>
          <w:rFonts w:ascii="Times New Roman" w:hAnsi="Times New Roman"/>
          <w:color w:val="000000" w:themeColor="text1"/>
          <w:sz w:val="16"/>
          <w:szCs w:val="16"/>
        </w:rPr>
        <w:noBreakHyphen/>
        <w:t>1; г) танк качественного усиления ТРГК Т</w:t>
      </w:r>
      <w:r w:rsidRPr="0044524F">
        <w:rPr>
          <w:rFonts w:ascii="Times New Roman" w:hAnsi="Times New Roman"/>
          <w:color w:val="000000" w:themeColor="text1"/>
          <w:sz w:val="16"/>
          <w:szCs w:val="16"/>
        </w:rPr>
        <w:noBreakHyphen/>
        <w:t>28 колесно-гусеничный; д) мощный танк особого назначения — новый образец (в случае запоздания сохраняется Т</w:t>
      </w:r>
      <w:r w:rsidRPr="0044524F">
        <w:rPr>
          <w:rFonts w:ascii="Times New Roman" w:hAnsi="Times New Roman"/>
          <w:color w:val="000000" w:themeColor="text1"/>
          <w:sz w:val="16"/>
          <w:szCs w:val="16"/>
        </w:rPr>
        <w:noBreakHyphen/>
        <w:t>35). Все машины на тяжелом топливе.</w:t>
      </w:r>
    </w:p>
    <w:p w14:paraId="508F383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w:t>
      </w:r>
    </w:p>
    <w:p w14:paraId="216C4B4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Предусмотреть возможность постановки на производство во время войны имеющегося опытного образца Т</w:t>
      </w:r>
      <w:r w:rsidRPr="0044524F">
        <w:rPr>
          <w:rFonts w:ascii="Times New Roman" w:hAnsi="Times New Roman"/>
          <w:color w:val="000000" w:themeColor="text1"/>
          <w:sz w:val="16"/>
          <w:szCs w:val="16"/>
        </w:rPr>
        <w:noBreakHyphen/>
        <w:t>34 на базе автомобильной промышленности.</w:t>
      </w:r>
    </w:p>
    <w:p w14:paraId="528FDC1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w:t>
      </w:r>
    </w:p>
    <w:p w14:paraId="73FA881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Усовершенствовать существующие танковые артиллерийские системы 45</w:t>
      </w:r>
      <w:r w:rsidRPr="0044524F">
        <w:rPr>
          <w:rFonts w:ascii="Times New Roman" w:hAnsi="Times New Roman"/>
          <w:color w:val="000000" w:themeColor="text1"/>
          <w:sz w:val="16"/>
          <w:szCs w:val="16"/>
        </w:rPr>
        <w:noBreakHyphen/>
        <w:t>мм и 76</w:t>
      </w:r>
      <w:r w:rsidRPr="0044524F">
        <w:rPr>
          <w:rFonts w:ascii="Times New Roman" w:hAnsi="Times New Roman"/>
          <w:color w:val="000000" w:themeColor="text1"/>
          <w:sz w:val="16"/>
          <w:szCs w:val="16"/>
        </w:rPr>
        <w:noBreakHyphen/>
        <w:t>мм калибра, поставив на валовое производство, начиная с 1934 г., 76</w:t>
      </w:r>
      <w:r w:rsidRPr="0044524F">
        <w:rPr>
          <w:rFonts w:ascii="Times New Roman" w:hAnsi="Times New Roman"/>
          <w:color w:val="000000" w:themeColor="text1"/>
          <w:sz w:val="16"/>
          <w:szCs w:val="16"/>
        </w:rPr>
        <w:noBreakHyphen/>
        <w:t>мм пушки (типа Сячинтова) с полуавтоматическим затвором, и приступить к разработке специальной танковой пушки 45</w:t>
      </w:r>
      <w:r w:rsidRPr="0044524F">
        <w:rPr>
          <w:rFonts w:ascii="Times New Roman" w:hAnsi="Times New Roman"/>
          <w:color w:val="000000" w:themeColor="text1"/>
          <w:sz w:val="16"/>
          <w:szCs w:val="16"/>
        </w:rPr>
        <w:noBreakHyphen/>
        <w:t>мм калибра автоматического типа.</w:t>
      </w:r>
    </w:p>
    <w:p w14:paraId="6D4497C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VII</w:t>
      </w:r>
    </w:p>
    <w:p w14:paraId="7B7E8B1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Усилить производство танковых перископических и оптических прицелов для 45</w:t>
      </w:r>
      <w:r w:rsidRPr="0044524F">
        <w:rPr>
          <w:rFonts w:ascii="Times New Roman" w:hAnsi="Times New Roman"/>
          <w:color w:val="000000" w:themeColor="text1"/>
          <w:sz w:val="16"/>
          <w:szCs w:val="16"/>
        </w:rPr>
        <w:noBreakHyphen/>
        <w:t>мм, 76</w:t>
      </w:r>
      <w:r w:rsidRPr="0044524F">
        <w:rPr>
          <w:rFonts w:ascii="Times New Roman" w:hAnsi="Times New Roman"/>
          <w:color w:val="000000" w:themeColor="text1"/>
          <w:sz w:val="16"/>
          <w:szCs w:val="16"/>
        </w:rPr>
        <w:noBreakHyphen/>
        <w:t>мм пушек и пулеметов с таким расчетом, чтобы, начиная с 1934 г., полностью все танки были снабжены положенными оптическими приборами.</w:t>
      </w:r>
    </w:p>
    <w:p w14:paraId="40AA282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VIII</w:t>
      </w:r>
    </w:p>
    <w:p w14:paraId="5AD3285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основе утвержденной системы бронетанкового вооружения поручить НКТяжпрому совместно с НКВМ к 1 октября 1933 г. разработать и представить на утверждение правительства план необходимых мероприятий для проведения в жизнь утвержденной системы вооружения.</w:t>
      </w:r>
    </w:p>
    <w:p w14:paraId="71BECEE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должен содержать в себе следующие основные элементы: а) развитие производственной базы; б) развитие ремонтной базы; в) мероприятия по переходу на новые типы; г) мероприятия по изготовлению опытных образцов, обеспечению вооружения и огнеприпасов и т. д.</w:t>
      </w:r>
    </w:p>
    <w:p w14:paraId="4014F43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Совета труда и обороны В. Молотов/Скрябин</w:t>
      </w:r>
    </w:p>
    <w:p w14:paraId="7EEAFDD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секретаря Совета труда и обороны Базилевич</w:t>
      </w:r>
    </w:p>
    <w:p w14:paraId="1819CD1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30DEDCD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¹* Танк Т</w:t>
      </w:r>
      <w:r w:rsidRPr="0044524F">
        <w:rPr>
          <w:rFonts w:ascii="Times New Roman" w:hAnsi="Times New Roman"/>
          <w:color w:val="000000" w:themeColor="text1"/>
          <w:sz w:val="16"/>
          <w:szCs w:val="16"/>
        </w:rPr>
        <w:noBreakHyphen/>
        <w:t>37 был разработан конструкторским бюро завода № 37 им. Орджоникидзе в Москве под руководством Н. Н. Козырева. Машина находилась в производстве на заводе № 37 до конца 1933 г. В процессе серийного производства Т</w:t>
      </w:r>
      <w:r w:rsidRPr="0044524F">
        <w:rPr>
          <w:rFonts w:ascii="Times New Roman" w:hAnsi="Times New Roman"/>
          <w:color w:val="000000" w:themeColor="text1"/>
          <w:sz w:val="16"/>
          <w:szCs w:val="16"/>
        </w:rPr>
        <w:noBreakHyphen/>
        <w:t>37 был модернизирован и в последующем с 1933 г. по 1936 г. на заводе выпускался танк Т</w:t>
      </w:r>
      <w:r w:rsidRPr="0044524F">
        <w:rPr>
          <w:rFonts w:ascii="Times New Roman" w:hAnsi="Times New Roman"/>
          <w:color w:val="000000" w:themeColor="text1"/>
          <w:sz w:val="16"/>
          <w:szCs w:val="16"/>
        </w:rPr>
        <w:noBreakHyphen/>
        <w:t>37 А. Однобашенный танк Т</w:t>
      </w:r>
      <w:r w:rsidRPr="0044524F">
        <w:rPr>
          <w:rFonts w:ascii="Times New Roman" w:hAnsi="Times New Roman"/>
          <w:color w:val="000000" w:themeColor="text1"/>
          <w:sz w:val="16"/>
          <w:szCs w:val="16"/>
        </w:rPr>
        <w:noBreakHyphen/>
        <w:t>26 образца 1933 г. был разработан КБ завода «Большевик» под руководством С. А. Гинзбурга. С 1933 по 1938 г. серийно выпускался на заводе № 174 в Ленинграде. Танк БТ-5 был разработан в 1932 г. в КБ ХПЗ под руководством А. О. Фирсова, поставлен на серийное производство в марте 1933 г. и выпускался в Харькове больше года. Был снят с производства в связи с переходом на выпуск танка БТ</w:t>
      </w:r>
      <w:r w:rsidRPr="0044524F">
        <w:rPr>
          <w:rFonts w:ascii="Times New Roman" w:hAnsi="Times New Roman"/>
          <w:color w:val="000000" w:themeColor="text1"/>
          <w:sz w:val="16"/>
          <w:szCs w:val="16"/>
        </w:rPr>
        <w:noBreakHyphen/>
        <w:t>7, разработанный в том же КБ. Танк Т</w:t>
      </w:r>
      <w:r w:rsidRPr="0044524F">
        <w:rPr>
          <w:rFonts w:ascii="Times New Roman" w:hAnsi="Times New Roman"/>
          <w:color w:val="000000" w:themeColor="text1"/>
          <w:sz w:val="16"/>
          <w:szCs w:val="16"/>
        </w:rPr>
        <w:noBreakHyphen/>
        <w:t xml:space="preserve">28 был разработан в 1932 г. на заводе </w:t>
      </w:r>
      <w:r w:rsidRPr="0044524F">
        <w:rPr>
          <w:rFonts w:ascii="Times New Roman" w:hAnsi="Times New Roman"/>
          <w:color w:val="000000" w:themeColor="text1"/>
          <w:sz w:val="16"/>
          <w:szCs w:val="16"/>
        </w:rPr>
        <w:lastRenderedPageBreak/>
        <w:t>им. Ворошилова в Ленинграде. Ведущим инженером машины был О. М. Иванов. Серийное производство организовано на заводе «Красный путиловец». Танк Т</w:t>
      </w:r>
      <w:r w:rsidRPr="0044524F">
        <w:rPr>
          <w:rFonts w:ascii="Times New Roman" w:hAnsi="Times New Roman"/>
          <w:color w:val="000000" w:themeColor="text1"/>
          <w:sz w:val="16"/>
          <w:szCs w:val="16"/>
        </w:rPr>
        <w:noBreakHyphen/>
        <w:t>35 разработан в 1933 г. также на машиностроительном заводе им. Ворошилова. Серийное производство организовано на ХПЗ им. Коминтерна.</w:t>
      </w:r>
    </w:p>
    <w:p w14:paraId="70CA7E3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 РФ. Ф. Р-8418. Оп. 28. Д. 2. Л. 72-79. Подлинник (15277).</w:t>
      </w:r>
    </w:p>
    <w:p w14:paraId="2357FB17" w14:textId="77777777" w:rsidR="00871A0E" w:rsidRPr="0044524F" w:rsidRDefault="00871A0E" w:rsidP="009654CF">
      <w:pPr>
        <w:spacing w:after="0" w:line="240" w:lineRule="auto"/>
        <w:jc w:val="both"/>
        <w:rPr>
          <w:rFonts w:ascii="Times New Roman" w:hAnsi="Times New Roman"/>
          <w:color w:val="000000" w:themeColor="text1"/>
          <w:sz w:val="16"/>
          <w:szCs w:val="16"/>
        </w:rPr>
      </w:pPr>
    </w:p>
    <w:p w14:paraId="01485A6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ранее 13 августа 1933 г.¹* Рапорт Главного военно-мобилизационного управления НКТП СССР наркому тяжелой промышленности СССР С. Орджоникидзе о ходе реализации системы танкового перевооружения РККА</w:t>
      </w:r>
    </w:p>
    <w:p w14:paraId="4FBFF77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секретно.</w:t>
      </w:r>
    </w:p>
    <w:p w14:paraId="1286050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 Комиссия обороны утвердила систему танкового перевооружения РККА и постановила с 1936 г. перейти на более совершенные конструкции.</w:t>
      </w:r>
    </w:p>
    <w:p w14:paraId="3A7B863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этом заседании т. Сталин дал директиву: 1. Свести все образцы танкового вооружения к 5 типам. 2. Перевести основные типы танков с гусеничного хода на колесно-гусеничный. 3. Разработать переход всех типов танков на тяжелое топливо (дизель-мотор). 4. Улучшение боевых качеств машин, находящихся на вооружении.</w:t>
      </w:r>
    </w:p>
    <w:p w14:paraId="2FD9511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директив т. Сталина и постановления КО на Опытном заводе им. Кирова, ХПЗ и заводе № 37 изготовлены опытные образцы танков, обеспечивающие перевооружение РККА в установленные сроки.</w:t>
      </w:r>
    </w:p>
    <w:p w14:paraId="3F098A8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тип. Разведывательные танки (плавающие танкетки)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82"/>
        <w:gridCol w:w="1768"/>
        <w:gridCol w:w="1624"/>
        <w:gridCol w:w="1624"/>
        <w:gridCol w:w="1624"/>
      </w:tblGrid>
      <w:tr w:rsidR="004E10C1" w:rsidRPr="0044524F" w14:paraId="4CCBA2A6"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C14DB7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данные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73591A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Находящиеся на</w:t>
            </w:r>
          </w:p>
          <w:p w14:paraId="5D21402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вооружении</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5FA80B7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Новые образцы танкеток для перевооружения</w:t>
            </w:r>
          </w:p>
        </w:tc>
      </w:tr>
      <w:tr w:rsidR="004E10C1" w:rsidRPr="0044524F" w14:paraId="2DFA0897"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B2BA7C7" w14:textId="77777777" w:rsidR="00871A0E" w:rsidRPr="0044524F" w:rsidRDefault="00871A0E"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D03F3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Т-37-А</w:t>
            </w:r>
          </w:p>
          <w:p w14:paraId="14168E4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(гусенично-</w:t>
            </w:r>
          </w:p>
          <w:p w14:paraId="405D1D7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плавающие)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F3F8E9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Т-43</w:t>
            </w:r>
          </w:p>
          <w:p w14:paraId="544DC0B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Опытного</w:t>
            </w:r>
          </w:p>
          <w:p w14:paraId="45E8385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завода</w:t>
            </w:r>
          </w:p>
          <w:p w14:paraId="78C5B94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(колесно-</w:t>
            </w:r>
          </w:p>
          <w:p w14:paraId="546256B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гусенично-</w:t>
            </w:r>
          </w:p>
          <w:p w14:paraId="5BA5E76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плавающие)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6AA247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Т-43</w:t>
            </w:r>
          </w:p>
          <w:p w14:paraId="4846CEB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завода № 37</w:t>
            </w:r>
          </w:p>
          <w:p w14:paraId="5F750D4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(колесно-</w:t>
            </w:r>
          </w:p>
          <w:p w14:paraId="288A817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гусенично</w:t>
            </w:r>
          </w:p>
          <w:p w14:paraId="64952F3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плавающие)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A41E07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Т-38</w:t>
            </w:r>
          </w:p>
          <w:p w14:paraId="5C4C527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завода № 37</w:t>
            </w:r>
          </w:p>
          <w:p w14:paraId="7704DCB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(гусенично-</w:t>
            </w:r>
          </w:p>
          <w:p w14:paraId="10948D3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плавающие)</w:t>
            </w:r>
          </w:p>
        </w:tc>
      </w:tr>
      <w:tr w:rsidR="004E10C1" w:rsidRPr="0044524F" w14:paraId="6932480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2856A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2904D2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4ECDC4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c>
          <w:tcPr>
            <w:tcW w:w="0" w:type="auto"/>
            <w:tcBorders>
              <w:top w:val="outset" w:sz="6" w:space="0" w:color="auto"/>
              <w:left w:val="outset" w:sz="6" w:space="0" w:color="auto"/>
              <w:bottom w:val="outset" w:sz="6" w:space="0" w:color="auto"/>
              <w:right w:val="outset" w:sz="6" w:space="0" w:color="auto"/>
            </w:tcBorders>
            <w:vAlign w:val="center"/>
            <w:hideMark/>
          </w:tcPr>
          <w:p w14:paraId="1DCCA84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4F61778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r>
      <w:tr w:rsidR="004E10C1" w:rsidRPr="0044524F" w14:paraId="62C0957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034A2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FB64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14:paraId="0D41411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1B6A49F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4A7A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r>
      <w:tr w:rsidR="004E10C1" w:rsidRPr="0044524F" w14:paraId="3495663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1331AB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094136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w:t>
            </w:r>
          </w:p>
        </w:tc>
        <w:tc>
          <w:tcPr>
            <w:tcW w:w="0" w:type="auto"/>
            <w:tcBorders>
              <w:top w:val="outset" w:sz="6" w:space="0" w:color="auto"/>
              <w:left w:val="outset" w:sz="6" w:space="0" w:color="auto"/>
              <w:bottom w:val="outset" w:sz="6" w:space="0" w:color="auto"/>
              <w:right w:val="outset" w:sz="6" w:space="0" w:color="auto"/>
            </w:tcBorders>
            <w:vAlign w:val="center"/>
            <w:hideMark/>
          </w:tcPr>
          <w:p w14:paraId="7BB9301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765F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9036D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2,12</w:t>
            </w:r>
          </w:p>
        </w:tc>
      </w:tr>
      <w:tr w:rsidR="004E10C1" w:rsidRPr="0044524F" w14:paraId="0C83789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2804DE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F3ABBD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5F8A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12A1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w:t>
            </w:r>
          </w:p>
        </w:tc>
        <w:tc>
          <w:tcPr>
            <w:tcW w:w="0" w:type="auto"/>
            <w:tcBorders>
              <w:top w:val="outset" w:sz="6" w:space="0" w:color="auto"/>
              <w:left w:val="outset" w:sz="6" w:space="0" w:color="auto"/>
              <w:bottom w:val="outset" w:sz="6" w:space="0" w:color="auto"/>
              <w:right w:val="outset" w:sz="6" w:space="0" w:color="auto"/>
            </w:tcBorders>
            <w:vAlign w:val="center"/>
            <w:hideMark/>
          </w:tcPr>
          <w:p w14:paraId="58994F4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w:t>
            </w:r>
          </w:p>
        </w:tc>
      </w:tr>
      <w:tr w:rsidR="004E10C1" w:rsidRPr="0044524F" w14:paraId="6620FC5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AB50C5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Марка и мощность двигателя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7EA86D1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 40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E816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 48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1067D33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 48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A1DD92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 40 л. с.</w:t>
            </w:r>
          </w:p>
        </w:tc>
      </w:tr>
      <w:tr w:rsidR="004E10C1" w:rsidRPr="0044524F" w14:paraId="00118C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7D9EF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на 1 т веса в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7A81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808761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6196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A2888B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14,7 л. с.</w:t>
            </w:r>
          </w:p>
        </w:tc>
      </w:tr>
      <w:tr w:rsidR="004E10C1" w:rsidRPr="0044524F" w14:paraId="0A292CE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3D6C4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0C10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FA9349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52FD3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FC8EC9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пулемет</w:t>
            </w:r>
          </w:p>
        </w:tc>
      </w:tr>
      <w:tr w:rsidR="004E10C1" w:rsidRPr="0044524F" w14:paraId="6D25AB7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AB8D4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7B8F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2140 пат.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5F528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 пат.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D5EA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 пат.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C56130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1512 пат.</w:t>
            </w:r>
          </w:p>
        </w:tc>
      </w:tr>
      <w:tr w:rsidR="004E10C1" w:rsidRPr="0044524F" w14:paraId="20B72F5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2FFAF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0BB2CE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6274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20CCF3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307557D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чел.</w:t>
            </w:r>
          </w:p>
        </w:tc>
      </w:tr>
      <w:tr w:rsidR="004E10C1" w:rsidRPr="0044524F" w14:paraId="00278903"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A0EA5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6E4AC02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B9987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BDFD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B66C1D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 км</w:t>
            </w:r>
          </w:p>
        </w:tc>
      </w:tr>
      <w:tr w:rsidR="004E10C1" w:rsidRPr="0044524F" w14:paraId="286E8C9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7BFF02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96C437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964D86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CCFC4F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9C3D27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1E2EB2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14DA9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на плаву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1D8B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4083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7AB61F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4D95D7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км</w:t>
            </w:r>
          </w:p>
        </w:tc>
      </w:tr>
      <w:tr w:rsidR="004E10C1" w:rsidRPr="0044524F" w14:paraId="6A7A7F7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632F7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преод[олеваемых]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110A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w:t>
            </w:r>
          </w:p>
        </w:tc>
        <w:tc>
          <w:tcPr>
            <w:tcW w:w="0" w:type="auto"/>
            <w:tcBorders>
              <w:top w:val="outset" w:sz="6" w:space="0" w:color="auto"/>
              <w:left w:val="outset" w:sz="6" w:space="0" w:color="auto"/>
              <w:bottom w:val="outset" w:sz="6" w:space="0" w:color="auto"/>
              <w:right w:val="outset" w:sz="6" w:space="0" w:color="auto"/>
            </w:tcBorders>
            <w:vAlign w:val="center"/>
            <w:hideMark/>
          </w:tcPr>
          <w:p w14:paraId="0889568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A1E5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w:t>
            </w:r>
          </w:p>
        </w:tc>
        <w:tc>
          <w:tcPr>
            <w:tcW w:w="0" w:type="auto"/>
            <w:tcBorders>
              <w:top w:val="outset" w:sz="6" w:space="0" w:color="auto"/>
              <w:left w:val="outset" w:sz="6" w:space="0" w:color="auto"/>
              <w:bottom w:val="outset" w:sz="6" w:space="0" w:color="auto"/>
              <w:right w:val="outset" w:sz="6" w:space="0" w:color="auto"/>
            </w:tcBorders>
            <w:vAlign w:val="center"/>
            <w:hideMark/>
          </w:tcPr>
          <w:p w14:paraId="3FF9BAA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w:t>
            </w:r>
          </w:p>
        </w:tc>
      </w:tr>
      <w:tr w:rsidR="004E10C1" w:rsidRPr="0044524F" w14:paraId="57FA521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79008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преод[олеваемого] рва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5FE0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47BF3B5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5636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379F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403EEF9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92B3A8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0490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AE1CB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290281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2F5DE5A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r>
      <w:tr w:rsidR="004E10C1" w:rsidRPr="0044524F" w14:paraId="083C485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7B0E4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хода — на гусеницах —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0DEEAF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14:paraId="52E902A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16F93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62755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r>
      <w:tr w:rsidR="004E10C1" w:rsidRPr="0044524F" w14:paraId="4729FD7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B04B9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хода — на колесах —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0776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B00C5C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B0B26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B8A8A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C516FD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ED4A9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38D6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64564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2E4E9B9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9-8-6</w:t>
            </w:r>
          </w:p>
        </w:tc>
        <w:tc>
          <w:tcPr>
            <w:tcW w:w="0" w:type="auto"/>
            <w:tcBorders>
              <w:top w:val="outset" w:sz="6" w:space="0" w:color="auto"/>
              <w:left w:val="outset" w:sz="6" w:space="0" w:color="auto"/>
              <w:bottom w:val="outset" w:sz="6" w:space="0" w:color="auto"/>
              <w:right w:val="outset" w:sz="6" w:space="0" w:color="auto"/>
            </w:tcBorders>
            <w:vAlign w:val="center"/>
            <w:hideMark/>
          </w:tcPr>
          <w:p w14:paraId="18B2BEE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9-6-4</w:t>
            </w:r>
          </w:p>
        </w:tc>
      </w:tr>
      <w:tr w:rsidR="004E10C1" w:rsidRPr="0044524F" w14:paraId="0B73FE1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B3D5EF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Ведущие колеса колесного хода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C719A0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EC61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767298E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560BE5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bl>
    <w:p w14:paraId="7BE72E9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6EF425B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Новые образцы Т</w:t>
      </w:r>
      <w:r w:rsidRPr="0044524F">
        <w:rPr>
          <w:rFonts w:ascii="Times New Roman" w:hAnsi="Times New Roman"/>
          <w:color w:val="000000" w:themeColor="text1"/>
          <w:sz w:val="16"/>
          <w:szCs w:val="16"/>
        </w:rPr>
        <w:noBreakHyphen/>
        <w:t>43, по сравнению со старым типом Т</w:t>
      </w:r>
      <w:r w:rsidRPr="0044524F">
        <w:rPr>
          <w:rFonts w:ascii="Times New Roman" w:hAnsi="Times New Roman"/>
          <w:color w:val="000000" w:themeColor="text1"/>
          <w:sz w:val="16"/>
          <w:szCs w:val="16"/>
        </w:rPr>
        <w:noBreakHyphen/>
        <w:t>37А, имеют большую маневренность (колесный ход) с 4 ведущими колесами, большую проходимость, больший запас горючего, большую мощность, больший запас хода и лучшую пулестойкость в силу многогранности корпуса. Плавающая танкетка Т</w:t>
      </w:r>
      <w:r w:rsidRPr="0044524F">
        <w:rPr>
          <w:rFonts w:ascii="Times New Roman" w:hAnsi="Times New Roman"/>
          <w:color w:val="000000" w:themeColor="text1"/>
          <w:sz w:val="16"/>
          <w:szCs w:val="16"/>
        </w:rPr>
        <w:noBreakHyphen/>
        <w:t>38, хотя и оставлена только на гусеничном ходу, все же имеет ряд преимуществ перед старым типом Т</w:t>
      </w:r>
      <w:r w:rsidRPr="0044524F">
        <w:rPr>
          <w:rFonts w:ascii="Times New Roman" w:hAnsi="Times New Roman"/>
          <w:color w:val="000000" w:themeColor="text1"/>
          <w:sz w:val="16"/>
          <w:szCs w:val="16"/>
        </w:rPr>
        <w:noBreakHyphen/>
        <w:t>37 А, как то: значительно меньшая высота, легче весом на 0,8 т, быстрее на ходу, проще в производстве.</w:t>
      </w:r>
    </w:p>
    <w:p w14:paraId="2757878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разведывательных танков в Англии куплен дизель-мотор «Перкинс», который испытан на танкетке Т</w:t>
      </w:r>
      <w:r w:rsidRPr="0044524F">
        <w:rPr>
          <w:rFonts w:ascii="Times New Roman" w:hAnsi="Times New Roman"/>
          <w:color w:val="000000" w:themeColor="text1"/>
          <w:sz w:val="16"/>
          <w:szCs w:val="16"/>
        </w:rPr>
        <w:noBreakHyphen/>
        <w:t>37 А и будет использован на новых образцах Т</w:t>
      </w:r>
      <w:r w:rsidRPr="0044524F">
        <w:rPr>
          <w:rFonts w:ascii="Times New Roman" w:hAnsi="Times New Roman"/>
          <w:color w:val="000000" w:themeColor="text1"/>
          <w:sz w:val="16"/>
          <w:szCs w:val="16"/>
        </w:rPr>
        <w:noBreakHyphen/>
        <w:t>43 и Т</w:t>
      </w:r>
      <w:r w:rsidRPr="0044524F">
        <w:rPr>
          <w:rFonts w:ascii="Times New Roman" w:hAnsi="Times New Roman"/>
          <w:color w:val="000000" w:themeColor="text1"/>
          <w:sz w:val="16"/>
          <w:szCs w:val="16"/>
        </w:rPr>
        <w:noBreakHyphen/>
        <w:t>38 после соответствующей доработки.</w:t>
      </w:r>
    </w:p>
    <w:p w14:paraId="63F6A90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тип. Общевойсковой танк (типа «Виккерс»)</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76"/>
        <w:gridCol w:w="2337"/>
        <w:gridCol w:w="3409"/>
      </w:tblGrid>
      <w:tr w:rsidR="004E10C1" w:rsidRPr="0044524F" w14:paraId="5AB85058"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8BFFFE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данные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8C868B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Находящиеся</w:t>
            </w:r>
          </w:p>
          <w:p w14:paraId="4B66896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7B2FCF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Новые образцы</w:t>
            </w:r>
          </w:p>
          <w:p w14:paraId="689FEF9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перевооружения</w:t>
            </w:r>
          </w:p>
        </w:tc>
      </w:tr>
      <w:tr w:rsidR="004E10C1" w:rsidRPr="0044524F" w14:paraId="105858AA"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BEF38E7" w14:textId="77777777" w:rsidR="00871A0E" w:rsidRPr="0044524F" w:rsidRDefault="00871A0E"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366D63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26 (гусеничный)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44C1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46 (колесно-гусеничный)</w:t>
            </w:r>
          </w:p>
        </w:tc>
      </w:tr>
      <w:tr w:rsidR="004E10C1" w:rsidRPr="0044524F" w14:paraId="02D3C26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4E35B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FA40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F414E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04C1D2B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0D4EDD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3B5FCF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c>
          <w:tcPr>
            <w:tcW w:w="0" w:type="auto"/>
            <w:tcBorders>
              <w:top w:val="outset" w:sz="6" w:space="0" w:color="auto"/>
              <w:left w:val="outset" w:sz="6" w:space="0" w:color="auto"/>
              <w:bottom w:val="outset" w:sz="6" w:space="0" w:color="auto"/>
              <w:right w:val="outset" w:sz="6" w:space="0" w:color="auto"/>
            </w:tcBorders>
            <w:vAlign w:val="center"/>
            <w:hideMark/>
          </w:tcPr>
          <w:p w14:paraId="07B6A41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5,24</w:t>
            </w:r>
          </w:p>
        </w:tc>
      </w:tr>
      <w:tr w:rsidR="004E10C1" w:rsidRPr="0044524F" w14:paraId="29F9071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BD471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A5E09C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AB481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w:t>
            </w:r>
          </w:p>
        </w:tc>
      </w:tr>
      <w:tr w:rsidR="004E10C1" w:rsidRPr="0044524F" w14:paraId="5F33604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92302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04D715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601695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2,43</w:t>
            </w:r>
          </w:p>
        </w:tc>
      </w:tr>
      <w:tr w:rsidR="004E10C1" w:rsidRPr="0044524F" w14:paraId="30FE0E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00B78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D203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1AA37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47AA69D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74CCF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4E8104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пушка 45 мм</w:t>
            </w:r>
          </w:p>
          <w:p w14:paraId="75C5208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пулемета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67D9F6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пушка 45 мм</w:t>
            </w:r>
          </w:p>
          <w:p w14:paraId="3C5818E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пулемета</w:t>
            </w:r>
          </w:p>
          <w:p w14:paraId="1ABFB5B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огнемет</w:t>
            </w:r>
          </w:p>
        </w:tc>
      </w:tr>
      <w:tr w:rsidR="004E10C1" w:rsidRPr="0044524F" w14:paraId="1C4454A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FAA764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9601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 снаряда</w:t>
            </w:r>
          </w:p>
          <w:p w14:paraId="2637E61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981C4F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 снарядов</w:t>
            </w:r>
          </w:p>
          <w:p w14:paraId="126DE05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3200 патронов</w:t>
            </w:r>
          </w:p>
        </w:tc>
      </w:tr>
      <w:tr w:rsidR="004E10C1" w:rsidRPr="0044524F" w14:paraId="76F3BBA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71605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Команда —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0C89CE3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B9AB7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71FCB47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723A0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на гусеницах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8E1E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6F402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км</w:t>
            </w:r>
          </w:p>
        </w:tc>
      </w:tr>
      <w:tr w:rsidR="004E10C1" w:rsidRPr="0044524F" w14:paraId="12E8684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A5129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5C6724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B2F0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 км</w:t>
            </w:r>
          </w:p>
        </w:tc>
      </w:tr>
      <w:tr w:rsidR="004E10C1" w:rsidRPr="0044524F" w14:paraId="442D4FC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F536D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преодол[еваемых] препятствий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246E2F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7F56A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0,85 м</w:t>
            </w:r>
          </w:p>
        </w:tc>
      </w:tr>
      <w:tr w:rsidR="004E10C1" w:rsidRPr="0044524F" w14:paraId="4582EA1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959E40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Брод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88DA18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w:t>
            </w:r>
          </w:p>
        </w:tc>
        <w:tc>
          <w:tcPr>
            <w:tcW w:w="0" w:type="auto"/>
            <w:tcBorders>
              <w:top w:val="outset" w:sz="6" w:space="0" w:color="auto"/>
              <w:left w:val="outset" w:sz="6" w:space="0" w:color="auto"/>
              <w:bottom w:val="outset" w:sz="6" w:space="0" w:color="auto"/>
              <w:right w:val="outset" w:sz="6" w:space="0" w:color="auto"/>
            </w:tcBorders>
            <w:vAlign w:val="center"/>
            <w:hideMark/>
          </w:tcPr>
          <w:p w14:paraId="5C79BE3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171AA88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5C6C3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преодол[еваемых]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6AF983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296EB4C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r>
      <w:tr w:rsidR="004E10C1" w:rsidRPr="0044524F" w14:paraId="684B34D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4C072F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607A72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14:paraId="3EA558C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r>
      <w:tr w:rsidR="004E10C1" w:rsidRPr="0044524F" w14:paraId="075DAD8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837DE1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хода — в км на гусеницах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24F45F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3AC32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r>
      <w:tr w:rsidR="004E10C1" w:rsidRPr="0044524F" w14:paraId="278EDA4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FD5DB6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хода — в км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A4F827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E07D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w:t>
            </w:r>
          </w:p>
        </w:tc>
      </w:tr>
      <w:tr w:rsidR="004E10C1" w:rsidRPr="0044524F" w14:paraId="37AF259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58D19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06CD0F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09986D8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1B2691D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542FA1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Клиренс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581EA9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1D50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w:t>
            </w:r>
          </w:p>
        </w:tc>
      </w:tr>
      <w:tr w:rsidR="004E10C1" w:rsidRPr="0044524F" w14:paraId="3B11407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1B68BB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 на 1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B1A2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1C69A1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л. с.</w:t>
            </w:r>
          </w:p>
        </w:tc>
      </w:tr>
      <w:tr w:rsidR="004E10C1" w:rsidRPr="0044524F" w14:paraId="538F988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E3CBB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Ведущих колес колесного хода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10BD15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6B2C4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r>
    </w:tbl>
    <w:p w14:paraId="46DB89C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6F4242A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Новый образец колесно-гусеничного танка, благодаря наличию колесного хода с 4 ведущими колесами, значительно большим запасом мощности, большей проходимостью, большим запасом хода и большими скоростями как на гусеницах, так и на колесах, имеет гораздо большую маневренность; кроме того, имеет более </w:t>
      </w:r>
      <w:r w:rsidRPr="0044524F">
        <w:rPr>
          <w:rFonts w:ascii="Times New Roman" w:hAnsi="Times New Roman"/>
          <w:color w:val="000000" w:themeColor="text1"/>
          <w:sz w:val="16"/>
          <w:szCs w:val="16"/>
        </w:rPr>
        <w:lastRenderedPageBreak/>
        <w:t>мощное вооружение. 300</w:t>
      </w:r>
      <w:r w:rsidRPr="0044524F">
        <w:rPr>
          <w:rFonts w:ascii="Times New Roman" w:hAnsi="Times New Roman"/>
          <w:color w:val="000000" w:themeColor="text1"/>
          <w:sz w:val="16"/>
          <w:szCs w:val="16"/>
        </w:rPr>
        <w:noBreakHyphen/>
        <w:t>сильный мотор этого танка с воздушным охлаждением изготовлен Опытным заводом им. Кирова по собственной конструкции. Для этого типа танков, имеющихся на вооружении, заводом им. Кирова и заводом им. Ворошилова разработаны проекты дизель-моторов с воздушным охлаждением в 90 и 115 л. с.</w:t>
      </w:r>
    </w:p>
    <w:p w14:paraId="5C030D6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нового образца танка Т</w:t>
      </w:r>
      <w:r w:rsidRPr="0044524F">
        <w:rPr>
          <w:rFonts w:ascii="Times New Roman" w:hAnsi="Times New Roman"/>
          <w:color w:val="000000" w:themeColor="text1"/>
          <w:sz w:val="16"/>
          <w:szCs w:val="16"/>
        </w:rPr>
        <w:noBreakHyphen/>
        <w:t>46 Опытным заводом им. Кирова разработаны дизель-мотор ДМТ</w:t>
      </w:r>
      <w:r w:rsidRPr="0044524F">
        <w:rPr>
          <w:rFonts w:ascii="Times New Roman" w:hAnsi="Times New Roman"/>
          <w:color w:val="000000" w:themeColor="text1"/>
          <w:sz w:val="16"/>
          <w:szCs w:val="16"/>
        </w:rPr>
        <w:noBreakHyphen/>
        <w:t>7 — 250 л. с. Все эти дизеля будут готовы к концу 1935 г.</w:t>
      </w:r>
    </w:p>
    <w:p w14:paraId="7C27010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Третий тип. Оперативный танк (типа «Кристи»)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399"/>
        <w:gridCol w:w="1810"/>
        <w:gridCol w:w="2062"/>
        <w:gridCol w:w="2051"/>
      </w:tblGrid>
      <w:tr w:rsidR="004E10C1" w:rsidRPr="0044524F" w14:paraId="1C1556AE"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F5EB7F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данные</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FC3691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Находящиеся 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3C81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Новые образцы</w:t>
            </w:r>
          </w:p>
          <w:p w14:paraId="4440C6E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w:t>
            </w:r>
          </w:p>
          <w:p w14:paraId="041B082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перевооружения</w:t>
            </w:r>
          </w:p>
        </w:tc>
      </w:tr>
      <w:tr w:rsidR="004E10C1" w:rsidRPr="0044524F" w14:paraId="0FCE51D6"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9AB0AC1" w14:textId="77777777" w:rsidR="00871A0E" w:rsidRPr="0044524F" w:rsidRDefault="00871A0E"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1C87B2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БТ</w:t>
            </w:r>
            <w:r w:rsidRPr="0044524F">
              <w:rPr>
                <w:rFonts w:ascii="Times New Roman" w:hAnsi="Times New Roman"/>
                <w:color w:val="000000" w:themeColor="text1"/>
                <w:sz w:val="16"/>
                <w:szCs w:val="16"/>
              </w:rPr>
              <w:noBreakHyphen/>
              <w:t>5 (колесно-</w:t>
            </w:r>
          </w:p>
          <w:p w14:paraId="7328AC4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гусеничный)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A66135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БТ</w:t>
            </w:r>
            <w:r w:rsidRPr="0044524F">
              <w:rPr>
                <w:rFonts w:ascii="Times New Roman" w:hAnsi="Times New Roman"/>
                <w:color w:val="000000" w:themeColor="text1"/>
                <w:sz w:val="16"/>
                <w:szCs w:val="16"/>
              </w:rPr>
              <w:noBreakHyphen/>
              <w:t>7 (колесно-</w:t>
            </w:r>
          </w:p>
          <w:p w14:paraId="3900815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гусеничный с</w:t>
            </w:r>
          </w:p>
          <w:p w14:paraId="636DC76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новым мотором,</w:t>
            </w:r>
          </w:p>
          <w:p w14:paraId="0586D4F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производя</w:t>
            </w:r>
            <w:r w:rsidRPr="0044524F">
              <w:rPr>
                <w:rFonts w:ascii="Times New Roman" w:hAnsi="Times New Roman"/>
                <w:color w:val="000000" w:themeColor="text1"/>
                <w:sz w:val="16"/>
                <w:szCs w:val="16"/>
              </w:rPr>
              <w:softHyphen/>
              <w:t>щимся</w:t>
            </w:r>
          </w:p>
          <w:p w14:paraId="20A4E3D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0C4ABD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ПТ-1А (колесно-</w:t>
            </w:r>
          </w:p>
          <w:p w14:paraId="4400DB3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гусенично-</w:t>
            </w:r>
          </w:p>
          <w:p w14:paraId="6FE7199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плавающий)</w:t>
            </w:r>
          </w:p>
        </w:tc>
      </w:tr>
      <w:tr w:rsidR="004E10C1" w:rsidRPr="0044524F" w14:paraId="7DFA61E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26426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BCE441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16AB6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9623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15,3</w:t>
            </w:r>
          </w:p>
        </w:tc>
      </w:tr>
      <w:tr w:rsidR="004E10C1" w:rsidRPr="0044524F" w14:paraId="2591FA8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8AA70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73FD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0D98013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0" w:type="auto"/>
            <w:tcBorders>
              <w:top w:val="outset" w:sz="6" w:space="0" w:color="auto"/>
              <w:left w:val="outset" w:sz="6" w:space="0" w:color="auto"/>
              <w:bottom w:val="outset" w:sz="6" w:space="0" w:color="auto"/>
              <w:right w:val="outset" w:sz="6" w:space="0" w:color="auto"/>
            </w:tcBorders>
            <w:vAlign w:val="center"/>
            <w:hideMark/>
          </w:tcPr>
          <w:p w14:paraId="1B72FE4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6,89</w:t>
            </w:r>
          </w:p>
        </w:tc>
      </w:tr>
      <w:tr w:rsidR="004E10C1" w:rsidRPr="0044524F" w14:paraId="746F702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45F0B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230F2E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3AE4428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14:paraId="61D99D2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2,91</w:t>
            </w:r>
          </w:p>
        </w:tc>
      </w:tr>
      <w:tr w:rsidR="004E10C1" w:rsidRPr="0044524F" w14:paraId="5ABAEBA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2F94B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668071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3FD0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2,41</w:t>
            </w:r>
          </w:p>
        </w:tc>
        <w:tc>
          <w:tcPr>
            <w:tcW w:w="0" w:type="auto"/>
            <w:tcBorders>
              <w:top w:val="outset" w:sz="6" w:space="0" w:color="auto"/>
              <w:left w:val="outset" w:sz="6" w:space="0" w:color="auto"/>
              <w:bottom w:val="outset" w:sz="6" w:space="0" w:color="auto"/>
              <w:right w:val="outset" w:sz="6" w:space="0" w:color="auto"/>
            </w:tcBorders>
            <w:vAlign w:val="center"/>
            <w:hideMark/>
          </w:tcPr>
          <w:p w14:paraId="686DE36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2,64</w:t>
            </w:r>
          </w:p>
        </w:tc>
      </w:tr>
      <w:tr w:rsidR="004E10C1" w:rsidRPr="0044524F" w14:paraId="4F9BC83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EFF0D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Марка и мощность мотора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2F81DC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М-5-400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439B772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М-17-500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6991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М-17-500 л. с.</w:t>
            </w:r>
          </w:p>
        </w:tc>
      </w:tr>
      <w:tr w:rsidR="004E10C1" w:rsidRPr="0044524F" w14:paraId="3341819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5DD7E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930898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пушка 45 мм</w:t>
            </w:r>
          </w:p>
          <w:p w14:paraId="56195E0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пулемет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63A20B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пушка 76 мм</w:t>
            </w:r>
          </w:p>
          <w:p w14:paraId="1F06005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пулемета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471C9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пушка 45 мм</w:t>
            </w:r>
          </w:p>
          <w:p w14:paraId="7720755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пулемета</w:t>
            </w:r>
          </w:p>
        </w:tc>
      </w:tr>
      <w:tr w:rsidR="004E10C1" w:rsidRPr="0044524F" w14:paraId="20DD166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31442C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B51F75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 снарядов</w:t>
            </w:r>
          </w:p>
          <w:p w14:paraId="428A05E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2700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0D47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 снарядов</w:t>
            </w:r>
          </w:p>
          <w:p w14:paraId="54B3D4D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2700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11F9F0E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 снарядов</w:t>
            </w:r>
          </w:p>
          <w:p w14:paraId="3C9AFCB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 патронов</w:t>
            </w:r>
          </w:p>
        </w:tc>
      </w:tr>
      <w:tr w:rsidR="004E10C1" w:rsidRPr="0044524F" w14:paraId="2D10699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CB129C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39DD37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8C6AAA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688E103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чел.</w:t>
            </w:r>
          </w:p>
        </w:tc>
      </w:tr>
      <w:tr w:rsidR="004E10C1" w:rsidRPr="0044524F" w14:paraId="59E948E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AEAED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на гусеницах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6D77A0F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7ED0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D7E7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 км</w:t>
            </w:r>
          </w:p>
        </w:tc>
      </w:tr>
      <w:tr w:rsidR="004E10C1" w:rsidRPr="0044524F" w14:paraId="1D6A9EC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9FF16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43FC206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A740D8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1379C0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 км</w:t>
            </w:r>
          </w:p>
        </w:tc>
      </w:tr>
      <w:tr w:rsidR="004E10C1" w:rsidRPr="0044524F" w14:paraId="07165C59"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9FC0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на плаву</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67A2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829DDD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2FBA9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 км</w:t>
            </w:r>
          </w:p>
        </w:tc>
      </w:tr>
      <w:tr w:rsidR="004E10C1" w:rsidRPr="0044524F" w14:paraId="11B43F5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FE170D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преодол[еваемых]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6B3A06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341D929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D8E934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w:t>
            </w:r>
          </w:p>
        </w:tc>
      </w:tr>
      <w:tr w:rsidR="004E10C1" w:rsidRPr="0044524F" w14:paraId="4742E2B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AEEC9E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Брод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40F2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0D858D5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0,9</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C952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Плавающий</w:t>
            </w:r>
          </w:p>
        </w:tc>
      </w:tr>
      <w:tr w:rsidR="004E10C1" w:rsidRPr="0044524F" w14:paraId="28B4121A"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C016A3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преодол[еваемых] препятствий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5907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94B54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BECB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2FB56CF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F27341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05CBC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7ED2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0108A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3A1EADB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2152E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хода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77E8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EDE5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541E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 км</w:t>
            </w:r>
          </w:p>
        </w:tc>
      </w:tr>
      <w:tr w:rsidR="004E10C1" w:rsidRPr="0044524F" w14:paraId="579B10A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FA003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хода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64E0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84CA13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25F3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 км</w:t>
            </w:r>
          </w:p>
        </w:tc>
      </w:tr>
      <w:tr w:rsidR="004E10C1" w:rsidRPr="0044524F" w14:paraId="3884FBD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DAAA6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9C9676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8F9BE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5BBD9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15,13</w:t>
            </w:r>
          </w:p>
        </w:tc>
      </w:tr>
      <w:tr w:rsidR="004E10C1" w:rsidRPr="0044524F" w14:paraId="7DF165C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0BDFA3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Клиренс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4CFA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0FBC1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AFD0F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r>
      <w:tr w:rsidR="004E10C1" w:rsidRPr="0044524F" w14:paraId="075E8A3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0DB7F4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на 1 т веса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ADBE5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35,7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76C3F1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40,1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EBD186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33,4 л. с.</w:t>
            </w:r>
          </w:p>
        </w:tc>
      </w:tr>
      <w:tr w:rsidR="004E10C1" w:rsidRPr="0044524F" w14:paraId="4F61581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0E9A63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Ведущих колес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E9B63D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1A51848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4456C21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r>
    </w:tbl>
    <w:p w14:paraId="647CE20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25F86D4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образец танка ПТ</w:t>
      </w:r>
      <w:r w:rsidRPr="0044524F">
        <w:rPr>
          <w:rFonts w:ascii="Times New Roman" w:hAnsi="Times New Roman"/>
          <w:color w:val="000000" w:themeColor="text1"/>
          <w:sz w:val="16"/>
          <w:szCs w:val="16"/>
        </w:rPr>
        <w:noBreakHyphen/>
        <w:t>1А, идущий на замену БТ</w:t>
      </w:r>
      <w:r w:rsidRPr="0044524F">
        <w:rPr>
          <w:rFonts w:ascii="Times New Roman" w:hAnsi="Times New Roman"/>
          <w:color w:val="000000" w:themeColor="text1"/>
          <w:sz w:val="16"/>
          <w:szCs w:val="16"/>
        </w:rPr>
        <w:noBreakHyphen/>
        <w:t>5, имеет ряд крупных преимуществ, как то: плавучесть, больший запас хода, большую скорость при 8 ведущих колесах, обеспечивающую большую маневренность.</w:t>
      </w:r>
    </w:p>
    <w:p w14:paraId="4684255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все эти три типа оперативных танков могут быть установлены дизель-моторы 400 л. с., изготовленные ХПЗ. Установка этого дизель-мотора значительно повышает маневренность танков, доводя запас хода танка БТ</w:t>
      </w:r>
      <w:r w:rsidRPr="0044524F">
        <w:rPr>
          <w:rFonts w:ascii="Times New Roman" w:hAnsi="Times New Roman"/>
          <w:color w:val="000000" w:themeColor="text1"/>
          <w:sz w:val="16"/>
          <w:szCs w:val="16"/>
        </w:rPr>
        <w:noBreakHyphen/>
        <w:t>7 до 720 км, вместо 450 км на бензиновом моторе, и ПТ</w:t>
      </w:r>
      <w:r w:rsidRPr="0044524F">
        <w:rPr>
          <w:rFonts w:ascii="Times New Roman" w:hAnsi="Times New Roman"/>
          <w:color w:val="000000" w:themeColor="text1"/>
          <w:sz w:val="16"/>
          <w:szCs w:val="16"/>
        </w:rPr>
        <w:noBreakHyphen/>
        <w:t>1А — до 400 км, вместо 250 км.</w:t>
      </w:r>
    </w:p>
    <w:p w14:paraId="569A36F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Четвертый тип. Танк качественного усиления резерва Главного командования (23,5</w:t>
      </w:r>
      <w:r w:rsidRPr="0044524F">
        <w:rPr>
          <w:rFonts w:ascii="Times New Roman" w:hAnsi="Times New Roman"/>
          <w:color w:val="000000" w:themeColor="text1"/>
          <w:sz w:val="16"/>
          <w:szCs w:val="16"/>
        </w:rPr>
        <w:noBreakHyphen/>
        <w:t>25</w:t>
      </w:r>
      <w:r w:rsidRPr="0044524F">
        <w:rPr>
          <w:rFonts w:ascii="Times New Roman" w:hAnsi="Times New Roman"/>
          <w:color w:val="000000" w:themeColor="text1"/>
          <w:sz w:val="16"/>
          <w:szCs w:val="16"/>
        </w:rPr>
        <w:noBreakHyphen/>
        <w:t>тонный танк)</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222"/>
        <w:gridCol w:w="3156"/>
        <w:gridCol w:w="3944"/>
      </w:tblGrid>
      <w:tr w:rsidR="004E10C1" w:rsidRPr="0044524F" w14:paraId="410B5251"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753B042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данные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A6FD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Находящиеся на вооружении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206C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Новые образцы для перевооружения</w:t>
            </w:r>
          </w:p>
        </w:tc>
      </w:tr>
      <w:tr w:rsidR="004E10C1" w:rsidRPr="0044524F" w14:paraId="1270146A"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A61CC95" w14:textId="77777777" w:rsidR="00871A0E" w:rsidRPr="0044524F" w:rsidRDefault="00871A0E"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4F2643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28</w:t>
            </w:r>
          </w:p>
        </w:tc>
        <w:tc>
          <w:tcPr>
            <w:tcW w:w="0" w:type="auto"/>
            <w:tcBorders>
              <w:top w:val="outset" w:sz="6" w:space="0" w:color="auto"/>
              <w:left w:val="outset" w:sz="6" w:space="0" w:color="auto"/>
              <w:bottom w:val="outset" w:sz="6" w:space="0" w:color="auto"/>
              <w:right w:val="outset" w:sz="6" w:space="0" w:color="auto"/>
            </w:tcBorders>
            <w:vAlign w:val="center"/>
            <w:hideMark/>
          </w:tcPr>
          <w:p w14:paraId="21FA938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29/4</w:t>
            </w:r>
          </w:p>
          <w:p w14:paraId="24F97E5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w:t>
            </w:r>
            <w:r w:rsidRPr="0044524F">
              <w:rPr>
                <w:rFonts w:ascii="Times New Roman" w:hAnsi="Times New Roman"/>
                <w:color w:val="000000" w:themeColor="text1"/>
                <w:sz w:val="16"/>
                <w:szCs w:val="16"/>
              </w:rPr>
              <w:noBreakHyphen/>
              <w:t>29/5</w:t>
            </w:r>
          </w:p>
        </w:tc>
      </w:tr>
      <w:tr w:rsidR="004E10C1" w:rsidRPr="0044524F" w14:paraId="1A1231D7"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CBED5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A5C08D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C778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w:t>
            </w:r>
          </w:p>
        </w:tc>
      </w:tr>
      <w:tr w:rsidR="004E10C1" w:rsidRPr="0044524F" w14:paraId="02BA193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0EB6A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1A81412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DB9B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r>
      <w:tr w:rsidR="004E10C1" w:rsidRPr="0044524F" w14:paraId="4B0ED55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6713E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573371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14:paraId="1016859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20A013C3"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31AE69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BDD2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042F2B6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r>
      <w:tr w:rsidR="004E10C1" w:rsidRPr="0044524F" w14:paraId="6C92981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2EC6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Марка и мощность двигателя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490C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М-17-500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2D5D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М-17-500 л. с.</w:t>
            </w:r>
          </w:p>
        </w:tc>
      </w:tr>
      <w:tr w:rsidR="004E10C1" w:rsidRPr="0044524F" w14:paraId="6B919F1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E23F7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на 1 т веса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8A8A0C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582DAEA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21,2 л. с.</w:t>
            </w:r>
          </w:p>
        </w:tc>
      </w:tr>
      <w:tr w:rsidR="004E10C1" w:rsidRPr="0044524F" w14:paraId="49B664B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C90590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58B4DD3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пушка 76 мм</w:t>
            </w:r>
          </w:p>
          <w:p w14:paraId="2D97D8E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пулемета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9FAA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пушка 76 мм</w:t>
            </w:r>
          </w:p>
          <w:p w14:paraId="3DC1AA7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пулемета</w:t>
            </w:r>
          </w:p>
        </w:tc>
      </w:tr>
      <w:tr w:rsidR="004E10C1" w:rsidRPr="0044524F" w14:paraId="67A8F98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36CA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Боекомплект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6ABC27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снарядов</w:t>
            </w:r>
          </w:p>
          <w:p w14:paraId="764F546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7938 патронов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5C66983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 снарядов</w:t>
            </w:r>
          </w:p>
          <w:p w14:paraId="66EB304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 патронов</w:t>
            </w:r>
          </w:p>
        </w:tc>
      </w:tr>
      <w:tr w:rsidR="004E10C1" w:rsidRPr="0044524F" w14:paraId="1669161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78832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Команда — чел.</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D7A3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5574A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r>
      <w:tr w:rsidR="004E10C1" w:rsidRPr="0044524F" w14:paraId="43C6FE8B"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882428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км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83E454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F381C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w:t>
            </w:r>
          </w:p>
        </w:tc>
      </w:tr>
      <w:tr w:rsidR="004E10C1" w:rsidRPr="0044524F" w14:paraId="4E5D3CA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420045F" w14:textId="1077091B"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км</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1B547D3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355670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r>
      <w:tr w:rsidR="004E10C1" w:rsidRPr="0044524F" w14:paraId="7D10500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ED6BD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преодол[еваемых] препятствий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4503E9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0,85</w:t>
            </w:r>
          </w:p>
        </w:tc>
        <w:tc>
          <w:tcPr>
            <w:tcW w:w="0" w:type="auto"/>
            <w:tcBorders>
              <w:top w:val="outset" w:sz="6" w:space="0" w:color="auto"/>
              <w:left w:val="outset" w:sz="6" w:space="0" w:color="auto"/>
              <w:bottom w:val="outset" w:sz="6" w:space="0" w:color="auto"/>
              <w:right w:val="outset" w:sz="6" w:space="0" w:color="auto"/>
            </w:tcBorders>
            <w:vAlign w:val="center"/>
            <w:hideMark/>
          </w:tcPr>
          <w:p w14:paraId="257E65B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w:t>
            </w:r>
          </w:p>
        </w:tc>
      </w:tr>
      <w:tr w:rsidR="004E10C1" w:rsidRPr="0044524F" w14:paraId="6F42E96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DA173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преодол[еваемого] рва —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AA07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c>
          <w:tcPr>
            <w:tcW w:w="0" w:type="auto"/>
            <w:tcBorders>
              <w:top w:val="outset" w:sz="6" w:space="0" w:color="auto"/>
              <w:left w:val="outset" w:sz="6" w:space="0" w:color="auto"/>
              <w:bottom w:val="outset" w:sz="6" w:space="0" w:color="auto"/>
              <w:right w:val="outset" w:sz="6" w:space="0" w:color="auto"/>
            </w:tcBorders>
            <w:vAlign w:val="center"/>
            <w:hideMark/>
          </w:tcPr>
          <w:p w14:paraId="74AB6B5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r>
      <w:tr w:rsidR="004E10C1" w:rsidRPr="0044524F" w14:paraId="7F595956"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0243E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горючего —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F4DDF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5661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r>
      <w:tr w:rsidR="004E10C1" w:rsidRPr="0044524F" w14:paraId="1D6AF66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C53D2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хода — на гусенице</w:t>
            </w:r>
          </w:p>
        </w:tc>
        <w:tc>
          <w:tcPr>
            <w:tcW w:w="0" w:type="auto"/>
            <w:tcBorders>
              <w:top w:val="outset" w:sz="6" w:space="0" w:color="auto"/>
              <w:left w:val="outset" w:sz="6" w:space="0" w:color="auto"/>
              <w:bottom w:val="outset" w:sz="6" w:space="0" w:color="auto"/>
              <w:right w:val="outset" w:sz="6" w:space="0" w:color="auto"/>
            </w:tcBorders>
            <w:vAlign w:val="center"/>
            <w:hideMark/>
          </w:tcPr>
          <w:p w14:paraId="26C8571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C1D73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r>
      <w:tr w:rsidR="004E10C1" w:rsidRPr="0044524F" w14:paraId="68DA5B6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AE27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хода — на колесах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44FF44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5A64D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r>
      <w:tr w:rsidR="004E10C1" w:rsidRPr="0044524F" w14:paraId="4FE673C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F2329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Броня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58BF4C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30-20-10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3AE81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30-20-15-10</w:t>
            </w:r>
          </w:p>
        </w:tc>
      </w:tr>
      <w:tr w:rsidR="004E10C1" w:rsidRPr="0044524F" w14:paraId="3A6722B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F36BD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Ведущие колеса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37CB77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9788C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r>
    </w:tbl>
    <w:p w14:paraId="21ACB4F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Танки Т</w:t>
      </w:r>
      <w:r w:rsidRPr="0044524F">
        <w:rPr>
          <w:rFonts w:ascii="Times New Roman" w:hAnsi="Times New Roman"/>
          <w:color w:val="000000" w:themeColor="text1"/>
          <w:sz w:val="16"/>
          <w:szCs w:val="16"/>
        </w:rPr>
        <w:noBreakHyphen/>
        <w:t>29 имеют большую маневренность за счет 8 ведущих колес, большей скорости и большего запаса хода. Типы Т</w:t>
      </w:r>
      <w:r w:rsidRPr="0044524F">
        <w:rPr>
          <w:rFonts w:ascii="Times New Roman" w:hAnsi="Times New Roman"/>
          <w:color w:val="000000" w:themeColor="text1"/>
          <w:sz w:val="16"/>
          <w:szCs w:val="16"/>
        </w:rPr>
        <w:noBreakHyphen/>
        <w:t>29/4 и Т</w:t>
      </w:r>
      <w:r w:rsidRPr="0044524F">
        <w:rPr>
          <w:rFonts w:ascii="Times New Roman" w:hAnsi="Times New Roman"/>
          <w:color w:val="000000" w:themeColor="text1"/>
          <w:sz w:val="16"/>
          <w:szCs w:val="16"/>
        </w:rPr>
        <w:noBreakHyphen/>
        <w:t>29/5 разнятся лишь по толщине брони и весу. Для этих танков изготовлен дизель-мотор Д</w:t>
      </w:r>
      <w:r w:rsidRPr="0044524F">
        <w:rPr>
          <w:rFonts w:ascii="Times New Roman" w:hAnsi="Times New Roman"/>
          <w:color w:val="000000" w:themeColor="text1"/>
          <w:sz w:val="16"/>
          <w:szCs w:val="16"/>
        </w:rPr>
        <w:noBreakHyphen/>
        <w:t>300 — конструкции инженера Дьячкова, мощность до 150 л. с. Первый вариант этого дизель-мотора изготовлен Опытным заводом им. Кирова и испытан.</w:t>
      </w:r>
    </w:p>
    <w:p w14:paraId="79A6DDF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Пятый тип. Танк особого назначения (50-тонный)</w:t>
      </w:r>
    </w:p>
    <w:p w14:paraId="119F1B97" w14:textId="77777777" w:rsidR="00871A0E" w:rsidRPr="0044524F" w:rsidRDefault="00871A0E" w:rsidP="009654CF">
      <w:pPr>
        <w:pStyle w:val="rtejustify"/>
        <w:spacing w:before="0" w:after="0"/>
        <w:rPr>
          <w:color w:val="000000" w:themeColor="text1"/>
          <w:sz w:val="16"/>
          <w:szCs w:val="16"/>
        </w:rPr>
      </w:pPr>
      <w:r w:rsidRPr="0044524F">
        <w:rPr>
          <w:color w:val="000000" w:themeColor="text1"/>
          <w:sz w:val="16"/>
          <w:szCs w:val="16"/>
        </w:rPr>
        <w:t>50-тонный гусеничный танк Т</w:t>
      </w:r>
      <w:r w:rsidRPr="0044524F">
        <w:rPr>
          <w:color w:val="000000" w:themeColor="text1"/>
          <w:sz w:val="16"/>
          <w:szCs w:val="16"/>
        </w:rPr>
        <w:noBreakHyphen/>
        <w:t>35А, освоенный производством Харьковского паровозостроительного завода с 1934 г., является переделкой опытного 38</w:t>
      </w:r>
      <w:r w:rsidRPr="0044524F">
        <w:rPr>
          <w:color w:val="000000" w:themeColor="text1"/>
          <w:sz w:val="16"/>
          <w:szCs w:val="16"/>
        </w:rPr>
        <w:noBreakHyphen/>
        <w:t>тонного танка Т</w:t>
      </w:r>
      <w:r w:rsidRPr="0044524F">
        <w:rPr>
          <w:color w:val="000000" w:themeColor="text1"/>
          <w:sz w:val="16"/>
          <w:szCs w:val="16"/>
        </w:rPr>
        <w:noBreakHyphen/>
        <w:t>35 изготовления Опытного завода им. т. Кирова. Боевой вес его — 50 т; скорость — 28</w:t>
      </w:r>
      <w:r w:rsidRPr="0044524F">
        <w:rPr>
          <w:color w:val="000000" w:themeColor="text1"/>
          <w:sz w:val="16"/>
          <w:szCs w:val="16"/>
        </w:rPr>
        <w:noBreakHyphen/>
        <w:t>30 км; вооружение: одна 76</w:t>
      </w:r>
      <w:r w:rsidRPr="0044524F">
        <w:rPr>
          <w:color w:val="000000" w:themeColor="text1"/>
          <w:sz w:val="16"/>
          <w:szCs w:val="16"/>
        </w:rPr>
        <w:noBreakHyphen/>
        <w:t>мм пушка, две 45</w:t>
      </w:r>
      <w:r w:rsidRPr="0044524F">
        <w:rPr>
          <w:color w:val="000000" w:themeColor="text1"/>
          <w:sz w:val="16"/>
          <w:szCs w:val="16"/>
        </w:rPr>
        <w:noBreakHyphen/>
        <w:t>мм пушки, 6 пулеметов; броня — 50</w:t>
      </w:r>
      <w:r w:rsidRPr="0044524F">
        <w:rPr>
          <w:color w:val="000000" w:themeColor="text1"/>
          <w:sz w:val="16"/>
          <w:szCs w:val="16"/>
        </w:rPr>
        <w:noBreakHyphen/>
        <w:t>20</w:t>
      </w:r>
      <w:r w:rsidRPr="0044524F">
        <w:rPr>
          <w:color w:val="000000" w:themeColor="text1"/>
          <w:sz w:val="16"/>
          <w:szCs w:val="16"/>
        </w:rPr>
        <w:noBreakHyphen/>
        <w:t>10 мм; мощность в л. с. на 1 тонну веса — 10 л. с.</w:t>
      </w:r>
    </w:p>
    <w:p w14:paraId="1FF219E4" w14:textId="77777777" w:rsidR="00871A0E" w:rsidRPr="0044524F" w:rsidRDefault="00871A0E" w:rsidP="009654CF">
      <w:pPr>
        <w:pStyle w:val="rtejustify"/>
        <w:spacing w:before="0" w:after="0"/>
        <w:rPr>
          <w:color w:val="000000" w:themeColor="text1"/>
          <w:sz w:val="16"/>
          <w:szCs w:val="16"/>
        </w:rPr>
      </w:pPr>
      <w:r w:rsidRPr="0044524F">
        <w:rPr>
          <w:color w:val="000000" w:themeColor="text1"/>
          <w:sz w:val="16"/>
          <w:szCs w:val="16"/>
        </w:rPr>
        <w:t>Для этого танка ХПЗ проектирует дизель-мотор 800 л. с., который будет готов к 15 августа 1935 г. С установкой этого дизель-мотора на танк Т</w:t>
      </w:r>
      <w:r w:rsidRPr="0044524F">
        <w:rPr>
          <w:color w:val="000000" w:themeColor="text1"/>
          <w:sz w:val="16"/>
          <w:szCs w:val="16"/>
        </w:rPr>
        <w:noBreakHyphen/>
        <w:t>35А запас мощности на одну тонну веса будет равен 16 л. с.</w:t>
      </w:r>
    </w:p>
    <w:p w14:paraId="25D815D9" w14:textId="77777777" w:rsidR="00871A0E" w:rsidRPr="0044524F" w:rsidRDefault="00871A0E" w:rsidP="009654CF">
      <w:pPr>
        <w:pStyle w:val="rtejustify"/>
        <w:spacing w:before="0" w:after="0"/>
        <w:rPr>
          <w:color w:val="000000" w:themeColor="text1"/>
          <w:sz w:val="16"/>
          <w:szCs w:val="16"/>
        </w:rPr>
      </w:pPr>
      <w:r w:rsidRPr="0044524F">
        <w:rPr>
          <w:color w:val="000000" w:themeColor="text1"/>
          <w:sz w:val="16"/>
          <w:szCs w:val="16"/>
        </w:rPr>
        <w:t>Во исполнение того же постановления КО от 13 августа 1933 г., Опытный завод им. Кирова изготовил 4 образца самоходных артиллерийских установок на агрегатах серийных танков.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627"/>
        <w:gridCol w:w="1595"/>
        <w:gridCol w:w="886"/>
        <w:gridCol w:w="1081"/>
        <w:gridCol w:w="1133"/>
      </w:tblGrid>
      <w:tr w:rsidR="004E10C1" w:rsidRPr="0044524F" w14:paraId="6B3059BF" w14:textId="77777777" w:rsidTr="00910933">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DCAED6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данные</w:t>
            </w:r>
          </w:p>
        </w:tc>
        <w:tc>
          <w:tcPr>
            <w:tcW w:w="0" w:type="auto"/>
            <w:gridSpan w:val="4"/>
            <w:tcBorders>
              <w:top w:val="outset" w:sz="6" w:space="0" w:color="auto"/>
              <w:left w:val="outset" w:sz="6" w:space="0" w:color="auto"/>
              <w:bottom w:val="outset" w:sz="6" w:space="0" w:color="auto"/>
              <w:right w:val="outset" w:sz="6" w:space="0" w:color="auto"/>
            </w:tcBorders>
            <w:vAlign w:val="center"/>
            <w:hideMark/>
          </w:tcPr>
          <w:p w14:paraId="1D01DAB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Самоходные установки</w:t>
            </w:r>
          </w:p>
        </w:tc>
      </w:tr>
      <w:tr w:rsidR="004E10C1" w:rsidRPr="0044524F" w14:paraId="1E9ABBC4"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8EFE83A" w14:textId="77777777" w:rsidR="00871A0E" w:rsidRPr="0044524F" w:rsidRDefault="00871A0E"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6ACCC0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w:t>
            </w:r>
            <w:r w:rsidRPr="0044524F">
              <w:rPr>
                <w:rFonts w:ascii="Times New Roman" w:hAnsi="Times New Roman"/>
                <w:color w:val="000000" w:themeColor="text1"/>
                <w:sz w:val="16"/>
                <w:szCs w:val="16"/>
              </w:rPr>
              <w:noBreakHyphen/>
              <w:t>мм</w:t>
            </w:r>
          </w:p>
          <w:p w14:paraId="0E1B923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51CE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w:t>
            </w:r>
          </w:p>
          <w:p w14:paraId="6EF18F7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41AD7F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w:t>
            </w:r>
            <w:r w:rsidRPr="0044524F">
              <w:rPr>
                <w:rFonts w:ascii="Times New Roman" w:hAnsi="Times New Roman"/>
                <w:color w:val="000000" w:themeColor="text1"/>
                <w:sz w:val="16"/>
                <w:szCs w:val="16"/>
              </w:rPr>
              <w:noBreakHyphen/>
              <w:t>мм</w:t>
            </w:r>
          </w:p>
          <w:p w14:paraId="54DC476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21ABC2A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w:t>
            </w:r>
            <w:r w:rsidRPr="0044524F">
              <w:rPr>
                <w:rFonts w:ascii="Times New Roman" w:hAnsi="Times New Roman"/>
                <w:color w:val="000000" w:themeColor="text1"/>
                <w:sz w:val="16"/>
                <w:szCs w:val="16"/>
              </w:rPr>
              <w:noBreakHyphen/>
              <w:t>мм</w:t>
            </w:r>
          </w:p>
          <w:p w14:paraId="5557A67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мортира</w:t>
            </w:r>
          </w:p>
        </w:tc>
      </w:tr>
      <w:tr w:rsidR="004E10C1" w:rsidRPr="0044524F" w14:paraId="511B3A7D" w14:textId="77777777" w:rsidTr="00910933">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1220414" w14:textId="77777777" w:rsidR="00871A0E" w:rsidRPr="0044524F" w:rsidRDefault="00871A0E"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1033DC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Т</w:t>
            </w:r>
            <w:r w:rsidRPr="0044524F">
              <w:rPr>
                <w:rFonts w:ascii="Times New Roman" w:hAnsi="Times New Roman"/>
                <w:color w:val="000000" w:themeColor="text1"/>
                <w:sz w:val="16"/>
                <w:szCs w:val="16"/>
              </w:rPr>
              <w:noBreakHyphen/>
              <w:t>35</w:t>
            </w:r>
          </w:p>
        </w:tc>
        <w:tc>
          <w:tcPr>
            <w:tcW w:w="0" w:type="auto"/>
            <w:gridSpan w:val="3"/>
            <w:tcBorders>
              <w:top w:val="outset" w:sz="6" w:space="0" w:color="auto"/>
              <w:left w:val="outset" w:sz="6" w:space="0" w:color="auto"/>
              <w:bottom w:val="outset" w:sz="6" w:space="0" w:color="auto"/>
              <w:right w:val="outset" w:sz="6" w:space="0" w:color="auto"/>
            </w:tcBorders>
            <w:vAlign w:val="center"/>
            <w:hideMark/>
          </w:tcPr>
          <w:p w14:paraId="746490F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Т</w:t>
            </w:r>
            <w:r w:rsidRPr="0044524F">
              <w:rPr>
                <w:rFonts w:ascii="Times New Roman" w:hAnsi="Times New Roman"/>
                <w:color w:val="000000" w:themeColor="text1"/>
                <w:sz w:val="16"/>
                <w:szCs w:val="16"/>
              </w:rPr>
              <w:noBreakHyphen/>
              <w:t>26</w:t>
            </w:r>
          </w:p>
        </w:tc>
      </w:tr>
      <w:tr w:rsidR="004E10C1" w:rsidRPr="0044524F" w14:paraId="78B04583"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9FA71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3DA542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0" w:type="auto"/>
            <w:tcBorders>
              <w:top w:val="outset" w:sz="6" w:space="0" w:color="auto"/>
              <w:left w:val="outset" w:sz="6" w:space="0" w:color="auto"/>
              <w:bottom w:val="outset" w:sz="6" w:space="0" w:color="auto"/>
              <w:right w:val="outset" w:sz="6" w:space="0" w:color="auto"/>
            </w:tcBorders>
            <w:vAlign w:val="center"/>
            <w:hideMark/>
          </w:tcPr>
          <w:p w14:paraId="59DC4A5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1CDF7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B4EB3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0D5D5D20"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D67BD0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FCCB5B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B63784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0A3D5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DE034F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4841</w:t>
            </w:r>
          </w:p>
        </w:tc>
      </w:tr>
      <w:tr w:rsidR="004E10C1" w:rsidRPr="0044524F" w14:paraId="5C48D028"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CA433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782078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7786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296E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2440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4F2F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2440</w:t>
            </w:r>
          </w:p>
        </w:tc>
      </w:tr>
      <w:tr w:rsidR="004E10C1" w:rsidRPr="0044524F" w14:paraId="1DADF7B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06668B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линии огня</w:t>
            </w:r>
          </w:p>
        </w:tc>
        <w:tc>
          <w:tcPr>
            <w:tcW w:w="0" w:type="auto"/>
            <w:tcBorders>
              <w:top w:val="outset" w:sz="6" w:space="0" w:color="auto"/>
              <w:left w:val="outset" w:sz="6" w:space="0" w:color="auto"/>
              <w:bottom w:val="outset" w:sz="6" w:space="0" w:color="auto"/>
              <w:right w:val="outset" w:sz="6" w:space="0" w:color="auto"/>
            </w:tcBorders>
            <w:vAlign w:val="center"/>
            <w:hideMark/>
          </w:tcPr>
          <w:p w14:paraId="23CD358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28BB3F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1910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84EE5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B85BF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1850</w:t>
            </w:r>
          </w:p>
        </w:tc>
      </w:tr>
      <w:tr w:rsidR="004E10C1" w:rsidRPr="0044524F" w14:paraId="51BEA92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0401A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 в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52C0B1B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456ECD5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C75E5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7BE9A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3B272BA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6BBA4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Перекрываемый ров в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1D4D98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4DA902C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D639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343628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49466DDC"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C3A83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Подъем в градусах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96FC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c>
          <w:tcPr>
            <w:tcW w:w="0" w:type="auto"/>
            <w:tcBorders>
              <w:top w:val="outset" w:sz="6" w:space="0" w:color="auto"/>
              <w:left w:val="outset" w:sz="6" w:space="0" w:color="auto"/>
              <w:bottom w:val="outset" w:sz="6" w:space="0" w:color="auto"/>
              <w:right w:val="outset" w:sz="6" w:space="0" w:color="auto"/>
            </w:tcBorders>
            <w:vAlign w:val="center"/>
            <w:hideMark/>
          </w:tcPr>
          <w:p w14:paraId="2BE1A2F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0A35EC1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1AF330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r>
      <w:tr w:rsidR="004E10C1" w:rsidRPr="0044524F" w14:paraId="62D9A785"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F17F9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зацепа в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4B8A89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980</w:t>
            </w:r>
          </w:p>
        </w:tc>
        <w:tc>
          <w:tcPr>
            <w:tcW w:w="0" w:type="auto"/>
            <w:tcBorders>
              <w:top w:val="outset" w:sz="6" w:space="0" w:color="auto"/>
              <w:left w:val="outset" w:sz="6" w:space="0" w:color="auto"/>
              <w:bottom w:val="outset" w:sz="6" w:space="0" w:color="auto"/>
              <w:right w:val="outset" w:sz="6" w:space="0" w:color="auto"/>
            </w:tcBorders>
            <w:vAlign w:val="center"/>
            <w:hideMark/>
          </w:tcPr>
          <w:p w14:paraId="5B27549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4C1C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764</w:t>
            </w:r>
          </w:p>
        </w:tc>
        <w:tc>
          <w:tcPr>
            <w:tcW w:w="0" w:type="auto"/>
            <w:tcBorders>
              <w:top w:val="outset" w:sz="6" w:space="0" w:color="auto"/>
              <w:left w:val="outset" w:sz="6" w:space="0" w:color="auto"/>
              <w:bottom w:val="outset" w:sz="6" w:space="0" w:color="auto"/>
              <w:right w:val="outset" w:sz="6" w:space="0" w:color="auto"/>
            </w:tcBorders>
            <w:vAlign w:val="center"/>
            <w:hideMark/>
          </w:tcPr>
          <w:p w14:paraId="78EACD7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764</w:t>
            </w:r>
          </w:p>
        </w:tc>
      </w:tr>
      <w:tr w:rsidR="004E10C1" w:rsidRPr="0044524F" w14:paraId="3DD158CF"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FC903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мотора —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5E50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9FFCD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44A0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89D58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r>
      <w:tr w:rsidR="004E10C1" w:rsidRPr="0044524F" w14:paraId="3008CF42"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348E2F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на 1 т веса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E3777B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0F98A5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D0F0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л. с.</w:t>
            </w:r>
          </w:p>
        </w:tc>
        <w:tc>
          <w:tcPr>
            <w:tcW w:w="0" w:type="auto"/>
            <w:tcBorders>
              <w:top w:val="outset" w:sz="6" w:space="0" w:color="auto"/>
              <w:left w:val="outset" w:sz="6" w:space="0" w:color="auto"/>
              <w:bottom w:val="outset" w:sz="6" w:space="0" w:color="auto"/>
              <w:right w:val="outset" w:sz="6" w:space="0" w:color="auto"/>
            </w:tcBorders>
            <w:vAlign w:val="center"/>
            <w:hideMark/>
          </w:tcPr>
          <w:p w14:paraId="3176A79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л. с.</w:t>
            </w:r>
          </w:p>
        </w:tc>
      </w:tr>
      <w:tr w:rsidR="004E10C1" w:rsidRPr="0044524F" w14:paraId="5B6E5E34"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D03EAA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Толщина брони в мм</w:t>
            </w:r>
          </w:p>
        </w:tc>
        <w:tc>
          <w:tcPr>
            <w:tcW w:w="0" w:type="auto"/>
            <w:tcBorders>
              <w:top w:val="outset" w:sz="6" w:space="0" w:color="auto"/>
              <w:left w:val="outset" w:sz="6" w:space="0" w:color="auto"/>
              <w:bottom w:val="outset" w:sz="6" w:space="0" w:color="auto"/>
              <w:right w:val="outset" w:sz="6" w:space="0" w:color="auto"/>
            </w:tcBorders>
            <w:vAlign w:val="center"/>
            <w:hideMark/>
          </w:tcPr>
          <w:p w14:paraId="7A4E9E3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1802F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5872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0" w:type="auto"/>
            <w:tcBorders>
              <w:top w:val="outset" w:sz="6" w:space="0" w:color="auto"/>
              <w:left w:val="outset" w:sz="6" w:space="0" w:color="auto"/>
              <w:bottom w:val="outset" w:sz="6" w:space="0" w:color="auto"/>
              <w:right w:val="outset" w:sz="6" w:space="0" w:color="auto"/>
            </w:tcBorders>
            <w:vAlign w:val="center"/>
            <w:hideMark/>
          </w:tcPr>
          <w:p w14:paraId="218DE3F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03BEEEC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20DFE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хода в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BB50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9BD7C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0F2A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5923C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r>
      <w:tr w:rsidR="004E10C1" w:rsidRPr="0044524F" w14:paraId="4A1DB96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DBF00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69460A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54C1F1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3452637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0" w:type="auto"/>
            <w:tcBorders>
              <w:top w:val="outset" w:sz="6" w:space="0" w:color="auto"/>
              <w:left w:val="outset" w:sz="6" w:space="0" w:color="auto"/>
              <w:bottom w:val="outset" w:sz="6" w:space="0" w:color="auto"/>
              <w:right w:val="outset" w:sz="6" w:space="0" w:color="auto"/>
            </w:tcBorders>
            <w:vAlign w:val="center"/>
            <w:hideMark/>
          </w:tcPr>
          <w:p w14:paraId="57BEB47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r>
      <w:tr w:rsidR="004E10C1" w:rsidRPr="0044524F" w14:paraId="45788CAE"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5DA60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орудия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6B0E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w:t>
            </w:r>
            <w:r w:rsidRPr="0044524F">
              <w:rPr>
                <w:rFonts w:ascii="Times New Roman" w:hAnsi="Times New Roman"/>
                <w:color w:val="000000" w:themeColor="text1"/>
                <w:sz w:val="16"/>
                <w:szCs w:val="16"/>
              </w:rPr>
              <w:noBreakHyphen/>
              <w:t>мм</w:t>
            </w:r>
          </w:p>
          <w:p w14:paraId="6BACA83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9BF19B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w:t>
            </w:r>
          </w:p>
          <w:p w14:paraId="1349FDD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89ACBDD"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w:t>
            </w:r>
            <w:r w:rsidRPr="0044524F">
              <w:rPr>
                <w:rFonts w:ascii="Times New Roman" w:hAnsi="Times New Roman"/>
                <w:color w:val="000000" w:themeColor="text1"/>
                <w:sz w:val="16"/>
                <w:szCs w:val="16"/>
              </w:rPr>
              <w:noBreakHyphen/>
              <w:t>мм</w:t>
            </w:r>
          </w:p>
          <w:p w14:paraId="058B92B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гаубица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8172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w:t>
            </w:r>
            <w:r w:rsidRPr="0044524F">
              <w:rPr>
                <w:rFonts w:ascii="Times New Roman" w:hAnsi="Times New Roman"/>
                <w:color w:val="000000" w:themeColor="text1"/>
                <w:sz w:val="16"/>
                <w:szCs w:val="16"/>
              </w:rPr>
              <w:noBreakHyphen/>
              <w:t>мм</w:t>
            </w:r>
          </w:p>
          <w:p w14:paraId="3DECEE2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мортира</w:t>
            </w:r>
          </w:p>
        </w:tc>
      </w:tr>
      <w:tr w:rsidR="004E10C1" w:rsidRPr="0044524F" w14:paraId="1B2B9041"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CB9D27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Дальнобойность установленных артсистем — км</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CF91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7D1F4E"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6CA6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FADC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r>
      <w:tr w:rsidR="004E10C1" w:rsidRPr="0044524F" w14:paraId="28602F9D" w14:textId="77777777" w:rsidTr="00910933">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149CDF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Количество снарядов, возимых на самом самоходе</w:t>
            </w:r>
          </w:p>
        </w:tc>
        <w:tc>
          <w:tcPr>
            <w:tcW w:w="0" w:type="auto"/>
            <w:tcBorders>
              <w:top w:val="outset" w:sz="6" w:space="0" w:color="auto"/>
              <w:left w:val="outset" w:sz="6" w:space="0" w:color="auto"/>
              <w:bottom w:val="outset" w:sz="6" w:space="0" w:color="auto"/>
              <w:right w:val="outset" w:sz="6" w:space="0" w:color="auto"/>
            </w:tcBorders>
            <w:vAlign w:val="center"/>
            <w:hideMark/>
          </w:tcPr>
          <w:p w14:paraId="376FCAC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56C3484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89BAB"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8BAB9"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r>
    </w:tbl>
    <w:p w14:paraId="0D0F5CCD" w14:textId="77777777" w:rsidR="00871A0E" w:rsidRPr="0044524F" w:rsidRDefault="00871A0E" w:rsidP="009654CF">
      <w:pPr>
        <w:pStyle w:val="rtejustify"/>
        <w:spacing w:before="0" w:after="0"/>
        <w:rPr>
          <w:color w:val="000000" w:themeColor="text1"/>
          <w:sz w:val="16"/>
          <w:szCs w:val="16"/>
        </w:rPr>
      </w:pPr>
      <w:r w:rsidRPr="0044524F">
        <w:rPr>
          <w:color w:val="000000" w:themeColor="text1"/>
          <w:sz w:val="16"/>
          <w:szCs w:val="16"/>
        </w:rPr>
        <w:t>Особенностью малых самоходных установок является одинаковость шасси (Т</w:t>
      </w:r>
      <w:r w:rsidRPr="0044524F">
        <w:rPr>
          <w:color w:val="000000" w:themeColor="text1"/>
          <w:sz w:val="16"/>
          <w:szCs w:val="16"/>
        </w:rPr>
        <w:noBreakHyphen/>
        <w:t>26), допускающая установку любой из трех артсистем, 76</w:t>
      </w:r>
      <w:r w:rsidRPr="0044524F">
        <w:rPr>
          <w:color w:val="000000" w:themeColor="text1"/>
          <w:sz w:val="16"/>
          <w:szCs w:val="16"/>
        </w:rPr>
        <w:noBreakHyphen/>
        <w:t>мм пушки, 122</w:t>
      </w:r>
      <w:r w:rsidRPr="0044524F">
        <w:rPr>
          <w:color w:val="000000" w:themeColor="text1"/>
          <w:sz w:val="16"/>
          <w:szCs w:val="16"/>
        </w:rPr>
        <w:noBreakHyphen/>
        <w:t>мм гаубицы и 152</w:t>
      </w:r>
      <w:r w:rsidRPr="0044524F">
        <w:rPr>
          <w:color w:val="000000" w:themeColor="text1"/>
          <w:sz w:val="16"/>
          <w:szCs w:val="16"/>
        </w:rPr>
        <w:noBreakHyphen/>
        <w:t>мм мортиры.</w:t>
      </w:r>
    </w:p>
    <w:p w14:paraId="2167D1E2" w14:textId="77777777" w:rsidR="00871A0E" w:rsidRPr="0044524F" w:rsidRDefault="00871A0E" w:rsidP="009654CF">
      <w:pPr>
        <w:pStyle w:val="rtejustify"/>
        <w:spacing w:before="0" w:after="0"/>
        <w:rPr>
          <w:color w:val="000000" w:themeColor="text1"/>
          <w:sz w:val="16"/>
          <w:szCs w:val="16"/>
        </w:rPr>
      </w:pPr>
      <w:r w:rsidRPr="0044524F">
        <w:rPr>
          <w:color w:val="000000" w:themeColor="text1"/>
          <w:sz w:val="16"/>
          <w:szCs w:val="16"/>
        </w:rPr>
        <w:t>Большая самоходная установка на шасси Т</w:t>
      </w:r>
      <w:r w:rsidRPr="0044524F">
        <w:rPr>
          <w:color w:val="000000" w:themeColor="text1"/>
          <w:sz w:val="16"/>
          <w:szCs w:val="16"/>
        </w:rPr>
        <w:noBreakHyphen/>
        <w:t>35 имеет установленную 203</w:t>
      </w:r>
      <w:r w:rsidRPr="0044524F">
        <w:rPr>
          <w:color w:val="000000" w:themeColor="text1"/>
          <w:sz w:val="16"/>
          <w:szCs w:val="16"/>
        </w:rPr>
        <w:noBreakHyphen/>
        <w:t>мм гаубицу дальнобойностью 18 км, и обеспечена возможность установки 152 мм пушки с дальнобойностью 29</w:t>
      </w:r>
      <w:r w:rsidRPr="0044524F">
        <w:rPr>
          <w:color w:val="000000" w:themeColor="text1"/>
          <w:sz w:val="16"/>
          <w:szCs w:val="16"/>
        </w:rPr>
        <w:noBreakHyphen/>
        <w:t>30 км. При оценке самоходной установки 203</w:t>
      </w:r>
      <w:r w:rsidRPr="0044524F">
        <w:rPr>
          <w:color w:val="000000" w:themeColor="text1"/>
          <w:sz w:val="16"/>
          <w:szCs w:val="16"/>
        </w:rPr>
        <w:noBreakHyphen/>
        <w:t>мм гаубицы Вами обращено внимание конструкторов на необходимость обеспечить самоходную установку не менее 100 выстрелами возимого боезапаса. Поставленная Вами задача конструкторами и производственниками будет разрешена во втором полугодии 1935 г.</w:t>
      </w:r>
    </w:p>
    <w:p w14:paraId="26EB816D" w14:textId="77777777" w:rsidR="00871A0E" w:rsidRPr="0044524F" w:rsidRDefault="00871A0E" w:rsidP="009654CF">
      <w:pPr>
        <w:pStyle w:val="rtejustify"/>
        <w:spacing w:before="0" w:after="0"/>
        <w:rPr>
          <w:color w:val="000000" w:themeColor="text1"/>
          <w:sz w:val="16"/>
          <w:szCs w:val="16"/>
        </w:rPr>
      </w:pPr>
      <w:r w:rsidRPr="0044524F">
        <w:rPr>
          <w:color w:val="000000" w:themeColor="text1"/>
          <w:sz w:val="16"/>
          <w:szCs w:val="16"/>
        </w:rPr>
        <w:t>Для обеспечения повышенной маневренности в боевой обстановке механизированных соединений Опытным заводом им. Кирова изготовлены:</w:t>
      </w:r>
    </w:p>
    <w:p w14:paraId="33D10086" w14:textId="77777777" w:rsidR="00871A0E" w:rsidRPr="0044524F" w:rsidRDefault="00871A0E" w:rsidP="009654CF">
      <w:pPr>
        <w:pStyle w:val="rtejustify"/>
        <w:spacing w:before="0" w:after="0"/>
        <w:rPr>
          <w:color w:val="000000" w:themeColor="text1"/>
          <w:sz w:val="16"/>
          <w:szCs w:val="16"/>
        </w:rPr>
      </w:pPr>
      <w:r w:rsidRPr="0044524F">
        <w:rPr>
          <w:color w:val="000000" w:themeColor="text1"/>
          <w:sz w:val="16"/>
          <w:szCs w:val="16"/>
        </w:rPr>
        <w:t>1. Транспортер для перевозки боеприпасов на шасси Т</w:t>
      </w:r>
      <w:r w:rsidRPr="0044524F">
        <w:rPr>
          <w:color w:val="000000" w:themeColor="text1"/>
          <w:sz w:val="16"/>
          <w:szCs w:val="16"/>
        </w:rPr>
        <w:noBreakHyphen/>
        <w:t>26, вооруженный 1 пулеметом, допускающий перевозку 144 снарядов 76</w:t>
      </w:r>
      <w:r w:rsidRPr="0044524F">
        <w:rPr>
          <w:color w:val="000000" w:themeColor="text1"/>
          <w:sz w:val="16"/>
          <w:szCs w:val="16"/>
        </w:rPr>
        <w:noBreakHyphen/>
        <w:t>мм пушки и 4 тыс. шт. винтпатронов или 360 шт. снарядов 45</w:t>
      </w:r>
      <w:r w:rsidRPr="0044524F">
        <w:rPr>
          <w:color w:val="000000" w:themeColor="text1"/>
          <w:sz w:val="16"/>
          <w:szCs w:val="16"/>
        </w:rPr>
        <w:noBreakHyphen/>
        <w:t>мм пушки с тем же количеством винтпатронов.</w:t>
      </w:r>
    </w:p>
    <w:p w14:paraId="740DEAEB" w14:textId="77777777" w:rsidR="00871A0E" w:rsidRPr="0044524F" w:rsidRDefault="00871A0E" w:rsidP="009654CF">
      <w:pPr>
        <w:pStyle w:val="rtejustify"/>
        <w:spacing w:before="0" w:after="0"/>
        <w:rPr>
          <w:color w:val="000000" w:themeColor="text1"/>
          <w:sz w:val="16"/>
          <w:szCs w:val="16"/>
        </w:rPr>
      </w:pPr>
      <w:r w:rsidRPr="0044524F">
        <w:rPr>
          <w:color w:val="000000" w:themeColor="text1"/>
          <w:sz w:val="16"/>
          <w:szCs w:val="16"/>
        </w:rPr>
        <w:t>2. Специальный бронированный бензозаправщик Т</w:t>
      </w:r>
      <w:r w:rsidRPr="0044524F">
        <w:rPr>
          <w:color w:val="000000" w:themeColor="text1"/>
          <w:sz w:val="16"/>
          <w:szCs w:val="16"/>
        </w:rPr>
        <w:noBreakHyphen/>
        <w:t>26Ц на шасси танка Т</w:t>
      </w:r>
      <w:r w:rsidRPr="0044524F">
        <w:rPr>
          <w:color w:val="000000" w:themeColor="text1"/>
          <w:sz w:val="16"/>
          <w:szCs w:val="16"/>
        </w:rPr>
        <w:noBreakHyphen/>
        <w:t>26, емкостью 1600 л бензина и 150 л масла, допускает одновременную заправку 4 машин из своих и посторонних резервуаров, перекачивая до 400 л в минуту.</w:t>
      </w:r>
    </w:p>
    <w:p w14:paraId="54FA3C32" w14:textId="77777777" w:rsidR="00871A0E" w:rsidRPr="0044524F" w:rsidRDefault="00871A0E" w:rsidP="009654CF">
      <w:pPr>
        <w:pStyle w:val="rtejustify"/>
        <w:spacing w:before="0" w:after="0"/>
        <w:rPr>
          <w:color w:val="000000" w:themeColor="text1"/>
          <w:sz w:val="16"/>
          <w:szCs w:val="16"/>
        </w:rPr>
      </w:pPr>
      <w:r w:rsidRPr="0044524F">
        <w:rPr>
          <w:color w:val="000000" w:themeColor="text1"/>
          <w:sz w:val="16"/>
          <w:szCs w:val="16"/>
        </w:rPr>
        <w:t>Опытные образцы танков и самоходных установок, сконструированные по системе перевооружения РККА, в данное время находятся в Москве.</w:t>
      </w:r>
    </w:p>
    <w:p w14:paraId="1EE429B3"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Начальник Главного военно-мобилизационного управления Павлуновский</w:t>
      </w:r>
    </w:p>
    <w:p w14:paraId="3220823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Управляющий Трестом специального машиностроения Нейман</w:t>
      </w:r>
    </w:p>
    <w:p w14:paraId="242FFE5A"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Директор Опытного завода им. Кирова Барыков</w:t>
      </w:r>
    </w:p>
    <w:p w14:paraId="603D8707"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Директор ХПЗ им. Коминтерна Бондаренко</w:t>
      </w:r>
    </w:p>
    <w:p w14:paraId="33720A8F"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Главный конструктор Опытного завода им. Кирова Гинзбург</w:t>
      </w:r>
    </w:p>
    <w:p w14:paraId="390BE2D2"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Зам. технического директора завода № 37 Козырев</w:t>
      </w:r>
    </w:p>
    <w:p w14:paraId="1809681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Главный конструктор завода №37 Астров</w:t>
      </w:r>
    </w:p>
    <w:p w14:paraId="3BEAC6A5"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Зам. начальника экспериментального отдела ХПЗ Голыбин</w:t>
      </w:r>
    </w:p>
    <w:p w14:paraId="38D379B0"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Конструкторы Опытного завода им. Кирова Сячентов</w:t>
      </w:r>
    </w:p>
    <w:p w14:paraId="23F0354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Зигель</w:t>
      </w:r>
    </w:p>
    <w:p w14:paraId="51396EB6"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Троянов</w:t>
      </w:r>
    </w:p>
    <w:p w14:paraId="23592E9C"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Конструкторы ХПЗ им. Коминтерна²* Челпан</w:t>
      </w:r>
    </w:p>
    <w:p w14:paraId="2F5DDF21"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Бер</w:t>
      </w:r>
    </w:p>
    <w:p w14:paraId="3F45C144"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Вихман</w:t>
      </w:r>
    </w:p>
    <w:p w14:paraId="72142418" w14:textId="77777777" w:rsidR="00871A0E" w:rsidRPr="0044524F" w:rsidRDefault="00871A0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Фирсов</w:t>
      </w:r>
    </w:p>
    <w:p w14:paraId="09B9971F" w14:textId="77777777" w:rsidR="00871A0E" w:rsidRPr="0044524F" w:rsidRDefault="00871A0E"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2FE7310B" w14:textId="77777777" w:rsidR="00871A0E" w:rsidRPr="0044524F" w:rsidRDefault="00871A0E" w:rsidP="009654CF">
      <w:pPr>
        <w:pStyle w:val="ae"/>
        <w:spacing w:before="0" w:after="0"/>
        <w:jc w:val="both"/>
        <w:rPr>
          <w:color w:val="000000" w:themeColor="text1"/>
          <w:sz w:val="16"/>
          <w:szCs w:val="16"/>
        </w:rPr>
      </w:pPr>
      <w:r w:rsidRPr="0044524F">
        <w:rPr>
          <w:color w:val="000000" w:themeColor="text1"/>
          <w:sz w:val="16"/>
          <w:szCs w:val="16"/>
        </w:rPr>
        <w:t>¹* Датируется по содержанию документа.</w:t>
      </w:r>
    </w:p>
    <w:p w14:paraId="53512FFD" w14:textId="77777777" w:rsidR="00871A0E" w:rsidRPr="0044524F" w:rsidRDefault="00871A0E" w:rsidP="009654CF">
      <w:pPr>
        <w:pStyle w:val="ae"/>
        <w:spacing w:before="0" w:after="0"/>
        <w:jc w:val="both"/>
        <w:rPr>
          <w:color w:val="000000" w:themeColor="text1"/>
          <w:sz w:val="16"/>
          <w:szCs w:val="16"/>
        </w:rPr>
      </w:pPr>
      <w:r w:rsidRPr="0044524F">
        <w:rPr>
          <w:color w:val="000000" w:themeColor="text1"/>
          <w:sz w:val="16"/>
          <w:szCs w:val="16"/>
        </w:rPr>
        <w:t>²* Подписи конструкторов ХПЗ им. Коминтерна отсутствуют.</w:t>
      </w:r>
    </w:p>
    <w:p w14:paraId="6CAAD134" w14:textId="77777777" w:rsidR="00871A0E" w:rsidRPr="0044524F" w:rsidRDefault="00871A0E" w:rsidP="009654CF">
      <w:pPr>
        <w:pStyle w:val="ae"/>
        <w:spacing w:before="0" w:after="0"/>
        <w:jc w:val="both"/>
        <w:rPr>
          <w:color w:val="000000" w:themeColor="text1"/>
          <w:sz w:val="16"/>
          <w:szCs w:val="16"/>
        </w:rPr>
      </w:pPr>
      <w:r w:rsidRPr="0044524F">
        <w:rPr>
          <w:color w:val="000000" w:themeColor="text1"/>
          <w:sz w:val="16"/>
          <w:szCs w:val="16"/>
        </w:rPr>
        <w:t>РГАЭ. Ф. 7297. Оп. 38. Д. 32. Л. 10-3. Подлинник (15278).</w:t>
      </w:r>
    </w:p>
    <w:p w14:paraId="70289EFD" w14:textId="77777777" w:rsidR="00871A0E" w:rsidRPr="0044524F" w:rsidRDefault="00871A0E"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684DB7"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года было издано Постановление Совета труда и Обо</w:t>
      </w:r>
      <w:r w:rsidRPr="0044524F">
        <w:rPr>
          <w:rFonts w:ascii="Times New Roman" w:hAnsi="Times New Roman"/>
          <w:color w:val="000000" w:themeColor="text1"/>
          <w:sz w:val="16"/>
          <w:szCs w:val="16"/>
        </w:rPr>
        <w:softHyphen/>
        <w:t>роны № 71сс, согласно которому должны были быть спроектированы, изготовлены опытные образцы и предъявлены в 1935 году на испытания:</w:t>
      </w:r>
    </w:p>
    <w:p w14:paraId="797A3E6B"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два образца легких колесно-гусеничных танков (плавающих) под маркой Т-43.</w:t>
      </w:r>
    </w:p>
    <w:p w14:paraId="61B98003"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Один образец легкого танка (плавающего) только гусеничного, под </w:t>
      </w:r>
      <w:r w:rsidRPr="0044524F">
        <w:rPr>
          <w:rFonts w:ascii="Times New Roman" w:hAnsi="Times New Roman"/>
          <w:color w:val="000000" w:themeColor="text1"/>
          <w:sz w:val="16"/>
          <w:szCs w:val="16"/>
          <w:vertAlign w:val="subscript"/>
        </w:rPr>
        <w:t>:</w:t>
      </w:r>
      <w:r w:rsidRPr="0044524F">
        <w:rPr>
          <w:rFonts w:ascii="Times New Roman" w:hAnsi="Times New Roman"/>
          <w:color w:val="000000" w:themeColor="text1"/>
          <w:sz w:val="16"/>
          <w:szCs w:val="16"/>
        </w:rPr>
        <w:t xml:space="preserve"> маркой Т-38;</w:t>
      </w:r>
    </w:p>
    <w:p w14:paraId="2470D7B8"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один образец колесно-гусеничного войскового танка под маркой Т-46;</w:t>
      </w:r>
    </w:p>
    <w:p w14:paraId="18108583"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два образца средних (?!) быстроходных танков: один под маркой БТ-5 с дизелем и один плавающий под маркой ПТ-1;</w:t>
      </w:r>
    </w:p>
    <w:p w14:paraId="4CDEB9FF"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один образец колесно-гусеничного танка БТ-7 с мотором М-17;</w:t>
      </w:r>
    </w:p>
    <w:p w14:paraId="17924973"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два образца тяжелых (?!) танков под марками Т-29 — 4 и Т-29—5 (11504).</w:t>
      </w:r>
    </w:p>
    <w:p w14:paraId="62188423" w14:textId="77777777" w:rsidR="00EA298A" w:rsidRPr="0044524F" w:rsidRDefault="00EA298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19217D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13 августа 1933 г. представленная К.Е. Ворошиловым новая система автобронетанкового вооружения была рассмотрена на заседании Совета Труда и Обороны (СТО), и практически без поправок утверждена </w:t>
      </w:r>
      <w:hyperlink r:id="rId295" w:tgtFrame="_blank" w:history="1">
        <w:r w:rsidRPr="0044524F">
          <w:rPr>
            <w:rFonts w:ascii="Times New Roman" w:eastAsia="Times New Roman" w:hAnsi="Times New Roman"/>
            <w:color w:val="000000" w:themeColor="text1"/>
            <w:sz w:val="16"/>
            <w:szCs w:val="16"/>
            <w:lang w:eastAsia="ru-RU"/>
          </w:rPr>
          <w:t>Постановлением СТО № 71сс «О системе танкового вооружения РККА»</w:t>
        </w:r>
      </w:hyperlink>
      <w:r w:rsidRPr="0044524F">
        <w:rPr>
          <w:rFonts w:ascii="Times New Roman" w:eastAsia="Times New Roman" w:hAnsi="Times New Roman"/>
          <w:color w:val="000000" w:themeColor="text1"/>
          <w:sz w:val="16"/>
          <w:szCs w:val="16"/>
          <w:lang w:eastAsia="ru-RU"/>
        </w:rPr>
        <w:t xml:space="preserve">. В первом разделе этого важного для отечественного танкостроения постановления было указано: </w:t>
      </w:r>
    </w:p>
    <w:p w14:paraId="3CAA81BB"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«Утвердить на вторую пятилетку следующую систему бронетанкового вооружения РККА: </w:t>
      </w:r>
    </w:p>
    <w:p w14:paraId="743FB3DA"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1. Основные танки – 5 типов:</w:t>
      </w:r>
    </w:p>
    <w:p w14:paraId="4AE3B8FE"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Разведывательный танк. Основной танк службы обеспечения всех механизированных соединений. Средство боевой разведки и боя пехоты. Основные требования: быстроходность, вездеходность (в том числе плавучесть), маневренность, низкий габарит, дешевизна и массовость производства. </w:t>
      </w:r>
    </w:p>
    <w:p w14:paraId="1D3CB96C"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Общевойсковой танк. Основной танк количественного усиления ТРГК, он же танк общевойсковых соединений. </w:t>
      </w:r>
    </w:p>
    <w:p w14:paraId="3DA23336"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в) Оперативный танк. Танк самостоятельных механизированных соединений. Танк должен быть быстроходным вездеходным (в том числе плавучим) и мощно вооружен. </w:t>
      </w:r>
    </w:p>
    <w:p w14:paraId="12936354"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г) Танк качественного усиления ТРГК. Танк качественного усиления ТРГК для преодоления сильно укрепленных оборонительных полос. Основные требования: сильное вооружение и броня, быстроходность, позволяющая его применять также в операции совместно с мехсоединениями. </w:t>
      </w:r>
    </w:p>
    <w:p w14:paraId="3B5656A5"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д) Мощный танк особого назначения. Танк качественного, добавочного усиления ТРГК при прорыве особо сильно и заблаговременно укрепленных полос. Основное требование – мощное вооружение и броня, защищающая от мелкокалиберных снарядов. Способность бороться с бетонными сооружениями. </w:t>
      </w:r>
    </w:p>
    <w:p w14:paraId="7A46DC91"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2. Специальные танки – 7 типов (на шасси, стандартных с перечисленными выше): </w:t>
      </w:r>
    </w:p>
    <w:p w14:paraId="0B88A4B5"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3 химических (на шасси общевойскового, разведывательного и оперативного танков); </w:t>
      </w:r>
    </w:p>
    <w:p w14:paraId="14237B50"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2 саперных (на шасси общевойскового танка и танка качественного усиления ТРГК); </w:t>
      </w:r>
    </w:p>
    <w:p w14:paraId="303E7173"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в) самоходная артиллерийская установка (на агрегатах общевойскового танка); </w:t>
      </w:r>
    </w:p>
    <w:p w14:paraId="669303E5"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г) танк управления (на шасси общевойскового танка и танка качественного усиления ТРГК); </w:t>
      </w:r>
    </w:p>
    <w:p w14:paraId="31094E18"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3. Броне-машины – 2 типа:</w:t>
      </w:r>
    </w:p>
    <w:p w14:paraId="4D05C9C2"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разведывательная (на шасси ФОРД-А); </w:t>
      </w:r>
    </w:p>
    <w:p w14:paraId="7219E58D"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lastRenderedPageBreak/>
        <w:t xml:space="preserve">б)боевая (на шасси ФОРД-3А). </w:t>
      </w:r>
    </w:p>
    <w:p w14:paraId="66883666"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4. Железнодорожные боевые машины – 2 типа:</w:t>
      </w:r>
    </w:p>
    <w:p w14:paraId="129BE1B7"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мото-броне-вагон; </w:t>
      </w:r>
    </w:p>
    <w:p w14:paraId="012EEA39"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разведывательная дрезина-бронеавтомобиль (стандартный с бронемашиной). </w:t>
      </w:r>
    </w:p>
    <w:p w14:paraId="7FDC3DC8"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5. Тракторы – 3 типа (все типы общегосударственные): </w:t>
      </w:r>
    </w:p>
    <w:p w14:paraId="3F3B20E3"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легкий быстроходный трактор СТЗ-3; </w:t>
      </w:r>
    </w:p>
    <w:p w14:paraId="5A6973D0"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тяжелый быстроходный трактор "Коммунар"; </w:t>
      </w:r>
    </w:p>
    <w:p w14:paraId="1A8CDA1E"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в) тяжелый мощный трактор "Сталинец". </w:t>
      </w:r>
    </w:p>
    <w:p w14:paraId="2898656D"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6. Транспортеры – 2 типа:</w:t>
      </w:r>
    </w:p>
    <w:p w14:paraId="7977C6BC"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транспортер боеприпасов на поле боя (шасси стандартное с разведывательным танком); </w:t>
      </w:r>
    </w:p>
    <w:p w14:paraId="031006B9"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транспортер пехоты (на шасси легкого трактора). </w:t>
      </w:r>
    </w:p>
    <w:p w14:paraId="18DE9464"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7. Транспортные машины (существующие на массовом производстве с установкой 3-х осных ходовых частей и полугусеничных снежных ходов): </w:t>
      </w:r>
    </w:p>
    <w:p w14:paraId="2DEF881D"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ФОРД-А; </w:t>
      </w:r>
    </w:p>
    <w:p w14:paraId="59458B76"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ФОРД-АА; </w:t>
      </w:r>
    </w:p>
    <w:p w14:paraId="5C042048"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в) АМО-5; </w:t>
      </w:r>
    </w:p>
    <w:p w14:paraId="25575202"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г) Я-5».</w:t>
      </w:r>
    </w:p>
    <w:p w14:paraId="21F1E720"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[ГА РФ. Ф. Р-8418. Оп. 28. Д. 2. Л. 74 – 76]</w:t>
      </w:r>
    </w:p>
    <w:p w14:paraId="583C8CA4"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Для реализации утвержденной системы было решено сохранить в серийном производстве на первую половину пятилетки следующие танки: </w:t>
      </w:r>
    </w:p>
    <w:p w14:paraId="25EC5D80"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«а) Т-37 – в качестве разведывательного танка; </w:t>
      </w:r>
    </w:p>
    <w:p w14:paraId="77CBBCE1"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 Т-26 – в качестве общевойскового танка; </w:t>
      </w:r>
    </w:p>
    <w:p w14:paraId="5E1A0B95"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в) Б-Т – в качестве оперативного танка; </w:t>
      </w:r>
    </w:p>
    <w:p w14:paraId="283B391C"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г) Т-28 – в качестве танка качественного усиления ТРГК; </w:t>
      </w:r>
    </w:p>
    <w:p w14:paraId="030AA2D2"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д) Т-35 – в качестве мощного танка особого назначения».</w:t>
      </w:r>
    </w:p>
    <w:p w14:paraId="4A14F5E1"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[ГА РФ. Ф. Р-8418. Оп. 28. Д. 2. Л. 76]</w:t>
      </w:r>
    </w:p>
    <w:p w14:paraId="21299D4C"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дальнейшем эти танки планировалось заменить на более совершенные образцы. При этом были заданы следующие основные направления дальнейшего усовершенствования танков: оснащение всех типов танков дизелями и оснащение гусеничных танков всех типов (кроме танков типа Т-35) колесно-гусеничными движителями. Начиная с 1934 г. в качестве оперативного танка планировалось постепенное внедрение в производство плавающего колесно-гусеничного танка ПТ-1, с таким расчетом, чтобы с 1936 г. полностью перейти на его массовый выпуск вместо танка БТ-5. Танки Т-37, Т-26 и Т-28 также подлежали усовершенствованию, начиная с 1936 г., для увеличения оперативной подвижности, эти боевые машины должны были быть оснащены колесно-гусеничным движителем. Для замены танка Т-35 промышленность была обязана к 1937 г. разработать и внедрить в производство новый, более мощный образец танка «особого назначения». В случае полного выполнения промышленностью принятой системы бронетанкового вооружения, в 1937 г. в серийном производстве должны были находиться следующие основные типы танков: </w:t>
      </w:r>
    </w:p>
    <w:p w14:paraId="54842DF2"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 разведывательный плавающий танк типа Т-37 с колесно-гусеничным движителем; </w:t>
      </w:r>
    </w:p>
    <w:p w14:paraId="6DE385BC"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 легкий общевойсковой танк типа Т-26 с колесно-гусеничным движителем; </w:t>
      </w:r>
    </w:p>
    <w:p w14:paraId="4C8E81EB"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 легкий оперативный колесно-гусеничный плавающий танк ПТ-1; </w:t>
      </w:r>
    </w:p>
    <w:p w14:paraId="121B01B2"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 средний танк качественного усиления ТРГК типа Т-28 с колесно-гусеничным движителем; </w:t>
      </w:r>
    </w:p>
    <w:p w14:paraId="311CBDAA"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 новый тяжелый танк «особого назначения» – танк прорыва типа Т-35. </w:t>
      </w:r>
    </w:p>
    <w:p w14:paraId="36A4FED8"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При этом все перечисленные танки должны были быть оснащены дизелями, работающими на тяжелом топливе. В Приложении к Постановлению СТО № 71сс были приведены следующие основные тактико-технические требования, предъявляемые к вышеуказанным типам танков: </w:t>
      </w:r>
    </w:p>
    <w:p w14:paraId="72D1875F"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«1. Разведывательный танк (танк Т-37): </w:t>
      </w:r>
    </w:p>
    <w:p w14:paraId="6B433EB8"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боевой вес – 3,3 тн, скорость – 40 км/ч, вооружение – 1 пулемет, броня – защита от бронебойных пуль с дистанции 400 м, конструкция – плавающий. </w:t>
      </w:r>
    </w:p>
    <w:p w14:paraId="0DCA18C0"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2. Общевойсковой танк (танк Т-26): </w:t>
      </w:r>
    </w:p>
    <w:p w14:paraId="1D2433A0"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боевой вес – 9,5 тн, скорость – 50 км/ч, вооружение – 45 мм пушка (часть машин с 76 мм пушкой) и 1 пулемет, или 2 пулемета и 1 огнемет, броня – защита от бронебойных пуль, конструкция – желательно колесно-гусеничный. </w:t>
      </w:r>
    </w:p>
    <w:p w14:paraId="10DD4B9B"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3. Оперативный танк (тип – танк БТ, в дальнейшем – ПТ-1): </w:t>
      </w:r>
    </w:p>
    <w:p w14:paraId="14AA41EB"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боевой вес – 11 – 14,5 тн, скорость – 60 км/ч на гусеницах и 80 км/ч на колесах, вооружение – 45 мм пушка (часть машин с 76 мм пушкой) и 3 пулемета, броня – защита от бронебойных пуль, конструкция – плавающий, колесно-гусеничный. </w:t>
      </w:r>
    </w:p>
    <w:p w14:paraId="62AF8838"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4. Танк качественного усиления ТРГК (тип – танка Т-28): </w:t>
      </w:r>
    </w:p>
    <w:p w14:paraId="0309C0DC"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боевой вес – 20 – 23 тн, скорость – 40 км/ч на гусеницах и 70 км/ч на колесах, вооружение – 76 мм пушка и 3 сверхскорострельных пулемета, броня – защита от бронебойных крупнокалиберных пуль с любой дистанции, конструкция – колесно-гусеничный. </w:t>
      </w:r>
    </w:p>
    <w:p w14:paraId="28387CB5" w14:textId="77777777" w:rsidR="007F5702" w:rsidRPr="0044524F" w:rsidRDefault="007F5702" w:rsidP="009654CF">
      <w:pPr>
        <w:spacing w:after="0" w:line="240" w:lineRule="auto"/>
        <w:jc w:val="both"/>
        <w:rPr>
          <w:rFonts w:ascii="Times New Roman" w:eastAsia="Times New Roman" w:hAnsi="Times New Roman"/>
          <w:iCs/>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5. Мощный танк особого назначения (тип – танка Т-35): </w:t>
      </w:r>
    </w:p>
    <w:p w14:paraId="1A14FBDB"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боевой вес – 45 тн и более, скорость – 30 км/ч, вооружение – 76 мм пушка или 152 мм пушка, две 45 мм пушки или одна 45 мм пушка и 4 – 6 пулеметов, броня – защита от бронебойных крупнокалиберных пуль с любой дистанции и от мелкокалиберных снарядов (37 – 45 мм) с дистанции 500 – 700 м., конструкция – желательно колесно-гусеничный».</w:t>
      </w:r>
    </w:p>
    <w:p w14:paraId="320ED1B5"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[ГА РФ. Ф. Р-8418. Оп. 28. Д. 2. Л. 81]</w:t>
      </w:r>
    </w:p>
    <w:p w14:paraId="7D8FDBBA"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отношении малого танка Т-34 в Постановлении СТО № 71сс было указано: в мирное время от производства отказаться, но на случай войны предусмотреть возможность его массового выпуска на предприятиях автомобильной промышленности. </w:t>
      </w:r>
    </w:p>
    <w:p w14:paraId="12ED59A5"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Необходимо отметить, что в данном Постановлении отдельно были определены мероприятия по усилению огневой мощи танков. Промышленность была обязана, начиная с 1934 г., наладить производство полуавтоматической 76,2-мм танковой пушки ПС-3 и параллельно с этим приступить к разработке новой 45-мм автоматической танковой пушки. </w:t>
      </w:r>
    </w:p>
    <w:p w14:paraId="3694D826"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(17501).</w:t>
      </w:r>
    </w:p>
    <w:p w14:paraId="0734EF0B"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p>
    <w:p w14:paraId="14C3262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13 августа 1933 г. вышло Постановление СТО СССР № 71сс/о</w:t>
      </w:r>
    </w:p>
    <w:p w14:paraId="1D9C7A7F"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Совершенно секретно. </w:t>
      </w:r>
    </w:p>
    <w:p w14:paraId="17140E11"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 системе танкового вооружения РККА"</w:t>
      </w:r>
    </w:p>
    <w:p w14:paraId="776C50E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 Успехи социалистического строительства в первой пятилетке обеспечили превращение Рабоче-крестьянской Красной армии из армии в отношении механизации отсталой в армию передовую как по количеству, так и по качеству боевых машин, состоящих на вооружении и поставленных на массовое производство. Заново создана специальная производственная база по танкостроению, обеспечивающая уже в настоящее время производство 11 тыс. танков в год. </w:t>
      </w:r>
    </w:p>
    <w:p w14:paraId="1169A17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2. За этот же период времени выращены новые молодые конструкторские силы, в результате работы которых Красная армия получила на вооружение танки, не уступающие танкам капиталистических армий, а по некоторым типам, превосходящие их. </w:t>
      </w:r>
    </w:p>
    <w:p w14:paraId="1C6508F6"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3. Наряду с этими огромными достижениями остаются еще неразрешенными следующие серьезнейшие задачи: </w:t>
      </w:r>
    </w:p>
    <w:p w14:paraId="6B1582F5"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мобилизационные производственные мощности промышленности не доведены до установленных правительством размеров; </w:t>
      </w:r>
    </w:p>
    <w:p w14:paraId="334DD6AF"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некомплектная подача вооружения, оптики, радиоустановок, в связи с чем налицо разрыв между количеством изготовленных танков и количеством укомплектованных до полной боевой готовности их; </w:t>
      </w:r>
    </w:p>
    <w:p w14:paraId="4C31BDC8"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отсутствие самостоятельной производственной базы для мотора танка БТ; </w:t>
      </w:r>
    </w:p>
    <w:p w14:paraId="2B4A8311"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 слаба обеспеченность боевых и транспортных машин запасными частями, инструментом и необходимыми приспособлениями; </w:t>
      </w:r>
    </w:p>
    <w:p w14:paraId="6492DBBF"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д) слабо еще механизирован и моторизован тыл мехсоединений и танковых частей; </w:t>
      </w:r>
    </w:p>
    <w:p w14:paraId="71050D8B"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е) отсутствует промышленная ремонтная база для боевых и транспортных машин как для мирного, так и особенно на военное время; </w:t>
      </w:r>
    </w:p>
    <w:p w14:paraId="69E5818F"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ж) еще не окончательно ликвидирована зависимость танкостроения от импорта, в частности по шарикоподшипникам и электрооборудованию; </w:t>
      </w:r>
    </w:p>
    <w:p w14:paraId="24A832BA"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з) не вполне удовлетворительное качество производства танков, как то: броня, производство и сборка моторов и коробок скоростей; </w:t>
      </w:r>
    </w:p>
    <w:p w14:paraId="63AED300"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и) недостаточно подготовлено производство 45 мм танковых пушек и выстрелов для них; </w:t>
      </w:r>
    </w:p>
    <w:p w14:paraId="44E18124"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к) не разрешен полностью вопрос о создании мобилизационных запасов, средств подвоза горючего и смазочного и пунктов питания; </w:t>
      </w:r>
    </w:p>
    <w:p w14:paraId="1A240943"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л) недостаточная обеспеченность войсковых механизированных частей и соединений мастерскими и гаражами. </w:t>
      </w:r>
    </w:p>
    <w:p w14:paraId="7384183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Основными задачами на вторую пятилетку в области механизации РККА поставить: </w:t>
      </w:r>
    </w:p>
    <w:p w14:paraId="2DA2F89D"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 xml:space="preserve">1. В течение второй пятилетки должен быть достигнут такой размах механизации армии, который бы позволил механизированным войскам стать одним из основных, решающих элементов в боевых операциях. </w:t>
      </w:r>
    </w:p>
    <w:p w14:paraId="60285CB3"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2. Признать необходимым закончить в течение 1933 – 1934 гг. подготовку мобилизационно-производственной базы, обеспечивающей в военное время выпуск массового количества современных танков, согласно ранее принятым решениям. </w:t>
      </w:r>
    </w:p>
    <w:p w14:paraId="07792BAD"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3. В текущем 1933 г. решительно ликвидировать некомплектность по вооружению, приборам управления огнем и связи выпускаемых из производства машин и окончательно ликвидировать импортную зависимость по шарикоподшипникам и электрооборудованию. </w:t>
      </w:r>
    </w:p>
    <w:p w14:paraId="4E8D4DDC"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4. В течение года обеспечить моторизацию, механизацию тыла механизированных соединений и танковых частей вспомогательными машинами: автопоходные мастерские, цистерны, машины технической помощи, водо-масло-заправщики, моечные машины, бензоколонки и т. д. </w:t>
      </w:r>
    </w:p>
    <w:p w14:paraId="1DF0CBBD"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5. В течение 1933 – 1934 гг. создать ремонтную базу, обеспечивающую потребность механизированных соединений и танковых частей в ремонте как в мирное, так и в военное время. Еще в 1933 г. создать производственные мощности в размерах, обеспечивающих полную и комплектную подачу запасных частей для ремонта боевых машин. </w:t>
      </w:r>
    </w:p>
    <w:p w14:paraId="39C4CAD5"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I.</w:t>
      </w:r>
    </w:p>
    <w:p w14:paraId="4DA6178F"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Утвердить на вторую пятилетку следующую систему бронетанкового вооружения РККА: </w:t>
      </w:r>
    </w:p>
    <w:p w14:paraId="77E29C0B"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 Основные танки – 5 типов: </w:t>
      </w:r>
    </w:p>
    <w:p w14:paraId="4B893CB2"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Разведывательный танк. Основной танк службы обеспечения всех мехсоединений. Средство боевой разведки и боя пехоты. Основные требования: быстроходность, вездеходность (в том числе плавучесть), маневренность, низкий габарит, дешевизна и массовость производства. </w:t>
      </w:r>
    </w:p>
    <w:p w14:paraId="6AEA4550"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Общевойсковой танк. Основной танк количественного усиления ТРГК, он же танк общевойсковых соединений. </w:t>
      </w:r>
    </w:p>
    <w:p w14:paraId="3872074C"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Оперативный танк. Танк самостоятельных механизированных соединений. Танк должен быть быстроходным, вездеходным (в том числе плавучим) и мощно вооружен. </w:t>
      </w:r>
    </w:p>
    <w:p w14:paraId="098EC48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 Танк качественного усиления ТРГК. Танк качественного усиления ТРГК для преодолевания сильно укрепленных оборонительных полос. Основные требования: сильное вооружение и броня, быстроходность, позволяющая его применить также в операции совместно с мехсоединениями. </w:t>
      </w:r>
    </w:p>
    <w:p w14:paraId="45173C2D"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д) Мощный танк особого назначения. Танк качественного, добавочного усиления ТРГК при прорыве особо сильно и заблаговременно укрепленных полос. Основное требование – мощное вооружение и броня, защищающая от мелкокалиберных снарядов. Способность бороться с бетонными сооружениями. </w:t>
      </w:r>
    </w:p>
    <w:p w14:paraId="276C53DB"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2. Специальные танки – 7 типов (на шасси, стандартных с перечисленными выше): </w:t>
      </w:r>
    </w:p>
    <w:p w14:paraId="01D9B34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3 химических (на шасси общевойскового, разведывательного и оперативного танков); </w:t>
      </w:r>
    </w:p>
    <w:p w14:paraId="17C07A66"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2 саперных (на шасси общевойскового танка и танка качественного усиления ТРГК); </w:t>
      </w:r>
    </w:p>
    <w:p w14:paraId="4E246456"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самоходная артиллерийская установка (на агрегатах общевойскового танка); </w:t>
      </w:r>
    </w:p>
    <w:p w14:paraId="652A1A72"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 танк управления (на шасси общевойскового танка и танка качественного усиления ТРГК). </w:t>
      </w:r>
    </w:p>
    <w:p w14:paraId="1B457423"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3. Бронемашины – 2 типа: </w:t>
      </w:r>
    </w:p>
    <w:p w14:paraId="52852BB2"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разведывательная (на шасси "Форд А"); </w:t>
      </w:r>
    </w:p>
    <w:p w14:paraId="59EA225B"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боевая (на шасси "Форд ЗА"). </w:t>
      </w:r>
    </w:p>
    <w:p w14:paraId="0634DCF8"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4. Железнодорожные боевые машины – 2 типа: </w:t>
      </w:r>
    </w:p>
    <w:p w14:paraId="350DDCC1"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мото-броневагон; </w:t>
      </w:r>
    </w:p>
    <w:p w14:paraId="6FDA969A"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разведывательная дрезина – бронеавтомобиль (стандартный с бронемашиной). </w:t>
      </w:r>
    </w:p>
    <w:p w14:paraId="2FD07E85"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5. Тракторы – 3 типа (все типы общегосударственные): </w:t>
      </w:r>
    </w:p>
    <w:p w14:paraId="6C926F6F"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легкий быстроходный трактор СТЗ З; </w:t>
      </w:r>
    </w:p>
    <w:p w14:paraId="48C9DB3A"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тяжелый быстроходный трактор "Коммунар"; </w:t>
      </w:r>
    </w:p>
    <w:p w14:paraId="02EC1B1D"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тяжелый мощный трактор "Сталинец". </w:t>
      </w:r>
    </w:p>
    <w:p w14:paraId="36D8CF3F"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6. Транспортеры – 2 типа: </w:t>
      </w:r>
    </w:p>
    <w:p w14:paraId="36938812"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транспортер боеприпасов на поле боя (шасси стандартное с разведывательным танком); </w:t>
      </w:r>
    </w:p>
    <w:p w14:paraId="54D7DF66"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транспортер пехоты (на шасси легкого трактора). </w:t>
      </w:r>
    </w:p>
    <w:p w14:paraId="78A2231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7. Транспортные машины (существующие на массовом производстве с установкой трехосных ходовых частей и полугусеничных снежных ходов): </w:t>
      </w:r>
    </w:p>
    <w:p w14:paraId="7F2A38A5"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"Форд-А"; </w:t>
      </w:r>
    </w:p>
    <w:p w14:paraId="11CC10CC"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"Форд-АА"; </w:t>
      </w:r>
    </w:p>
    <w:p w14:paraId="5CAD2984"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АМО-5; </w:t>
      </w:r>
    </w:p>
    <w:p w14:paraId="7A1E8AC3"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 Я-5. </w:t>
      </w:r>
    </w:p>
    <w:p w14:paraId="00BE4491"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II.</w:t>
      </w:r>
    </w:p>
    <w:p w14:paraId="1E592D8B"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Утвердить, в соответствии с этим на первую половину пятилетки сохранение в производстве следующих типов боевых машин: </w:t>
      </w:r>
    </w:p>
    <w:p w14:paraId="5E34F02F"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Т-37 – в качестве разведывательного танка; </w:t>
      </w:r>
    </w:p>
    <w:p w14:paraId="2FEF1361"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Т-26 – в качестве общевойскового танка; </w:t>
      </w:r>
    </w:p>
    <w:p w14:paraId="01C7395F"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БТ – в качестве оперативного танка; </w:t>
      </w:r>
    </w:p>
    <w:p w14:paraId="52F0AFC7"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 Т-28 – в качестве танка качественного усиления ТРГК; </w:t>
      </w:r>
    </w:p>
    <w:p w14:paraId="76943CF5"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д) Т-35 – в качестве мощного танка особого назначения. </w:t>
      </w:r>
    </w:p>
    <w:p w14:paraId="2FF387C7"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III.</w:t>
      </w:r>
    </w:p>
    <w:p w14:paraId="2CACB20A"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С целью последующей замены существующих на производстве типов танков на более совершенные конструкции (в соответствии с требованиями системы вооружения): </w:t>
      </w:r>
    </w:p>
    <w:p w14:paraId="7836EDD1"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начиная с 1934 г. начать постепенное внедрение в производство в качестве оперативного танка плавающей машины ПТ-1 с таким расчетом, чтобы с 1936 г. полностью перейти на развернутое производство этого танка на базе и за счет производства танка БТ. </w:t>
      </w:r>
    </w:p>
    <w:p w14:paraId="6E4E5000"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Усовершенствовать конструкцию общевойскового танка Т-26 и разведывательного танка Т-37 с целью постановки их на колесно-гусеничный ход с таким расчетом, чтобы с 1936 г. начать развернутое производство колесно-гусеничных танков Т-26 и Т-37, взамен производства существующих. </w:t>
      </w:r>
    </w:p>
    <w:p w14:paraId="4D60118D"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Усовершенствовать танк Т-28 путем постановки его на колесно-гусеничный ход, и на производство этой модели танка перейти также с 1936 г. </w:t>
      </w:r>
    </w:p>
    <w:p w14:paraId="798E2A4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 Разработать образец и начать в конце пятилетки производство нового, более мощного, чем Т-35, танка особого назначения. </w:t>
      </w:r>
    </w:p>
    <w:p w14:paraId="5DF9FB9A"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д) Разработать переход всех типов танков на тяжелое топливо (дизель-мотор). </w:t>
      </w:r>
    </w:p>
    <w:p w14:paraId="5A363A28"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IV.</w:t>
      </w:r>
    </w:p>
    <w:p w14:paraId="6D61E9F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К концу пятилетки (1937 г.) иметь в производстве только следующие типы танков (и соответствующих им специальных машин): </w:t>
      </w:r>
    </w:p>
    <w:p w14:paraId="605AB0D4"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разведывательный танк Т-37 колесно-гусеничный; </w:t>
      </w:r>
    </w:p>
    <w:p w14:paraId="123EA317"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общевойсковой танк Т-26 колесно-гусеничный; </w:t>
      </w:r>
    </w:p>
    <w:p w14:paraId="08035651"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оперативный танк ПТ-1; </w:t>
      </w:r>
    </w:p>
    <w:p w14:paraId="0313144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 танк качественного усиления ТРГК Т-28 колесно-гусеничный; </w:t>
      </w:r>
    </w:p>
    <w:p w14:paraId="0DFEB4A1"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д) мощный танк особого назначения – новый образец (в случае запоздания сохраняется Т-35). </w:t>
      </w:r>
    </w:p>
    <w:p w14:paraId="7F64321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Все машины на тяжелом топливе. </w:t>
      </w:r>
    </w:p>
    <w:p w14:paraId="41E3B17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V.</w:t>
      </w:r>
    </w:p>
    <w:p w14:paraId="571D0DB5"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Предусмотреть возможность постановки на производство во время войны имеющегося опытного образца Т-34 на базе автомобильной промышленности. </w:t>
      </w:r>
    </w:p>
    <w:p w14:paraId="10A3B7EB"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VI.</w:t>
      </w:r>
    </w:p>
    <w:p w14:paraId="73D359B5"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Усовершенствовать существующие танковые артиллерийские системы 45 мм и 76 мм калибра, поставив на валовое производство, начиная с 1934 г., 76 мм пушки (типа Сячинтова) с полуавтоматическим затвором, и приступить к разработке специальной танковой пушки 45 мм калибра автоматического типа. </w:t>
      </w:r>
    </w:p>
    <w:p w14:paraId="0E255C75"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VII.</w:t>
      </w:r>
    </w:p>
    <w:p w14:paraId="4A58B6F7"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Усилить производство танковых перископических и оптических прицелов для 45 мм, 76 мм пушек и пулеметов с таким расчетом, чтобы, начиная с 1934 г., полностью все танки были снабжены положенными оптическими приборами. </w:t>
      </w:r>
    </w:p>
    <w:p w14:paraId="486FFFFD"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VIII.</w:t>
      </w:r>
    </w:p>
    <w:p w14:paraId="0BBC7A16"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На основе утвержденной системы бронетанкового вооружения поручить НКТяжпрому совместно с НКВМ к 1 октября 1933 г. разработать и представить на утверждение правительства план необходимых мероприятий для проведения в жизнь утвержденной системы вооружения. </w:t>
      </w:r>
    </w:p>
    <w:p w14:paraId="58A4440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План должен содержать в себе следующие основные элементы: </w:t>
      </w:r>
    </w:p>
    <w:p w14:paraId="30D3B16B"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а) развитие производственной базы; </w:t>
      </w:r>
    </w:p>
    <w:p w14:paraId="444A11AA"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б) развитие ремонтной базы; </w:t>
      </w:r>
    </w:p>
    <w:p w14:paraId="68947EA6"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 xml:space="preserve">в) мероприятия по переходу на новые типы; </w:t>
      </w:r>
    </w:p>
    <w:p w14:paraId="23CB829E"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г) мероприятия по изготовлению опытных образцов, обеспечению вооружения и огнеприпасов и т. д. </w:t>
      </w:r>
    </w:p>
    <w:p w14:paraId="515EB8D8"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Председатель Совета труда и обороны подпись В. Молотов</w:t>
      </w:r>
    </w:p>
    <w:p w14:paraId="39E62151"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За секретаря Совета труда и обороны подпись Базилевич</w:t>
      </w:r>
    </w:p>
    <w:p w14:paraId="4C98FB03" w14:textId="711E27A6"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iCs/>
          <w:color w:val="000000" w:themeColor="text1"/>
          <w:sz w:val="16"/>
          <w:szCs w:val="16"/>
          <w:lang w:eastAsia="ru-RU"/>
        </w:rPr>
        <w:t>ГАРФ Фонд Р-8418 Опись 28 Дело 2 Лист 72 – 79</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(17506).</w:t>
      </w:r>
    </w:p>
    <w:p w14:paraId="23E29315" w14:textId="77777777" w:rsidR="007F5702" w:rsidRPr="0044524F" w:rsidRDefault="007F5702" w:rsidP="009654CF">
      <w:pPr>
        <w:spacing w:after="0" w:line="240" w:lineRule="auto"/>
        <w:jc w:val="both"/>
        <w:rPr>
          <w:rFonts w:ascii="Times New Roman" w:eastAsia="Times New Roman" w:hAnsi="Times New Roman"/>
          <w:color w:val="000000" w:themeColor="text1"/>
          <w:sz w:val="16"/>
          <w:szCs w:val="16"/>
          <w:lang w:eastAsia="ru-RU"/>
        </w:rPr>
      </w:pPr>
    </w:p>
    <w:p w14:paraId="4EF0F378" w14:textId="77777777" w:rsidR="006F02D8" w:rsidRPr="00142305" w:rsidRDefault="006F02D8" w:rsidP="006F02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августа 1933 года, согласно утвержденной Правительством СССР новой системе танкового вооружения, пред</w:t>
      </w:r>
      <w:r w:rsidRPr="00142305">
        <w:rPr>
          <w:rFonts w:ascii="Times New Roman" w:hAnsi="Times New Roman"/>
          <w:color w:val="0070C0"/>
          <w:sz w:val="16"/>
          <w:szCs w:val="16"/>
        </w:rPr>
        <w:softHyphen/>
        <w:t>полагалось, что Т-35 «должен быть заменен более мощным танком специального назна</w:t>
      </w:r>
      <w:r w:rsidRPr="00142305">
        <w:rPr>
          <w:rFonts w:ascii="Times New Roman" w:hAnsi="Times New Roman"/>
          <w:color w:val="0070C0"/>
          <w:sz w:val="16"/>
          <w:szCs w:val="16"/>
        </w:rPr>
        <w:softHyphen/>
        <w:t>чения». Причем этим же постановлением предусматривалось в течение всей пятилет</w:t>
      </w:r>
      <w:r w:rsidRPr="00142305">
        <w:rPr>
          <w:rFonts w:ascii="Times New Roman" w:hAnsi="Times New Roman"/>
          <w:color w:val="0070C0"/>
          <w:sz w:val="16"/>
          <w:szCs w:val="16"/>
        </w:rPr>
        <w:softHyphen/>
        <w:t>ки производство Т-35, если к этому времени не будет окончательно решен вопрос о кон</w:t>
      </w:r>
      <w:r w:rsidRPr="00142305">
        <w:rPr>
          <w:rFonts w:ascii="Times New Roman" w:hAnsi="Times New Roman"/>
          <w:color w:val="0070C0"/>
          <w:sz w:val="16"/>
          <w:szCs w:val="16"/>
        </w:rPr>
        <w:softHyphen/>
        <w:t>струкции нового тяжелого танка (25014).</w:t>
      </w:r>
    </w:p>
    <w:p w14:paraId="0CB910E6" w14:textId="77777777" w:rsidR="006F02D8" w:rsidRPr="00142305" w:rsidRDefault="006F02D8" w:rsidP="006F02D8">
      <w:pPr>
        <w:spacing w:after="0" w:line="240" w:lineRule="auto"/>
        <w:jc w:val="both"/>
        <w:rPr>
          <w:rFonts w:ascii="Times New Roman" w:hAnsi="Times New Roman"/>
          <w:color w:val="0070C0"/>
          <w:sz w:val="16"/>
          <w:szCs w:val="16"/>
        </w:rPr>
      </w:pPr>
    </w:p>
    <w:p w14:paraId="32C9F3EA" w14:textId="77777777" w:rsidR="006F02D8" w:rsidRPr="00142305" w:rsidRDefault="006F02D8" w:rsidP="006F02D8">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13 августа 1933 г. пос</w:t>
      </w:r>
      <w:r w:rsidRPr="00142305">
        <w:rPr>
          <w:rStyle w:val="aff"/>
          <w:rFonts w:ascii="Times New Roman" w:hAnsi="Times New Roman" w:cs="Times New Roman"/>
          <w:color w:val="0070C0"/>
          <w:spacing w:val="0"/>
          <w:sz w:val="16"/>
          <w:szCs w:val="16"/>
        </w:rPr>
        <w:softHyphen/>
        <w:t>тановлением СТО была утверждена система оснащения артиллерии средствами механической тяги. Этой системой, а также дополнительными приказами Генерального штаба к концу 1936 г. предусматривалось иметь на механической тяге 21 артиллерийский полк РГК (из имеющихся 39), 16 корпусных артиллерийских пол</w:t>
      </w:r>
      <w:r w:rsidRPr="00142305">
        <w:rPr>
          <w:rStyle w:val="aff"/>
          <w:rFonts w:ascii="Times New Roman" w:hAnsi="Times New Roman" w:cs="Times New Roman"/>
          <w:color w:val="0070C0"/>
          <w:spacing w:val="0"/>
          <w:sz w:val="16"/>
          <w:szCs w:val="16"/>
        </w:rPr>
        <w:softHyphen/>
        <w:t>ков (из 45) и все 55 тяжелых артиллерийских дивизионов артилле</w:t>
      </w:r>
      <w:r w:rsidRPr="00142305">
        <w:rPr>
          <w:rStyle w:val="aff"/>
          <w:rFonts w:ascii="Times New Roman" w:hAnsi="Times New Roman" w:cs="Times New Roman"/>
          <w:color w:val="0070C0"/>
          <w:spacing w:val="0"/>
          <w:sz w:val="16"/>
          <w:szCs w:val="16"/>
        </w:rPr>
        <w:softHyphen/>
        <w:t>рийских дивизий. Кроме того, подлежала переводу на мехтягу часть зенитной артиллерии (25436).</w:t>
      </w:r>
    </w:p>
    <w:p w14:paraId="089F1FDE" w14:textId="77777777" w:rsidR="006F02D8" w:rsidRPr="00142305" w:rsidRDefault="006F02D8" w:rsidP="006F02D8">
      <w:pPr>
        <w:spacing w:after="0" w:line="240" w:lineRule="auto"/>
        <w:jc w:val="both"/>
        <w:rPr>
          <w:rFonts w:ascii="Times New Roman" w:hAnsi="Times New Roman"/>
          <w:color w:val="0070C0"/>
          <w:sz w:val="16"/>
          <w:szCs w:val="16"/>
        </w:rPr>
      </w:pPr>
    </w:p>
    <w:p w14:paraId="4631632C"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плавающий танк Т-37 был принят на вооружение в качестве разведовательного танка и до конца 1933 находился в производстве на заводе № 37 с использованием брони, поставляемой Подольским крекинг-заводом (9527,44).</w:t>
      </w:r>
    </w:p>
    <w:p w14:paraId="6FB660F4" w14:textId="77777777" w:rsidR="00EA298A" w:rsidRPr="0044524F" w:rsidRDefault="00EA298A" w:rsidP="009654CF">
      <w:pPr>
        <w:autoSpaceDE w:val="0"/>
        <w:autoSpaceDN w:val="0"/>
        <w:adjustRightInd w:val="0"/>
        <w:spacing w:after="0" w:line="240" w:lineRule="auto"/>
        <w:jc w:val="both"/>
        <w:rPr>
          <w:rFonts w:ascii="Times New Roman" w:hAnsi="Times New Roman"/>
          <w:color w:val="000000" w:themeColor="text1"/>
          <w:sz w:val="16"/>
          <w:szCs w:val="16"/>
        </w:rPr>
      </w:pPr>
    </w:p>
    <w:p w14:paraId="42B265E7" w14:textId="77777777" w:rsidR="00A804B1" w:rsidRPr="0044524F" w:rsidRDefault="00A804B1" w:rsidP="009654CF">
      <w:pPr>
        <w:pStyle w:val="rtejustify"/>
        <w:spacing w:before="0" w:after="0"/>
        <w:rPr>
          <w:color w:val="000000" w:themeColor="text1"/>
          <w:sz w:val="16"/>
          <w:szCs w:val="16"/>
        </w:rPr>
      </w:pPr>
      <w:r w:rsidRPr="0044524F">
        <w:rPr>
          <w:rStyle w:val="af0"/>
          <w:bCs/>
          <w:i w:val="0"/>
          <w:color w:val="000000" w:themeColor="text1"/>
          <w:sz w:val="16"/>
          <w:szCs w:val="16"/>
        </w:rPr>
        <w:t>13 августа</w:t>
      </w:r>
      <w:r w:rsidRPr="0044524F">
        <w:rPr>
          <w:color w:val="000000" w:themeColor="text1"/>
          <w:sz w:val="16"/>
          <w:szCs w:val="16"/>
        </w:rPr>
        <w:t xml:space="preserve"> 1933. Постановление СТО СССР № 70сс/о «О типах сторожевых судов и о программе постройки их в 1933</w:t>
      </w:r>
      <w:r w:rsidRPr="0044524F">
        <w:rPr>
          <w:color w:val="000000" w:themeColor="text1"/>
          <w:sz w:val="16"/>
          <w:szCs w:val="16"/>
        </w:rPr>
        <w:noBreakHyphen/>
        <w:t>1938 гг.». (ГА РФ. Ф. Р</w:t>
      </w:r>
      <w:r w:rsidRPr="0044524F">
        <w:rPr>
          <w:color w:val="000000" w:themeColor="text1"/>
          <w:sz w:val="16"/>
          <w:szCs w:val="16"/>
        </w:rPr>
        <w:noBreakHyphen/>
        <w:t>8418. Оп. 28. Д. 2. Л. 68</w:t>
      </w:r>
      <w:r w:rsidRPr="0044524F">
        <w:rPr>
          <w:color w:val="000000" w:themeColor="text1"/>
          <w:sz w:val="16"/>
          <w:szCs w:val="16"/>
        </w:rPr>
        <w:noBreakHyphen/>
        <w:t>71) (15460).</w:t>
      </w:r>
    </w:p>
    <w:p w14:paraId="50FC3319" w14:textId="77777777" w:rsidR="00A804B1" w:rsidRPr="0044524F" w:rsidRDefault="00A804B1" w:rsidP="009654CF">
      <w:pPr>
        <w:pStyle w:val="rtejustify"/>
        <w:spacing w:before="0" w:after="0"/>
        <w:rPr>
          <w:color w:val="000000" w:themeColor="text1"/>
          <w:sz w:val="16"/>
          <w:szCs w:val="16"/>
        </w:rPr>
      </w:pPr>
    </w:p>
    <w:p w14:paraId="76411A4C" w14:textId="77777777" w:rsidR="00A804B1" w:rsidRPr="0044524F" w:rsidRDefault="00A804B1" w:rsidP="009654CF">
      <w:pPr>
        <w:pStyle w:val="rtejustify"/>
        <w:spacing w:before="0" w:after="0"/>
        <w:rPr>
          <w:color w:val="000000" w:themeColor="text1"/>
          <w:sz w:val="16"/>
          <w:szCs w:val="16"/>
        </w:rPr>
      </w:pPr>
      <w:r w:rsidRPr="0044524F">
        <w:rPr>
          <w:rStyle w:val="af0"/>
          <w:bCs/>
          <w:i w:val="0"/>
          <w:color w:val="000000" w:themeColor="text1"/>
          <w:sz w:val="16"/>
          <w:szCs w:val="16"/>
        </w:rPr>
        <w:t>13 августа</w:t>
      </w:r>
      <w:r w:rsidRPr="0044524F">
        <w:rPr>
          <w:color w:val="000000" w:themeColor="text1"/>
          <w:sz w:val="16"/>
          <w:szCs w:val="16"/>
        </w:rPr>
        <w:t xml:space="preserve"> 1933. Постановление СТО СССР № 73сс/о «О типах спецсудов, закладываемых в 1933</w:t>
      </w:r>
      <w:r w:rsidRPr="0044524F">
        <w:rPr>
          <w:color w:val="000000" w:themeColor="text1"/>
          <w:sz w:val="16"/>
          <w:szCs w:val="16"/>
        </w:rPr>
        <w:noBreakHyphen/>
        <w:t>1934 гг.». (ГА РФ. Ф. Р</w:t>
      </w:r>
      <w:r w:rsidRPr="0044524F">
        <w:rPr>
          <w:color w:val="000000" w:themeColor="text1"/>
          <w:sz w:val="16"/>
          <w:szCs w:val="16"/>
        </w:rPr>
        <w:noBreakHyphen/>
        <w:t>8418. Оп. 28. Д. 2. Л. 102</w:t>
      </w:r>
      <w:r w:rsidRPr="0044524F">
        <w:rPr>
          <w:color w:val="000000" w:themeColor="text1"/>
          <w:sz w:val="16"/>
          <w:szCs w:val="16"/>
        </w:rPr>
        <w:noBreakHyphen/>
        <w:t>109) (15460).</w:t>
      </w:r>
    </w:p>
    <w:p w14:paraId="3A9ADC1B" w14:textId="77777777" w:rsidR="00A804B1" w:rsidRPr="0044524F" w:rsidRDefault="00A804B1" w:rsidP="009654CF">
      <w:pPr>
        <w:pStyle w:val="rtejustify"/>
        <w:spacing w:before="0" w:after="0"/>
        <w:rPr>
          <w:color w:val="000000" w:themeColor="text1"/>
          <w:sz w:val="16"/>
          <w:szCs w:val="16"/>
        </w:rPr>
      </w:pPr>
    </w:p>
    <w:p w14:paraId="521059B1" w14:textId="77777777" w:rsidR="006F02D8" w:rsidRPr="00142305" w:rsidRDefault="006F02D8" w:rsidP="006F02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августа 1933 г. вышло Постановление Правительства № 73-сс о заказе в Италии крейсера. 29 декабря 1934 г. было утверждено уже конкретное решение о строительстве лёгкого крейсера для советских ВМС со следующими данными: вооружение: шесть (3 × 2) 180-мм орудий, шесть (6 × 1) 100-мм орудий в щитовых установках, шесть 45-мм полуавтоматов и шесть 53-см торпедных аппаратов (2 × 3). Толщина брони борта и палубы – 50 мм. Скорость хода – 37 узлов при водоизмещении 7000–7200 т. Двигатели «Монтекукколи». На основании этого документа и был разработан сам «проект № 26» (25184).</w:t>
      </w:r>
    </w:p>
    <w:p w14:paraId="584DC459" w14:textId="77777777" w:rsidR="006F02D8" w:rsidRPr="00142305" w:rsidRDefault="006F02D8" w:rsidP="006F02D8">
      <w:pPr>
        <w:spacing w:after="0" w:line="240" w:lineRule="auto"/>
        <w:jc w:val="both"/>
        <w:rPr>
          <w:rFonts w:ascii="Times New Roman" w:hAnsi="Times New Roman"/>
          <w:color w:val="0070C0"/>
          <w:sz w:val="16"/>
          <w:szCs w:val="16"/>
        </w:rPr>
      </w:pPr>
    </w:p>
    <w:p w14:paraId="61FAD372" w14:textId="77777777" w:rsidR="00A804B1" w:rsidRPr="0044524F" w:rsidRDefault="00A804B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 заместитель начальника Морских сил Лудри утвердил комплект стереотипных Тактико-технических заданий на мобилизационное переоборудование в авиатранспорты (далее АВТР) ряда теплоходов и пароходов, строящихся на заводах Главморпрома НКОП СССР. Предполагалось воспользоваться грузопассажирскими пароходами типа «Сучан» на Дальнем Востоке, грузовыми теплоходами грузоподъемностью 3.000 т, грузовыми теплоходами КАСПАР (Каспийского пароходства) в 1.650 т, и ледокольными пароходами типа «Севморпуть-1».</w:t>
      </w:r>
    </w:p>
    <w:p w14:paraId="6E8E9BDF" w14:textId="77777777" w:rsidR="00A804B1" w:rsidRPr="0044524F" w:rsidRDefault="00A804B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Предусматривалось разместить на каждом по 10 самолетов КР-2 (на т/х КАСПАР - 8): 1 на катапульте, 2 на палубе, 2 в носовом трюме, 4 на корме, 1 на юте. Установить катапульту и фартук для приема самолетов на ходу. Запас горючего из расчета: 1,5 т бензина, 120 л масла, 500 л воды на самолет. Бомб по 2 т на каждый.</w:t>
      </w:r>
    </w:p>
    <w:p w14:paraId="6FFEA395" w14:textId="77777777" w:rsidR="00A804B1" w:rsidRPr="0044524F" w:rsidRDefault="00A804B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Артиллерийское вооружение: 2×76,2-мм образца 1931 г (система Лендера), 2×45-мм четвертьавтомата, 2-4 спаренных пулемета на мостике.</w:t>
      </w:r>
    </w:p>
    <w:p w14:paraId="16D688C9" w14:textId="77777777" w:rsidR="00A804B1" w:rsidRPr="0044524F" w:rsidRDefault="00A804B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хода 10 узлов и радиус плавания сохранялись, устраивались погреба боезапаса, хранилища авиатоплива и масла, мастерские.</w:t>
      </w:r>
    </w:p>
    <w:p w14:paraId="3F4A5206" w14:textId="77777777" w:rsidR="00A804B1" w:rsidRPr="0044524F" w:rsidRDefault="00A804B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операций с самолетами устанавливались новые грузовые стрелы. На трубе - длиной 20 м и грузоподъемностью 4 т, в носовой части - 7 м и 3,5 т, в кормовой части аналогичная. На черноморских т/х стрела на трубе 18 м, на т/х КАСПАР -15 м. Штаты на экипаж составляли: 45 чел. - начальствующий состав, 50 - младший начсостав, 80 краснофлотцев. Подписаны ТТЗ начальником Технического управления УМС Горским (15528).</w:t>
      </w:r>
    </w:p>
    <w:p w14:paraId="21398334" w14:textId="77777777" w:rsidR="00A804B1" w:rsidRPr="0044524F" w:rsidRDefault="00A804B1" w:rsidP="009654CF">
      <w:pPr>
        <w:spacing w:after="0" w:line="240" w:lineRule="auto"/>
        <w:jc w:val="both"/>
        <w:rPr>
          <w:rFonts w:ascii="Times New Roman" w:hAnsi="Times New Roman"/>
          <w:color w:val="000000" w:themeColor="text1"/>
          <w:sz w:val="16"/>
          <w:szCs w:val="16"/>
        </w:rPr>
      </w:pPr>
    </w:p>
    <w:p w14:paraId="17B0645C" w14:textId="77777777" w:rsidR="006F02D8" w:rsidRPr="00142305" w:rsidRDefault="006F02D8" w:rsidP="006F02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августа 1933 г. заместитель начальника Морских сил Лудри утвердил комплект стереотипных Тактико-технических заданий на мобилизационное переоборудование в авиатранспорты (далее АВТР) ряда теплоходов и пароходов, строящихся на заводах Главморпрома НКОП СССР. Предполагалось воспользоваться грузопассажирскими пароходами типа «Сучан» на Дальнем Востоке, грузовыми теплоходами грузоподъемностью 3.000 т, грузовыми теплоходами КАСПАР (Каспийского пароходства) в 1.650 т, и ледокольными пароходами типа «Севморпуть-1».</w:t>
      </w:r>
    </w:p>
    <w:p w14:paraId="6506DE4F" w14:textId="77777777" w:rsidR="006F02D8" w:rsidRPr="00142305" w:rsidRDefault="006F02D8" w:rsidP="006F02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Предусматривалось разместить на каждом по 10 самолетов КР-2 (на т/х КАСПАР — 8): 1 на катапульте, 2 на палубе, 2 в носовом трюме, 4 на корме, 1 на юте. Установить катапульту и фартук для приема самолетов на ходу. Запас горючего из расчета: 1,5 т бензина, 120 л масла, 500 л воды на самолет. Бомб по 2 т на каждый.</w:t>
      </w:r>
    </w:p>
    <w:p w14:paraId="538B6214" w14:textId="77777777" w:rsidR="006F02D8" w:rsidRPr="00142305" w:rsidRDefault="006F02D8" w:rsidP="006F02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Артиллерийское вооружение: 2×76,2-мм образца 1931 г (система Лендера), 2×45-мм четвертьавтомата, 2-4 спаренных пулемета на мостике.</w:t>
      </w:r>
    </w:p>
    <w:p w14:paraId="253E69E4" w14:textId="77777777" w:rsidR="006F02D8" w:rsidRPr="00142305" w:rsidRDefault="006F02D8" w:rsidP="006F02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Скорость хода 10 узлов и радиус плавания сохранялись, устраивались погреба боезапаса, хранилища авиатоплива и масла, мастерские.</w:t>
      </w:r>
    </w:p>
    <w:p w14:paraId="66711463" w14:textId="77777777" w:rsidR="006F02D8" w:rsidRPr="00142305" w:rsidRDefault="006F02D8" w:rsidP="006F02D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операций с самолетами устанавливались новые грузовые стрелы. На трубе — длиной 20 м и грузоподъемностью 4 т, в носовой части — 7 м и 3,5 т, в кормовой части аналогичная. На черноморских т/х стрела на трубе 18 м, на т/х КАСПАР -15 м. Штаты на экипаж составляли: 45 чел. — начальствующий состав, 50 — младший начсостав, 80 краснофлотцев. Подписаны ТТЗ начальником Технического управления УМС Горским (25353).</w:t>
      </w:r>
    </w:p>
    <w:p w14:paraId="1B27FB86" w14:textId="77777777" w:rsidR="006F02D8" w:rsidRPr="00142305" w:rsidRDefault="006F02D8" w:rsidP="006F02D8">
      <w:pPr>
        <w:spacing w:after="0" w:line="240" w:lineRule="auto"/>
        <w:jc w:val="both"/>
        <w:rPr>
          <w:rFonts w:ascii="Times New Roman" w:hAnsi="Times New Roman"/>
          <w:color w:val="0070C0"/>
          <w:sz w:val="16"/>
          <w:szCs w:val="16"/>
        </w:rPr>
      </w:pPr>
    </w:p>
    <w:p w14:paraId="366B1F42" w14:textId="77777777" w:rsidR="000244D4" w:rsidRPr="0044524F" w:rsidRDefault="000244D4"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69AF7C0" w14:textId="77777777" w:rsidR="000244D4" w:rsidRPr="0044524F" w:rsidRDefault="000244D4" w:rsidP="009654CF">
      <w:pPr>
        <w:spacing w:after="0" w:line="240" w:lineRule="auto"/>
        <w:jc w:val="both"/>
        <w:rPr>
          <w:rFonts w:ascii="Times New Roman" w:hAnsi="Times New Roman"/>
          <w:iCs/>
          <w:color w:val="000000" w:themeColor="text1"/>
          <w:sz w:val="16"/>
          <w:szCs w:val="16"/>
        </w:rPr>
      </w:pPr>
    </w:p>
    <w:p w14:paraId="421F533F"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августа 1933 г. Метрострой представил Московскому комитету партии и Моссовету технический проект первой очереди строительства. Проект был рассмотрен экспертными комиссиями{500},но не прошел процедуру официального утверждения{501}.В схему линий (см. рис. 20) Метрострой внес ряд мелких изменений и наметил две новые линии, а именно кольцевую линию вдоль Садового кольца и диаметральную от Ленинских гор через Парк культуры и центр к Савеловскому вокзалу и далее на северо-запад города. Протяженность намеченных линий теперь составляла 110,8 км{502} (18299).</w:t>
      </w:r>
    </w:p>
    <w:p w14:paraId="46C97133" w14:textId="77777777" w:rsidR="000244D4" w:rsidRPr="0044524F" w:rsidRDefault="000244D4" w:rsidP="009654CF">
      <w:pPr>
        <w:spacing w:after="0" w:line="240" w:lineRule="auto"/>
        <w:jc w:val="both"/>
        <w:rPr>
          <w:rFonts w:ascii="Times New Roman" w:hAnsi="Times New Roman"/>
          <w:color w:val="000000" w:themeColor="text1"/>
          <w:sz w:val="16"/>
          <w:szCs w:val="16"/>
        </w:rPr>
      </w:pPr>
    </w:p>
    <w:p w14:paraId="39089F26" w14:textId="77777777" w:rsidR="00EA298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ACE44AE" w14:textId="77777777" w:rsidR="00EA298A" w:rsidRPr="0044524F" w:rsidRDefault="00EA298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62D92D0" w14:textId="77777777" w:rsidR="00EA298A" w:rsidRPr="0044524F" w:rsidRDefault="00EA29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августа 1933 года Начальник НИИ ВВС Зильберт утвердил протокол Тактико-технического совещания НИИ ВВС (Журнал № 5) от 14 августа 1933 года (6788).</w:t>
      </w:r>
    </w:p>
    <w:p w14:paraId="4D6619F7" w14:textId="77777777" w:rsidR="00EA298A" w:rsidRPr="0044524F" w:rsidRDefault="00EA29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разбиравшихся вопросов</w:t>
      </w:r>
    </w:p>
    <w:p w14:paraId="60FF01DA" w14:textId="77777777" w:rsidR="00EA298A" w:rsidRPr="0044524F" w:rsidRDefault="00EA298A"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Требования к спецоборудованию и вооружению самолетов И5-М22, И7-М17, Р5-М17, МБР2-М17.</w:t>
      </w:r>
    </w:p>
    <w:p w14:paraId="31F70254" w14:textId="77777777" w:rsidR="00EA298A" w:rsidRPr="0044524F" w:rsidRDefault="00EA29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 А1-М11, Р6/а-2М17, Р5/а-М17 эталонов 1934 года. Докладчики Панов и Шевченко (6788).</w:t>
      </w:r>
    </w:p>
    <w:p w14:paraId="6C212D33" w14:textId="77777777" w:rsidR="00EA298A" w:rsidRPr="0044524F" w:rsidRDefault="00EA298A"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E9D2F45" w14:textId="77777777" w:rsidR="002F14D1" w:rsidRPr="0044524F" w:rsidRDefault="002F14D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августа 1933 г. в НИИ ВВС проведено Тактико-техническое совещание НИИ ВВС, на котором были обсуждены в т.ч. требования к спецоборудованию и вооружению самолетов И-7, которые окончательно утверждены все еще не были (24331).</w:t>
      </w:r>
    </w:p>
    <w:p w14:paraId="7F2B532E" w14:textId="77777777" w:rsidR="002F14D1" w:rsidRPr="0044524F" w:rsidRDefault="002F14D1" w:rsidP="009654CF">
      <w:pPr>
        <w:spacing w:after="0" w:line="240" w:lineRule="auto"/>
        <w:jc w:val="both"/>
        <w:rPr>
          <w:rFonts w:ascii="Times New Roman" w:hAnsi="Times New Roman"/>
          <w:color w:val="000000" w:themeColor="text1"/>
          <w:sz w:val="16"/>
          <w:szCs w:val="16"/>
        </w:rPr>
      </w:pPr>
    </w:p>
    <w:p w14:paraId="4FCFF1D1"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77CB52A" w14:textId="77777777" w:rsidR="0092497E" w:rsidRPr="0044524F" w:rsidRDefault="0092497E" w:rsidP="009654CF">
      <w:pPr>
        <w:spacing w:after="0" w:line="240" w:lineRule="auto"/>
        <w:jc w:val="both"/>
        <w:rPr>
          <w:rFonts w:ascii="Times New Roman" w:hAnsi="Times New Roman"/>
          <w:iCs/>
          <w:color w:val="000000" w:themeColor="text1"/>
          <w:sz w:val="16"/>
          <w:szCs w:val="16"/>
        </w:rPr>
      </w:pPr>
    </w:p>
    <w:p w14:paraId="063F0F1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года был подписан Отчет по испытанию самолета ТБ-3 N 22311 с 4-мя моторами М17 Е=7,3 измененной конструкции</w:t>
      </w:r>
    </w:p>
    <w:p w14:paraId="3C32782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7738AD6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испытания Фролов</w:t>
      </w:r>
    </w:p>
    <w:p w14:paraId="546274C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Байдуков</w:t>
      </w:r>
    </w:p>
    <w:p w14:paraId="6027076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5454DA9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в какой мере самолет с измененной конструкцией и проведенными облегчениями удовлетворяет техническим условиям на поставку ТБ-3. Определить также вес облегченной конструкции, удобство работы штурмана в измененной носовой части Ф-1, а также работу с укороченными ДЕР 25 и 26.</w:t>
      </w:r>
    </w:p>
    <w:p w14:paraId="565254E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F8F11E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Самолет ТБ3 N 22311 измененной конструкции по своему конструктивному и производственному выполнению, а также по своим летным эксплуатационным данным техническим условиям на поставку самолета ТБ3 вполне удовлетворяет (3313,19-22).</w:t>
      </w:r>
    </w:p>
    <w:p w14:paraId="1EAEC6C7"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320C7D7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августа 1933 года было подготовлено постановление комиссии обороны (проект):</w:t>
      </w:r>
    </w:p>
    <w:p w14:paraId="2434ED8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выполнения опытного самолето- и моторостроения</w:t>
      </w:r>
    </w:p>
    <w:p w14:paraId="1D8A3F7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Комиссия обороны констатирует, что план опытного строительства авиаицонных моторов и самолетов, утвержденный СТО 4 июля 1932 года, ГУАПом и ГУГВФом в установленные Правительством сроки не выполнен. Это невыполнение плана опытного самолето- и моторостроения создает серьезную угрозу технического отставания материальной части ВВС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5BB0D09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293F9C2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что ГУАП ввиду возрастающего объема опытного строительства, совершенно правильно принял меры к расширению базы опытного самолето- и моторостроения, создав на заводе № 39 КБ по проектированию и постройке опытных образцов легких сухопутных и морских самолетов, на заводе № 29 – базу по опытному моторостроению, развернув в ХАИ и МАИ базу по опытному самолето- и моторостроению.</w:t>
      </w:r>
    </w:p>
    <w:p w14:paraId="0855855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53E83A6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авиамоторов с нагнетателями велись явно недостаточными темпами.</w:t>
      </w:r>
    </w:p>
    <w:p w14:paraId="0F159AA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скорейшей ликвидации прорыва в опытном строительстве ВВС Комиссия обороны постановляет:</w:t>
      </w:r>
    </w:p>
    <w:p w14:paraId="4ADA973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1.Во изменение плана опытного строительства, утвержденного КО 4 июля 1932 года, утвердить нижеследующий план опытного строительства по моторам и самолетам:</w:t>
      </w:r>
    </w:p>
    <w:p w14:paraId="3EE8DD3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3AE861F9" w14:textId="77777777">
        <w:tc>
          <w:tcPr>
            <w:tcW w:w="1656" w:type="dxa"/>
          </w:tcPr>
          <w:p w14:paraId="067A9F6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Марка мотора</w:t>
            </w:r>
          </w:p>
        </w:tc>
        <w:tc>
          <w:tcPr>
            <w:tcW w:w="1656" w:type="dxa"/>
          </w:tcPr>
          <w:p w14:paraId="294317C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1656" w:type="dxa"/>
          </w:tcPr>
          <w:p w14:paraId="0DF303F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л.с.</w:t>
            </w:r>
          </w:p>
        </w:tc>
        <w:tc>
          <w:tcPr>
            <w:tcW w:w="1656" w:type="dxa"/>
          </w:tcPr>
          <w:p w14:paraId="3EEB945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1656" w:type="dxa"/>
          </w:tcPr>
          <w:p w14:paraId="6EA77CC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в кг</w:t>
            </w:r>
          </w:p>
        </w:tc>
        <w:tc>
          <w:tcPr>
            <w:tcW w:w="1656" w:type="dxa"/>
          </w:tcPr>
          <w:p w14:paraId="2A6A41E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 горючего гр/л.с.</w:t>
            </w:r>
          </w:p>
        </w:tc>
        <w:tc>
          <w:tcPr>
            <w:tcW w:w="1656" w:type="dxa"/>
          </w:tcPr>
          <w:p w14:paraId="496ECE2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прдъявления на испытание</w:t>
            </w:r>
          </w:p>
        </w:tc>
      </w:tr>
    </w:tbl>
    <w:p w14:paraId="00036E3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1A3280C3" w14:textId="77777777">
        <w:tc>
          <w:tcPr>
            <w:tcW w:w="1656" w:type="dxa"/>
          </w:tcPr>
          <w:p w14:paraId="1EA7146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 (с нагнетат.)</w:t>
            </w:r>
          </w:p>
        </w:tc>
        <w:tc>
          <w:tcPr>
            <w:tcW w:w="1656" w:type="dxa"/>
          </w:tcPr>
          <w:p w14:paraId="0AC5D17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6202809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150AF5D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6085C28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c>
          <w:tcPr>
            <w:tcW w:w="1656" w:type="dxa"/>
          </w:tcPr>
          <w:p w14:paraId="06854A5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w:t>
            </w:r>
          </w:p>
        </w:tc>
        <w:tc>
          <w:tcPr>
            <w:tcW w:w="1656" w:type="dxa"/>
          </w:tcPr>
          <w:p w14:paraId="4282423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w:t>
            </w:r>
          </w:p>
        </w:tc>
      </w:tr>
      <w:tr w:rsidR="004E10C1" w:rsidRPr="0044524F" w14:paraId="60AA50E6" w14:textId="77777777">
        <w:tc>
          <w:tcPr>
            <w:tcW w:w="1656" w:type="dxa"/>
          </w:tcPr>
          <w:p w14:paraId="1E82715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М34РН</w:t>
            </w:r>
          </w:p>
        </w:tc>
        <w:tc>
          <w:tcPr>
            <w:tcW w:w="1656" w:type="dxa"/>
          </w:tcPr>
          <w:p w14:paraId="0D42C87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56101C2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43149EC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091BB18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1656" w:type="dxa"/>
          </w:tcPr>
          <w:p w14:paraId="06773AB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2714B68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w:t>
            </w:r>
          </w:p>
        </w:tc>
      </w:tr>
      <w:tr w:rsidR="004E10C1" w:rsidRPr="0044524F" w14:paraId="2AE3DDC4" w14:textId="77777777">
        <w:tc>
          <w:tcPr>
            <w:tcW w:w="1656" w:type="dxa"/>
          </w:tcPr>
          <w:p w14:paraId="00EE5FD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 (форсиров.)</w:t>
            </w:r>
          </w:p>
        </w:tc>
        <w:tc>
          <w:tcPr>
            <w:tcW w:w="1656" w:type="dxa"/>
          </w:tcPr>
          <w:p w14:paraId="53DED41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267AE67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53E881C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9C7969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675</w:t>
            </w:r>
          </w:p>
        </w:tc>
        <w:tc>
          <w:tcPr>
            <w:tcW w:w="1656" w:type="dxa"/>
          </w:tcPr>
          <w:p w14:paraId="18EA17B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w:t>
            </w:r>
          </w:p>
        </w:tc>
        <w:tc>
          <w:tcPr>
            <w:tcW w:w="1656" w:type="dxa"/>
          </w:tcPr>
          <w:p w14:paraId="679DC6E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w:t>
            </w:r>
          </w:p>
        </w:tc>
      </w:tr>
      <w:tr w:rsidR="004E10C1" w:rsidRPr="0044524F" w14:paraId="4B38021A" w14:textId="77777777">
        <w:tc>
          <w:tcPr>
            <w:tcW w:w="1656" w:type="dxa"/>
          </w:tcPr>
          <w:p w14:paraId="02BF5FE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w:t>
            </w:r>
          </w:p>
        </w:tc>
        <w:tc>
          <w:tcPr>
            <w:tcW w:w="1656" w:type="dxa"/>
          </w:tcPr>
          <w:p w14:paraId="02CDECA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30FC285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54A5985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6FD290B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1656" w:type="dxa"/>
          </w:tcPr>
          <w:p w14:paraId="7C064BB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18929A5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w:t>
            </w:r>
          </w:p>
        </w:tc>
      </w:tr>
      <w:tr w:rsidR="004E10C1" w:rsidRPr="0044524F" w14:paraId="132930A1" w14:textId="77777777">
        <w:tc>
          <w:tcPr>
            <w:tcW w:w="1656" w:type="dxa"/>
          </w:tcPr>
          <w:p w14:paraId="3EB57B0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 с выключ. нагнетателем и винтом переменного шага</w:t>
            </w:r>
          </w:p>
        </w:tc>
        <w:tc>
          <w:tcPr>
            <w:tcW w:w="1656" w:type="dxa"/>
          </w:tcPr>
          <w:p w14:paraId="533CD43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5FA62FA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057FD6B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656" w:type="dxa"/>
          </w:tcPr>
          <w:p w14:paraId="145C0BC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1656" w:type="dxa"/>
          </w:tcPr>
          <w:p w14:paraId="2A3CDC7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7BE173E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w:t>
            </w:r>
          </w:p>
        </w:tc>
      </w:tr>
      <w:tr w:rsidR="004E10C1" w:rsidRPr="0044524F" w14:paraId="2B77AA24" w14:textId="77777777">
        <w:tc>
          <w:tcPr>
            <w:tcW w:w="1656" w:type="dxa"/>
          </w:tcPr>
          <w:p w14:paraId="2E3B48C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 с выключ. нагнетат., удлинен валом и винтом переменного шага</w:t>
            </w:r>
          </w:p>
        </w:tc>
        <w:tc>
          <w:tcPr>
            <w:tcW w:w="1656" w:type="dxa"/>
          </w:tcPr>
          <w:p w14:paraId="3363242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7D6DBDC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7617946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656" w:type="dxa"/>
          </w:tcPr>
          <w:p w14:paraId="01A503F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656" w:type="dxa"/>
          </w:tcPr>
          <w:p w14:paraId="3295FEC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3F5B452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w:t>
            </w:r>
          </w:p>
        </w:tc>
      </w:tr>
      <w:tr w:rsidR="004E10C1" w:rsidRPr="0044524F" w14:paraId="464C9C81" w14:textId="77777777">
        <w:tc>
          <w:tcPr>
            <w:tcW w:w="1656" w:type="dxa"/>
          </w:tcPr>
          <w:p w14:paraId="28C6EA3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М34 с элек. карт. </w:t>
            </w:r>
          </w:p>
        </w:tc>
        <w:tc>
          <w:tcPr>
            <w:tcW w:w="1656" w:type="dxa"/>
          </w:tcPr>
          <w:p w14:paraId="7214103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06BF6F8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7925EAE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800-1000</w:t>
            </w:r>
          </w:p>
        </w:tc>
        <w:tc>
          <w:tcPr>
            <w:tcW w:w="1656" w:type="dxa"/>
          </w:tcPr>
          <w:p w14:paraId="3EB1727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w:t>
            </w:r>
          </w:p>
        </w:tc>
        <w:tc>
          <w:tcPr>
            <w:tcW w:w="1656" w:type="dxa"/>
          </w:tcPr>
          <w:p w14:paraId="388205D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205</w:t>
            </w:r>
          </w:p>
        </w:tc>
        <w:tc>
          <w:tcPr>
            <w:tcW w:w="1656" w:type="dxa"/>
          </w:tcPr>
          <w:p w14:paraId="6F27008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w:t>
            </w:r>
          </w:p>
        </w:tc>
      </w:tr>
      <w:tr w:rsidR="004E10C1" w:rsidRPr="0044524F" w14:paraId="01F5018E" w14:textId="77777777">
        <w:tc>
          <w:tcPr>
            <w:tcW w:w="1656" w:type="dxa"/>
          </w:tcPr>
          <w:p w14:paraId="041CC9C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с однорядн.</w:t>
            </w:r>
          </w:p>
        </w:tc>
        <w:tc>
          <w:tcPr>
            <w:tcW w:w="1656" w:type="dxa"/>
          </w:tcPr>
          <w:p w14:paraId="5F755A4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3415ACE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3E97534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E63264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w:t>
            </w:r>
          </w:p>
        </w:tc>
        <w:tc>
          <w:tcPr>
            <w:tcW w:w="1656" w:type="dxa"/>
          </w:tcPr>
          <w:p w14:paraId="4CBF8CC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6B8900E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w:t>
            </w:r>
          </w:p>
        </w:tc>
      </w:tr>
      <w:tr w:rsidR="004E10C1" w:rsidRPr="0044524F" w14:paraId="7A6021C2" w14:textId="77777777">
        <w:tc>
          <w:tcPr>
            <w:tcW w:w="1656" w:type="dxa"/>
          </w:tcPr>
          <w:p w14:paraId="2F49517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глиссерн.</w:t>
            </w:r>
          </w:p>
        </w:tc>
        <w:tc>
          <w:tcPr>
            <w:tcW w:w="1656" w:type="dxa"/>
          </w:tcPr>
          <w:p w14:paraId="2AC73AD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382A321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45CF5A5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ECA97B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c>
          <w:tcPr>
            <w:tcW w:w="1656" w:type="dxa"/>
          </w:tcPr>
          <w:p w14:paraId="7D2B6A4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0599DA8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w:t>
            </w:r>
          </w:p>
        </w:tc>
      </w:tr>
      <w:tr w:rsidR="004E10C1" w:rsidRPr="0044524F" w14:paraId="262AEFC3" w14:textId="77777777">
        <w:tc>
          <w:tcPr>
            <w:tcW w:w="1656" w:type="dxa"/>
          </w:tcPr>
          <w:p w14:paraId="54FC17B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ГМ34ф</w:t>
            </w:r>
          </w:p>
        </w:tc>
        <w:tc>
          <w:tcPr>
            <w:tcW w:w="1656" w:type="dxa"/>
          </w:tcPr>
          <w:p w14:paraId="6625EA3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5796548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3D35D37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4FEC2A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c>
          <w:tcPr>
            <w:tcW w:w="1656" w:type="dxa"/>
          </w:tcPr>
          <w:p w14:paraId="4C7DE6D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150CC69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1934</w:t>
            </w:r>
          </w:p>
        </w:tc>
      </w:tr>
      <w:tr w:rsidR="004E10C1" w:rsidRPr="0044524F" w14:paraId="69E1DE9E" w14:textId="77777777">
        <w:tc>
          <w:tcPr>
            <w:tcW w:w="1656" w:type="dxa"/>
          </w:tcPr>
          <w:p w14:paraId="583CD71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с нагнетат.</w:t>
            </w:r>
          </w:p>
        </w:tc>
        <w:tc>
          <w:tcPr>
            <w:tcW w:w="1656" w:type="dxa"/>
          </w:tcPr>
          <w:p w14:paraId="31138F1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5665AFD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630</w:t>
            </w:r>
          </w:p>
        </w:tc>
        <w:tc>
          <w:tcPr>
            <w:tcW w:w="1656" w:type="dxa"/>
          </w:tcPr>
          <w:p w14:paraId="1616907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656" w:type="dxa"/>
          </w:tcPr>
          <w:p w14:paraId="7AB0C6C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1656" w:type="dxa"/>
          </w:tcPr>
          <w:p w14:paraId="6AC7685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c>
          <w:tcPr>
            <w:tcW w:w="1656" w:type="dxa"/>
          </w:tcPr>
          <w:p w14:paraId="7EFA783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w:t>
            </w:r>
          </w:p>
        </w:tc>
      </w:tr>
    </w:tbl>
    <w:p w14:paraId="1926461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734DF792" w14:textId="77777777">
        <w:tc>
          <w:tcPr>
            <w:tcW w:w="1656" w:type="dxa"/>
          </w:tcPr>
          <w:p w14:paraId="6C5CA3E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 с нагнетателем и редуктором</w:t>
            </w:r>
          </w:p>
        </w:tc>
        <w:tc>
          <w:tcPr>
            <w:tcW w:w="1656" w:type="dxa"/>
          </w:tcPr>
          <w:p w14:paraId="39086E7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1382C93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656" w:type="dxa"/>
          </w:tcPr>
          <w:p w14:paraId="1B6CF6E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656" w:type="dxa"/>
          </w:tcPr>
          <w:p w14:paraId="3E47D14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643586A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747CD03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w:t>
            </w:r>
          </w:p>
        </w:tc>
      </w:tr>
      <w:tr w:rsidR="004E10C1" w:rsidRPr="0044524F" w14:paraId="4686C9F8" w14:textId="77777777">
        <w:tc>
          <w:tcPr>
            <w:tcW w:w="1656" w:type="dxa"/>
          </w:tcPr>
          <w:p w14:paraId="111F917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(дизель)</w:t>
            </w:r>
          </w:p>
        </w:tc>
        <w:tc>
          <w:tcPr>
            <w:tcW w:w="1656" w:type="dxa"/>
          </w:tcPr>
          <w:p w14:paraId="031BDAE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5EA94F2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600-750</w:t>
            </w:r>
          </w:p>
        </w:tc>
        <w:tc>
          <w:tcPr>
            <w:tcW w:w="1656" w:type="dxa"/>
          </w:tcPr>
          <w:p w14:paraId="204F058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293116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c>
          <w:tcPr>
            <w:tcW w:w="1656" w:type="dxa"/>
          </w:tcPr>
          <w:p w14:paraId="2F0ECF8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1656" w:type="dxa"/>
          </w:tcPr>
          <w:p w14:paraId="663CD36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w:t>
            </w:r>
          </w:p>
        </w:tc>
      </w:tr>
      <w:tr w:rsidR="004E10C1" w:rsidRPr="0044524F" w14:paraId="0722DB52" w14:textId="77777777">
        <w:tc>
          <w:tcPr>
            <w:tcW w:w="1656" w:type="dxa"/>
          </w:tcPr>
          <w:p w14:paraId="3BFF07B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(дизель)</w:t>
            </w:r>
          </w:p>
        </w:tc>
        <w:tc>
          <w:tcPr>
            <w:tcW w:w="1656" w:type="dxa"/>
          </w:tcPr>
          <w:p w14:paraId="41D88C9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2B95654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1D5B1D0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656" w:type="dxa"/>
          </w:tcPr>
          <w:p w14:paraId="4B754CE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6E148FC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180-190</w:t>
            </w:r>
          </w:p>
        </w:tc>
        <w:tc>
          <w:tcPr>
            <w:tcW w:w="1656" w:type="dxa"/>
          </w:tcPr>
          <w:p w14:paraId="25DC151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w:t>
            </w:r>
          </w:p>
        </w:tc>
      </w:tr>
      <w:tr w:rsidR="004E10C1" w:rsidRPr="0044524F" w14:paraId="0021DA86" w14:textId="77777777">
        <w:tc>
          <w:tcPr>
            <w:tcW w:w="1656" w:type="dxa"/>
          </w:tcPr>
          <w:p w14:paraId="5F448DD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 (бензиновый с нагнетателем)</w:t>
            </w:r>
          </w:p>
        </w:tc>
        <w:tc>
          <w:tcPr>
            <w:tcW w:w="1656" w:type="dxa"/>
          </w:tcPr>
          <w:p w14:paraId="64023BA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44B791F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5167AD3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116BD8F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656" w:type="dxa"/>
          </w:tcPr>
          <w:p w14:paraId="716F3CF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5383BE2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01D8E957" w14:textId="77777777">
        <w:tc>
          <w:tcPr>
            <w:tcW w:w="1656" w:type="dxa"/>
          </w:tcPr>
          <w:p w14:paraId="2DC8F4B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w:t>
            </w:r>
          </w:p>
        </w:tc>
        <w:tc>
          <w:tcPr>
            <w:tcW w:w="1656" w:type="dxa"/>
          </w:tcPr>
          <w:p w14:paraId="115FCBA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23145AA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5EE666B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800A26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tc>
        <w:tc>
          <w:tcPr>
            <w:tcW w:w="1656" w:type="dxa"/>
          </w:tcPr>
          <w:p w14:paraId="5B63FEC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632B1B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C47572F" w14:textId="77777777">
        <w:tc>
          <w:tcPr>
            <w:tcW w:w="1656" w:type="dxa"/>
          </w:tcPr>
          <w:p w14:paraId="797C6DF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 (бензиновый)</w:t>
            </w:r>
          </w:p>
        </w:tc>
        <w:tc>
          <w:tcPr>
            <w:tcW w:w="1656" w:type="dxa"/>
          </w:tcPr>
          <w:p w14:paraId="35949CB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214DEBF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165-200</w:t>
            </w:r>
          </w:p>
        </w:tc>
        <w:tc>
          <w:tcPr>
            <w:tcW w:w="1656" w:type="dxa"/>
          </w:tcPr>
          <w:p w14:paraId="4562D68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7BCD94F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w:t>
            </w:r>
          </w:p>
        </w:tc>
        <w:tc>
          <w:tcPr>
            <w:tcW w:w="1656" w:type="dxa"/>
          </w:tcPr>
          <w:p w14:paraId="18D7EAD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w:t>
            </w:r>
          </w:p>
        </w:tc>
        <w:tc>
          <w:tcPr>
            <w:tcW w:w="1656" w:type="dxa"/>
          </w:tcPr>
          <w:p w14:paraId="2E584B2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015627BE" w14:textId="77777777">
        <w:tc>
          <w:tcPr>
            <w:tcW w:w="1656" w:type="dxa"/>
          </w:tcPr>
          <w:p w14:paraId="27E854E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 с нагнетателем</w:t>
            </w:r>
          </w:p>
        </w:tc>
        <w:tc>
          <w:tcPr>
            <w:tcW w:w="1656" w:type="dxa"/>
          </w:tcPr>
          <w:p w14:paraId="170E0FE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1185505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656" w:type="dxa"/>
          </w:tcPr>
          <w:p w14:paraId="4268B6C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656" w:type="dxa"/>
          </w:tcPr>
          <w:p w14:paraId="4638FCE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134C345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w:t>
            </w:r>
          </w:p>
        </w:tc>
        <w:tc>
          <w:tcPr>
            <w:tcW w:w="1656" w:type="dxa"/>
          </w:tcPr>
          <w:p w14:paraId="6D80CD7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r>
      <w:tr w:rsidR="004E10C1" w:rsidRPr="0044524F" w14:paraId="35BEA3E8" w14:textId="77777777">
        <w:tc>
          <w:tcPr>
            <w:tcW w:w="1656" w:type="dxa"/>
          </w:tcPr>
          <w:p w14:paraId="613F66C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М56 с нагнетателем</w:t>
            </w:r>
          </w:p>
        </w:tc>
        <w:tc>
          <w:tcPr>
            <w:tcW w:w="1656" w:type="dxa"/>
          </w:tcPr>
          <w:p w14:paraId="585700C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1CC62D8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1656" w:type="dxa"/>
          </w:tcPr>
          <w:p w14:paraId="79CDA6A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656" w:type="dxa"/>
          </w:tcPr>
          <w:p w14:paraId="618026B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1656" w:type="dxa"/>
          </w:tcPr>
          <w:p w14:paraId="0C5B367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2446AB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1934</w:t>
            </w:r>
          </w:p>
        </w:tc>
      </w:tr>
    </w:tbl>
    <w:p w14:paraId="6DA2C25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360B65F8" w14:textId="77777777">
        <w:tc>
          <w:tcPr>
            <w:tcW w:w="1656" w:type="dxa"/>
          </w:tcPr>
          <w:p w14:paraId="1805586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и тип самолета</w:t>
            </w:r>
          </w:p>
        </w:tc>
        <w:tc>
          <w:tcPr>
            <w:tcW w:w="1656" w:type="dxa"/>
          </w:tcPr>
          <w:p w14:paraId="201CF2B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Горизонтальная скорость км/час/ысота м</w:t>
            </w:r>
          </w:p>
        </w:tc>
        <w:tc>
          <w:tcPr>
            <w:tcW w:w="1656" w:type="dxa"/>
          </w:tcPr>
          <w:p w14:paraId="1198DA2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высота м</w:t>
            </w:r>
          </w:p>
        </w:tc>
        <w:tc>
          <w:tcPr>
            <w:tcW w:w="1656" w:type="dxa"/>
          </w:tcPr>
          <w:p w14:paraId="2FF7064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 нормальн./ с перегрузкой</w:t>
            </w:r>
          </w:p>
        </w:tc>
        <w:tc>
          <w:tcPr>
            <w:tcW w:w="1656" w:type="dxa"/>
          </w:tcPr>
          <w:p w14:paraId="32B8BD6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Сбрасыв. грузов нормальн./с перегрузкой</w:t>
            </w:r>
          </w:p>
        </w:tc>
        <w:tc>
          <w:tcPr>
            <w:tcW w:w="1656" w:type="dxa"/>
          </w:tcPr>
          <w:p w14:paraId="744678D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1656" w:type="dxa"/>
          </w:tcPr>
          <w:p w14:paraId="4E97F12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прдъявления на испытание</w:t>
            </w:r>
          </w:p>
        </w:tc>
      </w:tr>
    </w:tbl>
    <w:p w14:paraId="6E53BE2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6B7A8B11" w14:textId="77777777">
        <w:tc>
          <w:tcPr>
            <w:tcW w:w="1656" w:type="dxa"/>
          </w:tcPr>
          <w:p w14:paraId="1DB2969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 ТБ4 6М34</w:t>
            </w:r>
          </w:p>
        </w:tc>
        <w:tc>
          <w:tcPr>
            <w:tcW w:w="1656" w:type="dxa"/>
          </w:tcPr>
          <w:p w14:paraId="6747F02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656" w:type="dxa"/>
          </w:tcPr>
          <w:p w14:paraId="4DD4E51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B65131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6F9A6FF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2C60E1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пулеметов</w:t>
            </w:r>
          </w:p>
          <w:p w14:paraId="5317DE4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пушки</w:t>
            </w:r>
          </w:p>
        </w:tc>
        <w:tc>
          <w:tcPr>
            <w:tcW w:w="1656" w:type="dxa"/>
          </w:tcPr>
          <w:p w14:paraId="55B713A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w:t>
            </w:r>
          </w:p>
        </w:tc>
      </w:tr>
      <w:tr w:rsidR="004E10C1" w:rsidRPr="0044524F" w14:paraId="4347C984" w14:textId="77777777">
        <w:tc>
          <w:tcPr>
            <w:tcW w:w="1656" w:type="dxa"/>
          </w:tcPr>
          <w:p w14:paraId="5736065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 ТБ3-4М34НР</w:t>
            </w:r>
          </w:p>
        </w:tc>
        <w:tc>
          <w:tcPr>
            <w:tcW w:w="1656" w:type="dxa"/>
          </w:tcPr>
          <w:p w14:paraId="4E9EC29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260/5000</w:t>
            </w:r>
          </w:p>
        </w:tc>
        <w:tc>
          <w:tcPr>
            <w:tcW w:w="1656" w:type="dxa"/>
          </w:tcPr>
          <w:p w14:paraId="3B9B625C"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c>
          <w:tcPr>
            <w:tcW w:w="1656" w:type="dxa"/>
          </w:tcPr>
          <w:p w14:paraId="53193EE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1200/1500</w:t>
            </w:r>
          </w:p>
        </w:tc>
        <w:tc>
          <w:tcPr>
            <w:tcW w:w="1656" w:type="dxa"/>
          </w:tcPr>
          <w:p w14:paraId="0A8F422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1500/1000</w:t>
            </w:r>
          </w:p>
        </w:tc>
        <w:tc>
          <w:tcPr>
            <w:tcW w:w="1656" w:type="dxa"/>
          </w:tcPr>
          <w:p w14:paraId="34EA371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 пулеметов</w:t>
            </w:r>
          </w:p>
        </w:tc>
        <w:tc>
          <w:tcPr>
            <w:tcW w:w="1656" w:type="dxa"/>
          </w:tcPr>
          <w:p w14:paraId="184FAA5F"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r w:rsidR="004E10C1" w:rsidRPr="0044524F" w14:paraId="0E06427E" w14:textId="77777777">
        <w:tc>
          <w:tcPr>
            <w:tcW w:w="1656" w:type="dxa"/>
          </w:tcPr>
          <w:p w14:paraId="340A9FF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Многомест. истреб. МИ3-2М34</w:t>
            </w:r>
          </w:p>
        </w:tc>
        <w:tc>
          <w:tcPr>
            <w:tcW w:w="1656" w:type="dxa"/>
          </w:tcPr>
          <w:p w14:paraId="16A7F73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1656" w:type="dxa"/>
          </w:tcPr>
          <w:p w14:paraId="44C2BD3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15/5000</w:t>
            </w:r>
          </w:p>
        </w:tc>
        <w:tc>
          <w:tcPr>
            <w:tcW w:w="1656" w:type="dxa"/>
          </w:tcPr>
          <w:p w14:paraId="7DE1931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51D598D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A55AA7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пулеметов</w:t>
            </w:r>
          </w:p>
          <w:p w14:paraId="1378F40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пушка</w:t>
            </w:r>
          </w:p>
        </w:tc>
        <w:tc>
          <w:tcPr>
            <w:tcW w:w="1656" w:type="dxa"/>
          </w:tcPr>
          <w:p w14:paraId="2236090F"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r w:rsidR="004E10C1" w:rsidRPr="0044524F" w14:paraId="0EB939B7" w14:textId="77777777">
        <w:tc>
          <w:tcPr>
            <w:tcW w:w="1656" w:type="dxa"/>
          </w:tcPr>
          <w:p w14:paraId="21319E8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крейсер МК1-6М34НР</w:t>
            </w:r>
          </w:p>
        </w:tc>
        <w:tc>
          <w:tcPr>
            <w:tcW w:w="1656" w:type="dxa"/>
          </w:tcPr>
          <w:p w14:paraId="079BC18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230/4000</w:t>
            </w:r>
          </w:p>
        </w:tc>
        <w:tc>
          <w:tcPr>
            <w:tcW w:w="1656" w:type="dxa"/>
          </w:tcPr>
          <w:p w14:paraId="7D5CA7D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69EF13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750/1200</w:t>
            </w:r>
          </w:p>
        </w:tc>
        <w:tc>
          <w:tcPr>
            <w:tcW w:w="1656" w:type="dxa"/>
          </w:tcPr>
          <w:p w14:paraId="7A98A13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3500/1800</w:t>
            </w:r>
          </w:p>
        </w:tc>
        <w:tc>
          <w:tcPr>
            <w:tcW w:w="1656" w:type="dxa"/>
          </w:tcPr>
          <w:p w14:paraId="4C6DE42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ED72528"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r w:rsidR="004E10C1" w:rsidRPr="0044524F" w14:paraId="25A97580" w14:textId="77777777">
        <w:tc>
          <w:tcPr>
            <w:tcW w:w="1656" w:type="dxa"/>
          </w:tcPr>
          <w:p w14:paraId="72E7CE3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дальний разведчик МДР4-3М34НР</w:t>
            </w:r>
          </w:p>
        </w:tc>
        <w:tc>
          <w:tcPr>
            <w:tcW w:w="1656" w:type="dxa"/>
          </w:tcPr>
          <w:p w14:paraId="41DED85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215-225/3600</w:t>
            </w:r>
          </w:p>
        </w:tc>
        <w:tc>
          <w:tcPr>
            <w:tcW w:w="1656" w:type="dxa"/>
          </w:tcPr>
          <w:p w14:paraId="1D1D681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20/3000</w:t>
            </w:r>
          </w:p>
        </w:tc>
        <w:tc>
          <w:tcPr>
            <w:tcW w:w="1656" w:type="dxa"/>
          </w:tcPr>
          <w:p w14:paraId="0C2E9A2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750/1250</w:t>
            </w:r>
          </w:p>
        </w:tc>
        <w:tc>
          <w:tcPr>
            <w:tcW w:w="1656" w:type="dxa"/>
          </w:tcPr>
          <w:p w14:paraId="72DC068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7DF2823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B7B5645"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r w:rsidR="004E10C1" w:rsidRPr="0044524F" w14:paraId="622A8572" w14:textId="77777777">
        <w:tc>
          <w:tcPr>
            <w:tcW w:w="1656" w:type="dxa"/>
          </w:tcPr>
          <w:p w14:paraId="710D809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разведчик ЛР-М34</w:t>
            </w:r>
          </w:p>
        </w:tc>
        <w:tc>
          <w:tcPr>
            <w:tcW w:w="1656" w:type="dxa"/>
          </w:tcPr>
          <w:p w14:paraId="2E0A4F6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310/5000</w:t>
            </w:r>
          </w:p>
        </w:tc>
        <w:tc>
          <w:tcPr>
            <w:tcW w:w="1656" w:type="dxa"/>
          </w:tcPr>
          <w:p w14:paraId="5C95380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13/5000</w:t>
            </w:r>
          </w:p>
        </w:tc>
        <w:tc>
          <w:tcPr>
            <w:tcW w:w="1656" w:type="dxa"/>
          </w:tcPr>
          <w:p w14:paraId="63941A7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400/700</w:t>
            </w:r>
          </w:p>
        </w:tc>
        <w:tc>
          <w:tcPr>
            <w:tcW w:w="1656" w:type="dxa"/>
          </w:tcPr>
          <w:p w14:paraId="43C76B7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5471BAB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Легк. и тяж. пул. </w:t>
            </w:r>
          </w:p>
        </w:tc>
        <w:tc>
          <w:tcPr>
            <w:tcW w:w="1656" w:type="dxa"/>
          </w:tcPr>
          <w:p w14:paraId="2A14270A"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r w:rsidR="004E10C1" w:rsidRPr="0044524F" w14:paraId="7C56D7E4" w14:textId="77777777">
        <w:tc>
          <w:tcPr>
            <w:tcW w:w="1656" w:type="dxa"/>
          </w:tcPr>
          <w:p w14:paraId="144E45F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штурмовик ТШ3-М34</w:t>
            </w:r>
          </w:p>
        </w:tc>
        <w:tc>
          <w:tcPr>
            <w:tcW w:w="1656" w:type="dxa"/>
          </w:tcPr>
          <w:p w14:paraId="19DE457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1656" w:type="dxa"/>
          </w:tcPr>
          <w:p w14:paraId="7F1B6C9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11/3000</w:t>
            </w:r>
          </w:p>
        </w:tc>
        <w:tc>
          <w:tcPr>
            <w:tcW w:w="1656" w:type="dxa"/>
          </w:tcPr>
          <w:p w14:paraId="5A22144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6870DAC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C870A1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пулеметов</w:t>
            </w:r>
          </w:p>
        </w:tc>
        <w:tc>
          <w:tcPr>
            <w:tcW w:w="1656" w:type="dxa"/>
          </w:tcPr>
          <w:p w14:paraId="739A2A54"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r w:rsidR="004E10C1" w:rsidRPr="0044524F" w14:paraId="76933085" w14:textId="77777777">
        <w:tc>
          <w:tcPr>
            <w:tcW w:w="1656" w:type="dxa"/>
          </w:tcPr>
          <w:p w14:paraId="2AA53DF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И14 Бристоль Меркур</w:t>
            </w:r>
          </w:p>
        </w:tc>
        <w:tc>
          <w:tcPr>
            <w:tcW w:w="1656" w:type="dxa"/>
          </w:tcPr>
          <w:p w14:paraId="2046009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3892A4D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6CCA6DB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2CE1279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4B847E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1656" w:type="dxa"/>
          </w:tcPr>
          <w:p w14:paraId="3CAA9141"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r w:rsidR="004E10C1" w:rsidRPr="0044524F" w14:paraId="4A37EB28" w14:textId="77777777">
        <w:tc>
          <w:tcPr>
            <w:tcW w:w="1656" w:type="dxa"/>
          </w:tcPr>
          <w:p w14:paraId="07B94A3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И14 Райт-Циклон</w:t>
            </w:r>
          </w:p>
        </w:tc>
        <w:tc>
          <w:tcPr>
            <w:tcW w:w="1656" w:type="dxa"/>
          </w:tcPr>
          <w:p w14:paraId="6A60E90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22D8DBE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747A153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0A8DFF4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4874E7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1656" w:type="dxa"/>
          </w:tcPr>
          <w:p w14:paraId="55DAE960"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r w:rsidR="004E10C1" w:rsidRPr="0044524F" w14:paraId="60FA3B30" w14:textId="77777777">
        <w:tc>
          <w:tcPr>
            <w:tcW w:w="1656" w:type="dxa"/>
          </w:tcPr>
          <w:p w14:paraId="5E452AD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И15 Райт-Циклон</w:t>
            </w:r>
          </w:p>
        </w:tc>
        <w:tc>
          <w:tcPr>
            <w:tcW w:w="1656" w:type="dxa"/>
          </w:tcPr>
          <w:p w14:paraId="1E89FEC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2F0015B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314E369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20913DA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EF6569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пулемета</w:t>
            </w:r>
          </w:p>
        </w:tc>
        <w:tc>
          <w:tcPr>
            <w:tcW w:w="1656" w:type="dxa"/>
          </w:tcPr>
          <w:p w14:paraId="4B6446BA"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r w:rsidR="004E10C1" w:rsidRPr="0044524F" w14:paraId="4F526311" w14:textId="77777777">
        <w:tc>
          <w:tcPr>
            <w:tcW w:w="1656" w:type="dxa"/>
          </w:tcPr>
          <w:p w14:paraId="7ABD96A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И15 М58</w:t>
            </w:r>
          </w:p>
        </w:tc>
        <w:tc>
          <w:tcPr>
            <w:tcW w:w="1656" w:type="dxa"/>
          </w:tcPr>
          <w:p w14:paraId="564A367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7817BE4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41EAB3B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63FCF66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A85AA7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пулемета</w:t>
            </w:r>
          </w:p>
        </w:tc>
        <w:tc>
          <w:tcPr>
            <w:tcW w:w="1656" w:type="dxa"/>
          </w:tcPr>
          <w:p w14:paraId="74E9FB16"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r w:rsidR="004E10C1" w:rsidRPr="0044524F" w14:paraId="66541B30" w14:textId="77777777">
        <w:tc>
          <w:tcPr>
            <w:tcW w:w="1656" w:type="dxa"/>
          </w:tcPr>
          <w:p w14:paraId="26AF688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ближний разведчик МБР4-М34 (С62)</w:t>
            </w:r>
          </w:p>
        </w:tc>
        <w:tc>
          <w:tcPr>
            <w:tcW w:w="1656" w:type="dxa"/>
          </w:tcPr>
          <w:p w14:paraId="324AE03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D883C2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E796BE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32D69F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046011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8A5A913"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bl>
    <w:p w14:paraId="43A3DFB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5E3A755B" w14:textId="77777777">
        <w:tc>
          <w:tcPr>
            <w:tcW w:w="1656" w:type="dxa"/>
          </w:tcPr>
          <w:p w14:paraId="00CB7E0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Сухопутный крейсер СК1-2М34 (или М34)</w:t>
            </w:r>
          </w:p>
        </w:tc>
        <w:tc>
          <w:tcPr>
            <w:tcW w:w="1656" w:type="dxa"/>
          </w:tcPr>
          <w:p w14:paraId="19AE8BA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1656" w:type="dxa"/>
          </w:tcPr>
          <w:p w14:paraId="582FD5C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E29891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600/1000</w:t>
            </w:r>
          </w:p>
        </w:tc>
        <w:tc>
          <w:tcPr>
            <w:tcW w:w="1656" w:type="dxa"/>
          </w:tcPr>
          <w:p w14:paraId="5A7D7D0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1B31E2B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Легк. и тяж. пул. </w:t>
            </w:r>
          </w:p>
        </w:tc>
        <w:tc>
          <w:tcPr>
            <w:tcW w:w="1656" w:type="dxa"/>
          </w:tcPr>
          <w:p w14:paraId="63D42FCB"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r w:rsidR="004E10C1" w:rsidRPr="0044524F" w14:paraId="6CF9BD20" w14:textId="77777777">
        <w:tc>
          <w:tcPr>
            <w:tcW w:w="1656" w:type="dxa"/>
          </w:tcPr>
          <w:p w14:paraId="03B5128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Войсковой самолет ВС2-М22</w:t>
            </w:r>
          </w:p>
        </w:tc>
        <w:tc>
          <w:tcPr>
            <w:tcW w:w="1656" w:type="dxa"/>
          </w:tcPr>
          <w:p w14:paraId="5493AEA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250/3000</w:t>
            </w:r>
          </w:p>
        </w:tc>
        <w:tc>
          <w:tcPr>
            <w:tcW w:w="1656" w:type="dxa"/>
          </w:tcPr>
          <w:p w14:paraId="40A0746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12/3000</w:t>
            </w:r>
          </w:p>
        </w:tc>
        <w:tc>
          <w:tcPr>
            <w:tcW w:w="1656" w:type="dxa"/>
          </w:tcPr>
          <w:p w14:paraId="669E08D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350/6000</w:t>
            </w:r>
          </w:p>
        </w:tc>
        <w:tc>
          <w:tcPr>
            <w:tcW w:w="1656" w:type="dxa"/>
          </w:tcPr>
          <w:p w14:paraId="57C67BF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w:t>
            </w:r>
          </w:p>
        </w:tc>
        <w:tc>
          <w:tcPr>
            <w:tcW w:w="1656" w:type="dxa"/>
          </w:tcPr>
          <w:p w14:paraId="748DCA3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пул.</w:t>
            </w:r>
          </w:p>
        </w:tc>
        <w:tc>
          <w:tcPr>
            <w:tcW w:w="1656" w:type="dxa"/>
          </w:tcPr>
          <w:p w14:paraId="7E931E2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1934</w:t>
            </w:r>
          </w:p>
        </w:tc>
      </w:tr>
      <w:tr w:rsidR="004E10C1" w:rsidRPr="0044524F" w14:paraId="5F1213DD" w14:textId="77777777">
        <w:tc>
          <w:tcPr>
            <w:tcW w:w="1656" w:type="dxa"/>
          </w:tcPr>
          <w:p w14:paraId="43D95C8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 пушечн. истреб. ДИП-2М34 РН</w:t>
            </w:r>
          </w:p>
        </w:tc>
        <w:tc>
          <w:tcPr>
            <w:tcW w:w="1656" w:type="dxa"/>
          </w:tcPr>
          <w:p w14:paraId="04C064A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325/5000</w:t>
            </w:r>
          </w:p>
        </w:tc>
        <w:tc>
          <w:tcPr>
            <w:tcW w:w="1656" w:type="dxa"/>
          </w:tcPr>
          <w:p w14:paraId="63E2A69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15/5000</w:t>
            </w:r>
          </w:p>
        </w:tc>
        <w:tc>
          <w:tcPr>
            <w:tcW w:w="1656" w:type="dxa"/>
          </w:tcPr>
          <w:p w14:paraId="091F0BF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w:t>
            </w:r>
          </w:p>
        </w:tc>
        <w:tc>
          <w:tcPr>
            <w:tcW w:w="1656" w:type="dxa"/>
          </w:tcPr>
          <w:p w14:paraId="0719B86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0C4F6F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1656" w:type="dxa"/>
          </w:tcPr>
          <w:p w14:paraId="1F42C1D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июня 1934 </w:t>
            </w:r>
          </w:p>
        </w:tc>
      </w:tr>
      <w:tr w:rsidR="004E10C1" w:rsidRPr="0044524F" w14:paraId="08DED16A" w14:textId="77777777">
        <w:tc>
          <w:tcPr>
            <w:tcW w:w="1656" w:type="dxa"/>
          </w:tcPr>
          <w:p w14:paraId="5390FFA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 истреб. ДИ6 Райт-Циклон</w:t>
            </w:r>
          </w:p>
        </w:tc>
        <w:tc>
          <w:tcPr>
            <w:tcW w:w="1656" w:type="dxa"/>
          </w:tcPr>
          <w:p w14:paraId="7CAD981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375/5000</w:t>
            </w:r>
          </w:p>
        </w:tc>
        <w:tc>
          <w:tcPr>
            <w:tcW w:w="1656" w:type="dxa"/>
          </w:tcPr>
          <w:p w14:paraId="2AAFA68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9/5000</w:t>
            </w:r>
          </w:p>
        </w:tc>
        <w:tc>
          <w:tcPr>
            <w:tcW w:w="1656" w:type="dxa"/>
          </w:tcPr>
          <w:p w14:paraId="2F95827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400/700</w:t>
            </w:r>
          </w:p>
        </w:tc>
        <w:tc>
          <w:tcPr>
            <w:tcW w:w="1656" w:type="dxa"/>
          </w:tcPr>
          <w:p w14:paraId="15BA996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329C92A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Легк. и тяж. пул. </w:t>
            </w:r>
          </w:p>
        </w:tc>
        <w:tc>
          <w:tcPr>
            <w:tcW w:w="1656" w:type="dxa"/>
          </w:tcPr>
          <w:p w14:paraId="3BB4243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1934</w:t>
            </w:r>
          </w:p>
        </w:tc>
      </w:tr>
      <w:tr w:rsidR="004E10C1" w:rsidRPr="0044524F" w14:paraId="72B750B1" w14:textId="77777777">
        <w:tc>
          <w:tcPr>
            <w:tcW w:w="1656" w:type="dxa"/>
          </w:tcPr>
          <w:p w14:paraId="67148B2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К7-7М34</w:t>
            </w:r>
          </w:p>
        </w:tc>
        <w:tc>
          <w:tcPr>
            <w:tcW w:w="1656" w:type="dxa"/>
          </w:tcPr>
          <w:p w14:paraId="1A2B212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03A286D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D1AD0A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58C255A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25CC51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C0263B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августа 1933 </w:t>
            </w:r>
          </w:p>
        </w:tc>
      </w:tr>
      <w:tr w:rsidR="004E10C1" w:rsidRPr="0044524F" w14:paraId="0C34D9BB" w14:textId="77777777">
        <w:tc>
          <w:tcPr>
            <w:tcW w:w="1656" w:type="dxa"/>
          </w:tcPr>
          <w:p w14:paraId="7D9F9CD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ТБ6</w:t>
            </w:r>
          </w:p>
        </w:tc>
        <w:tc>
          <w:tcPr>
            <w:tcW w:w="1656" w:type="dxa"/>
          </w:tcPr>
          <w:p w14:paraId="6F51F98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250/5000</w:t>
            </w:r>
          </w:p>
        </w:tc>
        <w:tc>
          <w:tcPr>
            <w:tcW w:w="1656" w:type="dxa"/>
          </w:tcPr>
          <w:p w14:paraId="36DF1DF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88C754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1500/2000</w:t>
            </w:r>
          </w:p>
        </w:tc>
        <w:tc>
          <w:tcPr>
            <w:tcW w:w="1656" w:type="dxa"/>
          </w:tcPr>
          <w:p w14:paraId="2F7CE12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тн</w:t>
            </w:r>
          </w:p>
        </w:tc>
        <w:tc>
          <w:tcPr>
            <w:tcW w:w="1656" w:type="dxa"/>
          </w:tcPr>
          <w:p w14:paraId="64D5F79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пул. и пушки</w:t>
            </w:r>
          </w:p>
        </w:tc>
        <w:tc>
          <w:tcPr>
            <w:tcW w:w="1656" w:type="dxa"/>
          </w:tcPr>
          <w:p w14:paraId="7F877F8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1935</w:t>
            </w:r>
          </w:p>
        </w:tc>
      </w:tr>
      <w:tr w:rsidR="004E10C1" w:rsidRPr="0044524F" w14:paraId="507D31CA" w14:textId="77777777">
        <w:tc>
          <w:tcPr>
            <w:tcW w:w="1656" w:type="dxa"/>
          </w:tcPr>
          <w:p w14:paraId="6291938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Скоростн. разведчик СР1-М58</w:t>
            </w:r>
          </w:p>
        </w:tc>
        <w:tc>
          <w:tcPr>
            <w:tcW w:w="1656" w:type="dxa"/>
          </w:tcPr>
          <w:p w14:paraId="05D49B0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425/4000</w:t>
            </w:r>
          </w:p>
        </w:tc>
        <w:tc>
          <w:tcPr>
            <w:tcW w:w="1656" w:type="dxa"/>
          </w:tcPr>
          <w:p w14:paraId="484C02E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12/4000</w:t>
            </w:r>
          </w:p>
        </w:tc>
        <w:tc>
          <w:tcPr>
            <w:tcW w:w="1656" w:type="dxa"/>
          </w:tcPr>
          <w:p w14:paraId="2717597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45CF068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239ADD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9CF4B0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6 месяцев после получения мотора</w:t>
            </w:r>
          </w:p>
        </w:tc>
      </w:tr>
      <w:tr w:rsidR="004E10C1" w:rsidRPr="0044524F" w14:paraId="7BEE466C" w14:textId="77777777">
        <w:tc>
          <w:tcPr>
            <w:tcW w:w="1656" w:type="dxa"/>
          </w:tcPr>
          <w:p w14:paraId="6DEBF6B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Стратосферный с-т</w:t>
            </w:r>
          </w:p>
        </w:tc>
        <w:tc>
          <w:tcPr>
            <w:tcW w:w="1656" w:type="dxa"/>
          </w:tcPr>
          <w:p w14:paraId="1064864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B80037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911FCD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21DB3D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88878E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692E1D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r>
      <w:tr w:rsidR="004E10C1" w:rsidRPr="0044524F" w14:paraId="47584709" w14:textId="77777777">
        <w:tc>
          <w:tcPr>
            <w:tcW w:w="1656" w:type="dxa"/>
          </w:tcPr>
          <w:p w14:paraId="7F10974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Летающее крыло</w:t>
            </w:r>
          </w:p>
        </w:tc>
        <w:tc>
          <w:tcPr>
            <w:tcW w:w="1656" w:type="dxa"/>
          </w:tcPr>
          <w:p w14:paraId="3A88EE0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220CEB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FA767E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44AA4F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EA7AEE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1EEF5C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r>
      <w:tr w:rsidR="004E10C1" w:rsidRPr="0044524F" w14:paraId="169CD4BB" w14:textId="77777777">
        <w:tc>
          <w:tcPr>
            <w:tcW w:w="1656" w:type="dxa"/>
          </w:tcPr>
          <w:p w14:paraId="20A9F96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Разрезное крыло сист. Кричевского</w:t>
            </w:r>
          </w:p>
        </w:tc>
        <w:tc>
          <w:tcPr>
            <w:tcW w:w="1656" w:type="dxa"/>
          </w:tcPr>
          <w:p w14:paraId="33D148F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EEA260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7C251C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4C9358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618942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7F96B7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7D1A32FC" w14:textId="77777777">
        <w:tc>
          <w:tcPr>
            <w:tcW w:w="1656" w:type="dxa"/>
          </w:tcPr>
          <w:p w14:paraId="1999C04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ВГ2</w:t>
            </w:r>
          </w:p>
        </w:tc>
        <w:tc>
          <w:tcPr>
            <w:tcW w:w="1656" w:type="dxa"/>
          </w:tcPr>
          <w:p w14:paraId="3A7171E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D2B812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906DE5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78D287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D5559B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E603D3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30 июля 1933 </w:t>
            </w:r>
          </w:p>
        </w:tc>
      </w:tr>
      <w:tr w:rsidR="004E10C1" w:rsidRPr="0044524F" w14:paraId="03FF9B11" w14:textId="77777777">
        <w:tc>
          <w:tcPr>
            <w:tcW w:w="1656" w:type="dxa"/>
          </w:tcPr>
          <w:p w14:paraId="7122E80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М-22</w:t>
            </w:r>
          </w:p>
        </w:tc>
        <w:tc>
          <w:tcPr>
            <w:tcW w:w="1656" w:type="dxa"/>
          </w:tcPr>
          <w:p w14:paraId="632D3A5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92368E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E7B5AB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D53728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55C5A7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3064E8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325B7CF8" w14:textId="77777777">
        <w:tc>
          <w:tcPr>
            <w:tcW w:w="1656" w:type="dxa"/>
          </w:tcPr>
          <w:p w14:paraId="7FEC7E9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самолет У3-М48</w:t>
            </w:r>
          </w:p>
        </w:tc>
        <w:tc>
          <w:tcPr>
            <w:tcW w:w="1656" w:type="dxa"/>
          </w:tcPr>
          <w:p w14:paraId="2EC24A0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180/1000</w:t>
            </w:r>
          </w:p>
        </w:tc>
        <w:tc>
          <w:tcPr>
            <w:tcW w:w="1656" w:type="dxa"/>
          </w:tcPr>
          <w:p w14:paraId="6E9E546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B18717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c>
          <w:tcPr>
            <w:tcW w:w="1656" w:type="dxa"/>
          </w:tcPr>
          <w:p w14:paraId="03C5ED3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B2A7B5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7CBD94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w:t>
            </w:r>
          </w:p>
        </w:tc>
      </w:tr>
    </w:tbl>
    <w:p w14:paraId="7AD5F97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7DCFBC4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25776B7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7163064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связи с необходимостью значительного увеличения радиусов действия нашей авиации, зависящих в основном от безотказности и надежности работы моторов, считать главнейшим требованием ко всем перечисленным выше моторам их надежную и безотказную работу (без замены каких-бы то ни было деталей) не менее 200 часов между переборками, а для М-34 однорядного и М48 не менее 300 часов.</w:t>
      </w:r>
    </w:p>
    <w:p w14:paraId="7EF3CAC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69B6DBC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уменьшения мертвого веса конструкции, причем для бомбардировочных самолетов мертвый вес конструкции должен составлять не более 50% нормального полетного веса;</w:t>
      </w:r>
    </w:p>
    <w:p w14:paraId="271A570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увеличения обтекаемости в целях увеличения горизонтальной скорости и</w:t>
      </w:r>
    </w:p>
    <w:p w14:paraId="3888A8E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четырех.</w:t>
      </w:r>
    </w:p>
    <w:p w14:paraId="6DC4F3E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Сверх указанного плана обязать ГУАП построить эталон ТБ4 для серийного производства. Алкснису и Баранову установить технические требования для этого самолета и срок предъявления его на гос. испытания.</w:t>
      </w:r>
    </w:p>
    <w:p w14:paraId="37CD7EB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Возложить персональную ответственность за выполнение утвержденного плана опытного строительства в обусловленные сроки на начальника ГУАП Баранова, а по мотору Н5 – на начальника техотдела ЭКУ ОГПУ Горянова.</w:t>
      </w:r>
    </w:p>
    <w:p w14:paraId="618238B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Обязать ГУАП под личную ответственность Баранова форсировать изготовление и испытание невыключающегося нагнетателя для мотора М-34 в ЦИАМе и немедленно приступить к подготовке серийного производства нагнетателей и редукторов к этому мотору с таким расчетом, чтобы с 1 октября 1933 года выпускать мотор М34 с редуктором, а с 1 января 1934 года с нагнетателем в качестве, потребном НКВМ.</w:t>
      </w:r>
    </w:p>
    <w:p w14:paraId="5BC6E4A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 целях своевременной постройки опытных образцов самолетов под мотор «Райт-Циклон» и мотор «Кертисс» типа - 1800 и внедрения этих типов в серийное производство ко времени выпуска на советских заводах моторов «Райт-Циклон» и «Кертисс» по лицензии, закупить немедленно 30 моторов «Райт-Циклон» и 20 моторов «Кертисс». –1800 с необходимым количеством запчастей и инструментов.</w:t>
      </w:r>
    </w:p>
    <w:p w14:paraId="783FA80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Реализацию покупки моторов возложить на НКТП с отпуском для этой цели необходимых средств в инвалюте из резервного фонда Совнаркома.</w:t>
      </w:r>
    </w:p>
    <w:p w14:paraId="3D1DCC9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Начальнику ГУАП Баранову принять все меры к использованию техпомощи фирмы «Райт-Кертисс» и по подготовке производства моторов «Райт-Циклон» и «Кертисс» -1800 в обусловленные договором сроки.</w:t>
      </w:r>
    </w:p>
    <w:p w14:paraId="3B3E919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реализации договора на техпомощь на моторы «Райт-Циклон» и «Кертисс» , хода подготовки производства указанных моторов на советских заводах и заключении договора на поставку 50 моторов (30 моторов «Райт-Циклон» и 20 «Кертисс») и о реализации этого договора Баранову и Алкснису ежеквартально докладывать НКТП Орджоникидзе и НКВМ Ворошилову.</w:t>
      </w:r>
    </w:p>
    <w:p w14:paraId="6A64852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Предложить Баранову ознакомиться с работами группы Проскура-Майзель в Харьковском институте Промэнергетики на предмет ее выделения в самостоятельное научно-исследовательское и опытное бюро по конструированию и постройке нагнетателей для авиамоторов.</w:t>
      </w:r>
    </w:p>
    <w:p w14:paraId="2D54281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Свои конкретные предложения, согласованные с начальником ВВС, доложить КО в месячный срок.</w:t>
      </w:r>
    </w:p>
    <w:p w14:paraId="1091EF4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В целях ………………………….. обязать НКАП под персональную ответственность Баранова организовать на одном из незамерзающих морей мощное КБ по созданию новых типов самолетов.</w:t>
      </w:r>
    </w:p>
    <w:p w14:paraId="4995BEE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Баранову, Алкснису и Орлову в двухмесячный срок ………….. по этому вопросу в КО конкретные, согласованные предложения.</w:t>
      </w:r>
    </w:p>
    <w:p w14:paraId="10CA6A2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Впредь до перевода КБ по опытному гидросамолетостроению на одно из незамерзающих морей обязать Баранова, выделить внутри ЦАГИ и 39 завода всех конструкторов по гидросамолетостроению в самостоятельные конструкторские бюро, с непосредственным подчинением главных конструкторов начальнику ЦАГИ и директору завода № 39 по принадлежности.</w:t>
      </w:r>
    </w:p>
    <w:p w14:paraId="4057552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Начальнику ГУАП принять все меры к окончанию организации и усилению конструкторских бюро на серийных заводах для усовершенствования и модернизации самолетов и моторов.</w:t>
      </w:r>
    </w:p>
    <w:p w14:paraId="7169893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11-а. Обязать начальника ГУАП Баранова образовать специальное КБ с придачей ему 25-го авиазавода во главе с директором Фрадкиным, главным артиллерийским инженером Курчевским и главным авиаинженером Григоровичем. Откомандировать в состав этого КБ Петрова (ОГПУ), Агокаса (ГУАП) и Козлова (ВВА по совместительству). Задачей КБ поставить постройку мощного артиллерийского самолета.</w:t>
      </w:r>
    </w:p>
    <w:p w14:paraId="78C2B01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Возложить на начальника ГУАП Баранова подготовку производства в 1934 году стандартного типа ТБ3 и АНТ-14 ………….. бомбардировщика и тяжелого штурмовика, приспособленных для почтовой и пассажирской эксплоатации ГВФ.</w:t>
      </w:r>
    </w:p>
    <w:p w14:paraId="5FEB495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Обязать начальника ГУАП Баранова внедрить в серийное производство скоростной пассажирский самолет ХАИ с 1 января 1934 года ……………………….</w:t>
      </w:r>
    </w:p>
    <w:p w14:paraId="60694B5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Обязать ГУАП обеспечить предъявление на гос. испытание окончательного образца турели под пулемет «ШКАС» к 25 августа 1933 года; самолетной установки для крупнокалиберного пулемета «ШВАК» к 15 октября 1933 года; установки для 20 мм автоматической пушки – 1 октября 1933 года; установки для 37 мм автоматической пушки к 1 января 1934 года и в течение 1933 года закончить разработку бомбовых блоков со свободной подвеской бомб, оборудуя впредь все новые самолеты этими типами балок.</w:t>
      </w:r>
    </w:p>
    <w:p w14:paraId="427D614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Обязать начальника ГУГВФ Гольцмана, самовольно прекратившего работу по плану опытного строительства ВВС, утвержденного КО от 4 июля 1932 года, в части, касающейся ГУГВФ в декадный срок представить новые сроки предъявления этих опытных самолетов на гос. испытание, согласованные с начальником ВВС.</w:t>
      </w:r>
    </w:p>
    <w:p w14:paraId="5F093AC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КО Молотов-Скрябин) (4223, 9-12).</w:t>
      </w:r>
    </w:p>
    <w:p w14:paraId="0021C728"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2AE20699" w14:textId="77777777" w:rsidR="0092497E" w:rsidRPr="0044524F" w:rsidRDefault="009249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года была достигнута наибольшая зарегистрированная про</w:t>
      </w:r>
      <w:r w:rsidRPr="0044524F">
        <w:rPr>
          <w:rFonts w:ascii="Times New Roman" w:hAnsi="Times New Roman"/>
          <w:color w:val="000000" w:themeColor="text1"/>
          <w:sz w:val="16"/>
          <w:szCs w:val="16"/>
        </w:rPr>
        <w:softHyphen/>
        <w:t>должительность полета — 14 минут. А.М. Черемухин вспоминал позже: «Если мы мало думали об установле</w:t>
      </w:r>
      <w:r w:rsidRPr="0044524F">
        <w:rPr>
          <w:rFonts w:ascii="Times New Roman" w:hAnsi="Times New Roman"/>
          <w:color w:val="000000" w:themeColor="text1"/>
          <w:sz w:val="16"/>
          <w:szCs w:val="16"/>
        </w:rPr>
        <w:softHyphen/>
        <w:t>нии рекордов, то расширение преде</w:t>
      </w:r>
      <w:r w:rsidRPr="0044524F">
        <w:rPr>
          <w:rFonts w:ascii="Times New Roman" w:hAnsi="Times New Roman"/>
          <w:color w:val="000000" w:themeColor="text1"/>
          <w:sz w:val="16"/>
          <w:szCs w:val="16"/>
        </w:rPr>
        <w:softHyphen/>
        <w:t>лов полученных летных данных, таких, как высота, скорость, особенности подъема, спуска, посадки, все время имело место при наших летных испы</w:t>
      </w:r>
      <w:r w:rsidRPr="0044524F">
        <w:rPr>
          <w:rFonts w:ascii="Times New Roman" w:hAnsi="Times New Roman"/>
          <w:color w:val="000000" w:themeColor="text1"/>
          <w:sz w:val="16"/>
          <w:szCs w:val="16"/>
        </w:rPr>
        <w:softHyphen/>
        <w:t>таниях». В 1933 году за создание пер</w:t>
      </w:r>
      <w:r w:rsidRPr="0044524F">
        <w:rPr>
          <w:rFonts w:ascii="Times New Roman" w:hAnsi="Times New Roman"/>
          <w:color w:val="000000" w:themeColor="text1"/>
          <w:sz w:val="16"/>
          <w:szCs w:val="16"/>
        </w:rPr>
        <w:softHyphen/>
        <w:t>вого советского геликоптера и в связи с 15-летием ЦАГИ А.М. Черемухин и А.М. Изаксон были награждены орде</w:t>
      </w:r>
      <w:r w:rsidRPr="0044524F">
        <w:rPr>
          <w:rFonts w:ascii="Times New Roman" w:hAnsi="Times New Roman"/>
          <w:color w:val="000000" w:themeColor="text1"/>
          <w:sz w:val="16"/>
          <w:szCs w:val="16"/>
        </w:rPr>
        <w:softHyphen/>
        <w:t>нами Красной Звезды. При летных испытаниях вертолета ЦАГИ 1-ЭА были получены результа</w:t>
      </w:r>
      <w:r w:rsidRPr="0044524F">
        <w:rPr>
          <w:rFonts w:ascii="Times New Roman" w:hAnsi="Times New Roman"/>
          <w:color w:val="000000" w:themeColor="text1"/>
          <w:sz w:val="16"/>
          <w:szCs w:val="16"/>
        </w:rPr>
        <w:softHyphen/>
        <w:t xml:space="preserve">ты, которых до тех пор не добивались </w:t>
      </w:r>
      <w:r w:rsidRPr="0044524F">
        <w:rPr>
          <w:rFonts w:ascii="Times New Roman" w:hAnsi="Times New Roman"/>
          <w:color w:val="000000" w:themeColor="text1"/>
          <w:sz w:val="16"/>
          <w:szCs w:val="16"/>
        </w:rPr>
        <w:lastRenderedPageBreak/>
        <w:t>авиаконструкторы не только в нашей стране, но и в мире. Перед летчика</w:t>
      </w:r>
      <w:r w:rsidRPr="0044524F">
        <w:rPr>
          <w:rFonts w:ascii="Times New Roman" w:hAnsi="Times New Roman"/>
          <w:color w:val="000000" w:themeColor="text1"/>
          <w:sz w:val="16"/>
          <w:szCs w:val="16"/>
        </w:rPr>
        <w:softHyphen/>
        <w:t>ми-испытателями вертолета ставилась цель выполнить как можно больше по</w:t>
      </w:r>
      <w:r w:rsidRPr="0044524F">
        <w:rPr>
          <w:rFonts w:ascii="Times New Roman" w:hAnsi="Times New Roman"/>
          <w:color w:val="000000" w:themeColor="text1"/>
          <w:sz w:val="16"/>
          <w:szCs w:val="16"/>
        </w:rPr>
        <w:softHyphen/>
        <w:t>летов, и из-за экономии ресурса дви</w:t>
      </w:r>
      <w:r w:rsidRPr="0044524F">
        <w:rPr>
          <w:rFonts w:ascii="Times New Roman" w:hAnsi="Times New Roman"/>
          <w:color w:val="000000" w:themeColor="text1"/>
          <w:sz w:val="16"/>
          <w:szCs w:val="16"/>
        </w:rPr>
        <w:softHyphen/>
        <w:t>гателей их продолжительность по вре</w:t>
      </w:r>
      <w:r w:rsidRPr="0044524F">
        <w:rPr>
          <w:rFonts w:ascii="Times New Roman" w:hAnsi="Times New Roman"/>
          <w:color w:val="000000" w:themeColor="text1"/>
          <w:sz w:val="16"/>
          <w:szCs w:val="16"/>
        </w:rPr>
        <w:softHyphen/>
        <w:t>мени была ограничена. Только поэтому достигнутая продолжительность по</w:t>
      </w:r>
      <w:r w:rsidRPr="0044524F">
        <w:rPr>
          <w:rFonts w:ascii="Times New Roman" w:hAnsi="Times New Roman"/>
          <w:color w:val="000000" w:themeColor="text1"/>
          <w:sz w:val="16"/>
          <w:szCs w:val="16"/>
        </w:rPr>
        <w:softHyphen/>
        <w:t>лета 12,5 и 14 мин лишь ненамного превосходила официальный мировой рекорд 8 мин 45 с. Однако зарегистри</w:t>
      </w:r>
      <w:r w:rsidRPr="0044524F">
        <w:rPr>
          <w:rFonts w:ascii="Times New Roman" w:hAnsi="Times New Roman"/>
          <w:color w:val="000000" w:themeColor="text1"/>
          <w:sz w:val="16"/>
          <w:szCs w:val="16"/>
        </w:rPr>
        <w:softHyphen/>
        <w:t>рованная высота полета в 34 (!) раза превосходила мировой рекорд высо</w:t>
      </w:r>
      <w:r w:rsidRPr="0044524F">
        <w:rPr>
          <w:rFonts w:ascii="Times New Roman" w:hAnsi="Times New Roman"/>
          <w:color w:val="000000" w:themeColor="text1"/>
          <w:sz w:val="16"/>
          <w:szCs w:val="16"/>
        </w:rPr>
        <w:softHyphen/>
        <w:t>ты, установленный на вертолете д'Асканио: 605 м против 18 м. Факт, ярко свидетельствующий о достижениях оте</w:t>
      </w:r>
      <w:r w:rsidRPr="0044524F">
        <w:rPr>
          <w:rFonts w:ascii="Times New Roman" w:hAnsi="Times New Roman"/>
          <w:color w:val="000000" w:themeColor="text1"/>
          <w:sz w:val="16"/>
          <w:szCs w:val="16"/>
        </w:rPr>
        <w:softHyphen/>
        <w:t xml:space="preserve">чественных ученых </w:t>
      </w:r>
      <w:r w:rsidRPr="0044524F">
        <w:rPr>
          <w:rFonts w:ascii="Times New Roman" w:hAnsi="Times New Roman"/>
          <w:iCs/>
          <w:color w:val="000000" w:themeColor="text1"/>
          <w:sz w:val="16"/>
          <w:szCs w:val="16"/>
        </w:rPr>
        <w:t xml:space="preserve">в </w:t>
      </w:r>
      <w:r w:rsidRPr="0044524F">
        <w:rPr>
          <w:rFonts w:ascii="Times New Roman" w:hAnsi="Times New Roman"/>
          <w:color w:val="000000" w:themeColor="text1"/>
          <w:sz w:val="16"/>
          <w:szCs w:val="16"/>
        </w:rPr>
        <w:t>развитии теории несущих винтов и в их практической разработке (11401).</w:t>
      </w:r>
    </w:p>
    <w:p w14:paraId="3C23F6D9" w14:textId="77777777" w:rsidR="0092497E" w:rsidRPr="0044524F" w:rsidRDefault="0092497E" w:rsidP="009654CF">
      <w:pPr>
        <w:shd w:val="clear" w:color="auto" w:fill="FFFFFF"/>
        <w:spacing w:after="0" w:line="240" w:lineRule="auto"/>
        <w:jc w:val="both"/>
        <w:rPr>
          <w:rFonts w:ascii="Times New Roman" w:hAnsi="Times New Roman"/>
          <w:color w:val="000000" w:themeColor="text1"/>
          <w:sz w:val="16"/>
          <w:szCs w:val="16"/>
        </w:rPr>
      </w:pPr>
    </w:p>
    <w:p w14:paraId="4AC1ADD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года в своем расширенном заседании ЦС ВОИЗ взял на себя обязательство: проектирование, постройку и отпуск кредитов на специальный транспортный самолет ТС-1 Можаева (4213).</w:t>
      </w:r>
    </w:p>
    <w:p w14:paraId="0336BDC4"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661AC591" w14:textId="77777777" w:rsidR="00A92F35" w:rsidRPr="0044524F" w:rsidRDefault="00A92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 Протокол ПБ № 143 п.81/67: О конструкторско-производственной деятельности ВИРДЖИЛИ. Решено: 1. Передать конструкторское бюро и все предприятия ВИРДЖИЛИ из ведения НКВМ в систему Главного управления авиационной промышленности НКТП СССР. 2. Сохранить в системе ГУАП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назначения. 3. Эксплуатировавшийся Бюро ВИРДЖИЛИ, по договоренности с НКЛесом, Юрюзанский леспромхоз в месячный срок передать в ведение «Востокстали», освободив ВИРДЖИЛИ от обязательств по поставкам топлива и стройматериалов заводам «Востокстали» и другим организациям. Обязать Востоксталь в декадный срок ликвидировать всю задолженность по зарплате и задолженность хозяйственным организациям по Юрюзанскому леспромхозу. 4. Обязать начальника Глававиапрома: а) установить план работ на предприятиях ВИРДЖИЛИ на 1933 год; б) в декадный срок ликвидировать всю задолженность по зарплате на Уральском строительстве и задолженность хозяйственным организациям; в) закрепить за ВИРДЖИЛИ получаемый до настоящего времени персональный оклад в 1500 рублей в советских знаках и 300 рублей в иностранной валюте; г) разрешить ВИРДЖИЛИ отправить свою семью в Италию; д) разрешить ВИРДЖИЛИ ежегодный отпуск в течение двух месяцев проводить в Италии. 5. Ассигновать НКТП из резервного фонда СНК СССР 2,8 млн рублей, из них 2,5 млн рублей на покрытие задолженности по зарплате на Уральском строительстве и на лесных разработках и задолженности хозяйственным организациям и 300 тысяч рублей для обеспечения конструкторской работы Бюро ВИРДЖИЛИ в 1933 г. (15880).</w:t>
      </w:r>
    </w:p>
    <w:p w14:paraId="2C1A42D1" w14:textId="77777777" w:rsidR="00A92F35" w:rsidRPr="0044524F" w:rsidRDefault="00A92F35" w:rsidP="009654CF">
      <w:pPr>
        <w:spacing w:after="0" w:line="240" w:lineRule="auto"/>
        <w:jc w:val="both"/>
        <w:rPr>
          <w:rFonts w:ascii="Times New Roman" w:hAnsi="Times New Roman"/>
          <w:iCs/>
          <w:color w:val="000000" w:themeColor="text1"/>
          <w:sz w:val="16"/>
          <w:szCs w:val="16"/>
        </w:rPr>
      </w:pPr>
    </w:p>
    <w:p w14:paraId="03CA92E6" w14:textId="77777777" w:rsidR="00A92F35" w:rsidRPr="0044524F" w:rsidRDefault="00A92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 Протокол ПБ № 143 п.148/134: О проведении дня советского воздушного флота 18-8-1933. Принято считать необходимым день воздушного флота, совпадающий с 15-летием существования Красного воздушного флота и 10-летием Осоавиахима, отметить следующими мероприятиями: 1. Провести на фабриках и заводах общие собрания рабочих и работниц. 2. Организовать экскурсии в летные школы и на аэродромы; провести совместно вечера рабочих с летным и техническим составом, проверить качество работы по шефству над воздушным флотом. 3. В период подготовки и в день авиации 18-8-1933 организовать самопроверку социалистического соревнования и ударничества рабочих заводов самолетов и моторостроения, а также смежных производств за полное выполнение промфинплана, за тщательную обработку деталей, за высокое качество продукции. 4. Сосредоточить внимание и усилия летного и технического состава военной и гражданской авиации на установлении железной дисциплины, на повышении качества учебы, на борьбе за безаварийность полетов, на овладении техникой и на выполнении планов летной работы и боевой подготовки. 5. Широко развернуть работу по организации кружков планеризма, моделизма, парашютизма, по созданию аэродромов, аэроклубов и посадочных площадок, особенно в совхозах и МТС. 6. Проведение дня воздушного флота на селе должно еще больше сплотить колхозников, рабочих МТС и совхозов на высокое качество уборки урожая и своевременное выполнение поставки хлеба государству, и ни в коем случае не отрывать колхозы, совхозы и МТС от их прямой боевой задачи (15909).</w:t>
      </w:r>
    </w:p>
    <w:p w14:paraId="0D722AFE" w14:textId="77777777" w:rsidR="00A92F35" w:rsidRPr="0044524F" w:rsidRDefault="00A92F35" w:rsidP="009654CF">
      <w:pPr>
        <w:spacing w:after="0" w:line="240" w:lineRule="auto"/>
        <w:jc w:val="both"/>
        <w:rPr>
          <w:rFonts w:ascii="Times New Roman" w:hAnsi="Times New Roman"/>
          <w:color w:val="000000" w:themeColor="text1"/>
          <w:sz w:val="16"/>
          <w:szCs w:val="16"/>
        </w:rPr>
      </w:pPr>
    </w:p>
    <w:p w14:paraId="6FE816E8" w14:textId="77777777" w:rsidR="00A92F35" w:rsidRPr="0044524F" w:rsidRDefault="00A92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 Протокол ПБ № 143 п.169/155: Вопросы К[омиссии] О[бороны] – ОП. Решено утвердить следующие постановления КО: 1. Об ассигновании из резервного фонда СНК СССР на капитальное строительство по заводу № 22 в 1933 году 4 млн рублей и на строительство мастерских и гидробазы в Севастополе – 1 млн рублей. 2. О дополнительном ассигновании из резервного фонда СНК 2,5 млн рублей на капитальное строительство по авиазаводу № 125. 3. О разрешении НКТП СССР посылки в 1933 – 1934 годах в заграничную командировку на заводы гидросамолетостроения Англии и США 15 инженеров и техников самолетостроительных заводов и опытных организаций. 4. О дополнительном отпуске НКТП 750 тысяч рублей валюты на закупку 50 моторов «Циклон» с инструментом и запчастями. 5. О закупке 20 – 30 моторов «Испано-Сьюиза» типа «12-V» NBRS и о посылке во Францию комиссии под председательством Марьямова для переговоров с фирмой «Испано-Сьюиза» о бесплатной техпомощи по организации производства моторов этого типа в СССР. 6. Об отпуске ОГПУ из резервного фонда СНК СССР 5810 тысяч рублей на мероприятия по переброске авиаэскадрилий на Камчатку (15910).</w:t>
      </w:r>
    </w:p>
    <w:p w14:paraId="35C3AACF" w14:textId="77777777" w:rsidR="00A92F35" w:rsidRPr="0044524F" w:rsidRDefault="00A92F35" w:rsidP="009654CF">
      <w:pPr>
        <w:spacing w:after="0" w:line="240" w:lineRule="auto"/>
        <w:jc w:val="both"/>
        <w:rPr>
          <w:rFonts w:ascii="Times New Roman" w:hAnsi="Times New Roman"/>
          <w:color w:val="000000" w:themeColor="text1"/>
          <w:sz w:val="16"/>
          <w:szCs w:val="16"/>
        </w:rPr>
      </w:pPr>
    </w:p>
    <w:p w14:paraId="2E7C89A9" w14:textId="77777777" w:rsidR="00217870" w:rsidRPr="0044524F" w:rsidRDefault="002178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л Н.Н.Стародумов с механиком Михайленко на У-2 и буксируемый Н.С.Юдин на Г-9 прилетели из Оренбурга в Коктебель на планерные состязания, покрыв 3550 км за 38:56 (438,651).</w:t>
      </w:r>
    </w:p>
    <w:p w14:paraId="7AB9F6A7" w14:textId="77777777" w:rsidR="00217870" w:rsidRPr="0044524F" w:rsidRDefault="00217870" w:rsidP="009654CF">
      <w:pPr>
        <w:spacing w:after="0" w:line="240" w:lineRule="auto"/>
        <w:jc w:val="both"/>
        <w:rPr>
          <w:rFonts w:ascii="Times New Roman" w:hAnsi="Times New Roman"/>
          <w:color w:val="000000" w:themeColor="text1"/>
          <w:sz w:val="16"/>
          <w:szCs w:val="16"/>
        </w:rPr>
      </w:pPr>
    </w:p>
    <w:p w14:paraId="45821F78" w14:textId="77777777" w:rsidR="00A16CE3" w:rsidRPr="0044524F" w:rsidRDefault="00A16C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 летчик Николай Николаевич Стародумов с механиком Михайенко на самолете У-2 и буксируемый им Николай Семенович Юдин на планере Г-9 прилетели из Оренбурга в Коктебель на планерные состязания, покрыв расстояние 5550 км за 38 ч. 56 минут летного времени и установив новый рекорд дальности буксировочного полета, Прежний рекорд 1700 км был установлен В.Л.Степанченком и В.К,Грибовским в октябре 1932 года.</w:t>
      </w:r>
    </w:p>
    <w:p w14:paraId="2BFE288B" w14:textId="77777777" w:rsidR="00A16CE3" w:rsidRPr="0044524F" w:rsidRDefault="00A16CE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16 августа 1933/ (23370).</w:t>
      </w:r>
    </w:p>
    <w:p w14:paraId="50663031" w14:textId="77777777" w:rsidR="00A16CE3" w:rsidRPr="0044524F" w:rsidRDefault="00A16CE3" w:rsidP="009654CF">
      <w:pPr>
        <w:spacing w:after="0" w:line="240" w:lineRule="auto"/>
        <w:jc w:val="both"/>
        <w:rPr>
          <w:rFonts w:ascii="Times New Roman" w:hAnsi="Times New Roman"/>
          <w:color w:val="000000" w:themeColor="text1"/>
          <w:sz w:val="16"/>
          <w:szCs w:val="16"/>
        </w:rPr>
      </w:pPr>
    </w:p>
    <w:p w14:paraId="1D0B023D"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w:t>
      </w:r>
    </w:p>
    <w:p w14:paraId="4A619096"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143 заседания Политбюро ЦК ВКП(б) от 15 августа 1933 года</w:t>
      </w:r>
    </w:p>
    <w:p w14:paraId="1BF4ADB3"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15</w:t>
      </w:r>
      <w:r w:rsidRPr="0044524F">
        <w:rPr>
          <w:rFonts w:ascii="Times New Roman" w:hAnsi="Times New Roman"/>
          <w:color w:val="000000" w:themeColor="text1"/>
          <w:sz w:val="16"/>
          <w:szCs w:val="16"/>
        </w:rPr>
        <w:noBreakHyphen/>
        <w:t>го августа 1933 года.</w:t>
      </w:r>
    </w:p>
    <w:p w14:paraId="14B87263"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169/155: Вопросы Комиссии Обороны</w:t>
      </w:r>
    </w:p>
    <w:p w14:paraId="030908F3"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0CA9029C"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следующие постановления Комиссии Обороны:</w:t>
      </w:r>
    </w:p>
    <w:p w14:paraId="4AD5D438"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 ассигновании из резервного фонда СНК СССР на капитальное строительство по заводу № 22 в 1933 г. 1 млн. руб. и на строительство мастерских и гидробазы в Севастополе — 1 млн. руб.</w:t>
      </w:r>
    </w:p>
    <w:p w14:paraId="083B4600"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 дополнительном ассигновании из резервного фонда СНК 2,0 млн. руб. на капитальное строительство по авиазаводу № 125.</w:t>
      </w:r>
    </w:p>
    <w:p w14:paraId="64F91423"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разрешении НКТяжпрому посылки в 193З</w:t>
      </w:r>
      <w:r w:rsidRPr="0044524F">
        <w:rPr>
          <w:rFonts w:ascii="Times New Roman" w:hAnsi="Times New Roman"/>
          <w:color w:val="000000" w:themeColor="text1"/>
          <w:sz w:val="16"/>
          <w:szCs w:val="16"/>
        </w:rPr>
        <w:noBreakHyphen/>
        <w:t>34 г.г. в заграничную командировку на заводы гидросамолетостроения Англии и С.Ш.А. 15 инженеров и техников самолетостроительных заводов и опытных организаций.</w:t>
      </w:r>
    </w:p>
    <w:p w14:paraId="42866E03"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 дополнительном отпуске НКТяжпрому — 750.000 руб. валюты на закупку 50 моторов “Циклон” с инструментом и запчастями.</w:t>
      </w:r>
    </w:p>
    <w:p w14:paraId="3A374720"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 закупке 20</w:t>
      </w:r>
      <w:r w:rsidRPr="0044524F">
        <w:rPr>
          <w:rFonts w:ascii="Times New Roman" w:hAnsi="Times New Roman"/>
          <w:color w:val="000000" w:themeColor="text1"/>
          <w:sz w:val="16"/>
          <w:szCs w:val="16"/>
        </w:rPr>
        <w:noBreakHyphen/>
        <w:t>30 моторов “Испано-Сьюиза” типа “12</w:t>
      </w:r>
      <w:r w:rsidRPr="0044524F">
        <w:rPr>
          <w:rFonts w:ascii="Times New Roman" w:hAnsi="Times New Roman"/>
          <w:color w:val="000000" w:themeColor="text1"/>
          <w:sz w:val="16"/>
          <w:szCs w:val="16"/>
        </w:rPr>
        <w:noBreakHyphen/>
        <w:t>У” NBRS и о посылке во Францию комиссии под председательством т. Марьямова для переговоров с фирмой “Испано-Сьюиза” о бесплатной техпомощи по организации производства моторов этого типа в СССР.</w:t>
      </w:r>
    </w:p>
    <w:p w14:paraId="75B06EE3"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О6 отпуске ОГПУ из резервного фонда СНК СССР 5.810 тыс. руб. на мероприятия по переброске авиаэскадрилий на Камчатку.</w:t>
      </w:r>
    </w:p>
    <w:p w14:paraId="0C9AF99F"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306705AE"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Базилевичу — все;</w:t>
      </w:r>
    </w:p>
    <w:p w14:paraId="7B51B189"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Орджоникидзе — п.п. 1-5;</w:t>
      </w:r>
    </w:p>
    <w:p w14:paraId="0814BFFF"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Мирошникову — п.п. 1, 2, 6;</w:t>
      </w:r>
    </w:p>
    <w:p w14:paraId="1F164A6B"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Артузову — п.п. 2, 5;</w:t>
      </w:r>
    </w:p>
    <w:p w14:paraId="3531A7DD"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Розенгольцу — п.п. 3, 4, 5;</w:t>
      </w:r>
    </w:p>
    <w:p w14:paraId="4D019D94"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Ягоде — п. 6.</w:t>
      </w:r>
    </w:p>
    <w:p w14:paraId="52071DDE" w14:textId="77777777" w:rsidR="000244D4" w:rsidRPr="0044524F" w:rsidRDefault="000244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(18143).</w:t>
      </w:r>
    </w:p>
    <w:p w14:paraId="7611A516" w14:textId="77777777" w:rsidR="000244D4" w:rsidRPr="0044524F" w:rsidRDefault="000244D4" w:rsidP="009654CF">
      <w:pPr>
        <w:spacing w:after="0" w:line="240" w:lineRule="auto"/>
        <w:jc w:val="both"/>
        <w:rPr>
          <w:rFonts w:ascii="Times New Roman" w:hAnsi="Times New Roman"/>
          <w:color w:val="000000" w:themeColor="text1"/>
          <w:sz w:val="16"/>
          <w:szCs w:val="16"/>
        </w:rPr>
      </w:pPr>
    </w:p>
    <w:p w14:paraId="75AB3D81" w14:textId="77777777" w:rsidR="00427F64" w:rsidRPr="0044524F" w:rsidRDefault="00427F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 в Москву прилетел французский летчик Андре Жапи, совершающий туристский перелет на самолете "Мозс" с 85-сильным мотором. Жапи вылетел из Парижа 13 августа. В Москву прилетел из Кенигсберга через 7 ч. 20 минут после вылетел в Ленинград и оттуда на Стокгольм и дальше. Воздушному туристу Жапи в СССР была оказана теплая встреча.</w:t>
      </w:r>
    </w:p>
    <w:p w14:paraId="45637201" w14:textId="77777777" w:rsidR="00427F64" w:rsidRPr="0044524F" w:rsidRDefault="00427F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ЦИК СССР» за 1б августа 1933 и др./ (23370).</w:t>
      </w:r>
    </w:p>
    <w:p w14:paraId="131958D2" w14:textId="77777777" w:rsidR="00427F64" w:rsidRPr="0044524F" w:rsidRDefault="00427F64" w:rsidP="009654CF">
      <w:pPr>
        <w:spacing w:after="0" w:line="240" w:lineRule="auto"/>
        <w:jc w:val="both"/>
        <w:rPr>
          <w:rFonts w:ascii="Times New Roman" w:hAnsi="Times New Roman"/>
          <w:color w:val="000000" w:themeColor="text1"/>
          <w:sz w:val="16"/>
          <w:szCs w:val="16"/>
        </w:rPr>
      </w:pPr>
    </w:p>
    <w:p w14:paraId="296B490E" w14:textId="77777777" w:rsidR="003C1030" w:rsidRPr="0044524F" w:rsidRDefault="003C10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 после участия в манёврах Морских сил Балти</w:t>
      </w:r>
      <w:r w:rsidRPr="0044524F">
        <w:rPr>
          <w:rFonts w:ascii="Times New Roman" w:hAnsi="Times New Roman"/>
          <w:color w:val="000000" w:themeColor="text1"/>
          <w:sz w:val="16"/>
          <w:szCs w:val="16"/>
        </w:rPr>
        <w:softHyphen/>
        <w:t>кою моря в 20.49 «СССР В-2» вылетел из Ленинграда в Москву на празднова</w:t>
      </w:r>
      <w:r w:rsidRPr="0044524F">
        <w:rPr>
          <w:rFonts w:ascii="Times New Roman" w:hAnsi="Times New Roman"/>
          <w:color w:val="000000" w:themeColor="text1"/>
          <w:sz w:val="16"/>
          <w:szCs w:val="16"/>
        </w:rPr>
        <w:softHyphen/>
        <w:t>ние Дня воздушного флота. Ночной полёт по трассе, разработанной Аэрофлотом и оборудо</w:t>
      </w:r>
      <w:r w:rsidRPr="0044524F">
        <w:rPr>
          <w:rFonts w:ascii="Times New Roman" w:hAnsi="Times New Roman"/>
          <w:color w:val="000000" w:themeColor="text1"/>
          <w:sz w:val="16"/>
          <w:szCs w:val="16"/>
        </w:rPr>
        <w:softHyphen/>
        <w:t>ванной маяками, прошёл успешно (20120).</w:t>
      </w:r>
    </w:p>
    <w:p w14:paraId="13DE70A9" w14:textId="77777777" w:rsidR="003C1030" w:rsidRPr="0044524F" w:rsidRDefault="003C1030" w:rsidP="009654CF">
      <w:pPr>
        <w:spacing w:after="0" w:line="240" w:lineRule="auto"/>
        <w:jc w:val="both"/>
        <w:rPr>
          <w:rFonts w:ascii="Times New Roman" w:hAnsi="Times New Roman"/>
          <w:color w:val="000000" w:themeColor="text1"/>
          <w:sz w:val="16"/>
          <w:szCs w:val="16"/>
        </w:rPr>
      </w:pPr>
    </w:p>
    <w:p w14:paraId="2A973997" w14:textId="77777777" w:rsidR="00427F64" w:rsidRPr="0044524F" w:rsidRDefault="00427F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15 августа в 1933 году на самолете </w:t>
      </w:r>
      <w:hyperlink r:id="rId296" w:tgtFrame="_blank" w:history="1">
        <w:r w:rsidRPr="0044524F">
          <w:rPr>
            <w:rFonts w:ascii="Times New Roman" w:hAnsi="Times New Roman"/>
            <w:color w:val="000000" w:themeColor="text1"/>
            <w:sz w:val="16"/>
            <w:szCs w:val="16"/>
          </w:rPr>
          <w:t xml:space="preserve">«СССР-В2» </w:t>
        </w:r>
      </w:hyperlink>
      <w:r w:rsidRPr="0044524F">
        <w:rPr>
          <w:rFonts w:ascii="Times New Roman" w:hAnsi="Times New Roman"/>
          <w:color w:val="000000" w:themeColor="text1"/>
          <w:sz w:val="16"/>
          <w:szCs w:val="16"/>
        </w:rPr>
        <w:t>совершен перелет по маршруту Москва - Ленинград продолжительностью 7 ч 30 м. 15-18 августа 1933 г. на СССР-В3 выполнили агитационный перелет Москва - Курск - Харьков - Славянск - Москва;</w:t>
      </w:r>
    </w:p>
    <w:p w14:paraId="06890DE8" w14:textId="77777777" w:rsidR="00427F64" w:rsidRPr="0044524F" w:rsidRDefault="00427F64" w:rsidP="009654CF">
      <w:pPr>
        <w:spacing w:after="0" w:line="240" w:lineRule="auto"/>
        <w:jc w:val="both"/>
        <w:rPr>
          <w:rFonts w:ascii="Times New Roman" w:hAnsi="Times New Roman"/>
          <w:color w:val="000000" w:themeColor="text1"/>
          <w:sz w:val="16"/>
          <w:szCs w:val="16"/>
        </w:rPr>
      </w:pPr>
    </w:p>
    <w:p w14:paraId="5794C8D1" w14:textId="77777777" w:rsidR="003C1030" w:rsidRPr="0044524F" w:rsidRDefault="003C10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 Дирижабль «СССР В-2» "Смольный" совершил перелёт Москва – Ленинград за 7 час. 50 мин. (22398).</w:t>
      </w:r>
    </w:p>
    <w:p w14:paraId="01E8CBB7" w14:textId="77777777" w:rsidR="003C1030" w:rsidRPr="0044524F" w:rsidRDefault="003C1030" w:rsidP="009654CF">
      <w:pPr>
        <w:spacing w:after="0" w:line="240" w:lineRule="auto"/>
        <w:jc w:val="both"/>
        <w:rPr>
          <w:rFonts w:ascii="Times New Roman" w:hAnsi="Times New Roman"/>
          <w:color w:val="000000" w:themeColor="text1"/>
          <w:sz w:val="16"/>
          <w:szCs w:val="16"/>
        </w:rPr>
      </w:pPr>
    </w:p>
    <w:p w14:paraId="06AECB81" w14:textId="77777777" w:rsidR="00427F64" w:rsidRPr="0044524F" w:rsidRDefault="00427F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на СССР-В2 совершили перелет Москва-Ленинград за 7 ч 30 м (271,134).</w:t>
      </w:r>
    </w:p>
    <w:p w14:paraId="7AC1CCBB" w14:textId="77777777" w:rsidR="00427F64" w:rsidRPr="0044524F" w:rsidRDefault="00427F64" w:rsidP="009654CF">
      <w:pPr>
        <w:spacing w:after="0" w:line="240" w:lineRule="auto"/>
        <w:jc w:val="both"/>
        <w:rPr>
          <w:rFonts w:ascii="Times New Roman" w:hAnsi="Times New Roman"/>
          <w:color w:val="000000" w:themeColor="text1"/>
          <w:sz w:val="16"/>
          <w:szCs w:val="16"/>
        </w:rPr>
      </w:pPr>
    </w:p>
    <w:p w14:paraId="77D81CF6" w14:textId="77777777" w:rsidR="00427F64" w:rsidRPr="0044524F" w:rsidRDefault="00427F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15-18 августа 1933 на СССР-В3 "КЗ" эскадрильи им. М.Г. выполнили агитационный под управлением И.И.Мейснера выполнил перелет Москва-Курск-Харьков-Славянск-Москва с агитационными установками (271,134).</w:t>
      </w:r>
    </w:p>
    <w:p w14:paraId="38DC1376" w14:textId="77777777" w:rsidR="00427F64" w:rsidRPr="0044524F" w:rsidRDefault="00427F64" w:rsidP="009654CF">
      <w:pPr>
        <w:spacing w:after="0" w:line="240" w:lineRule="auto"/>
        <w:jc w:val="both"/>
        <w:rPr>
          <w:rFonts w:ascii="Times New Roman" w:hAnsi="Times New Roman"/>
          <w:color w:val="000000" w:themeColor="text1"/>
          <w:sz w:val="16"/>
          <w:szCs w:val="16"/>
        </w:rPr>
      </w:pPr>
    </w:p>
    <w:p w14:paraId="5704D6F1"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15-18 августа 1933 в 21.30 «СССР В-3» (командир — И.И. Мейснер) вылетел из Москвы в Харьков, в агитационный рейс с промежуточной останов</w:t>
      </w:r>
      <w:r w:rsidRPr="0044524F">
        <w:rPr>
          <w:rFonts w:ascii="Times New Roman" w:hAnsi="Times New Roman"/>
          <w:color w:val="000000" w:themeColor="text1"/>
          <w:sz w:val="16"/>
          <w:szCs w:val="16"/>
        </w:rPr>
        <w:softHyphen/>
        <w:t>кой в Курске. Полёт от Москвы до Курска прохо</w:t>
      </w:r>
      <w:r w:rsidRPr="0044524F">
        <w:rPr>
          <w:rFonts w:ascii="Times New Roman" w:hAnsi="Times New Roman"/>
          <w:color w:val="000000" w:themeColor="text1"/>
          <w:sz w:val="16"/>
          <w:szCs w:val="16"/>
        </w:rPr>
        <w:softHyphen/>
        <w:t>дил в хороших погодных условиях со скоростью 96-100 км/ч. Над Курском, куда дирижабль при</w:t>
      </w:r>
      <w:r w:rsidRPr="0044524F">
        <w:rPr>
          <w:rFonts w:ascii="Times New Roman" w:hAnsi="Times New Roman"/>
          <w:color w:val="000000" w:themeColor="text1"/>
          <w:sz w:val="16"/>
          <w:szCs w:val="16"/>
        </w:rPr>
        <w:softHyphen/>
        <w:t>был в 3.00, он пробыл в воздухе около 2,5 часов. Утром дирижабль радушно встретили делегация рабочих и представители партийных, професси</w:t>
      </w:r>
      <w:r w:rsidRPr="0044524F">
        <w:rPr>
          <w:rFonts w:ascii="Times New Roman" w:hAnsi="Times New Roman"/>
          <w:color w:val="000000" w:themeColor="text1"/>
          <w:sz w:val="16"/>
          <w:szCs w:val="16"/>
        </w:rPr>
        <w:softHyphen/>
        <w:t>ональных и общественных организаций. После пятичасового пребывания в городе «СССР В-3» в 12.45 вылетел в Харьков. Остальной участок пути, особенно на отрезке Белгород — Харьков, оказался более труден из-за неспокойного состо</w:t>
      </w:r>
      <w:r w:rsidRPr="0044524F">
        <w:rPr>
          <w:rFonts w:ascii="Times New Roman" w:hAnsi="Times New Roman"/>
          <w:color w:val="000000" w:themeColor="text1"/>
          <w:sz w:val="16"/>
          <w:szCs w:val="16"/>
        </w:rPr>
        <w:softHyphen/>
        <w:t>яния атмосферы и неблагоприятного ветра, так что скорость дирижабля снизилась до 73-75 км/ч (20120).</w:t>
      </w:r>
    </w:p>
    <w:p w14:paraId="6FB6C7D2" w14:textId="77777777" w:rsidR="0007105E" w:rsidRPr="0044524F" w:rsidRDefault="0007105E" w:rsidP="009654CF">
      <w:pPr>
        <w:spacing w:after="0" w:line="240" w:lineRule="auto"/>
        <w:jc w:val="both"/>
        <w:rPr>
          <w:rFonts w:ascii="Times New Roman" w:hAnsi="Times New Roman"/>
          <w:color w:val="000000" w:themeColor="text1"/>
          <w:sz w:val="16"/>
          <w:szCs w:val="16"/>
        </w:rPr>
      </w:pPr>
    </w:p>
    <w:p w14:paraId="771C6A5F" w14:textId="77777777" w:rsidR="00683A37" w:rsidRPr="0044524F" w:rsidRDefault="00683A3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15-18 августа 1933 г. дирижабль агитэскадрильи им. Горькова В-3 «Красная звезда» под упрардением пилота И.И.Мейснера совершил полет по маршруту Москва—Харьков—Славянск—Москва с агитационной целью в связи с проведением всенародного праздника Дня авиации. В местах швартовки дирижабля экипаж проводил митинги, популяризуя праздник и достижения советского дирижаблестроения.</w:t>
      </w:r>
    </w:p>
    <w:p w14:paraId="1829A8FD" w14:textId="77777777" w:rsidR="00683A37" w:rsidRPr="0044524F" w:rsidRDefault="00683A3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август 1933 г./ (23370).</w:t>
      </w:r>
    </w:p>
    <w:p w14:paraId="1144A9BC" w14:textId="77777777" w:rsidR="00683A37" w:rsidRPr="0044524F" w:rsidRDefault="00683A37" w:rsidP="009654CF">
      <w:pPr>
        <w:spacing w:after="0" w:line="240" w:lineRule="auto"/>
        <w:jc w:val="both"/>
        <w:rPr>
          <w:rFonts w:ascii="Times New Roman" w:hAnsi="Times New Roman"/>
          <w:color w:val="000000" w:themeColor="text1"/>
          <w:sz w:val="16"/>
          <w:szCs w:val="16"/>
        </w:rPr>
      </w:pPr>
    </w:p>
    <w:p w14:paraId="1DF73C39"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0CE1AAB" w14:textId="77777777" w:rsidR="0092497E" w:rsidRPr="0044524F" w:rsidRDefault="0092497E" w:rsidP="009654CF">
      <w:pPr>
        <w:spacing w:after="0" w:line="240" w:lineRule="auto"/>
        <w:jc w:val="both"/>
        <w:rPr>
          <w:rFonts w:ascii="Times New Roman" w:hAnsi="Times New Roman"/>
          <w:iCs/>
          <w:color w:val="000000" w:themeColor="text1"/>
          <w:sz w:val="16"/>
          <w:szCs w:val="16"/>
        </w:rPr>
      </w:pPr>
    </w:p>
    <w:p w14:paraId="6DE1E24B"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w:t>
      </w:r>
    </w:p>
    <w:p w14:paraId="0DB33EBA"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143 заседания Политбюро ЦК ВКП(б) от 15 августа 1933 года</w:t>
      </w:r>
    </w:p>
    <w:p w14:paraId="307A1334"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15</w:t>
      </w:r>
      <w:r w:rsidRPr="0044524F">
        <w:rPr>
          <w:rFonts w:ascii="Times New Roman" w:hAnsi="Times New Roman"/>
          <w:color w:val="000000" w:themeColor="text1"/>
          <w:sz w:val="16"/>
          <w:szCs w:val="16"/>
        </w:rPr>
        <w:noBreakHyphen/>
        <w:t>го августа 1933 года.</w:t>
      </w:r>
    </w:p>
    <w:p w14:paraId="563F7D1E"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Опросом членов Политбюро от 9.VIII.1933 г.</w:t>
      </w:r>
    </w:p>
    <w:p w14:paraId="5CAFCFD3"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81/67: О конструкторско-производственной деятельности</w:t>
      </w:r>
    </w:p>
    <w:p w14:paraId="5FC4A904"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Передать Конструкторское Бюро и все предприятия ВИРДЖИЛИ из ведения НКВМ в систему Главного Управления Авиационной Промышленности Наркомтяжпрома СССР.</w:t>
      </w:r>
    </w:p>
    <w:p w14:paraId="1694F6B7"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Сохранить в системе ГУАП'а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значения.</w:t>
      </w:r>
    </w:p>
    <w:p w14:paraId="6BC99269"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Эксплуатировавшийся Бюро ВИРДЖИЛИ, по договору с НКЛесом, Юрюзанский Леспромхоз в месячный срок передать в ведение “Востокостали”, освободив ВИРДЖИЛИ от обязательств по поставкам топлива и стройматериалов заводам “Востокостали” и другим организациям.</w:t>
      </w:r>
    </w:p>
    <w:p w14:paraId="2F02AE5F"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Востокосталь в декадный срок ликвидировать всю задолженность по зарплате и задолженность хозяйственным организациям по Юрюзанскому Леспромхозу.</w:t>
      </w:r>
    </w:p>
    <w:p w14:paraId="14E83F77"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Начальника Глававиапрома:</w:t>
      </w:r>
    </w:p>
    <w:p w14:paraId="2CD7809D"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установить план работ на предприятиях ВИРДЖИЛИ на 1933 год;</w:t>
      </w:r>
    </w:p>
    <w:p w14:paraId="626DCC58"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 декадный срок ликвидировать всю задолженность по зарплате на Уральском строительстве и задолженность хозяйственным организациям;</w:t>
      </w:r>
    </w:p>
    <w:p w14:paraId="2945267C"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закрепить за ВИРДЖИЛИ получаемый до настоящего времени персональный оклад в 1.500 рублей в советских знаках и 300 рублей в иностранной валюте;</w:t>
      </w:r>
    </w:p>
    <w:p w14:paraId="5CE226B5"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разрешить ВИРДЖИЛИ отправить свою семью в Италию:</w:t>
      </w:r>
    </w:p>
    <w:p w14:paraId="6AF3C86A"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разрешить ВИРДЖИЛИ ежегодный отпуск в течение 2</w:t>
      </w:r>
      <w:r w:rsidRPr="0044524F">
        <w:rPr>
          <w:rFonts w:ascii="Times New Roman" w:hAnsi="Times New Roman"/>
          <w:color w:val="000000" w:themeColor="text1"/>
          <w:sz w:val="16"/>
          <w:szCs w:val="16"/>
        </w:rPr>
        <w:noBreakHyphen/>
        <w:t>х месяцев проводить в Италии.</w:t>
      </w:r>
    </w:p>
    <w:p w14:paraId="255C8278"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Ассигновать НКТПрому из резервного фонда СНК СССР 2,8 млн. рублей, из них 2,5 млн. рублей на покрытие задолженности по зарплате на Уральском строительстве и лесных разработках и задолженности хозяйственным организациям и 300.000 рублей для обеспечения конструкторской работы Бюро ВИРДЖИЛИ в 1933 году.</w:t>
      </w:r>
    </w:p>
    <w:p w14:paraId="69060816"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Опросом членов Политбюро от 14.VIII.1933 г.</w:t>
      </w:r>
    </w:p>
    <w:p w14:paraId="277133AC"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148/134: О проведении дня советского воздушного флота 18 августа</w:t>
      </w:r>
    </w:p>
    <w:p w14:paraId="3CD814BE"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необходимым день воздушного флота, совпадающий с 15</w:t>
      </w:r>
      <w:r w:rsidRPr="0044524F">
        <w:rPr>
          <w:rFonts w:ascii="Times New Roman" w:hAnsi="Times New Roman"/>
          <w:color w:val="000000" w:themeColor="text1"/>
          <w:sz w:val="16"/>
          <w:szCs w:val="16"/>
        </w:rPr>
        <w:noBreakHyphen/>
        <w:t>тилетием существования Красного воздушного флота и 10</w:t>
      </w:r>
      <w:r w:rsidRPr="0044524F">
        <w:rPr>
          <w:rFonts w:ascii="Times New Roman" w:hAnsi="Times New Roman"/>
          <w:color w:val="000000" w:themeColor="text1"/>
          <w:sz w:val="16"/>
          <w:szCs w:val="16"/>
        </w:rPr>
        <w:noBreakHyphen/>
        <w:t>тилетием Осоавиахима, отметить следующими мероприятиями:</w:t>
      </w:r>
    </w:p>
    <w:p w14:paraId="48A08CE6"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Провести на фабриках и заводах общие собрания рабочих и работниц.</w:t>
      </w:r>
    </w:p>
    <w:p w14:paraId="524A1F28"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Организовать экскурсии в летные школы и на аэродромы; провести совместно вечера рабочих с летным и техническим составом, проверить качество работы по шефству над воздушным флотом.</w:t>
      </w:r>
    </w:p>
    <w:p w14:paraId="009A25F0"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 период подготовки и в день авиации 18 августа организовать самопроверку социалистического соревнования и ударничества рабочих заводов самолетов и моторостроения, а также смежных производств за полное выполнение промфинплана, за тщательную обработку деталей, за высокое качество продукции.</w:t>
      </w:r>
    </w:p>
    <w:p w14:paraId="34AE2AF3"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Сосредоточить внимание и усилия летного и технического состава военной и гражданской авиации на установлении железной дисциплины, на повышении качества учебы, на большевистской борьбе за безаварийность полетов, на овладении техникой и на выполнении планов летной работы и боевой подготовки.</w:t>
      </w:r>
    </w:p>
    <w:p w14:paraId="18B2800D"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Широко развернуть работу по организации кружков планеризма, моделизма, парашютизма, по созданию аэродромов, аэроклубов и посадочных площадок, особенно в совхозах и МТС.</w:t>
      </w:r>
    </w:p>
    <w:p w14:paraId="12E7348D"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Проведение дня воздушного флота на селе должно еще больше сплотить колхозников, рабочих МТС и совхозов на высокое качество уборки урожая и своевременное выполнение поставки хлеба государству и ни в косм случае не отрывать колхозы, совхозы и МТС от их прямой боевой задачи.</w:t>
      </w:r>
    </w:p>
    <w:p w14:paraId="4AD7BB6F"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Опросом членов Политбюро от 15.VIII.1933 г.</w:t>
      </w:r>
    </w:p>
    <w:p w14:paraId="513E67FA"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169/155: Вопросы Комиссии Обороны</w:t>
      </w:r>
    </w:p>
    <w:p w14:paraId="6227D176"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2C9B8E6F"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следующие постановления Комиссии Обороны:</w:t>
      </w:r>
    </w:p>
    <w:p w14:paraId="66B407BF"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 ассигновании из резервного фонда СНК СССР на капитальное строительство по заводу № 22 в 1933 г. 1 млн. руб. и на строительство мастерских и гидробазы в Севастополе — 1 млн. руб.</w:t>
      </w:r>
    </w:p>
    <w:p w14:paraId="239A18E8"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 дополнительном ассигновании из резервного фонда СНК 2,0 млн. руб. на капитальное строительство по авиазаводу № 125.</w:t>
      </w:r>
    </w:p>
    <w:p w14:paraId="69BA530C"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разрешении НКТяжпрому посылки в 193З</w:t>
      </w:r>
      <w:r w:rsidRPr="0044524F">
        <w:rPr>
          <w:rFonts w:ascii="Times New Roman" w:hAnsi="Times New Roman"/>
          <w:color w:val="000000" w:themeColor="text1"/>
          <w:sz w:val="16"/>
          <w:szCs w:val="16"/>
        </w:rPr>
        <w:noBreakHyphen/>
        <w:t>34 г.г. в заграничную командировку на заводы гидросамолетостроения Англии и С.Ш.А. 15 инженеров и техников самолетостроительных заводов и опытных организаций.</w:t>
      </w:r>
    </w:p>
    <w:p w14:paraId="2C10DA3D"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 дополнительном отпуске НКТяжпрому — 750.000 руб. валюты на закупку 50 моторов “Циклон” с инструментом и запчастями.</w:t>
      </w:r>
    </w:p>
    <w:p w14:paraId="1D9118B3"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 закупке 20</w:t>
      </w:r>
      <w:r w:rsidRPr="0044524F">
        <w:rPr>
          <w:rFonts w:ascii="Times New Roman" w:hAnsi="Times New Roman"/>
          <w:color w:val="000000" w:themeColor="text1"/>
          <w:sz w:val="16"/>
          <w:szCs w:val="16"/>
        </w:rPr>
        <w:noBreakHyphen/>
        <w:t>30 моторов “Испано-Сьюиза” типа “12</w:t>
      </w:r>
      <w:r w:rsidRPr="0044524F">
        <w:rPr>
          <w:rFonts w:ascii="Times New Roman" w:hAnsi="Times New Roman"/>
          <w:color w:val="000000" w:themeColor="text1"/>
          <w:sz w:val="16"/>
          <w:szCs w:val="16"/>
        </w:rPr>
        <w:noBreakHyphen/>
        <w:t>У” NBRS и о посылке во Францию комиссии под председательством т. Марьямова для переговоров с фирмой “Испано-Сьюиза” о бесплатной техпомощи по организации производства моторов этого типа в СССР.</w:t>
      </w:r>
    </w:p>
    <w:p w14:paraId="626D49E4"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О6 отпуске ОГПУ из резервного фонда СНК СССР 5.810 тыс. руб. на мероприятия по переброске авиаэскадрилий на Камчатку.</w:t>
      </w:r>
    </w:p>
    <w:p w14:paraId="15B898E1"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65CDBC8A"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Базилевичу — все;</w:t>
      </w:r>
    </w:p>
    <w:p w14:paraId="20C6DAF1"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Орджоникидзе — п.п. 1-5;</w:t>
      </w:r>
    </w:p>
    <w:p w14:paraId="07CA1D1B"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Мирошникову — п.п. 1, 2, 6;</w:t>
      </w:r>
    </w:p>
    <w:p w14:paraId="6FCB4835"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Артузову — п.п. 2, 5;</w:t>
      </w:r>
    </w:p>
    <w:p w14:paraId="649E0A52"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Розенгольцу — п.п. 3, 4, 5;</w:t>
      </w:r>
    </w:p>
    <w:p w14:paraId="1DFEC960" w14:textId="77777777" w:rsidR="00223C0C" w:rsidRPr="0044524F" w:rsidRDefault="00223C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Ягоде — п. 6 (18068).</w:t>
      </w:r>
    </w:p>
    <w:p w14:paraId="52803CB1" w14:textId="77777777" w:rsidR="00223C0C" w:rsidRPr="0044524F" w:rsidRDefault="00223C0C" w:rsidP="009654CF">
      <w:pPr>
        <w:spacing w:after="0" w:line="240" w:lineRule="auto"/>
        <w:jc w:val="both"/>
        <w:rPr>
          <w:rFonts w:ascii="Times New Roman" w:hAnsi="Times New Roman"/>
          <w:color w:val="000000" w:themeColor="text1"/>
          <w:sz w:val="16"/>
          <w:szCs w:val="16"/>
        </w:rPr>
      </w:pPr>
    </w:p>
    <w:p w14:paraId="1CA543D2"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была закончена ликвидация объекта Томка, которая проходила с 26 июля. В безвозмездное владение ЦВХП перешли все строения и оборудование - примерно на 50-60 тыс. золотых руб. Часть имущества попала в НИХО. Немцы смогли вывезти только личное имущество и пушки - два вагона и 4 платформы. 29 августа и 11 сентября покинуло пределы России по жд и через Ленинградский порт (6221).</w:t>
      </w:r>
    </w:p>
    <w:p w14:paraId="0B2789E3"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p>
    <w:p w14:paraId="06E17E9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 был последний день работы объекта "Томка". Работал с 1928 г. на территории ЦВХП Шиханы для проведения совместных германо-советских испытаний химического оружия (9067).</w:t>
      </w:r>
    </w:p>
    <w:p w14:paraId="13C23861"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1CF9ACB2" w14:textId="77777777" w:rsidR="00217870" w:rsidRPr="0044524F" w:rsidRDefault="002178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15 августа 1933 г. Последний день существования советско-германского военно-химического объекта "Томка". Работал с 1928 г. на территории ЦВХП Шиханы (Саратовская область) для проведения совместных германо-советских испытаний химического оружия (4423).</w:t>
      </w:r>
    </w:p>
    <w:p w14:paraId="3162D8C5" w14:textId="77777777" w:rsidR="00217870" w:rsidRPr="0044524F" w:rsidRDefault="00217870" w:rsidP="009654CF">
      <w:pPr>
        <w:spacing w:after="0" w:line="240" w:lineRule="auto"/>
        <w:jc w:val="both"/>
        <w:rPr>
          <w:rFonts w:ascii="Times New Roman" w:hAnsi="Times New Roman"/>
          <w:color w:val="000000" w:themeColor="text1"/>
          <w:sz w:val="16"/>
          <w:szCs w:val="16"/>
        </w:rPr>
      </w:pPr>
    </w:p>
    <w:p w14:paraId="3822C892" w14:textId="77777777" w:rsidR="00A92F35" w:rsidRPr="0044524F" w:rsidRDefault="00A92F35"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bCs/>
          <w:iCs/>
          <w:color w:val="000000" w:themeColor="text1"/>
          <w:sz w:val="16"/>
          <w:szCs w:val="16"/>
        </w:rPr>
        <w:t>15 августа 1933 г.</w:t>
      </w:r>
      <w:r w:rsidRPr="0044524F">
        <w:rPr>
          <w:rFonts w:ascii="Times New Roman" w:hAnsi="Times New Roman"/>
          <w:color w:val="000000" w:themeColor="text1"/>
          <w:sz w:val="16"/>
          <w:szCs w:val="16"/>
        </w:rPr>
        <w:t xml:space="preserve"> Последний день существования советско-германского военно-химического объекта «Томка». Работал с 1928 г. на полигоне Шиханы (Саратовская область) для проведения совместных германо-советских испытаний химического оружия. Расстались с заклятыми друзьями без скандалов. Немцы увезли с собой немного: так и не понадобившееся артиллерийское орудие с запчастями (планировался отстрел новых химических снарядов) и легковой автомобиль. А оставили они много: автопарк (три грузовых и шесть легковых автомобилей, а также один тягач), а также стационарную станцию полигонного типа для налива ОВ и походную снаряжательную мастерскую. К 1933 году каждая сторона получила все, что хотела. Красная Армия получила от Германии необходимые предметы военно-химического снаряжения (вязкий иприт, ВАП, химический фугас, автомобильную разливочную станцию, ряд типов химических боеприпасов, дистанционный взрыватель для авиабомб, ранцевый прибор заражения и т.д.) и сэкономила на этом много времени и сил. А рейхсверу советские земли для опытов уже стали не нужны. После прихода Гитлера к власти обстановка позволяла работать уже с любым типом оружия без контроля (17133).</w:t>
      </w:r>
    </w:p>
    <w:p w14:paraId="29755C10" w14:textId="77777777" w:rsidR="00A92F35" w:rsidRPr="0044524F" w:rsidRDefault="00A92F35" w:rsidP="009654CF">
      <w:pPr>
        <w:shd w:val="clear" w:color="auto" w:fill="FFFFFF"/>
        <w:spacing w:after="0" w:line="240" w:lineRule="auto"/>
        <w:jc w:val="both"/>
        <w:rPr>
          <w:rFonts w:ascii="Times New Roman" w:hAnsi="Times New Roman"/>
          <w:color w:val="000000" w:themeColor="text1"/>
          <w:sz w:val="16"/>
          <w:szCs w:val="16"/>
        </w:rPr>
      </w:pPr>
    </w:p>
    <w:p w14:paraId="16598F2F" w14:textId="77777777" w:rsidR="00A92F35" w:rsidRPr="0044524F" w:rsidRDefault="00A92F35" w:rsidP="009654CF">
      <w:pPr>
        <w:pStyle w:val="rtejustify"/>
        <w:spacing w:before="0" w:after="0"/>
        <w:rPr>
          <w:color w:val="000000" w:themeColor="text1"/>
          <w:sz w:val="16"/>
          <w:szCs w:val="16"/>
        </w:rPr>
      </w:pPr>
      <w:r w:rsidRPr="0044524F">
        <w:rPr>
          <w:rStyle w:val="af0"/>
          <w:bCs/>
          <w:i w:val="0"/>
          <w:color w:val="000000" w:themeColor="text1"/>
          <w:sz w:val="16"/>
          <w:szCs w:val="16"/>
        </w:rPr>
        <w:t>15 августа</w:t>
      </w:r>
      <w:r w:rsidRPr="0044524F">
        <w:rPr>
          <w:color w:val="000000" w:themeColor="text1"/>
          <w:sz w:val="16"/>
          <w:szCs w:val="16"/>
        </w:rPr>
        <w:t xml:space="preserve"> 1933. Протокол заседания Политбюро ЦК ВКП (б) № 143. </w:t>
      </w:r>
      <w:hyperlink r:id="rId297" w:anchor="showunit&amp;id=87258" w:history="1">
        <w:r w:rsidRPr="0044524F">
          <w:rPr>
            <w:rStyle w:val="a5"/>
            <w:color w:val="000000" w:themeColor="text1"/>
            <w:sz w:val="16"/>
            <w:szCs w:val="16"/>
            <w:u w:val="none"/>
          </w:rPr>
          <w:t>2. О представительстве «Метро-Виккерс» в СССР</w:t>
        </w:r>
      </w:hyperlink>
      <w:r w:rsidRPr="0044524F">
        <w:rPr>
          <w:color w:val="000000" w:themeColor="text1"/>
          <w:sz w:val="16"/>
          <w:szCs w:val="16"/>
        </w:rPr>
        <w:t xml:space="preserve"> (Розенгольц, Орджоникидзе) — ОП. Решено: а) принять предложение Розенгольца об оставлении в Москве до 1</w:t>
      </w:r>
      <w:r w:rsidRPr="0044524F">
        <w:rPr>
          <w:color w:val="000000" w:themeColor="text1"/>
          <w:sz w:val="16"/>
          <w:szCs w:val="16"/>
        </w:rPr>
        <w:noBreakHyphen/>
        <w:t>4</w:t>
      </w:r>
      <w:r w:rsidRPr="0044524F">
        <w:rPr>
          <w:color w:val="000000" w:themeColor="text1"/>
          <w:sz w:val="16"/>
          <w:szCs w:val="16"/>
        </w:rPr>
        <w:noBreakHyphen/>
        <w:t xml:space="preserve">1934 одного-двух инженеров фирмы «Метро-Виккерс»; б) обязать ОГПУ установить наблюдение за ними. </w:t>
      </w:r>
      <w:hyperlink r:id="rId298" w:anchor="showunit&amp;id=87302" w:history="1">
        <w:r w:rsidRPr="0044524F">
          <w:rPr>
            <w:rStyle w:val="a5"/>
            <w:color w:val="000000" w:themeColor="text1"/>
            <w:sz w:val="16"/>
            <w:szCs w:val="16"/>
            <w:u w:val="none"/>
          </w:rPr>
          <w:t>6. О заключении договора техпомощи с фирмой «Монтекатини»</w:t>
        </w:r>
      </w:hyperlink>
      <w:r w:rsidRPr="0044524F">
        <w:rPr>
          <w:color w:val="000000" w:themeColor="text1"/>
          <w:sz w:val="16"/>
          <w:szCs w:val="16"/>
        </w:rPr>
        <w:t xml:space="preserve"> (Орджоникидзе). Решено строить Чирчикский электрохимический комбинат без заграничной техпомощи, обязав НКТП не допускать затяжки строительства. </w:t>
      </w:r>
      <w:hyperlink r:id="rId299" w:anchor="showunit&amp;id=87271" w:history="1">
        <w:r w:rsidRPr="0044524F">
          <w:rPr>
            <w:rStyle w:val="a5"/>
            <w:color w:val="000000" w:themeColor="text1"/>
            <w:sz w:val="16"/>
            <w:szCs w:val="16"/>
            <w:u w:val="none"/>
          </w:rPr>
          <w:t>31/17. Вопрос Ворошилова (о командировке в Италию Е. Ю. Губина)</w:t>
        </w:r>
      </w:hyperlink>
      <w:r w:rsidRPr="0044524F">
        <w:rPr>
          <w:color w:val="000000" w:themeColor="text1"/>
          <w:sz w:val="16"/>
          <w:szCs w:val="16"/>
        </w:rPr>
        <w:t xml:space="preserve"> (ПБ от 4 августа 1933 г.). — ОП. Решено командировать в Италию для приемки у фирмы Пелегатти забортных моторов сроком на один месяц Грубина Е. Ю. </w:t>
      </w:r>
      <w:hyperlink r:id="rId300" w:anchor="showunit&amp;id=87283" w:history="1">
        <w:r w:rsidRPr="0044524F">
          <w:rPr>
            <w:rStyle w:val="a5"/>
            <w:color w:val="000000" w:themeColor="text1"/>
            <w:sz w:val="16"/>
            <w:szCs w:val="16"/>
            <w:u w:val="none"/>
          </w:rPr>
          <w:t>42/28. О мобилизации на укомплектование ВВС РККА</w:t>
        </w:r>
      </w:hyperlink>
      <w:r w:rsidRPr="0044524F">
        <w:rPr>
          <w:color w:val="000000" w:themeColor="text1"/>
          <w:sz w:val="16"/>
          <w:szCs w:val="16"/>
        </w:rPr>
        <w:t>. (ПБ от 4 августа 1933 г.). Решено: Для укрепления санитарной службы и улучшения медицинского обслуживания воздушного флота мобилизовать 75 врачей – половина коммунистов, половина проверенных беспартийных с 3</w:t>
      </w:r>
      <w:r w:rsidRPr="0044524F">
        <w:rPr>
          <w:color w:val="000000" w:themeColor="text1"/>
          <w:sz w:val="16"/>
          <w:szCs w:val="16"/>
        </w:rPr>
        <w:noBreakHyphen/>
        <w:t>4</w:t>
      </w:r>
      <w:r w:rsidRPr="0044524F">
        <w:rPr>
          <w:color w:val="000000" w:themeColor="text1"/>
          <w:sz w:val="16"/>
          <w:szCs w:val="16"/>
        </w:rPr>
        <w:noBreakHyphen/>
        <w:t xml:space="preserve">летним врачебным стажем и направить их на укомплектование ВВС РККА. </w:t>
      </w:r>
      <w:hyperlink r:id="rId301" w:anchor="showunit&amp;id=87326" w:history="1">
        <w:r w:rsidRPr="0044524F">
          <w:rPr>
            <w:rStyle w:val="a5"/>
            <w:color w:val="000000" w:themeColor="text1"/>
            <w:sz w:val="16"/>
            <w:szCs w:val="16"/>
            <w:u w:val="none"/>
          </w:rPr>
          <w:t>81/67. О конструкторско-производственной деятельности «Вирджили»</w:t>
        </w:r>
      </w:hyperlink>
      <w:r w:rsidRPr="0044524F">
        <w:rPr>
          <w:color w:val="000000" w:themeColor="text1"/>
          <w:sz w:val="16"/>
          <w:szCs w:val="16"/>
        </w:rPr>
        <w:t xml:space="preserve"> (ПБ от 9 августа 1933 г.). Решено: 1. Передать конструкторское бюро и все предприятия ВИРДЖИЛИ из ведения НКВМ в систему Главного управления авиационной промышленности НКТП СССР. 2. Сохранить в системе ГУАП НКТП Бюро ВИРДЖИЛИ, как конструкторско-производственную организацию, оставив в его составе все работающие и находящиеся в строительстве предприятия авиационного назначения. 3. Эксплуатировавшийся Бюро ВИРДЖИЛИ, по договоренности с НКЛесом, Юрюзанский леспромхоз в месячный срок передать в ведение «Востокстали», освободив ВИРДЖИЛИ от обязательств по поставкам топлива и стройматериалов заводам «Востокстали» и другим организациям. Обязать Востоксталь в декадный срок ликвидировать всю задолженность по зарплате и задолженность хозяйственным организациям по Юрюзанскому леспромхозу. 4. Обязать начальника Глававиапрома: а) установить план работ на предприятиях ВИРДЖИЛИ на 1933 год; б) в декадный срок ликвидировать всю задолженность по зарплате на Уральском строительстве и задолженность хозяйственным организациям; в) закрепить за ВИРДЖИЛИ получаемый до настоящего времени персональный оклад в 1500 рублей в советских знаках и 300 рублей в иностранной валюте; г) разрешить ВИРДЖИЛИ отправить свою семью в Италию; д) разрешить ВИРДЖИЛИ ежегодный отпуск в течение двух месяцев проводить в Италии. 5. Ассигновать НКТП из резервного фонда СНК СССР 2,8 млн. рублей, из них 2,5 млн. рублей на покрытие задолженности по зарплате на Уральском строительстве и на лесных разработках и задолженности хозяйственным организациям и 300 тысяч рублей для обеспечения конструкторской работы Бюро ВИРДЖИЛИ в 1933 г. </w:t>
      </w:r>
      <w:hyperlink r:id="rId302" w:anchor="showunit&amp;id=87240" w:history="1">
        <w:r w:rsidRPr="0044524F">
          <w:rPr>
            <w:rStyle w:val="a5"/>
            <w:color w:val="000000" w:themeColor="text1"/>
            <w:sz w:val="16"/>
            <w:szCs w:val="16"/>
            <w:u w:val="none"/>
          </w:rPr>
          <w:t>169/155. Вопросы КО.</w:t>
        </w:r>
      </w:hyperlink>
      <w:r w:rsidRPr="0044524F">
        <w:rPr>
          <w:color w:val="000000" w:themeColor="text1"/>
          <w:sz w:val="16"/>
          <w:szCs w:val="16"/>
        </w:rPr>
        <w:t> — ОП. Решено утвердить следующие постановления КО: 1. Об ассигновании из резервного фонда СНК СССР на капитальное строительство по заводу № 22 в 1933 году 4 млн. рублей и на строительство мастерских и гидробазы в Севастополе – 1 млн. рублей. 2. О дополнительном ассигновании из резервного фонда СНК 2,5 млн. рублей на капитальное строительство по авиазаводу № 125. 3. О разрешении НКТП СССР посылки в 1933</w:t>
      </w:r>
      <w:r w:rsidRPr="0044524F">
        <w:rPr>
          <w:color w:val="000000" w:themeColor="text1"/>
          <w:sz w:val="16"/>
          <w:szCs w:val="16"/>
        </w:rPr>
        <w:noBreakHyphen/>
        <w:t>1934 годах в заграничную командировку на заводы гидросамолетостроения Англии и США 15 инженеров и техников самолетостроительных заводов и опытных организаций. 4. О дополнительном отпуске НКТП 750 тысяч рублей валюты на закупку 50 моторов «Циклон» с инструментом и запчастями. 5. О закупке 20</w:t>
      </w:r>
      <w:r w:rsidRPr="0044524F">
        <w:rPr>
          <w:color w:val="000000" w:themeColor="text1"/>
          <w:sz w:val="16"/>
          <w:szCs w:val="16"/>
        </w:rPr>
        <w:noBreakHyphen/>
        <w:t>30 моторов «Испано-Сьюиза» типа «12</w:t>
      </w:r>
      <w:r w:rsidRPr="0044524F">
        <w:rPr>
          <w:color w:val="000000" w:themeColor="text1"/>
          <w:sz w:val="16"/>
          <w:szCs w:val="16"/>
        </w:rPr>
        <w:noBreakHyphen/>
        <w:t xml:space="preserve">V» NBRS и о посылке во Францию комиссии под председательством Марьямова для переговоров с фирмой «Испано-Сьюиза» о бесплатной техпомощи по организации производства моторов этого типа в СССР. 6. Об отпуске ОГПУ из резервного фонда СНК СССР 5810 тысяч рублей на мероприятия по переброске авиаэскадрилий на Камчатку. </w:t>
      </w:r>
      <w:hyperlink r:id="rId303" w:anchor="showunit&amp;id=87242" w:history="1">
        <w:r w:rsidRPr="0044524F">
          <w:rPr>
            <w:rStyle w:val="a5"/>
            <w:color w:val="000000" w:themeColor="text1"/>
            <w:sz w:val="16"/>
            <w:szCs w:val="16"/>
            <w:u w:val="none"/>
          </w:rPr>
          <w:t>170/156. О капитальном строительстве химической промышленности в III квартале 1933 г.</w:t>
        </w:r>
      </w:hyperlink>
      <w:r w:rsidRPr="0044524F">
        <w:rPr>
          <w:color w:val="000000" w:themeColor="text1"/>
          <w:sz w:val="16"/>
          <w:szCs w:val="16"/>
        </w:rPr>
        <w:t xml:space="preserve"> — ОП. Решено утвердить постановление СТО. </w:t>
      </w:r>
      <w:hyperlink r:id="rId304" w:anchor="showunit&amp;id=87245" w:history="1">
        <w:r w:rsidRPr="0044524F">
          <w:rPr>
            <w:rStyle w:val="a5"/>
            <w:color w:val="000000" w:themeColor="text1"/>
            <w:sz w:val="16"/>
            <w:szCs w:val="16"/>
            <w:u w:val="none"/>
          </w:rPr>
          <w:t>173/159. О Магнитогорском заводе.</w:t>
        </w:r>
      </w:hyperlink>
      <w:r w:rsidRPr="0044524F">
        <w:rPr>
          <w:color w:val="000000" w:themeColor="text1"/>
          <w:sz w:val="16"/>
          <w:szCs w:val="16"/>
        </w:rPr>
        <w:t xml:space="preserve"> Решено: а) освободить Мышкова от обязанностей директора Магнитогорского завода; б) утвердить директором Магнитогорского завода Завенягина, освободив его от обязанностей директора завода им. Дзержинского; в) утвердить директором завода им. Дзержинского Манаенко; г) освободить Спирова от обязанностей секретаря Магнитогорского горкома ВКП(б); д) рекомендовать Ломинадзе секретарем Магнитогорского горкома (15462).</w:t>
      </w:r>
    </w:p>
    <w:p w14:paraId="04D6A87D" w14:textId="77777777" w:rsidR="00A92F35" w:rsidRPr="0044524F" w:rsidRDefault="00A92F35" w:rsidP="009654CF">
      <w:pPr>
        <w:pStyle w:val="rtejustify"/>
        <w:spacing w:before="0" w:after="0"/>
        <w:rPr>
          <w:color w:val="000000" w:themeColor="text1"/>
          <w:sz w:val="16"/>
          <w:szCs w:val="16"/>
        </w:rPr>
      </w:pPr>
    </w:p>
    <w:p w14:paraId="3A0A6F8B" w14:textId="77777777" w:rsidR="00582173" w:rsidRPr="0044524F" w:rsidRDefault="0058217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 ПБ приняло решение выделить производство граммофонов и граммофонных пластинок из НКЛП и передать его в ведение НКТП. Комиссии под руководством Кагановича было поручено в соответствии с этим переработать проект постановления (19281).</w:t>
      </w:r>
    </w:p>
    <w:p w14:paraId="3D6600D0" w14:textId="77777777" w:rsidR="00582173" w:rsidRPr="0044524F" w:rsidRDefault="00582173" w:rsidP="009654CF">
      <w:pPr>
        <w:spacing w:after="0" w:line="240" w:lineRule="auto"/>
        <w:jc w:val="both"/>
        <w:rPr>
          <w:rFonts w:ascii="Times New Roman" w:hAnsi="Times New Roman"/>
          <w:color w:val="000000" w:themeColor="text1"/>
          <w:sz w:val="16"/>
          <w:szCs w:val="16"/>
        </w:rPr>
      </w:pPr>
    </w:p>
    <w:p w14:paraId="20CADC88"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состоялось заседание ПБ и был оформлен протокол № 143</w:t>
      </w:r>
    </w:p>
    <w:p w14:paraId="217AFE90"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 граммофонных и музыкальных инструментах – см. приложение</w:t>
      </w:r>
    </w:p>
    <w:p w14:paraId="068493C9"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СОСТОЯНИИ И МЕРАХ ПО УЛУЧШЕНИЮ ПРОИЗВОДСТВА ГРАММОФОНОВ. ГРАММОФОННЫХ ПЛАСТИНОК И МУЗЫКАЛЬНЫХ ИНСТРУМЕНТОВ.</w:t>
      </w:r>
    </w:p>
    <w:p w14:paraId="272645B6"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ПОЛИТБЮРО ЦК ВКП(б) от 15 АВГУСТА 1933 ГОЛА.</w:t>
      </w:r>
    </w:p>
    <w:p w14:paraId="024D19BC"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Наркомвнешторг обеспечить ввоз необходимого импорт</w:t>
      </w:r>
      <w:r w:rsidRPr="0044524F">
        <w:rPr>
          <w:rFonts w:ascii="Times New Roman" w:hAnsi="Times New Roman"/>
          <w:color w:val="000000" w:themeColor="text1"/>
          <w:sz w:val="16"/>
          <w:szCs w:val="16"/>
        </w:rPr>
        <w:softHyphen/>
        <w:t>ного оборудования и аппаратуры, всего на сумму 360 тыс. руб. с тем, чтобы в дальнейшем звукозаписывающие аппараты и прочая аппа</w:t>
      </w:r>
      <w:r w:rsidRPr="0044524F">
        <w:rPr>
          <w:rFonts w:ascii="Times New Roman" w:hAnsi="Times New Roman"/>
          <w:color w:val="000000" w:themeColor="text1"/>
          <w:sz w:val="16"/>
          <w:szCs w:val="16"/>
        </w:rPr>
        <w:softHyphen/>
        <w:t>ратура и оборудование производились на советских заводах. Для обеспечения программы производства пластинок в Ш-1У кв.1933 г. ввезти 60 тонн шеллака и в 1934 г. - 400 тонн щеллака (сверх 260 т.руб.).</w:t>
      </w:r>
    </w:p>
    <w:p w14:paraId="62E0E0C4"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Наркомвнешторг предусмотреть отпуск Наркомлегпрому СССР 18.700 рубл. в 1933 г. и 52.900 рубл. в 1934 г. на импорт голосовой стали для гармоний, рояльной проволоки и необходи</w:t>
      </w:r>
      <w:r w:rsidRPr="0044524F">
        <w:rPr>
          <w:rFonts w:ascii="Times New Roman" w:hAnsi="Times New Roman"/>
          <w:color w:val="000000" w:themeColor="text1"/>
          <w:sz w:val="16"/>
          <w:szCs w:val="16"/>
        </w:rPr>
        <w:softHyphen/>
        <w:t>мых образцов новейших конструкций музыкальных инструментов луч</w:t>
      </w:r>
      <w:r w:rsidRPr="0044524F">
        <w:rPr>
          <w:rFonts w:ascii="Times New Roman" w:hAnsi="Times New Roman"/>
          <w:color w:val="000000" w:themeColor="text1"/>
          <w:sz w:val="16"/>
          <w:szCs w:val="16"/>
        </w:rPr>
        <w:softHyphen/>
        <w:t>ших заграничных фирм, сверх установленных контингентов импорта Наркомлвторому СССР.</w:t>
      </w:r>
    </w:p>
    <w:p w14:paraId="681BA422"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Командировать за границу 3-4 инженеров, одного работника Научно-Исследовательского института, 3 хозяйственников по линии Наркомтяжпрома, Наркомлегпрома и промкооперации, согласовав с Наркомвнешторгом план технической помощи и консультации иностран</w:t>
      </w:r>
      <w:r w:rsidRPr="0044524F">
        <w:rPr>
          <w:rFonts w:ascii="Times New Roman" w:hAnsi="Times New Roman"/>
          <w:color w:val="000000" w:themeColor="text1"/>
          <w:sz w:val="16"/>
          <w:szCs w:val="16"/>
        </w:rPr>
        <w:softHyphen/>
        <w:t>ной промышленности и иностранных специалистов.</w:t>
      </w:r>
    </w:p>
    <w:p w14:paraId="07749089"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августа 1933 опросом членов ПБ</w:t>
      </w:r>
    </w:p>
    <w:p w14:paraId="1DD985A1"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 – Вопрос т. Ворошилова</w:t>
      </w:r>
    </w:p>
    <w:p w14:paraId="3CE82B42"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Послать на итальянские маневры и у нас принять 2-3 человек.</w:t>
      </w:r>
    </w:p>
    <w:p w14:paraId="31D05E8A"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Принять у нас (осенью) и послать в Италию 2-3 командиров для присутствия на упражнениях флотов.</w:t>
      </w:r>
    </w:p>
    <w:p w14:paraId="21C7ACA0"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После окончания летней учебы произвести учебный поход отряда кораблей в Средиземное море, с заходом в Стамбул, Грецию и один из итальянских портов.</w:t>
      </w:r>
    </w:p>
    <w:p w14:paraId="04363D76"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т.Ворошилову.</w:t>
      </w:r>
    </w:p>
    <w:p w14:paraId="2FE08859"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1933 опросом членов ПБ</w:t>
      </w:r>
    </w:p>
    <w:p w14:paraId="53DB85D0"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31/17.- Вопрос т. Ворошилова..</w:t>
      </w:r>
    </w:p>
    <w:p w14:paraId="27A96158"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Командировать в Италию для приемки у фирмы Пелегатти забортных моторов сроком на один месяц т. Грубила Е.Ю.</w:t>
      </w:r>
    </w:p>
    <w:p w14:paraId="28082C36"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Выписа послана: т. т. Ворошилову, Артузову.</w:t>
      </w:r>
    </w:p>
    <w:p w14:paraId="5C94D2C8"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опросом членов ПБ</w:t>
      </w:r>
    </w:p>
    <w:p w14:paraId="54672137"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169/155.-</w:t>
      </w:r>
    </w:p>
    <w:p w14:paraId="13721DAA"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следуйте постановления КО:</w:t>
      </w:r>
    </w:p>
    <w:p w14:paraId="1BE8BEB4"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О6 ассигнованни из резервного фонда СНК ОССР на капитальное строительство по заводу № 22 в 1933 г. 4 млн. руб. и на строительство мастер</w:t>
      </w:r>
      <w:r w:rsidRPr="0044524F">
        <w:rPr>
          <w:rFonts w:ascii="Times New Roman" w:hAnsi="Times New Roman"/>
          <w:color w:val="000000" w:themeColor="text1"/>
          <w:sz w:val="16"/>
          <w:szCs w:val="16"/>
        </w:rPr>
        <w:softHyphen/>
        <w:t>ских и гидгобазы в Севастополе - 1 мл.руб.</w:t>
      </w:r>
    </w:p>
    <w:p w14:paraId="4AE8BEDB"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 дополнительном ассигновании из Резерв</w:t>
      </w:r>
      <w:r w:rsidRPr="0044524F">
        <w:rPr>
          <w:rFonts w:ascii="Times New Roman" w:hAnsi="Times New Roman"/>
          <w:color w:val="000000" w:themeColor="text1"/>
          <w:sz w:val="16"/>
          <w:szCs w:val="16"/>
        </w:rPr>
        <w:softHyphen/>
        <w:t>ного фонда СНК 2,5 мл .руб. на капитальное строи</w:t>
      </w:r>
      <w:r w:rsidRPr="0044524F">
        <w:rPr>
          <w:rFonts w:ascii="Times New Roman" w:hAnsi="Times New Roman"/>
          <w:color w:val="000000" w:themeColor="text1"/>
          <w:sz w:val="16"/>
          <w:szCs w:val="16"/>
        </w:rPr>
        <w:softHyphen/>
        <w:t>тельство по авиазаводу № 125.</w:t>
      </w:r>
    </w:p>
    <w:p w14:paraId="5DEEABA0"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O разрешении НКТяжмашу посылки в 193З-34 гг. в заграничную командировку на заводы гидросамолето</w:t>
      </w:r>
      <w:r w:rsidRPr="0044524F">
        <w:rPr>
          <w:rFonts w:ascii="Times New Roman" w:hAnsi="Times New Roman"/>
          <w:color w:val="000000" w:themeColor="text1"/>
          <w:sz w:val="16"/>
          <w:szCs w:val="16"/>
        </w:rPr>
        <w:softHyphen/>
        <w:t>строения Англии и С.Ш.А. 15 инженеров и техников самолетостроительных заводов и опытных организаций.</w:t>
      </w:r>
    </w:p>
    <w:p w14:paraId="283B11B0"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 дополнительном отпуске НКТяжпрому - 750.000 руб. валюты на закупку 50 моторов "Цик</w:t>
      </w:r>
      <w:r w:rsidRPr="0044524F">
        <w:rPr>
          <w:rFonts w:ascii="Times New Roman" w:hAnsi="Times New Roman"/>
          <w:color w:val="000000" w:themeColor="text1"/>
          <w:sz w:val="16"/>
          <w:szCs w:val="16"/>
        </w:rPr>
        <w:softHyphen/>
        <w:t>лон” с инструментом и запчастями.</w:t>
      </w:r>
    </w:p>
    <w:p w14:paraId="7D224A60"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 закупке 20-30 моторов "Испано-Сьюиза" типа "12-Ув nbrs и о юсылке во Францию комис</w:t>
      </w:r>
      <w:r w:rsidRPr="0044524F">
        <w:rPr>
          <w:rFonts w:ascii="Times New Roman" w:hAnsi="Times New Roman"/>
          <w:color w:val="000000" w:themeColor="text1"/>
          <w:sz w:val="16"/>
          <w:szCs w:val="16"/>
        </w:rPr>
        <w:softHyphen/>
        <w:t>сии под председательством т. Марьяьова для пере</w:t>
      </w:r>
      <w:r w:rsidRPr="0044524F">
        <w:rPr>
          <w:rFonts w:ascii="Times New Roman" w:hAnsi="Times New Roman"/>
          <w:color w:val="000000" w:themeColor="text1"/>
          <w:sz w:val="16"/>
          <w:szCs w:val="16"/>
        </w:rPr>
        <w:softHyphen/>
        <w:t>говоров с фирмой "Испано-Сьюиза" о бесплатной технпомощи по организации производства моторов этого типа в СССР.</w:t>
      </w:r>
    </w:p>
    <w:p w14:paraId="278C42FB"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О6 отпуске ОГПУ из резервного фонда СНК СССP 5.810 тыс.р. на мероприятия по переброске авиаэскадрилий на Камчатку</w:t>
      </w:r>
    </w:p>
    <w:p w14:paraId="4AF265A2"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Базилевичу-все; Орджоникидзе- . 1-5;</w:t>
      </w:r>
    </w:p>
    <w:p w14:paraId="5031D882"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Мирошникову – п. 1,2,6; Артузову – п. 3,5; Розенгольцу-п. 3,4,5; Ягоде -п. 6</w:t>
      </w:r>
    </w:p>
    <w:p w14:paraId="234BD935"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170/156,- О капитальном строительстве химической промышленности в Ш кв. 1933</w:t>
      </w:r>
    </w:p>
    <w:p w14:paraId="2FD881E6"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СТО (см. приложение).</w:t>
      </w:r>
    </w:p>
    <w:p w14:paraId="1FFC1E83"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'll</w:t>
      </w:r>
    </w:p>
    <w:p w14:paraId="262B45C8"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п./156-опр.(о.п. )пр.ПЬ - 143</w:t>
      </w:r>
    </w:p>
    <w:p w14:paraId="6520DA5A"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ДОПОЛНИТЕЛЬНОМ АССИГНОВАНИИ НА КАПИТАЛЬНОЕ СТРОИТЕЛЬСТВО ХИМИЧЕСКОЙ ПРОМЫШЛКННОСТИ В Ш-М КВАРТАЛЕ- ПОСТАНОВЛЕНИЕ СОВЕТА ТРУДА И ОБОРОНЫ</w:t>
      </w:r>
    </w:p>
    <w:p w14:paraId="3865A096"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(Утверждено Политбюро ЦК ВКП(б) 15 августа 1933 года).</w:t>
      </w:r>
    </w:p>
    <w:p w14:paraId="2DCE77EE"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 Труда и Оборони постановляет:</w:t>
      </w:r>
    </w:p>
    <w:p w14:paraId="64DBAC57"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военно-химической промшленности</w:t>
      </w:r>
    </w:p>
    <w:p w14:paraId="5A6F7F5D"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Ассигновать дополнительно в Ш-м квартале Тресту ВИВ для финансирования работ по заводам №№ 40, 25, 14 и 92.500.000 р., установив общий об "ом затрат „для ВИВ"а на Ш-й квартал - 21.000.000 рублей.</w:t>
      </w:r>
    </w:p>
    <w:p w14:paraId="0275F2FF"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Отпустить дополнительно в Ш квартале Вохимтресту 6.800.000 рублей для форсирования работ по заводам №№ 5, 6, 11, 15, 55, 59, 64 и комбинату "К".</w:t>
      </w:r>
    </w:p>
    <w:p w14:paraId="01F7DCCF"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Для форсирования строительства порохового завода в Ке</w:t>
      </w:r>
      <w:r w:rsidRPr="0044524F">
        <w:rPr>
          <w:rFonts w:ascii="Times New Roman" w:hAnsi="Times New Roman"/>
          <w:color w:val="000000" w:themeColor="text1"/>
          <w:sz w:val="16"/>
          <w:szCs w:val="16"/>
        </w:rPr>
        <w:softHyphen/>
        <w:t>мерове, а также проектирования и изыскательных работ по новым пороховым заводам отпустить дополнительно в П-к квартале - 1.300.000 рублей.</w:t>
      </w:r>
    </w:p>
    <w:p w14:paraId="1CDE9F36"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военным производствам гражданской химии</w:t>
      </w:r>
    </w:p>
    <w:p w14:paraId="238E92F6"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Ассигновать дополнительно в Ш-м квартале нижеуказанные суммы по следующим об"ектам:</w:t>
      </w:r>
    </w:p>
    <w:p w14:paraId="2FA8A9FB"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на и проектирование и подготовительные работы по Тротило</w:t>
      </w:r>
      <w:r w:rsidRPr="0044524F">
        <w:rPr>
          <w:rFonts w:ascii="Times New Roman" w:hAnsi="Times New Roman"/>
          <w:color w:val="000000" w:themeColor="text1"/>
          <w:sz w:val="16"/>
          <w:szCs w:val="16"/>
        </w:rPr>
        <w:softHyphen/>
        <w:t>вым заводам в Кемерове и Воскресенске - 500.000 рублей;</w:t>
      </w:r>
    </w:p>
    <w:p w14:paraId="748DC804"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Мелинитоиоиу заводу в Бобриках - 2.200.000 рублей;</w:t>
      </w:r>
    </w:p>
    <w:p w14:paraId="7E3F2661"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для начала строительства Мелинитового завода на Берез- никах - 1.000.000 рублей;</w:t>
      </w:r>
    </w:p>
    <w:p w14:paraId="57B04ADA"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на строительство завода вещества 8 в Бобриках - 1.150.000 рублей;</w:t>
      </w:r>
    </w:p>
    <w:p w14:paraId="21347187"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на форсирование строительства завода вещества № 6 в Горьком - 500.000 и рублей в Ш-м квартале и 1.500.000 р. в 1У-м квартале;</w:t>
      </w:r>
    </w:p>
    <w:p w14:paraId="73F403D5"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для начала строительства спецехов по производству де</w:t>
      </w:r>
      <w:r w:rsidRPr="0044524F">
        <w:rPr>
          <w:rFonts w:ascii="Times New Roman" w:hAnsi="Times New Roman"/>
          <w:color w:val="000000" w:themeColor="text1"/>
          <w:sz w:val="16"/>
          <w:szCs w:val="16"/>
        </w:rPr>
        <w:softHyphen/>
        <w:t>нитро-нафталина, вещ. № 15, фонола и азотной кислоты на Рубежан ском, Кинешемском и Дорогомиловском заводах - 1.100.000 рублей;</w:t>
      </w:r>
    </w:p>
    <w:p w14:paraId="734400A1"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для проектирования и изыскательных работ по новым заво</w:t>
      </w:r>
      <w:r w:rsidRPr="0044524F">
        <w:rPr>
          <w:rFonts w:ascii="Times New Roman" w:hAnsi="Times New Roman"/>
          <w:color w:val="000000" w:themeColor="text1"/>
          <w:sz w:val="16"/>
          <w:szCs w:val="16"/>
        </w:rPr>
        <w:softHyphen/>
        <w:t>дам ОВ, ДВ, дегазаторов респираторов, прожекторного стекла и синтетической камфоры ассигновать в Ш-м квартале - 1.000.000 р. и в 1У-м квартале - 1.000.000 рублей.</w:t>
      </w:r>
    </w:p>
    <w:p w14:paraId="12D9233E"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общехимической базе.</w:t>
      </w:r>
    </w:p>
    <w:p w14:paraId="2F29B3A7"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Утвердить дополнительно следующие ассигнования:</w:t>
      </w:r>
    </w:p>
    <w:p w14:paraId="6DDDD4FF"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начала строительства новых заводов олеума в Краено- Уральске и Воскресенске, а также на заводах 14,15,80 и Боб</w:t>
      </w:r>
      <w:r w:rsidRPr="0044524F">
        <w:rPr>
          <w:rFonts w:ascii="Times New Roman" w:hAnsi="Times New Roman"/>
          <w:color w:val="000000" w:themeColor="text1"/>
          <w:sz w:val="16"/>
          <w:szCs w:val="16"/>
        </w:rPr>
        <w:softHyphen/>
        <w:t>риках - 1.950.000 руб.;</w:t>
      </w:r>
    </w:p>
    <w:p w14:paraId="724137D7"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на строительство новых бромных заводов в Карабугазе, Перекопе и Верикее - 1.800.000 рублей;</w:t>
      </w:r>
    </w:p>
    <w:p w14:paraId="4B082106"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 расширение существующих и начала строительства новых серных заводов в Гаурдаке, Шор-Су, Алексеевке - 1.500.000 руб.;</w:t>
      </w:r>
    </w:p>
    <w:p w14:paraId="11E7CF01"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Беразняковскому азотно-туковому комбинату - 3.200.000 р.;</w:t>
      </w:r>
    </w:p>
    <w:p w14:paraId="04FD1B74"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Бобриковскому комбинату для начала строительства второй и третьей очереди и расширения азотной кислоты 2.000.000 в Ш кв. и 2.000.000 в 1У кв.</w:t>
      </w:r>
    </w:p>
    <w:p w14:paraId="7D12EC8E"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на вторую очередь Горловского комбината - 2.000.000 руб.;</w:t>
      </w:r>
    </w:p>
    <w:p w14:paraId="5A0A055C"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на проектирование и освоение площадок по Каменскому и Лисичанскощу комбинату 100.000 рублей в Ш-м квартале и 1.000.000 в 1У-м квартале;</w:t>
      </w:r>
    </w:p>
    <w:p w14:paraId="4D7C8B57"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Кемеровскому азотному комбинату - 1.500.000 рублей;</w:t>
      </w:r>
    </w:p>
    <w:p w14:paraId="3DFA582E"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для форсирования хлорного строительства в Сталинграде - 870.000 рублен;</w:t>
      </w:r>
    </w:p>
    <w:p w14:paraId="4815B2CE"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для форсирования хлорного строительства в Славянске - 800.000 рублей в Ш-м квартале и 1.000.000 рублей в 1У-м квартале.</w:t>
      </w:r>
    </w:p>
    <w:p w14:paraId="0379575D"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Обязать НКТяжпром произвести вызываемое настоящим поста</w:t>
      </w:r>
      <w:r w:rsidRPr="0044524F">
        <w:rPr>
          <w:rFonts w:ascii="Times New Roman" w:hAnsi="Times New Roman"/>
          <w:color w:val="000000" w:themeColor="text1"/>
          <w:sz w:val="16"/>
          <w:szCs w:val="16"/>
        </w:rPr>
        <w:softHyphen/>
        <w:t>новлением перераспределение стройматериалов, с целью полного обеспечения военно-химического строительства за счет отпущенных НКТП фондов на Ш-й квартал.</w:t>
      </w:r>
    </w:p>
    <w:p w14:paraId="61194C0C"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НКТП из выделенных ому фондов обеспечить форсиро</w:t>
      </w:r>
      <w:r w:rsidRPr="0044524F">
        <w:rPr>
          <w:rFonts w:ascii="Times New Roman" w:hAnsi="Times New Roman"/>
          <w:color w:val="000000" w:themeColor="text1"/>
          <w:sz w:val="16"/>
          <w:szCs w:val="16"/>
        </w:rPr>
        <w:softHyphen/>
        <w:t>вание строительных работ необходимым автотранспортом.</w:t>
      </w:r>
    </w:p>
    <w:p w14:paraId="22874A38"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 соответствии с этим общий размер дополнительных ассигно</w:t>
      </w:r>
      <w:r w:rsidRPr="0044524F">
        <w:rPr>
          <w:rFonts w:ascii="Times New Roman" w:hAnsi="Times New Roman"/>
          <w:color w:val="000000" w:themeColor="text1"/>
          <w:sz w:val="16"/>
          <w:szCs w:val="16"/>
        </w:rPr>
        <w:softHyphen/>
        <w:t>ваний на химическую промышленность в Ш-м ктартале 1983 года утвердить в сумме 83.570.000 рублей, из коих 17.000.000 рублей за счет перераспределения ассигнований по НКТП и 16.570.000 рублей из резервного фонда СНК СССР.</w:t>
      </w:r>
    </w:p>
    <w:p w14:paraId="3B37025D"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 Мирошникову (22993)</w:t>
      </w:r>
    </w:p>
    <w:p w14:paraId="48627038" w14:textId="77777777" w:rsidR="0007105E" w:rsidRPr="0044524F" w:rsidRDefault="0007105E" w:rsidP="009654CF">
      <w:pPr>
        <w:spacing w:after="0" w:line="240" w:lineRule="auto"/>
        <w:jc w:val="both"/>
        <w:rPr>
          <w:rFonts w:ascii="Times New Roman" w:hAnsi="Times New Roman"/>
          <w:color w:val="000000" w:themeColor="text1"/>
          <w:sz w:val="16"/>
          <w:szCs w:val="16"/>
        </w:rPr>
      </w:pPr>
    </w:p>
    <w:p w14:paraId="0D39F2D3" w14:textId="77777777" w:rsidR="00217870"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0325322B" w14:textId="77777777" w:rsidR="00217870" w:rsidRPr="0044524F" w:rsidRDefault="00217870" w:rsidP="009654CF">
      <w:pPr>
        <w:spacing w:after="0" w:line="240" w:lineRule="auto"/>
        <w:jc w:val="both"/>
        <w:rPr>
          <w:rFonts w:ascii="Times New Roman" w:hAnsi="Times New Roman"/>
          <w:iCs/>
          <w:color w:val="000000" w:themeColor="text1"/>
          <w:sz w:val="16"/>
          <w:szCs w:val="16"/>
        </w:rPr>
      </w:pPr>
    </w:p>
    <w:p w14:paraId="37BF2E7F" w14:textId="77777777" w:rsidR="00F61DC5" w:rsidRPr="00142305" w:rsidRDefault="00F61DC5" w:rsidP="00F61D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августа 1931 г. на маневрах Ленинградского ок</w:t>
      </w:r>
      <w:r w:rsidRPr="00142305">
        <w:rPr>
          <w:rFonts w:ascii="Times New Roman" w:hAnsi="Times New Roman"/>
          <w:color w:val="0070C0"/>
          <w:sz w:val="16"/>
          <w:szCs w:val="16"/>
        </w:rPr>
        <w:softHyphen/>
        <w:t>руга в районе Красного Села после захвата аэродро</w:t>
      </w:r>
      <w:r w:rsidRPr="00142305">
        <w:rPr>
          <w:rFonts w:ascii="Times New Roman" w:hAnsi="Times New Roman"/>
          <w:color w:val="0070C0"/>
          <w:sz w:val="16"/>
          <w:szCs w:val="16"/>
        </w:rPr>
        <w:softHyphen/>
        <w:t>ма парашютистами эскадрилья ТБ-1 доставила туда по</w:t>
      </w:r>
      <w:r w:rsidRPr="00142305">
        <w:rPr>
          <w:rFonts w:ascii="Times New Roman" w:hAnsi="Times New Roman"/>
          <w:color w:val="0070C0"/>
          <w:sz w:val="16"/>
          <w:szCs w:val="16"/>
        </w:rPr>
        <w:softHyphen/>
        <w:t>садочный десант. В сентябре отряд принимал участие в маневрах на Украине. Применяли подфюзеляжные каби</w:t>
      </w:r>
      <w:r w:rsidRPr="00142305">
        <w:rPr>
          <w:rFonts w:ascii="Times New Roman" w:hAnsi="Times New Roman"/>
          <w:color w:val="0070C0"/>
          <w:sz w:val="16"/>
          <w:szCs w:val="16"/>
        </w:rPr>
        <w:softHyphen/>
        <w:t>ны, грузовые мешки и контейнеры, а также подвеску ПД-А.</w:t>
      </w:r>
    </w:p>
    <w:p w14:paraId="3C678BB0" w14:textId="77777777" w:rsidR="00F61DC5" w:rsidRPr="00142305" w:rsidRDefault="00F61DC5" w:rsidP="00F61D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Два десанта выбросили 10 и 14 сентября. Успех учений омрачила катастрофа самолета, перевозившего пикап. Воз</w:t>
      </w:r>
      <w:r w:rsidRPr="00142305">
        <w:rPr>
          <w:rFonts w:ascii="Times New Roman" w:hAnsi="Times New Roman"/>
          <w:color w:val="0070C0"/>
          <w:sz w:val="16"/>
          <w:szCs w:val="16"/>
        </w:rPr>
        <w:softHyphen/>
        <w:t>вращаясь с маневров, он со всеми находившимися на борту людьми разбился из-за отказа двигателя (25004).</w:t>
      </w:r>
    </w:p>
    <w:p w14:paraId="6B66B8B3" w14:textId="77777777" w:rsidR="00F61DC5" w:rsidRPr="00142305" w:rsidRDefault="00F61DC5" w:rsidP="00F61DC5">
      <w:pPr>
        <w:spacing w:after="0" w:line="240" w:lineRule="auto"/>
        <w:jc w:val="both"/>
        <w:rPr>
          <w:rFonts w:ascii="Times New Roman" w:hAnsi="Times New Roman"/>
          <w:color w:val="0070C0"/>
          <w:sz w:val="16"/>
          <w:szCs w:val="16"/>
        </w:rPr>
      </w:pPr>
    </w:p>
    <w:p w14:paraId="5EC89C18" w14:textId="77777777" w:rsidR="00F61DC5" w:rsidRPr="00142305" w:rsidRDefault="00F61DC5" w:rsidP="00F61DC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15 ав</w:t>
      </w:r>
      <w:r w:rsidRPr="00142305">
        <w:rPr>
          <w:rStyle w:val="aff"/>
          <w:rFonts w:ascii="Times New Roman" w:hAnsi="Times New Roman" w:cs="Times New Roman"/>
          <w:color w:val="0070C0"/>
          <w:spacing w:val="0"/>
          <w:sz w:val="16"/>
          <w:szCs w:val="16"/>
        </w:rPr>
        <w:softHyphen/>
        <w:t>густа 1933 г. (протокол №143) состоялось решение Политбюро ЦК ВКП(б), согласно которому</w:t>
      </w:r>
      <w:r w:rsidRPr="00142305">
        <w:rPr>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 xml:space="preserve">отряд кораблей МСЧМ с 17 октября по 7 ноября совершал </w:t>
      </w:r>
      <w:r w:rsidRPr="00142305">
        <w:rPr>
          <w:rStyle w:val="aff"/>
          <w:rFonts w:ascii="Times New Roman" w:eastAsia="Segoe UI" w:hAnsi="Times New Roman" w:cs="Times New Roman"/>
          <w:color w:val="0070C0"/>
          <w:spacing w:val="0"/>
          <w:sz w:val="16"/>
          <w:szCs w:val="16"/>
        </w:rPr>
        <w:t>«учебный поход после окончания летней учебы»</w:t>
      </w:r>
      <w:r w:rsidRPr="00142305">
        <w:rPr>
          <w:rStyle w:val="aff"/>
          <w:rFonts w:ascii="Times New Roman" w:hAnsi="Times New Roman" w:cs="Times New Roman"/>
          <w:color w:val="0070C0"/>
          <w:spacing w:val="0"/>
          <w:sz w:val="16"/>
          <w:szCs w:val="16"/>
        </w:rPr>
        <w:t xml:space="preserve"> в Средиземное море с заходом в Турцию, Грецию (Пирей) и Италию (Неаполь).</w:t>
      </w:r>
    </w:p>
    <w:p w14:paraId="5119224E" w14:textId="77777777" w:rsidR="00F61DC5" w:rsidRPr="00142305" w:rsidRDefault="00F61DC5" w:rsidP="00F61DC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Средиземноморский поход возглавля</w:t>
      </w:r>
      <w:r w:rsidRPr="00142305">
        <w:rPr>
          <w:rStyle w:val="aff"/>
          <w:rFonts w:ascii="Times New Roman" w:hAnsi="Times New Roman" w:cs="Times New Roman"/>
          <w:color w:val="0070C0"/>
          <w:spacing w:val="0"/>
          <w:sz w:val="16"/>
          <w:szCs w:val="16"/>
        </w:rPr>
        <w:softHyphen/>
        <w:t>ли командир бригады крейсеров Ю.Ф. Ралль (крейсер «Красный Кавказ» – к‑р Н.Ф. Заяц, военком П.И. Лаухин; эсминцы «Петров</w:t>
      </w:r>
      <w:r w:rsidRPr="00142305">
        <w:rPr>
          <w:rStyle w:val="aff"/>
          <w:rFonts w:ascii="Times New Roman" w:hAnsi="Times New Roman" w:cs="Times New Roman"/>
          <w:color w:val="0070C0"/>
          <w:spacing w:val="0"/>
          <w:sz w:val="16"/>
          <w:szCs w:val="16"/>
        </w:rPr>
        <w:softHyphen/>
        <w:t>ский» – к‑р К.В. Шиконов, военком П.Я. Сарин и «Шаумян» – к‑р А.И. Заяц, военком Д.С. Семе</w:t>
      </w:r>
      <w:r w:rsidRPr="00142305">
        <w:rPr>
          <w:rStyle w:val="aff"/>
          <w:rFonts w:ascii="Times New Roman" w:hAnsi="Times New Roman" w:cs="Times New Roman"/>
          <w:color w:val="0070C0"/>
          <w:spacing w:val="0"/>
          <w:sz w:val="16"/>
          <w:szCs w:val="16"/>
        </w:rPr>
        <w:softHyphen/>
        <w:t>нов) и командир 1‑й бригады подводных ло</w:t>
      </w:r>
      <w:r w:rsidRPr="00142305">
        <w:rPr>
          <w:rStyle w:val="aff"/>
          <w:rFonts w:ascii="Times New Roman" w:hAnsi="Times New Roman" w:cs="Times New Roman"/>
          <w:color w:val="0070C0"/>
          <w:spacing w:val="0"/>
          <w:sz w:val="16"/>
          <w:szCs w:val="16"/>
        </w:rPr>
        <w:softHyphen/>
        <w:t>док (ПЛ) Г.В. Васильев (ПЛ «Революционер» – к‑р Н.К. Моралев, военком И.Т. Александров; «Спартаковец» – к‑р Е.А. Воеводин, военком П.И. Поручиков и «Якобинец» – к‑р И.Д. Куле</w:t>
      </w:r>
      <w:r w:rsidRPr="00142305">
        <w:rPr>
          <w:rStyle w:val="aff"/>
          <w:rFonts w:ascii="Times New Roman" w:hAnsi="Times New Roman" w:cs="Times New Roman"/>
          <w:color w:val="0070C0"/>
          <w:spacing w:val="0"/>
          <w:sz w:val="16"/>
          <w:szCs w:val="16"/>
        </w:rPr>
        <w:softHyphen/>
        <w:t>шов, военком В.Я. Новинский) (25103).</w:t>
      </w:r>
    </w:p>
    <w:p w14:paraId="4C45DF28" w14:textId="77777777" w:rsidR="00F61DC5" w:rsidRPr="00142305" w:rsidRDefault="00F61DC5" w:rsidP="00F61DC5">
      <w:pPr>
        <w:spacing w:after="0" w:line="240" w:lineRule="auto"/>
        <w:jc w:val="both"/>
        <w:rPr>
          <w:rFonts w:ascii="Times New Roman" w:hAnsi="Times New Roman"/>
          <w:color w:val="0070C0"/>
          <w:sz w:val="16"/>
          <w:szCs w:val="16"/>
        </w:rPr>
      </w:pPr>
    </w:p>
    <w:p w14:paraId="450240DC" w14:textId="77777777" w:rsidR="00217870" w:rsidRPr="0044524F" w:rsidRDefault="00217870" w:rsidP="009654CF">
      <w:pPr>
        <w:pStyle w:val="rtejustify"/>
        <w:spacing w:before="0" w:after="0"/>
        <w:rPr>
          <w:color w:val="000000" w:themeColor="text1"/>
          <w:sz w:val="16"/>
          <w:szCs w:val="16"/>
        </w:rPr>
      </w:pPr>
      <w:r w:rsidRPr="0044524F">
        <w:rPr>
          <w:rStyle w:val="af0"/>
          <w:bCs/>
          <w:i w:val="0"/>
          <w:color w:val="000000" w:themeColor="text1"/>
          <w:sz w:val="16"/>
          <w:szCs w:val="16"/>
        </w:rPr>
        <w:t>15 августа</w:t>
      </w:r>
      <w:r w:rsidRPr="0044524F">
        <w:rPr>
          <w:color w:val="000000" w:themeColor="text1"/>
          <w:sz w:val="16"/>
          <w:szCs w:val="16"/>
        </w:rPr>
        <w:t xml:space="preserve"> 1933. Постановление СТО СССР № 75сс/о «Об источниках финансирования затрат, связанных с развитием военно-морских баз и аэродромного строительства на Черном море». (ГА РФ. Ф. Р</w:t>
      </w:r>
      <w:r w:rsidRPr="0044524F">
        <w:rPr>
          <w:color w:val="000000" w:themeColor="text1"/>
          <w:sz w:val="16"/>
          <w:szCs w:val="16"/>
        </w:rPr>
        <w:noBreakHyphen/>
        <w:t>8418. Оп. 28. Д. 2. Л. 111) (15460).</w:t>
      </w:r>
    </w:p>
    <w:p w14:paraId="027F1C55" w14:textId="77777777" w:rsidR="00217870" w:rsidRPr="0044524F" w:rsidRDefault="00217870" w:rsidP="009654CF">
      <w:pPr>
        <w:pStyle w:val="rtejustify"/>
        <w:spacing w:before="0" w:after="0"/>
        <w:rPr>
          <w:color w:val="000000" w:themeColor="text1"/>
          <w:sz w:val="16"/>
          <w:szCs w:val="16"/>
        </w:rPr>
      </w:pPr>
    </w:p>
    <w:p w14:paraId="616E9C47"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B6E40DC" w14:textId="77777777" w:rsidR="0092497E" w:rsidRPr="0044524F" w:rsidRDefault="0092497E" w:rsidP="009654CF">
      <w:pPr>
        <w:spacing w:after="0" w:line="240" w:lineRule="auto"/>
        <w:jc w:val="both"/>
        <w:rPr>
          <w:rFonts w:ascii="Times New Roman" w:hAnsi="Times New Roman"/>
          <w:iCs/>
          <w:color w:val="000000" w:themeColor="text1"/>
          <w:sz w:val="16"/>
          <w:szCs w:val="16"/>
        </w:rPr>
      </w:pPr>
    </w:p>
    <w:p w14:paraId="7FBB2C6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вышел доклад ГПУ, согласно которому только в первой половине августа было 22 антисоветские демонстрации на Украине (10687).</w:t>
      </w:r>
    </w:p>
    <w:p w14:paraId="4AA4898C"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253D9701" w14:textId="77777777" w:rsidR="005966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6D6BE5B" w14:textId="77777777" w:rsidR="0059665B" w:rsidRPr="0044524F" w:rsidRDefault="0059665B" w:rsidP="009654CF">
      <w:pPr>
        <w:spacing w:after="0" w:line="240" w:lineRule="auto"/>
        <w:jc w:val="both"/>
        <w:rPr>
          <w:rFonts w:ascii="Times New Roman" w:hAnsi="Times New Roman"/>
          <w:iCs/>
          <w:color w:val="000000" w:themeColor="text1"/>
          <w:sz w:val="16"/>
          <w:szCs w:val="16"/>
        </w:rPr>
      </w:pPr>
    </w:p>
    <w:p w14:paraId="37517D5B" w14:textId="77777777" w:rsidR="0059665B" w:rsidRPr="0044524F" w:rsidRDefault="005966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середины августа 1933 после ремонта продолжились испытания Сталь-6 (15844).</w:t>
      </w:r>
    </w:p>
    <w:p w14:paraId="4C42CCCC" w14:textId="77777777" w:rsidR="0059665B" w:rsidRPr="0044524F" w:rsidRDefault="0059665B" w:rsidP="009654CF">
      <w:pPr>
        <w:spacing w:after="0" w:line="240" w:lineRule="auto"/>
        <w:jc w:val="both"/>
        <w:rPr>
          <w:rFonts w:ascii="Times New Roman" w:hAnsi="Times New Roman"/>
          <w:color w:val="000000" w:themeColor="text1"/>
          <w:sz w:val="16"/>
          <w:szCs w:val="16"/>
        </w:rPr>
      </w:pPr>
    </w:p>
    <w:p w14:paraId="39B7858D" w14:textId="77777777" w:rsidR="00223C0C" w:rsidRPr="0044524F" w:rsidRDefault="00223C0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середине августа 1933 после ремонта поврежденных подкрыльевых костылей продолжили заводские испытания Сталь-6.</w:t>
      </w:r>
    </w:p>
    <w:p w14:paraId="508B4B16" w14:textId="77777777" w:rsidR="00223C0C" w:rsidRPr="0044524F" w:rsidRDefault="00223C0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процессе заводских испытаний, проводившихся краснознамённым лётчиком т. Юмашевым, „Сталь-6“ совершил 16 полётов, целиком оправдавших применение технических нововведений и показавших высокие лётные качества самолёта. Достигнутая скорость 400 клм. в час, не являясь максимальной для этого самолёта, ставит всесоюзный рекорд» </w:t>
      </w:r>
      <w:hyperlink r:id="rId305" w:history="1">
        <w:r w:rsidRPr="0044524F">
          <w:rPr>
            <w:rFonts w:ascii="Times New Roman" w:eastAsia="Times New Roman" w:hAnsi="Times New Roman"/>
            <w:color w:val="000000" w:themeColor="text1"/>
            <w:sz w:val="16"/>
            <w:szCs w:val="16"/>
            <w:lang w:eastAsia="ru-RU"/>
          </w:rPr>
          <w:t>[117]</w:t>
        </w:r>
      </w:hyperlink>
      <w:r w:rsidRPr="0044524F">
        <w:rPr>
          <w:rFonts w:ascii="Times New Roman" w:eastAsia="Times New Roman" w:hAnsi="Times New Roman"/>
          <w:color w:val="000000" w:themeColor="text1"/>
          <w:sz w:val="16"/>
          <w:szCs w:val="16"/>
          <w:lang w:eastAsia="ru-RU"/>
        </w:rPr>
        <w:t xml:space="preserve"> (17489).</w:t>
      </w:r>
    </w:p>
    <w:p w14:paraId="0ACC752B" w14:textId="77777777" w:rsidR="00223C0C" w:rsidRPr="0044524F" w:rsidRDefault="00223C0C" w:rsidP="009654CF">
      <w:pPr>
        <w:spacing w:after="0" w:line="240" w:lineRule="auto"/>
        <w:jc w:val="both"/>
        <w:rPr>
          <w:rFonts w:ascii="Times New Roman" w:eastAsia="Times New Roman" w:hAnsi="Times New Roman"/>
          <w:color w:val="000000" w:themeColor="text1"/>
          <w:sz w:val="16"/>
          <w:szCs w:val="16"/>
          <w:lang w:eastAsia="ru-RU"/>
        </w:rPr>
      </w:pPr>
    </w:p>
    <w:p w14:paraId="60B7B4DB"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2A22548" w14:textId="77777777" w:rsidR="0092497E" w:rsidRPr="0044524F" w:rsidRDefault="0092497E" w:rsidP="009654CF">
      <w:pPr>
        <w:spacing w:after="0" w:line="240" w:lineRule="auto"/>
        <w:jc w:val="both"/>
        <w:rPr>
          <w:rFonts w:ascii="Times New Roman" w:hAnsi="Times New Roman"/>
          <w:iCs/>
          <w:color w:val="000000" w:themeColor="text1"/>
          <w:sz w:val="16"/>
          <w:szCs w:val="16"/>
        </w:rPr>
      </w:pPr>
    </w:p>
    <w:p w14:paraId="217CE7F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августа 1933 года начальник НИИ ВВС Зильберт писал письмо N сс 00916 начальнику материально-технического снабжения ВВС Жарову.</w:t>
      </w:r>
    </w:p>
    <w:p w14:paraId="4FDBBA0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 по испытанию облегченного самолета ТБ3-4М17 на определение радиуса действия и бомбовой нагрузки самолета</w:t>
      </w:r>
    </w:p>
    <w:p w14:paraId="3B7CCAC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3D7D0B0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испытания самолета Лосюков</w:t>
      </w:r>
    </w:p>
    <w:p w14:paraId="011C6B8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Юмашев</w:t>
      </w:r>
    </w:p>
    <w:p w14:paraId="3A56C48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2DBF6E9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2402E84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E95DFE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Резкое увеличение радиуса действия и бомбовой нагрузки самолета ТБ3-4М17 повышает во много раз боевую отдачу тяжелой бомбардировочной авиации ВВС и подлежит скорейшему освоению строевыми частями. (3061,18-27).</w:t>
      </w:r>
    </w:p>
    <w:p w14:paraId="76BC9C21"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3CBE82B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августа 1933 вышел приказ ГУАП N 13/327:</w:t>
      </w:r>
    </w:p>
    <w:p w14:paraId="73A89EE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связи с передачей производства самолета Р-6 с завода 31 на завод 22...." П.И.Б. (2290,42).</w:t>
      </w:r>
    </w:p>
    <w:p w14:paraId="26E6207A"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6578A04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августа 1933 вышел приказ ГУАП N 13/328:</w:t>
      </w:r>
    </w:p>
    <w:p w14:paraId="5FAA2B05"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передачей внедрения и производства самолета ТБ-4 на завод 18:</w:t>
      </w:r>
    </w:p>
    <w:p w14:paraId="1E414D7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Директору завода 22 подготовить к сдаче заводу 18...." П.И.Б. (2290,43).</w:t>
      </w:r>
    </w:p>
    <w:p w14:paraId="4A4672C0"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0BAD0E63"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16 августа по 4 сентября 1933 проходили испытания автожира «4А» с мотором М-26 300 НР (6646).</w:t>
      </w:r>
    </w:p>
    <w:p w14:paraId="090DAF41"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6D09086F"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Бронин</w:t>
      </w:r>
    </w:p>
    <w:p w14:paraId="0E957088"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Тихонов</w:t>
      </w:r>
    </w:p>
    <w:p w14:paraId="160ABB98"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Летнаб Агишев</w:t>
      </w:r>
    </w:p>
    <w:p w14:paraId="34CB73D0"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7C26B1E0" w14:textId="77777777" w:rsidR="0092497E" w:rsidRPr="0044524F" w:rsidRDefault="0092497E" w:rsidP="009654CF">
      <w:pPr>
        <w:numPr>
          <w:ilvl w:val="0"/>
          <w:numId w:val="24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Снятие летной характеристики.</w:t>
      </w:r>
    </w:p>
    <w:p w14:paraId="7382CADE" w14:textId="77777777" w:rsidR="0092497E" w:rsidRPr="0044524F" w:rsidRDefault="0092497E" w:rsidP="009654CF">
      <w:pPr>
        <w:numPr>
          <w:ilvl w:val="0"/>
          <w:numId w:val="24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свойств и особенностей пилотирования автожира, как особого типа летательного аппарата.</w:t>
      </w:r>
    </w:p>
    <w:p w14:paraId="7BADA772"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4FFDC9E8" w14:textId="77777777" w:rsidR="0092497E" w:rsidRPr="0044524F" w:rsidRDefault="0092497E" w:rsidP="009654CF">
      <w:pPr>
        <w:pStyle w:val="31"/>
        <w:widowControl/>
        <w:numPr>
          <w:ilvl w:val="0"/>
          <w:numId w:val="249"/>
        </w:numPr>
        <w:tabs>
          <w:tab w:val="left" w:pos="360"/>
          <w:tab w:val="left" w:pos="11199"/>
        </w:tabs>
        <w:ind w:left="0" w:firstLine="0"/>
        <w:jc w:val="both"/>
        <w:rPr>
          <w:color w:val="000000" w:themeColor="text1"/>
        </w:rPr>
      </w:pPr>
      <w:r w:rsidRPr="0044524F">
        <w:rPr>
          <w:color w:val="000000" w:themeColor="text1"/>
        </w:rPr>
        <w:t>Серия автожиров завода № 43 на основании испытания головной машины А-4 М-26 № 4301 может быть допущена для передачи в строевые части с целью ознакомления с особенностями пилотирования и эксплуатации автожиров.</w:t>
      </w:r>
    </w:p>
    <w:p w14:paraId="5637AF1C" w14:textId="77777777" w:rsidR="0092497E" w:rsidRPr="0044524F" w:rsidRDefault="0092497E" w:rsidP="009654CF">
      <w:pPr>
        <w:numPr>
          <w:ilvl w:val="0"/>
          <w:numId w:val="25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на автожире установлен мотор М-26 обладающий скверными эксплуатационными данными, поскольку автожир А-4 имеет нескладывающийся ротор, выявил недостаточную устойчивость и взлетные свойства, считать нецелесообразным данный тип автожира строить сверх указанной уже серии.</w:t>
      </w:r>
    </w:p>
    <w:p w14:paraId="3145993E" w14:textId="77777777" w:rsidR="0092497E" w:rsidRPr="0044524F" w:rsidRDefault="0092497E" w:rsidP="009654CF">
      <w:pPr>
        <w:numPr>
          <w:ilvl w:val="0"/>
          <w:numId w:val="25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Форсировать передачу на гос. испытания А-6 М-11, как обладающего рядом эксплуатационных преимуществ перед А-4, а именно складывающийся ротор и крылья, свободно махающие лопасти и надежный мотор М-11.</w:t>
      </w:r>
    </w:p>
    <w:p w14:paraId="5614B1B8"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 автожира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08A48DD0" w14:textId="77777777">
        <w:tc>
          <w:tcPr>
            <w:tcW w:w="5636" w:type="dxa"/>
          </w:tcPr>
          <w:p w14:paraId="72F2C3A5"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августа 1933 года</w:t>
            </w:r>
          </w:p>
        </w:tc>
        <w:tc>
          <w:tcPr>
            <w:tcW w:w="5636" w:type="dxa"/>
          </w:tcPr>
          <w:p w14:paraId="66488F0B"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принят на испытания. Проведено 2 приемных полета и перелет из Москвы в Щелково.</w:t>
            </w:r>
          </w:p>
        </w:tc>
      </w:tr>
      <w:tr w:rsidR="004E10C1" w:rsidRPr="0044524F" w14:paraId="4CCD72C6" w14:textId="77777777">
        <w:tc>
          <w:tcPr>
            <w:tcW w:w="5636" w:type="dxa"/>
          </w:tcPr>
          <w:p w14:paraId="2BE11EDC"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года</w:t>
            </w:r>
          </w:p>
        </w:tc>
        <w:tc>
          <w:tcPr>
            <w:tcW w:w="5636" w:type="dxa"/>
          </w:tcPr>
          <w:p w14:paraId="76699D88"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тренировочных полетов.</w:t>
            </w:r>
          </w:p>
        </w:tc>
      </w:tr>
      <w:tr w:rsidR="004E10C1" w:rsidRPr="0044524F" w14:paraId="678C56BF" w14:textId="77777777">
        <w:tc>
          <w:tcPr>
            <w:tcW w:w="5636" w:type="dxa"/>
          </w:tcPr>
          <w:p w14:paraId="00B90640"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года</w:t>
            </w:r>
          </w:p>
        </w:tc>
        <w:tc>
          <w:tcPr>
            <w:tcW w:w="5636" w:type="dxa"/>
          </w:tcPr>
          <w:p w14:paraId="55318371"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Демонстрационный полет.</w:t>
            </w:r>
          </w:p>
        </w:tc>
      </w:tr>
      <w:tr w:rsidR="004E10C1" w:rsidRPr="0044524F" w14:paraId="15784B97" w14:textId="77777777">
        <w:tc>
          <w:tcPr>
            <w:tcW w:w="5636" w:type="dxa"/>
          </w:tcPr>
          <w:p w14:paraId="0DE8DABF"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августа 1933 года</w:t>
            </w:r>
          </w:p>
        </w:tc>
        <w:tc>
          <w:tcPr>
            <w:tcW w:w="5636" w:type="dxa"/>
          </w:tcPr>
          <w:p w14:paraId="391C8071"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полета на километраж.</w:t>
            </w:r>
          </w:p>
        </w:tc>
      </w:tr>
      <w:tr w:rsidR="004E10C1" w:rsidRPr="0044524F" w14:paraId="75200F5A" w14:textId="77777777">
        <w:tc>
          <w:tcPr>
            <w:tcW w:w="5636" w:type="dxa"/>
          </w:tcPr>
          <w:p w14:paraId="42F89FD8"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года</w:t>
            </w:r>
          </w:p>
        </w:tc>
        <w:tc>
          <w:tcPr>
            <w:tcW w:w="5636" w:type="dxa"/>
          </w:tcPr>
          <w:p w14:paraId="5718FFF4"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полетов на выяснение взлетно-посадочных свойств самолета.</w:t>
            </w:r>
          </w:p>
        </w:tc>
      </w:tr>
      <w:tr w:rsidR="004E10C1" w:rsidRPr="0044524F" w14:paraId="5D2D4BF1" w14:textId="77777777">
        <w:tc>
          <w:tcPr>
            <w:tcW w:w="5636" w:type="dxa"/>
          </w:tcPr>
          <w:p w14:paraId="69F9D61F"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августа 1933 года</w:t>
            </w:r>
          </w:p>
        </w:tc>
        <w:tc>
          <w:tcPr>
            <w:tcW w:w="5636" w:type="dxa"/>
          </w:tcPr>
          <w:p w14:paraId="309848CA"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полета на устойчивость на 1500 м.</w:t>
            </w:r>
          </w:p>
        </w:tc>
      </w:tr>
      <w:tr w:rsidR="004E10C1" w:rsidRPr="0044524F" w14:paraId="3776E47D" w14:textId="77777777">
        <w:tc>
          <w:tcPr>
            <w:tcW w:w="5636" w:type="dxa"/>
          </w:tcPr>
          <w:p w14:paraId="2DC73F3C"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p>
        </w:tc>
        <w:tc>
          <w:tcPr>
            <w:tcW w:w="5636" w:type="dxa"/>
          </w:tcPr>
          <w:p w14:paraId="4FD19CBD"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зубцы с летнабом.</w:t>
            </w:r>
          </w:p>
        </w:tc>
      </w:tr>
    </w:tbl>
    <w:p w14:paraId="6728637A"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дальнейшие полеты произведены с летнабом.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2DFD2A3D" w14:textId="77777777">
        <w:tc>
          <w:tcPr>
            <w:tcW w:w="5636" w:type="dxa"/>
          </w:tcPr>
          <w:p w14:paraId="137D37E2"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 1933 года</w:t>
            </w:r>
          </w:p>
        </w:tc>
        <w:tc>
          <w:tcPr>
            <w:tcW w:w="5636" w:type="dxa"/>
          </w:tcPr>
          <w:p w14:paraId="45D5968B"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зубцы.</w:t>
            </w:r>
          </w:p>
        </w:tc>
      </w:tr>
      <w:tr w:rsidR="004E10C1" w:rsidRPr="0044524F" w14:paraId="3D4B839A" w14:textId="77777777">
        <w:tc>
          <w:tcPr>
            <w:tcW w:w="5636" w:type="dxa"/>
          </w:tcPr>
          <w:p w14:paraId="644A3489"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августа 1933 года</w:t>
            </w:r>
          </w:p>
        </w:tc>
        <w:tc>
          <w:tcPr>
            <w:tcW w:w="5636" w:type="dxa"/>
          </w:tcPr>
          <w:p w14:paraId="0DCE4576"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зубцы на 3500 м.</w:t>
            </w:r>
          </w:p>
        </w:tc>
      </w:tr>
      <w:tr w:rsidR="004E10C1" w:rsidRPr="0044524F" w14:paraId="77FB3851" w14:textId="77777777">
        <w:tc>
          <w:tcPr>
            <w:tcW w:w="5636" w:type="dxa"/>
          </w:tcPr>
          <w:p w14:paraId="15048C94"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года</w:t>
            </w:r>
          </w:p>
        </w:tc>
        <w:tc>
          <w:tcPr>
            <w:tcW w:w="5636" w:type="dxa"/>
          </w:tcPr>
          <w:p w14:paraId="6A91D73D"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маневренность и управляемость на 1000 м и 2000 м.</w:t>
            </w:r>
          </w:p>
        </w:tc>
      </w:tr>
      <w:tr w:rsidR="004E10C1" w:rsidRPr="0044524F" w14:paraId="5737AD6E" w14:textId="77777777">
        <w:tc>
          <w:tcPr>
            <w:tcW w:w="5636" w:type="dxa"/>
          </w:tcPr>
          <w:p w14:paraId="7BAC709C"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года</w:t>
            </w:r>
          </w:p>
        </w:tc>
        <w:tc>
          <w:tcPr>
            <w:tcW w:w="5636" w:type="dxa"/>
          </w:tcPr>
          <w:p w14:paraId="2169142C"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 (с летнабом).</w:t>
            </w:r>
          </w:p>
        </w:tc>
      </w:tr>
      <w:tr w:rsidR="004E10C1" w:rsidRPr="0044524F" w14:paraId="5FD68A03" w14:textId="77777777">
        <w:tc>
          <w:tcPr>
            <w:tcW w:w="5636" w:type="dxa"/>
          </w:tcPr>
          <w:p w14:paraId="0E053FD0"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года</w:t>
            </w:r>
          </w:p>
        </w:tc>
        <w:tc>
          <w:tcPr>
            <w:tcW w:w="5636" w:type="dxa"/>
          </w:tcPr>
          <w:p w14:paraId="7A6DC2C9"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 (1 пилот).</w:t>
            </w:r>
          </w:p>
        </w:tc>
      </w:tr>
      <w:tr w:rsidR="004E10C1" w:rsidRPr="0044524F" w14:paraId="358A288E" w14:textId="77777777">
        <w:tc>
          <w:tcPr>
            <w:tcW w:w="5636" w:type="dxa"/>
          </w:tcPr>
          <w:p w14:paraId="44796BA2"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августа 1933 года</w:t>
            </w:r>
          </w:p>
        </w:tc>
        <w:tc>
          <w:tcPr>
            <w:tcW w:w="5636" w:type="dxa"/>
          </w:tcPr>
          <w:p w14:paraId="0122F7D4"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и потолок.</w:t>
            </w:r>
          </w:p>
        </w:tc>
      </w:tr>
      <w:tr w:rsidR="004E10C1" w:rsidRPr="0044524F" w14:paraId="5326BBAB" w14:textId="77777777">
        <w:tc>
          <w:tcPr>
            <w:tcW w:w="5636" w:type="dxa"/>
          </w:tcPr>
          <w:p w14:paraId="10428D55"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5636" w:type="dxa"/>
          </w:tcPr>
          <w:p w14:paraId="6434A83B"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маневренность и устойчивость.</w:t>
            </w:r>
          </w:p>
        </w:tc>
      </w:tr>
      <w:tr w:rsidR="004E10C1" w:rsidRPr="0044524F" w14:paraId="1CE99075" w14:textId="77777777">
        <w:tc>
          <w:tcPr>
            <w:tcW w:w="5636" w:type="dxa"/>
          </w:tcPr>
          <w:p w14:paraId="0FFA7FF7"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5636" w:type="dxa"/>
          </w:tcPr>
          <w:p w14:paraId="180BEF57"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полетов на определение взлетно-посадочных свойств, определение траектории взлета и посадки.</w:t>
            </w:r>
          </w:p>
        </w:tc>
      </w:tr>
      <w:tr w:rsidR="004E10C1" w:rsidRPr="0044524F" w14:paraId="2D1A0507" w14:textId="77777777">
        <w:tc>
          <w:tcPr>
            <w:tcW w:w="5636" w:type="dxa"/>
          </w:tcPr>
          <w:p w14:paraId="4757A6A7"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сентября 1933 года</w:t>
            </w:r>
          </w:p>
        </w:tc>
        <w:tc>
          <w:tcPr>
            <w:tcW w:w="5636" w:type="dxa"/>
          </w:tcPr>
          <w:p w14:paraId="08A13FD2"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полета с перегрузкой в 53 кг на скороподъемность на 2000 м и горизонталь скорости по высотам и маневренность.</w:t>
            </w:r>
          </w:p>
        </w:tc>
      </w:tr>
      <w:tr w:rsidR="004E10C1" w:rsidRPr="0044524F" w14:paraId="4203EB12" w14:textId="77777777">
        <w:tc>
          <w:tcPr>
            <w:tcW w:w="5636" w:type="dxa"/>
          </w:tcPr>
          <w:p w14:paraId="5A3F97B0"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p>
        </w:tc>
        <w:tc>
          <w:tcPr>
            <w:tcW w:w="5636" w:type="dxa"/>
          </w:tcPr>
          <w:p w14:paraId="54AB12FA"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облетных полетов (2 выпущено).</w:t>
            </w:r>
          </w:p>
        </w:tc>
      </w:tr>
      <w:tr w:rsidR="004E10C1" w:rsidRPr="0044524F" w14:paraId="1AA8254F" w14:textId="77777777">
        <w:tc>
          <w:tcPr>
            <w:tcW w:w="5636" w:type="dxa"/>
          </w:tcPr>
          <w:p w14:paraId="2B5DDABF"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сентября 1933 года</w:t>
            </w:r>
          </w:p>
        </w:tc>
        <w:tc>
          <w:tcPr>
            <w:tcW w:w="5636" w:type="dxa"/>
          </w:tcPr>
          <w:p w14:paraId="4A9D969F"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облетных полетов (4 выпущено).</w:t>
            </w:r>
          </w:p>
        </w:tc>
      </w:tr>
    </w:tbl>
    <w:p w14:paraId="3FAC0F7B"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проведено в 14 дней (13 летных), проведено 69 полетов. Полетных часов – 20 час. 20 мин.</w:t>
      </w:r>
    </w:p>
    <w:p w14:paraId="46DABBF9"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технические и регулировочные данные автожира «4А»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062F7670" w14:textId="77777777">
        <w:tc>
          <w:tcPr>
            <w:tcW w:w="5636" w:type="dxa"/>
          </w:tcPr>
          <w:p w14:paraId="506A1493"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 выпуска</w:t>
            </w:r>
          </w:p>
        </w:tc>
        <w:tc>
          <w:tcPr>
            <w:tcW w:w="5636" w:type="dxa"/>
          </w:tcPr>
          <w:p w14:paraId="10A4326F"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r>
      <w:tr w:rsidR="004E10C1" w:rsidRPr="0044524F" w14:paraId="66A6B942" w14:textId="77777777">
        <w:tc>
          <w:tcPr>
            <w:tcW w:w="5636" w:type="dxa"/>
          </w:tcPr>
          <w:p w14:paraId="65DF5D4F"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Полный полетный вес</w:t>
            </w:r>
          </w:p>
        </w:tc>
        <w:tc>
          <w:tcPr>
            <w:tcW w:w="5636" w:type="dxa"/>
          </w:tcPr>
          <w:p w14:paraId="450B897F"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1391,4</w:t>
            </w:r>
          </w:p>
        </w:tc>
      </w:tr>
      <w:tr w:rsidR="004E10C1" w:rsidRPr="0044524F" w14:paraId="06AC3FF6" w14:textId="77777777">
        <w:tc>
          <w:tcPr>
            <w:tcW w:w="5636" w:type="dxa"/>
          </w:tcPr>
          <w:p w14:paraId="251DF6F0"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крыльев</w:t>
            </w:r>
          </w:p>
        </w:tc>
        <w:tc>
          <w:tcPr>
            <w:tcW w:w="5636" w:type="dxa"/>
          </w:tcPr>
          <w:p w14:paraId="0997267D"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6,72</w:t>
            </w:r>
          </w:p>
        </w:tc>
      </w:tr>
    </w:tbl>
    <w:p w14:paraId="191E7CD6"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Винты деревянные окованные (6646).</w:t>
      </w:r>
    </w:p>
    <w:p w14:paraId="41A7E79F"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p>
    <w:p w14:paraId="74A9F23D" w14:textId="77777777" w:rsidR="00986AFC" w:rsidRPr="0044524F" w:rsidRDefault="00986A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с 16 августа по 4 сентября 1933 г. первый се</w:t>
      </w:r>
      <w:r w:rsidRPr="0044524F">
        <w:rPr>
          <w:rFonts w:ascii="Times New Roman" w:hAnsi="Times New Roman"/>
          <w:color w:val="000000" w:themeColor="text1"/>
          <w:sz w:val="16"/>
          <w:szCs w:val="16"/>
        </w:rPr>
        <w:softHyphen/>
        <w:t>рийный А-4 киевского завода с заводским №4301 прохо</w:t>
      </w:r>
      <w:r w:rsidRPr="0044524F">
        <w:rPr>
          <w:rFonts w:ascii="Times New Roman" w:hAnsi="Times New Roman"/>
          <w:color w:val="000000" w:themeColor="text1"/>
          <w:sz w:val="16"/>
          <w:szCs w:val="16"/>
        </w:rPr>
        <w:softHyphen/>
        <w:t>дил госиспытания в НИИ ВВС. Вели испытания инженер Бронин, летчик Тихонов, летнаб Агишев. Всего за период испытаний совершили 69 успешных полетов без происше</w:t>
      </w:r>
      <w:r w:rsidRPr="0044524F">
        <w:rPr>
          <w:rFonts w:ascii="Times New Roman" w:hAnsi="Times New Roman"/>
          <w:color w:val="000000" w:themeColor="text1"/>
          <w:sz w:val="16"/>
          <w:szCs w:val="16"/>
        </w:rPr>
        <w:softHyphen/>
        <w:t>ствий.</w:t>
      </w:r>
    </w:p>
    <w:p w14:paraId="36BEF736" w14:textId="77777777" w:rsidR="00986AFC" w:rsidRPr="0044524F" w:rsidRDefault="00986A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Военные испытатели отметили вполне удовлетворитель</w:t>
      </w:r>
      <w:r w:rsidRPr="0044524F">
        <w:rPr>
          <w:rFonts w:ascii="Times New Roman" w:hAnsi="Times New Roman"/>
          <w:color w:val="000000" w:themeColor="text1"/>
          <w:sz w:val="16"/>
          <w:szCs w:val="16"/>
        </w:rPr>
        <w:softHyphen/>
        <w:t>ные летные данные советского А-4 при сравнении его с ав</w:t>
      </w:r>
      <w:r w:rsidRPr="0044524F">
        <w:rPr>
          <w:rFonts w:ascii="Times New Roman" w:hAnsi="Times New Roman"/>
          <w:color w:val="000000" w:themeColor="text1"/>
          <w:sz w:val="16"/>
          <w:szCs w:val="16"/>
        </w:rPr>
        <w:softHyphen/>
        <w:t>тожирами де ла Сиервы. Общее заключение было таково: крупных дефектов нет, поэтому нет препятствий для продол</w:t>
      </w:r>
      <w:r w:rsidRPr="0044524F">
        <w:rPr>
          <w:rFonts w:ascii="Times New Roman" w:hAnsi="Times New Roman"/>
          <w:color w:val="000000" w:themeColor="text1"/>
          <w:sz w:val="16"/>
          <w:szCs w:val="16"/>
        </w:rPr>
        <w:softHyphen/>
        <w:t>жения серийного производства. Пилотирование не представ ляет сложности, самостоятельно выпущено 7 человек. Да</w:t>
      </w:r>
      <w:r w:rsidRPr="0044524F">
        <w:rPr>
          <w:rFonts w:ascii="Times New Roman" w:hAnsi="Times New Roman"/>
          <w:color w:val="000000" w:themeColor="text1"/>
          <w:sz w:val="16"/>
          <w:szCs w:val="16"/>
        </w:rPr>
        <w:softHyphen/>
        <w:t>лее говорилось, что величина разбега не отличается от средних величин разбега самолетов и «тем самым сводит на нет основные преимущества автожира - способность взлетать и садиться с малых поверхностей». Принудитель</w:t>
      </w:r>
      <w:r w:rsidRPr="0044524F">
        <w:rPr>
          <w:rFonts w:ascii="Times New Roman" w:hAnsi="Times New Roman"/>
          <w:color w:val="000000" w:themeColor="text1"/>
          <w:sz w:val="16"/>
          <w:szCs w:val="16"/>
        </w:rPr>
        <w:softHyphen/>
        <w:t>ная раскрутка ротора перед взлетом существенного влия</w:t>
      </w:r>
      <w:r w:rsidRPr="0044524F">
        <w:rPr>
          <w:rFonts w:ascii="Times New Roman" w:hAnsi="Times New Roman"/>
          <w:color w:val="000000" w:themeColor="text1"/>
          <w:sz w:val="16"/>
          <w:szCs w:val="16"/>
        </w:rPr>
        <w:softHyphen/>
        <w:t>ния на изменение длины разбега не оказывала.</w:t>
      </w:r>
    </w:p>
    <w:p w14:paraId="571E9F91" w14:textId="77777777" w:rsidR="00986AFC" w:rsidRPr="0044524F" w:rsidRDefault="00986A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то, что А-4 имел недостаточную устойчи</w:t>
      </w:r>
      <w:r w:rsidRPr="0044524F">
        <w:rPr>
          <w:rFonts w:ascii="Times New Roman" w:hAnsi="Times New Roman"/>
          <w:color w:val="000000" w:themeColor="text1"/>
          <w:sz w:val="16"/>
          <w:szCs w:val="16"/>
        </w:rPr>
        <w:softHyphen/>
        <w:t>вость в полете и невысокие взлетные качества, построен</w:t>
      </w:r>
      <w:r w:rsidRPr="0044524F">
        <w:rPr>
          <w:rFonts w:ascii="Times New Roman" w:hAnsi="Times New Roman"/>
          <w:color w:val="000000" w:themeColor="text1"/>
          <w:sz w:val="16"/>
          <w:szCs w:val="16"/>
        </w:rPr>
        <w:softHyphen/>
        <w:t>ные экземпляры допустили для эксплуатации в строевых частях ВВС РККА. Однако серийное производство А-4 прекратили по причине малой надежности двигателя М-26. Кроме того, отмечалось, что ротор А-4 не складывается и транспортировка автожира наземным транспортом за</w:t>
      </w:r>
      <w:r w:rsidRPr="0044524F">
        <w:rPr>
          <w:rFonts w:ascii="Times New Roman" w:hAnsi="Times New Roman"/>
          <w:color w:val="000000" w:themeColor="text1"/>
          <w:sz w:val="16"/>
          <w:szCs w:val="16"/>
        </w:rPr>
        <w:softHyphen/>
        <w:t>труднена. В дальнейшем предлагалось форсировать пост</w:t>
      </w:r>
      <w:r w:rsidRPr="0044524F">
        <w:rPr>
          <w:rFonts w:ascii="Times New Roman" w:hAnsi="Times New Roman"/>
          <w:color w:val="000000" w:themeColor="text1"/>
          <w:sz w:val="16"/>
          <w:szCs w:val="16"/>
        </w:rPr>
        <w:softHyphen/>
        <w:t>ройку нового автожира А-6 с двигателем М-11 и склады</w:t>
      </w:r>
      <w:r w:rsidRPr="0044524F">
        <w:rPr>
          <w:rFonts w:ascii="Times New Roman" w:hAnsi="Times New Roman"/>
          <w:color w:val="000000" w:themeColor="text1"/>
          <w:sz w:val="16"/>
          <w:szCs w:val="16"/>
        </w:rPr>
        <w:softHyphen/>
        <w:t>вающимися лопастями ротора.</w:t>
      </w:r>
    </w:p>
    <w:p w14:paraId="4CDC6C6B" w14:textId="77777777" w:rsidR="00986AFC" w:rsidRPr="0044524F" w:rsidRDefault="00986AF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утверждении акта по испытаниям А-4 Начальник ВВС РККА Алкснис 20 октября 1933 г. приказал начальни</w:t>
      </w:r>
      <w:r w:rsidRPr="0044524F">
        <w:rPr>
          <w:rFonts w:ascii="Times New Roman" w:hAnsi="Times New Roman"/>
          <w:color w:val="000000" w:themeColor="text1"/>
          <w:sz w:val="16"/>
          <w:szCs w:val="16"/>
        </w:rPr>
        <w:softHyphen/>
        <w:t>ку Управления материально-технического снабжения ВВС принять построенную серию автожиров и распределить ее для эксплуатации в строевые части (20381).</w:t>
      </w:r>
    </w:p>
    <w:p w14:paraId="3F38308B" w14:textId="77777777" w:rsidR="00986AFC" w:rsidRPr="0044524F" w:rsidRDefault="00986AFC" w:rsidP="009654CF">
      <w:pPr>
        <w:shd w:val="clear" w:color="auto" w:fill="FFFFFF"/>
        <w:spacing w:after="0" w:line="240" w:lineRule="auto"/>
        <w:jc w:val="both"/>
        <w:rPr>
          <w:rFonts w:ascii="Times New Roman" w:hAnsi="Times New Roman"/>
          <w:color w:val="000000" w:themeColor="text1"/>
          <w:sz w:val="16"/>
          <w:szCs w:val="16"/>
        </w:rPr>
      </w:pPr>
    </w:p>
    <w:p w14:paraId="616D9C5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16 августа по 9 октября 1933 в Финском заливе в районе Толбухина маяка состоялись испытания улучшенных ТАВ-15. С одного ТБ-1 сбросили 4 болванки и две торпеды с ходом и 6 октября удачно сбросили торпеду с 1000 м при температуре -7. Приняли к производству как эталон на 1934 и Нач. ВВС приказал доработать имеющиеся торпеды (1966,12).</w:t>
      </w:r>
    </w:p>
    <w:p w14:paraId="4513D727"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1F35F870" w14:textId="77777777" w:rsidR="0007105E" w:rsidRPr="0044524F" w:rsidRDefault="000710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августа 1933 в 15.00 «СССР В-3» прибыл в Харь</w:t>
      </w:r>
      <w:r w:rsidRPr="0044524F">
        <w:rPr>
          <w:rFonts w:ascii="Times New Roman" w:hAnsi="Times New Roman"/>
          <w:color w:val="000000" w:themeColor="text1"/>
          <w:sz w:val="16"/>
          <w:szCs w:val="16"/>
        </w:rPr>
        <w:softHyphen/>
        <w:t>ков и, сбросив листовки, сел. Комитет, организо</w:t>
      </w:r>
      <w:r w:rsidRPr="0044524F">
        <w:rPr>
          <w:rFonts w:ascii="Times New Roman" w:hAnsi="Times New Roman"/>
          <w:color w:val="000000" w:themeColor="text1"/>
          <w:sz w:val="16"/>
          <w:szCs w:val="16"/>
        </w:rPr>
        <w:softHyphen/>
        <w:t>ванный для встречи дирижабля, провёл митинг, сопровождавшийся сбором средств на постройку эскадрильи им. Постышева. Дирижабль выпол</w:t>
      </w:r>
      <w:r w:rsidRPr="0044524F">
        <w:rPr>
          <w:rFonts w:ascii="Times New Roman" w:hAnsi="Times New Roman"/>
          <w:color w:val="000000" w:themeColor="text1"/>
          <w:sz w:val="16"/>
          <w:szCs w:val="16"/>
        </w:rPr>
        <w:softHyphen/>
        <w:t>нил также несколько агитационных полётов над Харьковом (20120).</w:t>
      </w:r>
    </w:p>
    <w:p w14:paraId="7488961C" w14:textId="77777777" w:rsidR="0007105E" w:rsidRPr="0044524F" w:rsidRDefault="0007105E" w:rsidP="009654CF">
      <w:pPr>
        <w:spacing w:after="0" w:line="240" w:lineRule="auto"/>
        <w:jc w:val="both"/>
        <w:rPr>
          <w:rFonts w:ascii="Times New Roman" w:hAnsi="Times New Roman"/>
          <w:color w:val="000000" w:themeColor="text1"/>
          <w:sz w:val="16"/>
          <w:szCs w:val="16"/>
        </w:rPr>
      </w:pPr>
    </w:p>
    <w:p w14:paraId="2531BE53"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05F30C0" w14:textId="77777777" w:rsidR="0092497E" w:rsidRPr="0044524F" w:rsidRDefault="0092497E" w:rsidP="009654CF">
      <w:pPr>
        <w:spacing w:after="0" w:line="240" w:lineRule="auto"/>
        <w:jc w:val="both"/>
        <w:rPr>
          <w:rFonts w:ascii="Times New Roman" w:hAnsi="Times New Roman"/>
          <w:iCs/>
          <w:color w:val="000000" w:themeColor="text1"/>
          <w:sz w:val="16"/>
          <w:szCs w:val="16"/>
        </w:rPr>
      </w:pPr>
    </w:p>
    <w:p w14:paraId="5EDDEADF" w14:textId="77777777" w:rsidR="0092497E" w:rsidRPr="0044524F" w:rsidRDefault="009249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августа 1933 года [4.112] заместитель НКТП Л.М. Каганович подписал устав предприятия и присвое</w:t>
      </w:r>
      <w:r w:rsidRPr="0044524F">
        <w:rPr>
          <w:rFonts w:ascii="Times New Roman" w:hAnsi="Times New Roman"/>
          <w:color w:val="000000" w:themeColor="text1"/>
          <w:sz w:val="16"/>
          <w:szCs w:val="16"/>
        </w:rPr>
        <w:softHyphen/>
        <w:t>ние ИМЗ нового названия: «Ижевский государственный мотоцик</w:t>
      </w:r>
      <w:r w:rsidRPr="0044524F">
        <w:rPr>
          <w:rFonts w:ascii="Times New Roman" w:hAnsi="Times New Roman"/>
          <w:color w:val="000000" w:themeColor="text1"/>
          <w:sz w:val="16"/>
          <w:szCs w:val="16"/>
        </w:rPr>
        <w:softHyphen/>
        <w:t>летный завод имени Всесоюзного общества АВТОДОР», а 2 сентября Наркомат финансов СССР зареги</w:t>
      </w:r>
      <w:r w:rsidRPr="0044524F">
        <w:rPr>
          <w:rFonts w:ascii="Times New Roman" w:hAnsi="Times New Roman"/>
          <w:color w:val="000000" w:themeColor="text1"/>
          <w:sz w:val="16"/>
          <w:szCs w:val="16"/>
        </w:rPr>
        <w:softHyphen/>
        <w:t>стрировал первый в стране завод серийного производства мотоцик</w:t>
      </w:r>
      <w:r w:rsidRPr="0044524F">
        <w:rPr>
          <w:rFonts w:ascii="Times New Roman" w:hAnsi="Times New Roman"/>
          <w:color w:val="000000" w:themeColor="text1"/>
          <w:sz w:val="16"/>
          <w:szCs w:val="16"/>
        </w:rPr>
        <w:softHyphen/>
        <w:t>лов. До конца года на его территории сдали в эксплуатацию тер</w:t>
      </w:r>
      <w:r w:rsidRPr="0044524F">
        <w:rPr>
          <w:rFonts w:ascii="Times New Roman" w:hAnsi="Times New Roman"/>
          <w:color w:val="000000" w:themeColor="text1"/>
          <w:sz w:val="16"/>
          <w:szCs w:val="16"/>
        </w:rPr>
        <w:softHyphen/>
        <w:t>мический цех, котельную и электроподстанцию [4.113]. В том же году заводу предоставили финансирование для развития производ</w:t>
      </w:r>
      <w:r w:rsidRPr="0044524F">
        <w:rPr>
          <w:rFonts w:ascii="Times New Roman" w:hAnsi="Times New Roman"/>
          <w:color w:val="000000" w:themeColor="text1"/>
          <w:sz w:val="16"/>
          <w:szCs w:val="16"/>
        </w:rPr>
        <w:softHyphen/>
        <w:t>ственной базы и запланировали на 1934 г. выпуск 400 экземпляров мотоциклов [4.114]. Руководству предприятия в тот период ещё не удалось организовать работу, следствием чего стало невыполне</w:t>
      </w:r>
      <w:r w:rsidRPr="0044524F">
        <w:rPr>
          <w:rFonts w:ascii="Times New Roman" w:hAnsi="Times New Roman"/>
          <w:color w:val="000000" w:themeColor="text1"/>
          <w:sz w:val="16"/>
          <w:szCs w:val="16"/>
        </w:rPr>
        <w:softHyphen/>
        <w:t>ние плана 1934 г. - изготовили всего 111 мотоциклов. Тем не ме</w:t>
      </w:r>
      <w:r w:rsidRPr="0044524F">
        <w:rPr>
          <w:rFonts w:ascii="Times New Roman" w:hAnsi="Times New Roman"/>
          <w:color w:val="000000" w:themeColor="text1"/>
          <w:sz w:val="16"/>
          <w:szCs w:val="16"/>
        </w:rPr>
        <w:softHyphen/>
        <w:t>нее, программу следующего года увеличили до 450 машин и пере</w:t>
      </w:r>
      <w:r w:rsidRPr="0044524F">
        <w:rPr>
          <w:rFonts w:ascii="Times New Roman" w:hAnsi="Times New Roman"/>
          <w:color w:val="000000" w:themeColor="text1"/>
          <w:sz w:val="16"/>
          <w:szCs w:val="16"/>
        </w:rPr>
        <w:softHyphen/>
        <w:t>выполнили её - сделали 451 мотоцикл, что рассматривалось как производственный успех [4.111].</w:t>
      </w:r>
    </w:p>
    <w:p w14:paraId="028864E7" w14:textId="77777777" w:rsidR="0092497E" w:rsidRPr="0044524F" w:rsidRDefault="009249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 важным представлялся 1936 год. Предстояло при</w:t>
      </w:r>
      <w:r w:rsidRPr="0044524F">
        <w:rPr>
          <w:rFonts w:ascii="Times New Roman" w:hAnsi="Times New Roman"/>
          <w:color w:val="000000" w:themeColor="text1"/>
          <w:sz w:val="16"/>
          <w:szCs w:val="16"/>
        </w:rPr>
        <w:softHyphen/>
        <w:t>нять новую конституцию, в связи с чем трудовые коллективы брали повышенные обязательства. Ижевский мотозавод не стал исключением: план на 1936 г. более чем удвоили - 1000 мотоцик</w:t>
      </w:r>
      <w:r w:rsidRPr="0044524F">
        <w:rPr>
          <w:rFonts w:ascii="Times New Roman" w:hAnsi="Times New Roman"/>
          <w:color w:val="000000" w:themeColor="text1"/>
          <w:sz w:val="16"/>
          <w:szCs w:val="16"/>
        </w:rPr>
        <w:softHyphen/>
        <w:t>лов. По оценкам директора предприятия сделать больше не пред</w:t>
      </w:r>
      <w:r w:rsidRPr="0044524F">
        <w:rPr>
          <w:rFonts w:ascii="Times New Roman" w:hAnsi="Times New Roman"/>
          <w:color w:val="000000" w:themeColor="text1"/>
          <w:sz w:val="16"/>
          <w:szCs w:val="16"/>
        </w:rPr>
        <w:softHyphen/>
        <w:t>ставлялось возможным, и план утвердили. Завод с большим на</w:t>
      </w:r>
      <w:r w:rsidRPr="0044524F">
        <w:rPr>
          <w:rFonts w:ascii="Times New Roman" w:hAnsi="Times New Roman"/>
          <w:color w:val="000000" w:themeColor="text1"/>
          <w:sz w:val="16"/>
          <w:szCs w:val="16"/>
        </w:rPr>
        <w:softHyphen/>
        <w:t>пряжением удваивал выпуск мотоциклов. Однако произошло не</w:t>
      </w:r>
      <w:r w:rsidRPr="0044524F">
        <w:rPr>
          <w:rFonts w:ascii="Times New Roman" w:hAnsi="Times New Roman"/>
          <w:color w:val="000000" w:themeColor="text1"/>
          <w:sz w:val="16"/>
          <w:szCs w:val="16"/>
        </w:rPr>
        <w:softHyphen/>
        <w:t xml:space="preserve">предвиденное: 5 августа 1936 г. во время посещения </w:t>
      </w:r>
      <w:r w:rsidRPr="0044524F">
        <w:rPr>
          <w:rFonts w:ascii="Times New Roman" w:hAnsi="Times New Roman"/>
          <w:color w:val="000000" w:themeColor="text1"/>
          <w:sz w:val="16"/>
          <w:szCs w:val="16"/>
        </w:rPr>
        <w:lastRenderedPageBreak/>
        <w:t>Г.К. Орджо</w:t>
      </w:r>
      <w:r w:rsidRPr="0044524F">
        <w:rPr>
          <w:rFonts w:ascii="Times New Roman" w:hAnsi="Times New Roman"/>
          <w:color w:val="000000" w:themeColor="text1"/>
          <w:sz w:val="16"/>
          <w:szCs w:val="16"/>
        </w:rPr>
        <w:softHyphen/>
        <w:t>никидзе делегации мотозавода (участницы женского мотопробе</w:t>
      </w:r>
      <w:r w:rsidRPr="0044524F">
        <w:rPr>
          <w:rFonts w:ascii="Times New Roman" w:hAnsi="Times New Roman"/>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44524F">
        <w:rPr>
          <w:rFonts w:ascii="Times New Roman" w:hAnsi="Times New Roman"/>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44524F">
        <w:rPr>
          <w:rFonts w:ascii="Times New Roman" w:hAnsi="Times New Roman"/>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44524F">
        <w:rPr>
          <w:rFonts w:ascii="Times New Roman" w:hAnsi="Times New Roman"/>
          <w:color w:val="000000" w:themeColor="text1"/>
          <w:sz w:val="16"/>
          <w:szCs w:val="16"/>
        </w:rPr>
        <w:softHyphen/>
        <w:t>но пришлось и смежникам, поставлявшим материалы и комплек</w:t>
      </w:r>
      <w:r w:rsidRPr="0044524F">
        <w:rPr>
          <w:rFonts w:ascii="Times New Roman" w:hAnsi="Times New Roman"/>
          <w:color w:val="000000" w:themeColor="text1"/>
          <w:sz w:val="16"/>
          <w:szCs w:val="16"/>
        </w:rPr>
        <w:softHyphen/>
        <w:t>тующие изделия. Чтобы справиться с этой задачей и сохранить трудовую честь коллектива ИжМЗ,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4593A565" w14:textId="77777777" w:rsidR="0092497E" w:rsidRPr="0044524F" w:rsidRDefault="009249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 трудное время конструкторы ИМЗ завершили разработ</w:t>
      </w:r>
      <w:r w:rsidRPr="0044524F">
        <w:rPr>
          <w:rFonts w:ascii="Times New Roman" w:hAnsi="Times New Roman"/>
          <w:color w:val="000000" w:themeColor="text1"/>
          <w:sz w:val="16"/>
          <w:szCs w:val="16"/>
        </w:rPr>
        <w:softHyphen/>
        <w:t>ку нового мотоцикла с более мощным мотором. На поршне убра</w:t>
      </w:r>
      <w:r w:rsidRPr="0044524F">
        <w:rPr>
          <w:rFonts w:ascii="Times New Roman" w:hAnsi="Times New Roman"/>
          <w:color w:val="000000" w:themeColor="text1"/>
          <w:sz w:val="16"/>
          <w:szCs w:val="16"/>
        </w:rPr>
        <w:softHyphen/>
        <w:t>ли дефлектор, применили возвратную двухканальную продувку цилиндра, вместо манетки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44524F">
        <w:rPr>
          <w:rFonts w:ascii="Times New Roman" w:hAnsi="Times New Roman"/>
          <w:color w:val="000000" w:themeColor="text1"/>
          <w:sz w:val="16"/>
          <w:szCs w:val="16"/>
        </w:rPr>
        <w:softHyphen/>
        <w:t>изводственной штурмовщины, связанной с выпуском 2 тыс. ма</w:t>
      </w:r>
      <w:r w:rsidRPr="0044524F">
        <w:rPr>
          <w:rFonts w:ascii="Times New Roman" w:hAnsi="Times New Roman"/>
          <w:color w:val="000000" w:themeColor="text1"/>
          <w:sz w:val="16"/>
          <w:szCs w:val="16"/>
        </w:rPr>
        <w:softHyphen/>
        <w:t>шин ИЖ-7, принимали участие конструкторы В.Е. Базик, Д.И. Зебзиев, К.М. Огнетов,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4C3CE55D" w14:textId="77777777" w:rsidR="0092497E" w:rsidRPr="0044524F" w:rsidRDefault="009249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не все машины смогли укомплектовать полностью. Не хватило 60 мотоцепей для привода заднего колеса, 140 манеток газа, - именно столько мотоциклов не удалось в срок пере</w:t>
      </w:r>
      <w:r w:rsidRPr="0044524F">
        <w:rPr>
          <w:rFonts w:ascii="Times New Roman" w:hAnsi="Times New Roman"/>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44524F">
        <w:rPr>
          <w:rFonts w:ascii="Times New Roman" w:hAnsi="Times New Roman"/>
          <w:color w:val="000000" w:themeColor="text1"/>
          <w:sz w:val="16"/>
          <w:szCs w:val="16"/>
        </w:rPr>
        <w:softHyphen/>
        <w:t>ктив ИжМЗ вызвал на соревнование трудящихся Подольского механического завода (ПМЗ) и обязался в следующем году изго</w:t>
      </w:r>
      <w:r w:rsidRPr="0044524F">
        <w:rPr>
          <w:rFonts w:ascii="Times New Roman" w:hAnsi="Times New Roman"/>
          <w:color w:val="000000" w:themeColor="text1"/>
          <w:sz w:val="16"/>
          <w:szCs w:val="16"/>
        </w:rPr>
        <w:softHyphen/>
        <w:t>товить 3 тыс. мотоциклов, из них 2 тыс. - машин ИЖ-8 [4.116]. Свои обязательства ИжМЗ выполнил: в 1937 г. изготовили ЗОЮ мотоциклов [4.111] (11429).</w:t>
      </w:r>
    </w:p>
    <w:p w14:paraId="5738112D" w14:textId="77777777" w:rsidR="0092497E" w:rsidRPr="0044524F" w:rsidRDefault="0092497E" w:rsidP="009654CF">
      <w:pPr>
        <w:shd w:val="clear" w:color="auto" w:fill="FFFFFF"/>
        <w:spacing w:after="0" w:line="240" w:lineRule="auto"/>
        <w:jc w:val="both"/>
        <w:rPr>
          <w:rFonts w:ascii="Times New Roman" w:hAnsi="Times New Roman"/>
          <w:color w:val="000000" w:themeColor="text1"/>
          <w:sz w:val="16"/>
          <w:szCs w:val="16"/>
        </w:rPr>
      </w:pPr>
    </w:p>
    <w:p w14:paraId="50916ED0" w14:textId="14A0CC6A" w:rsidR="00F61DC5" w:rsidRPr="0044524F" w:rsidRDefault="00F61DC5" w:rsidP="00F61DC5">
      <w:pPr>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44524F">
        <w:rPr>
          <w:rFonts w:ascii="Times New Roman" w:hAnsi="Times New Roman"/>
          <w:i/>
          <w:iCs/>
          <w:color w:val="000000" w:themeColor="text1"/>
          <w:sz w:val="16"/>
          <w:szCs w:val="16"/>
        </w:rPr>
        <w:t>:</w:t>
      </w:r>
    </w:p>
    <w:p w14:paraId="7654FED8" w14:textId="77777777" w:rsidR="00F61DC5" w:rsidRPr="0044524F" w:rsidRDefault="00F61DC5" w:rsidP="00F61DC5">
      <w:pPr>
        <w:spacing w:after="0" w:line="240" w:lineRule="auto"/>
        <w:jc w:val="both"/>
        <w:rPr>
          <w:rFonts w:ascii="Times New Roman" w:hAnsi="Times New Roman"/>
          <w:color w:val="000000" w:themeColor="text1"/>
          <w:sz w:val="16"/>
          <w:szCs w:val="16"/>
        </w:rPr>
      </w:pPr>
    </w:p>
    <w:p w14:paraId="15B972C0" w14:textId="77777777" w:rsidR="00F61DC5" w:rsidRPr="00142305" w:rsidRDefault="00F61DC5" w:rsidP="00F61D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августа 1933 г. на прощальном вечере в связи с закрытием липецкой авиашколы ее руководитель Г. Мюллер выступил с речью. Он сказал:</w:t>
      </w:r>
    </w:p>
    <w:p w14:paraId="0673F9B5" w14:textId="77777777" w:rsidR="00F61DC5" w:rsidRPr="00142305" w:rsidRDefault="00F61DC5" w:rsidP="00F61D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«Следует выразить нашу благодарность стране, гостеприимством которой мы пользовались в течение восьми лет. В то время, когда все государства враждебно относились к Германии, СССР дал нам возможность возобновить здесь нашу летную деятельность. С готов</w:t>
      </w:r>
      <w:r w:rsidRPr="00142305">
        <w:rPr>
          <w:rFonts w:ascii="Times New Roman" w:hAnsi="Times New Roman"/>
          <w:color w:val="0070C0"/>
          <w:sz w:val="16"/>
          <w:szCs w:val="16"/>
        </w:rPr>
        <w:softHyphen/>
        <w:t>ностью всегда оказывать помощь, Красная Армия и, в особенности, Воздушный Флот покровительствовали нашей работе» (25025).</w:t>
      </w:r>
    </w:p>
    <w:p w14:paraId="2A3F52F2" w14:textId="77777777" w:rsidR="00F61DC5" w:rsidRPr="00142305" w:rsidRDefault="00F61DC5" w:rsidP="00F61DC5">
      <w:pPr>
        <w:spacing w:after="0" w:line="240" w:lineRule="auto"/>
        <w:jc w:val="both"/>
        <w:rPr>
          <w:rFonts w:ascii="Times New Roman" w:hAnsi="Times New Roman"/>
          <w:color w:val="0070C0"/>
          <w:sz w:val="16"/>
          <w:szCs w:val="16"/>
        </w:rPr>
      </w:pPr>
    </w:p>
    <w:p w14:paraId="1CF7D6DF" w14:textId="77777777" w:rsidR="00FD55C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AFAF596" w14:textId="77777777" w:rsidR="00FD55C8" w:rsidRPr="0044524F" w:rsidRDefault="00FD55C8" w:rsidP="009654CF">
      <w:pPr>
        <w:spacing w:after="0" w:line="240" w:lineRule="auto"/>
        <w:jc w:val="both"/>
        <w:rPr>
          <w:rFonts w:ascii="Times New Roman" w:hAnsi="Times New Roman"/>
          <w:color w:val="000000" w:themeColor="text1"/>
          <w:sz w:val="16"/>
          <w:szCs w:val="16"/>
        </w:rPr>
      </w:pPr>
    </w:p>
    <w:p w14:paraId="38AC6DC2" w14:textId="77777777" w:rsidR="00003D98" w:rsidRPr="0044524F" w:rsidRDefault="00003D9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16 августа в 1940 году </w:t>
      </w:r>
      <w:hyperlink r:id="rId306" w:tgtFrame="_blank" w:history="1">
        <w:r w:rsidRPr="0044524F">
          <w:rPr>
            <w:rFonts w:ascii="Times New Roman" w:hAnsi="Times New Roman"/>
            <w:color w:val="000000" w:themeColor="text1"/>
            <w:sz w:val="16"/>
            <w:szCs w:val="16"/>
          </w:rPr>
          <w:t xml:space="preserve">Указ Президиума ВС СССР от 16.08.1940 "О переходе на восьмичасовой рабочий день и семидневную рабочую неделю на концессионных и других частных предприятиях, находящихся на территории СССР" </w:t>
        </w:r>
      </w:hyperlink>
    </w:p>
    <w:p w14:paraId="49FB8577" w14:textId="77777777" w:rsidR="00003D98" w:rsidRPr="0044524F" w:rsidRDefault="00003D98" w:rsidP="009654CF">
      <w:pPr>
        <w:spacing w:after="0" w:line="240" w:lineRule="auto"/>
        <w:jc w:val="both"/>
        <w:rPr>
          <w:rFonts w:ascii="Times New Roman" w:hAnsi="Times New Roman"/>
          <w:color w:val="000000" w:themeColor="text1"/>
          <w:sz w:val="16"/>
          <w:szCs w:val="16"/>
        </w:rPr>
      </w:pPr>
    </w:p>
    <w:p w14:paraId="513C05D7" w14:textId="6A607099" w:rsidR="00FD55C8" w:rsidRPr="0044524F" w:rsidRDefault="00FD55C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16 августа</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1933</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г. в уголовно-судебной коллегии Верховного суда СССР началось слушание дела о некомплектной отгрузке комбайнов, к уголовной ответственности по которому были привлечены работники ряда хозяйственных органов и руководители завода «Коммунар». Обвинителем на суде выступал заместитель прокурора СССР А.Я. Вышинский. В своей заключительной речи он, в частности, заявил: «Процесс дает нам основание для постановки общих вопросов работы советских хозяйственных организаций!...] Я говорю о Наркомземе Союза[...] я говорю о Наркомтяжпроме[...] я говорю о республиканских органах». Такая постановка вопроса возмутила руководителей НКТП и Наркомзема, Г.К.Орджоникидзе и Я.А.Яковлева. 24 августа</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1933</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г. в отсутствие Сталина Орджоникидзе добился обсуждения этого вопроса на заседании Политбюро. О некоторых подробностях этого обсуждения свидетельствуют письма его участников. Как писал Сталину Каганович, на заседании выяснилось, что публикацию в «Правде» и проведение суда направлял Молотов. Сам Молотов 8 сентября писал Сталину: «На совещании в ЦК были, кроме меня, Каганович, Калинин, Орджоникидзе, Яковлев и Вышинский (Акулов оказался за городом). Ты знаешь отношение Калинина к таким делам — он всегда «за хозяйственников», «обиженных» судом и РКИ, в данном случае тем более. Вышинский под напором Орджоникидзе сразу же заявил, что он допустил грубую ошибку и вообще держался униженно. На меня посыпались личные нападки гнуснейшего типа со стороны Орджоникидзе, что все это — дело моих рук, за спиной ЦК, работать с М. (Молотовым</w:t>
      </w:r>
      <w:r w:rsidRPr="0044524F">
        <w:rPr>
          <w:rFonts w:ascii="Times New Roman" w:eastAsia="Times New Roman" w:hAnsi="Times New Roman"/>
          <w:iCs/>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невозможно и пр[...] Несмотря на это, и несмотря на то, что Каганович молчаливо соглашался с Орджоникидзе, я не должен был сдаваться».</w:t>
      </w:r>
    </w:p>
    <w:p w14:paraId="06B8DA42" w14:textId="77777777" w:rsidR="005C0DE4" w:rsidRPr="0044524F" w:rsidRDefault="00FD55C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результате Политбюро приняло решение, осуждавшее формулировку речи Вышинского, «которая дает повод к неправильному обвинению в отношении НКтяжпрома и НКЗема». Проект постановления был написан Кагановичем и отредактирован Молотовым. За его принятие проголосовали все присутствующие члены Политбюро: Каганович, Молотов, Калинин и Орджоникидзе</w:t>
      </w:r>
      <w:r w:rsidR="005C0DE4" w:rsidRPr="0044524F">
        <w:rPr>
          <w:rFonts w:ascii="Times New Roman" w:eastAsia="Times New Roman" w:hAnsi="Times New Roman"/>
          <w:color w:val="000000" w:themeColor="text1"/>
          <w:sz w:val="16"/>
          <w:szCs w:val="16"/>
          <w:lang w:eastAsia="ru-RU"/>
        </w:rPr>
        <w:t>.</w:t>
      </w:r>
    </w:p>
    <w:p w14:paraId="7C99BE96" w14:textId="77777777" w:rsidR="00FD55C8" w:rsidRPr="0044524F" w:rsidRDefault="005C0DE4"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прислал в Москву на имя Кагановича, Молотова и Орджоникидзе, а также для всех других членов Политбюро резкую телеграмму, осуждающую постановление о Вышинском (см. документ № 301). Несмотря на то, что телеграмма Сталина попала в ЦК около шести часов вечера 29 августа, решение об отмене постановления было проведено голосованием вкруговую только через два дня, 1 сентября. Свои подписи под решением поставили Каганович, Андреев, Куйбышев и Микоян</w:t>
      </w:r>
      <w:r w:rsidRPr="0044524F">
        <w:rPr>
          <w:rFonts w:ascii="Times New Roman" w:hAnsi="Times New Roman"/>
          <w:color w:val="000000" w:themeColor="text1"/>
          <w:sz w:val="16"/>
          <w:szCs w:val="16"/>
          <w:vertAlign w:val="superscript"/>
        </w:rPr>
        <w:t>17</w:t>
      </w:r>
      <w:r w:rsidRPr="0044524F">
        <w:rPr>
          <w:rFonts w:ascii="Times New Roman" w:hAnsi="Times New Roman"/>
          <w:color w:val="000000" w:themeColor="text1"/>
          <w:sz w:val="16"/>
          <w:szCs w:val="16"/>
        </w:rPr>
        <w:t>, т.е. те члены Политбюро, которые (за исключением Кагановича) не имели отношения к принятию предыдущего постановления. Орджоникидзе, против которого фактически был направлен пересмотр дела, с 1 сентября по решению Политбюро ушел в отпуск. Похоже, что Каганович специально придержал рассмотрение вопроса для того, чтобы не ставить в неудобное положение Орджоникидзе</w:t>
      </w:r>
      <w:r w:rsidR="00FD55C8" w:rsidRPr="0044524F">
        <w:rPr>
          <w:rFonts w:ascii="Times New Roman" w:eastAsia="Times New Roman" w:hAnsi="Times New Roman"/>
          <w:color w:val="000000" w:themeColor="text1"/>
          <w:sz w:val="16"/>
          <w:szCs w:val="16"/>
          <w:lang w:eastAsia="ru-RU"/>
        </w:rPr>
        <w:t xml:space="preserve"> (17281).</w:t>
      </w:r>
    </w:p>
    <w:p w14:paraId="31316B91" w14:textId="77777777" w:rsidR="00FD55C8" w:rsidRPr="0044524F" w:rsidRDefault="00FD55C8" w:rsidP="009654CF">
      <w:pPr>
        <w:shd w:val="clear" w:color="auto" w:fill="FFFFFF"/>
        <w:spacing w:after="0" w:line="240" w:lineRule="auto"/>
        <w:jc w:val="both"/>
        <w:rPr>
          <w:rFonts w:ascii="Times New Roman" w:hAnsi="Times New Roman"/>
          <w:color w:val="000000" w:themeColor="text1"/>
          <w:sz w:val="16"/>
          <w:szCs w:val="16"/>
        </w:rPr>
      </w:pPr>
    </w:p>
    <w:p w14:paraId="4FF862E1"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6F63D57" w14:textId="77777777" w:rsidR="0092497E" w:rsidRPr="0044524F" w:rsidRDefault="0092497E" w:rsidP="009654CF">
      <w:pPr>
        <w:spacing w:after="0" w:line="240" w:lineRule="auto"/>
        <w:jc w:val="both"/>
        <w:rPr>
          <w:rFonts w:ascii="Times New Roman" w:hAnsi="Times New Roman"/>
          <w:iCs/>
          <w:color w:val="000000" w:themeColor="text1"/>
          <w:sz w:val="16"/>
          <w:szCs w:val="16"/>
        </w:rPr>
      </w:pPr>
    </w:p>
    <w:p w14:paraId="2F9BDFCA"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августа 1933 лидер немецких нацистов Герман Геринг запретил в Пруссии вивисекцию (операции на живых животных) (4962).</w:t>
      </w:r>
    </w:p>
    <w:p w14:paraId="09E5102B"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p>
    <w:p w14:paraId="33A9F58C"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A3DD0FB" w14:textId="77777777" w:rsidR="0092497E" w:rsidRPr="0044524F" w:rsidRDefault="0092497E" w:rsidP="009654CF">
      <w:pPr>
        <w:spacing w:after="0" w:line="240" w:lineRule="auto"/>
        <w:jc w:val="both"/>
        <w:rPr>
          <w:rFonts w:ascii="Times New Roman" w:hAnsi="Times New Roman"/>
          <w:iCs/>
          <w:color w:val="000000" w:themeColor="text1"/>
          <w:sz w:val="16"/>
          <w:szCs w:val="16"/>
        </w:rPr>
      </w:pPr>
    </w:p>
    <w:p w14:paraId="5086EDD9"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года Начальник НИИ ВВС Зильберт утвердил протокол Тактико-технического совещания НИИ ВВС (Журнал № 6) от 11 августа 1933 года (6788).</w:t>
      </w:r>
    </w:p>
    <w:p w14:paraId="635F6E4E"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разбиравшихся вопросов</w:t>
      </w:r>
    </w:p>
    <w:p w14:paraId="5F178352" w14:textId="77777777" w:rsidR="0092497E" w:rsidRPr="0044524F" w:rsidRDefault="0092497E" w:rsidP="009654CF">
      <w:pPr>
        <w:pStyle w:val="31"/>
        <w:widowControl/>
        <w:numPr>
          <w:ilvl w:val="0"/>
          <w:numId w:val="252"/>
        </w:numPr>
        <w:tabs>
          <w:tab w:val="left" w:pos="360"/>
          <w:tab w:val="left" w:pos="11199"/>
        </w:tabs>
        <w:ind w:left="0" w:firstLine="0"/>
        <w:jc w:val="both"/>
        <w:rPr>
          <w:color w:val="000000" w:themeColor="text1"/>
        </w:rPr>
      </w:pPr>
      <w:r w:rsidRPr="0044524F">
        <w:rPr>
          <w:color w:val="000000" w:themeColor="text1"/>
        </w:rPr>
        <w:t>Тактико-технические требования к транспортному самолету. Докладчики Гребенев и Лебедев (6788).</w:t>
      </w:r>
    </w:p>
    <w:p w14:paraId="2415CA97" w14:textId="77777777" w:rsidR="0092497E" w:rsidRPr="0044524F" w:rsidRDefault="0092497E" w:rsidP="009654CF">
      <w:pPr>
        <w:pStyle w:val="31"/>
        <w:widowControl/>
        <w:tabs>
          <w:tab w:val="left" w:pos="360"/>
          <w:tab w:val="left" w:pos="11199"/>
        </w:tabs>
        <w:jc w:val="both"/>
        <w:rPr>
          <w:color w:val="000000" w:themeColor="text1"/>
        </w:rPr>
      </w:pPr>
    </w:p>
    <w:p w14:paraId="7309C89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была третья рулежка К-7 К.А.К. в течение 10 мин. и колеса работали нормально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2C3DB46E" w14:textId="77777777">
        <w:tc>
          <w:tcPr>
            <w:tcW w:w="1384" w:type="dxa"/>
            <w:tcBorders>
              <w:top w:val="single" w:sz="12" w:space="0" w:color="auto"/>
            </w:tcBorders>
          </w:tcPr>
          <w:p w14:paraId="59620CF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2199641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tc>
        <w:tc>
          <w:tcPr>
            <w:tcW w:w="1089" w:type="dxa"/>
            <w:tcBorders>
              <w:top w:val="single" w:sz="12" w:space="0" w:color="auto"/>
            </w:tcBorders>
          </w:tcPr>
          <w:p w14:paraId="14A1647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0E9876E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0A16934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1F1CBAF9"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04100F74" w14:textId="77777777">
        <w:tc>
          <w:tcPr>
            <w:tcW w:w="1384" w:type="dxa"/>
            <w:tcBorders>
              <w:bottom w:val="single" w:sz="12" w:space="0" w:color="auto"/>
            </w:tcBorders>
          </w:tcPr>
          <w:p w14:paraId="563FAED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w:t>
            </w:r>
          </w:p>
        </w:tc>
        <w:tc>
          <w:tcPr>
            <w:tcW w:w="2410" w:type="dxa"/>
            <w:tcBorders>
              <w:bottom w:val="single" w:sz="12" w:space="0" w:color="auto"/>
            </w:tcBorders>
          </w:tcPr>
          <w:p w14:paraId="6424120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Третья рулежка с-та</w:t>
            </w:r>
          </w:p>
        </w:tc>
        <w:tc>
          <w:tcPr>
            <w:tcW w:w="1089" w:type="dxa"/>
            <w:tcBorders>
              <w:bottom w:val="single" w:sz="12" w:space="0" w:color="auto"/>
            </w:tcBorders>
          </w:tcPr>
          <w:p w14:paraId="56D463C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1:50</w:t>
            </w:r>
          </w:p>
          <w:p w14:paraId="2D05470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Рулежка: 0:10</w:t>
            </w:r>
          </w:p>
        </w:tc>
        <w:tc>
          <w:tcPr>
            <w:tcW w:w="3447" w:type="dxa"/>
            <w:tcBorders>
              <w:bottom w:val="single" w:sz="12" w:space="0" w:color="auto"/>
            </w:tcBorders>
          </w:tcPr>
          <w:p w14:paraId="3E81A63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Исправное состояние вновь установленных колес</w:t>
            </w:r>
          </w:p>
        </w:tc>
        <w:tc>
          <w:tcPr>
            <w:tcW w:w="1776" w:type="dxa"/>
            <w:tcBorders>
              <w:bottom w:val="single" w:sz="12" w:space="0" w:color="auto"/>
            </w:tcBorders>
          </w:tcPr>
          <w:p w14:paraId="0ED15B7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Слабость запоров люков передней кромки крыла (устранено)</w:t>
            </w:r>
          </w:p>
        </w:tc>
        <w:tc>
          <w:tcPr>
            <w:tcW w:w="1105" w:type="dxa"/>
            <w:tcBorders>
              <w:bottom w:val="single" w:sz="12" w:space="0" w:color="auto"/>
            </w:tcBorders>
          </w:tcPr>
          <w:p w14:paraId="10AE26B8" w14:textId="77777777" w:rsidR="0092497E" w:rsidRPr="0044524F" w:rsidRDefault="0092497E" w:rsidP="009654CF">
            <w:pPr>
              <w:spacing w:after="0" w:line="240" w:lineRule="auto"/>
              <w:jc w:val="both"/>
              <w:rPr>
                <w:rFonts w:ascii="Times New Roman" w:hAnsi="Times New Roman"/>
                <w:color w:val="000000" w:themeColor="text1"/>
                <w:sz w:val="16"/>
                <w:szCs w:val="16"/>
              </w:rPr>
            </w:pPr>
          </w:p>
        </w:tc>
      </w:tr>
    </w:tbl>
    <w:p w14:paraId="772D87D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28C2285E"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1D62C446" w14:textId="77777777" w:rsidR="00373CC8" w:rsidRPr="0044524F" w:rsidRDefault="00373C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произошла очередная поломка автожира А-4 в момент посадки.</w:t>
      </w:r>
    </w:p>
    <w:p w14:paraId="7110783C" w14:textId="77777777" w:rsidR="00373CC8" w:rsidRPr="0044524F" w:rsidRDefault="00373C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видим, испытательные полеты автожиров А-4 проис</w:t>
      </w:r>
      <w:r w:rsidRPr="0044524F">
        <w:rPr>
          <w:rFonts w:ascii="Times New Roman" w:hAnsi="Times New Roman"/>
          <w:color w:val="000000" w:themeColor="text1"/>
          <w:sz w:val="16"/>
          <w:szCs w:val="16"/>
        </w:rPr>
        <w:softHyphen/>
        <w:t>ходили с преодолением многочисленных трудностей. Ле</w:t>
      </w:r>
      <w:r w:rsidRPr="0044524F">
        <w:rPr>
          <w:rFonts w:ascii="Times New Roman" w:hAnsi="Times New Roman"/>
          <w:color w:val="000000" w:themeColor="text1"/>
          <w:sz w:val="16"/>
          <w:szCs w:val="16"/>
        </w:rPr>
        <w:softHyphen/>
        <w:t>том 1933 г. два первых автожира (московской и киевской постройки) летали уже вполне уверенно - по состоянию на 4 августа они совершили 28 полетов с общим полетным временем 7 часов 53 минуты (20381).</w:t>
      </w:r>
    </w:p>
    <w:p w14:paraId="1FE18897" w14:textId="77777777" w:rsidR="00373CC8" w:rsidRPr="0044524F" w:rsidRDefault="00373CC8" w:rsidP="009654CF">
      <w:pPr>
        <w:spacing w:after="0" w:line="240" w:lineRule="auto"/>
        <w:jc w:val="both"/>
        <w:rPr>
          <w:rFonts w:ascii="Times New Roman" w:hAnsi="Times New Roman"/>
          <w:color w:val="000000" w:themeColor="text1"/>
          <w:sz w:val="16"/>
          <w:szCs w:val="16"/>
        </w:rPr>
      </w:pPr>
    </w:p>
    <w:p w14:paraId="3B93540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17-18 августа 1933 Н.А.Соколов-Соколенок и С.С.Зызымов совершили высотный перелет Москва-Севастополь-Москва на Р-5 на высоте 5000-5800 м с частичным применением кислорода. На пути туда сели в Полтаве из-за усталости, но обратно долетели без посадок (438,652).</w:t>
      </w:r>
    </w:p>
    <w:p w14:paraId="1E0B34A9"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6E856CAF" w14:textId="77777777" w:rsidR="00373CC8" w:rsidRPr="0044524F" w:rsidRDefault="00373CC8"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bookmarkStart w:id="43" w:name="_Hlk127869020"/>
      <w:r w:rsidRPr="0044524F">
        <w:rPr>
          <w:rFonts w:ascii="Times New Roman" w:eastAsia="Times New Roman" w:hAnsi="Times New Roman"/>
          <w:color w:val="000000" w:themeColor="text1"/>
          <w:sz w:val="16"/>
          <w:szCs w:val="16"/>
          <w:lang w:eastAsia="ru-RU"/>
        </w:rPr>
        <w:t>17 – 18 августа 1933 года летчики Н.А. Соколов-Соколенок и С.С. Зазымов на самолете Р-5 выполнили перелет по маршруту Москва – Севастополь – Москва на высоте более 5000 метров. Этот экспериментальный полет должен был выявить все проблемы, которые могут возникнуть у экипажа в процессе их многочасового пребывания на предельной высоте без применения кислородного питания (на борту самолета кислородный прибор был только у второго пилота, но он служил лишь «страховочным средством»).</w:t>
      </w:r>
    </w:p>
    <w:p w14:paraId="0FA77974" w14:textId="77777777" w:rsidR="00373CC8" w:rsidRPr="0044524F" w:rsidRDefault="00373CC8"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Перелету предшествовала большая подготовительная работа в лаборатории, в тренировочных полетах и в барокамере, где летчики просиживали часами. Медики мучили летчиков всевозможными исследованиями крови, проверками сердечнососудистой системы, разнообразными тестами на память, внимание, быстроту реакции.</w:t>
      </w:r>
    </w:p>
    <w:p w14:paraId="26EAFEA1" w14:textId="77777777" w:rsidR="00373CC8" w:rsidRPr="0044524F" w:rsidRDefault="00373CC8"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Кроме того, в этом перелете подвергался испытанию и самолет, который летел в предельно перегрузочном варианте (с дополнительными топливными баками), и на котором к тому же предстояло оценить эксплуатационные характеристики ряда новых приборов, оборудования и снаряжения.</w:t>
      </w:r>
    </w:p>
    <w:p w14:paraId="203735C4" w14:textId="77777777" w:rsidR="00373CC8" w:rsidRPr="0044524F" w:rsidRDefault="00373CC8"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17 августа экипаж осуществил перелет из Москвы в Севастополь, пройдя маршрут 1300 км на высоте от 5000 до 5700 метров. На следующий день летчики прошли обратным маршрутом на высоте более чем 5000 метров, в 17 часов 15 минут произведя посадку на Московском центральном аэродроме. Перелет на всем маршруте выполнялся в облачности. Летели исключительно по приборам – за облаками.</w:t>
      </w:r>
    </w:p>
    <w:p w14:paraId="01165A6D" w14:textId="77777777" w:rsidR="00373CC8" w:rsidRPr="0044524F" w:rsidRDefault="00373CC8"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Соколов-Соколенок в течение 11 часов 30 минут управлял самолетом, находясь на предельной высоте без кислородного прибора. На обратном пути из Севастополя С.С. Зазымов потерял сознание, поэтому пришлось снизиться до высоты, на которой второй пилот пришел в себя.</w:t>
      </w:r>
    </w:p>
    <w:p w14:paraId="5197C03E" w14:textId="77777777" w:rsidR="00373CC8" w:rsidRPr="0044524F" w:rsidRDefault="00373CC8"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Своим опытом высотных полетов Н.А. Соколов-Соколенок поделился с читателями журнала «Вестник Воздушного Флота». Он рассказал о симптомах высотной болезни, физиологических ощущениях летчика при длительном кислородном голодании, о характеристиках устойчивости и управляемости самолета на его рабочем потолке, об одежде и питании в высотных полетах (21249).</w:t>
      </w:r>
    </w:p>
    <w:p w14:paraId="45B6F0A7" w14:textId="77777777" w:rsidR="00373CC8" w:rsidRPr="0044524F" w:rsidRDefault="00373CC8" w:rsidP="009654CF">
      <w:pPr>
        <w:spacing w:after="0" w:line="240" w:lineRule="auto"/>
        <w:jc w:val="both"/>
        <w:rPr>
          <w:rFonts w:ascii="Times New Roman" w:hAnsi="Times New Roman"/>
          <w:color w:val="000000" w:themeColor="text1"/>
          <w:sz w:val="16"/>
          <w:szCs w:val="16"/>
        </w:rPr>
      </w:pPr>
    </w:p>
    <w:bookmarkEnd w:id="43"/>
    <w:p w14:paraId="1E72C39F" w14:textId="10952A52" w:rsidR="00D55949" w:rsidRPr="0044524F" w:rsidRDefault="00D55949"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rPr>
      </w:pPr>
      <w:r w:rsidRPr="0044524F">
        <w:rPr>
          <w:rFonts w:ascii="Times New Roman" w:eastAsia="Times New Roman" w:hAnsi="Times New Roman"/>
          <w:color w:val="000000" w:themeColor="text1"/>
          <w:sz w:val="16"/>
          <w:szCs w:val="16"/>
          <w:lang w:eastAsia="ru-RU"/>
        </w:rPr>
        <w:t xml:space="preserve">17 – 18 августа 1933 года летчики </w:t>
      </w:r>
      <w:r w:rsidRPr="0044524F">
        <w:rPr>
          <w:rFonts w:ascii="Times New Roman" w:eastAsia="Times New Roman" w:hAnsi="Times New Roman"/>
          <w:color w:val="000000" w:themeColor="text1"/>
          <w:sz w:val="16"/>
          <w:szCs w:val="16"/>
        </w:rPr>
        <w:t xml:space="preserve">ВВА </w:t>
      </w:r>
      <w:r w:rsidRPr="0044524F">
        <w:rPr>
          <w:rFonts w:ascii="Times New Roman" w:eastAsia="Times New Roman" w:hAnsi="Times New Roman"/>
          <w:color w:val="000000" w:themeColor="text1"/>
          <w:sz w:val="16"/>
          <w:szCs w:val="16"/>
          <w:lang w:eastAsia="ru-RU"/>
        </w:rPr>
        <w:t xml:space="preserve">Н.А. Соколов-Соколенок и С.С. Зазымов на самолете Р-5 </w:t>
      </w:r>
      <w:r w:rsidRPr="0044524F">
        <w:rPr>
          <w:rFonts w:ascii="Times New Roman" w:eastAsia="Times New Roman" w:hAnsi="Times New Roman"/>
          <w:color w:val="000000" w:themeColor="text1"/>
          <w:sz w:val="16"/>
          <w:szCs w:val="16"/>
        </w:rPr>
        <w:t xml:space="preserve">совершили высотный полет </w:t>
      </w:r>
      <w:r w:rsidRPr="0044524F">
        <w:rPr>
          <w:rFonts w:ascii="Times New Roman" w:eastAsia="Times New Roman" w:hAnsi="Times New Roman"/>
          <w:color w:val="000000" w:themeColor="text1"/>
          <w:sz w:val="16"/>
          <w:szCs w:val="16"/>
          <w:lang w:eastAsia="ru-RU"/>
        </w:rPr>
        <w:t>Москва – Севастополь – Москва</w:t>
      </w:r>
      <w:r w:rsidRPr="0044524F">
        <w:rPr>
          <w:rFonts w:ascii="Times New Roman" w:eastAsia="Times New Roman" w:hAnsi="Times New Roman"/>
          <w:color w:val="000000" w:themeColor="text1"/>
          <w:sz w:val="16"/>
          <w:szCs w:val="16"/>
        </w:rPr>
        <w:t>. Полет проходил на высоте 5000-5800 м с частичным применением кислорода и был предпринят с целью выявления</w:t>
      </w:r>
      <w:r w:rsidR="0088747B">
        <w:rPr>
          <w:rFonts w:ascii="Times New Roman" w:eastAsia="Times New Roman" w:hAnsi="Times New Roman"/>
          <w:color w:val="000000" w:themeColor="text1"/>
          <w:sz w:val="16"/>
          <w:szCs w:val="16"/>
        </w:rPr>
        <w:t xml:space="preserve"> </w:t>
      </w:r>
      <w:r w:rsidRPr="0044524F">
        <w:rPr>
          <w:rFonts w:ascii="Times New Roman" w:eastAsia="Times New Roman" w:hAnsi="Times New Roman"/>
          <w:color w:val="000000" w:themeColor="text1"/>
          <w:sz w:val="16"/>
          <w:szCs w:val="16"/>
        </w:rPr>
        <w:t>психофизиологических особенностей длительного пребывания летчиков на большой высоте. При полете в Севастополь экипаж из-за усталости сделал остановку в Полтаве, обратный полет был совершен без остановок.</w:t>
      </w:r>
    </w:p>
    <w:p w14:paraId="33C76DE6" w14:textId="77777777" w:rsidR="00D55949" w:rsidRPr="0044524F" w:rsidRDefault="00D55949"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rPr>
      </w:pPr>
      <w:r w:rsidRPr="0044524F">
        <w:rPr>
          <w:rFonts w:ascii="Times New Roman" w:eastAsia="Times New Roman" w:hAnsi="Times New Roman"/>
          <w:color w:val="000000" w:themeColor="text1"/>
          <w:sz w:val="16"/>
          <w:szCs w:val="16"/>
        </w:rPr>
        <w:t>/ВВФ, 1933, № 9/ (23370).</w:t>
      </w:r>
    </w:p>
    <w:p w14:paraId="04CFE0CF" w14:textId="77777777" w:rsidR="00D55949" w:rsidRPr="0044524F" w:rsidRDefault="00D55949"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rPr>
      </w:pPr>
    </w:p>
    <w:p w14:paraId="2EF0000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17-го августа 1933 с проведения комплексной авиаразведки начался Ленский поход ДВ СССР-Н2. Кроме четырех человек экипажа, на борту Н2 находился начальник Пясинской экспедиции Игол- кин. Уже в первый час полета определилась возможность успешной проводки судов экспедиции. По всему маршруту - чистая вода, с отдельными мелкими льдинами, однако бухты материка были забиты льдом. Иголкин посчитал задачу авиаторов выполненной, но Алексеев повел самолет вдоль чистой воды дальше к мысу Михайлова. В 13 ч. 20 м. экипаж повернул обратно и в 15 ч. 55 мин. сел у о. Диксон. Таким образом, общая продолжительность полета равнялась 6 час. 53 мин. Эта разведка стала сигналом для выхода всех судов в море.</w:t>
      </w:r>
    </w:p>
    <w:p w14:paraId="483CDA37"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23 августа в порт Диксон подтянулись все речные и морские суда Ленского похода. На следующий день в 10 ч. 35 мин., имея запас горючего на 12 часов, самолет стартовал в разведку южного маршрута. Погода благоприятствовала полету, протекавшему при прекрасной видимости на высоте 1000 метров и через 8 ч. 50 мин. после взлета СССР-Н2 приводнился в бухте Диксон.</w:t>
      </w:r>
    </w:p>
    <w:p w14:paraId="618C3E2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Получив результаты разведки, караван направили южным маршрутом. В ночь на 25 августа "Правда", "Володарский", "Русанов", "Сталин" и "Сибиряков" во главе с "Красиным" вышли в море. Немного отклонившись к северу, караван на следующий же день оказался в тяжелом льду, но, используя данные Алексеева, исправил ошибку и вернулся на чистую воду.</w:t>
      </w:r>
    </w:p>
    <w:p w14:paraId="5C38632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Затем произвели еще 3 разведки, к 1 сентября самолет остался на м. Челюскина, ожидая подхода судов. Караван пришел 1-го сентября и разделился: одна часть его пошла в Тикси, а другая - в Нордвик. Трудностей на обозримых участках пути не предвиделось.</w:t>
      </w:r>
    </w:p>
    <w:p w14:paraId="7A4005C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возвращению на Диксон экипаж СССР-Н2 получил сообщение с "Красина" об аварии Дорнье "Валь" СССР-Н9, потерявшего 2 поршня кормового мотора, и решил идти на выручку, взяв с собой запасные части. Однако повреждения оказались серьезными, Н9 стартовать не смог и лодку погрузили на борт судна.</w:t>
      </w:r>
    </w:p>
    <w:p w14:paraId="052BDD1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11-го сентября наступило резкое похолодание, стал выпадать снег, резко упала температура воды. Можно уже было подумать о завершении морских полетов, однако 19-го пришлось выполнить еще одно задание, и лишь 21 сентября СССР-Н2 перелетел в Игарку. 1-го октября гидроплан вылетел в Красноярск, сделав по дороге посадку на ночевку в Подкаменной Тунгуске. На борту, кроме экипажа, находилась часть авиазвена с мыса Челюскин. 2-го октября машина прибыла в Красноярск и была поставлена на зимовку (11970).</w:t>
      </w:r>
    </w:p>
    <w:p w14:paraId="7ECCD394"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12DDBF04"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Style w:val="a7"/>
          <w:rFonts w:ascii="Times New Roman" w:hAnsi="Times New Roman"/>
          <w:b w:val="0"/>
          <w:bCs w:val="0"/>
          <w:color w:val="000000" w:themeColor="text1"/>
          <w:sz w:val="16"/>
          <w:szCs w:val="16"/>
        </w:rPr>
        <w:t>К 17 августа 1933 г.</w:t>
      </w:r>
      <w:r w:rsidRPr="0044524F">
        <w:rPr>
          <w:rFonts w:ascii="Times New Roman" w:hAnsi="Times New Roman"/>
          <w:color w:val="000000" w:themeColor="text1"/>
          <w:sz w:val="16"/>
          <w:szCs w:val="16"/>
        </w:rPr>
        <w:t xml:space="preserve"> стратостат Осоавиахим-1 был построен, собран, осмотрен комиссией Гражданского Воздушного флота под руководством т. СПАССКОГО и получил свидетельство на полет, хотя в акте люк кабины был признан неудовлетворительным по закрытию. </w:t>
      </w:r>
    </w:p>
    <w:p w14:paraId="5FF5C5C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Конструкция в основном рассчитывалась на малый полетный вес и малое количество маневренного и посадочного балласта: в оболочке применялась материя весом 62 грамма на 1 кв. мт. (в однослойных полотнищах), способ крепления такелажа был применен без верхней сетки по всей оболочке, а к оригинального устройства лапам, пришитым и приклеенным ниже экватора оболочки к поясу двухслойной материи. Такелаж предусматривался с уменьшенными стропами (8), соединенными в одном кольце. Общее количество в числе 8. Гондола шарообразной формы строилась из стали в 0,8 мм путем сварки и имела люк, открывающийся во внутрь кабины и задраиваемый 12 болтами на барашках, балласт располагался внутри кабины и мог выбрасываться через два трубчатых сбрасывателя путем перекрывания двух кранов в течение 800 кгр — 800 сек., управление клапаном выводилось из кабины через коленчатую трубку, наполненную ртутью, уздечка к разрывному приспособлению прикреплялась к кольцу над гондолой. </w:t>
      </w:r>
    </w:p>
    <w:p w14:paraId="72B2695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Каждая деталь, материал и агрегаты испытывались в лаборатории и показали запасы прочности, предусмотренные расчетами. </w:t>
      </w:r>
    </w:p>
    <w:p w14:paraId="41812CD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Общего расчета на конструкцию комиссия не могла получить от инженера Чертовского, ведавшего постройкой, а также не найден он и в делах т. Федосеенко, с мая м-ца фактически руководившего всеми работами по постройке и подготовке к полету. Самая постройка производилась по отдельным чертежам, выдаваемым на заводы инженером Чертовским. В основном все расчеты предусматривали и фактические испытания проводили на статические нагрузки, динамические нагрузки принимались больше первых в 4 раза, но испытаний на динамические нагрузки не проводилось за неимением машин и малой отработанностью самих методов испытаний. Раскрой и пошивка оболочки производилась кустарным способом в мастерских Института Аэросъемки. Фактической поверки расчетов и общей компоновки проекта не производилось и все лежало на усмотрении и знаниях т. Федосеенко, Васенко и Чертовского. Консультационный совет рассматривал на заседаниях предложения этих товарищей, вносил отдельные замечания, но не следил и не добивался исправлений по этим замечаниям. Комиссия считает, что техническая проработка конструкции была достаточна в объеме задач, поставленных себе т. Федосеенко и Власенко, но ее целесообразность и соответствие поставленным задачам по существу не были проверены консультационным советом при ЛОСО. Наблюдение в процессе постройки осуществлялось инженером Чертовским в пределах его знаний и практического опыта, но помощи в техническом руководстве он не имел (11611).</w:t>
      </w:r>
    </w:p>
    <w:p w14:paraId="13A11689"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25EA399F"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испытана первая советская ракета на жидком топливе (4962).</w:t>
      </w:r>
    </w:p>
    <w:p w14:paraId="25B156EA" w14:textId="77777777" w:rsidR="0092497E" w:rsidRPr="0044524F" w:rsidRDefault="0092497E" w:rsidP="009654CF">
      <w:pPr>
        <w:tabs>
          <w:tab w:val="left" w:pos="11199"/>
        </w:tabs>
        <w:spacing w:after="0" w:line="240" w:lineRule="auto"/>
        <w:jc w:val="both"/>
        <w:rPr>
          <w:rFonts w:ascii="Times New Roman" w:hAnsi="Times New Roman"/>
          <w:color w:val="000000" w:themeColor="text1"/>
          <w:sz w:val="16"/>
          <w:szCs w:val="16"/>
        </w:rPr>
      </w:pPr>
    </w:p>
    <w:p w14:paraId="1F6013C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были проведены удачные опыты с жидкостной ГИРД-09 ракетой М.К.Тихонравова в Нахабино (271,135). Достигли высоты 400 м (2990).</w:t>
      </w:r>
    </w:p>
    <w:p w14:paraId="43E422D8"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221998FB" w14:textId="77777777" w:rsidR="0092497E" w:rsidRPr="0044524F" w:rsidRDefault="0092497E" w:rsidP="009654CF">
      <w:pPr>
        <w:spacing w:after="0" w:line="240" w:lineRule="auto"/>
        <w:jc w:val="both"/>
        <w:rPr>
          <w:rFonts w:ascii="Times New Roman" w:hAnsi="Times New Roman"/>
          <w:color w:val="000000" w:themeColor="text1"/>
          <w:sz w:val="16"/>
          <w:szCs w:val="16"/>
        </w:rPr>
      </w:pPr>
      <w:bookmarkStart w:id="44" w:name="_Hlk127868624"/>
      <w:r w:rsidRPr="0044524F">
        <w:rPr>
          <w:rFonts w:ascii="Times New Roman" w:hAnsi="Times New Roman"/>
          <w:color w:val="000000" w:themeColor="text1"/>
          <w:sz w:val="16"/>
          <w:szCs w:val="16"/>
        </w:rPr>
        <w:t>17 августа 1933 состоялся успешный запуск ракеты ГИРД-Р-1 (09), однако из-за негерметичности одного из фланцев двигателя нормальный полет продолжался до высоты около 400 м. Были еще две неудачные попытки запуска ракеты — 5 и 6 ноября. Дальнейшие работы по ракете не планировались (10676).</w:t>
      </w:r>
    </w:p>
    <w:p w14:paraId="4B0E86DC" w14:textId="77777777" w:rsidR="0092497E" w:rsidRPr="0044524F" w:rsidRDefault="0092497E" w:rsidP="009654CF">
      <w:pPr>
        <w:spacing w:after="0" w:line="240" w:lineRule="auto"/>
        <w:jc w:val="both"/>
        <w:rPr>
          <w:rFonts w:ascii="Times New Roman" w:hAnsi="Times New Roman"/>
          <w:color w:val="000000" w:themeColor="text1"/>
          <w:sz w:val="16"/>
          <w:szCs w:val="16"/>
        </w:rPr>
      </w:pPr>
    </w:p>
    <w:bookmarkEnd w:id="44"/>
    <w:p w14:paraId="0758902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С.П.К. руководил испытаниями ракеты ГИРД-09 (см.: 5 марта 1933 г.) (ААН, р. 4, оп. 14, № 50) (10676).</w:t>
      </w:r>
    </w:p>
    <w:p w14:paraId="6B9FB130"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685D6A0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 была запущена первая советская ракета с двигателем Цандера (10776).</w:t>
      </w:r>
    </w:p>
    <w:p w14:paraId="62B9AED0"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08744FB6" w14:textId="77777777" w:rsidR="00003D98" w:rsidRPr="0044524F" w:rsidRDefault="00003D9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в 1933 году под руководством С.П.Королева в Нахабино под Москвой произведен запуск ракеты «ГИРД-09» — первой советской экспериментальной ракеты с двигателем на гибридном топливе (желеобразный бензин и жидкий кислород), созданной в Группе изучения реактивного движения по проекту Михаила К.Тихонравова. Стартовая масса ракеты 19 кг, масса топлива 5 кг, длина ракеты 2,4 м. Полет продолжался 13 с. Ракета достигла высоты 400 м (14986).</w:t>
      </w:r>
    </w:p>
    <w:p w14:paraId="7122AD0A" w14:textId="77777777" w:rsidR="00003D98" w:rsidRPr="0044524F" w:rsidRDefault="00003D98" w:rsidP="009654CF">
      <w:pPr>
        <w:spacing w:after="0" w:line="240" w:lineRule="auto"/>
        <w:jc w:val="both"/>
        <w:rPr>
          <w:rFonts w:ascii="Times New Roman" w:hAnsi="Times New Roman"/>
          <w:color w:val="000000" w:themeColor="text1"/>
          <w:sz w:val="16"/>
          <w:szCs w:val="16"/>
        </w:rPr>
      </w:pPr>
    </w:p>
    <w:p w14:paraId="5A55541D"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года прошло успешное испытание ракеты на твердом бензине, но от этого вида топлива решили отказаться. В начале 1930-х годов советские энтузиасты ракетной техники пытались использовать твердый бензин в качестве топлива для ракет. При этом они, правда, использовали собственную рецептуру сгущения топлива — растворяли в бензине канифоль. Первые испытания прошли успешно, но вскоре начались проблемы. То прогорала камера сгорания, то твердый бензин вместо сгорания вылетал из нее (12153).</w:t>
      </w:r>
    </w:p>
    <w:p w14:paraId="1688C390" w14:textId="77777777" w:rsidR="006A4DAE" w:rsidRPr="0044524F" w:rsidRDefault="006A4DAE" w:rsidP="009654CF">
      <w:pPr>
        <w:spacing w:after="0" w:line="240" w:lineRule="auto"/>
        <w:jc w:val="both"/>
        <w:rPr>
          <w:rFonts w:ascii="Times New Roman" w:hAnsi="Times New Roman"/>
          <w:color w:val="000000" w:themeColor="text1"/>
          <w:sz w:val="16"/>
          <w:szCs w:val="16"/>
        </w:rPr>
      </w:pPr>
    </w:p>
    <w:p w14:paraId="0DBFCF1D" w14:textId="77777777" w:rsidR="00D55949" w:rsidRPr="0044524F" w:rsidRDefault="00D5594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под Москвой близ станции Нахабино состоялся первый в СССР запуск жидкостной ракеты ГИРД-09, построенной московскими гирдовцами по проекту инженера Михаила Клавдиевича Тихонравова. Стартовый вес ракеты 19 кг, топливо – сгущеный ьанзин и жидкий кислород. Ракета достигла высоты 400 м.</w:t>
      </w:r>
    </w:p>
    <w:p w14:paraId="12795425" w14:textId="77777777" w:rsidR="00D55949" w:rsidRPr="0044524F" w:rsidRDefault="00D5594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/»Правда» за 17 августа, 1963/ (23370).</w:t>
      </w:r>
    </w:p>
    <w:p w14:paraId="539DC34A" w14:textId="77777777" w:rsidR="00D55949" w:rsidRPr="0044524F" w:rsidRDefault="00D55949" w:rsidP="009654CF">
      <w:pPr>
        <w:spacing w:after="0" w:line="240" w:lineRule="auto"/>
        <w:jc w:val="both"/>
        <w:rPr>
          <w:rFonts w:ascii="Times New Roman" w:hAnsi="Times New Roman"/>
          <w:color w:val="000000" w:themeColor="text1"/>
          <w:sz w:val="16"/>
          <w:szCs w:val="16"/>
        </w:rPr>
      </w:pPr>
    </w:p>
    <w:p w14:paraId="77290DFE" w14:textId="77777777" w:rsidR="00075333" w:rsidRPr="0044524F" w:rsidRDefault="0007533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года в 19 ча</w:t>
      </w:r>
      <w:r w:rsidRPr="0044524F">
        <w:rPr>
          <w:rFonts w:ascii="Times New Roman" w:hAnsi="Times New Roman"/>
          <w:color w:val="000000" w:themeColor="text1"/>
          <w:sz w:val="16"/>
          <w:szCs w:val="16"/>
        </w:rPr>
        <w:softHyphen/>
        <w:t>сов 00 минут на станции № 17 полигона состоялся первый успеш</w:t>
      </w:r>
      <w:r w:rsidRPr="0044524F">
        <w:rPr>
          <w:rFonts w:ascii="Times New Roman" w:hAnsi="Times New Roman"/>
          <w:color w:val="000000" w:themeColor="text1"/>
          <w:sz w:val="16"/>
          <w:szCs w:val="16"/>
        </w:rPr>
        <w:softHyphen/>
        <w:t>ный пуск первой отечественной ракеты ГИРД-09 на гибридном топливе. Испытаниями ракеты, созданной под руководством М.К.Тихонравова, руководил С.П.Королев. Про</w:t>
      </w:r>
      <w:r w:rsidRPr="0044524F">
        <w:rPr>
          <w:rFonts w:ascii="Times New Roman" w:hAnsi="Times New Roman"/>
          <w:color w:val="000000" w:themeColor="text1"/>
          <w:sz w:val="16"/>
          <w:szCs w:val="16"/>
        </w:rPr>
        <w:softHyphen/>
        <w:t xml:space="preserve">должительность взлета с момента запуска до момента падения </w:t>
      </w:r>
      <w:r w:rsidRPr="0044524F">
        <w:rPr>
          <w:rFonts w:ascii="Times New Roman" w:hAnsi="Times New Roman"/>
          <w:color w:val="000000" w:themeColor="text1"/>
          <w:sz w:val="16"/>
          <w:szCs w:val="16"/>
        </w:rPr>
        <w:lastRenderedPageBreak/>
        <w:t>составила 18 секунд. Расчетная высота полета была 5 киломе</w:t>
      </w:r>
      <w:r w:rsidRPr="0044524F">
        <w:rPr>
          <w:rFonts w:ascii="Times New Roman" w:hAnsi="Times New Roman"/>
          <w:color w:val="000000" w:themeColor="text1"/>
          <w:sz w:val="16"/>
          <w:szCs w:val="16"/>
        </w:rPr>
        <w:softHyphen/>
        <w:t>тров, но из-за прогара двигателя ракета поднялась на высоту 400 метров (на глаз), пошла по горизонтали, затем упала.</w:t>
      </w:r>
    </w:p>
    <w:p w14:paraId="7D0AC9FF" w14:textId="77777777" w:rsidR="00075333" w:rsidRPr="0044524F" w:rsidRDefault="0007533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Акт о полете ракеты был подписан начальником ГИРДа старшим инженером Королевым, старшим инженером брига</w:t>
      </w:r>
      <w:r w:rsidRPr="0044524F">
        <w:rPr>
          <w:rFonts w:ascii="Times New Roman" w:hAnsi="Times New Roman"/>
          <w:color w:val="000000" w:themeColor="text1"/>
          <w:sz w:val="16"/>
          <w:szCs w:val="16"/>
        </w:rPr>
        <w:softHyphen/>
        <w:t>ды № 2 Ефремовым, начальником бригады № 1 Корнеевым. «Взлет произошел медленно, на максимальной высоте ракета пошла по горизонтали и затем по отлогой траектории попала в соседний лес. Во все время полета происхо</w:t>
      </w:r>
      <w:r w:rsidRPr="0044524F">
        <w:rPr>
          <w:rFonts w:ascii="Times New Roman" w:hAnsi="Times New Roman"/>
          <w:color w:val="000000" w:themeColor="text1"/>
          <w:sz w:val="16"/>
          <w:szCs w:val="16"/>
        </w:rPr>
        <w:softHyphen/>
        <w:t>дила работа двигателя. При падении на землю была смята оболочка, сломан соединитель</w:t>
      </w:r>
      <w:r w:rsidRPr="0044524F">
        <w:rPr>
          <w:rFonts w:ascii="Times New Roman" w:hAnsi="Times New Roman"/>
          <w:color w:val="000000" w:themeColor="text1"/>
          <w:sz w:val="16"/>
          <w:szCs w:val="16"/>
        </w:rPr>
        <w:softHyphen/>
        <w:t>ный кран». Акт состав</w:t>
      </w:r>
      <w:r w:rsidRPr="0044524F">
        <w:rPr>
          <w:rFonts w:ascii="Times New Roman" w:hAnsi="Times New Roman"/>
          <w:color w:val="000000" w:themeColor="text1"/>
          <w:sz w:val="16"/>
          <w:szCs w:val="16"/>
        </w:rPr>
        <w:softHyphen/>
        <w:t>лен в 1 экземпляре и подписан на ст. Наха</w:t>
      </w:r>
      <w:r w:rsidRPr="0044524F">
        <w:rPr>
          <w:rFonts w:ascii="Times New Roman" w:hAnsi="Times New Roman"/>
          <w:color w:val="000000" w:themeColor="text1"/>
          <w:sz w:val="16"/>
          <w:szCs w:val="16"/>
        </w:rPr>
        <w:softHyphen/>
        <w:t>бино 17 августа 1933 г. в 20 час 10 мин».</w:t>
      </w:r>
    </w:p>
    <w:p w14:paraId="21F43E3D" w14:textId="77777777" w:rsidR="00075333" w:rsidRPr="0044524F" w:rsidRDefault="0007533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стенгазете, по</w:t>
      </w:r>
      <w:r w:rsidRPr="0044524F">
        <w:rPr>
          <w:rFonts w:ascii="Times New Roman" w:hAnsi="Times New Roman"/>
          <w:color w:val="000000" w:themeColor="text1"/>
          <w:sz w:val="16"/>
          <w:szCs w:val="16"/>
        </w:rPr>
        <w:softHyphen/>
        <w:t>священной первому пуску этой ракеты, Ко</w:t>
      </w:r>
      <w:r w:rsidRPr="0044524F">
        <w:rPr>
          <w:rFonts w:ascii="Times New Roman" w:hAnsi="Times New Roman"/>
          <w:color w:val="000000" w:themeColor="text1"/>
          <w:sz w:val="16"/>
          <w:szCs w:val="16"/>
        </w:rPr>
        <w:softHyphen/>
        <w:t>ролев написал: «Пер</w:t>
      </w:r>
      <w:r w:rsidRPr="0044524F">
        <w:rPr>
          <w:rFonts w:ascii="Times New Roman" w:hAnsi="Times New Roman"/>
          <w:color w:val="000000" w:themeColor="text1"/>
          <w:sz w:val="16"/>
          <w:szCs w:val="16"/>
        </w:rPr>
        <w:softHyphen/>
        <w:t>вая советская ракета на жидком (так у Ко</w:t>
      </w:r>
      <w:r w:rsidRPr="0044524F">
        <w:rPr>
          <w:rFonts w:ascii="Times New Roman" w:hAnsi="Times New Roman"/>
          <w:color w:val="000000" w:themeColor="text1"/>
          <w:sz w:val="16"/>
          <w:szCs w:val="16"/>
        </w:rPr>
        <w:softHyphen/>
        <w:t>ролева) топливе пу</w:t>
      </w:r>
      <w:r w:rsidRPr="0044524F">
        <w:rPr>
          <w:rFonts w:ascii="Times New Roman" w:hAnsi="Times New Roman"/>
          <w:color w:val="000000" w:themeColor="text1"/>
          <w:sz w:val="16"/>
          <w:szCs w:val="16"/>
        </w:rPr>
        <w:softHyphen/>
        <w:t>щена. День 17 августа, начиная с этого момента советские ракеты должны летать над Союзом республик».</w:t>
      </w:r>
    </w:p>
    <w:p w14:paraId="320474B7" w14:textId="77777777" w:rsidR="00075333" w:rsidRPr="0044524F" w:rsidRDefault="0007533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пуск осуществили осенью того же года. Позже были еще пуски. В последующем ракета поднималась на высо</w:t>
      </w:r>
      <w:r w:rsidRPr="0044524F">
        <w:rPr>
          <w:rFonts w:ascii="Times New Roman" w:hAnsi="Times New Roman"/>
          <w:color w:val="000000" w:themeColor="text1"/>
          <w:sz w:val="16"/>
          <w:szCs w:val="16"/>
        </w:rPr>
        <w:softHyphen/>
        <w:t>ту до 1 500 м. По свидетельству Тихонравова, было изготовле</w:t>
      </w:r>
      <w:r w:rsidRPr="0044524F">
        <w:rPr>
          <w:rFonts w:ascii="Times New Roman" w:hAnsi="Times New Roman"/>
          <w:color w:val="000000" w:themeColor="text1"/>
          <w:sz w:val="16"/>
          <w:szCs w:val="16"/>
        </w:rPr>
        <w:softHyphen/>
        <w:t>но не менее четырех ракет 09. В январе-мае 1934 года на базе 09 была создана ракета 13. Она оснащалась более мощным двигателем и выпускалась небольшой серией (23510).</w:t>
      </w:r>
    </w:p>
    <w:p w14:paraId="6FFE600D" w14:textId="77777777" w:rsidR="00075333" w:rsidRPr="0044524F" w:rsidRDefault="00075333" w:rsidP="009654CF">
      <w:pPr>
        <w:spacing w:after="0" w:line="240" w:lineRule="auto"/>
        <w:jc w:val="both"/>
        <w:rPr>
          <w:rFonts w:ascii="Times New Roman" w:hAnsi="Times New Roman"/>
          <w:color w:val="000000" w:themeColor="text1"/>
          <w:sz w:val="16"/>
          <w:szCs w:val="16"/>
        </w:rPr>
      </w:pPr>
    </w:p>
    <w:p w14:paraId="0CB7CF2F" w14:textId="77777777" w:rsidR="00075333" w:rsidRPr="0044524F" w:rsidRDefault="0007533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 собранную ракету 09 ГИРД привезли на инженерный полигон рядом с подмосковным поселком Нахабино и устано</w:t>
      </w:r>
      <w:r w:rsidRPr="0044524F">
        <w:rPr>
          <w:rFonts w:ascii="Times New Roman" w:hAnsi="Times New Roman"/>
          <w:color w:val="000000" w:themeColor="text1"/>
          <w:sz w:val="16"/>
          <w:szCs w:val="16"/>
        </w:rPr>
        <w:softHyphen/>
        <w:t>вили в пусковой станок. Заправили сгущенный бензин и жидкий кислород. Давление в кислородном баллоне не достигло необхо</w:t>
      </w:r>
      <w:r w:rsidRPr="0044524F">
        <w:rPr>
          <w:rFonts w:ascii="Times New Roman" w:hAnsi="Times New Roman"/>
          <w:color w:val="000000" w:themeColor="text1"/>
          <w:sz w:val="16"/>
          <w:szCs w:val="16"/>
        </w:rPr>
        <w:softHyphen/>
        <w:t>димого значения из-за заклинившего клапана, и ракету запусти</w:t>
      </w:r>
      <w:r w:rsidRPr="0044524F">
        <w:rPr>
          <w:rFonts w:ascii="Times New Roman" w:hAnsi="Times New Roman"/>
          <w:color w:val="000000" w:themeColor="text1"/>
          <w:sz w:val="16"/>
          <w:szCs w:val="16"/>
        </w:rPr>
        <w:softHyphen/>
        <w:t>ли при давлении только 13,5 атмосфер. Тяга снизилась, но все же ракета вышла из станка и по вертикали устремилась вверх.</w:t>
      </w:r>
    </w:p>
    <w:p w14:paraId="0293E651" w14:textId="77777777" w:rsidR="00075333" w:rsidRPr="0044524F" w:rsidRDefault="0007533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длился всего лишь 18 секунд: на высоте около 400 метров прогорела стенка камеры сгорания и ракета, кувыркаясь, рухнула на землю. При пуске второго экземпляра осенью 1933 г. после подъёма пример</w:t>
      </w:r>
      <w:r w:rsidRPr="0044524F">
        <w:rPr>
          <w:rFonts w:ascii="Times New Roman" w:hAnsi="Times New Roman"/>
          <w:color w:val="000000" w:themeColor="text1"/>
          <w:sz w:val="16"/>
          <w:szCs w:val="16"/>
        </w:rPr>
        <w:softHyphen/>
        <w:t>но на 100 м взорвался двига</w:t>
      </w:r>
      <w:r w:rsidRPr="0044524F">
        <w:rPr>
          <w:rFonts w:ascii="Times New Roman" w:hAnsi="Times New Roman"/>
          <w:color w:val="000000" w:themeColor="text1"/>
          <w:sz w:val="16"/>
          <w:szCs w:val="16"/>
        </w:rPr>
        <w:softHyphen/>
        <w:t>тель. Тем не менее два полёта первой советской ракеты на жидком топливе состоялись! (23550).</w:t>
      </w:r>
    </w:p>
    <w:p w14:paraId="7EF7534A" w14:textId="77777777" w:rsidR="00075333" w:rsidRPr="0044524F" w:rsidRDefault="00075333" w:rsidP="009654CF">
      <w:pPr>
        <w:spacing w:after="0" w:line="240" w:lineRule="auto"/>
        <w:jc w:val="both"/>
        <w:rPr>
          <w:rFonts w:ascii="Times New Roman" w:hAnsi="Times New Roman"/>
          <w:color w:val="000000" w:themeColor="text1"/>
          <w:sz w:val="16"/>
          <w:szCs w:val="16"/>
        </w:rPr>
      </w:pPr>
    </w:p>
    <w:p w14:paraId="17C33BCA" w14:textId="77777777" w:rsidR="0092497E" w:rsidRPr="0044524F" w:rsidRDefault="009249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и 27 июля 1933 г. на НИАП из спе</w:t>
      </w:r>
      <w:r w:rsidRPr="0044524F">
        <w:rPr>
          <w:rFonts w:ascii="Times New Roman" w:hAnsi="Times New Roman"/>
          <w:color w:val="000000" w:themeColor="text1"/>
          <w:sz w:val="16"/>
          <w:szCs w:val="16"/>
        </w:rPr>
        <w:softHyphen/>
        <w:t>циальных направляющих модели 1294, смонтированных на лафете гор</w:t>
      </w:r>
      <w:r w:rsidRPr="0044524F">
        <w:rPr>
          <w:rFonts w:ascii="Times New Roman" w:hAnsi="Times New Roman"/>
          <w:color w:val="000000" w:themeColor="text1"/>
          <w:sz w:val="16"/>
          <w:szCs w:val="16"/>
        </w:rPr>
        <w:softHyphen/>
        <w:t>ной пушки образца 1909 г. вели стрельбу новыми РС-132 мм за основу, которых взяли РС-132 модели 561 (корпус БЧ и камера двигателя), но оснастили их стабилизатором модели 1273 из 4 крыльев размахом 400 мм и из 6 крыльев размахом 300 мм. РЗ умень</w:t>
      </w:r>
      <w:r w:rsidRPr="0044524F">
        <w:rPr>
          <w:rFonts w:ascii="Times New Roman" w:hAnsi="Times New Roman"/>
          <w:color w:val="000000" w:themeColor="text1"/>
          <w:sz w:val="16"/>
          <w:szCs w:val="16"/>
        </w:rPr>
        <w:softHyphen/>
        <w:t>шили с 3,11 кг до 2,78 кг. Благодаря подбору сопла, давление в камере двигателя снизилось с 250 кг/см" до 180, а также РС-82 со стабилизаторами. В обоих случаях было выпущено по 20 снаря</w:t>
      </w:r>
      <w:r w:rsidRPr="0044524F">
        <w:rPr>
          <w:rFonts w:ascii="Times New Roman" w:hAnsi="Times New Roman"/>
          <w:color w:val="000000" w:themeColor="text1"/>
          <w:sz w:val="16"/>
          <w:szCs w:val="16"/>
        </w:rPr>
        <w:softHyphen/>
        <w:t>дов. В июльских опытах первый снаряд, упавший в двух километрах, не заметили. Седьмой также не нашли, так как он уклонился на 200 м в сторону от директрисы. Несмотря на возросшую, в сравнении с преды</w:t>
      </w:r>
      <w:r w:rsidRPr="0044524F">
        <w:rPr>
          <w:rFonts w:ascii="Times New Roman" w:hAnsi="Times New Roman"/>
          <w:color w:val="000000" w:themeColor="text1"/>
          <w:sz w:val="16"/>
          <w:szCs w:val="16"/>
        </w:rPr>
        <w:softHyphen/>
        <w:t>дущими отстрелами, точность стрельбы, она все же оставалась неудовле</w:t>
      </w:r>
      <w:r w:rsidRPr="0044524F">
        <w:rPr>
          <w:rFonts w:ascii="Times New Roman" w:hAnsi="Times New Roman"/>
          <w:color w:val="000000" w:themeColor="text1"/>
          <w:sz w:val="16"/>
          <w:szCs w:val="16"/>
        </w:rPr>
        <w:softHyphen/>
        <w:t>творительной. В 60-е годы прошлого столетия исследователи истории развития оте</w:t>
      </w:r>
      <w:r w:rsidRPr="0044524F">
        <w:rPr>
          <w:rFonts w:ascii="Times New Roman" w:hAnsi="Times New Roman"/>
          <w:color w:val="000000" w:themeColor="text1"/>
          <w:sz w:val="16"/>
          <w:szCs w:val="16"/>
        </w:rPr>
        <w:softHyphen/>
        <w:t>чественного ракетного вооружения, решив «отшлифовать» ход развития событий, по-своему прокомментировали многолетний интервал между началом работ по авиационным РС и первыми положительными резуль</w:t>
      </w:r>
      <w:r w:rsidRPr="0044524F">
        <w:rPr>
          <w:rFonts w:ascii="Times New Roman" w:hAnsi="Times New Roman"/>
          <w:color w:val="000000" w:themeColor="text1"/>
          <w:sz w:val="16"/>
          <w:szCs w:val="16"/>
        </w:rPr>
        <w:softHyphen/>
        <w:t>татами заводских и полигонных испытаний. Согласно их версии (затем она была принята в качестве официальной) в РНИИ НКТП неудачи в опытах с ТРС побудили конструкторов создать оперенные снаряды. Однако анализ годовых отчетов по научно-технической деятельности РНИИ дает основания утверждать, что работы по ТРС и оперенным РС в ГДЛ (позже она приобрела статус ленинградского отделения РНИИ), а затем и в московском РНИИ шли параллельно. Более убедительной причиной отказа авиаторов от ТРС выглядит низкая технологичность массового производства таких снарядов. Именно по этой причине в истории отечественной техники так и не поступали на вооружение куда более солидные проекты и образцы. В ситуации с турбореактивными снарядами, тангенциальные сопла малого диаметра требовали чрезвычайной тщательности и точности сверления. Отклонение всего в десятые доли миллиметра тотчас ска</w:t>
      </w:r>
      <w:r w:rsidRPr="0044524F">
        <w:rPr>
          <w:rFonts w:ascii="Times New Roman" w:hAnsi="Times New Roman"/>
          <w:color w:val="000000" w:themeColor="text1"/>
          <w:sz w:val="16"/>
          <w:szCs w:val="16"/>
        </w:rPr>
        <w:softHyphen/>
        <w:t>зывалось на точности стрельбы, поэтому в большом количестве произ</w:t>
      </w:r>
      <w:r w:rsidRPr="0044524F">
        <w:rPr>
          <w:rFonts w:ascii="Times New Roman" w:hAnsi="Times New Roman"/>
          <w:color w:val="000000" w:themeColor="text1"/>
          <w:sz w:val="16"/>
          <w:szCs w:val="16"/>
        </w:rPr>
        <w:softHyphen/>
        <w:t>водить качественные ТРС в то время было чересчур дорого, да и прак</w:t>
      </w:r>
      <w:r w:rsidRPr="0044524F">
        <w:rPr>
          <w:rFonts w:ascii="Times New Roman" w:hAnsi="Times New Roman"/>
          <w:color w:val="000000" w:themeColor="text1"/>
          <w:sz w:val="16"/>
          <w:szCs w:val="16"/>
        </w:rPr>
        <w:softHyphen/>
        <w:t>тически невозможно (11402).</w:t>
      </w:r>
    </w:p>
    <w:p w14:paraId="37D96B02" w14:textId="77777777" w:rsidR="0092497E" w:rsidRPr="0044524F" w:rsidRDefault="0092497E" w:rsidP="009654CF">
      <w:pPr>
        <w:shd w:val="clear" w:color="auto" w:fill="FFFFFF"/>
        <w:spacing w:after="0" w:line="240" w:lineRule="auto"/>
        <w:jc w:val="both"/>
        <w:rPr>
          <w:rFonts w:ascii="Times New Roman" w:hAnsi="Times New Roman"/>
          <w:color w:val="000000" w:themeColor="text1"/>
          <w:sz w:val="16"/>
          <w:szCs w:val="16"/>
        </w:rPr>
      </w:pPr>
    </w:p>
    <w:p w14:paraId="2AEAEF2A" w14:textId="77777777" w:rsidR="00AB1245" w:rsidRPr="0044524F" w:rsidRDefault="00AB124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1E5E405" w14:textId="77777777" w:rsidR="00AB1245" w:rsidRPr="0044524F" w:rsidRDefault="00AB1245" w:rsidP="009654CF">
      <w:pPr>
        <w:spacing w:after="0" w:line="240" w:lineRule="auto"/>
        <w:jc w:val="both"/>
        <w:rPr>
          <w:rFonts w:ascii="Times New Roman" w:hAnsi="Times New Roman"/>
          <w:iCs/>
          <w:color w:val="000000" w:themeColor="text1"/>
          <w:sz w:val="16"/>
          <w:szCs w:val="16"/>
        </w:rPr>
      </w:pPr>
    </w:p>
    <w:p w14:paraId="3B694B6A" w14:textId="77777777" w:rsidR="00AB1245" w:rsidRPr="0044524F" w:rsidRDefault="00AB1245" w:rsidP="009654CF">
      <w:pPr>
        <w:pStyle w:val="ae"/>
        <w:spacing w:before="0" w:after="0"/>
        <w:jc w:val="both"/>
        <w:textAlignment w:val="baseline"/>
        <w:rPr>
          <w:color w:val="000000" w:themeColor="text1"/>
          <w:sz w:val="16"/>
          <w:szCs w:val="16"/>
        </w:rPr>
      </w:pPr>
      <w:r w:rsidRPr="0044524F">
        <w:rPr>
          <w:color w:val="000000" w:themeColor="text1"/>
          <w:sz w:val="16"/>
          <w:szCs w:val="16"/>
        </w:rPr>
        <w:t xml:space="preserve">17 августа 1933 года на ОКМО поступило Задание на разработку </w:t>
      </w:r>
      <w:r w:rsidRPr="0044524F">
        <w:rPr>
          <w:iCs/>
          <w:color w:val="000000" w:themeColor="text1"/>
          <w:sz w:val="16"/>
          <w:szCs w:val="16"/>
          <w:bdr w:val="none" w:sz="0" w:space="0" w:color="auto" w:frame="1"/>
        </w:rPr>
        <w:t>«колёсно-гусеничном танке на основе Т-26»</w:t>
      </w:r>
      <w:r w:rsidRPr="0044524F">
        <w:rPr>
          <w:color w:val="000000" w:themeColor="text1"/>
          <w:sz w:val="16"/>
          <w:szCs w:val="16"/>
        </w:rPr>
        <w:t>. К тому времени ОКМО выделили в опытный завод №185 Спецмаштреста, его директором стал Н.В. Барыков. Первоначально танк носил обозначение Т-26А. Боевая масса оценивалась в 10 т, при этом танк получал двигатель мощностью 200-250 л.с. Максимальная скорость на гусеницах оценивалась в 50 км/ч, а на колёсном ходу — 70 км/ч, запас хода составлял 300 км. Вооружалась машина 45-мм пушкой и «</w:t>
      </w:r>
      <w:r w:rsidRPr="0044524F">
        <w:rPr>
          <w:iCs/>
          <w:color w:val="000000" w:themeColor="text1"/>
          <w:sz w:val="16"/>
          <w:szCs w:val="16"/>
          <w:bdr w:val="none" w:sz="0" w:space="0" w:color="auto" w:frame="1"/>
        </w:rPr>
        <w:t>сверхскорострельным»</w:t>
      </w:r>
      <w:r w:rsidRPr="0044524F">
        <w:rPr>
          <w:color w:val="000000" w:themeColor="text1"/>
          <w:sz w:val="16"/>
          <w:szCs w:val="16"/>
        </w:rPr>
        <w:t> пулемётом. Как и Т-26, танк имел экипаж из трёх человек.</w:t>
      </w:r>
    </w:p>
    <w:p w14:paraId="517EF2CE" w14:textId="77777777" w:rsidR="00AB1245" w:rsidRPr="0044524F" w:rsidRDefault="00AB1245" w:rsidP="009654CF">
      <w:pPr>
        <w:pStyle w:val="ae"/>
        <w:spacing w:before="0" w:after="0"/>
        <w:jc w:val="both"/>
        <w:textAlignment w:val="baseline"/>
        <w:rPr>
          <w:color w:val="000000" w:themeColor="text1"/>
          <w:sz w:val="16"/>
          <w:szCs w:val="16"/>
        </w:rPr>
      </w:pPr>
      <w:r w:rsidRPr="0044524F">
        <w:rPr>
          <w:color w:val="000000" w:themeColor="text1"/>
          <w:sz w:val="16"/>
          <w:szCs w:val="16"/>
        </w:rPr>
        <w:t>На разработку Т-26А выделялось 100 000 рублей, при этом первый опытный образец ожидался до конца 1933 года. Впрочем, уже в октябре стало ясно, что такие сроки чересчур оптимистичны. Тогда же машина впервые сменила название, получив индекс Т-46. Помимо чрезвычайной сложности задания, против Т-46 играла перегруженность завода №185 разработками. После того как в 1931-1932 годах звезда московского ГКБ, создавшего Т-18, закатилась, именно Ленинград стал центром разработки танков. Сюда из ГКБ перебрался С.А. Гинзбург, один из идеологов освоения Т-26, — это вызвало конфликт с начальником московского ГКБ С.П. Шукаловым, считавшим, что надо развивать свой танк, а не копировать иностранные образцы. Завод №185 стал настоящим мозговым центром: именно здесь разработали Т-28 и Т-35, существенно доработали Т-26, а также занимались рядом других машин. Обратной стороной медали стало слишком большое количество проектов, что влияло на сроки разработки (18689).</w:t>
      </w:r>
    </w:p>
    <w:p w14:paraId="0E35A5C0" w14:textId="77777777" w:rsidR="00AB1245" w:rsidRPr="0044524F" w:rsidRDefault="00AB1245" w:rsidP="009654CF">
      <w:pPr>
        <w:pStyle w:val="ae"/>
        <w:spacing w:before="0" w:after="0"/>
        <w:jc w:val="both"/>
        <w:textAlignment w:val="baseline"/>
        <w:rPr>
          <w:color w:val="000000" w:themeColor="text1"/>
          <w:sz w:val="16"/>
          <w:szCs w:val="16"/>
        </w:rPr>
      </w:pPr>
    </w:p>
    <w:p w14:paraId="3B247338"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064F53A"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3C20694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появились постановления СНК:</w:t>
      </w:r>
    </w:p>
    <w:p w14:paraId="4274371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1774-384с «О Беломорско-Балтийском комбинате», предписавшее «в целях освоения Беломорско-Балтийского канала имени тов. Сталина и прилегающих к нему районов, образовать Беломорско-Балтийский комбинат («Белбалт-комбинат»). Непосредственное руководство комбинатом возложить на ОГПУ»</w:t>
      </w:r>
    </w:p>
    <w:p w14:paraId="7F7160B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1773-383с «О мероприятиях в связи с организацией Беломорско-Балтийского комбината», а именно о назначении «начальником Белбалткомбината т. Рапопорт Я. Д., заместителем начальника, являющегося одновременно уполномоченным НКВода и главным инженером - т. Вержбицкого, заместителем начальника - тов. Успенского, он же - начальник Белбалтлага» (7560).</w:t>
      </w:r>
    </w:p>
    <w:p w14:paraId="3B9828A5"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575C059A" w14:textId="77777777" w:rsidR="0092497E" w:rsidRPr="0044524F" w:rsidRDefault="0092497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года состоялась прогулка группы писателей на пароходе по только что законченному каналу. После этой прогулки по каналу 84 из 125 экскурсантов-писателей сумели отказаться от написания своих впечатлений, а 36 напряженным трудом в те</w:t>
      </w:r>
      <w:r w:rsidRPr="0044524F">
        <w:rPr>
          <w:rFonts w:ascii="Times New Roman" w:hAnsi="Times New Roman"/>
          <w:color w:val="000000" w:themeColor="text1"/>
          <w:sz w:val="16"/>
          <w:szCs w:val="16"/>
        </w:rPr>
        <w:softHyphen/>
        <w:t>рние осени и зимы 1933 года создали произведение «Беломорско-Балтийс-кий канал имени Сталина», вышедшее в 1934. Ее редакторами были А.М.Горький, Л.Л. Авербах и С.Г.Фирин. Книга сохранила для последующих поколений имена этих писателей, память о том времени эти писатели преподнесли читателям челове</w:t>
      </w:r>
      <w:r w:rsidRPr="0044524F">
        <w:rPr>
          <w:rFonts w:ascii="Times New Roman" w:hAnsi="Times New Roman"/>
          <w:color w:val="000000" w:themeColor="text1"/>
          <w:sz w:val="16"/>
          <w:szCs w:val="16"/>
        </w:rPr>
        <w:softHyphen/>
        <w:t>коненавистнические легенды 30-х годов. Слово «вредитель» трактовалось как основа инженерного существа. И агрономы, выступавшие против раннего сева, и ирригаторы Средней Азии — тоже были «вредителями». Во всех главах книги эти писатели говорили о сословии инженеров только .снисходительно, как о породе порочной и низкой. Вторя вождю револю</w:t>
      </w:r>
      <w:r w:rsidRPr="0044524F">
        <w:rPr>
          <w:rFonts w:ascii="Times New Roman" w:hAnsi="Times New Roman"/>
          <w:color w:val="000000" w:themeColor="text1"/>
          <w:sz w:val="16"/>
          <w:szCs w:val="16"/>
        </w:rPr>
        <w:softHyphen/>
        <w:t>ции, эти писатели обвиняли значительную часть дореволюционного рус</w:t>
      </w:r>
      <w:r w:rsidRPr="0044524F">
        <w:rPr>
          <w:rFonts w:ascii="Times New Roman" w:hAnsi="Times New Roman"/>
          <w:color w:val="000000" w:themeColor="text1"/>
          <w:sz w:val="16"/>
          <w:szCs w:val="16"/>
        </w:rPr>
        <w:softHyphen/>
        <w:t>ского инженерного сословия в плутоватости. Надо понимать, что они вре</w:t>
      </w:r>
      <w:r w:rsidRPr="0044524F">
        <w:rPr>
          <w:rFonts w:ascii="Times New Roman" w:hAnsi="Times New Roman"/>
          <w:color w:val="000000" w:themeColor="text1"/>
          <w:sz w:val="16"/>
          <w:szCs w:val="16"/>
        </w:rPr>
        <w:softHyphen/>
        <w:t>дили в свое время и царизму (11504).</w:t>
      </w:r>
    </w:p>
    <w:p w14:paraId="004FBF9D" w14:textId="77777777" w:rsidR="0092497E" w:rsidRPr="0044524F" w:rsidRDefault="0092497E" w:rsidP="009654CF">
      <w:pPr>
        <w:shd w:val="clear" w:color="auto" w:fill="FFFFFF"/>
        <w:spacing w:after="0" w:line="240" w:lineRule="auto"/>
        <w:jc w:val="both"/>
        <w:rPr>
          <w:rFonts w:ascii="Times New Roman" w:hAnsi="Times New Roman"/>
          <w:color w:val="000000" w:themeColor="text1"/>
          <w:sz w:val="16"/>
          <w:szCs w:val="16"/>
        </w:rPr>
      </w:pPr>
    </w:p>
    <w:p w14:paraId="0E769546"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6494A7C" w14:textId="77777777" w:rsidR="0092497E" w:rsidRPr="0044524F" w:rsidRDefault="0092497E" w:rsidP="009654CF">
      <w:pPr>
        <w:spacing w:after="0" w:line="240" w:lineRule="auto"/>
        <w:jc w:val="both"/>
        <w:rPr>
          <w:rFonts w:ascii="Times New Roman" w:hAnsi="Times New Roman"/>
          <w:iCs/>
          <w:color w:val="000000" w:themeColor="text1"/>
          <w:sz w:val="16"/>
          <w:szCs w:val="16"/>
        </w:rPr>
      </w:pPr>
    </w:p>
    <w:p w14:paraId="74BB7E1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 августа 1933 г. Дирксен пришел к Крестинскому и проинформировал его о заявлении Папена министру иностранных дел Нойрату и статс-секретарю МИД Б. фон Бюлову, в котором Папен категорически опроверг обвинение в том, что он сообщил французам о советско-германских военных отношениях по той простой причине, что «он был совершенно не в курсе взаимоотношений между рейхсвером и Красной Армией», и что ни с французским послом в Риме X. де Жувенелем, ни с французским послом в Берлине А. Франсуа-Понсэ он об этом не говорил. Впоследствии Г. Хильгер в своих воспоминаниях писал, что утверждения НКИДа об этом были «просто ложными» (ADAP, Ser.C, Bd. 1,2. S. 733—735; Hilger Gustav. Op. cit. S. 247). Несуразность повода, — ведь о военных взаимоотношениях Германии и СССР было известно и в Англии, и во Франции, и в Польше — равно как и поспешность, с которой Москва предприняла столь решительные действия, свидетельствуют о том, что лидеры СССР загодя, по собственной инициативе, готовились к разрыву военных связей с Германией. Военные отношения с Германией для советского правительства, с самого начала подходившего к ним с политической точки зрения, по сути никогда не были для него самодовлеющей величиной, но всегда являлись лишь функцией политических отношений между обеими странами. Особенно это усилилось после 1923 г., когда был взят курс на построение социализма в одной отдельно взятой стране. Поэтому, когда политическое взаимопонимание стало все больше уходить в прошлое, причем больше по вине Берлина, осознававшего эту «математическую» зависимость, Москва, сумевшая в предыдущие годы и особенно за годы первой пятилетки создать значительную военную промышленность, провести военную реформу и вырастить с германской помощью квалифицированные кадры комсостава, сделала вывод о том, что с национал-социалистической Германией ей «не по пути». В условиях кризиса политических и экономических взаимоотношений она сама сделала «сильный ход». Расчет был на то, что его по достоинству оценят в Париже, Варшаве, Лондоне. К тому времени советские руководители сумели уже «в основном» подготовить отход от Берлина форсированным и несколько демонстративным сближением с Парижем. Когда же стало ясно, что Париж (а вместе с ним и Варшава) в принципе готов заменить Берлин в качестве стратегического союзника Москвы, то ей оставалось лишь представить благовидный предлог для разрыва военных связей с Германией, что и было сделано Крестинским в беседе с Дирксеном 3 июня 1933г. А его своеобразным политическим обеспечением стали антисоветские речи А. Розенберга, отвечавшего в НСДАП за внешнеполитическую стратегию партии, а также меморандум, который министр экономики Германии А. Хугенберг (Гугенберг) вручил 16 июня 1933 г. </w:t>
      </w:r>
      <w:r w:rsidRPr="0044524F">
        <w:rPr>
          <w:rFonts w:ascii="Times New Roman" w:hAnsi="Times New Roman"/>
          <w:color w:val="000000" w:themeColor="text1"/>
          <w:sz w:val="16"/>
          <w:szCs w:val="16"/>
        </w:rPr>
        <w:lastRenderedPageBreak/>
        <w:t>председателю Международной экономической конференции в Лондоне X. Коллину. В нем Хугенберг под предлогом преодоления экономического кризиса наряду с требованием вернуть Германии потерянные колонии потребовал предоставления Германии «новых территорий для колонизации» за счет СССР. Он призвал западные державы положить конец «революции и внутренней разрухе, которые нашли свою исходную точку в России» («Меморандум Хугенберга» см.: ADAP, Ser.C, Bd.I,2. S. 557—562 (Dok. №312).). Крестинский, явно встревоженный «меморандумом Хугенберга», 23 июня 1933 г. в очередном ориентировочном письме Хинчуку писал, что данный меморандум отнюдь не является единичным выступлением Хугенберга, а «представляет из себя строго продуманный акт германского правительства в целом. &lt;...&gt; Гермпра готово принять участие в военной коалиции против нас, готово выставить основные военные силы для войны с нами и требует за это лишь двух вещей — свободы вооружений и компенсаций за счет СССР. &lt;...&gt; Нам прежде всего нужно будет помнить, что дружественным уверениям гермпра верить нельзя, что в более отдаленные политические планы Германии входит война с нами, что нынешнее положение является лишь временной передышкой» (АВП РФ, ф. 082, оп. 16, п. 71, д. 1, л. 266-267.) (11784). «Меморандум Хугенберга» напрочь отрезал пути возврата к «рапалльской политике», — в нем почти неприкрыто прозвучал призыв к войне против СССР. После этого переориентация СССР с Германии на Францию и Польшу стала уже лишь «делом техники». В начале июля 1933 г. Москва предложила Парижу заключить негласное и устное двустороннее джентльменское соглашение о взаимном обмене информацией по важнейшим проблемам обстановки в Европе, а также по соглашениям, которые каждая из сторон намеревалась заключать с третьими странами (Максимычев И. Ф. Указ, соч, с. 48—49.). 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57E26013"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228C99A3" w14:textId="77777777" w:rsidR="008C3A2F" w:rsidRPr="0044524F" w:rsidRDefault="008C3A2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 Дирксен пришел к Крестинскому и проинформировал его о заявлении Папена министру иностранных дел Нойрату и статс-секретарю МИД Б. фон Бюлову, в котором Папен категорически опроверг обвинение в том, что он сообщил французам о советско-германских военных отношениях по той простой причине, что «он был совершенно не в курсе взаимоотношений между рейхсвером и Красной Армией», и что ни с французским послом в Риме X. де Жувенелем, ни с французским послом в Берлине А. Франсуа-Понсэ он об этом не говорил. Впоследствии Г. Хильгер в своих воспоминаниях писал, что утверждения НКИДа об этом были «просто ложными». Несуразность повода, — ведь о военных взаимоотношениях Германии и СССР было известно и в Англии, и во Франции, и в Польше — равно как и поспешность, с которой Москва предприняла столь решительные действия, свидетельствуют о том, что лидеры СССР загодя, по собственной инициативе, готовились к разрыву военных связей с Германией (19269).</w:t>
      </w:r>
    </w:p>
    <w:p w14:paraId="06EEC8CD" w14:textId="77777777" w:rsidR="008C3A2F" w:rsidRPr="0044524F" w:rsidRDefault="008C3A2F" w:rsidP="009654CF">
      <w:pPr>
        <w:spacing w:after="0" w:line="240" w:lineRule="auto"/>
        <w:jc w:val="both"/>
        <w:rPr>
          <w:rFonts w:ascii="Times New Roman" w:hAnsi="Times New Roman"/>
          <w:color w:val="000000" w:themeColor="text1"/>
          <w:sz w:val="16"/>
          <w:szCs w:val="16"/>
        </w:rPr>
      </w:pPr>
    </w:p>
    <w:p w14:paraId="119A17FF"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F975BF7" w14:textId="77777777" w:rsidR="0092497E" w:rsidRPr="0044524F" w:rsidRDefault="0092497E" w:rsidP="009654CF">
      <w:pPr>
        <w:spacing w:after="0" w:line="240" w:lineRule="auto"/>
        <w:jc w:val="both"/>
        <w:rPr>
          <w:rFonts w:ascii="Times New Roman" w:hAnsi="Times New Roman"/>
          <w:iCs/>
          <w:color w:val="000000" w:themeColor="text1"/>
          <w:sz w:val="16"/>
          <w:szCs w:val="16"/>
        </w:rPr>
      </w:pPr>
    </w:p>
    <w:p w14:paraId="3C96425C" w14:textId="77777777" w:rsidR="003A3EA7" w:rsidRPr="0044524F" w:rsidRDefault="003A3E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г. автожир А-6 вместе с одним из А-4 участвовал в ежегодном воздушном празднике, посвященном дню авиации. Газета «Правда» на следующий день так описа</w:t>
      </w:r>
      <w:r w:rsidRPr="0044524F">
        <w:rPr>
          <w:rFonts w:ascii="Times New Roman" w:hAnsi="Times New Roman"/>
          <w:color w:val="000000" w:themeColor="text1"/>
          <w:sz w:val="16"/>
          <w:szCs w:val="16"/>
        </w:rPr>
        <w:softHyphen/>
        <w:t>ла появление автожиров, причем корреспондентам это новое название не было известно, и они определили их как вертолеты: «.Два аэроплана странной конструкции, с крыльями, высоко поднятыми над туловищем, поднялись вверх, соперничая с истребителями в стремлении на</w:t>
      </w:r>
      <w:r w:rsidRPr="0044524F">
        <w:rPr>
          <w:rFonts w:ascii="Times New Roman" w:hAnsi="Times New Roman"/>
          <w:color w:val="000000" w:themeColor="text1"/>
          <w:sz w:val="16"/>
          <w:szCs w:val="16"/>
        </w:rPr>
        <w:softHyphen/>
        <w:t>брать высоту. Их полет нарочито медленен. Крылья само</w:t>
      </w:r>
      <w:r w:rsidRPr="0044524F">
        <w:rPr>
          <w:rFonts w:ascii="Times New Roman" w:hAnsi="Times New Roman"/>
          <w:color w:val="000000" w:themeColor="text1"/>
          <w:sz w:val="16"/>
          <w:szCs w:val="16"/>
        </w:rPr>
        <w:softHyphen/>
        <w:t>летов вращаются подобно крыльям ветряных мельниц. Вращение их образовывало над самолетом, плавающим в лучах солнца, сияющий круг.</w:t>
      </w:r>
    </w:p>
    <w:p w14:paraId="6B7CA606" w14:textId="77777777" w:rsidR="003A3EA7" w:rsidRPr="0044524F" w:rsidRDefault="003A3E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были вертолеты - стальные орлята, взращенные со</w:t>
      </w:r>
      <w:r w:rsidRPr="0044524F">
        <w:rPr>
          <w:rFonts w:ascii="Times New Roman" w:hAnsi="Times New Roman"/>
          <w:color w:val="000000" w:themeColor="text1"/>
          <w:sz w:val="16"/>
          <w:szCs w:val="16"/>
        </w:rPr>
        <w:softHyphen/>
        <w:t>ветскими конструкторами. Летчики Корзинщиков и По</w:t>
      </w:r>
      <w:r w:rsidRPr="0044524F">
        <w:rPr>
          <w:rFonts w:ascii="Times New Roman" w:hAnsi="Times New Roman"/>
          <w:color w:val="000000" w:themeColor="text1"/>
          <w:sz w:val="16"/>
          <w:szCs w:val="16"/>
        </w:rPr>
        <w:softHyphen/>
        <w:t>пов управляли невиданными воздушными машинами...» (29361).</w:t>
      </w:r>
    </w:p>
    <w:p w14:paraId="27FA35E2" w14:textId="77777777" w:rsidR="003A3EA7" w:rsidRPr="0044524F" w:rsidRDefault="003A3EA7" w:rsidP="009654CF">
      <w:pPr>
        <w:shd w:val="clear" w:color="auto" w:fill="FFFFFF"/>
        <w:spacing w:after="0" w:line="240" w:lineRule="auto"/>
        <w:jc w:val="both"/>
        <w:rPr>
          <w:rFonts w:ascii="Times New Roman" w:hAnsi="Times New Roman"/>
          <w:color w:val="000000" w:themeColor="text1"/>
          <w:sz w:val="16"/>
          <w:szCs w:val="16"/>
        </w:rPr>
      </w:pPr>
    </w:p>
    <w:p w14:paraId="4CAFF3C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состоялся первый воздушный парад в Тушино, посвященный дню ВФ СССР (решение об этом было принято в апреле - 24,74). 18 августа 1933 на воздушном празднике за ТБ-1 одновременно буксировали 11 планеров (94,8). За 2 минуты из АНТ-14 и двух АНТ-9 выбросили 62 парашютиста (24,75).</w:t>
      </w:r>
    </w:p>
    <w:p w14:paraId="1527624C"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ЦА были и АИР-5, и АИР-6, и АИР-7 (1771,7).</w:t>
      </w:r>
    </w:p>
    <w:p w14:paraId="22F2CB0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организовал выставку в ЦПКО и саду им. Баумана (298,220).</w:t>
      </w:r>
    </w:p>
    <w:p w14:paraId="5762FDEB"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0BB3F352" w14:textId="77777777" w:rsidR="006A4DAE" w:rsidRPr="0044524F" w:rsidRDefault="006A4DAE" w:rsidP="009654CF">
      <w:pPr>
        <w:pStyle w:val="84"/>
        <w:shd w:val="clear" w:color="auto" w:fill="auto"/>
        <w:spacing w:after="0" w:line="240" w:lineRule="auto"/>
        <w:ind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г. тысячи москви</w:t>
      </w:r>
      <w:r w:rsidRPr="0044524F">
        <w:rPr>
          <w:rFonts w:ascii="Times New Roman" w:hAnsi="Times New Roman"/>
          <w:color w:val="000000" w:themeColor="text1"/>
          <w:sz w:val="16"/>
          <w:szCs w:val="16"/>
        </w:rPr>
        <w:softHyphen/>
        <w:t>чей и «гостей столицы», не избало</w:t>
      </w:r>
      <w:r w:rsidRPr="0044524F">
        <w:rPr>
          <w:rFonts w:ascii="Times New Roman" w:hAnsi="Times New Roman"/>
          <w:color w:val="000000" w:themeColor="text1"/>
          <w:sz w:val="16"/>
          <w:szCs w:val="16"/>
        </w:rPr>
        <w:softHyphen/>
        <w:t>ванных в ту пору ни хлебом, ни зрели</w:t>
      </w:r>
      <w:r w:rsidRPr="0044524F">
        <w:rPr>
          <w:rFonts w:ascii="Times New Roman" w:hAnsi="Times New Roman"/>
          <w:color w:val="000000" w:themeColor="text1"/>
          <w:sz w:val="16"/>
          <w:szCs w:val="16"/>
        </w:rPr>
        <w:softHyphen/>
        <w:t>щами, собрались на Центральном аэро</w:t>
      </w:r>
      <w:r w:rsidRPr="0044524F">
        <w:rPr>
          <w:rFonts w:ascii="Times New Roman" w:hAnsi="Times New Roman"/>
          <w:color w:val="000000" w:themeColor="text1"/>
          <w:sz w:val="16"/>
          <w:szCs w:val="16"/>
        </w:rPr>
        <w:softHyphen/>
        <w:t>дроме имени М.В. Фрунзе. Впервые в стране состоялся масштабный смотр авиационных достижений. Посмотреть было на что. Итак, история легендар</w:t>
      </w:r>
      <w:r w:rsidRPr="0044524F">
        <w:rPr>
          <w:rFonts w:ascii="Times New Roman" w:hAnsi="Times New Roman"/>
          <w:color w:val="000000" w:themeColor="text1"/>
          <w:sz w:val="16"/>
          <w:szCs w:val="16"/>
        </w:rPr>
        <w:softHyphen/>
        <w:t>ного Праздника началась...</w:t>
      </w:r>
    </w:p>
    <w:p w14:paraId="118A4731" w14:textId="77777777" w:rsidR="006A4DAE" w:rsidRPr="0044524F" w:rsidRDefault="006A4DAE" w:rsidP="009654CF">
      <w:pPr>
        <w:pStyle w:val="84"/>
        <w:shd w:val="clear" w:color="auto" w:fill="auto"/>
        <w:spacing w:after="0" w:line="240" w:lineRule="auto"/>
        <w:ind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1933 по 1991 г. советские авиаторы отметили профессиональ</w:t>
      </w:r>
      <w:r w:rsidRPr="0044524F">
        <w:rPr>
          <w:rFonts w:ascii="Times New Roman" w:hAnsi="Times New Roman"/>
          <w:color w:val="000000" w:themeColor="text1"/>
          <w:sz w:val="16"/>
          <w:szCs w:val="16"/>
        </w:rPr>
        <w:softHyphen/>
        <w:t>ный праздник 59 раз. Из них 24 раза День Воздушного Флота СССР со</w:t>
      </w:r>
      <w:r w:rsidRPr="0044524F">
        <w:rPr>
          <w:rFonts w:ascii="Times New Roman" w:hAnsi="Times New Roman"/>
          <w:color w:val="000000" w:themeColor="text1"/>
          <w:sz w:val="16"/>
          <w:szCs w:val="16"/>
        </w:rPr>
        <w:softHyphen/>
        <w:t>стоялся 18 августа. Как уже было сказано ранее, с 1933 по 1940 г. (восемь раз) праздничный день — 18 августа был и выходным по так называемой шестидневке. Шесть раз 18 августа, по воле календаря, при</w:t>
      </w:r>
      <w:r w:rsidRPr="0044524F">
        <w:rPr>
          <w:rFonts w:ascii="Times New Roman" w:hAnsi="Times New Roman"/>
          <w:color w:val="000000" w:themeColor="text1"/>
          <w:sz w:val="16"/>
          <w:szCs w:val="16"/>
        </w:rPr>
        <w:softHyphen/>
        <w:t>шлось на воскресенье. В итоге, из 59 лет существования Дня Авиации СССР, 18 августа являлся только праздничным днем лишь десять раз. Здесь я вынужден констатировать — именно эти годы (исключая годы войны) стали годами забвения Празд</w:t>
      </w:r>
      <w:r w:rsidRPr="0044524F">
        <w:rPr>
          <w:rFonts w:ascii="Times New Roman" w:hAnsi="Times New Roman"/>
          <w:color w:val="000000" w:themeColor="text1"/>
          <w:sz w:val="16"/>
          <w:szCs w:val="16"/>
        </w:rPr>
        <w:softHyphen/>
        <w:t>ника. С 1960 по 1971 г., за редким исключением (парады 1961 и 1967 г.), не возникало необходимости пере</w:t>
      </w:r>
      <w:r w:rsidRPr="0044524F">
        <w:rPr>
          <w:rFonts w:ascii="Times New Roman" w:hAnsi="Times New Roman"/>
          <w:color w:val="000000" w:themeColor="text1"/>
          <w:sz w:val="16"/>
          <w:szCs w:val="16"/>
        </w:rPr>
        <w:softHyphen/>
        <w:t>носить с 18 августа Праздник, стре</w:t>
      </w:r>
      <w:r w:rsidRPr="0044524F">
        <w:rPr>
          <w:rFonts w:ascii="Times New Roman" w:hAnsi="Times New Roman"/>
          <w:color w:val="000000" w:themeColor="text1"/>
          <w:sz w:val="16"/>
          <w:szCs w:val="16"/>
        </w:rPr>
        <w:softHyphen/>
        <w:t>мительно теряющий статус всенарод</w:t>
      </w:r>
      <w:r w:rsidRPr="0044524F">
        <w:rPr>
          <w:rFonts w:ascii="Times New Roman" w:hAnsi="Times New Roman"/>
          <w:color w:val="000000" w:themeColor="text1"/>
          <w:sz w:val="16"/>
          <w:szCs w:val="16"/>
        </w:rPr>
        <w:softHyphen/>
        <w:t>ного, и превращающийся в один из многих профессиональных. Праздно</w:t>
      </w:r>
      <w:r w:rsidRPr="0044524F">
        <w:rPr>
          <w:rFonts w:ascii="Times New Roman" w:hAnsi="Times New Roman"/>
          <w:color w:val="000000" w:themeColor="text1"/>
          <w:sz w:val="16"/>
          <w:szCs w:val="16"/>
        </w:rPr>
        <w:softHyphen/>
        <w:t>вание Дня Воздушного Флота СССР свелось к протокольным мероприяти</w:t>
      </w:r>
      <w:r w:rsidRPr="0044524F">
        <w:rPr>
          <w:rFonts w:ascii="Times New Roman" w:hAnsi="Times New Roman"/>
          <w:color w:val="000000" w:themeColor="text1"/>
          <w:sz w:val="16"/>
          <w:szCs w:val="16"/>
        </w:rPr>
        <w:softHyphen/>
        <w:t>ям. Основной задачей авиаторов в столице и на местах являлось прове</w:t>
      </w:r>
      <w:r w:rsidRPr="0044524F">
        <w:rPr>
          <w:rFonts w:ascii="Times New Roman" w:hAnsi="Times New Roman"/>
          <w:color w:val="000000" w:themeColor="text1"/>
          <w:sz w:val="16"/>
          <w:szCs w:val="16"/>
        </w:rPr>
        <w:softHyphen/>
        <w:t>дение торжественных собраний с речами, из года в год писанными под копирку, праздничного концерта и, ес</w:t>
      </w:r>
      <w:r w:rsidRPr="0044524F">
        <w:rPr>
          <w:rFonts w:ascii="Times New Roman" w:hAnsi="Times New Roman"/>
          <w:color w:val="000000" w:themeColor="text1"/>
          <w:sz w:val="16"/>
          <w:szCs w:val="16"/>
        </w:rPr>
        <w:softHyphen/>
        <w:t>тественно, застолья с традиционны</w:t>
      </w:r>
      <w:r w:rsidRPr="0044524F">
        <w:rPr>
          <w:rFonts w:ascii="Times New Roman" w:hAnsi="Times New Roman"/>
          <w:color w:val="000000" w:themeColor="text1"/>
          <w:sz w:val="16"/>
          <w:szCs w:val="16"/>
        </w:rPr>
        <w:softHyphen/>
        <w:t>ми здравицами</w:t>
      </w:r>
    </w:p>
    <w:tbl>
      <w:tblPr>
        <w:tblW w:w="0" w:type="auto"/>
        <w:tblLayout w:type="fixed"/>
        <w:tblCellMar>
          <w:left w:w="10" w:type="dxa"/>
          <w:right w:w="10" w:type="dxa"/>
        </w:tblCellMar>
        <w:tblLook w:val="0000" w:firstRow="0" w:lastRow="0" w:firstColumn="0" w:lastColumn="0" w:noHBand="0" w:noVBand="0"/>
      </w:tblPr>
      <w:tblGrid>
        <w:gridCol w:w="833"/>
        <w:gridCol w:w="2048"/>
        <w:gridCol w:w="1980"/>
        <w:gridCol w:w="5498"/>
      </w:tblGrid>
      <w:tr w:rsidR="004E10C1" w:rsidRPr="0044524F" w14:paraId="20AE4112" w14:textId="77777777" w:rsidTr="00CE35D9">
        <w:trPr>
          <w:trHeight w:val="300"/>
        </w:trPr>
        <w:tc>
          <w:tcPr>
            <w:tcW w:w="833" w:type="dxa"/>
            <w:tcBorders>
              <w:top w:val="single" w:sz="6" w:space="0" w:color="auto"/>
              <w:left w:val="single" w:sz="6" w:space="0" w:color="auto"/>
              <w:right w:val="single" w:sz="6" w:space="0" w:color="auto"/>
            </w:tcBorders>
            <w:shd w:val="clear" w:color="auto" w:fill="FFFFFF"/>
          </w:tcPr>
          <w:p w14:paraId="00D9D156" w14:textId="77777777" w:rsidR="006A4DAE" w:rsidRPr="0044524F" w:rsidRDefault="006A4DAE" w:rsidP="009654CF">
            <w:pPr>
              <w:pStyle w:val="241"/>
              <w:shd w:val="clear" w:color="auto" w:fill="auto"/>
              <w:spacing w:before="0"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Год</w:t>
            </w:r>
          </w:p>
        </w:tc>
        <w:tc>
          <w:tcPr>
            <w:tcW w:w="4028" w:type="dxa"/>
            <w:gridSpan w:val="2"/>
            <w:tcBorders>
              <w:top w:val="single" w:sz="6" w:space="0" w:color="auto"/>
              <w:left w:val="single" w:sz="6" w:space="0" w:color="auto"/>
              <w:bottom w:val="single" w:sz="6" w:space="0" w:color="auto"/>
              <w:right w:val="single" w:sz="6" w:space="0" w:color="auto"/>
            </w:tcBorders>
            <w:shd w:val="clear" w:color="auto" w:fill="FFFFFF"/>
          </w:tcPr>
          <w:p w14:paraId="3F407C00" w14:textId="77777777" w:rsidR="006A4DAE" w:rsidRPr="0044524F" w:rsidRDefault="006A4DAE" w:rsidP="009654CF">
            <w:pPr>
              <w:pStyle w:val="241"/>
              <w:shd w:val="clear" w:color="auto" w:fill="auto"/>
              <w:spacing w:before="0"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Дата проведения</w:t>
            </w:r>
          </w:p>
        </w:tc>
        <w:tc>
          <w:tcPr>
            <w:tcW w:w="5498" w:type="dxa"/>
            <w:tcBorders>
              <w:top w:val="single" w:sz="6" w:space="0" w:color="auto"/>
              <w:left w:val="single" w:sz="6" w:space="0" w:color="auto"/>
              <w:right w:val="single" w:sz="6" w:space="0" w:color="auto"/>
            </w:tcBorders>
            <w:shd w:val="clear" w:color="auto" w:fill="FFFFFF"/>
          </w:tcPr>
          <w:p w14:paraId="27E1E8D7" w14:textId="77777777" w:rsidR="006A4DAE" w:rsidRPr="0044524F" w:rsidRDefault="006A4DAE" w:rsidP="009654CF">
            <w:pPr>
              <w:pStyle w:val="241"/>
              <w:shd w:val="clear" w:color="auto" w:fill="auto"/>
              <w:spacing w:before="0"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Место проведения авиационного праздника (примечания)</w:t>
            </w:r>
          </w:p>
        </w:tc>
      </w:tr>
      <w:tr w:rsidR="004E10C1" w:rsidRPr="0044524F" w14:paraId="58B02D1B" w14:textId="77777777" w:rsidTr="00CE35D9">
        <w:trPr>
          <w:trHeight w:val="593"/>
        </w:trPr>
        <w:tc>
          <w:tcPr>
            <w:tcW w:w="833" w:type="dxa"/>
            <w:tcBorders>
              <w:left w:val="single" w:sz="6" w:space="0" w:color="auto"/>
              <w:bottom w:val="single" w:sz="6" w:space="0" w:color="auto"/>
              <w:right w:val="single" w:sz="6" w:space="0" w:color="auto"/>
            </w:tcBorders>
            <w:shd w:val="clear" w:color="auto" w:fill="FFFFFF"/>
          </w:tcPr>
          <w:p w14:paraId="58031585" w14:textId="77777777" w:rsidR="006A4DAE" w:rsidRPr="0044524F" w:rsidRDefault="006A4DAE" w:rsidP="009654CF">
            <w:pPr>
              <w:spacing w:after="0" w:line="240" w:lineRule="auto"/>
              <w:jc w:val="both"/>
              <w:rPr>
                <w:rFonts w:ascii="Times New Roman" w:hAnsi="Times New Roman"/>
                <w:color w:val="000000" w:themeColor="text1"/>
                <w:sz w:val="16"/>
                <w:szCs w:val="16"/>
              </w:rPr>
            </w:pP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95D822F" w14:textId="77777777" w:rsidR="006A4DAE" w:rsidRPr="0044524F" w:rsidRDefault="006A4DAE" w:rsidP="009654CF">
            <w:pPr>
              <w:pStyle w:val="241"/>
              <w:shd w:val="clear" w:color="auto" w:fill="auto"/>
              <w:spacing w:before="0"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Дня Воздушного Флота СССР</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63580A02" w14:textId="77777777" w:rsidR="006A4DAE" w:rsidRPr="0044524F" w:rsidRDefault="006A4DAE" w:rsidP="009654CF">
            <w:pPr>
              <w:pStyle w:val="241"/>
              <w:shd w:val="clear" w:color="auto" w:fill="auto"/>
              <w:spacing w:before="0"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Авиационного праздника</w:t>
            </w:r>
          </w:p>
        </w:tc>
        <w:tc>
          <w:tcPr>
            <w:tcW w:w="5498" w:type="dxa"/>
            <w:tcBorders>
              <w:left w:val="single" w:sz="6" w:space="0" w:color="auto"/>
              <w:bottom w:val="single" w:sz="6" w:space="0" w:color="auto"/>
              <w:right w:val="single" w:sz="6" w:space="0" w:color="auto"/>
            </w:tcBorders>
            <w:shd w:val="clear" w:color="auto" w:fill="FFFFFF"/>
          </w:tcPr>
          <w:p w14:paraId="4384CCC3" w14:textId="77777777" w:rsidR="006A4DAE" w:rsidRPr="0044524F" w:rsidRDefault="006A4DAE" w:rsidP="009654CF">
            <w:pPr>
              <w:spacing w:after="0" w:line="240" w:lineRule="auto"/>
              <w:jc w:val="both"/>
              <w:rPr>
                <w:rFonts w:ascii="Times New Roman" w:hAnsi="Times New Roman"/>
                <w:color w:val="000000" w:themeColor="text1"/>
                <w:sz w:val="16"/>
                <w:szCs w:val="16"/>
              </w:rPr>
            </w:pPr>
          </w:p>
        </w:tc>
      </w:tr>
      <w:tr w:rsidR="004E10C1" w:rsidRPr="0044524F" w14:paraId="529F770E"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9BF3D98"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8AAF9C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123D80BE"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C80C20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Центральный аэродром имени М.В.Фрунзе</w:t>
            </w:r>
          </w:p>
        </w:tc>
      </w:tr>
      <w:tr w:rsidR="004E10C1" w:rsidRPr="0044524F" w14:paraId="5B4F4D1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AA733FE"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B82844C"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91A161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8CEA9A7"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6D820BC6"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C4CB0D7"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528E0E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C48CB9F"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FB8542C"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нс-</w:t>
            </w:r>
          </w:p>
        </w:tc>
      </w:tr>
      <w:tr w:rsidR="004E10C1" w:rsidRPr="0044524F" w14:paraId="37F46C99"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10AAB6F"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15F889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9078C0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192CDF8"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Перенос по метеоусловиям</w:t>
            </w:r>
          </w:p>
        </w:tc>
      </w:tr>
      <w:tr w:rsidR="004E10C1" w:rsidRPr="0044524F" w14:paraId="28D028A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6F70AB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E61EB5D"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D8F181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59B106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07AF9A87"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54B4C9E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6B2ECC7"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9324ECF"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A061DBC" w14:textId="77777777" w:rsidR="006A4DAE" w:rsidRPr="0044524F" w:rsidRDefault="006A4DAE" w:rsidP="009654CF">
            <w:pPr>
              <w:pStyle w:val="281"/>
              <w:shd w:val="clear" w:color="auto" w:fill="auto"/>
              <w:spacing w:after="0" w:line="240" w:lineRule="auto"/>
              <w:jc w:val="both"/>
              <w:rPr>
                <w:rFonts w:ascii="Times New Roman" w:hAnsi="Times New Roman" w:cs="Times New Roman"/>
                <w:color w:val="000000" w:themeColor="text1"/>
                <w:spacing w:val="0"/>
                <w:sz w:val="16"/>
                <w:szCs w:val="16"/>
              </w:rPr>
            </w:pPr>
            <w:r w:rsidRPr="0044524F">
              <w:rPr>
                <w:rFonts w:ascii="Times New Roman" w:hAnsi="Times New Roman" w:cs="Times New Roman"/>
                <w:color w:val="000000" w:themeColor="text1"/>
                <w:spacing w:val="0"/>
                <w:sz w:val="16"/>
                <w:szCs w:val="16"/>
              </w:rPr>
              <w:t>-«-</w:t>
            </w:r>
          </w:p>
        </w:tc>
      </w:tr>
      <w:tr w:rsidR="004E10C1" w:rsidRPr="0044524F" w14:paraId="7FCC2FF2" w14:textId="77777777" w:rsidTr="00CE35D9">
        <w:trPr>
          <w:trHeight w:val="285"/>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6C7EFB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F44A5BC"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796FE2E"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6A1FF4E"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w:t>
            </w:r>
          </w:p>
        </w:tc>
      </w:tr>
      <w:tr w:rsidR="004E10C1" w:rsidRPr="0044524F" w14:paraId="3A3E8F26"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5758443C"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03E8C3C"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A96BCDB"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3D7D620"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A2F7B5D"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D0672A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4B69664E"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5869EEC"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88B7C6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планировался</w:t>
            </w:r>
          </w:p>
        </w:tc>
      </w:tr>
      <w:tr w:rsidR="004E10C1" w:rsidRPr="0044524F" w14:paraId="25F3572E"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A9C8EB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1942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31C5DA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241683F"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249028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планировался</w:t>
            </w:r>
          </w:p>
        </w:tc>
      </w:tr>
      <w:tr w:rsidR="004E10C1" w:rsidRPr="0044524F" w14:paraId="3D4CDB0C"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3643A8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7263D70"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10FB6D8"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2E66F68"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планировался</w:t>
            </w:r>
          </w:p>
        </w:tc>
      </w:tr>
      <w:tr w:rsidR="004E10C1" w:rsidRPr="0044524F" w14:paraId="55A419B4"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87C354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014971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10F462D0"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A7F6DCD"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планировался</w:t>
            </w:r>
          </w:p>
        </w:tc>
      </w:tr>
      <w:tr w:rsidR="004E10C1" w:rsidRPr="0044524F" w14:paraId="00AA42EE"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37AEC2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DC16A6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01AF484"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5232760"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Отмена по метеоусловиям</w:t>
            </w:r>
          </w:p>
        </w:tc>
      </w:tr>
      <w:tr w:rsidR="004E10C1" w:rsidRPr="0044524F" w14:paraId="57C0888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ED648A7"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DADFE3F"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6FF721E"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0C9C613"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2F7B90E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042F47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3A978D5"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478D6A08"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729890E"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нс-</w:t>
            </w:r>
          </w:p>
        </w:tc>
      </w:tr>
      <w:tr w:rsidR="004E10C1" w:rsidRPr="0044524F" w14:paraId="05EF1D2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272342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2476DEB"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6950C19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A1F82F0"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Перенос по метеоусловиям</w:t>
            </w:r>
          </w:p>
        </w:tc>
      </w:tr>
      <w:tr w:rsidR="004E10C1" w:rsidRPr="0044524F" w14:paraId="1E2F8DD9"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13E7DEB"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57179E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D5EBBCF"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657B7B5"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4ED89931"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2161714F"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244B55F"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10EED6E8"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5B72A25"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Отмена по метеоусловиям</w:t>
            </w:r>
          </w:p>
        </w:tc>
      </w:tr>
      <w:tr w:rsidR="004E10C1" w:rsidRPr="0044524F" w14:paraId="469E905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679DF24"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C7248F5"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765D9E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964AF1C"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23BA251F"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C13A11C"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8188AA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08C46E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08970D3" w14:textId="77777777" w:rsidR="006A4DAE" w:rsidRPr="0044524F" w:rsidRDefault="006A4DAE" w:rsidP="009654CF">
            <w:pPr>
              <w:pStyle w:val="26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01A36DC"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72EE144"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C84C0B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BE25CF0"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261433F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Перенос по метеоусловиям</w:t>
            </w:r>
          </w:p>
        </w:tc>
      </w:tr>
      <w:tr w:rsidR="004E10C1" w:rsidRPr="0044524F" w14:paraId="713C9AFB"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8B7959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5F2FC33"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июня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5C226C5"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июня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455F8F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0AB8DB7D"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D12701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76210C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82A322D"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5D3D5AB" w14:textId="77777777" w:rsidR="006A4DAE" w:rsidRPr="0044524F" w:rsidRDefault="006A4DAE" w:rsidP="009654CF">
            <w:pPr>
              <w:spacing w:after="0" w:line="240" w:lineRule="auto"/>
              <w:jc w:val="both"/>
              <w:rPr>
                <w:rFonts w:ascii="Times New Roman" w:hAnsi="Times New Roman"/>
                <w:color w:val="000000" w:themeColor="text1"/>
                <w:sz w:val="16"/>
                <w:szCs w:val="16"/>
              </w:rPr>
            </w:pPr>
          </w:p>
        </w:tc>
      </w:tr>
      <w:tr w:rsidR="004E10C1" w:rsidRPr="0044524F" w14:paraId="4F4B2717"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0C9002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6A16FB4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июня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EB1E3D4"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июня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97DEF1E" w14:textId="77777777" w:rsidR="006A4DAE" w:rsidRPr="0044524F" w:rsidRDefault="006A4DAE" w:rsidP="009654CF">
            <w:pPr>
              <w:spacing w:after="0" w:line="240" w:lineRule="auto"/>
              <w:jc w:val="both"/>
              <w:rPr>
                <w:rFonts w:ascii="Times New Roman" w:hAnsi="Times New Roman"/>
                <w:color w:val="000000" w:themeColor="text1"/>
                <w:sz w:val="16"/>
                <w:szCs w:val="16"/>
              </w:rPr>
            </w:pPr>
          </w:p>
        </w:tc>
      </w:tr>
      <w:tr w:rsidR="004E10C1" w:rsidRPr="0044524F" w14:paraId="28C40AC8"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1278B5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519C80C"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июня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91C51B9"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E77E620"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Отмена по метеоусловиям</w:t>
            </w:r>
          </w:p>
        </w:tc>
      </w:tr>
      <w:tr w:rsidR="004E10C1" w:rsidRPr="0044524F" w14:paraId="51C52AFA"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3DE542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1958</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034E35AE"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6A6E16D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1C6E627E"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ДОСААФ, ГВФ</w:t>
            </w:r>
          </w:p>
        </w:tc>
      </w:tr>
      <w:tr w:rsidR="004E10C1" w:rsidRPr="0044524F" w14:paraId="1E56CD97"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40EA34C"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09B525C"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31B34C4B"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Style w:val="251"/>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682ADE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планировался</w:t>
            </w:r>
          </w:p>
        </w:tc>
      </w:tr>
      <w:tr w:rsidR="004E10C1" w:rsidRPr="0044524F" w14:paraId="29611309"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319DCB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1960</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2344D0B"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B7C513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21-28 овгусто</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B43F6D4"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Чемпионат СССР по самолетному спорту но Тушинском аэродроме</w:t>
            </w:r>
          </w:p>
        </w:tc>
      </w:tr>
      <w:tr w:rsidR="004E10C1" w:rsidRPr="0044524F" w14:paraId="1A8F136E"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C240907"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D7B1354"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55A169C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2C642FEB"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79FAE1B6"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DE91A4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2A131C3"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CFEF350"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17—19 августо</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4BC90613"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2-е всесоюзные соревнований по высшему пилотажу на Тушинском аэродроме</w:t>
            </w:r>
          </w:p>
        </w:tc>
      </w:tr>
      <w:tr w:rsidR="004E10C1" w:rsidRPr="0044524F" w14:paraId="374B42E4" w14:textId="77777777" w:rsidTr="00CE35D9">
        <w:trPr>
          <w:trHeight w:val="56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28B20904"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1963</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5110A8B5"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072501D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июня — 7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1C3958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Международные товарищеские соревнования по высшему пилотажу на Тушинском оэродроме</w:t>
            </w:r>
          </w:p>
        </w:tc>
      </w:tr>
      <w:tr w:rsidR="004E10C1" w:rsidRPr="0044524F" w14:paraId="60A63DA4"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5D51F42D"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1964</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C1149E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E4CD772"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4F1F08D"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планировался</w:t>
            </w:r>
          </w:p>
        </w:tc>
      </w:tr>
      <w:tr w:rsidR="004E10C1" w:rsidRPr="0044524F" w14:paraId="56C263B0"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497B66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B3DC153"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B2E453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9218A4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6D960AB8"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A7742FB"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4C51948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августо</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0BC47A0"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7—14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0214A8A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чемпионат мира по высшему пилотажу но Тушинском аэродроме</w:t>
            </w:r>
          </w:p>
        </w:tc>
      </w:tr>
      <w:tr w:rsidR="004E10C1" w:rsidRPr="0044524F" w14:paraId="089790D3"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302613B5"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FCECFA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C01561D"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июля</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A51A0ED"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Аэропорт Домодедово</w:t>
            </w:r>
          </w:p>
        </w:tc>
      </w:tr>
      <w:tr w:rsidR="004E10C1" w:rsidRPr="0044524F" w14:paraId="2020DAC3" w14:textId="77777777" w:rsidTr="00CE35D9">
        <w:trPr>
          <w:trHeight w:val="270"/>
        </w:trPr>
        <w:tc>
          <w:tcPr>
            <w:tcW w:w="10359" w:type="dxa"/>
            <w:gridSpan w:val="4"/>
            <w:tcBorders>
              <w:top w:val="single" w:sz="6" w:space="0" w:color="auto"/>
              <w:left w:val="single" w:sz="6" w:space="0" w:color="auto"/>
              <w:bottom w:val="single" w:sz="6" w:space="0" w:color="auto"/>
              <w:right w:val="single" w:sz="6" w:space="0" w:color="auto"/>
            </w:tcBorders>
            <w:shd w:val="clear" w:color="auto" w:fill="FFFFFF"/>
          </w:tcPr>
          <w:p w14:paraId="399B9145"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1968 по 1971 гг. - 18 августа</w:t>
            </w:r>
          </w:p>
        </w:tc>
      </w:tr>
      <w:tr w:rsidR="004E10C1" w:rsidRPr="0044524F" w14:paraId="5FE1A89D" w14:textId="77777777" w:rsidTr="00CE35D9">
        <w:trPr>
          <w:trHeight w:val="548"/>
        </w:trPr>
        <w:tc>
          <w:tcPr>
            <w:tcW w:w="4861" w:type="dxa"/>
            <w:gridSpan w:val="3"/>
            <w:tcBorders>
              <w:top w:val="single" w:sz="6" w:space="0" w:color="auto"/>
              <w:left w:val="single" w:sz="6" w:space="0" w:color="auto"/>
              <w:bottom w:val="single" w:sz="6" w:space="0" w:color="auto"/>
              <w:right w:val="single" w:sz="6" w:space="0" w:color="auto"/>
            </w:tcBorders>
            <w:shd w:val="clear" w:color="auto" w:fill="FFFFFF"/>
          </w:tcPr>
          <w:p w14:paraId="27752463"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1972 по 1991 гг.- Воскресенье пришлось на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401B09F"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третье воскресенье августо. 8 августа в 1974, 1985 и 1991 гг.</w:t>
            </w:r>
          </w:p>
        </w:tc>
      </w:tr>
      <w:tr w:rsidR="004E10C1" w:rsidRPr="0044524F" w14:paraId="1C5C5FF9" w14:textId="77777777" w:rsidTr="00CE35D9">
        <w:trPr>
          <w:trHeight w:val="54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6F0E7B9B"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1976</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19A8CAB8"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B75AD6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июля — 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C8A9AAA"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VIII чемпионат мирю по высшему пилотажу в Киеве</w:t>
            </w:r>
          </w:p>
        </w:tc>
      </w:tr>
      <w:tr w:rsidR="004E10C1" w:rsidRPr="0044524F" w14:paraId="1C1F9616"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EDAA2CF"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19 77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44A4A063"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AA9D0D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5FBE21B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азродром</w:t>
            </w:r>
          </w:p>
        </w:tc>
      </w:tr>
      <w:tr w:rsidR="004E10C1" w:rsidRPr="0044524F" w14:paraId="544CB886"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02CD9D77"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1982</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51E9F0C"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22C8476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августо</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8684C8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35400DEE" w14:textId="77777777" w:rsidTr="00CE35D9">
        <w:trPr>
          <w:trHeight w:val="270"/>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1E4FD2A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1985</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751590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right w:val="single" w:sz="6" w:space="0" w:color="auto"/>
            </w:tcBorders>
            <w:shd w:val="clear" w:color="auto" w:fill="FFFFFF"/>
          </w:tcPr>
          <w:p w14:paraId="06D19E97"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32BDC51F"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0D9740AA"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5632ADD"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1987</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78706475"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августа</w:t>
            </w:r>
          </w:p>
        </w:tc>
        <w:tc>
          <w:tcPr>
            <w:tcW w:w="1980" w:type="dxa"/>
            <w:tcBorders>
              <w:left w:val="single" w:sz="6" w:space="0" w:color="auto"/>
              <w:bottom w:val="single" w:sz="6" w:space="0" w:color="auto"/>
              <w:right w:val="single" w:sz="6" w:space="0" w:color="auto"/>
            </w:tcBorders>
            <w:shd w:val="clear" w:color="auto" w:fill="FFFFFF"/>
          </w:tcPr>
          <w:p w14:paraId="0ACAC63B"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2023844D"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32E63EA1" w14:textId="77777777" w:rsidTr="00CE35D9">
        <w:trPr>
          <w:trHeight w:val="278"/>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7E98603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1989</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36AF3EF9"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C0FA401"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7F13BA7D"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r w:rsidR="004E10C1" w:rsidRPr="0044524F" w14:paraId="3203AD6F" w14:textId="77777777" w:rsidTr="00CE35D9">
        <w:trPr>
          <w:trHeight w:val="293"/>
        </w:trPr>
        <w:tc>
          <w:tcPr>
            <w:tcW w:w="833" w:type="dxa"/>
            <w:tcBorders>
              <w:top w:val="single" w:sz="6" w:space="0" w:color="auto"/>
              <w:left w:val="single" w:sz="6" w:space="0" w:color="auto"/>
              <w:bottom w:val="single" w:sz="6" w:space="0" w:color="auto"/>
              <w:right w:val="single" w:sz="6" w:space="0" w:color="auto"/>
            </w:tcBorders>
            <w:shd w:val="clear" w:color="auto" w:fill="FFFFFF"/>
          </w:tcPr>
          <w:p w14:paraId="45FD6BA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1991</w:t>
            </w:r>
          </w:p>
        </w:tc>
        <w:tc>
          <w:tcPr>
            <w:tcW w:w="2048" w:type="dxa"/>
            <w:tcBorders>
              <w:top w:val="single" w:sz="6" w:space="0" w:color="auto"/>
              <w:left w:val="single" w:sz="6" w:space="0" w:color="auto"/>
              <w:bottom w:val="single" w:sz="6" w:space="0" w:color="auto"/>
              <w:right w:val="single" w:sz="6" w:space="0" w:color="auto"/>
            </w:tcBorders>
            <w:shd w:val="clear" w:color="auto" w:fill="FFFFFF"/>
          </w:tcPr>
          <w:p w14:paraId="26178BE2"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1980" w:type="dxa"/>
            <w:tcBorders>
              <w:top w:val="single" w:sz="6" w:space="0" w:color="auto"/>
              <w:left w:val="single" w:sz="6" w:space="0" w:color="auto"/>
              <w:bottom w:val="single" w:sz="6" w:space="0" w:color="auto"/>
              <w:right w:val="single" w:sz="6" w:space="0" w:color="auto"/>
            </w:tcBorders>
            <w:shd w:val="clear" w:color="auto" w:fill="FFFFFF"/>
          </w:tcPr>
          <w:p w14:paraId="705E2900"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w:t>
            </w:r>
          </w:p>
        </w:tc>
        <w:tc>
          <w:tcPr>
            <w:tcW w:w="5498" w:type="dxa"/>
            <w:tcBorders>
              <w:top w:val="single" w:sz="6" w:space="0" w:color="auto"/>
              <w:left w:val="single" w:sz="6" w:space="0" w:color="auto"/>
              <w:bottom w:val="single" w:sz="6" w:space="0" w:color="auto"/>
              <w:right w:val="single" w:sz="6" w:space="0" w:color="auto"/>
            </w:tcBorders>
            <w:shd w:val="clear" w:color="auto" w:fill="FFFFFF"/>
          </w:tcPr>
          <w:p w14:paraId="6757E546" w14:textId="77777777" w:rsidR="006A4DAE" w:rsidRPr="0044524F" w:rsidRDefault="006A4DAE" w:rsidP="009654CF">
            <w:pPr>
              <w:pStyle w:val="230"/>
              <w:shd w:val="clear" w:color="auto" w:fill="auto"/>
              <w:spacing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Тушинский аэродром</w:t>
            </w:r>
          </w:p>
        </w:tc>
      </w:tr>
    </w:tbl>
    <w:p w14:paraId="52215098" w14:textId="77777777" w:rsidR="006A4DAE" w:rsidRPr="0044524F" w:rsidRDefault="006A4DAE" w:rsidP="009654CF">
      <w:pPr>
        <w:pStyle w:val="84"/>
        <w:shd w:val="clear" w:color="auto" w:fill="auto"/>
        <w:spacing w:after="0" w:line="240" w:lineRule="auto"/>
        <w:ind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(12118).</w:t>
      </w:r>
    </w:p>
    <w:p w14:paraId="631DA5D1" w14:textId="77777777" w:rsidR="006A4DAE" w:rsidRPr="0044524F" w:rsidRDefault="006A4DAE" w:rsidP="009654CF">
      <w:pPr>
        <w:spacing w:after="0" w:line="240" w:lineRule="auto"/>
        <w:jc w:val="both"/>
        <w:rPr>
          <w:rFonts w:ascii="Times New Roman" w:hAnsi="Times New Roman"/>
          <w:color w:val="000000" w:themeColor="text1"/>
          <w:sz w:val="16"/>
          <w:szCs w:val="16"/>
        </w:rPr>
      </w:pPr>
    </w:p>
    <w:p w14:paraId="500B9B9A" w14:textId="77777777" w:rsidR="00D6749B" w:rsidRPr="0044524F" w:rsidRDefault="00D674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г. по всему Советскому Союзу с большим воодушевлением праздновался всесоюзный "День воздушного флота". В городах, где позволили обстоятельства, аэродромы были заполнены зрителями, пришедшими посмотреть новую авиационную технику и искусство летчиков. Наиболее торжественно был отмечен праздник в Москве, где на центральном аэродроме состоялся воздушный парад, во время которого группа самотетов пролетела фигурным отроем в виде букв "СССР". Парад закончился одновременным спуском 62 парашютистов с самолетов АНТ-14 и двух АНТ-9. Продолжение праздника было в Центральном парке КиО им. Горького</w:t>
      </w:r>
    </w:p>
    <w:p w14:paraId="685D4D1E" w14:textId="77777777" w:rsidR="00D6749B" w:rsidRPr="0044524F" w:rsidRDefault="00D674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приказе РВС СССР № 137, изданном по случаю "Дня воздушного флота", отмечалось: "Опираясь на мощную авиационную промышленность, успешно освоившую массовое производство самолетов и моторов, цели</w:t>
      </w:r>
      <w:r w:rsidRPr="0044524F">
        <w:rPr>
          <w:rFonts w:ascii="Times New Roman" w:hAnsi="Times New Roman"/>
          <w:color w:val="000000" w:themeColor="text1"/>
          <w:sz w:val="16"/>
          <w:szCs w:val="16"/>
        </w:rPr>
        <w:softHyphen/>
        <w:t>ком и полностью изготовленных из нашего сырья и полуфабрикатов,- вырос и окреп наш воздушный флот, находящий себе широкое применение во всех областях социалистического строительства и несущий в самые отдаленные уголки советского союза знания, культуру, новейшую технику",</w:t>
      </w:r>
    </w:p>
    <w:p w14:paraId="5E64607F" w14:textId="26068C4A" w:rsidR="00D6749B" w:rsidRPr="0044524F" w:rsidRDefault="00D6749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20 августа 1933; "Самолет" 1934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3/ (23370).</w:t>
      </w:r>
    </w:p>
    <w:p w14:paraId="4BD6D7DB" w14:textId="77777777" w:rsidR="00D6749B" w:rsidRPr="0044524F" w:rsidRDefault="00D6749B" w:rsidP="009654CF">
      <w:pPr>
        <w:spacing w:after="0" w:line="240" w:lineRule="auto"/>
        <w:jc w:val="both"/>
        <w:rPr>
          <w:rFonts w:ascii="Times New Roman" w:hAnsi="Times New Roman"/>
          <w:color w:val="000000" w:themeColor="text1"/>
          <w:sz w:val="16"/>
          <w:szCs w:val="16"/>
        </w:rPr>
      </w:pPr>
    </w:p>
    <w:p w14:paraId="036F3186" w14:textId="77777777" w:rsidR="009870BF" w:rsidRPr="0044524F" w:rsidRDefault="009870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года</w:t>
      </w:r>
      <w:r w:rsidRPr="0044524F">
        <w:rPr>
          <w:rFonts w:ascii="Times New Roman" w:hAnsi="Times New Roman"/>
          <w:bCs/>
          <w:color w:val="000000" w:themeColor="text1"/>
          <w:sz w:val="16"/>
          <w:szCs w:val="16"/>
        </w:rPr>
        <w:t xml:space="preserve"> утром никогда ещё Ленинградское шоссе не было таким оживлённым. Его заполнили все виды городского транспорта, спешившего доставить десятки тысяч москвичей к Центральному аэродрому.» «Высоко-высоко над аэродромом возникла надпись «СССР», выведенная в небесной синеве чётким строем самолётов. Над нами пронеслись истребители и штурмовики; сотрясая воздух гулом моторов, торжественно проплыли тяжёлые многомоторные самолёты. Когда наступила тишина, репродукторы объявили о начале второго отделения праздника. «Сейчас вы увидите, — сказал диктор, — затяжные прыжки с парашютом. Их выполнят лётчики-парашютисты Николай Остряков и Пётр Балашов». «Прошло 20 секунд, прежде чем Остряков и Балашов открыли парашюты. В напряжённой тишине до нас почти одновременно донеслись сверху два гулких хлопка. И тотчас же разразилась буря рукоплесканий. А над аэродромом уже плыл АНТ</w:t>
      </w:r>
      <w:r w:rsidRPr="0044524F">
        <w:rPr>
          <w:rFonts w:ascii="Times New Roman" w:hAnsi="Times New Roman"/>
          <w:bCs/>
          <w:color w:val="000000" w:themeColor="text1"/>
          <w:sz w:val="16"/>
          <w:szCs w:val="16"/>
        </w:rPr>
        <w:noBreakHyphen/>
        <w:t xml:space="preserve">14 — пятимоторный агитационный самолёт «Правда» конструкции Андрея Николаевича Туполева. Вслед за ним летели несколько других, меньших самолётов. И вдруг мы </w:t>
      </w:r>
      <w:r w:rsidRPr="0044524F">
        <w:rPr>
          <w:rFonts w:ascii="Times New Roman" w:hAnsi="Times New Roman"/>
          <w:bCs/>
          <w:color w:val="000000" w:themeColor="text1"/>
          <w:sz w:val="16"/>
          <w:szCs w:val="16"/>
        </w:rPr>
        <w:lastRenderedPageBreak/>
        <w:t>увидели над собой много куполов. На землю опускались сразу шестьдесят два парашютиста! Такой необыкновенной картины не наблюдали ещё жители ни одного города в мире (17325).</w:t>
      </w:r>
    </w:p>
    <w:p w14:paraId="5BCB990D" w14:textId="77777777" w:rsidR="009870BF" w:rsidRPr="0044524F" w:rsidRDefault="009870BF" w:rsidP="009654CF">
      <w:pPr>
        <w:spacing w:after="0" w:line="240" w:lineRule="auto"/>
        <w:jc w:val="both"/>
        <w:rPr>
          <w:rFonts w:ascii="Times New Roman" w:hAnsi="Times New Roman"/>
          <w:color w:val="000000" w:themeColor="text1"/>
          <w:sz w:val="16"/>
          <w:szCs w:val="16"/>
        </w:rPr>
      </w:pPr>
    </w:p>
    <w:p w14:paraId="2CBB6A7B"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в Тушино состоялись Седьмые всесоюзные авиамодельные состязания (271,134).</w:t>
      </w:r>
    </w:p>
    <w:p w14:paraId="2CF0B399"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019A551E"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августа 1933 г. на Ходынке на трибуне для почетных гостей первое место занимал Генеральный секретарь ЦК ВКП(б) И.В.С.. Рядом с ним разместились другие советские руководители, в том числе и нарком обороны Е.Е.В., председатель Центрального совета ОСОАВИАХИМа СССР Роберт Эйдеман и, конечно, сам инициатор праздника — командующий ВВС Яков Алкснис.</w:t>
      </w:r>
    </w:p>
    <w:p w14:paraId="18C01301"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Над Ходынским полем пролетели несколько десятков новейших советских самолетов, в том числе тяжелые бомбардировщики ТБ-1 и ТБ-3, истребители И-5 и И-7, хорошо уже знакомый многим членам аэроклубов учебный самолет У-2 и один из самых больших в мире самолетов того времени — АНТ-14, носивший собственное имя «Правда». Именно с борта этого пассажирского самолета совершили показательный прыжок 62 парашютиста, украсив небо над Ходынкой раскрывшимися куполами. Особое место в экспозиции авиатехники было отведено легким самолетам, созданным в конструкторском бюро одного из самых плодовитых авиаконструкторов того времени — Александра Яковлева: АИР-5, АИР-6 и АИР-7.</w:t>
      </w:r>
    </w:p>
    <w:p w14:paraId="1BA5BC32"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Появились на поле и в небе два летательных аппарата необычной конструкции — разработанные в ЦАГИ автожиры 2-ЭА и А-4, которые прошли над полем на минимальной скорости, недоступной обычным самолетам. И конечно, не обошлось без демонстрации фигур высшего пилотажа. Истребительная эскадрилья, ведущими в которой были опытные летчики-испытатели Александр Анисимов и Михаил Алексеев, продемонстрировала одиночные и групповые трюки – по выполнению боевых разворотов, «мертвых петель», «бочек», управляемых «штопоров» и полетов вверх колесами. Каждый элемент, как вспоминали очевидцы, сопровождался восторженными выкриками зрителей и бурей аплодисментов. Бурными эмоциями встречали и приземлившихся пилотов (25156).</w:t>
      </w:r>
    </w:p>
    <w:p w14:paraId="40319D4C" w14:textId="77777777" w:rsidR="006F1C62" w:rsidRPr="00142305" w:rsidRDefault="006F1C62" w:rsidP="006F1C62">
      <w:pPr>
        <w:spacing w:after="0" w:line="240" w:lineRule="auto"/>
        <w:jc w:val="both"/>
        <w:rPr>
          <w:rFonts w:ascii="Times New Roman" w:hAnsi="Times New Roman"/>
          <w:color w:val="0070C0"/>
          <w:sz w:val="16"/>
          <w:szCs w:val="16"/>
        </w:rPr>
      </w:pPr>
    </w:p>
    <w:p w14:paraId="2926AFED" w14:textId="77777777" w:rsidR="00A8497D" w:rsidRPr="0044524F" w:rsidRDefault="00A849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в 1933 году начало 9-х планерных состязаний в Крыму (окончание 20 сентября) (14987).</w:t>
      </w:r>
    </w:p>
    <w:p w14:paraId="4C37EB8B" w14:textId="77777777" w:rsidR="00A8497D" w:rsidRPr="0044524F" w:rsidRDefault="00A8497D" w:rsidP="009654CF">
      <w:pPr>
        <w:spacing w:after="0" w:line="240" w:lineRule="auto"/>
        <w:jc w:val="both"/>
        <w:rPr>
          <w:rFonts w:ascii="Times New Roman" w:hAnsi="Times New Roman"/>
          <w:color w:val="000000" w:themeColor="text1"/>
          <w:sz w:val="16"/>
          <w:szCs w:val="16"/>
        </w:rPr>
      </w:pPr>
    </w:p>
    <w:p w14:paraId="1854022C" w14:textId="77777777" w:rsidR="00A8497D" w:rsidRPr="0044524F" w:rsidRDefault="00A849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в 1933 году Н.А.Соколов-Соколенок и С.С.Зызымов совершили высотный перелет Москва - Севастополь - Москва на «Р-5» (14987).</w:t>
      </w:r>
    </w:p>
    <w:p w14:paraId="69E4212E" w14:textId="77777777" w:rsidR="00A8497D" w:rsidRPr="0044524F" w:rsidRDefault="00A8497D" w:rsidP="009654CF">
      <w:pPr>
        <w:spacing w:after="0" w:line="240" w:lineRule="auto"/>
        <w:jc w:val="both"/>
        <w:rPr>
          <w:rFonts w:ascii="Times New Roman" w:hAnsi="Times New Roman"/>
          <w:color w:val="000000" w:themeColor="text1"/>
          <w:sz w:val="16"/>
          <w:szCs w:val="16"/>
        </w:rPr>
      </w:pPr>
    </w:p>
    <w:p w14:paraId="6FD9E1B0"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начались 9 планерные в Крыму и шли до 20 сентября 1933 (438,655). На них была и трапеции БИЧ-11 и БИЧ-12 которые выполнили 8 и 10 планирующих полетов, а БИЧ-12 и 2 парящих. Там же летал и БИЧ-13 с параболическим крылом бег ВО. На нем выполнили 19 полетов, в т.ч. 4 парящих и один - 26 минут (2544,59). Там же летала и бесхвостка ЦАГИ БП-1 А.А.Сенькова. Летал А.Н.Скородумов, но отметил, что рулей для пилотажа не хватает (2544,61).</w:t>
      </w:r>
    </w:p>
    <w:p w14:paraId="14B40012"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58737201"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аэродром в Липецке полностью перешел в ведение ВВС РККА и несколько дней спустя в Москву вылетели базировавшиеся там Юнкерс W-33, K 47 и A 48 с немецкими л и наиболее ценным оборудованием (1795,40).</w:t>
      </w:r>
    </w:p>
    <w:p w14:paraId="5FE9646E"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1EC69940" w14:textId="77777777" w:rsidR="00F121BE" w:rsidRPr="0044524F" w:rsidRDefault="00F121B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г. авиация обществ Красного Креста и Красного Полумесяца, созданная в основном для санитарных цел ей, персдана в ведение ГВФ.</w:t>
      </w:r>
    </w:p>
    <w:p w14:paraId="43F1EB91" w14:textId="77777777" w:rsidR="00F121BE" w:rsidRPr="0044524F" w:rsidRDefault="00F121B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/"Гражданская авиация", 1033 № 9/ (23370).</w:t>
      </w:r>
    </w:p>
    <w:p w14:paraId="32E6DFCF" w14:textId="77777777" w:rsidR="00F121BE" w:rsidRPr="0044524F" w:rsidRDefault="00F121BE" w:rsidP="009654CF">
      <w:pPr>
        <w:spacing w:after="0" w:line="240" w:lineRule="auto"/>
        <w:jc w:val="both"/>
        <w:rPr>
          <w:rFonts w:ascii="Times New Roman" w:hAnsi="Times New Roman"/>
          <w:color w:val="000000" w:themeColor="text1"/>
          <w:sz w:val="16"/>
          <w:szCs w:val="16"/>
        </w:rPr>
      </w:pPr>
    </w:p>
    <w:p w14:paraId="78070529" w14:textId="77777777" w:rsidR="000A15EA" w:rsidRPr="0044524F" w:rsidRDefault="000A15EA"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18 августа 1933 в ответ на визит польских летчиков Е. Баяна и П. Дудзиньски, которые 16 – 17 мая 1933 года на двух спортивных самолетах пролетели по маршруту Варшава – Харьков – Ленинград, начался передлет на двух самолетах Р-5. Первый из них с экипажем в составе: командира 252-й авиабригады А.А. Туржанского и бригадного инженера И.Е. Павлова, добрался до Варшавы без посадки через Витебск, Полоцк и Вильно, а второй – под управлением помощника командующего УВО Ф.А. Ингауниса и инженера инспекции ВВС РККА А.И. Мезинова, следовал по маршруту Москва – Гомель – Львов – Варшава (с посадкой во Львове), и произвел посадку в Варшаве на час позже самолета Туржанского. В тот же день начальник польской военной авиации Райский устроил в честь советских летчиков обед.</w:t>
      </w:r>
    </w:p>
    <w:p w14:paraId="405DE131" w14:textId="77777777" w:rsidR="000A15EA" w:rsidRPr="0044524F" w:rsidRDefault="000A15EA"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следующий день советские летчики «знакомились с производством польских истребителей, с состоянием 1-го авиационного полка, осмотрели аэродромом, машиностроительные заводы, авиашколу, аэродинамический институт, мастерские туристских самолетов». Вечером Польский аэроклуб устроил для советских летчиков обед, на котором присутствовали начальник генштаба, генерал Консиоровский, высшие офицеры польской авиации, директора польских авиационных заводов, члены советского посольства.</w:t>
      </w:r>
    </w:p>
    <w:p w14:paraId="6C94F2D5" w14:textId="77777777" w:rsidR="000A15EA" w:rsidRPr="0044524F" w:rsidRDefault="000A15EA"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20 июля Ингаунис и Туржанский вылетели в Денблин для осмотра авиационной школы.</w:t>
      </w:r>
    </w:p>
    <w:p w14:paraId="2934D402" w14:textId="77777777" w:rsidR="000A15EA" w:rsidRPr="0044524F" w:rsidRDefault="000A15EA"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Программой визита предусматривались демонстрационные полеты польских самолетов в Кракове и «полет над горами Татры у польско-чехословацкой границы».</w:t>
      </w:r>
    </w:p>
    <w:p w14:paraId="6AB629AA" w14:textId="77777777" w:rsidR="000A15EA" w:rsidRPr="0044524F" w:rsidRDefault="000A15EA"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21 июля советские летчики присутствовали на приеме, устроенном в советском полпредстве для представителей польской гражданской и военной авиации. Вечером руководителем польской гражданской авиации Филипповичем в честь советских летчиков был дан обед.</w:t>
      </w:r>
    </w:p>
    <w:p w14:paraId="69694FE6" w14:textId="77777777" w:rsidR="000A15EA" w:rsidRPr="0044524F" w:rsidRDefault="000A15EA"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22 июля в 8 часов 30 минут советские экипажи вылетели из Варшавы. Экипаж Ингауниса следовал по маршруту Варшава – Лида – Витебск – Москва. Туржанский избрал маршрут – Варшава – Брест – Гомель – Москва. Самолет Ингауниса совершил посадку в Москве в 17 часов 40 минут, самолет Туржанского – двумя часами позже (21249).</w:t>
      </w:r>
    </w:p>
    <w:p w14:paraId="082B0F0A" w14:textId="77777777" w:rsidR="000A15EA" w:rsidRPr="0044524F" w:rsidRDefault="000A15EA" w:rsidP="009654CF">
      <w:pPr>
        <w:spacing w:after="0" w:line="240" w:lineRule="auto"/>
        <w:jc w:val="both"/>
        <w:rPr>
          <w:rFonts w:ascii="Times New Roman" w:hAnsi="Times New Roman"/>
          <w:color w:val="000000" w:themeColor="text1"/>
          <w:sz w:val="16"/>
          <w:szCs w:val="16"/>
        </w:rPr>
      </w:pPr>
    </w:p>
    <w:p w14:paraId="4ED1D840" w14:textId="77777777" w:rsidR="009A6572" w:rsidRPr="0044524F" w:rsidRDefault="009A657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года в харьковской газете «За технику» под рубрикой «Мы смотрим в будущее» опубликовали статью на украинском языке С. П. Королева, называвшаяся «Советские ракеты будут летать над СССР» с его фотографией и автографом. 1 мая 1934 года, когда Грацианский уже читал курс лекций по конструкции и проектированию самолетов в Московском авиационном институте, в харьковской газете «За технику» под рубрикой «За технику больших скоростей» на украинском языке была опубликована статья С. П. Королева «Ракетопланы будут летать над СССР» (24204).</w:t>
      </w:r>
    </w:p>
    <w:p w14:paraId="6361EA83" w14:textId="77777777" w:rsidR="009A6572" w:rsidRPr="0044524F" w:rsidRDefault="009A6572" w:rsidP="009654CF">
      <w:pPr>
        <w:spacing w:after="0" w:line="240" w:lineRule="auto"/>
        <w:jc w:val="both"/>
        <w:rPr>
          <w:rFonts w:ascii="Times New Roman" w:hAnsi="Times New Roman"/>
          <w:color w:val="000000" w:themeColor="text1"/>
          <w:sz w:val="16"/>
          <w:szCs w:val="16"/>
        </w:rPr>
      </w:pPr>
    </w:p>
    <w:p w14:paraId="17BEC886"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D1F7A20" w14:textId="77777777" w:rsidR="0092497E" w:rsidRPr="0044524F" w:rsidRDefault="0092497E" w:rsidP="009654CF">
      <w:pPr>
        <w:spacing w:after="0" w:line="240" w:lineRule="auto"/>
        <w:jc w:val="both"/>
        <w:rPr>
          <w:rFonts w:ascii="Times New Roman" w:hAnsi="Times New Roman"/>
          <w:iCs/>
          <w:color w:val="000000" w:themeColor="text1"/>
          <w:sz w:val="16"/>
          <w:szCs w:val="16"/>
        </w:rPr>
      </w:pPr>
    </w:p>
    <w:p w14:paraId="0B9CCF02"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18 и 24 августа 1933. Из протокола заседания Политбюро N 143, особая папка, 1933 г.</w:t>
      </w:r>
    </w:p>
    <w:p w14:paraId="19BE27B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реорганизации наркоматов </w:t>
      </w:r>
    </w:p>
    <w:p w14:paraId="2F07575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В интересах доведения до конца осуществления принципа единоначалия в управлении наркоматами считать целесообразным ликвидировать коллегии наркоматов, оставив во главе наркоматов наркома и не более двух замов. </w:t>
      </w:r>
    </w:p>
    <w:p w14:paraId="47AEDB6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Создать при наркоматах Совет Наркомата от 40-70 человек с тем, чтобы не менее половины членов совета было из представителей местных организаций и предприятий. Созыв Совета в два месяца раз. </w:t>
      </w:r>
    </w:p>
    <w:p w14:paraId="1A24EC98"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Предложить т. Молотову на этой основе представить проект реорганизации наркоматов, учтя обмен мнений (11652).</w:t>
      </w:r>
    </w:p>
    <w:p w14:paraId="159550B3"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72195888" w14:textId="77777777" w:rsidR="00067E90" w:rsidRPr="0044524F" w:rsidRDefault="00067E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опросом членов ПБ</w:t>
      </w:r>
    </w:p>
    <w:p w14:paraId="516650EB" w14:textId="77777777" w:rsidR="00067E90" w:rsidRPr="0044524F" w:rsidRDefault="00067E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47/26.-Об автозаводах</w:t>
      </w:r>
    </w:p>
    <w:p w14:paraId="5D3B166B" w14:textId="77777777" w:rsidR="00067E90" w:rsidRPr="0044524F" w:rsidRDefault="00067E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НКТП проработать вопрос об импорте для расширения завода им. т.Сталина, исходя из максимальной суммы в 3.000.000 рублей; остальную потребность в импортном оборудования удовлетворить за счет тщательной проверки использования имеющихся излишков на других заводах НКТПю</w:t>
      </w:r>
    </w:p>
    <w:p w14:paraId="3ED7F8EA" w14:textId="77777777" w:rsidR="00067E90" w:rsidRPr="0044524F" w:rsidRDefault="00067E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тютю Орджоникидзе, Куйбышеву, Межлауку</w:t>
      </w:r>
    </w:p>
    <w:p w14:paraId="7E74EE03" w14:textId="77777777" w:rsidR="00067E90" w:rsidRPr="0044524F" w:rsidRDefault="00067E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состоялось заседание ПБ и был оформлен протокол № 144 (22994).</w:t>
      </w:r>
    </w:p>
    <w:p w14:paraId="66DBF474" w14:textId="77777777" w:rsidR="00067E90" w:rsidRPr="0044524F" w:rsidRDefault="00067E90" w:rsidP="009654CF">
      <w:pPr>
        <w:spacing w:after="0" w:line="240" w:lineRule="auto"/>
        <w:jc w:val="both"/>
        <w:rPr>
          <w:rFonts w:ascii="Times New Roman" w:hAnsi="Times New Roman"/>
          <w:color w:val="000000" w:themeColor="text1"/>
          <w:sz w:val="16"/>
          <w:szCs w:val="16"/>
        </w:rPr>
      </w:pPr>
    </w:p>
    <w:p w14:paraId="1C458F76" w14:textId="393B8D1C" w:rsidR="00755821" w:rsidRPr="0044524F" w:rsidRDefault="00755821"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18 августа</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для руководства железнодорожным транспортом была создана специальная комиссия по железнодорожному транспорту в составе: Молотов (председатель), Сталин, Каганович, Ворошилов, Андреев, Орджоникидзе, Благонравов. 20 августа Каганович был утвержден заместителем председателя комиссии. В круг его обязанностей таким образом /вошли многочисленные проблемы одного из самых сложных участков советского народного хозяйства. 26 августа Каганович подробно сообщил Сталину о первом заседании новой комиссии (документ № 297). Затем сведения о работе железных дорог регулярно появлялись в письмах Кагановича. Предоставляя Сталину отпуск, Политбюро 20 августа</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постановило: «На время отпуска т. Сталина утвердить замещающим его в Комиссии Обороны т. Кагановича Л.» В письмах Каганович докладывал Сталину как проходила работа этой комиссии, как выполнялись задания Сталина по производству военной продукции (17281).</w:t>
      </w:r>
    </w:p>
    <w:p w14:paraId="339D70B1" w14:textId="77777777" w:rsidR="00755821" w:rsidRPr="0044524F" w:rsidRDefault="00755821" w:rsidP="009654CF">
      <w:pPr>
        <w:spacing w:after="0" w:line="240" w:lineRule="auto"/>
        <w:jc w:val="both"/>
        <w:rPr>
          <w:rFonts w:ascii="Times New Roman" w:hAnsi="Times New Roman"/>
          <w:iCs/>
          <w:color w:val="000000" w:themeColor="text1"/>
          <w:sz w:val="16"/>
          <w:szCs w:val="16"/>
        </w:rPr>
      </w:pPr>
    </w:p>
    <w:p w14:paraId="5A874B39" w14:textId="07F0EACE" w:rsidR="00F61DC5" w:rsidRPr="0044524F" w:rsidRDefault="00F61DC5" w:rsidP="00F61DC5">
      <w:pPr>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44524F">
        <w:rPr>
          <w:rFonts w:ascii="Times New Roman" w:hAnsi="Times New Roman"/>
          <w:i/>
          <w:iCs/>
          <w:color w:val="000000" w:themeColor="text1"/>
          <w:sz w:val="16"/>
          <w:szCs w:val="16"/>
        </w:rPr>
        <w:t>:</w:t>
      </w:r>
    </w:p>
    <w:p w14:paraId="135D9DC8" w14:textId="77777777" w:rsidR="00F61DC5" w:rsidRPr="0044524F" w:rsidRDefault="00F61DC5" w:rsidP="00F61DC5">
      <w:pPr>
        <w:spacing w:after="0" w:line="240" w:lineRule="auto"/>
        <w:jc w:val="both"/>
        <w:rPr>
          <w:rFonts w:ascii="Times New Roman" w:hAnsi="Times New Roman"/>
          <w:iCs/>
          <w:color w:val="000000" w:themeColor="text1"/>
          <w:sz w:val="16"/>
          <w:szCs w:val="16"/>
        </w:rPr>
      </w:pPr>
    </w:p>
    <w:p w14:paraId="01860B3D" w14:textId="77777777" w:rsidR="00F61DC5" w:rsidRPr="00142305" w:rsidRDefault="00F61DC5" w:rsidP="00F61D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августа 1933 г. аэродром в Липецке был возвращен ВВС РККА. Не</w:t>
      </w:r>
      <w:r w:rsidRPr="00142305">
        <w:rPr>
          <w:rFonts w:ascii="Times New Roman" w:hAnsi="Times New Roman"/>
          <w:color w:val="0070C0"/>
          <w:sz w:val="16"/>
          <w:szCs w:val="16"/>
        </w:rPr>
        <w:softHyphen/>
        <w:t>сколько дней спустя начался отъезд иностранного персонала. 20 ав</w:t>
      </w:r>
      <w:r w:rsidRPr="00142305">
        <w:rPr>
          <w:rFonts w:ascii="Times New Roman" w:hAnsi="Times New Roman"/>
          <w:color w:val="0070C0"/>
          <w:sz w:val="16"/>
          <w:szCs w:val="16"/>
        </w:rPr>
        <w:softHyphen/>
        <w:t xml:space="preserve">густа город покинуло восемь немцев, 22-го — еще восемь, 24-го — пять человек. Они улетали самолетами «Дерулюфта» через Москву. Последние представители германских ВВС оставили Липецк </w:t>
      </w:r>
      <w:r w:rsidRPr="00142305">
        <w:rPr>
          <w:rFonts w:ascii="Times New Roman" w:hAnsi="Times New Roman"/>
          <w:color w:val="0070C0"/>
          <w:sz w:val="16"/>
          <w:szCs w:val="16"/>
        </w:rPr>
        <w:lastRenderedPageBreak/>
        <w:t>14 сентября. Техническое имущество и архивы увозили в ящиках по железной дороге (немцы загрузили семь вагонов), а затем по морю через ленинградский порт в Германию.</w:t>
      </w:r>
    </w:p>
    <w:p w14:paraId="0E69E4BA" w14:textId="77777777" w:rsidR="00F61DC5" w:rsidRPr="00142305" w:rsidRDefault="00F61DC5" w:rsidP="00F61DC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Нам в наследство достались все возведенные немцами пост</w:t>
      </w:r>
      <w:r w:rsidRPr="00142305">
        <w:rPr>
          <w:rFonts w:ascii="Times New Roman" w:hAnsi="Times New Roman"/>
          <w:color w:val="0070C0"/>
          <w:sz w:val="16"/>
          <w:szCs w:val="16"/>
        </w:rPr>
        <w:softHyphen/>
        <w:t>ройки (четыре больших ангара, административный корпус, тир,</w:t>
      </w:r>
    </w:p>
    <w:p w14:paraId="0F786494" w14:textId="77777777" w:rsidR="00F61DC5" w:rsidRPr="00142305" w:rsidRDefault="00F61DC5" w:rsidP="00F61DC5">
      <w:pPr>
        <w:spacing w:after="0" w:line="240" w:lineRule="auto"/>
        <w:jc w:val="both"/>
        <w:rPr>
          <w:rFonts w:ascii="Times New Roman" w:hAnsi="Times New Roman"/>
          <w:color w:val="0070C0"/>
          <w:sz w:val="16"/>
          <w:szCs w:val="16"/>
        </w:rPr>
      </w:pPr>
    </w:p>
    <w:p w14:paraId="39F91370" w14:textId="77777777" w:rsidR="0092497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36B8110" w14:textId="77777777" w:rsidR="0092497E" w:rsidRPr="0044524F" w:rsidRDefault="0092497E" w:rsidP="009654CF">
      <w:pPr>
        <w:spacing w:after="0" w:line="240" w:lineRule="auto"/>
        <w:jc w:val="both"/>
        <w:rPr>
          <w:rFonts w:ascii="Times New Roman" w:hAnsi="Times New Roman"/>
          <w:iCs/>
          <w:color w:val="000000" w:themeColor="text1"/>
          <w:sz w:val="16"/>
          <w:szCs w:val="16"/>
        </w:rPr>
      </w:pPr>
    </w:p>
    <w:p w14:paraId="6E43005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18 и 24 августа 1933. Из протокола заседания Политбюро N 143, особая папка, 1933 г.</w:t>
      </w:r>
    </w:p>
    <w:p w14:paraId="1B70753A"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состоянии и мерах по улучшению производства музыкальных инструментов </w:t>
      </w:r>
    </w:p>
    <w:p w14:paraId="444DFC53"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Улучшение материального положения и огромный культурный рост широких масс трудящихся СССР предъявляет все растущий спрос на музыкальные инструменты и, в частности, на граммофоны (и граммофонные пластинки) как инструмент, наиболее доступный массам трудящихся. Однако промышленность, производящая граммофоны и граммофонные пластинки, работает совершенно неудовлетворительно. Пластинки, производящиеся полуручным способом, не дают должного звучания, репертуар и исполнители неудовлетворительные... Музыкальная промышленность к последнему времени значительно улучшила свое производство и, в частности, по струнным инструментам дает свыше 160% от довоенного. Однако в целом развитие ее еще резко отстает от потребности. </w:t>
      </w:r>
    </w:p>
    <w:p w14:paraId="7ED5D636"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целях улучшения этого ЦК ВКП(б) постановляет: </w:t>
      </w:r>
    </w:p>
    <w:p w14:paraId="6C87E28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Наркомтяжпрому СССР создать союзный трест граммофонов, пластинок и иголок. </w:t>
      </w:r>
    </w:p>
    <w:p w14:paraId="340B550D"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Довести выпуск граммофонов с 155 тыс. в 1933 г. до полутора миллионов штук в 1937 г. </w:t>
      </w:r>
    </w:p>
    <w:p w14:paraId="31CAAA1E"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В целях поднятия политического и художественного уровня граммофонных записей, всестороннего использования лучших произведений выдающихся деятелей искусства и широкого отображения музыкального творчества народов СССР создать художественный совет по граммофонной записи в составе тт. Бубнов (председатель), Енукидзе, Игумнов, Шацкий, Николаев (проф.), Гольденвейзер, Цейтлин, Пшибышевский, Красин Б., Ипполитов-Иванов, Брауде, Качалов, Голованов, Файер, Глиер, Шостакович, Шебалин, Собинов, Нежданова, Аркадьев, Литовский, Рабичев, Боярский, Салтанов, Динамов. </w:t>
      </w:r>
    </w:p>
    <w:p w14:paraId="46ED04EF" w14:textId="77777777" w:rsidR="0092497E" w:rsidRPr="0044524F" w:rsidRDefault="0092497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Репертуар пластинок должен быть разнообразным, включая наряду с симфонической, классической современной музыкой вокальную музыку, особенно народные песни народов СССР, художественное чтение, юмористические рассказы, романсы, арии, танцевальную музыку, в том числе обязательно народные танцы; при этом особое внимание обратить на юношеские и детские танцы. Повысить оплату исполнителей, записываемых на пластинки, в зависимости от качества исполнения, а также установить им процентную оплату от тиража пластинок (11652).</w:t>
      </w:r>
    </w:p>
    <w:p w14:paraId="0DE31BF8" w14:textId="77777777" w:rsidR="0092497E" w:rsidRPr="0044524F" w:rsidRDefault="0092497E" w:rsidP="009654CF">
      <w:pPr>
        <w:spacing w:after="0" w:line="240" w:lineRule="auto"/>
        <w:jc w:val="both"/>
        <w:rPr>
          <w:rFonts w:ascii="Times New Roman" w:hAnsi="Times New Roman"/>
          <w:color w:val="000000" w:themeColor="text1"/>
          <w:sz w:val="16"/>
          <w:szCs w:val="16"/>
        </w:rPr>
      </w:pPr>
    </w:p>
    <w:p w14:paraId="5CB4B615" w14:textId="77777777" w:rsidR="00A8497D"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BBA3E4A" w14:textId="77777777" w:rsidR="00A8497D" w:rsidRPr="0044524F" w:rsidRDefault="00A8497D"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2F45D9F" w14:textId="77777777" w:rsidR="00A8497D" w:rsidRPr="0044524F" w:rsidRDefault="00A8497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18 августа в 1933 году первый полёт английского легкого транспортного самолета </w:t>
      </w:r>
      <w:hyperlink r:id="rId307" w:tgtFrame="_blank" w:history="1">
        <w:r w:rsidRPr="0044524F">
          <w:rPr>
            <w:rFonts w:ascii="Times New Roman" w:hAnsi="Times New Roman"/>
            <w:color w:val="000000" w:themeColor="text1"/>
            <w:sz w:val="16"/>
            <w:szCs w:val="16"/>
          </w:rPr>
          <w:t xml:space="preserve">«S.16» "Scion". </w:t>
        </w:r>
      </w:hyperlink>
      <w:r w:rsidRPr="0044524F">
        <w:rPr>
          <w:rFonts w:ascii="Times New Roman" w:hAnsi="Times New Roman"/>
          <w:color w:val="000000" w:themeColor="text1"/>
          <w:sz w:val="16"/>
          <w:szCs w:val="16"/>
        </w:rPr>
        <w:t>Конструкция "Scion" была вполне традиционна. Фюзеляж собирался из спаянных стальных труб, высокорасположенное крыло также выполнялось из дюраля и имело закрылки типа Frise. Все поверхности покрывались полотном. В носовой части фюзеляжа разместили баллон со сжатым воздухом для работы системы торможения. Стойки шасси крепились к нижней поверхности крыла. Первый опытный образец оснащался двумя двигателями «Pobjoy» "R" мощностью 80 л.с. с двухлопастными винтами. «S.16» "Scion" был задуман инженерами фирма «Short Brothers» как высокоэкономичный самолёт, способный доставлять большие грузы на короткое расстояние.Несмотря на несколько неказистый вид машина получилась отличная, что подтвердили испытания, проведенные в Мартлшем Хит в январе 1934 года. Производство "Scion" началось в следующем месяце (14987).</w:t>
      </w:r>
    </w:p>
    <w:p w14:paraId="03B87435" w14:textId="77777777" w:rsidR="00A8497D" w:rsidRPr="0044524F" w:rsidRDefault="00A8497D" w:rsidP="009654CF">
      <w:pPr>
        <w:spacing w:after="0" w:line="240" w:lineRule="auto"/>
        <w:jc w:val="both"/>
        <w:rPr>
          <w:rFonts w:ascii="Times New Roman" w:hAnsi="Times New Roman"/>
          <w:color w:val="000000" w:themeColor="text1"/>
          <w:sz w:val="16"/>
          <w:szCs w:val="16"/>
        </w:rPr>
      </w:pPr>
    </w:p>
    <w:p w14:paraId="564EC7C1"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752214A"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4D3D61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 1933 состоялся первый полет К-7 К.А.К. по прямой, но оторвались лишь на 5 м, т.е. был подлет. Ли М.А.Снегирев (дублер А.Н.Грацианский), бм П.Н.Власов (70,227). Посадка была на задние колеса с переходом на передние. Обнаружили колебания хвостовой части и необходимость установки боковых подкосов от килей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1A314E02" w14:textId="77777777">
        <w:tc>
          <w:tcPr>
            <w:tcW w:w="1384" w:type="dxa"/>
            <w:tcBorders>
              <w:top w:val="single" w:sz="12" w:space="0" w:color="auto"/>
            </w:tcBorders>
          </w:tcPr>
          <w:p w14:paraId="1DCA2C9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701E7C9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5C9DB85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29B5D09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F0F719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4E86888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272FE3A3" w14:textId="77777777">
        <w:tc>
          <w:tcPr>
            <w:tcW w:w="1384" w:type="dxa"/>
            <w:tcBorders>
              <w:bottom w:val="single" w:sz="12" w:space="0" w:color="auto"/>
            </w:tcBorders>
          </w:tcPr>
          <w:p w14:paraId="708A72D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 1933</w:t>
            </w:r>
          </w:p>
        </w:tc>
        <w:tc>
          <w:tcPr>
            <w:tcW w:w="2410" w:type="dxa"/>
            <w:tcBorders>
              <w:bottom w:val="single" w:sz="12" w:space="0" w:color="auto"/>
            </w:tcBorders>
          </w:tcPr>
          <w:p w14:paraId="0A63E92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полет по прямой</w:t>
            </w:r>
          </w:p>
        </w:tc>
        <w:tc>
          <w:tcPr>
            <w:tcW w:w="1089" w:type="dxa"/>
            <w:tcBorders>
              <w:bottom w:val="single" w:sz="12" w:space="0" w:color="auto"/>
            </w:tcBorders>
          </w:tcPr>
          <w:p w14:paraId="35F4A1F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0:15</w:t>
            </w:r>
          </w:p>
          <w:p w14:paraId="04F5381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занял несколько секунд</w:t>
            </w:r>
          </w:p>
        </w:tc>
        <w:tc>
          <w:tcPr>
            <w:tcW w:w="3447" w:type="dxa"/>
            <w:tcBorders>
              <w:bottom w:val="single" w:sz="12" w:space="0" w:color="auto"/>
            </w:tcBorders>
          </w:tcPr>
          <w:p w14:paraId="4E74FA1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полета 5 м</w:t>
            </w:r>
          </w:p>
          <w:p w14:paraId="78ABC96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Посадка на задние колеса с переходом на передние</w:t>
            </w:r>
          </w:p>
          <w:p w14:paraId="715A6E5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Нормальное действие элеронов и рулей глубины</w:t>
            </w:r>
          </w:p>
          <w:p w14:paraId="3547545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рулями легкое, нормальная работа тормозов</w:t>
            </w:r>
          </w:p>
          <w:p w14:paraId="0C7CA1D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Показания электроческих счетчиков при разбеге - 1380 об/мин</w:t>
            </w:r>
          </w:p>
        </w:tc>
        <w:tc>
          <w:tcPr>
            <w:tcW w:w="1776" w:type="dxa"/>
            <w:tcBorders>
              <w:bottom w:val="single" w:sz="12" w:space="0" w:color="auto"/>
            </w:tcBorders>
          </w:tcPr>
          <w:p w14:paraId="2459B37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Колебания хвостовой части и необходимость установки боковых подкосов от килей к стабилизатору (устранено)</w:t>
            </w:r>
          </w:p>
        </w:tc>
        <w:tc>
          <w:tcPr>
            <w:tcW w:w="1105" w:type="dxa"/>
            <w:tcBorders>
              <w:bottom w:val="single" w:sz="12" w:space="0" w:color="auto"/>
            </w:tcBorders>
          </w:tcPr>
          <w:p w14:paraId="20458C9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733CA91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792F14F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E444AA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 1933 Первый полет самолета-гиганта К-7. Пилот М.А.Снигерев (10674).</w:t>
      </w:r>
    </w:p>
    <w:p w14:paraId="3CEFE8E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5AC73E7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 1933 К-7 полнялся в воздух; он не взлетел, а скорее подпрыгнул метров на пять вверх и опять опустился на летное поле. Этого вполне хватило, чтобы убедиться в недостаточной жесткости оперения. Оно ходило вверх-вниз почти на метр (19036).</w:t>
      </w:r>
    </w:p>
    <w:p w14:paraId="28B40C7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E4ECB4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 1933 Ф.В.Куканов на ЮГ-1 СССР Н-4 на обратном пути пересек самый высокий хребет между мысом Северным и верховьем реки Осиновка на Чукотке. Делали аэрофотосъемку Чукотки (99,196).</w:t>
      </w:r>
    </w:p>
    <w:p w14:paraId="4FDA514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56C870E" w14:textId="77777777" w:rsidR="00192E97" w:rsidRPr="0044524F" w:rsidRDefault="00192E9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 августа в 1933 году первый полет самолета </w:t>
      </w:r>
      <w:hyperlink r:id="rId308" w:tgtFrame="_blank" w:history="1">
        <w:r w:rsidRPr="0044524F">
          <w:rPr>
            <w:rFonts w:ascii="Times New Roman" w:hAnsi="Times New Roman"/>
            <w:color w:val="000000" w:themeColor="text1"/>
            <w:sz w:val="16"/>
            <w:szCs w:val="16"/>
          </w:rPr>
          <w:t xml:space="preserve">«К-7» </w:t>
        </w:r>
      </w:hyperlink>
      <w:r w:rsidRPr="0044524F">
        <w:rPr>
          <w:rFonts w:ascii="Times New Roman" w:hAnsi="Times New Roman"/>
          <w:color w:val="000000" w:themeColor="text1"/>
          <w:sz w:val="16"/>
          <w:szCs w:val="16"/>
        </w:rPr>
        <w:t>К.А.Калинина, командир экипажа М.А.Снегирев. М.А.Снегирев совершил на «К-7» подлет по прямой на высоте 5 метров в течение нескольких секунд. Подлет выявил новые неприятности - рули самолета начинали вибрировать с большой амплитудой (до одного метра). За несколько дней хвостовое оперение машины было изменено - оно стало бипланным, кили соединили дополнительной горизонтальной поверхностью - "стабилитроном". Серворули с вертикального оперения сняли, а на горизонтальном установили их вплотную к рулям (14988).</w:t>
      </w:r>
    </w:p>
    <w:p w14:paraId="2F85E666" w14:textId="77777777" w:rsidR="00192E97" w:rsidRPr="0044524F" w:rsidRDefault="00192E97" w:rsidP="009654CF">
      <w:pPr>
        <w:spacing w:after="0" w:line="240" w:lineRule="auto"/>
        <w:jc w:val="both"/>
        <w:rPr>
          <w:rFonts w:ascii="Times New Roman" w:hAnsi="Times New Roman"/>
          <w:color w:val="000000" w:themeColor="text1"/>
          <w:sz w:val="16"/>
          <w:szCs w:val="16"/>
        </w:rPr>
      </w:pPr>
    </w:p>
    <w:p w14:paraId="0243B185" w14:textId="77777777" w:rsidR="009A6572" w:rsidRPr="0044524F" w:rsidRDefault="009A657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 1933 г. на аэродроме завода №135 Сокольники на северной окраине Харькова экипаж под командованием М.А. Снегирева выполнил на самолете К-7 первый полет по прямой (фактически только подлет с посадкой перед собой). В нем были выявлены колебания серворулей и РВ уже на разбеге, а после отрыва – всего оперения с амплитудой до 1 м. Эта дата была принята в качестве даты первого полета, поскольку управление опробовалось и оно работало, хотя и с дефектами.</w:t>
      </w:r>
    </w:p>
    <w:p w14:paraId="79FDDB9B" w14:textId="77777777" w:rsidR="009A6572" w:rsidRPr="0044524F" w:rsidRDefault="009A657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устранения колебаний оперения самолет был поэтапно доработан:</w:t>
      </w:r>
    </w:p>
    <w:p w14:paraId="1ADED488" w14:textId="77777777" w:rsidR="009A6572" w:rsidRPr="0044524F" w:rsidRDefault="009A657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переделали тросовую проводку управления;</w:t>
      </w:r>
    </w:p>
    <w:p w14:paraId="718C1C53" w14:textId="77777777" w:rsidR="009A6572" w:rsidRPr="0044524F" w:rsidRDefault="009A657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над основным ГО была введена дополнительная управляемая горизонтальная плоскость – «стабилитрон» с внутренними подкилями;</w:t>
      </w:r>
    </w:p>
    <w:p w14:paraId="2727A1D4" w14:textId="77777777" w:rsidR="009A6572" w:rsidRPr="0044524F" w:rsidRDefault="009A657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сняли серворули с РН (предположительно);</w:t>
      </w:r>
    </w:p>
    <w:p w14:paraId="3677F74A" w14:textId="77777777" w:rsidR="009A6572" w:rsidRPr="0044524F" w:rsidRDefault="009A657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серворули РВ придвинули вплотную к задней кромке основного РВ;</w:t>
      </w:r>
    </w:p>
    <w:p w14:paraId="3356B158" w14:textId="77777777" w:rsidR="009A6572" w:rsidRPr="0044524F" w:rsidRDefault="009A657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сняли предохранительные хвостовые опоры шасси, поскольку появилось мнение что они увеличивают разнос масс хвостовых балок, провоцируя нарастание их колебаний (23561).</w:t>
      </w:r>
    </w:p>
    <w:p w14:paraId="1FDE402F" w14:textId="77777777" w:rsidR="009A6572" w:rsidRPr="0044524F" w:rsidRDefault="009A6572" w:rsidP="009654CF">
      <w:pPr>
        <w:spacing w:after="0" w:line="240" w:lineRule="auto"/>
        <w:jc w:val="both"/>
        <w:rPr>
          <w:rFonts w:ascii="Times New Roman" w:hAnsi="Times New Roman"/>
          <w:color w:val="000000" w:themeColor="text1"/>
          <w:sz w:val="16"/>
          <w:szCs w:val="16"/>
        </w:rPr>
      </w:pPr>
    </w:p>
    <w:p w14:paraId="3EE4A76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 1933 В.Пост садился в Рыхлово и получил на белом самолете выполненную красной краской охраняющим красноармейцем надпись "Привет американскому народу от комсомольцев Хабаровска" (542,8).</w:t>
      </w:r>
    </w:p>
    <w:p w14:paraId="64F6034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CE8F98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 1933 года задание на проектирование завода № 27 было уточнено и завод подлежало запроектировать на выпуск 25000 моторов в год типа Кертис-Конкверор. Дальнейшее проектирование завода не велось и строительство его не начиналось (9406).</w:t>
      </w:r>
    </w:p>
    <w:p w14:paraId="20BACE5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398A04CB" w14:textId="77777777" w:rsidR="00192E9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Другие оборонные отрасли:</w:t>
      </w:r>
    </w:p>
    <w:p w14:paraId="7EE6B3E3" w14:textId="77777777" w:rsidR="00192E97" w:rsidRPr="0044524F" w:rsidRDefault="00192E9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3900AFD" w14:textId="77777777" w:rsidR="00192E97" w:rsidRPr="0044524F" w:rsidRDefault="00192E97" w:rsidP="009654CF">
      <w:pPr>
        <w:pStyle w:val="rtejustify"/>
        <w:spacing w:before="0" w:after="0"/>
        <w:rPr>
          <w:color w:val="000000" w:themeColor="text1"/>
          <w:sz w:val="16"/>
          <w:szCs w:val="16"/>
        </w:rPr>
      </w:pPr>
      <w:r w:rsidRPr="0044524F">
        <w:rPr>
          <w:rStyle w:val="af0"/>
          <w:bCs/>
          <w:i w:val="0"/>
          <w:color w:val="000000" w:themeColor="text1"/>
          <w:sz w:val="16"/>
          <w:szCs w:val="16"/>
        </w:rPr>
        <w:t>19 августа</w:t>
      </w:r>
      <w:r w:rsidRPr="0044524F">
        <w:rPr>
          <w:color w:val="000000" w:themeColor="text1"/>
          <w:sz w:val="16"/>
          <w:szCs w:val="16"/>
        </w:rPr>
        <w:t xml:space="preserve"> 1933. Постановление СНК СССР № 19сс/о «О ремонте боевых и транспортных машин РККА в военное время». (ГА РФ. Ф. Р</w:t>
      </w:r>
      <w:r w:rsidRPr="0044524F">
        <w:rPr>
          <w:color w:val="000000" w:themeColor="text1"/>
          <w:sz w:val="16"/>
          <w:szCs w:val="16"/>
        </w:rPr>
        <w:noBreakHyphen/>
        <w:t>8418. Оп. 28. Д. 15. Л. 36</w:t>
      </w:r>
      <w:r w:rsidRPr="0044524F">
        <w:rPr>
          <w:color w:val="000000" w:themeColor="text1"/>
          <w:sz w:val="16"/>
          <w:szCs w:val="16"/>
        </w:rPr>
        <w:noBreakHyphen/>
        <w:t>42) (15460).</w:t>
      </w:r>
    </w:p>
    <w:p w14:paraId="7802921B" w14:textId="77777777" w:rsidR="00192E97" w:rsidRPr="0044524F" w:rsidRDefault="00192E97" w:rsidP="009654CF">
      <w:pPr>
        <w:pStyle w:val="rtejustify"/>
        <w:spacing w:before="0" w:after="0"/>
        <w:rPr>
          <w:color w:val="000000" w:themeColor="text1"/>
          <w:sz w:val="16"/>
          <w:szCs w:val="16"/>
        </w:rPr>
      </w:pPr>
    </w:p>
    <w:p w14:paraId="15ABFBF0" w14:textId="77777777" w:rsidR="00192E97" w:rsidRPr="0044524F" w:rsidRDefault="00192E97" w:rsidP="009654CF">
      <w:pPr>
        <w:pStyle w:val="rtejustify"/>
        <w:spacing w:before="0" w:after="0"/>
        <w:rPr>
          <w:color w:val="000000" w:themeColor="text1"/>
          <w:sz w:val="16"/>
          <w:szCs w:val="16"/>
        </w:rPr>
      </w:pPr>
      <w:r w:rsidRPr="0044524F">
        <w:rPr>
          <w:rStyle w:val="af0"/>
          <w:bCs/>
          <w:i w:val="0"/>
          <w:color w:val="000000" w:themeColor="text1"/>
          <w:sz w:val="16"/>
          <w:szCs w:val="16"/>
        </w:rPr>
        <w:t>19 августа</w:t>
      </w:r>
      <w:r w:rsidRPr="0044524F">
        <w:rPr>
          <w:color w:val="000000" w:themeColor="text1"/>
          <w:sz w:val="16"/>
          <w:szCs w:val="16"/>
        </w:rPr>
        <w:t xml:space="preserve"> 1933. Постановление СТО СССР № 78сс/о «О внедрении в народное хозяйство военных типов радиостанций». (ГА РФ. Ф. Р</w:t>
      </w:r>
      <w:r w:rsidRPr="0044524F">
        <w:rPr>
          <w:color w:val="000000" w:themeColor="text1"/>
          <w:sz w:val="16"/>
          <w:szCs w:val="16"/>
        </w:rPr>
        <w:noBreakHyphen/>
        <w:t>8418. Оп. 28. Д. 2. Л. 117) (15460).</w:t>
      </w:r>
    </w:p>
    <w:p w14:paraId="01ECEFD9" w14:textId="77777777" w:rsidR="00192E97" w:rsidRPr="0044524F" w:rsidRDefault="00192E97" w:rsidP="009654CF">
      <w:pPr>
        <w:pStyle w:val="rtejustify"/>
        <w:spacing w:before="0" w:after="0"/>
        <w:rPr>
          <w:color w:val="000000" w:themeColor="text1"/>
          <w:sz w:val="16"/>
          <w:szCs w:val="16"/>
        </w:rPr>
      </w:pPr>
    </w:p>
    <w:p w14:paraId="79B9FA25" w14:textId="77777777" w:rsidR="00192E97" w:rsidRPr="0044524F" w:rsidRDefault="00192E97" w:rsidP="009654CF">
      <w:pPr>
        <w:pStyle w:val="rtejustify"/>
        <w:spacing w:before="0" w:after="0"/>
        <w:rPr>
          <w:color w:val="000000" w:themeColor="text1"/>
          <w:sz w:val="16"/>
          <w:szCs w:val="16"/>
        </w:rPr>
      </w:pPr>
      <w:r w:rsidRPr="0044524F">
        <w:rPr>
          <w:rStyle w:val="af0"/>
          <w:bCs/>
          <w:i w:val="0"/>
          <w:color w:val="000000" w:themeColor="text1"/>
          <w:sz w:val="16"/>
          <w:szCs w:val="16"/>
        </w:rPr>
        <w:t>19 августа</w:t>
      </w:r>
      <w:r w:rsidRPr="0044524F">
        <w:rPr>
          <w:color w:val="000000" w:themeColor="text1"/>
          <w:sz w:val="16"/>
          <w:szCs w:val="16"/>
        </w:rPr>
        <w:t xml:space="preserve"> 1933. Постановление СТО СССР № 79сс/о «О стандартизации военной радиоаппаратуры». (ГА РФ. Ф. Р</w:t>
      </w:r>
      <w:r w:rsidRPr="0044524F">
        <w:rPr>
          <w:color w:val="000000" w:themeColor="text1"/>
          <w:sz w:val="16"/>
          <w:szCs w:val="16"/>
        </w:rPr>
        <w:noBreakHyphen/>
        <w:t>8418. Оп. 28. Д. 2. Л. 118</w:t>
      </w:r>
      <w:r w:rsidRPr="0044524F">
        <w:rPr>
          <w:color w:val="000000" w:themeColor="text1"/>
          <w:sz w:val="16"/>
          <w:szCs w:val="16"/>
        </w:rPr>
        <w:noBreakHyphen/>
        <w:t>119) (15460).</w:t>
      </w:r>
    </w:p>
    <w:p w14:paraId="6EBE64FD" w14:textId="77777777" w:rsidR="00192E97" w:rsidRPr="0044524F" w:rsidRDefault="00192E97" w:rsidP="009654CF">
      <w:pPr>
        <w:pStyle w:val="rtejustify"/>
        <w:spacing w:before="0" w:after="0"/>
        <w:rPr>
          <w:color w:val="000000" w:themeColor="text1"/>
          <w:sz w:val="16"/>
          <w:szCs w:val="16"/>
        </w:rPr>
      </w:pPr>
    </w:p>
    <w:p w14:paraId="19351EF2" w14:textId="77777777" w:rsidR="00192E97" w:rsidRPr="0044524F" w:rsidRDefault="00192E97" w:rsidP="009654CF">
      <w:pPr>
        <w:pStyle w:val="rtejustify"/>
        <w:spacing w:before="0" w:after="0"/>
        <w:rPr>
          <w:color w:val="000000" w:themeColor="text1"/>
          <w:sz w:val="16"/>
          <w:szCs w:val="16"/>
        </w:rPr>
      </w:pPr>
      <w:r w:rsidRPr="0044524F">
        <w:rPr>
          <w:rStyle w:val="af0"/>
          <w:bCs/>
          <w:i w:val="0"/>
          <w:color w:val="000000" w:themeColor="text1"/>
          <w:sz w:val="16"/>
          <w:szCs w:val="16"/>
        </w:rPr>
        <w:t>19 августа</w:t>
      </w:r>
      <w:r w:rsidRPr="0044524F">
        <w:rPr>
          <w:color w:val="000000" w:themeColor="text1"/>
          <w:sz w:val="16"/>
          <w:szCs w:val="16"/>
        </w:rPr>
        <w:t xml:space="preserve"> 1933. Постановление СТО СССР № 77сс/о «О постройке шести сторожевых кораблей второй серии на Дальнем Востоке». (ГА РФ. Ф. Р</w:t>
      </w:r>
      <w:r w:rsidRPr="0044524F">
        <w:rPr>
          <w:color w:val="000000" w:themeColor="text1"/>
          <w:sz w:val="16"/>
          <w:szCs w:val="16"/>
        </w:rPr>
        <w:noBreakHyphen/>
        <w:t>8418. Оп. 28. Д. 2. Л. 115</w:t>
      </w:r>
      <w:r w:rsidRPr="0044524F">
        <w:rPr>
          <w:color w:val="000000" w:themeColor="text1"/>
          <w:sz w:val="16"/>
          <w:szCs w:val="16"/>
        </w:rPr>
        <w:noBreakHyphen/>
        <w:t>116) (15460).</w:t>
      </w:r>
    </w:p>
    <w:p w14:paraId="25F0E615" w14:textId="77777777" w:rsidR="00192E97" w:rsidRPr="0044524F" w:rsidRDefault="00192E97" w:rsidP="009654CF">
      <w:pPr>
        <w:pStyle w:val="rtejustify"/>
        <w:spacing w:before="0" w:after="0"/>
        <w:rPr>
          <w:color w:val="000000" w:themeColor="text1"/>
          <w:sz w:val="16"/>
          <w:szCs w:val="16"/>
        </w:rPr>
      </w:pPr>
    </w:p>
    <w:p w14:paraId="25B78800"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CE92FB6"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8D8061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августа 1933 на ЦА снимали АНТ-16 ТБ-4 (1017,237).</w:t>
      </w:r>
    </w:p>
    <w:p w14:paraId="426DE02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C3CABB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августа 1933 л С.А.Корзинщиков предотвратил аварию автожира А-6 в связи с отказом мотора (298,204).</w:t>
      </w:r>
    </w:p>
    <w:p w14:paraId="0E94F8E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41E8DB1" w14:textId="77777777" w:rsidR="00192E97"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32E80DD" w14:textId="77777777" w:rsidR="00192E97" w:rsidRPr="0044524F" w:rsidRDefault="00192E97"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A1275A7" w14:textId="77777777" w:rsidR="00192E97" w:rsidRPr="0044524F" w:rsidRDefault="00192E97" w:rsidP="009654CF">
      <w:pPr>
        <w:pStyle w:val="rtejustify"/>
        <w:spacing w:before="0" w:after="0"/>
        <w:rPr>
          <w:color w:val="000000" w:themeColor="text1"/>
          <w:sz w:val="16"/>
          <w:szCs w:val="16"/>
        </w:rPr>
      </w:pPr>
      <w:r w:rsidRPr="0044524F">
        <w:rPr>
          <w:rStyle w:val="af0"/>
          <w:bCs/>
          <w:i w:val="0"/>
          <w:color w:val="000000" w:themeColor="text1"/>
          <w:sz w:val="16"/>
          <w:szCs w:val="16"/>
        </w:rPr>
        <w:t>20 августа 1933 вышел приказ НКТП № 122с.</w:t>
      </w:r>
      <w:r w:rsidRPr="0044524F">
        <w:rPr>
          <w:color w:val="000000" w:themeColor="text1"/>
          <w:sz w:val="16"/>
          <w:szCs w:val="16"/>
        </w:rPr>
        <w:t xml:space="preserve"> О подчинении орудийных заводов Орудийно-арсенального объединения непосредственно НКТП. (РГАЭ. Ф. 7297. Оп. 38. Д. 38. Л. 76) (15246).</w:t>
      </w:r>
    </w:p>
    <w:p w14:paraId="41385991" w14:textId="77777777" w:rsidR="00192E97" w:rsidRPr="0044524F" w:rsidRDefault="00192E97" w:rsidP="009654CF">
      <w:pPr>
        <w:pStyle w:val="rtejustify"/>
        <w:spacing w:before="0" w:after="0"/>
        <w:rPr>
          <w:color w:val="000000" w:themeColor="text1"/>
          <w:sz w:val="16"/>
          <w:szCs w:val="16"/>
        </w:rPr>
      </w:pPr>
    </w:p>
    <w:p w14:paraId="29D0D79C" w14:textId="77777777" w:rsidR="00192E97" w:rsidRPr="0044524F" w:rsidRDefault="00192E97" w:rsidP="009654CF">
      <w:pPr>
        <w:pStyle w:val="rtejustify"/>
        <w:spacing w:before="0" w:after="0"/>
        <w:rPr>
          <w:color w:val="000000" w:themeColor="text1"/>
          <w:sz w:val="16"/>
          <w:szCs w:val="16"/>
        </w:rPr>
      </w:pPr>
      <w:r w:rsidRPr="0044524F">
        <w:rPr>
          <w:rStyle w:val="af0"/>
          <w:bCs/>
          <w:i w:val="0"/>
          <w:color w:val="000000" w:themeColor="text1"/>
          <w:sz w:val="16"/>
          <w:szCs w:val="16"/>
        </w:rPr>
        <w:t>20/31 августа 1933 вышел приказ НКТП № 136сс.</w:t>
      </w:r>
      <w:r w:rsidRPr="0044524F">
        <w:rPr>
          <w:color w:val="000000" w:themeColor="text1"/>
          <w:sz w:val="16"/>
          <w:szCs w:val="16"/>
        </w:rPr>
        <w:t xml:space="preserve"> О недопустимости изменения технических условий и чертежей на образцы вооружения армии, принятые РВС СССР. (РГАЭ. Ф. 7297. Оп. 38. Д. 38. Л. 87) (15246).</w:t>
      </w:r>
    </w:p>
    <w:p w14:paraId="4BEC3D89" w14:textId="77777777" w:rsidR="00192E97" w:rsidRPr="0044524F" w:rsidRDefault="00192E97" w:rsidP="009654CF">
      <w:pPr>
        <w:pStyle w:val="rtejustify"/>
        <w:spacing w:before="0" w:after="0"/>
        <w:rPr>
          <w:color w:val="000000" w:themeColor="text1"/>
          <w:sz w:val="16"/>
          <w:szCs w:val="16"/>
        </w:rPr>
      </w:pPr>
    </w:p>
    <w:p w14:paraId="41017DA5"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13E0AB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42DFE4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августа 1933 за подписью зам. начальника Управления Дмитлага В. Т. Радецкого появился приказ по лагерю № 291:</w:t>
      </w:r>
    </w:p>
    <w:p w14:paraId="23809D9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 3 части 3 Отделения КРАШЕНИННИКОВ в присутствии и активном участии Уполномоченного той же части ГОЛИКОВА, Пом. Нач. 2 л/п. 3 Отделения МИДЬ, напившись пьяными избили з/к. з/к., инсценировали расстрел последних, произвели кулачную расправу со всеми, кто «не так» им отвечал. КРАШЕНИННИКОВ за время работы систематически пил, делом не руководил.</w:t>
      </w:r>
    </w:p>
    <w:p w14:paraId="1829B14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Коллегией ОГПУ КРАШЕНИННИКОВ осужден на 5 лет Испр.-Труд. Лагерей, ГОЛИКОВ и МИДЬ - по три года каждый.</w:t>
      </w:r>
    </w:p>
    <w:p w14:paraId="1283807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Уполномоченные 3 части 8 Отделения Лагеря ДАЕН и МАРТЫНОВ в течение длительного времени использовали свое служебное положение в личных целях, понуждали з/к. з/к. женщин к половой связи, всем имевшим с ними связь предоставляли незаконные льготы, систематически пили вместе с заключенными.</w:t>
      </w:r>
    </w:p>
    <w:p w14:paraId="59E4E0A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Коллегией ОГПУ ДАЕН и МАРТЫНОВ осуждены на 5 лет Испр.-Труд. Лагерей каждый.</w:t>
      </w:r>
    </w:p>
    <w:p w14:paraId="3C8B24B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 объявить под расписку всем работникам Третьих Частей, всем лицам в/н лаг. администрации» (7560).</w:t>
      </w:r>
    </w:p>
    <w:p w14:paraId="410C1CE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8BCB783"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AD8D2EA"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B2028E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в Харькове состоялся первый полет тяжелого бомбардировщика К-7 К.А.Калинина (274) - круговой. Пилотировал М.А.Снегирев, а К.А.К. сидел вторым пилотом. На старте были П.И.Б. и И.Э.Якир. Посадили с трудом из-за обрыва тяги рулей высоты. К.А.К. объявили выговор за несанкционированный полет (1076,595). Летали 14 мин. Разбег - всего 200 м, посадка нормальная без торможения. работа элеронов - удовлетворительная. Нормальная устойчивость. Не было эффективности РН. Отметили значительные колебания рулей и серво-рулей, течь водорадиаторов средних моторов, сильное дымление моторов на взлете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41A5F6BF" w14:textId="77777777">
        <w:tc>
          <w:tcPr>
            <w:tcW w:w="1384" w:type="dxa"/>
            <w:tcBorders>
              <w:top w:val="single" w:sz="12" w:space="0" w:color="auto"/>
            </w:tcBorders>
          </w:tcPr>
          <w:p w14:paraId="1BCF2F1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764D7BB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158FDB7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AE3693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1148BFB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2EEFD40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0DCF392B" w14:textId="77777777">
        <w:tc>
          <w:tcPr>
            <w:tcW w:w="1384" w:type="dxa"/>
            <w:tcBorders>
              <w:bottom w:val="single" w:sz="12" w:space="0" w:color="auto"/>
            </w:tcBorders>
          </w:tcPr>
          <w:p w14:paraId="16F7CDF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w:t>
            </w:r>
          </w:p>
        </w:tc>
        <w:tc>
          <w:tcPr>
            <w:tcW w:w="2410" w:type="dxa"/>
            <w:tcBorders>
              <w:bottom w:val="single" w:sz="12" w:space="0" w:color="auto"/>
            </w:tcBorders>
          </w:tcPr>
          <w:p w14:paraId="3BA42DC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круговой полет с-та К-7. Проба машины, мотора и управления в воздухе</w:t>
            </w:r>
          </w:p>
        </w:tc>
        <w:tc>
          <w:tcPr>
            <w:tcW w:w="1089" w:type="dxa"/>
            <w:tcBorders>
              <w:bottom w:val="single" w:sz="12" w:space="0" w:color="auto"/>
            </w:tcBorders>
          </w:tcPr>
          <w:p w14:paraId="247D10F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0:05</w:t>
            </w:r>
          </w:p>
          <w:p w14:paraId="6D00E69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1:21</w:t>
            </w:r>
          </w:p>
          <w:p w14:paraId="569B094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0:14</w:t>
            </w:r>
          </w:p>
        </w:tc>
        <w:tc>
          <w:tcPr>
            <w:tcW w:w="3447" w:type="dxa"/>
            <w:tcBorders>
              <w:bottom w:val="single" w:sz="12" w:space="0" w:color="auto"/>
            </w:tcBorders>
          </w:tcPr>
          <w:p w14:paraId="14C0656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 12 гр. 200 м</w:t>
            </w:r>
          </w:p>
          <w:p w14:paraId="33FDF9A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Посадка - нормальная, без торможения</w:t>
            </w:r>
          </w:p>
          <w:p w14:paraId="315E629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элеровнов - вполне удовлетворительная</w:t>
            </w:r>
          </w:p>
          <w:p w14:paraId="0CF9112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стабилизатора - нормальная</w:t>
            </w:r>
          </w:p>
          <w:p w14:paraId="4A14A86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Тенженция машины - легко набирать высоту</w:t>
            </w:r>
          </w:p>
          <w:p w14:paraId="158DC5C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Устойчивость машины во всех плоскостях - нормальная</w:t>
            </w:r>
          </w:p>
        </w:tc>
        <w:tc>
          <w:tcPr>
            <w:tcW w:w="1776" w:type="dxa"/>
            <w:tcBorders>
              <w:bottom w:val="single" w:sz="12" w:space="0" w:color="auto"/>
            </w:tcBorders>
          </w:tcPr>
          <w:p w14:paraId="7AE8F98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Эффективности рулей поворота не наблюдалось</w:t>
            </w:r>
          </w:p>
          <w:p w14:paraId="56BA47A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Значительные колебания рулей и серворулей, а также стабилизатора и хвостовых ферм (устранено)</w:t>
            </w:r>
          </w:p>
          <w:p w14:paraId="435C8D3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Течь водорадиаторов обоих средних моторов (устранено)</w:t>
            </w:r>
          </w:p>
          <w:p w14:paraId="50A1665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Температура воды левого 3-го мотора - 105</w:t>
            </w:r>
          </w:p>
          <w:p w14:paraId="5AE10E9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Разрыв тросса управления правого серворуля (устранено)</w:t>
            </w:r>
          </w:p>
          <w:p w14:paraId="06FAC7E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Необходимость удаления компенсации серворулей</w:t>
            </w:r>
          </w:p>
          <w:p w14:paraId="5DD2953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сильно дымят, особенно при взлете</w:t>
            </w:r>
          </w:p>
        </w:tc>
        <w:tc>
          <w:tcPr>
            <w:tcW w:w="1105" w:type="dxa"/>
            <w:tcBorders>
              <w:bottom w:val="single" w:sz="12" w:space="0" w:color="auto"/>
            </w:tcBorders>
          </w:tcPr>
          <w:p w14:paraId="72B4668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61D0E98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269BE81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62474F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21 августа 1933 К-7 совершил первый полет по кругу. На месте командира самолета сидел М.А. Снегирев, место второго пилота занимал конструктор К.А. Калинин. На аэродроме присутствовали начальник ГУАП П.И. Баранов, командующий Украинским военным округом И.Э. Якир и известный летчик М.М. Громов. После взлета отказал серворуль, а затем нижний руль высоты; потом выяснилось, что лопнул трос. Руль свободно болтался, вызывая тряску самолета. Чтобы помочь летчику, Калинину тоже пришлось взяться за штурвал. Вдвоем они смогли развернуть машину. Конструктор предложил садиться в поле, но взлететь оттуда К-7 бы не смог; его пришлось бы разобрать и вывозить по частям. Снегирев все-таки сумел выполнить круг и приземлиться. Весь полет продолжался 12 минут. Летчик получил от Баранова благодарность, а конструктор - выговор. </w:t>
      </w:r>
    </w:p>
    <w:p w14:paraId="7FA88FD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краткость первого полета, выявили неэффективность рулей направления, перекомпенсацию серво- рулей, течи радиаторов, тряску хвостовых балок и неправильную регулировку моторов, приводившую к сильному дымлению. Почти месяц ушел на устранение дефектов. Поскольку было предположение, что трос перерезали вредители, после окончания рабочей смены машину пломбировали, а вокруг нее выставлялся караул красноармейцев (12036).</w:t>
      </w:r>
    </w:p>
    <w:p w14:paraId="00A3BA2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42810F4" w14:textId="77777777" w:rsidR="0099326C" w:rsidRPr="0044524F" w:rsidRDefault="0099326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в 1933 году первый полет бомбардировщика-гиганта «К-7» конструктора К.А.Калинина, экипаж М.А.Снегирева. Уникальная машина имела 7 двигателей по 750 л.с. «К-7» представлял собой гигантское эллиптическое крыло толстого профиля размахом 53 м (у «В-52» - 56 м) и площадью 452 кв. м, от него шли две хвостовые балки, которые несли хвостовое оперение с механизмом для поворота. Крыло было выполнено в виде спрямленного центроплана шириной 6 м, длиной 10,6 м и высотой 2,33 м. Там располагались помещения для пассажиров и грузов, предусматривалось 120 кресел для пассажиров. Бомбовая нагрузка могла достигать 16 т! К центроплану были пристыкованы эллиптические консоли, в которых были размещены 14 цистерн с топливом. Рубка была построена выступающей вперед по оси самолета. В ней размещались два пилота, штурман, радист и старший механик, остальные 7 членов экипажа находились в других отсеках и переговаривались между собой по внутреннему телефону. Состоялось 7 удачных полетов, самолет прошел почти все заводские испытания. Восьмой полет окочился катастрофой из-за разрушения хвостовой балки. Погибло 15 человек, 5 остались живы. В 1935 г. работы над «К-7» прекратили. Уже тогда было ясно, что скорость в 200 км/ч - недостаточно (14995).</w:t>
      </w:r>
    </w:p>
    <w:p w14:paraId="301F2461" w14:textId="77777777" w:rsidR="0099326C" w:rsidRPr="0044524F" w:rsidRDefault="0099326C" w:rsidP="009654CF">
      <w:pPr>
        <w:spacing w:after="0" w:line="240" w:lineRule="auto"/>
        <w:jc w:val="both"/>
        <w:rPr>
          <w:rFonts w:ascii="Times New Roman" w:hAnsi="Times New Roman"/>
          <w:color w:val="000000" w:themeColor="text1"/>
          <w:sz w:val="16"/>
          <w:szCs w:val="16"/>
        </w:rPr>
      </w:pPr>
    </w:p>
    <w:p w14:paraId="77877FE7" w14:textId="77777777" w:rsidR="00853C3C" w:rsidRPr="0044524F" w:rsidRDefault="00853C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г. в Харькове состоялся первый испытательный полет самолета-гиганта К-7 конструкции инж. К.А.Калинина. Испытывал летчик М.А.Снегирев. Самолет К-7 - сомимоторный цельнометаллический моноплан двухбалочиой схемы. Назначение - дальний бомбардировщик с пассажирским вариантом, По своим размерам К-7 был одним из крупнейших самолетов мира. Его данные: размах - 53 м; длина - 28 м высота - 6 м, площадь крыльев - 454 м2; полезная нагрузки - 10-19 тн; полетный вес – 34-41 тн; скорость максимальная - 240 км/час, минимальная - 110 км/чвс; потолок - 5-6 тысяч м. Моторы М-34 по 760 л.с., из них один с толкающим винтом на задней части центроплана. Хвостовые балки заканчивались открытыми туннелями для стрелковых устаиоиок. Шасси состояло из шести колес, почти скрытых в двух гондолах. Вооружение состояло из трех пушек и шести пулеметов. Испытывался - без вооружения. Пассажирский вариант предусматривал устанвку в крылья 120 пассажирских кресел с заменой их на 64 спальных в 16 купе. 21-го ноября в процессе заводских испытаний К-7 стерпел катастрофу от невыясненной причинам. Погибло 14 человек экипажа вo главе с шеф-пилотом Михаилом Артемовичем Снегиревым.</w:t>
      </w:r>
    </w:p>
    <w:p w14:paraId="2442AADE" w14:textId="77777777" w:rsidR="00853C3C" w:rsidRPr="0044524F" w:rsidRDefault="00853C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ЦИК СССР» за 14 ноября/ 23370).</w:t>
      </w:r>
    </w:p>
    <w:p w14:paraId="2CA1DA7F" w14:textId="4215AC36" w:rsidR="00853C3C" w:rsidRPr="0044524F" w:rsidRDefault="00853C3C" w:rsidP="009654CF">
      <w:pPr>
        <w:spacing w:after="0" w:line="240" w:lineRule="auto"/>
        <w:jc w:val="both"/>
        <w:rPr>
          <w:rFonts w:ascii="Times New Roman" w:hAnsi="Times New Roman"/>
          <w:color w:val="000000" w:themeColor="text1"/>
          <w:sz w:val="16"/>
          <w:szCs w:val="16"/>
        </w:rPr>
      </w:pPr>
    </w:p>
    <w:p w14:paraId="7D4ECED8" w14:textId="77777777" w:rsidR="006209C4" w:rsidRPr="0044524F" w:rsidRDefault="006209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г. после окончаний доработки экипаж М.А. Снегирева выполнил на самолете К-7 первый полет по кругу. При этом в кабине кроме Снегирева и Власова без разрешения находился главный конструктор К.А. Калинин. В полете оборвался трос серворуля основного РВ. Летчик с трудом посадил самолет. Осмотр троса показал, что большая часть прядей троса не перетерлась, а была намеренно перекушена. Однако факт диверсии и виновных не установили и у самолета просто выставили охрану. Было решено, что доработки самолету не требуются (23561).</w:t>
      </w:r>
    </w:p>
    <w:p w14:paraId="53623E09" w14:textId="77777777" w:rsidR="006209C4" w:rsidRPr="0044524F" w:rsidRDefault="006209C4" w:rsidP="009654CF">
      <w:pPr>
        <w:spacing w:after="0" w:line="240" w:lineRule="auto"/>
        <w:jc w:val="both"/>
        <w:rPr>
          <w:rFonts w:ascii="Times New Roman" w:hAnsi="Times New Roman"/>
          <w:color w:val="000000" w:themeColor="text1"/>
          <w:sz w:val="16"/>
          <w:szCs w:val="16"/>
        </w:rPr>
      </w:pPr>
    </w:p>
    <w:p w14:paraId="6ADBD16A"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августа 1933 г. К-7 совершил первый полет по кругу. На мес</w:t>
      </w:r>
      <w:r w:rsidRPr="00142305">
        <w:rPr>
          <w:rFonts w:ascii="Times New Roman" w:hAnsi="Times New Roman"/>
          <w:color w:val="0070C0"/>
          <w:sz w:val="16"/>
          <w:szCs w:val="16"/>
        </w:rPr>
        <w:softHyphen/>
        <w:t>те комавдира самолета сидел М.А Снегирев, место второго пилота занимал конструктор К.А Калинин. На аэродроме присутствовали начальник ГУАП П.И. Баранов, команду</w:t>
      </w:r>
      <w:r w:rsidRPr="00142305">
        <w:rPr>
          <w:rFonts w:ascii="Times New Roman" w:hAnsi="Times New Roman"/>
          <w:color w:val="0070C0"/>
          <w:sz w:val="16"/>
          <w:szCs w:val="16"/>
        </w:rPr>
        <w:softHyphen/>
        <w:t>ющий Украинским военным округом И.Э. Якир и извест</w:t>
      </w:r>
      <w:r w:rsidRPr="00142305">
        <w:rPr>
          <w:rFonts w:ascii="Times New Roman" w:hAnsi="Times New Roman"/>
          <w:color w:val="0070C0"/>
          <w:sz w:val="16"/>
          <w:szCs w:val="16"/>
        </w:rPr>
        <w:softHyphen/>
        <w:t>ный летчик М.М. Громов. После взлета отказал серворуль, а затем нижний руль высоты; потом выяснилось, что лоп</w:t>
      </w:r>
      <w:r w:rsidRPr="00142305">
        <w:rPr>
          <w:rFonts w:ascii="Times New Roman" w:hAnsi="Times New Roman"/>
          <w:color w:val="0070C0"/>
          <w:sz w:val="16"/>
          <w:szCs w:val="16"/>
        </w:rPr>
        <w:softHyphen/>
        <w:t>нул трос. Руль свободно болтался, вызывая тряску самолета. Чтобы помочь летчику, Калинину тоже пришлось взяться за штурвал. Вдвоем они смогли развернуть машину. Конс</w:t>
      </w:r>
      <w:r w:rsidRPr="00142305">
        <w:rPr>
          <w:rFonts w:ascii="Times New Roman" w:hAnsi="Times New Roman"/>
          <w:color w:val="0070C0"/>
          <w:sz w:val="16"/>
          <w:szCs w:val="16"/>
        </w:rPr>
        <w:softHyphen/>
        <w:t>труктор предложил садиться в поле, но взлететь оттуда К-7 бы не смог; его пришлось бы разобрать и вывозить по час</w:t>
      </w:r>
      <w:r w:rsidRPr="00142305">
        <w:rPr>
          <w:rFonts w:ascii="Times New Roman" w:hAnsi="Times New Roman"/>
          <w:color w:val="0070C0"/>
          <w:sz w:val="16"/>
          <w:szCs w:val="16"/>
        </w:rPr>
        <w:softHyphen/>
        <w:t>тям. Снегирев все-таки сумел выполнить круг и призем</w:t>
      </w:r>
      <w:r w:rsidRPr="00142305">
        <w:rPr>
          <w:rFonts w:ascii="Times New Roman" w:hAnsi="Times New Roman"/>
          <w:color w:val="0070C0"/>
          <w:sz w:val="16"/>
          <w:szCs w:val="16"/>
        </w:rPr>
        <w:softHyphen/>
        <w:t>литься. Весь полет продолжался 12 минут. Летчик получил от Баранова благодарность, а конструктор — выговор.</w:t>
      </w:r>
    </w:p>
    <w:p w14:paraId="0DFDBD95"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краткость первого полета, выявили неэф</w:t>
      </w:r>
      <w:r w:rsidRPr="00142305">
        <w:rPr>
          <w:rFonts w:ascii="Times New Roman" w:hAnsi="Times New Roman"/>
          <w:color w:val="0070C0"/>
          <w:sz w:val="16"/>
          <w:szCs w:val="16"/>
        </w:rPr>
        <w:softHyphen/>
        <w:t>фективность рулей направления, перекомпенсацию серворулей, течи радиаторов, тряску хвостовых балок и непра</w:t>
      </w:r>
      <w:r w:rsidRPr="00142305">
        <w:rPr>
          <w:rFonts w:ascii="Times New Roman" w:hAnsi="Times New Roman"/>
          <w:color w:val="0070C0"/>
          <w:sz w:val="16"/>
          <w:szCs w:val="16"/>
        </w:rPr>
        <w:softHyphen/>
        <w:t>вильную регулировку моторов, приводившую к сильному дымлению. Почти месяц ушел на устранение дефектов. Поскольку бьшо предположение, что трос перерезали вре</w:t>
      </w:r>
      <w:r w:rsidRPr="00142305">
        <w:rPr>
          <w:rFonts w:ascii="Times New Roman" w:hAnsi="Times New Roman"/>
          <w:color w:val="0070C0"/>
          <w:sz w:val="16"/>
          <w:szCs w:val="16"/>
        </w:rPr>
        <w:softHyphen/>
        <w:t>дители, после окончания рабочей смены машину пломби</w:t>
      </w:r>
      <w:r w:rsidRPr="00142305">
        <w:rPr>
          <w:rFonts w:ascii="Times New Roman" w:hAnsi="Times New Roman"/>
          <w:color w:val="0070C0"/>
          <w:sz w:val="16"/>
          <w:szCs w:val="16"/>
        </w:rPr>
        <w:softHyphen/>
        <w:t>ровали, а вокруг нее выставлялся караул красноармейцев (24977).</w:t>
      </w:r>
    </w:p>
    <w:p w14:paraId="5A5EAA29" w14:textId="77777777" w:rsidR="006F1C62" w:rsidRPr="00142305" w:rsidRDefault="006F1C62" w:rsidP="006F1C62">
      <w:pPr>
        <w:spacing w:after="0" w:line="240" w:lineRule="auto"/>
        <w:jc w:val="both"/>
        <w:rPr>
          <w:rFonts w:ascii="Times New Roman" w:hAnsi="Times New Roman"/>
          <w:color w:val="0070C0"/>
          <w:sz w:val="16"/>
          <w:szCs w:val="16"/>
        </w:rPr>
      </w:pPr>
    </w:p>
    <w:p w14:paraId="35C3640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Зам. Секретаря РВС Смородинов писал письмо ВВС П.И.Баранову:</w:t>
      </w:r>
    </w:p>
    <w:p w14:paraId="23E07CD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"Раздел III постановления РВС от 17 июля 1933 "О ходе выполнения плана опытного самолето и моторостроения и вооружения авиации" дополнить п. 11 в следующей редакции:</w:t>
      </w:r>
    </w:p>
    <w:p w14:paraId="76228A5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Обязать Нач. ГУАП П.И.Б. образовать специальное КБ, с придачей ему 25 авиазавода, во главе с дир. Фрадкиным, Гл. арт. и Курчевским и Гл. авиа и Д.П.Г.. Откомандировать в состав этого КБ проф. Петрова (ОГПУ), Агокаса (ГУАП), Козлова (ВВА по совместительству). задачей КБ поставить постройку мощного артсамолета." (2286,91).</w:t>
      </w:r>
    </w:p>
    <w:p w14:paraId="2623037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84841B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года Гроховский писал письмо наркому по военным и морским делам и председателю РВС Ворошилову</w:t>
      </w:r>
    </w:p>
    <w:p w14:paraId="770F169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Вашим приказом Осконпробюро реорганизовано в десантный отдел НИИ ВВС. Эта реорганизация истолкована моим военкомом и некоторыми работниками как полнейшая ликвидация бюро и работ по плану 1933 года, а также расформирование руководящего состава бюро.</w:t>
      </w:r>
    </w:p>
    <w:p w14:paraId="18E2E01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……………………………………(7505, 195).</w:t>
      </w:r>
    </w:p>
    <w:p w14:paraId="52BBE3F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D246B9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Н.А.Евдокимов оставив самолет на 6920 м пролетел в свободном полете 6440 м за 105 сек. Превысил мировой рекорд (3044,59).</w:t>
      </w:r>
    </w:p>
    <w:p w14:paraId="494168C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6D5DBF6F" w14:textId="77777777" w:rsidR="0099326C" w:rsidRPr="0044524F" w:rsidRDefault="0099326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в 1933 году Мировой рекорд затяжного парашютного прыжка с высоты 6920 м, время падения - 115 с, Н.А.Евдокимов (14995).</w:t>
      </w:r>
    </w:p>
    <w:p w14:paraId="4085EC0D" w14:textId="77777777" w:rsidR="0099326C" w:rsidRPr="0044524F" w:rsidRDefault="0099326C" w:rsidP="009654CF">
      <w:pPr>
        <w:spacing w:after="0" w:line="240" w:lineRule="auto"/>
        <w:jc w:val="both"/>
        <w:rPr>
          <w:rFonts w:ascii="Times New Roman" w:hAnsi="Times New Roman"/>
          <w:color w:val="000000" w:themeColor="text1"/>
          <w:sz w:val="16"/>
          <w:szCs w:val="16"/>
        </w:rPr>
      </w:pPr>
    </w:p>
    <w:p w14:paraId="6CBD89C2"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E5ACBEA"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C4DB456" w14:textId="77777777" w:rsidR="0099326C" w:rsidRPr="0044524F" w:rsidRDefault="0099326C" w:rsidP="009654CF">
      <w:pPr>
        <w:pStyle w:val="rtejustify"/>
        <w:spacing w:before="0" w:after="0"/>
        <w:rPr>
          <w:color w:val="000000" w:themeColor="text1"/>
          <w:sz w:val="16"/>
          <w:szCs w:val="16"/>
        </w:rPr>
      </w:pPr>
      <w:r w:rsidRPr="0044524F">
        <w:rPr>
          <w:rStyle w:val="af0"/>
          <w:bCs/>
          <w:i w:val="0"/>
          <w:color w:val="000000" w:themeColor="text1"/>
          <w:sz w:val="16"/>
          <w:szCs w:val="16"/>
        </w:rPr>
        <w:t>21 августа 1933 вышел приказ НКТП № 126с.</w:t>
      </w:r>
      <w:r w:rsidRPr="0044524F">
        <w:rPr>
          <w:color w:val="000000" w:themeColor="text1"/>
          <w:sz w:val="16"/>
          <w:szCs w:val="16"/>
        </w:rPr>
        <w:t xml:space="preserve"> О выделении завода «Прогресс» из состава объединения «Паттрубвзрыв» и подчинении его непосредственно НКТП. (РГАЭ. Ф. 7297. Оп. 38. Д. 38. Л. 78) (15246).</w:t>
      </w:r>
    </w:p>
    <w:p w14:paraId="0C0C2967" w14:textId="77777777" w:rsidR="0099326C" w:rsidRPr="0044524F" w:rsidRDefault="0099326C" w:rsidP="009654CF">
      <w:pPr>
        <w:pStyle w:val="rtejustify"/>
        <w:spacing w:before="0" w:after="0"/>
        <w:rPr>
          <w:color w:val="000000" w:themeColor="text1"/>
          <w:sz w:val="16"/>
          <w:szCs w:val="16"/>
        </w:rPr>
      </w:pPr>
    </w:p>
    <w:p w14:paraId="499D05F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г. Совнарком СССР принял решение о второй реконструкции завода, которая была направлена на расширение перечня моделей автомобилей.</w:t>
      </w:r>
    </w:p>
    <w:p w14:paraId="27F9F13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3AA80F85"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вышло решение Совнаркома СССР о второй реконструкции завода ЗИЛ с доведением его производительности до 70 000 грузовых и 10 000 легковых автомобилей (17494).</w:t>
      </w:r>
    </w:p>
    <w:p w14:paraId="5C6825CD" w14:textId="77777777" w:rsidR="0012348E" w:rsidRPr="0044524F" w:rsidRDefault="0012348E" w:rsidP="009654CF">
      <w:pPr>
        <w:spacing w:after="0" w:line="240" w:lineRule="auto"/>
        <w:jc w:val="both"/>
        <w:rPr>
          <w:rFonts w:ascii="Times New Roman" w:hAnsi="Times New Roman"/>
          <w:color w:val="000000" w:themeColor="text1"/>
          <w:sz w:val="16"/>
          <w:szCs w:val="16"/>
        </w:rPr>
      </w:pPr>
    </w:p>
    <w:p w14:paraId="227F041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г. ПОСТАНОВЛЕНИЕ N 1810 СОВЕТА НАРОДНЫХ КОМИССАРОВ СССР</w:t>
      </w:r>
    </w:p>
    <w:p w14:paraId="7DCBA47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ВВЕДЕНИИ СОКРАЩЕННОЙ ОТЧЕТНОСТИ О РАБОТЕ ПРЕДПРИЯТИЙ</w:t>
      </w:r>
    </w:p>
    <w:p w14:paraId="0870599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сокращения и упрощения отчетности промышленных предприятий, особенно в предприятиях, успешно осваивающих производственные мощности, Совет народных комиссаров Союза ССР постановляет:</w:t>
      </w:r>
    </w:p>
    <w:p w14:paraId="5929EE4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Установить начиная с 1 сентября 1933 г. сокращенную отчетность о работе следующих предприятий: Сталинградского тракторного завода им. Дзержинского, Харьковского тракторного завода им. Орджоникидзе, Московского автомобильного завода им. Сталина, Горьковского автомобильного завода им. Молотова, Ярославского автомобильного завода, Московского велосипедного завода, завода "Красный октябрь" в Сталинграде, металлургического завода им. Дзержинского, станкостроительного завода "Кр. Пролетарий" в Москве, Подольского механического завода, цементного завода "Победа октября" в Новороссийске, Трехгорной мануфактуры в Москве, обувной фабрики "Скороход" в Ленинграде.</w:t>
      </w:r>
    </w:p>
    <w:p w14:paraId="38A67C9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Установить для предприятий, перечисленных в ст. 1 настоящего Постановления, следующую отчетность:</w:t>
      </w:r>
    </w:p>
    <w:p w14:paraId="6605CD0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суточные или декадные (по решению соответствующего народного комиссара) донесения о выпуске продукции в натуре;</w:t>
      </w:r>
    </w:p>
    <w:p w14:paraId="07972CC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месячную отчетность со следующими показателями по плану и фактическому выполнению: валовая продукция, выпуск продукции в натуре по видам или сортам, численность всего персонала (в том числе отдельно о рабочих, служащих, ИТР), месячный фонд заработной платы всего персонала, себестоимость продукции;</w:t>
      </w:r>
    </w:p>
    <w:p w14:paraId="4D9EBB9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квартальный бухгалтерский баланс;</w:t>
      </w:r>
    </w:p>
    <w:p w14:paraId="5D8E969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годовой отчет и баланс.</w:t>
      </w:r>
    </w:p>
    <w:p w14:paraId="42352FA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Директора перечисленных выше предприятий обязаны обеспечить учет, необходимый для конкретного оперативного руководства предприятием и дающий все необходимые данные для составления годового отчета. Обязать народные комиссариаты тяжелой и легкой промышленности Союза ССР пересмотреть в двухмесячный срок формы первичного учета по заводам, указанным в ст. 1 настоящего Постановления.</w:t>
      </w:r>
    </w:p>
    <w:p w14:paraId="0D71BDA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директоров заводов, перечисленных в ст. 1, начиная с 1 сентября 1933 г. прекратить посылку всех непредусмотренных настоящим Постановлением видов отчетности о работе предприятия.</w:t>
      </w:r>
    </w:p>
    <w:p w14:paraId="5F84D0E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Настоящее Постановление не распространяется на отчетность по капитальному строительству (12054).</w:t>
      </w:r>
    </w:p>
    <w:p w14:paraId="054E509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8754B5A" w14:textId="77777777" w:rsidR="00FD662C"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36D88786"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BD3F2A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г. Советник германского посольства в СССР Твардовский по итогам визита генерал-лейтенанта Лютца, «закрывавшего» «Казань» с помощью Халепского, записал: «Главу особо доверительного сотрудничества следует считать законченной» (ADAP, Ser.C, Bd.I,2. S. 758-759.). Типпельскирх, зав. русской референтурой Восточноевропейского отдела МИД Германии, сделал на полях этой записи пометку: «&lt;...&gt; согласно сообщениям военного атташе полковника Хартмана русские даже оставили открытой дверь для будущего военного сотрудничества с нами» (ADAP, Ser.C, Bd.I,2. S. 758-759.) (11784).</w:t>
      </w:r>
    </w:p>
    <w:p w14:paraId="7D0FC0E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6067995B"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173309F"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B1D013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августа 1933 прошли гос. испытания ракетного разгона ТБ-3 (АНТ-6) и М.Н.Тухачевский в приказе от 5 октября оценил эти работы (376,26).</w:t>
      </w:r>
    </w:p>
    <w:p w14:paraId="62C3FFA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432C3B2"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августа 1933 года вышел приказ РВС № 0025 о гос. испытаниях по ускорению взлета самолета ТБ1-2М17 со стартовыми ракетами, разработанных Реактивным НИИ (бывш. ГДЛ). С 4 по 11 октября 1933 проходили гос. испытания по сокращению разбега самолета ТБ1-2М17 (6643).</w:t>
      </w:r>
    </w:p>
    <w:p w14:paraId="7A8A2EF8"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38DFD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августа 1933 дата присвоения опознавательного знака с литерой "Н" - СССР-Н9 - Дорнье "Валь", зав. № 238, моторы - 2 М-17. Первоначальный владелец воздушного судна - УВС ГУСМП. 27-го сентября 1934 г. потерпел аварию. Самолет Дорнье "Валь" СССР-Н9 приказом № 5 н/о от 28.10.35 г. предписывалось, "как выбывший из строя, списать в расход, использовав уцелевшие детали и агрегаты на запасные части. Моторы подвергнуть просмотру" (11955).</w:t>
      </w:r>
    </w:p>
    <w:p w14:paraId="7AF0562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125291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22 августа 1933 дата присвоения опознавательного знака, с литерой "Н" - СССР-Н10 - Дорнье "Валь", зав. № 239, моторы - 2 М-17. Первоначальный владелец воздушного судна - УВС ГУСМП. В мае 1941 г. Дорнье "Валь" СССР-НЮ на период летней навигации назначили на линейную работу с базы в Игарке (11955). </w:t>
      </w:r>
    </w:p>
    <w:p w14:paraId="39A585C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E0944D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августа 1933 С.П.К. направил в ЦС ОХА докладную записку "О положении экспериментальных работ по ракетам" (Там же, № 238, л. 28) (10676).</w:t>
      </w:r>
    </w:p>
    <w:p w14:paraId="64A1912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54ADB8A"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августа 1933</w:t>
      </w:r>
    </w:p>
    <w:p w14:paraId="43D50A75"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 НАЧАЛЬНИКА ГИРД О ПОЛОЖЕНИИ ЭКСПЕРИМЕНТАЛЬНОЙ РАБОТЫ ПО РАКЕТАМ</w:t>
      </w:r>
    </w:p>
    <w:p w14:paraId="5EFF15BA"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Группа Реактивных Двигателей ГИРД работает над созданием совершенно новых по своей идее типов двигателей и снарядов, основанных на принципе реакции струи вытекающих газов. Построен и испытан ряд реактивных двигателей на жидком топливе. Проведены многочисленные лабораторные полигонные испытания. В результате работы ГИРД за 1933 год была разработана и построена принципиально новая ракета-снаряд (конструкция инж. Тихонравова), которая была подробно изучена в работе на привязи на балансирном станке.</w:t>
      </w:r>
    </w:p>
    <w:p w14:paraId="7AF157A2"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17-го Августа с/г. в 19 часов первая советская ракета на жидком горючем успешно совершила свой первый полет. Этим самым практически проверен принцип устройства, схема и формы этой ракеты-снаряда. Главной задачей дальнейшего является наиболее быстрое получение расчетных дальностей и высот полета ракеты и сдача ее на вооружение и для мирных целей. Для этой ракеты, как для первого шага в этой области были выбраны скромные данные. Высота вертикального подъема до 6 тыс. метров. Вес ракеты 18 кгр. Из них 6 кгр. полезной нагрузки. Скорость полета до 250 мтр. в секунду. От первого шага, доказавшего правильность выбранной схемы, можно будет перейти к дальнейшим усовершенствованиям и получению летающих ракет больших калибров со скоростями полета до 800 - 1000 метр. в секунду и дальности полета в несколько сотен и тысяч километров.</w:t>
      </w:r>
    </w:p>
    <w:p w14:paraId="17BBE49B"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этого нужно без промедления, как можно шире поставить дальнейшие опыты с летающими ракетами. Надо выстроить серию хотя бы в 6 ракет и сделать за Сентярбрь-Октябрь м-цы этого года не одну сотню полетов. Если это будет так, то несмотря на то, что, летавшая 17-го Августа ракета является очень несовершенной, только первым опытом в этой области, можно будет к концу 1933 г. иметь уже доработанный в известной мере образец, который может быть пущен для эксплоатации. Кроме того, широкая постановка опытов даст возможность пойти по пути повышения данных (в частности увеличения дальности).</w:t>
      </w:r>
    </w:p>
    <w:p w14:paraId="1E3DC070"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Успех первого полета достигнут в результате настойчивой, упорной работы всего коллектива ГИРД, несмотря на чрезвычайные трудности. А именно: с момента организации ГИРД (Июнь 1932 г.) из группы в несколько человек активистов Осоавиахима развернут небольшой, но обладающий всеми видами производств заводик. Однако, завод расположен в сыром подвале, без дневного света. Никакого снабжения ни материалами, ни оборудованием, ни продовольствием и т.п. нет и не получалось ГИРД"ом ранее. Средств на производство опытов слишком недостаточно. До сего дня длится двойственное подчинение ГИРД Осоавиахиму (формально) и УВИ Н.В. РККА (фактически). А в результате, уже более года как ГИРД не имеет хозяина и буквально задыхается в мелочах, не дающих ему развернуть, как это следовало бы в наших масштабах, свою работу. Как пример, можно указать, что ГИРД до сего дня не имеет никакого транспорта и отрезан от полигона, находящегося в 40 км от Москвы. Уже более года обсуждается вопрос о создании Реактивного Института, но в настоящее время этот вопрос застрял еще в одной инстанции (Военно-Морская Инспекция ЦКК).</w:t>
      </w:r>
    </w:p>
    <w:p w14:paraId="420C5005"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необычайно тяжелые условия работы, ГИРД"ом все-таки доведена и выпущена в воздух первая советская ракета. Однако, НКВМ* по заданию которого она делалась отпускает недостаточно средств на постановку опытов, а кроме того его не может интересовать применение ракеты в различных областях народного хозяйства (для метеорологических целей, быстрой связи, почты и т.д.).</w:t>
      </w:r>
    </w:p>
    <w:p w14:paraId="6D66A6A8"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Поэтому необходимо:</w:t>
      </w:r>
    </w:p>
    <w:p w14:paraId="161468E1"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Ускорить разрешение вопроса с организацией Реактивного Ин-та.</w:t>
      </w:r>
    </w:p>
    <w:p w14:paraId="28083E4E"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Немедленно отпустить ГИРД"у необходимые средства на постановку научно-исследовательской работы и, в частности, на постройку первой опытной серии ракет и испытание их (на это нужно до 30000 рублей). Работы вести учитывая и мирное применение ракет.</w:t>
      </w:r>
    </w:p>
    <w:p w14:paraId="5F4B0383"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22/VIII</w:t>
      </w:r>
    </w:p>
    <w:p w14:paraId="5BD295E0"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ГИРД инж (Королев)</w:t>
      </w:r>
    </w:p>
    <w:p w14:paraId="38CC91AF" w14:textId="77777777" w:rsidR="00C14A23" w:rsidRPr="0044524F" w:rsidRDefault="00C14A2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ГАРФ. Ф. Р-8355. Оп. 1. Д. 374. Л. 143-144. Подлинник (15814).</w:t>
      </w:r>
    </w:p>
    <w:p w14:paraId="1AFDC237" w14:textId="77777777" w:rsidR="00C14A23" w:rsidRPr="0044524F" w:rsidRDefault="00C14A23" w:rsidP="009654CF">
      <w:pPr>
        <w:spacing w:after="0" w:line="240" w:lineRule="auto"/>
        <w:jc w:val="both"/>
        <w:rPr>
          <w:rFonts w:ascii="Times New Roman" w:hAnsi="Times New Roman"/>
          <w:color w:val="000000" w:themeColor="text1"/>
          <w:sz w:val="16"/>
          <w:szCs w:val="16"/>
        </w:rPr>
      </w:pPr>
    </w:p>
    <w:p w14:paraId="14107114"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5CECF7A"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9FA528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августа 1933 года было принято решение стволы 152-мм гаубиц НГ по программе 1933 года изготавливать скрепленными, а лафеты клепаными, а не сварными (3861).</w:t>
      </w:r>
    </w:p>
    <w:p w14:paraId="133D3C1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F3734F8" w14:textId="77777777" w:rsidR="00910933" w:rsidRPr="0044524F" w:rsidRDefault="00910933" w:rsidP="009654CF">
      <w:pPr>
        <w:pStyle w:val="rtejustify"/>
        <w:spacing w:before="0" w:after="0"/>
        <w:rPr>
          <w:color w:val="000000" w:themeColor="text1"/>
          <w:sz w:val="16"/>
          <w:szCs w:val="16"/>
        </w:rPr>
      </w:pPr>
      <w:r w:rsidRPr="0044524F">
        <w:rPr>
          <w:rStyle w:val="af0"/>
          <w:bCs/>
          <w:i w:val="0"/>
          <w:color w:val="000000" w:themeColor="text1"/>
          <w:sz w:val="16"/>
          <w:szCs w:val="16"/>
        </w:rPr>
        <w:t>22 августа</w:t>
      </w:r>
      <w:r w:rsidRPr="0044524F">
        <w:rPr>
          <w:color w:val="000000" w:themeColor="text1"/>
          <w:sz w:val="16"/>
          <w:szCs w:val="16"/>
        </w:rPr>
        <w:t xml:space="preserve"> 1933. Постановление СТО СССР № 81с/о «Об обеспечении РККА высококачественными маслами». (ГА РФ. Ф. Р</w:t>
      </w:r>
      <w:r w:rsidRPr="0044524F">
        <w:rPr>
          <w:color w:val="000000" w:themeColor="text1"/>
          <w:sz w:val="16"/>
          <w:szCs w:val="16"/>
        </w:rPr>
        <w:noBreakHyphen/>
        <w:t>8418. Оп. 28. Д. 2. Л. 121</w:t>
      </w:r>
      <w:r w:rsidRPr="0044524F">
        <w:rPr>
          <w:color w:val="000000" w:themeColor="text1"/>
          <w:sz w:val="16"/>
          <w:szCs w:val="16"/>
        </w:rPr>
        <w:noBreakHyphen/>
        <w:t>127) (15460).</w:t>
      </w:r>
    </w:p>
    <w:p w14:paraId="73F7D62C" w14:textId="77777777" w:rsidR="00910933" w:rsidRPr="0044524F" w:rsidRDefault="00910933" w:rsidP="009654CF">
      <w:pPr>
        <w:pStyle w:val="rtejustify"/>
        <w:spacing w:before="0" w:after="0"/>
        <w:rPr>
          <w:color w:val="000000" w:themeColor="text1"/>
          <w:sz w:val="16"/>
          <w:szCs w:val="16"/>
        </w:rPr>
      </w:pPr>
    </w:p>
    <w:p w14:paraId="01064DDC" w14:textId="0F2F3F46" w:rsidR="006F1C62" w:rsidRPr="0044524F" w:rsidRDefault="006F1C62" w:rsidP="006F1C62">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44524F">
        <w:rPr>
          <w:rFonts w:ascii="Times New Roman" w:hAnsi="Times New Roman"/>
          <w:i/>
          <w:iCs/>
          <w:color w:val="000000" w:themeColor="text1"/>
          <w:sz w:val="16"/>
          <w:szCs w:val="16"/>
        </w:rPr>
        <w:t>:</w:t>
      </w:r>
    </w:p>
    <w:p w14:paraId="69E5ACF0" w14:textId="77777777" w:rsidR="006F1C62" w:rsidRPr="0044524F" w:rsidRDefault="006F1C62" w:rsidP="006F1C62">
      <w:pPr>
        <w:autoSpaceDE w:val="0"/>
        <w:autoSpaceDN w:val="0"/>
        <w:adjustRightInd w:val="0"/>
        <w:spacing w:after="0" w:line="240" w:lineRule="auto"/>
        <w:jc w:val="both"/>
        <w:rPr>
          <w:rFonts w:ascii="Times New Roman" w:hAnsi="Times New Roman"/>
          <w:iCs/>
          <w:color w:val="000000" w:themeColor="text1"/>
          <w:sz w:val="16"/>
          <w:szCs w:val="16"/>
        </w:rPr>
      </w:pPr>
    </w:p>
    <w:p w14:paraId="46A8B937"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22 августа 1933 г. на Балтике имелось два Ш-2, на Чёрном море - пять, в ОКДВА - четыре, в МСДВ - 12; ещё две машины поступили в Школу морских лёт</w:t>
      </w:r>
      <w:r w:rsidRPr="00142305">
        <w:rPr>
          <w:rFonts w:ascii="Times New Roman" w:hAnsi="Times New Roman"/>
          <w:color w:val="0070C0"/>
          <w:sz w:val="16"/>
          <w:szCs w:val="16"/>
        </w:rPr>
        <w:softHyphen/>
        <w:t>чиков. На 1 декабря на Балтийском море их стало четыре, на Чёрном море - семь, в МСДВ - 16, в ОКДВА - три, в Украин</w:t>
      </w:r>
      <w:r w:rsidRPr="00142305">
        <w:rPr>
          <w:rFonts w:ascii="Times New Roman" w:hAnsi="Times New Roman"/>
          <w:color w:val="0070C0"/>
          <w:sz w:val="16"/>
          <w:szCs w:val="16"/>
        </w:rPr>
        <w:softHyphen/>
        <w:t>ском военном округе - три (из них исправ</w:t>
      </w:r>
      <w:r w:rsidRPr="00142305">
        <w:rPr>
          <w:rFonts w:ascii="Times New Roman" w:hAnsi="Times New Roman"/>
          <w:color w:val="0070C0"/>
          <w:sz w:val="16"/>
          <w:szCs w:val="16"/>
        </w:rPr>
        <w:softHyphen/>
        <w:t>ных - две), в Школе морских лётчиков - 25 (20 исправных), в Военно-воздушной академии - две. Все они использовались как тренировочные и связные (24952).</w:t>
      </w:r>
    </w:p>
    <w:p w14:paraId="51D646C0" w14:textId="77777777" w:rsidR="006F1C62" w:rsidRPr="00142305" w:rsidRDefault="006F1C62" w:rsidP="006F1C62">
      <w:pPr>
        <w:spacing w:after="0" w:line="240" w:lineRule="auto"/>
        <w:jc w:val="both"/>
        <w:rPr>
          <w:rFonts w:ascii="Times New Roman" w:hAnsi="Times New Roman"/>
          <w:color w:val="0070C0"/>
          <w:sz w:val="16"/>
          <w:szCs w:val="16"/>
        </w:rPr>
      </w:pPr>
    </w:p>
    <w:p w14:paraId="05E04C26"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08D61285"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7911B1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августа 1933 г. была беседа генерал-лейтенанта Лютца и Халепского и 23 сентября 1933 г. Хартмана со Смагиным, а 10 января 1934 г. Левичева с полковником генштаба райхсвера X. фон Штюльпнагелем и нового германского посла в СССР Р. Надольного с Ворошиловым (ADAP, Ser.C, Bd. 1,2. S. 861.). Примерно в это же время на процессе в Ляйпциге о поджоге райхстага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соч,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Германию для его Встречи с ведущими деятелями германского правительства. Но когда Гитлер 26 сентября 1933 г. согласился встретиться с Крестинским и об этом через Хинчука было сообщено в Москву, Крестинский, по инициативе Литвинова, вернулся в Москву через Вену (АВП РФ, ф. 082, оп. 16, п. 71, д. 1, л. 324; ADAP, Ser. С, Bd. 11,1. Ь. 75.) (11784).</w:t>
      </w:r>
    </w:p>
    <w:p w14:paraId="34C8D94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84390A5"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22 августа 1933 г. в ходе бесед генерал-лейтенанта Лютца и Халепского, Хартмана со Смагиным 23 сентября 1933 г., Левичева с полковником генштаба райхсвера X. фон Штюльпнагелем, нового германского посла в СССР Р. Надольного с Ворошиловым 10 января 1934 г. речь шла О желании обеих сторон продолжать эти отношения «в иных формах» (18265).</w:t>
      </w:r>
    </w:p>
    <w:p w14:paraId="7310D158" w14:textId="77777777" w:rsidR="00AB1245" w:rsidRPr="0044524F" w:rsidRDefault="00AB1245" w:rsidP="009654CF">
      <w:pPr>
        <w:spacing w:after="0" w:line="240" w:lineRule="auto"/>
        <w:jc w:val="both"/>
        <w:rPr>
          <w:rFonts w:ascii="Times New Roman" w:hAnsi="Times New Roman"/>
          <w:color w:val="000000" w:themeColor="text1"/>
          <w:sz w:val="16"/>
          <w:szCs w:val="16"/>
        </w:rPr>
      </w:pPr>
    </w:p>
    <w:p w14:paraId="673C2124"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8D04BCE"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9F8DCA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августа 1933 в Праге открылся Международный конгресс сионистов (3481).</w:t>
      </w:r>
    </w:p>
    <w:p w14:paraId="1B34C83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52F16A2D"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28320C9"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B8D69B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 1933 К.А.К. и П.И.Б. отбыли в Москву с докладом по К-7. В прессу сообщили, что в ноябре машина прилетит в Москву (70,231).</w:t>
      </w:r>
    </w:p>
    <w:p w14:paraId="0B1DF2F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6FDD06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 1933 с письмом N 878 Нач. секр. части ХАЗ в Москву в ГУАП, НТОС Алмазову направили 6 фото К-7 К.А.К. (2306,28).</w:t>
      </w:r>
    </w:p>
    <w:p w14:paraId="2230085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7BD733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 1933 л М.С.Бабушкин и к Челюскина Воронин на Ш-2 совершили 55-минутный полет для поиска чистой водыю Позднее летали еще (7621, 35).</w:t>
      </w:r>
    </w:p>
    <w:p w14:paraId="29F9A48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69299493"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 1933 г. л Бабушкин, сов</w:t>
      </w:r>
      <w:r w:rsidRPr="0044524F">
        <w:rPr>
          <w:rFonts w:ascii="Times New Roman" w:hAnsi="Times New Roman"/>
          <w:color w:val="000000" w:themeColor="text1"/>
          <w:sz w:val="16"/>
          <w:szCs w:val="16"/>
        </w:rPr>
        <w:softHyphen/>
        <w:t>местно с капитаном Ворониным совершили на Ш-2 с Челюскина 55-минутный полет на поиски чистой воды. Позднее было выполнено еще несколько полетов (11107).</w:t>
      </w:r>
    </w:p>
    <w:p w14:paraId="7B35BAD1"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74CE7F3"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 1933 г. Бабушкин совмест</w:t>
      </w:r>
      <w:r w:rsidRPr="0044524F">
        <w:rPr>
          <w:rFonts w:ascii="Times New Roman" w:hAnsi="Times New Roman"/>
          <w:color w:val="000000" w:themeColor="text1"/>
          <w:sz w:val="16"/>
          <w:szCs w:val="16"/>
        </w:rPr>
        <w:softHyphen/>
        <w:t>но с капитаном Ворониным совершил 55-ми- нугный полет на поиски чистой воды. Позднее было выполнено еше несколько полетов.</w:t>
      </w:r>
    </w:p>
    <w:p w14:paraId="3C6B3137"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и наиболее известная акция приме</w:t>
      </w:r>
      <w:r w:rsidRPr="0044524F">
        <w:rPr>
          <w:rFonts w:ascii="Times New Roman" w:hAnsi="Times New Roman"/>
          <w:color w:val="000000" w:themeColor="text1"/>
          <w:sz w:val="16"/>
          <w:szCs w:val="16"/>
        </w:rPr>
        <w:softHyphen/>
        <w:t>нения Ш-2 как корабельного самолета состоялась в 1933 году. Эта история связана с па</w:t>
      </w:r>
      <w:r w:rsidRPr="0044524F">
        <w:rPr>
          <w:rFonts w:ascii="Times New Roman" w:hAnsi="Times New Roman"/>
          <w:color w:val="000000" w:themeColor="text1"/>
          <w:sz w:val="16"/>
          <w:szCs w:val="16"/>
        </w:rPr>
        <w:softHyphen/>
        <w:t>роходом «Челюскин», на котором была осу</w:t>
      </w:r>
      <w:r w:rsidRPr="0044524F">
        <w:rPr>
          <w:rFonts w:ascii="Times New Roman" w:hAnsi="Times New Roman"/>
          <w:color w:val="000000" w:themeColor="text1"/>
          <w:sz w:val="16"/>
          <w:szCs w:val="16"/>
        </w:rPr>
        <w:softHyphen/>
        <w:t>ществлена попытка пройти Северным мор</w:t>
      </w:r>
      <w:r w:rsidRPr="0044524F">
        <w:rPr>
          <w:rFonts w:ascii="Times New Roman" w:hAnsi="Times New Roman"/>
          <w:color w:val="000000" w:themeColor="text1"/>
          <w:sz w:val="16"/>
          <w:szCs w:val="16"/>
        </w:rPr>
        <w:softHyphen/>
        <w:t>ским путем (т.е. вдоль северного побережья СССР) за одну летнюю навигацию из Барен</w:t>
      </w:r>
      <w:r w:rsidRPr="0044524F">
        <w:rPr>
          <w:rFonts w:ascii="Times New Roman" w:hAnsi="Times New Roman"/>
          <w:color w:val="000000" w:themeColor="text1"/>
          <w:sz w:val="16"/>
          <w:szCs w:val="16"/>
        </w:rPr>
        <w:softHyphen/>
        <w:t>цева моря в Берингово. Руководил экспеди</w:t>
      </w:r>
      <w:r w:rsidRPr="0044524F">
        <w:rPr>
          <w:rFonts w:ascii="Times New Roman" w:hAnsi="Times New Roman"/>
          <w:color w:val="000000" w:themeColor="text1"/>
          <w:sz w:val="16"/>
          <w:szCs w:val="16"/>
        </w:rPr>
        <w:softHyphen/>
        <w:t>цией О.Ю.Шмидт. «Челюскин» шел из Анг</w:t>
      </w:r>
      <w:r w:rsidRPr="0044524F">
        <w:rPr>
          <w:rFonts w:ascii="Times New Roman" w:hAnsi="Times New Roman"/>
          <w:color w:val="000000" w:themeColor="text1"/>
          <w:sz w:val="16"/>
          <w:szCs w:val="16"/>
        </w:rPr>
        <w:softHyphen/>
        <w:t>лии, при заходе в Мурманск на него погрузи</w:t>
      </w:r>
      <w:r w:rsidRPr="0044524F">
        <w:rPr>
          <w:rFonts w:ascii="Times New Roman" w:hAnsi="Times New Roman"/>
          <w:color w:val="000000" w:themeColor="text1"/>
          <w:sz w:val="16"/>
          <w:szCs w:val="16"/>
        </w:rPr>
        <w:softHyphen/>
        <w:t>ли самолет Ш-2 СССР-Н21 (№Ш31175), пи</w:t>
      </w:r>
      <w:r w:rsidRPr="0044524F">
        <w:rPr>
          <w:rFonts w:ascii="Times New Roman" w:hAnsi="Times New Roman"/>
          <w:color w:val="000000" w:themeColor="text1"/>
          <w:sz w:val="16"/>
          <w:szCs w:val="16"/>
        </w:rPr>
        <w:softHyphen/>
        <w:t>лотом которого назначили М.С.Бабушкина, бортмехаником - Г.С. Валавина. В походном положении самолет располагался на баке со сложенными крыльями и занимал места не</w:t>
      </w:r>
      <w:r w:rsidRPr="0044524F">
        <w:rPr>
          <w:rFonts w:ascii="Times New Roman" w:hAnsi="Times New Roman"/>
          <w:color w:val="000000" w:themeColor="text1"/>
          <w:sz w:val="16"/>
          <w:szCs w:val="16"/>
        </w:rPr>
        <w:softHyphen/>
        <w:t>намного больше, чем судовая шлюпка. Пе</w:t>
      </w:r>
      <w:r w:rsidRPr="0044524F">
        <w:rPr>
          <w:rFonts w:ascii="Times New Roman" w:hAnsi="Times New Roman"/>
          <w:color w:val="000000" w:themeColor="text1"/>
          <w:sz w:val="16"/>
          <w:szCs w:val="16"/>
        </w:rPr>
        <w:softHyphen/>
        <w:t>ред полетами его с помощью грузовой стре</w:t>
      </w:r>
      <w:r w:rsidRPr="0044524F">
        <w:rPr>
          <w:rFonts w:ascii="Times New Roman" w:hAnsi="Times New Roman"/>
          <w:color w:val="000000" w:themeColor="text1"/>
          <w:sz w:val="16"/>
          <w:szCs w:val="16"/>
        </w:rPr>
        <w:softHyphen/>
        <w:t>лы опускали на воду или лед и раскладыва</w:t>
      </w:r>
      <w:r w:rsidRPr="0044524F">
        <w:rPr>
          <w:rFonts w:ascii="Times New Roman" w:hAnsi="Times New Roman"/>
          <w:color w:val="000000" w:themeColor="text1"/>
          <w:sz w:val="16"/>
          <w:szCs w:val="16"/>
        </w:rPr>
        <w:softHyphen/>
        <w:t>ли крылья.</w:t>
      </w:r>
    </w:p>
    <w:p w14:paraId="774BDFF2"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Ш-2 неоднократно использовался для про</w:t>
      </w:r>
      <w:r w:rsidRPr="0044524F">
        <w:rPr>
          <w:rFonts w:ascii="Times New Roman" w:hAnsi="Times New Roman"/>
          <w:color w:val="000000" w:themeColor="text1"/>
          <w:sz w:val="16"/>
          <w:szCs w:val="16"/>
        </w:rPr>
        <w:softHyphen/>
        <w:t>яснения ледовой обстановки на пути парохода.</w:t>
      </w:r>
    </w:p>
    <w:p w14:paraId="34DB465E"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Дальнейшая судьба парохода общеизвест</w:t>
      </w:r>
      <w:r w:rsidRPr="0044524F">
        <w:rPr>
          <w:rFonts w:ascii="Times New Roman" w:hAnsi="Times New Roman"/>
          <w:color w:val="000000" w:themeColor="text1"/>
          <w:sz w:val="16"/>
          <w:szCs w:val="16"/>
        </w:rPr>
        <w:softHyphen/>
        <w:t>на - «Челюскин» затерло тяжелыми льдами, а впоследствии раздавило. Команду и пасса</w:t>
      </w:r>
      <w:r w:rsidRPr="0044524F">
        <w:rPr>
          <w:rFonts w:ascii="Times New Roman" w:hAnsi="Times New Roman"/>
          <w:color w:val="000000" w:themeColor="text1"/>
          <w:sz w:val="16"/>
          <w:szCs w:val="16"/>
        </w:rPr>
        <w:softHyphen/>
        <w:t>жиров вывезли на самолетах. Ш-2 Бабушки</w:t>
      </w:r>
      <w:r w:rsidRPr="0044524F">
        <w:rPr>
          <w:rFonts w:ascii="Times New Roman" w:hAnsi="Times New Roman"/>
          <w:color w:val="000000" w:themeColor="text1"/>
          <w:sz w:val="16"/>
          <w:szCs w:val="16"/>
        </w:rPr>
        <w:softHyphen/>
        <w:t>на сняли с гибнущего судна 24 февраля. К со</w:t>
      </w:r>
      <w:r w:rsidRPr="0044524F">
        <w:rPr>
          <w:rFonts w:ascii="Times New Roman" w:hAnsi="Times New Roman"/>
          <w:color w:val="000000" w:themeColor="text1"/>
          <w:sz w:val="16"/>
          <w:szCs w:val="16"/>
        </w:rPr>
        <w:softHyphen/>
        <w:t>жалению, предыдущие полеты и аварийная высадка на лед привели амфибию в состо</w:t>
      </w:r>
      <w:r w:rsidRPr="0044524F">
        <w:rPr>
          <w:rFonts w:ascii="Times New Roman" w:hAnsi="Times New Roman"/>
          <w:color w:val="000000" w:themeColor="text1"/>
          <w:sz w:val="16"/>
          <w:szCs w:val="16"/>
        </w:rPr>
        <w:softHyphen/>
        <w:t>яние, не позволяющее использовать ее для спасения. Была разбита носовая часть лодки, сломаны подкосы и элементы шасси. Тем не менее с использованием подручных средств аппарат отремонтировали. 31 марта Бабуш</w:t>
      </w:r>
      <w:r w:rsidRPr="0044524F">
        <w:rPr>
          <w:rFonts w:ascii="Times New Roman" w:hAnsi="Times New Roman"/>
          <w:color w:val="000000" w:themeColor="text1"/>
          <w:sz w:val="16"/>
          <w:szCs w:val="16"/>
        </w:rPr>
        <w:softHyphen/>
        <w:t>кин произвел с ледового аэродрома пробный полет, а 2 марта 1934 г. он с механиком Ва- лавиным перелетел в Ванкарем. Полет про</w:t>
      </w:r>
      <w:r w:rsidRPr="0044524F">
        <w:rPr>
          <w:rFonts w:ascii="Times New Roman" w:hAnsi="Times New Roman"/>
          <w:color w:val="000000" w:themeColor="text1"/>
          <w:sz w:val="16"/>
          <w:szCs w:val="16"/>
        </w:rPr>
        <w:softHyphen/>
        <w:t>ходил на высоте 200 метров и продолжался 1 час 15 минут. Более Ш-2 СССР-Н21 не летал. После всех поломок и импровизированных ре</w:t>
      </w:r>
      <w:r w:rsidRPr="0044524F">
        <w:rPr>
          <w:rFonts w:ascii="Times New Roman" w:hAnsi="Times New Roman"/>
          <w:color w:val="000000" w:themeColor="text1"/>
          <w:sz w:val="16"/>
          <w:szCs w:val="16"/>
        </w:rPr>
        <w:softHyphen/>
        <w:t>монтов его эксплуатацию признали нецелесо</w:t>
      </w:r>
      <w:r w:rsidRPr="0044524F">
        <w:rPr>
          <w:rFonts w:ascii="Times New Roman" w:hAnsi="Times New Roman"/>
          <w:color w:val="000000" w:themeColor="text1"/>
          <w:sz w:val="16"/>
          <w:szCs w:val="16"/>
        </w:rPr>
        <w:softHyphen/>
        <w:t>образной, и машину списали по износу (12301).</w:t>
      </w:r>
    </w:p>
    <w:p w14:paraId="5B275CF0" w14:textId="77777777" w:rsidR="006A4DAE" w:rsidRPr="0044524F" w:rsidRDefault="006A4DAE" w:rsidP="009654CF">
      <w:pPr>
        <w:spacing w:after="0" w:line="240" w:lineRule="auto"/>
        <w:jc w:val="both"/>
        <w:rPr>
          <w:rFonts w:ascii="Times New Roman" w:hAnsi="Times New Roman"/>
          <w:color w:val="000000" w:themeColor="text1"/>
          <w:sz w:val="16"/>
          <w:szCs w:val="16"/>
        </w:rPr>
      </w:pPr>
    </w:p>
    <w:p w14:paraId="1025466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 1933 из-за границы прибыл самолет Дорнье "Валь" СССР-Н10 - Заводской № 239, двигатели - 2 М-17, дата присвоения опознавательного знака с литерой "Н" - 22.08.33 г., как и родственную СССР- Н9, принятый комиссией Торгпредства от фирмы Дорнье 23 июня 1933. После чего встал на длительные испытания в Ленинграде совместно с комиссией НИИ ВВС. Из Ленинграда СССР-НЮ вылетел в устье Енисея для выполнения транспортных полетов только в октябре 1933 г. Экипаж летающей лодки состоял из командира летчика Рябенко, второго пилота Жихарева, бортмехаников Орлова и Ивашины. Кроме экипажа, на борту находились два пассажира. В районе Матюйсале (у входа в Гыданскую губу) летчики заблудились в тумане, выработали почти все горючее и приводнились вблизи от зимовки Грудицкого. На зимовке бензина не было, имелся только керосин, которым полярники поделились с авиаторами. По воде уже плавали льдины, и тянуть с отлетом было нельзя.</w:t>
      </w:r>
    </w:p>
    <w:p w14:paraId="010A57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Взлетев на остатках бензина, пилоты переключили питание моторов на керосин. Моторы сильно задымили, но продолжали тянуть самолет. Курс взяли на Гыдо-Ямо, где рассчитывали заправить машину.</w:t>
      </w:r>
    </w:p>
    <w:p w14:paraId="04BA56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Налетевшая пурга снова сбила пилотов с курса. Когда, минут через 50 видимость улучшилась, под гидропланом расстилался сплошной лед. Почти одновременно моторы начали "чихать" - керосин был на исходе. Заметив небольшую полынью, Рябенко немедленно пошел на посадку. Сели в Гыдоямском заливе, однако точное место посадки было не известно.</w:t>
      </w:r>
    </w:p>
    <w:p w14:paraId="7B9D0E1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Две недели экипаж и пассажиры провели на самолете. Погода не улучшалась, стоял густой туман. На 14-й день Жихареву, Ивашине и одному из пассажиров удалось на клиппер- боте добраться до края полыньи. Лед оказался слабым и с трудом выдерживал стоящего человека. Несколько километров (!) Ивашина с товарищами ползком тащил лодку с припасами до твердого льда. Здесь авиаторы разделились: Ивашина отправился обратно на гидроплан; двое других пошли за помощью.</w:t>
      </w:r>
    </w:p>
    <w:p w14:paraId="5332270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 временем площадь открытой воды все время уменьшалась, самолет обледеневал, осадка его увеличивалась, кончалось продовольствие. Законсервировав подручными средствами оборудование, экипаж высадился на берег.</w:t>
      </w:r>
    </w:p>
    <w:p w14:paraId="461051F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Вскоре вернулся 2-й пилот Жихарев с известием, что им удалось найти рыбаков, с помощью которых добрались до Гыдо-Ямо. Здесь был бензин, и на нартах его привезли к месту посадки. Погрузив два бидона на клиппер-бот, Рябенко и Ивашина отправились на самолет. При причаливании острой сосулькой, свисавшей с борта, пробило резиновую лодку. Залив в бак первый бидон, Ивашина неожиданно обнаружил течь из поврежденного бензопровода - первый бидон потратили впустую. Заделав трещину и, взявшись за второй бидон, бортмеханик с удивлением обнаружил в нем вместо бензина масло.</w:t>
      </w:r>
    </w:p>
    <w:p w14:paraId="7B257EC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Переночевав, Рябенко и Ивашина заклеили пробоину на клиппер-боте и вернулись на берег. Обратный путь занял почти весь день.</w:t>
      </w:r>
    </w:p>
    <w:p w14:paraId="687E1A9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следующий день с четырьмя бидонами авиаторы вернулись к машине. Залили горючее и попробовали запустить моторы, но не удачно. Бензин оказался по качеству хуже керосина, не помог даже прогрев моторов кипятком.</w:t>
      </w:r>
    </w:p>
    <w:p w14:paraId="48CE316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Убедившись, что силами экипажа самолет освободить из ледового плена невозможно, отправились за помощью. В начале ноября удалось собрать бригаду из 16 человек, достали инструмент и материалы. С немалыми трудностями удалось вырубить СССР-НЮ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2948FDA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7037B7F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Решили подвести к лодке воду протекавшей неподалеку речки. Две недели ушло на рытье канала. Еще трое суток Жихарев и Ивашина "по бурлацки"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Гыдо-Ямо на моторах. 23 августа экипаж Махоткина доставил сюда дополнительный бензин, после чего самолет перелетел для проведения ремонта в Красноярск (11970).</w:t>
      </w:r>
    </w:p>
    <w:p w14:paraId="2499B02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3707F38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 1933 года пом. секретаря РВСС Снегов писал письмо № 5353с начальнику ВВС Алкснису</w:t>
      </w:r>
    </w:p>
    <w:p w14:paraId="47166BB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сведения направляю копию письма о вызове Гроховского. Прошу дать распоряжение о вызове Гроховского на 28 августа согласно резолюции зам. председателя РВСС Тухачевского.</w:t>
      </w:r>
    </w:p>
    <w:p w14:paraId="422E437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работ Осконбюро на 1933 год переслан начальнику Штаба для исполнения по резолюции зам. председателя РВСС Тухачевского (7505, 194).</w:t>
      </w:r>
    </w:p>
    <w:p w14:paraId="03DFD24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3C91B1CC" w14:textId="77777777" w:rsidR="00910933"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3C5EC310" w14:textId="77777777" w:rsidR="00910933" w:rsidRPr="0044524F" w:rsidRDefault="0091093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A6E227E" w14:textId="77777777" w:rsidR="00910933" w:rsidRPr="0044524F" w:rsidRDefault="00910933" w:rsidP="009654CF">
      <w:pPr>
        <w:pStyle w:val="rtejustify"/>
        <w:spacing w:before="0" w:after="0"/>
        <w:rPr>
          <w:color w:val="000000" w:themeColor="text1"/>
          <w:sz w:val="16"/>
          <w:szCs w:val="16"/>
        </w:rPr>
      </w:pPr>
      <w:r w:rsidRPr="0044524F">
        <w:rPr>
          <w:rStyle w:val="af0"/>
          <w:bCs/>
          <w:i w:val="0"/>
          <w:color w:val="000000" w:themeColor="text1"/>
          <w:sz w:val="16"/>
          <w:szCs w:val="16"/>
        </w:rPr>
        <w:t>23 августа</w:t>
      </w:r>
      <w:r w:rsidRPr="0044524F">
        <w:rPr>
          <w:color w:val="000000" w:themeColor="text1"/>
          <w:sz w:val="16"/>
          <w:szCs w:val="16"/>
        </w:rPr>
        <w:t xml:space="preserve"> 1933. Постановление СТО СССР № 82с/о «Об обеспечении строительства временной военно-морской базы в г. Мурманске». (ГА РФ. Ф. Р</w:t>
      </w:r>
      <w:r w:rsidRPr="0044524F">
        <w:rPr>
          <w:color w:val="000000" w:themeColor="text1"/>
          <w:sz w:val="16"/>
          <w:szCs w:val="16"/>
        </w:rPr>
        <w:noBreakHyphen/>
        <w:t>8418. Оп. 28. Д. 2. Л. 128</w:t>
      </w:r>
      <w:r w:rsidRPr="0044524F">
        <w:rPr>
          <w:color w:val="000000" w:themeColor="text1"/>
          <w:sz w:val="16"/>
          <w:szCs w:val="16"/>
        </w:rPr>
        <w:noBreakHyphen/>
        <w:t>134) (15460).</w:t>
      </w:r>
    </w:p>
    <w:p w14:paraId="0E2E01E9" w14:textId="77777777" w:rsidR="00910933" w:rsidRPr="0044524F" w:rsidRDefault="00910933" w:rsidP="009654CF">
      <w:pPr>
        <w:pStyle w:val="rtejustify"/>
        <w:spacing w:before="0" w:after="0"/>
        <w:rPr>
          <w:color w:val="000000" w:themeColor="text1"/>
          <w:sz w:val="16"/>
          <w:szCs w:val="16"/>
        </w:rPr>
      </w:pPr>
    </w:p>
    <w:p w14:paraId="160BFBB9"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4C4A4E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66F6EA5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 1933 датирован приказ ОГПУ № 140 «О Беломорско-Балтийском комбинате ОГПУ»:</w:t>
      </w:r>
    </w:p>
    <w:p w14:paraId="2988DCD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постановлением СНК СССР об организации Беломорско-Балтийского комбината ОГПУ по освоению Беломорско-Балтийского канала имени тов. Сталина и прилегающих к нему районов, приказываю:</w:t>
      </w:r>
    </w:p>
    <w:p w14:paraId="028C86F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w:t>
      </w:r>
    </w:p>
    <w:p w14:paraId="64224BF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Назначить заместителя начальника Главного управления лагерей ОГПУ тов. Рапопорт Я. Д. - начальником Беломорско-Балтийского комбината ОГПУ по совместительству, освободив его от должностей зам. нач. строительства «Москва-Волга» и нач. Дмитровского лагеря ОГПУ.</w:t>
      </w:r>
    </w:p>
    <w:p w14:paraId="12C8BF8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2.</w:t>
      </w:r>
    </w:p>
    <w:p w14:paraId="3A67D65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Врид начальника Дмитлага ОГПУ назначить зам. начальника Дмитлага тов. Радецкого В. Т.</w:t>
      </w:r>
    </w:p>
    <w:p w14:paraId="3C96819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w:t>
      </w:r>
    </w:p>
    <w:p w14:paraId="74F6BB0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Заместителями начальника Белбалткомбината ОГПУ назначить тов. Вержбицкого К. А., он же главный инженер Белбалткомбината и тов. Успенского Д. В., он же начальник Белбалтлага ОГПУ.</w:t>
      </w:r>
    </w:p>
    <w:p w14:paraId="3872ADD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4.</w:t>
      </w:r>
    </w:p>
    <w:p w14:paraId="22844CA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Финансового отдела Белбалткомбината назначить начальника Финансового отдела ОГПУ тов. Берензон Л. И. по совместительству.</w:t>
      </w:r>
    </w:p>
    <w:p w14:paraId="487D6EF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5.</w:t>
      </w:r>
    </w:p>
    <w:p w14:paraId="0F16104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технического снабжения Белбалткомбината назначить начальника 8-го отделения Главного управления лагерей ОГПУ тов. Курина М. С. по совместительству.</w:t>
      </w:r>
    </w:p>
    <w:p w14:paraId="5C7C6AB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Всем ПП ОГПУ и ДТО [Дорожно-транспортным отделам] ОГПУ оказывать Белбалткомбинату всемерное содействие при выполнении им возложенных на него огромных задач» (7560).</w:t>
      </w:r>
    </w:p>
    <w:p w14:paraId="2C17857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D66FD0B"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306634B"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71BF4F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августа 1933 стратостат Осоавиахим-1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Когда полет было отложен, т. Федосеенко проявил особую заботу о сохранении оболочки и 5.XI донес т. Эйдеману,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06923EF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7ADBA90" w14:textId="77777777" w:rsidR="00067E90" w:rsidRPr="0044524F" w:rsidRDefault="00067E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августа 1933 комиссия Осоавиахима под пред</w:t>
      </w:r>
      <w:r w:rsidRPr="0044524F">
        <w:rPr>
          <w:rFonts w:ascii="Times New Roman" w:hAnsi="Times New Roman"/>
          <w:color w:val="000000" w:themeColor="text1"/>
          <w:sz w:val="16"/>
          <w:szCs w:val="16"/>
        </w:rPr>
        <w:softHyphen/>
        <w:t>седательством Ф.Н. Ильина приняла стратостат «Осоавиахим-1» («ОАХ-1») (20120).</w:t>
      </w:r>
    </w:p>
    <w:p w14:paraId="2EDAC988" w14:textId="77777777" w:rsidR="00067E90" w:rsidRPr="0044524F" w:rsidRDefault="00067E90" w:rsidP="009654CF">
      <w:pPr>
        <w:spacing w:after="0" w:line="240" w:lineRule="auto"/>
        <w:jc w:val="both"/>
        <w:rPr>
          <w:rFonts w:ascii="Times New Roman" w:hAnsi="Times New Roman"/>
          <w:color w:val="000000" w:themeColor="text1"/>
          <w:sz w:val="16"/>
          <w:szCs w:val="16"/>
        </w:rPr>
      </w:pPr>
    </w:p>
    <w:p w14:paraId="0470ACC5" w14:textId="4AA66EDE" w:rsidR="000A35D7" w:rsidRPr="0044524F" w:rsidRDefault="000A35D7"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3AF293D4" w14:textId="77777777" w:rsidR="000A35D7" w:rsidRPr="0044524F" w:rsidRDefault="000A35D7"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071DF47A" w14:textId="77777777" w:rsidR="000A35D7" w:rsidRPr="0044524F" w:rsidRDefault="000A35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24 августа 1933 г. всего на аэродром Воздвиженка прибыли 49 ТБ-3 — по 12 самолетов в эскадрилье и один самолет командира бригады. (Так указано в до</w:t>
      </w:r>
      <w:r w:rsidRPr="0044524F">
        <w:rPr>
          <w:rFonts w:ascii="Times New Roman" w:hAnsi="Times New Roman"/>
          <w:color w:val="000000" w:themeColor="text1"/>
          <w:sz w:val="16"/>
          <w:szCs w:val="16"/>
        </w:rPr>
        <w:softHyphen/>
        <w:t>кументе, однако непонятно, как был учтен потерян</w:t>
      </w:r>
      <w:r w:rsidRPr="0044524F">
        <w:rPr>
          <w:rFonts w:ascii="Times New Roman" w:hAnsi="Times New Roman"/>
          <w:color w:val="000000" w:themeColor="text1"/>
          <w:sz w:val="16"/>
          <w:szCs w:val="16"/>
        </w:rPr>
        <w:softHyphen/>
        <w:t>ный самолет) (23378).</w:t>
      </w:r>
    </w:p>
    <w:p w14:paraId="2338923C" w14:textId="77777777" w:rsidR="000A35D7" w:rsidRPr="0044524F" w:rsidRDefault="000A35D7" w:rsidP="009654CF">
      <w:pPr>
        <w:spacing w:after="0" w:line="240" w:lineRule="auto"/>
        <w:jc w:val="both"/>
        <w:rPr>
          <w:rFonts w:ascii="Times New Roman" w:hAnsi="Times New Roman"/>
          <w:color w:val="000000" w:themeColor="text1"/>
          <w:sz w:val="16"/>
          <w:szCs w:val="16"/>
        </w:rPr>
      </w:pPr>
    </w:p>
    <w:p w14:paraId="338748DA" w14:textId="71A0A54E" w:rsidR="0091093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8029DF9" w14:textId="77777777" w:rsidR="00910933" w:rsidRPr="0044524F" w:rsidRDefault="0091093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7733DF0" w14:textId="77777777" w:rsidR="00910933" w:rsidRPr="0044524F" w:rsidRDefault="0091093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24 августа в 1933 году совершил свой первый полет прототип «B-6» самолета </w:t>
      </w:r>
      <w:hyperlink r:id="rId309" w:tgtFrame="_blank" w:history="1">
        <w:r w:rsidRPr="0044524F">
          <w:rPr>
            <w:rFonts w:ascii="Times New Roman" w:hAnsi="Times New Roman"/>
            <w:color w:val="000000" w:themeColor="text1"/>
            <w:sz w:val="16"/>
            <w:szCs w:val="16"/>
          </w:rPr>
          <w:t xml:space="preserve">«Blackburn» «B.6» «Shark» </w:t>
        </w:r>
      </w:hyperlink>
      <w:r w:rsidRPr="0044524F">
        <w:rPr>
          <w:rFonts w:ascii="Times New Roman" w:hAnsi="Times New Roman"/>
          <w:color w:val="000000" w:themeColor="text1"/>
          <w:sz w:val="16"/>
          <w:szCs w:val="16"/>
        </w:rPr>
        <w:t>с двигателем «Tiger IV» максимальной мощностью 700 л.с., в кабине находился летчик-испытатель А.Блэйк. После удачного полета самолет, тем не менее, вернули на завод для установки кольцевого капота на звезду цилиндров двигателя. В 1933 году министерство авиации Великобритании выпустило документ S.15/33, в котором оговаривались требования к новому разведчику-корректировщику-торпедоносцу с рабочим обозначением «T.S.R», («Torpedo-Spotter-Reconnaissance»). Согласно этим требованиям, самолет должен был действовать с палуб авианосцев, катапульт кораблей и наземных аэродромов. Такая универсальность достигалась за счет сменного колесного или поплавкового шасси. В конкурентную борьбу за заказ включились английские фирмы «Fairey», «Gloster» и «Blackburn». «Fairey» спроектировала самолет «TSR I»I, который в процессе своего развития стал знаменитым торпедоносцем «Swordfish». Фирма «Gloster» представила свою разработку – «TSR.38», а «Blackburn» выставила биплан «В-6». После сравнительной оценки проектов флот выбрал два наиболее перспективных из них, от фирм «Fairey» и «Blackburn» (14992).</w:t>
      </w:r>
    </w:p>
    <w:p w14:paraId="2B1BE9EB" w14:textId="77777777" w:rsidR="00910933" w:rsidRPr="0044524F" w:rsidRDefault="00910933" w:rsidP="009654CF">
      <w:pPr>
        <w:spacing w:after="0" w:line="240" w:lineRule="auto"/>
        <w:jc w:val="both"/>
        <w:rPr>
          <w:rFonts w:ascii="Times New Roman" w:hAnsi="Times New Roman"/>
          <w:color w:val="000000" w:themeColor="text1"/>
          <w:sz w:val="16"/>
          <w:szCs w:val="16"/>
        </w:rPr>
      </w:pPr>
    </w:p>
    <w:p w14:paraId="13EB6256" w14:textId="77777777" w:rsidR="00067E90" w:rsidRPr="0044524F" w:rsidRDefault="00067E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августа 1933 состоялся первый полет Блэкбернская акула (20802).</w:t>
      </w:r>
    </w:p>
    <w:p w14:paraId="48284925" w14:textId="77777777" w:rsidR="00067E90" w:rsidRPr="0044524F" w:rsidRDefault="00067E90" w:rsidP="009654CF">
      <w:pPr>
        <w:spacing w:after="0" w:line="240" w:lineRule="auto"/>
        <w:jc w:val="both"/>
        <w:rPr>
          <w:rFonts w:ascii="Times New Roman" w:hAnsi="Times New Roman"/>
          <w:color w:val="000000" w:themeColor="text1"/>
          <w:sz w:val="16"/>
          <w:szCs w:val="16"/>
        </w:rPr>
      </w:pPr>
    </w:p>
    <w:p w14:paraId="4C8AEA5B" w14:textId="77777777" w:rsidR="00067E90" w:rsidRPr="0044524F" w:rsidRDefault="00067E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августа 1933 года — первый полёт палубного торпедоносца-разведчика Blackburn T-9 Shark. /Великобритания/</w:t>
      </w:r>
    </w:p>
    <w:p w14:paraId="084D7DB4" w14:textId="77777777" w:rsidR="00067E90" w:rsidRPr="0044524F" w:rsidRDefault="00067E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Авиационное министерство Великобритании в 1933 году опубликовало спецификацию S.15/33, описывавшую требования к торпедоносцу-разведчику для воздушных сил флота. Для участия в конкурсе компания Blackburn Aircraft представила свой проект T-9 Shark.</w:t>
      </w:r>
    </w:p>
    <w:p w14:paraId="1FDC114C" w14:textId="77777777" w:rsidR="00067E90" w:rsidRPr="0044524F" w:rsidRDefault="00067E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был цельнометаллический трёхместный биплан с колёсным/поплавковым шасси. Модификация Shark Mk.II оснащалась двигателем Armstrong Siddeley Tiger VI (760 л.с.) Максимальная скорость — 240 км/ч, дальность полёта — 1006 км. Вооружение состояло из 2 × 7,7-мм пулемётов Vickers + 460-мм торпеда или до 730 кг бомб.</w:t>
      </w:r>
    </w:p>
    <w:p w14:paraId="58905F35" w14:textId="77777777" w:rsidR="00067E90" w:rsidRPr="0044524F" w:rsidRDefault="00067E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в 1935 году первые T-9 Shark поступили на вооружение ВМФ Великобритании. Самолёты эксплуатировались как с авианосцев, так и просто с кораблей, оборудованных катапультами. Всего выпустили 269 единиц T-9 Shark всех модификаций. Они также поставлялись на экспорт в Канаду и Португалию (22300).</w:t>
      </w:r>
    </w:p>
    <w:p w14:paraId="35A162D9" w14:textId="77777777" w:rsidR="00067E90" w:rsidRPr="0044524F" w:rsidRDefault="00067E90" w:rsidP="009654CF">
      <w:pPr>
        <w:spacing w:after="0" w:line="240" w:lineRule="auto"/>
        <w:jc w:val="both"/>
        <w:rPr>
          <w:rFonts w:ascii="Times New Roman" w:hAnsi="Times New Roman"/>
          <w:color w:val="000000" w:themeColor="text1"/>
          <w:sz w:val="16"/>
          <w:szCs w:val="16"/>
        </w:rPr>
      </w:pPr>
    </w:p>
    <w:p w14:paraId="68E9AC05"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77918E0"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BBC3A2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г. записка № 50586</w:t>
      </w:r>
    </w:p>
    <w:p w14:paraId="6F0F5F1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СЕКРЕТАРЮ ЦК ВКП (Б)</w:t>
      </w:r>
    </w:p>
    <w:p w14:paraId="3BBF609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Кагановичу</w:t>
      </w:r>
    </w:p>
    <w:p w14:paraId="37E9C1C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Резолюция Кагановича: В круговую членам ПБ</w:t>
      </w:r>
    </w:p>
    <w:p w14:paraId="1DBC7E6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углубленной агентурной работы по вскрытию к.-р. вредительской и шпионской организации в военной промышленности – Орудийно-Арсенальное Объединение и его заводы (о чем сообщено ЦК ВКП (б) № 294301) было установлено, что на территории Союза действует разветвление шпионская сеть, созданная разведывательными органами Польши и ведущая крупную шпионскую и диверсионную работу на заводах Военной промышленности.</w:t>
      </w:r>
    </w:p>
    <w:p w14:paraId="6349562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моменту ликвидации этой шпионской сети агентурно было точно установлено, что во главе ее в качестве организатора и руководителя стоит специально переброшенный на нашу территорию крупный резидент прибывший в СССР под видом политэмигранта и под фамилией Минин Михаил Робертович.</w:t>
      </w:r>
    </w:p>
    <w:p w14:paraId="0F7C281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 операцией всей контрреволюционной организации в Военной промышленности, ОГПУ, ПП ОГПУ МО и ГПУ УССР была ликвидирована и указанная выше польская резидентура, при чем, тут же были установлены и сняты конспиративные явки польской разведки в Москве (квартира гр-на Клячко Льва Аркадьевича на Троицкой улице в д. № 1/4, кв. 2) и в Киеве (кв. гр-ки Арабок Марии Пахомовны – “Люси”, ул. Короленко, д. № 71 на 1-м этаже) и арестован в числе других также резидент Польской разведки Минин Михаил Робертович, настоящая фамилия, как установлено – Бриль Виктор Иосифович.</w:t>
      </w:r>
    </w:p>
    <w:p w14:paraId="291A93C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Приведенными следственными действиями и обнаруженными полностью подтверждены агентурные данные и установлено:</w:t>
      </w:r>
    </w:p>
    <w:p w14:paraId="7BA343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Мини – Бриль, до своей переброски в СССР будучи членом ППС (левицы), был в 1928 г. завербован Начальником Лодзинской дефензивы Вайнером и выдал несколько конспиративных квартир ППС (левицы), ряд работников этой партии: Сольского (члена ЦК), Пацановскую, Даниель, Равич и др., а также членов комсомола Польши – Вицек и Ацзен.</w:t>
      </w:r>
    </w:p>
    <w:p w14:paraId="4150582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июне 1929 года Минин – Бриль получил от Вайера предложение выехать в СССР для шпионской работы по линии Военной промышленности, для чего должен связаться и возглавить имевшуюся уже группу в Киеве, с последующим расширением деятельности на Москву, Харьков и др. центры.</w:t>
      </w:r>
    </w:p>
    <w:p w14:paraId="4253024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лучшей конспирации Минину – Брилю было предложено использовать его связи по линии Торгпредства и проникнуть в СССР под видом политэмигранта, что он и осуществил.</w:t>
      </w:r>
    </w:p>
    <w:p w14:paraId="058B08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Получив в Торгпредстве в Данциге при посредстве Зам. Торгпреда т. Копылова разрешение и паспорт, Минин-Бриль в конце августа 1929 г. приехал в Москву. Явившись в Коминтер, Минин-Бриль, получив документы политэмигранта, добился направления в Киев, где и устроился через Нацменсекцию Киевского К-та КП (б) У секретарем Польского театра, а затем (согласно полученным от Польской разведки указаниям) – заведующим Интернатом Польского Механического Техникума.</w:t>
      </w:r>
    </w:p>
    <w:p w14:paraId="41C0C5A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Одновременно со своим устройством в Киеве, согласно полученным от Польской разведки указаниям, Минин-Бриль связался со специальным курьером Польской разведки в Киеве – Кавецким и приступил к организации шпионской и диверсионной работы на Киевском Арсенале (ККЗ) и Авиазаводе № 43, завязав знакомства с рядом к.-р. настроенных лиц (по ККЗ – зав. литейным цехом Блажинским, конструктором Прокопенко и слесарем Броварником (арестованы); по зав. № 43 указанные Мининым лица устанавливаются.</w:t>
      </w:r>
    </w:p>
    <w:p w14:paraId="1B6B2C8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Параллельно развертыванию шпионской работы на ККЗ и з-де № 43 установил связи и возглавил к.-р. группу студентов Польского техникума (Гельнер, Сахацкий и др.), впоследствии разъехавшихся на военно-производственную практику и явившихся основными кадрами ликвидированной польской агентуры.</w:t>
      </w:r>
    </w:p>
    <w:p w14:paraId="7996F10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6. В 1930 голу окончивший техникум и получивший назначение на военно-производственную практику в Москву участник к.-р. группы техникума – Гельнер получил указания от Минина – Бриля по выявлению и группированию к.-р. настроенных лиц, что им и было выполнено путем организации группы инженеров-военнопроизводственников, преимущественно окончивших Киевский Политехнический Институт на Московском Орудийном заводе № 8 (Коноплич, Хандромиров, Васильченко, Улановский и др.-все арестованы).</w:t>
      </w:r>
    </w:p>
    <w:p w14:paraId="2EA8B0A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связи Гельнеру была дана явка на квартиру вышеупомянутого Клячко, связанного в свою очередь с сотрудником Польского консульства “Свой”.</w:t>
      </w:r>
    </w:p>
    <w:p w14:paraId="188D786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 1932 году Минин-Бриль по поручению Польской разведки был переброшен в Москву для развертывания шпионско-диверсионной работы на московских заводах Военной и Авиационной промышленности, что им и было проделано путем активизации шпионской и подрывной работы группы Гельнера на заводе № 8 и при посредничестве ее участников – организованы группы на заводе Мастяжарт (Лещев), ТОЗъе (Сандомирский) и получены связи по Авиазаводу № 22 (Лещев и Сандомирский арестованы).</w:t>
      </w:r>
    </w:p>
    <w:p w14:paraId="065074F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своей шпионской деятельности в Москве Минин-Бриль был непосредственно связан с сотрудниками Польского консульства “Своей” Вацлавом Яковлевичем и Оконьским, причем с первым явки имел на конспиративной квартире Клячко.</w:t>
      </w:r>
    </w:p>
    <w:p w14:paraId="57A4CD8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В результате шпионской деятельности по Военной промышленности, были собраны и переданы сведения о мощностях и программах заводов № 8, Киевского Арсенала, ТОЗъа, Авиазавода № 43 о конструкциях тяжелого бомбовоза, новой противогазовой маски, тяжелых авиабомбах (Мастяжарт), а Военно-Воздушной Академии и Одесской Авиашколе.</w:t>
      </w:r>
    </w:p>
    <w:p w14:paraId="686D6FA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 связи с заданиями агента Польской разведки “Совы” о получении сведений по оборонным работам на границах, был завербован для шпионской работы по Дальнему Востоку инженер Рыбальченко, работающий участковым прорабом на строительстве по укреплению Манчжуро-Китайских границ (на арест Рыбальченко дано задание ПП ОГПУ в ДВК).</w:t>
      </w:r>
    </w:p>
    <w:p w14:paraId="49627CE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Рыбалченко были получены и переданы Польской разведке документы об укреплениях на ДВ, с указанием конструкций и их качества, дислокация и планы построенных на ДВ в 1932 г. воинских казарм.</w:t>
      </w:r>
    </w:p>
    <w:p w14:paraId="625E1B6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аресте участника к.-р. организации Улановского, непосредственно вербовавшего Рыбалченко, на квартире изъяты полученные от последнего для передачи полякам материалы с подробным описанием обороноспособности Дальнего Востока.</w:t>
      </w:r>
    </w:p>
    <w:p w14:paraId="4F4D4F4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передаче Мининым-Брилем сведений по Дальнему Востоку агенту Польской разведки “Сове”, последним были даны указания по дальнейшему собиранию сведений по оборонным мероприятиям по Д. В. и в частности было сказано, что по договоренности Польши и Румынии с Японией первый удар должен быть произведен на Д. Востоке.</w:t>
      </w:r>
    </w:p>
    <w:p w14:paraId="63E8088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Одновременно с широким развертыванием шпионской и подрывной работы на заводах Военной промышленности, Мининым-Брилем, согласно специальным указаниям, развертывалась сеть ПОВ (“Польская Военная Организация”).</w:t>
      </w:r>
    </w:p>
    <w:p w14:paraId="579AF3E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показаниям Минина-Бриля, указанная организация, согласно полученных им установок от Зам. Начальника Лодзинской дефензгвы Недельского, является закордонным филиалом “ПОВ”.</w:t>
      </w:r>
    </w:p>
    <w:p w14:paraId="6E8D051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Задачей деятельности “ПОВ” в СССР по директиве Польской разведки является организация к.-р. повстанческих, шпионских и террористических групп.</w:t>
      </w:r>
    </w:p>
    <w:p w14:paraId="330856E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одной из таких групп и был, по заданию упомянутого Недельского, связан Бриль (эта группа, входившая по “ПОВ”, под наименованием “ГОЛ” – “Группа освобождения личности” – была ликвидирована в 1932 году Киевским Облотделом ГПУ).</w:t>
      </w:r>
    </w:p>
    <w:p w14:paraId="61FBEF1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Материалами следствия устанавливается, что Мининым-Брилем, при посредстве участников к.-р. группы в Киевском Польском Техникуме были организованы группы “ПОВ” в Бердичеве (Сахацким), в Виннице (Гельнером и Набловским), Умани (Яворовским и Голяновским), в Гневов (Чавловским) и в Казатине (Пиотковским (указанные лица арестованы, частично были осуждены по делу “ПОВ”).</w:t>
      </w:r>
    </w:p>
    <w:p w14:paraId="1910C84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развертывания работы “ПОВ”, по показаниям Минина в 1931 году разведывательными органами Польши был прислан специальный резидент Дудкевич (обнаружен на территории Союза и арестован)</w:t>
      </w:r>
    </w:p>
    <w:p w14:paraId="33E14EF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Проводившаяся шпионская и диверсионная работа широко финансировалась разведорганами Польши.</w:t>
      </w:r>
    </w:p>
    <w:p w14:paraId="659E885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23-е августа по делу к.-р. организации в Военной промышленности арестовано 70 человек.</w:t>
      </w:r>
    </w:p>
    <w:p w14:paraId="0DE2013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Следствие продолжается.</w:t>
      </w:r>
    </w:p>
    <w:p w14:paraId="3255AC5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Председателя ОГПУ Ягода</w:t>
      </w:r>
    </w:p>
    <w:p w14:paraId="1BC16E2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Нач. ЭКУ ОГПУ Миронов </w:t>
      </w:r>
    </w:p>
    <w:p w14:paraId="66AAD0B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ф.3, оп.58, д.242, л.2-7 (11462).</w:t>
      </w:r>
    </w:p>
    <w:p w14:paraId="4216B9F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CE89091"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0FEFD18"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140434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вышел приказ ГУАП N 355, который констатировал, что ЦАГИ выполнены работы по улучшению летных свойств И-5 за счет установки кольца Тауненда, обтекателей на колесах, нового винта, поворотных стоек для вывода из штопора, заказанные ГУАП в 1932 (298,194).</w:t>
      </w:r>
    </w:p>
    <w:p w14:paraId="2961F88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E880A0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состоялось заседание у начальника Глававиапрома П.И.Б. об установке М-34 на ТБ-3 (АНТ-6) и от ЦАГИ были А.Н.Т. и В.М.П. (1077,129).</w:t>
      </w:r>
    </w:p>
    <w:p w14:paraId="33F607E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09A4D2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года Ц.С. ВОИЗ заключил договор с ВВА на проектирование самолета Можаева на сумму 138000 рублей. Одновременно была найдена производственная база для постройки самолета – завод № 1, с которым надлежало заключить договор ЦС ВОИЗу (4213).</w:t>
      </w:r>
    </w:p>
    <w:p w14:paraId="3A8EFDB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AA8AEA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25 августа 1933 г. Научный работник Орловский послал письмо строителю гондолы стратостата и в копии Правлению Осоавиахима в Москве, в котором он говорит, что считает необходимым сообщить свои мысли об опасности в структуре оболочки шара и в способе прикрепления гондолы к шару. </w:t>
      </w:r>
    </w:p>
    <w:p w14:paraId="543FFE3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«Стремление обойтись без сетки на шаре я объясняю желанием избавиться во-первых от «лишнего» веса, и во-вторых, вероятно, опасались маневрирования при наполнении». Т. Орловский предлагает дать сетку, далее он говорит: «я все же воздержался бы от полета на аэростате с таким поясом. Мой совет переделать».</w:t>
      </w:r>
    </w:p>
    <w:p w14:paraId="3607CE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Задержка с полетом в августе 1933 г. вызывала у экипажа тревогу за сохранность оболочки и т. Федосеенко добивался дальнейшего определения дня и места вылета. Консультационный совет при обсуждении этого вопроса 11 сентября в лице профессора Мультановского считал, что устойчивая погода для полета будет в 20-ых числах декабря, а профессор Троицкий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w:t>
      </w:r>
    </w:p>
    <w:p w14:paraId="6491C9F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Когда полет было отложен, т. Федосеенко проявил особую заботу о сохранении оболочки и 5.XI донес т. Эйдеману,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47FE359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E5ABD6A"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A218A5C"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A121468" w14:textId="77777777" w:rsidR="00A10B21" w:rsidRPr="0044524F" w:rsidRDefault="00A10B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опросом членов ПБ</w:t>
      </w:r>
    </w:p>
    <w:p w14:paraId="42A59C8B" w14:textId="77777777" w:rsidR="00A10B21" w:rsidRPr="0044524F" w:rsidRDefault="00A10B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98/74.- Водросы Комиссии обороны</w:t>
      </w:r>
    </w:p>
    <w:p w14:paraId="66735444" w14:textId="77777777" w:rsidR="00A10B21" w:rsidRPr="0044524F" w:rsidRDefault="00A10B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постановления СТО:</w:t>
      </w:r>
    </w:p>
    <w:p w14:paraId="71749163" w14:textId="77777777" w:rsidR="00A10B21" w:rsidRPr="0044524F" w:rsidRDefault="00A10B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 выделении из резервного фонда СНК СССР 200 тыс. рублей валюты на приобретение импортных деталей трубчатки и брайсточной установки для развития производ</w:t>
      </w:r>
      <w:r w:rsidRPr="0044524F">
        <w:rPr>
          <w:rFonts w:ascii="Times New Roman" w:hAnsi="Times New Roman"/>
          <w:color w:val="000000" w:themeColor="text1"/>
          <w:sz w:val="16"/>
          <w:szCs w:val="16"/>
        </w:rPr>
        <w:softHyphen/>
        <w:t>ства авиамасел;</w:t>
      </w:r>
    </w:p>
    <w:p w14:paraId="1FFA7741" w14:textId="77777777" w:rsidR="00A10B21" w:rsidRPr="0044524F" w:rsidRDefault="00A10B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 закупкес НКВнешторгом в Америке и Европе сов</w:t>
      </w:r>
      <w:r w:rsidRPr="0044524F">
        <w:rPr>
          <w:rFonts w:ascii="Times New Roman" w:hAnsi="Times New Roman"/>
          <w:color w:val="000000" w:themeColor="text1"/>
          <w:sz w:val="16"/>
          <w:szCs w:val="16"/>
        </w:rPr>
        <w:softHyphen/>
        <w:t>ременных образцов авиатоплив и масел;</w:t>
      </w:r>
    </w:p>
    <w:p w14:paraId="66BDCEDB" w14:textId="77777777" w:rsidR="00A10B21" w:rsidRPr="0044524F" w:rsidRDefault="00A10B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командировании в Америку и Европу комиссии для изучения производства авиатоплив, авиамасел и обо</w:t>
      </w:r>
      <w:r w:rsidRPr="0044524F">
        <w:rPr>
          <w:rFonts w:ascii="Times New Roman" w:hAnsi="Times New Roman"/>
          <w:color w:val="000000" w:themeColor="text1"/>
          <w:sz w:val="16"/>
          <w:szCs w:val="16"/>
        </w:rPr>
        <w:softHyphen/>
        <w:t>рудования для них.</w:t>
      </w:r>
    </w:p>
    <w:p w14:paraId="1AB58406" w14:textId="77777777" w:rsidR="00A10B21" w:rsidRPr="0044524F" w:rsidRDefault="00A10B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Мирошникову.</w:t>
      </w:r>
    </w:p>
    <w:p w14:paraId="40969333" w14:textId="77777777" w:rsidR="00A10B21" w:rsidRPr="0044524F" w:rsidRDefault="00A10B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состоялось заседание ПБ и был оформлен протокол № 144 (22994).</w:t>
      </w:r>
    </w:p>
    <w:p w14:paraId="6B99EE21" w14:textId="77777777" w:rsidR="00A10B21" w:rsidRPr="0044524F" w:rsidRDefault="00A10B21" w:rsidP="009654CF">
      <w:pPr>
        <w:spacing w:after="0" w:line="240" w:lineRule="auto"/>
        <w:jc w:val="both"/>
        <w:rPr>
          <w:rFonts w:ascii="Times New Roman" w:hAnsi="Times New Roman"/>
          <w:color w:val="000000" w:themeColor="text1"/>
          <w:sz w:val="16"/>
          <w:szCs w:val="16"/>
        </w:rPr>
      </w:pPr>
    </w:p>
    <w:p w14:paraId="73C5D93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года начальник Экономического управления ОГПУ Лев Миронов сообщал секретарю ЦК ВКП(б) Лазарю Кагановичу зам. председателя ОГПУ Генрих Ягода:</w:t>
      </w:r>
    </w:p>
    <w:p w14:paraId="082A0AB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углублённой агентурной работы по вскрытию к.-р. вредительской и шпионской организации в военной промышленности — Орудийно-Арсенальное Объединение и его заводы (о чем сообщено ЦК ВКП(б) №294301) было установлено, что на территории Союза действует разветвлённая шпионская сеть, созданная разведывательными органами Польши и ведущая крупную шпионскую и диверсионную работу на заводах Военной промышленности»</w:t>
      </w:r>
    </w:p>
    <w:p w14:paraId="4FE8CC5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моменту ликвидации этой шпионской сети агентурно было точно установлено, что во главе её в качестве организатора и руководителя стоит специально переброшенный на нашу территорию крупный резидент польской разведки, прибывший в СССР под видом политэмигранта и под фамилией Минин Михаил Робертович.</w:t>
      </w:r>
    </w:p>
    <w:p w14:paraId="30F40D9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 операцией всей контрреволюционной организации в Военной промышленности, ОГПУ, ПП ОГПУ МО и ГПУ УССР была ликвидирована и указанная выше польская резидентура, причем тут же были установлены и сняты конспиративные явки польской разведки в Москве (квартира гр-на Клячко Льва Аркадьевича на Троицкой улице в д. №1/4, кв. 2) и в Киеве (кв. гр-ки Арабок Марии Пахомовны — “Люси”, ул. Короленко, д. №71 на 1-м этаже) и арестован в числе других также резидент Польской разведки Минин Михаил Робертович, настоящая фамилия которого, как установлено, — Бриль Виктор Иосифович.</w:t>
      </w:r>
    </w:p>
    <w:p w14:paraId="1DBAD1A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Произведёнными следственными действиями и обнаруженными документами полностью подтверждены агентурные данные и установлено:</w:t>
      </w:r>
    </w:p>
    <w:p w14:paraId="230974B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Минин-Бриль до своей переброски в СССР, будучи членом ППС (левицы), был в 1928 г. завербован Начальником Лодзинской дефензивы Вайнером и выдал несколько конспиративных квартир ППС (левицы), ряд работников этой партии: Сельского (члена ЦК), Пацановскую, Даниель, Равич и др., а также членов комсомола Польши — Вицек и Ацзен.</w:t>
      </w:r>
    </w:p>
    <w:p w14:paraId="3CCF7F2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июне 1929 года Минин-Бриль получил от Вайера предложение выехать в СССР для шпионской работы по линии Военной промышленности, для чего должен был связаться и возглавить имевшуюся уже группу в Киеве, с последующим расширением деятельности на Москву, Харьков и др. центры.</w:t>
      </w:r>
    </w:p>
    <w:p w14:paraId="7F4DB98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лучшей конспирации Минину-Брилю было предложено использовать его связи по линии Торгпредства и проникнуть в СССР под видом политэмигранта, что он и осуществил.</w:t>
      </w:r>
    </w:p>
    <w:p w14:paraId="63D28ED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Получив в Торгпредстве в Данциге при посредстве Зам. Торгпреда т. Копылова разрешение и паспорт, Минин-Бриль в конце августа 1929 г. приехал в Москву. Явившись в Коминтерн, Минин-Бриль, получив документы политэмигранта, добился направления в Киев, где и устроился через Нацменсекцию Киевского К-та КП(б)У секретарем Польского театра, а затем (согласно полученным от Польской разведки указаниям) — заведующим Интернатом Польского Механического Техникума.</w:t>
      </w:r>
    </w:p>
    <w:p w14:paraId="1FBF77A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Одновременно со своим устройством в Киеве, согласно полученным от Польской разведки указаниям, Минин-Бриль связался со специальным курьером Польской разведки в Киеве Кавецким и приступил к организации шпионской и диверсионной работы на Киевском Арсенале (ККЗ) и Авиазаводе №43, завязав знакомства с рядом к.-р. настроенных лиц (по ККЗ — зав. литейным цехом Блажинским, конструктором Прокопенко и слесарем Броварником (арестованы); по зав. №43 указанные Мининым лица устанавливаются.</w:t>
      </w:r>
    </w:p>
    <w:p w14:paraId="0F5DDA1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Параллельно развёртыванию шпионской работы на ККЗ и з-де №43 Минин установил связи и возглавил к.-р. группу студентов Польского техникума (Гельнер, Сахацкий и др.), впоследствии разъехавшихся на военно-производственную практику и явившихся основными кадрами ликвидированной польской агентуры.</w:t>
      </w:r>
    </w:p>
    <w:p w14:paraId="1E84ACC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В 1930 году окончивший техникум и получивший назначение на военно-производственную практику в Москву участник к.-р. группы техникума Гельнер получил указания от Минина-Бриля по выявлению и группированию к.-р. настроенных лиц, что им и было выполнено путем организации группы инженеров-военнопроизводственников, преимущественно окончивших Киевский Политехнический Институт на Московском Орудийном заводе №8 (Коноплич, Хандромиров, Васильченко, Улановский и др. — все арестованы).</w:t>
      </w:r>
    </w:p>
    <w:p w14:paraId="62E6056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связи Гельнеру была дана явка на квартиру вышеупомянутого Клячко, связанного в свою очередь с сотрудником Польского консульства “Совой”.</w:t>
      </w:r>
    </w:p>
    <w:p w14:paraId="2D69D42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 1932 году Минин-Бриль по поручению польской разведки был переброшен в Москву для развёртывания шпионско-диверсионной работы на московских заводах Военной и Авиационной промышленности, что им и было проделано путём активизации шпионской и подрывной работы группы Гельнера на заводе №8 и при посредничестве её участников — организованы группы на заводе Мастяжарт (Лещев), ТОЗе (Сандомирский) и получены связи по Авиазаводу №22 (Лещев и Сандомирский арестованы).</w:t>
      </w:r>
    </w:p>
    <w:p w14:paraId="4FFBA0B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своей шпионской деятельности в Москве Минин-Бриль был непосредственно связан с сотрудниками польского консульства “Совой” Вацлавом Яковлевичем и Оконьским, причем с первым явки имел на конспиративной квартире Клячко.</w:t>
      </w:r>
    </w:p>
    <w:p w14:paraId="0350BB0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В результате шпионской деятельности по Военной промышленности были собраны и переданы сведения о мощностях и программах заводов №8, Киевского Арсенала, ТОЗа, Авиазавода №43, о конструкциях тяжелого бомбовоза, новой противогазовой маски, тяжёлых авиабомбах (Мастяжарт), о Военно-Воздушной Академии и Одесской Авиашколе.</w:t>
      </w:r>
    </w:p>
    <w:p w14:paraId="4B24111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 связи с заданиями агента польской разведки “Совы” о получении сведений по оборонным работам на границах был завербован для шпионской работы по Дальнему Востоку инженер Рыбальченко, работающий участковым прорабом на строительстве по укреплению Маньчжуро-Китайских границ (на арест Рыбальченко дано задание ПП ОГПУ в ДВК).</w:t>
      </w:r>
    </w:p>
    <w:p w14:paraId="41B0DB3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Рыбальченко были получены и переданы польской разведке секретные документы об укреплениях на ДВ с указанием конструкций укреплений и их качества, дислокация и планы построенных на ДВ в 1932 г. воинских казарм.</w:t>
      </w:r>
    </w:p>
    <w:p w14:paraId="38D632A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аресте участника к.-р. организации Улановского, непосредственно вербовавшего Рыбальченко, на квартире изъяты полученные от последнего для передачи полякам материалы с подробным описанием обороноспособности Дальнего Востока.</w:t>
      </w:r>
    </w:p>
    <w:p w14:paraId="0C63206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передаче Мининым-Брилем сведений по Дальнему Востоку агенту польской разведки “Сове” последним были даны указания по дальнейшему собиранию сведений по оборонным мероприятиям по Д.В. и, в частности, было сказано, что по договоренности Польши и Румынии с Японией первый удар должен быть произведён на Д. Востоке.</w:t>
      </w:r>
    </w:p>
    <w:p w14:paraId="51DF6F3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Одновременно с широким развёртыванием шпионской и подрывной работы на заводах Военной промышленности Мининым-Брилем, согласно специальным указаниям, развёртывалась сеть ПОВ (“Польская Военная Организация”).</w:t>
      </w:r>
    </w:p>
    <w:p w14:paraId="03BAF36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показаниям Минина-Бриля, указанная организация, согласно полученных им установок от Зам. Начальника Лодзинской дефенсивы Недельского, является закордонным филиалом “ПОВ”.</w:t>
      </w:r>
    </w:p>
    <w:p w14:paraId="3619003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Задачей деятельности “ПОВ” в СССР по директиве польской разведки является организация к.-р. повстанческих, шпионских и террористических групп.</w:t>
      </w:r>
    </w:p>
    <w:p w14:paraId="7829846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одной из таких групп и был, по заданию упомянутого Недельского, связан Бриль по его приезде в Киев (эта группа, входившая по “ПОВ” под наименованием “ГОЛ”, — “Группа освобождения личности” — была ликвидирована в 1932 году Киевским Облотделом ГПУ).</w:t>
      </w:r>
    </w:p>
    <w:p w14:paraId="6BCA835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Материалами следствия устанавливается, что Мининым-Брилем при посредстве участников к.-р. группы в Киевском Польском Техникуме были организованы группы “ПОВ” в Бердичеве (Сахацким), в Виннице (Гельнером и Набловским), Умани (Яворовским и Голяновским), в Гневов (Чавловским) и в Казатине (Пиотковским) (указанные лица арестованы, частично были осуждены по делу “ПОВ”).</w:t>
      </w:r>
    </w:p>
    <w:p w14:paraId="531DABE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развертывания работы “ПОВ” по показаниям Минина в 1931 году разведывательными органами Польши был прислан специальный резидент Дудкевич (обнаружен на территории Союза и арестован)</w:t>
      </w:r>
    </w:p>
    <w:p w14:paraId="345863C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Проводившаяся шпионская и диверсионная работа широко финансировалась разведорганами Польши.</w:t>
      </w:r>
    </w:p>
    <w:p w14:paraId="3DF9BA1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23-е августа по делу к.-р. организации в Военной промышленности арестовано 70 человек.</w:t>
      </w:r>
    </w:p>
    <w:p w14:paraId="3064DF8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Следствие продолжается».</w:t>
      </w:r>
    </w:p>
    <w:p w14:paraId="28E0B38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Ф.3. Оп.58. Д.242. Л.2–7. Цит. по: Мозохин О.Б. Карающий меч диктатуры пролетариата. М., 2004. С.416–420) (11703).</w:t>
      </w:r>
    </w:p>
    <w:p w14:paraId="4F535E2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C50463A"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г. согласно постановлению СНК «Красное Сормово» должно было приступить к освоению производства мин. Для этого завод получил приказ прекратить уже налаженный выпуск 107 и 203-мм фугасных снарядов. Однако вскоре это решение признали нецелесообразным и отменили. В сентябре завод получил задание, кроме торпедных аппаратов, организовать производство «толкачей» для сбрасывания торпед с торпедных катеров. Однако из-за большой загруженности цехов оно так и не было выполнено. Заводы, входившие тогда в объединение «Союзверфь», не имели своих конструкторских бюро. Все проектирование и разработка рабочих чертежей выполнялись ЦКБ-18 и подчиненным ему ЦКБС-2, занимающимся подводными лодками. ЦКБС-2 с самого начала несвоевременно и некомплектно присылало необходимые чертежи, работая по принципу: «начинайте строить, а как строить, узнаете потом» (11741).</w:t>
      </w:r>
    </w:p>
    <w:p w14:paraId="3EA2F829"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D17159D"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9A4DDE9"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4E1FE1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25 августа и 1 сентября 1933. Из протокола заседания Политбюро N 144, особая папка, 1933 г.</w:t>
      </w:r>
    </w:p>
    <w:p w14:paraId="7CDEDA3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тифозной малярии на Северном Кавказе </w:t>
      </w:r>
    </w:p>
    <w:p w14:paraId="0C66E3A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Обязать Наркомздрав РСФСР под личную ответственность тов. Богат немедленно в дополнение к уже принятым мерам (посылка специальной бригады, мобилизация врачей в Ростове, отгрузка хинина) отгрузить дополнительно для Сев. Кавказа 500 кило хинина и направить туда необходимое по согласованию с Севкавкрайисполкомом количество врачей. </w:t>
      </w:r>
    </w:p>
    <w:p w14:paraId="6238257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Поручить НКВТ срочно закупить 5 тонн хинина в счет валютного контингента Наркомздрава на IV квартал 1933 г. </w:t>
      </w:r>
    </w:p>
    <w:p w14:paraId="1F01BE4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Предложить Наркомтяжпрому сдать Наркомздраву в течение 2 дней 7 тонн парижской зелени для немедленной отправки на Северный Кавказ в целях борьбы с комаром путем авиаопыления. </w:t>
      </w:r>
    </w:p>
    <w:p w14:paraId="20EDECF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т. Донского (вновь назначенного зав. Севкрайздрава) немедленно выехать на Северный Кавказ для руководства организацией медицинской помощи в районах, охваченных тифозной малярией (11652).</w:t>
      </w:r>
    </w:p>
    <w:p w14:paraId="62A939B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117135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25 августа и 1 сентября 1933. Из протокола заседания Политбюро N 144, особая папка, 1933 г.</w:t>
      </w:r>
    </w:p>
    <w:p w14:paraId="3D4DDAD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чистке партии </w:t>
      </w:r>
    </w:p>
    <w:p w14:paraId="6ED1CCC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Закончить чистку партийных организаций 10 областей и краев первой очереди к концу декабря месяца с. г. </w:t>
      </w:r>
    </w:p>
    <w:p w14:paraId="01A9407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Чистку партии в остальных областях и краях провести после 17-го съезда партии (11652).</w:t>
      </w:r>
    </w:p>
    <w:p w14:paraId="5519DC3B" w14:textId="09655072"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ECBD299" w14:textId="7516921D" w:rsidR="00F2233A" w:rsidRPr="0044524F" w:rsidRDefault="00F2233A"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0A036D14" w14:textId="77777777" w:rsidR="00F2233A" w:rsidRPr="0044524F" w:rsidRDefault="00F2233A"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2D438742" w14:textId="77777777" w:rsidR="00F2233A" w:rsidRPr="0044524F" w:rsidRDefault="00F223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 Совершил свой первый полёт прототип B-6 самолёта Blackburn B.6 Shark с двигателем Tiger IV максимальной мощностью 700 л.с., в кабине находился лётчик-испытатель А.Блэйк. После удачного полёта самолёт, тем не менее, вернули на завод для установки кольцевого капота на звезду цилиндров двигателя. В 1933 году министерство авиации Великобритании выпустило документ S.15/33, в котором оговаривались требования к новому разведчику-корректировщику-торпедоносцу с рабочим обозначением T.S.R, (Torpedo-Spotter-Reconnaissance). Согласно этим требованиям, самолёт должен был действовать с палуб авианосцев, катапульт кораблей и наземных аэродромов. Такая универсальность достигалась за счёт сменного колесного или поплавкового шасси.</w:t>
      </w:r>
    </w:p>
    <w:p w14:paraId="12A8C9DE" w14:textId="77777777" w:rsidR="00F2233A" w:rsidRPr="0044524F" w:rsidRDefault="00F2233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конкурентную борьбу за заказ включились английские фирмы Fairey, Gloster и Blackburn. Fairey спроектировала самолёт TSR II, который в процессе своего развития стал знаменитым торпедоносцем Swordfish. Фирма Gloster представила свою разработку - TSR.38, а Blackburn выставила биплан В-6. После сравнительной оценки проектов флот выбрал два наиболее перспективных из них, от фирм Fairey и Blackburn (22388).</w:t>
      </w:r>
    </w:p>
    <w:p w14:paraId="705509C9" w14:textId="77777777" w:rsidR="00F2233A" w:rsidRPr="0044524F" w:rsidRDefault="00F2233A" w:rsidP="009654CF">
      <w:pPr>
        <w:spacing w:after="0" w:line="240" w:lineRule="auto"/>
        <w:jc w:val="both"/>
        <w:rPr>
          <w:rFonts w:ascii="Times New Roman" w:hAnsi="Times New Roman"/>
          <w:color w:val="000000" w:themeColor="text1"/>
          <w:sz w:val="16"/>
          <w:szCs w:val="16"/>
        </w:rPr>
      </w:pPr>
    </w:p>
    <w:p w14:paraId="5C22B194"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A036085"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E9A9B6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августа 1933 года нарком по военным и морским делам и председатель РВС Ворошилов писал письмо № 3183сс председателю комиссии обороны Молотову В.М.</w:t>
      </w:r>
    </w:p>
    <w:p w14:paraId="7C492E2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состоянии опытного моторо- и самолетостроения</w:t>
      </w:r>
    </w:p>
    <w:p w14:paraId="1E7DCAD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опытного моторо- и самолетостроения на 1932-34 г.г., утвержденный Правительством 4 июля 1932 года, промышленностью не выполняется в обусловленные сроки.</w:t>
      </w:r>
    </w:p>
    <w:p w14:paraId="5ADC81F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Срыв плана, в первую очередь, идет по моторам, а это в свою очередь влечет за собой срыв плана по самолетам, поскольку все самолеты по плану опытного строительства идут под опытные моторы.</w:t>
      </w:r>
    </w:p>
    <w:p w14:paraId="58738A7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Высокие летные данные иностранных самолетов объясняются не столько аэродинамикой самолетов, сколько качеством мотора. Качество мотора прежде всего зависит от наличия на нем нагнетателя и редуктора.</w:t>
      </w:r>
    </w:p>
    <w:p w14:paraId="6394FDD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Роль редуктора и особенно нагнетателя в повышении летных данных самолета отчетливо видна из следующей сравнительной таблицы:</w:t>
      </w:r>
    </w:p>
    <w:p w14:paraId="65DAAA1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0BC532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Строящийся нами серийный мотор М34 без нагнетателя и редуктора по своей мощности и малому удельному весу на земле может быть отнесен к разряду лучших заграничных моторов. Но если сравнить его с лучшими заграничными моторами на боевой высоте, т. е. на 5000 м, то он оказывается по своим качествам ниже средних современных заграничных моторов.</w:t>
      </w:r>
    </w:p>
    <w:p w14:paraId="23CDEED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наши тяжелые бомбардировщики и разведчики должны были базироваться на моторе М34 с нагнетателем и редуктором. С помощью этого мотора с нагнетателем и редуктором мы могли бы выйти в первые ряды современной авиационной техники. Но так как вместо этого мотора мы получаем из серии М34 без нагнетателя и редуктора, то наши самолеты на боевой высоте оказываются значительно хуже заграничных.</w:t>
      </w:r>
    </w:p>
    <w:p w14:paraId="2E51278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 образцы истребителей по плану должны обеспечить моторы М38, М58 и М32 – все с нагнетателем. Но сверхтяжелый бомбовоз ТБ6, который выйдет в конце 1934 года, по плану предусмотрено установить моторы М44 по 2000 л. с. с нагнетателем.</w:t>
      </w:r>
    </w:p>
    <w:p w14:paraId="7A66CD1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 одного из перечисленных моторов на сегодняшний день мы не имеем, хотя по плану срок выхода первых трех моторов был в 1932 году. Все эти моторы являлись главнейшими и от их выпуска зависит выполнение плана опытного самолетостроения.</w:t>
      </w:r>
    </w:p>
    <w:p w14:paraId="54D7FEF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промышленность не справится в кратчайший срок с выпуском мотора М34 с нагнетателем и М34 с редуктором и М58 с нагнетателем, то фактически план опытного самолетостроения будет сорван и в таком случае наша отсталость угрожающе увеличится, ибо все без исключения воздушные флоты переходят на моторы с нагнетателем и редуктором.</w:t>
      </w:r>
    </w:p>
    <w:p w14:paraId="7D5E434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строительство сухопутных самолетов зависит в основном от состояния моторостроения, то по морским самолетам невыполнение плана опытного строительства объясняется не только отставанием моторостроения, но и разбросанностью конструкторских сил.</w:t>
      </w:r>
    </w:p>
    <w:p w14:paraId="2448791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части невыполнения плана надо особо отметить объекты плана опытного самолетостроения, проектирование и постройка которых возложена на Главное управление ГВФ.</w:t>
      </w:r>
    </w:p>
    <w:p w14:paraId="0B5AA0C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сего времени ГУГВФ не дал задания своим конструкторским бюро на включение этих самолетов в план их работы, мотивируя это отсутствием денег и невозможностью выполнения в сроки, указанные в плане.</w:t>
      </w:r>
    </w:p>
    <w:p w14:paraId="2ED7C7D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скорейшей ликвидации прорыва в опытном строительстве авиации и предотвращения значительного технического отставания материальной части ВВС от таковой вероятных противников, прошу об утверждении прилагаемого при сем проекта постановления (4223, 6-8).</w:t>
      </w:r>
    </w:p>
    <w:p w14:paraId="2719739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августа 1933 года было подготовлено постановление комиссии обороны (проект):</w:t>
      </w:r>
    </w:p>
    <w:p w14:paraId="1675544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выполнения опытного самолето- и моторостроения</w:t>
      </w:r>
    </w:p>
    <w:p w14:paraId="2E30215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обороны констатирует, что план опытного строительства авиаицонных моторов и самолетов, утвержденный СТО 4 июля 1932 года, ГУАПом и ГУГВФом в установленные Правительством сроки не выполнен. Это невыполнение плана опытного самолето- и моторостроения создает серьезную угрозу технического отставания материальной части ВВС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077C84E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4F03CB3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что ГУАП ввиду возрастающего объема опытного строительства, совершенно правильно принял меры к расширению базы опытного самолето- и моторостроения, создав на заводе № 39 КБ по проектированию и постройке опытных образцов легких сухопутных и морских самолетов, на заводе № 29 – базу по опытному моторостроению, развернув в ХАИ и МАИ базу по опытному самолето- и моторостроению.</w:t>
      </w:r>
    </w:p>
    <w:p w14:paraId="5F97DE6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603B5AE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авиамоторов с нагнетателями велись явно недостаточными темпами.</w:t>
      </w:r>
    </w:p>
    <w:p w14:paraId="601B08B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скорейшей ликвидации прорыва в опытном строительстве ВВС Комиссия обороны постановляет:</w:t>
      </w:r>
    </w:p>
    <w:p w14:paraId="082A222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1.Во изменение плана опытного строительства, утвержденного КО 4 июля 1932 года, утвердить нижеследующий план опытного строительства по моторам и самолетам:</w:t>
      </w:r>
    </w:p>
    <w:p w14:paraId="536E266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02263DB4" w14:textId="77777777">
        <w:tc>
          <w:tcPr>
            <w:tcW w:w="1656" w:type="dxa"/>
          </w:tcPr>
          <w:p w14:paraId="43C472F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Марка мотора</w:t>
            </w:r>
          </w:p>
        </w:tc>
        <w:tc>
          <w:tcPr>
            <w:tcW w:w="1656" w:type="dxa"/>
          </w:tcPr>
          <w:p w14:paraId="627B725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1656" w:type="dxa"/>
          </w:tcPr>
          <w:p w14:paraId="34DED3D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л.с.</w:t>
            </w:r>
          </w:p>
        </w:tc>
        <w:tc>
          <w:tcPr>
            <w:tcW w:w="1656" w:type="dxa"/>
          </w:tcPr>
          <w:p w14:paraId="6372B81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1656" w:type="dxa"/>
          </w:tcPr>
          <w:p w14:paraId="430C953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в кг</w:t>
            </w:r>
          </w:p>
        </w:tc>
        <w:tc>
          <w:tcPr>
            <w:tcW w:w="1656" w:type="dxa"/>
          </w:tcPr>
          <w:p w14:paraId="54C5DA9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 горючего гр/л.с.</w:t>
            </w:r>
          </w:p>
        </w:tc>
        <w:tc>
          <w:tcPr>
            <w:tcW w:w="1656" w:type="dxa"/>
          </w:tcPr>
          <w:p w14:paraId="455FAAB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прдъявления на испытание</w:t>
            </w:r>
          </w:p>
        </w:tc>
      </w:tr>
    </w:tbl>
    <w:p w14:paraId="1019CD7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766FE4FE" w14:textId="77777777">
        <w:tc>
          <w:tcPr>
            <w:tcW w:w="1656" w:type="dxa"/>
          </w:tcPr>
          <w:p w14:paraId="48EC85C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 (с нагнетат.)</w:t>
            </w:r>
          </w:p>
        </w:tc>
        <w:tc>
          <w:tcPr>
            <w:tcW w:w="1656" w:type="dxa"/>
          </w:tcPr>
          <w:p w14:paraId="34D6216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15CD3A8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7D4AFE0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4100E44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c>
          <w:tcPr>
            <w:tcW w:w="1656" w:type="dxa"/>
          </w:tcPr>
          <w:p w14:paraId="5A417FF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w:t>
            </w:r>
          </w:p>
        </w:tc>
        <w:tc>
          <w:tcPr>
            <w:tcW w:w="1656" w:type="dxa"/>
          </w:tcPr>
          <w:p w14:paraId="1DD7AF6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w:t>
            </w:r>
          </w:p>
        </w:tc>
      </w:tr>
      <w:tr w:rsidR="004E10C1" w:rsidRPr="0044524F" w14:paraId="1008F781" w14:textId="77777777">
        <w:tc>
          <w:tcPr>
            <w:tcW w:w="1656" w:type="dxa"/>
          </w:tcPr>
          <w:p w14:paraId="3DB0CC6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М34РН</w:t>
            </w:r>
          </w:p>
        </w:tc>
        <w:tc>
          <w:tcPr>
            <w:tcW w:w="1656" w:type="dxa"/>
          </w:tcPr>
          <w:p w14:paraId="429F37A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7126FB8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7F8B44A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1CD67F5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1656" w:type="dxa"/>
          </w:tcPr>
          <w:p w14:paraId="6BDFBBA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012F562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w:t>
            </w:r>
          </w:p>
        </w:tc>
      </w:tr>
      <w:tr w:rsidR="004E10C1" w:rsidRPr="0044524F" w14:paraId="324B82A1" w14:textId="77777777">
        <w:tc>
          <w:tcPr>
            <w:tcW w:w="1656" w:type="dxa"/>
          </w:tcPr>
          <w:p w14:paraId="430BC17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 (форсиров.)</w:t>
            </w:r>
          </w:p>
        </w:tc>
        <w:tc>
          <w:tcPr>
            <w:tcW w:w="1656" w:type="dxa"/>
          </w:tcPr>
          <w:p w14:paraId="3509E10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570A0C1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377F1D6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2970D9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675</w:t>
            </w:r>
          </w:p>
        </w:tc>
        <w:tc>
          <w:tcPr>
            <w:tcW w:w="1656" w:type="dxa"/>
          </w:tcPr>
          <w:p w14:paraId="17F0732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w:t>
            </w:r>
          </w:p>
        </w:tc>
        <w:tc>
          <w:tcPr>
            <w:tcW w:w="1656" w:type="dxa"/>
          </w:tcPr>
          <w:p w14:paraId="7E7D91B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w:t>
            </w:r>
          </w:p>
        </w:tc>
      </w:tr>
      <w:tr w:rsidR="004E10C1" w:rsidRPr="0044524F" w14:paraId="53E797FC" w14:textId="77777777">
        <w:tc>
          <w:tcPr>
            <w:tcW w:w="1656" w:type="dxa"/>
          </w:tcPr>
          <w:p w14:paraId="15DF250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w:t>
            </w:r>
          </w:p>
        </w:tc>
        <w:tc>
          <w:tcPr>
            <w:tcW w:w="1656" w:type="dxa"/>
          </w:tcPr>
          <w:p w14:paraId="2C9CE69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1A46452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14D6F7E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15F0340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1656" w:type="dxa"/>
          </w:tcPr>
          <w:p w14:paraId="3B07C5D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343E44F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w:t>
            </w:r>
          </w:p>
        </w:tc>
      </w:tr>
      <w:tr w:rsidR="004E10C1" w:rsidRPr="0044524F" w14:paraId="3C7224BD" w14:textId="77777777">
        <w:tc>
          <w:tcPr>
            <w:tcW w:w="1656" w:type="dxa"/>
          </w:tcPr>
          <w:p w14:paraId="76BE6E7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 с выключ. нагнетателем и винтом переменного шага</w:t>
            </w:r>
          </w:p>
        </w:tc>
        <w:tc>
          <w:tcPr>
            <w:tcW w:w="1656" w:type="dxa"/>
          </w:tcPr>
          <w:p w14:paraId="02A1D0B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14D0903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2038528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656" w:type="dxa"/>
          </w:tcPr>
          <w:p w14:paraId="2BC24A9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1656" w:type="dxa"/>
          </w:tcPr>
          <w:p w14:paraId="57B4B5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4AABD0B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w:t>
            </w:r>
          </w:p>
        </w:tc>
      </w:tr>
      <w:tr w:rsidR="004E10C1" w:rsidRPr="0044524F" w14:paraId="1CBC0151" w14:textId="77777777">
        <w:tc>
          <w:tcPr>
            <w:tcW w:w="1656" w:type="dxa"/>
          </w:tcPr>
          <w:p w14:paraId="01F84BF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М34фрн с выключ. нагнетат., удлинен </w:t>
            </w:r>
            <w:r w:rsidRPr="0044524F">
              <w:rPr>
                <w:rFonts w:ascii="Times New Roman" w:hAnsi="Times New Roman"/>
                <w:color w:val="000000" w:themeColor="text1"/>
                <w:sz w:val="16"/>
                <w:szCs w:val="16"/>
              </w:rPr>
              <w:lastRenderedPageBreak/>
              <w:t>валом и винтом переменного шага</w:t>
            </w:r>
          </w:p>
        </w:tc>
        <w:tc>
          <w:tcPr>
            <w:tcW w:w="1656" w:type="dxa"/>
          </w:tcPr>
          <w:p w14:paraId="2D870C6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водяное </w:t>
            </w:r>
          </w:p>
        </w:tc>
        <w:tc>
          <w:tcPr>
            <w:tcW w:w="1656" w:type="dxa"/>
          </w:tcPr>
          <w:p w14:paraId="30F2FAA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7486842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656" w:type="dxa"/>
          </w:tcPr>
          <w:p w14:paraId="6787A6F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656" w:type="dxa"/>
          </w:tcPr>
          <w:p w14:paraId="5A1CA4B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17E73A8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w:t>
            </w:r>
          </w:p>
        </w:tc>
      </w:tr>
      <w:tr w:rsidR="004E10C1" w:rsidRPr="0044524F" w14:paraId="67022F92" w14:textId="77777777">
        <w:tc>
          <w:tcPr>
            <w:tcW w:w="1656" w:type="dxa"/>
          </w:tcPr>
          <w:p w14:paraId="738B387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М34 с элек. карт. </w:t>
            </w:r>
          </w:p>
        </w:tc>
        <w:tc>
          <w:tcPr>
            <w:tcW w:w="1656" w:type="dxa"/>
          </w:tcPr>
          <w:p w14:paraId="3F024EB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569213A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3D08B35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800-1000</w:t>
            </w:r>
          </w:p>
        </w:tc>
        <w:tc>
          <w:tcPr>
            <w:tcW w:w="1656" w:type="dxa"/>
          </w:tcPr>
          <w:p w14:paraId="11D55AB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w:t>
            </w:r>
          </w:p>
        </w:tc>
        <w:tc>
          <w:tcPr>
            <w:tcW w:w="1656" w:type="dxa"/>
          </w:tcPr>
          <w:p w14:paraId="4104E75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205</w:t>
            </w:r>
          </w:p>
        </w:tc>
        <w:tc>
          <w:tcPr>
            <w:tcW w:w="1656" w:type="dxa"/>
          </w:tcPr>
          <w:p w14:paraId="742C6A9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w:t>
            </w:r>
          </w:p>
        </w:tc>
      </w:tr>
      <w:tr w:rsidR="004E10C1" w:rsidRPr="0044524F" w14:paraId="7FE7BB03" w14:textId="77777777">
        <w:tc>
          <w:tcPr>
            <w:tcW w:w="1656" w:type="dxa"/>
          </w:tcPr>
          <w:p w14:paraId="59E7D2A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с однорядн.</w:t>
            </w:r>
          </w:p>
        </w:tc>
        <w:tc>
          <w:tcPr>
            <w:tcW w:w="1656" w:type="dxa"/>
          </w:tcPr>
          <w:p w14:paraId="2D89FA2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214DC88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401315F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73EC20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w:t>
            </w:r>
          </w:p>
        </w:tc>
        <w:tc>
          <w:tcPr>
            <w:tcW w:w="1656" w:type="dxa"/>
          </w:tcPr>
          <w:p w14:paraId="7DA5845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51D1FD1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w:t>
            </w:r>
          </w:p>
        </w:tc>
      </w:tr>
      <w:tr w:rsidR="004E10C1" w:rsidRPr="0044524F" w14:paraId="46DC95F0" w14:textId="77777777">
        <w:tc>
          <w:tcPr>
            <w:tcW w:w="1656" w:type="dxa"/>
          </w:tcPr>
          <w:p w14:paraId="77FE69D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глиссерн.</w:t>
            </w:r>
          </w:p>
        </w:tc>
        <w:tc>
          <w:tcPr>
            <w:tcW w:w="1656" w:type="dxa"/>
          </w:tcPr>
          <w:p w14:paraId="762FFBD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29DDDFC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3FDF437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32CFCF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c>
          <w:tcPr>
            <w:tcW w:w="1656" w:type="dxa"/>
          </w:tcPr>
          <w:p w14:paraId="1FF1281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019B88D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w:t>
            </w:r>
          </w:p>
        </w:tc>
      </w:tr>
      <w:tr w:rsidR="004E10C1" w:rsidRPr="0044524F" w14:paraId="0881F276" w14:textId="77777777">
        <w:tc>
          <w:tcPr>
            <w:tcW w:w="1656" w:type="dxa"/>
          </w:tcPr>
          <w:p w14:paraId="1770F42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ГМ34ф</w:t>
            </w:r>
          </w:p>
        </w:tc>
        <w:tc>
          <w:tcPr>
            <w:tcW w:w="1656" w:type="dxa"/>
          </w:tcPr>
          <w:p w14:paraId="635250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67D6208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1CAA7CB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37E34C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c>
          <w:tcPr>
            <w:tcW w:w="1656" w:type="dxa"/>
          </w:tcPr>
          <w:p w14:paraId="2BBB325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47865BF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1934</w:t>
            </w:r>
          </w:p>
        </w:tc>
      </w:tr>
      <w:tr w:rsidR="004E10C1" w:rsidRPr="0044524F" w14:paraId="49D8A600" w14:textId="77777777">
        <w:tc>
          <w:tcPr>
            <w:tcW w:w="1656" w:type="dxa"/>
          </w:tcPr>
          <w:p w14:paraId="7C3F5E6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с нагнетат.</w:t>
            </w:r>
          </w:p>
        </w:tc>
        <w:tc>
          <w:tcPr>
            <w:tcW w:w="1656" w:type="dxa"/>
          </w:tcPr>
          <w:p w14:paraId="26155E7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1CD625B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630</w:t>
            </w:r>
          </w:p>
        </w:tc>
        <w:tc>
          <w:tcPr>
            <w:tcW w:w="1656" w:type="dxa"/>
          </w:tcPr>
          <w:p w14:paraId="5E70DA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656" w:type="dxa"/>
          </w:tcPr>
          <w:p w14:paraId="2A6A345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1656" w:type="dxa"/>
          </w:tcPr>
          <w:p w14:paraId="47678F2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c>
          <w:tcPr>
            <w:tcW w:w="1656" w:type="dxa"/>
          </w:tcPr>
          <w:p w14:paraId="6AEAB96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w:t>
            </w:r>
          </w:p>
        </w:tc>
      </w:tr>
    </w:tbl>
    <w:p w14:paraId="17651D5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0D6C1E60" w14:textId="77777777">
        <w:tc>
          <w:tcPr>
            <w:tcW w:w="1656" w:type="dxa"/>
          </w:tcPr>
          <w:p w14:paraId="1D23C6E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 с нагнетателем и редуктором</w:t>
            </w:r>
          </w:p>
        </w:tc>
        <w:tc>
          <w:tcPr>
            <w:tcW w:w="1656" w:type="dxa"/>
          </w:tcPr>
          <w:p w14:paraId="0091A6F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6EC01E6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656" w:type="dxa"/>
          </w:tcPr>
          <w:p w14:paraId="5B5B8E9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656" w:type="dxa"/>
          </w:tcPr>
          <w:p w14:paraId="62792FC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5E2A129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0F1756D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w:t>
            </w:r>
          </w:p>
        </w:tc>
      </w:tr>
      <w:tr w:rsidR="004E10C1" w:rsidRPr="0044524F" w14:paraId="32DB40A4" w14:textId="77777777">
        <w:tc>
          <w:tcPr>
            <w:tcW w:w="1656" w:type="dxa"/>
          </w:tcPr>
          <w:p w14:paraId="07D6044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(дизель)</w:t>
            </w:r>
          </w:p>
        </w:tc>
        <w:tc>
          <w:tcPr>
            <w:tcW w:w="1656" w:type="dxa"/>
          </w:tcPr>
          <w:p w14:paraId="386F8CA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2A73F9F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600-750</w:t>
            </w:r>
          </w:p>
        </w:tc>
        <w:tc>
          <w:tcPr>
            <w:tcW w:w="1656" w:type="dxa"/>
          </w:tcPr>
          <w:p w14:paraId="3E48AED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568B74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c>
          <w:tcPr>
            <w:tcW w:w="1656" w:type="dxa"/>
          </w:tcPr>
          <w:p w14:paraId="1D4C606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1656" w:type="dxa"/>
          </w:tcPr>
          <w:p w14:paraId="161B5D6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w:t>
            </w:r>
          </w:p>
        </w:tc>
      </w:tr>
      <w:tr w:rsidR="004E10C1" w:rsidRPr="0044524F" w14:paraId="00CA94CB" w14:textId="77777777">
        <w:tc>
          <w:tcPr>
            <w:tcW w:w="1656" w:type="dxa"/>
          </w:tcPr>
          <w:p w14:paraId="204B8F9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(дизель)</w:t>
            </w:r>
          </w:p>
        </w:tc>
        <w:tc>
          <w:tcPr>
            <w:tcW w:w="1656" w:type="dxa"/>
          </w:tcPr>
          <w:p w14:paraId="0DD0A70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18A4146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69AF85F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656" w:type="dxa"/>
          </w:tcPr>
          <w:p w14:paraId="0DB41B3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5184104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180-190</w:t>
            </w:r>
          </w:p>
        </w:tc>
        <w:tc>
          <w:tcPr>
            <w:tcW w:w="1656" w:type="dxa"/>
          </w:tcPr>
          <w:p w14:paraId="52722A3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w:t>
            </w:r>
          </w:p>
        </w:tc>
      </w:tr>
      <w:tr w:rsidR="004E10C1" w:rsidRPr="0044524F" w14:paraId="4E204BA0" w14:textId="77777777">
        <w:tc>
          <w:tcPr>
            <w:tcW w:w="1656" w:type="dxa"/>
          </w:tcPr>
          <w:p w14:paraId="76BAD92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 (бензиновый с нагнетателем)</w:t>
            </w:r>
          </w:p>
        </w:tc>
        <w:tc>
          <w:tcPr>
            <w:tcW w:w="1656" w:type="dxa"/>
          </w:tcPr>
          <w:p w14:paraId="792AA4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73FDA7D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651BE4B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7A2196E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656" w:type="dxa"/>
          </w:tcPr>
          <w:p w14:paraId="75A6B04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16C63D0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34928A3D" w14:textId="77777777">
        <w:tc>
          <w:tcPr>
            <w:tcW w:w="1656" w:type="dxa"/>
          </w:tcPr>
          <w:p w14:paraId="48020C4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w:t>
            </w:r>
          </w:p>
        </w:tc>
        <w:tc>
          <w:tcPr>
            <w:tcW w:w="1656" w:type="dxa"/>
          </w:tcPr>
          <w:p w14:paraId="119E8AE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0A43FB8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6D15B06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41C4B8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tc>
        <w:tc>
          <w:tcPr>
            <w:tcW w:w="1656" w:type="dxa"/>
          </w:tcPr>
          <w:p w14:paraId="7C89A52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791847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80F6365" w14:textId="77777777">
        <w:tc>
          <w:tcPr>
            <w:tcW w:w="1656" w:type="dxa"/>
          </w:tcPr>
          <w:p w14:paraId="74CE1FE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 (бензиновый)</w:t>
            </w:r>
          </w:p>
        </w:tc>
        <w:tc>
          <w:tcPr>
            <w:tcW w:w="1656" w:type="dxa"/>
          </w:tcPr>
          <w:p w14:paraId="22AB91C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2B05430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165-200</w:t>
            </w:r>
          </w:p>
        </w:tc>
        <w:tc>
          <w:tcPr>
            <w:tcW w:w="1656" w:type="dxa"/>
          </w:tcPr>
          <w:p w14:paraId="03EA6B4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5322013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w:t>
            </w:r>
          </w:p>
        </w:tc>
        <w:tc>
          <w:tcPr>
            <w:tcW w:w="1656" w:type="dxa"/>
          </w:tcPr>
          <w:p w14:paraId="5A95A24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w:t>
            </w:r>
          </w:p>
        </w:tc>
        <w:tc>
          <w:tcPr>
            <w:tcW w:w="1656" w:type="dxa"/>
          </w:tcPr>
          <w:p w14:paraId="39803F7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4F495570" w14:textId="77777777">
        <w:tc>
          <w:tcPr>
            <w:tcW w:w="1656" w:type="dxa"/>
          </w:tcPr>
          <w:p w14:paraId="5164BEC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 с нагнетателем</w:t>
            </w:r>
          </w:p>
        </w:tc>
        <w:tc>
          <w:tcPr>
            <w:tcW w:w="1656" w:type="dxa"/>
          </w:tcPr>
          <w:p w14:paraId="20F7D52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5EB7F7A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656" w:type="dxa"/>
          </w:tcPr>
          <w:p w14:paraId="52A3AE8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656" w:type="dxa"/>
          </w:tcPr>
          <w:p w14:paraId="6C6A94F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4FE14BC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w:t>
            </w:r>
          </w:p>
        </w:tc>
        <w:tc>
          <w:tcPr>
            <w:tcW w:w="1656" w:type="dxa"/>
          </w:tcPr>
          <w:p w14:paraId="1124E3F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r>
      <w:tr w:rsidR="004E10C1" w:rsidRPr="0044524F" w14:paraId="0C4AA6A4" w14:textId="77777777">
        <w:tc>
          <w:tcPr>
            <w:tcW w:w="1656" w:type="dxa"/>
          </w:tcPr>
          <w:p w14:paraId="4B5F8F1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М56 с нагнетателем</w:t>
            </w:r>
          </w:p>
        </w:tc>
        <w:tc>
          <w:tcPr>
            <w:tcW w:w="1656" w:type="dxa"/>
          </w:tcPr>
          <w:p w14:paraId="2C004FC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2302300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1656" w:type="dxa"/>
          </w:tcPr>
          <w:p w14:paraId="25F9847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656" w:type="dxa"/>
          </w:tcPr>
          <w:p w14:paraId="705B8FB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1656" w:type="dxa"/>
          </w:tcPr>
          <w:p w14:paraId="03A61C9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6A3283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1934</w:t>
            </w:r>
          </w:p>
        </w:tc>
      </w:tr>
    </w:tbl>
    <w:p w14:paraId="26E7A13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3A1ABD7A" w14:textId="77777777">
        <w:tc>
          <w:tcPr>
            <w:tcW w:w="1656" w:type="dxa"/>
          </w:tcPr>
          <w:p w14:paraId="1F1FB6C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и тип самолета</w:t>
            </w:r>
          </w:p>
        </w:tc>
        <w:tc>
          <w:tcPr>
            <w:tcW w:w="1656" w:type="dxa"/>
          </w:tcPr>
          <w:p w14:paraId="1EB4ED2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Горизонтальная скорость км/час/ысота м</w:t>
            </w:r>
          </w:p>
        </w:tc>
        <w:tc>
          <w:tcPr>
            <w:tcW w:w="1656" w:type="dxa"/>
          </w:tcPr>
          <w:p w14:paraId="1DFAD5B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высота м</w:t>
            </w:r>
          </w:p>
        </w:tc>
        <w:tc>
          <w:tcPr>
            <w:tcW w:w="1656" w:type="dxa"/>
          </w:tcPr>
          <w:p w14:paraId="3AE5EAE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 нормальн./ с перегрузкой</w:t>
            </w:r>
          </w:p>
        </w:tc>
        <w:tc>
          <w:tcPr>
            <w:tcW w:w="1656" w:type="dxa"/>
          </w:tcPr>
          <w:p w14:paraId="217191D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Сбрасыв. грузов нормальн./с перегрузкой</w:t>
            </w:r>
          </w:p>
        </w:tc>
        <w:tc>
          <w:tcPr>
            <w:tcW w:w="1656" w:type="dxa"/>
          </w:tcPr>
          <w:p w14:paraId="1CF38FA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1656" w:type="dxa"/>
          </w:tcPr>
          <w:p w14:paraId="46DA271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прдъявления на испытание</w:t>
            </w:r>
          </w:p>
        </w:tc>
      </w:tr>
    </w:tbl>
    <w:p w14:paraId="2EE3D18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6CA32448" w14:textId="77777777">
        <w:tc>
          <w:tcPr>
            <w:tcW w:w="1656" w:type="dxa"/>
          </w:tcPr>
          <w:p w14:paraId="74EA0A9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 ТБ4 6М34</w:t>
            </w:r>
          </w:p>
        </w:tc>
        <w:tc>
          <w:tcPr>
            <w:tcW w:w="1656" w:type="dxa"/>
          </w:tcPr>
          <w:p w14:paraId="51A47DC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656" w:type="dxa"/>
          </w:tcPr>
          <w:p w14:paraId="2E79DCC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417EC4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74D030C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1EC9CC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пулеметов</w:t>
            </w:r>
          </w:p>
          <w:p w14:paraId="1D4797F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пушки</w:t>
            </w:r>
          </w:p>
        </w:tc>
        <w:tc>
          <w:tcPr>
            <w:tcW w:w="1656" w:type="dxa"/>
          </w:tcPr>
          <w:p w14:paraId="5E9DF3E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w:t>
            </w:r>
          </w:p>
        </w:tc>
      </w:tr>
      <w:tr w:rsidR="004E10C1" w:rsidRPr="0044524F" w14:paraId="4F937CA5" w14:textId="77777777">
        <w:tc>
          <w:tcPr>
            <w:tcW w:w="1656" w:type="dxa"/>
          </w:tcPr>
          <w:p w14:paraId="49B3DAE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 ТБ3-4М34НР</w:t>
            </w:r>
          </w:p>
        </w:tc>
        <w:tc>
          <w:tcPr>
            <w:tcW w:w="1656" w:type="dxa"/>
          </w:tcPr>
          <w:p w14:paraId="13E2071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260/5000</w:t>
            </w:r>
          </w:p>
        </w:tc>
        <w:tc>
          <w:tcPr>
            <w:tcW w:w="1656" w:type="dxa"/>
          </w:tcPr>
          <w:p w14:paraId="6137E80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38CC73F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1200/1500</w:t>
            </w:r>
          </w:p>
        </w:tc>
        <w:tc>
          <w:tcPr>
            <w:tcW w:w="1656" w:type="dxa"/>
          </w:tcPr>
          <w:p w14:paraId="1689790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1500/1000</w:t>
            </w:r>
          </w:p>
        </w:tc>
        <w:tc>
          <w:tcPr>
            <w:tcW w:w="1656" w:type="dxa"/>
          </w:tcPr>
          <w:p w14:paraId="32F531D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 пулеметов</w:t>
            </w:r>
          </w:p>
        </w:tc>
        <w:tc>
          <w:tcPr>
            <w:tcW w:w="1656" w:type="dxa"/>
          </w:tcPr>
          <w:p w14:paraId="03863B0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6F65F0C" w14:textId="77777777">
        <w:tc>
          <w:tcPr>
            <w:tcW w:w="1656" w:type="dxa"/>
          </w:tcPr>
          <w:p w14:paraId="68219E8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Многомест. истреб. МИ3-2М34</w:t>
            </w:r>
          </w:p>
        </w:tc>
        <w:tc>
          <w:tcPr>
            <w:tcW w:w="1656" w:type="dxa"/>
          </w:tcPr>
          <w:p w14:paraId="6CCAAF8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1656" w:type="dxa"/>
          </w:tcPr>
          <w:p w14:paraId="36BCA0C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15/5000</w:t>
            </w:r>
          </w:p>
        </w:tc>
        <w:tc>
          <w:tcPr>
            <w:tcW w:w="1656" w:type="dxa"/>
          </w:tcPr>
          <w:p w14:paraId="7D7047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5762EBB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8F94FE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пулеметов</w:t>
            </w:r>
          </w:p>
          <w:p w14:paraId="5F7B1FE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пушка</w:t>
            </w:r>
          </w:p>
        </w:tc>
        <w:tc>
          <w:tcPr>
            <w:tcW w:w="1656" w:type="dxa"/>
          </w:tcPr>
          <w:p w14:paraId="118358E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7ED50D2" w14:textId="77777777">
        <w:tc>
          <w:tcPr>
            <w:tcW w:w="1656" w:type="dxa"/>
          </w:tcPr>
          <w:p w14:paraId="64A933F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крейсер МК1-6М34НР</w:t>
            </w:r>
          </w:p>
        </w:tc>
        <w:tc>
          <w:tcPr>
            <w:tcW w:w="1656" w:type="dxa"/>
          </w:tcPr>
          <w:p w14:paraId="4A3C48A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230/4000</w:t>
            </w:r>
          </w:p>
        </w:tc>
        <w:tc>
          <w:tcPr>
            <w:tcW w:w="1656" w:type="dxa"/>
          </w:tcPr>
          <w:p w14:paraId="05BBFD0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7E768B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750/1200</w:t>
            </w:r>
          </w:p>
        </w:tc>
        <w:tc>
          <w:tcPr>
            <w:tcW w:w="1656" w:type="dxa"/>
          </w:tcPr>
          <w:p w14:paraId="23A7EBA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3500/1800</w:t>
            </w:r>
          </w:p>
        </w:tc>
        <w:tc>
          <w:tcPr>
            <w:tcW w:w="1656" w:type="dxa"/>
          </w:tcPr>
          <w:p w14:paraId="7C09071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162D76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961F5ED" w14:textId="77777777">
        <w:tc>
          <w:tcPr>
            <w:tcW w:w="1656" w:type="dxa"/>
          </w:tcPr>
          <w:p w14:paraId="7642650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дальний разведчик МДР4-3М34НР</w:t>
            </w:r>
          </w:p>
        </w:tc>
        <w:tc>
          <w:tcPr>
            <w:tcW w:w="1656" w:type="dxa"/>
          </w:tcPr>
          <w:p w14:paraId="6C2B841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215-225/3600</w:t>
            </w:r>
          </w:p>
        </w:tc>
        <w:tc>
          <w:tcPr>
            <w:tcW w:w="1656" w:type="dxa"/>
          </w:tcPr>
          <w:p w14:paraId="5C76E3E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20/3000</w:t>
            </w:r>
          </w:p>
        </w:tc>
        <w:tc>
          <w:tcPr>
            <w:tcW w:w="1656" w:type="dxa"/>
          </w:tcPr>
          <w:p w14:paraId="58112F3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750/1250</w:t>
            </w:r>
          </w:p>
        </w:tc>
        <w:tc>
          <w:tcPr>
            <w:tcW w:w="1656" w:type="dxa"/>
          </w:tcPr>
          <w:p w14:paraId="264E24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1EE2FCA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503AF1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2C0131A" w14:textId="77777777">
        <w:tc>
          <w:tcPr>
            <w:tcW w:w="1656" w:type="dxa"/>
          </w:tcPr>
          <w:p w14:paraId="3E2471B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разведчик ЛР-М34</w:t>
            </w:r>
          </w:p>
        </w:tc>
        <w:tc>
          <w:tcPr>
            <w:tcW w:w="1656" w:type="dxa"/>
          </w:tcPr>
          <w:p w14:paraId="172C6E8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310/5000</w:t>
            </w:r>
          </w:p>
        </w:tc>
        <w:tc>
          <w:tcPr>
            <w:tcW w:w="1656" w:type="dxa"/>
          </w:tcPr>
          <w:p w14:paraId="1E99D99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13/5000</w:t>
            </w:r>
          </w:p>
        </w:tc>
        <w:tc>
          <w:tcPr>
            <w:tcW w:w="1656" w:type="dxa"/>
          </w:tcPr>
          <w:p w14:paraId="0F3E0CF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400/700</w:t>
            </w:r>
          </w:p>
        </w:tc>
        <w:tc>
          <w:tcPr>
            <w:tcW w:w="1656" w:type="dxa"/>
          </w:tcPr>
          <w:p w14:paraId="5A842AA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1B65617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Легк. и тяж. пул. </w:t>
            </w:r>
          </w:p>
        </w:tc>
        <w:tc>
          <w:tcPr>
            <w:tcW w:w="1656" w:type="dxa"/>
          </w:tcPr>
          <w:p w14:paraId="1B583A4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48BE551" w14:textId="77777777">
        <w:tc>
          <w:tcPr>
            <w:tcW w:w="1656" w:type="dxa"/>
          </w:tcPr>
          <w:p w14:paraId="3DA9A27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штурмовик ТШ3-М34</w:t>
            </w:r>
          </w:p>
        </w:tc>
        <w:tc>
          <w:tcPr>
            <w:tcW w:w="1656" w:type="dxa"/>
          </w:tcPr>
          <w:p w14:paraId="2FCA76C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1656" w:type="dxa"/>
          </w:tcPr>
          <w:p w14:paraId="053BE8C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11/3000</w:t>
            </w:r>
          </w:p>
        </w:tc>
        <w:tc>
          <w:tcPr>
            <w:tcW w:w="1656" w:type="dxa"/>
          </w:tcPr>
          <w:p w14:paraId="665D88A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2D51877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BC72E5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пулеметов</w:t>
            </w:r>
          </w:p>
        </w:tc>
        <w:tc>
          <w:tcPr>
            <w:tcW w:w="1656" w:type="dxa"/>
          </w:tcPr>
          <w:p w14:paraId="134A4D8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101FA7E" w14:textId="77777777">
        <w:tc>
          <w:tcPr>
            <w:tcW w:w="1656" w:type="dxa"/>
          </w:tcPr>
          <w:p w14:paraId="25E928A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И14 Бристоль Меркур</w:t>
            </w:r>
          </w:p>
        </w:tc>
        <w:tc>
          <w:tcPr>
            <w:tcW w:w="1656" w:type="dxa"/>
          </w:tcPr>
          <w:p w14:paraId="7CC9221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4B2D0E7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1A90C3E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3EB7174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104F3C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1656" w:type="dxa"/>
          </w:tcPr>
          <w:p w14:paraId="060821B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5F55A8" w14:textId="77777777">
        <w:tc>
          <w:tcPr>
            <w:tcW w:w="1656" w:type="dxa"/>
          </w:tcPr>
          <w:p w14:paraId="43F3702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И14 Райт-Циклон</w:t>
            </w:r>
          </w:p>
        </w:tc>
        <w:tc>
          <w:tcPr>
            <w:tcW w:w="1656" w:type="dxa"/>
          </w:tcPr>
          <w:p w14:paraId="6D22E48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6EA6229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7689544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0D72A01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173DDF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1656" w:type="dxa"/>
          </w:tcPr>
          <w:p w14:paraId="5517C14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D7954AA" w14:textId="77777777">
        <w:tc>
          <w:tcPr>
            <w:tcW w:w="1656" w:type="dxa"/>
          </w:tcPr>
          <w:p w14:paraId="6365D33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И15 Райт-Циклон</w:t>
            </w:r>
          </w:p>
        </w:tc>
        <w:tc>
          <w:tcPr>
            <w:tcW w:w="1656" w:type="dxa"/>
          </w:tcPr>
          <w:p w14:paraId="5463CB6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137E142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66D782F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74C922E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34D404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пулемета</w:t>
            </w:r>
          </w:p>
        </w:tc>
        <w:tc>
          <w:tcPr>
            <w:tcW w:w="1656" w:type="dxa"/>
          </w:tcPr>
          <w:p w14:paraId="25A7B28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001E66A" w14:textId="77777777">
        <w:tc>
          <w:tcPr>
            <w:tcW w:w="1656" w:type="dxa"/>
          </w:tcPr>
          <w:p w14:paraId="22B1D34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И15 М58</w:t>
            </w:r>
          </w:p>
        </w:tc>
        <w:tc>
          <w:tcPr>
            <w:tcW w:w="1656" w:type="dxa"/>
          </w:tcPr>
          <w:p w14:paraId="1B0221C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3BD5CB5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13E6CDD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1873163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227C11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пулемета</w:t>
            </w:r>
          </w:p>
        </w:tc>
        <w:tc>
          <w:tcPr>
            <w:tcW w:w="1656" w:type="dxa"/>
          </w:tcPr>
          <w:p w14:paraId="1A26DD3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CE6C3EA" w14:textId="77777777">
        <w:tc>
          <w:tcPr>
            <w:tcW w:w="1656" w:type="dxa"/>
          </w:tcPr>
          <w:p w14:paraId="43F1635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ближний разведчик МБР4-М34 (С62)</w:t>
            </w:r>
          </w:p>
        </w:tc>
        <w:tc>
          <w:tcPr>
            <w:tcW w:w="1656" w:type="dxa"/>
          </w:tcPr>
          <w:p w14:paraId="1E7E1ED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770C93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CE4DB0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2B4CD9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D40703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C1E2E6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2BF6BF2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097C851F" w14:textId="77777777">
        <w:tc>
          <w:tcPr>
            <w:tcW w:w="1656" w:type="dxa"/>
          </w:tcPr>
          <w:p w14:paraId="340FF82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Сухопутный крейсер СК1-2М34 (или М34)</w:t>
            </w:r>
          </w:p>
        </w:tc>
        <w:tc>
          <w:tcPr>
            <w:tcW w:w="1656" w:type="dxa"/>
          </w:tcPr>
          <w:p w14:paraId="63B0113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1656" w:type="dxa"/>
          </w:tcPr>
          <w:p w14:paraId="7490458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DC8969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600/1000</w:t>
            </w:r>
          </w:p>
        </w:tc>
        <w:tc>
          <w:tcPr>
            <w:tcW w:w="1656" w:type="dxa"/>
          </w:tcPr>
          <w:p w14:paraId="73455E5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474120B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Легк. и тяж. пул. </w:t>
            </w:r>
          </w:p>
        </w:tc>
        <w:tc>
          <w:tcPr>
            <w:tcW w:w="1656" w:type="dxa"/>
          </w:tcPr>
          <w:p w14:paraId="2892240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9A8BADC" w14:textId="77777777">
        <w:tc>
          <w:tcPr>
            <w:tcW w:w="1656" w:type="dxa"/>
          </w:tcPr>
          <w:p w14:paraId="090BBDA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Войсковой самолет ВС2-М22</w:t>
            </w:r>
          </w:p>
        </w:tc>
        <w:tc>
          <w:tcPr>
            <w:tcW w:w="1656" w:type="dxa"/>
          </w:tcPr>
          <w:p w14:paraId="227826E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250/3000</w:t>
            </w:r>
          </w:p>
        </w:tc>
        <w:tc>
          <w:tcPr>
            <w:tcW w:w="1656" w:type="dxa"/>
          </w:tcPr>
          <w:p w14:paraId="767A622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12/3000</w:t>
            </w:r>
          </w:p>
        </w:tc>
        <w:tc>
          <w:tcPr>
            <w:tcW w:w="1656" w:type="dxa"/>
          </w:tcPr>
          <w:p w14:paraId="50158A3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350/6000</w:t>
            </w:r>
          </w:p>
        </w:tc>
        <w:tc>
          <w:tcPr>
            <w:tcW w:w="1656" w:type="dxa"/>
          </w:tcPr>
          <w:p w14:paraId="6564B54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w:t>
            </w:r>
          </w:p>
        </w:tc>
        <w:tc>
          <w:tcPr>
            <w:tcW w:w="1656" w:type="dxa"/>
          </w:tcPr>
          <w:p w14:paraId="638C29D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пул.</w:t>
            </w:r>
          </w:p>
        </w:tc>
        <w:tc>
          <w:tcPr>
            <w:tcW w:w="1656" w:type="dxa"/>
          </w:tcPr>
          <w:p w14:paraId="132DA89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1934</w:t>
            </w:r>
          </w:p>
        </w:tc>
      </w:tr>
      <w:tr w:rsidR="004E10C1" w:rsidRPr="0044524F" w14:paraId="06001F90" w14:textId="77777777">
        <w:tc>
          <w:tcPr>
            <w:tcW w:w="1656" w:type="dxa"/>
          </w:tcPr>
          <w:p w14:paraId="3915714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 пушечн. истреб. ДИП-2М34 РН</w:t>
            </w:r>
          </w:p>
        </w:tc>
        <w:tc>
          <w:tcPr>
            <w:tcW w:w="1656" w:type="dxa"/>
          </w:tcPr>
          <w:p w14:paraId="06A66A3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325/5000</w:t>
            </w:r>
          </w:p>
        </w:tc>
        <w:tc>
          <w:tcPr>
            <w:tcW w:w="1656" w:type="dxa"/>
          </w:tcPr>
          <w:p w14:paraId="39464C4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15/5000</w:t>
            </w:r>
          </w:p>
        </w:tc>
        <w:tc>
          <w:tcPr>
            <w:tcW w:w="1656" w:type="dxa"/>
          </w:tcPr>
          <w:p w14:paraId="58E9EAE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w:t>
            </w:r>
          </w:p>
        </w:tc>
        <w:tc>
          <w:tcPr>
            <w:tcW w:w="1656" w:type="dxa"/>
          </w:tcPr>
          <w:p w14:paraId="20E5A45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4DD8FB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1656" w:type="dxa"/>
          </w:tcPr>
          <w:p w14:paraId="62DE521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июня 1934 </w:t>
            </w:r>
          </w:p>
        </w:tc>
      </w:tr>
      <w:tr w:rsidR="004E10C1" w:rsidRPr="0044524F" w14:paraId="7831F5F7" w14:textId="77777777">
        <w:tc>
          <w:tcPr>
            <w:tcW w:w="1656" w:type="dxa"/>
          </w:tcPr>
          <w:p w14:paraId="4DC79DA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 истреб. ДИ6 Райт-Циклон</w:t>
            </w:r>
          </w:p>
        </w:tc>
        <w:tc>
          <w:tcPr>
            <w:tcW w:w="1656" w:type="dxa"/>
          </w:tcPr>
          <w:p w14:paraId="7DF8987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375/5000</w:t>
            </w:r>
          </w:p>
        </w:tc>
        <w:tc>
          <w:tcPr>
            <w:tcW w:w="1656" w:type="dxa"/>
          </w:tcPr>
          <w:p w14:paraId="44FDE3E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9/5000</w:t>
            </w:r>
          </w:p>
        </w:tc>
        <w:tc>
          <w:tcPr>
            <w:tcW w:w="1656" w:type="dxa"/>
          </w:tcPr>
          <w:p w14:paraId="5B1DB4B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400/700</w:t>
            </w:r>
          </w:p>
        </w:tc>
        <w:tc>
          <w:tcPr>
            <w:tcW w:w="1656" w:type="dxa"/>
          </w:tcPr>
          <w:p w14:paraId="1DAAC47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3B40105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Легк. и тяж. пул. </w:t>
            </w:r>
          </w:p>
        </w:tc>
        <w:tc>
          <w:tcPr>
            <w:tcW w:w="1656" w:type="dxa"/>
          </w:tcPr>
          <w:p w14:paraId="23BF2D1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1934</w:t>
            </w:r>
          </w:p>
        </w:tc>
      </w:tr>
      <w:tr w:rsidR="004E10C1" w:rsidRPr="0044524F" w14:paraId="097C118B" w14:textId="77777777">
        <w:tc>
          <w:tcPr>
            <w:tcW w:w="1656" w:type="dxa"/>
          </w:tcPr>
          <w:p w14:paraId="2FB5F56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К7-7М34</w:t>
            </w:r>
          </w:p>
        </w:tc>
        <w:tc>
          <w:tcPr>
            <w:tcW w:w="1656" w:type="dxa"/>
          </w:tcPr>
          <w:p w14:paraId="7295114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5BC4402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2DE327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7142192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FCCC46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D97F41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августа 1933 </w:t>
            </w:r>
          </w:p>
        </w:tc>
      </w:tr>
      <w:tr w:rsidR="004E10C1" w:rsidRPr="0044524F" w14:paraId="7150FDB7" w14:textId="77777777">
        <w:tc>
          <w:tcPr>
            <w:tcW w:w="1656" w:type="dxa"/>
          </w:tcPr>
          <w:p w14:paraId="77B9A64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ТБ6</w:t>
            </w:r>
          </w:p>
        </w:tc>
        <w:tc>
          <w:tcPr>
            <w:tcW w:w="1656" w:type="dxa"/>
          </w:tcPr>
          <w:p w14:paraId="282D1F7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250/5000</w:t>
            </w:r>
          </w:p>
        </w:tc>
        <w:tc>
          <w:tcPr>
            <w:tcW w:w="1656" w:type="dxa"/>
          </w:tcPr>
          <w:p w14:paraId="661D66F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103A47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1500/2000</w:t>
            </w:r>
          </w:p>
        </w:tc>
        <w:tc>
          <w:tcPr>
            <w:tcW w:w="1656" w:type="dxa"/>
          </w:tcPr>
          <w:p w14:paraId="53C92C7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тн</w:t>
            </w:r>
          </w:p>
        </w:tc>
        <w:tc>
          <w:tcPr>
            <w:tcW w:w="1656" w:type="dxa"/>
          </w:tcPr>
          <w:p w14:paraId="67BAC24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пул. и пушки</w:t>
            </w:r>
          </w:p>
        </w:tc>
        <w:tc>
          <w:tcPr>
            <w:tcW w:w="1656" w:type="dxa"/>
          </w:tcPr>
          <w:p w14:paraId="02BB950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1935</w:t>
            </w:r>
          </w:p>
        </w:tc>
      </w:tr>
      <w:tr w:rsidR="004E10C1" w:rsidRPr="0044524F" w14:paraId="3C2E3F13" w14:textId="77777777">
        <w:tc>
          <w:tcPr>
            <w:tcW w:w="1656" w:type="dxa"/>
          </w:tcPr>
          <w:p w14:paraId="4B223CF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Скоростн. разведчик СР1-М58</w:t>
            </w:r>
          </w:p>
        </w:tc>
        <w:tc>
          <w:tcPr>
            <w:tcW w:w="1656" w:type="dxa"/>
          </w:tcPr>
          <w:p w14:paraId="7B896DE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425/4000</w:t>
            </w:r>
          </w:p>
        </w:tc>
        <w:tc>
          <w:tcPr>
            <w:tcW w:w="1656" w:type="dxa"/>
          </w:tcPr>
          <w:p w14:paraId="624AFEA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12/4000</w:t>
            </w:r>
          </w:p>
        </w:tc>
        <w:tc>
          <w:tcPr>
            <w:tcW w:w="1656" w:type="dxa"/>
          </w:tcPr>
          <w:p w14:paraId="721839B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2669F9C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AA0A71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0377FC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6 месяцев после получения мотора</w:t>
            </w:r>
          </w:p>
        </w:tc>
      </w:tr>
      <w:tr w:rsidR="004E10C1" w:rsidRPr="0044524F" w14:paraId="3C95CEC4" w14:textId="77777777">
        <w:tc>
          <w:tcPr>
            <w:tcW w:w="1656" w:type="dxa"/>
          </w:tcPr>
          <w:p w14:paraId="55369BC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Стратосферный с-т</w:t>
            </w:r>
          </w:p>
        </w:tc>
        <w:tc>
          <w:tcPr>
            <w:tcW w:w="1656" w:type="dxa"/>
          </w:tcPr>
          <w:p w14:paraId="2B04413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D46E63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3F9F8B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7C825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45B495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D18D44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r>
      <w:tr w:rsidR="004E10C1" w:rsidRPr="0044524F" w14:paraId="6C919960" w14:textId="77777777">
        <w:tc>
          <w:tcPr>
            <w:tcW w:w="1656" w:type="dxa"/>
          </w:tcPr>
          <w:p w14:paraId="5A29F69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Летающее крыло</w:t>
            </w:r>
          </w:p>
        </w:tc>
        <w:tc>
          <w:tcPr>
            <w:tcW w:w="1656" w:type="dxa"/>
          </w:tcPr>
          <w:p w14:paraId="16E6D4D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07FA32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BA2FCB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6C5C16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B98C2B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E71BDF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r>
      <w:tr w:rsidR="004E10C1" w:rsidRPr="0044524F" w14:paraId="0960EDA8" w14:textId="77777777">
        <w:tc>
          <w:tcPr>
            <w:tcW w:w="1656" w:type="dxa"/>
          </w:tcPr>
          <w:p w14:paraId="28B5E06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Разрезное крыло сист. Кричевского</w:t>
            </w:r>
          </w:p>
        </w:tc>
        <w:tc>
          <w:tcPr>
            <w:tcW w:w="1656" w:type="dxa"/>
          </w:tcPr>
          <w:p w14:paraId="646E91E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0DF430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01A1DC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4F65AA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9FF9BF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E0ED07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618F23AF" w14:textId="77777777">
        <w:tc>
          <w:tcPr>
            <w:tcW w:w="1656" w:type="dxa"/>
          </w:tcPr>
          <w:p w14:paraId="6689F9E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ВГ2</w:t>
            </w:r>
          </w:p>
        </w:tc>
        <w:tc>
          <w:tcPr>
            <w:tcW w:w="1656" w:type="dxa"/>
          </w:tcPr>
          <w:p w14:paraId="5644214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EBC7F6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0703C2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CC084A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0AEB8E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9F7C6B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30 июля 1933 </w:t>
            </w:r>
          </w:p>
        </w:tc>
      </w:tr>
      <w:tr w:rsidR="004E10C1" w:rsidRPr="0044524F" w14:paraId="1B3574C0" w14:textId="77777777">
        <w:tc>
          <w:tcPr>
            <w:tcW w:w="1656" w:type="dxa"/>
          </w:tcPr>
          <w:p w14:paraId="4B58DC2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М-22</w:t>
            </w:r>
          </w:p>
        </w:tc>
        <w:tc>
          <w:tcPr>
            <w:tcW w:w="1656" w:type="dxa"/>
          </w:tcPr>
          <w:p w14:paraId="2B03578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A41C43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8103FB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26997B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7ED21F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F3CD14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1A6EE144" w14:textId="77777777">
        <w:tc>
          <w:tcPr>
            <w:tcW w:w="1656" w:type="dxa"/>
          </w:tcPr>
          <w:p w14:paraId="6CCCA91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самолет У3-М48</w:t>
            </w:r>
          </w:p>
        </w:tc>
        <w:tc>
          <w:tcPr>
            <w:tcW w:w="1656" w:type="dxa"/>
          </w:tcPr>
          <w:p w14:paraId="027EB75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180/1000</w:t>
            </w:r>
          </w:p>
        </w:tc>
        <w:tc>
          <w:tcPr>
            <w:tcW w:w="1656" w:type="dxa"/>
          </w:tcPr>
          <w:p w14:paraId="524B2C2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8E91DC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c>
          <w:tcPr>
            <w:tcW w:w="1656" w:type="dxa"/>
          </w:tcPr>
          <w:p w14:paraId="1228045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43BDF3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7EF17C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w:t>
            </w:r>
          </w:p>
        </w:tc>
      </w:tr>
    </w:tbl>
    <w:p w14:paraId="2AC4B03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56A9F96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51D1340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61C54A4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В связи с необходимостью значительного увеличения радиусов действия нашей авиации, зависящих в основном от безотказности и надежности работы моторов, считать главнейшим требованием ко всем перечисленным выше моторам их надежную и безотказную работу (без замены каких-бы то ни было деталей) не менее 200 часов между переборками, а для М-34 однорядного и М48 не менее 300 часов.</w:t>
      </w:r>
    </w:p>
    <w:p w14:paraId="68BE806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6F517CC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уменьшения мертвого веса конструкции, причем для бомбардировочных самолетов мертвый вес конструкции должен составлять не более 50% нормального полетного веса;</w:t>
      </w:r>
    </w:p>
    <w:p w14:paraId="242D04C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увеличения обтекаемости в целях увеличения горизонтальной скорости и</w:t>
      </w:r>
    </w:p>
    <w:p w14:paraId="6E1D5DD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четырех.</w:t>
      </w:r>
    </w:p>
    <w:p w14:paraId="77A71F7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Сверх указанного плана обязать ГУАП построить эталон ТБ4 для серийного производства. Алкснису и Баранову установить технические требования для этого самолета и срок предъявления его на гос. испытания.</w:t>
      </w:r>
    </w:p>
    <w:p w14:paraId="616EB7A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Возложить персональную ответственность за выполнение утвержденного плана опытного строительства в обусловленные сроки на начальника ГУАП Баранова, а по мотору Н5 – на начальника техотдела ЭКУ ОГПУ Горянова.</w:t>
      </w:r>
    </w:p>
    <w:p w14:paraId="6F87532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Обязать ГУАП под личную ответственность Баранова форсировать изготовление и испытание невыключающегося нагнетателя для мотора М-34 в ЦИАМе и немедленно приступить к подготовке серийного производства нагнетателей и редукторов к этому мотору с таким расчетом, чтобы с 1 октября 1933 года выпускать мотор М34 с редуктором, а с 1 января 1934 года с нагнетателем в качестве, потребном НКВМ.</w:t>
      </w:r>
    </w:p>
    <w:p w14:paraId="358E242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 целях своевременной постройки опытных образцов самолетов под мотор «Райт-Циклон» и мотор «Кертисс» типа - 1800 и внедрения этих типов в серийное производство ко времени выпуска на советских заводах моторов «Райт-Циклон» и «Кертисс» по лицензии, закупить немедленно 30 моторов «Райт-Циклон» и 20 моторов «Кертисс». –1800 с необходимым количеством запчастей и инструментов.</w:t>
      </w:r>
    </w:p>
    <w:p w14:paraId="290E11D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Реализацию покупки моторов возложить на НКТП с отпуском для этой цели необходимых средств в инвалюте из резервного фонда Совнаркома.</w:t>
      </w:r>
    </w:p>
    <w:p w14:paraId="1BCF098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Начальнику ГУАП Баранову принять все меры к использованию техпомощи фирмы «Райт-Кертисс» и по подготовке производства моторов «Райт-Циклон» и «Кертисс» -1800 в обусловленные договором сроки.</w:t>
      </w:r>
    </w:p>
    <w:p w14:paraId="70AD17C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реализации договора на техпомощь на моторы «Райт-Циклон» и «Кертисс» , хода подготовки производства указанных моторов на советских заводах и заключении договора на поставку 50 моторов (30 моторов «Райт-Циклон» и 20 «Кертисс») и о реализации этого договора Баранову и Алкснису ежеквартально докладывать НКТП Орджоникидзе и НКВМ Ворошилову.</w:t>
      </w:r>
    </w:p>
    <w:p w14:paraId="3B76B6D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Предложить Баранову ознакомиться с работами группы Проскура-Майзель в Харьковском институте Промэнергетики на предмет ее выделения в самостоятельное научно-исследовательское и опытное бюро по конструированию и постройке нагнетателей для авиамоторов.</w:t>
      </w:r>
    </w:p>
    <w:p w14:paraId="545125C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Свои конкретные предложения, согласованные с начальником ВВС, доложить КО в месячный срок.</w:t>
      </w:r>
    </w:p>
    <w:p w14:paraId="48223A2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В целях ………………………….. обязать НКАП под персональную ответственность Баранова организовать на одном из незамерзающих морей мощное КБ по созданию новых типов самолетов.</w:t>
      </w:r>
    </w:p>
    <w:p w14:paraId="641E9AC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Баранову, Алкснису и Орлову в двухмесячный срок ………….. по этому вопросу в КО конкретные, согласованные предложения.</w:t>
      </w:r>
    </w:p>
    <w:p w14:paraId="05239FC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Впредь до перевода КБ по опытному гидросамолетостроению на одно из незамерзающих морей обязать Баранова, выделить внутри ЦАГИ и 39 завода всех конструкторов по гидросамолетостроению в самостоятельные конструкторские бюро, с непосредственным подчинением главных конструкторов начальнику ЦАГИ и директору завода № 39 по принадлежности.</w:t>
      </w:r>
    </w:p>
    <w:p w14:paraId="42B4671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Начальнику ГУАП принять все меры к окончанию организации и усилению конструкторских бюро на серийных заводах для усовершенствования и модернизации самолетов и моторов.</w:t>
      </w:r>
    </w:p>
    <w:p w14:paraId="1DE384C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11-а. Обязать начальника ГУАП Баранова образовать специальное КБ с придачей ему 25-го авиазавода во главе с директором Фрадкиным, главным артиллерийским инженером Курчевским и главным авиаинженером Григоровичем. Откомандировать в состав этого КБ Петрова (ОГПУ), Агокаса (ГУАП) и Козлова (ВВА по совместительству). Задачей КБ поставить постройку мощного артиллерийского самолета.</w:t>
      </w:r>
    </w:p>
    <w:p w14:paraId="3C6941D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Возложить на начальника ГУАП Баранова подготовку производства в 1934 году стандартного типа ТБ3 и АНТ-14 ………….. бомбардировщика и тяжелого штурмовика, приспособленных для почтовой и пассажирской эксплоатации ГВФ.</w:t>
      </w:r>
    </w:p>
    <w:p w14:paraId="2D10ECB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Обязать начальника ГУАП Баранова внедрить в серийное производство скоростной пассажирский самолет ХАИ с 1 января 1934 года ……………………….</w:t>
      </w:r>
    </w:p>
    <w:p w14:paraId="7D56071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Обязать ГУАП обеспечить предъявление на гос. испытание окончательного образца турели под пулемет «ШКАС» к 25 августа 1933 года; самолетной установки для крупнокалиберного пулемета «ШВАК» к 15 октября 1933 года; установки для 20 мм автоматической пушки – 1 октября 1933 года; установки для 37 мм автоматической пушки к 1 января 1934 года и в течение 1933 года закончить разработку бомбовых блоков со свободной подвеской бомб, оборудуя впредь все новые самолеты этими типами балок.</w:t>
      </w:r>
    </w:p>
    <w:p w14:paraId="685BCD2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Обязать начальника ГУГВФ Гольцмана, самовольно прекратившего работу по плану опытного строительства ВВС, утвержденного КО от 4 июля 1932 года, в части, касающейся ГУГВФ в декадный срок представить новые сроки предъявления этих опытных самолетов на гос. испытание, согласованные с начальником ВВС.</w:t>
      </w:r>
    </w:p>
    <w:p w14:paraId="24DB626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КО Молотов-Скрябин) (4223, 9-12).</w:t>
      </w:r>
    </w:p>
    <w:p w14:paraId="0F5B23E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367DDD0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августа 1933 г. Начальник НИИ ВВС Зильберт утвердил Отчет об испытаниях турельных авиационных пулеметов калибра 7,62 мм ШКАС-МК-1933 г. за NN 114, 116, 156 и 160</w:t>
      </w:r>
    </w:p>
    <w:p w14:paraId="1595AD5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Испытуемые образцы изготовлены отделом опытных работ Тульского оружейного завода.</w:t>
      </w:r>
    </w:p>
    <w:p w14:paraId="2A279AE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составлен конструкторами Шпитальным и Комарицким.</w:t>
      </w:r>
    </w:p>
    <w:p w14:paraId="4C6D6D0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началось 8 июля 1933 года</w:t>
      </w:r>
    </w:p>
    <w:p w14:paraId="1CFC5D5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закончено 28 июля 1933 года.</w:t>
      </w:r>
    </w:p>
    <w:p w14:paraId="18969EF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полете образцы испытаны на самолете Р-5.</w:t>
      </w:r>
    </w:p>
    <w:p w14:paraId="655E207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Уроничев К.А.</w:t>
      </w:r>
    </w:p>
    <w:p w14:paraId="67100C7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6DBACA2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отправить в Отдел опытных работ ТОЗ"а для доработки (3053).</w:t>
      </w:r>
    </w:p>
    <w:p w14:paraId="31EB333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EE84B06" w14:textId="77777777" w:rsidR="00BD04CA" w:rsidRPr="0044524F" w:rsidRDefault="00BD04C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августа 1933 в 4.28 дирижабль «СССР В-1» вылетел на Мо</w:t>
      </w:r>
      <w:r w:rsidRPr="0044524F">
        <w:rPr>
          <w:rFonts w:ascii="Times New Roman" w:hAnsi="Times New Roman"/>
          <w:color w:val="000000" w:themeColor="text1"/>
          <w:sz w:val="16"/>
          <w:szCs w:val="16"/>
        </w:rPr>
        <w:softHyphen/>
        <w:t>скву. В ходе перелёта «СССР В-1» пробыл в воз</w:t>
      </w:r>
      <w:r w:rsidRPr="0044524F">
        <w:rPr>
          <w:rFonts w:ascii="Times New Roman" w:hAnsi="Times New Roman"/>
          <w:color w:val="000000" w:themeColor="text1"/>
          <w:sz w:val="16"/>
          <w:szCs w:val="16"/>
        </w:rPr>
        <w:softHyphen/>
        <w:t>духе в общей сложности 68 ч 17 мин, его экипаж получил практику полётов над морем, пере</w:t>
      </w:r>
      <w:r w:rsidRPr="0044524F">
        <w:rPr>
          <w:rFonts w:ascii="Times New Roman" w:hAnsi="Times New Roman"/>
          <w:color w:val="000000" w:themeColor="text1"/>
          <w:sz w:val="16"/>
          <w:szCs w:val="16"/>
        </w:rPr>
        <w:softHyphen/>
        <w:t>сечённой местностью, в тумане, по компасному курсу без ориентиров. В районе Курской маг</w:t>
      </w:r>
      <w:r w:rsidRPr="0044524F">
        <w:rPr>
          <w:rFonts w:ascii="Times New Roman" w:hAnsi="Times New Roman"/>
          <w:color w:val="000000" w:themeColor="text1"/>
          <w:sz w:val="16"/>
          <w:szCs w:val="16"/>
        </w:rPr>
        <w:softHyphen/>
        <w:t>нитной аномалии наблюдались колебания стрел</w:t>
      </w:r>
      <w:r w:rsidRPr="0044524F">
        <w:rPr>
          <w:rFonts w:ascii="Times New Roman" w:hAnsi="Times New Roman"/>
          <w:color w:val="000000" w:themeColor="text1"/>
          <w:sz w:val="16"/>
          <w:szCs w:val="16"/>
        </w:rPr>
        <w:softHyphen/>
        <w:t>ки компаса, доходившие до 20-30° (20120).</w:t>
      </w:r>
    </w:p>
    <w:p w14:paraId="30931B0B" w14:textId="77777777" w:rsidR="00BD04CA" w:rsidRPr="0044524F" w:rsidRDefault="00BD04CA" w:rsidP="009654CF">
      <w:pPr>
        <w:spacing w:after="0" w:line="240" w:lineRule="auto"/>
        <w:jc w:val="both"/>
        <w:rPr>
          <w:rFonts w:ascii="Times New Roman" w:hAnsi="Times New Roman"/>
          <w:color w:val="000000" w:themeColor="text1"/>
          <w:sz w:val="16"/>
          <w:szCs w:val="16"/>
        </w:rPr>
      </w:pPr>
    </w:p>
    <w:p w14:paraId="271852B2"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B29335B"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6A408D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августа 1933 года на НИАП прибыл опытный образец 100-мм зенитной пушки для ГАУ (Б-14С), который был изготовлен первым. Для испытаний Б-14 на НИАП было доставлено 549 лафето-пробных снарядов чертежа 4472 и 200 стержневых шрапнелей чертежа 4765 (3861).</w:t>
      </w:r>
    </w:p>
    <w:p w14:paraId="7DF417C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8CBA620"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августа 1933 года на НИАП прибыл опытный образец 102 мм зенитной пушки длиной в 45 калибров завода «Большевик» Б-14С.</w:t>
      </w:r>
    </w:p>
    <w:p w14:paraId="57B0DE42"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Первая стрельба была проведена 7 сентября 1933 года.</w:t>
      </w:r>
    </w:p>
    <w:p w14:paraId="374B7281"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двух выстрелов 7 и 8 сентября 1933 года снарядом чертежа 4765 весом 15,4 кг (заряд 1/2 и 3/4 нормальных) произошло повреждение буферных деталей между казенником и дном люльки вследствие резких откатов. Расчетная длина отката составляла 680 мм, а было 200-250 мм. После ремонта давление в накатнике снизили, и 14-15 сентября 1933 г. испытания продолжились.</w:t>
      </w:r>
    </w:p>
    <w:p w14:paraId="6474813F"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Работа досылателя и полуавтоматики не была отлажена. Противооткатные устройства работали неудовлетворительно, по-прежнему происходил резкий накат. До 20 сентября 1933 года система разбиралась заводом на НИАПе с целью исправления выявленных недостатков. Кроме того, на системы поставили прицел от 3К.</w:t>
      </w:r>
    </w:p>
    <w:p w14:paraId="648F4B8A"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Затем заводские испытания возобновились, и с 20 ноября по 15 декабря 1933 года было сделано 13 выстрелов (всего с начала испытаний 25) лафетопробным снарядом чертежа 4472 весом 15,6 кг. При этом были получены: начальная скорость – 875-882 м/с и длина отката 570-620 мм.</w:t>
      </w:r>
    </w:p>
    <w:p w14:paraId="6851DE6C"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испытаниях подъемный механизм сдавал при угле возвышения 0° на 13°-16° и при угле +45° – +60° на 5°-7°.</w:t>
      </w:r>
    </w:p>
    <w:p w14:paraId="27CEC7A7"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Вновь отмечалась плохая работа полуавтоматики и противооткатных устройств.</w:t>
      </w:r>
    </w:p>
    <w:p w14:paraId="42CE1328"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Досылатель переделывали два раза, но удовлетворительной его работы достигнуть так и не удалось.</w:t>
      </w:r>
    </w:p>
    <w:p w14:paraId="76C1B5ED" w14:textId="77777777" w:rsidR="006F1C62" w:rsidRPr="00142305" w:rsidRDefault="006F1C62" w:rsidP="006F1C6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этих испытаний Б-14 была отправлена на завод «Большевик» для исправления дефектов (25417).</w:t>
      </w:r>
    </w:p>
    <w:p w14:paraId="006D417C" w14:textId="77777777" w:rsidR="006F1C62" w:rsidRPr="00142305" w:rsidRDefault="006F1C62" w:rsidP="006F1C62">
      <w:pPr>
        <w:spacing w:after="0" w:line="240" w:lineRule="auto"/>
        <w:jc w:val="both"/>
        <w:rPr>
          <w:rFonts w:ascii="Times New Roman" w:hAnsi="Times New Roman"/>
          <w:color w:val="0070C0"/>
          <w:sz w:val="16"/>
          <w:szCs w:val="16"/>
        </w:rPr>
      </w:pPr>
    </w:p>
    <w:p w14:paraId="1840971E" w14:textId="77777777" w:rsidR="00D142A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0F2165F" w14:textId="77777777" w:rsidR="00D142A2" w:rsidRPr="0044524F" w:rsidRDefault="00D142A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250DE07" w14:textId="10AAE3BB" w:rsidR="00D142A2" w:rsidRPr="0044524F" w:rsidRDefault="00D142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27 августа </w:t>
      </w:r>
      <w:r w:rsidRPr="0044524F">
        <w:rPr>
          <w:rStyle w:val="ucoz-forum-post"/>
          <w:rFonts w:ascii="Times New Roman" w:eastAsiaTheme="majorEastAsia" w:hAnsi="Times New Roman"/>
          <w:color w:val="000000" w:themeColor="text1"/>
          <w:sz w:val="16"/>
          <w:szCs w:val="16"/>
        </w:rPr>
        <w:t>1933. Состоялся первый полет истребителя И-12 (АНТ-23), И.Ф.Козлов</w:t>
      </w:r>
      <w:r w:rsidR="0088747B">
        <w:rPr>
          <w:rStyle w:val="ucoz-forum-post"/>
          <w:rFonts w:ascii="Times New Roman" w:eastAsiaTheme="majorEastAsia" w:hAnsi="Times New Roman"/>
          <w:color w:val="000000" w:themeColor="text1"/>
          <w:sz w:val="16"/>
          <w:szCs w:val="16"/>
        </w:rPr>
        <w:t xml:space="preserve"> </w:t>
      </w:r>
      <w:r w:rsidRPr="0044524F">
        <w:rPr>
          <w:rStyle w:val="ucoz-forum-post"/>
          <w:rFonts w:ascii="Times New Roman" w:eastAsiaTheme="majorEastAsia" w:hAnsi="Times New Roman"/>
          <w:color w:val="000000" w:themeColor="text1"/>
          <w:sz w:val="16"/>
          <w:szCs w:val="16"/>
        </w:rPr>
        <w:t>(14751).</w:t>
      </w:r>
    </w:p>
    <w:p w14:paraId="53629021" w14:textId="77777777" w:rsidR="00D142A2" w:rsidRPr="0044524F" w:rsidRDefault="00D142A2" w:rsidP="009654CF">
      <w:pPr>
        <w:spacing w:after="0" w:line="240" w:lineRule="auto"/>
        <w:jc w:val="both"/>
        <w:rPr>
          <w:rFonts w:ascii="Times New Roman" w:hAnsi="Times New Roman"/>
          <w:color w:val="000000" w:themeColor="text1"/>
          <w:sz w:val="16"/>
          <w:szCs w:val="16"/>
        </w:rPr>
      </w:pPr>
    </w:p>
    <w:p w14:paraId="07402246"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26F9A91"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E897CE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27 августа 1934 г. Мытищинским заводом было подготовлено два опытных вагона, которые были направлены на завод «Динамо», где было смонтировано электротехническое оборудование и аппаратура. Там же вагоны были опробованы, прошли обкатку и 14 октября 1934 г. были отправлены на метрополитен. 15 октября первая секция прибыла в депо «Северное». Первый вагон был опробован со скоростью около 25 км/ч с пассажирами, которыми были работники заводов-изготовителей Мытищинского машиностроительного, Московского тормозного и завода «Динамо». Среди первых пассажиров были также специалисты метростроя. Первые вагоны получили названия «ММ-1 моторный» и «МП-1001 прицепной» типа «А». </w:t>
      </w:r>
    </w:p>
    <w:p w14:paraId="0B8A582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дню открытия VII съезда Советов 25 января 1935 г.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w:t>
      </w:r>
    </w:p>
    <w:p w14:paraId="5565AC8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(электротормоз был внедрен позднее). Недостаточна была и электрическая защита от токов перегрузки и коротких замыканий (11613).</w:t>
      </w:r>
    </w:p>
    <w:p w14:paraId="3897E23A"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CE8D3C"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00CF92F"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D2AB46C" w14:textId="77777777" w:rsidR="00BD04CA" w:rsidRPr="0044524F" w:rsidRDefault="00BD04CA" w:rsidP="009654CF">
      <w:pPr>
        <w:spacing w:after="0" w:line="240" w:lineRule="auto"/>
        <w:jc w:val="both"/>
        <w:rPr>
          <w:rFonts w:ascii="Times New Roman" w:hAnsi="Times New Roman"/>
          <w:color w:val="000000" w:themeColor="text1"/>
          <w:sz w:val="16"/>
          <w:szCs w:val="16"/>
          <w:lang w:bidi="en-US"/>
        </w:rPr>
      </w:pPr>
      <w:r w:rsidRPr="0044524F">
        <w:rPr>
          <w:rFonts w:ascii="Times New Roman" w:hAnsi="Times New Roman"/>
          <w:color w:val="000000" w:themeColor="text1"/>
          <w:sz w:val="16"/>
          <w:szCs w:val="16"/>
          <w:lang w:eastAsia="ru-RU" w:bidi="ru-RU"/>
        </w:rPr>
        <w:t xml:space="preserve">28 августа 1933 г. самолет Сталь-2 Известия с Фарихом и Шекуровым потерпел аварию около станции Межевая под Днепропетровском. На маршруте Сталино-Днепропетровск самолет попал в туман, 20 минут шел выше, затем Фарих решил вернуться, а далее совершить посадку. При выполнении посадки бежал около 180 метров, в какой-то момент разъединилась правая амортстойка и самолет потерпел аварию. Указывалось, что </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 xml:space="preserve">800 </w:t>
      </w:r>
      <w:r w:rsidRPr="0044524F">
        <w:rPr>
          <w:rFonts w:ascii="Times New Roman" w:hAnsi="Times New Roman"/>
          <w:color w:val="000000" w:themeColor="text1"/>
          <w:sz w:val="16"/>
          <w:szCs w:val="16"/>
          <w:lang w:eastAsia="ru-RU" w:bidi="ru-RU"/>
        </w:rPr>
        <w:t>требуется капи</w:t>
      </w:r>
      <w:r w:rsidRPr="0044524F">
        <w:rPr>
          <w:rFonts w:ascii="Times New Roman" w:hAnsi="Times New Roman"/>
          <w:color w:val="000000" w:themeColor="text1"/>
          <w:sz w:val="16"/>
          <w:szCs w:val="16"/>
          <w:lang w:eastAsia="ru-RU" w:bidi="ru-RU"/>
        </w:rPr>
        <w:softHyphen/>
        <w:t xml:space="preserve">тальный ремонт. Дальнейшая судьба самолета </w:t>
      </w:r>
      <w:r w:rsidRPr="0044524F">
        <w:rPr>
          <w:rFonts w:ascii="Times New Roman" w:hAnsi="Times New Roman"/>
          <w:color w:val="000000" w:themeColor="text1"/>
          <w:sz w:val="16"/>
          <w:szCs w:val="16"/>
          <w:lang w:val="en-US" w:bidi="en-US"/>
        </w:rPr>
        <w:t>URSS</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 xml:space="preserve">800 </w:t>
      </w:r>
      <w:r w:rsidRPr="0044524F">
        <w:rPr>
          <w:rFonts w:ascii="Times New Roman" w:hAnsi="Times New Roman"/>
          <w:color w:val="000000" w:themeColor="text1"/>
          <w:sz w:val="16"/>
          <w:szCs w:val="16"/>
          <w:lang w:eastAsia="ru-RU" w:bidi="ru-RU"/>
        </w:rPr>
        <w:t>не определена. Дополнительно, тем же летом 1933 года со</w:t>
      </w:r>
      <w:r w:rsidRPr="0044524F">
        <w:rPr>
          <w:rFonts w:ascii="Times New Roman" w:hAnsi="Times New Roman"/>
          <w:color w:val="000000" w:themeColor="text1"/>
          <w:sz w:val="16"/>
          <w:szCs w:val="16"/>
          <w:lang w:eastAsia="ru-RU" w:bidi="ru-RU"/>
        </w:rPr>
        <w:softHyphen/>
        <w:t xml:space="preserve">общалось, что </w:t>
      </w:r>
      <w:r w:rsidRPr="0044524F">
        <w:rPr>
          <w:rFonts w:ascii="Times New Roman" w:hAnsi="Times New Roman"/>
          <w:color w:val="000000" w:themeColor="text1"/>
          <w:sz w:val="16"/>
          <w:szCs w:val="16"/>
          <w:lang w:val="en-US" w:bidi="en-US"/>
        </w:rPr>
        <w:t>URSS</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 xml:space="preserve">800 </w:t>
      </w:r>
      <w:r w:rsidRPr="0044524F">
        <w:rPr>
          <w:rFonts w:ascii="Times New Roman" w:hAnsi="Times New Roman"/>
          <w:color w:val="000000" w:themeColor="text1"/>
          <w:sz w:val="16"/>
          <w:szCs w:val="16"/>
          <w:lang w:eastAsia="ru-RU" w:bidi="ru-RU"/>
        </w:rPr>
        <w:t xml:space="preserve">заменили на другой самолет - «лучший». Возможно, это был тот самый </w:t>
      </w:r>
      <w:r w:rsidRPr="0044524F">
        <w:rPr>
          <w:rFonts w:ascii="Times New Roman" w:hAnsi="Times New Roman"/>
          <w:color w:val="000000" w:themeColor="text1"/>
          <w:sz w:val="16"/>
          <w:szCs w:val="16"/>
          <w:lang w:val="en-US" w:bidi="en-US"/>
        </w:rPr>
        <w:t>CCCP</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 xml:space="preserve">1003. </w:t>
      </w:r>
      <w:r w:rsidRPr="0044524F">
        <w:rPr>
          <w:rFonts w:ascii="Times New Roman" w:hAnsi="Times New Roman"/>
          <w:color w:val="000000" w:themeColor="text1"/>
          <w:sz w:val="16"/>
          <w:szCs w:val="16"/>
          <w:lang w:eastAsia="ru-RU" w:bidi="ru-RU"/>
        </w:rPr>
        <w:t xml:space="preserve">В 1934 году в состав эскадрильи им. Горького вошел Сталь-2 </w:t>
      </w:r>
      <w:r w:rsidRPr="0044524F">
        <w:rPr>
          <w:rFonts w:ascii="Times New Roman" w:hAnsi="Times New Roman"/>
          <w:color w:val="000000" w:themeColor="text1"/>
          <w:sz w:val="16"/>
          <w:szCs w:val="16"/>
          <w:lang w:val="en-US" w:bidi="en-US"/>
        </w:rPr>
        <w:t>CCCP</w:t>
      </w:r>
      <w:r w:rsidRPr="0044524F">
        <w:rPr>
          <w:rFonts w:ascii="Times New Roman" w:hAnsi="Times New Roman"/>
          <w:color w:val="000000" w:themeColor="text1"/>
          <w:sz w:val="16"/>
          <w:szCs w:val="16"/>
          <w:lang w:bidi="en-US"/>
        </w:rPr>
        <w:t>-</w:t>
      </w:r>
      <w:r w:rsidRPr="0044524F">
        <w:rPr>
          <w:rFonts w:ascii="Times New Roman" w:hAnsi="Times New Roman"/>
          <w:color w:val="000000" w:themeColor="text1"/>
          <w:sz w:val="16"/>
          <w:szCs w:val="16"/>
          <w:lang w:val="en-US" w:bidi="en-US"/>
        </w:rPr>
        <w:t>N</w:t>
      </w:r>
      <w:r w:rsidRPr="0044524F">
        <w:rPr>
          <w:rFonts w:ascii="Times New Roman" w:hAnsi="Times New Roman"/>
          <w:color w:val="000000" w:themeColor="text1"/>
          <w:sz w:val="16"/>
          <w:szCs w:val="16"/>
          <w:lang w:bidi="en-US"/>
        </w:rPr>
        <w:t>1146 (20365).</w:t>
      </w:r>
    </w:p>
    <w:p w14:paraId="7A58790F" w14:textId="77777777" w:rsidR="00BD04CA" w:rsidRPr="0044524F" w:rsidRDefault="00BD04CA" w:rsidP="009654CF">
      <w:pPr>
        <w:spacing w:after="0" w:line="240" w:lineRule="auto"/>
        <w:jc w:val="both"/>
        <w:rPr>
          <w:rFonts w:ascii="Times New Roman" w:hAnsi="Times New Roman"/>
          <w:color w:val="000000" w:themeColor="text1"/>
          <w:sz w:val="16"/>
          <w:szCs w:val="16"/>
        </w:rPr>
      </w:pPr>
    </w:p>
    <w:p w14:paraId="1CC0575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w:t>
      </w:r>
      <w:r w:rsidRPr="0044524F">
        <w:rPr>
          <w:rFonts w:ascii="Times New Roman" w:hAnsi="Times New Roman"/>
          <w:color w:val="000000" w:themeColor="text1"/>
          <w:sz w:val="16"/>
          <w:szCs w:val="16"/>
        </w:rPr>
        <w:softHyphen/>
        <w:t>ста 1933 г. датировалось начало проектирования нового самолета, получившего название «Дальний арктический разведчик» (ДАР), со</w:t>
      </w:r>
      <w:r w:rsidRPr="0044524F">
        <w:rPr>
          <w:rFonts w:ascii="Times New Roman" w:hAnsi="Times New Roman"/>
          <w:color w:val="000000" w:themeColor="text1"/>
          <w:sz w:val="16"/>
          <w:szCs w:val="16"/>
        </w:rPr>
        <w:softHyphen/>
        <w:t>гласно планам НИИ ГВФ, а окончание работ - 20 мая 1934 г.</w:t>
      </w:r>
    </w:p>
    <w:p w14:paraId="19E47C1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ДАР должна была производиться на Заводе опытных конструкций (ЗОК) НИИ ГВФ и на судостроительном заводе в Ленин</w:t>
      </w:r>
      <w:r w:rsidRPr="0044524F">
        <w:rPr>
          <w:rFonts w:ascii="Times New Roman" w:hAnsi="Times New Roman"/>
          <w:color w:val="000000" w:themeColor="text1"/>
          <w:sz w:val="16"/>
          <w:szCs w:val="16"/>
        </w:rPr>
        <w:softHyphen/>
        <w:t>граде.</w:t>
      </w:r>
    </w:p>
    <w:p w14:paraId="6D78D75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Взяв за исходный образец летающую лодку Дорнье «Валь», Бартини оставил все ее неоспоримые достоинства - верхнее распо</w:t>
      </w:r>
      <w:r w:rsidRPr="0044524F">
        <w:rPr>
          <w:rFonts w:ascii="Times New Roman" w:hAnsi="Times New Roman"/>
          <w:color w:val="000000" w:themeColor="text1"/>
          <w:sz w:val="16"/>
          <w:szCs w:val="16"/>
        </w:rPr>
        <w:softHyphen/>
        <w:t>ложение крыла, установленные вдоль про</w:t>
      </w:r>
      <w:r w:rsidRPr="0044524F">
        <w:rPr>
          <w:rFonts w:ascii="Times New Roman" w:hAnsi="Times New Roman"/>
          <w:color w:val="000000" w:themeColor="text1"/>
          <w:sz w:val="16"/>
          <w:szCs w:val="16"/>
        </w:rPr>
        <w:softHyphen/>
        <w:t>дольной оси два двигателя, плоское днище фюзеляжа и боковые жабры остойчивости (жабры практически сразу оснастили допол</w:t>
      </w:r>
      <w:r w:rsidRPr="0044524F">
        <w:rPr>
          <w:rFonts w:ascii="Times New Roman" w:hAnsi="Times New Roman"/>
          <w:color w:val="000000" w:themeColor="text1"/>
          <w:sz w:val="16"/>
          <w:szCs w:val="16"/>
        </w:rPr>
        <w:softHyphen/>
        <w:t>нительными поплавками). Одновременно конструктор предложил ряд оригинальных и смелых идей, способных в значительной сте</w:t>
      </w:r>
      <w:r w:rsidRPr="0044524F">
        <w:rPr>
          <w:rFonts w:ascii="Times New Roman" w:hAnsi="Times New Roman"/>
          <w:color w:val="000000" w:themeColor="text1"/>
          <w:sz w:val="16"/>
          <w:szCs w:val="16"/>
        </w:rPr>
        <w:softHyphen/>
        <w:t>пени усилить эффективность гидросамолета. Первым делом он проработал особую схему крыла, в которой, среди прочего, использова</w:t>
      </w:r>
      <w:r w:rsidRPr="0044524F">
        <w:rPr>
          <w:rFonts w:ascii="Times New Roman" w:hAnsi="Times New Roman"/>
          <w:color w:val="000000" w:themeColor="text1"/>
          <w:sz w:val="16"/>
          <w:szCs w:val="16"/>
        </w:rPr>
        <w:softHyphen/>
        <w:t>лись так называемые двойные плавающие элероны. Эти элероны размещались на кон</w:t>
      </w:r>
      <w:r w:rsidRPr="0044524F">
        <w:rPr>
          <w:rFonts w:ascii="Times New Roman" w:hAnsi="Times New Roman"/>
          <w:color w:val="000000" w:themeColor="text1"/>
          <w:sz w:val="16"/>
          <w:szCs w:val="16"/>
        </w:rPr>
        <w:softHyphen/>
        <w:t>цевых участках крыла, что позволяло освобо</w:t>
      </w:r>
      <w:r w:rsidRPr="0044524F">
        <w:rPr>
          <w:rFonts w:ascii="Times New Roman" w:hAnsi="Times New Roman"/>
          <w:color w:val="000000" w:themeColor="text1"/>
          <w:sz w:val="16"/>
          <w:szCs w:val="16"/>
        </w:rPr>
        <w:softHyphen/>
        <w:t>дить его заднюю кромку для установки мощ</w:t>
      </w:r>
      <w:r w:rsidRPr="0044524F">
        <w:rPr>
          <w:rFonts w:ascii="Times New Roman" w:hAnsi="Times New Roman"/>
          <w:color w:val="000000" w:themeColor="text1"/>
          <w:sz w:val="16"/>
          <w:szCs w:val="16"/>
        </w:rPr>
        <w:softHyphen/>
        <w:t>ных посадочных щитков, занимавших 20% хорды несущих плоскостей. Указанные пла</w:t>
      </w:r>
      <w:r w:rsidRPr="0044524F">
        <w:rPr>
          <w:rFonts w:ascii="Times New Roman" w:hAnsi="Times New Roman"/>
          <w:color w:val="000000" w:themeColor="text1"/>
          <w:sz w:val="16"/>
          <w:szCs w:val="16"/>
        </w:rPr>
        <w:softHyphen/>
        <w:t>вающие элероны были с успехом испытаны в ЦАГИ,впоследствии они применялись и на других самолетах, в частности на яковлев- ских АИР-4 и УТ-1. Конструкцию крыла ДАР выполнили по типу уже построенного экспе</w:t>
      </w:r>
      <w:r w:rsidRPr="0044524F">
        <w:rPr>
          <w:rFonts w:ascii="Times New Roman" w:hAnsi="Times New Roman"/>
          <w:color w:val="000000" w:themeColor="text1"/>
          <w:sz w:val="16"/>
          <w:szCs w:val="16"/>
        </w:rPr>
        <w:softHyphen/>
        <w:t>риментального «Сталь-6» - с полками лонже</w:t>
      </w:r>
      <w:r w:rsidRPr="0044524F">
        <w:rPr>
          <w:rFonts w:ascii="Times New Roman" w:hAnsi="Times New Roman"/>
          <w:color w:val="000000" w:themeColor="text1"/>
          <w:sz w:val="16"/>
          <w:szCs w:val="16"/>
        </w:rPr>
        <w:softHyphen/>
        <w:t>ронов из пучка стальных труб, с ферменными нервюрами из профилей нержавеющей стали Энерж-6.</w:t>
      </w:r>
    </w:p>
    <w:p w14:paraId="4FE9264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главной изюминкой в первоначаль</w:t>
      </w:r>
      <w:r w:rsidRPr="0044524F">
        <w:rPr>
          <w:rFonts w:ascii="Times New Roman" w:hAnsi="Times New Roman"/>
          <w:color w:val="000000" w:themeColor="text1"/>
          <w:sz w:val="16"/>
          <w:szCs w:val="16"/>
        </w:rPr>
        <w:softHyphen/>
        <w:t xml:space="preserve">ном проекте самолета стал кольцевой участок крыла, в центре которого размещались два двигателя «Испано-Сюиза» 12 </w:t>
      </w:r>
      <w:r w:rsidRPr="0044524F">
        <w:rPr>
          <w:rFonts w:ascii="Times New Roman" w:hAnsi="Times New Roman"/>
          <w:color w:val="000000" w:themeColor="text1"/>
          <w:sz w:val="16"/>
          <w:szCs w:val="16"/>
          <w:lang w:val="en-US"/>
        </w:rPr>
        <w:t>ybrs</w:t>
      </w:r>
      <w:r w:rsidRPr="0044524F">
        <w:rPr>
          <w:rFonts w:ascii="Times New Roman" w:hAnsi="Times New Roman"/>
          <w:color w:val="000000" w:themeColor="text1"/>
          <w:sz w:val="16"/>
          <w:szCs w:val="16"/>
        </w:rPr>
        <w:t xml:space="preserve"> мощностью по 700 л.с. каждый. Двигатели предполага</w:t>
      </w:r>
      <w:r w:rsidRPr="0044524F">
        <w:rPr>
          <w:rFonts w:ascii="Times New Roman" w:hAnsi="Times New Roman"/>
          <w:color w:val="000000" w:themeColor="text1"/>
          <w:sz w:val="16"/>
          <w:szCs w:val="16"/>
        </w:rPr>
        <w:softHyphen/>
        <w:t>лось разместить носком к носку так, чтобы их воздушные винты работали как соосные, а центр между плоскостями вращения винтов совпадал с максимальным диаметром кольце</w:t>
      </w:r>
      <w:r w:rsidRPr="0044524F">
        <w:rPr>
          <w:rFonts w:ascii="Times New Roman" w:hAnsi="Times New Roman"/>
          <w:color w:val="000000" w:themeColor="text1"/>
          <w:sz w:val="16"/>
          <w:szCs w:val="16"/>
        </w:rPr>
        <w:softHyphen/>
        <w:t>вого участка крыла.</w:t>
      </w:r>
    </w:p>
    <w:p w14:paraId="3E6E425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проверки задуманного в НИИ ГВФ по</w:t>
      </w:r>
      <w:r w:rsidRPr="0044524F">
        <w:rPr>
          <w:rFonts w:ascii="Times New Roman" w:hAnsi="Times New Roman"/>
          <w:color w:val="000000" w:themeColor="text1"/>
          <w:sz w:val="16"/>
          <w:szCs w:val="16"/>
        </w:rPr>
        <w:softHyphen/>
        <w:t>строили полноразмерный макет самолета с кольцевым крылом, провели ряд эксперимен</w:t>
      </w:r>
      <w:r w:rsidRPr="0044524F">
        <w:rPr>
          <w:rFonts w:ascii="Times New Roman" w:hAnsi="Times New Roman"/>
          <w:color w:val="000000" w:themeColor="text1"/>
          <w:sz w:val="16"/>
          <w:szCs w:val="16"/>
        </w:rPr>
        <w:softHyphen/>
        <w:t>тов для определения лучших параметров си</w:t>
      </w:r>
      <w:r w:rsidRPr="0044524F">
        <w:rPr>
          <w:rFonts w:ascii="Times New Roman" w:hAnsi="Times New Roman"/>
          <w:color w:val="000000" w:themeColor="text1"/>
          <w:sz w:val="16"/>
          <w:szCs w:val="16"/>
        </w:rPr>
        <w:softHyphen/>
        <w:t>ловой установки. В обширной научно-по- пулярной литературе советского периода, описывающей деятельность Р.Л. Бартини, часто указывалось, что тяга силовой установ</w:t>
      </w:r>
      <w:r w:rsidRPr="0044524F">
        <w:rPr>
          <w:rFonts w:ascii="Times New Roman" w:hAnsi="Times New Roman"/>
          <w:color w:val="000000" w:themeColor="text1"/>
          <w:sz w:val="16"/>
          <w:szCs w:val="16"/>
        </w:rPr>
        <w:softHyphen/>
        <w:t>ки в случае использования кольцевого крыла на самолете ДАР увеличилась до 30%. Такие утверждения, конечно же, далеко не точны и слишком упрощаютявление, разобраться с ко</w:t>
      </w:r>
      <w:r w:rsidRPr="0044524F">
        <w:rPr>
          <w:rFonts w:ascii="Times New Roman" w:hAnsi="Times New Roman"/>
          <w:color w:val="000000" w:themeColor="text1"/>
          <w:sz w:val="16"/>
          <w:szCs w:val="16"/>
        </w:rPr>
        <w:softHyphen/>
        <w:t>торым имеет смысл более детально.</w:t>
      </w:r>
    </w:p>
    <w:p w14:paraId="26F3E79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Во-первых, начиная с 1930 г. изучением поведения воздушного винта, помещенного в кольцо, занимались в ЦАГИ. С появлением проекта Бартини исследовали и предло</w:t>
      </w:r>
      <w:r w:rsidRPr="0044524F">
        <w:rPr>
          <w:rFonts w:ascii="Times New Roman" w:hAnsi="Times New Roman"/>
          <w:color w:val="000000" w:themeColor="text1"/>
          <w:sz w:val="16"/>
          <w:szCs w:val="16"/>
        </w:rPr>
        <w:softHyphen/>
        <w:t>женное им кольцевое крыло. Затем вся ука</w:t>
      </w:r>
      <w:r w:rsidRPr="0044524F">
        <w:rPr>
          <w:rFonts w:ascii="Times New Roman" w:hAnsi="Times New Roman"/>
          <w:color w:val="000000" w:themeColor="text1"/>
          <w:sz w:val="16"/>
          <w:szCs w:val="16"/>
        </w:rPr>
        <w:softHyphen/>
        <w:t>занная деятельность с соответствующими выводами была опубликована в специ</w:t>
      </w:r>
      <w:r w:rsidRPr="0044524F">
        <w:rPr>
          <w:rFonts w:ascii="Times New Roman" w:hAnsi="Times New Roman"/>
          <w:color w:val="000000" w:themeColor="text1"/>
          <w:sz w:val="16"/>
          <w:szCs w:val="16"/>
        </w:rPr>
        <w:softHyphen/>
        <w:t>альном печатном выпуске аэрогидродина</w:t>
      </w:r>
      <w:r w:rsidRPr="0044524F">
        <w:rPr>
          <w:rFonts w:ascii="Times New Roman" w:hAnsi="Times New Roman"/>
          <w:color w:val="000000" w:themeColor="text1"/>
          <w:sz w:val="16"/>
          <w:szCs w:val="16"/>
        </w:rPr>
        <w:softHyphen/>
        <w:t>мического института: «О работе винта поме</w:t>
      </w:r>
      <w:r w:rsidRPr="0044524F">
        <w:rPr>
          <w:rFonts w:ascii="Times New Roman" w:hAnsi="Times New Roman"/>
          <w:color w:val="000000" w:themeColor="text1"/>
          <w:sz w:val="16"/>
          <w:szCs w:val="16"/>
        </w:rPr>
        <w:softHyphen/>
        <w:t>щенного в кольцо» (Труды ЦАГИ, выпуск 248, 1935 г., И.В. Остославский, В.Н. Матв</w:t>
      </w:r>
      <w:r w:rsidRPr="0044524F">
        <w:rPr>
          <w:rFonts w:ascii="Times New Roman" w:hAnsi="Times New Roman"/>
          <w:color w:val="000000" w:themeColor="text1"/>
          <w:sz w:val="16"/>
          <w:szCs w:val="16"/>
        </w:rPr>
        <w:softHyphen/>
        <w:t>еев). Там, в частности, говорилось: «Приме</w:t>
      </w:r>
      <w:r w:rsidRPr="0044524F">
        <w:rPr>
          <w:rFonts w:ascii="Times New Roman" w:hAnsi="Times New Roman"/>
          <w:color w:val="000000" w:themeColor="text1"/>
          <w:sz w:val="16"/>
          <w:szCs w:val="16"/>
        </w:rPr>
        <w:softHyphen/>
        <w:t>нение симметричного кольца рационально на самолетах с сильно загруженными вин</w:t>
      </w:r>
      <w:r w:rsidRPr="0044524F">
        <w:rPr>
          <w:rFonts w:ascii="Times New Roman" w:hAnsi="Times New Roman"/>
          <w:color w:val="000000" w:themeColor="text1"/>
          <w:sz w:val="16"/>
          <w:szCs w:val="16"/>
        </w:rPr>
        <w:softHyphen/>
        <w:t>тами; в таких случаях при небольшом ухуд</w:t>
      </w:r>
      <w:r w:rsidRPr="0044524F">
        <w:rPr>
          <w:rFonts w:ascii="Times New Roman" w:hAnsi="Times New Roman"/>
          <w:color w:val="000000" w:themeColor="text1"/>
          <w:sz w:val="16"/>
          <w:szCs w:val="16"/>
        </w:rPr>
        <w:softHyphen/>
        <w:t>шении скоростных свойств самолета до</w:t>
      </w:r>
      <w:r w:rsidRPr="0044524F">
        <w:rPr>
          <w:rFonts w:ascii="Times New Roman" w:hAnsi="Times New Roman"/>
          <w:color w:val="000000" w:themeColor="text1"/>
          <w:sz w:val="16"/>
          <w:szCs w:val="16"/>
        </w:rPr>
        <w:softHyphen/>
        <w:t>стигается уменьшение длины и времени разбега. Схема кольцевого крыла оказыва</w:t>
      </w:r>
      <w:r w:rsidRPr="0044524F">
        <w:rPr>
          <w:rFonts w:ascii="Times New Roman" w:hAnsi="Times New Roman"/>
          <w:color w:val="000000" w:themeColor="text1"/>
          <w:sz w:val="16"/>
          <w:szCs w:val="16"/>
        </w:rPr>
        <w:softHyphen/>
        <w:t>ется предпочтительнее схемы кольца не связанного с крылом».</w:t>
      </w:r>
    </w:p>
    <w:p w14:paraId="76073EA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проекта ДАР, сравниваемого с обычной схемой размещения двигателей на крыле, говорилось следующее:</w:t>
      </w:r>
    </w:p>
    <w:p w14:paraId="0EFA6CA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Максимальные скорости примерно равны. При диаметре четырехлопастного воздушного винта в кольце 2,9 м максималь</w:t>
      </w:r>
      <w:r w:rsidRPr="0044524F">
        <w:rPr>
          <w:rFonts w:ascii="Times New Roman" w:hAnsi="Times New Roman"/>
          <w:color w:val="000000" w:themeColor="text1"/>
          <w:sz w:val="16"/>
          <w:szCs w:val="16"/>
        </w:rPr>
        <w:softHyphen/>
        <w:t>ная скорость даже несколько выше, чем при установке воздушного винта диаметром 3,2 м без кольца.</w:t>
      </w:r>
    </w:p>
    <w:p w14:paraId="3825EA3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Взлетные качества улучшаются, рас</w:t>
      </w:r>
      <w:r w:rsidRPr="0044524F">
        <w:rPr>
          <w:rFonts w:ascii="Times New Roman" w:hAnsi="Times New Roman"/>
          <w:color w:val="000000" w:themeColor="text1"/>
          <w:sz w:val="16"/>
          <w:szCs w:val="16"/>
        </w:rPr>
        <w:softHyphen/>
        <w:t>четный потолок увеличивается с 3420 м до 4050 м, т.е. на 18%, время подъема на высоту 1000 муменьшается примерно на полминуты.</w:t>
      </w:r>
    </w:p>
    <w:p w14:paraId="2196899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...Поляра кольцевого крыла практически равна поляре обычного крыла».</w:t>
      </w:r>
    </w:p>
    <w:p w14:paraId="2728F7E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Подтверждая выгодность использования кольцевого крыла,ученые ЦАГИ рекомендова</w:t>
      </w:r>
      <w:r w:rsidRPr="0044524F">
        <w:rPr>
          <w:rFonts w:ascii="Times New Roman" w:hAnsi="Times New Roman"/>
          <w:color w:val="000000" w:themeColor="text1"/>
          <w:sz w:val="16"/>
          <w:szCs w:val="16"/>
        </w:rPr>
        <w:softHyphen/>
        <w:t>ли использовать глубину изолированного кольца, равную 15-25% диаметра воздушного винта. Для кольцевого крыла - 50-70% диа</w:t>
      </w:r>
      <w:r w:rsidRPr="0044524F">
        <w:rPr>
          <w:rFonts w:ascii="Times New Roman" w:hAnsi="Times New Roman"/>
          <w:color w:val="000000" w:themeColor="text1"/>
          <w:sz w:val="16"/>
          <w:szCs w:val="16"/>
        </w:rPr>
        <w:softHyphen/>
        <w:t>метра винта. Наиболее рациональное разме</w:t>
      </w:r>
      <w:r w:rsidRPr="0044524F">
        <w:rPr>
          <w:rFonts w:ascii="Times New Roman" w:hAnsi="Times New Roman"/>
          <w:color w:val="000000" w:themeColor="text1"/>
          <w:sz w:val="16"/>
          <w:szCs w:val="16"/>
        </w:rPr>
        <w:softHyphen/>
        <w:t>щение воздушного винта (винтов) в кольце - на расстоянии 30-40% САХ.</w:t>
      </w:r>
    </w:p>
    <w:p w14:paraId="69BB9D3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дальнейшем приоритет Бартини на коль</w:t>
      </w:r>
      <w:r w:rsidRPr="0044524F">
        <w:rPr>
          <w:rFonts w:ascii="Times New Roman" w:hAnsi="Times New Roman"/>
          <w:color w:val="000000" w:themeColor="text1"/>
          <w:sz w:val="16"/>
          <w:szCs w:val="16"/>
        </w:rPr>
        <w:softHyphen/>
        <w:t>цевое крыло проявился в том, что получаемое при его использовании уменьшение лобового сопротивления оценили как «эффект Бартини». Впрочем, в конечном результате ва</w:t>
      </w:r>
      <w:r w:rsidRPr="0044524F">
        <w:rPr>
          <w:rFonts w:ascii="Times New Roman" w:hAnsi="Times New Roman"/>
          <w:color w:val="000000" w:themeColor="text1"/>
          <w:sz w:val="16"/>
          <w:szCs w:val="16"/>
        </w:rPr>
        <w:softHyphen/>
        <w:t>риант кольцевого крыла не приняли по причи</w:t>
      </w:r>
      <w:r w:rsidRPr="0044524F">
        <w:rPr>
          <w:rFonts w:ascii="Times New Roman" w:hAnsi="Times New Roman"/>
          <w:color w:val="000000" w:themeColor="text1"/>
          <w:sz w:val="16"/>
          <w:szCs w:val="16"/>
        </w:rPr>
        <w:softHyphen/>
        <w:t>не его конструктивной сложности, возможных проблем с техническим обслуживанием в ходе эксплуатации в Арктике. На практике два дви</w:t>
      </w:r>
      <w:r w:rsidRPr="0044524F">
        <w:rPr>
          <w:rFonts w:ascii="Times New Roman" w:hAnsi="Times New Roman"/>
          <w:color w:val="000000" w:themeColor="text1"/>
          <w:sz w:val="16"/>
          <w:szCs w:val="16"/>
        </w:rPr>
        <w:softHyphen/>
        <w:t>гателя «Испано-Сюиза» в самолете ДАР на верхнем крыле разместили друг за другом (тандем), так же, как это было сделано на Дорнье«Валь».</w:t>
      </w:r>
    </w:p>
    <w:p w14:paraId="5D8BB66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Корпус лодки ДАР длиной 18,4 м и шириной 2,8 м выполнили из нержавеющей стали Энерж-6. Как и в случае с истребителем «Сталь-б», изготовление его потребовало вве</w:t>
      </w:r>
      <w:r w:rsidRPr="0044524F">
        <w:rPr>
          <w:rFonts w:ascii="Times New Roman" w:hAnsi="Times New Roman"/>
          <w:color w:val="000000" w:themeColor="text1"/>
          <w:sz w:val="16"/>
          <w:szCs w:val="16"/>
        </w:rPr>
        <w:softHyphen/>
        <w:t>дения новых технологических приемов. Для сварки всех элементов конструктор изобрел специальный «негативный» стапель. В нем каркас лодки - шпангоуты и стрингеры вместе с наложенными сверху листами обшивки сна</w:t>
      </w:r>
      <w:r w:rsidRPr="0044524F">
        <w:rPr>
          <w:rFonts w:ascii="Times New Roman" w:hAnsi="Times New Roman"/>
          <w:color w:val="000000" w:themeColor="text1"/>
          <w:sz w:val="16"/>
          <w:szCs w:val="16"/>
        </w:rPr>
        <w:softHyphen/>
        <w:t>ружи вплотную обкладывали толстыми листа</w:t>
      </w:r>
      <w:r w:rsidRPr="0044524F">
        <w:rPr>
          <w:rFonts w:ascii="Times New Roman" w:hAnsi="Times New Roman"/>
          <w:color w:val="000000" w:themeColor="text1"/>
          <w:sz w:val="16"/>
          <w:szCs w:val="16"/>
        </w:rPr>
        <w:softHyphen/>
        <w:t>ми красной меди, по которым уходил ток. А электрод, по которому ток поступал, подво</w:t>
      </w:r>
      <w:r w:rsidRPr="0044524F">
        <w:rPr>
          <w:rFonts w:ascii="Times New Roman" w:hAnsi="Times New Roman"/>
          <w:color w:val="000000" w:themeColor="text1"/>
          <w:sz w:val="16"/>
          <w:szCs w:val="16"/>
        </w:rPr>
        <w:softHyphen/>
        <w:t>дился на проводе изнутри ко всем сварочным точкам и полосам.</w:t>
      </w:r>
    </w:p>
    <w:p w14:paraId="53E067D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Наружная обшивка самолета ДАР была вы</w:t>
      </w:r>
      <w:r w:rsidRPr="0044524F">
        <w:rPr>
          <w:rFonts w:ascii="Times New Roman" w:hAnsi="Times New Roman"/>
          <w:color w:val="000000" w:themeColor="text1"/>
          <w:sz w:val="16"/>
          <w:szCs w:val="16"/>
        </w:rPr>
        <w:softHyphen/>
        <w:t>полнена из стальных листов толщиной 0,5 мм (на днище 0,8-1,5 мм). Для повышения жестко</w:t>
      </w:r>
      <w:r w:rsidRPr="0044524F">
        <w:rPr>
          <w:rFonts w:ascii="Times New Roman" w:hAnsi="Times New Roman"/>
          <w:color w:val="000000" w:themeColor="text1"/>
          <w:sz w:val="16"/>
          <w:szCs w:val="16"/>
        </w:rPr>
        <w:softHyphen/>
        <w:t>сти этой обшивки листы были предварительно отформованы с образованием выступающих ребер (зигов) - после установки на лодочный фюзеляж получалась поверхность с большим шагом внешних волн гофра (11979).</w:t>
      </w:r>
    </w:p>
    <w:p w14:paraId="62FBF98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7A0446C" w14:textId="77777777" w:rsidR="00D142A2" w:rsidRPr="0044524F" w:rsidRDefault="00D142A2" w:rsidP="009654CF">
      <w:pPr>
        <w:pStyle w:val="rtejustify"/>
        <w:spacing w:before="0" w:after="0"/>
        <w:rPr>
          <w:color w:val="000000" w:themeColor="text1"/>
          <w:sz w:val="16"/>
          <w:szCs w:val="16"/>
        </w:rPr>
      </w:pPr>
      <w:r w:rsidRPr="0044524F">
        <w:rPr>
          <w:rStyle w:val="af0"/>
          <w:bCs/>
          <w:i w:val="0"/>
          <w:color w:val="000000" w:themeColor="text1"/>
          <w:sz w:val="16"/>
          <w:szCs w:val="16"/>
        </w:rPr>
        <w:t>28 августа 1933 вышел приказ НКТП № 131с.</w:t>
      </w:r>
      <w:r w:rsidRPr="0044524F">
        <w:rPr>
          <w:color w:val="000000" w:themeColor="text1"/>
          <w:sz w:val="16"/>
          <w:szCs w:val="16"/>
        </w:rPr>
        <w:t xml:space="preserve"> О работах по 1000</w:t>
      </w:r>
      <w:r w:rsidRPr="0044524F">
        <w:rPr>
          <w:color w:val="000000" w:themeColor="text1"/>
          <w:sz w:val="16"/>
          <w:szCs w:val="16"/>
        </w:rPr>
        <w:noBreakHyphen/>
        <w:t>сильному авиационному дизелю на предприятиях НКТП. (РГАЭ. Ф. 7297. Оп. 38. Д. 38. Л. 83) (15246).</w:t>
      </w:r>
    </w:p>
    <w:p w14:paraId="5A6DCCA8" w14:textId="77777777" w:rsidR="00D142A2" w:rsidRPr="0044524F" w:rsidRDefault="00D142A2" w:rsidP="009654CF">
      <w:pPr>
        <w:pStyle w:val="rtejustify"/>
        <w:spacing w:before="0" w:after="0"/>
        <w:rPr>
          <w:color w:val="000000" w:themeColor="text1"/>
          <w:sz w:val="16"/>
          <w:szCs w:val="16"/>
        </w:rPr>
      </w:pPr>
    </w:p>
    <w:p w14:paraId="64838555" w14:textId="77777777" w:rsidR="00BD04CA" w:rsidRPr="0044524F" w:rsidRDefault="00BD04C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г. СП. Королев под грифом «Секретно» пишет докладную записку «О положении экспериментальной работы по ракетам». Предположительно он собирался ее отправить В.М. Молотову и копию руководителю Военно-морской инспекции Н.В. Куйбышеву (брату В.В. Куйбышева), которому было поручено обследовать все (две или три, если брать в расчет ЛенГИРД) организации, работающие в области ракетной техники и потом доложить Наркомвоенмору Ворошилову. Вот ее содержание:</w:t>
      </w:r>
    </w:p>
    <w:p w14:paraId="249F04DE" w14:textId="77777777" w:rsidR="00BD04CA" w:rsidRPr="0044524F" w:rsidRDefault="00BD04C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«Группа Реактивных двигателей ГИРД работает над созданием совершенно новых по своей идее типов двигателей и снарядов, основанных на принципе реакции струи вытекающих газов {что из этой фразы мог понять чиновник, не разбирающийся в сути вопроса?). Построен и испытан ряд реактивных двигателей на жидком топливе. Проведены многочисленные лабораторные полигонные испытания. В результате работы ГИРД за 1933 г. была разработана и построена принципиально новая ракета-снаряд (конструкции инж. Тихонравова), которая была подробно изучена в работе на привязи на балансирном станке.</w:t>
      </w:r>
    </w:p>
    <w:p w14:paraId="038A7D36" w14:textId="77777777" w:rsidR="00BD04CA" w:rsidRPr="0044524F" w:rsidRDefault="00BD04C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17-го августа сего года в 19 часов первая советская ракета на жидком горючем успешно совершила свой первый полет. Этим самым практически проверен принцип устройства, схема и формы этой ракетыснаряда. Главной задачей дальнейшего является наиболее быстрое получение расчетных дальностей и высот полета ракеты и сдача ее на вооружение и для мирных целей. Для этой ракеты как для первого шага в этой области были выбраны скромные данные. Высота вертикального подъема - до 6000 м. Вес ракеты 18 кг, из них 6 кг полезной нагрузки. Скорость полета до 250 м. в сек. От первого шага, доказавшего правильность выбранной схемы, можно будет перейти к дальнейшим усовершенствованиям и получению летаюш;их ракет больших калибров со скоростями полета до 800-1000 м в сек. и дальности полета в несколько сотен и тысяч километров. Для этого нужно без промедления как можно шире поставить дальнейшие опыты с летающими ракетами. Надо выстроить </w:t>
      </w:r>
      <w:r w:rsidRPr="0044524F">
        <w:rPr>
          <w:rFonts w:ascii="Times New Roman" w:hAnsi="Times New Roman"/>
          <w:color w:val="000000" w:themeColor="text1"/>
          <w:sz w:val="16"/>
          <w:szCs w:val="16"/>
        </w:rPr>
        <w:lastRenderedPageBreak/>
        <w:t>серию хотя бы в шесть ракет и сделать за сентябрь-октябрь месяцы этого года не одну сотню полетов. Коли это будет так, то не смотря на то, что, летавшая 17 августа ракета является очень несовершенной, только первым опытом в этой области, можно будет к концу 1933 г. иметь уже доработанный в известной мере образец, который может быть пущен для эксплуатации. Кроме того, широкая постановка опытов даст возможность пойти по пути повышения данных (в частности увеличения дельности). Успех первого полета достигнут в результате настойчивой упорной работы всего коллектива ГИРД, не смотря на чрезвычайные трудности. А 116 именно: с момента организации ГИРД (июнь 1932 г.) из группы в несколько человек активистов ОСОАВИАХИМа развернут небольшой, но обладающий всеми видами производств заводик. Однако, завод расположен в сыром подвале, без дневного света. Никакого снабжения ни материалами, ни оборудованием, ни продовольствием и т.п. нет и не получалось ГИРДом ранее. Средств на производство опытов слишком недостаточно. До сего дня длится двойственное подчинение ГИРД ОСОАВИАХРШу (формально) и УВИ НВ РККА (фактически). А в результате уже более года как ГИРД не имеет хозяина и буквально задыхается в мелочах, не дающих ему развернуть, как это следовало бы в наших масштабах, свою работу. Как пример можно указать, что ГИРД до сего дня не имеет никакого транспорта и отрезан от полигона, находящегося в 40 км от Москвы. Уже более года обсуждается вопрос о создании Реактивного Института, но в настоящее время этот вопрос застрял еще в одной инстанции. Не смотря на необычайно тяжелые условия работы, ГИРДом все таки доведена и выпущена в воздух первая советская ракета. Однако, НКВМ, по заданию которого она делалась, отпускает недостаточно средств на постановку опытов, а кроме того, его не может интересовать применение ракет в различных областях народного хозяйства (для метеорологических целей, быстрой связи, почты и т.д.). Поэтому необходимо:</w:t>
      </w:r>
    </w:p>
    <w:p w14:paraId="72F23BCF" w14:textId="77777777" w:rsidR="00BD04CA" w:rsidRPr="0044524F" w:rsidRDefault="00BD04C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Ускорить разрешение вопроса с организацией Реактивного Института.</w:t>
      </w:r>
    </w:p>
    <w:p w14:paraId="51ED6112" w14:textId="77777777" w:rsidR="00BD04CA" w:rsidRPr="0044524F" w:rsidRDefault="00BD04C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Немедленно отпустить ГИРДу необходимые средства на постановку научно-исследовательской работы и, в частности, на постройку первой опытной серии ракет и испытание их (на это нужно до 30000 рублей).</w:t>
      </w:r>
    </w:p>
    <w:p w14:paraId="1AB1C689" w14:textId="77777777" w:rsidR="00BD04CA" w:rsidRPr="0044524F" w:rsidRDefault="00BD04C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вести учитывая и мирное применение ракет. Подпись: Начальник ГИРД - С.П.Королев» (ГА РФ. Фонд Р-8355. Он. 1. Д. № 374. Л. 143-144). (22685).</w:t>
      </w:r>
    </w:p>
    <w:p w14:paraId="311A24D3" w14:textId="77777777" w:rsidR="00BD04CA" w:rsidRPr="0044524F" w:rsidRDefault="00BD04CA" w:rsidP="009654CF">
      <w:pPr>
        <w:spacing w:after="0" w:line="240" w:lineRule="auto"/>
        <w:jc w:val="both"/>
        <w:rPr>
          <w:rFonts w:ascii="Times New Roman" w:hAnsi="Times New Roman"/>
          <w:color w:val="000000" w:themeColor="text1"/>
          <w:sz w:val="16"/>
          <w:szCs w:val="16"/>
        </w:rPr>
      </w:pPr>
    </w:p>
    <w:p w14:paraId="415138C0"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3FAF0EB"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A13B48B"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28 августа 1933 состоялось заседание ПБ и был оформлен протокол № 144 </w:t>
      </w:r>
    </w:p>
    <w:p w14:paraId="3102017A"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опросом членов ПБ</w:t>
      </w:r>
    </w:p>
    <w:p w14:paraId="34FF7C03"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47/26.-Об автозаводах</w:t>
      </w:r>
    </w:p>
    <w:p w14:paraId="48455EFF"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НКТП проработать вопрос об импорте для расширения завода им. т.Сталина, исходя из максимальной суммы в 3.000.000 рублей; остальную потребность в импортном оборудования удовлетворить за счет тщательной проверки использования имеющихся излишков на других заводах НКТПю</w:t>
      </w:r>
    </w:p>
    <w:p w14:paraId="285A49A9"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тютю Орджоникидзе, Куйбышеву, Межлауку</w:t>
      </w:r>
    </w:p>
    <w:p w14:paraId="2AC896E3"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опросом членов ПБ</w:t>
      </w:r>
    </w:p>
    <w:p w14:paraId="6C5148AC"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98/74.- Водросы Комиссии обороны</w:t>
      </w:r>
    </w:p>
    <w:p w14:paraId="055DCFE5"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постановления СТО:</w:t>
      </w:r>
    </w:p>
    <w:p w14:paraId="7AFD3CC2"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 выделении из резервного фонда СНК СССР 200 тыс. рублей валюты на приобретение импортных деталей трубчатки и брайсточной установки для развития производ</w:t>
      </w:r>
      <w:r w:rsidRPr="0044524F">
        <w:rPr>
          <w:rFonts w:ascii="Times New Roman" w:hAnsi="Times New Roman"/>
          <w:color w:val="000000" w:themeColor="text1"/>
          <w:sz w:val="16"/>
          <w:szCs w:val="16"/>
        </w:rPr>
        <w:softHyphen/>
        <w:t>ства авиамасел;</w:t>
      </w:r>
    </w:p>
    <w:p w14:paraId="6010E3FF"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 закупкес НКВнешторгом в Америке и Европе сов</w:t>
      </w:r>
      <w:r w:rsidRPr="0044524F">
        <w:rPr>
          <w:rFonts w:ascii="Times New Roman" w:hAnsi="Times New Roman"/>
          <w:color w:val="000000" w:themeColor="text1"/>
          <w:sz w:val="16"/>
          <w:szCs w:val="16"/>
        </w:rPr>
        <w:softHyphen/>
        <w:t>ременных образцов авиатоплив и масел;</w:t>
      </w:r>
    </w:p>
    <w:p w14:paraId="0307A1DB"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командировании в Америку и Европу комиссии для изучения производства авиатоплив, авиамасел и обо</w:t>
      </w:r>
      <w:r w:rsidRPr="0044524F">
        <w:rPr>
          <w:rFonts w:ascii="Times New Roman" w:hAnsi="Times New Roman"/>
          <w:color w:val="000000" w:themeColor="text1"/>
          <w:sz w:val="16"/>
          <w:szCs w:val="16"/>
        </w:rPr>
        <w:softHyphen/>
        <w:t>рудования для них.</w:t>
      </w:r>
    </w:p>
    <w:p w14:paraId="56D8F778" w14:textId="77777777" w:rsidR="0090518E" w:rsidRPr="0044524F" w:rsidRDefault="009051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Мирошникову (22994).</w:t>
      </w:r>
    </w:p>
    <w:p w14:paraId="5C9A972D" w14:textId="77777777" w:rsidR="0090518E" w:rsidRPr="0044524F" w:rsidRDefault="0090518E" w:rsidP="009654CF">
      <w:pPr>
        <w:spacing w:after="0" w:line="240" w:lineRule="auto"/>
        <w:jc w:val="both"/>
        <w:rPr>
          <w:rFonts w:ascii="Times New Roman" w:hAnsi="Times New Roman"/>
          <w:color w:val="000000" w:themeColor="text1"/>
          <w:sz w:val="16"/>
          <w:szCs w:val="16"/>
        </w:rPr>
      </w:pPr>
    </w:p>
    <w:p w14:paraId="2CF9590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Нач. вооружений РККА выпустил приказ по системе химического вооружения (3879,25).</w:t>
      </w:r>
    </w:p>
    <w:p w14:paraId="74D99D2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5B6F2780"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24B5235"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E9DACF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была пущена на полную мощность Шатурская ГЭС (3481).</w:t>
      </w:r>
    </w:p>
    <w:p w14:paraId="7202822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654747D6" w14:textId="77777777" w:rsidR="00D142A2" w:rsidRPr="0044524F" w:rsidRDefault="00D142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28 августа </w:t>
      </w:r>
      <w:r w:rsidRPr="0044524F">
        <w:rPr>
          <w:rFonts w:ascii="Times New Roman" w:hAnsi="Times New Roman"/>
          <w:color w:val="000000" w:themeColor="text1"/>
          <w:sz w:val="16"/>
          <w:szCs w:val="16"/>
        </w:rPr>
        <w:t>в 1933 году постановление СНК СССР, согласно которому сельские жители лишались паспортов. Отменено 28 августа 1974 г. (14752).</w:t>
      </w:r>
    </w:p>
    <w:p w14:paraId="7A9BD5C0" w14:textId="77777777" w:rsidR="00D142A2" w:rsidRPr="0044524F" w:rsidRDefault="00D142A2" w:rsidP="009654CF">
      <w:pPr>
        <w:spacing w:after="0" w:line="240" w:lineRule="auto"/>
        <w:jc w:val="both"/>
        <w:rPr>
          <w:rFonts w:ascii="Times New Roman" w:hAnsi="Times New Roman"/>
          <w:color w:val="000000" w:themeColor="text1"/>
          <w:sz w:val="16"/>
          <w:szCs w:val="16"/>
        </w:rPr>
      </w:pPr>
    </w:p>
    <w:p w14:paraId="47640E00"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479FB87"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6B3489A" w14:textId="77777777" w:rsidR="00D142A2" w:rsidRPr="0044524F" w:rsidRDefault="00D142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28 августа 1933 года (по 25 мая 1934 года)</w:t>
      </w:r>
      <w:r w:rsidRPr="0044524F">
        <w:rPr>
          <w:rFonts w:ascii="Times New Roman" w:hAnsi="Times New Roman"/>
          <w:color w:val="000000" w:themeColor="text1"/>
          <w:sz w:val="16"/>
          <w:szCs w:val="16"/>
        </w:rPr>
        <w:t xml:space="preserve"> Начался уникальный для латвийской авиации перелет с промежуточными посадками на самолете для дальнего перелета, сконструированном и построенном культовой фигурой латвийской авиации, летчиком-энтузиастом Хербертсом Цукурсом - С-3 Kurzemes hercogiene. Из Риги до Данцига, до Берлина и Ле Бурже, затем через Пуатье, Бордо и Перпиньян в Испанию. Там - Барселона - Валенсия - Малага, и первый латвийский перелет в Африку - Танжер - Касабланка - Дакар - Батерст. Последний пункт был символичным - так как Гамбия являлась в 16 веке колонией Курляндского Герцогства, и в 20-30-е годы в Латвии был распространен "колониальный дух". Первый этап перелета занял 68 дней (до 3 ноября), было покрыто 7600 км. На обратном пути Цуцурс установил на самолете новый мотор. После триумфальной встречи в Латвии Цукурс был повышен до капитана и служил в ВВС Латвии, попутно продолжая перелеты. К сожалению, во Второй мировой войне он стал руководителем зондеркоманды, осуществлявшей массовые экзекуции евреев. Бежал за океан, но в 1961 был убит в Монтевидео агентами "Моссада" (14752).</w:t>
      </w:r>
    </w:p>
    <w:p w14:paraId="16F51EA1" w14:textId="77777777" w:rsidR="00D142A2" w:rsidRPr="0044524F" w:rsidRDefault="00D142A2" w:rsidP="009654CF">
      <w:pPr>
        <w:spacing w:after="0" w:line="240" w:lineRule="auto"/>
        <w:jc w:val="both"/>
        <w:rPr>
          <w:rFonts w:ascii="Times New Roman" w:hAnsi="Times New Roman"/>
          <w:color w:val="000000" w:themeColor="text1"/>
          <w:sz w:val="16"/>
          <w:szCs w:val="16"/>
        </w:rPr>
      </w:pPr>
    </w:p>
    <w:p w14:paraId="54A4C26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в Англии полиция впервые обратилась к населению по телевизору с просьбой помочь в розыске человека (3481).</w:t>
      </w:r>
    </w:p>
    <w:p w14:paraId="4FC3DBC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7D3A874"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DF23C55"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101930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1933 состоялось совещание у начальника Глававиапрома П.И.Б. (протокол 115 - 2292,228) где признали целесообразным постройку первой головной машины ТБ-4 по типу МГ (1077,178).</w:t>
      </w:r>
    </w:p>
    <w:p w14:paraId="44730B1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C7DB2D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1933 года Главный инженер механик НИИ ВВС Аузан утвердил Тактико-технические требования к транспортному самолету (типа ТII) с мотором М34 - 750/800 л.с. с редуктором (Мажаева).</w:t>
      </w:r>
    </w:p>
    <w:p w14:paraId="4D41FBF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летно-тактические данные</w:t>
      </w:r>
    </w:p>
    <w:p w14:paraId="776C8FE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полезной нагрузкой 2769 кг и запасом горючего и смазочного для себя, обеспечивающими техническую дальность полета самолета 1000 км на высоте 1000 м должен обладать нижеследующими летными данными: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5F059DC5" w14:textId="77777777">
        <w:tc>
          <w:tcPr>
            <w:tcW w:w="5636" w:type="dxa"/>
          </w:tcPr>
          <w:p w14:paraId="1ADA0C0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горизонтальная скорость на высоте 1000 м</w:t>
            </w:r>
          </w:p>
        </w:tc>
        <w:tc>
          <w:tcPr>
            <w:tcW w:w="5636" w:type="dxa"/>
          </w:tcPr>
          <w:p w14:paraId="3A0B4FE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 км/час</w:t>
            </w:r>
          </w:p>
        </w:tc>
      </w:tr>
      <w:tr w:rsidR="004E10C1" w:rsidRPr="0044524F" w14:paraId="572988A2" w14:textId="77777777">
        <w:tc>
          <w:tcPr>
            <w:tcW w:w="5636" w:type="dxa"/>
          </w:tcPr>
          <w:p w14:paraId="75827FA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w:t>
            </w:r>
          </w:p>
        </w:tc>
        <w:tc>
          <w:tcPr>
            <w:tcW w:w="5636" w:type="dxa"/>
          </w:tcPr>
          <w:p w14:paraId="2A67475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км/час</w:t>
            </w:r>
          </w:p>
        </w:tc>
      </w:tr>
      <w:tr w:rsidR="004E10C1" w:rsidRPr="0044524F" w14:paraId="7648025B" w14:textId="77777777">
        <w:tc>
          <w:tcPr>
            <w:tcW w:w="5636" w:type="dxa"/>
          </w:tcPr>
          <w:p w14:paraId="6F6BA47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w:t>
            </w:r>
          </w:p>
        </w:tc>
        <w:tc>
          <w:tcPr>
            <w:tcW w:w="5636" w:type="dxa"/>
          </w:tcPr>
          <w:p w14:paraId="0F922FF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3000-3500 м</w:t>
            </w:r>
          </w:p>
        </w:tc>
      </w:tr>
    </w:tbl>
    <w:p w14:paraId="438F4A2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емкость расходных баков (для себя) должна обеспечить дальность полета в 1300 км.</w:t>
      </w:r>
    </w:p>
    <w:p w14:paraId="6B1CA5F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самолета.</w:t>
      </w:r>
    </w:p>
    <w:p w14:paraId="4518C35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Транспортный самолет, рассчитанный для снабжения следующих объектов:</w:t>
      </w:r>
    </w:p>
    <w:p w14:paraId="620B825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Авиачастей, легкого и тяжелого типа, находящихся в отрыве от баз снабжения.</w:t>
      </w:r>
    </w:p>
    <w:p w14:paraId="6E94A00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Наземных частей, находящихся в рейде, в состав которых войдут: 1. Мотомех-войска; 2. Конница; 3. Артиллерия.</w:t>
      </w:r>
    </w:p>
    <w:p w14:paraId="56CCAEA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Партизанских отрядов и восстаний в тылу противника.</w:t>
      </w:r>
    </w:p>
    <w:p w14:paraId="0555CCE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Мото-мех частей, находящихся в отрыве от базы или действующих в тылу противника.</w:t>
      </w:r>
    </w:p>
    <w:p w14:paraId="47A1D01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Частей пехоты и артиллерии, находящихся в окружении.</w:t>
      </w:r>
    </w:p>
    <w:p w14:paraId="25B9FCD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Десантных подразделений специального назначения.</w:t>
      </w:r>
    </w:p>
    <w:p w14:paraId="6B24C9A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Переброска срочных грузов в своем тылу.</w:t>
      </w:r>
    </w:p>
    <w:p w14:paraId="7D59ACF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Метод применения.</w:t>
      </w:r>
    </w:p>
    <w:p w14:paraId="744D65B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над своей территорией одиночными самолетами, а над территорией противника как правило группами.</w:t>
      </w:r>
    </w:p>
    <w:p w14:paraId="5843B2D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Защита групповых транспортных самолетов должна основываться на сопровождении двухместными самолетами истребителями. Самозащита заключается в одной турельной установке с одним пулеметом для обстрела верхней полусферы. В особых случаях устанавливаются 3 дополнительных пулемета ДА, за счет перевозимого груза.</w:t>
      </w:r>
    </w:p>
    <w:p w14:paraId="38308CB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применения в пределах от 1000 м до 2500 м.</w:t>
      </w:r>
    </w:p>
    <w:p w14:paraId="3994161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Последовательность выполнения требований.</w:t>
      </w:r>
    </w:p>
    <w:p w14:paraId="011F30C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Быстрота, удобство и возможность загрузи самолета любым грузом или любой комбинацией грузов в пределах полезной нагрузки.</w:t>
      </w:r>
    </w:p>
    <w:p w14:paraId="249E979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Диапазон скоростей.</w:t>
      </w:r>
    </w:p>
    <w:p w14:paraId="732A1AC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Взлетные качества и потолок.</w:t>
      </w:r>
    </w:p>
    <w:p w14:paraId="3153107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иметь приспособления и обладать соответствующей грузоемкостью для перевозки следующих грузов:</w:t>
      </w:r>
    </w:p>
    <w:p w14:paraId="5AAC5DC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Горючее и смазочное.</w:t>
      </w:r>
    </w:p>
    <w:p w14:paraId="2195A6D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ОВ в баллонах или в специально установленных баках, по типу баков, предназначенных для горючего.</w:t>
      </w:r>
    </w:p>
    <w:p w14:paraId="052EEF1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Авиабомбы, калибром до 250 кг.</w:t>
      </w:r>
    </w:p>
    <w:p w14:paraId="7495E19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Патроны в обычной укупорке в ящиках или цинках. Ружейные или ручные гранаты.</w:t>
      </w:r>
    </w:p>
    <w:p w14:paraId="34FB970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Артиллерийские снаряды для орудий, состоящих на вооружении авиации и легкой артиллерии. Перевозка может совершаться в постоянной, обычной для данного типа груза укупорке или. В крайнем случае на специальных стеллажах без укупорки.</w:t>
      </w:r>
    </w:p>
    <w:p w14:paraId="32DE8EB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авиационные и наземные всех типов в специальной укупорке.</w:t>
      </w:r>
    </w:p>
    <w:p w14:paraId="1F14BBE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Винтовки в постоянной укупорке.</w:t>
      </w:r>
    </w:p>
    <w:p w14:paraId="797A193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Запасные части к моторам и сами моторы в количестве 1-2 одновременно.</w:t>
      </w:r>
    </w:p>
    <w:p w14:paraId="5C26FE1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крупные запчасти к самолетам.</w:t>
      </w:r>
    </w:p>
    <w:p w14:paraId="5EEEBCC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Радиостанции самолетные в специальной укупорке.</w:t>
      </w:r>
    </w:p>
    <w:p w14:paraId="07CC106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Авиафотоаппараты в специальной укупорке.</w:t>
      </w:r>
    </w:p>
    <w:p w14:paraId="3A9D320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Личный состав авиачастей и других родов в количестве 15-20 человек.</w:t>
      </w:r>
    </w:p>
    <w:p w14:paraId="3B9519C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Баллоны со сжатым воздухом, кислородом.</w:t>
      </w:r>
    </w:p>
    <w:p w14:paraId="6209A11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Инструмент для ангарного ремонта самолетов.</w:t>
      </w:r>
    </w:p>
    <w:p w14:paraId="2676782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Мелкое аэродромное оборудование: воронки, ведра, огнетушители, переносные аэродромные знаки.</w:t>
      </w:r>
    </w:p>
    <w:p w14:paraId="29EC46D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Литература в пачках.</w:t>
      </w:r>
    </w:p>
    <w:p w14:paraId="686745D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Медикаменты.</w:t>
      </w:r>
    </w:p>
    <w:p w14:paraId="5CEEC30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Фотохимикалии.</w:t>
      </w:r>
    </w:p>
    <w:p w14:paraId="4EBD151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Консервы и галеты в ящиках, пища в термосах (32 литра).</w:t>
      </w:r>
    </w:p>
    <w:p w14:paraId="46E032D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Желательно предусмотреть перевозку пушек.</w:t>
      </w:r>
    </w:p>
    <w:p w14:paraId="220AF6C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иметь соответствующие приспособления для сбрасывания и допускать сбрасывание на парашютах следующих грузов: пулеметы, патроны, горючее и смазочное, люди, медикаменты и литература.</w:t>
      </w:r>
    </w:p>
    <w:p w14:paraId="19AA5BF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 загрузку одной машины с момента доставки грузов к машине или подруливания самолета к месту расположения грузов не должно превышать 1 часа для любого типа грузов.</w:t>
      </w:r>
    </w:p>
    <w:p w14:paraId="37967EC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 выгрузку перевезенных грузов не должно занимать более 10-15 минут. Выгрузка всех перевезенных людей на парашютах должна производиться не более чем в 20 секунд.</w:t>
      </w:r>
    </w:p>
    <w:p w14:paraId="238B4C2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быть построен с применением отечественных материалов и полуфабрикатов отечественного производства. Применение заграничных материалов и полуфабрикатов исключая алюминий допускается лишь при наличии возможности получения аналогичных советских материалов для серийной продукции не позднее выхода самолета на испытания.</w:t>
      </w:r>
    </w:p>
    <w:p w14:paraId="31F61BB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самолета должна быть проникнута идеей дешевизны и легкости производства ее в серии с сохранением минимального веса конструкции. Вес полной нормальной нагрузки самолета должен составлять не менее 50% полетного веса.</w:t>
      </w:r>
    </w:p>
    <w:p w14:paraId="4990F16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основной целью создания транспортника является его экономичность и грузоподъемность, то на получение наименьшего веса конструкции самолета должно быть обращено сугубое внимание.</w:t>
      </w:r>
    </w:p>
    <w:p w14:paraId="5889B45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должно найти отражение в самой конструкции машины, где прежде всего широко должны быть использованы пластмассы......(3903,3-11).</w:t>
      </w:r>
    </w:p>
    <w:p w14:paraId="35D74E3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FE1203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1933 прошло совещание у Н.М.Харламова совместно с директором завода Левцовым и техническим директором Дайбог о производстве ТБ-4 (1077,179).</w:t>
      </w:r>
    </w:p>
    <w:p w14:paraId="1A9E0F0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3D0B3999" w14:textId="77777777" w:rsidR="00155128" w:rsidRPr="0044524F" w:rsidRDefault="001551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1934 года начальник УВС РККА Я. И. Алкснис утвердил тактико-технические требования на ближний бом</w:t>
      </w:r>
      <w:r w:rsidRPr="0044524F">
        <w:rPr>
          <w:rFonts w:ascii="Times New Roman" w:hAnsi="Times New Roman"/>
          <w:color w:val="000000" w:themeColor="text1"/>
          <w:sz w:val="16"/>
          <w:szCs w:val="16"/>
        </w:rPr>
        <w:softHyphen/>
        <w:t>бардировщик, а непосредственное руководство про</w:t>
      </w:r>
      <w:r w:rsidRPr="0044524F">
        <w:rPr>
          <w:rFonts w:ascii="Times New Roman" w:hAnsi="Times New Roman"/>
          <w:color w:val="000000" w:themeColor="text1"/>
          <w:sz w:val="16"/>
          <w:szCs w:val="16"/>
        </w:rPr>
        <w:softHyphen/>
        <w:t>ектированием машины взял на себя С. В. Ильюшин, одновременно возглавлявший третью бригаду ЦКБ.</w:t>
      </w:r>
    </w:p>
    <w:p w14:paraId="72AD65DD" w14:textId="77777777" w:rsidR="00155128" w:rsidRPr="0044524F" w:rsidRDefault="001551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Есть основание полагать, что в основу ЦКБ-26 был положен один из проектов Н. Н. Поликарпова. Дело в том, что Николай Николаевич часто конфлик</w:t>
      </w:r>
      <w:r w:rsidRPr="0044524F">
        <w:rPr>
          <w:rFonts w:ascii="Times New Roman" w:hAnsi="Times New Roman"/>
          <w:color w:val="000000" w:themeColor="text1"/>
          <w:sz w:val="16"/>
          <w:szCs w:val="16"/>
        </w:rPr>
        <w:softHyphen/>
        <w:t>товал с А. Н.Туполевым, не разделяя его взглядов на развитие истребительной авиации. В 1931 году отдел авиации и гидроавиации непродолжительное время входил в состав ЦКБ; и Туполев успел и там «оставить свой след», сняв Поликарпова с долж</w:t>
      </w:r>
      <w:r w:rsidRPr="0044524F">
        <w:rPr>
          <w:rFonts w:ascii="Times New Roman" w:hAnsi="Times New Roman"/>
          <w:color w:val="000000" w:themeColor="text1"/>
          <w:sz w:val="16"/>
          <w:szCs w:val="16"/>
        </w:rPr>
        <w:softHyphen/>
        <w:t>ности начальника истребительной бригады. Илью</w:t>
      </w:r>
      <w:r w:rsidRPr="0044524F">
        <w:rPr>
          <w:rFonts w:ascii="Times New Roman" w:hAnsi="Times New Roman"/>
          <w:color w:val="000000" w:themeColor="text1"/>
          <w:sz w:val="16"/>
          <w:szCs w:val="16"/>
        </w:rPr>
        <w:softHyphen/>
        <w:t>шин же не разделял взглядов «патриарха советского самолетостроения» и поручил Поликарпову разра</w:t>
      </w:r>
      <w:r w:rsidRPr="0044524F">
        <w:rPr>
          <w:rFonts w:ascii="Times New Roman" w:hAnsi="Times New Roman"/>
          <w:color w:val="000000" w:themeColor="text1"/>
          <w:sz w:val="16"/>
          <w:szCs w:val="16"/>
        </w:rPr>
        <w:softHyphen/>
        <w:t>ботку истребителей И-15 и И-16, ставших, как из</w:t>
      </w:r>
      <w:r w:rsidRPr="0044524F">
        <w:rPr>
          <w:rFonts w:ascii="Times New Roman" w:hAnsi="Times New Roman"/>
          <w:color w:val="000000" w:themeColor="text1"/>
          <w:sz w:val="16"/>
          <w:szCs w:val="16"/>
        </w:rPr>
        <w:softHyphen/>
        <w:t>вестно, в 1941 году главной сдерживающей силой против немцев в начальный период Великой Отече</w:t>
      </w:r>
      <w:r w:rsidRPr="0044524F">
        <w:rPr>
          <w:rFonts w:ascii="Times New Roman" w:hAnsi="Times New Roman"/>
          <w:color w:val="000000" w:themeColor="text1"/>
          <w:sz w:val="16"/>
          <w:szCs w:val="16"/>
        </w:rPr>
        <w:softHyphen/>
        <w:t>ственной войны.</w:t>
      </w:r>
    </w:p>
    <w:p w14:paraId="0129D3D6" w14:textId="248516C3" w:rsidR="00155128" w:rsidRPr="0044524F" w:rsidRDefault="0015512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благодарность за это Поликарпов, возглавив свое КБ, и оставил Сергею Владимировичу недо- введенный до конца проект будущего ББ-2.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(23188).</w:t>
      </w:r>
    </w:p>
    <w:p w14:paraId="3CB078A8" w14:textId="77777777" w:rsidR="00155128" w:rsidRPr="0044524F" w:rsidRDefault="00155128" w:rsidP="009654CF">
      <w:pPr>
        <w:spacing w:after="0" w:line="240" w:lineRule="auto"/>
        <w:jc w:val="both"/>
        <w:rPr>
          <w:rFonts w:ascii="Times New Roman" w:hAnsi="Times New Roman"/>
          <w:color w:val="000000" w:themeColor="text1"/>
          <w:sz w:val="16"/>
          <w:szCs w:val="16"/>
        </w:rPr>
      </w:pPr>
    </w:p>
    <w:p w14:paraId="0B388EDA" w14:textId="77777777" w:rsidR="00863F47" w:rsidRPr="0044524F" w:rsidRDefault="00863F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1933 в 4.30 «СССР В-3» вылетел из Москвы в Иваново-Вознесенск в свой сотый рейс. В 8.30 дирижабль прибыл в Иваново. За час до прилёта дирижабль установил связь с мест</w:t>
      </w:r>
      <w:r w:rsidRPr="0044524F">
        <w:rPr>
          <w:rFonts w:ascii="Times New Roman" w:hAnsi="Times New Roman"/>
          <w:color w:val="000000" w:themeColor="text1"/>
          <w:sz w:val="16"/>
          <w:szCs w:val="16"/>
        </w:rPr>
        <w:softHyphen/>
        <w:t>ными радистами-коротковолновиками. Для приёма дирижабля организовали команду из курсантов лётной школы Осоавиахима. В тор</w:t>
      </w:r>
      <w:r w:rsidRPr="0044524F">
        <w:rPr>
          <w:rFonts w:ascii="Times New Roman" w:hAnsi="Times New Roman"/>
          <w:color w:val="000000" w:themeColor="text1"/>
          <w:sz w:val="16"/>
          <w:szCs w:val="16"/>
        </w:rPr>
        <w:softHyphen/>
        <w:t>жественной встрече приняли участие ударники ивановских заводов. На следующий день, между 12.00 и 18.00, «СССР В-3» выполнил пять полё</w:t>
      </w:r>
      <w:r w:rsidRPr="0044524F">
        <w:rPr>
          <w:rFonts w:ascii="Times New Roman" w:hAnsi="Times New Roman"/>
          <w:color w:val="000000" w:themeColor="text1"/>
          <w:sz w:val="16"/>
          <w:szCs w:val="16"/>
        </w:rPr>
        <w:softHyphen/>
        <w:t>тов над городом с ударниками местных фабрик и заводов. Во время четвёртого рейса с дирижа</w:t>
      </w:r>
      <w:r w:rsidRPr="0044524F">
        <w:rPr>
          <w:rFonts w:ascii="Times New Roman" w:hAnsi="Times New Roman"/>
          <w:color w:val="000000" w:themeColor="text1"/>
          <w:sz w:val="16"/>
          <w:szCs w:val="16"/>
        </w:rPr>
        <w:softHyphen/>
        <w:t>бля, шедшего на высоте 350 м, продемонстри</w:t>
      </w:r>
      <w:r w:rsidRPr="0044524F">
        <w:rPr>
          <w:rFonts w:ascii="Times New Roman" w:hAnsi="Times New Roman"/>
          <w:color w:val="000000" w:themeColor="text1"/>
          <w:sz w:val="16"/>
          <w:szCs w:val="16"/>
        </w:rPr>
        <w:softHyphen/>
        <w:t>ровали прыжки с парашютом. При полётах над городом разбрасывались листовки. Из Иваново «СССР В-3» вылетел 30 августа в 18.30 и пришёл на базу после 7 часов ночного полёта (20120).</w:t>
      </w:r>
    </w:p>
    <w:p w14:paraId="13CCFFC3" w14:textId="77777777" w:rsidR="00863F47" w:rsidRPr="0044524F" w:rsidRDefault="00863F47" w:rsidP="009654CF">
      <w:pPr>
        <w:spacing w:after="0" w:line="240" w:lineRule="auto"/>
        <w:jc w:val="both"/>
        <w:rPr>
          <w:rFonts w:ascii="Times New Roman" w:hAnsi="Times New Roman"/>
          <w:color w:val="000000" w:themeColor="text1"/>
          <w:sz w:val="16"/>
          <w:szCs w:val="16"/>
        </w:rPr>
      </w:pPr>
    </w:p>
    <w:p w14:paraId="3A7CA904" w14:textId="77777777" w:rsidR="00863F47" w:rsidRPr="0044524F" w:rsidRDefault="00863F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1933 г. «СССР В-2» вышел на трассу Москва — Казань, но из-за сильного встречного ветра и необеспеченности промежуточной базы в Арзамасе горючим вернулся. На следующий день в 5.40 он вторично вылетел из Москвы в аги</w:t>
      </w:r>
      <w:r w:rsidRPr="0044524F">
        <w:rPr>
          <w:rFonts w:ascii="Times New Roman" w:hAnsi="Times New Roman"/>
          <w:color w:val="000000" w:themeColor="text1"/>
          <w:sz w:val="16"/>
          <w:szCs w:val="16"/>
        </w:rPr>
        <w:softHyphen/>
        <w:t>тационный полёт на Казань. От посадки в Арза</w:t>
      </w:r>
      <w:r w:rsidRPr="0044524F">
        <w:rPr>
          <w:rFonts w:ascii="Times New Roman" w:hAnsi="Times New Roman"/>
          <w:color w:val="000000" w:themeColor="text1"/>
          <w:sz w:val="16"/>
          <w:szCs w:val="16"/>
        </w:rPr>
        <w:softHyphen/>
        <w:t>масе пришлось отказаться из-за неготовности к приёмке дирижабля на местном аэродроме. В 15.30 дирижабль прибыл в столицу Советской Татарии, пройдя 840 км за 9 ч 50 мин. (20120).</w:t>
      </w:r>
    </w:p>
    <w:p w14:paraId="5B6CDBBD" w14:textId="77777777" w:rsidR="00863F47" w:rsidRPr="0044524F" w:rsidRDefault="00863F47" w:rsidP="009654CF">
      <w:pPr>
        <w:spacing w:after="0" w:line="240" w:lineRule="auto"/>
        <w:jc w:val="both"/>
        <w:rPr>
          <w:rFonts w:ascii="Times New Roman" w:hAnsi="Times New Roman"/>
          <w:color w:val="000000" w:themeColor="text1"/>
          <w:sz w:val="16"/>
          <w:szCs w:val="16"/>
        </w:rPr>
      </w:pPr>
    </w:p>
    <w:p w14:paraId="7A36C0F7" w14:textId="77777777" w:rsidR="00863F47" w:rsidRPr="0044524F" w:rsidRDefault="00863F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29 августа 1933 г. по 5 марта 1934 г. выпустили 12 пар шаров-зондов: 10 пар с метеорографами различ</w:t>
      </w:r>
      <w:r w:rsidRPr="0044524F">
        <w:rPr>
          <w:rFonts w:ascii="Times New Roman" w:hAnsi="Times New Roman"/>
          <w:color w:val="000000" w:themeColor="text1"/>
          <w:sz w:val="16"/>
          <w:szCs w:val="16"/>
        </w:rPr>
        <w:softHyphen/>
        <w:t>ных систем (кие испытания метеорографов систем «Бош-Хергезелль» (Германия) и П.А. Молчано</w:t>
      </w:r>
      <w:r w:rsidRPr="0044524F">
        <w:rPr>
          <w:rFonts w:ascii="Times New Roman" w:hAnsi="Times New Roman"/>
          <w:color w:val="000000" w:themeColor="text1"/>
          <w:sz w:val="16"/>
          <w:szCs w:val="16"/>
        </w:rPr>
        <w:softHyphen/>
        <w:t>ва (СССР) провёл А.Б. Калиновский в Москов</w:t>
      </w:r>
      <w:r w:rsidRPr="0044524F">
        <w:rPr>
          <w:rFonts w:ascii="Times New Roman" w:hAnsi="Times New Roman"/>
          <w:color w:val="000000" w:themeColor="text1"/>
          <w:sz w:val="16"/>
          <w:szCs w:val="16"/>
        </w:rPr>
        <w:softHyphen/>
        <w:t>ской аэрологической обсерватории) и две пары с одинаковыми метеоро</w:t>
      </w:r>
      <w:r w:rsidRPr="0044524F">
        <w:rPr>
          <w:rFonts w:ascii="Times New Roman" w:hAnsi="Times New Roman"/>
          <w:color w:val="000000" w:themeColor="text1"/>
          <w:sz w:val="16"/>
          <w:szCs w:val="16"/>
        </w:rPr>
        <w:softHyphen/>
        <w:t>графами. Анализ полученных данных показал, что общий ход температуры и влажности мете</w:t>
      </w:r>
      <w:r w:rsidRPr="0044524F">
        <w:rPr>
          <w:rFonts w:ascii="Times New Roman" w:hAnsi="Times New Roman"/>
          <w:color w:val="000000" w:themeColor="text1"/>
          <w:sz w:val="16"/>
          <w:szCs w:val="16"/>
        </w:rPr>
        <w:softHyphen/>
        <w:t>орографов передавался достаточно идентично, и все особые точки отмечались приборами обоих типов. Максимальное расхождение данных тем</w:t>
      </w:r>
      <w:r w:rsidRPr="0044524F">
        <w:rPr>
          <w:rFonts w:ascii="Times New Roman" w:hAnsi="Times New Roman"/>
          <w:color w:val="000000" w:themeColor="text1"/>
          <w:sz w:val="16"/>
          <w:szCs w:val="16"/>
        </w:rPr>
        <w:softHyphen/>
        <w:t>пературы до 7-8 км не превышало 3°C, а в стра</w:t>
      </w:r>
      <w:r w:rsidRPr="0044524F">
        <w:rPr>
          <w:rFonts w:ascii="Times New Roman" w:hAnsi="Times New Roman"/>
          <w:color w:val="000000" w:themeColor="text1"/>
          <w:sz w:val="16"/>
          <w:szCs w:val="16"/>
        </w:rPr>
        <w:softHyphen/>
        <w:t>тосфере советский и германский метеорографы давали вполне согласное изменение температу</w:t>
      </w:r>
      <w:r w:rsidRPr="0044524F">
        <w:rPr>
          <w:rFonts w:ascii="Times New Roman" w:hAnsi="Times New Roman"/>
          <w:color w:val="000000" w:themeColor="text1"/>
          <w:sz w:val="16"/>
          <w:szCs w:val="16"/>
        </w:rPr>
        <w:softHyphen/>
        <w:t>ры. Отмечалась необходимость улучшить каче</w:t>
      </w:r>
      <w:r w:rsidRPr="0044524F">
        <w:rPr>
          <w:rFonts w:ascii="Times New Roman" w:hAnsi="Times New Roman"/>
          <w:color w:val="000000" w:themeColor="text1"/>
          <w:sz w:val="16"/>
          <w:szCs w:val="16"/>
        </w:rPr>
        <w:softHyphen/>
        <w:t>ство изготовления метеорографов П.А. Молча</w:t>
      </w:r>
      <w:r w:rsidRPr="0044524F">
        <w:rPr>
          <w:rFonts w:ascii="Times New Roman" w:hAnsi="Times New Roman"/>
          <w:color w:val="000000" w:themeColor="text1"/>
          <w:sz w:val="16"/>
          <w:szCs w:val="16"/>
        </w:rPr>
        <w:softHyphen/>
        <w:t>нова, которые требовалось рассчитывать на вы</w:t>
      </w:r>
      <w:r w:rsidRPr="0044524F">
        <w:rPr>
          <w:rFonts w:ascii="Times New Roman" w:hAnsi="Times New Roman"/>
          <w:color w:val="000000" w:themeColor="text1"/>
          <w:sz w:val="16"/>
          <w:szCs w:val="16"/>
        </w:rPr>
        <w:softHyphen/>
        <w:t>соты не менее 15 км, и изменить конструкцию их коробки давления для повышения точности измерений. П.А. Молчанов согласился с выводами А.Б. Калиновского, и в 1935 г. «Гидрогеоприбор» выпу</w:t>
      </w:r>
      <w:r w:rsidRPr="0044524F">
        <w:rPr>
          <w:rFonts w:ascii="Times New Roman" w:hAnsi="Times New Roman"/>
          <w:color w:val="000000" w:themeColor="text1"/>
          <w:sz w:val="16"/>
          <w:szCs w:val="16"/>
        </w:rPr>
        <w:softHyphen/>
        <w:t>стил шесть зондовых метеорографов, предназна</w:t>
      </w:r>
      <w:r w:rsidRPr="0044524F">
        <w:rPr>
          <w:rFonts w:ascii="Times New Roman" w:hAnsi="Times New Roman"/>
          <w:color w:val="000000" w:themeColor="text1"/>
          <w:sz w:val="16"/>
          <w:szCs w:val="16"/>
        </w:rPr>
        <w:softHyphen/>
        <w:t>чавшихся для определения температуры воздуха, давления и влажности на высотах свыше 20 км (20120).</w:t>
      </w:r>
    </w:p>
    <w:p w14:paraId="2195C5BC" w14:textId="77777777" w:rsidR="00863F47" w:rsidRPr="0044524F" w:rsidRDefault="00863F47" w:rsidP="009654CF">
      <w:pPr>
        <w:spacing w:after="0" w:line="240" w:lineRule="auto"/>
        <w:jc w:val="both"/>
        <w:rPr>
          <w:rFonts w:ascii="Times New Roman" w:hAnsi="Times New Roman"/>
          <w:color w:val="000000" w:themeColor="text1"/>
          <w:sz w:val="16"/>
          <w:szCs w:val="16"/>
        </w:rPr>
      </w:pPr>
    </w:p>
    <w:p w14:paraId="3CB3AE6D"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437637D"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BF08EB8"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1933</w:t>
      </w:r>
    </w:p>
    <w:p w14:paraId="06A020A8"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144 заседания Политбюро ЦК ВКП(б) от 29 августа 1933 года</w:t>
      </w:r>
    </w:p>
    <w:p w14:paraId="48119197"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29</w:t>
      </w:r>
      <w:r w:rsidRPr="0044524F">
        <w:rPr>
          <w:rFonts w:ascii="Times New Roman" w:hAnsi="Times New Roman"/>
          <w:color w:val="000000" w:themeColor="text1"/>
          <w:sz w:val="16"/>
          <w:szCs w:val="16"/>
        </w:rPr>
        <w:noBreakHyphen/>
        <w:t>го августа 1933 года.</w:t>
      </w:r>
    </w:p>
    <w:p w14:paraId="650B2F69"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39/18: Об орудийных заводах</w:t>
      </w:r>
    </w:p>
    <w:p w14:paraId="7926BC03"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Выделить из Орудийно-Арсенального объединения орудийные заводы и подчинить их непосредственно НКТПрому.</w:t>
      </w:r>
    </w:p>
    <w:p w14:paraId="5E07BC5E"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Организовать арсенальный трест, подчинив ему арсеналы.</w:t>
      </w:r>
    </w:p>
    <w:p w14:paraId="69D256F6"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Назначить т. Будняка директором завода “Баррикады”, поставив перед ним, как боевую задачу, в минимальный срок закончить реконструкцию завода и наладить образцовую постановку дела.</w:t>
      </w:r>
    </w:p>
    <w:p w14:paraId="455EFC06"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Освободить т. Сальникова от должности директора завода “Баррикады”. Назначить его управляющим Арсенальным трестом.</w:t>
      </w:r>
    </w:p>
    <w:p w14:paraId="67F75828"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(18144).</w:t>
      </w:r>
    </w:p>
    <w:p w14:paraId="16FDD88A"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144 заседания Политбюро ЦК ВКП(б) от 29 августа 1933 года</w:t>
      </w:r>
    </w:p>
    <w:p w14:paraId="2368F017"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29</w:t>
      </w:r>
      <w:r w:rsidRPr="0044524F">
        <w:rPr>
          <w:rFonts w:ascii="Times New Roman" w:hAnsi="Times New Roman"/>
          <w:color w:val="000000" w:themeColor="text1"/>
          <w:sz w:val="16"/>
          <w:szCs w:val="16"/>
        </w:rPr>
        <w:noBreakHyphen/>
        <w:t>го августа 1933 года.</w:t>
      </w:r>
    </w:p>
    <w:p w14:paraId="0BCF608D"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 98/77: Вопросы Комиссии Обороны</w:t>
      </w:r>
    </w:p>
    <w:p w14:paraId="2DB7AB8F"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7A3D5879"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СТО:</w:t>
      </w:r>
    </w:p>
    <w:p w14:paraId="1E781DC2"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 выделении из резервного фонда СНК СССР 200 тысяч рублей валюты на приобретение импортных деталей трубчатки и брайсточной установки для развития производства авиамасел;</w:t>
      </w:r>
    </w:p>
    <w:p w14:paraId="011A6270"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 закупке Наркоматом внешней торговли в Америке и в Европе современных образцов авиатоплива и масел;</w:t>
      </w:r>
    </w:p>
    <w:p w14:paraId="6C3F16AF"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командировании в Америку и Европу комиссии для изучения производства авиатоплива, авиамасел и оборудования для них.</w:t>
      </w:r>
    </w:p>
    <w:p w14:paraId="4B563A06"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45FCE6B3" w14:textId="77777777" w:rsidR="00AB1245" w:rsidRPr="0044524F" w:rsidRDefault="00AB12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Базилевичу, Мирошникову (18144).</w:t>
      </w:r>
    </w:p>
    <w:p w14:paraId="122B37CC" w14:textId="77777777" w:rsidR="00AB1245" w:rsidRPr="0044524F" w:rsidRDefault="00AB1245" w:rsidP="009654CF">
      <w:pPr>
        <w:spacing w:after="0" w:line="240" w:lineRule="auto"/>
        <w:jc w:val="both"/>
        <w:rPr>
          <w:rFonts w:ascii="Times New Roman" w:hAnsi="Times New Roman"/>
          <w:color w:val="000000" w:themeColor="text1"/>
          <w:sz w:val="16"/>
          <w:szCs w:val="16"/>
        </w:rPr>
      </w:pPr>
    </w:p>
    <w:p w14:paraId="1F084DA0"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1933 г. химическое имущество на 2 вагонах и 4 платформах в районе г. Себежа (ныне Псковская обл.) переправили через границу и 11 сентября через Ленинградский порт (10670,175).</w:t>
      </w:r>
    </w:p>
    <w:p w14:paraId="1C96B5AA"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CC3F99F"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1933</w:t>
      </w:r>
    </w:p>
    <w:p w14:paraId="654C31CF"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144 заседания Политбюро ЦК ВКП(б) от 29 августа 1933 года</w:t>
      </w:r>
    </w:p>
    <w:p w14:paraId="371FC55D"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29</w:t>
      </w:r>
      <w:r w:rsidRPr="0044524F">
        <w:rPr>
          <w:rFonts w:ascii="Times New Roman" w:hAnsi="Times New Roman"/>
          <w:color w:val="000000" w:themeColor="text1"/>
          <w:sz w:val="16"/>
          <w:szCs w:val="16"/>
        </w:rPr>
        <w:noBreakHyphen/>
        <w:t>го августа 1933 года.</w:t>
      </w:r>
    </w:p>
    <w:p w14:paraId="58E36197"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Опросом членов Политбюро от 19.VIII.1933 г.</w:t>
      </w:r>
    </w:p>
    <w:p w14:paraId="2623D1C5"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47/26: Об автозаводах</w:t>
      </w:r>
    </w:p>
    <w:p w14:paraId="47334C55"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Признать необходимым развитие мощностей автозаводов:</w:t>
      </w:r>
    </w:p>
    <w:p w14:paraId="16042396"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Ярославского — на 50.000 штук 5</w:t>
      </w:r>
      <w:r w:rsidRPr="0044524F">
        <w:rPr>
          <w:rFonts w:ascii="Times New Roman" w:hAnsi="Times New Roman"/>
          <w:color w:val="000000" w:themeColor="text1"/>
          <w:sz w:val="16"/>
          <w:szCs w:val="16"/>
        </w:rPr>
        <w:noBreakHyphen/>
        <w:t>ти тонных с небольшим количеством 8</w:t>
      </w:r>
      <w:r w:rsidRPr="0044524F">
        <w:rPr>
          <w:rFonts w:ascii="Times New Roman" w:hAnsi="Times New Roman"/>
          <w:color w:val="000000" w:themeColor="text1"/>
          <w:sz w:val="16"/>
          <w:szCs w:val="16"/>
        </w:rPr>
        <w:noBreakHyphen/>
        <w:t>ми тонных машин в год;</w:t>
      </w:r>
    </w:p>
    <w:p w14:paraId="37D5E8A4"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 т. Сталина — на 80.000 машин в год, из них 10.000 легковых, взяв за основу тип “Бьюик” 1933 г.</w:t>
      </w:r>
    </w:p>
    <w:p w14:paraId="244AA96E"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Построить завод “Новый АМО” в районе Урала мощностью в 200.000 машин в год.</w:t>
      </w:r>
    </w:p>
    <w:p w14:paraId="5F52B03C"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Расширить ГАЗ им. Молотова до мощности в 300.000 машин, из них ⅓ легковых — лимузин.</w:t>
      </w:r>
    </w:p>
    <w:p w14:paraId="023FCE62"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Сверх указанных мощностей на этих заводах должно быть предусмотрено производство соответствующего количества запасных частей.</w:t>
      </w:r>
    </w:p>
    <w:p w14:paraId="64DD3E3F"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Решение — особая папка.</w:t>
      </w:r>
    </w:p>
    <w:p w14:paraId="16A9DD05"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 проработать вопрос об импорте для расширения завода им. Сталина, исходя из максимальной суммы в 3.000.000 рублей; остальную потребность в импортном оборудовании удовлетворить за счет тщательной проверки и использования имеющихся излишков на других заводах НКТП.</w:t>
      </w:r>
    </w:p>
    <w:p w14:paraId="0D90C30A"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05970F48"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Орджоникидзе, Куйбышеву, Межлауку В.</w:t>
      </w:r>
    </w:p>
    <w:p w14:paraId="0F31FCEC"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При постановке производства легковых машин на заводе им. т. Сталина полностью использовать опыт завода “Красный Путиловец”.</w:t>
      </w:r>
    </w:p>
    <w:p w14:paraId="0BC0B351"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НКТП совместно с Госпланом, на основе настоящего решения, проработать и внести предложения на утверждение ЦК ВКП(б).</w:t>
      </w:r>
    </w:p>
    <w:p w14:paraId="7AABEC22" w14:textId="77777777" w:rsidR="0012348E" w:rsidRPr="0044524F" w:rsidRDefault="001234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работы — двухдекадный (18069).</w:t>
      </w:r>
    </w:p>
    <w:p w14:paraId="308EE005" w14:textId="77777777" w:rsidR="0012348E" w:rsidRPr="0044524F" w:rsidRDefault="0012348E" w:rsidP="009654CF">
      <w:pPr>
        <w:spacing w:after="0" w:line="240" w:lineRule="auto"/>
        <w:jc w:val="both"/>
        <w:rPr>
          <w:rFonts w:ascii="Times New Roman" w:hAnsi="Times New Roman"/>
          <w:color w:val="000000" w:themeColor="text1"/>
          <w:sz w:val="16"/>
          <w:szCs w:val="16"/>
        </w:rPr>
      </w:pPr>
    </w:p>
    <w:p w14:paraId="7434E978" w14:textId="77777777" w:rsidR="00D142A2" w:rsidRPr="0044524F" w:rsidRDefault="00D142A2" w:rsidP="009654CF">
      <w:pPr>
        <w:pStyle w:val="rtejustify"/>
        <w:spacing w:before="0" w:after="0"/>
        <w:rPr>
          <w:color w:val="000000" w:themeColor="text1"/>
          <w:sz w:val="16"/>
          <w:szCs w:val="16"/>
        </w:rPr>
      </w:pPr>
      <w:r w:rsidRPr="0044524F">
        <w:rPr>
          <w:rStyle w:val="af0"/>
          <w:bCs/>
          <w:i w:val="0"/>
          <w:color w:val="000000" w:themeColor="text1"/>
          <w:sz w:val="16"/>
          <w:szCs w:val="16"/>
        </w:rPr>
        <w:t>29 августа</w:t>
      </w:r>
      <w:r w:rsidRPr="0044524F">
        <w:rPr>
          <w:color w:val="000000" w:themeColor="text1"/>
          <w:sz w:val="16"/>
          <w:szCs w:val="16"/>
        </w:rPr>
        <w:t xml:space="preserve"> 1933. Протокол заседания Политбюро ЦК ВКП (б) № 144. </w:t>
      </w:r>
      <w:hyperlink r:id="rId310" w:anchor="showunit&amp;id=87356" w:history="1">
        <w:r w:rsidRPr="0044524F">
          <w:rPr>
            <w:rStyle w:val="a5"/>
            <w:color w:val="000000" w:themeColor="text1"/>
            <w:sz w:val="16"/>
            <w:szCs w:val="16"/>
          </w:rPr>
          <w:t>10. Об улучшении организационной структуры НКТП</w:t>
        </w:r>
      </w:hyperlink>
      <w:r w:rsidRPr="0044524F">
        <w:rPr>
          <w:color w:val="000000" w:themeColor="text1"/>
          <w:sz w:val="16"/>
          <w:szCs w:val="16"/>
        </w:rPr>
        <w:t xml:space="preserve"> (ПБ от 15 июля 1933 г., пр. № 141, п. 3) (Орджоникидзе, Молотов, Л. Каганович, М. Каганович, Ежов, Полонский). Решено: а) Утвердить с поправками выработанный комиссией проект постановления о специализации и разукрупнении главных управлений Наркомата тяжелой промышленности СССР и ликвидации соответствующих объединений и трестов. б) Утвердить начальников вновь организуемых главных управлений НКТП (далее дан список начальников и перечень управлений). </w:t>
      </w:r>
      <w:hyperlink r:id="rId311" w:anchor="showunit&amp;id=87367" w:history="1">
        <w:r w:rsidRPr="0044524F">
          <w:rPr>
            <w:rStyle w:val="a5"/>
            <w:color w:val="000000" w:themeColor="text1"/>
            <w:sz w:val="16"/>
            <w:szCs w:val="16"/>
          </w:rPr>
          <w:t>11. О производстве радиоприемников и о радиофикации</w:t>
        </w:r>
      </w:hyperlink>
      <w:r w:rsidRPr="0044524F">
        <w:rPr>
          <w:color w:val="000000" w:themeColor="text1"/>
          <w:sz w:val="16"/>
          <w:szCs w:val="16"/>
        </w:rPr>
        <w:t xml:space="preserve"> (Стецкий, Орджоникидзе, Межлаук, Рыков). Решено поручить Куйбышеву рассмотреть предложения Стецкого и Керженцева (с привлечением обоих) и учесть их при составлении пятилетнего плана по радиофикации. </w:t>
      </w:r>
      <w:hyperlink r:id="rId312" w:anchor="showunit&amp;id=87463" w:history="1">
        <w:r w:rsidRPr="0044524F">
          <w:rPr>
            <w:rStyle w:val="a5"/>
            <w:color w:val="000000" w:themeColor="text1"/>
            <w:sz w:val="16"/>
            <w:szCs w:val="16"/>
          </w:rPr>
          <w:t>39/18. Об орудийных заводах</w:t>
        </w:r>
      </w:hyperlink>
      <w:r w:rsidRPr="0044524F">
        <w:rPr>
          <w:color w:val="000000" w:themeColor="text1"/>
          <w:sz w:val="16"/>
          <w:szCs w:val="16"/>
        </w:rPr>
        <w:t xml:space="preserve"> (ПБ от 17 августа 1933 г.). Решено: а) Выделить из Орудийно-арсенального объединения орудийные заводы и подчинить их непосредственно Наркомату тяжелой промышленности. б) Организовать арсенальный трест, подчинив ему арсеналы. в) Назначить Будняка директором завода “Баррикады”, поставив ему боевую задачу в минимальный срок закончить реконструкцию завода и наладить образцовую постановку дела. г) Освободить Сальникова от должности директора завода “Баррикады”, назначив его управляющим арсенальным трестом. </w:t>
      </w:r>
      <w:hyperlink r:id="rId313" w:anchor="showunit&amp;id=87472" w:history="1">
        <w:r w:rsidRPr="0044524F">
          <w:rPr>
            <w:rStyle w:val="a5"/>
            <w:color w:val="000000" w:themeColor="text1"/>
            <w:sz w:val="16"/>
            <w:szCs w:val="16"/>
          </w:rPr>
          <w:t>47/26. Об автозаводах</w:t>
        </w:r>
      </w:hyperlink>
      <w:r w:rsidRPr="0044524F">
        <w:rPr>
          <w:color w:val="000000" w:themeColor="text1"/>
          <w:sz w:val="16"/>
          <w:szCs w:val="16"/>
        </w:rPr>
        <w:t xml:space="preserve"> (ПБ от 19 августа 1933 г.). — ОП. Решено: 1. Признать необходимым развитие мощностей автозаводов: Ярославского — на 50 000 штук пятитонных с небольшим количеством восьмитонных машин в год; им. Сталина — на 80 000 машин в год, из них 10 000 легковых, взяв за основу “Бьюик” 1933 г. Построить завод “Новый АМО” в районе Урала мощностью в 200 000 машин в год. Расширить ГАЗ им. Молотова до мощности в 300 000 машин, из них ⅓ легковых-лимузин. Сверх указанных мощностей на этих заводах должно быть предусмотрено производство соответствующего количества запасных частей. 2. НКТП проработать вопрос об импорте для расширения завода им. Сталина, исходя из максимальной суммы в 3 000 000 рублей; остальную потребность в импортном оборудовании удовлетворить за счет тщательной проверки и использования имеющихся излишков на других заводах НКТП</w:t>
      </w:r>
      <w:r w:rsidRPr="0044524F">
        <w:rPr>
          <w:color w:val="000000" w:themeColor="text1"/>
          <w:sz w:val="16"/>
          <w:szCs w:val="16"/>
        </w:rPr>
        <w:noBreakHyphen/>
        <w:t xml:space="preserve">ОП. 3. При постановке производства легковых машин на заводе им. Сталина полностью использовать опыт завода “Красный путиловец”. 4. НКТП совместно с Госпланом, на основе настоящего решения, проработать и внести предложения на утверждение ЦК ВКП(б). Срок работы — две декады. </w:t>
      </w:r>
      <w:hyperlink r:id="rId314" w:anchor="showunit&amp;id=87527" w:history="1">
        <w:r w:rsidRPr="0044524F">
          <w:rPr>
            <w:rStyle w:val="a5"/>
            <w:color w:val="000000" w:themeColor="text1"/>
            <w:sz w:val="16"/>
            <w:szCs w:val="16"/>
          </w:rPr>
          <w:t>97/76. Об отпуске средств Цудортрансу и НКТП</w:t>
        </w:r>
      </w:hyperlink>
      <w:r w:rsidRPr="0044524F">
        <w:rPr>
          <w:color w:val="000000" w:themeColor="text1"/>
          <w:sz w:val="16"/>
          <w:szCs w:val="16"/>
        </w:rPr>
        <w:t xml:space="preserve"> (ПБ от 25 августа 1933 г.). Решено утвердить постановление СНК СССР от 19 августа 1933 г. об отпуске из резервного фонда СНК СССР: 1) Цудотрансу — 12 миллионов рублей на окончание строительства заводов в Могилеве, Харькове, Тифлисе и Киеве; 2) Наркомату тяжелой промышленности — 6 миллионов рублей для развертывания работ по усилению существующих предприятий по ремонту боевых и транспортных машин. </w:t>
      </w:r>
      <w:hyperlink r:id="rId315" w:anchor="showunit&amp;id=87528" w:history="1">
        <w:r w:rsidRPr="0044524F">
          <w:rPr>
            <w:rStyle w:val="a5"/>
            <w:color w:val="000000" w:themeColor="text1"/>
            <w:sz w:val="16"/>
            <w:szCs w:val="16"/>
          </w:rPr>
          <w:t>98/77. Вопросы КО</w:t>
        </w:r>
      </w:hyperlink>
      <w:r w:rsidRPr="0044524F">
        <w:rPr>
          <w:color w:val="000000" w:themeColor="text1"/>
          <w:sz w:val="16"/>
          <w:szCs w:val="16"/>
        </w:rPr>
        <w:t xml:space="preserve"> (ПБ от 25 августа 1933 г.). — ОП. Решено утвердить постановление СТО: 1) о выделении из резервного фонда СНК СССР 200 тысяч рублей валюты на приобретение импортных деталей трубчатки и брайсточной установки для развития производства авиамасел; 2) о закупке Наркоматом внешней торговли в Америке и в Европе современных образцов авиатоплива и масел; 3) о командировании в Америку и Европу комиссии для изучения производства авиатоплива, авиамасел и оборудования для них. </w:t>
      </w:r>
      <w:hyperlink r:id="rId316" w:anchor="showunit&amp;id=87529" w:history="1">
        <w:r w:rsidRPr="0044524F">
          <w:rPr>
            <w:rStyle w:val="a5"/>
            <w:color w:val="000000" w:themeColor="text1"/>
            <w:sz w:val="16"/>
            <w:szCs w:val="16"/>
          </w:rPr>
          <w:t>99/78. О заводах им. Сталина и Сталинградском тракторном</w:t>
        </w:r>
      </w:hyperlink>
      <w:r w:rsidRPr="0044524F">
        <w:rPr>
          <w:color w:val="000000" w:themeColor="text1"/>
          <w:sz w:val="16"/>
          <w:szCs w:val="16"/>
        </w:rPr>
        <w:t xml:space="preserve"> (ПБ от 25 августа 1933 г.). — ОП. Решено освободить от призыва в 1933 г. по автозаводу им. Сталина 500 человек и по Сталинградскому тракторному заводу 300 человек ИТР и высококвалифицированных рабочих. </w:t>
      </w:r>
      <w:hyperlink r:id="rId317" w:anchor="showunit&amp;id=87421" w:history="1">
        <w:r w:rsidRPr="0044524F">
          <w:rPr>
            <w:rStyle w:val="a5"/>
            <w:color w:val="000000" w:themeColor="text1"/>
            <w:sz w:val="16"/>
            <w:szCs w:val="16"/>
          </w:rPr>
          <w:t>159/138. О строительных частях на Дальнем Востоке</w:t>
        </w:r>
      </w:hyperlink>
      <w:r w:rsidRPr="0044524F">
        <w:rPr>
          <w:color w:val="000000" w:themeColor="text1"/>
          <w:sz w:val="16"/>
          <w:szCs w:val="16"/>
        </w:rPr>
        <w:t xml:space="preserve"> (ПБ от 28 августа 1933 г.). — ОП. Решено принять предложение Гамарника и Тухачевского об организации на Дальнем Востоке строительных частей из военнообязанных по типу железнодорожного корпуса. Общую численность стройчастей на Дальнем Востоке определить в 30 тысяч человек, из которых 10</w:t>
      </w:r>
      <w:r w:rsidRPr="0044524F">
        <w:rPr>
          <w:color w:val="000000" w:themeColor="text1"/>
          <w:sz w:val="16"/>
          <w:szCs w:val="16"/>
        </w:rPr>
        <w:noBreakHyphen/>
        <w:t>15 тысяч должны быть использованы на стройках Наркомата по военным и морским делам и 15</w:t>
      </w:r>
      <w:r w:rsidRPr="0044524F">
        <w:rPr>
          <w:color w:val="000000" w:themeColor="text1"/>
          <w:sz w:val="16"/>
          <w:szCs w:val="16"/>
        </w:rPr>
        <w:noBreakHyphen/>
        <w:t>20 тысяч — на стройках Наркомата тяжелой промышленности (15462).</w:t>
      </w:r>
    </w:p>
    <w:p w14:paraId="2CED8FA4" w14:textId="77777777" w:rsidR="00D142A2" w:rsidRPr="0044524F" w:rsidRDefault="00D142A2" w:rsidP="009654CF">
      <w:pPr>
        <w:pStyle w:val="rtejustify"/>
        <w:spacing w:before="0" w:after="0"/>
        <w:rPr>
          <w:color w:val="000000" w:themeColor="text1"/>
          <w:sz w:val="16"/>
          <w:szCs w:val="16"/>
        </w:rPr>
      </w:pPr>
    </w:p>
    <w:p w14:paraId="30AC418C"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B5B6FD3"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7AC8A7A" w14:textId="77777777" w:rsidR="00863F47" w:rsidRPr="0044524F" w:rsidRDefault="00863F4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1933 Трансконтинентальный и западный Air Ford 5-AT-B Trimotor NC9607 врезается в склон горы Меса недалеко от побережья, штат Нью-Мексико, во время шторма, убивая всех пяти человек на борту (20802).</w:t>
      </w:r>
    </w:p>
    <w:p w14:paraId="01492F2F" w14:textId="77777777" w:rsidR="00863F47" w:rsidRPr="0044524F" w:rsidRDefault="00863F47" w:rsidP="009654CF">
      <w:pPr>
        <w:spacing w:after="0" w:line="240" w:lineRule="auto"/>
        <w:jc w:val="both"/>
        <w:rPr>
          <w:rFonts w:ascii="Times New Roman" w:hAnsi="Times New Roman"/>
          <w:color w:val="000000" w:themeColor="text1"/>
          <w:sz w:val="16"/>
          <w:szCs w:val="16"/>
        </w:rPr>
      </w:pPr>
    </w:p>
    <w:p w14:paraId="5DDDD4EE"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1933 в Германии объявлено, что евреи будут отправляться в концлагеря (4962).</w:t>
      </w:r>
    </w:p>
    <w:p w14:paraId="223EA227"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DF7707"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2E61E9C"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31230F"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августа 1933 во Франции основана авиакомпания «Эйр Фрэнс» (4962).</w:t>
      </w:r>
    </w:p>
    <w:p w14:paraId="151ACEDE"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7EDB03" w14:textId="77777777" w:rsidR="00D142A2" w:rsidRPr="0044524F" w:rsidRDefault="00D142A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30 августа </w:t>
      </w:r>
      <w:r w:rsidRPr="0044524F">
        <w:rPr>
          <w:rFonts w:ascii="Times New Roman" w:hAnsi="Times New Roman"/>
          <w:color w:val="000000" w:themeColor="text1"/>
          <w:sz w:val="16"/>
          <w:szCs w:val="16"/>
        </w:rPr>
        <w:t>в 1933 году в мае четыре французские авиакомпании приняли решение о слиянии и обратились к правительству с просьбой о создании национальной системы авиаперевозок. Правительство поддержало эту идею, к четырем инициаторам присоединился пятый участник, и 30 августа образуется авиакомпания Air France ("Эйр Фрэнс") (14754).</w:t>
      </w:r>
    </w:p>
    <w:p w14:paraId="5DA4DD0D" w14:textId="77777777" w:rsidR="00D142A2" w:rsidRPr="0044524F" w:rsidRDefault="00D142A2" w:rsidP="009654CF">
      <w:pPr>
        <w:spacing w:after="0" w:line="240" w:lineRule="auto"/>
        <w:jc w:val="both"/>
        <w:rPr>
          <w:rFonts w:ascii="Times New Roman" w:hAnsi="Times New Roman"/>
          <w:color w:val="000000" w:themeColor="text1"/>
          <w:sz w:val="16"/>
          <w:szCs w:val="16"/>
        </w:rPr>
      </w:pPr>
    </w:p>
    <w:p w14:paraId="18C12932" w14:textId="77777777" w:rsidR="006A4DA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556251A" w14:textId="77777777" w:rsidR="006A4DAE" w:rsidRPr="0044524F" w:rsidRDefault="006A4DA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4DA2A4B"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августа 1935 г. Ш-2 Н64 отбуксирова</w:t>
      </w:r>
      <w:r w:rsidRPr="0044524F">
        <w:rPr>
          <w:rFonts w:ascii="Times New Roman" w:hAnsi="Times New Roman"/>
          <w:color w:val="000000" w:themeColor="text1"/>
          <w:sz w:val="16"/>
          <w:szCs w:val="16"/>
        </w:rPr>
        <w:softHyphen/>
        <w:t>ли катером к стоящему на рейде «Ермаку», на котором самолет разместили со сложенны</w:t>
      </w:r>
      <w:r w:rsidRPr="0044524F">
        <w:rPr>
          <w:rFonts w:ascii="Times New Roman" w:hAnsi="Times New Roman"/>
          <w:color w:val="000000" w:themeColor="text1"/>
          <w:sz w:val="16"/>
          <w:szCs w:val="16"/>
        </w:rPr>
        <w:softHyphen/>
        <w:t>ми крыльями на специальном деревянном на</w:t>
      </w:r>
      <w:r w:rsidRPr="0044524F">
        <w:rPr>
          <w:rFonts w:ascii="Times New Roman" w:hAnsi="Times New Roman"/>
          <w:color w:val="000000" w:themeColor="text1"/>
          <w:sz w:val="16"/>
          <w:szCs w:val="16"/>
        </w:rPr>
        <w:softHyphen/>
        <w:t>стиле. Экипаж корабельного звена — летчик М.И.Козлов и механик Г.В.Косухин - догнал «Ермак» в Мурманске. Здесь выяснилось, что ча ледоколе для полетов самолетов запаслись бакинским бензином, тогда как для двигателя М-11 требовался бензин грозненский. Но что юделаешь, летать пришлось на том, что есть (12301).</w:t>
      </w:r>
    </w:p>
    <w:p w14:paraId="10953C8A" w14:textId="126EEA6E" w:rsidR="006A4DAE" w:rsidRPr="0044524F" w:rsidRDefault="006A4DAE" w:rsidP="009654CF">
      <w:pPr>
        <w:spacing w:after="0" w:line="240" w:lineRule="auto"/>
        <w:jc w:val="both"/>
        <w:rPr>
          <w:rFonts w:ascii="Times New Roman" w:hAnsi="Times New Roman"/>
          <w:color w:val="000000" w:themeColor="text1"/>
          <w:sz w:val="16"/>
          <w:szCs w:val="16"/>
        </w:rPr>
      </w:pPr>
    </w:p>
    <w:p w14:paraId="44244452" w14:textId="0DE690EB" w:rsidR="002E5B02" w:rsidRPr="0044524F" w:rsidRDefault="002E5B02"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2E9F4A43" w14:textId="77777777" w:rsidR="002E5B02" w:rsidRPr="0044524F" w:rsidRDefault="002E5B02" w:rsidP="009654CF">
      <w:pPr>
        <w:spacing w:after="0" w:line="240" w:lineRule="auto"/>
        <w:jc w:val="both"/>
        <w:rPr>
          <w:rFonts w:ascii="Times New Roman" w:hAnsi="Times New Roman"/>
          <w:i/>
          <w:iCs/>
          <w:color w:val="000000" w:themeColor="text1"/>
          <w:sz w:val="16"/>
          <w:szCs w:val="16"/>
        </w:rPr>
      </w:pPr>
    </w:p>
    <w:p w14:paraId="2404FFB3" w14:textId="77777777" w:rsidR="002E5B02" w:rsidRPr="0044524F" w:rsidRDefault="002E5B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августа 1933 г. в г. Иваново демонстри</w:t>
      </w:r>
      <w:r w:rsidRPr="0044524F">
        <w:rPr>
          <w:rFonts w:ascii="Times New Roman" w:hAnsi="Times New Roman"/>
          <w:color w:val="000000" w:themeColor="text1"/>
          <w:sz w:val="16"/>
          <w:szCs w:val="16"/>
        </w:rPr>
        <w:softHyphen/>
        <w:t>ровались парашютные прыжки с «СССР В-3» с высоты 350 м. В апреле 1935 г. К.Ф. Кайтанов и Г. Голицын осуществили в районе Гатчины па</w:t>
      </w:r>
      <w:r w:rsidRPr="0044524F">
        <w:rPr>
          <w:rFonts w:ascii="Times New Roman" w:hAnsi="Times New Roman"/>
          <w:color w:val="000000" w:themeColor="text1"/>
          <w:sz w:val="16"/>
          <w:szCs w:val="16"/>
        </w:rPr>
        <w:softHyphen/>
        <w:t>рашютные спуски с «СССР В-2» с высоты около 600 м. К.Ф. Кайтанов отмечал, что вследствие меньшей скорости дирижабля раскрытие пара</w:t>
      </w:r>
      <w:r w:rsidRPr="0044524F">
        <w:rPr>
          <w:rFonts w:ascii="Times New Roman" w:hAnsi="Times New Roman"/>
          <w:color w:val="000000" w:themeColor="text1"/>
          <w:sz w:val="16"/>
          <w:szCs w:val="16"/>
        </w:rPr>
        <w:softHyphen/>
        <w:t>шюта происходило медленнее, чем при прыжке с самолёта. Выяснилось, что в момент отделения парашютиста режим полёта не меняется, и ди</w:t>
      </w:r>
      <w:r w:rsidRPr="0044524F">
        <w:rPr>
          <w:rFonts w:ascii="Times New Roman" w:hAnsi="Times New Roman"/>
          <w:color w:val="000000" w:themeColor="text1"/>
          <w:sz w:val="16"/>
          <w:szCs w:val="16"/>
        </w:rPr>
        <w:softHyphen/>
        <w:t>рижабль пригоден для выпуска парашютистов. Затем с дирижабля организовали спуск четве</w:t>
      </w:r>
      <w:r w:rsidRPr="0044524F">
        <w:rPr>
          <w:rFonts w:ascii="Times New Roman" w:hAnsi="Times New Roman"/>
          <w:color w:val="000000" w:themeColor="text1"/>
          <w:sz w:val="16"/>
          <w:szCs w:val="16"/>
        </w:rPr>
        <w:softHyphen/>
        <w:t>рых парашютистов во главе с Н. Евдокимовым. Несмотря на то, что Евдокимов приземлился на деревья, и «СССР В-2» вернулся на аэродром, чтобы вымпелом вызвать ему помощь, прыжки показали возможность выброски десанта с ди</w:t>
      </w:r>
      <w:r w:rsidRPr="0044524F">
        <w:rPr>
          <w:rFonts w:ascii="Times New Roman" w:hAnsi="Times New Roman"/>
          <w:color w:val="000000" w:themeColor="text1"/>
          <w:sz w:val="16"/>
          <w:szCs w:val="16"/>
        </w:rPr>
        <w:softHyphen/>
        <w:t>рижабля для выполнения тактических заданий. С «СССР В-2» выполнили прыжки и 11 комсо</w:t>
      </w:r>
      <w:r w:rsidRPr="0044524F">
        <w:rPr>
          <w:rFonts w:ascii="Times New Roman" w:hAnsi="Times New Roman"/>
          <w:color w:val="000000" w:themeColor="text1"/>
          <w:sz w:val="16"/>
          <w:szCs w:val="16"/>
        </w:rPr>
        <w:softHyphen/>
        <w:t>мольцев г. Гатчины, прошедших курс теоретиче</w:t>
      </w:r>
      <w:r w:rsidRPr="0044524F">
        <w:rPr>
          <w:rFonts w:ascii="Times New Roman" w:hAnsi="Times New Roman"/>
          <w:color w:val="000000" w:themeColor="text1"/>
          <w:sz w:val="16"/>
          <w:szCs w:val="16"/>
        </w:rPr>
        <w:softHyphen/>
        <w:t>ской подготовки в кружке Осоавиахима (20120).</w:t>
      </w:r>
    </w:p>
    <w:p w14:paraId="6ED23CAF" w14:textId="2D2FD3A0" w:rsidR="002E5B02" w:rsidRPr="0044524F" w:rsidRDefault="002E5B02" w:rsidP="009654CF">
      <w:pPr>
        <w:spacing w:after="0" w:line="240" w:lineRule="auto"/>
        <w:jc w:val="both"/>
        <w:rPr>
          <w:rFonts w:ascii="Times New Roman" w:hAnsi="Times New Roman"/>
          <w:color w:val="000000" w:themeColor="text1"/>
          <w:sz w:val="16"/>
          <w:szCs w:val="16"/>
        </w:rPr>
      </w:pPr>
    </w:p>
    <w:p w14:paraId="1ED672CD" w14:textId="0E4EAD02" w:rsidR="005F068E" w:rsidRPr="0044524F" w:rsidRDefault="005F068E"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02515DBB" w14:textId="77777777" w:rsidR="005F068E" w:rsidRPr="0044524F" w:rsidRDefault="005F068E" w:rsidP="009654CF">
      <w:pPr>
        <w:spacing w:after="0" w:line="240" w:lineRule="auto"/>
        <w:jc w:val="both"/>
        <w:rPr>
          <w:rFonts w:ascii="Times New Roman" w:hAnsi="Times New Roman"/>
          <w:i/>
          <w:iCs/>
          <w:color w:val="000000" w:themeColor="text1"/>
          <w:sz w:val="16"/>
          <w:szCs w:val="16"/>
        </w:rPr>
      </w:pPr>
    </w:p>
    <w:p w14:paraId="40C0DBFF" w14:textId="77777777" w:rsidR="005F068E" w:rsidRPr="0044524F" w:rsidRDefault="005F06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августа 1933 - В мае того года четыре французские авиакомпании приняли решение о слиянии и обратились к правительству с просьбой о создании национальной системы авиаперевозок. Правительство поддержало эту идею, к четырем инициаторам присоединился пятый участник. 30 августа и была образована авиакомпания Air France - национальный авиаперевозчик. Слияние с KLM в маe 2004-го привело к созданию альянса Air France-KLM, хотя обе компании продолжают летать под своими именами (22381).</w:t>
      </w:r>
    </w:p>
    <w:p w14:paraId="41C4925D" w14:textId="77777777" w:rsidR="005F068E" w:rsidRPr="0044524F" w:rsidRDefault="005F068E" w:rsidP="009654CF">
      <w:pPr>
        <w:spacing w:after="0" w:line="240" w:lineRule="auto"/>
        <w:jc w:val="both"/>
        <w:rPr>
          <w:rFonts w:ascii="Times New Roman" w:hAnsi="Times New Roman"/>
          <w:color w:val="000000" w:themeColor="text1"/>
          <w:sz w:val="16"/>
          <w:szCs w:val="16"/>
        </w:rPr>
      </w:pPr>
    </w:p>
    <w:p w14:paraId="484043F0"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47B24CD"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33FCBC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августа 1933 на заседании у нач. ВВС П.И.Б. слушали "О состоянии работы по РД" и прежде всего о постройке полосы. ЦАГИ поручили первую редукторную машину сдать 01.11.1933. Испытать моторы. Днем перелета стали считать 22.09 и к этому дню должны были быть готовы и машины и моторы (1028,158).</w:t>
      </w:r>
    </w:p>
    <w:p w14:paraId="21795C1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7CE030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августа 1933 года было подготовлено постановление комиссии обороны (проект):</w:t>
      </w:r>
    </w:p>
    <w:p w14:paraId="4556A08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выполнения опытного самолето- и моторостроения</w:t>
      </w:r>
    </w:p>
    <w:p w14:paraId="2759EA8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обороны констатирует, что план опытного строительства авиаицонных моторов и самолетов, утвержденный СТО 4 июля 1932 года, ГУАПом и ГУГВФом в установленные Правительством сроки не выполнен. Это невыполнение плана опытного самолето- и моторостроения создает серьезную угрозу технического отставания материальной части ВВС от материальной части ВВС вероятных противников. В то время, как почти все иностранные воздушные флоты в основном уже перешли на высотные моторы, резко повышающие скорость самолета на боевых высотах, его скороподъемность и практический потолок, наша промышленность не дала еще ни одного мотора с нагнетателем даже в опытном образце, что отчасти объясняется трудностью непосредственного осуществления выключающегося нагнетателя без предварительного осуществления нагнетателя не выключающегося.</w:t>
      </w:r>
    </w:p>
    <w:p w14:paraId="3F865A4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Одной из причин невыполнения в срок плана опытного самолетостроения является опоздание подачи моторов, а также частично загрузка ЦАГИ работами по модернизации самолетов, находящихся в серийном производстве.</w:t>
      </w:r>
    </w:p>
    <w:p w14:paraId="2042934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что ГУАП ввиду возрастающего объема опытного строительства, совершенно правильно принял меры к расширению базы опытного самолето- и моторостроения, создав на заводе № 39 КБ по проектированию и постройке опытных образцов легких сухопутных и морских самолетов, на заводе № 29 – базу по опытному моторостроению, развернув в ХАИ и МАИ базу по опытному самолето- и моторостроению.</w:t>
      </w:r>
    </w:p>
    <w:p w14:paraId="35193F8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 пулеметы и мелкокалиберные пушки для вооружения авиации также еще не вышли из стадии опытного строительства и испытания в образцах. Пулеметы ШКАС, поступившие с производства не удовлетворяют требованиям живучести.</w:t>
      </w:r>
    </w:p>
    <w:p w14:paraId="24A6AFA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изысканию новых видов жидкого авиационного топлива и масел и особенно антидетонаторов для авиамоторов с нагнетателями велись явно недостаточными темпами.</w:t>
      </w:r>
    </w:p>
    <w:p w14:paraId="29AD677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скорейшей ликвидации прорыва в опытном строительстве ВВС Комиссия обороны постановляет:</w:t>
      </w:r>
    </w:p>
    <w:p w14:paraId="7C6648B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1.Во изменение плана опытного строительства, утвержденного КО 4 июля 1932 года, утвердить нижеследующий план опытного строительства по моторам и самолетам:</w:t>
      </w:r>
    </w:p>
    <w:p w14:paraId="7B009F8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опытному моторостроению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7065D752" w14:textId="77777777">
        <w:tc>
          <w:tcPr>
            <w:tcW w:w="1656" w:type="dxa"/>
          </w:tcPr>
          <w:p w14:paraId="61F59C7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Марка мотора</w:t>
            </w:r>
          </w:p>
        </w:tc>
        <w:tc>
          <w:tcPr>
            <w:tcW w:w="1656" w:type="dxa"/>
          </w:tcPr>
          <w:p w14:paraId="2681778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w:t>
            </w:r>
          </w:p>
        </w:tc>
        <w:tc>
          <w:tcPr>
            <w:tcW w:w="1656" w:type="dxa"/>
          </w:tcPr>
          <w:p w14:paraId="4FD2284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л.с.</w:t>
            </w:r>
          </w:p>
        </w:tc>
        <w:tc>
          <w:tcPr>
            <w:tcW w:w="1656" w:type="dxa"/>
          </w:tcPr>
          <w:p w14:paraId="4C6080F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Высотность</w:t>
            </w:r>
          </w:p>
        </w:tc>
        <w:tc>
          <w:tcPr>
            <w:tcW w:w="1656" w:type="dxa"/>
          </w:tcPr>
          <w:p w14:paraId="2D4054A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в кг</w:t>
            </w:r>
          </w:p>
        </w:tc>
        <w:tc>
          <w:tcPr>
            <w:tcW w:w="1656" w:type="dxa"/>
          </w:tcPr>
          <w:p w14:paraId="17FC6B1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 горючего гр/л.с.</w:t>
            </w:r>
          </w:p>
        </w:tc>
        <w:tc>
          <w:tcPr>
            <w:tcW w:w="1656" w:type="dxa"/>
          </w:tcPr>
          <w:p w14:paraId="49A5958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прдъявления на испытание</w:t>
            </w:r>
          </w:p>
        </w:tc>
      </w:tr>
    </w:tbl>
    <w:p w14:paraId="0E0253F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06B0D410" w14:textId="77777777">
        <w:tc>
          <w:tcPr>
            <w:tcW w:w="1656" w:type="dxa"/>
          </w:tcPr>
          <w:p w14:paraId="0A5CB34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 (с нагнетат.)</w:t>
            </w:r>
          </w:p>
        </w:tc>
        <w:tc>
          <w:tcPr>
            <w:tcW w:w="1656" w:type="dxa"/>
          </w:tcPr>
          <w:p w14:paraId="2157792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33CE868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150BFB4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07B4A86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c>
          <w:tcPr>
            <w:tcW w:w="1656" w:type="dxa"/>
          </w:tcPr>
          <w:p w14:paraId="38ACE1F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w:t>
            </w:r>
          </w:p>
        </w:tc>
        <w:tc>
          <w:tcPr>
            <w:tcW w:w="1656" w:type="dxa"/>
          </w:tcPr>
          <w:p w14:paraId="5B6682B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w:t>
            </w:r>
          </w:p>
        </w:tc>
      </w:tr>
      <w:tr w:rsidR="004E10C1" w:rsidRPr="0044524F" w14:paraId="282FF6CA" w14:textId="77777777">
        <w:tc>
          <w:tcPr>
            <w:tcW w:w="1656" w:type="dxa"/>
          </w:tcPr>
          <w:p w14:paraId="48C424C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М34РН</w:t>
            </w:r>
          </w:p>
        </w:tc>
        <w:tc>
          <w:tcPr>
            <w:tcW w:w="1656" w:type="dxa"/>
          </w:tcPr>
          <w:p w14:paraId="27C3E4A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21268B0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5EB0F25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454D1F0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1656" w:type="dxa"/>
          </w:tcPr>
          <w:p w14:paraId="3AAB8D2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625313E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w:t>
            </w:r>
          </w:p>
        </w:tc>
      </w:tr>
      <w:tr w:rsidR="004E10C1" w:rsidRPr="0044524F" w14:paraId="21CACA45" w14:textId="77777777">
        <w:tc>
          <w:tcPr>
            <w:tcW w:w="1656" w:type="dxa"/>
          </w:tcPr>
          <w:p w14:paraId="531B63B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 (форсиров.)</w:t>
            </w:r>
          </w:p>
        </w:tc>
        <w:tc>
          <w:tcPr>
            <w:tcW w:w="1656" w:type="dxa"/>
          </w:tcPr>
          <w:p w14:paraId="5CCE715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76DF50C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702BB0C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7296FC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675</w:t>
            </w:r>
          </w:p>
        </w:tc>
        <w:tc>
          <w:tcPr>
            <w:tcW w:w="1656" w:type="dxa"/>
          </w:tcPr>
          <w:p w14:paraId="6BB1E2A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w:t>
            </w:r>
          </w:p>
        </w:tc>
        <w:tc>
          <w:tcPr>
            <w:tcW w:w="1656" w:type="dxa"/>
          </w:tcPr>
          <w:p w14:paraId="22513E2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w:t>
            </w:r>
          </w:p>
        </w:tc>
      </w:tr>
      <w:tr w:rsidR="004E10C1" w:rsidRPr="0044524F" w14:paraId="10EA2607" w14:textId="77777777">
        <w:tc>
          <w:tcPr>
            <w:tcW w:w="1656" w:type="dxa"/>
          </w:tcPr>
          <w:p w14:paraId="7BBE79F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w:t>
            </w:r>
          </w:p>
        </w:tc>
        <w:tc>
          <w:tcPr>
            <w:tcW w:w="1656" w:type="dxa"/>
          </w:tcPr>
          <w:p w14:paraId="55596B0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626B6F8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4EA1E67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3413DA1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1656" w:type="dxa"/>
          </w:tcPr>
          <w:p w14:paraId="78A39E2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37F6C4D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w:t>
            </w:r>
          </w:p>
        </w:tc>
      </w:tr>
      <w:tr w:rsidR="004E10C1" w:rsidRPr="0044524F" w14:paraId="4A73A965" w14:textId="77777777">
        <w:tc>
          <w:tcPr>
            <w:tcW w:w="1656" w:type="dxa"/>
          </w:tcPr>
          <w:p w14:paraId="01C19DA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 с выключ. нагнетателем и винтом переменного шага</w:t>
            </w:r>
          </w:p>
        </w:tc>
        <w:tc>
          <w:tcPr>
            <w:tcW w:w="1656" w:type="dxa"/>
          </w:tcPr>
          <w:p w14:paraId="7BCAEC7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32DE32F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11557B2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656" w:type="dxa"/>
          </w:tcPr>
          <w:p w14:paraId="1762701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w:t>
            </w:r>
          </w:p>
        </w:tc>
        <w:tc>
          <w:tcPr>
            <w:tcW w:w="1656" w:type="dxa"/>
          </w:tcPr>
          <w:p w14:paraId="3672216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5378557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w:t>
            </w:r>
          </w:p>
        </w:tc>
      </w:tr>
      <w:tr w:rsidR="004E10C1" w:rsidRPr="0044524F" w14:paraId="3130F769" w14:textId="77777777">
        <w:tc>
          <w:tcPr>
            <w:tcW w:w="1656" w:type="dxa"/>
          </w:tcPr>
          <w:p w14:paraId="5236687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 с выключ. нагнетат., удлинен валом и винтом переменного шага</w:t>
            </w:r>
          </w:p>
        </w:tc>
        <w:tc>
          <w:tcPr>
            <w:tcW w:w="1656" w:type="dxa"/>
          </w:tcPr>
          <w:p w14:paraId="0C53C4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0495007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6340861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656" w:type="dxa"/>
          </w:tcPr>
          <w:p w14:paraId="3D65E40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656" w:type="dxa"/>
          </w:tcPr>
          <w:p w14:paraId="08EA6E3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2492DCE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w:t>
            </w:r>
          </w:p>
        </w:tc>
      </w:tr>
      <w:tr w:rsidR="004E10C1" w:rsidRPr="0044524F" w14:paraId="19FE31C6" w14:textId="77777777">
        <w:tc>
          <w:tcPr>
            <w:tcW w:w="1656" w:type="dxa"/>
          </w:tcPr>
          <w:p w14:paraId="3E90562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М34 с элек. карт. </w:t>
            </w:r>
          </w:p>
        </w:tc>
        <w:tc>
          <w:tcPr>
            <w:tcW w:w="1656" w:type="dxa"/>
          </w:tcPr>
          <w:p w14:paraId="4245FC4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11ECB93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41894E8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800-1000</w:t>
            </w:r>
          </w:p>
        </w:tc>
        <w:tc>
          <w:tcPr>
            <w:tcW w:w="1656" w:type="dxa"/>
          </w:tcPr>
          <w:p w14:paraId="4B95DCE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w:t>
            </w:r>
          </w:p>
        </w:tc>
        <w:tc>
          <w:tcPr>
            <w:tcW w:w="1656" w:type="dxa"/>
          </w:tcPr>
          <w:p w14:paraId="4F4806D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205</w:t>
            </w:r>
          </w:p>
        </w:tc>
        <w:tc>
          <w:tcPr>
            <w:tcW w:w="1656" w:type="dxa"/>
          </w:tcPr>
          <w:p w14:paraId="193B7B8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w:t>
            </w:r>
          </w:p>
        </w:tc>
      </w:tr>
      <w:tr w:rsidR="004E10C1" w:rsidRPr="0044524F" w14:paraId="207E3BCB" w14:textId="77777777">
        <w:tc>
          <w:tcPr>
            <w:tcW w:w="1656" w:type="dxa"/>
          </w:tcPr>
          <w:p w14:paraId="47C842F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с однорядн.</w:t>
            </w:r>
          </w:p>
        </w:tc>
        <w:tc>
          <w:tcPr>
            <w:tcW w:w="1656" w:type="dxa"/>
          </w:tcPr>
          <w:p w14:paraId="68BD9C8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4D2AB39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7A39A6A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0BBA1A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w:t>
            </w:r>
          </w:p>
        </w:tc>
        <w:tc>
          <w:tcPr>
            <w:tcW w:w="1656" w:type="dxa"/>
          </w:tcPr>
          <w:p w14:paraId="09361C2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7BE1CCE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w:t>
            </w:r>
          </w:p>
        </w:tc>
      </w:tr>
      <w:tr w:rsidR="004E10C1" w:rsidRPr="0044524F" w14:paraId="17CD37B5" w14:textId="77777777">
        <w:tc>
          <w:tcPr>
            <w:tcW w:w="1656" w:type="dxa"/>
          </w:tcPr>
          <w:p w14:paraId="25C8A3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глиссерн.</w:t>
            </w:r>
          </w:p>
        </w:tc>
        <w:tc>
          <w:tcPr>
            <w:tcW w:w="1656" w:type="dxa"/>
          </w:tcPr>
          <w:p w14:paraId="1D240E6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0B4A4A3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3C0EA31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8933AD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c>
          <w:tcPr>
            <w:tcW w:w="1656" w:type="dxa"/>
          </w:tcPr>
          <w:p w14:paraId="634423C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481CE6C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w:t>
            </w:r>
          </w:p>
        </w:tc>
      </w:tr>
      <w:tr w:rsidR="004E10C1" w:rsidRPr="0044524F" w14:paraId="06A0A781" w14:textId="77777777">
        <w:tc>
          <w:tcPr>
            <w:tcW w:w="1656" w:type="dxa"/>
          </w:tcPr>
          <w:p w14:paraId="36DEDA1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ГМ34ф</w:t>
            </w:r>
          </w:p>
        </w:tc>
        <w:tc>
          <w:tcPr>
            <w:tcW w:w="1656" w:type="dxa"/>
          </w:tcPr>
          <w:p w14:paraId="1E60AAA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7D8062E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c>
          <w:tcPr>
            <w:tcW w:w="1656" w:type="dxa"/>
          </w:tcPr>
          <w:p w14:paraId="415FDAC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559565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c>
          <w:tcPr>
            <w:tcW w:w="1656" w:type="dxa"/>
          </w:tcPr>
          <w:p w14:paraId="1F51409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0B27883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1934</w:t>
            </w:r>
          </w:p>
        </w:tc>
      </w:tr>
      <w:tr w:rsidR="004E10C1" w:rsidRPr="0044524F" w14:paraId="7BD3D529" w14:textId="77777777">
        <w:tc>
          <w:tcPr>
            <w:tcW w:w="1656" w:type="dxa"/>
          </w:tcPr>
          <w:p w14:paraId="5C46C25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с нагнетат.</w:t>
            </w:r>
          </w:p>
        </w:tc>
        <w:tc>
          <w:tcPr>
            <w:tcW w:w="1656" w:type="dxa"/>
          </w:tcPr>
          <w:p w14:paraId="2199C86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23AA515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630</w:t>
            </w:r>
          </w:p>
        </w:tc>
        <w:tc>
          <w:tcPr>
            <w:tcW w:w="1656" w:type="dxa"/>
          </w:tcPr>
          <w:p w14:paraId="57FE5CD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656" w:type="dxa"/>
          </w:tcPr>
          <w:p w14:paraId="543CFB8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1656" w:type="dxa"/>
          </w:tcPr>
          <w:p w14:paraId="428A25D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c>
          <w:tcPr>
            <w:tcW w:w="1656" w:type="dxa"/>
          </w:tcPr>
          <w:p w14:paraId="48DA5AA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w:t>
            </w:r>
          </w:p>
        </w:tc>
      </w:tr>
    </w:tbl>
    <w:p w14:paraId="08A57D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000C70F7" w14:textId="77777777">
        <w:tc>
          <w:tcPr>
            <w:tcW w:w="1656" w:type="dxa"/>
          </w:tcPr>
          <w:p w14:paraId="4FD44D5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 с нагнетателем и редуктором</w:t>
            </w:r>
          </w:p>
        </w:tc>
        <w:tc>
          <w:tcPr>
            <w:tcW w:w="1656" w:type="dxa"/>
          </w:tcPr>
          <w:p w14:paraId="1EA6D79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01AAB54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656" w:type="dxa"/>
          </w:tcPr>
          <w:p w14:paraId="0CF8EEF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656" w:type="dxa"/>
          </w:tcPr>
          <w:p w14:paraId="44F5080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0740B94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5911198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w:t>
            </w:r>
          </w:p>
        </w:tc>
      </w:tr>
      <w:tr w:rsidR="004E10C1" w:rsidRPr="0044524F" w14:paraId="559C44B1" w14:textId="77777777">
        <w:tc>
          <w:tcPr>
            <w:tcW w:w="1656" w:type="dxa"/>
          </w:tcPr>
          <w:p w14:paraId="785653F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(дизель)</w:t>
            </w:r>
          </w:p>
        </w:tc>
        <w:tc>
          <w:tcPr>
            <w:tcW w:w="1656" w:type="dxa"/>
          </w:tcPr>
          <w:p w14:paraId="22DF6F2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70B8764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600-750</w:t>
            </w:r>
          </w:p>
        </w:tc>
        <w:tc>
          <w:tcPr>
            <w:tcW w:w="1656" w:type="dxa"/>
          </w:tcPr>
          <w:p w14:paraId="6F9F2BD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862604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w:t>
            </w:r>
          </w:p>
        </w:tc>
        <w:tc>
          <w:tcPr>
            <w:tcW w:w="1656" w:type="dxa"/>
          </w:tcPr>
          <w:p w14:paraId="0114570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1656" w:type="dxa"/>
          </w:tcPr>
          <w:p w14:paraId="045BECE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w:t>
            </w:r>
          </w:p>
        </w:tc>
      </w:tr>
      <w:tr w:rsidR="004E10C1" w:rsidRPr="0044524F" w14:paraId="5B139C2E" w14:textId="77777777">
        <w:tc>
          <w:tcPr>
            <w:tcW w:w="1656" w:type="dxa"/>
          </w:tcPr>
          <w:p w14:paraId="6704196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(дизель)</w:t>
            </w:r>
          </w:p>
        </w:tc>
        <w:tc>
          <w:tcPr>
            <w:tcW w:w="1656" w:type="dxa"/>
          </w:tcPr>
          <w:p w14:paraId="234FF3A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4D4399C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356F12A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656" w:type="dxa"/>
          </w:tcPr>
          <w:p w14:paraId="012C573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1D1A565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180-190</w:t>
            </w:r>
          </w:p>
        </w:tc>
        <w:tc>
          <w:tcPr>
            <w:tcW w:w="1656" w:type="dxa"/>
          </w:tcPr>
          <w:p w14:paraId="166FD38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w:t>
            </w:r>
          </w:p>
        </w:tc>
      </w:tr>
      <w:tr w:rsidR="004E10C1" w:rsidRPr="0044524F" w14:paraId="45F0C32C" w14:textId="77777777">
        <w:tc>
          <w:tcPr>
            <w:tcW w:w="1656" w:type="dxa"/>
          </w:tcPr>
          <w:p w14:paraId="1A5B6BA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 (бензиновый с нагнетателем)</w:t>
            </w:r>
          </w:p>
        </w:tc>
        <w:tc>
          <w:tcPr>
            <w:tcW w:w="1656" w:type="dxa"/>
          </w:tcPr>
          <w:p w14:paraId="403D22F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0473DE1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6C1ACE5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656" w:type="dxa"/>
          </w:tcPr>
          <w:p w14:paraId="5B6B118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656" w:type="dxa"/>
          </w:tcPr>
          <w:p w14:paraId="358D841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656" w:type="dxa"/>
          </w:tcPr>
          <w:p w14:paraId="1110A0A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21A36B8D" w14:textId="77777777">
        <w:tc>
          <w:tcPr>
            <w:tcW w:w="1656" w:type="dxa"/>
          </w:tcPr>
          <w:p w14:paraId="407C3CE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w:t>
            </w:r>
          </w:p>
        </w:tc>
        <w:tc>
          <w:tcPr>
            <w:tcW w:w="1656" w:type="dxa"/>
          </w:tcPr>
          <w:p w14:paraId="79398CE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водяное </w:t>
            </w:r>
          </w:p>
        </w:tc>
        <w:tc>
          <w:tcPr>
            <w:tcW w:w="1656" w:type="dxa"/>
          </w:tcPr>
          <w:p w14:paraId="2FDEBCE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0F02AFA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518A40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tc>
        <w:tc>
          <w:tcPr>
            <w:tcW w:w="1656" w:type="dxa"/>
          </w:tcPr>
          <w:p w14:paraId="4D599A0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175DCC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073AB7E" w14:textId="77777777">
        <w:tc>
          <w:tcPr>
            <w:tcW w:w="1656" w:type="dxa"/>
          </w:tcPr>
          <w:p w14:paraId="1561CEF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 (бензиновый)</w:t>
            </w:r>
          </w:p>
        </w:tc>
        <w:tc>
          <w:tcPr>
            <w:tcW w:w="1656" w:type="dxa"/>
          </w:tcPr>
          <w:p w14:paraId="644E082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209A97C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165-200</w:t>
            </w:r>
          </w:p>
        </w:tc>
        <w:tc>
          <w:tcPr>
            <w:tcW w:w="1656" w:type="dxa"/>
          </w:tcPr>
          <w:p w14:paraId="65BD1E2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233ACA3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w:t>
            </w:r>
          </w:p>
        </w:tc>
        <w:tc>
          <w:tcPr>
            <w:tcW w:w="1656" w:type="dxa"/>
          </w:tcPr>
          <w:p w14:paraId="216C3FC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w:t>
            </w:r>
          </w:p>
        </w:tc>
        <w:tc>
          <w:tcPr>
            <w:tcW w:w="1656" w:type="dxa"/>
          </w:tcPr>
          <w:p w14:paraId="50D6833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4621DBAA" w14:textId="77777777">
        <w:tc>
          <w:tcPr>
            <w:tcW w:w="1656" w:type="dxa"/>
          </w:tcPr>
          <w:p w14:paraId="0086DF9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 с нагнетателем</w:t>
            </w:r>
          </w:p>
        </w:tc>
        <w:tc>
          <w:tcPr>
            <w:tcW w:w="1656" w:type="dxa"/>
          </w:tcPr>
          <w:p w14:paraId="513B422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696667E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656" w:type="dxa"/>
          </w:tcPr>
          <w:p w14:paraId="18ADE18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656" w:type="dxa"/>
          </w:tcPr>
          <w:p w14:paraId="61B1467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68E82D7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w:t>
            </w:r>
          </w:p>
        </w:tc>
        <w:tc>
          <w:tcPr>
            <w:tcW w:w="1656" w:type="dxa"/>
          </w:tcPr>
          <w:p w14:paraId="2E246AC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r>
      <w:tr w:rsidR="004E10C1" w:rsidRPr="0044524F" w14:paraId="18166B95" w14:textId="77777777">
        <w:tc>
          <w:tcPr>
            <w:tcW w:w="1656" w:type="dxa"/>
          </w:tcPr>
          <w:p w14:paraId="1BF4F48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М56 с нагнетателем</w:t>
            </w:r>
          </w:p>
        </w:tc>
        <w:tc>
          <w:tcPr>
            <w:tcW w:w="1656" w:type="dxa"/>
          </w:tcPr>
          <w:p w14:paraId="1F54DA5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воздушнное </w:t>
            </w:r>
          </w:p>
        </w:tc>
        <w:tc>
          <w:tcPr>
            <w:tcW w:w="1656" w:type="dxa"/>
          </w:tcPr>
          <w:p w14:paraId="154947E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1656" w:type="dxa"/>
          </w:tcPr>
          <w:p w14:paraId="3757110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656" w:type="dxa"/>
          </w:tcPr>
          <w:p w14:paraId="2235EDC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1656" w:type="dxa"/>
          </w:tcPr>
          <w:p w14:paraId="09F08F4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CB5DE1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1934</w:t>
            </w:r>
          </w:p>
        </w:tc>
      </w:tr>
    </w:tbl>
    <w:p w14:paraId="2F29E86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опытному самолетостроению</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73F661F5" w14:textId="77777777">
        <w:tc>
          <w:tcPr>
            <w:tcW w:w="1656" w:type="dxa"/>
          </w:tcPr>
          <w:p w14:paraId="75C596E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и тип самолета</w:t>
            </w:r>
          </w:p>
        </w:tc>
        <w:tc>
          <w:tcPr>
            <w:tcW w:w="1656" w:type="dxa"/>
          </w:tcPr>
          <w:p w14:paraId="3839F8F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Горизонтальная скорость км/час/ысота м</w:t>
            </w:r>
          </w:p>
        </w:tc>
        <w:tc>
          <w:tcPr>
            <w:tcW w:w="1656" w:type="dxa"/>
          </w:tcPr>
          <w:p w14:paraId="2310599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высота м</w:t>
            </w:r>
          </w:p>
        </w:tc>
        <w:tc>
          <w:tcPr>
            <w:tcW w:w="1656" w:type="dxa"/>
          </w:tcPr>
          <w:p w14:paraId="454900F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Радиус действия нормальн./ с перегрузкой</w:t>
            </w:r>
          </w:p>
        </w:tc>
        <w:tc>
          <w:tcPr>
            <w:tcW w:w="1656" w:type="dxa"/>
          </w:tcPr>
          <w:p w14:paraId="1CB6F62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Сбрасыв. грузов нормальн./с перегрузкой</w:t>
            </w:r>
          </w:p>
        </w:tc>
        <w:tc>
          <w:tcPr>
            <w:tcW w:w="1656" w:type="dxa"/>
          </w:tcPr>
          <w:p w14:paraId="320DD14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1656" w:type="dxa"/>
          </w:tcPr>
          <w:p w14:paraId="5722FAA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прдъявления на испытание</w:t>
            </w:r>
          </w:p>
        </w:tc>
      </w:tr>
    </w:tbl>
    <w:p w14:paraId="4E18E1E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5BBEE048" w14:textId="77777777">
        <w:tc>
          <w:tcPr>
            <w:tcW w:w="1656" w:type="dxa"/>
          </w:tcPr>
          <w:p w14:paraId="2BA0068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 ТБ4 6М34</w:t>
            </w:r>
          </w:p>
        </w:tc>
        <w:tc>
          <w:tcPr>
            <w:tcW w:w="1656" w:type="dxa"/>
          </w:tcPr>
          <w:p w14:paraId="35285E0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656" w:type="dxa"/>
          </w:tcPr>
          <w:p w14:paraId="68AC610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8140B2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656" w:type="dxa"/>
          </w:tcPr>
          <w:p w14:paraId="73FC084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6D60EA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пулеметов</w:t>
            </w:r>
          </w:p>
          <w:p w14:paraId="7CFC7FD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пушки</w:t>
            </w:r>
          </w:p>
        </w:tc>
        <w:tc>
          <w:tcPr>
            <w:tcW w:w="1656" w:type="dxa"/>
          </w:tcPr>
          <w:p w14:paraId="7DC077B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w:t>
            </w:r>
          </w:p>
        </w:tc>
      </w:tr>
      <w:tr w:rsidR="004E10C1" w:rsidRPr="0044524F" w14:paraId="77A48AF2" w14:textId="77777777">
        <w:tc>
          <w:tcPr>
            <w:tcW w:w="1656" w:type="dxa"/>
          </w:tcPr>
          <w:p w14:paraId="44AF1AC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 ТБ3-4М34НР</w:t>
            </w:r>
          </w:p>
        </w:tc>
        <w:tc>
          <w:tcPr>
            <w:tcW w:w="1656" w:type="dxa"/>
          </w:tcPr>
          <w:p w14:paraId="0CA2F7F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260/5000</w:t>
            </w:r>
          </w:p>
        </w:tc>
        <w:tc>
          <w:tcPr>
            <w:tcW w:w="1656" w:type="dxa"/>
          </w:tcPr>
          <w:p w14:paraId="6310B1D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1283C53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1200/1500</w:t>
            </w:r>
          </w:p>
        </w:tc>
        <w:tc>
          <w:tcPr>
            <w:tcW w:w="1656" w:type="dxa"/>
          </w:tcPr>
          <w:p w14:paraId="6431EB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1500/1000</w:t>
            </w:r>
          </w:p>
        </w:tc>
        <w:tc>
          <w:tcPr>
            <w:tcW w:w="1656" w:type="dxa"/>
          </w:tcPr>
          <w:p w14:paraId="6A135FA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 пулеметов</w:t>
            </w:r>
          </w:p>
        </w:tc>
        <w:tc>
          <w:tcPr>
            <w:tcW w:w="1656" w:type="dxa"/>
          </w:tcPr>
          <w:p w14:paraId="0448CB1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B8CBFBF" w14:textId="77777777">
        <w:tc>
          <w:tcPr>
            <w:tcW w:w="1656" w:type="dxa"/>
          </w:tcPr>
          <w:p w14:paraId="7E73525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Многомест. истреб. МИ3-2М34</w:t>
            </w:r>
          </w:p>
        </w:tc>
        <w:tc>
          <w:tcPr>
            <w:tcW w:w="1656" w:type="dxa"/>
          </w:tcPr>
          <w:p w14:paraId="292A80C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1656" w:type="dxa"/>
          </w:tcPr>
          <w:p w14:paraId="5E9B8D3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15/5000</w:t>
            </w:r>
          </w:p>
        </w:tc>
        <w:tc>
          <w:tcPr>
            <w:tcW w:w="1656" w:type="dxa"/>
          </w:tcPr>
          <w:p w14:paraId="10863E6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09155FD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40BAF0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пулеметов</w:t>
            </w:r>
          </w:p>
          <w:p w14:paraId="1F4752A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пушка</w:t>
            </w:r>
          </w:p>
        </w:tc>
        <w:tc>
          <w:tcPr>
            <w:tcW w:w="1656" w:type="dxa"/>
          </w:tcPr>
          <w:p w14:paraId="0E3B7F3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833B7ED" w14:textId="77777777">
        <w:tc>
          <w:tcPr>
            <w:tcW w:w="1656" w:type="dxa"/>
          </w:tcPr>
          <w:p w14:paraId="01A4B68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крейсер МК1-6М34НР</w:t>
            </w:r>
          </w:p>
        </w:tc>
        <w:tc>
          <w:tcPr>
            <w:tcW w:w="1656" w:type="dxa"/>
          </w:tcPr>
          <w:p w14:paraId="26FB8FC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230/4000</w:t>
            </w:r>
          </w:p>
        </w:tc>
        <w:tc>
          <w:tcPr>
            <w:tcW w:w="1656" w:type="dxa"/>
          </w:tcPr>
          <w:p w14:paraId="1BC8396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B4F4E3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750/1200</w:t>
            </w:r>
          </w:p>
        </w:tc>
        <w:tc>
          <w:tcPr>
            <w:tcW w:w="1656" w:type="dxa"/>
          </w:tcPr>
          <w:p w14:paraId="5C79819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3500/1800</w:t>
            </w:r>
          </w:p>
        </w:tc>
        <w:tc>
          <w:tcPr>
            <w:tcW w:w="1656" w:type="dxa"/>
          </w:tcPr>
          <w:p w14:paraId="3C6D770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E7BA34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FD150A0" w14:textId="77777777">
        <w:tc>
          <w:tcPr>
            <w:tcW w:w="1656" w:type="dxa"/>
          </w:tcPr>
          <w:p w14:paraId="7323F6D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дальний разведчик МДР4-3М34НР</w:t>
            </w:r>
          </w:p>
        </w:tc>
        <w:tc>
          <w:tcPr>
            <w:tcW w:w="1656" w:type="dxa"/>
          </w:tcPr>
          <w:p w14:paraId="45C12D6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215-225/3600</w:t>
            </w:r>
          </w:p>
        </w:tc>
        <w:tc>
          <w:tcPr>
            <w:tcW w:w="1656" w:type="dxa"/>
          </w:tcPr>
          <w:p w14:paraId="1EF7DB8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20/3000</w:t>
            </w:r>
          </w:p>
        </w:tc>
        <w:tc>
          <w:tcPr>
            <w:tcW w:w="1656" w:type="dxa"/>
          </w:tcPr>
          <w:p w14:paraId="25ACACD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750/1250</w:t>
            </w:r>
          </w:p>
        </w:tc>
        <w:tc>
          <w:tcPr>
            <w:tcW w:w="1656" w:type="dxa"/>
          </w:tcPr>
          <w:p w14:paraId="6C6FB12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13EC51C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C0B127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8851272" w14:textId="77777777">
        <w:tc>
          <w:tcPr>
            <w:tcW w:w="1656" w:type="dxa"/>
          </w:tcPr>
          <w:p w14:paraId="1C0EF6D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разведчик ЛР-М34</w:t>
            </w:r>
          </w:p>
        </w:tc>
        <w:tc>
          <w:tcPr>
            <w:tcW w:w="1656" w:type="dxa"/>
          </w:tcPr>
          <w:p w14:paraId="0520ABE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310/5000</w:t>
            </w:r>
          </w:p>
        </w:tc>
        <w:tc>
          <w:tcPr>
            <w:tcW w:w="1656" w:type="dxa"/>
          </w:tcPr>
          <w:p w14:paraId="516F012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13/5000</w:t>
            </w:r>
          </w:p>
        </w:tc>
        <w:tc>
          <w:tcPr>
            <w:tcW w:w="1656" w:type="dxa"/>
          </w:tcPr>
          <w:p w14:paraId="2A8B046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400/700</w:t>
            </w:r>
          </w:p>
        </w:tc>
        <w:tc>
          <w:tcPr>
            <w:tcW w:w="1656" w:type="dxa"/>
          </w:tcPr>
          <w:p w14:paraId="32351D8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3ABB187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Легк. и тяж. пул. </w:t>
            </w:r>
          </w:p>
        </w:tc>
        <w:tc>
          <w:tcPr>
            <w:tcW w:w="1656" w:type="dxa"/>
          </w:tcPr>
          <w:p w14:paraId="36A6653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7606094" w14:textId="77777777">
        <w:tc>
          <w:tcPr>
            <w:tcW w:w="1656" w:type="dxa"/>
          </w:tcPr>
          <w:p w14:paraId="14216CB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штурмовик ТШ3-М34</w:t>
            </w:r>
          </w:p>
        </w:tc>
        <w:tc>
          <w:tcPr>
            <w:tcW w:w="1656" w:type="dxa"/>
          </w:tcPr>
          <w:p w14:paraId="615579E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1656" w:type="dxa"/>
          </w:tcPr>
          <w:p w14:paraId="2731AA2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11/3000</w:t>
            </w:r>
          </w:p>
        </w:tc>
        <w:tc>
          <w:tcPr>
            <w:tcW w:w="1656" w:type="dxa"/>
          </w:tcPr>
          <w:p w14:paraId="375A100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656" w:type="dxa"/>
          </w:tcPr>
          <w:p w14:paraId="1524F52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5DD4CC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пулеметов</w:t>
            </w:r>
          </w:p>
        </w:tc>
        <w:tc>
          <w:tcPr>
            <w:tcW w:w="1656" w:type="dxa"/>
          </w:tcPr>
          <w:p w14:paraId="55D855C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5C30D15" w14:textId="77777777">
        <w:tc>
          <w:tcPr>
            <w:tcW w:w="1656" w:type="dxa"/>
          </w:tcPr>
          <w:p w14:paraId="7765F61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И14 Бристоль Меркур</w:t>
            </w:r>
          </w:p>
        </w:tc>
        <w:tc>
          <w:tcPr>
            <w:tcW w:w="1656" w:type="dxa"/>
          </w:tcPr>
          <w:p w14:paraId="1D9DBE0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478FA98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6D6830A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511E895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B87F4B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1656" w:type="dxa"/>
          </w:tcPr>
          <w:p w14:paraId="49C42B6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48FB62C" w14:textId="77777777">
        <w:tc>
          <w:tcPr>
            <w:tcW w:w="1656" w:type="dxa"/>
          </w:tcPr>
          <w:p w14:paraId="26D9843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И14 Райт-Циклон</w:t>
            </w:r>
          </w:p>
        </w:tc>
        <w:tc>
          <w:tcPr>
            <w:tcW w:w="1656" w:type="dxa"/>
          </w:tcPr>
          <w:p w14:paraId="01B31F6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4FC8AD4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60AD389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7061E77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6FA2A9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1656" w:type="dxa"/>
          </w:tcPr>
          <w:p w14:paraId="76415CB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2921BA0" w14:textId="77777777">
        <w:tc>
          <w:tcPr>
            <w:tcW w:w="1656" w:type="dxa"/>
          </w:tcPr>
          <w:p w14:paraId="584C850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И15 Райт-Циклон</w:t>
            </w:r>
          </w:p>
        </w:tc>
        <w:tc>
          <w:tcPr>
            <w:tcW w:w="1656" w:type="dxa"/>
          </w:tcPr>
          <w:p w14:paraId="0A9875F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15F1B04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7404C58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761A79D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0C06CE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пулемета</w:t>
            </w:r>
          </w:p>
        </w:tc>
        <w:tc>
          <w:tcPr>
            <w:tcW w:w="1656" w:type="dxa"/>
          </w:tcPr>
          <w:p w14:paraId="211E4D8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AECB7BD" w14:textId="77777777">
        <w:tc>
          <w:tcPr>
            <w:tcW w:w="1656" w:type="dxa"/>
          </w:tcPr>
          <w:p w14:paraId="5A3A973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 истреб. И15 М58</w:t>
            </w:r>
          </w:p>
        </w:tc>
        <w:tc>
          <w:tcPr>
            <w:tcW w:w="1656" w:type="dxa"/>
          </w:tcPr>
          <w:p w14:paraId="14C763B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400/5000</w:t>
            </w:r>
          </w:p>
        </w:tc>
        <w:tc>
          <w:tcPr>
            <w:tcW w:w="1656" w:type="dxa"/>
          </w:tcPr>
          <w:p w14:paraId="4048EAF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7/5000</w:t>
            </w:r>
          </w:p>
        </w:tc>
        <w:tc>
          <w:tcPr>
            <w:tcW w:w="1656" w:type="dxa"/>
          </w:tcPr>
          <w:p w14:paraId="486B329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656" w:type="dxa"/>
          </w:tcPr>
          <w:p w14:paraId="5380A66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97D2F5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пулемета</w:t>
            </w:r>
          </w:p>
        </w:tc>
        <w:tc>
          <w:tcPr>
            <w:tcW w:w="1656" w:type="dxa"/>
          </w:tcPr>
          <w:p w14:paraId="228ECA1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73C7907" w14:textId="77777777">
        <w:tc>
          <w:tcPr>
            <w:tcW w:w="1656" w:type="dxa"/>
          </w:tcPr>
          <w:p w14:paraId="4651BB8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Морской ближний разведчик МБР4-М34 (С62)</w:t>
            </w:r>
          </w:p>
        </w:tc>
        <w:tc>
          <w:tcPr>
            <w:tcW w:w="1656" w:type="dxa"/>
          </w:tcPr>
          <w:p w14:paraId="489328A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08B012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FB9273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D232DB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99DCEA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60E8CC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25FBD23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56"/>
        <w:gridCol w:w="1656"/>
        <w:gridCol w:w="1656"/>
        <w:gridCol w:w="1656"/>
        <w:gridCol w:w="1656"/>
        <w:gridCol w:w="1656"/>
        <w:gridCol w:w="1656"/>
      </w:tblGrid>
      <w:tr w:rsidR="004E10C1" w:rsidRPr="0044524F" w14:paraId="5959C9AB" w14:textId="77777777">
        <w:tc>
          <w:tcPr>
            <w:tcW w:w="1656" w:type="dxa"/>
          </w:tcPr>
          <w:p w14:paraId="48BD600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Сухопутный крейсер СК1-2М34 (или М34)</w:t>
            </w:r>
          </w:p>
        </w:tc>
        <w:tc>
          <w:tcPr>
            <w:tcW w:w="1656" w:type="dxa"/>
          </w:tcPr>
          <w:p w14:paraId="241AB02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1656" w:type="dxa"/>
          </w:tcPr>
          <w:p w14:paraId="2EE4DBC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CD034B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600/1000</w:t>
            </w:r>
          </w:p>
        </w:tc>
        <w:tc>
          <w:tcPr>
            <w:tcW w:w="1656" w:type="dxa"/>
          </w:tcPr>
          <w:p w14:paraId="7A82242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6DB181F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Легк. и тяж. пул. </w:t>
            </w:r>
          </w:p>
        </w:tc>
        <w:tc>
          <w:tcPr>
            <w:tcW w:w="1656" w:type="dxa"/>
          </w:tcPr>
          <w:p w14:paraId="4DD401E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ACA685A" w14:textId="77777777">
        <w:tc>
          <w:tcPr>
            <w:tcW w:w="1656" w:type="dxa"/>
          </w:tcPr>
          <w:p w14:paraId="649A7B4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Войсковой самолет ВС2-М22</w:t>
            </w:r>
          </w:p>
        </w:tc>
        <w:tc>
          <w:tcPr>
            <w:tcW w:w="1656" w:type="dxa"/>
          </w:tcPr>
          <w:p w14:paraId="15789B6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250/3000</w:t>
            </w:r>
          </w:p>
        </w:tc>
        <w:tc>
          <w:tcPr>
            <w:tcW w:w="1656" w:type="dxa"/>
          </w:tcPr>
          <w:p w14:paraId="4EED956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12/3000</w:t>
            </w:r>
          </w:p>
        </w:tc>
        <w:tc>
          <w:tcPr>
            <w:tcW w:w="1656" w:type="dxa"/>
          </w:tcPr>
          <w:p w14:paraId="0B888C7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350/6000</w:t>
            </w:r>
          </w:p>
        </w:tc>
        <w:tc>
          <w:tcPr>
            <w:tcW w:w="1656" w:type="dxa"/>
          </w:tcPr>
          <w:p w14:paraId="1081B67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w:t>
            </w:r>
          </w:p>
        </w:tc>
        <w:tc>
          <w:tcPr>
            <w:tcW w:w="1656" w:type="dxa"/>
          </w:tcPr>
          <w:p w14:paraId="5B41585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пул.</w:t>
            </w:r>
          </w:p>
        </w:tc>
        <w:tc>
          <w:tcPr>
            <w:tcW w:w="1656" w:type="dxa"/>
          </w:tcPr>
          <w:p w14:paraId="74E686B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1934</w:t>
            </w:r>
          </w:p>
        </w:tc>
      </w:tr>
      <w:tr w:rsidR="004E10C1" w:rsidRPr="0044524F" w14:paraId="19887A94" w14:textId="77777777">
        <w:tc>
          <w:tcPr>
            <w:tcW w:w="1656" w:type="dxa"/>
          </w:tcPr>
          <w:p w14:paraId="5212311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 пушечн. истреб. ДИП-2М34 РН</w:t>
            </w:r>
          </w:p>
        </w:tc>
        <w:tc>
          <w:tcPr>
            <w:tcW w:w="1656" w:type="dxa"/>
          </w:tcPr>
          <w:p w14:paraId="1EF31F5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325/5000</w:t>
            </w:r>
          </w:p>
        </w:tc>
        <w:tc>
          <w:tcPr>
            <w:tcW w:w="1656" w:type="dxa"/>
          </w:tcPr>
          <w:p w14:paraId="7007405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15/5000</w:t>
            </w:r>
          </w:p>
        </w:tc>
        <w:tc>
          <w:tcPr>
            <w:tcW w:w="1656" w:type="dxa"/>
          </w:tcPr>
          <w:p w14:paraId="613B8E8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w:t>
            </w:r>
          </w:p>
        </w:tc>
        <w:tc>
          <w:tcPr>
            <w:tcW w:w="1656" w:type="dxa"/>
          </w:tcPr>
          <w:p w14:paraId="44D8FF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3BDA6A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w:t>
            </w:r>
          </w:p>
        </w:tc>
        <w:tc>
          <w:tcPr>
            <w:tcW w:w="1656" w:type="dxa"/>
          </w:tcPr>
          <w:p w14:paraId="2DAE79E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июня 1934 </w:t>
            </w:r>
          </w:p>
        </w:tc>
      </w:tr>
      <w:tr w:rsidR="004E10C1" w:rsidRPr="0044524F" w14:paraId="46C91FC8" w14:textId="77777777">
        <w:tc>
          <w:tcPr>
            <w:tcW w:w="1656" w:type="dxa"/>
          </w:tcPr>
          <w:p w14:paraId="23D32E7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 истреб. ДИ6 Райт-Циклон</w:t>
            </w:r>
          </w:p>
        </w:tc>
        <w:tc>
          <w:tcPr>
            <w:tcW w:w="1656" w:type="dxa"/>
          </w:tcPr>
          <w:p w14:paraId="77A9AB7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375/5000</w:t>
            </w:r>
          </w:p>
        </w:tc>
        <w:tc>
          <w:tcPr>
            <w:tcW w:w="1656" w:type="dxa"/>
          </w:tcPr>
          <w:p w14:paraId="4324158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9/5000</w:t>
            </w:r>
          </w:p>
        </w:tc>
        <w:tc>
          <w:tcPr>
            <w:tcW w:w="1656" w:type="dxa"/>
          </w:tcPr>
          <w:p w14:paraId="5A5B9EE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400/700</w:t>
            </w:r>
          </w:p>
        </w:tc>
        <w:tc>
          <w:tcPr>
            <w:tcW w:w="1656" w:type="dxa"/>
          </w:tcPr>
          <w:p w14:paraId="07EC1E9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085D9D4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Легк. и тяж. пул. </w:t>
            </w:r>
          </w:p>
        </w:tc>
        <w:tc>
          <w:tcPr>
            <w:tcW w:w="1656" w:type="dxa"/>
          </w:tcPr>
          <w:p w14:paraId="0A67AF9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1934</w:t>
            </w:r>
          </w:p>
        </w:tc>
      </w:tr>
      <w:tr w:rsidR="004E10C1" w:rsidRPr="0044524F" w14:paraId="2DB729D4" w14:textId="77777777">
        <w:tc>
          <w:tcPr>
            <w:tcW w:w="1656" w:type="dxa"/>
          </w:tcPr>
          <w:p w14:paraId="2CD51E4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К7-7М34</w:t>
            </w:r>
          </w:p>
        </w:tc>
        <w:tc>
          <w:tcPr>
            <w:tcW w:w="1656" w:type="dxa"/>
          </w:tcPr>
          <w:p w14:paraId="06F6CBA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656" w:type="dxa"/>
          </w:tcPr>
          <w:p w14:paraId="44F095C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CAF86C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656" w:type="dxa"/>
          </w:tcPr>
          <w:p w14:paraId="54D3628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C78B3A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D9023B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августа 1933 </w:t>
            </w:r>
          </w:p>
        </w:tc>
      </w:tr>
      <w:tr w:rsidR="004E10C1" w:rsidRPr="0044524F" w14:paraId="0C7F3300" w14:textId="77777777">
        <w:tc>
          <w:tcPr>
            <w:tcW w:w="1656" w:type="dxa"/>
          </w:tcPr>
          <w:p w14:paraId="66CC77A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бомбовоз ТБ6</w:t>
            </w:r>
          </w:p>
        </w:tc>
        <w:tc>
          <w:tcPr>
            <w:tcW w:w="1656" w:type="dxa"/>
          </w:tcPr>
          <w:p w14:paraId="4D16AF4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250/5000</w:t>
            </w:r>
          </w:p>
        </w:tc>
        <w:tc>
          <w:tcPr>
            <w:tcW w:w="1656" w:type="dxa"/>
          </w:tcPr>
          <w:p w14:paraId="7A5056A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718D5D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1500/2000</w:t>
            </w:r>
          </w:p>
        </w:tc>
        <w:tc>
          <w:tcPr>
            <w:tcW w:w="1656" w:type="dxa"/>
          </w:tcPr>
          <w:p w14:paraId="0ECFF06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тн</w:t>
            </w:r>
          </w:p>
        </w:tc>
        <w:tc>
          <w:tcPr>
            <w:tcW w:w="1656" w:type="dxa"/>
          </w:tcPr>
          <w:p w14:paraId="5A4720F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пул. и пушки</w:t>
            </w:r>
          </w:p>
        </w:tc>
        <w:tc>
          <w:tcPr>
            <w:tcW w:w="1656" w:type="dxa"/>
          </w:tcPr>
          <w:p w14:paraId="75C7C93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1935</w:t>
            </w:r>
          </w:p>
        </w:tc>
      </w:tr>
      <w:tr w:rsidR="004E10C1" w:rsidRPr="0044524F" w14:paraId="73CE3550" w14:textId="77777777">
        <w:tc>
          <w:tcPr>
            <w:tcW w:w="1656" w:type="dxa"/>
          </w:tcPr>
          <w:p w14:paraId="06D44FC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Скоростн. разведчик СР1-М58</w:t>
            </w:r>
          </w:p>
        </w:tc>
        <w:tc>
          <w:tcPr>
            <w:tcW w:w="1656" w:type="dxa"/>
          </w:tcPr>
          <w:p w14:paraId="1A04874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425/4000</w:t>
            </w:r>
          </w:p>
        </w:tc>
        <w:tc>
          <w:tcPr>
            <w:tcW w:w="1656" w:type="dxa"/>
          </w:tcPr>
          <w:p w14:paraId="3AC6019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12/4000</w:t>
            </w:r>
          </w:p>
        </w:tc>
        <w:tc>
          <w:tcPr>
            <w:tcW w:w="1656" w:type="dxa"/>
          </w:tcPr>
          <w:p w14:paraId="5938A99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656" w:type="dxa"/>
          </w:tcPr>
          <w:p w14:paraId="6DCE0F1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525E96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A770A2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6 месяцев после получения мотора</w:t>
            </w:r>
          </w:p>
        </w:tc>
      </w:tr>
      <w:tr w:rsidR="004E10C1" w:rsidRPr="0044524F" w14:paraId="1A0443E9" w14:textId="77777777">
        <w:tc>
          <w:tcPr>
            <w:tcW w:w="1656" w:type="dxa"/>
          </w:tcPr>
          <w:p w14:paraId="48E03D8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Стратосферный с-т</w:t>
            </w:r>
          </w:p>
        </w:tc>
        <w:tc>
          <w:tcPr>
            <w:tcW w:w="1656" w:type="dxa"/>
          </w:tcPr>
          <w:p w14:paraId="5DA4C9B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5DC613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28ADAC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3F866B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B89C44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F3B1E3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r>
      <w:tr w:rsidR="004E10C1" w:rsidRPr="0044524F" w14:paraId="7269D291" w14:textId="77777777">
        <w:tc>
          <w:tcPr>
            <w:tcW w:w="1656" w:type="dxa"/>
          </w:tcPr>
          <w:p w14:paraId="30AE003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Летающее крыло</w:t>
            </w:r>
          </w:p>
        </w:tc>
        <w:tc>
          <w:tcPr>
            <w:tcW w:w="1656" w:type="dxa"/>
          </w:tcPr>
          <w:p w14:paraId="1E4AE4C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3A381D0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5BE9B3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C55689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39B54D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9133F2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w:t>
            </w:r>
          </w:p>
        </w:tc>
      </w:tr>
      <w:tr w:rsidR="004E10C1" w:rsidRPr="0044524F" w14:paraId="61E86557" w14:textId="77777777">
        <w:tc>
          <w:tcPr>
            <w:tcW w:w="1656" w:type="dxa"/>
          </w:tcPr>
          <w:p w14:paraId="60BFEEF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Разрезное крыло сист. Кричевского</w:t>
            </w:r>
          </w:p>
        </w:tc>
        <w:tc>
          <w:tcPr>
            <w:tcW w:w="1656" w:type="dxa"/>
          </w:tcPr>
          <w:p w14:paraId="3E40A34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0C3965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A6B0AA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78579D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6A03BF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C2A681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5E811830" w14:textId="77777777">
        <w:tc>
          <w:tcPr>
            <w:tcW w:w="1656" w:type="dxa"/>
          </w:tcPr>
          <w:p w14:paraId="2B84A7C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ВГ2</w:t>
            </w:r>
          </w:p>
        </w:tc>
        <w:tc>
          <w:tcPr>
            <w:tcW w:w="1656" w:type="dxa"/>
          </w:tcPr>
          <w:p w14:paraId="1B2549B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089FC2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89C062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4A46AF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52A893D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83D9B7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30 июля 1933 </w:t>
            </w:r>
          </w:p>
        </w:tc>
      </w:tr>
      <w:tr w:rsidR="004E10C1" w:rsidRPr="0044524F" w14:paraId="186CD1F4" w14:textId="77777777">
        <w:tc>
          <w:tcPr>
            <w:tcW w:w="1656" w:type="dxa"/>
          </w:tcPr>
          <w:p w14:paraId="1989D6F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М-22</w:t>
            </w:r>
          </w:p>
        </w:tc>
        <w:tc>
          <w:tcPr>
            <w:tcW w:w="1656" w:type="dxa"/>
          </w:tcPr>
          <w:p w14:paraId="58094A7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77A13D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2158E95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6AFB8EC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FA17E0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016B9CD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w:t>
            </w:r>
          </w:p>
        </w:tc>
      </w:tr>
      <w:tr w:rsidR="004E10C1" w:rsidRPr="0044524F" w14:paraId="1AF9B91C" w14:textId="77777777">
        <w:tc>
          <w:tcPr>
            <w:tcW w:w="1656" w:type="dxa"/>
          </w:tcPr>
          <w:p w14:paraId="21BF3C0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самолет У3-М48</w:t>
            </w:r>
          </w:p>
        </w:tc>
        <w:tc>
          <w:tcPr>
            <w:tcW w:w="1656" w:type="dxa"/>
          </w:tcPr>
          <w:p w14:paraId="406FD63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180/1000</w:t>
            </w:r>
          </w:p>
        </w:tc>
        <w:tc>
          <w:tcPr>
            <w:tcW w:w="1656" w:type="dxa"/>
          </w:tcPr>
          <w:p w14:paraId="1D78E39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41C0DD0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c>
          <w:tcPr>
            <w:tcW w:w="1656" w:type="dxa"/>
          </w:tcPr>
          <w:p w14:paraId="1EECD52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7EB8F63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6" w:type="dxa"/>
          </w:tcPr>
          <w:p w14:paraId="18CA10F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w:t>
            </w:r>
          </w:p>
        </w:tc>
      </w:tr>
    </w:tbl>
    <w:p w14:paraId="793F37C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094C51A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моторов и самолетов по группе опытных отнести к первоочередным и решающим объектам плана, обязав ГУАП выполнить все работы, предъявив моторы и самолеты в указанные сроки на гос. испытания.</w:t>
      </w:r>
    </w:p>
    <w:p w14:paraId="4FE5EEC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экспериментальных моторов и самолетов, указанные в плане сроки считать сроками предъявления на заводские испытания.</w:t>
      </w:r>
    </w:p>
    <w:p w14:paraId="43052F9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связи с необходимостью значительного увеличения радиусов действия нашей авиации, зависящих в основном от безотказности и надежности работы моторов, считать главнейшим требованием ко всем перечисленным выше моторам их надежную и безотказную работу (без замены каких-бы то ни было деталей) не менее 200 часов между переборками, а для М-34 однорядного и М48 не менее 300 часов.</w:t>
      </w:r>
    </w:p>
    <w:p w14:paraId="38FF86A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При конструировании всех вышеперечисленных типов самолетов обратить особое внимание на скорейшее достижение:</w:t>
      </w:r>
    </w:p>
    <w:p w14:paraId="3DDD837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уменьшения мертвого веса конструкции, причем для бомбардировочных самолетов мертвый вес конструкции должен составлять не более 50% нормального полетного веса;</w:t>
      </w:r>
    </w:p>
    <w:p w14:paraId="760A55E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увеличения обтекаемости в целях увеличения горизонтальной скорости и</w:t>
      </w:r>
    </w:p>
    <w:p w14:paraId="058E9D0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уменьшения посадочной скорости до 50-60 км и достижения коэффициента посадочной скорости (соотношение между максимальной, горизонтальной и посадочной скоростью) не менее четырех.</w:t>
      </w:r>
    </w:p>
    <w:p w14:paraId="4B2A867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Сверх указанного плана обязать ГУАП построить эталон ТБ4 для серийного производства. Алкснису и Баранову установить технические требования для этого самолета и срок предъявления его на гос. испытания.</w:t>
      </w:r>
    </w:p>
    <w:p w14:paraId="3976095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Возложить персональную ответственность за выполнение утвержденного плана опытного строительства в обусловленные сроки на начальника ГУАП Баранова, а по мотору Н5 – на начальника техотдела ЭКУ ОГПУ Горянова.</w:t>
      </w:r>
    </w:p>
    <w:p w14:paraId="0050C3E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Обязать ГУАП под личную ответственность Баранова форсировать изготовление и испытание невыключающегося нагнетателя для мотора М-34 в ЦИАМе и немедленно приступить к подготовке серийного производства нагнетателей и редукторов к этому мотору с таким расчетом, чтобы с 1 октября 1933 года выпускать мотор М34 с редуктором, а с 1 января 1934 года с нагнетателем в качестве, потребном НКВМ.</w:t>
      </w:r>
    </w:p>
    <w:p w14:paraId="3577DCA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 целях своевременной постройки опытных образцов самолетов под мотор «Райт-Циклон» и мотор «Кертисс» типа - 1800 и внедрения этих типов в серийное производство ко времени выпуска на советских заводах моторов «Райт-Циклон» и «Кертисс» по лицензии, закупить немедленно 30 моторов «Райт-Циклон» и 20 моторов «Кертисс». –1800 с необходимым количеством запчастей и инструментов.</w:t>
      </w:r>
    </w:p>
    <w:p w14:paraId="52585F1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Реализацию покупки моторов возложить на НКТП с отпуском для этой цели необходимых средств в инвалюте из резервного фонда Совнаркома.</w:t>
      </w:r>
    </w:p>
    <w:p w14:paraId="2345B41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Начальнику ГУАП Баранову принять все меры к использованию техпомощи фирмы «Райт-Кертисс» и по подготовке производства моторов «Райт-Циклон» и «Кертисс» -1800 в обусловленные договором сроки.</w:t>
      </w:r>
    </w:p>
    <w:p w14:paraId="441B17B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реализации договора на техпомощь на моторы «Райт-Циклон» и «Кертисс» , хода подготовки производства указанных моторов на советских заводах и заключении договора на поставку 50 моторов (30 моторов «Райт-Циклон» и 20 «Кертисс») и о реализации этого договора Баранову и Алкснису ежеквартально докладывать НКТП Орджоникидзе и НКВМ Ворошилову.</w:t>
      </w:r>
    </w:p>
    <w:p w14:paraId="5E6ACD1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Предложить Баранову ознакомиться с работами группы Проскура-Майзель в Харьковском институте Промэнергетики на предмет ее выделения в самостоятельное научно-исследовательское и опытное бюро по конструированию и постройке нагнетателей для авиамоторов.</w:t>
      </w:r>
    </w:p>
    <w:p w14:paraId="424B730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Свои конкретные предложения, согласованные с начальником ВВС, доложить КО в месячный срок.</w:t>
      </w:r>
    </w:p>
    <w:p w14:paraId="6388B4C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В целях ………………………….. обязать НКАП под персональную ответственность Баранова организовать на одном из незамерзающих морей мощное КБ по созданию новых типов самолетов.</w:t>
      </w:r>
    </w:p>
    <w:p w14:paraId="0E8CED7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Баранову, Алкснису и Орлову в двухмесячный срок ………….. по этому вопросу в КО конкретные, согласованные предложения.</w:t>
      </w:r>
    </w:p>
    <w:p w14:paraId="4F7EFBF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Впредь до перевода КБ по опытному гидросамолетостроению на одно из незамерзающих морей обязать Баранова, выделить внутри ЦАГИ и 39 завода всех конструкторов по гидросамолетостроению в самостоятельные конструкторские бюро, с непосредственным подчинением главных конструкторов начальнику ЦАГИ и директору завода № 39 по принадлежности.</w:t>
      </w:r>
    </w:p>
    <w:p w14:paraId="5596329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Начальнику ГУАП принять все меры к окончанию организации и усилению конструкторских бюро на серийных заводах для усовершенствования и модернизации самолетов и моторов.</w:t>
      </w:r>
    </w:p>
    <w:p w14:paraId="7E1F933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11-а. Обязать начальника ГУАП Баранова образовать специальное КБ с придачей ему 25-го авиазавода во главе с директором Фрадкиным, главным артиллерийским инженером Курчевским и главным авиаинженером Григоровичем. Откомандировать в состав этого КБ Петрова (ОГПУ), Агокаса (ГУАП) и Козлова (ВВА по совместительству). Задачей КБ поставить постройку мощного артиллерийского самолета.</w:t>
      </w:r>
    </w:p>
    <w:p w14:paraId="1C60507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Возложить на начальника ГУАП Баранова подготовку производства в 1934 году стандартного типа ТБ3 и АНТ-14 ………….. бомбардировщика и тяжелого штурмовика, приспособленных для почтовой и пассажирской эксплоатации ГВФ.</w:t>
      </w:r>
    </w:p>
    <w:p w14:paraId="35FBE62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Обязать начальника ГУАП Баранова внедрить в серийное производство скоростной пассажирский самолет ХАИ с 1 января 1934 года ……………………….</w:t>
      </w:r>
    </w:p>
    <w:p w14:paraId="1BBA63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Обязать ГУАП обеспечить предъявление на гос. испытание окончательного образца турели под пулемет «ШКАС» к 25 августа 1933 года; самолетной установки для крупнокалиберного пулемета «ШВАК» к 15 октября 1933 года; установки для 20 мм автоматической пушки – 1 октября 1933 года; установки для 37 мм автоматической пушки к 1 января 1934 года и в течение 1933 года закончить разработку бомбовых блоков со свободной подвеской бомб, оборудуя впредь все новые самолеты этими типами балок.</w:t>
      </w:r>
    </w:p>
    <w:p w14:paraId="588FC6E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Обязать начальника ГУГВФ Гольцмана, самовольно прекратившего работу по плану опытного строительства ВВС, утвержденного КО от 4 июля 1932 года, в части, касающейся ГУГВФ в декадный срок представить новые сроки предъявления этих опытных самолетов на гос. испытание, согласованные с начальником ВВС.</w:t>
      </w:r>
    </w:p>
    <w:p w14:paraId="1ECF90C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КО Молотов-Скрябин) (4223, 9-12).</w:t>
      </w:r>
    </w:p>
    <w:p w14:paraId="1BF2B10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87D7DD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августа 1933 Я.Берзин докладывал наркому К.Е.В., что в период 20-30 сентября 1933 будет окончательно ликвидирована станция "друзей" в Липецке. Стоимость оставленного оборудования составила 2.9 млн. марок + 50 самолетов Фоккер (1131,32).</w:t>
      </w:r>
    </w:p>
    <w:p w14:paraId="115121A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08401B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августа 1933 года главный инженер механик НИИ ВВС Аузан писал письмо N 2/01160 начальнику штаба ВВС Хрипину.</w:t>
      </w:r>
    </w:p>
    <w:p w14:paraId="1343B13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сем препровождаю тактико-технические требования к транспортному самолету Можаева (3903).</w:t>
      </w:r>
    </w:p>
    <w:p w14:paraId="26F240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36A91C4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августа 1933 дата присвоения опознавательного знака с литерой "Н" - СССР-Н18 - У-2, зав. № 4940, мотор - М-11.Первоначальный владелец воздушного судна - УВС ГУСМП. Самолет выпуска 1933 г. По данным Реестра Воздушных судов У-2 СССР-Н18 был полностью разбит в аварии, а исключен из списков самолетного парка ГУСМП 05.01.35 г. Использован для ремонта СССР-Н36 в 1937 г. Согласно приказу по ГУСМП № 406 от 25 сентября 1938 г. самолет СССР-Н18 был передан в ГВФ взамен потерянного при снятии со льдины папанинцев Ш-2 СССР-М32 и исключен из списков самоле- то-моторного парка УПА (11955).</w:t>
      </w:r>
    </w:p>
    <w:p w14:paraId="10AF607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627DABD0" w14:textId="77777777" w:rsidR="005F068E" w:rsidRPr="0044524F" w:rsidRDefault="005F06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августа 1933 в 16.00 дирижабль вылетел в Тетюши. На борту находился секретарь обкома ВКП (б) Разумов, заведующий агитационно-про</w:t>
      </w:r>
      <w:r w:rsidRPr="0044524F">
        <w:rPr>
          <w:rFonts w:ascii="Times New Roman" w:hAnsi="Times New Roman"/>
          <w:color w:val="000000" w:themeColor="text1"/>
          <w:sz w:val="16"/>
          <w:szCs w:val="16"/>
        </w:rPr>
        <w:softHyphen/>
        <w:t>пагандистским отделом обкома Жилинский, корреспондент «Красной Татарии», киноопера</w:t>
      </w:r>
      <w:r w:rsidRPr="0044524F">
        <w:rPr>
          <w:rFonts w:ascii="Times New Roman" w:hAnsi="Times New Roman"/>
          <w:color w:val="000000" w:themeColor="text1"/>
          <w:sz w:val="16"/>
          <w:szCs w:val="16"/>
        </w:rPr>
        <w:softHyphen/>
        <w:t>тор и трубач. Маршрут полёта, увязанный с пя</w:t>
      </w:r>
      <w:r w:rsidRPr="0044524F">
        <w:rPr>
          <w:rFonts w:ascii="Times New Roman" w:hAnsi="Times New Roman"/>
          <w:color w:val="000000" w:themeColor="text1"/>
          <w:sz w:val="16"/>
          <w:szCs w:val="16"/>
        </w:rPr>
        <w:softHyphen/>
        <w:t>тидневкой завершения хлебосдачи в республике, проходил через отстающие Верхне-Услонский, Апастовский и Буинский районы. С дирижабля разбрасывались листовки-обращения обкома ВКП (б) об усилении темпов сдачи хлеба, пред</w:t>
      </w:r>
      <w:r w:rsidRPr="0044524F">
        <w:rPr>
          <w:rFonts w:ascii="Times New Roman" w:hAnsi="Times New Roman"/>
          <w:color w:val="000000" w:themeColor="text1"/>
          <w:sz w:val="16"/>
          <w:szCs w:val="16"/>
        </w:rPr>
        <w:softHyphen/>
        <w:t>варяемые при полёте над крупными колхоза</w:t>
      </w:r>
      <w:r w:rsidRPr="0044524F">
        <w:rPr>
          <w:rFonts w:ascii="Times New Roman" w:hAnsi="Times New Roman"/>
          <w:color w:val="000000" w:themeColor="text1"/>
          <w:sz w:val="16"/>
          <w:szCs w:val="16"/>
        </w:rPr>
        <w:softHyphen/>
        <w:t>ми сигналами горна. По прибытии «СССР В-2» в Тетюши там состоялся митинг, после оконча</w:t>
      </w:r>
      <w:r w:rsidRPr="0044524F">
        <w:rPr>
          <w:rFonts w:ascii="Times New Roman" w:hAnsi="Times New Roman"/>
          <w:color w:val="000000" w:themeColor="text1"/>
          <w:sz w:val="16"/>
          <w:szCs w:val="16"/>
        </w:rPr>
        <w:softHyphen/>
        <w:t>ния которого, уже в сумерках, дирижабль отбыл в Казань.</w:t>
      </w:r>
    </w:p>
    <w:p w14:paraId="0A353830" w14:textId="77777777" w:rsidR="005F068E" w:rsidRPr="0044524F" w:rsidRDefault="005F06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следующий день дирижабль вылетел в районы Закамья с секретарём обкома ВКП (б) на борту. В полёте участвовали также корреспон</w:t>
      </w:r>
      <w:r w:rsidRPr="0044524F">
        <w:rPr>
          <w:rFonts w:ascii="Times New Roman" w:hAnsi="Times New Roman"/>
          <w:color w:val="000000" w:themeColor="text1"/>
          <w:sz w:val="16"/>
          <w:szCs w:val="16"/>
        </w:rPr>
        <w:softHyphen/>
        <w:t>дент «Красной Татарии» и трубач. Полёт прохо</w:t>
      </w:r>
      <w:r w:rsidRPr="0044524F">
        <w:rPr>
          <w:rFonts w:ascii="Times New Roman" w:hAnsi="Times New Roman"/>
          <w:color w:val="000000" w:themeColor="text1"/>
          <w:sz w:val="16"/>
          <w:szCs w:val="16"/>
        </w:rPr>
        <w:softHyphen/>
        <w:t>дил по маршруту Казань — Мамадыш — Ела- буга — Березинные челны — Сорманово — Чи</w:t>
      </w:r>
      <w:r w:rsidRPr="0044524F">
        <w:rPr>
          <w:rFonts w:ascii="Times New Roman" w:hAnsi="Times New Roman"/>
          <w:color w:val="000000" w:themeColor="text1"/>
          <w:sz w:val="16"/>
          <w:szCs w:val="16"/>
        </w:rPr>
        <w:softHyphen/>
        <w:t>стополь — Рыбная слобода — Казань, куда дири</w:t>
      </w:r>
      <w:r w:rsidRPr="0044524F">
        <w:rPr>
          <w:rFonts w:ascii="Times New Roman" w:hAnsi="Times New Roman"/>
          <w:color w:val="000000" w:themeColor="text1"/>
          <w:sz w:val="16"/>
          <w:szCs w:val="16"/>
        </w:rPr>
        <w:softHyphen/>
        <w:t>жабль возвратился в 20.25, пройдя за 8 ч 39 мин 645 км. «СССР В-2» садился в Березинных челнах и Чистополе, где состоялись митинги. На отрез</w:t>
      </w:r>
      <w:r w:rsidRPr="0044524F">
        <w:rPr>
          <w:rFonts w:ascii="Times New Roman" w:hAnsi="Times New Roman"/>
          <w:color w:val="000000" w:themeColor="text1"/>
          <w:sz w:val="16"/>
          <w:szCs w:val="16"/>
        </w:rPr>
        <w:softHyphen/>
        <w:t>ке от Березинных челнов до Чистополя дири</w:t>
      </w:r>
      <w:r w:rsidRPr="0044524F">
        <w:rPr>
          <w:rFonts w:ascii="Times New Roman" w:hAnsi="Times New Roman"/>
          <w:color w:val="000000" w:themeColor="text1"/>
          <w:sz w:val="16"/>
          <w:szCs w:val="16"/>
        </w:rPr>
        <w:softHyphen/>
        <w:t>жабль взял на борт трёх ударников-колхозников. Стартёр Мартынов летел впереди на самолете У-2 для подготовки встречи дирижабля в местах про</w:t>
      </w:r>
      <w:r w:rsidRPr="0044524F">
        <w:rPr>
          <w:rFonts w:ascii="Times New Roman" w:hAnsi="Times New Roman"/>
          <w:color w:val="000000" w:themeColor="text1"/>
          <w:sz w:val="16"/>
          <w:szCs w:val="16"/>
        </w:rPr>
        <w:softHyphen/>
        <w:t>межуточных посадок.</w:t>
      </w:r>
    </w:p>
    <w:p w14:paraId="36B932F3" w14:textId="77777777" w:rsidR="005F068E" w:rsidRPr="0044524F" w:rsidRDefault="005F06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Обратный путь из Казани в Москву дирижабль выполнил без посадок. Стартовав 4 сентября в 13.33, он, после 10 ч 14 мин полёта, приземлил</w:t>
      </w:r>
      <w:r w:rsidRPr="0044524F">
        <w:rPr>
          <w:rFonts w:ascii="Times New Roman" w:hAnsi="Times New Roman"/>
          <w:color w:val="000000" w:themeColor="text1"/>
          <w:sz w:val="16"/>
          <w:szCs w:val="16"/>
        </w:rPr>
        <w:softHyphen/>
        <w:t>ся в столице. Последнюю часть пути «СССР В-2» шёл в темноте, по неосвещённой трассе. Только пролетая над Комсомольской площадью, пило</w:t>
      </w:r>
      <w:r w:rsidRPr="0044524F">
        <w:rPr>
          <w:rFonts w:ascii="Times New Roman" w:hAnsi="Times New Roman"/>
          <w:color w:val="000000" w:themeColor="text1"/>
          <w:sz w:val="16"/>
          <w:szCs w:val="16"/>
        </w:rPr>
        <w:softHyphen/>
        <w:t>ты заметили вращающийся маяк Центрального порта дирижаблей. В ходе полёта дирижабль по</w:t>
      </w:r>
      <w:r w:rsidRPr="0044524F">
        <w:rPr>
          <w:rFonts w:ascii="Times New Roman" w:hAnsi="Times New Roman"/>
          <w:color w:val="000000" w:themeColor="text1"/>
          <w:sz w:val="16"/>
          <w:szCs w:val="16"/>
        </w:rPr>
        <w:softHyphen/>
        <w:t>лучал регулярные метеосводки по радио. За три часа до прилёта в Москву Е.М. Оппман по радио узнал о грозе в столице и задержался в пути до радиограммы о её завершении. За час до прилёта в Москву на «СССР В-2» получили данные шаро- пилотных наблюдений Центрального поста, по</w:t>
      </w:r>
      <w:r w:rsidRPr="0044524F">
        <w:rPr>
          <w:rFonts w:ascii="Times New Roman" w:hAnsi="Times New Roman"/>
          <w:color w:val="000000" w:themeColor="text1"/>
          <w:sz w:val="16"/>
          <w:szCs w:val="16"/>
        </w:rPr>
        <w:softHyphen/>
        <w:t>зволившие понять условия предстоящей посад</w:t>
      </w:r>
      <w:r w:rsidRPr="0044524F">
        <w:rPr>
          <w:rFonts w:ascii="Times New Roman" w:hAnsi="Times New Roman"/>
          <w:color w:val="000000" w:themeColor="text1"/>
          <w:sz w:val="16"/>
          <w:szCs w:val="16"/>
        </w:rPr>
        <w:softHyphen/>
        <w:t>ки. Дирижабль поддерживал также радиосвязь с Москвой, Казанью и Арзамасом.</w:t>
      </w:r>
    </w:p>
    <w:p w14:paraId="79E45FE0" w14:textId="77777777" w:rsidR="005F068E" w:rsidRPr="0044524F" w:rsidRDefault="005F06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 г. «СССР В-2» налетал только 30 часов, так как весной его разоружили: опыт эксплуа</w:t>
      </w:r>
      <w:r w:rsidRPr="0044524F">
        <w:rPr>
          <w:rFonts w:ascii="Times New Roman" w:hAnsi="Times New Roman"/>
          <w:color w:val="000000" w:themeColor="text1"/>
          <w:sz w:val="16"/>
          <w:szCs w:val="16"/>
        </w:rPr>
        <w:softHyphen/>
        <w:t>тации показал, что «СССР В-3» лучше подходит для обучения лётных кадров. Большая весовая отдача «В-3» обеспечивала ему хорошую автоно</w:t>
      </w:r>
      <w:r w:rsidRPr="0044524F">
        <w:rPr>
          <w:rFonts w:ascii="Times New Roman" w:hAnsi="Times New Roman"/>
          <w:color w:val="000000" w:themeColor="text1"/>
          <w:sz w:val="16"/>
          <w:szCs w:val="16"/>
        </w:rPr>
        <w:softHyphen/>
        <w:t>мию и большую дальность полётов при скоро</w:t>
      </w:r>
      <w:r w:rsidRPr="0044524F">
        <w:rPr>
          <w:rFonts w:ascii="Times New Roman" w:hAnsi="Times New Roman"/>
          <w:color w:val="000000" w:themeColor="text1"/>
          <w:sz w:val="16"/>
          <w:szCs w:val="16"/>
        </w:rPr>
        <w:softHyphen/>
        <w:t>стях не меньших, чем на «СССР В-2». Свою роль сыграла и ненадёжная работа моторов «Титан», замену которым так и не нашли (20120).</w:t>
      </w:r>
    </w:p>
    <w:p w14:paraId="493F1F24" w14:textId="77777777" w:rsidR="005F068E" w:rsidRPr="0044524F" w:rsidRDefault="005F068E" w:rsidP="009654CF">
      <w:pPr>
        <w:spacing w:after="0" w:line="240" w:lineRule="auto"/>
        <w:jc w:val="both"/>
        <w:rPr>
          <w:rFonts w:ascii="Times New Roman" w:hAnsi="Times New Roman"/>
          <w:color w:val="000000" w:themeColor="text1"/>
          <w:sz w:val="16"/>
          <w:szCs w:val="16"/>
        </w:rPr>
      </w:pPr>
    </w:p>
    <w:p w14:paraId="331441F8"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B339C4A"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5FF8A83"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августа 1934 г. на базе Ленинградских краснознамен</w:t>
      </w:r>
      <w:r w:rsidRPr="0044524F">
        <w:rPr>
          <w:rFonts w:ascii="Times New Roman" w:hAnsi="Times New Roman"/>
          <w:color w:val="000000" w:themeColor="text1"/>
          <w:sz w:val="16"/>
          <w:szCs w:val="16"/>
        </w:rPr>
        <w:softHyphen/>
        <w:t>ных бронетанковых курсов усовершенствования комсостава РККА им. тов. Бубнов прошли войсковые испытания легкой броневой дрези</w:t>
      </w:r>
      <w:r w:rsidRPr="0044524F">
        <w:rPr>
          <w:rFonts w:ascii="Times New Roman" w:hAnsi="Times New Roman"/>
          <w:color w:val="000000" w:themeColor="text1"/>
          <w:sz w:val="16"/>
          <w:szCs w:val="16"/>
        </w:rPr>
        <w:softHyphen/>
        <w:t>ны, которые начались 22 июня 1933 г.</w:t>
      </w:r>
    </w:p>
    <w:p w14:paraId="6771B64E"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положи</w:t>
      </w:r>
      <w:r w:rsidRPr="0044524F">
        <w:rPr>
          <w:rFonts w:ascii="Times New Roman" w:hAnsi="Times New Roman"/>
          <w:color w:val="000000" w:themeColor="text1"/>
          <w:sz w:val="16"/>
          <w:szCs w:val="16"/>
        </w:rPr>
        <w:softHyphen/>
        <w:t>тельным качествам «брдл» на основе Д-8, позволяющим эффективно ис</w:t>
      </w:r>
      <w:r w:rsidRPr="0044524F">
        <w:rPr>
          <w:rFonts w:ascii="Times New Roman" w:hAnsi="Times New Roman"/>
          <w:color w:val="000000" w:themeColor="text1"/>
          <w:sz w:val="16"/>
          <w:szCs w:val="16"/>
        </w:rPr>
        <w:softHyphen/>
        <w:t xml:space="preserve">пользовать ее как средство механизированной разведки в бронепоезд- ных частях, отнесли высокую скорость движения (до 100 км/ч по рельсам и 80 км/ч по шоссе, повышенную проходимость (переход на грунт силами экипажа занимал не более 10 мин), небольшие габариты (длина - 3540 мм, ширина - 1705 мм, высота - 1700 мм), наличие броневой защиты </w:t>
      </w:r>
      <w:r w:rsidRPr="0044524F">
        <w:rPr>
          <w:rStyle w:val="aff5"/>
          <w:rFonts w:ascii="Times New Roman" w:hAnsi="Times New Roman" w:cs="Times New Roman"/>
          <w:i w:val="0"/>
          <w:color w:val="000000" w:themeColor="text1"/>
        </w:rPr>
        <w:t>(«броня простой пулей не пробивается»).</w:t>
      </w:r>
      <w:r w:rsidRPr="0044524F">
        <w:rPr>
          <w:rFonts w:ascii="Times New Roman" w:hAnsi="Times New Roman"/>
          <w:color w:val="000000" w:themeColor="text1"/>
          <w:sz w:val="16"/>
          <w:szCs w:val="16"/>
        </w:rPr>
        <w:t xml:space="preserve"> Специальное оборудование в целом получило высокую оценку.</w:t>
      </w:r>
    </w:p>
    <w:p w14:paraId="106BABC6"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и недостатков хватало. Так, в выводах по результатам испы</w:t>
      </w:r>
      <w:r w:rsidRPr="0044524F">
        <w:rPr>
          <w:rFonts w:ascii="Times New Roman" w:hAnsi="Times New Roman"/>
          <w:color w:val="000000" w:themeColor="text1"/>
          <w:sz w:val="16"/>
          <w:szCs w:val="16"/>
        </w:rPr>
        <w:softHyphen/>
        <w:t>таний начальник курса Лебедевский, наряду с достоинствами машины, отмечал:</w:t>
      </w:r>
    </w:p>
    <w:p w14:paraId="0DA991D1"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«1. Бр.д.л., имея положительные и отрицательные свойства броне</w:t>
      </w:r>
      <w:r w:rsidRPr="0044524F">
        <w:rPr>
          <w:rFonts w:ascii="Times New Roman" w:cs="Times New Roman"/>
          <w:color w:val="000000" w:themeColor="text1"/>
          <w:spacing w:val="0"/>
          <w:sz w:val="16"/>
          <w:szCs w:val="16"/>
        </w:rPr>
        <w:softHyphen/>
        <w:t>автомобиля «Д-8», при движении по жел. дор. пути не может компен</w:t>
      </w:r>
      <w:r w:rsidRPr="0044524F">
        <w:rPr>
          <w:rFonts w:ascii="Times New Roman" w:cs="Times New Roman"/>
          <w:color w:val="000000" w:themeColor="text1"/>
          <w:spacing w:val="0"/>
          <w:sz w:val="16"/>
          <w:szCs w:val="16"/>
        </w:rPr>
        <w:softHyphen/>
        <w:t>сировать поворотливостью ограниченный угол обстрела своих пулеме</w:t>
      </w:r>
      <w:r w:rsidRPr="0044524F">
        <w:rPr>
          <w:rFonts w:ascii="Times New Roman" w:cs="Times New Roman"/>
          <w:color w:val="000000" w:themeColor="text1"/>
          <w:spacing w:val="0"/>
          <w:sz w:val="16"/>
          <w:szCs w:val="16"/>
        </w:rPr>
        <w:softHyphen/>
        <w:t>тов и при движении задним ходом имеет недостаточную скорость (до 10 клм./ч); поворот брдл на 180 град, и переход на грунт (и обратно) под действительным огнем пр-ка невозможен.</w:t>
      </w:r>
    </w:p>
    <w:p w14:paraId="3D4BABF5" w14:textId="77777777" w:rsidR="004050DA" w:rsidRPr="0044524F" w:rsidRDefault="004050DA" w:rsidP="009654CF">
      <w:pPr>
        <w:pStyle w:val="19"/>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w:t>
      </w:r>
    </w:p>
    <w:p w14:paraId="1B10B637"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4. Специальное оборудование:</w:t>
      </w:r>
    </w:p>
    <w:p w14:paraId="6B2B1825"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а) Съемные диски с ребордами и резиновыми шинами крепятся к колесам надежно и просто; взаимозаменяемость или обеспечение уста</w:t>
      </w:r>
      <w:r w:rsidRPr="0044524F">
        <w:rPr>
          <w:rFonts w:ascii="Times New Roman" w:cs="Times New Roman"/>
          <w:color w:val="000000" w:themeColor="text1"/>
          <w:spacing w:val="0"/>
          <w:sz w:val="16"/>
          <w:szCs w:val="16"/>
        </w:rPr>
        <w:softHyphen/>
        <w:t>новки дисков задних колес на передние (и наоборот) - необходимы. Из 4 дисков 2 пришли в негодность из-за износа резиновых шин: диск левого переднего колеса после экстренного торможения на скорости 75 клм./ч. - на 730 клм.; диск левого заднего колеса -на 212 клм. скоростного про</w:t>
      </w:r>
      <w:r w:rsidRPr="0044524F">
        <w:rPr>
          <w:rFonts w:ascii="Times New Roman" w:cs="Times New Roman"/>
          <w:color w:val="000000" w:themeColor="text1"/>
          <w:spacing w:val="0"/>
          <w:sz w:val="16"/>
          <w:szCs w:val="16"/>
        </w:rPr>
        <w:softHyphen/>
        <w:t>бега на 1012 клм. Шина 2-го диска имела роговую прослойку.</w:t>
      </w:r>
    </w:p>
    <w:p w14:paraId="6F4A3E2C" w14:textId="77777777" w:rsidR="004050DA" w:rsidRPr="0044524F" w:rsidRDefault="004050DA" w:rsidP="009654CF">
      <w:pPr>
        <w:pStyle w:val="3b"/>
        <w:shd w:val="clear" w:color="auto" w:fill="auto"/>
        <w:spacing w:before="0" w:after="0" w:line="240" w:lineRule="auto"/>
        <w:jc w:val="both"/>
        <w:rPr>
          <w:color w:val="000000" w:themeColor="text1"/>
          <w:spacing w:val="0"/>
          <w:sz w:val="16"/>
          <w:szCs w:val="16"/>
        </w:rPr>
      </w:pPr>
      <w:r w:rsidRPr="0044524F">
        <w:rPr>
          <w:color w:val="000000" w:themeColor="text1"/>
          <w:spacing w:val="0"/>
          <w:sz w:val="16"/>
          <w:szCs w:val="16"/>
        </w:rPr>
        <w:t>(...)</w:t>
      </w:r>
    </w:p>
    <w:p w14:paraId="0E400C35"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г) Подъемное приспособление: домкрат имел две поломки. Всю тя</w:t>
      </w:r>
      <w:r w:rsidRPr="0044524F">
        <w:rPr>
          <w:rFonts w:ascii="Times New Roman" w:cs="Times New Roman"/>
          <w:color w:val="000000" w:themeColor="text1"/>
          <w:spacing w:val="0"/>
          <w:sz w:val="16"/>
          <w:szCs w:val="16"/>
        </w:rPr>
        <w:softHyphen/>
        <w:t>жесть брдл при подъемке принимает на себя дно, приклепанное к кор-</w:t>
      </w:r>
    </w:p>
    <w:p w14:paraId="4A210839" w14:textId="77777777" w:rsidR="004050DA" w:rsidRPr="0044524F" w:rsidRDefault="004050DA" w:rsidP="009654CF">
      <w:pPr>
        <w:pStyle w:val="5a"/>
        <w:shd w:val="clear" w:color="auto" w:fill="auto"/>
        <w:spacing w:line="240" w:lineRule="auto"/>
        <w:ind w:firstLine="0"/>
        <w:jc w:val="both"/>
        <w:rPr>
          <w:rFonts w:ascii="Times New Roman" w:hAnsi="Times New Roman"/>
          <w:color w:val="000000" w:themeColor="text1"/>
          <w:spacing w:val="0"/>
          <w:sz w:val="16"/>
          <w:szCs w:val="16"/>
        </w:rPr>
      </w:pPr>
      <w:r w:rsidRPr="0044524F">
        <w:rPr>
          <w:rFonts w:ascii="Times New Roman" w:hAnsi="Times New Roman"/>
          <w:color w:val="000000" w:themeColor="text1"/>
          <w:spacing w:val="0"/>
          <w:sz w:val="16"/>
          <w:szCs w:val="16"/>
        </w:rPr>
        <w:t>Легкая броневая дрезина на железнодорожном ходу. Съемные диски устанавливались поверх автомобильных колес.</w:t>
      </w:r>
    </w:p>
    <w:p w14:paraId="70454AAC"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пусу домкрата; последний изготовлен из мягкого железа. При поломках срезались заклепки, корпус домкрата и дно его перекашивались, шари</w:t>
      </w:r>
      <w:r w:rsidRPr="0044524F">
        <w:rPr>
          <w:rFonts w:ascii="Times New Roman" w:cs="Times New Roman"/>
          <w:color w:val="000000" w:themeColor="text1"/>
          <w:spacing w:val="0"/>
          <w:sz w:val="16"/>
          <w:szCs w:val="16"/>
        </w:rPr>
        <w:softHyphen/>
        <w:t>ки из упорного подшипника выпадали. Корпус домкрата и дно его долж</w:t>
      </w:r>
      <w:r w:rsidRPr="0044524F">
        <w:rPr>
          <w:rFonts w:ascii="Times New Roman" w:cs="Times New Roman"/>
          <w:color w:val="000000" w:themeColor="text1"/>
          <w:spacing w:val="0"/>
          <w:sz w:val="16"/>
          <w:szCs w:val="16"/>
        </w:rPr>
        <w:softHyphen/>
        <w:t>ны быть прочнее и абсолютно жесткими.</w:t>
      </w:r>
    </w:p>
    <w:p w14:paraId="2D4E8BC4" w14:textId="77777777" w:rsidR="004050DA" w:rsidRPr="0044524F" w:rsidRDefault="004050DA" w:rsidP="009654CF">
      <w:pPr>
        <w:pStyle w:val="321"/>
        <w:shd w:val="clear" w:color="auto" w:fill="auto"/>
        <w:spacing w:line="240" w:lineRule="auto"/>
        <w:ind w:firstLine="0"/>
        <w:jc w:val="both"/>
        <w:outlineLvl w:val="9"/>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w:t>
      </w:r>
    </w:p>
    <w:p w14:paraId="3954AB9B" w14:textId="77777777" w:rsidR="004050DA" w:rsidRPr="0044524F" w:rsidRDefault="004050DA" w:rsidP="009654CF">
      <w:pPr>
        <w:pStyle w:val="34"/>
        <w:shd w:val="clear" w:color="auto" w:fill="auto"/>
        <w:spacing w:line="240" w:lineRule="auto"/>
        <w:jc w:val="both"/>
        <w:rPr>
          <w:rFonts w:ascii="Times New Roman" w:cs="Times New Roman"/>
          <w:color w:val="000000" w:themeColor="text1"/>
          <w:spacing w:val="0"/>
          <w:sz w:val="16"/>
          <w:szCs w:val="16"/>
        </w:rPr>
      </w:pPr>
      <w:r w:rsidRPr="0044524F">
        <w:rPr>
          <w:rFonts w:ascii="Times New Roman" w:cs="Times New Roman"/>
          <w:color w:val="000000" w:themeColor="text1"/>
          <w:spacing w:val="0"/>
          <w:sz w:val="16"/>
          <w:szCs w:val="16"/>
        </w:rPr>
        <w:t>ж) Деревянные мостки - пришли в полную негодность. При исполь</w:t>
      </w:r>
      <w:r w:rsidRPr="0044524F">
        <w:rPr>
          <w:rFonts w:ascii="Times New Roman" w:cs="Times New Roman"/>
          <w:color w:val="000000" w:themeColor="text1"/>
          <w:spacing w:val="0"/>
          <w:sz w:val="16"/>
          <w:szCs w:val="16"/>
        </w:rPr>
        <w:softHyphen/>
        <w:t>зовании требуется особая бдительность экипажа брдл: переход перед</w:t>
      </w:r>
      <w:r w:rsidRPr="0044524F">
        <w:rPr>
          <w:rFonts w:ascii="Times New Roman" w:cs="Times New Roman"/>
          <w:color w:val="000000" w:themeColor="text1"/>
          <w:spacing w:val="0"/>
          <w:sz w:val="16"/>
          <w:szCs w:val="16"/>
        </w:rPr>
        <w:softHyphen/>
        <w:t>них колес через наружную нитку рельс наблюдается часто. Предупреж</w:t>
      </w:r>
      <w:r w:rsidRPr="0044524F">
        <w:rPr>
          <w:rFonts w:ascii="Times New Roman" w:cs="Times New Roman"/>
          <w:color w:val="000000" w:themeColor="text1"/>
          <w:spacing w:val="0"/>
          <w:sz w:val="16"/>
          <w:szCs w:val="16"/>
        </w:rPr>
        <w:softHyphen/>
        <w:t>дение износа - крепление мостков от погружения в балласт».</w:t>
      </w:r>
    </w:p>
    <w:p w14:paraId="00482524"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Выяснилось, что при неполной боевой на</w:t>
      </w:r>
      <w:r w:rsidRPr="0044524F">
        <w:rPr>
          <w:rFonts w:ascii="Times New Roman" w:hAnsi="Times New Roman"/>
          <w:color w:val="000000" w:themeColor="text1"/>
          <w:sz w:val="16"/>
          <w:szCs w:val="16"/>
        </w:rPr>
        <w:softHyphen/>
        <w:t>грузке (если, например, отсутствовали воору</w:t>
      </w:r>
      <w:r w:rsidRPr="0044524F">
        <w:rPr>
          <w:rFonts w:ascii="Times New Roman" w:hAnsi="Times New Roman"/>
          <w:color w:val="000000" w:themeColor="text1"/>
          <w:sz w:val="16"/>
          <w:szCs w:val="16"/>
        </w:rPr>
        <w:softHyphen/>
        <w:t>жение или боеприпасы и передняя часть «брдл» становилась тяжелее задней), установить маши</w:t>
      </w:r>
      <w:r w:rsidRPr="0044524F">
        <w:rPr>
          <w:rFonts w:ascii="Times New Roman" w:hAnsi="Times New Roman"/>
          <w:color w:val="000000" w:themeColor="text1"/>
          <w:sz w:val="16"/>
          <w:szCs w:val="16"/>
        </w:rPr>
        <w:softHyphen/>
        <w:t>ну на рельсы правильно (или снять для движения по грунту) с помощью домкрата экипаж из двух человек не мог. Требовалось привлекать до</w:t>
      </w:r>
      <w:r w:rsidRPr="0044524F">
        <w:rPr>
          <w:rFonts w:ascii="Times New Roman" w:hAnsi="Times New Roman"/>
          <w:color w:val="000000" w:themeColor="text1"/>
          <w:sz w:val="16"/>
          <w:szCs w:val="16"/>
        </w:rPr>
        <w:softHyphen/>
        <w:t>полнительные силы и средства, что в боевых ус</w:t>
      </w:r>
      <w:r w:rsidRPr="0044524F">
        <w:rPr>
          <w:rFonts w:ascii="Times New Roman" w:hAnsi="Times New Roman"/>
          <w:color w:val="000000" w:themeColor="text1"/>
          <w:sz w:val="16"/>
          <w:szCs w:val="16"/>
        </w:rPr>
        <w:softHyphen/>
        <w:t>ловиях далеко не всегда было возможно. Кроме того, при движении машины в боевом порядке (с закрытыми люками) обзор из нее признали явно недостаточным.</w:t>
      </w:r>
    </w:p>
    <w:p w14:paraId="6AC582A8" w14:textId="77777777" w:rsidR="004050DA" w:rsidRPr="0044524F" w:rsidRDefault="004050DA" w:rsidP="009654CF">
      <w:pPr>
        <w:spacing w:after="0" w:line="240" w:lineRule="auto"/>
        <w:jc w:val="both"/>
        <w:rPr>
          <w:rStyle w:val="aff5"/>
          <w:rFonts w:ascii="Times New Roman" w:hAnsi="Times New Roman" w:cs="Times New Roman"/>
          <w:i w:val="0"/>
          <w:color w:val="000000" w:themeColor="text1"/>
        </w:rPr>
      </w:pPr>
      <w:r w:rsidRPr="0044524F">
        <w:rPr>
          <w:rFonts w:ascii="Times New Roman" w:hAnsi="Times New Roman"/>
          <w:color w:val="000000" w:themeColor="text1"/>
          <w:sz w:val="16"/>
          <w:szCs w:val="16"/>
        </w:rPr>
        <w:t>Дальнейшие работы по легким бронедрези</w:t>
      </w:r>
      <w:r w:rsidRPr="0044524F">
        <w:rPr>
          <w:rFonts w:ascii="Times New Roman" w:hAnsi="Times New Roman"/>
          <w:color w:val="000000" w:themeColor="text1"/>
          <w:sz w:val="16"/>
          <w:szCs w:val="16"/>
        </w:rPr>
        <w:softHyphen/>
        <w:t>нам на основе бронеавтомобиля Д-8 прекратили. Тем не менее, на основе опытной эксплуатации «брдл» в Ленинграде составили временную ин</w:t>
      </w:r>
      <w:r w:rsidRPr="0044524F">
        <w:rPr>
          <w:rFonts w:ascii="Times New Roman" w:hAnsi="Times New Roman"/>
          <w:color w:val="000000" w:themeColor="text1"/>
          <w:sz w:val="16"/>
          <w:szCs w:val="16"/>
        </w:rPr>
        <w:softHyphen/>
        <w:t>струкцию</w:t>
      </w:r>
      <w:r w:rsidRPr="0044524F">
        <w:rPr>
          <w:rStyle w:val="aff5"/>
          <w:rFonts w:ascii="Times New Roman" w:hAnsi="Times New Roman" w:cs="Times New Roman"/>
          <w:i w:val="0"/>
          <w:color w:val="000000" w:themeColor="text1"/>
        </w:rPr>
        <w:t xml:space="preserve"> «по службе на бронедрезинах» (12737).</w:t>
      </w:r>
    </w:p>
    <w:p w14:paraId="36326A28" w14:textId="77777777" w:rsidR="004050DA" w:rsidRPr="0044524F" w:rsidRDefault="004050DA" w:rsidP="009654CF">
      <w:pPr>
        <w:spacing w:after="0" w:line="240" w:lineRule="auto"/>
        <w:jc w:val="both"/>
        <w:rPr>
          <w:rFonts w:ascii="Times New Roman" w:hAnsi="Times New Roman"/>
          <w:color w:val="000000" w:themeColor="text1"/>
          <w:sz w:val="16"/>
          <w:szCs w:val="16"/>
        </w:rPr>
      </w:pPr>
    </w:p>
    <w:p w14:paraId="471F63D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31 августа 1934 г. приказом Наркомата тяжелой промышленности СССР было создано Бюро прямоточного котлостроения (БПК). С осени 1941 г. по июнь 1943 г. деятельность бюро была прекращена. В 1952 году переименовано в Государственное союзное бюро прямоточного котлостроения. Приказом Министерства тяжелой промышленности СССР от 30 октября 1954 г. бюро объединено с Московским отделением ЦКТИ. </w:t>
      </w:r>
    </w:p>
    <w:p w14:paraId="1A44EFE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Московское отделение по прямоточному котлостроению, автоматике и энергооборудованию Центрального научно-исследовательского и проектно-конструкторского котлотурбинного института (ЦКТИ) им. И. И. Ползунова Министерства энергетического машиностроения СССР, г. Москва, 1944 - 1977. Московское отделение по прямоточному котлостроению, автоматике и энергооборудованию Центрального научно-исследовательского и проектно-конструкторского котлотурбинного института (ЦКТИ) им. И. И. Ползунова Министерства энергетического машиностроения СССР, г. Москва, 1944 - 1977 было создано распоряжением Совета Народных Комиссаров СССР от 5 августа 1944 г. В связи с переименованием института в 1950 г. переименовано в Московское отделение Центрального научно-исследовательского и проектно-конструкторского котлотурбинного института (ЦКТИ) им. И. И. Ползунова. После объединения по приказу Министерства тяжелой промышленности СССР от 30 октября 1954 г. с Государственным союзным бюро прямоточного котлостроения стало называться Московское отделение по прямоточному котлостроению, автоматике и энергооборудованию Центрального научно-исследовательского и проектно-констукторского котлотурбинного института (ЦКТИ) им. И. И. Ползунова. Приказом Министерства энергетического машиностроения СССР от 5 декабря 1977 г. на базе отделения был создан ВНИИАМ (12102).</w:t>
      </w:r>
    </w:p>
    <w:p w14:paraId="61B3C2AF" w14:textId="77777777" w:rsidR="00A63AAE" w:rsidRPr="0044524F" w:rsidRDefault="00A63AAE" w:rsidP="009654CF">
      <w:pPr>
        <w:pStyle w:val="rtejustify"/>
        <w:spacing w:before="0" w:after="0"/>
        <w:rPr>
          <w:rStyle w:val="af0"/>
          <w:bCs/>
          <w:i w:val="0"/>
          <w:color w:val="000000" w:themeColor="text1"/>
          <w:sz w:val="16"/>
          <w:szCs w:val="16"/>
        </w:rPr>
      </w:pPr>
    </w:p>
    <w:p w14:paraId="4840B101" w14:textId="77777777" w:rsidR="00A63AAE" w:rsidRPr="0044524F" w:rsidRDefault="00A63AAE" w:rsidP="009654CF">
      <w:pPr>
        <w:pStyle w:val="rtejustify"/>
        <w:spacing w:before="0" w:after="0"/>
        <w:rPr>
          <w:color w:val="000000" w:themeColor="text1"/>
          <w:sz w:val="16"/>
          <w:szCs w:val="16"/>
        </w:rPr>
      </w:pPr>
      <w:r w:rsidRPr="0044524F">
        <w:rPr>
          <w:rStyle w:val="af0"/>
          <w:bCs/>
          <w:i w:val="0"/>
          <w:color w:val="000000" w:themeColor="text1"/>
          <w:sz w:val="16"/>
          <w:szCs w:val="16"/>
        </w:rPr>
        <w:t>31 августа</w:t>
      </w:r>
      <w:r w:rsidRPr="0044524F">
        <w:rPr>
          <w:color w:val="000000" w:themeColor="text1"/>
          <w:sz w:val="16"/>
          <w:szCs w:val="16"/>
        </w:rPr>
        <w:t xml:space="preserve"> 1933. Постановление СНК СССР № 1863 «О специализации и разукрупнении главных управлений НКТП и ликвидации ряда объединений и трестов». (</w:t>
      </w:r>
      <w:hyperlink r:id="rId318" w:history="1">
        <w:r w:rsidRPr="0044524F">
          <w:rPr>
            <w:rStyle w:val="a5"/>
            <w:color w:val="000000" w:themeColor="text1"/>
            <w:sz w:val="16"/>
            <w:szCs w:val="16"/>
          </w:rPr>
          <w:t>СЗ. 1933 № 58. Ст. 346</w:t>
        </w:r>
      </w:hyperlink>
      <w:r w:rsidRPr="0044524F">
        <w:rPr>
          <w:color w:val="000000" w:themeColor="text1"/>
          <w:sz w:val="16"/>
          <w:szCs w:val="16"/>
        </w:rPr>
        <w:t>) (15460).</w:t>
      </w:r>
    </w:p>
    <w:p w14:paraId="74D34FBF" w14:textId="77777777" w:rsidR="00A63AAE" w:rsidRPr="0044524F" w:rsidRDefault="00A63AAE" w:rsidP="009654CF">
      <w:pPr>
        <w:pStyle w:val="rtejustify"/>
        <w:spacing w:before="0" w:after="0"/>
        <w:rPr>
          <w:color w:val="000000" w:themeColor="text1"/>
          <w:sz w:val="16"/>
          <w:szCs w:val="16"/>
        </w:rPr>
      </w:pPr>
    </w:p>
    <w:p w14:paraId="69A7512A" w14:textId="77777777" w:rsidR="00C02A38" w:rsidRPr="0044524F" w:rsidRDefault="00C02A38" w:rsidP="009654CF">
      <w:pPr>
        <w:pStyle w:val="rtejustify"/>
        <w:spacing w:before="0" w:after="0"/>
        <w:rPr>
          <w:color w:val="000000" w:themeColor="text1"/>
          <w:sz w:val="16"/>
          <w:szCs w:val="16"/>
        </w:rPr>
      </w:pPr>
      <w:r w:rsidRPr="0044524F">
        <w:rPr>
          <w:rStyle w:val="af0"/>
          <w:bCs/>
          <w:i w:val="0"/>
          <w:color w:val="000000" w:themeColor="text1"/>
          <w:sz w:val="16"/>
          <w:szCs w:val="16"/>
        </w:rPr>
        <w:t>31 августа 1933 вышел приказ НКТП № 142с.</w:t>
      </w:r>
      <w:r w:rsidRPr="0044524F">
        <w:rPr>
          <w:color w:val="000000" w:themeColor="text1"/>
          <w:sz w:val="16"/>
          <w:szCs w:val="16"/>
        </w:rPr>
        <w:t xml:space="preserve"> О реорганизации управления отдельными отраслями промышленности НКТП СССР. (РГАЭ. Ф. 7297. Оп. 38. Д. 38. Л. 95) (15246).</w:t>
      </w:r>
    </w:p>
    <w:p w14:paraId="52E19EFC" w14:textId="77777777" w:rsidR="00C02A38" w:rsidRPr="0044524F" w:rsidRDefault="00C02A38" w:rsidP="009654CF">
      <w:pPr>
        <w:pStyle w:val="rtejustify"/>
        <w:spacing w:before="0" w:after="0"/>
        <w:rPr>
          <w:color w:val="000000" w:themeColor="text1"/>
          <w:sz w:val="16"/>
          <w:szCs w:val="16"/>
        </w:rPr>
      </w:pPr>
    </w:p>
    <w:p w14:paraId="349D0483" w14:textId="77777777" w:rsidR="00A63AAE" w:rsidRPr="0044524F" w:rsidRDefault="00A63AAE" w:rsidP="009654CF">
      <w:pPr>
        <w:pStyle w:val="rtejustify"/>
        <w:spacing w:before="0" w:after="0"/>
        <w:rPr>
          <w:color w:val="000000" w:themeColor="text1"/>
          <w:sz w:val="16"/>
          <w:szCs w:val="16"/>
        </w:rPr>
      </w:pPr>
      <w:r w:rsidRPr="0044524F">
        <w:rPr>
          <w:color w:val="000000" w:themeColor="text1"/>
          <w:sz w:val="16"/>
          <w:szCs w:val="16"/>
        </w:rPr>
        <w:t>31 августа 1933 г. приказом по НКТП № 767 Главэнергопром был разукрупнен: из его ведения было выделено Главное управление слаботочной промышленности, а также ликвидированы ВЭО (ВЭСО) с подчинением ряда заводов непосредственно Главэнергопрому. Согласно этому же приказу на базе ВЭО был организован Государственный Всесоюзный электротехнический трест (ВЭТ) в составе Главэнергопрома. К 1937 г. в связи с развитием и дальнейшим усилением специализации различных отраслей электротехнической промышленности вновь возникла необходимость разукрупнения Главэнергопрома. Постановлением СНК СССР № 761 от 11 мая 1937 г. Главэнергопром был разукрупнен на два главка: Главное управление по производству электротехнического оборудования и Главное управление по производству теплосилового и электротехнического оборудования для электрических станций и судов, а также для крупных установок металлургической, химической и других отраслей промышленности. Этим же постановлением ВЭТ ликвидировался. В связи с постановлением СНК СССР № 1484 «О выделении из состава НКТП СССР машиностроительной промышленности и организации Наркоммаша СССР» от 29 августа 1937 г. и приказом по Наркомтяжпрому СССР и Наркоммашу СССР № 743/3 от 4 сентября 1937 г. главки вместе с рядом учреждений были переданы в состав Наркоммаша СССР. (РГАЭ. Ф. 7297. Оп. 44. Д. 1. Л. 29 об.; РГАЭ. Ф. 7297. Оп. 1. Д. 19. Л. 90</w:t>
      </w:r>
      <w:r w:rsidRPr="0044524F">
        <w:rPr>
          <w:color w:val="000000" w:themeColor="text1"/>
          <w:sz w:val="16"/>
          <w:szCs w:val="16"/>
        </w:rPr>
        <w:noBreakHyphen/>
        <w:t>91; СЗ, 1937 г 1937 вышел приказ НКОП № 34, ст. 139; СЗ, 1937, № 58, ст. 248.) (15273).</w:t>
      </w:r>
    </w:p>
    <w:p w14:paraId="06C2DCB3" w14:textId="77777777" w:rsidR="00A63AAE" w:rsidRPr="0044524F" w:rsidRDefault="00A63AAE" w:rsidP="009654CF">
      <w:pPr>
        <w:pStyle w:val="rtejustify"/>
        <w:spacing w:before="0" w:after="0"/>
        <w:rPr>
          <w:color w:val="000000" w:themeColor="text1"/>
          <w:sz w:val="16"/>
          <w:szCs w:val="16"/>
        </w:rPr>
      </w:pPr>
    </w:p>
    <w:p w14:paraId="7C9980F6" w14:textId="77777777" w:rsidR="00A63AAE" w:rsidRPr="0044524F" w:rsidRDefault="00A63AAE" w:rsidP="009654CF">
      <w:pPr>
        <w:pStyle w:val="rtejustify"/>
        <w:spacing w:before="0" w:after="0"/>
        <w:rPr>
          <w:color w:val="000000" w:themeColor="text1"/>
          <w:sz w:val="16"/>
          <w:szCs w:val="16"/>
        </w:rPr>
      </w:pPr>
      <w:r w:rsidRPr="0044524F">
        <w:rPr>
          <w:rStyle w:val="af0"/>
          <w:bCs/>
          <w:i w:val="0"/>
          <w:color w:val="000000" w:themeColor="text1"/>
          <w:sz w:val="16"/>
          <w:szCs w:val="16"/>
        </w:rPr>
        <w:t>31 августа 1933 вышел приказ НКТП № 133сс.</w:t>
      </w:r>
      <w:r w:rsidRPr="0044524F">
        <w:rPr>
          <w:color w:val="000000" w:themeColor="text1"/>
          <w:sz w:val="16"/>
          <w:szCs w:val="16"/>
        </w:rPr>
        <w:t xml:space="preserve"> О строительстве новых химических заводов. (РГАЭ. Ф. 7297. Оп. 38. Д. 38. Л. 92</w:t>
      </w:r>
      <w:r w:rsidRPr="0044524F">
        <w:rPr>
          <w:color w:val="000000" w:themeColor="text1"/>
          <w:sz w:val="16"/>
          <w:szCs w:val="16"/>
        </w:rPr>
        <w:noBreakHyphen/>
        <w:t>90) (15246).</w:t>
      </w:r>
    </w:p>
    <w:p w14:paraId="27F55794" w14:textId="77777777" w:rsidR="00A63AAE" w:rsidRPr="0044524F" w:rsidRDefault="00A63AAE" w:rsidP="009654CF">
      <w:pPr>
        <w:pStyle w:val="rtejustify"/>
        <w:spacing w:before="0" w:after="0"/>
        <w:rPr>
          <w:color w:val="000000" w:themeColor="text1"/>
          <w:sz w:val="16"/>
          <w:szCs w:val="16"/>
        </w:rPr>
      </w:pPr>
    </w:p>
    <w:p w14:paraId="0A2D8623" w14:textId="77777777" w:rsidR="00A63AAE" w:rsidRPr="0044524F" w:rsidRDefault="00A63AAE" w:rsidP="009654CF">
      <w:pPr>
        <w:pStyle w:val="rtejustify"/>
        <w:spacing w:before="0" w:after="0"/>
        <w:rPr>
          <w:color w:val="000000" w:themeColor="text1"/>
          <w:sz w:val="16"/>
          <w:szCs w:val="16"/>
        </w:rPr>
      </w:pPr>
      <w:r w:rsidRPr="0044524F">
        <w:rPr>
          <w:rStyle w:val="af0"/>
          <w:bCs/>
          <w:i w:val="0"/>
          <w:color w:val="000000" w:themeColor="text1"/>
          <w:sz w:val="16"/>
          <w:szCs w:val="16"/>
        </w:rPr>
        <w:t>31 августа 1933 вышел приказ НКТП № 137с.</w:t>
      </w:r>
      <w:r w:rsidRPr="0044524F">
        <w:rPr>
          <w:color w:val="000000" w:themeColor="text1"/>
          <w:sz w:val="16"/>
          <w:szCs w:val="16"/>
        </w:rPr>
        <w:t xml:space="preserve"> О проектировании «Гипроспецхимом» пяти пороховых заводов специального назначения. (РГАЭ. Ф. 7297. Оп. 38. Д. 38. Л. 89) (15246).</w:t>
      </w:r>
    </w:p>
    <w:p w14:paraId="0F7F9721" w14:textId="77777777" w:rsidR="00A63AAE" w:rsidRPr="0044524F" w:rsidRDefault="00A63AAE" w:rsidP="009654CF">
      <w:pPr>
        <w:pStyle w:val="rtejustify"/>
        <w:spacing w:before="0" w:after="0"/>
        <w:rPr>
          <w:color w:val="000000" w:themeColor="text1"/>
          <w:sz w:val="16"/>
          <w:szCs w:val="16"/>
        </w:rPr>
      </w:pPr>
    </w:p>
    <w:p w14:paraId="2CD5791F"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4947394"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E22BC0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августа 1933 г. чертежи отдельных деталей ЦКБ-12 начали передавать в производство. При отсутст</w:t>
      </w:r>
      <w:r w:rsidRPr="0044524F">
        <w:rPr>
          <w:rFonts w:ascii="Times New Roman" w:hAnsi="Times New Roman"/>
          <w:color w:val="000000" w:themeColor="text1"/>
          <w:sz w:val="16"/>
          <w:szCs w:val="16"/>
        </w:rPr>
        <w:softHyphen/>
        <w:t>вии официального заказа на истребитель решение начать его постройку, принятое начальником ЦКБ С.В.Илью</w:t>
      </w:r>
      <w:r w:rsidRPr="0044524F">
        <w:rPr>
          <w:rFonts w:ascii="Times New Roman" w:hAnsi="Times New Roman"/>
          <w:color w:val="000000" w:themeColor="text1"/>
          <w:sz w:val="16"/>
          <w:szCs w:val="16"/>
        </w:rPr>
        <w:softHyphen/>
        <w:t>шиным, являлось довольно рискованным, однако Сергей Владимирович всецело доверял Поликарпову (10667).</w:t>
      </w:r>
    </w:p>
    <w:p w14:paraId="359402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AA38271" w14:textId="77777777" w:rsidR="00F8079A" w:rsidRPr="0044524F" w:rsidRDefault="00F807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августа 1933 г. чертежи отдельных деталей ЦКБ-12 начали передаваться в производство. При отсутствии официального заказа на истребитель решение начать его по</w:t>
      </w:r>
      <w:r w:rsidRPr="0044524F">
        <w:rPr>
          <w:rFonts w:ascii="Times New Roman" w:hAnsi="Times New Roman"/>
          <w:color w:val="000000" w:themeColor="text1"/>
          <w:sz w:val="16"/>
          <w:szCs w:val="16"/>
        </w:rPr>
        <w:softHyphen/>
        <w:t>стройку, принятое начальником ЦКБ С.В. Ильюшиным, являлось довольно рискованным, однако Сергей Владимирович всецело доверял Поликарпову.</w:t>
      </w:r>
    </w:p>
    <w:p w14:paraId="0DCFDC3B" w14:textId="77777777" w:rsidR="00F8079A" w:rsidRPr="0044524F" w:rsidRDefault="00F807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успешное продвижение работ по созда</w:t>
      </w:r>
      <w:r w:rsidRPr="0044524F">
        <w:rPr>
          <w:rFonts w:ascii="Times New Roman" w:hAnsi="Times New Roman"/>
          <w:color w:val="000000" w:themeColor="text1"/>
          <w:sz w:val="16"/>
          <w:szCs w:val="16"/>
        </w:rPr>
        <w:softHyphen/>
        <w:t>нию опытного истребителя ЦКБ-12 с мотором М-22, Ни</w:t>
      </w:r>
      <w:r w:rsidRPr="0044524F">
        <w:rPr>
          <w:rFonts w:ascii="Times New Roman" w:hAnsi="Times New Roman"/>
          <w:color w:val="000000" w:themeColor="text1"/>
          <w:sz w:val="16"/>
          <w:szCs w:val="16"/>
        </w:rPr>
        <w:softHyphen/>
        <w:t>колай Николаевич все же считал основным самолет с мо</w:t>
      </w:r>
      <w:r w:rsidRPr="0044524F">
        <w:rPr>
          <w:rFonts w:ascii="Times New Roman" w:hAnsi="Times New Roman"/>
          <w:color w:val="000000" w:themeColor="text1"/>
          <w:sz w:val="16"/>
          <w:szCs w:val="16"/>
        </w:rPr>
        <w:softHyphen/>
        <w:t>торами Райт «Циклон» SGR-1820 F-3 или F-5. Ссылки ВВС на то, что наиболее целесообразен лишь вариант, обес</w:t>
      </w:r>
      <w:r w:rsidRPr="0044524F">
        <w:rPr>
          <w:rFonts w:ascii="Times New Roman" w:hAnsi="Times New Roman"/>
          <w:color w:val="000000" w:themeColor="text1"/>
          <w:sz w:val="16"/>
          <w:szCs w:val="16"/>
        </w:rPr>
        <w:softHyphen/>
        <w:t>печенный серийным мотором М-22, он счел недостаточно обоснованными, справедливо полагая, что ВВС своим решением старается не допустить появления машины, конкурирующей с И-14. Руководство ВВС больше заботила проблема уточнения «правил игры» при создании новой машины, чем вооружение отечественной авиации перво</w:t>
      </w:r>
      <w:r w:rsidRPr="0044524F">
        <w:rPr>
          <w:rFonts w:ascii="Times New Roman" w:hAnsi="Times New Roman"/>
          <w:color w:val="000000" w:themeColor="text1"/>
          <w:sz w:val="16"/>
          <w:szCs w:val="16"/>
        </w:rPr>
        <w:softHyphen/>
        <w:t>классной боевой техникой (23455).</w:t>
      </w:r>
    </w:p>
    <w:p w14:paraId="7A40793B" w14:textId="77777777" w:rsidR="00F8079A" w:rsidRPr="0044524F" w:rsidRDefault="00F8079A" w:rsidP="009654CF">
      <w:pPr>
        <w:spacing w:after="0" w:line="240" w:lineRule="auto"/>
        <w:jc w:val="both"/>
        <w:rPr>
          <w:rFonts w:ascii="Times New Roman" w:hAnsi="Times New Roman"/>
          <w:color w:val="000000" w:themeColor="text1"/>
          <w:sz w:val="16"/>
          <w:szCs w:val="16"/>
        </w:rPr>
      </w:pPr>
    </w:p>
    <w:p w14:paraId="405BF5A3" w14:textId="77777777" w:rsidR="00B637C8" w:rsidRPr="00142305" w:rsidRDefault="00B637C8" w:rsidP="00B637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августа 1933 г. чертежи отдельных деталей ЦКБ-12 начали передаваться в производство. При отсутствии официального заказа на истребитель решение начать его постройку, принятое начальником ЦКБ С. В. Ильюшиным, являлось довольно рискованным, однако Сергей Владимирович всецело доверял Поликарпову.</w:t>
      </w:r>
    </w:p>
    <w:p w14:paraId="22EB4E6D" w14:textId="77777777" w:rsidR="00B637C8" w:rsidRPr="00142305" w:rsidRDefault="00B637C8" w:rsidP="00B637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успешное продвижение работ по созданию опытного истребителя ЦКБ-12 с мотором М-22, Николай Николаевич все же считал основным самолет с моторами Райт «Циклон» SGR-1820 F-3 или F-5. Ссылки ВВС на то, что наиболее целесообразен лишь вариант, обеспеченный серийным мотором М-22, он счел недостаточно обоснованными, справедливо полагая, что ВВС своим решением старается не допустить появления машины, конкурирующей с И-14 (25035).</w:t>
      </w:r>
    </w:p>
    <w:p w14:paraId="382C67C4" w14:textId="77777777" w:rsidR="00B637C8" w:rsidRPr="00142305" w:rsidRDefault="00B637C8" w:rsidP="00B637C8">
      <w:pPr>
        <w:spacing w:after="0" w:line="240" w:lineRule="auto"/>
        <w:jc w:val="both"/>
        <w:rPr>
          <w:rFonts w:ascii="Times New Roman" w:hAnsi="Times New Roman"/>
          <w:color w:val="0070C0"/>
          <w:sz w:val="16"/>
          <w:szCs w:val="16"/>
        </w:rPr>
      </w:pPr>
    </w:p>
    <w:p w14:paraId="0A1F9EB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августа 1933 на 18 завод по пути в Крым в Качинскую школу на Р-6 (АНТ-7) залетел П.И.Баранов и задержался на сутки для осмотра завода. Заинтересовался САМ-5 А.Москалева, который представил л Дорфман, сумевший уже полетать на САМ-5. Именно П.И.Б. предложил А.Москалеву и М.М.К. сделать машину деревянной в варианте штабной машины. Хотел взять А.Москалева в Москву для строительства истребителей. После гибели П.И.Б. А.Н.Гусаров перегнал САМ-5 в Москву. А.Н.Гусаров сделал посадку в Серпухове в летном училище (2889,28).</w:t>
      </w:r>
    </w:p>
    <w:p w14:paraId="7A17AA5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8EEB4BA" w14:textId="77777777" w:rsidR="004050DA" w:rsidRPr="0044524F" w:rsidRDefault="004050DA" w:rsidP="009654CF">
      <w:pPr>
        <w:pStyle w:val="a3"/>
        <w:rPr>
          <w:color w:val="000000" w:themeColor="text1"/>
          <w:lang w:val="ru-RU"/>
        </w:rPr>
      </w:pPr>
      <w:r w:rsidRPr="0044524F">
        <w:rPr>
          <w:color w:val="000000" w:themeColor="text1"/>
          <w:lang w:val="ru-RU"/>
        </w:rPr>
        <w:t>К концу августа 1933 почти весь проект В-6 (3500 чертежей) был передан в произ</w:t>
      </w:r>
      <w:r w:rsidRPr="0044524F">
        <w:rPr>
          <w:color w:val="000000" w:themeColor="text1"/>
          <w:lang w:val="ru-RU"/>
        </w:rPr>
        <w:softHyphen/>
        <w:t>водство. Но не готовым оказался первый металлический эллинг для сборки корабля, доставленный на площадку из Бердичева. По требованию Нобиле, помня просчеты по В-5, его размеры были увеличены по высоте до 33,28 м и в длину до 178,0 м (на два пролета колонн). Так что сборка В-6 откладывалась до января 1934 г.</w:t>
      </w:r>
    </w:p>
    <w:p w14:paraId="78983DC6" w14:textId="77777777" w:rsidR="004050DA" w:rsidRPr="0044524F" w:rsidRDefault="004050DA" w:rsidP="009654CF">
      <w:pPr>
        <w:pStyle w:val="a3"/>
        <w:rPr>
          <w:color w:val="000000" w:themeColor="text1"/>
          <w:lang w:val="ru-RU"/>
        </w:rPr>
      </w:pPr>
      <w:r w:rsidRPr="0044524F">
        <w:rPr>
          <w:color w:val="000000" w:themeColor="text1"/>
          <w:lang w:val="ru-RU"/>
        </w:rPr>
        <w:t>Надо заметить, что нужды и заботы «Дирижаблестроя» с самого начала, в силу своей специфики не находили должного понимания в «Аэрофлоте», изначально нацеленного на задачи стремительно разви</w:t>
      </w:r>
      <w:r w:rsidRPr="0044524F">
        <w:rPr>
          <w:color w:val="000000" w:themeColor="text1"/>
          <w:lang w:val="ru-RU"/>
        </w:rPr>
        <w:softHyphen/>
        <w:t>вающейся гражданской авиации с ее аэро</w:t>
      </w:r>
      <w:r w:rsidRPr="0044524F">
        <w:rPr>
          <w:color w:val="000000" w:themeColor="text1"/>
          <w:lang w:val="ru-RU"/>
        </w:rPr>
        <w:softHyphen/>
        <w:t>дромной инфраструктурой по городам и весям необъятного СССР. Воздухоплавание оставалось, какбы, падчерицей ведомства, у которого и собственных проблем хватало выше крыши. Достаточно сказать хотябы о том, что 5 сентября 1933 г. в авиационной катастрофе погибли начальники ГУ ГВФ и ГУАП А.З. Гольцман и П.И. Баранов. Мы не располагаем полными данными по авариям и катастрофам в ГВФ СССР за 1933 г. Но соотнесем их с рассекреченным отчетом за 1934 г., когда «Аэрофлотом» руководил, сменивший А.З. Гольцмана, не</w:t>
      </w:r>
      <w:r w:rsidRPr="0044524F">
        <w:rPr>
          <w:color w:val="000000" w:themeColor="text1"/>
          <w:lang w:val="ru-RU"/>
        </w:rPr>
        <w:softHyphen/>
        <w:t>давний заместитель наркомвоенмора СССР И.С. Уншлихт. Тогда было разбито само</w:t>
      </w:r>
      <w:r w:rsidRPr="0044524F">
        <w:rPr>
          <w:color w:val="000000" w:themeColor="text1"/>
          <w:lang w:val="ru-RU"/>
        </w:rPr>
        <w:softHyphen/>
        <w:t>летов - 348, погибло и ранено - 132 чел.; признаны виновными - 507 специалистов, в т.ч. привлечено ксуду- 190(РГАЭ.Ф. 9527, оп.2,д. 3, л. 45) (12732).</w:t>
      </w:r>
    </w:p>
    <w:p w14:paraId="0386DF07" w14:textId="77777777" w:rsidR="004050DA" w:rsidRPr="0044524F" w:rsidRDefault="004050DA" w:rsidP="009654CF">
      <w:pPr>
        <w:pStyle w:val="a3"/>
        <w:rPr>
          <w:color w:val="000000" w:themeColor="text1"/>
          <w:lang w:val="ru-RU"/>
        </w:rPr>
      </w:pPr>
    </w:p>
    <w:p w14:paraId="6826BA06"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0BB7802"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2F7B9E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августа 1933 СССР получил от Кристи 109 чертежей танка Кристи М.1932, которые были переданы в Спецмаштрест (3879,37).</w:t>
      </w:r>
    </w:p>
    <w:p w14:paraId="14A45A5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B678FAE" w14:textId="08DA3CBE" w:rsidR="00B637C8" w:rsidRPr="0044524F" w:rsidRDefault="00B637C8" w:rsidP="00B637C8">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44524F">
        <w:rPr>
          <w:rFonts w:ascii="Times New Roman" w:hAnsi="Times New Roman"/>
          <w:i/>
          <w:iCs/>
          <w:color w:val="000000" w:themeColor="text1"/>
          <w:sz w:val="16"/>
          <w:szCs w:val="16"/>
        </w:rPr>
        <w:t>:</w:t>
      </w:r>
    </w:p>
    <w:p w14:paraId="1EFFBF75" w14:textId="77777777" w:rsidR="00B637C8" w:rsidRPr="0044524F" w:rsidRDefault="00B637C8" w:rsidP="00B637C8">
      <w:pPr>
        <w:autoSpaceDE w:val="0"/>
        <w:autoSpaceDN w:val="0"/>
        <w:adjustRightInd w:val="0"/>
        <w:spacing w:after="0" w:line="240" w:lineRule="auto"/>
        <w:jc w:val="both"/>
        <w:rPr>
          <w:rFonts w:ascii="Times New Roman" w:hAnsi="Times New Roman"/>
          <w:iCs/>
          <w:color w:val="000000" w:themeColor="text1"/>
          <w:sz w:val="16"/>
          <w:szCs w:val="16"/>
        </w:rPr>
      </w:pPr>
    </w:p>
    <w:p w14:paraId="2D42F660" w14:textId="77777777" w:rsidR="00B637C8" w:rsidRPr="00142305" w:rsidRDefault="00B637C8" w:rsidP="00B637C8">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августа 1933 г. самолёты закрытого германского авиационного учебного и испытательного центра в Липецке W33, К47 и А38 перелетели в Москву, а оттуда по трассе «Дерулюфта» в Кенигсберг (25178).</w:t>
      </w:r>
    </w:p>
    <w:p w14:paraId="7CF29E15" w14:textId="77777777" w:rsidR="00B637C8" w:rsidRPr="00142305" w:rsidRDefault="00B637C8" w:rsidP="00B637C8">
      <w:pPr>
        <w:spacing w:after="0" w:line="240" w:lineRule="auto"/>
        <w:jc w:val="both"/>
        <w:rPr>
          <w:rFonts w:ascii="Times New Roman" w:hAnsi="Times New Roman"/>
          <w:color w:val="0070C0"/>
          <w:sz w:val="16"/>
          <w:szCs w:val="16"/>
        </w:rPr>
      </w:pPr>
    </w:p>
    <w:p w14:paraId="002B9481"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2ECCFDD"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1EF1133"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года вышел Отчет по испытанию облегченного самолета ТБ3-4М17 на определение радиуса действия и бомбовой нагрузки самолета (6785).</w:t>
      </w:r>
    </w:p>
    <w:p w14:paraId="7B73B76D"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2150D200"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Лосюков</w:t>
      </w:r>
    </w:p>
    <w:p w14:paraId="34951827"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Юмашев</w:t>
      </w:r>
    </w:p>
    <w:p w14:paraId="56CC54F3"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77E3E4BC"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7CCB072A"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3DED4AA" w14:textId="77777777" w:rsidR="00FD662C" w:rsidRPr="0044524F" w:rsidRDefault="00FD662C"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Резкое увеличение радиуса действий и бомбовой нагрузки самолета ТБ3-4М17 ……………….(6785).</w:t>
      </w:r>
    </w:p>
    <w:p w14:paraId="669141B7" w14:textId="77777777" w:rsidR="00FD662C" w:rsidRPr="0044524F" w:rsidRDefault="00FD662C"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930004"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был утвержден Отчет по испытанию самолета ТБ3 № 22311 с 4-мя моторами М17 Е=7,3 измененной конструкции (6637).</w:t>
      </w:r>
    </w:p>
    <w:p w14:paraId="3B7480EE"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7F82FE74"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испытания – Фролов</w:t>
      </w:r>
    </w:p>
    <w:p w14:paraId="5F6899BB"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Байдуков</w:t>
      </w:r>
    </w:p>
    <w:p w14:paraId="4ADE82DC"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554F094A"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в какой мере самолет с измененной конструкцией и проведенными облегчениями удовлетворяет техусловиям на поставку ТБ3. Определить вес облегченной конструкции, удобство работы штурмана в измененной носовой части – Ф-1, а также работу с укороченными ДЕР 25 и 26.</w:t>
      </w:r>
    </w:p>
    <w:p w14:paraId="54242DC7"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0AFD1997" w14:textId="77777777" w:rsidR="00FD662C" w:rsidRPr="0044524F" w:rsidRDefault="00FD662C"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ТБ3 № 22311 измененной конструкции по своему конструктивному и производственному выполнению, а также по своим летным эксплуатационным данным техусловиям на поставку самолета ТБ3 вполне удовлетворяет.</w:t>
      </w:r>
    </w:p>
    <w:p w14:paraId="2ACB77B8" w14:textId="77777777" w:rsidR="00FD662C" w:rsidRPr="0044524F" w:rsidRDefault="00FD662C"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вес пустого самолета 10817 кг в дальнейшей работе по облегчению исходить из этого веса.</w:t>
      </w:r>
    </w:p>
    <w:p w14:paraId="5ABC9AB8"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проведены кроме облетов в один летный день – 1 августа 1933 года (6637).</w:t>
      </w:r>
    </w:p>
    <w:p w14:paraId="10886C9F"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CBBD93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года Ворошилов писал письмо Куйбышеву.</w:t>
      </w:r>
    </w:p>
    <w:p w14:paraId="2D8806F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 нашей авиапромышленностью и ВВС была поставлена задача изыскать пути и способы облегчения конструкции и вооружений самолета ТБ-3 и увеличения за счет этого радиуса действия и бомбовой нагрузки.</w:t>
      </w:r>
    </w:p>
    <w:p w14:paraId="567F12B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Посылаю вам копию доклада Алксниса о результатах выполнения работы по этому заданию.</w:t>
      </w:r>
    </w:p>
    <w:p w14:paraId="63FE7F3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видно из доклада, задача поставленная перед нашей авиацией по увеличению радиуса действия и бомбовой нагрузки ТБ-3 выполнена (4014).</w:t>
      </w:r>
    </w:p>
    <w:p w14:paraId="3562BD9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811141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Юмашев поднял в воздух модифицированный облегченный ТБ-3. На нем полностью убрали наружную подвеску бомб. Вместо этого в просторном фюзеляже установили дополнительные кассеты Дер-9. Всего самолет теперь мог нести внутри 36 бомб по 100 кг. За счет демонтажа бомбодержателей под фюзеляжем и крылом, кое-какого оборудования и облегчения самой конструкции выиграли 518 кг. Еще более 100 кг получили за счет уменьшения запаса масла в полтора раза (это внедрили и в серии). Но суммарный вес с бомбами дошел до 20 т. Добавочный бензин и улучшение аэродинамики позволили еще увеличить дальность (7668).</w:t>
      </w:r>
    </w:p>
    <w:p w14:paraId="323B967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3307EEE1"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после в целом успешных испытаний СЗ-1 начальник ВВС Алкснис направил до</w:t>
      </w:r>
      <w:r w:rsidRPr="0044524F">
        <w:rPr>
          <w:rFonts w:ascii="Times New Roman" w:hAnsi="Times New Roman"/>
          <w:color w:val="000000" w:themeColor="text1"/>
          <w:sz w:val="16"/>
          <w:szCs w:val="16"/>
        </w:rPr>
        <w:softHyphen/>
        <w:t>кладную записку на имя заместителя Пред</w:t>
      </w:r>
      <w:r w:rsidRPr="0044524F">
        <w:rPr>
          <w:rFonts w:ascii="Times New Roman" w:hAnsi="Times New Roman"/>
          <w:color w:val="000000" w:themeColor="text1"/>
          <w:sz w:val="16"/>
          <w:szCs w:val="16"/>
        </w:rPr>
        <w:softHyphen/>
        <w:t>седателя Реввоенсовета СССР Тухачев</w:t>
      </w:r>
      <w:r w:rsidRPr="0044524F">
        <w:rPr>
          <w:rFonts w:ascii="Times New Roman" w:hAnsi="Times New Roman"/>
          <w:color w:val="000000" w:themeColor="text1"/>
          <w:sz w:val="16"/>
          <w:szCs w:val="16"/>
        </w:rPr>
        <w:softHyphen/>
        <w:t>ского. В ней говорилось, что полезная на</w:t>
      </w:r>
      <w:r w:rsidRPr="0044524F">
        <w:rPr>
          <w:rFonts w:ascii="Times New Roman" w:hAnsi="Times New Roman"/>
          <w:color w:val="000000" w:themeColor="text1"/>
          <w:sz w:val="16"/>
          <w:szCs w:val="16"/>
        </w:rPr>
        <w:softHyphen/>
        <w:t>грузка ТБ-1 может быть увеличена до 4650 кг при условии полета с истребителя</w:t>
      </w:r>
      <w:r w:rsidRPr="0044524F">
        <w:rPr>
          <w:rFonts w:ascii="Times New Roman" w:hAnsi="Times New Roman"/>
          <w:color w:val="000000" w:themeColor="text1"/>
          <w:sz w:val="16"/>
          <w:szCs w:val="16"/>
        </w:rPr>
        <w:softHyphen/>
        <w:t>ми к цели и до 5230 кг при полете с истре</w:t>
      </w:r>
      <w:r w:rsidRPr="0044524F">
        <w:rPr>
          <w:rFonts w:ascii="Times New Roman" w:hAnsi="Times New Roman"/>
          <w:color w:val="000000" w:themeColor="text1"/>
          <w:sz w:val="16"/>
          <w:szCs w:val="16"/>
        </w:rPr>
        <w:softHyphen/>
        <w:t>бителями на расстояние 50 км. В первом варианте дальность ТБ-1 с 1 т бомб увели</w:t>
      </w:r>
      <w:r w:rsidRPr="0044524F">
        <w:rPr>
          <w:rFonts w:ascii="Times New Roman" w:hAnsi="Times New Roman"/>
          <w:color w:val="000000" w:themeColor="text1"/>
          <w:sz w:val="16"/>
          <w:szCs w:val="16"/>
        </w:rPr>
        <w:softHyphen/>
        <w:t>чивается с 820 км до 1580 км, а во втором — до 2000 км (11286).</w:t>
      </w:r>
    </w:p>
    <w:p w14:paraId="5264088D"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A8E8C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состоялась макетная комиссия по РД-ВВ и решили делать серию - ДБ и РД (80,339).</w:t>
      </w:r>
    </w:p>
    <w:p w14:paraId="04F624A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1E9142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в акте по государственным испытаниям самолета появилась такая запись: «... ЦАГИ все конструктивные изменения по устранению дефектов и доводке рекордных самолетов РД внести в чертежи военного варианта РД (ДБ-1) (...). Алкснис - декабрь 1933 г.» (160).</w:t>
      </w:r>
    </w:p>
    <w:p w14:paraId="15B5FA5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676D5E29" w14:textId="77777777" w:rsidR="00745F09" w:rsidRPr="00142305" w:rsidRDefault="00745F09" w:rsidP="00745F09">
      <w:pPr>
        <w:widowControl w:val="0"/>
        <w:tabs>
          <w:tab w:val="left" w:pos="471"/>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августе 1933 года ВВС снова был по</w:t>
      </w:r>
      <w:r w:rsidRPr="00142305">
        <w:rPr>
          <w:rStyle w:val="aff"/>
          <w:rFonts w:ascii="Times New Roman" w:hAnsi="Times New Roman" w:cs="Times New Roman"/>
          <w:color w:val="0070C0"/>
          <w:spacing w:val="0"/>
          <w:sz w:val="16"/>
          <w:szCs w:val="16"/>
        </w:rPr>
        <w:softHyphen/>
        <w:t>ставлен вопрос в КО о тяжелом положении истребительной авиации и наиболь</w:t>
      </w:r>
      <w:r w:rsidRPr="00142305">
        <w:rPr>
          <w:rStyle w:val="aff"/>
          <w:rFonts w:ascii="Times New Roman" w:hAnsi="Times New Roman" w:cs="Times New Roman"/>
          <w:color w:val="0070C0"/>
          <w:spacing w:val="0"/>
          <w:sz w:val="16"/>
          <w:szCs w:val="16"/>
        </w:rPr>
        <w:softHyphen/>
        <w:t>шем отставании ее от наших вероятных про</w:t>
      </w:r>
      <w:r w:rsidRPr="00142305">
        <w:rPr>
          <w:rStyle w:val="aff"/>
          <w:rFonts w:ascii="Times New Roman" w:hAnsi="Times New Roman" w:cs="Times New Roman"/>
          <w:color w:val="0070C0"/>
          <w:spacing w:val="0"/>
          <w:sz w:val="16"/>
          <w:szCs w:val="16"/>
        </w:rPr>
        <w:softHyphen/>
        <w:t>тивников. При этом указывалось и под</w:t>
      </w:r>
      <w:r w:rsidRPr="00142305">
        <w:rPr>
          <w:rStyle w:val="aff"/>
          <w:rFonts w:ascii="Times New Roman" w:hAnsi="Times New Roman" w:cs="Times New Roman"/>
          <w:color w:val="0070C0"/>
          <w:spacing w:val="0"/>
          <w:sz w:val="16"/>
          <w:szCs w:val="16"/>
        </w:rPr>
        <w:softHyphen/>
        <w:t>черкивалось, что основной причиной этого отставания является отсутствие в стране производства легких мощных высот</w:t>
      </w:r>
      <w:r w:rsidRPr="00142305">
        <w:rPr>
          <w:rStyle w:val="aff"/>
          <w:rFonts w:ascii="Times New Roman" w:hAnsi="Times New Roman" w:cs="Times New Roman"/>
          <w:color w:val="0070C0"/>
          <w:spacing w:val="0"/>
          <w:sz w:val="16"/>
          <w:szCs w:val="16"/>
        </w:rPr>
        <w:softHyphen/>
        <w:t>ных авиамоторов для истребителей.</w:t>
      </w:r>
    </w:p>
    <w:p w14:paraId="69C244A7" w14:textId="77777777" w:rsidR="00745F09" w:rsidRPr="00142305" w:rsidRDefault="00745F09" w:rsidP="00745F0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результате этой острой постановки во</w:t>
      </w:r>
      <w:r w:rsidRPr="00142305">
        <w:rPr>
          <w:rStyle w:val="aff"/>
          <w:rFonts w:ascii="Times New Roman" w:hAnsi="Times New Roman" w:cs="Times New Roman"/>
          <w:color w:val="0070C0"/>
          <w:spacing w:val="0"/>
          <w:sz w:val="16"/>
          <w:szCs w:val="16"/>
        </w:rPr>
        <w:softHyphen/>
        <w:t>проса КО 13 августа 1933 года приняло реше</w:t>
      </w:r>
      <w:r w:rsidRPr="00142305">
        <w:rPr>
          <w:rStyle w:val="aff"/>
          <w:rFonts w:ascii="Times New Roman" w:hAnsi="Times New Roman" w:cs="Times New Roman"/>
          <w:color w:val="0070C0"/>
          <w:spacing w:val="0"/>
          <w:sz w:val="16"/>
          <w:szCs w:val="16"/>
        </w:rPr>
        <w:softHyphen/>
        <w:t>ние (см. постановление № 72сс): "для обес</w:t>
      </w:r>
      <w:r w:rsidRPr="00142305">
        <w:rPr>
          <w:rStyle w:val="aff"/>
          <w:rFonts w:ascii="Times New Roman" w:hAnsi="Times New Roman" w:cs="Times New Roman"/>
          <w:color w:val="0070C0"/>
          <w:spacing w:val="0"/>
          <w:sz w:val="16"/>
          <w:szCs w:val="16"/>
        </w:rPr>
        <w:softHyphen/>
        <w:t>печения истребительной авиации современ</w:t>
      </w:r>
      <w:r w:rsidRPr="00142305">
        <w:rPr>
          <w:rStyle w:val="aff"/>
          <w:rFonts w:ascii="Times New Roman" w:hAnsi="Times New Roman" w:cs="Times New Roman"/>
          <w:color w:val="0070C0"/>
          <w:spacing w:val="0"/>
          <w:sz w:val="16"/>
          <w:szCs w:val="16"/>
        </w:rPr>
        <w:softHyphen/>
        <w:t>ными моторами водяного охлаждения счи</w:t>
      </w:r>
      <w:r w:rsidRPr="00142305">
        <w:rPr>
          <w:rStyle w:val="aff"/>
          <w:rFonts w:ascii="Times New Roman" w:hAnsi="Times New Roman" w:cs="Times New Roman"/>
          <w:color w:val="0070C0"/>
          <w:spacing w:val="0"/>
          <w:sz w:val="16"/>
          <w:szCs w:val="16"/>
        </w:rPr>
        <w:softHyphen/>
        <w:t>тать необходимым закупить от 20 до 30 го</w:t>
      </w:r>
      <w:r w:rsidRPr="00142305">
        <w:rPr>
          <w:rStyle w:val="aff"/>
          <w:rFonts w:ascii="Times New Roman" w:hAnsi="Times New Roman" w:cs="Times New Roman"/>
          <w:color w:val="0070C0"/>
          <w:spacing w:val="0"/>
          <w:sz w:val="16"/>
          <w:szCs w:val="16"/>
        </w:rPr>
        <w:softHyphen/>
        <w:t>товых моторов Испано-Сюиза типа 12 УБРС с запасными частями и инструментом" и тех</w:t>
      </w:r>
      <w:r w:rsidRPr="00142305">
        <w:rPr>
          <w:rStyle w:val="aff"/>
          <w:rFonts w:ascii="Times New Roman" w:hAnsi="Times New Roman" w:cs="Times New Roman"/>
          <w:color w:val="0070C0"/>
          <w:spacing w:val="0"/>
          <w:sz w:val="16"/>
          <w:szCs w:val="16"/>
        </w:rPr>
        <w:softHyphen/>
        <w:t>помощь на производство этого типа мото</w:t>
      </w:r>
      <w:r w:rsidRPr="00142305">
        <w:rPr>
          <w:rStyle w:val="aff"/>
          <w:rFonts w:ascii="Times New Roman" w:hAnsi="Times New Roman" w:cs="Times New Roman"/>
          <w:color w:val="0070C0"/>
          <w:spacing w:val="0"/>
          <w:sz w:val="16"/>
          <w:szCs w:val="16"/>
        </w:rPr>
        <w:softHyphen/>
        <w:t>ров в Союзе.</w:t>
      </w:r>
    </w:p>
    <w:p w14:paraId="5CD09AE0" w14:textId="77777777" w:rsidR="00745F09" w:rsidRPr="00142305" w:rsidRDefault="00745F09" w:rsidP="00745F0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Кроме того, на том же заседании было ре</w:t>
      </w:r>
      <w:r w:rsidRPr="00142305">
        <w:rPr>
          <w:rStyle w:val="aff"/>
          <w:rFonts w:ascii="Times New Roman" w:hAnsi="Times New Roman" w:cs="Times New Roman"/>
          <w:color w:val="0070C0"/>
          <w:spacing w:val="0"/>
          <w:sz w:val="16"/>
          <w:szCs w:val="16"/>
        </w:rPr>
        <w:softHyphen/>
        <w:t>шено закупить 50 готовых моторов воздуш</w:t>
      </w:r>
      <w:r w:rsidRPr="00142305">
        <w:rPr>
          <w:rStyle w:val="aff"/>
          <w:rFonts w:ascii="Times New Roman" w:hAnsi="Times New Roman" w:cs="Times New Roman"/>
          <w:color w:val="0070C0"/>
          <w:spacing w:val="0"/>
          <w:sz w:val="16"/>
          <w:szCs w:val="16"/>
        </w:rPr>
        <w:softHyphen/>
        <w:t>ного охлаждения Райт-Циклон с инструмен</w:t>
      </w:r>
      <w:r w:rsidRPr="00142305">
        <w:rPr>
          <w:rStyle w:val="aff"/>
          <w:rFonts w:ascii="Times New Roman" w:hAnsi="Times New Roman" w:cs="Times New Roman"/>
          <w:color w:val="0070C0"/>
          <w:spacing w:val="0"/>
          <w:sz w:val="16"/>
          <w:szCs w:val="16"/>
        </w:rPr>
        <w:softHyphen/>
        <w:t>том и запасными частями для установки на истребителях. Закупка этих моторов и тех</w:t>
      </w:r>
      <w:r w:rsidRPr="00142305">
        <w:rPr>
          <w:rStyle w:val="aff"/>
          <w:rFonts w:ascii="Times New Roman" w:hAnsi="Times New Roman" w:cs="Times New Roman"/>
          <w:color w:val="0070C0"/>
          <w:spacing w:val="0"/>
          <w:sz w:val="16"/>
          <w:szCs w:val="16"/>
        </w:rPr>
        <w:softHyphen/>
        <w:t>помощи была возложена на НКТПром (25519).</w:t>
      </w:r>
    </w:p>
    <w:p w14:paraId="49D265E8" w14:textId="77777777" w:rsidR="00745F09" w:rsidRPr="00142305" w:rsidRDefault="00745F09" w:rsidP="00745F09">
      <w:pPr>
        <w:widowControl w:val="0"/>
        <w:tabs>
          <w:tab w:val="left" w:pos="486"/>
        </w:tabs>
        <w:spacing w:after="0" w:line="240" w:lineRule="auto"/>
        <w:jc w:val="both"/>
        <w:rPr>
          <w:rStyle w:val="aff"/>
          <w:rFonts w:ascii="Times New Roman" w:hAnsi="Times New Roman" w:cs="Times New Roman"/>
          <w:color w:val="0070C0"/>
          <w:spacing w:val="0"/>
          <w:sz w:val="16"/>
          <w:szCs w:val="16"/>
        </w:rPr>
      </w:pPr>
    </w:p>
    <w:p w14:paraId="01510ECF"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года вышел Отчет испытания самолета И7 №4449 (эталон на 1933 год) с мотором М-17 № 262646 (6786).</w:t>
      </w:r>
    </w:p>
    <w:p w14:paraId="1DB1C7B6"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4847408C"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Проверка летных данных самолета И7-М17 № 4449 эталона на 1933 год после улучшения обтекателей узлов стоек, новых моторных капотов и установки обтекателя на колесах.</w:t>
      </w:r>
    </w:p>
    <w:p w14:paraId="70841F5F"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7B4863C" w14:textId="77777777" w:rsidR="00FD662C" w:rsidRPr="0044524F" w:rsidRDefault="00FD662C"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И7-М17 № 4449 может быть утвержден как эталон на 1933 год (с доработками).</w:t>
      </w:r>
    </w:p>
    <w:p w14:paraId="038E760E"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0B53AACA"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Часовиков</w:t>
      </w:r>
    </w:p>
    <w:p w14:paraId="23CBC799"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Кокинаки</w:t>
      </w:r>
    </w:p>
    <w:p w14:paraId="5BB5059B"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4AA50105"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получен с завода № 1 - 1 августа 1933 года</w:t>
      </w:r>
    </w:p>
    <w:p w14:paraId="3725045E"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километраж по программе - 2 августа 1933 года</w:t>
      </w:r>
    </w:p>
    <w:p w14:paraId="2225650A"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и скорости по высотам – 3 августа 1933 года</w:t>
      </w:r>
    </w:p>
    <w:p w14:paraId="0FA1F0C6"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и скорости по высотам – 3 августа 1933 года</w:t>
      </w:r>
    </w:p>
    <w:p w14:paraId="529EA1FD"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километраж по программе - 3 августа 1933 года</w:t>
      </w:r>
    </w:p>
    <w:p w14:paraId="2AB93A62"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без обтекателей на колесах - 4 августа 1933 года</w:t>
      </w:r>
    </w:p>
    <w:p w14:paraId="1F01826B"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бомбометание учебными бомбами - 4 августа 1933 года</w:t>
      </w:r>
    </w:p>
    <w:p w14:paraId="17F4FAEC"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сдан на завод № 1 – 5 августа 1933 года (6786).</w:t>
      </w:r>
    </w:p>
    <w:p w14:paraId="2C4ADE1E"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9BD17E" w14:textId="77777777" w:rsidR="006A69B2" w:rsidRPr="00142305" w:rsidRDefault="006A69B2" w:rsidP="006A69B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августа 1933 г. на заводе № 39 началась сборка И-15. Дебаты о типе двигателя среди руководства продолжались (25035).</w:t>
      </w:r>
    </w:p>
    <w:p w14:paraId="6CC0AFBA" w14:textId="77777777" w:rsidR="006A69B2" w:rsidRPr="00142305" w:rsidRDefault="006A69B2" w:rsidP="006A69B2">
      <w:pPr>
        <w:spacing w:after="0" w:line="240" w:lineRule="auto"/>
        <w:jc w:val="both"/>
        <w:rPr>
          <w:rFonts w:ascii="Times New Roman" w:hAnsi="Times New Roman"/>
          <w:color w:val="0070C0"/>
          <w:sz w:val="16"/>
          <w:szCs w:val="16"/>
        </w:rPr>
      </w:pPr>
    </w:p>
    <w:p w14:paraId="4F37E91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Н.Н.П. начал работу над строительством И-16 М-22 (67,115).</w:t>
      </w:r>
    </w:p>
    <w:p w14:paraId="2EF5AF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0063AD8"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 Поликарповым по поручению Начальника ВВС Алксниса был выполнен проект ЦКБ-12 с М-22. Николай Николаевич позабо</w:t>
      </w:r>
      <w:r w:rsidRPr="0044524F">
        <w:rPr>
          <w:rFonts w:ascii="Times New Roman" w:hAnsi="Times New Roman"/>
          <w:color w:val="000000" w:themeColor="text1"/>
          <w:sz w:val="16"/>
          <w:szCs w:val="16"/>
        </w:rPr>
        <w:softHyphen/>
        <w:t>тился о том, чтобы варианты отличались лишь мотор</w:t>
      </w:r>
      <w:r w:rsidRPr="0044524F">
        <w:rPr>
          <w:rFonts w:ascii="Times New Roman" w:hAnsi="Times New Roman"/>
          <w:color w:val="000000" w:themeColor="text1"/>
          <w:sz w:val="16"/>
          <w:szCs w:val="16"/>
        </w:rPr>
        <w:softHyphen/>
        <w:t>ными установками и капотами. У земли разница в их максимальных скоростях составляла около 30 км/ч, но с ростом высоты она увеличивалась до 100 км/ч (см. таблицу).</w:t>
      </w:r>
    </w:p>
    <w:p w14:paraId="2A0C41D8"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Расчетные летные характеристики вариантов эскизного проекта истребителя ЦКБ-12</w:t>
      </w:r>
    </w:p>
    <w:tbl>
      <w:tblPr>
        <w:tblOverlap w:val="never"/>
        <w:tblW w:w="0" w:type="auto"/>
        <w:tblLayout w:type="fixed"/>
        <w:tblCellMar>
          <w:left w:w="10" w:type="dxa"/>
          <w:right w:w="10" w:type="dxa"/>
        </w:tblCellMar>
        <w:tblLook w:val="04A0" w:firstRow="1" w:lastRow="0" w:firstColumn="1" w:lastColumn="0" w:noHBand="0" w:noVBand="1"/>
      </w:tblPr>
      <w:tblGrid>
        <w:gridCol w:w="3005"/>
        <w:gridCol w:w="850"/>
        <w:gridCol w:w="1066"/>
      </w:tblGrid>
      <w:tr w:rsidR="003E6913" w:rsidRPr="0044524F" w14:paraId="7E48A881" w14:textId="77777777" w:rsidTr="00E9136F">
        <w:trPr>
          <w:trHeight w:val="446"/>
        </w:trPr>
        <w:tc>
          <w:tcPr>
            <w:tcW w:w="3005" w:type="dxa"/>
            <w:tcBorders>
              <w:top w:val="single" w:sz="4" w:space="0" w:color="auto"/>
              <w:left w:val="single" w:sz="4" w:space="0" w:color="auto"/>
            </w:tcBorders>
          </w:tcPr>
          <w:p w14:paraId="3346B8FC" w14:textId="77777777" w:rsidR="003E6913" w:rsidRPr="0044524F" w:rsidRDefault="003E6913" w:rsidP="009654CF">
            <w:pPr>
              <w:spacing w:after="0" w:line="240" w:lineRule="auto"/>
              <w:jc w:val="both"/>
              <w:rPr>
                <w:rFonts w:ascii="Times New Roman" w:hAnsi="Times New Roman"/>
                <w:color w:val="000000" w:themeColor="text1"/>
                <w:sz w:val="16"/>
                <w:szCs w:val="16"/>
              </w:rPr>
            </w:pPr>
          </w:p>
        </w:tc>
        <w:tc>
          <w:tcPr>
            <w:tcW w:w="850" w:type="dxa"/>
            <w:tcBorders>
              <w:top w:val="single" w:sz="4" w:space="0" w:color="auto"/>
              <w:left w:val="single" w:sz="4" w:space="0" w:color="auto"/>
            </w:tcBorders>
            <w:vAlign w:val="bottom"/>
          </w:tcPr>
          <w:p w14:paraId="3B337A42"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p w14:paraId="40E6003B"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480 л.с.</w:t>
            </w:r>
          </w:p>
        </w:tc>
        <w:tc>
          <w:tcPr>
            <w:tcW w:w="1066" w:type="dxa"/>
            <w:tcBorders>
              <w:top w:val="single" w:sz="4" w:space="0" w:color="auto"/>
              <w:left w:val="single" w:sz="4" w:space="0" w:color="auto"/>
              <w:right w:val="single" w:sz="4" w:space="0" w:color="auto"/>
            </w:tcBorders>
            <w:vAlign w:val="bottom"/>
          </w:tcPr>
          <w:p w14:paraId="52A3B17F"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Р.Ц. F-3</w:t>
            </w:r>
          </w:p>
          <w:p w14:paraId="6CDD3BB6"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 л.с.</w:t>
            </w:r>
          </w:p>
        </w:tc>
      </w:tr>
      <w:tr w:rsidR="003E6913" w:rsidRPr="0044524F" w14:paraId="7EBAE26F" w14:textId="77777777" w:rsidTr="00E9136F">
        <w:trPr>
          <w:trHeight w:val="413"/>
        </w:trPr>
        <w:tc>
          <w:tcPr>
            <w:tcW w:w="3005" w:type="dxa"/>
            <w:tcBorders>
              <w:top w:val="single" w:sz="4" w:space="0" w:color="auto"/>
              <w:left w:val="single" w:sz="4" w:space="0" w:color="auto"/>
            </w:tcBorders>
            <w:vAlign w:val="bottom"/>
          </w:tcPr>
          <w:p w14:paraId="44755293"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км/ч: у земли</w:t>
            </w:r>
          </w:p>
        </w:tc>
        <w:tc>
          <w:tcPr>
            <w:tcW w:w="850" w:type="dxa"/>
            <w:tcBorders>
              <w:top w:val="single" w:sz="4" w:space="0" w:color="auto"/>
              <w:left w:val="single" w:sz="4" w:space="0" w:color="auto"/>
            </w:tcBorders>
            <w:vAlign w:val="bottom"/>
          </w:tcPr>
          <w:p w14:paraId="63EDB907"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345</w:t>
            </w:r>
          </w:p>
        </w:tc>
        <w:tc>
          <w:tcPr>
            <w:tcW w:w="1066" w:type="dxa"/>
            <w:tcBorders>
              <w:top w:val="single" w:sz="4" w:space="0" w:color="auto"/>
              <w:left w:val="single" w:sz="4" w:space="0" w:color="auto"/>
              <w:right w:val="single" w:sz="4" w:space="0" w:color="auto"/>
            </w:tcBorders>
            <w:vAlign w:val="bottom"/>
          </w:tcPr>
          <w:p w14:paraId="31E02367"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w:t>
            </w:r>
          </w:p>
        </w:tc>
      </w:tr>
      <w:tr w:rsidR="003E6913" w:rsidRPr="0044524F" w14:paraId="5F4B3DDE" w14:textId="77777777" w:rsidTr="00E9136F">
        <w:trPr>
          <w:trHeight w:val="187"/>
        </w:trPr>
        <w:tc>
          <w:tcPr>
            <w:tcW w:w="3005" w:type="dxa"/>
            <w:tcBorders>
              <w:left w:val="single" w:sz="4" w:space="0" w:color="auto"/>
            </w:tcBorders>
          </w:tcPr>
          <w:p w14:paraId="628DA91E"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1000 м</w:t>
            </w:r>
          </w:p>
        </w:tc>
        <w:tc>
          <w:tcPr>
            <w:tcW w:w="850" w:type="dxa"/>
            <w:tcBorders>
              <w:left w:val="single" w:sz="4" w:space="0" w:color="auto"/>
            </w:tcBorders>
          </w:tcPr>
          <w:p w14:paraId="6F9DDA35"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w:t>
            </w:r>
          </w:p>
        </w:tc>
        <w:tc>
          <w:tcPr>
            <w:tcW w:w="1066" w:type="dxa"/>
            <w:tcBorders>
              <w:left w:val="single" w:sz="4" w:space="0" w:color="auto"/>
              <w:right w:val="single" w:sz="4" w:space="0" w:color="auto"/>
            </w:tcBorders>
          </w:tcPr>
          <w:p w14:paraId="15C91C31"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395</w:t>
            </w:r>
          </w:p>
        </w:tc>
      </w:tr>
      <w:tr w:rsidR="003E6913" w:rsidRPr="0044524F" w14:paraId="2BA40923" w14:textId="77777777" w:rsidTr="00E9136F">
        <w:trPr>
          <w:trHeight w:val="192"/>
        </w:trPr>
        <w:tc>
          <w:tcPr>
            <w:tcW w:w="3005" w:type="dxa"/>
            <w:tcBorders>
              <w:left w:val="single" w:sz="4" w:space="0" w:color="auto"/>
            </w:tcBorders>
            <w:vAlign w:val="bottom"/>
          </w:tcPr>
          <w:p w14:paraId="64916515"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w:t>
            </w:r>
          </w:p>
        </w:tc>
        <w:tc>
          <w:tcPr>
            <w:tcW w:w="850" w:type="dxa"/>
            <w:tcBorders>
              <w:left w:val="single" w:sz="4" w:space="0" w:color="auto"/>
            </w:tcBorders>
            <w:vAlign w:val="bottom"/>
          </w:tcPr>
          <w:p w14:paraId="38DFC500"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1066" w:type="dxa"/>
            <w:tcBorders>
              <w:left w:val="single" w:sz="4" w:space="0" w:color="auto"/>
              <w:right w:val="single" w:sz="4" w:space="0" w:color="auto"/>
            </w:tcBorders>
            <w:vAlign w:val="bottom"/>
          </w:tcPr>
          <w:p w14:paraId="7B9559D4"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415</w:t>
            </w:r>
          </w:p>
        </w:tc>
      </w:tr>
      <w:tr w:rsidR="003E6913" w:rsidRPr="0044524F" w14:paraId="06E6BE7E" w14:textId="77777777" w:rsidTr="00E9136F">
        <w:trPr>
          <w:trHeight w:val="206"/>
        </w:trPr>
        <w:tc>
          <w:tcPr>
            <w:tcW w:w="3005" w:type="dxa"/>
            <w:tcBorders>
              <w:left w:val="single" w:sz="4" w:space="0" w:color="auto"/>
            </w:tcBorders>
          </w:tcPr>
          <w:p w14:paraId="4EFF4594"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 м</w:t>
            </w:r>
          </w:p>
        </w:tc>
        <w:tc>
          <w:tcPr>
            <w:tcW w:w="850" w:type="dxa"/>
            <w:tcBorders>
              <w:left w:val="single" w:sz="4" w:space="0" w:color="auto"/>
            </w:tcBorders>
          </w:tcPr>
          <w:p w14:paraId="321D0BA5"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066" w:type="dxa"/>
            <w:tcBorders>
              <w:left w:val="single" w:sz="4" w:space="0" w:color="auto"/>
              <w:right w:val="single" w:sz="4" w:space="0" w:color="auto"/>
            </w:tcBorders>
          </w:tcPr>
          <w:p w14:paraId="1F547A5B"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405</w:t>
            </w:r>
          </w:p>
        </w:tc>
      </w:tr>
      <w:tr w:rsidR="003E6913" w:rsidRPr="0044524F" w14:paraId="542984A9" w14:textId="77777777" w:rsidTr="00E9136F">
        <w:trPr>
          <w:trHeight w:val="418"/>
        </w:trPr>
        <w:tc>
          <w:tcPr>
            <w:tcW w:w="3005" w:type="dxa"/>
            <w:tcBorders>
              <w:top w:val="single" w:sz="4" w:space="0" w:color="auto"/>
              <w:left w:val="single" w:sz="4" w:space="0" w:color="auto"/>
            </w:tcBorders>
            <w:vAlign w:val="bottom"/>
          </w:tcPr>
          <w:p w14:paraId="5D269B8C"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в мин на высоту: 1000 м</w:t>
            </w:r>
          </w:p>
        </w:tc>
        <w:tc>
          <w:tcPr>
            <w:tcW w:w="850" w:type="dxa"/>
            <w:tcBorders>
              <w:top w:val="single" w:sz="4" w:space="0" w:color="auto"/>
              <w:left w:val="single" w:sz="4" w:space="0" w:color="auto"/>
            </w:tcBorders>
            <w:vAlign w:val="bottom"/>
          </w:tcPr>
          <w:p w14:paraId="2D2A3768"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1066" w:type="dxa"/>
            <w:tcBorders>
              <w:top w:val="single" w:sz="4" w:space="0" w:color="auto"/>
              <w:left w:val="single" w:sz="4" w:space="0" w:color="auto"/>
              <w:right w:val="single" w:sz="4" w:space="0" w:color="auto"/>
            </w:tcBorders>
            <w:vAlign w:val="bottom"/>
          </w:tcPr>
          <w:p w14:paraId="479C59B0"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w:t>
            </w:r>
          </w:p>
        </w:tc>
      </w:tr>
      <w:tr w:rsidR="003E6913" w:rsidRPr="0044524F" w14:paraId="74425D58" w14:textId="77777777" w:rsidTr="00E9136F">
        <w:trPr>
          <w:trHeight w:val="187"/>
        </w:trPr>
        <w:tc>
          <w:tcPr>
            <w:tcW w:w="3005" w:type="dxa"/>
            <w:tcBorders>
              <w:left w:val="single" w:sz="4" w:space="0" w:color="auto"/>
            </w:tcBorders>
            <w:vAlign w:val="bottom"/>
          </w:tcPr>
          <w:p w14:paraId="57D32B6C"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w:t>
            </w:r>
          </w:p>
        </w:tc>
        <w:tc>
          <w:tcPr>
            <w:tcW w:w="850" w:type="dxa"/>
            <w:tcBorders>
              <w:left w:val="single" w:sz="4" w:space="0" w:color="auto"/>
            </w:tcBorders>
            <w:vAlign w:val="bottom"/>
          </w:tcPr>
          <w:p w14:paraId="5B35BAE1"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w:t>
            </w:r>
          </w:p>
        </w:tc>
        <w:tc>
          <w:tcPr>
            <w:tcW w:w="1066" w:type="dxa"/>
            <w:tcBorders>
              <w:left w:val="single" w:sz="4" w:space="0" w:color="auto"/>
              <w:right w:val="single" w:sz="4" w:space="0" w:color="auto"/>
            </w:tcBorders>
            <w:vAlign w:val="bottom"/>
          </w:tcPr>
          <w:p w14:paraId="374F321D"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3-3,5</w:t>
            </w:r>
          </w:p>
        </w:tc>
      </w:tr>
      <w:tr w:rsidR="003E6913" w:rsidRPr="0044524F" w14:paraId="3E1DB2C3" w14:textId="77777777" w:rsidTr="00E9136F">
        <w:trPr>
          <w:trHeight w:val="206"/>
        </w:trPr>
        <w:tc>
          <w:tcPr>
            <w:tcW w:w="3005" w:type="dxa"/>
            <w:tcBorders>
              <w:left w:val="single" w:sz="4" w:space="0" w:color="auto"/>
            </w:tcBorders>
          </w:tcPr>
          <w:p w14:paraId="3103FEDE"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 м</w:t>
            </w:r>
          </w:p>
        </w:tc>
        <w:tc>
          <w:tcPr>
            <w:tcW w:w="850" w:type="dxa"/>
            <w:tcBorders>
              <w:left w:val="single" w:sz="4" w:space="0" w:color="auto"/>
            </w:tcBorders>
          </w:tcPr>
          <w:p w14:paraId="015554E8"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10-11</w:t>
            </w:r>
          </w:p>
        </w:tc>
        <w:tc>
          <w:tcPr>
            <w:tcW w:w="1066" w:type="dxa"/>
            <w:tcBorders>
              <w:left w:val="single" w:sz="4" w:space="0" w:color="auto"/>
              <w:right w:val="single" w:sz="4" w:space="0" w:color="auto"/>
            </w:tcBorders>
          </w:tcPr>
          <w:p w14:paraId="41A6FBFB"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6-6,5</w:t>
            </w:r>
          </w:p>
        </w:tc>
      </w:tr>
      <w:tr w:rsidR="003E6913" w:rsidRPr="0044524F" w14:paraId="77803759" w14:textId="77777777" w:rsidTr="00E9136F">
        <w:trPr>
          <w:trHeight w:val="230"/>
        </w:trPr>
        <w:tc>
          <w:tcPr>
            <w:tcW w:w="3005" w:type="dxa"/>
            <w:tcBorders>
              <w:top w:val="single" w:sz="4" w:space="0" w:color="auto"/>
              <w:left w:val="single" w:sz="4" w:space="0" w:color="auto"/>
            </w:tcBorders>
            <w:vAlign w:val="bottom"/>
          </w:tcPr>
          <w:p w14:paraId="145FBB55"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м</w:t>
            </w:r>
          </w:p>
        </w:tc>
        <w:tc>
          <w:tcPr>
            <w:tcW w:w="850" w:type="dxa"/>
            <w:tcBorders>
              <w:top w:val="single" w:sz="4" w:space="0" w:color="auto"/>
              <w:left w:val="single" w:sz="4" w:space="0" w:color="auto"/>
            </w:tcBorders>
            <w:vAlign w:val="bottom"/>
          </w:tcPr>
          <w:p w14:paraId="37A27336"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6700</w:t>
            </w:r>
          </w:p>
        </w:tc>
        <w:tc>
          <w:tcPr>
            <w:tcW w:w="1066" w:type="dxa"/>
            <w:tcBorders>
              <w:top w:val="single" w:sz="4" w:space="0" w:color="auto"/>
              <w:left w:val="single" w:sz="4" w:space="0" w:color="auto"/>
              <w:right w:val="single" w:sz="4" w:space="0" w:color="auto"/>
            </w:tcBorders>
            <w:vAlign w:val="bottom"/>
          </w:tcPr>
          <w:p w14:paraId="6E2AB575"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9200</w:t>
            </w:r>
          </w:p>
        </w:tc>
      </w:tr>
      <w:tr w:rsidR="003E6913" w:rsidRPr="0044524F" w14:paraId="73C93B5B" w14:textId="77777777" w:rsidTr="00E9136F">
        <w:trPr>
          <w:trHeight w:val="274"/>
        </w:trPr>
        <w:tc>
          <w:tcPr>
            <w:tcW w:w="3005" w:type="dxa"/>
            <w:tcBorders>
              <w:top w:val="single" w:sz="4" w:space="0" w:color="auto"/>
              <w:left w:val="single" w:sz="4" w:space="0" w:color="auto"/>
              <w:bottom w:val="single" w:sz="4" w:space="0" w:color="auto"/>
            </w:tcBorders>
            <w:vAlign w:val="bottom"/>
          </w:tcPr>
          <w:p w14:paraId="0CD83644"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Взлетный вес, кг</w:t>
            </w:r>
          </w:p>
        </w:tc>
        <w:tc>
          <w:tcPr>
            <w:tcW w:w="850" w:type="dxa"/>
            <w:tcBorders>
              <w:top w:val="single" w:sz="4" w:space="0" w:color="auto"/>
              <w:left w:val="single" w:sz="4" w:space="0" w:color="auto"/>
              <w:bottom w:val="single" w:sz="4" w:space="0" w:color="auto"/>
            </w:tcBorders>
            <w:vAlign w:val="bottom"/>
          </w:tcPr>
          <w:p w14:paraId="5DA67597"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1330</w:t>
            </w:r>
          </w:p>
        </w:tc>
        <w:tc>
          <w:tcPr>
            <w:tcW w:w="1066" w:type="dxa"/>
            <w:tcBorders>
              <w:top w:val="single" w:sz="4" w:space="0" w:color="auto"/>
              <w:left w:val="single" w:sz="4" w:space="0" w:color="auto"/>
              <w:bottom w:val="single" w:sz="4" w:space="0" w:color="auto"/>
              <w:right w:val="single" w:sz="4" w:space="0" w:color="auto"/>
            </w:tcBorders>
            <w:vAlign w:val="bottom"/>
          </w:tcPr>
          <w:p w14:paraId="55FA061C"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1330</w:t>
            </w:r>
          </w:p>
        </w:tc>
      </w:tr>
    </w:tbl>
    <w:p w14:paraId="09F71470"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(23455).</w:t>
      </w:r>
    </w:p>
    <w:p w14:paraId="66D7C242" w14:textId="77777777" w:rsidR="003E6913" w:rsidRPr="0044524F" w:rsidRDefault="003E6913" w:rsidP="009654CF">
      <w:pPr>
        <w:spacing w:after="0" w:line="240" w:lineRule="auto"/>
        <w:jc w:val="both"/>
        <w:rPr>
          <w:rFonts w:ascii="Times New Roman" w:hAnsi="Times New Roman"/>
          <w:color w:val="000000" w:themeColor="text1"/>
          <w:sz w:val="16"/>
          <w:szCs w:val="16"/>
        </w:rPr>
      </w:pPr>
    </w:p>
    <w:p w14:paraId="7E44594E"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августа 1933 г. началась постройка И-16 М-22, и 30 декабря Чкалов выполнил на нем первый полёт (23595).</w:t>
      </w:r>
    </w:p>
    <w:p w14:paraId="1F2304CB" w14:textId="77777777" w:rsidR="003E6913" w:rsidRPr="0044524F" w:rsidRDefault="003E6913" w:rsidP="009654CF">
      <w:pPr>
        <w:spacing w:after="0" w:line="240" w:lineRule="auto"/>
        <w:jc w:val="both"/>
        <w:rPr>
          <w:rFonts w:ascii="Times New Roman" w:hAnsi="Times New Roman"/>
          <w:color w:val="000000" w:themeColor="text1"/>
          <w:sz w:val="16"/>
          <w:szCs w:val="16"/>
        </w:rPr>
      </w:pPr>
    </w:p>
    <w:p w14:paraId="1E7227E4" w14:textId="77777777" w:rsidR="003E6913" w:rsidRPr="0044524F" w:rsidRDefault="003E691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проект ЦКБ-12 был готов. Николай Николаевич позаботился о том, чтобы варианты отличались лишь моторными установками и капотами. У земли их макси</w:t>
      </w:r>
      <w:r w:rsidRPr="0044524F">
        <w:rPr>
          <w:rFonts w:ascii="Times New Roman" w:hAnsi="Times New Roman"/>
          <w:color w:val="000000" w:themeColor="text1"/>
          <w:sz w:val="16"/>
          <w:szCs w:val="16"/>
        </w:rPr>
        <w:softHyphen/>
        <w:t>мальные скорости отличались на 30 км/ч, но с ростом высоты разница в скоростях достигала уже 100 км/ч. Эскизные проекты И-16 (ЦКБ-12) в июне 1933 г. на</w:t>
      </w:r>
      <w:r w:rsidRPr="0044524F">
        <w:rPr>
          <w:rFonts w:ascii="Times New Roman" w:hAnsi="Times New Roman"/>
          <w:color w:val="000000" w:themeColor="text1"/>
          <w:sz w:val="16"/>
          <w:szCs w:val="16"/>
        </w:rPr>
        <w:softHyphen/>
        <w:t>правили в НИИ ВВС. Там их устно одобрили, однако с письменным заключением не торопились (10667).</w:t>
      </w:r>
    </w:p>
    <w:p w14:paraId="1C712B2D" w14:textId="77777777" w:rsidR="003E6913" w:rsidRPr="0044524F" w:rsidRDefault="003E691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5519D14" w14:textId="0D3CD2E4" w:rsidR="006A69B2" w:rsidRPr="00142305" w:rsidRDefault="006A69B2" w:rsidP="006A69B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1933 г. по указанию Н. Н. Поликарпова был выполнен проект И-16 с менее мощным и высотным мотором М-22. Николай Николаевич позаботился о том, чтобы варианты отличались лишь моторными установками и капотами. У земли разница их максимальных скоростей не слишком бросалась в глаза и находилась в пределах 30 км/ч, но на высоте 3000 м разница в скоростях достигала уже 95</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км/ч (320 км/ч и 415 км/ч) (25035).</w:t>
      </w:r>
    </w:p>
    <w:p w14:paraId="7703CBFF" w14:textId="77777777" w:rsidR="006A69B2" w:rsidRPr="00142305" w:rsidRDefault="006A69B2" w:rsidP="006A69B2">
      <w:pPr>
        <w:spacing w:after="0" w:line="240" w:lineRule="auto"/>
        <w:jc w:val="both"/>
        <w:rPr>
          <w:rFonts w:ascii="Times New Roman" w:hAnsi="Times New Roman"/>
          <w:color w:val="0070C0"/>
          <w:sz w:val="16"/>
          <w:szCs w:val="16"/>
        </w:rPr>
      </w:pPr>
    </w:p>
    <w:p w14:paraId="57B472F2" w14:textId="77777777" w:rsidR="003E6913" w:rsidRPr="0044524F" w:rsidRDefault="003E691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w:t>
      </w:r>
      <w:r w:rsidRPr="0044524F">
        <w:rPr>
          <w:rFonts w:ascii="Times New Roman" w:hAnsi="Times New Roman"/>
          <w:color w:val="000000" w:themeColor="text1"/>
          <w:sz w:val="16"/>
          <w:szCs w:val="16"/>
        </w:rPr>
        <w:softHyphen/>
        <w:t>сте 1933 г. в ЦАГИ началось строительство самолета-дублера И-14 с мотором Райт «Циклон» SGR-1820 Р-3, санкционированное военными (10667).</w:t>
      </w:r>
    </w:p>
    <w:p w14:paraId="40AA8E92" w14:textId="77777777" w:rsidR="003E6913" w:rsidRPr="0044524F" w:rsidRDefault="003E691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в августе 1933 только началась постройка И-14 дублера с РЦ 712 нр - АНТ-31бис (2233,41). Ви назначили Н.Н.Фадеева (3110,20).</w:t>
      </w:r>
    </w:p>
    <w:p w14:paraId="6A2C5D04" w14:textId="77777777" w:rsidR="003E6913" w:rsidRPr="0044524F" w:rsidRDefault="003E6913" w:rsidP="009654CF">
      <w:pPr>
        <w:autoSpaceDE w:val="0"/>
        <w:autoSpaceDN w:val="0"/>
        <w:adjustRightInd w:val="0"/>
        <w:spacing w:after="0" w:line="240" w:lineRule="auto"/>
        <w:jc w:val="both"/>
        <w:rPr>
          <w:rFonts w:ascii="Times New Roman" w:hAnsi="Times New Roman"/>
          <w:color w:val="000000" w:themeColor="text1"/>
          <w:sz w:val="16"/>
          <w:szCs w:val="16"/>
        </w:rPr>
      </w:pPr>
    </w:p>
    <w:p w14:paraId="28178C2A" w14:textId="77777777" w:rsidR="003E6913" w:rsidRPr="0044524F" w:rsidRDefault="003E691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был готов АНТ-31 И-14бис (1454,26).</w:t>
      </w:r>
    </w:p>
    <w:p w14:paraId="2A68FBEE" w14:textId="77777777" w:rsidR="003E6913" w:rsidRPr="0044524F" w:rsidRDefault="003E691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- 5 февраля 1934 (3110,20).</w:t>
      </w:r>
    </w:p>
    <w:p w14:paraId="189596AE" w14:textId="77777777" w:rsidR="003E6913" w:rsidRPr="0044524F" w:rsidRDefault="003E6913" w:rsidP="009654CF">
      <w:pPr>
        <w:autoSpaceDE w:val="0"/>
        <w:autoSpaceDN w:val="0"/>
        <w:adjustRightInd w:val="0"/>
        <w:spacing w:after="0" w:line="240" w:lineRule="auto"/>
        <w:jc w:val="both"/>
        <w:rPr>
          <w:rFonts w:ascii="Times New Roman" w:hAnsi="Times New Roman"/>
          <w:color w:val="000000" w:themeColor="text1"/>
          <w:sz w:val="16"/>
          <w:szCs w:val="16"/>
        </w:rPr>
      </w:pPr>
    </w:p>
    <w:p w14:paraId="42F94476" w14:textId="77777777" w:rsidR="003E6913" w:rsidRPr="0044524F" w:rsidRDefault="003E691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начались работы по второму прототипу с РЦ 1820F2 640 hp, 2хАПК-37 76 мм и 2хПВ-1 (3882,24).</w:t>
      </w:r>
    </w:p>
    <w:p w14:paraId="6FC42CD2" w14:textId="77777777" w:rsidR="003E6913" w:rsidRPr="0044524F" w:rsidRDefault="003E6913" w:rsidP="009654CF">
      <w:pPr>
        <w:autoSpaceDE w:val="0"/>
        <w:autoSpaceDN w:val="0"/>
        <w:adjustRightInd w:val="0"/>
        <w:spacing w:after="0" w:line="240" w:lineRule="auto"/>
        <w:jc w:val="both"/>
        <w:rPr>
          <w:rFonts w:ascii="Times New Roman" w:hAnsi="Times New Roman"/>
          <w:color w:val="000000" w:themeColor="text1"/>
          <w:sz w:val="16"/>
          <w:szCs w:val="16"/>
        </w:rPr>
      </w:pPr>
    </w:p>
    <w:p w14:paraId="1A9F1A5D"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 в ЦАГИ началось строительство дублера истребителя И-14 с мотором Райт «Циклон» SGR-1820 F-3, санкционированное ВВС. При проектировании учли многие недостатки предыдущей машины - были переделаны шасси, крылья, мотоустановка.</w:t>
      </w:r>
    </w:p>
    <w:p w14:paraId="64C32A64" w14:textId="77777777"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Поэтому в ЦКБ работы по созданию И-16 также форсиро</w:t>
      </w:r>
      <w:r w:rsidRPr="0044524F">
        <w:rPr>
          <w:rFonts w:ascii="Times New Roman" w:hAnsi="Times New Roman"/>
          <w:color w:val="000000" w:themeColor="text1"/>
          <w:sz w:val="16"/>
          <w:szCs w:val="16"/>
        </w:rPr>
        <w:softHyphen/>
        <w:t>вались. В конце августа 1933 г. чертежи отдельных деталей ЦКБ-12 начали передаваться в производство. При отсутствии официального заказа на истребитель решение начать его по</w:t>
      </w:r>
      <w:r w:rsidRPr="0044524F">
        <w:rPr>
          <w:rFonts w:ascii="Times New Roman" w:hAnsi="Times New Roman"/>
          <w:color w:val="000000" w:themeColor="text1"/>
          <w:sz w:val="16"/>
          <w:szCs w:val="16"/>
        </w:rPr>
        <w:softHyphen/>
        <w:t>стройку, принятое начальником ЦКБ С.В. Ильюшиным, являлось довольно рискованным, однако Сергей Владимирович всецело доверял Поликарпову (23455).</w:t>
      </w:r>
    </w:p>
    <w:p w14:paraId="2E3E188B" w14:textId="77777777" w:rsidR="003E6913" w:rsidRPr="0044524F" w:rsidRDefault="003E6913" w:rsidP="009654CF">
      <w:pPr>
        <w:spacing w:after="0" w:line="240" w:lineRule="auto"/>
        <w:jc w:val="both"/>
        <w:rPr>
          <w:rFonts w:ascii="Times New Roman" w:hAnsi="Times New Roman"/>
          <w:color w:val="000000" w:themeColor="text1"/>
          <w:sz w:val="16"/>
          <w:szCs w:val="16"/>
        </w:rPr>
      </w:pPr>
    </w:p>
    <w:p w14:paraId="4068E446" w14:textId="77777777" w:rsidR="00745F09" w:rsidRPr="00142305" w:rsidRDefault="00745F09" w:rsidP="00745F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1933 г. в ЦАГИ началось строительство самолета-дублера И-14с мотором Райт «Циклон» SGR-1820 F-3, санкционированное ВВС (25035).</w:t>
      </w:r>
    </w:p>
    <w:p w14:paraId="130A171E" w14:textId="77777777" w:rsidR="00745F09" w:rsidRPr="00142305" w:rsidRDefault="00745F09" w:rsidP="00745F09">
      <w:pPr>
        <w:spacing w:after="0" w:line="240" w:lineRule="auto"/>
        <w:jc w:val="both"/>
        <w:rPr>
          <w:rFonts w:ascii="Times New Roman" w:hAnsi="Times New Roman"/>
          <w:color w:val="0070C0"/>
          <w:sz w:val="16"/>
          <w:szCs w:val="16"/>
        </w:rPr>
      </w:pPr>
    </w:p>
    <w:p w14:paraId="22628DD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закончились летные испытания Файрфлай IIM N F.1876, закупленного через Арков, выполнявшего функции торгпредства в Англии и испытывавшемуся в НИИ ВВС и ОЭЛИД ЦАГИ и опять в НИИ ВВС с 2-3 ноября 1932, когда английский летчик и л-и И.Ф.Козлов выполнили первые полеты на ЦА. В отчетах писали, что легко управляем и хорошо выходил из штопора, по скорости у земли немного уступал И--5, но во всем остальном - превосходил (2611,20).</w:t>
      </w:r>
    </w:p>
    <w:p w14:paraId="39E952B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716305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П.И.Баранов поручил А.С.Москалеву спроектировать истребитель-перехватчик с предельной скоростью. Тот сделал Сигму. Проект положили в архив в августе 1934 (83,310).</w:t>
      </w:r>
    </w:p>
    <w:p w14:paraId="394A0E0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619619EB" w14:textId="6959CFF4" w:rsidR="003E6913" w:rsidRPr="0044524F" w:rsidRDefault="003E69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года в НИИ ВВС были подготовлены</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тактико-технические требования к ХАИ-1ВВ. Согласно этим требованиям новый самолет должен был решать задачи разведчика и ближнего бомбардировщика. Его максимальная скорость должна была составить не менее 280 км/ч, а дальность полета около 820 км при бомбовой нагрузке в 400 кг. По сути требовалось решить комплекс задач по размещению вооружения (в том числе и оборонительного) и фотооборудования. Соответственно проводилась общая перекомпоновка (прежде всего в пассажирском салоне и грузовом отсеке) и вносились изменения в основные функциональные системы самолета. Для проведения плановой фотосъемки установили аэрофотоаппарат АФА-13 (24246).</w:t>
      </w:r>
    </w:p>
    <w:p w14:paraId="566D2B28" w14:textId="77777777" w:rsidR="003E6913" w:rsidRPr="0044524F" w:rsidRDefault="003E6913" w:rsidP="009654CF">
      <w:pPr>
        <w:spacing w:after="0" w:line="240" w:lineRule="auto"/>
        <w:jc w:val="both"/>
        <w:rPr>
          <w:rFonts w:ascii="Times New Roman" w:hAnsi="Times New Roman"/>
          <w:color w:val="000000" w:themeColor="text1"/>
          <w:sz w:val="16"/>
          <w:szCs w:val="16"/>
        </w:rPr>
      </w:pPr>
    </w:p>
    <w:p w14:paraId="527E68FB" w14:textId="77777777" w:rsidR="00FD662C" w:rsidRPr="0044524F" w:rsidRDefault="00FD662C"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года ВВС снова был поставлен вопрос в КО о тяжелом положении нашей истребительной авиации и наибольшем отставании ее от вероятных противников. При этом ВВС указывалось и подчеркивалось, что основной причиной этого отставания является отсутствие в стране производства легких мощных высотных авиамоторов для истребителей. В результате этой острой постановки вопроса КО 13 августа 1933 года приняло решение (см. постановление № 72сс): "для обеспечения истребительной авиации современными моторами водяного охлаждения считать необходимым закупить от 20 до 30 готовых моторов Испано-Сюиза типа 12 УБРС с запасными частями и инструментом" и техпомощь на производство этого типа моторов в Союзе. Кроме того, на том же заседании было решено закупить 50 готовых моторов воздушного охлаждения Райт-Циклон с инструментом и запасными частями для установки на истребителях. Закупка этих моторов и техпомощи была возложена на НКТПром (7439, 14).</w:t>
      </w:r>
    </w:p>
    <w:p w14:paraId="568E39DA" w14:textId="77777777" w:rsidR="00FD662C" w:rsidRPr="0044524F" w:rsidRDefault="00FD662C"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94E43C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на 18 заводе А.Н.Гусаров закончил заводские испытания САМ-5 цельнометаллического (2889,27).</w:t>
      </w:r>
    </w:p>
    <w:p w14:paraId="3A8AEC2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E9188B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в местной прессе впервые появилась информация о проектировании КАИ-1, в октябре началась подготовка производства. Прототип решено было строить на базе завода № 124 и в КАИ, что и зафиксировал приказ начальника Авиастроя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3037202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E32C7CF" w14:textId="77777777" w:rsidR="00745F09" w:rsidRPr="00142305" w:rsidRDefault="00745F09" w:rsidP="00745F09">
      <w:pPr>
        <w:widowControl w:val="0"/>
        <w:tabs>
          <w:tab w:val="left" w:pos="548"/>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1933 г. на авиазаводе №23 был построен У-2 №4940, который зарегистри</w:t>
      </w:r>
      <w:r w:rsidRPr="00142305">
        <w:rPr>
          <w:rFonts w:ascii="Times New Roman" w:hAnsi="Times New Roman"/>
          <w:color w:val="0070C0"/>
          <w:sz w:val="16"/>
          <w:szCs w:val="16"/>
        </w:rPr>
        <w:softHyphen/>
        <w:t>ровали как СССР-Н18, после чего вместе с амфибией Ш-2 СССР-Н20 отправили пароходом на самый северный архипе</w:t>
      </w:r>
      <w:r w:rsidRPr="00142305">
        <w:rPr>
          <w:rFonts w:ascii="Times New Roman" w:hAnsi="Times New Roman"/>
          <w:color w:val="0070C0"/>
          <w:sz w:val="16"/>
          <w:szCs w:val="16"/>
        </w:rPr>
        <w:softHyphen/>
        <w:t>лаг — Землю Франца-Иосифа. В конце 1933 г. самолеты прибыли на зимовку, расположенную в бухте Тихая острова Гукера архипелага ЗФИ. Здесь обе ма</w:t>
      </w:r>
      <w:r w:rsidRPr="00142305">
        <w:rPr>
          <w:rFonts w:ascii="Times New Roman" w:hAnsi="Times New Roman"/>
          <w:color w:val="0070C0"/>
          <w:sz w:val="16"/>
          <w:szCs w:val="16"/>
        </w:rPr>
        <w:softHyphen/>
        <w:t>шины эксплуатировалась экипажем лет</w:t>
      </w:r>
      <w:r w:rsidRPr="00142305">
        <w:rPr>
          <w:rFonts w:ascii="Times New Roman" w:hAnsi="Times New Roman"/>
          <w:color w:val="0070C0"/>
          <w:sz w:val="16"/>
          <w:szCs w:val="16"/>
        </w:rPr>
        <w:softHyphen/>
        <w:t>чика Кошелева и бортмеханика Плосконосова. У-2 СССР-Н18 летал до августа, затем потерпел аварию, в результате ко</w:t>
      </w:r>
      <w:r w:rsidRPr="00142305">
        <w:rPr>
          <w:rFonts w:ascii="Times New Roman" w:hAnsi="Times New Roman"/>
          <w:color w:val="0070C0"/>
          <w:sz w:val="16"/>
          <w:szCs w:val="16"/>
        </w:rPr>
        <w:softHyphen/>
        <w:t>торой значительно поврежденными ока</w:t>
      </w:r>
      <w:r w:rsidRPr="00142305">
        <w:rPr>
          <w:rFonts w:ascii="Times New Roman" w:hAnsi="Times New Roman"/>
          <w:color w:val="0070C0"/>
          <w:sz w:val="16"/>
          <w:szCs w:val="16"/>
        </w:rPr>
        <w:softHyphen/>
        <w:t>зались крылья и оперение. Мотор само</w:t>
      </w:r>
      <w:r w:rsidRPr="00142305">
        <w:rPr>
          <w:rFonts w:ascii="Times New Roman" w:hAnsi="Times New Roman"/>
          <w:color w:val="0070C0"/>
          <w:sz w:val="16"/>
          <w:szCs w:val="16"/>
        </w:rPr>
        <w:softHyphen/>
        <w:t>лета по формуляру считался исправным и наработал всего 4 ч. 46 мин. В августе 1934 г. г. произошла смена личного состава авиазвена полярной станции. На смену Кошелеву и Плосконосову в бухту Тихую прибыли летчик В. Д. Волосюк и бортме</w:t>
      </w:r>
      <w:r w:rsidRPr="00142305">
        <w:rPr>
          <w:rFonts w:ascii="Times New Roman" w:hAnsi="Times New Roman"/>
          <w:color w:val="0070C0"/>
          <w:sz w:val="16"/>
          <w:szCs w:val="16"/>
        </w:rPr>
        <w:softHyphen/>
        <w:t>ханик Н. Г. Тарновский (24979).</w:t>
      </w:r>
    </w:p>
    <w:p w14:paraId="1D2824F2" w14:textId="77777777" w:rsidR="00745F09" w:rsidRPr="00142305" w:rsidRDefault="00745F09" w:rsidP="00745F09">
      <w:pPr>
        <w:spacing w:after="0" w:line="240" w:lineRule="auto"/>
        <w:jc w:val="both"/>
        <w:rPr>
          <w:rFonts w:ascii="Times New Roman" w:hAnsi="Times New Roman"/>
          <w:color w:val="0070C0"/>
          <w:sz w:val="16"/>
          <w:szCs w:val="16"/>
        </w:rPr>
      </w:pPr>
    </w:p>
    <w:p w14:paraId="4DD8AD2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года группа инженеров, представившая схему транспортного самолета ТС-1 Можаева, на основании решения НИИ ВС приступила к работе, для выполнения требования НИИ ВС. Эта работа была закончена и дальше она не могла продолжаться из-за отсутствия средств (4213).</w:t>
      </w:r>
    </w:p>
    <w:p w14:paraId="0C7804E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3616AF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Б.Н.Кудрин испытывал Омегу А.Н.Грацианского, сделанную в рамках конкурса Осоавиахима 1932 на ХАЗ. Потом передали в Полтавскую летную школу, где летали еще 7 лет (553,140).</w:t>
      </w:r>
    </w:p>
    <w:p w14:paraId="7B52278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9C43C8B" w14:textId="77777777" w:rsidR="00B96AA7" w:rsidRPr="0044524F" w:rsidRDefault="00B96AA7" w:rsidP="009654CF">
      <w:pPr>
        <w:pStyle w:val="afff2"/>
        <w:shd w:val="clear" w:color="auto" w:fill="FFFFFF"/>
        <w:spacing w:before="0" w:beforeAutospacing="0" w:after="0" w:afterAutospacing="0"/>
        <w:jc w:val="both"/>
        <w:rPr>
          <w:color w:val="000000" w:themeColor="text1"/>
          <w:sz w:val="16"/>
          <w:szCs w:val="16"/>
        </w:rPr>
      </w:pPr>
      <w:r w:rsidRPr="0044524F">
        <w:rPr>
          <w:color w:val="000000" w:themeColor="text1"/>
          <w:sz w:val="16"/>
          <w:szCs w:val="16"/>
        </w:rPr>
        <w:t>В августе 1933 года начальник летной группы Воронежского аэроклуба ОСОАВИАХИМа А. Н. Гусаров провел испытания в воз-духе самолета САМ-5 (19822).</w:t>
      </w:r>
    </w:p>
    <w:p w14:paraId="18535EC4" w14:textId="77777777" w:rsidR="00B96AA7" w:rsidRPr="0044524F" w:rsidRDefault="00B96AA7" w:rsidP="009654CF">
      <w:pPr>
        <w:pStyle w:val="afff2"/>
        <w:shd w:val="clear" w:color="auto" w:fill="FFFFFF"/>
        <w:spacing w:before="0" w:beforeAutospacing="0" w:after="0" w:afterAutospacing="0"/>
        <w:jc w:val="both"/>
        <w:rPr>
          <w:color w:val="000000" w:themeColor="text1"/>
          <w:sz w:val="16"/>
          <w:szCs w:val="16"/>
        </w:rPr>
      </w:pPr>
    </w:p>
    <w:p w14:paraId="51673681" w14:textId="77777777" w:rsidR="00FD662C" w:rsidRPr="0044524F" w:rsidRDefault="00FD662C"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года закончились войсковые испытания в частях головного серийного автожира А-4. В результате госиспытаний этого автожира в НИИ ВВС было решено построить для частей ВВС десять экземпляров машины и допустить их для войсковых испытаний в частях. В течении 1933 года заводом № 43 были выпущены все 10 машин, которые и были распределены по частям ВВС в восьми пунктах, расположенных на территории европейской части Союза. Это размещение автожиров в столь большом количестве пунктов было проведено ВВС несмотря на неоднократные настойчивые возражения со стороны ЦАГИ. Отрицательные результаты подобного размещения машин не преминули сказаться. За весь 1933 год из общего количества десяти машин, размещенных в частях ВВС, не летали пять машин, три машины эксплуатировались в самом небольшом объеме и полеты были лишь в ЦАГИ и в НИИ ВВС. После этого было принято решение эти машины перераспределить по другим местам, причем почти весь 1934 год был затрачен на это и в течении всего этого года было совершено самое незначительное количество полетов (порядка 10-15). К этому времени четыре машины получили незначительные повреждения по вине эксплуатации и были переданы на ремонт (3849,13).</w:t>
      </w:r>
    </w:p>
    <w:p w14:paraId="7FA2E0A1" w14:textId="77777777" w:rsidR="00FD662C" w:rsidRPr="0044524F" w:rsidRDefault="00FD662C"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69084A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в Ленинграде закончили ремонт десантного планера Г-63 Б.Д.Урлапова, построенный у П.И.Гроховского. Ремонт вели с мая, хотя разбили в конце 1932. После ремонта стал Г-3-1 или Г-31. Испытывали до 1934 и потом с учетом сделали Якова Алксниса (94,21).</w:t>
      </w:r>
    </w:p>
    <w:p w14:paraId="113E311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9EF310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августе 1933 закончился ремонт планера Г-63 Б.Урлапова. При этом, конструкцию усовершенствовали: увеличили площадь РН, изменили углы отклонения рулей и элеронов, оборудовали место второго пилота и переименовали в Г-31. В 1935-м на первый экземпляр установили мотор М-11 мощностью 100 л.с. Запас топлива позволял "омоторенному" планеру или, как его тогда называли, "планерлету" находиться в воздухе до 20 часов. Во время испытаний Г-31 А (так назвали новую машину) при весе полезной нагрузки в 1400 кг показал максимальную скорость в 120 км/ч при крейсерской 101 км/ч и потолок до 5000 м. Все это позволяло Г-31А иметь дальность 2000 км. Но находиться в течение 20 часов в узких отсеках, даже для тренированных десантников, затруднительно. Особенно, если учесть, что после этого им предстояло немедленно вступить в бой. Для увеличения скорости требовался более мощный мотор, что переводило машину из планерлетов в разряд полноценных транспортных самолетов, но с очень неудобным размещением десантников и груза. Преимущество планеров исчезало, а недостатки оставались. Такой самолет вряд ли имел бы перспективу серийной постройки и это прекрасно понимал Гроховский (7643).</w:t>
      </w:r>
    </w:p>
    <w:p w14:paraId="0839A1C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6012CC3" w14:textId="4D7D8BCC"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1933-го закончился ремонт десантного планера на 16 человек аппарата конструктора Бориса Урлапова. при этом его конструкцию усовершенствовали: увеличили площадь руля направления, изменили углы отклонения рулей и элеронов, оборудовали место второго пилота и т.д. После восстановления планер переименовали в Г-31. Спустя два года построили второй экземпляр Г-31, получивший название «Яков Алкснис», а в 1935-м на первый экземпляр установили мотор М-11 мощностью 100 л.с. Запас топлива позволял «омоторенному» планеру или, как его тогда называли, «планерлету» находиться в воздухе до 20 часов. Во время испытаний Г-31А (так назвали новую машину) при весе полезной нагрузки в 1400 кг показал максимальную скорость в 120 км/ч при крейсерской 101 км/ч и потолок до 5000 м. Все это позволяло Г-31А иметь дальность 2000 км. Но находиться в течение 20 часов в узких отсеках, даже для тренированных десантников, затруднительно. Особенно, если учесть, что после этого им предстояло немедленно вступить в бой.</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Для увеличения скорости требовался более мощный мотор, что переводило машину из планерлетов в разряд полноценных транспортных самолетов, но с очень неудобным размещением десантников и груза. Так появился вариант Г-31 с 700-сильным двигателем М-25 (11810).</w:t>
      </w:r>
    </w:p>
    <w:p w14:paraId="161EEEE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3BC031B8"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 ремонт Г-63 был закончен и на планере смонтировали кабину для второ</w:t>
      </w:r>
      <w:r w:rsidRPr="0044524F">
        <w:rPr>
          <w:rFonts w:ascii="Times New Roman" w:hAnsi="Times New Roman"/>
          <w:color w:val="000000" w:themeColor="text1"/>
          <w:sz w:val="16"/>
          <w:szCs w:val="16"/>
        </w:rPr>
        <w:softHyphen/>
        <w:t>го пилота, доработали систему управления, усилили шасси и т.д. После этого планеру присвоили обозна</w:t>
      </w:r>
      <w:r w:rsidRPr="0044524F">
        <w:rPr>
          <w:rFonts w:ascii="Times New Roman" w:hAnsi="Times New Roman"/>
          <w:color w:val="000000" w:themeColor="text1"/>
          <w:sz w:val="16"/>
          <w:szCs w:val="16"/>
        </w:rPr>
        <w:softHyphen/>
        <w:t>чение «Г-31».</w:t>
      </w:r>
    </w:p>
    <w:p w14:paraId="574027D9"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 г. был построен второй экземпляр Г-31, позже названный «Яков Алкснис». Одновременно первый экземпляр был переделан в опытный самолет путем установки в носу мотора воздушного охлаж</w:t>
      </w:r>
      <w:r w:rsidRPr="0044524F">
        <w:rPr>
          <w:rFonts w:ascii="Times New Roman" w:hAnsi="Times New Roman"/>
          <w:color w:val="000000" w:themeColor="text1"/>
          <w:sz w:val="16"/>
          <w:szCs w:val="16"/>
        </w:rPr>
        <w:softHyphen/>
        <w:t>дения М-11 мощностью 100 л.с. Нужно заметить, что это первый случай переделки планера в мотопланер. В даль</w:t>
      </w:r>
      <w:r w:rsidRPr="0044524F">
        <w:rPr>
          <w:rFonts w:ascii="Times New Roman" w:hAnsi="Times New Roman"/>
          <w:color w:val="000000" w:themeColor="text1"/>
          <w:sz w:val="16"/>
          <w:szCs w:val="16"/>
        </w:rPr>
        <w:softHyphen/>
        <w:t>нейшем такие попытки пред</w:t>
      </w:r>
      <w:r w:rsidRPr="0044524F">
        <w:rPr>
          <w:rFonts w:ascii="Times New Roman" w:hAnsi="Times New Roman"/>
          <w:color w:val="000000" w:themeColor="text1"/>
          <w:sz w:val="16"/>
          <w:szCs w:val="16"/>
        </w:rPr>
        <w:softHyphen/>
        <w:t>принимались неоднократно.</w:t>
      </w:r>
    </w:p>
    <w:p w14:paraId="53459F06"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целом испытания обоих образцов проходили успешно, однако военные не прояви</w:t>
      </w:r>
      <w:r w:rsidRPr="0044524F">
        <w:rPr>
          <w:rFonts w:ascii="Times New Roman" w:hAnsi="Times New Roman"/>
          <w:color w:val="000000" w:themeColor="text1"/>
          <w:sz w:val="16"/>
          <w:szCs w:val="16"/>
        </w:rPr>
        <w:softHyphen/>
        <w:t>ли интереса к Г-31. Отчасти это объясняется отсутствием устоявшихся взглядов на пер</w:t>
      </w:r>
      <w:r w:rsidRPr="0044524F">
        <w:rPr>
          <w:rFonts w:ascii="Times New Roman" w:hAnsi="Times New Roman"/>
          <w:color w:val="000000" w:themeColor="text1"/>
          <w:sz w:val="16"/>
          <w:szCs w:val="16"/>
        </w:rPr>
        <w:softHyphen/>
        <w:t>спективы применения транс</w:t>
      </w:r>
      <w:r w:rsidRPr="0044524F">
        <w:rPr>
          <w:rFonts w:ascii="Times New Roman" w:hAnsi="Times New Roman"/>
          <w:color w:val="000000" w:themeColor="text1"/>
          <w:sz w:val="16"/>
          <w:szCs w:val="16"/>
        </w:rPr>
        <w:softHyphen/>
        <w:t>портных планеров в зарожда</w:t>
      </w:r>
      <w:r w:rsidRPr="0044524F">
        <w:rPr>
          <w:rFonts w:ascii="Times New Roman" w:hAnsi="Times New Roman"/>
          <w:color w:val="000000" w:themeColor="text1"/>
          <w:sz w:val="16"/>
          <w:szCs w:val="16"/>
        </w:rPr>
        <w:softHyphen/>
        <w:t>ющихся у нас Воздушно-де</w:t>
      </w:r>
      <w:r w:rsidRPr="0044524F">
        <w:rPr>
          <w:rFonts w:ascii="Times New Roman" w:hAnsi="Times New Roman"/>
          <w:color w:val="000000" w:themeColor="text1"/>
          <w:sz w:val="16"/>
          <w:szCs w:val="16"/>
        </w:rPr>
        <w:softHyphen/>
        <w:t>сантных войсках (ВДВ).</w:t>
      </w:r>
    </w:p>
    <w:p w14:paraId="30F2984D"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планеру Г-31 были присущи некоторые врожденные недостатки: пла</w:t>
      </w:r>
      <w:r w:rsidRPr="0044524F">
        <w:rPr>
          <w:rFonts w:ascii="Times New Roman" w:hAnsi="Times New Roman"/>
          <w:color w:val="000000" w:themeColor="text1"/>
          <w:sz w:val="16"/>
          <w:szCs w:val="16"/>
        </w:rPr>
        <w:softHyphen/>
        <w:t>нер мог перевозить только мелкие грузы, в то время как в 30-х гг. уже требовалось транспортировать тяжелое вооружение. Из-за малых размеров грузовых ячеек действовать в них можно было только лежа, что зна</w:t>
      </w:r>
      <w:r w:rsidRPr="0044524F">
        <w:rPr>
          <w:rFonts w:ascii="Times New Roman" w:hAnsi="Times New Roman"/>
          <w:color w:val="000000" w:themeColor="text1"/>
          <w:sz w:val="16"/>
          <w:szCs w:val="16"/>
        </w:rPr>
        <w:softHyphen/>
        <w:t>чительно удлиняло время погрузочных работ. В ре</w:t>
      </w:r>
      <w:r w:rsidRPr="0044524F">
        <w:rPr>
          <w:rFonts w:ascii="Times New Roman" w:hAnsi="Times New Roman"/>
          <w:color w:val="000000" w:themeColor="text1"/>
          <w:sz w:val="16"/>
          <w:szCs w:val="16"/>
        </w:rPr>
        <w:softHyphen/>
        <w:t>зультате в серийное производство планер Г-31 не передавался (12300).</w:t>
      </w:r>
    </w:p>
    <w:p w14:paraId="65C983C2" w14:textId="77777777" w:rsidR="006A4DAE" w:rsidRPr="0044524F" w:rsidRDefault="006A4DAE" w:rsidP="009654CF">
      <w:pPr>
        <w:spacing w:after="0" w:line="240" w:lineRule="auto"/>
        <w:jc w:val="both"/>
        <w:rPr>
          <w:rFonts w:ascii="Times New Roman" w:hAnsi="Times New Roman"/>
          <w:color w:val="000000" w:themeColor="text1"/>
          <w:sz w:val="16"/>
          <w:szCs w:val="16"/>
        </w:rPr>
      </w:pPr>
    </w:p>
    <w:p w14:paraId="7ED095B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Я.И.Алкснис поставил задачу на один из Г-31 поставить мотор и решили переделывать первый экз. (94,24).</w:t>
      </w:r>
    </w:p>
    <w:p w14:paraId="230DAC4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5E97359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на заводе А.М.Беленковича, производящем магниевые профили, появилась специальная мастерская для строительства самолета из электрона ЭМАИ (1040,22).</w:t>
      </w:r>
    </w:p>
    <w:p w14:paraId="69EF260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6940F9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начали строить натурные трубы ЦАГИ (271,135).</w:t>
      </w:r>
    </w:p>
    <w:p w14:paraId="49274DF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3E7512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 задержка с полетом вызывала у экипажа тревогу за сохранность оболочки стратостата Осоавиахим-1 и т. Федосеенко добивался дальнейшего определения дня и места вылета. Консультационный совет при обсуждении этого вопроса 11 сентября в лице профессора Мультановского считал, что устойчивая погода для полета будет в 20-ых числах декабря, а профессор Троицкий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Когда полет было отложен, т. Федосеенко проявил особую заботу о сохранении оболочки и 5.XI донес т. Эйдеману,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5C211D22"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1E93A0" w14:textId="77777777" w:rsidR="001836B7" w:rsidRPr="0044524F" w:rsidRDefault="001836B7" w:rsidP="009654CF">
      <w:pPr>
        <w:pStyle w:val="ae"/>
        <w:spacing w:before="0" w:after="0"/>
        <w:jc w:val="both"/>
        <w:textAlignment w:val="baseline"/>
        <w:rPr>
          <w:color w:val="000000" w:themeColor="text1"/>
          <w:sz w:val="16"/>
          <w:szCs w:val="16"/>
          <w:bdr w:val="none" w:sz="0" w:space="0" w:color="auto" w:frame="1"/>
        </w:rPr>
      </w:pPr>
      <w:r w:rsidRPr="0044524F">
        <w:rPr>
          <w:color w:val="000000" w:themeColor="text1"/>
          <w:sz w:val="16"/>
          <w:szCs w:val="16"/>
          <w:bdr w:val="none" w:sz="0" w:space="0" w:color="auto" w:frame="1"/>
        </w:rPr>
        <w:t>В августе 1933 г. ресурс до первой переборки у М-17 достиг 150 часов. У «родных» моторов было не столь хорошо. В 1942 в частях 15-й воздушной армии один отказ мотора АМ-38ф приходился на 20 - 25 часов работы. Со временем дела с АМ-38Ф стали получше. В течение года, с мая 1944 г. по май 1945 г. в 3-й ВА моторы АМ-38ф наработали 40250 ч. В среднем ежемесячно действовало 350 моторов. За это же время было преждевременно снято по конструктивно-производственным дефектам 85 моторов (среднее время наработки 40 ч). В то же время установленный ресурс в 150 ч полностью выработали 105 моторов. Наработка на отказ моторов АМ-38ф в частях 5-й ВА в 1945 г. без учета моторов, поврежденных в бою и вышедших из строя по причине неграмотной эксплуатации, составила 90 ч.</w:t>
      </w:r>
    </w:p>
    <w:p w14:paraId="581247B3" w14:textId="77777777" w:rsidR="001836B7" w:rsidRPr="0044524F" w:rsidRDefault="001836B7" w:rsidP="009654CF">
      <w:pPr>
        <w:pStyle w:val="ae"/>
        <w:spacing w:before="0" w:after="0"/>
        <w:jc w:val="both"/>
        <w:textAlignment w:val="baseline"/>
        <w:rPr>
          <w:color w:val="000000" w:themeColor="text1"/>
          <w:sz w:val="16"/>
          <w:szCs w:val="16"/>
        </w:rPr>
      </w:pPr>
      <w:r w:rsidRPr="0044524F">
        <w:rPr>
          <w:color w:val="000000" w:themeColor="text1"/>
          <w:sz w:val="16"/>
          <w:szCs w:val="16"/>
          <w:bdr w:val="none" w:sz="0" w:space="0" w:color="auto" w:frame="1"/>
        </w:rPr>
        <w:t>Несмотря на обширную номенклатуру дефектов, мотор АМ-38Ф, как показывает анализ документов инженерно-авиационной службы воздушных армий, по надежности занимал первое место среди остальных отечественных моторов, находящихся на снабжении ВВС КА. Действительно, например в 15-й ВА количество моторов АМ-38Ф, снятых в 1945 г. по выработке ресурса, увеличилось в 1,4 раза в сравнении с предыдущим годом, а количество снятых моторов до выработки ресурса, наоборот, уменьшилось в 5,5 раза. При этом наработка в часах на один отказ мотора АМ-38Ф возросла с 50,6 ч до 99 ч, что более чем вдвое было выше результата, показываемого любым другим отечественным мотором. Так, мотор М-105ПФ в 1944 г. нарабатывал 42,8 ч на один отказ, а в 1945 г. - 48,9 ч.</w:t>
      </w:r>
    </w:p>
    <w:p w14:paraId="5055916B" w14:textId="77777777" w:rsidR="001836B7" w:rsidRPr="0044524F" w:rsidRDefault="001836B7" w:rsidP="009654CF">
      <w:pPr>
        <w:pStyle w:val="ae"/>
        <w:shd w:val="clear" w:color="auto" w:fill="FBFCFC"/>
        <w:spacing w:before="0" w:after="0"/>
        <w:jc w:val="both"/>
        <w:textAlignment w:val="baseline"/>
        <w:rPr>
          <w:color w:val="000000" w:themeColor="text1"/>
          <w:sz w:val="16"/>
          <w:szCs w:val="16"/>
        </w:rPr>
      </w:pPr>
      <w:r w:rsidRPr="0044524F">
        <w:rPr>
          <w:color w:val="000000" w:themeColor="text1"/>
          <w:sz w:val="16"/>
          <w:szCs w:val="16"/>
          <w:bdr w:val="none" w:sz="0" w:space="0" w:color="auto" w:frame="1"/>
        </w:rPr>
        <w:t>Если на каждые 100 моторов среднего парка свой ресурс полностью вырабатывали 11,5 моторов М-105ПФ, то АМ-38Ф - 16,5 моторов (20442).</w:t>
      </w:r>
    </w:p>
    <w:p w14:paraId="7DB88537" w14:textId="77777777" w:rsidR="001836B7" w:rsidRPr="0044524F" w:rsidRDefault="001836B7" w:rsidP="009654CF">
      <w:pPr>
        <w:spacing w:after="0" w:line="240" w:lineRule="auto"/>
        <w:jc w:val="both"/>
        <w:rPr>
          <w:rFonts w:ascii="Times New Roman" w:hAnsi="Times New Roman"/>
          <w:color w:val="000000" w:themeColor="text1"/>
          <w:sz w:val="16"/>
          <w:szCs w:val="16"/>
        </w:rPr>
      </w:pPr>
    </w:p>
    <w:p w14:paraId="4A5A62C5"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1933 г. в ЦАГИ подготовили чертежи и технические условия на под</w:t>
      </w:r>
      <w:r w:rsidRPr="00142305">
        <w:rPr>
          <w:rFonts w:ascii="Times New Roman" w:hAnsi="Times New Roman"/>
          <w:color w:val="0070C0"/>
          <w:sz w:val="16"/>
          <w:szCs w:val="16"/>
        </w:rPr>
        <w:softHyphen/>
        <w:t>веску под МБР-4 двух химических выливных прибо</w:t>
      </w:r>
      <w:r w:rsidRPr="00142305">
        <w:rPr>
          <w:rFonts w:ascii="Times New Roman" w:hAnsi="Times New Roman"/>
          <w:color w:val="0070C0"/>
          <w:sz w:val="16"/>
          <w:szCs w:val="16"/>
        </w:rPr>
        <w:softHyphen/>
        <w:t>ров ВАП-4. Это были баки обтекаемой формы емкостью по 82 л, заполнявшие</w:t>
      </w:r>
      <w:r w:rsidRPr="00142305">
        <w:rPr>
          <w:rFonts w:ascii="Times New Roman" w:hAnsi="Times New Roman"/>
          <w:color w:val="0070C0"/>
          <w:sz w:val="16"/>
          <w:szCs w:val="16"/>
        </w:rPr>
        <w:softHyphen/>
        <w:t>ся жидкими отравляющими веществами. Обычно использовали иприт и люизит или их смесь в виде раствора в керосине или дихлорэтане. В полете при открытии люков их вытеснял набегающий поток воздуха, и содержимое рассеивалось мелкими каплями. Но быстро внедрить выливные приборы на итальянских бип</w:t>
      </w:r>
      <w:r w:rsidRPr="00142305">
        <w:rPr>
          <w:rFonts w:ascii="Times New Roman" w:hAnsi="Times New Roman"/>
          <w:color w:val="0070C0"/>
          <w:sz w:val="16"/>
          <w:szCs w:val="16"/>
        </w:rPr>
        <w:softHyphen/>
        <w:t>ланах не удалось. Заводы уклонялись от выполнения заказов, поскольку денег вы</w:t>
      </w:r>
      <w:r w:rsidRPr="00142305">
        <w:rPr>
          <w:rFonts w:ascii="Times New Roman" w:hAnsi="Times New Roman"/>
          <w:color w:val="0070C0"/>
          <w:sz w:val="16"/>
          <w:szCs w:val="16"/>
        </w:rPr>
        <w:softHyphen/>
        <w:t>делили меньше половины от требуемого. Но проблему все-таки решили, и к 1935 г. самолеты оснастили полным комплектом химического вооружения.</w:t>
      </w:r>
    </w:p>
    <w:p w14:paraId="088C003A"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летающих лодках рассчитывали использовать и большие по размерам приборы ВАП-5 по 120 л. Но после испы</w:t>
      </w:r>
      <w:r w:rsidRPr="00142305">
        <w:rPr>
          <w:rFonts w:ascii="Times New Roman" w:hAnsi="Times New Roman"/>
          <w:color w:val="0070C0"/>
          <w:sz w:val="16"/>
          <w:szCs w:val="16"/>
        </w:rPr>
        <w:softHyphen/>
        <w:t>таний в октябре 1933 г. эту конструкцию забраковали (24948).</w:t>
      </w:r>
    </w:p>
    <w:p w14:paraId="7DF170AE" w14:textId="77777777" w:rsidR="00C16627" w:rsidRPr="00142305" w:rsidRDefault="00C16627" w:rsidP="00C16627">
      <w:pPr>
        <w:spacing w:after="0" w:line="240" w:lineRule="auto"/>
        <w:jc w:val="both"/>
        <w:rPr>
          <w:rFonts w:ascii="Times New Roman" w:hAnsi="Times New Roman"/>
          <w:color w:val="0070C0"/>
          <w:sz w:val="16"/>
          <w:szCs w:val="16"/>
        </w:rPr>
      </w:pPr>
    </w:p>
    <w:p w14:paraId="7FDE1494" w14:textId="77777777" w:rsidR="001836B7" w:rsidRPr="0044524F" w:rsidRDefault="001836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«СССР В-3» вышел в очередной по</w:t>
      </w:r>
      <w:r w:rsidRPr="0044524F">
        <w:rPr>
          <w:rFonts w:ascii="Times New Roman" w:hAnsi="Times New Roman"/>
          <w:color w:val="000000" w:themeColor="text1"/>
          <w:sz w:val="16"/>
          <w:szCs w:val="16"/>
        </w:rPr>
        <w:softHyphen/>
        <w:t>лёт и попал в окружение грозовых облаков. По</w:t>
      </w:r>
      <w:r w:rsidRPr="0044524F">
        <w:rPr>
          <w:rFonts w:ascii="Times New Roman" w:hAnsi="Times New Roman"/>
          <w:color w:val="000000" w:themeColor="text1"/>
          <w:sz w:val="16"/>
          <w:szCs w:val="16"/>
        </w:rPr>
        <w:softHyphen/>
        <w:t>ложение было настолько серьёзным, что пилот решил сесть вне аэродрома и переждать грозу на земле. Для посадки он прибёг к помощи работав</w:t>
      </w:r>
      <w:r w:rsidRPr="0044524F">
        <w:rPr>
          <w:rFonts w:ascii="Times New Roman" w:hAnsi="Times New Roman"/>
          <w:color w:val="000000" w:themeColor="text1"/>
          <w:sz w:val="16"/>
          <w:szCs w:val="16"/>
        </w:rPr>
        <w:softHyphen/>
        <w:t>ших в поле колхозников, предварительно преду</w:t>
      </w:r>
      <w:r w:rsidRPr="0044524F">
        <w:rPr>
          <w:rFonts w:ascii="Times New Roman" w:hAnsi="Times New Roman"/>
          <w:color w:val="000000" w:themeColor="text1"/>
          <w:sz w:val="16"/>
          <w:szCs w:val="16"/>
        </w:rPr>
        <w:softHyphen/>
        <w:t>предив их сброшенной запиской. Те поймали вы</w:t>
      </w:r>
      <w:r w:rsidRPr="0044524F">
        <w:rPr>
          <w:rFonts w:ascii="Times New Roman" w:hAnsi="Times New Roman"/>
          <w:color w:val="000000" w:themeColor="text1"/>
          <w:sz w:val="16"/>
          <w:szCs w:val="16"/>
        </w:rPr>
        <w:softHyphen/>
        <w:t>брошенный гайдроп, и дирижабль благополучно приземлился. Переждав грозу, пилот привёл ди</w:t>
      </w:r>
      <w:r w:rsidRPr="0044524F">
        <w:rPr>
          <w:rFonts w:ascii="Times New Roman" w:hAnsi="Times New Roman"/>
          <w:color w:val="000000" w:themeColor="text1"/>
          <w:sz w:val="16"/>
          <w:szCs w:val="16"/>
        </w:rPr>
        <w:softHyphen/>
        <w:t>рижабль на базу в Москву (20120).</w:t>
      </w:r>
    </w:p>
    <w:p w14:paraId="05C87DA9" w14:textId="77777777" w:rsidR="001836B7" w:rsidRPr="0044524F" w:rsidRDefault="001836B7" w:rsidP="009654CF">
      <w:pPr>
        <w:spacing w:after="0" w:line="240" w:lineRule="auto"/>
        <w:jc w:val="both"/>
        <w:rPr>
          <w:rFonts w:ascii="Times New Roman" w:hAnsi="Times New Roman"/>
          <w:color w:val="000000" w:themeColor="text1"/>
          <w:sz w:val="16"/>
          <w:szCs w:val="16"/>
        </w:rPr>
      </w:pPr>
    </w:p>
    <w:p w14:paraId="7D6784A1"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758082E"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73E919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на НИАПе (Ржевский полигон) проходили испытания Су-14 203 мм и машина демонстрировалась К.Е.В. Испытания затянулись и машина непрерывно ремонтировалась в основном из-за отказа ходовой (7437, 4).</w:t>
      </w:r>
    </w:p>
    <w:p w14:paraId="1663651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E2A9931" w14:textId="77777777" w:rsidR="00C02A38" w:rsidRPr="0044524F" w:rsidRDefault="00C02A3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 проводились испытания СУ-14 на НИАПе, где они были продемонстрированы маршалу К. Ворошилову. Испытания установки затянулись, в основном из-за отказа ходовой части. Одновременно с ремонтом внедрялись новые конструкторские решения. Вновь испытания СУ-14 были продолжены в марте 1935 г. После проведения испытаний в конструкцию установки СУ-14 были внесены существенные изменения. Предполагалось на унифицированном шасси создать две самоходные артиллерийские системы — «дуплекс», одна с 203-мм гаубицей Б-4, (вариант СУ-14), другая со 152-мм пушкой Б-10 (вариант СУ-14А) (15132).</w:t>
      </w:r>
    </w:p>
    <w:p w14:paraId="4343EB94" w14:textId="77777777" w:rsidR="00C02A38" w:rsidRPr="0044524F" w:rsidRDefault="00C02A38" w:rsidP="009654CF">
      <w:pPr>
        <w:spacing w:after="0" w:line="240" w:lineRule="auto"/>
        <w:jc w:val="both"/>
        <w:rPr>
          <w:rFonts w:ascii="Times New Roman" w:hAnsi="Times New Roman"/>
          <w:color w:val="000000" w:themeColor="text1"/>
          <w:sz w:val="16"/>
          <w:szCs w:val="16"/>
        </w:rPr>
      </w:pPr>
    </w:p>
    <w:p w14:paraId="1FB1737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года опытная батарея 76-мм пушек обр. 1933 г прошла войсковые испытания в Московской Пролетарской Стрелковой дивизии (МПСД) (3861).</w:t>
      </w:r>
    </w:p>
    <w:p w14:paraId="75A883B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89FDE42"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1933 года АУ РККА предложило использовать для 20 мм автомате мощный патрон немец</w:t>
      </w:r>
      <w:r w:rsidRPr="00142305">
        <w:rPr>
          <w:rFonts w:ascii="Times New Roman" w:hAnsi="Times New Roman"/>
          <w:color w:val="0070C0"/>
          <w:sz w:val="16"/>
          <w:szCs w:val="16"/>
        </w:rPr>
        <w:softHyphen/>
        <w:t>кой зенитки 2 cm FlaK 30 фирмы Рейнметалл, более известный сейчас как «Длинный Солотурн» – 20×138В мм, производственную линию под которые планировалось закупить у немцев. Это несколько облегчало задачу. Патрон был хорошо отработан в производстве, обладал великолепной баллистикой и был достаточно распространен в мире (25392).</w:t>
      </w:r>
    </w:p>
    <w:p w14:paraId="181E4DCA" w14:textId="77777777" w:rsidR="00C16627" w:rsidRPr="00142305" w:rsidRDefault="00C16627" w:rsidP="00C16627">
      <w:pPr>
        <w:spacing w:after="0" w:line="240" w:lineRule="auto"/>
        <w:jc w:val="both"/>
        <w:rPr>
          <w:rFonts w:ascii="Times New Roman" w:hAnsi="Times New Roman"/>
          <w:color w:val="0070C0"/>
          <w:sz w:val="16"/>
          <w:szCs w:val="16"/>
        </w:rPr>
      </w:pPr>
    </w:p>
    <w:p w14:paraId="5CD2B0C4"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 на заводе Новое Сормово был организован отдел главного технолога завода. Первоначально он состоял из маршрутной группы, кузнецов по горячей и холодной штамповке, технологической группы, группы нормирования, конструкторских групп по проектированию инструмента и приспособлений и группы технологических планировок (11741).</w:t>
      </w:r>
    </w:p>
    <w:p w14:paraId="19D43795"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65039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года после очередной серии неприятных событий начальник ВОХИМУ дал Московскому Очаковскому складу № 136 указания (разумеется, во исполнение распоряжения наркома обороны К.Е.Ворошилова) - прекратить разлив ОВ по боеприпасам, а все имеющееся химоружие вывезти со склада в Очакове на два военно-химических полигона - в Кузьминки и в Шиханы (Саратовская область) (9065).</w:t>
      </w:r>
    </w:p>
    <w:p w14:paraId="2747244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6F48683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СТО принял постановление о системе бронетанкового вооружения КА на 2 пятилетку (359,92).</w:t>
      </w:r>
    </w:p>
    <w:p w14:paraId="47D3532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129261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смежники - Ижорский (бронекорпуса), "Красный Октябрь" (коробки передач), Рыбинский (двигатели) заводы - начали поставки агрегатов для Т-35 на ХПЗ. Т-35 изготовлялся по узловому принципу (9 узлов), окончательная же сборка первой машины велась на специальных козлах (стапелях) (3862).</w:t>
      </w:r>
    </w:p>
    <w:p w14:paraId="72A6A83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E90A68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 был принят на вооружение танк Т-37, но серийно не выпускался. Он имел боевую массу 2,9 т, экипаж - два человека. На танке Т-37 использовались двигатель и силовая передача автомобильного типа: сцепление, коробка передач и простой дифференциал с колодочными тормозами. Приводы управления были дублированы. Подвеска танка пружинная, мелкозвенчатая гусеница скелетного типа из ковкого чугуна. Танк развивал скорость 36 км/ч на суше и 4 км/ч на воде. Для движения по воде применялся винт с поворачивающимися лопастями для осуществления заднего хода и руль. Танк показал хорошую устойчивость и маневренность на плаву.</w:t>
      </w:r>
    </w:p>
    <w:p w14:paraId="0E51E48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Серийная модификация этого танка - Т-37А - отличалась несколько большими размерами корпуса и наличием бронированных поплавков, заполненных внутри пробкой. Масса Т-37А достигала 3,2 т. Танки Т-37А выпускались в 1932-1936 гг. (3861).</w:t>
      </w:r>
    </w:p>
    <w:p w14:paraId="76B82A1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234810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августа 1933 года строились двухбашенные танки Т-26 (выпущено около 1200 единиц), когда для них создали танковую 45-мм пушку образца 1932 г. и решили установить ее в одну башню.</w:t>
      </w:r>
    </w:p>
    <w:p w14:paraId="034722B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 Т-26 образца 1933 г. имел цилиндрическую башню и весил 9,4 т. Боекомплект 45-мм пушки состоял из 136 выстрелов. На 11 см увеличилась высота машины. Остальные характеристики не изменились. Танки командиров рот имели радиостанцию (боекомплект уменьшился до 96 выстрелов) и поручневую антенну на башне. Опыт боев в Испании и на озере Хасан показал, что противник в первую очередь сосредоточивал огонь по командирским машинам, хорошо различимым издалека по антенне, поэтому поручневую антенну заменили штыревой. Типичным для внешнего вида этих танков была установка двух фар-прожекторов над пушкой для ночной стрельбы.</w:t>
      </w:r>
    </w:p>
    <w:p w14:paraId="5B0AB3C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танка Т-26 была проста, он был легок в управлении, не требовал большого ухода. Компоновка следовала классической схеме: впереди отделение управления, затем боевое и в корме моторное отделение. Установка четырехтактного карбюраторного двигателя "Т-26" воздушного охлаждения с горизонтальным расположением четырех цилиндров позволило заметно уменьшить высоту кормовой части корпуса. Там же находился и бензобак емкостью 182 литра. Силовая передача состояла из главного фрикциона, пятискоростной КП тракторного типа в передней части корпуса слева от места водителя, бортовых фрикционов и редукторов. Ведущее колесо переднего расположения. В ходовой части по две тележки по четыре обрезиненных катка.</w:t>
      </w:r>
    </w:p>
    <w:p w14:paraId="449F73B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45-мм пушки образца 1932, 1934 или 1938 гг. имели одинаковые баллистические данные и отличались лишь некоторыми усовершенствованиями. Пушка имела клиновый полуавтоматический затвор и угол наведения в вертикальной плоскости +22, -5 градусов. Бронебойный снаряд имел начальную скорость 700 м/с и пробивал со 100 метров 32-мм броню. Фугасный снаряд имел начальную скорость 335 м/с (3861).</w:t>
      </w:r>
    </w:p>
    <w:p w14:paraId="3428357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596D55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августа 1933 г. на танк Т-26 ставили 45-мм пушку в цилиндрической башне и пулемет 7,62 мм. Экипаж составлял 3 человека. Боевая масса возросла до 10,3 т, а двигатель остался прежний, мощностью 90 л. с. Энерговооруженность была явно недостаточной. С февраля 1939 г. выпускалась последняя модификация Т-26 с наклонным расположением бронелистов подбашенной коробки. А во время Финской войны Т-26 оснастили экранной броней на лобовых листах корпуса. Всего за 1931-1940 гг. выпустили более 11000 машин 23 модификаций. Это была крупнейшая предвоенная серия танков в мире (11224).</w:t>
      </w:r>
    </w:p>
    <w:p w14:paraId="06843C2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A04AF8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Опытный образец Т-26, оборудованный в июле 1933 ОКБ Опытного завода Спецмаштреста им. Кирова оборудованием СКБ завода Компрессор ТДП-3, разработанным в январе 1933, прошел войсковые испытания (9527,190).</w:t>
      </w:r>
    </w:p>
    <w:p w14:paraId="40CEEEE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5DB0602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в соответствии с военной доктриной для укомплектования частей и соединений РККА были приняты 5 типов танков: разведывательный танк (Т-37), общевойсковой танк (Т-26), оперативный танк (БТ-7), танк качественного усиления (Т-28) и тяжелый танк особого назначения (Т-35) (9527,13).</w:t>
      </w:r>
    </w:p>
    <w:p w14:paraId="526657A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3B3E133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Опытный завод Спецмаштреста изготовил опытный образец ТР-1, бронетранспортера на базе Т-26, разработанного в начале 1933 слушатели ВАММ, который до февраля 1934 прошел всесторонние полигонные испытания. На вооружение не принимался, т.к. ТР-4 оказался более совершенным (9527,206).</w:t>
      </w:r>
    </w:p>
    <w:p w14:paraId="5774D60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D2D472F" w14:textId="77777777" w:rsidR="00627F5A" w:rsidRPr="0044524F" w:rsidRDefault="00627F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 Советом труда и обороны СССР была утверждена новая система бронетанкового вооружения РККА, после чего БТ, который первоначально, в 1930 г., позиционировался как средний танк, вошел в число оперативных машин. Танки данного типа составляли основу самостоятельных механизированных соединений: «Танк должен быть быстроходным, вездеходным (в том числе плавучим) и мощно вооружен». К концу 1930-х гг. в РККА была принята новая классификация, где основой деления стал вес машины: малые, легкие, средние и тяжелые. По этой версии быстроходные танки стали классифицироваться как легкие. Именно как легкие машины БТ стали известны в отечественной литературе (23536).</w:t>
      </w:r>
    </w:p>
    <w:p w14:paraId="4D10DE12" w14:textId="77777777" w:rsidR="00627F5A" w:rsidRPr="0044524F" w:rsidRDefault="00627F5A" w:rsidP="009654CF">
      <w:pPr>
        <w:spacing w:after="0" w:line="240" w:lineRule="auto"/>
        <w:jc w:val="both"/>
        <w:rPr>
          <w:rFonts w:ascii="Times New Roman" w:hAnsi="Times New Roman"/>
          <w:color w:val="000000" w:themeColor="text1"/>
          <w:sz w:val="16"/>
          <w:szCs w:val="16"/>
        </w:rPr>
      </w:pPr>
    </w:p>
    <w:p w14:paraId="74924DE9"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1933 года летающий танк Кристи М.1932 прибыл в Советский Союз. Как и некоторые предыдущие модели Кристи, он не имел башни и вооружения. Танк осна</w:t>
      </w:r>
      <w:r w:rsidRPr="00142305">
        <w:rPr>
          <w:rFonts w:ascii="Times New Roman" w:hAnsi="Times New Roman"/>
          <w:color w:val="0070C0"/>
          <w:sz w:val="16"/>
          <w:szCs w:val="16"/>
        </w:rPr>
        <w:softHyphen/>
        <w:t>щался 750- сильным авиационным мо</w:t>
      </w:r>
      <w:r w:rsidRPr="00142305">
        <w:rPr>
          <w:rFonts w:ascii="Times New Roman" w:hAnsi="Times New Roman"/>
          <w:color w:val="0070C0"/>
          <w:sz w:val="16"/>
          <w:szCs w:val="16"/>
        </w:rPr>
        <w:softHyphen/>
        <w:t>тором «Испано-Сюиза», а вместо рези</w:t>
      </w:r>
      <w:r w:rsidRPr="00142305">
        <w:rPr>
          <w:rFonts w:ascii="Times New Roman" w:hAnsi="Times New Roman"/>
          <w:color w:val="0070C0"/>
          <w:sz w:val="16"/>
          <w:szCs w:val="16"/>
        </w:rPr>
        <w:softHyphen/>
        <w:t>новых бандажей на опорных катках ис</w:t>
      </w:r>
      <w:r w:rsidRPr="00142305">
        <w:rPr>
          <w:rFonts w:ascii="Times New Roman" w:hAnsi="Times New Roman"/>
          <w:color w:val="0070C0"/>
          <w:sz w:val="16"/>
          <w:szCs w:val="16"/>
        </w:rPr>
        <w:softHyphen/>
        <w:t>пользовались пневматики (25009).</w:t>
      </w:r>
    </w:p>
    <w:p w14:paraId="2BC3CFB1" w14:textId="77777777" w:rsidR="00C16627" w:rsidRPr="00142305" w:rsidRDefault="00C16627" w:rsidP="00C16627">
      <w:pPr>
        <w:spacing w:after="0" w:line="240" w:lineRule="auto"/>
        <w:jc w:val="both"/>
        <w:rPr>
          <w:rFonts w:ascii="Times New Roman" w:hAnsi="Times New Roman"/>
          <w:color w:val="0070C0"/>
          <w:sz w:val="16"/>
          <w:szCs w:val="16"/>
        </w:rPr>
      </w:pPr>
    </w:p>
    <w:p w14:paraId="38431C8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началось строительства новой - VI серии ТК. Катера выпускались девятью сериями, различия между которыми были, в основном, в толщине листов обшивки (усиление ее по опыту эксплуатации проводилось на каждой последующей серии); двигателями (на части катеров стояли импортные моторы АССО и «Паккард», а на других - различные модификации ГАМ-34); скоростью, запасом топлива и вооружением. Внешних отличий между катерами отдельных серий очень мало. Катера типа Ш-4 отличаются вырезом рубки под турель пулемета, гофрированными листами обшивки палубы и расположением мачты за рубкой. На Г-5 независимо от серии отсутствовала гофрированная обшивка, по верхней части корпуса шли два продольных ребра жесткости, рубка без выреза (кроме катеров VI серии) на части катеров труба глушителя (совмещенная с системой дымопуска) шла от моторного отсека по верхней палубе в корму до консолей. Ранние серии имели на вооружении авиационную турель с двумя пулеметами ДА, либо одним ШКАС, позднее - пулеметами ДШК. В любом случае, с уверенностью сказать, к какой серии принадлежит катер, зачастую невозможно. Яркий пример - установленный в Севастополе ТК-52, который при наличии характерных для XI серии единых комплексов винт-руль, тем не менее имеет два пулемета ДШК, как на XI-бис и последующих сериях военной постройки. Дюралюминий, при всех его достоинствах, являлся достаточно дефицитным материалом, кроме того он подвержен коррозии в морской воде. Советские конструкторы, по заданиям флота вели большую исследовательскую работу по выбору материала для корпусов ТК. Материал должен был быть одновременно легким, прочным, устойчивым к воздействию морской воды и не слишком дорогим. На базе Г-5 в 1936 г. были построены три катера с деревянными корпусами, которые, несмотря на скорость хода 49 узлов, не получили одобрения флотом из-за дефектов сборки корпуса: на 4-х балльной волне они начали расходиться по швам. Строить торпедные катера из дерева советская промышленность еще не умела.</w:t>
      </w:r>
    </w:p>
    <w:p w14:paraId="01AA9FB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Делались попытки изменить строительную технологию корпуса, но из опасения срыва серийного производства осуществлять их не стали. Больше всего проблем (об этом будет рассказано ниже) доставляло авиационное топливо - пары бензина создавали постоянную опасность пожара. Предлагалось установить авиационные дизели и перейти на дизельное топливо, что разом решало все проблемы, как с пожаро-опасностью так и с дальностью плавания. Работоспособный дизель создали только накануне войны, и на катера он попал только перед самым ее началом (6002).</w:t>
      </w:r>
    </w:p>
    <w:p w14:paraId="09BF0C0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13E01E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w:t>
      </w:r>
      <w:r w:rsidRPr="0044524F">
        <w:rPr>
          <w:rFonts w:ascii="Times New Roman" w:hAnsi="Times New Roman"/>
          <w:color w:val="000000" w:themeColor="text1"/>
          <w:sz w:val="16"/>
          <w:szCs w:val="16"/>
        </w:rPr>
        <w:softHyphen/>
        <w:t>сте 1933 г. для проекта крупного тральщика были установлены стандартное водоизмещение 310 т, скорость 14 уз и дальность плавания 1000 миль. От его по</w:t>
      </w:r>
      <w:r w:rsidRPr="0044524F">
        <w:rPr>
          <w:rFonts w:ascii="Times New Roman" w:hAnsi="Times New Roman"/>
          <w:color w:val="000000" w:themeColor="text1"/>
          <w:sz w:val="16"/>
          <w:szCs w:val="16"/>
        </w:rPr>
        <w:softHyphen/>
        <w:t>стройки вскоре отказались, так как отдали предпочтение пр. 3 (3898).</w:t>
      </w:r>
    </w:p>
    <w:p w14:paraId="42DBC7B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48962A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 (как и в июне 1932) задание на "амурский" бронекатер уточнялось В результате бьши конкретизированы типы башен (от танка Т-28) и моторов (ГАМ-34). Скорость полного хода на стоячей воде по заданию 21,6 уз (38 км/ч), дальность плавания 500 миль (876 км). Катер предназначался для тактической развед</w:t>
      </w:r>
      <w:r w:rsidRPr="0044524F">
        <w:rPr>
          <w:rFonts w:ascii="Times New Roman" w:hAnsi="Times New Roman"/>
          <w:color w:val="000000" w:themeColor="text1"/>
          <w:sz w:val="16"/>
          <w:szCs w:val="16"/>
        </w:rPr>
        <w:softHyphen/>
        <w:t xml:space="preserve">ки </w:t>
      </w:r>
      <w:r w:rsidRPr="0044524F">
        <w:rPr>
          <w:rFonts w:ascii="Times New Roman" w:hAnsi="Times New Roman"/>
          <w:color w:val="000000" w:themeColor="text1"/>
          <w:sz w:val="16"/>
          <w:szCs w:val="16"/>
        </w:rPr>
        <w:lastRenderedPageBreak/>
        <w:t>речнь1х сил противника, действия по тылам и флангам сухопут</w:t>
      </w:r>
      <w:r w:rsidRPr="0044524F">
        <w:rPr>
          <w:rFonts w:ascii="Times New Roman" w:hAnsi="Times New Roman"/>
          <w:color w:val="000000" w:themeColor="text1"/>
          <w:sz w:val="16"/>
          <w:szCs w:val="16"/>
        </w:rPr>
        <w:softHyphen/>
        <w:t>ных войск, для переброски и обеспечения действий разведгрупп и подрывных партий. Проект "амурского" бронекатера, получивший номер 1124, разрабатывался ленинградским Речсудопроектом, которым ру</w:t>
      </w:r>
      <w:r w:rsidRPr="0044524F">
        <w:rPr>
          <w:rFonts w:ascii="Times New Roman" w:hAnsi="Times New Roman"/>
          <w:color w:val="000000" w:themeColor="text1"/>
          <w:sz w:val="16"/>
          <w:szCs w:val="16"/>
        </w:rPr>
        <w:softHyphen/>
        <w:t>ководил инженера-кораблестроителя Ю. Ю. Бенуа в 1933— 1934 гг.</w:t>
      </w:r>
    </w:p>
    <w:p w14:paraId="259B187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уменьшения осадки корпусу бронектера была придана большая полнота образований, обеспеченная прямостенными бор</w:t>
      </w:r>
      <w:r w:rsidRPr="0044524F">
        <w:rPr>
          <w:rFonts w:ascii="Times New Roman" w:hAnsi="Times New Roman"/>
          <w:color w:val="000000" w:themeColor="text1"/>
          <w:sz w:val="16"/>
          <w:szCs w:val="16"/>
        </w:rPr>
        <w:softHyphen/>
        <w:t>тами с небольшими радиусами скруглений у скул и плоским дни</w:t>
      </w:r>
      <w:r w:rsidRPr="0044524F">
        <w:rPr>
          <w:rFonts w:ascii="Times New Roman" w:hAnsi="Times New Roman"/>
          <w:color w:val="000000" w:themeColor="text1"/>
          <w:sz w:val="16"/>
          <w:szCs w:val="16"/>
        </w:rPr>
        <w:softHyphen/>
        <w:t>щем с открытыми тоннелями гребных валов. В отработке обво</w:t>
      </w:r>
      <w:r w:rsidRPr="0044524F">
        <w:rPr>
          <w:rFonts w:ascii="Times New Roman" w:hAnsi="Times New Roman"/>
          <w:color w:val="000000" w:themeColor="text1"/>
          <w:sz w:val="16"/>
          <w:szCs w:val="16"/>
        </w:rPr>
        <w:softHyphen/>
        <w:t>дов пр. 1124 видную роль сыграл сотрудник Опытового бассейна НИВК Н. С. Вольдин, специализировавшийся на модельнь1х испы</w:t>
      </w:r>
      <w:r w:rsidRPr="0044524F">
        <w:rPr>
          <w:rFonts w:ascii="Times New Roman" w:hAnsi="Times New Roman"/>
          <w:color w:val="000000" w:themeColor="text1"/>
          <w:sz w:val="16"/>
          <w:szCs w:val="16"/>
        </w:rPr>
        <w:softHyphen/>
        <w:t>таниях быстроходных катеров.</w:t>
      </w:r>
    </w:p>
    <w:p w14:paraId="4A060E4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Корпус с поперечной системой набора подразделялся водонеп</w:t>
      </w:r>
      <w:r w:rsidRPr="0044524F">
        <w:rPr>
          <w:rFonts w:ascii="Times New Roman" w:hAnsi="Times New Roman"/>
          <w:color w:val="000000" w:themeColor="text1"/>
          <w:sz w:val="16"/>
          <w:szCs w:val="16"/>
        </w:rPr>
        <w:softHyphen/>
        <w:t>роницаемыми переборками на десять отсеков, для внутреннего со</w:t>
      </w:r>
      <w:r w:rsidRPr="0044524F">
        <w:rPr>
          <w:rFonts w:ascii="Times New Roman" w:hAnsi="Times New Roman"/>
          <w:color w:val="000000" w:themeColor="text1"/>
          <w:sz w:val="16"/>
          <w:szCs w:val="16"/>
        </w:rPr>
        <w:softHyphen/>
        <w:t>общения между которыми в переборках предусматривались люки. Конструкция его бьша смешанной: броневая часть выполнялась клепаной, небронированная — сварной</w:t>
      </w:r>
      <w:r w:rsidRPr="0044524F">
        <w:rPr>
          <w:rFonts w:ascii="Times New Roman" w:hAnsi="Times New Roman"/>
          <w:color w:val="000000" w:themeColor="text1"/>
          <w:sz w:val="16"/>
          <w:szCs w:val="16"/>
          <w:vertAlign w:val="superscript"/>
        </w:rPr>
        <w:t>1</w:t>
      </w:r>
      <w:r w:rsidRPr="0044524F">
        <w:rPr>
          <w:rFonts w:ascii="Times New Roman" w:hAnsi="Times New Roman"/>
          <w:color w:val="000000" w:themeColor="text1"/>
          <w:sz w:val="16"/>
          <w:szCs w:val="16"/>
        </w:rPr>
        <w:t>. При этом все детали сварных конструкций соединялись встык. Набор к броне прикле</w:t>
      </w:r>
      <w:r w:rsidRPr="0044524F">
        <w:rPr>
          <w:rFonts w:ascii="Times New Roman" w:hAnsi="Times New Roman"/>
          <w:color w:val="000000" w:themeColor="text1"/>
          <w:sz w:val="16"/>
          <w:szCs w:val="16"/>
        </w:rPr>
        <w:softHyphen/>
        <w:t>пывался, а к обшивке вне цитадели — приваривался. Среднюю часть корпуса занимала бронированная цитадель, в которой разме</w:t>
      </w:r>
      <w:r w:rsidRPr="0044524F">
        <w:rPr>
          <w:rFonts w:ascii="Times New Roman" w:hAnsi="Times New Roman"/>
          <w:color w:val="000000" w:themeColor="text1"/>
          <w:sz w:val="16"/>
          <w:szCs w:val="16"/>
        </w:rPr>
        <w:softHyphen/>
        <w:t>щались подбашенные отсеки, моторное отделение, топливные баки и радиорубка. В районе топливного отсека защита имела двойную толщину — два броневых листа склепывались между собой. Бро</w:t>
      </w:r>
      <w:r w:rsidRPr="0044524F">
        <w:rPr>
          <w:rFonts w:ascii="Times New Roman" w:hAnsi="Times New Roman"/>
          <w:color w:val="000000" w:themeColor="text1"/>
          <w:sz w:val="16"/>
          <w:szCs w:val="16"/>
        </w:rPr>
        <w:softHyphen/>
        <w:t>невые листы служили также палубным настилом и бортовой обшивкой, опускаясь на 200 мм ниже ватерлинии. Таким об</w:t>
      </w:r>
      <w:r w:rsidRPr="0044524F">
        <w:rPr>
          <w:rFonts w:ascii="Times New Roman" w:hAnsi="Times New Roman"/>
          <w:color w:val="000000" w:themeColor="text1"/>
          <w:sz w:val="16"/>
          <w:szCs w:val="16"/>
        </w:rPr>
        <w:softHyphen/>
        <w:t>разом, броня участвовала в обеспечении общей прочности кор</w:t>
      </w:r>
      <w:r w:rsidRPr="0044524F">
        <w:rPr>
          <w:rFonts w:ascii="Times New Roman" w:hAnsi="Times New Roman"/>
          <w:color w:val="000000" w:themeColor="text1"/>
          <w:sz w:val="16"/>
          <w:szCs w:val="16"/>
        </w:rPr>
        <w:softHyphen/>
        <w:t>пуса.</w:t>
      </w:r>
    </w:p>
    <w:p w14:paraId="655EA87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Жилые помещения получили вынужденно уменьшенные габа</w:t>
      </w:r>
      <w:r w:rsidRPr="0044524F">
        <w:rPr>
          <w:rFonts w:ascii="Times New Roman" w:hAnsi="Times New Roman"/>
          <w:color w:val="000000" w:themeColor="text1"/>
          <w:sz w:val="16"/>
          <w:szCs w:val="16"/>
        </w:rPr>
        <w:softHyphen/>
        <w:t>риты — высоту в свету всего 1,55 м и естественную вентиляцию. В то же время проектировщикам удалось оборудовать их водяным отоплением, а также снабдить другими элементарными удобства</w:t>
      </w:r>
      <w:r w:rsidRPr="0044524F">
        <w:rPr>
          <w:rFonts w:ascii="Times New Roman" w:hAnsi="Times New Roman"/>
          <w:color w:val="000000" w:themeColor="text1"/>
          <w:sz w:val="16"/>
          <w:szCs w:val="16"/>
        </w:rPr>
        <w:softHyphen/>
        <w:t>ми, в том числе естественным освещением через иллюминаторы. ГКП размещался в бронированной рубке, оборудованной перего</w:t>
      </w:r>
      <w:r w:rsidRPr="0044524F">
        <w:rPr>
          <w:rFonts w:ascii="Times New Roman" w:hAnsi="Times New Roman"/>
          <w:color w:val="000000" w:themeColor="text1"/>
          <w:sz w:val="16"/>
          <w:szCs w:val="16"/>
        </w:rPr>
        <w:softHyphen/>
        <w:t>ворными трубами и машинным телеграфом.</w:t>
      </w:r>
    </w:p>
    <w:p w14:paraId="7B719B9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Рубка бьша расположена непосредственно над бензоцистерной емкостью 4 т. Для предотвращения взрыва паров бензина приме</w:t>
      </w:r>
      <w:r w:rsidRPr="0044524F">
        <w:rPr>
          <w:rFonts w:ascii="Times New Roman" w:hAnsi="Times New Roman"/>
          <w:color w:val="000000" w:themeColor="text1"/>
          <w:sz w:val="16"/>
          <w:szCs w:val="16"/>
        </w:rPr>
        <w:softHyphen/>
        <w:t>нялась оригинальная система заполнения бензобаков отработав</w:t>
      </w:r>
      <w:r w:rsidRPr="0044524F">
        <w:rPr>
          <w:rFonts w:ascii="Times New Roman" w:hAnsi="Times New Roman"/>
          <w:color w:val="000000" w:themeColor="text1"/>
          <w:sz w:val="16"/>
          <w:szCs w:val="16"/>
        </w:rPr>
        <w:softHyphen/>
        <w:t>шими газами катерных двигателей инженера Шатерникова. Систе</w:t>
      </w:r>
      <w:r w:rsidRPr="0044524F">
        <w:rPr>
          <w:rFonts w:ascii="Times New Roman" w:hAnsi="Times New Roman"/>
          <w:color w:val="000000" w:themeColor="text1"/>
          <w:sz w:val="16"/>
          <w:szCs w:val="16"/>
        </w:rPr>
        <w:softHyphen/>
        <w:t>ма включала конденсатор, из которого газы поступали в разделен</w:t>
      </w:r>
      <w:r w:rsidRPr="0044524F">
        <w:rPr>
          <w:rFonts w:ascii="Times New Roman" w:hAnsi="Times New Roman"/>
          <w:color w:val="000000" w:themeColor="text1"/>
          <w:sz w:val="16"/>
          <w:szCs w:val="16"/>
        </w:rPr>
        <w:softHyphen/>
        <w:t>ный на семь отсеков бензобак и далее в газоотводную трубу с под</w:t>
      </w:r>
      <w:r w:rsidRPr="0044524F">
        <w:rPr>
          <w:rFonts w:ascii="Times New Roman" w:hAnsi="Times New Roman"/>
          <w:color w:val="000000" w:themeColor="text1"/>
          <w:sz w:val="16"/>
          <w:szCs w:val="16"/>
        </w:rPr>
        <w:softHyphen/>
        <w:t>водным выхлопом (для снижения шумности).</w:t>
      </w:r>
    </w:p>
    <w:p w14:paraId="506A0EA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FC1C63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типа ГАМ-34, аналогичные установленным на торпед</w:t>
      </w:r>
      <w:r w:rsidRPr="0044524F">
        <w:rPr>
          <w:rFonts w:ascii="Times New Roman" w:hAnsi="Times New Roman"/>
          <w:color w:val="000000" w:themeColor="text1"/>
          <w:sz w:val="16"/>
          <w:szCs w:val="16"/>
        </w:rPr>
        <w:softHyphen/>
        <w:t>ных катерах типа Г-5, охлаждались по замкнутому циклу: заборт</w:t>
      </w:r>
      <w:r w:rsidRPr="0044524F">
        <w:rPr>
          <w:rFonts w:ascii="Times New Roman" w:hAnsi="Times New Roman"/>
          <w:color w:val="000000" w:themeColor="text1"/>
          <w:sz w:val="16"/>
          <w:szCs w:val="16"/>
        </w:rPr>
        <w:softHyphen/>
        <w:t>ная вода самотеком поступала в специальные водомасляные радиа</w:t>
      </w:r>
      <w:r w:rsidRPr="0044524F">
        <w:rPr>
          <w:rFonts w:ascii="Times New Roman" w:hAnsi="Times New Roman"/>
          <w:color w:val="000000" w:themeColor="text1"/>
          <w:sz w:val="16"/>
          <w:szCs w:val="16"/>
        </w:rPr>
        <w:softHyphen/>
        <w:t>торы охлаждения. Машинное отделение оборудовалось углекислот-ной станцией пожаротушения (3898).</w:t>
      </w:r>
    </w:p>
    <w:p w14:paraId="17DDC46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31C4ABD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"днепровских" (малых) бронекатеров (пр. 1125) велось также ленинградским Речсудопроектом несколько по</w:t>
      </w:r>
      <w:r w:rsidRPr="0044524F">
        <w:rPr>
          <w:rFonts w:ascii="Times New Roman" w:hAnsi="Times New Roman"/>
          <w:color w:val="000000" w:themeColor="text1"/>
          <w:sz w:val="16"/>
          <w:szCs w:val="16"/>
        </w:rPr>
        <w:softHyphen/>
        <w:t>зже, но на тех же принципах и конструктивных решениях и под ру</w:t>
      </w:r>
      <w:r w:rsidRPr="0044524F">
        <w:rPr>
          <w:rFonts w:ascii="Times New Roman" w:hAnsi="Times New Roman"/>
          <w:color w:val="000000" w:themeColor="text1"/>
          <w:sz w:val="16"/>
          <w:szCs w:val="16"/>
        </w:rPr>
        <w:softHyphen/>
        <w:t>ководством того же Ю. Ю. Бенуа. Стремление к унификации отча</w:t>
      </w:r>
      <w:r w:rsidRPr="0044524F">
        <w:rPr>
          <w:rFonts w:ascii="Times New Roman" w:hAnsi="Times New Roman"/>
          <w:color w:val="000000" w:themeColor="text1"/>
          <w:sz w:val="16"/>
          <w:szCs w:val="16"/>
        </w:rPr>
        <w:softHyphen/>
        <w:t>сти отрицательно повлияло на качество проекта и самого катера. Малый бронекатер имел одновальную установку с одним двигате</w:t>
      </w:r>
      <w:r w:rsidRPr="0044524F">
        <w:rPr>
          <w:rFonts w:ascii="Times New Roman" w:hAnsi="Times New Roman"/>
          <w:color w:val="000000" w:themeColor="text1"/>
          <w:sz w:val="16"/>
          <w:szCs w:val="16"/>
        </w:rPr>
        <w:softHyphen/>
        <w:t>лем ГАМ-34, а следовательно и худшие маневренность и живучесть по сравнению с пр. 1124. В некоторой степени этот недостаток ис</w:t>
      </w:r>
      <w:r w:rsidRPr="0044524F">
        <w:rPr>
          <w:rFonts w:ascii="Times New Roman" w:hAnsi="Times New Roman"/>
          <w:color w:val="000000" w:themeColor="text1"/>
          <w:sz w:val="16"/>
          <w:szCs w:val="16"/>
        </w:rPr>
        <w:softHyphen/>
        <w:t>купался меньшей осадкой катера (3898).</w:t>
      </w:r>
    </w:p>
    <w:p w14:paraId="61020E3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6E7E7B0" w14:textId="77777777" w:rsidR="00FD662C"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29B01C03"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EA8931E"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1933 г. известный японский военный специалист Хирота даже предложил план нанесения упреждающего удара по аэродромам Приморья силами палубной авиации, не считаясь ни с поте</w:t>
      </w:r>
      <w:r w:rsidRPr="00142305">
        <w:rPr>
          <w:rFonts w:ascii="Times New Roman" w:hAnsi="Times New Roman"/>
          <w:color w:val="0070C0"/>
          <w:sz w:val="16"/>
          <w:szCs w:val="16"/>
        </w:rPr>
        <w:softHyphen/>
        <w:t>рями самолетов, ни с возможной гибелью авианосцев.</w:t>
      </w:r>
    </w:p>
    <w:p w14:paraId="44209973"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действительно, в штабах авиабригад ВВС ОКДВА лежали запечатанные пакеты с указанием целей в Японии, Манчжурии и Корее. Экипажи ТБ-3 учились летать ночью и в облаках, ориентироваться над тайгой и над морем. В частности, штурма</w:t>
      </w:r>
      <w:r w:rsidRPr="00142305">
        <w:rPr>
          <w:rFonts w:ascii="Times New Roman" w:hAnsi="Times New Roman"/>
          <w:color w:val="0070C0"/>
          <w:sz w:val="16"/>
          <w:szCs w:val="16"/>
        </w:rPr>
        <w:softHyphen/>
        <w:t>нам пришлось осваивать морские карты, строившиеся в другой проекции - Мерка</w:t>
      </w:r>
      <w:r w:rsidRPr="00142305">
        <w:rPr>
          <w:rFonts w:ascii="Times New Roman" w:hAnsi="Times New Roman"/>
          <w:color w:val="0070C0"/>
          <w:sz w:val="16"/>
          <w:szCs w:val="16"/>
        </w:rPr>
        <w:softHyphen/>
        <w:t>тора. В марте 1934 г. 16 ТБ-3 совершили тренировочный полет Воздвиженка - мыс Поворотный - Совгавань - Хабаровск - Воздвиженка Другая группа бомбардиров</w:t>
      </w:r>
      <w:r w:rsidRPr="00142305">
        <w:rPr>
          <w:rFonts w:ascii="Times New Roman" w:hAnsi="Times New Roman"/>
          <w:color w:val="0070C0"/>
          <w:sz w:val="16"/>
          <w:szCs w:val="16"/>
        </w:rPr>
        <w:softHyphen/>
        <w:t>щиков прошла по маршруту Нерчинск - Душкачан - Баргузин - Нерчинск протя</w:t>
      </w:r>
      <w:r w:rsidRPr="00142305">
        <w:rPr>
          <w:rFonts w:ascii="Times New Roman" w:hAnsi="Times New Roman"/>
          <w:color w:val="0070C0"/>
          <w:sz w:val="16"/>
          <w:szCs w:val="16"/>
        </w:rPr>
        <w:softHyphen/>
        <w:t>женностью 1300 км, из них 300 км она летела в облаках. За довольно короткий срок ТБ-3 на Дальнем Востоке налетали 50 000 км</w:t>
      </w:r>
    </w:p>
    <w:p w14:paraId="31ABA96B"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за 1933 г. смогли сформировать 17 тяжелобомбардировочных эскадрилий. При этом доля бомбардировочной авиации в ВВС поднялась с 26% до 35%. Хотели же получить гораздо больше - из-за недовы</w:t>
      </w:r>
      <w:r w:rsidRPr="00142305">
        <w:rPr>
          <w:rFonts w:ascii="Times New Roman" w:hAnsi="Times New Roman"/>
          <w:color w:val="0070C0"/>
          <w:sz w:val="16"/>
          <w:szCs w:val="16"/>
        </w:rPr>
        <w:softHyphen/>
        <w:t>полнения планов отказались от создания шести тяжелобомбардировочных бригад. По первоначальным наметкам уже к кон</w:t>
      </w:r>
      <w:r w:rsidRPr="00142305">
        <w:rPr>
          <w:rFonts w:ascii="Times New Roman" w:hAnsi="Times New Roman"/>
          <w:color w:val="0070C0"/>
          <w:sz w:val="16"/>
          <w:szCs w:val="16"/>
        </w:rPr>
        <w:softHyphen/>
        <w:t>цу того года хотели иметь 864 тяжелых бомбардировщика в сухопутной авиации и 576 в морской. Правда, это относилось к тяжелым бомбардировщикам в целом, но ТБ-1 в этом раскладе уже не учитыва</w:t>
      </w:r>
      <w:r w:rsidRPr="00142305">
        <w:rPr>
          <w:rFonts w:ascii="Times New Roman" w:hAnsi="Times New Roman"/>
          <w:color w:val="0070C0"/>
          <w:sz w:val="16"/>
          <w:szCs w:val="16"/>
        </w:rPr>
        <w:softHyphen/>
        <w:t>лись. Предполагалось, что «линкоры 2-го класса» ТБ-3 в 1934 - 1935 гг. дополнят еще большие «линкоры 1-го класса» ТБ-4 и ТБ-6 (соответственно шестимоторные и двенадцатимоторные). Четырехмоторные машины будут при этом составлять по</w:t>
      </w:r>
      <w:r w:rsidRPr="00142305">
        <w:rPr>
          <w:rFonts w:ascii="Times New Roman" w:hAnsi="Times New Roman"/>
          <w:color w:val="0070C0"/>
          <w:sz w:val="16"/>
          <w:szCs w:val="16"/>
        </w:rPr>
        <w:softHyphen/>
        <w:t>ловину парка тяжелобомбардировочной авиации, ТБ-4 - 40%, а ТБ-6 - оставшиеся 10%. Но шестимоторный гигант остался только опытным образцом, а ТБ-6 так и не построили.</w:t>
      </w:r>
    </w:p>
    <w:p w14:paraId="218F4324"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ТБ-3 надолго остался «становым хреб</w:t>
      </w:r>
      <w:r w:rsidRPr="00142305">
        <w:rPr>
          <w:rFonts w:ascii="Times New Roman" w:hAnsi="Times New Roman"/>
          <w:color w:val="0070C0"/>
          <w:sz w:val="16"/>
          <w:szCs w:val="16"/>
        </w:rPr>
        <w:softHyphen/>
        <w:t>том» отечественной тяжелобомбардиро</w:t>
      </w:r>
      <w:r w:rsidRPr="00142305">
        <w:rPr>
          <w:rFonts w:ascii="Times New Roman" w:hAnsi="Times New Roman"/>
          <w:color w:val="0070C0"/>
          <w:sz w:val="16"/>
          <w:szCs w:val="16"/>
        </w:rPr>
        <w:softHyphen/>
        <w:t>вочной авиации (24938).</w:t>
      </w:r>
    </w:p>
    <w:p w14:paraId="100F8AAE" w14:textId="77777777" w:rsidR="00C16627" w:rsidRPr="00142305" w:rsidRDefault="00C16627" w:rsidP="00C16627">
      <w:pPr>
        <w:spacing w:after="0" w:line="240" w:lineRule="auto"/>
        <w:jc w:val="both"/>
        <w:rPr>
          <w:rFonts w:ascii="Times New Roman" w:hAnsi="Times New Roman"/>
          <w:color w:val="0070C0"/>
          <w:sz w:val="16"/>
          <w:szCs w:val="16"/>
        </w:rPr>
      </w:pPr>
    </w:p>
    <w:p w14:paraId="642F671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в ВВС была проведена перепись летно-технического состава (505,106).</w:t>
      </w:r>
    </w:p>
    <w:p w14:paraId="0992F2E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2500B6E"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1933 года была утверждена разработанная Управлением ВВС «Система подготовки летно-технических кадров», которая устанавливала единые учебные планы и программы, единые сроки приема и выпуска курсантов. В 1934 году был создан первый единый для ВВС свод законов летного обучения - Курс учебно-летной подготовки (КУЛП-34) (25029).</w:t>
      </w:r>
    </w:p>
    <w:p w14:paraId="03D3601E" w14:textId="77777777" w:rsidR="00C16627" w:rsidRPr="00142305" w:rsidRDefault="00C16627" w:rsidP="00C16627">
      <w:pPr>
        <w:spacing w:after="0" w:line="240" w:lineRule="auto"/>
        <w:jc w:val="both"/>
        <w:rPr>
          <w:rFonts w:ascii="Times New Roman" w:hAnsi="Times New Roman"/>
          <w:color w:val="0070C0"/>
          <w:sz w:val="16"/>
          <w:szCs w:val="16"/>
        </w:rPr>
      </w:pPr>
    </w:p>
    <w:p w14:paraId="657DC3C3" w14:textId="77777777" w:rsidR="005F1848" w:rsidRPr="0044524F" w:rsidRDefault="005F1848"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4CBF7FE" w14:textId="77777777" w:rsidR="005F1848" w:rsidRPr="0044524F" w:rsidRDefault="005F184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FF5912F" w14:textId="77777777" w:rsidR="005F1848" w:rsidRPr="0044524F" w:rsidRDefault="005F184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Август 1933. Первые телефоны общественного пользования установлены в коридорах коммунальных квартир и в парадных домов. Каждому абоненту вручили ключ от ящика, в котором помещался телефон. Замок ящика сконструирован так, что ключ вынимается только после запора замка (18722).</w:t>
      </w:r>
    </w:p>
    <w:p w14:paraId="4ACF7D9B" w14:textId="77777777" w:rsidR="005F1848" w:rsidRPr="0044524F" w:rsidRDefault="005F1848" w:rsidP="009654CF">
      <w:pPr>
        <w:spacing w:after="0" w:line="240" w:lineRule="auto"/>
        <w:jc w:val="both"/>
        <w:rPr>
          <w:rFonts w:ascii="Times New Roman" w:hAnsi="Times New Roman"/>
          <w:color w:val="000000" w:themeColor="text1"/>
          <w:sz w:val="16"/>
          <w:szCs w:val="16"/>
        </w:rPr>
      </w:pPr>
    </w:p>
    <w:p w14:paraId="151292BB"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0493C73C"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44EFE3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 СССР снял часть войск со своей западной границы с Польшей и направил их на Дальний Восток, предоставил Польше крупные заказы на поставку железа (РГВА, ф. 33987, оп. 3, д. 504, л. 153.). Тем временем обе стороны шаг за шагом, постепенно, поэтапно повели дело к сворачиванию своих связей. После отказа Москвы от совместного производства химических опытов («Томка») и дальнейшей деятельности танковой школы в Казани (30 мая и 13 июня) германский военный атташе Хартман 22 июля 1933 г. передал советской стороне меморандум, в котором излагалось решение главнокомандующего райхсвером о прекращении обучения летчиков-истребителей в Липецке в связи с «необходимостью железной экономии» и невозможностью для райхсвера производить новые крупные капитальные затраты для обновления материальной части авиационной школы (РГВА, ф. 33987, оп. 3, д. 504, л. 153.). Таким образом, все три школы райхсвера на территории СССР должны были прекратить свое существование. Однако, дабы сохранить для внешнего мира видимость продолжения сотрудничества между РККА и райхсвером, от имени германского главкома предлагалось осуществлять в дальнейшем обмен офицерами и специалистами, обмен сообщениями и опытом. Все постройки и сооружения в Липецке было обещано передать в распоряжение советской стороны. Меморандум Хартмана Ворошилов направил Сталину (РГВА, ф. 33987, оп. 3, д. 504, л. 153.). Однако Москва пошла дальше. Наряду с ликвидацией школ райхсвера, которая пошла полным ходом по утвержденному Ворошиловым в конце июля 1933г. графику, она отказалась направить командиров РККА на осмотр частей райхсвера. В ответ военный атташе Германии Хартман 8 августа 1933г. направил письмо заместителю начальника внешних сношений Штаба РККА Смагину с извещением о невозможности направить германских офицеров на учения частей РККА в конце летнего периода «по уже раньше обозначенным причинам» (нехватка денежных средств). На документе стоит изумительная по краткости и емкости резолюция Ворошилова: «Очень хорошо! В. 15. 8. 1933 г. » (РГВА, ф. 33987, оп. 3, д. 504, л. 153.), из которой видно, что данный ответный шаг немецкой стороны полностью вписывался в намеченную Москвой кампанию по ускоренному сворачиванию сотрудничества между РККА и райхсвером. Кстати сказать, немцев очень сильно задел и отказ советской стороны направить краскомов на курсы германской военной академии, поскольку «отказ от дальнейшего обмена офицерами и военными сведениями не предполагался» (РГВА, ф. 33987, оп. 3, д. 504, л. 153.). В соответствии с упоминавшимся графиком ликвидации предприятий «друзей» к 15 августа должна была быть закончена ликвидация «Томки», к 1 октября — «Липецка», к 1 — 15 октября — «Казани»{53}. Менее чем за месяц (26 июля — 15 августа) была ликвидирована «Томка». Кое-что (6 вагонов), по мнению начальника ВОХИМУ Фишмана, не имеющее большого значения, было вывезено немцами в Германию, основное же оборудование перешло в ведение ВОХИМУ и пошло на развитие полигона в «Томке» и Института химической обороны. «Принимал дела» начальник ЦВХП Губанов. Общая стоимость оставленного в «Томке» оборудования выражалась суммой в 40 — 50 тыс. золотых руб. (РГВА, ф. 33987, оп. 3, д. 504, л. 153.).</w:t>
      </w:r>
    </w:p>
    <w:p w14:paraId="557B97B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1790EF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года в одном из парижских домов случился пожар. Среди пострадавших был некто Л. Дюккенной. Осматривая место происшествия, полиция обнаружила более десяти брошюр военного министерства с грифом «секретно» и подробным описанием новых самолетов, 37-мм пушки, тяжелой артиллерии, танков и другой техники (Даллин Д. Шпионаж по-советски. — М., 2001, с. 58—59.) (11765).</w:t>
      </w:r>
    </w:p>
    <w:p w14:paraId="1C40FE3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4664D7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японский специалист Хирота предложил план нанесения упреждающего удара по аэродромам Приморья (там стояли ТБ-3) силами палубной авиации, не считаясь с возможными потерями (1854).</w:t>
      </w:r>
    </w:p>
    <w:p w14:paraId="63B5C0E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EB54B3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 известный японский военный специалист Хирота предложил план нанесения упреждающего удара по аэродромам Приморья силами палубной авиации, не считаясь ни с потерями самолетов, ни с возможной гибелью авианосцев. В штабах советских авиабригад ВВС ОКДВА лежали запечатанные пакеты с указанием целей в Японии, Маньчжурии и Корее. Экипажи ТБ-3 учились летать ночью и в облаках, ориентироваться над тайгой и над морем. В частности, штурманам пришлось осваивать морские карты, строившиеся в другой проекции - Меркатора (7668).</w:t>
      </w:r>
    </w:p>
    <w:p w14:paraId="1C148768" w14:textId="5BB0E806"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CC20EC4" w14:textId="7982591E" w:rsidR="001836B7" w:rsidRPr="0044524F" w:rsidRDefault="001836B7"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1394C3F6" w14:textId="77777777" w:rsidR="001836B7" w:rsidRPr="0044524F" w:rsidRDefault="001836B7"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0C507F1F" w14:textId="77777777" w:rsidR="001836B7" w:rsidRPr="0044524F" w:rsidRDefault="001836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авиация Французской армии, Aéronautique Militaire, становится независимой службой в ВВС Франции ( Armée де l'Air ) (20802).</w:t>
      </w:r>
    </w:p>
    <w:p w14:paraId="07296FC1" w14:textId="77777777" w:rsidR="001836B7" w:rsidRPr="0044524F" w:rsidRDefault="001836B7" w:rsidP="009654CF">
      <w:pPr>
        <w:spacing w:after="0" w:line="240" w:lineRule="auto"/>
        <w:jc w:val="both"/>
        <w:rPr>
          <w:rFonts w:ascii="Times New Roman" w:hAnsi="Times New Roman"/>
          <w:color w:val="000000" w:themeColor="text1"/>
          <w:sz w:val="16"/>
          <w:szCs w:val="16"/>
        </w:rPr>
      </w:pPr>
    </w:p>
    <w:p w14:paraId="5A9B5A40"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4E22F4E"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43D85F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августе-сентябре 1933 г. из-за нехватки отечественных колес пришлось выпустить партию самолетов Р-5 с импортными колесами "Палмер", правда, при этом завод письменно обязался заменить их при первой возможности.</w:t>
      </w:r>
    </w:p>
    <w:p w14:paraId="0748811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Надо сказать, что в воинских частях к первым сериям самолетов с тормозными колесами отнеслись неодобрительно. Тормоза работали ненадежно. Вскоре начали ломаться оси. Оказалось, что на заводе их делают второпях, оставляют заусенцы, забывают снимать фаски. Смазки вообше не оказалось. Присланные самолеты перед эксплуатацией приходилось разбирать и проверять.</w:t>
      </w:r>
    </w:p>
    <w:p w14:paraId="038DF41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тормозов увеличила нагрузку на амортизаторы, с мая 1934 г. из строевых частей посыпались жалобы на быстрый износ внутренней трубы, скользившей в наружной. Ее стали шлифовать, затем установили для уменьшения трения бронзовые кольца и смонтировали добавочную масленку. Такое шасси имели все Р-5, начиная с 8-й машины 42-й серии (№ 9052), выпушенной в октябре 1934 г. (12034).</w:t>
      </w:r>
    </w:p>
    <w:p w14:paraId="77DA569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839C414"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w:t>
      </w:r>
      <w:r w:rsidRPr="00142305">
        <w:rPr>
          <w:rFonts w:ascii="Times New Roman" w:hAnsi="Times New Roman"/>
          <w:color w:val="0070C0"/>
          <w:sz w:val="16"/>
          <w:szCs w:val="16"/>
        </w:rPr>
        <w:softHyphen/>
        <w:t>те-сентябре 1933 г. из-за нехватки отечественных колес для Р-5 пришлось выпустить партию самоле</w:t>
      </w:r>
      <w:r w:rsidRPr="00142305">
        <w:rPr>
          <w:rFonts w:ascii="Times New Roman" w:hAnsi="Times New Roman"/>
          <w:color w:val="0070C0"/>
          <w:sz w:val="16"/>
          <w:szCs w:val="16"/>
        </w:rPr>
        <w:softHyphen/>
        <w:t>тов с импортными колесами «Палмер», правда, при этом завод письменно обязался заменить их при первой воз</w:t>
      </w:r>
      <w:r w:rsidRPr="00142305">
        <w:rPr>
          <w:rFonts w:ascii="Times New Roman" w:hAnsi="Times New Roman"/>
          <w:color w:val="0070C0"/>
          <w:sz w:val="16"/>
          <w:szCs w:val="16"/>
        </w:rPr>
        <w:softHyphen/>
        <w:t>можности (24990).</w:t>
      </w:r>
    </w:p>
    <w:p w14:paraId="7B23F400" w14:textId="77777777" w:rsidR="00C16627" w:rsidRPr="00142305" w:rsidRDefault="00C16627" w:rsidP="00C16627">
      <w:pPr>
        <w:spacing w:after="0" w:line="240" w:lineRule="auto"/>
        <w:jc w:val="both"/>
        <w:rPr>
          <w:rFonts w:ascii="Times New Roman" w:hAnsi="Times New Roman"/>
          <w:color w:val="0070C0"/>
          <w:sz w:val="16"/>
          <w:szCs w:val="16"/>
        </w:rPr>
      </w:pPr>
    </w:p>
    <w:p w14:paraId="0E39EF0D"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F947EBE"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ECF21A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г.—марте 1934 г. инженеры фирмы "Дешимаг" разработали эскизный про</w:t>
      </w:r>
      <w:r w:rsidRPr="0044524F">
        <w:rPr>
          <w:rFonts w:ascii="Times New Roman" w:hAnsi="Times New Roman"/>
          <w:color w:val="000000" w:themeColor="text1"/>
          <w:sz w:val="16"/>
          <w:szCs w:val="16"/>
        </w:rPr>
        <w:softHyphen/>
        <w:t>ект, подкрепленный расчетами, и руководили разработкой общего проекта. Воплощали общий проект в рабочие чертежи примени</w:t>
      </w:r>
      <w:r w:rsidRPr="0044524F">
        <w:rPr>
          <w:rFonts w:ascii="Times New Roman" w:hAnsi="Times New Roman"/>
          <w:color w:val="000000" w:themeColor="text1"/>
          <w:sz w:val="16"/>
          <w:szCs w:val="16"/>
        </w:rPr>
        <w:softHyphen/>
        <w:t>тельно к отечественной промышленности инженеры специального КБ, временно выделенного из ЦКБС-2 под руководством назначен</w:t>
      </w:r>
      <w:r w:rsidRPr="0044524F">
        <w:rPr>
          <w:rFonts w:ascii="Times New Roman" w:hAnsi="Times New Roman"/>
          <w:color w:val="000000" w:themeColor="text1"/>
          <w:sz w:val="16"/>
          <w:szCs w:val="16"/>
        </w:rPr>
        <w:softHyphen/>
        <w:t>ного 4 апреля 1934 г. приказом по Главморпрому С. Г. Туркова. Помощниками Туркова по караблестроительной, механической и электротехнической частям были инженеры В. Н. Перегудов, В. Ф. Критский и Д. В. Судравский соответственно. Общая органи</w:t>
      </w:r>
      <w:r w:rsidRPr="0044524F">
        <w:rPr>
          <w:rFonts w:ascii="Times New Roman" w:hAnsi="Times New Roman"/>
          <w:color w:val="000000" w:themeColor="text1"/>
          <w:sz w:val="16"/>
          <w:szCs w:val="16"/>
        </w:rPr>
        <w:softHyphen/>
        <w:t>зация взаимодействия КБ и заводов в ходе проектирования и по</w:t>
      </w:r>
      <w:r w:rsidRPr="0044524F">
        <w:rPr>
          <w:rFonts w:ascii="Times New Roman" w:hAnsi="Times New Roman"/>
          <w:color w:val="000000" w:themeColor="text1"/>
          <w:sz w:val="16"/>
          <w:szCs w:val="16"/>
        </w:rPr>
        <w:softHyphen/>
        <w:t>стройки первых трех лодок (закладка — ноябрь 1934 г., испытания головной — в конце 1935 г.) возлагалась на главного инженера Главморпрома П. Г. Гойнкиса, организация проектирования — на главного инженера ЦКБС-2 Б. М. Малинина, постройка — на ди</w:t>
      </w:r>
      <w:r w:rsidRPr="0044524F">
        <w:rPr>
          <w:rFonts w:ascii="Times New Roman" w:hAnsi="Times New Roman"/>
          <w:color w:val="000000" w:themeColor="text1"/>
          <w:sz w:val="16"/>
          <w:szCs w:val="16"/>
        </w:rPr>
        <w:softHyphen/>
        <w:t>ректора Балтийского завода Б. Я. Стрельцова (3898).</w:t>
      </w:r>
    </w:p>
    <w:p w14:paraId="4B49F8D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6D7F5FC" w14:textId="26662A47" w:rsidR="00C16627" w:rsidRPr="0044524F" w:rsidRDefault="00C16627" w:rsidP="00C16627">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44524F">
        <w:rPr>
          <w:rFonts w:ascii="Times New Roman" w:hAnsi="Times New Roman"/>
          <w:i/>
          <w:iCs/>
          <w:color w:val="000000" w:themeColor="text1"/>
          <w:sz w:val="16"/>
          <w:szCs w:val="16"/>
        </w:rPr>
        <w:t>:</w:t>
      </w:r>
    </w:p>
    <w:p w14:paraId="46049B9D" w14:textId="77777777" w:rsidR="00C16627" w:rsidRPr="0044524F" w:rsidRDefault="00C16627" w:rsidP="00C16627">
      <w:pPr>
        <w:autoSpaceDE w:val="0"/>
        <w:autoSpaceDN w:val="0"/>
        <w:adjustRightInd w:val="0"/>
        <w:spacing w:after="0" w:line="240" w:lineRule="auto"/>
        <w:jc w:val="both"/>
        <w:rPr>
          <w:rFonts w:ascii="Times New Roman" w:hAnsi="Times New Roman"/>
          <w:iCs/>
          <w:color w:val="000000" w:themeColor="text1"/>
          <w:sz w:val="16"/>
          <w:szCs w:val="16"/>
        </w:rPr>
      </w:pPr>
    </w:p>
    <w:p w14:paraId="6258F28E"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августе- сентябре 1933 года немецкий персонал покинул школу «Кама», были вывезены вся боевая техника и вооружение. «Трактора» при</w:t>
      </w:r>
      <w:r w:rsidRPr="00142305">
        <w:rPr>
          <w:rFonts w:ascii="Times New Roman" w:hAnsi="Times New Roman"/>
          <w:color w:val="0070C0"/>
          <w:sz w:val="16"/>
          <w:szCs w:val="16"/>
        </w:rPr>
        <w:softHyphen/>
        <w:t>были на завод фирмы «Даймлер-Бенц» в пригороде Берлина. Дальнейшая их судьба сложилась по-разному. Один «Даймлер-Бенц» доставили в 1-й тан</w:t>
      </w:r>
      <w:r w:rsidRPr="00142305">
        <w:rPr>
          <w:rFonts w:ascii="Times New Roman" w:hAnsi="Times New Roman"/>
          <w:color w:val="0070C0"/>
          <w:sz w:val="16"/>
          <w:szCs w:val="16"/>
        </w:rPr>
        <w:softHyphen/>
        <w:t>ковый полк и установили на импрови</w:t>
      </w:r>
      <w:r w:rsidRPr="00142305">
        <w:rPr>
          <w:rFonts w:ascii="Times New Roman" w:hAnsi="Times New Roman"/>
          <w:color w:val="0070C0"/>
          <w:sz w:val="16"/>
          <w:szCs w:val="16"/>
        </w:rPr>
        <w:softHyphen/>
        <w:t>зированный постамент у штаба полка в Эрфурте. Второй отправили с той же целью в 5-й танковый полк в Бюнсдорфе. «Тракторы» «Крупп» и «Рейнметалл» еще около года продолжали эксплуатировать в качестве учебных, а в августе 1935 года их задействовали в широкомасштабных маневрах немецкой армии в составе 1-ой танковой дивизии, где также использова</w:t>
      </w:r>
      <w:r w:rsidRPr="00142305">
        <w:rPr>
          <w:rFonts w:ascii="Times New Roman" w:hAnsi="Times New Roman"/>
          <w:color w:val="0070C0"/>
          <w:sz w:val="16"/>
          <w:szCs w:val="16"/>
        </w:rPr>
        <w:softHyphen/>
        <w:t>лись первые легкие танки Pz.l Ausf.A. Спу</w:t>
      </w:r>
      <w:r w:rsidRPr="00142305">
        <w:rPr>
          <w:rFonts w:ascii="Times New Roman" w:hAnsi="Times New Roman"/>
          <w:color w:val="0070C0"/>
          <w:sz w:val="16"/>
          <w:szCs w:val="16"/>
        </w:rPr>
        <w:softHyphen/>
        <w:t>стя несколько месяцев «гростракторы» пе</w:t>
      </w:r>
      <w:r w:rsidRPr="00142305">
        <w:rPr>
          <w:rFonts w:ascii="Times New Roman" w:hAnsi="Times New Roman"/>
          <w:color w:val="0070C0"/>
          <w:sz w:val="16"/>
          <w:szCs w:val="16"/>
        </w:rPr>
        <w:softHyphen/>
        <w:t>редали в танковую школу в Путлосе, но уже в 1937 году по одному танку обеих фирм также установили как памятники у казарм 5-го танкового полка. Остальные две ма</w:t>
      </w:r>
      <w:r w:rsidRPr="00142305">
        <w:rPr>
          <w:rFonts w:ascii="Times New Roman" w:hAnsi="Times New Roman"/>
          <w:color w:val="0070C0"/>
          <w:sz w:val="16"/>
          <w:szCs w:val="16"/>
        </w:rPr>
        <w:softHyphen/>
        <w:t>шины закончили свою карьеру в качестве наглядных пособий и во время войны были разобраны на металл (25048).</w:t>
      </w:r>
    </w:p>
    <w:p w14:paraId="095E208F" w14:textId="77777777" w:rsidR="00C16627" w:rsidRPr="00142305" w:rsidRDefault="00C16627" w:rsidP="00C16627">
      <w:pPr>
        <w:spacing w:after="0" w:line="240" w:lineRule="auto"/>
        <w:jc w:val="both"/>
        <w:rPr>
          <w:rFonts w:ascii="Times New Roman" w:hAnsi="Times New Roman"/>
          <w:color w:val="0070C0"/>
          <w:sz w:val="16"/>
          <w:szCs w:val="16"/>
        </w:rPr>
      </w:pPr>
    </w:p>
    <w:p w14:paraId="6FDBA099"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7AD07A4"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40AF46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августа 1933 по февраль 1934 года в три этапа проводилась “паспортизация на железнодорожном транспорте”. Первоначально паспортизация проводилась на Октябрьской, Мурманской, Западной, Юго-Западной, Екатерининской, Южных, Уссурийской и Забайкальской железных дорогах. Затем на Закавказской, Северо-Кавказской, Юго-Восточной, Пермской, Самаро-Златоустовской и Рязано-Уральской, в последнюю очередь — на Средне-Азиатской, Туркестано-Сибирской, Томской, Омской, Московско-Казанской, Северной и Московско-Курской дорогах. Серия секретных приказов ОГПУ ставила основной задачей при выдаче паспортов рабочим и служащим железнодорожного транспорта “тщательное выявление и точное установление их социального положения” </w:t>
      </w:r>
      <w:r w:rsidRPr="0044524F">
        <w:rPr>
          <w:rFonts w:ascii="Times New Roman" w:hAnsi="Times New Roman"/>
          <w:color w:val="000000" w:themeColor="text1"/>
          <w:sz w:val="16"/>
          <w:szCs w:val="16"/>
          <w:vertAlign w:val="superscript"/>
        </w:rPr>
        <w:t>6</w:t>
      </w:r>
      <w:r w:rsidRPr="0044524F">
        <w:rPr>
          <w:rFonts w:ascii="Times New Roman" w:hAnsi="Times New Roman"/>
          <w:color w:val="000000" w:themeColor="text1"/>
          <w:sz w:val="16"/>
          <w:szCs w:val="16"/>
        </w:rPr>
        <w:t>. Для этого предлагалось использовать не только материалы оперативного учета, которые велись на всех явных и тайных “врагов советской власти” в ОГПУ и милиции, но и данные, поступившие от добровольных помощников — политотделов, профсоюзных, партийных организаций и “отдельных лиц”, то есть секретных осведомителей (в просторечии — стукачей). В результате принятых мер транспортные органы ОГПУ выявили и “отсеяли” (термин, используемый милицией) тех, чье положение определялось советской властью как социально чуждое и враждебное. Эта акция закрепляла разделение территории страны на “зоны”. Следующий этап паспортизации превращал территорию “вблизи железных дорог” в режимную (9985).</w:t>
      </w:r>
    </w:p>
    <w:p w14:paraId="534DB98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67D341CA"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E8FC2BE"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C2EBD2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августе-сентябре 1933 все немецкие военные объекты в России были ликвидированы (1131,32).</w:t>
      </w:r>
    </w:p>
    <w:p w14:paraId="081A671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77F2B25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августе-сентябре 1933 г. СССР посетил видный французский государственный деятель Э. Эррио. Ему был показан ряд военных, в т. ч. авиационных, объектов. 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34B1195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925CECA" w14:textId="77777777" w:rsidR="005F1848" w:rsidRPr="0044524F" w:rsidRDefault="005F1848"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A7AC6FF" w14:textId="77777777" w:rsidR="005F1848" w:rsidRPr="0044524F" w:rsidRDefault="005F184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330CD2D" w14:textId="77777777" w:rsidR="005F1848" w:rsidRPr="0044524F" w:rsidRDefault="005F184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конце лета 1933 г. планер СК-6 был построен и испы тан. Планер выполнялся по схеме двухместного двухбалочного среднеплана смешанной конструкции с деревянным кры ло и с короткой и широкой центральной гондолой (кабиной летчика и пассажира), выполненной из магниевого сплава «электрон». Фюзеляжные балки на планере заканчивались вер тикальными килями, поверх которых устанавливался стаби лизатор. Размеры гондолы обеспечивали размещение в ней двигательной установки с ЖРД (19586).</w:t>
      </w:r>
    </w:p>
    <w:p w14:paraId="223BF517" w14:textId="77777777" w:rsidR="005F1848" w:rsidRPr="0044524F" w:rsidRDefault="005F184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147335A2"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лета 1933 г. планер СК-6 был построен и испы</w:t>
      </w:r>
      <w:r w:rsidRPr="00142305">
        <w:rPr>
          <w:rFonts w:ascii="Times New Roman" w:hAnsi="Times New Roman"/>
          <w:color w:val="0070C0"/>
          <w:sz w:val="16"/>
          <w:szCs w:val="16"/>
        </w:rPr>
        <w:softHyphen/>
        <w:t>тан. Планер выполнялся по схеме двухместного двухбалочного среднеплана смешанной конструкции с деревянным кры</w:t>
      </w:r>
      <w:r w:rsidRPr="00142305">
        <w:rPr>
          <w:rFonts w:ascii="Times New Roman" w:hAnsi="Times New Roman"/>
          <w:color w:val="0070C0"/>
          <w:sz w:val="16"/>
          <w:szCs w:val="16"/>
        </w:rPr>
        <w:softHyphen/>
        <w:t>лом и с короткой и широкой центральной гондолой (кабиной летчика и пассажира), выполненной из магниевого сплава «электрон». Фюзеляжные балки на планере заканчивались вер</w:t>
      </w:r>
      <w:r w:rsidRPr="00142305">
        <w:rPr>
          <w:rFonts w:ascii="Times New Roman" w:hAnsi="Times New Roman"/>
          <w:color w:val="0070C0"/>
          <w:sz w:val="16"/>
          <w:szCs w:val="16"/>
        </w:rPr>
        <w:softHyphen/>
        <w:t>тикальными килями, поверх которых устанавливался стаби</w:t>
      </w:r>
      <w:r w:rsidRPr="00142305">
        <w:rPr>
          <w:rFonts w:ascii="Times New Roman" w:hAnsi="Times New Roman"/>
          <w:color w:val="0070C0"/>
          <w:sz w:val="16"/>
          <w:szCs w:val="16"/>
        </w:rPr>
        <w:softHyphen/>
        <w:t>лизатор. Размеры гондолы обеспечивали размещение в ней двигательной установки с ЖРД [9. С. 395—397] (24920).</w:t>
      </w:r>
    </w:p>
    <w:p w14:paraId="22DD3496" w14:textId="77777777" w:rsidR="00C16627" w:rsidRPr="00142305" w:rsidRDefault="00C16627" w:rsidP="00C16627">
      <w:pPr>
        <w:spacing w:after="0" w:line="240" w:lineRule="auto"/>
        <w:jc w:val="both"/>
        <w:rPr>
          <w:rFonts w:ascii="Times New Roman" w:hAnsi="Times New Roman"/>
          <w:color w:val="0070C0"/>
          <w:sz w:val="16"/>
          <w:szCs w:val="16"/>
        </w:rPr>
      </w:pPr>
    </w:p>
    <w:p w14:paraId="7136409B"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9595E90"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48D95A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осени 1933 закончилось изготовление первого ЦКБ-3 (6593).</w:t>
      </w:r>
    </w:p>
    <w:p w14:paraId="46B2EB4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58F7F04F" w14:textId="77777777" w:rsidR="005F1848" w:rsidRPr="0044524F" w:rsidRDefault="005F1848"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К осени 1933 первый ЦКБ-3 построили. Рулежки, первые подлеты и, естественно, доделки начались в октябре. Летал испытатель Валерий Чкалов. В ноябре выпал снег, поэтому колеса заменили на лыжи от самолета И-</w:t>
      </w:r>
      <w:r w:rsidRPr="0044524F">
        <w:rPr>
          <w:rFonts w:ascii="Times New Roman" w:cs="Times New Roman"/>
          <w:color w:val="000000" w:themeColor="text1"/>
          <w:spacing w:val="0"/>
          <w:lang w:val="en-US"/>
        </w:rPr>
        <w:t>Z</w:t>
      </w:r>
      <w:r w:rsidRPr="0044524F">
        <w:rPr>
          <w:rFonts w:ascii="Times New Roman" w:cs="Times New Roman"/>
          <w:color w:val="000000" w:themeColor="text1"/>
          <w:spacing w:val="0"/>
        </w:rPr>
        <w:t xml:space="preserve">. Произошло это 18 ноября, а спустя пять дней случилась первая неприятность. 23 ноября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w:t>
      </w:r>
      <w:r w:rsidRPr="0044524F">
        <w:rPr>
          <w:rFonts w:ascii="Times New Roman" w:cs="Times New Roman"/>
          <w:color w:val="000000" w:themeColor="text1"/>
          <w:spacing w:val="0"/>
        </w:rPr>
        <w:lastRenderedPageBreak/>
        <w:t>в те време</w:t>
      </w:r>
      <w:r w:rsidRPr="0044524F">
        <w:rPr>
          <w:rFonts w:ascii="Times New Roman" w:cs="Times New Roman"/>
          <w:color w:val="000000" w:themeColor="text1"/>
          <w:spacing w:val="0"/>
        </w:rPr>
        <w:softHyphen/>
        <w:t>на не редкий, но досадный; шансов приземлиться благополучно практически не оставалось, и самолет на посадке перевернул</w:t>
      </w:r>
      <w:r w:rsidRPr="0044524F">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44524F">
        <w:rPr>
          <w:rFonts w:ascii="Times New Roman" w:cs="Times New Roman"/>
          <w:color w:val="000000" w:themeColor="text1"/>
          <w:spacing w:val="0"/>
        </w:rPr>
        <w:softHyphen/>
        <w:t>ния рекорда высоты (19107).</w:t>
      </w:r>
    </w:p>
    <w:p w14:paraId="3ACADC6B" w14:textId="77777777" w:rsidR="005F1848" w:rsidRPr="0044524F" w:rsidRDefault="005F1848" w:rsidP="009654CF">
      <w:pPr>
        <w:spacing w:after="0" w:line="240" w:lineRule="auto"/>
        <w:jc w:val="both"/>
        <w:rPr>
          <w:rFonts w:ascii="Times New Roman" w:hAnsi="Times New Roman"/>
          <w:color w:val="000000" w:themeColor="text1"/>
          <w:sz w:val="16"/>
          <w:szCs w:val="16"/>
        </w:rPr>
      </w:pPr>
    </w:p>
    <w:p w14:paraId="1376C6E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осени 1933 закончилось изготовление первого ЦКБ-3. Рулежки, первые подлеты и, естественно, доделки начались в октябре. Летал испытатель Валерий Чкалов. В ноябре выпал снег, поэтому колеса заменили на лыжи от самолета И-Z. Произошло это 18 ноября, а спустя пять дней случилась первая неприятность (12014).</w:t>
      </w:r>
    </w:p>
    <w:p w14:paraId="4EB9FB3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FE83325" w14:textId="77777777" w:rsidR="006A4DAE" w:rsidRPr="0044524F" w:rsidRDefault="006A4D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осени 1933 изготовление первого ЦКБ-3 завершили. Рулёжки, первые подлёты и, естественно, доделки начались в октябре. Облётывал машину В.П. Чкалов. В ноябре выпал снег, поэтому колёса заменили на лыжи от истребителя И-2. Произошло это 18 ноября, а спустя пять дней случи-лась первая неприятность (12261).</w:t>
      </w:r>
    </w:p>
    <w:p w14:paraId="19FEE012" w14:textId="77777777" w:rsidR="006A4DAE" w:rsidRPr="0044524F" w:rsidRDefault="006A4DAE" w:rsidP="009654CF">
      <w:pPr>
        <w:spacing w:after="0" w:line="240" w:lineRule="auto"/>
        <w:jc w:val="both"/>
        <w:rPr>
          <w:rFonts w:ascii="Times New Roman" w:hAnsi="Times New Roman"/>
          <w:color w:val="000000" w:themeColor="text1"/>
          <w:sz w:val="16"/>
          <w:szCs w:val="16"/>
        </w:rPr>
      </w:pPr>
    </w:p>
    <w:p w14:paraId="61E6CCE8"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E4FCD39"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68107F6" w14:textId="77777777" w:rsidR="00FD662C" w:rsidRPr="0044524F" w:rsidRDefault="00FD662C"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осени 1933 г. опытный об</w:t>
      </w:r>
      <w:r w:rsidRPr="0044524F">
        <w:rPr>
          <w:rFonts w:ascii="Times New Roman" w:hAnsi="Times New Roman"/>
          <w:color w:val="000000" w:themeColor="text1"/>
          <w:sz w:val="16"/>
          <w:szCs w:val="16"/>
        </w:rPr>
        <w:softHyphen/>
        <w:t>разец тягача на базе Т-27 был готов для государственных испы</w:t>
      </w:r>
      <w:r w:rsidRPr="0044524F">
        <w:rPr>
          <w:rFonts w:ascii="Times New Roman" w:hAnsi="Times New Roman"/>
          <w:color w:val="000000" w:themeColor="text1"/>
          <w:sz w:val="16"/>
          <w:szCs w:val="16"/>
        </w:rPr>
        <w:softHyphen/>
        <w:t>таний. В конструкцию танкетки Т-27 были внесены следующие изменения:</w:t>
      </w:r>
    </w:p>
    <w:p w14:paraId="1F1B0C6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Верхние колпаки (входные люки) сня</w:t>
      </w:r>
      <w:r w:rsidRPr="0044524F">
        <w:rPr>
          <w:rFonts w:ascii="Times New Roman" w:hAnsi="Times New Roman"/>
          <w:color w:val="000000" w:themeColor="text1"/>
          <w:sz w:val="16"/>
          <w:szCs w:val="16"/>
        </w:rPr>
        <w:softHyphen/>
        <w:t>ты, вместо них верхняя часть корпуса подня</w:t>
      </w:r>
      <w:r w:rsidRPr="0044524F">
        <w:rPr>
          <w:rFonts w:ascii="Times New Roman" w:hAnsi="Times New Roman"/>
          <w:color w:val="000000" w:themeColor="text1"/>
          <w:sz w:val="16"/>
          <w:szCs w:val="16"/>
        </w:rPr>
        <w:softHyphen/>
        <w:t>та с таким расчетом, чтобы при занятии свое</w:t>
      </w:r>
      <w:r w:rsidRPr="0044524F">
        <w:rPr>
          <w:rFonts w:ascii="Times New Roman" w:hAnsi="Times New Roman"/>
          <w:color w:val="000000" w:themeColor="text1"/>
          <w:sz w:val="16"/>
          <w:szCs w:val="16"/>
        </w:rPr>
        <w:softHyphen/>
        <w:t>го места водителем, голова его закрыта вер</w:t>
      </w:r>
      <w:r w:rsidRPr="0044524F">
        <w:rPr>
          <w:rFonts w:ascii="Times New Roman" w:hAnsi="Times New Roman"/>
          <w:color w:val="000000" w:themeColor="text1"/>
          <w:sz w:val="16"/>
          <w:szCs w:val="16"/>
        </w:rPr>
        <w:softHyphen/>
        <w:t>тикальными стенками корпуса тягача. Верх</w:t>
      </w:r>
      <w:r w:rsidRPr="0044524F">
        <w:rPr>
          <w:rFonts w:ascii="Times New Roman" w:hAnsi="Times New Roman"/>
          <w:color w:val="000000" w:themeColor="text1"/>
          <w:sz w:val="16"/>
          <w:szCs w:val="16"/>
        </w:rPr>
        <w:softHyphen/>
        <w:t>няя часть корпуса оставлена совершенно от</w:t>
      </w:r>
      <w:r w:rsidRPr="0044524F">
        <w:rPr>
          <w:rFonts w:ascii="Times New Roman" w:hAnsi="Times New Roman"/>
          <w:color w:val="000000" w:themeColor="text1"/>
          <w:sz w:val="16"/>
          <w:szCs w:val="16"/>
        </w:rPr>
        <w:softHyphen/>
        <w:t>крытой, для наблюдения вперед в переднем вертикальном листе брони прорезаны смот</w:t>
      </w:r>
      <w:r w:rsidRPr="0044524F">
        <w:rPr>
          <w:rFonts w:ascii="Times New Roman" w:hAnsi="Times New Roman"/>
          <w:color w:val="000000" w:themeColor="text1"/>
          <w:sz w:val="16"/>
          <w:szCs w:val="16"/>
        </w:rPr>
        <w:softHyphen/>
        <w:t>ровые щели.</w:t>
      </w:r>
    </w:p>
    <w:p w14:paraId="6BB7D9C8" w14:textId="77777777" w:rsidR="00FD662C" w:rsidRPr="0044524F" w:rsidRDefault="00FD662C" w:rsidP="009654CF">
      <w:pPr>
        <w:tabs>
          <w:tab w:val="left" w:pos="514"/>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На месте бензинового бака установ</w:t>
      </w:r>
      <w:r w:rsidRPr="0044524F">
        <w:rPr>
          <w:rFonts w:ascii="Times New Roman" w:hAnsi="Times New Roman"/>
          <w:color w:val="000000" w:themeColor="text1"/>
          <w:sz w:val="16"/>
          <w:szCs w:val="16"/>
        </w:rPr>
        <w:softHyphen/>
        <w:t>лен дополнительный бачок для системы ох</w:t>
      </w:r>
      <w:r w:rsidRPr="0044524F">
        <w:rPr>
          <w:rFonts w:ascii="Times New Roman" w:hAnsi="Times New Roman"/>
          <w:color w:val="000000" w:themeColor="text1"/>
          <w:sz w:val="16"/>
          <w:szCs w:val="16"/>
        </w:rPr>
        <w:softHyphen/>
        <w:t>лаждения.</w:t>
      </w:r>
    </w:p>
    <w:p w14:paraId="072AABFF" w14:textId="77777777" w:rsidR="00FD662C" w:rsidRPr="0044524F" w:rsidRDefault="00FD662C" w:rsidP="009654CF">
      <w:pPr>
        <w:tabs>
          <w:tab w:val="left" w:pos="471"/>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Ящики для боеприпасов (расположен</w:t>
      </w:r>
      <w:r w:rsidRPr="0044524F">
        <w:rPr>
          <w:rFonts w:ascii="Times New Roman" w:hAnsi="Times New Roman"/>
          <w:color w:val="000000" w:themeColor="text1"/>
          <w:sz w:val="16"/>
          <w:szCs w:val="16"/>
        </w:rPr>
        <w:softHyphen/>
        <w:t>ные по сторонам) использованы для распо</w:t>
      </w:r>
      <w:r w:rsidRPr="0044524F">
        <w:rPr>
          <w:rFonts w:ascii="Times New Roman" w:hAnsi="Times New Roman"/>
          <w:color w:val="000000" w:themeColor="text1"/>
          <w:sz w:val="16"/>
          <w:szCs w:val="16"/>
        </w:rPr>
        <w:softHyphen/>
        <w:t>ложения в них баков для бензина общей ем</w:t>
      </w:r>
      <w:r w:rsidRPr="0044524F">
        <w:rPr>
          <w:rFonts w:ascii="Times New Roman" w:hAnsi="Times New Roman"/>
          <w:color w:val="000000" w:themeColor="text1"/>
          <w:sz w:val="16"/>
          <w:szCs w:val="16"/>
        </w:rPr>
        <w:softHyphen/>
        <w:t>костью в 100л.</w:t>
      </w:r>
    </w:p>
    <w:p w14:paraId="0B14FD2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К задней стенке корпуса приклепаны две серьги для шарнирного соединения (при помощи пальцев) прицепного прибора».</w:t>
      </w:r>
    </w:p>
    <w:p w14:paraId="3F3F83E6" w14:textId="77777777" w:rsidR="00FD662C" w:rsidRPr="0044524F" w:rsidRDefault="00FD662C"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Общая масса тягача на базе Т-27 с зап</w:t>
      </w:r>
      <w:r w:rsidRPr="0044524F">
        <w:rPr>
          <w:rFonts w:ascii="Times New Roman" w:hAnsi="Times New Roman"/>
          <w:color w:val="000000" w:themeColor="text1"/>
          <w:sz w:val="16"/>
          <w:szCs w:val="16"/>
        </w:rPr>
        <w:softHyphen/>
        <w:t>равкой бензина и без водителя составляла 2000 кг. Ширина равнялась 1800 мм, а высо</w:t>
      </w:r>
      <w:r w:rsidRPr="0044524F">
        <w:rPr>
          <w:rFonts w:ascii="Times New Roman" w:hAnsi="Times New Roman"/>
          <w:color w:val="000000" w:themeColor="text1"/>
          <w:sz w:val="16"/>
          <w:szCs w:val="16"/>
        </w:rPr>
        <w:softHyphen/>
        <w:t>та — 1420 мм. С каждой стороны машины было установлено по бензобаку на 100 л. Ем</w:t>
      </w:r>
      <w:r w:rsidRPr="0044524F">
        <w:rPr>
          <w:rFonts w:ascii="Times New Roman" w:hAnsi="Times New Roman"/>
          <w:color w:val="000000" w:themeColor="text1"/>
          <w:sz w:val="16"/>
          <w:szCs w:val="16"/>
        </w:rPr>
        <w:softHyphen/>
        <w:t>кость системы охлаждения была доведена до 34 л за счет установки дополнительного бач</w:t>
      </w:r>
      <w:r w:rsidRPr="0044524F">
        <w:rPr>
          <w:rFonts w:ascii="Times New Roman" w:hAnsi="Times New Roman"/>
          <w:color w:val="000000" w:themeColor="text1"/>
          <w:sz w:val="16"/>
          <w:szCs w:val="16"/>
        </w:rPr>
        <w:softHyphen/>
        <w:t>ка над двигателем.</w:t>
      </w:r>
    </w:p>
    <w:p w14:paraId="02B3EF24" w14:textId="77777777" w:rsidR="00FD662C" w:rsidRPr="0044524F" w:rsidRDefault="00FD662C"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Государственные испытания тягача про</w:t>
      </w:r>
      <w:r w:rsidRPr="0044524F">
        <w:rPr>
          <w:rFonts w:ascii="Times New Roman" w:hAnsi="Times New Roman"/>
          <w:color w:val="000000" w:themeColor="text1"/>
          <w:sz w:val="16"/>
          <w:szCs w:val="16"/>
        </w:rPr>
        <w:softHyphen/>
        <w:t>шли на НИАБТ полигоне УММ РККА в несколь</w:t>
      </w:r>
      <w:r w:rsidRPr="0044524F">
        <w:rPr>
          <w:rFonts w:ascii="Times New Roman" w:hAnsi="Times New Roman"/>
          <w:color w:val="000000" w:themeColor="text1"/>
          <w:sz w:val="16"/>
          <w:szCs w:val="16"/>
        </w:rPr>
        <w:softHyphen/>
        <w:t>ко этапов — с осени 1933 г. по осень 1934 г. Целью испытаний являлась оценка танкетки Т-27 с точки зрения ее использования без су</w:t>
      </w:r>
      <w:r w:rsidRPr="0044524F">
        <w:rPr>
          <w:rFonts w:ascii="Times New Roman" w:hAnsi="Times New Roman"/>
          <w:color w:val="000000" w:themeColor="text1"/>
          <w:sz w:val="16"/>
          <w:szCs w:val="16"/>
        </w:rPr>
        <w:softHyphen/>
        <w:t>щественных переделок в качестве тягача, а также подбор прицепных нагрузок, наиболее соответствующих тяговым усилиям тягачей (нормальные и максимальные нагрузки). Предстояло определить износ наименее на</w:t>
      </w:r>
      <w:r w:rsidRPr="0044524F">
        <w:rPr>
          <w:rFonts w:ascii="Times New Roman" w:hAnsi="Times New Roman"/>
          <w:color w:val="000000" w:themeColor="text1"/>
          <w:sz w:val="16"/>
          <w:szCs w:val="16"/>
        </w:rPr>
        <w:softHyphen/>
        <w:t>дежных деталей (катков, рессор, главного фрикциона и сцепного прибора), тяговые ха</w:t>
      </w:r>
      <w:r w:rsidRPr="0044524F">
        <w:rPr>
          <w:rFonts w:ascii="Times New Roman" w:hAnsi="Times New Roman"/>
          <w:color w:val="000000" w:themeColor="text1"/>
          <w:sz w:val="16"/>
          <w:szCs w:val="16"/>
        </w:rPr>
        <w:softHyphen/>
        <w:t>рактеристики при разных скоростях на наи</w:t>
      </w:r>
      <w:r w:rsidRPr="0044524F">
        <w:rPr>
          <w:rFonts w:ascii="Times New Roman" w:hAnsi="Times New Roman"/>
          <w:color w:val="000000" w:themeColor="text1"/>
          <w:sz w:val="16"/>
          <w:szCs w:val="16"/>
        </w:rPr>
        <w:softHyphen/>
        <w:t>более характерных грунтах, оценить удобство управления и маневренность, зафиксировать максимальную и среднюю скорости движе</w:t>
      </w:r>
      <w:r w:rsidRPr="0044524F">
        <w:rPr>
          <w:rFonts w:ascii="Times New Roman" w:hAnsi="Times New Roman"/>
          <w:color w:val="000000" w:themeColor="text1"/>
          <w:sz w:val="16"/>
          <w:szCs w:val="16"/>
        </w:rPr>
        <w:softHyphen/>
        <w:t>ния, предельные преодолеваемые подъемы и расход горючего.</w:t>
      </w:r>
    </w:p>
    <w:p w14:paraId="4BE9F0B9" w14:textId="77777777" w:rsidR="00FD662C" w:rsidRPr="0044524F" w:rsidRDefault="00FD662C"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Первоначальная программа испытаний предполагала пробеги протяженностью 150 км по различным типам грунтов с прице</w:t>
      </w:r>
      <w:r w:rsidRPr="0044524F">
        <w:rPr>
          <w:rFonts w:ascii="Times New Roman" w:hAnsi="Times New Roman"/>
          <w:color w:val="000000" w:themeColor="text1"/>
          <w:sz w:val="16"/>
          <w:szCs w:val="16"/>
        </w:rPr>
        <w:softHyphen/>
        <w:t>пами массой 1,2 т и 3 т. Испытания несколь</w:t>
      </w:r>
      <w:r w:rsidRPr="0044524F">
        <w:rPr>
          <w:rFonts w:ascii="Times New Roman" w:hAnsi="Times New Roman"/>
          <w:color w:val="000000" w:themeColor="text1"/>
          <w:sz w:val="16"/>
          <w:szCs w:val="16"/>
        </w:rPr>
        <w:softHyphen/>
        <w:t>ко раз прерывались авариями и следовавши</w:t>
      </w:r>
      <w:r w:rsidRPr="0044524F">
        <w:rPr>
          <w:rFonts w:ascii="Times New Roman" w:hAnsi="Times New Roman"/>
          <w:color w:val="000000" w:themeColor="text1"/>
          <w:sz w:val="16"/>
          <w:szCs w:val="16"/>
        </w:rPr>
        <w:softHyphen/>
        <w:t>ми за ними ремонтами, которые наглядно де</w:t>
      </w:r>
      <w:r w:rsidRPr="0044524F">
        <w:rPr>
          <w:rFonts w:ascii="Times New Roman" w:hAnsi="Times New Roman"/>
          <w:color w:val="000000" w:themeColor="text1"/>
          <w:sz w:val="16"/>
          <w:szCs w:val="16"/>
        </w:rPr>
        <w:softHyphen/>
        <w:t>монстрировали общую низкую прочность и малую надежность танкетки Т-27. Но уж очень велико было желание военных получить лег</w:t>
      </w:r>
      <w:r w:rsidRPr="0044524F">
        <w:rPr>
          <w:rFonts w:ascii="Times New Roman" w:hAnsi="Times New Roman"/>
          <w:color w:val="000000" w:themeColor="text1"/>
          <w:sz w:val="16"/>
          <w:szCs w:val="16"/>
        </w:rPr>
        <w:softHyphen/>
        <w:t>кий бронированный тягач!</w:t>
      </w:r>
    </w:p>
    <w:p w14:paraId="68C4CF56" w14:textId="77777777" w:rsidR="00FD662C" w:rsidRPr="0044524F" w:rsidRDefault="00FD662C"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тягача Т-27 начались пробегом по бездорожью со множеством ухабов и вы</w:t>
      </w:r>
      <w:r w:rsidRPr="0044524F">
        <w:rPr>
          <w:rFonts w:ascii="Times New Roman" w:hAnsi="Times New Roman"/>
          <w:color w:val="000000" w:themeColor="text1"/>
          <w:sz w:val="16"/>
          <w:szCs w:val="16"/>
        </w:rPr>
        <w:softHyphen/>
        <w:t>боин. В качестве прицепа использовалась гу</w:t>
      </w:r>
      <w:r w:rsidRPr="0044524F">
        <w:rPr>
          <w:rFonts w:ascii="Times New Roman" w:hAnsi="Times New Roman"/>
          <w:color w:val="000000" w:themeColor="text1"/>
          <w:sz w:val="16"/>
          <w:szCs w:val="16"/>
        </w:rPr>
        <w:softHyphen/>
        <w:t>сеничная прицепка «Карден-Ллойд» с грузом 1 т. Через 5 км пробега произошла авария: дви</w:t>
      </w:r>
      <w:r w:rsidRPr="0044524F">
        <w:rPr>
          <w:rFonts w:ascii="Times New Roman" w:hAnsi="Times New Roman"/>
          <w:color w:val="000000" w:themeColor="text1"/>
          <w:sz w:val="16"/>
          <w:szCs w:val="16"/>
        </w:rPr>
        <w:softHyphen/>
        <w:t>гатель машины работал, но вращение на ве</w:t>
      </w:r>
      <w:r w:rsidRPr="0044524F">
        <w:rPr>
          <w:rFonts w:ascii="Times New Roman" w:hAnsi="Times New Roman"/>
          <w:color w:val="000000" w:themeColor="text1"/>
          <w:sz w:val="16"/>
          <w:szCs w:val="16"/>
        </w:rPr>
        <w:softHyphen/>
        <w:t>дущие колеса не передавалось. После разбор</w:t>
      </w:r>
      <w:r w:rsidRPr="0044524F">
        <w:rPr>
          <w:rFonts w:ascii="Times New Roman" w:hAnsi="Times New Roman"/>
          <w:color w:val="000000" w:themeColor="text1"/>
          <w:sz w:val="16"/>
          <w:szCs w:val="16"/>
        </w:rPr>
        <w:softHyphen/>
        <w:t>ки дифференциала выяснилось, что он пришел в полную негодность: зубья шестерен полу</w:t>
      </w:r>
      <w:r w:rsidRPr="0044524F">
        <w:rPr>
          <w:rFonts w:ascii="Times New Roman" w:hAnsi="Times New Roman"/>
          <w:color w:val="000000" w:themeColor="text1"/>
          <w:sz w:val="16"/>
          <w:szCs w:val="16"/>
        </w:rPr>
        <w:softHyphen/>
        <w:t>осей были сорваны, шестерни сателлитов раз</w:t>
      </w:r>
      <w:r w:rsidRPr="0044524F">
        <w:rPr>
          <w:rFonts w:ascii="Times New Roman" w:hAnsi="Times New Roman"/>
          <w:color w:val="000000" w:themeColor="text1"/>
          <w:sz w:val="16"/>
          <w:szCs w:val="16"/>
        </w:rPr>
        <w:softHyphen/>
        <w:t>рушены на мелкие части, коробка сателлитов с внутренней стороны по окружности получи</w:t>
      </w:r>
      <w:r w:rsidRPr="0044524F">
        <w:rPr>
          <w:rFonts w:ascii="Times New Roman" w:hAnsi="Times New Roman"/>
          <w:color w:val="000000" w:themeColor="text1"/>
          <w:sz w:val="16"/>
          <w:szCs w:val="16"/>
        </w:rPr>
        <w:softHyphen/>
        <w:t>ла ряд глубоких задиров и забоин, на поверх</w:t>
      </w:r>
      <w:r w:rsidRPr="0044524F">
        <w:rPr>
          <w:rFonts w:ascii="Times New Roman" w:hAnsi="Times New Roman"/>
          <w:color w:val="000000" w:themeColor="text1"/>
          <w:sz w:val="16"/>
          <w:szCs w:val="16"/>
        </w:rPr>
        <w:softHyphen/>
        <w:t>ности осей сателлитов крестовины дифферен</w:t>
      </w:r>
      <w:r w:rsidRPr="0044524F">
        <w:rPr>
          <w:rFonts w:ascii="Times New Roman" w:hAnsi="Times New Roman"/>
          <w:color w:val="000000" w:themeColor="text1"/>
          <w:sz w:val="16"/>
          <w:szCs w:val="16"/>
        </w:rPr>
        <w:softHyphen/>
        <w:t>циальной коробки образовались задиры, а на коронной шестерне срезались четыре шпиль</w:t>
      </w:r>
      <w:r w:rsidRPr="0044524F">
        <w:rPr>
          <w:rFonts w:ascii="Times New Roman" w:hAnsi="Times New Roman"/>
          <w:color w:val="000000" w:themeColor="text1"/>
          <w:sz w:val="16"/>
          <w:szCs w:val="16"/>
        </w:rPr>
        <w:softHyphen/>
        <w:t>ки. Причиной поломки сочли то, что нагрузка в 1 т на гусеничном ходу при движении в осен</w:t>
      </w:r>
      <w:r w:rsidRPr="0044524F">
        <w:rPr>
          <w:rFonts w:ascii="Times New Roman" w:hAnsi="Times New Roman"/>
          <w:color w:val="000000" w:themeColor="text1"/>
          <w:sz w:val="16"/>
          <w:szCs w:val="16"/>
        </w:rPr>
        <w:softHyphen/>
        <w:t>нее время по грязи (особенно по ухабам) яви</w:t>
      </w:r>
      <w:r w:rsidRPr="0044524F">
        <w:rPr>
          <w:rFonts w:ascii="Times New Roman" w:hAnsi="Times New Roman"/>
          <w:color w:val="000000" w:themeColor="text1"/>
          <w:sz w:val="16"/>
          <w:szCs w:val="16"/>
        </w:rPr>
        <w:softHyphen/>
        <w:t>лась выше предельной для тягача Т-27, что и вызвало поломку дифференциала. После за</w:t>
      </w:r>
      <w:r w:rsidRPr="0044524F">
        <w:rPr>
          <w:rFonts w:ascii="Times New Roman" w:hAnsi="Times New Roman"/>
          <w:color w:val="000000" w:themeColor="text1"/>
          <w:sz w:val="16"/>
          <w:szCs w:val="16"/>
        </w:rPr>
        <w:softHyphen/>
        <w:t>мены дифференциала в январе 1934 г. маши</w:t>
      </w:r>
      <w:r w:rsidRPr="0044524F">
        <w:rPr>
          <w:rFonts w:ascii="Times New Roman" w:hAnsi="Times New Roman"/>
          <w:color w:val="000000" w:themeColor="text1"/>
          <w:sz w:val="16"/>
          <w:szCs w:val="16"/>
        </w:rPr>
        <w:softHyphen/>
        <w:t>на вновь прошла испытания пробегом на шос</w:t>
      </w:r>
      <w:r w:rsidRPr="0044524F">
        <w:rPr>
          <w:rFonts w:ascii="Times New Roman" w:hAnsi="Times New Roman"/>
          <w:color w:val="000000" w:themeColor="text1"/>
          <w:sz w:val="16"/>
          <w:szCs w:val="16"/>
        </w:rPr>
        <w:softHyphen/>
        <w:t>се и проселке — также с груженой прицепкой «Карден-Ллойд» общей массой 1,2 т.</w:t>
      </w:r>
    </w:p>
    <w:p w14:paraId="6152F6D3" w14:textId="77777777" w:rsidR="00FD662C" w:rsidRPr="0044524F" w:rsidRDefault="00FD662C"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шоссе, на ровном месте, тягач Т-27 с нагрузкой двигался с периодическими про</w:t>
      </w:r>
      <w:r w:rsidRPr="0044524F">
        <w:rPr>
          <w:rFonts w:ascii="Times New Roman" w:hAnsi="Times New Roman"/>
          <w:color w:val="000000" w:themeColor="text1"/>
          <w:sz w:val="16"/>
          <w:szCs w:val="16"/>
        </w:rPr>
        <w:softHyphen/>
        <w:t>буксовками, что иногда вынуждало отцеплять прицепку, менять направление движения, а затем присоединять прицепку к машине, На подъем в 4—5' длиной 300 м тягач двигался периодически, буксуя на месте и меняя на</w:t>
      </w:r>
      <w:r w:rsidRPr="0044524F">
        <w:rPr>
          <w:rFonts w:ascii="Times New Roman" w:hAnsi="Times New Roman"/>
          <w:color w:val="000000" w:themeColor="text1"/>
          <w:sz w:val="16"/>
          <w:szCs w:val="16"/>
        </w:rPr>
        <w:softHyphen/>
        <w:t>правление движения (два раза отцеплялась прицепка). На ровном участке проселка, по</w:t>
      </w:r>
      <w:r w:rsidRPr="0044524F">
        <w:rPr>
          <w:rFonts w:ascii="Times New Roman" w:hAnsi="Times New Roman"/>
          <w:color w:val="000000" w:themeColor="text1"/>
          <w:sz w:val="16"/>
          <w:szCs w:val="16"/>
        </w:rPr>
        <w:softHyphen/>
        <w:t>крытом снегом, тягач Т-27 с прицепкой оста</w:t>
      </w:r>
      <w:r w:rsidRPr="0044524F">
        <w:rPr>
          <w:rFonts w:ascii="Times New Roman" w:hAnsi="Times New Roman"/>
          <w:color w:val="000000" w:themeColor="text1"/>
          <w:sz w:val="16"/>
          <w:szCs w:val="16"/>
        </w:rPr>
        <w:softHyphen/>
        <w:t>навливался через каждые 5—10 мин. В от</w:t>
      </w:r>
      <w:r w:rsidRPr="0044524F">
        <w:rPr>
          <w:rFonts w:ascii="Times New Roman" w:hAnsi="Times New Roman"/>
          <w:color w:val="000000" w:themeColor="text1"/>
          <w:sz w:val="16"/>
          <w:szCs w:val="16"/>
        </w:rPr>
        <w:softHyphen/>
        <w:t>дельных случаях сдвинуть с места прицепку с грузом не удавалось.</w:t>
      </w:r>
    </w:p>
    <w:p w14:paraId="46D3DBA9" w14:textId="77777777" w:rsidR="00FD662C" w:rsidRPr="0044524F" w:rsidRDefault="00FD662C"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общей сложности тягач прошел по шос</w:t>
      </w:r>
      <w:r w:rsidRPr="0044524F">
        <w:rPr>
          <w:rFonts w:ascii="Times New Roman" w:hAnsi="Times New Roman"/>
          <w:color w:val="000000" w:themeColor="text1"/>
          <w:sz w:val="16"/>
          <w:szCs w:val="16"/>
        </w:rPr>
        <w:softHyphen/>
        <w:t>се 14 км. Из общего времени 5 ч 5 мин на ос</w:t>
      </w:r>
      <w:r w:rsidRPr="0044524F">
        <w:rPr>
          <w:rFonts w:ascii="Times New Roman" w:hAnsi="Times New Roman"/>
          <w:color w:val="000000" w:themeColor="text1"/>
          <w:sz w:val="16"/>
          <w:szCs w:val="16"/>
        </w:rPr>
        <w:softHyphen/>
        <w:t>тановки ушло 1 ч 34 мин, на буксование — 1 ч 46 мин. Средняя техническая скорость с на</w:t>
      </w:r>
      <w:r w:rsidRPr="0044524F">
        <w:rPr>
          <w:rFonts w:ascii="Times New Roman" w:hAnsi="Times New Roman"/>
          <w:color w:val="000000" w:themeColor="text1"/>
          <w:sz w:val="16"/>
          <w:szCs w:val="16"/>
        </w:rPr>
        <w:softHyphen/>
        <w:t>грузкой в 1,2 т на крюке составляла 8 км/ч. В ходе пробега гусеницы тягача Т-27 два раза забивались снегом и между ленивцем и гу</w:t>
      </w:r>
      <w:r w:rsidRPr="0044524F">
        <w:rPr>
          <w:rFonts w:ascii="Times New Roman" w:hAnsi="Times New Roman"/>
          <w:color w:val="000000" w:themeColor="text1"/>
          <w:sz w:val="16"/>
          <w:szCs w:val="16"/>
        </w:rPr>
        <w:softHyphen/>
        <w:t>сеницей образовывался слой льда, что вызы</w:t>
      </w:r>
      <w:r w:rsidRPr="0044524F">
        <w:rPr>
          <w:rFonts w:ascii="Times New Roman" w:hAnsi="Times New Roman"/>
          <w:color w:val="000000" w:themeColor="text1"/>
          <w:sz w:val="16"/>
          <w:szCs w:val="16"/>
        </w:rPr>
        <w:softHyphen/>
        <w:t>вало удары ведомых колес о гусеницы.</w:t>
      </w:r>
    </w:p>
    <w:p w14:paraId="489EC886" w14:textId="77777777" w:rsidR="00FD662C" w:rsidRPr="0044524F" w:rsidRDefault="00FD662C"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зимнего пробега отказал глав</w:t>
      </w:r>
      <w:r w:rsidRPr="0044524F">
        <w:rPr>
          <w:rFonts w:ascii="Times New Roman" w:hAnsi="Times New Roman"/>
          <w:color w:val="000000" w:themeColor="text1"/>
          <w:sz w:val="16"/>
          <w:szCs w:val="16"/>
        </w:rPr>
        <w:softHyphen/>
        <w:t>ный фрикцион. После разборки сцепления было установлено, что лопнул в двух местах (по диаметру) ведомый диск и оторвалась втулка от остальной части диска (по окруж</w:t>
      </w:r>
      <w:r w:rsidRPr="0044524F">
        <w:rPr>
          <w:rFonts w:ascii="Times New Roman" w:hAnsi="Times New Roman"/>
          <w:color w:val="000000" w:themeColor="text1"/>
          <w:sz w:val="16"/>
          <w:szCs w:val="16"/>
        </w:rPr>
        <w:softHyphen/>
        <w:t>ности), а также отломились ушки крепления картера маховика (12081).</w:t>
      </w:r>
    </w:p>
    <w:p w14:paraId="0E7F8643" w14:textId="77777777" w:rsidR="00FD662C" w:rsidRPr="0044524F" w:rsidRDefault="00FD662C" w:rsidP="009654CF">
      <w:pPr>
        <w:widowControl w:val="0"/>
        <w:autoSpaceDE w:val="0"/>
        <w:autoSpaceDN w:val="0"/>
        <w:adjustRightInd w:val="0"/>
        <w:spacing w:after="0" w:line="240" w:lineRule="auto"/>
        <w:jc w:val="both"/>
        <w:rPr>
          <w:rFonts w:ascii="Times New Roman" w:hAnsi="Times New Roman"/>
          <w:color w:val="000000" w:themeColor="text1"/>
          <w:sz w:val="16"/>
          <w:szCs w:val="16"/>
        </w:rPr>
      </w:pPr>
    </w:p>
    <w:p w14:paraId="4D4E7A0D"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6AD2A06"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C32183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сентябрю 1933 готовность МГ достигла 25%, а к концу 1933 г. - 60%. Поставка оборудования и комплектующих осуществлялась более чем сотней предприятий со всей страны.</w:t>
      </w:r>
    </w:p>
    <w:p w14:paraId="38D7253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постройки Завод опытных конструкций регулярно отчитывался как перед комиссией, так и перед ГУАП. Ходом создания самолета-гиганта интересовалось и высшее руководство страны, включая И.В. Сталина.</w:t>
      </w:r>
    </w:p>
    <w:p w14:paraId="30BB437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Никакого военного оборудования на МГ ставить не собирались. Но военный вариант продолжал прорабатываться параллельно с агитационным (12024). </w:t>
      </w:r>
    </w:p>
    <w:p w14:paraId="1B16E9B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5910FD00"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BC6DBF0"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6F0787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состоялся первый полет АНТ-25 РД с М-34Р (237,167).</w:t>
      </w:r>
    </w:p>
    <w:p w14:paraId="2249D42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055BD59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была закончена постройка РД-дублера (АНТ-25, РД-2) с М-34 Р (2072,72) (1102).</w:t>
      </w:r>
    </w:p>
    <w:p w14:paraId="2F1E1FB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1824FBA"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 была закончена по</w:t>
      </w:r>
      <w:r w:rsidRPr="0044524F">
        <w:rPr>
          <w:rFonts w:ascii="Times New Roman" w:hAnsi="Times New Roman"/>
          <w:color w:val="000000" w:themeColor="text1"/>
          <w:sz w:val="16"/>
          <w:szCs w:val="16"/>
        </w:rPr>
        <w:softHyphen/>
        <w:t>стройка РД—2. 10 сентября М.М. Громов совершил на нем первый полет. Вторая машина отличалась от первой изменен</w:t>
      </w:r>
      <w:r w:rsidRPr="0044524F">
        <w:rPr>
          <w:rFonts w:ascii="Times New Roman" w:hAnsi="Times New Roman"/>
          <w:color w:val="000000" w:themeColor="text1"/>
          <w:sz w:val="16"/>
          <w:szCs w:val="16"/>
        </w:rPr>
        <w:softHyphen/>
        <w:t>ным рулем направления и установкой мотора с редуктором — М—34Р. В даль</w:t>
      </w:r>
      <w:r w:rsidRPr="0044524F">
        <w:rPr>
          <w:rFonts w:ascii="Times New Roman" w:hAnsi="Times New Roman"/>
          <w:color w:val="000000" w:themeColor="text1"/>
          <w:sz w:val="16"/>
          <w:szCs w:val="16"/>
        </w:rPr>
        <w:softHyphen/>
        <w:t>нейшем изменения, сделанные на РД—2, выполнили и на РД—1.</w:t>
      </w:r>
    </w:p>
    <w:p w14:paraId="4F394B84"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с самого начала заводских испыта</w:t>
      </w:r>
      <w:r w:rsidRPr="0044524F">
        <w:rPr>
          <w:rFonts w:ascii="Times New Roman" w:hAnsi="Times New Roman"/>
          <w:color w:val="000000" w:themeColor="text1"/>
          <w:sz w:val="16"/>
          <w:szCs w:val="16"/>
        </w:rPr>
        <w:softHyphen/>
        <w:t>ний РД—2 стало ясно, что с гофрирован</w:t>
      </w:r>
      <w:r w:rsidRPr="0044524F">
        <w:rPr>
          <w:rFonts w:ascii="Times New Roman" w:hAnsi="Times New Roman"/>
          <w:color w:val="000000" w:themeColor="text1"/>
          <w:sz w:val="16"/>
          <w:szCs w:val="16"/>
        </w:rPr>
        <w:softHyphen/>
        <w:t>ной обшивкой создававшей значительное сопротивление, нужной дальности не добиться. Поэтому ложбины между волнами гофра заполнили бальзовыми вкладышами, затем всю поверхность крыла и оперения обтянули полотном. Полотно пришили к гофру через мно</w:t>
      </w:r>
      <w:r w:rsidRPr="0044524F">
        <w:rPr>
          <w:rFonts w:ascii="Times New Roman" w:hAnsi="Times New Roman"/>
          <w:color w:val="000000" w:themeColor="text1"/>
          <w:sz w:val="16"/>
          <w:szCs w:val="16"/>
        </w:rPr>
        <w:softHyphen/>
        <w:t>жество небольших отверстий и покрыли аэролаком. Получилась ровная поверх</w:t>
      </w:r>
      <w:r w:rsidRPr="0044524F">
        <w:rPr>
          <w:rFonts w:ascii="Times New Roman" w:hAnsi="Times New Roman"/>
          <w:color w:val="000000" w:themeColor="text1"/>
          <w:sz w:val="16"/>
          <w:szCs w:val="16"/>
        </w:rPr>
        <w:softHyphen/>
        <w:t>ность с выступающими профилями нервюр. Лаком, кроме того, покрыли зализы и отполировали лопасти винта. Повторные испытания, проведенные в 1934 г., подтвердили эффективность принятых мер. Возможность рекордно</w:t>
      </w:r>
      <w:r w:rsidRPr="0044524F">
        <w:rPr>
          <w:rFonts w:ascii="Times New Roman" w:hAnsi="Times New Roman"/>
          <w:color w:val="000000" w:themeColor="text1"/>
          <w:sz w:val="16"/>
          <w:szCs w:val="16"/>
        </w:rPr>
        <w:softHyphen/>
        <w:t>го полета стала реальной (23474).</w:t>
      </w:r>
    </w:p>
    <w:p w14:paraId="6412E297" w14:textId="77777777" w:rsidR="007D2353" w:rsidRPr="0044524F" w:rsidRDefault="007D2353" w:rsidP="009654CF">
      <w:pPr>
        <w:spacing w:after="0" w:line="240" w:lineRule="auto"/>
        <w:jc w:val="both"/>
        <w:rPr>
          <w:rFonts w:ascii="Times New Roman" w:hAnsi="Times New Roman"/>
          <w:color w:val="000000" w:themeColor="text1"/>
          <w:sz w:val="16"/>
          <w:szCs w:val="16"/>
        </w:rPr>
      </w:pPr>
    </w:p>
    <w:p w14:paraId="438B9A50"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 закончили строить РД-2 с редукторным двигателем М-34Р Через два дня его перевезли на аэро</w:t>
      </w:r>
      <w:r w:rsidRPr="0044524F">
        <w:rPr>
          <w:rFonts w:ascii="Times New Roman" w:hAnsi="Times New Roman"/>
          <w:color w:val="000000" w:themeColor="text1"/>
          <w:sz w:val="16"/>
          <w:szCs w:val="16"/>
        </w:rPr>
        <w:softHyphen/>
        <w:t>дром, а 6 сентября состоялась проба дви</w:t>
      </w:r>
      <w:r w:rsidRPr="0044524F">
        <w:rPr>
          <w:rFonts w:ascii="Times New Roman" w:hAnsi="Times New Roman"/>
          <w:color w:val="000000" w:themeColor="text1"/>
          <w:sz w:val="16"/>
          <w:szCs w:val="16"/>
        </w:rPr>
        <w:softHyphen/>
        <w:t>гателя. Первый полёт на РД-2 10 сентя</w:t>
      </w:r>
      <w:r w:rsidRPr="0044524F">
        <w:rPr>
          <w:rFonts w:ascii="Times New Roman" w:hAnsi="Times New Roman"/>
          <w:color w:val="000000" w:themeColor="text1"/>
          <w:sz w:val="16"/>
          <w:szCs w:val="16"/>
        </w:rPr>
        <w:softHyphen/>
        <w:t>бря 1933 г. также совершил М.М. Громов. На следующий день машину сдали в ОЭ- ЛИД. В октябре 1933 г. экипаж Громова провёл ещё несколько испытательных по</w:t>
      </w:r>
      <w:r w:rsidRPr="0044524F">
        <w:rPr>
          <w:rFonts w:ascii="Times New Roman" w:hAnsi="Times New Roman"/>
          <w:color w:val="000000" w:themeColor="text1"/>
          <w:sz w:val="16"/>
          <w:szCs w:val="16"/>
        </w:rPr>
        <w:softHyphen/>
        <w:t>лётов на РД-2, которые выявили особен</w:t>
      </w:r>
      <w:r w:rsidRPr="0044524F">
        <w:rPr>
          <w:rFonts w:ascii="Times New Roman" w:hAnsi="Times New Roman"/>
          <w:color w:val="000000" w:themeColor="text1"/>
          <w:sz w:val="16"/>
          <w:szCs w:val="16"/>
        </w:rPr>
        <w:softHyphen/>
        <w:t>ности «дублёра», требовавшие дальней</w:t>
      </w:r>
      <w:r w:rsidRPr="0044524F">
        <w:rPr>
          <w:rFonts w:ascii="Times New Roman" w:hAnsi="Times New Roman"/>
          <w:color w:val="000000" w:themeColor="text1"/>
          <w:sz w:val="16"/>
          <w:szCs w:val="16"/>
        </w:rPr>
        <w:softHyphen/>
        <w:t>шей доработки машины. После них на</w:t>
      </w:r>
      <w:r w:rsidRPr="0044524F">
        <w:rPr>
          <w:rFonts w:ascii="Times New Roman" w:hAnsi="Times New Roman"/>
          <w:color w:val="000000" w:themeColor="text1"/>
          <w:sz w:val="16"/>
          <w:szCs w:val="16"/>
        </w:rPr>
        <w:softHyphen/>
        <w:t>чались испытания по определению пре</w:t>
      </w:r>
      <w:r w:rsidRPr="0044524F">
        <w:rPr>
          <w:rFonts w:ascii="Times New Roman" w:hAnsi="Times New Roman"/>
          <w:color w:val="000000" w:themeColor="text1"/>
          <w:sz w:val="16"/>
          <w:szCs w:val="16"/>
        </w:rPr>
        <w:softHyphen/>
        <w:t>дельной дальности полёта и возможности установления нового мирового рекорда (24309).</w:t>
      </w:r>
    </w:p>
    <w:p w14:paraId="5DABD8A3" w14:textId="77777777" w:rsidR="007D2353" w:rsidRPr="0044524F" w:rsidRDefault="007D2353" w:rsidP="009654CF">
      <w:pPr>
        <w:spacing w:after="0" w:line="240" w:lineRule="auto"/>
        <w:jc w:val="both"/>
        <w:rPr>
          <w:rFonts w:ascii="Times New Roman" w:hAnsi="Times New Roman"/>
          <w:color w:val="000000" w:themeColor="text1"/>
          <w:sz w:val="16"/>
          <w:szCs w:val="16"/>
        </w:rPr>
      </w:pPr>
    </w:p>
    <w:p w14:paraId="429C5AC7"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сентября 1933 г. АНТ-25-2 завершили. Вот какую оценку Громов дал машине: «Взлет происходит с небольшим заворо</w:t>
      </w:r>
      <w:r w:rsidRPr="00142305">
        <w:rPr>
          <w:rFonts w:ascii="Times New Roman" w:hAnsi="Times New Roman"/>
          <w:color w:val="0070C0"/>
          <w:sz w:val="16"/>
          <w:szCs w:val="16"/>
        </w:rPr>
        <w:softHyphen/>
        <w:t>том налево из-за неправильно постав</w:t>
      </w:r>
      <w:r w:rsidRPr="00142305">
        <w:rPr>
          <w:rFonts w:ascii="Times New Roman" w:hAnsi="Times New Roman"/>
          <w:color w:val="0070C0"/>
          <w:sz w:val="16"/>
          <w:szCs w:val="16"/>
        </w:rPr>
        <w:softHyphen/>
        <w:t>ленного хвостового колеса; эффектив</w:t>
      </w:r>
      <w:r w:rsidRPr="00142305">
        <w:rPr>
          <w:rFonts w:ascii="Times New Roman" w:hAnsi="Times New Roman"/>
          <w:color w:val="0070C0"/>
          <w:sz w:val="16"/>
          <w:szCs w:val="16"/>
        </w:rPr>
        <w:softHyphen/>
        <w:t>ность руля поворота - недостаточная, необходимо ее увеличить на 5%; набор высоты при нагрузке самолета 8500 кг производится со скоростью 170 км/ч; полет выявил недостаточную эффектив</w:t>
      </w:r>
      <w:r w:rsidRPr="00142305">
        <w:rPr>
          <w:rFonts w:ascii="Times New Roman" w:hAnsi="Times New Roman"/>
          <w:color w:val="0070C0"/>
          <w:sz w:val="16"/>
          <w:szCs w:val="16"/>
        </w:rPr>
        <w:softHyphen/>
        <w:t>ность элеронов и большую нагрузку на ногу, нагрузку необходимо понизить на 50%; посадка с нагрузкой выше 6500 кг происходила нормально на три точки, управлялся самолет хорошо».</w:t>
      </w:r>
    </w:p>
    <w:p w14:paraId="03536DF2"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некоторой доработки самоле</w:t>
      </w:r>
      <w:r w:rsidRPr="00142305">
        <w:rPr>
          <w:rFonts w:ascii="Times New Roman" w:hAnsi="Times New Roman"/>
          <w:color w:val="0070C0"/>
          <w:sz w:val="16"/>
          <w:szCs w:val="16"/>
        </w:rPr>
        <w:softHyphen/>
        <w:t>та начались испытания по определению предельной дальности полета и возмож</w:t>
      </w:r>
      <w:r w:rsidRPr="00142305">
        <w:rPr>
          <w:rFonts w:ascii="Times New Roman" w:hAnsi="Times New Roman"/>
          <w:color w:val="0070C0"/>
          <w:sz w:val="16"/>
          <w:szCs w:val="16"/>
        </w:rPr>
        <w:softHyphen/>
        <w:t>ности побития мирового рекорда. Как и АНТ-25-1, «дублер» летал с двумя ти</w:t>
      </w:r>
      <w:r w:rsidRPr="00142305">
        <w:rPr>
          <w:rFonts w:ascii="Times New Roman" w:hAnsi="Times New Roman"/>
          <w:color w:val="0070C0"/>
          <w:sz w:val="16"/>
          <w:szCs w:val="16"/>
        </w:rPr>
        <w:softHyphen/>
        <w:t>пами двигателей: со степенями сжатия 6,0 и 6,7. Один развивал 800 л.с., дру</w:t>
      </w:r>
      <w:r w:rsidRPr="00142305">
        <w:rPr>
          <w:rFonts w:ascii="Times New Roman" w:hAnsi="Times New Roman"/>
          <w:color w:val="0070C0"/>
          <w:sz w:val="16"/>
          <w:szCs w:val="16"/>
        </w:rPr>
        <w:softHyphen/>
        <w:t>гой - 900 л.с. Второй мотор, прибывший 13 октября, взяли уже из серии РД. Редук</w:t>
      </w:r>
      <w:r w:rsidRPr="00142305">
        <w:rPr>
          <w:rFonts w:ascii="Times New Roman" w:hAnsi="Times New Roman"/>
          <w:color w:val="0070C0"/>
          <w:sz w:val="16"/>
          <w:szCs w:val="16"/>
        </w:rPr>
        <w:softHyphen/>
        <w:t>торные двигатели этого заказа собирали в ЦИАМ, используя узлы, поставленные заводом № 24 Сами редукторы тоже изго</w:t>
      </w:r>
      <w:r w:rsidRPr="00142305">
        <w:rPr>
          <w:rFonts w:ascii="Times New Roman" w:hAnsi="Times New Roman"/>
          <w:color w:val="0070C0"/>
          <w:sz w:val="16"/>
          <w:szCs w:val="16"/>
        </w:rPr>
        <w:softHyphen/>
        <w:t>товлялись в мастерских ЦИАМ, серийное производство редукторной модификации еще не начиналось.</w:t>
      </w:r>
    </w:p>
    <w:p w14:paraId="32AD94BD"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степени сжатия 6,0 максимальный полетный вес определялся в 9540 кг, при 6,7 - 10 000 кг. Продолжительность по</w:t>
      </w:r>
      <w:r w:rsidRPr="00142305">
        <w:rPr>
          <w:rFonts w:ascii="Times New Roman" w:hAnsi="Times New Roman"/>
          <w:color w:val="0070C0"/>
          <w:sz w:val="16"/>
          <w:szCs w:val="16"/>
        </w:rPr>
        <w:softHyphen/>
        <w:t>лета составляла соответственно 59 ч и 65,8 ч. При полетном весе 5000 кг за</w:t>
      </w:r>
      <w:r w:rsidRPr="00142305">
        <w:rPr>
          <w:rFonts w:ascii="Times New Roman" w:hAnsi="Times New Roman"/>
          <w:color w:val="0070C0"/>
          <w:sz w:val="16"/>
          <w:szCs w:val="16"/>
        </w:rPr>
        <w:softHyphen/>
        <w:t>фиксировали максимальную скорость 234 км/ч, с более мощным мотором она дошла до 244 км/ч. На этом этапе на втором экземпляре самолета, как и на первом, использовался двухлопастный винт диаметром 4,4 м.</w:t>
      </w:r>
    </w:p>
    <w:p w14:paraId="482FD680"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Серия полетов «дублера» подтверди</w:t>
      </w:r>
      <w:r w:rsidRPr="00142305">
        <w:rPr>
          <w:rFonts w:ascii="Times New Roman" w:hAnsi="Times New Roman"/>
          <w:color w:val="0070C0"/>
          <w:sz w:val="16"/>
          <w:szCs w:val="16"/>
        </w:rPr>
        <w:softHyphen/>
        <w:t>ла возможность достижения дальности, записанной в постановлении В заключе</w:t>
      </w:r>
      <w:r w:rsidRPr="00142305">
        <w:rPr>
          <w:rFonts w:ascii="Times New Roman" w:hAnsi="Times New Roman"/>
          <w:color w:val="0070C0"/>
          <w:sz w:val="16"/>
          <w:szCs w:val="16"/>
        </w:rPr>
        <w:softHyphen/>
        <w:t>нии по испытаниям АНТ-25-2 отмечалось: «При благоприятных метеорологических условиях и точном соблюдении графика полета самолет может покрыть рассто</w:t>
      </w:r>
      <w:r w:rsidRPr="00142305">
        <w:rPr>
          <w:rFonts w:ascii="Times New Roman" w:hAnsi="Times New Roman"/>
          <w:color w:val="0070C0"/>
          <w:sz w:val="16"/>
          <w:szCs w:val="16"/>
        </w:rPr>
        <w:softHyphen/>
        <w:t>яние, превышающее мировой рекорд. При улучшении обтекаемости самолета его качества могут быть значительно по</w:t>
      </w:r>
      <w:r w:rsidRPr="00142305">
        <w:rPr>
          <w:rFonts w:ascii="Times New Roman" w:hAnsi="Times New Roman"/>
          <w:color w:val="0070C0"/>
          <w:sz w:val="16"/>
          <w:szCs w:val="16"/>
        </w:rPr>
        <w:softHyphen/>
        <w:t>вышены» (24946).</w:t>
      </w:r>
    </w:p>
    <w:p w14:paraId="6E44D40C" w14:textId="77777777" w:rsidR="00C16627" w:rsidRPr="00142305" w:rsidRDefault="00C16627" w:rsidP="00C16627">
      <w:pPr>
        <w:spacing w:after="0" w:line="240" w:lineRule="auto"/>
        <w:jc w:val="both"/>
        <w:rPr>
          <w:rFonts w:ascii="Times New Roman" w:hAnsi="Times New Roman"/>
          <w:color w:val="0070C0"/>
          <w:sz w:val="16"/>
          <w:szCs w:val="16"/>
        </w:rPr>
      </w:pPr>
    </w:p>
    <w:p w14:paraId="31B417E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состоялся второй полет К-7 (392,108).</w:t>
      </w:r>
    </w:p>
    <w:p w14:paraId="65060A5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второй круговой полет был 22 сентября 1933</w:t>
      </w:r>
    </w:p>
    <w:p w14:paraId="33C80E3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CD52C1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состоялось совещание в Глававиапроме о передаче производства ТБ-4 заводу 18 (1077,179).</w:t>
      </w:r>
    </w:p>
    <w:p w14:paraId="39085FD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151A8E1"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 Главный инженер-механик ВВС Аузан утвердил Отчет испытания самолета И5 № 4302 с мотором М22 винт фирмы Шварц Д=2,75 Н=2,3 (6639).</w:t>
      </w:r>
    </w:p>
    <w:p w14:paraId="04C87730"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19912FCD"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 Часовиков</w:t>
      </w:r>
    </w:p>
    <w:p w14:paraId="71E38A43"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Сузи</w:t>
      </w:r>
    </w:p>
    <w:p w14:paraId="413C0E6C"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3802163C"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Снятие летной характеристики с самолета И5 М22 с винтом фирмы Шварц и дачи эксплуатационной оценки покрытия винта вышеуказанной фирмы.</w:t>
      </w:r>
    </w:p>
    <w:p w14:paraId="431BBCD6"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Краткие результаты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5A4D0CAB" w14:textId="77777777">
        <w:tc>
          <w:tcPr>
            <w:tcW w:w="5636" w:type="dxa"/>
          </w:tcPr>
          <w:p w14:paraId="1A282AB2"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Горизонтальные скорости у земли</w:t>
            </w:r>
          </w:p>
        </w:tc>
        <w:tc>
          <w:tcPr>
            <w:tcW w:w="5636" w:type="dxa"/>
          </w:tcPr>
          <w:p w14:paraId="11FAB70C"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 км/час</w:t>
            </w:r>
          </w:p>
        </w:tc>
      </w:tr>
      <w:tr w:rsidR="004E10C1" w:rsidRPr="0044524F" w14:paraId="14F9E20B" w14:textId="77777777">
        <w:tc>
          <w:tcPr>
            <w:tcW w:w="5636" w:type="dxa"/>
          </w:tcPr>
          <w:p w14:paraId="58EBD6A2"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Горизонтальная скорость на 3000 м</w:t>
            </w:r>
          </w:p>
        </w:tc>
        <w:tc>
          <w:tcPr>
            <w:tcW w:w="5636" w:type="dxa"/>
          </w:tcPr>
          <w:p w14:paraId="6A95EEDF"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258 км/час</w:t>
            </w:r>
          </w:p>
        </w:tc>
      </w:tr>
      <w:tr w:rsidR="004E10C1" w:rsidRPr="0044524F" w14:paraId="4F9E0BE7" w14:textId="77777777">
        <w:tc>
          <w:tcPr>
            <w:tcW w:w="5636" w:type="dxa"/>
          </w:tcPr>
          <w:p w14:paraId="51616B3B"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Горизонтальная скорость на 5000 м</w:t>
            </w:r>
          </w:p>
        </w:tc>
        <w:tc>
          <w:tcPr>
            <w:tcW w:w="5636" w:type="dxa"/>
          </w:tcPr>
          <w:p w14:paraId="215B88DB"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246 км/час</w:t>
            </w:r>
          </w:p>
        </w:tc>
      </w:tr>
      <w:tr w:rsidR="004E10C1" w:rsidRPr="0044524F" w14:paraId="5EADF864" w14:textId="77777777">
        <w:tc>
          <w:tcPr>
            <w:tcW w:w="5636" w:type="dxa"/>
          </w:tcPr>
          <w:p w14:paraId="7D3B8EA8"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5000 м</w:t>
            </w:r>
          </w:p>
        </w:tc>
        <w:tc>
          <w:tcPr>
            <w:tcW w:w="5636" w:type="dxa"/>
          </w:tcPr>
          <w:p w14:paraId="70DCB8E4"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12-15 мин</w:t>
            </w:r>
          </w:p>
        </w:tc>
      </w:tr>
    </w:tbl>
    <w:p w14:paraId="531EEE04"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649DF98D" w14:textId="77777777" w:rsidR="00FD662C" w:rsidRPr="0044524F" w:rsidRDefault="00FD662C"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возможности перехода на легкие породы дерева для винтов считать необходимым в первом полугодии 1934 года выпустить партию в 10 штук опытных винтов типа Шварца, спроектировав их под самолет ТБ3-4М17 (6 винтов) и Р5-М17 (4 винта) (6639).</w:t>
      </w:r>
    </w:p>
    <w:p w14:paraId="1B7B77DB" w14:textId="77777777" w:rsidR="00FD662C" w:rsidRPr="0044524F" w:rsidRDefault="00FD662C"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B1DA0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был закончен постройкой ЛР М-34Н (2287,127).</w:t>
      </w:r>
    </w:p>
    <w:p w14:paraId="44065E1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353810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 была подготовлена справка Состояние работ по опытным образцам: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4E10C1" w:rsidRPr="0044524F" w14:paraId="0513ED3F" w14:textId="77777777">
        <w:tc>
          <w:tcPr>
            <w:tcW w:w="2898" w:type="dxa"/>
          </w:tcPr>
          <w:p w14:paraId="7588BA2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w:t>
            </w:r>
          </w:p>
        </w:tc>
        <w:tc>
          <w:tcPr>
            <w:tcW w:w="2898" w:type="dxa"/>
          </w:tcPr>
          <w:p w14:paraId="1959A21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w:t>
            </w:r>
          </w:p>
        </w:tc>
        <w:tc>
          <w:tcPr>
            <w:tcW w:w="2898" w:type="dxa"/>
          </w:tcPr>
          <w:p w14:paraId="1EAC0A0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w:t>
            </w:r>
          </w:p>
        </w:tc>
        <w:tc>
          <w:tcPr>
            <w:tcW w:w="2898" w:type="dxa"/>
          </w:tcPr>
          <w:p w14:paraId="49094E7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59D2C26C" w14:textId="77777777">
        <w:tc>
          <w:tcPr>
            <w:tcW w:w="2898" w:type="dxa"/>
          </w:tcPr>
          <w:p w14:paraId="68813E5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w:t>
            </w:r>
          </w:p>
        </w:tc>
        <w:tc>
          <w:tcPr>
            <w:tcW w:w="2898" w:type="dxa"/>
          </w:tcPr>
          <w:p w14:paraId="414148C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августа 1933 года</w:t>
            </w:r>
          </w:p>
        </w:tc>
        <w:tc>
          <w:tcPr>
            <w:tcW w:w="2898" w:type="dxa"/>
          </w:tcPr>
          <w:p w14:paraId="0091C47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Вышел на аэродром для испытаний.</w:t>
            </w:r>
          </w:p>
        </w:tc>
        <w:tc>
          <w:tcPr>
            <w:tcW w:w="2898" w:type="dxa"/>
          </w:tcPr>
          <w:p w14:paraId="732B290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Экземпляр считается неудовлетворит. Новый образец будет строиться с 8 моторами М34.</w:t>
            </w:r>
          </w:p>
        </w:tc>
      </w:tr>
      <w:tr w:rsidR="004E10C1" w:rsidRPr="0044524F" w14:paraId="1E527418" w14:textId="77777777">
        <w:tc>
          <w:tcPr>
            <w:tcW w:w="2898" w:type="dxa"/>
          </w:tcPr>
          <w:p w14:paraId="0579816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 НР</w:t>
            </w:r>
          </w:p>
        </w:tc>
        <w:tc>
          <w:tcPr>
            <w:tcW w:w="2898" w:type="dxa"/>
          </w:tcPr>
          <w:p w14:paraId="2167046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1934 года</w:t>
            </w:r>
          </w:p>
        </w:tc>
        <w:tc>
          <w:tcPr>
            <w:tcW w:w="2898" w:type="dxa"/>
          </w:tcPr>
          <w:p w14:paraId="0821643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Связано с готовностью мотора.</w:t>
            </w:r>
          </w:p>
        </w:tc>
        <w:tc>
          <w:tcPr>
            <w:tcW w:w="2898" w:type="dxa"/>
          </w:tcPr>
          <w:p w14:paraId="040DBE8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6740A92" w14:textId="77777777">
        <w:tc>
          <w:tcPr>
            <w:tcW w:w="2898" w:type="dxa"/>
          </w:tcPr>
          <w:p w14:paraId="5C3C81A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w:t>
            </w:r>
          </w:p>
        </w:tc>
        <w:tc>
          <w:tcPr>
            <w:tcW w:w="2898" w:type="dxa"/>
          </w:tcPr>
          <w:p w14:paraId="1846C1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2898" w:type="dxa"/>
          </w:tcPr>
          <w:p w14:paraId="6D81EEA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аэродр., испыт. будут переделки.</w:t>
            </w:r>
          </w:p>
        </w:tc>
        <w:tc>
          <w:tcPr>
            <w:tcW w:w="2898" w:type="dxa"/>
          </w:tcPr>
          <w:p w14:paraId="2CAD7BD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D9E94AA" w14:textId="77777777">
        <w:tc>
          <w:tcPr>
            <w:tcW w:w="2898" w:type="dxa"/>
          </w:tcPr>
          <w:p w14:paraId="7CC6505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МК1-6М34 НР</w:t>
            </w:r>
          </w:p>
        </w:tc>
        <w:tc>
          <w:tcPr>
            <w:tcW w:w="2898" w:type="dxa"/>
          </w:tcPr>
          <w:p w14:paraId="5F05EB0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1934 года</w:t>
            </w:r>
          </w:p>
        </w:tc>
        <w:tc>
          <w:tcPr>
            <w:tcW w:w="2898" w:type="dxa"/>
          </w:tcPr>
          <w:p w14:paraId="011582D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Постановление о гидросамолетостр. Выполняется. </w:t>
            </w:r>
          </w:p>
        </w:tc>
        <w:tc>
          <w:tcPr>
            <w:tcW w:w="2898" w:type="dxa"/>
          </w:tcPr>
          <w:p w14:paraId="314A620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1A74347" w14:textId="77777777">
        <w:tc>
          <w:tcPr>
            <w:tcW w:w="2898" w:type="dxa"/>
          </w:tcPr>
          <w:p w14:paraId="17B9E3A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МДР4-3М34 НР</w:t>
            </w:r>
          </w:p>
        </w:tc>
        <w:tc>
          <w:tcPr>
            <w:tcW w:w="2898" w:type="dxa"/>
          </w:tcPr>
          <w:p w14:paraId="515EA3F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1934 года</w:t>
            </w:r>
          </w:p>
        </w:tc>
        <w:tc>
          <w:tcPr>
            <w:tcW w:w="2898" w:type="dxa"/>
          </w:tcPr>
          <w:p w14:paraId="36C42DD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Зависит от мотора.</w:t>
            </w:r>
          </w:p>
        </w:tc>
        <w:tc>
          <w:tcPr>
            <w:tcW w:w="2898" w:type="dxa"/>
          </w:tcPr>
          <w:p w14:paraId="1F1EF4E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71164F1" w14:textId="77777777">
        <w:tc>
          <w:tcPr>
            <w:tcW w:w="2898" w:type="dxa"/>
          </w:tcPr>
          <w:p w14:paraId="08CCB51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ЛР-М34</w:t>
            </w:r>
          </w:p>
        </w:tc>
        <w:tc>
          <w:tcPr>
            <w:tcW w:w="2898" w:type="dxa"/>
          </w:tcPr>
          <w:p w14:paraId="304BF2F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2898" w:type="dxa"/>
          </w:tcPr>
          <w:p w14:paraId="6CB5019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770B498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3817F0F" w14:textId="77777777">
        <w:tc>
          <w:tcPr>
            <w:tcW w:w="2898" w:type="dxa"/>
          </w:tcPr>
          <w:p w14:paraId="415A266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w:t>
            </w:r>
          </w:p>
        </w:tc>
        <w:tc>
          <w:tcPr>
            <w:tcW w:w="2898" w:type="dxa"/>
          </w:tcPr>
          <w:p w14:paraId="3A7F0CE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1934 года</w:t>
            </w:r>
          </w:p>
        </w:tc>
        <w:tc>
          <w:tcPr>
            <w:tcW w:w="2898" w:type="dxa"/>
          </w:tcPr>
          <w:p w14:paraId="371E3C6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Развер. работы. </w:t>
            </w:r>
          </w:p>
        </w:tc>
        <w:tc>
          <w:tcPr>
            <w:tcW w:w="2898" w:type="dxa"/>
          </w:tcPr>
          <w:p w14:paraId="1E00106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E1FF1BB" w14:textId="77777777">
        <w:tc>
          <w:tcPr>
            <w:tcW w:w="2898" w:type="dxa"/>
          </w:tcPr>
          <w:p w14:paraId="19F414C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К14 – Бристоль-Меркур</w:t>
            </w:r>
          </w:p>
        </w:tc>
        <w:tc>
          <w:tcPr>
            <w:tcW w:w="2898" w:type="dxa"/>
          </w:tcPr>
          <w:p w14:paraId="43CED8B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июля 1933 года</w:t>
            </w:r>
          </w:p>
        </w:tc>
        <w:tc>
          <w:tcPr>
            <w:tcW w:w="2898" w:type="dxa"/>
          </w:tcPr>
          <w:p w14:paraId="715C889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будет представлен 1 октября 1933 года. Испытывается.</w:t>
            </w:r>
          </w:p>
        </w:tc>
        <w:tc>
          <w:tcPr>
            <w:tcW w:w="2898" w:type="dxa"/>
          </w:tcPr>
          <w:p w14:paraId="05F11E3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C0F52F0" w14:textId="77777777">
        <w:tc>
          <w:tcPr>
            <w:tcW w:w="2898" w:type="dxa"/>
          </w:tcPr>
          <w:p w14:paraId="7A8941B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 Райт-Циклон</w:t>
            </w:r>
          </w:p>
        </w:tc>
        <w:tc>
          <w:tcPr>
            <w:tcW w:w="2898" w:type="dxa"/>
          </w:tcPr>
          <w:p w14:paraId="7EA9E3F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c>
          <w:tcPr>
            <w:tcW w:w="2898" w:type="dxa"/>
          </w:tcPr>
          <w:p w14:paraId="569B4B4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закончен.</w:t>
            </w:r>
          </w:p>
        </w:tc>
        <w:tc>
          <w:tcPr>
            <w:tcW w:w="2898" w:type="dxa"/>
          </w:tcPr>
          <w:p w14:paraId="1EA3C6D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E442913" w14:textId="77777777">
        <w:tc>
          <w:tcPr>
            <w:tcW w:w="2898" w:type="dxa"/>
          </w:tcPr>
          <w:p w14:paraId="42ED833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К7-7М34</w:t>
            </w:r>
          </w:p>
        </w:tc>
        <w:tc>
          <w:tcPr>
            <w:tcW w:w="2898" w:type="dxa"/>
          </w:tcPr>
          <w:p w14:paraId="2CCF165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года</w:t>
            </w:r>
          </w:p>
        </w:tc>
        <w:tc>
          <w:tcPr>
            <w:tcW w:w="2898" w:type="dxa"/>
          </w:tcPr>
          <w:p w14:paraId="1F98E72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Вышел на испытания.</w:t>
            </w:r>
          </w:p>
        </w:tc>
        <w:tc>
          <w:tcPr>
            <w:tcW w:w="2898" w:type="dxa"/>
          </w:tcPr>
          <w:p w14:paraId="47E81A4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2B9EFA7" w14:textId="77777777">
        <w:tc>
          <w:tcPr>
            <w:tcW w:w="2898" w:type="dxa"/>
          </w:tcPr>
          <w:p w14:paraId="07E8823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ДИП-2М34</w:t>
            </w:r>
          </w:p>
        </w:tc>
        <w:tc>
          <w:tcPr>
            <w:tcW w:w="2898" w:type="dxa"/>
          </w:tcPr>
          <w:p w14:paraId="7DD92AC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 года</w:t>
            </w:r>
          </w:p>
        </w:tc>
        <w:tc>
          <w:tcPr>
            <w:tcW w:w="2898" w:type="dxa"/>
          </w:tcPr>
          <w:p w14:paraId="0F4C407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7B50B84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6742F0E" w14:textId="77777777">
        <w:tc>
          <w:tcPr>
            <w:tcW w:w="2898" w:type="dxa"/>
          </w:tcPr>
          <w:p w14:paraId="122BC9B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 – Райт-Циклон</w:t>
            </w:r>
          </w:p>
        </w:tc>
        <w:tc>
          <w:tcPr>
            <w:tcW w:w="2898" w:type="dxa"/>
          </w:tcPr>
          <w:p w14:paraId="34E52D9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1934 года</w:t>
            </w:r>
          </w:p>
        </w:tc>
        <w:tc>
          <w:tcPr>
            <w:tcW w:w="2898" w:type="dxa"/>
          </w:tcPr>
          <w:p w14:paraId="5713E79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31A8092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3B7102C" w14:textId="77777777">
        <w:tc>
          <w:tcPr>
            <w:tcW w:w="2898" w:type="dxa"/>
          </w:tcPr>
          <w:p w14:paraId="023DF8A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ТБ6-10-12-М34</w:t>
            </w:r>
          </w:p>
        </w:tc>
        <w:tc>
          <w:tcPr>
            <w:tcW w:w="2898" w:type="dxa"/>
          </w:tcPr>
          <w:p w14:paraId="1E795DA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1935 года</w:t>
            </w:r>
          </w:p>
        </w:tc>
        <w:tc>
          <w:tcPr>
            <w:tcW w:w="2898" w:type="dxa"/>
          </w:tcPr>
          <w:p w14:paraId="310AF65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ведутся.</w:t>
            </w:r>
          </w:p>
        </w:tc>
        <w:tc>
          <w:tcPr>
            <w:tcW w:w="2898" w:type="dxa"/>
          </w:tcPr>
          <w:p w14:paraId="0C98245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0C500AB" w14:textId="77777777">
        <w:tc>
          <w:tcPr>
            <w:tcW w:w="2898" w:type="dxa"/>
          </w:tcPr>
          <w:p w14:paraId="60F4376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Стратосферный самолет</w:t>
            </w:r>
          </w:p>
        </w:tc>
        <w:tc>
          <w:tcPr>
            <w:tcW w:w="2898" w:type="dxa"/>
          </w:tcPr>
          <w:p w14:paraId="13FE7F4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 года</w:t>
            </w:r>
          </w:p>
        </w:tc>
        <w:tc>
          <w:tcPr>
            <w:tcW w:w="2898" w:type="dxa"/>
          </w:tcPr>
          <w:p w14:paraId="256683B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ведутся.</w:t>
            </w:r>
          </w:p>
        </w:tc>
        <w:tc>
          <w:tcPr>
            <w:tcW w:w="2898" w:type="dxa"/>
          </w:tcPr>
          <w:p w14:paraId="68D8D08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329F6C5" w14:textId="77777777">
        <w:tc>
          <w:tcPr>
            <w:tcW w:w="2898" w:type="dxa"/>
          </w:tcPr>
          <w:p w14:paraId="00B7855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ВТ-2</w:t>
            </w:r>
          </w:p>
        </w:tc>
        <w:tc>
          <w:tcPr>
            <w:tcW w:w="2898" w:type="dxa"/>
          </w:tcPr>
          <w:p w14:paraId="1B83906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июля 1933 года</w:t>
            </w:r>
          </w:p>
        </w:tc>
        <w:tc>
          <w:tcPr>
            <w:tcW w:w="2898" w:type="dxa"/>
          </w:tcPr>
          <w:p w14:paraId="2146CC6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испытаниям приступлено. Фактически будет предъявлен 1 октября 1933 года.</w:t>
            </w:r>
          </w:p>
        </w:tc>
        <w:tc>
          <w:tcPr>
            <w:tcW w:w="2898" w:type="dxa"/>
          </w:tcPr>
          <w:p w14:paraId="341C77B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9FD69D0" w14:textId="77777777">
        <w:tc>
          <w:tcPr>
            <w:tcW w:w="2898" w:type="dxa"/>
          </w:tcPr>
          <w:p w14:paraId="3BECBDB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М-22</w:t>
            </w:r>
          </w:p>
        </w:tc>
        <w:tc>
          <w:tcPr>
            <w:tcW w:w="2898" w:type="dxa"/>
          </w:tcPr>
          <w:p w14:paraId="0437FFD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w:t>
            </w:r>
          </w:p>
        </w:tc>
        <w:tc>
          <w:tcPr>
            <w:tcW w:w="2898" w:type="dxa"/>
          </w:tcPr>
          <w:p w14:paraId="735E781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развернуты.</w:t>
            </w:r>
          </w:p>
        </w:tc>
        <w:tc>
          <w:tcPr>
            <w:tcW w:w="2898" w:type="dxa"/>
          </w:tcPr>
          <w:p w14:paraId="0A32629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09FBB83" w14:textId="77777777">
        <w:tc>
          <w:tcPr>
            <w:tcW w:w="2898" w:type="dxa"/>
          </w:tcPr>
          <w:p w14:paraId="19D12F6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У3-М48</w:t>
            </w:r>
          </w:p>
        </w:tc>
        <w:tc>
          <w:tcPr>
            <w:tcW w:w="2898" w:type="dxa"/>
          </w:tcPr>
          <w:p w14:paraId="09151A6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 года</w:t>
            </w:r>
          </w:p>
        </w:tc>
        <w:tc>
          <w:tcPr>
            <w:tcW w:w="2898" w:type="dxa"/>
          </w:tcPr>
          <w:p w14:paraId="09A3996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Подготовительные работы развернуты.</w:t>
            </w:r>
          </w:p>
        </w:tc>
        <w:tc>
          <w:tcPr>
            <w:tcW w:w="2898" w:type="dxa"/>
          </w:tcPr>
          <w:p w14:paraId="6441853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4AE95D1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98"/>
        <w:gridCol w:w="2898"/>
        <w:gridCol w:w="2898"/>
        <w:gridCol w:w="2898"/>
      </w:tblGrid>
      <w:tr w:rsidR="004E10C1" w:rsidRPr="0044524F" w14:paraId="7D8C2962" w14:textId="77777777">
        <w:tc>
          <w:tcPr>
            <w:tcW w:w="2898" w:type="dxa"/>
          </w:tcPr>
          <w:p w14:paraId="75A526A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w:t>
            </w:r>
          </w:p>
        </w:tc>
        <w:tc>
          <w:tcPr>
            <w:tcW w:w="2898" w:type="dxa"/>
          </w:tcPr>
          <w:p w14:paraId="5BC8B2B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2898" w:type="dxa"/>
          </w:tcPr>
          <w:p w14:paraId="3D7C7BB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 к испытаниям.</w:t>
            </w:r>
          </w:p>
        </w:tc>
        <w:tc>
          <w:tcPr>
            <w:tcW w:w="2898" w:type="dxa"/>
          </w:tcPr>
          <w:p w14:paraId="6BA394B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Редуктор прошел все испытания (ноябрь – 5, декабрь – 15).</w:t>
            </w:r>
          </w:p>
        </w:tc>
      </w:tr>
      <w:tr w:rsidR="004E10C1" w:rsidRPr="0044524F" w14:paraId="0CFF4D5C" w14:textId="77777777">
        <w:tc>
          <w:tcPr>
            <w:tcW w:w="2898" w:type="dxa"/>
          </w:tcPr>
          <w:p w14:paraId="051C81C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РН</w:t>
            </w:r>
          </w:p>
        </w:tc>
        <w:tc>
          <w:tcPr>
            <w:tcW w:w="2898" w:type="dxa"/>
          </w:tcPr>
          <w:p w14:paraId="31AB556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года</w:t>
            </w:r>
          </w:p>
        </w:tc>
        <w:tc>
          <w:tcPr>
            <w:tcW w:w="2898" w:type="dxa"/>
          </w:tcPr>
          <w:p w14:paraId="14F9484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выд.</w:t>
            </w:r>
          </w:p>
        </w:tc>
        <w:tc>
          <w:tcPr>
            <w:tcW w:w="2898" w:type="dxa"/>
          </w:tcPr>
          <w:p w14:paraId="3A55EA0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Нагнетатель – на испытания в ВВС к 15 сентября результат.</w:t>
            </w:r>
          </w:p>
        </w:tc>
      </w:tr>
      <w:tr w:rsidR="004E10C1" w:rsidRPr="0044524F" w14:paraId="070F5275" w14:textId="77777777">
        <w:tc>
          <w:tcPr>
            <w:tcW w:w="2898" w:type="dxa"/>
          </w:tcPr>
          <w:p w14:paraId="394774D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 (форсир.)</w:t>
            </w:r>
          </w:p>
        </w:tc>
        <w:tc>
          <w:tcPr>
            <w:tcW w:w="2898" w:type="dxa"/>
          </w:tcPr>
          <w:p w14:paraId="055A8C0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1934 года</w:t>
            </w:r>
          </w:p>
        </w:tc>
        <w:tc>
          <w:tcPr>
            <w:tcW w:w="2898" w:type="dxa"/>
          </w:tcPr>
          <w:p w14:paraId="7DBB21F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развернуты.</w:t>
            </w:r>
          </w:p>
        </w:tc>
        <w:tc>
          <w:tcPr>
            <w:tcW w:w="2898" w:type="dxa"/>
          </w:tcPr>
          <w:p w14:paraId="0F13D64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07616E6" w14:textId="77777777">
        <w:tc>
          <w:tcPr>
            <w:tcW w:w="2898" w:type="dxa"/>
          </w:tcPr>
          <w:p w14:paraId="71DB19F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ФРН с выключающимся нагнетателем и винтом перемен.</w:t>
            </w:r>
          </w:p>
        </w:tc>
        <w:tc>
          <w:tcPr>
            <w:tcW w:w="2898" w:type="dxa"/>
          </w:tcPr>
          <w:p w14:paraId="7D80BD5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 года</w:t>
            </w:r>
          </w:p>
        </w:tc>
        <w:tc>
          <w:tcPr>
            <w:tcW w:w="2898" w:type="dxa"/>
          </w:tcPr>
          <w:p w14:paraId="4EEBFED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Подготовительные работы развертываются.</w:t>
            </w:r>
          </w:p>
        </w:tc>
        <w:tc>
          <w:tcPr>
            <w:tcW w:w="2898" w:type="dxa"/>
          </w:tcPr>
          <w:p w14:paraId="4E9BF79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F08F840" w14:textId="77777777">
        <w:tc>
          <w:tcPr>
            <w:tcW w:w="2898" w:type="dxa"/>
          </w:tcPr>
          <w:p w14:paraId="5D59547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М34 с электрон. карт. </w:t>
            </w:r>
          </w:p>
        </w:tc>
        <w:tc>
          <w:tcPr>
            <w:tcW w:w="2898" w:type="dxa"/>
          </w:tcPr>
          <w:p w14:paraId="470B1E9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c>
          <w:tcPr>
            <w:tcW w:w="2898" w:type="dxa"/>
          </w:tcPr>
          <w:p w14:paraId="10A094B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 элект. карт. в стадии сборки.</w:t>
            </w:r>
          </w:p>
        </w:tc>
        <w:tc>
          <w:tcPr>
            <w:tcW w:w="2898" w:type="dxa"/>
          </w:tcPr>
          <w:p w14:paraId="7B76FE5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8F838B0" w14:textId="77777777">
        <w:tc>
          <w:tcPr>
            <w:tcW w:w="2898" w:type="dxa"/>
          </w:tcPr>
          <w:p w14:paraId="36286739"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глиссер</w:t>
            </w:r>
          </w:p>
        </w:tc>
        <w:tc>
          <w:tcPr>
            <w:tcW w:w="2898" w:type="dxa"/>
          </w:tcPr>
          <w:p w14:paraId="470CC37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1933 года</w:t>
            </w:r>
          </w:p>
        </w:tc>
        <w:tc>
          <w:tcPr>
            <w:tcW w:w="2898" w:type="dxa"/>
          </w:tcPr>
          <w:p w14:paraId="4FB4345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Передан на испытание.</w:t>
            </w:r>
          </w:p>
        </w:tc>
        <w:tc>
          <w:tcPr>
            <w:tcW w:w="2898" w:type="dxa"/>
          </w:tcPr>
          <w:p w14:paraId="4F49456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3BD4FEA" w14:textId="77777777">
        <w:tc>
          <w:tcPr>
            <w:tcW w:w="2898" w:type="dxa"/>
          </w:tcPr>
          <w:p w14:paraId="75A3A19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с нагнетателем</w:t>
            </w:r>
          </w:p>
        </w:tc>
        <w:tc>
          <w:tcPr>
            <w:tcW w:w="2898" w:type="dxa"/>
          </w:tcPr>
          <w:p w14:paraId="217AD5A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2898" w:type="dxa"/>
          </w:tcPr>
          <w:p w14:paraId="0064342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стадии заводских испытаний (№ 29 – Запорожье).</w:t>
            </w:r>
          </w:p>
        </w:tc>
        <w:tc>
          <w:tcPr>
            <w:tcW w:w="2898" w:type="dxa"/>
          </w:tcPr>
          <w:p w14:paraId="1F30872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3266EC" w14:textId="77777777">
        <w:tc>
          <w:tcPr>
            <w:tcW w:w="2898" w:type="dxa"/>
          </w:tcPr>
          <w:p w14:paraId="30AF921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 с нагнетателем и редуктором</w:t>
            </w:r>
          </w:p>
        </w:tc>
        <w:tc>
          <w:tcPr>
            <w:tcW w:w="2898" w:type="dxa"/>
          </w:tcPr>
          <w:p w14:paraId="5A8413C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 года</w:t>
            </w:r>
          </w:p>
        </w:tc>
        <w:tc>
          <w:tcPr>
            <w:tcW w:w="2898" w:type="dxa"/>
          </w:tcPr>
          <w:p w14:paraId="17F8C06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ведутся.</w:t>
            </w:r>
          </w:p>
        </w:tc>
        <w:tc>
          <w:tcPr>
            <w:tcW w:w="2898" w:type="dxa"/>
          </w:tcPr>
          <w:p w14:paraId="3CFAA90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B2A2932" w14:textId="77777777">
        <w:tc>
          <w:tcPr>
            <w:tcW w:w="2898" w:type="dxa"/>
          </w:tcPr>
          <w:p w14:paraId="63A36A9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 с нагнетателем</w:t>
            </w:r>
          </w:p>
        </w:tc>
        <w:tc>
          <w:tcPr>
            <w:tcW w:w="2898" w:type="dxa"/>
          </w:tcPr>
          <w:p w14:paraId="0F3CEA4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w:t>
            </w:r>
          </w:p>
        </w:tc>
        <w:tc>
          <w:tcPr>
            <w:tcW w:w="2898" w:type="dxa"/>
          </w:tcPr>
          <w:p w14:paraId="2EF3EA2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Будет собран к этому сроку.</w:t>
            </w:r>
          </w:p>
        </w:tc>
        <w:tc>
          <w:tcPr>
            <w:tcW w:w="2898" w:type="dxa"/>
          </w:tcPr>
          <w:p w14:paraId="5E6A9D8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390E1A" w14:textId="77777777">
        <w:tc>
          <w:tcPr>
            <w:tcW w:w="2898" w:type="dxa"/>
          </w:tcPr>
          <w:p w14:paraId="5B7B453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w:t>
            </w:r>
          </w:p>
        </w:tc>
        <w:tc>
          <w:tcPr>
            <w:tcW w:w="2898" w:type="dxa"/>
          </w:tcPr>
          <w:p w14:paraId="231C52D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2898" w:type="dxa"/>
          </w:tcPr>
          <w:p w14:paraId="10A1AFA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25DBAAE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6C09277" w14:textId="77777777">
        <w:tc>
          <w:tcPr>
            <w:tcW w:w="2898" w:type="dxa"/>
          </w:tcPr>
          <w:p w14:paraId="62DEEAA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М-56</w:t>
            </w:r>
          </w:p>
        </w:tc>
        <w:tc>
          <w:tcPr>
            <w:tcW w:w="2898" w:type="dxa"/>
          </w:tcPr>
          <w:p w14:paraId="1CDC5E56"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1934 года</w:t>
            </w:r>
          </w:p>
        </w:tc>
        <w:tc>
          <w:tcPr>
            <w:tcW w:w="2898" w:type="dxa"/>
          </w:tcPr>
          <w:p w14:paraId="4D1BCB0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98" w:type="dxa"/>
          </w:tcPr>
          <w:p w14:paraId="3E48B7D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Воздушное охлаждение, конструкция ЦИАМа.</w:t>
            </w:r>
          </w:p>
        </w:tc>
      </w:tr>
    </w:tbl>
    <w:p w14:paraId="24BF81E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(4223, 26-27).</w:t>
      </w:r>
    </w:p>
    <w:p w14:paraId="61E8186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FFCB67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 закончились повторные полигонные испытания "ВОМИЗА-250" (Воздушная мина заграждения с 250 кг зарядом взрывчатого вещества), которые начались 4 июля 1933, т.к. первые испытания в ноябре 1932 были прекращены из-за неудовлетворительного действия механизмов отдачи мины от якоря. Испытания производились в Финском заливе с сухопутного аэродрома (Комендантского)"ВОМИЗА-250" самолетами ТБ-1 и ТБ-3. Решили представить на войсковые испытания, которые закончить в навигацию текущего года (3053).</w:t>
      </w:r>
    </w:p>
    <w:p w14:paraId="3CF153B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112574D1" w14:textId="77777777" w:rsidR="005F0450" w:rsidRPr="0044524F" w:rsidRDefault="005F04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 сентября 1933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Храбковского − по модернизации В-7 было спущено около 2000 чертежей [14, л. 40-42 об] (15797).</w:t>
      </w:r>
    </w:p>
    <w:p w14:paraId="64FF2787" w14:textId="77777777" w:rsidR="005F0450" w:rsidRPr="0044524F" w:rsidRDefault="005F0450" w:rsidP="009654CF">
      <w:pPr>
        <w:spacing w:after="0" w:line="240" w:lineRule="auto"/>
        <w:jc w:val="both"/>
        <w:rPr>
          <w:rFonts w:ascii="Times New Roman" w:hAnsi="Times New Roman"/>
          <w:color w:val="000000" w:themeColor="text1"/>
          <w:sz w:val="16"/>
          <w:szCs w:val="16"/>
        </w:rPr>
      </w:pPr>
    </w:p>
    <w:p w14:paraId="2B9C495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 на планерных состязаниях в Коктебеле Сергей Николаевич Анохин впервые в термических потоках на планере обогнул гору Карадаг (5996).</w:t>
      </w:r>
    </w:p>
    <w:p w14:paraId="25B5C27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8F2AD8B"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0F88491"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90264B2" w14:textId="77777777" w:rsidR="00494802" w:rsidRPr="0044524F" w:rsidRDefault="004948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1 сентября 1933 г. ВЭСО ликвидируется, а его функции по управлению слаботочной отраслью передаются одному из оборонных главком НКТП – Главному управлению электрослаботочной промышленности (Главэспром). Это явилось очередным последовательно-логичным шагом по интеграции отрасли в нарождающийся отечественный оборонно-промышленный комплекс (ОПК) (18297).</w:t>
      </w:r>
    </w:p>
    <w:p w14:paraId="6BDDFF71" w14:textId="77777777" w:rsidR="00494802" w:rsidRPr="0044524F" w:rsidRDefault="00494802" w:rsidP="009654CF">
      <w:pPr>
        <w:spacing w:after="0" w:line="240" w:lineRule="auto"/>
        <w:jc w:val="both"/>
        <w:rPr>
          <w:rFonts w:ascii="Times New Roman" w:hAnsi="Times New Roman"/>
          <w:color w:val="000000" w:themeColor="text1"/>
          <w:sz w:val="16"/>
          <w:szCs w:val="16"/>
        </w:rPr>
      </w:pPr>
    </w:p>
    <w:p w14:paraId="3E9D78C7"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 сентября 1933г. в связи с ликвидацией ВЭСО ЦРЛ была пере</w:t>
      </w:r>
      <w:r w:rsidRPr="0044524F">
        <w:rPr>
          <w:rFonts w:ascii="Times New Roman" w:hAnsi="Times New Roman"/>
          <w:color w:val="000000" w:themeColor="text1"/>
          <w:sz w:val="16"/>
          <w:szCs w:val="16"/>
        </w:rPr>
        <w:softHyphen/>
        <w:t>подчинена Главэспрому НКТП (11481).</w:t>
      </w:r>
    </w:p>
    <w:p w14:paraId="3A2F455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 и7 сентября 1933. Из протокола заседания Политбюро N 145, 1933 г.</w:t>
      </w:r>
    </w:p>
    <w:p w14:paraId="42839BF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 отпуске средств Радиевому институту </w:t>
      </w:r>
    </w:p>
    <w:p w14:paraId="4E02C3D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СНК СССР об отпуске Радиевому институту 100 тыс. руб. из резервного фонда СНК СССР на работы по расщеплению атома протонным пучком (11652).</w:t>
      </w:r>
    </w:p>
    <w:p w14:paraId="5B1F238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54A2125C" w14:textId="77777777" w:rsidR="005F0450" w:rsidRPr="0044524F" w:rsidRDefault="005F0450"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 xml:space="preserve">1 сентября </w:t>
      </w:r>
      <w:r w:rsidRPr="0044524F">
        <w:rPr>
          <w:rFonts w:ascii="Times New Roman" w:hAnsi="Times New Roman"/>
          <w:color w:val="000000" w:themeColor="text1"/>
          <w:sz w:val="16"/>
          <w:szCs w:val="16"/>
        </w:rPr>
        <w:t>в 1933 году на берегу реки Вятки был основан деревообрабатывающий комбинат, переданный в августе 1941 г. Главлесэкспорту для организации производства лыж на нужды фронта. Ныне — ОАО ордена Трудового Красного Знамени "Нововятский лыжный комбинат" (Кировская область)</w:t>
      </w:r>
    </w:p>
    <w:p w14:paraId="68A72EFB" w14:textId="77777777" w:rsidR="005F0450" w:rsidRPr="0044524F" w:rsidRDefault="005F0450" w:rsidP="009654CF">
      <w:pPr>
        <w:spacing w:after="0" w:line="240" w:lineRule="auto"/>
        <w:jc w:val="both"/>
        <w:rPr>
          <w:rFonts w:ascii="Times New Roman" w:hAnsi="Times New Roman"/>
          <w:color w:val="000000" w:themeColor="text1"/>
          <w:sz w:val="16"/>
          <w:szCs w:val="16"/>
        </w:rPr>
      </w:pPr>
    </w:p>
    <w:p w14:paraId="4D79144C" w14:textId="24D525E5" w:rsidR="00C16627" w:rsidRPr="0044524F" w:rsidRDefault="00C16627" w:rsidP="00C16627">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44524F">
        <w:rPr>
          <w:rFonts w:ascii="Times New Roman" w:hAnsi="Times New Roman"/>
          <w:i/>
          <w:iCs/>
          <w:color w:val="000000" w:themeColor="text1"/>
          <w:sz w:val="16"/>
          <w:szCs w:val="16"/>
        </w:rPr>
        <w:t>:</w:t>
      </w:r>
    </w:p>
    <w:p w14:paraId="390C85F2" w14:textId="77777777" w:rsidR="00C16627" w:rsidRPr="0044524F" w:rsidRDefault="00C16627" w:rsidP="00C16627">
      <w:pPr>
        <w:autoSpaceDE w:val="0"/>
        <w:autoSpaceDN w:val="0"/>
        <w:adjustRightInd w:val="0"/>
        <w:spacing w:after="0" w:line="240" w:lineRule="auto"/>
        <w:jc w:val="both"/>
        <w:rPr>
          <w:rFonts w:ascii="Times New Roman" w:hAnsi="Times New Roman"/>
          <w:iCs/>
          <w:color w:val="000000" w:themeColor="text1"/>
          <w:sz w:val="16"/>
          <w:szCs w:val="16"/>
        </w:rPr>
      </w:pPr>
    </w:p>
    <w:p w14:paraId="5B56C0B4" w14:textId="77777777" w:rsidR="00C16627" w:rsidRPr="00142305" w:rsidRDefault="00C16627" w:rsidP="00C1662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сентября 1933 г. всего в ВВС РККА наличествовали 57 машин С-62 и МБР-4, и только одна из них числилась неисправной (24948).</w:t>
      </w:r>
    </w:p>
    <w:p w14:paraId="2A2B9541" w14:textId="77777777" w:rsidR="00C16627" w:rsidRPr="00142305" w:rsidRDefault="00C16627" w:rsidP="00C16627">
      <w:pPr>
        <w:spacing w:after="0" w:line="240" w:lineRule="auto"/>
        <w:jc w:val="both"/>
        <w:rPr>
          <w:rFonts w:ascii="Times New Roman" w:hAnsi="Times New Roman"/>
          <w:color w:val="0070C0"/>
          <w:sz w:val="16"/>
          <w:szCs w:val="16"/>
        </w:rPr>
      </w:pPr>
    </w:p>
    <w:p w14:paraId="70C25209"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9D210F6"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AE1AA9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 и</w:t>
      </w:r>
      <w:r w:rsidR="00494802"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7 сентября 1933. Из протокола заседания Политбюро N 145, 1933 г.</w:t>
      </w:r>
    </w:p>
    <w:p w14:paraId="7E5990E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Телеграммы с мест об оставлении на прежних работах переводимых в лагеря ОГПУ осужденных на 2 года и больше </w:t>
      </w:r>
    </w:p>
    <w:p w14:paraId="4D1812E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Предложить всем обкомам и крайкомам передать полностью контингенты, подлежащие отправке в лагеря ОГПУ, сняв их со всех работ, где они в настоящее время заняты. </w:t>
      </w:r>
    </w:p>
    <w:p w14:paraId="2F99276B"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Оставить в местах прежней работы из числа осужденных органами НКЮ на 2 года и выше только тех, которые имеют остаток срока отбывания наказания менее года. </w:t>
      </w:r>
    </w:p>
    <w:p w14:paraId="2189FA02"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На крупнейших объектах работ компенсировать отправляемых в лагеря заключенных за счет сворачивания всех второстепенных объектов, а также за счет перевода принудиловцев.</w:t>
      </w:r>
    </w:p>
    <w:p w14:paraId="4548D2C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Использовать в открытых колониях УИТУ подследственных, за исключением первой категории (11652).</w:t>
      </w:r>
    </w:p>
    <w:p w14:paraId="15CBE58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A314AD4"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010783C"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2E1921A"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Гитлер в Нюрнберге заявил, что германское искусство будет базироваться на «нордических принципах» (4962).</w:t>
      </w:r>
    </w:p>
    <w:p w14:paraId="52AED665" w14:textId="77777777" w:rsidR="00FD662C" w:rsidRPr="0044524F" w:rsidRDefault="00FD662C"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63D0B6"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84A9ECC"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1BAD94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сентября 1933 года начальник 4 сектора 1 отдела штаба ВВС Алексеевский писал письмо начальнику 1 сектора 1 отдела штаба ВВС в сопровождении:</w:t>
      </w:r>
    </w:p>
    <w:p w14:paraId="282EDC4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Отчета по испытанию облегченного самолета ТБ3-4М17 на определение радиуса действия и бомбовой нагрузки самолета</w:t>
      </w:r>
    </w:p>
    <w:p w14:paraId="28C554F4"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3558E13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испытания самолета Лосюков</w:t>
      </w:r>
    </w:p>
    <w:p w14:paraId="2DC4ED3F"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Юмашев</w:t>
      </w:r>
    </w:p>
    <w:p w14:paraId="76CE63C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66D7881C"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радиус действия и бомбовую нагрузку облегченного самолета ТБ3-4М17.</w:t>
      </w:r>
    </w:p>
    <w:p w14:paraId="758D95E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приказа РВС о дальнейшем увеличении радиуса действия и бомбовой нагрузки самолета ТБ3-4М17.</w:t>
      </w:r>
    </w:p>
    <w:p w14:paraId="53BBAE4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621AD0F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Резкое увеличение радиуса действия и бомбовой нагрузки самолета ТБ3-4М17, имеющее место благодаря:</w:t>
      </w:r>
    </w:p>
    <w:p w14:paraId="39CF330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уменьшения расхода горючего на км пути на 24%, что при запасе топлива 5 тонн составляет 1000 кг;</w:t>
      </w:r>
    </w:p>
    <w:p w14:paraId="5CE650B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облегчения несъемного оборудования и конструкции самолета на 518 кг;</w:t>
      </w:r>
    </w:p>
    <w:p w14:paraId="0AB351E7"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увеличения полетного веса самолета на 500 кг;</w:t>
      </w:r>
    </w:p>
    <w:p w14:paraId="1C59C118"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уменьшения запаса масла с 460 до 300 кг</w:t>
      </w:r>
    </w:p>
    <w:p w14:paraId="3A5175B5"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повышает во много раз боевую отдачу тяжелой бомбардировочной авиации ВВС и подлежит скорейшему освоению строевыми частями.</w:t>
      </w:r>
    </w:p>
    <w:p w14:paraId="621D7F3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радиуса действия и бомбовой нагрузки за счет дальнейшего объединения смеси и увеличения полетного веса самолета НИИ ВВС считает недопустимым...</w:t>
      </w:r>
    </w:p>
    <w:p w14:paraId="20A722E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Испытательный полет по маршруту Щелково-Евпатория-Щелково проходил 8 августа 1933 года (3903,27-36).</w:t>
      </w:r>
    </w:p>
    <w:p w14:paraId="46F1AB7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5A93EAB6" w14:textId="77777777" w:rsidR="001836B7" w:rsidRPr="0044524F" w:rsidRDefault="001836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сентября 1933 г. на завод № 31 пришел приказ остановить производство этих итальянских гидросамолетов, поскольку было решено заменить ее новой летающей лодкой конструкции Г.М. Бериева МБР-2 (Морской Ближний Разведчик Второй) (21410).</w:t>
      </w:r>
    </w:p>
    <w:p w14:paraId="77A026E6" w14:textId="77777777" w:rsidR="001836B7" w:rsidRPr="0044524F" w:rsidRDefault="001836B7" w:rsidP="009654CF">
      <w:pPr>
        <w:spacing w:after="0" w:line="240" w:lineRule="auto"/>
        <w:jc w:val="both"/>
        <w:rPr>
          <w:rFonts w:ascii="Times New Roman" w:hAnsi="Times New Roman"/>
          <w:color w:val="000000" w:themeColor="text1"/>
          <w:sz w:val="16"/>
          <w:szCs w:val="16"/>
        </w:rPr>
      </w:pPr>
    </w:p>
    <w:p w14:paraId="613C4526"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сен</w:t>
      </w:r>
      <w:r w:rsidRPr="00142305">
        <w:rPr>
          <w:rFonts w:ascii="Times New Roman" w:hAnsi="Times New Roman"/>
          <w:color w:val="0070C0"/>
          <w:sz w:val="16"/>
          <w:szCs w:val="16"/>
        </w:rPr>
        <w:softHyphen/>
        <w:t>тября 1933 г. на завод № 31 прибыло распоряжение прекратить выпуск ита</w:t>
      </w:r>
      <w:r w:rsidRPr="00142305">
        <w:rPr>
          <w:rFonts w:ascii="Times New Roman" w:hAnsi="Times New Roman"/>
          <w:color w:val="0070C0"/>
          <w:sz w:val="16"/>
          <w:szCs w:val="16"/>
        </w:rPr>
        <w:softHyphen/>
        <w:t>льянских лодок М-62 (МБР-4). В октябре предприятие приступило к освоению серийного произ</w:t>
      </w:r>
      <w:r w:rsidRPr="00142305">
        <w:rPr>
          <w:rFonts w:ascii="Times New Roman" w:hAnsi="Times New Roman"/>
          <w:color w:val="0070C0"/>
          <w:sz w:val="16"/>
          <w:szCs w:val="16"/>
        </w:rPr>
        <w:softHyphen/>
        <w:t>водства летающих лодок МБР-2 конструк</w:t>
      </w:r>
      <w:r w:rsidRPr="00142305">
        <w:rPr>
          <w:rFonts w:ascii="Times New Roman" w:hAnsi="Times New Roman"/>
          <w:color w:val="0070C0"/>
          <w:sz w:val="16"/>
          <w:szCs w:val="16"/>
        </w:rPr>
        <w:softHyphen/>
        <w:t>ции ГМ. Бериева. Бериевская машина, выполненная по схеме моноплана, не</w:t>
      </w:r>
      <w:r w:rsidRPr="00142305">
        <w:rPr>
          <w:rFonts w:ascii="Times New Roman" w:hAnsi="Times New Roman"/>
          <w:color w:val="0070C0"/>
          <w:sz w:val="16"/>
          <w:szCs w:val="16"/>
        </w:rPr>
        <w:softHyphen/>
        <w:t>сколько уступала «савойе» по скорости (не в последнюю очередь из-за менее мощного мотора М-17), но превосходила по мореходности (из-за килеватого дни</w:t>
      </w:r>
      <w:r w:rsidRPr="00142305">
        <w:rPr>
          <w:rFonts w:ascii="Times New Roman" w:hAnsi="Times New Roman"/>
          <w:color w:val="0070C0"/>
          <w:sz w:val="16"/>
          <w:szCs w:val="16"/>
        </w:rPr>
        <w:softHyphen/>
        <w:t>ща) и взлетно-посадочным качествам. А главное, она полностью была своей - не нужны лицензии, не надо покупать за границей двигатели. Курс резко изменил</w:t>
      </w:r>
      <w:r w:rsidRPr="00142305">
        <w:rPr>
          <w:rFonts w:ascii="Times New Roman" w:hAnsi="Times New Roman"/>
          <w:color w:val="0070C0"/>
          <w:sz w:val="16"/>
          <w:szCs w:val="16"/>
        </w:rPr>
        <w:softHyphen/>
        <w:t>ся - МБР-4 вычеркнули из всех планов, заменив МБР-2.19 ноября 1933 г. работу по варианту «савойи» с М-34 предложили закрыть.</w:t>
      </w:r>
    </w:p>
    <w:p w14:paraId="6035A4A9"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Основную же модификацию продолжа</w:t>
      </w:r>
      <w:r w:rsidRPr="00142305">
        <w:rPr>
          <w:rFonts w:ascii="Times New Roman" w:hAnsi="Times New Roman"/>
          <w:color w:val="0070C0"/>
          <w:sz w:val="16"/>
          <w:szCs w:val="16"/>
        </w:rPr>
        <w:softHyphen/>
        <w:t>ли собирать, используя заготовленный запас узлов и агрегатов. Производство «савой» в Таганроге окончательно пре</w:t>
      </w:r>
      <w:r w:rsidRPr="00142305">
        <w:rPr>
          <w:rFonts w:ascii="Times New Roman" w:hAnsi="Times New Roman"/>
          <w:color w:val="0070C0"/>
          <w:sz w:val="16"/>
          <w:szCs w:val="16"/>
        </w:rPr>
        <w:softHyphen/>
        <w:t>кратили весной 1934 г. Всего построили 51 машину; все с двигателями Ассо 750 (24948).</w:t>
      </w:r>
    </w:p>
    <w:p w14:paraId="04FAC9C8" w14:textId="77777777" w:rsidR="008553FB" w:rsidRPr="00142305" w:rsidRDefault="008553FB" w:rsidP="008553FB">
      <w:pPr>
        <w:spacing w:after="0" w:line="240" w:lineRule="auto"/>
        <w:jc w:val="both"/>
        <w:rPr>
          <w:rFonts w:ascii="Times New Roman" w:hAnsi="Times New Roman"/>
          <w:color w:val="0070C0"/>
          <w:sz w:val="16"/>
          <w:szCs w:val="16"/>
        </w:rPr>
      </w:pPr>
    </w:p>
    <w:p w14:paraId="3E925D0A"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2–3 сентября 1933 г. на военном аэродроме в Новосельцах проходили Испытания «Звена-1а».</w:t>
      </w:r>
    </w:p>
    <w:p w14:paraId="100821CD"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1933 г. на вооружение поступила новая техника — четырёхмоторный бомбардировщик ТБ-3 и истребитель И-5. Из этих самолётов Вахмистров составил новые «звенья». Для начала на ТБ-1 установили два биплана И-5. Эту составную конструкцию назвали «Звено-1a». Технически она почти не отличалась от «Звена-1», за исключением заднего замка на И-5, который сделали самозапирающимся. Замок смонтировали на фермочке из стальных труб, приваренной к нижним узлам шпангоута за сидением лётчика — так удалось повысить заднюю точку крепления и обеспечить горизонтальность оси нового истребителя.</w:t>
      </w:r>
    </w:p>
    <w:p w14:paraId="23056ECB"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За штурвалом ТБ-1 был Стефановский, истребителями управляли Лагутин и Коккинаки. В первом, пробном полёте проверялась техника разъединения самолётов. На всякий случай из кабины ТБ-1 к замкам протянули тросы для их принудительного открытия. Но этого не понадобилось: отцепившись от задней опоры, лётчики легко, плавным выбиранием ручки на себя, взлетели с крыла носителя. Разделение самолётов происходило на высоте 800 м при скорости 130 км/ч.</w:t>
      </w:r>
    </w:p>
    <w:p w14:paraId="227839DD"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Второй полёт был сделан для определения лётных характеристик «Звена-1а» при работе всех моторов. Преимуществ по сравнению со «Звеном-1» не оказалось.</w:t>
      </w:r>
    </w:p>
    <w:p w14:paraId="79509E23"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третьем, последнем полёте провели эксперимент: опытных испытателей заменили на лётчиков из строевых частей, причём оба лётчика-истребителя, Бубновский и Туренко, летали на «звене» впервые. После получения необходимых указаний и ознакомления с техникой на земле, экипаж в точности выполнил задание, освоив полёт с расцеплением с первого раза. «Лёгкость усвоения техники пилотирования… даёт возможность эксплуатировать самолёт „З-1a“ лётным составом строевых частей без специальной подготовки», — указано в отчёте </w:t>
      </w:r>
      <w:hyperlink r:id="rId319" w:history="1">
        <w:r w:rsidRPr="0044524F">
          <w:rPr>
            <w:rFonts w:ascii="Times New Roman" w:eastAsia="Times New Roman" w:hAnsi="Times New Roman"/>
            <w:color w:val="000000" w:themeColor="text1"/>
            <w:sz w:val="16"/>
            <w:szCs w:val="16"/>
            <w:lang w:eastAsia="ru-RU"/>
          </w:rPr>
          <w:t>[82]</w:t>
        </w:r>
      </w:hyperlink>
      <w:r w:rsidRPr="0044524F">
        <w:rPr>
          <w:rFonts w:ascii="Times New Roman" w:eastAsia="Times New Roman" w:hAnsi="Times New Roman"/>
          <w:color w:val="000000" w:themeColor="text1"/>
          <w:sz w:val="16"/>
          <w:szCs w:val="16"/>
          <w:lang w:eastAsia="ru-RU"/>
        </w:rPr>
        <w:t xml:space="preserve"> (17489).</w:t>
      </w:r>
    </w:p>
    <w:p w14:paraId="24CF902A"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p>
    <w:p w14:paraId="06D6E6E8" w14:textId="77777777" w:rsidR="001836B7" w:rsidRPr="0044524F" w:rsidRDefault="001836B7" w:rsidP="009654CF">
      <w:pPr>
        <w:pStyle w:val="rtejustify"/>
        <w:spacing w:before="0" w:after="0"/>
        <w:rPr>
          <w:color w:val="000000" w:themeColor="text1"/>
          <w:sz w:val="16"/>
          <w:szCs w:val="16"/>
        </w:rPr>
      </w:pPr>
      <w:r w:rsidRPr="0044524F">
        <w:rPr>
          <w:color w:val="000000" w:themeColor="text1"/>
          <w:sz w:val="16"/>
          <w:szCs w:val="16"/>
        </w:rPr>
        <w:t>2 сентября 1933 г. Каганович — Сталину, Ворошилову</w:t>
      </w:r>
    </w:p>
    <w:p w14:paraId="7D6514D0" w14:textId="77777777" w:rsidR="001836B7" w:rsidRPr="0044524F" w:rsidRDefault="001836B7" w:rsidP="009654CF">
      <w:pPr>
        <w:pStyle w:val="rtejustify"/>
        <w:spacing w:before="0" w:after="0"/>
        <w:rPr>
          <w:color w:val="000000" w:themeColor="text1"/>
          <w:sz w:val="16"/>
          <w:szCs w:val="16"/>
        </w:rPr>
      </w:pPr>
      <w:r w:rsidRPr="0044524F">
        <w:rPr>
          <w:color w:val="000000" w:themeColor="text1"/>
          <w:sz w:val="16"/>
          <w:szCs w:val="16"/>
        </w:rPr>
        <w:t>Шифровка.</w:t>
      </w:r>
    </w:p>
    <w:p w14:paraId="29DC7B28" w14:textId="77777777" w:rsidR="001836B7" w:rsidRPr="0044524F" w:rsidRDefault="001836B7" w:rsidP="009654CF">
      <w:pPr>
        <w:pStyle w:val="rtejustify"/>
        <w:spacing w:before="0" w:after="0"/>
        <w:rPr>
          <w:color w:val="000000" w:themeColor="text1"/>
          <w:sz w:val="16"/>
          <w:szCs w:val="16"/>
        </w:rPr>
      </w:pPr>
      <w:r w:rsidRPr="0044524F">
        <w:rPr>
          <w:color w:val="000000" w:themeColor="text1"/>
          <w:sz w:val="16"/>
          <w:szCs w:val="16"/>
        </w:rPr>
        <w:t>Из Москвы 2/IX — 33 г. 21 час. 28 мин. Вх. № 14.</w:t>
      </w:r>
    </w:p>
    <w:p w14:paraId="0A6D704C" w14:textId="77777777" w:rsidR="001836B7" w:rsidRPr="0044524F" w:rsidRDefault="001836B7" w:rsidP="009654CF">
      <w:pPr>
        <w:pStyle w:val="rtecenter"/>
        <w:spacing w:before="0" w:after="0"/>
        <w:jc w:val="both"/>
        <w:rPr>
          <w:color w:val="000000" w:themeColor="text1"/>
          <w:sz w:val="16"/>
          <w:szCs w:val="16"/>
        </w:rPr>
      </w:pPr>
      <w:r w:rsidRPr="0044524F">
        <w:rPr>
          <w:color w:val="000000" w:themeColor="text1"/>
          <w:sz w:val="16"/>
          <w:szCs w:val="16"/>
        </w:rPr>
        <w:t>Т. т. Сталину, Ворошилову.</w:t>
      </w:r>
    </w:p>
    <w:p w14:paraId="2379C105" w14:textId="77777777" w:rsidR="001836B7" w:rsidRPr="0044524F" w:rsidRDefault="001836B7" w:rsidP="009654CF">
      <w:pPr>
        <w:pStyle w:val="rtejustify"/>
        <w:spacing w:before="0" w:after="0"/>
        <w:rPr>
          <w:color w:val="000000" w:themeColor="text1"/>
          <w:sz w:val="16"/>
          <w:szCs w:val="16"/>
        </w:rPr>
      </w:pPr>
      <w:r w:rsidRPr="0044524F">
        <w:rPr>
          <w:color w:val="000000" w:themeColor="text1"/>
          <w:sz w:val="16"/>
          <w:szCs w:val="16"/>
        </w:rPr>
        <w:t>Французский генштаб поставил вопрос о включении в число участников перелета министра авиации Кота официальной военной миссии. В ее состав должен войти ген. Баррес с группой офицеров. Однако эта миссия ставит условием своего прибытия наше согласие показать какие-нибудь части и учреждения нашего воздушного флота.</w:t>
      </w:r>
    </w:p>
    <w:p w14:paraId="10EE9325" w14:textId="77777777" w:rsidR="001836B7" w:rsidRPr="0044524F" w:rsidRDefault="001836B7" w:rsidP="009654CF">
      <w:pPr>
        <w:pStyle w:val="rtejustify"/>
        <w:spacing w:before="0" w:after="0"/>
        <w:rPr>
          <w:color w:val="000000" w:themeColor="text1"/>
          <w:sz w:val="16"/>
          <w:szCs w:val="16"/>
        </w:rPr>
      </w:pPr>
      <w:r w:rsidRPr="0044524F">
        <w:rPr>
          <w:color w:val="000000" w:themeColor="text1"/>
          <w:sz w:val="16"/>
          <w:szCs w:val="16"/>
        </w:rPr>
        <w:lastRenderedPageBreak/>
        <w:t>Тухачевский и НКИД считают целесообразным дать согласие.</w:t>
      </w:r>
    </w:p>
    <w:p w14:paraId="2B8F9A01" w14:textId="77777777" w:rsidR="001836B7" w:rsidRPr="0044524F" w:rsidRDefault="001836B7" w:rsidP="009654CF">
      <w:pPr>
        <w:pStyle w:val="rtejustify"/>
        <w:spacing w:before="0" w:after="0"/>
        <w:rPr>
          <w:color w:val="000000" w:themeColor="text1"/>
          <w:sz w:val="16"/>
          <w:szCs w:val="16"/>
        </w:rPr>
      </w:pPr>
      <w:r w:rsidRPr="0044524F">
        <w:rPr>
          <w:color w:val="000000" w:themeColor="text1"/>
          <w:sz w:val="16"/>
          <w:szCs w:val="16"/>
        </w:rPr>
        <w:t>Прошу сообщить ваше мнение</w:t>
      </w:r>
      <w:r w:rsidRPr="0044524F">
        <w:rPr>
          <w:color w:val="000000" w:themeColor="text1"/>
          <w:sz w:val="16"/>
          <w:szCs w:val="16"/>
          <w:vertAlign w:val="superscript"/>
        </w:rPr>
        <w:t>1</w:t>
      </w:r>
      <w:r w:rsidRPr="0044524F">
        <w:rPr>
          <w:color w:val="000000" w:themeColor="text1"/>
          <w:sz w:val="16"/>
          <w:szCs w:val="16"/>
        </w:rPr>
        <w:t>. HP 14.</w:t>
      </w:r>
    </w:p>
    <w:p w14:paraId="3F13EE9B" w14:textId="77777777" w:rsidR="001836B7" w:rsidRPr="0044524F" w:rsidRDefault="001836B7" w:rsidP="009654CF">
      <w:pPr>
        <w:pStyle w:val="rtejustify"/>
        <w:spacing w:before="0" w:after="0"/>
        <w:rPr>
          <w:color w:val="000000" w:themeColor="text1"/>
          <w:sz w:val="16"/>
          <w:szCs w:val="16"/>
        </w:rPr>
      </w:pPr>
      <w:r w:rsidRPr="0044524F">
        <w:rPr>
          <w:color w:val="000000" w:themeColor="text1"/>
          <w:sz w:val="16"/>
          <w:szCs w:val="16"/>
        </w:rPr>
        <w:t>Каганович.</w:t>
      </w:r>
    </w:p>
    <w:p w14:paraId="7AB58CC4" w14:textId="77777777" w:rsidR="001836B7" w:rsidRPr="0044524F" w:rsidRDefault="001836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РГАСПИ Ф. 558. Оп. 11. Д. 80. Л. 73. Подлинник. Машинопись. </w:t>
      </w:r>
    </w:p>
    <w:p w14:paraId="21E640F4" w14:textId="77777777" w:rsidR="001836B7" w:rsidRPr="0044524F" w:rsidRDefault="001836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Сталин и Каганович. Переписка. 1931–1936 гг. Москва: (РОССПЭН), 2001 Стр. 325 (12361).</w:t>
      </w:r>
    </w:p>
    <w:p w14:paraId="19568CF6" w14:textId="77777777" w:rsidR="001836B7" w:rsidRPr="0044524F" w:rsidRDefault="001836B7" w:rsidP="009654CF">
      <w:pPr>
        <w:spacing w:after="0" w:line="240" w:lineRule="auto"/>
        <w:jc w:val="both"/>
        <w:rPr>
          <w:rFonts w:ascii="Times New Roman" w:hAnsi="Times New Roman"/>
          <w:color w:val="000000" w:themeColor="text1"/>
          <w:sz w:val="16"/>
          <w:szCs w:val="16"/>
          <w:u w:color="002060"/>
        </w:rPr>
      </w:pPr>
    </w:p>
    <w:p w14:paraId="49DA6104"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9C8B469"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3BE17CF"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сентября 1933 Наркомат финансов СССР зареги</w:t>
      </w:r>
      <w:r w:rsidRPr="0044524F">
        <w:rPr>
          <w:rFonts w:ascii="Times New Roman" w:hAnsi="Times New Roman"/>
          <w:color w:val="000000" w:themeColor="text1"/>
          <w:sz w:val="16"/>
          <w:szCs w:val="16"/>
        </w:rPr>
        <w:softHyphen/>
        <w:t>стрировал первый в стране завод серийного производства мотоцик</w:t>
      </w:r>
      <w:r w:rsidRPr="0044524F">
        <w:rPr>
          <w:rFonts w:ascii="Times New Roman" w:hAnsi="Times New Roman"/>
          <w:color w:val="000000" w:themeColor="text1"/>
          <w:sz w:val="16"/>
          <w:szCs w:val="16"/>
        </w:rPr>
        <w:softHyphen/>
        <w:t>лов. До конца года на его территории сдали в эксплуатацию тер</w:t>
      </w:r>
      <w:r w:rsidRPr="0044524F">
        <w:rPr>
          <w:rFonts w:ascii="Times New Roman" w:hAnsi="Times New Roman"/>
          <w:color w:val="000000" w:themeColor="text1"/>
          <w:sz w:val="16"/>
          <w:szCs w:val="16"/>
        </w:rPr>
        <w:softHyphen/>
        <w:t>мический цех, котельную и электроподстанцию [4.113]. В том же году заводу предоставили финансирование для развития производ</w:t>
      </w:r>
      <w:r w:rsidRPr="0044524F">
        <w:rPr>
          <w:rFonts w:ascii="Times New Roman" w:hAnsi="Times New Roman"/>
          <w:color w:val="000000" w:themeColor="text1"/>
          <w:sz w:val="16"/>
          <w:szCs w:val="16"/>
        </w:rPr>
        <w:softHyphen/>
        <w:t>ственной базы и запланировали на 1934 г. выпуск 400 экземпляров мотоциклов [4.114]. Руководству предприятия в тот период ещё не удалось организовать работу, следствием чего стало невыполне</w:t>
      </w:r>
      <w:r w:rsidRPr="0044524F">
        <w:rPr>
          <w:rFonts w:ascii="Times New Roman" w:hAnsi="Times New Roman"/>
          <w:color w:val="000000" w:themeColor="text1"/>
          <w:sz w:val="16"/>
          <w:szCs w:val="16"/>
        </w:rPr>
        <w:softHyphen/>
        <w:t>ние плана 1934 г. - изготовили всего 111 мотоциклов. Тем не ме</w:t>
      </w:r>
      <w:r w:rsidRPr="0044524F">
        <w:rPr>
          <w:rFonts w:ascii="Times New Roman" w:hAnsi="Times New Roman"/>
          <w:color w:val="000000" w:themeColor="text1"/>
          <w:sz w:val="16"/>
          <w:szCs w:val="16"/>
        </w:rPr>
        <w:softHyphen/>
        <w:t>нее, программу следующего года увеличили до 450 машин и пере</w:t>
      </w:r>
      <w:r w:rsidRPr="0044524F">
        <w:rPr>
          <w:rFonts w:ascii="Times New Roman" w:hAnsi="Times New Roman"/>
          <w:color w:val="000000" w:themeColor="text1"/>
          <w:sz w:val="16"/>
          <w:szCs w:val="16"/>
        </w:rPr>
        <w:softHyphen/>
        <w:t>выполнили её - сделали 451 мотоцикл, что рассматривалось как производственный успех [4.111].</w:t>
      </w:r>
    </w:p>
    <w:p w14:paraId="2EA416C0"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 важным представлялся 1936 год. Предстояло при</w:t>
      </w:r>
      <w:r w:rsidRPr="0044524F">
        <w:rPr>
          <w:rFonts w:ascii="Times New Roman" w:hAnsi="Times New Roman"/>
          <w:color w:val="000000" w:themeColor="text1"/>
          <w:sz w:val="16"/>
          <w:szCs w:val="16"/>
        </w:rPr>
        <w:softHyphen/>
        <w:t>нять новую конституцию, в связи с чем трудовые коллективы брали повышенные обязательства. Ижевский мотозавод не стал исключением: план на 1936 г. более чем удвоили - 1000 мотоцик</w:t>
      </w:r>
      <w:r w:rsidRPr="0044524F">
        <w:rPr>
          <w:rFonts w:ascii="Times New Roman" w:hAnsi="Times New Roman"/>
          <w:color w:val="000000" w:themeColor="text1"/>
          <w:sz w:val="16"/>
          <w:szCs w:val="16"/>
        </w:rPr>
        <w:softHyphen/>
        <w:t>лов. По оценкам директора предприятия сделать больше не пред</w:t>
      </w:r>
      <w:r w:rsidRPr="0044524F">
        <w:rPr>
          <w:rFonts w:ascii="Times New Roman" w:hAnsi="Times New Roman"/>
          <w:color w:val="000000" w:themeColor="text1"/>
          <w:sz w:val="16"/>
          <w:szCs w:val="16"/>
        </w:rPr>
        <w:softHyphen/>
        <w:t>ставлялось возможным, и план утвердили. Завод с большим на</w:t>
      </w:r>
      <w:r w:rsidRPr="0044524F">
        <w:rPr>
          <w:rFonts w:ascii="Times New Roman" w:hAnsi="Times New Roman"/>
          <w:color w:val="000000" w:themeColor="text1"/>
          <w:sz w:val="16"/>
          <w:szCs w:val="16"/>
        </w:rPr>
        <w:softHyphen/>
        <w:t>пряжением удваивал выпуск мотоциклов. Однако произошло не</w:t>
      </w:r>
      <w:r w:rsidRPr="0044524F">
        <w:rPr>
          <w:rFonts w:ascii="Times New Roman" w:hAnsi="Times New Roman"/>
          <w:color w:val="000000" w:themeColor="text1"/>
          <w:sz w:val="16"/>
          <w:szCs w:val="16"/>
        </w:rPr>
        <w:softHyphen/>
        <w:t>предвиденное: 5 августа 1936 г. во время посещения Г.К. Орджо</w:t>
      </w:r>
      <w:r w:rsidRPr="0044524F">
        <w:rPr>
          <w:rFonts w:ascii="Times New Roman" w:hAnsi="Times New Roman"/>
          <w:color w:val="000000" w:themeColor="text1"/>
          <w:sz w:val="16"/>
          <w:szCs w:val="16"/>
        </w:rPr>
        <w:softHyphen/>
        <w:t>никидзе делегации мотозавода (участницы женского мотопробе</w:t>
      </w:r>
      <w:r w:rsidRPr="0044524F">
        <w:rPr>
          <w:rFonts w:ascii="Times New Roman" w:hAnsi="Times New Roman"/>
          <w:color w:val="000000" w:themeColor="text1"/>
          <w:sz w:val="16"/>
          <w:szCs w:val="16"/>
        </w:rPr>
        <w:softHyphen/>
        <w:t>га и руководители мотозавода) «железный нарком», осмотрев ижевские мотоциклы, неожиданно предложил удвоить годовой выпуск ИЖ-7 и довести его до 2 тыс. машин. Заводской коллек</w:t>
      </w:r>
      <w:r w:rsidRPr="0044524F">
        <w:rPr>
          <w:rFonts w:ascii="Times New Roman" w:hAnsi="Times New Roman"/>
          <w:color w:val="000000" w:themeColor="text1"/>
          <w:sz w:val="16"/>
          <w:szCs w:val="16"/>
        </w:rPr>
        <w:softHyphen/>
        <w:t>тив решил непременно выполнить это устное поручение наркома. В оставшиеся месяцы года пришлось почти в пять раз взвинтить средний темп изготовления мотоциклов, чтобы справиться с зада</w:t>
      </w:r>
      <w:r w:rsidRPr="0044524F">
        <w:rPr>
          <w:rFonts w:ascii="Times New Roman" w:hAnsi="Times New Roman"/>
          <w:color w:val="000000" w:themeColor="text1"/>
          <w:sz w:val="16"/>
          <w:szCs w:val="16"/>
        </w:rPr>
        <w:softHyphen/>
        <w:t>нием. Завод до конца года работал в аварийном режиме, а люди - с большим надрывом. Для выполнения поручения наркома труд</w:t>
      </w:r>
      <w:r w:rsidRPr="0044524F">
        <w:rPr>
          <w:rFonts w:ascii="Times New Roman" w:hAnsi="Times New Roman"/>
          <w:color w:val="000000" w:themeColor="text1"/>
          <w:sz w:val="16"/>
          <w:szCs w:val="16"/>
        </w:rPr>
        <w:softHyphen/>
        <w:t>но пришлось и смежникам, поставлявшим материалы и комплек</w:t>
      </w:r>
      <w:r w:rsidRPr="0044524F">
        <w:rPr>
          <w:rFonts w:ascii="Times New Roman" w:hAnsi="Times New Roman"/>
          <w:color w:val="000000" w:themeColor="text1"/>
          <w:sz w:val="16"/>
          <w:szCs w:val="16"/>
        </w:rPr>
        <w:softHyphen/>
        <w:t>тующие изделия. Чтобы справиться с этой задачей и сохранить трудовую честь коллектива ИжМЗ, группе специалистов завода пришлось выступить в «Ижевской правде» с открытым письмом к сторонним участникам выпуска мотоциклов ИЖ-7 [4.115], что помогло.</w:t>
      </w:r>
    </w:p>
    <w:p w14:paraId="68098037"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 трудное время конструкторы ИМЗ завершили разработ</w:t>
      </w:r>
      <w:r w:rsidRPr="0044524F">
        <w:rPr>
          <w:rFonts w:ascii="Times New Roman" w:hAnsi="Times New Roman"/>
          <w:color w:val="000000" w:themeColor="text1"/>
          <w:sz w:val="16"/>
          <w:szCs w:val="16"/>
        </w:rPr>
        <w:softHyphen/>
        <w:t>ку нового мотоцикла с более мощным мотором. На поршне убра</w:t>
      </w:r>
      <w:r w:rsidRPr="0044524F">
        <w:rPr>
          <w:rFonts w:ascii="Times New Roman" w:hAnsi="Times New Roman"/>
          <w:color w:val="000000" w:themeColor="text1"/>
          <w:sz w:val="16"/>
          <w:szCs w:val="16"/>
        </w:rPr>
        <w:softHyphen/>
        <w:t>ли дефлектор, применили возвратную двухканальную продувку цилиндра, вместо манетки газа поместили вращающуюся ручку, усовершенствовали освещение и зажигание и многое другое [4.81]. В этой новаторской работе, проходившей в условиях про</w:t>
      </w:r>
      <w:r w:rsidRPr="0044524F">
        <w:rPr>
          <w:rFonts w:ascii="Times New Roman" w:hAnsi="Times New Roman"/>
          <w:color w:val="000000" w:themeColor="text1"/>
          <w:sz w:val="16"/>
          <w:szCs w:val="16"/>
        </w:rPr>
        <w:softHyphen/>
        <w:t>изводственной штурмовщины, связанной с выпуском 2 тыс. ма</w:t>
      </w:r>
      <w:r w:rsidRPr="0044524F">
        <w:rPr>
          <w:rFonts w:ascii="Times New Roman" w:hAnsi="Times New Roman"/>
          <w:color w:val="000000" w:themeColor="text1"/>
          <w:sz w:val="16"/>
          <w:szCs w:val="16"/>
        </w:rPr>
        <w:softHyphen/>
        <w:t>шин ИЖ-7, принимали участие конструкторы В.Е. Базик, Д.И. Зебзиев, К.М. Огнетов, В.В. Рогожин, СИ. Кульпин и др. Создали обновлённый мотоцикл с более элегантными обводами, обозначенный ИЖ-8. Поручение «товарища Серго» выполнили, хотя и с большими трудностями: к 31 декабря 1936 г. выпустили 2007 мотоциклов, сделав семь ИЖ-7 сверх задания [4.111].</w:t>
      </w:r>
    </w:p>
    <w:p w14:paraId="4F88AE39"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не все машины смогли укомплектовать полностью. Не хватило 60 мотоцепей для привода заднего колеса, 140 мане-ток газа, - именно столько мотоциклов не удалось в срок пере</w:t>
      </w:r>
      <w:r w:rsidRPr="0044524F">
        <w:rPr>
          <w:rFonts w:ascii="Times New Roman" w:hAnsi="Times New Roman"/>
          <w:color w:val="000000" w:themeColor="text1"/>
          <w:sz w:val="16"/>
          <w:szCs w:val="16"/>
        </w:rPr>
        <w:softHyphen/>
        <w:t>дать в торговую сеть. Тогда усиленно развивали соцсоревнования на всех уровнях: индивидуальном (между отдельным рабочими), коллективном (между бригадами, цехами и даже предприятиями), отраслевом (между наркоматами). Действуя в этом ключе, колле</w:t>
      </w:r>
      <w:r w:rsidRPr="0044524F">
        <w:rPr>
          <w:rFonts w:ascii="Times New Roman" w:hAnsi="Times New Roman"/>
          <w:color w:val="000000" w:themeColor="text1"/>
          <w:sz w:val="16"/>
          <w:szCs w:val="16"/>
        </w:rPr>
        <w:softHyphen/>
        <w:t>ктив ИжМЗ вызвал на соревнование трудящихся Подольского механического завода (ПМЗ) и обязался в следующем году изго</w:t>
      </w:r>
      <w:r w:rsidRPr="0044524F">
        <w:rPr>
          <w:rFonts w:ascii="Times New Roman" w:hAnsi="Times New Roman"/>
          <w:color w:val="000000" w:themeColor="text1"/>
          <w:sz w:val="16"/>
          <w:szCs w:val="16"/>
        </w:rPr>
        <w:softHyphen/>
        <w:t>товить 3 тыс. мотоциклов, из них 2 тыс. - машин ИЖ-8 [4.116]. Свои обязательства ИжМЗ выполнил: в 1937 г. изготовили ЗОЮ мотоциклов [4.111] (11429).</w:t>
      </w:r>
    </w:p>
    <w:p w14:paraId="49909E4B" w14:textId="77777777" w:rsidR="00FD662C" w:rsidRPr="0044524F" w:rsidRDefault="00FD662C"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157811"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сентября 1933 г. Научно-исследовательский отраслевой институт внутризаводского транспорта "НИИПТ". Приказом Наркомата тяжелой промышленности СССР был переименован в Научно-исследовательский институт по стальным конструкциям мостов, подъемно-транспортным сооружениям и механизации внутризаводского транспорта "Гинстальмост". Приказом наркомата от 13 ноября 1937 г. институт переименован во Всесоюзный научно-исследовательский институт подъемно-транспортного оборудования "ВНИИПТО", который приказом Наркомата тяжелого машиностроения СССР от 29 мая 1941 г. был переименован во Всесоюзный научно-исследовательский институт подъемно-транспортного машиностроения "ВНИИПТмаш" (12102).</w:t>
      </w:r>
    </w:p>
    <w:p w14:paraId="6EABEF54" w14:textId="77777777" w:rsidR="005F0450" w:rsidRPr="0044524F" w:rsidRDefault="005F0450"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5094A79" w14:textId="77777777" w:rsidR="00FD662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607ADF98" w14:textId="77777777" w:rsidR="00FD662C" w:rsidRPr="0044524F" w:rsidRDefault="00FD662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4E0A9A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сентября 1933 СССР подписал договор о ненападении и нейтралитете с Италией (1348,242).</w:t>
      </w:r>
    </w:p>
    <w:p w14:paraId="19DA3B6D"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250123BD" w14:textId="77777777" w:rsidR="001836B7" w:rsidRPr="0044524F" w:rsidRDefault="001836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сентября 1933 г. был подписан «Договор о дружбе, ненападении и нейтралитете между СССР и Италией» (21410).</w:t>
      </w:r>
    </w:p>
    <w:p w14:paraId="37C4E167" w14:textId="77777777" w:rsidR="001836B7" w:rsidRPr="0044524F" w:rsidRDefault="001836B7" w:rsidP="009654CF">
      <w:pPr>
        <w:spacing w:after="0" w:line="240" w:lineRule="auto"/>
        <w:jc w:val="both"/>
        <w:rPr>
          <w:rFonts w:ascii="Times New Roman" w:hAnsi="Times New Roman"/>
          <w:color w:val="000000" w:themeColor="text1"/>
          <w:sz w:val="16"/>
          <w:szCs w:val="16"/>
        </w:rPr>
      </w:pPr>
    </w:p>
    <w:p w14:paraId="64267573"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сентября 1933 Италия и СССР подписали договор о дружбе, ненападении и нейтралитете (3186) сроком на 5 лет (3908,340).</w:t>
      </w:r>
    </w:p>
    <w:p w14:paraId="3274A71A"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03B609E"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сентября 1933 г. между СССР и Италией был подписан пятилетний пакт о дружбе, ненападении и нейтралитете. Между Советским Союзом и Италией существовали стабильные политические отношения и довольно развитые экономические связи. СССР был одним из важных поставщиков нефти в Италию (3871).</w:t>
      </w:r>
    </w:p>
    <w:p w14:paraId="40F674E0" w14:textId="77777777" w:rsidR="00FD662C" w:rsidRPr="0044524F" w:rsidRDefault="00FD662C" w:rsidP="009654CF">
      <w:pPr>
        <w:autoSpaceDE w:val="0"/>
        <w:autoSpaceDN w:val="0"/>
        <w:adjustRightInd w:val="0"/>
        <w:spacing w:after="0" w:line="240" w:lineRule="auto"/>
        <w:jc w:val="both"/>
        <w:rPr>
          <w:rFonts w:ascii="Times New Roman" w:hAnsi="Times New Roman"/>
          <w:color w:val="000000" w:themeColor="text1"/>
          <w:sz w:val="16"/>
          <w:szCs w:val="16"/>
        </w:rPr>
      </w:pPr>
    </w:p>
    <w:p w14:paraId="49EE894B"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F15ECDE"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672CECB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сентября 1933 итальянский летчик Де Пинедо, который намеревался преодолеть Атлантику на уже проверенном высокоплане "Белланка" и долететь до Багдада, при старте в Нью-Йорке его тяжело нагруженный самолет выкатился с бетонной дорожки и врезался в ограждение аэродрома. Попытки спасти Де Пинедо остались безрезультатными, он сгорел вместе с самолетом (11941).</w:t>
      </w:r>
    </w:p>
    <w:p w14:paraId="41813FA8"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4B854120" w14:textId="77777777" w:rsidR="001836B7" w:rsidRPr="0044524F" w:rsidRDefault="001836B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сентября 1933 итальянский летчик Франческо де Пинедо погиб, когда его моноплан Bellanca Santa Lucia разбился при взлете на Флойд Беннетт Филд в Нью-Йорке в начале полета в Багдад в попытке установить новый рекорд дальности полета в одиночку без остановок в 6300 км (10 143 миль) (20802).</w:t>
      </w:r>
    </w:p>
    <w:p w14:paraId="52203B6C" w14:textId="77777777" w:rsidR="001836B7" w:rsidRPr="0044524F" w:rsidRDefault="001836B7" w:rsidP="009654CF">
      <w:pPr>
        <w:spacing w:after="0" w:line="240" w:lineRule="auto"/>
        <w:jc w:val="both"/>
        <w:rPr>
          <w:rFonts w:ascii="Times New Roman" w:hAnsi="Times New Roman"/>
          <w:color w:val="000000" w:themeColor="text1"/>
          <w:sz w:val="16"/>
          <w:szCs w:val="16"/>
        </w:rPr>
      </w:pPr>
    </w:p>
    <w:p w14:paraId="1673E574"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7364950"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78A7686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сентября 1933 в 12:30 на ЦА произошла авария автожира А-6 ЗОК ЦАГИ, пилотируемого л Селивачевым (2331,311).</w:t>
      </w:r>
    </w:p>
    <w:p w14:paraId="495D8924"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172735C1"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сентября 1933 г. Корзинщиков после прохождения цикла тренировок выпустил в самостоятельный полет лет</w:t>
      </w:r>
      <w:r w:rsidRPr="0044524F">
        <w:rPr>
          <w:rFonts w:ascii="Times New Roman" w:hAnsi="Times New Roman"/>
          <w:color w:val="000000" w:themeColor="text1"/>
          <w:sz w:val="16"/>
          <w:szCs w:val="16"/>
        </w:rPr>
        <w:softHyphen/>
        <w:t>чика ОЭЛИД ЦАГИ М.В. Селивачева. Два полета Селивачев произвел благополучно. В третьем самостоятельном полете автожир развернуло вправо и накренило, после че</w:t>
      </w:r>
      <w:r w:rsidRPr="0044524F">
        <w:rPr>
          <w:rFonts w:ascii="Times New Roman" w:hAnsi="Times New Roman"/>
          <w:color w:val="000000" w:themeColor="text1"/>
          <w:sz w:val="16"/>
          <w:szCs w:val="16"/>
        </w:rPr>
        <w:softHyphen/>
        <w:t>го он задел ротором землю и упал на бок. По мнению Корзинщикова, вины пилота не было - машина имела тенден</w:t>
      </w:r>
      <w:r w:rsidRPr="0044524F">
        <w:rPr>
          <w:rFonts w:ascii="Times New Roman" w:hAnsi="Times New Roman"/>
          <w:color w:val="000000" w:themeColor="text1"/>
          <w:sz w:val="16"/>
          <w:szCs w:val="16"/>
        </w:rPr>
        <w:softHyphen/>
        <w:t>цию к развороту вправо, и при изменении направления ве</w:t>
      </w:r>
      <w:r w:rsidRPr="0044524F">
        <w:rPr>
          <w:rFonts w:ascii="Times New Roman" w:hAnsi="Times New Roman"/>
          <w:color w:val="000000" w:themeColor="text1"/>
          <w:sz w:val="16"/>
          <w:szCs w:val="16"/>
        </w:rPr>
        <w:softHyphen/>
        <w:t>тра сложились неблагоприятные обстоятельства, которые привели к аварии. После проведения ремонта полеты продолжились - в декабре 1933 г. на автожире вылетел са</w:t>
      </w:r>
      <w:r w:rsidRPr="0044524F">
        <w:rPr>
          <w:rFonts w:ascii="Times New Roman" w:hAnsi="Times New Roman"/>
          <w:color w:val="000000" w:themeColor="text1"/>
          <w:sz w:val="16"/>
          <w:szCs w:val="16"/>
        </w:rPr>
        <w:softHyphen/>
        <w:t>мостоятельно летчик Благин.</w:t>
      </w:r>
    </w:p>
    <w:p w14:paraId="5645F112"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ходе испытаний А-6 впервые пришлось столкнуться с явлением «земного резонанса» - самовозбуждающихся колебаний лопастей ротора в плоскости его вращения. Причина возникновения таких автоколебаний была изуче</w:t>
      </w:r>
      <w:r w:rsidRPr="0044524F">
        <w:rPr>
          <w:rFonts w:ascii="Times New Roman" w:hAnsi="Times New Roman"/>
          <w:color w:val="000000" w:themeColor="text1"/>
          <w:sz w:val="16"/>
          <w:szCs w:val="16"/>
        </w:rPr>
        <w:softHyphen/>
        <w:t>на, ее устранили путем изменения характеристик упруго</w:t>
      </w:r>
      <w:r w:rsidRPr="0044524F">
        <w:rPr>
          <w:rFonts w:ascii="Times New Roman" w:hAnsi="Times New Roman"/>
          <w:color w:val="000000" w:themeColor="text1"/>
          <w:sz w:val="16"/>
          <w:szCs w:val="16"/>
        </w:rPr>
        <w:softHyphen/>
        <w:t>сти в шарнирной заделке лопастей несущего ротора.</w:t>
      </w:r>
    </w:p>
    <w:p w14:paraId="543E3613"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Заводские испытания А-6 закончились в начале декаб</w:t>
      </w:r>
      <w:r w:rsidRPr="0044524F">
        <w:rPr>
          <w:rFonts w:ascii="Times New Roman" w:hAnsi="Times New Roman"/>
          <w:color w:val="000000" w:themeColor="text1"/>
          <w:sz w:val="16"/>
          <w:szCs w:val="16"/>
        </w:rPr>
        <w:softHyphen/>
        <w:t>ря 1933 г., после чего 22 декабря машину передали воен</w:t>
      </w:r>
      <w:r w:rsidRPr="0044524F">
        <w:rPr>
          <w:rFonts w:ascii="Times New Roman" w:hAnsi="Times New Roman"/>
          <w:color w:val="000000" w:themeColor="text1"/>
          <w:sz w:val="16"/>
          <w:szCs w:val="16"/>
        </w:rPr>
        <w:softHyphen/>
        <w:t>ным испытателям для продолжения тестирования. Со</w:t>
      </w:r>
      <w:r w:rsidRPr="0044524F">
        <w:rPr>
          <w:rFonts w:ascii="Times New Roman" w:hAnsi="Times New Roman"/>
          <w:color w:val="000000" w:themeColor="text1"/>
          <w:sz w:val="16"/>
          <w:szCs w:val="16"/>
        </w:rPr>
        <w:softHyphen/>
        <w:t>гласно данным А.М. Изаксона, 5 (или 6) января 1934 г. при испытании А-6 в НИИ ВВС при резком выходе из пикиро</w:t>
      </w:r>
      <w:r w:rsidRPr="0044524F">
        <w:rPr>
          <w:rFonts w:ascii="Times New Roman" w:hAnsi="Times New Roman"/>
          <w:color w:val="000000" w:themeColor="text1"/>
          <w:sz w:val="16"/>
          <w:szCs w:val="16"/>
        </w:rPr>
        <w:softHyphen/>
        <w:t>вания сложились лопасти ротора и произошла катастро</w:t>
      </w:r>
      <w:r w:rsidRPr="0044524F">
        <w:rPr>
          <w:rFonts w:ascii="Times New Roman" w:hAnsi="Times New Roman"/>
          <w:color w:val="000000" w:themeColor="text1"/>
          <w:sz w:val="16"/>
          <w:szCs w:val="16"/>
        </w:rPr>
        <w:softHyphen/>
        <w:t>фа.</w:t>
      </w:r>
    </w:p>
    <w:p w14:paraId="71AD5E60"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и характеристики А-6</w:t>
      </w:r>
    </w:p>
    <w:p w14:paraId="230A8329"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TOC \o "1-5" \h \z </w:instrText>
      </w:r>
      <w:r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rPr>
        <w:t>Диаметр ротора (м)</w:t>
      </w:r>
      <w:r w:rsidRPr="0044524F">
        <w:rPr>
          <w:rFonts w:ascii="Times New Roman" w:hAnsi="Times New Roman"/>
          <w:color w:val="000000" w:themeColor="text1"/>
          <w:sz w:val="16"/>
          <w:szCs w:val="16"/>
        </w:rPr>
        <w:tab/>
        <w:t>11,0</w:t>
      </w:r>
    </w:p>
    <w:p w14:paraId="65568027"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без ротора (м)</w:t>
      </w:r>
      <w:r w:rsidRPr="0044524F">
        <w:rPr>
          <w:rFonts w:ascii="Times New Roman" w:hAnsi="Times New Roman"/>
          <w:color w:val="000000" w:themeColor="text1"/>
          <w:sz w:val="16"/>
          <w:szCs w:val="16"/>
        </w:rPr>
        <w:tab/>
        <w:t>6,17</w:t>
      </w:r>
    </w:p>
    <w:p w14:paraId="427F4437"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 линии полета</w:t>
      </w:r>
      <w:r w:rsidRPr="0044524F">
        <w:rPr>
          <w:rFonts w:ascii="Times New Roman" w:hAnsi="Times New Roman"/>
          <w:color w:val="000000" w:themeColor="text1"/>
          <w:sz w:val="16"/>
          <w:szCs w:val="16"/>
        </w:rPr>
        <w:tab/>
        <w:t>(м)</w:t>
      </w:r>
      <w:r w:rsidRPr="0044524F">
        <w:rPr>
          <w:rFonts w:ascii="Times New Roman" w:hAnsi="Times New Roman"/>
          <w:color w:val="000000" w:themeColor="text1"/>
          <w:sz w:val="16"/>
          <w:szCs w:val="16"/>
        </w:rPr>
        <w:tab/>
        <w:t>3,0</w:t>
      </w:r>
    </w:p>
    <w:p w14:paraId="2768C8F9"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(м)</w:t>
      </w:r>
      <w:r w:rsidRPr="0044524F">
        <w:rPr>
          <w:rFonts w:ascii="Times New Roman" w:hAnsi="Times New Roman"/>
          <w:color w:val="000000" w:themeColor="text1"/>
          <w:sz w:val="16"/>
          <w:szCs w:val="16"/>
        </w:rPr>
        <w:tab/>
        <w:t>6,6</w:t>
      </w:r>
    </w:p>
    <w:p w14:paraId="79F2CDDF"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(кг)</w:t>
      </w:r>
      <w:r w:rsidRPr="0044524F">
        <w:rPr>
          <w:rFonts w:ascii="Times New Roman" w:hAnsi="Times New Roman"/>
          <w:color w:val="000000" w:themeColor="text1"/>
          <w:sz w:val="16"/>
          <w:szCs w:val="16"/>
        </w:rPr>
        <w:tab/>
        <w:t>562</w:t>
      </w:r>
    </w:p>
    <w:p w14:paraId="72D0E6E9"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(кг)</w:t>
      </w:r>
      <w:r w:rsidRPr="0044524F">
        <w:rPr>
          <w:rFonts w:ascii="Times New Roman" w:hAnsi="Times New Roman"/>
          <w:color w:val="000000" w:themeColor="text1"/>
          <w:sz w:val="16"/>
          <w:szCs w:val="16"/>
        </w:rPr>
        <w:tab/>
        <w:t>815</w:t>
      </w:r>
    </w:p>
    <w:p w14:paraId="53375F12"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w:t>
      </w:r>
      <w:r w:rsidRPr="0044524F">
        <w:rPr>
          <w:rFonts w:ascii="Times New Roman" w:hAnsi="Times New Roman"/>
          <w:color w:val="000000" w:themeColor="text1"/>
          <w:sz w:val="16"/>
          <w:szCs w:val="16"/>
        </w:rPr>
        <w:tab/>
        <w:t>у земли (км/ч)</w:t>
      </w:r>
      <w:r w:rsidRPr="0044524F">
        <w:rPr>
          <w:rFonts w:ascii="Times New Roman" w:hAnsi="Times New Roman"/>
          <w:color w:val="000000" w:themeColor="text1"/>
          <w:sz w:val="16"/>
          <w:szCs w:val="16"/>
        </w:rPr>
        <w:tab/>
        <w:t>135</w:t>
      </w:r>
    </w:p>
    <w:p w14:paraId="0E471B12"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минимальная</w:t>
      </w:r>
      <w:r w:rsidRPr="0044524F">
        <w:rPr>
          <w:rFonts w:ascii="Times New Roman" w:hAnsi="Times New Roman"/>
          <w:color w:val="000000" w:themeColor="text1"/>
          <w:sz w:val="16"/>
          <w:szCs w:val="16"/>
        </w:rPr>
        <w:tab/>
        <w:t>у земли (км/ч)</w:t>
      </w:r>
      <w:r w:rsidRPr="0044524F">
        <w:rPr>
          <w:rFonts w:ascii="Times New Roman" w:hAnsi="Times New Roman"/>
          <w:color w:val="000000" w:themeColor="text1"/>
          <w:sz w:val="16"/>
          <w:szCs w:val="16"/>
        </w:rPr>
        <w:tab/>
        <w:t>55</w:t>
      </w:r>
    </w:p>
    <w:p w14:paraId="58E639BC"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(м)</w:t>
      </w:r>
      <w:r w:rsidRPr="0044524F">
        <w:rPr>
          <w:rFonts w:ascii="Times New Roman" w:hAnsi="Times New Roman"/>
          <w:color w:val="000000" w:themeColor="text1"/>
          <w:sz w:val="16"/>
          <w:szCs w:val="16"/>
        </w:rPr>
        <w:tab/>
        <w:t>1600</w:t>
      </w:r>
    </w:p>
    <w:p w14:paraId="1341C3FB"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(км)</w:t>
      </w:r>
      <w:r w:rsidRPr="0044524F">
        <w:rPr>
          <w:rFonts w:ascii="Times New Roman" w:hAnsi="Times New Roman"/>
          <w:color w:val="000000" w:themeColor="text1"/>
          <w:sz w:val="16"/>
          <w:szCs w:val="16"/>
        </w:rPr>
        <w:tab/>
        <w:t>220</w:t>
      </w:r>
    </w:p>
    <w:p w14:paraId="5D083020"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разбега (м)</w:t>
      </w:r>
      <w:r w:rsidRPr="0044524F">
        <w:rPr>
          <w:rFonts w:ascii="Times New Roman" w:hAnsi="Times New Roman"/>
          <w:color w:val="000000" w:themeColor="text1"/>
          <w:sz w:val="16"/>
          <w:szCs w:val="16"/>
        </w:rPr>
        <w:tab/>
        <w:t>65</w:t>
      </w:r>
      <w:r w:rsidRPr="0044524F">
        <w:rPr>
          <w:rFonts w:ascii="Times New Roman" w:hAnsi="Times New Roman"/>
          <w:color w:val="000000" w:themeColor="text1"/>
          <w:sz w:val="16"/>
          <w:szCs w:val="16"/>
        </w:rPr>
        <w:fldChar w:fldCharType="end"/>
      </w:r>
      <w:r w:rsidRPr="0044524F">
        <w:rPr>
          <w:rFonts w:ascii="Times New Roman" w:hAnsi="Times New Roman"/>
          <w:color w:val="000000" w:themeColor="text1"/>
          <w:sz w:val="16"/>
          <w:szCs w:val="16"/>
        </w:rPr>
        <w:t xml:space="preserve"> (20361).</w:t>
      </w:r>
    </w:p>
    <w:p w14:paraId="0A41BE1E" w14:textId="77777777" w:rsidR="00CA6AB8" w:rsidRPr="0044524F" w:rsidRDefault="00CA6AB8" w:rsidP="009654CF">
      <w:pPr>
        <w:spacing w:after="0" w:line="240" w:lineRule="auto"/>
        <w:jc w:val="both"/>
        <w:rPr>
          <w:rFonts w:ascii="Times New Roman" w:hAnsi="Times New Roman"/>
          <w:color w:val="000000" w:themeColor="text1"/>
          <w:sz w:val="16"/>
          <w:szCs w:val="16"/>
        </w:rPr>
      </w:pPr>
    </w:p>
    <w:p w14:paraId="231A4E91"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 сентября 1933 опросом членов ПБ</w:t>
      </w:r>
    </w:p>
    <w:p w14:paraId="4344D7C8"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54/37.- О полете французов в СССР.</w:t>
      </w:r>
    </w:p>
    <w:p w14:paraId="4316FBF5"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возражать против участия в перелете министра авиации Кота и официальной военной миссии.</w:t>
      </w:r>
    </w:p>
    <w:p w14:paraId="63CCB9D9"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разослана: т.т. Тухачевскому, Литвинову, Артузову.</w:t>
      </w:r>
    </w:p>
    <w:p w14:paraId="40029D7D"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состоялось заседание ПБ и был оформлен протокол № 145 (29995).</w:t>
      </w:r>
    </w:p>
    <w:p w14:paraId="3F608E37" w14:textId="77777777" w:rsidR="00CA6AB8" w:rsidRPr="0044524F" w:rsidRDefault="00CA6AB8" w:rsidP="009654CF">
      <w:pPr>
        <w:spacing w:after="0" w:line="240" w:lineRule="auto"/>
        <w:jc w:val="both"/>
        <w:rPr>
          <w:rFonts w:ascii="Times New Roman" w:hAnsi="Times New Roman"/>
          <w:color w:val="000000" w:themeColor="text1"/>
          <w:sz w:val="16"/>
          <w:szCs w:val="16"/>
        </w:rPr>
      </w:pPr>
    </w:p>
    <w:p w14:paraId="763CAA98"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3 сентября 1933 в бухту Тикси, на новый аэродром, прилетел самолет С.А. Леваневского, который должен был провести для Челюскина ледовую разведку района до пролива Санникова. 7 сентября начала работать радиостанция мыса Северный, завершался монтаж еще одной, на Медвежьих островах. 19 сентября с нового аэродрома на мысе Северный О.Ю. Шмидт вместе с начальником Северо-восточной летной группы ГУСМП Г.Д. Красинским на самолете достиг острова Врангеля, к которому «Челюскин» так и не смог подойти из-за сильного сплочения льдов. Тот же самолет Красинского — «Юнкерсе» провел разведку льдов в Чукотском море (20467).</w:t>
      </w:r>
    </w:p>
    <w:p w14:paraId="10698886" w14:textId="77777777" w:rsidR="00CA6AB8" w:rsidRPr="0044524F" w:rsidRDefault="00CA6AB8" w:rsidP="009654CF">
      <w:pPr>
        <w:spacing w:after="0" w:line="240" w:lineRule="auto"/>
        <w:jc w:val="both"/>
        <w:rPr>
          <w:rFonts w:ascii="Times New Roman" w:hAnsi="Times New Roman"/>
          <w:color w:val="000000" w:themeColor="text1"/>
          <w:sz w:val="16"/>
          <w:szCs w:val="16"/>
        </w:rPr>
      </w:pPr>
    </w:p>
    <w:p w14:paraId="4E0CD5AE" w14:textId="14548A13"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сентября 1933 «СССР В-3» выполнял перелёт по маршруту Долгопрудная — Калуга — Дол</w:t>
      </w:r>
      <w:r w:rsidRPr="0044524F">
        <w:rPr>
          <w:rFonts w:ascii="Times New Roman" w:hAnsi="Times New Roman"/>
          <w:color w:val="000000" w:themeColor="text1"/>
          <w:sz w:val="16"/>
          <w:szCs w:val="16"/>
        </w:rPr>
        <w:softHyphen/>
        <w:t>гопрудная. Подлетая к Калуге, корабль встретил грозу, и командир решил возвращаться обратно. При возвращении экипаж потерял ориентировку и оказался в районе Рыбинска. Попав в запрет</w:t>
      </w:r>
      <w:r w:rsidRPr="0044524F">
        <w:rPr>
          <w:rFonts w:ascii="Times New Roman" w:hAnsi="Times New Roman"/>
          <w:color w:val="000000" w:themeColor="text1"/>
          <w:sz w:val="16"/>
          <w:szCs w:val="16"/>
        </w:rPr>
        <w:softHyphen/>
        <w:t>ную зону, дирижабль подвергся обстрелу с зем</w:t>
      </w:r>
      <w:r w:rsidRPr="0044524F">
        <w:rPr>
          <w:rFonts w:ascii="Times New Roman" w:hAnsi="Times New Roman"/>
          <w:color w:val="000000" w:themeColor="text1"/>
          <w:sz w:val="16"/>
          <w:szCs w:val="16"/>
        </w:rPr>
        <w:softHyphen/>
        <w:t>ли, но благополучно сел около Рыбинска. Из-за полученных при обстреле пробоин и потери газа, возвращение его стало невозможным. Ввиду опасности образования гремучего газа было дано распоряжение о разоружении корабля, проведён</w:t>
      </w:r>
      <w:r w:rsidRPr="0044524F">
        <w:rPr>
          <w:rFonts w:ascii="Times New Roman" w:hAnsi="Times New Roman"/>
          <w:color w:val="000000" w:themeColor="text1"/>
          <w:sz w:val="16"/>
          <w:szCs w:val="16"/>
        </w:rPr>
        <w:softHyphen/>
        <w:t>ном крайне безграмотно. Не были соблюдены элементарные меры предосторожности, из-за чего оболочка корабля, отделённая от гондолы, поднялась в воздух и увлекла за собой несколь</w:t>
      </w:r>
      <w:r w:rsidRPr="0044524F">
        <w:rPr>
          <w:rFonts w:ascii="Times New Roman" w:hAnsi="Times New Roman"/>
          <w:color w:val="000000" w:themeColor="text1"/>
          <w:sz w:val="16"/>
          <w:szCs w:val="16"/>
        </w:rPr>
        <w:softHyphen/>
        <w:t>ких человек, державших её за стропы. На высоте2000 м она лопнула, и поднятые в воздух крас</w:t>
      </w:r>
      <w:r w:rsidRPr="0044524F">
        <w:rPr>
          <w:rFonts w:ascii="Times New Roman" w:hAnsi="Times New Roman"/>
          <w:color w:val="000000" w:themeColor="text1"/>
          <w:sz w:val="16"/>
          <w:szCs w:val="16"/>
        </w:rPr>
        <w:softHyphen/>
        <w:t>ноармеец и рабочий разбились насмерть. Коман</w:t>
      </w:r>
      <w:r w:rsidRPr="0044524F">
        <w:rPr>
          <w:rFonts w:ascii="Times New Roman" w:hAnsi="Times New Roman"/>
          <w:color w:val="000000" w:themeColor="text1"/>
          <w:sz w:val="16"/>
          <w:szCs w:val="16"/>
        </w:rPr>
        <w:softHyphen/>
        <w:t>дира И.И. Мейснера, в третий раз аварийно поса</w:t>
      </w:r>
      <w:r w:rsidRPr="0044524F">
        <w:rPr>
          <w:rFonts w:ascii="Times New Roman" w:hAnsi="Times New Roman"/>
          <w:color w:val="000000" w:themeColor="text1"/>
          <w:sz w:val="16"/>
          <w:szCs w:val="16"/>
        </w:rPr>
        <w:softHyphen/>
        <w:t>дившего «СССР В-3» (каждый раз дирижабль ра</w:t>
      </w:r>
      <w:r w:rsidRPr="0044524F">
        <w:rPr>
          <w:rFonts w:ascii="Times New Roman" w:hAnsi="Times New Roman"/>
          <w:color w:val="000000" w:themeColor="text1"/>
          <w:sz w:val="16"/>
          <w:szCs w:val="16"/>
        </w:rPr>
        <w:softHyphen/>
        <w:t>зоружался), и его помощника Л.М. Шнейдермана отстранили от работы, а А.С. Куприянова сняли с должности начальника порта (20120).</w:t>
      </w:r>
    </w:p>
    <w:p w14:paraId="5D6E5504" w14:textId="0539327C" w:rsidR="00CA6AB8" w:rsidRPr="0044524F" w:rsidRDefault="00CA6AB8" w:rsidP="009654CF">
      <w:pPr>
        <w:spacing w:after="0" w:line="240" w:lineRule="auto"/>
        <w:jc w:val="both"/>
        <w:rPr>
          <w:rFonts w:ascii="Times New Roman" w:hAnsi="Times New Roman"/>
          <w:color w:val="000000" w:themeColor="text1"/>
          <w:sz w:val="16"/>
          <w:szCs w:val="16"/>
        </w:rPr>
      </w:pPr>
    </w:p>
    <w:p w14:paraId="7E5274D8" w14:textId="69707A16" w:rsidR="00CA6AB8" w:rsidRPr="0044524F" w:rsidRDefault="00CA6AB8"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4D9E38C5" w14:textId="77777777" w:rsidR="00CA6AB8" w:rsidRPr="0044524F" w:rsidRDefault="00CA6AB8" w:rsidP="009654CF">
      <w:pPr>
        <w:spacing w:after="0" w:line="240" w:lineRule="auto"/>
        <w:jc w:val="both"/>
        <w:rPr>
          <w:rFonts w:ascii="Times New Roman" w:hAnsi="Times New Roman"/>
          <w:i/>
          <w:iCs/>
          <w:color w:val="000000" w:themeColor="text1"/>
          <w:sz w:val="16"/>
          <w:szCs w:val="16"/>
        </w:rPr>
      </w:pPr>
    </w:p>
    <w:p w14:paraId="364FF22B"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сентября 1933 года на основании Постановления Совета Труда и Обороны СССР № 773/108сс образовано Спецгео. Главная задача предприятия - обеспечение командования Красной Армии военной геолого-географической информацией территорий возможного ведения боевых действий. В период 1941-1945 г.г. предприятием при штабах инженерных войск фронтов были созданы военно-геологические отряды (ВГО), которые в боевой обстановке решали задачи оценки проходимости местности, условий водоснабжения войск, преодоления водных преград, наличия месторождений местных строительных материалов и т.д. (21177).</w:t>
      </w:r>
    </w:p>
    <w:p w14:paraId="340A2BA5" w14:textId="77777777" w:rsidR="00CA6AB8" w:rsidRPr="0044524F" w:rsidRDefault="00CA6AB8" w:rsidP="009654CF">
      <w:pPr>
        <w:spacing w:after="0" w:line="240" w:lineRule="auto"/>
        <w:jc w:val="both"/>
        <w:rPr>
          <w:rFonts w:ascii="Times New Roman" w:hAnsi="Times New Roman"/>
          <w:color w:val="000000" w:themeColor="text1"/>
          <w:sz w:val="16"/>
          <w:szCs w:val="16"/>
        </w:rPr>
      </w:pPr>
    </w:p>
    <w:p w14:paraId="246313CE" w14:textId="77777777" w:rsidR="005F0450"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7FB84A1" w14:textId="77777777" w:rsidR="005F0450" w:rsidRPr="0044524F" w:rsidRDefault="005F0450" w:rsidP="009654CF">
      <w:pPr>
        <w:spacing w:after="0" w:line="240" w:lineRule="auto"/>
        <w:jc w:val="both"/>
        <w:rPr>
          <w:rFonts w:ascii="Times New Roman" w:hAnsi="Times New Roman"/>
          <w:iCs/>
          <w:color w:val="000000" w:themeColor="text1"/>
          <w:sz w:val="16"/>
          <w:szCs w:val="16"/>
        </w:rPr>
      </w:pPr>
    </w:p>
    <w:p w14:paraId="571BD034" w14:textId="77777777" w:rsidR="005F0450" w:rsidRPr="0044524F" w:rsidRDefault="005F0450"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 xml:space="preserve">3 сентября </w:t>
      </w:r>
      <w:r w:rsidRPr="0044524F">
        <w:rPr>
          <w:rFonts w:ascii="Times New Roman" w:hAnsi="Times New Roman"/>
          <w:color w:val="000000" w:themeColor="text1"/>
          <w:sz w:val="16"/>
          <w:szCs w:val="16"/>
        </w:rPr>
        <w:t>1933 году завершился 9500-километровый автомотопробег Москва—Каракумы—Москва (14758).</w:t>
      </w:r>
    </w:p>
    <w:p w14:paraId="610F522D" w14:textId="77777777" w:rsidR="005F0450" w:rsidRPr="0044524F" w:rsidRDefault="005F0450" w:rsidP="009654CF">
      <w:pPr>
        <w:spacing w:after="0" w:line="240" w:lineRule="auto"/>
        <w:jc w:val="both"/>
        <w:rPr>
          <w:rFonts w:ascii="Times New Roman" w:hAnsi="Times New Roman"/>
          <w:color w:val="000000" w:themeColor="text1"/>
          <w:sz w:val="16"/>
          <w:szCs w:val="16"/>
        </w:rPr>
      </w:pPr>
    </w:p>
    <w:p w14:paraId="11FEA41A" w14:textId="77777777" w:rsidR="00CA6AB8" w:rsidRPr="0044524F" w:rsidRDefault="00CA6AB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сентября 1933 года выдающийся красноярский альпинист Евгений Михайлович Абалаков совершил первое в истории восхождение на самую высокую точку СССР — пик Коммунизма. Пик Коммунизма (тогда - пик Сталина, а ныне пик Исмоила Сомони) находится на Памире и имеет высоту 7495 метров. В общем списке высочайших вершин мира находится на 50-м месте. Евгений Абалаков ушёл на фронт добровольцем, участвовал в битве за Москву, обороне Кавказа (21177).</w:t>
      </w:r>
    </w:p>
    <w:p w14:paraId="70EA35E9" w14:textId="77777777" w:rsidR="00CA6AB8" w:rsidRPr="0044524F" w:rsidRDefault="00CA6AB8" w:rsidP="009654CF">
      <w:pPr>
        <w:spacing w:after="0" w:line="240" w:lineRule="auto"/>
        <w:jc w:val="both"/>
        <w:rPr>
          <w:rFonts w:ascii="Times New Roman" w:hAnsi="Times New Roman"/>
          <w:color w:val="000000" w:themeColor="text1"/>
          <w:sz w:val="16"/>
          <w:szCs w:val="16"/>
        </w:rPr>
      </w:pPr>
    </w:p>
    <w:p w14:paraId="23D068C8"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D5091BB"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66F37AF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день-два до полета, то есть 4 сентября 1933, П.И.Б. был в Воронеже и встретился с С.А.М., который в то время завершил гос. испытания дюралевого САМ-5. Одобрил, но сказал, что металлический - не выйдет, надо делать деревянный вариант - САМ-5бис и притом истребитель. Есть версия, что разбился не по пути на юг, а наоборот, по пути из Воронежа (557,49).</w:t>
      </w:r>
    </w:p>
    <w:p w14:paraId="25C03862"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5A3FD05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сентября 1933 проходили испытания автожира «4А» с мотором М-26 300 НР, которые проходили с 16 августа 1933 (6646).</w:t>
      </w:r>
    </w:p>
    <w:p w14:paraId="5D291B3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0D05AC8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Бронин</w:t>
      </w:r>
    </w:p>
    <w:p w14:paraId="2DB87C9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Тихонов</w:t>
      </w:r>
    </w:p>
    <w:p w14:paraId="199002D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Летнаб Агишев</w:t>
      </w:r>
    </w:p>
    <w:p w14:paraId="44C90FF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7075B910" w14:textId="77777777" w:rsidR="007F23E2" w:rsidRPr="0044524F" w:rsidRDefault="007F23E2" w:rsidP="009654CF">
      <w:pPr>
        <w:numPr>
          <w:ilvl w:val="0"/>
          <w:numId w:val="25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Снятие летной характеристики.</w:t>
      </w:r>
    </w:p>
    <w:p w14:paraId="6F498835" w14:textId="77777777" w:rsidR="007F23E2" w:rsidRPr="0044524F" w:rsidRDefault="007F23E2" w:rsidP="009654CF">
      <w:pPr>
        <w:numPr>
          <w:ilvl w:val="0"/>
          <w:numId w:val="25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свойств и особенностей пилотирования автожира, как особого типа летательного аппарата.</w:t>
      </w:r>
    </w:p>
    <w:p w14:paraId="72FB3A9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B036489" w14:textId="77777777" w:rsidR="007F23E2" w:rsidRPr="0044524F" w:rsidRDefault="007F23E2" w:rsidP="009654CF">
      <w:pPr>
        <w:pStyle w:val="31"/>
        <w:widowControl/>
        <w:numPr>
          <w:ilvl w:val="0"/>
          <w:numId w:val="255"/>
        </w:numPr>
        <w:tabs>
          <w:tab w:val="left" w:pos="360"/>
          <w:tab w:val="left" w:pos="11199"/>
        </w:tabs>
        <w:ind w:left="0" w:firstLine="0"/>
        <w:jc w:val="both"/>
        <w:rPr>
          <w:color w:val="000000" w:themeColor="text1"/>
        </w:rPr>
      </w:pPr>
      <w:r w:rsidRPr="0044524F">
        <w:rPr>
          <w:color w:val="000000" w:themeColor="text1"/>
        </w:rPr>
        <w:t>Серия автожиров завода № 43 на основании испытания головной машины А-4 М-26 № 4301 может быть допущена для передачи в строевые части с целью ознакомления с особенностями пилотирования и эксплуатации автожиров.</w:t>
      </w:r>
    </w:p>
    <w:p w14:paraId="3C349FBB" w14:textId="77777777" w:rsidR="007F23E2" w:rsidRPr="0044524F" w:rsidRDefault="007F23E2" w:rsidP="009654CF">
      <w:pPr>
        <w:numPr>
          <w:ilvl w:val="0"/>
          <w:numId w:val="25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на автожире установлен мотор М-26 обладающий скверными эксплуатационными данными, поскольку автожир А-4 имеет нескладывающийся ротор, выявил недостаточную устойчивость и взлетные свойства, считать нецелесообразным данный тип автожира строить сверх указанной уже серии.</w:t>
      </w:r>
    </w:p>
    <w:p w14:paraId="49E0991B" w14:textId="77777777" w:rsidR="007F23E2" w:rsidRPr="0044524F" w:rsidRDefault="007F23E2" w:rsidP="009654CF">
      <w:pPr>
        <w:numPr>
          <w:ilvl w:val="0"/>
          <w:numId w:val="25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Форсировать передачу на гос. испытания А-6 М-11, как обладающего рядом эксплуатационных преимуществ перед А-4, а именно складывающийся ротор и крылья, свободно махающие лопасти и надежный мотор М-11.</w:t>
      </w:r>
    </w:p>
    <w:p w14:paraId="485E884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 автожира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46EA55D2" w14:textId="77777777">
        <w:tc>
          <w:tcPr>
            <w:tcW w:w="5636" w:type="dxa"/>
          </w:tcPr>
          <w:p w14:paraId="6D9F2C7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августа 1933 года</w:t>
            </w:r>
          </w:p>
        </w:tc>
        <w:tc>
          <w:tcPr>
            <w:tcW w:w="5636" w:type="dxa"/>
          </w:tcPr>
          <w:p w14:paraId="0E78AF5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принят на испытания. Проведено 2 приемных полета и перелет из Москвы в Щелково.</w:t>
            </w:r>
          </w:p>
        </w:tc>
      </w:tr>
      <w:tr w:rsidR="004E10C1" w:rsidRPr="0044524F" w14:paraId="04FECEC6" w14:textId="77777777">
        <w:tc>
          <w:tcPr>
            <w:tcW w:w="5636" w:type="dxa"/>
          </w:tcPr>
          <w:p w14:paraId="26EB374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года</w:t>
            </w:r>
          </w:p>
        </w:tc>
        <w:tc>
          <w:tcPr>
            <w:tcW w:w="5636" w:type="dxa"/>
          </w:tcPr>
          <w:p w14:paraId="28B3638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тренировочных полетов.</w:t>
            </w:r>
          </w:p>
        </w:tc>
      </w:tr>
      <w:tr w:rsidR="004E10C1" w:rsidRPr="0044524F" w14:paraId="4E0CE669" w14:textId="77777777">
        <w:tc>
          <w:tcPr>
            <w:tcW w:w="5636" w:type="dxa"/>
          </w:tcPr>
          <w:p w14:paraId="3E4F3E6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года</w:t>
            </w:r>
          </w:p>
        </w:tc>
        <w:tc>
          <w:tcPr>
            <w:tcW w:w="5636" w:type="dxa"/>
          </w:tcPr>
          <w:p w14:paraId="011998F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Демонстрационный полет.</w:t>
            </w:r>
          </w:p>
        </w:tc>
      </w:tr>
      <w:tr w:rsidR="004E10C1" w:rsidRPr="0044524F" w14:paraId="5E3FEF45" w14:textId="77777777">
        <w:tc>
          <w:tcPr>
            <w:tcW w:w="5636" w:type="dxa"/>
          </w:tcPr>
          <w:p w14:paraId="5FF01EF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августа 1933 года</w:t>
            </w:r>
          </w:p>
        </w:tc>
        <w:tc>
          <w:tcPr>
            <w:tcW w:w="5636" w:type="dxa"/>
          </w:tcPr>
          <w:p w14:paraId="19E0C05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полета на километраж.</w:t>
            </w:r>
          </w:p>
        </w:tc>
      </w:tr>
      <w:tr w:rsidR="004E10C1" w:rsidRPr="0044524F" w14:paraId="7DBF8A06" w14:textId="77777777">
        <w:tc>
          <w:tcPr>
            <w:tcW w:w="5636" w:type="dxa"/>
          </w:tcPr>
          <w:p w14:paraId="55CB1B3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года</w:t>
            </w:r>
          </w:p>
        </w:tc>
        <w:tc>
          <w:tcPr>
            <w:tcW w:w="5636" w:type="dxa"/>
          </w:tcPr>
          <w:p w14:paraId="6BDFA4B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полетов на выяснение взлетно-посадочных свойств самолета.</w:t>
            </w:r>
          </w:p>
        </w:tc>
      </w:tr>
      <w:tr w:rsidR="004E10C1" w:rsidRPr="0044524F" w14:paraId="651B1A8F" w14:textId="77777777">
        <w:tc>
          <w:tcPr>
            <w:tcW w:w="5636" w:type="dxa"/>
          </w:tcPr>
          <w:p w14:paraId="381EFE3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августа 1933 года</w:t>
            </w:r>
          </w:p>
        </w:tc>
        <w:tc>
          <w:tcPr>
            <w:tcW w:w="5636" w:type="dxa"/>
          </w:tcPr>
          <w:p w14:paraId="180A7AF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полета на устойчивость на 1500 м.</w:t>
            </w:r>
          </w:p>
        </w:tc>
      </w:tr>
      <w:tr w:rsidR="004E10C1" w:rsidRPr="0044524F" w14:paraId="4127FBD3" w14:textId="77777777">
        <w:tc>
          <w:tcPr>
            <w:tcW w:w="5636" w:type="dxa"/>
          </w:tcPr>
          <w:p w14:paraId="5BD6C3D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p>
        </w:tc>
        <w:tc>
          <w:tcPr>
            <w:tcW w:w="5636" w:type="dxa"/>
          </w:tcPr>
          <w:p w14:paraId="59237AB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зубцы с летнабом.</w:t>
            </w:r>
          </w:p>
        </w:tc>
      </w:tr>
    </w:tbl>
    <w:p w14:paraId="35F4A7B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дальнейшие полеты произведены с летнабом.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058DE1AC" w14:textId="77777777">
        <w:tc>
          <w:tcPr>
            <w:tcW w:w="5636" w:type="dxa"/>
          </w:tcPr>
          <w:p w14:paraId="05D2FE1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 1933 года</w:t>
            </w:r>
          </w:p>
        </w:tc>
        <w:tc>
          <w:tcPr>
            <w:tcW w:w="5636" w:type="dxa"/>
          </w:tcPr>
          <w:p w14:paraId="0A69527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зубцы.</w:t>
            </w:r>
          </w:p>
        </w:tc>
      </w:tr>
      <w:tr w:rsidR="004E10C1" w:rsidRPr="0044524F" w14:paraId="16820404" w14:textId="77777777">
        <w:tc>
          <w:tcPr>
            <w:tcW w:w="5636" w:type="dxa"/>
          </w:tcPr>
          <w:p w14:paraId="2F1744A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августа 1933 года</w:t>
            </w:r>
          </w:p>
        </w:tc>
        <w:tc>
          <w:tcPr>
            <w:tcW w:w="5636" w:type="dxa"/>
          </w:tcPr>
          <w:p w14:paraId="2AB2556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зубцы на 3500 м.</w:t>
            </w:r>
          </w:p>
        </w:tc>
      </w:tr>
      <w:tr w:rsidR="004E10C1" w:rsidRPr="0044524F" w14:paraId="148452A1" w14:textId="77777777">
        <w:tc>
          <w:tcPr>
            <w:tcW w:w="5636" w:type="dxa"/>
          </w:tcPr>
          <w:p w14:paraId="14E0D38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года</w:t>
            </w:r>
          </w:p>
        </w:tc>
        <w:tc>
          <w:tcPr>
            <w:tcW w:w="5636" w:type="dxa"/>
          </w:tcPr>
          <w:p w14:paraId="101F1C1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маневренность и управляемость на 1000 м и 2000 м.</w:t>
            </w:r>
          </w:p>
        </w:tc>
      </w:tr>
      <w:tr w:rsidR="004E10C1" w:rsidRPr="0044524F" w14:paraId="71F22A23" w14:textId="77777777">
        <w:tc>
          <w:tcPr>
            <w:tcW w:w="5636" w:type="dxa"/>
          </w:tcPr>
          <w:p w14:paraId="3362A28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года</w:t>
            </w:r>
          </w:p>
        </w:tc>
        <w:tc>
          <w:tcPr>
            <w:tcW w:w="5636" w:type="dxa"/>
          </w:tcPr>
          <w:p w14:paraId="6A02368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 (с летнабом).</w:t>
            </w:r>
          </w:p>
        </w:tc>
      </w:tr>
      <w:tr w:rsidR="004E10C1" w:rsidRPr="0044524F" w14:paraId="30EC67EA" w14:textId="77777777">
        <w:tc>
          <w:tcPr>
            <w:tcW w:w="5636" w:type="dxa"/>
          </w:tcPr>
          <w:p w14:paraId="724765C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года</w:t>
            </w:r>
          </w:p>
        </w:tc>
        <w:tc>
          <w:tcPr>
            <w:tcW w:w="5636" w:type="dxa"/>
          </w:tcPr>
          <w:p w14:paraId="3818F7E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 (1 пилот).</w:t>
            </w:r>
          </w:p>
        </w:tc>
      </w:tr>
      <w:tr w:rsidR="004E10C1" w:rsidRPr="0044524F" w14:paraId="20476E15" w14:textId="77777777">
        <w:tc>
          <w:tcPr>
            <w:tcW w:w="5636" w:type="dxa"/>
          </w:tcPr>
          <w:p w14:paraId="785B388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августа 1933 года</w:t>
            </w:r>
          </w:p>
        </w:tc>
        <w:tc>
          <w:tcPr>
            <w:tcW w:w="5636" w:type="dxa"/>
          </w:tcPr>
          <w:p w14:paraId="5E954A1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и потолок.</w:t>
            </w:r>
          </w:p>
        </w:tc>
      </w:tr>
      <w:tr w:rsidR="004E10C1" w:rsidRPr="0044524F" w14:paraId="3E8FEAC2" w14:textId="77777777">
        <w:tc>
          <w:tcPr>
            <w:tcW w:w="5636" w:type="dxa"/>
          </w:tcPr>
          <w:p w14:paraId="6F56D16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5636" w:type="dxa"/>
          </w:tcPr>
          <w:p w14:paraId="70AD2C7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маневренность и устойчивость.</w:t>
            </w:r>
          </w:p>
        </w:tc>
      </w:tr>
      <w:tr w:rsidR="004E10C1" w:rsidRPr="0044524F" w14:paraId="06205933" w14:textId="77777777">
        <w:tc>
          <w:tcPr>
            <w:tcW w:w="5636" w:type="dxa"/>
          </w:tcPr>
          <w:p w14:paraId="322DF55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5636" w:type="dxa"/>
          </w:tcPr>
          <w:p w14:paraId="282A9EF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полетов на определение взлетно-посадочных свойств, определение траектории взлета и посадки.</w:t>
            </w:r>
          </w:p>
        </w:tc>
      </w:tr>
      <w:tr w:rsidR="004E10C1" w:rsidRPr="0044524F" w14:paraId="2E7FA333" w14:textId="77777777">
        <w:tc>
          <w:tcPr>
            <w:tcW w:w="5636" w:type="dxa"/>
          </w:tcPr>
          <w:p w14:paraId="220A9E3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сентября 1933 года</w:t>
            </w:r>
          </w:p>
        </w:tc>
        <w:tc>
          <w:tcPr>
            <w:tcW w:w="5636" w:type="dxa"/>
          </w:tcPr>
          <w:p w14:paraId="0C658A8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полета с перегрузкой в 53 кг на скороподъемность на 2000 м и горизонталь скорости по высотам и маневренность.</w:t>
            </w:r>
          </w:p>
        </w:tc>
      </w:tr>
      <w:tr w:rsidR="004E10C1" w:rsidRPr="0044524F" w14:paraId="59475E83" w14:textId="77777777">
        <w:tc>
          <w:tcPr>
            <w:tcW w:w="5636" w:type="dxa"/>
          </w:tcPr>
          <w:p w14:paraId="71A4ACA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p>
        </w:tc>
        <w:tc>
          <w:tcPr>
            <w:tcW w:w="5636" w:type="dxa"/>
          </w:tcPr>
          <w:p w14:paraId="558137D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облетных полетов (2 выпущено).</w:t>
            </w:r>
          </w:p>
        </w:tc>
      </w:tr>
      <w:tr w:rsidR="004E10C1" w:rsidRPr="0044524F" w14:paraId="642F3449" w14:textId="77777777">
        <w:tc>
          <w:tcPr>
            <w:tcW w:w="5636" w:type="dxa"/>
          </w:tcPr>
          <w:p w14:paraId="22019EA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сентября 1933 года</w:t>
            </w:r>
          </w:p>
        </w:tc>
        <w:tc>
          <w:tcPr>
            <w:tcW w:w="5636" w:type="dxa"/>
          </w:tcPr>
          <w:p w14:paraId="33306F6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облетных полетов (4 выпущено).</w:t>
            </w:r>
          </w:p>
        </w:tc>
      </w:tr>
    </w:tbl>
    <w:p w14:paraId="01F5BB4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проведено в 14 дней (13 летных), проведено 69 полетов. Полетных часов – 20 час. 20 мин.</w:t>
      </w:r>
    </w:p>
    <w:p w14:paraId="4B1D3AD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технические и регулировочные данные автожира «4А»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2411D793" w14:textId="77777777">
        <w:tc>
          <w:tcPr>
            <w:tcW w:w="5636" w:type="dxa"/>
          </w:tcPr>
          <w:p w14:paraId="3B67844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 выпуска</w:t>
            </w:r>
          </w:p>
        </w:tc>
        <w:tc>
          <w:tcPr>
            <w:tcW w:w="5636" w:type="dxa"/>
          </w:tcPr>
          <w:p w14:paraId="0D4B7D4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r>
      <w:tr w:rsidR="004E10C1" w:rsidRPr="0044524F" w14:paraId="1F505403" w14:textId="77777777">
        <w:tc>
          <w:tcPr>
            <w:tcW w:w="5636" w:type="dxa"/>
          </w:tcPr>
          <w:p w14:paraId="5B87E08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Полный полетный вес</w:t>
            </w:r>
          </w:p>
        </w:tc>
        <w:tc>
          <w:tcPr>
            <w:tcW w:w="5636" w:type="dxa"/>
          </w:tcPr>
          <w:p w14:paraId="06BD180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1391,4</w:t>
            </w:r>
          </w:p>
        </w:tc>
      </w:tr>
      <w:tr w:rsidR="004E10C1" w:rsidRPr="0044524F" w14:paraId="03D54F06" w14:textId="77777777">
        <w:tc>
          <w:tcPr>
            <w:tcW w:w="5636" w:type="dxa"/>
          </w:tcPr>
          <w:p w14:paraId="67B3ADC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Размах крыльев</w:t>
            </w:r>
          </w:p>
        </w:tc>
        <w:tc>
          <w:tcPr>
            <w:tcW w:w="5636" w:type="dxa"/>
          </w:tcPr>
          <w:p w14:paraId="731EE8C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6,72</w:t>
            </w:r>
          </w:p>
        </w:tc>
      </w:tr>
    </w:tbl>
    <w:p w14:paraId="2945512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Винты деревянные окованные (6646).</w:t>
      </w:r>
    </w:p>
    <w:p w14:paraId="634712F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p>
    <w:p w14:paraId="38AE963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сентября 1933 в районе Рыбинска произошла авария дирижабля В-3 и погибло 2, а 1 был тяжело ранен. В тот же день АНТ-9 столкнулся в воздухе с У-2 в Самаре и пилот У-2 погиб (2131,291).</w:t>
      </w:r>
    </w:p>
    <w:p w14:paraId="1CC5C70D"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6A71F5FE"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0F6FAEC"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2A7DA4D3"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4 сентября, 5 сентября и 9 октября 1933 г. на НИАП велась стрельба 305-мм ДРП:</w:t>
      </w:r>
    </w:p>
    <w:p w14:paraId="3128ED9F"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стрельбы применен порох Б11с 4/ОЗ вместо намеченного 120/50, которого не оказалось на полигоне.</w:t>
      </w:r>
    </w:p>
    <w:p w14:paraId="0A30C4BB"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дно канала положен сосновый диск диаметром 305 мм и толщиной 75 мм. Воспламенение производилось с помощью вытяжной трубки. Трубка воспламенялась электрическим током от индуктора.</w:t>
      </w:r>
    </w:p>
    <w:p w14:paraId="0BF7F6DB"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Стрельбы из 305/28-мм ДРП велась и 29 и 30 декабря 1933 г.:</w:t>
      </w:r>
    </w:p>
    <w:p w14:paraId="42C5D685"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Стреляли по-прежнему с клетки из бревен. Заряд состоял из двух полузарядов пороха Б11с общим весом 100 кг. Стреляли снарядом весом 250 кг со сточенными поясками.</w:t>
      </w:r>
    </w:p>
    <w:p w14:paraId="3AC3978A" w14:textId="77777777" w:rsidR="008553FB" w:rsidRPr="00142305" w:rsidRDefault="008553FB" w:rsidP="008553FB">
      <w:pPr>
        <w:spacing w:after="0" w:line="240" w:lineRule="auto"/>
        <w:jc w:val="both"/>
        <w:rPr>
          <w:rFonts w:ascii="Times New Roman" w:hAnsi="Times New Roman"/>
          <w:color w:val="0070C0"/>
          <w:sz w:val="16"/>
          <w:szCs w:val="16"/>
        </w:rPr>
      </w:pPr>
    </w:p>
    <w:p w14:paraId="0E050DE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4 сентября по 11 ноября 1933 в окрестностях Харькова проходил испытания БТ-32 - такое название получил танк Кристи М.1932 (3879,37).</w:t>
      </w:r>
    </w:p>
    <w:p w14:paraId="72F3D692"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0F7B95F4"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3346F4F"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5D9EEFFB"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сентября 1933 г. по сообщению источника НКВД из Берлина, решался вопрос о будущем отношений Германии с СССР: «Что касается отношений с СССР, то решающим в этом вопросе будет позиция, которую займет Советский Союз на конференции по разоружению. Опубликование многими газетами (начиная со статей в русских газетах) сведений относительно сотрудничества с Россией в прошлые годы подействовало ошеломляюще и прежняя точка зрения министерства рейхсвера и министерства иностранных дел поколеблена. Можно уже теперь сказать, что на конференции по разоружению Германия будет начисто отрицать военное сотрудничество с СССР, если возникнут разговоры об этом сотрудничестве» (РГВА, ф. 33987, оп. 3, д. 504, л. 153.) (11784). На Женевской конференции требование Германии о незамедлительном признании равноправия в вооружениях было отвергнуто. Реакция стран, подписавших с Германией римский «пакт четырех», была следующей: Италия поддержала Германию, Англия и Франция выступили против, блокировав тем самым ревизию военных положений Версальского договора. Это, кстати сказать, стало в тот момент одной из целей советской внешней политики. США заняли нейтральную позицию. В ответ Германия, указав на бесплодность работы конференции, 14 октября 1933 г. отозвала своего делегата с Женевской конференции, а спустя пять дней — 19 октября вышла из Лиги Наций. Москва же, сделавшая к тому времени выбор не в пользу нацистской Германии, инициировала подписание в Лондоне в ходе международной экономической конференции Соглашения об определении агрессора с соседними государствами, которое было направлено против Германии. Сталин и его окружение, поняв, что в лице правительства Гитлера они столкнулись со столь же целеустремленными, циничными и беспардонными политиками, как и они сами, всеми силами стремились загнать Германию в политическую изоляцию. Частично это им удалось. Однако опасения Запада относительно политики правительства «национальной концентрации» Гитлера были куда меньшими, нежели почти неприкрытый страх перед возможностью большевизации всего мира. В Берлине это понимали. Поэтому, выбрав курс на достижение двусторонних соглашений и взяв на себя роль «защитного вала» против большевизма (Meinecke Friedrich. Die deutsche Katastrophe. Betrachtungen und Erinnerungen. Wiesbaden 1949. S. 115.), Гитлер умело решал внешнеполитические головоломки последующего периода. Здесь были и резкое политическое противостояние Москвы и Берлина и попытки советско-германского сближения, вплоть до восстановления прежних военных связей, однако с «рапалльской политикой» было покончено (11784).</w:t>
      </w:r>
    </w:p>
    <w:p w14:paraId="3569588F" w14:textId="4A2A20B0" w:rsidR="007F23E2" w:rsidRPr="0044524F" w:rsidRDefault="007F23E2" w:rsidP="009654CF">
      <w:pPr>
        <w:spacing w:after="0" w:line="240" w:lineRule="auto"/>
        <w:jc w:val="both"/>
        <w:rPr>
          <w:rFonts w:ascii="Times New Roman" w:hAnsi="Times New Roman"/>
          <w:color w:val="000000" w:themeColor="text1"/>
          <w:sz w:val="16"/>
          <w:szCs w:val="16"/>
        </w:rPr>
      </w:pPr>
    </w:p>
    <w:p w14:paraId="4D34DD26" w14:textId="1FBDA859" w:rsidR="00114F15" w:rsidRPr="0044524F" w:rsidRDefault="00114F15"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39F51233" w14:textId="77777777" w:rsidR="00114F15" w:rsidRPr="0044524F" w:rsidRDefault="00114F15" w:rsidP="009654CF">
      <w:pPr>
        <w:spacing w:after="0" w:line="240" w:lineRule="auto"/>
        <w:jc w:val="both"/>
        <w:rPr>
          <w:rFonts w:ascii="Times New Roman" w:hAnsi="Times New Roman"/>
          <w:i/>
          <w:iCs/>
          <w:color w:val="000000" w:themeColor="text1"/>
          <w:sz w:val="16"/>
          <w:szCs w:val="16"/>
        </w:rPr>
      </w:pPr>
    </w:p>
    <w:p w14:paraId="219D21B0" w14:textId="77777777" w:rsidR="00114F15" w:rsidRPr="0044524F" w:rsidRDefault="00114F1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сентября 1933 американская летчица Флоренс Клингенсмит погибает в результате крушения своего Gee Bee Model Y Senior Sportster (бортовой номер NR718Y) во время гонки на кубок Фрэнка Филлипса в Чикаго, штат Иллинойс. Организаторы гонок запретили женщинам участвовать в будущих гонках (20802).</w:t>
      </w:r>
    </w:p>
    <w:p w14:paraId="24221270" w14:textId="77777777" w:rsidR="00114F15" w:rsidRPr="0044524F" w:rsidRDefault="00114F15" w:rsidP="009654CF">
      <w:pPr>
        <w:spacing w:after="0" w:line="240" w:lineRule="auto"/>
        <w:jc w:val="both"/>
        <w:rPr>
          <w:rFonts w:ascii="Times New Roman" w:hAnsi="Times New Roman"/>
          <w:color w:val="000000" w:themeColor="text1"/>
          <w:sz w:val="16"/>
          <w:szCs w:val="16"/>
        </w:rPr>
      </w:pPr>
    </w:p>
    <w:p w14:paraId="257740C4"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AFC585F"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25635EC3" w14:textId="77777777" w:rsidR="00C16627" w:rsidRPr="0044524F" w:rsidRDefault="00C16627" w:rsidP="00C16627">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г. ГУАП доложил о выполнении программы за истекшие 8 месяцев этого года и об оценке программы IV квартала, сообщив, что ожидается выпуск к концу сентября 60 самолетов и еще 180 до конца года – итого 180 вместо 250 по плану, однако и этого достичь не удалось – согласно подготовленной 7 октября 1933 г. справки О выполнении авиапромышленностью программы за 9 месяцев и IV квартал 1933 г. и направленной в СТО, план на первые три квартала сократили до 172 самолетов, из которых сдано было 48, два самолета собрано, но не предъявлено военприемке, 9 предъявлено, но не принято (24331).</w:t>
      </w:r>
    </w:p>
    <w:p w14:paraId="7037171C" w14:textId="77777777" w:rsidR="00C16627" w:rsidRPr="0044524F" w:rsidRDefault="00C16627" w:rsidP="00C16627">
      <w:pPr>
        <w:spacing w:after="0" w:line="240" w:lineRule="auto"/>
        <w:jc w:val="both"/>
        <w:rPr>
          <w:rFonts w:ascii="Times New Roman" w:hAnsi="Times New Roman"/>
          <w:color w:val="000000" w:themeColor="text1"/>
          <w:sz w:val="16"/>
          <w:szCs w:val="16"/>
        </w:rPr>
      </w:pPr>
    </w:p>
    <w:p w14:paraId="6DD7250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г. в ГУАП состоялось оче</w:t>
      </w:r>
      <w:r w:rsidRPr="0044524F">
        <w:rPr>
          <w:rFonts w:ascii="Times New Roman" w:hAnsi="Times New Roman"/>
          <w:color w:val="000000" w:themeColor="text1"/>
          <w:sz w:val="16"/>
          <w:szCs w:val="16"/>
        </w:rPr>
        <w:softHyphen/>
        <w:t>редное совещание о состоянии эталона И-5 на 1933 г. Конструктивные разработки предстоящих улучшений самолета выполнили в ЦКБ на заводе №39 и далее отправили на завод №21 в Горький. Назывались следующие новшества:</w:t>
      </w:r>
    </w:p>
    <w:p w14:paraId="71B55D54" w14:textId="77777777" w:rsidR="007F23E2" w:rsidRPr="0044524F" w:rsidRDefault="007F23E2" w:rsidP="009654CF">
      <w:pPr>
        <w:tabs>
          <w:tab w:val="left" w:pos="538"/>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Облегченное хвостовое оперение (от</w:t>
      </w:r>
      <w:r w:rsidRPr="0044524F">
        <w:rPr>
          <w:rFonts w:ascii="Times New Roman" w:hAnsi="Times New Roman"/>
          <w:color w:val="000000" w:themeColor="text1"/>
          <w:sz w:val="16"/>
          <w:szCs w:val="16"/>
        </w:rPr>
        <w:softHyphen/>
        <w:t>правили на №21)</w:t>
      </w:r>
    </w:p>
    <w:p w14:paraId="55CA5839" w14:textId="77777777" w:rsidR="007F23E2" w:rsidRPr="0044524F" w:rsidRDefault="007F23E2" w:rsidP="009654CF">
      <w:pPr>
        <w:tabs>
          <w:tab w:val="left" w:pos="523"/>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Обтекатели на колеса (решили изгото</w:t>
      </w:r>
      <w:r w:rsidRPr="0044524F">
        <w:rPr>
          <w:rFonts w:ascii="Times New Roman" w:hAnsi="Times New Roman"/>
          <w:color w:val="000000" w:themeColor="text1"/>
          <w:sz w:val="16"/>
          <w:szCs w:val="16"/>
        </w:rPr>
        <w:softHyphen/>
        <w:t>вить на №39)</w:t>
      </w:r>
    </w:p>
    <w:p w14:paraId="4EA77486" w14:textId="77777777" w:rsidR="007F23E2" w:rsidRPr="0044524F" w:rsidRDefault="007F23E2" w:rsidP="009654CF">
      <w:pPr>
        <w:tabs>
          <w:tab w:val="left" w:pos="508"/>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Колпак для слепых полетов</w:t>
      </w:r>
    </w:p>
    <w:p w14:paraId="092E0F27" w14:textId="77777777" w:rsidR="007F23E2" w:rsidRPr="0044524F" w:rsidRDefault="007F23E2" w:rsidP="009654CF">
      <w:pPr>
        <w:tabs>
          <w:tab w:val="left" w:pos="513"/>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Новое крепление кольца Тауненда</w:t>
      </w:r>
    </w:p>
    <w:p w14:paraId="4707EFCF" w14:textId="77777777" w:rsidR="007F23E2" w:rsidRPr="0044524F" w:rsidRDefault="007F23E2" w:rsidP="009654CF">
      <w:pPr>
        <w:tabs>
          <w:tab w:val="left" w:pos="49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Тормозные колеса</w:t>
      </w:r>
    </w:p>
    <w:p w14:paraId="1687AB3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этом коротком списке лишь частично реализованных нововведений интерес вызы</w:t>
      </w:r>
      <w:r w:rsidRPr="0044524F">
        <w:rPr>
          <w:rFonts w:ascii="Times New Roman" w:hAnsi="Times New Roman"/>
          <w:color w:val="000000" w:themeColor="text1"/>
          <w:sz w:val="16"/>
          <w:szCs w:val="16"/>
        </w:rPr>
        <w:softHyphen/>
        <w:t>вает первый пункт, т.е. «облегченное хвосто</w:t>
      </w:r>
      <w:r w:rsidRPr="0044524F">
        <w:rPr>
          <w:rFonts w:ascii="Times New Roman" w:hAnsi="Times New Roman"/>
          <w:color w:val="000000" w:themeColor="text1"/>
          <w:sz w:val="16"/>
          <w:szCs w:val="16"/>
        </w:rPr>
        <w:softHyphen/>
        <w:t>вое оперение». История его началась еще во время испытаний ВТ-11, когда Бенедикт Бухгольц в полете заметил вибрацию опере</w:t>
      </w:r>
      <w:r w:rsidRPr="0044524F">
        <w:rPr>
          <w:rFonts w:ascii="Times New Roman" w:hAnsi="Times New Roman"/>
          <w:color w:val="000000" w:themeColor="text1"/>
          <w:sz w:val="16"/>
          <w:szCs w:val="16"/>
        </w:rPr>
        <w:softHyphen/>
        <w:t>ния, и поэтому его усилили дополнительными подкосами. Практически без изменений такое оперение запустили в серийное производ</w:t>
      </w:r>
      <w:r w:rsidRPr="0044524F">
        <w:rPr>
          <w:rFonts w:ascii="Times New Roman" w:hAnsi="Times New Roman"/>
          <w:color w:val="000000" w:themeColor="text1"/>
          <w:sz w:val="16"/>
          <w:szCs w:val="16"/>
        </w:rPr>
        <w:softHyphen/>
        <w:t>ство. Примерно через год изготовили несколь</w:t>
      </w:r>
      <w:r w:rsidRPr="0044524F">
        <w:rPr>
          <w:rFonts w:ascii="Times New Roman" w:hAnsi="Times New Roman"/>
          <w:color w:val="000000" w:themeColor="text1"/>
          <w:sz w:val="16"/>
          <w:szCs w:val="16"/>
        </w:rPr>
        <w:softHyphen/>
        <w:t>ко облегченных оперений (с учетом установки подкосов),однако использовать их неудалось, так как к тому моменту уже успели «накле</w:t>
      </w:r>
      <w:r w:rsidRPr="0044524F">
        <w:rPr>
          <w:rFonts w:ascii="Times New Roman" w:hAnsi="Times New Roman"/>
          <w:color w:val="000000" w:themeColor="text1"/>
          <w:sz w:val="16"/>
          <w:szCs w:val="16"/>
        </w:rPr>
        <w:softHyphen/>
        <w:t>пать» 450 хвостовых комплектов прежней конструкции. В результате, 2 комплекта этого облегченного оперения были использованы А.С. Яковлевым на АИР-б и АИР-7, и еще один - остался у него в наличии (Яковлев в тот пе</w:t>
      </w:r>
      <w:r w:rsidRPr="0044524F">
        <w:rPr>
          <w:rFonts w:ascii="Times New Roman" w:hAnsi="Times New Roman"/>
          <w:color w:val="000000" w:themeColor="text1"/>
          <w:sz w:val="16"/>
          <w:szCs w:val="16"/>
        </w:rPr>
        <w:softHyphen/>
        <w:t>риод работал на заводе №39). Еще два экзем</w:t>
      </w:r>
      <w:r w:rsidRPr="0044524F">
        <w:rPr>
          <w:rFonts w:ascii="Times New Roman" w:hAnsi="Times New Roman"/>
          <w:color w:val="000000" w:themeColor="text1"/>
          <w:sz w:val="16"/>
          <w:szCs w:val="16"/>
        </w:rPr>
        <w:softHyphen/>
        <w:t>пляра оперения передали с завода №39 в Нижний Новгород на завод №21. Конструктивно они также отличались более совершенными узлами навески рулей поворо</w:t>
      </w:r>
      <w:r w:rsidRPr="0044524F">
        <w:rPr>
          <w:rFonts w:ascii="Times New Roman" w:hAnsi="Times New Roman"/>
          <w:color w:val="000000" w:themeColor="text1"/>
          <w:sz w:val="16"/>
          <w:szCs w:val="16"/>
        </w:rPr>
        <w:softHyphen/>
        <w:t>та и высоты, скреплялись не на штырях, а на узлах с двумя щеками, через которые проходит болт.</w:t>
      </w:r>
    </w:p>
    <w:p w14:paraId="6DC0671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в 1933 г. в отношении действующего и перспективного авиазавода №21 имени Енукидзе (позднее им Орджоникидзе) в руко</w:t>
      </w:r>
      <w:r w:rsidRPr="0044524F">
        <w:rPr>
          <w:rFonts w:ascii="Times New Roman" w:hAnsi="Times New Roman"/>
          <w:color w:val="000000" w:themeColor="text1"/>
          <w:sz w:val="16"/>
          <w:szCs w:val="16"/>
        </w:rPr>
        <w:softHyphen/>
        <w:t>водстве авиапромышленности имелись об</w:t>
      </w:r>
      <w:r w:rsidRPr="0044524F">
        <w:rPr>
          <w:rFonts w:ascii="Times New Roman" w:hAnsi="Times New Roman"/>
          <w:color w:val="000000" w:themeColor="text1"/>
          <w:sz w:val="16"/>
          <w:szCs w:val="16"/>
        </w:rPr>
        <w:softHyphen/>
        <w:t>ширные планы. В ноябре 1933 г. решался во</w:t>
      </w:r>
      <w:r w:rsidRPr="0044524F">
        <w:rPr>
          <w:rFonts w:ascii="Times New Roman" w:hAnsi="Times New Roman"/>
          <w:color w:val="000000" w:themeColor="text1"/>
          <w:sz w:val="16"/>
          <w:szCs w:val="16"/>
        </w:rPr>
        <w:softHyphen/>
        <w:t>прос о запуске в серию здесь истребителя И- 14, позднее последовало решение о строи</w:t>
      </w:r>
      <w:r w:rsidRPr="0044524F">
        <w:rPr>
          <w:rFonts w:ascii="Times New Roman" w:hAnsi="Times New Roman"/>
          <w:color w:val="000000" w:themeColor="text1"/>
          <w:sz w:val="16"/>
          <w:szCs w:val="16"/>
        </w:rPr>
        <w:softHyphen/>
        <w:t>тельстве ХАИ-1. Однако оба самолета стали для Горького лишь частным эпизодом. В соот</w:t>
      </w:r>
      <w:r w:rsidRPr="0044524F">
        <w:rPr>
          <w:rFonts w:ascii="Times New Roman" w:hAnsi="Times New Roman"/>
          <w:color w:val="000000" w:themeColor="text1"/>
          <w:sz w:val="16"/>
          <w:szCs w:val="16"/>
        </w:rPr>
        <w:softHyphen/>
        <w:t>ветствии с приказом ГУАП за №110б-со от 11 июня 1934 г. завод №21 получил новое зада</w:t>
      </w:r>
      <w:r w:rsidRPr="0044524F">
        <w:rPr>
          <w:rFonts w:ascii="Times New Roman" w:hAnsi="Times New Roman"/>
          <w:color w:val="000000" w:themeColor="text1"/>
          <w:sz w:val="16"/>
          <w:szCs w:val="16"/>
        </w:rPr>
        <w:softHyphen/>
        <w:t>ние - внедрить в крупносерийное производ</w:t>
      </w:r>
      <w:r w:rsidRPr="0044524F">
        <w:rPr>
          <w:rFonts w:ascii="Times New Roman" w:hAnsi="Times New Roman"/>
          <w:color w:val="000000" w:themeColor="text1"/>
          <w:sz w:val="16"/>
          <w:szCs w:val="16"/>
        </w:rPr>
        <w:softHyphen/>
        <w:t>ство истребитель-моноплан И-16 конструк</w:t>
      </w:r>
      <w:r w:rsidRPr="0044524F">
        <w:rPr>
          <w:rFonts w:ascii="Times New Roman" w:hAnsi="Times New Roman"/>
          <w:color w:val="000000" w:themeColor="text1"/>
          <w:sz w:val="16"/>
          <w:szCs w:val="16"/>
        </w:rPr>
        <w:softHyphen/>
        <w:t>ции Поликарпова. Выпуск ХАИ-1 после изго</w:t>
      </w:r>
      <w:r w:rsidRPr="0044524F">
        <w:rPr>
          <w:rFonts w:ascii="Times New Roman" w:hAnsi="Times New Roman"/>
          <w:color w:val="000000" w:themeColor="text1"/>
          <w:sz w:val="16"/>
          <w:szCs w:val="16"/>
        </w:rPr>
        <w:softHyphen/>
        <w:t>товления трех экземпляров перенесли на завод №43 в Киеве, а задание на изготовление И-14 передали иркутскому заводу №125. С по</w:t>
      </w:r>
      <w:r w:rsidRPr="0044524F">
        <w:rPr>
          <w:rFonts w:ascii="Times New Roman" w:hAnsi="Times New Roman"/>
          <w:color w:val="000000" w:themeColor="text1"/>
          <w:sz w:val="16"/>
          <w:szCs w:val="16"/>
        </w:rPr>
        <w:softHyphen/>
        <w:t>явлением И-16 на 21-м заводе ввели нумера цию строящихся самолетов по типам. Так, И-5 стал типом №1, И-14 - типом №2, ХАИ-1 - типом №3, а И-16 - типом №4. Впрочем, ука</w:t>
      </w:r>
      <w:r w:rsidRPr="0044524F">
        <w:rPr>
          <w:rFonts w:ascii="Times New Roman" w:hAnsi="Times New Roman"/>
          <w:color w:val="000000" w:themeColor="text1"/>
          <w:sz w:val="16"/>
          <w:szCs w:val="16"/>
        </w:rPr>
        <w:softHyphen/>
        <w:t>зывать тип самолета поначалу забывали. Например, в сводной ведомости упоминается И-5 №121633 - головной самолет 19 серии, сданный в ноябре и оснащенный тормозными колесами, а следующий самолет пишется без упоминания типа - №21634. В любом случае, 1934 г. стал последним годом строительства истребителей И-5. При плане в 300 И-5 авиа</w:t>
      </w:r>
      <w:r w:rsidRPr="0044524F">
        <w:rPr>
          <w:rFonts w:ascii="Times New Roman" w:hAnsi="Times New Roman"/>
          <w:color w:val="000000" w:themeColor="text1"/>
          <w:sz w:val="16"/>
          <w:szCs w:val="16"/>
        </w:rPr>
        <w:softHyphen/>
        <w:t>ционный завод №21 построил в 1934 г. 330 таких истребителей. Далее, в течение семи последующих лет здесь все усилия направля</w:t>
      </w:r>
      <w:r w:rsidRPr="0044524F">
        <w:rPr>
          <w:rFonts w:ascii="Times New Roman" w:hAnsi="Times New Roman"/>
          <w:color w:val="000000" w:themeColor="text1"/>
          <w:sz w:val="16"/>
          <w:szCs w:val="16"/>
        </w:rPr>
        <w:softHyphen/>
        <w:t>ли на изготовление И-16.</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91"/>
        <w:gridCol w:w="898"/>
        <w:gridCol w:w="941"/>
        <w:gridCol w:w="931"/>
        <w:gridCol w:w="941"/>
        <w:gridCol w:w="941"/>
        <w:gridCol w:w="720"/>
      </w:tblGrid>
      <w:tr w:rsidR="004E10C1" w:rsidRPr="0044524F" w14:paraId="625854CE" w14:textId="77777777">
        <w:trPr>
          <w:trHeight w:val="197"/>
        </w:trPr>
        <w:tc>
          <w:tcPr>
            <w:tcW w:w="691" w:type="dxa"/>
            <w:tcBorders>
              <w:top w:val="single" w:sz="12" w:space="0" w:color="auto"/>
            </w:tcBorders>
            <w:shd w:val="clear" w:color="auto" w:fill="FFFFFF"/>
          </w:tcPr>
          <w:p w14:paraId="093F14A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tc>
        <w:tc>
          <w:tcPr>
            <w:tcW w:w="898" w:type="dxa"/>
            <w:tcBorders>
              <w:top w:val="single" w:sz="12" w:space="0" w:color="auto"/>
            </w:tcBorders>
            <w:shd w:val="clear" w:color="auto" w:fill="FFFFFF"/>
          </w:tcPr>
          <w:p w14:paraId="5409037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941" w:type="dxa"/>
            <w:tcBorders>
              <w:top w:val="single" w:sz="12" w:space="0" w:color="auto"/>
            </w:tcBorders>
            <w:shd w:val="clear" w:color="auto" w:fill="FFFFFF"/>
          </w:tcPr>
          <w:p w14:paraId="78D7E00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931" w:type="dxa"/>
            <w:tcBorders>
              <w:top w:val="single" w:sz="12" w:space="0" w:color="auto"/>
            </w:tcBorders>
            <w:shd w:val="clear" w:color="auto" w:fill="FFFFFF"/>
          </w:tcPr>
          <w:p w14:paraId="0CBA2B9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41" w:type="dxa"/>
            <w:tcBorders>
              <w:top w:val="single" w:sz="12" w:space="0" w:color="auto"/>
            </w:tcBorders>
            <w:shd w:val="clear" w:color="auto" w:fill="FFFFFF"/>
          </w:tcPr>
          <w:p w14:paraId="5D25DDA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w:t>
            </w:r>
          </w:p>
        </w:tc>
        <w:tc>
          <w:tcPr>
            <w:tcW w:w="941" w:type="dxa"/>
            <w:tcBorders>
              <w:top w:val="single" w:sz="12" w:space="0" w:color="auto"/>
            </w:tcBorders>
            <w:shd w:val="clear" w:color="auto" w:fill="FFFFFF"/>
          </w:tcPr>
          <w:p w14:paraId="10B4F4D6"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w:t>
            </w:r>
          </w:p>
        </w:tc>
        <w:tc>
          <w:tcPr>
            <w:tcW w:w="720" w:type="dxa"/>
            <w:tcBorders>
              <w:top w:val="single" w:sz="12" w:space="0" w:color="auto"/>
            </w:tcBorders>
            <w:shd w:val="clear" w:color="auto" w:fill="FFFFFF"/>
          </w:tcPr>
          <w:p w14:paraId="09216CD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r>
      <w:tr w:rsidR="004E10C1" w:rsidRPr="0044524F" w14:paraId="1A864BD8" w14:textId="77777777">
        <w:trPr>
          <w:trHeight w:val="197"/>
        </w:trPr>
        <w:tc>
          <w:tcPr>
            <w:tcW w:w="691" w:type="dxa"/>
            <w:shd w:val="clear" w:color="auto" w:fill="FFFFFF"/>
          </w:tcPr>
          <w:p w14:paraId="71BA5C9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898" w:type="dxa"/>
            <w:shd w:val="clear" w:color="auto" w:fill="FFFFFF"/>
          </w:tcPr>
          <w:p w14:paraId="157F136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941" w:type="dxa"/>
            <w:shd w:val="clear" w:color="auto" w:fill="FFFFFF"/>
          </w:tcPr>
          <w:p w14:paraId="47191F2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931" w:type="dxa"/>
            <w:shd w:val="clear" w:color="auto" w:fill="FFFFFF"/>
          </w:tcPr>
          <w:p w14:paraId="29CC095C"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941" w:type="dxa"/>
            <w:shd w:val="clear" w:color="auto" w:fill="FFFFFF"/>
          </w:tcPr>
          <w:p w14:paraId="138FD62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41" w:type="dxa"/>
            <w:shd w:val="clear" w:color="auto" w:fill="FFFFFF"/>
          </w:tcPr>
          <w:p w14:paraId="1016835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20" w:type="dxa"/>
            <w:shd w:val="clear" w:color="auto" w:fill="FFFFFF"/>
          </w:tcPr>
          <w:p w14:paraId="4AB846F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6A22CF41" w14:textId="77777777">
        <w:trPr>
          <w:trHeight w:val="202"/>
        </w:trPr>
        <w:tc>
          <w:tcPr>
            <w:tcW w:w="691" w:type="dxa"/>
            <w:shd w:val="clear" w:color="auto" w:fill="FFFFFF"/>
          </w:tcPr>
          <w:p w14:paraId="2D184B1A"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898" w:type="dxa"/>
            <w:shd w:val="clear" w:color="auto" w:fill="FFFFFF"/>
          </w:tcPr>
          <w:p w14:paraId="1805EFA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41" w:type="dxa"/>
            <w:shd w:val="clear" w:color="auto" w:fill="FFFFFF"/>
          </w:tcPr>
          <w:p w14:paraId="36C8816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бб</w:t>
            </w:r>
          </w:p>
        </w:tc>
        <w:tc>
          <w:tcPr>
            <w:tcW w:w="931" w:type="dxa"/>
            <w:shd w:val="clear" w:color="auto" w:fill="FFFFFF"/>
          </w:tcPr>
          <w:p w14:paraId="4519708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941" w:type="dxa"/>
            <w:shd w:val="clear" w:color="auto" w:fill="FFFFFF"/>
          </w:tcPr>
          <w:p w14:paraId="7BFE237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41" w:type="dxa"/>
            <w:shd w:val="clear" w:color="auto" w:fill="FFFFFF"/>
          </w:tcPr>
          <w:p w14:paraId="5FA43A5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20" w:type="dxa"/>
            <w:shd w:val="clear" w:color="auto" w:fill="FFFFFF"/>
          </w:tcPr>
          <w:p w14:paraId="3A5F03D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142</w:t>
            </w:r>
          </w:p>
        </w:tc>
      </w:tr>
      <w:tr w:rsidR="004E10C1" w:rsidRPr="0044524F" w14:paraId="7877389E" w14:textId="77777777">
        <w:trPr>
          <w:trHeight w:val="197"/>
        </w:trPr>
        <w:tc>
          <w:tcPr>
            <w:tcW w:w="691" w:type="dxa"/>
            <w:shd w:val="clear" w:color="auto" w:fill="FFFFFF"/>
          </w:tcPr>
          <w:p w14:paraId="5475D86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898" w:type="dxa"/>
            <w:shd w:val="clear" w:color="auto" w:fill="FFFFFF"/>
          </w:tcPr>
          <w:p w14:paraId="47FB3DC2"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941" w:type="dxa"/>
            <w:shd w:val="clear" w:color="auto" w:fill="FFFFFF"/>
          </w:tcPr>
          <w:p w14:paraId="0C7D159E"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931" w:type="dxa"/>
            <w:shd w:val="clear" w:color="auto" w:fill="FFFFFF"/>
          </w:tcPr>
          <w:p w14:paraId="35B3159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941" w:type="dxa"/>
            <w:shd w:val="clear" w:color="auto" w:fill="FFFFFF"/>
          </w:tcPr>
          <w:p w14:paraId="324FBE0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321</w:t>
            </w:r>
          </w:p>
        </w:tc>
        <w:tc>
          <w:tcPr>
            <w:tcW w:w="941" w:type="dxa"/>
            <w:shd w:val="clear" w:color="auto" w:fill="FFFFFF"/>
          </w:tcPr>
          <w:p w14:paraId="383A2EF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w:t>
            </w:r>
          </w:p>
        </w:tc>
        <w:tc>
          <w:tcPr>
            <w:tcW w:w="720" w:type="dxa"/>
            <w:shd w:val="clear" w:color="auto" w:fill="FFFFFF"/>
          </w:tcPr>
          <w:p w14:paraId="2B29AA4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661</w:t>
            </w:r>
          </w:p>
        </w:tc>
      </w:tr>
      <w:tr w:rsidR="004E10C1" w:rsidRPr="0044524F" w14:paraId="5DEDD5BD" w14:textId="77777777">
        <w:trPr>
          <w:trHeight w:val="192"/>
        </w:trPr>
        <w:tc>
          <w:tcPr>
            <w:tcW w:w="691" w:type="dxa"/>
            <w:tcBorders>
              <w:bottom w:val="single" w:sz="12" w:space="0" w:color="auto"/>
            </w:tcBorders>
            <w:shd w:val="clear" w:color="auto" w:fill="FFFFFF"/>
          </w:tcPr>
          <w:p w14:paraId="10C3EDC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898" w:type="dxa"/>
            <w:tcBorders>
              <w:bottom w:val="single" w:sz="12" w:space="0" w:color="auto"/>
            </w:tcBorders>
            <w:shd w:val="clear" w:color="auto" w:fill="FFFFFF"/>
          </w:tcPr>
          <w:p w14:paraId="47859FD1"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941" w:type="dxa"/>
            <w:tcBorders>
              <w:bottom w:val="single" w:sz="12" w:space="0" w:color="auto"/>
            </w:tcBorders>
            <w:shd w:val="clear" w:color="auto" w:fill="FFFFFF"/>
          </w:tcPr>
          <w:p w14:paraId="6C50FB6D"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931" w:type="dxa"/>
            <w:tcBorders>
              <w:bottom w:val="single" w:sz="12" w:space="0" w:color="auto"/>
            </w:tcBorders>
            <w:shd w:val="clear" w:color="auto" w:fill="FFFFFF"/>
          </w:tcPr>
          <w:p w14:paraId="79CA710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941" w:type="dxa"/>
            <w:tcBorders>
              <w:bottom w:val="single" w:sz="12" w:space="0" w:color="auto"/>
            </w:tcBorders>
            <w:shd w:val="clear" w:color="auto" w:fill="FFFFFF"/>
          </w:tcPr>
          <w:p w14:paraId="665EA05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321</w:t>
            </w:r>
          </w:p>
        </w:tc>
        <w:tc>
          <w:tcPr>
            <w:tcW w:w="941" w:type="dxa"/>
            <w:tcBorders>
              <w:bottom w:val="single" w:sz="12" w:space="0" w:color="auto"/>
            </w:tcBorders>
            <w:shd w:val="clear" w:color="auto" w:fill="FFFFFF"/>
          </w:tcPr>
          <w:p w14:paraId="573AD7A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w:t>
            </w:r>
          </w:p>
        </w:tc>
        <w:tc>
          <w:tcPr>
            <w:tcW w:w="720" w:type="dxa"/>
            <w:tcBorders>
              <w:bottom w:val="single" w:sz="12" w:space="0" w:color="auto"/>
            </w:tcBorders>
            <w:shd w:val="clear" w:color="auto" w:fill="FFFFFF"/>
          </w:tcPr>
          <w:p w14:paraId="076F8FD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815</w:t>
            </w:r>
          </w:p>
        </w:tc>
      </w:tr>
    </w:tbl>
    <w:p w14:paraId="082D9B1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(11974).</w:t>
      </w:r>
    </w:p>
    <w:p w14:paraId="58A281C3"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6D59049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года начальник гл. управления авиапромышленности Королев писал в СТО</w:t>
      </w:r>
    </w:p>
    <w:p w14:paraId="0B11B3C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выполнении программы авиапромышленностью за 8 месяцев 1933 года и программы IV квартала</w:t>
      </w:r>
    </w:p>
    <w:p w14:paraId="412B9A1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Основными причинами недовыполнения программы являлись:</w:t>
      </w:r>
    </w:p>
    <w:p w14:paraId="40C22271" w14:textId="77777777" w:rsidR="007F23E2" w:rsidRPr="0044524F" w:rsidRDefault="007F23E2" w:rsidP="009654CF">
      <w:pPr>
        <w:numPr>
          <w:ilvl w:val="0"/>
          <w:numId w:val="25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Нехватка цветных металлов, в особенности по олову, сортовой и листовой латуни и по алюминию.</w:t>
      </w:r>
    </w:p>
    <w:p w14:paraId="72B01F97" w14:textId="77777777" w:rsidR="007F23E2" w:rsidRPr="0044524F" w:rsidRDefault="007F23E2" w:rsidP="009654CF">
      <w:pPr>
        <w:numPr>
          <w:ilvl w:val="0"/>
          <w:numId w:val="25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Нехватка холоднокатанной калиброванной стали.</w:t>
      </w:r>
    </w:p>
    <w:p w14:paraId="69B8DC30" w14:textId="77777777" w:rsidR="007F23E2" w:rsidRPr="0044524F" w:rsidRDefault="007F23E2" w:rsidP="009654CF">
      <w:pPr>
        <w:numPr>
          <w:ilvl w:val="0"/>
          <w:numId w:val="26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Недопоставка магнето; АТЭ Электрозавода систематически не выполняет программы по авиационному магнето. По 1 октября требовалось к подаче 17250 штук; поставлено (включительно по 21 сентября) – 7976 штук. В настоящий момент остановился выпуск моторов М17 и М11. Импортного контингента нет.</w:t>
      </w:r>
    </w:p>
    <w:p w14:paraId="73E412D9" w14:textId="77777777" w:rsidR="007F23E2" w:rsidRPr="0044524F" w:rsidRDefault="007F23E2" w:rsidP="009654CF">
      <w:pPr>
        <w:pStyle w:val="a3"/>
        <w:widowControl/>
        <w:tabs>
          <w:tab w:val="left" w:pos="11199"/>
        </w:tabs>
        <w:rPr>
          <w:color w:val="000000" w:themeColor="text1"/>
          <w:lang w:val="ru-RU"/>
        </w:rPr>
      </w:pPr>
      <w:r w:rsidRPr="0044524F">
        <w:rPr>
          <w:color w:val="000000" w:themeColor="text1"/>
          <w:lang w:val="ru-RU"/>
        </w:rPr>
        <w:t>В области производства:</w:t>
      </w:r>
    </w:p>
    <w:p w14:paraId="0FB400E0" w14:textId="77777777" w:rsidR="007F23E2" w:rsidRPr="0044524F" w:rsidRDefault="007F23E2" w:rsidP="009654CF">
      <w:pPr>
        <w:numPr>
          <w:ilvl w:val="0"/>
          <w:numId w:val="26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Конструктивные изменения и недоработки отдельных машин: И-7 изменения хвостового оперения, ТБ-3 М-34 недоработанность винтомоторной установки, М-34 – изменение конструкции масляной помпы и др.</w:t>
      </w:r>
    </w:p>
    <w:p w14:paraId="0792568A" w14:textId="77777777" w:rsidR="007F23E2" w:rsidRPr="0044524F" w:rsidRDefault="007F23E2" w:rsidP="009654CF">
      <w:pPr>
        <w:numPr>
          <w:ilvl w:val="0"/>
          <w:numId w:val="26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Недостаточное еще освоение М-34 (заливка головок гл. шатунов) внедрение в производство ГМ34 и М34Р.</w:t>
      </w:r>
    </w:p>
    <w:p w14:paraId="140E9259" w14:textId="77777777" w:rsidR="007F23E2" w:rsidRPr="0044524F" w:rsidRDefault="007F23E2" w:rsidP="009654CF">
      <w:pPr>
        <w:numPr>
          <w:ilvl w:val="0"/>
          <w:numId w:val="26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Неподготовленность производства по самолетам Р-6 и МБР-4.</w:t>
      </w:r>
    </w:p>
    <w:p w14:paraId="0E112C3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IV квартал принята сдача самолетов 1658 штук и моторов 2683 штук в следующей разбивке по основным типам: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4524F" w14:paraId="6AE9E351" w14:textId="77777777">
        <w:tc>
          <w:tcPr>
            <w:tcW w:w="1914" w:type="dxa"/>
          </w:tcPr>
          <w:p w14:paraId="43DAD3B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самолетов</w:t>
            </w:r>
          </w:p>
        </w:tc>
        <w:tc>
          <w:tcPr>
            <w:tcW w:w="1914" w:type="dxa"/>
          </w:tcPr>
          <w:p w14:paraId="3CF8C5C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1933 года</w:t>
            </w:r>
          </w:p>
        </w:tc>
        <w:tc>
          <w:tcPr>
            <w:tcW w:w="1914" w:type="dxa"/>
          </w:tcPr>
          <w:p w14:paraId="2EC778B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Ожидаемый выпуск за 9 месяцев</w:t>
            </w:r>
          </w:p>
        </w:tc>
        <w:tc>
          <w:tcPr>
            <w:tcW w:w="1914" w:type="dxa"/>
          </w:tcPr>
          <w:p w14:paraId="357005F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IV квартала</w:t>
            </w:r>
          </w:p>
        </w:tc>
        <w:tc>
          <w:tcPr>
            <w:tcW w:w="1914" w:type="dxa"/>
          </w:tcPr>
          <w:p w14:paraId="25A2832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Ожидаемый выпуск за год</w:t>
            </w:r>
          </w:p>
        </w:tc>
        <w:tc>
          <w:tcPr>
            <w:tcW w:w="1487" w:type="dxa"/>
          </w:tcPr>
          <w:p w14:paraId="668DD9D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ожидаемого выполнения в год</w:t>
            </w:r>
          </w:p>
        </w:tc>
      </w:tr>
    </w:tbl>
    <w:p w14:paraId="29C283B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Самолетов всего: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4524F" w14:paraId="33C2E980" w14:textId="77777777">
        <w:tc>
          <w:tcPr>
            <w:tcW w:w="1914" w:type="dxa"/>
          </w:tcPr>
          <w:p w14:paraId="26434BD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p>
        </w:tc>
        <w:tc>
          <w:tcPr>
            <w:tcW w:w="1914" w:type="dxa"/>
          </w:tcPr>
          <w:p w14:paraId="7EC01F9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4423</w:t>
            </w:r>
          </w:p>
        </w:tc>
        <w:tc>
          <w:tcPr>
            <w:tcW w:w="1914" w:type="dxa"/>
          </w:tcPr>
          <w:p w14:paraId="2B89949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2819</w:t>
            </w:r>
          </w:p>
        </w:tc>
        <w:tc>
          <w:tcPr>
            <w:tcW w:w="1914" w:type="dxa"/>
          </w:tcPr>
          <w:p w14:paraId="5816348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1658</w:t>
            </w:r>
          </w:p>
        </w:tc>
        <w:tc>
          <w:tcPr>
            <w:tcW w:w="1914" w:type="dxa"/>
          </w:tcPr>
          <w:p w14:paraId="66E915E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4477</w:t>
            </w:r>
          </w:p>
        </w:tc>
        <w:tc>
          <w:tcPr>
            <w:tcW w:w="1487" w:type="dxa"/>
          </w:tcPr>
          <w:p w14:paraId="16FAEF8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101,2</w:t>
            </w:r>
          </w:p>
        </w:tc>
      </w:tr>
    </w:tbl>
    <w:p w14:paraId="5784B1D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числе:</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4524F" w14:paraId="19C33B53" w14:textId="77777777">
        <w:tc>
          <w:tcPr>
            <w:tcW w:w="1914" w:type="dxa"/>
          </w:tcPr>
          <w:p w14:paraId="18A72C8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914" w:type="dxa"/>
          </w:tcPr>
          <w:p w14:paraId="6063B29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1675</w:t>
            </w:r>
          </w:p>
        </w:tc>
        <w:tc>
          <w:tcPr>
            <w:tcW w:w="1914" w:type="dxa"/>
          </w:tcPr>
          <w:p w14:paraId="6BC8627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995</w:t>
            </w:r>
          </w:p>
        </w:tc>
        <w:tc>
          <w:tcPr>
            <w:tcW w:w="1914" w:type="dxa"/>
          </w:tcPr>
          <w:p w14:paraId="01764DD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680</w:t>
            </w:r>
          </w:p>
        </w:tc>
        <w:tc>
          <w:tcPr>
            <w:tcW w:w="1914" w:type="dxa"/>
          </w:tcPr>
          <w:p w14:paraId="3296010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1675</w:t>
            </w:r>
          </w:p>
        </w:tc>
        <w:tc>
          <w:tcPr>
            <w:tcW w:w="1487" w:type="dxa"/>
          </w:tcPr>
          <w:p w14:paraId="3FB18EE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74F6CD3A" w14:textId="77777777">
        <w:tc>
          <w:tcPr>
            <w:tcW w:w="1914" w:type="dxa"/>
          </w:tcPr>
          <w:p w14:paraId="71C7986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МР-5</w:t>
            </w:r>
          </w:p>
        </w:tc>
        <w:tc>
          <w:tcPr>
            <w:tcW w:w="1914" w:type="dxa"/>
          </w:tcPr>
          <w:p w14:paraId="112E523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914" w:type="dxa"/>
          </w:tcPr>
          <w:p w14:paraId="391463F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914" w:type="dxa"/>
          </w:tcPr>
          <w:p w14:paraId="5E4AE03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914" w:type="dxa"/>
          </w:tcPr>
          <w:p w14:paraId="7988FC7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87" w:type="dxa"/>
          </w:tcPr>
          <w:p w14:paraId="1749600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F323765" w14:textId="77777777">
        <w:tc>
          <w:tcPr>
            <w:tcW w:w="1914" w:type="dxa"/>
          </w:tcPr>
          <w:p w14:paraId="3B2C299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1914" w:type="dxa"/>
          </w:tcPr>
          <w:p w14:paraId="2844B26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914" w:type="dxa"/>
          </w:tcPr>
          <w:p w14:paraId="6E7D728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1914" w:type="dxa"/>
          </w:tcPr>
          <w:p w14:paraId="5DA0C0E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w:t>
            </w:r>
          </w:p>
        </w:tc>
        <w:tc>
          <w:tcPr>
            <w:tcW w:w="1914" w:type="dxa"/>
          </w:tcPr>
          <w:p w14:paraId="7B160A0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487" w:type="dxa"/>
          </w:tcPr>
          <w:p w14:paraId="178AB44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r>
      <w:tr w:rsidR="004E10C1" w:rsidRPr="0044524F" w14:paraId="549EFC67" w14:textId="77777777">
        <w:tc>
          <w:tcPr>
            <w:tcW w:w="1914" w:type="dxa"/>
          </w:tcPr>
          <w:p w14:paraId="0483FB5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МБР-АСО</w:t>
            </w:r>
          </w:p>
        </w:tc>
        <w:tc>
          <w:tcPr>
            <w:tcW w:w="1914" w:type="dxa"/>
          </w:tcPr>
          <w:p w14:paraId="564E877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914" w:type="dxa"/>
          </w:tcPr>
          <w:p w14:paraId="1DB0671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914" w:type="dxa"/>
          </w:tcPr>
          <w:p w14:paraId="136F4B9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914" w:type="dxa"/>
          </w:tcPr>
          <w:p w14:paraId="2FB4048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487" w:type="dxa"/>
          </w:tcPr>
          <w:p w14:paraId="281F522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7ED9E839" w14:textId="77777777">
        <w:tc>
          <w:tcPr>
            <w:tcW w:w="1914" w:type="dxa"/>
          </w:tcPr>
          <w:p w14:paraId="7245E6A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1914" w:type="dxa"/>
          </w:tcPr>
          <w:p w14:paraId="7EADF8A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914" w:type="dxa"/>
          </w:tcPr>
          <w:p w14:paraId="7328AE7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w:t>
            </w:r>
          </w:p>
        </w:tc>
        <w:tc>
          <w:tcPr>
            <w:tcW w:w="1914" w:type="dxa"/>
          </w:tcPr>
          <w:p w14:paraId="7ABA64B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c>
          <w:tcPr>
            <w:tcW w:w="1914" w:type="dxa"/>
          </w:tcPr>
          <w:p w14:paraId="5BB7D8E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358</w:t>
            </w:r>
          </w:p>
        </w:tc>
        <w:tc>
          <w:tcPr>
            <w:tcW w:w="1487" w:type="dxa"/>
          </w:tcPr>
          <w:p w14:paraId="370967A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119,3</w:t>
            </w:r>
          </w:p>
        </w:tc>
      </w:tr>
      <w:tr w:rsidR="004E10C1" w:rsidRPr="0044524F" w14:paraId="7A69BCDC" w14:textId="77777777">
        <w:tc>
          <w:tcPr>
            <w:tcW w:w="1914" w:type="dxa"/>
          </w:tcPr>
          <w:p w14:paraId="08AED74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w:t>
            </w:r>
          </w:p>
        </w:tc>
        <w:tc>
          <w:tcPr>
            <w:tcW w:w="1914" w:type="dxa"/>
          </w:tcPr>
          <w:p w14:paraId="3684BEE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914" w:type="dxa"/>
          </w:tcPr>
          <w:p w14:paraId="1D9C085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1914" w:type="dxa"/>
          </w:tcPr>
          <w:p w14:paraId="05F8F7C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914" w:type="dxa"/>
          </w:tcPr>
          <w:p w14:paraId="3B47598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c>
          <w:tcPr>
            <w:tcW w:w="1487" w:type="dxa"/>
          </w:tcPr>
          <w:p w14:paraId="3B4252A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r>
      <w:tr w:rsidR="004E10C1" w:rsidRPr="0044524F" w14:paraId="31A00936" w14:textId="77777777">
        <w:tc>
          <w:tcPr>
            <w:tcW w:w="1914" w:type="dxa"/>
          </w:tcPr>
          <w:p w14:paraId="457F4F3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ТБ3-М17</w:t>
            </w:r>
          </w:p>
        </w:tc>
        <w:tc>
          <w:tcPr>
            <w:tcW w:w="1914" w:type="dxa"/>
          </w:tcPr>
          <w:p w14:paraId="400EBE3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1914" w:type="dxa"/>
          </w:tcPr>
          <w:p w14:paraId="10A4C1B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914" w:type="dxa"/>
          </w:tcPr>
          <w:p w14:paraId="1BA7582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914" w:type="dxa"/>
          </w:tcPr>
          <w:p w14:paraId="7DEC9FA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1487" w:type="dxa"/>
          </w:tcPr>
          <w:p w14:paraId="79B50C2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5A8D76A5" w14:textId="77777777">
        <w:tc>
          <w:tcPr>
            <w:tcW w:w="1914" w:type="dxa"/>
          </w:tcPr>
          <w:p w14:paraId="638E3CC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М-34</w:t>
            </w:r>
          </w:p>
        </w:tc>
        <w:tc>
          <w:tcPr>
            <w:tcW w:w="1914" w:type="dxa"/>
          </w:tcPr>
          <w:p w14:paraId="62BD6D5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914" w:type="dxa"/>
          </w:tcPr>
          <w:p w14:paraId="18176E8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914" w:type="dxa"/>
          </w:tcPr>
          <w:p w14:paraId="55F904E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w:t>
            </w:r>
          </w:p>
        </w:tc>
        <w:tc>
          <w:tcPr>
            <w:tcW w:w="1914" w:type="dxa"/>
          </w:tcPr>
          <w:p w14:paraId="4D3E823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487" w:type="dxa"/>
          </w:tcPr>
          <w:p w14:paraId="72163F7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658D4215" w14:textId="77777777">
        <w:tc>
          <w:tcPr>
            <w:tcW w:w="1914" w:type="dxa"/>
          </w:tcPr>
          <w:p w14:paraId="000D7DA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1914" w:type="dxa"/>
          </w:tcPr>
          <w:p w14:paraId="209902E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1280</w:t>
            </w:r>
          </w:p>
        </w:tc>
        <w:tc>
          <w:tcPr>
            <w:tcW w:w="1914" w:type="dxa"/>
          </w:tcPr>
          <w:p w14:paraId="2910E5A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936</w:t>
            </w:r>
          </w:p>
        </w:tc>
        <w:tc>
          <w:tcPr>
            <w:tcW w:w="1914" w:type="dxa"/>
          </w:tcPr>
          <w:p w14:paraId="0846422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441</w:t>
            </w:r>
          </w:p>
        </w:tc>
        <w:tc>
          <w:tcPr>
            <w:tcW w:w="1914" w:type="dxa"/>
          </w:tcPr>
          <w:p w14:paraId="0A65BFB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1377</w:t>
            </w:r>
          </w:p>
        </w:tc>
        <w:tc>
          <w:tcPr>
            <w:tcW w:w="1487" w:type="dxa"/>
          </w:tcPr>
          <w:p w14:paraId="7C79BE7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w:t>
            </w:r>
          </w:p>
        </w:tc>
      </w:tr>
    </w:tbl>
    <w:p w14:paraId="772D11E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4524F" w14:paraId="4A03DDC4" w14:textId="77777777">
        <w:tc>
          <w:tcPr>
            <w:tcW w:w="1914" w:type="dxa"/>
          </w:tcPr>
          <w:p w14:paraId="1714581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914" w:type="dxa"/>
          </w:tcPr>
          <w:p w14:paraId="0284DC7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3800</w:t>
            </w:r>
          </w:p>
        </w:tc>
        <w:tc>
          <w:tcPr>
            <w:tcW w:w="1914" w:type="dxa"/>
          </w:tcPr>
          <w:p w14:paraId="3E09FD0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2605</w:t>
            </w:r>
          </w:p>
        </w:tc>
        <w:tc>
          <w:tcPr>
            <w:tcW w:w="1914" w:type="dxa"/>
          </w:tcPr>
          <w:p w14:paraId="203D83F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1914" w:type="dxa"/>
          </w:tcPr>
          <w:p w14:paraId="72FC539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3905</w:t>
            </w:r>
          </w:p>
        </w:tc>
        <w:tc>
          <w:tcPr>
            <w:tcW w:w="1487" w:type="dxa"/>
          </w:tcPr>
          <w:p w14:paraId="55200F9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102,8</w:t>
            </w:r>
          </w:p>
        </w:tc>
      </w:tr>
      <w:tr w:rsidR="004E10C1" w:rsidRPr="0044524F" w14:paraId="1EBD9860" w14:textId="77777777">
        <w:tc>
          <w:tcPr>
            <w:tcW w:w="1914" w:type="dxa"/>
          </w:tcPr>
          <w:p w14:paraId="115F78F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914" w:type="dxa"/>
          </w:tcPr>
          <w:p w14:paraId="16B0E15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962</w:t>
            </w:r>
          </w:p>
        </w:tc>
        <w:tc>
          <w:tcPr>
            <w:tcW w:w="1914" w:type="dxa"/>
          </w:tcPr>
          <w:p w14:paraId="1AC0B9B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577</w:t>
            </w:r>
          </w:p>
        </w:tc>
        <w:tc>
          <w:tcPr>
            <w:tcW w:w="1914" w:type="dxa"/>
          </w:tcPr>
          <w:p w14:paraId="6EA2754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383</w:t>
            </w:r>
          </w:p>
        </w:tc>
        <w:tc>
          <w:tcPr>
            <w:tcW w:w="1914" w:type="dxa"/>
          </w:tcPr>
          <w:p w14:paraId="697A1B0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960</w:t>
            </w:r>
          </w:p>
        </w:tc>
        <w:tc>
          <w:tcPr>
            <w:tcW w:w="1487" w:type="dxa"/>
          </w:tcPr>
          <w:p w14:paraId="0C6BCDA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99,8</w:t>
            </w:r>
          </w:p>
        </w:tc>
      </w:tr>
      <w:tr w:rsidR="004E10C1" w:rsidRPr="0044524F" w14:paraId="64C3ADD4" w14:textId="77777777">
        <w:tc>
          <w:tcPr>
            <w:tcW w:w="1914" w:type="dxa"/>
          </w:tcPr>
          <w:p w14:paraId="6A8B556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914" w:type="dxa"/>
          </w:tcPr>
          <w:p w14:paraId="7E57D83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w:t>
            </w:r>
          </w:p>
        </w:tc>
        <w:tc>
          <w:tcPr>
            <w:tcW w:w="1914" w:type="dxa"/>
          </w:tcPr>
          <w:p w14:paraId="0B0E654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1914" w:type="dxa"/>
          </w:tcPr>
          <w:p w14:paraId="424F867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c>
          <w:tcPr>
            <w:tcW w:w="1914" w:type="dxa"/>
          </w:tcPr>
          <w:p w14:paraId="7FE770B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487" w:type="dxa"/>
          </w:tcPr>
          <w:p w14:paraId="6CDC916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96,2</w:t>
            </w:r>
          </w:p>
        </w:tc>
      </w:tr>
      <w:tr w:rsidR="004E10C1" w:rsidRPr="0044524F" w14:paraId="52066C94" w14:textId="77777777">
        <w:tc>
          <w:tcPr>
            <w:tcW w:w="1914" w:type="dxa"/>
          </w:tcPr>
          <w:p w14:paraId="41F096E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914" w:type="dxa"/>
          </w:tcPr>
          <w:p w14:paraId="45D8E8B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2155</w:t>
            </w:r>
          </w:p>
        </w:tc>
        <w:tc>
          <w:tcPr>
            <w:tcW w:w="1914" w:type="dxa"/>
          </w:tcPr>
          <w:p w14:paraId="2D63958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tc>
        <w:tc>
          <w:tcPr>
            <w:tcW w:w="1914" w:type="dxa"/>
          </w:tcPr>
          <w:p w14:paraId="606D5ED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914" w:type="dxa"/>
          </w:tcPr>
          <w:p w14:paraId="5EDB904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1487" w:type="dxa"/>
          </w:tcPr>
          <w:p w14:paraId="2839F20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w:t>
            </w:r>
          </w:p>
        </w:tc>
      </w:tr>
    </w:tbl>
    <w:p w14:paraId="5B803D8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Изменение годовой программы – снятие с производства завода № 31 самолета МБР-4 М-34 и перенесение самолета ТБ4 с завода № 22 на завод № 18, а также восстановление производства самолета Р-6 на заводе № 22 произведено по решению Правительства от 13 августа 1933 года.</w:t>
      </w:r>
    </w:p>
    <w:p w14:paraId="61C58D7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72D08F6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изменением производственной программы завода № 31 и перенесением производства машин ТБ4 на завод № 18 с завода № 22; Р-6 с завода № 31 на завод № 22 (по решению Правительства от 13 августа 1933 года) и образованием излишков незавершенного производства на 1 сентября 1933 года обязать НКФ целиком покрыть утвержденное Правительством ГУАПу годовое финансирование в размере 51 млн. руб. И полностью выдать полагающееся финансирование в IV квартале а размере 16500000 рублей (4191, 27-30).</w:t>
      </w:r>
    </w:p>
    <w:p w14:paraId="461B453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p>
    <w:p w14:paraId="1F3AB86E"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г. в ГУАПе состоялось оче</w:t>
      </w:r>
      <w:r w:rsidRPr="0044524F">
        <w:rPr>
          <w:rFonts w:ascii="Times New Roman" w:hAnsi="Times New Roman"/>
          <w:color w:val="000000" w:themeColor="text1"/>
          <w:sz w:val="16"/>
          <w:szCs w:val="16"/>
        </w:rPr>
        <w:softHyphen/>
        <w:t>редное совещание о состоянии эталона И-5 на 1933 г. Конструктивные разработки пред</w:t>
      </w:r>
      <w:r w:rsidRPr="0044524F">
        <w:rPr>
          <w:rFonts w:ascii="Times New Roman" w:hAnsi="Times New Roman"/>
          <w:color w:val="000000" w:themeColor="text1"/>
          <w:sz w:val="16"/>
          <w:szCs w:val="16"/>
        </w:rPr>
        <w:softHyphen/>
        <w:t>стоящих улучшений самолета выполнили в ЦКБ на заводе №39 и далее отправили на за</w:t>
      </w:r>
      <w:r w:rsidRPr="0044524F">
        <w:rPr>
          <w:rFonts w:ascii="Times New Roman" w:hAnsi="Times New Roman"/>
          <w:color w:val="000000" w:themeColor="text1"/>
          <w:sz w:val="16"/>
          <w:szCs w:val="16"/>
        </w:rPr>
        <w:softHyphen/>
        <w:t>вод №21 в Горький. Назывались следующие новшества:</w:t>
      </w:r>
    </w:p>
    <w:p w14:paraId="2AC213F4" w14:textId="77777777" w:rsidR="003F2394" w:rsidRPr="0044524F" w:rsidRDefault="003F2394" w:rsidP="009654CF">
      <w:pPr>
        <w:tabs>
          <w:tab w:val="left" w:pos="358"/>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облегченное хвостовое оперение (опра</w:t>
      </w:r>
      <w:r w:rsidRPr="0044524F">
        <w:rPr>
          <w:rFonts w:ascii="Times New Roman" w:hAnsi="Times New Roman"/>
          <w:color w:val="000000" w:themeColor="text1"/>
          <w:sz w:val="16"/>
          <w:szCs w:val="16"/>
        </w:rPr>
        <w:softHyphen/>
        <w:t>вили на №21);</w:t>
      </w:r>
    </w:p>
    <w:p w14:paraId="72842FC2" w14:textId="77777777" w:rsidR="003F2394" w:rsidRPr="0044524F" w:rsidRDefault="003F2394" w:rsidP="009654CF">
      <w:pPr>
        <w:tabs>
          <w:tab w:val="left" w:pos="38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обтекатели на колеса (решили изгото</w:t>
      </w:r>
      <w:r w:rsidRPr="0044524F">
        <w:rPr>
          <w:rFonts w:ascii="Times New Roman" w:hAnsi="Times New Roman"/>
          <w:color w:val="000000" w:themeColor="text1"/>
          <w:sz w:val="16"/>
          <w:szCs w:val="16"/>
        </w:rPr>
        <w:softHyphen/>
        <w:t>вить на №39);</w:t>
      </w:r>
    </w:p>
    <w:p w14:paraId="5429278D" w14:textId="77777777" w:rsidR="003F2394" w:rsidRPr="0044524F" w:rsidRDefault="003F2394" w:rsidP="009654CF">
      <w:pPr>
        <w:tabs>
          <w:tab w:val="left" w:pos="348"/>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колпак для слепых полетов;</w:t>
      </w:r>
    </w:p>
    <w:p w14:paraId="49DF32A6" w14:textId="77777777" w:rsidR="003F2394" w:rsidRPr="0044524F" w:rsidRDefault="003F2394" w:rsidP="009654CF">
      <w:pPr>
        <w:tabs>
          <w:tab w:val="left" w:pos="348"/>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новое крепление кольца Тауненда;</w:t>
      </w:r>
    </w:p>
    <w:p w14:paraId="12A6EFC3" w14:textId="77777777" w:rsidR="003F2394" w:rsidRPr="0044524F" w:rsidRDefault="003F2394" w:rsidP="009654CF">
      <w:pPr>
        <w:tabs>
          <w:tab w:val="left" w:pos="333"/>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тормозные колеса.</w:t>
      </w:r>
    </w:p>
    <w:p w14:paraId="2948BD12"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этом коротком списке лишь частично ре</w:t>
      </w:r>
      <w:r w:rsidRPr="0044524F">
        <w:rPr>
          <w:rFonts w:ascii="Times New Roman" w:hAnsi="Times New Roman"/>
          <w:color w:val="000000" w:themeColor="text1"/>
          <w:sz w:val="16"/>
          <w:szCs w:val="16"/>
        </w:rPr>
        <w:softHyphen/>
        <w:t>ализованных усовершенствований интерес вызывает первый пункт, т.е. «облегченное хвостовое оперение». История его началась еше во время испытаний ВТ-11, когда Бе</w:t>
      </w:r>
      <w:r w:rsidRPr="0044524F">
        <w:rPr>
          <w:rFonts w:ascii="Times New Roman" w:hAnsi="Times New Roman"/>
          <w:color w:val="000000" w:themeColor="text1"/>
          <w:sz w:val="16"/>
          <w:szCs w:val="16"/>
        </w:rPr>
        <w:softHyphen/>
        <w:t>недикт Бухгольц в полете заметил вибрацию оперения, и поэтому его усилили дополни</w:t>
      </w:r>
      <w:r w:rsidRPr="0044524F">
        <w:rPr>
          <w:rFonts w:ascii="Times New Roman" w:hAnsi="Times New Roman"/>
          <w:color w:val="000000" w:themeColor="text1"/>
          <w:sz w:val="16"/>
          <w:szCs w:val="16"/>
        </w:rPr>
        <w:softHyphen/>
        <w:t>тельными подкосами. Практически без из</w:t>
      </w:r>
      <w:r w:rsidRPr="0044524F">
        <w:rPr>
          <w:rFonts w:ascii="Times New Roman" w:hAnsi="Times New Roman"/>
          <w:color w:val="000000" w:themeColor="text1"/>
          <w:sz w:val="16"/>
          <w:szCs w:val="16"/>
        </w:rPr>
        <w:softHyphen/>
        <w:t>менений такое оперение запустили в серий</w:t>
      </w:r>
      <w:r w:rsidRPr="0044524F">
        <w:rPr>
          <w:rFonts w:ascii="Times New Roman" w:hAnsi="Times New Roman"/>
          <w:color w:val="000000" w:themeColor="text1"/>
          <w:sz w:val="16"/>
          <w:szCs w:val="16"/>
        </w:rPr>
        <w:softHyphen/>
        <w:t>ное производство. Примерно через год из</w:t>
      </w:r>
      <w:r w:rsidRPr="0044524F">
        <w:rPr>
          <w:rFonts w:ascii="Times New Roman" w:hAnsi="Times New Roman"/>
          <w:color w:val="000000" w:themeColor="text1"/>
          <w:sz w:val="16"/>
          <w:szCs w:val="16"/>
        </w:rPr>
        <w:softHyphen/>
        <w:t>готовили несколько облегченных оперений (с учетом установки подкосов), однако ис</w:t>
      </w:r>
      <w:r w:rsidRPr="0044524F">
        <w:rPr>
          <w:rFonts w:ascii="Times New Roman" w:hAnsi="Times New Roman"/>
          <w:color w:val="000000" w:themeColor="text1"/>
          <w:sz w:val="16"/>
          <w:szCs w:val="16"/>
        </w:rPr>
        <w:softHyphen/>
        <w:t>пользовать их не удалось, так как к тому мо</w:t>
      </w:r>
      <w:r w:rsidRPr="0044524F">
        <w:rPr>
          <w:rFonts w:ascii="Times New Roman" w:hAnsi="Times New Roman"/>
          <w:color w:val="000000" w:themeColor="text1"/>
          <w:sz w:val="16"/>
          <w:szCs w:val="16"/>
        </w:rPr>
        <w:softHyphen/>
        <w:t>менту уже успели «наклепать» 450 хвостовых комплектов прежней конструкции. В резуль</w:t>
      </w:r>
      <w:r w:rsidRPr="0044524F">
        <w:rPr>
          <w:rFonts w:ascii="Times New Roman" w:hAnsi="Times New Roman"/>
          <w:color w:val="000000" w:themeColor="text1"/>
          <w:sz w:val="16"/>
          <w:szCs w:val="16"/>
        </w:rPr>
        <w:softHyphen/>
        <w:t>тате, 2 комплекта этого облегченного опере</w:t>
      </w:r>
      <w:r w:rsidRPr="0044524F">
        <w:rPr>
          <w:rFonts w:ascii="Times New Roman" w:hAnsi="Times New Roman"/>
          <w:color w:val="000000" w:themeColor="text1"/>
          <w:sz w:val="16"/>
          <w:szCs w:val="16"/>
        </w:rPr>
        <w:softHyphen/>
        <w:t>ния были использованы А.С. Яковлевым на АИР-6 и АИР-7, и еше один остался у него в наличии (Яковлев в тот период работал на за</w:t>
      </w:r>
      <w:r w:rsidRPr="0044524F">
        <w:rPr>
          <w:rFonts w:ascii="Times New Roman" w:hAnsi="Times New Roman"/>
          <w:color w:val="000000" w:themeColor="text1"/>
          <w:sz w:val="16"/>
          <w:szCs w:val="16"/>
        </w:rPr>
        <w:softHyphen/>
        <w:t>воде №39). Еше два экземпляра оперения пе</w:t>
      </w:r>
      <w:r w:rsidRPr="0044524F">
        <w:rPr>
          <w:rFonts w:ascii="Times New Roman" w:hAnsi="Times New Roman"/>
          <w:color w:val="000000" w:themeColor="text1"/>
          <w:sz w:val="16"/>
          <w:szCs w:val="16"/>
        </w:rPr>
        <w:softHyphen/>
        <w:t>редали с завода №39 в Нижний Новгород на завод №21. Конструктивно они также отли</w:t>
      </w:r>
      <w:r w:rsidRPr="0044524F">
        <w:rPr>
          <w:rFonts w:ascii="Times New Roman" w:hAnsi="Times New Roman"/>
          <w:color w:val="000000" w:themeColor="text1"/>
          <w:sz w:val="16"/>
          <w:szCs w:val="16"/>
        </w:rPr>
        <w:softHyphen/>
        <w:t>чались более совершенными узлами навески рулей поворота и высоты, скреплялись не на штырях, а на узлах с двумя щеками, через ко</w:t>
      </w:r>
      <w:r w:rsidRPr="0044524F">
        <w:rPr>
          <w:rFonts w:ascii="Times New Roman" w:hAnsi="Times New Roman"/>
          <w:color w:val="000000" w:themeColor="text1"/>
          <w:sz w:val="16"/>
          <w:szCs w:val="16"/>
        </w:rPr>
        <w:softHyphen/>
        <w:t>торые проходит болт.</w:t>
      </w:r>
    </w:p>
    <w:p w14:paraId="668A1BFA"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в 1933 г. в отношении действующего и перспективного авиазавода №21 имени Ену- кидзе (позднее им Орджоникидзе) в руковод</w:t>
      </w:r>
      <w:r w:rsidRPr="0044524F">
        <w:rPr>
          <w:rFonts w:ascii="Times New Roman" w:hAnsi="Times New Roman"/>
          <w:color w:val="000000" w:themeColor="text1"/>
          <w:sz w:val="16"/>
          <w:szCs w:val="16"/>
        </w:rPr>
        <w:softHyphen/>
        <w:t>стве авиапромышленности имелись обшир</w:t>
      </w:r>
      <w:r w:rsidRPr="0044524F">
        <w:rPr>
          <w:rFonts w:ascii="Times New Roman" w:hAnsi="Times New Roman"/>
          <w:color w:val="000000" w:themeColor="text1"/>
          <w:sz w:val="16"/>
          <w:szCs w:val="16"/>
        </w:rPr>
        <w:softHyphen/>
        <w:t>ные планы. В ноябре 1933 г. решался вопрос о запуске в серию здесь истребителя И-14, позднее последовало решение о строитель-стве ХАИ-1. Однако оба самолета стали для Горького лишь частным эпизодом. В соот</w:t>
      </w:r>
      <w:r w:rsidRPr="0044524F">
        <w:rPr>
          <w:rFonts w:ascii="Times New Roman" w:hAnsi="Times New Roman"/>
          <w:color w:val="000000" w:themeColor="text1"/>
          <w:sz w:val="16"/>
          <w:szCs w:val="16"/>
        </w:rPr>
        <w:softHyphen/>
        <w:t>ветствии с приказом ГУАП за № 1106-со от 11 июня 1934 г. завод №21 получил новое зада</w:t>
      </w:r>
      <w:r w:rsidRPr="0044524F">
        <w:rPr>
          <w:rFonts w:ascii="Times New Roman" w:hAnsi="Times New Roman"/>
          <w:color w:val="000000" w:themeColor="text1"/>
          <w:sz w:val="16"/>
          <w:szCs w:val="16"/>
        </w:rPr>
        <w:softHyphen/>
        <w:t>ние — внедрить в крупносерийное производ</w:t>
      </w:r>
      <w:r w:rsidRPr="0044524F">
        <w:rPr>
          <w:rFonts w:ascii="Times New Roman" w:hAnsi="Times New Roman"/>
          <w:color w:val="000000" w:themeColor="text1"/>
          <w:sz w:val="16"/>
          <w:szCs w:val="16"/>
        </w:rPr>
        <w:softHyphen/>
        <w:t>ство истребитель-моноплан И-16 конструк</w:t>
      </w:r>
      <w:r w:rsidRPr="0044524F">
        <w:rPr>
          <w:rFonts w:ascii="Times New Roman" w:hAnsi="Times New Roman"/>
          <w:color w:val="000000" w:themeColor="text1"/>
          <w:sz w:val="16"/>
          <w:szCs w:val="16"/>
        </w:rPr>
        <w:softHyphen/>
        <w:t>ции Поликарпова. Выпуск ХАИ-1 после из</w:t>
      </w:r>
      <w:r w:rsidRPr="0044524F">
        <w:rPr>
          <w:rFonts w:ascii="Times New Roman" w:hAnsi="Times New Roman"/>
          <w:color w:val="000000" w:themeColor="text1"/>
          <w:sz w:val="16"/>
          <w:szCs w:val="16"/>
        </w:rPr>
        <w:softHyphen/>
        <w:t>готовления трех экземпляров перенесли на завод №43 в Киеве, а задание на изготовление И-14 передали иркутскому заводу №125. С появлением И-16 на 21-м заводе ввели нуме</w:t>
      </w:r>
      <w:r w:rsidRPr="0044524F">
        <w:rPr>
          <w:rFonts w:ascii="Times New Roman" w:hAnsi="Times New Roman"/>
          <w:color w:val="000000" w:themeColor="text1"/>
          <w:sz w:val="16"/>
          <w:szCs w:val="16"/>
        </w:rPr>
        <w:softHyphen/>
        <w:t>рацию строящихся самолетов по типам. Так И-5 стал типом №1, И-14 типом №2, ХАИ-1 типом №3, а И-16 типом №4. Впрочем, ука</w:t>
      </w:r>
      <w:r w:rsidRPr="0044524F">
        <w:rPr>
          <w:rFonts w:ascii="Times New Roman" w:hAnsi="Times New Roman"/>
          <w:color w:val="000000" w:themeColor="text1"/>
          <w:sz w:val="16"/>
          <w:szCs w:val="16"/>
        </w:rPr>
        <w:softHyphen/>
        <w:t>зывать тип самолета поначалу забывал и. На</w:t>
      </w:r>
      <w:r w:rsidRPr="0044524F">
        <w:rPr>
          <w:rFonts w:ascii="Times New Roman" w:hAnsi="Times New Roman"/>
          <w:color w:val="000000" w:themeColor="text1"/>
          <w:sz w:val="16"/>
          <w:szCs w:val="16"/>
        </w:rPr>
        <w:softHyphen/>
        <w:t>пример, в сводной ведомости упоминается И-5 №121633 - головной самолет 19-й серии (12295).</w:t>
      </w:r>
    </w:p>
    <w:p w14:paraId="5B6027C0" w14:textId="77777777" w:rsidR="003F2394" w:rsidRPr="0044524F" w:rsidRDefault="003F2394" w:rsidP="009654CF">
      <w:pPr>
        <w:spacing w:after="0" w:line="240" w:lineRule="auto"/>
        <w:jc w:val="both"/>
        <w:rPr>
          <w:rFonts w:ascii="Times New Roman" w:hAnsi="Times New Roman"/>
          <w:color w:val="000000" w:themeColor="text1"/>
          <w:sz w:val="16"/>
          <w:szCs w:val="16"/>
        </w:rPr>
      </w:pPr>
    </w:p>
    <w:p w14:paraId="12E1DA1A"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г. Группа работников ГУАП воз-вращалась с курортов Кавказа, АНТ-7 пилотировал командир лётного отряда управления И.М. Дорфман. В районе Ло- пасни (ныне г. Чехов) в тумане самолёт, прижимавшийся к земле, зацепился за верхушки деревьев. Все находившие-ся на борту, включая начальника ГУАП П.И. Баранова и директора завода № 22 С.П. Горбунова, погибли. Комиссия, расследовавшая катастрофу, признала, что самолёт был исправен. Этот слу-чай лёг тёмным пятном на репутацию пассажирского АНТ-7, и в серию его не запустили (12264).</w:t>
      </w:r>
    </w:p>
    <w:p w14:paraId="7D78D9C1" w14:textId="77777777" w:rsidR="003F2394" w:rsidRPr="0044524F" w:rsidRDefault="003F2394" w:rsidP="009654CF">
      <w:pPr>
        <w:spacing w:after="0" w:line="240" w:lineRule="auto"/>
        <w:jc w:val="both"/>
        <w:rPr>
          <w:rFonts w:ascii="Times New Roman" w:hAnsi="Times New Roman"/>
          <w:color w:val="000000" w:themeColor="text1"/>
          <w:sz w:val="16"/>
          <w:szCs w:val="16"/>
        </w:rPr>
      </w:pPr>
    </w:p>
    <w:p w14:paraId="2046B7CD" w14:textId="77777777" w:rsidR="005F0450" w:rsidRPr="0044524F" w:rsidRDefault="005F0450" w:rsidP="009654CF">
      <w:pPr>
        <w:pStyle w:val="rtejustify"/>
        <w:spacing w:before="0" w:after="0"/>
        <w:rPr>
          <w:color w:val="000000" w:themeColor="text1"/>
          <w:sz w:val="16"/>
          <w:szCs w:val="16"/>
        </w:rPr>
      </w:pPr>
      <w:r w:rsidRPr="0044524F">
        <w:rPr>
          <w:color w:val="000000" w:themeColor="text1"/>
          <w:sz w:val="16"/>
          <w:szCs w:val="16"/>
        </w:rPr>
        <w:t>5 сентября 1933 г. Каганович, Куйбышев — Сталину, Ворошилову</w:t>
      </w:r>
    </w:p>
    <w:p w14:paraId="54060285"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Шифровка.</w:t>
      </w:r>
    </w:p>
    <w:p w14:paraId="059B9A5C"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Из Москвы 5/IX — 33 г. 18 час. 45 мин.</w:t>
      </w:r>
    </w:p>
    <w:p w14:paraId="3D7D806E" w14:textId="77777777" w:rsidR="003F2394" w:rsidRPr="0044524F" w:rsidRDefault="003F2394" w:rsidP="009654CF">
      <w:pPr>
        <w:pStyle w:val="rtecenter"/>
        <w:spacing w:before="0" w:after="0"/>
        <w:jc w:val="both"/>
        <w:rPr>
          <w:color w:val="000000" w:themeColor="text1"/>
          <w:sz w:val="16"/>
          <w:szCs w:val="16"/>
        </w:rPr>
      </w:pPr>
      <w:r w:rsidRPr="0044524F">
        <w:rPr>
          <w:color w:val="000000" w:themeColor="text1"/>
          <w:sz w:val="16"/>
          <w:szCs w:val="16"/>
        </w:rPr>
        <w:t>Т. т. Сталину, Ворошилову.</w:t>
      </w:r>
    </w:p>
    <w:p w14:paraId="12B4E0F8"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Сегодня в 8 часов утра вылетели из Москвы в Севастополь на АНТ 7 ЦАГИ Баранов с женой, Гольцман, Горбунов — директор завода № 22, Зарзар — член президиума Госплана, Петров — заместитель нач. аэрофлота, Дорсман — пилот, Плотников — бортмеханик, и не долетев до Серпухова, самолет разбился. Все находившиеся в нем погибли.</w:t>
      </w:r>
    </w:p>
    <w:p w14:paraId="402737E0"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Для выяснения причины катастрофы создали комиссию в составе Тухачевского, Прокофьева, Харламова (ЦАГИ) и Ежова и кроме того, комиссию по похоронам в составе т. т. Енукидзе, Кагановича М., Тухачевского, Хрущева и Акулова</w:t>
      </w:r>
      <w:r w:rsidRPr="0044524F">
        <w:rPr>
          <w:color w:val="000000" w:themeColor="text1"/>
          <w:sz w:val="16"/>
          <w:szCs w:val="16"/>
          <w:vertAlign w:val="superscript"/>
        </w:rPr>
        <w:t>1</w:t>
      </w:r>
      <w:r w:rsidRPr="0044524F">
        <w:rPr>
          <w:color w:val="000000" w:themeColor="text1"/>
          <w:sz w:val="16"/>
          <w:szCs w:val="16"/>
        </w:rPr>
        <w:t>. Порядок похорон наметили следующий: шестого перевозим убитых в Дом Союзов и седьмого вечером кремация. Урны Гольцмана и Баранова замуровываем на Красной площади. В газеты даем извещения от ЦК и СНК отдельно и, кроме того, в отношении Гольцмана и Баранова предполагается составить краткое письмо товарищей. Нр 20.</w:t>
      </w:r>
    </w:p>
    <w:p w14:paraId="3B97658A"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Каганович, Куйбышев.</w:t>
      </w:r>
    </w:p>
    <w:p w14:paraId="3A1F3ED1"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vertAlign w:val="superscript"/>
        </w:rPr>
        <w:t>1</w:t>
      </w:r>
      <w:r w:rsidRPr="0044524F">
        <w:rPr>
          <w:color w:val="000000" w:themeColor="text1"/>
          <w:sz w:val="16"/>
          <w:szCs w:val="16"/>
        </w:rPr>
        <w:t xml:space="preserve"> Комиссия ПБ была создана 5 сентября 1933 г. (РГАСПИ. Ф. 17. Оп. 3. Д. 930. Л. 26).</w:t>
      </w:r>
    </w:p>
    <w:p w14:paraId="5BB9B00A"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РГАСПИ Ф. 558. Оп. 11. Д. 80. Л. 93 об. Подлинник. Машинопись. </w:t>
      </w:r>
    </w:p>
    <w:p w14:paraId="7DA360D9"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Сталин и Каганович. Переписка. 1931–1936 гг. Москва: (РОССПЭН), 2001 Стр. 331 (12323).</w:t>
      </w:r>
    </w:p>
    <w:p w14:paraId="7FC75047" w14:textId="77777777" w:rsidR="003F2394" w:rsidRPr="0044524F" w:rsidRDefault="003F2394" w:rsidP="009654CF">
      <w:pPr>
        <w:spacing w:after="0" w:line="240" w:lineRule="auto"/>
        <w:jc w:val="both"/>
        <w:rPr>
          <w:rFonts w:ascii="Times New Roman" w:hAnsi="Times New Roman"/>
          <w:color w:val="000000" w:themeColor="text1"/>
          <w:sz w:val="16"/>
          <w:szCs w:val="16"/>
        </w:rPr>
      </w:pPr>
    </w:p>
    <w:p w14:paraId="1C5F9FEB" w14:textId="77777777" w:rsidR="005F0450" w:rsidRPr="0044524F" w:rsidRDefault="005F0450"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5 сентября 1933 года</w:t>
      </w:r>
      <w:r w:rsidRPr="0044524F">
        <w:rPr>
          <w:rStyle w:val="ucoz-forum-post"/>
          <w:rFonts w:ascii="Times New Roman" w:eastAsiaTheme="majorEastAsia" w:hAnsi="Times New Roman"/>
          <w:color w:val="000000" w:themeColor="text1"/>
          <w:sz w:val="16"/>
          <w:szCs w:val="16"/>
        </w:rPr>
        <w:t xml:space="preserve"> Катастрофа самолёта АНТ-7, командир экипажа Дорфман И.М.</w:t>
      </w:r>
    </w:p>
    <w:p w14:paraId="1B86B20C" w14:textId="77777777" w:rsidR="005F0450" w:rsidRPr="0044524F" w:rsidRDefault="005F0450"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color w:val="000000" w:themeColor="text1"/>
          <w:sz w:val="16"/>
          <w:szCs w:val="16"/>
        </w:rPr>
        <w:t xml:space="preserve">Экипаж выполнял перелёт в Крым. На борту находились высшие руководители авиапрома и ГВФ СССР. Через несколько минут после взлёта самолёт в условиях сильного тумана зацепился колесами за канат любительской антенны, укрепленной на высоких шестах, затем задел элероном левой плоскости за верхушку высокой </w:t>
      </w:r>
      <w:r w:rsidRPr="0044524F">
        <w:rPr>
          <w:rStyle w:val="ucoz-forum-post"/>
          <w:rFonts w:ascii="Times New Roman" w:eastAsiaTheme="majorEastAsia" w:hAnsi="Times New Roman"/>
          <w:color w:val="000000" w:themeColor="text1"/>
          <w:sz w:val="16"/>
          <w:szCs w:val="16"/>
        </w:rPr>
        <w:lastRenderedPageBreak/>
        <w:t>ветлы. Левая консоль крыла отвалилась, самолет носовой частью ударился о землю южнее Подольска около ст. Лопасня и рассыпался. Гибель двух Главнокомандующих ВВС Красной Армии - А.С. Сергеева и П.И. Баранова в авиационной катастрофе самолёта Ант-7 (Р-6). Погибло 8 человек.</w:t>
      </w:r>
    </w:p>
    <w:p w14:paraId="19692844" w14:textId="77777777" w:rsidR="005F0450" w:rsidRPr="0044524F" w:rsidRDefault="005F0450"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color w:val="000000" w:themeColor="text1"/>
          <w:sz w:val="16"/>
          <w:szCs w:val="16"/>
        </w:rPr>
        <w:t>Предположительная причина: лётчик выполнял визуальный полёт в условиях недостаточной видимости и не справился с управлением.</w:t>
      </w:r>
    </w:p>
    <w:p w14:paraId="723A6B21" w14:textId="77777777" w:rsidR="005F0450" w:rsidRPr="0044524F" w:rsidRDefault="005F0450"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color w:val="000000" w:themeColor="text1"/>
          <w:sz w:val="16"/>
          <w:szCs w:val="16"/>
        </w:rPr>
        <w:t>Это был единственный опытный экземпляр, переделанный из устаревшего разведчика Р-6. На самолёте убрали все вооружение, в фюзеляже разместили 8 кресел для пассажиров и установили дополнительные баки с бензином. Самолет не был оборудован приборами для полетов ночью и в СМУ.</w:t>
      </w:r>
    </w:p>
    <w:p w14:paraId="462CB431" w14:textId="77777777" w:rsidR="005F0450" w:rsidRPr="0044524F" w:rsidRDefault="005F0450"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color w:val="000000" w:themeColor="text1"/>
          <w:sz w:val="16"/>
          <w:szCs w:val="16"/>
        </w:rPr>
        <w:t>Сталин, отдыхавший в это время в Сочи, выдал свои рекомендации остававшемуся в Москве вместо себя Кагановичу Л.: "Надо запретить под страхом исключения из партии полеты ответработников-нелетчиков без разрешения ЦК. Надо строжайше проводить в жизнь запрещение и обязательно исключать провинившихся, невзирая на лица".</w:t>
      </w:r>
    </w:p>
    <w:p w14:paraId="3C09A886" w14:textId="77777777" w:rsidR="005F0450" w:rsidRPr="0044524F" w:rsidRDefault="005F0450"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color w:val="000000" w:themeColor="text1"/>
          <w:sz w:val="16"/>
          <w:szCs w:val="16"/>
        </w:rPr>
        <w:t>Политбюро срочно составило и утвердило у Сталина список постов, обладатели которых лишались права свободного полета — от членов ЦК до начальников главных управлений наркоматов. Чуть позднее подготовили и обширный список мероприятий, которые должны были обеспечить безопасность полетов. Так, в СССР ввели ежегодную проверку квалификации летчиков, чего прежде не делалось. Авиапром обязали комплектовать каждый самолет всеми приборами, необходимыми для слепых полетов. А всем авиапредприятиям запретили переделывать машины по собственному разумению. Тем же постановлением категорически запрещалось перевозить пассажиров на не испытанных полностью самолетах, но главное - в стране появились навигационная, метеорологическая и штурманская службы. А также обязательное оснащение высоких объектов, таких как радиоантенны, сигнальными огнями. Произошедшая катастрофа также ускорила создание Воздушного кодекса (14760).</w:t>
      </w:r>
    </w:p>
    <w:p w14:paraId="5992E5A9" w14:textId="77777777" w:rsidR="005F0450" w:rsidRPr="0044524F" w:rsidRDefault="005F0450" w:rsidP="009654CF">
      <w:pPr>
        <w:spacing w:after="0" w:line="240" w:lineRule="auto"/>
        <w:jc w:val="both"/>
        <w:rPr>
          <w:rStyle w:val="ucoz-forum-post"/>
          <w:rFonts w:ascii="Times New Roman" w:eastAsiaTheme="majorEastAsia" w:hAnsi="Times New Roman"/>
          <w:color w:val="000000" w:themeColor="text1"/>
          <w:sz w:val="16"/>
          <w:szCs w:val="16"/>
        </w:rPr>
      </w:pPr>
    </w:p>
    <w:p w14:paraId="73815B15" w14:textId="77777777" w:rsidR="00C13D77" w:rsidRPr="0044524F" w:rsidRDefault="00C13D77" w:rsidP="009654CF">
      <w:pPr>
        <w:pStyle w:val="ae"/>
        <w:shd w:val="clear" w:color="auto" w:fill="FBFCFC"/>
        <w:spacing w:before="0" w:after="0"/>
        <w:jc w:val="both"/>
        <w:textAlignment w:val="baseline"/>
        <w:rPr>
          <w:color w:val="000000" w:themeColor="text1"/>
          <w:sz w:val="16"/>
          <w:szCs w:val="16"/>
        </w:rPr>
      </w:pPr>
      <w:r w:rsidRPr="0044524F">
        <w:rPr>
          <w:color w:val="000000" w:themeColor="text1"/>
          <w:sz w:val="16"/>
          <w:szCs w:val="16"/>
        </w:rPr>
        <w:t>5 сентября 1933 года трагически погибли руководители авиации и авиапромышленности. Самолет Р-6Л, на котором он отправились в последний полет представлял собой переделанный в «лимузин» устаревший разведчик Р-6 (АНТ-7) с «салоном» с восемью креслами. Оборудования для полетов в плохих погодных условиях на нем не было. Кроме П.И. Баранова и его жены на борт поднялись начальник Главного управления гражданского воздушного флота А.З. Гольцман, его заместитель А.В. Петров, работник Госплана В.А. Зарзар и директор авиазавода № 22, на котором и был построен Р-6Л, С.П. Горбунов. Пилотировал машину шеф-пилот Глававиапрома И.М. Дорфман, бортмеханик Н.Е. Плотников.</w:t>
      </w:r>
    </w:p>
    <w:p w14:paraId="44903AE7" w14:textId="77777777" w:rsidR="00C13D77" w:rsidRPr="0044524F" w:rsidRDefault="00C13D77" w:rsidP="009654CF">
      <w:pPr>
        <w:pStyle w:val="ae"/>
        <w:shd w:val="clear" w:color="auto" w:fill="FBFCFC"/>
        <w:spacing w:before="0" w:after="0"/>
        <w:jc w:val="both"/>
        <w:textAlignment w:val="baseline"/>
        <w:rPr>
          <w:color w:val="000000" w:themeColor="text1"/>
          <w:sz w:val="16"/>
          <w:szCs w:val="16"/>
        </w:rPr>
      </w:pPr>
      <w:r w:rsidRPr="0044524F">
        <w:rPr>
          <w:color w:val="000000" w:themeColor="text1"/>
          <w:sz w:val="16"/>
          <w:szCs w:val="16"/>
        </w:rPr>
        <w:t>Из-за плохих погодных условий все полеты в тот день были отменены. Однако по метеосводкам за Курском было ясно, а Баранов торопился успеть на планерные соревнования в Феодосии.</w:t>
      </w:r>
    </w:p>
    <w:p w14:paraId="6C307693" w14:textId="77777777" w:rsidR="00C13D77" w:rsidRPr="0044524F" w:rsidRDefault="00C13D77" w:rsidP="009654CF">
      <w:pPr>
        <w:pStyle w:val="ae"/>
        <w:shd w:val="clear" w:color="auto" w:fill="FBFCFC"/>
        <w:spacing w:before="0" w:after="0"/>
        <w:jc w:val="both"/>
        <w:textAlignment w:val="baseline"/>
        <w:rPr>
          <w:color w:val="000000" w:themeColor="text1"/>
          <w:sz w:val="16"/>
          <w:szCs w:val="16"/>
        </w:rPr>
      </w:pPr>
      <w:r w:rsidRPr="0044524F">
        <w:rPr>
          <w:color w:val="000000" w:themeColor="text1"/>
          <w:sz w:val="16"/>
          <w:szCs w:val="16"/>
        </w:rPr>
        <w:t>В девять утра Р-6Л вылетел, а через 20 минут в районе Подольска зацепил стойками шасси проволоку радиолюбительской антенны, натянутой высоко на шестах, потерял скорость, ударился левым крылом о верхушку дерева и врезался в землю. Все находившиеся на борту погибли.</w:t>
      </w:r>
    </w:p>
    <w:p w14:paraId="1A41CA42" w14:textId="77777777" w:rsidR="00C13D77" w:rsidRPr="0044524F" w:rsidRDefault="00C13D77" w:rsidP="009654CF">
      <w:pPr>
        <w:pStyle w:val="ae"/>
        <w:shd w:val="clear" w:color="auto" w:fill="FBFCFC"/>
        <w:spacing w:before="0" w:after="0"/>
        <w:jc w:val="both"/>
        <w:textAlignment w:val="baseline"/>
        <w:rPr>
          <w:color w:val="000000" w:themeColor="text1"/>
          <w:sz w:val="16"/>
          <w:szCs w:val="16"/>
        </w:rPr>
      </w:pPr>
      <w:r w:rsidRPr="0044524F">
        <w:rPr>
          <w:color w:val="000000" w:themeColor="text1"/>
          <w:sz w:val="16"/>
          <w:szCs w:val="16"/>
        </w:rPr>
        <w:t>Почему самолет летел так низко, так и не выяснили. Комиссия по расследованию происшествия пришла к выводу, что пилот вынужден был лететь ниже кромки облачности, чтобы не потерять ориентацию. По другой версии, самолет был перегружен и не смог быстро набрать высоту (19571)..</w:t>
      </w:r>
    </w:p>
    <w:p w14:paraId="68F90C55" w14:textId="77777777" w:rsidR="00C13D77" w:rsidRPr="0044524F" w:rsidRDefault="00C13D77" w:rsidP="009654CF">
      <w:pPr>
        <w:spacing w:after="0" w:line="240" w:lineRule="auto"/>
        <w:jc w:val="both"/>
        <w:rPr>
          <w:rFonts w:ascii="Times New Roman" w:hAnsi="Times New Roman"/>
          <w:color w:val="000000" w:themeColor="text1"/>
          <w:sz w:val="16"/>
          <w:szCs w:val="16"/>
        </w:rPr>
      </w:pPr>
    </w:p>
    <w:p w14:paraId="355B0839" w14:textId="77777777" w:rsidR="005F0450" w:rsidRPr="0044524F" w:rsidRDefault="005F04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5 сентября </w:t>
      </w:r>
      <w:r w:rsidRPr="0044524F">
        <w:rPr>
          <w:rFonts w:ascii="Times New Roman" w:hAnsi="Times New Roman"/>
          <w:color w:val="000000" w:themeColor="text1"/>
          <w:sz w:val="16"/>
          <w:szCs w:val="16"/>
        </w:rPr>
        <w:t>в 1933 году в авиационной катастрофе погиб Петр Ионович Баранов - заместитель Народного комиссара тяжелой промышленности СССР, начальник Главного управления авиационной промышленности НКТП СССР. С 1924 до 1931 П.И.Баранов являлся начальником ВВС РККА (14760).</w:t>
      </w:r>
    </w:p>
    <w:p w14:paraId="00574967" w14:textId="77777777" w:rsidR="005F0450" w:rsidRPr="0044524F" w:rsidRDefault="005F0450" w:rsidP="009654CF">
      <w:pPr>
        <w:spacing w:after="0" w:line="240" w:lineRule="auto"/>
        <w:jc w:val="both"/>
        <w:rPr>
          <w:rFonts w:ascii="Times New Roman" w:hAnsi="Times New Roman"/>
          <w:color w:val="000000" w:themeColor="text1"/>
          <w:sz w:val="16"/>
          <w:szCs w:val="16"/>
        </w:rPr>
      </w:pPr>
    </w:p>
    <w:p w14:paraId="2FA7ADF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П.И.Баранов погиб (34,77) в авиакатастрофе (61,130) и начальником ГУАП стал М.М.Каганович, брат Л.М.Кагановича. С.В.Ильюшин сразу осиротел. Также погиб А.И.Гольцман - первый начальник ГУ ГВФ СССР (80,381).</w:t>
      </w:r>
    </w:p>
    <w:p w14:paraId="4EC9A36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данным ЦАГИ также погибли директор завода п/я 747 (23) С.П.Горбунов, нач. летного отдела ГУАП шеф-пилот И.М.Дорфман, бортмеханик Н.Е.Плотников. Никакого А.Э.Гольцмана в приказе по ЦАГИ, выпущенном по приказу НКАП от 7 сентября, нет (298,183).</w:t>
      </w:r>
    </w:p>
    <w:p w14:paraId="288E003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другом приказе по ЦАГИ говорится и о А.Э.Гольцмане, В.А.Зарзаре, И.Ф.Петрове (298,193).</w:t>
      </w:r>
    </w:p>
    <w:p w14:paraId="6AAAB2AA"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П.И.Баранов погиб на Р-6 пассажирском (лимузине), сделанном в июле 1933 и переданном в летный отряд ГУАП, при перелете из Москвы в Крым. Не по вине машины (92,425).</w:t>
      </w:r>
    </w:p>
    <w:p w14:paraId="3195138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был опытный АНТ-7 Р-6, переделанный ЦАГИ в пассажирский самолет в июле 1933, который получил обозначение USSR-S5 (1017,198).</w:t>
      </w:r>
    </w:p>
    <w:p w14:paraId="3F1BE25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самом деле сначала начальником ГУАП стал не М.М.Каганович - см. 1934.</w:t>
      </w:r>
    </w:p>
    <w:p w14:paraId="2BC7D0F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Летели в Коктебель на планерные состязания. Разбились в районе Лопасни столкнувшись с радиомачтой в условиях плохой видимости (438,654).</w:t>
      </w:r>
    </w:p>
    <w:p w14:paraId="2BA8830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официального сообщения "5 сентября в 9 час. 20 мин. южнее Подольска около ст. Лопасни в результате аварии самолета погибли..." (557,49).</w:t>
      </w:r>
    </w:p>
    <w:p w14:paraId="7AB666B8"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75936111" w14:textId="77777777" w:rsidR="00E1384A" w:rsidRPr="0044524F" w:rsidRDefault="00E138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г. при полете в Крым на планерные .состязания, в резуль</w:t>
      </w:r>
      <w:r w:rsidRPr="0044524F">
        <w:rPr>
          <w:rFonts w:ascii="Times New Roman" w:hAnsi="Times New Roman"/>
          <w:color w:val="000000" w:themeColor="text1"/>
          <w:sz w:val="16"/>
          <w:szCs w:val="16"/>
        </w:rPr>
        <w:softHyphen/>
        <w:t>тате катастрофы самолета ПС-7 погибли видные деятели советской авиации: начальник главного управления авиационной промышленности Петр Ионович Баранов, начальник Главного управления ГВФ Абрам Зиновьевич Гольцман, начальник авиационного сектора Госплана СССР Валентнн Ананьевич Зарзар, заместитель начальника ГУ ГВФ Андрей Васильевич Петров /Сергеев/, директор авиационного завода № 22 Сергей Петрович Горбунов. Катастрофа произошла у ст. Лопасня м.-курской ж/д в результате столкновения самолета с радиомачтой при полете в плохую погоду, так как самолет не был оборудован "слепого" полота, погиб также и экипаж самолета; пилот Исаак Ипсвич Дорфман « бортмеханик Николай Егоровия Плотников.</w:t>
      </w:r>
    </w:p>
    <w:p w14:paraId="31FFB513" w14:textId="77777777" w:rsidR="00E1384A" w:rsidRPr="0044524F" w:rsidRDefault="00E138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звежа» за 6 сентября 1933, правительственное сообщение/ (23370).</w:t>
      </w:r>
    </w:p>
    <w:p w14:paraId="39D26E7F" w14:textId="77777777" w:rsidR="00E1384A" w:rsidRPr="0044524F" w:rsidRDefault="00E1384A" w:rsidP="009654CF">
      <w:pPr>
        <w:spacing w:after="0" w:line="240" w:lineRule="auto"/>
        <w:jc w:val="both"/>
        <w:rPr>
          <w:rFonts w:ascii="Times New Roman" w:hAnsi="Times New Roman"/>
          <w:color w:val="000000" w:themeColor="text1"/>
          <w:sz w:val="16"/>
          <w:szCs w:val="16"/>
        </w:rPr>
      </w:pPr>
    </w:p>
    <w:p w14:paraId="428FAB3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ЦАГИ организовал Гидробазу в Севастополе и начальником стал Н.А.Соколов (298,194).</w:t>
      </w:r>
    </w:p>
    <w:p w14:paraId="1CA90985"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1BDEFC4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л В.А.Степанчонок на планерных состязаниях в Коктебеле установил рекорд высшего пилотажа на планере. За 3:20 на Г-9 сделал 184 петли, 8 переворотов через крыло и 13 витков штопора (438,654).</w:t>
      </w:r>
    </w:p>
    <w:p w14:paraId="5481C64D"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587B5AFC" w14:textId="77777777" w:rsidR="00E1384A" w:rsidRPr="0044524F" w:rsidRDefault="00E138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г. летчик В.А.Степанчонок на планерных состязаниях установил новый рекорд высшего пилотажа на планере. за 3 часа 20 минут полета на планере Г-9 он сделал 184 мертвых петли, переворотов через крыло и 13 витков штопора. Прежний рекорд высшего пилотажа на планере был установлен им же в в 1932 г.</w:t>
      </w:r>
    </w:p>
    <w:p w14:paraId="0F5E5875" w14:textId="77777777" w:rsidR="00E1384A" w:rsidRPr="0044524F" w:rsidRDefault="00E1384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8 сентября и 7 октября 1933 (23370).</w:t>
      </w:r>
    </w:p>
    <w:p w14:paraId="31742AFD" w14:textId="77777777" w:rsidR="00E1384A" w:rsidRPr="0044524F" w:rsidRDefault="00E1384A" w:rsidP="009654CF">
      <w:pPr>
        <w:spacing w:after="0" w:line="240" w:lineRule="auto"/>
        <w:jc w:val="both"/>
        <w:rPr>
          <w:rFonts w:ascii="Times New Roman" w:hAnsi="Times New Roman"/>
          <w:color w:val="000000" w:themeColor="text1"/>
          <w:sz w:val="16"/>
          <w:szCs w:val="16"/>
        </w:rPr>
      </w:pPr>
    </w:p>
    <w:p w14:paraId="11A157E2"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5B53FC2"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455BDA5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1933 года в постановлении СНК СССР №1917-421с речь шла о переносе Гроховецкого полигона на Софринский полигон. Штат сотрудников полигона начал комплектоваться в основном работниками бывшего военсклада №51 (г.Ростов Ярославской обл.), расформированном в конце 1932 года. Первыми сотрудниками полигона были:</w:t>
      </w:r>
    </w:p>
    <w:p w14:paraId="6FD3B53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полигона – Серебряков В.П.</w:t>
      </w:r>
    </w:p>
    <w:p w14:paraId="27DCAE2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политрук – Турукин Г.М.</w:t>
      </w:r>
    </w:p>
    <w:p w14:paraId="581171EB"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технической части - Кораблин Н.П.</w:t>
      </w:r>
    </w:p>
    <w:p w14:paraId="304C323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АХЧ – Лазарев Д.Е.</w:t>
      </w:r>
    </w:p>
    <w:p w14:paraId="762F4CC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руководители опытов - Корзин И.В., Тимофеев М.В., Бредис С.Я., начальник снаряжательной мастерской - Иващенко В.Д.,</w:t>
      </w:r>
    </w:p>
    <w:p w14:paraId="0FA0941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также Тураев Н.А, руководивший переброской имущества расформированного склада №51 к месту строительства нового полигона и Бодров И.Ф. </w:t>
      </w:r>
    </w:p>
    <w:p w14:paraId="1E5DA8C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отделом кадров Артуправления НКО полигон был пополнен кадрами. С военного склада № 45 прибыли Янике Л.Н., Хусточка, Скреминский и др. В этом же году начальник склада № 45 К.А.Григорович был назначен начальником полигона, вместо В.П.Серебрякова. перешедшего на другую работу (12071)</w:t>
      </w:r>
    </w:p>
    <w:p w14:paraId="0A21524F"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3B5F5D04" w14:textId="77777777" w:rsidR="005F0450" w:rsidRPr="0044524F" w:rsidRDefault="005F0450" w:rsidP="009654CF">
      <w:pPr>
        <w:pStyle w:val="rtejustify"/>
        <w:spacing w:before="0" w:after="0"/>
        <w:rPr>
          <w:color w:val="000000" w:themeColor="text1"/>
          <w:sz w:val="16"/>
          <w:szCs w:val="16"/>
        </w:rPr>
      </w:pPr>
      <w:r w:rsidRPr="0044524F">
        <w:rPr>
          <w:rStyle w:val="af0"/>
          <w:bCs/>
          <w:i w:val="0"/>
          <w:color w:val="000000" w:themeColor="text1"/>
          <w:sz w:val="16"/>
          <w:szCs w:val="16"/>
        </w:rPr>
        <w:t>5 сентября</w:t>
      </w:r>
      <w:r w:rsidRPr="0044524F">
        <w:rPr>
          <w:color w:val="000000" w:themeColor="text1"/>
          <w:sz w:val="16"/>
          <w:szCs w:val="16"/>
        </w:rPr>
        <w:t xml:space="preserve"> 1933. Постановление СТО СССР № 84сс/о «О плане ввода в эксплуатацию пусковых объектов военной промышленности в 1933 г.». (ГА РФ. Ф. Р</w:t>
      </w:r>
      <w:r w:rsidRPr="0044524F">
        <w:rPr>
          <w:color w:val="000000" w:themeColor="text1"/>
          <w:sz w:val="16"/>
          <w:szCs w:val="16"/>
        </w:rPr>
        <w:noBreakHyphen/>
        <w:t>8418. Оп. 28. Д. 2. Л. 136</w:t>
      </w:r>
      <w:r w:rsidRPr="0044524F">
        <w:rPr>
          <w:color w:val="000000" w:themeColor="text1"/>
          <w:sz w:val="16"/>
          <w:szCs w:val="16"/>
        </w:rPr>
        <w:noBreakHyphen/>
        <w:t>167) (15460).</w:t>
      </w:r>
    </w:p>
    <w:p w14:paraId="548044C2" w14:textId="77777777" w:rsidR="005F0450" w:rsidRPr="0044524F" w:rsidRDefault="005F0450" w:rsidP="009654CF">
      <w:pPr>
        <w:pStyle w:val="rtejustify"/>
        <w:spacing w:before="0" w:after="0"/>
        <w:rPr>
          <w:color w:val="000000" w:themeColor="text1"/>
          <w:sz w:val="16"/>
          <w:szCs w:val="16"/>
        </w:rPr>
      </w:pPr>
    </w:p>
    <w:p w14:paraId="57DAAC4E" w14:textId="77777777" w:rsidR="005F0450" w:rsidRPr="0044524F" w:rsidRDefault="005F0450"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5 сентября </w:t>
      </w:r>
      <w:r w:rsidRPr="0044524F">
        <w:rPr>
          <w:rFonts w:ascii="Times New Roman" w:hAnsi="Times New Roman"/>
          <w:color w:val="000000" w:themeColor="text1"/>
          <w:sz w:val="16"/>
          <w:szCs w:val="16"/>
        </w:rPr>
        <w:t>в 1933 году выпущены первые тонны криолита и фтористого алюминия на химическом заводе близ города Полевского (Свердловская область; ныне ОАО "Полевской криолитовый завод") — одно из крупнейших предприятий ВПК России (14760).</w:t>
      </w:r>
    </w:p>
    <w:p w14:paraId="7B110067" w14:textId="77777777" w:rsidR="005F0450" w:rsidRPr="0044524F" w:rsidRDefault="005F0450" w:rsidP="009654CF">
      <w:pPr>
        <w:spacing w:after="0" w:line="240" w:lineRule="auto"/>
        <w:jc w:val="both"/>
        <w:rPr>
          <w:rFonts w:ascii="Times New Roman" w:hAnsi="Times New Roman"/>
          <w:color w:val="000000" w:themeColor="text1"/>
          <w:sz w:val="16"/>
          <w:szCs w:val="16"/>
        </w:rPr>
      </w:pPr>
    </w:p>
    <w:p w14:paraId="564967FA"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926C5B3"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3F7B42B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сентября 1933 гондола, которая делала бригада В.А.Чижевского в ЦКБ была готова и 30 сентября состоялся успешный старт на высоту 19 км. Т.к. С.В.Ильюшин недавно получил орден - дали только грамоту.</w:t>
      </w:r>
    </w:p>
    <w:p w14:paraId="76BC16E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 Пономареву - у С.В.Ильюшина уже созрела задумка дальнего бомбардировщика (24,62). Кроме того, по совету В.В.Хрипина С.В.Ильюшин постоянно изучает примеры оперативного искусства и тактики применения авиации обращаясь к трудам В.И.Ленина и Д.Дуэ (24,88). Сделан вывод: нужны штурмовики (Ленин) и бомбардировки стратегических целей (Дуэ) (24,88).</w:t>
      </w:r>
    </w:p>
    <w:p w14:paraId="28C7E91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Интересно, где территориально был простой трехэтажный корпус, приютивший КБ С.В.И. (24,62).</w:t>
      </w:r>
    </w:p>
    <w:p w14:paraId="18453E4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Важно, что перед войной он был уже в пятиэтажном, то есть не том.</w:t>
      </w:r>
    </w:p>
    <w:p w14:paraId="337291A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p w14:paraId="4D4B143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сентября 1933 г. на совещании на заводе № 39 Николай Николаевич сделал доклад по проблеме развития истребителя ЦКБ-12. Материалы доклада лег</w:t>
      </w:r>
      <w:r w:rsidRPr="0044524F">
        <w:rPr>
          <w:rFonts w:ascii="Times New Roman" w:hAnsi="Times New Roman"/>
          <w:color w:val="000000" w:themeColor="text1"/>
          <w:sz w:val="16"/>
          <w:szCs w:val="16"/>
        </w:rPr>
        <w:softHyphen/>
        <w:t>ли в основу письма директора завода Марголина, на</w:t>
      </w:r>
      <w:r w:rsidRPr="0044524F">
        <w:rPr>
          <w:rFonts w:ascii="Times New Roman" w:hAnsi="Times New Roman"/>
          <w:color w:val="000000" w:themeColor="text1"/>
          <w:sz w:val="16"/>
          <w:szCs w:val="16"/>
        </w:rPr>
        <w:softHyphen/>
        <w:t>правленного начальнику ВВС РККА Алкснису, а также начальнику ГУАП. В нем, в частности, говорилось:</w:t>
      </w:r>
    </w:p>
    <w:p w14:paraId="5453DD5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проектировании самолета ЦКБ-12 (И-16) 2-й бригадой ЦКБ было проделано несколько вариантов расчетов под различные моторы.</w:t>
      </w:r>
    </w:p>
    <w:p w14:paraId="3060595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этих расчетов выяснилось, что в случае установки на самолет мотора «Райт-Сайклон» Р-5 (так в письме), мы получаем столь высокие летно-тактические данные этой машины, что она безусловно явится перво</w:t>
      </w:r>
      <w:r w:rsidRPr="0044524F">
        <w:rPr>
          <w:rFonts w:ascii="Times New Roman" w:hAnsi="Times New Roman"/>
          <w:color w:val="000000" w:themeColor="text1"/>
          <w:sz w:val="16"/>
          <w:szCs w:val="16"/>
        </w:rPr>
        <w:softHyphen/>
        <w:t>классным истребителем, по своим данным намного опе</w:t>
      </w:r>
      <w:r w:rsidRPr="0044524F">
        <w:rPr>
          <w:rFonts w:ascii="Times New Roman" w:hAnsi="Times New Roman"/>
          <w:color w:val="000000" w:themeColor="text1"/>
          <w:sz w:val="16"/>
          <w:szCs w:val="16"/>
        </w:rPr>
        <w:softHyphen/>
        <w:t>режающим все известные лучшие европейские и аме</w:t>
      </w:r>
      <w:r w:rsidRPr="0044524F">
        <w:rPr>
          <w:rFonts w:ascii="Times New Roman" w:hAnsi="Times New Roman"/>
          <w:color w:val="000000" w:themeColor="text1"/>
          <w:sz w:val="16"/>
          <w:szCs w:val="16"/>
        </w:rPr>
        <w:softHyphen/>
        <w:t>риканские образцы.</w:t>
      </w:r>
    </w:p>
    <w:p w14:paraId="7B50DBB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например, эта машина будет иметь:</w:t>
      </w:r>
    </w:p>
    <w:p w14:paraId="6809C54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5000 мт - 410 клм,</w:t>
      </w:r>
    </w:p>
    <w:p w14:paraId="59E2583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- 7000 мт - 400 клм. Скороподъемность на 3000 мт - 3,5-4,5 мин.</w:t>
      </w:r>
    </w:p>
    <w:p w14:paraId="5B5EEF8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на 5000 мт - 6,5-7 мин.</w:t>
      </w:r>
    </w:p>
    <w:p w14:paraId="6417D4B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на 7000 мт - 10-11 мин.</w:t>
      </w:r>
    </w:p>
    <w:p w14:paraId="0147BBE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- 9500 мт.</w:t>
      </w:r>
    </w:p>
    <w:p w14:paraId="37FF934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- 100-105 клм.</w:t>
      </w:r>
    </w:p>
    <w:p w14:paraId="62C31F1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столь высокие расчетные данные, было бы крайне желательно уже теперь одну (из двух) строящих</w:t>
      </w:r>
      <w:r w:rsidRPr="0044524F">
        <w:rPr>
          <w:rFonts w:ascii="Times New Roman" w:hAnsi="Times New Roman"/>
          <w:color w:val="000000" w:themeColor="text1"/>
          <w:sz w:val="16"/>
          <w:szCs w:val="16"/>
        </w:rPr>
        <w:softHyphen/>
        <w:t>ся ЦКБ-12 построить под мотор «Райт-Сайклон» Р-5.</w:t>
      </w:r>
    </w:p>
    <w:p w14:paraId="728D393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Докладывая о вышеизложенном, прошу Вашего рас</w:t>
      </w:r>
      <w:r w:rsidRPr="0044524F">
        <w:rPr>
          <w:rFonts w:ascii="Times New Roman" w:hAnsi="Times New Roman"/>
          <w:color w:val="000000" w:themeColor="text1"/>
          <w:sz w:val="16"/>
          <w:szCs w:val="16"/>
        </w:rPr>
        <w:softHyphen/>
        <w:t>поряжения о закупке одного мотора Р-5 (с запчастями с доставкой его в СССР не позднее декабря с/г)» (10667).</w:t>
      </w:r>
    </w:p>
    <w:p w14:paraId="2ED87D66"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4DBE9FC9"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сентября 1933 г. на техническом совещании завода №39 Николай Николаевич сделал доклад по проблеме развития истребителя ЦКБ-12. Материалы доклада легли в основу письма директора завода №39 Марголина, направленного 20 сентября 1933 г. начальнику ВВС РККА Алкснису, а также начальнику ГУАП. В нем, в частности, говорилось: «При проектировании са</w:t>
      </w:r>
      <w:r w:rsidRPr="0044524F">
        <w:rPr>
          <w:rFonts w:ascii="Times New Roman" w:hAnsi="Times New Roman"/>
          <w:color w:val="000000" w:themeColor="text1"/>
          <w:sz w:val="16"/>
          <w:szCs w:val="16"/>
        </w:rPr>
        <w:softHyphen/>
        <w:t>молета ЦКБ-12 (И-16) 2-й бригадой ЦКБ было проделано несколько вариантов расчетов под различные моторы.</w:t>
      </w:r>
    </w:p>
    <w:p w14:paraId="2504D051"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этих расчетов выяснилось, что в случае установки на са</w:t>
      </w:r>
      <w:r w:rsidRPr="0044524F">
        <w:rPr>
          <w:rFonts w:ascii="Times New Roman" w:hAnsi="Times New Roman"/>
          <w:color w:val="000000" w:themeColor="text1"/>
          <w:sz w:val="16"/>
          <w:szCs w:val="16"/>
        </w:rPr>
        <w:softHyphen/>
        <w:t>молет мотора «РАЙТ-САЙКЛОН» F-5 (так в письме), мы получаем столь высокие летно-тактические данные этой ма</w:t>
      </w:r>
      <w:r w:rsidRPr="0044524F">
        <w:rPr>
          <w:rFonts w:ascii="Times New Roman" w:hAnsi="Times New Roman"/>
          <w:color w:val="000000" w:themeColor="text1"/>
          <w:sz w:val="16"/>
          <w:szCs w:val="16"/>
        </w:rPr>
        <w:softHyphen/>
        <w:t>шины, что она безусловно явится первоклассным истребителем, по своим данным намного опережающим все известные лучшие европейские и американские образцы.</w:t>
      </w:r>
    </w:p>
    <w:p w14:paraId="44B8754A"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например, эта машина будет иметь:</w:t>
      </w:r>
    </w:p>
    <w:p w14:paraId="737864C2"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5000 мт - 410 клм [в час],</w:t>
      </w:r>
    </w:p>
    <w:p w14:paraId="6CBE4E40"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7000 мт - 400 клм [в час].</w:t>
      </w:r>
    </w:p>
    <w:p w14:paraId="5BCCDD1E"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3000 мт - 3,5-4,5 мин.</w:t>
      </w:r>
    </w:p>
    <w:p w14:paraId="5D4BA914"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на 5000 мт - 6,5-7 мин.</w:t>
      </w:r>
    </w:p>
    <w:p w14:paraId="3AA254A9"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на 7000 мт - 10-11 мин.</w:t>
      </w:r>
    </w:p>
    <w:p w14:paraId="00969C8F"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- 9500 мт.</w:t>
      </w:r>
    </w:p>
    <w:p w14:paraId="2D00C02A"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- 100-105 клм [в час].</w:t>
      </w:r>
    </w:p>
    <w:p w14:paraId="10D8D72A"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столь высокие расчетные данные, было бы крайне желательно уже теперь одну (из двух) строящихся ЦКБ-12 по</w:t>
      </w:r>
      <w:r w:rsidRPr="0044524F">
        <w:rPr>
          <w:rFonts w:ascii="Times New Roman" w:hAnsi="Times New Roman"/>
          <w:color w:val="000000" w:themeColor="text1"/>
          <w:sz w:val="16"/>
          <w:szCs w:val="16"/>
        </w:rPr>
        <w:softHyphen/>
        <w:t>строить под мотор «РАЙТ-САЙКЛОН» F-5.</w:t>
      </w:r>
    </w:p>
    <w:p w14:paraId="69C3254F"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Докладывая о вышеизложенном, прошу Вашего распоряжения о закупке одного мотора F-5 (с запчастями с доставкой его в СССР не позднее декабря с/г)» (23455).</w:t>
      </w:r>
    </w:p>
    <w:p w14:paraId="7E7B2EFC" w14:textId="77777777" w:rsidR="007D2353" w:rsidRPr="0044524F" w:rsidRDefault="007D2353" w:rsidP="009654CF">
      <w:pPr>
        <w:spacing w:after="0" w:line="240" w:lineRule="auto"/>
        <w:jc w:val="both"/>
        <w:rPr>
          <w:rFonts w:ascii="Times New Roman" w:hAnsi="Times New Roman"/>
          <w:color w:val="000000" w:themeColor="text1"/>
          <w:sz w:val="16"/>
          <w:szCs w:val="16"/>
        </w:rPr>
      </w:pPr>
    </w:p>
    <w:p w14:paraId="746F3297"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сентября 1933 г. на техническом совещании завода № 39 Николай Николаевич сделал доклад по проблеме развития истребителя ЦКБ-12. Материалы доклада легли в основу письма директора завода № 39 Марголина, направленного 20 сентября 1933 г. начальнику ВВС РККА Алкснису, а также начальнику ГУАП. В нем, в частности, говорилось:</w:t>
      </w:r>
    </w:p>
    <w:p w14:paraId="68F4C403"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«При проектировании самолета ЦКБ-12 (И-16) 2-й бригадой ЦКБ было проделано несколько вариантов расчетов под различные моторы. </w:t>
      </w:r>
    </w:p>
    <w:p w14:paraId="11109C5B" w14:textId="27358785"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этих расчетов выяснилось, что в случае установки на самолет мотора «РАЙТ-САЙКЛОН» F-5</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 xml:space="preserve">[так в письме. — Прим. авт. ], мы получаем столь высокие летно-тактические данные этой машины, что она безусловно явится первоклассным истребителем, по своим данным намного опережающим все известные лучшие европейские и американские образцы. </w:t>
      </w:r>
    </w:p>
    <w:p w14:paraId="454B0CCD"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Так, например, эта машина будет иметь: </w:t>
      </w:r>
    </w:p>
    <w:p w14:paraId="6B36E1B9"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На высоте </w:t>
      </w:r>
    </w:p>
    <w:p w14:paraId="337E5A76"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5000 мт 410 клм, </w:t>
      </w:r>
    </w:p>
    <w:p w14:paraId="11613C35"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7000 мт 400 клм. </w:t>
      </w:r>
    </w:p>
    <w:p w14:paraId="5A4F80D7"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Скороподъемность…(25035).</w:t>
      </w:r>
    </w:p>
    <w:p w14:paraId="370E8BCD" w14:textId="77777777" w:rsidR="008553FB" w:rsidRPr="00142305" w:rsidRDefault="008553FB" w:rsidP="008553FB">
      <w:pPr>
        <w:spacing w:after="0" w:line="240" w:lineRule="auto"/>
        <w:jc w:val="both"/>
        <w:rPr>
          <w:rFonts w:ascii="Times New Roman" w:hAnsi="Times New Roman"/>
          <w:color w:val="0070C0"/>
          <w:sz w:val="16"/>
          <w:szCs w:val="16"/>
        </w:rPr>
      </w:pPr>
    </w:p>
    <w:p w14:paraId="424F6F1F" w14:textId="77777777" w:rsidR="00245CC2" w:rsidRPr="0044524F" w:rsidRDefault="00245CC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начале сентября 1933 г. в Особом техническом бюро ВВС, созданном на основе конструкторского отдела Гроховского, были завершены работы по модификации топливной системы ТБ-3, которые велись с конца июля.</w:t>
      </w:r>
    </w:p>
    <w:p w14:paraId="7C66D385" w14:textId="77777777" w:rsidR="00245CC2" w:rsidRPr="0044524F" w:rsidRDefault="00245CC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14 сентября начались полёты. Больше месяца недостаточно тренированные экипажи безуспешно пытались поймать шланг и перелить горючее из одного самолёта в другой. Только после смены лётчика ТБ-3 на опытного пилота-испытателя К.П. Миндера 20 ноября удалось провести две успешные дозаправки. При этом самолёты выполняли одновременный разворот на 180 градусов, не прекращая перелива топлива </w:t>
      </w:r>
      <w:hyperlink r:id="rId320" w:history="1">
        <w:r w:rsidRPr="0044524F">
          <w:rPr>
            <w:rFonts w:ascii="Times New Roman" w:eastAsia="Times New Roman" w:hAnsi="Times New Roman"/>
            <w:color w:val="000000" w:themeColor="text1"/>
            <w:sz w:val="16"/>
            <w:szCs w:val="16"/>
            <w:lang w:eastAsia="ru-RU"/>
          </w:rPr>
          <w:t>[57]</w:t>
        </w:r>
      </w:hyperlink>
      <w:r w:rsidRPr="0044524F">
        <w:rPr>
          <w:rFonts w:ascii="Times New Roman" w:eastAsia="Times New Roman" w:hAnsi="Times New Roman"/>
          <w:color w:val="000000" w:themeColor="text1"/>
          <w:sz w:val="16"/>
          <w:szCs w:val="16"/>
          <w:lang w:eastAsia="ru-RU"/>
        </w:rPr>
        <w:t xml:space="preserve"> .</w:t>
      </w:r>
    </w:p>
    <w:p w14:paraId="0FCD9EAA" w14:textId="77777777" w:rsidR="00245CC2" w:rsidRPr="0044524F" w:rsidRDefault="00245CC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следующий год были намечены войсковые испытания. С этой целью планировалось подготовить двенадцать Р-5 с добавочными баками в фюзеляже и усовершенствованной аппаратурой для дозаправки (необходимо было уменьшить усилия при наматывании шланга на барабан самолёта-заправщика).</w:t>
      </w:r>
    </w:p>
    <w:p w14:paraId="5E4C9149" w14:textId="77777777" w:rsidR="00245CC2" w:rsidRPr="0044524F" w:rsidRDefault="00245CC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Но вскоре стало понятно, что использование одномоторного самолёта для дозаправки четырёхмоторного бомбардировщика лишено практического смысла: даже с дополнительным баком Р-5 мог передать не больше 1000 л бензина, что составляло всего около 15 % ёмкости топливных баков ТБ-3. Другое дело, если использовать тяжёлый бомбардировщик не в качестве заправляемого, а как заправщик. Этим и занялась группа Запанованного, работающая теперь в составе военного КБ-1.</w:t>
      </w:r>
    </w:p>
    <w:p w14:paraId="3A6E79D5" w14:textId="77777777" w:rsidR="00245CC2" w:rsidRPr="0044524F" w:rsidRDefault="00245CC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Год ушел на проект переделки бомбардировщика в топливозаправщик. В 1935 г. в НИИ ВВС начали работы по установке топливного оборудования на ТБ-3. Внутри фюзеляжа разместили барабан с намотанным на него шлангом.</w:t>
      </w:r>
    </w:p>
    <w:p w14:paraId="3B44B1D4" w14:textId="77777777" w:rsidR="00245CC2" w:rsidRPr="0044524F" w:rsidRDefault="00245CC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Шланг выпускался и втягивался ручной лебедкой через люк в полу, бензин к нему поступал от баков в крыле. Снаружи шланг подкрепили стальными тросами, служащими также для предотвращения опасности возникновения искры из-за разности электрических потенциалов самолётов в момент заправки. В магистраль слива был вмонтирован полуавтоматический клапан, открывавший и закрывавший перетекание топлива. Насоса не было, как и в прежних экспериментах топливо должно выливаться за счёт большей высоты полёта заправщика. Вес заправочного агрегата АЗ-21 равнялся 59 кг.</w:t>
      </w:r>
    </w:p>
    <w:p w14:paraId="5566D680" w14:textId="77777777" w:rsidR="00245CC2" w:rsidRPr="0044524F" w:rsidRDefault="00245CC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этот раз планировалось заправлять истребители, чтобы уравнять их дальность с дальностью бомбардировщика, который им предстояло охранять. Для опытов один биплан И-5 и один моноплан И-16 оснастили заливными горловинами с устройствами АЗ-22, выталкивающими шланг после заправки и перекрывающими бензопровод к топливному баку истребителя.</w:t>
      </w:r>
    </w:p>
    <w:p w14:paraId="653FC716" w14:textId="77777777" w:rsidR="00245CC2" w:rsidRPr="0044524F" w:rsidRDefault="00245CC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«Сначала надо было проверить, — пишет Котельников, — сможет ли пилот истребителя поймать наконечник шланга. Ведь в полёте у него будут заняты обе руки: одной надо держать ручку управления, выдерживая положение под заправщиком, другой — сектор газа, выравнивая скорости. Оставалось только рискнуть, на время отпустив одну из ручек. В первых полётах в январе 1936 г. И-5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5AC587FC" w14:textId="77777777" w:rsidR="00245CC2" w:rsidRPr="0044524F" w:rsidRDefault="00245CC2" w:rsidP="009654CF">
      <w:pPr>
        <w:spacing w:after="0" w:line="240" w:lineRule="auto"/>
        <w:jc w:val="both"/>
        <w:rPr>
          <w:rFonts w:ascii="Times New Roman" w:eastAsia="Times New Roman" w:hAnsi="Times New Roman"/>
          <w:color w:val="000000" w:themeColor="text1"/>
          <w:sz w:val="16"/>
          <w:szCs w:val="16"/>
          <w:lang w:eastAsia="ru-RU"/>
        </w:rPr>
      </w:pPr>
    </w:p>
    <w:p w14:paraId="66FEA516"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первых числах сентября 1933 года «СССР-1» подготовили к первому полету, после чего началось ожидание тихой погоды. Для проведения рекордного полета в стратосферу организовали специальный технический совет при УВВС РККА под председательством Начальника штаба ВВС РККА Хрипина. Окончательная готовность определилась 26 сентября, в этот день все элементы стратостата проверили и взвесили.</w:t>
      </w:r>
    </w:p>
    <w:p w14:paraId="52103554"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Основные весовые характеристики «СССР-1»:</w:t>
      </w:r>
    </w:p>
    <w:p w14:paraId="52DAA66A"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Вес оболочки и подвесной системы, кг: 1191</w:t>
      </w:r>
    </w:p>
    <w:p w14:paraId="292F149D"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Вес гондолы и оборудования, кг: 730</w:t>
      </w:r>
    </w:p>
    <w:p w14:paraId="0E36984A"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Внутренний балласт, кг: 360</w:t>
      </w:r>
    </w:p>
    <w:p w14:paraId="5F7D0CC6"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Наружный балласт, кг: 420</w:t>
      </w:r>
    </w:p>
    <w:p w14:paraId="5B5FE31E"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Вес различного снаряжения, кг: 671</w:t>
      </w:r>
    </w:p>
    <w:p w14:paraId="0898D1EA"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Общий вес, кг: 3372</w:t>
      </w:r>
    </w:p>
    <w:p w14:paraId="69B9B394"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Экипаж стратостата состоял из трех человек: командир — Георгий Александрович Прокофьев (командир опытно-испытательного воздухоплавательного дивизиона, размещенного в Кунцево), пилот-радист и помощник командира Эрнст Карлович Бирнбаум (УВВС), пилот-инженер Константин Дмитриевич Годунов (конструктор НИИ ГВФ). Перед полетом все трое прошли длительную тренировку в специальной барокамере с пониженным атмосферным давлением (19614).</w:t>
      </w:r>
    </w:p>
    <w:p w14:paraId="142B301A" w14:textId="77777777" w:rsidR="00ED1A5E" w:rsidRPr="0044524F" w:rsidRDefault="00ED1A5E" w:rsidP="009654CF">
      <w:pPr>
        <w:spacing w:after="0" w:line="240" w:lineRule="auto"/>
        <w:jc w:val="both"/>
        <w:rPr>
          <w:rFonts w:ascii="Times New Roman" w:hAnsi="Times New Roman"/>
          <w:color w:val="000000" w:themeColor="text1"/>
          <w:sz w:val="16"/>
          <w:szCs w:val="16"/>
        </w:rPr>
      </w:pPr>
    </w:p>
    <w:p w14:paraId="1D7615C2" w14:textId="77777777" w:rsidR="00D65FCC" w:rsidRPr="0044524F" w:rsidRDefault="00D65F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сентября 1933 г. сведения о стратостате «СССР-1» появились на страницах печати, когда он уже был готов к полёту. Гондолу страто</w:t>
      </w:r>
      <w:r w:rsidRPr="0044524F">
        <w:rPr>
          <w:rFonts w:ascii="Times New Roman" w:hAnsi="Times New Roman"/>
          <w:color w:val="000000" w:themeColor="text1"/>
          <w:sz w:val="16"/>
          <w:szCs w:val="16"/>
        </w:rPr>
        <w:softHyphen/>
        <w:t>стата, прозванного «прокофьером», осматрива</w:t>
      </w:r>
      <w:r w:rsidRPr="0044524F">
        <w:rPr>
          <w:rFonts w:ascii="Times New Roman" w:hAnsi="Times New Roman"/>
          <w:color w:val="000000" w:themeColor="text1"/>
          <w:sz w:val="16"/>
          <w:szCs w:val="16"/>
        </w:rPr>
        <w:softHyphen/>
        <w:t>ли авиаторы, писатели (в том числе А.М. Горь</w:t>
      </w:r>
      <w:r w:rsidRPr="0044524F">
        <w:rPr>
          <w:rFonts w:ascii="Times New Roman" w:hAnsi="Times New Roman"/>
          <w:color w:val="000000" w:themeColor="text1"/>
          <w:sz w:val="16"/>
          <w:szCs w:val="16"/>
        </w:rPr>
        <w:softHyphen/>
        <w:t>кий), артисты, члены правительства (К.Е. Во</w:t>
      </w:r>
      <w:r w:rsidRPr="0044524F">
        <w:rPr>
          <w:rFonts w:ascii="Times New Roman" w:hAnsi="Times New Roman"/>
          <w:color w:val="000000" w:themeColor="text1"/>
          <w:sz w:val="16"/>
          <w:szCs w:val="16"/>
        </w:rPr>
        <w:softHyphen/>
        <w:t>рошилов, Г.К. Орджоникидзе, В.М. Молотов, М.М. Литвинов), иностранные делегации (20120).</w:t>
      </w:r>
    </w:p>
    <w:p w14:paraId="562D7D48" w14:textId="77777777" w:rsidR="00D65FCC" w:rsidRPr="0044524F" w:rsidRDefault="00D65FCC" w:rsidP="009654CF">
      <w:pPr>
        <w:spacing w:after="0" w:line="240" w:lineRule="auto"/>
        <w:jc w:val="both"/>
        <w:rPr>
          <w:rFonts w:ascii="Times New Roman" w:hAnsi="Times New Roman"/>
          <w:color w:val="000000" w:themeColor="text1"/>
          <w:sz w:val="16"/>
          <w:szCs w:val="16"/>
        </w:rPr>
      </w:pPr>
    </w:p>
    <w:p w14:paraId="57E1082C"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F0358B2"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6E6EA74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сентября 1933 года представитель УММ РККА докладывал в наркомат обороны о хо</w:t>
      </w:r>
      <w:r w:rsidRPr="0044524F">
        <w:rPr>
          <w:rFonts w:ascii="Times New Roman" w:hAnsi="Times New Roman"/>
          <w:color w:val="000000" w:themeColor="text1"/>
          <w:sz w:val="16"/>
          <w:szCs w:val="16"/>
        </w:rPr>
        <w:softHyphen/>
        <w:t>де выполнения Выксой годовой программы выпуска бро</w:t>
      </w:r>
      <w:r w:rsidRPr="0044524F">
        <w:rPr>
          <w:rFonts w:ascii="Times New Roman" w:hAnsi="Times New Roman"/>
          <w:color w:val="000000" w:themeColor="text1"/>
          <w:sz w:val="16"/>
          <w:szCs w:val="16"/>
        </w:rPr>
        <w:softHyphen/>
        <w:t>невиков: «БАИ — сдано 28, остальные 272 под сомнением. Будет вероятно не больше 150—200 штук». Однако до кон</w:t>
      </w:r>
      <w:r w:rsidRPr="0044524F">
        <w:rPr>
          <w:rFonts w:ascii="Times New Roman" w:hAnsi="Times New Roman"/>
          <w:color w:val="000000" w:themeColor="text1"/>
          <w:sz w:val="16"/>
          <w:szCs w:val="16"/>
        </w:rPr>
        <w:softHyphen/>
        <w:t>ца года из ворот завода вышло всего 90 машин, еще 19 БАИ собрали в начале 1934-го, после чего их производство пре</w:t>
      </w:r>
      <w:r w:rsidRPr="0044524F">
        <w:rPr>
          <w:rFonts w:ascii="Times New Roman" w:hAnsi="Times New Roman"/>
          <w:color w:val="000000" w:themeColor="text1"/>
          <w:sz w:val="16"/>
          <w:szCs w:val="16"/>
        </w:rPr>
        <w:softHyphen/>
        <w:t>кратилось. Следует сказать, что часть БАИ оснащалась ящиком для укладки цепей «Оверолл», установленным справа на крыле задних колес (11284).</w:t>
      </w:r>
    </w:p>
    <w:p w14:paraId="2613A64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p w14:paraId="5ADE01A0"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1F13430"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6D6BDFD7" w14:textId="77777777" w:rsidR="005F0450" w:rsidRPr="0044524F" w:rsidRDefault="005F0450" w:rsidP="009654CF">
      <w:pPr>
        <w:pStyle w:val="rtejustify"/>
        <w:spacing w:before="0" w:after="0"/>
        <w:rPr>
          <w:color w:val="000000" w:themeColor="text1"/>
          <w:sz w:val="16"/>
          <w:szCs w:val="16"/>
        </w:rPr>
      </w:pPr>
      <w:r w:rsidRPr="0044524F">
        <w:rPr>
          <w:color w:val="000000" w:themeColor="text1"/>
          <w:sz w:val="16"/>
          <w:szCs w:val="16"/>
        </w:rPr>
        <w:t>С 7 по 11 сентября 1933 г., НИСИ организовал и провел Всесоюзную снарядную конференцию, где особое внимание уделялось вопросам создания менее трудоемких, дешевых методов изготовления снарядов без ущерба для качества и эффективности разрабатываемых образцов. После включения в состав НИСИ в 1934 г. ОКБ</w:t>
      </w:r>
      <w:r w:rsidRPr="0044524F">
        <w:rPr>
          <w:color w:val="000000" w:themeColor="text1"/>
          <w:sz w:val="16"/>
          <w:szCs w:val="16"/>
        </w:rPr>
        <w:noBreakHyphen/>
        <w:t>3 РККА (проектирование боеприпасов) и организации отдела «Станкокалибр» (производство оборудования, оснастки и специального инструмента для производства снарядов) была создана возможность комплексного решения вопросов создания и производства боеприпасов (15270).</w:t>
      </w:r>
    </w:p>
    <w:p w14:paraId="5E77231B" w14:textId="77777777" w:rsidR="005F0450" w:rsidRPr="0044524F" w:rsidRDefault="005F0450" w:rsidP="009654CF">
      <w:pPr>
        <w:pStyle w:val="rtejustify"/>
        <w:spacing w:before="0" w:after="0"/>
        <w:rPr>
          <w:color w:val="000000" w:themeColor="text1"/>
          <w:sz w:val="16"/>
          <w:szCs w:val="16"/>
        </w:rPr>
      </w:pPr>
    </w:p>
    <w:p w14:paraId="1B8AA12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 8 сентября 1933 года на НИАПе в результате двух выстрелов снарядом чертежа 4765 весом 15,4 кг (заряд 1/2 и 3/4 нормальных) произошло повреждение буферных деталей между казенником и дном люльки вследствие резких откатов 100-мм зенитной пушки. Расчетная длина отката 680 мм, а было 200-250 мм, После ремонта давление в накатнике было снижено с 75 атмосфер до 45-55 атмосфер (3861).</w:t>
      </w:r>
    </w:p>
    <w:p w14:paraId="3054D638"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41AAEAA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7 сентября 1933 до осени 1936 г. проходили испытания 100мм зенитной пушки Б-14. В конце концов, руководство отказалось от доработки зенитной пушки в связи е этим был арестован и главный конструктор ситемы Удряшов (10675).</w:t>
      </w:r>
    </w:p>
    <w:p w14:paraId="54F8C70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p w14:paraId="7C6FCF19" w14:textId="77777777" w:rsidR="00114F15" w:rsidRPr="0044524F" w:rsidRDefault="00114F1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сентября 1933 полный проект трактора со всеми рабочими чер</w:t>
      </w:r>
      <w:r w:rsidRPr="0044524F">
        <w:rPr>
          <w:rFonts w:ascii="Times New Roman" w:hAnsi="Times New Roman"/>
          <w:color w:val="000000" w:themeColor="text1"/>
          <w:sz w:val="16"/>
          <w:szCs w:val="16"/>
        </w:rPr>
        <w:softHyphen/>
        <w:t>тежами был передан для производства заводу «Красный путиловец», а 29 декабря в экспе</w:t>
      </w:r>
      <w:r w:rsidRPr="0044524F">
        <w:rPr>
          <w:rFonts w:ascii="Times New Roman" w:hAnsi="Times New Roman"/>
          <w:color w:val="000000" w:themeColor="text1"/>
          <w:sz w:val="16"/>
          <w:szCs w:val="16"/>
        </w:rPr>
        <w:softHyphen/>
        <w:t>риментальном цехе собран первый трактор, полу</w:t>
      </w:r>
      <w:r w:rsidRPr="0044524F">
        <w:rPr>
          <w:rFonts w:ascii="Times New Roman" w:hAnsi="Times New Roman"/>
          <w:color w:val="000000" w:themeColor="text1"/>
          <w:sz w:val="16"/>
          <w:szCs w:val="16"/>
        </w:rPr>
        <w:softHyphen/>
        <w:t>чивший название Универсал-1 (с сближенными пе</w:t>
      </w:r>
      <w:r w:rsidRPr="0044524F">
        <w:rPr>
          <w:rFonts w:ascii="Times New Roman" w:hAnsi="Times New Roman"/>
          <w:color w:val="000000" w:themeColor="text1"/>
          <w:sz w:val="16"/>
          <w:szCs w:val="16"/>
        </w:rPr>
        <w:softHyphen/>
        <w:t>редними колесами) и Универсал-2 (с расставленны</w:t>
      </w:r>
      <w:r w:rsidRPr="0044524F">
        <w:rPr>
          <w:rFonts w:ascii="Times New Roman" w:hAnsi="Times New Roman"/>
          <w:color w:val="000000" w:themeColor="text1"/>
          <w:sz w:val="16"/>
          <w:szCs w:val="16"/>
        </w:rPr>
        <w:softHyphen/>
        <w:t>ми передними колесами).</w:t>
      </w:r>
    </w:p>
    <w:p w14:paraId="6868DFA0" w14:textId="77777777" w:rsidR="00114F15" w:rsidRPr="0044524F" w:rsidRDefault="00114F1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нового пропашного трактора была поручена НАТИ Приказом Наркома тяжелой промышленнос</w:t>
      </w:r>
      <w:r w:rsidRPr="0044524F">
        <w:rPr>
          <w:rFonts w:ascii="Times New Roman" w:hAnsi="Times New Roman"/>
          <w:color w:val="000000" w:themeColor="text1"/>
          <w:sz w:val="16"/>
          <w:szCs w:val="16"/>
        </w:rPr>
        <w:softHyphen/>
        <w:t>ти Г.К. Орджоникидзе.</w:t>
      </w:r>
    </w:p>
    <w:p w14:paraId="1A57EC8C" w14:textId="77777777" w:rsidR="00114F15" w:rsidRPr="0044524F" w:rsidRDefault="00114F1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Инженеры тракторного отдела под руковод</w:t>
      </w:r>
      <w:r w:rsidRPr="0044524F">
        <w:rPr>
          <w:rFonts w:ascii="Times New Roman" w:hAnsi="Times New Roman"/>
          <w:color w:val="000000" w:themeColor="text1"/>
          <w:sz w:val="16"/>
          <w:szCs w:val="16"/>
        </w:rPr>
        <w:softHyphen/>
        <w:t>ством Д.А. Чудакова спроектировали пропашной колесный трактор, взяв за прототип трактор Фар- молл-9/18 американской компании Интернэшнл Хар</w:t>
      </w:r>
      <w:r w:rsidRPr="0044524F">
        <w:rPr>
          <w:rFonts w:ascii="Times New Roman" w:hAnsi="Times New Roman"/>
          <w:color w:val="000000" w:themeColor="text1"/>
          <w:sz w:val="16"/>
          <w:szCs w:val="16"/>
        </w:rPr>
        <w:softHyphen/>
        <w:t>вестер. Когда начался этап непосредственно рабо</w:t>
      </w:r>
      <w:r w:rsidRPr="0044524F">
        <w:rPr>
          <w:rFonts w:ascii="Times New Roman" w:hAnsi="Times New Roman"/>
          <w:color w:val="000000" w:themeColor="text1"/>
          <w:sz w:val="16"/>
          <w:szCs w:val="16"/>
        </w:rPr>
        <w:softHyphen/>
        <w:t>чего проектирования, то здесь все было не так прос</w:t>
      </w:r>
      <w:r w:rsidRPr="0044524F">
        <w:rPr>
          <w:rFonts w:ascii="Times New Roman" w:hAnsi="Times New Roman"/>
          <w:color w:val="000000" w:themeColor="text1"/>
          <w:sz w:val="16"/>
          <w:szCs w:val="16"/>
        </w:rPr>
        <w:softHyphen/>
        <w:t>то, как предполагали. Отступая от Фармолла, кон</w:t>
      </w:r>
      <w:r w:rsidRPr="0044524F">
        <w:rPr>
          <w:rFonts w:ascii="Times New Roman" w:hAnsi="Times New Roman"/>
          <w:color w:val="000000" w:themeColor="text1"/>
          <w:sz w:val="16"/>
          <w:szCs w:val="16"/>
        </w:rPr>
        <w:softHyphen/>
        <w:t>структоры стремились максимальное количество узлов и деталей унифицировать с трактором СТЗ. Поэтому одновременно с проектированием под руко</w:t>
      </w:r>
      <w:r w:rsidRPr="0044524F">
        <w:rPr>
          <w:rFonts w:ascii="Times New Roman" w:hAnsi="Times New Roman"/>
          <w:color w:val="000000" w:themeColor="text1"/>
          <w:sz w:val="16"/>
          <w:szCs w:val="16"/>
        </w:rPr>
        <w:softHyphen/>
        <w:t>водством инженера В. Тюляева проводилась боль</w:t>
      </w:r>
      <w:r w:rsidRPr="0044524F">
        <w:rPr>
          <w:rFonts w:ascii="Times New Roman" w:hAnsi="Times New Roman"/>
          <w:color w:val="000000" w:themeColor="text1"/>
          <w:sz w:val="16"/>
          <w:szCs w:val="16"/>
        </w:rPr>
        <w:softHyphen/>
        <w:t>шая экспериментальная работа по проверке право</w:t>
      </w:r>
      <w:r w:rsidRPr="0044524F">
        <w:rPr>
          <w:rFonts w:ascii="Times New Roman" w:hAnsi="Times New Roman"/>
          <w:color w:val="000000" w:themeColor="text1"/>
          <w:sz w:val="16"/>
          <w:szCs w:val="16"/>
        </w:rPr>
        <w:softHyphen/>
        <w:t>мерности замены деталей.</w:t>
      </w:r>
    </w:p>
    <w:p w14:paraId="3A1A6E28" w14:textId="77777777" w:rsidR="00114F15" w:rsidRPr="0044524F" w:rsidRDefault="00114F1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для этого трактора разработал инженер А.А. Крейслер. Трактор Универсал-1 был трехколес</w:t>
      </w:r>
      <w:r w:rsidRPr="0044524F">
        <w:rPr>
          <w:rFonts w:ascii="Times New Roman" w:hAnsi="Times New Roman"/>
          <w:color w:val="000000" w:themeColor="text1"/>
          <w:sz w:val="16"/>
          <w:szCs w:val="16"/>
        </w:rPr>
        <w:softHyphen/>
        <w:t>ный. Он развивал тяговое усилие 300-900 кг. На нем устанавливался карбюраторный керосиновый 4-цилиндровый двигатель мощностью 22 л.с. при 1200 об./мин. Трактор весил 2 т. Универсал-2 разра</w:t>
      </w:r>
      <w:r w:rsidRPr="0044524F">
        <w:rPr>
          <w:rFonts w:ascii="Times New Roman" w:hAnsi="Times New Roman"/>
          <w:color w:val="000000" w:themeColor="text1"/>
          <w:sz w:val="16"/>
          <w:szCs w:val="16"/>
        </w:rPr>
        <w:softHyphen/>
        <w:t>батывался для обработки низкостебельных пропаш</w:t>
      </w:r>
      <w:r w:rsidRPr="0044524F">
        <w:rPr>
          <w:rFonts w:ascii="Times New Roman" w:hAnsi="Times New Roman"/>
          <w:color w:val="000000" w:themeColor="text1"/>
          <w:sz w:val="16"/>
          <w:szCs w:val="16"/>
        </w:rPr>
        <w:softHyphen/>
        <w:t>ных культур. Он имел передний двухколесный мост оригинальной конструкции (22518).</w:t>
      </w:r>
    </w:p>
    <w:p w14:paraId="2300D052" w14:textId="77777777" w:rsidR="00114F15" w:rsidRPr="0044524F" w:rsidRDefault="00114F15" w:rsidP="009654CF">
      <w:pPr>
        <w:spacing w:after="0" w:line="240" w:lineRule="auto"/>
        <w:jc w:val="both"/>
        <w:rPr>
          <w:rFonts w:ascii="Times New Roman" w:hAnsi="Times New Roman"/>
          <w:color w:val="000000" w:themeColor="text1"/>
          <w:sz w:val="16"/>
          <w:szCs w:val="16"/>
        </w:rPr>
      </w:pPr>
    </w:p>
    <w:p w14:paraId="66F7765C"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E849112"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7EBE3DB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сентября 1933 Максим Горький на съезде писателей выдвинул лозунг «критического реализма» (4962).</w:t>
      </w:r>
    </w:p>
    <w:p w14:paraId="6352C868" w14:textId="742E487B"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p>
    <w:p w14:paraId="2E9F940A" w14:textId="2AC8657B" w:rsidR="00114F15" w:rsidRPr="0044524F" w:rsidRDefault="00114F15" w:rsidP="009654CF">
      <w:pPr>
        <w:tabs>
          <w:tab w:val="left" w:pos="11199"/>
        </w:tabs>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6773C421" w14:textId="77777777" w:rsidR="00114F15" w:rsidRPr="0044524F" w:rsidRDefault="00114F15" w:rsidP="009654CF">
      <w:pPr>
        <w:tabs>
          <w:tab w:val="left" w:pos="11199"/>
        </w:tabs>
        <w:spacing w:after="0" w:line="240" w:lineRule="auto"/>
        <w:jc w:val="both"/>
        <w:rPr>
          <w:rFonts w:ascii="Times New Roman" w:hAnsi="Times New Roman"/>
          <w:i/>
          <w:iCs/>
          <w:color w:val="000000" w:themeColor="text1"/>
          <w:sz w:val="16"/>
          <w:szCs w:val="16"/>
        </w:rPr>
      </w:pPr>
    </w:p>
    <w:p w14:paraId="08E6DC49" w14:textId="77777777" w:rsidR="00114F15" w:rsidRPr="0044524F" w:rsidRDefault="00114F1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сентября 1933 прототип французского авиалайнера Dewoitine D.332, названный Emeraude и зарегистрированный как F-AMMY, устанавливает мировой рекорд для самолета этого класса, развивая среднюю скорость 159,56 км / ч (99,1 миль / ч) на 1000 километрововой дистанции (621 миля) с полезной нагрузкой 2 000 кг (4 410 фунтов) (20802).</w:t>
      </w:r>
    </w:p>
    <w:p w14:paraId="1B9D9DA3" w14:textId="77777777" w:rsidR="00114F15" w:rsidRPr="0044524F" w:rsidRDefault="00114F15" w:rsidP="009654CF">
      <w:pPr>
        <w:spacing w:after="0" w:line="240" w:lineRule="auto"/>
        <w:jc w:val="both"/>
        <w:rPr>
          <w:rFonts w:ascii="Times New Roman" w:hAnsi="Times New Roman"/>
          <w:color w:val="000000" w:themeColor="text1"/>
          <w:sz w:val="16"/>
          <w:szCs w:val="16"/>
        </w:rPr>
      </w:pPr>
    </w:p>
    <w:p w14:paraId="08B523C6" w14:textId="77777777" w:rsidR="00114F15" w:rsidRPr="0044524F" w:rsidRDefault="00114F1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 сентября 1933 шесть летающих лодок Объединенного флота США P2Y совершают беспосадочный рейс из Норфолка, штат Вирджиния, к Панамскому каналу, преодолевая 2059 миль (3314 км) за 25 часов 20 минут (20802).</w:t>
      </w:r>
    </w:p>
    <w:p w14:paraId="282A2731" w14:textId="77777777" w:rsidR="00114F15" w:rsidRPr="0044524F" w:rsidRDefault="00114F15" w:rsidP="009654CF">
      <w:pPr>
        <w:spacing w:after="0" w:line="240" w:lineRule="auto"/>
        <w:jc w:val="both"/>
        <w:rPr>
          <w:rFonts w:ascii="Times New Roman" w:hAnsi="Times New Roman"/>
          <w:color w:val="000000" w:themeColor="text1"/>
          <w:sz w:val="16"/>
          <w:szCs w:val="16"/>
        </w:rPr>
      </w:pPr>
    </w:p>
    <w:p w14:paraId="27C8EABD" w14:textId="77777777" w:rsidR="006F2F8B" w:rsidRPr="0044524F" w:rsidRDefault="006F2F8B" w:rsidP="009654CF">
      <w:pPr>
        <w:tabs>
          <w:tab w:val="left" w:pos="11199"/>
        </w:tabs>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61E22C06" w14:textId="77777777" w:rsidR="006F2F8B" w:rsidRPr="0044524F" w:rsidRDefault="006F2F8B" w:rsidP="009654CF">
      <w:pPr>
        <w:tabs>
          <w:tab w:val="left" w:pos="11199"/>
        </w:tabs>
        <w:spacing w:after="0" w:line="240" w:lineRule="auto"/>
        <w:jc w:val="both"/>
        <w:rPr>
          <w:rFonts w:ascii="Times New Roman" w:hAnsi="Times New Roman"/>
          <w:i/>
          <w:iCs/>
          <w:color w:val="000000" w:themeColor="text1"/>
          <w:sz w:val="16"/>
          <w:szCs w:val="16"/>
        </w:rPr>
      </w:pPr>
    </w:p>
    <w:p w14:paraId="7D8F054C" w14:textId="77777777" w:rsidR="006F2F8B" w:rsidRPr="0044524F" w:rsidRDefault="006F2F8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сентября 1933 - Самолёт D.332 Emeraude пролетел 1000 км с полезной нагрузкой 2000 кг и средней скоростью 259,56 км/час и был установлен мировой рекорд для машин такого класса. D.332 Emeraude - транспортный самолёт, разработанный французской компанией Dewoitine. Цельнометаллический свободнонесущий низкоплан Dewoitine D.332 был восьмиместным пассажирским транспортным самолётом. Основные стойки его шасси снабжались обтекателями типа штанина, а однокилевое вертикальное оперение имело подкосы и типичные для самолётов Dewoitine очертания. Командир корабля и второй пилот располагались бок о бок в кабине оборудованной впереди передней кромки крыла, а радист размещался сразу за ними. Комфортабельная пассажирская кабина была просторной и хорошо обогреваемой и проветриваемой, пассажирские кресла могли раскладываться для удобства во время ночных перелётов. Тяга создавалась тремя звёздообразными двигателями Wright Cyclone┌ построенными по лицензии компанией Hispano-Suiza. Этот новый самолёт, названный Еmeraude, совершил несколько впечатляющих демонстрационных полётов в различные европейские столицы (22372).</w:t>
      </w:r>
    </w:p>
    <w:p w14:paraId="72CB3D0D" w14:textId="77777777" w:rsidR="006F2F8B" w:rsidRPr="0044524F" w:rsidRDefault="006F2F8B" w:rsidP="009654CF">
      <w:pPr>
        <w:spacing w:after="0" w:line="240" w:lineRule="auto"/>
        <w:jc w:val="both"/>
        <w:rPr>
          <w:rFonts w:ascii="Times New Roman" w:hAnsi="Times New Roman"/>
          <w:color w:val="000000" w:themeColor="text1"/>
          <w:sz w:val="16"/>
          <w:szCs w:val="16"/>
        </w:rPr>
      </w:pPr>
    </w:p>
    <w:p w14:paraId="79F21315" w14:textId="77777777" w:rsidR="006F2F8B" w:rsidRPr="0044524F" w:rsidRDefault="006F2F8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сентября 1933 - 6 самолётов Consolidated P2Y-1 совершают беспосадочный полёт из Норфолка, штат Вирджиния, в Панамский канал, преодолевая 2059 миль (3 314 км) за 25 часов 20 минут (22372).</w:t>
      </w:r>
    </w:p>
    <w:p w14:paraId="56D2F41B" w14:textId="77777777" w:rsidR="006F2F8B" w:rsidRPr="0044524F" w:rsidRDefault="006F2F8B" w:rsidP="009654CF">
      <w:pPr>
        <w:spacing w:after="0" w:line="240" w:lineRule="auto"/>
        <w:jc w:val="both"/>
        <w:rPr>
          <w:rFonts w:ascii="Times New Roman" w:hAnsi="Times New Roman"/>
          <w:color w:val="000000" w:themeColor="text1"/>
          <w:sz w:val="16"/>
          <w:szCs w:val="16"/>
        </w:rPr>
      </w:pPr>
    </w:p>
    <w:p w14:paraId="79DF34B0"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2F54E42"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17C7F97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1933 разбился Сталь-3 агитэскадрильи МГ (2331,291).</w:t>
      </w:r>
    </w:p>
    <w:p w14:paraId="6DB9381F"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5A95CD68" w14:textId="77777777" w:rsidR="006F2F8B" w:rsidRPr="0044524F" w:rsidRDefault="006F2F8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1933 года РВС СССР принял постановление № 85сс/о, в котором был утвержден следующий объем выпуска самолетов в военное время: 1934г. – всего 8.730 самолетов, 1935 г. – 11.700, 1936 г. – 14.330 (РГВА. Ф. 32871. Оп. 1. Д. 2. Л. 80). (21402).</w:t>
      </w:r>
    </w:p>
    <w:p w14:paraId="3FF60205" w14:textId="77777777" w:rsidR="006F2F8B" w:rsidRPr="0044524F" w:rsidRDefault="006F2F8B" w:rsidP="009654CF">
      <w:pPr>
        <w:spacing w:after="0" w:line="240" w:lineRule="auto"/>
        <w:jc w:val="both"/>
        <w:rPr>
          <w:rFonts w:ascii="Times New Roman" w:hAnsi="Times New Roman"/>
          <w:color w:val="000000" w:themeColor="text1"/>
          <w:sz w:val="16"/>
          <w:szCs w:val="16"/>
        </w:rPr>
      </w:pPr>
    </w:p>
    <w:p w14:paraId="75AAE675" w14:textId="77777777" w:rsidR="005A361E"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858179B" w14:textId="77777777" w:rsidR="005A361E" w:rsidRPr="0044524F" w:rsidRDefault="005A361E" w:rsidP="009654CF">
      <w:pPr>
        <w:spacing w:after="0" w:line="240" w:lineRule="auto"/>
        <w:jc w:val="both"/>
        <w:rPr>
          <w:rFonts w:ascii="Times New Roman" w:hAnsi="Times New Roman"/>
          <w:iCs/>
          <w:color w:val="000000" w:themeColor="text1"/>
          <w:sz w:val="16"/>
          <w:szCs w:val="16"/>
        </w:rPr>
      </w:pPr>
    </w:p>
    <w:p w14:paraId="268E6DF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1933 СТО принял постановление N 85сс "Об обеспечении РККА вооружением на год ведения войны и капитальному строительству НКТП" и прекратилось действием мобплана МВ-10 (1566,117).</w:t>
      </w:r>
    </w:p>
    <w:p w14:paraId="411CD88C" w14:textId="77777777" w:rsidR="00B2303C" w:rsidRPr="0044524F" w:rsidRDefault="00B2303C" w:rsidP="009654CF">
      <w:pPr>
        <w:spacing w:after="0" w:line="240" w:lineRule="auto"/>
        <w:jc w:val="both"/>
        <w:rPr>
          <w:rFonts w:ascii="Times New Roman" w:hAnsi="Times New Roman"/>
          <w:color w:val="000000" w:themeColor="text1"/>
          <w:sz w:val="16"/>
          <w:szCs w:val="16"/>
        </w:rPr>
      </w:pPr>
    </w:p>
    <w:p w14:paraId="0AAC4176" w14:textId="77777777" w:rsidR="00B2303C" w:rsidRPr="0044524F" w:rsidRDefault="00B2303C"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1933 г. СТО принял постановление № 85 ее «Об обесспечении РККА вооружением на год ведения войны и капитальному строительству Наркомтяжпрома». Действие мобплана МВ-10, таким образом, было прекращено (1566,117).</w:t>
      </w:r>
    </w:p>
    <w:p w14:paraId="0D58141A" w14:textId="77777777" w:rsidR="00B2303C" w:rsidRPr="0044524F" w:rsidRDefault="00B2303C" w:rsidP="009654CF">
      <w:pPr>
        <w:shd w:val="clear" w:color="auto" w:fill="FFFFFF"/>
        <w:spacing w:after="0" w:line="240" w:lineRule="auto"/>
        <w:jc w:val="both"/>
        <w:rPr>
          <w:rFonts w:ascii="Times New Roman" w:hAnsi="Times New Roman"/>
          <w:color w:val="000000" w:themeColor="text1"/>
          <w:sz w:val="16"/>
          <w:szCs w:val="16"/>
        </w:rPr>
      </w:pPr>
    </w:p>
    <w:p w14:paraId="0707E0D2"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9 сентября 1933 г. вышло постановление СТО за № 85сс «Об обеспечении РККА вооружением на год ведения войны и капитальному строительству НКТП», согласно которому НКТП обязывался:</w:t>
      </w:r>
    </w:p>
    <w:p w14:paraId="544894AE"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 создать мощности и обеспечить подачу в первый год войны, если она начнется в 1934 г., суммарно около 24 500 артсистем, из них около 2800 систем — за первые три месяца войны. ГВМУ НКТП показывает подачу за первый год войны — около 21 800 систем, а за первые три месяца — 2800 систем,</w:t>
      </w:r>
    </w:p>
    <w:p w14:paraId="7F7CC07B"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 создать мощности и обеспечить подачу в первый год войны (1934 г.) 55 500 т отравляющих веществ (ОВ),</w:t>
      </w:r>
    </w:p>
    <w:p w14:paraId="6FF136C0"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 обеспечить подачу в первый год войны, если она начнется в 1934 г., 60 млн. артвыстрелов по типам, калибрам и месяцам согласно заявке НКОбороны,</w:t>
      </w:r>
    </w:p>
    <w:p w14:paraId="13CE5E8F"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 дать мощности и обеспечить подачу в первый год войны, если она начнется в 1934 г., следующее количество танков и бронемашин: танков: Т</w:t>
      </w:r>
      <w:r w:rsidRPr="0044524F">
        <w:rPr>
          <w:color w:val="000000" w:themeColor="text1"/>
          <w:sz w:val="16"/>
          <w:szCs w:val="16"/>
        </w:rPr>
        <w:noBreakHyphen/>
        <w:t>37 — 13 тыс. шт.; Т</w:t>
      </w:r>
      <w:r w:rsidRPr="0044524F">
        <w:rPr>
          <w:color w:val="000000" w:themeColor="text1"/>
          <w:sz w:val="16"/>
          <w:szCs w:val="16"/>
        </w:rPr>
        <w:noBreakHyphen/>
        <w:t>26 — 11 500 шт.; БТ — 4 тыс. шт.; Т</w:t>
      </w:r>
      <w:r w:rsidRPr="0044524F">
        <w:rPr>
          <w:color w:val="000000" w:themeColor="text1"/>
          <w:sz w:val="16"/>
          <w:szCs w:val="16"/>
        </w:rPr>
        <w:noBreakHyphen/>
        <w:t>28 — 200 шт.; Т</w:t>
      </w:r>
      <w:r w:rsidRPr="0044524F">
        <w:rPr>
          <w:color w:val="000000" w:themeColor="text1"/>
          <w:sz w:val="16"/>
          <w:szCs w:val="16"/>
        </w:rPr>
        <w:noBreakHyphen/>
        <w:t>35 — 100 шт. [Итого] — 28 800 шт. Бронемашин: ФАИ — 1070 шт.; БАИ — 870 шт.; БАИД — 30 шт.; ФАИД — 30 шт. [Итого] — 2 тыс. шт.,</w:t>
      </w:r>
    </w:p>
    <w:p w14:paraId="6F0E62B2"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 создать мощности и обеспечить подачу в первый год войны, если она начнется в 1934 г., суммарно 8700 самолетов и около 15 200 моторов. ГВМУ показывает подачу около 8 тыс. самолетов (92%) и около 14 700 моторов (97%) (15320).</w:t>
      </w:r>
    </w:p>
    <w:p w14:paraId="15ED4333" w14:textId="77777777" w:rsidR="00B2303C" w:rsidRPr="0044524F" w:rsidRDefault="00B2303C" w:rsidP="009654CF">
      <w:pPr>
        <w:spacing w:after="0" w:line="240" w:lineRule="auto"/>
        <w:jc w:val="both"/>
        <w:rPr>
          <w:rFonts w:ascii="Times New Roman" w:hAnsi="Times New Roman"/>
          <w:color w:val="000000" w:themeColor="text1"/>
          <w:sz w:val="16"/>
          <w:szCs w:val="16"/>
        </w:rPr>
      </w:pPr>
    </w:p>
    <w:p w14:paraId="4A37AAC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1933 г. Постановление СТО СССР № 85сс/о «Об обеспечении РККА вооружением на год ведения войны и капитальному строительству НКТП»</w:t>
      </w:r>
    </w:p>
    <w:p w14:paraId="54A0924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2F1887C9"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Определить программу подачи НКТП НКВМ основных боеприпасов в следующих размерах по годам:</w:t>
      </w:r>
    </w:p>
    <w:p w14:paraId="5B1DE34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25"/>
        <w:gridCol w:w="2599"/>
        <w:gridCol w:w="2599"/>
        <w:gridCol w:w="2599"/>
      </w:tblGrid>
      <w:tr w:rsidR="004E10C1" w:rsidRPr="0044524F" w14:paraId="38BF676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A478D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4BD122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военный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46EE6B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 военный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503C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 военный год</w:t>
            </w:r>
          </w:p>
        </w:tc>
      </w:tr>
      <w:tr w:rsidR="004E10C1" w:rsidRPr="0044524F" w14:paraId="2BFC766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EDA58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Выстрелы 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4F48CE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CE57B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0" w:type="auto"/>
            <w:tcBorders>
              <w:top w:val="outset" w:sz="6" w:space="0" w:color="auto"/>
              <w:left w:val="outset" w:sz="6" w:space="0" w:color="auto"/>
              <w:bottom w:val="outset" w:sz="6" w:space="0" w:color="auto"/>
              <w:right w:val="outset" w:sz="6" w:space="0" w:color="auto"/>
            </w:tcBorders>
            <w:vAlign w:val="center"/>
            <w:hideMark/>
          </w:tcPr>
          <w:p w14:paraId="1B08644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07F4B74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57092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Винтпатроны в млн.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654A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9D1A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1C9E6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w:t>
            </w:r>
          </w:p>
        </w:tc>
      </w:tr>
      <w:tr w:rsidR="004E10C1" w:rsidRPr="0044524F" w14:paraId="75CB702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26B4C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Аэробомбы в тыс.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29F7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DCA2A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79A6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bl>
    <w:p w14:paraId="189A8959"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(Ведомость распределения порохов, ВВ и калибров снарядов см. табл. 1</w:t>
      </w:r>
      <w:r w:rsidRPr="0044524F">
        <w:rPr>
          <w:color w:val="000000" w:themeColor="text1"/>
          <w:sz w:val="16"/>
          <w:szCs w:val="16"/>
        </w:rPr>
        <w:noBreakHyphen/>
        <w:t>4)¹*.</w:t>
      </w:r>
    </w:p>
    <w:p w14:paraId="7B93EB94"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1. Для обеспечения указанных выше мощностей считать необходимым производство следующих работ: а) на существующих пороховых заводах (№№ 40, 25, 14, 9) к 1 января 1935 г. создать дополнительную мощность в 10 тыс. т порохов путем ликвидации имеющихся на заводах узких мест и этим закончить расширение мощностей на этих заводах; б) закончить и ввести в эксплуатацию в III квартале 1934 г. завод вискозных порохов в Клину мощностью в 7 тыс. т; в) закончить завод нитроглицериновых порохов (завод № 59) мощностью в 5 тыс. т в I квартале 1934 г. и завод нитроглицериновых порохов на Каме мощностью в 5 тыс. т в I квартале 1935 г.; г) закончить строительство селитроугольных довесков на Каме мощностью в 10 тыс. т в I квартале 1934 г. и немедленно приступить к строительству там же завода селитроугольных довесков на 10 тыс. т со сроком окончания в I квартале 1935 г.; д) форсировать строительство Кемеровского порохового завода на мощность 18 тыс. т с окончанием в III квартале 1935 г. и приступить к строительству там же завода селитроугольных довесков на 5 тыс. т с окончанием 1 января 1936 г.; е) немедленно приступить к проектированию двух пороховых заводов на базе нитрошелка мощностью каждый 18 тыс. т с вводом в эксплуатацию одного в IV квартале 1935 г., второго — первой очереди (9 тыс. т) в III квартале 1935 г. и полностью — в III квартале 1936 г.; ж) форсировать строительство Горловского тротилового завода в 16 тыс. т с окончанием во II квартале 1935 г.; з) форсировать строительство Кемеровского тротилового завода в 5 тыс. т с окончанием в III квартале 1935 г.; и) приступить в III квартале с. г. к проектированию тротилового завода в 16 тыс. т при Воскресенском химкомбинате с окончанием в IV квартале 1935 г.; к) форсировать строительство мелинитового завода на Бобриках мощностью 14 тыс. т с окончанием в I квартале 1935 г. и мелинитового завода в Березниках мощностью в 14 тыс. т с окончанием во II квартале 1935 г.; л) приступить к проектированию завода динитронафталина мощностью в 5 тыс. т на базе ассимиляции его с красителями на Дорогомиловском заводе с окончанием во II квартале 1935 г.</w:t>
      </w:r>
    </w:p>
    <w:p w14:paraId="74C17B35"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З.²* Обязать НКВМ и НКТП широко развернуть работы по большему внедрению селитроугольных довесков в структуру заряда для выстрела.</w:t>
      </w:r>
    </w:p>
    <w:p w14:paraId="3DA09691"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4. Обязать НКТП немедленно приступить к проектированию мощностей по капсюлям, обеспечивающим полностью указанные выше боеприпасы по годам.</w:t>
      </w:r>
    </w:p>
    <w:p w14:paraId="54BD0B52"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5. Обязать НКТП закончить полностью ведущееся строительство по снаряжательным заводам в I квартале 1935 г. Для увеличения мощностей по снаряжению в соответствии с указанной выше подачей боеприпасов НКТП в мае 1934 г. заготовить проекты снаряжательных заводов, выбрать по ним точки строительства и разместить заказы на оборудование заводов с тем, чтобы строительство этих заводов велось и было закончено в шестимесячный срок по объявлении войны.</w:t>
      </w:r>
    </w:p>
    <w:p w14:paraId="7368300A"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6. Принять к сведению заявление НКТП, что им будут обеспечены следующие мощности по основному сырью для порохов и взрывчатых веществ:</w:t>
      </w:r>
    </w:p>
    <w:p w14:paraId="7F07D50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00"/>
        <w:gridCol w:w="2024"/>
        <w:gridCol w:w="1250"/>
        <w:gridCol w:w="2024"/>
        <w:gridCol w:w="1250"/>
        <w:gridCol w:w="2024"/>
        <w:gridCol w:w="1250"/>
      </w:tblGrid>
      <w:tr w:rsidR="004E10C1" w:rsidRPr="0044524F" w14:paraId="7035BD2F"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A83A4C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755A4F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BA73BF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9B3C26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 г.</w:t>
            </w:r>
          </w:p>
        </w:tc>
      </w:tr>
      <w:tr w:rsidR="004E10C1" w:rsidRPr="0044524F" w14:paraId="5EC91F64"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8A7B71F"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52914A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на 1 января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91B5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A8A9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на 1 января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E5355E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6E12C4B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на 1 января</w:t>
            </w:r>
          </w:p>
        </w:tc>
        <w:tc>
          <w:tcPr>
            <w:tcW w:w="0" w:type="auto"/>
            <w:tcBorders>
              <w:top w:val="outset" w:sz="6" w:space="0" w:color="auto"/>
              <w:left w:val="outset" w:sz="6" w:space="0" w:color="auto"/>
              <w:bottom w:val="outset" w:sz="6" w:space="0" w:color="auto"/>
              <w:right w:val="outset" w:sz="6" w:space="0" w:color="auto"/>
            </w:tcBorders>
            <w:vAlign w:val="center"/>
            <w:hideMark/>
          </w:tcPr>
          <w:p w14:paraId="6110DBB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Подача за год</w:t>
            </w:r>
          </w:p>
        </w:tc>
      </w:tr>
      <w:tr w:rsidR="004E10C1" w:rsidRPr="0044524F" w14:paraId="5D687FB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C6367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Аммиак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445B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4193C9E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DB4D0B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B8191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w:t>
            </w:r>
          </w:p>
        </w:tc>
        <w:tc>
          <w:tcPr>
            <w:tcW w:w="0" w:type="auto"/>
            <w:tcBorders>
              <w:top w:val="outset" w:sz="6" w:space="0" w:color="auto"/>
              <w:left w:val="outset" w:sz="6" w:space="0" w:color="auto"/>
              <w:bottom w:val="outset" w:sz="6" w:space="0" w:color="auto"/>
              <w:right w:val="outset" w:sz="6" w:space="0" w:color="auto"/>
            </w:tcBorders>
            <w:vAlign w:val="center"/>
            <w:hideMark/>
          </w:tcPr>
          <w:p w14:paraId="3DA7063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6E9E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315</w:t>
            </w:r>
          </w:p>
        </w:tc>
      </w:tr>
      <w:tr w:rsidR="004E10C1" w:rsidRPr="0044524F" w14:paraId="3998555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CF9455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Азотная крепкая</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4C4C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D373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D2D8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84C0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39033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419</w:t>
            </w:r>
          </w:p>
        </w:tc>
        <w:tc>
          <w:tcPr>
            <w:tcW w:w="0" w:type="auto"/>
            <w:tcBorders>
              <w:top w:val="outset" w:sz="6" w:space="0" w:color="auto"/>
              <w:left w:val="outset" w:sz="6" w:space="0" w:color="auto"/>
              <w:bottom w:val="outset" w:sz="6" w:space="0" w:color="auto"/>
              <w:right w:val="outset" w:sz="6" w:space="0" w:color="auto"/>
            </w:tcBorders>
            <w:vAlign w:val="center"/>
            <w:hideMark/>
          </w:tcPr>
          <w:p w14:paraId="6B3DB6B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419</w:t>
            </w:r>
          </w:p>
        </w:tc>
      </w:tr>
      <w:tr w:rsidR="004E10C1" w:rsidRPr="0044524F" w14:paraId="58CBC7A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40FAF6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Амселитра</w:t>
            </w:r>
          </w:p>
        </w:tc>
        <w:tc>
          <w:tcPr>
            <w:tcW w:w="0" w:type="auto"/>
            <w:tcBorders>
              <w:top w:val="outset" w:sz="6" w:space="0" w:color="auto"/>
              <w:left w:val="outset" w:sz="6" w:space="0" w:color="auto"/>
              <w:bottom w:val="outset" w:sz="6" w:space="0" w:color="auto"/>
              <w:right w:val="outset" w:sz="6" w:space="0" w:color="auto"/>
            </w:tcBorders>
            <w:vAlign w:val="center"/>
            <w:hideMark/>
          </w:tcPr>
          <w:p w14:paraId="08C9858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141D8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C9DB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FAD2F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37B252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CBBC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w:t>
            </w:r>
          </w:p>
        </w:tc>
      </w:tr>
      <w:tr w:rsidR="004E10C1" w:rsidRPr="0044524F" w14:paraId="6661DB7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B865F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Олеум</w:t>
            </w:r>
          </w:p>
        </w:tc>
        <w:tc>
          <w:tcPr>
            <w:tcW w:w="0" w:type="auto"/>
            <w:tcBorders>
              <w:top w:val="outset" w:sz="6" w:space="0" w:color="auto"/>
              <w:left w:val="outset" w:sz="6" w:space="0" w:color="auto"/>
              <w:bottom w:val="outset" w:sz="6" w:space="0" w:color="auto"/>
              <w:right w:val="outset" w:sz="6" w:space="0" w:color="auto"/>
            </w:tcBorders>
            <w:vAlign w:val="center"/>
            <w:hideMark/>
          </w:tcPr>
          <w:p w14:paraId="692D2D1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242</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8B71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03882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282</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B018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C59AA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586</w:t>
            </w:r>
          </w:p>
        </w:tc>
        <w:tc>
          <w:tcPr>
            <w:tcW w:w="0" w:type="auto"/>
            <w:tcBorders>
              <w:top w:val="outset" w:sz="6" w:space="0" w:color="auto"/>
              <w:left w:val="outset" w:sz="6" w:space="0" w:color="auto"/>
              <w:bottom w:val="outset" w:sz="6" w:space="0" w:color="auto"/>
              <w:right w:val="outset" w:sz="6" w:space="0" w:color="auto"/>
            </w:tcBorders>
            <w:vAlign w:val="center"/>
            <w:hideMark/>
          </w:tcPr>
          <w:p w14:paraId="5ACC303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586</w:t>
            </w:r>
          </w:p>
        </w:tc>
      </w:tr>
    </w:tbl>
    <w:p w14:paraId="532DFE69"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7. Для обеспечения указанных выше мощностей обязать НКТП: а) окончить во II квартале 1934 г. завод аммиака на 45 тыс. т на Березниках; завод амселитры на мощность 30 тыс. т и крепкой азотной [кислоте] на мощность 90 тыс. т с окончанием в III квартале 1934 г.; б) форсировать строительство Бобриковского химкомбината по аммиаку с окончанием второй очереди в 45 тыс. т в III квартале 1935 г. и третьей очереди мощностью в 30 тыс. т в IV квартале 1935 г., заводы по амселитре на 20 тыс. т и крепкой азотной кислоте мощностью в 90 тыс. т — в IV квартале 1935 г.; в) немедленно приступить к проектированию и строительству аммиачных установок в Каменской и Горловке мощностью по 30 тыс. т каждая с окончанием в III квартале 1935 г.; г) форсировать строительство Магнитогорского азотно-тукового комбината с мощностью по аммиаку на 60 тыс. т с окончанием во II квартале 1936 г.; д) приступить к проектированию и строительству завода аммиака в Лисичанске мощностью на 80 тыс. т аммиака с окончанием в III квартале 1936 г.; е) форсировать строительство Кемеровского тукового комбината с мощностью по аммиаку 30 тыс. т и с мощностями по крепкой азотной кислоте 35 тыс. т и амселитре 35 тыс. т с окончанием в III квартале 1935 г.; ж) форсировать строительство на Рубежной по крепкой азотной кислоте на 6 тыс. т с окончанием в III квартале 1934 г.; з) форсировать строительство завода олеума на заводах №№ 14, 15 и 80 по 16 тыс. т каждый с введением в эксплуатацию по заводу № 14 к 1 января 1935 г., а по заводам №№ 15 и 80 — во II квартале 1935 г.; и) форсировать строительство заводов олеума на Бобриках и Калате по 24 тыс. т каждый с введением в эксплуатацию на Калате в III квартале 1933 г. и в Бобриках — во II квартале 1934 г.; к) приступить к строительству заводов олеума в Горловке на 24 тыс. т, в Кемерово 48 тыс. т с окончанием по Горловке во II квартале 1935 г., а в Кемерово — в III квартале 1935 г.; л) приступить к проектированию и строительству двух заводов олеума с использованием башенных установок мощностью по 100 тыс. т каждый на Воскресенском и Красноуральском химкомбинатах с окончанием во II квартале 1935 г.</w:t>
      </w:r>
    </w:p>
    <w:p w14:paraId="2685DE3C"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8. В результате указанного выше строительства НКТП будут следующие мощности и подача по порохам и взрывчатым веществам:</w:t>
      </w:r>
    </w:p>
    <w:p w14:paraId="78AB605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тыс. тонн]</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79"/>
        <w:gridCol w:w="1129"/>
        <w:gridCol w:w="1452"/>
        <w:gridCol w:w="1129"/>
        <w:gridCol w:w="1452"/>
        <w:gridCol w:w="1129"/>
        <w:gridCol w:w="1452"/>
      </w:tblGrid>
      <w:tr w:rsidR="004E10C1" w:rsidRPr="0044524F" w14:paraId="3B4918B1"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19BBA7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E4CCDA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37B685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05FEE6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 г.</w:t>
            </w:r>
          </w:p>
        </w:tc>
      </w:tr>
      <w:tr w:rsidR="004E10C1" w:rsidRPr="0044524F" w14:paraId="6EDACA2B"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E451823"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BBBEEC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33C3154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E14940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053D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E5EB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6C25527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Подача за год</w:t>
            </w:r>
          </w:p>
        </w:tc>
      </w:tr>
      <w:tr w:rsidR="004E10C1" w:rsidRPr="0044524F" w14:paraId="220A970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A8AD38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Порох и селитроугольные довески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197E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w:t>
            </w:r>
          </w:p>
        </w:tc>
        <w:tc>
          <w:tcPr>
            <w:tcW w:w="0" w:type="auto"/>
            <w:tcBorders>
              <w:top w:val="outset" w:sz="6" w:space="0" w:color="auto"/>
              <w:left w:val="outset" w:sz="6" w:space="0" w:color="auto"/>
              <w:bottom w:val="outset" w:sz="6" w:space="0" w:color="auto"/>
              <w:right w:val="outset" w:sz="6" w:space="0" w:color="auto"/>
            </w:tcBorders>
            <w:vAlign w:val="center"/>
            <w:hideMark/>
          </w:tcPr>
          <w:p w14:paraId="5B8DDCD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5FC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14:paraId="7B8E15A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93,5</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2CF1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F6A3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133,5</w:t>
            </w:r>
          </w:p>
        </w:tc>
      </w:tr>
      <w:tr w:rsidR="004E10C1" w:rsidRPr="0044524F" w14:paraId="31AC1B6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5183C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Взрыввещества с амселитрой</w:t>
            </w:r>
          </w:p>
        </w:tc>
        <w:tc>
          <w:tcPr>
            <w:tcW w:w="0" w:type="auto"/>
            <w:tcBorders>
              <w:top w:val="outset" w:sz="6" w:space="0" w:color="auto"/>
              <w:left w:val="outset" w:sz="6" w:space="0" w:color="auto"/>
              <w:bottom w:val="outset" w:sz="6" w:space="0" w:color="auto"/>
              <w:right w:val="outset" w:sz="6" w:space="0" w:color="auto"/>
            </w:tcBorders>
            <w:vAlign w:val="center"/>
            <w:hideMark/>
          </w:tcPr>
          <w:p w14:paraId="51380EC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CB53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177,8</w:t>
            </w:r>
          </w:p>
        </w:tc>
        <w:tc>
          <w:tcPr>
            <w:tcW w:w="0" w:type="auto"/>
            <w:tcBorders>
              <w:top w:val="outset" w:sz="6" w:space="0" w:color="auto"/>
              <w:left w:val="outset" w:sz="6" w:space="0" w:color="auto"/>
              <w:bottom w:val="outset" w:sz="6" w:space="0" w:color="auto"/>
              <w:right w:val="outset" w:sz="6" w:space="0" w:color="auto"/>
            </w:tcBorders>
            <w:vAlign w:val="center"/>
            <w:hideMark/>
          </w:tcPr>
          <w:p w14:paraId="0CE0407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340,1</w:t>
            </w:r>
          </w:p>
        </w:tc>
        <w:tc>
          <w:tcPr>
            <w:tcW w:w="0" w:type="auto"/>
            <w:tcBorders>
              <w:top w:val="outset" w:sz="6" w:space="0" w:color="auto"/>
              <w:left w:val="outset" w:sz="6" w:space="0" w:color="auto"/>
              <w:bottom w:val="outset" w:sz="6" w:space="0" w:color="auto"/>
              <w:right w:val="outset" w:sz="6" w:space="0" w:color="auto"/>
            </w:tcBorders>
            <w:vAlign w:val="center"/>
            <w:hideMark/>
          </w:tcPr>
          <w:p w14:paraId="1216E90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268,3</w:t>
            </w:r>
          </w:p>
        </w:tc>
        <w:tc>
          <w:tcPr>
            <w:tcW w:w="0" w:type="auto"/>
            <w:tcBorders>
              <w:top w:val="outset" w:sz="6" w:space="0" w:color="auto"/>
              <w:left w:val="outset" w:sz="6" w:space="0" w:color="auto"/>
              <w:bottom w:val="outset" w:sz="6" w:space="0" w:color="auto"/>
              <w:right w:val="outset" w:sz="6" w:space="0" w:color="auto"/>
            </w:tcBorders>
            <w:vAlign w:val="center"/>
            <w:hideMark/>
          </w:tcPr>
          <w:p w14:paraId="13F6A7C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356</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F6F4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344,3</w:t>
            </w:r>
          </w:p>
        </w:tc>
      </w:tr>
    </w:tbl>
    <w:p w14:paraId="32A3415D"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Ведомость мощностей и выпуска порохов и В В — см. приложение, табл 1937 вышел приказ НКОП № 1</w:t>
      </w:r>
      <w:r w:rsidRPr="0044524F">
        <w:rPr>
          <w:color w:val="000000" w:themeColor="text1"/>
          <w:sz w:val="16"/>
          <w:szCs w:val="16"/>
        </w:rPr>
        <w:noBreakHyphen/>
        <w:t>3.</w:t>
      </w:r>
    </w:p>
    <w:p w14:paraId="3C0F608E"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9. Принять к сведению заявление НКВМ, что на 1934 военный год из запасов ГАУ может быть отпущено на комплектацию выстрелов 10 тыс. т порохов.</w:t>
      </w:r>
    </w:p>
    <w:p w14:paraId="34F80446"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10. НКТП в 1934 г. изготовить 15 тыс. т порохов и 6 тыс. т тротила в запас НКВМ.</w:t>
      </w:r>
    </w:p>
    <w:p w14:paraId="29C8BF5B"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11. Определить НКТП программу по подаче ОВ, ДВ и дегазаторам: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47"/>
        <w:gridCol w:w="1426"/>
        <w:gridCol w:w="1833"/>
        <w:gridCol w:w="1425"/>
        <w:gridCol w:w="1833"/>
        <w:gridCol w:w="1425"/>
        <w:gridCol w:w="1833"/>
      </w:tblGrid>
      <w:tr w:rsidR="004E10C1" w:rsidRPr="0044524F" w14:paraId="37E941C3"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561DC4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64D526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F604BB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 г.</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6C45415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 г.</w:t>
            </w:r>
          </w:p>
        </w:tc>
      </w:tr>
      <w:tr w:rsidR="004E10C1" w:rsidRPr="0044524F" w14:paraId="0C915772"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A8C9981"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4EE99E2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736582D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1859DDF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5B88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Подача за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52A504C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5628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Подача за год</w:t>
            </w:r>
          </w:p>
        </w:tc>
      </w:tr>
      <w:tr w:rsidR="004E10C1" w:rsidRPr="0044524F" w14:paraId="62EFB9D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ED45CB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3F4FFE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56,48</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A996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55,48</w:t>
            </w:r>
          </w:p>
        </w:tc>
        <w:tc>
          <w:tcPr>
            <w:tcW w:w="0" w:type="auto"/>
            <w:tcBorders>
              <w:top w:val="outset" w:sz="6" w:space="0" w:color="auto"/>
              <w:left w:val="outset" w:sz="6" w:space="0" w:color="auto"/>
              <w:bottom w:val="outset" w:sz="6" w:space="0" w:color="auto"/>
              <w:right w:val="outset" w:sz="6" w:space="0" w:color="auto"/>
            </w:tcBorders>
            <w:vAlign w:val="center"/>
            <w:hideMark/>
          </w:tcPr>
          <w:p w14:paraId="46AB3BA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105,85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1CB44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87,95</w:t>
            </w:r>
          </w:p>
        </w:tc>
        <w:tc>
          <w:tcPr>
            <w:tcW w:w="0" w:type="auto"/>
            <w:tcBorders>
              <w:top w:val="outset" w:sz="6" w:space="0" w:color="auto"/>
              <w:left w:val="outset" w:sz="6" w:space="0" w:color="auto"/>
              <w:bottom w:val="outset" w:sz="6" w:space="0" w:color="auto"/>
              <w:right w:val="outset" w:sz="6" w:space="0" w:color="auto"/>
            </w:tcBorders>
            <w:vAlign w:val="center"/>
            <w:hideMark/>
          </w:tcPr>
          <w:p w14:paraId="123D31F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107,35</w:t>
            </w:r>
          </w:p>
        </w:tc>
        <w:tc>
          <w:tcPr>
            <w:tcW w:w="0" w:type="auto"/>
            <w:tcBorders>
              <w:top w:val="outset" w:sz="6" w:space="0" w:color="auto"/>
              <w:left w:val="outset" w:sz="6" w:space="0" w:color="auto"/>
              <w:bottom w:val="outset" w:sz="6" w:space="0" w:color="auto"/>
              <w:right w:val="outset" w:sz="6" w:space="0" w:color="auto"/>
            </w:tcBorders>
            <w:vAlign w:val="center"/>
            <w:hideMark/>
          </w:tcPr>
          <w:p w14:paraId="50B24AE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107,35</w:t>
            </w:r>
          </w:p>
        </w:tc>
      </w:tr>
      <w:tr w:rsidR="004E10C1" w:rsidRPr="0044524F" w14:paraId="1C3F019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BA0D2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 (тыс. 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9968D8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BFFBB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w:t>
            </w:r>
          </w:p>
        </w:tc>
        <w:tc>
          <w:tcPr>
            <w:tcW w:w="0" w:type="auto"/>
            <w:tcBorders>
              <w:top w:val="outset" w:sz="6" w:space="0" w:color="auto"/>
              <w:left w:val="outset" w:sz="6" w:space="0" w:color="auto"/>
              <w:bottom w:val="outset" w:sz="6" w:space="0" w:color="auto"/>
              <w:right w:val="outset" w:sz="6" w:space="0" w:color="auto"/>
            </w:tcBorders>
            <w:vAlign w:val="center"/>
            <w:hideMark/>
          </w:tcPr>
          <w:p w14:paraId="232756C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w:t>
            </w:r>
          </w:p>
        </w:tc>
        <w:tc>
          <w:tcPr>
            <w:tcW w:w="0" w:type="auto"/>
            <w:tcBorders>
              <w:top w:val="outset" w:sz="6" w:space="0" w:color="auto"/>
              <w:left w:val="outset" w:sz="6" w:space="0" w:color="auto"/>
              <w:bottom w:val="outset" w:sz="6" w:space="0" w:color="auto"/>
              <w:right w:val="outset" w:sz="6" w:space="0" w:color="auto"/>
            </w:tcBorders>
            <w:vAlign w:val="center"/>
            <w:hideMark/>
          </w:tcPr>
          <w:p w14:paraId="37398B0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45,8</w:t>
            </w:r>
          </w:p>
        </w:tc>
        <w:tc>
          <w:tcPr>
            <w:tcW w:w="0" w:type="auto"/>
            <w:tcBorders>
              <w:top w:val="outset" w:sz="6" w:space="0" w:color="auto"/>
              <w:left w:val="outset" w:sz="6" w:space="0" w:color="auto"/>
              <w:bottom w:val="outset" w:sz="6" w:space="0" w:color="auto"/>
              <w:right w:val="outset" w:sz="6" w:space="0" w:color="auto"/>
            </w:tcBorders>
            <w:vAlign w:val="center"/>
            <w:hideMark/>
          </w:tcPr>
          <w:p w14:paraId="3596765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478ED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w:t>
            </w:r>
          </w:p>
        </w:tc>
      </w:tr>
      <w:tr w:rsidR="004E10C1" w:rsidRPr="0044524F" w14:paraId="2FDDA03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82D5FB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Дегазаторы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3FBCCE9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91,1</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F112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81,3</w:t>
            </w:r>
          </w:p>
        </w:tc>
        <w:tc>
          <w:tcPr>
            <w:tcW w:w="0" w:type="auto"/>
            <w:tcBorders>
              <w:top w:val="outset" w:sz="6" w:space="0" w:color="auto"/>
              <w:left w:val="outset" w:sz="6" w:space="0" w:color="auto"/>
              <w:bottom w:val="outset" w:sz="6" w:space="0" w:color="auto"/>
              <w:right w:val="outset" w:sz="6" w:space="0" w:color="auto"/>
            </w:tcBorders>
            <w:vAlign w:val="center"/>
            <w:hideMark/>
          </w:tcPr>
          <w:p w14:paraId="7953221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FF3C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46B82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153,9</w:t>
            </w:r>
          </w:p>
        </w:tc>
        <w:tc>
          <w:tcPr>
            <w:tcW w:w="0" w:type="auto"/>
            <w:tcBorders>
              <w:top w:val="outset" w:sz="6" w:space="0" w:color="auto"/>
              <w:left w:val="outset" w:sz="6" w:space="0" w:color="auto"/>
              <w:bottom w:val="outset" w:sz="6" w:space="0" w:color="auto"/>
              <w:right w:val="outset" w:sz="6" w:space="0" w:color="auto"/>
            </w:tcBorders>
            <w:vAlign w:val="center"/>
            <w:hideMark/>
          </w:tcPr>
          <w:p w14:paraId="1F12D0B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153,9</w:t>
            </w:r>
          </w:p>
        </w:tc>
      </w:tr>
    </w:tbl>
    <w:p w14:paraId="645876D5"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 xml:space="preserve">12. Для обеспечения указанных выше мощностей обязать НКТП: а) форсировать строительство по Горьковскому заводу по хлору на 20 тыс. т и ОВ на 16 тыс. т с окончанием во II квартале 1935 г.; б) приступить к проектированию и строительству завода в Восточной Сибири на мощность по хлору 10 тыс. т, ОВ — 9 тыс. т и дегазаторам — 18 тыс. т со сроком окончания в III квартале 1935 г.; в) приступить к строительству хлорного завода в Кемерово на мощность 10 тыс. т, ОВ — 9 тыс. т </w:t>
      </w:r>
      <w:r w:rsidRPr="0044524F">
        <w:rPr>
          <w:color w:val="000000" w:themeColor="text1"/>
          <w:sz w:val="16"/>
          <w:szCs w:val="16"/>
        </w:rPr>
        <w:lastRenderedPageBreak/>
        <w:t>и дегазатор — 20 тыс. т с окончанием в III квартале 1935 г.; г) приступить к дополнительному строительству хлора на «Славсоде» на мощность 20 тыс. т, завода дифосгена на мощность 1,5 тыс. т и завода иприта на 9 тыс. т с окончанием во II квартале 1935 г.; д) приступить к строительству на Урале завода жидкого дегазатора на мощность 10 тыс. т со сроком окончания в I квартале 1935 г.; е) форсировать строительство завода синильной кислоты в Свердловске на мощность 1,5 тыс. т с окончанием в I квартале 1936 г. и приступить к строительству завода синильной кислоты на Воскресенском химкомбинате мощностью в 1 тыс. т с вводом в эксплуатацию в I квартале 1935 г.; ж) приступить к строительству завода адамсита на 3 тыс. т на Березниках со сроком окончания в III квартале 1935 г.; з) закончить строительство заводов по ДВ: на Константиновке и «Кр[асном] химике» по 7 тыс. т каждый с вводом в эксплуатацию Константиновского — в I квартале 1934 г. и «Кр[асного] химика» — в III квартале 1934 г.; и) приступить к строительству завода ДВ мощностью на 14 тыс. т каждый в Красноуральске и Калате со сроком окончания во II квартале 1935 г.; к) приступить к строительству завода фосфора в Перми на мощность 3 тыс. т с вводом в эксплуатацию в III квартале 1935 г.; л) приступить к постройке опытных заводов по люизиту и четыреххлористому кремнию с окончанием не позднее II квартала 1935 г.; м) обязать НКТП обеспечить соответствующее развертывание сырьевой базы для ОВ, ДВ (дымшашек) в части мышьяка, серы, берсоли, пропилового спирта с учетом и других нужд народного хозяйства; н) определить затраты по ОВ, ДВ и дегазаторам в размере 245,25 млн. руб. (с учетом и соответствующего развертывания сырьевой базы для них.</w:t>
      </w:r>
    </w:p>
    <w:p w14:paraId="30D3B833"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13. Ассигновать для проведения строительства и обеспечения указанной выше программы 1374,15 млн. руб., из коих выделить дополнительно на 1933 г. 90 млн. руб. (III квартал — 40 млн. руб. и IV квартал — 50 млн. руб.), в 1934 г. выделить 710 млн. руб., в 1935 г. 470 млн. руб., 1936 г. 104,15 млн. руб.</w:t>
      </w:r>
    </w:p>
    <w:p w14:paraId="454E48C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Авиация</w:t>
      </w:r>
    </w:p>
    <w:p w14:paraId="674BDD3A"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1. Утвердить объем выпуска продукции в военное время на 1934, 1935 и 1936 г. в следующих количествах:</w:t>
      </w:r>
    </w:p>
    <w:p w14:paraId="6472E477" w14:textId="77777777" w:rsidR="00B2303C" w:rsidRPr="0044524F" w:rsidRDefault="00B2303C" w:rsidP="009654CF">
      <w:pPr>
        <w:pStyle w:val="ae"/>
        <w:spacing w:before="0" w:after="0"/>
        <w:jc w:val="both"/>
        <w:rPr>
          <w:color w:val="000000" w:themeColor="text1"/>
          <w:sz w:val="16"/>
          <w:szCs w:val="16"/>
        </w:rPr>
      </w:pPr>
      <w:r w:rsidRPr="0044524F">
        <w:rPr>
          <w:rStyle w:val="a7"/>
          <w:rFonts w:eastAsiaTheme="majorEastAsia"/>
          <w:b w:val="0"/>
          <w:color w:val="000000" w:themeColor="text1"/>
          <w:sz w:val="16"/>
          <w:szCs w:val="16"/>
        </w:rPr>
        <w:t>Выпуск самолетов за год войны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22"/>
        <w:gridCol w:w="3479"/>
        <w:gridCol w:w="1807"/>
        <w:gridCol w:w="1807"/>
        <w:gridCol w:w="1807"/>
      </w:tblGrid>
      <w:tr w:rsidR="004E10C1" w:rsidRPr="0044524F" w14:paraId="4C2DEC2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B3A6B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05DA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FE5A3F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7CFFB7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0EF020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 г.</w:t>
            </w:r>
          </w:p>
        </w:tc>
      </w:tr>
      <w:tr w:rsidR="004E10C1" w:rsidRPr="0044524F" w14:paraId="68420347"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C8BE8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w:t>
            </w:r>
          </w:p>
        </w:tc>
      </w:tr>
      <w:tr w:rsidR="004E10C1" w:rsidRPr="0044524F" w14:paraId="2D00D7A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784AA8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478E36C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35D7A22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42DF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147CB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3200</w:t>
            </w:r>
          </w:p>
        </w:tc>
      </w:tr>
      <w:tr w:rsidR="004E10C1" w:rsidRPr="0044524F" w14:paraId="6E8B8AD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5E592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028FA7E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5C2833B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59AB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1CA8F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0EE5F82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A5B066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1112115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w:t>
            </w:r>
          </w:p>
        </w:tc>
        <w:tc>
          <w:tcPr>
            <w:tcW w:w="0" w:type="auto"/>
            <w:tcBorders>
              <w:top w:val="outset" w:sz="6" w:space="0" w:color="auto"/>
              <w:left w:val="outset" w:sz="6" w:space="0" w:color="auto"/>
              <w:bottom w:val="outset" w:sz="6" w:space="0" w:color="auto"/>
              <w:right w:val="outset" w:sz="6" w:space="0" w:color="auto"/>
            </w:tcBorders>
            <w:vAlign w:val="center"/>
            <w:hideMark/>
          </w:tcPr>
          <w:p w14:paraId="7D2EE6D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5A38C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40AAD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r>
      <w:tr w:rsidR="004E10C1" w:rsidRPr="0044524F" w14:paraId="7C8ED5D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76ED7E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25D6E9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78C9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8A380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93577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r>
      <w:tr w:rsidR="004E10C1" w:rsidRPr="0044524F" w14:paraId="6CD772A9"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0EAF0EC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Бомбардировщики</w:t>
            </w:r>
          </w:p>
        </w:tc>
      </w:tr>
      <w:tr w:rsidR="004E10C1" w:rsidRPr="0044524F" w14:paraId="066BB835"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056B35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A9A1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326773B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F5F9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93067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tc>
      </w:tr>
      <w:tr w:rsidR="004E10C1" w:rsidRPr="0044524F" w14:paraId="19BF433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D868CD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DD5E7C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A794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7AFEB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38AAA9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39E4D1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825F1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79869B1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9BCB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9AB3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B97A8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r>
      <w:tr w:rsidR="004E10C1" w:rsidRPr="0044524F" w14:paraId="116A7F3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00EA4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7E3E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0084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29D44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C1446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1400</w:t>
            </w:r>
          </w:p>
        </w:tc>
      </w:tr>
      <w:tr w:rsidR="004E10C1" w:rsidRPr="0044524F" w14:paraId="6E6E0EB1"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9DFE6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7135699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292139A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AE57B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681EB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r>
      <w:tr w:rsidR="004E10C1" w:rsidRPr="0044524F" w14:paraId="738F5E3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F36847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39841C3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1C3AA40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0B254D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6C8DF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r>
      <w:tr w:rsidR="004E10C1" w:rsidRPr="0044524F" w14:paraId="77BC1EE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E1DB51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34B87F2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F1FE0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2AB926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B1D8D2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r>
      <w:tr w:rsidR="004E10C1" w:rsidRPr="0044524F" w14:paraId="70B9854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FA5DB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DE8CD6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71DBA0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2020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7723F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7ABB13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3730</w:t>
            </w:r>
          </w:p>
        </w:tc>
      </w:tr>
      <w:tr w:rsidR="004E10C1" w:rsidRPr="0044524F" w14:paraId="50CEDFFC"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183BFFB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Истребители</w:t>
            </w:r>
          </w:p>
        </w:tc>
      </w:tr>
      <w:tr w:rsidR="004E10C1" w:rsidRPr="0044524F" w14:paraId="2BF26DB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B7396B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C69F85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835B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0E14B6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158DE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4D41F0B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684DF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0" w:type="auto"/>
            <w:tcBorders>
              <w:top w:val="outset" w:sz="6" w:space="0" w:color="auto"/>
              <w:left w:val="outset" w:sz="6" w:space="0" w:color="auto"/>
              <w:bottom w:val="outset" w:sz="6" w:space="0" w:color="auto"/>
              <w:right w:val="outset" w:sz="6" w:space="0" w:color="auto"/>
            </w:tcBorders>
            <w:vAlign w:val="center"/>
            <w:hideMark/>
          </w:tcPr>
          <w:p w14:paraId="5284BF7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0" w:type="auto"/>
            <w:tcBorders>
              <w:top w:val="outset" w:sz="6" w:space="0" w:color="auto"/>
              <w:left w:val="outset" w:sz="6" w:space="0" w:color="auto"/>
              <w:bottom w:val="outset" w:sz="6" w:space="0" w:color="auto"/>
              <w:right w:val="outset" w:sz="6" w:space="0" w:color="auto"/>
            </w:tcBorders>
            <w:vAlign w:val="center"/>
            <w:hideMark/>
          </w:tcPr>
          <w:p w14:paraId="49B15EC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348D63B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F3632A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7B0A33E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BD1B6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72D07C8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73A7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9AA9D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72894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3600</w:t>
            </w:r>
          </w:p>
        </w:tc>
      </w:tr>
      <w:tr w:rsidR="004E10C1" w:rsidRPr="0044524F" w14:paraId="1A4DAA0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175F21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4D5602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8D6A56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2460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94A6E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3CC3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515899D4" w14:textId="77777777" w:rsidTr="00CF276A">
        <w:trPr>
          <w:tblCellSpacing w:w="0" w:type="dxa"/>
        </w:trPr>
        <w:tc>
          <w:tcPr>
            <w:tcW w:w="0" w:type="auto"/>
            <w:gridSpan w:val="5"/>
            <w:tcBorders>
              <w:top w:val="outset" w:sz="6" w:space="0" w:color="auto"/>
              <w:left w:val="outset" w:sz="6" w:space="0" w:color="auto"/>
              <w:bottom w:val="outset" w:sz="6" w:space="0" w:color="auto"/>
              <w:right w:val="outset" w:sz="6" w:space="0" w:color="auto"/>
            </w:tcBorders>
            <w:vAlign w:val="center"/>
            <w:hideMark/>
          </w:tcPr>
          <w:p w14:paraId="30809EC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Учебные</w:t>
            </w:r>
          </w:p>
        </w:tc>
      </w:tr>
      <w:tr w:rsidR="004E10C1" w:rsidRPr="0044524F" w14:paraId="639DC54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F1229D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06DAFB9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0" w:type="auto"/>
            <w:tcBorders>
              <w:top w:val="outset" w:sz="6" w:space="0" w:color="auto"/>
              <w:left w:val="outset" w:sz="6" w:space="0" w:color="auto"/>
              <w:bottom w:val="outset" w:sz="6" w:space="0" w:color="auto"/>
              <w:right w:val="outset" w:sz="6" w:space="0" w:color="auto"/>
            </w:tcBorders>
            <w:vAlign w:val="center"/>
            <w:hideMark/>
          </w:tcPr>
          <w:p w14:paraId="19F1857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9A5BB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BD060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r>
      <w:tr w:rsidR="004E10C1" w:rsidRPr="0044524F" w14:paraId="5803D27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6A673F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2ABA7FA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FC0E03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8730</w:t>
            </w:r>
          </w:p>
        </w:tc>
        <w:tc>
          <w:tcPr>
            <w:tcW w:w="0" w:type="auto"/>
            <w:tcBorders>
              <w:top w:val="outset" w:sz="6" w:space="0" w:color="auto"/>
              <w:left w:val="outset" w:sz="6" w:space="0" w:color="auto"/>
              <w:bottom w:val="outset" w:sz="6" w:space="0" w:color="auto"/>
              <w:right w:val="outset" w:sz="6" w:space="0" w:color="auto"/>
            </w:tcBorders>
            <w:vAlign w:val="center"/>
            <w:hideMark/>
          </w:tcPr>
          <w:p w14:paraId="3567A6E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7AD9D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14 330</w:t>
            </w:r>
          </w:p>
        </w:tc>
      </w:tr>
    </w:tbl>
    <w:p w14:paraId="25AEE6E5" w14:textId="77777777" w:rsidR="00B2303C" w:rsidRPr="0044524F" w:rsidRDefault="00B2303C" w:rsidP="009654CF">
      <w:pPr>
        <w:pStyle w:val="ae"/>
        <w:spacing w:before="0" w:after="0"/>
        <w:jc w:val="both"/>
        <w:rPr>
          <w:color w:val="000000" w:themeColor="text1"/>
          <w:sz w:val="16"/>
          <w:szCs w:val="16"/>
        </w:rPr>
      </w:pPr>
      <w:r w:rsidRPr="0044524F">
        <w:rPr>
          <w:rStyle w:val="a7"/>
          <w:rFonts w:eastAsiaTheme="majorEastAsia"/>
          <w:b w:val="0"/>
          <w:color w:val="000000" w:themeColor="text1"/>
          <w:sz w:val="16"/>
          <w:szCs w:val="16"/>
        </w:rPr>
        <w:t>Выпуск моторов за год войны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40"/>
        <w:gridCol w:w="1706"/>
        <w:gridCol w:w="2290"/>
        <w:gridCol w:w="2193"/>
        <w:gridCol w:w="2193"/>
      </w:tblGrid>
      <w:tr w:rsidR="004E10C1" w:rsidRPr="0044524F" w14:paraId="75CF7C5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1DC9EB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47C246F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w:t>
            </w:r>
          </w:p>
        </w:tc>
        <w:tc>
          <w:tcPr>
            <w:tcW w:w="0" w:type="auto"/>
            <w:tcBorders>
              <w:top w:val="outset" w:sz="6" w:space="0" w:color="auto"/>
              <w:left w:val="outset" w:sz="6" w:space="0" w:color="auto"/>
              <w:bottom w:val="outset" w:sz="6" w:space="0" w:color="auto"/>
              <w:right w:val="outset" w:sz="6" w:space="0" w:color="auto"/>
            </w:tcBorders>
            <w:vAlign w:val="center"/>
            <w:hideMark/>
          </w:tcPr>
          <w:p w14:paraId="03298C8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1219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2724BB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 г.</w:t>
            </w:r>
          </w:p>
        </w:tc>
      </w:tr>
      <w:tr w:rsidR="004E10C1" w:rsidRPr="0044524F" w14:paraId="2CCF983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E17BF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6C5E387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8A60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1F696B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FFBBA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10 000</w:t>
            </w:r>
          </w:p>
        </w:tc>
      </w:tr>
      <w:tr w:rsidR="004E10C1" w:rsidRPr="0044524F" w14:paraId="0155897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10456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1244950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6285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3 700³*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2916D35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BB7B2D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11 200</w:t>
            </w:r>
          </w:p>
        </w:tc>
      </w:tr>
      <w:tr w:rsidR="004E10C1" w:rsidRPr="0044524F" w14:paraId="53D4332C"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87C1F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782A21B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035C32C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142F3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63482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4 400</w:t>
            </w:r>
          </w:p>
        </w:tc>
      </w:tr>
      <w:tr w:rsidR="004E10C1" w:rsidRPr="0044524F" w14:paraId="4CC6668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EBC0D8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5F5EE4A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5675DB5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D67B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F89C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1 200</w:t>
            </w:r>
          </w:p>
        </w:tc>
      </w:tr>
      <w:tr w:rsidR="004E10C1" w:rsidRPr="0044524F" w14:paraId="5E157AE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258067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35FD9AC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11</w:t>
            </w:r>
          </w:p>
        </w:tc>
        <w:tc>
          <w:tcPr>
            <w:tcW w:w="0" w:type="auto"/>
            <w:tcBorders>
              <w:top w:val="outset" w:sz="6" w:space="0" w:color="auto"/>
              <w:left w:val="outset" w:sz="6" w:space="0" w:color="auto"/>
              <w:bottom w:val="outset" w:sz="6" w:space="0" w:color="auto"/>
              <w:right w:val="outset" w:sz="6" w:space="0" w:color="auto"/>
            </w:tcBorders>
            <w:vAlign w:val="center"/>
            <w:hideMark/>
          </w:tcPr>
          <w:p w14:paraId="5D2805D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749D0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9484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2 400</w:t>
            </w:r>
          </w:p>
        </w:tc>
      </w:tr>
      <w:tr w:rsidR="004E10C1" w:rsidRPr="0044524F" w14:paraId="0A32CDA8"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9186D2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008F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D05EF7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7C1418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22 350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FB13C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29 200</w:t>
            </w:r>
          </w:p>
        </w:tc>
      </w:tr>
    </w:tbl>
    <w:p w14:paraId="5A084C05" w14:textId="77777777" w:rsidR="00B2303C" w:rsidRPr="0044524F" w:rsidRDefault="00B2303C" w:rsidP="009654CF">
      <w:pPr>
        <w:pStyle w:val="ae"/>
        <w:spacing w:before="0" w:after="0"/>
        <w:jc w:val="both"/>
        <w:rPr>
          <w:color w:val="000000" w:themeColor="text1"/>
          <w:sz w:val="16"/>
          <w:szCs w:val="16"/>
        </w:rPr>
      </w:pPr>
      <w:r w:rsidRPr="0044524F">
        <w:rPr>
          <w:rStyle w:val="a7"/>
          <w:rFonts w:eastAsiaTheme="majorEastAsia"/>
          <w:b w:val="0"/>
          <w:color w:val="000000" w:themeColor="text1"/>
          <w:sz w:val="16"/>
          <w:szCs w:val="16"/>
        </w:rPr>
        <w:t>В случае замены типов:</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25"/>
        <w:gridCol w:w="1571"/>
        <w:gridCol w:w="1913"/>
        <w:gridCol w:w="1913"/>
      </w:tblGrid>
      <w:tr w:rsidR="004E10C1" w:rsidRPr="0044524F" w14:paraId="49473F32"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0B59392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Уменьшение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8F3599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AC226A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51416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7 000</w:t>
            </w:r>
          </w:p>
        </w:tc>
      </w:tr>
      <w:tr w:rsidR="004E10C1" w:rsidRPr="0044524F" w14:paraId="475D80CA"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D504A4A"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C3ECCA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303DFF5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A13F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2 800</w:t>
            </w:r>
          </w:p>
        </w:tc>
      </w:tr>
      <w:tr w:rsidR="004E10C1" w:rsidRPr="0044524F" w14:paraId="2745AD39"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22A1D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0A7BAD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DB81FC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A8D6C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1 000</w:t>
            </w:r>
          </w:p>
        </w:tc>
      </w:tr>
      <w:tr w:rsidR="004E10C1" w:rsidRPr="0044524F" w14:paraId="3536230E"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7133E5F"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84C941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КК</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AC89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4E419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2 200</w:t>
            </w:r>
          </w:p>
        </w:tc>
      </w:tr>
      <w:tr w:rsidR="004E10C1" w:rsidRPr="0044524F" w14:paraId="0384624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8EB9F9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будет моторов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2560C9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A2EDC0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BC794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15 750</w:t>
            </w:r>
          </w:p>
        </w:tc>
      </w:tr>
    </w:tbl>
    <w:p w14:paraId="08BAB8A0"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2. Утвердить пятилетний план развития мощностей по самолетостроению в следующих количествах:</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8"/>
        <w:gridCol w:w="1925"/>
        <w:gridCol w:w="1267"/>
        <w:gridCol w:w="1349"/>
        <w:gridCol w:w="1349"/>
        <w:gridCol w:w="1349"/>
        <w:gridCol w:w="1486"/>
        <w:gridCol w:w="1349"/>
      </w:tblGrid>
      <w:tr w:rsidR="004E10C1" w:rsidRPr="0044524F" w14:paraId="4870906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E49978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684637B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8D400B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Расчетный</w:t>
            </w:r>
          </w:p>
          <w:p w14:paraId="282CE7F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DCAD28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w:t>
            </w:r>
          </w:p>
          <w:p w14:paraId="48FA836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90709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w:t>
            </w:r>
          </w:p>
          <w:p w14:paraId="393B5C9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55B041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w:t>
            </w:r>
          </w:p>
          <w:p w14:paraId="7FB9936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D59434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w:t>
            </w:r>
          </w:p>
          <w:p w14:paraId="347667F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D80180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w:t>
            </w:r>
          </w:p>
          <w:p w14:paraId="7627549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E5ACC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w:t>
            </w:r>
          </w:p>
          <w:p w14:paraId="4F21381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1938 г.</w:t>
            </w:r>
          </w:p>
        </w:tc>
      </w:tr>
      <w:tr w:rsidR="004E10C1" w:rsidRPr="0044524F" w14:paraId="761CCA99"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215FDFE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 легкие бомбовозы, штурмовики</w:t>
            </w:r>
          </w:p>
        </w:tc>
      </w:tr>
      <w:tr w:rsidR="004E10C1" w:rsidRPr="0044524F" w14:paraId="718DD672"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995463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7EB2B45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28BC848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6229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DAB18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6D8A53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46F26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EB8A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3F6AECA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968CB1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0" w:type="auto"/>
            <w:tcBorders>
              <w:top w:val="outset" w:sz="6" w:space="0" w:color="auto"/>
              <w:left w:val="outset" w:sz="6" w:space="0" w:color="auto"/>
              <w:bottom w:val="outset" w:sz="6" w:space="0" w:color="auto"/>
              <w:right w:val="outset" w:sz="6" w:space="0" w:color="auto"/>
            </w:tcBorders>
            <w:vAlign w:val="center"/>
            <w:hideMark/>
          </w:tcPr>
          <w:p w14:paraId="744374E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0" w:type="auto"/>
            <w:tcBorders>
              <w:top w:val="outset" w:sz="6" w:space="0" w:color="auto"/>
              <w:left w:val="outset" w:sz="6" w:space="0" w:color="auto"/>
              <w:bottom w:val="outset" w:sz="6" w:space="0" w:color="auto"/>
              <w:right w:val="outset" w:sz="6" w:space="0" w:color="auto"/>
            </w:tcBorders>
            <w:vAlign w:val="center"/>
            <w:hideMark/>
          </w:tcPr>
          <w:p w14:paraId="5AE8124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411807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7A0CD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4AF25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3EC40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3F3EA2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r w:rsidR="004E10C1" w:rsidRPr="0044524F" w14:paraId="14C7412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05A0A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w:t>
            </w:r>
          </w:p>
        </w:tc>
        <w:tc>
          <w:tcPr>
            <w:tcW w:w="0" w:type="auto"/>
            <w:tcBorders>
              <w:top w:val="outset" w:sz="6" w:space="0" w:color="auto"/>
              <w:left w:val="outset" w:sz="6" w:space="0" w:color="auto"/>
              <w:bottom w:val="outset" w:sz="6" w:space="0" w:color="auto"/>
              <w:right w:val="outset" w:sz="6" w:space="0" w:color="auto"/>
            </w:tcBorders>
            <w:vAlign w:val="center"/>
            <w:hideMark/>
          </w:tcPr>
          <w:p w14:paraId="66F011C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w:t>
            </w:r>
          </w:p>
        </w:tc>
        <w:tc>
          <w:tcPr>
            <w:tcW w:w="0" w:type="auto"/>
            <w:tcBorders>
              <w:top w:val="outset" w:sz="6" w:space="0" w:color="auto"/>
              <w:left w:val="outset" w:sz="6" w:space="0" w:color="auto"/>
              <w:bottom w:val="outset" w:sz="6" w:space="0" w:color="auto"/>
              <w:right w:val="outset" w:sz="6" w:space="0" w:color="auto"/>
            </w:tcBorders>
            <w:vAlign w:val="center"/>
            <w:hideMark/>
          </w:tcPr>
          <w:p w14:paraId="22E728E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1A154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AFA82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D1B13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88396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1048D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2E329236"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3B1ABE2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BFE6B6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A6A80C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DBBEB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2F690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DE5FB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A0A74E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5800</w:t>
            </w:r>
          </w:p>
        </w:tc>
      </w:tr>
      <w:tr w:rsidR="004E10C1" w:rsidRPr="0044524F" w14:paraId="174C25B0"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51FFD7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Истребители</w:t>
            </w:r>
          </w:p>
        </w:tc>
      </w:tr>
      <w:tr w:rsidR="004E10C1" w:rsidRPr="0044524F" w14:paraId="4553DFF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F4E87C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C025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0" w:type="auto"/>
            <w:tcBorders>
              <w:top w:val="outset" w:sz="6" w:space="0" w:color="auto"/>
              <w:left w:val="outset" w:sz="6" w:space="0" w:color="auto"/>
              <w:bottom w:val="outset" w:sz="6" w:space="0" w:color="auto"/>
              <w:right w:val="outset" w:sz="6" w:space="0" w:color="auto"/>
            </w:tcBorders>
            <w:vAlign w:val="center"/>
            <w:hideMark/>
          </w:tcPr>
          <w:p w14:paraId="61B3632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F0BAC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33AEAD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65025E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BCBDD8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FF25A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r w:rsidR="004E10C1" w:rsidRPr="0044524F" w14:paraId="538F1E9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DC4DDD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447EDD9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7BFF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E5B9BC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B74EF1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573F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1500/0⁴*</w:t>
            </w:r>
          </w:p>
        </w:tc>
        <w:tc>
          <w:tcPr>
            <w:tcW w:w="0" w:type="auto"/>
            <w:tcBorders>
              <w:top w:val="outset" w:sz="6" w:space="0" w:color="auto"/>
              <w:left w:val="outset" w:sz="6" w:space="0" w:color="auto"/>
              <w:bottom w:val="outset" w:sz="6" w:space="0" w:color="auto"/>
              <w:right w:val="outset" w:sz="6" w:space="0" w:color="auto"/>
            </w:tcBorders>
            <w:vAlign w:val="center"/>
            <w:hideMark/>
          </w:tcPr>
          <w:p w14:paraId="6C3DA0B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4B873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r w:rsidR="004E10C1" w:rsidRPr="0044524F" w14:paraId="72FF54E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496AB3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1332C3E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w:t>
            </w:r>
          </w:p>
        </w:tc>
        <w:tc>
          <w:tcPr>
            <w:tcW w:w="0" w:type="auto"/>
            <w:tcBorders>
              <w:top w:val="outset" w:sz="6" w:space="0" w:color="auto"/>
              <w:left w:val="outset" w:sz="6" w:space="0" w:color="auto"/>
              <w:bottom w:val="outset" w:sz="6" w:space="0" w:color="auto"/>
              <w:right w:val="outset" w:sz="6" w:space="0" w:color="auto"/>
            </w:tcBorders>
            <w:vAlign w:val="center"/>
            <w:hideMark/>
          </w:tcPr>
          <w:p w14:paraId="1D916E5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F431D7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CCEC6A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A8064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04C2C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B0497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4515961F"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8687D6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6BA0AD4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23EE6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37DEA6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096CE2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6FB2B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7FCA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w:t>
            </w:r>
          </w:p>
        </w:tc>
      </w:tr>
      <w:tr w:rsidR="004E10C1" w:rsidRPr="0044524F" w14:paraId="227AAEA9"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682D073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Морские</w:t>
            </w:r>
          </w:p>
        </w:tc>
      </w:tr>
      <w:tr w:rsidR="004E10C1" w:rsidRPr="0044524F" w14:paraId="54DAB85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78B4F8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676C87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МБР/С-62</w:t>
            </w:r>
          </w:p>
        </w:tc>
        <w:tc>
          <w:tcPr>
            <w:tcW w:w="0" w:type="auto"/>
            <w:tcBorders>
              <w:top w:val="outset" w:sz="6" w:space="0" w:color="auto"/>
              <w:left w:val="outset" w:sz="6" w:space="0" w:color="auto"/>
              <w:bottom w:val="outset" w:sz="6" w:space="0" w:color="auto"/>
              <w:right w:val="outset" w:sz="6" w:space="0" w:color="auto"/>
            </w:tcBorders>
            <w:vAlign w:val="center"/>
            <w:hideMark/>
          </w:tcPr>
          <w:p w14:paraId="65F5F9B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7AA67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5034A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00272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4EB107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8E42E8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0400C39B"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DE57F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б</w:t>
            </w:r>
          </w:p>
        </w:tc>
        <w:tc>
          <w:tcPr>
            <w:tcW w:w="0" w:type="auto"/>
            <w:tcBorders>
              <w:top w:val="outset" w:sz="6" w:space="0" w:color="auto"/>
              <w:left w:val="outset" w:sz="6" w:space="0" w:color="auto"/>
              <w:bottom w:val="outset" w:sz="6" w:space="0" w:color="auto"/>
              <w:right w:val="outset" w:sz="6" w:space="0" w:color="auto"/>
            </w:tcBorders>
            <w:vAlign w:val="center"/>
            <w:hideMark/>
          </w:tcPr>
          <w:p w14:paraId="1DE081D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8E1949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10DE78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8FAB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821C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75294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BCB1E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32709F37"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C5CD3F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03DAA7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C06B7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8E8B4B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268AC1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9EB44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65A3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r>
      <w:tr w:rsidR="004E10C1" w:rsidRPr="0044524F" w14:paraId="74A2155D"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2598DEA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w:t>
            </w:r>
          </w:p>
        </w:tc>
      </w:tr>
      <w:tr w:rsidR="004E10C1" w:rsidRPr="0044524F" w14:paraId="39F51C4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1A7E2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0" w:type="auto"/>
            <w:tcBorders>
              <w:top w:val="outset" w:sz="6" w:space="0" w:color="auto"/>
              <w:left w:val="outset" w:sz="6" w:space="0" w:color="auto"/>
              <w:bottom w:val="outset" w:sz="6" w:space="0" w:color="auto"/>
              <w:right w:val="outset" w:sz="6" w:space="0" w:color="auto"/>
            </w:tcBorders>
            <w:vAlign w:val="center"/>
            <w:hideMark/>
          </w:tcPr>
          <w:p w14:paraId="58678C0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177459F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5AC15A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C74EA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A2061B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515A2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6FD997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r>
      <w:tr w:rsidR="004E10C1" w:rsidRPr="0044524F" w14:paraId="36A82106"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4ADCE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14:paraId="5208A51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1444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B95667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886A5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4BBF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8CA2B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24B1D1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4DD3034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B07ADF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0A9747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w:t>
            </w:r>
          </w:p>
        </w:tc>
        <w:tc>
          <w:tcPr>
            <w:tcW w:w="0" w:type="auto"/>
            <w:tcBorders>
              <w:top w:val="outset" w:sz="6" w:space="0" w:color="auto"/>
              <w:left w:val="outset" w:sz="6" w:space="0" w:color="auto"/>
              <w:bottom w:val="outset" w:sz="6" w:space="0" w:color="auto"/>
              <w:right w:val="outset" w:sz="6" w:space="0" w:color="auto"/>
            </w:tcBorders>
            <w:vAlign w:val="center"/>
            <w:hideMark/>
          </w:tcPr>
          <w:p w14:paraId="1FE682D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36BBC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3CFF38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BD66A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C17863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8476E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2C114174"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3219A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14:paraId="240E16F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w:t>
            </w:r>
          </w:p>
        </w:tc>
        <w:tc>
          <w:tcPr>
            <w:tcW w:w="0" w:type="auto"/>
            <w:tcBorders>
              <w:top w:val="outset" w:sz="6" w:space="0" w:color="auto"/>
              <w:left w:val="outset" w:sz="6" w:space="0" w:color="auto"/>
              <w:bottom w:val="outset" w:sz="6" w:space="0" w:color="auto"/>
              <w:right w:val="outset" w:sz="6" w:space="0" w:color="auto"/>
            </w:tcBorders>
            <w:vAlign w:val="center"/>
            <w:hideMark/>
          </w:tcPr>
          <w:p w14:paraId="4B940DF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9E9CAA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9111CE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8F6DE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787E3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8F573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0A3944E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D08D7A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22</w:t>
            </w:r>
          </w:p>
        </w:tc>
        <w:tc>
          <w:tcPr>
            <w:tcW w:w="0" w:type="auto"/>
            <w:tcBorders>
              <w:top w:val="outset" w:sz="6" w:space="0" w:color="auto"/>
              <w:left w:val="outset" w:sz="6" w:space="0" w:color="auto"/>
              <w:bottom w:val="outset" w:sz="6" w:space="0" w:color="auto"/>
              <w:right w:val="outset" w:sz="6" w:space="0" w:color="auto"/>
            </w:tcBorders>
            <w:vAlign w:val="center"/>
            <w:hideMark/>
          </w:tcPr>
          <w:p w14:paraId="4745292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9C6E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60ECD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B4BF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C4E751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8EDB45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D2D8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2B48DDB2"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5216159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447CF8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1F116F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0A6F3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59BCB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DA99E9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36904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r>
      <w:tr w:rsidR="004E10C1" w:rsidRPr="0044524F" w14:paraId="7D2C42A8"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256DB7A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Учебные</w:t>
            </w:r>
          </w:p>
        </w:tc>
      </w:tr>
      <w:tr w:rsidR="004E10C1" w:rsidRPr="0044524F" w14:paraId="7784022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6062CE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0" w:type="auto"/>
            <w:tcBorders>
              <w:top w:val="outset" w:sz="6" w:space="0" w:color="auto"/>
              <w:left w:val="outset" w:sz="6" w:space="0" w:color="auto"/>
              <w:bottom w:val="outset" w:sz="6" w:space="0" w:color="auto"/>
              <w:right w:val="outset" w:sz="6" w:space="0" w:color="auto"/>
            </w:tcBorders>
            <w:vAlign w:val="center"/>
            <w:hideMark/>
          </w:tcPr>
          <w:p w14:paraId="55F670B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0" w:type="auto"/>
            <w:tcBorders>
              <w:top w:val="outset" w:sz="6" w:space="0" w:color="auto"/>
              <w:left w:val="outset" w:sz="6" w:space="0" w:color="auto"/>
              <w:bottom w:val="outset" w:sz="6" w:space="0" w:color="auto"/>
              <w:right w:val="outset" w:sz="6" w:space="0" w:color="auto"/>
            </w:tcBorders>
            <w:vAlign w:val="center"/>
            <w:hideMark/>
          </w:tcPr>
          <w:p w14:paraId="6A4EF68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7255191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5AFBAE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A30BD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8EBC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C48FFA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r>
      <w:tr w:rsidR="004E10C1" w:rsidRPr="0044524F" w14:paraId="34B1F61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E54831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B36D8A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0" w:type="auto"/>
            <w:tcBorders>
              <w:top w:val="outset" w:sz="6" w:space="0" w:color="auto"/>
              <w:left w:val="outset" w:sz="6" w:space="0" w:color="auto"/>
              <w:bottom w:val="outset" w:sz="6" w:space="0" w:color="auto"/>
              <w:right w:val="outset" w:sz="6" w:space="0" w:color="auto"/>
            </w:tcBorders>
            <w:vAlign w:val="center"/>
            <w:hideMark/>
          </w:tcPr>
          <w:p w14:paraId="72229F2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3540EAF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68213E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1742D53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9FA9DA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8000/4000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80225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w:t>
            </w:r>
          </w:p>
        </w:tc>
      </w:tr>
      <w:tr w:rsidR="004E10C1" w:rsidRPr="0044524F" w14:paraId="07270997"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2A3B8B3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49582D7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D53DC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4DB06F7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B1C09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37155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A56F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9750</w:t>
            </w:r>
          </w:p>
        </w:tc>
      </w:tr>
      <w:tr w:rsidR="004E10C1" w:rsidRPr="0044524F" w14:paraId="5CCEB6BF"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7FA7A0B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Специальные (разные)</w:t>
            </w:r>
          </w:p>
        </w:tc>
      </w:tr>
      <w:tr w:rsidR="004E10C1" w:rsidRPr="0044524F" w14:paraId="2953CC33"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45A4D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0" w:type="auto"/>
            <w:tcBorders>
              <w:top w:val="outset" w:sz="6" w:space="0" w:color="auto"/>
              <w:left w:val="outset" w:sz="6" w:space="0" w:color="auto"/>
              <w:bottom w:val="outset" w:sz="6" w:space="0" w:color="auto"/>
              <w:right w:val="outset" w:sz="6" w:space="0" w:color="auto"/>
            </w:tcBorders>
            <w:vAlign w:val="center"/>
            <w:hideMark/>
          </w:tcPr>
          <w:p w14:paraId="67D2863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0" w:type="auto"/>
            <w:tcBorders>
              <w:top w:val="outset" w:sz="6" w:space="0" w:color="auto"/>
              <w:left w:val="outset" w:sz="6" w:space="0" w:color="auto"/>
              <w:bottom w:val="outset" w:sz="6" w:space="0" w:color="auto"/>
              <w:right w:val="outset" w:sz="6" w:space="0" w:color="auto"/>
            </w:tcBorders>
            <w:vAlign w:val="center"/>
            <w:hideMark/>
          </w:tcPr>
          <w:p w14:paraId="1273638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BD901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64E046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A0C681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237C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22F66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r w:rsidR="004E10C1" w:rsidRPr="0044524F" w14:paraId="19B27EEE"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ECD80E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7CD685C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D783D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2EA2A9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13 750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FFDD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A73B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21 050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1E6AE1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26 550</w:t>
            </w:r>
          </w:p>
        </w:tc>
      </w:tr>
    </w:tbl>
    <w:p w14:paraId="6FBC359E"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3. Утвердить пятилетний план развития мощностей по моторостроению в следующем количестве:</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81"/>
        <w:gridCol w:w="1604"/>
        <w:gridCol w:w="1055"/>
        <w:gridCol w:w="1996"/>
        <w:gridCol w:w="1996"/>
        <w:gridCol w:w="1444"/>
        <w:gridCol w:w="1123"/>
        <w:gridCol w:w="1123"/>
      </w:tblGrid>
      <w:tr w:rsidR="004E10C1" w:rsidRPr="0044524F" w14:paraId="57D61D5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261E15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200E92A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A1D1EE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Расчетный</w:t>
            </w:r>
          </w:p>
          <w:p w14:paraId="7A36947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самолета</w:t>
            </w:r>
          </w:p>
        </w:tc>
        <w:tc>
          <w:tcPr>
            <w:tcW w:w="0" w:type="auto"/>
            <w:tcBorders>
              <w:top w:val="outset" w:sz="6" w:space="0" w:color="auto"/>
              <w:left w:val="outset" w:sz="6" w:space="0" w:color="auto"/>
              <w:bottom w:val="outset" w:sz="6" w:space="0" w:color="auto"/>
              <w:right w:val="outset" w:sz="6" w:space="0" w:color="auto"/>
            </w:tcBorders>
            <w:vAlign w:val="center"/>
            <w:hideMark/>
          </w:tcPr>
          <w:p w14:paraId="1AEBC88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w:t>
            </w:r>
          </w:p>
          <w:p w14:paraId="62785DD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EB61FC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D36F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 1935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6623AE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w:t>
            </w:r>
          </w:p>
          <w:p w14:paraId="017AB15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AF164D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w:t>
            </w:r>
          </w:p>
          <w:p w14:paraId="79B7567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1937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97CF2E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w:t>
            </w:r>
          </w:p>
          <w:p w14:paraId="197FD33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1938 г.</w:t>
            </w:r>
          </w:p>
        </w:tc>
      </w:tr>
      <w:tr w:rsidR="004E10C1" w:rsidRPr="0044524F" w14:paraId="06420762" w14:textId="77777777" w:rsidTr="00CF276A">
        <w:trPr>
          <w:tblCellSpacing w:w="0" w:type="dxa"/>
        </w:trPr>
        <w:tc>
          <w:tcPr>
            <w:tcW w:w="0" w:type="auto"/>
            <w:gridSpan w:val="8"/>
            <w:tcBorders>
              <w:top w:val="outset" w:sz="6" w:space="0" w:color="auto"/>
              <w:left w:val="outset" w:sz="6" w:space="0" w:color="auto"/>
              <w:bottom w:val="outset" w:sz="6" w:space="0" w:color="auto"/>
              <w:right w:val="outset" w:sz="6" w:space="0" w:color="auto"/>
            </w:tcBorders>
            <w:vAlign w:val="center"/>
            <w:hideMark/>
          </w:tcPr>
          <w:p w14:paraId="4C30C6A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Водяное охлаждение</w:t>
            </w:r>
          </w:p>
        </w:tc>
      </w:tr>
      <w:tr w:rsidR="004E10C1" w:rsidRPr="0044524F" w14:paraId="619981E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E21E0B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0" w:type="auto"/>
            <w:tcBorders>
              <w:top w:val="outset" w:sz="6" w:space="0" w:color="auto"/>
              <w:left w:val="outset" w:sz="6" w:space="0" w:color="auto"/>
              <w:bottom w:val="outset" w:sz="6" w:space="0" w:color="auto"/>
              <w:right w:val="outset" w:sz="6" w:space="0" w:color="auto"/>
            </w:tcBorders>
            <w:vAlign w:val="center"/>
            <w:hideMark/>
          </w:tcPr>
          <w:p w14:paraId="64B79DF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0" w:type="auto"/>
            <w:tcBorders>
              <w:top w:val="outset" w:sz="6" w:space="0" w:color="auto"/>
              <w:left w:val="outset" w:sz="6" w:space="0" w:color="auto"/>
              <w:bottom w:val="outset" w:sz="6" w:space="0" w:color="auto"/>
              <w:right w:val="outset" w:sz="6" w:space="0" w:color="auto"/>
            </w:tcBorders>
            <w:vAlign w:val="center"/>
            <w:hideMark/>
          </w:tcPr>
          <w:p w14:paraId="73339E0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E42BDE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7BF98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F47E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16C07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EE350A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15 000</w:t>
            </w:r>
          </w:p>
        </w:tc>
      </w:tr>
      <w:tr w:rsidR="004E10C1" w:rsidRPr="0044524F" w14:paraId="6F72299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9184BD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0" w:type="auto"/>
            <w:tcBorders>
              <w:top w:val="outset" w:sz="6" w:space="0" w:color="auto"/>
              <w:left w:val="outset" w:sz="6" w:space="0" w:color="auto"/>
              <w:bottom w:val="outset" w:sz="6" w:space="0" w:color="auto"/>
              <w:right w:val="outset" w:sz="6" w:space="0" w:color="auto"/>
            </w:tcBorders>
            <w:vAlign w:val="center"/>
            <w:hideMark/>
          </w:tcPr>
          <w:p w14:paraId="1422A15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47AD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38999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C6809E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E50753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AD0BA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CA4F5A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10 000</w:t>
            </w:r>
          </w:p>
        </w:tc>
      </w:tr>
      <w:tr w:rsidR="004E10C1" w:rsidRPr="0044524F" w14:paraId="3C80FBBF"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9B3739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14:paraId="4465E53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или</w:t>
            </w:r>
          </w:p>
          <w:p w14:paraId="1417FAE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«Кертис-</w:t>
            </w:r>
          </w:p>
          <w:p w14:paraId="77021E8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Конкверер»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75AF9D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83069D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458BBF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30A7C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4A2944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C20419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20 000</w:t>
            </w:r>
          </w:p>
        </w:tc>
      </w:tr>
      <w:tr w:rsidR="004E10C1" w:rsidRPr="0044524F" w14:paraId="75EC2BC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B46A99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122/24Б</w:t>
            </w:r>
          </w:p>
        </w:tc>
        <w:tc>
          <w:tcPr>
            <w:tcW w:w="0" w:type="auto"/>
            <w:tcBorders>
              <w:top w:val="outset" w:sz="6" w:space="0" w:color="auto"/>
              <w:left w:val="outset" w:sz="6" w:space="0" w:color="auto"/>
              <w:bottom w:val="outset" w:sz="6" w:space="0" w:color="auto"/>
              <w:right w:val="outset" w:sz="6" w:space="0" w:color="auto"/>
            </w:tcBorders>
            <w:vAlign w:val="center"/>
            <w:hideMark/>
          </w:tcPr>
          <w:p w14:paraId="20E4486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w:t>
            </w:r>
          </w:p>
        </w:tc>
        <w:tc>
          <w:tcPr>
            <w:tcW w:w="0" w:type="auto"/>
            <w:tcBorders>
              <w:top w:val="outset" w:sz="6" w:space="0" w:color="auto"/>
              <w:left w:val="outset" w:sz="6" w:space="0" w:color="auto"/>
              <w:bottom w:val="outset" w:sz="6" w:space="0" w:color="auto"/>
              <w:right w:val="outset" w:sz="6" w:space="0" w:color="auto"/>
            </w:tcBorders>
            <w:vAlign w:val="center"/>
            <w:hideMark/>
          </w:tcPr>
          <w:p w14:paraId="70BAE67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27786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E4220D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9F2BEC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8CECA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95E68E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r>
      <w:tr w:rsidR="004E10C1" w:rsidRPr="0044524F" w14:paraId="5463C4D4"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00587B3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D7C961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F96124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B46DDB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8B4A5B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4687C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DD44B9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46 500</w:t>
            </w:r>
          </w:p>
        </w:tc>
      </w:tr>
      <w:tr w:rsidR="004E10C1" w:rsidRPr="0044524F" w14:paraId="6A3354B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282DA0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40F3E0D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0" w:type="auto"/>
            <w:tcBorders>
              <w:top w:val="outset" w:sz="6" w:space="0" w:color="auto"/>
              <w:left w:val="outset" w:sz="6" w:space="0" w:color="auto"/>
              <w:bottom w:val="outset" w:sz="6" w:space="0" w:color="auto"/>
              <w:right w:val="outset" w:sz="6" w:space="0" w:color="auto"/>
            </w:tcBorders>
            <w:vAlign w:val="center"/>
            <w:hideMark/>
          </w:tcPr>
          <w:p w14:paraId="67047F5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295855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D2953E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58514C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7D7A9E7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641DE6F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D987C35"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E46FF4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0" w:type="auto"/>
            <w:tcBorders>
              <w:top w:val="outset" w:sz="6" w:space="0" w:color="auto"/>
              <w:left w:val="outset" w:sz="6" w:space="0" w:color="auto"/>
              <w:bottom w:val="outset" w:sz="6" w:space="0" w:color="auto"/>
              <w:right w:val="outset" w:sz="6" w:space="0" w:color="auto"/>
            </w:tcBorders>
            <w:vAlign w:val="center"/>
            <w:hideMark/>
          </w:tcPr>
          <w:p w14:paraId="14BB084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0" w:type="auto"/>
            <w:tcBorders>
              <w:top w:val="outset" w:sz="6" w:space="0" w:color="auto"/>
              <w:left w:val="outset" w:sz="6" w:space="0" w:color="auto"/>
              <w:bottom w:val="outset" w:sz="6" w:space="0" w:color="auto"/>
              <w:right w:val="outset" w:sz="6" w:space="0" w:color="auto"/>
            </w:tcBorders>
            <w:vAlign w:val="center"/>
            <w:hideMark/>
          </w:tcPr>
          <w:p w14:paraId="66385C7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B3FF33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62180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1400A2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0D3272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F91F60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6 000</w:t>
            </w:r>
          </w:p>
        </w:tc>
      </w:tr>
      <w:tr w:rsidR="004E10C1" w:rsidRPr="0044524F" w14:paraId="76010CED"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DE1B4E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0" w:type="auto"/>
            <w:tcBorders>
              <w:top w:val="outset" w:sz="6" w:space="0" w:color="auto"/>
              <w:left w:val="outset" w:sz="6" w:space="0" w:color="auto"/>
              <w:bottom w:val="outset" w:sz="6" w:space="0" w:color="auto"/>
              <w:right w:val="outset" w:sz="6" w:space="0" w:color="auto"/>
            </w:tcBorders>
            <w:vAlign w:val="center"/>
            <w:hideMark/>
          </w:tcPr>
          <w:p w14:paraId="56E6C05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РЦ</w:t>
            </w:r>
          </w:p>
        </w:tc>
        <w:tc>
          <w:tcPr>
            <w:tcW w:w="0" w:type="auto"/>
            <w:tcBorders>
              <w:top w:val="outset" w:sz="6" w:space="0" w:color="auto"/>
              <w:left w:val="outset" w:sz="6" w:space="0" w:color="auto"/>
              <w:bottom w:val="outset" w:sz="6" w:space="0" w:color="auto"/>
              <w:right w:val="outset" w:sz="6" w:space="0" w:color="auto"/>
            </w:tcBorders>
            <w:vAlign w:val="center"/>
            <w:hideMark/>
          </w:tcPr>
          <w:p w14:paraId="6D6E88B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480125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04CC4F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C2CE90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4C5A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6506A0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6 000</w:t>
            </w:r>
          </w:p>
        </w:tc>
      </w:tr>
      <w:tr w:rsidR="004E10C1" w:rsidRPr="0044524F" w14:paraId="3DEECCD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159C44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134</w:t>
            </w:r>
          </w:p>
        </w:tc>
        <w:tc>
          <w:tcPr>
            <w:tcW w:w="0" w:type="auto"/>
            <w:tcBorders>
              <w:top w:val="outset" w:sz="6" w:space="0" w:color="auto"/>
              <w:left w:val="outset" w:sz="6" w:space="0" w:color="auto"/>
              <w:bottom w:val="outset" w:sz="6" w:space="0" w:color="auto"/>
              <w:right w:val="outset" w:sz="6" w:space="0" w:color="auto"/>
            </w:tcBorders>
            <w:vAlign w:val="center"/>
            <w:hideMark/>
          </w:tcPr>
          <w:p w14:paraId="0BCBAC1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0" w:type="auto"/>
            <w:tcBorders>
              <w:top w:val="outset" w:sz="6" w:space="0" w:color="auto"/>
              <w:left w:val="outset" w:sz="6" w:space="0" w:color="auto"/>
              <w:bottom w:val="outset" w:sz="6" w:space="0" w:color="auto"/>
              <w:right w:val="outset" w:sz="6" w:space="0" w:color="auto"/>
            </w:tcBorders>
            <w:vAlign w:val="center"/>
            <w:hideMark/>
          </w:tcPr>
          <w:p w14:paraId="1F95AF1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C6B032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06514C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00DA40A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FEF08E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3575A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15 000</w:t>
            </w:r>
          </w:p>
        </w:tc>
      </w:tr>
      <w:tr w:rsidR="004E10C1" w:rsidRPr="0044524F" w14:paraId="712C494E"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358A7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14:paraId="5A0E6ED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РЦ</w:t>
            </w:r>
          </w:p>
        </w:tc>
        <w:tc>
          <w:tcPr>
            <w:tcW w:w="0" w:type="auto"/>
            <w:tcBorders>
              <w:top w:val="outset" w:sz="6" w:space="0" w:color="auto"/>
              <w:left w:val="outset" w:sz="6" w:space="0" w:color="auto"/>
              <w:bottom w:val="outset" w:sz="6" w:space="0" w:color="auto"/>
              <w:right w:val="outset" w:sz="6" w:space="0" w:color="auto"/>
            </w:tcBorders>
            <w:vAlign w:val="center"/>
            <w:hideMark/>
          </w:tcPr>
          <w:p w14:paraId="76C020D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3B91BB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F6A2C0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728DB5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10 000/5000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748D8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366287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10 000</w:t>
            </w:r>
          </w:p>
        </w:tc>
      </w:tr>
      <w:tr w:rsidR="004E10C1" w:rsidRPr="0044524F" w14:paraId="2A435AFB"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4B0525E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F8AFBF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2 900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F1C4D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31870B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BA856A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410ED0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863085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37 000</w:t>
            </w:r>
          </w:p>
        </w:tc>
      </w:tr>
      <w:tr w:rsidR="004E10C1" w:rsidRPr="0044524F" w14:paraId="6648940A" w14:textId="77777777" w:rsidTr="00CF276A">
        <w:trPr>
          <w:tblCellSpacing w:w="0" w:type="dxa"/>
        </w:trPr>
        <w:tc>
          <w:tcPr>
            <w:tcW w:w="0" w:type="auto"/>
            <w:gridSpan w:val="2"/>
            <w:tcBorders>
              <w:top w:val="outset" w:sz="6" w:space="0" w:color="auto"/>
              <w:left w:val="outset" w:sz="6" w:space="0" w:color="auto"/>
              <w:bottom w:val="outset" w:sz="6" w:space="0" w:color="auto"/>
              <w:right w:val="outset" w:sz="6" w:space="0" w:color="auto"/>
            </w:tcBorders>
            <w:vAlign w:val="center"/>
            <w:hideMark/>
          </w:tcPr>
          <w:p w14:paraId="7506083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0375958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0F5047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2B97FE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34 600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16CBAF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53 000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34DDE8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71 500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D5F262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83 500</w:t>
            </w:r>
          </w:p>
        </w:tc>
      </w:tr>
    </w:tbl>
    <w:p w14:paraId="096441F7"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4. В целях обеспечения выпуска в 1934 и 1935 гг. выделить в 1933 г. в III и IV кварталах контингент для заказа импортного оборудования для заводов №№ 19, 20, 33 и 120 в следующих суммах: завод № 19 — 1745 тыс. руб.; завод № 20 — 735 тыс. руб.; завод № 33 — 150 тыс. руб.; завод № 120 — 1330 тыс. руб.</w:t>
      </w:r>
    </w:p>
    <w:p w14:paraId="66435DA5"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5. Обязать НКВТорг и НКТП ввезти импортное оборудование для моторостроительных заводов №№ 24, 19, 20, 33 и 120 к 1 января 1935 г. на полную мощность.</w:t>
      </w:r>
    </w:p>
    <w:p w14:paraId="416C76A2"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6. В целях осуществления пятилетнего плана построить в течение второй пятилетки в сроки, согласно плана развития мощностей, следующие новые заводы, к строительству которых еще не приступлено.</w:t>
      </w:r>
    </w:p>
    <w:p w14:paraId="790FE9B5"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По моторостроению: а) завод № 130 в г. Казани на мощность в 20 тыс. моторов водяного охлаждения типа М</w:t>
      </w:r>
      <w:r w:rsidRPr="0044524F">
        <w:rPr>
          <w:color w:val="000000" w:themeColor="text1"/>
          <w:sz w:val="16"/>
          <w:szCs w:val="16"/>
        </w:rPr>
        <w:noBreakHyphen/>
        <w:t>34 или «Кертис-Конкверер»; б) завод № 117 в г. Горьком на мощность 10 тыс. моторов воздушного охлаждения типа «Райт-Циклон»; в) завод № 134 в г. Харькове на мощность 15 тыс. маломощных моторов типа М</w:t>
      </w:r>
      <w:r w:rsidRPr="0044524F">
        <w:rPr>
          <w:color w:val="000000" w:themeColor="text1"/>
          <w:sz w:val="16"/>
          <w:szCs w:val="16"/>
        </w:rPr>
        <w:noBreakHyphen/>
        <w:t>11; г) территорию быв. завода 246 использовать для производства мелких серий моторов бензиновых и нефтяных.</w:t>
      </w:r>
    </w:p>
    <w:p w14:paraId="7285C22E"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По самолетостроению: а) новый завод истребителей на мощность 3 тыс. шт. (расчетный тип — двухместный истребитель); б) новый завод легких самолетов на мощность 8 тыс. шт. самолетов типа У</w:t>
      </w:r>
      <w:r w:rsidRPr="0044524F">
        <w:rPr>
          <w:color w:val="000000" w:themeColor="text1"/>
          <w:sz w:val="16"/>
          <w:szCs w:val="16"/>
        </w:rPr>
        <w:noBreakHyphen/>
        <w:t>2 в г. Харькове.</w:t>
      </w:r>
    </w:p>
    <w:p w14:paraId="1077619D"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По строительству вспомогательных заводов: а) второй завод вооружений; б) второй завод винто-лыжный; в) завод металлических винтов; г) второй завод карбюраторный; д) территорию бывшего завода № 24 а использовать для производства запчастей к моторам, снятым с производства.</w:t>
      </w:r>
    </w:p>
    <w:p w14:paraId="4EE88419"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7. Определить ориентировочно объем вложений в капитальное строительство на вторую пятилетку в сумме 1450 млн. руб.</w:t>
      </w:r>
    </w:p>
    <w:p w14:paraId="49209889"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8. Обязать НКТП полностью обеспечить потребность авиапромышленности в сырье и материалах на вторую пятилетку.</w:t>
      </w:r>
    </w:p>
    <w:p w14:paraId="0288975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Танки</w:t>
      </w:r>
    </w:p>
    <w:p w14:paraId="4D238B3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подачу танков на 1934 г.: танков Т</w:t>
      </w:r>
      <w:r w:rsidRPr="0044524F">
        <w:rPr>
          <w:rFonts w:ascii="Times New Roman" w:hAnsi="Times New Roman"/>
          <w:color w:val="000000" w:themeColor="text1"/>
          <w:sz w:val="16"/>
          <w:szCs w:val="16"/>
        </w:rPr>
        <w:noBreakHyphen/>
        <w:t>26 — 11 500 шт.; БТ — 4 тыс. шт.; Т</w:t>
      </w:r>
      <w:r w:rsidRPr="0044524F">
        <w:rPr>
          <w:rFonts w:ascii="Times New Roman" w:hAnsi="Times New Roman"/>
          <w:color w:val="000000" w:themeColor="text1"/>
          <w:sz w:val="16"/>
          <w:szCs w:val="16"/>
        </w:rPr>
        <w:noBreakHyphen/>
        <w:t>35 — 100 шт.; Т</w:t>
      </w:r>
      <w:r w:rsidRPr="0044524F">
        <w:rPr>
          <w:rFonts w:ascii="Times New Roman" w:hAnsi="Times New Roman"/>
          <w:color w:val="000000" w:themeColor="text1"/>
          <w:sz w:val="16"/>
          <w:szCs w:val="16"/>
        </w:rPr>
        <w:noBreakHyphen/>
        <w:t>28 — 200 шт.; танкеток — 13 тыс. шт.; бронемашин — 2 тыс. шт.; всего боевых машин — 30 800 шт. На 1935 г.: танков Т</w:t>
      </w:r>
      <w:r w:rsidRPr="0044524F">
        <w:rPr>
          <w:rFonts w:ascii="Times New Roman" w:hAnsi="Times New Roman"/>
          <w:color w:val="000000" w:themeColor="text1"/>
          <w:sz w:val="16"/>
          <w:szCs w:val="16"/>
        </w:rPr>
        <w:noBreakHyphen/>
        <w:t>26 — 17 тыс. шт.; БТ — 5 тыс. шт.; Т</w:t>
      </w:r>
      <w:r w:rsidRPr="0044524F">
        <w:rPr>
          <w:rFonts w:ascii="Times New Roman" w:hAnsi="Times New Roman"/>
          <w:color w:val="000000" w:themeColor="text1"/>
          <w:sz w:val="16"/>
          <w:szCs w:val="16"/>
        </w:rPr>
        <w:noBreakHyphen/>
        <w:t>35 — 100 шт.; Т</w:t>
      </w:r>
      <w:r w:rsidRPr="0044524F">
        <w:rPr>
          <w:rFonts w:ascii="Times New Roman" w:hAnsi="Times New Roman"/>
          <w:color w:val="000000" w:themeColor="text1"/>
          <w:sz w:val="16"/>
          <w:szCs w:val="16"/>
        </w:rPr>
        <w:noBreakHyphen/>
        <w:t>28 — 300 шт.; танкеток — 16 тыс. шт.; бронемашин — 2 тыс. шт.; всего боевых машин — 40 400 шт.</w:t>
      </w:r>
    </w:p>
    <w:p w14:paraId="67A0EBA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НКТП в двухмесячный срок проработать вопрос об обеспечении танков БТ моторами и дизелями и доложить КО. Определить объем капитального строительства по танками и бронезаводам — 125 млн. на 1934 г.</w:t>
      </w:r>
    </w:p>
    <w:p w14:paraId="237CCC9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w:t>
      </w:r>
    </w:p>
    <w:p w14:paraId="05C0B64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подачу винтовок и пулеметов в 1934 г.: винтовок образца 1891 г. — 2 млн. шт.; пулеметов Максима⁵* и ПВ</w:t>
      </w:r>
      <w:r w:rsidRPr="0044524F">
        <w:rPr>
          <w:rFonts w:ascii="Times New Roman" w:hAnsi="Times New Roman"/>
          <w:color w:val="000000" w:themeColor="text1"/>
          <w:sz w:val="16"/>
          <w:szCs w:val="16"/>
        </w:rPr>
        <w:noBreakHyphen/>
        <w:t>1 — 40 тыс. шт.; пулеметов ШКАС — 5 тыс. шт.; пулеметов Дегтярева⁶* — 75 тыс. шт. Определить объем капитального строительства по заводам Тульскому, Ижевскому, Ковровскому и Подольскому на 1934 г. в размере 125 млн. руб.</w:t>
      </w:r>
    </w:p>
    <w:p w14:paraId="4D1DDFA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 Артиллерия</w:t>
      </w:r>
    </w:p>
    <w:p w14:paraId="0E1A721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подачу артсистем на 1934 г. (см. табл 1937 вышел приказ НКОП № 5) всего 24 410 систем, из них: мелких калибров (45 мм, 37 мм) — 15 180; дивизионная и полковая 76</w:t>
      </w:r>
      <w:r w:rsidRPr="0044524F">
        <w:rPr>
          <w:rFonts w:ascii="Times New Roman" w:hAnsi="Times New Roman"/>
          <w:color w:val="000000" w:themeColor="text1"/>
          <w:sz w:val="16"/>
          <w:szCs w:val="16"/>
        </w:rPr>
        <w:noBreakHyphen/>
        <w:t>мм и 122</w:t>
      </w:r>
      <w:r w:rsidRPr="0044524F">
        <w:rPr>
          <w:rFonts w:ascii="Times New Roman" w:hAnsi="Times New Roman"/>
          <w:color w:val="000000" w:themeColor="text1"/>
          <w:sz w:val="16"/>
          <w:szCs w:val="16"/>
        </w:rPr>
        <w:noBreakHyphen/>
        <w:t>мм (гаубицы) артиллерия — 6220; корпусная, армейская и морская 107</w:t>
      </w:r>
      <w:r w:rsidRPr="0044524F">
        <w:rPr>
          <w:rFonts w:ascii="Times New Roman" w:hAnsi="Times New Roman"/>
          <w:color w:val="000000" w:themeColor="text1"/>
          <w:sz w:val="16"/>
          <w:szCs w:val="16"/>
        </w:rPr>
        <w:noBreakHyphen/>
        <w:t>мм, 152</w:t>
      </w:r>
      <w:r w:rsidRPr="0044524F">
        <w:rPr>
          <w:rFonts w:ascii="Times New Roman" w:hAnsi="Times New Roman"/>
          <w:color w:val="000000" w:themeColor="text1"/>
          <w:sz w:val="16"/>
          <w:szCs w:val="16"/>
        </w:rPr>
        <w:noBreakHyphen/>
        <w:t>мм и выше артиллерия — 1940 шт.; зенитная артиллерия — 1070 шт. Определить объем капитального строительства на 1934 г. по заводам Орудобъединения: Уралмашзаводу и Крамзаводу — 300 млн. руб.</w:t>
      </w:r>
    </w:p>
    <w:p w14:paraId="2797EDC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 Оптика</w:t>
      </w:r>
    </w:p>
    <w:p w14:paraId="0A8A4DE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подачу на 1934 г. по военно-оптическим приборам на 95 млн. руб.: на 1935 г. — на 210 млн. руб.; на 1936 г. — на 300 млн. руб.; на 1937 г. — на 400 млн. руб. Определить объем капитального строительства по оптико-механической промышленности на 1934 г. — 82 млн. руб.; на 1935 г. — 67 млн. руб. Предложить Наркомтяжпрому приступить уже в 1933 г. к проектированию трех новых оптико-механических заводов — завода зеркальных отражателей с сырьевой базой, завода авиационно-оптических приборов и завода танковых оптических приборов. Срок окончания строительства указанных заводов — конец 1935 г.</w:t>
      </w:r>
    </w:p>
    <w:p w14:paraId="76DA6F0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VII. Торпеды и мины</w:t>
      </w:r>
    </w:p>
    <w:p w14:paraId="34E1510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подачу торпед в 1934 г. — 2,5 тыс. шт.; в 1935 г. — 4,0 тыс. шт.; определить подачу мин в 1934 г. — 25,0 тыс. шт.; в 1935 г. — 35,0 тыс. шт.</w:t>
      </w:r>
    </w:p>
    <w:p w14:paraId="42EE677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eastAsiaTheme="majorEastAsia" w:hAnsi="Times New Roman"/>
          <w:color w:val="000000" w:themeColor="text1"/>
          <w:sz w:val="16"/>
          <w:szCs w:val="16"/>
        </w:rPr>
        <w:t>VIII.</w:t>
      </w:r>
    </w:p>
    <w:p w14:paraId="4F04059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обеспечения подачи металлической части на 60 млн. выстрелов и 3 млн. винтпатронов в 1934 г. и на 76 млн. выстрелов и 6 млн. винтпатронов в 1935 г. (снаряды, взрыватели, трубки, орудийные гильзы и т. д.). Определить объем капитального строительства на 1934 г.: по снарядному производству — 145 млн. руб.; по винтпатронам, трубкам, взрывателям, орудийным гильзам и т. д. — 120 млн. руб.; по Кемеровскому комбинату — 75 млн. руб.</w:t>
      </w:r>
    </w:p>
    <w:p w14:paraId="6858398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IX.</w:t>
      </w:r>
    </w:p>
    <w:p w14:paraId="1BA362D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подачу на 1934 г. по радиостанциям и горючему в количествах, указанных в таблице № 6.</w:t>
      </w:r>
    </w:p>
    <w:p w14:paraId="6614469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X.</w:t>
      </w:r>
    </w:p>
    <w:p w14:paraId="32E529A9"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Определить общий объем капитального оборонного строительства по указанным выше производствам на 1934 г., включая аммиак и олеум, в размере 2350 млн. НКТП при разработке контрольных цифр 1934 г. определить стоимость строительства по отдельным объектам. Ассигновать дополнительно на III и IV кварталы 1933 г. по оборонному строительству и подготовке производства 150 млн. руб., из них на химию — 90 млн. руб. Предложить НКТПрому, НКЛесу, НКЛегпрому обеспечить оборонное строительство НКТПрома всеми необходимыми стройматериалами, оборудованием и транспортом путем выделения целевых фондов. НКСнабу обеспечение снабжением оборонного строительства НКТПрома проводить по первой категории.</w:t>
      </w:r>
    </w:p>
    <w:p w14:paraId="1C7BF636"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Сроки окончания проектов и составление смет по новым заводам, строящимся для обеспечения намеченной в данном постановлении оборонной программы, устанавливаются наркомом тяжелой промышленности т. С. Орджоникидзе. НКФ, БДК и Госбанку⁷* впредь до представления проектов и смет бесперебойно финансировать строительство этих заводов⁸*.</w:t>
      </w:r>
    </w:p>
    <w:p w14:paraId="5AA149D6" w14:textId="77777777" w:rsidR="00B2303C" w:rsidRPr="0044524F" w:rsidRDefault="00B2303C" w:rsidP="009654CF">
      <w:pPr>
        <w:pStyle w:val="ae"/>
        <w:spacing w:before="0" w:after="0"/>
        <w:jc w:val="both"/>
        <w:rPr>
          <w:color w:val="000000" w:themeColor="text1"/>
          <w:sz w:val="16"/>
          <w:szCs w:val="16"/>
        </w:rPr>
      </w:pPr>
      <w:r w:rsidRPr="0044524F">
        <w:rPr>
          <w:rStyle w:val="af0"/>
          <w:i w:val="0"/>
          <w:color w:val="000000" w:themeColor="text1"/>
          <w:sz w:val="16"/>
          <w:szCs w:val="16"/>
        </w:rPr>
        <w:t>Председатель Совета труда и обороны В. Молотов (Скрябин)</w:t>
      </w:r>
    </w:p>
    <w:p w14:paraId="789A76DF" w14:textId="77777777" w:rsidR="00B2303C" w:rsidRPr="0044524F" w:rsidRDefault="00B2303C" w:rsidP="009654CF">
      <w:pPr>
        <w:pStyle w:val="ae"/>
        <w:spacing w:before="0" w:after="0"/>
        <w:jc w:val="both"/>
        <w:rPr>
          <w:color w:val="000000" w:themeColor="text1"/>
          <w:sz w:val="16"/>
          <w:szCs w:val="16"/>
        </w:rPr>
      </w:pPr>
      <w:r w:rsidRPr="0044524F">
        <w:rPr>
          <w:rStyle w:val="af0"/>
          <w:i w:val="0"/>
          <w:color w:val="000000" w:themeColor="text1"/>
          <w:sz w:val="16"/>
          <w:szCs w:val="16"/>
        </w:rPr>
        <w:t>За секретаря Совета труда и обороны Базилевич</w:t>
      </w:r>
    </w:p>
    <w:p w14:paraId="58CF4AF0" w14:textId="77777777" w:rsidR="00B2303C" w:rsidRPr="0044524F" w:rsidRDefault="00B2303C"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237AB1D4"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¹* Здесь и далее: таблицы, данные в приложении, не публикуются (см. там же, л. 17</w:t>
      </w:r>
      <w:r w:rsidRPr="0044524F">
        <w:rPr>
          <w:color w:val="000000" w:themeColor="text1"/>
          <w:sz w:val="16"/>
          <w:szCs w:val="16"/>
        </w:rPr>
        <w:noBreakHyphen/>
        <w:t>29).</w:t>
      </w:r>
    </w:p>
    <w:p w14:paraId="3504E749"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lastRenderedPageBreak/>
        <w:t>²* Пункт 2 в тексте отсутствует.</w:t>
      </w:r>
    </w:p>
    <w:p w14:paraId="1829AA1F"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³* Из намеченных к выпуску в 1934 г. моторов М</w:t>
      </w:r>
      <w:r w:rsidRPr="0044524F">
        <w:rPr>
          <w:color w:val="000000" w:themeColor="text1"/>
          <w:sz w:val="16"/>
          <w:szCs w:val="16"/>
        </w:rPr>
        <w:noBreakHyphen/>
        <w:t>34 700 шт. идут на неавиационные цели — танки, гидролодки и т. д. (</w:t>
      </w:r>
      <w:r w:rsidRPr="0044524F">
        <w:rPr>
          <w:rStyle w:val="af0"/>
          <w:i w:val="0"/>
          <w:color w:val="000000" w:themeColor="text1"/>
          <w:sz w:val="16"/>
          <w:szCs w:val="16"/>
        </w:rPr>
        <w:t>Прим. док.</w:t>
      </w:r>
      <w:r w:rsidRPr="0044524F">
        <w:rPr>
          <w:color w:val="000000" w:themeColor="text1"/>
          <w:sz w:val="16"/>
          <w:szCs w:val="16"/>
        </w:rPr>
        <w:t>).</w:t>
      </w:r>
    </w:p>
    <w:p w14:paraId="11702F7F"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⁴* Здесь и далее: в числителе мощности по строительству, в знаменателе — по оборудованию. В итоге показаны мощности по оборудованию (</w:t>
      </w:r>
      <w:r w:rsidRPr="0044524F">
        <w:rPr>
          <w:rStyle w:val="af0"/>
          <w:i w:val="0"/>
          <w:color w:val="000000" w:themeColor="text1"/>
          <w:sz w:val="16"/>
          <w:szCs w:val="16"/>
        </w:rPr>
        <w:t>Прим. док.</w:t>
      </w:r>
      <w:r w:rsidRPr="0044524F">
        <w:rPr>
          <w:color w:val="000000" w:themeColor="text1"/>
          <w:sz w:val="16"/>
          <w:szCs w:val="16"/>
        </w:rPr>
        <w:t>).</w:t>
      </w:r>
    </w:p>
    <w:p w14:paraId="17DAD283"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⁵* </w:t>
      </w:r>
      <w:r w:rsidRPr="0044524F">
        <w:rPr>
          <w:rStyle w:val="af0"/>
          <w:bCs/>
          <w:i w:val="0"/>
          <w:color w:val="000000" w:themeColor="text1"/>
          <w:sz w:val="16"/>
          <w:szCs w:val="16"/>
        </w:rPr>
        <w:t>Пулемет «Максим»</w:t>
      </w:r>
      <w:r w:rsidRPr="0044524F">
        <w:rPr>
          <w:color w:val="000000" w:themeColor="text1"/>
          <w:sz w:val="16"/>
          <w:szCs w:val="16"/>
        </w:rPr>
        <w:t>, название первого в мире боеспособного автоматического оружия — станкового пулемета, созданного американским изобретателем X. С. Максимом в 1883 г. под винтовочные патроны. В начале XX века пулемет появился во многих государствах, в том числе в России. Был усовершенствован русскими оружейниками и в 1910 г. принят на вооружение со станком А. А. Соколова. Модернизированный в 1930 и 1941 гг. «Максим» применялся в Красной армии до конца Великой Отечественной войны. Главные недостатки пулемета — жидкостное охлаждение и большой для этого вида оружия вес, что уменьшало его маневренные возможности.</w:t>
      </w:r>
    </w:p>
    <w:p w14:paraId="40CAA7FB"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⁶* В 1927 г. на вооружение РККА был принят «легкий» пулемет — 7,62</w:t>
      </w:r>
      <w:r w:rsidRPr="0044524F">
        <w:rPr>
          <w:color w:val="000000" w:themeColor="text1"/>
          <w:sz w:val="16"/>
          <w:szCs w:val="16"/>
        </w:rPr>
        <w:noBreakHyphen/>
        <w:t xml:space="preserve">мм ручной </w:t>
      </w:r>
      <w:r w:rsidRPr="0044524F">
        <w:rPr>
          <w:rStyle w:val="af0"/>
          <w:bCs/>
          <w:i w:val="0"/>
          <w:color w:val="000000" w:themeColor="text1"/>
          <w:sz w:val="16"/>
          <w:szCs w:val="16"/>
        </w:rPr>
        <w:t>пулемет ДП (Дегтярев-пехотный), разработанный конструктором В. А. Дегтяревым</w:t>
      </w:r>
      <w:r w:rsidRPr="0044524F">
        <w:rPr>
          <w:color w:val="000000" w:themeColor="text1"/>
          <w:sz w:val="16"/>
          <w:szCs w:val="16"/>
        </w:rPr>
        <w:t xml:space="preserve"> в 1926 г. Предназначался для огневой поддержки пехоты и по своим боевым качествам превосходил аналогичные зарубежные образцы. С 1927 г. на Ковровском заводе было налажено его массовое производство. На базе ручного пулемета ДП были разработаны и приняты на вооружение: в 1928 г. пулемет ДА (Дегтярев-авиационный), в 1929 г. — ДТ (Дегтярев-танковый) и в 1930 г. на вооружение поступил спаренный авиационный пулемет Дегтярева ДА</w:t>
      </w:r>
      <w:r w:rsidRPr="0044524F">
        <w:rPr>
          <w:color w:val="000000" w:themeColor="text1"/>
          <w:sz w:val="16"/>
          <w:szCs w:val="16"/>
        </w:rPr>
        <w:noBreakHyphen/>
        <w:t>2. Пулемет Дегтярева калибра 12,7</w:t>
      </w:r>
      <w:r w:rsidRPr="0044524F">
        <w:rPr>
          <w:color w:val="000000" w:themeColor="text1"/>
          <w:sz w:val="16"/>
          <w:szCs w:val="16"/>
        </w:rPr>
        <w:noBreakHyphen/>
        <w:t>мм начал производиться с 1932 г. под обозначением ДК (Дегтярев-крупнокалиберный). Недостатки схемы вынудили прекратить выпуск ДК в 1935 г. и заняться его усовершенствованием. К 1938 г. конструктор Шпагин усовершенствовал пулемет, и в 1939 г. он был принят на вооружение РККА под обозначением «12,7</w:t>
      </w:r>
      <w:r w:rsidRPr="0044524F">
        <w:rPr>
          <w:color w:val="000000" w:themeColor="text1"/>
          <w:sz w:val="16"/>
          <w:szCs w:val="16"/>
        </w:rPr>
        <w:noBreakHyphen/>
        <w:t>мм крупнокалиберный пулемет Дегтярева-Шпагина образца 1938 г. — ДШК».</w:t>
      </w:r>
    </w:p>
    <w:p w14:paraId="399B3175"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⁷* </w:t>
      </w:r>
      <w:r w:rsidRPr="0044524F">
        <w:rPr>
          <w:rStyle w:val="af0"/>
          <w:bCs/>
          <w:i w:val="0"/>
          <w:color w:val="000000" w:themeColor="text1"/>
          <w:sz w:val="16"/>
          <w:szCs w:val="16"/>
        </w:rPr>
        <w:t>Государственный банк (Госбанк)</w:t>
      </w:r>
      <w:r w:rsidRPr="0044524F">
        <w:rPr>
          <w:color w:val="000000" w:themeColor="text1"/>
          <w:sz w:val="16"/>
          <w:szCs w:val="16"/>
        </w:rPr>
        <w:t xml:space="preserve"> был учрежден постановлением четвертой сессии ВЦИК от 13 октября 1921 г. для реализации финансовой политики государства и создания единой кредитной системы. Государственный банк входил в состав Наркомата финансов СССР, но подчинялся не коллегии, а непосредственно наркому финансов, который осуществлял общий надзор за операциями и утверждал ежегодную смету расходов и годовой отчет банка. Управление банком возлагалось на его правление. В числе других отделов правления Госбанка был военно-морской, который ведал распределением средств в военный период через полевые казначейства военных соединений. В 1928 г. на Госбанк была возложена вся работа по исполнению единого государственного бюджета. В 1932 г. проводилась кредитная реформа. Вместо отдельных кредитных групп в центральном аппарате Госбанка были созданы отраслевые кредитные управления, в том числе, кредитования тяжелой и оборонной промышленности. До 1938 г. Госбанк находился в составе Наркомфина, а затем был подчинен непосредственно Совнаркому СССР на правах союзного наркомата. (СУ 1921, № 72, Ст. 594).</w:t>
      </w:r>
    </w:p>
    <w:p w14:paraId="11C53737"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 xml:space="preserve">⁸* 8 июля 1934 г. Сектором обороны Госплана СССР была представлена справка о </w:t>
      </w:r>
      <w:r w:rsidRPr="0044524F">
        <w:rPr>
          <w:rStyle w:val="af0"/>
          <w:bCs/>
          <w:i w:val="0"/>
          <w:color w:val="000000" w:themeColor="text1"/>
          <w:sz w:val="16"/>
          <w:szCs w:val="16"/>
        </w:rPr>
        <w:t>выполнении промышленностью постановления № 85сс</w:t>
      </w:r>
      <w:r w:rsidRPr="0044524F">
        <w:rPr>
          <w:color w:val="000000" w:themeColor="text1"/>
          <w:sz w:val="16"/>
          <w:szCs w:val="16"/>
        </w:rPr>
        <w:t>. В ней в частности говорилось, что в 1934 г. не будут готовы работать на полную мощность заводы «Новое Сормово», «Баррикады», Уралмашзавод, Ижевский завод, а также не обеспечены сроки окончания ввода в действие торпедного завода «Двигательстрой» и Сталинградского тракторного завода. Капиталовложения по гильзовым заводам недостаточны, а также незначительны ассигнования по строительству новых капсюльных заводов, заводов трассирующих патронов, нового завода оптических приборов для самолетов и танков и авиационных заводов, в связи с чем требуемые мощности по этим производствам в 1935 г. созданы не будут. Недостаточные капиталовложения в военно-химическое производство не позволят закончить в срок строительство новых комбинатов в Каменске, Алексино и Кемерово, законсервировано строительство завода пикриновой кислоты в Березниках. Строительства ряда химических комбинатов получили ассигнования только на проектирование и подготовительные работы. (РГАЭ. Ф. 4372. Оп. 91. Д. 2009. Л. 31</w:t>
      </w:r>
      <w:r w:rsidRPr="0044524F">
        <w:rPr>
          <w:color w:val="000000" w:themeColor="text1"/>
          <w:sz w:val="16"/>
          <w:szCs w:val="16"/>
        </w:rPr>
        <w:noBreakHyphen/>
        <w:t>30).</w:t>
      </w:r>
    </w:p>
    <w:p w14:paraId="55E3E70F"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ГА РФ. Ф. Р-8418. Оп. 28. Д. 2а. Л. 1-16. Подлинник (15279).</w:t>
      </w:r>
    </w:p>
    <w:p w14:paraId="23241F7D" w14:textId="77777777" w:rsidR="00B2303C" w:rsidRPr="0044524F" w:rsidRDefault="00B2303C" w:rsidP="009654CF">
      <w:pPr>
        <w:shd w:val="clear" w:color="auto" w:fill="FFFFFF"/>
        <w:spacing w:after="0" w:line="240" w:lineRule="auto"/>
        <w:jc w:val="both"/>
        <w:rPr>
          <w:rFonts w:ascii="Times New Roman" w:hAnsi="Times New Roman"/>
          <w:bCs/>
          <w:iCs/>
          <w:color w:val="000000" w:themeColor="text1"/>
          <w:sz w:val="16"/>
          <w:szCs w:val="16"/>
        </w:rPr>
      </w:pPr>
    </w:p>
    <w:p w14:paraId="40D23372" w14:textId="77777777" w:rsidR="006F2F8B" w:rsidRPr="0044524F" w:rsidRDefault="006F2F8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9 сентября СТО СССР утвердил предложения Орджоникидзе по развитию производственных мощностей для выпуска снарядов, патронов и авиационных бомб на 1934-1936 гг. (в этом отношении между Наркомтяжпромом и Госпланом разногласий не было, да и мобзаявке НКВМ на 1938 г. эти показатели прямо не противоречили). Тем же постановлением "Об обеспечении РККА вооружением на год ведения войны и капитальном строительстве Наркомтяжпрома" Совет Труда и Обороны прекратил действие плана мобилизации промышленности "МВ-10" (в 1931 г. он действовал наряду с "С-30", в 1932 г. - в качестве мобплана тяжелой промышленности) (22725).</w:t>
      </w:r>
    </w:p>
    <w:p w14:paraId="5B0C6398" w14:textId="77777777" w:rsidR="006F2F8B" w:rsidRPr="0044524F" w:rsidRDefault="006F2F8B" w:rsidP="009654CF">
      <w:pPr>
        <w:spacing w:after="0" w:line="240" w:lineRule="auto"/>
        <w:jc w:val="both"/>
        <w:rPr>
          <w:rFonts w:ascii="Times New Roman" w:hAnsi="Times New Roman"/>
          <w:color w:val="000000" w:themeColor="text1"/>
          <w:sz w:val="16"/>
          <w:szCs w:val="16"/>
        </w:rPr>
      </w:pPr>
    </w:p>
    <w:p w14:paraId="3BD8CD9C" w14:textId="77777777" w:rsidR="005A361E" w:rsidRPr="0044524F" w:rsidRDefault="005A361E"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bCs/>
          <w:iCs/>
          <w:color w:val="000000" w:themeColor="text1"/>
          <w:sz w:val="16"/>
          <w:szCs w:val="16"/>
        </w:rPr>
        <w:t>9 сентября 1933 г.</w:t>
      </w:r>
      <w:r w:rsidRPr="0044524F">
        <w:rPr>
          <w:rFonts w:ascii="Times New Roman" w:hAnsi="Times New Roman"/>
          <w:color w:val="000000" w:themeColor="text1"/>
          <w:sz w:val="16"/>
          <w:szCs w:val="16"/>
        </w:rPr>
        <w:t xml:space="preserve"> Постановление Совета Труда и Обороны СССР о развитии промышленности ОВ. Предусмотрено, что к 1 января 1936 г. в стране должны быть созданы мощности по выпуску ОВ в общем объеме 107600 тонн в год, в том числе: иприта — 79000 тонн, люизита — 500 тонн, фосгена — 16200 тонн, дифосгена — 3400 тонн, синильной кислоты — 2500 тонн, адамсита — 6000 тонн (17133).</w:t>
      </w:r>
    </w:p>
    <w:p w14:paraId="0754B34A" w14:textId="77777777" w:rsidR="005A361E" w:rsidRPr="0044524F" w:rsidRDefault="005A361E" w:rsidP="009654CF">
      <w:pPr>
        <w:shd w:val="clear" w:color="auto" w:fill="FFFFFF"/>
        <w:spacing w:after="0" w:line="240" w:lineRule="auto"/>
        <w:jc w:val="both"/>
        <w:rPr>
          <w:rFonts w:ascii="Times New Roman" w:hAnsi="Times New Roman"/>
          <w:color w:val="000000" w:themeColor="text1"/>
          <w:sz w:val="16"/>
          <w:szCs w:val="16"/>
        </w:rPr>
      </w:pPr>
    </w:p>
    <w:p w14:paraId="576EDAA6" w14:textId="77777777" w:rsidR="005A361E" w:rsidRPr="0044524F" w:rsidRDefault="005A361E" w:rsidP="009654CF">
      <w:pPr>
        <w:pStyle w:val="rtejustify"/>
        <w:spacing w:before="0" w:after="0"/>
        <w:rPr>
          <w:color w:val="000000" w:themeColor="text1"/>
          <w:sz w:val="16"/>
          <w:szCs w:val="16"/>
        </w:rPr>
      </w:pPr>
      <w:r w:rsidRPr="0044524F">
        <w:rPr>
          <w:rStyle w:val="af0"/>
          <w:i w:val="0"/>
          <w:color w:val="000000" w:themeColor="text1"/>
          <w:sz w:val="16"/>
          <w:szCs w:val="16"/>
        </w:rPr>
        <w:t xml:space="preserve">9 сентября 1933 г. </w:t>
      </w:r>
      <w:r w:rsidRPr="0044524F">
        <w:rPr>
          <w:color w:val="000000" w:themeColor="text1"/>
          <w:sz w:val="16"/>
          <w:szCs w:val="16"/>
        </w:rPr>
        <w:t>Доклад начальника Военно-морских сил РККА В. М. Орлова наркому по военным и морским делам СССР и председателю Реввоенсовета СССР К. Е. Ворошилову о состоянии строительства подводных лодок</w:t>
      </w:r>
    </w:p>
    <w:p w14:paraId="52C6F80E"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Докладываю, что положение с постройкой подводных лодок на всех заводах НКТП, несмотря на соответствующие решения правительства, продолжает оставаться по-прежнему неудовлетворительным. Из 39 подлежащих сдаче в 1933 г. подлодок на сегодня предъявлено к сдаточным испытаниям всего 8, причем до сих пор ни одна из этих подлодок не принята, вследствие ряда обнаруженных на испытаниях недостатков.</w:t>
      </w:r>
    </w:p>
    <w:p w14:paraId="3627248D"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А. Дальний Восток</w:t>
      </w:r>
    </w:p>
    <w:p w14:paraId="16B20B8B" w14:textId="77777777" w:rsidR="005A361E" w:rsidRPr="0044524F" w:rsidRDefault="005A361E" w:rsidP="009654CF">
      <w:pPr>
        <w:pStyle w:val="rtejustify"/>
        <w:spacing w:before="0" w:after="0"/>
        <w:rPr>
          <w:color w:val="000000" w:themeColor="text1"/>
          <w:sz w:val="16"/>
          <w:szCs w:val="16"/>
        </w:rPr>
      </w:pPr>
      <w:r w:rsidRPr="0044524F">
        <w:rPr>
          <w:rStyle w:val="af0"/>
          <w:bCs/>
          <w:i w:val="0"/>
          <w:color w:val="000000" w:themeColor="text1"/>
          <w:sz w:val="16"/>
          <w:szCs w:val="16"/>
        </w:rPr>
        <w:t>Подлодки типа «Карась»</w:t>
      </w:r>
      <w:r w:rsidRPr="0044524F">
        <w:rPr>
          <w:color w:val="000000" w:themeColor="text1"/>
          <w:sz w:val="16"/>
          <w:szCs w:val="16"/>
        </w:rPr>
        <w:t>¹*. Из 9 подлодок, которые должны быть сданы в этом году, пока предъявлено к приемным испытаниям только две (229 и 159).</w:t>
      </w:r>
    </w:p>
    <w:p w14:paraId="47719090"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Тов. Гамарником были 10 августа 1933 г. установлены следующие сроки сдачи шести подлодок, строящихся на Дальзаводе: первая (229) — до 1 сентября; вторая (159) — до 15 сентября; третья (160) — до 1 октября; четвертая (230) — до 15 октября; пятая (457) — до 1 ноября; шестая (458) — до 15 декабря. Однако срок сдачи первой подлодки уже не выдержан вследствие происшедшей аварии дизеля (поломка поршня, втулки цилиндра и мотылевых подшипников) при 24</w:t>
      </w:r>
      <w:r w:rsidRPr="0044524F">
        <w:rPr>
          <w:color w:val="000000" w:themeColor="text1"/>
          <w:sz w:val="16"/>
          <w:szCs w:val="16"/>
        </w:rPr>
        <w:noBreakHyphen/>
        <w:t>часовом испытании; подлодка прекратила сдаточные испытания в ожидании исправления дизелей. Не подлежит сомнению, что сроки, установленные т. Гамарником, не будут выдержаны Дальзаводом.</w:t>
      </w:r>
    </w:p>
    <w:p w14:paraId="6AC3BF93"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Подлодки «Осиповского затона» (должны быть сданы 4 подлодки к 15 сентября) находятся еще в более тяжелом положении — только одна подлодка (234) переведена во Владивосток, вторая (233) имеет готовность 82,5%, а третья и четвертая (232 и 231) — соответственно 42% и 24%. Совершенно ясно, что подлодки 232 и 231 не могут быть сданы в 1933 г. Кроме того испытания подлодок ДВ показали, что надводная скорость вряд ли будет получена более 12,5 узлов (вместо 14,5 по спецификации) и подводная скорость — около 8 узлов (вместо 9,5 узлов по спецификации). Наконец, на подлодках обнаружен крупный дефект в приводах горизонтальных рулей, которые на глубине свыше 60 м отказываются работать.</w:t>
      </w:r>
    </w:p>
    <w:p w14:paraId="72994D61" w14:textId="77777777" w:rsidR="005A361E" w:rsidRPr="0044524F" w:rsidRDefault="005A361E" w:rsidP="009654CF">
      <w:pPr>
        <w:pStyle w:val="rtejustify"/>
        <w:spacing w:before="0" w:after="0"/>
        <w:rPr>
          <w:color w:val="000000" w:themeColor="text1"/>
          <w:sz w:val="16"/>
          <w:szCs w:val="16"/>
        </w:rPr>
      </w:pPr>
      <w:r w:rsidRPr="0044524F">
        <w:rPr>
          <w:rStyle w:val="af0"/>
          <w:bCs/>
          <w:i w:val="0"/>
          <w:color w:val="000000" w:themeColor="text1"/>
          <w:sz w:val="16"/>
          <w:szCs w:val="16"/>
        </w:rPr>
        <w:t>Подлодки типа «М»</w:t>
      </w:r>
      <w:r w:rsidRPr="0044524F">
        <w:rPr>
          <w:color w:val="000000" w:themeColor="text1"/>
          <w:sz w:val="16"/>
          <w:szCs w:val="16"/>
        </w:rPr>
        <w:t>²*. Из 20 подлодок, которые должны быть сданы в этом году еще ни одной лодки не предъявлено к приемным испытаниям, в то время как по постановлению правительства от 2 апреля 1933 г. на 1 сентября должно быть уже сдано 7 подлодок³*.</w:t>
      </w:r>
    </w:p>
    <w:p w14:paraId="7E3A806A"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Заводские же испытания двух лодок (236 и 243) показали ряд крупных конструктивных дефектов — неудовлетворительность и громоздкость привода от главного и экономического электромотора к компрессору высокого давления, медленность продувания торпедо-залповой систерны, недопустимо тяжелый для открывания привод кингстона носовой балластной систерны, совершенно неудовлетворительный привод носовых горизонтальных рулей, плохая судовая и батарейная вентиляция и другие более мелкие недостатки. Скорость лодок как надводная, так и подводная выдержаны также не будут. Указанные выше недостатки столь серьезны, что они прямым образом влияют на боеспособность подлодки типа «М» и потому обязательно должны быть устранены до предъявления подлодок к сдаточным испытаниям.</w:t>
      </w:r>
    </w:p>
    <w:p w14:paraId="255D5E37"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Необходимо констатировать вялость и недостаточность мероприятий, предпринимаемых ГУСПом, несмотря на ряд настойчивых указаний У ВМС, для устранения обнаруженных на «Малютках» недостатков; более того, имеется стремление Николаевских государственных заводов дать первые подлодки со значительными дефектами с последующим их исправлением на ДВ. В связи с этим сроки сдачи «Малюток» затягиваются, и нельзя даже ориентировочно определить, когда и в каком количестве будет произведена сдача этих подлодок.</w:t>
      </w:r>
    </w:p>
    <w:p w14:paraId="09F439A1"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Б. Балтийское море</w:t>
      </w:r>
    </w:p>
    <w:p w14:paraId="79537A33" w14:textId="77777777" w:rsidR="005A361E" w:rsidRPr="0044524F" w:rsidRDefault="005A361E" w:rsidP="009654CF">
      <w:pPr>
        <w:pStyle w:val="rtejustify"/>
        <w:spacing w:before="0" w:after="0"/>
        <w:rPr>
          <w:color w:val="000000" w:themeColor="text1"/>
          <w:sz w:val="16"/>
          <w:szCs w:val="16"/>
        </w:rPr>
      </w:pPr>
      <w:r w:rsidRPr="0044524F">
        <w:rPr>
          <w:rStyle w:val="af0"/>
          <w:bCs/>
          <w:i w:val="0"/>
          <w:color w:val="000000" w:themeColor="text1"/>
          <w:sz w:val="16"/>
          <w:szCs w:val="16"/>
        </w:rPr>
        <w:t>Подлодки типа «Ленинец»</w:t>
      </w:r>
      <w:r w:rsidRPr="0044524F">
        <w:rPr>
          <w:color w:val="000000" w:themeColor="text1"/>
          <w:sz w:val="16"/>
          <w:szCs w:val="16"/>
        </w:rPr>
        <w:t>⁴*. Из 3 подлодок, которые должны быть сданы в этом году и предъявлены к сдаче согласно гарантийному письму начальника ГУСПа т. Кондратьева: первая — 15 мая 1933 г., вторая — 15 июня 1933 г. и третья — 25 июля 1933 г., до сих пор ни одной не сдано. Предъявлено к сдаточным испытаниям 2 лодки, из них последняя только 1 сентября 1932 г. Заводские испытания этих лодок показали ряд дефектов, из которых наиболее существенным является неотработанность системы пневматического открывания кингстонов балластных систерн — кингстоны открываются неодновременно, и поэтому необходимо держать у всех кингстонов людей.</w:t>
      </w:r>
    </w:p>
    <w:p w14:paraId="1283F6E2" w14:textId="77777777" w:rsidR="005A361E" w:rsidRPr="0044524F" w:rsidRDefault="005A361E" w:rsidP="009654CF">
      <w:pPr>
        <w:pStyle w:val="rtejustify"/>
        <w:spacing w:before="0" w:after="0"/>
        <w:rPr>
          <w:color w:val="000000" w:themeColor="text1"/>
          <w:sz w:val="16"/>
          <w:szCs w:val="16"/>
        </w:rPr>
      </w:pPr>
      <w:r w:rsidRPr="0044524F">
        <w:rPr>
          <w:rStyle w:val="af0"/>
          <w:bCs/>
          <w:i w:val="0"/>
          <w:color w:val="000000" w:themeColor="text1"/>
          <w:sz w:val="16"/>
          <w:szCs w:val="16"/>
        </w:rPr>
        <w:t>Подлодки типа «Щука»</w:t>
      </w:r>
      <w:r w:rsidRPr="0044524F">
        <w:rPr>
          <w:color w:val="000000" w:themeColor="text1"/>
          <w:sz w:val="16"/>
          <w:szCs w:val="16"/>
        </w:rPr>
        <w:t>⁵*. Из подлежащих сдаче в этом году 4 подлодок также ни одной не сдано и предъявлено к сдаточным испытаниям 2 подлодки, причем одна из них уже заканчивает испытания. Испытания этих лодок показали тот же дефект в приводах горизонтальных рулей, что и на подлодках типа «Карась» ДВ. Скорость надводного хода также не выдержана — 11,9 узлов вместо 13,75 по спецификации. Четвертая подлодка — «Комсомолец»⁶* в этом году сдана не будет, т. к. заводом «Красное Сормово» произведен монтаж исключительно скверно.</w:t>
      </w:r>
    </w:p>
    <w:p w14:paraId="6BA2F56B"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В. Черное море</w:t>
      </w:r>
    </w:p>
    <w:p w14:paraId="65AE0859" w14:textId="77777777" w:rsidR="005A361E" w:rsidRPr="0044524F" w:rsidRDefault="005A361E" w:rsidP="009654CF">
      <w:pPr>
        <w:pStyle w:val="rtejustify"/>
        <w:spacing w:before="0" w:after="0"/>
        <w:rPr>
          <w:color w:val="000000" w:themeColor="text1"/>
          <w:sz w:val="16"/>
          <w:szCs w:val="16"/>
        </w:rPr>
      </w:pPr>
      <w:r w:rsidRPr="0044524F">
        <w:rPr>
          <w:rStyle w:val="a7"/>
          <w:rFonts w:eastAsiaTheme="majorEastAsia"/>
          <w:b w:val="0"/>
          <w:iCs/>
          <w:color w:val="000000" w:themeColor="text1"/>
          <w:sz w:val="16"/>
          <w:szCs w:val="16"/>
        </w:rPr>
        <w:t>Подлодки типа «Гарибальдиец»</w:t>
      </w:r>
      <w:r w:rsidRPr="0044524F">
        <w:rPr>
          <w:color w:val="000000" w:themeColor="text1"/>
          <w:sz w:val="16"/>
          <w:szCs w:val="16"/>
        </w:rPr>
        <w:t xml:space="preserve">. Из трех подлодок, которые должны быть сданы в этом году, предъявлены к испытаниям 2 лодки, причем головная сдается с декабря 1932 г. и, вследствие ряда дефектов и отсутствия полагающегося ей технического снабжения и, в частности, запасных частей по дизелям и электрооборудованию, до </w:t>
      </w:r>
      <w:r w:rsidRPr="0044524F">
        <w:rPr>
          <w:color w:val="000000" w:themeColor="text1"/>
          <w:sz w:val="16"/>
          <w:szCs w:val="16"/>
        </w:rPr>
        <w:lastRenderedPageBreak/>
        <w:t>сих пор еще не принята. Спецификационные скорости этих судов также не получены: надводная — 14 узлов вместо 14,7 узлов; подводная — 8,3 узлов вместо 9 узлов. Главными причинами подобного явно неудовлетворительного положения с постройкой подлодок надо считать:</w:t>
      </w:r>
    </w:p>
    <w:p w14:paraId="60832F8C"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1. Недостаточные усилия и внимание Народного комиссариата тяжелой промышленности, уделяемые строительству военных кораблей. Укрепление административно-хозяйственного и технического руководства заводов ГУСПа произведено крайне слабо, мобилизация 2 тыс. рабочих для верфей и судостроительных заводов, как это требует постановление правительства от 11 июля 1933 г.⁷*, не проведена; снабжение заводов ГУСПа материалами по-прежнему идет неудовлетворительно, проверка работы ГУСПа и его заводов, а также заводов-контрагентов отсутствует.</w:t>
      </w:r>
    </w:p>
    <w:p w14:paraId="23C3F94F"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2. Крайне плохая по качеству и некомплектная работа цехов судостроительных заводов, а также заводов-контрагентов, что особенно резко обнаруживается в процессе испытаний судов.</w:t>
      </w:r>
    </w:p>
    <w:p w14:paraId="3040114F"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3. Ряд конструктивных дефектов в новых устройствах и крайне вялые темпы изучения этих недостатков и их устранения.</w:t>
      </w:r>
    </w:p>
    <w:p w14:paraId="24E4D3BA"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В целях решительного содействия ускорению процесса сдачи судов, а также ввиду отсутствия у ГУСПа сдаточных экипажей, все командиры, инженеры-механики и весь личный состав подлодок на время производства испытаний как заводских, так и сдаточных, передан мною в распоряжение директоров соответствующих заводов. Участие личного состава в сдаточных испытаниях регламентировано согласованным с т. Кондратьевым и утвержденным мною 20 апреля 1933 г. «Положением о порядке участия личного состава подлодок в сдаточных испытаниях». Кроме того все наиболее квалифицированные инженеры-механики и краснофлотцы участвовали и участвуют в монтаже подлодок как инженеры и рабочие заводов.</w:t>
      </w:r>
    </w:p>
    <w:p w14:paraId="799B39BE"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Приемные комиссии и РВС морей получили ряд самых жестких указаний о недопущении требований каких-либо мелких переделок и улучшений, при одновременной тщательной проверке всех тактических элементов кораблей и при решительном повышении требовательности к качеству, в соответствии со спецификацией, всех предъявленных заводами к сдаче механизмов и устройств.</w:t>
      </w:r>
    </w:p>
    <w:p w14:paraId="5303308C"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Аппарат наблюдения за постройкой кораблей (Управление кораблестроения, комнабы), а также личный состав судов, принимают самое энергичное участие в выявлении всех конструктивных недостатков, в исследовании их причин и в разработке мер к их устранению. Однако усилия органов ВМС не могут восполнить крупнейших недостатков в организации и работе промышленности. По-видимому, без нового решительного нажима на НКТП военное судостроение еще долго будет оставаться в неудовлетворительном положении.</w:t>
      </w:r>
    </w:p>
    <w:p w14:paraId="3C6A54E2"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Докладываю при этом, что НКТП до сих пор не предпринял сколько-нибудь серьезных мероприятий по реализации постановления правительства о программе военного судостроения (от 11 июля 1933 г.), даже заказы на сталь для кораблей закладки 1933 г. до сих пор не размещены, и закладка 3 новых лидеров (все рабочие чертежи имеются), 4 тральщиков, а также 13 гидрографических судов находится под угрозой срыва.</w:t>
      </w:r>
    </w:p>
    <w:p w14:paraId="56473CC4"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Для обеспечения выполнения как программы сдачи кораблей в 1933 г., так и всей программы военного судостроения, необходимо:</w:t>
      </w:r>
    </w:p>
    <w:p w14:paraId="05F2FCCE"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1. Обязать наконец НКТП произвести в кратчайший срок решительную перестройку работы всех заводов ГУСПа, немедленно укрепив их административно-хозяйственное и техническое руководство наиболее сильными директорами и инженерами, а также выполнить решение правительства о мобилизации 2 тыс. рабочих для заводов ГУСПа Дальнего Востока.</w:t>
      </w:r>
    </w:p>
    <w:p w14:paraId="55D916E5"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2. Указать НКТП на безусловную необходимость предъявления к сдаточным испытаниям судов только вполне законченных и испытанных самими заводами со всеми запасными частями и техническим снаряжением.</w:t>
      </w:r>
    </w:p>
    <w:p w14:paraId="0450218B"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3. Подтвердить НКВМ (т. Орлову и т. Сивкову) не принимать от НКТП кораблей, не вполне укомплектованных и не имеющих всех положенных запчастей и техснабжения⁸*.</w:t>
      </w:r>
    </w:p>
    <w:p w14:paraId="11237684"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4. Предложить НКТП (т. Кондратьеву) в кратчайший срок произвести исправления всех обнаруженных в процессе испытаний на подлодках типа «М» дефектов и только после этого исправления предъявить подлодки к сдаче.</w:t>
      </w:r>
    </w:p>
    <w:p w14:paraId="18864F17"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5. В виде исключения допустить условную приемку: а) подлодки «Гарибальдиец» с обязательством НКТП устранить обнаруженные дефекты и подать запасные части и техснабжение в гарантийный период; б) подлодки «Щука» с обязательством устранить в зимний период после тщательного изучения вопроса неисправность в приводах горизонтальных рулей.</w:t>
      </w:r>
    </w:p>
    <w:p w14:paraId="7394F47A"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6. Предложить НКТП к 1 октября 1933 г. доложить правительству о принятых им мероприятиях по реализации постановления СТО от 11 июля 1933 г. «О программе военно-морского судостроения».</w:t>
      </w:r>
    </w:p>
    <w:p w14:paraId="3473E555"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7. Предложить НКТП немедленно уточнить план (и форсировать его выполнение) заводских и сдаточных испытаний подлодок и прочих военных кораблей по плану заказов 1933 г.</w:t>
      </w:r>
    </w:p>
    <w:p w14:paraId="5D31AED7" w14:textId="77777777" w:rsidR="005A361E" w:rsidRPr="0044524F" w:rsidRDefault="005A361E"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Военно-морских сил РККА Орлов</w:t>
      </w:r>
    </w:p>
    <w:p w14:paraId="560D5A73" w14:textId="77777777" w:rsidR="005A361E" w:rsidRPr="0044524F" w:rsidRDefault="005A361E"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5953E0A4"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Подводные лодки типа «Карась»</w:t>
      </w:r>
      <w:r w:rsidRPr="0044524F">
        <w:rPr>
          <w:color w:val="000000" w:themeColor="text1"/>
          <w:sz w:val="16"/>
          <w:szCs w:val="16"/>
        </w:rPr>
        <w:t xml:space="preserve"> являлись улучшенным продолжением проекта III серии типа «Щука» (УВМС присвоило этим лодкам обозначение «Щука</w:t>
      </w:r>
      <w:r w:rsidRPr="0044524F">
        <w:rPr>
          <w:color w:val="000000" w:themeColor="text1"/>
          <w:sz w:val="16"/>
          <w:szCs w:val="16"/>
        </w:rPr>
        <w:noBreakHyphen/>
        <w:t>А») и впоследствии были отнесены к V серии. Всего УВМС РККА планировало в декабре 1931 г. для срочной постройки 12 лодок для Дальнего Востока. Главным исполнителем этого срочного заказа стал Балтийский завод, где техническое бюро № 4 (позднее ЦКБС</w:t>
      </w:r>
      <w:r w:rsidRPr="0044524F">
        <w:rPr>
          <w:color w:val="000000" w:themeColor="text1"/>
          <w:sz w:val="16"/>
          <w:szCs w:val="16"/>
        </w:rPr>
        <w:noBreakHyphen/>
        <w:t>2) составило общий проект лодок. Головная лодка «Карась» (позднее «Лосось», с 1934 г. — ГЦ</w:t>
      </w:r>
      <w:r w:rsidRPr="0044524F">
        <w:rPr>
          <w:color w:val="000000" w:themeColor="text1"/>
          <w:sz w:val="16"/>
          <w:szCs w:val="16"/>
        </w:rPr>
        <w:noBreakHyphen/>
        <w:t>101) была заложена 20 марта 1932 г. Почти одновременно заложили и остальные одиннадцать. Корпуса лодок по железной дороге доставлялись из Ленинграда на Дальний Восток. Сборка осуществлялась на Дальзаводе во Владивостоке и в «Осиповском затоне» (Хабаровск). Спущенный на воду 25 декабря 1932 г., «Лосось» («Карась») вступил в строй Морских сил Дальнего Востока в сентябре 1933 г. Через год — в сентябре 1934 г. — флотом была принята последняя лодка V серии.</w:t>
      </w:r>
    </w:p>
    <w:p w14:paraId="01DDDEE1"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 xml:space="preserve">²* Работа по созданию </w:t>
      </w:r>
      <w:r w:rsidRPr="0044524F">
        <w:rPr>
          <w:rStyle w:val="af0"/>
          <w:bCs/>
          <w:i w:val="0"/>
          <w:color w:val="000000" w:themeColor="text1"/>
          <w:sz w:val="16"/>
          <w:szCs w:val="16"/>
        </w:rPr>
        <w:t>малых подводных лодок («М»)</w:t>
      </w:r>
      <w:r w:rsidRPr="0044524F">
        <w:rPr>
          <w:color w:val="000000" w:themeColor="text1"/>
          <w:sz w:val="16"/>
          <w:szCs w:val="16"/>
        </w:rPr>
        <w:t xml:space="preserve"> для условий Балтийского моря была начата по инициативе Морского управления Штаба РККА в мае 1930 г. Эскизный проект разработало Техбюро № 4 под руководством А. Н. Асафова, и 20 марта он был утвержден в РВС СССР. Постройка лодок, а также составление общего проекта лодки VI серии были возложены на Николаевский завод им. А. Марти. Одновременно строительство шло на заводе им. «61 коммунара». По окончании постройки 28 лодок были частично разгружены, на специальных железнодорожных транспортерах доставлены во Владивосток, спущены на воду и введены в строй. Первые две «Малютки» М</w:t>
      </w:r>
      <w:r w:rsidRPr="0044524F">
        <w:rPr>
          <w:color w:val="000000" w:themeColor="text1"/>
          <w:sz w:val="16"/>
          <w:szCs w:val="16"/>
        </w:rPr>
        <w:noBreakHyphen/>
        <w:t>1 и М</w:t>
      </w:r>
      <w:r w:rsidRPr="0044524F">
        <w:rPr>
          <w:color w:val="000000" w:themeColor="text1"/>
          <w:sz w:val="16"/>
          <w:szCs w:val="16"/>
        </w:rPr>
        <w:noBreakHyphen/>
        <w:t>2 вступили в состав Морских сил Дальнего Востока в конце апреля 1934 г., последняя (М</w:t>
      </w:r>
      <w:r w:rsidRPr="0044524F">
        <w:rPr>
          <w:color w:val="000000" w:themeColor="text1"/>
          <w:sz w:val="16"/>
          <w:szCs w:val="16"/>
        </w:rPr>
        <w:noBreakHyphen/>
        <w:t>28) — в августе 1935 г., М</w:t>
      </w:r>
      <w:r w:rsidRPr="0044524F">
        <w:rPr>
          <w:color w:val="000000" w:themeColor="text1"/>
          <w:sz w:val="16"/>
          <w:szCs w:val="16"/>
        </w:rPr>
        <w:noBreakHyphen/>
        <w:t>51 и М</w:t>
      </w:r>
      <w:r w:rsidRPr="0044524F">
        <w:rPr>
          <w:color w:val="000000" w:themeColor="text1"/>
          <w:sz w:val="16"/>
          <w:szCs w:val="16"/>
        </w:rPr>
        <w:noBreakHyphen/>
        <w:t>52 — в сентябре 1934 г. пополнили Морские силы Черного моря. Испытания первых «Малюток» VI серии выявили серьезные конструктивные недостатки, но, несмотря на недостатки проекта, в августе 1933 г. было принято решение о продолжении постройки «Малюток» по улучшенному варианту, получившему название М1</w:t>
      </w:r>
      <w:r w:rsidRPr="0044524F">
        <w:rPr>
          <w:color w:val="000000" w:themeColor="text1"/>
          <w:sz w:val="16"/>
          <w:szCs w:val="16"/>
        </w:rPr>
        <w:noBreakHyphen/>
        <w:t>бис серия. Эти лодки, строившиеся уже после смерти Асафова в марте 1934 — октябре 1936 г., стали первыми подводными кораблями отечественного флота с цельносварными прочными корпусами. Всего в этой серии было построено 10 лодок.</w:t>
      </w:r>
    </w:p>
    <w:p w14:paraId="37BC1569"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³* Постановление СТО СССР № 13сс/о «О выполнении заказов на 30 малых подлодок». (ГА РФ. Ф. Р</w:t>
      </w:r>
      <w:r w:rsidRPr="0044524F">
        <w:rPr>
          <w:color w:val="000000" w:themeColor="text1"/>
          <w:sz w:val="16"/>
          <w:szCs w:val="16"/>
        </w:rPr>
        <w:noBreakHyphen/>
        <w:t>8418. Оп. 28. Д. 1. Л. 97</w:t>
      </w:r>
      <w:r w:rsidRPr="0044524F">
        <w:rPr>
          <w:color w:val="000000" w:themeColor="text1"/>
          <w:sz w:val="16"/>
          <w:szCs w:val="16"/>
        </w:rPr>
        <w:noBreakHyphen/>
        <w:t>98).</w:t>
      </w:r>
    </w:p>
    <w:p w14:paraId="458E356A"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⁴* Технический проект лодок II серии разрабатывался в Техбюро № 4 под руководством Б. М. Малинина в 1928</w:t>
      </w:r>
      <w:r w:rsidRPr="0044524F">
        <w:rPr>
          <w:color w:val="000000" w:themeColor="text1"/>
          <w:sz w:val="16"/>
          <w:szCs w:val="16"/>
        </w:rPr>
        <w:noBreakHyphen/>
        <w:t>1929 гг. Первые три лодки II серии — «</w:t>
      </w:r>
      <w:r w:rsidRPr="0044524F">
        <w:rPr>
          <w:rStyle w:val="af0"/>
          <w:bCs/>
          <w:i w:val="0"/>
          <w:color w:val="000000" w:themeColor="text1"/>
          <w:sz w:val="16"/>
          <w:szCs w:val="16"/>
        </w:rPr>
        <w:t>Ленинец» (Л-1)</w:t>
      </w:r>
      <w:r w:rsidRPr="0044524F">
        <w:rPr>
          <w:color w:val="000000" w:themeColor="text1"/>
          <w:sz w:val="16"/>
          <w:szCs w:val="16"/>
        </w:rPr>
        <w:t xml:space="preserve">, «Марксист» (с 1931 г. — «Сталинец») и «Большевик» (с 1931 г. — «Фрунзовец») — были заложены на Балтийском заводе 6 сентября 1929 г. В марте-апреле следующего года на заводе им. А. Марти заложили однотипные «Гарибальдиец», «Чартист» и </w:t>
      </w:r>
      <w:r w:rsidRPr="0044524F">
        <w:rPr>
          <w:rStyle w:val="af0"/>
          <w:bCs/>
          <w:i w:val="0"/>
          <w:color w:val="000000" w:themeColor="text1"/>
          <w:sz w:val="16"/>
          <w:szCs w:val="16"/>
        </w:rPr>
        <w:t>«Карбонарий»</w:t>
      </w:r>
      <w:r w:rsidRPr="0044524F">
        <w:rPr>
          <w:color w:val="000000" w:themeColor="text1"/>
          <w:sz w:val="16"/>
          <w:szCs w:val="16"/>
        </w:rPr>
        <w:t>), Головная лодка «Ленинец» была спущена на воду 28 февраля 1931 г. и вступила в строй 22 октября 1933 г. Параллельно с ней строилась и вся серия. На создание пяти лодок было затрачено около 50 месяцев. Впервые в отечественном кораблестроении лодки типа «Ленинец» получили стальные торпедные аппараты вместо прежних бронзовых. Однако создать предусмотренную заданием систему беспузырной торпедной стрельбы для них не удалось. К недостаткам лодок II серии относились длительное погружение, большая шумность механизмов, скорость погрузки торпед. Наибольшие нарекания моряков вызывали низкие качества элементов аккумуляторных батарей и плохая система вентиляции ям. Опыт этих аварий был учтен и система вентиляции и устройство аккумуляторных ям лодок типа «Ленинец» были усовершенствованы. Усовершенствованный проект «Ленинца» был реализован при постройке шести больших подводных лодок для Дальнего Востока. Эти лодки первоначально были отнесены к II</w:t>
      </w:r>
      <w:r w:rsidRPr="0044524F">
        <w:rPr>
          <w:color w:val="000000" w:themeColor="text1"/>
          <w:sz w:val="16"/>
          <w:szCs w:val="16"/>
        </w:rPr>
        <w:noBreakHyphen/>
        <w:t>бис, а затем к XI серии. «Ворошиловец», «Дзержинец» и «Кировец», заложенные в апреле-июне 1934 г., строились ударными темпами на Балтийском заводе, а собирались и сдавались на Дальзаводе во Владивостоке. Они вступили в строй в конце 1936 г. «Менжинец» строился на заводе им. А. Марти в Николаеве и был закончен на Дальзаводе в декабре 1937 г. Заложенные с ним одновременно (июнь 1934 г.) николаевскими корабелами Л</w:t>
      </w:r>
      <w:r w:rsidRPr="0044524F">
        <w:rPr>
          <w:color w:val="000000" w:themeColor="text1"/>
          <w:sz w:val="16"/>
          <w:szCs w:val="16"/>
        </w:rPr>
        <w:noBreakHyphen/>
        <w:t>11 и Л</w:t>
      </w:r>
      <w:r w:rsidRPr="0044524F">
        <w:rPr>
          <w:color w:val="000000" w:themeColor="text1"/>
          <w:sz w:val="16"/>
          <w:szCs w:val="16"/>
        </w:rPr>
        <w:noBreakHyphen/>
        <w:t>12 были собраны на еще строящейся Амурской верфи в Комсомольске-на-Амуре и вступили в строй в конце 1938 г.</w:t>
      </w:r>
    </w:p>
    <w:p w14:paraId="7BA3ECEF"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 xml:space="preserve">⁵* Разработка </w:t>
      </w:r>
      <w:r w:rsidRPr="0044524F">
        <w:rPr>
          <w:rStyle w:val="af0"/>
          <w:bCs/>
          <w:i w:val="0"/>
          <w:color w:val="000000" w:themeColor="text1"/>
          <w:sz w:val="16"/>
          <w:szCs w:val="16"/>
        </w:rPr>
        <w:t>подводных лодок типа «Щука»</w:t>
      </w:r>
      <w:r w:rsidRPr="0044524F">
        <w:rPr>
          <w:color w:val="000000" w:themeColor="text1"/>
          <w:sz w:val="16"/>
          <w:szCs w:val="16"/>
        </w:rPr>
        <w:t>, была начата в 1928 г. в Научно-техническом бюро под руководством А. Н. Гарсоева и Б. М. Малинина. Последний вариант проекта был утвержден Реввоенсоветом в 1930 г. Головная лодка «Щука», давшая наименование всей серии, была отнесена к средним подводным лодкам. Она была спущена на воду в декабре 1930 г. и вступила в строй в октябре 1933 г. Разработка средних подводных лодок была продолжена в проекте «Щука</w:t>
      </w:r>
      <w:r w:rsidRPr="0044524F">
        <w:rPr>
          <w:color w:val="000000" w:themeColor="text1"/>
          <w:sz w:val="16"/>
          <w:szCs w:val="16"/>
        </w:rPr>
        <w:noBreakHyphen/>
        <w:t>Б», отнесенного к VII, а потом к V</w:t>
      </w:r>
      <w:r w:rsidRPr="0044524F">
        <w:rPr>
          <w:color w:val="000000" w:themeColor="text1"/>
          <w:sz w:val="16"/>
          <w:szCs w:val="16"/>
        </w:rPr>
        <w:noBreakHyphen/>
        <w:t>бис сериям с устранением в ней недостатков. По нему построили 14 подводных лодок. Головная — «Стерлядь» — была заложена на Ленинградском заводе им. Марти 10 октября 1932 г., собрана на Дальзаводе и вступила в строй морских сил Дальнего Востока в январе 1935 г. Строительство шло также на Балтийском заводе и Дальзаводе. Всего до марта 1935 г. в состав морских сил Дальнего Востока поступили восемь подводных лодок V</w:t>
      </w:r>
      <w:r w:rsidRPr="0044524F">
        <w:rPr>
          <w:color w:val="000000" w:themeColor="text1"/>
          <w:sz w:val="16"/>
          <w:szCs w:val="16"/>
        </w:rPr>
        <w:noBreakHyphen/>
        <w:t>бис серии. Четыре лодки V</w:t>
      </w:r>
      <w:r w:rsidRPr="0044524F">
        <w:rPr>
          <w:color w:val="000000" w:themeColor="text1"/>
          <w:sz w:val="16"/>
          <w:szCs w:val="16"/>
        </w:rPr>
        <w:noBreakHyphen/>
        <w:t>бис серии были построены для морских сил Черного моря на заводе им. Марти в Ленинграде со сборкой на заводе им. «61 коммунара» (г. Николаев). Последняя лодка этой серии вступила в строй в декабре 1935 г. Одновременно с разработкой общего проекта V</w:t>
      </w:r>
      <w:r w:rsidRPr="0044524F">
        <w:rPr>
          <w:color w:val="000000" w:themeColor="text1"/>
          <w:sz w:val="16"/>
          <w:szCs w:val="16"/>
        </w:rPr>
        <w:noBreakHyphen/>
        <w:t>бис серии ЦКБС</w:t>
      </w:r>
      <w:r w:rsidRPr="0044524F">
        <w:rPr>
          <w:color w:val="000000" w:themeColor="text1"/>
          <w:sz w:val="16"/>
          <w:szCs w:val="16"/>
        </w:rPr>
        <w:noBreakHyphen/>
        <w:t>2 разработало улучшенный проект средней лодки VIII серии (позже V</w:t>
      </w:r>
      <w:r w:rsidRPr="0044524F">
        <w:rPr>
          <w:color w:val="000000" w:themeColor="text1"/>
          <w:sz w:val="16"/>
          <w:szCs w:val="16"/>
        </w:rPr>
        <w:noBreakHyphen/>
        <w:t>бис II серии) по заданию на «Щуку</w:t>
      </w:r>
      <w:r w:rsidRPr="0044524F">
        <w:rPr>
          <w:color w:val="000000" w:themeColor="text1"/>
          <w:sz w:val="16"/>
          <w:szCs w:val="16"/>
        </w:rPr>
        <w:noBreakHyphen/>
        <w:t>Б». Головная лодка этой серии «Треска» была заложена на Балтийском заводе 6 ноября 1933 г., спущена на воду 1 августа 1934 г. Строительство велось также на заводе «Красное Сормово». Последняя лодка, предназначенная для тихоокеанского флота, вступила в строй в ноябре 1935 г., а последняя черноморская — в декабре 1936 г. В ходе эксплуатации подводные лодки типа «Щука» всех серий (43 лодки) показали себя достаточно надежными кораблями.</w:t>
      </w:r>
    </w:p>
    <w:p w14:paraId="5AC58D53"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lastRenderedPageBreak/>
        <w:t xml:space="preserve">⁶* Подводная лодка </w:t>
      </w:r>
      <w:r w:rsidRPr="0044524F">
        <w:rPr>
          <w:rStyle w:val="af0"/>
          <w:bCs/>
          <w:i w:val="0"/>
          <w:color w:val="000000" w:themeColor="text1"/>
          <w:sz w:val="16"/>
          <w:szCs w:val="16"/>
        </w:rPr>
        <w:t>«Комсомолец»(Щ-304)</w:t>
      </w:r>
      <w:r w:rsidRPr="0044524F">
        <w:rPr>
          <w:color w:val="000000" w:themeColor="text1"/>
          <w:sz w:val="16"/>
          <w:szCs w:val="16"/>
        </w:rPr>
        <w:t> — четвертая лодка серии «Щука» была заложена 23 февраля 1930 г. на заводе «Красное Сормово». После спуска на воду корпус «Комсомольца» в плавучем доке был доставлен из Горького в Ленинград по внутренним водным путям. Лодка достраивалась на Балтийском заводе и вступила в строй в августе 1934 г. Опыт создания лодки, впоследствии пригодился при серийной постройке подводных лодок в Горьком.</w:t>
      </w:r>
    </w:p>
    <w:p w14:paraId="67CB96C5"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 xml:space="preserve">⁷* Cм. документ от 11 июля 1933 г. — </w:t>
      </w:r>
      <w:hyperlink r:id="rId321" w:history="1">
        <w:r w:rsidRPr="0044524F">
          <w:rPr>
            <w:rStyle w:val="a5"/>
            <w:color w:val="000000" w:themeColor="text1"/>
            <w:sz w:val="16"/>
            <w:szCs w:val="16"/>
          </w:rPr>
          <w:t>Постановление СТО СССР № 58сс/о «О программе военно-морского судостроения на 1933</w:t>
        </w:r>
        <w:r w:rsidRPr="0044524F">
          <w:rPr>
            <w:rStyle w:val="a5"/>
            <w:color w:val="000000" w:themeColor="text1"/>
            <w:sz w:val="16"/>
            <w:szCs w:val="16"/>
          </w:rPr>
          <w:noBreakHyphen/>
          <w:t>1938 гг.»</w:t>
        </w:r>
      </w:hyperlink>
    </w:p>
    <w:p w14:paraId="0863F9CF" w14:textId="77777777" w:rsidR="005A361E" w:rsidRPr="0044524F" w:rsidRDefault="005A361E" w:rsidP="009654CF">
      <w:pPr>
        <w:pStyle w:val="rtejustify"/>
        <w:spacing w:before="0" w:after="0"/>
        <w:rPr>
          <w:color w:val="000000" w:themeColor="text1"/>
          <w:sz w:val="16"/>
          <w:szCs w:val="16"/>
        </w:rPr>
      </w:pPr>
      <w:r w:rsidRPr="0044524F">
        <w:rPr>
          <w:color w:val="000000" w:themeColor="text1"/>
          <w:sz w:val="16"/>
          <w:szCs w:val="16"/>
        </w:rPr>
        <w:t>⁸* На странице поверх текста рукописные пометы К. Е. Ворошилова — к п. 3: «Совершенно правильно. В. 15 сентября 1933 г.»; к пункту 4: «Правильно. В»; к пункту 5: «На это можно пойти, но только под личную ответственность начальника ВМС т. Орлова. В. 15 сентября 1933 г.»; к пункту 6: «Поставить на КО теперь же. В. 15 сентября.»</w:t>
      </w:r>
    </w:p>
    <w:p w14:paraId="7E731F6F" w14:textId="77777777" w:rsidR="005A361E" w:rsidRPr="0044524F" w:rsidRDefault="005A361E" w:rsidP="009654CF">
      <w:pPr>
        <w:pStyle w:val="ae"/>
        <w:spacing w:before="0" w:after="0"/>
        <w:jc w:val="both"/>
        <w:rPr>
          <w:color w:val="000000" w:themeColor="text1"/>
          <w:sz w:val="16"/>
          <w:szCs w:val="16"/>
        </w:rPr>
      </w:pPr>
      <w:r w:rsidRPr="0044524F">
        <w:rPr>
          <w:color w:val="000000" w:themeColor="text1"/>
          <w:sz w:val="16"/>
          <w:szCs w:val="16"/>
        </w:rPr>
        <w:t>РГАВМФ. Ф. 441. Оп. 11. Д. 12. Л. 230-237. Подлинник (15280).</w:t>
      </w:r>
    </w:p>
    <w:p w14:paraId="2189F018" w14:textId="77777777" w:rsidR="005A361E" w:rsidRPr="0044524F" w:rsidRDefault="005A361E" w:rsidP="009654CF">
      <w:pPr>
        <w:spacing w:after="0" w:line="240" w:lineRule="auto"/>
        <w:jc w:val="both"/>
        <w:rPr>
          <w:rFonts w:ascii="Times New Roman" w:hAnsi="Times New Roman"/>
          <w:iCs/>
          <w:color w:val="000000" w:themeColor="text1"/>
          <w:sz w:val="16"/>
          <w:szCs w:val="16"/>
        </w:rPr>
      </w:pPr>
    </w:p>
    <w:p w14:paraId="43CC8B7B" w14:textId="77777777" w:rsidR="005A361E" w:rsidRPr="0044524F" w:rsidRDefault="005A361E" w:rsidP="009654CF">
      <w:pPr>
        <w:pStyle w:val="620"/>
        <w:shd w:val="clear" w:color="auto" w:fill="auto"/>
        <w:spacing w:before="0" w:line="240" w:lineRule="auto"/>
        <w:rPr>
          <w:rStyle w:val="67"/>
          <w:color w:val="000000" w:themeColor="text1"/>
          <w:sz w:val="16"/>
          <w:szCs w:val="16"/>
        </w:rPr>
      </w:pPr>
      <w:r w:rsidRPr="0044524F">
        <w:rPr>
          <w:rStyle w:val="Bodytext2"/>
          <w:color w:val="000000" w:themeColor="text1"/>
          <w:sz w:val="16"/>
          <w:szCs w:val="16"/>
        </w:rPr>
        <w:t xml:space="preserve">9 сентября 1933 г. </w:t>
      </w:r>
      <w:r w:rsidRPr="0044524F">
        <w:rPr>
          <w:rStyle w:val="Heading3"/>
          <w:color w:val="000000" w:themeColor="text1"/>
          <w:sz w:val="16"/>
          <w:szCs w:val="16"/>
        </w:rPr>
        <w:t>Доклад начальника Военно-морских сил РККА В. М. Орлова наркому по военным и морским делам СССР и председателю Реввоенсовета СССР К. Е. Ворошилову о состоянии строительства подводных лодок</w:t>
      </w:r>
    </w:p>
    <w:p w14:paraId="190FC175"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rStyle w:val="67"/>
          <w:color w:val="000000" w:themeColor="text1"/>
          <w:sz w:val="16"/>
          <w:szCs w:val="16"/>
        </w:rPr>
        <w:t>Докладываю, что положение с постройкой подводных лодок на всех заводах НКТП, несмотря на соответствующие решения правительства, продолжает оставаться по-прежнему неудовлетворительным. Из 39 подлежащих сдаче в 1933 г. подлодок на сегодня предъявлено к сдаточным испытаниям всего 8, причем до сих пор ни одна из этих подлодок не принята вследствие ряда обнаруженных на испытаниях недостатков.</w:t>
      </w:r>
    </w:p>
    <w:p w14:paraId="0C7D5BD5" w14:textId="77777777" w:rsidR="005A361E" w:rsidRPr="0044524F" w:rsidRDefault="005A361E" w:rsidP="009654CF">
      <w:pPr>
        <w:pStyle w:val="620"/>
        <w:shd w:val="clear" w:color="auto" w:fill="auto"/>
        <w:spacing w:before="0" w:line="240" w:lineRule="auto"/>
        <w:rPr>
          <w:rStyle w:val="BodytextItalic"/>
          <w:i w:val="0"/>
          <w:color w:val="000000" w:themeColor="text1"/>
          <w:sz w:val="16"/>
          <w:szCs w:val="16"/>
        </w:rPr>
      </w:pPr>
      <w:bookmarkStart w:id="45" w:name="bookmark7"/>
      <w:r w:rsidRPr="0044524F">
        <w:rPr>
          <w:rStyle w:val="Heading4"/>
          <w:color w:val="000000" w:themeColor="text1"/>
          <w:sz w:val="16"/>
          <w:szCs w:val="16"/>
        </w:rPr>
        <w:t>А. Дальний Восток</w:t>
      </w:r>
      <w:bookmarkEnd w:id="45"/>
    </w:p>
    <w:p w14:paraId="4038A1F1"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rStyle w:val="BodytextItalic"/>
          <w:i w:val="0"/>
          <w:color w:val="000000" w:themeColor="text1"/>
          <w:sz w:val="16"/>
          <w:szCs w:val="16"/>
        </w:rPr>
        <w:t>Подлодки типа «Карась».</w:t>
      </w:r>
      <w:r w:rsidRPr="0044524F">
        <w:rPr>
          <w:rStyle w:val="67"/>
          <w:color w:val="000000" w:themeColor="text1"/>
          <w:sz w:val="16"/>
          <w:szCs w:val="16"/>
        </w:rPr>
        <w:t xml:space="preserve"> Из 9 подлодок, которые должны быть сданы в этом году, пока предъявлено к приемным испытаниям только две (229 и 159).</w:t>
      </w:r>
    </w:p>
    <w:p w14:paraId="57A970CB"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rStyle w:val="67"/>
          <w:color w:val="000000" w:themeColor="text1"/>
          <w:sz w:val="16"/>
          <w:szCs w:val="16"/>
        </w:rPr>
        <w:t>Тов. Гамарником были 10 августа 1933 г. установлены следующие сроки сдачи шести подлодок, строящихся на Дальзаводе: первая (229) — до 1 сентября; вторая (159) — до 15 сентября; третья (160) — до 1 октября; четвертая (230) — до 15 октября; пятая (457) — до 1 ноября; шестая (458) — до 15 декабря. Однако срок сдачи первой подлодки уже не выдержан вследствие происшедшей аварии дизеля (поломка поршня, втулки цилиндра и мотылевых подшипников) при 24-часовом испытании; подлодка прекратила сдаточные испытания в ожидании исправления дизелей. Не подлежит сомнению, что сроки, установленные т. Га</w:t>
      </w:r>
      <w:r w:rsidRPr="0044524F">
        <w:rPr>
          <w:rStyle w:val="67"/>
          <w:color w:val="000000" w:themeColor="text1"/>
          <w:sz w:val="16"/>
          <w:szCs w:val="16"/>
        </w:rPr>
        <w:softHyphen/>
        <w:t>марником, не будут выдержаны Дальзаводом.</w:t>
      </w:r>
    </w:p>
    <w:p w14:paraId="1A58F836"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rStyle w:val="67"/>
          <w:color w:val="000000" w:themeColor="text1"/>
          <w:sz w:val="16"/>
          <w:szCs w:val="16"/>
        </w:rPr>
        <w:t>Подлодки Осиповского затона (должны быть сданы 4 подлодки к 15 сентября) находятся еще в более тяжелом положении — только одна подлодка (234) переведена во Владивосток, вторая (233) имеет готовность 82,5%, а третья и четвертая (232 и 231) — соответственно 42% и 24%. Совершенно ясно, что подлодки 232 и 231 не могут быть сданы в 1933 г. Кроме того, испытания подлодок ДВ показали, что надводная скорость вряд ли будет получена более 12,5 узлов (вместо 14,5 по спецификации) и подводная скорость — около 8 узлов (вместо 9,5 узлов по спецификации). Наконец, на подлодках обнаружен крупный дефект в приводах горизонтальных рулей, которые на глубине свыше 60 м отказываются работать.</w:t>
      </w:r>
    </w:p>
    <w:p w14:paraId="6236E8A3"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rStyle w:val="BodytextItalic"/>
          <w:i w:val="0"/>
          <w:color w:val="000000" w:themeColor="text1"/>
          <w:sz w:val="16"/>
          <w:szCs w:val="16"/>
        </w:rPr>
        <w:t>Подлодки типа «М».</w:t>
      </w:r>
      <w:r w:rsidRPr="0044524F">
        <w:rPr>
          <w:rStyle w:val="67"/>
          <w:color w:val="000000" w:themeColor="text1"/>
          <w:sz w:val="16"/>
          <w:szCs w:val="16"/>
        </w:rPr>
        <w:t xml:space="preserve"> Из 20 подлодок, которые должны быть сданы в этом году, еще ни одной лодки не предъявлено к приемным испытаниям, в то время как по постановлению правительства от 2 апреля 1933 г. на 1 сентября должно быть уже сдано 7 подлодок.</w:t>
      </w:r>
    </w:p>
    <w:p w14:paraId="6F8797D1"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rStyle w:val="67"/>
          <w:color w:val="000000" w:themeColor="text1"/>
          <w:sz w:val="16"/>
          <w:szCs w:val="16"/>
        </w:rPr>
        <w:t>Заводские же испытания двух лодок (236 и 243) показали ряд крупных конструктивных дефектов — неудовлетворительность и громоздкость привода от главного и экономиче</w:t>
      </w:r>
      <w:r w:rsidRPr="0044524F">
        <w:rPr>
          <w:rStyle w:val="67"/>
          <w:color w:val="000000" w:themeColor="text1"/>
          <w:sz w:val="16"/>
          <w:szCs w:val="16"/>
        </w:rPr>
        <w:softHyphen/>
        <w:t>ского электромотора к компрессору высокого давления, медленность продувания торпе</w:t>
      </w:r>
      <w:r w:rsidRPr="0044524F">
        <w:rPr>
          <w:rStyle w:val="67"/>
          <w:color w:val="000000" w:themeColor="text1"/>
          <w:sz w:val="16"/>
          <w:szCs w:val="16"/>
        </w:rPr>
        <w:softHyphen/>
        <w:t>до-залповой систерны, недопустимо тяжелый для открывания привод кингстона носовой балластной систерны, совершенно неудовлетворительный привод носовых горизонтальных рулей, плохая судовая и батарейная вентиляция и другие, более мелкие недостатки. Ско</w:t>
      </w:r>
      <w:r w:rsidRPr="0044524F">
        <w:rPr>
          <w:rStyle w:val="67"/>
          <w:color w:val="000000" w:themeColor="text1"/>
          <w:sz w:val="16"/>
          <w:szCs w:val="16"/>
        </w:rPr>
        <w:softHyphen/>
        <w:t>рость лодок как надводная, так и подводная выдержаны также не будут. Указанные выше недостатки столь серьезны, что они прямым образом влияют на боеспособность подлодки типа «М» и потому обязательно должны быть устранены до предъявления подлодок к сда</w:t>
      </w:r>
      <w:r w:rsidRPr="0044524F">
        <w:rPr>
          <w:rStyle w:val="67"/>
          <w:color w:val="000000" w:themeColor="text1"/>
          <w:sz w:val="16"/>
          <w:szCs w:val="16"/>
        </w:rPr>
        <w:softHyphen/>
        <w:t>точным испытаниям.</w:t>
      </w:r>
    </w:p>
    <w:p w14:paraId="3FD82EA1"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color w:val="000000" w:themeColor="text1"/>
          <w:sz w:val="16"/>
          <w:szCs w:val="16"/>
        </w:rPr>
        <w:t>Необходимо констатировать вялость и недостаточность мероприятий, предпринимаемых ГУСПом, несмотря на ряд настойчивых указаний УВМС, для устранения обнаруженных на «Малютках» недостатков; более того, имеется стремление Николаевских государственных заводов дать первые подлодки со значительными дефектами с последующим их исправлением на ДВ. В связи с этим сроки сдачи «Малюток» затягиваются, и нельзя даже ориентировочно определить, когда и в каком количестве будет произведена сдача этих подлодок.</w:t>
      </w:r>
    </w:p>
    <w:p w14:paraId="63819A26" w14:textId="77777777" w:rsidR="005A361E" w:rsidRPr="0044524F" w:rsidRDefault="005A361E" w:rsidP="009654CF">
      <w:pPr>
        <w:pStyle w:val="620"/>
        <w:shd w:val="clear" w:color="auto" w:fill="auto"/>
        <w:spacing w:before="0" w:line="240" w:lineRule="auto"/>
        <w:rPr>
          <w:rStyle w:val="BodytextItalic"/>
          <w:i w:val="0"/>
          <w:color w:val="000000" w:themeColor="text1"/>
          <w:sz w:val="16"/>
          <w:szCs w:val="16"/>
        </w:rPr>
      </w:pPr>
      <w:r w:rsidRPr="0044524F">
        <w:rPr>
          <w:rStyle w:val="Heading4"/>
          <w:color w:val="000000" w:themeColor="text1"/>
          <w:sz w:val="16"/>
          <w:szCs w:val="16"/>
        </w:rPr>
        <w:t>Б. Балтийское море</w:t>
      </w:r>
    </w:p>
    <w:p w14:paraId="7E037E77"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rStyle w:val="BodytextItalic"/>
          <w:i w:val="0"/>
          <w:color w:val="000000" w:themeColor="text1"/>
          <w:sz w:val="16"/>
          <w:szCs w:val="16"/>
        </w:rPr>
        <w:t>Подлодки типа «Ленинец».</w:t>
      </w:r>
      <w:r w:rsidRPr="0044524F">
        <w:rPr>
          <w:color w:val="000000" w:themeColor="text1"/>
          <w:sz w:val="16"/>
          <w:szCs w:val="16"/>
        </w:rPr>
        <w:t xml:space="preserve"> Из 3 подлодок, которые должны быть сданы в этом году и предъявлены к сдаче согласно гарантийному письму начальника ГУСПа т. Кондратьева: первая — 15 мая 1933 г., вторая — 15 июня 1933 г. и третья — 25 июля 1933 г., до сих пор ни одной не сдано. Предъявлено к сдаточным испытаниям 2 лодки, из них последняя только 1 сентября 1932 г. Заводские испытания этих лодок показали ряд дефектов, из которых наи</w:t>
      </w:r>
      <w:r w:rsidRPr="0044524F">
        <w:rPr>
          <w:color w:val="000000" w:themeColor="text1"/>
          <w:sz w:val="16"/>
          <w:szCs w:val="16"/>
        </w:rPr>
        <w:softHyphen/>
        <w:t>более существенным является неотработанность системы пневматического открывания кингстонов балластных систерн — кингстоны открываются не одновременно, и поэтому необходимо держать у всех кингстонов людей.</w:t>
      </w:r>
    </w:p>
    <w:p w14:paraId="67179330"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rStyle w:val="BodytextItalic"/>
          <w:i w:val="0"/>
          <w:color w:val="000000" w:themeColor="text1"/>
          <w:sz w:val="16"/>
          <w:szCs w:val="16"/>
        </w:rPr>
        <w:t>Подлодки типа «Щука».</w:t>
      </w:r>
      <w:r w:rsidRPr="0044524F">
        <w:rPr>
          <w:color w:val="000000" w:themeColor="text1"/>
          <w:sz w:val="16"/>
          <w:szCs w:val="16"/>
        </w:rPr>
        <w:t xml:space="preserve"> Из подлежащих сдаче в этом году 4 подлодок также ни одной не сдано и предъявлено к сдаточным испытаниям 2 подлодки, причем одна из них уже заканчивает испытания. Испытания этих лодок показали тот же дефект в приводах гори</w:t>
      </w:r>
      <w:r w:rsidRPr="0044524F">
        <w:rPr>
          <w:color w:val="000000" w:themeColor="text1"/>
          <w:sz w:val="16"/>
          <w:szCs w:val="16"/>
        </w:rPr>
        <w:softHyphen/>
        <w:t>зонтальных рулей, что и на подлодках типа «Карась» ДВ. Скорость надводного хода также не выдержана — 11,9 узлов вместо 13,75 по спецификации. Четвертая подлодка — «Комсо</w:t>
      </w:r>
      <w:r w:rsidRPr="0044524F">
        <w:rPr>
          <w:color w:val="000000" w:themeColor="text1"/>
          <w:sz w:val="16"/>
          <w:szCs w:val="16"/>
        </w:rPr>
        <w:softHyphen/>
        <w:t>молец» в этом году сдана не будет, так как заводом «Красное Сормово» произведен монтаж исключительно скверно.</w:t>
      </w:r>
    </w:p>
    <w:p w14:paraId="0E76914D" w14:textId="77777777" w:rsidR="005A361E" w:rsidRPr="0044524F" w:rsidRDefault="005A361E" w:rsidP="009654CF">
      <w:pPr>
        <w:pStyle w:val="620"/>
        <w:shd w:val="clear" w:color="auto" w:fill="auto"/>
        <w:spacing w:before="0" w:line="240" w:lineRule="auto"/>
        <w:rPr>
          <w:rStyle w:val="BodytextItalic"/>
          <w:i w:val="0"/>
          <w:color w:val="000000" w:themeColor="text1"/>
          <w:sz w:val="16"/>
          <w:szCs w:val="16"/>
        </w:rPr>
      </w:pPr>
      <w:bookmarkStart w:id="46" w:name="bookmark9"/>
      <w:r w:rsidRPr="0044524F">
        <w:rPr>
          <w:rStyle w:val="Heading4"/>
          <w:color w:val="000000" w:themeColor="text1"/>
          <w:sz w:val="16"/>
          <w:szCs w:val="16"/>
        </w:rPr>
        <w:t>В. Черное море</w:t>
      </w:r>
      <w:bookmarkEnd w:id="46"/>
    </w:p>
    <w:p w14:paraId="75B0E9EC"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rStyle w:val="BodytextItalic"/>
          <w:i w:val="0"/>
          <w:color w:val="000000" w:themeColor="text1"/>
          <w:sz w:val="16"/>
          <w:szCs w:val="16"/>
        </w:rPr>
        <w:t>Подлодки типа «Гарибальдиец».</w:t>
      </w:r>
      <w:r w:rsidRPr="0044524F">
        <w:rPr>
          <w:color w:val="000000" w:themeColor="text1"/>
          <w:sz w:val="16"/>
          <w:szCs w:val="16"/>
        </w:rPr>
        <w:t xml:space="preserve"> Из трех подлодок, которые должны быть сданы в этом году, предъявлены к испытаниям 2 лодки, причем головная сдается с декабря 1932 г. и вследствие ряда дефектов и отсутствия полагающегося ей технического снабжения, в частности запасных частей по дизелям и электрооборудованию, до сих пор еще не принята. Спецификационные скорости этих судов также не получены: надводная — 14 узлов вместо 14,7 узлов; подвод</w:t>
      </w:r>
      <w:r w:rsidRPr="0044524F">
        <w:rPr>
          <w:color w:val="000000" w:themeColor="text1"/>
          <w:sz w:val="16"/>
          <w:szCs w:val="16"/>
        </w:rPr>
        <w:softHyphen/>
        <w:t>ная — 8,3 узлов вместо 9 узлов. Главными причинами подобного явно неудовлетворительного положения с постройкой подлодок надо считать:</w:t>
      </w:r>
    </w:p>
    <w:p w14:paraId="1F0AF05B" w14:textId="77777777" w:rsidR="005A361E" w:rsidRPr="0044524F" w:rsidRDefault="005A361E" w:rsidP="009654CF">
      <w:pPr>
        <w:pStyle w:val="620"/>
        <w:shd w:val="clear" w:color="auto" w:fill="auto"/>
        <w:tabs>
          <w:tab w:val="left" w:pos="634"/>
        </w:tabs>
        <w:spacing w:before="0" w:line="240" w:lineRule="auto"/>
        <w:rPr>
          <w:color w:val="000000" w:themeColor="text1"/>
          <w:sz w:val="16"/>
          <w:szCs w:val="16"/>
        </w:rPr>
      </w:pPr>
      <w:r w:rsidRPr="0044524F">
        <w:rPr>
          <w:color w:val="000000" w:themeColor="text1"/>
          <w:sz w:val="16"/>
          <w:szCs w:val="16"/>
        </w:rPr>
        <w:t>1. Недостаточные усилия и внимание Народного комиссариата тяжелой промышленно</w:t>
      </w:r>
      <w:r w:rsidRPr="0044524F">
        <w:rPr>
          <w:color w:val="000000" w:themeColor="text1"/>
          <w:sz w:val="16"/>
          <w:szCs w:val="16"/>
        </w:rPr>
        <w:softHyphen/>
        <w:t>сти, уделяемые строительству военных кораблей. Укрепление административно-хозяйствен</w:t>
      </w:r>
      <w:r w:rsidRPr="0044524F">
        <w:rPr>
          <w:color w:val="000000" w:themeColor="text1"/>
          <w:sz w:val="16"/>
          <w:szCs w:val="16"/>
        </w:rPr>
        <w:softHyphen/>
        <w:t>ного и технического руководства заводов ГУСПа произведено крайне слабо, мобилизация 2 тыс. рабочих для верфей и судостроительных заводов, как это требует постановление правительства от 11 июля 1933 г., не проведена; снабжение заводов ГУСПа материалами по-прежнему идет неудовлетворительно, проверка работы ГУСПа и его заводов, а также заводов-контрагентов отсутствует.</w:t>
      </w:r>
    </w:p>
    <w:p w14:paraId="01B3A303" w14:textId="77777777" w:rsidR="005A361E" w:rsidRPr="0044524F" w:rsidRDefault="005A361E" w:rsidP="009654CF">
      <w:pPr>
        <w:pStyle w:val="620"/>
        <w:shd w:val="clear" w:color="auto" w:fill="auto"/>
        <w:tabs>
          <w:tab w:val="left" w:pos="634"/>
        </w:tabs>
        <w:spacing w:before="0" w:line="240" w:lineRule="auto"/>
        <w:rPr>
          <w:color w:val="000000" w:themeColor="text1"/>
          <w:sz w:val="16"/>
          <w:szCs w:val="16"/>
        </w:rPr>
      </w:pPr>
      <w:r w:rsidRPr="0044524F">
        <w:rPr>
          <w:color w:val="000000" w:themeColor="text1"/>
          <w:sz w:val="16"/>
          <w:szCs w:val="16"/>
        </w:rPr>
        <w:t>2. Крайне плохая по качеству и некомплектная работа цехов судостроительных заводов, а также заводов-контрагентов, что особенно резко обнаруживается в процессе испытаний судов.</w:t>
      </w:r>
    </w:p>
    <w:p w14:paraId="6381564C"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color w:val="000000" w:themeColor="text1"/>
          <w:sz w:val="16"/>
          <w:szCs w:val="16"/>
        </w:rPr>
        <w:t>3. Ряд конструктивных дефектов в новых устройствах и крайне вялые темпы изучения этих недостатков и их устранения.</w:t>
      </w:r>
    </w:p>
    <w:p w14:paraId="73D881E4"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color w:val="000000" w:themeColor="text1"/>
          <w:sz w:val="16"/>
          <w:szCs w:val="16"/>
        </w:rPr>
        <w:t>В целях решительного содействия ускорению процесса сдачи судов, а также ввиду отсутствия у ГУСПа сдаточных экипажей, все командиры, инженеры-механики и весь личный состав подлодок на время производства испытаний как заводских, так и сдаточных переданы мною в распоряжение директоров соответствующих заводов. Участие личного состава в сдаточных испытаниях регламентировано согласованным с т. Кондратьевым и утвержденным мною 20 апреля 1933 г. «Положением о порядке участия личного состава подлодок в сдаточных испытаниях». Кроме того, все наиболее квалифицированные инжене</w:t>
      </w:r>
      <w:r w:rsidRPr="0044524F">
        <w:rPr>
          <w:color w:val="000000" w:themeColor="text1"/>
          <w:sz w:val="16"/>
          <w:szCs w:val="16"/>
        </w:rPr>
        <w:softHyphen/>
        <w:t>ры-механики и краснофлотцы участвовали и участвуют в монтаже подлодок как инженеры и рабочие заводов.</w:t>
      </w:r>
    </w:p>
    <w:p w14:paraId="53FC0854"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color w:val="000000" w:themeColor="text1"/>
          <w:sz w:val="16"/>
          <w:szCs w:val="16"/>
        </w:rPr>
        <w:t>Приемные комиссии и РВС морей получили ряд самых жестких указаний о недопущении требований каких-либо мелких переделок и улучшений при одновременной тщательной проверке всех тактических элементов кораблей и при решительном повышении требова</w:t>
      </w:r>
      <w:r w:rsidRPr="0044524F">
        <w:rPr>
          <w:color w:val="000000" w:themeColor="text1"/>
          <w:sz w:val="16"/>
          <w:szCs w:val="16"/>
        </w:rPr>
        <w:softHyphen/>
        <w:t>тельности к качеству, в соответствии со спецификацией, всех предъявленных заводами к сдаче механизмов и устройств.</w:t>
      </w:r>
    </w:p>
    <w:p w14:paraId="06D86C24"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color w:val="000000" w:themeColor="text1"/>
          <w:sz w:val="16"/>
          <w:szCs w:val="16"/>
        </w:rPr>
        <w:t>Аппарат наблюдения за постройкой кораблей (Управление кораблестроения, комнабы), а также личный состав судов принимают самое энергичное участие в выявлении всех кон</w:t>
      </w:r>
      <w:r w:rsidRPr="0044524F">
        <w:rPr>
          <w:color w:val="000000" w:themeColor="text1"/>
          <w:sz w:val="16"/>
          <w:szCs w:val="16"/>
        </w:rPr>
        <w:softHyphen/>
        <w:t>структивных недостатков, в исследовании их причин и в разработке мер к их устранению. Однако усилия органов ВМС не могут восполнить крупнейших недостатков в организации и работе промышленности. По-видимому, без нового решительного нажима на НКТП военное судостроение еще долго будет оставаться в неудовлетворительном положении.</w:t>
      </w:r>
    </w:p>
    <w:p w14:paraId="37B94A97"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color w:val="000000" w:themeColor="text1"/>
          <w:sz w:val="16"/>
          <w:szCs w:val="16"/>
        </w:rPr>
        <w:t>Докладываю при этом, что НКТП до сих пор не предпринял сколько-нибудь серьезных мероприятий по реализации постановления правительства о программе военного судостро</w:t>
      </w:r>
      <w:r w:rsidRPr="0044524F">
        <w:rPr>
          <w:color w:val="000000" w:themeColor="text1"/>
          <w:sz w:val="16"/>
          <w:szCs w:val="16"/>
        </w:rPr>
        <w:softHyphen/>
        <w:t>ения (от 11 июля 1933 г.), даже заказы на сталь для кораблей закладки 1933 г. до сих пор не размещены, и закладка 3 новых лидеров (все рабочие чертежи имеются), 4 тральщиков, а также 13 гидрографических судов находится под угрозой срыва.</w:t>
      </w:r>
    </w:p>
    <w:p w14:paraId="5A6F4E75" w14:textId="77777777" w:rsidR="005A361E" w:rsidRPr="0044524F" w:rsidRDefault="005A361E" w:rsidP="009654CF">
      <w:pPr>
        <w:pStyle w:val="620"/>
        <w:shd w:val="clear" w:color="auto" w:fill="auto"/>
        <w:spacing w:before="0" w:line="240" w:lineRule="auto"/>
        <w:rPr>
          <w:color w:val="000000" w:themeColor="text1"/>
          <w:sz w:val="16"/>
          <w:szCs w:val="16"/>
        </w:rPr>
      </w:pPr>
      <w:r w:rsidRPr="0044524F">
        <w:rPr>
          <w:color w:val="000000" w:themeColor="text1"/>
          <w:sz w:val="16"/>
          <w:szCs w:val="16"/>
        </w:rPr>
        <w:t>Для обеспечения выполнения как программы сдачи кораблей в 1933 г., так и всей про</w:t>
      </w:r>
      <w:r w:rsidRPr="0044524F">
        <w:rPr>
          <w:color w:val="000000" w:themeColor="text1"/>
          <w:sz w:val="16"/>
          <w:szCs w:val="16"/>
        </w:rPr>
        <w:softHyphen/>
        <w:t>граммы военного судостроения необходимо:</w:t>
      </w:r>
    </w:p>
    <w:p w14:paraId="7B21C2E8" w14:textId="77777777" w:rsidR="005A361E" w:rsidRPr="0044524F" w:rsidRDefault="005A361E" w:rsidP="009654CF">
      <w:pPr>
        <w:pStyle w:val="620"/>
        <w:shd w:val="clear" w:color="auto" w:fill="auto"/>
        <w:tabs>
          <w:tab w:val="left" w:pos="619"/>
        </w:tabs>
        <w:spacing w:before="0" w:line="240" w:lineRule="auto"/>
        <w:rPr>
          <w:color w:val="000000" w:themeColor="text1"/>
          <w:sz w:val="16"/>
          <w:szCs w:val="16"/>
        </w:rPr>
      </w:pPr>
      <w:r w:rsidRPr="0044524F">
        <w:rPr>
          <w:color w:val="000000" w:themeColor="text1"/>
          <w:sz w:val="16"/>
          <w:szCs w:val="16"/>
        </w:rPr>
        <w:t>1. Обязать, наконец, НКТП произвести в кратчайший срок решительную перестройку работы всех заводов ГУСПа, немедленно укрепив их административно-хозяйственное и техническое руководство наиболее сильными директорами и инженерами, а также выпол</w:t>
      </w:r>
      <w:r w:rsidRPr="0044524F">
        <w:rPr>
          <w:color w:val="000000" w:themeColor="text1"/>
          <w:sz w:val="16"/>
          <w:szCs w:val="16"/>
        </w:rPr>
        <w:softHyphen/>
        <w:t>нить решение правительства о мобилизации 2 тыс. рабочих для заводов ГУСПа Дальнего Востока.</w:t>
      </w:r>
    </w:p>
    <w:p w14:paraId="593F2768" w14:textId="77777777" w:rsidR="005A361E" w:rsidRPr="0044524F" w:rsidRDefault="005A361E" w:rsidP="009654CF">
      <w:pPr>
        <w:pStyle w:val="620"/>
        <w:shd w:val="clear" w:color="auto" w:fill="auto"/>
        <w:tabs>
          <w:tab w:val="left" w:pos="605"/>
        </w:tabs>
        <w:spacing w:before="0" w:line="240" w:lineRule="auto"/>
        <w:rPr>
          <w:color w:val="000000" w:themeColor="text1"/>
          <w:sz w:val="16"/>
          <w:szCs w:val="16"/>
        </w:rPr>
      </w:pPr>
      <w:r w:rsidRPr="0044524F">
        <w:rPr>
          <w:color w:val="000000" w:themeColor="text1"/>
          <w:sz w:val="16"/>
          <w:szCs w:val="16"/>
        </w:rPr>
        <w:t>2. Указать НКТП на безусловную необходимость предъявления к сдаточным испытани</w:t>
      </w:r>
      <w:r w:rsidRPr="0044524F">
        <w:rPr>
          <w:color w:val="000000" w:themeColor="text1"/>
          <w:sz w:val="16"/>
          <w:szCs w:val="16"/>
        </w:rPr>
        <w:softHyphen/>
        <w:t>ям судов только вполне законченных и испытанных самими заводами со всеми запасными частями и техническим снаряжением.</w:t>
      </w:r>
    </w:p>
    <w:p w14:paraId="66D794A0" w14:textId="77777777" w:rsidR="005A361E" w:rsidRPr="0044524F" w:rsidRDefault="005A361E" w:rsidP="009654CF">
      <w:pPr>
        <w:pStyle w:val="620"/>
        <w:shd w:val="clear" w:color="auto" w:fill="auto"/>
        <w:tabs>
          <w:tab w:val="left" w:pos="643"/>
        </w:tabs>
        <w:spacing w:before="0" w:line="240" w:lineRule="auto"/>
        <w:rPr>
          <w:color w:val="000000" w:themeColor="text1"/>
          <w:sz w:val="16"/>
          <w:szCs w:val="16"/>
        </w:rPr>
      </w:pPr>
      <w:r w:rsidRPr="0044524F">
        <w:rPr>
          <w:color w:val="000000" w:themeColor="text1"/>
          <w:sz w:val="16"/>
          <w:szCs w:val="16"/>
        </w:rPr>
        <w:t>3. Подтвердить НКВМ (т. Орлову и т. Сивкову) не принимать от НКТП кораблей, не вполне укомплектованных и не имеющих всех положенных запчастей и техснабжения (</w:t>
      </w:r>
      <w:r w:rsidRPr="0044524F">
        <w:rPr>
          <w:rStyle w:val="Footnote"/>
          <w:color w:val="000000" w:themeColor="text1"/>
          <w:sz w:val="16"/>
          <w:szCs w:val="16"/>
        </w:rPr>
        <w:t>На странице поверх текста рукописные пометы К. Е. Ворошилова к п. 3: «Совершенно правиль</w:t>
      </w:r>
      <w:r w:rsidRPr="0044524F">
        <w:rPr>
          <w:rStyle w:val="Footnote"/>
          <w:color w:val="000000" w:themeColor="text1"/>
          <w:sz w:val="16"/>
          <w:szCs w:val="16"/>
        </w:rPr>
        <w:softHyphen/>
        <w:t>но. В. 15 сентября 1933 г.»; к пункту 4: «Правильно. В.»; к пункту 5: «На это можно пойти, но только под личную ответственность начальника ВМС т. Орлова. В. 15 сентября 1933 г.»; к пункту 6: «Поставить на КО теперь же. В. 15 сентября»</w:t>
      </w:r>
      <w:r w:rsidRPr="0044524F">
        <w:rPr>
          <w:color w:val="000000" w:themeColor="text1"/>
          <w:sz w:val="16"/>
          <w:szCs w:val="16"/>
        </w:rPr>
        <w:t>).</w:t>
      </w:r>
    </w:p>
    <w:p w14:paraId="776DA1C7" w14:textId="77777777" w:rsidR="005A361E" w:rsidRPr="0044524F" w:rsidRDefault="005A361E" w:rsidP="009654CF">
      <w:pPr>
        <w:pStyle w:val="620"/>
        <w:shd w:val="clear" w:color="auto" w:fill="auto"/>
        <w:tabs>
          <w:tab w:val="left" w:pos="614"/>
        </w:tabs>
        <w:spacing w:before="0" w:line="240" w:lineRule="auto"/>
        <w:rPr>
          <w:color w:val="000000" w:themeColor="text1"/>
          <w:sz w:val="16"/>
          <w:szCs w:val="16"/>
        </w:rPr>
      </w:pPr>
      <w:r w:rsidRPr="0044524F">
        <w:rPr>
          <w:color w:val="000000" w:themeColor="text1"/>
          <w:sz w:val="16"/>
          <w:szCs w:val="16"/>
        </w:rPr>
        <w:lastRenderedPageBreak/>
        <w:t>4. Предложить НКТП (т. Кондратьеву) в кратчайший срок произвести исправления всех обнаруженных в процессе испытаний на подлодках типа М дефектов и только после этого исправления предъявить подлодки к сдаче.</w:t>
      </w:r>
    </w:p>
    <w:p w14:paraId="43E43F76" w14:textId="77777777" w:rsidR="005A361E" w:rsidRPr="0044524F" w:rsidRDefault="005A361E" w:rsidP="009654CF">
      <w:pPr>
        <w:pStyle w:val="620"/>
        <w:shd w:val="clear" w:color="auto" w:fill="auto"/>
        <w:tabs>
          <w:tab w:val="left" w:pos="614"/>
        </w:tabs>
        <w:spacing w:before="0" w:line="240" w:lineRule="auto"/>
        <w:rPr>
          <w:color w:val="000000" w:themeColor="text1"/>
          <w:sz w:val="16"/>
          <w:szCs w:val="16"/>
        </w:rPr>
      </w:pPr>
      <w:r w:rsidRPr="0044524F">
        <w:rPr>
          <w:color w:val="000000" w:themeColor="text1"/>
          <w:sz w:val="16"/>
          <w:szCs w:val="16"/>
        </w:rPr>
        <w:t>5. В виде исключения допустить условную приемку: а) подлодки «Гарибальдиец» с обяза</w:t>
      </w:r>
      <w:r w:rsidRPr="0044524F">
        <w:rPr>
          <w:color w:val="000000" w:themeColor="text1"/>
          <w:sz w:val="16"/>
          <w:szCs w:val="16"/>
        </w:rPr>
        <w:softHyphen/>
        <w:t>тельством НКТП устранить обнаруженные дефекты и подать запасные части и техснабжение в гарантийный период; б) подлодки «Щука» с обязательством устранить в зимний период после тщательного изучения вопроса неисправность в приводах горизонтальных рулей.</w:t>
      </w:r>
    </w:p>
    <w:p w14:paraId="26636890" w14:textId="77777777" w:rsidR="005A361E" w:rsidRPr="0044524F" w:rsidRDefault="005A361E" w:rsidP="009654CF">
      <w:pPr>
        <w:pStyle w:val="620"/>
        <w:shd w:val="clear" w:color="auto" w:fill="auto"/>
        <w:tabs>
          <w:tab w:val="left" w:pos="644"/>
        </w:tabs>
        <w:spacing w:before="0" w:line="240" w:lineRule="auto"/>
        <w:rPr>
          <w:color w:val="000000" w:themeColor="text1"/>
          <w:sz w:val="16"/>
          <w:szCs w:val="16"/>
        </w:rPr>
      </w:pPr>
      <w:r w:rsidRPr="0044524F">
        <w:rPr>
          <w:rStyle w:val="93"/>
          <w:color w:val="000000" w:themeColor="text1"/>
          <w:sz w:val="16"/>
          <w:szCs w:val="16"/>
        </w:rPr>
        <w:t>6. Предложить НКТП к 1 октября 1933 г. доложить правительству о принятых им меро</w:t>
      </w:r>
      <w:r w:rsidRPr="0044524F">
        <w:rPr>
          <w:rStyle w:val="93"/>
          <w:color w:val="000000" w:themeColor="text1"/>
          <w:sz w:val="16"/>
          <w:szCs w:val="16"/>
        </w:rPr>
        <w:softHyphen/>
        <w:t>приятиях по реализации постановления СТО от 11 июля 1933 г. «О программе военно-мор</w:t>
      </w:r>
      <w:r w:rsidRPr="0044524F">
        <w:rPr>
          <w:rStyle w:val="93"/>
          <w:color w:val="000000" w:themeColor="text1"/>
          <w:sz w:val="16"/>
          <w:szCs w:val="16"/>
        </w:rPr>
        <w:softHyphen/>
        <w:t>ского судостроения».</w:t>
      </w:r>
    </w:p>
    <w:p w14:paraId="4EAF15DB" w14:textId="77777777" w:rsidR="005A361E" w:rsidRPr="0044524F" w:rsidRDefault="005A361E" w:rsidP="009654CF">
      <w:pPr>
        <w:pStyle w:val="620"/>
        <w:shd w:val="clear" w:color="auto" w:fill="auto"/>
        <w:tabs>
          <w:tab w:val="left" w:pos="625"/>
        </w:tabs>
        <w:spacing w:before="0" w:line="240" w:lineRule="auto"/>
        <w:rPr>
          <w:color w:val="000000" w:themeColor="text1"/>
          <w:sz w:val="16"/>
          <w:szCs w:val="16"/>
        </w:rPr>
      </w:pPr>
      <w:r w:rsidRPr="0044524F">
        <w:rPr>
          <w:rStyle w:val="93"/>
          <w:color w:val="000000" w:themeColor="text1"/>
          <w:sz w:val="16"/>
          <w:szCs w:val="16"/>
        </w:rPr>
        <w:t>7. Предложить НКТП немедленно уточнить план (и форсировать его выполнение) завод</w:t>
      </w:r>
      <w:r w:rsidRPr="0044524F">
        <w:rPr>
          <w:rStyle w:val="93"/>
          <w:color w:val="000000" w:themeColor="text1"/>
          <w:sz w:val="16"/>
          <w:szCs w:val="16"/>
        </w:rPr>
        <w:softHyphen/>
        <w:t>ских и сдаточных испытаний подлодок и прочих военных кораблей по плану заказов 1933 г.</w:t>
      </w:r>
    </w:p>
    <w:p w14:paraId="2DE65F95" w14:textId="77777777" w:rsidR="005A361E" w:rsidRPr="0044524F" w:rsidRDefault="005A361E" w:rsidP="009654CF">
      <w:pPr>
        <w:tabs>
          <w:tab w:val="left" w:pos="8199"/>
        </w:tabs>
        <w:spacing w:after="0" w:line="240" w:lineRule="auto"/>
        <w:jc w:val="both"/>
        <w:rPr>
          <w:rFonts w:ascii="Times New Roman" w:hAnsi="Times New Roman"/>
          <w:color w:val="000000" w:themeColor="text1"/>
          <w:sz w:val="16"/>
          <w:szCs w:val="16"/>
        </w:rPr>
      </w:pPr>
      <w:r w:rsidRPr="0044524F">
        <w:rPr>
          <w:rStyle w:val="Bodytext2"/>
          <w:rFonts w:eastAsia="Calibri"/>
          <w:color w:val="000000" w:themeColor="text1"/>
          <w:sz w:val="16"/>
          <w:szCs w:val="16"/>
        </w:rPr>
        <w:t xml:space="preserve">Начальник Военно-морских сил РККА </w:t>
      </w:r>
      <w:r w:rsidRPr="0044524F">
        <w:rPr>
          <w:rStyle w:val="Bodytext211pt"/>
          <w:rFonts w:eastAsia="Calibri"/>
          <w:color w:val="000000" w:themeColor="text1"/>
          <w:sz w:val="16"/>
          <w:szCs w:val="16"/>
        </w:rPr>
        <w:t>Орлов</w:t>
      </w:r>
    </w:p>
    <w:p w14:paraId="79ED959E" w14:textId="77777777" w:rsidR="005A361E" w:rsidRPr="0044524F" w:rsidRDefault="005A361E" w:rsidP="009654CF">
      <w:pPr>
        <w:spacing w:after="0" w:line="240" w:lineRule="auto"/>
        <w:jc w:val="both"/>
        <w:rPr>
          <w:rStyle w:val="Bodytext3"/>
          <w:rFonts w:eastAsia="Calibri"/>
          <w:color w:val="000000" w:themeColor="text1"/>
          <w:sz w:val="16"/>
          <w:szCs w:val="16"/>
        </w:rPr>
      </w:pPr>
      <w:r w:rsidRPr="0044524F">
        <w:rPr>
          <w:rStyle w:val="Bodytext3"/>
          <w:rFonts w:eastAsia="Calibri"/>
          <w:color w:val="000000" w:themeColor="text1"/>
          <w:sz w:val="16"/>
          <w:szCs w:val="16"/>
        </w:rPr>
        <w:t>РГА ВМФ. Ф. 441. Оп. 11. Д. 12. Л. 230-237 (15123).</w:t>
      </w:r>
    </w:p>
    <w:p w14:paraId="2A91BAF9" w14:textId="77777777" w:rsidR="005A361E" w:rsidRPr="0044524F" w:rsidRDefault="005A361E" w:rsidP="009654CF">
      <w:pPr>
        <w:spacing w:after="0" w:line="240" w:lineRule="auto"/>
        <w:jc w:val="both"/>
        <w:rPr>
          <w:rStyle w:val="Bodytext3"/>
          <w:rFonts w:eastAsia="Calibri"/>
          <w:color w:val="000000" w:themeColor="text1"/>
          <w:sz w:val="16"/>
          <w:szCs w:val="16"/>
        </w:rPr>
      </w:pPr>
    </w:p>
    <w:p w14:paraId="33BE9D94" w14:textId="77777777" w:rsidR="007F23E2"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32AFF64E"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2388E960" w14:textId="77777777" w:rsidR="00B2303C" w:rsidRPr="0044524F" w:rsidRDefault="00B2303C" w:rsidP="009654CF">
      <w:pPr>
        <w:pStyle w:val="rtejustify"/>
        <w:spacing w:before="0" w:after="0"/>
        <w:rPr>
          <w:color w:val="000000" w:themeColor="text1"/>
          <w:sz w:val="16"/>
          <w:szCs w:val="16"/>
        </w:rPr>
      </w:pPr>
      <w:r w:rsidRPr="0044524F">
        <w:rPr>
          <w:rStyle w:val="af0"/>
          <w:bCs/>
          <w:i w:val="0"/>
          <w:color w:val="000000" w:themeColor="text1"/>
          <w:sz w:val="16"/>
          <w:szCs w:val="16"/>
        </w:rPr>
        <w:t>9 сентября</w:t>
      </w:r>
      <w:r w:rsidRPr="0044524F">
        <w:rPr>
          <w:color w:val="000000" w:themeColor="text1"/>
          <w:sz w:val="16"/>
          <w:szCs w:val="16"/>
        </w:rPr>
        <w:t xml:space="preserve"> 1933. Постановление СТО СССР № 86сс/о «О строительных частях на Дальнем Востоке». (ГА РФ. Ф. Р</w:t>
      </w:r>
      <w:r w:rsidRPr="0044524F">
        <w:rPr>
          <w:color w:val="000000" w:themeColor="text1"/>
          <w:sz w:val="16"/>
          <w:szCs w:val="16"/>
        </w:rPr>
        <w:noBreakHyphen/>
        <w:t>8418. Оп. 28. Д. 2. Л. 169) (15460).</w:t>
      </w:r>
    </w:p>
    <w:p w14:paraId="566DD5F3" w14:textId="77777777" w:rsidR="00B2303C" w:rsidRPr="0044524F" w:rsidRDefault="00B2303C" w:rsidP="009654CF">
      <w:pPr>
        <w:pStyle w:val="rtejustify"/>
        <w:spacing w:before="0" w:after="0"/>
        <w:rPr>
          <w:color w:val="000000" w:themeColor="text1"/>
          <w:sz w:val="16"/>
          <w:szCs w:val="16"/>
        </w:rPr>
      </w:pPr>
    </w:p>
    <w:p w14:paraId="4EB5AF75"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B18EFBA"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76B16C5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1933 в Москве основано издательство «Детская литература» (4962).</w:t>
      </w:r>
    </w:p>
    <w:p w14:paraId="0F96212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p>
    <w:p w14:paraId="0D834744"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051AA9D"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580AF14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1933 в ш Нью Йорк Американское межпланетное общество осуществило запуск очередной ракеты собственной конструкции и достигли высоты 130 м (2990).</w:t>
      </w:r>
    </w:p>
    <w:p w14:paraId="36D6D2AA"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31B4BDE3" w14:textId="5A017B57" w:rsidR="00270743" w:rsidRPr="0044524F" w:rsidRDefault="002707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1933 - В штате Нью-Йорк (США) Американское межпланетное общество осуществило запуск очередной ракеты собственной конструкции. Ракета достигла высоты 130 метров.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Ракета ARS № 4, разработанная Джоном Шеста и небольшой группой подобранных им помощников, имела двигатель с четырьмя соплами, расположенными так, чтобы струя газов, истекавшая из двигателя, направлялась назад, немного отклоняясь от стенок цилиндрического бензобака, на верхнем днище которого был установлен двигатель. Кислородный бак был установлен непосредственно за бензобаком. Небольшой цилиндрический контейнер для парашюта размещался перед двигателем, а сам двигатель был заключён в рубашку водяного охлаждения. Вычисления, основанные на данных трёх наблюдателей, находившихся на триангуляционных наблюдательных пунктах, и подтверждённые материалами киносъёмки и фотографирования, показали, что максимальная скорость ракеты превышала 1000 фут/сек (~300 м/сек) (22370).</w:t>
      </w:r>
    </w:p>
    <w:p w14:paraId="7DE577A4" w14:textId="77777777" w:rsidR="00270743" w:rsidRPr="0044524F" w:rsidRDefault="00270743" w:rsidP="009654CF">
      <w:pPr>
        <w:spacing w:after="0" w:line="240" w:lineRule="auto"/>
        <w:jc w:val="both"/>
        <w:rPr>
          <w:rFonts w:ascii="Times New Roman" w:hAnsi="Times New Roman"/>
          <w:color w:val="000000" w:themeColor="text1"/>
          <w:sz w:val="16"/>
          <w:szCs w:val="16"/>
        </w:rPr>
      </w:pPr>
    </w:p>
    <w:p w14:paraId="6A5C8984"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B146AE9"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5956644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1933 был первый полет дублера РД с М-34Р (92,486). Летал М.М.Громов (554,5).</w:t>
      </w:r>
    </w:p>
    <w:p w14:paraId="6252E152"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209AF097"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1933 года в воздух поднялась вторая машина РД-2, но уже с мотором М-34Р. оснащенным редуктором. Благо</w:t>
      </w:r>
      <w:r w:rsidRPr="0044524F">
        <w:rPr>
          <w:rFonts w:ascii="Times New Roman" w:hAnsi="Times New Roman"/>
          <w:color w:val="000000" w:themeColor="text1"/>
          <w:sz w:val="16"/>
          <w:szCs w:val="16"/>
        </w:rPr>
        <w:softHyphen/>
        <w:t>даря редуктору снизили обороты воздуш</w:t>
      </w:r>
      <w:r w:rsidRPr="0044524F">
        <w:rPr>
          <w:rFonts w:ascii="Times New Roman" w:hAnsi="Times New Roman"/>
          <w:color w:val="000000" w:themeColor="text1"/>
          <w:sz w:val="16"/>
          <w:szCs w:val="16"/>
        </w:rPr>
        <w:softHyphen/>
        <w:t>ного винта, что увеличило его тягу, а даль</w:t>
      </w:r>
      <w:r w:rsidRPr="0044524F">
        <w:rPr>
          <w:rFonts w:ascii="Times New Roman" w:hAnsi="Times New Roman"/>
          <w:color w:val="000000" w:themeColor="text1"/>
          <w:sz w:val="16"/>
          <w:szCs w:val="16"/>
        </w:rPr>
        <w:softHyphen/>
        <w:t>ность полета самолета по сравнению с предшественником возросла в полтора ра</w:t>
      </w:r>
      <w:r w:rsidRPr="0044524F">
        <w:rPr>
          <w:rFonts w:ascii="Times New Roman" w:hAnsi="Times New Roman"/>
          <w:color w:val="000000" w:themeColor="text1"/>
          <w:sz w:val="16"/>
          <w:szCs w:val="16"/>
        </w:rPr>
        <w:softHyphen/>
        <w:t>за - до 10 800 км. Параллельно исследова</w:t>
      </w:r>
      <w:r w:rsidRPr="0044524F">
        <w:rPr>
          <w:rFonts w:ascii="Times New Roman" w:hAnsi="Times New Roman"/>
          <w:color w:val="000000" w:themeColor="text1"/>
          <w:sz w:val="16"/>
          <w:szCs w:val="16"/>
        </w:rPr>
        <w:softHyphen/>
        <w:t>ли несколько двухлопастных деревянных воздушных винтов фиксированного шага, перейдя в конечном итоге к трехлопастно</w:t>
      </w:r>
      <w:r w:rsidRPr="0044524F">
        <w:rPr>
          <w:rFonts w:ascii="Times New Roman" w:hAnsi="Times New Roman"/>
          <w:color w:val="000000" w:themeColor="text1"/>
          <w:sz w:val="16"/>
          <w:szCs w:val="16"/>
        </w:rPr>
        <w:softHyphen/>
        <w:t>му металлическому пропеллеру.</w:t>
      </w:r>
    </w:p>
    <w:p w14:paraId="730C969C"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Впоследствии по результатам испыта</w:t>
      </w:r>
      <w:r w:rsidRPr="0044524F">
        <w:rPr>
          <w:rFonts w:ascii="Times New Roman" w:hAnsi="Times New Roman"/>
          <w:color w:val="000000" w:themeColor="text1"/>
          <w:sz w:val="16"/>
          <w:szCs w:val="16"/>
        </w:rPr>
        <w:softHyphen/>
        <w:t>ний на обеих машинах увеличили площадь руля направления и установили козырьки в виде фонарей над кабинами штурманов.</w:t>
      </w:r>
    </w:p>
    <w:p w14:paraId="44FAE2FF"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Примерно в это же время утвердили два экипажа. На самолет РД-1 — командир Ан</w:t>
      </w:r>
      <w:r w:rsidRPr="0044524F">
        <w:rPr>
          <w:rFonts w:ascii="Times New Roman" w:hAnsi="Times New Roman"/>
          <w:color w:val="000000" w:themeColor="text1"/>
          <w:sz w:val="16"/>
          <w:szCs w:val="16"/>
        </w:rPr>
        <w:softHyphen/>
        <w:t>дрей Юмашев, второй пилот Петр Стефа- новский и штурман Сергей Данилин. Для второй машины РД-2 — Михаил Громов, Александр Филин и Иван Спирин (12725).</w:t>
      </w:r>
    </w:p>
    <w:p w14:paraId="67E32215" w14:textId="77777777" w:rsidR="004050DA" w:rsidRPr="0044524F" w:rsidRDefault="004050DA" w:rsidP="009654CF">
      <w:pPr>
        <w:spacing w:after="0" w:line="240" w:lineRule="auto"/>
        <w:jc w:val="both"/>
        <w:rPr>
          <w:rFonts w:ascii="Times New Roman" w:hAnsi="Times New Roman"/>
          <w:color w:val="000000" w:themeColor="text1"/>
          <w:sz w:val="16"/>
          <w:szCs w:val="16"/>
        </w:rPr>
      </w:pPr>
    </w:p>
    <w:p w14:paraId="65BEB97B"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М.М. 1933 Громов совершил на РД-2 первый полет. Вторая машина отличалась от первой изменен</w:t>
      </w:r>
      <w:r w:rsidRPr="0044524F">
        <w:rPr>
          <w:rFonts w:ascii="Times New Roman" w:hAnsi="Times New Roman"/>
          <w:color w:val="000000" w:themeColor="text1"/>
          <w:sz w:val="16"/>
          <w:szCs w:val="16"/>
        </w:rPr>
        <w:softHyphen/>
        <w:t>ным рулем направления и установкой мотора с редуктором — М—34Р. В даль</w:t>
      </w:r>
      <w:r w:rsidRPr="0044524F">
        <w:rPr>
          <w:rFonts w:ascii="Times New Roman" w:hAnsi="Times New Roman"/>
          <w:color w:val="000000" w:themeColor="text1"/>
          <w:sz w:val="16"/>
          <w:szCs w:val="16"/>
        </w:rPr>
        <w:softHyphen/>
        <w:t>нейшем изменения, сделанные на РД—2, выполнили и на РД—1.</w:t>
      </w:r>
    </w:p>
    <w:p w14:paraId="60DE98B8"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с самого начала заводских испыта</w:t>
      </w:r>
      <w:r w:rsidRPr="0044524F">
        <w:rPr>
          <w:rFonts w:ascii="Times New Roman" w:hAnsi="Times New Roman"/>
          <w:color w:val="000000" w:themeColor="text1"/>
          <w:sz w:val="16"/>
          <w:szCs w:val="16"/>
        </w:rPr>
        <w:softHyphen/>
        <w:t>ний РД—2 стало ясно, что с гофрирован</w:t>
      </w:r>
      <w:r w:rsidRPr="0044524F">
        <w:rPr>
          <w:rFonts w:ascii="Times New Roman" w:hAnsi="Times New Roman"/>
          <w:color w:val="000000" w:themeColor="text1"/>
          <w:sz w:val="16"/>
          <w:szCs w:val="16"/>
        </w:rPr>
        <w:softHyphen/>
        <w:t>ной обшивкой создававшей значительное сопротивление, нужной дальности не добиться. Поэтому ложбины между волнами гофра заполнили бальзовыми вкладышами, затем всю поверхность крыла и оперения обтянули полотном. Полотно пришили к гофру через мно</w:t>
      </w:r>
      <w:r w:rsidRPr="0044524F">
        <w:rPr>
          <w:rFonts w:ascii="Times New Roman" w:hAnsi="Times New Roman"/>
          <w:color w:val="000000" w:themeColor="text1"/>
          <w:sz w:val="16"/>
          <w:szCs w:val="16"/>
        </w:rPr>
        <w:softHyphen/>
        <w:t>жество небольших отверстий и покрыли аэролаком. Получилась ровная поверх</w:t>
      </w:r>
      <w:r w:rsidRPr="0044524F">
        <w:rPr>
          <w:rFonts w:ascii="Times New Roman" w:hAnsi="Times New Roman"/>
          <w:color w:val="000000" w:themeColor="text1"/>
          <w:sz w:val="16"/>
          <w:szCs w:val="16"/>
        </w:rPr>
        <w:softHyphen/>
        <w:t>ность с выступающими профилями нервюр. Лаком, кроме того, покрыли зализы и отполировали лопасти винта. Повторные испытания, проведенные в 1934 г., подтвердили эффективность принятых мер. Возможность рекордно</w:t>
      </w:r>
      <w:r w:rsidRPr="0044524F">
        <w:rPr>
          <w:rFonts w:ascii="Times New Roman" w:hAnsi="Times New Roman"/>
          <w:color w:val="000000" w:themeColor="text1"/>
          <w:sz w:val="16"/>
          <w:szCs w:val="16"/>
        </w:rPr>
        <w:softHyphen/>
        <w:t>го полета стала реальной.</w:t>
      </w:r>
    </w:p>
    <w:p w14:paraId="5695C068"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характеристики самолета АНТ-25</w:t>
      </w:r>
    </w:p>
    <w:tbl>
      <w:tblPr>
        <w:tblOverlap w:val="never"/>
        <w:tblW w:w="0" w:type="auto"/>
        <w:tblLayout w:type="fixed"/>
        <w:tblCellMar>
          <w:left w:w="10" w:type="dxa"/>
          <w:right w:w="10" w:type="dxa"/>
        </w:tblCellMar>
        <w:tblLook w:val="04A0" w:firstRow="1" w:lastRow="0" w:firstColumn="1" w:lastColumn="0" w:noHBand="0" w:noVBand="1"/>
      </w:tblPr>
      <w:tblGrid>
        <w:gridCol w:w="2021"/>
        <w:gridCol w:w="864"/>
        <w:gridCol w:w="816"/>
        <w:gridCol w:w="950"/>
        <w:gridCol w:w="1070"/>
      </w:tblGrid>
      <w:tr w:rsidR="007D2353" w:rsidRPr="0044524F" w14:paraId="79B3DA6A" w14:textId="77777777" w:rsidTr="00E9136F">
        <w:trPr>
          <w:trHeight w:val="528"/>
        </w:trPr>
        <w:tc>
          <w:tcPr>
            <w:tcW w:w="2021" w:type="dxa"/>
            <w:tcBorders>
              <w:top w:val="single" w:sz="4" w:space="0" w:color="auto"/>
              <w:left w:val="single" w:sz="4" w:space="0" w:color="auto"/>
            </w:tcBorders>
          </w:tcPr>
          <w:p w14:paraId="4A032F65" w14:textId="77777777" w:rsidR="007D2353" w:rsidRPr="0044524F" w:rsidRDefault="007D2353" w:rsidP="009654CF">
            <w:pPr>
              <w:spacing w:after="0" w:line="240" w:lineRule="auto"/>
              <w:jc w:val="both"/>
              <w:rPr>
                <w:rFonts w:ascii="Times New Roman" w:hAnsi="Times New Roman"/>
                <w:color w:val="000000" w:themeColor="text1"/>
                <w:sz w:val="16"/>
                <w:szCs w:val="16"/>
              </w:rPr>
            </w:pPr>
          </w:p>
        </w:tc>
        <w:tc>
          <w:tcPr>
            <w:tcW w:w="864" w:type="dxa"/>
            <w:tcBorders>
              <w:top w:val="single" w:sz="4" w:space="0" w:color="auto"/>
            </w:tcBorders>
            <w:vAlign w:val="bottom"/>
          </w:tcPr>
          <w:p w14:paraId="773E18D2"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РД-1 опытный</w:t>
            </w:r>
          </w:p>
        </w:tc>
        <w:tc>
          <w:tcPr>
            <w:tcW w:w="816" w:type="dxa"/>
            <w:tcBorders>
              <w:top w:val="single" w:sz="4" w:space="0" w:color="auto"/>
            </w:tcBorders>
            <w:vAlign w:val="bottom"/>
          </w:tcPr>
          <w:p w14:paraId="244B160B"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РД-1 опытны!/</w:t>
            </w:r>
          </w:p>
        </w:tc>
        <w:tc>
          <w:tcPr>
            <w:tcW w:w="950" w:type="dxa"/>
            <w:tcBorders>
              <w:top w:val="single" w:sz="4" w:space="0" w:color="auto"/>
            </w:tcBorders>
            <w:vAlign w:val="bottom"/>
          </w:tcPr>
          <w:p w14:paraId="6F99713F"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РД-2 дублер</w:t>
            </w:r>
          </w:p>
        </w:tc>
        <w:tc>
          <w:tcPr>
            <w:tcW w:w="1070" w:type="dxa"/>
            <w:tcBorders>
              <w:top w:val="single" w:sz="4" w:space="0" w:color="auto"/>
              <w:right w:val="single" w:sz="4" w:space="0" w:color="auto"/>
            </w:tcBorders>
            <w:vAlign w:val="bottom"/>
          </w:tcPr>
          <w:p w14:paraId="6C9A6223"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РД-2 дублер</w:t>
            </w:r>
          </w:p>
        </w:tc>
      </w:tr>
      <w:tr w:rsidR="007D2353" w:rsidRPr="0044524F" w14:paraId="115F4490" w14:textId="77777777" w:rsidTr="00E9136F">
        <w:trPr>
          <w:trHeight w:val="206"/>
        </w:trPr>
        <w:tc>
          <w:tcPr>
            <w:tcW w:w="2021" w:type="dxa"/>
            <w:tcBorders>
              <w:left w:val="single" w:sz="4" w:space="0" w:color="auto"/>
            </w:tcBorders>
          </w:tcPr>
          <w:p w14:paraId="03CEFE89"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х тип двигателей</w:t>
            </w:r>
          </w:p>
        </w:tc>
        <w:tc>
          <w:tcPr>
            <w:tcW w:w="864" w:type="dxa"/>
          </w:tcPr>
          <w:p w14:paraId="37078225"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1хМ-34</w:t>
            </w:r>
          </w:p>
        </w:tc>
        <w:tc>
          <w:tcPr>
            <w:tcW w:w="816" w:type="dxa"/>
          </w:tcPr>
          <w:p w14:paraId="36189E02"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1хМ-34</w:t>
            </w:r>
          </w:p>
        </w:tc>
        <w:tc>
          <w:tcPr>
            <w:tcW w:w="950" w:type="dxa"/>
          </w:tcPr>
          <w:p w14:paraId="69728106"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1хМ-34Р</w:t>
            </w:r>
          </w:p>
        </w:tc>
        <w:tc>
          <w:tcPr>
            <w:tcW w:w="1070" w:type="dxa"/>
            <w:tcBorders>
              <w:right w:val="single" w:sz="4" w:space="0" w:color="auto"/>
            </w:tcBorders>
          </w:tcPr>
          <w:p w14:paraId="68CCBC43"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1хМ-34Р</w:t>
            </w:r>
          </w:p>
        </w:tc>
      </w:tr>
      <w:tr w:rsidR="007D2353" w:rsidRPr="0044524F" w14:paraId="2B3646C0" w14:textId="77777777" w:rsidTr="00E9136F">
        <w:trPr>
          <w:trHeight w:val="451"/>
        </w:trPr>
        <w:tc>
          <w:tcPr>
            <w:tcW w:w="2021" w:type="dxa"/>
            <w:tcBorders>
              <w:left w:val="single" w:sz="4" w:space="0" w:color="auto"/>
            </w:tcBorders>
            <w:vAlign w:val="bottom"/>
          </w:tcPr>
          <w:p w14:paraId="0ED60336"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л. с.</w:t>
            </w:r>
          </w:p>
        </w:tc>
        <w:tc>
          <w:tcPr>
            <w:tcW w:w="864" w:type="dxa"/>
          </w:tcPr>
          <w:p w14:paraId="4345D940"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Е=6,0</w:t>
            </w:r>
          </w:p>
        </w:tc>
        <w:tc>
          <w:tcPr>
            <w:tcW w:w="816" w:type="dxa"/>
          </w:tcPr>
          <w:p w14:paraId="69AC53A6"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Е—7,0</w:t>
            </w:r>
          </w:p>
        </w:tc>
        <w:tc>
          <w:tcPr>
            <w:tcW w:w="950" w:type="dxa"/>
          </w:tcPr>
          <w:p w14:paraId="1311FA9F"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Е=6,0</w:t>
            </w:r>
          </w:p>
        </w:tc>
        <w:tc>
          <w:tcPr>
            <w:tcW w:w="1070" w:type="dxa"/>
            <w:tcBorders>
              <w:right w:val="single" w:sz="4" w:space="0" w:color="auto"/>
            </w:tcBorders>
          </w:tcPr>
          <w:p w14:paraId="33C86E25"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Е=6,6</w:t>
            </w:r>
          </w:p>
        </w:tc>
      </w:tr>
      <w:tr w:rsidR="007D2353" w:rsidRPr="0044524F" w14:paraId="1E7EC7F5" w14:textId="77777777" w:rsidTr="00E9136F">
        <w:trPr>
          <w:trHeight w:val="211"/>
        </w:trPr>
        <w:tc>
          <w:tcPr>
            <w:tcW w:w="2021" w:type="dxa"/>
            <w:tcBorders>
              <w:left w:val="single" w:sz="4" w:space="0" w:color="auto"/>
            </w:tcBorders>
          </w:tcPr>
          <w:p w14:paraId="5C450E43"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w:t>
            </w:r>
          </w:p>
        </w:tc>
        <w:tc>
          <w:tcPr>
            <w:tcW w:w="864" w:type="dxa"/>
          </w:tcPr>
          <w:p w14:paraId="60410A5D"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814</w:t>
            </w:r>
          </w:p>
        </w:tc>
        <w:tc>
          <w:tcPr>
            <w:tcW w:w="816" w:type="dxa"/>
          </w:tcPr>
          <w:p w14:paraId="3A376C73"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874</w:t>
            </w:r>
          </w:p>
        </w:tc>
        <w:tc>
          <w:tcPr>
            <w:tcW w:w="950" w:type="dxa"/>
          </w:tcPr>
          <w:p w14:paraId="7B48495F"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070" w:type="dxa"/>
            <w:tcBorders>
              <w:right w:val="single" w:sz="4" w:space="0" w:color="auto"/>
            </w:tcBorders>
          </w:tcPr>
          <w:p w14:paraId="1F33BA4C"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r>
      <w:tr w:rsidR="007D2353" w:rsidRPr="0044524F" w14:paraId="6D7BF44D" w14:textId="77777777" w:rsidTr="00E9136F">
        <w:trPr>
          <w:trHeight w:val="221"/>
        </w:trPr>
        <w:tc>
          <w:tcPr>
            <w:tcW w:w="2021" w:type="dxa"/>
            <w:tcBorders>
              <w:left w:val="single" w:sz="4" w:space="0" w:color="auto"/>
            </w:tcBorders>
            <w:vAlign w:val="bottom"/>
          </w:tcPr>
          <w:p w14:paraId="00C9CD63"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самолета, м</w:t>
            </w:r>
          </w:p>
        </w:tc>
        <w:tc>
          <w:tcPr>
            <w:tcW w:w="864" w:type="dxa"/>
            <w:vAlign w:val="bottom"/>
          </w:tcPr>
          <w:p w14:paraId="58D8F819"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13,40</w:t>
            </w:r>
          </w:p>
        </w:tc>
        <w:tc>
          <w:tcPr>
            <w:tcW w:w="816" w:type="dxa"/>
            <w:vAlign w:val="bottom"/>
          </w:tcPr>
          <w:p w14:paraId="16B2CC93"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13,40</w:t>
            </w:r>
          </w:p>
        </w:tc>
        <w:tc>
          <w:tcPr>
            <w:tcW w:w="950" w:type="dxa"/>
            <w:vAlign w:val="bottom"/>
          </w:tcPr>
          <w:p w14:paraId="645EDB26"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13,40</w:t>
            </w:r>
          </w:p>
        </w:tc>
        <w:tc>
          <w:tcPr>
            <w:tcW w:w="1070" w:type="dxa"/>
            <w:tcBorders>
              <w:right w:val="single" w:sz="4" w:space="0" w:color="auto"/>
            </w:tcBorders>
            <w:vAlign w:val="bottom"/>
          </w:tcPr>
          <w:p w14:paraId="260A200A"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13,40</w:t>
            </w:r>
          </w:p>
        </w:tc>
      </w:tr>
      <w:tr w:rsidR="007D2353" w:rsidRPr="0044524F" w14:paraId="7986C1C5" w14:textId="77777777" w:rsidTr="00E9136F">
        <w:trPr>
          <w:trHeight w:val="221"/>
        </w:trPr>
        <w:tc>
          <w:tcPr>
            <w:tcW w:w="2021" w:type="dxa"/>
            <w:tcBorders>
              <w:left w:val="single" w:sz="4" w:space="0" w:color="auto"/>
            </w:tcBorders>
            <w:vAlign w:val="bottom"/>
          </w:tcPr>
          <w:p w14:paraId="4758118D"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м</w:t>
            </w:r>
          </w:p>
        </w:tc>
        <w:tc>
          <w:tcPr>
            <w:tcW w:w="864" w:type="dxa"/>
            <w:vAlign w:val="bottom"/>
          </w:tcPr>
          <w:p w14:paraId="18A63780"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34,00</w:t>
            </w:r>
          </w:p>
        </w:tc>
        <w:tc>
          <w:tcPr>
            <w:tcW w:w="816" w:type="dxa"/>
            <w:vAlign w:val="bottom"/>
          </w:tcPr>
          <w:p w14:paraId="3BABE4D8"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34,00</w:t>
            </w:r>
          </w:p>
        </w:tc>
        <w:tc>
          <w:tcPr>
            <w:tcW w:w="950" w:type="dxa"/>
            <w:vAlign w:val="bottom"/>
          </w:tcPr>
          <w:p w14:paraId="4C7706EA"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34,00</w:t>
            </w:r>
          </w:p>
        </w:tc>
        <w:tc>
          <w:tcPr>
            <w:tcW w:w="1070" w:type="dxa"/>
            <w:tcBorders>
              <w:right w:val="single" w:sz="4" w:space="0" w:color="auto"/>
            </w:tcBorders>
            <w:vAlign w:val="bottom"/>
          </w:tcPr>
          <w:p w14:paraId="0D510DB0"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34,00</w:t>
            </w:r>
          </w:p>
        </w:tc>
      </w:tr>
      <w:tr w:rsidR="007D2353" w:rsidRPr="0044524F" w14:paraId="75A288A9" w14:textId="77777777" w:rsidTr="00E9136F">
        <w:trPr>
          <w:trHeight w:val="442"/>
        </w:trPr>
        <w:tc>
          <w:tcPr>
            <w:tcW w:w="2021" w:type="dxa"/>
            <w:tcBorders>
              <w:left w:val="single" w:sz="4" w:space="0" w:color="auto"/>
            </w:tcBorders>
          </w:tcPr>
          <w:p w14:paraId="41C4A28B"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самолета, м Площадь, м1</w:t>
            </w:r>
          </w:p>
        </w:tc>
        <w:tc>
          <w:tcPr>
            <w:tcW w:w="864" w:type="dxa"/>
          </w:tcPr>
          <w:p w14:paraId="2F9C91A1"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816" w:type="dxa"/>
          </w:tcPr>
          <w:p w14:paraId="248B8CE1"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950" w:type="dxa"/>
          </w:tcPr>
          <w:p w14:paraId="18A860D8"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1070" w:type="dxa"/>
            <w:tcBorders>
              <w:right w:val="single" w:sz="4" w:space="0" w:color="auto"/>
            </w:tcBorders>
          </w:tcPr>
          <w:p w14:paraId="0E97EE6D"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r>
      <w:tr w:rsidR="007D2353" w:rsidRPr="0044524F" w14:paraId="5C915A52" w14:textId="77777777" w:rsidTr="00E9136F">
        <w:trPr>
          <w:trHeight w:val="451"/>
        </w:trPr>
        <w:tc>
          <w:tcPr>
            <w:tcW w:w="2021" w:type="dxa"/>
            <w:tcBorders>
              <w:left w:val="single" w:sz="4" w:space="0" w:color="auto"/>
            </w:tcBorders>
            <w:vAlign w:val="bottom"/>
          </w:tcPr>
          <w:p w14:paraId="7761BD04"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крыла</w:t>
            </w:r>
          </w:p>
          <w:p w14:paraId="7B9D4BF1"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горизонтального</w:t>
            </w:r>
          </w:p>
        </w:tc>
        <w:tc>
          <w:tcPr>
            <w:tcW w:w="864" w:type="dxa"/>
          </w:tcPr>
          <w:p w14:paraId="5C7768BD"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88,20</w:t>
            </w:r>
          </w:p>
        </w:tc>
        <w:tc>
          <w:tcPr>
            <w:tcW w:w="816" w:type="dxa"/>
          </w:tcPr>
          <w:p w14:paraId="6BFA152A"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88,20</w:t>
            </w:r>
          </w:p>
        </w:tc>
        <w:tc>
          <w:tcPr>
            <w:tcW w:w="950" w:type="dxa"/>
          </w:tcPr>
          <w:p w14:paraId="740AEBC8"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88,20</w:t>
            </w:r>
          </w:p>
        </w:tc>
        <w:tc>
          <w:tcPr>
            <w:tcW w:w="1070" w:type="dxa"/>
            <w:tcBorders>
              <w:right w:val="single" w:sz="4" w:space="0" w:color="auto"/>
            </w:tcBorders>
          </w:tcPr>
          <w:p w14:paraId="62045DDA"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88,20</w:t>
            </w:r>
          </w:p>
        </w:tc>
      </w:tr>
      <w:tr w:rsidR="007D2353" w:rsidRPr="0044524F" w14:paraId="55631074" w14:textId="77777777" w:rsidTr="00E9136F">
        <w:trPr>
          <w:trHeight w:val="437"/>
        </w:trPr>
        <w:tc>
          <w:tcPr>
            <w:tcW w:w="2021" w:type="dxa"/>
            <w:tcBorders>
              <w:left w:val="single" w:sz="4" w:space="0" w:color="auto"/>
            </w:tcBorders>
          </w:tcPr>
          <w:p w14:paraId="4F42EBBB"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оперения вертикального</w:t>
            </w:r>
          </w:p>
        </w:tc>
        <w:tc>
          <w:tcPr>
            <w:tcW w:w="864" w:type="dxa"/>
          </w:tcPr>
          <w:p w14:paraId="555A4D02"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9,30</w:t>
            </w:r>
          </w:p>
        </w:tc>
        <w:tc>
          <w:tcPr>
            <w:tcW w:w="816" w:type="dxa"/>
          </w:tcPr>
          <w:p w14:paraId="04492B09"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9,30</w:t>
            </w:r>
          </w:p>
        </w:tc>
        <w:tc>
          <w:tcPr>
            <w:tcW w:w="950" w:type="dxa"/>
          </w:tcPr>
          <w:p w14:paraId="06049B91"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9,32</w:t>
            </w:r>
          </w:p>
        </w:tc>
        <w:tc>
          <w:tcPr>
            <w:tcW w:w="1070" w:type="dxa"/>
            <w:tcBorders>
              <w:right w:val="single" w:sz="4" w:space="0" w:color="auto"/>
            </w:tcBorders>
          </w:tcPr>
          <w:p w14:paraId="79D0ABFD"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9,32</w:t>
            </w:r>
          </w:p>
        </w:tc>
      </w:tr>
      <w:tr w:rsidR="007D2353" w:rsidRPr="0044524F" w14:paraId="3201A656" w14:textId="77777777" w:rsidTr="00E9136F">
        <w:trPr>
          <w:trHeight w:val="422"/>
        </w:trPr>
        <w:tc>
          <w:tcPr>
            <w:tcW w:w="2021" w:type="dxa"/>
            <w:tcBorders>
              <w:left w:val="single" w:sz="4" w:space="0" w:color="auto"/>
            </w:tcBorders>
            <w:vAlign w:val="bottom"/>
          </w:tcPr>
          <w:p w14:paraId="547B229B"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оперения</w:t>
            </w:r>
          </w:p>
          <w:p w14:paraId="12EB86CD"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Взлетная масса, кг</w:t>
            </w:r>
          </w:p>
        </w:tc>
        <w:tc>
          <w:tcPr>
            <w:tcW w:w="864" w:type="dxa"/>
          </w:tcPr>
          <w:p w14:paraId="709F2EED"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5,10</w:t>
            </w:r>
          </w:p>
        </w:tc>
        <w:tc>
          <w:tcPr>
            <w:tcW w:w="816" w:type="dxa"/>
          </w:tcPr>
          <w:p w14:paraId="25D82CBD"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5,10</w:t>
            </w:r>
          </w:p>
        </w:tc>
        <w:tc>
          <w:tcPr>
            <w:tcW w:w="950" w:type="dxa"/>
          </w:tcPr>
          <w:p w14:paraId="71392533"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5,54</w:t>
            </w:r>
          </w:p>
        </w:tc>
        <w:tc>
          <w:tcPr>
            <w:tcW w:w="1070" w:type="dxa"/>
            <w:tcBorders>
              <w:right w:val="single" w:sz="4" w:space="0" w:color="auto"/>
            </w:tcBorders>
          </w:tcPr>
          <w:p w14:paraId="38550DDD"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5,54</w:t>
            </w:r>
          </w:p>
        </w:tc>
      </w:tr>
      <w:tr w:rsidR="007D2353" w:rsidRPr="0044524F" w14:paraId="70EB501A" w14:textId="77777777" w:rsidTr="00E9136F">
        <w:trPr>
          <w:trHeight w:val="456"/>
        </w:trPr>
        <w:tc>
          <w:tcPr>
            <w:tcW w:w="2021" w:type="dxa"/>
            <w:tcBorders>
              <w:left w:val="single" w:sz="4" w:space="0" w:color="auto"/>
            </w:tcBorders>
            <w:vAlign w:val="bottom"/>
          </w:tcPr>
          <w:p w14:paraId="0456FCEC"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w:t>
            </w:r>
          </w:p>
          <w:p w14:paraId="1831AEBF"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пустого</w:t>
            </w:r>
          </w:p>
        </w:tc>
        <w:tc>
          <w:tcPr>
            <w:tcW w:w="864" w:type="dxa"/>
          </w:tcPr>
          <w:p w14:paraId="45099407"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w:t>
            </w:r>
          </w:p>
        </w:tc>
        <w:tc>
          <w:tcPr>
            <w:tcW w:w="816" w:type="dxa"/>
          </w:tcPr>
          <w:p w14:paraId="1B80A4B1"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8750</w:t>
            </w:r>
          </w:p>
        </w:tc>
        <w:tc>
          <w:tcPr>
            <w:tcW w:w="950" w:type="dxa"/>
          </w:tcPr>
          <w:p w14:paraId="313ACD1A"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9200</w:t>
            </w:r>
          </w:p>
        </w:tc>
        <w:tc>
          <w:tcPr>
            <w:tcW w:w="1070" w:type="dxa"/>
            <w:tcBorders>
              <w:right w:val="single" w:sz="4" w:space="0" w:color="auto"/>
            </w:tcBorders>
          </w:tcPr>
          <w:p w14:paraId="37DB3E21"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r>
      <w:tr w:rsidR="007D2353" w:rsidRPr="0044524F" w14:paraId="53A45210" w14:textId="77777777" w:rsidTr="00E9136F">
        <w:trPr>
          <w:trHeight w:val="206"/>
        </w:trPr>
        <w:tc>
          <w:tcPr>
            <w:tcW w:w="2021" w:type="dxa"/>
            <w:tcBorders>
              <w:left w:val="single" w:sz="4" w:space="0" w:color="auto"/>
            </w:tcBorders>
          </w:tcPr>
          <w:p w14:paraId="0E6CE6AA"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самолета, кг</w:t>
            </w:r>
          </w:p>
        </w:tc>
        <w:tc>
          <w:tcPr>
            <w:tcW w:w="864" w:type="dxa"/>
          </w:tcPr>
          <w:p w14:paraId="02D9CCEC"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3700</w:t>
            </w:r>
          </w:p>
        </w:tc>
        <w:tc>
          <w:tcPr>
            <w:tcW w:w="816" w:type="dxa"/>
          </w:tcPr>
          <w:p w14:paraId="78971FF2"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3700</w:t>
            </w:r>
          </w:p>
        </w:tc>
        <w:tc>
          <w:tcPr>
            <w:tcW w:w="950" w:type="dxa"/>
          </w:tcPr>
          <w:p w14:paraId="58B1792E"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3784</w:t>
            </w:r>
          </w:p>
        </w:tc>
        <w:tc>
          <w:tcPr>
            <w:tcW w:w="1070" w:type="dxa"/>
            <w:tcBorders>
              <w:right w:val="single" w:sz="4" w:space="0" w:color="auto"/>
            </w:tcBorders>
          </w:tcPr>
          <w:p w14:paraId="2B82CAA1"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3784</w:t>
            </w:r>
          </w:p>
        </w:tc>
      </w:tr>
      <w:tr w:rsidR="007D2353" w:rsidRPr="0044524F" w14:paraId="6B6D7749" w14:textId="77777777" w:rsidTr="00E9136F">
        <w:trPr>
          <w:trHeight w:val="221"/>
        </w:trPr>
        <w:tc>
          <w:tcPr>
            <w:tcW w:w="2021" w:type="dxa"/>
            <w:tcBorders>
              <w:left w:val="single" w:sz="4" w:space="0" w:color="auto"/>
            </w:tcBorders>
            <w:vAlign w:val="center"/>
          </w:tcPr>
          <w:p w14:paraId="61ED05E7"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топлива, кг</w:t>
            </w:r>
          </w:p>
        </w:tc>
        <w:tc>
          <w:tcPr>
            <w:tcW w:w="864" w:type="dxa"/>
            <w:vAlign w:val="center"/>
          </w:tcPr>
          <w:p w14:paraId="5D0863CE"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6100</w:t>
            </w:r>
          </w:p>
        </w:tc>
        <w:tc>
          <w:tcPr>
            <w:tcW w:w="816" w:type="dxa"/>
            <w:vAlign w:val="center"/>
          </w:tcPr>
          <w:p w14:paraId="25E9BD77"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50" w:type="dxa"/>
            <w:vAlign w:val="center"/>
          </w:tcPr>
          <w:p w14:paraId="131639BA"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70" w:type="dxa"/>
            <w:tcBorders>
              <w:right w:val="single" w:sz="4" w:space="0" w:color="auto"/>
            </w:tcBorders>
            <w:vAlign w:val="center"/>
          </w:tcPr>
          <w:p w14:paraId="56B15096"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7D2353" w:rsidRPr="0044524F" w14:paraId="7E7872F7" w14:textId="77777777" w:rsidTr="00E9136F">
        <w:trPr>
          <w:trHeight w:val="446"/>
        </w:trPr>
        <w:tc>
          <w:tcPr>
            <w:tcW w:w="2021" w:type="dxa"/>
            <w:tcBorders>
              <w:left w:val="single" w:sz="4" w:space="0" w:color="auto"/>
            </w:tcBorders>
            <w:vAlign w:val="bottom"/>
          </w:tcPr>
          <w:p w14:paraId="618621D4"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м Дальность полета</w:t>
            </w:r>
          </w:p>
        </w:tc>
        <w:tc>
          <w:tcPr>
            <w:tcW w:w="864" w:type="dxa"/>
          </w:tcPr>
          <w:p w14:paraId="71CCBB06"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16" w:type="dxa"/>
          </w:tcPr>
          <w:p w14:paraId="562FBC6E"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020" w:type="dxa"/>
            <w:gridSpan w:val="2"/>
            <w:tcBorders>
              <w:right w:val="single" w:sz="4" w:space="0" w:color="auto"/>
            </w:tcBorders>
          </w:tcPr>
          <w:p w14:paraId="005CAD7E"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2150/7500 2100/7850</w:t>
            </w:r>
          </w:p>
        </w:tc>
      </w:tr>
      <w:tr w:rsidR="007D2353" w:rsidRPr="0044524F" w14:paraId="7313C4A5" w14:textId="77777777" w:rsidTr="00E9136F">
        <w:trPr>
          <w:trHeight w:val="442"/>
        </w:trPr>
        <w:tc>
          <w:tcPr>
            <w:tcW w:w="2021" w:type="dxa"/>
            <w:tcBorders>
              <w:left w:val="single" w:sz="4" w:space="0" w:color="auto"/>
            </w:tcBorders>
            <w:vAlign w:val="bottom"/>
          </w:tcPr>
          <w:p w14:paraId="6DDF76C6"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км Продолжительность</w:t>
            </w:r>
          </w:p>
        </w:tc>
        <w:tc>
          <w:tcPr>
            <w:tcW w:w="864" w:type="dxa"/>
          </w:tcPr>
          <w:p w14:paraId="30DC7AB3"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7200</w:t>
            </w:r>
          </w:p>
        </w:tc>
        <w:tc>
          <w:tcPr>
            <w:tcW w:w="816" w:type="dxa"/>
          </w:tcPr>
          <w:p w14:paraId="155BE6BE"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7050</w:t>
            </w:r>
          </w:p>
        </w:tc>
        <w:tc>
          <w:tcPr>
            <w:tcW w:w="950" w:type="dxa"/>
          </w:tcPr>
          <w:p w14:paraId="01AFC5F8"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9540</w:t>
            </w:r>
          </w:p>
        </w:tc>
        <w:tc>
          <w:tcPr>
            <w:tcW w:w="1070" w:type="dxa"/>
            <w:tcBorders>
              <w:right w:val="single" w:sz="4" w:space="0" w:color="auto"/>
            </w:tcBorders>
          </w:tcPr>
          <w:p w14:paraId="4F4A5E62"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10800</w:t>
            </w:r>
          </w:p>
        </w:tc>
      </w:tr>
      <w:tr w:rsidR="007D2353" w:rsidRPr="0044524F" w14:paraId="7B92A244" w14:textId="77777777" w:rsidTr="00E9136F">
        <w:trPr>
          <w:trHeight w:val="206"/>
        </w:trPr>
        <w:tc>
          <w:tcPr>
            <w:tcW w:w="2021" w:type="dxa"/>
            <w:tcBorders>
              <w:left w:val="single" w:sz="4" w:space="0" w:color="auto"/>
            </w:tcBorders>
          </w:tcPr>
          <w:p w14:paraId="586BE620"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полета, ч</w:t>
            </w:r>
          </w:p>
        </w:tc>
        <w:tc>
          <w:tcPr>
            <w:tcW w:w="864" w:type="dxa"/>
          </w:tcPr>
          <w:p w14:paraId="3E6840F4"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816" w:type="dxa"/>
          </w:tcPr>
          <w:p w14:paraId="409096A0"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950" w:type="dxa"/>
          </w:tcPr>
          <w:p w14:paraId="05EF44A1"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w:t>
            </w:r>
          </w:p>
        </w:tc>
        <w:tc>
          <w:tcPr>
            <w:tcW w:w="1070" w:type="dxa"/>
            <w:tcBorders>
              <w:right w:val="single" w:sz="4" w:space="0" w:color="auto"/>
            </w:tcBorders>
          </w:tcPr>
          <w:p w14:paraId="4728996C"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6580</w:t>
            </w:r>
          </w:p>
        </w:tc>
      </w:tr>
      <w:tr w:rsidR="007D2353" w:rsidRPr="0044524F" w14:paraId="1B3E9F7E" w14:textId="77777777" w:rsidTr="00E9136F">
        <w:trPr>
          <w:trHeight w:val="355"/>
        </w:trPr>
        <w:tc>
          <w:tcPr>
            <w:tcW w:w="2021" w:type="dxa"/>
            <w:tcBorders>
              <w:left w:val="single" w:sz="4" w:space="0" w:color="auto"/>
              <w:bottom w:val="single" w:sz="4" w:space="0" w:color="auto"/>
            </w:tcBorders>
          </w:tcPr>
          <w:p w14:paraId="43680955"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чел.</w:t>
            </w:r>
          </w:p>
        </w:tc>
        <w:tc>
          <w:tcPr>
            <w:tcW w:w="864" w:type="dxa"/>
            <w:tcBorders>
              <w:bottom w:val="single" w:sz="4" w:space="0" w:color="auto"/>
            </w:tcBorders>
          </w:tcPr>
          <w:p w14:paraId="093ADAD3"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816" w:type="dxa"/>
            <w:tcBorders>
              <w:bottom w:val="single" w:sz="4" w:space="0" w:color="auto"/>
            </w:tcBorders>
          </w:tcPr>
          <w:p w14:paraId="31E97512"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950" w:type="dxa"/>
            <w:tcBorders>
              <w:bottom w:val="single" w:sz="4" w:space="0" w:color="auto"/>
            </w:tcBorders>
          </w:tcPr>
          <w:p w14:paraId="643CF1A7"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070" w:type="dxa"/>
            <w:tcBorders>
              <w:bottom w:val="single" w:sz="4" w:space="0" w:color="auto"/>
              <w:right w:val="single" w:sz="4" w:space="0" w:color="auto"/>
            </w:tcBorders>
          </w:tcPr>
          <w:p w14:paraId="110F83C4"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bl>
    <w:p w14:paraId="4C795B78" w14:textId="77777777" w:rsidR="007D2353" w:rsidRPr="0044524F" w:rsidRDefault="007D23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(23474).</w:t>
      </w:r>
    </w:p>
    <w:p w14:paraId="66B6FB5C" w14:textId="77777777" w:rsidR="007D2353" w:rsidRPr="0044524F" w:rsidRDefault="007D2353" w:rsidP="009654CF">
      <w:pPr>
        <w:spacing w:after="0" w:line="240" w:lineRule="auto"/>
        <w:jc w:val="both"/>
        <w:rPr>
          <w:rFonts w:ascii="Times New Roman" w:hAnsi="Times New Roman"/>
          <w:color w:val="000000" w:themeColor="text1"/>
          <w:sz w:val="16"/>
          <w:szCs w:val="16"/>
        </w:rPr>
      </w:pPr>
    </w:p>
    <w:p w14:paraId="1D82309A" w14:textId="77777777" w:rsidR="008553FB" w:rsidRPr="00142305" w:rsidRDefault="008553FB" w:rsidP="008553F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10 сентября 1933 г. состоялся пер</w:t>
      </w:r>
      <w:r w:rsidRPr="00142305">
        <w:rPr>
          <w:rStyle w:val="aff"/>
          <w:rFonts w:ascii="Times New Roman" w:hAnsi="Times New Roman" w:cs="Times New Roman"/>
          <w:color w:val="0070C0"/>
          <w:spacing w:val="0"/>
          <w:sz w:val="16"/>
          <w:szCs w:val="16"/>
        </w:rPr>
        <w:softHyphen/>
        <w:t>вый полет дублера РД с двигате</w:t>
      </w:r>
      <w:r w:rsidRPr="00142305">
        <w:rPr>
          <w:rStyle w:val="aff"/>
          <w:rFonts w:ascii="Times New Roman" w:hAnsi="Times New Roman" w:cs="Times New Roman"/>
          <w:color w:val="0070C0"/>
          <w:spacing w:val="0"/>
          <w:sz w:val="16"/>
          <w:szCs w:val="16"/>
        </w:rPr>
        <w:softHyphen/>
        <w:t>лем М-34Р мощностью 800 л. с. (М.М. Громов). Летные данные самолета оказались намного лучше, дальность возросла до 10 800 км, однако и этого было все же недостаточно. «Виновником» оказалась гофрированная обшивка, обладавшая значительным сопротивлением. «Трудно сказать, кому первому пришла счастливая мысль — обтянуть обшивку полотном, — вспоминал профессор М.А. Тайц, занимавшийся в те годы под</w:t>
      </w:r>
      <w:r w:rsidRPr="00142305">
        <w:rPr>
          <w:rStyle w:val="aff"/>
          <w:rFonts w:ascii="Times New Roman" w:hAnsi="Times New Roman" w:cs="Times New Roman"/>
          <w:color w:val="0070C0"/>
          <w:spacing w:val="0"/>
          <w:sz w:val="16"/>
          <w:szCs w:val="16"/>
        </w:rPr>
        <w:softHyphen/>
        <w:t>готовкой РД к летным испытаниям. — Окончательное решение принял П.О. Сухой. В канавки гофра крыла и хвостового опере</w:t>
      </w:r>
      <w:r w:rsidRPr="00142305">
        <w:rPr>
          <w:rStyle w:val="aff"/>
          <w:rFonts w:ascii="Times New Roman" w:hAnsi="Times New Roman" w:cs="Times New Roman"/>
          <w:color w:val="0070C0"/>
          <w:spacing w:val="0"/>
          <w:sz w:val="16"/>
          <w:szCs w:val="16"/>
        </w:rPr>
        <w:softHyphen/>
        <w:t>ния вложили легчайшее дерево — бальзу, сверху крыло обтяну</w:t>
      </w:r>
      <w:r w:rsidRPr="00142305">
        <w:rPr>
          <w:rStyle w:val="aff"/>
          <w:rFonts w:ascii="Times New Roman" w:hAnsi="Times New Roman" w:cs="Times New Roman"/>
          <w:color w:val="0070C0"/>
          <w:spacing w:val="0"/>
          <w:sz w:val="16"/>
          <w:szCs w:val="16"/>
        </w:rPr>
        <w:softHyphen/>
        <w:t>ли полотном. Весь самолет отлакировали, а переднюю кромку крыла и винт отполировали. На стыке крыла с фюзеляжем сде</w:t>
      </w:r>
      <w:r w:rsidRPr="00142305">
        <w:rPr>
          <w:rStyle w:val="aff"/>
          <w:rFonts w:ascii="Times New Roman" w:hAnsi="Times New Roman" w:cs="Times New Roman"/>
          <w:color w:val="0070C0"/>
          <w:spacing w:val="0"/>
          <w:sz w:val="16"/>
          <w:szCs w:val="16"/>
        </w:rPr>
        <w:softHyphen/>
        <w:t>лали удлиненные «зализы». Дальность полета увеличилась на 15 %». Летные испытания показали, что продолжительность полета могла достичь 80 ч, что соответствовало дальности более 13 тыс. км (25675).</w:t>
      </w:r>
    </w:p>
    <w:p w14:paraId="268F3433" w14:textId="77777777" w:rsidR="008553FB" w:rsidRPr="00142305" w:rsidRDefault="008553FB" w:rsidP="008553FB">
      <w:pPr>
        <w:spacing w:after="0" w:line="240" w:lineRule="auto"/>
        <w:jc w:val="both"/>
        <w:rPr>
          <w:rFonts w:ascii="Times New Roman" w:hAnsi="Times New Roman"/>
          <w:color w:val="0070C0"/>
          <w:sz w:val="16"/>
          <w:szCs w:val="16"/>
        </w:rPr>
      </w:pPr>
    </w:p>
    <w:p w14:paraId="0F9F6A7B"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1933 г. руководство завода № 31 сообщило в Москву, что до конца года изменений в свою продукцию вно-сить не будет. По эталону 1933 г. пойдёт серия 1934 г. Действительно, в 1934 г. в Таганроге сделали 20 последних Р-6, далее полностью перешли на выпуск лодочных гидросамолётов.</w:t>
      </w:r>
    </w:p>
    <w:p w14:paraId="71C4A4E8"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Р-6 долго и мучительно осваивал молодой завод № 126 в Ком-сомольске-на-Амуре. Только в 1936 г. там удалось изготовить 20 экземпляров. Военные ими уже не очень-то интересо-вались, и большая часть их поступила в гражданскую авиацию (12264).</w:t>
      </w:r>
    </w:p>
    <w:p w14:paraId="1FF74947" w14:textId="77777777" w:rsidR="003F2394" w:rsidRPr="0044524F" w:rsidRDefault="003F2394" w:rsidP="009654CF">
      <w:pPr>
        <w:spacing w:after="0" w:line="240" w:lineRule="auto"/>
        <w:jc w:val="both"/>
        <w:rPr>
          <w:rFonts w:ascii="Times New Roman" w:hAnsi="Times New Roman"/>
          <w:color w:val="000000" w:themeColor="text1"/>
          <w:sz w:val="16"/>
          <w:szCs w:val="16"/>
        </w:rPr>
      </w:pPr>
    </w:p>
    <w:p w14:paraId="6CC2D8F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1933 года врид начальника УВИ НВ Я. Терентьев и врид начальника 2 отдела УВИ НВ Б. Лопаков писали письмо N 349734с начальнику штаба УВВС Хрипину.</w:t>
      </w:r>
    </w:p>
    <w:p w14:paraId="0A0A9A6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заданию УВИ НВ КБ N 11 разработан проект специального самолета для истребительной авиации, представляющий по мнению ряда специалистов большой интерес для воздушного флота, как в смысле вооружения так и в летном и тактическом отношении. В настоящее время проект передан на рассмотрение в НИИ ВВС. Прошу предусмотреть постройку этого самолета и включить его в план опытного строительства 1934 года (3903,12).</w:t>
      </w:r>
    </w:p>
    <w:p w14:paraId="53D33D02"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69D867C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и 22 июля 1933 г. на заводских испытаниях нагнетатель А.Н Данилевского и Е.О. Дмит</w:t>
      </w:r>
      <w:r w:rsidRPr="0044524F">
        <w:rPr>
          <w:rFonts w:ascii="Times New Roman" w:hAnsi="Times New Roman"/>
          <w:color w:val="000000" w:themeColor="text1"/>
          <w:sz w:val="16"/>
          <w:szCs w:val="16"/>
        </w:rPr>
        <w:softHyphen/>
        <w:t>риевского дважды выходил из строя После этого спроектировали и изго</w:t>
      </w:r>
      <w:r w:rsidRPr="0044524F">
        <w:rPr>
          <w:rFonts w:ascii="Times New Roman" w:hAnsi="Times New Roman"/>
          <w:color w:val="000000" w:themeColor="text1"/>
          <w:sz w:val="16"/>
          <w:szCs w:val="16"/>
        </w:rPr>
        <w:softHyphen/>
        <w:t>товили новую, усиленную ребрами, заднюю крышку. Государственные испытания прошли удачнее. М-34Н проходил их с 25 декабря 1933 г., акт об успешном завершении утвер</w:t>
      </w:r>
      <w:r w:rsidRPr="0044524F">
        <w:rPr>
          <w:rFonts w:ascii="Times New Roman" w:hAnsi="Times New Roman"/>
          <w:color w:val="000000" w:themeColor="text1"/>
          <w:sz w:val="16"/>
          <w:szCs w:val="16"/>
        </w:rPr>
        <w:softHyphen/>
        <w:t>дили 7 февраля 1934 г., а серия по</w:t>
      </w:r>
      <w:r w:rsidRPr="0044524F">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44524F">
        <w:rPr>
          <w:rFonts w:ascii="Times New Roman" w:hAnsi="Times New Roman"/>
          <w:color w:val="000000" w:themeColor="text1"/>
          <w:sz w:val="16"/>
          <w:szCs w:val="16"/>
        </w:rPr>
        <w:softHyphen/>
        <w:t>тироваться на моторы других моди</w:t>
      </w:r>
      <w:r w:rsidRPr="0044524F">
        <w:rPr>
          <w:rFonts w:ascii="Times New Roman" w:hAnsi="Times New Roman"/>
          <w:color w:val="000000" w:themeColor="text1"/>
          <w:sz w:val="16"/>
          <w:szCs w:val="16"/>
        </w:rPr>
        <w:softHyphen/>
        <w:t>фикаций. В дальнейшем его хотели сделать отключаемым на малых вы</w:t>
      </w:r>
      <w:r w:rsidRPr="0044524F">
        <w:rPr>
          <w:rFonts w:ascii="Times New Roman" w:hAnsi="Times New Roman"/>
          <w:color w:val="000000" w:themeColor="text1"/>
          <w:sz w:val="16"/>
          <w:szCs w:val="16"/>
        </w:rPr>
        <w:softHyphen/>
        <w:t>сотах, но это намерение так и не было претворено в жизнь. Надеж</w:t>
      </w:r>
      <w:r w:rsidRPr="0044524F">
        <w:rPr>
          <w:rFonts w:ascii="Times New Roman" w:hAnsi="Times New Roman"/>
          <w:color w:val="000000" w:themeColor="text1"/>
          <w:sz w:val="16"/>
          <w:szCs w:val="16"/>
        </w:rPr>
        <w:softHyphen/>
        <w:t>ность М-34Н была невысока. Во-пер</w:t>
      </w:r>
      <w:r w:rsidRPr="0044524F">
        <w:rPr>
          <w:rFonts w:ascii="Times New Roman" w:hAnsi="Times New Roman"/>
          <w:color w:val="000000" w:themeColor="text1"/>
          <w:sz w:val="16"/>
          <w:szCs w:val="16"/>
        </w:rPr>
        <w:softHyphen/>
        <w:t>вых, разрушались подшипники, на которых стояла крыльчатка. Во-вто</w:t>
      </w:r>
      <w:r w:rsidRPr="0044524F">
        <w:rPr>
          <w:rFonts w:ascii="Times New Roman" w:hAnsi="Times New Roman"/>
          <w:color w:val="000000" w:themeColor="text1"/>
          <w:sz w:val="16"/>
          <w:szCs w:val="16"/>
        </w:rPr>
        <w:softHyphen/>
        <w:t>рых, нагнетатель у М-34Р распола</w:t>
      </w:r>
      <w:r w:rsidRPr="0044524F">
        <w:rPr>
          <w:rFonts w:ascii="Times New Roman" w:hAnsi="Times New Roman"/>
          <w:color w:val="000000" w:themeColor="text1"/>
          <w:sz w:val="16"/>
          <w:szCs w:val="16"/>
        </w:rPr>
        <w:softHyphen/>
        <w:t>гался за карбюратором; в нем сжи</w:t>
      </w:r>
      <w:r w:rsidRPr="0044524F">
        <w:rPr>
          <w:rFonts w:ascii="Times New Roman" w:hAnsi="Times New Roman"/>
          <w:color w:val="000000" w:themeColor="text1"/>
          <w:sz w:val="16"/>
          <w:szCs w:val="16"/>
        </w:rPr>
        <w:softHyphen/>
        <w:t>мался 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44524F">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44524F">
        <w:rPr>
          <w:rFonts w:ascii="Times New Roman" w:hAnsi="Times New Roman"/>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44524F">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44524F">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44524F">
        <w:rPr>
          <w:rFonts w:ascii="Times New Roman" w:hAnsi="Times New Roman"/>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44524F">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44524F">
        <w:rPr>
          <w:rFonts w:ascii="Times New Roman" w:hAnsi="Times New Roman"/>
          <w:color w:val="000000" w:themeColor="text1"/>
          <w:sz w:val="16"/>
          <w:szCs w:val="16"/>
        </w:rPr>
        <w:softHyphen/>
        <w:t>ило газораспределение, от вибраций появлялись трещины на лапах креп</w:t>
      </w:r>
      <w:r w:rsidRPr="0044524F">
        <w:rPr>
          <w:rFonts w:ascii="Times New Roman" w:hAnsi="Times New Roman"/>
          <w:color w:val="000000" w:themeColor="text1"/>
          <w:sz w:val="16"/>
          <w:szCs w:val="16"/>
        </w:rPr>
        <w:softHyphen/>
        <w:t>ления к раме. Но нагнетатель и ре</w:t>
      </w:r>
      <w:r w:rsidRPr="0044524F">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44524F">
        <w:rPr>
          <w:rFonts w:ascii="Times New Roman" w:hAnsi="Times New Roman"/>
          <w:color w:val="000000" w:themeColor="text1"/>
          <w:sz w:val="16"/>
          <w:szCs w:val="16"/>
        </w:rPr>
        <w:softHyphen/>
        <w:t>тябре, но и они закончились неудач</w:t>
      </w:r>
      <w:r w:rsidRPr="0044524F">
        <w:rPr>
          <w:rFonts w:ascii="Times New Roman" w:hAnsi="Times New Roman"/>
          <w:color w:val="000000" w:themeColor="text1"/>
          <w:sz w:val="16"/>
          <w:szCs w:val="16"/>
        </w:rPr>
        <w:softHyphen/>
        <w:t>но - прогорели поршни. В результа</w:t>
      </w:r>
      <w:r w:rsidRPr="0044524F">
        <w:rPr>
          <w:rFonts w:ascii="Times New Roman" w:hAnsi="Times New Roman"/>
          <w:color w:val="000000" w:themeColor="text1"/>
          <w:sz w:val="16"/>
          <w:szCs w:val="16"/>
        </w:rPr>
        <w:softHyphen/>
        <w:t>те М-34РН в 1934 г. выпустили лишь небольшой серией. Поскольку нагне</w:t>
      </w:r>
      <w:r w:rsidRPr="0044524F">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2E11B594"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786FAD6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1933 Врид начальника ГУАП Макаровский подготовил:</w:t>
      </w:r>
    </w:p>
    <w:p w14:paraId="6F5C42E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состоянии работ по плану опытного моторостроения и самолетостроения, утвержденного Наркомвоенмором Ворошиловым 17 июля 1933 года</w:t>
      </w:r>
    </w:p>
    <w:p w14:paraId="41805756"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Опытные самолеты.</w:t>
      </w:r>
    </w:p>
    <w:p w14:paraId="73A364F7" w14:textId="77777777" w:rsidR="007F23E2" w:rsidRPr="0044524F" w:rsidRDefault="007F23E2" w:rsidP="009654CF">
      <w:pPr>
        <w:numPr>
          <w:ilvl w:val="0"/>
          <w:numId w:val="26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 6М34. Срок предъявления 15 августа 1933 года. В настоящее время самолет заканчивает заводские испытания. После испытаний с полетным весом 33 тонны, самолет будет предъявлен НИИ ВВС.</w:t>
      </w:r>
    </w:p>
    <w:p w14:paraId="5E65590E" w14:textId="77777777" w:rsidR="007F23E2" w:rsidRPr="0044524F" w:rsidRDefault="007F23E2" w:rsidP="009654CF">
      <w:pPr>
        <w:numPr>
          <w:ilvl w:val="0"/>
          <w:numId w:val="26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 РН. Срок предъявления 1 октября 1934 года. производится установка моторов М34Р на самолет ТБ3. Ведутся работы по переделке подмоторных рам под мотор М-34 РН.</w:t>
      </w:r>
    </w:p>
    <w:p w14:paraId="71165BB4" w14:textId="77777777" w:rsidR="007F23E2" w:rsidRPr="0044524F" w:rsidRDefault="007F23E2" w:rsidP="009654CF">
      <w:pPr>
        <w:numPr>
          <w:ilvl w:val="0"/>
          <w:numId w:val="26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Срок предъявления 1 сентября 1933 года. после первых полетов обнаружены крупные недостатки, связанные с аэродинамическими и конструктивными формами. Ведутся исследования продувочного и экспериментального характера, как крыла, так и хвостового оперения. На втором строющемся экземпляре вносятся существенные изменения. Срок предъявления намечается к 1 ноября 1933 года.</w:t>
      </w:r>
    </w:p>
    <w:p w14:paraId="01C8FEA2" w14:textId="77777777" w:rsidR="007F23E2" w:rsidRPr="0044524F" w:rsidRDefault="007F23E2" w:rsidP="009654CF">
      <w:pPr>
        <w:numPr>
          <w:ilvl w:val="0"/>
          <w:numId w:val="26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 – 6М34 Рн. Срок предъявления 1 августа 1934 года. Заканчивается изготовление отдельных агрегатов (лодок, крыльев, мотоферм и пр.). Одновременно производится передача конструктивных чертежей заводу № 22 для подготовки серийного производства. Передача чертежей должна быть закончена 15 декабря 1933 года.</w:t>
      </w:r>
    </w:p>
    <w:p w14:paraId="16DD323E" w14:textId="77777777" w:rsidR="007F23E2" w:rsidRPr="0044524F" w:rsidRDefault="007F23E2" w:rsidP="009654CF">
      <w:pPr>
        <w:numPr>
          <w:ilvl w:val="0"/>
          <w:numId w:val="26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МДР4-3М34 РН. Срок предъявления 1 мая 1934 года. Производится изготовление отдельных агрегатов (лодки, крыльев, хвостового оперения) и заготовка моторных ферм. Одновременно идет передача чертежей заводам №№ 31 и 125, для подготовки серийного производства. Передача чертежей должна быть закончена 15 февраля 1934 года.</w:t>
      </w:r>
    </w:p>
    <w:p w14:paraId="3EDD4081" w14:textId="77777777" w:rsidR="007F23E2" w:rsidRPr="0044524F" w:rsidRDefault="007F23E2" w:rsidP="009654CF">
      <w:pPr>
        <w:numPr>
          <w:ilvl w:val="0"/>
          <w:numId w:val="26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ЛР-М34. Срок предъявления 1 сентября 1933 года. Самолет закончен в производстве. Заводские испытания задерживаются метеорологическими условиями. Будет предъявлен на гос. испытания 1 ноября 1933 года.</w:t>
      </w:r>
    </w:p>
    <w:p w14:paraId="49006663" w14:textId="77777777" w:rsidR="007F23E2" w:rsidRPr="0044524F" w:rsidRDefault="007F23E2" w:rsidP="009654CF">
      <w:pPr>
        <w:numPr>
          <w:ilvl w:val="0"/>
          <w:numId w:val="27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 Срок предъявления 1 февраля 1934 года. Производится изготовление отдельных частей для статиспытания. Будет предъявлен на испытание в марте 1934 года.</w:t>
      </w:r>
    </w:p>
    <w:p w14:paraId="2F64AF6B" w14:textId="77777777" w:rsidR="007F23E2" w:rsidRPr="0044524F" w:rsidRDefault="007F23E2" w:rsidP="009654CF">
      <w:pPr>
        <w:numPr>
          <w:ilvl w:val="0"/>
          <w:numId w:val="27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Бристоль Меркур. Срок предъявления 30 июля 1933 года. Самолет опробован в воздухе. Обнаружена возможность улучшения. В настоящее время заканчивается переделка и самолет должен быть отправлен на аэродром к 15 сентября 1933 года. Срок предъявления на гос. испытания 1 ноября 1933 года.</w:t>
      </w:r>
    </w:p>
    <w:p w14:paraId="44AA7257" w14:textId="77777777" w:rsidR="007F23E2" w:rsidRPr="0044524F" w:rsidRDefault="007F23E2" w:rsidP="009654CF">
      <w:pPr>
        <w:numPr>
          <w:ilvl w:val="0"/>
          <w:numId w:val="27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Райт Циклон. Срок предъявления 1 февраля 1934 года. Заканчивается проектирование и идет заготовка отдельных деталей и узлов.</w:t>
      </w:r>
    </w:p>
    <w:p w14:paraId="59F13E9C" w14:textId="77777777" w:rsidR="007F23E2" w:rsidRPr="0044524F" w:rsidRDefault="007F23E2" w:rsidP="009654CF">
      <w:pPr>
        <w:numPr>
          <w:ilvl w:val="0"/>
          <w:numId w:val="27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Райт Циклон. Срок предъявления 1 декабря 1933 года. Производится стыковка агрегатов (крыльев, фюзеляжа, мотофермы, хвостового оперения), окончание постройки ожидается в октябре 1933 года. Срок предъявления на гос. испытания – 1 января 1934 года.</w:t>
      </w:r>
    </w:p>
    <w:p w14:paraId="16FBB9B2" w14:textId="77777777" w:rsidR="007F23E2" w:rsidRPr="0044524F" w:rsidRDefault="007F23E2" w:rsidP="009654CF">
      <w:pPr>
        <w:numPr>
          <w:ilvl w:val="0"/>
          <w:numId w:val="27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И15-М58. Срок предъявления через шесть месяцев после получения мотора. Ведется проектирование и увязка по установке мотора М-58.</w:t>
      </w:r>
    </w:p>
    <w:p w14:paraId="520F9F08" w14:textId="77777777" w:rsidR="007F23E2" w:rsidRPr="0044524F" w:rsidRDefault="007F23E2" w:rsidP="009654CF">
      <w:pPr>
        <w:numPr>
          <w:ilvl w:val="0"/>
          <w:numId w:val="27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 (С62). Срок предъявления 1 августа 1933 года. При заводских испытаниях выявлена непригодность радиаторов. Ведется перепроектировка и изготовление новых радиаторов, которые должны быть окончены к 15 сентября 1933 года. Самолет снят с серийного производства.</w:t>
      </w:r>
    </w:p>
    <w:p w14:paraId="3C54C6A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Экспериментальные самолеты.</w:t>
      </w:r>
    </w:p>
    <w:p w14:paraId="1B56D3B6" w14:textId="77777777" w:rsidR="007F23E2" w:rsidRPr="0044524F" w:rsidRDefault="007F23E2" w:rsidP="009654CF">
      <w:pPr>
        <w:numPr>
          <w:ilvl w:val="0"/>
          <w:numId w:val="27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СК2-М32 (или М34). Срок заводских испытаний 1 декабря 1934 года. Отсутствие моторов М-32 и неясность вопроса с установкой других моторов создали замедление в темпах работы. Проектирование закончено на 75%. Самолет запущен в производство.</w:t>
      </w:r>
    </w:p>
    <w:p w14:paraId="6D04A011" w14:textId="77777777" w:rsidR="007F23E2" w:rsidRPr="0044524F" w:rsidRDefault="007F23E2" w:rsidP="009654CF">
      <w:pPr>
        <w:numPr>
          <w:ilvl w:val="0"/>
          <w:numId w:val="27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ВС-2М22. Срок заводских испытаний 1 мая 1934 года. Заканчивается эскизный проект.</w:t>
      </w:r>
    </w:p>
    <w:p w14:paraId="657D99CB" w14:textId="77777777" w:rsidR="007F23E2" w:rsidRPr="0044524F" w:rsidRDefault="007F23E2" w:rsidP="009654CF">
      <w:pPr>
        <w:numPr>
          <w:ilvl w:val="0"/>
          <w:numId w:val="27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ДИП-2 М34 РН. Срок заводских испытаний 1 июня 1934 года. Ведется проектирование и изготовление отдельных частей (центроплан, фюзеляж, отъемное оперение).</w:t>
      </w:r>
    </w:p>
    <w:p w14:paraId="1E81F70F" w14:textId="77777777" w:rsidR="007F23E2" w:rsidRPr="0044524F" w:rsidRDefault="007F23E2" w:rsidP="009654CF">
      <w:pPr>
        <w:numPr>
          <w:ilvl w:val="0"/>
          <w:numId w:val="27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ДИ6-Райт Циклон. Срок заводских испытаний 1 мая 1934 года. Закончен эскизный проект и подготовляется макет.</w:t>
      </w:r>
    </w:p>
    <w:p w14:paraId="7AEFCD04" w14:textId="77777777" w:rsidR="007F23E2" w:rsidRPr="0044524F" w:rsidRDefault="007F23E2" w:rsidP="009654CF">
      <w:pPr>
        <w:numPr>
          <w:ilvl w:val="0"/>
          <w:numId w:val="28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К7-М34. Срок заводских испытаний 1 августа 1933 года. Самолет опробован в воздухе. Обнаружены конструктивные недочеты оперения. Внесены исправления и самолет подготовлен к заводским испытаниям.</w:t>
      </w:r>
    </w:p>
    <w:p w14:paraId="5C991919" w14:textId="77777777" w:rsidR="007F23E2" w:rsidRPr="0044524F" w:rsidRDefault="007F23E2" w:rsidP="009654CF">
      <w:pPr>
        <w:numPr>
          <w:ilvl w:val="0"/>
          <w:numId w:val="28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 Срок заводских испытаний 1 декабря 1935 года. Ведется изучение материалов и предварительное проектирование. Изготовляются отдельные части для исследования и экспериментов.</w:t>
      </w:r>
    </w:p>
    <w:p w14:paraId="7864BDA7" w14:textId="77777777" w:rsidR="007F23E2" w:rsidRPr="0044524F" w:rsidRDefault="007F23E2" w:rsidP="009654CF">
      <w:pPr>
        <w:numPr>
          <w:ilvl w:val="0"/>
          <w:numId w:val="28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СР-1 М58. Срок испытания через шесть месяцев после получения моторов. Производится подбор материалов и предварительная проработка.</w:t>
      </w:r>
    </w:p>
    <w:p w14:paraId="4BCCAD3F" w14:textId="77777777" w:rsidR="007F23E2" w:rsidRPr="0044524F" w:rsidRDefault="007F23E2" w:rsidP="009654CF">
      <w:pPr>
        <w:numPr>
          <w:ilvl w:val="0"/>
          <w:numId w:val="28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СС-М34. Срок испытания 1 января 1934 года. Производится сборка отдельных агрегатов. Самолет выйдет с мотором без нагнетателя, но с редуктором.</w:t>
      </w:r>
    </w:p>
    <w:p w14:paraId="061F3437" w14:textId="77777777" w:rsidR="007F23E2" w:rsidRPr="0044524F" w:rsidRDefault="007F23E2" w:rsidP="009654CF">
      <w:pPr>
        <w:numPr>
          <w:ilvl w:val="0"/>
          <w:numId w:val="28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ЛК- . Срок испытания 1 января 1934 года. Заканчивается эскизный проект и производится постройка макета.</w:t>
      </w:r>
    </w:p>
    <w:p w14:paraId="7622CBCA" w14:textId="77777777" w:rsidR="007F23E2" w:rsidRPr="0044524F" w:rsidRDefault="007F23E2" w:rsidP="009654CF">
      <w:pPr>
        <w:numPr>
          <w:ilvl w:val="0"/>
          <w:numId w:val="28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РК (Кричевского). Срок испытания 1 октября 1933 года. Проектирование закончено. Производится изготовление отдельных частей самолета.</w:t>
      </w:r>
    </w:p>
    <w:p w14:paraId="2FF0EBDC" w14:textId="77777777" w:rsidR="007F23E2" w:rsidRPr="0044524F" w:rsidRDefault="007F23E2" w:rsidP="009654CF">
      <w:pPr>
        <w:numPr>
          <w:ilvl w:val="0"/>
          <w:numId w:val="28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Срок испытания 30 июля 1933 года. Ведутся исследования и экспериментальные испытания на аэродроме, со специальным геликоптерным винтом.</w:t>
      </w:r>
    </w:p>
    <w:p w14:paraId="48952AEB" w14:textId="77777777" w:rsidR="007F23E2" w:rsidRPr="0044524F" w:rsidRDefault="007F23E2" w:rsidP="009654CF">
      <w:pPr>
        <w:numPr>
          <w:ilvl w:val="0"/>
          <w:numId w:val="28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М-22. Срок испытания 1 октября 1933 года. Закончена стыковка отдельных агрегатов (крыльев, фюзеляжа, мотофермы, хвостового оперения, шасси).</w:t>
      </w:r>
    </w:p>
    <w:p w14:paraId="1D9C449A" w14:textId="77777777" w:rsidR="007F23E2" w:rsidRPr="0044524F" w:rsidRDefault="007F23E2" w:rsidP="009654CF">
      <w:pPr>
        <w:numPr>
          <w:ilvl w:val="0"/>
          <w:numId w:val="28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 М-48. Срок испытания 1 июня 1934 года. Заканчивается эскизный проект и ведутся работы по макету.</w:t>
      </w:r>
    </w:p>
    <w:p w14:paraId="0F00898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(4223, 34-35).</w:t>
      </w:r>
    </w:p>
    <w:p w14:paraId="22A8179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Справка по моторам</w:t>
      </w:r>
    </w:p>
    <w:p w14:paraId="259DF41E" w14:textId="77777777" w:rsidR="007F23E2" w:rsidRPr="0044524F" w:rsidRDefault="007F23E2" w:rsidP="009654CF">
      <w:pPr>
        <w:numPr>
          <w:ilvl w:val="0"/>
          <w:numId w:val="289"/>
        </w:numPr>
        <w:tabs>
          <w:tab w:val="left" w:pos="72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 моторы.</w:t>
      </w:r>
    </w:p>
    <w:p w14:paraId="37AAEAD5" w14:textId="77777777" w:rsidR="007F23E2" w:rsidRPr="0044524F" w:rsidRDefault="007F23E2" w:rsidP="009654CF">
      <w:pPr>
        <w:pStyle w:val="a3"/>
        <w:widowControl/>
        <w:numPr>
          <w:ilvl w:val="0"/>
          <w:numId w:val="290"/>
        </w:numPr>
        <w:tabs>
          <w:tab w:val="left" w:pos="360"/>
        </w:tabs>
        <w:ind w:left="0" w:firstLine="0"/>
        <w:rPr>
          <w:color w:val="000000" w:themeColor="text1"/>
          <w:lang w:val="ru-RU"/>
        </w:rPr>
      </w:pPr>
      <w:r w:rsidRPr="0044524F">
        <w:rPr>
          <w:color w:val="000000" w:themeColor="text1"/>
          <w:lang w:val="ru-RU"/>
        </w:rPr>
        <w:t>М-34 Н. Срок предъявления 1 сентября 1933 года. Нагнетатель прошел заводские испытания. Гос. испытания начались.</w:t>
      </w:r>
    </w:p>
    <w:p w14:paraId="32FFAF3E" w14:textId="77777777" w:rsidR="007F23E2" w:rsidRPr="0044524F" w:rsidRDefault="007F23E2" w:rsidP="009654CF">
      <w:pPr>
        <w:numPr>
          <w:ilvl w:val="0"/>
          <w:numId w:val="29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РН. Срок предъявления 1 ноября 1933 года. Проходит заводские испытания.</w:t>
      </w:r>
    </w:p>
    <w:p w14:paraId="15F2AA67" w14:textId="77777777" w:rsidR="007F23E2" w:rsidRPr="0044524F" w:rsidRDefault="007F23E2" w:rsidP="009654CF">
      <w:pPr>
        <w:numPr>
          <w:ilvl w:val="0"/>
          <w:numId w:val="29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 (форсированный). Срок предъявления 1 марта 1934 года. Проводятся предварительные экспериментальные работы и проектирование. Срок предъявления отодвигается на май 1934 года.</w:t>
      </w:r>
    </w:p>
    <w:p w14:paraId="197FF2D5" w14:textId="77777777" w:rsidR="007F23E2" w:rsidRPr="0044524F" w:rsidRDefault="007F23E2" w:rsidP="009654CF">
      <w:pPr>
        <w:numPr>
          <w:ilvl w:val="0"/>
          <w:numId w:val="29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ФРН с нагнетателем до 3500 метров. Срок предъявления 1 мая 1934 года. Работы связаны с М-34 ФР и срок предъявления отодвигается на июль 1934 года.</w:t>
      </w:r>
    </w:p>
    <w:p w14:paraId="5C939ECF" w14:textId="77777777" w:rsidR="007F23E2" w:rsidRPr="0044524F" w:rsidRDefault="007F23E2" w:rsidP="009654CF">
      <w:pPr>
        <w:numPr>
          <w:ilvl w:val="0"/>
          <w:numId w:val="29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ФРН с нагнетателем до 5000 метров и винтом переменного шага. Срок предъявления 1 сентября 1934 года. Ведутся лабораторные работы с нагнетателем на спецустановках. Винт переменного шага запущены в производство.</w:t>
      </w:r>
    </w:p>
    <w:p w14:paraId="26404557" w14:textId="77777777" w:rsidR="007F23E2" w:rsidRPr="0044524F" w:rsidRDefault="007F23E2" w:rsidP="009654CF">
      <w:pPr>
        <w:numPr>
          <w:ilvl w:val="0"/>
          <w:numId w:val="29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ФРН до 5000 метров с винтом переменного шага и удлиненным валом. Срок предъявления 1 сентября 1934 года. Ведутся конструкторские и исследовательские работы.</w:t>
      </w:r>
    </w:p>
    <w:p w14:paraId="0AB0E1CA" w14:textId="77777777" w:rsidR="007F23E2" w:rsidRPr="0044524F" w:rsidRDefault="007F23E2" w:rsidP="009654CF">
      <w:pPr>
        <w:numPr>
          <w:ilvl w:val="0"/>
          <w:numId w:val="29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с электронным картером. Срок – 1 декабря 1933 года. Мотор прошел заводские испытания и подготовляется к сдаче на гос. испытание.</w:t>
      </w:r>
    </w:p>
    <w:p w14:paraId="3ED2CB4A" w14:textId="77777777" w:rsidR="007F23E2" w:rsidRPr="0044524F" w:rsidRDefault="007F23E2" w:rsidP="009654CF">
      <w:pPr>
        <w:numPr>
          <w:ilvl w:val="0"/>
          <w:numId w:val="29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однорядный. Срок – 1 декабря 1933 года. Мотор старой компановки проходит заводские испытания. Запущен в производство новый вариант с усиленным картером, облегченными деталями и новыми агрегатами.</w:t>
      </w:r>
    </w:p>
    <w:p w14:paraId="37CDA59B" w14:textId="77777777" w:rsidR="007F23E2" w:rsidRPr="0044524F" w:rsidRDefault="007F23E2" w:rsidP="009654CF">
      <w:pPr>
        <w:numPr>
          <w:ilvl w:val="0"/>
          <w:numId w:val="29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 глиссерный. Срок – 1 августа 1933 года. Два мотора сданы Морвед’у для испытания на глиссерах. Ведутся работы по охлаждению мотора пресной водой и холостому ходу.</w:t>
      </w:r>
    </w:p>
    <w:p w14:paraId="67570F56" w14:textId="77777777" w:rsidR="007F23E2" w:rsidRPr="0044524F" w:rsidRDefault="007F23E2" w:rsidP="009654CF">
      <w:pPr>
        <w:numPr>
          <w:ilvl w:val="0"/>
          <w:numId w:val="29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Ф. Срок – 1 июля 1934 года. Ведется подготовка к заводским испытаниям.</w:t>
      </w:r>
    </w:p>
    <w:p w14:paraId="11F442E4" w14:textId="77777777" w:rsidR="007F23E2" w:rsidRPr="0044524F" w:rsidRDefault="007F23E2" w:rsidP="009654CF">
      <w:pPr>
        <w:numPr>
          <w:ilvl w:val="0"/>
          <w:numId w:val="30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Срок – 1 сентября 1933 года. Мотор проходит заводские испытания, которые затянулись вследствие аварий с противовесом и затруднениями в подборе клапанов. Срок отодвигается на декабрь 1933 года.</w:t>
      </w:r>
    </w:p>
    <w:p w14:paraId="62B6E6D7" w14:textId="77777777" w:rsidR="007F23E2" w:rsidRPr="0044524F" w:rsidRDefault="007F23E2" w:rsidP="009654CF">
      <w:pPr>
        <w:numPr>
          <w:ilvl w:val="0"/>
          <w:numId w:val="30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 НР. Срок испытаний 1 июня 1934 года. Мотор проходит экспериментальные испытания. В производстве находится усиленные головки, усиленная передача на клапана и ряд вариантов перебора нагнетателя.</w:t>
      </w:r>
    </w:p>
    <w:p w14:paraId="1DC2A0EC" w14:textId="77777777" w:rsidR="007F23E2" w:rsidRPr="0044524F" w:rsidRDefault="007F23E2" w:rsidP="009654CF">
      <w:pPr>
        <w:numPr>
          <w:ilvl w:val="0"/>
          <w:numId w:val="30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Срок заводских испытаний 1 ноября 1933 года. Мотор в деталях закончен. Производится монтаж и испытание отдельных агрегатов.</w:t>
      </w:r>
    </w:p>
    <w:p w14:paraId="4EA436E7" w14:textId="77777777" w:rsidR="007F23E2" w:rsidRPr="0044524F" w:rsidRDefault="007F23E2" w:rsidP="009654CF">
      <w:pPr>
        <w:numPr>
          <w:ilvl w:val="0"/>
          <w:numId w:val="30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(ФЕД-8). Срок заводских испытаний 1 сентября 1933 года. Закончено производство деталей. Производится монтаж мотора.</w:t>
      </w:r>
    </w:p>
    <w:p w14:paraId="0CDB2C77" w14:textId="77777777" w:rsidR="007F23E2" w:rsidRPr="0044524F" w:rsidRDefault="007F23E2" w:rsidP="009654CF">
      <w:pPr>
        <w:numPr>
          <w:ilvl w:val="0"/>
          <w:numId w:val="30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 Срок испытаний 1 октября 1933 года. Мотор в деталях закончен. Производится монтаж.</w:t>
      </w:r>
    </w:p>
    <w:p w14:paraId="4F457DF6" w14:textId="77777777" w:rsidR="007F23E2" w:rsidRPr="0044524F" w:rsidRDefault="007F23E2" w:rsidP="009654CF">
      <w:pPr>
        <w:numPr>
          <w:ilvl w:val="0"/>
          <w:numId w:val="30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ГМ-44. Срок не установлен. Ход работ будет зависеть от результатов испытания мотора М-44.</w:t>
      </w:r>
    </w:p>
    <w:p w14:paraId="37FE3111" w14:textId="77777777" w:rsidR="007F23E2" w:rsidRPr="0044524F" w:rsidRDefault="007F23E2" w:rsidP="009654CF">
      <w:pPr>
        <w:numPr>
          <w:ilvl w:val="0"/>
          <w:numId w:val="30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 Срок заводских испытаний 1 сентября 1933 года. Заканчиваются заводские испытания.</w:t>
      </w:r>
    </w:p>
    <w:p w14:paraId="2DAD25D4" w14:textId="77777777" w:rsidR="007F23E2" w:rsidRPr="0044524F" w:rsidRDefault="007F23E2" w:rsidP="009654CF">
      <w:pPr>
        <w:numPr>
          <w:ilvl w:val="0"/>
          <w:numId w:val="30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 Н. Срок заводских испытаний 1 января 1934 года. Проходит испытание 3-х цилиндрового мотора. Запущены в производство ряд вариантов головок, в том числе 4-х клапанная и кулачковый распределительные шайбы.</w:t>
      </w:r>
    </w:p>
    <w:p w14:paraId="669108E2" w14:textId="77777777" w:rsidR="007F23E2" w:rsidRPr="0044524F" w:rsidRDefault="007F23E2" w:rsidP="009654CF">
      <w:pPr>
        <w:numPr>
          <w:ilvl w:val="0"/>
          <w:numId w:val="30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М-56. Срок заводских испытаний 1 октября 1934 года. Ведутся конструкторские и экспериментальные работы. Запущена в производство одноцилиндровая установка (4223, 36-37).</w:t>
      </w:r>
    </w:p>
    <w:p w14:paraId="650EC241" w14:textId="77777777" w:rsidR="007F23E2" w:rsidRPr="0044524F" w:rsidRDefault="007F23E2" w:rsidP="009654CF">
      <w:pPr>
        <w:tabs>
          <w:tab w:val="left" w:pos="360"/>
        </w:tabs>
        <w:spacing w:after="0" w:line="240" w:lineRule="auto"/>
        <w:jc w:val="both"/>
        <w:rPr>
          <w:rFonts w:ascii="Times New Roman" w:hAnsi="Times New Roman"/>
          <w:color w:val="000000" w:themeColor="text1"/>
          <w:sz w:val="16"/>
          <w:szCs w:val="16"/>
        </w:rPr>
      </w:pPr>
    </w:p>
    <w:p w14:paraId="023F36F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1933 г.¹* Справка Экономического управления ОГПУ СССР о положении с производством авиабомб</w:t>
      </w:r>
    </w:p>
    <w:p w14:paraId="4E2D8005" w14:textId="77777777" w:rsidR="00B2303C" w:rsidRPr="0044524F" w:rsidRDefault="00B2303C" w:rsidP="009654CF">
      <w:pPr>
        <w:pStyle w:val="ae"/>
        <w:spacing w:before="0" w:after="0"/>
        <w:jc w:val="both"/>
        <w:rPr>
          <w:color w:val="000000" w:themeColor="text1"/>
          <w:sz w:val="16"/>
          <w:szCs w:val="16"/>
        </w:rPr>
      </w:pPr>
      <w:r w:rsidRPr="0044524F">
        <w:rPr>
          <w:rStyle w:val="af0"/>
          <w:i w:val="0"/>
          <w:color w:val="000000" w:themeColor="text1"/>
          <w:sz w:val="16"/>
          <w:szCs w:val="16"/>
        </w:rPr>
        <w:t>Совершенно секретно.</w:t>
      </w:r>
    </w:p>
    <w:p w14:paraId="4295202D"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Организация производства авиабомб к настоящему времени совершенно не обеспечивает растущей потребности военно-воздушного флота. Производство авиабомб разбросано по 18 заводам, входящим в состав 15 различных объединений и не обеспечено техническим руководством.</w:t>
      </w:r>
    </w:p>
    <w:p w14:paraId="6E003F74"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За I полугодие выполнение заказов на авиабомбы прошло неудовлетворительно. Особо плохо обстоит выполнение программы по крупным калибрам, что видно из следующей таблицы:</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8"/>
        <w:gridCol w:w="1414"/>
        <w:gridCol w:w="2263"/>
        <w:gridCol w:w="752"/>
        <w:gridCol w:w="1036"/>
        <w:gridCol w:w="2899"/>
      </w:tblGrid>
      <w:tr w:rsidR="004E10C1" w:rsidRPr="0044524F" w14:paraId="4F129B68"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A8F2E9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крупнокалиберным авиабомбам</w:t>
            </w:r>
          </w:p>
        </w:tc>
        <w:tc>
          <w:tcPr>
            <w:tcW w:w="0" w:type="auto"/>
            <w:tcBorders>
              <w:top w:val="outset" w:sz="6" w:space="0" w:color="auto"/>
              <w:left w:val="outset" w:sz="6" w:space="0" w:color="auto"/>
              <w:bottom w:val="outset" w:sz="6" w:space="0" w:color="auto"/>
              <w:right w:val="outset" w:sz="6" w:space="0" w:color="auto"/>
            </w:tcBorders>
            <w:vAlign w:val="center"/>
            <w:hideMark/>
          </w:tcPr>
          <w:p w14:paraId="01FA3A0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бомбы и вес</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181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подачи в I полугодии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1455829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w:t>
            </w:r>
          </w:p>
        </w:tc>
        <w:tc>
          <w:tcPr>
            <w:tcW w:w="0" w:type="auto"/>
            <w:tcBorders>
              <w:top w:val="outset" w:sz="6" w:space="0" w:color="auto"/>
              <w:left w:val="outset" w:sz="6" w:space="0" w:color="auto"/>
              <w:bottom w:val="outset" w:sz="6" w:space="0" w:color="auto"/>
              <w:right w:val="outset" w:sz="6" w:space="0" w:color="auto"/>
            </w:tcBorders>
            <w:vAlign w:val="center"/>
            <w:hideMark/>
          </w:tcPr>
          <w:p w14:paraId="2F7EFA9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Процент</w:t>
            </w:r>
          </w:p>
          <w:p w14:paraId="355FA39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31135E3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59A1D200"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17E0B17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Краматорский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2203C23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53DCDF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F13090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84DD69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D2D32A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Авиа</w:t>
            </w:r>
            <w:r w:rsidRPr="0044524F">
              <w:rPr>
                <w:rFonts w:ascii="Times New Roman" w:hAnsi="Times New Roman"/>
                <w:color w:val="000000" w:themeColor="text1"/>
                <w:sz w:val="16"/>
                <w:szCs w:val="16"/>
              </w:rPr>
              <w:softHyphen/>
              <w:t>фугасные бомбы</w:t>
            </w:r>
          </w:p>
          <w:p w14:paraId="39FDBA97" w14:textId="77777777" w:rsidR="00B2303C" w:rsidRPr="0044524F" w:rsidRDefault="00B2303C" w:rsidP="009654CF">
            <w:pPr>
              <w:spacing w:after="0" w:line="240" w:lineRule="auto"/>
              <w:jc w:val="both"/>
              <w:rPr>
                <w:rFonts w:ascii="Times New Roman" w:hAnsi="Times New Roman"/>
                <w:color w:val="000000" w:themeColor="text1"/>
                <w:sz w:val="16"/>
                <w:szCs w:val="16"/>
              </w:rPr>
            </w:pPr>
          </w:p>
          <w:p w14:paraId="55EBFEFB"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АБРБ — Авиа</w:t>
            </w:r>
            <w:r w:rsidRPr="0044524F">
              <w:rPr>
                <w:rFonts w:ascii="Times New Roman" w:hAnsi="Times New Roman"/>
                <w:color w:val="000000" w:themeColor="text1"/>
                <w:sz w:val="16"/>
                <w:szCs w:val="16"/>
              </w:rPr>
              <w:softHyphen/>
              <w:t>броне</w:t>
            </w:r>
            <w:r w:rsidRPr="0044524F">
              <w:rPr>
                <w:rFonts w:ascii="Times New Roman" w:hAnsi="Times New Roman"/>
                <w:color w:val="000000" w:themeColor="text1"/>
                <w:sz w:val="16"/>
                <w:szCs w:val="16"/>
              </w:rPr>
              <w:softHyphen/>
              <w:t>бойные бомбы</w:t>
            </w:r>
          </w:p>
        </w:tc>
      </w:tr>
      <w:tr w:rsidR="004E10C1" w:rsidRPr="0044524F" w14:paraId="2FAEAB5E"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0023CA4"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60DD35F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16C557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541899E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5895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1038914"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r w:rsidR="004E10C1" w:rsidRPr="0044524F" w14:paraId="6FB05A36"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AF10C97" w14:textId="77777777" w:rsidR="00B2303C" w:rsidRPr="0044524F" w:rsidRDefault="00B2303C" w:rsidP="009654CF">
            <w:pPr>
              <w:pStyle w:val="ae"/>
              <w:spacing w:before="0" w:after="0"/>
              <w:jc w:val="both"/>
              <w:rPr>
                <w:color w:val="000000" w:themeColor="text1"/>
                <w:sz w:val="16"/>
                <w:szCs w:val="16"/>
              </w:rPr>
            </w:pPr>
            <w:r w:rsidRPr="0044524F">
              <w:rPr>
                <w:color w:val="000000" w:themeColor="text1"/>
                <w:sz w:val="16"/>
                <w:szCs w:val="16"/>
              </w:rPr>
              <w:t>завод Коломенский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C7CD5B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C1FDE0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5282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314A5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3FCAE1C"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r w:rsidR="004E10C1" w:rsidRPr="0044524F" w14:paraId="4FB85F9C"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B81B4FD"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A0932F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DF5EF0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EDF8E3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16000D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B0D13AB"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r w:rsidR="004E10C1" w:rsidRPr="0044524F" w14:paraId="6DCF0A8A"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F38D15D" w14:textId="77777777" w:rsidR="00B2303C" w:rsidRPr="0044524F" w:rsidRDefault="00B2303C" w:rsidP="009654CF">
            <w:pPr>
              <w:pStyle w:val="ae"/>
              <w:spacing w:before="0" w:after="0"/>
              <w:jc w:val="both"/>
              <w:rPr>
                <w:color w:val="000000" w:themeColor="text1"/>
                <w:sz w:val="16"/>
                <w:szCs w:val="16"/>
              </w:rPr>
            </w:pPr>
            <w:r w:rsidRPr="0044524F">
              <w:rPr>
                <w:color w:val="000000" w:themeColor="text1"/>
                <w:sz w:val="16"/>
                <w:szCs w:val="16"/>
              </w:rPr>
              <w:t>завод № 67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1C4D9F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7EBACD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7522CD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68EF63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5879794"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r w:rsidR="004E10C1" w:rsidRPr="0044524F" w14:paraId="6AF88472"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3AD4410D"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BD05F5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03E79C9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76E7DF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4E2EF9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610DD6DB"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r w:rsidR="004E10C1" w:rsidRPr="0044524F" w14:paraId="735868FE"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AFDF10A"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5B14EE9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2000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D10F3A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60831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79119D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149A0256"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r w:rsidR="004E10C1" w:rsidRPr="0044524F" w14:paraId="7C5395CD" w14:textId="77777777" w:rsidTr="00CF276A">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21C0CA9E" w14:textId="77777777" w:rsidR="00B2303C" w:rsidRPr="0044524F" w:rsidRDefault="00B2303C" w:rsidP="009654CF">
            <w:pPr>
              <w:pStyle w:val="ae"/>
              <w:spacing w:before="0" w:after="0"/>
              <w:jc w:val="both"/>
              <w:rPr>
                <w:color w:val="000000" w:themeColor="text1"/>
                <w:sz w:val="16"/>
                <w:szCs w:val="16"/>
              </w:rPr>
            </w:pPr>
            <w:r w:rsidRPr="0044524F">
              <w:rPr>
                <w:color w:val="000000" w:themeColor="text1"/>
                <w:sz w:val="16"/>
                <w:szCs w:val="16"/>
              </w:rPr>
              <w:t>завод «Коминтерн»</w:t>
            </w:r>
          </w:p>
        </w:tc>
        <w:tc>
          <w:tcPr>
            <w:tcW w:w="0" w:type="auto"/>
            <w:tcBorders>
              <w:top w:val="outset" w:sz="6" w:space="0" w:color="auto"/>
              <w:left w:val="outset" w:sz="6" w:space="0" w:color="auto"/>
              <w:bottom w:val="outset" w:sz="6" w:space="0" w:color="auto"/>
              <w:right w:val="outset" w:sz="6" w:space="0" w:color="auto"/>
            </w:tcBorders>
            <w:vAlign w:val="center"/>
            <w:hideMark/>
          </w:tcPr>
          <w:p w14:paraId="7C29CA1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A39D0A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4705A46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3E80DD2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70B21EC6"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r w:rsidR="004E10C1" w:rsidRPr="0044524F" w14:paraId="06E8647C" w14:textId="77777777" w:rsidTr="00CF276A">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DA6CDB0"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32DA849"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99DE01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78A9ED9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A0C14D8"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2C886070"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r w:rsidR="004E10C1" w:rsidRPr="0044524F" w14:paraId="7A3CAD50"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639A9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Лысьвенский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342DD5B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D6C9EED"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B19D4F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90B2281"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B37797E"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r w:rsidR="004E10C1" w:rsidRPr="0044524F" w14:paraId="2DE4F4C7"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D1CE67"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«Красный котельщик»</w:t>
            </w:r>
          </w:p>
        </w:tc>
        <w:tc>
          <w:tcPr>
            <w:tcW w:w="0" w:type="auto"/>
            <w:tcBorders>
              <w:top w:val="outset" w:sz="6" w:space="0" w:color="auto"/>
              <w:left w:val="outset" w:sz="6" w:space="0" w:color="auto"/>
              <w:bottom w:val="outset" w:sz="6" w:space="0" w:color="auto"/>
              <w:right w:val="outset" w:sz="6" w:space="0" w:color="auto"/>
            </w:tcBorders>
            <w:vAlign w:val="center"/>
            <w:hideMark/>
          </w:tcPr>
          <w:p w14:paraId="7FE7EE1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250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FA64D7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29F7799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5FFA2B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B11332D"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r w:rsidR="004E10C1" w:rsidRPr="0044524F" w14:paraId="2C4BDA59"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38F4F4F"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Рыбинский</w:t>
            </w:r>
          </w:p>
        </w:tc>
        <w:tc>
          <w:tcPr>
            <w:tcW w:w="0" w:type="auto"/>
            <w:tcBorders>
              <w:top w:val="outset" w:sz="6" w:space="0" w:color="auto"/>
              <w:left w:val="outset" w:sz="6" w:space="0" w:color="auto"/>
              <w:bottom w:val="outset" w:sz="6" w:space="0" w:color="auto"/>
              <w:right w:val="outset" w:sz="6" w:space="0" w:color="auto"/>
            </w:tcBorders>
            <w:vAlign w:val="center"/>
            <w:hideMark/>
          </w:tcPr>
          <w:p w14:paraId="6BE25B7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АФБ — 500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5DB04C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E52EA30"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6DEEE723"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44,4%</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0126104C"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r w:rsidR="004E10C1" w:rsidRPr="0044524F" w14:paraId="1453787A" w14:textId="77777777" w:rsidTr="00CF276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045EA6"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ММ3</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FF53C"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АБРБ </w:t>
            </w:r>
            <w:r w:rsidRPr="0044524F">
              <w:rPr>
                <w:rFonts w:ascii="Times New Roman" w:hAnsi="Times New Roman"/>
                <w:color w:val="000000" w:themeColor="text1"/>
                <w:sz w:val="16"/>
                <w:szCs w:val="16"/>
              </w:rPr>
              <w:noBreakHyphen/>
              <w:t xml:space="preserve"> 1000 кг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05FE8D2"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0A739AF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шт.</w:t>
            </w:r>
          </w:p>
        </w:tc>
        <w:tc>
          <w:tcPr>
            <w:tcW w:w="0" w:type="auto"/>
            <w:tcBorders>
              <w:top w:val="outset" w:sz="6" w:space="0" w:color="auto"/>
              <w:left w:val="outset" w:sz="6" w:space="0" w:color="auto"/>
              <w:bottom w:val="outset" w:sz="6" w:space="0" w:color="auto"/>
              <w:right w:val="outset" w:sz="6" w:space="0" w:color="auto"/>
            </w:tcBorders>
            <w:vAlign w:val="center"/>
            <w:hideMark/>
          </w:tcPr>
          <w:p w14:paraId="100C543E"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4087A95" w14:textId="77777777" w:rsidR="00B2303C" w:rsidRPr="0044524F" w:rsidRDefault="00B2303C" w:rsidP="009654CF">
            <w:pPr>
              <w:spacing w:after="0" w:line="240" w:lineRule="auto"/>
              <w:jc w:val="both"/>
              <w:rPr>
                <w:rFonts w:ascii="Times New Roman" w:hAnsi="Times New Roman"/>
                <w:color w:val="000000" w:themeColor="text1"/>
                <w:sz w:val="16"/>
                <w:szCs w:val="16"/>
              </w:rPr>
            </w:pPr>
          </w:p>
        </w:tc>
      </w:tr>
    </w:tbl>
    <w:p w14:paraId="6141ABB2"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Более благополучно выполнение программы по производству мелкокалиберных авиабомб (5</w:t>
      </w:r>
      <w:r w:rsidRPr="0044524F">
        <w:rPr>
          <w:color w:val="000000" w:themeColor="text1"/>
          <w:sz w:val="16"/>
          <w:szCs w:val="16"/>
        </w:rPr>
        <w:noBreakHyphen/>
        <w:t>10</w:t>
      </w:r>
      <w:r w:rsidRPr="0044524F">
        <w:rPr>
          <w:color w:val="000000" w:themeColor="text1"/>
          <w:sz w:val="16"/>
          <w:szCs w:val="16"/>
        </w:rPr>
        <w:noBreakHyphen/>
        <w:t>25 кг), где на 10 заводов — 3 выполнили программу полностью, 4 завода — выше 70% и лишь 3 особо отстают (завод «Армалит» — 33%, «Свет шахтера» — 39%, завод «Красный блок» — 50%).</w:t>
      </w:r>
    </w:p>
    <w:p w14:paraId="2F64C187"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Каждый завод ведет производство самостоятельно, экспериментируя над технологическим процессом и даже конструкциями. Так, например: на заводе «Коминтерн» конец со стабилизатором собирается из 4</w:t>
      </w:r>
      <w:r w:rsidRPr="0044524F">
        <w:rPr>
          <w:color w:val="000000" w:themeColor="text1"/>
          <w:sz w:val="16"/>
          <w:szCs w:val="16"/>
        </w:rPr>
        <w:noBreakHyphen/>
        <w:t>х частей при помощи электросварки, а на «Ростсельмаше» этот стабилизатор монтируется из двух скрещивающихся частей и т. д.</w:t>
      </w:r>
    </w:p>
    <w:p w14:paraId="4761272B"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Чертежи по авиабомбам все время меняются, а в имеющихся на производстве чертежах в процессе работы обнаруживаются ошибки, так, чертеж авиационной фугасной бомбы (АФБ) в 100 кг, имея неправильный радиус, 3 раза переделывался в научно-испытательном отделе завода № 67 и Научно-техническом управлении Главного артиллерийского управления, и все-таки завод «Красный молот» по нему в 1 полугодии не смог сделать ни одной бомбы. Спущенный на валовое опытное производство чертеж авиационной осколочной бомбы (АОБ) 14 кг вновь переделывается и, по заявлению Иванова из Научно-технического управления Главного артиллерийского управления РККА, на его доведение потребуется затратить 56 тыс. руб. В прошлом году имелись неоднократные случаи отмены и снятия с производства уже отданных на производство чертежей.</w:t>
      </w:r>
    </w:p>
    <w:p w14:paraId="75286F44"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Производство авиабомб на заводах не считается первостепенной важности делом и внимания к выполнению заказов не уделяется. Краматорский завод, имеющий возможность к выполнению заказов за 1,5 года изготовил только 5 шт. фугасных авиабомб в 1 тыс. кг и 28 шт. в 500 кг. При обследовании Краматорского завода бригадой Спецтехбюро зам. директора Камнев признал, что «мы до сих пор занимались очковтирательством, а теперь мы займемся этим делом».</w:t>
      </w:r>
    </w:p>
    <w:p w14:paraId="2B416AF5"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На Коломенском заводе срыв заказа по крупнокалиберным бомбам объясняется приостановкой работы механического цеха из-за отсутствия приспособлений, тогда как проведенным обследованием была установлена полная возможность производства (по делу остановки цеха ДМ</w:t>
      </w:r>
      <w:r w:rsidRPr="0044524F">
        <w:rPr>
          <w:color w:val="000000" w:themeColor="text1"/>
          <w:sz w:val="16"/>
          <w:szCs w:val="16"/>
        </w:rPr>
        <w:noBreakHyphen/>
        <w:t>1 дано задание ЭКО ПП Московской области произвести расследование). В то время как программа завода № 67 срывается из-за непоставки Коломенским заводом головок авиабомб, на последнем, как установлено проверкой, на 1 июля имелось неотгруженных 4 тыс. шт. головок.</w:t>
      </w:r>
    </w:p>
    <w:p w14:paraId="07B0F82C"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Присланные Верхне-Туринским заводом в мае 3 вагона головок авиабомб были окончательно забракованы. Проведенным поэтому Уральским ПП ОГПУ расследованием привлечены к ответственности через суд инженер завода № 72 Степанов, мастер Попов и начальник ОТК Якушев.</w:t>
      </w:r>
    </w:p>
    <w:p w14:paraId="2B2D682F"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В числе поступающих на заводы Вохимтреста корпусов авиабомб оказывается очень высокий брак. В мае месяце снаряжательным заводом № 12 было получено от Боткинского завода 7 тыс. шт. осколочных авиабомб, из которых 60% было забраковано по резьбе под взрыватель и завод № 12 вынужден был сам сделать исправления. Из 40 тыс. шт. 10 кг авиационных освет[ительных] бомб, поступивших на снаряжение, 80% были не лакированы и все имели малое отверстие для контрольного винта.</w:t>
      </w:r>
    </w:p>
    <w:p w14:paraId="08028F65"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По авиафугасным бомбам АФБ</w:t>
      </w:r>
      <w:r w:rsidRPr="0044524F">
        <w:rPr>
          <w:color w:val="000000" w:themeColor="text1"/>
          <w:sz w:val="16"/>
          <w:szCs w:val="16"/>
        </w:rPr>
        <w:noBreakHyphen/>
        <w:t>500 кг недодел снаряжением произошел из-за некондиционности по запальным станкам, брака ушков и неправильности диаметра, который был сделан не 30,5 + 0,20 допуска, а 29 мм, ввиду чего снаряжательные заводы, производя исправления и доделы, тем самым превращались в ремонтную базу.</w:t>
      </w:r>
    </w:p>
    <w:p w14:paraId="6543D1A2"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Неполное поступление корпусов и необходимость ряда доделок их на заводах Вохимтреста обусловила наряду с другими причинами также и невыполнение программы по снаряжению авиабомб и заводами Вохимтреста (сигнальные 5 кг — 0%, фугасные — 1000 кг — 25%, 500 кг, 50 кг, 10 кг — 62</w:t>
      </w:r>
      <w:r w:rsidRPr="0044524F">
        <w:rPr>
          <w:color w:val="000000" w:themeColor="text1"/>
          <w:sz w:val="16"/>
          <w:szCs w:val="16"/>
        </w:rPr>
        <w:noBreakHyphen/>
        <w:t>65%).</w:t>
      </w:r>
    </w:p>
    <w:p w14:paraId="75CE19AD"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lastRenderedPageBreak/>
        <w:t>Вопросами конструирования занимается в основном лишь научно-исследовательский отдел (НИО) завода № 67. Работа ведется в основном по образцам типов, имеющихся к концу войны 1914</w:t>
      </w:r>
      <w:r w:rsidRPr="0044524F">
        <w:rPr>
          <w:color w:val="000000" w:themeColor="text1"/>
          <w:sz w:val="16"/>
          <w:szCs w:val="16"/>
        </w:rPr>
        <w:noBreakHyphen/>
        <w:t>1918 гг., новые же типы при испытаниях не дают эффекта (примеры: химическая авиабомба 100 кг (ХАБ-100), запущенная в количестве 3 тыс. шт. в производство, оказалась негодной, с производства снята, таков же результат с ХАБ</w:t>
      </w:r>
      <w:r w:rsidRPr="0044524F">
        <w:rPr>
          <w:color w:val="000000" w:themeColor="text1"/>
          <w:sz w:val="16"/>
          <w:szCs w:val="16"/>
        </w:rPr>
        <w:noBreakHyphen/>
        <w:t>321).</w:t>
      </w:r>
    </w:p>
    <w:p w14:paraId="7EBBFC47"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На заводе № 67, ведущем заводе по изготовлению авиабомбработы (сборка, клепка, сварка, чистка, смазка) производятся под открытым небом и временных пристройках, подлежащих сносу. Реконструкция завода затянулась. Директор завода № 67 Кринкин, взяв на себя проектирование, с 1931 г. не представляет генерального плана реконструкции. Снарядный трест не добился от завода своевременного исполнения генплана, и в результате реконструкция проходит частями. При общей затрате 10 млн. руб. вместо первоначально намеченных 4 млн. руб., основной механический корпус для авиабомбостроения в этом году все же не будет пущен.</w:t>
      </w:r>
    </w:p>
    <w:p w14:paraId="0CCA2882"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Вопросами конструирования бомбодержателей занимается ЦАГИ и возглавляет это дело бывший вредитель Надашкевич, непосредственно над конструированием работают инженер Шульгин А. И. и Матвеев В. И., оба антисоветски настроены. Указанные лица за последние 2 года, конструируя бомбодержатели, не дали ни одного механизированного способа подвески бомб, сконструированная ими лебедка к держателю 25 и 26 при испытании забракована и в серию не пошла. В результате средств для механической подвески под самолет авиабомб крупных калибров нет и подвеска производится вручную лебедками, что весьма длительно (подвеска авиабомбы вручную на тяжелом бомбовозе ТБ</w:t>
      </w:r>
      <w:r w:rsidRPr="0044524F">
        <w:rPr>
          <w:color w:val="000000" w:themeColor="text1"/>
          <w:sz w:val="16"/>
          <w:szCs w:val="16"/>
        </w:rPr>
        <w:noBreakHyphen/>
        <w:t>3 при его вооружении в 4 т занимает 2 часа) и опасно, так например: в июне с. г. на полигоне завода № 67 при подвеске вручную 1 кг термической бомбы бомба сорвалась, и от взрыва тяжело пострадал конструктор — т. Богданов (член ВКП(б)). Основной причиной такого положения вещей является отсутствие руководства производством и конструированием авиабомб.</w:t>
      </w:r>
    </w:p>
    <w:p w14:paraId="4280A851"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При указанной раздробленности производства между различными объединениями в Главном военно-мобилизационном управлении НКТяжпрома занимается этим делом только один молодой инженер Ворошнин, окончивший в 1930 г. Московский планово-экономический институт по металлу и не работавший после этого на производстве.</w:t>
      </w:r>
    </w:p>
    <w:p w14:paraId="5CC601E4"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Организованное в марте 1932 г. в ГВМУ Спецтехбюро по авиабомбостроению при 67</w:t>
      </w:r>
      <w:r w:rsidRPr="0044524F">
        <w:rPr>
          <w:color w:val="000000" w:themeColor="text1"/>
          <w:sz w:val="16"/>
          <w:szCs w:val="16"/>
        </w:rPr>
        <w:noBreakHyphen/>
        <w:t>м заводе под руководством директора завода Кринкина объединить руководство всеми заводами, производящими авиабомбы, не может, т. к. имеет исключительно технические задачи (обмен опытом, техническая помощь).</w:t>
      </w:r>
    </w:p>
    <w:p w14:paraId="33437932"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В результате такого положения воздушный флот во время войны может оказаться и количественно, и качественно необеспеченным средствами для бомбардировки.</w:t>
      </w:r>
    </w:p>
    <w:p w14:paraId="3E8D462F" w14:textId="77777777" w:rsidR="00B2303C" w:rsidRPr="0044524F" w:rsidRDefault="00B2303C"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ЭКУ ОГПУ Миронов</w:t>
      </w:r>
    </w:p>
    <w:p w14:paraId="4CCA5CCE" w14:textId="77777777" w:rsidR="00B2303C" w:rsidRPr="0044524F" w:rsidRDefault="00B2303C"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IV отд. ЭКУ ОГПУ Калецкий</w:t>
      </w:r>
    </w:p>
    <w:p w14:paraId="0A571B9D" w14:textId="77777777" w:rsidR="00B2303C" w:rsidRPr="0044524F" w:rsidRDefault="00B2303C"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Примечание</w:t>
      </w:r>
      <w:r w:rsidRPr="0044524F">
        <w:rPr>
          <w:color w:val="000000" w:themeColor="text1"/>
          <w:sz w:val="16"/>
          <w:szCs w:val="16"/>
        </w:rPr>
        <w:t>:</w:t>
      </w:r>
    </w:p>
    <w:p w14:paraId="4ACB022B" w14:textId="77777777" w:rsidR="00B2303C" w:rsidRPr="0044524F" w:rsidRDefault="00B2303C" w:rsidP="009654CF">
      <w:pPr>
        <w:pStyle w:val="ae"/>
        <w:spacing w:before="0" w:after="0"/>
        <w:jc w:val="both"/>
        <w:rPr>
          <w:color w:val="000000" w:themeColor="text1"/>
          <w:sz w:val="16"/>
          <w:szCs w:val="16"/>
        </w:rPr>
      </w:pPr>
      <w:r w:rsidRPr="0044524F">
        <w:rPr>
          <w:color w:val="000000" w:themeColor="text1"/>
          <w:sz w:val="16"/>
          <w:szCs w:val="16"/>
        </w:rPr>
        <w:t>¹* Датируется по сопроводительному документу.</w:t>
      </w:r>
    </w:p>
    <w:p w14:paraId="691F04EF" w14:textId="77777777" w:rsidR="00B2303C" w:rsidRPr="0044524F" w:rsidRDefault="00B2303C" w:rsidP="009654CF">
      <w:pPr>
        <w:pStyle w:val="ae"/>
        <w:spacing w:before="0" w:after="0"/>
        <w:jc w:val="both"/>
        <w:rPr>
          <w:color w:val="000000" w:themeColor="text1"/>
          <w:sz w:val="16"/>
          <w:szCs w:val="16"/>
        </w:rPr>
      </w:pPr>
      <w:r w:rsidRPr="0044524F">
        <w:rPr>
          <w:color w:val="000000" w:themeColor="text1"/>
          <w:sz w:val="16"/>
          <w:szCs w:val="16"/>
        </w:rPr>
        <w:t>РГАЭ. Ф. 7297. Оп. 41. Д. 73. Л. 231-227. Копия (15281).</w:t>
      </w:r>
    </w:p>
    <w:p w14:paraId="660D3271" w14:textId="77777777" w:rsidR="00B2303C" w:rsidRPr="0044524F" w:rsidRDefault="00B2303C" w:rsidP="009654CF">
      <w:pPr>
        <w:spacing w:after="0" w:line="240" w:lineRule="auto"/>
        <w:jc w:val="both"/>
        <w:rPr>
          <w:rFonts w:ascii="Times New Roman" w:hAnsi="Times New Roman"/>
          <w:iCs/>
          <w:color w:val="000000" w:themeColor="text1"/>
          <w:sz w:val="16"/>
          <w:szCs w:val="16"/>
        </w:rPr>
      </w:pPr>
    </w:p>
    <w:p w14:paraId="23550F4A" w14:textId="77777777" w:rsidR="00B2303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138557D" w14:textId="77777777" w:rsidR="00B2303C" w:rsidRPr="0044524F" w:rsidRDefault="00B2303C" w:rsidP="009654CF">
      <w:pPr>
        <w:spacing w:after="0" w:line="240" w:lineRule="auto"/>
        <w:jc w:val="both"/>
        <w:rPr>
          <w:rFonts w:ascii="Times New Roman" w:hAnsi="Times New Roman"/>
          <w:iCs/>
          <w:color w:val="000000" w:themeColor="text1"/>
          <w:sz w:val="16"/>
          <w:szCs w:val="16"/>
        </w:rPr>
      </w:pPr>
    </w:p>
    <w:p w14:paraId="39345A7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1933 г. заводу «Большевик» было предписано нарезать 130/55-мм орудие по чертежу АНИМИ № 338. На 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(15117).</w:t>
      </w:r>
    </w:p>
    <w:p w14:paraId="287ED6E7" w14:textId="77777777" w:rsidR="00B2303C" w:rsidRPr="0044524F" w:rsidRDefault="00B2303C" w:rsidP="009654CF">
      <w:pPr>
        <w:spacing w:after="0" w:line="240" w:lineRule="auto"/>
        <w:jc w:val="both"/>
        <w:rPr>
          <w:rFonts w:ascii="Times New Roman" w:hAnsi="Times New Roman"/>
          <w:color w:val="000000" w:themeColor="text1"/>
          <w:sz w:val="16"/>
          <w:szCs w:val="16"/>
        </w:rPr>
      </w:pPr>
    </w:p>
    <w:p w14:paraId="5FACDFD4" w14:textId="77777777" w:rsidR="008553FB" w:rsidRPr="00142305" w:rsidRDefault="008553FB" w:rsidP="008553F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10 сентября 1933 г. заводу «Большевик» было предписано нарезать 130/55- мм орудие по чертежу АНИМИ № 338.</w:t>
      </w:r>
    </w:p>
    <w:p w14:paraId="0613B125"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Работы по переделке 180-мм пушки № 1203 в полигональную 190-мм были начаты в 1934 г. на заводе «Большевик». Канал расточили и располировали, но дальнейшие работы были прекращены, так как в присланном на 1935 г. плане работ АНИМИ этой работы не значилось, она была заменена полигональной нарезкой 130-мм ствола.</w:t>
      </w:r>
    </w:p>
    <w:p w14:paraId="3C7F85D9"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Проектные данные 190-мм полигональной пушки</w:t>
      </w:r>
    </w:p>
    <w:p w14:paraId="033EB286"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Диаметр описанной окружности, мм 200</w:t>
      </w:r>
    </w:p>
    <w:p w14:paraId="1753663F"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Калибр (диаметр по граням), мм 190</w:t>
      </w:r>
    </w:p>
    <w:p w14:paraId="75862EC4"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Длина пути снаряда в канале, мм 8188</w:t>
      </w:r>
    </w:p>
    <w:p w14:paraId="37BD08AB"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Объем каморы, л 61,63</w:t>
      </w:r>
    </w:p>
    <w:p w14:paraId="6A025E83"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Число граней 8</w:t>
      </w:r>
    </w:p>
    <w:p w14:paraId="77F0B1FC"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Угол наклона граней, град. 8°55′37″</w:t>
      </w:r>
    </w:p>
    <w:p w14:paraId="67E90E0D"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Крутизна граней (постоянная), клб 20</w:t>
      </w:r>
    </w:p>
    <w:p w14:paraId="72CCEC26"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полигонального снаряда, кг 100</w:t>
      </w:r>
    </w:p>
    <w:p w14:paraId="3A8C6F6E"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Начальная скорость, м/с 940</w:t>
      </w:r>
    </w:p>
    <w:p w14:paraId="389BB218"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Максимальное давление в канале, кг/см</w:t>
      </w:r>
      <w:r w:rsidRPr="00142305">
        <w:rPr>
          <w:rStyle w:val="aff"/>
          <w:rFonts w:ascii="Times New Roman" w:hAnsi="Times New Roman" w:cs="Times New Roman"/>
          <w:color w:val="0070C0"/>
          <w:spacing w:val="0"/>
          <w:sz w:val="16"/>
          <w:szCs w:val="16"/>
          <w:vertAlign w:val="superscript"/>
        </w:rPr>
        <w:t>2</w:t>
      </w:r>
      <w:r w:rsidRPr="00142305">
        <w:rPr>
          <w:rStyle w:val="aff"/>
          <w:rFonts w:ascii="Times New Roman" w:hAnsi="Times New Roman" w:cs="Times New Roman"/>
          <w:color w:val="0070C0"/>
          <w:spacing w:val="0"/>
          <w:sz w:val="16"/>
          <w:szCs w:val="16"/>
        </w:rPr>
        <w:t xml:space="preserve"> 3200</w:t>
      </w:r>
    </w:p>
    <w:p w14:paraId="480C021C"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Длина гильзы, мм 825 (25213).</w:t>
      </w:r>
    </w:p>
    <w:p w14:paraId="0FB9B947" w14:textId="77777777" w:rsidR="008553FB" w:rsidRPr="00142305" w:rsidRDefault="008553FB" w:rsidP="008553FB">
      <w:pPr>
        <w:spacing w:after="0" w:line="240" w:lineRule="auto"/>
        <w:jc w:val="both"/>
        <w:rPr>
          <w:rStyle w:val="aff"/>
          <w:rFonts w:ascii="Times New Roman" w:hAnsi="Times New Roman" w:cs="Times New Roman"/>
          <w:color w:val="0070C0"/>
          <w:spacing w:val="0"/>
          <w:sz w:val="16"/>
          <w:szCs w:val="16"/>
        </w:rPr>
      </w:pPr>
    </w:p>
    <w:p w14:paraId="25072FB1" w14:textId="77777777" w:rsidR="007F23E2" w:rsidRPr="0044524F" w:rsidRDefault="001A42D5" w:rsidP="009654CF">
      <w:pPr>
        <w:tabs>
          <w:tab w:val="left" w:pos="360"/>
        </w:tabs>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FBD4FA0" w14:textId="77777777" w:rsidR="007F23E2" w:rsidRPr="0044524F" w:rsidRDefault="007F23E2" w:rsidP="009654CF">
      <w:pPr>
        <w:tabs>
          <w:tab w:val="left" w:pos="360"/>
        </w:tabs>
        <w:spacing w:after="0" w:line="240" w:lineRule="auto"/>
        <w:jc w:val="both"/>
        <w:rPr>
          <w:rFonts w:ascii="Times New Roman" w:hAnsi="Times New Roman"/>
          <w:iCs/>
          <w:color w:val="000000" w:themeColor="text1"/>
          <w:sz w:val="16"/>
          <w:szCs w:val="16"/>
        </w:rPr>
      </w:pPr>
    </w:p>
    <w:p w14:paraId="3CA47B0D" w14:textId="77777777" w:rsidR="007F23E2" w:rsidRPr="0044524F" w:rsidRDefault="007F23E2"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10 сентября 1933 г. Начались опытные передачи в Новосибирске по оптико-механической системе. Оборудование изготовлено в Томском физико-техническом институте (11482).</w:t>
      </w:r>
    </w:p>
    <w:p w14:paraId="0D1177F8" w14:textId="39DBDE3E" w:rsidR="007F23E2" w:rsidRPr="0044524F" w:rsidRDefault="007F23E2" w:rsidP="009654CF">
      <w:pPr>
        <w:pStyle w:val="af2"/>
        <w:jc w:val="both"/>
        <w:rPr>
          <w:i w:val="0"/>
          <w:iCs w:val="0"/>
          <w:color w:val="000000" w:themeColor="text1"/>
          <w:spacing w:val="0"/>
          <w:kern w:val="0"/>
          <w:position w:val="0"/>
          <w:sz w:val="16"/>
          <w:szCs w:val="16"/>
          <w:lang w:val="ru-RU"/>
        </w:rPr>
      </w:pPr>
    </w:p>
    <w:p w14:paraId="42E9B6E2" w14:textId="2B2FAF43" w:rsidR="00270743" w:rsidRPr="0044524F" w:rsidRDefault="00270743" w:rsidP="009654CF">
      <w:pPr>
        <w:pStyle w:val="af2"/>
        <w:jc w:val="both"/>
        <w:rPr>
          <w:color w:val="000000" w:themeColor="text1"/>
          <w:spacing w:val="0"/>
          <w:kern w:val="0"/>
          <w:position w:val="0"/>
          <w:sz w:val="16"/>
          <w:szCs w:val="16"/>
          <w:lang w:val="ru-RU"/>
        </w:rPr>
      </w:pPr>
      <w:r w:rsidRPr="0044524F">
        <w:rPr>
          <w:color w:val="000000" w:themeColor="text1"/>
          <w:spacing w:val="0"/>
          <w:kern w:val="0"/>
          <w:position w:val="0"/>
          <w:sz w:val="16"/>
          <w:szCs w:val="16"/>
          <w:lang w:val="ru-RU"/>
        </w:rPr>
        <w:t>За рубежом:</w:t>
      </w:r>
    </w:p>
    <w:p w14:paraId="46AA8D52" w14:textId="77777777" w:rsidR="00270743" w:rsidRPr="0044524F" w:rsidRDefault="00270743" w:rsidP="009654CF">
      <w:pPr>
        <w:pStyle w:val="af2"/>
        <w:jc w:val="both"/>
        <w:rPr>
          <w:color w:val="000000" w:themeColor="text1"/>
          <w:spacing w:val="0"/>
          <w:kern w:val="0"/>
          <w:position w:val="0"/>
          <w:sz w:val="16"/>
          <w:szCs w:val="16"/>
          <w:lang w:val="ru-RU"/>
        </w:rPr>
      </w:pPr>
    </w:p>
    <w:p w14:paraId="0EF80F59" w14:textId="77777777" w:rsidR="00270743" w:rsidRPr="0044524F" w:rsidRDefault="002707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1933 состоялся первый полет Mignet HM.14 Pou-du-Ciel (20802).</w:t>
      </w:r>
    </w:p>
    <w:p w14:paraId="5D7174CA" w14:textId="77777777" w:rsidR="00270743" w:rsidRPr="0044524F" w:rsidRDefault="00270743" w:rsidP="009654CF">
      <w:pPr>
        <w:spacing w:after="0" w:line="240" w:lineRule="auto"/>
        <w:jc w:val="both"/>
        <w:rPr>
          <w:rFonts w:ascii="Times New Roman" w:hAnsi="Times New Roman"/>
          <w:color w:val="000000" w:themeColor="text1"/>
          <w:sz w:val="16"/>
          <w:szCs w:val="16"/>
        </w:rPr>
      </w:pPr>
    </w:p>
    <w:p w14:paraId="649A50B5" w14:textId="77777777" w:rsidR="00270743" w:rsidRPr="0044524F" w:rsidRDefault="002707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1933 года — первый полёт сверхлёгкого самолёта Mignet Pou-du-ciel (Mignet HM.14). /Франция/</w:t>
      </w:r>
    </w:p>
    <w:p w14:paraId="0F171C1B" w14:textId="77777777" w:rsidR="00270743" w:rsidRPr="0044524F" w:rsidRDefault="002707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Бывший военный радист и изобретатель Анри Минье начал строить свои первые самолёты ещё в 1920 году. Основной упор он делал на простоту конструкции, стоимость и безопасность. Наиболее известным его проектом стало семейство самолётов Pou-du-ciel («Небесная блоха»), родоначальником которого стал HM.14.</w:t>
      </w:r>
    </w:p>
    <w:p w14:paraId="049DDDF3" w14:textId="77777777" w:rsidR="00270743" w:rsidRPr="0044524F" w:rsidRDefault="002707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Минье спроектировал HM.14 по тандемной схеме — переднее крыло с изменяемым углом атаки и фиксированное заднее крыло. Одноместный самолёт оснащался лёгким двигателем от автомобиля или мотоцикла. На HN.14 стоял мотор Aubier-Dunne 500, позволявший развить скорость до 100 км/ч.</w:t>
      </w:r>
    </w:p>
    <w:p w14:paraId="37587836" w14:textId="77777777" w:rsidR="00270743" w:rsidRPr="0044524F" w:rsidRDefault="002707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Изобретатель заявлял, что любой, кто может управлять автомобилем, сможет летать на Pou-du-ciel. Минье опубликовал чертежи HN.14 и сотни энтузиастов по всему миру в домашних условиях построили свои самолёты. С различными доработками самолёты семейства Pou-du-ciel строятся и сегодня (22300).</w:t>
      </w:r>
    </w:p>
    <w:p w14:paraId="58088DA7" w14:textId="77777777" w:rsidR="00270743" w:rsidRPr="0044524F" w:rsidRDefault="00270743" w:rsidP="009654CF">
      <w:pPr>
        <w:spacing w:after="0" w:line="240" w:lineRule="auto"/>
        <w:jc w:val="both"/>
        <w:rPr>
          <w:rFonts w:ascii="Times New Roman" w:hAnsi="Times New Roman"/>
          <w:color w:val="000000" w:themeColor="text1"/>
          <w:sz w:val="16"/>
          <w:szCs w:val="16"/>
        </w:rPr>
      </w:pPr>
    </w:p>
    <w:p w14:paraId="5B2F17EF" w14:textId="77777777" w:rsidR="00270743" w:rsidRPr="0044524F" w:rsidRDefault="0027074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1933 - Честертон, Индиана, США. Boeing-247 а/к United Air Lines разбился и сгорел, выполняя рейс из Кливленд в Чикаго. Все 7 человек на борту погибают. Самолёт выполнял трансконтинентальный рейс из Ньюарка в Окленд. На борту, помимо трёх членов экипажа, находилось ещё четыре пассажира. Боинг уже приземлялся в Кливленде и летел до следующей остановки в Чикаго, но взорвался в пути. Произошла детонация взрывного устройства, заложенного в багажный отсек; во взрывном устройстве использовался нитроглицерин. Возможно, устройство было оснащено часовым механизмом. Первый доказанный террористический акт в истории коммерческой авиации (22369).</w:t>
      </w:r>
    </w:p>
    <w:p w14:paraId="38B6049D" w14:textId="77777777" w:rsidR="00270743" w:rsidRPr="0044524F" w:rsidRDefault="00270743" w:rsidP="009654CF">
      <w:pPr>
        <w:spacing w:after="0" w:line="240" w:lineRule="auto"/>
        <w:jc w:val="both"/>
        <w:rPr>
          <w:rFonts w:ascii="Times New Roman" w:hAnsi="Times New Roman"/>
          <w:color w:val="000000" w:themeColor="text1"/>
          <w:sz w:val="16"/>
          <w:szCs w:val="16"/>
        </w:rPr>
      </w:pPr>
    </w:p>
    <w:p w14:paraId="72341B30"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404062F"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396E1BC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сентября 1934 года закончились гос. испытания опытного самолета ЛР-М34Н (легкий разведчик), которые проходили с 31 июля 1934 (6664).</w:t>
      </w:r>
    </w:p>
    <w:p w14:paraId="502B9D6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3442F7B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Калилец</w:t>
      </w:r>
    </w:p>
    <w:p w14:paraId="0825621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–Долгов</w:t>
      </w:r>
    </w:p>
    <w:p w14:paraId="1D312B4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0256269A" w14:textId="77777777" w:rsidR="007F23E2" w:rsidRPr="0044524F" w:rsidRDefault="007F23E2" w:rsidP="009654CF">
      <w:pPr>
        <w:numPr>
          <w:ilvl w:val="0"/>
          <w:numId w:val="30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w:t>
      </w:r>
    </w:p>
    <w:p w14:paraId="3E139353" w14:textId="77777777" w:rsidR="007F23E2" w:rsidRPr="0044524F" w:rsidRDefault="007F23E2" w:rsidP="009654CF">
      <w:pPr>
        <w:numPr>
          <w:ilvl w:val="0"/>
          <w:numId w:val="31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Выявление эксплуатационных свойств самолета.</w:t>
      </w:r>
    </w:p>
    <w:p w14:paraId="1007A588" w14:textId="77777777" w:rsidR="007F23E2" w:rsidRPr="0044524F" w:rsidRDefault="007F23E2" w:rsidP="009654CF">
      <w:pPr>
        <w:numPr>
          <w:ilvl w:val="0"/>
          <w:numId w:val="31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Оценка тактических свойств самолета.</w:t>
      </w:r>
    </w:p>
    <w:p w14:paraId="10661CB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8693954" w14:textId="77777777" w:rsidR="007F23E2" w:rsidRPr="0044524F" w:rsidRDefault="007F23E2" w:rsidP="009654CF">
      <w:pPr>
        <w:numPr>
          <w:ilvl w:val="0"/>
          <w:numId w:val="31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ЛР обладает хорошими летными данными, является современным разведчиком и может быть пущен в серийную постройку.</w:t>
      </w:r>
    </w:p>
    <w:p w14:paraId="37C92DF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w:t>
      </w:r>
    </w:p>
    <w:p w14:paraId="3BF576D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прохождения испытаний самолета ЛР-М34Н</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74B42A6C" w14:textId="77777777">
        <w:tc>
          <w:tcPr>
            <w:tcW w:w="5636" w:type="dxa"/>
          </w:tcPr>
          <w:p w14:paraId="52DDA1C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июля 1934 года</w:t>
            </w:r>
          </w:p>
        </w:tc>
        <w:tc>
          <w:tcPr>
            <w:tcW w:w="5636" w:type="dxa"/>
          </w:tcPr>
          <w:p w14:paraId="1B9315B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поступил на гос. испытания.</w:t>
            </w:r>
          </w:p>
        </w:tc>
      </w:tr>
      <w:tr w:rsidR="004E10C1" w:rsidRPr="0044524F" w14:paraId="7884E0E5" w14:textId="77777777">
        <w:tc>
          <w:tcPr>
            <w:tcW w:w="5636" w:type="dxa"/>
          </w:tcPr>
          <w:p w14:paraId="3ECC6C7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1934 года</w:t>
            </w:r>
          </w:p>
        </w:tc>
        <w:tc>
          <w:tcPr>
            <w:tcW w:w="5636" w:type="dxa"/>
          </w:tcPr>
          <w:p w14:paraId="436AEFF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0A55B11C" w14:textId="77777777">
        <w:tc>
          <w:tcPr>
            <w:tcW w:w="5636" w:type="dxa"/>
          </w:tcPr>
          <w:p w14:paraId="1CB4AF4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августа 1934 года</w:t>
            </w:r>
          </w:p>
        </w:tc>
        <w:tc>
          <w:tcPr>
            <w:tcW w:w="5636" w:type="dxa"/>
          </w:tcPr>
          <w:p w14:paraId="5AB5C50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зубцы.</w:t>
            </w:r>
          </w:p>
        </w:tc>
      </w:tr>
      <w:tr w:rsidR="004E10C1" w:rsidRPr="0044524F" w14:paraId="7601E17F" w14:textId="77777777">
        <w:tc>
          <w:tcPr>
            <w:tcW w:w="5636" w:type="dxa"/>
          </w:tcPr>
          <w:p w14:paraId="14783EC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1934 года</w:t>
            </w:r>
          </w:p>
        </w:tc>
        <w:tc>
          <w:tcPr>
            <w:tcW w:w="5636" w:type="dxa"/>
          </w:tcPr>
          <w:p w14:paraId="640D870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для проверки автоматического регулятора.</w:t>
            </w:r>
          </w:p>
        </w:tc>
      </w:tr>
      <w:tr w:rsidR="004E10C1" w:rsidRPr="0044524F" w14:paraId="7964D744" w14:textId="77777777">
        <w:tc>
          <w:tcPr>
            <w:tcW w:w="5636" w:type="dxa"/>
          </w:tcPr>
          <w:p w14:paraId="4134A9B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августа 1934 года</w:t>
            </w:r>
          </w:p>
        </w:tc>
        <w:tc>
          <w:tcPr>
            <w:tcW w:w="5636" w:type="dxa"/>
          </w:tcPr>
          <w:p w14:paraId="1C5EBC2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испытание бомбардировочного вооружения.</w:t>
            </w:r>
          </w:p>
        </w:tc>
      </w:tr>
      <w:tr w:rsidR="004E10C1" w:rsidRPr="0044524F" w14:paraId="6622A8AD" w14:textId="77777777">
        <w:tc>
          <w:tcPr>
            <w:tcW w:w="5636" w:type="dxa"/>
          </w:tcPr>
          <w:p w14:paraId="2CA3474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1934 года</w:t>
            </w:r>
          </w:p>
        </w:tc>
        <w:tc>
          <w:tcPr>
            <w:tcW w:w="5636" w:type="dxa"/>
          </w:tcPr>
          <w:p w14:paraId="0EF19D0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маневренность и устойчивость.</w:t>
            </w:r>
          </w:p>
        </w:tc>
      </w:tr>
      <w:tr w:rsidR="004E10C1" w:rsidRPr="0044524F" w14:paraId="19D43DF5" w14:textId="77777777">
        <w:tc>
          <w:tcPr>
            <w:tcW w:w="5636" w:type="dxa"/>
          </w:tcPr>
          <w:p w14:paraId="5AADF47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августа 1934 года</w:t>
            </w:r>
          </w:p>
        </w:tc>
        <w:tc>
          <w:tcPr>
            <w:tcW w:w="5636" w:type="dxa"/>
          </w:tcPr>
          <w:p w14:paraId="5E87C66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зубцы.</w:t>
            </w:r>
          </w:p>
        </w:tc>
      </w:tr>
      <w:tr w:rsidR="004E10C1" w:rsidRPr="0044524F" w14:paraId="290146DD" w14:textId="77777777">
        <w:tc>
          <w:tcPr>
            <w:tcW w:w="5636" w:type="dxa"/>
          </w:tcPr>
          <w:p w14:paraId="7E59AB3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1934 года</w:t>
            </w:r>
          </w:p>
        </w:tc>
        <w:tc>
          <w:tcPr>
            <w:tcW w:w="5636" w:type="dxa"/>
          </w:tcPr>
          <w:p w14:paraId="510ADE5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 с бомбами.</w:t>
            </w:r>
          </w:p>
        </w:tc>
      </w:tr>
      <w:tr w:rsidR="004E10C1" w:rsidRPr="0044524F" w14:paraId="411EFB6C" w14:textId="77777777">
        <w:tc>
          <w:tcPr>
            <w:tcW w:w="5636" w:type="dxa"/>
          </w:tcPr>
          <w:p w14:paraId="3108652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1934 года</w:t>
            </w:r>
          </w:p>
        </w:tc>
        <w:tc>
          <w:tcPr>
            <w:tcW w:w="5636" w:type="dxa"/>
          </w:tcPr>
          <w:p w14:paraId="2A1D4CF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с бомбами.</w:t>
            </w:r>
          </w:p>
        </w:tc>
      </w:tr>
      <w:tr w:rsidR="004E10C1" w:rsidRPr="0044524F" w14:paraId="49B09AD8" w14:textId="77777777">
        <w:tc>
          <w:tcPr>
            <w:tcW w:w="5636" w:type="dxa"/>
          </w:tcPr>
          <w:p w14:paraId="5CA0279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августа 1934 года</w:t>
            </w:r>
          </w:p>
        </w:tc>
        <w:tc>
          <w:tcPr>
            <w:tcW w:w="5636" w:type="dxa"/>
          </w:tcPr>
          <w:p w14:paraId="071B9F0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w:t>
            </w:r>
          </w:p>
        </w:tc>
      </w:tr>
      <w:tr w:rsidR="004E10C1" w:rsidRPr="0044524F" w14:paraId="7EE6532D" w14:textId="77777777">
        <w:tc>
          <w:tcPr>
            <w:tcW w:w="5636" w:type="dxa"/>
          </w:tcPr>
          <w:p w14:paraId="17313F5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1934 года</w:t>
            </w:r>
          </w:p>
        </w:tc>
        <w:tc>
          <w:tcPr>
            <w:tcW w:w="5636" w:type="dxa"/>
          </w:tcPr>
          <w:p w14:paraId="5758A60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Пробный полет с новым мотором.</w:t>
            </w:r>
          </w:p>
        </w:tc>
      </w:tr>
      <w:tr w:rsidR="004E10C1" w:rsidRPr="0044524F" w14:paraId="39E674B9" w14:textId="77777777">
        <w:tc>
          <w:tcPr>
            <w:tcW w:w="5636" w:type="dxa"/>
          </w:tcPr>
          <w:p w14:paraId="6511D01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1934 года</w:t>
            </w:r>
          </w:p>
        </w:tc>
        <w:tc>
          <w:tcPr>
            <w:tcW w:w="5636" w:type="dxa"/>
          </w:tcPr>
          <w:p w14:paraId="776A08F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испытание химвооружения.</w:t>
            </w:r>
          </w:p>
        </w:tc>
      </w:tr>
      <w:tr w:rsidR="004E10C1" w:rsidRPr="0044524F" w14:paraId="0AB91CAC" w14:textId="77777777">
        <w:tc>
          <w:tcPr>
            <w:tcW w:w="5636" w:type="dxa"/>
          </w:tcPr>
          <w:p w14:paraId="5918AF4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августа 1934 года</w:t>
            </w:r>
          </w:p>
        </w:tc>
        <w:tc>
          <w:tcPr>
            <w:tcW w:w="5636" w:type="dxa"/>
          </w:tcPr>
          <w:p w14:paraId="2308267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испытание химвооружения.</w:t>
            </w:r>
          </w:p>
        </w:tc>
      </w:tr>
      <w:tr w:rsidR="004E10C1" w:rsidRPr="0044524F" w14:paraId="0C470CEC" w14:textId="77777777">
        <w:tc>
          <w:tcPr>
            <w:tcW w:w="5636" w:type="dxa"/>
          </w:tcPr>
          <w:p w14:paraId="7A8D99B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августа 1934 года</w:t>
            </w:r>
          </w:p>
        </w:tc>
        <w:tc>
          <w:tcPr>
            <w:tcW w:w="5636" w:type="dxa"/>
          </w:tcPr>
          <w:p w14:paraId="2550151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расчетную высоту для подбора оборотов винта.</w:t>
            </w:r>
          </w:p>
        </w:tc>
      </w:tr>
      <w:tr w:rsidR="004E10C1" w:rsidRPr="0044524F" w14:paraId="05C2F834" w14:textId="77777777">
        <w:tc>
          <w:tcPr>
            <w:tcW w:w="5636" w:type="dxa"/>
          </w:tcPr>
          <w:p w14:paraId="1CC7783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августа 1934 года</w:t>
            </w:r>
          </w:p>
        </w:tc>
        <w:tc>
          <w:tcPr>
            <w:tcW w:w="5636" w:type="dxa"/>
          </w:tcPr>
          <w:p w14:paraId="2B5C0F4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расчетную высоту для подбора оборотов винта.</w:t>
            </w:r>
          </w:p>
        </w:tc>
      </w:tr>
      <w:tr w:rsidR="004E10C1" w:rsidRPr="0044524F" w14:paraId="799C233E" w14:textId="77777777">
        <w:tc>
          <w:tcPr>
            <w:tcW w:w="5636" w:type="dxa"/>
          </w:tcPr>
          <w:p w14:paraId="23B89B7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1934 года</w:t>
            </w:r>
          </w:p>
        </w:tc>
        <w:tc>
          <w:tcPr>
            <w:tcW w:w="5636" w:type="dxa"/>
          </w:tcPr>
          <w:p w14:paraId="7C30DD0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выявление скороподъемности и скоростей по высотам.</w:t>
            </w:r>
          </w:p>
        </w:tc>
      </w:tr>
      <w:tr w:rsidR="004E10C1" w:rsidRPr="0044524F" w14:paraId="39034181" w14:textId="77777777">
        <w:tc>
          <w:tcPr>
            <w:tcW w:w="5636" w:type="dxa"/>
          </w:tcPr>
          <w:p w14:paraId="7600E94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1934 года</w:t>
            </w:r>
          </w:p>
        </w:tc>
        <w:tc>
          <w:tcPr>
            <w:tcW w:w="5636" w:type="dxa"/>
          </w:tcPr>
          <w:p w14:paraId="1C02F87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испытание стрелкового и бомбардировочного вооружения.</w:t>
            </w:r>
          </w:p>
        </w:tc>
      </w:tr>
      <w:tr w:rsidR="004E10C1" w:rsidRPr="0044524F" w14:paraId="17AF1A46" w14:textId="77777777">
        <w:tc>
          <w:tcPr>
            <w:tcW w:w="5636" w:type="dxa"/>
          </w:tcPr>
          <w:p w14:paraId="4CF4BBE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августа 1934 года</w:t>
            </w:r>
          </w:p>
        </w:tc>
        <w:tc>
          <w:tcPr>
            <w:tcW w:w="5636" w:type="dxa"/>
          </w:tcPr>
          <w:p w14:paraId="63D9055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с новым винтом.</w:t>
            </w:r>
          </w:p>
        </w:tc>
      </w:tr>
      <w:tr w:rsidR="004E10C1" w:rsidRPr="0044524F" w14:paraId="5DA39563" w14:textId="77777777">
        <w:tc>
          <w:tcPr>
            <w:tcW w:w="5636" w:type="dxa"/>
          </w:tcPr>
          <w:p w14:paraId="338FBB5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сентября 1934 года</w:t>
            </w:r>
          </w:p>
        </w:tc>
        <w:tc>
          <w:tcPr>
            <w:tcW w:w="5636" w:type="dxa"/>
          </w:tcPr>
          <w:p w14:paraId="2C1285C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по треугольнику.</w:t>
            </w:r>
          </w:p>
        </w:tc>
      </w:tr>
      <w:tr w:rsidR="004E10C1" w:rsidRPr="0044524F" w14:paraId="68E15949" w14:textId="77777777">
        <w:tc>
          <w:tcPr>
            <w:tcW w:w="5636" w:type="dxa"/>
          </w:tcPr>
          <w:p w14:paraId="67A6CC3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сентября 1934 года</w:t>
            </w:r>
          </w:p>
        </w:tc>
        <w:tc>
          <w:tcPr>
            <w:tcW w:w="5636" w:type="dxa"/>
          </w:tcPr>
          <w:p w14:paraId="04F5E86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самолета.</w:t>
            </w:r>
          </w:p>
        </w:tc>
      </w:tr>
      <w:tr w:rsidR="004E10C1" w:rsidRPr="0044524F" w14:paraId="4DC89A6C" w14:textId="77777777">
        <w:tc>
          <w:tcPr>
            <w:tcW w:w="5636" w:type="dxa"/>
          </w:tcPr>
          <w:p w14:paraId="282B234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сентября 1934 года</w:t>
            </w:r>
          </w:p>
        </w:tc>
        <w:tc>
          <w:tcPr>
            <w:tcW w:w="5636" w:type="dxa"/>
          </w:tcPr>
          <w:p w14:paraId="19F4575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самолета.</w:t>
            </w:r>
          </w:p>
        </w:tc>
      </w:tr>
      <w:tr w:rsidR="004E10C1" w:rsidRPr="0044524F" w14:paraId="199D2450" w14:textId="77777777">
        <w:tc>
          <w:tcPr>
            <w:tcW w:w="5636" w:type="dxa"/>
          </w:tcPr>
          <w:p w14:paraId="23D902F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1934 года</w:t>
            </w:r>
          </w:p>
        </w:tc>
        <w:tc>
          <w:tcPr>
            <w:tcW w:w="5636" w:type="dxa"/>
          </w:tcPr>
          <w:p w14:paraId="5752ABF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w:t>
            </w:r>
          </w:p>
        </w:tc>
      </w:tr>
      <w:tr w:rsidR="004E10C1" w:rsidRPr="0044524F" w14:paraId="1179CAC6" w14:textId="77777777">
        <w:tc>
          <w:tcPr>
            <w:tcW w:w="5636" w:type="dxa"/>
          </w:tcPr>
          <w:p w14:paraId="3C86E04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сентября 1934 года</w:t>
            </w:r>
          </w:p>
        </w:tc>
        <w:tc>
          <w:tcPr>
            <w:tcW w:w="5636" w:type="dxa"/>
          </w:tcPr>
          <w:p w14:paraId="1D5643F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с расчетным весом.</w:t>
            </w:r>
          </w:p>
        </w:tc>
      </w:tr>
      <w:tr w:rsidR="004E10C1" w:rsidRPr="0044524F" w14:paraId="220DF426" w14:textId="77777777">
        <w:tc>
          <w:tcPr>
            <w:tcW w:w="5636" w:type="dxa"/>
          </w:tcPr>
          <w:p w14:paraId="0864CD5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сентября 1934 года</w:t>
            </w:r>
          </w:p>
        </w:tc>
        <w:tc>
          <w:tcPr>
            <w:tcW w:w="5636" w:type="dxa"/>
          </w:tcPr>
          <w:p w14:paraId="1E258FE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Полеты на воздушный бой с другими самолетами.</w:t>
            </w:r>
          </w:p>
        </w:tc>
      </w:tr>
    </w:tbl>
    <w:p w14:paraId="0C5C12E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выполнены с 31 июля по 11 сентября 1934 года, т.е. за 43 календарных дня, из них полетных дней – 14. Сделано 48 полетов общей продолжительностью 31 час. 10 мин.</w:t>
      </w:r>
    </w:p>
    <w:p w14:paraId="434CD04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ЛР-М34Н двухместный полутороплан смешанной конструкции.</w:t>
      </w:r>
    </w:p>
    <w:p w14:paraId="74DEF06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Основное назначение – легкий армейский разведчик и легкий бомбардировщик для полетов днем и ночью. Вооружен одним пулеметом ПВ-1 для стрельбы вперед (через винт) и одним пулеметом Шкасс назад с экранированной турели. Может нести 200 кг бомб или химвооружения (6664).</w:t>
      </w:r>
    </w:p>
    <w:p w14:paraId="27B9C3F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p>
    <w:p w14:paraId="1C9F89B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сентября 1933 РД-дублер был передан в ОЭЛИД для испытаний (1102).</w:t>
      </w:r>
    </w:p>
    <w:p w14:paraId="2F72E0B0"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6522840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сентября 1933 года врид начальника ГУАП Макаровский писал письмо № ОП257/548с в СТО Бакулову</w:t>
      </w:r>
    </w:p>
    <w:p w14:paraId="78309E7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дополнение к моим переговорам с Вами по телефону, представляю краткую справку о состоянии работ по типам моторов и самолетов опытного плана, утвержденного Наркомвоенмором Ворошиловым.</w:t>
      </w:r>
    </w:p>
    <w:p w14:paraId="7C3C40D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справки на 4-х листах (4223, 33).</w:t>
      </w:r>
    </w:p>
    <w:p w14:paraId="2E8FD9C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сентября 1933 Врид начальника ГУАП Макаровский подготовил:</w:t>
      </w:r>
    </w:p>
    <w:p w14:paraId="5FA1D21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состоянии работ по плану опытного моторостроения и самолетостроения, утвержденного Наркомвоенмором Ворошиловым 17 июля 1933 года</w:t>
      </w:r>
    </w:p>
    <w:p w14:paraId="5E05F52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Опытные самолеты.</w:t>
      </w:r>
    </w:p>
    <w:p w14:paraId="2599C9FB" w14:textId="77777777" w:rsidR="007F23E2" w:rsidRPr="0044524F" w:rsidRDefault="007F23E2" w:rsidP="009654CF">
      <w:pPr>
        <w:numPr>
          <w:ilvl w:val="0"/>
          <w:numId w:val="31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 6М34. Срок предъявления 15 августа 1933 года. В настоящее время самолет заканчивает заводские испытания. После испытаний с полетным весом 33 тонны, самолет будет предъявлен НИИ ВВС.</w:t>
      </w:r>
    </w:p>
    <w:p w14:paraId="17E6779B" w14:textId="77777777" w:rsidR="007F23E2" w:rsidRPr="0044524F" w:rsidRDefault="007F23E2" w:rsidP="009654CF">
      <w:pPr>
        <w:numPr>
          <w:ilvl w:val="0"/>
          <w:numId w:val="31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 РН. Срок предъявления 1 октября 1934 года. производится установка моторов М34Р на самолет ТБ3. Ведутся работы по переделке подмоторных рам под мотор М-34 РН.</w:t>
      </w:r>
    </w:p>
    <w:p w14:paraId="7F872B7A" w14:textId="77777777" w:rsidR="007F23E2" w:rsidRPr="0044524F" w:rsidRDefault="007F23E2" w:rsidP="009654CF">
      <w:pPr>
        <w:numPr>
          <w:ilvl w:val="0"/>
          <w:numId w:val="31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Срок предъявления 1 сентября 1933 года. после первых полетов обнаружены крупные недостатки, связанные с аэродинамическими и конструктивными формами. Ведутся исследования продувочного и экспериментального характера, как крыла, так и хвостового оперения. На втором строющемся экземпляре вносятся существенные изменения. Срок предъявления намечается к 1 ноября 1933 года.</w:t>
      </w:r>
    </w:p>
    <w:p w14:paraId="7F9BF408" w14:textId="77777777" w:rsidR="007F23E2" w:rsidRPr="0044524F" w:rsidRDefault="007F23E2" w:rsidP="009654CF">
      <w:pPr>
        <w:numPr>
          <w:ilvl w:val="0"/>
          <w:numId w:val="31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 – 6М34 Рн. Срок предъявления 1 августа 1934 года. Заканчивается изготовление отдельных агрегатов (лодок, крыльев, мотоферм и пр.). Одновременно производится передача конструктивных чертежей заводу № 22 для подготовки серийного производства. Передача чертежей должна быть закончена 15 декабря 1933 года.</w:t>
      </w:r>
    </w:p>
    <w:p w14:paraId="1CEDDBE8" w14:textId="77777777" w:rsidR="007F23E2" w:rsidRPr="0044524F" w:rsidRDefault="007F23E2" w:rsidP="009654CF">
      <w:pPr>
        <w:numPr>
          <w:ilvl w:val="0"/>
          <w:numId w:val="31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МДР4-3М34 РН. Срок предъявления 1 мая 1934 года. Производится изготовление отдельных агрегатов (лодки, крыльев, хвостового оперения) и заготовка моторных ферм. Одновременно идет передача чертежей заводам №№ 31 и 125, для подготовки серийного производства. Передача чертежей должна быть закончена 15 февраля 1934 года.</w:t>
      </w:r>
    </w:p>
    <w:p w14:paraId="6C1A16A4" w14:textId="77777777" w:rsidR="007F23E2" w:rsidRPr="0044524F" w:rsidRDefault="007F23E2" w:rsidP="009654CF">
      <w:pPr>
        <w:numPr>
          <w:ilvl w:val="0"/>
          <w:numId w:val="31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ЛР-М34. Срок предъявления 1 сентября 1933 года. Самолет закончен в производстве. Заводские испытания задерживаются метеорологическими условиями. Будет предъявлен на гос. испытания 1 ноября 1933 года.</w:t>
      </w:r>
    </w:p>
    <w:p w14:paraId="3FE376BB" w14:textId="77777777" w:rsidR="007F23E2" w:rsidRPr="0044524F" w:rsidRDefault="007F23E2" w:rsidP="009654CF">
      <w:pPr>
        <w:numPr>
          <w:ilvl w:val="0"/>
          <w:numId w:val="31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 Срок предъявления 1 февраля 1934 года. Производится изготовление отдельных частей для статиспытания. Будет предъявлен на испытание в марте 1934 года.</w:t>
      </w:r>
    </w:p>
    <w:p w14:paraId="144EC62B" w14:textId="77777777" w:rsidR="007F23E2" w:rsidRPr="0044524F" w:rsidRDefault="007F23E2" w:rsidP="009654CF">
      <w:pPr>
        <w:numPr>
          <w:ilvl w:val="0"/>
          <w:numId w:val="32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Бристоль Меркур. Срок предъявления 30 июля 1933 года. Самолет опробован в воздухе. Обнаружена возможность улучшения. В настоящее время заканчивается переделка и самолет должен быть отправлен на аэродром к 15 сентября 1933 года. Срок предъявления на гос. испытания 1 ноября 1933 года.</w:t>
      </w:r>
    </w:p>
    <w:p w14:paraId="2D15181E" w14:textId="77777777" w:rsidR="007F23E2" w:rsidRPr="0044524F" w:rsidRDefault="007F23E2" w:rsidP="009654CF">
      <w:pPr>
        <w:numPr>
          <w:ilvl w:val="0"/>
          <w:numId w:val="32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Райт Циклон. Срок предъявления 1 февраля 1934 года. Заканчивается проектирование и идет заготовка отдельных деталей и узлов.</w:t>
      </w:r>
    </w:p>
    <w:p w14:paraId="1D4B0F17" w14:textId="77777777" w:rsidR="007F23E2" w:rsidRPr="0044524F" w:rsidRDefault="007F23E2" w:rsidP="009654CF">
      <w:pPr>
        <w:numPr>
          <w:ilvl w:val="0"/>
          <w:numId w:val="32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Райт Циклон. Срок предъявления 1 декабря 1933 года. Производится стыковка агрегатов (крыльев, фюзеляжа, мотофермы, хвостового оперения), окончание постройки ожидается в октябре 1933 года. Срок предъявления на гос. испытания – 1 января 1934 года.</w:t>
      </w:r>
    </w:p>
    <w:p w14:paraId="638EB72D" w14:textId="77777777" w:rsidR="007F23E2" w:rsidRPr="0044524F" w:rsidRDefault="007F23E2" w:rsidP="009654CF">
      <w:pPr>
        <w:numPr>
          <w:ilvl w:val="0"/>
          <w:numId w:val="32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И15-М58. Срок предъявления через шесть месяцев после получения мотора. Ведется проектирование и увязка по установке мотора М-58.</w:t>
      </w:r>
    </w:p>
    <w:p w14:paraId="751620AC" w14:textId="77777777" w:rsidR="007F23E2" w:rsidRPr="0044524F" w:rsidRDefault="007F23E2" w:rsidP="009654CF">
      <w:pPr>
        <w:numPr>
          <w:ilvl w:val="0"/>
          <w:numId w:val="32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 (С62). Срок предъявления 1 августа 1933 года. При заводских испытаниях выявлена непригодность радиаторов. Ведется перепроектировка и изготовление новых радиаторов, которые должны быть окончены к 15 сентября 1933 года. Самолет снят с серийного производства.</w:t>
      </w:r>
    </w:p>
    <w:p w14:paraId="6CF052D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Экспериментальные самолеты.</w:t>
      </w:r>
    </w:p>
    <w:p w14:paraId="5AA68207" w14:textId="77777777" w:rsidR="007F23E2" w:rsidRPr="0044524F" w:rsidRDefault="007F23E2" w:rsidP="009654CF">
      <w:pPr>
        <w:numPr>
          <w:ilvl w:val="0"/>
          <w:numId w:val="32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СК2-М32 (или М34). Срок заводских испытаний 1 декабря 1934 года. Отсутствие моторов М-32 и неясность вопроса с установкой других моторов создали замедление в темпах работы. Проектирование закончено на 75%. Самолет запущен в производство.</w:t>
      </w:r>
    </w:p>
    <w:p w14:paraId="40D73FDA" w14:textId="77777777" w:rsidR="007F23E2" w:rsidRPr="0044524F" w:rsidRDefault="007F23E2" w:rsidP="009654CF">
      <w:pPr>
        <w:numPr>
          <w:ilvl w:val="0"/>
          <w:numId w:val="32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ВС-2М22. Срок заводских испытаний 1 мая 1934 года. Заканчивается эскизный проект.</w:t>
      </w:r>
    </w:p>
    <w:p w14:paraId="1CB96AF6" w14:textId="77777777" w:rsidR="007F23E2" w:rsidRPr="0044524F" w:rsidRDefault="007F23E2" w:rsidP="009654CF">
      <w:pPr>
        <w:numPr>
          <w:ilvl w:val="0"/>
          <w:numId w:val="32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ДИП-2 М34 РН. Срок заводских испытаний 1 июня 1934 года. Ведется проектирование и изготовление отдельных частей (центроплан, фюзеляж, отъемное оперение).</w:t>
      </w:r>
    </w:p>
    <w:p w14:paraId="10490DE7" w14:textId="77777777" w:rsidR="007F23E2" w:rsidRPr="0044524F" w:rsidRDefault="007F23E2" w:rsidP="009654CF">
      <w:pPr>
        <w:numPr>
          <w:ilvl w:val="0"/>
          <w:numId w:val="32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ДИ6-Райт Циклон. Срок заводских испытаний 1 мая 1934 года. Закончен эскизный проект и подготовляется макет.</w:t>
      </w:r>
    </w:p>
    <w:p w14:paraId="5DA702AD" w14:textId="77777777" w:rsidR="007F23E2" w:rsidRPr="0044524F" w:rsidRDefault="007F23E2" w:rsidP="009654CF">
      <w:pPr>
        <w:numPr>
          <w:ilvl w:val="0"/>
          <w:numId w:val="32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К7-М34. Срок заводских испытаний 1 августа 1933 года. Самолет опробован в воздухе. Обнаружены конструктивные недочеты оперения. Внесены исправления и самолет подготовлен к заводским испытаниям.</w:t>
      </w:r>
    </w:p>
    <w:p w14:paraId="6B1E83AE" w14:textId="77777777" w:rsidR="007F23E2" w:rsidRPr="0044524F" w:rsidRDefault="007F23E2" w:rsidP="009654CF">
      <w:pPr>
        <w:numPr>
          <w:ilvl w:val="0"/>
          <w:numId w:val="33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 Срок заводских испытаний 1 декабря 1935 года. Ведется изучение материалов и предварительное проектирование. Изготовляются отдельные части для исследования и экспериментов.</w:t>
      </w:r>
    </w:p>
    <w:p w14:paraId="0CAEAC71" w14:textId="77777777" w:rsidR="007F23E2" w:rsidRPr="0044524F" w:rsidRDefault="007F23E2" w:rsidP="009654CF">
      <w:pPr>
        <w:numPr>
          <w:ilvl w:val="0"/>
          <w:numId w:val="33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СР-1 М58. Срок испытания через шесть месяцев после получения моторов. Производится подбор материалов и предварительная проработка.</w:t>
      </w:r>
    </w:p>
    <w:p w14:paraId="241A12D7" w14:textId="77777777" w:rsidR="007F23E2" w:rsidRPr="0044524F" w:rsidRDefault="007F23E2" w:rsidP="009654CF">
      <w:pPr>
        <w:numPr>
          <w:ilvl w:val="0"/>
          <w:numId w:val="33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СС-М34. Срок испытания 1 января 1934 года. Производится сборка отдельных агрегатов. Самолет выйдет с мотором без нагнетателя, но с редуктором.</w:t>
      </w:r>
    </w:p>
    <w:p w14:paraId="175186E4" w14:textId="77777777" w:rsidR="007F23E2" w:rsidRPr="0044524F" w:rsidRDefault="007F23E2" w:rsidP="009654CF">
      <w:pPr>
        <w:numPr>
          <w:ilvl w:val="0"/>
          <w:numId w:val="33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ЛК- . Срок испытания 1 января 1934 года. Заканчивается эскизный проект и производится постройка макета.</w:t>
      </w:r>
    </w:p>
    <w:p w14:paraId="2DB0A8EE" w14:textId="77777777" w:rsidR="007F23E2" w:rsidRPr="0044524F" w:rsidRDefault="007F23E2" w:rsidP="009654CF">
      <w:pPr>
        <w:numPr>
          <w:ilvl w:val="0"/>
          <w:numId w:val="33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РК (Кричевского). Срок испытания 1 октября 1933 года. Проектирование закончено. Производится изготовление отдельных частей самолета.</w:t>
      </w:r>
    </w:p>
    <w:p w14:paraId="6D4D6C9A" w14:textId="77777777" w:rsidR="007F23E2" w:rsidRPr="0044524F" w:rsidRDefault="007F23E2" w:rsidP="009654CF">
      <w:pPr>
        <w:numPr>
          <w:ilvl w:val="0"/>
          <w:numId w:val="33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Срок испытания 30 июля 1933 года. Ведутся исследования и экспериментальные испытания на аэродроме, со специальным геликоптерным винтом.</w:t>
      </w:r>
    </w:p>
    <w:p w14:paraId="4E4C4E59" w14:textId="77777777" w:rsidR="007F23E2" w:rsidRPr="0044524F" w:rsidRDefault="007F23E2" w:rsidP="009654CF">
      <w:pPr>
        <w:numPr>
          <w:ilvl w:val="0"/>
          <w:numId w:val="33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М-22. Срок испытания 1 октября 1933 года. Закончена стыковка отдельных агрегатов (крыльев, фюзеляжа, мотофермы, хвостового оперения, шасси).</w:t>
      </w:r>
    </w:p>
    <w:p w14:paraId="606696A7" w14:textId="77777777" w:rsidR="007F23E2" w:rsidRPr="0044524F" w:rsidRDefault="007F23E2" w:rsidP="009654CF">
      <w:pPr>
        <w:numPr>
          <w:ilvl w:val="0"/>
          <w:numId w:val="33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 М-48. Срок испытания 1 июня 1934 года. Заканчивается эскизный проект и ведутся работы по макету.</w:t>
      </w:r>
    </w:p>
    <w:p w14:paraId="5AAE7B3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(4223, 34-35).</w:t>
      </w:r>
    </w:p>
    <w:p w14:paraId="72B9615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по моторам</w:t>
      </w:r>
    </w:p>
    <w:p w14:paraId="4CD92711" w14:textId="77777777" w:rsidR="007F23E2" w:rsidRPr="0044524F" w:rsidRDefault="007F23E2" w:rsidP="009654CF">
      <w:pPr>
        <w:numPr>
          <w:ilvl w:val="0"/>
          <w:numId w:val="338"/>
        </w:numPr>
        <w:tabs>
          <w:tab w:val="left" w:pos="72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 моторы.</w:t>
      </w:r>
    </w:p>
    <w:p w14:paraId="41BCA1CD" w14:textId="77777777" w:rsidR="007F23E2" w:rsidRPr="0044524F" w:rsidRDefault="007F23E2" w:rsidP="009654CF">
      <w:pPr>
        <w:pStyle w:val="a3"/>
        <w:widowControl/>
        <w:numPr>
          <w:ilvl w:val="0"/>
          <w:numId w:val="339"/>
        </w:numPr>
        <w:tabs>
          <w:tab w:val="left" w:pos="360"/>
        </w:tabs>
        <w:ind w:left="0" w:firstLine="0"/>
        <w:rPr>
          <w:color w:val="000000" w:themeColor="text1"/>
          <w:lang w:val="ru-RU"/>
        </w:rPr>
      </w:pPr>
      <w:r w:rsidRPr="0044524F">
        <w:rPr>
          <w:color w:val="000000" w:themeColor="text1"/>
          <w:lang w:val="ru-RU"/>
        </w:rPr>
        <w:t>М-34 Н. Срок предъявления 1 сентября 1933 года. Нагнетатель прошел заводские испытания. Гос. испытания начались.</w:t>
      </w:r>
    </w:p>
    <w:p w14:paraId="7C97FB27" w14:textId="77777777" w:rsidR="007F23E2" w:rsidRPr="0044524F" w:rsidRDefault="007F23E2" w:rsidP="009654CF">
      <w:pPr>
        <w:numPr>
          <w:ilvl w:val="0"/>
          <w:numId w:val="34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РН. Срок предъявления 1 ноября 1933 года. Проходит заводские испытания.</w:t>
      </w:r>
    </w:p>
    <w:p w14:paraId="6D8B0485" w14:textId="77777777" w:rsidR="007F23E2" w:rsidRPr="0044524F" w:rsidRDefault="007F23E2" w:rsidP="009654CF">
      <w:pPr>
        <w:numPr>
          <w:ilvl w:val="0"/>
          <w:numId w:val="34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 (форсированный). Срок предъявления 1 марта 1934 года. Проводятся предварительные экспериментальные работы и проектирование. Срок предъявления отодвигается на май 1934 года.</w:t>
      </w:r>
    </w:p>
    <w:p w14:paraId="09395E2D" w14:textId="77777777" w:rsidR="007F23E2" w:rsidRPr="0044524F" w:rsidRDefault="007F23E2" w:rsidP="009654CF">
      <w:pPr>
        <w:numPr>
          <w:ilvl w:val="0"/>
          <w:numId w:val="34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ФРН с нагнетателем до 3500 метров. Срок предъявления 1 мая 1934 года. Работы связаны с М-34 ФР и срок предъявления отодвигается на июль 1934 года.</w:t>
      </w:r>
    </w:p>
    <w:p w14:paraId="78DEA190" w14:textId="77777777" w:rsidR="007F23E2" w:rsidRPr="0044524F" w:rsidRDefault="007F23E2" w:rsidP="009654CF">
      <w:pPr>
        <w:numPr>
          <w:ilvl w:val="0"/>
          <w:numId w:val="34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ФРН с нагнетателем до 5000 метров и винтом переменного шага. Срок предъявления 1 сентября 1934 года. Ведутся лабораторные работы с нагнетателем на спецустановках. Винт переменного шага запущены в производство.</w:t>
      </w:r>
    </w:p>
    <w:p w14:paraId="0FE8FA84" w14:textId="77777777" w:rsidR="007F23E2" w:rsidRPr="0044524F" w:rsidRDefault="007F23E2" w:rsidP="009654CF">
      <w:pPr>
        <w:numPr>
          <w:ilvl w:val="0"/>
          <w:numId w:val="34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ФРН до 5000 метров с винтом переменного шага и удлиненным валом. Срок предъявления 1 сентября 1934 года. Ведутся конструкторские и исследовательские работы.</w:t>
      </w:r>
    </w:p>
    <w:p w14:paraId="77DF4E53" w14:textId="77777777" w:rsidR="007F23E2" w:rsidRPr="0044524F" w:rsidRDefault="007F23E2" w:rsidP="009654CF">
      <w:pPr>
        <w:numPr>
          <w:ilvl w:val="0"/>
          <w:numId w:val="34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с электронным картером. Срок – 1 декабря 1933 года. Мотор прошел заводские испытания и подготовляется к сдаче на гос. испытание.</w:t>
      </w:r>
    </w:p>
    <w:p w14:paraId="4CCCC515" w14:textId="77777777" w:rsidR="007F23E2" w:rsidRPr="0044524F" w:rsidRDefault="007F23E2" w:rsidP="009654CF">
      <w:pPr>
        <w:numPr>
          <w:ilvl w:val="0"/>
          <w:numId w:val="34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однорядный. Срок – 1 декабря 1933 года. Мотор старой компановки проходит заводские испытания. Запущен в производство новый вариант с усиленным картером, облегченными деталями и новыми агрегатами.</w:t>
      </w:r>
    </w:p>
    <w:p w14:paraId="66B18514" w14:textId="77777777" w:rsidR="007F23E2" w:rsidRPr="0044524F" w:rsidRDefault="007F23E2" w:rsidP="009654CF">
      <w:pPr>
        <w:numPr>
          <w:ilvl w:val="0"/>
          <w:numId w:val="34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 глиссерный. Срок – 1 августа 1933 года. Два мотора сданы Морвед’у для испытания на глиссерах. Ведутся работы по охлаждению мотора пресной водой и холостому ходу.</w:t>
      </w:r>
    </w:p>
    <w:p w14:paraId="434B30EC" w14:textId="77777777" w:rsidR="007F23E2" w:rsidRPr="0044524F" w:rsidRDefault="007F23E2" w:rsidP="009654CF">
      <w:pPr>
        <w:numPr>
          <w:ilvl w:val="0"/>
          <w:numId w:val="34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Ф. Срок – 1 июля 1934 года. Ведется подготовка к заводским испытаниям.</w:t>
      </w:r>
    </w:p>
    <w:p w14:paraId="36A0B3B6" w14:textId="77777777" w:rsidR="007F23E2" w:rsidRPr="0044524F" w:rsidRDefault="007F23E2" w:rsidP="009654CF">
      <w:pPr>
        <w:numPr>
          <w:ilvl w:val="0"/>
          <w:numId w:val="34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М-58. Срок – 1 сентября 1933 года. Мотор проходит заводские испытания, которые затянулись вследствие аварий с противовесом и затруднениями в подборе клапанов. Срок отодвигается на декабрь 1933 года.</w:t>
      </w:r>
    </w:p>
    <w:p w14:paraId="4E1B2F1F" w14:textId="77777777" w:rsidR="007F23E2" w:rsidRPr="0044524F" w:rsidRDefault="007F23E2" w:rsidP="009654CF">
      <w:pPr>
        <w:numPr>
          <w:ilvl w:val="0"/>
          <w:numId w:val="35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М-32 НР. Срок испытаний 1 июня 1934 года. Мотор проходит экспериментальные испытания. В производстве находится усиленные головки, усиленная передача на клапана и ряд вариантов перебора нагнетателя.</w:t>
      </w:r>
    </w:p>
    <w:p w14:paraId="03EBA895" w14:textId="77777777" w:rsidR="007F23E2" w:rsidRPr="0044524F" w:rsidRDefault="007F23E2" w:rsidP="009654CF">
      <w:pPr>
        <w:numPr>
          <w:ilvl w:val="0"/>
          <w:numId w:val="35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Н-1. Срок заводских испытаний 1 ноября 1933 года. Мотор в деталях закончен. Производится монтаж и испытание отдельных агрегатов.</w:t>
      </w:r>
    </w:p>
    <w:p w14:paraId="02AF1A53" w14:textId="77777777" w:rsidR="007F23E2" w:rsidRPr="0044524F" w:rsidRDefault="007F23E2" w:rsidP="009654CF">
      <w:pPr>
        <w:numPr>
          <w:ilvl w:val="0"/>
          <w:numId w:val="35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Н-5 (ФЕД-8). Срок заводских испытаний 1 сентября 1933 года. Закончено производство деталей. Производится монтаж мотора.</w:t>
      </w:r>
    </w:p>
    <w:p w14:paraId="12918C7D" w14:textId="77777777" w:rsidR="007F23E2" w:rsidRPr="0044524F" w:rsidRDefault="007F23E2" w:rsidP="009654CF">
      <w:pPr>
        <w:numPr>
          <w:ilvl w:val="0"/>
          <w:numId w:val="35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 Срок испытаний 1 октября 1933 года. Мотор в деталях закончен. Производится монтаж.</w:t>
      </w:r>
    </w:p>
    <w:p w14:paraId="74C762F0" w14:textId="77777777" w:rsidR="007F23E2" w:rsidRPr="0044524F" w:rsidRDefault="007F23E2" w:rsidP="009654CF">
      <w:pPr>
        <w:numPr>
          <w:ilvl w:val="0"/>
          <w:numId w:val="35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ГМ-44. Срок не установлен. Ход работ будет зависеть от результатов испытания мотора М-44.</w:t>
      </w:r>
    </w:p>
    <w:p w14:paraId="202B85A1" w14:textId="77777777" w:rsidR="007F23E2" w:rsidRPr="0044524F" w:rsidRDefault="007F23E2" w:rsidP="009654CF">
      <w:pPr>
        <w:numPr>
          <w:ilvl w:val="0"/>
          <w:numId w:val="35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М-48. Срок заводских испытаний 1 сентября 1933 года. Заканчиваются заводские испытания.</w:t>
      </w:r>
    </w:p>
    <w:p w14:paraId="40B22F74" w14:textId="77777777" w:rsidR="007F23E2" w:rsidRPr="0044524F" w:rsidRDefault="007F23E2" w:rsidP="009654CF">
      <w:pPr>
        <w:numPr>
          <w:ilvl w:val="0"/>
          <w:numId w:val="35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М-38 Н. Срок заводских испытаний 1 января 1934 года. Проходит испытание 3-х цилиндрового мотора. Запущены в производство ряд вариантов головок, в том числе 4-х клапанная и кулачковый распределительные шайбы.</w:t>
      </w:r>
    </w:p>
    <w:p w14:paraId="0ED3574D" w14:textId="77777777" w:rsidR="007F23E2" w:rsidRPr="0044524F" w:rsidRDefault="007F23E2" w:rsidP="009654CF">
      <w:pPr>
        <w:numPr>
          <w:ilvl w:val="0"/>
          <w:numId w:val="35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М-56. Срок заводских испытаний 1 октября 1934 года. Ведутся конструкторские и экспериментальные работы. Запущена в производство одноцилиндровая установка (4223, 36-37).</w:t>
      </w:r>
    </w:p>
    <w:p w14:paraId="5CC8D680" w14:textId="77777777" w:rsidR="007F23E2" w:rsidRPr="0044524F" w:rsidRDefault="007F23E2" w:rsidP="009654CF">
      <w:pPr>
        <w:tabs>
          <w:tab w:val="left" w:pos="360"/>
        </w:tabs>
        <w:spacing w:after="0" w:line="240" w:lineRule="auto"/>
        <w:jc w:val="both"/>
        <w:rPr>
          <w:rFonts w:ascii="Times New Roman" w:hAnsi="Times New Roman"/>
          <w:color w:val="000000" w:themeColor="text1"/>
          <w:sz w:val="16"/>
          <w:szCs w:val="16"/>
        </w:rPr>
      </w:pPr>
    </w:p>
    <w:p w14:paraId="1FD9C8D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сентября 1933 Консультационный совет при обсуждении вопроса сохранности оболочки стратостата Осоавиахим-1 в лице профессора Мультановского считал, что устойчивая погода для полета будет в 20-ых числах декабря, а профессор Троицкий считал, что это будет в феврале месяце. 24 августа стратостат приняла комиссия ЦС ОАХ под председательством т. Ильина. Тов. Федосеенко считал, что до февраля хранить оболочку нельзя, а нужно будет сделать новую. Основным мотивом к этому он считал, что пропускная способность газа будет не 17-20 м на 1 кв. м, а 60-70 и что опыта в хранении оболочки из такого материала нет. Когда полет было отложен, т. Федосеенко проявил особую заботу о сохранении оболочки и 5.XI донес т. Эйдеману,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00F9A50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p w14:paraId="043C289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1933 разбился самолет польского перелета (Бреге-19), на котором погиб брат С.А.Леваневского Юзеф (100,40). На самом деле - PZL-19 - и произошло это 11 сентября в ходе перелета до Омска. Разбились недалеко от Ядрина - Чувашия (101,42).</w:t>
      </w:r>
    </w:p>
    <w:p w14:paraId="12ED69FF"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7C789A2F" w14:textId="77777777" w:rsidR="00812F7F" w:rsidRPr="0044524F" w:rsidRDefault="00812F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сентября 1933 г. ночью в районе Ярино Чувашской ССР потерпел катастрофу польский летчик капитан И.А.Леваневский (брат нашего), совершавший на самолете ПЗЛ-19 беспосадочный перелет Варшава-Красноярск. Летчик разбился, его пассажир - начальник гражданской авиации Польши Филиппович получил ранения и был доставлен в Ядринскую больницу. Причина катастрофы - потеря пространственной ориеитировки при полете в тумане. Погибшему летчику были оказаны подобающие почести: в Казани был выстроен почетный караул, в Москве возложены венки, советский представитель сопровождал гроб до границы.</w:t>
      </w:r>
    </w:p>
    <w:p w14:paraId="39BFF99B" w14:textId="77777777" w:rsidR="00812F7F" w:rsidRPr="0044524F" w:rsidRDefault="00812F7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14 сект. 1933; ВВФ, 1933 № 9/ (23370).</w:t>
      </w:r>
    </w:p>
    <w:p w14:paraId="14D784F4" w14:textId="77777777" w:rsidR="00812F7F" w:rsidRPr="0044524F" w:rsidRDefault="00812F7F" w:rsidP="009654CF">
      <w:pPr>
        <w:spacing w:after="0" w:line="240" w:lineRule="auto"/>
        <w:jc w:val="both"/>
        <w:rPr>
          <w:rFonts w:ascii="Times New Roman" w:hAnsi="Times New Roman"/>
          <w:color w:val="000000" w:themeColor="text1"/>
          <w:sz w:val="16"/>
          <w:szCs w:val="16"/>
        </w:rPr>
      </w:pPr>
    </w:p>
    <w:p w14:paraId="594BB323" w14:textId="77777777" w:rsidR="008553FB" w:rsidRPr="00142305" w:rsidRDefault="008553FB" w:rsidP="008553F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11 сен</w:t>
      </w:r>
      <w:r w:rsidRPr="00142305">
        <w:rPr>
          <w:rStyle w:val="aff"/>
          <w:rFonts w:ascii="Times New Roman" w:hAnsi="Times New Roman" w:cs="Times New Roman"/>
          <w:color w:val="0070C0"/>
          <w:spacing w:val="0"/>
          <w:sz w:val="16"/>
          <w:szCs w:val="16"/>
        </w:rPr>
        <w:softHyphen/>
        <w:t xml:space="preserve">тября 1933 г. во время дальнего перелёта Варшава-Омск в районе г. Ядрип в Чувашии разбился самолет </w:t>
      </w:r>
      <w:r w:rsidRPr="00142305">
        <w:rPr>
          <w:rStyle w:val="aff"/>
          <w:rFonts w:ascii="Times New Roman" w:hAnsi="Times New Roman" w:cs="Times New Roman"/>
          <w:color w:val="0070C0"/>
          <w:spacing w:val="0"/>
          <w:sz w:val="16"/>
          <w:szCs w:val="16"/>
          <w:lang w:val="en-US"/>
        </w:rPr>
        <w:t>PZL</w:t>
      </w:r>
      <w:r w:rsidRPr="00142305">
        <w:rPr>
          <w:rStyle w:val="aff"/>
          <w:rFonts w:ascii="Times New Roman" w:hAnsi="Times New Roman" w:cs="Times New Roman"/>
          <w:color w:val="0070C0"/>
          <w:spacing w:val="0"/>
          <w:sz w:val="16"/>
          <w:szCs w:val="16"/>
        </w:rPr>
        <w:t>-19, ко</w:t>
      </w:r>
      <w:r w:rsidRPr="00142305">
        <w:rPr>
          <w:rStyle w:val="aff"/>
          <w:rFonts w:ascii="Times New Roman" w:hAnsi="Times New Roman" w:cs="Times New Roman"/>
          <w:color w:val="0070C0"/>
          <w:spacing w:val="0"/>
          <w:sz w:val="16"/>
          <w:szCs w:val="16"/>
        </w:rPr>
        <w:softHyphen/>
        <w:t>мандиром которого был его старший брат С.А, Ле</w:t>
      </w:r>
      <w:r w:rsidRPr="00142305">
        <w:rPr>
          <w:rStyle w:val="aff"/>
          <w:rFonts w:ascii="Times New Roman" w:hAnsi="Times New Roman" w:cs="Times New Roman"/>
          <w:color w:val="0070C0"/>
          <w:spacing w:val="0"/>
          <w:sz w:val="16"/>
          <w:szCs w:val="16"/>
        </w:rPr>
        <w:softHyphen/>
        <w:t>ваневского</w:t>
      </w:r>
      <w:r w:rsidRPr="00142305">
        <w:rPr>
          <w:rStyle w:val="104"/>
          <w:rFonts w:ascii="Times New Roman" w:hAnsi="Times New Roman" w:cs="Times New Roman"/>
          <w:color w:val="0070C0"/>
          <w:sz w:val="16"/>
          <w:szCs w:val="16"/>
        </w:rPr>
        <w:t xml:space="preserve"> </w:t>
      </w:r>
      <w:r w:rsidRPr="00142305">
        <w:rPr>
          <w:rStyle w:val="aff"/>
          <w:rFonts w:ascii="Times New Roman" w:hAnsi="Times New Roman" w:cs="Times New Roman"/>
          <w:color w:val="0070C0"/>
          <w:spacing w:val="0"/>
          <w:sz w:val="16"/>
          <w:szCs w:val="16"/>
        </w:rPr>
        <w:t xml:space="preserve">капитан </w:t>
      </w:r>
      <w:r w:rsidRPr="00142305">
        <w:rPr>
          <w:rStyle w:val="aff"/>
          <w:rFonts w:ascii="Times New Roman" w:hAnsi="Times New Roman" w:cs="Times New Roman"/>
          <w:color w:val="0070C0"/>
          <w:spacing w:val="0"/>
          <w:sz w:val="16"/>
          <w:szCs w:val="16"/>
          <w:lang w:val="en-US"/>
        </w:rPr>
        <w:t>IO</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A</w:t>
      </w:r>
      <w:r w:rsidRPr="00142305">
        <w:rPr>
          <w:rStyle w:val="aff"/>
          <w:rFonts w:ascii="Times New Roman" w:hAnsi="Times New Roman" w:cs="Times New Roman"/>
          <w:color w:val="0070C0"/>
          <w:spacing w:val="0"/>
          <w:sz w:val="16"/>
          <w:szCs w:val="16"/>
        </w:rPr>
        <w:t>. Ле</w:t>
      </w:r>
      <w:r w:rsidRPr="00142305">
        <w:rPr>
          <w:rStyle w:val="aff"/>
          <w:rFonts w:ascii="Times New Roman" w:hAnsi="Times New Roman" w:cs="Times New Roman"/>
          <w:color w:val="0070C0"/>
          <w:spacing w:val="0"/>
          <w:sz w:val="16"/>
          <w:szCs w:val="16"/>
        </w:rPr>
        <w:softHyphen/>
        <w:t>ваневский (штурман подполковник Ч. Филиппович). Этот полёт входил в программу подготовки польского экипажа к кругосветному перелёту через Западную Африку, Атлан</w:t>
      </w:r>
      <w:r w:rsidRPr="00142305">
        <w:rPr>
          <w:rStyle w:val="aff"/>
          <w:rFonts w:ascii="Times New Roman" w:hAnsi="Times New Roman" w:cs="Times New Roman"/>
          <w:color w:val="0070C0"/>
          <w:spacing w:val="0"/>
          <w:sz w:val="16"/>
          <w:szCs w:val="16"/>
        </w:rPr>
        <w:softHyphen/>
        <w:t>тику, США, Аляску, Камчатку и страны Азии в Польшу. Тем самым Ю.А. Леваневский намеревался побить рекорд дальности, установленный французами. Погибшему пилоту были оказаны воинские почести, а его останки доставили в Варшаву, где 19 сентября состоялись торжественные похо</w:t>
      </w:r>
      <w:r w:rsidRPr="00142305">
        <w:rPr>
          <w:rStyle w:val="aff"/>
          <w:rFonts w:ascii="Times New Roman" w:hAnsi="Times New Roman" w:cs="Times New Roman"/>
          <w:color w:val="0070C0"/>
          <w:spacing w:val="0"/>
          <w:sz w:val="16"/>
          <w:szCs w:val="16"/>
        </w:rPr>
        <w:softHyphen/>
        <w:t>роны. Позднее, побывав па могиле Юзефа, С.А. Леваневский возложит венок с надписью: «Брату - польскому герою от брата-лётчика, Героя Советского Союза» (25653).</w:t>
      </w:r>
    </w:p>
    <w:p w14:paraId="48242EB0" w14:textId="77777777" w:rsidR="008553FB" w:rsidRPr="00142305" w:rsidRDefault="008553FB" w:rsidP="008553FB">
      <w:pPr>
        <w:spacing w:after="0" w:line="240" w:lineRule="auto"/>
        <w:jc w:val="both"/>
        <w:rPr>
          <w:rStyle w:val="aff"/>
          <w:rFonts w:ascii="Times New Roman" w:hAnsi="Times New Roman" w:cs="Times New Roman"/>
          <w:color w:val="0070C0"/>
          <w:spacing w:val="0"/>
          <w:sz w:val="16"/>
          <w:szCs w:val="16"/>
        </w:rPr>
      </w:pPr>
    </w:p>
    <w:p w14:paraId="39080B66"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4AA25A0"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6F5F7FA2" w14:textId="77777777" w:rsidR="00C97F35" w:rsidRPr="0044524F" w:rsidRDefault="00C97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сентября 1933 состоялся первый полет Breguet 521 Bizerte (20802).</w:t>
      </w:r>
    </w:p>
    <w:p w14:paraId="3DB06F26" w14:textId="77777777" w:rsidR="00C97F35" w:rsidRPr="0044524F" w:rsidRDefault="00C97F35" w:rsidP="009654CF">
      <w:pPr>
        <w:spacing w:after="0" w:line="240" w:lineRule="auto"/>
        <w:jc w:val="both"/>
        <w:rPr>
          <w:rFonts w:ascii="Times New Roman" w:hAnsi="Times New Roman"/>
          <w:color w:val="000000" w:themeColor="text1"/>
          <w:sz w:val="16"/>
          <w:szCs w:val="16"/>
        </w:rPr>
      </w:pPr>
    </w:p>
    <w:p w14:paraId="34A4E40A" w14:textId="77777777" w:rsidR="00C97F35" w:rsidRPr="0044524F" w:rsidRDefault="00C97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сентября 1933 - В Гавре первый раз поднялась в воздух французская летающая лодка-дальний разведчик Вr.521 Bizerte. Она ведёт свою родословную от английской Шорт S.8 "Калькутта" (1931 г.), лицензию на которую компания "Бреге" получила от "Шорт бразерс" в 1931 году. Опытный образец этого самолёта, Вr.521-01, строился в соответствии с требованиями задания французского флота на летающую лодку, предназначенную для дальней разведки в море, выданного в 1932 году. На нём стояли три звёздообразных мотора Гном-Рон 14Kdrs по 825 л.с. (22368).</w:t>
      </w:r>
    </w:p>
    <w:p w14:paraId="34CD284E" w14:textId="77777777" w:rsidR="00C97F35" w:rsidRPr="0044524F" w:rsidRDefault="00C97F35" w:rsidP="009654CF">
      <w:pPr>
        <w:spacing w:after="0" w:line="240" w:lineRule="auto"/>
        <w:jc w:val="both"/>
        <w:rPr>
          <w:rFonts w:ascii="Times New Roman" w:hAnsi="Times New Roman"/>
          <w:color w:val="000000" w:themeColor="text1"/>
          <w:sz w:val="16"/>
          <w:szCs w:val="16"/>
        </w:rPr>
      </w:pPr>
    </w:p>
    <w:p w14:paraId="3D8FF58E"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11 сентября 1933 польский летчик-испытатель Юзеф Леваневский (J;zef Lewoniewski), брат известного советского летчика Сигизмунда Леваневского, вместе с начальником департамента гражданской авиации Польской Республики подполковником Чеславом Филиповичем (Czes;aw Filipowicz) вылетели из Варшавы на польском самолете PZL-19 в попытке установления рекорда дальности в классе легкомоторных самолетов.</w:t>
      </w:r>
    </w:p>
    <w:p w14:paraId="56CC0B6C"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После пролета Нижнего Новгорода погода ухудшилась. При попытке преодолеть штормовой фронт самолет сорвался в штопор, стал неуправляемым и разбился у села Засурское (ныне Засурье), в 12 км от города Ядрин. Леваневский погиб, а Филипович остался жив, получив незначительные травмы.</w:t>
      </w:r>
    </w:p>
    <w:p w14:paraId="6CDF08F8" w14:textId="77777777" w:rsidR="00C97F35" w:rsidRPr="0044524F" w:rsidRDefault="00C97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Польские дипломаты по итогам поисково-спасательных работ выразили местным жителям благодарность за «инициативу в розыске тела погибшего летчика», а советские газеты по горячим следам сообщили, что «Леваневского нашли мертвым в овраге в 15 километрах от самолета». Исходя из этой информации я склоняюсь к версии, что Леваневский покинул самолет с парашютом, который не раскрылся и стал причиной гибели летчика, а Филипович, по какой-то причине остался в кабине, а перед самой землей сумел вывести самолет в горизонтальный полет (21438).</w:t>
      </w:r>
    </w:p>
    <w:p w14:paraId="43681106" w14:textId="77777777" w:rsidR="00C97F35" w:rsidRPr="0044524F" w:rsidRDefault="00C97F35" w:rsidP="009654CF">
      <w:pPr>
        <w:spacing w:after="0" w:line="240" w:lineRule="auto"/>
        <w:jc w:val="both"/>
        <w:rPr>
          <w:rFonts w:ascii="Times New Roman" w:hAnsi="Times New Roman"/>
          <w:color w:val="000000" w:themeColor="text1"/>
          <w:sz w:val="16"/>
          <w:szCs w:val="16"/>
        </w:rPr>
      </w:pPr>
    </w:p>
    <w:p w14:paraId="0E72217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сентября 1933 родной брат Леваневского - Юзеф Леваневский, который в 1919 г. вместе с семьей вернулся в Польшу, где получил необходимое образование и в 1924 г. и стал военным летчиком на, самолете PZL-19 вместе со штурманом Чеславом Филипповичем он стартовал по направлению на восток. На рассвете 12 сентября 1933 г. польский моноплан потерпел катастрофу в условиях плохой видимости неподалеку от города Ядрин в Чувашии (11941).</w:t>
      </w:r>
    </w:p>
    <w:p w14:paraId="4B7A06B4"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235FFDA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сентября 1933 страны латинской Америки подписали в Рио-де-Жанейро пакт о ненападении (3481).</w:t>
      </w:r>
    </w:p>
    <w:p w14:paraId="34920C50"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703A3112" w14:textId="77777777" w:rsidR="00C97F35" w:rsidRPr="0044524F" w:rsidRDefault="00C97F3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3796765" w14:textId="77777777" w:rsidR="00C97F35" w:rsidRPr="0044524F" w:rsidRDefault="00C97F35" w:rsidP="009654CF">
      <w:pPr>
        <w:spacing w:after="0" w:line="240" w:lineRule="auto"/>
        <w:jc w:val="both"/>
        <w:rPr>
          <w:rFonts w:ascii="Times New Roman" w:hAnsi="Times New Roman"/>
          <w:iCs/>
          <w:color w:val="000000" w:themeColor="text1"/>
          <w:sz w:val="16"/>
          <w:szCs w:val="16"/>
        </w:rPr>
      </w:pPr>
    </w:p>
    <w:p w14:paraId="4B82F65D"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12 сентября 1933 из Парижа в Москву на трех самолетах вылетела делегация во главе с министром авиации Франции Пьером Кот (Pierre Jules Cot).</w:t>
      </w:r>
    </w:p>
    <w:p w14:paraId="7A322227"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lastRenderedPageBreak/>
        <w:t>Министра сопровождали генеральный инспектор ВВС Франции генерал Баррес, начальник кабинета министерства авиации Гаген, начальник военного кабинета министерства авиации Жано, начальник гражданской авиации Помпье и начальник технического снабжения ВВС Франции инженер Како.</w:t>
      </w:r>
    </w:p>
    <w:p w14:paraId="7055203C"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Продемонстрировать уровень французской авиационной промышленности должны были новые пассажирские самолеты «Девуатин» D.332, «Вибо» 282T (Wibault) и «Блох» МВ.120 (Marcel Bloch).</w:t>
      </w:r>
    </w:p>
    <w:p w14:paraId="0CC2978F"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13 сентября делегация прилетела в Киев.</w:t>
      </w:r>
    </w:p>
    <w:p w14:paraId="203D02DF"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15 сентября на центральном аэродроме Москвы делегацию французского министра авиации встречали наркоминдел М.М. Литвинов, начальник ВВС РККА Я.И. Алкснис, командующий войсками Московского военного округа А.И. Корк, французские дипломаты, советские официальные лица и представители прессы.</w:t>
      </w:r>
    </w:p>
    <w:p w14:paraId="5FA3E825"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16 сентября были устроены приемы в честь Пьера Кот во французском посольстве и в наркомате иностранных дел СССР.</w:t>
      </w:r>
    </w:p>
    <w:p w14:paraId="2E0DCA0E"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17 сентября министра авиации Франции принял замнаркомвоенмор М.Н. Тухачевский.</w:t>
      </w:r>
    </w:p>
    <w:p w14:paraId="620D432A"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В тот же день делегация посетила Военно-воздушную академию и авиационный завод №22, на Центральном аэродроме прошли показательные полеты французских самолетов и полет гостей на самолете АНТ-14 над Москвой.</w:t>
      </w:r>
    </w:p>
    <w:p w14:paraId="31D6986C"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В 16.40 в московском аэропорту приземлился самолет «Кузин» 33 (Couzinet) под управлением летчика Де Верней (Charles de Vernheilh), а в 17.00 прилетел «Блерио» 110 «Жозеф Ле Бри», на котором был установлен рекорд дальности полета по прямой – 9104 км. В Москву его привели летчики-рекордсмены Кодос (Paul Codos) и Росси (Maurice Rossi).</w:t>
      </w:r>
    </w:p>
    <w:p w14:paraId="10A22BDF" w14:textId="77777777" w:rsidR="00C97F35" w:rsidRPr="0044524F" w:rsidRDefault="00C97F3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20 сентября делегация посетила Кремль, а 21-го вылетела в Киев. До Серпухова французские самолеты сопровождались эскадрильей из 10 советских самолетов.</w:t>
      </w:r>
    </w:p>
    <w:p w14:paraId="3879CC2D" w14:textId="77777777" w:rsidR="00C97F35" w:rsidRPr="0044524F" w:rsidRDefault="00C97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22-го французы вылетели из Киева в Париж (21438).</w:t>
      </w:r>
    </w:p>
    <w:p w14:paraId="339A9CBC" w14:textId="77777777" w:rsidR="00C97F35" w:rsidRPr="0044524F" w:rsidRDefault="00C97F35" w:rsidP="009654CF">
      <w:pPr>
        <w:spacing w:after="0" w:line="240" w:lineRule="auto"/>
        <w:jc w:val="both"/>
        <w:rPr>
          <w:rFonts w:ascii="Times New Roman" w:hAnsi="Times New Roman"/>
          <w:color w:val="000000" w:themeColor="text1"/>
          <w:sz w:val="16"/>
          <w:szCs w:val="16"/>
        </w:rPr>
      </w:pPr>
    </w:p>
    <w:p w14:paraId="61EF3872" w14:textId="77777777" w:rsidR="00C51D0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1555005" w14:textId="77777777" w:rsidR="00C51D0F" w:rsidRPr="0044524F" w:rsidRDefault="00C51D0F" w:rsidP="009654CF">
      <w:pPr>
        <w:spacing w:after="0" w:line="240" w:lineRule="auto"/>
        <w:jc w:val="both"/>
        <w:rPr>
          <w:rFonts w:ascii="Times New Roman" w:hAnsi="Times New Roman"/>
          <w:iCs/>
          <w:color w:val="000000" w:themeColor="text1"/>
          <w:sz w:val="16"/>
          <w:szCs w:val="16"/>
        </w:rPr>
      </w:pPr>
    </w:p>
    <w:p w14:paraId="30EBAB28" w14:textId="29047408" w:rsidR="00C51D0F" w:rsidRPr="0044524F" w:rsidRDefault="00C51D0F"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lang w:eastAsia="ru-RU"/>
        </w:rPr>
        <w:t>12 сентября</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1933</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 xml:space="preserve">г. Сталин вновь возвратился к вопросу о некомплектности комбайнов в письме Молотову: «Поведение Серго (и Яковлева) в истории о «комплектности продукции» нельзя назвать иначе, как антипартийным, так как оно имеет своей объективной целью защиту реакционных элементов партии </w:t>
      </w:r>
      <w:r w:rsidRPr="0044524F">
        <w:rPr>
          <w:rFonts w:ascii="Times New Roman" w:eastAsia="Times New Roman" w:hAnsi="Times New Roman"/>
          <w:bCs/>
          <w:color w:val="000000" w:themeColor="text1"/>
          <w:sz w:val="16"/>
          <w:szCs w:val="16"/>
          <w:lang w:eastAsia="ru-RU"/>
        </w:rPr>
        <w:t>против</w:t>
      </w:r>
      <w:r w:rsidRPr="0044524F">
        <w:rPr>
          <w:rFonts w:ascii="Times New Roman" w:eastAsia="Times New Roman" w:hAnsi="Times New Roman"/>
          <w:color w:val="000000" w:themeColor="text1"/>
          <w:sz w:val="16"/>
          <w:szCs w:val="16"/>
          <w:lang w:eastAsia="ru-RU"/>
        </w:rPr>
        <w:t>ЦК ВКП(б)[...] Я написал Кагановичу, что против моего ожидания он оказался в этом деле в лагере реакционных элементов партии».</w:t>
      </w:r>
    </w:p>
    <w:p w14:paraId="5C11E11D" w14:textId="77777777" w:rsidR="00C51D0F" w:rsidRPr="0044524F" w:rsidRDefault="00C51D0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Конфликт вокруг некомплектности комбайнов продемонстрировал многие скрытые пружины взаимоотношений и реального соотношения сил в советском руководстве. Очевидно, что он свидетельствовал не только о преобладающем влиянии Сталина в Политбюро, но и о том, что в этот период отдельные члены Политбюро также имели определенный вес и право голоса при решении достаточно важных проблем (17281).</w:t>
      </w:r>
    </w:p>
    <w:p w14:paraId="34F60F98" w14:textId="77777777" w:rsidR="00C51D0F" w:rsidRPr="0044524F" w:rsidRDefault="00C51D0F" w:rsidP="009654CF">
      <w:pPr>
        <w:spacing w:after="0" w:line="240" w:lineRule="auto"/>
        <w:jc w:val="both"/>
        <w:rPr>
          <w:rFonts w:ascii="Times New Roman" w:hAnsi="Times New Roman"/>
          <w:color w:val="000000" w:themeColor="text1"/>
          <w:sz w:val="16"/>
          <w:szCs w:val="16"/>
        </w:rPr>
      </w:pPr>
    </w:p>
    <w:p w14:paraId="5EC10FEF"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F8D3C3C"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584C9FA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13 сентября по 5 октября 1933 проходили гос. испытания самолета Звена З-2 (6777).</w:t>
      </w:r>
    </w:p>
    <w:p w14:paraId="0E961CB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Ведущий испытания:</w:t>
      </w:r>
    </w:p>
    <w:p w14:paraId="2FD972A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инженер Фролов, Вед. летчик Залевский</w:t>
      </w:r>
    </w:p>
    <w:p w14:paraId="44102B0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Стефановский, Сузи, Кокинаки, Лагутин</w:t>
      </w:r>
    </w:p>
    <w:p w14:paraId="3B4FE53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Предварительные замечания</w:t>
      </w:r>
    </w:p>
    <w:p w14:paraId="03194CD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Дальнейшее развитие идеи самолета Звена инженера Вахмистрова получило применение в разработанной им же установке на самолете ТБ3 4М17 № 22164 трех И-5 – М22 – два на плоскости и один на фюзеляже, а также двух истребителей Зет, подвешенных под плоскость.</w:t>
      </w:r>
    </w:p>
    <w:p w14:paraId="7CA6AAF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всей установки инженера Вахмистрова разбито на три части:</w:t>
      </w:r>
    </w:p>
    <w:p w14:paraId="20FA19DB" w14:textId="77777777" w:rsidR="007F23E2" w:rsidRPr="0044524F" w:rsidRDefault="007F23E2" w:rsidP="009654CF">
      <w:pPr>
        <w:numPr>
          <w:ilvl w:val="0"/>
          <w:numId w:val="35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верхней установки Звена, т.е. ТБ3 4М17 с одним И5, ТБ3 – 4М17 с двумя И5 и ТБ3 4М17 с тремя И5.</w:t>
      </w:r>
    </w:p>
    <w:p w14:paraId="35BEB9A8" w14:textId="77777777" w:rsidR="007F23E2" w:rsidRPr="0044524F" w:rsidRDefault="007F23E2" w:rsidP="009654CF">
      <w:pPr>
        <w:numPr>
          <w:ilvl w:val="0"/>
          <w:numId w:val="35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нижней установки самолета Звена, т.е. ТБ3 4М17 с двумя Зет подвешенными под плоскость, а также ТБ3 4М17 с двумя самолетами Зет и с двумя И5 и ТБ3 с двумя Зет и с тремя И5.</w:t>
      </w:r>
    </w:p>
    <w:p w14:paraId="70E5265D" w14:textId="77777777" w:rsidR="007F23E2" w:rsidRPr="0044524F" w:rsidRDefault="007F23E2" w:rsidP="009654CF">
      <w:pPr>
        <w:numPr>
          <w:ilvl w:val="0"/>
          <w:numId w:val="36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приспособления для посадки среднего самолета И5.</w:t>
      </w:r>
    </w:p>
    <w:p w14:paraId="21FDB0C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Настоящий отчет составлен по первой части испытаний, т.е. по верхней установке трех И5 – М22 на ТБ3 4М17.</w:t>
      </w:r>
    </w:p>
    <w:p w14:paraId="1C747B6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3BAF94A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Гос. испытания «Звена Вахмистрова» ТБ3-4М17 + И5 М22, ТБ3-4М17 + два И5 М22, ТБ3-4М17 + три И5 М22 имели целью:</w:t>
      </w:r>
    </w:p>
    <w:p w14:paraId="59E5DFB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определить надежность подъема с самолетов И5-М22 с плоскостей самолета ТБ3-4М17;</w:t>
      </w:r>
    </w:p>
    <w:p w14:paraId="62C5748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влияние на летные данные самолета ТБ3-4М17 установки на него двух и трех самолетов И5 М22.</w:t>
      </w:r>
    </w:p>
    <w:p w14:paraId="4C137C1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28B4DA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Гос. испытания З-2 пройдены вполне успешно.</w:t>
      </w:r>
    </w:p>
    <w:p w14:paraId="552FB3D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4E10C1" w:rsidRPr="0044524F" w14:paraId="02D3FA01" w14:textId="77777777">
        <w:tc>
          <w:tcPr>
            <w:tcW w:w="3024" w:type="dxa"/>
          </w:tcPr>
          <w:p w14:paraId="2213690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сентября 1933 года</w:t>
            </w:r>
          </w:p>
        </w:tc>
        <w:tc>
          <w:tcPr>
            <w:tcW w:w="5616" w:type="dxa"/>
          </w:tcPr>
          <w:p w14:paraId="5DB1A35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Перелет в Щелково</w:t>
            </w:r>
          </w:p>
        </w:tc>
      </w:tr>
      <w:tr w:rsidR="004E10C1" w:rsidRPr="0044524F" w14:paraId="28DD3F09" w14:textId="77777777">
        <w:tc>
          <w:tcPr>
            <w:tcW w:w="3024" w:type="dxa"/>
          </w:tcPr>
          <w:p w14:paraId="192AB11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года</w:t>
            </w:r>
          </w:p>
        </w:tc>
        <w:tc>
          <w:tcPr>
            <w:tcW w:w="5616" w:type="dxa"/>
          </w:tcPr>
          <w:p w14:paraId="15D85FB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и тарировка САФА самолета ТБ3-4М17</w:t>
            </w:r>
          </w:p>
        </w:tc>
      </w:tr>
      <w:tr w:rsidR="004E10C1" w:rsidRPr="0044524F" w14:paraId="23AB68C0" w14:textId="77777777">
        <w:tc>
          <w:tcPr>
            <w:tcW w:w="3024" w:type="dxa"/>
          </w:tcPr>
          <w:p w14:paraId="4AC7F54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года</w:t>
            </w:r>
          </w:p>
        </w:tc>
        <w:tc>
          <w:tcPr>
            <w:tcW w:w="5616" w:type="dxa"/>
          </w:tcPr>
          <w:p w14:paraId="7419FA7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ТБ3 с двумя И5</w:t>
            </w:r>
          </w:p>
        </w:tc>
      </w:tr>
      <w:tr w:rsidR="004E10C1" w:rsidRPr="0044524F" w14:paraId="3B2CEDCD" w14:textId="77777777">
        <w:tc>
          <w:tcPr>
            <w:tcW w:w="3024" w:type="dxa"/>
          </w:tcPr>
          <w:p w14:paraId="01DE516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года</w:t>
            </w:r>
          </w:p>
        </w:tc>
        <w:tc>
          <w:tcPr>
            <w:tcW w:w="5616" w:type="dxa"/>
          </w:tcPr>
          <w:p w14:paraId="48E603C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ТБ3 с одним И5</w:t>
            </w:r>
          </w:p>
        </w:tc>
      </w:tr>
      <w:tr w:rsidR="004E10C1" w:rsidRPr="0044524F" w14:paraId="342A5FED" w14:textId="77777777">
        <w:tc>
          <w:tcPr>
            <w:tcW w:w="3024" w:type="dxa"/>
          </w:tcPr>
          <w:p w14:paraId="45AB948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года</w:t>
            </w:r>
          </w:p>
        </w:tc>
        <w:tc>
          <w:tcPr>
            <w:tcW w:w="5616" w:type="dxa"/>
          </w:tcPr>
          <w:p w14:paraId="626E150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ТБ3 с тремя И5</w:t>
            </w:r>
          </w:p>
        </w:tc>
      </w:tr>
      <w:tr w:rsidR="004E10C1" w:rsidRPr="0044524F" w14:paraId="3608DA83" w14:textId="77777777">
        <w:tc>
          <w:tcPr>
            <w:tcW w:w="3024" w:type="dxa"/>
          </w:tcPr>
          <w:p w14:paraId="58AED68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года</w:t>
            </w:r>
          </w:p>
        </w:tc>
        <w:tc>
          <w:tcPr>
            <w:tcW w:w="5616" w:type="dxa"/>
          </w:tcPr>
          <w:p w14:paraId="46689AD6"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680C1F32" w14:textId="77777777">
        <w:tc>
          <w:tcPr>
            <w:tcW w:w="3024" w:type="dxa"/>
          </w:tcPr>
          <w:p w14:paraId="0CB3941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года</w:t>
            </w:r>
          </w:p>
        </w:tc>
        <w:tc>
          <w:tcPr>
            <w:tcW w:w="5616" w:type="dxa"/>
          </w:tcPr>
          <w:p w14:paraId="6045925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горизонтальные скорости по высотам одного ТБ3-4М17 с весом 15725 кг</w:t>
            </w:r>
          </w:p>
        </w:tc>
      </w:tr>
      <w:tr w:rsidR="004E10C1" w:rsidRPr="0044524F" w14:paraId="4ACFF577" w14:textId="77777777">
        <w:tc>
          <w:tcPr>
            <w:tcW w:w="3024" w:type="dxa"/>
          </w:tcPr>
          <w:p w14:paraId="3415AA3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w:t>
            </w:r>
          </w:p>
        </w:tc>
        <w:tc>
          <w:tcPr>
            <w:tcW w:w="5616" w:type="dxa"/>
          </w:tcPr>
          <w:p w14:paraId="3E2FCCC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одним И5</w:t>
            </w:r>
          </w:p>
        </w:tc>
      </w:tr>
      <w:tr w:rsidR="004E10C1" w:rsidRPr="0044524F" w14:paraId="77F63EEF" w14:textId="77777777">
        <w:tc>
          <w:tcPr>
            <w:tcW w:w="3024" w:type="dxa"/>
          </w:tcPr>
          <w:p w14:paraId="2708A3C8"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w:t>
            </w:r>
          </w:p>
        </w:tc>
        <w:tc>
          <w:tcPr>
            <w:tcW w:w="5616" w:type="dxa"/>
          </w:tcPr>
          <w:p w14:paraId="1180096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3E6D5103" w14:textId="77777777">
        <w:tc>
          <w:tcPr>
            <w:tcW w:w="3024" w:type="dxa"/>
          </w:tcPr>
          <w:p w14:paraId="3CD95AB3"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сентября 1933 года</w:t>
            </w:r>
          </w:p>
        </w:tc>
        <w:tc>
          <w:tcPr>
            <w:tcW w:w="5616" w:type="dxa"/>
          </w:tcPr>
          <w:p w14:paraId="797952E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4524F" w14:paraId="745C4CAE" w14:textId="77777777">
        <w:tc>
          <w:tcPr>
            <w:tcW w:w="3024" w:type="dxa"/>
          </w:tcPr>
          <w:p w14:paraId="02C9C0D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16" w:type="dxa"/>
          </w:tcPr>
          <w:p w14:paraId="10F7253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4524F" w14:paraId="279FC60A" w14:textId="77777777">
        <w:tc>
          <w:tcPr>
            <w:tcW w:w="3024" w:type="dxa"/>
          </w:tcPr>
          <w:p w14:paraId="13F6B6E9"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16" w:type="dxa"/>
          </w:tcPr>
          <w:p w14:paraId="7AD3BA52"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50B9FFEE" w14:textId="77777777">
        <w:tc>
          <w:tcPr>
            <w:tcW w:w="3024" w:type="dxa"/>
          </w:tcPr>
          <w:p w14:paraId="377D36F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года</w:t>
            </w:r>
          </w:p>
        </w:tc>
        <w:tc>
          <w:tcPr>
            <w:tcW w:w="5616" w:type="dxa"/>
          </w:tcPr>
          <w:p w14:paraId="59B35B14"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52307C9B" w14:textId="77777777">
        <w:tc>
          <w:tcPr>
            <w:tcW w:w="3024" w:type="dxa"/>
          </w:tcPr>
          <w:p w14:paraId="0A9C3C5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года</w:t>
            </w:r>
          </w:p>
        </w:tc>
        <w:tc>
          <w:tcPr>
            <w:tcW w:w="5616" w:type="dxa"/>
          </w:tcPr>
          <w:p w14:paraId="26C4424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расход горючего с двумя И5</w:t>
            </w:r>
          </w:p>
        </w:tc>
      </w:tr>
      <w:tr w:rsidR="004E10C1" w:rsidRPr="0044524F" w14:paraId="185E5401" w14:textId="77777777">
        <w:tc>
          <w:tcPr>
            <w:tcW w:w="3024" w:type="dxa"/>
          </w:tcPr>
          <w:p w14:paraId="2929311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5616" w:type="dxa"/>
          </w:tcPr>
          <w:p w14:paraId="2C4CC64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полетов с налетом 16 час. 23 мин.</w:t>
            </w:r>
          </w:p>
        </w:tc>
      </w:tr>
    </w:tbl>
    <w:p w14:paraId="75C95A2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(6777).</w:t>
      </w:r>
    </w:p>
    <w:p w14:paraId="4894F91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p>
    <w:p w14:paraId="1625B11E" w14:textId="77777777" w:rsidR="006C13C1" w:rsidRPr="0044524F" w:rsidRDefault="006C13C1" w:rsidP="009654CF">
      <w:pPr>
        <w:pStyle w:val="a3"/>
        <w:rPr>
          <w:color w:val="000000" w:themeColor="text1"/>
          <w:lang w:val="ru-RU"/>
        </w:rPr>
      </w:pPr>
      <w:r w:rsidRPr="0044524F">
        <w:rPr>
          <w:color w:val="000000" w:themeColor="text1"/>
          <w:lang w:val="ru-RU"/>
        </w:rPr>
        <w:t>13 сентября 1933 г. новое Звено на ТБ-3 совершило первый полет; бомбардировщик нес только два истребителя - на крыльях. Командиром ТБ-3 был А.И. Залевский, И-5 пилотирова</w:t>
      </w:r>
      <w:r w:rsidRPr="0044524F">
        <w:rPr>
          <w:color w:val="000000" w:themeColor="text1"/>
          <w:lang w:val="ru-RU"/>
        </w:rPr>
        <w:softHyphen/>
        <w:t>ли В.К. Коккинаки и И.Ф. Гродзь (по дру</w:t>
      </w:r>
      <w:r w:rsidRPr="0044524F">
        <w:rPr>
          <w:color w:val="000000" w:themeColor="text1"/>
          <w:lang w:val="ru-RU"/>
        </w:rPr>
        <w:softHyphen/>
        <w:t>гим данным - Лагутин). Второй полет со</w:t>
      </w:r>
      <w:r w:rsidRPr="0044524F">
        <w:rPr>
          <w:color w:val="000000" w:themeColor="text1"/>
          <w:lang w:val="ru-RU"/>
        </w:rPr>
        <w:softHyphen/>
        <w:t>вершили только с И-5 на фюзеляже, в ка</w:t>
      </w:r>
      <w:r w:rsidRPr="0044524F">
        <w:rPr>
          <w:color w:val="000000" w:themeColor="text1"/>
          <w:lang w:val="ru-RU"/>
        </w:rPr>
        <w:softHyphen/>
        <w:t>бине которого сидел Т.П. Сузи. Носитель обычно взлетал при помощи своих собст</w:t>
      </w:r>
      <w:r w:rsidRPr="0044524F">
        <w:rPr>
          <w:color w:val="000000" w:themeColor="text1"/>
          <w:lang w:val="ru-RU"/>
        </w:rPr>
        <w:softHyphen/>
        <w:t>венных двигателей, а на истребителях их запускали перед отцепкой сжатым воз</w:t>
      </w:r>
      <w:r w:rsidRPr="0044524F">
        <w:rPr>
          <w:color w:val="000000" w:themeColor="text1"/>
          <w:lang w:val="ru-RU"/>
        </w:rPr>
        <w:softHyphen/>
        <w:t>духом. Лишь чтобы замерить максималь</w:t>
      </w:r>
      <w:r w:rsidRPr="0044524F">
        <w:rPr>
          <w:color w:val="000000" w:themeColor="text1"/>
          <w:lang w:val="ru-RU"/>
        </w:rPr>
        <w:softHyphen/>
        <w:t>ные данные «Звена-2» в воздухе исполь</w:t>
      </w:r>
      <w:r w:rsidRPr="0044524F">
        <w:rPr>
          <w:color w:val="000000" w:themeColor="text1"/>
          <w:lang w:val="ru-RU"/>
        </w:rPr>
        <w:softHyphen/>
        <w:t>зовали все моторы комплекта. Результат оказался неоднозначным. С двумя И-5 скорость составляла 199,5 км/ч, а с тре</w:t>
      </w:r>
      <w:r w:rsidRPr="0044524F">
        <w:rPr>
          <w:color w:val="000000" w:themeColor="text1"/>
          <w:lang w:val="ru-RU"/>
        </w:rPr>
        <w:softHyphen/>
        <w:t>мя - 196,5 км/ч, то есть третья машина выигрыша здесь не дала. Зато ее наличие существенно повлияло на скороподъем</w:t>
      </w:r>
      <w:r w:rsidRPr="0044524F">
        <w:rPr>
          <w:color w:val="000000" w:themeColor="text1"/>
          <w:lang w:val="ru-RU"/>
        </w:rPr>
        <w:softHyphen/>
        <w:t>ность и потолок. У «чистого» ТБ-3 практи</w:t>
      </w:r>
      <w:r w:rsidRPr="0044524F">
        <w:rPr>
          <w:color w:val="000000" w:themeColor="text1"/>
          <w:lang w:val="ru-RU"/>
        </w:rPr>
        <w:softHyphen/>
        <w:t>ческий потолок равнялся 3800 м,у носи</w:t>
      </w:r>
      <w:r w:rsidRPr="0044524F">
        <w:rPr>
          <w:color w:val="000000" w:themeColor="text1"/>
          <w:lang w:val="ru-RU"/>
        </w:rPr>
        <w:softHyphen/>
        <w:t>теля с двумя И-5 - 3880 м, а с тремя - 5130 м. Аналогичная ситуация сложилась со скороподъемностью. Бомбардировщик забирался на высоту 3000 м за 53 мин, носитель с двумя И-5 - за 31,5 мин, а с тремя - за 21 мин. Стоявший на фюзеля</w:t>
      </w:r>
      <w:r w:rsidRPr="0044524F">
        <w:rPr>
          <w:color w:val="000000" w:themeColor="text1"/>
          <w:lang w:val="ru-RU"/>
        </w:rPr>
        <w:softHyphen/>
        <w:t>же И-5 отцепили всего один раз, далее он стоял неподвижно (но с летчиком).</w:t>
      </w:r>
    </w:p>
    <w:p w14:paraId="3F088EBC" w14:textId="77777777" w:rsidR="006C13C1" w:rsidRPr="0044524F" w:rsidRDefault="006C13C1" w:rsidP="009654CF">
      <w:pPr>
        <w:pStyle w:val="a3"/>
        <w:rPr>
          <w:color w:val="000000" w:themeColor="text1"/>
          <w:lang w:val="ru-RU"/>
        </w:rPr>
      </w:pPr>
      <w:r w:rsidRPr="0044524F">
        <w:rPr>
          <w:color w:val="000000" w:themeColor="text1"/>
          <w:lang w:val="ru-RU"/>
        </w:rPr>
        <w:t>Однажды на режиме максимальной скорости произошла авария. Когда все пилоты дали полный газ, на среднем И-5 оторвался кок винта. Он отлетел, про</w:t>
      </w:r>
      <w:r w:rsidRPr="0044524F">
        <w:rPr>
          <w:color w:val="000000" w:themeColor="text1"/>
          <w:lang w:val="ru-RU"/>
        </w:rPr>
        <w:softHyphen/>
        <w:t>бив большую дыру в крыле у фюзеляжа. Чтобы не прерывать замер, Вахмистров заткнул пробоину собственной спиной. Командиру самолета П.М. Стефановскому удалось успешно приземлиться.</w:t>
      </w:r>
    </w:p>
    <w:p w14:paraId="46589D09" w14:textId="77777777" w:rsidR="006C13C1" w:rsidRPr="0044524F" w:rsidRDefault="006C13C1" w:rsidP="009654CF">
      <w:pPr>
        <w:pStyle w:val="a3"/>
        <w:rPr>
          <w:color w:val="000000" w:themeColor="text1"/>
          <w:lang w:val="ru-RU"/>
        </w:rPr>
      </w:pPr>
      <w:r w:rsidRPr="0044524F">
        <w:rPr>
          <w:color w:val="000000" w:themeColor="text1"/>
          <w:lang w:val="ru-RU"/>
        </w:rPr>
        <w:t>Испытания закончили 5 октября. Ре</w:t>
      </w:r>
      <w:r w:rsidRPr="0044524F">
        <w:rPr>
          <w:color w:val="000000" w:themeColor="text1"/>
          <w:lang w:val="ru-RU"/>
        </w:rPr>
        <w:softHyphen/>
        <w:t>зультаты их признали успешными. Управ</w:t>
      </w:r>
      <w:r w:rsidRPr="0044524F">
        <w:rPr>
          <w:color w:val="000000" w:themeColor="text1"/>
          <w:lang w:val="ru-RU"/>
        </w:rPr>
        <w:softHyphen/>
        <w:t>ление ВВС в конце 1933 г. стало планиро</w:t>
      </w:r>
      <w:r w:rsidRPr="0044524F">
        <w:rPr>
          <w:color w:val="000000" w:themeColor="text1"/>
          <w:lang w:val="ru-RU"/>
        </w:rPr>
        <w:softHyphen/>
        <w:t>вать размещение подобных «звеньев» на Дальнем Востоке. Две эскадрильи хотели дислоцировать в Воздвиженке, одну - в Хабаровске и одну под Читой. «Зве</w:t>
      </w:r>
      <w:r w:rsidRPr="0044524F">
        <w:rPr>
          <w:color w:val="000000" w:themeColor="text1"/>
          <w:lang w:val="ru-RU"/>
        </w:rPr>
        <w:softHyphen/>
        <w:t>нья» должны были прикрывать соеди</w:t>
      </w:r>
      <w:r w:rsidRPr="0044524F">
        <w:rPr>
          <w:color w:val="000000" w:themeColor="text1"/>
          <w:lang w:val="ru-RU"/>
        </w:rPr>
        <w:softHyphen/>
        <w:t xml:space="preserve">нения </w:t>
      </w:r>
      <w:r w:rsidRPr="0044524F">
        <w:rPr>
          <w:color w:val="000000" w:themeColor="text1"/>
          <w:lang w:val="ru-RU"/>
        </w:rPr>
        <w:lastRenderedPageBreak/>
        <w:t>тяжелых бомбардировщиков при ударах по целям в Маньчжурии и Корее. Но вскоре взгляды изменились - И-5 устаревал, ему на смену шли новые типы истребителей.</w:t>
      </w:r>
    </w:p>
    <w:p w14:paraId="508D3AD6" w14:textId="77777777" w:rsidR="006C13C1" w:rsidRPr="0044524F" w:rsidRDefault="006C13C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Вахмистров учел это в последую</w:t>
      </w:r>
      <w:r w:rsidRPr="0044524F">
        <w:rPr>
          <w:rFonts w:ascii="Times New Roman" w:hAnsi="Times New Roman"/>
          <w:color w:val="000000" w:themeColor="text1"/>
          <w:sz w:val="16"/>
          <w:szCs w:val="16"/>
        </w:rPr>
        <w:softHyphen/>
        <w:t>щих проектах. Они выполнялись уже в конструкторском бюро завода №22 в Филях, куда его перевели:</w:t>
      </w:r>
    </w:p>
    <w:p w14:paraId="5516F20B" w14:textId="77777777" w:rsidR="006C13C1" w:rsidRPr="0044524F" w:rsidRDefault="006C13C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«Звене-3» он использовал два уже упоминавшихся выше моноплана И-Зет (И-</w:t>
      </w:r>
      <w:r w:rsidRPr="0044524F">
        <w:rPr>
          <w:rFonts w:ascii="Times New Roman" w:hAnsi="Times New Roman"/>
          <w:color w:val="000000" w:themeColor="text1"/>
          <w:sz w:val="16"/>
          <w:szCs w:val="16"/>
          <w:lang w:val="en-US"/>
        </w:rPr>
        <w:t>Z</w:t>
      </w:r>
      <w:r w:rsidRPr="0044524F">
        <w:rPr>
          <w:rFonts w:ascii="Times New Roman" w:hAnsi="Times New Roman"/>
          <w:color w:val="000000" w:themeColor="text1"/>
          <w:sz w:val="16"/>
          <w:szCs w:val="16"/>
        </w:rPr>
        <w:t>) конструкции Д.П. Григоровича. Эта цельнометалличе</w:t>
      </w:r>
      <w:r w:rsidRPr="0044524F">
        <w:rPr>
          <w:rFonts w:ascii="Times New Roman" w:hAnsi="Times New Roman"/>
          <w:color w:val="000000" w:themeColor="text1"/>
          <w:sz w:val="16"/>
          <w:szCs w:val="16"/>
        </w:rPr>
        <w:softHyphen/>
        <w:t>ская машина вооружалась двумя 76-мм динамореактивными (безоткатными) пушпуш</w:t>
      </w:r>
      <w:r w:rsidRPr="0044524F">
        <w:rPr>
          <w:rFonts w:ascii="Times New Roman" w:hAnsi="Times New Roman"/>
          <w:color w:val="000000" w:themeColor="text1"/>
          <w:sz w:val="16"/>
          <w:szCs w:val="16"/>
        </w:rPr>
        <w:softHyphen/>
        <w:t>ками. Подвеску таких самолетов под кры</w:t>
      </w:r>
      <w:r w:rsidRPr="0044524F">
        <w:rPr>
          <w:rFonts w:ascii="Times New Roman" w:hAnsi="Times New Roman"/>
          <w:color w:val="000000" w:themeColor="text1"/>
          <w:sz w:val="16"/>
          <w:szCs w:val="16"/>
        </w:rPr>
        <w:softHyphen/>
        <w:t>лом ТБ-3 конструктор уже прорабатывал в ходе создания «Звена-2». Такой подход значительно упрощал размещение ис</w:t>
      </w:r>
      <w:r w:rsidRPr="0044524F">
        <w:rPr>
          <w:rFonts w:ascii="Times New Roman" w:hAnsi="Times New Roman"/>
          <w:color w:val="000000" w:themeColor="text1"/>
          <w:sz w:val="16"/>
          <w:szCs w:val="16"/>
        </w:rPr>
        <w:softHyphen/>
        <w:t>требителей. Не требовались громоздкие деревянные мостки, не нужен был целый</w:t>
      </w:r>
    </w:p>
    <w:p w14:paraId="6C5062B7" w14:textId="77777777" w:rsidR="006C13C1" w:rsidRPr="0044524F" w:rsidRDefault="006C13C1" w:rsidP="009654CF">
      <w:pPr>
        <w:pStyle w:val="a3"/>
        <w:rPr>
          <w:color w:val="000000" w:themeColor="text1"/>
          <w:lang w:val="ru-RU"/>
        </w:rPr>
      </w:pPr>
      <w:r w:rsidRPr="0044524F">
        <w:rPr>
          <w:rStyle w:val="ArialNarrow10"/>
          <w:rFonts w:ascii="Times New Roman" w:hAnsi="Times New Roman" w:cs="Times New Roman"/>
          <w:b w:val="0"/>
          <w:color w:val="000000" w:themeColor="text1"/>
          <w:sz w:val="16"/>
          <w:szCs w:val="16"/>
          <w:lang w:val="ru-RU"/>
        </w:rPr>
        <w:t>Первый</w:t>
      </w:r>
      <w:r w:rsidRPr="0044524F">
        <w:rPr>
          <w:color w:val="000000" w:themeColor="text1"/>
          <w:lang w:val="ru-RU"/>
        </w:rPr>
        <w:t xml:space="preserve"> же полет «Звена-З» закончил</w:t>
      </w:r>
      <w:r w:rsidRPr="0044524F">
        <w:rPr>
          <w:color w:val="000000" w:themeColor="text1"/>
          <w:lang w:val="ru-RU"/>
        </w:rPr>
        <w:softHyphen/>
      </w:r>
      <w:r w:rsidRPr="0044524F">
        <w:rPr>
          <w:rStyle w:val="910"/>
          <w:rFonts w:ascii="Times New Roman" w:hAnsi="Times New Roman" w:cs="Times New Roman"/>
          <w:b w:val="0"/>
          <w:color w:val="000000" w:themeColor="text1"/>
          <w:spacing w:val="0"/>
          <w:sz w:val="16"/>
          <w:szCs w:val="16"/>
          <w:lang w:val="ru-RU"/>
        </w:rPr>
        <w:t>ся</w:t>
      </w:r>
      <w:r w:rsidRPr="0044524F">
        <w:rPr>
          <w:rStyle w:val="ArialNarrow10"/>
          <w:rFonts w:ascii="Times New Roman" w:hAnsi="Times New Roman" w:cs="Times New Roman"/>
          <w:b w:val="0"/>
          <w:color w:val="000000" w:themeColor="text1"/>
          <w:sz w:val="16"/>
          <w:szCs w:val="16"/>
          <w:lang w:val="ru-RU"/>
        </w:rPr>
        <w:t xml:space="preserve"> катастрофой.</w:t>
      </w:r>
      <w:r w:rsidRPr="0044524F">
        <w:rPr>
          <w:color w:val="000000" w:themeColor="text1"/>
          <w:lang w:val="ru-RU"/>
        </w:rPr>
        <w:t xml:space="preserve"> Командиром носителя </w:t>
      </w:r>
      <w:r w:rsidRPr="0044524F">
        <w:rPr>
          <w:rStyle w:val="910"/>
          <w:rFonts w:ascii="Times New Roman" w:hAnsi="Times New Roman" w:cs="Times New Roman"/>
          <w:b w:val="0"/>
          <w:color w:val="000000" w:themeColor="text1"/>
          <w:spacing w:val="0"/>
          <w:sz w:val="16"/>
          <w:szCs w:val="16"/>
          <w:lang w:val="ru-RU"/>
        </w:rPr>
        <w:t>являлся</w:t>
      </w:r>
      <w:r w:rsidRPr="0044524F">
        <w:rPr>
          <w:rStyle w:val="ArialNarrow10"/>
          <w:rFonts w:ascii="Times New Roman" w:hAnsi="Times New Roman" w:cs="Times New Roman"/>
          <w:b w:val="0"/>
          <w:color w:val="000000" w:themeColor="text1"/>
          <w:sz w:val="16"/>
          <w:szCs w:val="16"/>
          <w:lang w:val="ru-RU"/>
        </w:rPr>
        <w:t xml:space="preserve"> П.М.</w:t>
      </w:r>
      <w:r w:rsidRPr="0044524F">
        <w:rPr>
          <w:color w:val="000000" w:themeColor="text1"/>
          <w:lang w:val="ru-RU"/>
        </w:rPr>
        <w:t xml:space="preserve"> Стефановский, на истреби</w:t>
      </w:r>
      <w:r w:rsidRPr="0044524F">
        <w:rPr>
          <w:color w:val="000000" w:themeColor="text1"/>
          <w:lang w:val="ru-RU"/>
        </w:rPr>
        <w:softHyphen/>
      </w:r>
      <w:r w:rsidRPr="0044524F">
        <w:rPr>
          <w:rStyle w:val="910"/>
          <w:rFonts w:ascii="Times New Roman" w:hAnsi="Times New Roman" w:cs="Times New Roman"/>
          <w:b w:val="0"/>
          <w:color w:val="000000" w:themeColor="text1"/>
          <w:spacing w:val="0"/>
          <w:sz w:val="16"/>
          <w:szCs w:val="16"/>
          <w:lang w:val="ru-RU"/>
        </w:rPr>
        <w:t>телях</w:t>
      </w:r>
      <w:r w:rsidRPr="0044524F">
        <w:rPr>
          <w:rStyle w:val="ArialNarrow10"/>
          <w:rFonts w:ascii="Times New Roman" w:hAnsi="Times New Roman" w:cs="Times New Roman"/>
          <w:b w:val="0"/>
          <w:color w:val="000000" w:themeColor="text1"/>
          <w:sz w:val="16"/>
          <w:szCs w:val="16"/>
          <w:lang w:val="ru-RU"/>
        </w:rPr>
        <w:t xml:space="preserve"> летели И.Ф.</w:t>
      </w:r>
      <w:r w:rsidRPr="0044524F">
        <w:rPr>
          <w:color w:val="000000" w:themeColor="text1"/>
          <w:lang w:val="ru-RU"/>
        </w:rPr>
        <w:t xml:space="preserve"> Гродзь и А.В. Короткое. </w:t>
      </w:r>
      <w:r w:rsidRPr="0044524F">
        <w:rPr>
          <w:rStyle w:val="ArialNarrow10"/>
          <w:rFonts w:ascii="Times New Roman" w:hAnsi="Times New Roman" w:cs="Times New Roman"/>
          <w:b w:val="0"/>
          <w:color w:val="000000" w:themeColor="text1"/>
          <w:sz w:val="16"/>
          <w:szCs w:val="16"/>
          <w:lang w:val="ru-RU"/>
        </w:rPr>
        <w:t>Короткое ошибся</w:t>
      </w:r>
      <w:r w:rsidRPr="0044524F">
        <w:rPr>
          <w:color w:val="000000" w:themeColor="text1"/>
          <w:lang w:val="ru-RU"/>
        </w:rPr>
        <w:t xml:space="preserve"> дважды. Еще на взлете </w:t>
      </w:r>
      <w:r w:rsidRPr="0044524F">
        <w:rPr>
          <w:rStyle w:val="910"/>
          <w:rFonts w:ascii="Times New Roman" w:hAnsi="Times New Roman" w:cs="Times New Roman"/>
          <w:b w:val="0"/>
          <w:color w:val="000000" w:themeColor="text1"/>
          <w:spacing w:val="0"/>
          <w:sz w:val="16"/>
          <w:szCs w:val="16"/>
          <w:lang w:val="ru-RU"/>
        </w:rPr>
        <w:t>он</w:t>
      </w:r>
      <w:r w:rsidRPr="0044524F">
        <w:rPr>
          <w:rStyle w:val="ArialNarrow10"/>
          <w:rFonts w:ascii="Times New Roman" w:hAnsi="Times New Roman" w:cs="Times New Roman"/>
          <w:b w:val="0"/>
          <w:color w:val="000000" w:themeColor="text1"/>
          <w:sz w:val="16"/>
          <w:szCs w:val="16"/>
          <w:lang w:val="ru-RU"/>
        </w:rPr>
        <w:t xml:space="preserve"> неправильно</w:t>
      </w:r>
      <w:r w:rsidRPr="0044524F">
        <w:rPr>
          <w:color w:val="000000" w:themeColor="text1"/>
          <w:lang w:val="ru-RU"/>
        </w:rPr>
        <w:t xml:space="preserve"> выставил руль высо ты, и его машину подбросило к нижней поверхности крыла ТБ-3. Набрав высоту 2000 м, Стефановский поднял нос бом</w:t>
      </w:r>
      <w:r w:rsidRPr="0044524F">
        <w:rPr>
          <w:color w:val="000000" w:themeColor="text1"/>
          <w:lang w:val="ru-RU"/>
        </w:rPr>
        <w:softHyphen/>
        <w:t>бардировщика и смог как бы стряхнуть истребитель вниз. Но «зет» вдруг опять с треском врезался в крыло. Как потом оказалось, из-за новой ошибки Коротко- ва, слишком рано взявшего ручку управ</w:t>
      </w:r>
      <w:r w:rsidRPr="0044524F">
        <w:rPr>
          <w:color w:val="000000" w:themeColor="text1"/>
          <w:lang w:val="ru-RU"/>
        </w:rPr>
        <w:softHyphen/>
        <w:t>ления на себя, сломались крепления и истребитель ударил винтом в плоскость носителя. Винт разрушился, а отцепить «зет» от ТБ-3 стало невозможно.</w:t>
      </w:r>
    </w:p>
    <w:p w14:paraId="62E7F4B3" w14:textId="77777777" w:rsidR="006C13C1" w:rsidRPr="0044524F" w:rsidRDefault="006C13C1" w:rsidP="009654CF">
      <w:pPr>
        <w:pStyle w:val="a3"/>
        <w:rPr>
          <w:color w:val="000000" w:themeColor="text1"/>
          <w:lang w:val="ru-RU"/>
        </w:rPr>
      </w:pPr>
      <w:r w:rsidRPr="0044524F">
        <w:rPr>
          <w:color w:val="000000" w:themeColor="text1"/>
          <w:lang w:val="ru-RU"/>
        </w:rPr>
        <w:t>С самолета сопровождения Р-5 Корот- кову жестами предложили выпрыгнуть на парашюте, но летчик остался в кабине. Стефановский повел «звено» на посадку. Но на выравнивании И-Зет оторвался и, перевернувшись, упал. Коротков погиб, более никто не пострадал. Но «Звено-З» сочли вариантом неудачным.</w:t>
      </w:r>
    </w:p>
    <w:p w14:paraId="77A3585B" w14:textId="77777777" w:rsidR="006C13C1" w:rsidRPr="0044524F" w:rsidRDefault="006C13C1" w:rsidP="009654CF">
      <w:pPr>
        <w:pStyle w:val="a3"/>
        <w:rPr>
          <w:color w:val="000000" w:themeColor="text1"/>
          <w:lang w:val="ru-RU"/>
        </w:rPr>
      </w:pPr>
      <w:r w:rsidRPr="0044524F">
        <w:rPr>
          <w:color w:val="000000" w:themeColor="text1"/>
          <w:lang w:val="ru-RU"/>
        </w:rPr>
        <w:t>Что скрывалось под обозначением «Звено-4», выяснить не удалось. Возмож</w:t>
      </w:r>
      <w:r w:rsidRPr="0044524F">
        <w:rPr>
          <w:color w:val="000000" w:themeColor="text1"/>
          <w:lang w:val="ru-RU"/>
        </w:rPr>
        <w:softHyphen/>
        <w:t>но, это упоминавшийся вариант с дву</w:t>
      </w:r>
      <w:r w:rsidRPr="0044524F">
        <w:rPr>
          <w:color w:val="000000" w:themeColor="text1"/>
          <w:lang w:val="ru-RU"/>
        </w:rPr>
        <w:softHyphen/>
        <w:t>мя И-5 сверху и двумя «зетами» снизу. По другой версии, «Звеном-4» являлся первый проектный вариант описанно</w:t>
      </w:r>
      <w:r w:rsidRPr="0044524F">
        <w:rPr>
          <w:color w:val="000000" w:themeColor="text1"/>
          <w:lang w:val="ru-RU"/>
        </w:rPr>
        <w:softHyphen/>
        <w:t xml:space="preserve">го далее проекта «Тягач». </w:t>
      </w:r>
    </w:p>
    <w:p w14:paraId="50819963" w14:textId="77777777" w:rsidR="006C13C1" w:rsidRPr="0044524F" w:rsidRDefault="006C13C1" w:rsidP="009654CF">
      <w:pPr>
        <w:pStyle w:val="a3"/>
        <w:rPr>
          <w:color w:val="000000" w:themeColor="text1"/>
          <w:lang w:val="ru-RU"/>
        </w:rPr>
      </w:pPr>
      <w:r w:rsidRPr="0044524F">
        <w:rPr>
          <w:color w:val="000000" w:themeColor="text1"/>
          <w:lang w:val="ru-RU"/>
        </w:rPr>
        <w:t>А вот «Звено-5» - это подвеска одного И-Зет под фюзеляжем ТБ-3 с возможностью под</w:t>
      </w:r>
      <w:r w:rsidRPr="0044524F">
        <w:rPr>
          <w:color w:val="000000" w:themeColor="text1"/>
          <w:lang w:val="ru-RU"/>
        </w:rPr>
        <w:softHyphen/>
        <w:t>цепки и отцепки в воздухе. На этот раз взяли бомбардировщик более поздней модификации с моторами М-34Р (в более ранних вариантах «Звена» использовали машину ранней серии с двигателями М-17). Этот самолет отличался большей грузоподъемностью и улучшенными летными данными. Между пирамидами шасси смонтировали ферму-трапецию, которая с помощью лебедки с редукто</w:t>
      </w:r>
      <w:r w:rsidRPr="0044524F">
        <w:rPr>
          <w:color w:val="000000" w:themeColor="text1"/>
          <w:lang w:val="ru-RU"/>
        </w:rPr>
        <w:softHyphen/>
        <w:t>ром могла опускаться вниз и поднимать</w:t>
      </w:r>
      <w:r w:rsidRPr="0044524F">
        <w:rPr>
          <w:color w:val="000000" w:themeColor="text1"/>
          <w:lang w:val="ru-RU"/>
        </w:rPr>
        <w:softHyphen/>
        <w:t>ся. В полностью опущенном положении перекладина находилась ниже колесных тележек. Чтобы погасить рывок при при</w:t>
      </w:r>
      <w:r w:rsidRPr="0044524F">
        <w:rPr>
          <w:color w:val="000000" w:themeColor="text1"/>
          <w:lang w:val="ru-RU"/>
        </w:rPr>
        <w:softHyphen/>
        <w:t>чаливании, стойки трапеции снабдили гидропневматическими амортизаторами по образцу истребителя И-16. Для экс</w:t>
      </w:r>
      <w:r w:rsidRPr="0044524F">
        <w:rPr>
          <w:color w:val="000000" w:themeColor="text1"/>
          <w:lang w:val="ru-RU"/>
        </w:rPr>
        <w:softHyphen/>
        <w:t>перимента переоборудовали один И-Зет, на котором над кабиной поставили высо</w:t>
      </w:r>
      <w:r w:rsidRPr="0044524F">
        <w:rPr>
          <w:color w:val="000000" w:themeColor="text1"/>
          <w:lang w:val="ru-RU"/>
        </w:rPr>
        <w:softHyphen/>
        <w:t>кую треногу с крюком на конце. На крю</w:t>
      </w:r>
      <w:r w:rsidRPr="0044524F">
        <w:rPr>
          <w:color w:val="000000" w:themeColor="text1"/>
          <w:lang w:val="ru-RU"/>
        </w:rPr>
        <w:softHyphen/>
        <w:t>ке находился замок от бомбодержателя, управляемый летчиком. Вообще вся схе</w:t>
      </w:r>
      <w:r w:rsidRPr="0044524F">
        <w:rPr>
          <w:color w:val="000000" w:themeColor="text1"/>
          <w:lang w:val="ru-RU"/>
        </w:rPr>
        <w:softHyphen/>
        <w:t>ма сильно напоминала применявшуюся американцами на их дирижаблях-авиа</w:t>
      </w:r>
      <w:r w:rsidRPr="0044524F">
        <w:rPr>
          <w:color w:val="000000" w:themeColor="text1"/>
          <w:lang w:val="ru-RU"/>
        </w:rPr>
        <w:softHyphen/>
        <w:t>носцах «Акрон» и «Мекон», только там на борт принимали бипланы.</w:t>
      </w:r>
    </w:p>
    <w:p w14:paraId="16E64E66" w14:textId="77777777" w:rsidR="006C13C1" w:rsidRPr="0044524F" w:rsidRDefault="006C13C1" w:rsidP="009654CF">
      <w:pPr>
        <w:pStyle w:val="a3"/>
        <w:rPr>
          <w:color w:val="000000" w:themeColor="text1"/>
          <w:lang w:val="ru-RU"/>
        </w:rPr>
      </w:pPr>
      <w:r w:rsidRPr="0044524F">
        <w:rPr>
          <w:color w:val="000000" w:themeColor="text1"/>
          <w:lang w:val="ru-RU"/>
        </w:rPr>
        <w:t>Начали с причаливания к трапеции. ТБ-3, который пилотировал Стефанов</w:t>
      </w:r>
      <w:r w:rsidRPr="0044524F">
        <w:rPr>
          <w:color w:val="000000" w:themeColor="text1"/>
          <w:lang w:val="ru-RU"/>
        </w:rPr>
        <w:softHyphen/>
        <w:t>ский, взлетал один и в воздухе опускал ферму. На стойки надставили деревян</w:t>
      </w:r>
      <w:r w:rsidRPr="0044524F">
        <w:rPr>
          <w:color w:val="000000" w:themeColor="text1"/>
          <w:lang w:val="ru-RU"/>
        </w:rPr>
        <w:softHyphen/>
        <w:t>ные рейки, между которыми натянули цветные перкалевые ленты. Стартовав</w:t>
      </w:r>
      <w:r w:rsidRPr="0044524F">
        <w:rPr>
          <w:color w:val="000000" w:themeColor="text1"/>
          <w:lang w:val="ru-RU"/>
        </w:rPr>
        <w:softHyphen/>
        <w:t xml:space="preserve">ший </w:t>
      </w:r>
      <w:r w:rsidRPr="0044524F">
        <w:rPr>
          <w:color w:val="000000" w:themeColor="text1"/>
        </w:rPr>
        <w:t>rfa</w:t>
      </w:r>
      <w:r w:rsidRPr="0044524F">
        <w:rPr>
          <w:color w:val="000000" w:themeColor="text1"/>
          <w:lang w:val="ru-RU"/>
        </w:rPr>
        <w:t xml:space="preserve"> И-Зет В.А. Степанченок старался захватить их крюком. Носитель при этом должен был идеально идти по прямой. Лишь после упорных тренировок решили попробовать захватить трубу. В апреле 1934 г. Степанченку впервые удалось под</w:t>
      </w:r>
      <w:r w:rsidRPr="0044524F">
        <w:rPr>
          <w:color w:val="000000" w:themeColor="text1"/>
          <w:lang w:val="ru-RU"/>
        </w:rPr>
        <w:softHyphen/>
        <w:t>цепиться к носителю. Вместе с трапецией истребитель подтянули вверх так, что его плоскости прижались к колесам бомбар</w:t>
      </w:r>
      <w:r w:rsidRPr="0044524F">
        <w:rPr>
          <w:color w:val="000000" w:themeColor="text1"/>
          <w:lang w:val="ru-RU"/>
        </w:rPr>
        <w:softHyphen/>
        <w:t>дировщика. Затем все проделали в обрат</w:t>
      </w:r>
      <w:r w:rsidRPr="0044524F">
        <w:rPr>
          <w:color w:val="000000" w:themeColor="text1"/>
          <w:lang w:val="ru-RU"/>
        </w:rPr>
        <w:softHyphen/>
        <w:t>ном порядке, выпустив «зет» обратно в свободный полет.</w:t>
      </w:r>
    </w:p>
    <w:p w14:paraId="1C5A53F5" w14:textId="77777777" w:rsidR="006C13C1" w:rsidRPr="0044524F" w:rsidRDefault="006C13C1" w:rsidP="009654CF">
      <w:pPr>
        <w:pStyle w:val="a3"/>
        <w:rPr>
          <w:color w:val="000000" w:themeColor="text1"/>
          <w:lang w:val="ru-RU"/>
        </w:rPr>
      </w:pPr>
      <w:r w:rsidRPr="0044524F">
        <w:rPr>
          <w:color w:val="000000" w:themeColor="text1"/>
          <w:lang w:val="ru-RU"/>
        </w:rPr>
        <w:t>Эти эксперименты «цирка Вахмистро- ва» являлись подготовительной стадией к созданию «авиаматки ПВО» - мобильной базы истребителей-перехватчиков. Она должна была по командам с земли вый</w:t>
      </w:r>
      <w:r w:rsidRPr="0044524F">
        <w:rPr>
          <w:color w:val="000000" w:themeColor="text1"/>
          <w:lang w:val="ru-RU"/>
        </w:rPr>
        <w:softHyphen/>
        <w:t>ти в заданный район и выпустить истре</w:t>
      </w:r>
      <w:r w:rsidRPr="0044524F">
        <w:rPr>
          <w:color w:val="000000" w:themeColor="text1"/>
          <w:lang w:val="ru-RU"/>
        </w:rPr>
        <w:softHyphen/>
        <w:t>бители. После выполнения задания они возвращались и подцеплялись к носите</w:t>
      </w:r>
      <w:r w:rsidRPr="0044524F">
        <w:rPr>
          <w:color w:val="000000" w:themeColor="text1"/>
          <w:lang w:val="ru-RU"/>
        </w:rPr>
        <w:softHyphen/>
        <w:t>лю для дозаправки. «Авиаматка» могла дозаправлять и машины, поднявшиеся с земли, если их оборудовали необходи</w:t>
      </w:r>
      <w:r w:rsidRPr="0044524F">
        <w:rPr>
          <w:color w:val="000000" w:themeColor="text1"/>
          <w:lang w:val="ru-RU"/>
        </w:rPr>
        <w:softHyphen/>
        <w:t>мым образом. В перспективе Вахмистров рассчитывал дать летчикам возможность перейти в бомбардировщик для отдыха.</w:t>
      </w:r>
    </w:p>
    <w:p w14:paraId="50539A9F" w14:textId="77777777" w:rsidR="006C13C1" w:rsidRPr="0044524F" w:rsidRDefault="006C13C1" w:rsidP="009654CF">
      <w:pPr>
        <w:pStyle w:val="a3"/>
        <w:rPr>
          <w:color w:val="000000" w:themeColor="text1"/>
          <w:lang w:val="ru-RU"/>
        </w:rPr>
      </w:pPr>
      <w:r w:rsidRPr="0044524F">
        <w:rPr>
          <w:color w:val="000000" w:themeColor="text1"/>
          <w:lang w:val="ru-RU"/>
        </w:rPr>
        <w:t>В следующем проекте, названном «Звено-6», конструктор учел ошибки и ввел новые пирамиды подкрыльной под</w:t>
      </w:r>
      <w:r w:rsidRPr="0044524F">
        <w:rPr>
          <w:color w:val="000000" w:themeColor="text1"/>
          <w:lang w:val="ru-RU"/>
        </w:rPr>
        <w:softHyphen/>
        <w:t>вески, спроектированные В.И. Синельщиковым. На этот раз подвешивались два новых истребителя-моноплана И-16 с убирающимся шасси. Правда, Вах- мистрову выделили машины раннего типа с моторами М-22. Возможность поднять колеса намного облегчила подвеску ис</w:t>
      </w:r>
      <w:r w:rsidRPr="0044524F">
        <w:rPr>
          <w:color w:val="000000" w:themeColor="text1"/>
          <w:lang w:val="ru-RU"/>
        </w:rPr>
        <w:softHyphen/>
        <w:t>требителей. Их просто подкатывали под крыло, закрепляли и убирали шасси. Пи</w:t>
      </w:r>
      <w:r w:rsidRPr="0044524F">
        <w:rPr>
          <w:color w:val="000000" w:themeColor="text1"/>
          <w:lang w:val="ru-RU"/>
        </w:rPr>
        <w:softHyphen/>
        <w:t>тание моторов истребителей горючим до момента отцепки осуществлялось из ба</w:t>
      </w:r>
      <w:r w:rsidRPr="0044524F">
        <w:rPr>
          <w:color w:val="000000" w:themeColor="text1"/>
          <w:lang w:val="ru-RU"/>
        </w:rPr>
        <w:softHyphen/>
        <w:t>ков носителя через трубу в задней отки</w:t>
      </w:r>
      <w:r w:rsidRPr="0044524F">
        <w:rPr>
          <w:color w:val="000000" w:themeColor="text1"/>
          <w:lang w:val="ru-RU"/>
        </w:rPr>
        <w:softHyphen/>
        <w:t>дывающейся стойке. Предусматривалась телефонная связь с пилотами И-16 и све</w:t>
      </w:r>
      <w:r w:rsidRPr="0044524F">
        <w:rPr>
          <w:color w:val="000000" w:themeColor="text1"/>
          <w:lang w:val="ru-RU"/>
        </w:rPr>
        <w:softHyphen/>
        <w:t>товая сигнализация лампами под крылом ТБ-3. Возвращение И-16 под носитель в данном случае не предусматривалось.</w:t>
      </w:r>
    </w:p>
    <w:p w14:paraId="325F9D94" w14:textId="77777777" w:rsidR="006C13C1" w:rsidRPr="0044524F" w:rsidRDefault="006C13C1" w:rsidP="009654CF">
      <w:pPr>
        <w:pStyle w:val="a3"/>
        <w:rPr>
          <w:color w:val="000000" w:themeColor="text1"/>
          <w:lang w:val="ru-RU"/>
        </w:rPr>
      </w:pPr>
      <w:r w:rsidRPr="0044524F">
        <w:rPr>
          <w:color w:val="000000" w:themeColor="text1"/>
          <w:lang w:val="ru-RU"/>
        </w:rPr>
        <w:t>Проектирование «Звена-6» провели в 1934 г., переоборудование самолетов завершили в августе 1935 г., тогда же они поднялись в воздух. В первом полете ко</w:t>
      </w:r>
      <w:r w:rsidRPr="0044524F">
        <w:rPr>
          <w:color w:val="000000" w:themeColor="text1"/>
          <w:lang w:val="ru-RU"/>
        </w:rPr>
        <w:softHyphen/>
        <w:t>мандиром ТБ-3 являлся П.М. Стефанов- ский, истребители пилотировали С.П. Суп</w:t>
      </w:r>
      <w:r w:rsidRPr="0044524F">
        <w:rPr>
          <w:color w:val="000000" w:themeColor="text1"/>
          <w:lang w:val="ru-RU"/>
        </w:rPr>
        <w:softHyphen/>
        <w:t>рун и В.К. Евсеев. Испытания завершили в декабре 1935 г. Конструкцию признали весьма удачной.</w:t>
      </w:r>
    </w:p>
    <w:p w14:paraId="192D0C1D" w14:textId="77777777" w:rsidR="006C13C1" w:rsidRPr="0044524F" w:rsidRDefault="006C13C1" w:rsidP="009654CF">
      <w:pPr>
        <w:spacing w:after="0" w:line="240" w:lineRule="auto"/>
        <w:jc w:val="both"/>
        <w:rPr>
          <w:rFonts w:ascii="Times New Roman" w:hAnsi="Times New Roman"/>
          <w:color w:val="000000" w:themeColor="text1"/>
          <w:sz w:val="16"/>
          <w:szCs w:val="16"/>
        </w:rPr>
      </w:pPr>
      <w:r w:rsidRPr="0044524F">
        <w:rPr>
          <w:rStyle w:val="94"/>
          <w:rFonts w:ascii="Times New Roman" w:hAnsi="Times New Roman" w:cs="Times New Roman"/>
          <w:b w:val="0"/>
          <w:color w:val="000000" w:themeColor="text1"/>
          <w:spacing w:val="0"/>
          <w:sz w:val="16"/>
          <w:szCs w:val="16"/>
        </w:rPr>
        <w:t>«Звено</w:t>
      </w:r>
      <w:r w:rsidRPr="0044524F">
        <w:rPr>
          <w:rStyle w:val="ArialNarrow8"/>
          <w:rFonts w:ascii="Times New Roman" w:hAnsi="Times New Roman" w:cs="Times New Roman"/>
          <w:b w:val="0"/>
          <w:color w:val="000000" w:themeColor="text1"/>
          <w:sz w:val="16"/>
          <w:szCs w:val="16"/>
        </w:rPr>
        <w:t>-7»</w:t>
      </w:r>
      <w:r w:rsidRPr="0044524F">
        <w:rPr>
          <w:rFonts w:ascii="Times New Roman" w:hAnsi="Times New Roman"/>
          <w:color w:val="000000" w:themeColor="text1"/>
          <w:sz w:val="16"/>
          <w:szCs w:val="16"/>
        </w:rPr>
        <w:t xml:space="preserve"> представляло собой гибрид </w:t>
      </w:r>
      <w:r w:rsidRPr="0044524F">
        <w:rPr>
          <w:rStyle w:val="9"/>
          <w:rFonts w:ascii="Times New Roman" w:hAnsi="Times New Roman" w:cs="Times New Roman"/>
          <w:color w:val="000000" w:themeColor="text1"/>
          <w:spacing w:val="0"/>
          <w:sz w:val="16"/>
          <w:szCs w:val="16"/>
        </w:rPr>
        <w:t>всех</w:t>
      </w:r>
      <w:r w:rsidRPr="0044524F">
        <w:rPr>
          <w:rStyle w:val="94"/>
          <w:rFonts w:ascii="Times New Roman" w:hAnsi="Times New Roman" w:cs="Times New Roman"/>
          <w:b w:val="0"/>
          <w:color w:val="000000" w:themeColor="text1"/>
          <w:spacing w:val="0"/>
          <w:sz w:val="16"/>
          <w:szCs w:val="16"/>
        </w:rPr>
        <w:t xml:space="preserve"> ранее</w:t>
      </w:r>
      <w:r w:rsidRPr="0044524F">
        <w:rPr>
          <w:rFonts w:ascii="Times New Roman" w:hAnsi="Times New Roman"/>
          <w:color w:val="000000" w:themeColor="text1"/>
          <w:sz w:val="16"/>
          <w:szCs w:val="16"/>
        </w:rPr>
        <w:t xml:space="preserve"> реализованных проектов. На </w:t>
      </w:r>
      <w:r w:rsidRPr="0044524F">
        <w:rPr>
          <w:rStyle w:val="9"/>
          <w:rFonts w:ascii="Times New Roman" w:hAnsi="Times New Roman" w:cs="Times New Roman"/>
          <w:color w:val="000000" w:themeColor="text1"/>
          <w:spacing w:val="0"/>
          <w:sz w:val="16"/>
          <w:szCs w:val="16"/>
        </w:rPr>
        <w:t>ярыяе</w:t>
      </w:r>
      <w:r w:rsidRPr="0044524F">
        <w:rPr>
          <w:rStyle w:val="ArialNarrow8"/>
          <w:rFonts w:ascii="Times New Roman" w:hAnsi="Times New Roman" w:cs="Times New Roman"/>
          <w:b w:val="0"/>
          <w:color w:val="000000" w:themeColor="text1"/>
          <w:sz w:val="16"/>
          <w:szCs w:val="16"/>
        </w:rPr>
        <w:t xml:space="preserve"> стояли</w:t>
      </w:r>
      <w:r w:rsidRPr="0044524F">
        <w:rPr>
          <w:rFonts w:ascii="Times New Roman" w:hAnsi="Times New Roman"/>
          <w:color w:val="000000" w:themeColor="text1"/>
          <w:sz w:val="16"/>
          <w:szCs w:val="16"/>
        </w:rPr>
        <w:t xml:space="preserve"> два И-5, под ним подве</w:t>
      </w:r>
      <w:r w:rsidRPr="0044524F">
        <w:rPr>
          <w:rFonts w:ascii="Times New Roman" w:hAnsi="Times New Roman"/>
          <w:color w:val="000000" w:themeColor="text1"/>
          <w:sz w:val="16"/>
          <w:szCs w:val="16"/>
        </w:rPr>
        <w:softHyphen/>
      </w:r>
      <w:r w:rsidRPr="0044524F">
        <w:rPr>
          <w:rStyle w:val="94"/>
          <w:rFonts w:ascii="Times New Roman" w:hAnsi="Times New Roman" w:cs="Times New Roman"/>
          <w:b w:val="0"/>
          <w:color w:val="000000" w:themeColor="text1"/>
          <w:spacing w:val="0"/>
          <w:sz w:val="16"/>
          <w:szCs w:val="16"/>
        </w:rPr>
        <w:t>шивалась</w:t>
      </w:r>
      <w:r w:rsidRPr="0044524F">
        <w:rPr>
          <w:rStyle w:val="ArialNarrow8"/>
          <w:rFonts w:ascii="Times New Roman" w:hAnsi="Times New Roman" w:cs="Times New Roman"/>
          <w:b w:val="0"/>
          <w:color w:val="000000" w:themeColor="text1"/>
          <w:sz w:val="16"/>
          <w:szCs w:val="16"/>
        </w:rPr>
        <w:t xml:space="preserve"> пара</w:t>
      </w:r>
      <w:r w:rsidRPr="0044524F">
        <w:rPr>
          <w:rFonts w:ascii="Times New Roman" w:hAnsi="Times New Roman"/>
          <w:color w:val="000000" w:themeColor="text1"/>
          <w:sz w:val="16"/>
          <w:szCs w:val="16"/>
        </w:rPr>
        <w:t xml:space="preserve"> 14-16, а под фюзеляжем </w:t>
      </w:r>
      <w:r w:rsidRPr="0044524F">
        <w:rPr>
          <w:rStyle w:val="ArialNarrow8"/>
          <w:rFonts w:ascii="Times New Roman" w:hAnsi="Times New Roman" w:cs="Times New Roman"/>
          <w:b w:val="0"/>
          <w:color w:val="000000" w:themeColor="text1"/>
          <w:sz w:val="16"/>
          <w:szCs w:val="16"/>
        </w:rPr>
        <w:t>ионпфовалась</w:t>
      </w:r>
      <w:r w:rsidRPr="0044524F">
        <w:rPr>
          <w:rFonts w:ascii="Times New Roman" w:hAnsi="Times New Roman"/>
          <w:color w:val="000000" w:themeColor="text1"/>
          <w:sz w:val="16"/>
          <w:szCs w:val="16"/>
        </w:rPr>
        <w:t xml:space="preserve"> трапеция, на которую уже </w:t>
      </w:r>
      <w:r w:rsidRPr="0044524F">
        <w:rPr>
          <w:rStyle w:val="102"/>
          <w:rFonts w:ascii="Times New Roman" w:hAnsi="Times New Roman" w:cs="Times New Roman"/>
          <w:color w:val="000000" w:themeColor="text1"/>
          <w:spacing w:val="0"/>
          <w:sz w:val="16"/>
          <w:szCs w:val="16"/>
        </w:rPr>
        <w:t>в</w:t>
      </w:r>
      <w:r w:rsidRPr="0044524F">
        <w:rPr>
          <w:rStyle w:val="ArialNarrow8"/>
          <w:rFonts w:ascii="Times New Roman" w:hAnsi="Times New Roman" w:cs="Times New Roman"/>
          <w:b w:val="0"/>
          <w:color w:val="000000" w:themeColor="text1"/>
          <w:sz w:val="16"/>
          <w:szCs w:val="16"/>
        </w:rPr>
        <w:t xml:space="preserve"> воздухе</w:t>
      </w:r>
      <w:r w:rsidRPr="0044524F">
        <w:rPr>
          <w:rFonts w:ascii="Times New Roman" w:hAnsi="Times New Roman"/>
          <w:color w:val="000000" w:themeColor="text1"/>
          <w:sz w:val="16"/>
          <w:szCs w:val="16"/>
        </w:rPr>
        <w:t xml:space="preserve"> подцеплялся И-Зет.</w:t>
      </w:r>
    </w:p>
    <w:p w14:paraId="703663BD" w14:textId="77777777" w:rsidR="006C13C1" w:rsidRPr="0044524F" w:rsidRDefault="006C13C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«Звена-5», «Звена-6» и «Звена-7» использовали один и тот же самолет-но</w:t>
      </w:r>
      <w:r w:rsidRPr="0044524F">
        <w:rPr>
          <w:rFonts w:ascii="Times New Roman" w:hAnsi="Times New Roman"/>
          <w:color w:val="000000" w:themeColor="text1"/>
          <w:sz w:val="16"/>
          <w:szCs w:val="16"/>
        </w:rPr>
        <w:softHyphen/>
        <w:t>ситель (17741).</w:t>
      </w:r>
    </w:p>
    <w:p w14:paraId="719D3421" w14:textId="77777777" w:rsidR="006C13C1" w:rsidRPr="0044524F" w:rsidRDefault="006C13C1" w:rsidP="009654CF">
      <w:pPr>
        <w:spacing w:after="0" w:line="240" w:lineRule="auto"/>
        <w:jc w:val="both"/>
        <w:rPr>
          <w:rFonts w:ascii="Times New Roman" w:eastAsia="Times New Roman" w:hAnsi="Times New Roman"/>
          <w:color w:val="000000" w:themeColor="text1"/>
          <w:sz w:val="16"/>
          <w:szCs w:val="16"/>
          <w:lang w:eastAsia="ru-RU"/>
        </w:rPr>
      </w:pPr>
    </w:p>
    <w:p w14:paraId="36E5DA8A"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сентября 1933 на К-7 К.А.К. выполнили 4 пробежки по аэродрому и взлет по прямой после удаления компенсации серворулей, изменения крепления тросов, соединения половинок стабилизатора в одно целое, установки лонжеронов верхнего плана с внутренними подкосами хвостового оперения. Высота взлетов была 2-3 м, скорость при взлете - 80 км/час. Потом устранили стремление машины заворачивать при разбеге, отсутствие реагирования на РН и течь водорадиаторов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1292A00E" w14:textId="77777777">
        <w:tc>
          <w:tcPr>
            <w:tcW w:w="1384" w:type="dxa"/>
            <w:tcBorders>
              <w:top w:val="single" w:sz="12" w:space="0" w:color="auto"/>
            </w:tcBorders>
          </w:tcPr>
          <w:p w14:paraId="2AFDA00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5EF1C3E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7BF4483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6582FF4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6D893C7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44E14EA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697D00E9" w14:textId="77777777">
        <w:tc>
          <w:tcPr>
            <w:tcW w:w="1384" w:type="dxa"/>
            <w:tcBorders>
              <w:bottom w:val="single" w:sz="12" w:space="0" w:color="auto"/>
            </w:tcBorders>
          </w:tcPr>
          <w:p w14:paraId="1E12EE96"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сентября 1933</w:t>
            </w:r>
          </w:p>
        </w:tc>
        <w:tc>
          <w:tcPr>
            <w:tcW w:w="2410" w:type="dxa"/>
            <w:tcBorders>
              <w:bottom w:val="single" w:sz="12" w:space="0" w:color="auto"/>
            </w:tcBorders>
          </w:tcPr>
          <w:p w14:paraId="5757BE7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пробежки по аэродрому.</w:t>
            </w:r>
          </w:p>
          <w:p w14:paraId="5C33C4F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 по прямой после удаления компенсации серворулей, изменения крепления троссов, соединения обеих половин стабилизатора в одно целое и установки лонжерона верхнего плана с внутренними подкосами хвостового оперения</w:t>
            </w:r>
          </w:p>
        </w:tc>
        <w:tc>
          <w:tcPr>
            <w:tcW w:w="1089" w:type="dxa"/>
            <w:tcBorders>
              <w:bottom w:val="single" w:sz="12" w:space="0" w:color="auto"/>
            </w:tcBorders>
          </w:tcPr>
          <w:p w14:paraId="4918CFE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- 0:08</w:t>
            </w:r>
          </w:p>
          <w:p w14:paraId="57EC173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- 2:13</w:t>
            </w:r>
          </w:p>
        </w:tc>
        <w:tc>
          <w:tcPr>
            <w:tcW w:w="3447" w:type="dxa"/>
            <w:tcBorders>
              <w:bottom w:val="single" w:sz="12" w:space="0" w:color="auto"/>
            </w:tcBorders>
          </w:tcPr>
          <w:p w14:paraId="1743C4CB"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взлетов - 2-3 метра, отрыв от земли - через 12-15 секунд, посадки - нормальные</w:t>
            </w:r>
          </w:p>
          <w:p w14:paraId="1DE1667B"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Эффективность действия рулей глубины - нормальная</w:t>
            </w:r>
          </w:p>
          <w:p w14:paraId="6B25422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взлете - 60 км/час</w:t>
            </w:r>
          </w:p>
        </w:tc>
        <w:tc>
          <w:tcPr>
            <w:tcW w:w="1776" w:type="dxa"/>
            <w:tcBorders>
              <w:bottom w:val="single" w:sz="12" w:space="0" w:color="auto"/>
            </w:tcBorders>
          </w:tcPr>
          <w:p w14:paraId="0F67478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Стремление с-та поворачивать при разбеге 9устранено)</w:t>
            </w:r>
          </w:p>
          <w:p w14:paraId="082FE7FA"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реагирования на рули поворота (устранено)</w:t>
            </w:r>
          </w:p>
          <w:p w14:paraId="30E324C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Течь водяного радиатора второго левого мотора (устранено)</w:t>
            </w:r>
          </w:p>
        </w:tc>
        <w:tc>
          <w:tcPr>
            <w:tcW w:w="1105" w:type="dxa"/>
            <w:tcBorders>
              <w:bottom w:val="single" w:sz="12" w:space="0" w:color="auto"/>
            </w:tcBorders>
          </w:tcPr>
          <w:p w14:paraId="1507DB84"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r>
    </w:tbl>
    <w:p w14:paraId="7B98E00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32D86B21"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33929626"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сентября 1933 Пом. нач. НТОС Алмазов писал дир. ХАЗОС К.А.К. письмо N 275/549 в развитие указаний, данных Нач. ГУАП П.И.Б.:</w:t>
      </w:r>
    </w:p>
    <w:p w14:paraId="1996FC6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Построенный экз. довести до безопасного (в смысле прочности) летно-эксплуатационного (в смысле бесперебойности испытания) состояния...</w:t>
      </w:r>
    </w:p>
    <w:p w14:paraId="505D078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Хотели к 15 ноября сдать на гос. испытания, на основе испытаний в 1934 изготовить 2 в пассажирском варианте для ГУ ГВФ (2306).</w:t>
      </w:r>
    </w:p>
    <w:p w14:paraId="1BF5B9C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ДИРЕКТОРУ ХАЗОС тов. КАЛИНИНУ.</w:t>
      </w:r>
    </w:p>
    <w:p w14:paraId="3CE4DFE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Секретно.</w:t>
      </w:r>
    </w:p>
    <w:p w14:paraId="336FA91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развитие указаний, данных Вам Нач.ГУАП тов. БАРАНОВЫМ подтверждаю:</w:t>
      </w:r>
    </w:p>
    <w:p w14:paraId="5DB6CC5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До самолету К-7 (построенный экземпляр),</w:t>
      </w:r>
    </w:p>
    <w:p w14:paraId="48C92E0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Построенный экземпляр довести до безопасного (в смысле. прочности) летно-эксплоатационного (в смысле бесперебойного испытания) состояния,</w:t>
      </w:r>
    </w:p>
    <w:p w14:paraId="68F7538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первую очередь и как можно быстрее провести летные испытания с выявлением летных данных самолета-и особенностей поведения его в воздухе,</w:t>
      </w:r>
    </w:p>
    <w:p w14:paraId="734D2AF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Определить дефекты конструктивного и эксшгоатационного поряд</w:t>
      </w:r>
      <w:r w:rsidRPr="0044524F">
        <w:rPr>
          <w:rFonts w:ascii="Times New Roman" w:hAnsi="Times New Roman"/>
          <w:color w:val="000000" w:themeColor="text1"/>
          <w:sz w:val="16"/>
          <w:szCs w:val="16"/>
        </w:rPr>
        <w:softHyphen/>
        <w:t>ка и в наикратчайший срок их устранить,</w:t>
      </w:r>
    </w:p>
    <w:p w14:paraId="7276A21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период испытания с целью скорейшего проведения их, вопро</w:t>
      </w:r>
      <w:r w:rsidRPr="0044524F">
        <w:rPr>
          <w:rFonts w:ascii="Times New Roman" w:hAnsi="Times New Roman"/>
          <w:color w:val="000000" w:themeColor="text1"/>
          <w:sz w:val="16"/>
          <w:szCs w:val="16"/>
        </w:rPr>
        <w:softHyphen/>
        <w:t>сами оборудования как в качестве военного, так и пассажирского варианта на данном экземпляре заниматься не следует.</w:t>
      </w:r>
    </w:p>
    <w:p w14:paraId="4C35548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После испытания и параллельно с внесением необходимых исправ</w:t>
      </w:r>
      <w:r w:rsidRPr="0044524F">
        <w:rPr>
          <w:rFonts w:ascii="Times New Roman" w:hAnsi="Times New Roman"/>
          <w:color w:val="000000" w:themeColor="text1"/>
          <w:sz w:val="16"/>
          <w:szCs w:val="16"/>
        </w:rPr>
        <w:softHyphen/>
        <w:t>лении приступить -к подготовке к испытаниям самолета в военном варианте с таким расчетом, чтобы к 15/Х1 сдать самолет на госиспытания.</w:t>
      </w:r>
    </w:p>
    <w:p w14:paraId="34F78DF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Для подготовки военного варианта необходимо немедленно при</w:t>
      </w:r>
      <w:r w:rsidRPr="0044524F">
        <w:rPr>
          <w:rFonts w:ascii="Times New Roman" w:hAnsi="Times New Roman"/>
          <w:color w:val="000000" w:themeColor="text1"/>
          <w:sz w:val="16"/>
          <w:szCs w:val="16"/>
        </w:rPr>
        <w:softHyphen/>
        <w:t>ступить к согласованию с ВВС всех вопросов оборудования и вооружения с тем, чтобы при доводке самолета все претензии ВВС были учтены в доработке конструкции, т.е. до начала госиспытаний.</w:t>
      </w:r>
    </w:p>
    <w:p w14:paraId="180EF46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Перспективные работы по К—7</w:t>
      </w:r>
    </w:p>
    <w:p w14:paraId="10C411C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На основе проведенных испытаний, изготовить в 1934 г. 2 самолета в пассажирском варианте для ГУ ГВФ.</w:t>
      </w:r>
    </w:p>
    <w:p w14:paraId="4CEAD5C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Эти самолеты должны строится в порядке опытной серии и на изготовление их Вам надлежит заключить договор с ГУГВФ.</w:t>
      </w:r>
    </w:p>
    <w:p w14:paraId="681764D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То-же, что по п. 6 1-го экземпляра должно быть произведено в отношении пассажирской машины по линии ГУГВФ.</w:t>
      </w:r>
    </w:p>
    <w:p w14:paraId="6484857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 По другим опытным работам.</w:t>
      </w:r>
    </w:p>
    <w:p w14:paraId="4B01F02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 плане 1933-34 г.г. остается постройка самолета ВСЧ2-2М22 со сроком выхода на заводские испытания - 1/У-34 г.</w:t>
      </w:r>
    </w:p>
    <w:p w14:paraId="246665D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По этоцу самолету необходимо форсировать представление эскизного проекта, чтобы не задержать увязку с ВВС всех вопросов (схемы, оборудования, вооружения и пр.) и тем самым выпуск машины.</w:t>
      </w:r>
    </w:p>
    <w:p w14:paraId="075E2EB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На 1934 г. включается Вам в план опытных работ для ГУГВФ пассажирский 20-ти местный сухопутн. самолет.</w:t>
      </w:r>
    </w:p>
    <w:p w14:paraId="4332159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этому заданию, в связи с заданиями выше, необходимо разработать программу работ по срокам (эскизн. проект, макет, период проектирования, изготовление чертежей, период постройки и пр.).</w:t>
      </w:r>
    </w:p>
    <w:p w14:paraId="737415A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Такую же программу необходимо дать по ВС. и двум сам.К-7.</w:t>
      </w:r>
    </w:p>
    <w:p w14:paraId="476F9DE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Определить нужные суммы и организационные мероприятия для выполнения опытного плана.</w:t>
      </w:r>
    </w:p>
    <w:p w14:paraId="2009990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По серийному производству</w:t>
      </w:r>
    </w:p>
    <w:p w14:paraId="2B40BA4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План серийного производства на 1934 г. должен охватывать следующую программу:</w:t>
      </w:r>
    </w:p>
    <w:p w14:paraId="6D35E3C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К5 ~ 150 сам.</w:t>
      </w:r>
    </w:p>
    <w:p w14:paraId="476FD11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К9 - 200 сам.</w:t>
      </w:r>
    </w:p>
    <w:p w14:paraId="27B50EA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Необходимо расчитать мощности под эту программу и ориентировочную калькуляцию.</w:t>
      </w:r>
    </w:p>
    <w:p w14:paraId="67FF4E4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Контрольные цифры должны быть составлены по формам, которые будут направлены Вам в ближайшее время.</w:t>
      </w:r>
    </w:p>
    <w:p w14:paraId="486B6D3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 проводимые Вами работы по модификации с-та К-5 необходимо включить лишь те из них, которые не изменят технологических процессов и не отразятся на выполнении серийной программы (2306,29).</w:t>
      </w:r>
    </w:p>
    <w:p w14:paraId="5C4A766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p w14:paraId="2FAD44E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сентября 1933 поступило распоряжение переделать опытный самолет К-7 в военный, а работы по пассажирскому варианту прекратить. В ноябре требовалось уже перегнать самолет в Москву и предъявить К-7 на государственные испытания как бомбардировщик. Калинин не укладывался ни в заданные сроки, ни в отведенные деньги (12936).</w:t>
      </w:r>
    </w:p>
    <w:p w14:paraId="253A2D70"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25DBD5D2"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сентября 1933 г. поступило распоряжение переделать опыт</w:t>
      </w:r>
      <w:r w:rsidRPr="00142305">
        <w:rPr>
          <w:rFonts w:ascii="Times New Roman" w:hAnsi="Times New Roman"/>
          <w:color w:val="0070C0"/>
          <w:sz w:val="16"/>
          <w:szCs w:val="16"/>
        </w:rPr>
        <w:softHyphen/>
        <w:t>ный самолет К-7 в военный, а работы по пассажирскому ва</w:t>
      </w:r>
      <w:r w:rsidRPr="00142305">
        <w:rPr>
          <w:rFonts w:ascii="Times New Roman" w:hAnsi="Times New Roman"/>
          <w:color w:val="0070C0"/>
          <w:sz w:val="16"/>
          <w:szCs w:val="16"/>
        </w:rPr>
        <w:softHyphen/>
        <w:t>рианту прекратить. В ноябре требовалось уже перегнать самолет в Москву и предъявить К -7 на государственные ис</w:t>
      </w:r>
      <w:r w:rsidRPr="00142305">
        <w:rPr>
          <w:rFonts w:ascii="Times New Roman" w:hAnsi="Times New Roman"/>
          <w:color w:val="0070C0"/>
          <w:sz w:val="16"/>
          <w:szCs w:val="16"/>
        </w:rPr>
        <w:softHyphen/>
        <w:t>пытания как бомбардировщик. Калинин не укладывался ни в заданные сроки, ни в отведенные деньги (24977).</w:t>
      </w:r>
    </w:p>
    <w:p w14:paraId="7DA68E7C" w14:textId="77777777" w:rsidR="008553FB" w:rsidRPr="00142305" w:rsidRDefault="008553FB" w:rsidP="008553FB">
      <w:pPr>
        <w:spacing w:after="0" w:line="240" w:lineRule="auto"/>
        <w:jc w:val="both"/>
        <w:rPr>
          <w:rFonts w:ascii="Times New Roman" w:hAnsi="Times New Roman"/>
          <w:color w:val="0070C0"/>
          <w:sz w:val="16"/>
          <w:szCs w:val="16"/>
        </w:rPr>
      </w:pPr>
    </w:p>
    <w:p w14:paraId="43EDE666" w14:textId="77777777" w:rsidR="00ED1A5E" w:rsidRPr="0044524F" w:rsidRDefault="00ED1A5E"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13 сентября 1933 выставку на Центральном аэродроме, приуроченную к визиту в Советский Союз министра авиации Франции П. Кота, посетил новый начальник ГУАП Г.Н. Королев, принявший яковлевский моноплан за заграничную работу (в экспозиции действительно имелась одна французская машина). Смущенный начальник поспешил двинуться дальше (19099).</w:t>
      </w:r>
    </w:p>
    <w:p w14:paraId="18ACA030" w14:textId="77777777" w:rsidR="00ED1A5E" w:rsidRPr="0044524F" w:rsidRDefault="00ED1A5E" w:rsidP="009654CF">
      <w:pPr>
        <w:pStyle w:val="a8"/>
        <w:jc w:val="both"/>
        <w:rPr>
          <w:rFonts w:ascii="Times New Roman" w:hAnsi="Times New Roman" w:cs="Times New Roman"/>
          <w:color w:val="000000" w:themeColor="text1"/>
        </w:rPr>
      </w:pPr>
    </w:p>
    <w:p w14:paraId="6DC173F9"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сентября 1933 г. выставку на ЦА, приуроченную к визиту в Со</w:t>
      </w:r>
      <w:r w:rsidRPr="00142305">
        <w:rPr>
          <w:rFonts w:ascii="Times New Roman" w:hAnsi="Times New Roman"/>
          <w:color w:val="0070C0"/>
          <w:sz w:val="16"/>
          <w:szCs w:val="16"/>
        </w:rPr>
        <w:softHyphen/>
        <w:t>ветский Союз министра авиации Франции П. Кота, посетил новый начальник ГУАП ГН. Королев, принявший яковлевский моноплан АИР-6 за за</w:t>
      </w:r>
      <w:r w:rsidRPr="00142305">
        <w:rPr>
          <w:rFonts w:ascii="Times New Roman" w:hAnsi="Times New Roman"/>
          <w:color w:val="0070C0"/>
          <w:sz w:val="16"/>
          <w:szCs w:val="16"/>
        </w:rPr>
        <w:softHyphen/>
        <w:t>граничную работу (в экспозиции дейст</w:t>
      </w:r>
      <w:r w:rsidRPr="00142305">
        <w:rPr>
          <w:rFonts w:ascii="Times New Roman" w:hAnsi="Times New Roman"/>
          <w:color w:val="0070C0"/>
          <w:sz w:val="16"/>
          <w:szCs w:val="16"/>
        </w:rPr>
        <w:softHyphen/>
        <w:t>вительно имелась одна французская ма</w:t>
      </w:r>
      <w:r w:rsidRPr="00142305">
        <w:rPr>
          <w:rFonts w:ascii="Times New Roman" w:hAnsi="Times New Roman"/>
          <w:color w:val="0070C0"/>
          <w:sz w:val="16"/>
          <w:szCs w:val="16"/>
        </w:rPr>
        <w:softHyphen/>
        <w:t>шина). Смущенный начальник поспешил двинуться дальше (24945).</w:t>
      </w:r>
    </w:p>
    <w:p w14:paraId="318B1869" w14:textId="77777777" w:rsidR="008553FB" w:rsidRPr="00142305" w:rsidRDefault="008553FB" w:rsidP="008553FB">
      <w:pPr>
        <w:spacing w:after="0" w:line="240" w:lineRule="auto"/>
        <w:jc w:val="both"/>
        <w:rPr>
          <w:rFonts w:ascii="Times New Roman" w:hAnsi="Times New Roman"/>
          <w:color w:val="0070C0"/>
          <w:sz w:val="16"/>
          <w:szCs w:val="16"/>
        </w:rPr>
      </w:pPr>
    </w:p>
    <w:p w14:paraId="7FFC3274" w14:textId="77777777" w:rsidR="00C97F35" w:rsidRPr="0044524F" w:rsidRDefault="00C97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сентября 1933 г., приказом Аэрофлота были отмечены Опыт эксплуатации «СССР В-1» в полевых условиях и положительные отзывы о работе за</w:t>
      </w:r>
      <w:r w:rsidRPr="0044524F">
        <w:rPr>
          <w:rFonts w:ascii="Times New Roman" w:hAnsi="Times New Roman"/>
          <w:color w:val="000000" w:themeColor="text1"/>
          <w:sz w:val="16"/>
          <w:szCs w:val="16"/>
        </w:rPr>
        <w:softHyphen/>
        <w:t>интересованных организаций и объявлялась благодарность экипажу и ли</w:t>
      </w:r>
      <w:r w:rsidRPr="0044524F">
        <w:rPr>
          <w:rFonts w:ascii="Times New Roman" w:hAnsi="Times New Roman"/>
          <w:color w:val="000000" w:themeColor="text1"/>
          <w:sz w:val="16"/>
          <w:szCs w:val="16"/>
        </w:rPr>
        <w:softHyphen/>
        <w:t>цам, обеспечивавшим проведение работ. Все они были премированы суммой в размере месячного оклада (20120).</w:t>
      </w:r>
    </w:p>
    <w:p w14:paraId="092885C1" w14:textId="77777777" w:rsidR="00C97F35" w:rsidRPr="0044524F" w:rsidRDefault="00C97F35" w:rsidP="009654CF">
      <w:pPr>
        <w:spacing w:after="0" w:line="240" w:lineRule="auto"/>
        <w:jc w:val="both"/>
        <w:rPr>
          <w:rFonts w:ascii="Times New Roman" w:hAnsi="Times New Roman"/>
          <w:color w:val="000000" w:themeColor="text1"/>
          <w:sz w:val="16"/>
          <w:szCs w:val="16"/>
        </w:rPr>
      </w:pPr>
    </w:p>
    <w:p w14:paraId="0A82A028" w14:textId="77777777" w:rsidR="00C97F35" w:rsidRPr="0044524F" w:rsidRDefault="00C97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сентября 1933 опросом членов ПБ</w:t>
      </w:r>
    </w:p>
    <w:p w14:paraId="5046E7F6" w14:textId="77777777" w:rsidR="00C97F35" w:rsidRPr="0044524F" w:rsidRDefault="00C97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125/109,- О гелии</w:t>
      </w:r>
    </w:p>
    <w:p w14:paraId="4B3DA281" w14:textId="77777777" w:rsidR="00C97F35" w:rsidRPr="0044524F" w:rsidRDefault="00C97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Возложить ответственность за организацию работ по улавливанию гелия в скважине 108 (Артемовск) на т.Ратайчака.</w:t>
      </w:r>
    </w:p>
    <w:p w14:paraId="16901C69" w14:textId="77777777" w:rsidR="00C97F35" w:rsidRPr="0044524F" w:rsidRDefault="00C97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т.Ратайчака периодически информировать о работах по улавливанию гелия т. Куйбышева.</w:t>
      </w:r>
    </w:p>
    <w:p w14:paraId="319EB10D" w14:textId="77777777" w:rsidR="00C97F35" w:rsidRPr="0044524F" w:rsidRDefault="00C97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разосланы: Куйбышеву, Ратайчаку, Саркису(шифром).</w:t>
      </w:r>
    </w:p>
    <w:p w14:paraId="2FFB0F73" w14:textId="77777777" w:rsidR="00C97F35" w:rsidRPr="0044524F" w:rsidRDefault="00C97F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состоялось заседание ПБ и был оформлен протокол № 145 (29995).</w:t>
      </w:r>
    </w:p>
    <w:p w14:paraId="4D8C6C71" w14:textId="77777777" w:rsidR="00C97F35" w:rsidRPr="0044524F" w:rsidRDefault="00C97F35" w:rsidP="009654CF">
      <w:pPr>
        <w:spacing w:after="0" w:line="240" w:lineRule="auto"/>
        <w:jc w:val="both"/>
        <w:rPr>
          <w:rFonts w:ascii="Times New Roman" w:hAnsi="Times New Roman"/>
          <w:color w:val="000000" w:themeColor="text1"/>
          <w:sz w:val="16"/>
          <w:szCs w:val="16"/>
        </w:rPr>
      </w:pPr>
    </w:p>
    <w:p w14:paraId="318A0FB4" w14:textId="77777777" w:rsidR="007F23E2"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889440F" w14:textId="77777777" w:rsidR="007F23E2" w:rsidRPr="0044524F" w:rsidRDefault="007F23E2" w:rsidP="009654CF">
      <w:pPr>
        <w:spacing w:after="0" w:line="240" w:lineRule="auto"/>
        <w:jc w:val="both"/>
        <w:rPr>
          <w:rFonts w:ascii="Times New Roman" w:hAnsi="Times New Roman"/>
          <w:iCs/>
          <w:color w:val="000000" w:themeColor="text1"/>
          <w:sz w:val="16"/>
          <w:szCs w:val="16"/>
        </w:rPr>
      </w:pPr>
    </w:p>
    <w:p w14:paraId="6504BAD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14 сентября по 1 октября 1933 года проходили гос. испытания серийного самолета «ЗЕТ» № 39010 с мотором ЮVI-9 Aq 480/560 НР № 42151 (6783).</w:t>
      </w:r>
    </w:p>
    <w:p w14:paraId="0181415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56B59CD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И. Холодов</w:t>
      </w:r>
    </w:p>
    <w:p w14:paraId="104FFC2B"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Сцельников</w:t>
      </w:r>
    </w:p>
    <w:p w14:paraId="6789C4CD"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2B4FDBB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 целью определения вопроса о целесообразности постройки самолетов и использования построенной малой серии.</w:t>
      </w:r>
    </w:p>
    <w:p w14:paraId="31ADD7C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53A9E6A" w14:textId="77777777" w:rsidR="007F23E2" w:rsidRPr="0044524F" w:rsidRDefault="007F23E2" w:rsidP="009654CF">
      <w:pPr>
        <w:numPr>
          <w:ilvl w:val="0"/>
          <w:numId w:val="36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Построенные самолеты «ЗЕТ» вооруженные пушами АПК-4 бис и пулеметом ПВ-1 могут быть приняты на вооружение ВВС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w:t>
      </w:r>
    </w:p>
    <w:p w14:paraId="64DC3527"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6EF001B1"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года – самолет поступил в бригаду НИИ ВВС для прохождения гос. испытаний.</w:t>
      </w:r>
    </w:p>
    <w:p w14:paraId="087DCC0E"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года – фактическое начало испытаний.</w:t>
      </w:r>
    </w:p>
    <w:p w14:paraId="5D09E62A"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 – фактическое окончание испытаний.</w:t>
      </w:r>
    </w:p>
    <w:p w14:paraId="5FCFB21F"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испытание 17 календарных дней, из них:</w:t>
      </w:r>
    </w:p>
    <w:p w14:paraId="3DF13970"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было проведено в 7 летных дней.</w:t>
      </w:r>
    </w:p>
    <w:p w14:paraId="6A353FEC"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Налетано 16 час. 20 мин. (6783).</w:t>
      </w:r>
    </w:p>
    <w:p w14:paraId="17E23075" w14:textId="77777777" w:rsidR="007F23E2" w:rsidRPr="0044524F" w:rsidRDefault="007F23E2" w:rsidP="009654CF">
      <w:pPr>
        <w:tabs>
          <w:tab w:val="left" w:pos="11199"/>
        </w:tabs>
        <w:spacing w:after="0" w:line="240" w:lineRule="auto"/>
        <w:jc w:val="both"/>
        <w:rPr>
          <w:rFonts w:ascii="Times New Roman" w:hAnsi="Times New Roman"/>
          <w:color w:val="000000" w:themeColor="text1"/>
          <w:sz w:val="16"/>
          <w:szCs w:val="16"/>
        </w:rPr>
      </w:pPr>
    </w:p>
    <w:p w14:paraId="5B69A54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14 сентября по 1 октября 1933 проходил гос. испытания И-Зет с мотором ЮVI N 39010 (2692,6). Выполнили 15 посадок и налетали 16:20 за 7 летных дней. Вл П.Холопов и л М.Сцельников (2303,70).</w:t>
      </w:r>
    </w:p>
    <w:p w14:paraId="7EF7B95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самом деле 14 сентября 1933 машина поступила в бригаду НИИ ВВС и фактически испытания начались 15 сентября (2303,8).</w:t>
      </w:r>
    </w:p>
    <w:p w14:paraId="008F13A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испытания 17 календарных дней, из них:</w:t>
      </w:r>
    </w:p>
    <w:p w14:paraId="0BF2CD76"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был неисправен</w:t>
      </w:r>
      <w:r w:rsidRPr="0044524F">
        <w:rPr>
          <w:rFonts w:ascii="Times New Roman" w:hAnsi="Times New Roman"/>
          <w:color w:val="000000" w:themeColor="text1"/>
          <w:sz w:val="16"/>
          <w:szCs w:val="16"/>
        </w:rPr>
        <w:tab/>
        <w:t>1</w:t>
      </w:r>
    </w:p>
    <w:p w14:paraId="7CC0D3C6"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нелетных дней</w:t>
      </w:r>
      <w:r w:rsidRPr="0044524F">
        <w:rPr>
          <w:rFonts w:ascii="Times New Roman" w:hAnsi="Times New Roman"/>
          <w:color w:val="000000" w:themeColor="text1"/>
          <w:sz w:val="16"/>
          <w:szCs w:val="16"/>
        </w:rPr>
        <w:tab/>
        <w:t>5</w:t>
      </w:r>
    </w:p>
    <w:p w14:paraId="0C89493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дни командирской учебы</w:t>
      </w:r>
      <w:r w:rsidRPr="0044524F">
        <w:rPr>
          <w:rFonts w:ascii="Times New Roman" w:hAnsi="Times New Roman"/>
          <w:color w:val="000000" w:themeColor="text1"/>
          <w:sz w:val="16"/>
          <w:szCs w:val="16"/>
        </w:rPr>
        <w:tab/>
        <w:t>1</w:t>
      </w:r>
    </w:p>
    <w:p w14:paraId="09CA3246"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выходные дни</w:t>
      </w:r>
      <w:r w:rsidRPr="0044524F">
        <w:rPr>
          <w:rFonts w:ascii="Times New Roman" w:hAnsi="Times New Roman"/>
          <w:color w:val="000000" w:themeColor="text1"/>
          <w:sz w:val="16"/>
          <w:szCs w:val="16"/>
        </w:rPr>
        <w:tab/>
        <w:t>1</w:t>
      </w:r>
    </w:p>
    <w:p w14:paraId="2CF76DD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Всего </w:t>
      </w:r>
      <w:r w:rsidRPr="0044524F">
        <w:rPr>
          <w:rFonts w:ascii="Times New Roman" w:hAnsi="Times New Roman"/>
          <w:color w:val="000000" w:themeColor="text1"/>
          <w:sz w:val="16"/>
          <w:szCs w:val="16"/>
        </w:rPr>
        <w:tab/>
        <w:t>10</w:t>
      </w:r>
    </w:p>
    <w:p w14:paraId="2B3E873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испытание было произведено за 7 летных дней.</w:t>
      </w:r>
    </w:p>
    <w:p w14:paraId="18D6DB5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время испытаний налет составил 16:20</w:t>
      </w:r>
    </w:p>
    <w:p w14:paraId="05AA856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Сделано посадок 15 (2303,63).</w:t>
      </w:r>
    </w:p>
    <w:p w14:paraId="79CDB67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Машины были снабжены серийными АПК-4, каждая с магазином на 6 снарядов + 1 в стволе. скорость в 259 км/час и тех. дальность в 310 км сочли недостаточными. В заключении говорилось, что И-зет могут быть приняты на вооружение ВВС РККА при выполнении следующих условий: увеличения скорости до 300 км/час, емкости бензобаков, снарядов - до 20, установки радио. Отдельно требовали увеличить прочность с 300-500 до 1000 выстрелов. Просили предъявить к 1 марта 1934 (2692,6).</w:t>
      </w:r>
    </w:p>
    <w:p w14:paraId="63DD9D1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Сузи летал на стрельбу в Переяславле-Залесском. выполнил 52 полета и сделал 363 выстрела. Всего снарядов было 598 и число отказов доходило до 40%. Стреляли на высоте 700-800 м по группе шаров-пилотов диаметром 50-60 см. Поняли, что требуется дальномер и более совершенный прицел по сравнению с ОП-1 на дальность 400 м и скорость 250 км/час. Сначала летали на N 39005, а потом подоспел и 39010, на которых летали А.Коротков и М.Сцельников (2692,7).</w:t>
      </w:r>
    </w:p>
    <w:p w14:paraId="47E1500E"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29C8FFDB"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14 сентября по 1 октября 1933 проходил гос. испытания И-Зет с мотором ЮVI N 39010 (2692,6). Выполнили 15 посадок и налетали 16:20 за 7 летных дней. Вл П.Холопов и л М.Сцельников (2303,70).</w:t>
      </w:r>
    </w:p>
    <w:p w14:paraId="1F0C351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самом деле 14 сентября 1933 машина поступила в бригаду НИИ ВВС и фактически испытания начались 15 сентября (2303,8).</w:t>
      </w:r>
    </w:p>
    <w:p w14:paraId="325CDC7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4. ОСНОВНЫЕ ТЕХНИЧЕСКИЕ, РЕГУЛИРОВОЧНЫЕ И ВЕСОВЫЕ ДАННЫЕ</w:t>
      </w:r>
    </w:p>
    <w:p w14:paraId="2F8199E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Полная длина самолета..............................7,645 мтр.</w:t>
      </w:r>
    </w:p>
    <w:p w14:paraId="19FA8F0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Высота самолета при стоянка до конца лопасти винта...3,35</w:t>
      </w:r>
    </w:p>
    <w:p w14:paraId="3C4EFF4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 а з м а х к р ы л ь е в........................11,5</w:t>
      </w:r>
    </w:p>
    <w:p w14:paraId="3DA31B0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Длина хорды к р ы л а.,:.........................2,215</w:t>
      </w:r>
    </w:p>
    <w:p w14:paraId="3551DC0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 а з м а х стабилизатора........................3,2</w:t>
      </w:r>
    </w:p>
    <w:p w14:paraId="2071C5C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Р а з м а х руля высоты.........................3,203</w:t>
      </w:r>
    </w:p>
    <w:p w14:paraId="47BCBAE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Площадь крыльев с элеронами......................19,6</w:t>
      </w:r>
    </w:p>
    <w:p w14:paraId="2E5B33C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Плошадь э л е р о н о в..........................2,12</w:t>
      </w:r>
    </w:p>
    <w:p w14:paraId="7BDEC09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Плошадь стабилизатора................1,56</w:t>
      </w:r>
    </w:p>
    <w:p w14:paraId="2B8F7CD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Плошадь р у л я высоты...........................1,325</w:t>
      </w:r>
    </w:p>
    <w:p w14:paraId="3AB5BE4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Общая плошадь горизвнтального оперения............2,835</w:t>
      </w:r>
    </w:p>
    <w:p w14:paraId="695209D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Площадь килей.................................0,69</w:t>
      </w:r>
    </w:p>
    <w:p w14:paraId="0B4FE7E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Плошадь рулей направления.........................0,88</w:t>
      </w:r>
    </w:p>
    <w:p w14:paraId="1380534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Общая площадь вертикального оперения..............1,57</w:t>
      </w:r>
    </w:p>
    <w:p w14:paraId="3D0678E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Расстояние от земли до нижнего конца лопасти в линии полета.....0,35</w:t>
      </w:r>
    </w:p>
    <w:p w14:paraId="3C59B1D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Ширина ш а с с и.................................1,86</w:t>
      </w:r>
    </w:p>
    <w:p w14:paraId="5807DF6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Размер колес с пневматикой.....................750x125 м/м.</w:t>
      </w:r>
    </w:p>
    <w:p w14:paraId="4112D7B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Угол атаки крыльев................................0</w:t>
      </w:r>
    </w:p>
    <w:p w14:paraId="0AE9C0F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Угол к а п о т а ж а............................19</w:t>
      </w:r>
    </w:p>
    <w:p w14:paraId="449CED3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Пасадочный у г о л...............................14</w:t>
      </w:r>
      <w:r w:rsidRPr="0044524F">
        <w:rPr>
          <w:rFonts w:ascii="Times New Roman" w:hAnsi="Times New Roman"/>
          <w:color w:val="000000" w:themeColor="text1"/>
          <w:sz w:val="16"/>
          <w:szCs w:val="16"/>
          <w:vertAlign w:val="superscript"/>
        </w:rPr>
        <w:t>8</w:t>
      </w:r>
      <w:r w:rsidRPr="0044524F">
        <w:rPr>
          <w:rFonts w:ascii="Times New Roman" w:hAnsi="Times New Roman"/>
          <w:color w:val="000000" w:themeColor="text1"/>
          <w:sz w:val="16"/>
          <w:szCs w:val="16"/>
        </w:rPr>
        <w:t>30</w:t>
      </w:r>
    </w:p>
    <w:p w14:paraId="5345523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ВЕСОЫЕ ДАННЫЕ</w:t>
      </w:r>
    </w:p>
    <w:p w14:paraId="2570C04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Вес полной нагрузки...............................556 кг.</w:t>
      </w:r>
    </w:p>
    <w:p w14:paraId="718D66F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Полетный в е с..................................1648</w:t>
      </w:r>
    </w:p>
    <w:p w14:paraId="58B4FA2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Отношение веса полной нагрузка к полетному весу..33,8%</w:t>
      </w:r>
    </w:p>
    <w:p w14:paraId="31ECDED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Нягрузка на 1 мтр. крыльев........................84,1 кг.</w:t>
      </w:r>
    </w:p>
    <w:p w14:paraId="672EAF6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Нагрузка на нр..................................3,43</w:t>
      </w:r>
    </w:p>
    <w:p w14:paraId="050D056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Мощность на 1 мтр. 24,5</w:t>
      </w:r>
    </w:p>
    <w:p w14:paraId="5F95E0B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КРАТКОЕ ОПИСАНИЕ САМОЛЕТА.</w:t>
      </w:r>
    </w:p>
    <w:p w14:paraId="13DBB11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"ЗЕТ" представляет собою одномоторный подкосный, моноплан истребитель с мотором воздушного охлаждения ЮУ1 А</w:t>
      </w:r>
      <w:r w:rsidRPr="0044524F">
        <w:rPr>
          <w:rFonts w:ascii="Times New Roman" w:hAnsi="Times New Roman"/>
          <w:color w:val="000000" w:themeColor="text1"/>
          <w:sz w:val="16"/>
          <w:szCs w:val="16"/>
          <w:lang w:val="en-US"/>
        </w:rPr>
        <w:t>q</w:t>
      </w:r>
      <w:r w:rsidRPr="0044524F">
        <w:rPr>
          <w:rFonts w:ascii="Times New Roman" w:hAnsi="Times New Roman"/>
          <w:color w:val="000000" w:themeColor="text1"/>
          <w:sz w:val="16"/>
          <w:szCs w:val="16"/>
        </w:rPr>
        <w:t xml:space="preserve"> 480/550 нр.'</w:t>
      </w:r>
    </w:p>
    <w:p w14:paraId="6E249D0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 состоит из дзух частей: передней и заднейй /хвостовой/, стыуцемых между собой посредством 4-х узловых соеди</w:t>
      </w:r>
      <w:r w:rsidRPr="0044524F">
        <w:rPr>
          <w:rFonts w:ascii="Times New Roman" w:hAnsi="Times New Roman"/>
          <w:color w:val="000000" w:themeColor="text1"/>
          <w:sz w:val="16"/>
          <w:szCs w:val="16"/>
        </w:rPr>
        <w:softHyphen/>
        <w:t>нений. Конструкция фюзеляжа смешанного типа. Передняя часть от мотоустановки до заднего обреза кабины летчика - ферменная, выполненная из сварных хромансилевых труб, ввиде сварной корзин</w:t>
      </w:r>
      <w:r w:rsidRPr="0044524F">
        <w:rPr>
          <w:rFonts w:ascii="Times New Roman" w:hAnsi="Times New Roman"/>
          <w:color w:val="000000" w:themeColor="text1"/>
          <w:sz w:val="16"/>
          <w:szCs w:val="16"/>
        </w:rPr>
        <w:softHyphen/>
        <w:t>ки и служит основанием для присоединения к ней мотсустановки, шасси, крыльев и хвостовой части фазеляжа. На трубчатый остов корзинки приклепываются дюралевые профильки, которые обматываются полотняными лентами; к последним пришивается полотняная обтяжка.</w:t>
      </w:r>
    </w:p>
    <w:p w14:paraId="0DAA380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Задняя часть /хвостовая/ - шпоагоутного типа представляет кон</w:t>
      </w:r>
      <w:r w:rsidRPr="0044524F">
        <w:rPr>
          <w:rFonts w:ascii="Times New Roman" w:hAnsi="Times New Roman"/>
          <w:color w:val="000000" w:themeColor="text1"/>
          <w:sz w:val="16"/>
          <w:szCs w:val="16"/>
        </w:rPr>
        <w:softHyphen/>
        <w:t xml:space="preserve">струкцию из 11 дюралевых шпангоутов эллиптической формы, утоняющихся по своимразмерам к хвосту фюзеляжа; последние 4 шпангоута служат для образования киля фюзеляжа, составлякинаго одно целое с ним и имеют удлиненную вверх форму в соответствии с формой килевого образованил. Стрингеров 10; из них 4 усиленных: все они имеют форму </w:t>
      </w:r>
      <w:r w:rsidRPr="0044524F">
        <w:rPr>
          <w:rFonts w:ascii="Times New Roman" w:hAnsi="Times New Roman"/>
          <w:smallCaps/>
          <w:color w:val="000000" w:themeColor="text1"/>
          <w:sz w:val="16"/>
          <w:szCs w:val="16"/>
          <w:lang w:val="en-US"/>
        </w:rPr>
        <w:t>v</w:t>
      </w:r>
      <w:r w:rsidRPr="0044524F">
        <w:rPr>
          <w:rFonts w:ascii="Times New Roman" w:hAnsi="Times New Roman"/>
          <w:color w:val="000000" w:themeColor="text1"/>
          <w:sz w:val="16"/>
          <w:szCs w:val="16"/>
        </w:rPr>
        <w:t>образных профильков. Общивка - дюралевая.</w:t>
      </w:r>
    </w:p>
    <w:p w14:paraId="5633DD2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р ы л о - двухлонжеронное деревяное с полотняной обшивкой. Нервюр 22 из них 5 усиленных нервюр распорок и 17 нормальных. Лонжероны представляют собою конструкцию коробча</w:t>
      </w:r>
      <w:r w:rsidRPr="0044524F">
        <w:rPr>
          <w:rFonts w:ascii="Times New Roman" w:hAnsi="Times New Roman"/>
          <w:color w:val="000000" w:themeColor="text1"/>
          <w:sz w:val="16"/>
          <w:szCs w:val="16"/>
        </w:rPr>
        <w:softHyphen/>
        <w:t>того сеченая; материалом для них служит:- сосна, березовая фанера и липа. Нервюры состоят из фанерных стенок с облегчениями в них круглыми отверстиями, охваченными сверху и снизу сосновыми полочками, изогнутыми по форме дужки крыла.</w:t>
      </w:r>
    </w:p>
    <w:p w14:paraId="1EB6EF2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Хвостовое оперение - целиком из дюраллюминия, усиленной конструкции с высоко расположенным горизонтальным оперением. Оно разделяется на горизонтальное, к которому относитсязакрепленный с помощью ушковых накшадок и подкосов стабилизатор и 2-х рулей высоты с компенсаторам; а вертикальное- включающее руль поворота и килек, наглухо приклепанный к вер</w:t>
      </w:r>
      <w:r w:rsidRPr="0044524F">
        <w:rPr>
          <w:rFonts w:ascii="Times New Roman" w:hAnsi="Times New Roman"/>
          <w:color w:val="000000" w:themeColor="text1"/>
          <w:sz w:val="16"/>
          <w:szCs w:val="16"/>
        </w:rPr>
        <w:softHyphen/>
        <w:t>хней поверхности стабилизатора.</w:t>
      </w:r>
    </w:p>
    <w:p w14:paraId="6B00FBB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Стабилизатор 2-х лонжеронный, с жесткими нервюрами и передним обтекателем. Рули высоты насаживаются на один обший, склепаный лонжерон, к которому крепится 11 нервюр. По своей конструкция и связи нервюр с обшивкой таковые имеют полную аналогию со стабилизатором. Руль направления состоит из основного лонжерона, 11 нервюр, ободка и стрингера; соединения их схоже с та</w:t>
      </w:r>
      <w:r w:rsidRPr="0044524F">
        <w:rPr>
          <w:rFonts w:ascii="Times New Roman" w:hAnsi="Times New Roman"/>
          <w:color w:val="000000" w:themeColor="text1"/>
          <w:sz w:val="16"/>
          <w:szCs w:val="16"/>
        </w:rPr>
        <w:softHyphen/>
        <w:t>ковыми для руля высоты. Обшивка - листовая, дюралевая с продольными ребрами жесткости, разбита на ряд секции, которые отгибаются в местах присоединения к соответствующим ребрам нервюи под прямым углом, охватывля эти ребра и приклепываются к ним. Подобное соединение обшивки с нервюрами увеличивают жесткость всей конструкции хаостового оперения.</w:t>
      </w:r>
    </w:p>
    <w:p w14:paraId="1FC65C5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 представляют собою стальную конструкцию состоящую ия 2-х передних амортизационных ног, 2-х пар задних ног и 2-х пар крыльевых подкосов. Аммортизационные ноги укрепляются к пе</w:t>
      </w:r>
      <w:r w:rsidRPr="0044524F">
        <w:rPr>
          <w:rFonts w:ascii="Times New Roman" w:hAnsi="Times New Roman"/>
          <w:color w:val="000000" w:themeColor="text1"/>
          <w:sz w:val="16"/>
          <w:szCs w:val="16"/>
        </w:rPr>
        <w:softHyphen/>
        <w:t>редним нижним узлам сварной частя фюзеляжа и связываются между собою /снизу/ осью шасси. Задние ноги и крыльевые подкоса сое</w:t>
      </w:r>
      <w:r w:rsidRPr="0044524F">
        <w:rPr>
          <w:rFonts w:ascii="Times New Roman" w:hAnsi="Times New Roman"/>
          <w:color w:val="000000" w:themeColor="text1"/>
          <w:sz w:val="16"/>
          <w:szCs w:val="16"/>
        </w:rPr>
        <w:softHyphen/>
        <w:t>диняются в 2 узла /кабана/ между которыми проходит дополнитель</w:t>
      </w:r>
      <w:r w:rsidRPr="0044524F">
        <w:rPr>
          <w:rFonts w:ascii="Times New Roman" w:hAnsi="Times New Roman"/>
          <w:color w:val="000000" w:themeColor="text1"/>
          <w:sz w:val="16"/>
          <w:szCs w:val="16"/>
        </w:rPr>
        <w:softHyphen/>
        <w:t>ная ось. Дополнительная ось в свою очередь связана 2-мя горизон</w:t>
      </w:r>
      <w:r w:rsidRPr="0044524F">
        <w:rPr>
          <w:rFonts w:ascii="Times New Roman" w:hAnsi="Times New Roman"/>
          <w:color w:val="000000" w:themeColor="text1"/>
          <w:sz w:val="16"/>
          <w:szCs w:val="16"/>
        </w:rPr>
        <w:softHyphen/>
        <w:t>тальными распорными трубами с основной осью. Верхние концы ног укрепляются к переднему и заднему узлу сварной частя фюзеляжа. Верхние концы подкосов приходятся в-местах подхода переднего и заднего лонжеронов крыла..</w:t>
      </w:r>
    </w:p>
    <w:p w14:paraId="17D0ADE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Колеса - стандартного типа; размер 750 х 125 м/м.</w:t>
      </w:r>
    </w:p>
    <w:p w14:paraId="3BAC30E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 с т ы л ь- ориентирующийся.</w:t>
      </w:r>
    </w:p>
    <w:p w14:paraId="57DD4B1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 о р у ж е н и е- Самолет имеет следующие об"екты вооружения:</w:t>
      </w:r>
    </w:p>
    <w:p w14:paraId="5F9763A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 пушки АПК-4 бис- 76,2 м/м. с автоматическим механизмом перезаряжания и 14 снарядов к ним.</w:t>
      </w:r>
    </w:p>
    <w:p w14:paraId="4DD7393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Одинпулемет ПВ-1 стреляющий через винт мотора посредст</w:t>
      </w:r>
      <w:r w:rsidRPr="0044524F">
        <w:rPr>
          <w:rFonts w:ascii="Times New Roman" w:hAnsi="Times New Roman"/>
          <w:color w:val="000000" w:themeColor="text1"/>
          <w:sz w:val="16"/>
          <w:szCs w:val="16"/>
        </w:rPr>
        <w:softHyphen/>
        <w:t>вом пулеметной установки ПУЛ-9 с 750 патронами.</w:t>
      </w:r>
    </w:p>
    <w:p w14:paraId="54BABF4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Оптический прицел Альдис.</w:t>
      </w:r>
    </w:p>
    <w:p w14:paraId="1B481D5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б о р у д о в а н и е - является нормальным для истребителя.</w:t>
      </w:r>
    </w:p>
    <w:p w14:paraId="389B898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Бензиновые баки состоят из главного на 87 кг. грозненского бензина марки Г2 я добавочного на 48 кг. В случае применения бензол-бензина обычне количество горючего составляет 145 кг.</w:t>
      </w:r>
    </w:p>
    <w:p w14:paraId="41F8970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МасляныК бак расчитан на 18 кг.</w:t>
      </w:r>
    </w:p>
    <w:p w14:paraId="78C5BE5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Ц Е Н Т Р О В К А И Е Е В А Р И А Н Т 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8"/>
        <w:gridCol w:w="2398"/>
        <w:gridCol w:w="965"/>
        <w:gridCol w:w="799"/>
        <w:gridCol w:w="922"/>
        <w:gridCol w:w="929"/>
        <w:gridCol w:w="1267"/>
      </w:tblGrid>
      <w:tr w:rsidR="004E10C1" w:rsidRPr="0044524F" w14:paraId="2F2CF866" w14:textId="77777777">
        <w:trPr>
          <w:trHeight w:val="432"/>
        </w:trPr>
        <w:tc>
          <w:tcPr>
            <w:tcW w:w="288" w:type="dxa"/>
            <w:tcBorders>
              <w:top w:val="single" w:sz="12" w:space="0" w:color="auto"/>
            </w:tcBorders>
          </w:tcPr>
          <w:p w14:paraId="55247D5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№№п/п</w:t>
            </w:r>
          </w:p>
        </w:tc>
        <w:tc>
          <w:tcPr>
            <w:tcW w:w="2398" w:type="dxa"/>
            <w:tcBorders>
              <w:top w:val="single" w:sz="12" w:space="0" w:color="auto"/>
            </w:tcBorders>
          </w:tcPr>
          <w:p w14:paraId="73E9CCD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965" w:type="dxa"/>
            <w:tcBorders>
              <w:top w:val="single" w:sz="12" w:space="0" w:color="auto"/>
            </w:tcBorders>
          </w:tcPr>
          <w:p w14:paraId="6B65656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нагрузки в кг.</w:t>
            </w:r>
          </w:p>
        </w:tc>
        <w:tc>
          <w:tcPr>
            <w:tcW w:w="799" w:type="dxa"/>
            <w:tcBorders>
              <w:top w:val="single" w:sz="12" w:space="0" w:color="auto"/>
            </w:tcBorders>
          </w:tcPr>
          <w:p w14:paraId="2BF0B4F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Обшй вес в кг.</w:t>
            </w:r>
          </w:p>
        </w:tc>
        <w:tc>
          <w:tcPr>
            <w:tcW w:w="922" w:type="dxa"/>
            <w:tcBorders>
              <w:top w:val="single" w:sz="12" w:space="0" w:color="auto"/>
            </w:tcBorders>
          </w:tcPr>
          <w:p w14:paraId="4C5BC57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Координаты ЦТ к передней точки хорды крыла у фюзеляжа</w:t>
            </w:r>
          </w:p>
        </w:tc>
        <w:tc>
          <w:tcPr>
            <w:tcW w:w="929" w:type="dxa"/>
            <w:tcBorders>
              <w:top w:val="single" w:sz="12" w:space="0" w:color="auto"/>
            </w:tcBorders>
          </w:tcPr>
          <w:p w14:paraId="77B26C1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267" w:type="dxa"/>
            <w:tcBorders>
              <w:top w:val="single" w:sz="12" w:space="0" w:color="auto"/>
            </w:tcBorders>
          </w:tcPr>
          <w:p w14:paraId="12E9D21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 к САХ крыла</w:t>
            </w:r>
          </w:p>
        </w:tc>
      </w:tr>
      <w:tr w:rsidR="004E10C1" w:rsidRPr="0044524F" w14:paraId="36429113" w14:textId="77777777">
        <w:trPr>
          <w:trHeight w:val="432"/>
        </w:trPr>
        <w:tc>
          <w:tcPr>
            <w:tcW w:w="288" w:type="dxa"/>
          </w:tcPr>
          <w:p w14:paraId="6B421E3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2398" w:type="dxa"/>
          </w:tcPr>
          <w:p w14:paraId="628D466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65" w:type="dxa"/>
          </w:tcPr>
          <w:p w14:paraId="60D26FA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799" w:type="dxa"/>
          </w:tcPr>
          <w:p w14:paraId="04112C4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22" w:type="dxa"/>
          </w:tcPr>
          <w:p w14:paraId="21DCBA3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м/м.</w:t>
            </w:r>
          </w:p>
          <w:p w14:paraId="2BE0DE0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29" w:type="dxa"/>
          </w:tcPr>
          <w:p w14:paraId="6CB334D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Ук/м.</w:t>
            </w:r>
          </w:p>
          <w:p w14:paraId="31FE3A8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267" w:type="dxa"/>
          </w:tcPr>
          <w:p w14:paraId="0118FA2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7E933B83" w14:textId="77777777">
        <w:trPr>
          <w:trHeight w:val="432"/>
        </w:trPr>
        <w:tc>
          <w:tcPr>
            <w:tcW w:w="288" w:type="dxa"/>
          </w:tcPr>
          <w:p w14:paraId="32C461F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398" w:type="dxa"/>
          </w:tcPr>
          <w:p w14:paraId="32F0154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пустой с несъемным оборудованием</w:t>
            </w:r>
          </w:p>
          <w:p w14:paraId="3F6D33F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65" w:type="dxa"/>
          </w:tcPr>
          <w:p w14:paraId="5B7039A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328</w:t>
            </w:r>
          </w:p>
          <w:p w14:paraId="7B6116E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799" w:type="dxa"/>
          </w:tcPr>
          <w:p w14:paraId="56B8AE8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1320</w:t>
            </w:r>
          </w:p>
          <w:p w14:paraId="060D433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22" w:type="dxa"/>
          </w:tcPr>
          <w:p w14:paraId="45D7A53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p w14:paraId="7CE8FBF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29" w:type="dxa"/>
          </w:tcPr>
          <w:p w14:paraId="111781F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318</w:t>
            </w:r>
          </w:p>
          <w:p w14:paraId="4DE2643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267" w:type="dxa"/>
          </w:tcPr>
          <w:p w14:paraId="012B1FE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34,1</w:t>
            </w:r>
          </w:p>
          <w:p w14:paraId="6E744BF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7E34AFF7" w14:textId="77777777">
        <w:trPr>
          <w:trHeight w:val="432"/>
        </w:trPr>
        <w:tc>
          <w:tcPr>
            <w:tcW w:w="288" w:type="dxa"/>
            <w:tcBorders>
              <w:bottom w:val="single" w:sz="12" w:space="0" w:color="auto"/>
            </w:tcBorders>
          </w:tcPr>
          <w:p w14:paraId="715F14D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2398" w:type="dxa"/>
            <w:tcBorders>
              <w:bottom w:val="single" w:sz="12" w:space="0" w:color="auto"/>
            </w:tcBorders>
          </w:tcPr>
          <w:p w14:paraId="67AF468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полной боевой нагрузкой</w:t>
            </w:r>
          </w:p>
        </w:tc>
        <w:tc>
          <w:tcPr>
            <w:tcW w:w="965" w:type="dxa"/>
            <w:tcBorders>
              <w:bottom w:val="single" w:sz="12" w:space="0" w:color="auto"/>
            </w:tcBorders>
          </w:tcPr>
          <w:p w14:paraId="4A30D14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556</w:t>
            </w:r>
          </w:p>
        </w:tc>
        <w:tc>
          <w:tcPr>
            <w:tcW w:w="799" w:type="dxa"/>
            <w:tcBorders>
              <w:bottom w:val="single" w:sz="12" w:space="0" w:color="auto"/>
            </w:tcBorders>
          </w:tcPr>
          <w:p w14:paraId="4DDA5C4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1648</w:t>
            </w:r>
          </w:p>
        </w:tc>
        <w:tc>
          <w:tcPr>
            <w:tcW w:w="922" w:type="dxa"/>
            <w:tcBorders>
              <w:bottom w:val="single" w:sz="12" w:space="0" w:color="auto"/>
            </w:tcBorders>
          </w:tcPr>
          <w:p w14:paraId="4D12D97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844</w:t>
            </w:r>
          </w:p>
        </w:tc>
        <w:tc>
          <w:tcPr>
            <w:tcW w:w="929" w:type="dxa"/>
            <w:tcBorders>
              <w:bottom w:val="single" w:sz="12" w:space="0" w:color="auto"/>
            </w:tcBorders>
          </w:tcPr>
          <w:p w14:paraId="672CD97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267" w:type="dxa"/>
            <w:tcBorders>
              <w:bottom w:val="single" w:sz="12" w:space="0" w:color="auto"/>
            </w:tcBorders>
          </w:tcPr>
          <w:p w14:paraId="3E9F3EB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36,3</w:t>
            </w:r>
          </w:p>
        </w:tc>
      </w:tr>
    </w:tbl>
    <w:p w14:paraId="464F824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Положение средней аэродинамической хорды по отношению к передней точке крыла у фюзеляжа - 119 м/и.</w:t>
      </w:r>
    </w:p>
    <w:p w14:paraId="7344C44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средней аэродинамической хорды крыла.... 1978 м/м.</w:t>
      </w:r>
    </w:p>
    <w:p w14:paraId="302A379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ГОРИЗОНТАЛЬНЫЕ СКОРОСТИ НА РАЗНЫХ ВЫСОТАХ</w:t>
      </w:r>
    </w:p>
    <w:p w14:paraId="5EA2D85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сведений: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2"/>
        <w:gridCol w:w="1152"/>
        <w:gridCol w:w="1022"/>
        <w:gridCol w:w="1044"/>
        <w:gridCol w:w="972"/>
        <w:gridCol w:w="1011"/>
        <w:gridCol w:w="992"/>
      </w:tblGrid>
      <w:tr w:rsidR="004E10C1" w:rsidRPr="0044524F" w14:paraId="4DE4164E" w14:textId="77777777">
        <w:trPr>
          <w:trHeight w:val="367"/>
        </w:trPr>
        <w:tc>
          <w:tcPr>
            <w:tcW w:w="1462" w:type="dxa"/>
            <w:tcBorders>
              <w:top w:val="single" w:sz="12" w:space="0" w:color="auto"/>
            </w:tcBorders>
          </w:tcPr>
          <w:p w14:paraId="28528EE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p w14:paraId="0241BD3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52" w:type="dxa"/>
            <w:tcBorders>
              <w:top w:val="single" w:sz="12" w:space="0" w:color="auto"/>
            </w:tcBorders>
          </w:tcPr>
          <w:p w14:paraId="2F05AE4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МАКСИМАЛЬНЫЕ</w:t>
            </w:r>
          </w:p>
          <w:p w14:paraId="07FB502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22" w:type="dxa"/>
            <w:tcBorders>
              <w:top w:val="single" w:sz="12" w:space="0" w:color="auto"/>
            </w:tcBorders>
          </w:tcPr>
          <w:p w14:paraId="4F3DE24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p w14:paraId="141E5A9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44" w:type="dxa"/>
            <w:tcBorders>
              <w:top w:val="single" w:sz="12" w:space="0" w:color="auto"/>
            </w:tcBorders>
          </w:tcPr>
          <w:p w14:paraId="6B853CE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СРЕДНИЕ</w:t>
            </w:r>
          </w:p>
          <w:p w14:paraId="717F182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72" w:type="dxa"/>
            <w:tcBorders>
              <w:top w:val="single" w:sz="12" w:space="0" w:color="auto"/>
            </w:tcBorders>
          </w:tcPr>
          <w:p w14:paraId="33CF6CA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11" w:type="dxa"/>
            <w:tcBorders>
              <w:top w:val="single" w:sz="12" w:space="0" w:color="auto"/>
            </w:tcBorders>
          </w:tcPr>
          <w:p w14:paraId="3788620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МИНИМАЛЬНЫЕ</w:t>
            </w:r>
          </w:p>
          <w:p w14:paraId="062600E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7AFCC37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600F3E90" w14:textId="77777777">
        <w:trPr>
          <w:trHeight w:val="763"/>
        </w:trPr>
        <w:tc>
          <w:tcPr>
            <w:tcW w:w="1462" w:type="dxa"/>
          </w:tcPr>
          <w:p w14:paraId="4238994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Высота в метрах. </w:t>
            </w:r>
          </w:p>
        </w:tc>
        <w:tc>
          <w:tcPr>
            <w:tcW w:w="1152" w:type="dxa"/>
          </w:tcPr>
          <w:p w14:paraId="105C5A8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в км/час</w:t>
            </w:r>
          </w:p>
        </w:tc>
        <w:tc>
          <w:tcPr>
            <w:tcW w:w="1022" w:type="dxa"/>
          </w:tcPr>
          <w:p w14:paraId="420A004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Оборотов мотора в мин.</w:t>
            </w:r>
          </w:p>
        </w:tc>
        <w:tc>
          <w:tcPr>
            <w:tcW w:w="1044" w:type="dxa"/>
          </w:tcPr>
          <w:p w14:paraId="14B97AB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в км/час</w:t>
            </w:r>
          </w:p>
        </w:tc>
        <w:tc>
          <w:tcPr>
            <w:tcW w:w="972" w:type="dxa"/>
          </w:tcPr>
          <w:p w14:paraId="2AA5669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Оборотов мотора в мин.</w:t>
            </w:r>
          </w:p>
        </w:tc>
        <w:tc>
          <w:tcPr>
            <w:tcW w:w="1011" w:type="dxa"/>
          </w:tcPr>
          <w:p w14:paraId="265CA95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в км/час</w:t>
            </w:r>
          </w:p>
        </w:tc>
        <w:tc>
          <w:tcPr>
            <w:tcW w:w="992" w:type="dxa"/>
          </w:tcPr>
          <w:p w14:paraId="4BD907D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Оборотов мотора в мин.</w:t>
            </w:r>
          </w:p>
        </w:tc>
      </w:tr>
      <w:tr w:rsidR="004E10C1" w:rsidRPr="0044524F" w14:paraId="2890EC66" w14:textId="77777777">
        <w:trPr>
          <w:trHeight w:val="526"/>
        </w:trPr>
        <w:tc>
          <w:tcPr>
            <w:tcW w:w="1462" w:type="dxa"/>
          </w:tcPr>
          <w:p w14:paraId="43E00AA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p w14:paraId="0504A70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52" w:type="dxa"/>
          </w:tcPr>
          <w:p w14:paraId="1E8921B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259.0</w:t>
            </w:r>
          </w:p>
          <w:p w14:paraId="0DDE753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22" w:type="dxa"/>
          </w:tcPr>
          <w:p w14:paraId="2A42B63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2100</w:t>
            </w:r>
          </w:p>
          <w:p w14:paraId="5C56090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44" w:type="dxa"/>
          </w:tcPr>
          <w:p w14:paraId="6BA5BE6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204,5</w:t>
            </w:r>
          </w:p>
          <w:p w14:paraId="5085E28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72" w:type="dxa"/>
          </w:tcPr>
          <w:p w14:paraId="3B50844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1AF0525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11" w:type="dxa"/>
          </w:tcPr>
          <w:p w14:paraId="1093C1A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w:t>
            </w:r>
          </w:p>
          <w:p w14:paraId="0F79DD2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92" w:type="dxa"/>
          </w:tcPr>
          <w:p w14:paraId="512693D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1260</w:t>
            </w:r>
          </w:p>
          <w:p w14:paraId="5003459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435A665C" w14:textId="77777777">
        <w:trPr>
          <w:trHeight w:val="504"/>
        </w:trPr>
        <w:tc>
          <w:tcPr>
            <w:tcW w:w="1462" w:type="dxa"/>
          </w:tcPr>
          <w:p w14:paraId="5AC9D04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p w14:paraId="0B48421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52" w:type="dxa"/>
          </w:tcPr>
          <w:p w14:paraId="6E1BF6F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255,8</w:t>
            </w:r>
          </w:p>
          <w:p w14:paraId="41DF668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22" w:type="dxa"/>
          </w:tcPr>
          <w:p w14:paraId="326D5DC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2095</w:t>
            </w:r>
          </w:p>
          <w:p w14:paraId="28B3642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44" w:type="dxa"/>
          </w:tcPr>
          <w:p w14:paraId="0514E86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202.2</w:t>
            </w:r>
          </w:p>
          <w:p w14:paraId="0E23B96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72" w:type="dxa"/>
          </w:tcPr>
          <w:p w14:paraId="0B8BF73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1398A4B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11" w:type="dxa"/>
          </w:tcPr>
          <w:p w14:paraId="61F309B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133,4</w:t>
            </w:r>
          </w:p>
          <w:p w14:paraId="43C8B58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92" w:type="dxa"/>
          </w:tcPr>
          <w:p w14:paraId="05E7F1A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p w14:paraId="2E2E5AB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1BD689AF" w14:textId="77777777">
        <w:trPr>
          <w:trHeight w:val="518"/>
        </w:trPr>
        <w:tc>
          <w:tcPr>
            <w:tcW w:w="1462" w:type="dxa"/>
          </w:tcPr>
          <w:p w14:paraId="7E15AF6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p w14:paraId="20F64C3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52" w:type="dxa"/>
          </w:tcPr>
          <w:p w14:paraId="23D7DA4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252.0</w:t>
            </w:r>
          </w:p>
          <w:p w14:paraId="2ADE14B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22" w:type="dxa"/>
          </w:tcPr>
          <w:p w14:paraId="24CD5D1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2080</w:t>
            </w:r>
          </w:p>
          <w:p w14:paraId="75780B9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44" w:type="dxa"/>
          </w:tcPr>
          <w:p w14:paraId="1960DB4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p w14:paraId="33C9C4C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72" w:type="dxa"/>
          </w:tcPr>
          <w:p w14:paraId="5E8FF6A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53F5C95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11" w:type="dxa"/>
          </w:tcPr>
          <w:p w14:paraId="17391D2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138,7</w:t>
            </w:r>
          </w:p>
          <w:p w14:paraId="0520ADF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92" w:type="dxa"/>
          </w:tcPr>
          <w:p w14:paraId="51BE070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1340</w:t>
            </w:r>
          </w:p>
          <w:p w14:paraId="021FDFB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51054AB5" w14:textId="77777777">
        <w:trPr>
          <w:trHeight w:val="511"/>
        </w:trPr>
        <w:tc>
          <w:tcPr>
            <w:tcW w:w="1462" w:type="dxa"/>
          </w:tcPr>
          <w:p w14:paraId="106CD16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p w14:paraId="39A90F5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52" w:type="dxa"/>
          </w:tcPr>
          <w:p w14:paraId="25BE50A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248,4</w:t>
            </w:r>
          </w:p>
          <w:p w14:paraId="1129CF0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22" w:type="dxa"/>
          </w:tcPr>
          <w:p w14:paraId="0BF8BCC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2055</w:t>
            </w:r>
          </w:p>
          <w:p w14:paraId="606FDC3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44" w:type="dxa"/>
          </w:tcPr>
          <w:p w14:paraId="3E5FF85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198,3</w:t>
            </w:r>
          </w:p>
          <w:p w14:paraId="02C794C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72" w:type="dxa"/>
          </w:tcPr>
          <w:p w14:paraId="3DA24D7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16836FA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11" w:type="dxa"/>
          </w:tcPr>
          <w:p w14:paraId="4B604AB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144</w:t>
            </w:r>
          </w:p>
          <w:p w14:paraId="481E320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92" w:type="dxa"/>
          </w:tcPr>
          <w:p w14:paraId="49722C8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1390</w:t>
            </w:r>
          </w:p>
          <w:p w14:paraId="3C2420A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0F7FF454" w14:textId="77777777">
        <w:trPr>
          <w:trHeight w:val="511"/>
        </w:trPr>
        <w:tc>
          <w:tcPr>
            <w:tcW w:w="1462" w:type="dxa"/>
          </w:tcPr>
          <w:p w14:paraId="530FE9C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152" w:type="dxa"/>
          </w:tcPr>
          <w:p w14:paraId="24876F7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244,2</w:t>
            </w:r>
          </w:p>
          <w:p w14:paraId="7ACB5C8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22" w:type="dxa"/>
          </w:tcPr>
          <w:p w14:paraId="66AA7BE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2020</w:t>
            </w:r>
          </w:p>
          <w:p w14:paraId="355FBE9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44" w:type="dxa"/>
          </w:tcPr>
          <w:p w14:paraId="352025E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195,5</w:t>
            </w:r>
          </w:p>
          <w:p w14:paraId="2D5B412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72" w:type="dxa"/>
          </w:tcPr>
          <w:p w14:paraId="20E0138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4F5A9E2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11" w:type="dxa"/>
          </w:tcPr>
          <w:p w14:paraId="627306A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149,4</w:t>
            </w:r>
          </w:p>
          <w:p w14:paraId="71D31A7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92" w:type="dxa"/>
          </w:tcPr>
          <w:p w14:paraId="4AAC4E3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1455</w:t>
            </w:r>
          </w:p>
          <w:p w14:paraId="4F41199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7E661E5A" w14:textId="77777777">
        <w:trPr>
          <w:trHeight w:val="518"/>
        </w:trPr>
        <w:tc>
          <w:tcPr>
            <w:tcW w:w="1462" w:type="dxa"/>
            <w:tcBorders>
              <w:bottom w:val="single" w:sz="12" w:space="0" w:color="auto"/>
            </w:tcBorders>
          </w:tcPr>
          <w:p w14:paraId="3ACCE3A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p w14:paraId="61464CC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52" w:type="dxa"/>
            <w:tcBorders>
              <w:bottom w:val="single" w:sz="12" w:space="0" w:color="auto"/>
            </w:tcBorders>
          </w:tcPr>
          <w:p w14:paraId="60FCDA6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239.2</w:t>
            </w:r>
          </w:p>
          <w:p w14:paraId="5F53159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22" w:type="dxa"/>
            <w:tcBorders>
              <w:bottom w:val="single" w:sz="12" w:space="0" w:color="auto"/>
            </w:tcBorders>
          </w:tcPr>
          <w:p w14:paraId="116FB42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2005</w:t>
            </w:r>
          </w:p>
          <w:p w14:paraId="055EC01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44" w:type="dxa"/>
            <w:tcBorders>
              <w:bottom w:val="single" w:sz="12" w:space="0" w:color="auto"/>
            </w:tcBorders>
          </w:tcPr>
          <w:p w14:paraId="1EFB10B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w:t>
            </w:r>
          </w:p>
          <w:p w14:paraId="20BDDDD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72" w:type="dxa"/>
            <w:tcBorders>
              <w:bottom w:val="single" w:sz="12" w:space="0" w:color="auto"/>
            </w:tcBorders>
          </w:tcPr>
          <w:p w14:paraId="2EF4E11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036B201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11" w:type="dxa"/>
            <w:tcBorders>
              <w:bottom w:val="single" w:sz="12" w:space="0" w:color="auto"/>
            </w:tcBorders>
          </w:tcPr>
          <w:p w14:paraId="3FBB072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156,4</w:t>
            </w:r>
          </w:p>
          <w:p w14:paraId="050EDD4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264BD2C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1550</w:t>
            </w:r>
          </w:p>
          <w:p w14:paraId="45E1B19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bl>
    <w:p w14:paraId="2EA76D9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СКОРОПОД'ЕМНОСТЬ И ПОТОЛОК.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78"/>
        <w:gridCol w:w="1541"/>
        <w:gridCol w:w="1714"/>
        <w:gridCol w:w="1541"/>
        <w:gridCol w:w="1634"/>
      </w:tblGrid>
      <w:tr w:rsidR="004E10C1" w:rsidRPr="0044524F" w14:paraId="14FB5BFA" w14:textId="77777777">
        <w:trPr>
          <w:trHeight w:val="1080"/>
        </w:trPr>
        <w:tc>
          <w:tcPr>
            <w:tcW w:w="878" w:type="dxa"/>
            <w:tcBorders>
              <w:top w:val="single" w:sz="12" w:space="0" w:color="auto"/>
            </w:tcBorders>
          </w:tcPr>
          <w:p w14:paraId="6824F0E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 мтр.</w:t>
            </w:r>
          </w:p>
          <w:p w14:paraId="6C39E79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04757AE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под"ема в мин.</w:t>
            </w:r>
          </w:p>
          <w:p w14:paraId="29F784B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714" w:type="dxa"/>
            <w:tcBorders>
              <w:top w:val="single" w:sz="12" w:space="0" w:color="auto"/>
            </w:tcBorders>
          </w:tcPr>
          <w:p w14:paraId="17AB5A2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Вертикаль</w:t>
            </w:r>
            <w:r w:rsidRPr="0044524F">
              <w:rPr>
                <w:rFonts w:ascii="Times New Roman" w:hAnsi="Times New Roman"/>
                <w:color w:val="000000" w:themeColor="text1"/>
                <w:sz w:val="16"/>
                <w:szCs w:val="16"/>
              </w:rPr>
              <w:softHyphen/>
              <w:t>ная скорость в мтр/сек.</w:t>
            </w:r>
          </w:p>
          <w:p w14:paraId="23AED68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0567ACC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по приборам в км/час.</w:t>
            </w:r>
          </w:p>
          <w:p w14:paraId="755C956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634" w:type="dxa"/>
            <w:tcBorders>
              <w:top w:val="single" w:sz="12" w:space="0" w:color="auto"/>
            </w:tcBorders>
          </w:tcPr>
          <w:p w14:paraId="7BDB757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Обороты мотора в мин.</w:t>
            </w:r>
          </w:p>
          <w:p w14:paraId="2D363E2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19C16CFE" w14:textId="77777777">
        <w:trPr>
          <w:trHeight w:val="511"/>
        </w:trPr>
        <w:tc>
          <w:tcPr>
            <w:tcW w:w="878" w:type="dxa"/>
          </w:tcPr>
          <w:p w14:paraId="0A04385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p w14:paraId="5EF18BF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739344F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p w14:paraId="73C9A77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714" w:type="dxa"/>
          </w:tcPr>
          <w:p w14:paraId="1A29BA0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w:t>
            </w:r>
          </w:p>
          <w:p w14:paraId="4DD24A8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1781E86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142</w:t>
            </w:r>
          </w:p>
          <w:p w14:paraId="6DBE46B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634" w:type="dxa"/>
          </w:tcPr>
          <w:p w14:paraId="37AC696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1865</w:t>
            </w:r>
          </w:p>
          <w:p w14:paraId="6C5526E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34095C49" w14:textId="77777777">
        <w:trPr>
          <w:trHeight w:val="338"/>
        </w:trPr>
        <w:tc>
          <w:tcPr>
            <w:tcW w:w="878" w:type="dxa"/>
          </w:tcPr>
          <w:p w14:paraId="2C7F0B7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p w14:paraId="20E6A64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4B84A19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p w14:paraId="3A3719F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714" w:type="dxa"/>
          </w:tcPr>
          <w:p w14:paraId="6EEC980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w:t>
            </w:r>
          </w:p>
          <w:p w14:paraId="05907F2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136B1A3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w:t>
            </w:r>
          </w:p>
          <w:p w14:paraId="0EDA87E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634" w:type="dxa"/>
          </w:tcPr>
          <w:p w14:paraId="709C786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1860</w:t>
            </w:r>
          </w:p>
          <w:p w14:paraId="3DC46FF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07A069D0" w14:textId="77777777">
        <w:trPr>
          <w:trHeight w:val="346"/>
        </w:trPr>
        <w:tc>
          <w:tcPr>
            <w:tcW w:w="878" w:type="dxa"/>
          </w:tcPr>
          <w:p w14:paraId="66261D6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p w14:paraId="5F43042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2903698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p w14:paraId="02F3D7E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714" w:type="dxa"/>
          </w:tcPr>
          <w:p w14:paraId="5FAD8DE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7,45</w:t>
            </w:r>
          </w:p>
          <w:p w14:paraId="202AD05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25873AC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w:t>
            </w:r>
          </w:p>
          <w:p w14:paraId="4FE78FD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634" w:type="dxa"/>
          </w:tcPr>
          <w:p w14:paraId="0186A60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1850</w:t>
            </w:r>
          </w:p>
          <w:p w14:paraId="259CB38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4AB01F1A" w14:textId="77777777">
        <w:trPr>
          <w:trHeight w:val="346"/>
        </w:trPr>
        <w:tc>
          <w:tcPr>
            <w:tcW w:w="878" w:type="dxa"/>
          </w:tcPr>
          <w:p w14:paraId="300803C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p w14:paraId="3E85B5C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2A9AA81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p w14:paraId="0A30070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714" w:type="dxa"/>
          </w:tcPr>
          <w:p w14:paraId="6F8B3F2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6Л</w:t>
            </w:r>
          </w:p>
          <w:p w14:paraId="4C01EB2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00A6C49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18D04F5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634" w:type="dxa"/>
          </w:tcPr>
          <w:p w14:paraId="0A7F78F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1840</w:t>
            </w:r>
          </w:p>
          <w:p w14:paraId="57509D5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6CD4F90F" w14:textId="77777777">
        <w:trPr>
          <w:trHeight w:val="346"/>
        </w:trPr>
        <w:tc>
          <w:tcPr>
            <w:tcW w:w="878" w:type="dxa"/>
          </w:tcPr>
          <w:p w14:paraId="61A6158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p w14:paraId="3B953AF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67038B1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w:t>
            </w:r>
          </w:p>
          <w:p w14:paraId="0DFBD32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714" w:type="dxa"/>
          </w:tcPr>
          <w:p w14:paraId="10DFC12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4,75</w:t>
            </w:r>
          </w:p>
          <w:p w14:paraId="7300D98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02A6791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p w14:paraId="477F7DC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634" w:type="dxa"/>
          </w:tcPr>
          <w:p w14:paraId="01093E2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1830,</w:t>
            </w:r>
          </w:p>
          <w:p w14:paraId="5AA0FB4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613CAACB" w14:textId="77777777">
        <w:trPr>
          <w:trHeight w:val="346"/>
        </w:trPr>
        <w:tc>
          <w:tcPr>
            <w:tcW w:w="878" w:type="dxa"/>
          </w:tcPr>
          <w:p w14:paraId="41639C1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p w14:paraId="256766D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0AE0E2B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7066E23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714" w:type="dxa"/>
          </w:tcPr>
          <w:p w14:paraId="36025B3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p w14:paraId="1371F5A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Pr>
          <w:p w14:paraId="15EA6CC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w:t>
            </w:r>
          </w:p>
          <w:p w14:paraId="5D5CB97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634" w:type="dxa"/>
          </w:tcPr>
          <w:p w14:paraId="494488B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1820</w:t>
            </w:r>
          </w:p>
          <w:p w14:paraId="653C9C1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7F116825" w14:textId="77777777">
        <w:trPr>
          <w:trHeight w:val="396"/>
        </w:trPr>
        <w:tc>
          <w:tcPr>
            <w:tcW w:w="878" w:type="dxa"/>
            <w:tcBorders>
              <w:bottom w:val="single" w:sz="12" w:space="0" w:color="auto"/>
            </w:tcBorders>
          </w:tcPr>
          <w:p w14:paraId="6F710D6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p w14:paraId="5F1D0D1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788B831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20,6</w:t>
            </w:r>
          </w:p>
          <w:p w14:paraId="1B32015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714" w:type="dxa"/>
            <w:tcBorders>
              <w:bottom w:val="single" w:sz="12" w:space="0" w:color="auto"/>
            </w:tcBorders>
          </w:tcPr>
          <w:p w14:paraId="686A791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57B4455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39D405B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118</w:t>
            </w:r>
          </w:p>
          <w:p w14:paraId="15EC671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634" w:type="dxa"/>
            <w:tcBorders>
              <w:bottom w:val="single" w:sz="12" w:space="0" w:color="auto"/>
            </w:tcBorders>
          </w:tcPr>
          <w:p w14:paraId="293CCCB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1810</w:t>
            </w:r>
          </w:p>
          <w:p w14:paraId="1C86EBD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bl>
    <w:p w14:paraId="59D54E9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при Ин=0.05 Ис равен 7000 мтр.за 35,2 м</w:t>
      </w:r>
    </w:p>
    <w:p w14:paraId="67361B4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 А Н Е В Р Е Н Н О С Т Ь.</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69"/>
        <w:gridCol w:w="569"/>
        <w:gridCol w:w="569"/>
        <w:gridCol w:w="576"/>
        <w:gridCol w:w="562"/>
        <w:gridCol w:w="540"/>
        <w:gridCol w:w="583"/>
        <w:gridCol w:w="554"/>
        <w:gridCol w:w="562"/>
        <w:gridCol w:w="569"/>
        <w:gridCol w:w="619"/>
        <w:gridCol w:w="518"/>
        <w:gridCol w:w="1130"/>
      </w:tblGrid>
      <w:tr w:rsidR="004E10C1" w:rsidRPr="0044524F" w14:paraId="59094416" w14:textId="77777777">
        <w:trPr>
          <w:trHeight w:val="252"/>
        </w:trPr>
        <w:tc>
          <w:tcPr>
            <w:tcW w:w="569" w:type="dxa"/>
            <w:tcBorders>
              <w:top w:val="single" w:sz="12" w:space="0" w:color="auto"/>
            </w:tcBorders>
          </w:tcPr>
          <w:p w14:paraId="21C153C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10B6C83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w:t>
            </w:r>
          </w:p>
        </w:tc>
        <w:tc>
          <w:tcPr>
            <w:tcW w:w="569" w:type="dxa"/>
            <w:tcBorders>
              <w:top w:val="single" w:sz="12" w:space="0" w:color="auto"/>
            </w:tcBorders>
          </w:tcPr>
          <w:p w14:paraId="4F2C9DA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76" w:type="dxa"/>
            <w:tcBorders>
              <w:top w:val="single" w:sz="12" w:space="0" w:color="auto"/>
            </w:tcBorders>
          </w:tcPr>
          <w:p w14:paraId="7DAA0E06" w14:textId="77777777" w:rsidR="007F23E2" w:rsidRPr="0044524F" w:rsidRDefault="007F23E2" w:rsidP="009654CF">
            <w:pPr>
              <w:shd w:val="clear" w:color="auto" w:fill="FFFFFF"/>
              <w:spacing w:after="0" w:line="240" w:lineRule="auto"/>
              <w:jc w:val="both"/>
              <w:rPr>
                <w:rFonts w:ascii="Times New Roman" w:hAnsi="Times New Roman"/>
                <w:smallCaps/>
                <w:color w:val="000000" w:themeColor="text1"/>
                <w:sz w:val="16"/>
                <w:szCs w:val="16"/>
              </w:rPr>
            </w:pPr>
          </w:p>
        </w:tc>
        <w:tc>
          <w:tcPr>
            <w:tcW w:w="562" w:type="dxa"/>
            <w:tcBorders>
              <w:top w:val="single" w:sz="12" w:space="0" w:color="auto"/>
            </w:tcBorders>
          </w:tcPr>
          <w:p w14:paraId="7FE8F90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w:t>
            </w:r>
          </w:p>
        </w:tc>
        <w:tc>
          <w:tcPr>
            <w:tcW w:w="540" w:type="dxa"/>
            <w:tcBorders>
              <w:top w:val="single" w:sz="12" w:space="0" w:color="auto"/>
            </w:tcBorders>
          </w:tcPr>
          <w:p w14:paraId="27A5B33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83" w:type="dxa"/>
            <w:tcBorders>
              <w:top w:val="single" w:sz="12" w:space="0" w:color="auto"/>
            </w:tcBorders>
          </w:tcPr>
          <w:p w14:paraId="1ADA328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54" w:type="dxa"/>
            <w:tcBorders>
              <w:top w:val="single" w:sz="12" w:space="0" w:color="auto"/>
            </w:tcBorders>
          </w:tcPr>
          <w:p w14:paraId="3FD2540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Borders>
              <w:top w:val="single" w:sz="12" w:space="0" w:color="auto"/>
            </w:tcBorders>
          </w:tcPr>
          <w:p w14:paraId="02EEF76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2495CFE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619" w:type="dxa"/>
            <w:tcBorders>
              <w:top w:val="single" w:sz="12" w:space="0" w:color="auto"/>
            </w:tcBorders>
          </w:tcPr>
          <w:p w14:paraId="2254E40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Обороты</w:t>
            </w:r>
          </w:p>
        </w:tc>
        <w:tc>
          <w:tcPr>
            <w:tcW w:w="518" w:type="dxa"/>
            <w:tcBorders>
              <w:top w:val="single" w:sz="12" w:space="0" w:color="auto"/>
            </w:tcBorders>
          </w:tcPr>
          <w:p w14:paraId="2DBD942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30" w:type="dxa"/>
            <w:tcBorders>
              <w:top w:val="single" w:sz="12" w:space="0" w:color="auto"/>
            </w:tcBorders>
          </w:tcPr>
          <w:p w14:paraId="5CE85B7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55DBAD5E" w14:textId="77777777">
        <w:trPr>
          <w:trHeight w:val="252"/>
        </w:trPr>
        <w:tc>
          <w:tcPr>
            <w:tcW w:w="569" w:type="dxa"/>
          </w:tcPr>
          <w:p w14:paraId="5385DCC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Pr>
          <w:p w14:paraId="5172AD0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569" w:type="dxa"/>
          </w:tcPr>
          <w:p w14:paraId="3763F7D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576" w:type="dxa"/>
          </w:tcPr>
          <w:p w14:paraId="11281CA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562" w:type="dxa"/>
          </w:tcPr>
          <w:p w14:paraId="4AE0A7F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40" w:type="dxa"/>
          </w:tcPr>
          <w:p w14:paraId="27993C8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83" w:type="dxa"/>
          </w:tcPr>
          <w:p w14:paraId="3CB4A41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54" w:type="dxa"/>
          </w:tcPr>
          <w:p w14:paraId="79071EE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Pr>
          <w:p w14:paraId="21387D8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Pr>
          <w:p w14:paraId="0F33506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619" w:type="dxa"/>
          </w:tcPr>
          <w:p w14:paraId="3E9F212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518" w:type="dxa"/>
          </w:tcPr>
          <w:p w14:paraId="79C8C54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130" w:type="dxa"/>
          </w:tcPr>
          <w:p w14:paraId="2645911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5831B7C3" w14:textId="77777777">
        <w:trPr>
          <w:trHeight w:val="684"/>
        </w:trPr>
        <w:tc>
          <w:tcPr>
            <w:tcW w:w="569" w:type="dxa"/>
          </w:tcPr>
          <w:p w14:paraId="6796C7B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один правый</w:t>
            </w:r>
          </w:p>
        </w:tc>
        <w:tc>
          <w:tcPr>
            <w:tcW w:w="569" w:type="dxa"/>
          </w:tcPr>
          <w:p w14:paraId="1E7885C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16,8</w:t>
            </w:r>
          </w:p>
          <w:p w14:paraId="10B11C6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Pr>
          <w:p w14:paraId="759A7D1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18,8</w:t>
            </w:r>
          </w:p>
          <w:p w14:paraId="42BDE2F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76" w:type="dxa"/>
          </w:tcPr>
          <w:p w14:paraId="09B961F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p w14:paraId="27F0361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Pr>
          <w:p w14:paraId="4557154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w:t>
            </w:r>
          </w:p>
          <w:p w14:paraId="38D7016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40" w:type="dxa"/>
          </w:tcPr>
          <w:p w14:paraId="2B5CCAD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p w14:paraId="21DF7E5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83" w:type="dxa"/>
          </w:tcPr>
          <w:p w14:paraId="15FDB0D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4075B93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54" w:type="dxa"/>
          </w:tcPr>
          <w:p w14:paraId="7F4E502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p w14:paraId="7A661A0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Pr>
          <w:p w14:paraId="3A02209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7EA91FC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Pr>
          <w:p w14:paraId="3935678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50D20D5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619" w:type="dxa"/>
          </w:tcPr>
          <w:p w14:paraId="2556DE9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p w14:paraId="10A6C0E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18" w:type="dxa"/>
          </w:tcPr>
          <w:p w14:paraId="6842C9D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p w14:paraId="6545FCD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30" w:type="dxa"/>
          </w:tcPr>
          <w:p w14:paraId="4902C09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1890</w:t>
            </w:r>
          </w:p>
          <w:p w14:paraId="09A348E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266AD1A1" w14:textId="77777777">
        <w:trPr>
          <w:trHeight w:val="605"/>
        </w:trPr>
        <w:tc>
          <w:tcPr>
            <w:tcW w:w="569" w:type="dxa"/>
          </w:tcPr>
          <w:p w14:paraId="0663A3D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один левый</w:t>
            </w:r>
          </w:p>
        </w:tc>
        <w:tc>
          <w:tcPr>
            <w:tcW w:w="569" w:type="dxa"/>
          </w:tcPr>
          <w:p w14:paraId="3791F79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17,3</w:t>
            </w:r>
          </w:p>
        </w:tc>
        <w:tc>
          <w:tcPr>
            <w:tcW w:w="569" w:type="dxa"/>
          </w:tcPr>
          <w:p w14:paraId="75D4B02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p w14:paraId="7B75AC0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76" w:type="dxa"/>
          </w:tcPr>
          <w:p w14:paraId="6C5500F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p w14:paraId="1413437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Pr>
          <w:p w14:paraId="42104BE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063CB9A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40" w:type="dxa"/>
          </w:tcPr>
          <w:p w14:paraId="62AC1D1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7FE566E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83" w:type="dxa"/>
          </w:tcPr>
          <w:p w14:paraId="1EAA954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p w14:paraId="112E608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54" w:type="dxa"/>
          </w:tcPr>
          <w:p w14:paraId="3B3AAFD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w:t>
            </w:r>
          </w:p>
          <w:p w14:paraId="5578311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Pr>
          <w:p w14:paraId="7F00B18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58A73DE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Pr>
          <w:p w14:paraId="22FF2AE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321E95A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619" w:type="dxa"/>
          </w:tcPr>
          <w:p w14:paraId="5A60BD9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1780</w:t>
            </w:r>
          </w:p>
          <w:p w14:paraId="4C55A54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18" w:type="dxa"/>
          </w:tcPr>
          <w:p w14:paraId="0CB2EF8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p w14:paraId="479B301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30" w:type="dxa"/>
          </w:tcPr>
          <w:p w14:paraId="2790780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1890</w:t>
            </w:r>
          </w:p>
          <w:p w14:paraId="6C58D18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47E74773" w14:textId="77777777">
        <w:trPr>
          <w:trHeight w:val="518"/>
        </w:trPr>
        <w:tc>
          <w:tcPr>
            <w:tcW w:w="569" w:type="dxa"/>
          </w:tcPr>
          <w:p w14:paraId="6AF8E02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серия правых</w:t>
            </w:r>
          </w:p>
        </w:tc>
        <w:tc>
          <w:tcPr>
            <w:tcW w:w="569" w:type="dxa"/>
          </w:tcPr>
          <w:p w14:paraId="68BB5F9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w:t>
            </w:r>
          </w:p>
          <w:p w14:paraId="774F7C7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Pr>
          <w:p w14:paraId="3F670C8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66,5</w:t>
            </w:r>
          </w:p>
          <w:p w14:paraId="6F5806C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76" w:type="dxa"/>
          </w:tcPr>
          <w:p w14:paraId="1F0916E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75,1</w:t>
            </w:r>
          </w:p>
          <w:p w14:paraId="3AC0534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Pr>
          <w:p w14:paraId="7F4820A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p w14:paraId="0D18F67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40" w:type="dxa"/>
          </w:tcPr>
          <w:p w14:paraId="11B4FB3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p w14:paraId="6715623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83" w:type="dxa"/>
          </w:tcPr>
          <w:p w14:paraId="3A65A28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p w14:paraId="6819315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54" w:type="dxa"/>
          </w:tcPr>
          <w:p w14:paraId="2986D31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w:t>
            </w:r>
          </w:p>
          <w:p w14:paraId="345BDB5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Pr>
          <w:p w14:paraId="42FA59D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19567B8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Pr>
          <w:p w14:paraId="25CCE63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40A9C55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619" w:type="dxa"/>
          </w:tcPr>
          <w:p w14:paraId="4C03AAB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1740</w:t>
            </w:r>
          </w:p>
          <w:p w14:paraId="43B9E73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18" w:type="dxa"/>
          </w:tcPr>
          <w:p w14:paraId="4DE8A2B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p w14:paraId="70B72FF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30" w:type="dxa"/>
          </w:tcPr>
          <w:p w14:paraId="3EB8806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1875</w:t>
            </w:r>
          </w:p>
          <w:p w14:paraId="4723EA7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1474A151" w14:textId="77777777">
        <w:trPr>
          <w:trHeight w:val="425"/>
        </w:trPr>
        <w:tc>
          <w:tcPr>
            <w:tcW w:w="569" w:type="dxa"/>
          </w:tcPr>
          <w:p w14:paraId="0EACEDA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серия левых</w:t>
            </w:r>
          </w:p>
        </w:tc>
        <w:tc>
          <w:tcPr>
            <w:tcW w:w="569" w:type="dxa"/>
          </w:tcPr>
          <w:p w14:paraId="1B26089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p w14:paraId="1D2387E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Pr>
          <w:p w14:paraId="772191F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68,0</w:t>
            </w:r>
          </w:p>
          <w:p w14:paraId="5DE9A3E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76" w:type="dxa"/>
          </w:tcPr>
          <w:p w14:paraId="6741691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74.0</w:t>
            </w:r>
          </w:p>
          <w:p w14:paraId="5368D26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Pr>
          <w:p w14:paraId="775D4EE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51A7D8D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40" w:type="dxa"/>
          </w:tcPr>
          <w:p w14:paraId="2F35A41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37E3E75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83" w:type="dxa"/>
          </w:tcPr>
          <w:p w14:paraId="3D2F7D5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w:t>
            </w:r>
          </w:p>
          <w:p w14:paraId="61E7CF3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54" w:type="dxa"/>
          </w:tcPr>
          <w:p w14:paraId="15063B3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p w14:paraId="2B198D1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Pr>
          <w:p w14:paraId="0E46470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391ECC2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Pr>
          <w:p w14:paraId="6D8BB9E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2466DD4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619" w:type="dxa"/>
          </w:tcPr>
          <w:p w14:paraId="1943E66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1740</w:t>
            </w:r>
          </w:p>
          <w:p w14:paraId="5CEACFB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18" w:type="dxa"/>
          </w:tcPr>
          <w:p w14:paraId="372E7DB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1710</w:t>
            </w:r>
          </w:p>
        </w:tc>
        <w:tc>
          <w:tcPr>
            <w:tcW w:w="1130" w:type="dxa"/>
          </w:tcPr>
          <w:p w14:paraId="0D9982B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1860</w:t>
            </w:r>
          </w:p>
          <w:p w14:paraId="55395B6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5E703EA9" w14:textId="77777777">
        <w:trPr>
          <w:trHeight w:val="403"/>
        </w:trPr>
        <w:tc>
          <w:tcPr>
            <w:tcW w:w="569" w:type="dxa"/>
            <w:tcBorders>
              <w:bottom w:val="single" w:sz="12" w:space="0" w:color="auto"/>
            </w:tcBorders>
          </w:tcPr>
          <w:p w14:paraId="595D4F8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восбмерки</w:t>
            </w:r>
          </w:p>
        </w:tc>
        <w:tc>
          <w:tcPr>
            <w:tcW w:w="569" w:type="dxa"/>
            <w:tcBorders>
              <w:bottom w:val="single" w:sz="12" w:space="0" w:color="auto"/>
            </w:tcBorders>
          </w:tcPr>
          <w:p w14:paraId="6BC1DE1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p w14:paraId="0771FA9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3AA72B6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p w14:paraId="3A39D3C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76" w:type="dxa"/>
            <w:tcBorders>
              <w:bottom w:val="single" w:sz="12" w:space="0" w:color="auto"/>
            </w:tcBorders>
          </w:tcPr>
          <w:p w14:paraId="577D872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53,0</w:t>
            </w:r>
          </w:p>
          <w:p w14:paraId="05B7B10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7310022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4830A35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40" w:type="dxa"/>
            <w:tcBorders>
              <w:bottom w:val="single" w:sz="12" w:space="0" w:color="auto"/>
            </w:tcBorders>
          </w:tcPr>
          <w:p w14:paraId="0CF6E13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762A3BE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83" w:type="dxa"/>
            <w:tcBorders>
              <w:bottom w:val="single" w:sz="12" w:space="0" w:color="auto"/>
            </w:tcBorders>
          </w:tcPr>
          <w:p w14:paraId="4D4875E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p w14:paraId="6FE074F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54" w:type="dxa"/>
            <w:tcBorders>
              <w:bottom w:val="single" w:sz="12" w:space="0" w:color="auto"/>
            </w:tcBorders>
          </w:tcPr>
          <w:p w14:paraId="10F4E5B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p w14:paraId="1E1DE5E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7C0A179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2A374CE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268D0B9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0C01532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619" w:type="dxa"/>
            <w:tcBorders>
              <w:bottom w:val="single" w:sz="12" w:space="0" w:color="auto"/>
            </w:tcBorders>
          </w:tcPr>
          <w:p w14:paraId="29DFCFB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1740</w:t>
            </w:r>
          </w:p>
          <w:p w14:paraId="0A30837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518" w:type="dxa"/>
            <w:tcBorders>
              <w:bottom w:val="single" w:sz="12" w:space="0" w:color="auto"/>
            </w:tcBorders>
          </w:tcPr>
          <w:p w14:paraId="022F1F0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p w14:paraId="64C52F7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30" w:type="dxa"/>
            <w:tcBorders>
              <w:bottom w:val="single" w:sz="12" w:space="0" w:color="auto"/>
            </w:tcBorders>
          </w:tcPr>
          <w:p w14:paraId="7BBBF59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1870</w:t>
            </w:r>
          </w:p>
          <w:p w14:paraId="74C9027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bl>
    <w:p w14:paraId="1320B27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КРЕЙСЕРСКАЯ СКОРОСТЬ, РАСХОД ГОРЮЧЕГО И ДАЛЬНОСТЬ ПОЛЕТА.</w:t>
      </w:r>
    </w:p>
    <w:p w14:paraId="686C17C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по т р е у г о л ь н в к у:</w:t>
      </w:r>
    </w:p>
    <w:p w14:paraId="15D8701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Щелково-Покров / пересечение железных дорог/.</w:t>
      </w:r>
    </w:p>
    <w:p w14:paraId="2B5079B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Покров-Щелково</w:t>
      </w:r>
    </w:p>
    <w:p w14:paraId="495B5CF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Щелково-Сергиев Посад-Щелково.</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14"/>
        <w:gridCol w:w="814"/>
        <w:gridCol w:w="1051"/>
        <w:gridCol w:w="900"/>
        <w:gridCol w:w="1159"/>
        <w:gridCol w:w="2635"/>
      </w:tblGrid>
      <w:tr w:rsidR="004E10C1" w:rsidRPr="0044524F" w14:paraId="7D3FE0C2" w14:textId="77777777">
        <w:trPr>
          <w:trHeight w:val="886"/>
        </w:trPr>
        <w:tc>
          <w:tcPr>
            <w:tcW w:w="814" w:type="dxa"/>
            <w:tcBorders>
              <w:top w:val="single" w:sz="12" w:space="0" w:color="auto"/>
            </w:tcBorders>
          </w:tcPr>
          <w:p w14:paraId="510B567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814" w:type="dxa"/>
            <w:tcBorders>
              <w:top w:val="single" w:sz="12" w:space="0" w:color="auto"/>
            </w:tcBorders>
          </w:tcPr>
          <w:p w14:paraId="3B01C79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Обороты</w:t>
            </w:r>
          </w:p>
        </w:tc>
        <w:tc>
          <w:tcPr>
            <w:tcW w:w="1051" w:type="dxa"/>
            <w:tcBorders>
              <w:top w:val="single" w:sz="12" w:space="0" w:color="auto"/>
            </w:tcBorders>
          </w:tcPr>
          <w:p w14:paraId="4E51A41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/км/час крейсер</w:t>
            </w:r>
            <w:r w:rsidRPr="0044524F">
              <w:rPr>
                <w:rFonts w:ascii="Times New Roman" w:hAnsi="Times New Roman"/>
                <w:color w:val="000000" w:themeColor="text1"/>
                <w:sz w:val="16"/>
                <w:szCs w:val="16"/>
              </w:rPr>
              <w:softHyphen/>
              <w:t>ская ско рость.</w:t>
            </w:r>
          </w:p>
          <w:p w14:paraId="2D11232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00" w:type="dxa"/>
            <w:tcBorders>
              <w:top w:val="single" w:sz="12" w:space="0" w:color="auto"/>
            </w:tcBorders>
          </w:tcPr>
          <w:p w14:paraId="057F7C3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 в час в кг.</w:t>
            </w:r>
          </w:p>
          <w:p w14:paraId="06CD486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59" w:type="dxa"/>
            <w:tcBorders>
              <w:top w:val="single" w:sz="12" w:space="0" w:color="auto"/>
            </w:tcBorders>
          </w:tcPr>
          <w:p w14:paraId="0C5EC1D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 на км/пути</w:t>
            </w:r>
          </w:p>
          <w:p w14:paraId="2A3F916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2635" w:type="dxa"/>
            <w:tcBorders>
              <w:top w:val="single" w:sz="12" w:space="0" w:color="auto"/>
            </w:tcBorders>
          </w:tcPr>
          <w:p w14:paraId="63B9E1A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в клм.</w:t>
            </w:r>
          </w:p>
          <w:p w14:paraId="6D12973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09E5010C" w14:textId="77777777">
        <w:trPr>
          <w:trHeight w:val="547"/>
        </w:trPr>
        <w:tc>
          <w:tcPr>
            <w:tcW w:w="814" w:type="dxa"/>
            <w:tcBorders>
              <w:bottom w:val="single" w:sz="12" w:space="0" w:color="auto"/>
            </w:tcBorders>
          </w:tcPr>
          <w:p w14:paraId="169E734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814" w:type="dxa"/>
            <w:tcBorders>
              <w:bottom w:val="single" w:sz="12" w:space="0" w:color="auto"/>
            </w:tcBorders>
          </w:tcPr>
          <w:p w14:paraId="57B94DE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7AEF3C7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051" w:type="dxa"/>
            <w:tcBorders>
              <w:bottom w:val="single" w:sz="12" w:space="0" w:color="auto"/>
            </w:tcBorders>
          </w:tcPr>
          <w:p w14:paraId="46F0548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w:t>
            </w:r>
          </w:p>
          <w:p w14:paraId="0CE6FBF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900" w:type="dxa"/>
            <w:tcBorders>
              <w:bottom w:val="single" w:sz="12" w:space="0" w:color="auto"/>
            </w:tcBorders>
          </w:tcPr>
          <w:p w14:paraId="145DB69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69,0</w:t>
            </w:r>
          </w:p>
          <w:p w14:paraId="6A324945"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1159" w:type="dxa"/>
            <w:tcBorders>
              <w:bottom w:val="single" w:sz="12" w:space="0" w:color="auto"/>
            </w:tcBorders>
          </w:tcPr>
          <w:p w14:paraId="2631BF6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0,348</w:t>
            </w:r>
          </w:p>
          <w:p w14:paraId="5D89668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c>
          <w:tcPr>
            <w:tcW w:w="2635" w:type="dxa"/>
            <w:tcBorders>
              <w:bottom w:val="single" w:sz="12" w:space="0" w:color="auto"/>
            </w:tcBorders>
          </w:tcPr>
          <w:p w14:paraId="7B2F302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w:t>
            </w:r>
          </w:p>
          <w:p w14:paraId="5C56D2E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p>
        </w:tc>
      </w:tr>
    </w:tbl>
    <w:p w14:paraId="3165CDC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На рулежку, планирование и набор высота отведено 20% от общего количества горючего. Дальность под</w:t>
      </w:r>
      <w:r w:rsidRPr="0044524F">
        <w:rPr>
          <w:rFonts w:ascii="Times New Roman" w:hAnsi="Times New Roman"/>
          <w:color w:val="000000" w:themeColor="text1"/>
          <w:sz w:val="16"/>
          <w:szCs w:val="16"/>
        </w:rPr>
        <w:softHyphen/>
        <w:t>считана до полного выгорания горючего. Расход масла от 3 до 3,5 кг. в час.</w:t>
      </w:r>
    </w:p>
    <w:p w14:paraId="2994096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РАЗБЕГ И П Р О Б Е Г.</w:t>
      </w:r>
    </w:p>
    <w:p w14:paraId="2F39CAE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Р а з б е г........110 мтр. в 8,2 сек.</w:t>
      </w:r>
    </w:p>
    <w:p w14:paraId="5728C30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р об е г........180 мтр. за 15,2 сек.</w:t>
      </w:r>
    </w:p>
    <w:p w14:paraId="51CE9A3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ПЛАНИРОВАНИЕ И ПОСАДОЧНАЯ СКОРОСТЬ.</w:t>
      </w:r>
    </w:p>
    <w:p w14:paraId="7E0006E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при наивыгодн. угле снижен.........148 км/час.</w:t>
      </w:r>
    </w:p>
    <w:p w14:paraId="62169A1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Наивыгоднейш угол наклона траектории..... 7° 50</w:t>
      </w:r>
    </w:p>
    <w:p w14:paraId="18228F6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планирования с высоты 1000 мтр.... 7,2 км.</w:t>
      </w:r>
    </w:p>
    <w:p w14:paraId="00E4C9A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 е м я..............................2,58 сек.</w:t>
      </w:r>
    </w:p>
    <w:p w14:paraId="6418AD9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скорость.......................110 км/час.</w:t>
      </w:r>
    </w:p>
    <w:p w14:paraId="21C91E6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16.ТРАЕКТОРИЯ ВЗЛЕТА И ВЗЛЕТНАЯ СКОРОСТЬ.</w:t>
      </w:r>
    </w:p>
    <w:p w14:paraId="3B9F32F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при наивыгоднейшем угле подъема..... .153 км/час</w:t>
      </w:r>
    </w:p>
    <w:p w14:paraId="65735C1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Наивыгоднейший угол под”ема...................12,5°</w:t>
      </w:r>
    </w:p>
    <w:p w14:paraId="15A0ABD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на 1000 мтр............... 1,8 мин.</w:t>
      </w:r>
    </w:p>
    <w:p w14:paraId="4FECDD2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при наивыгоднейшем угле отрыва от з е м л и.................................115 км/час.</w:t>
      </w:r>
    </w:p>
    <w:p w14:paraId="4CEDD62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ЛЕТНО-ТАКТИЧЕСКАЯ ОЦЕНКА САМОЛЕТА "ЗЕТ” С МОТОРОМ ЮУ1.</w:t>
      </w:r>
    </w:p>
    <w:p w14:paraId="5B3E331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Каби на удобна и просторна. Требуется увеличить опускание. сидения на 1-2 зубца вниз, так как на больиих скоростях летчик испытывает большое задувание. Посадка в кабину неудобна, необ</w:t>
      </w:r>
      <w:r w:rsidRPr="0044524F">
        <w:rPr>
          <w:rFonts w:ascii="Times New Roman" w:hAnsi="Times New Roman"/>
          <w:color w:val="000000" w:themeColor="text1"/>
          <w:sz w:val="16"/>
          <w:szCs w:val="16"/>
        </w:rPr>
        <w:softHyphen/>
        <w:t>ходимо сделать выдвижную поднодку.</w:t>
      </w:r>
    </w:p>
    <w:p w14:paraId="7C3BFDA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Проба мотора. При пробе мотора на оборотах свыше 1500 необходимо хвост удерживать. Колодки вполне подходят от самолетов И4 и И5.</w:t>
      </w:r>
    </w:p>
    <w:p w14:paraId="247E13B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Руление. Самолет рулит на 700-800 об/мин. На ровном и сухом грунте может рулить и на меньших оборотах; позволяет рулить без сопровождающего. Управляемость удовлетворительная. При рулении ручку следует отдавать от себя для облегчения хвоста и уменьшения нагрузки на ручку летчика.</w:t>
      </w:r>
    </w:p>
    <w:p w14:paraId="13C7CBB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Взлет. При разбеге самолет требует почти полной отдачи ручки от себя с обязательным опережением ручки по отношению к даче газу; к концу разбега необходимо поддерживать ручкой. При нормальном взлете никаких тенденций к разворотам не имеет, на взлете с недос</w:t>
      </w:r>
      <w:r w:rsidRPr="0044524F">
        <w:rPr>
          <w:rFonts w:ascii="Times New Roman" w:hAnsi="Times New Roman"/>
          <w:color w:val="000000" w:themeColor="text1"/>
          <w:sz w:val="16"/>
          <w:szCs w:val="16"/>
        </w:rPr>
        <w:softHyphen/>
        <w:t>таточно поднятым хвостом на малой скорости, самолет очень быстро отрывается с разворотом в право.</w:t>
      </w:r>
    </w:p>
    <w:p w14:paraId="72DF2310"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Набор высоты. Наивыгоднейшая скорость набора высоты уземли 153 кв/час. с подъемом на высоту необходимо на каждую 1000 м. уменьшать скорость на 4 км/час: Во время набора при брошенной ручке самолет идет вверх до полной потери скорости. Нагрузка на ручку почти совершенно отсутствует.</w:t>
      </w:r>
    </w:p>
    <w:p w14:paraId="7551191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Горизоктальный полет особенностей не имеет. При 1500-1550 об/мин самолет идет с отпущенной ручкой по прямой. Нагрузка на ручку отсутствует.</w:t>
      </w:r>
    </w:p>
    <w:p w14:paraId="433D7AED"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Устойчивость самолета. Правильно отрегулированный самолет достаточно устойчив во всех отношениях как впродольном, поперечном так и пути. При наличии нечеткости в регулировке, самолет при брошеном управлении имеет тенденцию к развороту вправо и требует постоянного поддерживания левой ногой. Управление достаточно мягко и легко. При внезапном сбавлении газа, самолет переходит на нос до скорости 200 км/час и делает колебания в диапазоне - 200-160 км/час.</w:t>
      </w:r>
    </w:p>
    <w:p w14:paraId="28A1A6A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Планирование. Самолет достаточно устойчиво планирует на скорости 160 км/час; наибольшая продолжительность планирования на скорости 143 км/час, с брошеным управлением самолет планирует сам; на скорости 130-160, самолет имеет тенденцию клевать на нос.</w:t>
      </w:r>
    </w:p>
    <w:p w14:paraId="5C82EBE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Вираж и восьмерки .Самолет виражит хорошо при вводе на скорости 150-160 км/час. С виража в вираж прекладывается легко, время виража на высоте 1000 мтр. 16,8 сек. Выполнение этих фгур требует хорошее координации и внимания от летчика. Самолет не любит резких движений на вираже при перетягивании ручки теряет скорость, появ</w:t>
      </w:r>
      <w:r w:rsidRPr="0044524F">
        <w:rPr>
          <w:rFonts w:ascii="Times New Roman" w:hAnsi="Times New Roman"/>
          <w:color w:val="000000" w:themeColor="text1"/>
          <w:sz w:val="16"/>
          <w:szCs w:val="16"/>
        </w:rPr>
        <w:softHyphen/>
        <w:t>ляются вибрации и самолет теряет устойчивость. На левом вираже имеет тенденцию к задиру, на правом к забрыванию. Рулей вполне достаточно. Хорошо выполняет боевые развороты.</w:t>
      </w:r>
    </w:p>
    <w:p w14:paraId="25A095D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Скольжение. Самолет скользит нормально с креном 25-30°.</w:t>
      </w:r>
    </w:p>
    <w:p w14:paraId="1CA25226"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Парашютирование. Парашютирует хорошо на скорости 70-75 км/час с уменьшением скорости появляется незначительная вибрация хвосто</w:t>
      </w:r>
      <w:r w:rsidRPr="0044524F">
        <w:rPr>
          <w:rFonts w:ascii="Times New Roman" w:hAnsi="Times New Roman"/>
          <w:color w:val="000000" w:themeColor="text1"/>
          <w:sz w:val="16"/>
          <w:szCs w:val="16"/>
        </w:rPr>
        <w:softHyphen/>
        <w:t xml:space="preserve">вого оперения. </w:t>
      </w:r>
    </w:p>
    <w:p w14:paraId="1A362FE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Пикирование. Самолет устойчиво пикирует; со скоростью 280 км/час и выше появляется незначительная вибрация хвостового оперения. Вывод из пикирования легок, нагрузка на ручку незначительная.</w:t>
      </w:r>
    </w:p>
    <w:p w14:paraId="2BD7ADC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Штопор Испытания на штопор с системами ЛПК не производилось. Тенденции к срыву в штопор самолет не имеет.</w:t>
      </w:r>
    </w:p>
    <w:p w14:paraId="0C332389"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Петли перевороты, с системами не производились, без систем на самолете выполнялись петли с одинарные переворотом.</w:t>
      </w:r>
    </w:p>
    <w:p w14:paraId="20E6E9A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Посадка. Посадка на самолете проста. Подход к земле на скорости 120125 км/час по сафу, самолет легко садится на три точки с недобраной ручкой. Не любит высокого перевода и резких движений в силу особой чуткости руля глубины. Стремлений к развороту при пробеге не ямеет. Козлят довольно сильно.</w:t>
      </w:r>
    </w:p>
    <w:p w14:paraId="559D9B6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Обзор самолета. Обзор вверх я в стороны хороший, вниз я в стороны слепой. В полете на низких высотах вперед обзор плохой - мешает крыло.</w:t>
      </w:r>
    </w:p>
    <w:p w14:paraId="1A60B1E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Наводка на цель. Наводка на цель самолетом и удержание цели на прицеле не затруднена, самолет устойчив в этом подожении</w:t>
      </w:r>
    </w:p>
    <w:p w14:paraId="0A962784"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Воздушны и бой. Примерный воздушный бой проведен на высоте 1500 мтр. с самолетами И4 и Р5. Вести бой с И4 самолет “ЗЕТ" может только в вертикальном направлении с применением фигур. Преимушество остается на стороне самолета И4.</w:t>
      </w:r>
    </w:p>
    <w:p w14:paraId="3D76ADB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виражах самолет И4 свободно заходят в хвост.</w:t>
      </w:r>
    </w:p>
    <w:p w14:paraId="0CF26F1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бою с самолетом Р5, самолет “ЗЕТ" легко держится в хвосте Р5.</w:t>
      </w:r>
    </w:p>
    <w:p w14:paraId="4B9C8EA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ЗАКЛЮЧЕНИЕ ПО ВООРУЖЕНИЮ.</w:t>
      </w:r>
    </w:p>
    <w:p w14:paraId="5018CF6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 Стр. отчета о Государственных Испытаниях Артиллерийского вооружения самолета "ЗЕТ" № 39012, вооруженного 2-мя пушками АПК-4бис колибром 76,2 м/м/.</w:t>
      </w:r>
    </w:p>
    <w:p w14:paraId="62DA0B4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Самолет "ЗЕТ" вооруженный АПК-76,2 испытания прошел.</w:t>
      </w:r>
    </w:p>
    <w:p w14:paraId="61F02AC3"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Конструкция самолета.Стрельбу из АПК-4 бис 76,2 м/м, до 350 выстрелов выдерживает.</w:t>
      </w:r>
    </w:p>
    <w:p w14:paraId="55A577F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Система в основном работает удовлетворительно, хотя нуждается в доработке и исправлении ряда неполадок.</w:t>
      </w:r>
    </w:p>
    <w:p w14:paraId="47F84BF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Снаряды качественно должны быть повышены, выбор-же наилучшего из них подвергнуть специальным испытаниям.</w:t>
      </w:r>
    </w:p>
    <w:p w14:paraId="1B8751FF"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При данной установке АПК-76,2 м/м стрельба возможна: на горизонтальном полете, при пикировании до 30-35 гр., при кабрировании - пределах кабрирования самолета и при крене до 25-30 гр.</w:t>
      </w:r>
    </w:p>
    <w:p w14:paraId="31616281"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Самолет "ЗЕТ" вооруженный АПК-76,2 м/м. должен быть снабжен специальным прицелом и дальномером.</w:t>
      </w:r>
    </w:p>
    <w:p w14:paraId="000CB18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Прицельная стрельба и попадания на дистанция 800-1000 мтр. При надлежашей тренировке личного состава возможна.</w:t>
      </w:r>
    </w:p>
    <w:p w14:paraId="02043B07"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Звено самолетов /3 самолета/ при стрельбе в горивонтаном полете дают относительно большую насыщенность зоны разрывов снарядов.</w:t>
      </w:r>
    </w:p>
    <w:p w14:paraId="775935FC"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Дальнейшим этапом работ должны стать войсковые испытания где провести в отработку тактики и применения, как одного самолета, так и звена или группы самолетов “ЗЕТ".</w:t>
      </w:r>
    </w:p>
    <w:p w14:paraId="3479061E"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Неполадки, выявленные в процессе испытания, как в системе, так и в снарядах устранить до начала работ по тактике и применению.</w:t>
      </w:r>
    </w:p>
    <w:p w14:paraId="21EC8132"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Для работ по тактике и применению самолетов "3ЕТ” необходимо провести подготовку и тренировку, как летного, так техничекого состава.</w:t>
      </w:r>
    </w:p>
    <w:p w14:paraId="09251BE8"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ЗАКЛЮЧЕНИЕ ПО СПЕЦОБОРУДОВАНИЮ</w:t>
      </w:r>
    </w:p>
    <w:p w14:paraId="6FAC445B"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ночным полетам, а также для полетов на больших высотах, самолет не подготовлен.</w:t>
      </w:r>
    </w:p>
    <w:p w14:paraId="3EC7564A" w14:textId="77777777" w:rsidR="007F23E2" w:rsidRPr="0044524F" w:rsidRDefault="007F23E2"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Связь как с землей, так и с самолетами в воздухе осуществить нельзя (2303,62).</w:t>
      </w:r>
    </w:p>
    <w:p w14:paraId="004618D9"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1C33E6A5" w14:textId="77777777" w:rsidR="004050DA" w:rsidRPr="0044524F" w:rsidRDefault="004050DA" w:rsidP="009654CF">
      <w:pPr>
        <w:pStyle w:val="a3"/>
        <w:rPr>
          <w:color w:val="000000" w:themeColor="text1"/>
          <w:lang w:val="ru-RU"/>
        </w:rPr>
      </w:pPr>
      <w:r w:rsidRPr="0044524F">
        <w:rPr>
          <w:color w:val="000000" w:themeColor="text1"/>
          <w:lang w:val="ru-RU"/>
        </w:rPr>
        <w:t>С 14 сентября по 1 октября 1933 г. в Щелково велись государственные испы</w:t>
      </w:r>
      <w:r w:rsidRPr="0044524F">
        <w:rPr>
          <w:color w:val="000000" w:themeColor="text1"/>
          <w:lang w:val="ru-RU"/>
        </w:rPr>
        <w:softHyphen/>
        <w:t>тания И-зет №39010, вооруженного серий</w:t>
      </w:r>
      <w:r w:rsidRPr="0044524F">
        <w:rPr>
          <w:color w:val="000000" w:themeColor="text1"/>
          <w:lang w:val="ru-RU"/>
        </w:rPr>
        <w:softHyphen/>
        <w:t>ными пушками АПК-4, каждая из которых была снабжена трубчатым магазином на 6 снарядов (плюс еще один снаряд в стволе). Летал М. Сцельников, общий налет по времени составил 16 ч 20 мин. В отчете по испытаниям указывалось, что самолет №39010 изготовлен по образцу опытного экземпляра и в основных размерных параметрах от последнего не отличается. Кабина летчика удобна и просторна. На взлете И-2 быстро отрывается от земли, в горизонтальном полете идете отпущенной ручкой, устойчив во всех отношениях, управление мягкое и легкое. Испытания на штопор не проводились, однако и тенденции к срыву в штопор не отмечалось. Полученные данные скороподъемности (5000 м за 14 мин) и потолка (7000 м) признавались удовлетворительными, а максимальная скорость 259 км/ч и техни</w:t>
      </w:r>
      <w:r w:rsidRPr="0044524F">
        <w:rPr>
          <w:color w:val="000000" w:themeColor="text1"/>
          <w:lang w:val="ru-RU"/>
        </w:rPr>
        <w:softHyphen/>
        <w:t>ческая дальность 310 км- недостаточными. Основными причинами отмеченных недо</w:t>
      </w:r>
      <w:r w:rsidRPr="0044524F">
        <w:rPr>
          <w:color w:val="000000" w:themeColor="text1"/>
          <w:lang w:val="ru-RU"/>
        </w:rPr>
        <w:softHyphen/>
        <w:t>статков назывались неудачная конструкция шасси и большое сопротивление АПК. Артиллерийское вооружение И-2 испыта</w:t>
      </w:r>
      <w:r w:rsidRPr="0044524F">
        <w:rPr>
          <w:color w:val="000000" w:themeColor="text1"/>
          <w:lang w:val="ru-RU"/>
        </w:rPr>
        <w:softHyphen/>
        <w:t>ния выдержало, однако емкость магазинов оценивалась как «недопустимо малая». В дальнейшем Курчевский планировал установить в крыле коробчатый магазин на 10-14 снарядов, но для АПК-4, насколько известно, это сделано не было.</w:t>
      </w:r>
    </w:p>
    <w:p w14:paraId="0E24090F" w14:textId="77777777" w:rsidR="004050DA" w:rsidRPr="0044524F" w:rsidRDefault="004050DA" w:rsidP="009654CF">
      <w:pPr>
        <w:pStyle w:val="a3"/>
        <w:rPr>
          <w:color w:val="000000" w:themeColor="text1"/>
          <w:lang w:val="ru-RU"/>
        </w:rPr>
      </w:pPr>
      <w:r w:rsidRPr="0044524F">
        <w:rPr>
          <w:color w:val="000000" w:themeColor="text1"/>
          <w:lang w:val="ru-RU"/>
        </w:rPr>
        <w:t>Итоговое заключение подтверждало, что истребители типа И-2 могут быть приняты на вооружение ВВС РККА при выполнении следующих условий: повы</w:t>
      </w:r>
      <w:r w:rsidRPr="0044524F">
        <w:rPr>
          <w:color w:val="000000" w:themeColor="text1"/>
          <w:lang w:val="ru-RU"/>
        </w:rPr>
        <w:softHyphen/>
        <w:t>шения максимальной полетной скорости до 300 км/ч, увеличения емкости бензо</w:t>
      </w:r>
      <w:r w:rsidRPr="0044524F">
        <w:rPr>
          <w:color w:val="000000" w:themeColor="text1"/>
          <w:lang w:val="ru-RU"/>
        </w:rPr>
        <w:softHyphen/>
        <w:t>баков, доведении количества снарядов до 20 штук, установки электрооборудования и радио. Особым пунктом шло пожелание увеличить прочность самолета, так как уже после произведения 300-500 выстрелов его конструкция нуждалась в ремонте. ВВС требовали довести живучесть планера И-2 до 1000 выстрелов из АПК. Модифициро</w:t>
      </w:r>
      <w:r w:rsidRPr="0044524F">
        <w:rPr>
          <w:color w:val="000000" w:themeColor="text1"/>
          <w:lang w:val="ru-RU"/>
        </w:rPr>
        <w:softHyphen/>
        <w:t>ванную машину следовало предъявить на испытания к 1 марта 1934 г.</w:t>
      </w:r>
    </w:p>
    <w:p w14:paraId="177C4065" w14:textId="77777777" w:rsidR="004050DA" w:rsidRPr="0044524F" w:rsidRDefault="004050DA" w:rsidP="009654CF">
      <w:pPr>
        <w:pStyle w:val="a3"/>
        <w:rPr>
          <w:color w:val="000000" w:themeColor="text1"/>
          <w:lang w:val="ru-RU"/>
        </w:rPr>
      </w:pPr>
      <w:r w:rsidRPr="0044524F">
        <w:rPr>
          <w:color w:val="000000" w:themeColor="text1"/>
          <w:lang w:val="ru-RU"/>
        </w:rPr>
        <w:t>Хотя местом проведения государствен</w:t>
      </w:r>
      <w:r w:rsidRPr="0044524F">
        <w:rPr>
          <w:color w:val="000000" w:themeColor="text1"/>
          <w:lang w:val="ru-RU"/>
        </w:rPr>
        <w:softHyphen/>
        <w:t>ных испытаний в документах указывался аэродром НИИ ВВС, стреляли из динамо- реактивных пушек совсем в другом месте. Старинный городок Переславль-Залесский и раскинувшееся вблизи его Плещеево озеро, расположенные в ста километрах севернее Москвы, являлись в ту пору изрядной глухоманью. Курчевский был родом из этих мест, любил ездить туда на охоту, поэтому настоял на обустройстве секретной базы и испытательного полигона на берегу Плещеева озера.</w:t>
      </w:r>
    </w:p>
    <w:p w14:paraId="14BF2229" w14:textId="77777777" w:rsidR="004050DA" w:rsidRPr="0044524F" w:rsidRDefault="004050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Первые стрельбы в небе над озером провел летчик-испытатель Томас Сузи. Всего осенью 1933 г. выполнили 52 полета. Было снаряжено 598 снарядов, по причине многочисленных отказов произведено 363 выстрела (60,7%). Стрельбы велись с высоты 700-800 м по запускаемым группам шаров-пилотов, каждый из которых имел диаметр 50-60 см. Проведенные испытания показали, что для повышения эффектив</w:t>
      </w:r>
      <w:r w:rsidRPr="0044524F">
        <w:rPr>
          <w:rFonts w:ascii="Times New Roman" w:hAnsi="Times New Roman"/>
          <w:color w:val="000000" w:themeColor="text1"/>
          <w:sz w:val="16"/>
          <w:szCs w:val="16"/>
        </w:rPr>
        <w:softHyphen/>
        <w:t>ности стрельбы из АПК нужен дальномер, и более совершенный прицел, чем опти</w:t>
      </w:r>
      <w:r w:rsidRPr="0044524F">
        <w:rPr>
          <w:rFonts w:ascii="Times New Roman" w:hAnsi="Times New Roman"/>
          <w:color w:val="000000" w:themeColor="text1"/>
          <w:sz w:val="16"/>
          <w:szCs w:val="16"/>
        </w:rPr>
        <w:softHyphen/>
        <w:t>ческий ОП-1, рассчитанный на дальность стрельбы 400 м и скорость 250 км/ч. После произведения одиночных полетов Томаса Сузи, здесь же под Переславлем-Залесским начались испытания двух серийных И-2(№№39005 и 39010), на которых летали А. Коротков и М. Сцельников.</w:t>
      </w:r>
    </w:p>
    <w:p w14:paraId="038E2C9B" w14:textId="77777777" w:rsidR="004050DA" w:rsidRPr="0044524F" w:rsidRDefault="004050DA" w:rsidP="009654CF">
      <w:pPr>
        <w:pStyle w:val="a3"/>
        <w:rPr>
          <w:color w:val="000000" w:themeColor="text1"/>
          <w:lang w:val="ru-RU"/>
        </w:rPr>
      </w:pPr>
      <w:r w:rsidRPr="0044524F">
        <w:rPr>
          <w:color w:val="000000" w:themeColor="text1"/>
          <w:lang w:val="ru-RU"/>
        </w:rPr>
        <w:t>В декабре 1933 г. базировавшаяся в Люберцах авиабригада, которой командовал Сузи, получила еще семь И-2 (№№39011, 39013-39016, 39020 и 39023). Испытывала их эскадрилья Новака: Климов, Губанов, Бурылин, Катичев, Родин. Летали с Люберецкого аэродрома на так называемый химический полигон, расположенный в Кузьминках. Испытывали шрапнельные снаряды, но эффективность их использования оценили невысоко, потом испытали фугасную гранату. Боекомплект в 7 снарядов по хронометражу в среднем расходовался за 20 с. Установили, что вполне надежно стрелять можно в гори</w:t>
      </w:r>
      <w:r w:rsidRPr="0044524F">
        <w:rPr>
          <w:color w:val="000000" w:themeColor="text1"/>
          <w:lang w:val="ru-RU"/>
        </w:rPr>
        <w:softHyphen/>
        <w:t>зонтальном полете, при пикировании до угла 30°, кабрировании и крене 25-30'. По результатам этих полетов признавалось, что АПК на И-2 первые тестирования прошли и в дальнейшем могут быть допу</w:t>
      </w:r>
      <w:r w:rsidRPr="0044524F">
        <w:rPr>
          <w:color w:val="000000" w:themeColor="text1"/>
          <w:lang w:val="ru-RU"/>
        </w:rPr>
        <w:softHyphen/>
        <w:t>щены на войсковые испытания.</w:t>
      </w:r>
    </w:p>
    <w:p w14:paraId="0051E225" w14:textId="77777777" w:rsidR="004050DA" w:rsidRPr="0044524F" w:rsidRDefault="004050DA" w:rsidP="009654CF">
      <w:pPr>
        <w:pStyle w:val="a3"/>
        <w:rPr>
          <w:color w:val="000000" w:themeColor="text1"/>
          <w:lang w:val="ru-RU"/>
        </w:rPr>
      </w:pPr>
      <w:r w:rsidRPr="0044524F">
        <w:rPr>
          <w:color w:val="000000" w:themeColor="text1"/>
          <w:lang w:val="ru-RU"/>
        </w:rPr>
        <w:t>С начала 1934 г. проведение стрельб в Переславле-Залесском было про</w:t>
      </w:r>
      <w:r w:rsidRPr="0044524F">
        <w:rPr>
          <w:color w:val="000000" w:themeColor="text1"/>
          <w:lang w:val="ru-RU"/>
        </w:rPr>
        <w:softHyphen/>
        <w:t>должено. Возглавил испытания Томас Сузи. Командиром отряда И-2 был летчик К.А. Катичев, там же летали ставшие впоследствии известными Н. Звонарев и Г. Кравченко. Испытаниями артсистем руководил военный инженер А.Д. Попович. Стреляли по конусам, которые буксировали разведчики Р-5. Так как все затянулось более чем на год, то это были скорее уже не войсковые испытания, а строевая служба, в ходе которой отрабатывались способы боевого применения И-2 по воздушным и наземным целям.</w:t>
      </w:r>
    </w:p>
    <w:p w14:paraId="605D62E2" w14:textId="77777777" w:rsidR="004050DA" w:rsidRPr="0044524F" w:rsidRDefault="004050DA" w:rsidP="009654CF">
      <w:pPr>
        <w:pStyle w:val="2c"/>
        <w:shd w:val="clear" w:color="auto" w:fill="auto"/>
        <w:spacing w:line="240" w:lineRule="auto"/>
        <w:ind w:firstLine="0"/>
        <w:jc w:val="both"/>
        <w:rPr>
          <w:rFonts w:ascii="Times New Roman" w:hAnsi="Times New Roman" w:cs="Times New Roman"/>
          <w:i w:val="0"/>
          <w:color w:val="000000" w:themeColor="text1"/>
          <w:sz w:val="16"/>
          <w:szCs w:val="16"/>
        </w:rPr>
      </w:pPr>
      <w:r w:rsidRPr="0044524F">
        <w:rPr>
          <w:rFonts w:ascii="Times New Roman" w:hAnsi="Times New Roman" w:cs="Times New Roman"/>
          <w:i w:val="0"/>
          <w:color w:val="000000" w:themeColor="text1"/>
          <w:sz w:val="16"/>
          <w:szCs w:val="16"/>
        </w:rPr>
        <w:t>Основные характеристики истребителя И-2</w:t>
      </w:r>
    </w:p>
    <w:p w14:paraId="79A74FD7" w14:textId="77777777" w:rsidR="004050DA" w:rsidRPr="0044524F" w:rsidRDefault="004050DA" w:rsidP="009654CF">
      <w:pPr>
        <w:pStyle w:val="37"/>
        <w:shd w:val="clear" w:color="auto" w:fill="auto"/>
        <w:tabs>
          <w:tab w:val="left" w:leader="dot" w:pos="2645"/>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Длина в линии полета, м</w:t>
      </w:r>
      <w:r w:rsidRPr="0044524F">
        <w:rPr>
          <w:rFonts w:ascii="Times New Roman" w:hAnsi="Times New Roman" w:cs="Times New Roman"/>
          <w:color w:val="000000" w:themeColor="text1"/>
        </w:rPr>
        <w:tab/>
        <w:t>7,645</w:t>
      </w:r>
    </w:p>
    <w:p w14:paraId="22AEEE3B" w14:textId="77777777" w:rsidR="004050DA" w:rsidRPr="0044524F" w:rsidRDefault="004050DA" w:rsidP="009654CF">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Размах, м</w:t>
      </w:r>
      <w:r w:rsidRPr="0044524F">
        <w:rPr>
          <w:rFonts w:ascii="Times New Roman" w:hAnsi="Times New Roman" w:cs="Times New Roman"/>
          <w:color w:val="000000" w:themeColor="text1"/>
        </w:rPr>
        <w:tab/>
        <w:t>11,5</w:t>
      </w:r>
    </w:p>
    <w:p w14:paraId="2BF6227B" w14:textId="77777777" w:rsidR="004050DA" w:rsidRPr="0044524F" w:rsidRDefault="004050DA" w:rsidP="009654CF">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Площадь крыла, м</w:t>
      </w:r>
      <w:r w:rsidRPr="0044524F">
        <w:rPr>
          <w:rFonts w:ascii="Times New Roman" w:hAnsi="Times New Roman" w:cs="Times New Roman"/>
          <w:color w:val="000000" w:themeColor="text1"/>
          <w:vertAlign w:val="superscript"/>
        </w:rPr>
        <w:t>г</w:t>
      </w:r>
      <w:r w:rsidRPr="0044524F">
        <w:rPr>
          <w:rFonts w:ascii="Times New Roman" w:hAnsi="Times New Roman" w:cs="Times New Roman"/>
          <w:color w:val="000000" w:themeColor="text1"/>
        </w:rPr>
        <w:tab/>
        <w:t>19,6</w:t>
      </w:r>
    </w:p>
    <w:p w14:paraId="1C958262" w14:textId="77777777" w:rsidR="004050DA" w:rsidRPr="0044524F" w:rsidRDefault="004050DA" w:rsidP="009654CF">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Вес пустого, к)</w:t>
      </w:r>
      <w:r w:rsidRPr="0044524F">
        <w:rPr>
          <w:rFonts w:ascii="Times New Roman" w:hAnsi="Times New Roman" w:cs="Times New Roman"/>
          <w:color w:val="000000" w:themeColor="text1"/>
        </w:rPr>
        <w:tab/>
        <w:t>132</w:t>
      </w:r>
    </w:p>
    <w:p w14:paraId="2EB797D5" w14:textId="77777777" w:rsidR="004050DA" w:rsidRPr="0044524F" w:rsidRDefault="004050DA" w:rsidP="009654CF">
      <w:pPr>
        <w:pStyle w:val="37"/>
        <w:shd w:val="clear" w:color="auto" w:fill="auto"/>
        <w:tabs>
          <w:tab w:val="left" w:leader="dot" w:pos="2678"/>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Полетный вес, к)</w:t>
      </w:r>
      <w:r w:rsidRPr="0044524F">
        <w:rPr>
          <w:rFonts w:ascii="Times New Roman" w:hAnsi="Times New Roman" w:cs="Times New Roman"/>
          <w:color w:val="000000" w:themeColor="text1"/>
        </w:rPr>
        <w:tab/>
        <w:t>1648</w:t>
      </w:r>
    </w:p>
    <w:p w14:paraId="5448A2FD" w14:textId="77777777" w:rsidR="004050DA" w:rsidRPr="0044524F" w:rsidRDefault="004050DA" w:rsidP="009654CF">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Скорость максимальная у земли, км/ч</w:t>
      </w:r>
      <w:r w:rsidRPr="0044524F">
        <w:rPr>
          <w:rFonts w:ascii="Times New Roman" w:hAnsi="Times New Roman" w:cs="Times New Roman"/>
          <w:color w:val="000000" w:themeColor="text1"/>
        </w:rPr>
        <w:tab/>
        <w:t>258</w:t>
      </w:r>
    </w:p>
    <w:p w14:paraId="01A1B13C" w14:textId="77777777" w:rsidR="004050DA" w:rsidRPr="0044524F" w:rsidRDefault="004050DA" w:rsidP="009654CF">
      <w:pPr>
        <w:pStyle w:val="37"/>
        <w:shd w:val="clear" w:color="auto" w:fill="auto"/>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Скорость максимальная</w:t>
      </w:r>
    </w:p>
    <w:p w14:paraId="3318FECC" w14:textId="77777777" w:rsidR="004050DA" w:rsidRPr="0044524F" w:rsidRDefault="004050DA" w:rsidP="009654CF">
      <w:pPr>
        <w:pStyle w:val="37"/>
        <w:shd w:val="clear" w:color="auto" w:fill="auto"/>
        <w:tabs>
          <w:tab w:val="left" w:leader="dot" w:pos="2770"/>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на 3000 м, км/ч</w:t>
      </w:r>
      <w:r w:rsidRPr="0044524F">
        <w:rPr>
          <w:rFonts w:ascii="Times New Roman" w:hAnsi="Times New Roman" w:cs="Times New Roman"/>
          <w:color w:val="000000" w:themeColor="text1"/>
        </w:rPr>
        <w:tab/>
        <w:t>248</w:t>
      </w:r>
    </w:p>
    <w:p w14:paraId="60F3B432" w14:textId="77777777" w:rsidR="004050DA" w:rsidRPr="0044524F" w:rsidRDefault="004050DA" w:rsidP="009654CF">
      <w:pPr>
        <w:pStyle w:val="37"/>
        <w:shd w:val="clear" w:color="auto" w:fill="auto"/>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Скорость максимальная</w:t>
      </w:r>
    </w:p>
    <w:p w14:paraId="0054D093" w14:textId="77777777" w:rsidR="004050DA" w:rsidRPr="0044524F" w:rsidRDefault="004050DA" w:rsidP="009654CF">
      <w:pPr>
        <w:pStyle w:val="37"/>
        <w:shd w:val="clear" w:color="auto" w:fill="auto"/>
        <w:tabs>
          <w:tab w:val="left" w:leader="dot" w:pos="2765"/>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на 5000 м, км/ч</w:t>
      </w:r>
      <w:r w:rsidRPr="0044524F">
        <w:rPr>
          <w:rFonts w:ascii="Times New Roman" w:hAnsi="Times New Roman" w:cs="Times New Roman"/>
          <w:color w:val="000000" w:themeColor="text1"/>
        </w:rPr>
        <w:tab/>
        <w:t>239</w:t>
      </w:r>
    </w:p>
    <w:p w14:paraId="50D2507F" w14:textId="77777777" w:rsidR="004050DA" w:rsidRPr="0044524F" w:rsidRDefault="004050DA" w:rsidP="009654CF">
      <w:pPr>
        <w:pStyle w:val="37"/>
        <w:shd w:val="clear" w:color="auto" w:fill="auto"/>
        <w:tabs>
          <w:tab w:val="left" w:leader="dot" w:pos="2674"/>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Практический потолок, м</w:t>
      </w:r>
      <w:r w:rsidRPr="0044524F">
        <w:rPr>
          <w:rFonts w:ascii="Times New Roman" w:hAnsi="Times New Roman" w:cs="Times New Roman"/>
          <w:color w:val="000000" w:themeColor="text1"/>
        </w:rPr>
        <w:tab/>
        <w:t>7000</w:t>
      </w:r>
    </w:p>
    <w:p w14:paraId="2F6701B7" w14:textId="77777777" w:rsidR="004050DA" w:rsidRPr="0044524F" w:rsidRDefault="004050DA" w:rsidP="009654CF">
      <w:pPr>
        <w:pStyle w:val="37"/>
        <w:shd w:val="clear" w:color="auto" w:fill="auto"/>
        <w:tabs>
          <w:tab w:val="left" w:leader="dot" w:pos="2722"/>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Время виража на 1000 м, с</w:t>
      </w:r>
      <w:r w:rsidRPr="0044524F">
        <w:rPr>
          <w:rFonts w:ascii="Times New Roman" w:hAnsi="Times New Roman" w:cs="Times New Roman"/>
          <w:color w:val="000000" w:themeColor="text1"/>
        </w:rPr>
        <w:tab/>
        <w:t>16,8</w:t>
      </w:r>
    </w:p>
    <w:p w14:paraId="1DB988B9" w14:textId="77777777" w:rsidR="004050DA" w:rsidRPr="0044524F" w:rsidRDefault="004050DA" w:rsidP="009654CF">
      <w:pPr>
        <w:pStyle w:val="37"/>
        <w:shd w:val="clear" w:color="auto" w:fill="auto"/>
        <w:tabs>
          <w:tab w:val="left" w:leader="dot" w:pos="2515"/>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Длина/время разбега, м/с</w:t>
      </w:r>
      <w:r w:rsidRPr="0044524F">
        <w:rPr>
          <w:rFonts w:ascii="Times New Roman" w:hAnsi="Times New Roman" w:cs="Times New Roman"/>
          <w:color w:val="000000" w:themeColor="text1"/>
        </w:rPr>
        <w:tab/>
        <w:t>110/8,2</w:t>
      </w:r>
    </w:p>
    <w:p w14:paraId="71BEE05E" w14:textId="77777777" w:rsidR="004050DA" w:rsidRPr="0044524F" w:rsidRDefault="004050DA" w:rsidP="009654CF">
      <w:pPr>
        <w:pStyle w:val="37"/>
        <w:shd w:val="clear" w:color="auto" w:fill="auto"/>
        <w:tabs>
          <w:tab w:val="left" w:leader="dot" w:pos="2429"/>
        </w:tabs>
        <w:spacing w:line="240" w:lineRule="auto"/>
        <w:jc w:val="both"/>
        <w:rPr>
          <w:rFonts w:ascii="Times New Roman" w:hAnsi="Times New Roman" w:cs="Times New Roman"/>
          <w:color w:val="000000" w:themeColor="text1"/>
        </w:rPr>
      </w:pPr>
      <w:r w:rsidRPr="0044524F">
        <w:rPr>
          <w:rFonts w:ascii="Times New Roman" w:hAnsi="Times New Roman" w:cs="Times New Roman"/>
          <w:color w:val="000000" w:themeColor="text1"/>
        </w:rPr>
        <w:t>Длина/время пробега, м/с</w:t>
      </w:r>
      <w:r w:rsidRPr="0044524F">
        <w:rPr>
          <w:rFonts w:ascii="Times New Roman" w:hAnsi="Times New Roman" w:cs="Times New Roman"/>
          <w:color w:val="000000" w:themeColor="text1"/>
        </w:rPr>
        <w:tab/>
        <w:t>180/15,2</w:t>
      </w:r>
    </w:p>
    <w:p w14:paraId="42B27B12" w14:textId="77777777" w:rsidR="004050DA" w:rsidRPr="0044524F" w:rsidRDefault="004050DA" w:rsidP="009654CF">
      <w:pPr>
        <w:pStyle w:val="a3"/>
        <w:rPr>
          <w:color w:val="000000" w:themeColor="text1"/>
          <w:lang w:val="ru-RU"/>
        </w:rPr>
      </w:pPr>
      <w:r w:rsidRPr="0044524F">
        <w:rPr>
          <w:color w:val="000000" w:themeColor="text1"/>
          <w:lang w:val="ru-RU"/>
        </w:rPr>
        <w:t>(12731).</w:t>
      </w:r>
    </w:p>
    <w:p w14:paraId="5428445E" w14:textId="77777777" w:rsidR="004050DA" w:rsidRPr="0044524F" w:rsidRDefault="004050DA" w:rsidP="009654CF">
      <w:pPr>
        <w:spacing w:after="0" w:line="240" w:lineRule="auto"/>
        <w:jc w:val="both"/>
        <w:rPr>
          <w:rFonts w:ascii="Times New Roman" w:hAnsi="Times New Roman"/>
          <w:color w:val="000000" w:themeColor="text1"/>
          <w:sz w:val="16"/>
          <w:szCs w:val="16"/>
        </w:rPr>
      </w:pPr>
    </w:p>
    <w:p w14:paraId="27D3BA6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14 сентября по 1 октября 1933 в НИИ ВВС в Щелково проходили гос. испытания И-ЗЕТ № 39010 с 2хАПК-4бис. Летал л М.Сцельников и летали 16:20 (3996, 92).</w:t>
      </w:r>
    </w:p>
    <w:p w14:paraId="00A26BEB"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отчете указано, что с-т изготовлен по образцу серийного и в основных размерных параметров от него не отличается.</w:t>
      </w:r>
    </w:p>
    <w:p w14:paraId="7212C4D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Кабина л удобна и просторна.</w:t>
      </w:r>
    </w:p>
    <w:p w14:paraId="5515C42B"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взлете быстро отрывается с поднятым хвостом, в горизонтальном полете идет с отпущенной ручкой, устойчив во всех отношениях, управление мягкое, легкое.</w:t>
      </w:r>
    </w:p>
    <w:p w14:paraId="3F13923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на штопор не проводились, но тенденции к срыву в штопор не отмечались.</w:t>
      </w:r>
    </w:p>
    <w:p w14:paraId="6CDC433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Скороподъемнеость (14 мин на 500 м - удовлетворительна, потолок - 7000 м - тоже, скорость 259 - км/час мала. Причина- неудачная конструкция колес и большое сопротивление пушек. Тактическая дальность - 310 км - недостаточна.</w:t>
      </w:r>
    </w:p>
    <w:p w14:paraId="590B273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Артвооружение испытания выдержало. Выстрелили 363 патрона. 19 задержек. Снятие и установка АПК-4бис - 15 минут и 2 чел-ка.</w:t>
      </w:r>
    </w:p>
    <w:p w14:paraId="1BEB3BA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Мала емкость магазина - 7 на ствол, но Курчевский обещал 14.</w:t>
      </w:r>
    </w:p>
    <w:p w14:paraId="2A5D0A2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4E5B5DB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И-ЗЕТ с АПК м.б. принят на вооружение при условиях доработок с предъявлением модификации к 1 марта:</w:t>
      </w:r>
    </w:p>
    <w:p w14:paraId="2228519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скорости до 300 км/час,</w:t>
      </w:r>
    </w:p>
    <w:p w14:paraId="7FCEC23A"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емкости баков, доведение к-ва снарядов до 20, установка электрооборудования и радио,</w:t>
      </w:r>
    </w:p>
    <w:p w14:paraId="39FE2A0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прочности, т.к. после 300-500 выстрелов нуждался в ремонте, а хотели - 1000 (3996, 93).</w:t>
      </w:r>
    </w:p>
    <w:p w14:paraId="669E1073"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Стреляли в р-не Переяславля-залесского на берегу Плещеева озера. Испытывали два - № 39005 и 39010 с 4хАПК-4бис серийные.</w:t>
      </w:r>
    </w:p>
    <w:p w14:paraId="58E9EC6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Летали: А.Коротков, М.Сцельников (3996, 93).</w:t>
      </w:r>
    </w:p>
    <w:p w14:paraId="2120444E"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6DE91FFA"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14 сентября по 1 октября 1933 г. в Щёлково велись государственные испытания И-ЗЕТ № 39010, вооружённого серийными пушками АПК-4, каждая из которых была снабжена трубчатым магазином на шесть снарядов (плюс ещё один снаряд в стволе). Летал М. Сцельников, общий налёт по времени составил 16 ч 20 мин. В отчёте по испытаниям указывалось, что самолёт № 39010 изготовлен по образцу опытного экземпляра и в основных размерных параметрах от последнего не отличается. Кабина лётчика была удобна и просторна. На взлёте И-ЗЕТ быстро отрывался от земли, в горизонтальном полёте шёл с отпущенной ручкой, был устойчив во всех отношениях, управление оценивалось как мягкое и лёгкое. Испытания на штопор не проводились, однако и тенденции к срыву в него не отмечалось. Полученные данные скороподъёмности (5000 м за 14 мин) и потолка (7000 м) признавались удовлетворительными, а максимальная скорость 259 км/ч и техническая дальность 310 км - недостаточными. Основными причинами отмеченных недостатков назывались неудачная конструкция шасси и большое сопротивление АПК-4. Артиллерийское вооружение И-ЗЕТ испытания выдержало, однако ёмкость магазинов оценивалась как "недопустимо малая". В дальнейшем Курчевский планировал установить в крыле коробчатый магазин на 10 - 14 снарядов, но для АПК-4, насколько известно, это сделано не было.</w:t>
      </w:r>
    </w:p>
    <w:p w14:paraId="237CAA2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Итоговое заключение подтверждало, что истребители типа И-ЗЕТ могут быть приняты на вооружение ВВС РККА при выполнении следующих условий: повышение максимальной полётной скорости до 300 км/ч, увеличение ёмкости бензобаков, доведение количества снарядов на одну пушку до 20 штук, установка электрооборудования и радио. Особым пунктом шло требование увеличить прочность планёра, доведя его ресурс до 1000 выстрелов из ДРП. В существующем виде уже после 300 - 500 выстрелов конструкция истребителя нуждалась в ремонте. Модифицированную машину следовало предъявить на испытания к 1 марта 1934 г.</w:t>
      </w:r>
    </w:p>
    <w:p w14:paraId="0097E55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местом проведения государственных испытаний в документах указывался аэродром НИИ ВВС, стреляли из динамо-реактивных пушек совсем в другом месте. Старинный городок Переславль-Залес- ский и раскинувшееся вблизи Плещеево озеро, расположенные в 100 км севернее Москвы, являлись в ту пору изрядной глухоманью. Курчевский был родом из этих мест, любил ездить туда на охоту, поэтому настоял на обустройстве секретной базы и испытательного полигона на берегу озера.</w:t>
      </w:r>
    </w:p>
    <w:p w14:paraId="5E4638A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Первые стрельбы в воздухе там провёл лётчик Томас Сузи. Осенью 1933 г. выполнили 52 полёта. Использовали 598 снарядов, но по причине многочисленных отказов произвели всего 363 выстрела (60,7%). Стрельбы велись на высоте 700 - 800 м по запускаемым группами шарам-пилотам, каждый из которых имел диаметр 50 - 60 см. Проведённые испытания показали, что для повышения эффективности стрельбы из АПК-4 нужен дальномер и более совершенный прицел, чем имеющийся оптический ОП-1, рассчитанный на дальность стрельбы 400 м и скорость 250 км/ч. После полётов Т. Сузи в этих же местах начались испытания ещё двух серийных И-ЗЕТ (№№ 39005 и 39010), на которых летали А. Короткое и М. Сцельников (12005).</w:t>
      </w:r>
    </w:p>
    <w:p w14:paraId="46F78C9F"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21DA990A" w14:textId="77777777" w:rsidR="00B2303C" w:rsidRPr="0044524F" w:rsidRDefault="00B2303C"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14 сентября (по 1 октября) 1933 года</w:t>
      </w:r>
      <w:r w:rsidRPr="0044524F">
        <w:rPr>
          <w:rStyle w:val="ucoz-forum-post"/>
          <w:rFonts w:ascii="Times New Roman" w:eastAsiaTheme="majorEastAsia" w:hAnsi="Times New Roman"/>
          <w:color w:val="000000" w:themeColor="text1"/>
          <w:sz w:val="16"/>
          <w:szCs w:val="16"/>
        </w:rPr>
        <w:t xml:space="preserve"> В Щелково начались госиспытания И-Z №39010, вооруженного серийными пушками АПК-4, каждая из которых была снабжена трубчатым магазином на 6 снарядов (+1 - в стволе). Летал М.Сцельников, общий налет составил 16 ч 20 мин. В отчете по испытаниям указывалось, что самолет №39010 изготовлен по образцу опытного и в основных размерных параметрах от последнего не отличается. Кабина летчика удобна и просторна. На взлете И-Z быстро отрывается, в горизонтальном полете идет с отпущенной ручкой, устойчив во всех отношениях, управление мягкое и легкое. Испытания на штопор не проводились, однако и тенденции к срыву в штопор не отмечалось. Полученные данные скороподъемности (5000м за 14 мин) и потолка (7000м) признавались удовлетворительными, а максимальной скорости (259 км/ч) и технической дальности (310 км) - недостаточными. Основными причинами отмеченных недостатков назывались неудачная конструкция шасси и большое сопротивление АПК. Артиллерийское вооружение И-Z испытания выдержало, однако емкость магазинов оценивалась как недопустимо малая. В заключение говорилось, что истребители типа И-Z могут быть приняты на вооружение ВВС РККА при выполнении следующих условий: увеличения максимальной скорости (до 300 км/ч), емкости бензобаков, количества снарядов (до 20 штук), установки электрооборудования и радио. Особым пунктом шло пожелание увеличить прочность самолета, так как уже после 300-500 выстрелов его конструкция нуждалась в ремонте (14769).</w:t>
      </w:r>
    </w:p>
    <w:p w14:paraId="5A2DCFFA" w14:textId="77777777" w:rsidR="00B2303C" w:rsidRPr="0044524F" w:rsidRDefault="00B2303C" w:rsidP="009654CF">
      <w:pPr>
        <w:spacing w:after="0" w:line="240" w:lineRule="auto"/>
        <w:jc w:val="both"/>
        <w:rPr>
          <w:rStyle w:val="ucoz-forum-post"/>
          <w:rFonts w:ascii="Times New Roman" w:eastAsiaTheme="majorEastAsia" w:hAnsi="Times New Roman"/>
          <w:color w:val="000000" w:themeColor="text1"/>
          <w:sz w:val="16"/>
          <w:szCs w:val="16"/>
        </w:rPr>
      </w:pPr>
    </w:p>
    <w:p w14:paraId="2A907E44" w14:textId="77777777" w:rsidR="005228D6" w:rsidRPr="0044524F" w:rsidRDefault="005228D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14-го сентября по 1-е октября 1933 в Щелково прошли лётные Государственные испытания «И-Z», вооруженного серийными пушками АПК-4, каждая из которых была снабжена трубчатым магазином на шесть снарядов. Летал на истребителе летчик-испытатель НИИ ВВС М. Сцельников. В отчете НИИ ВВС по испытаниям </w:t>
      </w:r>
      <w:r w:rsidRPr="0044524F">
        <w:rPr>
          <w:rFonts w:ascii="Times New Roman" w:hAnsi="Times New Roman"/>
          <w:color w:val="000000" w:themeColor="text1"/>
          <w:sz w:val="16"/>
          <w:szCs w:val="16"/>
        </w:rPr>
        <w:lastRenderedPageBreak/>
        <w:t>указывалось, что самолет «И-Z» изготовлен по образцу опытного и в основных размерных параметрах от последнего не отличается. Кабина летчика удобна и просторна. На взлете «И-Z» быстро отрывается в горизонтальном полете идет с отпущенной ручкой, устойчив во всех отношениях, управление легкое. Испытания на штопор не проводились, но и тенденции к срыву в штопор не наблюдалось. В заключении по испытаниям говорилось, что истребители типа «И-Z» могут быть приняты на вооружение ВВС РККА при выполнении следующих условий: увеличение максимальной скорости до 300 км/час, емкости бензобаков, количества снарядов, установки электрооборудования и радио. Особым пунктом шло пожелание увеличить прочность самолета, так как уже после 300-500 выстрелов его конструкция нуждалась в ремонте. Военные хотели довести живучесть «И-Z» до 1000 выстрелов. Однако это пожелание ВВС выполнить не удалось. В ходе последующих испытаний истребителей «И-Z», стрельбы из пушек велись с пикирования, кабрирования, в горизонтальном полете, одиночными выстрелами и сериями. После 100-150 выстрелов проводился осмотр конструкций истребителей с заменой, по возможности, отдельных частей. В среднем из каждой пушки выполнили 240 выстрелов. При стрельбе в конструкции самолетов наблюдались значительные повреждения. Газы, вылетавшие из пушек, коробили и отрывали обшивку, оказывали на конструкцию крайне нежелательные нагрузки. Лишь отдельные самолеты смогли выдержать свыше 350 выстрелов. Признавалось, что даже при соответствующих усилениях конструкции «И-Z», срок его службы при стрельбе из динамо-реактивных пушек составит не более 400 выстрелов. При испытаниях большую часть серийных истребителей довели до нелетного состояния (15223).</w:t>
      </w:r>
    </w:p>
    <w:p w14:paraId="0448C562" w14:textId="77777777" w:rsidR="005228D6" w:rsidRPr="0044524F" w:rsidRDefault="005228D6" w:rsidP="009654CF">
      <w:pPr>
        <w:shd w:val="clear" w:color="auto" w:fill="FFFFFF"/>
        <w:spacing w:after="0" w:line="240" w:lineRule="auto"/>
        <w:jc w:val="both"/>
        <w:rPr>
          <w:rFonts w:ascii="Times New Roman" w:hAnsi="Times New Roman"/>
          <w:color w:val="000000" w:themeColor="text1"/>
          <w:sz w:val="16"/>
          <w:szCs w:val="16"/>
        </w:rPr>
      </w:pPr>
    </w:p>
    <w:p w14:paraId="76C8E96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14 сентября по 1 октября 1933 г. на аэродроме НИИ ВВС в Щелкове были проведены государственные испытания самолета И-7 № 39 010, вооруженного серийными пушками АПК-4бис. Летал летчик Сцельников, общий налет составил 16 часов 20 минут.</w:t>
      </w:r>
    </w:p>
    <w:p w14:paraId="14B0474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отчете по испытаниям указывалось, что самолет И-7 № 39 010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49AC381A"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310 км также признана недостаточной.</w:t>
      </w:r>
    </w:p>
    <w:p w14:paraId="6EF1233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33E028A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Малая емкость магазинов — на две пушки всего 14 снарядов —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39837EE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04A7682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максимальной скорости до 300 км/час;</w:t>
      </w:r>
    </w:p>
    <w:p w14:paraId="2552DDD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емкости бензобаков, доведения количества снарядов до 20 штук, установки электрооборудования и радио.</w:t>
      </w:r>
    </w:p>
    <w:p w14:paraId="7715FDE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21BACE4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39 005 и № 39 010) с четырьмя серийными пушками АПК-4бис. Летали летчики А. Коротков и М. Сцельников. Из 147 патронов выстреляно 74, задержек —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 (12091).</w:t>
      </w:r>
    </w:p>
    <w:p w14:paraId="16894727"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72457E4E"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период с 14 сентября по 1 октября 1933 г. на аэродроме НИИ ВВС в Щелкове были проведены государственные испытания самолета И-7 № 39010, вооруженного серийными пушками АПК-4бис. Летал летчик Сцельников, общий налет составил 16 часов 20 минут.</w:t>
      </w:r>
    </w:p>
    <w:p w14:paraId="6F0B660D"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отчете по испытаниям указывалось, что самолет И-7 № 39010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2356FA55"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 310 км — также признана недостаточной.</w:t>
      </w:r>
    </w:p>
    <w:p w14:paraId="5ACE6139"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3A74B973"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Малая емкость магазинов — на две пушки всего 14 снарядов —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2AFB4047"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03DDB2EC"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увеличение максимальной скорости до 300 км/час;</w:t>
      </w:r>
    </w:p>
    <w:p w14:paraId="6B25B404"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увеличение емкости бензобаков, доведение количества снарядов до 20 штук, установка электрооборудования и радио.</w:t>
      </w:r>
    </w:p>
    <w:p w14:paraId="2077E4B5"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328DB2EB"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39005 и № 39010) с четырьмя серийными пушками АПК-4бис. Летали летчики А. Коротков и М. Сцельников. Из 147 патронов выстреляно 74, задержек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 (25213).</w:t>
      </w:r>
    </w:p>
    <w:p w14:paraId="0115BFEF" w14:textId="77777777" w:rsidR="008553FB" w:rsidRPr="00142305" w:rsidRDefault="008553FB" w:rsidP="008553FB">
      <w:pPr>
        <w:spacing w:after="0" w:line="240" w:lineRule="auto"/>
        <w:jc w:val="both"/>
        <w:rPr>
          <w:rFonts w:ascii="Times New Roman" w:hAnsi="Times New Roman"/>
          <w:color w:val="0070C0"/>
          <w:sz w:val="16"/>
          <w:szCs w:val="16"/>
        </w:rPr>
      </w:pPr>
    </w:p>
    <w:p w14:paraId="2B7B5B3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произошла авария МИ-3 2М-34Н (АНТ-21) - сломались рули направления - почти сразу после начала заводских испытаний. Заменили разнесенное оперение на один киль (4,10). Согласно В.Б.Ш., который был свидетелем, рули направления сломались по верхним узлам крепления и И.Ф.Козлов с трудом посадил снеся шасси (1076,473). Л И.Ф.Козлов (6200, 8).</w:t>
      </w:r>
    </w:p>
    <w:p w14:paraId="366721BA"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испытаний гофр также заменили на гладкую обшивку (109,236) нет, это на дублере (1076,473).</w:t>
      </w:r>
    </w:p>
    <w:p w14:paraId="2D85A0C2"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7715463C" w14:textId="2BD3535A"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г. на скорости около 350 км/ч одновременно разрушились верхние узлы крепления рулей направления МИ-3 (АНТ-21). Верхние части ру</w:t>
      </w:r>
      <w:r w:rsidRPr="0044524F">
        <w:rPr>
          <w:rFonts w:ascii="Times New Roman" w:hAnsi="Times New Roman"/>
          <w:color w:val="000000" w:themeColor="text1"/>
          <w:sz w:val="16"/>
          <w:szCs w:val="16"/>
        </w:rPr>
        <w:softHyphen/>
        <w:t>лей с роговыми компенсаторами сложи</w:t>
      </w:r>
      <w:r w:rsidRPr="0044524F">
        <w:rPr>
          <w:rFonts w:ascii="Times New Roman" w:hAnsi="Times New Roman"/>
          <w:color w:val="000000" w:themeColor="text1"/>
          <w:sz w:val="16"/>
          <w:szCs w:val="16"/>
        </w:rPr>
        <w:softHyphen/>
        <w:t>лись внутрь на 180 градусов. Управление ими было нарушено. И.Ф. Козлов с тру</w:t>
      </w:r>
      <w:r w:rsidRPr="0044524F">
        <w:rPr>
          <w:rFonts w:ascii="Times New Roman" w:hAnsi="Times New Roman"/>
          <w:color w:val="000000" w:themeColor="text1"/>
          <w:sz w:val="16"/>
          <w:szCs w:val="16"/>
        </w:rPr>
        <w:softHyphen/>
        <w:t>дом посадил поврежденную машину, сломав при этом шасси.</w:t>
      </w:r>
    </w:p>
    <w:p w14:paraId="06345620"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эта авария привела к важному решению. Как обычно в таких случаях, сделали повторный расчет. Проведенный по принятой в те годы методике, он под</w:t>
      </w:r>
      <w:r w:rsidRPr="0044524F">
        <w:rPr>
          <w:rFonts w:ascii="Times New Roman" w:hAnsi="Times New Roman"/>
          <w:color w:val="000000" w:themeColor="text1"/>
          <w:sz w:val="16"/>
          <w:szCs w:val="16"/>
        </w:rPr>
        <w:softHyphen/>
        <w:t>твердил, что узлы крепления выполнены в соответствии с нормами. Не было пре</w:t>
      </w:r>
      <w:r w:rsidRPr="0044524F">
        <w:rPr>
          <w:rFonts w:ascii="Times New Roman" w:hAnsi="Times New Roman"/>
          <w:color w:val="000000" w:themeColor="text1"/>
          <w:sz w:val="16"/>
          <w:szCs w:val="16"/>
        </w:rPr>
        <w:softHyphen/>
        <w:t>тензий к материалу узлов и со стороны ме</w:t>
      </w:r>
      <w:r w:rsidRPr="0044524F">
        <w:rPr>
          <w:rFonts w:ascii="Times New Roman" w:hAnsi="Times New Roman"/>
          <w:color w:val="000000" w:themeColor="text1"/>
          <w:sz w:val="16"/>
          <w:szCs w:val="16"/>
        </w:rPr>
        <w:softHyphen/>
        <w:t>таллографов. Отчего же они разрушились? Изучение материалов летных испытаний и анализ действующих на оперение на</w:t>
      </w:r>
      <w:r w:rsidRPr="0044524F">
        <w:rPr>
          <w:rFonts w:ascii="Times New Roman" w:hAnsi="Times New Roman"/>
          <w:color w:val="000000" w:themeColor="text1"/>
          <w:sz w:val="16"/>
          <w:szCs w:val="16"/>
        </w:rPr>
        <w:softHyphen/>
        <w:t>грузок заставили по иному взглянуть на методику расчета. Выяснилось, что для скоростных самолетов, а МИ—3 отно</w:t>
      </w:r>
      <w:r w:rsidRPr="0044524F">
        <w:rPr>
          <w:rFonts w:ascii="Times New Roman" w:hAnsi="Times New Roman"/>
          <w:color w:val="000000" w:themeColor="text1"/>
          <w:sz w:val="16"/>
          <w:szCs w:val="16"/>
        </w:rPr>
        <w:softHyphen/>
        <w:t>сился к ним, необходимо обеспечивать не только статическую, но и динамичес</w:t>
      </w:r>
      <w:r w:rsidRPr="0044524F">
        <w:rPr>
          <w:rFonts w:ascii="Times New Roman" w:hAnsi="Times New Roman"/>
          <w:color w:val="000000" w:themeColor="text1"/>
          <w:sz w:val="16"/>
          <w:szCs w:val="16"/>
        </w:rPr>
        <w:softHyphen/>
        <w:t>кую прочность агрегатов планера (23474).</w:t>
      </w:r>
    </w:p>
    <w:p w14:paraId="20D8B383" w14:textId="77777777" w:rsidR="00201C04" w:rsidRPr="0044524F" w:rsidRDefault="00201C04" w:rsidP="009654CF">
      <w:pPr>
        <w:spacing w:after="0" w:line="240" w:lineRule="auto"/>
        <w:jc w:val="both"/>
        <w:rPr>
          <w:rFonts w:ascii="Times New Roman" w:hAnsi="Times New Roman"/>
          <w:color w:val="000000" w:themeColor="text1"/>
          <w:sz w:val="16"/>
          <w:szCs w:val="16"/>
        </w:rPr>
      </w:pPr>
    </w:p>
    <w:p w14:paraId="346B70AC"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года самолет МИ-3 (АНТ-21) потерпел аварию.</w:t>
      </w:r>
    </w:p>
    <w:p w14:paraId="18CE4649"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по расследованию причин аварии установила следующие дефекты самолета:</w:t>
      </w:r>
    </w:p>
    <w:p w14:paraId="3C6B2328"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Неудовлетворительность нормам прочности.</w:t>
      </w:r>
    </w:p>
    <w:p w14:paraId="753077B1"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Несоответствие профиля и сечения лонжерона нагрузкам.</w:t>
      </w:r>
    </w:p>
    <w:p w14:paraId="5F6CAA0D"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Недостаточную прочность материала.</w:t>
      </w:r>
    </w:p>
    <w:p w14:paraId="66C48C29"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установления точной причины поломки компенсаторов, приведшей к аварии, комиссия предложила ЦАРИ провести следующую работу:</w:t>
      </w:r>
    </w:p>
    <w:p w14:paraId="1D420020"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Проверить расчеты рулей поворота</w:t>
      </w:r>
    </w:p>
    <w:p w14:paraId="080B8F70"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статиспытания рулей поворота.</w:t>
      </w:r>
    </w:p>
    <w:p w14:paraId="3E8A7DED"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Произвести аэродинамическое исследование распределения давления по рулям поворота.</w:t>
      </w:r>
    </w:p>
    <w:p w14:paraId="620DB673"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решения комиссии, ЦАГИ немедленно приступил к изучению причин аварии самолета МИ-3 (АНТ-21).</w:t>
      </w:r>
    </w:p>
    <w:p w14:paraId="431D5350"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 Были проверены расчеты на прочность рулей поворота и установлена правильность расчетов, соответствовавших нормам прочности, применявшимся до октября 1933 года.</w:t>
      </w:r>
    </w:p>
    <w:p w14:paraId="5711EF5D"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Было произведено статическое испытание рулей поворота, подтвердившее правильность расчетов и установившее, что поломка балки нарощенного руля произошла при нагрузке соответствовавшей напряжению материала балки равной 12,5 кг/мм.</w:t>
      </w:r>
    </w:p>
    <w:p w14:paraId="6618B1AD" w14:textId="7777777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 аэродинамическом исследовании распределения давления по рулям поворота никаких документов не сохранилось.</w:t>
      </w:r>
    </w:p>
    <w:p w14:paraId="5C653374" w14:textId="0D013A27" w:rsidR="00201C04" w:rsidRPr="0044524F" w:rsidRDefault="00201C0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Позднее, в 1934 году произведенный в ЦАГИ проверочный расчет на прочность самолета МИ-3 (АНТ-21)</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 полетным весом 5400 кг показал, что прочность самолета не соответствовала нормам прочности для данной группы самолетов (24197).</w:t>
      </w:r>
    </w:p>
    <w:p w14:paraId="3173E1C7" w14:textId="77777777" w:rsidR="00201C04" w:rsidRPr="0044524F" w:rsidRDefault="00201C04" w:rsidP="009654CF">
      <w:pPr>
        <w:spacing w:after="0" w:line="240" w:lineRule="auto"/>
        <w:jc w:val="both"/>
        <w:rPr>
          <w:rFonts w:ascii="Times New Roman" w:hAnsi="Times New Roman"/>
          <w:color w:val="000000" w:themeColor="text1"/>
          <w:sz w:val="16"/>
          <w:szCs w:val="16"/>
        </w:rPr>
      </w:pPr>
    </w:p>
    <w:p w14:paraId="7A74F13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при первом пробном взлете по прямой был подломлен костыль ЛР М-34Н (2287,127).</w:t>
      </w:r>
    </w:p>
    <w:p w14:paraId="7355BFE9"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3BB0490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14 сентября по 23 ноября 1933 проходили гос. испытания опытной переливки горючего в воздухе из самолета Р-5 М-17 в самолет ТБ-3-4М17</w:t>
      </w:r>
    </w:p>
    <w:p w14:paraId="74EF57DA"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1D0A482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инженер-летчик Белозеров</w:t>
      </w:r>
    </w:p>
    <w:p w14:paraId="2E7DA5E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 Миндер, Каверин</w:t>
      </w:r>
    </w:p>
    <w:p w14:paraId="2552643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64DA540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проверить возможность переливки горючего в воздухе во время полета из самолета Р-5 М-17 в самолет ТБ-3 4М-17.</w:t>
      </w:r>
    </w:p>
    <w:p w14:paraId="26D6CBD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практическую целесообразность внедрения таковой в строевые части.</w:t>
      </w:r>
    </w:p>
    <w:p w14:paraId="1957BB06"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5AE919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приспособление для переливки горючего из самолета Р-5 М-17 в самолет ТБ-3 4М-17 гос. испытания выдержало.</w:t>
      </w:r>
    </w:p>
    <w:p w14:paraId="2513775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Календарь проведения гос. испытаний по переливке в воздухе горючего из самолета Р5-М17 в самолет </w:t>
      </w:r>
      <w:r w:rsidRPr="0044524F">
        <w:rPr>
          <w:rFonts w:ascii="Times New Roman" w:hAnsi="Times New Roman"/>
          <w:color w:val="000000" w:themeColor="text1"/>
          <w:sz w:val="16"/>
          <w:szCs w:val="16"/>
        </w:rPr>
        <w:tab/>
        <w:t>ТБ-3 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7493"/>
      </w:tblGrid>
      <w:tr w:rsidR="004E10C1" w:rsidRPr="0044524F" w14:paraId="0A9194D8" w14:textId="77777777">
        <w:tc>
          <w:tcPr>
            <w:tcW w:w="2254" w:type="dxa"/>
          </w:tcPr>
          <w:p w14:paraId="76D519C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года</w:t>
            </w:r>
          </w:p>
        </w:tc>
        <w:tc>
          <w:tcPr>
            <w:tcW w:w="7493" w:type="dxa"/>
          </w:tcPr>
          <w:p w14:paraId="684A6F0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Перегонка самолета ТБ-3 завода N 39 в Щелково - 50 мин.</w:t>
            </w:r>
          </w:p>
        </w:tc>
      </w:tr>
      <w:tr w:rsidR="004E10C1" w:rsidRPr="0044524F" w14:paraId="6102ED3D" w14:textId="77777777">
        <w:tc>
          <w:tcPr>
            <w:tcW w:w="2254" w:type="dxa"/>
          </w:tcPr>
          <w:p w14:paraId="0E07D24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года</w:t>
            </w:r>
          </w:p>
        </w:tc>
        <w:tc>
          <w:tcPr>
            <w:tcW w:w="7493" w:type="dxa"/>
          </w:tcPr>
          <w:p w14:paraId="5D1A9CE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Вывозные полеты командира эскадрильи Иванова</w:t>
            </w:r>
          </w:p>
        </w:tc>
      </w:tr>
      <w:tr w:rsidR="004E10C1" w:rsidRPr="0044524F" w14:paraId="1CA3EFA1" w14:textId="77777777">
        <w:tc>
          <w:tcPr>
            <w:tcW w:w="2254" w:type="dxa"/>
          </w:tcPr>
          <w:p w14:paraId="48541F64"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7493" w:type="dxa"/>
          </w:tcPr>
          <w:p w14:paraId="5E451E3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28 мин.</w:t>
            </w:r>
          </w:p>
        </w:tc>
      </w:tr>
      <w:tr w:rsidR="004E10C1" w:rsidRPr="0044524F" w14:paraId="62D68586" w14:textId="77777777">
        <w:tc>
          <w:tcPr>
            <w:tcW w:w="2254" w:type="dxa"/>
          </w:tcPr>
          <w:p w14:paraId="582CC54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года</w:t>
            </w:r>
          </w:p>
        </w:tc>
        <w:tc>
          <w:tcPr>
            <w:tcW w:w="7493" w:type="dxa"/>
          </w:tcPr>
          <w:p w14:paraId="489A4F06"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Вывозные полеты командира эскадрильи Иванова</w:t>
            </w:r>
          </w:p>
        </w:tc>
      </w:tr>
      <w:tr w:rsidR="004E10C1" w:rsidRPr="0044524F" w14:paraId="05F9C4C9" w14:textId="77777777">
        <w:tc>
          <w:tcPr>
            <w:tcW w:w="2254" w:type="dxa"/>
          </w:tcPr>
          <w:p w14:paraId="5ACD588B"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7493" w:type="dxa"/>
          </w:tcPr>
          <w:p w14:paraId="12CAB7C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25 мин.</w:t>
            </w:r>
          </w:p>
        </w:tc>
      </w:tr>
      <w:tr w:rsidR="004E10C1" w:rsidRPr="0044524F" w14:paraId="0ED6B9E3" w14:textId="77777777">
        <w:tc>
          <w:tcPr>
            <w:tcW w:w="2254" w:type="dxa"/>
          </w:tcPr>
          <w:p w14:paraId="59FF04EC"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7493" w:type="dxa"/>
          </w:tcPr>
          <w:p w14:paraId="276CAA8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Самостоятельная тренировка Иванова - 34 мин.</w:t>
            </w:r>
          </w:p>
        </w:tc>
      </w:tr>
      <w:tr w:rsidR="004E10C1" w:rsidRPr="0044524F" w14:paraId="3028BF8B" w14:textId="77777777">
        <w:tc>
          <w:tcPr>
            <w:tcW w:w="2254" w:type="dxa"/>
          </w:tcPr>
          <w:p w14:paraId="5EA5FFD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w:t>
            </w:r>
          </w:p>
        </w:tc>
        <w:tc>
          <w:tcPr>
            <w:tcW w:w="7493" w:type="dxa"/>
          </w:tcPr>
          <w:p w14:paraId="21540AA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шлангов - не выполнено - 2 часа.</w:t>
            </w:r>
          </w:p>
        </w:tc>
      </w:tr>
      <w:tr w:rsidR="004E10C1" w:rsidRPr="0044524F" w14:paraId="5871288A" w14:textId="77777777">
        <w:tc>
          <w:tcPr>
            <w:tcW w:w="2254" w:type="dxa"/>
          </w:tcPr>
          <w:p w14:paraId="2649176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года</w:t>
            </w:r>
          </w:p>
        </w:tc>
        <w:tc>
          <w:tcPr>
            <w:tcW w:w="7493" w:type="dxa"/>
          </w:tcPr>
          <w:p w14:paraId="5D13B77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шлангов - не выполнено - 1 час. 8 мин.</w:t>
            </w:r>
          </w:p>
        </w:tc>
      </w:tr>
      <w:tr w:rsidR="004E10C1" w:rsidRPr="0044524F" w14:paraId="7E8B550A" w14:textId="77777777">
        <w:tc>
          <w:tcPr>
            <w:tcW w:w="2254" w:type="dxa"/>
          </w:tcPr>
          <w:p w14:paraId="082D22B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года</w:t>
            </w:r>
          </w:p>
        </w:tc>
        <w:tc>
          <w:tcPr>
            <w:tcW w:w="7493" w:type="dxa"/>
          </w:tcPr>
          <w:p w14:paraId="469934C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шлангов - не выполнено - 58 мин.</w:t>
            </w:r>
          </w:p>
        </w:tc>
      </w:tr>
      <w:tr w:rsidR="004E10C1" w:rsidRPr="0044524F" w14:paraId="4EEFB0E0" w14:textId="77777777">
        <w:tc>
          <w:tcPr>
            <w:tcW w:w="2254" w:type="dxa"/>
          </w:tcPr>
          <w:p w14:paraId="424A662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года</w:t>
            </w:r>
          </w:p>
        </w:tc>
        <w:tc>
          <w:tcPr>
            <w:tcW w:w="7493" w:type="dxa"/>
          </w:tcPr>
          <w:p w14:paraId="3B3DDA6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веревки длиной 60 м - не выполнено</w:t>
            </w:r>
          </w:p>
        </w:tc>
      </w:tr>
      <w:tr w:rsidR="004E10C1" w:rsidRPr="0044524F" w14:paraId="24670038" w14:textId="77777777">
        <w:tc>
          <w:tcPr>
            <w:tcW w:w="2254" w:type="dxa"/>
          </w:tcPr>
          <w:p w14:paraId="5C6161F5"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7493" w:type="dxa"/>
          </w:tcPr>
          <w:p w14:paraId="1EF7D304"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17 мин.</w:t>
            </w:r>
          </w:p>
        </w:tc>
      </w:tr>
      <w:tr w:rsidR="004E10C1" w:rsidRPr="0044524F" w14:paraId="4CCF5080" w14:textId="77777777">
        <w:tc>
          <w:tcPr>
            <w:tcW w:w="2254" w:type="dxa"/>
          </w:tcPr>
          <w:p w14:paraId="1E802DE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года</w:t>
            </w:r>
          </w:p>
        </w:tc>
        <w:tc>
          <w:tcPr>
            <w:tcW w:w="7493" w:type="dxa"/>
          </w:tcPr>
          <w:p w14:paraId="366E9ED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веревки длиной 60 м - выполнено.</w:t>
            </w:r>
          </w:p>
        </w:tc>
      </w:tr>
      <w:tr w:rsidR="004E10C1" w:rsidRPr="0044524F" w14:paraId="1C0353D2" w14:textId="77777777">
        <w:tc>
          <w:tcPr>
            <w:tcW w:w="2254" w:type="dxa"/>
          </w:tcPr>
          <w:p w14:paraId="48502E85"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7493" w:type="dxa"/>
          </w:tcPr>
          <w:p w14:paraId="47156CF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28 мин.</w:t>
            </w:r>
          </w:p>
        </w:tc>
      </w:tr>
      <w:tr w:rsidR="004E10C1" w:rsidRPr="0044524F" w14:paraId="79C1BDDA" w14:textId="77777777">
        <w:tc>
          <w:tcPr>
            <w:tcW w:w="2254" w:type="dxa"/>
          </w:tcPr>
          <w:p w14:paraId="46B3695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октября 1933 года</w:t>
            </w:r>
          </w:p>
        </w:tc>
        <w:tc>
          <w:tcPr>
            <w:tcW w:w="7493" w:type="dxa"/>
          </w:tcPr>
          <w:p w14:paraId="6BDC33F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шланга длиной 50 м. Не выполнено из-за</w:t>
            </w:r>
          </w:p>
        </w:tc>
      </w:tr>
      <w:tr w:rsidR="004E10C1" w:rsidRPr="0044524F" w14:paraId="042BE2F4" w14:textId="77777777">
        <w:tc>
          <w:tcPr>
            <w:tcW w:w="2254" w:type="dxa"/>
          </w:tcPr>
          <w:p w14:paraId="189D469D"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7493" w:type="dxa"/>
          </w:tcPr>
          <w:p w14:paraId="64AAB69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того, что конец шланга болтался. - 1 час. 30 мин.</w:t>
            </w:r>
          </w:p>
        </w:tc>
      </w:tr>
      <w:tr w:rsidR="004E10C1" w:rsidRPr="0044524F" w14:paraId="7172C004" w14:textId="77777777">
        <w:tc>
          <w:tcPr>
            <w:tcW w:w="2254" w:type="dxa"/>
          </w:tcPr>
          <w:p w14:paraId="22AE562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7493" w:type="dxa"/>
          </w:tcPr>
          <w:p w14:paraId="152CC44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час. 38 мин.</w:t>
            </w:r>
          </w:p>
        </w:tc>
      </w:tr>
    </w:tbl>
    <w:p w14:paraId="5A3D4CB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состав экипажа (ведущий летчик Миндер)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5990"/>
      </w:tblGrid>
      <w:tr w:rsidR="004E10C1" w:rsidRPr="0044524F" w14:paraId="6EDDDCBB" w14:textId="77777777">
        <w:tc>
          <w:tcPr>
            <w:tcW w:w="3757" w:type="dxa"/>
          </w:tcPr>
          <w:p w14:paraId="7CB40A3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года</w:t>
            </w:r>
          </w:p>
        </w:tc>
        <w:tc>
          <w:tcPr>
            <w:tcW w:w="5990" w:type="dxa"/>
          </w:tcPr>
          <w:p w14:paraId="21F92A70"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Тренировочный полет, хождение парой в строю</w:t>
            </w:r>
          </w:p>
        </w:tc>
      </w:tr>
      <w:tr w:rsidR="004E10C1" w:rsidRPr="0044524F" w14:paraId="335654E4" w14:textId="77777777">
        <w:tc>
          <w:tcPr>
            <w:tcW w:w="3757" w:type="dxa"/>
          </w:tcPr>
          <w:p w14:paraId="5069EE2A"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5990" w:type="dxa"/>
          </w:tcPr>
          <w:p w14:paraId="0AE2A16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кильватора с принижением второго самолета и подхватывание</w:t>
            </w:r>
          </w:p>
        </w:tc>
      </w:tr>
      <w:tr w:rsidR="004E10C1" w:rsidRPr="0044524F" w14:paraId="2422A81B" w14:textId="77777777">
        <w:tc>
          <w:tcPr>
            <w:tcW w:w="3757" w:type="dxa"/>
          </w:tcPr>
          <w:p w14:paraId="12038752"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5990" w:type="dxa"/>
          </w:tcPr>
          <w:p w14:paraId="2C6B1C1F"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летнабами самолета ТБ-3 веревки длиной 35 м, вместо</w:t>
            </w:r>
          </w:p>
        </w:tc>
      </w:tr>
      <w:tr w:rsidR="004E10C1" w:rsidRPr="0044524F" w14:paraId="5B085AFF" w14:textId="77777777">
        <w:tc>
          <w:tcPr>
            <w:tcW w:w="3757" w:type="dxa"/>
          </w:tcPr>
          <w:p w14:paraId="6097DB4A"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5990" w:type="dxa"/>
          </w:tcPr>
          <w:p w14:paraId="3CC48AA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шланга - 55 мин.</w:t>
            </w:r>
          </w:p>
        </w:tc>
      </w:tr>
      <w:tr w:rsidR="004E10C1" w:rsidRPr="0044524F" w14:paraId="3F7ED79B" w14:textId="77777777">
        <w:tc>
          <w:tcPr>
            <w:tcW w:w="3757" w:type="dxa"/>
          </w:tcPr>
          <w:p w14:paraId="6A97CE2A"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ноября 1933 года</w:t>
            </w:r>
          </w:p>
        </w:tc>
        <w:tc>
          <w:tcPr>
            <w:tcW w:w="5990" w:type="dxa"/>
          </w:tcPr>
          <w:p w14:paraId="5CCCFFD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Тренировочный полет, хождение парой в строю</w:t>
            </w:r>
          </w:p>
        </w:tc>
      </w:tr>
      <w:tr w:rsidR="004E10C1" w:rsidRPr="0044524F" w14:paraId="45E95D5B" w14:textId="77777777">
        <w:tc>
          <w:tcPr>
            <w:tcW w:w="3757" w:type="dxa"/>
          </w:tcPr>
          <w:p w14:paraId="0022379E"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5990" w:type="dxa"/>
          </w:tcPr>
          <w:p w14:paraId="3BBC67D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кильватора с принижением второго самолета и подхватывание</w:t>
            </w:r>
          </w:p>
        </w:tc>
      </w:tr>
      <w:tr w:rsidR="004E10C1" w:rsidRPr="0044524F" w14:paraId="7368769E" w14:textId="77777777">
        <w:tc>
          <w:tcPr>
            <w:tcW w:w="3757" w:type="dxa"/>
          </w:tcPr>
          <w:p w14:paraId="24AF4CA5"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5990" w:type="dxa"/>
          </w:tcPr>
          <w:p w14:paraId="741C0E96"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летнабами самолета ТБ-3 шланга длиной 35 м, вместо</w:t>
            </w:r>
          </w:p>
        </w:tc>
      </w:tr>
      <w:tr w:rsidR="004E10C1" w:rsidRPr="0044524F" w14:paraId="55856246" w14:textId="77777777">
        <w:tc>
          <w:tcPr>
            <w:tcW w:w="3757" w:type="dxa"/>
          </w:tcPr>
          <w:p w14:paraId="099B7B6B"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5990" w:type="dxa"/>
          </w:tcPr>
          <w:p w14:paraId="2CDA80A1"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шланга - 55 мин. В первый полет шланг болтался и из-за</w:t>
            </w:r>
          </w:p>
        </w:tc>
      </w:tr>
      <w:tr w:rsidR="004E10C1" w:rsidRPr="0044524F" w14:paraId="69E5AE27" w14:textId="77777777">
        <w:tc>
          <w:tcPr>
            <w:tcW w:w="3757" w:type="dxa"/>
          </w:tcPr>
          <w:p w14:paraId="791803B3"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5990" w:type="dxa"/>
          </w:tcPr>
          <w:p w14:paraId="2952D5E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этого задание не было выполнено. Во второй полет</w:t>
            </w:r>
          </w:p>
        </w:tc>
      </w:tr>
      <w:tr w:rsidR="004E10C1" w:rsidRPr="0044524F" w14:paraId="21DF48DF" w14:textId="77777777">
        <w:tc>
          <w:tcPr>
            <w:tcW w:w="3757" w:type="dxa"/>
          </w:tcPr>
          <w:p w14:paraId="2B56EBD4"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5990" w:type="dxa"/>
          </w:tcPr>
          <w:p w14:paraId="40A1FFC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утяжеления груза задание выполнено. - 1 час. 15 мин.</w:t>
            </w:r>
          </w:p>
        </w:tc>
      </w:tr>
      <w:tr w:rsidR="004E10C1" w:rsidRPr="0044524F" w14:paraId="6EED8B15" w14:textId="77777777">
        <w:tc>
          <w:tcPr>
            <w:tcW w:w="3757" w:type="dxa"/>
          </w:tcPr>
          <w:p w14:paraId="0DFB4DF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года</w:t>
            </w:r>
          </w:p>
        </w:tc>
        <w:tc>
          <w:tcPr>
            <w:tcW w:w="5990" w:type="dxa"/>
          </w:tcPr>
          <w:p w14:paraId="7CEB6E2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для переливки горючего в воздухе. Из-за низкой</w:t>
            </w:r>
          </w:p>
        </w:tc>
      </w:tr>
      <w:tr w:rsidR="004E10C1" w:rsidRPr="0044524F" w14:paraId="32F16F22" w14:textId="77777777">
        <w:tc>
          <w:tcPr>
            <w:tcW w:w="3757" w:type="dxa"/>
          </w:tcPr>
          <w:p w14:paraId="29FD9865"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5990" w:type="dxa"/>
          </w:tcPr>
          <w:p w14:paraId="00CC2699"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облачности и нового состава экипажа самолета Р-5</w:t>
            </w:r>
          </w:p>
        </w:tc>
      </w:tr>
      <w:tr w:rsidR="004E10C1" w:rsidRPr="0044524F" w14:paraId="360AAB48" w14:textId="77777777">
        <w:tc>
          <w:tcPr>
            <w:tcW w:w="3757" w:type="dxa"/>
          </w:tcPr>
          <w:p w14:paraId="734143FD"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c>
          <w:tcPr>
            <w:tcW w:w="5990" w:type="dxa"/>
          </w:tcPr>
          <w:p w14:paraId="29DA480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переливка отставлена - 55 мин.</w:t>
            </w:r>
          </w:p>
        </w:tc>
      </w:tr>
      <w:tr w:rsidR="004E10C1" w:rsidRPr="0044524F" w14:paraId="2C9A1C1C" w14:textId="77777777">
        <w:tc>
          <w:tcPr>
            <w:tcW w:w="3757" w:type="dxa"/>
          </w:tcPr>
          <w:p w14:paraId="5259C877"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года</w:t>
            </w:r>
          </w:p>
        </w:tc>
        <w:tc>
          <w:tcPr>
            <w:tcW w:w="5990" w:type="dxa"/>
          </w:tcPr>
          <w:p w14:paraId="596C58DE"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для переливки горючего в воздухе. Первый раз</w:t>
            </w:r>
          </w:p>
        </w:tc>
      </w:tr>
      <w:tr w:rsidR="004E10C1" w:rsidRPr="0044524F" w14:paraId="7323D33F" w14:textId="77777777">
        <w:tc>
          <w:tcPr>
            <w:tcW w:w="3757" w:type="dxa"/>
          </w:tcPr>
          <w:p w14:paraId="2F35216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переливка одного нижнего бака. Второй - переливка</w:t>
            </w:r>
          </w:p>
        </w:tc>
        <w:tc>
          <w:tcPr>
            <w:tcW w:w="5990" w:type="dxa"/>
          </w:tcPr>
          <w:p w14:paraId="244E83D2"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r>
      <w:tr w:rsidR="004E10C1" w:rsidRPr="0044524F" w14:paraId="132FD5C8" w14:textId="77777777">
        <w:tc>
          <w:tcPr>
            <w:tcW w:w="3757" w:type="dxa"/>
          </w:tcPr>
          <w:p w14:paraId="406C0E6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нижнего подфюзеляжного бака и заднего фюзеляжного</w:t>
            </w:r>
          </w:p>
        </w:tc>
        <w:tc>
          <w:tcPr>
            <w:tcW w:w="5990" w:type="dxa"/>
          </w:tcPr>
          <w:p w14:paraId="0C722CDD" w14:textId="77777777" w:rsidR="007F23E2" w:rsidRPr="0044524F" w:rsidRDefault="007F23E2" w:rsidP="009654CF">
            <w:pPr>
              <w:spacing w:after="0" w:line="240" w:lineRule="auto"/>
              <w:jc w:val="both"/>
              <w:rPr>
                <w:rFonts w:ascii="Times New Roman" w:hAnsi="Times New Roman"/>
                <w:color w:val="000000" w:themeColor="text1"/>
                <w:sz w:val="16"/>
                <w:szCs w:val="16"/>
              </w:rPr>
            </w:pPr>
          </w:p>
        </w:tc>
      </w:tr>
      <w:tr w:rsidR="004E10C1" w:rsidRPr="0044524F" w14:paraId="2B7B1E1B" w14:textId="77777777">
        <w:tc>
          <w:tcPr>
            <w:tcW w:w="3757" w:type="dxa"/>
          </w:tcPr>
          <w:p w14:paraId="2D2915A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(главного)</w:t>
            </w:r>
          </w:p>
        </w:tc>
        <w:tc>
          <w:tcPr>
            <w:tcW w:w="5990" w:type="dxa"/>
          </w:tcPr>
          <w:p w14:paraId="1C315448"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30 мин.</w:t>
            </w:r>
          </w:p>
        </w:tc>
      </w:tr>
      <w:tr w:rsidR="004E10C1" w:rsidRPr="0044524F" w14:paraId="1EA7E0D1" w14:textId="77777777">
        <w:tc>
          <w:tcPr>
            <w:tcW w:w="3757" w:type="dxa"/>
          </w:tcPr>
          <w:p w14:paraId="2D3EC46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5990" w:type="dxa"/>
          </w:tcPr>
          <w:p w14:paraId="5C009D85"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час. 35 мин.</w:t>
            </w:r>
          </w:p>
        </w:tc>
      </w:tr>
    </w:tbl>
    <w:p w14:paraId="2968822D"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Проведено всего 24 полета общей продолжительностью - 17 час. 13 мин. (3916).</w:t>
      </w:r>
    </w:p>
    <w:p w14:paraId="2956C06E"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00210BC4" w14:textId="77777777" w:rsidR="00F249F2" w:rsidRPr="0044524F" w:rsidRDefault="00F249F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14 сентября 1933 начались полёты ТБ-3 с системой дозаправки в виздухе. Больше месяца недостаточно тренированные экипажи безуспешно пытались поймать шланг и перелить горючее из одного самолёта в другой. Только после смены лётчика ТБ-3 на опытного пилота-испытателя К.П. Миндера 20 ноября удалось провести две успешные дозаправки. При этом самолёты выполняли одновременный разворот на 180 градусов, не прекращая перелива топлива </w:t>
      </w:r>
      <w:hyperlink r:id="rId322" w:history="1">
        <w:r w:rsidRPr="0044524F">
          <w:rPr>
            <w:rFonts w:ascii="Times New Roman" w:eastAsia="Times New Roman" w:hAnsi="Times New Roman"/>
            <w:color w:val="000000" w:themeColor="text1"/>
            <w:sz w:val="16"/>
            <w:szCs w:val="16"/>
            <w:lang w:eastAsia="ru-RU"/>
          </w:rPr>
          <w:t>[57]</w:t>
        </w:r>
      </w:hyperlink>
      <w:r w:rsidRPr="0044524F">
        <w:rPr>
          <w:rFonts w:ascii="Times New Roman" w:eastAsia="Times New Roman" w:hAnsi="Times New Roman"/>
          <w:color w:val="000000" w:themeColor="text1"/>
          <w:sz w:val="16"/>
          <w:szCs w:val="16"/>
          <w:lang w:eastAsia="ru-RU"/>
        </w:rPr>
        <w:t xml:space="preserve"> .</w:t>
      </w:r>
    </w:p>
    <w:p w14:paraId="0ECCFC7A" w14:textId="77777777" w:rsidR="00F249F2" w:rsidRPr="0044524F" w:rsidRDefault="00F249F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следующий год были намечены войсковые испытания. С этой целью планировалось подготовить двенадцать Р-5 с добавочными баками в фюзеляже и усовершенствованной аппаратурой для дозаправки (необходимо было уменьшить усилия при наматывании шланга на барабан самолёта-заправщика).</w:t>
      </w:r>
    </w:p>
    <w:p w14:paraId="68FE967B" w14:textId="77777777" w:rsidR="00F249F2" w:rsidRPr="0044524F" w:rsidRDefault="00F249F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Но вскоре стало понятно, что использование одномоторного самолёта для дозаправки четырёхмоторного бомбардировщика лишено практического смысла: даже с дополнительным баком Р-5 мог передать не больше 1000 л бензина, что составляло всего около 15 % ёмкости топливных баков ТБ-3. Другое дело, если использовать тяжёлый бомбардировщик не в качестве заправляемого, а как заправщик. Этим и занялась группа Запанованного, работающая теперь в составе военного КБ-1.</w:t>
      </w:r>
    </w:p>
    <w:p w14:paraId="09DFE3CE" w14:textId="77777777" w:rsidR="00F249F2" w:rsidRPr="0044524F" w:rsidRDefault="00F249F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Год ушел на проект переделки бомбардировщика в топливозаправщик. В 1935 г. в НИИ ВВС начали работы по установке топливного оборудования на ТБ-3. Внутри фюзеляжа разместили барабан с намотанным на него шлангом.</w:t>
      </w:r>
    </w:p>
    <w:p w14:paraId="6D3309D5" w14:textId="77777777" w:rsidR="00F249F2" w:rsidRPr="0044524F" w:rsidRDefault="00F249F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Шланг выпускался и втягивался ручной лебедкой через люк в полу, бензин к нему поступал от баков в крыле. Снаружи шланг подкрепили стальными тросами, служащими также для предотвращения опасности возникновения искры из-за разности электрических потенциалов самолётов в момент заправки. В магистраль слива был вмонтирован полуавтоматический клапан, открывавший и закрывавший перетекание топлива. Насоса не было, как и в прежних экспериментах топливо должно выливаться за счёт большей высоты полёта заправщика. Вес заправочного агрегата АЗ-21 равнялся 59 кг.</w:t>
      </w:r>
    </w:p>
    <w:p w14:paraId="5A0D32D4" w14:textId="77777777" w:rsidR="00F249F2" w:rsidRPr="0044524F" w:rsidRDefault="00F249F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этот раз планировалось заправлять истребители, чтобы уравнять их дальность с дальностью бомбардировщика, который им предстояло охранять. Для опытов один биплан И-5 и один моноплан И-16 оснастили заливными горловинами с устройствами АЗ-22, выталкивающими шланг после заправки и перекрывающими бензопровод к топливному баку истребителя.</w:t>
      </w:r>
    </w:p>
    <w:p w14:paraId="4763D1FF" w14:textId="77777777" w:rsidR="00F249F2" w:rsidRPr="0044524F" w:rsidRDefault="00F249F2"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«Сначала надо было проверить, — пишет Котельников, — сможет ли пилот истребителя поймать наконечник шланга. Ведь в полёте у него будут заняты обе руки: одной надо держать ручку управления, выдерживая положение под заправщиком, другой — сектор газа, выравнивая скорости. Оставалось только рискнуть, на время отпустив одну из ручек. В первых полётах в январе 1936 г. И-5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5B7BFB74" w14:textId="77777777" w:rsidR="00F249F2" w:rsidRPr="0044524F" w:rsidRDefault="00F249F2" w:rsidP="009654CF">
      <w:pPr>
        <w:spacing w:after="0" w:line="240" w:lineRule="auto"/>
        <w:jc w:val="both"/>
        <w:rPr>
          <w:rFonts w:ascii="Times New Roman" w:eastAsia="Times New Roman" w:hAnsi="Times New Roman"/>
          <w:color w:val="000000" w:themeColor="text1"/>
          <w:sz w:val="16"/>
          <w:szCs w:val="16"/>
          <w:lang w:eastAsia="ru-RU"/>
        </w:rPr>
      </w:pPr>
    </w:p>
    <w:p w14:paraId="3E6A667C"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14 сентября 1933 г. в НИИ ВВС начались государственные испытания системы дозаправки в полете с Р-5 и про</w:t>
      </w:r>
      <w:r w:rsidRPr="0044524F">
        <w:rPr>
          <w:rFonts w:ascii="Times New Roman" w:hAnsi="Times New Roman"/>
          <w:color w:val="000000" w:themeColor="text1"/>
          <w:sz w:val="16"/>
          <w:szCs w:val="16"/>
        </w:rPr>
        <w:softHyphen/>
        <w:t>должались до 23 ноября 1933 г. Всего было выполнено 24 полета с общим налетом 17 часов 13 минут. Летали Иващенко, Шавкин, Никитин. В Акте по госиспытаниям указывалось, что «приспо</w:t>
      </w:r>
      <w:r w:rsidRPr="0044524F">
        <w:rPr>
          <w:rFonts w:ascii="Times New Roman" w:hAnsi="Times New Roman"/>
          <w:color w:val="000000" w:themeColor="text1"/>
          <w:sz w:val="16"/>
          <w:szCs w:val="16"/>
        </w:rPr>
        <w:softHyphen/>
        <w:t>собление для переливки горючего из самолета Р-5 в са</w:t>
      </w:r>
      <w:r w:rsidRPr="0044524F">
        <w:rPr>
          <w:rFonts w:ascii="Times New Roman" w:hAnsi="Times New Roman"/>
          <w:color w:val="000000" w:themeColor="text1"/>
          <w:sz w:val="16"/>
          <w:szCs w:val="16"/>
        </w:rPr>
        <w:softHyphen/>
        <w:t>молет ТБ-3 государственные испытания выдержало», что для дозаправки не имеют значения направление вет</w:t>
      </w:r>
      <w:r w:rsidRPr="0044524F">
        <w:rPr>
          <w:rFonts w:ascii="Times New Roman" w:hAnsi="Times New Roman"/>
          <w:color w:val="000000" w:themeColor="text1"/>
          <w:sz w:val="16"/>
          <w:szCs w:val="16"/>
        </w:rPr>
        <w:softHyphen/>
        <w:t>ра и высота полета, что конструкция аппаратуры позво</w:t>
      </w:r>
      <w:r w:rsidRPr="0044524F">
        <w:rPr>
          <w:rFonts w:ascii="Times New Roman" w:hAnsi="Times New Roman"/>
          <w:color w:val="000000" w:themeColor="text1"/>
          <w:sz w:val="16"/>
          <w:szCs w:val="16"/>
        </w:rPr>
        <w:softHyphen/>
        <w:t>ляет производить дозаправку ТБ-3 в воздухе. Благодаря этому можно увеличить дальность полета с заданной бомбовой нагрузкой, либо увеличить бомбовую нагруз</w:t>
      </w:r>
      <w:r w:rsidRPr="0044524F">
        <w:rPr>
          <w:rFonts w:ascii="Times New Roman" w:hAnsi="Times New Roman"/>
          <w:color w:val="000000" w:themeColor="text1"/>
          <w:sz w:val="16"/>
          <w:szCs w:val="16"/>
        </w:rPr>
        <w:softHyphen/>
        <w:t>ку при заданной дальности. В качестве основного недо</w:t>
      </w:r>
      <w:r w:rsidRPr="0044524F">
        <w:rPr>
          <w:rFonts w:ascii="Times New Roman" w:hAnsi="Times New Roman"/>
          <w:color w:val="000000" w:themeColor="text1"/>
          <w:sz w:val="16"/>
          <w:szCs w:val="16"/>
        </w:rPr>
        <w:softHyphen/>
        <w:t>статка отмечалось, что сматывание шланга вручную после заливки на самолете Р-5 затруднено, в особеннос</w:t>
      </w:r>
      <w:r w:rsidRPr="0044524F">
        <w:rPr>
          <w:rFonts w:ascii="Times New Roman" w:hAnsi="Times New Roman"/>
          <w:color w:val="000000" w:themeColor="text1"/>
          <w:sz w:val="16"/>
          <w:szCs w:val="16"/>
        </w:rPr>
        <w:softHyphen/>
        <w:t>ти в зимних условиях. Доработка системы позволяла ус</w:t>
      </w:r>
      <w:r w:rsidRPr="0044524F">
        <w:rPr>
          <w:rFonts w:ascii="Times New Roman" w:hAnsi="Times New Roman"/>
          <w:color w:val="000000" w:themeColor="text1"/>
          <w:sz w:val="16"/>
          <w:szCs w:val="16"/>
        </w:rPr>
        <w:softHyphen/>
        <w:t>транить этот дефект. Однако в дальнейшем к идее дозаправки самолетов в воздухе командование ВВС ста</w:t>
      </w:r>
      <w:r w:rsidRPr="0044524F">
        <w:rPr>
          <w:rFonts w:ascii="Times New Roman" w:hAnsi="Times New Roman"/>
          <w:color w:val="000000" w:themeColor="text1"/>
          <w:sz w:val="16"/>
          <w:szCs w:val="16"/>
        </w:rPr>
        <w:softHyphen/>
        <w:t>ло относиться более сдержанно, практического исполь</w:t>
      </w:r>
      <w:r w:rsidRPr="0044524F">
        <w:rPr>
          <w:rFonts w:ascii="Times New Roman" w:hAnsi="Times New Roman"/>
          <w:color w:val="000000" w:themeColor="text1"/>
          <w:sz w:val="16"/>
          <w:szCs w:val="16"/>
        </w:rPr>
        <w:softHyphen/>
        <w:t>зования в те годы она не получила (10667).</w:t>
      </w:r>
    </w:p>
    <w:p w14:paraId="12EA789E"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7BD7A501"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сентября 1933 г. в НИИ ВВС начались государственные испытания системы дозаправки в воздухе ТБ-3 с самолета Р-5 и продолжались по 23 ноября 1933 г.</w:t>
      </w:r>
    </w:p>
    <w:p w14:paraId="1AE2067C"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было выполнено 24 полета с общим налетом 17 часов 13 минут. Летали Иващенко, Шавкин, Никитин.</w:t>
      </w:r>
    </w:p>
    <w:p w14:paraId="6C1F84E8"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серийном четырехмоторном бомбардировщике ТБ-3 в фюзеляже перед кабиной стрелков установили приемную горловину с крышкой и с трубопроводами к правому и левому бакам. Общий вес дополнительной конструкции составлял 10,22 к г. В качестве заправщика использовался Р-5 с системой заправки и шлангом длиной 35 м, сматываемым на специальный барабан.</w:t>
      </w:r>
    </w:p>
    <w:p w14:paraId="103AAB86"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полете Р-5, находясь впереди и немного выше ТБ-3, выпускал заливной шланг. Стрелки из фюзеляжной кабины ТБ-3 ловили конец и направляли его в приемную горловину, после чего осуществлялась заправка. Четыреста килограмм горючего переливалось за 15 минут, шестьсот пятьдесят — за 23 минуты.</w:t>
      </w:r>
    </w:p>
    <w:p w14:paraId="35D2F53E"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Акте по госиспытаниям указывалось, что «приспособление для переливки горючего из самолета Р-5 в самолет ТБ-3 государственные испытания выдержало», что для дозаправки не имеет значение направление ветра, высота полета, что конструкция аппаратуры позволяет производить дозаправку ТБ-3 в воздухе. Благодаря этому можно увеличить дальность полета с заданной бомбовой нагрузкой либо увеличить бомбовую нагрузку при заданной дальности. В качестве основного недостатка отмечалось, что сматывание шланга вручную после заливки на самолете Р-5 затруднено, в особенности в зимних условиях. Естественно, что доработка системы позволяла устранить этот дефект.</w:t>
      </w:r>
    </w:p>
    <w:p w14:paraId="791722E3" w14:textId="77777777" w:rsidR="008553FB" w:rsidRPr="00142305" w:rsidRDefault="008553FB" w:rsidP="008553F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в дальнейшем к идее дозаправки самолетов в воздухе командование ВВС стало относиться более сдержанно, практического использования в войсках она не получила. Используя накопленный опыт, Д. П. Григорович предлагал в своих последних проектах бомбардировщика и пассажирского самолета для межконтинентальных перелетов оснастить их системой дозаправки, выполненной по современной схеме (25035).</w:t>
      </w:r>
    </w:p>
    <w:p w14:paraId="07A256BB" w14:textId="77777777" w:rsidR="008553FB" w:rsidRPr="00142305" w:rsidRDefault="008553FB" w:rsidP="008553FB">
      <w:pPr>
        <w:spacing w:after="0" w:line="240" w:lineRule="auto"/>
        <w:jc w:val="both"/>
        <w:rPr>
          <w:rFonts w:ascii="Times New Roman" w:hAnsi="Times New Roman"/>
          <w:color w:val="0070C0"/>
          <w:sz w:val="16"/>
          <w:szCs w:val="16"/>
        </w:rPr>
      </w:pPr>
    </w:p>
    <w:p w14:paraId="48220982" w14:textId="77777777" w:rsidR="007F23E2" w:rsidRPr="0044524F" w:rsidRDefault="007F23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последние немцы покинули Липецк и мы получили 15 Фоккеров Д 8 и несколько автомобилей. Всего немцы подготовили около 200 пилотов. Наш результат - подготовка наставления по технике бомбометания. На основе Липецкой школы создали Высшую военно-техническую школу ВВС РККА (1795,40).</w:t>
      </w:r>
    </w:p>
    <w:p w14:paraId="5CD39E56" w14:textId="77777777" w:rsidR="007F23E2" w:rsidRPr="0044524F" w:rsidRDefault="007F23E2" w:rsidP="009654CF">
      <w:pPr>
        <w:spacing w:after="0" w:line="240" w:lineRule="auto"/>
        <w:jc w:val="both"/>
        <w:rPr>
          <w:rFonts w:ascii="Times New Roman" w:hAnsi="Times New Roman"/>
          <w:color w:val="000000" w:themeColor="text1"/>
          <w:sz w:val="16"/>
          <w:szCs w:val="16"/>
        </w:rPr>
      </w:pPr>
    </w:p>
    <w:p w14:paraId="3D6E287A" w14:textId="77777777" w:rsidR="00B2303C" w:rsidRPr="0044524F" w:rsidRDefault="00B2303C" w:rsidP="009654CF">
      <w:pPr>
        <w:pStyle w:val="rtejustify"/>
        <w:spacing w:before="0" w:after="0"/>
        <w:rPr>
          <w:color w:val="000000" w:themeColor="text1"/>
          <w:sz w:val="16"/>
          <w:szCs w:val="16"/>
        </w:rPr>
      </w:pPr>
      <w:r w:rsidRPr="0044524F">
        <w:rPr>
          <w:color w:val="000000" w:themeColor="text1"/>
          <w:sz w:val="16"/>
          <w:szCs w:val="16"/>
        </w:rPr>
        <w:t>14 сентября 1933 г. Сталин, Ворошилов — Молотову, Кагановичу, Куйбышеву</w:t>
      </w:r>
    </w:p>
    <w:p w14:paraId="4613A4FD"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Шифром.</w:t>
      </w:r>
    </w:p>
    <w:p w14:paraId="7AAD617D" w14:textId="77777777" w:rsidR="003F2394" w:rsidRPr="0044524F" w:rsidRDefault="003F2394" w:rsidP="009654CF">
      <w:pPr>
        <w:pStyle w:val="rtecenter"/>
        <w:spacing w:before="0" w:after="0"/>
        <w:jc w:val="both"/>
        <w:rPr>
          <w:color w:val="000000" w:themeColor="text1"/>
          <w:sz w:val="16"/>
          <w:szCs w:val="16"/>
        </w:rPr>
      </w:pPr>
      <w:r w:rsidRPr="0044524F">
        <w:rPr>
          <w:color w:val="000000" w:themeColor="text1"/>
          <w:sz w:val="16"/>
          <w:szCs w:val="16"/>
        </w:rPr>
        <w:t xml:space="preserve">Москва. ЦК ВКП(б). Молотову, </w:t>
      </w:r>
      <w:r w:rsidRPr="0044524F">
        <w:rPr>
          <w:rStyle w:val="af0"/>
          <w:i w:val="0"/>
          <w:color w:val="000000" w:themeColor="text1"/>
          <w:sz w:val="16"/>
          <w:szCs w:val="16"/>
        </w:rPr>
        <w:t xml:space="preserve">Кагановичу, Куйбышеву. </w:t>
      </w:r>
    </w:p>
    <w:p w14:paraId="6881E19B"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 xml:space="preserve">В связи с громадным недовыполнением программы военных заказов авиации, танков, артиллерии, </w:t>
      </w:r>
      <w:r w:rsidRPr="0044524F">
        <w:rPr>
          <w:rStyle w:val="af0"/>
          <w:i w:val="0"/>
          <w:color w:val="000000" w:themeColor="text1"/>
          <w:sz w:val="16"/>
          <w:szCs w:val="16"/>
        </w:rPr>
        <w:t xml:space="preserve">снарядов — </w:t>
      </w:r>
      <w:r w:rsidRPr="0044524F">
        <w:rPr>
          <w:color w:val="000000" w:themeColor="text1"/>
          <w:sz w:val="16"/>
          <w:szCs w:val="16"/>
        </w:rPr>
        <w:t xml:space="preserve">просим рассмотреть вопрос в Комиссии обороны </w:t>
      </w:r>
      <w:r w:rsidRPr="0044524F">
        <w:rPr>
          <w:rStyle w:val="af0"/>
          <w:i w:val="0"/>
          <w:color w:val="000000" w:themeColor="text1"/>
          <w:sz w:val="16"/>
          <w:szCs w:val="16"/>
        </w:rPr>
        <w:t xml:space="preserve">с вызовом людей с заводов </w:t>
      </w:r>
      <w:r w:rsidRPr="0044524F">
        <w:rPr>
          <w:color w:val="000000" w:themeColor="text1"/>
          <w:sz w:val="16"/>
          <w:szCs w:val="16"/>
        </w:rPr>
        <w:t xml:space="preserve">и решительно подтянуть выполнение и </w:t>
      </w:r>
      <w:r w:rsidRPr="0044524F">
        <w:rPr>
          <w:rStyle w:val="af0"/>
          <w:i w:val="0"/>
          <w:color w:val="000000" w:themeColor="text1"/>
          <w:sz w:val="16"/>
          <w:szCs w:val="16"/>
        </w:rPr>
        <w:t>наказать провинившихся</w:t>
      </w:r>
      <w:r w:rsidRPr="0044524F">
        <w:rPr>
          <w:rStyle w:val="af0"/>
          <w:i w:val="0"/>
          <w:color w:val="000000" w:themeColor="text1"/>
          <w:sz w:val="16"/>
          <w:szCs w:val="16"/>
          <w:vertAlign w:val="superscript"/>
        </w:rPr>
        <w:t>1</w:t>
      </w:r>
      <w:r w:rsidRPr="0044524F">
        <w:rPr>
          <w:rStyle w:val="af0"/>
          <w:i w:val="0"/>
          <w:color w:val="000000" w:themeColor="text1"/>
          <w:sz w:val="16"/>
          <w:szCs w:val="16"/>
        </w:rPr>
        <w:t>.</w:t>
      </w:r>
    </w:p>
    <w:p w14:paraId="59B8F869"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Сталин, Ворошилов.</w:t>
      </w:r>
    </w:p>
    <w:p w14:paraId="281EACB6"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№32</w:t>
      </w:r>
    </w:p>
    <w:p w14:paraId="3BD4906B"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14/IX.33 г.</w:t>
      </w:r>
      <w:r w:rsidRPr="0044524F">
        <w:rPr>
          <w:color w:val="000000" w:themeColor="text1"/>
          <w:sz w:val="16"/>
          <w:szCs w:val="16"/>
          <w:vertAlign w:val="superscript"/>
        </w:rPr>
        <w:t>2</w:t>
      </w:r>
    </w:p>
    <w:p w14:paraId="64B52B97"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РГАСПИ Ф. 558. Oп. 11. Д. 80. Л. 132. Рукописный текст. Подписи — автографы. </w:t>
      </w:r>
    </w:p>
    <w:p w14:paraId="15562E14"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Сталин и Каганович. Переписка. 1931–1936 гг. Москва: (РОССПЭН), 2001 Стр. 343-344 (12360).</w:t>
      </w:r>
    </w:p>
    <w:p w14:paraId="26327029" w14:textId="77777777" w:rsidR="003F2394" w:rsidRPr="0044524F" w:rsidRDefault="003F2394" w:rsidP="009654CF">
      <w:pPr>
        <w:spacing w:after="0" w:line="240" w:lineRule="auto"/>
        <w:jc w:val="both"/>
        <w:rPr>
          <w:rFonts w:ascii="Times New Roman" w:hAnsi="Times New Roman"/>
          <w:color w:val="000000" w:themeColor="text1"/>
          <w:sz w:val="16"/>
          <w:szCs w:val="16"/>
          <w:u w:color="002060"/>
        </w:rPr>
      </w:pPr>
    </w:p>
    <w:p w14:paraId="7805A5E4"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 xml:space="preserve">14 сентября </w:t>
      </w:r>
      <w:r w:rsidRPr="0044524F">
        <w:rPr>
          <w:rFonts w:ascii="Times New Roman" w:hAnsi="Times New Roman"/>
          <w:color w:val="000000" w:themeColor="text1"/>
          <w:sz w:val="16"/>
          <w:szCs w:val="16"/>
        </w:rPr>
        <w:t>в 1933 году был введен в эксплуатацию подмосковный аэропорт Быково — старейший аэропорт Московского авиаузла. Расположен в 35 км к юго-востоку от центра города. Связан с городом Жуковский Рязанским шоссе и железнодорожной линией Рязанского направления Московской железной дороги (станция Быково). Принимал самолёты типов «Як-42», «Ан-12» и все более лёгкие, а также вертолёты всех типов. Возможен был также приём самолётов «Ил-76», «Ту-154» без загрузки (перегонка в ремонт). Классификационное число ВПП (PCN) 38/F/B/X/T. С 18 октября 2010 года из-за истечения срока действия договора аренды аэродромного комплекса, который в последние годы эксплуатировался ООО "Аэропорт Быково", эксплуатация аэропорта прекращена, он закрыт для приёма воздушных судов гражданской авиации и используется только как посадочная площадка для вертолётов МВД РФ. До октября 2011 года в Быково базировались авиатакси Dexter (затем были перебазированы в аэропорт Раменское). В апреле 2011 начат демонтаж (снос) аэровокзального комплекса. В июне 2011 года Быково исключён из Государственного реестра гражданских аэродромов Российской Федерации (14769).</w:t>
      </w:r>
    </w:p>
    <w:p w14:paraId="0BBA033C" w14:textId="77777777" w:rsidR="00B2303C" w:rsidRPr="0044524F" w:rsidRDefault="00B2303C" w:rsidP="009654CF">
      <w:pPr>
        <w:spacing w:after="0" w:line="240" w:lineRule="auto"/>
        <w:jc w:val="both"/>
        <w:rPr>
          <w:rFonts w:ascii="Times New Roman" w:hAnsi="Times New Roman"/>
          <w:color w:val="000000" w:themeColor="text1"/>
          <w:sz w:val="16"/>
          <w:szCs w:val="16"/>
        </w:rPr>
      </w:pPr>
    </w:p>
    <w:p w14:paraId="7A1ABB62"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E938D58"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2DA254C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14-15 сентября 1933 года испытания 100-мм зенитной пушки были продолжены. Работа досылателя и полуавтоматики не было отлажена. Противооткатные устройства работали неудовлетворительно, по-прежнему происходил резкий накат. До 20 сентября 1933 года система разбиралась заводом на НИАПе с целью исправления затвора, полуавтоматики и накатника. Кроме того, на системы поставили прицел от 3К. Затем заводские испытания были продолжены (3861).</w:t>
      </w:r>
    </w:p>
    <w:p w14:paraId="479BB1E8"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7FF01AD"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опросом членов ПБ</w:t>
      </w:r>
    </w:p>
    <w:p w14:paraId="7CF01931"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164/148.- Об импорте для автозавода им,Сталина</w:t>
      </w:r>
    </w:p>
    <w:p w14:paraId="22037AB8"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НКТП закупить 9 легковых машин для проектных работ завода им.Сталина за счет выделен</w:t>
      </w:r>
      <w:r w:rsidRPr="0044524F">
        <w:rPr>
          <w:rFonts w:ascii="Times New Roman" w:hAnsi="Times New Roman"/>
          <w:color w:val="000000" w:themeColor="text1"/>
          <w:sz w:val="16"/>
          <w:szCs w:val="16"/>
        </w:rPr>
        <w:softHyphen/>
        <w:t>ного последнему контингента 3 млн.рублей.</w:t>
      </w:r>
    </w:p>
    <w:p w14:paraId="7A879984"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Пятакову, Элиаве</w:t>
      </w:r>
    </w:p>
    <w:p w14:paraId="3F195164"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состоялось заседание ПБ и был оформлен протокол № 145 (29995).</w:t>
      </w:r>
    </w:p>
    <w:p w14:paraId="49544DA8" w14:textId="77777777" w:rsidR="002E1DEE" w:rsidRPr="0044524F" w:rsidRDefault="002E1DEE" w:rsidP="009654CF">
      <w:pPr>
        <w:shd w:val="clear" w:color="auto" w:fill="FFFFFF"/>
        <w:spacing w:after="0" w:line="240" w:lineRule="auto"/>
        <w:jc w:val="both"/>
        <w:rPr>
          <w:rFonts w:ascii="Times New Roman" w:hAnsi="Times New Roman"/>
          <w:color w:val="000000" w:themeColor="text1"/>
          <w:sz w:val="16"/>
          <w:szCs w:val="16"/>
        </w:rPr>
      </w:pPr>
    </w:p>
    <w:p w14:paraId="3B04FA08"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 xml:space="preserve">14 сентября 1933 г. Сталин, Ворошилов писали Молотову, Кагановичу, Куйбышеву </w:t>
      </w:r>
    </w:p>
    <w:p w14:paraId="48F8DC33"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Молотову, Кагановичу, Куйбышеву.</w:t>
      </w:r>
    </w:p>
    <w:p w14:paraId="0E245B76"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 достоверным данным выполнение плана по строительству торпедного завода в Махачкале идет из рук вон плохо. Нарушены все сроки, дезорганизация работ полная. Нам грозит опасность остаться £ез торпед, — будут подлодки, не будет торпед, флот будет разоружен. Предлагаем вызвать в комиссию организаторов строительства и принять драконовские меры для создания перелома, для окончания завода в срок.</w:t>
      </w:r>
    </w:p>
    <w:p w14:paraId="23D5638F"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Сталин. Ворошилов.</w:t>
      </w:r>
    </w:p>
    <w:p w14:paraId="4C592670"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№33</w:t>
      </w:r>
    </w:p>
    <w:p w14:paraId="13246717"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14/IX-33 г.2</w:t>
      </w:r>
    </w:p>
    <w:p w14:paraId="76938D02"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 xml:space="preserve">Ф. 558. On. 11. Д. 80. Л. 134. Текст </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iCs/>
          <w:color w:val="000000" w:themeColor="text1"/>
          <w:sz w:val="16"/>
          <w:szCs w:val="16"/>
          <w:lang w:eastAsia="ru-RU"/>
        </w:rPr>
        <w:t>автограф Сталина, подписи — автографы (17282).</w:t>
      </w:r>
    </w:p>
    <w:p w14:paraId="159573A6" w14:textId="77777777" w:rsidR="001E6614" w:rsidRPr="0044524F" w:rsidRDefault="001E6614" w:rsidP="009654CF">
      <w:pPr>
        <w:spacing w:after="0" w:line="240" w:lineRule="auto"/>
        <w:jc w:val="both"/>
        <w:rPr>
          <w:rFonts w:ascii="Times New Roman" w:hAnsi="Times New Roman"/>
          <w:color w:val="000000" w:themeColor="text1"/>
          <w:sz w:val="16"/>
          <w:szCs w:val="16"/>
        </w:rPr>
      </w:pPr>
    </w:p>
    <w:p w14:paraId="21826CC4"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3935D4B"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676EC1AA"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14 сентября 1933 года</w:t>
      </w:r>
      <w:r w:rsidRPr="0044524F">
        <w:rPr>
          <w:rStyle w:val="ucoz-forum-post"/>
          <w:rFonts w:ascii="Times New Roman" w:eastAsiaTheme="majorEastAsia" w:hAnsi="Times New Roman"/>
          <w:color w:val="000000" w:themeColor="text1"/>
          <w:sz w:val="16"/>
          <w:szCs w:val="16"/>
        </w:rPr>
        <w:t xml:space="preserve"> Впервые поднялся в воздух американский транспортный самолет Боинг-247А. Самолет, носивший обозначение Модель-247, служил летающей лабораторией для испытания двигателей SGR-1535 "Твин Уосп Юниор" (двухрядных, 14-цилиндровых) мощностью 625 л. с. и одновременно использовался фирмой как служебный, а потому имел "салонный" интерьер. Самолет был целиком покрашен в серебристый цвет и имел широкие кольца Тауненда (стандартные были узкими), а на носу - надпись "UNITED AIRCRAFT &amp; TRANSPORT CORPORATION EXECUTIVE PLANE". Вот так, служебный самолет, и никаких гвоздей! </w:t>
      </w:r>
    </w:p>
    <w:p w14:paraId="1F08722C" w14:textId="77777777" w:rsidR="00B2303C" w:rsidRPr="0044524F" w:rsidRDefault="00B2303C" w:rsidP="009654CF">
      <w:pPr>
        <w:spacing w:after="0" w:line="240" w:lineRule="auto"/>
        <w:jc w:val="both"/>
        <w:rPr>
          <w:rFonts w:ascii="Times New Roman" w:eastAsiaTheme="minorHAnsi" w:hAnsi="Times New Roman"/>
          <w:color w:val="000000" w:themeColor="text1"/>
          <w:sz w:val="16"/>
          <w:szCs w:val="16"/>
        </w:rPr>
      </w:pPr>
    </w:p>
    <w:p w14:paraId="4BD84EB7"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состоялся первый полет - Boeing XF7B-1 (20802).</w:t>
      </w:r>
    </w:p>
    <w:p w14:paraId="44509D12" w14:textId="77777777" w:rsidR="002E1DEE" w:rsidRPr="0044524F" w:rsidRDefault="002E1DEE" w:rsidP="009654CF">
      <w:pPr>
        <w:spacing w:after="0" w:line="240" w:lineRule="auto"/>
        <w:jc w:val="both"/>
        <w:rPr>
          <w:rFonts w:ascii="Times New Roman" w:hAnsi="Times New Roman"/>
          <w:color w:val="000000" w:themeColor="text1"/>
          <w:sz w:val="16"/>
          <w:szCs w:val="16"/>
        </w:rPr>
      </w:pPr>
    </w:p>
    <w:p w14:paraId="63A6862A"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 Cовершил первый полёт прототип XF7B-1 американского палубного истребителя Boeing F7B. Boeing Model 273 (F7B) был разработан чуть раньше Model 264 (P-29) и отличался от него рядом деталей, а также наличием оборудования для полётов над морем. Из трёх предложенных вариантов для постройки прототипа был выбран Model 273. Это был первый истребитель-моноплан со свободнонесущим низкорасположенным крылом и убираемым шасси, прошедший оценку специалистов ВМС, первый самолёт компании "Boeing" с винтом изменяемого шага и предкрылками (22364).</w:t>
      </w:r>
    </w:p>
    <w:p w14:paraId="0675F62B" w14:textId="77777777" w:rsidR="002E1DEE" w:rsidRPr="0044524F" w:rsidRDefault="002E1DEE" w:rsidP="009654CF">
      <w:pPr>
        <w:spacing w:after="0" w:line="240" w:lineRule="auto"/>
        <w:jc w:val="both"/>
        <w:rPr>
          <w:rFonts w:ascii="Times New Roman" w:hAnsi="Times New Roman"/>
          <w:color w:val="000000" w:themeColor="text1"/>
          <w:sz w:val="16"/>
          <w:szCs w:val="16"/>
        </w:rPr>
      </w:pPr>
    </w:p>
    <w:p w14:paraId="2210CC8A" w14:textId="77777777" w:rsidR="00B2303C" w:rsidRPr="0044524F" w:rsidRDefault="00B2303C"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14 сентября 1933 года</w:t>
      </w:r>
      <w:r w:rsidRPr="0044524F">
        <w:rPr>
          <w:rStyle w:val="ucoz-forum-post"/>
          <w:rFonts w:ascii="Times New Roman" w:eastAsiaTheme="majorEastAsia" w:hAnsi="Times New Roman"/>
          <w:color w:val="000000" w:themeColor="text1"/>
          <w:sz w:val="16"/>
          <w:szCs w:val="16"/>
        </w:rPr>
        <w:t xml:space="preserve"> Совершил первый полет прототип XF7B-1 американского палубного истребителя Boeing F7B. Boeing Model 273 (F7B) был разработан чуть раньше Model 264 (P-29) и отличался от него рядом деталей, а также наличием оборудования для полетов над морем. Из трех предложенных вариантов для постройки </w:t>
      </w:r>
      <w:r w:rsidRPr="0044524F">
        <w:rPr>
          <w:rStyle w:val="ucoz-forum-post"/>
          <w:rFonts w:ascii="Times New Roman" w:eastAsiaTheme="majorEastAsia" w:hAnsi="Times New Roman"/>
          <w:color w:val="000000" w:themeColor="text1"/>
          <w:sz w:val="16"/>
          <w:szCs w:val="16"/>
        </w:rPr>
        <w:lastRenderedPageBreak/>
        <w:t>прототипа был выбран Model 273. Это был первый истребитель-моноплан со свободнонесущим низкорасположенным крылом и убираемым шасси, прошедший оценку специалистов ВМС, первый самолет компании "Boeing" с винтом изменяемого шага и предкрылками.</w:t>
      </w:r>
    </w:p>
    <w:p w14:paraId="798399B4" w14:textId="77777777" w:rsidR="00B2303C" w:rsidRPr="0044524F" w:rsidRDefault="00B2303C"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color w:val="000000" w:themeColor="text1"/>
          <w:sz w:val="16"/>
          <w:szCs w:val="16"/>
        </w:rPr>
        <w:t>Фюзеляж представлял собой цельнодюралевый полумонокок. На самолет устанавливался звездообразный двигатель Pratt &amp; Whitney SR-1340-30 Wasp, приводящий во вращение двухлопастный винт изменяемого шага (14769).</w:t>
      </w:r>
    </w:p>
    <w:p w14:paraId="48AC8AD9" w14:textId="77777777" w:rsidR="00B2303C" w:rsidRPr="0044524F" w:rsidRDefault="00B2303C" w:rsidP="009654CF">
      <w:pPr>
        <w:spacing w:after="0" w:line="240" w:lineRule="auto"/>
        <w:jc w:val="both"/>
        <w:rPr>
          <w:rStyle w:val="ucoz-forum-post"/>
          <w:rFonts w:ascii="Times New Roman" w:eastAsiaTheme="majorEastAsia" w:hAnsi="Times New Roman"/>
          <w:color w:val="000000" w:themeColor="text1"/>
          <w:sz w:val="16"/>
          <w:szCs w:val="16"/>
        </w:rPr>
      </w:pPr>
    </w:p>
    <w:p w14:paraId="1E57756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Греция и Турция подписали пакт о ненападении сроком на 10 лет (3481).</w:t>
      </w:r>
    </w:p>
    <w:p w14:paraId="1C40EB8F"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1998453"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976208B"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0F38C965"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15 сентября 1933 г. четыре машины ТБ-</w:t>
      </w:r>
      <w:r>
        <w:rPr>
          <w:rFonts w:ascii="Times New Roman" w:hAnsi="Times New Roman"/>
          <w:color w:val="0070C0"/>
          <w:sz w:val="16"/>
          <w:szCs w:val="16"/>
        </w:rPr>
        <w:t>3</w:t>
      </w:r>
      <w:r w:rsidRPr="00142305">
        <w:rPr>
          <w:rFonts w:ascii="Times New Roman" w:hAnsi="Times New Roman"/>
          <w:color w:val="0070C0"/>
          <w:sz w:val="16"/>
          <w:szCs w:val="16"/>
        </w:rPr>
        <w:t xml:space="preserve"> с М-34 уже летали, еще 40 стояли готовыми на заводском аэродроме, а 30 находились в сборке. К 1 января следую</w:t>
      </w:r>
      <w:r w:rsidRPr="00142305">
        <w:rPr>
          <w:rFonts w:ascii="Times New Roman" w:hAnsi="Times New Roman"/>
          <w:color w:val="0070C0"/>
          <w:sz w:val="16"/>
          <w:szCs w:val="16"/>
        </w:rPr>
        <w:softHyphen/>
        <w:t>щего года ВВС приняли 38 новых машин. Моторы М-34 оценивались как временные, а сама модификация - как переходная, но таких ТБ-3 выпустили около сотни.</w:t>
      </w:r>
    </w:p>
    <w:p w14:paraId="1092EE80"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ВВС продолжали настаивать на внедрении на ТБ-3 редукторных М-34Р Эту модификацию микулинского двигателя изготовили опытной серией в июле 1932 г. В мае следующего года она прошла госу</w:t>
      </w:r>
      <w:r w:rsidRPr="00142305">
        <w:rPr>
          <w:rFonts w:ascii="Times New Roman" w:hAnsi="Times New Roman"/>
          <w:color w:val="0070C0"/>
          <w:sz w:val="16"/>
          <w:szCs w:val="16"/>
        </w:rPr>
        <w:softHyphen/>
        <w:t>дарственные испытания, а с конца года выпускалась серийно, но только в апреле 1934 г. из цехов начали выходить первые вполне годные моторы</w:t>
      </w:r>
    </w:p>
    <w:p w14:paraId="6FD470ED"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 серии к серии по мере совершенст</w:t>
      </w:r>
      <w:r w:rsidRPr="00142305">
        <w:rPr>
          <w:rFonts w:ascii="Times New Roman" w:hAnsi="Times New Roman"/>
          <w:color w:val="0070C0"/>
          <w:sz w:val="16"/>
          <w:szCs w:val="16"/>
        </w:rPr>
        <w:softHyphen/>
        <w:t>вования производства планер бомбарди</w:t>
      </w:r>
      <w:r w:rsidRPr="00142305">
        <w:rPr>
          <w:rFonts w:ascii="Times New Roman" w:hAnsi="Times New Roman"/>
          <w:color w:val="0070C0"/>
          <w:sz w:val="16"/>
          <w:szCs w:val="16"/>
        </w:rPr>
        <w:softHyphen/>
        <w:t>ровщика становился легче. Если первые машины с М-34 имели пустой вес в сред</w:t>
      </w:r>
      <w:r w:rsidRPr="00142305">
        <w:rPr>
          <w:rFonts w:ascii="Times New Roman" w:hAnsi="Times New Roman"/>
          <w:color w:val="0070C0"/>
          <w:sz w:val="16"/>
          <w:szCs w:val="16"/>
        </w:rPr>
        <w:softHyphen/>
        <w:t>нем около 12 500 кг. то далее он снизился до 12 200 кг, а у самолетов без башен Б-2 он дошел до 12 100 кг (24937).</w:t>
      </w:r>
    </w:p>
    <w:p w14:paraId="43FD186D" w14:textId="77777777" w:rsidR="00E34525" w:rsidRPr="00142305" w:rsidRDefault="00E34525" w:rsidP="00E34525">
      <w:pPr>
        <w:spacing w:after="0" w:line="240" w:lineRule="auto"/>
        <w:jc w:val="both"/>
        <w:rPr>
          <w:rFonts w:ascii="Times New Roman" w:hAnsi="Times New Roman"/>
          <w:color w:val="0070C0"/>
          <w:sz w:val="16"/>
          <w:szCs w:val="16"/>
        </w:rPr>
      </w:pPr>
    </w:p>
    <w:p w14:paraId="43CB5DC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при полетах и пробе на земле были вновь обнаружены недочеты по подъему шасси И-14 БМ (2287,131).</w:t>
      </w:r>
    </w:p>
    <w:p w14:paraId="6BD93BE2"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7DB4DD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г. Протокол ПБ № 145 п.123/107: 0 полетах ответработников на аэропланах. Решено: а) Запретить под страхом исключения из партии полеты на аэропланах, без специального решения ЦК в каждом отдельном случае, ответственным работникам следующих категорий: Члены ЦК и кандидаты в ЦК; Члены Центральной Ревизионной Комиссии; Члены ЦКК; Члены президиумов ЦИК Союза и РСФСР; Члены президиума ВЦСПС; Ответственные секретари крайкомов, обкомов и ЦК нацкомпартий Председатели краевых, областных исполкомов и СНК союзных республик; Наркомы и их заместители по СССР и РСФСР; Начальники Главных управлений союзных наркоматов. б) Исключать нарушивших настоящее постановление из партии, невзирая на лица. в) Поручить Куйбышеву, Тухачевскому и Березину разработать обязательные правила вылета самолетов с аэродромов с предоставлением начальникам аэропортов и аэродромов права запрещать вылеты при неблагоприятных климатических условиях (15911).</w:t>
      </w:r>
    </w:p>
    <w:p w14:paraId="03459A42" w14:textId="77777777" w:rsidR="00B2303C" w:rsidRPr="0044524F" w:rsidRDefault="00B2303C" w:rsidP="009654CF">
      <w:pPr>
        <w:spacing w:after="0" w:line="240" w:lineRule="auto"/>
        <w:jc w:val="both"/>
        <w:rPr>
          <w:rFonts w:ascii="Times New Roman" w:hAnsi="Times New Roman"/>
          <w:color w:val="000000" w:themeColor="text1"/>
          <w:sz w:val="16"/>
          <w:szCs w:val="16"/>
        </w:rPr>
      </w:pPr>
    </w:p>
    <w:p w14:paraId="203B7A18"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года</w:t>
      </w:r>
    </w:p>
    <w:p w14:paraId="24C7B354"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145 заседания Политбюро ЦК ВКП(б) от 15 сентября 1933 года</w:t>
      </w:r>
    </w:p>
    <w:p w14:paraId="1C37685F"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15</w:t>
      </w:r>
      <w:r w:rsidRPr="0044524F">
        <w:rPr>
          <w:rFonts w:ascii="Times New Roman" w:hAnsi="Times New Roman"/>
          <w:color w:val="000000" w:themeColor="text1"/>
          <w:sz w:val="16"/>
          <w:szCs w:val="16"/>
        </w:rPr>
        <w:noBreakHyphen/>
        <w:t>го сентября 1933 года.</w:t>
      </w:r>
    </w:p>
    <w:p w14:paraId="14ABC999"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13: О начальнике Главного Управления авиапромышленности</w:t>
      </w:r>
    </w:p>
    <w:p w14:paraId="1D61B831"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Назначить начальником Главного Управления авиапромышленности т. Королева с освобождением его от должности директора Рыбинского завода.</w:t>
      </w:r>
    </w:p>
    <w:p w14:paraId="48E3FFD3"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Директором Рыбинского завода назначить т. Побережского.</w:t>
      </w:r>
    </w:p>
    <w:p w14:paraId="6DDA1B30"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14: О гибели самолета АНТ-7</w:t>
      </w:r>
    </w:p>
    <w:p w14:paraId="635202F6"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(Прокофьев, Ежов).</w:t>
      </w:r>
    </w:p>
    <w:p w14:paraId="5C488164"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Окончательное редактирование постановления ЦК и сообщения для печати поручить т.т. Кагановичу и Куйбышеву совместно с комиссией.</w:t>
      </w:r>
    </w:p>
    <w:p w14:paraId="6498B3FD"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15: О военной цензуре</w:t>
      </w:r>
    </w:p>
    <w:p w14:paraId="513DE8DF"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(Стецкий).</w:t>
      </w:r>
    </w:p>
    <w:p w14:paraId="4F1B856F"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с поправками внесенный т. Стецким проект постановления о военной цензуре (</w:t>
      </w:r>
      <w:hyperlink r:id="rId323" w:history="1">
        <w:r w:rsidRPr="0044524F">
          <w:rPr>
            <w:rFonts w:ascii="Times New Roman" w:hAnsi="Times New Roman"/>
            <w:color w:val="000000" w:themeColor="text1"/>
            <w:sz w:val="16"/>
            <w:szCs w:val="16"/>
          </w:rPr>
          <w:t>см. приложение № 6</w:t>
        </w:r>
      </w:hyperlink>
      <w:r w:rsidRPr="0044524F">
        <w:rPr>
          <w:rFonts w:ascii="Times New Roman" w:hAnsi="Times New Roman"/>
          <w:color w:val="000000" w:themeColor="text1"/>
          <w:sz w:val="16"/>
          <w:szCs w:val="16"/>
        </w:rPr>
        <w:t>).</w:t>
      </w:r>
    </w:p>
    <w:p w14:paraId="6DDAC5AB"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123/107: О полетах ответработников на аэропланах</w:t>
      </w:r>
    </w:p>
    <w:p w14:paraId="7CDE22DC"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Запретить под страхом исключения из партии полеты на аэропланах, без специального решения ЦК в каждом отдельном случае, ответственным работникам следующих категорий:</w:t>
      </w:r>
    </w:p>
    <w:p w14:paraId="70EC47EE"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Члены ЦК и кандидаты в ЦК.</w:t>
      </w:r>
    </w:p>
    <w:p w14:paraId="339078F6"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Члены Центральной Ревизионной Комиссии.</w:t>
      </w:r>
    </w:p>
    <w:p w14:paraId="487D46D0"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Члены ЦКК.</w:t>
      </w:r>
    </w:p>
    <w:p w14:paraId="0912846A"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Члены президиумов ЦИК Союза и РСФСР.</w:t>
      </w:r>
    </w:p>
    <w:p w14:paraId="266E8ABC"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Члены президиума ВЦСПС.</w:t>
      </w:r>
    </w:p>
    <w:p w14:paraId="79CD18EC"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Ответственные секретари крайкомов, обкомов и ЦК нацкомпартий.</w:t>
      </w:r>
    </w:p>
    <w:p w14:paraId="4C4212A4"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Председатели краевых, областных исполкомов и СНК союзных республик.</w:t>
      </w:r>
    </w:p>
    <w:p w14:paraId="1DD1EFA1"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Наркомы и их заместители по СССР и РСФСР.</w:t>
      </w:r>
    </w:p>
    <w:p w14:paraId="19E2A2FF"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Главных управлений союзных наркоматов.</w:t>
      </w:r>
    </w:p>
    <w:p w14:paraId="2693CA42"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Нарушившие настоящее постановление исключаются из партии, не взирая на лица.</w:t>
      </w:r>
    </w:p>
    <w:p w14:paraId="0EC3139B" w14:textId="77777777" w:rsidR="009803CB" w:rsidRPr="0044524F" w:rsidRDefault="009803C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Поручить т.т. Куйбышеву, Тухачевскому и Березину разработать обязательные правила вылета самолетов с аэродромов, которые предоставляли бы право начальникам аэропортов и аэродромов запрещать вылеты при неблагоприятных климатических условиях (18072).</w:t>
      </w:r>
    </w:p>
    <w:p w14:paraId="6CD3DBAD" w14:textId="77777777" w:rsidR="009803CB" w:rsidRPr="0044524F" w:rsidRDefault="009803CB" w:rsidP="009654CF">
      <w:pPr>
        <w:spacing w:after="0" w:line="240" w:lineRule="auto"/>
        <w:jc w:val="both"/>
        <w:rPr>
          <w:rFonts w:ascii="Times New Roman" w:hAnsi="Times New Roman"/>
          <w:color w:val="000000" w:themeColor="text1"/>
          <w:sz w:val="16"/>
          <w:szCs w:val="16"/>
        </w:rPr>
      </w:pPr>
    </w:p>
    <w:p w14:paraId="169F68C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в Москву на Девуатин-332 прибыл французский министр авиации Пьер Кот + специалисты на Вибо и Блох. 21 сентября полетели обратно (438,655).</w:t>
      </w:r>
    </w:p>
    <w:p w14:paraId="7C8411C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Ему демонстрировали и АИР-6 и АИР 7 (1771,7).</w:t>
      </w:r>
    </w:p>
    <w:p w14:paraId="71AAFDE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ЦА устроили выставку самолетов и построили эскадрилью им. МГ во главе с АНТ-14 и Сталью Путилова. Правее стояли АИР-6 и АИР-7 и французская машина. Нач. ГУАП Г.Н.Королев, сменивший П.И.Б. и посетивший выставку, подошел к АИР-6 и (со слов самого А.С.Я. и ж А.Гарри) сказал: Сразу видно заграничную работу. Вот Это - культура. Посмотрите на окраску, на изящество, на вкус. да, не скоро мы научимся так строить самолеты. Что за машина? Какой фирмы?" (3550,9).</w:t>
      </w:r>
    </w:p>
    <w:p w14:paraId="47DC1FAD"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C1BF7EA"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состоялось заседание ПБ и был оформлен протокол № 145</w:t>
      </w:r>
    </w:p>
    <w:p w14:paraId="3802B4B9"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сентября 1933 опросом членов ПБ</w:t>
      </w:r>
    </w:p>
    <w:p w14:paraId="5ADBDDCB"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54/37.- О полете французов в СССР.</w:t>
      </w:r>
    </w:p>
    <w:p w14:paraId="3FD8A49D"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возражать против участия в перелете министра авиации Кота и официальной военной миссии.</w:t>
      </w:r>
    </w:p>
    <w:p w14:paraId="752FFC24"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разослана: т.т. Тухачевскому, Литвинову, Артузову.</w:t>
      </w:r>
    </w:p>
    <w:p w14:paraId="4CE8DA80"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сентября 1933 опросом членов ПБ</w:t>
      </w:r>
    </w:p>
    <w:p w14:paraId="1C135038"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125/109,- О гелии</w:t>
      </w:r>
    </w:p>
    <w:p w14:paraId="2BF94784"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Возложить ответственность за организацию работ по улавливанию гелия в скважине 108 (Артемовск) на т.Ратайчака.</w:t>
      </w:r>
    </w:p>
    <w:p w14:paraId="15395E42"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т.Ратайчака периодически информировать о работах по улавливанию гелия т. Куйбышева.</w:t>
      </w:r>
    </w:p>
    <w:p w14:paraId="54E1D282"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разосланы: Куйбышеву, Ратайчаку, Саркису(шифром).</w:t>
      </w:r>
    </w:p>
    <w:p w14:paraId="76559878"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опросом членов ПБ</w:t>
      </w:r>
    </w:p>
    <w:p w14:paraId="4CC72C3A"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164/148.- Об импорте для автозавода им,Сталина</w:t>
      </w:r>
    </w:p>
    <w:p w14:paraId="0FF897FF"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НКТП закупить 9 легковых машин для проектных работ завода им.Сталина за счет выделен</w:t>
      </w:r>
      <w:r w:rsidRPr="0044524F">
        <w:rPr>
          <w:rFonts w:ascii="Times New Roman" w:hAnsi="Times New Roman"/>
          <w:color w:val="000000" w:themeColor="text1"/>
          <w:sz w:val="16"/>
          <w:szCs w:val="16"/>
        </w:rPr>
        <w:softHyphen/>
        <w:t>ного последнему контингента 3 млн.рублей.</w:t>
      </w:r>
    </w:p>
    <w:p w14:paraId="4EEBCCD4"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Пятакову, Элиаве (22995).</w:t>
      </w:r>
    </w:p>
    <w:p w14:paraId="471DCDE3" w14:textId="77777777" w:rsidR="002E1DEE" w:rsidRPr="0044524F" w:rsidRDefault="002E1DEE" w:rsidP="009654CF">
      <w:pPr>
        <w:spacing w:after="0" w:line="240" w:lineRule="auto"/>
        <w:jc w:val="both"/>
        <w:rPr>
          <w:rFonts w:ascii="Times New Roman" w:hAnsi="Times New Roman"/>
          <w:color w:val="000000" w:themeColor="text1"/>
          <w:sz w:val="16"/>
          <w:szCs w:val="16"/>
        </w:rPr>
      </w:pPr>
    </w:p>
    <w:p w14:paraId="03B512F9" w14:textId="77777777" w:rsidR="00352221" w:rsidRPr="0044524F" w:rsidRDefault="003522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г. в Москву на трехмоторном самолете Девуатин-332 с дружеским визитом прилетел французский министр авиации Пьер Кот в сопровождении авиаспециалистов на двух самолетах Блох и Вибо. Гостям была оказана торжественная встреча. 21-го сентября гости вылетели обратно.</w:t>
      </w:r>
    </w:p>
    <w:p w14:paraId="54A58072" w14:textId="77777777" w:rsidR="00352221" w:rsidRPr="0044524F" w:rsidRDefault="003522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/ВВФ, 1933 № 9/ (23370).</w:t>
      </w:r>
    </w:p>
    <w:p w14:paraId="6C3D72C6" w14:textId="77777777" w:rsidR="00352221" w:rsidRPr="0044524F" w:rsidRDefault="00352221" w:rsidP="009654CF">
      <w:pPr>
        <w:spacing w:after="0" w:line="240" w:lineRule="auto"/>
        <w:jc w:val="both"/>
        <w:rPr>
          <w:rFonts w:ascii="Times New Roman" w:hAnsi="Times New Roman"/>
          <w:color w:val="000000" w:themeColor="text1"/>
          <w:sz w:val="16"/>
          <w:szCs w:val="16"/>
        </w:rPr>
      </w:pPr>
    </w:p>
    <w:p w14:paraId="62B7FAB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С.Н.Анохин установил всесоюзный рекорд продолжительности полёта на одноместном планере -15 ч. 47 мин. (5996).</w:t>
      </w:r>
    </w:p>
    <w:p w14:paraId="47199079"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6858A880"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15 сентября 1933 г. в 12 часов дня «дышавший на ладан» ЮГ-1 иод номе</w:t>
      </w:r>
      <w:r w:rsidRPr="00142305">
        <w:rPr>
          <w:rStyle w:val="aff"/>
          <w:rFonts w:ascii="Times New Roman" w:hAnsi="Times New Roman" w:cs="Times New Roman"/>
          <w:color w:val="0070C0"/>
          <w:spacing w:val="0"/>
          <w:sz w:val="16"/>
          <w:szCs w:val="16"/>
        </w:rPr>
        <w:softHyphen/>
        <w:t>ром Н-4 Ф.К. Куканова сумел приземлиться на воду у борта «Челюскина» и принял на борт О.Ю. Шмидта, его заместителя И.А. Копусова и «участника новой смены зимовщиков» начальника полярной станции И.С. Буйко. Одновременно взлетел Ш-2 М.С. Бабушкина с капитаном В.И. Ворониным. ЮГ-1 Ф.К. Куканова несколь</w:t>
      </w:r>
      <w:r w:rsidRPr="00142305">
        <w:rPr>
          <w:rStyle w:val="aff"/>
          <w:rFonts w:ascii="Times New Roman" w:hAnsi="Times New Roman" w:cs="Times New Roman"/>
          <w:color w:val="0070C0"/>
          <w:spacing w:val="0"/>
          <w:sz w:val="16"/>
          <w:szCs w:val="16"/>
        </w:rPr>
        <w:softHyphen/>
        <w:t xml:space="preserve">ко раз попытался взлететь. Но, видимо, старой машине с полным составом экипажа и тремя </w:t>
      </w:r>
      <w:r w:rsidRPr="00142305">
        <w:rPr>
          <w:rStyle w:val="aff"/>
          <w:rFonts w:ascii="Times New Roman" w:hAnsi="Times New Roman" w:cs="Times New Roman"/>
          <w:color w:val="0070C0"/>
          <w:spacing w:val="0"/>
          <w:sz w:val="16"/>
          <w:szCs w:val="16"/>
        </w:rPr>
        <w:lastRenderedPageBreak/>
        <w:t>пассажирами сделать это было не под силу. И только через полтора часа, выса</w:t>
      </w:r>
      <w:r w:rsidRPr="00142305">
        <w:rPr>
          <w:rStyle w:val="aff"/>
          <w:rFonts w:ascii="Times New Roman" w:hAnsi="Times New Roman" w:cs="Times New Roman"/>
          <w:color w:val="0070C0"/>
          <w:spacing w:val="0"/>
          <w:sz w:val="16"/>
          <w:szCs w:val="16"/>
        </w:rPr>
        <w:softHyphen/>
        <w:t>див в шлюпку И.А. Копусова и откачав из поплавков воду, гидросамолёт смог оторваться от воды и взять курс на о. Врангеля. Двумя рейсами до этого отважный Ф.К. Кука</w:t>
      </w:r>
      <w:r w:rsidRPr="00142305">
        <w:rPr>
          <w:rStyle w:val="aff"/>
          <w:rFonts w:ascii="Times New Roman" w:hAnsi="Times New Roman" w:cs="Times New Roman"/>
          <w:color w:val="0070C0"/>
          <w:spacing w:val="0"/>
          <w:sz w:val="16"/>
          <w:szCs w:val="16"/>
        </w:rPr>
        <w:softHyphen/>
        <w:t>нов вместе с начальником Северо-восточной авиагруппы Г.Д. Краспнским завёз па остров продовольствие, меди</w:t>
      </w:r>
      <w:r w:rsidRPr="00142305">
        <w:rPr>
          <w:rStyle w:val="aff"/>
          <w:rFonts w:ascii="Times New Roman" w:hAnsi="Times New Roman" w:cs="Times New Roman"/>
          <w:color w:val="0070C0"/>
          <w:spacing w:val="0"/>
          <w:sz w:val="16"/>
          <w:szCs w:val="16"/>
        </w:rPr>
        <w:softHyphen/>
        <w:t>каменты и боеприпасы, а оттуда забрал 11 бедствовавших зимовщиков. Вместе с эскимосами на пятую, вынужден</w:t>
      </w:r>
      <w:r w:rsidRPr="00142305">
        <w:rPr>
          <w:rStyle w:val="aff"/>
          <w:rFonts w:ascii="Times New Roman" w:hAnsi="Times New Roman" w:cs="Times New Roman"/>
          <w:color w:val="0070C0"/>
          <w:spacing w:val="0"/>
          <w:sz w:val="16"/>
          <w:szCs w:val="16"/>
        </w:rPr>
        <w:softHyphen/>
        <w:t>ную зимовку остался лишь преемник основателя колонии Г.А. Ушакова - А.И. Минеев с женой, врачом Власовой. После посещения о. Врангеля Ф.К. Куканов доставил О.Ю. Шмидта и П.С. Буйко на мыс Северный, откуда те на шлюпке вернулись па «Челюскин» (25653).</w:t>
      </w:r>
    </w:p>
    <w:p w14:paraId="2C452805" w14:textId="77777777" w:rsidR="00E34525" w:rsidRPr="00142305" w:rsidRDefault="00E34525" w:rsidP="00E34525">
      <w:pPr>
        <w:spacing w:after="0" w:line="240" w:lineRule="auto"/>
        <w:jc w:val="both"/>
        <w:rPr>
          <w:rFonts w:ascii="Times New Roman" w:hAnsi="Times New Roman"/>
          <w:color w:val="0070C0"/>
          <w:sz w:val="16"/>
          <w:szCs w:val="16"/>
        </w:rPr>
      </w:pPr>
    </w:p>
    <w:p w14:paraId="7FF58D60" w14:textId="77777777" w:rsidR="002E1DEE" w:rsidRPr="0044524F" w:rsidRDefault="002E1DE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стратостат «Осоавиахим-1» («ОАХ-1») доставили в Москву. Старт его наметили на 30 сентября 1933 г., в один день с «СССР-1», но засвежевший ветер помешал полёту. Только в конце января 1934 г. условия погоды улучшились, и было решено провести исследования стратосферы в зимних условиях. 28 января стратостат перевезли в Кунцево, и в те</w:t>
      </w:r>
      <w:r w:rsidRPr="0044524F">
        <w:rPr>
          <w:rFonts w:ascii="Times New Roman" w:hAnsi="Times New Roman"/>
          <w:color w:val="000000" w:themeColor="text1"/>
          <w:sz w:val="16"/>
          <w:szCs w:val="16"/>
        </w:rPr>
        <w:softHyphen/>
        <w:t>чение ночи с 29 на 30 января оболочку на V7 на</w:t>
      </w:r>
      <w:r w:rsidRPr="0044524F">
        <w:rPr>
          <w:rFonts w:ascii="Times New Roman" w:hAnsi="Times New Roman"/>
          <w:color w:val="000000" w:themeColor="text1"/>
          <w:sz w:val="16"/>
          <w:szCs w:val="16"/>
        </w:rPr>
        <w:softHyphen/>
        <w:t>полнили газом (20120).</w:t>
      </w:r>
    </w:p>
    <w:p w14:paraId="0A3DA838" w14:textId="77777777" w:rsidR="002E1DEE" w:rsidRPr="0044524F" w:rsidRDefault="002E1DEE" w:rsidP="009654CF">
      <w:pPr>
        <w:spacing w:after="0" w:line="240" w:lineRule="auto"/>
        <w:jc w:val="both"/>
        <w:rPr>
          <w:rFonts w:ascii="Times New Roman" w:hAnsi="Times New Roman"/>
          <w:color w:val="000000" w:themeColor="text1"/>
          <w:sz w:val="16"/>
          <w:szCs w:val="16"/>
        </w:rPr>
      </w:pPr>
    </w:p>
    <w:p w14:paraId="3AC85DEE" w14:textId="77777777" w:rsidR="00B2303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3C8437C" w14:textId="77777777" w:rsidR="00B2303C" w:rsidRPr="0044524F" w:rsidRDefault="00B2303C" w:rsidP="009654CF">
      <w:pPr>
        <w:spacing w:after="0" w:line="240" w:lineRule="auto"/>
        <w:jc w:val="both"/>
        <w:rPr>
          <w:rFonts w:ascii="Times New Roman" w:hAnsi="Times New Roman"/>
          <w:iCs/>
          <w:color w:val="000000" w:themeColor="text1"/>
          <w:sz w:val="16"/>
          <w:szCs w:val="16"/>
        </w:rPr>
      </w:pPr>
    </w:p>
    <w:p w14:paraId="24D1C597" w14:textId="77777777" w:rsidR="00B2303C" w:rsidRPr="0044524F" w:rsidRDefault="00B2303C" w:rsidP="009654CF">
      <w:pPr>
        <w:pStyle w:val="rtejustify"/>
        <w:spacing w:before="0" w:after="0"/>
        <w:rPr>
          <w:color w:val="000000" w:themeColor="text1"/>
          <w:sz w:val="16"/>
          <w:szCs w:val="16"/>
        </w:rPr>
      </w:pPr>
      <w:r w:rsidRPr="0044524F">
        <w:rPr>
          <w:rStyle w:val="af0"/>
          <w:bCs/>
          <w:i w:val="0"/>
          <w:color w:val="000000" w:themeColor="text1"/>
          <w:sz w:val="16"/>
          <w:szCs w:val="16"/>
        </w:rPr>
        <w:t>15 сентября</w:t>
      </w:r>
      <w:r w:rsidRPr="0044524F">
        <w:rPr>
          <w:color w:val="000000" w:themeColor="text1"/>
          <w:sz w:val="16"/>
          <w:szCs w:val="16"/>
        </w:rPr>
        <w:t xml:space="preserve"> 1933. Протокол заседания Политбюро ЦК ВКП (б) № 145. </w:t>
      </w:r>
      <w:hyperlink r:id="rId324" w:anchor="showunit&amp;id=87636" w:history="1">
        <w:r w:rsidRPr="0044524F">
          <w:rPr>
            <w:rStyle w:val="a5"/>
            <w:color w:val="000000" w:themeColor="text1"/>
            <w:sz w:val="16"/>
            <w:szCs w:val="16"/>
          </w:rPr>
          <w:t>3. Об обеспечении рудой и флюсами металлургических заводов Юга</w:t>
        </w:r>
      </w:hyperlink>
      <w:r w:rsidRPr="0044524F">
        <w:rPr>
          <w:color w:val="000000" w:themeColor="text1"/>
          <w:sz w:val="16"/>
          <w:szCs w:val="16"/>
        </w:rPr>
        <w:t xml:space="preserve"> (Рудзутак, Пятаков, Андреев, М. Каганович). Решено: а) Командировать Полонского на Екатерининскую железную дорогу со специальным назначением ускорить вывоз руды из Кривого Рога и обеспечения подвоза всего необходимого для нормальной работы металлургических заводов (руда, флюсы, кокс, огнеупоры). б) Поручить Постникову специально следить за своевременной погрузкой руды для других заводов черной металлургии. в) Признать необходимым посылку в Кривой Рог уполномоченного или бригады ЦК для усиления вывоза руды, поручив Кагановичу Л. М. и Куйбышеву наметить кандидатуры. г) Предложить НКТяжпрому (Гуревичу) осуществлять ежедневную проверку исполнения решений о создании запасов руды на металлургических заводах и обеспечения их флюсами, огнеупором, коксом. д) Обязать Гуревича и Постникова каждую декаду сообщать в ЦК в письменной форме сведения об отгрузке и вывозе руды для черной металлургии. е) Предложить НКТПрому разработать ряд практических мер для обеспечения выполнения программы по огнеупорам с последующим сообщением в ЦК. </w:t>
      </w:r>
      <w:hyperlink r:id="rId325" w:anchor="showunit&amp;id=87564" w:history="1">
        <w:r w:rsidRPr="0044524F">
          <w:rPr>
            <w:rStyle w:val="a5"/>
            <w:color w:val="000000" w:themeColor="text1"/>
            <w:sz w:val="16"/>
            <w:szCs w:val="16"/>
          </w:rPr>
          <w:t>13. О начальнике Главного управления авиапромышленности</w:t>
        </w:r>
      </w:hyperlink>
      <w:r w:rsidRPr="0044524F">
        <w:rPr>
          <w:color w:val="000000" w:themeColor="text1"/>
          <w:sz w:val="16"/>
          <w:szCs w:val="16"/>
        </w:rPr>
        <w:t xml:space="preserve">. Решено: а) Назначить начальником Главного управления авиапромышленности Королева, освободив его от должности директора Рыбинского завода. б) Назначить директором Рыбинского завода Побережского. </w:t>
      </w:r>
      <w:hyperlink r:id="rId326" w:anchor="showunit&amp;id=87575" w:history="1">
        <w:r w:rsidRPr="0044524F">
          <w:rPr>
            <w:rStyle w:val="a5"/>
            <w:color w:val="000000" w:themeColor="text1"/>
            <w:sz w:val="16"/>
            <w:szCs w:val="16"/>
          </w:rPr>
          <w:t>14. О гибели самолета АНТ</w:t>
        </w:r>
        <w:r w:rsidRPr="0044524F">
          <w:rPr>
            <w:rStyle w:val="a5"/>
            <w:color w:val="000000" w:themeColor="text1"/>
            <w:sz w:val="16"/>
            <w:szCs w:val="16"/>
          </w:rPr>
          <w:noBreakHyphen/>
          <w:t>7</w:t>
        </w:r>
      </w:hyperlink>
      <w:r w:rsidRPr="0044524F">
        <w:rPr>
          <w:color w:val="000000" w:themeColor="text1"/>
          <w:sz w:val="16"/>
          <w:szCs w:val="16"/>
        </w:rPr>
        <w:t xml:space="preserve"> (Прокофьев, Ежов). Решено: Поручить Кагановичу и Куйбышеву совместно с комиссией окончательное редактирование постановления ЦК и сообщения для печати. </w:t>
      </w:r>
      <w:hyperlink r:id="rId327" w:anchor="showunit&amp;id=87640" w:history="1">
        <w:r w:rsidRPr="0044524F">
          <w:rPr>
            <w:rStyle w:val="a5"/>
            <w:color w:val="000000" w:themeColor="text1"/>
            <w:sz w:val="16"/>
            <w:szCs w:val="16"/>
          </w:rPr>
          <w:t>33/16. Об автомашинах и тракторах для военно-конных заводов Северного Кавказа</w:t>
        </w:r>
      </w:hyperlink>
      <w:r w:rsidRPr="0044524F">
        <w:rPr>
          <w:color w:val="000000" w:themeColor="text1"/>
          <w:sz w:val="16"/>
          <w:szCs w:val="16"/>
        </w:rPr>
        <w:t xml:space="preserve"> (ПБ от 1 сентября 1933 г.). Решено: Отпустить для военно-конных заводов Северного Кавказа 130 тракторов за счет резервов СНК; 50 автомашин (за счет НКЗема – 30 и НКСовхозов – 20); 45 легковых машин (за счет НКЗема – 20 и НКСовхозов – 25) и 5 автоцистерн – с перенесением отгрузки НКЗему и НКСовхозов на первые дни октября. </w:t>
      </w:r>
      <w:hyperlink r:id="rId328" w:anchor="showunit&amp;id=87689" w:history="1">
        <w:r w:rsidRPr="0044524F">
          <w:rPr>
            <w:rStyle w:val="a5"/>
            <w:color w:val="000000" w:themeColor="text1"/>
            <w:sz w:val="16"/>
            <w:szCs w:val="16"/>
          </w:rPr>
          <w:t>77/61. О гибели АНТ</w:t>
        </w:r>
        <w:r w:rsidRPr="0044524F">
          <w:rPr>
            <w:rStyle w:val="a5"/>
            <w:color w:val="000000" w:themeColor="text1"/>
            <w:sz w:val="16"/>
            <w:szCs w:val="16"/>
          </w:rPr>
          <w:noBreakHyphen/>
          <w:t>7 ЦАГИ</w:t>
        </w:r>
      </w:hyperlink>
      <w:r w:rsidRPr="0044524F">
        <w:rPr>
          <w:color w:val="000000" w:themeColor="text1"/>
          <w:sz w:val="16"/>
          <w:szCs w:val="16"/>
        </w:rPr>
        <w:t xml:space="preserve"> (ПБ от 5 сентября 1933 г.). Решено: а) Назначить комиссию в составе Тухачевского, Прокофьева, Харламова (ЦАГИ) и Ежова для выяснения причин гибели самолета АНТ</w:t>
      </w:r>
      <w:r w:rsidRPr="0044524F">
        <w:rPr>
          <w:color w:val="000000" w:themeColor="text1"/>
          <w:sz w:val="16"/>
          <w:szCs w:val="16"/>
        </w:rPr>
        <w:noBreakHyphen/>
        <w:t xml:space="preserve">7 ЦАГИ. б) Создать комиссию в составе Енукидзе (председатель), Кагановича М., Тухачевского, Акулова и Хрущева для организации похорон погибших. в) Замуровать урны Баранова и Гольцмана на Красной площади. </w:t>
      </w:r>
      <w:hyperlink r:id="rId329" w:anchor="showunit&amp;id=87695" w:history="1">
        <w:r w:rsidRPr="0044524F">
          <w:rPr>
            <w:rStyle w:val="a5"/>
            <w:color w:val="000000" w:themeColor="text1"/>
            <w:sz w:val="16"/>
            <w:szCs w:val="16"/>
          </w:rPr>
          <w:t>82/66. Об отпуске средств Радиевому институту</w:t>
        </w:r>
      </w:hyperlink>
      <w:r w:rsidRPr="0044524F">
        <w:rPr>
          <w:color w:val="000000" w:themeColor="text1"/>
          <w:sz w:val="16"/>
          <w:szCs w:val="16"/>
        </w:rPr>
        <w:t xml:space="preserve"> (ПБ от 5 сентября 1933 г.). Решено: Утвердить постановление СНК СССР об отпуске Радиевому институту 100 тысяч рублей из резервного фонда СНК СССР на работы по расщеплению ядра атома протонным пучком. </w:t>
      </w:r>
      <w:hyperlink r:id="rId330" w:anchor="showunit&amp;id=87532" w:history="1">
        <w:r w:rsidRPr="0044524F">
          <w:rPr>
            <w:rStyle w:val="a5"/>
            <w:color w:val="000000" w:themeColor="text1"/>
            <w:sz w:val="16"/>
            <w:szCs w:val="16"/>
          </w:rPr>
          <w:t>100/84. О строительстве электролампового завода</w:t>
        </w:r>
      </w:hyperlink>
      <w:r w:rsidRPr="0044524F">
        <w:rPr>
          <w:color w:val="000000" w:themeColor="text1"/>
          <w:sz w:val="16"/>
          <w:szCs w:val="16"/>
        </w:rPr>
        <w:t xml:space="preserve"> (ПБ от 25 августа 1932 г., пр. № 113, п. 14), (ПБ от 9 сентября 1933 г.). Решено: Утвердить постановление СТО о строительстве электролампового завода в Рязани. </w:t>
      </w:r>
      <w:hyperlink r:id="rId331" w:anchor="showunit&amp;id=87559" w:history="1">
        <w:r w:rsidRPr="0044524F">
          <w:rPr>
            <w:rStyle w:val="a5"/>
            <w:color w:val="000000" w:themeColor="text1"/>
            <w:sz w:val="16"/>
            <w:szCs w:val="16"/>
          </w:rPr>
          <w:t>125/109. О гелии</w:t>
        </w:r>
      </w:hyperlink>
      <w:r w:rsidRPr="0044524F">
        <w:rPr>
          <w:color w:val="000000" w:themeColor="text1"/>
          <w:sz w:val="16"/>
          <w:szCs w:val="16"/>
        </w:rPr>
        <w:t xml:space="preserve"> (ПБ от 13 сентября 1933 г.). — ОП. Решено: а) Возложить ответственность за организацию работ по улавливанию гелия в скважине 108 (Артемовск) на Ратайчака. б) Обязать Ратайчака периодически информировать Куйбышева о работах по улавливанию гелия. </w:t>
      </w:r>
      <w:hyperlink r:id="rId332" w:anchor="showunit&amp;id=87572" w:history="1">
        <w:r w:rsidRPr="0044524F">
          <w:rPr>
            <w:rStyle w:val="a5"/>
            <w:color w:val="000000" w:themeColor="text1"/>
            <w:sz w:val="16"/>
            <w:szCs w:val="16"/>
          </w:rPr>
          <w:t>137/121. О снабжении металлом судостроения на заводах НКВода (записка Янсона)</w:t>
        </w:r>
      </w:hyperlink>
      <w:r w:rsidRPr="0044524F">
        <w:rPr>
          <w:color w:val="000000" w:themeColor="text1"/>
          <w:sz w:val="16"/>
          <w:szCs w:val="16"/>
        </w:rPr>
        <w:t xml:space="preserve"> (ПБ от 13 сентября 1933 г.). Решено: Передать вопрос на разрешение в СТО. </w:t>
      </w:r>
      <w:hyperlink r:id="rId333" w:anchor="showunit&amp;id=87583" w:history="1">
        <w:r w:rsidRPr="0044524F">
          <w:rPr>
            <w:rStyle w:val="a5"/>
            <w:color w:val="000000" w:themeColor="text1"/>
            <w:sz w:val="16"/>
            <w:szCs w:val="16"/>
          </w:rPr>
          <w:t>147/131. О дополнительном импорте каучука</w:t>
        </w:r>
      </w:hyperlink>
      <w:r w:rsidRPr="0044524F">
        <w:rPr>
          <w:color w:val="000000" w:themeColor="text1"/>
          <w:sz w:val="16"/>
          <w:szCs w:val="16"/>
        </w:rPr>
        <w:t xml:space="preserve"> (ПБ от 13 сентября 1933 г.). Решено: Передать вопрос на рассмотрение в Валютную Комиссию. </w:t>
      </w:r>
      <w:hyperlink r:id="rId334" w:anchor="showunit&amp;id=87602" w:history="1">
        <w:r w:rsidRPr="0044524F">
          <w:rPr>
            <w:rStyle w:val="a5"/>
            <w:color w:val="000000" w:themeColor="text1"/>
            <w:sz w:val="16"/>
            <w:szCs w:val="16"/>
          </w:rPr>
          <w:t>164/148. Об импорте для завода им. Сталина</w:t>
        </w:r>
      </w:hyperlink>
      <w:r w:rsidRPr="0044524F">
        <w:rPr>
          <w:color w:val="000000" w:themeColor="text1"/>
          <w:sz w:val="16"/>
          <w:szCs w:val="16"/>
        </w:rPr>
        <w:t xml:space="preserve"> (ПБ от 14 сентября 1933 г.). — ОП. Решено: Разрешить НКТП закупить 9 легковых машин для проектных работ завода имени Сталина за счет выделенного последнему контингента 3 миллиона рублей (15462).</w:t>
      </w:r>
    </w:p>
    <w:p w14:paraId="1E95E7A8" w14:textId="77777777" w:rsidR="002226C2" w:rsidRPr="0044524F" w:rsidRDefault="002226C2" w:rsidP="009654CF">
      <w:pPr>
        <w:spacing w:after="0" w:line="240" w:lineRule="auto"/>
        <w:jc w:val="both"/>
        <w:rPr>
          <w:rFonts w:ascii="Times New Roman" w:eastAsia="Times New Roman" w:hAnsi="Times New Roman"/>
          <w:color w:val="000000" w:themeColor="text1"/>
          <w:sz w:val="16"/>
          <w:szCs w:val="16"/>
          <w:lang w:eastAsia="ru-RU"/>
        </w:rPr>
      </w:pPr>
    </w:p>
    <w:p w14:paraId="77E4DB8A" w14:textId="77777777" w:rsidR="002226C2" w:rsidRPr="0044524F" w:rsidRDefault="002226C2" w:rsidP="009654CF">
      <w:pPr>
        <w:spacing w:after="0" w:line="240" w:lineRule="auto"/>
        <w:jc w:val="both"/>
        <w:rPr>
          <w:rFonts w:ascii="Times New Roman" w:hAnsi="Times New Roman"/>
          <w:i/>
          <w:iCs/>
          <w:color w:val="000000" w:themeColor="text1"/>
          <w:sz w:val="16"/>
          <w:szCs w:val="16"/>
        </w:rPr>
      </w:pPr>
      <w:r w:rsidRPr="0044524F">
        <w:rPr>
          <w:rFonts w:ascii="Times New Roman" w:eastAsia="Times New Roman" w:hAnsi="Times New Roman"/>
          <w:i/>
          <w:color w:val="000000" w:themeColor="text1"/>
          <w:sz w:val="16"/>
          <w:szCs w:val="16"/>
          <w:lang w:eastAsia="ru-RU"/>
        </w:rPr>
        <w:t>Армия</w:t>
      </w:r>
      <w:r w:rsidRPr="0044524F">
        <w:rPr>
          <w:rFonts w:ascii="Times New Roman" w:hAnsi="Times New Roman"/>
          <w:i/>
          <w:iCs/>
          <w:color w:val="000000" w:themeColor="text1"/>
          <w:sz w:val="16"/>
          <w:szCs w:val="16"/>
        </w:rPr>
        <w:t>:</w:t>
      </w:r>
    </w:p>
    <w:p w14:paraId="21C7303A" w14:textId="77777777" w:rsidR="002226C2" w:rsidRPr="0044524F" w:rsidRDefault="002226C2" w:rsidP="009654CF">
      <w:pPr>
        <w:spacing w:after="0" w:line="240" w:lineRule="auto"/>
        <w:jc w:val="both"/>
        <w:rPr>
          <w:rFonts w:ascii="Times New Roman" w:hAnsi="Times New Roman"/>
          <w:i/>
          <w:iCs/>
          <w:color w:val="000000" w:themeColor="text1"/>
          <w:sz w:val="16"/>
          <w:szCs w:val="16"/>
        </w:rPr>
      </w:pPr>
    </w:p>
    <w:p w14:paraId="7191D48B"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w:t>
      </w:r>
    </w:p>
    <w:p w14:paraId="0293D089"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7BB3CAF1"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http://sovdoc.rusarchives.ru</w:t>
      </w:r>
    </w:p>
    <w:p w14:paraId="3B7D8214"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58F413DA"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РГАСПИ. Ф. 17. Оп. 3. Д. 930. Л. 62.</w:t>
      </w:r>
    </w:p>
    <w:p w14:paraId="26AA8330"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6</w:t>
      </w:r>
    </w:p>
    <w:p w14:paraId="76779EFA"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15 пр. ПБ № 145.</w:t>
      </w:r>
    </w:p>
    <w:p w14:paraId="661AD527"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усилении охраны военных тайн.</w:t>
      </w:r>
    </w:p>
    <w:p w14:paraId="2E702E95"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(Утверждено Политбюро ЦК ВКП/б/ 15.IX.1933 г.).</w:t>
      </w:r>
    </w:p>
    <w:p w14:paraId="20B7D5CF"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 целях усиления военной цензуры в СССР, считать необходимым возложить на тов. Волина обязанности уполномоченного СНК СССР по охране военных тайн в печати.</w:t>
      </w:r>
    </w:p>
    <w:p w14:paraId="47922B35"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Группу Главлита РСФСР по военной цензуре выделить в самостоятельный отдел при уполномоченном СНК СССР. В союзных республиках создать при национальных Главлитах отделы по военной цензуре, подчиненные уполномоченному СНК СССР.</w:t>
      </w:r>
    </w:p>
    <w:p w14:paraId="4D907542"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Обязать т. Волина совместно с РВС и ОГПУ в двухдекадный срок издать единую инструкцию по охране военных тайн для всех союзных республик.</w:t>
      </w:r>
    </w:p>
    <w:p w14:paraId="39EF391F"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Поручить культпропу ЦК и т. Волину совместно с ЦК нацкомпартий, обкомами и крайкомами произвести в месячный срок пересмотр всего персонального состава работников по охране военных тайн во всех республиках и областях, освобождая от работы не отвечающих своему-назначению. Укрепить состав работников по охране государственных тайн выдержанными партийцами и квалифицированными работниками.</w:t>
      </w:r>
    </w:p>
    <w:p w14:paraId="296F336E" w14:textId="77777777" w:rsidR="002226C2" w:rsidRPr="0044524F" w:rsidRDefault="002226C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Весь личный состав отделов по охране военных тайн считать состоящим на действительной военной службе (18069).</w:t>
      </w:r>
    </w:p>
    <w:p w14:paraId="2A14BC48" w14:textId="77777777" w:rsidR="002226C2" w:rsidRPr="0044524F" w:rsidRDefault="002226C2" w:rsidP="009654CF">
      <w:pPr>
        <w:spacing w:after="0" w:line="240" w:lineRule="auto"/>
        <w:jc w:val="both"/>
        <w:rPr>
          <w:rFonts w:ascii="Times New Roman" w:hAnsi="Times New Roman"/>
          <w:color w:val="000000" w:themeColor="text1"/>
          <w:sz w:val="16"/>
          <w:szCs w:val="16"/>
        </w:rPr>
      </w:pPr>
    </w:p>
    <w:p w14:paraId="7887EE45"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1CCBE49"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76ACBBA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Ягода сообщил И.В.С. о раскрытии в Ленинграде "общества педерастов" и арестовали 150 чел. (3481).</w:t>
      </w:r>
    </w:p>
    <w:p w14:paraId="5BA8CEC9"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611E76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15 и 21 сентября 1933. Из протокола заседания Политбюро N 145, 1933 г.</w:t>
      </w:r>
    </w:p>
    <w:p w14:paraId="27E8752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железнодорожниках, судившихся за крушения, но продолжающих работать в должностях, связанных с безопасностью движения </w:t>
      </w:r>
    </w:p>
    <w:p w14:paraId="1BE40FE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Предложить Верхсуду и прокуратуре Союза разъяснить судебным органам обязательность для них при рассмотрении дел о крушениях сопровождать обвинительный приговор оговоркой об отстранении осужденного после отбытия наказания от занятия должностей, связанных с безопасностью движения, на определенный срок, а в исключительных случаях — навсегда; равным образом разъяснить судебным органам о недопустимости присуждения лиц, виновных в крушениях, к принудительным работам по старым должностям...(11652). </w:t>
      </w:r>
    </w:p>
    <w:p w14:paraId="1742A826"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339791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15 и 21 сентября 1933. Из протокола заседания Политбюро N146, особая папка, 1933 г.</w:t>
      </w:r>
    </w:p>
    <w:p w14:paraId="7EE8606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партбюджете на 1933 г. </w:t>
      </w:r>
    </w:p>
    <w:p w14:paraId="33C6DD2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Утвердить бюджет ВКП(б) на 1933 год: </w:t>
      </w:r>
    </w:p>
    <w:p w14:paraId="6F1E1E1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по доходам: от членских взносов ВКП(б) — 92 000 000 р. </w:t>
      </w:r>
    </w:p>
    <w:p w14:paraId="71764AA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от прибылей издательств ЦК ВКП(б) — 38 000 000 р. </w:t>
      </w:r>
    </w:p>
    <w:p w14:paraId="621AB5E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от членских взносов ВЛКСМ — 18 000 000 р. </w:t>
      </w:r>
    </w:p>
    <w:p w14:paraId="35C1DCB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Всего доходов — 148 000 000 р. </w:t>
      </w:r>
    </w:p>
    <w:p w14:paraId="693CA12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По расходам: </w:t>
      </w:r>
    </w:p>
    <w:p w14:paraId="56005FF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ВКП(б) — 140 488 000 р. </w:t>
      </w:r>
    </w:p>
    <w:p w14:paraId="676E630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ВЛКСМ — 31 241 000 р. </w:t>
      </w:r>
    </w:p>
    <w:p w14:paraId="10DA6E7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Всего расходов — 171 729 000 р. </w:t>
      </w:r>
    </w:p>
    <w:p w14:paraId="26CBCFE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Дотацию из резервного фонда СНК СССР утвердить в размере 25 000 000 р. (11652).</w:t>
      </w:r>
    </w:p>
    <w:p w14:paraId="73F38524"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6047A711"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7E13415"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5597DB9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15 и 21 сентября 1933. Из протокола заседания Политбюро N146, особая папка, 1933 г.</w:t>
      </w:r>
    </w:p>
    <w:p w14:paraId="3DD071D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О Персии </w:t>
      </w:r>
    </w:p>
    <w:p w14:paraId="00AC4F9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поездкой т. Карахана в Персию отпустить для подарка Риза шаху 3 танкетки и одну лошадь (11652).</w:t>
      </w:r>
    </w:p>
    <w:p w14:paraId="6D7587A7"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0E1F5EC"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7A44577"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44099AD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сентября 1933 завод 39 им. Менжинского, а, следовательно, ЦКБ С.В.И. посетил А.М.Г. (24,78).</w:t>
      </w:r>
    </w:p>
    <w:p w14:paraId="3F85A47C"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DF4D1C0" w14:textId="77777777" w:rsidR="00E34525" w:rsidRPr="00142305" w:rsidRDefault="00E34525" w:rsidP="00E3452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середине сентября 1933 Челюскин вошел в самое непред</w:t>
      </w:r>
      <w:r w:rsidRPr="00142305">
        <w:rPr>
          <w:rStyle w:val="aff"/>
          <w:rFonts w:ascii="Times New Roman" w:hAnsi="Times New Roman" w:cs="Times New Roman"/>
          <w:color w:val="0070C0"/>
          <w:spacing w:val="0"/>
          <w:sz w:val="16"/>
          <w:szCs w:val="16"/>
        </w:rPr>
        <w:softHyphen/>
        <w:t>сказуемое по своей коварности Чукотское море. Из-за тяжё</w:t>
      </w:r>
      <w:r w:rsidRPr="00142305">
        <w:rPr>
          <w:rStyle w:val="aff"/>
          <w:rFonts w:ascii="Times New Roman" w:hAnsi="Times New Roman" w:cs="Times New Roman"/>
          <w:color w:val="0070C0"/>
          <w:spacing w:val="0"/>
          <w:sz w:val="16"/>
          <w:szCs w:val="16"/>
        </w:rPr>
        <w:softHyphen/>
        <w:t>лых льдов пришлось отказаться от посещения о. Врангеля. Корабельному Ш-2 лётчика М.С. Бабушкина, имевшему небольшой радиус действия, летать приходилось реже. От</w:t>
      </w:r>
      <w:r w:rsidRPr="00142305">
        <w:rPr>
          <w:rStyle w:val="aff"/>
          <w:rFonts w:ascii="Times New Roman" w:hAnsi="Times New Roman" w:cs="Times New Roman"/>
          <w:color w:val="0070C0"/>
          <w:spacing w:val="0"/>
          <w:sz w:val="16"/>
          <w:szCs w:val="16"/>
        </w:rPr>
        <w:softHyphen/>
        <w:t>крытой воды и ровного льда для взлётов и посадок стано</w:t>
      </w:r>
      <w:r w:rsidRPr="00142305">
        <w:rPr>
          <w:rStyle w:val="aff"/>
          <w:rFonts w:ascii="Times New Roman" w:hAnsi="Times New Roman" w:cs="Times New Roman"/>
          <w:color w:val="0070C0"/>
          <w:spacing w:val="0"/>
          <w:sz w:val="16"/>
          <w:szCs w:val="16"/>
        </w:rPr>
        <w:softHyphen/>
        <w:t>вилось всё меньше.</w:t>
      </w:r>
    </w:p>
    <w:p w14:paraId="141FA89D"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дальней ледовой разведки «Челюскину» из состава ВВС Чёрного моря была направлена новая двухмоторная летающая лодка итальянского производства «Савойя» С-55 во главе с опытным лётчиком-испытателем Б.Л. Бухгольцем. Но случилось непредвиденное. Гидросамолёт вылетел из Се</w:t>
      </w:r>
      <w:r w:rsidRPr="00142305">
        <w:rPr>
          <w:rStyle w:val="aff"/>
          <w:rFonts w:ascii="Times New Roman" w:hAnsi="Times New Roman" w:cs="Times New Roman"/>
          <w:color w:val="0070C0"/>
          <w:spacing w:val="0"/>
          <w:sz w:val="16"/>
          <w:szCs w:val="16"/>
        </w:rPr>
        <w:softHyphen/>
        <w:t>вастополя и уже достиг Волги, как неожиданно «на полном ходу зацепил за воду и рухнул в воду». Машина развалилась, и вместе с командиром погиб ещё один член экипажа. «Челюскин» остался без авиационной ледовой разведки (25653).</w:t>
      </w:r>
    </w:p>
    <w:p w14:paraId="1D945E29" w14:textId="77777777" w:rsidR="00E34525" w:rsidRPr="00142305" w:rsidRDefault="00E34525" w:rsidP="00E34525">
      <w:pPr>
        <w:spacing w:after="0" w:line="240" w:lineRule="auto"/>
        <w:jc w:val="both"/>
        <w:rPr>
          <w:rFonts w:ascii="Times New Roman" w:hAnsi="Times New Roman"/>
          <w:color w:val="0070C0"/>
          <w:sz w:val="16"/>
          <w:szCs w:val="16"/>
        </w:rPr>
      </w:pPr>
    </w:p>
    <w:p w14:paraId="5FED1D8A"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середине сентября 1933 г. Советский Союз посетила французская авиационная делегация во главе с министром авиации Пьером Котом, начальником военного кабинета министерства авиации Жако, генеральным инспектором авиации Баресом и начальником гражданской авиации Помье. Французы прилетели на трехмоторном 12-местном Dewoitine D.332. Эта флагманская машина, которую встречали на Центральном аэродроме Москвы комиссар иностранных дел М.М. Литвинов и начальник ВВС Я.И. Алкснис, произвела впечатление. Известный летчик Георгий Захаров вспоминал, что истребители И-5, на которых они провожали французов, в воздухе отстали от D.332. Понятно, что уже осенью 1933 г. встал вопрос о создании в Советском Союзе подобного скоростного моноплана, способного перевозить дюжину пассажиров (25197).</w:t>
      </w:r>
    </w:p>
    <w:p w14:paraId="26931E63" w14:textId="77777777" w:rsidR="00E34525" w:rsidRPr="00142305" w:rsidRDefault="00E34525" w:rsidP="00E34525">
      <w:pPr>
        <w:spacing w:after="0" w:line="240" w:lineRule="auto"/>
        <w:jc w:val="both"/>
        <w:rPr>
          <w:rFonts w:ascii="Times New Roman" w:hAnsi="Times New Roman"/>
          <w:color w:val="0070C0"/>
          <w:sz w:val="16"/>
          <w:szCs w:val="16"/>
        </w:rPr>
      </w:pPr>
    </w:p>
    <w:p w14:paraId="0504115A"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081A572E"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758F3D0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сентября 1933 г. Советский Союз посетила французская авиационная делегация, во главе которой находился министр авиации Пьер Кот, начальник военного кабинета министерства авиации Жако, генеральный инспектор авиации Барес, начальник гражданской авиации Помье. Французы прилетели на трехмоторном 12-местном Девуатине D.332. Однако эта флагманская машина, которую встречали на Центральном аэродроме Москвы комиссар иностранных дел М.М.Литвинов и начальник ВВС Я.И.Алкснис, доставила лишь официальных представителей. Кроме этого, Москву в те дни посетили по пути из Сирии на родину пилоты Росси и Кодос на рекордном Блерио-110, названном "Joseph le Brix" - в честь погибшего в 1931 г. командира экипажа Девуатин D.33. Известно, по крайней мере, еще о трех прибывших французских самолетах: Вибо 282(271?), Couzinet 33 (регистрационный номер F-ALMV, летчик Де Велерзен), Де Хевиленд Джипси Мот (регистрационный номер F-AMAR, летчик Жапи). Советская печать уделяла большое внимание пребыванию французов в Москве, велось много разговоров о дружбе и сотрудничестве. Особо запомнился флагманский D.332 "Emeraude", явившийся прямым развитием рекордного D.33. Самолет произвел заметное впечатление на советских авиаторов. Так, обладая максимальной полетной скоростью 300 км/ч, трехмоторный "Девуатин" обогнал эскортирующие его истребители-бипланы И-5. Интересно, что 7 сентября, т.е. практически накануне вылета в Москву, "Emeraude", пилотируемый Марселем Доре, установил несколько рекордов скорости. Позднее модификация этой машины - Девуатин D.333, в количестве трех экземпляров ("Антарес", "Кассиопея", "Альтаир") была закуплена компанией "Эр Франс" для полетов на дальней трассе Касабланка - Дакар. К сожалению, судьба первого трехмоторного прототипа оказалась недолгой. Спустя три месяца после московского визита D.332 совершил скоростной перелет в Сайгон, потратив 48 летных часов. На обратном пути в январе 1934 г. машина попала в бурю и вследствие значительных перегрузок развалилась в воздухе.</w:t>
      </w:r>
    </w:p>
    <w:p w14:paraId="1324192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ХАРАКТЕРИСТИКИ ЕВРОПЕЙСКИХ САМОЛЕТОВ ДЛЯ ДАЛЬНИХ ПЕРЕЛЕТОВ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45"/>
        <w:gridCol w:w="1145"/>
        <w:gridCol w:w="1145"/>
        <w:gridCol w:w="1145"/>
        <w:gridCol w:w="1145"/>
        <w:gridCol w:w="1145"/>
        <w:gridCol w:w="1145"/>
        <w:gridCol w:w="1145"/>
        <w:gridCol w:w="1145"/>
      </w:tblGrid>
      <w:tr w:rsidR="004E10C1" w:rsidRPr="0044524F" w14:paraId="0B63F254" w14:textId="77777777">
        <w:tc>
          <w:tcPr>
            <w:tcW w:w="1145" w:type="dxa"/>
            <w:tcBorders>
              <w:top w:val="single" w:sz="12" w:space="0" w:color="auto"/>
            </w:tcBorders>
          </w:tcPr>
          <w:p w14:paraId="6AE65D5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w:t>
            </w:r>
          </w:p>
        </w:tc>
        <w:tc>
          <w:tcPr>
            <w:tcW w:w="1145" w:type="dxa"/>
            <w:tcBorders>
              <w:top w:val="single" w:sz="12" w:space="0" w:color="auto"/>
            </w:tcBorders>
          </w:tcPr>
          <w:p w14:paraId="2296A5F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Двигатель(л.с.)</w:t>
            </w:r>
          </w:p>
        </w:tc>
        <w:tc>
          <w:tcPr>
            <w:tcW w:w="1145" w:type="dxa"/>
            <w:tcBorders>
              <w:top w:val="single" w:sz="12" w:space="0" w:color="auto"/>
            </w:tcBorders>
          </w:tcPr>
          <w:p w14:paraId="086A081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(м)</w:t>
            </w:r>
          </w:p>
        </w:tc>
        <w:tc>
          <w:tcPr>
            <w:tcW w:w="1145" w:type="dxa"/>
            <w:tcBorders>
              <w:top w:val="single" w:sz="12" w:space="0" w:color="auto"/>
            </w:tcBorders>
          </w:tcPr>
          <w:p w14:paraId="66C6256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(мг)</w:t>
            </w:r>
          </w:p>
        </w:tc>
        <w:tc>
          <w:tcPr>
            <w:tcW w:w="1145" w:type="dxa"/>
            <w:tcBorders>
              <w:top w:val="single" w:sz="12" w:space="0" w:color="auto"/>
            </w:tcBorders>
          </w:tcPr>
          <w:p w14:paraId="5A95338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Удлинение</w:t>
            </w:r>
          </w:p>
        </w:tc>
        <w:tc>
          <w:tcPr>
            <w:tcW w:w="1145" w:type="dxa"/>
            <w:tcBorders>
              <w:top w:val="single" w:sz="12" w:space="0" w:color="auto"/>
            </w:tcBorders>
          </w:tcPr>
          <w:p w14:paraId="28E6F02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(кг)</w:t>
            </w:r>
          </w:p>
        </w:tc>
        <w:tc>
          <w:tcPr>
            <w:tcW w:w="1145" w:type="dxa"/>
            <w:tcBorders>
              <w:top w:val="single" w:sz="12" w:space="0" w:color="auto"/>
            </w:tcBorders>
          </w:tcPr>
          <w:p w14:paraId="3E98CD4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(кг)</w:t>
            </w:r>
          </w:p>
        </w:tc>
        <w:tc>
          <w:tcPr>
            <w:tcW w:w="1145" w:type="dxa"/>
            <w:tcBorders>
              <w:top w:val="single" w:sz="12" w:space="0" w:color="auto"/>
            </w:tcBorders>
          </w:tcPr>
          <w:p w14:paraId="0708225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Запас горючего (кг)</w:t>
            </w:r>
          </w:p>
        </w:tc>
        <w:tc>
          <w:tcPr>
            <w:tcW w:w="1145" w:type="dxa"/>
            <w:tcBorders>
              <w:top w:val="single" w:sz="12" w:space="0" w:color="auto"/>
            </w:tcBorders>
          </w:tcPr>
          <w:p w14:paraId="5E194B2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крыло (кг/м2)</w:t>
            </w:r>
          </w:p>
        </w:tc>
      </w:tr>
      <w:tr w:rsidR="004E10C1" w:rsidRPr="0044524F" w14:paraId="615106EF" w14:textId="77777777">
        <w:tc>
          <w:tcPr>
            <w:tcW w:w="1145" w:type="dxa"/>
          </w:tcPr>
          <w:p w14:paraId="145442FB"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45" w:type="dxa"/>
          </w:tcPr>
          <w:p w14:paraId="7F9A4F14"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45" w:type="dxa"/>
          </w:tcPr>
          <w:p w14:paraId="5DD89F6F"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45" w:type="dxa"/>
          </w:tcPr>
          <w:p w14:paraId="5A695830"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45" w:type="dxa"/>
          </w:tcPr>
          <w:p w14:paraId="166914BD"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45" w:type="dxa"/>
          </w:tcPr>
          <w:p w14:paraId="584D4E55"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45" w:type="dxa"/>
          </w:tcPr>
          <w:p w14:paraId="28C2EB25"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45" w:type="dxa"/>
          </w:tcPr>
          <w:p w14:paraId="58C3C33B"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45" w:type="dxa"/>
          </w:tcPr>
          <w:p w14:paraId="692591A3"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67A82D5B" w14:textId="77777777">
        <w:tc>
          <w:tcPr>
            <w:tcW w:w="1145" w:type="dxa"/>
          </w:tcPr>
          <w:p w14:paraId="7C83EE2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Фэйри LR</w:t>
            </w:r>
          </w:p>
        </w:tc>
        <w:tc>
          <w:tcPr>
            <w:tcW w:w="1145" w:type="dxa"/>
          </w:tcPr>
          <w:p w14:paraId="6C54BE5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Нэпир XI (530)</w:t>
            </w:r>
          </w:p>
        </w:tc>
        <w:tc>
          <w:tcPr>
            <w:tcW w:w="1145" w:type="dxa"/>
          </w:tcPr>
          <w:p w14:paraId="0A15E30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145" w:type="dxa"/>
          </w:tcPr>
          <w:p w14:paraId="04B4111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82,0</w:t>
            </w:r>
          </w:p>
        </w:tc>
        <w:tc>
          <w:tcPr>
            <w:tcW w:w="1145" w:type="dxa"/>
          </w:tcPr>
          <w:p w14:paraId="0AFF542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1145" w:type="dxa"/>
          </w:tcPr>
          <w:p w14:paraId="004C1EA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145" w:type="dxa"/>
          </w:tcPr>
          <w:p w14:paraId="033FE4C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7800</w:t>
            </w:r>
          </w:p>
        </w:tc>
        <w:tc>
          <w:tcPr>
            <w:tcW w:w="1145" w:type="dxa"/>
          </w:tcPr>
          <w:p w14:paraId="4537608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4500</w:t>
            </w:r>
          </w:p>
        </w:tc>
        <w:tc>
          <w:tcPr>
            <w:tcW w:w="1145" w:type="dxa"/>
          </w:tcPr>
          <w:p w14:paraId="788028B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r>
      <w:tr w:rsidR="004E10C1" w:rsidRPr="0044524F" w14:paraId="3B49A23E" w14:textId="77777777">
        <w:tc>
          <w:tcPr>
            <w:tcW w:w="1145" w:type="dxa"/>
          </w:tcPr>
          <w:p w14:paraId="39E0F39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Савойя S-64</w:t>
            </w:r>
          </w:p>
        </w:tc>
        <w:tc>
          <w:tcPr>
            <w:tcW w:w="1145" w:type="dxa"/>
          </w:tcPr>
          <w:p w14:paraId="05ECF70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Фиат А-22Т (620)</w:t>
            </w:r>
          </w:p>
        </w:tc>
        <w:tc>
          <w:tcPr>
            <w:tcW w:w="1145" w:type="dxa"/>
          </w:tcPr>
          <w:p w14:paraId="6ECD192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1145" w:type="dxa"/>
          </w:tcPr>
          <w:p w14:paraId="4D4B296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145" w:type="dxa"/>
          </w:tcPr>
          <w:p w14:paraId="577F9F9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7,75</w:t>
            </w:r>
          </w:p>
        </w:tc>
        <w:tc>
          <w:tcPr>
            <w:tcW w:w="1145" w:type="dxa"/>
          </w:tcPr>
          <w:p w14:paraId="561A61E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2670</w:t>
            </w:r>
          </w:p>
        </w:tc>
        <w:tc>
          <w:tcPr>
            <w:tcW w:w="1145" w:type="dxa"/>
          </w:tcPr>
          <w:p w14:paraId="4D2A08D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7200</w:t>
            </w:r>
          </w:p>
        </w:tc>
        <w:tc>
          <w:tcPr>
            <w:tcW w:w="1145" w:type="dxa"/>
          </w:tcPr>
          <w:p w14:paraId="60A330D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4550</w:t>
            </w:r>
          </w:p>
        </w:tc>
        <w:tc>
          <w:tcPr>
            <w:tcW w:w="1145" w:type="dxa"/>
          </w:tcPr>
          <w:p w14:paraId="6F94D20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r>
      <w:tr w:rsidR="004E10C1" w:rsidRPr="0044524F" w14:paraId="1CAD9F3A" w14:textId="77777777">
        <w:tc>
          <w:tcPr>
            <w:tcW w:w="1145" w:type="dxa"/>
          </w:tcPr>
          <w:p w14:paraId="12E206C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Блерио-110</w:t>
            </w:r>
          </w:p>
        </w:tc>
        <w:tc>
          <w:tcPr>
            <w:tcW w:w="1145" w:type="dxa"/>
          </w:tcPr>
          <w:p w14:paraId="0429F8F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12МЬг (500)</w:t>
            </w:r>
          </w:p>
        </w:tc>
        <w:tc>
          <w:tcPr>
            <w:tcW w:w="1145" w:type="dxa"/>
          </w:tcPr>
          <w:p w14:paraId="594140A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w:t>
            </w:r>
          </w:p>
        </w:tc>
        <w:tc>
          <w:tcPr>
            <w:tcW w:w="1145" w:type="dxa"/>
          </w:tcPr>
          <w:p w14:paraId="3759F22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81,0</w:t>
            </w:r>
          </w:p>
        </w:tc>
        <w:tc>
          <w:tcPr>
            <w:tcW w:w="1145" w:type="dxa"/>
          </w:tcPr>
          <w:p w14:paraId="10AA9CF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8,65</w:t>
            </w:r>
          </w:p>
        </w:tc>
        <w:tc>
          <w:tcPr>
            <w:tcW w:w="1145" w:type="dxa"/>
          </w:tcPr>
          <w:p w14:paraId="7C54029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2700</w:t>
            </w:r>
          </w:p>
        </w:tc>
        <w:tc>
          <w:tcPr>
            <w:tcW w:w="1145" w:type="dxa"/>
          </w:tcPr>
          <w:p w14:paraId="3DF580A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8500</w:t>
            </w:r>
          </w:p>
        </w:tc>
        <w:tc>
          <w:tcPr>
            <w:tcW w:w="1145" w:type="dxa"/>
          </w:tcPr>
          <w:p w14:paraId="0E54658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5500</w:t>
            </w:r>
          </w:p>
        </w:tc>
        <w:tc>
          <w:tcPr>
            <w:tcW w:w="1145" w:type="dxa"/>
          </w:tcPr>
          <w:p w14:paraId="56C69E2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104,5</w:t>
            </w:r>
          </w:p>
        </w:tc>
      </w:tr>
      <w:tr w:rsidR="004E10C1" w:rsidRPr="0044524F" w14:paraId="38B093C2" w14:textId="77777777">
        <w:tc>
          <w:tcPr>
            <w:tcW w:w="1145" w:type="dxa"/>
          </w:tcPr>
          <w:p w14:paraId="4BC226D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Девуатин D.33</w:t>
            </w:r>
          </w:p>
        </w:tc>
        <w:tc>
          <w:tcPr>
            <w:tcW w:w="1145" w:type="dxa"/>
          </w:tcPr>
          <w:p w14:paraId="725A18B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12Nb (650)</w:t>
            </w:r>
          </w:p>
        </w:tc>
        <w:tc>
          <w:tcPr>
            <w:tcW w:w="1145" w:type="dxa"/>
          </w:tcPr>
          <w:p w14:paraId="05723CC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1145" w:type="dxa"/>
          </w:tcPr>
          <w:p w14:paraId="0A928F8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78,0</w:t>
            </w:r>
          </w:p>
        </w:tc>
        <w:tc>
          <w:tcPr>
            <w:tcW w:w="1145" w:type="dxa"/>
          </w:tcPr>
          <w:p w14:paraId="339859A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145" w:type="dxa"/>
          </w:tcPr>
          <w:p w14:paraId="76B5077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3100</w:t>
            </w:r>
          </w:p>
        </w:tc>
        <w:tc>
          <w:tcPr>
            <w:tcW w:w="1145" w:type="dxa"/>
          </w:tcPr>
          <w:p w14:paraId="19EBE38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9200</w:t>
            </w:r>
          </w:p>
        </w:tc>
        <w:tc>
          <w:tcPr>
            <w:tcW w:w="1145" w:type="dxa"/>
          </w:tcPr>
          <w:p w14:paraId="09848B9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5600</w:t>
            </w:r>
          </w:p>
        </w:tc>
        <w:tc>
          <w:tcPr>
            <w:tcW w:w="1145" w:type="dxa"/>
          </w:tcPr>
          <w:p w14:paraId="3CEBAF4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117,5</w:t>
            </w:r>
          </w:p>
        </w:tc>
      </w:tr>
      <w:tr w:rsidR="004E10C1" w:rsidRPr="0044524F" w14:paraId="6722A43B" w14:textId="77777777">
        <w:tc>
          <w:tcPr>
            <w:tcW w:w="1145" w:type="dxa"/>
            <w:tcBorders>
              <w:bottom w:val="single" w:sz="12" w:space="0" w:color="auto"/>
            </w:tcBorders>
          </w:tcPr>
          <w:p w14:paraId="6921463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Бернар-80</w:t>
            </w:r>
          </w:p>
        </w:tc>
        <w:tc>
          <w:tcPr>
            <w:tcW w:w="1145" w:type="dxa"/>
            <w:tcBorders>
              <w:bottom w:val="single" w:sz="12" w:space="0" w:color="auto"/>
            </w:tcBorders>
          </w:tcPr>
          <w:p w14:paraId="3C8F12B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Испано 12Nb (650)</w:t>
            </w:r>
          </w:p>
        </w:tc>
        <w:tc>
          <w:tcPr>
            <w:tcW w:w="1145" w:type="dxa"/>
            <w:tcBorders>
              <w:bottom w:val="single" w:sz="12" w:space="0" w:color="auto"/>
            </w:tcBorders>
          </w:tcPr>
          <w:p w14:paraId="57CE619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1145" w:type="dxa"/>
            <w:tcBorders>
              <w:bottom w:val="single" w:sz="12" w:space="0" w:color="auto"/>
            </w:tcBorders>
          </w:tcPr>
          <w:p w14:paraId="238350B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1145" w:type="dxa"/>
            <w:tcBorders>
              <w:bottom w:val="single" w:sz="12" w:space="0" w:color="auto"/>
            </w:tcBorders>
          </w:tcPr>
          <w:p w14:paraId="7FBBB14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1145" w:type="dxa"/>
            <w:tcBorders>
              <w:bottom w:val="single" w:sz="12" w:space="0" w:color="auto"/>
            </w:tcBorders>
          </w:tcPr>
          <w:p w14:paraId="5E8BD65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3100</w:t>
            </w:r>
          </w:p>
        </w:tc>
        <w:tc>
          <w:tcPr>
            <w:tcW w:w="1145" w:type="dxa"/>
            <w:tcBorders>
              <w:bottom w:val="single" w:sz="12" w:space="0" w:color="auto"/>
            </w:tcBorders>
          </w:tcPr>
          <w:p w14:paraId="35ABA03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8625</w:t>
            </w:r>
          </w:p>
        </w:tc>
        <w:tc>
          <w:tcPr>
            <w:tcW w:w="1145" w:type="dxa"/>
            <w:tcBorders>
              <w:bottom w:val="single" w:sz="12" w:space="0" w:color="auto"/>
            </w:tcBorders>
          </w:tcPr>
          <w:p w14:paraId="142DAC6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145" w:type="dxa"/>
            <w:tcBorders>
              <w:bottom w:val="single" w:sz="12" w:space="0" w:color="auto"/>
            </w:tcBorders>
          </w:tcPr>
          <w:p w14:paraId="373AD5A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123,0</w:t>
            </w:r>
          </w:p>
        </w:tc>
      </w:tr>
    </w:tbl>
    <w:p w14:paraId="3703595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Приведенные в таблице данные полетного веса и запаса горючего на самом деле имели разные значения. Так, при установлении мирового рекорда в 1933 г. полетный вес Блерио-110 указывался 9 тонн, а запас горючего составлял 6500 литров (11941).</w:t>
      </w:r>
    </w:p>
    <w:p w14:paraId="1687BD72"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07B7988"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BF23C4F"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27007DB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сентября 1933 ТБ-3 4М-34, полученный ЦАГИ с завода 22 20 июня 1933, был направлен на гос. испытания. На 41 часу гос. испытания были аннулированы из-за прогорания клапанов и трещин в крышке нагнетателя. На клапанах изменена сталь. Крышка переделана (2287,129).</w:t>
      </w:r>
    </w:p>
    <w:p w14:paraId="58E489BC"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284D57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сентября 1933 года после крайне длительной доводки винтомоторной группы на самолете ТБ3-4М34 ЦАГИ передало на гос. испытания самолет ТБ3-4М34 (без редуктора) с тремя вариантами винтов (3516).</w:t>
      </w:r>
    </w:p>
    <w:p w14:paraId="4CFE7D8A"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A22F74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сентября 1933 на ЛР М-34Н был совершен полет по кругу (2287,127).</w:t>
      </w:r>
    </w:p>
    <w:p w14:paraId="0A74C745"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D0D5432" w14:textId="77777777" w:rsidR="00B2303C" w:rsidRPr="0044524F" w:rsidRDefault="00B2303C" w:rsidP="009654CF">
      <w:pPr>
        <w:pStyle w:val="rtejustify"/>
        <w:spacing w:before="0" w:after="0"/>
        <w:rPr>
          <w:color w:val="000000" w:themeColor="text1"/>
          <w:sz w:val="16"/>
          <w:szCs w:val="16"/>
        </w:rPr>
      </w:pPr>
      <w:r w:rsidRPr="0044524F">
        <w:rPr>
          <w:rStyle w:val="af0"/>
          <w:bCs/>
          <w:i w:val="0"/>
          <w:color w:val="000000" w:themeColor="text1"/>
          <w:sz w:val="16"/>
          <w:szCs w:val="16"/>
        </w:rPr>
        <w:t>17 сентября</w:t>
      </w:r>
      <w:r w:rsidRPr="0044524F">
        <w:rPr>
          <w:color w:val="000000" w:themeColor="text1"/>
          <w:sz w:val="16"/>
          <w:szCs w:val="16"/>
        </w:rPr>
        <w:t xml:space="preserve"> 1933. Постановление Комиссии обороны СССР № 11сс «Об организации комиссии по вопросу об охране и секретности на авиазаводах». (ГА РФ. Ф. Р</w:t>
      </w:r>
      <w:r w:rsidRPr="0044524F">
        <w:rPr>
          <w:color w:val="000000" w:themeColor="text1"/>
          <w:sz w:val="16"/>
          <w:szCs w:val="16"/>
        </w:rPr>
        <w:noBreakHyphen/>
        <w:t>8418. Оп. 28. Д. 25а. Л. 41) (15460).</w:t>
      </w:r>
    </w:p>
    <w:p w14:paraId="4363C97F" w14:textId="77777777" w:rsidR="00B2303C" w:rsidRPr="0044524F" w:rsidRDefault="00B2303C" w:rsidP="009654CF">
      <w:pPr>
        <w:pStyle w:val="rtejustify"/>
        <w:spacing w:before="0" w:after="0"/>
        <w:rPr>
          <w:color w:val="000000" w:themeColor="text1"/>
          <w:sz w:val="16"/>
          <w:szCs w:val="16"/>
        </w:rPr>
      </w:pPr>
    </w:p>
    <w:p w14:paraId="325CE5AF" w14:textId="77777777" w:rsidR="00352221" w:rsidRPr="0044524F" w:rsidRDefault="003522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сентября 1933 г. в Москву из Варшавы прилетели почти одновременно два французских самолета: трехмоторный Рено-"Кузине" под управлением пилота Девернэ и рекордный Блерио "Жозеф ле-Бри" под управлением известных французских рекордсменов Кодоса и Росси. Последние хотели, долететь из Париха до Москвы без посадки, но это им не удалось, 22-го сентября оба самолета вылетели на Варшаву.</w:t>
      </w:r>
    </w:p>
    <w:p w14:paraId="30E443BD" w14:textId="77777777" w:rsidR="00352221" w:rsidRPr="0044524F" w:rsidRDefault="003522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НИК СССР” за 18 сентября 1933 и др./ (23370).</w:t>
      </w:r>
    </w:p>
    <w:p w14:paraId="40078958" w14:textId="77777777" w:rsidR="00352221" w:rsidRPr="0044524F" w:rsidRDefault="00352221" w:rsidP="009654CF">
      <w:pPr>
        <w:spacing w:after="0" w:line="240" w:lineRule="auto"/>
        <w:jc w:val="both"/>
        <w:rPr>
          <w:rFonts w:ascii="Times New Roman" w:hAnsi="Times New Roman"/>
          <w:color w:val="000000" w:themeColor="text1"/>
          <w:sz w:val="16"/>
          <w:szCs w:val="16"/>
        </w:rPr>
      </w:pPr>
    </w:p>
    <w:p w14:paraId="6635E3FA" w14:textId="77777777" w:rsidR="00B2303C"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C77DBAA" w14:textId="77777777" w:rsidR="00B2303C" w:rsidRPr="0044524F" w:rsidRDefault="00B2303C" w:rsidP="009654CF">
      <w:pPr>
        <w:spacing w:after="0" w:line="240" w:lineRule="auto"/>
        <w:jc w:val="both"/>
        <w:rPr>
          <w:rFonts w:ascii="Times New Roman" w:hAnsi="Times New Roman"/>
          <w:iCs/>
          <w:color w:val="000000" w:themeColor="text1"/>
          <w:sz w:val="16"/>
          <w:szCs w:val="16"/>
        </w:rPr>
      </w:pPr>
    </w:p>
    <w:p w14:paraId="5D32ED89" w14:textId="77777777" w:rsidR="00B2303C" w:rsidRPr="0044524F" w:rsidRDefault="00B2303C" w:rsidP="009654CF">
      <w:pPr>
        <w:pStyle w:val="rtejustify"/>
        <w:spacing w:before="0" w:after="0"/>
        <w:rPr>
          <w:color w:val="000000" w:themeColor="text1"/>
          <w:sz w:val="16"/>
          <w:szCs w:val="16"/>
        </w:rPr>
      </w:pPr>
      <w:r w:rsidRPr="0044524F">
        <w:rPr>
          <w:rStyle w:val="af0"/>
          <w:bCs/>
          <w:i w:val="0"/>
          <w:color w:val="000000" w:themeColor="text1"/>
          <w:sz w:val="16"/>
          <w:szCs w:val="16"/>
        </w:rPr>
        <w:t>17 сентября</w:t>
      </w:r>
      <w:r w:rsidRPr="0044524F">
        <w:rPr>
          <w:color w:val="000000" w:themeColor="text1"/>
          <w:sz w:val="16"/>
          <w:szCs w:val="16"/>
        </w:rPr>
        <w:t xml:space="preserve"> 1933. Постановление СТО СССР № 88сс/о «О включении в состав особо важных строек узкооборонного значения заводов судостроительной промышленности». (ГА РФ. Ф. Р</w:t>
      </w:r>
      <w:r w:rsidRPr="0044524F">
        <w:rPr>
          <w:color w:val="000000" w:themeColor="text1"/>
          <w:sz w:val="16"/>
          <w:szCs w:val="16"/>
        </w:rPr>
        <w:noBreakHyphen/>
        <w:t>8418. Оп. 28. Д. 2. Л. 171) (15460).</w:t>
      </w:r>
    </w:p>
    <w:p w14:paraId="05CF8660" w14:textId="77777777" w:rsidR="00B2303C" w:rsidRPr="0044524F" w:rsidRDefault="00B2303C" w:rsidP="009654CF">
      <w:pPr>
        <w:pStyle w:val="rtejustify"/>
        <w:spacing w:before="0" w:after="0"/>
        <w:rPr>
          <w:color w:val="000000" w:themeColor="text1"/>
          <w:sz w:val="16"/>
          <w:szCs w:val="16"/>
        </w:rPr>
      </w:pPr>
    </w:p>
    <w:p w14:paraId="0562D00B" w14:textId="77777777" w:rsidR="00B2303C" w:rsidRPr="0044524F" w:rsidRDefault="00B2303C" w:rsidP="009654CF">
      <w:pPr>
        <w:pStyle w:val="rtejustify"/>
        <w:spacing w:before="0" w:after="0"/>
        <w:rPr>
          <w:color w:val="000000" w:themeColor="text1"/>
          <w:sz w:val="16"/>
          <w:szCs w:val="16"/>
        </w:rPr>
      </w:pPr>
      <w:r w:rsidRPr="0044524F">
        <w:rPr>
          <w:rStyle w:val="af0"/>
          <w:bCs/>
          <w:i w:val="0"/>
          <w:color w:val="000000" w:themeColor="text1"/>
          <w:sz w:val="16"/>
          <w:szCs w:val="16"/>
        </w:rPr>
        <w:t>17 сентября</w:t>
      </w:r>
      <w:r w:rsidRPr="0044524F">
        <w:rPr>
          <w:color w:val="000000" w:themeColor="text1"/>
          <w:sz w:val="16"/>
          <w:szCs w:val="16"/>
        </w:rPr>
        <w:t xml:space="preserve"> 1933. Постановление СТО СССР № 89сс/о «О дополнительном заказе на фильтры-поглотители ФП</w:t>
      </w:r>
      <w:r w:rsidRPr="0044524F">
        <w:rPr>
          <w:color w:val="000000" w:themeColor="text1"/>
          <w:sz w:val="16"/>
          <w:szCs w:val="16"/>
        </w:rPr>
        <w:noBreakHyphen/>
        <w:t>360 для ОКДВА». (ГА РФ. Ф. Р</w:t>
      </w:r>
      <w:r w:rsidRPr="0044524F">
        <w:rPr>
          <w:color w:val="000000" w:themeColor="text1"/>
          <w:sz w:val="16"/>
          <w:szCs w:val="16"/>
        </w:rPr>
        <w:noBreakHyphen/>
        <w:t>8418. Оп. 28. Д. 2. Л. 172) (15460).</w:t>
      </w:r>
    </w:p>
    <w:p w14:paraId="3AD3EE31" w14:textId="77777777" w:rsidR="00B2303C" w:rsidRPr="0044524F" w:rsidRDefault="00B2303C" w:rsidP="009654CF">
      <w:pPr>
        <w:pStyle w:val="rtejustify"/>
        <w:spacing w:before="0" w:after="0"/>
        <w:rPr>
          <w:color w:val="000000" w:themeColor="text1"/>
          <w:sz w:val="16"/>
          <w:szCs w:val="16"/>
        </w:rPr>
      </w:pPr>
    </w:p>
    <w:p w14:paraId="6F65B07B"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B3040FE"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753A0FB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17 сентября 1933 появился приказ ГУЛАГа № 143:</w:t>
      </w:r>
    </w:p>
    <w:p w14:paraId="4F7A99B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«Управлением Вишерских лагерей представлен к освобождению и разгрузочной комиссией ПП ОГПУ Урала фактически освобожден заключенный Ермаков Николай Дорофеевич, осужденный В/Сессией Днепропетровского облсуда УССР по ст. 97 и 104 УК УССР к ВМН с заменой 10 годами лишения свободы. Мотивом освобождения является то, что врачебной комиссией з/к Ермаков признан хронически больным.</w:t>
      </w:r>
    </w:p>
    <w:p w14:paraId="2D686D4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Ермаков - бывш. член партии, до осуждения занимал должность директора Каменского треста общественного питания.</w:t>
      </w:r>
    </w:p>
    <w:p w14:paraId="1A352E8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ГУЛАГ ОГПУ обращает внимание всех управлений лагерей ОГПУ на грубейшее нарушение Вишлагом ОГПУ директивы зам. пред. ОГПУ тов. Ягода о разгрузке лагерей от стариков, инвалидов и больных, являющихся нетрудоспособным балластом. Недавно осужденный по важному делу крупный работник освобождается Вишлагом ОГПУ без всякого учета того, что он отнюдь не является балластом, а вполне может быть использован на хозяйственной работе в аппарате лагеря.</w:t>
      </w:r>
    </w:p>
    <w:p w14:paraId="05470D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необходимостью полной разгрузки лагерей от балласта, ГУЛАГ ОГПУ неоднократно указывал на необходимость строгого индивидуального подхода к намечаемым к освобождению.</w:t>
      </w:r>
    </w:p>
    <w:p w14:paraId="11D4DF3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Начальникам управлений лагерей ОГПУ приказываю лично представлять к освобождению, лишь после детального ознакомления со всеми материалами о данном инвалиде, не передоверяя этой обязанности никакому другому сотруднику» (7560).</w:t>
      </w:r>
    </w:p>
    <w:p w14:paraId="2E832D73"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97355A9"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8AA4022"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166B4F6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сентября 1933 было 2 взлета по прямой К-7 К.А.К. и проверялось действие рулей поворота и обтекания деталей оперения потоком с использованием люгерных лент. Моторы работали 1:58. Высота взлетов была 3-4 м. Отклонение рулей и серворулей отвечало движениям педалей. Отмечена по-прежнему слабая эффективность РН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17327AD8" w14:textId="77777777">
        <w:tc>
          <w:tcPr>
            <w:tcW w:w="1384" w:type="dxa"/>
            <w:tcBorders>
              <w:top w:val="single" w:sz="12" w:space="0" w:color="auto"/>
            </w:tcBorders>
          </w:tcPr>
          <w:p w14:paraId="2DD2610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7AE173B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3620ADA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EB219C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193159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72B14F0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71457314" w14:textId="77777777">
        <w:tc>
          <w:tcPr>
            <w:tcW w:w="1384" w:type="dxa"/>
            <w:tcBorders>
              <w:bottom w:val="single" w:sz="12" w:space="0" w:color="auto"/>
            </w:tcBorders>
          </w:tcPr>
          <w:p w14:paraId="069F712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сентября 1933</w:t>
            </w:r>
          </w:p>
        </w:tc>
        <w:tc>
          <w:tcPr>
            <w:tcW w:w="2410" w:type="dxa"/>
            <w:tcBorders>
              <w:bottom w:val="single" w:sz="12" w:space="0" w:color="auto"/>
            </w:tcBorders>
          </w:tcPr>
          <w:p w14:paraId="2DC3F5D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взлета по прямой</w:t>
            </w:r>
          </w:p>
          <w:p w14:paraId="51BA7CA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Проверка действия рулей поворота и обтекания деталей оперения</w:t>
            </w:r>
          </w:p>
        </w:tc>
        <w:tc>
          <w:tcPr>
            <w:tcW w:w="1089" w:type="dxa"/>
            <w:tcBorders>
              <w:bottom w:val="single" w:sz="12" w:space="0" w:color="auto"/>
            </w:tcBorders>
          </w:tcPr>
          <w:p w14:paraId="7A4C630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- 0:05</w:t>
            </w:r>
          </w:p>
          <w:p w14:paraId="5F7F563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- 1:28</w:t>
            </w:r>
          </w:p>
        </w:tc>
        <w:tc>
          <w:tcPr>
            <w:tcW w:w="3447" w:type="dxa"/>
            <w:tcBorders>
              <w:bottom w:val="single" w:sz="12" w:space="0" w:color="auto"/>
            </w:tcBorders>
          </w:tcPr>
          <w:p w14:paraId="331B33A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взлетов - 3-4 м.</w:t>
            </w:r>
          </w:p>
          <w:p w14:paraId="359965E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Отклонение серворулей и рулей поваорота отвечает движению педалей.</w:t>
            </w:r>
          </w:p>
          <w:p w14:paraId="58E85A9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Обтекание частей оперения воздушным потоком - нормальное (по флюгерным лентам)</w:t>
            </w:r>
          </w:p>
        </w:tc>
        <w:tc>
          <w:tcPr>
            <w:tcW w:w="1776" w:type="dxa"/>
            <w:tcBorders>
              <w:bottom w:val="single" w:sz="12" w:space="0" w:color="auto"/>
            </w:tcBorders>
          </w:tcPr>
          <w:p w14:paraId="64E91C3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Недостаточная эффективность рулей поворота на малых скоростях</w:t>
            </w:r>
          </w:p>
        </w:tc>
        <w:tc>
          <w:tcPr>
            <w:tcW w:w="1105" w:type="dxa"/>
            <w:tcBorders>
              <w:bottom w:val="single" w:sz="12" w:space="0" w:color="auto"/>
            </w:tcBorders>
          </w:tcPr>
          <w:p w14:paraId="5DED3CE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bl>
    <w:p w14:paraId="105CC35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51BE00C5"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130798F"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BB41D52"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07D59960" w14:textId="144F9FFF"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сентября 1933 г. была пущена перавая очередь Саратовского завода щелочных аккумуляторов (ГС Завод № 195 НКОП, НКСП, НКЭП, Саратовский завод щелочных аккумуляторов НКТП, НКОП, ОАО «Завод автономных источников тока» /410015</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Саратов ул. Орджоникидзе, 11/). В 12.1936 г. завод передан из Главэспрома НКТП в ведение НКОП, по пр. № Обсс от 30.12.1936 г. переименован в завод № 195. По пр. № 54 от 5.02.1937 г. и № 59 от 14.02.1937 г. завод № 195 передан из 5ГУ в ГУ аккумуляторной промышленности НКОП, приказом № 76 от 3.03.1937 г. утвержден Устав ГС завода № 195; приказом № 276 от 20.07.1938 г. утвержден новый Устав завода. В 02.1939 г. из 19ГУ передан в ведение НКСП.</w:t>
      </w:r>
    </w:p>
    <w:p w14:paraId="2869BAD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 0020 от 3.02.1937 г. заводу предписано создать к 1.01.1938 г. мощности по производству щелочных аккумуляторов. Завод первым в СССР и третьим в мире (после завода Юнгера в Швеции и Эдиссона в США) освоил производство щелочных никель-кадмиевых аккумуляторов (сначала выпускались никель-железные из-за дефицита дорогостоящего кадмия). В соответствии с решением СТО № 173сс от 9.11.1937 г. и пр. № 00249 г. было необходимо завершить к концу 1938 г. реконструкцию цехов по выпуску батарей Юнгера.</w:t>
      </w:r>
    </w:p>
    <w:p w14:paraId="7B327298" w14:textId="69BCBCFB"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1950-х-70-х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при участии специалистов завода создавались новые аккумуляторные заводы в СССР, Китае, Болгарии, Корее, осваивались новые типы аккумуляторов, в основном, специального назначения (до 1992 г. две трети продукции шло на оборонные нужды).</w:t>
      </w:r>
    </w:p>
    <w:p w14:paraId="596327E7" w14:textId="1CC30F6E"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1993</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 условиях практически полного прекращения выпуска аккумуляторов для спецтехники, начато создание и серийное производство никель-кадмиевых аккумуляторов общепромышленного назначения.</w:t>
      </w:r>
    </w:p>
    <w:p w14:paraId="4BFEBE5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(-8.05.1937 г.)- Ф.А. Герасимов, (8.05.1937-21.11.1938 г.)- А.П. Долгов (снят), (22.10.1938 г.-)- Н.М. Акимушкин, (-1942 г.)-С.А. Белобородов. Гендиректор (-1998-2006 Г.-)-А.В. Лопашев.</w:t>
      </w:r>
    </w:p>
    <w:p w14:paraId="06D88E8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директора (19.06-22.10.1938 г.)-А.С. Кузьмина.</w:t>
      </w:r>
    </w:p>
    <w:p w14:paraId="3CE1C8F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(11.11.1937 г.-)-А.Я. Глускин (11982).</w:t>
      </w:r>
    </w:p>
    <w:p w14:paraId="3CE74402" w14:textId="77777777" w:rsidR="001E6614" w:rsidRPr="0044524F" w:rsidRDefault="001E6614" w:rsidP="009654CF">
      <w:pPr>
        <w:spacing w:after="0" w:line="240" w:lineRule="auto"/>
        <w:jc w:val="both"/>
        <w:rPr>
          <w:rFonts w:ascii="Times New Roman" w:hAnsi="Times New Roman"/>
          <w:iCs/>
          <w:color w:val="000000" w:themeColor="text1"/>
          <w:sz w:val="16"/>
          <w:szCs w:val="16"/>
        </w:rPr>
      </w:pPr>
    </w:p>
    <w:p w14:paraId="0F28D4E0"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C7B482E"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108CC60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сентября 1933 появилась телеграмма из Сочи в Москву И.В.С., К.Е.В. и Л.М.К.: "мы изучили вопрос о Сухаревской башне и пришли к тому, что ее надо обязательно снести... Архитекторы, возражающие против сноса - слепы и бесперспективны." (3481).</w:t>
      </w:r>
    </w:p>
    <w:p w14:paraId="0395F907"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B7F2609"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18 сентября 1933 г. Сталин, Ворошилов писали Кагановичу</w:t>
      </w:r>
    </w:p>
    <w:p w14:paraId="47E2EC5A"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ЦК ВКП. Кагановичу.</w:t>
      </w:r>
    </w:p>
    <w:p w14:paraId="679224AA"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Мы изучили вопрос о Сухаревой башне и пришли к тому, что ее надо обязательно снести. Предлагаем снести Сухареву башню и расширить движение. Архитектора, возражающие против сноса — слепы и бесперспективны.</w:t>
      </w:r>
    </w:p>
    <w:p w14:paraId="6C958424"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Сталин. Ворошилов.</w:t>
      </w:r>
    </w:p>
    <w:p w14:paraId="3EFB58FB"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№40</w:t>
      </w:r>
    </w:p>
    <w:p w14:paraId="4B91716C"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18/IX.33 г.2</w:t>
      </w:r>
    </w:p>
    <w:p w14:paraId="25B906B7" w14:textId="77777777" w:rsidR="001E6614" w:rsidRPr="0044524F" w:rsidRDefault="001E661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Ф. </w:t>
      </w:r>
      <w:r w:rsidRPr="0044524F">
        <w:rPr>
          <w:rFonts w:ascii="Times New Roman" w:eastAsia="Times New Roman" w:hAnsi="Times New Roman"/>
          <w:iCs/>
          <w:color w:val="000000" w:themeColor="text1"/>
          <w:sz w:val="16"/>
          <w:szCs w:val="16"/>
          <w:lang w:eastAsia="ru-RU"/>
        </w:rPr>
        <w:t xml:space="preserve">558. On. 11. Д. 81. Л. 9. Автограф Сталина. Подписи </w:t>
      </w:r>
      <w:r w:rsidRPr="0044524F">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iCs/>
          <w:color w:val="000000" w:themeColor="text1"/>
          <w:sz w:val="16"/>
          <w:szCs w:val="16"/>
          <w:lang w:eastAsia="ru-RU"/>
        </w:rPr>
        <w:t>автографы. Известия ЦК КПСС. 1989. № 9. С. 112 (17281).</w:t>
      </w:r>
    </w:p>
    <w:p w14:paraId="46436316" w14:textId="77777777" w:rsidR="001E6614" w:rsidRPr="0044524F" w:rsidRDefault="001E6614" w:rsidP="009654CF">
      <w:pPr>
        <w:spacing w:after="0" w:line="240" w:lineRule="auto"/>
        <w:jc w:val="both"/>
        <w:rPr>
          <w:rFonts w:ascii="Times New Roman" w:hAnsi="Times New Roman"/>
          <w:color w:val="000000" w:themeColor="text1"/>
          <w:sz w:val="16"/>
          <w:szCs w:val="16"/>
        </w:rPr>
      </w:pPr>
    </w:p>
    <w:p w14:paraId="223D1D35" w14:textId="77777777" w:rsidR="00B2303C" w:rsidRPr="0044524F" w:rsidRDefault="00B2303C"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 xml:space="preserve">18 сентября </w:t>
      </w:r>
      <w:r w:rsidRPr="0044524F">
        <w:rPr>
          <w:rFonts w:ascii="Times New Roman" w:hAnsi="Times New Roman"/>
          <w:color w:val="000000" w:themeColor="text1"/>
          <w:sz w:val="16"/>
          <w:szCs w:val="16"/>
        </w:rPr>
        <w:t>в 1933 году телеграмма из Сочи в Москву Иосифа Сталина, Климента Ворошилова и Лазаря Кагановича: «Мы изучили вопрос о Сухаревой башне и пришли к тому, что ее надо обязательно снести. Предлагаем снести Сухареву башню и расширить движение. Архитекторы, возражающие против сноса, - слепы и бесперспективны». Сухаревская башня - уникальный образец русского зодчества, сооруженная по инициативе Петра I в 1692-1695, будет снесена (14773).</w:t>
      </w:r>
    </w:p>
    <w:p w14:paraId="1D964868" w14:textId="77777777" w:rsidR="00B2303C" w:rsidRPr="0044524F" w:rsidRDefault="00B2303C" w:rsidP="009654CF">
      <w:pPr>
        <w:spacing w:after="0" w:line="240" w:lineRule="auto"/>
        <w:jc w:val="both"/>
        <w:rPr>
          <w:rFonts w:ascii="Times New Roman" w:hAnsi="Times New Roman"/>
          <w:color w:val="000000" w:themeColor="text1"/>
          <w:sz w:val="16"/>
          <w:szCs w:val="16"/>
        </w:rPr>
      </w:pPr>
    </w:p>
    <w:p w14:paraId="3D1F3131" w14:textId="12D5FBFA" w:rsidR="00E34525" w:rsidRPr="0044524F" w:rsidRDefault="00E34525" w:rsidP="00E34525">
      <w:pPr>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44524F">
        <w:rPr>
          <w:rFonts w:ascii="Times New Roman" w:hAnsi="Times New Roman"/>
          <w:i/>
          <w:iCs/>
          <w:color w:val="000000" w:themeColor="text1"/>
          <w:sz w:val="16"/>
          <w:szCs w:val="16"/>
        </w:rPr>
        <w:t>:</w:t>
      </w:r>
    </w:p>
    <w:p w14:paraId="70AEF69F" w14:textId="77777777" w:rsidR="00E34525" w:rsidRPr="0044524F" w:rsidRDefault="00E34525" w:rsidP="00E34525">
      <w:pPr>
        <w:spacing w:after="0" w:line="240" w:lineRule="auto"/>
        <w:jc w:val="both"/>
        <w:rPr>
          <w:rFonts w:ascii="Times New Roman" w:hAnsi="Times New Roman"/>
          <w:iCs/>
          <w:color w:val="000000" w:themeColor="text1"/>
          <w:sz w:val="16"/>
          <w:szCs w:val="16"/>
        </w:rPr>
      </w:pPr>
    </w:p>
    <w:p w14:paraId="4DC6FE34"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18 сентября 1933 г. на рекордном самолете «Потез-506» - последней модификации «Потез-25» - пилот Гюстав Лемойн поднялся на 13 861 метр, 23 июня 1936 г. пилот Мариш Хилш достиг высоты в 14 310 метров, а 14 ав</w:t>
      </w:r>
      <w:r w:rsidRPr="00142305">
        <w:rPr>
          <w:rStyle w:val="aff"/>
          <w:rFonts w:ascii="Times New Roman" w:hAnsi="Times New Roman" w:cs="Times New Roman"/>
          <w:color w:val="0070C0"/>
          <w:spacing w:val="0"/>
          <w:sz w:val="16"/>
          <w:szCs w:val="16"/>
        </w:rPr>
        <w:softHyphen/>
        <w:t>густа этого же года Жорж Детре — 14 836 метров (25675).</w:t>
      </w:r>
    </w:p>
    <w:p w14:paraId="6612F54B" w14:textId="77777777" w:rsidR="00E34525" w:rsidRPr="00142305" w:rsidRDefault="00E34525" w:rsidP="00E34525">
      <w:pPr>
        <w:spacing w:after="0" w:line="240" w:lineRule="auto"/>
        <w:jc w:val="both"/>
        <w:rPr>
          <w:rFonts w:ascii="Times New Roman" w:hAnsi="Times New Roman"/>
          <w:color w:val="0070C0"/>
          <w:sz w:val="16"/>
          <w:szCs w:val="16"/>
        </w:rPr>
      </w:pPr>
    </w:p>
    <w:p w14:paraId="29648291"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FF1C4C7"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4916C07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сентября 1933 с вход. № 48/он были представлены планы на 2 пятилетку по военной промышленности, в т.ч.:</w:t>
      </w:r>
    </w:p>
    <w:p w14:paraId="08E160B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А В И А Ц И Я</w:t>
      </w:r>
    </w:p>
    <w:p w14:paraId="4948A9D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Утвердить объем выпуска продукции в военное время на 1934 г., 1935 г. и 1936 г.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8"/>
        <w:gridCol w:w="2611"/>
        <w:gridCol w:w="1979"/>
        <w:gridCol w:w="1712"/>
        <w:gridCol w:w="1798"/>
      </w:tblGrid>
      <w:tr w:rsidR="004E10C1" w:rsidRPr="0044524F" w14:paraId="7ADCB553" w14:textId="77777777">
        <w:tc>
          <w:tcPr>
            <w:tcW w:w="828" w:type="dxa"/>
            <w:tcBorders>
              <w:top w:val="single" w:sz="12" w:space="0" w:color="auto"/>
            </w:tcBorders>
          </w:tcPr>
          <w:p w14:paraId="03A7A67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w:t>
            </w:r>
          </w:p>
        </w:tc>
        <w:tc>
          <w:tcPr>
            <w:tcW w:w="2611" w:type="dxa"/>
            <w:tcBorders>
              <w:top w:val="single" w:sz="12" w:space="0" w:color="auto"/>
            </w:tcBorders>
          </w:tcPr>
          <w:p w14:paraId="51AB1B5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w:t>
            </w:r>
          </w:p>
        </w:tc>
        <w:tc>
          <w:tcPr>
            <w:tcW w:w="1979" w:type="dxa"/>
            <w:tcBorders>
              <w:top w:val="single" w:sz="12" w:space="0" w:color="auto"/>
            </w:tcBorders>
          </w:tcPr>
          <w:p w14:paraId="2C45DF0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w:t>
            </w:r>
          </w:p>
        </w:tc>
        <w:tc>
          <w:tcPr>
            <w:tcW w:w="1712" w:type="dxa"/>
            <w:tcBorders>
              <w:top w:val="single" w:sz="12" w:space="0" w:color="auto"/>
            </w:tcBorders>
          </w:tcPr>
          <w:p w14:paraId="0F8B0A3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w:t>
            </w:r>
          </w:p>
        </w:tc>
        <w:tc>
          <w:tcPr>
            <w:tcW w:w="1798" w:type="dxa"/>
            <w:tcBorders>
              <w:top w:val="single" w:sz="12" w:space="0" w:color="auto"/>
            </w:tcBorders>
          </w:tcPr>
          <w:p w14:paraId="641453B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w:t>
            </w:r>
          </w:p>
        </w:tc>
      </w:tr>
      <w:tr w:rsidR="004E10C1" w:rsidRPr="0044524F" w14:paraId="2C1BEC11" w14:textId="77777777">
        <w:tc>
          <w:tcPr>
            <w:tcW w:w="828" w:type="dxa"/>
          </w:tcPr>
          <w:p w14:paraId="0025182F"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611" w:type="dxa"/>
          </w:tcPr>
          <w:p w14:paraId="2A1D6D4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w:t>
            </w:r>
          </w:p>
        </w:tc>
        <w:tc>
          <w:tcPr>
            <w:tcW w:w="1979" w:type="dxa"/>
          </w:tcPr>
          <w:p w14:paraId="45F560EF"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712" w:type="dxa"/>
          </w:tcPr>
          <w:p w14:paraId="71947E86"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798" w:type="dxa"/>
          </w:tcPr>
          <w:p w14:paraId="68C6C26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11C5FE18" w14:textId="77777777">
        <w:tc>
          <w:tcPr>
            <w:tcW w:w="828" w:type="dxa"/>
          </w:tcPr>
          <w:p w14:paraId="463C001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611" w:type="dxa"/>
          </w:tcPr>
          <w:p w14:paraId="06DB9FB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979" w:type="dxa"/>
          </w:tcPr>
          <w:p w14:paraId="328AD58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2350</w:t>
            </w:r>
          </w:p>
        </w:tc>
        <w:tc>
          <w:tcPr>
            <w:tcW w:w="1712" w:type="dxa"/>
          </w:tcPr>
          <w:p w14:paraId="132F19D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1798" w:type="dxa"/>
          </w:tcPr>
          <w:p w14:paraId="10FE95D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3200</w:t>
            </w:r>
          </w:p>
        </w:tc>
      </w:tr>
      <w:tr w:rsidR="004E10C1" w:rsidRPr="0044524F" w14:paraId="36DA5F4D" w14:textId="77777777">
        <w:tc>
          <w:tcPr>
            <w:tcW w:w="828" w:type="dxa"/>
          </w:tcPr>
          <w:p w14:paraId="73B194A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2611" w:type="dxa"/>
          </w:tcPr>
          <w:p w14:paraId="7EA1359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979" w:type="dxa"/>
          </w:tcPr>
          <w:p w14:paraId="0990E69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712" w:type="dxa"/>
          </w:tcPr>
          <w:p w14:paraId="16EB5D3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798" w:type="dxa"/>
          </w:tcPr>
          <w:p w14:paraId="5E63D47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17B44887" w14:textId="77777777">
        <w:tc>
          <w:tcPr>
            <w:tcW w:w="828" w:type="dxa"/>
          </w:tcPr>
          <w:p w14:paraId="7286DBC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2611" w:type="dxa"/>
          </w:tcPr>
          <w:p w14:paraId="3AAAFE3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w:t>
            </w:r>
          </w:p>
        </w:tc>
        <w:tc>
          <w:tcPr>
            <w:tcW w:w="1979" w:type="dxa"/>
          </w:tcPr>
          <w:p w14:paraId="4CE8885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w:t>
            </w:r>
          </w:p>
        </w:tc>
        <w:tc>
          <w:tcPr>
            <w:tcW w:w="1712" w:type="dxa"/>
          </w:tcPr>
          <w:p w14:paraId="0FC30FB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798" w:type="dxa"/>
          </w:tcPr>
          <w:p w14:paraId="493F2D2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55889AA8" w14:textId="77777777">
        <w:tc>
          <w:tcPr>
            <w:tcW w:w="828" w:type="dxa"/>
          </w:tcPr>
          <w:p w14:paraId="7A4F1338"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611" w:type="dxa"/>
          </w:tcPr>
          <w:p w14:paraId="46A143AE"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979" w:type="dxa"/>
          </w:tcPr>
          <w:p w14:paraId="33AE394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2650</w:t>
            </w:r>
          </w:p>
        </w:tc>
        <w:tc>
          <w:tcPr>
            <w:tcW w:w="1712" w:type="dxa"/>
          </w:tcPr>
          <w:p w14:paraId="3DD78B0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798" w:type="dxa"/>
          </w:tcPr>
          <w:p w14:paraId="10FD03D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r>
      <w:tr w:rsidR="004E10C1" w:rsidRPr="0044524F" w14:paraId="18E1E2F9" w14:textId="77777777">
        <w:tc>
          <w:tcPr>
            <w:tcW w:w="828" w:type="dxa"/>
          </w:tcPr>
          <w:p w14:paraId="74A1F32C"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611" w:type="dxa"/>
          </w:tcPr>
          <w:p w14:paraId="03FADE8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Бомбардировщики</w:t>
            </w:r>
          </w:p>
        </w:tc>
        <w:tc>
          <w:tcPr>
            <w:tcW w:w="1979" w:type="dxa"/>
          </w:tcPr>
          <w:p w14:paraId="4A37276C"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712" w:type="dxa"/>
          </w:tcPr>
          <w:p w14:paraId="40F0404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798" w:type="dxa"/>
          </w:tcPr>
          <w:p w14:paraId="5BDF197E"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5BCCDD6B" w14:textId="77777777">
        <w:tc>
          <w:tcPr>
            <w:tcW w:w="828" w:type="dxa"/>
          </w:tcPr>
          <w:p w14:paraId="2CCD290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611" w:type="dxa"/>
          </w:tcPr>
          <w:p w14:paraId="55AB985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979" w:type="dxa"/>
          </w:tcPr>
          <w:p w14:paraId="3300B85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1712" w:type="dxa"/>
          </w:tcPr>
          <w:p w14:paraId="3DACE74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tc>
        <w:tc>
          <w:tcPr>
            <w:tcW w:w="1798" w:type="dxa"/>
          </w:tcPr>
          <w:p w14:paraId="2D316A6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tc>
      </w:tr>
      <w:tr w:rsidR="004E10C1" w:rsidRPr="0044524F" w14:paraId="090660BE" w14:textId="77777777">
        <w:tc>
          <w:tcPr>
            <w:tcW w:w="828" w:type="dxa"/>
          </w:tcPr>
          <w:p w14:paraId="5D573B7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611" w:type="dxa"/>
          </w:tcPr>
          <w:p w14:paraId="76905BA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979" w:type="dxa"/>
          </w:tcPr>
          <w:p w14:paraId="1B1819D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1712" w:type="dxa"/>
          </w:tcPr>
          <w:p w14:paraId="06A310D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798" w:type="dxa"/>
          </w:tcPr>
          <w:p w14:paraId="38C8C3A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4B3D961" w14:textId="77777777">
        <w:tc>
          <w:tcPr>
            <w:tcW w:w="828" w:type="dxa"/>
          </w:tcPr>
          <w:p w14:paraId="54BA1DA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611" w:type="dxa"/>
          </w:tcPr>
          <w:p w14:paraId="03109E8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w:t>
            </w:r>
          </w:p>
        </w:tc>
        <w:tc>
          <w:tcPr>
            <w:tcW w:w="1979" w:type="dxa"/>
          </w:tcPr>
          <w:p w14:paraId="2F9F965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712" w:type="dxa"/>
          </w:tcPr>
          <w:p w14:paraId="1857388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798" w:type="dxa"/>
          </w:tcPr>
          <w:p w14:paraId="6520C1B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r>
      <w:tr w:rsidR="004E10C1" w:rsidRPr="0044524F" w14:paraId="33837EE6" w14:textId="77777777">
        <w:tc>
          <w:tcPr>
            <w:tcW w:w="828" w:type="dxa"/>
          </w:tcPr>
          <w:p w14:paraId="72A7208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2611" w:type="dxa"/>
          </w:tcPr>
          <w:p w14:paraId="1098918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979" w:type="dxa"/>
          </w:tcPr>
          <w:p w14:paraId="481476E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1712" w:type="dxa"/>
          </w:tcPr>
          <w:p w14:paraId="5422945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798" w:type="dxa"/>
          </w:tcPr>
          <w:p w14:paraId="4DA0F92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1400</w:t>
            </w:r>
          </w:p>
        </w:tc>
      </w:tr>
      <w:tr w:rsidR="004E10C1" w:rsidRPr="0044524F" w14:paraId="1571EC9F" w14:textId="77777777">
        <w:tc>
          <w:tcPr>
            <w:tcW w:w="828" w:type="dxa"/>
          </w:tcPr>
          <w:p w14:paraId="56A811B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2611" w:type="dxa"/>
          </w:tcPr>
          <w:p w14:paraId="08BBD93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979" w:type="dxa"/>
          </w:tcPr>
          <w:p w14:paraId="29880C7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712" w:type="dxa"/>
          </w:tcPr>
          <w:p w14:paraId="6353C92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1798" w:type="dxa"/>
          </w:tcPr>
          <w:p w14:paraId="20591B1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r>
      <w:tr w:rsidR="004E10C1" w:rsidRPr="0044524F" w14:paraId="5CC5A9BA" w14:textId="77777777">
        <w:tc>
          <w:tcPr>
            <w:tcW w:w="828" w:type="dxa"/>
          </w:tcPr>
          <w:p w14:paraId="4E8F555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c>
          <w:tcPr>
            <w:tcW w:w="2611" w:type="dxa"/>
          </w:tcPr>
          <w:p w14:paraId="6BCAED8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979" w:type="dxa"/>
          </w:tcPr>
          <w:p w14:paraId="63077A4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712" w:type="dxa"/>
          </w:tcPr>
          <w:p w14:paraId="30EC04F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1798" w:type="dxa"/>
          </w:tcPr>
          <w:p w14:paraId="698635A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r>
      <w:tr w:rsidR="004E10C1" w:rsidRPr="0044524F" w14:paraId="783386BE" w14:textId="77777777">
        <w:tc>
          <w:tcPr>
            <w:tcW w:w="828" w:type="dxa"/>
          </w:tcPr>
          <w:p w14:paraId="260D1EC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w:t>
            </w:r>
          </w:p>
        </w:tc>
        <w:tc>
          <w:tcPr>
            <w:tcW w:w="2611" w:type="dxa"/>
          </w:tcPr>
          <w:p w14:paraId="6062D32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979" w:type="dxa"/>
          </w:tcPr>
          <w:p w14:paraId="4A4C03C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712" w:type="dxa"/>
          </w:tcPr>
          <w:p w14:paraId="61396CA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798" w:type="dxa"/>
          </w:tcPr>
          <w:p w14:paraId="730A964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r>
      <w:tr w:rsidR="004E10C1" w:rsidRPr="0044524F" w14:paraId="47D72CE3" w14:textId="77777777">
        <w:tc>
          <w:tcPr>
            <w:tcW w:w="828" w:type="dxa"/>
          </w:tcPr>
          <w:p w14:paraId="6BC51158"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611" w:type="dxa"/>
          </w:tcPr>
          <w:p w14:paraId="02375396"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979" w:type="dxa"/>
          </w:tcPr>
          <w:p w14:paraId="1F8E434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2020</w:t>
            </w:r>
          </w:p>
        </w:tc>
        <w:tc>
          <w:tcPr>
            <w:tcW w:w="1712" w:type="dxa"/>
          </w:tcPr>
          <w:p w14:paraId="2FB81E4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c>
          <w:tcPr>
            <w:tcW w:w="1798" w:type="dxa"/>
          </w:tcPr>
          <w:p w14:paraId="456ED46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3730</w:t>
            </w:r>
          </w:p>
        </w:tc>
      </w:tr>
      <w:tr w:rsidR="004E10C1" w:rsidRPr="0044524F" w14:paraId="26E4F0F8" w14:textId="77777777">
        <w:tc>
          <w:tcPr>
            <w:tcW w:w="828" w:type="dxa"/>
          </w:tcPr>
          <w:p w14:paraId="24E1E685"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611" w:type="dxa"/>
          </w:tcPr>
          <w:p w14:paraId="09553EE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Истребители</w:t>
            </w:r>
          </w:p>
        </w:tc>
        <w:tc>
          <w:tcPr>
            <w:tcW w:w="1979" w:type="dxa"/>
          </w:tcPr>
          <w:p w14:paraId="265BF64C"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712" w:type="dxa"/>
          </w:tcPr>
          <w:p w14:paraId="3104802D"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798" w:type="dxa"/>
          </w:tcPr>
          <w:p w14:paraId="14B60B87"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7C6FEDA8" w14:textId="77777777">
        <w:tc>
          <w:tcPr>
            <w:tcW w:w="828" w:type="dxa"/>
          </w:tcPr>
          <w:p w14:paraId="37FD130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611" w:type="dxa"/>
          </w:tcPr>
          <w:p w14:paraId="02D042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w:t>
            </w:r>
          </w:p>
        </w:tc>
        <w:tc>
          <w:tcPr>
            <w:tcW w:w="1979" w:type="dxa"/>
          </w:tcPr>
          <w:p w14:paraId="0A8B308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1712" w:type="dxa"/>
          </w:tcPr>
          <w:p w14:paraId="18D16E4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798" w:type="dxa"/>
          </w:tcPr>
          <w:p w14:paraId="357FA1D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26356311" w14:textId="77777777">
        <w:tc>
          <w:tcPr>
            <w:tcW w:w="828" w:type="dxa"/>
          </w:tcPr>
          <w:p w14:paraId="6CFD51F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2611" w:type="dxa"/>
          </w:tcPr>
          <w:p w14:paraId="4D3F892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1979" w:type="dxa"/>
          </w:tcPr>
          <w:p w14:paraId="197DEEE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w:t>
            </w:r>
          </w:p>
        </w:tc>
        <w:tc>
          <w:tcPr>
            <w:tcW w:w="1712" w:type="dxa"/>
          </w:tcPr>
          <w:p w14:paraId="0F428A7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798" w:type="dxa"/>
          </w:tcPr>
          <w:p w14:paraId="06C7488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7BA50332" w14:textId="77777777">
        <w:tc>
          <w:tcPr>
            <w:tcW w:w="828" w:type="dxa"/>
          </w:tcPr>
          <w:p w14:paraId="692653B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2611" w:type="dxa"/>
          </w:tcPr>
          <w:p w14:paraId="7E66C42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1979" w:type="dxa"/>
          </w:tcPr>
          <w:p w14:paraId="47803E9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1712" w:type="dxa"/>
          </w:tcPr>
          <w:p w14:paraId="1DED539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2900</w:t>
            </w:r>
          </w:p>
        </w:tc>
        <w:tc>
          <w:tcPr>
            <w:tcW w:w="1798" w:type="dxa"/>
          </w:tcPr>
          <w:p w14:paraId="34AD691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3600</w:t>
            </w:r>
          </w:p>
        </w:tc>
      </w:tr>
      <w:tr w:rsidR="004E10C1" w:rsidRPr="0044524F" w14:paraId="14318220" w14:textId="77777777">
        <w:tc>
          <w:tcPr>
            <w:tcW w:w="828" w:type="dxa"/>
          </w:tcPr>
          <w:p w14:paraId="04789AB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611" w:type="dxa"/>
          </w:tcPr>
          <w:p w14:paraId="21D31FCA"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979" w:type="dxa"/>
          </w:tcPr>
          <w:p w14:paraId="3B7757A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2460</w:t>
            </w:r>
          </w:p>
        </w:tc>
        <w:tc>
          <w:tcPr>
            <w:tcW w:w="1712" w:type="dxa"/>
          </w:tcPr>
          <w:p w14:paraId="6C6AA89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4300</w:t>
            </w:r>
          </w:p>
        </w:tc>
        <w:tc>
          <w:tcPr>
            <w:tcW w:w="1798" w:type="dxa"/>
          </w:tcPr>
          <w:p w14:paraId="52D36E0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6DDE839F" w14:textId="77777777">
        <w:tc>
          <w:tcPr>
            <w:tcW w:w="828" w:type="dxa"/>
          </w:tcPr>
          <w:p w14:paraId="4A59CF34"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611" w:type="dxa"/>
          </w:tcPr>
          <w:p w14:paraId="726EE5F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Учебные</w:t>
            </w:r>
          </w:p>
        </w:tc>
        <w:tc>
          <w:tcPr>
            <w:tcW w:w="1979" w:type="dxa"/>
          </w:tcPr>
          <w:p w14:paraId="23791A0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712" w:type="dxa"/>
          </w:tcPr>
          <w:p w14:paraId="77E894EC"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798" w:type="dxa"/>
          </w:tcPr>
          <w:p w14:paraId="30A610C8"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6272659E" w14:textId="77777777">
        <w:tc>
          <w:tcPr>
            <w:tcW w:w="828" w:type="dxa"/>
          </w:tcPr>
          <w:p w14:paraId="0C6C691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2611" w:type="dxa"/>
          </w:tcPr>
          <w:p w14:paraId="36087AC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1979" w:type="dxa"/>
          </w:tcPr>
          <w:p w14:paraId="7E5B4C4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1712" w:type="dxa"/>
          </w:tcPr>
          <w:p w14:paraId="0F8A492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1798" w:type="dxa"/>
          </w:tcPr>
          <w:p w14:paraId="47249B9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r>
      <w:tr w:rsidR="004E10C1" w:rsidRPr="0044524F" w14:paraId="656A7856" w14:textId="77777777">
        <w:tc>
          <w:tcPr>
            <w:tcW w:w="828" w:type="dxa"/>
            <w:tcBorders>
              <w:bottom w:val="single" w:sz="12" w:space="0" w:color="auto"/>
            </w:tcBorders>
          </w:tcPr>
          <w:p w14:paraId="59B15635"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611" w:type="dxa"/>
            <w:tcBorders>
              <w:bottom w:val="single" w:sz="12" w:space="0" w:color="auto"/>
            </w:tcBorders>
          </w:tcPr>
          <w:p w14:paraId="03451A1B"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979" w:type="dxa"/>
            <w:tcBorders>
              <w:bottom w:val="single" w:sz="12" w:space="0" w:color="auto"/>
            </w:tcBorders>
          </w:tcPr>
          <w:p w14:paraId="0D07320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8730</w:t>
            </w:r>
          </w:p>
        </w:tc>
        <w:tc>
          <w:tcPr>
            <w:tcW w:w="1712" w:type="dxa"/>
            <w:tcBorders>
              <w:bottom w:val="single" w:sz="12" w:space="0" w:color="auto"/>
            </w:tcBorders>
          </w:tcPr>
          <w:p w14:paraId="68174DE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11700</w:t>
            </w:r>
          </w:p>
        </w:tc>
        <w:tc>
          <w:tcPr>
            <w:tcW w:w="1798" w:type="dxa"/>
            <w:tcBorders>
              <w:bottom w:val="single" w:sz="12" w:space="0" w:color="auto"/>
            </w:tcBorders>
          </w:tcPr>
          <w:p w14:paraId="61145E1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14330</w:t>
            </w:r>
          </w:p>
        </w:tc>
      </w:tr>
    </w:tbl>
    <w:p w14:paraId="40976F3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Выпуск моторов за год войны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28"/>
        <w:gridCol w:w="2611"/>
        <w:gridCol w:w="1979"/>
        <w:gridCol w:w="1712"/>
        <w:gridCol w:w="1798"/>
      </w:tblGrid>
      <w:tr w:rsidR="004E10C1" w:rsidRPr="0044524F" w14:paraId="2D164473" w14:textId="77777777">
        <w:tc>
          <w:tcPr>
            <w:tcW w:w="828" w:type="dxa"/>
            <w:tcBorders>
              <w:top w:val="single" w:sz="12" w:space="0" w:color="auto"/>
            </w:tcBorders>
          </w:tcPr>
          <w:p w14:paraId="0C930B2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w:t>
            </w:r>
          </w:p>
        </w:tc>
        <w:tc>
          <w:tcPr>
            <w:tcW w:w="2611" w:type="dxa"/>
            <w:tcBorders>
              <w:top w:val="single" w:sz="12" w:space="0" w:color="auto"/>
            </w:tcBorders>
          </w:tcPr>
          <w:p w14:paraId="0020373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w:t>
            </w:r>
          </w:p>
        </w:tc>
        <w:tc>
          <w:tcPr>
            <w:tcW w:w="1979" w:type="dxa"/>
            <w:tcBorders>
              <w:top w:val="single" w:sz="12" w:space="0" w:color="auto"/>
            </w:tcBorders>
          </w:tcPr>
          <w:p w14:paraId="6EF2A3C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w:t>
            </w:r>
          </w:p>
        </w:tc>
        <w:tc>
          <w:tcPr>
            <w:tcW w:w="1712" w:type="dxa"/>
            <w:tcBorders>
              <w:top w:val="single" w:sz="12" w:space="0" w:color="auto"/>
            </w:tcBorders>
          </w:tcPr>
          <w:p w14:paraId="6D81D39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w:t>
            </w:r>
          </w:p>
        </w:tc>
        <w:tc>
          <w:tcPr>
            <w:tcW w:w="1798" w:type="dxa"/>
            <w:tcBorders>
              <w:top w:val="single" w:sz="12" w:space="0" w:color="auto"/>
            </w:tcBorders>
          </w:tcPr>
          <w:p w14:paraId="28A06A2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w:t>
            </w:r>
          </w:p>
        </w:tc>
      </w:tr>
      <w:tr w:rsidR="004E10C1" w:rsidRPr="0044524F" w14:paraId="0CE9EE0D" w14:textId="77777777">
        <w:tc>
          <w:tcPr>
            <w:tcW w:w="828" w:type="dxa"/>
          </w:tcPr>
          <w:p w14:paraId="4A4CAC2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2611" w:type="dxa"/>
          </w:tcPr>
          <w:p w14:paraId="7A75D6E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979" w:type="dxa"/>
          </w:tcPr>
          <w:p w14:paraId="15C1F0E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w:t>
            </w:r>
          </w:p>
        </w:tc>
        <w:tc>
          <w:tcPr>
            <w:tcW w:w="1712" w:type="dxa"/>
          </w:tcPr>
          <w:p w14:paraId="4C437C0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9450</w:t>
            </w:r>
          </w:p>
        </w:tc>
        <w:tc>
          <w:tcPr>
            <w:tcW w:w="1798" w:type="dxa"/>
          </w:tcPr>
          <w:p w14:paraId="53F8DAA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r>
      <w:tr w:rsidR="004E10C1" w:rsidRPr="0044524F" w14:paraId="36A8BB80" w14:textId="77777777">
        <w:tc>
          <w:tcPr>
            <w:tcW w:w="828" w:type="dxa"/>
          </w:tcPr>
          <w:p w14:paraId="055E1BF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2611" w:type="dxa"/>
          </w:tcPr>
          <w:p w14:paraId="0664029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979" w:type="dxa"/>
          </w:tcPr>
          <w:p w14:paraId="45C41A3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3700</w:t>
            </w:r>
          </w:p>
        </w:tc>
        <w:tc>
          <w:tcPr>
            <w:tcW w:w="1712" w:type="dxa"/>
          </w:tcPr>
          <w:p w14:paraId="0F2FAFF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6500</w:t>
            </w:r>
          </w:p>
        </w:tc>
        <w:tc>
          <w:tcPr>
            <w:tcW w:w="1798" w:type="dxa"/>
          </w:tcPr>
          <w:p w14:paraId="337F533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11200</w:t>
            </w:r>
          </w:p>
        </w:tc>
      </w:tr>
      <w:tr w:rsidR="004E10C1" w:rsidRPr="0044524F" w14:paraId="75B7C847" w14:textId="77777777">
        <w:tc>
          <w:tcPr>
            <w:tcW w:w="828" w:type="dxa"/>
          </w:tcPr>
          <w:p w14:paraId="022DF8C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2611" w:type="dxa"/>
          </w:tcPr>
          <w:p w14:paraId="38AD33D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979" w:type="dxa"/>
          </w:tcPr>
          <w:p w14:paraId="67A9D71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712" w:type="dxa"/>
          </w:tcPr>
          <w:p w14:paraId="79AE132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c>
          <w:tcPr>
            <w:tcW w:w="1798" w:type="dxa"/>
          </w:tcPr>
          <w:p w14:paraId="2621B20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4400</w:t>
            </w:r>
          </w:p>
        </w:tc>
      </w:tr>
      <w:tr w:rsidR="004E10C1" w:rsidRPr="0044524F" w14:paraId="1571B50B" w14:textId="77777777">
        <w:tc>
          <w:tcPr>
            <w:tcW w:w="828" w:type="dxa"/>
          </w:tcPr>
          <w:p w14:paraId="268B30C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2611" w:type="dxa"/>
          </w:tcPr>
          <w:p w14:paraId="44DBD64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979" w:type="dxa"/>
          </w:tcPr>
          <w:p w14:paraId="40B754C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712" w:type="dxa"/>
          </w:tcPr>
          <w:p w14:paraId="543C35F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798" w:type="dxa"/>
          </w:tcPr>
          <w:p w14:paraId="24EF8FF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r>
      <w:tr w:rsidR="004E10C1" w:rsidRPr="0044524F" w14:paraId="76A49DE8" w14:textId="77777777">
        <w:tc>
          <w:tcPr>
            <w:tcW w:w="828" w:type="dxa"/>
          </w:tcPr>
          <w:p w14:paraId="463B2C1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2611" w:type="dxa"/>
          </w:tcPr>
          <w:p w14:paraId="6716E73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979" w:type="dxa"/>
          </w:tcPr>
          <w:p w14:paraId="74B1DF2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712" w:type="dxa"/>
          </w:tcPr>
          <w:p w14:paraId="66CBE79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1798" w:type="dxa"/>
          </w:tcPr>
          <w:p w14:paraId="37814E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r>
      <w:tr w:rsidR="004E10C1" w:rsidRPr="0044524F" w14:paraId="068BFBB1" w14:textId="77777777">
        <w:tc>
          <w:tcPr>
            <w:tcW w:w="828" w:type="dxa"/>
            <w:tcBorders>
              <w:bottom w:val="single" w:sz="12" w:space="0" w:color="auto"/>
            </w:tcBorders>
          </w:tcPr>
          <w:p w14:paraId="244ABC4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611" w:type="dxa"/>
            <w:tcBorders>
              <w:bottom w:val="single" w:sz="12" w:space="0" w:color="auto"/>
            </w:tcBorders>
          </w:tcPr>
          <w:p w14:paraId="6224BD8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979" w:type="dxa"/>
            <w:tcBorders>
              <w:bottom w:val="single" w:sz="12" w:space="0" w:color="auto"/>
            </w:tcBorders>
          </w:tcPr>
          <w:p w14:paraId="36882C4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15150</w:t>
            </w:r>
          </w:p>
        </w:tc>
        <w:tc>
          <w:tcPr>
            <w:tcW w:w="1712" w:type="dxa"/>
            <w:tcBorders>
              <w:bottom w:val="single" w:sz="12" w:space="0" w:color="auto"/>
            </w:tcBorders>
          </w:tcPr>
          <w:p w14:paraId="21167A4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22350</w:t>
            </w:r>
          </w:p>
        </w:tc>
        <w:tc>
          <w:tcPr>
            <w:tcW w:w="1798" w:type="dxa"/>
            <w:tcBorders>
              <w:bottom w:val="single" w:sz="12" w:space="0" w:color="auto"/>
            </w:tcBorders>
          </w:tcPr>
          <w:p w14:paraId="765DC64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2920</w:t>
            </w:r>
          </w:p>
        </w:tc>
      </w:tr>
    </w:tbl>
    <w:p w14:paraId="434378D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замены типов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4E10C1" w:rsidRPr="0044524F" w14:paraId="694594BB" w14:textId="77777777">
        <w:tc>
          <w:tcPr>
            <w:tcW w:w="1915" w:type="dxa"/>
            <w:tcBorders>
              <w:top w:val="single" w:sz="12" w:space="0" w:color="auto"/>
            </w:tcBorders>
          </w:tcPr>
          <w:p w14:paraId="0E7E904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Уменьшение</w:t>
            </w:r>
          </w:p>
        </w:tc>
        <w:tc>
          <w:tcPr>
            <w:tcW w:w="1915" w:type="dxa"/>
            <w:tcBorders>
              <w:top w:val="single" w:sz="12" w:space="0" w:color="auto"/>
            </w:tcBorders>
          </w:tcPr>
          <w:p w14:paraId="287240B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915" w:type="dxa"/>
            <w:tcBorders>
              <w:top w:val="single" w:sz="12" w:space="0" w:color="auto"/>
            </w:tcBorders>
          </w:tcPr>
          <w:p w14:paraId="4229CAE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915" w:type="dxa"/>
            <w:tcBorders>
              <w:top w:val="single" w:sz="12" w:space="0" w:color="auto"/>
            </w:tcBorders>
          </w:tcPr>
          <w:p w14:paraId="5858F32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915" w:type="dxa"/>
            <w:tcBorders>
              <w:top w:val="single" w:sz="12" w:space="0" w:color="auto"/>
            </w:tcBorders>
          </w:tcPr>
          <w:p w14:paraId="6774073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w:t>
            </w:r>
          </w:p>
        </w:tc>
      </w:tr>
      <w:tr w:rsidR="004E10C1" w:rsidRPr="0044524F" w14:paraId="13CA5197" w14:textId="77777777">
        <w:tc>
          <w:tcPr>
            <w:tcW w:w="1915" w:type="dxa"/>
          </w:tcPr>
          <w:p w14:paraId="2D67BC47"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915" w:type="dxa"/>
          </w:tcPr>
          <w:p w14:paraId="7FAEAA4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915" w:type="dxa"/>
          </w:tcPr>
          <w:p w14:paraId="6AC8939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915" w:type="dxa"/>
          </w:tcPr>
          <w:p w14:paraId="2BD290C6"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915" w:type="dxa"/>
          </w:tcPr>
          <w:p w14:paraId="4808C71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r>
      <w:tr w:rsidR="004E10C1" w:rsidRPr="0044524F" w14:paraId="7426DC73" w14:textId="77777777">
        <w:tc>
          <w:tcPr>
            <w:tcW w:w="1915" w:type="dxa"/>
          </w:tcPr>
          <w:p w14:paraId="53A8C2F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w:t>
            </w:r>
          </w:p>
        </w:tc>
        <w:tc>
          <w:tcPr>
            <w:tcW w:w="1915" w:type="dxa"/>
          </w:tcPr>
          <w:p w14:paraId="0C4CE8B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РЦ</w:t>
            </w:r>
          </w:p>
        </w:tc>
        <w:tc>
          <w:tcPr>
            <w:tcW w:w="1915" w:type="dxa"/>
          </w:tcPr>
          <w:p w14:paraId="7D88333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915" w:type="dxa"/>
          </w:tcPr>
          <w:p w14:paraId="6D214EB8"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915" w:type="dxa"/>
          </w:tcPr>
          <w:p w14:paraId="31D5DA5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5249DD49" w14:textId="77777777">
        <w:tc>
          <w:tcPr>
            <w:tcW w:w="1915" w:type="dxa"/>
          </w:tcPr>
          <w:p w14:paraId="11E4309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915" w:type="dxa"/>
          </w:tcPr>
          <w:p w14:paraId="7A292B2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КК</w:t>
            </w:r>
          </w:p>
        </w:tc>
        <w:tc>
          <w:tcPr>
            <w:tcW w:w="1915" w:type="dxa"/>
          </w:tcPr>
          <w:p w14:paraId="1868911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915" w:type="dxa"/>
          </w:tcPr>
          <w:p w14:paraId="7E93F6C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2200</w:t>
            </w:r>
          </w:p>
        </w:tc>
        <w:tc>
          <w:tcPr>
            <w:tcW w:w="1915" w:type="dxa"/>
          </w:tcPr>
          <w:p w14:paraId="0D6E0F33"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44039988" w14:textId="77777777">
        <w:tc>
          <w:tcPr>
            <w:tcW w:w="1915" w:type="dxa"/>
            <w:tcBorders>
              <w:bottom w:val="single" w:sz="12" w:space="0" w:color="auto"/>
            </w:tcBorders>
          </w:tcPr>
          <w:p w14:paraId="76BB177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будет моторов</w:t>
            </w:r>
          </w:p>
        </w:tc>
        <w:tc>
          <w:tcPr>
            <w:tcW w:w="1915" w:type="dxa"/>
            <w:tcBorders>
              <w:bottom w:val="single" w:sz="12" w:space="0" w:color="auto"/>
            </w:tcBorders>
          </w:tcPr>
          <w:p w14:paraId="02809AF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12650</w:t>
            </w:r>
          </w:p>
        </w:tc>
        <w:tc>
          <w:tcPr>
            <w:tcW w:w="1915" w:type="dxa"/>
            <w:tcBorders>
              <w:bottom w:val="single" w:sz="12" w:space="0" w:color="auto"/>
            </w:tcBorders>
          </w:tcPr>
          <w:p w14:paraId="1AC66C2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15750</w:t>
            </w:r>
          </w:p>
        </w:tc>
        <w:tc>
          <w:tcPr>
            <w:tcW w:w="1915" w:type="dxa"/>
            <w:tcBorders>
              <w:bottom w:val="single" w:sz="12" w:space="0" w:color="auto"/>
            </w:tcBorders>
          </w:tcPr>
          <w:p w14:paraId="4930976C"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915" w:type="dxa"/>
            <w:tcBorders>
              <w:bottom w:val="single" w:sz="12" w:space="0" w:color="auto"/>
            </w:tcBorders>
          </w:tcPr>
          <w:p w14:paraId="682DE6FE"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bl>
    <w:p w14:paraId="5925C88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Из намеченных к выпуску в 1934 М-34 700 шт. идут на неавиационные цели - танки, гидролоддки и т.п.</w:t>
      </w:r>
    </w:p>
    <w:p w14:paraId="198ABFE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Утвердить пятилетний план развития мощностей по самолетостроению в следующих количествах: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1170"/>
        <w:gridCol w:w="1561"/>
        <w:gridCol w:w="1561"/>
        <w:gridCol w:w="1561"/>
        <w:gridCol w:w="1561"/>
        <w:gridCol w:w="1561"/>
        <w:gridCol w:w="1561"/>
      </w:tblGrid>
      <w:tr w:rsidR="004E10C1" w:rsidRPr="0044524F" w14:paraId="35A57233" w14:textId="77777777">
        <w:tc>
          <w:tcPr>
            <w:tcW w:w="738" w:type="dxa"/>
            <w:tcBorders>
              <w:top w:val="single" w:sz="12" w:space="0" w:color="auto"/>
            </w:tcBorders>
          </w:tcPr>
          <w:p w14:paraId="7AEFF69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w:t>
            </w:r>
          </w:p>
        </w:tc>
        <w:tc>
          <w:tcPr>
            <w:tcW w:w="1170" w:type="dxa"/>
            <w:tcBorders>
              <w:top w:val="single" w:sz="12" w:space="0" w:color="auto"/>
            </w:tcBorders>
          </w:tcPr>
          <w:p w14:paraId="62D43FF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Расчетный тип</w:t>
            </w:r>
          </w:p>
        </w:tc>
        <w:tc>
          <w:tcPr>
            <w:tcW w:w="1561" w:type="dxa"/>
            <w:tcBorders>
              <w:top w:val="single" w:sz="12" w:space="0" w:color="auto"/>
            </w:tcBorders>
          </w:tcPr>
          <w:p w14:paraId="03A6043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1.1.33</w:t>
            </w:r>
          </w:p>
        </w:tc>
        <w:tc>
          <w:tcPr>
            <w:tcW w:w="1561" w:type="dxa"/>
            <w:tcBorders>
              <w:top w:val="single" w:sz="12" w:space="0" w:color="auto"/>
            </w:tcBorders>
          </w:tcPr>
          <w:p w14:paraId="12FBF7D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 34</w:t>
            </w:r>
          </w:p>
        </w:tc>
        <w:tc>
          <w:tcPr>
            <w:tcW w:w="1561" w:type="dxa"/>
            <w:tcBorders>
              <w:top w:val="single" w:sz="12" w:space="0" w:color="auto"/>
            </w:tcBorders>
          </w:tcPr>
          <w:p w14:paraId="675FA86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 35</w:t>
            </w:r>
          </w:p>
        </w:tc>
        <w:tc>
          <w:tcPr>
            <w:tcW w:w="1561" w:type="dxa"/>
            <w:tcBorders>
              <w:top w:val="single" w:sz="12" w:space="0" w:color="auto"/>
            </w:tcBorders>
          </w:tcPr>
          <w:p w14:paraId="5BCB70B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 36</w:t>
            </w:r>
          </w:p>
        </w:tc>
        <w:tc>
          <w:tcPr>
            <w:tcW w:w="1561" w:type="dxa"/>
            <w:tcBorders>
              <w:top w:val="single" w:sz="12" w:space="0" w:color="auto"/>
            </w:tcBorders>
          </w:tcPr>
          <w:p w14:paraId="26AF463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 37</w:t>
            </w:r>
          </w:p>
        </w:tc>
        <w:tc>
          <w:tcPr>
            <w:tcW w:w="1561" w:type="dxa"/>
            <w:tcBorders>
              <w:top w:val="single" w:sz="12" w:space="0" w:color="auto"/>
            </w:tcBorders>
          </w:tcPr>
          <w:p w14:paraId="2D26696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кв.38</w:t>
            </w:r>
          </w:p>
        </w:tc>
      </w:tr>
      <w:tr w:rsidR="004E10C1" w:rsidRPr="0044524F" w14:paraId="1DE46BB3" w14:textId="77777777">
        <w:tc>
          <w:tcPr>
            <w:tcW w:w="738" w:type="dxa"/>
          </w:tcPr>
          <w:p w14:paraId="271ADEB4"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4CDE608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 легкие бомбовозы, штурмовики</w:t>
            </w:r>
          </w:p>
        </w:tc>
        <w:tc>
          <w:tcPr>
            <w:tcW w:w="1561" w:type="dxa"/>
          </w:tcPr>
          <w:p w14:paraId="0A2908C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6342CB47"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147D4ED8"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2646651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75A1457F"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46F41C0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0E8B9538" w14:textId="77777777">
        <w:tc>
          <w:tcPr>
            <w:tcW w:w="738" w:type="dxa"/>
          </w:tcPr>
          <w:p w14:paraId="5F04711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170" w:type="dxa"/>
          </w:tcPr>
          <w:p w14:paraId="4874637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561" w:type="dxa"/>
          </w:tcPr>
          <w:p w14:paraId="3419993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1561" w:type="dxa"/>
          </w:tcPr>
          <w:p w14:paraId="55178E8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561" w:type="dxa"/>
          </w:tcPr>
          <w:p w14:paraId="03C47A3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561" w:type="dxa"/>
          </w:tcPr>
          <w:p w14:paraId="23912BE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561" w:type="dxa"/>
          </w:tcPr>
          <w:p w14:paraId="134F19C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1561" w:type="dxa"/>
          </w:tcPr>
          <w:p w14:paraId="5C9D031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6F81BC20" w14:textId="77777777">
        <w:tc>
          <w:tcPr>
            <w:tcW w:w="738" w:type="dxa"/>
          </w:tcPr>
          <w:p w14:paraId="1BE84A5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1170" w:type="dxa"/>
          </w:tcPr>
          <w:p w14:paraId="397943B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561" w:type="dxa"/>
          </w:tcPr>
          <w:p w14:paraId="7C26FE2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7EF1B72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1A0C0CA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61" w:type="dxa"/>
          </w:tcPr>
          <w:p w14:paraId="5B4DAF5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61" w:type="dxa"/>
          </w:tcPr>
          <w:p w14:paraId="4E4C8C8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61" w:type="dxa"/>
          </w:tcPr>
          <w:p w14:paraId="69B8BEE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r w:rsidR="004E10C1" w:rsidRPr="0044524F" w14:paraId="4B916958" w14:textId="77777777">
        <w:tc>
          <w:tcPr>
            <w:tcW w:w="738" w:type="dxa"/>
          </w:tcPr>
          <w:p w14:paraId="5F1B07A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70" w:type="dxa"/>
          </w:tcPr>
          <w:p w14:paraId="2B010DB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w:t>
            </w:r>
          </w:p>
        </w:tc>
        <w:tc>
          <w:tcPr>
            <w:tcW w:w="1561" w:type="dxa"/>
          </w:tcPr>
          <w:p w14:paraId="62774DD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561" w:type="dxa"/>
          </w:tcPr>
          <w:p w14:paraId="15F110D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561" w:type="dxa"/>
          </w:tcPr>
          <w:p w14:paraId="5C1FA7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561" w:type="dxa"/>
          </w:tcPr>
          <w:p w14:paraId="456117D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561" w:type="dxa"/>
          </w:tcPr>
          <w:p w14:paraId="38DCBD7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561" w:type="dxa"/>
          </w:tcPr>
          <w:p w14:paraId="075E669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4BD7742C" w14:textId="77777777">
        <w:tc>
          <w:tcPr>
            <w:tcW w:w="738" w:type="dxa"/>
          </w:tcPr>
          <w:p w14:paraId="2483364D"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58C6FFF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561" w:type="dxa"/>
          </w:tcPr>
          <w:p w14:paraId="65557D7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2650</w:t>
            </w:r>
          </w:p>
        </w:tc>
        <w:tc>
          <w:tcPr>
            <w:tcW w:w="1561" w:type="dxa"/>
          </w:tcPr>
          <w:p w14:paraId="1BBB31E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3650</w:t>
            </w:r>
          </w:p>
        </w:tc>
        <w:tc>
          <w:tcPr>
            <w:tcW w:w="1561" w:type="dxa"/>
          </w:tcPr>
          <w:p w14:paraId="7776EF9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5800</w:t>
            </w:r>
          </w:p>
        </w:tc>
        <w:tc>
          <w:tcPr>
            <w:tcW w:w="1561" w:type="dxa"/>
          </w:tcPr>
          <w:p w14:paraId="28D2714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5800</w:t>
            </w:r>
          </w:p>
        </w:tc>
        <w:tc>
          <w:tcPr>
            <w:tcW w:w="1561" w:type="dxa"/>
          </w:tcPr>
          <w:p w14:paraId="2C50DA0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5800</w:t>
            </w:r>
          </w:p>
        </w:tc>
        <w:tc>
          <w:tcPr>
            <w:tcW w:w="1561" w:type="dxa"/>
          </w:tcPr>
          <w:p w14:paraId="34CA317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5800</w:t>
            </w:r>
          </w:p>
        </w:tc>
      </w:tr>
      <w:tr w:rsidR="004E10C1" w:rsidRPr="0044524F" w14:paraId="5F9CFCE1" w14:textId="77777777">
        <w:tc>
          <w:tcPr>
            <w:tcW w:w="738" w:type="dxa"/>
          </w:tcPr>
          <w:p w14:paraId="239097B3"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7D186E1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Истребители</w:t>
            </w:r>
          </w:p>
        </w:tc>
        <w:tc>
          <w:tcPr>
            <w:tcW w:w="1561" w:type="dxa"/>
          </w:tcPr>
          <w:p w14:paraId="2D444DCF"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3069D5F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67414CEC"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4F30F9C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24EB7E1F"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79522687"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0B4D4198" w14:textId="77777777">
        <w:tc>
          <w:tcPr>
            <w:tcW w:w="738" w:type="dxa"/>
          </w:tcPr>
          <w:p w14:paraId="249E3D0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170" w:type="dxa"/>
          </w:tcPr>
          <w:p w14:paraId="6598D21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1561" w:type="dxa"/>
          </w:tcPr>
          <w:p w14:paraId="32C1C42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561" w:type="dxa"/>
          </w:tcPr>
          <w:p w14:paraId="4E8F04A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1561" w:type="dxa"/>
          </w:tcPr>
          <w:p w14:paraId="5FB2578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561" w:type="dxa"/>
          </w:tcPr>
          <w:p w14:paraId="57D3CBB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561" w:type="dxa"/>
          </w:tcPr>
          <w:p w14:paraId="733B6C9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561" w:type="dxa"/>
          </w:tcPr>
          <w:p w14:paraId="49C0FA4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r w:rsidR="004E10C1" w:rsidRPr="0044524F" w14:paraId="562FC1FB" w14:textId="77777777">
        <w:tc>
          <w:tcPr>
            <w:tcW w:w="738" w:type="dxa"/>
          </w:tcPr>
          <w:p w14:paraId="2DDA1D9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70" w:type="dxa"/>
          </w:tcPr>
          <w:p w14:paraId="23AEEF1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w:t>
            </w:r>
          </w:p>
        </w:tc>
        <w:tc>
          <w:tcPr>
            <w:tcW w:w="1561" w:type="dxa"/>
          </w:tcPr>
          <w:p w14:paraId="09183EF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0235821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59CCBB2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1E35426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c>
          <w:tcPr>
            <w:tcW w:w="1561" w:type="dxa"/>
          </w:tcPr>
          <w:p w14:paraId="7C415BD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3000/1500</w:t>
            </w:r>
          </w:p>
        </w:tc>
        <w:tc>
          <w:tcPr>
            <w:tcW w:w="1561" w:type="dxa"/>
          </w:tcPr>
          <w:p w14:paraId="726CE23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r>
      <w:tr w:rsidR="004E10C1" w:rsidRPr="0044524F" w14:paraId="69ABFD63" w14:textId="77777777">
        <w:tc>
          <w:tcPr>
            <w:tcW w:w="738" w:type="dxa"/>
          </w:tcPr>
          <w:p w14:paraId="01319E3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170" w:type="dxa"/>
          </w:tcPr>
          <w:p w14:paraId="678F6A4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w:t>
            </w:r>
          </w:p>
        </w:tc>
        <w:tc>
          <w:tcPr>
            <w:tcW w:w="1561" w:type="dxa"/>
          </w:tcPr>
          <w:p w14:paraId="03EC74B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214676C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2746C7F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561" w:type="dxa"/>
          </w:tcPr>
          <w:p w14:paraId="61733B1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561" w:type="dxa"/>
          </w:tcPr>
          <w:p w14:paraId="1CAF60D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561" w:type="dxa"/>
          </w:tcPr>
          <w:p w14:paraId="0F23C0E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535267ED" w14:textId="77777777">
        <w:tc>
          <w:tcPr>
            <w:tcW w:w="738" w:type="dxa"/>
          </w:tcPr>
          <w:p w14:paraId="0624A3E6"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46B0555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561" w:type="dxa"/>
          </w:tcPr>
          <w:p w14:paraId="75C7D46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561" w:type="dxa"/>
          </w:tcPr>
          <w:p w14:paraId="0E2D85A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1561" w:type="dxa"/>
          </w:tcPr>
          <w:p w14:paraId="036C737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561" w:type="dxa"/>
          </w:tcPr>
          <w:p w14:paraId="729761D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561" w:type="dxa"/>
          </w:tcPr>
          <w:p w14:paraId="34926B3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5500</w:t>
            </w:r>
          </w:p>
        </w:tc>
        <w:tc>
          <w:tcPr>
            <w:tcW w:w="1561" w:type="dxa"/>
          </w:tcPr>
          <w:p w14:paraId="702840F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7000</w:t>
            </w:r>
          </w:p>
        </w:tc>
      </w:tr>
      <w:tr w:rsidR="004E10C1" w:rsidRPr="0044524F" w14:paraId="0F93110E" w14:textId="77777777">
        <w:tc>
          <w:tcPr>
            <w:tcW w:w="738" w:type="dxa"/>
          </w:tcPr>
          <w:p w14:paraId="1B69E184"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47FD467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Моские</w:t>
            </w:r>
          </w:p>
        </w:tc>
        <w:tc>
          <w:tcPr>
            <w:tcW w:w="1561" w:type="dxa"/>
          </w:tcPr>
          <w:p w14:paraId="5A842D73"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1BD06ACC"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259DDBAB"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3400F48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23B0DA5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52B547DF"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6237B39E" w14:textId="77777777">
        <w:tc>
          <w:tcPr>
            <w:tcW w:w="738" w:type="dxa"/>
          </w:tcPr>
          <w:p w14:paraId="1801EDC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170" w:type="dxa"/>
          </w:tcPr>
          <w:p w14:paraId="1D0C8F4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 (С62)</w:t>
            </w:r>
          </w:p>
        </w:tc>
        <w:tc>
          <w:tcPr>
            <w:tcW w:w="1561" w:type="dxa"/>
          </w:tcPr>
          <w:p w14:paraId="05E1DE1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561" w:type="dxa"/>
          </w:tcPr>
          <w:p w14:paraId="45126B9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561" w:type="dxa"/>
          </w:tcPr>
          <w:p w14:paraId="6EB5E85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561" w:type="dxa"/>
          </w:tcPr>
          <w:p w14:paraId="539EB70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561" w:type="dxa"/>
          </w:tcPr>
          <w:p w14:paraId="0ADF8F2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561" w:type="dxa"/>
          </w:tcPr>
          <w:p w14:paraId="3D82E92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109A3C43" w14:textId="77777777">
        <w:tc>
          <w:tcPr>
            <w:tcW w:w="738" w:type="dxa"/>
          </w:tcPr>
          <w:p w14:paraId="0DF2998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w:t>
            </w:r>
          </w:p>
        </w:tc>
        <w:tc>
          <w:tcPr>
            <w:tcW w:w="1170" w:type="dxa"/>
          </w:tcPr>
          <w:p w14:paraId="2EF9984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w:t>
            </w:r>
          </w:p>
        </w:tc>
        <w:tc>
          <w:tcPr>
            <w:tcW w:w="1561" w:type="dxa"/>
          </w:tcPr>
          <w:p w14:paraId="3854B94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561" w:type="dxa"/>
          </w:tcPr>
          <w:p w14:paraId="2553F96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561" w:type="dxa"/>
          </w:tcPr>
          <w:p w14:paraId="2194023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561" w:type="dxa"/>
          </w:tcPr>
          <w:p w14:paraId="4625E65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300/150</w:t>
            </w:r>
          </w:p>
        </w:tc>
        <w:tc>
          <w:tcPr>
            <w:tcW w:w="1561" w:type="dxa"/>
          </w:tcPr>
          <w:p w14:paraId="3702D38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561" w:type="dxa"/>
          </w:tcPr>
          <w:p w14:paraId="0279AAC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1A4AB1FC" w14:textId="77777777">
        <w:tc>
          <w:tcPr>
            <w:tcW w:w="738" w:type="dxa"/>
          </w:tcPr>
          <w:p w14:paraId="08069C4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00A51FC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561" w:type="dxa"/>
          </w:tcPr>
          <w:p w14:paraId="59C1485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561" w:type="dxa"/>
          </w:tcPr>
          <w:p w14:paraId="670242F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561" w:type="dxa"/>
          </w:tcPr>
          <w:p w14:paraId="5CD117D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1561" w:type="dxa"/>
          </w:tcPr>
          <w:p w14:paraId="5C8B64F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1561" w:type="dxa"/>
          </w:tcPr>
          <w:p w14:paraId="6AAD793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1561" w:type="dxa"/>
          </w:tcPr>
          <w:p w14:paraId="1C0F841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r>
      <w:tr w:rsidR="004E10C1" w:rsidRPr="0044524F" w14:paraId="67A73621" w14:textId="77777777">
        <w:tc>
          <w:tcPr>
            <w:tcW w:w="738" w:type="dxa"/>
          </w:tcPr>
          <w:p w14:paraId="3E9AC54C"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528FC9A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w:t>
            </w:r>
          </w:p>
        </w:tc>
        <w:tc>
          <w:tcPr>
            <w:tcW w:w="1561" w:type="dxa"/>
          </w:tcPr>
          <w:p w14:paraId="7137EBB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095B132B"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05FB0EF3"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0B7927D8"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41FA395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3776E7CB"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4E9C474B" w14:textId="77777777">
        <w:tc>
          <w:tcPr>
            <w:tcW w:w="738" w:type="dxa"/>
          </w:tcPr>
          <w:p w14:paraId="14D4729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170" w:type="dxa"/>
          </w:tcPr>
          <w:p w14:paraId="353D0C8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561" w:type="dxa"/>
          </w:tcPr>
          <w:p w14:paraId="02178D8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561" w:type="dxa"/>
          </w:tcPr>
          <w:p w14:paraId="5C9D947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561" w:type="dxa"/>
          </w:tcPr>
          <w:p w14:paraId="24556EF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1500/750</w:t>
            </w:r>
          </w:p>
        </w:tc>
        <w:tc>
          <w:tcPr>
            <w:tcW w:w="1561" w:type="dxa"/>
          </w:tcPr>
          <w:p w14:paraId="7C8E495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561" w:type="dxa"/>
          </w:tcPr>
          <w:p w14:paraId="799FE85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561" w:type="dxa"/>
          </w:tcPr>
          <w:p w14:paraId="06A04C5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r>
      <w:tr w:rsidR="004E10C1" w:rsidRPr="0044524F" w14:paraId="7B3B7A85" w14:textId="77777777">
        <w:tc>
          <w:tcPr>
            <w:tcW w:w="738" w:type="dxa"/>
          </w:tcPr>
          <w:p w14:paraId="5C67E4D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c>
          <w:tcPr>
            <w:tcW w:w="1170" w:type="dxa"/>
          </w:tcPr>
          <w:p w14:paraId="18C392E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561" w:type="dxa"/>
          </w:tcPr>
          <w:p w14:paraId="21E69C1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26FF6D8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3019DD5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200/150</w:t>
            </w:r>
          </w:p>
        </w:tc>
        <w:tc>
          <w:tcPr>
            <w:tcW w:w="1561" w:type="dxa"/>
          </w:tcPr>
          <w:p w14:paraId="6B4C16E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561" w:type="dxa"/>
          </w:tcPr>
          <w:p w14:paraId="6117C21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561" w:type="dxa"/>
          </w:tcPr>
          <w:p w14:paraId="677E818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2F1019DF" w14:textId="77777777">
        <w:tc>
          <w:tcPr>
            <w:tcW w:w="738" w:type="dxa"/>
          </w:tcPr>
          <w:p w14:paraId="33D82AC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170" w:type="dxa"/>
          </w:tcPr>
          <w:p w14:paraId="06EE659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w:t>
            </w:r>
          </w:p>
        </w:tc>
        <w:tc>
          <w:tcPr>
            <w:tcW w:w="1561" w:type="dxa"/>
          </w:tcPr>
          <w:p w14:paraId="02BB51E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6740F54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420ED57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561" w:type="dxa"/>
          </w:tcPr>
          <w:p w14:paraId="4E207FA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561" w:type="dxa"/>
          </w:tcPr>
          <w:p w14:paraId="4FCD73A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561" w:type="dxa"/>
          </w:tcPr>
          <w:p w14:paraId="17DA5C3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378ED15B" w14:textId="77777777">
        <w:tc>
          <w:tcPr>
            <w:tcW w:w="738" w:type="dxa"/>
          </w:tcPr>
          <w:p w14:paraId="17BD57D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170" w:type="dxa"/>
          </w:tcPr>
          <w:p w14:paraId="55DF355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w:t>
            </w:r>
          </w:p>
        </w:tc>
        <w:tc>
          <w:tcPr>
            <w:tcW w:w="1561" w:type="dxa"/>
          </w:tcPr>
          <w:p w14:paraId="6F0EDFF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28B3D76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165AA8C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561" w:type="dxa"/>
          </w:tcPr>
          <w:p w14:paraId="2F0A0D3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561" w:type="dxa"/>
          </w:tcPr>
          <w:p w14:paraId="2FAA144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561" w:type="dxa"/>
          </w:tcPr>
          <w:p w14:paraId="2AD7E59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41C5C823" w14:textId="77777777">
        <w:tc>
          <w:tcPr>
            <w:tcW w:w="738" w:type="dxa"/>
          </w:tcPr>
          <w:p w14:paraId="7D02563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170" w:type="dxa"/>
          </w:tcPr>
          <w:p w14:paraId="5DB1703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561" w:type="dxa"/>
          </w:tcPr>
          <w:p w14:paraId="7B2BB74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61" w:type="dxa"/>
          </w:tcPr>
          <w:p w14:paraId="572377A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1561" w:type="dxa"/>
          </w:tcPr>
          <w:p w14:paraId="06B1757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561" w:type="dxa"/>
          </w:tcPr>
          <w:p w14:paraId="60F43A7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561" w:type="dxa"/>
          </w:tcPr>
          <w:p w14:paraId="1474823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561" w:type="dxa"/>
          </w:tcPr>
          <w:p w14:paraId="54B513C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21094FE9" w14:textId="77777777">
        <w:tc>
          <w:tcPr>
            <w:tcW w:w="738" w:type="dxa"/>
          </w:tcPr>
          <w:p w14:paraId="5B9BBBAF"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007C01A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561" w:type="dxa"/>
          </w:tcPr>
          <w:p w14:paraId="3058AF7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1561" w:type="dxa"/>
          </w:tcPr>
          <w:p w14:paraId="5550913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561" w:type="dxa"/>
          </w:tcPr>
          <w:p w14:paraId="0EDF012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561" w:type="dxa"/>
          </w:tcPr>
          <w:p w14:paraId="1C3BBFA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1561" w:type="dxa"/>
          </w:tcPr>
          <w:p w14:paraId="3B347A5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c>
          <w:tcPr>
            <w:tcW w:w="1561" w:type="dxa"/>
          </w:tcPr>
          <w:p w14:paraId="6746C53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r>
      <w:tr w:rsidR="004E10C1" w:rsidRPr="0044524F" w14:paraId="55A5E20E" w14:textId="77777777">
        <w:tc>
          <w:tcPr>
            <w:tcW w:w="738" w:type="dxa"/>
          </w:tcPr>
          <w:p w14:paraId="7D4B7190"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52508BE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Учкбные</w:t>
            </w:r>
          </w:p>
        </w:tc>
        <w:tc>
          <w:tcPr>
            <w:tcW w:w="1561" w:type="dxa"/>
          </w:tcPr>
          <w:p w14:paraId="77153BF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04A990E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7827B2D2"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26040D24"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0478D275"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2A2E84B5"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43511C7F" w14:textId="77777777">
        <w:tc>
          <w:tcPr>
            <w:tcW w:w="738" w:type="dxa"/>
          </w:tcPr>
          <w:p w14:paraId="57DE05C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170" w:type="dxa"/>
          </w:tcPr>
          <w:p w14:paraId="7B919E0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1561" w:type="dxa"/>
          </w:tcPr>
          <w:p w14:paraId="1C69605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1561" w:type="dxa"/>
          </w:tcPr>
          <w:p w14:paraId="11A1E11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1561" w:type="dxa"/>
          </w:tcPr>
          <w:p w14:paraId="0A460AE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1561" w:type="dxa"/>
          </w:tcPr>
          <w:p w14:paraId="3C1BF81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1561" w:type="dxa"/>
          </w:tcPr>
          <w:p w14:paraId="18092D2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1561" w:type="dxa"/>
          </w:tcPr>
          <w:p w14:paraId="3314E2E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r>
      <w:tr w:rsidR="004E10C1" w:rsidRPr="0044524F" w14:paraId="18E45B20" w14:textId="77777777">
        <w:tc>
          <w:tcPr>
            <w:tcW w:w="738" w:type="dxa"/>
          </w:tcPr>
          <w:p w14:paraId="19BEFB8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w:t>
            </w:r>
          </w:p>
        </w:tc>
        <w:tc>
          <w:tcPr>
            <w:tcW w:w="1170" w:type="dxa"/>
          </w:tcPr>
          <w:p w14:paraId="4EC4E14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1561" w:type="dxa"/>
          </w:tcPr>
          <w:p w14:paraId="7204570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2B8CBF9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519F592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692CF23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4000/0</w:t>
            </w:r>
          </w:p>
        </w:tc>
        <w:tc>
          <w:tcPr>
            <w:tcW w:w="1561" w:type="dxa"/>
          </w:tcPr>
          <w:p w14:paraId="7C54B37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8000/4000</w:t>
            </w:r>
          </w:p>
        </w:tc>
        <w:tc>
          <w:tcPr>
            <w:tcW w:w="1561" w:type="dxa"/>
          </w:tcPr>
          <w:p w14:paraId="5874EE3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w:t>
            </w:r>
          </w:p>
        </w:tc>
      </w:tr>
      <w:tr w:rsidR="004E10C1" w:rsidRPr="0044524F" w14:paraId="757DCAD6" w14:textId="77777777">
        <w:tc>
          <w:tcPr>
            <w:tcW w:w="738" w:type="dxa"/>
          </w:tcPr>
          <w:p w14:paraId="0B88A09D"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13864D2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561" w:type="dxa"/>
          </w:tcPr>
          <w:p w14:paraId="224B7C4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1561" w:type="dxa"/>
          </w:tcPr>
          <w:p w14:paraId="44EBB43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1561" w:type="dxa"/>
          </w:tcPr>
          <w:p w14:paraId="216C941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1561" w:type="dxa"/>
          </w:tcPr>
          <w:p w14:paraId="5D7928F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tc>
        <w:tc>
          <w:tcPr>
            <w:tcW w:w="1561" w:type="dxa"/>
          </w:tcPr>
          <w:p w14:paraId="0C256EF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5750</w:t>
            </w:r>
          </w:p>
        </w:tc>
        <w:tc>
          <w:tcPr>
            <w:tcW w:w="1561" w:type="dxa"/>
          </w:tcPr>
          <w:p w14:paraId="131DB38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9750</w:t>
            </w:r>
          </w:p>
        </w:tc>
      </w:tr>
      <w:tr w:rsidR="004E10C1" w:rsidRPr="0044524F" w14:paraId="63579BD6" w14:textId="77777777">
        <w:tc>
          <w:tcPr>
            <w:tcW w:w="738" w:type="dxa"/>
          </w:tcPr>
          <w:p w14:paraId="75DB70CB"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7E83221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Специальные (разные)</w:t>
            </w:r>
          </w:p>
        </w:tc>
        <w:tc>
          <w:tcPr>
            <w:tcW w:w="1561" w:type="dxa"/>
          </w:tcPr>
          <w:p w14:paraId="07BFC06C"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6245B0A5"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269699BC"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7A949B6F"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321BDEDF"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7241DA10"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2D822345" w14:textId="77777777">
        <w:tc>
          <w:tcPr>
            <w:tcW w:w="738" w:type="dxa"/>
          </w:tcPr>
          <w:p w14:paraId="33023CA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1170" w:type="dxa"/>
          </w:tcPr>
          <w:p w14:paraId="77DEB42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561" w:type="dxa"/>
          </w:tcPr>
          <w:p w14:paraId="35B321C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61" w:type="dxa"/>
          </w:tcPr>
          <w:p w14:paraId="34248E4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61" w:type="dxa"/>
          </w:tcPr>
          <w:p w14:paraId="7972838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61" w:type="dxa"/>
          </w:tcPr>
          <w:p w14:paraId="392D583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61" w:type="dxa"/>
          </w:tcPr>
          <w:p w14:paraId="1B9E256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61" w:type="dxa"/>
          </w:tcPr>
          <w:p w14:paraId="1D0D97B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r w:rsidR="004E10C1" w:rsidRPr="0044524F" w14:paraId="77DECE3A" w14:textId="77777777">
        <w:tc>
          <w:tcPr>
            <w:tcW w:w="738" w:type="dxa"/>
            <w:tcBorders>
              <w:bottom w:val="single" w:sz="12" w:space="0" w:color="auto"/>
            </w:tcBorders>
          </w:tcPr>
          <w:p w14:paraId="748FD518"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Borders>
              <w:bottom w:val="single" w:sz="12" w:space="0" w:color="auto"/>
            </w:tcBorders>
          </w:tcPr>
          <w:p w14:paraId="4CEF016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561" w:type="dxa"/>
            <w:tcBorders>
              <w:bottom w:val="single" w:sz="12" w:space="0" w:color="auto"/>
            </w:tcBorders>
          </w:tcPr>
          <w:p w14:paraId="0816178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w:t>
            </w:r>
          </w:p>
        </w:tc>
        <w:tc>
          <w:tcPr>
            <w:tcW w:w="1561" w:type="dxa"/>
            <w:tcBorders>
              <w:bottom w:val="single" w:sz="12" w:space="0" w:color="auto"/>
            </w:tcBorders>
          </w:tcPr>
          <w:p w14:paraId="5292401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9500</w:t>
            </w:r>
          </w:p>
        </w:tc>
        <w:tc>
          <w:tcPr>
            <w:tcW w:w="1561" w:type="dxa"/>
            <w:tcBorders>
              <w:bottom w:val="single" w:sz="12" w:space="0" w:color="auto"/>
            </w:tcBorders>
          </w:tcPr>
          <w:p w14:paraId="4FB23B6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13750</w:t>
            </w:r>
          </w:p>
        </w:tc>
        <w:tc>
          <w:tcPr>
            <w:tcW w:w="1561" w:type="dxa"/>
            <w:tcBorders>
              <w:bottom w:val="single" w:sz="12" w:space="0" w:color="auto"/>
            </w:tcBorders>
          </w:tcPr>
          <w:p w14:paraId="039CBD7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c>
          <w:tcPr>
            <w:tcW w:w="1561" w:type="dxa"/>
            <w:tcBorders>
              <w:bottom w:val="single" w:sz="12" w:space="0" w:color="auto"/>
            </w:tcBorders>
          </w:tcPr>
          <w:p w14:paraId="2F1D9E8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21050</w:t>
            </w:r>
          </w:p>
        </w:tc>
        <w:tc>
          <w:tcPr>
            <w:tcW w:w="1561" w:type="dxa"/>
            <w:tcBorders>
              <w:bottom w:val="single" w:sz="12" w:space="0" w:color="auto"/>
            </w:tcBorders>
          </w:tcPr>
          <w:p w14:paraId="1E5682A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26550</w:t>
            </w:r>
          </w:p>
        </w:tc>
      </w:tr>
    </w:tbl>
    <w:p w14:paraId="399A828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В числители мощности по строительству, в знаменателе - по оборудованию. В итого - мощности по оборудованию</w:t>
      </w:r>
    </w:p>
    <w:p w14:paraId="778F423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Утвердить пятилетний план развития мощностей по мотростроению в следующем количестве: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8"/>
        <w:gridCol w:w="1170"/>
        <w:gridCol w:w="1561"/>
        <w:gridCol w:w="1561"/>
        <w:gridCol w:w="1561"/>
        <w:gridCol w:w="1561"/>
        <w:gridCol w:w="1561"/>
        <w:gridCol w:w="1561"/>
      </w:tblGrid>
      <w:tr w:rsidR="004E10C1" w:rsidRPr="0044524F" w14:paraId="7778AB01" w14:textId="77777777">
        <w:tc>
          <w:tcPr>
            <w:tcW w:w="738" w:type="dxa"/>
            <w:tcBorders>
              <w:top w:val="single" w:sz="12" w:space="0" w:color="auto"/>
            </w:tcBorders>
          </w:tcPr>
          <w:p w14:paraId="4DED61B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w:t>
            </w:r>
          </w:p>
        </w:tc>
        <w:tc>
          <w:tcPr>
            <w:tcW w:w="1170" w:type="dxa"/>
            <w:tcBorders>
              <w:top w:val="single" w:sz="12" w:space="0" w:color="auto"/>
            </w:tcBorders>
          </w:tcPr>
          <w:p w14:paraId="26CAD35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Расчетный тип</w:t>
            </w:r>
          </w:p>
        </w:tc>
        <w:tc>
          <w:tcPr>
            <w:tcW w:w="1561" w:type="dxa"/>
            <w:tcBorders>
              <w:top w:val="single" w:sz="12" w:space="0" w:color="auto"/>
            </w:tcBorders>
          </w:tcPr>
          <w:p w14:paraId="4E1AA85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1.1.33</w:t>
            </w:r>
          </w:p>
        </w:tc>
        <w:tc>
          <w:tcPr>
            <w:tcW w:w="1561" w:type="dxa"/>
            <w:tcBorders>
              <w:top w:val="single" w:sz="12" w:space="0" w:color="auto"/>
            </w:tcBorders>
          </w:tcPr>
          <w:p w14:paraId="6FB8F57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 34</w:t>
            </w:r>
          </w:p>
        </w:tc>
        <w:tc>
          <w:tcPr>
            <w:tcW w:w="1561" w:type="dxa"/>
            <w:tcBorders>
              <w:top w:val="single" w:sz="12" w:space="0" w:color="auto"/>
            </w:tcBorders>
          </w:tcPr>
          <w:p w14:paraId="25AE74C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 35</w:t>
            </w:r>
          </w:p>
        </w:tc>
        <w:tc>
          <w:tcPr>
            <w:tcW w:w="1561" w:type="dxa"/>
            <w:tcBorders>
              <w:top w:val="single" w:sz="12" w:space="0" w:color="auto"/>
            </w:tcBorders>
          </w:tcPr>
          <w:p w14:paraId="30C200B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 36</w:t>
            </w:r>
          </w:p>
        </w:tc>
        <w:tc>
          <w:tcPr>
            <w:tcW w:w="1561" w:type="dxa"/>
            <w:tcBorders>
              <w:top w:val="single" w:sz="12" w:space="0" w:color="auto"/>
            </w:tcBorders>
          </w:tcPr>
          <w:p w14:paraId="1DA2E00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 37</w:t>
            </w:r>
          </w:p>
        </w:tc>
        <w:tc>
          <w:tcPr>
            <w:tcW w:w="1561" w:type="dxa"/>
            <w:tcBorders>
              <w:top w:val="single" w:sz="12" w:space="0" w:color="auto"/>
            </w:tcBorders>
          </w:tcPr>
          <w:p w14:paraId="0C78203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кв.38</w:t>
            </w:r>
          </w:p>
        </w:tc>
      </w:tr>
      <w:tr w:rsidR="004E10C1" w:rsidRPr="0044524F" w14:paraId="090D9E00" w14:textId="77777777">
        <w:tc>
          <w:tcPr>
            <w:tcW w:w="738" w:type="dxa"/>
          </w:tcPr>
          <w:p w14:paraId="6B453B13"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59F82F8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Водяное охлаждение</w:t>
            </w:r>
          </w:p>
        </w:tc>
        <w:tc>
          <w:tcPr>
            <w:tcW w:w="1561" w:type="dxa"/>
          </w:tcPr>
          <w:p w14:paraId="21442FFA"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4FF14CCE"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771C6382"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172268EA"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1E1FA80F"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3F7F132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5755A199" w14:textId="77777777">
        <w:tc>
          <w:tcPr>
            <w:tcW w:w="738" w:type="dxa"/>
          </w:tcPr>
          <w:p w14:paraId="6A7324A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170" w:type="dxa"/>
          </w:tcPr>
          <w:p w14:paraId="5E517BB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561" w:type="dxa"/>
          </w:tcPr>
          <w:p w14:paraId="7704415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1561" w:type="dxa"/>
          </w:tcPr>
          <w:p w14:paraId="794CB93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1561" w:type="dxa"/>
          </w:tcPr>
          <w:p w14:paraId="0F698B5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c>
          <w:tcPr>
            <w:tcW w:w="1561" w:type="dxa"/>
          </w:tcPr>
          <w:p w14:paraId="5F13F3F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c>
          <w:tcPr>
            <w:tcW w:w="1561" w:type="dxa"/>
          </w:tcPr>
          <w:p w14:paraId="1B82C5F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c>
          <w:tcPr>
            <w:tcW w:w="1561" w:type="dxa"/>
          </w:tcPr>
          <w:p w14:paraId="02F04A0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r>
      <w:tr w:rsidR="004E10C1" w:rsidRPr="0044524F" w14:paraId="770D4222" w14:textId="77777777">
        <w:tc>
          <w:tcPr>
            <w:tcW w:w="738" w:type="dxa"/>
          </w:tcPr>
          <w:p w14:paraId="0B25525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170" w:type="dxa"/>
          </w:tcPr>
          <w:p w14:paraId="31D573D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561" w:type="dxa"/>
          </w:tcPr>
          <w:p w14:paraId="64CA69A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7200</w:t>
            </w:r>
          </w:p>
        </w:tc>
        <w:tc>
          <w:tcPr>
            <w:tcW w:w="1561" w:type="dxa"/>
          </w:tcPr>
          <w:p w14:paraId="444333D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1561" w:type="dxa"/>
          </w:tcPr>
          <w:p w14:paraId="612947C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1561" w:type="dxa"/>
          </w:tcPr>
          <w:p w14:paraId="07B27FD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1561" w:type="dxa"/>
          </w:tcPr>
          <w:p w14:paraId="65E04FC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1561" w:type="dxa"/>
          </w:tcPr>
          <w:p w14:paraId="6962316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r>
      <w:tr w:rsidR="004E10C1" w:rsidRPr="0044524F" w14:paraId="44F1D9F0" w14:textId="77777777">
        <w:tc>
          <w:tcPr>
            <w:tcW w:w="738" w:type="dxa"/>
          </w:tcPr>
          <w:p w14:paraId="52AF01C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c>
          <w:tcPr>
            <w:tcW w:w="1170" w:type="dxa"/>
          </w:tcPr>
          <w:p w14:paraId="1EE3C04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М-24 или Кертис Конквер</w:t>
            </w:r>
          </w:p>
        </w:tc>
        <w:tc>
          <w:tcPr>
            <w:tcW w:w="1561" w:type="dxa"/>
          </w:tcPr>
          <w:p w14:paraId="22552CB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38A1C4D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3109742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10000/0</w:t>
            </w:r>
          </w:p>
        </w:tc>
        <w:tc>
          <w:tcPr>
            <w:tcW w:w="1561" w:type="dxa"/>
          </w:tcPr>
          <w:p w14:paraId="52BAB6C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1561" w:type="dxa"/>
          </w:tcPr>
          <w:p w14:paraId="6003586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1561" w:type="dxa"/>
          </w:tcPr>
          <w:p w14:paraId="7B63F66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r>
      <w:tr w:rsidR="004E10C1" w:rsidRPr="0044524F" w14:paraId="62C5B5F5" w14:textId="77777777">
        <w:tc>
          <w:tcPr>
            <w:tcW w:w="738" w:type="dxa"/>
          </w:tcPr>
          <w:p w14:paraId="0D42AF5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w:t>
            </w:r>
          </w:p>
        </w:tc>
        <w:tc>
          <w:tcPr>
            <w:tcW w:w="1170" w:type="dxa"/>
          </w:tcPr>
          <w:p w14:paraId="524C9C2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w:t>
            </w:r>
          </w:p>
        </w:tc>
        <w:tc>
          <w:tcPr>
            <w:tcW w:w="1561" w:type="dxa"/>
          </w:tcPr>
          <w:p w14:paraId="60105DC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6EEBCAE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66D2FD2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1561" w:type="dxa"/>
          </w:tcPr>
          <w:p w14:paraId="474735F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1500/1000</w:t>
            </w:r>
          </w:p>
        </w:tc>
        <w:tc>
          <w:tcPr>
            <w:tcW w:w="1561" w:type="dxa"/>
          </w:tcPr>
          <w:p w14:paraId="11EDE1F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1561" w:type="dxa"/>
          </w:tcPr>
          <w:p w14:paraId="6E02215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r>
      <w:tr w:rsidR="004E10C1" w:rsidRPr="0044524F" w14:paraId="1EFAFDB1" w14:textId="77777777">
        <w:tc>
          <w:tcPr>
            <w:tcW w:w="738" w:type="dxa"/>
          </w:tcPr>
          <w:p w14:paraId="55E2706A"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6AFF686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561" w:type="dxa"/>
          </w:tcPr>
          <w:p w14:paraId="63540AD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9600</w:t>
            </w:r>
          </w:p>
        </w:tc>
        <w:tc>
          <w:tcPr>
            <w:tcW w:w="1561" w:type="dxa"/>
          </w:tcPr>
          <w:p w14:paraId="2A3167A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13500</w:t>
            </w:r>
          </w:p>
        </w:tc>
        <w:tc>
          <w:tcPr>
            <w:tcW w:w="1561" w:type="dxa"/>
          </w:tcPr>
          <w:p w14:paraId="4461267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25000</w:t>
            </w:r>
          </w:p>
        </w:tc>
        <w:tc>
          <w:tcPr>
            <w:tcW w:w="1561" w:type="dxa"/>
          </w:tcPr>
          <w:p w14:paraId="5E0D65B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36000</w:t>
            </w:r>
          </w:p>
        </w:tc>
        <w:tc>
          <w:tcPr>
            <w:tcW w:w="1561" w:type="dxa"/>
          </w:tcPr>
          <w:p w14:paraId="4303159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41500</w:t>
            </w:r>
          </w:p>
        </w:tc>
        <w:tc>
          <w:tcPr>
            <w:tcW w:w="1561" w:type="dxa"/>
          </w:tcPr>
          <w:p w14:paraId="685EFC1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46500</w:t>
            </w:r>
          </w:p>
        </w:tc>
      </w:tr>
      <w:tr w:rsidR="004E10C1" w:rsidRPr="0044524F" w14:paraId="3EC50B0E" w14:textId="77777777">
        <w:tc>
          <w:tcPr>
            <w:tcW w:w="738" w:type="dxa"/>
          </w:tcPr>
          <w:p w14:paraId="1DE32D45"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2F4C6BD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Воздушное охлаждение</w:t>
            </w:r>
          </w:p>
        </w:tc>
        <w:tc>
          <w:tcPr>
            <w:tcW w:w="1561" w:type="dxa"/>
          </w:tcPr>
          <w:p w14:paraId="21D2AED1"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2A893DE0"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6E178BD2"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185BE224"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17FF3375"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561" w:type="dxa"/>
          </w:tcPr>
          <w:p w14:paraId="3465C1B5"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r w:rsidR="004E10C1" w:rsidRPr="0044524F" w14:paraId="0A139BAF" w14:textId="77777777">
        <w:tc>
          <w:tcPr>
            <w:tcW w:w="738" w:type="dxa"/>
          </w:tcPr>
          <w:p w14:paraId="2845EAC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170" w:type="dxa"/>
          </w:tcPr>
          <w:p w14:paraId="1D4DCF0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561" w:type="dxa"/>
          </w:tcPr>
          <w:p w14:paraId="4D0D2D5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561" w:type="dxa"/>
          </w:tcPr>
          <w:p w14:paraId="0D9159F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561" w:type="dxa"/>
          </w:tcPr>
          <w:p w14:paraId="1C35402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561" w:type="dxa"/>
          </w:tcPr>
          <w:p w14:paraId="41EA254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4EA5E9B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4E03FD2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F31F020" w14:textId="77777777">
        <w:tc>
          <w:tcPr>
            <w:tcW w:w="738" w:type="dxa"/>
          </w:tcPr>
          <w:p w14:paraId="2D484C3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170" w:type="dxa"/>
          </w:tcPr>
          <w:p w14:paraId="49A1747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561" w:type="dxa"/>
          </w:tcPr>
          <w:p w14:paraId="51FDA47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1561" w:type="dxa"/>
          </w:tcPr>
          <w:p w14:paraId="0A9B3BA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1561" w:type="dxa"/>
          </w:tcPr>
          <w:p w14:paraId="004C480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1561" w:type="dxa"/>
          </w:tcPr>
          <w:p w14:paraId="09738CD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1561" w:type="dxa"/>
          </w:tcPr>
          <w:p w14:paraId="30EE96E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1561" w:type="dxa"/>
          </w:tcPr>
          <w:p w14:paraId="4C1F133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r>
      <w:tr w:rsidR="004E10C1" w:rsidRPr="0044524F" w14:paraId="6144CF60" w14:textId="77777777">
        <w:tc>
          <w:tcPr>
            <w:tcW w:w="738" w:type="dxa"/>
          </w:tcPr>
          <w:p w14:paraId="19D5DF6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170" w:type="dxa"/>
          </w:tcPr>
          <w:p w14:paraId="3CE956B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РЦ</w:t>
            </w:r>
          </w:p>
        </w:tc>
        <w:tc>
          <w:tcPr>
            <w:tcW w:w="1561" w:type="dxa"/>
          </w:tcPr>
          <w:p w14:paraId="5EB005C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21DA09E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561" w:type="dxa"/>
          </w:tcPr>
          <w:p w14:paraId="44BA59E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1561" w:type="dxa"/>
          </w:tcPr>
          <w:p w14:paraId="3C18BAB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1561" w:type="dxa"/>
          </w:tcPr>
          <w:p w14:paraId="1BC0656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c>
          <w:tcPr>
            <w:tcW w:w="1561" w:type="dxa"/>
          </w:tcPr>
          <w:p w14:paraId="3EFF3FF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tc>
      </w:tr>
      <w:tr w:rsidR="004E10C1" w:rsidRPr="0044524F" w14:paraId="687DED9E" w14:textId="77777777">
        <w:tc>
          <w:tcPr>
            <w:tcW w:w="738" w:type="dxa"/>
          </w:tcPr>
          <w:p w14:paraId="27D4730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134</w:t>
            </w:r>
          </w:p>
        </w:tc>
        <w:tc>
          <w:tcPr>
            <w:tcW w:w="1170" w:type="dxa"/>
          </w:tcPr>
          <w:p w14:paraId="1C4D0B7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561" w:type="dxa"/>
          </w:tcPr>
          <w:p w14:paraId="52BD91B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4D8D2B1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3BBB285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1607454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2FFAA7E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8000</w:t>
            </w:r>
          </w:p>
        </w:tc>
        <w:tc>
          <w:tcPr>
            <w:tcW w:w="1561" w:type="dxa"/>
          </w:tcPr>
          <w:p w14:paraId="3E08890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15000</w:t>
            </w:r>
          </w:p>
        </w:tc>
      </w:tr>
      <w:tr w:rsidR="004E10C1" w:rsidRPr="0044524F" w14:paraId="5CF147CA" w14:textId="77777777">
        <w:tc>
          <w:tcPr>
            <w:tcW w:w="738" w:type="dxa"/>
          </w:tcPr>
          <w:p w14:paraId="4211ADF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127</w:t>
            </w:r>
          </w:p>
        </w:tc>
        <w:tc>
          <w:tcPr>
            <w:tcW w:w="1170" w:type="dxa"/>
          </w:tcPr>
          <w:p w14:paraId="3B4B1E2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РЦ</w:t>
            </w:r>
          </w:p>
        </w:tc>
        <w:tc>
          <w:tcPr>
            <w:tcW w:w="1561" w:type="dxa"/>
          </w:tcPr>
          <w:p w14:paraId="4BD117C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2F8959E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61" w:type="dxa"/>
          </w:tcPr>
          <w:p w14:paraId="434AA00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5000/0</w:t>
            </w:r>
          </w:p>
        </w:tc>
        <w:tc>
          <w:tcPr>
            <w:tcW w:w="1561" w:type="dxa"/>
          </w:tcPr>
          <w:p w14:paraId="20E9ED5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10000/5000</w:t>
            </w:r>
          </w:p>
        </w:tc>
        <w:tc>
          <w:tcPr>
            <w:tcW w:w="1561" w:type="dxa"/>
          </w:tcPr>
          <w:p w14:paraId="49439A7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c>
          <w:tcPr>
            <w:tcW w:w="1561" w:type="dxa"/>
          </w:tcPr>
          <w:p w14:paraId="4189C25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r>
      <w:tr w:rsidR="004E10C1" w:rsidRPr="0044524F" w14:paraId="281F12DB" w14:textId="77777777">
        <w:tc>
          <w:tcPr>
            <w:tcW w:w="738" w:type="dxa"/>
          </w:tcPr>
          <w:p w14:paraId="2F5BF576"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Pr>
          <w:p w14:paraId="75E48AF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561" w:type="dxa"/>
          </w:tcPr>
          <w:p w14:paraId="5BB4943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2900</w:t>
            </w:r>
          </w:p>
        </w:tc>
        <w:tc>
          <w:tcPr>
            <w:tcW w:w="1561" w:type="dxa"/>
          </w:tcPr>
          <w:p w14:paraId="39A7553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4600</w:t>
            </w:r>
          </w:p>
        </w:tc>
        <w:tc>
          <w:tcPr>
            <w:tcW w:w="1561" w:type="dxa"/>
          </w:tcPr>
          <w:p w14:paraId="637C877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9600</w:t>
            </w:r>
          </w:p>
        </w:tc>
        <w:tc>
          <w:tcPr>
            <w:tcW w:w="1561" w:type="dxa"/>
          </w:tcPr>
          <w:p w14:paraId="3B6545A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17000</w:t>
            </w:r>
          </w:p>
        </w:tc>
        <w:tc>
          <w:tcPr>
            <w:tcW w:w="1561" w:type="dxa"/>
          </w:tcPr>
          <w:p w14:paraId="372D1F2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30000</w:t>
            </w:r>
          </w:p>
        </w:tc>
        <w:tc>
          <w:tcPr>
            <w:tcW w:w="1561" w:type="dxa"/>
          </w:tcPr>
          <w:p w14:paraId="591224E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37000</w:t>
            </w:r>
          </w:p>
        </w:tc>
      </w:tr>
      <w:tr w:rsidR="004E10C1" w:rsidRPr="0044524F" w14:paraId="07276E2E" w14:textId="77777777">
        <w:tc>
          <w:tcPr>
            <w:tcW w:w="738" w:type="dxa"/>
            <w:tcBorders>
              <w:bottom w:val="single" w:sz="12" w:space="0" w:color="auto"/>
            </w:tcBorders>
          </w:tcPr>
          <w:p w14:paraId="4B2319F9"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1170" w:type="dxa"/>
            <w:tcBorders>
              <w:bottom w:val="single" w:sz="12" w:space="0" w:color="auto"/>
            </w:tcBorders>
          </w:tcPr>
          <w:p w14:paraId="1CA84B1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561" w:type="dxa"/>
            <w:tcBorders>
              <w:bottom w:val="single" w:sz="12" w:space="0" w:color="auto"/>
            </w:tcBorders>
          </w:tcPr>
          <w:p w14:paraId="7F5463F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12500</w:t>
            </w:r>
          </w:p>
        </w:tc>
        <w:tc>
          <w:tcPr>
            <w:tcW w:w="1561" w:type="dxa"/>
            <w:tcBorders>
              <w:bottom w:val="single" w:sz="12" w:space="0" w:color="auto"/>
            </w:tcBorders>
          </w:tcPr>
          <w:p w14:paraId="638C4C6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18100</w:t>
            </w:r>
          </w:p>
        </w:tc>
        <w:tc>
          <w:tcPr>
            <w:tcW w:w="1561" w:type="dxa"/>
            <w:tcBorders>
              <w:bottom w:val="single" w:sz="12" w:space="0" w:color="auto"/>
            </w:tcBorders>
          </w:tcPr>
          <w:p w14:paraId="185B081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34600</w:t>
            </w:r>
          </w:p>
        </w:tc>
        <w:tc>
          <w:tcPr>
            <w:tcW w:w="1561" w:type="dxa"/>
            <w:tcBorders>
              <w:bottom w:val="single" w:sz="12" w:space="0" w:color="auto"/>
            </w:tcBorders>
          </w:tcPr>
          <w:p w14:paraId="7751646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53000</w:t>
            </w:r>
          </w:p>
        </w:tc>
        <w:tc>
          <w:tcPr>
            <w:tcW w:w="1561" w:type="dxa"/>
            <w:tcBorders>
              <w:bottom w:val="single" w:sz="12" w:space="0" w:color="auto"/>
            </w:tcBorders>
          </w:tcPr>
          <w:p w14:paraId="08863A7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71500</w:t>
            </w:r>
          </w:p>
        </w:tc>
        <w:tc>
          <w:tcPr>
            <w:tcW w:w="1561" w:type="dxa"/>
            <w:tcBorders>
              <w:bottom w:val="single" w:sz="12" w:space="0" w:color="auto"/>
            </w:tcBorders>
          </w:tcPr>
          <w:p w14:paraId="207D6F6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83500</w:t>
            </w:r>
          </w:p>
        </w:tc>
      </w:tr>
    </w:tbl>
    <w:p w14:paraId="0EBA913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В числители мощности по строительству, в знаменателе - по оборудованию. В итого - мощности по оборудованию</w:t>
      </w:r>
    </w:p>
    <w:p w14:paraId="266093F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целях обеспечения выпуска в 1934 и 1935 г. выделить в 1933 в Ш и 1У кв. контингент для заказа импортного оборудования для заводов №№ 19, 20, 33, 120 в следующих суммах:</w:t>
      </w:r>
    </w:p>
    <w:p w14:paraId="62182C30"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r w:rsidRPr="0044524F">
        <w:rPr>
          <w:rFonts w:ascii="Times New Roman" w:hAnsi="Times New Roman"/>
          <w:color w:val="000000" w:themeColor="text1"/>
          <w:sz w:val="16"/>
          <w:szCs w:val="16"/>
        </w:rPr>
        <w:tab/>
        <w:t>1745 т.р.</w:t>
      </w:r>
    </w:p>
    <w:p w14:paraId="54640AA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r w:rsidRPr="0044524F">
        <w:rPr>
          <w:rFonts w:ascii="Times New Roman" w:hAnsi="Times New Roman"/>
          <w:color w:val="000000" w:themeColor="text1"/>
          <w:sz w:val="16"/>
          <w:szCs w:val="16"/>
        </w:rPr>
        <w:tab/>
        <w:t>735</w:t>
      </w:r>
    </w:p>
    <w:p w14:paraId="1CF95AA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r w:rsidRPr="0044524F">
        <w:rPr>
          <w:rFonts w:ascii="Times New Roman" w:hAnsi="Times New Roman"/>
          <w:color w:val="000000" w:themeColor="text1"/>
          <w:sz w:val="16"/>
          <w:szCs w:val="16"/>
        </w:rPr>
        <w:tab/>
        <w:t>150</w:t>
      </w:r>
    </w:p>
    <w:p w14:paraId="25174BB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r w:rsidRPr="0044524F">
        <w:rPr>
          <w:rFonts w:ascii="Times New Roman" w:hAnsi="Times New Roman"/>
          <w:color w:val="000000" w:themeColor="text1"/>
          <w:sz w:val="16"/>
          <w:szCs w:val="16"/>
        </w:rPr>
        <w:tab/>
        <w:t>1330</w:t>
      </w:r>
    </w:p>
    <w:p w14:paraId="09BFF11D"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НКТвнешорг и НКТП ввезти импортное оборудование для моторостроительных заводов №№ 24, 19, 20, 33, 120 к 1.1.35 на полную мощность</w:t>
      </w:r>
    </w:p>
    <w:p w14:paraId="2391AC45"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В целях осоуществления пятилетнего плана построить в течение второй пятилетки в сроки, согласно плана развития мощностей, следующие новые заводы, к строительству которых еще не приступлено:</w:t>
      </w:r>
    </w:p>
    <w:p w14:paraId="268A9887"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моторростроению</w:t>
      </w:r>
    </w:p>
    <w:p w14:paraId="2E0A352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завод № 130 в Казани на мощность 20000 моторов водяного охлаждения типа М-34 или Кертис-Конкверер</w:t>
      </w:r>
    </w:p>
    <w:p w14:paraId="58A514C5"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завод № 117 в Горьком на мощность 10000 моторов воздушного охлаждения РЦ</w:t>
      </w:r>
    </w:p>
    <w:p w14:paraId="501AA4F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завод № 134 в Харькове на мощность 15000 маломощных моторов типа М-11</w:t>
      </w:r>
    </w:p>
    <w:p w14:paraId="2937FBBD"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территорию б. Завода № 24б использовать для производства мелких серий моторов бензиновых и нефтяных</w:t>
      </w:r>
    </w:p>
    <w:p w14:paraId="63C1513B"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самолетостроению</w:t>
      </w:r>
    </w:p>
    <w:p w14:paraId="0A5640E5"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новый завод истребителей на мощность 3000 шт. (расчетный тип 2-х местный истребитель)</w:t>
      </w:r>
    </w:p>
    <w:p w14:paraId="2A04395B"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новый завод легких самолетов на мощность 8000 шт. самолетов типа У-2 в Харькове</w:t>
      </w:r>
    </w:p>
    <w:p w14:paraId="7F191951"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строительству вспомогательных заводов</w:t>
      </w:r>
    </w:p>
    <w:p w14:paraId="00ED40A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второй завод вооружения</w:t>
      </w:r>
    </w:p>
    <w:p w14:paraId="28D5DC79"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второй завод винто-лыжный</w:t>
      </w:r>
    </w:p>
    <w:p w14:paraId="2F77E25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завод металлических винтов</w:t>
      </w:r>
    </w:p>
    <w:p w14:paraId="253283B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г/второй завод карбюраторный</w:t>
      </w:r>
    </w:p>
    <w:p w14:paraId="1DF4322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территорию завода № 24а использовать для производства запчастей к моторам, снятым с производства</w:t>
      </w:r>
    </w:p>
    <w:p w14:paraId="3C35C200"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Определить ориентировочный объем вложений в КС на 2-ю пятилетку в сумме 1.450 млн. руб.</w:t>
      </w:r>
    </w:p>
    <w:p w14:paraId="75604D6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Обязать НКТП полностью обеспечить потребность авиапромышленности в сырье и материалах на 2 пятилетку (2228,55).</w:t>
      </w:r>
    </w:p>
    <w:p w14:paraId="0A876BCD"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83F4E4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сентября 1933 л НИИ ГВФ В.Г.Бородин установил новый мировой рекорд пилотажа на планере, выполнив на двухместном планере Б.Н.Шереметьева Ш-5 с пассажиром за 3:30 215 фигур, в т.ч. 209 петель и 6 переворотов через крыло (438,655).</w:t>
      </w:r>
    </w:p>
    <w:p w14:paraId="7FA99841"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842FFD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 сентября 1933 г. самый ранний вариант крупнокалиберного 410-мм ракетного фугас</w:t>
      </w:r>
      <w:r w:rsidRPr="0044524F">
        <w:rPr>
          <w:rFonts w:ascii="Times New Roman" w:hAnsi="Times New Roman"/>
          <w:color w:val="000000" w:themeColor="text1"/>
          <w:sz w:val="16"/>
          <w:szCs w:val="16"/>
        </w:rPr>
        <w:softHyphen/>
        <w:t>ного снаряда РС-400 модели 1055 был спроектирован в ГДЛ УВИ НВ РККА лично Г.Э.Лангемаком. Чертежные работы выполнил Б.Андерсон, хотя датировал их ноябрем 1932 г. (по-видимому, это была описка). Особенностью боеприпаса можно считать оперение размахом 350 мм, жестко установленное на сопловой рюмке (без сопло</w:t>
      </w:r>
      <w:r w:rsidRPr="0044524F">
        <w:rPr>
          <w:rFonts w:ascii="Times New Roman" w:hAnsi="Times New Roman"/>
          <w:color w:val="000000" w:themeColor="text1"/>
          <w:sz w:val="16"/>
          <w:szCs w:val="16"/>
        </w:rPr>
        <w:softHyphen/>
        <w:t>вого обтекателя), сварную стальную диафрагму колосникового типа ре</w:t>
      </w:r>
      <w:r w:rsidRPr="0044524F">
        <w:rPr>
          <w:rFonts w:ascii="Times New Roman" w:hAnsi="Times New Roman"/>
          <w:color w:val="000000" w:themeColor="text1"/>
          <w:sz w:val="16"/>
          <w:szCs w:val="16"/>
        </w:rPr>
        <w:softHyphen/>
        <w:t>шетчато-кольцевой конфигурации, а также ведущие элементы снаряда в виде направляющих планок. Стрелять им планировали из деревянного желоба, обитого металлическими полосами. Кстати, до недавнего време</w:t>
      </w:r>
      <w:r w:rsidRPr="0044524F">
        <w:rPr>
          <w:rFonts w:ascii="Times New Roman" w:hAnsi="Times New Roman"/>
          <w:color w:val="000000" w:themeColor="text1"/>
          <w:sz w:val="16"/>
          <w:szCs w:val="16"/>
        </w:rPr>
        <w:softHyphen/>
        <w:t>ни во Флоте металлические желоба успешно применяли для запуска ре</w:t>
      </w:r>
      <w:r w:rsidRPr="0044524F">
        <w:rPr>
          <w:rFonts w:ascii="Times New Roman" w:hAnsi="Times New Roman"/>
          <w:color w:val="000000" w:themeColor="text1"/>
          <w:sz w:val="16"/>
          <w:szCs w:val="16"/>
        </w:rPr>
        <w:softHyphen/>
        <w:t>активных глубинных мин и неуправляемых фугасно-реактивных снаря</w:t>
      </w:r>
      <w:r w:rsidRPr="0044524F">
        <w:rPr>
          <w:rFonts w:ascii="Times New Roman" w:hAnsi="Times New Roman"/>
          <w:color w:val="000000" w:themeColor="text1"/>
          <w:sz w:val="16"/>
          <w:szCs w:val="16"/>
        </w:rPr>
        <w:softHyphen/>
        <w:t>дов (11402).</w:t>
      </w:r>
    </w:p>
    <w:p w14:paraId="2D5E5358"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6B02832" w14:textId="77777777" w:rsidR="00B2303C" w:rsidRPr="0044524F" w:rsidRDefault="00B2303C" w:rsidP="009654CF">
      <w:pPr>
        <w:pStyle w:val="rtejustify"/>
        <w:spacing w:before="0" w:after="0"/>
        <w:rPr>
          <w:color w:val="000000" w:themeColor="text1"/>
          <w:sz w:val="16"/>
          <w:szCs w:val="16"/>
          <w:u w:val="single"/>
        </w:rPr>
      </w:pPr>
      <w:r w:rsidRPr="0044524F">
        <w:rPr>
          <w:color w:val="000000" w:themeColor="text1"/>
          <w:sz w:val="16"/>
          <w:szCs w:val="16"/>
        </w:rPr>
        <w:t>19 сентября 1933 г. Каганович — Сталину, Ворошилову</w:t>
      </w:r>
    </w:p>
    <w:p w14:paraId="7F02B5BD"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u w:val="single"/>
        </w:rPr>
        <w:t>С. секретно</w:t>
      </w:r>
      <w:r w:rsidRPr="0044524F">
        <w:rPr>
          <w:color w:val="000000" w:themeColor="text1"/>
          <w:sz w:val="16"/>
          <w:szCs w:val="16"/>
        </w:rPr>
        <w:t>.</w:t>
      </w:r>
    </w:p>
    <w:p w14:paraId="260320FA"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u w:val="single"/>
        </w:rPr>
        <w:t>Шифром.</w:t>
      </w:r>
    </w:p>
    <w:p w14:paraId="6114E079"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u w:val="single"/>
        </w:rPr>
        <w:t>Копия</w:t>
      </w:r>
      <w:r w:rsidRPr="0044524F">
        <w:rPr>
          <w:color w:val="000000" w:themeColor="text1"/>
          <w:sz w:val="16"/>
          <w:szCs w:val="16"/>
        </w:rPr>
        <w:t>.</w:t>
      </w:r>
    </w:p>
    <w:p w14:paraId="78F470FF" w14:textId="77777777" w:rsidR="003F2394" w:rsidRPr="0044524F" w:rsidRDefault="003F2394" w:rsidP="009654CF">
      <w:pPr>
        <w:pStyle w:val="rtecenter"/>
        <w:spacing w:before="0" w:after="0"/>
        <w:jc w:val="both"/>
        <w:rPr>
          <w:color w:val="000000" w:themeColor="text1"/>
          <w:sz w:val="16"/>
          <w:szCs w:val="16"/>
        </w:rPr>
      </w:pPr>
      <w:r w:rsidRPr="0044524F">
        <w:rPr>
          <w:color w:val="000000" w:themeColor="text1"/>
          <w:sz w:val="16"/>
          <w:szCs w:val="16"/>
        </w:rPr>
        <w:t>Т. т. Сталину, Ворошилову.</w:t>
      </w:r>
    </w:p>
    <w:p w14:paraId="549FEE2E"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Сегодня в 11 часов утра т. Тухачевского посетили Пьер Кот и генерал Баррес. Пьер Кот заявил, что «две страны в мире не хотят войны — это СССР и Франция и что поэтому эти страны могут безбоязненно ознакомлять друг друга со своими достижениями и что он имеет предложение установить более постоянное и тесное сотрудничество между французской и советской авиацией, что делает он это в самой предварительной форме, но, что, тем не менее, он может предложить сотрудничество по двум направлениям.</w:t>
      </w:r>
    </w:p>
    <w:p w14:paraId="16814B2E"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В области производства — посылка наших инженеров для изучения французской авиационной промышленности или приглашение к нам в промышленность французских инженеров, или, если мы пожелаем, и то и другое вместе. Во-вторых, Пьер Кот предложил посылку наших командиров для изучения французских авиационных частей и для прохождения французских авиационных школ.»</w:t>
      </w:r>
    </w:p>
    <w:p w14:paraId="792DEFD6"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Пьер Кот интересовался, в каких формах представляется Тухачевскому сотрудничество. Тухачевский ему определенного ответа не дал. Обещал доложить правительству</w:t>
      </w:r>
      <w:r w:rsidRPr="0044524F">
        <w:rPr>
          <w:color w:val="000000" w:themeColor="text1"/>
          <w:sz w:val="16"/>
          <w:szCs w:val="16"/>
          <w:vertAlign w:val="superscript"/>
        </w:rPr>
        <w:t>1</w:t>
      </w:r>
      <w:r w:rsidRPr="0044524F">
        <w:rPr>
          <w:color w:val="000000" w:themeColor="text1"/>
          <w:sz w:val="16"/>
          <w:szCs w:val="16"/>
        </w:rPr>
        <w:t>.</w:t>
      </w:r>
    </w:p>
    <w:p w14:paraId="7256D38F"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Уезжают они 21. IX. Просим сообщить Ваше мнение. Целесообразно ли дать Пьеру Коту и Барресу положительный ответ об установлении более систематической связи между нашей и их авиацией и авиационной промышленностью и о посылке наших командиров и инженеров для изучения французской авиации и авиапромышленности.</w:t>
      </w:r>
    </w:p>
    <w:p w14:paraId="07FF07AB"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Мы считали бы целесообразным дать положительный ответ</w:t>
      </w:r>
      <w:r w:rsidRPr="0044524F">
        <w:rPr>
          <w:color w:val="000000" w:themeColor="text1"/>
          <w:sz w:val="16"/>
          <w:szCs w:val="16"/>
          <w:vertAlign w:val="superscript"/>
        </w:rPr>
        <w:t>2</w:t>
      </w:r>
      <w:r w:rsidRPr="0044524F">
        <w:rPr>
          <w:color w:val="000000" w:themeColor="text1"/>
          <w:sz w:val="16"/>
          <w:szCs w:val="16"/>
        </w:rPr>
        <w:t>.</w:t>
      </w:r>
    </w:p>
    <w:p w14:paraId="5DD5E231"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 35/36/1910/ш.</w:t>
      </w:r>
    </w:p>
    <w:p w14:paraId="71535F0B"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Каганович.</w:t>
      </w:r>
    </w:p>
    <w:p w14:paraId="267222C2"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19/IX-33 г.</w:t>
      </w:r>
    </w:p>
    <w:p w14:paraId="03AC2666"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Речь идет о визите в СССР министра авиации Франции П.Кота и сопровождавших его генерального инспектора французской авиации генерала Бареса и других руководителей министерства авиации (см. ДВП. Т. XVI. С. 856–857). 20 сентября Тухачевский направил Кагановичу следующее сообщение: «Вчера на обеде, устроенном в честь французских гостей, пришлось иметь разговоры с Пьером Кот, ген[ералом] Барес и инженером Како по различным вопросам авиационной техники. Были затронуты вопросы полетов в условиях плохой видимости, охлаждения моторов на больших высотах, вооружения авиации, методов подготовки бомбардировщиков, организации ночных полетов и пр. по всем этим вопросам французы очень охотно дают ответы и открыто рассказывают о новых самолетных пушках и пулеметах (1.200 выстрелов в минуту). Истребитель, вооруженный автоматической пушкой, обещают показать через несколько месяцев (сейчас он строится). Приемом французы очень довольны, в частности, ген[ерал] Баррес говорит, что он совершенно очарован приемом, что он является старым другом СССР и что еще в 1927-ом году сговаривался с Эррио о совместной поездке в СССР, но что тогда это не удалось. До сих пор Баррес был очень сдержан. Очень приглашают меня и тов. Алксниса с группой командиров приехать во Францию для изучения авиации и обещают показать всю технику и методику подготовки» (РГАСПИ. Ф. 81. Оп. 3. Д. 101. Л. 27).</w:t>
      </w:r>
    </w:p>
    <w:p w14:paraId="7E49DA30"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vertAlign w:val="superscript"/>
        </w:rPr>
        <w:t>2</w:t>
      </w:r>
      <w:r w:rsidRPr="0044524F">
        <w:rPr>
          <w:color w:val="000000" w:themeColor="text1"/>
          <w:sz w:val="16"/>
          <w:szCs w:val="16"/>
        </w:rPr>
        <w:t xml:space="preserve"> 23 октября 1933 г. посол Франции в СССР в беседе с наркомом иностранных дел Литвиновым вновь поставил вопрос о визите Тухачевского во Францию. Литвинов ответил, что «вопрос у нас не обсуждался», и он даже не знает получил ли Тухачевский приглашение от кого-либо. 30 ноября 1933 г. советник посольства Франции передал члену коллегии НКИД Б.С.Стомонякову памятную записку французского посольства, в которой подтверждалось приглашение Тухачевскому и советским летчикам прибыть во Францию с визитом в ответ на визит Кота (ДВП. Т. XVI. С. 555, 859–860). 10 декабря 1933 г. ПБ приняло предложение Кота о посылке советских командиров в школы французской авиации для совершенствования и наметило состав командируемых. Послу во Франции В.СДовгалевскому было поручено </w:t>
      </w:r>
      <w:r w:rsidRPr="0044524F">
        <w:rPr>
          <w:color w:val="000000" w:themeColor="text1"/>
          <w:sz w:val="16"/>
          <w:szCs w:val="16"/>
        </w:rPr>
        <w:lastRenderedPageBreak/>
        <w:t>сообщить французской стороне о намерении послать весной 1934 г. эскадрилью самолетов в Париж в ответ на визит Кота (РГАСПИ. Ф. 17. Оп. 162. Д. 15. Л. 152). Визит советской авиационной делегации во главе с начальником Главного управления гражданского/Воздушного флота Уншлихтом состоялся в августе 1934 г. (ДВП. Т. XVII. М. 1971. С. 811).</w:t>
      </w:r>
    </w:p>
    <w:p w14:paraId="72445A0C"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РГАСПИ Ф. 558. Оп. 11. Д. 81. Л. 24. Заверенная машинописная копия; Ф. 81. Оп. 3. Д. 101. Л. 26. Машинописный текст с пометами Кагановича. </w:t>
      </w:r>
    </w:p>
    <w:p w14:paraId="433F6CE1"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Сталин и Каганович. Переписка. 1931–1936 гг. Москва: (РОССПЭН), 2001 Стр. 351-352 (12310).</w:t>
      </w:r>
    </w:p>
    <w:p w14:paraId="7340CA94" w14:textId="77777777" w:rsidR="003F2394" w:rsidRPr="0044524F" w:rsidRDefault="003F2394" w:rsidP="009654CF">
      <w:pPr>
        <w:spacing w:after="0" w:line="240" w:lineRule="auto"/>
        <w:jc w:val="both"/>
        <w:rPr>
          <w:rFonts w:ascii="Times New Roman" w:hAnsi="Times New Roman"/>
          <w:color w:val="000000" w:themeColor="text1"/>
          <w:sz w:val="16"/>
          <w:szCs w:val="16"/>
          <w:u w:color="002060"/>
        </w:rPr>
      </w:pPr>
    </w:p>
    <w:p w14:paraId="227E14BA" w14:textId="77777777" w:rsidR="00EB166A" w:rsidRPr="0044524F" w:rsidRDefault="00EB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сентября 1933 г. планерист Виктор Григорьевич Бородин установил новый мировой рекорд высшего пилотажа на планере. За 3 ч. 30 минут на двухместном планере Б.Н.Шереметьева Ш-5 с пассажиром Волковым выполнил 215 фигур высшего пилотажа, в том числе мертвых петель, переборотой через крыло, Ркорд высшего пилотажа с пассажировм установлен впервые. Полет бил в Крыму.</w:t>
      </w:r>
    </w:p>
    <w:p w14:paraId="59EDF504" w14:textId="77777777" w:rsidR="00EB166A" w:rsidRPr="0044524F" w:rsidRDefault="00EB16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25 сентября 1933 г./ 23370).</w:t>
      </w:r>
    </w:p>
    <w:p w14:paraId="18DD854E" w14:textId="77777777" w:rsidR="00EB166A" w:rsidRPr="0044524F" w:rsidRDefault="00EB166A" w:rsidP="009654CF">
      <w:pPr>
        <w:spacing w:after="0" w:line="240" w:lineRule="auto"/>
        <w:jc w:val="both"/>
        <w:rPr>
          <w:rFonts w:ascii="Times New Roman" w:hAnsi="Times New Roman"/>
          <w:color w:val="000000" w:themeColor="text1"/>
          <w:sz w:val="16"/>
          <w:szCs w:val="16"/>
        </w:rPr>
      </w:pPr>
    </w:p>
    <w:p w14:paraId="62899490" w14:textId="77777777" w:rsidR="00F65AD9" w:rsidRPr="0044524F" w:rsidRDefault="00F65A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сентября 1933 на Центральном аэродроме им. Фрунзе опробовали оболочку «СССР-1». В 20.00 состоялось совещание метеорологов Гольцмана, Молчанова, Вернова и Альтовского. Для провер</w:t>
      </w:r>
      <w:r w:rsidRPr="0044524F">
        <w:rPr>
          <w:rFonts w:ascii="Times New Roman" w:hAnsi="Times New Roman"/>
          <w:color w:val="000000" w:themeColor="text1"/>
          <w:sz w:val="16"/>
          <w:szCs w:val="16"/>
        </w:rPr>
        <w:softHyphen/>
        <w:t>ки прогноза запустили радиозонд (20120).</w:t>
      </w:r>
    </w:p>
    <w:p w14:paraId="53154DB9" w14:textId="77777777" w:rsidR="00F65AD9" w:rsidRPr="0044524F" w:rsidRDefault="00F65AD9" w:rsidP="009654CF">
      <w:pPr>
        <w:spacing w:after="0" w:line="240" w:lineRule="auto"/>
        <w:jc w:val="both"/>
        <w:rPr>
          <w:rFonts w:ascii="Times New Roman" w:hAnsi="Times New Roman"/>
          <w:color w:val="000000" w:themeColor="text1"/>
          <w:sz w:val="16"/>
          <w:szCs w:val="16"/>
        </w:rPr>
      </w:pPr>
    </w:p>
    <w:p w14:paraId="17A87D9D"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5E7AE9A"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1422172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 сентября 1933 года испытания 107-мм орудий "Особой доставки" на НИАПе продолжались (3861).</w:t>
      </w:r>
    </w:p>
    <w:p w14:paraId="7ADDDD8B"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C89232B"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19 сентября 1933 г. Сталин, Ворошилов — Кагановичу</w:t>
      </w:r>
    </w:p>
    <w:p w14:paraId="24170443"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Шифровка.</w:t>
      </w:r>
    </w:p>
    <w:p w14:paraId="220B3770"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Из Сочи отправлена 17–05 19.IX. 1933 г.</w:t>
      </w:r>
    </w:p>
    <w:p w14:paraId="235A86E6"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Москва. ЦК ВКП(б) тов. Кагановичу. Предлагаем утвердить следующие предложения:</w:t>
      </w:r>
    </w:p>
    <w:p w14:paraId="62F5FCC5"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 Принять предложение т. Ворошилова о концентрации всех легковых автомашин фирмы «Роллс-Ройс» в особом гараже и о возврате рольсов товарищами, имеющими эти машины в личном пользовании.</w:t>
      </w:r>
    </w:p>
    <w:p w14:paraId="11EEFBE5"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 Считать, что впредь машины «Роллс-Ройс» не следует импортировать.</w:t>
      </w:r>
    </w:p>
    <w:p w14:paraId="18422A01"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3) Купить за границей 4 крытых (лимузин) шестиместных машин системы «Кадиллак» и 8 штук открытых шестиместных «Паккардов» выпуска 1933 г. с полным комплектом запасных частей и запасных частей для существующего парка «Роллс-Ройс».</w:t>
      </w:r>
    </w:p>
    <w:p w14:paraId="3D52297A"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4) Отпустить на расходы по пункту 3 сто тысяч рублей в инвалюте. Предлагаем:</w:t>
      </w:r>
    </w:p>
    <w:p w14:paraId="140E013E"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 Утвердить делегацию для ответного визита в Турцию в составе т. т. Ворошилова и Литвинова.</w:t>
      </w:r>
    </w:p>
    <w:p w14:paraId="78526BC8"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 Сопровождающих их товарищей определить т. т. Ворошилову и Литвинову в количестве не более 10–15 человек всего.</w:t>
      </w:r>
    </w:p>
    <w:p w14:paraId="0CFDC3B5"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Сталин. Ворошилов</w:t>
      </w:r>
      <w:r w:rsidRPr="0044524F">
        <w:rPr>
          <w:rFonts w:ascii="Times New Roman" w:eastAsia="Times New Roman" w:hAnsi="Times New Roman"/>
          <w:color w:val="000000" w:themeColor="text1"/>
          <w:sz w:val="16"/>
          <w:szCs w:val="16"/>
          <w:vertAlign w:val="superscript"/>
          <w:lang w:eastAsia="ru-RU"/>
        </w:rPr>
        <w:t>1</w:t>
      </w:r>
      <w:r w:rsidRPr="0044524F">
        <w:rPr>
          <w:rFonts w:ascii="Times New Roman" w:eastAsia="Times New Roman" w:hAnsi="Times New Roman"/>
          <w:color w:val="000000" w:themeColor="text1"/>
          <w:sz w:val="16"/>
          <w:szCs w:val="16"/>
          <w:lang w:eastAsia="ru-RU"/>
        </w:rPr>
        <w:t>.</w:t>
      </w:r>
    </w:p>
    <w:p w14:paraId="7E49A787" w14:textId="77777777" w:rsidR="001C2FB0" w:rsidRPr="0044524F" w:rsidRDefault="001C2FB0"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Ф. 558. On. 11. Д. 81. Л. 13. Подлинник. Машинопись (17281).</w:t>
      </w:r>
    </w:p>
    <w:p w14:paraId="6AACEFC2" w14:textId="77777777" w:rsidR="001C2FB0" w:rsidRPr="0044524F" w:rsidRDefault="001C2FB0" w:rsidP="009654CF">
      <w:pPr>
        <w:spacing w:after="0" w:line="240" w:lineRule="auto"/>
        <w:jc w:val="both"/>
        <w:rPr>
          <w:rFonts w:ascii="Times New Roman" w:hAnsi="Times New Roman"/>
          <w:color w:val="000000" w:themeColor="text1"/>
          <w:sz w:val="16"/>
          <w:szCs w:val="16"/>
        </w:rPr>
      </w:pPr>
    </w:p>
    <w:p w14:paraId="0776E04A"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6871F31"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38C4905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сентября 1933г. германский военный атташе в Москве полковник Хартман в донесении в Берлин писал: «Учебные центры закрыты 15 сентября. Таким образом продолжительный период советско-германского военного сотрудничества в его нынешних формах (sic!) закончился» ADAP, Ser.C, Bd. 1,2. S. 861.) (11784). Весьма показательна употребленная Хартманом формулировка. Получается, что некоторые, вполне обычные и легальные формы военных связей не исключались. О желании обеих сторон продолжать эти отношения «в иных формах» речь шла в ходе бесед генерал-лейтенанта Лютца и Халепского 22 августа 1933 г., Хартмана со Смагиным 23 сентября 1933 г., Левичева с полковником генштаба райхсвера X. фон Штюльпнагелем, нового германского посла в СССР Р. Надольного с Ворошиловым 10 января 1934 г. (ADAP, Ser.C, Bd. 1,2. S. 861.). Примерно в это же время на процессе в Ляйпциге о поджоге райхстага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соч,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Германию для его Встречи с ведущими деятелями германского правительства. Но когда Гитлер 26 сентября 1933 г. согласился встретиться с Крестинским и об этом через Хинчука было сообщено в Москву, Крестинский, по инициативе Литвинова, вернулся в Москву через Вену (АВП РФ, ф. 082, оп. 16, п. 71, д. 1, л. 324; ADAP, Ser. С, Bd. 11,1. Ь. 75.) (11784).</w:t>
      </w:r>
    </w:p>
    <w:p w14:paraId="67E31979"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E55210F"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сентября 1933 г. германский военный атташе в Москве полковник Хартман в донесении в Берлин писал:</w:t>
      </w:r>
    </w:p>
    <w:p w14:paraId="72E1F7B7"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«Учебные центры закрыты 15 сентября. Таким образом продолжительный период советско-германского военного сотрудничества в его нынешних формах (sic!) закончился» (18265).</w:t>
      </w:r>
    </w:p>
    <w:p w14:paraId="61E91B51" w14:textId="77777777" w:rsidR="00ED1A5E" w:rsidRPr="0044524F" w:rsidRDefault="00ED1A5E" w:rsidP="009654CF">
      <w:pPr>
        <w:spacing w:after="0" w:line="240" w:lineRule="auto"/>
        <w:jc w:val="both"/>
        <w:rPr>
          <w:rFonts w:ascii="Times New Roman" w:hAnsi="Times New Roman"/>
          <w:color w:val="000000" w:themeColor="text1"/>
          <w:sz w:val="16"/>
          <w:szCs w:val="16"/>
        </w:rPr>
      </w:pPr>
    </w:p>
    <w:p w14:paraId="46C9EBBC" w14:textId="17D082D5" w:rsidR="00755821" w:rsidRPr="0044524F" w:rsidRDefault="00755821"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сентября 1933 японский посол в Маньчжоу-Го получил уведомление о принятом решении арестовать группу советских служащих железной дороги. Советское руководство узнало об этом благодаря расшифровке японских кодов. В НКИД был подготовлен проект заявления о том, что советское правительство располагает сведениями о предполагающихся акциях маньчжурских властей против советского персонала на КВЖД. Первоначально документ был составлен в достаточно мягких тонах. Каганович, видимо учитывавший осторожность Сталина по отношению к Японии в предыдущий период, специально подчеркивал это в своем письме. Однако на этот раз Сталин решил продемонстрировать твердость и потребовал внести в текст заявления резкий абзац об ответственности Японии за нарушения договоров и за готовившийся захват дороги. 20 сентября</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сталинский вариант был утвержден Политбюро. Сталинские поправки в сентябрьском заявлении отражали существенные перемены, происходившие в позиции советского руководства по отношению к Японии (17281).</w:t>
      </w:r>
    </w:p>
    <w:p w14:paraId="4B65680F" w14:textId="77777777" w:rsidR="00755821" w:rsidRPr="0044524F" w:rsidRDefault="00755821" w:rsidP="009654CF">
      <w:pPr>
        <w:autoSpaceDE w:val="0"/>
        <w:autoSpaceDN w:val="0"/>
        <w:adjustRightInd w:val="0"/>
        <w:spacing w:after="0" w:line="240" w:lineRule="auto"/>
        <w:jc w:val="both"/>
        <w:rPr>
          <w:rFonts w:ascii="Times New Roman" w:hAnsi="Times New Roman"/>
          <w:color w:val="000000" w:themeColor="text1"/>
          <w:sz w:val="16"/>
          <w:szCs w:val="16"/>
        </w:rPr>
      </w:pPr>
    </w:p>
    <w:p w14:paraId="0C55DC59"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4F2EE17"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06A4C53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сентября 1933 в Бремерхафен прибыли два разобранных Кертиса Хок-2 - прародителей специализированных пикировщиков. Считались собственностью Удета (4961, 30).</w:t>
      </w:r>
    </w:p>
    <w:p w14:paraId="7A2DC4A9"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48DE7BC2" w14:textId="77777777" w:rsidR="00DD6690" w:rsidRPr="0044524F" w:rsidRDefault="00DD66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 сентября 1933 г. министр обороны Германии Вернер фон Бломберг отдал приказ, который фактически </w:t>
      </w:r>
      <w:r w:rsidRPr="0044524F">
        <w:rPr>
          <w:rFonts w:ascii="Times New Roman" w:hAnsi="Times New Roman"/>
          <w:bCs/>
          <w:iCs/>
          <w:color w:val="000000" w:themeColor="text1"/>
          <w:sz w:val="16"/>
          <w:szCs w:val="16"/>
        </w:rPr>
        <w:t>нацифицировал вермахт</w:t>
      </w:r>
      <w:r w:rsidRPr="0044524F">
        <w:rPr>
          <w:rFonts w:ascii="Times New Roman" w:hAnsi="Times New Roman"/>
          <w:color w:val="000000" w:themeColor="text1"/>
          <w:sz w:val="16"/>
          <w:szCs w:val="16"/>
        </w:rPr>
        <w:t>. Этот приказ требовал от военнослужащих в военной форме отдавать честь членам НСДАП, одетым в нацистскую форму, а от военнослужащих в штатской форме приветствовать нацистов нацистским приветствием. Это было беспрецедентное для военной практики решение. Еще ранее 15 мая 1933 г. министр издал приказ об обязательной отдаче нацистского приветствия нацистскому флагу и шествиям национальных союзов – т.е. СА, СС, гитлерюгенту и «Стальному шлему». За неисполнение данных приказов полагались взыскания, вплоть до арестов (17325).</w:t>
      </w:r>
    </w:p>
    <w:p w14:paraId="1A3E9EC4" w14:textId="77777777" w:rsidR="00DD6690" w:rsidRPr="0044524F" w:rsidRDefault="00DD6690" w:rsidP="009654CF">
      <w:pPr>
        <w:spacing w:after="0" w:line="240" w:lineRule="auto"/>
        <w:jc w:val="both"/>
        <w:rPr>
          <w:rFonts w:ascii="Times New Roman" w:hAnsi="Times New Roman"/>
          <w:color w:val="000000" w:themeColor="text1"/>
          <w:sz w:val="16"/>
          <w:szCs w:val="16"/>
        </w:rPr>
      </w:pPr>
    </w:p>
    <w:p w14:paraId="6F5D7E25"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0BD5370"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2A36F59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сентября 1933 в ОЭЛИД ЦАГИ состоялось совещание о выборе винтов к серийным ТБ-3 (АНТ-6) М-34 (1077,129).</w:t>
      </w:r>
    </w:p>
    <w:p w14:paraId="197845C0"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6188A7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сентября 1933 г. директор авиазавода №39 Марголин направляет начальнику ГУАП и начальнику ВВС рапорт следующего содержания: "При проектировании самолета ЦКБ-12 (И-16) 2-й бригадой ЦКБ было проделано несколько вариантов расчетов под различные моторы. Из этих расчетов выяснилось, что если ставим РЦ Ф-5. получается великолепный истребитель. опережающий европейские и американские самолеты. Скорость максимальная на 5 км - 410 км/час, потолок - 9000 м. Прошу закупить один мотор не позднее декабря и поставить его на одни из строящихся ЦКБ-12". Марголин предлагал приобрести самый последний вариант "Райга", высотную модификацию F-5, однако на практике этого не произошло, а столкнуться с установкой таких двигателей пришлось гораздо позднее, в 1938 г. в Испании. В тот период в Москве и мелся всего один двигатель F-3, который проходил оценочные испытания в Центральном институте авиамоторостроения (ЦИАМ). Предлагалось завершить эти испытания пекле наработки 50-часового ресурса, далее F-3 не испытывать. а установить его на ЦКБ-12. Тем временем, конструктор самолета добивается получения одного двигателя "Райт-Циклон" F-2 (невысотный вариант) и принимает решение установить его на второй опытный экземпляр - ЦКБ-12бис (12015).</w:t>
      </w:r>
    </w:p>
    <w:p w14:paraId="6684445A"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2D4B80C"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сентября 1933 г. было письма директора завода №39 Марголина, направленного начальнику ВВС РККА Алкснису, а также начальнику ГУАП. В нем, в частности, говорилось: «При проектировании са</w:t>
      </w:r>
      <w:r w:rsidRPr="0044524F">
        <w:rPr>
          <w:rFonts w:ascii="Times New Roman" w:hAnsi="Times New Roman"/>
          <w:color w:val="000000" w:themeColor="text1"/>
          <w:sz w:val="16"/>
          <w:szCs w:val="16"/>
        </w:rPr>
        <w:softHyphen/>
        <w:t>молета ЦКБ-12 (И-16) 2-й бригадой ЦКБ было проделано несколько вариантов расчетов под различные моторы.</w:t>
      </w:r>
    </w:p>
    <w:p w14:paraId="35A55849"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этих расчетов выяснилось, что в случае установки на са</w:t>
      </w:r>
      <w:r w:rsidRPr="0044524F">
        <w:rPr>
          <w:rFonts w:ascii="Times New Roman" w:hAnsi="Times New Roman"/>
          <w:color w:val="000000" w:themeColor="text1"/>
          <w:sz w:val="16"/>
          <w:szCs w:val="16"/>
        </w:rPr>
        <w:softHyphen/>
        <w:t>молет мотора «РАЙТ-САЙКЛОН» F-5 (так в письме), мы получаем столь высокие летно-тактические данные этой ма</w:t>
      </w:r>
      <w:r w:rsidRPr="0044524F">
        <w:rPr>
          <w:rFonts w:ascii="Times New Roman" w:hAnsi="Times New Roman"/>
          <w:color w:val="000000" w:themeColor="text1"/>
          <w:sz w:val="16"/>
          <w:szCs w:val="16"/>
        </w:rPr>
        <w:softHyphen/>
        <w:t>шины, что она безусловно явится первоклассным истребителем, по своим данным намного опережающим все известные лучшие европейские и американские образцы.</w:t>
      </w:r>
    </w:p>
    <w:p w14:paraId="2338BDA4"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например, эта машина будет иметь:</w:t>
      </w:r>
    </w:p>
    <w:p w14:paraId="52D0143E"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5000 мт - 410 клм [в час],</w:t>
      </w:r>
    </w:p>
    <w:p w14:paraId="13A57C4C"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7000 мт - 400 клм [в час].</w:t>
      </w:r>
    </w:p>
    <w:p w14:paraId="4E9E270E"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3000 мт - 3,5-4,5 мин.</w:t>
      </w:r>
    </w:p>
    <w:p w14:paraId="244D2DD0"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на 5000 мт - 6,5-7 мин.</w:t>
      </w:r>
    </w:p>
    <w:p w14:paraId="3FE3435A"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на 7000 мт - 10-11 мин.</w:t>
      </w:r>
    </w:p>
    <w:p w14:paraId="0C9BB5C8"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- 9500 мт.</w:t>
      </w:r>
    </w:p>
    <w:p w14:paraId="4C996437"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- 100-105 клм [в час].</w:t>
      </w:r>
    </w:p>
    <w:p w14:paraId="33A6726A"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столь высокие расчетные данные, было бы крайне желательно уже теперь одну (из двух) строящихся ЦКБ-12 по</w:t>
      </w:r>
      <w:r w:rsidRPr="0044524F">
        <w:rPr>
          <w:rFonts w:ascii="Times New Roman" w:hAnsi="Times New Roman"/>
          <w:color w:val="000000" w:themeColor="text1"/>
          <w:sz w:val="16"/>
          <w:szCs w:val="16"/>
        </w:rPr>
        <w:softHyphen/>
        <w:t>строить под мотор «РАЙТ-САЙКЛОН» F-5.</w:t>
      </w:r>
    </w:p>
    <w:p w14:paraId="13801D95"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Докладывая о вышеизложенном, прошу Вашего распоряжения о закупке одного мотора F-5 (с запчастями с доставкой его в СССР не позднее декабря с/г)» (23455).</w:t>
      </w:r>
    </w:p>
    <w:p w14:paraId="34FBA523" w14:textId="77777777" w:rsidR="00901063" w:rsidRPr="0044524F" w:rsidRDefault="00901063" w:rsidP="009654CF">
      <w:pPr>
        <w:spacing w:after="0" w:line="240" w:lineRule="auto"/>
        <w:jc w:val="both"/>
        <w:rPr>
          <w:rFonts w:ascii="Times New Roman" w:hAnsi="Times New Roman"/>
          <w:color w:val="000000" w:themeColor="text1"/>
          <w:sz w:val="16"/>
          <w:szCs w:val="16"/>
        </w:rPr>
      </w:pPr>
    </w:p>
    <w:p w14:paraId="3D540992"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сентября 1933 г. директор завода № 39 Марголин направил начальнику ВВС РККА Алкснису, а также начальнику ГУАП письмо. В нем, в частности, говорилось:</w:t>
      </w:r>
    </w:p>
    <w:p w14:paraId="5BFFF131"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«При проектировании самолета ЦКБ-12 (И-16) 2-й бригадой ЦКБ было проделано несколько вариантов расчетов под различные моторы. </w:t>
      </w:r>
    </w:p>
    <w:p w14:paraId="04D4C5C3" w14:textId="397327A5"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 этих расчетов выяснилось, что в случае установки на самолет мотора «РАЙТ-САЙКЛОН» F-5</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 xml:space="preserve">[так в письме], мы получаем столь высокие летно-тактические данные этой машины, что она безусловно явится первоклассным истребителем, по своим данным намного опережающим все известные лучшие европейские и американские образцы. </w:t>
      </w:r>
    </w:p>
    <w:p w14:paraId="71B37EF6"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Так, например, эта машина будет иметь: </w:t>
      </w:r>
    </w:p>
    <w:p w14:paraId="0E1A9B41"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На высоте </w:t>
      </w:r>
    </w:p>
    <w:p w14:paraId="2DC2D811"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5000 мт 410 клм, </w:t>
      </w:r>
    </w:p>
    <w:p w14:paraId="26E7DAA5"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7000 мт 400 клм. </w:t>
      </w:r>
    </w:p>
    <w:p w14:paraId="27BBB6F2"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Скороподъемность…(25035).</w:t>
      </w:r>
    </w:p>
    <w:p w14:paraId="676634EF" w14:textId="77777777" w:rsidR="00E34525" w:rsidRPr="00142305" w:rsidRDefault="00E34525" w:rsidP="00E34525">
      <w:pPr>
        <w:spacing w:after="0" w:line="240" w:lineRule="auto"/>
        <w:jc w:val="both"/>
        <w:rPr>
          <w:rFonts w:ascii="Times New Roman" w:hAnsi="Times New Roman"/>
          <w:color w:val="0070C0"/>
          <w:sz w:val="16"/>
          <w:szCs w:val="16"/>
        </w:rPr>
      </w:pPr>
    </w:p>
    <w:p w14:paraId="5709988D" w14:textId="77777777" w:rsidR="00E34525" w:rsidRPr="00142305" w:rsidRDefault="00E34525" w:rsidP="00E3452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20 сентября 1933 г. директор авиазавода №39 С.Л. Марголин направляет начальнику ГУАП и начальнику ВВС рапорт следующего содержания:</w:t>
      </w:r>
    </w:p>
    <w:p w14:paraId="262E505C" w14:textId="77777777" w:rsidR="00E34525" w:rsidRPr="00142305" w:rsidRDefault="00E34525" w:rsidP="00E3452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«При проектировании самолета ЦКБ-12 (И-16) 2-й бригадой ЦКБ было проделано несколько вариантов расчетов под раз</w:t>
      </w:r>
      <w:r w:rsidRPr="00142305">
        <w:rPr>
          <w:rStyle w:val="aff"/>
          <w:rFonts w:ascii="Times New Roman" w:hAnsi="Times New Roman" w:cs="Times New Roman"/>
          <w:color w:val="0070C0"/>
          <w:spacing w:val="0"/>
          <w:sz w:val="16"/>
          <w:szCs w:val="16"/>
        </w:rPr>
        <w:softHyphen/>
        <w:t>личные моторы.</w:t>
      </w:r>
    </w:p>
    <w:p w14:paraId="59CDABEB" w14:textId="77777777" w:rsidR="00E34525" w:rsidRPr="00142305" w:rsidRDefault="00E34525" w:rsidP="00E3452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Из этих расчетов выясни</w:t>
      </w:r>
      <w:r w:rsidRPr="00142305">
        <w:rPr>
          <w:rStyle w:val="aff"/>
          <w:rFonts w:ascii="Times New Roman" w:hAnsi="Times New Roman" w:cs="Times New Roman"/>
          <w:color w:val="0070C0"/>
          <w:spacing w:val="0"/>
          <w:sz w:val="16"/>
          <w:szCs w:val="16"/>
        </w:rPr>
        <w:softHyphen/>
        <w:t>лось, что если ставим РЦ Ф-5, получается великолепный истребитель, опережающий европейские и американские самолеты. Скорость максимальная на 5 км - 410 км/ч, потолок - 9000 м. Прошу закупить один мотор не позднее декабря и поста</w:t>
      </w:r>
      <w:r w:rsidRPr="00142305">
        <w:rPr>
          <w:rStyle w:val="aff"/>
          <w:rFonts w:ascii="Times New Roman" w:hAnsi="Times New Roman" w:cs="Times New Roman"/>
          <w:color w:val="0070C0"/>
          <w:spacing w:val="0"/>
          <w:sz w:val="16"/>
          <w:szCs w:val="16"/>
        </w:rPr>
        <w:softHyphen/>
        <w:t>вить его на один из строящихся ЦКБ-12».</w:t>
      </w:r>
    </w:p>
    <w:p w14:paraId="42492FB0"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Марголин предлагал приобрести самый последний вариант «Райта», высотную мо</w:t>
      </w:r>
      <w:r w:rsidRPr="00142305">
        <w:rPr>
          <w:rStyle w:val="aff"/>
          <w:rFonts w:ascii="Times New Roman" w:hAnsi="Times New Roman" w:cs="Times New Roman"/>
          <w:color w:val="0070C0"/>
          <w:spacing w:val="0"/>
          <w:sz w:val="16"/>
          <w:szCs w:val="16"/>
        </w:rPr>
        <w:softHyphen/>
        <w:t xml:space="preserve">дификацию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-5, однако на практике этого не произошло, а столкнуться с установкой таких двигателей пришлось гораздо позд</w:t>
      </w:r>
      <w:r w:rsidRPr="00142305">
        <w:rPr>
          <w:rStyle w:val="aff"/>
          <w:rFonts w:ascii="Times New Roman" w:hAnsi="Times New Roman" w:cs="Times New Roman"/>
          <w:color w:val="0070C0"/>
          <w:spacing w:val="0"/>
          <w:sz w:val="16"/>
          <w:szCs w:val="16"/>
        </w:rPr>
        <w:softHyphen/>
        <w:t>нее, в 1938 г. в Испании.</w:t>
      </w:r>
    </w:p>
    <w:p w14:paraId="0CB73A33" w14:textId="77777777" w:rsidR="00E34525" w:rsidRPr="00142305" w:rsidRDefault="00E34525" w:rsidP="00E3452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тот период в Москве имелся всего один американский двигатель модифика</w:t>
      </w:r>
      <w:r w:rsidRPr="00142305">
        <w:rPr>
          <w:rStyle w:val="aff"/>
          <w:rFonts w:ascii="Times New Roman" w:hAnsi="Times New Roman" w:cs="Times New Roman"/>
          <w:color w:val="0070C0"/>
          <w:spacing w:val="0"/>
          <w:sz w:val="16"/>
          <w:szCs w:val="16"/>
        </w:rPr>
        <w:softHyphen/>
        <w:t xml:space="preserve">ции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который проходил оценочные ис</w:t>
      </w:r>
      <w:r w:rsidRPr="00142305">
        <w:rPr>
          <w:rStyle w:val="aff"/>
          <w:rFonts w:ascii="Times New Roman" w:hAnsi="Times New Roman" w:cs="Times New Roman"/>
          <w:color w:val="0070C0"/>
          <w:spacing w:val="0"/>
          <w:sz w:val="16"/>
          <w:szCs w:val="16"/>
        </w:rPr>
        <w:softHyphen/>
        <w:t>пытания в Центральном институте авиамо</w:t>
      </w:r>
      <w:r w:rsidRPr="00142305">
        <w:rPr>
          <w:rStyle w:val="aff"/>
          <w:rFonts w:ascii="Times New Roman" w:hAnsi="Times New Roman" w:cs="Times New Roman"/>
          <w:color w:val="0070C0"/>
          <w:spacing w:val="0"/>
          <w:sz w:val="16"/>
          <w:szCs w:val="16"/>
        </w:rPr>
        <w:softHyphen/>
        <w:t>торостроения (ЦИАМ). Предлагалось за</w:t>
      </w:r>
      <w:r w:rsidRPr="00142305">
        <w:rPr>
          <w:rStyle w:val="aff"/>
          <w:rFonts w:ascii="Times New Roman" w:hAnsi="Times New Roman" w:cs="Times New Roman"/>
          <w:color w:val="0070C0"/>
          <w:spacing w:val="0"/>
          <w:sz w:val="16"/>
          <w:szCs w:val="16"/>
        </w:rPr>
        <w:softHyphen/>
        <w:t xml:space="preserve">вершить эти испытания после наработки 50-часового ресурса, далее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-3 не испыты</w:t>
      </w:r>
      <w:r w:rsidRPr="00142305">
        <w:rPr>
          <w:rStyle w:val="aff"/>
          <w:rFonts w:ascii="Times New Roman" w:hAnsi="Times New Roman" w:cs="Times New Roman"/>
          <w:color w:val="0070C0"/>
          <w:spacing w:val="0"/>
          <w:sz w:val="16"/>
          <w:szCs w:val="16"/>
        </w:rPr>
        <w:softHyphen/>
        <w:t>вать, а установить его на ЦКБ-12. Тем вре</w:t>
      </w:r>
      <w:r w:rsidRPr="00142305">
        <w:rPr>
          <w:rStyle w:val="aff"/>
          <w:rFonts w:ascii="Times New Roman" w:hAnsi="Times New Roman" w:cs="Times New Roman"/>
          <w:color w:val="0070C0"/>
          <w:spacing w:val="0"/>
          <w:sz w:val="16"/>
          <w:szCs w:val="16"/>
        </w:rPr>
        <w:softHyphen/>
        <w:t xml:space="preserve">менем конструктор самолета добивается получения одного двигателя «Райт-Циклон»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-2 (невысотный вариант) и принимает ре</w:t>
      </w:r>
      <w:r w:rsidRPr="00142305">
        <w:rPr>
          <w:rStyle w:val="aff"/>
          <w:rFonts w:ascii="Times New Roman" w:hAnsi="Times New Roman" w:cs="Times New Roman"/>
          <w:color w:val="0070C0"/>
          <w:spacing w:val="0"/>
          <w:sz w:val="16"/>
          <w:szCs w:val="16"/>
        </w:rPr>
        <w:softHyphen/>
        <w:t>шение установить его на второй опытный экземпляр — ЦКБ-12 бис (25415).</w:t>
      </w:r>
    </w:p>
    <w:p w14:paraId="6C406009" w14:textId="77777777" w:rsidR="00E34525" w:rsidRPr="00142305" w:rsidRDefault="00E34525" w:rsidP="00E34525">
      <w:pPr>
        <w:spacing w:after="0" w:line="240" w:lineRule="auto"/>
        <w:jc w:val="both"/>
        <w:rPr>
          <w:rFonts w:ascii="Times New Roman" w:hAnsi="Times New Roman"/>
          <w:color w:val="0070C0"/>
          <w:sz w:val="16"/>
          <w:szCs w:val="16"/>
        </w:rPr>
      </w:pPr>
    </w:p>
    <w:p w14:paraId="7B3F2415"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20 сентября 1933 Тухачевский направил Кагановичу следующее сообщение: «Вчера на обеде, устроенном в честь французских гостей, пришлось иметь разговоры с Пьером Кот, ген[ералом] Барес и инженером Како по различным вопросам авиационной техники. Были затронуты вопросы полетов в условиях плохой видимости, охлаждения моторов на больших высотах, вооружения авиации, методов подготовки бомбардировщиков, организации ночных полетов и пр. по всем этим вопросам французы очень охотно дают ответы и открыто рассказывают о новых самолетных пушках и пулеметах (1.200 выстрелов в минуту). Истребитель, вооруженный автоматической пушкой, обещают показать через несколько месяцев (сейчас он строится). Приемом французы очень довольны, в частности, ген[ерал] Баррес говорит, что он совершенно очарован приемом, что он является старым другом СССР и что еще в 1927-ом году сговаривался с Эррио о совместной поездке в СССР, но что тогда это не удалось. До сих пор Баррес был очень сдержан. Очень приглашают меня и тов. Алксниса с группой командиров приехать во Францию для изучения авиации и обещают показать всю технику и методику подготовки» (РГАСПИ. Ф. 81. Оп. 3. Д. 101. Л. 27).</w:t>
      </w:r>
    </w:p>
    <w:p w14:paraId="40582F57" w14:textId="77777777" w:rsidR="003F2394" w:rsidRPr="0044524F" w:rsidRDefault="003F2394" w:rsidP="009654CF">
      <w:pPr>
        <w:spacing w:after="0" w:line="240" w:lineRule="auto"/>
        <w:jc w:val="both"/>
        <w:rPr>
          <w:rFonts w:ascii="Times New Roman" w:hAnsi="Times New Roman"/>
          <w:color w:val="000000" w:themeColor="text1"/>
          <w:sz w:val="16"/>
          <w:szCs w:val="16"/>
          <w:u w:color="002060"/>
        </w:rPr>
      </w:pPr>
    </w:p>
    <w:p w14:paraId="121D043C" w14:textId="77777777" w:rsidR="00BF574B" w:rsidRPr="0044524F" w:rsidRDefault="00BF574B" w:rsidP="009654CF">
      <w:pPr>
        <w:pStyle w:val="rtecenter"/>
        <w:spacing w:before="0" w:after="0"/>
        <w:jc w:val="both"/>
        <w:rPr>
          <w:color w:val="000000" w:themeColor="text1"/>
          <w:sz w:val="16"/>
          <w:szCs w:val="16"/>
        </w:rPr>
      </w:pPr>
      <w:r w:rsidRPr="0044524F">
        <w:rPr>
          <w:bCs/>
          <w:color w:val="000000" w:themeColor="text1"/>
          <w:sz w:val="16"/>
          <w:szCs w:val="16"/>
        </w:rPr>
        <w:t>20 сентября 1933 г. Сталин — Кагановичу</w:t>
      </w:r>
    </w:p>
    <w:p w14:paraId="7E382D49" w14:textId="77777777" w:rsidR="003F2394" w:rsidRPr="0044524F" w:rsidRDefault="003F2394" w:rsidP="009654CF">
      <w:pPr>
        <w:pStyle w:val="rtecenter"/>
        <w:spacing w:before="0" w:after="0"/>
        <w:jc w:val="both"/>
        <w:rPr>
          <w:color w:val="000000" w:themeColor="text1"/>
          <w:sz w:val="16"/>
          <w:szCs w:val="16"/>
        </w:rPr>
      </w:pPr>
      <w:r w:rsidRPr="0044524F">
        <w:rPr>
          <w:color w:val="000000" w:themeColor="text1"/>
          <w:sz w:val="16"/>
          <w:szCs w:val="16"/>
        </w:rPr>
        <w:t>Москва. ЦК ВКЛ. Кагановичу.</w:t>
      </w:r>
    </w:p>
    <w:p w14:paraId="4C2E5243"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Французы лезут к нам для разведки. Наша авиация интересует их потому, что она у нас хорошо поставлена, и мы сильны в этой области. Авиационное сотрудничество приемлемо, но его надо обусловить сотрудничеством по строительству военно-морских кораблей, особенно по подлодкам, миноносцам, где мы несколько слабы. Французам надо ответить так: первое, так как они уже посетили некоторые наши авиапредприятия, разрешить нашим инженерам и командирам ознакомиться на месте с французскими авиапредприятиями, а потом можно будет допустить к нам французских инженеров; второе, разрешить теперь же нашим инженерам и морским командирам ознакомиться на месте с французскими предприятиями по строительству морских кораблей и оборудования к ним. Если французы не согласятся, дать им вежливый, но прозрачный намек, что без последнего условия сотрудничество с ними считаем невозможным.</w:t>
      </w:r>
    </w:p>
    <w:p w14:paraId="2816C136"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Сталин.</w:t>
      </w:r>
    </w:p>
    <w:p w14:paraId="0BFF0B8A"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№45</w:t>
      </w:r>
    </w:p>
    <w:p w14:paraId="526A5538"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20ДХ.33</w:t>
      </w:r>
      <w:r w:rsidRPr="0044524F">
        <w:rPr>
          <w:color w:val="000000" w:themeColor="text1"/>
          <w:sz w:val="16"/>
          <w:szCs w:val="16"/>
          <w:vertAlign w:val="superscript"/>
        </w:rPr>
        <w:t>1</w:t>
      </w:r>
      <w:r w:rsidRPr="0044524F">
        <w:rPr>
          <w:color w:val="000000" w:themeColor="text1"/>
          <w:sz w:val="16"/>
          <w:szCs w:val="16"/>
        </w:rPr>
        <w:t>.</w:t>
      </w:r>
    </w:p>
    <w:p w14:paraId="54542600"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РГАСПИ Ф. 558. Оп. 11. Д. 81. Л. 22–23. Автограф. </w:t>
      </w:r>
    </w:p>
    <w:p w14:paraId="3B42B3FA"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Сталин и Каганович. Переписка. 1931–1936 гг. Москва: (РОССПЭН), 2001 Стр. 352 (12359).</w:t>
      </w:r>
    </w:p>
    <w:p w14:paraId="08FF5FD5" w14:textId="77777777" w:rsidR="003F2394" w:rsidRPr="0044524F" w:rsidRDefault="003F2394" w:rsidP="009654CF">
      <w:pPr>
        <w:spacing w:after="0" w:line="240" w:lineRule="auto"/>
        <w:jc w:val="both"/>
        <w:rPr>
          <w:rFonts w:ascii="Times New Roman" w:hAnsi="Times New Roman"/>
          <w:color w:val="000000" w:themeColor="text1"/>
          <w:sz w:val="16"/>
          <w:szCs w:val="16"/>
          <w:u w:color="002060"/>
        </w:rPr>
      </w:pPr>
    </w:p>
    <w:p w14:paraId="1470580A" w14:textId="77777777" w:rsidR="00F65AD9" w:rsidRPr="0044524F" w:rsidRDefault="00F65AD9"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4EE2CE8" w14:textId="77777777" w:rsidR="00F65AD9" w:rsidRPr="0044524F" w:rsidRDefault="00F65AD9" w:rsidP="009654CF">
      <w:pPr>
        <w:spacing w:after="0" w:line="240" w:lineRule="auto"/>
        <w:jc w:val="both"/>
        <w:rPr>
          <w:rFonts w:ascii="Times New Roman" w:hAnsi="Times New Roman"/>
          <w:iCs/>
          <w:color w:val="000000" w:themeColor="text1"/>
          <w:sz w:val="16"/>
          <w:szCs w:val="16"/>
        </w:rPr>
      </w:pPr>
    </w:p>
    <w:p w14:paraId="1F3DDA1B" w14:textId="77777777" w:rsidR="00F65AD9" w:rsidRPr="0044524F" w:rsidRDefault="00F65A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сентября 1933 – Первый полет Boeing P-29 (Boeing Model 264). Boeing P-29 был попыткой создать более продвинутую версию успешного P-26. Хотя в ходе работ были достигнуты некоторые успехи Авиационный корпус Армии США не стал заказывать самолет. От Р-26 новый самолет отличался наличием полностью свободнонесущего крыла эллиптической формы, закрылками, закрытым фонарем и убирающимся назад в крыло шасси (нижняя часть которого торчала наружу) (22359).</w:t>
      </w:r>
    </w:p>
    <w:p w14:paraId="22E4FC60" w14:textId="77777777" w:rsidR="00F65AD9" w:rsidRPr="0044524F" w:rsidRDefault="00F65AD9" w:rsidP="009654CF">
      <w:pPr>
        <w:spacing w:after="0" w:line="240" w:lineRule="auto"/>
        <w:jc w:val="both"/>
        <w:rPr>
          <w:rFonts w:ascii="Times New Roman" w:hAnsi="Times New Roman"/>
          <w:color w:val="000000" w:themeColor="text1"/>
          <w:sz w:val="16"/>
          <w:szCs w:val="16"/>
        </w:rPr>
      </w:pPr>
    </w:p>
    <w:p w14:paraId="32E79FEC" w14:textId="45927C69" w:rsidR="007A2A20" w:rsidRPr="0044524F" w:rsidRDefault="007A2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сентября 1933 г в Крыму закончились IX всесоюзные планерные соревнования, начатые 18 —го августа. Было представлено 65 различных типов, созданных 19 конструкторами. Из них 20 планеров - экспериментальные. Это - "бесхвостки”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Черановского, планер с поворачивающимися в полете крыльями Эммера, ланеры с "разрезными" крыльями, гидропланеры и пр. Выделялся по своим летным качествам первый рекордный планер молодого конструктора Гурия Федоровича Грошева ГН-7. В соревнованиях участвовало 137 пилотов, из коих большинство - молодежь. Было совершено 1720 полетов общей продолжительностью 915 часов. Впервые были организованы радиосвязь планера со стартом и опытная перевозка почты в пределах Крыма. Было установлено шесть всесоюзных рекордов, превышающих международные или установлеиних впервые.</w:t>
      </w:r>
    </w:p>
    <w:p w14:paraId="7AEEDD33" w14:textId="77777777" w:rsidR="007A2A20" w:rsidRPr="0044524F" w:rsidRDefault="007A2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Высота полета на двухместном планере -2530 м /С.Гавриш,15.9./</w:t>
      </w:r>
    </w:p>
    <w:p w14:paraId="38A8DDC5" w14:textId="77777777" w:rsidR="007A2A20" w:rsidRPr="0044524F" w:rsidRDefault="007A2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Высота полета на трехместном планере - 455 м /А.Плесков на Ш-3 15 сент./</w:t>
      </w:r>
    </w:p>
    <w:p w14:paraId="4150AC4D" w14:textId="7ED174BB" w:rsidR="007A2A20" w:rsidRPr="0044524F" w:rsidRDefault="007A2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Продолжительность полета на двухместном планере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- 13 ч. 17 мин. /С. Гавришев на планере 3-4 сент.</w:t>
      </w:r>
    </w:p>
    <w:p w14:paraId="4EEEE8BA" w14:textId="77777777" w:rsidR="007A2A20" w:rsidRPr="0044524F" w:rsidRDefault="007A2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Продолжительность полета на трехместном планере – 10 ч. 29 мин. /А.Плесков на Ш-3 15 сент./</w:t>
      </w:r>
    </w:p>
    <w:p w14:paraId="3E6310D8" w14:textId="77777777" w:rsidR="007A2A20" w:rsidRPr="0044524F" w:rsidRDefault="007A2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Рекорды высшего пилотажа на планере /В.Степанов 5 сент.; И.В.Бородин.ым 19 сент./</w:t>
      </w:r>
    </w:p>
    <w:p w14:paraId="798A102C" w14:textId="77777777" w:rsidR="007A2A20" w:rsidRPr="0044524F" w:rsidRDefault="007A2A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27 октября 1933; "Самолет”, 1933 № 12/ (23370).</w:t>
      </w:r>
    </w:p>
    <w:p w14:paraId="409B62CB" w14:textId="77777777" w:rsidR="007A2A20" w:rsidRPr="0044524F" w:rsidRDefault="007A2A20" w:rsidP="009654CF">
      <w:pPr>
        <w:spacing w:after="0" w:line="240" w:lineRule="auto"/>
        <w:jc w:val="both"/>
        <w:rPr>
          <w:rFonts w:ascii="Times New Roman" w:hAnsi="Times New Roman"/>
          <w:color w:val="000000" w:themeColor="text1"/>
          <w:sz w:val="16"/>
          <w:szCs w:val="16"/>
        </w:rPr>
      </w:pPr>
    </w:p>
    <w:p w14:paraId="480C11F8"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21A3BA7"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136F2001"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21 сентября 1933 г. начались испытания ТБ-3 с двумя И-5 на крыле. На следующий день состоялся взлёт с одним истребителем на фюзеляже, а 23 сентября «Звено-2» поднялось в небо в полной комплектации — с тремя И-5. «Звено-2» — ТБ-3 с установкой двух И-5 на крыльях и третьего — на фюзеляже. Узлы крепления истребителей и техника отрыва остались те же В истребителях, расположенных на плоскостях, находились В.К. Коккинаки и И.Ф. Гроздь, а самолётом, закреплённым на фюзеляже, управлял Т.П. Сузи.</w:t>
      </w:r>
    </w:p>
    <w:p w14:paraId="292B91E5"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Испытания завершились 5 октября. За это время было сделано 11 полётов — два с одним И-5, шесть с двумя И-5 и три с тремя И-5.</w:t>
      </w:r>
    </w:p>
    <w:p w14:paraId="0788B544"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шести случаях истребители взлетали с бомбардировщика. «Испытания показали полное решение проблемы перевозки на крыльях ТБЗ-4М17 одного, двух и трёх истребителей с отрывом их от бомбардировщика в любое время и в любой последовательности», — таков был основной вывод </w:t>
      </w:r>
      <w:hyperlink r:id="rId335" w:history="1">
        <w:r w:rsidRPr="0044524F">
          <w:rPr>
            <w:rFonts w:ascii="Times New Roman" w:eastAsia="Times New Roman" w:hAnsi="Times New Roman"/>
            <w:color w:val="000000" w:themeColor="text1"/>
            <w:sz w:val="16"/>
            <w:szCs w:val="16"/>
            <w:lang w:eastAsia="ru-RU"/>
          </w:rPr>
          <w:t>[83]</w:t>
        </w:r>
      </w:hyperlink>
      <w:r w:rsidRPr="0044524F">
        <w:rPr>
          <w:rFonts w:ascii="Times New Roman" w:eastAsia="Times New Roman" w:hAnsi="Times New Roman"/>
          <w:color w:val="000000" w:themeColor="text1"/>
          <w:sz w:val="16"/>
          <w:szCs w:val="16"/>
          <w:lang w:eastAsia="ru-RU"/>
        </w:rPr>
        <w:t xml:space="preserve"> .</w:t>
      </w:r>
    </w:p>
    <w:p w14:paraId="229EB896"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При запуске двигателей всех трёх истребителей «Звено-2» превращалось в семимоторный самолёт. При этом все лётные характеристики по сравнению с обычным ТБ-3 улучшались.</w:t>
      </w:r>
    </w:p>
    <w:p w14:paraId="3E1C25E3"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Но если в воздухе всё шло хорошо, то на земле подготовка «Звена-2» к полёту требовала массу времени и усилий. Особенно трудно было вручную взгромоздить И-5 на фюзеляж ТБ-3. Да и чтобы забраться потом в кабину этого самолёта, требовалась немалая сноровка. Поэтому при дальнейших испытаниях Сузи в полёте не стартовал и, по выражению П.М. Стефановского, «сидел как цыплёнок на клушке» </w:t>
      </w:r>
      <w:hyperlink r:id="rId336" w:history="1">
        <w:r w:rsidRPr="0044524F">
          <w:rPr>
            <w:rFonts w:ascii="Times New Roman" w:eastAsia="Times New Roman" w:hAnsi="Times New Roman"/>
            <w:color w:val="000000" w:themeColor="text1"/>
            <w:sz w:val="16"/>
            <w:szCs w:val="16"/>
            <w:lang w:eastAsia="ru-RU"/>
          </w:rPr>
          <w:t>[84]</w:t>
        </w:r>
      </w:hyperlink>
      <w:r w:rsidRPr="0044524F">
        <w:rPr>
          <w:rFonts w:ascii="Times New Roman" w:eastAsia="Times New Roman" w:hAnsi="Times New Roman"/>
          <w:color w:val="000000" w:themeColor="text1"/>
          <w:sz w:val="16"/>
          <w:szCs w:val="16"/>
          <w:lang w:eastAsia="ru-RU"/>
        </w:rPr>
        <w:t xml:space="preserve"> . Его самолёт использовали как дополнительный мотор.</w:t>
      </w:r>
    </w:p>
    <w:p w14:paraId="58E655AC"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связи этим у Вахмистрова утвердилась идея заменить третий истребитель на специальный самолёт-тягач «Т-3» с мощным мотором и соответственно подобранным винтом. Он должен был помогать взлёту тяжело нагруженного бомбардировщика. После набора высоты тягач можно было отделить и лётчик сажал его на аэродром (17489).</w:t>
      </w:r>
    </w:p>
    <w:p w14:paraId="17718A05"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p>
    <w:p w14:paraId="79C88FD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приказом ЦС Осоавиахим руководство организацией полета стратостата Осоавиахим-1 возложил на т. Ильина. С момента переброски стратостата в Москву организация полета целиком ложится на Ц. С. Осоавиахима, и Лен. обл. совет от всей последующей организации отходит.</w:t>
      </w:r>
    </w:p>
    <w:p w14:paraId="1E42595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Подготовительная работа к полету в последние дни проведена в большой спешке, сроки для проверки материальной части и приборов давались короткие. Подготовка к полету для экипажа прошла в огромном напряжении (11611).</w:t>
      </w:r>
    </w:p>
    <w:p w14:paraId="726AF1D0"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BCBBF2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вышли приказ РВС и постановление СТО об организации РНИИ (1136,265) на базе ГДЛ и ГИРД (2528). Нач. назначили И.Т.Клейменова, зам. Нач. и ГИ - С.П.К., а нач. Ленинградского отделения РНИИ стал Г.Э.Лангемак и ГО - Б.С.Петропавловский (2990).</w:t>
      </w:r>
    </w:p>
    <w:p w14:paraId="22705DE2"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03FA25D"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w:t>
      </w:r>
      <w:r w:rsidRPr="0044524F">
        <w:rPr>
          <w:rFonts w:ascii="Times New Roman" w:hAnsi="Times New Roman"/>
          <w:color w:val="000000" w:themeColor="text1"/>
          <w:sz w:val="16"/>
          <w:szCs w:val="16"/>
        </w:rPr>
        <w:softHyphen/>
        <w:t>тября 1933 года, дождавшись отъезда Во</w:t>
      </w:r>
      <w:r w:rsidRPr="0044524F">
        <w:rPr>
          <w:rFonts w:ascii="Times New Roman" w:hAnsi="Times New Roman"/>
          <w:color w:val="000000" w:themeColor="text1"/>
          <w:sz w:val="16"/>
          <w:szCs w:val="16"/>
        </w:rPr>
        <w:softHyphen/>
        <w:t>рошилова в командировку в Турцию, Тухачевский издал соб</w:t>
      </w:r>
      <w:r w:rsidRPr="0044524F">
        <w:rPr>
          <w:rFonts w:ascii="Times New Roman" w:hAnsi="Times New Roman"/>
          <w:color w:val="000000" w:themeColor="text1"/>
          <w:sz w:val="16"/>
          <w:szCs w:val="16"/>
        </w:rPr>
        <w:softHyphen/>
        <w:t>ственный приказ № 0113 об образовании РНИИ в системе РККА, предписав немедленно приступить к формированию в системе Наркомвоенмора Реактивного НИИ на базе ГИРД и ГДЛ со сроком завер</w:t>
      </w:r>
      <w:r w:rsidRPr="0044524F">
        <w:rPr>
          <w:rFonts w:ascii="Times New Roman" w:hAnsi="Times New Roman"/>
          <w:color w:val="000000" w:themeColor="text1"/>
          <w:sz w:val="16"/>
          <w:szCs w:val="16"/>
        </w:rPr>
        <w:softHyphen/>
        <w:t>шения формирования к 1 ноября 1933 года. Другим своим приказом исполняющим обязанности начальника РНИИ Тухачевский назначил Клейменова, исполняющим обязанности заместителя начальника по научной части - Короле</w:t>
      </w:r>
      <w:r w:rsidRPr="0044524F">
        <w:rPr>
          <w:rFonts w:ascii="Times New Roman" w:hAnsi="Times New Roman"/>
          <w:color w:val="000000" w:themeColor="text1"/>
          <w:sz w:val="16"/>
          <w:szCs w:val="16"/>
        </w:rPr>
        <w:softHyphen/>
        <w:t>ва. Начальника института он подчинил Терентьеву.</w:t>
      </w:r>
    </w:p>
    <w:p w14:paraId="2444885A"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Вернувшись из Турции, Ворошилов был взбешен и приказал ликвидировать институт, невзирая на возможную отрицательную реакцию со стороны ЦК (23510).</w:t>
      </w:r>
    </w:p>
    <w:p w14:paraId="742FB1DF" w14:textId="77777777" w:rsidR="00901063" w:rsidRPr="0044524F" w:rsidRDefault="00901063" w:rsidP="009654CF">
      <w:pPr>
        <w:spacing w:after="0" w:line="240" w:lineRule="auto"/>
        <w:jc w:val="both"/>
        <w:rPr>
          <w:rFonts w:ascii="Times New Roman" w:hAnsi="Times New Roman"/>
          <w:color w:val="000000" w:themeColor="text1"/>
          <w:sz w:val="16"/>
          <w:szCs w:val="16"/>
        </w:rPr>
      </w:pPr>
    </w:p>
    <w:p w14:paraId="64C7A3AF"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г. Тухачевский подписал приказ Реввоенсовета СССР № 0113 об организации в Москве на базе МосГИРД Реактивного научно</w:t>
      </w:r>
      <w:r w:rsidRPr="0044524F">
        <w:rPr>
          <w:rFonts w:ascii="Times New Roman" w:hAnsi="Times New Roman"/>
          <w:color w:val="000000" w:themeColor="text1"/>
          <w:sz w:val="16"/>
          <w:szCs w:val="16"/>
        </w:rPr>
        <w:softHyphen/>
        <w:t>исследовательского института (РНИИ), в системе Наркомата по военным и морским делам.</w:t>
      </w:r>
    </w:p>
    <w:p w14:paraId="59DF4B29"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уже через 6 недель после этого приказа постановлением Совета Тру</w:t>
      </w:r>
      <w:r w:rsidRPr="0044524F">
        <w:rPr>
          <w:rFonts w:ascii="Times New Roman" w:hAnsi="Times New Roman"/>
          <w:color w:val="000000" w:themeColor="text1"/>
          <w:sz w:val="16"/>
          <w:szCs w:val="16"/>
        </w:rPr>
        <w:softHyphen/>
        <w:t>да и Обороны № 104сс (совершенно секретным) от 31 октября 1933 г., за подписью Председателя Совнаркома СССР В. М. Молотова, организацию РНИИ поручили Наркомату тяжелой промышленности (НКТП). Новое на</w:t>
      </w:r>
      <w:r w:rsidRPr="0044524F">
        <w:rPr>
          <w:rFonts w:ascii="Times New Roman" w:hAnsi="Times New Roman"/>
          <w:color w:val="000000" w:themeColor="text1"/>
          <w:sz w:val="16"/>
          <w:szCs w:val="16"/>
        </w:rPr>
        <w:softHyphen/>
        <w:t>чальство предоставило институту дом № 6 по Михайловскому шоссе (позже его переименовали в Лихачев</w:t>
      </w:r>
      <w:r w:rsidRPr="0044524F">
        <w:rPr>
          <w:rFonts w:ascii="Times New Roman" w:hAnsi="Times New Roman"/>
          <w:color w:val="000000" w:themeColor="text1"/>
          <w:sz w:val="16"/>
          <w:szCs w:val="16"/>
        </w:rPr>
        <w:softHyphen/>
        <w:t>ское). Тем не менее «становиться на ноги» РНИИ начал только в 1935 г.</w:t>
      </w:r>
    </w:p>
    <w:p w14:paraId="665354E2"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Ту</w:t>
      </w:r>
      <w:r w:rsidRPr="0044524F">
        <w:rPr>
          <w:rFonts w:ascii="Times New Roman" w:hAnsi="Times New Roman"/>
          <w:color w:val="000000" w:themeColor="text1"/>
          <w:sz w:val="16"/>
          <w:szCs w:val="16"/>
        </w:rPr>
        <w:softHyphen/>
        <w:t>хачевского от 21 сентября 1933 г. директором РНИИ был назначен военинженер 1-го ранга Иван Клеймёнов (бывший начальник ГДЛ), его заместите</w:t>
      </w:r>
      <w:r w:rsidRPr="0044524F">
        <w:rPr>
          <w:rFonts w:ascii="Times New Roman" w:hAnsi="Times New Roman"/>
          <w:color w:val="000000" w:themeColor="text1"/>
          <w:sz w:val="16"/>
          <w:szCs w:val="16"/>
        </w:rPr>
        <w:softHyphen/>
        <w:t>лем — дивизионный инженер Сергей Королёв (бывший началь</w:t>
      </w:r>
      <w:r w:rsidRPr="0044524F">
        <w:rPr>
          <w:rFonts w:ascii="Times New Roman" w:hAnsi="Times New Roman"/>
          <w:color w:val="000000" w:themeColor="text1"/>
          <w:sz w:val="16"/>
          <w:szCs w:val="16"/>
        </w:rPr>
        <w:softHyphen/>
        <w:t>ник МосГИРД).</w:t>
      </w:r>
    </w:p>
    <w:p w14:paraId="25EC5F02"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Через три месяца, с 11 января 1934 г., Королёва на должности заместителя сменил Лангемак. Королев возглавил отдел ракетопланов.</w:t>
      </w:r>
    </w:p>
    <w:p w14:paraId="7805A1B2"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Тухачевский ни разу не посетил уч</w:t>
      </w:r>
      <w:r w:rsidRPr="0044524F">
        <w:rPr>
          <w:rFonts w:ascii="Times New Roman" w:hAnsi="Times New Roman"/>
          <w:color w:val="000000" w:themeColor="text1"/>
          <w:sz w:val="16"/>
          <w:szCs w:val="16"/>
        </w:rPr>
        <w:softHyphen/>
        <w:t>режденный его приказом РНИИ, работой конструкторов не инте</w:t>
      </w:r>
      <w:r w:rsidRPr="0044524F">
        <w:rPr>
          <w:rFonts w:ascii="Times New Roman" w:hAnsi="Times New Roman"/>
          <w:color w:val="000000" w:themeColor="text1"/>
          <w:sz w:val="16"/>
          <w:szCs w:val="16"/>
        </w:rPr>
        <w:softHyphen/>
        <w:t>ресовался. Называть его «крестным отцом» советской реактивной артиллерии, как это делают многие авторы, нет оснований.</w:t>
      </w:r>
    </w:p>
    <w:p w14:paraId="0B191EEE"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1933-36 гг. в РНИИ были 4 отдела:</w:t>
      </w:r>
    </w:p>
    <w:p w14:paraId="5DC44E46"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двигатели и ракеты на твёрдом топливе (Ю. А. Победонос</w:t>
      </w:r>
      <w:r w:rsidRPr="0044524F">
        <w:rPr>
          <w:rFonts w:ascii="Times New Roman" w:hAnsi="Times New Roman"/>
          <w:color w:val="000000" w:themeColor="text1"/>
          <w:sz w:val="16"/>
          <w:szCs w:val="16"/>
        </w:rPr>
        <w:softHyphen/>
        <w:t>цев, К. К. Глухарёв, Л. Э. Шварц).</w:t>
      </w:r>
    </w:p>
    <w:p w14:paraId="4EFBCE03"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2-й: двигатели и ракеты на жидком топливе (М. К. Тихонра</w:t>
      </w:r>
      <w:r w:rsidRPr="0044524F">
        <w:rPr>
          <w:rFonts w:ascii="Times New Roman" w:hAnsi="Times New Roman"/>
          <w:color w:val="000000" w:themeColor="text1"/>
          <w:sz w:val="16"/>
          <w:szCs w:val="16"/>
        </w:rPr>
        <w:softHyphen/>
        <w:t>вов, А. И. Стеняев, А. Г. Костиков); две бригады ЖРД (В. П. Глуш</w:t>
      </w:r>
      <w:r w:rsidRPr="0044524F">
        <w:rPr>
          <w:rFonts w:ascii="Times New Roman" w:hAnsi="Times New Roman"/>
          <w:color w:val="000000" w:themeColor="text1"/>
          <w:sz w:val="16"/>
          <w:szCs w:val="16"/>
        </w:rPr>
        <w:softHyphen/>
        <w:t>ко, Л. С. Душкин, В. А. Штоколов, А. В. Палло).</w:t>
      </w:r>
    </w:p>
    <w:p w14:paraId="2D1B2939"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3-й: ракетопланы (П. П. Зуйков, Е. С. Щетинков); реактивный старт самолетов и реактивные авиабомбы (В. И. Дудаков).</w:t>
      </w:r>
    </w:p>
    <w:p w14:paraId="06094B46"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4-й — исследование и опытное производство твёрдых топ</w:t>
      </w:r>
      <w:r w:rsidRPr="0044524F">
        <w:rPr>
          <w:rFonts w:ascii="Times New Roman" w:hAnsi="Times New Roman"/>
          <w:color w:val="000000" w:themeColor="text1"/>
          <w:sz w:val="16"/>
          <w:szCs w:val="16"/>
        </w:rPr>
        <w:softHyphen/>
        <w:t>лив — порохов (И. С. Александров).</w:t>
      </w:r>
    </w:p>
    <w:p w14:paraId="2D996E8F" w14:textId="77777777" w:rsidR="00901063" w:rsidRPr="0044524F" w:rsidRDefault="009010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Минометную группу Доровлева перевели в состав Артилле</w:t>
      </w:r>
      <w:r w:rsidRPr="0044524F">
        <w:rPr>
          <w:rFonts w:ascii="Times New Roman" w:hAnsi="Times New Roman"/>
          <w:color w:val="000000" w:themeColor="text1"/>
          <w:sz w:val="16"/>
          <w:szCs w:val="16"/>
        </w:rPr>
        <w:softHyphen/>
        <w:t>рийского НИИ (23550).</w:t>
      </w:r>
    </w:p>
    <w:p w14:paraId="72332B47" w14:textId="77777777" w:rsidR="00901063" w:rsidRPr="0044524F" w:rsidRDefault="00901063" w:rsidP="009654CF">
      <w:pPr>
        <w:spacing w:after="0" w:line="240" w:lineRule="auto"/>
        <w:jc w:val="both"/>
        <w:rPr>
          <w:rFonts w:ascii="Times New Roman" w:hAnsi="Times New Roman"/>
          <w:color w:val="000000" w:themeColor="text1"/>
          <w:sz w:val="16"/>
          <w:szCs w:val="16"/>
        </w:rPr>
      </w:pPr>
    </w:p>
    <w:p w14:paraId="4BCE7B7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г. по приказу РВС № 113 на базе ГИРД ОСОАВИАХИМ основан РНИИ РККА. Также на базе МосГИРД было организовано КБ-7, занимавшееся жидкостными баллистическими ракетами.</w:t>
      </w:r>
    </w:p>
    <w:p w14:paraId="4B6398A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постановлению СТО № 104 от 31.10.1933 г. РНИИ с филиалом передан в НКТП. В 1934 г. в него вошла группа по РД из ГДЛ при Управлении военных изобретений (г. Ленинград) под руководством В.П. Глушко. Вначале находился на Лихачевском ш.</w:t>
      </w:r>
    </w:p>
    <w:p w14:paraId="46E4851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ЖРД, РДТТ, ПВРД, ракетам, газогенераторам торпед, порохам.</w:t>
      </w:r>
    </w:p>
    <w:p w14:paraId="47D2298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составе РНИИ организован сектор (отдел) КР, которым руководили: А.И. Стеняев, С.П. Королев, В.И. Дудаков. Позже, в 1935-36 г. создана отдельная бригада КР с РДТТ. </w:t>
      </w:r>
    </w:p>
    <w:p w14:paraId="648F208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Велись работы под руководством В.И. Дудакова по созданию стартовых ускорителей с РДТТ для самолетов: У-1 (1931 г.), ТБ-1 (1933 г.). Спроектирована и построена экспериментальная пороховая катапульта для запуска самолета с борта корабля (1935 г.).39</w:t>
      </w:r>
    </w:p>
    <w:p w14:paraId="61DF3BF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1933-40 г. под руководством Б.С. Петропавловского создан ряд пороховых РС.</w:t>
      </w:r>
    </w:p>
    <w:p w14:paraId="4C0BA48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1936 г. на базе ракеты «05» создана ракета «Авиавнито» с двигателем 12К (запущена 6.04.1936 г.). </w:t>
      </w:r>
    </w:p>
    <w:p w14:paraId="75B2D0C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Созданы и испытаны КР: «06/I» (Щетинков, 1934 г.), «06/III» («216») (1936 г.), «212» (Королев, 1939 г.).</w:t>
      </w:r>
    </w:p>
    <w:p w14:paraId="6800ACB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руководством М.П. Дрязгова созданы КР с РДТТ: «48» (1935 г.), экспериментальная зенитная «217» (1936 г.).</w:t>
      </w:r>
    </w:p>
    <w:p w14:paraId="7CF013C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1936 г. под руководством 1937 г. Королёва и Щетинкова создан ракетоплан РП-218, в 1937 г.- РП-318-1 с двигателем ОРМ-65 конструкции Глушко.</w:t>
      </w:r>
    </w:p>
    <w:p w14:paraId="21344EF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руководством С.А. Пивоварова создан гироскопический автомат ГПС-2 для КР «216».</w:t>
      </w:r>
    </w:p>
    <w:p w14:paraId="6EC6ACF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19.05.1939 г.. испытана ракета Р-3 с ПВРД И.А. Меркулова.59 </w:t>
      </w:r>
    </w:p>
    <w:p w14:paraId="56E5E83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2.01.1937 г. институт передан в НКОП и преобразован в НИИ-3 НКОП. В 1941 г.- в ведении НКБ.</w:t>
      </w:r>
    </w:p>
    <w:p w14:paraId="4D09EB8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После ареста в 1938 г. Глушко и Королева их отделы были объединены в один под руководством Л.С. Душкина. Продолжены работы по ракетоплану РП-318-1 (ведущий конструктор- А.В. Палло). После успешных испытаний РП-318-1 был разобран, а после начала войны уничтожен. В соответствии с постановлением ГКО от 08.1941 г. отделу Душкина было поручено создание ЖРД РДА-1-1100 для истребителя БИ. </w:t>
      </w:r>
    </w:p>
    <w:p w14:paraId="109D95A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20-х числах октября 1941 г. институт эвакуирован в Свердловск.</w:t>
      </w:r>
    </w:p>
    <w:p w14:paraId="0883DC7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1942 г.- ГИРТ (Государственный институт реактивной техники) при СНК СССР. По постановлению ГКО № 4306с от 11.10.1943 г. и приказу НКАП № 666с от 5.11.1943 г. в подчинение ГИРТ с 7.11.1943 г. передан завод № 55 НКАП в качестве производственной базы. В ГИРТ переведены все сотрудники бывшего ОКБ А.А. Архангельского, а также М.Р. Бисноват.СМ-3-4/97 </w:t>
      </w:r>
    </w:p>
    <w:p w14:paraId="45ACF00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 самолет «302П» (Ко-3) с ЖРД Душкина (гл. конструктор- Костиков, первый полет в 10.1943 г.).</w:t>
      </w:r>
    </w:p>
    <w:p w14:paraId="16805A7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Постановлением ГОКО № 5201сс от 18.02.1944 г. было указано на «нетерпимое положение с реактивной техникой» и ГИРТ был ликвидирован. Одновременно все сооружения и кадры были переданы в НКАП (приказ № 111с от 18.02.1944 г.) и стали основой для образования Научно-исследовательского института реактивной авиации (НИРА) НКАП. Приказом № 115с от 18.02.1944 г. начальником временно назначен В.И. Поликовский. По приказу № 149сс от 28.02.1944 г. НИРА объединен с заводом № 293 (вместе с ОКБ-293) и преобразован в НИИ-1, в ведении 7ГУ НКАП. </w:t>
      </w:r>
    </w:p>
    <w:p w14:paraId="551B439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Началось сосредоточение в институте основных кадров по реактивной технике. Сюда переведены: из ОКБ-293 - ЭКБ-3 М.М. Бондарюка (создан отдел ПВРД, далее- КБ-2 НИИ-1, с 10.1950 г.- самостоятельное ОКБ-670); из ЦИАМ - А.М. Люлька (выдано задание на создание ТРД тягой 1250 кг); группа В.П. Глушко; группа Л.С. Душкина; группа А.М. Исаева (ОКО при НИИ-1).</w:t>
      </w:r>
    </w:p>
    <w:p w14:paraId="11FE140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И.Ф. Флоров, работавший в ОКБ-293, в 07.1944 г. назначен начальником самолетного сектора № 43 НИИ-1 по приказу № 370сс от 30.05.1944 г. (с 1948 г.- в ЦИАМ). Здесь же с конца 1944 г. по 02.1945 г. работал А.А. Боровков. Создан самолет «4302» (1946 г.).</w:t>
      </w:r>
    </w:p>
    <w:p w14:paraId="5B537EF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 364с от 29.05.1944 г. начальником НИИ-1 назначен П.И. Федоров, 1-м замом по научно-исследовательской работе- В.Ф. Болховитинов. Приказом № 656с от 11.11.1944 г. НИИ-1 передан в 18ГУ, основное направление- реактивное двигателестроение. В 03.1946 г. в связи с ликвидацией 18ГУ передан в 8ГУ, с 1.10.1951 г.- в 6ГУ.</w:t>
      </w:r>
    </w:p>
    <w:p w14:paraId="2D3B114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03.1946 г. из НИИ-1 МАП на завод № 81 МАП переведена группа конструкторов (9 чел.), занимавшаяся установками РС. По приказу № 182сс от 30.03.1946 г. СКБ А.М. Люльки переведено на самостоятельную опытную базу- завод № 165 МАП, в состав его ОКБ передан личный состав отдела № 21 НИИ-1.</w:t>
      </w:r>
    </w:p>
    <w:p w14:paraId="4E122C6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1947 г. Келдышем разработан проект ракетного самолета с 2-мя ПВРД и ЖРД.</w:t>
      </w:r>
    </w:p>
    <w:p w14:paraId="2A3D547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1.07.1948 г. НИИ-1 являлся филиалом ЦИАМ (приказ № 440с от 21.06.1948 г.). В соответствии с постановлением СМ СССР от 10.03.1952 г. НИИ-1 МАП стал самостоятельным и получил также название НИИ РД (реактивных двигателей)59.</w:t>
      </w:r>
    </w:p>
    <w:p w14:paraId="0DDD264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НИИ-88 в институт переведена лаборатория по автоматической астрокоррекции под руководством И.М. Лисовича.</w:t>
      </w:r>
    </w:p>
    <w:p w14:paraId="78133B1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1950-х г., после выделения всех конструкторских организаций в самостоятельные, институт занимается НИР в ракетно-космической области и двигателестроении. </w:t>
      </w:r>
    </w:p>
    <w:p w14:paraId="14CF3A3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1954 г. создана лаборатория № 6 (руководитель- К.П. Осминин) по динамике КР.</w:t>
      </w:r>
    </w:p>
    <w:p w14:paraId="6CF883C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1950-е г. построена стендовая испытательная база в Тураево.</w:t>
      </w:r>
    </w:p>
    <w:p w14:paraId="14E44D8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1954 г. институт принимает активное участие в работах по МБР Р-7, МКР «Буран» и «Буря».</w:t>
      </w:r>
    </w:p>
    <w:p w14:paraId="157FCF3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1955 г. образован филиал по системам управления КР (начальник- Р.Г. Чачикян; гл. конструкторы: по астронавигации- И.М. Лисович, по автопилоту- Г.Н. Толстоусов).59 </w:t>
      </w:r>
    </w:p>
    <w:p w14:paraId="633C9B1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1956-57 г. построен газодинамический тепловой стенд Ц-12Т для испытаний ракет.59 </w:t>
      </w:r>
    </w:p>
    <w:p w14:paraId="27177B3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1950-е г. существовала лаборатория систем управления (руководитель- Б.В. Раушенбах). Разработаны системы ориентации КА на основе солнечных и лунных датчиков (Башкин, Князев). Затем группа Б.В. Раушенбаха переведена в ОКБ-1 ГКОТ.</w:t>
      </w:r>
    </w:p>
    <w:p w14:paraId="4ADF5C2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1965 г. НИИ-1 ГКАТ передан в подчинение 2ГУ МОМ и по приказу от 6.03.1966 г. преобразован в НИИТП (тепловых процессов). В 1990-х г. передан в РКА. В 1995 г. переименован в Исследовательский центр им М.В. Келдыша. По Указу Президента РФ № 1009 от 4.08.2004 г. вошел в число стратегических оборонных предприятий.</w:t>
      </w:r>
    </w:p>
    <w:p w14:paraId="75DF163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1960-е г.: научное обеспечение разработок ЖРД и теплозащиты головных частей ракет (1954-57 г.- БР Р-7 и МКР «Буря»), решение задач по выводу в космос КА. Проведены первые фундаментальные исследования ядерных ракетных двигателей (с конца 1950-х). Разработаны схемы электрических плазменных двигателей торцевого типа (А.А. Поротников). </w:t>
      </w:r>
    </w:p>
    <w:p w14:paraId="0A6411D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1965 г. НИИТП- головная научно-исследовательская организация ракетного двигателестроения.</w:t>
      </w:r>
    </w:p>
    <w:p w14:paraId="3C0D91F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Принимал участие в программе создания ОК «Буран». </w:t>
      </w:r>
    </w:p>
    <w:p w14:paraId="6FA58C4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1970-80-е г.- научное обеспечение создания РДТТ для БРК.</w:t>
      </w:r>
    </w:p>
    <w:p w14:paraId="3D03F1B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начале 1980-х г. создан плазмогенератор «Марабу», создающих вокруг движущегося объекта плазменную оболочку, снижающую радиолокационную заметность объекта.63 </w:t>
      </w:r>
    </w:p>
    <w:p w14:paraId="5B5DA71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Разработана технология создания в ионосфере плазменно-паровых облаков, отражающих РЛ-излучение (работал Ю.А. Уткин). Испытания установки «Мажор» проведены на космической станции «Мир».63 </w:t>
      </w:r>
    </w:p>
    <w:p w14:paraId="32DF14F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2000 г.: работы по ракетно-космическим энергоустановкам, исследования в области термодинамики. </w:t>
      </w:r>
    </w:p>
    <w:p w14:paraId="3334F1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Направления деятельности (2005 г.): исследования и разработки по ракетным двигателям для РКТ (ЖРД нового поколения, электроракетные двигатели); НИОКР по изделиям РКТ, подбор материалов и топлив; НИР по экологически чистым технологиям при производстве и эксплуатации РКТ; разработка технологий для военной, научной и народнохозяйственной техники; разработка энергосберегающих технологий.</w:t>
      </w:r>
    </w:p>
    <w:p w14:paraId="1118C93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 отдел «Водородной энергетики» (зам. начальника отдела (2005 г.)- В. Смоляров). Работы по водородным топливным элементам.</w:t>
      </w:r>
    </w:p>
    <w:p w14:paraId="7EEC4B6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(1933-37 г.)- И.Т. Клейменов (репрессирован), (1937-40 г.)- Б.М. Слонимер, (1941 г.)- Н.А. Монаков, (1941 г.)- А.Н. Фоменко, (1942-02.1944 г.)- генерал-майор А.Г. Костиков (отстранен, затем репрессирован), (02.1944-)- В.И. Поликовский, (05.1944 г.-)- П.И. Федоров, (1945-46 г.)- Я.Л. Бибиков, генерал-майор ИАС, (11.1946 г.-)- М.В. Келдыш, (1948-49 г.)- В.В. Владимиров, (1949-51 г.)- В.А. Окулов, (1951-55 г.)- А.Т. Туманов, (1955-88 г.)- В.Я. Лихушин. Директор (1988-2005 г.-)- академик А.С. Коротеев.</w:t>
      </w:r>
    </w:p>
    <w:p w14:paraId="4A16658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Научный руководитель (1948-61 г.)- академик М.В. Келдыш.</w:t>
      </w:r>
    </w:p>
    <w:p w14:paraId="58417FB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(1933 г.-)- С.П. Королев; по научной части - В.Ф. Болховитинов (05.1944-46 г.). Зам. директора (2003 г.)- А.М. Губертов; по ВЭС (2005 г.)- А.А. Кленчев.</w:t>
      </w:r>
    </w:p>
    <w:p w14:paraId="63CEB9D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(1940-41 г.)- А.Г. Костиков. Начальник КБ (1943 г.-)- А.Я. Березняк.</w:t>
      </w:r>
    </w:p>
    <w:p w14:paraId="0CBB9BA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Работали: (03.1938; 1944 г.) - А.П. Артемьев (РС), А.П. Ваничев, Л.А. Воскресенский, И.И. Гвай (РС), (-1937 г.)-В.П. Глушко (репрессирован, работал в ОТБ НКВД на заводе № 8), (1933- 44 г.-)- Л.С. Душкин, (1941 г.)- В.С. Зуев (ПВРД), (1930-е; 1944-)- А.М. Исаев, (-04.1938 г.)- С.П. Королев (репрессирован), (-1937 г.)- Г.Э. Лангемак (репрессирован), А.М. Люлька, В.П. Мишин, (1936-45; 1958-96 г.)- А.В. Палло (ведущий инженер по ЖРД), Г.И. Петров, Н.А. Пилюгин, Ю.А. Победоносцев (РС для «Катюши»), (-1936-38 г.-)- Б.В. Раушенбах (расчеты), (-1934-41 г.-)- М.К. Тихонравов (затем- в НИИ-4 МО), Б.Е. Черток, (1941 г.)- Е.С. Щетинков (ПВРД). </w:t>
      </w:r>
    </w:p>
    <w:p w14:paraId="144F6B3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РС: РС-82 (пнв в 1937 г.), РС-132 (пнв в 1938 г.); М-13 (пнв в 1941 г.), М-13УК (пнв в 1943 г.), М-13ДД (пнв в 1944 г.), М-20 (1941 г.) для БМ-13 «Катюша» ; М-8 (пнв в 1941 г.) для БМ-8 «Катюша»; М-30 (пнв в 1942 г.), М-31 (пнв в 1943 г.), М-31УК (пнв в 1944 г.) для БМ-31;58 самолеты с ЖРД: «302» (1943), «4302» (1946), «4303» (1947); СЭДУ- солнечная энергодвигательная установка с СТРД- солнечным тепловым ракетным двигателем.</w:t>
      </w:r>
    </w:p>
    <w:p w14:paraId="45D158D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НИИ-1 НКАП, МАП, ГКАТ, РНИИ (ракетный) РККА, НКТП, НИИ-3 НКОП, НКБ, ГИРТ при СНК, НИРА НКАП, НИИ РД МАП, НИИТП (тепловых процессов) МОМ, НИИТП им. М.В. Келдыша РКА, ФГУП «Исследовательский центр им. М.В. Келдыша» РАКА</w:t>
      </w:r>
    </w:p>
    <w:p w14:paraId="0B497EC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125438 г. Москва, ул. Онежская, 8/10 тел. 456-46-08, 456-87-56 www.kerc.msk.ru (10776).</w:t>
      </w:r>
    </w:p>
    <w:p w14:paraId="1D926AB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КБ-7 РНИИ</w:t>
      </w:r>
    </w:p>
    <w:p w14:paraId="1515E6E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в 1935 г. на базе бригады ЖРД ГИРДа. Работы по жидкостным ракетам.</w:t>
      </w:r>
    </w:p>
    <w:p w14:paraId="0448B4C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Построена испытательная станция, в состав которой вошли: башня для огневых испытаний, пультовая, помещение для сборки ракет, электротехническая и керамическая лаборатории.</w:t>
      </w:r>
    </w:p>
    <w:p w14:paraId="744C870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(1935 г.)- Л.К. Корнеев.</w:t>
      </w:r>
    </w:p>
    <w:p w14:paraId="36E58CC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(08.1935 г.)- А.И. Полярный.</w:t>
      </w:r>
    </w:p>
    <w:p w14:paraId="1F56C22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Работали: (1935 г.-)- М.Г. Воробьев, П.И. Иванов (нач. группы аэродинамики), Е.М. Курило (электротехника), А.С. Раецкий, Э.П. Шептицкий (нач. конструкторской группы); (1937 г.)- М.Ю. Голлендер (нач. керамической лаборатории), Ф.Л. Якайтис, В.С. Зуев, А.Б. Ионов.</w:t>
      </w:r>
    </w:p>
    <w:p w14:paraId="5E622DE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ракеты: Р-03, Р-06 (1936 г.), АНИР-5, Р-07, ЭНИР-7, Р-05, Р-10 (1939 г.); порохо-жидкостный двигатель М-17, М-29е для Р-05.</w:t>
      </w:r>
    </w:p>
    <w:p w14:paraId="7788B0F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Филиал № 1 НИИ-1</w:t>
      </w:r>
    </w:p>
    <w:p w14:paraId="51F8F13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Химки Московской обл./</w:t>
      </w:r>
    </w:p>
    <w:p w14:paraId="564A483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293 НКАП действовал в составе НИИ-1 по приказу № 149сс от 28.02.1944 г., далее- на правах филиала № 1 (по приказу № 370сс от 30.05.1944 г.). Здесь же работала группа (ОКО) А.М. Исаева по ЖРД.</w:t>
      </w:r>
    </w:p>
    <w:p w14:paraId="7AC0FDC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постановлением СМ от 31.05.1946 г. и приказами № 361сс от 7.06.1946 г. и № 373с от 14.07.1946 г. в 7ГУ на базе филиала № 1 вновь образован самостоятельный завод № 293 НКАП (в связи с прекращением работ по самолетостроению в НИИ-1 и непригодности для работ по ЖРД) и передан как опытная база гл. конструктору М.Р. Бисновату. Группа А.М. Исаева переведена на основную территорию НИИ-1. Березняк в 12.1946 г. назначен зам. гл. конструктора ОКБ-2 завода № 1 МАП.</w:t>
      </w:r>
    </w:p>
    <w:p w14:paraId="58D5BEE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филиала (01.1946 г.)- Нейман.</w:t>
      </w:r>
    </w:p>
    <w:p w14:paraId="1B09492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КБ филиала (06.1946 г.)- А.Я. Березняк.</w:t>
      </w:r>
    </w:p>
    <w:p w14:paraId="4E4867E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Филиал № 2 НИИ-1</w:t>
      </w:r>
    </w:p>
    <w:p w14:paraId="4AC824F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Москва Ново-Владыкино/</w:t>
      </w:r>
    </w:p>
    <w:p w14:paraId="7B3E520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655с от 11.11.1944 г. для развития работ по реактивному вооружению на бывшей территории завода № 482 НКАП (которая была передана полностью со всеми зданиями, оставшимся оборудованием и персоналом) во Владыкино образована база НИИ-1 по данной тематике. По приказу № 699с от 27.12.1944 г. база стала филиалом № 2 НИИ-1 по реактивному вооружению.</w:t>
      </w:r>
    </w:p>
    <w:p w14:paraId="20DE730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НИИ-1 сюда переведены сектора № 5, № 9, лаборатория «Е» и НИХЛ (химлаборатория) со всем личным составом и оборудованием. Продолжены работы по снарядам М-13ДД, М-20.</w:t>
      </w:r>
    </w:p>
    <w:p w14:paraId="10F0615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постановлением СМ СССР № 1017-419сс от 13.05.1946 г. и приказом МАП/ МСХМ № 318сс/126сс от 24.05.1946 г. для концентрации работ по пороховым РС из системы МАП в ведение МСХМ передан филиал № 2 НИИ-1 МАП (со всеми сооружениями и штатом сотрудников~ 350 чел.) с образованием на его базе КБ-2 МСХМ. В числе переведенных были начальник филиала Победоносцев, начальник отдела Е.А. Печерский и др.</w:t>
      </w:r>
    </w:p>
    <w:p w14:paraId="70D3E3A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базе бывшего филиала и ГЦКБ-1 МСХМ образован специализированный НИИ пороховых РС (с 1.04.1947 г. получивший название НИИ-1 МСХМ).</w:t>
      </w:r>
    </w:p>
    <w:p w14:paraId="0BD0963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филиала (1944-46 г.)- Ю.А. Победоносцев.</w:t>
      </w:r>
    </w:p>
    <w:p w14:paraId="5C1EB5A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гл. инженер (1944 г.)- Н.В. Климовицкий.</w:t>
      </w:r>
    </w:p>
    <w:p w14:paraId="212AEDE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КБ-1, ОКБ-1 при НИИ-1 МАП гл. конструктора Л.С. Душкина</w:t>
      </w:r>
    </w:p>
    <w:p w14:paraId="06F59FE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Л.С. Душкин работал в ГИРДе, с 1933 г.- в РНИИ, в моторной лаборатории. С 01.1938 г. возглавлял в НИИ-3 НКБ отдел по ЖРД. </w:t>
      </w:r>
    </w:p>
    <w:p w14:paraId="1803DA0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соответствии с приказом НКАП № 433сс/ов от 11.06.1942 г. для ускорения работ по реактивным двигателям планировалось перевести группу Душкина (В.А. Штоколов, А.В. Палло и др.) из НИИ-3 на завод № 293. Однако, по имеющейся информации, группа Душкина не была переведена и продолжала работать в НИИ-3 и затем в НИИ-1.</w:t>
      </w:r>
    </w:p>
    <w:p w14:paraId="66CFFD1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Проводились работы по ускорителю самолета С-155 и ускорителю для Е-50.</w:t>
      </w:r>
    </w:p>
    <w:p w14:paraId="542DE85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Душкин до 04.1946 г.- начальник отдела № 13 НИИ-1. В 04.1946 г.- гл. конструктор КБ-1 при НИИ-1.</w:t>
      </w:r>
    </w:p>
    <w:p w14:paraId="00377B9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1949 г. ОКБ-1 входило в состав ЦИАМ (вместе с НИИ-1).</w:t>
      </w:r>
    </w:p>
    <w:p w14:paraId="6B8E3BB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постановлением СМ СССР № 2473-973 от 10.06.1950 г. ОКБ-1 гл. конструктора Л.С. Душкина было ликвидировано, личный состав перевели в ОКБ-456, другие лаборатории НИИ-1.76 В 1955 г. Л.С. Душкин возглавил ОКБ-165-1.</w:t>
      </w:r>
    </w:p>
    <w:p w14:paraId="4A956A6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Работали: (1949 г.)- Преображенский, Чурков.</w:t>
      </w:r>
    </w:p>
    <w:p w14:paraId="611F6C3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ЖРД: ОР-10 («02» для «216»), РД-12К, РДА-1-150 для РП-318, РДК-150, РДА-300, КРД-604 для «604», Д-1-А-1100 для «БИ», Д-1-Т для торпеды РТ-45 (1932-42 г.); РД-КС-1 (1946), РД-КС-3, РД-2М (1945), РД-2М3В для «302», РД-2М3ВФ для самолета «5» (1946), РД-3М, РД-КС-5, УС-2500.</w:t>
      </w:r>
    </w:p>
    <w:p w14:paraId="0D8898A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КБ-2 при НИИ-1 МАП гл. конструктора М.М. Бондарюка</w:t>
      </w:r>
    </w:p>
    <w:p w14:paraId="4C54605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149сс от 28.02.1944 г. ЭКБ-3 НИИ ГВФ М.М. Бондарюка вместе с ОКБ-293 влили в состав НИИ-1. Далее оно преобразовано в отдел прямоточных двигателей, а вскоре- и в КБ-2. Сначала Бондарюк- руководитель и конструктор КБ, а с 08.1947 г.- гл. конструктор КБ-2 (в 1949 г. по совместительству работал в отделе № 5 НИИ-88).</w:t>
      </w:r>
    </w:p>
    <w:p w14:paraId="5C0082C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дальнейшего ускорения работ и из-за потребности в собственной экспериментальной базе 1.10.1950 г. КБ-2 выделилось в самостоятельную организацию и получило название ОКБ-670 МАП, гл. конструктор- М.М. Бондарюк.</w:t>
      </w:r>
    </w:p>
    <w:p w14:paraId="1AA60DB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(08.1947-10.1950 г.)- М.М. Бондарюк.</w:t>
      </w:r>
    </w:p>
    <w:p w14:paraId="6F6833B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гл. конструктора – Г.А. Варшавский.</w:t>
      </w:r>
    </w:p>
    <w:p w14:paraId="0B95BDD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Работали: И.М. Вишнепольский, Ю.Н. Глазунов, Е.Я. Губер, Н.Д. Домарев, Ю.К. Ефимов, И.А. Куратов, И.Б. Леванов, А.Ф. Макеев, С.И. Платонов, С.М. Родин.</w:t>
      </w:r>
    </w:p>
    <w:p w14:paraId="0AA0B56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ПВРД: РД-430 для Ла-126 и Ла-138 (1948); проект РД-165 для установки на НВ вертолета И.П. Братухина; РД-350; проект РД-007 для «10Х» (1948); РД-700 (РД-1, 1948); первый двухконтурный РД-1А для РС «Шторм»(1949-50), РД-550 для мишени ЛМ-15 (1949).</w:t>
      </w:r>
    </w:p>
    <w:p w14:paraId="525BF12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КБ-3 при НИИ-1 МАП гл. конструктора Г.Я. Диллона</w:t>
      </w:r>
    </w:p>
    <w:p w14:paraId="2C3F62F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Также- это отдел вооружения № 52 НИИ-1.</w:t>
      </w:r>
    </w:p>
    <w:p w14:paraId="16C4C35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1942 г. под руководством Г.Я. Диллона и его зама В.П. Голикова начаты исследования и разработка реактивной авиационной торпеды РАТ (работали Ю.Б. Гермейер, В.А. Андреев, О.Т. Сазонова, Я.Л. Рудницкий). Закладывалась серия на заводе № 500.</w:t>
      </w:r>
    </w:p>
    <w:p w14:paraId="15860AF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1944 г. Диллон работал в филиале № 2 НИИ-1 по РС.</w:t>
      </w:r>
    </w:p>
    <w:p w14:paraId="525F67F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1948 г. действовало КБ-3 при НИИ-1. Разработан пороховой ускоритель У-5 для самолетов (1948 г., планировался выпуск на заводе № 500).</w:t>
      </w:r>
    </w:p>
    <w:p w14:paraId="31245E7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Видимо, после передачи филиала № 2 НИИ-1 в МСХМ и образования НИИ-1 МСХМ группа Диллона действовала там (по разным сведениям, или из отдела № 52 НИИ-1 МАП, или из НИИ-1 МСХМ, группа Г.Я. Диллона из 16 чел., зам.- В.П. Голиков, к 07.1946 г. переведена с тематикой по РАТ-52 в НИИ-2 МАП).</w:t>
      </w:r>
    </w:p>
    <w:p w14:paraId="5B4834F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СКБ НИИ-1 МАП гл. конструктора А.М. Люльки</w:t>
      </w:r>
    </w:p>
    <w:p w14:paraId="7C24199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Москва Лихоборы/</w:t>
      </w:r>
    </w:p>
    <w:p w14:paraId="0FF631A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Организовано при институте по приказу № 185с от 13.03.1944 г. для развития работ по ГТД. Одновременно гл. конструктором утвержден А.М. Люлька, группа которого со всем заделом и оборудованием была переведена из ЦИАМ. Работы по ТРД С-18, создан в 1945 г. Затем на его базе создан ТР-1.</w:t>
      </w:r>
    </w:p>
    <w:p w14:paraId="72DBF3A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МАП № 182сс от 30.03.1946 г. для расширения работ СКБ переведено на самостоятельную базу- завод № 165 и получило название ОКБ-165 МАП.</w:t>
      </w:r>
    </w:p>
    <w:p w14:paraId="7B1EACD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(03.1944-03.1946 г.)- А.М. Люлька.</w:t>
      </w:r>
    </w:p>
    <w:p w14:paraId="62D9EBC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ОКО при НИИ-1 МАП </w:t>
      </w:r>
    </w:p>
    <w:p w14:paraId="5D362CB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Химки, г. Москва/</w:t>
      </w:r>
    </w:p>
    <w:p w14:paraId="025F68D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Опытно-конструкторский отдел сформирован в институте в 1944 г. Проводил работы по ЖРД.</w:t>
      </w:r>
    </w:p>
    <w:p w14:paraId="2146B91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Основу отдела составила группа двигателистов бывшего ОКБ-293, влитого в НИИ-1. Создан ЖРД РД-1 для «БИ», У-400-10 для экспериментальных летающих моделей ЛМ-6, ЛМ-9, ЛМ-12 (1946-47 г.), ЖРД-ускоритель СУ-1500; разрабатывался одноразовый РД У-12500 (1946 г.). </w:t>
      </w:r>
    </w:p>
    <w:p w14:paraId="3137297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отдела (-04.1946 г.)- А.М. Исаев. В 04.1946 г. Исаев возглавил ОТБ-2 в Германии (по некоторым данным, перед поездкой в Германию Исаев работал начальником цеха завода № 500).</w:t>
      </w:r>
    </w:p>
    <w:p w14:paraId="2C3E3B4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 06.1946 г. ОКО располагался на территории филиала № 1 НИИ-1 в Химках. Затем по приказу № 361сс от 7.06.1946 г. ОКО переведен на основную территорию НИИ-1. </w:t>
      </w:r>
    </w:p>
    <w:p w14:paraId="6A75017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05.1948 г. в связи с большей перспективностью работ по ЖРД для РКТ ОКО Исаева переведен в НИИ-88 МВ, где образовал отдел № 9.</w:t>
      </w:r>
    </w:p>
    <w:p w14:paraId="25C5F09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Филиал НИИ-1 МАП</w:t>
      </w:r>
    </w:p>
    <w:p w14:paraId="35AAEFA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Создан в составе института в 1955 г. для работ по системам управления КР. </w:t>
      </w:r>
    </w:p>
    <w:p w14:paraId="79B9832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Создана астронавигационная система «Земля» для МКР «Буран» и аналогичная система для МКР «Буря». Гл. конструкторы систем- И.М. Лисович, Г.И. Толстоусов. В связи с прекращением работ по МКР остановлены работы и по астронавигации.</w:t>
      </w:r>
    </w:p>
    <w:p w14:paraId="5CE88D8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Руководитель (1955-59 г.)- Р.Г. Чачикян (в 1942-51 г. работал на заводах № 122 НКАП, № 224 НКАП; с 1959 г.- гл. конструктор ОКБ-133 МАП).</w:t>
      </w:r>
    </w:p>
    <w:p w14:paraId="608AA70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1962 г. в 4ГУ ГКАТ действовал филиал НИИ-1 (начальник- А.В. Ежов).</w:t>
      </w:r>
    </w:p>
    <w:p w14:paraId="42374EE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Филиал № 2 НИИ-1 МАП, п/я 10, НИИ Машиностроения МОМ, ГУП «НИИ Машиностроения» </w:t>
      </w:r>
    </w:p>
    <w:p w14:paraId="5ED9C73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/624790 г. Нижняя Салда Свердловской обл., ул. Строителей, 72 тел. (34345) 217-03/</w:t>
      </w:r>
    </w:p>
    <w:p w14:paraId="63BC224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 в соответствии с постановлением правительства № 2132 от 26.12.1956 г. как предприятие п/я 10 для проведения экспериментальных исследований по ЖРД, работающих на специальных топливах. Построен ряд стендов и опытное производство (в 1962 г.- испытательный комплекс 101, в 1963 г.- гидролаборатория, в 1964 г. –механосборочный корпус). Затем, в 1970-х г. созданы испытательные комплексы № 201 и 301. В 1980 г. введен в строй испытательный комплекс для ЖРД, работающих на криогенных компонентах топлива.</w:t>
      </w:r>
    </w:p>
    <w:p w14:paraId="437CF35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Постепенно, кроме сопровождения работ различных ОКБ по ЖРД, в филиале начались самостоятельные ОКР по ЖРД малой тяги, с 1981 г.- головное предприятие в этой области. Принимал участие в программе создания ОК «Буран».</w:t>
      </w:r>
    </w:p>
    <w:p w14:paraId="2B8F09E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1981 г. филиал, п/я 10, преобразован в самостоятельный НИИ Машиностроения и передан в ведение 12ГУ МОМ. Разработка ЖРД, ракетных двигателей малой тяги. Создано более 30 ЖРДМТ.</w:t>
      </w:r>
    </w:p>
    <w:p w14:paraId="297B7B1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Указу Президента РФ № 1009 от 4.08.2004 г. вошел в число стратегических оборонных предприятий.</w:t>
      </w:r>
    </w:p>
    <w:p w14:paraId="012F217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филиала (1957-66 г.)- М.Г. Миронов.</w:t>
      </w:r>
    </w:p>
    <w:p w14:paraId="0822A2F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(1981 г.)- В.И. Чепак, (-2000-02 г.-)- Б.А. Некрасов.</w:t>
      </w:r>
    </w:p>
    <w:p w14:paraId="33D309C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(2002 г.)- Е.Г. Ларин.</w:t>
      </w:r>
    </w:p>
    <w:p w14:paraId="422A8B5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Зам. директора по НИР (2002 г.)- Е.Г. Ларин.69 </w:t>
      </w:r>
    </w:p>
    <w:p w14:paraId="753076B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Создано: ЖРД: РДМТ-0.8, РДМТ-5 для передвижения космонавтов в открытом космосе, РДМТ-100, РДМТ-12, РДМТ-50, РДМТ-135, РДМТ-200, РДМТ-400.50 </w:t>
      </w:r>
    </w:p>
    <w:p w14:paraId="5F470E1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КБ «Пламя» при НИИТП МОМ, НПВО «Пламя» МОМ, ЗАО «ОКБ «Пламя»</w:t>
      </w:r>
    </w:p>
    <w:p w14:paraId="43F3760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КБ «Пламя» образовано при НИИТП в 1978 г. из группы конструкторов ОКБ-670 во главе с И.Б. Левановым, переведенных в 1972 г. в ОКБ-4-300 для продолжения работ по ПВРД.</w:t>
      </w:r>
    </w:p>
    <w:p w14:paraId="6E03817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1991 г. КБ преобразовано в самостоятельное НПВО «Пламя» МОМ. Размещалось в помещениях НИИТП. Весной 1994 г. было принято решение о преобразовании НПВО «Пламя» в ОКБ, входящее в состав НИИТП, а в 04.1994 г. НПВО ликвидировано. Коллектив перебазировался на другую территорию, где было образовано ЗАО «ОКБ «Пламя». В 02.1998 г. ОКБ ДУ «Пламя» вошло в состав ГНПЦ «Звезда-Стрела».</w:t>
      </w:r>
    </w:p>
    <w:p w14:paraId="178AC8C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1970-х г. велись работы по ядерному ПВРД для низколетящей КР. Работы по СПВРД для ПКР «Яхонт» (испытания- с 1987 г.). Работы по ГПВРД по программе «Орел»</w:t>
      </w:r>
    </w:p>
    <w:p w14:paraId="4244B78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Руководитель (1978-99 г.-)- И.Б. Леванов.</w:t>
      </w:r>
    </w:p>
    <w:p w14:paraId="6141BC5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(1978-99 г.-)- И.Б. Леванов (10776).</w:t>
      </w:r>
    </w:p>
    <w:p w14:paraId="31E23616"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4E41A87B"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21 сентября 1933 года выходит приказ Революционного военного совета ССС Республик № 0113 (гриф неизвестен), в котором ставилась задача о формировании в Москве Реактивного Научно-Исследовательского Института РККА. Формирование Института должно было проходить в период с 25 сентября по 1 ноября 1933 года (19771).</w:t>
      </w:r>
    </w:p>
    <w:p w14:paraId="47E96341"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5F91960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21 сентября 1933 г. по приказу РВС № 113 на базе ГИРД ЦС Осоавиахима основан РНИИ РККА. По постановлению СТО № 104 от 31.10.1933г. РНИИ с филиалом передан в НКТП. В 1934г. в него вошла группа по РД из ГДЛ при Управлении военных изобретений (г. Ленинград) под руководством В.П. Глушко.</w:t>
      </w:r>
      <w:r w:rsidRPr="0044524F">
        <w:rPr>
          <w:rFonts w:ascii="Times New Roman" w:hAnsi="Times New Roman"/>
          <w:color w:val="000000" w:themeColor="text1"/>
          <w:sz w:val="16"/>
          <w:szCs w:val="16"/>
          <w:vertAlign w:val="superscript"/>
        </w:rPr>
        <w:t xml:space="preserve">50 </w:t>
      </w:r>
      <w:r w:rsidRPr="0044524F">
        <w:rPr>
          <w:rFonts w:ascii="Times New Roman" w:hAnsi="Times New Roman"/>
          <w:color w:val="000000" w:themeColor="text1"/>
          <w:sz w:val="16"/>
          <w:szCs w:val="16"/>
        </w:rPr>
        <w:t>Работы по ЖРД, РДТТ, ПВРД, ракетам, газогенераторам торпед, порохам.</w:t>
      </w:r>
    </w:p>
    <w:p w14:paraId="6F351CB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составе РНИИ организован сектор (затем отдел) крылатых ракет (КР). Создана первая в стране крылатая ракета «06» (1934г., С.П. Королев). Позже, в 1935-36г. создана отдельная бригада КР с РДТТ.</w:t>
      </w:r>
    </w:p>
    <w:p w14:paraId="639CD0E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Велись работы по созданию стартовых ускорителей с РДТТ для самолетов: У-1 (1931 г.), ТБ-1 (1933г.) (В.И. Дудаков). Спроектирована и построена экспериментальная пороховая катапульта для запуска самолета с борта корабля (1935г.).</w:t>
      </w:r>
      <w:r w:rsidRPr="0044524F">
        <w:rPr>
          <w:rFonts w:ascii="Times New Roman" w:hAnsi="Times New Roman"/>
          <w:color w:val="000000" w:themeColor="text1"/>
          <w:sz w:val="16"/>
          <w:szCs w:val="16"/>
          <w:vertAlign w:val="superscript"/>
        </w:rPr>
        <w:t>39</w:t>
      </w:r>
      <w:r w:rsidRPr="0044524F">
        <w:rPr>
          <w:rFonts w:ascii="Times New Roman" w:hAnsi="Times New Roman"/>
          <w:color w:val="000000" w:themeColor="text1"/>
          <w:sz w:val="16"/>
          <w:szCs w:val="16"/>
        </w:rPr>
        <w:t xml:space="preserve"> В 1933-40 г. под руководством Б.С. Петропавловского создан ряд пороховых </w:t>
      </w:r>
      <w:r w:rsidRPr="0044524F">
        <w:rPr>
          <w:rFonts w:ascii="Times New Roman" w:hAnsi="Times New Roman"/>
          <w:color w:val="000000" w:themeColor="text1"/>
          <w:sz w:val="16"/>
          <w:szCs w:val="16"/>
          <w:lang w:val="en-US"/>
        </w:rPr>
        <w:t>PC</w:t>
      </w:r>
      <w:r w:rsidRPr="0044524F">
        <w:rPr>
          <w:rFonts w:ascii="Times New Roman" w:hAnsi="Times New Roman"/>
          <w:color w:val="000000" w:themeColor="text1"/>
          <w:sz w:val="16"/>
          <w:szCs w:val="16"/>
        </w:rPr>
        <w:t>. В 1936г. на базе ракеты «05» создана ракета «Авиавнито» с двигателем 12К (запущена 6.04.1936г.).</w:t>
      </w:r>
    </w:p>
    <w:p w14:paraId="1207488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12.1936г. Научно-исследовательский реактивный институт передан из НКТП в НКОП и по пр. № Обсс от 30.12.1936г. переименован в НИИ № 3, в 03.1937г. - в ведении 4ГУ. По пр. НКОП № 0180 от 15.08.1937г. институт передан из 4ГУ в новое 13ГУ, пр. № 295 от 17.08.1937г. утвержден Устав института.</w:t>
      </w:r>
      <w:r w:rsidRPr="0044524F">
        <w:rPr>
          <w:rFonts w:ascii="Times New Roman" w:hAnsi="Times New Roman"/>
          <w:color w:val="000000" w:themeColor="text1"/>
          <w:sz w:val="16"/>
          <w:szCs w:val="16"/>
          <w:vertAlign w:val="superscript"/>
        </w:rPr>
        <w:t>139</w:t>
      </w:r>
      <w:r w:rsidRPr="0044524F">
        <w:rPr>
          <w:rFonts w:ascii="Times New Roman" w:hAnsi="Times New Roman"/>
          <w:color w:val="000000" w:themeColor="text1"/>
          <w:sz w:val="16"/>
          <w:szCs w:val="16"/>
        </w:rPr>
        <w:t xml:space="preserve"> В 02.1939г. НИИ № 3 13ГУ НКОП передан в ведение 13ГУ НКБ, в 06.1939г. - в ведении 4ГУ НКБ.</w:t>
      </w:r>
      <w:r w:rsidRPr="0044524F">
        <w:rPr>
          <w:rFonts w:ascii="Times New Roman" w:hAnsi="Times New Roman"/>
          <w:color w:val="000000" w:themeColor="text1"/>
          <w:sz w:val="16"/>
          <w:szCs w:val="16"/>
          <w:vertAlign w:val="superscript"/>
        </w:rPr>
        <w:t>132</w:t>
      </w:r>
      <w:r w:rsidRPr="0044524F">
        <w:rPr>
          <w:rFonts w:ascii="Times New Roman" w:hAnsi="Times New Roman"/>
          <w:color w:val="000000" w:themeColor="text1"/>
          <w:sz w:val="16"/>
          <w:szCs w:val="16"/>
        </w:rPr>
        <w:t xml:space="preserve"> (действовал в НКБ в 1941 г.).</w:t>
      </w:r>
    </w:p>
    <w:p w14:paraId="3C74FF6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1937г. многие сотрудники были арестованы, в т.ч. Глушко, Королев (отбывал срок на Колыме, на прииске Мальдяк. После организации ЦКБ-29 НКВД переведен на работу туда, в 1941 г. переведен в ОКБ-29 НКВД в Казань. В 1942-46г. был зам. гл. конструктора ОКБ-29 НКВД по летньм испытаниям, в 09.1944г. работал также в 4-м спецотделе НКВД на заводе № 16).</w:t>
      </w:r>
    </w:p>
    <w:p w14:paraId="6F773FB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ареста Глушко и Королева их отделы в 1938г. были объединены в один. Продолжены работы по ракетоплану РП-318-1. После успешных испытаний РП-318-1 (первый полет 28.02.1940 г.) был разобран, а после начала войны уничтожен. В соответствии с пост. ГКО от 08.1941 г. отделу Душкина было поручено создание ЖРД РДА-1 -1100 для истребителя БИ.</w:t>
      </w:r>
    </w:p>
    <w:p w14:paraId="4CD4A19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 147сс от 4.05.1938г. группа по авиабомбам института переведена в созданное ГСКБ-47.</w:t>
      </w:r>
    </w:p>
    <w:p w14:paraId="144790E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правительства № 223сс от 10.09.1938г. и пр. № 381сс от 29.09.1938г. требовалось организовать лабораторию по исследованию пирозапуска авиационных моторов.</w:t>
      </w:r>
    </w:p>
    <w:p w14:paraId="188E6AC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Имелись (1939г.): корпуса № 1,2,3,4; экспериментальная мастерская (34 станка).</w:t>
      </w:r>
    </w:p>
    <w:p w14:paraId="2AA2EFA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20-х числах октября 1941 г. институт эвакуирован в Свердловск (11981).</w:t>
      </w:r>
    </w:p>
    <w:p w14:paraId="47D04BE2"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CFBE6C2"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21 сентября 1933 г.</w:t>
      </w:r>
      <w:r w:rsidRPr="0044524F">
        <w:rPr>
          <w:color w:val="000000" w:themeColor="text1"/>
          <w:sz w:val="16"/>
          <w:szCs w:val="16"/>
        </w:rPr>
        <w:t xml:space="preserve"> Приказ Реввоенсовета о формировании первого отечественного Реактивного научно-исследовательского института РККА в Москве путем объединения ГДЛ при Управлении Военных Изобретений и МосГИРД при ОСОАВИАХИМ. </w:t>
      </w:r>
    </w:p>
    <w:p w14:paraId="06D06929"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 октября 1933 г.</w:t>
      </w:r>
      <w:r w:rsidRPr="0044524F">
        <w:rPr>
          <w:color w:val="000000" w:themeColor="text1"/>
          <w:sz w:val="16"/>
          <w:szCs w:val="16"/>
        </w:rPr>
        <w:t xml:space="preserve"> - 2 января 1934 г. - Продолжение работ подразделения В.П.Глушко в составе Ленинградского отделения РНИИ. </w:t>
      </w:r>
    </w:p>
    <w:p w14:paraId="045F04B8"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31 октября 1933 г.</w:t>
      </w:r>
      <w:r w:rsidRPr="0044524F">
        <w:rPr>
          <w:color w:val="000000" w:themeColor="text1"/>
          <w:sz w:val="16"/>
          <w:szCs w:val="16"/>
        </w:rPr>
        <w:t xml:space="preserve"> Постановление Совета Труда и Обороны о переводе РНИИ в состав Наркомата тяжелой промышленности. </w:t>
      </w:r>
    </w:p>
    <w:p w14:paraId="4C44AA82"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Ноябрь 1933 г.</w:t>
      </w:r>
      <w:r w:rsidRPr="0044524F">
        <w:rPr>
          <w:color w:val="000000" w:themeColor="text1"/>
          <w:sz w:val="16"/>
          <w:szCs w:val="16"/>
        </w:rPr>
        <w:t xml:space="preserve"> Проведены первые официальные стендовые испытания двигателя ОРМ-50 тягой 150кг с химическим зажиганием для ракеты 05 конструкции МосГИРД. Двигатель затем прошел стендовые испытания в составе ракеты и работал при пуске ракеты 05 с полигона ГИРД в Нахабино под Москвой. </w:t>
      </w:r>
    </w:p>
    <w:p w14:paraId="014E28C1"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Конец 1933 г.</w:t>
      </w:r>
      <w:r w:rsidRPr="0044524F">
        <w:rPr>
          <w:color w:val="000000" w:themeColor="text1"/>
          <w:sz w:val="16"/>
          <w:szCs w:val="16"/>
        </w:rPr>
        <w:t xml:space="preserve"> Проведены предварительные пневмогидравлические испытания жидкостной ракеты РЛА-2. </w:t>
      </w:r>
    </w:p>
    <w:p w14:paraId="2E7E1A54"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Декабрь 1933 г.</w:t>
      </w:r>
      <w:r w:rsidRPr="0044524F">
        <w:rPr>
          <w:color w:val="000000" w:themeColor="text1"/>
          <w:sz w:val="16"/>
          <w:szCs w:val="16"/>
        </w:rPr>
        <w:t xml:space="preserve"> Проведены официальные стендовые испытания двигателя ОРМ-52 тягой 300кг с химическим зажиганием для ракет серии РЛА и морской торпеды. </w:t>
      </w:r>
    </w:p>
    <w:p w14:paraId="36C4D46C"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31 декабря 1933 г.</w:t>
      </w:r>
      <w:r w:rsidRPr="0044524F">
        <w:rPr>
          <w:color w:val="000000" w:themeColor="text1"/>
          <w:sz w:val="16"/>
          <w:szCs w:val="16"/>
        </w:rPr>
        <w:t xml:space="preserve"> Летное испытание ракеты РЛА-1 с двигателем ОРМ-52 не состоялось из-за неоткрытия пускового клапана при сильном морозе.</w:t>
      </w:r>
    </w:p>
    <w:p w14:paraId="3815F24A"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3 января 1934 г.</w:t>
      </w:r>
      <w:r w:rsidRPr="0044524F">
        <w:rPr>
          <w:color w:val="000000" w:themeColor="text1"/>
          <w:sz w:val="16"/>
          <w:szCs w:val="16"/>
        </w:rPr>
        <w:t xml:space="preserve"> Переезд В.П.Глушко и его сотрудников в Москву для продолжения работ по ЖРД в составе РНИИ. В.П.Глушко назначен начальником сектора “Азотнокислотные ЖРД”отдела №2. </w:t>
      </w:r>
    </w:p>
    <w:p w14:paraId="3CFCC1C5"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1934-35 гг.</w:t>
      </w:r>
      <w:r w:rsidRPr="0044524F">
        <w:rPr>
          <w:color w:val="000000" w:themeColor="text1"/>
          <w:sz w:val="16"/>
          <w:szCs w:val="16"/>
        </w:rPr>
        <w:t xml:space="preserve"> Разработка семейства экспериментальных ЖРД ОРМ-53...ОРМ-64. </w:t>
      </w:r>
    </w:p>
    <w:p w14:paraId="47A287F2"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20 октября 1935 г.</w:t>
      </w:r>
      <w:r w:rsidRPr="0044524F">
        <w:rPr>
          <w:color w:val="000000" w:themeColor="text1"/>
          <w:sz w:val="16"/>
          <w:szCs w:val="16"/>
        </w:rPr>
        <w:t xml:space="preserve"> Заключен договор с Остехбюро на выполнение работы “Газогенератор для морских торпед”. </w:t>
      </w:r>
    </w:p>
    <w:p w14:paraId="41461F8A"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1935-1936 гг.</w:t>
      </w:r>
      <w:r w:rsidRPr="0044524F">
        <w:rPr>
          <w:color w:val="000000" w:themeColor="text1"/>
          <w:sz w:val="16"/>
          <w:szCs w:val="16"/>
        </w:rPr>
        <w:t xml:space="preserve"> Разработка конструкции газогенератора ГГ-1 на азотной кислоте и керосине с впрыском воды. </w:t>
      </w:r>
    </w:p>
    <w:p w14:paraId="3A34B5B1"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15 марта 1936 г.</w:t>
      </w:r>
      <w:r w:rsidRPr="0044524F">
        <w:rPr>
          <w:color w:val="000000" w:themeColor="text1"/>
          <w:sz w:val="16"/>
          <w:szCs w:val="16"/>
        </w:rPr>
        <w:t xml:space="preserve"> Начало разработки ЖРД ОРМ-65. </w:t>
      </w:r>
    </w:p>
    <w:p w14:paraId="132B28DC"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5 ноября 1936 г.</w:t>
      </w:r>
      <w:r w:rsidRPr="0044524F">
        <w:rPr>
          <w:color w:val="000000" w:themeColor="text1"/>
          <w:sz w:val="16"/>
          <w:szCs w:val="16"/>
        </w:rPr>
        <w:t xml:space="preserve"> Официальные стендовые испытания ЖРД ОРМ-65 тягой до 175кг на азотнокислотно-керосиновом топливе для ракетоплана РП-318 и крылатой ракеты 212. Подписан акт о сдаче двигателя. </w:t>
      </w:r>
    </w:p>
    <w:p w14:paraId="79CB466D"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 января 1937 г.</w:t>
      </w:r>
      <w:r w:rsidRPr="0044524F">
        <w:rPr>
          <w:color w:val="000000" w:themeColor="text1"/>
          <w:sz w:val="16"/>
          <w:szCs w:val="16"/>
        </w:rPr>
        <w:t xml:space="preserve"> РНИИ НКТП переименован в НИИ №3 с подчинением Наркомату оборонной промышленности (НКОП). </w:t>
      </w:r>
    </w:p>
    <w:p w14:paraId="0659C0E2"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22 марта 1937 г.</w:t>
      </w:r>
      <w:r w:rsidRPr="0044524F">
        <w:rPr>
          <w:color w:val="000000" w:themeColor="text1"/>
          <w:sz w:val="16"/>
          <w:szCs w:val="16"/>
        </w:rPr>
        <w:t xml:space="preserve"> Приказ наркома оборонной промышленности о премировании В.П.Глушко за создание первого ракетного двигателя на азотном топливе (ОРМ-65). </w:t>
      </w:r>
    </w:p>
    <w:p w14:paraId="3C494630"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29 апреля 1937 г.</w:t>
      </w:r>
      <w:r w:rsidRPr="0044524F">
        <w:rPr>
          <w:color w:val="000000" w:themeColor="text1"/>
          <w:sz w:val="16"/>
          <w:szCs w:val="16"/>
        </w:rPr>
        <w:t xml:space="preserve"> Проведено первое наземное огневое испытание ОРМ-65 №1 в составе ракеты 212. </w:t>
      </w:r>
    </w:p>
    <w:p w14:paraId="62168018"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27 августа 1937 г.</w:t>
      </w:r>
      <w:r w:rsidRPr="0044524F">
        <w:rPr>
          <w:color w:val="000000" w:themeColor="text1"/>
          <w:sz w:val="16"/>
          <w:szCs w:val="16"/>
        </w:rPr>
        <w:t xml:space="preserve"> Проведены официальные стендовые испытания первого отечественного газогенератора ГГ-1 общей продолжительностью 1 час 46 мин. </w:t>
      </w:r>
    </w:p>
    <w:p w14:paraId="143CFEB3"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16 декабря 1937 г.</w:t>
      </w:r>
      <w:r w:rsidRPr="0044524F">
        <w:rPr>
          <w:color w:val="000000" w:themeColor="text1"/>
          <w:sz w:val="16"/>
          <w:szCs w:val="16"/>
        </w:rPr>
        <w:t xml:space="preserve"> Первое огневое наземное испытание ЖРД ОРМ-65 №1 в составе ракетоплана РП-318. </w:t>
      </w:r>
    </w:p>
    <w:p w14:paraId="0303D4AD"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17 декабря 1937 г. - 11 января 1938 г.</w:t>
      </w:r>
      <w:r w:rsidRPr="0044524F">
        <w:rPr>
          <w:color w:val="000000" w:themeColor="text1"/>
          <w:sz w:val="16"/>
          <w:szCs w:val="16"/>
        </w:rPr>
        <w:t xml:space="preserve"> Проведено еще 20 наземных огневых испытаний ЖРД ОРМ-65 №1 в составе ракетоплана РП-318. </w:t>
      </w:r>
    </w:p>
    <w:p w14:paraId="45029470"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1937-1938 г.</w:t>
      </w:r>
      <w:r w:rsidRPr="0044524F">
        <w:rPr>
          <w:color w:val="000000" w:themeColor="text1"/>
          <w:sz w:val="16"/>
          <w:szCs w:val="16"/>
        </w:rPr>
        <w:t xml:space="preserve"> Проведено 13 наземных огневых испытаний ЖРД ОРМ-65 в составе крылатой ракеты 212. </w:t>
      </w:r>
    </w:p>
    <w:p w14:paraId="0F05713F"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3 февраля - 15 апреля 1938 г.</w:t>
      </w:r>
      <w:r w:rsidRPr="0044524F">
        <w:rPr>
          <w:color w:val="000000" w:themeColor="text1"/>
          <w:sz w:val="16"/>
          <w:szCs w:val="16"/>
        </w:rPr>
        <w:t xml:space="preserve"> Проведено 9 наземных огневых испытаний ЖРД ОРМ-65 №2 в составе ракетоплана РП-318. </w:t>
      </w:r>
    </w:p>
    <w:p w14:paraId="5ED63F39"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23 марта 1938 г.</w:t>
      </w:r>
      <w:r w:rsidRPr="0044524F">
        <w:rPr>
          <w:color w:val="000000" w:themeColor="text1"/>
          <w:sz w:val="16"/>
          <w:szCs w:val="16"/>
        </w:rPr>
        <w:t xml:space="preserve"> Арест В.П.Глушко по делу антисоветской троцкистко-вредительской организации в НИИ №3. </w:t>
      </w:r>
    </w:p>
    <w:p w14:paraId="5C445688"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29 января и 8 марта 1939 г.</w:t>
      </w:r>
      <w:r w:rsidRPr="0044524F">
        <w:rPr>
          <w:color w:val="000000" w:themeColor="text1"/>
          <w:sz w:val="16"/>
          <w:szCs w:val="16"/>
        </w:rPr>
        <w:t xml:space="preserve"> Два летных испытания ЖРД ОРМ-65 №2 конструкции В.П.Глушко в составе крылатой ракете 212. </w:t>
      </w:r>
    </w:p>
    <w:p w14:paraId="44B87DAB"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15 августа 1939 г.</w:t>
      </w:r>
      <w:r w:rsidRPr="0044524F">
        <w:rPr>
          <w:color w:val="000000" w:themeColor="text1"/>
          <w:sz w:val="16"/>
          <w:szCs w:val="16"/>
        </w:rPr>
        <w:t xml:space="preserve"> Постановление Особого Совещания при Наркоме Внутренних Дел СССР о заключении В.П.Глушко в ИТЛ на 8 лет. </w:t>
      </w:r>
    </w:p>
    <w:p w14:paraId="74B9CFED"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Осень 1939 г. - лето 1940 г.</w:t>
      </w:r>
      <w:r w:rsidRPr="0044524F">
        <w:rPr>
          <w:color w:val="000000" w:themeColor="text1"/>
          <w:sz w:val="16"/>
          <w:szCs w:val="16"/>
        </w:rPr>
        <w:t xml:space="preserve"> В.П.Глушко получил возможность продолжить работы по ЖРД в спецгруппе 4-го Спецотдела НКВД при Тушинском авиамоторостроительном заводе №82. Разработка проектов мощного газогенератора ГГ-3 и установки ЖРД (на базе ОРМ-65) в качестве ускорителя на самолет С-100 и “Сталь- 7”.</w:t>
      </w:r>
    </w:p>
    <w:p w14:paraId="176AA9E4"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1940-44 гг.</w:t>
      </w:r>
      <w:r w:rsidRPr="0044524F">
        <w:rPr>
          <w:color w:val="000000" w:themeColor="text1"/>
          <w:sz w:val="16"/>
          <w:szCs w:val="16"/>
        </w:rPr>
        <w:t xml:space="preserve"> Работы В.П.Глушко и его сотрудников продолжаются в ОКБ 4-го Спецотдела НКВД при авиазаводе №27 (затем №16) в Казани. </w:t>
      </w:r>
    </w:p>
    <w:p w14:paraId="72044DCB"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1940-41 гг.</w:t>
      </w:r>
      <w:r w:rsidRPr="0044524F">
        <w:rPr>
          <w:color w:val="000000" w:themeColor="text1"/>
          <w:sz w:val="16"/>
          <w:szCs w:val="16"/>
        </w:rPr>
        <w:t xml:space="preserve"> Разработка проекта установки ЖРД в качестве ускорителя на самолет для ВВС. </w:t>
      </w:r>
    </w:p>
    <w:p w14:paraId="2A2946E7"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30 октября 1941 г.</w:t>
      </w:r>
      <w:r w:rsidRPr="0044524F">
        <w:rPr>
          <w:color w:val="000000" w:themeColor="text1"/>
          <w:sz w:val="16"/>
          <w:szCs w:val="16"/>
        </w:rPr>
        <w:t xml:space="preserve">Завод №84 из Химок эвакуирован в Ташкент. На оставшихся площадях организованы мастерские для ремонта фронтовых самолетов, переведенные в конце 1941г на завод №89 в Тушино. </w:t>
      </w:r>
    </w:p>
    <w:p w14:paraId="0C91E3F6"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1941 г.</w:t>
      </w:r>
      <w:r w:rsidRPr="0044524F">
        <w:rPr>
          <w:color w:val="000000" w:themeColor="text1"/>
          <w:sz w:val="16"/>
          <w:szCs w:val="16"/>
        </w:rPr>
        <w:t xml:space="preserve"> В.П.Глушко назначен главным конструктором по ЖРД в ОКБ 4-го Спецотдела при заводе №16. </w:t>
      </w:r>
    </w:p>
    <w:p w14:paraId="53E31840"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1941-46 гг.</w:t>
      </w:r>
      <w:r w:rsidRPr="0044524F">
        <w:rPr>
          <w:color w:val="000000" w:themeColor="text1"/>
          <w:sz w:val="16"/>
          <w:szCs w:val="16"/>
        </w:rPr>
        <w:t xml:space="preserve"> Разработка одно-, двух, трех- и четырехкамерных самолетных реактивных установок с насосной подачей топлива с тягой от 300 до 1200кг. </w:t>
      </w:r>
    </w:p>
    <w:p w14:paraId="4A263ED1"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16 апреля 1942 г.</w:t>
      </w:r>
      <w:r w:rsidRPr="0044524F">
        <w:rPr>
          <w:color w:val="000000" w:themeColor="text1"/>
          <w:sz w:val="16"/>
          <w:szCs w:val="16"/>
        </w:rPr>
        <w:t xml:space="preserve"> Создан государственный союзный завод №456 НКАП в Химках для ремонта самолетов различных типов на территории завода №84, эвакуированного в Ташкент. </w:t>
      </w:r>
    </w:p>
    <w:p w14:paraId="3844C386"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1942 г.</w:t>
      </w:r>
      <w:r w:rsidRPr="0044524F">
        <w:rPr>
          <w:color w:val="000000" w:themeColor="text1"/>
          <w:sz w:val="16"/>
          <w:szCs w:val="16"/>
        </w:rPr>
        <w:t xml:space="preserve"> Проведены стендовые доводочные испытания камеры сгорания РО1-1 (для ЖРД РД-1) общей продолжительностью 1 час 10мин за 25 пусков без съема со стенда. </w:t>
      </w:r>
    </w:p>
    <w:p w14:paraId="410DBF3A"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1942 г.</w:t>
      </w:r>
      <w:r w:rsidRPr="0044524F">
        <w:rPr>
          <w:color w:val="000000" w:themeColor="text1"/>
          <w:sz w:val="16"/>
          <w:szCs w:val="16"/>
        </w:rPr>
        <w:t xml:space="preserve"> Начало проектирования автономного ТНА для самолетных ЖРД. </w:t>
      </w:r>
    </w:p>
    <w:p w14:paraId="476DDBDA"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1942 г.</w:t>
      </w:r>
      <w:r w:rsidRPr="0044524F">
        <w:rPr>
          <w:color w:val="000000" w:themeColor="text1"/>
          <w:sz w:val="16"/>
          <w:szCs w:val="16"/>
        </w:rPr>
        <w:t xml:space="preserve"> ОКБ 4-го Спецотдела НКВД при заводе №16 посетили В.Ф.Болховитинов и А.М.Исаев для знакомства с работами по ЖРД. </w:t>
      </w:r>
    </w:p>
    <w:p w14:paraId="5C98147C"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1942-44 гг.</w:t>
      </w:r>
      <w:r w:rsidRPr="0044524F">
        <w:rPr>
          <w:color w:val="000000" w:themeColor="text1"/>
          <w:sz w:val="16"/>
          <w:szCs w:val="16"/>
        </w:rPr>
        <w:t xml:space="preserve"> С.П.Королев работает в составе ОКБ 4-го Спецотдела НКВД при заводе №16, занимаясь установкой ЖРД конструкции В.П.Глушко на самолеты. </w:t>
      </w:r>
    </w:p>
    <w:p w14:paraId="5156AE2A"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1943 г.</w:t>
      </w:r>
      <w:r w:rsidRPr="0044524F">
        <w:rPr>
          <w:color w:val="000000" w:themeColor="text1"/>
          <w:sz w:val="16"/>
          <w:szCs w:val="16"/>
        </w:rPr>
        <w:t xml:space="preserve"> Проведены официальные стендовые испытания РД-1. </w:t>
      </w:r>
    </w:p>
    <w:p w14:paraId="0564684A"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22 августа - 18 ноября 1943 г.</w:t>
      </w:r>
      <w:r w:rsidRPr="0044524F">
        <w:rPr>
          <w:color w:val="000000" w:themeColor="text1"/>
          <w:sz w:val="16"/>
          <w:szCs w:val="16"/>
        </w:rPr>
        <w:t xml:space="preserve"> Первые официальные летные испытания ЖРД РД-1 на самолете Пе-2Р (проведено 40 полетов с включением ЖРД). </w:t>
      </w:r>
    </w:p>
    <w:p w14:paraId="780188FD"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1943-46 гг.</w:t>
      </w:r>
      <w:r w:rsidRPr="0044524F">
        <w:rPr>
          <w:color w:val="000000" w:themeColor="text1"/>
          <w:sz w:val="16"/>
          <w:szCs w:val="16"/>
        </w:rPr>
        <w:t xml:space="preserve"> Летные испытания двигателей РД-1 и РД-1ХЗ на самолетах Пе-2, Ла-7 и 120Р, Як-3, Су-6 и Су-7 (около 400 пусков двигателей). </w:t>
      </w:r>
    </w:p>
    <w:p w14:paraId="6DF15542"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1944 г.</w:t>
      </w:r>
      <w:r w:rsidRPr="0044524F">
        <w:rPr>
          <w:color w:val="000000" w:themeColor="text1"/>
          <w:sz w:val="16"/>
          <w:szCs w:val="16"/>
        </w:rPr>
        <w:t xml:space="preserve"> Двигатели РД-1 в двух модификациях запущены в серийное производство по решению Государственного Комитета Обороны. </w:t>
      </w:r>
    </w:p>
    <w:p w14:paraId="5E60AED9" w14:textId="07A7FBDD"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Июль 1944г</w:t>
      </w:r>
      <w:r w:rsidR="0088747B">
        <w:rPr>
          <w:color w:val="000000" w:themeColor="text1"/>
          <w:sz w:val="16"/>
          <w:szCs w:val="16"/>
        </w:rPr>
        <w:t xml:space="preserve">  </w:t>
      </w:r>
      <w:r w:rsidRPr="0044524F">
        <w:rPr>
          <w:color w:val="000000" w:themeColor="text1"/>
          <w:sz w:val="16"/>
          <w:szCs w:val="16"/>
        </w:rPr>
        <w:t xml:space="preserve">Начало р азработк и двигателя РД-1ХЗ с введением системы повторного химического зажигания. </w:t>
      </w:r>
    </w:p>
    <w:p w14:paraId="3E20ADFF"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27 июля 1944 г.</w:t>
      </w:r>
      <w:r w:rsidRPr="0044524F">
        <w:rPr>
          <w:color w:val="000000" w:themeColor="text1"/>
          <w:sz w:val="16"/>
          <w:szCs w:val="16"/>
        </w:rPr>
        <w:t xml:space="preserve"> Постановление Президиума Верховного Совета СССР о досрочном освобождении со снятием судимости В.П.Глушко и группы сотрудников ОКБ 4-го Спецотдела НКВД при заводе №16 (всего 35 человек). </w:t>
      </w:r>
    </w:p>
    <w:p w14:paraId="06BFF073"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30 октября 1944 г.</w:t>
      </w:r>
      <w:r w:rsidRPr="0044524F">
        <w:rPr>
          <w:color w:val="000000" w:themeColor="text1"/>
          <w:sz w:val="16"/>
          <w:szCs w:val="16"/>
        </w:rPr>
        <w:t xml:space="preserve"> Авиаконструкторы Яковлев, Лавочкин и Сухой приказом НКАП обязывались создавать самолеты с реактивными двигателями. </w:t>
      </w:r>
    </w:p>
    <w:p w14:paraId="0C7812F8"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7 декабря 1944 г.</w:t>
      </w:r>
      <w:r w:rsidRPr="0044524F">
        <w:rPr>
          <w:color w:val="000000" w:themeColor="text1"/>
          <w:sz w:val="16"/>
          <w:szCs w:val="16"/>
        </w:rPr>
        <w:t xml:space="preserve"> Организация ОКБ спецдвигателей (ОКБ-СД) Наркомата авиационной промышленности во главе с В.П.Глушко на базе ОКБ 4-го Спецотдела при заводе №16 в Казани. </w:t>
      </w:r>
    </w:p>
    <w:p w14:paraId="757C677E"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1944-45 гг.</w:t>
      </w:r>
      <w:r w:rsidRPr="0044524F">
        <w:rPr>
          <w:color w:val="000000" w:themeColor="text1"/>
          <w:sz w:val="16"/>
          <w:szCs w:val="16"/>
        </w:rPr>
        <w:t xml:space="preserve"> С.П.Королев работает в ОКБ-СД зам. главного конструктора. Заместителями главного конструктора работают также Г.С.Жирицкий и Д.Д.Севрук. </w:t>
      </w:r>
    </w:p>
    <w:p w14:paraId="409B3DD7"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1944-45 гг.</w:t>
      </w:r>
      <w:r w:rsidRPr="0044524F">
        <w:rPr>
          <w:color w:val="000000" w:themeColor="text1"/>
          <w:sz w:val="16"/>
          <w:szCs w:val="16"/>
        </w:rPr>
        <w:t xml:space="preserve"> Проведены испытания опытного трехкамерного ЖРД РД-3 с ТНА. </w:t>
      </w:r>
    </w:p>
    <w:p w14:paraId="1EA03EB1"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22 января 1945 г.</w:t>
      </w:r>
      <w:r w:rsidRPr="0044524F">
        <w:rPr>
          <w:color w:val="000000" w:themeColor="text1"/>
          <w:sz w:val="16"/>
          <w:szCs w:val="16"/>
        </w:rPr>
        <w:t xml:space="preserve"> Осуществлен первый полет самолета Як-3РД с ЖРД РД-1ХЗ. </w:t>
      </w:r>
    </w:p>
    <w:p w14:paraId="0491E120"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1945 г.</w:t>
      </w:r>
      <w:r w:rsidRPr="0044524F">
        <w:rPr>
          <w:color w:val="000000" w:themeColor="text1"/>
          <w:sz w:val="16"/>
          <w:szCs w:val="16"/>
        </w:rPr>
        <w:t xml:space="preserve"> Проведены наземные и летные испытания самолета Пе-2Р с ЖРД РД-1ХЗ в Летно-исследовательском институте под Москвой. </w:t>
      </w:r>
    </w:p>
    <w:p w14:paraId="6B762D6A"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Июль 1945 г.</w:t>
      </w:r>
      <w:r w:rsidRPr="0044524F">
        <w:rPr>
          <w:color w:val="000000" w:themeColor="text1"/>
          <w:sz w:val="16"/>
          <w:szCs w:val="16"/>
        </w:rPr>
        <w:t xml:space="preserve"> В.П.Глушко направлен в Германию для работы в составе Особой правительственной комиссии под руководством генерала Л.М.Гайдукова. </w:t>
      </w:r>
    </w:p>
    <w:p w14:paraId="2FB91C77"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1945 г.</w:t>
      </w:r>
      <w:r w:rsidRPr="0044524F">
        <w:rPr>
          <w:color w:val="000000" w:themeColor="text1"/>
          <w:sz w:val="16"/>
          <w:szCs w:val="16"/>
        </w:rPr>
        <w:t xml:space="preserve"> Двигатель РД-1ХЗ запущен в серийное производство. </w:t>
      </w:r>
    </w:p>
    <w:p w14:paraId="6B85DCDE"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Август 1945 г. - январь 1947 г.</w:t>
      </w:r>
      <w:r w:rsidRPr="0044524F">
        <w:rPr>
          <w:color w:val="000000" w:themeColor="text1"/>
          <w:sz w:val="16"/>
          <w:szCs w:val="16"/>
        </w:rPr>
        <w:t xml:space="preserve"> Работа в Германии под руководством В.П.Глушко группы специалистов ОКБ-СД. </w:t>
      </w:r>
    </w:p>
    <w:p w14:paraId="0977101C"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Сентябрь 1945 г.</w:t>
      </w:r>
      <w:r w:rsidRPr="0044524F">
        <w:rPr>
          <w:color w:val="000000" w:themeColor="text1"/>
          <w:sz w:val="16"/>
          <w:szCs w:val="16"/>
        </w:rPr>
        <w:t xml:space="preserve"> Первое награждение сотрудников ОКБ-СД правительственными орденами и медалями. В.П.Глушко и Д.Д.Севрук награждены орденами Трудового </w:t>
      </w:r>
      <w:r w:rsidRPr="0044524F">
        <w:rPr>
          <w:color w:val="000000" w:themeColor="text1"/>
          <w:sz w:val="16"/>
          <w:szCs w:val="16"/>
        </w:rPr>
        <w:lastRenderedPageBreak/>
        <w:t xml:space="preserve">Красного Знамени, С.П.Королев, Г.С.Жирицкий, Н.Н.Артамонов, Г.Н.Лист, Н.С.Шнякин - орденами “Знак Почета”, большая группа сотрудников награждена медалью “За доблестный труд в Великой Отечественной войне”. </w:t>
      </w:r>
    </w:p>
    <w:p w14:paraId="37B1C589"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Сентябрь 1945 г. - январь 1947 г.</w:t>
      </w:r>
      <w:r w:rsidRPr="0044524F">
        <w:rPr>
          <w:color w:val="000000" w:themeColor="text1"/>
          <w:sz w:val="16"/>
          <w:szCs w:val="16"/>
        </w:rPr>
        <w:t xml:space="preserve"> Директором испытательной базы в Леестене работает сотрудник ОКБ-СД В.Л.Шабранский. </w:t>
      </w:r>
    </w:p>
    <w:p w14:paraId="39F3D78F"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Октябрь 1945 г.</w:t>
      </w:r>
      <w:r w:rsidRPr="0044524F">
        <w:rPr>
          <w:color w:val="000000" w:themeColor="text1"/>
          <w:sz w:val="16"/>
          <w:szCs w:val="16"/>
        </w:rPr>
        <w:t xml:space="preserve"> В.П.Глушко в составе группы советских специалистов присутствует на демонстрационном пуске ракеты Фау-2 в английской оккупационной зоне. </w:t>
      </w:r>
    </w:p>
    <w:p w14:paraId="5AA16B07"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23 ноября 1945 г.</w:t>
      </w:r>
      <w:r w:rsidRPr="0044524F">
        <w:rPr>
          <w:color w:val="000000" w:themeColor="text1"/>
          <w:sz w:val="16"/>
          <w:szCs w:val="16"/>
        </w:rPr>
        <w:t xml:space="preserve"> В.П.Глушко подает докладную записку председателю Особой правительственной комиссии генералу Л.М.Гайдукову о результатах работы группы сотрудников ОКБ-СД в Германии и с предложениями о развитии ракетной техники в СССР. </w:t>
      </w:r>
    </w:p>
    <w:p w14:paraId="7D93E2D3"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 января 1946 г.</w:t>
      </w:r>
      <w:r w:rsidRPr="0044524F">
        <w:rPr>
          <w:color w:val="000000" w:themeColor="text1"/>
          <w:sz w:val="16"/>
          <w:szCs w:val="16"/>
        </w:rPr>
        <w:t xml:space="preserve"> Завод №456 определен приказом НКАП как филиал опытного производства КБ С.В.Ильюшина. </w:t>
      </w:r>
    </w:p>
    <w:p w14:paraId="2D71BF73"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Февраль 1946 г.</w:t>
      </w:r>
      <w:r w:rsidRPr="0044524F">
        <w:rPr>
          <w:color w:val="000000" w:themeColor="text1"/>
          <w:sz w:val="16"/>
          <w:szCs w:val="16"/>
        </w:rPr>
        <w:t xml:space="preserve"> Создание института “Нордхаузен” в Германии под руководством генерала Л.М.Гайдукова, в состав которого вошли завод “Монтанья” по производству ЖРД для Фау-2 и база огневых испытаний ЖРД в Леестене (завод “Форверк-Митте”), руководимые В.П.Глушко. </w:t>
      </w:r>
    </w:p>
    <w:p w14:paraId="7FCA6FEC"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14 марта 1946 г.</w:t>
      </w:r>
      <w:r w:rsidRPr="0044524F">
        <w:rPr>
          <w:color w:val="000000" w:themeColor="text1"/>
          <w:sz w:val="16"/>
          <w:szCs w:val="16"/>
        </w:rPr>
        <w:t xml:space="preserve"> Директором завода №456 назначен Б.И.Свет. </w:t>
      </w:r>
    </w:p>
    <w:p w14:paraId="1434A613"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13 мая 1946 г.</w:t>
      </w:r>
      <w:r w:rsidRPr="0044524F">
        <w:rPr>
          <w:color w:val="000000" w:themeColor="text1"/>
          <w:sz w:val="16"/>
          <w:szCs w:val="16"/>
        </w:rPr>
        <w:t xml:space="preserve"> Принято Постановление Правительства о развитии ракетной техники в СССР, определившее первоочередной задачей воспроизводство ракеты А-4 из отечественных материалов. Головным министерством по ЖРД определено Министерство авиационной промышленности. </w:t>
      </w:r>
    </w:p>
    <w:p w14:paraId="42D3EBC3"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3 июля 1946 г.</w:t>
      </w:r>
      <w:r w:rsidRPr="0044524F">
        <w:rPr>
          <w:color w:val="000000" w:themeColor="text1"/>
          <w:sz w:val="16"/>
          <w:szCs w:val="16"/>
        </w:rPr>
        <w:t xml:space="preserve"> Приказ Министра авиапрома о перепрофилировании авиаремонтного завода №456 под производство ЖРД и переводе в Химки ОКБ-СД из Казани. Главным конструктором ОКБ при заводе №456 назначен В.П.Глушко. </w:t>
      </w:r>
    </w:p>
    <w:p w14:paraId="57086EE8"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18 августа 1946 г.</w:t>
      </w:r>
      <w:r w:rsidRPr="0044524F">
        <w:rPr>
          <w:color w:val="000000" w:themeColor="text1"/>
          <w:sz w:val="16"/>
          <w:szCs w:val="16"/>
        </w:rPr>
        <w:t xml:space="preserve"> Первая в мире публичная демонстрация летательного аппарата в полете с работающим ЖРД - показ на авиационном параде в Тушино самолета-истребителя 120Р с двигателем РД-1ХЗ. </w:t>
      </w:r>
    </w:p>
    <w:p w14:paraId="799396AA"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29 сентября 1946 г</w:t>
      </w:r>
      <w:r w:rsidRPr="0044524F">
        <w:rPr>
          <w:color w:val="000000" w:themeColor="text1"/>
          <w:sz w:val="16"/>
          <w:szCs w:val="16"/>
        </w:rPr>
        <w:t xml:space="preserve"> Распоряжение Правительства о передислоцировании ОКБ-СД на завод №456. </w:t>
      </w:r>
    </w:p>
    <w:p w14:paraId="2E07F68A"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 октября 1946 г.</w:t>
      </w:r>
      <w:r w:rsidRPr="0044524F">
        <w:rPr>
          <w:color w:val="000000" w:themeColor="text1"/>
          <w:sz w:val="16"/>
          <w:szCs w:val="16"/>
        </w:rPr>
        <w:t xml:space="preserve"> Директором завода №456 назначен А.Г.Плоскинный. </w:t>
      </w:r>
    </w:p>
    <w:p w14:paraId="0289CC80"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Октябрь 1946 г.</w:t>
      </w:r>
      <w:r w:rsidRPr="0044524F">
        <w:rPr>
          <w:color w:val="000000" w:themeColor="text1"/>
          <w:sz w:val="16"/>
          <w:szCs w:val="16"/>
        </w:rPr>
        <w:t xml:space="preserve"> Двигатель РД-1ХЗ прошел государственные испытания. </w:t>
      </w:r>
    </w:p>
    <w:p w14:paraId="7B76FF19"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 ноября 1946 г.</w:t>
      </w:r>
      <w:r w:rsidRPr="0044524F">
        <w:rPr>
          <w:color w:val="000000" w:themeColor="text1"/>
          <w:sz w:val="16"/>
          <w:szCs w:val="16"/>
        </w:rPr>
        <w:t xml:space="preserve"> Директором завода №456 назначен Л.А.Гришин. </w:t>
      </w:r>
    </w:p>
    <w:p w14:paraId="1F254F8F"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Ноябрь-декабрь 1946 г.</w:t>
      </w:r>
      <w:r w:rsidRPr="0044524F">
        <w:rPr>
          <w:color w:val="000000" w:themeColor="text1"/>
          <w:sz w:val="16"/>
          <w:szCs w:val="16"/>
        </w:rPr>
        <w:t xml:space="preserve"> Переезд коллектива ОКБ-СД из Казани на завод №456 в Химках. </w:t>
      </w:r>
    </w:p>
    <w:p w14:paraId="7569D386"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Декабрь 1946 г.</w:t>
      </w:r>
      <w:r w:rsidRPr="0044524F">
        <w:rPr>
          <w:color w:val="000000" w:themeColor="text1"/>
          <w:sz w:val="16"/>
          <w:szCs w:val="16"/>
        </w:rPr>
        <w:t xml:space="preserve"> Организация опытного производства в ОКБ-456 в составе механического, слесарно-сварочного и сборочных цехов. </w:t>
      </w:r>
    </w:p>
    <w:p w14:paraId="77E4ACD1"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Декабрь 1946 г.</w:t>
      </w:r>
      <w:r w:rsidRPr="0044524F">
        <w:rPr>
          <w:color w:val="000000" w:themeColor="text1"/>
          <w:sz w:val="16"/>
          <w:szCs w:val="16"/>
        </w:rPr>
        <w:t xml:space="preserve"> Получена из Германии первая партия конструкторской и технологической документации для воспроизводства двигателей ракеты А-4. </w:t>
      </w:r>
    </w:p>
    <w:p w14:paraId="1AC6D8EC"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1946 г.</w:t>
      </w:r>
      <w:r w:rsidRPr="0044524F">
        <w:rPr>
          <w:color w:val="000000" w:themeColor="text1"/>
          <w:sz w:val="16"/>
          <w:szCs w:val="16"/>
        </w:rPr>
        <w:t xml:space="preserve"> Проведены официальные испытания ЖРД РД-2. </w:t>
      </w:r>
    </w:p>
    <w:p w14:paraId="597C871C" w14:textId="77777777" w:rsidR="003F2394" w:rsidRPr="0044524F" w:rsidRDefault="003F2394" w:rsidP="009654CF">
      <w:pPr>
        <w:pStyle w:val="ae"/>
        <w:shd w:val="clear" w:color="auto" w:fill="FFFFFF"/>
        <w:spacing w:before="0" w:after="0"/>
        <w:jc w:val="both"/>
        <w:rPr>
          <w:color w:val="000000" w:themeColor="text1"/>
          <w:sz w:val="16"/>
          <w:szCs w:val="16"/>
        </w:rPr>
      </w:pPr>
      <w:r w:rsidRPr="0044524F">
        <w:rPr>
          <w:rStyle w:val="a7"/>
          <w:b w:val="0"/>
          <w:color w:val="000000" w:themeColor="text1"/>
          <w:sz w:val="16"/>
          <w:szCs w:val="16"/>
        </w:rPr>
        <w:t>Конец 1946 г. – 50 г.</w:t>
      </w:r>
      <w:r w:rsidRPr="0044524F">
        <w:rPr>
          <w:color w:val="000000" w:themeColor="text1"/>
          <w:sz w:val="16"/>
          <w:szCs w:val="16"/>
        </w:rPr>
        <w:t xml:space="preserve"> Работа в ОКБ-456 группы немецких специалистов (23 человека), занятых в работах по воспроизводству двигателя ракеты А-4 (12236).</w:t>
      </w:r>
    </w:p>
    <w:p w14:paraId="195831EA" w14:textId="77777777" w:rsidR="003F2394" w:rsidRPr="0044524F" w:rsidRDefault="003F2394" w:rsidP="009654CF">
      <w:pPr>
        <w:pStyle w:val="ae"/>
        <w:shd w:val="clear" w:color="auto" w:fill="FFFFFF"/>
        <w:spacing w:before="0" w:after="0"/>
        <w:jc w:val="both"/>
        <w:rPr>
          <w:color w:val="000000" w:themeColor="text1"/>
          <w:sz w:val="16"/>
          <w:szCs w:val="16"/>
        </w:rPr>
      </w:pPr>
    </w:p>
    <w:p w14:paraId="677F9155" w14:textId="77777777" w:rsidR="00096706" w:rsidRPr="0044524F" w:rsidRDefault="000967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в 1933 году выходит приказ Реввоенсовета СССР № 01/3 о создании в Москве первого в мире Реактивного научно-исследовательского института на базе Газодинамической лаборатории и МосГИРДа Реактивного научно-исследовательского института (РНИИ), с декабря 1936 г. - НИИ-3. Начальником РНИИ был назначен военинженер 1 ранга И.Т.Клейменов, заместителем начальника по научной части и главным инженером — С.П.Королев (с января 1934 г.- Г.Э.Лангемак); начальником Ленинградского отделения РНИИ назначен Г.Э.Лангемак, главным инженером — Б.С.Петропавловский. Основным направлением деятельности института была разработка экспериментальных баллистических и крылатых ракет (14776).</w:t>
      </w:r>
    </w:p>
    <w:p w14:paraId="23F753FB" w14:textId="77777777" w:rsidR="00096706" w:rsidRPr="0044524F" w:rsidRDefault="00096706" w:rsidP="009654CF">
      <w:pPr>
        <w:spacing w:after="0" w:line="240" w:lineRule="auto"/>
        <w:jc w:val="both"/>
        <w:rPr>
          <w:rFonts w:ascii="Times New Roman" w:hAnsi="Times New Roman"/>
          <w:color w:val="000000" w:themeColor="text1"/>
          <w:sz w:val="16"/>
          <w:szCs w:val="16"/>
        </w:rPr>
      </w:pPr>
    </w:p>
    <w:p w14:paraId="625D7F73" w14:textId="77777777" w:rsidR="00096706" w:rsidRPr="0044524F" w:rsidRDefault="00096706"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21 сентября 1933 года</w:t>
      </w:r>
      <w:r w:rsidRPr="0044524F">
        <w:rPr>
          <w:rStyle w:val="ucoz-forum-post"/>
          <w:rFonts w:ascii="Times New Roman" w:eastAsiaTheme="majorEastAsia" w:hAnsi="Times New Roman"/>
          <w:color w:val="000000" w:themeColor="text1"/>
          <w:sz w:val="16"/>
          <w:szCs w:val="16"/>
        </w:rPr>
        <w:t xml:space="preserve"> Приказом РВС СССР на базе Газодинамической лаборатории и МосГИРД создан Реактивный НИИ РККА (РНИИ), с декабря 1936 г. - НИИ-3. Первым начальником института стал военинженер 1 ранга И.Т.Клейменов. Ныне Исследовательский центр им. М.В. Келдыша (14776).</w:t>
      </w:r>
    </w:p>
    <w:p w14:paraId="37EF529E" w14:textId="77777777" w:rsidR="00096706" w:rsidRPr="0044524F" w:rsidRDefault="00096706" w:rsidP="009654CF">
      <w:pPr>
        <w:spacing w:after="0" w:line="240" w:lineRule="auto"/>
        <w:jc w:val="both"/>
        <w:rPr>
          <w:rStyle w:val="ucoz-forum-post"/>
          <w:rFonts w:ascii="Times New Roman" w:eastAsiaTheme="majorEastAsia" w:hAnsi="Times New Roman"/>
          <w:color w:val="000000" w:themeColor="text1"/>
          <w:sz w:val="16"/>
          <w:szCs w:val="16"/>
        </w:rPr>
      </w:pPr>
    </w:p>
    <w:p w14:paraId="73414A31" w14:textId="77777777" w:rsidR="00096706" w:rsidRPr="0044524F" w:rsidRDefault="0009670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г. приказом М.Н.Тухачевского по Наркомату обороны в системе РККА был создан первый в мире Реактивный институт. Однако и московская и ленинградская группы до конца 1933 г. продолжали свою работу по намеченному ранее плану. В январе 1934 г. ленинградская группа должна была переехать в Москву. С целью окончания плановых работ приказом начальника института И.Т.Клейменова было создано Ленинградское отделение (ЛО РНИИ) во главе с Г.Э.Лангемаком и главным инженером Б.С.Петропавловским (15252).</w:t>
      </w:r>
    </w:p>
    <w:p w14:paraId="2AC82EFE" w14:textId="77777777" w:rsidR="00096706" w:rsidRPr="0044524F" w:rsidRDefault="00096706" w:rsidP="009654CF">
      <w:pPr>
        <w:shd w:val="clear" w:color="auto" w:fill="FFFFFF"/>
        <w:spacing w:after="0" w:line="240" w:lineRule="auto"/>
        <w:jc w:val="both"/>
        <w:rPr>
          <w:rFonts w:ascii="Times New Roman" w:hAnsi="Times New Roman"/>
          <w:color w:val="000000" w:themeColor="text1"/>
          <w:sz w:val="16"/>
          <w:szCs w:val="16"/>
        </w:rPr>
      </w:pPr>
    </w:p>
    <w:p w14:paraId="17BD7804" w14:textId="77777777" w:rsidR="00F65AD9" w:rsidRPr="0044524F" w:rsidRDefault="00F65A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г. выходит приказ № 0113 Реввоенсовета об организации Реактивного научно-исследовательского института (РНИИ). Напомню, что военное ведомство Соединенных Штатов оказало аналогичную поддержку ракетному делу спустя восемь лет (22685).</w:t>
      </w:r>
    </w:p>
    <w:p w14:paraId="5AB1F569" w14:textId="77777777" w:rsidR="00F65AD9" w:rsidRPr="0044524F" w:rsidRDefault="00F65AD9" w:rsidP="009654CF">
      <w:pPr>
        <w:spacing w:after="0" w:line="240" w:lineRule="auto"/>
        <w:jc w:val="both"/>
        <w:rPr>
          <w:rFonts w:ascii="Times New Roman" w:hAnsi="Times New Roman"/>
          <w:color w:val="000000" w:themeColor="text1"/>
          <w:sz w:val="16"/>
          <w:szCs w:val="16"/>
        </w:rPr>
      </w:pPr>
    </w:p>
    <w:p w14:paraId="5CBF7D0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1933г - Ленинградское отделение РНИИ РККА (11330).</w:t>
      </w:r>
    </w:p>
    <w:p w14:paraId="392D06BB"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30E0CF7" w14:textId="77777777" w:rsidR="00607F6B" w:rsidRPr="00142305" w:rsidRDefault="00607F6B" w:rsidP="00607F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сентября 1933 года Тухачевский издал приказ Реввоенсовета об организации на базе ГДЛ и ГИРД Реактивного научно-исследовательского института (РНИИ). Начальником института был назначен новый глава ГДЛ Иван Клеймёнов, его заместителем — вначале Сергей Королёв, а с января 1934 года — Георгий Лангемак.</w:t>
      </w:r>
    </w:p>
    <w:p w14:paraId="4D140DD0" w14:textId="77777777" w:rsidR="00607F6B" w:rsidRPr="00142305" w:rsidRDefault="00607F6B" w:rsidP="00607F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Одной из важнейших задач, поставленных перед РНИИ, стала оптимизация реактивных снарядов, запускаемых с самолёта по воздушным и наземным целям. В ГДЛ работали над двумя типами снарядов: калибров 82 мм (РС-82) и 132 мм (РС-132). Они были выбраны не случайно. Дело в том, что опыты под руководством Тихомирова велись с пороховыми шашками диаметром 24 мм. Если семь шашек плотно уложить в цилиндрическую камеру сгорания, то внутренний диаметр последней будет равен 72 мм. Толщина стенок камеры составляла 5 мм, отсюда диаметр (калибр) снаряда — 82 мм. Подобным образом возник и калибр 132 мм.</w:t>
      </w:r>
    </w:p>
    <w:p w14:paraId="1562B33E" w14:textId="77777777" w:rsidR="00607F6B" w:rsidRPr="00142305" w:rsidRDefault="00607F6B" w:rsidP="00607F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Чтобы стабилизировать РС в полёте, было решено вращать их вокруг продольной оси, то есть сделать так называемые турбореактивные снаряды (ТРС). Однако кучность их попадания оказалась неудовлетворительной. Кроме того, при таком методе стабилизации около 30% веса ракетного заряда расходовалось на вращение снаряда, поэтому поступательная скорость и дальность полёта уменьшились.</w:t>
      </w:r>
    </w:p>
    <w:p w14:paraId="0683115E" w14:textId="77777777" w:rsidR="00607F6B" w:rsidRPr="00142305" w:rsidRDefault="00607F6B" w:rsidP="00607F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Проанализировав результаты испытаний, группа под руководством Лангемака решила перейти к крыльевой стабилизации РС без вращения. Вначале изучались 82-мм снаряды с кольцевым стабилизатором, не выходящим за габариты снаряда. При этом опытные стрельбы и продувки в аэродинамической трубе показали, что с помощью кольцевого стабилизатора невозможно добиться устойчивого полёта.</w:t>
      </w:r>
    </w:p>
    <w:p w14:paraId="6D3DED55" w14:textId="77777777" w:rsidR="00607F6B" w:rsidRPr="00142305" w:rsidRDefault="00607F6B" w:rsidP="00607F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Затем исследователи опробовали снаряды с размахом четырёхлопастного оперения в 200, 180, 160, 140 и 120 мм. Результат был вполне определённым: с уменьшением оперения ухудшалась устойчивость полёта. При размахе менее 120 мм снаряды начинали кувыркаться сразу после прекращения работы порохового двигателя. Оперение размахом более 200 мм оказалось слишком тяжёлым и перемещало центр тяжести снаряда назад, что также приводило к ухудшению устойчивости. Облегчение оперения за счёт уменьшения толщины лопастей стабилизатора вызывало их сильные колебания и поломку.</w:t>
      </w:r>
    </w:p>
    <w:p w14:paraId="7BC6B9D4" w14:textId="77777777" w:rsidR="00607F6B" w:rsidRPr="00142305" w:rsidRDefault="00607F6B" w:rsidP="00607F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концов, после многочисленных экспериментов, были найдены оптимальные габариты стабилизаторов: размах 200 мм для РС-82 и 300 мм для РС-132 (25404).</w:t>
      </w:r>
    </w:p>
    <w:p w14:paraId="11D40636" w14:textId="77777777" w:rsidR="00607F6B" w:rsidRPr="00142305" w:rsidRDefault="00607F6B" w:rsidP="00607F6B">
      <w:pPr>
        <w:spacing w:after="0" w:line="240" w:lineRule="auto"/>
        <w:jc w:val="both"/>
        <w:rPr>
          <w:rFonts w:ascii="Times New Roman" w:hAnsi="Times New Roman"/>
          <w:color w:val="0070C0"/>
          <w:sz w:val="16"/>
          <w:szCs w:val="16"/>
        </w:rPr>
      </w:pPr>
    </w:p>
    <w:p w14:paraId="0F6817D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г. Начальник НИИ ВВС Зильберт утвердил Отчет о полигонных (государственных) испытаниях ВОМИЗЫ-250</w:t>
      </w:r>
    </w:p>
    <w:p w14:paraId="276665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p w14:paraId="1E47F8B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Образец именуется "ВОМИЗА-250" (Воздушная мина заграждения с 250 кг зарядом взрывчатого вещества).</w:t>
      </w:r>
    </w:p>
    <w:p w14:paraId="4A1C2BA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"ВОМИЗА-250" представляется из себя приспособленную для сбрасывания с самолетов, мину заграждения образца 1926 года принятую на вооружение морского флота.</w:t>
      </w:r>
    </w:p>
    <w:p w14:paraId="35C2F2C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Полигонные испытания начаты в ноябре 1932 года, которые были прекращены из-за неудовлетворительного действия механизмов отдачи мины от якоря, вторичные испытания (после значительной заводской переделки и заводских испытаний) начаты 4 июля и окончены 1 сентября 1933 года.</w:t>
      </w:r>
    </w:p>
    <w:p w14:paraId="12E922C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производились в Финском заливе с сухопутного аэродрома (Комендантского)"ВОМИЗА-250" самолетами ТБ-1 и ТБ-3.</w:t>
      </w:r>
    </w:p>
    <w:p w14:paraId="14E7D54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 гл. инженера вооружения ВВС</w:t>
      </w:r>
    </w:p>
    <w:p w14:paraId="1CEDEC5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Согласен представить на войсковые испытания, которые закончить в навигацию текущего года. Доклад начальнику ВВС и приказ по РВС (3053).</w:t>
      </w:r>
    </w:p>
    <w:p w14:paraId="6E90C6DB"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4329A610"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FD479DF"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0554337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21 сентября по 23 декабря 1933 проходил Лейпцигский процесс о поджоге Рейхстага (2443,407).</w:t>
      </w:r>
    </w:p>
    <w:p w14:paraId="0A47DCDD"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1F0C25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в Лейпциге начался судебный процесс над коммунистами по обвинению в поджоге рейхстага (4962).</w:t>
      </w:r>
    </w:p>
    <w:p w14:paraId="0C5C0BA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p w14:paraId="4236BD50"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9097BC5"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0BDE1DB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состоялся второй круговой полет К-7 К.А.К. (70,233) с целью проверки управляемости и колебания хвостовой части. Летали 10 мин. Колебания хвостовой части отсутствовали, но случались как кратковременные на 3-4 сек., устраняемые изменением режима работы заднего мотора. Рули глубины и элероны работали нормально и самолет реагировал на ножное управление. Эффективность РН на малых скоростях была неэффективная (2396).</w:t>
      </w:r>
    </w:p>
    <w:p w14:paraId="6325E31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 другим данным - 1 сентября 1933 - это не правда и 1 сентября полетов вообще не было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485502CA" w14:textId="77777777">
        <w:tc>
          <w:tcPr>
            <w:tcW w:w="1384" w:type="dxa"/>
            <w:tcBorders>
              <w:top w:val="single" w:sz="12" w:space="0" w:color="auto"/>
            </w:tcBorders>
          </w:tcPr>
          <w:p w14:paraId="3F85063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6D4CACF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319588E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50B0FC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0CAEFC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745DAA2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5E932B0E" w14:textId="77777777">
        <w:tc>
          <w:tcPr>
            <w:tcW w:w="1384" w:type="dxa"/>
            <w:tcBorders>
              <w:bottom w:val="single" w:sz="12" w:space="0" w:color="auto"/>
            </w:tcBorders>
          </w:tcPr>
          <w:p w14:paraId="0058E5D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val="en-US"/>
              </w:rPr>
              <w:t xml:space="preserve">22 </w:t>
            </w:r>
            <w:r w:rsidRPr="0044524F">
              <w:rPr>
                <w:rFonts w:ascii="Times New Roman" w:hAnsi="Times New Roman"/>
                <w:color w:val="000000" w:themeColor="text1"/>
                <w:sz w:val="16"/>
                <w:szCs w:val="16"/>
              </w:rPr>
              <w:t>сентября</w:t>
            </w:r>
            <w:r w:rsidRPr="0044524F">
              <w:rPr>
                <w:rFonts w:ascii="Times New Roman" w:hAnsi="Times New Roman"/>
                <w:color w:val="000000" w:themeColor="text1"/>
                <w:sz w:val="16"/>
                <w:szCs w:val="16"/>
                <w:lang w:val="en-US"/>
              </w:rPr>
              <w:t xml:space="preserve"> 1933</w:t>
            </w:r>
          </w:p>
        </w:tc>
        <w:tc>
          <w:tcPr>
            <w:tcW w:w="2410" w:type="dxa"/>
            <w:tcBorders>
              <w:bottom w:val="single" w:sz="12" w:space="0" w:color="auto"/>
            </w:tcBorders>
          </w:tcPr>
          <w:p w14:paraId="6D751BA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круговой полет с целью проверки управляемости машины и наличия колебаний хвостовой части</w:t>
            </w:r>
          </w:p>
        </w:tc>
        <w:tc>
          <w:tcPr>
            <w:tcW w:w="1089" w:type="dxa"/>
            <w:tcBorders>
              <w:bottom w:val="single" w:sz="12" w:space="0" w:color="auto"/>
            </w:tcBorders>
          </w:tcPr>
          <w:p w14:paraId="40B2AD4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- 0:08</w:t>
            </w:r>
          </w:p>
          <w:p w14:paraId="21ADB23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- 2:10</w:t>
            </w:r>
          </w:p>
        </w:tc>
        <w:tc>
          <w:tcPr>
            <w:tcW w:w="3447" w:type="dxa"/>
            <w:tcBorders>
              <w:bottom w:val="single" w:sz="12" w:space="0" w:color="auto"/>
            </w:tcBorders>
          </w:tcPr>
          <w:p w14:paraId="1F9BB24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колебаний хвостовой части, кратковременное появление колебаний (3-4 сек.), устранимое изменением режима заднего мотора</w:t>
            </w:r>
          </w:p>
          <w:p w14:paraId="3312A7F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Нормальная работа элеронов и рулей глубины</w:t>
            </w:r>
          </w:p>
          <w:p w14:paraId="6DC21FE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Реагирование с-та на действие ножного управления</w:t>
            </w:r>
          </w:p>
        </w:tc>
        <w:tc>
          <w:tcPr>
            <w:tcW w:w="1776" w:type="dxa"/>
            <w:tcBorders>
              <w:bottom w:val="single" w:sz="12" w:space="0" w:color="auto"/>
            </w:tcBorders>
          </w:tcPr>
          <w:p w14:paraId="4B4E6F6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Недостаточная эффективность рулей поворота на малых скоростях</w:t>
            </w:r>
          </w:p>
        </w:tc>
        <w:tc>
          <w:tcPr>
            <w:tcW w:w="1105" w:type="dxa"/>
            <w:tcBorders>
              <w:bottom w:val="single" w:sz="12" w:space="0" w:color="auto"/>
            </w:tcBorders>
          </w:tcPr>
          <w:p w14:paraId="1B13B854"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bl>
    <w:p w14:paraId="4EE7AF4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293CD013"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D073E1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испытания К-7 возобновились. Далее после каждого полета следовали те или иные переделки. Еще через месяц, к 21 октября удалось довести до нормы работу серворулей. Их раскачивание исчезло, а усилия на органах управления находились в приемлемых для пилотов пределах.</w:t>
      </w:r>
    </w:p>
    <w:p w14:paraId="39E60CB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в ноябре один из полетов чуть не закончился аварией. Отказал механизм поворота стабилизатора. На третьем заходе на посадку огромный самолет рухнул на землю с высоты около 9 м, но не разрушился, а подпрыгнул несколько раз и остановился. Машину спасли большие колеса низкого давления, погасившие удар. При осмотре в цепи привода стабилизатора нашли болт, мешавший ее перемещению. Но ОГПУ сочло это случайностью, а не диверсией. Существенных повреждений после падения К-7 не получил; ограничились заменой некоторых приборов и отдельных деталей.</w:t>
      </w:r>
    </w:p>
    <w:p w14:paraId="498294D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Замеренные на испытаниях скорость и скороподъемность самолета оказались ниже расчетных. Скорость составляла 213 км/ч, практический потолок - 3650 м. Дальность оценивалась в 2000 км. Калинин упорно старался их "дожать" до требований задания. Дату полета над мерной базой несколько раз переносили из-за плохой погоды. Наконец, 21 ноября он состоялся. На борту гиганта находились 20 человек. На полном газу машина прошла первый створ. При высоких оборотах моторов и ранее наблюдался бафтинг хвостовых балок. По показаниям очевидцев, было слышно, как лопнула труба лонжерона левой балки. Ее разошедшиеся концы зажали управление рулем высоты. В 5 км от аэродрома К-7 клюнул носом и пошел к земле под углом около 40 градусов. При ударе сначала разлетелось шасси, затем машина ударилась носом фюзеляжа о землю. Шасси и переднюю гондолу подмяло под крыло. Начался пожар, взорвались бензобаки. Вся полотняная обшивка крыла быстро сгорела. Через несколько минут рядом совершили посадку два самолета сопровождения, подъехали автомобили. Три члена экипажа смогли вылезти сами, еще четверых живых вытащили спасатели, но двое умерли по дороге в больницу. В общей сложности пятнадцать человек, включая командира самолета, погибли.</w:t>
      </w:r>
    </w:p>
    <w:p w14:paraId="31948CB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Расследовавшая катастрофу комиссия под председательством заместителя начальника штаба ВВС В.К. Лаврова пришла к выводу, что основной причиной явилась ранее не запланированная установка седьмого мотора, которая создавала сильное вихреобразование на хвостовом оперении, усугубляемое воздействием вынесенных на длинных балках серворулей и недостаточной жесткостью ферм. В акте записано: "Катастрофа самолета К-7 произошла из-за потери управляемости самолета в продольном направлении, что было вызвано деформацией хвостовой части самолета". Сам же Калинин говорил о диверсии, приведшей к гибели гиганта (12036).</w:t>
      </w:r>
    </w:p>
    <w:p w14:paraId="2AE814F0"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B66B6F0" w14:textId="77777777" w:rsidR="001D3320" w:rsidRPr="0044524F" w:rsidRDefault="001D33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Начиная с 22 сентября 1933 г. отремонтированный самолет К-7 продолжил полеты, в ходе которых удалось полностью отработать сервоуправление. На всех скоростях, на которых полеты проходили, управление работало нормально, за исключением одного полета, в котором при заходе на посадку не встал в посадочное положение переставной стабилизатор, и пришлось садиться с большой вертикальной скоростью. Самолет возникшие при касании земли нерасчетные перегрузки выдержал, а на осмотре в шарнирном узле стабилизатора нашли болт, который не мог попасть туда случайно, а был явно забит молотком. И снова, как и в случае с поврежденным тросом, виновного не выявили, хотя саботаж был налицо.</w:t>
      </w:r>
    </w:p>
    <w:p w14:paraId="6E84F0D3" w14:textId="77777777" w:rsidR="001D3320" w:rsidRPr="0044524F" w:rsidRDefault="001D33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эти полеты проводились, как это было предусмотрено программой испытаний, без вывода моторов на полный газ и на скоростях, меньше максимальных (23561).</w:t>
      </w:r>
    </w:p>
    <w:p w14:paraId="7D17AE1C" w14:textId="77777777" w:rsidR="001D3320" w:rsidRPr="0044524F" w:rsidRDefault="001D3320" w:rsidP="009654CF">
      <w:pPr>
        <w:spacing w:after="0" w:line="240" w:lineRule="auto"/>
        <w:jc w:val="both"/>
        <w:rPr>
          <w:rFonts w:ascii="Times New Roman" w:hAnsi="Times New Roman"/>
          <w:color w:val="000000" w:themeColor="text1"/>
          <w:sz w:val="16"/>
          <w:szCs w:val="16"/>
        </w:rPr>
      </w:pPr>
    </w:p>
    <w:p w14:paraId="4F0639E0"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сентября 1933 г. испытания К-7 возобновились. Далее после каждого полета следовали те или иные переделки. Еще через месяц, к 21 октября удалось довести до нормы работу сер</w:t>
      </w:r>
      <w:r w:rsidRPr="00142305">
        <w:rPr>
          <w:rFonts w:ascii="Times New Roman" w:hAnsi="Times New Roman"/>
          <w:color w:val="0070C0"/>
          <w:sz w:val="16"/>
          <w:szCs w:val="16"/>
        </w:rPr>
        <w:softHyphen/>
        <w:t>ворулей. Их раскачивание исчезло, а усилия на органах уп</w:t>
      </w:r>
      <w:r w:rsidRPr="00142305">
        <w:rPr>
          <w:rFonts w:ascii="Times New Roman" w:hAnsi="Times New Roman"/>
          <w:color w:val="0070C0"/>
          <w:sz w:val="16"/>
          <w:szCs w:val="16"/>
        </w:rPr>
        <w:softHyphen/>
        <w:t>равления находились в приемлемых для пилотов пределах (24977).</w:t>
      </w:r>
    </w:p>
    <w:p w14:paraId="3CE73605" w14:textId="77777777" w:rsidR="00EE40C6" w:rsidRPr="00142305" w:rsidRDefault="00EE40C6" w:rsidP="00EE40C6">
      <w:pPr>
        <w:spacing w:after="0" w:line="240" w:lineRule="auto"/>
        <w:jc w:val="both"/>
        <w:rPr>
          <w:rFonts w:ascii="Times New Roman" w:hAnsi="Times New Roman"/>
          <w:color w:val="0070C0"/>
          <w:sz w:val="16"/>
          <w:szCs w:val="16"/>
        </w:rPr>
      </w:pPr>
    </w:p>
    <w:p w14:paraId="247812B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состоялось совещание у зам. нач. КОСОС В.М.П. по докладу ЗАО о результатах продувок Ми-3 (1077,247).</w:t>
      </w:r>
    </w:p>
    <w:p w14:paraId="2D72633A"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85567C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П.О.С. подписал акт о состоянии работ по РД-2 (1102).</w:t>
      </w:r>
    </w:p>
    <w:p w14:paraId="1F7A6674"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5B935F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года выписка из протокола № 12 КО</w:t>
      </w:r>
    </w:p>
    <w:p w14:paraId="1D587663" w14:textId="77777777" w:rsidR="0007455B" w:rsidRPr="0044524F" w:rsidRDefault="0007455B" w:rsidP="009654CF">
      <w:pPr>
        <w:numPr>
          <w:ilvl w:val="0"/>
          <w:numId w:val="36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недовыполнении программы военных заказов по:</w:t>
      </w:r>
    </w:p>
    <w:p w14:paraId="65C28124" w14:textId="77777777" w:rsidR="0007455B" w:rsidRPr="0044524F" w:rsidRDefault="0007455B" w:rsidP="009654CF">
      <w:pPr>
        <w:pStyle w:val="a3"/>
        <w:widowControl/>
        <w:tabs>
          <w:tab w:val="left" w:pos="11199"/>
        </w:tabs>
        <w:rPr>
          <w:color w:val="000000" w:themeColor="text1"/>
          <w:lang w:val="ru-RU"/>
        </w:rPr>
      </w:pPr>
      <w:r w:rsidRPr="0044524F">
        <w:rPr>
          <w:color w:val="000000" w:themeColor="text1"/>
          <w:lang w:val="ru-RU"/>
        </w:rPr>
        <w:t>а) авиации; б) танкам; в) артиллерии; г) снарядам.</w:t>
      </w:r>
    </w:p>
    <w:p w14:paraId="71E11F5C" w14:textId="77777777" w:rsidR="0007455B" w:rsidRPr="0044524F" w:rsidRDefault="0007455B" w:rsidP="009654CF">
      <w:pPr>
        <w:numPr>
          <w:ilvl w:val="0"/>
          <w:numId w:val="36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заседании КО 5 октября 1933 года заслушать вторично – а) авиацию и б) танки.</w:t>
      </w:r>
    </w:p>
    <w:p w14:paraId="647D121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Предварительное рассмотрение мероприятий по обеспечению программы 1933 года поручить в части авиации Кагановичу, Королеву, Тухачевскому и Алкснису, в части танков - Кагановичу и Халепскому ………………………. (4191, 25).</w:t>
      </w:r>
    </w:p>
    <w:p w14:paraId="2D2BFE5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p w14:paraId="0BC9C88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И.С.Уншлихт стал начальником ГУ ГВФ. Это после гибели прежнего начальника - А.Э.Гольцмана (117,6).</w:t>
      </w:r>
    </w:p>
    <w:p w14:paraId="571E5987"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3683822"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сентября 1933 г. решением СНК СССР Начальником ГУ ГВФ вместо погибшего А. 3. Гольцмана был назначен И. С. Уншлихт. С 1925 по 1930 г. он работал заместителем Председателя РВС и заместителем Наркомвоенмора.</w:t>
      </w:r>
    </w:p>
    <w:p w14:paraId="503E215B"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приходом на эту должность, как и А. И. Алкснис, И. С. Уншлихт столк</w:t>
      </w:r>
      <w:r w:rsidRPr="00142305">
        <w:rPr>
          <w:rFonts w:ascii="Times New Roman" w:hAnsi="Times New Roman"/>
          <w:color w:val="0070C0"/>
          <w:sz w:val="16"/>
          <w:szCs w:val="16"/>
        </w:rPr>
        <w:softHyphen/>
        <w:t>нулся с необходимостью борьбы с высокой аварийностью, особенно в транспорт</w:t>
      </w:r>
      <w:r w:rsidRPr="00142305">
        <w:rPr>
          <w:rFonts w:ascii="Times New Roman" w:hAnsi="Times New Roman"/>
          <w:color w:val="0070C0"/>
          <w:sz w:val="16"/>
          <w:szCs w:val="16"/>
        </w:rPr>
        <w:softHyphen/>
        <w:t>ной авиации («Трансавиации»). Выяснилось, что 54,5% аварий и катастроф со</w:t>
      </w:r>
      <w:r w:rsidRPr="00142305">
        <w:rPr>
          <w:rFonts w:ascii="Times New Roman" w:hAnsi="Times New Roman"/>
          <w:color w:val="0070C0"/>
          <w:sz w:val="16"/>
          <w:szCs w:val="16"/>
        </w:rPr>
        <w:softHyphen/>
        <w:t>вершается в ГВФ по вине летного состава. Выявлены были даже факты хулиган</w:t>
      </w:r>
      <w:r w:rsidRPr="00142305">
        <w:rPr>
          <w:rFonts w:ascii="Times New Roman" w:hAnsi="Times New Roman"/>
          <w:color w:val="0070C0"/>
          <w:sz w:val="16"/>
          <w:szCs w:val="16"/>
        </w:rPr>
        <w:softHyphen/>
        <w:t>ства и выполнения полетов в пьяном виде. Если в 1932 г. летных происшествий в ГВФ было 1 410, то в 1933 г. - уже 2 088. Средний же налет самолетов в часах в расчете на одну аварию и катастрофу в 1933 г. был почти в два раза меньше, чем в ВВС. Это указывало на то, что принимаемые ранее меры в этой области оказались малоэффективными (24968).</w:t>
      </w:r>
    </w:p>
    <w:p w14:paraId="7A9271F4" w14:textId="77777777" w:rsidR="00EE40C6" w:rsidRPr="00142305" w:rsidRDefault="00EE40C6" w:rsidP="00EE40C6">
      <w:pPr>
        <w:spacing w:after="0" w:line="240" w:lineRule="auto"/>
        <w:jc w:val="both"/>
        <w:rPr>
          <w:rFonts w:ascii="Times New Roman" w:hAnsi="Times New Roman"/>
          <w:color w:val="0070C0"/>
          <w:sz w:val="16"/>
          <w:szCs w:val="16"/>
        </w:rPr>
      </w:pPr>
    </w:p>
    <w:p w14:paraId="425D674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Линдберг с супругой прилетел в Ленинград на красном гидроплане Локхид, который хранится в музее естественной истории США (238,117).</w:t>
      </w:r>
    </w:p>
    <w:p w14:paraId="144F394E"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646DB92" w14:textId="77777777" w:rsidR="005F77D1" w:rsidRPr="0044524F" w:rsidRDefault="005F77D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г. в Ленинград прилетел знаменитый американский летчик Чарльз Линдберг с женою, совершающий туристский перелет на поплавковом гидросамолете Лкхид-«Сириус» (23370).</w:t>
      </w:r>
    </w:p>
    <w:p w14:paraId="776242FB" w14:textId="77777777" w:rsidR="005F77D1" w:rsidRPr="0044524F" w:rsidRDefault="005F77D1" w:rsidP="009654CF">
      <w:pPr>
        <w:spacing w:after="0" w:line="240" w:lineRule="auto"/>
        <w:jc w:val="both"/>
        <w:rPr>
          <w:rFonts w:ascii="Times New Roman" w:hAnsi="Times New Roman"/>
          <w:color w:val="000000" w:themeColor="text1"/>
          <w:sz w:val="16"/>
          <w:szCs w:val="16"/>
        </w:rPr>
      </w:pPr>
    </w:p>
    <w:p w14:paraId="3E560F25"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68FE5EC"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59743C4A" w14:textId="77777777" w:rsidR="00096706" w:rsidRPr="0044524F" w:rsidRDefault="00096706" w:rsidP="009654CF">
      <w:pPr>
        <w:pStyle w:val="rtejustify"/>
        <w:spacing w:before="0" w:after="0"/>
        <w:rPr>
          <w:color w:val="000000" w:themeColor="text1"/>
          <w:sz w:val="16"/>
          <w:szCs w:val="16"/>
        </w:rPr>
      </w:pPr>
      <w:r w:rsidRPr="0044524F">
        <w:rPr>
          <w:rStyle w:val="af0"/>
          <w:bCs/>
          <w:i w:val="0"/>
          <w:color w:val="000000" w:themeColor="text1"/>
          <w:sz w:val="16"/>
          <w:szCs w:val="16"/>
        </w:rPr>
        <w:t>22 сентября 1933 вышел приказ НКТП № 0112.</w:t>
      </w:r>
      <w:r w:rsidRPr="0044524F">
        <w:rPr>
          <w:color w:val="000000" w:themeColor="text1"/>
          <w:sz w:val="16"/>
          <w:szCs w:val="16"/>
        </w:rPr>
        <w:t xml:space="preserve"> Об утверждении правил разработки и изменения чертежей и технических условий на предметы артиллерийского вооружения РККА. (РГАЭ. Ф. 7297. Оп. 38. Д. 37. Л. 376</w:t>
      </w:r>
      <w:r w:rsidRPr="0044524F">
        <w:rPr>
          <w:color w:val="000000" w:themeColor="text1"/>
          <w:sz w:val="16"/>
          <w:szCs w:val="16"/>
        </w:rPr>
        <w:noBreakHyphen/>
        <w:t>373). (</w:t>
      </w:r>
      <w:r w:rsidRPr="0044524F">
        <w:rPr>
          <w:rStyle w:val="af0"/>
          <w:i w:val="0"/>
          <w:color w:val="000000" w:themeColor="text1"/>
          <w:sz w:val="16"/>
          <w:szCs w:val="16"/>
        </w:rPr>
        <w:t>Объединенный с РВС СССР</w:t>
      </w:r>
      <w:r w:rsidRPr="0044524F">
        <w:rPr>
          <w:color w:val="000000" w:themeColor="text1"/>
          <w:sz w:val="16"/>
          <w:szCs w:val="16"/>
        </w:rPr>
        <w:t>) (15246).</w:t>
      </w:r>
    </w:p>
    <w:p w14:paraId="5B39CD81" w14:textId="77777777" w:rsidR="00096706" w:rsidRPr="0044524F" w:rsidRDefault="00096706" w:rsidP="009654CF">
      <w:pPr>
        <w:pStyle w:val="rtejustify"/>
        <w:spacing w:before="0" w:after="0"/>
        <w:rPr>
          <w:color w:val="000000" w:themeColor="text1"/>
          <w:sz w:val="16"/>
          <w:szCs w:val="16"/>
        </w:rPr>
      </w:pPr>
    </w:p>
    <w:p w14:paraId="538DB9E9"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г. вышел ПРИКАЗ УММ О РАБОТЕ С ВОЕНПРЕДАМИ НА ЗАВОДАХ № 119</w:t>
      </w:r>
    </w:p>
    <w:p w14:paraId="7F21F6A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Москва</w:t>
      </w:r>
    </w:p>
    <w:p w14:paraId="54FFA0A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улучшения работы аппарата УММ по руководству военпредами на заводах и поднятия борьбы за качество принимаемой УММ продукции приказываю:</w:t>
      </w:r>
    </w:p>
    <w:p w14:paraId="6DC24363"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 1 октября 1933 г. перестроить, в порядке рационализации, работу инспекции приемок, оставить за ней только инспекторские функции. Инспекцию приемок в составе: старшего инспектора приемок т. Евтихиева и инспектора т. Адрианова подчинить непосредственно начальнику 2 управления,</w:t>
      </w:r>
    </w:p>
    <w:p w14:paraId="50A01351"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Районных инженеров, старших военпредов и приемные аппараты на местах с 1 октября подчинить начальнику 2 отдела 2 управления. В его же ведении.сосредоточить учет выполнения заказов (готовых машин и запчастей), отчетность, составление плана заказов и перевозок имущества, включая обеспечение заводов воинскими ерами, для чего выделить одного работника плановика.</w:t>
      </w:r>
    </w:p>
    <w:p w14:paraId="2811E910"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Обеспечение заводов огнеприпасами и вооружением для испытания принимаемой продукции ожить на начальника 4 сектора 2 отдела 2 управления.</w:t>
      </w:r>
    </w:p>
    <w:p w14:paraId="5226CE19"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4. Подбор работников приемного аппарата, перестановку их на заводах, представление финансовому отделу смет на содержание вольнонаемного аппарата и наблюдение за культурно-бытовым луживанием приемного аппарата на местах - возлагаю на начальника 2 отдела 2 управления.</w:t>
      </w:r>
    </w:p>
    <w:p w14:paraId="35BD7345"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Административно-хозяйственное обслуживание и учет личного состава приемного аппарата возлаагаю на начальника общего сектора, в ведение коего передать заведующего делами инспекции мок т. Басова.</w:t>
      </w:r>
    </w:p>
    <w:p w14:paraId="3FFBDDE8"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Начальнику 2 управления представить мне к 1 октября 1933 г. на утверждение новый проект положения об инспекции приемок и отделе, а также схему распределения военпредов по заводам и кторам 2 отдела.</w:t>
      </w:r>
    </w:p>
    <w:p w14:paraId="3C7CDDD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Ответственного исполнителя инспекции приемок т. Хасидович, в связи с реорганизацией при-ного аппарата уволить с 13 октября 1933 г.</w:t>
      </w:r>
    </w:p>
    <w:p w14:paraId="1D56F1F9"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Управления механизации и моторизации РККА Халепский</w:t>
      </w:r>
    </w:p>
    <w:p w14:paraId="2B8D9CC6"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РГВА, Ф. 31811. Оп. 4. Д. 2. Л. 163. Подлинник (11210).</w:t>
      </w:r>
    </w:p>
    <w:p w14:paraId="72C41E0F" w14:textId="77777777" w:rsidR="0007455B" w:rsidRPr="0044524F" w:rsidRDefault="0007455B" w:rsidP="009654CF">
      <w:pPr>
        <w:pStyle w:val="af2"/>
        <w:jc w:val="both"/>
        <w:rPr>
          <w:i w:val="0"/>
          <w:iCs w:val="0"/>
          <w:color w:val="000000" w:themeColor="text1"/>
          <w:spacing w:val="0"/>
          <w:kern w:val="0"/>
          <w:position w:val="0"/>
          <w:sz w:val="16"/>
          <w:szCs w:val="16"/>
          <w:lang w:val="ru-RU"/>
        </w:rPr>
      </w:pPr>
    </w:p>
    <w:p w14:paraId="68C22640" w14:textId="77777777" w:rsidR="00096706" w:rsidRPr="0044524F" w:rsidRDefault="00096706" w:rsidP="009654CF">
      <w:pPr>
        <w:pStyle w:val="rtejustify"/>
        <w:spacing w:before="0" w:after="0"/>
        <w:rPr>
          <w:color w:val="000000" w:themeColor="text1"/>
          <w:sz w:val="16"/>
          <w:szCs w:val="16"/>
        </w:rPr>
      </w:pPr>
      <w:r w:rsidRPr="0044524F">
        <w:rPr>
          <w:rStyle w:val="af0"/>
          <w:bCs/>
          <w:i w:val="0"/>
          <w:color w:val="000000" w:themeColor="text1"/>
          <w:sz w:val="16"/>
          <w:szCs w:val="16"/>
        </w:rPr>
        <w:t>22 сентября</w:t>
      </w:r>
      <w:r w:rsidRPr="0044524F">
        <w:rPr>
          <w:color w:val="000000" w:themeColor="text1"/>
          <w:sz w:val="16"/>
          <w:szCs w:val="16"/>
        </w:rPr>
        <w:t xml:space="preserve"> 1933. Постановление СТО СССР № 91/сс «О передаче и оборудовании 2</w:t>
      </w:r>
      <w:r w:rsidRPr="0044524F">
        <w:rPr>
          <w:color w:val="000000" w:themeColor="text1"/>
          <w:sz w:val="16"/>
          <w:szCs w:val="16"/>
        </w:rPr>
        <w:noBreakHyphen/>
        <w:t>х торговых судов под плавучие базы подлодок ВМС РККА». (ГА РФ. Ф. Р</w:t>
      </w:r>
      <w:r w:rsidRPr="0044524F">
        <w:rPr>
          <w:color w:val="000000" w:themeColor="text1"/>
          <w:sz w:val="16"/>
          <w:szCs w:val="16"/>
        </w:rPr>
        <w:noBreakHyphen/>
        <w:t>8418. Оп. 28. Д. 2. Л. 174) (15460).</w:t>
      </w:r>
    </w:p>
    <w:p w14:paraId="7B424860" w14:textId="77777777" w:rsidR="00096706" w:rsidRPr="0044524F" w:rsidRDefault="00096706" w:rsidP="009654CF">
      <w:pPr>
        <w:pStyle w:val="rtejustify"/>
        <w:spacing w:before="0" w:after="0"/>
        <w:rPr>
          <w:color w:val="000000" w:themeColor="text1"/>
          <w:sz w:val="16"/>
          <w:szCs w:val="16"/>
        </w:rPr>
      </w:pPr>
    </w:p>
    <w:p w14:paraId="38DF96FE" w14:textId="77777777" w:rsidR="0007455B"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74B05B86"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2CB407E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г. вышло Постановление Комитета обороны "О мероприятиях по укреплению Амура и побережья Дальнего Востока", которое требовало размещения там пяти эскадрилий, одного отдельного отряда и одного звена поплавковых разведчиков. Уже в конце 1933 г. три самолета отправили Морским силам Дальнего Востока (МСДВ). В январе следующего года 69-й отряд в Бочкарево уже имел 10 таких гидропланов. Всего же к 20 марта 1934 г. военную приемку прошли 13 Р-5а (12034).</w:t>
      </w:r>
    </w:p>
    <w:p w14:paraId="11A1372A"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48887B48"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сентября 1933 г. вышло Постановление Комитета обороны «О мероприятиях по укреплению Амура и побережья Дальнего Востока» которое требовало размещения там пяти эскадрилий, од</w:t>
      </w:r>
      <w:r w:rsidRPr="00142305">
        <w:rPr>
          <w:rFonts w:ascii="Times New Roman" w:hAnsi="Times New Roman"/>
          <w:color w:val="0070C0"/>
          <w:sz w:val="16"/>
          <w:szCs w:val="16"/>
        </w:rPr>
        <w:softHyphen/>
        <w:t>ного отдельного отряда и одного звена поплавковых развед</w:t>
      </w:r>
      <w:r w:rsidRPr="00142305">
        <w:rPr>
          <w:rFonts w:ascii="Times New Roman" w:hAnsi="Times New Roman"/>
          <w:color w:val="0070C0"/>
          <w:sz w:val="16"/>
          <w:szCs w:val="16"/>
        </w:rPr>
        <w:softHyphen/>
        <w:t>чиков Р-5 (24990).</w:t>
      </w:r>
    </w:p>
    <w:p w14:paraId="36EE4D74" w14:textId="77777777" w:rsidR="00EE40C6" w:rsidRPr="00142305" w:rsidRDefault="00EE40C6" w:rsidP="00EE40C6">
      <w:pPr>
        <w:spacing w:after="0" w:line="240" w:lineRule="auto"/>
        <w:jc w:val="both"/>
        <w:rPr>
          <w:rFonts w:ascii="Times New Roman" w:hAnsi="Times New Roman"/>
          <w:color w:val="0070C0"/>
          <w:sz w:val="16"/>
          <w:szCs w:val="16"/>
        </w:rPr>
      </w:pPr>
    </w:p>
    <w:p w14:paraId="70CE09D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22 и 28 сентября 1933. Из протокола заседания Политбюро N 146, особая папка, 1933 г.</w:t>
      </w:r>
    </w:p>
    <w:p w14:paraId="2B5C772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строительстве гаража Кремлевской военной школы </w:t>
      </w:r>
    </w:p>
    <w:p w14:paraId="15545C0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Включить в титульные списки 1933 года строительство гаража для боевых машин Кремлевской военной школы в сумме 450 тыс. рублей, отпустив означенную сумму из резервного фонда СНК СССР (11652).</w:t>
      </w:r>
    </w:p>
    <w:p w14:paraId="605C37BC"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C6DCB8D" w14:textId="77777777" w:rsidR="003F55A7" w:rsidRPr="0044524F" w:rsidRDefault="003F55A7"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B26A622" w14:textId="77777777" w:rsidR="003F55A7" w:rsidRPr="0044524F" w:rsidRDefault="003F55A7" w:rsidP="009654CF">
      <w:pPr>
        <w:spacing w:after="0" w:line="240" w:lineRule="auto"/>
        <w:jc w:val="both"/>
        <w:rPr>
          <w:rFonts w:ascii="Times New Roman" w:hAnsi="Times New Roman"/>
          <w:iCs/>
          <w:color w:val="000000" w:themeColor="text1"/>
          <w:sz w:val="16"/>
          <w:szCs w:val="16"/>
        </w:rPr>
      </w:pPr>
    </w:p>
    <w:p w14:paraId="4D46D961" w14:textId="77777777" w:rsidR="003F55A7" w:rsidRPr="0044524F" w:rsidRDefault="003F55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22 сентября 1933 в Москву поступила очередная телеграмма, известившая В.В. Куйбышева: «Последние дни «Челюскин» в тяжелом льду. Легли в дрейф, ожидая изменения обстановки». 25 сентября еще одна радиограмма: ««Челюскин» дрейфует мимо острова Колючин, уперло в неподвижный лед». Но, несмотря на очень опасное положение судна, 26 сентября заместитель главы правительства Я.Э. Рудзутак потребовал от Шмидта взять на себя руководство спасением 164 пассажиров зазимовавших во льдах трех судов — «Север», «Анадырь» и «Хабаровск» Колымской экспедиции Наркомвода. Еще четыре парохода — «Красный партизан», «Урицкий», «Микоян» и «Монгол» — чуть ранее, 20 сентября, ледорезу «Литке» удалось освободить из льдов и привести в бухту Провидения (20467).</w:t>
      </w:r>
    </w:p>
    <w:p w14:paraId="320E4C9C" w14:textId="77777777" w:rsidR="003F55A7" w:rsidRPr="0044524F" w:rsidRDefault="003F55A7" w:rsidP="009654CF">
      <w:pPr>
        <w:spacing w:after="0" w:line="240" w:lineRule="auto"/>
        <w:jc w:val="both"/>
        <w:rPr>
          <w:rFonts w:ascii="Times New Roman" w:hAnsi="Times New Roman"/>
          <w:color w:val="000000" w:themeColor="text1"/>
          <w:sz w:val="16"/>
          <w:szCs w:val="16"/>
        </w:rPr>
      </w:pPr>
    </w:p>
    <w:p w14:paraId="4CD31F68" w14:textId="77777777" w:rsidR="00C64FF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A68B923" w14:textId="77777777" w:rsidR="00C64FF6" w:rsidRPr="0044524F" w:rsidRDefault="00C64FF6" w:rsidP="009654CF">
      <w:pPr>
        <w:spacing w:after="0" w:line="240" w:lineRule="auto"/>
        <w:jc w:val="both"/>
        <w:rPr>
          <w:rFonts w:ascii="Times New Roman" w:hAnsi="Times New Roman"/>
          <w:iCs/>
          <w:color w:val="000000" w:themeColor="text1"/>
          <w:sz w:val="16"/>
          <w:szCs w:val="16"/>
        </w:rPr>
      </w:pPr>
    </w:p>
    <w:p w14:paraId="7E93642E" w14:textId="77777777" w:rsidR="00C64FF6" w:rsidRPr="0044524F" w:rsidRDefault="00C64FF6"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22 сентября 1933 г. германские власти арестовали представителя ТАСС и корреспондента «Известий» в Берлине, когда они направлялись на Лейпцигский процесс. В тот же день советские журналисты были освобождены. 23 сентября ПБ поручило полномочному представителю СССР в Германии Л.М.Хинчуку заявить германскому правительству протест по поводу арестов и обысков советских корреспондентов на процессе. 26 сентября ПБ утвердило для печати сообщение ТАСС об отзыве советских корреспондентов из Берлина и высылке из СССР всех представителей германской печати в Москве (ДВП. Т. XVI. С. 858; РГАСПИ. Ф. 17. Оп. 162. Д. 15. Л. 82, 85) (17281).</w:t>
      </w:r>
    </w:p>
    <w:p w14:paraId="77772B33" w14:textId="77777777" w:rsidR="00C64FF6" w:rsidRPr="0044524F" w:rsidRDefault="00C64FF6" w:rsidP="009654CF">
      <w:pPr>
        <w:spacing w:after="0" w:line="240" w:lineRule="auto"/>
        <w:jc w:val="both"/>
        <w:rPr>
          <w:rFonts w:ascii="Times New Roman" w:hAnsi="Times New Roman"/>
          <w:iCs/>
          <w:color w:val="000000" w:themeColor="text1"/>
          <w:sz w:val="16"/>
          <w:szCs w:val="16"/>
        </w:rPr>
      </w:pPr>
    </w:p>
    <w:p w14:paraId="31C13259"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BB54CAF"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5D7E3085" w14:textId="77777777" w:rsidR="003F55A7" w:rsidRPr="0044524F" w:rsidRDefault="003F55A7"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22 сентября 1933 «Сириус» супругов Линдберг, которые стартовали из Нью-Йорка 9 июля и следовали через Нью-Фаундленд, Лабрадор, Гренландию, Исландию (Рейкьявик, 15 августа), Фарерские острова в Копенгаген (26 августа), Стокгольм (4 сентября) и Гельсинфорс (ныне Хельсинки, 20 сентября) прибыл в Ленинград. После «северной столицы» воздушные путешественники перелетели в Москву, где 25 сентября гидросамолет произвел посадку на Москву-реку в районе Крымского моста.</w:t>
      </w:r>
    </w:p>
    <w:p w14:paraId="4D183E60" w14:textId="77777777" w:rsidR="003F55A7" w:rsidRPr="0044524F" w:rsidRDefault="003F55A7"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Чарльз Линдберг был принят начальником ВВС РККА Я.И. Алкснисом и начальником ГУ ГВФ Я.Я. Анвельтом. Для гостей были организованы экскурсии в ЦАГИ и на авиационный завод, а также культурная программа.</w:t>
      </w:r>
    </w:p>
    <w:p w14:paraId="361DBD78" w14:textId="77777777" w:rsidR="003F55A7" w:rsidRPr="0044524F" w:rsidRDefault="003F55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29 сентября Линдберги оставили Москву и продолжили свое путешествие. Путь пролегал через Таллин (29 сентября) и Осло (1 октября) в Англию, далее следовал Париж (27 октября), Амстердам (2 ноября), Женева (8 ноября), Лиссабон (15 ноября). Посетив Азорские, Канарские острова и острова Зеленого мыса, самолет из Гамбии перелетел через Атлантику и прибыл в бразильский порт Наталь (6 декабря). Через Бразилию, Тринидад, Пуэрто-Рико и Флориду Линдберги 19 декабря вернулись в Нью-Йорк (21438).</w:t>
      </w:r>
    </w:p>
    <w:p w14:paraId="2DFA8135" w14:textId="77777777" w:rsidR="003F55A7" w:rsidRPr="0044524F" w:rsidRDefault="003F55A7" w:rsidP="009654CF">
      <w:pPr>
        <w:spacing w:after="0" w:line="240" w:lineRule="auto"/>
        <w:jc w:val="both"/>
        <w:rPr>
          <w:rFonts w:ascii="Times New Roman" w:hAnsi="Times New Roman"/>
          <w:color w:val="000000" w:themeColor="text1"/>
          <w:sz w:val="16"/>
          <w:szCs w:val="16"/>
        </w:rPr>
      </w:pPr>
    </w:p>
    <w:p w14:paraId="554BB2E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в Германии создана Имперская палата культуры во главе с Й. Геббельсом (4962).</w:t>
      </w:r>
    </w:p>
    <w:p w14:paraId="541C611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p w14:paraId="5FC5F9F6"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9133233"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0079B49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года был подготовлен Отчет о результатах лабораторных испытаний самолета ТБ-1 № 759/11, оборудованного пороховыми ракетами для сокращения разбега перед взлетом</w:t>
      </w:r>
    </w:p>
    <w:p w14:paraId="58117AB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Целью испытаний было выяснение возможности оборудования ТБ-1 стартовыми ракетами и величины сокращения длины и времени разбега перед взлетом в зависимости от заряда ракет и веса самолета.</w:t>
      </w:r>
    </w:p>
    <w:p w14:paraId="319E90D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Благин</w:t>
      </w:r>
    </w:p>
    <w:p w14:paraId="2B2811F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B4582CD" w14:textId="77777777" w:rsidR="0007455B" w:rsidRPr="0044524F" w:rsidRDefault="0007455B" w:rsidP="009654CF">
      <w:pPr>
        <w:numPr>
          <w:ilvl w:val="0"/>
          <w:numId w:val="36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полном заряде ракет длина разбега сокращается по сравнению со взлетом без ракет в 3-3,5 раза.</w:t>
      </w:r>
    </w:p>
    <w:p w14:paraId="74B7BF0C" w14:textId="77777777" w:rsidR="0007455B" w:rsidRPr="0044524F" w:rsidRDefault="0007455B" w:rsidP="009654CF">
      <w:pPr>
        <w:numPr>
          <w:ilvl w:val="0"/>
          <w:numId w:val="36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Пилотирование самолета при взлете с ракетами имеет некоторые особенности, однако никаких особых затруднений не представляет (6795, 10-13).</w:t>
      </w:r>
    </w:p>
    <w:p w14:paraId="482921A0" w14:textId="77777777" w:rsidR="0007455B" w:rsidRPr="0044524F" w:rsidRDefault="0007455B" w:rsidP="009654CF">
      <w:pPr>
        <w:tabs>
          <w:tab w:val="left" w:pos="360"/>
          <w:tab w:val="left" w:pos="11199"/>
        </w:tabs>
        <w:spacing w:after="0" w:line="240" w:lineRule="auto"/>
        <w:jc w:val="both"/>
        <w:rPr>
          <w:rFonts w:ascii="Times New Roman" w:hAnsi="Times New Roman"/>
          <w:color w:val="000000" w:themeColor="text1"/>
          <w:sz w:val="16"/>
          <w:szCs w:val="16"/>
        </w:rPr>
      </w:pPr>
    </w:p>
    <w:p w14:paraId="6CFBD11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23 сентября по 9 октября 1933 года в НИИ ВВС проходили гос. испытания самолета ТБ3-4М34 (6635).</w:t>
      </w:r>
    </w:p>
    <w:p w14:paraId="1392252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68A7CD96" w14:textId="77777777" w:rsidR="0007455B" w:rsidRPr="0044524F" w:rsidRDefault="0007455B" w:rsidP="009654CF">
      <w:pPr>
        <w:numPr>
          <w:ilvl w:val="0"/>
          <w:numId w:val="36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испытание самолетов ТБ3-4М34 без редукторов (№№ 22203 и 22204).</w:t>
      </w:r>
    </w:p>
    <w:p w14:paraId="0886E8D5" w14:textId="77777777" w:rsidR="0007455B" w:rsidRPr="0044524F" w:rsidRDefault="0007455B" w:rsidP="009654CF">
      <w:pPr>
        <w:numPr>
          <w:ilvl w:val="0"/>
          <w:numId w:val="36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Выбор наилучшего винта из трех представленных ЦАГИ.</w:t>
      </w:r>
    </w:p>
    <w:p w14:paraId="3A9EF817" w14:textId="77777777" w:rsidR="0007455B" w:rsidRPr="0044524F" w:rsidRDefault="0007455B" w:rsidP="009654CF">
      <w:pPr>
        <w:numPr>
          <w:ilvl w:val="0"/>
          <w:numId w:val="36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Изыскание путей облегчения винтомоторной группы.</w:t>
      </w:r>
    </w:p>
    <w:p w14:paraId="7FA0537B"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44AFA0AD" w14:textId="77777777" w:rsidR="0007455B" w:rsidRPr="0044524F" w:rsidRDefault="0007455B" w:rsidP="009654CF">
      <w:pPr>
        <w:numPr>
          <w:ilvl w:val="0"/>
          <w:numId w:val="36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при испытании трех типов винтов лучшие летные данные самолет ТБ3-4М34 без редуктора получил с винтами Д=3,18; Н=1,88, считать необходимым все самолеты ТБ3-4М34 выпускать с этим типом винтов.</w:t>
      </w:r>
    </w:p>
    <w:p w14:paraId="20B3E49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3055433B"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22203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296CE60E" w14:textId="77777777">
        <w:tc>
          <w:tcPr>
            <w:tcW w:w="5636" w:type="dxa"/>
          </w:tcPr>
          <w:p w14:paraId="5201081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сентября 1933 года</w:t>
            </w:r>
          </w:p>
        </w:tc>
        <w:tc>
          <w:tcPr>
            <w:tcW w:w="5636" w:type="dxa"/>
          </w:tcPr>
          <w:p w14:paraId="0CA1775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ОЭЛИД ЦАГИ, переслан в Щелково и облетан.</w:t>
            </w:r>
          </w:p>
        </w:tc>
      </w:tr>
      <w:tr w:rsidR="004E10C1" w:rsidRPr="0044524F" w14:paraId="5F2B7FFF" w14:textId="77777777">
        <w:tc>
          <w:tcPr>
            <w:tcW w:w="5636" w:type="dxa"/>
          </w:tcPr>
          <w:p w14:paraId="51C2749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сентября 1933 года</w:t>
            </w:r>
          </w:p>
        </w:tc>
        <w:tc>
          <w:tcPr>
            <w:tcW w:w="5636" w:type="dxa"/>
          </w:tcPr>
          <w:p w14:paraId="2BFE8B1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09483CDB" w14:textId="77777777">
        <w:tc>
          <w:tcPr>
            <w:tcW w:w="5636" w:type="dxa"/>
          </w:tcPr>
          <w:p w14:paraId="22DA36C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36" w:type="dxa"/>
          </w:tcPr>
          <w:p w14:paraId="28741B4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w:t>
            </w:r>
          </w:p>
        </w:tc>
      </w:tr>
      <w:tr w:rsidR="004E10C1" w:rsidRPr="0044524F" w14:paraId="47AAB4D5" w14:textId="77777777">
        <w:tc>
          <w:tcPr>
            <w:tcW w:w="5636" w:type="dxa"/>
          </w:tcPr>
          <w:p w14:paraId="335355E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года</w:t>
            </w:r>
          </w:p>
        </w:tc>
        <w:tc>
          <w:tcPr>
            <w:tcW w:w="5636" w:type="dxa"/>
          </w:tcPr>
          <w:p w14:paraId="1F136F8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50159341" w14:textId="77777777">
        <w:tc>
          <w:tcPr>
            <w:tcW w:w="5636" w:type="dxa"/>
          </w:tcPr>
          <w:p w14:paraId="7AE835F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7 октября 1933 года</w:t>
            </w:r>
          </w:p>
        </w:tc>
        <w:tc>
          <w:tcPr>
            <w:tcW w:w="5636" w:type="dxa"/>
          </w:tcPr>
          <w:p w14:paraId="396AC50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зубцы.</w:t>
            </w:r>
          </w:p>
        </w:tc>
      </w:tr>
      <w:tr w:rsidR="004E10C1" w:rsidRPr="0044524F" w14:paraId="7487ABF1" w14:textId="77777777">
        <w:tc>
          <w:tcPr>
            <w:tcW w:w="5636" w:type="dxa"/>
          </w:tcPr>
          <w:p w14:paraId="66BF0C2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w:t>
            </w:r>
          </w:p>
        </w:tc>
        <w:tc>
          <w:tcPr>
            <w:tcW w:w="5636" w:type="dxa"/>
          </w:tcPr>
          <w:p w14:paraId="4A42822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трехчасовой 450 км полет по маршруту: Щелково-Коломна-Щелково-Серпухов-Щелково.</w:t>
            </w:r>
          </w:p>
        </w:tc>
      </w:tr>
    </w:tbl>
    <w:p w14:paraId="13DC28F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22204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6F97E7BB" w14:textId="77777777">
        <w:tc>
          <w:tcPr>
            <w:tcW w:w="5636" w:type="dxa"/>
          </w:tcPr>
          <w:p w14:paraId="001CAC02"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года</w:t>
            </w:r>
          </w:p>
        </w:tc>
        <w:tc>
          <w:tcPr>
            <w:tcW w:w="5636" w:type="dxa"/>
          </w:tcPr>
          <w:p w14:paraId="66FF6A2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22 завода и перегнан в Щелково.</w:t>
            </w:r>
          </w:p>
        </w:tc>
      </w:tr>
      <w:tr w:rsidR="004E10C1" w:rsidRPr="0044524F" w14:paraId="79C64C3A" w14:textId="77777777">
        <w:tc>
          <w:tcPr>
            <w:tcW w:w="5636" w:type="dxa"/>
          </w:tcPr>
          <w:p w14:paraId="31A1D47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года</w:t>
            </w:r>
          </w:p>
        </w:tc>
        <w:tc>
          <w:tcPr>
            <w:tcW w:w="5636" w:type="dxa"/>
          </w:tcPr>
          <w:p w14:paraId="285FAEE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Ознакомительный полет.</w:t>
            </w:r>
          </w:p>
        </w:tc>
      </w:tr>
      <w:tr w:rsidR="004E10C1" w:rsidRPr="0044524F" w14:paraId="352CAD1D" w14:textId="77777777">
        <w:tc>
          <w:tcPr>
            <w:tcW w:w="5636" w:type="dxa"/>
          </w:tcPr>
          <w:p w14:paraId="47674BA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w:t>
            </w:r>
          </w:p>
        </w:tc>
        <w:tc>
          <w:tcPr>
            <w:tcW w:w="5636" w:type="dxa"/>
          </w:tcPr>
          <w:p w14:paraId="60CD0B0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w:t>
            </w:r>
          </w:p>
        </w:tc>
      </w:tr>
      <w:tr w:rsidR="004E10C1" w:rsidRPr="0044524F" w14:paraId="6E28FE3C" w14:textId="77777777">
        <w:tc>
          <w:tcPr>
            <w:tcW w:w="5636" w:type="dxa"/>
          </w:tcPr>
          <w:p w14:paraId="0DF9F36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сентября 1933 года</w:t>
            </w:r>
          </w:p>
        </w:tc>
        <w:tc>
          <w:tcPr>
            <w:tcW w:w="5636" w:type="dxa"/>
          </w:tcPr>
          <w:p w14:paraId="48FB5CE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099F5AD2" w14:textId="77777777">
        <w:tc>
          <w:tcPr>
            <w:tcW w:w="5636" w:type="dxa"/>
          </w:tcPr>
          <w:p w14:paraId="35AE339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36" w:type="dxa"/>
          </w:tcPr>
          <w:p w14:paraId="76FE01F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по зубцам.</w:t>
            </w:r>
          </w:p>
        </w:tc>
      </w:tr>
      <w:tr w:rsidR="004E10C1" w:rsidRPr="0044524F" w14:paraId="2EB28047" w14:textId="77777777">
        <w:tc>
          <w:tcPr>
            <w:tcW w:w="5636" w:type="dxa"/>
          </w:tcPr>
          <w:p w14:paraId="416BF35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года</w:t>
            </w:r>
          </w:p>
        </w:tc>
        <w:tc>
          <w:tcPr>
            <w:tcW w:w="5636" w:type="dxa"/>
          </w:tcPr>
          <w:p w14:paraId="656354A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17577884" w14:textId="77777777">
        <w:tc>
          <w:tcPr>
            <w:tcW w:w="5636" w:type="dxa"/>
          </w:tcPr>
          <w:p w14:paraId="10EFEAD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w:t>
            </w:r>
          </w:p>
        </w:tc>
        <w:tc>
          <w:tcPr>
            <w:tcW w:w="5636" w:type="dxa"/>
          </w:tcPr>
          <w:p w14:paraId="5F1081F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зубцы.</w:t>
            </w:r>
          </w:p>
        </w:tc>
      </w:tr>
    </w:tbl>
    <w:p w14:paraId="11B71CD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проведены в 13 дней, из них самолет летал 6 дней (6635).</w:t>
      </w:r>
    </w:p>
    <w:p w14:paraId="38DB645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p w14:paraId="53A5227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23 сентября по 1 октября 1933 проходили гос. испытания опытного самолета ТБ4-6М34 конструкции и производства ЦАГИ с первым вариантом вооружения (6642).</w:t>
      </w:r>
    </w:p>
    <w:p w14:paraId="0128064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77866DF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испытания – Рязанов</w:t>
      </w:r>
    </w:p>
    <w:p w14:paraId="7B36A80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ведущий испытания – Стефановский</w:t>
      </w:r>
    </w:p>
    <w:p w14:paraId="7AD9ECF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15657FE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самолета ТБ4-6М34 с первым вариантом вооружения (без пулеметных точек на крыльях) с целью определения дальнейших работ по самолету.</w:t>
      </w:r>
    </w:p>
    <w:p w14:paraId="71E87A3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EA64E46" w14:textId="77777777" w:rsidR="0007455B" w:rsidRPr="0044524F" w:rsidRDefault="0007455B" w:rsidP="009654CF">
      <w:pPr>
        <w:numPr>
          <w:ilvl w:val="0"/>
          <w:numId w:val="37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Констатируя крупнейшее достижение Советского опытного самолетостроения, выразившееся в выпуске самолета ТБ4-6М34, НИИ ВВС не считает возможным рекомендовать серийную постройку самолета в виде идентичном испытанному самолету.</w:t>
      </w:r>
    </w:p>
    <w:p w14:paraId="4D15C4A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461EAF1A" w14:textId="77777777">
        <w:tc>
          <w:tcPr>
            <w:tcW w:w="5636" w:type="dxa"/>
          </w:tcPr>
          <w:p w14:paraId="5725D97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года</w:t>
            </w:r>
          </w:p>
        </w:tc>
        <w:tc>
          <w:tcPr>
            <w:tcW w:w="5636" w:type="dxa"/>
          </w:tcPr>
          <w:p w14:paraId="621476C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Приемка от ЦАГИ самолета в воздухе.</w:t>
            </w:r>
          </w:p>
        </w:tc>
      </w:tr>
      <w:tr w:rsidR="004E10C1" w:rsidRPr="0044524F" w14:paraId="1A427715" w14:textId="77777777">
        <w:tc>
          <w:tcPr>
            <w:tcW w:w="5636" w:type="dxa"/>
          </w:tcPr>
          <w:p w14:paraId="2230525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36" w:type="dxa"/>
          </w:tcPr>
          <w:p w14:paraId="32D46C1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Вывозные полеты для к-ра тяжелой эскадрилии, полет на километраж.</w:t>
            </w:r>
          </w:p>
        </w:tc>
      </w:tr>
      <w:tr w:rsidR="004E10C1" w:rsidRPr="0044524F" w14:paraId="3F8A017F" w14:textId="77777777">
        <w:tc>
          <w:tcPr>
            <w:tcW w:w="5636" w:type="dxa"/>
          </w:tcPr>
          <w:p w14:paraId="02DF2F3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w:t>
            </w:r>
          </w:p>
        </w:tc>
        <w:tc>
          <w:tcPr>
            <w:tcW w:w="5636" w:type="dxa"/>
          </w:tcPr>
          <w:p w14:paraId="4723B2A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скорости по высотам.</w:t>
            </w:r>
          </w:p>
        </w:tc>
      </w:tr>
    </w:tbl>
    <w:p w14:paraId="2C683889"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испытания выполнена в 6 календарных дней, полеты – 3 дня (6642).</w:t>
      </w:r>
    </w:p>
    <w:p w14:paraId="354D999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p w14:paraId="7D0AFE9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начались гос. испытания ТБ-4 с балластом. Усилили фюзеляж, вооружили, испытали с успехом, но отклонили (80,317).</w:t>
      </w:r>
    </w:p>
    <w:p w14:paraId="29D4D50C"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64FDF53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машину ТБ-4 приняли у ЦАГИ в НИИ ВВС на государственные испытания, затем неделя ушла на устранение мелких дефектов, и с 29 сентября начались испытательные полеты. Результаты их выглядели неоднозначно. Летал экипаж П.М. Стефановского. Стефановский позднее писал в своих мемуарах о новом самолете: "Он просто потрясал!"</w:t>
      </w:r>
    </w:p>
    <w:p w14:paraId="7DB5203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одной стороны, в отчете НИИ было записано: "Выпуск самолета ТБ4-6М34 с полетным весом 33 тонны является, несомненно, крупнейшим достижением Советского самолетостроения". С другой, на акте утверждения отчета начальник ВВС РККА командарм Я.И. Алкснис начертал резолюцию: "Констатирую, что в предъявленном виде самолет ТБ4-6М34 государственных испытаний не выдержал и к серийной постройке не может быть допущен". Причиной столь резкой реакции начальника ВВС стал ряд существенных недостатков, выявленных в НИИ.</w:t>
      </w:r>
    </w:p>
    <w:p w14:paraId="28A2952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Пилотирование гиганта оказалось не столь простым, как уверял Стефановского Громов. В отчете записано: "Взлет и посадка вследствие недостаточной мощности рулей высоты сложны и требуют согласованной работы обязательно двух летчиков. Самолет трудно отрывается от земли, имея разбег около 800 метров". Дело в том, что управление электроприводом стабилизатора поставили только у второго пилота. Командир действовал штурвалом, а второй пилот по его командам включал и выключал электромотор. При этом кнопки он искал на ощупь, держа штурвал одной рукой. Учитывая, что нагрузки на штурвале были очень велики, и его запросто могло вырвать, испытатели и пришли к такому разделению труда - один держит штурвал, а второй включает и выключает.</w:t>
      </w:r>
    </w:p>
    <w:p w14:paraId="0041070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взлете приходилось дважды включать электромеханизм перестановки стабилизатора. При этом подъемник работал ненадежно. Один раз его отказ чуть не привел к катастрофе. Электромотор после взлета не выключился и продолжал выворачивать стабилизатор. Бомбардировщик задрал нос и начал быстро терять скорость. Вот тут выявился еще один существенный конструктивный недостаток - отсутствие связи пилотов со старшим борттехником. На его месте в этом полете сидел инженер Л.И. Шевердин- ский. Наконец, Стефановскому удалось привлечь его внимание резким изменением оборотов одного из двигателей. Проблему решили обыкновенные кусачки - Шевердинс- кий перерезал провод к электромотору. Сели без перестановки стабилизатора, используя многочисленный экипаж как живой балласт для изменения центровки. Летать, постоянно ожидая отказа управления, было просто страшновато.</w:t>
      </w:r>
    </w:p>
    <w:p w14:paraId="59B6ABA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и другие неприятности. Выявилась тряска хвостового оперения. "При пробе плоскостных моторов на земле наблюдается боковое раскачивание хвостового оперения. При пробе тандемных моторов раскачивание оперения достигает больших размеров, вызывая опасение за сохранение прочности..." В полете незначительные вибрации проявлялись на всех режимах полета, усиливаясь при скоростях меньше 170 км/ч. Если летчики давали полный газ верхним моторам, начинал вдобавок раскачиваться руль направления. Но это были еще цветочки...</w:t>
      </w:r>
    </w:p>
    <w:p w14:paraId="4FE3C39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стадии проверки возможности пилотирования самолета на пяти и даже четырех моторах, стало еще хуже. Когда выключали один двигатель, в сущности, ничего не менялось. На высоте 1000 м бомбардировщик продолжал лететь горизонтально, нагрузки для пилотов оставались в приемлемых пределах. Когда выключали два - самолет терял высоту. Более того, если убирали газ двум моторам с одной стороны, хвостовую часть начинало дергать. Тряска была столь сильной, что серьезно обеспокоила испытателей. Из ЦАГИ прибыл В.М. Петляков, руководивший у Туполева бригадой тяжелых самолетов. Его засунули в кабину кормового стрелка и дали в руки веревку. Если Петляков сочтет, что тряска опасна, он должен был дернуть веревку, второй конец которой привязали к ноге Стефановского. Когда хвост стало трясти, Петляков перепугался и рванул веревку так, что она оборвалась. В итоге специалистам ЦАГИ пришлось признать, что жесткость хвостовой части самолета явно недостаточна.</w:t>
      </w:r>
    </w:p>
    <w:p w14:paraId="6FD265B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Множество неприятностей доставила верхняя мотоустановка. Начнем с того, что электронасос, который должен был подавать бензин из баков в крыле наверх, не работал. Два механика, постоянно меняясь, весь полет орудовали большим ручным насосом. Мощная струя воздуха от тандемной установки делала невозможным даже пребывание в огневой точке на фюзеляже. "Поток от винтов не позволяет даже стоять в верхней турели", - написали в отчете. Обслуживание мотоустановки на высоте около девяти метров признали "чрезвычайно затруднительным", "неудобным и небезопасным". Туда надо было поднимать воду и масло для двигателей. Это было просто акробатическим трюком. На испытаниях летали в сентябре, было еще сравнительно тепло. А зимой пришлось бы поднимать наверх горячую воду, причем в сильный мороз ее проливали через двигатель раза три-четыре, пока он не придет в норму по температуре. И масло тоже заправляли в мотор горячим. Люди лазили по лестницам, а воду и масло поднимали веревками в канистрах.</w:t>
      </w:r>
    </w:p>
    <w:p w14:paraId="7596229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Большую проблему создавай ремонт водяного радиатора, общего для двух моторов. Снять его можно было только большим подъемным краном, поскольку вес достигал 200 кг. Спешка, в которой проектировали верхнюю установку, выразилась, например, в том, что у нее не было откидных мостиков для обслуживания, как на крыльях. Вопреки техническому заданию, доступа к этим моторам в полете не имелось.</w:t>
      </w:r>
    </w:p>
    <w:p w14:paraId="1BB9920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Пилотская кабина находилась в плоскости вращения винтов, и в ней было очень шумно. После часа полета у летчиков, даже одетых в наушники, наступала временная глухота. Металлическая крыша над проходом ухудшала обзор. Один пилот мог смотреть только вправо, другой - только влево. Выполняя повороты при маневрировании на земле, летчики то и дело передавали друг другу управление.</w:t>
      </w:r>
    </w:p>
    <w:p w14:paraId="3923358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Тормоза работали весьма своеобразно. Они включались с задержкой в пять - десять секунд и с таким же опозданием выключались.</w:t>
      </w:r>
    </w:p>
    <w:p w14:paraId="16C8B3D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Вдобавок выявился целый букет заводских недоделок и брака. Два бензобака текли. Водяные и водо-масляные радиаторы текли тоже, да так, что их посчитали "совершенно ненадежными". Выхлопные коллекторы моторов трескались.</w:t>
      </w:r>
    </w:p>
    <w:p w14:paraId="2CA7088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 хлопот доставляло обслуживание огромной машины при отсутствии специальной техники. На заправку бомбовоза бензином уходило 2,5 часа (при использовании двух насосов). Чтобы подвесить бомбы, команда из 20 человек работала три часа; при этом груз поднимали на высоту в пять метров ручными лебедками.</w:t>
      </w:r>
    </w:p>
    <w:p w14:paraId="1EFE23D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самое главное, конструкторам не удалось выполнить ряд важных требований технического задания. Так, по заданию бомбардировщик должен был лететь на высоте 3000 м со скоростью 200 км/ч. Реально на испытаниях получили 187,5 км/ч на 2500 м. На 3000 м самолет вообще не смог подняться - практический потолок составлял всего 2750 м (при заданном 5000 м). Разбег доходил до 800 м при требуемом 250 м. Фактическая дальность полета составляла 1100 км против 2000 км. При этом нормальная бомбовая нагрузка равнялась всего 4000 кг. Правда, конструкторы предусмотрели установку дополнительных топливных баков емкостью 4000 л, что доводило взлетный вес до 37 т. Но в Н И И ВВС, подсчитав расход машиной горючего, пришли к выводу, что этого запаса хватит только на 1600 км.</w:t>
      </w:r>
    </w:p>
    <w:p w14:paraId="16B0D26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Задание предусматривало установку стрелковых башен на крыле, введение наддува бензобаков нейтральным газом для уменьшения пожароопасности и устройства для слива горючего в воздухе или сброса части баков. Реально все это отсутствовало. Вернее, слив сделали, но на опорожнение баков требовалось 83 минуты. Почти полтора часа никак не укладывались в понятие "быстрый", записанное в задании. Пользы от такого слива в аварийной ситуации реально не было никакой. В то же время все это отсутствовавшее на опытной машине оборудование и вооружение в будущем подняло бы вес самолета и несколько ухудшило его аэродинамику. Соответственно ухудшились бы и летные данные.</w:t>
      </w:r>
    </w:p>
    <w:p w14:paraId="1885A71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невысоких летных данных ТБ-4 были ясны. Мощности шести М-34 для бомбардировщика такого веса просто не хватало. У старого ТБ-3 с двигателями М-17 нагрузка на мощность составляла 7,4 кг/л.е., а у АНТ-16 - 8,6 кг/л.с. Даже уменьшив нагрузку на крыло (63,3 кг/м2 против 78,3 кг/м2), парировать это не удалось.</w:t>
      </w:r>
    </w:p>
    <w:p w14:paraId="5A67209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обороты моторов М-34 были слишком велики для тихоходного ТБ-4. Коэффициент полезного действия винтов оказался довольно низким, не позволяя полностью использовать даже имеющуюся мощность. Самолет оснащался старомодными деревянными двухлопастными пропеллерами фиксированного шага трех разных размеров. Моторы на крыле вращали винты диаметром 3,18 м, передний двигатель наверху - 3,3 м и задний - 3,0 м. Пропеллеры для двигателей на крыле предварительно прошли испытания на ТБ-3.</w:t>
      </w:r>
    </w:p>
    <w:p w14:paraId="415A7D3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Специалисты НИИ ВВС внесли ряд рекомендаций по усовершенствованию машины. Но никто не мог дать бомбардировщику соответствующую его весу и размерам мотоустановку. Поэтому предложения НИИ, по сути, являлись паллиативными: увеличить размах и площадь крыла, увеличить руль высоты, внедрить моторы М-34Р с редукторами, заменить винты. Кроме этого требовали прозрачный фонарь над пилотской кабиной, огневые точки на крыльях и еще кое-что по мелочи.</w:t>
      </w:r>
    </w:p>
    <w:p w14:paraId="4782E6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Кое-что из этого хотели внедрить на втором экземпляре АНТ-16, он же АНТ-16бис и ТБ-4бис. Эту машину изготовляли с августа 1932 г. В марте 1933 г. УВВС признало эту работу первоочередной, но уже 2 июля, за день до первого полета первого опытного образца, ЦАГИ получил распоряжение остановить сборку узлов. По-видимому, многие уже сделанные части этого самолета использовали потом для самолета АНТ-20 (12024).</w:t>
      </w:r>
    </w:p>
    <w:p w14:paraId="03C8DADC"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4B80CBB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ТБ-4 приняли у ЦАГИ на государственные испытания, затем неделя ушла на устранение мелких дефектов, и с 29 сентября начались испытательные полеты. Результаты их выглядели неоднозначно. Летал экипаж П.М. Стефановского. Стефановский позднее писал в своих мемуарах о новом самолете: "Он просто потрясал!"</w:t>
      </w:r>
    </w:p>
    <w:p w14:paraId="2714024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одной стороны, в отчете НИИ было записано: "Выпуск самолета ТБ4-6М34 с полетным весом 33 тонны является, несомненно, крупнейшим достижением Советского самолетостроения". С другой, на акте утверждения отчета начальник ВВС Я.И. Алкснис начертал резолюцию: "Констатирую, что в предъявленном виде самолет ТБ4-6М34 государственных испытаний не выдержал и к серийной постройке не может быть допущен". Причиной столь резкой реакции начальника ВВС РККА стал ряд существенных недостатков, выявленных в НИИ ВВС.</w:t>
      </w:r>
    </w:p>
    <w:p w14:paraId="45A711C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Пилотирование гиганта оказалось не столь простым, как уверял Стефановского Громов. В отчете записано: "Взлет и посадка вследствие недостаточной мощности рулей высоты сложны и требуют согласованной работы обязательно двух летчиков. Самолет трудно отрывается от земли, имея разбег около 800 метров". Дело в том, что управление электроприводом стабилизатора поставили только у второго пилота. Командир действовал штурвалом, а второй пилот по его командам включал и выключал электромотор. При этом кнопки он искал на ощупь, держа штурвал одной рукой. Учитывая, что нагрузки на штурвале были очень велики, и его запросто могло вырвать, испытатели и пришли к такому разделению труда - один держит штурвал, а второй включает и выключает.</w:t>
      </w:r>
    </w:p>
    <w:p w14:paraId="35614EB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взлете приходилось дважды включать электромеханизм перестановки стабилизатора. При этом подъемник работал ненадежно. Один раз его отказ чуть не привел к катастрофе. Электромотор после взлета не выключился и продолжал выворачивать стабилизатор. Бомбардировщик задрал нос и начал быстро терять скорость. Вот тут выявился еще один существенный конструктивный недостаток - отсутствие связи пилотов со старшим борттехником. На его месте в этом полете сидел инженер Л.И. Шевердинский. Наконец, Стефановскому удалось привлечь его внимание резким изменением оборотов одного из двигателей. Проблему решили обыкновенные кусачки - Шевердинский перерезал провод к электромотору. Сели без перестановки стабилизатора, используя многочисленный экипаж как живой балласт для изменения центровки. Летать, постоянно ожидая отказа управления, было просто страшновато.</w:t>
      </w:r>
    </w:p>
    <w:p w14:paraId="71168DE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и другие неприятности. Выявилась тряска хвостового оперения. "При пробе плоскостных моторов на земле наблюдается боковое раскачивание хвостового оперения. При пробе тандемных моторов раскачивание оперения достигает больших размеров, вызывая опасение за сохранение прочности...". В полете незначительные вибрации проявлялись на всех режимах полета, усиливаясь при скоростях меньше 170 км/ч. Если летчики давали полный газ верхним моторам, начинал вдобавок раскачиваться руль направления. Но это были еще цветочки...</w:t>
      </w:r>
    </w:p>
    <w:p w14:paraId="094E268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стадии проверки возможности пилотирования самолета на пяти и даже четырех моторах, стало еще хуже. Когда выключали один двигатель, в сущности, ничего не менялось. На высоте 1000 м бомбардировщик продолжал лететь горизонтально, нагрузки для пилотов оставались в приемлемых пределах. Когда выключали два - самолет терял высоту. Более того, если убирали газ двум моторам с одной стороны, хвостовую часть начинало дергать. Тряска была столь сильной, что серьезно обеспокоила испытателей. Из ЦАГИ прибыл В.М. Петляков, руководивший у Туполева бригадой тяжелых самолетов. Его засунули в кабину кормового стрелка и дали в руки веревку. Если Петляков сочтет, что тряска опасна, он должен был дернуть веревку, второй конец которой привязали к ноге Стефановского. Когда хвост стало трясти, Петляков перепугался и рванул веревку так, что она оборвалась. В итоге специалистам ЦАГИ пришлось признать, что жесткость хвостовой части самолета явно недостаточна.</w:t>
      </w:r>
    </w:p>
    <w:p w14:paraId="162862E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Множество неприятностей доставила верхняя мотоустановка. Начнем с того, что электронасос, который должен был подавать бензин из баков в крыле наверх, не работал. Два механика, постоянно меняясь, весь полет орудовали большим ручным насосом. Мощная струя воздуха от тандемной установки делала невозможным даже пребывание в огневой точке на фюзеляже. "Поток от винтов не позволяет даже стоять в верхней турели", - написали в отчете. Обслуживание мотоустановки на высоте около 9 м признали "чрезвычайно затруднительным", "неудобным и небезопасным". Туда надо было поднимать воду и масло дчя двигателей. Это было просто акробатическим трюком. На испытаниях летали в сентябре, было еще сравнительно тепло. А зимой пришлось бы поднимать наверх горячую воду, причем в сильный мороз ее проливали через двигатель раза три- четыре, пока он не придет в норму по температуре. И масло тоже заправляли в мотор горячим.</w:t>
      </w:r>
    </w:p>
    <w:p w14:paraId="266726A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Большую проблему создавал ремонт водяного радиатора, общего для двух моторов. Снять его можно было только большим подъемным краном, поскольку вес достигал 200 кг. Спешка, в которой проектировали верхнюю установку, выразилась, например, в том, что у нее не было откидных мостиков для обслуживания, как на крыльях. Вопреки техническому заданию, доступа к этим моторам в полете не имелось.</w:t>
      </w:r>
    </w:p>
    <w:p w14:paraId="5E430D1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Пилотская кабина находилась в плоскости вращения винтов, и в ней было очень шумно. После часа полета у летчиков, даже одетых в наушники, наступала временная глухота. Металлическая крыша над проходом ухудшала обзор. Один пилот мог смотреть только вправо, другой - только влево. Выполняя повороты при маневрировании на земле, летчики то и дело передавали друг другу управление.</w:t>
      </w:r>
    </w:p>
    <w:p w14:paraId="4D591FB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Тормоза работали своеобразно. Они включались с задержкой в пять - десять секунд и с таким же опозданием выключались.</w:t>
      </w:r>
    </w:p>
    <w:p w14:paraId="6F218CF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Вдобавок выявился целый букет заводских недоделок и брака. Два бензобака текли. Водяные и водо-масляные радиаторы текли тоже, да так, что их посчитали "совершенно ненадежными". Выхлопные коллекторы моторов трескались.</w:t>
      </w:r>
    </w:p>
    <w:p w14:paraId="7529940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 хлопот доставляло обслуживание огромной машины при отсутствии специальной техники. На заправку бомбовоза бензином уходило 2,5 часа (при использовании двух насосов). Чтобы подвесить бомбы, команда из 20 человек работала три часа; при этом груз поднимали на высоту в пять метров ручными лебедками.</w:t>
      </w:r>
    </w:p>
    <w:p w14:paraId="5720C8A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самое главное, конструкторам не удалось выполнить ряд важных требований технического задания. Так, по заданию бомбардировщик должен был лететь на высоте 3000 м со скоростью 200 км/ч. Реально на испытаниях получили 187,5 км/ч на 2500 м. На 3000 м самолет вообще не смог подняться - практический потолок составлял всего 2750 м (при заданном 5000 м). Разбег доходил до 800 м при требуемом 250 м. Фактическая дальность полета составляла 1100 км против 2000 км. При этом нормальная бомбовая нагрузка равнялась всего 4000 кг. Правда, конструкторы предусмотрели установку дополнительных топливных баков емкостью 4000 л, что доводило взлетный вес до 37 т. Но в НИИ ВВС, подсчитав расход машиной горючего, пришли к выводу, что этого запаса хватит только на 1600 км.</w:t>
      </w:r>
    </w:p>
    <w:p w14:paraId="1FBE8F1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Задание предусматривало установку стрелковых башен на крыле, введение наддува бензобаков нейтральным газом для уменьшения пожароопасности и устройства для слива горючего в воздухе или сброса части баков. Реально все это отсутствовало. Вернее, слив сделали, но на опорожнение баков требовались 83 минуты. Почти полтора часа никак не укладывались в понятие "быстрый", записанное в задании. Пользы от такого слива в аварийной ситуации реально не было никакой. В то же время все это отсутствовавшее на опытной машине оборудование и вооружение в будущем подняло бы вес самолета и несколько ухудшило его аэродинамику. Соответственно ухудшились бы и летные данные. </w:t>
      </w:r>
    </w:p>
    <w:p w14:paraId="6C84A98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невысоких летных данных ТБ-4 были ясны. Мощности шести М-34 для бомбардировщика такого веса просто не хватало. У старого ТБ-3 с двигателями М-17 нагрузка на мощность составляла 7,4 кг/л.е., а у АНТ-16 - 8,6 кг/л.с. Даже уменьшив нагрузку на крыло (63,3 кг/м2 против 78,3 кг/м2), парировать это не удалось.</w:t>
      </w:r>
    </w:p>
    <w:p w14:paraId="38681B5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обороты моторов М-34 были слишком велики для тихоходного ТБ-4. Коэффициент полезного действия винтов оказался довольно низким, не позволяя полностью использовать даже имеющуюся мощность. Самолет оснащался старомодными деревянными двухлопастными пропеллерами фиксированного шага трех разных размеров. Моторы на крыле вращали винты диаметром 3,18 м, передний двигатель наверху - 3,3 м и задний - 3,0 м.</w:t>
      </w:r>
    </w:p>
    <w:p w14:paraId="0CED081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Специалисты НИИ ВВС внесли ряд рекомендаций по усовершенствованию машины. Но никто не мог дать бомбардировщику соответствующую его весу и размерам мотоустановку. Поэтому предложения НИИ, по сути, являлись паллиативными: увеличить размах и площадь крыла, увеличить руль высоты, внедрить моторы М-34Р с редукторами, заменить винты. Кроме этого требовали прозрачный фонарь над пилотской кабиной, огневые точки на крыльях и еще кое-что по мелочи.</w:t>
      </w:r>
    </w:p>
    <w:p w14:paraId="7C5AF72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Кое-что из этого хотели внедрить на втором экземпляре АНТ-16, он же АНТ-16бис и ТБ-4бис (12036).</w:t>
      </w:r>
    </w:p>
    <w:p w14:paraId="48C93703"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D284552" w14:textId="77777777" w:rsidR="001D3320" w:rsidRPr="0044524F" w:rsidRDefault="001D33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23 сентября 1933 г., после окончания завод</w:t>
      </w:r>
      <w:r w:rsidRPr="0044524F">
        <w:rPr>
          <w:rFonts w:ascii="Times New Roman" w:hAnsi="Times New Roman"/>
          <w:color w:val="000000" w:themeColor="text1"/>
          <w:sz w:val="16"/>
          <w:szCs w:val="16"/>
        </w:rPr>
        <w:softHyphen/>
        <w:t>ских испытаний, состоялся трехчасовой сдаточный полет. Среди прочего в этом полете определялись устойчивость и уп</w:t>
      </w:r>
      <w:r w:rsidRPr="0044524F">
        <w:rPr>
          <w:rFonts w:ascii="Times New Roman" w:hAnsi="Times New Roman"/>
          <w:color w:val="000000" w:themeColor="text1"/>
          <w:sz w:val="16"/>
          <w:szCs w:val="16"/>
        </w:rPr>
        <w:softHyphen/>
        <w:t>равляемость при двух задросселированных моторах. Все прошло успешно. Самолет сдавали ведущий инженер Е.К.. Стоман и летчик М.М. Громов. Принимали ТБ—4 для проведения государственных и вой</w:t>
      </w:r>
      <w:r w:rsidRPr="0044524F">
        <w:rPr>
          <w:rFonts w:ascii="Times New Roman" w:hAnsi="Times New Roman"/>
          <w:color w:val="000000" w:themeColor="text1"/>
          <w:sz w:val="16"/>
          <w:szCs w:val="16"/>
        </w:rPr>
        <w:softHyphen/>
        <w:t>сковых (одновременно) испытаний стар</w:t>
      </w:r>
      <w:r w:rsidRPr="0044524F">
        <w:rPr>
          <w:rFonts w:ascii="Times New Roman" w:hAnsi="Times New Roman"/>
          <w:color w:val="000000" w:themeColor="text1"/>
          <w:sz w:val="16"/>
          <w:szCs w:val="16"/>
        </w:rPr>
        <w:softHyphen/>
        <w:t>ший инженер НИИ УВВС Рязанов и летчик П.М. Стефановский.</w:t>
      </w:r>
    </w:p>
    <w:p w14:paraId="4CF842A4" w14:textId="77777777" w:rsidR="001D3320" w:rsidRPr="0044524F" w:rsidRDefault="001D33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Государственные испытания проводи</w:t>
      </w:r>
      <w:r w:rsidRPr="0044524F">
        <w:rPr>
          <w:rFonts w:ascii="Times New Roman" w:hAnsi="Times New Roman"/>
          <w:color w:val="000000" w:themeColor="text1"/>
          <w:sz w:val="16"/>
          <w:szCs w:val="16"/>
        </w:rPr>
        <w:softHyphen/>
        <w:t>ли П.М. Стефановский, М.А. Нюхтиков и Л.И. Шевердинский. Ведущим инжене</w:t>
      </w:r>
      <w:r w:rsidRPr="0044524F">
        <w:rPr>
          <w:rFonts w:ascii="Times New Roman" w:hAnsi="Times New Roman"/>
          <w:color w:val="000000" w:themeColor="text1"/>
          <w:sz w:val="16"/>
          <w:szCs w:val="16"/>
        </w:rPr>
        <w:softHyphen/>
        <w:t>ром от НИИ ВВС был Рязанов. Самолет испытывался без полного комплекта во</w:t>
      </w:r>
      <w:r w:rsidRPr="0044524F">
        <w:rPr>
          <w:rFonts w:ascii="Times New Roman" w:hAnsi="Times New Roman"/>
          <w:color w:val="000000" w:themeColor="text1"/>
          <w:sz w:val="16"/>
          <w:szCs w:val="16"/>
        </w:rPr>
        <w:softHyphen/>
        <w:t>оружения, массу которого имитировали мешки с песком. В целом ТБ—4 произвел на испытателей благоприятное впечатле</w:t>
      </w:r>
      <w:r w:rsidRPr="0044524F">
        <w:rPr>
          <w:rFonts w:ascii="Times New Roman" w:hAnsi="Times New Roman"/>
          <w:color w:val="000000" w:themeColor="text1"/>
          <w:sz w:val="16"/>
          <w:szCs w:val="16"/>
        </w:rPr>
        <w:softHyphen/>
        <w:t>ние, хотя на посадке «не хватало» руля высоты и приходилось переставлять (из</w:t>
      </w:r>
      <w:r w:rsidRPr="0044524F">
        <w:rPr>
          <w:rFonts w:ascii="Times New Roman" w:hAnsi="Times New Roman"/>
          <w:color w:val="000000" w:themeColor="text1"/>
          <w:sz w:val="16"/>
          <w:szCs w:val="16"/>
        </w:rPr>
        <w:softHyphen/>
        <w:t>менять угол установки) стабилизатор. Кроме того, при одновременном выклю</w:t>
      </w:r>
      <w:r w:rsidRPr="0044524F">
        <w:rPr>
          <w:rFonts w:ascii="Times New Roman" w:hAnsi="Times New Roman"/>
          <w:color w:val="000000" w:themeColor="text1"/>
          <w:sz w:val="16"/>
          <w:szCs w:val="16"/>
        </w:rPr>
        <w:softHyphen/>
        <w:t>чении двигателей на одной стороне кры</w:t>
      </w:r>
      <w:r w:rsidRPr="0044524F">
        <w:rPr>
          <w:rFonts w:ascii="Times New Roman" w:hAnsi="Times New Roman"/>
          <w:color w:val="000000" w:themeColor="text1"/>
          <w:sz w:val="16"/>
          <w:szCs w:val="16"/>
        </w:rPr>
        <w:softHyphen/>
        <w:t>ла возникали колебания хвостовой части фюзеляжа.</w:t>
      </w:r>
    </w:p>
    <w:p w14:paraId="6B215DF9" w14:textId="77777777" w:rsidR="001D3320" w:rsidRPr="0044524F" w:rsidRDefault="001D33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Машину возвратили на завод. Там фюзеляж усилили, установили полный комплект вооружения. После этого ис</w:t>
      </w:r>
      <w:r w:rsidRPr="0044524F">
        <w:rPr>
          <w:rFonts w:ascii="Times New Roman" w:hAnsi="Times New Roman"/>
          <w:color w:val="000000" w:themeColor="text1"/>
          <w:sz w:val="16"/>
          <w:szCs w:val="16"/>
        </w:rPr>
        <w:softHyphen/>
        <w:t>пытания продолжили. Они прошли ус</w:t>
      </w:r>
      <w:r w:rsidRPr="0044524F">
        <w:rPr>
          <w:rFonts w:ascii="Times New Roman" w:hAnsi="Times New Roman"/>
          <w:color w:val="000000" w:themeColor="text1"/>
          <w:sz w:val="16"/>
          <w:szCs w:val="16"/>
        </w:rPr>
        <w:softHyphen/>
        <w:t>пешно, но к этому времени полученные скоростные характеристики, хотя и соот</w:t>
      </w:r>
      <w:r w:rsidRPr="0044524F">
        <w:rPr>
          <w:rFonts w:ascii="Times New Roman" w:hAnsi="Times New Roman"/>
          <w:color w:val="000000" w:themeColor="text1"/>
          <w:sz w:val="16"/>
          <w:szCs w:val="16"/>
        </w:rPr>
        <w:softHyphen/>
        <w:t>ветствовали заданным, уже не удовлетво</w:t>
      </w:r>
      <w:r w:rsidRPr="0044524F">
        <w:rPr>
          <w:rFonts w:ascii="Times New Roman" w:hAnsi="Times New Roman"/>
          <w:color w:val="000000" w:themeColor="text1"/>
          <w:sz w:val="16"/>
          <w:szCs w:val="16"/>
        </w:rPr>
        <w:softHyphen/>
        <w:t>ряли военных.</w:t>
      </w:r>
    </w:p>
    <w:p w14:paraId="7A1F15D6" w14:textId="77777777" w:rsidR="001D3320" w:rsidRPr="0044524F" w:rsidRDefault="001D33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испытаний сделали следующие выводы:</w:t>
      </w:r>
    </w:p>
    <w:p w14:paraId="1595A0AA" w14:textId="77777777" w:rsidR="001D3320" w:rsidRPr="0044524F" w:rsidRDefault="001D33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низкие ЛТХ объясняются недоста</w:t>
      </w:r>
      <w:r w:rsidRPr="0044524F">
        <w:rPr>
          <w:rFonts w:ascii="Times New Roman" w:hAnsi="Times New Roman"/>
          <w:color w:val="000000" w:themeColor="text1"/>
          <w:sz w:val="16"/>
          <w:szCs w:val="16"/>
        </w:rPr>
        <w:softHyphen/>
        <w:t>точной мощностью винтомоторной груп</w:t>
      </w:r>
      <w:r w:rsidRPr="0044524F">
        <w:rPr>
          <w:rFonts w:ascii="Times New Roman" w:hAnsi="Times New Roman"/>
          <w:color w:val="000000" w:themeColor="text1"/>
          <w:sz w:val="16"/>
          <w:szCs w:val="16"/>
        </w:rPr>
        <w:softHyphen/>
        <w:t>пы и низким КПД винтов, особенно верхних двигателей;</w:t>
      </w:r>
    </w:p>
    <w:p w14:paraId="28415F38" w14:textId="77777777" w:rsidR="001D3320" w:rsidRPr="0044524F" w:rsidRDefault="001D33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аэродинамическая схема самолета хорошая, и установка двигателей с редук</w:t>
      </w:r>
      <w:r w:rsidRPr="0044524F">
        <w:rPr>
          <w:rFonts w:ascii="Times New Roman" w:hAnsi="Times New Roman"/>
          <w:color w:val="000000" w:themeColor="text1"/>
          <w:sz w:val="16"/>
          <w:szCs w:val="16"/>
        </w:rPr>
        <w:softHyphen/>
        <w:t>торами может существенно улучшить летные характеристики;</w:t>
      </w:r>
    </w:p>
    <w:p w14:paraId="6EEEA96E" w14:textId="77777777" w:rsidR="001D3320" w:rsidRPr="0044524F" w:rsidRDefault="001D33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увеличить емкость бен</w:t>
      </w:r>
      <w:r w:rsidRPr="0044524F">
        <w:rPr>
          <w:rFonts w:ascii="Times New Roman" w:hAnsi="Times New Roman"/>
          <w:color w:val="000000" w:themeColor="text1"/>
          <w:sz w:val="16"/>
          <w:szCs w:val="16"/>
        </w:rPr>
        <w:softHyphen/>
        <w:t>зобаков;</w:t>
      </w:r>
    </w:p>
    <w:p w14:paraId="54E6C2BE" w14:textId="77777777" w:rsidR="001D3320" w:rsidRPr="0044524F" w:rsidRDefault="001D33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принять меры к снижению веса конструкции, особенно винтомотор</w:t>
      </w:r>
      <w:r w:rsidRPr="0044524F">
        <w:rPr>
          <w:rFonts w:ascii="Times New Roman" w:hAnsi="Times New Roman"/>
          <w:color w:val="000000" w:themeColor="text1"/>
          <w:sz w:val="16"/>
          <w:szCs w:val="16"/>
        </w:rPr>
        <w:softHyphen/>
        <w:t>ной группы.</w:t>
      </w:r>
    </w:p>
    <w:p w14:paraId="33C9CE83" w14:textId="77777777" w:rsidR="001D3320" w:rsidRPr="0044524F" w:rsidRDefault="001D332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 требования следовало учесть при постройке дублера и головного серийно</w:t>
      </w:r>
      <w:r w:rsidRPr="0044524F">
        <w:rPr>
          <w:rFonts w:ascii="Times New Roman" w:hAnsi="Times New Roman"/>
          <w:color w:val="000000" w:themeColor="text1"/>
          <w:sz w:val="16"/>
          <w:szCs w:val="16"/>
        </w:rPr>
        <w:softHyphen/>
        <w:t>го самолета (23474).</w:t>
      </w:r>
    </w:p>
    <w:p w14:paraId="6004491C" w14:textId="77777777" w:rsidR="001D3320" w:rsidRPr="0044524F" w:rsidRDefault="001D3320" w:rsidP="009654CF">
      <w:pPr>
        <w:spacing w:after="0" w:line="240" w:lineRule="auto"/>
        <w:jc w:val="both"/>
        <w:rPr>
          <w:rFonts w:ascii="Times New Roman" w:hAnsi="Times New Roman"/>
          <w:color w:val="000000" w:themeColor="text1"/>
          <w:sz w:val="16"/>
          <w:szCs w:val="16"/>
        </w:rPr>
      </w:pPr>
    </w:p>
    <w:p w14:paraId="20AA20DD"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сентября 1933 г. АНТ-16 приняли у ЦАГИ, затем неделя уш</w:t>
      </w:r>
      <w:r w:rsidRPr="00142305">
        <w:rPr>
          <w:rFonts w:ascii="Times New Roman" w:hAnsi="Times New Roman"/>
          <w:color w:val="0070C0"/>
          <w:sz w:val="16"/>
          <w:szCs w:val="16"/>
        </w:rPr>
        <w:softHyphen/>
        <w:t>ла на устранение мелких дефектов, и с 29 сентября нача</w:t>
      </w:r>
      <w:r w:rsidRPr="00142305">
        <w:rPr>
          <w:rFonts w:ascii="Times New Roman" w:hAnsi="Times New Roman"/>
          <w:color w:val="0070C0"/>
          <w:sz w:val="16"/>
          <w:szCs w:val="16"/>
        </w:rPr>
        <w:softHyphen/>
        <w:t>лись испытательные полеты. Результаты их выглядели не</w:t>
      </w:r>
      <w:r w:rsidRPr="00142305">
        <w:rPr>
          <w:rFonts w:ascii="Times New Roman" w:hAnsi="Times New Roman"/>
          <w:color w:val="0070C0"/>
          <w:sz w:val="16"/>
          <w:szCs w:val="16"/>
        </w:rPr>
        <w:softHyphen/>
        <w:t>однозначно.</w:t>
      </w:r>
    </w:p>
    <w:p w14:paraId="39BB90A2"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одной стороны, в отчете НИИ бьыо записано: «Вы</w:t>
      </w:r>
      <w:r w:rsidRPr="00142305">
        <w:rPr>
          <w:rFonts w:ascii="Times New Roman" w:hAnsi="Times New Roman"/>
          <w:color w:val="0070C0"/>
          <w:sz w:val="16"/>
          <w:szCs w:val="16"/>
        </w:rPr>
        <w:softHyphen/>
        <w:t>пуск самолета ТБ4-6М34 с полетным весом 33 тонны явля</w:t>
      </w:r>
      <w:r w:rsidRPr="00142305">
        <w:rPr>
          <w:rFonts w:ascii="Times New Roman" w:hAnsi="Times New Roman"/>
          <w:color w:val="0070C0"/>
          <w:sz w:val="16"/>
          <w:szCs w:val="16"/>
        </w:rPr>
        <w:softHyphen/>
        <w:t>ется, несомненно, крупнейшим достижением Советского самолетостроения». С другой, на акте утверждения отчета начальник ВВС Я.И. Алкснис начертал резолюцию: «Кон</w:t>
      </w:r>
      <w:r w:rsidRPr="00142305">
        <w:rPr>
          <w:rFonts w:ascii="Times New Roman" w:hAnsi="Times New Roman"/>
          <w:color w:val="0070C0"/>
          <w:sz w:val="16"/>
          <w:szCs w:val="16"/>
        </w:rPr>
        <w:softHyphen/>
        <w:t>статирую, что в предъявленном виде самолет ТБ4-6М34 го</w:t>
      </w:r>
      <w:r w:rsidRPr="00142305">
        <w:rPr>
          <w:rFonts w:ascii="Times New Roman" w:hAnsi="Times New Roman"/>
          <w:color w:val="0070C0"/>
          <w:sz w:val="16"/>
          <w:szCs w:val="16"/>
        </w:rPr>
        <w:softHyphen/>
        <w:t>сударственных испытаний не выдержал и к серийной пос</w:t>
      </w:r>
      <w:r w:rsidRPr="00142305">
        <w:rPr>
          <w:rFonts w:ascii="Times New Roman" w:hAnsi="Times New Roman"/>
          <w:color w:val="0070C0"/>
          <w:sz w:val="16"/>
          <w:szCs w:val="16"/>
        </w:rPr>
        <w:softHyphen/>
        <w:t>тройке не может быть допущен». Причиной столь резкой реакции начальника ВВС РККА стал ряд существенных не</w:t>
      </w:r>
      <w:r w:rsidRPr="00142305">
        <w:rPr>
          <w:rFonts w:ascii="Times New Roman" w:hAnsi="Times New Roman"/>
          <w:color w:val="0070C0"/>
          <w:sz w:val="16"/>
          <w:szCs w:val="16"/>
        </w:rPr>
        <w:softHyphen/>
        <w:t>достатков, выявленных в НИИ ВВС.</w:t>
      </w:r>
    </w:p>
    <w:p w14:paraId="6BA8623A"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Пилотирование гиганта оказалось не столь простым, как уверял Стефановского Громов. В отчете записано: «Взлет </w:t>
      </w:r>
      <w:r w:rsidRPr="00142305">
        <w:rPr>
          <w:rFonts w:ascii="Times New Roman" w:hAnsi="Times New Roman"/>
          <w:smallCaps/>
          <w:color w:val="0070C0"/>
          <w:sz w:val="16"/>
          <w:szCs w:val="16"/>
        </w:rPr>
        <w:t xml:space="preserve">и </w:t>
      </w:r>
      <w:r w:rsidRPr="00142305">
        <w:rPr>
          <w:rFonts w:ascii="Times New Roman" w:hAnsi="Times New Roman"/>
          <w:color w:val="0070C0"/>
          <w:sz w:val="16"/>
          <w:szCs w:val="16"/>
        </w:rPr>
        <w:t>посадка вследствие недостаточной мощности рулей высоты сложны и требуют согласованной работы обязательно двух летчиков. Самолет трудно отрывается от земли, имея разбег около 800 метров». Дело в том, что управление электропри</w:t>
      </w:r>
      <w:r w:rsidRPr="00142305">
        <w:rPr>
          <w:rFonts w:ascii="Times New Roman" w:hAnsi="Times New Roman"/>
          <w:color w:val="0070C0"/>
          <w:sz w:val="16"/>
          <w:szCs w:val="16"/>
        </w:rPr>
        <w:softHyphen/>
        <w:t>водом стабилизатора поставили только у второго пилота. Комаидир действовал штурвалом, а второй пилот по его коман</w:t>
      </w:r>
      <w:r w:rsidRPr="00142305">
        <w:rPr>
          <w:rFonts w:ascii="Times New Roman" w:hAnsi="Times New Roman"/>
          <w:color w:val="0070C0"/>
          <w:sz w:val="16"/>
          <w:szCs w:val="16"/>
        </w:rPr>
        <w:softHyphen/>
        <w:t>дам включал и выключал электромотор. При этом кнопки он искал на ощупь, держа штурвал одной рукой. Учитывая, что нагрузки на штурвале были очень велики, и его запросто мог</w:t>
      </w:r>
      <w:r w:rsidRPr="00142305">
        <w:rPr>
          <w:rFonts w:ascii="Times New Roman" w:hAnsi="Times New Roman"/>
          <w:color w:val="0070C0"/>
          <w:sz w:val="16"/>
          <w:szCs w:val="16"/>
        </w:rPr>
        <w:softHyphen/>
        <w:t>ло вырвать, испытатели и пришли к такому разделению труда — один держит штурвал, а второй включает и выключает.</w:t>
      </w:r>
    </w:p>
    <w:p w14:paraId="35CD40EF"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взлете приходилось дважды включать электромеха</w:t>
      </w:r>
      <w:r w:rsidRPr="00142305">
        <w:rPr>
          <w:rFonts w:ascii="Times New Roman" w:hAnsi="Times New Roman"/>
          <w:color w:val="0070C0"/>
          <w:sz w:val="16"/>
          <w:szCs w:val="16"/>
        </w:rPr>
        <w:softHyphen/>
        <w:t>низм перестановки стабилизатора. При этом подъемник работал ненадежно. Один раз его отказ ч^ь не привел к катастрофе. Электромотор после взлета не выключился и продолжал выворачивать стабилизатор. Бомбардировщик задрал нос и начал быстро терять скорость. Вот туг выявил</w:t>
      </w:r>
      <w:r w:rsidRPr="00142305">
        <w:rPr>
          <w:rFonts w:ascii="Times New Roman" w:hAnsi="Times New Roman"/>
          <w:color w:val="0070C0"/>
          <w:sz w:val="16"/>
          <w:szCs w:val="16"/>
        </w:rPr>
        <w:softHyphen/>
        <w:t>ся еще один существенный конструктивный недостаток - отсутствие связи пилотов со старшим борттехником. На его месте в этом полете сидел инженер Л.И. Шевердинский. Наконец, Стефановскому удалось привлечь его внимание резким изменением оборотов одного из двигателей. Про</w:t>
      </w:r>
      <w:r w:rsidRPr="00142305">
        <w:rPr>
          <w:rFonts w:ascii="Times New Roman" w:hAnsi="Times New Roman"/>
          <w:color w:val="0070C0"/>
          <w:sz w:val="16"/>
          <w:szCs w:val="16"/>
        </w:rPr>
        <w:softHyphen/>
        <w:t>блему решили обыкновенные кусачки - Шевердинский перерезал провод к электромотору. Сели без перестановки стабилизатора, используя многочисленный экипаж как жи</w:t>
      </w:r>
      <w:r w:rsidRPr="00142305">
        <w:rPr>
          <w:rFonts w:ascii="Times New Roman" w:hAnsi="Times New Roman"/>
          <w:color w:val="0070C0"/>
          <w:sz w:val="16"/>
          <w:szCs w:val="16"/>
        </w:rPr>
        <w:softHyphen/>
        <w:t>вой балласт для изменения центровки. Летать, постоянно ожидая отказа управления, было просто страшновато.</w:t>
      </w:r>
    </w:p>
    <w:p w14:paraId="1E40E007"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Были и другие неприятности. Выявилась тряска хвосто</w:t>
      </w:r>
      <w:r w:rsidRPr="00142305">
        <w:rPr>
          <w:rFonts w:ascii="Times New Roman" w:hAnsi="Times New Roman"/>
          <w:color w:val="0070C0"/>
          <w:sz w:val="16"/>
          <w:szCs w:val="16"/>
        </w:rPr>
        <w:softHyphen/>
        <w:t>вого оперения . «При пробе плоскостных моторов на земле наблюдается боковое раскачивание хвостового оперения. При пробе тандемных моторов раскачивание оперения до</w:t>
      </w:r>
      <w:r w:rsidRPr="00142305">
        <w:rPr>
          <w:rFonts w:ascii="Times New Roman" w:hAnsi="Times New Roman"/>
          <w:color w:val="0070C0"/>
          <w:sz w:val="16"/>
          <w:szCs w:val="16"/>
        </w:rPr>
        <w:softHyphen/>
        <w:t>стигает больших размеров, вызывая опасение за сохранение прочности ...». В полете незначительные вибрации прояв</w:t>
      </w:r>
      <w:r w:rsidRPr="00142305">
        <w:rPr>
          <w:rFonts w:ascii="Times New Roman" w:hAnsi="Times New Roman"/>
          <w:color w:val="0070C0"/>
          <w:sz w:val="16"/>
          <w:szCs w:val="16"/>
        </w:rPr>
        <w:softHyphen/>
        <w:t>лялись на всех режимах полета, усиливаясь при скоростях меньше 170 км/ч. Если летчики давали полный газ верхним моторам, начинал вдобавок раскачиваться руль направле</w:t>
      </w:r>
      <w:r w:rsidRPr="00142305">
        <w:rPr>
          <w:rFonts w:ascii="Times New Roman" w:hAnsi="Times New Roman"/>
          <w:color w:val="0070C0"/>
          <w:sz w:val="16"/>
          <w:szCs w:val="16"/>
        </w:rPr>
        <w:softHyphen/>
        <w:t>ния. Но это были еще цветочки...</w:t>
      </w:r>
    </w:p>
    <w:p w14:paraId="39DF1FCB"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стадии проверки возможности пилотирования само</w:t>
      </w:r>
      <w:r w:rsidRPr="00142305">
        <w:rPr>
          <w:rFonts w:ascii="Times New Roman" w:hAnsi="Times New Roman"/>
          <w:color w:val="0070C0"/>
          <w:sz w:val="16"/>
          <w:szCs w:val="16"/>
        </w:rPr>
        <w:softHyphen/>
        <w:t>лета на пяти и даже четырех моторах, стало еще хуже. Ког</w:t>
      </w:r>
      <w:r w:rsidRPr="00142305">
        <w:rPr>
          <w:rFonts w:ascii="Times New Roman" w:hAnsi="Times New Roman"/>
          <w:color w:val="0070C0"/>
          <w:sz w:val="16"/>
          <w:szCs w:val="16"/>
        </w:rPr>
        <w:softHyphen/>
        <w:t>да выключали один двигатель, в сущности, ничего не меня</w:t>
      </w:r>
      <w:r w:rsidRPr="00142305">
        <w:rPr>
          <w:rFonts w:ascii="Times New Roman" w:hAnsi="Times New Roman"/>
          <w:color w:val="0070C0"/>
          <w:sz w:val="16"/>
          <w:szCs w:val="16"/>
        </w:rPr>
        <w:softHyphen/>
        <w:t>лось. На высоте 1000 м бомбардировщик продолжал лететь горизонтально, нагрузки для пилотов оставались в приемле</w:t>
      </w:r>
      <w:r w:rsidRPr="00142305">
        <w:rPr>
          <w:rFonts w:ascii="Times New Roman" w:hAnsi="Times New Roman"/>
          <w:color w:val="0070C0"/>
          <w:sz w:val="16"/>
          <w:szCs w:val="16"/>
        </w:rPr>
        <w:softHyphen/>
        <w:t>мых пределах. Когда выключали два — самолет терял высо</w:t>
      </w:r>
      <w:r w:rsidRPr="00142305">
        <w:rPr>
          <w:rFonts w:ascii="Times New Roman" w:hAnsi="Times New Roman"/>
          <w:color w:val="0070C0"/>
          <w:sz w:val="16"/>
          <w:szCs w:val="16"/>
        </w:rPr>
        <w:softHyphen/>
        <w:t>ту. Более того, если убирали газ двум моторам с одной сто</w:t>
      </w:r>
      <w:r w:rsidRPr="00142305">
        <w:rPr>
          <w:rFonts w:ascii="Times New Roman" w:hAnsi="Times New Roman"/>
          <w:color w:val="0070C0"/>
          <w:sz w:val="16"/>
          <w:szCs w:val="16"/>
        </w:rPr>
        <w:softHyphen/>
        <w:t xml:space="preserve">роны, хвостовую часть начинало дергать. Тряска была столь сильной, что серьезно обеспокоила испытателей. </w:t>
      </w:r>
      <w:r w:rsidRPr="00142305">
        <w:rPr>
          <w:rFonts w:ascii="Times New Roman" w:hAnsi="Times New Roman"/>
          <w:smallCaps/>
          <w:color w:val="0070C0"/>
          <w:sz w:val="16"/>
          <w:szCs w:val="16"/>
        </w:rPr>
        <w:t>Из</w:t>
      </w:r>
      <w:r w:rsidRPr="00142305">
        <w:rPr>
          <w:rFonts w:ascii="Times New Roman" w:hAnsi="Times New Roman"/>
          <w:color w:val="0070C0"/>
          <w:sz w:val="16"/>
          <w:szCs w:val="16"/>
        </w:rPr>
        <w:t xml:space="preserve"> ЦАГИ прибыл В.М. Петляков, руководивший у Туполева бри</w:t>
      </w:r>
      <w:r w:rsidRPr="00142305">
        <w:rPr>
          <w:rFonts w:ascii="Times New Roman" w:hAnsi="Times New Roman"/>
          <w:color w:val="0070C0"/>
          <w:sz w:val="16"/>
          <w:szCs w:val="16"/>
        </w:rPr>
        <w:softHyphen/>
        <w:t>гадой тяжелых самолетов. Его засунули в кабину кормово</w:t>
      </w:r>
      <w:r w:rsidRPr="00142305">
        <w:rPr>
          <w:rFonts w:ascii="Times New Roman" w:hAnsi="Times New Roman"/>
          <w:color w:val="0070C0"/>
          <w:sz w:val="16"/>
          <w:szCs w:val="16"/>
        </w:rPr>
        <w:softHyphen/>
        <w:t>го стрелка и дали в руки веревку. Если Петляков сочтет, что тряска опасна, он должен был дернугь веревку, второй ко</w:t>
      </w:r>
      <w:r w:rsidRPr="00142305">
        <w:rPr>
          <w:rFonts w:ascii="Times New Roman" w:hAnsi="Times New Roman"/>
          <w:color w:val="0070C0"/>
          <w:sz w:val="16"/>
          <w:szCs w:val="16"/>
        </w:rPr>
        <w:softHyphen/>
        <w:t xml:space="preserve">нец которой привязали к ноге Стефановского. Когда хвост стало трясти, Петляков перепугался и рванул веревку так, что она оборвалась. В итоге специалистам ЦАГИ пришлось </w:t>
      </w:r>
      <w:r w:rsidRPr="00142305">
        <w:rPr>
          <w:rStyle w:val="91"/>
          <w:rFonts w:ascii="Times New Roman" w:hAnsi="Times New Roman" w:cs="Times New Roman"/>
          <w:color w:val="0070C0"/>
          <w:sz w:val="16"/>
          <w:szCs w:val="16"/>
        </w:rPr>
        <w:t>признать, что жесткость хвостовой части самолета явно не</w:t>
      </w:r>
      <w:r w:rsidRPr="00142305">
        <w:rPr>
          <w:rStyle w:val="91"/>
          <w:rFonts w:ascii="Times New Roman" w:hAnsi="Times New Roman" w:cs="Times New Roman"/>
          <w:color w:val="0070C0"/>
          <w:sz w:val="16"/>
          <w:szCs w:val="16"/>
        </w:rPr>
        <w:softHyphen/>
        <w:t>достаточна.</w:t>
      </w:r>
    </w:p>
    <w:p w14:paraId="3FD391E0"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Множество неприятностей доставила верхняя мотоус</w:t>
      </w:r>
      <w:r w:rsidRPr="00142305">
        <w:rPr>
          <w:rFonts w:ascii="Times New Roman" w:hAnsi="Times New Roman"/>
          <w:color w:val="0070C0"/>
          <w:sz w:val="16"/>
          <w:szCs w:val="16"/>
        </w:rPr>
        <w:softHyphen/>
        <w:t>тановка. Начнем с того, что электронасос, который должен был подавать бензин из баков в крыле наверх, не работал. Два механика, постоянно меняясь, весь полет Орудовали большим ручным насосом. Мощная струя воздуха от тан</w:t>
      </w:r>
      <w:r w:rsidRPr="00142305">
        <w:rPr>
          <w:rFonts w:ascii="Times New Roman" w:hAnsi="Times New Roman"/>
          <w:color w:val="0070C0"/>
          <w:sz w:val="16"/>
          <w:szCs w:val="16"/>
        </w:rPr>
        <w:softHyphen/>
        <w:t>демной установки делала невозможным даже пребывание в огневой точке на фюзеляже. «Поток от винтов не позволя</w:t>
      </w:r>
      <w:r w:rsidRPr="00142305">
        <w:rPr>
          <w:rFonts w:ascii="Times New Roman" w:hAnsi="Times New Roman"/>
          <w:color w:val="0070C0"/>
          <w:sz w:val="16"/>
          <w:szCs w:val="16"/>
        </w:rPr>
        <w:softHyphen/>
        <w:t>ет даже стоять в верхней турели», - написали в отчете. Об</w:t>
      </w:r>
      <w:r w:rsidRPr="00142305">
        <w:rPr>
          <w:rFonts w:ascii="Times New Roman" w:hAnsi="Times New Roman"/>
          <w:color w:val="0070C0"/>
          <w:sz w:val="16"/>
          <w:szCs w:val="16"/>
        </w:rPr>
        <w:softHyphen/>
        <w:t>служивание мотоустановки на высоте около 9 м признали «чрезвычайно затруднительным», «неудобным и небезопас</w:t>
      </w:r>
      <w:r w:rsidRPr="00142305">
        <w:rPr>
          <w:rFonts w:ascii="Times New Roman" w:hAnsi="Times New Roman"/>
          <w:color w:val="0070C0"/>
          <w:sz w:val="16"/>
          <w:szCs w:val="16"/>
        </w:rPr>
        <w:softHyphen/>
        <w:t>ным». Туда надо было поднимать воду и масло дая двига</w:t>
      </w:r>
      <w:r w:rsidRPr="00142305">
        <w:rPr>
          <w:rFonts w:ascii="Times New Roman" w:hAnsi="Times New Roman"/>
          <w:color w:val="0070C0"/>
          <w:sz w:val="16"/>
          <w:szCs w:val="16"/>
        </w:rPr>
        <w:softHyphen/>
        <w:t>телей. Это бьшо просто акробатическим трюком. На испы</w:t>
      </w:r>
      <w:r w:rsidRPr="00142305">
        <w:rPr>
          <w:rFonts w:ascii="Times New Roman" w:hAnsi="Times New Roman"/>
          <w:color w:val="0070C0"/>
          <w:sz w:val="16"/>
          <w:szCs w:val="16"/>
        </w:rPr>
        <w:softHyphen/>
        <w:t>таниях летали в сентябре, бьшо еще сравнительно тепло. А зимой пришлось бы поднимать наверх горячую воду, при</w:t>
      </w:r>
      <w:r w:rsidRPr="00142305">
        <w:rPr>
          <w:rFonts w:ascii="Times New Roman" w:hAnsi="Times New Roman"/>
          <w:color w:val="0070C0"/>
          <w:sz w:val="16"/>
          <w:szCs w:val="16"/>
        </w:rPr>
        <w:softHyphen/>
        <w:t>чем в сильный мороз ее проливали через двигатель раза три- четыре, пока он не придет в норму по температуре. И масло тоже запраа.вляли в мотор горячим.</w:t>
      </w:r>
    </w:p>
    <w:p w14:paraId="32902421"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Большую проблему создавал ремонт водяного радиато</w:t>
      </w:r>
      <w:r w:rsidRPr="00142305">
        <w:rPr>
          <w:rFonts w:ascii="Times New Roman" w:hAnsi="Times New Roman"/>
          <w:color w:val="0070C0"/>
          <w:sz w:val="16"/>
          <w:szCs w:val="16"/>
        </w:rPr>
        <w:softHyphen/>
        <w:t>ра, общего для двух моторов. Снять его можно было только большим подъемным краном, поскольку вес достигал 200 кг. Спешка, в которой проектировали верхнюю установку, выразилась, например, в том, что у нее не было откид</w:t>
      </w:r>
      <w:r w:rsidRPr="00142305">
        <w:rPr>
          <w:rFonts w:ascii="Times New Roman" w:hAnsi="Times New Roman"/>
          <w:color w:val="0070C0"/>
          <w:sz w:val="16"/>
          <w:szCs w:val="16"/>
        </w:rPr>
        <w:softHyphen/>
        <w:t>ных мостиков дая обслуживания, как на крыльях. Вопреки техническому заданию, доступа к этим моторам в полете не имелось.</w:t>
      </w:r>
    </w:p>
    <w:p w14:paraId="5EC6D317"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Пилотская кабина находилась в плоскости вращения винтов, и в ней было очень шумно. После часа полета у лет</w:t>
      </w:r>
      <w:r w:rsidRPr="00142305">
        <w:rPr>
          <w:rFonts w:ascii="Times New Roman" w:hAnsi="Times New Roman"/>
          <w:color w:val="0070C0"/>
          <w:sz w:val="16"/>
          <w:szCs w:val="16"/>
        </w:rPr>
        <w:softHyphen/>
        <w:t>чиков, даже одетых в наушники, наступала временная глу</w:t>
      </w:r>
      <w:r w:rsidRPr="00142305">
        <w:rPr>
          <w:rFonts w:ascii="Times New Roman" w:hAnsi="Times New Roman"/>
          <w:color w:val="0070C0"/>
          <w:sz w:val="16"/>
          <w:szCs w:val="16"/>
        </w:rPr>
        <w:softHyphen/>
        <w:t>хота. Металлическая крыша над проходом ухудшала обзор. Один пилот мог смотреть только вправо, другой - только влево. Выполняя повороты при маневрировании на земле, летчики то и дело передавали друг другу управление.</w:t>
      </w:r>
    </w:p>
    <w:p w14:paraId="0C9CEFAD"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Тормоза работали своеобразно. Они включались с за</w:t>
      </w:r>
      <w:r w:rsidRPr="00142305">
        <w:rPr>
          <w:rFonts w:ascii="Times New Roman" w:hAnsi="Times New Roman"/>
          <w:color w:val="0070C0"/>
          <w:sz w:val="16"/>
          <w:szCs w:val="16"/>
        </w:rPr>
        <w:softHyphen/>
        <w:t>держкой в пять — десять секунд и с таким же опозданием выключались.</w:t>
      </w:r>
    </w:p>
    <w:p w14:paraId="7BA37CE9"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Вдобавок выявился целый букет заводских недоделок и брака. Два бензобака текли. Водяные и водо-масляные ра</w:t>
      </w:r>
      <w:r w:rsidRPr="00142305">
        <w:rPr>
          <w:rFonts w:ascii="Times New Roman" w:hAnsi="Times New Roman"/>
          <w:color w:val="0070C0"/>
          <w:sz w:val="16"/>
          <w:szCs w:val="16"/>
        </w:rPr>
        <w:softHyphen/>
        <w:t>диаторы текли тоже, да так, что их посчитали «совершен</w:t>
      </w:r>
      <w:r w:rsidRPr="00142305">
        <w:rPr>
          <w:rFonts w:ascii="Times New Roman" w:hAnsi="Times New Roman"/>
          <w:color w:val="0070C0"/>
          <w:sz w:val="16"/>
          <w:szCs w:val="16"/>
        </w:rPr>
        <w:softHyphen/>
        <w:t>но ненадежными». Выхлопные коллекторы моторов трес</w:t>
      </w:r>
      <w:r w:rsidRPr="00142305">
        <w:rPr>
          <w:rFonts w:ascii="Times New Roman" w:hAnsi="Times New Roman"/>
          <w:color w:val="0070C0"/>
          <w:sz w:val="16"/>
          <w:szCs w:val="16"/>
        </w:rPr>
        <w:softHyphen/>
        <w:t>кались.</w:t>
      </w:r>
    </w:p>
    <w:p w14:paraId="49FBF845"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Много хлопот доставляло обслуживание огромной ма</w:t>
      </w:r>
      <w:r w:rsidRPr="00142305">
        <w:rPr>
          <w:rFonts w:ascii="Times New Roman" w:hAnsi="Times New Roman"/>
          <w:color w:val="0070C0"/>
          <w:sz w:val="16"/>
          <w:szCs w:val="16"/>
        </w:rPr>
        <w:softHyphen/>
        <w:t>шины при отсутствии специальной техники. На заправку бомбовоза бензином уходило 2,5 часа (при использовании двух насосов). Чтобы подвесить бомбы, команда из 20 чело</w:t>
      </w:r>
      <w:r w:rsidRPr="00142305">
        <w:rPr>
          <w:rFonts w:ascii="Times New Roman" w:hAnsi="Times New Roman"/>
          <w:color w:val="0070C0"/>
          <w:sz w:val="16"/>
          <w:szCs w:val="16"/>
        </w:rPr>
        <w:softHyphen/>
        <w:t>век работала три часа; при этом груз поднимали на высоту в пять метров ручными лебедками.</w:t>
      </w:r>
    </w:p>
    <w:p w14:paraId="62705232"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самое главное, конструкторам не удалось выполнить ряд важных требований технического задания. Так, по за</w:t>
      </w:r>
      <w:r w:rsidRPr="00142305">
        <w:rPr>
          <w:rFonts w:ascii="Times New Roman" w:hAnsi="Times New Roman"/>
          <w:color w:val="0070C0"/>
          <w:sz w:val="16"/>
          <w:szCs w:val="16"/>
        </w:rPr>
        <w:softHyphen/>
        <w:t>данию бомбардировщик должен был лететь на высоте 3000 м со скоростью 200 км/ч. Реально на испытаниях получи</w:t>
      </w:r>
      <w:r w:rsidRPr="00142305">
        <w:rPr>
          <w:rFonts w:ascii="Times New Roman" w:hAnsi="Times New Roman"/>
          <w:color w:val="0070C0"/>
          <w:sz w:val="16"/>
          <w:szCs w:val="16"/>
        </w:rPr>
        <w:softHyphen/>
        <w:t>ли 187,5 км/ч на 2500 м. На 3000 м самолет вообще не смог подняться — практический потолок составлял всего 2750 м (при заданном 5000 м). Разбег доходил до 800 м при тре</w:t>
      </w:r>
      <w:r w:rsidRPr="00142305">
        <w:rPr>
          <w:rFonts w:ascii="Times New Roman" w:hAnsi="Times New Roman"/>
          <w:color w:val="0070C0"/>
          <w:sz w:val="16"/>
          <w:szCs w:val="16"/>
        </w:rPr>
        <w:softHyphen/>
        <w:t>буемом 250 м. Фактическая дальность полета составляла 1100 км против 2000 км. При этом нормальная бомбовая на</w:t>
      </w:r>
      <w:r w:rsidRPr="00142305">
        <w:rPr>
          <w:rFonts w:ascii="Times New Roman" w:hAnsi="Times New Roman"/>
          <w:color w:val="0070C0"/>
          <w:sz w:val="16"/>
          <w:szCs w:val="16"/>
        </w:rPr>
        <w:softHyphen/>
        <w:t>грузка равнялась всего 4000 кг. Правда, конструкторы пре</w:t>
      </w:r>
      <w:r w:rsidRPr="00142305">
        <w:rPr>
          <w:rFonts w:ascii="Times New Roman" w:hAnsi="Times New Roman"/>
          <w:color w:val="0070C0"/>
          <w:sz w:val="16"/>
          <w:szCs w:val="16"/>
        </w:rPr>
        <w:softHyphen/>
        <w:t>дусмотрели установку дополнительных топливных баков емкостью 4000 л, что доводило взлетный вес до 37 т. Но в НИИ ВВС, подсчитав расход машиной горючего, пришли к выводу, что этого запаса хватит только на 1600 км.</w:t>
      </w:r>
    </w:p>
    <w:p w14:paraId="0A0E2DEC"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Задание предусматривало установку стрелковых башен на крыле, введение наддува бензобаков нейтральным газом для уменьшения пожароопасности и устройства для слива горючего в воздухе или сброса части баков. Реально все это отсутствовало. Вернее, слив сделали, но на опорожнение баков требовались 83 минуты. Почти полтора часа никак не укладывались в понятие «быстрый», записанное в зада</w:t>
      </w:r>
      <w:r w:rsidRPr="00142305">
        <w:rPr>
          <w:rFonts w:ascii="Times New Roman" w:hAnsi="Times New Roman"/>
          <w:color w:val="0070C0"/>
          <w:sz w:val="16"/>
          <w:szCs w:val="16"/>
        </w:rPr>
        <w:softHyphen/>
        <w:t>нии. Пользы от такого слива в аварийной ситуации реаль</w:t>
      </w:r>
      <w:r w:rsidRPr="00142305">
        <w:rPr>
          <w:rFonts w:ascii="Times New Roman" w:hAnsi="Times New Roman"/>
          <w:color w:val="0070C0"/>
          <w:sz w:val="16"/>
          <w:szCs w:val="16"/>
        </w:rPr>
        <w:softHyphen/>
        <w:t>но не было никакой. В то же время все это отсутствовавшее на опытной машине оборудование и вооружение в будущем подняло бы вес самолета и несколько ухудшило его аэроди</w:t>
      </w:r>
      <w:r w:rsidRPr="00142305">
        <w:rPr>
          <w:rFonts w:ascii="Times New Roman" w:hAnsi="Times New Roman"/>
          <w:color w:val="0070C0"/>
          <w:sz w:val="16"/>
          <w:szCs w:val="16"/>
        </w:rPr>
        <w:softHyphen/>
        <w:t>намику. Соответственно ухудшились бы и летные данные.</w:t>
      </w:r>
    </w:p>
    <w:p w14:paraId="5D045D79"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Причины невысоких летных данных ТБ-4 были ясны. Мощности шести М-34 для бомбардировщика такого ве</w:t>
      </w:r>
      <w:r w:rsidRPr="00142305">
        <w:rPr>
          <w:rFonts w:ascii="Times New Roman" w:hAnsi="Times New Roman"/>
          <w:color w:val="0070C0"/>
          <w:sz w:val="16"/>
          <w:szCs w:val="16"/>
        </w:rPr>
        <w:softHyphen/>
        <w:t>са просто не хватало. У старого ТБ-3 с двигателями М -17 нагрузка на мощность составляла 7,4 кг/л.с., а у ABT-16 - 8,6 кг/л.с. Даже уменьшив нагрузку на крыло (63,3 кг/м</w:t>
      </w:r>
      <w:r w:rsidRPr="00142305">
        <w:rPr>
          <w:rFonts w:ascii="Times New Roman" w:hAnsi="Times New Roman"/>
          <w:color w:val="0070C0"/>
          <w:sz w:val="16"/>
          <w:szCs w:val="16"/>
          <w:vertAlign w:val="superscript"/>
        </w:rPr>
        <w:t xml:space="preserve">2 </w:t>
      </w:r>
      <w:r w:rsidRPr="00142305">
        <w:rPr>
          <w:rFonts w:ascii="Times New Roman" w:hAnsi="Times New Roman"/>
          <w:color w:val="0070C0"/>
          <w:sz w:val="16"/>
          <w:szCs w:val="16"/>
        </w:rPr>
        <w:t>против 78,3 кг/м</w:t>
      </w:r>
      <w:r w:rsidRPr="00142305">
        <w:rPr>
          <w:rFonts w:ascii="Times New Roman" w:hAnsi="Times New Roman"/>
          <w:color w:val="0070C0"/>
          <w:sz w:val="16"/>
          <w:szCs w:val="16"/>
          <w:vertAlign w:val="superscript"/>
        </w:rPr>
        <w:t>2</w:t>
      </w:r>
      <w:r w:rsidRPr="00142305">
        <w:rPr>
          <w:rFonts w:ascii="Times New Roman" w:hAnsi="Times New Roman"/>
          <w:color w:val="0070C0"/>
          <w:sz w:val="16"/>
          <w:szCs w:val="16"/>
        </w:rPr>
        <w:t>), парировать это не удалось.</w:t>
      </w:r>
    </w:p>
    <w:p w14:paraId="0B82C147"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Кроме того, обороты моторов М-34 были слишком вели</w:t>
      </w:r>
      <w:r w:rsidRPr="00142305">
        <w:rPr>
          <w:rFonts w:ascii="Times New Roman" w:hAnsi="Times New Roman"/>
          <w:color w:val="0070C0"/>
          <w:sz w:val="16"/>
          <w:szCs w:val="16"/>
        </w:rPr>
        <w:softHyphen/>
        <w:t>ки для тихоходного ТБ-4. Коэффициент полезного действия винтов оказался довольно низким</w:t>
      </w:r>
      <w:r w:rsidRPr="00142305">
        <w:rPr>
          <w:rFonts w:ascii="Times New Roman" w:hAnsi="Times New Roman"/>
          <w:smallCaps/>
          <w:color w:val="0070C0"/>
          <w:sz w:val="16"/>
          <w:szCs w:val="16"/>
        </w:rPr>
        <w:t>,</w:t>
      </w:r>
      <w:r w:rsidRPr="00142305">
        <w:rPr>
          <w:rFonts w:ascii="Times New Roman" w:hAnsi="Times New Roman"/>
          <w:color w:val="0070C0"/>
          <w:sz w:val="16"/>
          <w:szCs w:val="16"/>
        </w:rPr>
        <w:t xml:space="preserve"> не позволяя полностью использовать даже имеющуюся мощность. Самолет оснащал</w:t>
      </w:r>
      <w:r w:rsidRPr="00142305">
        <w:rPr>
          <w:rFonts w:ascii="Times New Roman" w:hAnsi="Times New Roman"/>
          <w:color w:val="0070C0"/>
          <w:sz w:val="16"/>
          <w:szCs w:val="16"/>
        </w:rPr>
        <w:softHyphen/>
        <w:t>ся старомодными деревянными двухлопастными пропеллера</w:t>
      </w:r>
      <w:r w:rsidRPr="00142305">
        <w:rPr>
          <w:rFonts w:ascii="Times New Roman" w:hAnsi="Times New Roman"/>
          <w:color w:val="0070C0"/>
          <w:sz w:val="16"/>
          <w:szCs w:val="16"/>
        </w:rPr>
        <w:softHyphen/>
        <w:t>ми фиксированного шага трех разных размеров. Моторы на крыле вращали винты диаметром 3,18 м, передний двигатель наверху — 3,3 м и задний — 3,0 м.</w:t>
      </w:r>
    </w:p>
    <w:p w14:paraId="323D7DDC"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Специалисты НИИ ВВС внесли рад рекомендаций по усо</w:t>
      </w:r>
      <w:r w:rsidRPr="00142305">
        <w:rPr>
          <w:rFonts w:ascii="Times New Roman" w:hAnsi="Times New Roman"/>
          <w:color w:val="0070C0"/>
          <w:sz w:val="16"/>
          <w:szCs w:val="16"/>
        </w:rPr>
        <w:softHyphen/>
        <w:t>вершенствованию машины. Но никто не мог дата бомбарди</w:t>
      </w:r>
      <w:r w:rsidRPr="00142305">
        <w:rPr>
          <w:rFonts w:ascii="Times New Roman" w:hAnsi="Times New Roman"/>
          <w:color w:val="0070C0"/>
          <w:sz w:val="16"/>
          <w:szCs w:val="16"/>
        </w:rPr>
        <w:softHyphen/>
        <w:t>ровщику соответствующую его весу и размерам мотоустановку. Поэтому предложения НИИ, по сути, являлисб падлиативными: увеличив размах и площадь крыла, увеличить руль высо</w:t>
      </w:r>
      <w:r w:rsidRPr="00142305">
        <w:rPr>
          <w:rFonts w:ascii="Times New Roman" w:hAnsi="Times New Roman"/>
          <w:color w:val="0070C0"/>
          <w:sz w:val="16"/>
          <w:szCs w:val="16"/>
        </w:rPr>
        <w:softHyphen/>
        <w:t>ты, внедрить моторы М-34Р с редукторами, заменить винты. Кроме этого, требовали прозрачный фонарь над пилотской ка</w:t>
      </w:r>
      <w:r w:rsidRPr="00142305">
        <w:rPr>
          <w:rFonts w:ascii="Times New Roman" w:hAnsi="Times New Roman"/>
          <w:color w:val="0070C0"/>
          <w:sz w:val="16"/>
          <w:szCs w:val="16"/>
        </w:rPr>
        <w:softHyphen/>
        <w:t>биной, огневые точки на крыльях и еще кое-что по мелочи.</w:t>
      </w:r>
    </w:p>
    <w:p w14:paraId="7C123C2E" w14:textId="77777777" w:rsidR="00EE40C6" w:rsidRPr="00142305" w:rsidRDefault="00EE40C6" w:rsidP="00EE40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Кое-что из этого хотели внедрить на втором экземпляре АНТ-16, он же АНТ- 16бис и ТБ-4бис (24977).</w:t>
      </w:r>
    </w:p>
    <w:p w14:paraId="629BBA0D" w14:textId="77777777" w:rsidR="00EE40C6" w:rsidRPr="00142305" w:rsidRDefault="00EE40C6" w:rsidP="00EE40C6">
      <w:pPr>
        <w:spacing w:after="0" w:line="240" w:lineRule="auto"/>
        <w:jc w:val="both"/>
        <w:rPr>
          <w:rFonts w:ascii="Times New Roman" w:hAnsi="Times New Roman"/>
          <w:color w:val="0070C0"/>
          <w:sz w:val="16"/>
          <w:szCs w:val="16"/>
        </w:rPr>
      </w:pPr>
    </w:p>
    <w:p w14:paraId="6A505AC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состоялось заседание (прот. 127) у начальника Глававиапрома Г.Н.Королева о постановке М-34 на ТБ-7 (1077,126).</w:t>
      </w:r>
    </w:p>
    <w:p w14:paraId="27B8A68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Очень сомнительно, так как на ТБ-7 еще не было задания и оно появилось летом 1934.</w:t>
      </w:r>
    </w:p>
    <w:p w14:paraId="71D9F92F"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2398658" w14:textId="77777777" w:rsidR="00ED1A5E" w:rsidRPr="0044524F" w:rsidRDefault="00ED1A5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В ночь с 23 на 24 сентября 1933 года на Центральном аэродроме Москвы состоялась первая попытка старта стратостата СССР-1. В 22 часа 40 минут начали наполнение оболочки из 700 подготовленных баллонов с водородом при помощи трех 50-мм рукавов. В ходе затянувшейся подготовки опустившийся сильный туман привел к тому, что оболочка утяжелилась на 500 кг. Затем поднялся порывистый ветер, который превратил наполненный стратостат в парус и делал предстоящий старт опасным мероприятием. Утром невозможность полета стала очевидной, к 12 часам 24 сентября старт решили отменить. Открытием разрывного клапана газ выпустили, оболочку отправили на просушивание и подготовку к следующему старту (19614).</w:t>
      </w:r>
    </w:p>
    <w:p w14:paraId="03E3CAFE" w14:textId="77777777" w:rsidR="00ED1A5E" w:rsidRPr="0044524F" w:rsidRDefault="00ED1A5E" w:rsidP="009654CF">
      <w:pPr>
        <w:spacing w:after="0" w:line="240" w:lineRule="auto"/>
        <w:jc w:val="both"/>
        <w:rPr>
          <w:rFonts w:ascii="Times New Roman" w:hAnsi="Times New Roman"/>
          <w:color w:val="000000" w:themeColor="text1"/>
          <w:sz w:val="16"/>
          <w:szCs w:val="16"/>
        </w:rPr>
      </w:pPr>
    </w:p>
    <w:p w14:paraId="51867A67" w14:textId="77777777" w:rsidR="005C5558" w:rsidRPr="0044524F" w:rsidRDefault="005C55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состоялась первая попытка под</w:t>
      </w:r>
      <w:r w:rsidRPr="0044524F">
        <w:rPr>
          <w:rFonts w:ascii="Times New Roman" w:hAnsi="Times New Roman"/>
          <w:color w:val="000000" w:themeColor="text1"/>
          <w:sz w:val="16"/>
          <w:szCs w:val="16"/>
        </w:rPr>
        <w:softHyphen/>
        <w:t>нять стратостат в воздух. Купол «СССР-1» уже вытянулся на высоту 70 м, когда заметили, что аппендикс стратостата затянут узлом захлест</w:t>
      </w:r>
      <w:r w:rsidRPr="0044524F">
        <w:rPr>
          <w:rFonts w:ascii="Times New Roman" w:hAnsi="Times New Roman"/>
          <w:color w:val="000000" w:themeColor="text1"/>
          <w:sz w:val="16"/>
          <w:szCs w:val="16"/>
        </w:rPr>
        <w:softHyphen/>
        <w:t>нувшей его мокрой верёвки. Вызвали пожарных, но их лестница оказалась коротка. Положение спас красноармеец Ф. К. Терещенко, поднявший</w:t>
      </w:r>
      <w:r w:rsidRPr="0044524F">
        <w:rPr>
          <w:rFonts w:ascii="Times New Roman" w:hAnsi="Times New Roman"/>
          <w:color w:val="000000" w:themeColor="text1"/>
          <w:sz w:val="16"/>
          <w:szCs w:val="16"/>
        </w:rPr>
        <w:softHyphen/>
        <w:t>ся по тонкой стропе на высоту восьмиэтажного дома и распутавший узел. Начальник ВВС РККА Я.И. Алкснис тотчас же подарил герою свои часы. Экипаж зашёл в гондолу, начальник стар</w:t>
      </w:r>
      <w:r w:rsidRPr="0044524F">
        <w:rPr>
          <w:rFonts w:ascii="Times New Roman" w:hAnsi="Times New Roman"/>
          <w:color w:val="000000" w:themeColor="text1"/>
          <w:sz w:val="16"/>
          <w:szCs w:val="16"/>
        </w:rPr>
        <w:softHyphen/>
        <w:t>та В.Г. Гараканидзе отдал команду: «На поясных дать свободу!». «Оболочка зашевелилась, гондола приподнялась над землёй и ... снова опустилась. Сырой туман покрыл оболочку росой, и она гру</w:t>
      </w:r>
      <w:r w:rsidRPr="0044524F">
        <w:rPr>
          <w:rFonts w:ascii="Times New Roman" w:hAnsi="Times New Roman"/>
          <w:color w:val="000000" w:themeColor="text1"/>
          <w:sz w:val="16"/>
          <w:szCs w:val="16"/>
        </w:rPr>
        <w:softHyphen/>
        <w:t>зом больше полутоны навалилась на стратостат, погасив его подъёмную силу. Полёт пришлось отложить. Газ выпустили, и оболочка осела на землю» (20120).</w:t>
      </w:r>
    </w:p>
    <w:p w14:paraId="2F12AC91" w14:textId="77777777" w:rsidR="005C5558" w:rsidRPr="0044524F" w:rsidRDefault="005C5558" w:rsidP="009654CF">
      <w:pPr>
        <w:spacing w:after="0" w:line="240" w:lineRule="auto"/>
        <w:jc w:val="both"/>
        <w:rPr>
          <w:rFonts w:ascii="Times New Roman" w:hAnsi="Times New Roman"/>
          <w:color w:val="000000" w:themeColor="text1"/>
          <w:sz w:val="16"/>
          <w:szCs w:val="16"/>
        </w:rPr>
      </w:pPr>
    </w:p>
    <w:p w14:paraId="54EF30C3"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72E9568"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5126BE8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года Тухачевский распорядился: "Учитывая недостаточную дальнобойность 76-мм пушки обр. 1902/30 г. считать необходимым впредь до окончания разработки новой дивизионной универсальной пушки произвести довооружение дивизий РККА дальнобойной 76-м пушкой обр. 1933 г., для чего поставить производство этой системы на заводе Новое Сормово, скооперировав его с МЗМ"(Пермским заводом). Всего было произведено около 200 пушек обр. 1933 г. Причем лафеты делал Пермский завод, а стволы и окончательную сборку завод № 92 ("Новое Сормово"). Сормовцы сразу подсуетились и присвоили пушке свой заводской индекс Ф-19. Кстати, в 1932 году завод № 92 получил заказ на 53 76-мм пушки обр. 1902/30 г., но сумел изготовить лишь одну пушку, но зато этим пушкам также присвоен заводской индекс Ф-10. В 1934 году завод должен был сдать 200 систем, а в 1934 году 60 систем. Однако в сентябре 1935 года завод № 92 получил указание ГВМУ о прекращении производства 76-мм пушек обр. 1933 г., а в октябре 1935 года приказ о передачи инструмента и полуфабрикатов на УЗТМ, а также о подготовке к запуску валового производства Ф-22. В результате срыв программы по Ф-19 (3861).</w:t>
      </w:r>
    </w:p>
    <w:p w14:paraId="56690628"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6E4B38B0" w14:textId="77777777" w:rsidR="00EE43DE" w:rsidRPr="00142305" w:rsidRDefault="00EE43DE" w:rsidP="00EE43D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сентября 1933 года было принято решение о запуске 76 мм пушек</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КБ Мотовилихинского завода в серию. Орудию присвоили обозначение 76-мм дивизионная пушка Обр.1933 года (позже присвоен индекс ГАУ 52-П-363).</w:t>
      </w:r>
    </w:p>
    <w:p w14:paraId="56CA9D8A" w14:textId="77777777" w:rsidR="00EE43DE" w:rsidRPr="00142305" w:rsidRDefault="00EE43DE" w:rsidP="00EE43D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качестве площадки для производства орудия был выбран Союзный машиностроительный завод «Новое Сормово» ВОАО НКТП. Позже он был переименован в Машиностроительный завод №92 им. И.В. Сталина. В то время здесь выпускали 76-мм дивизионные пушки обр.1902-30 гг. Для упрощения освоения новых орудий была произведена кооперация: Мотовилихинский завод выпускал лафеты, далее они направлялись в Горький, где делали стволы. На заводе №92 орудию присвоили индекс Ф-19. Надо сказать, что завод №92 особого энтузиазма насчет Ф-19 не демонстрировал. Впрочем, 76-мм орудие Ф-20 так и не вышло за рамки опытной разработки.</w:t>
      </w:r>
    </w:p>
    <w:p w14:paraId="360A9CA9" w14:textId="77777777" w:rsidR="00EE43DE" w:rsidRPr="00142305" w:rsidRDefault="00EE43DE" w:rsidP="00EE43D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было выпущено около 200 пушек Ф-19. Выпуск шел довольно вяло, а затем на свет появилась Ф-22. Это орудие было гораздо совершеннее Ф-19, а главное его выпустили в гораздо больших объемах. Тем не менее, предшественница грабинской пушки вполне попала в войска, прием ее даже трофеили немцы (25508).</w:t>
      </w:r>
    </w:p>
    <w:p w14:paraId="5028DDF4" w14:textId="77777777" w:rsidR="00EE43DE" w:rsidRPr="00142305" w:rsidRDefault="00EE43DE" w:rsidP="00EE43DE">
      <w:pPr>
        <w:spacing w:after="0" w:line="240" w:lineRule="auto"/>
        <w:jc w:val="both"/>
        <w:rPr>
          <w:rFonts w:ascii="Times New Roman" w:hAnsi="Times New Roman"/>
          <w:color w:val="0070C0"/>
          <w:sz w:val="16"/>
          <w:szCs w:val="16"/>
        </w:rPr>
      </w:pPr>
    </w:p>
    <w:p w14:paraId="161E0BB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 дальневосточная Щ-11 (Лосось) после испытаний, которые проводила Постоянная комиссия под председательством А. К. Векмана, вступила в строй. Командовал Щ-11 Г. Н. Холостяков (ныне вице-адмирал, Герой Советского Союза). Эта лодка одной из первых вошла в состав подводных сил Тихоокеанского флота (10701).</w:t>
      </w:r>
    </w:p>
    <w:p w14:paraId="19B35301"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F840EB4"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834D1DA"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7D637674" w14:textId="77777777" w:rsidR="00C64FF6" w:rsidRPr="0044524F" w:rsidRDefault="00C64FF6"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23 сентября 1933 г. пограничники заставы «Пицунда» произвели выстрелы по катеру, в котором находился Сталин. Инцидент, скорее всего, был вызван ошибкой: пограничники не получили предварительное уведомление о передвижении катера в охраняемой зоне и действовали согласно инструкции (обстоятельства инцидента см.: Берия. Конец карьеры. М., 1991. С. 362–364) (17281).</w:t>
      </w:r>
    </w:p>
    <w:p w14:paraId="6BC42D4F" w14:textId="77777777" w:rsidR="00C64FF6" w:rsidRPr="0044524F" w:rsidRDefault="00C64FF6" w:rsidP="009654CF">
      <w:pPr>
        <w:spacing w:after="0" w:line="240" w:lineRule="auto"/>
        <w:jc w:val="both"/>
        <w:rPr>
          <w:rFonts w:ascii="Times New Roman" w:hAnsi="Times New Roman"/>
          <w:iCs/>
          <w:color w:val="000000" w:themeColor="text1"/>
          <w:sz w:val="16"/>
          <w:szCs w:val="16"/>
        </w:rPr>
      </w:pPr>
    </w:p>
    <w:p w14:paraId="600B229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вышел приказ ОГПУ № 0107:</w:t>
      </w:r>
    </w:p>
    <w:p w14:paraId="2639D9B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 Назначается: Начальником Дмитровского исправительно-трудового лагеря ОГПУ и зам. нач. строительства «Москва-Волга» Фирин Семен Григорьевич (зам. начальника ГУЛАГа ОГПУ - по совместительству).</w:t>
      </w:r>
    </w:p>
    <w:p w14:paraId="1460F39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2. Агентурно-оперативное обслуживание Дмитровского исправительно-трудового лагеря, по примеру всех лагерей ОГПУ, возложить на III отдел ГУЛАГа ОГПУ, для чего: 1) Особую инспекцию ПП ОГПУ МО по Дмитлагу ОГПУ - расформировать и весь личный состав таковой передать в ГУЛАГ ОГПУ. 2) III отдел Дмитлага ОГПУ подчинить во всех отношениях начальнику лагеря». Последнее означало, что агентурно-оперативная работа в Дмитлаге изымалась из компетенции полпредства ОГПУ по Московской области и, по примеру всех лагерей ОГПУ, переходила в ведение ГУЛАГа (7560).</w:t>
      </w:r>
    </w:p>
    <w:p w14:paraId="666D48E8"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992EBD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ГУЛАГ издал приказание № 10, подписанное помощником начальника ГУЛАГа И. И. Плинером и разосланное всем начальникам отделений ГУЛАГа:</w:t>
      </w:r>
    </w:p>
    <w:p w14:paraId="646D43E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«Констатирую, что отделения ГУЛАГа продолжают применять в своих сводках различный порядок расположения лагерей, вследствие чего крайне затрудняется обработка и анализ этих сводок.</w:t>
      </w:r>
    </w:p>
    <w:p w14:paraId="4ED20D3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Приказываю:</w:t>
      </w:r>
    </w:p>
    <w:p w14:paraId="6B51E83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как для делопроизводства, так и для составления различных сводок следующий обязательный порядок расположения лагерей:</w:t>
      </w:r>
    </w:p>
    <w:p w14:paraId="4045B19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Бамлаг</w:t>
      </w:r>
    </w:p>
    <w:p w14:paraId="4CBB99C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Дмитлаг</w:t>
      </w:r>
    </w:p>
    <w:p w14:paraId="5407DEB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Белбалтлаг</w:t>
      </w:r>
    </w:p>
    <w:p w14:paraId="4CF7970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Ухтпечлаг</w:t>
      </w:r>
    </w:p>
    <w:p w14:paraId="516AAAA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Свирлаг</w:t>
      </w:r>
    </w:p>
    <w:p w14:paraId="0420EBB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Темлаг</w:t>
      </w:r>
    </w:p>
    <w:p w14:paraId="7DFE627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Слаг [Соловки]</w:t>
      </w:r>
    </w:p>
    <w:p w14:paraId="2313D9B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Дальлаг</w:t>
      </w:r>
    </w:p>
    <w:p w14:paraId="4B94897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Сиблаг</w:t>
      </w:r>
    </w:p>
    <w:p w14:paraId="1C6A6C5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Сазлаг [Среднеазиатский лагерь]</w:t>
      </w:r>
    </w:p>
    <w:p w14:paraId="39CB958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Карлаг</w:t>
      </w:r>
    </w:p>
    <w:p w14:paraId="52345E4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Вишлаг</w:t>
      </w:r>
    </w:p>
    <w:p w14:paraId="3E114B1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Прорвлаг</w:t>
      </w:r>
    </w:p>
    <w:p w14:paraId="3879A86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Балахлаг</w:t>
      </w:r>
    </w:p>
    <w:p w14:paraId="2E3DB64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Сарлаг</w:t>
      </w:r>
    </w:p>
    <w:p w14:paraId="1087AE1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Вайгачская экспедиция</w:t>
      </w:r>
    </w:p>
    <w:p w14:paraId="402EADC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Севвостлаг» (7560).</w:t>
      </w:r>
    </w:p>
    <w:p w14:paraId="59CE7E91"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61DA6C7F"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3812C97"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5D9858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23 сентября 1933 г. была беседа Хартмана со Смагиным, а 10 января 1934 г. Левичева с полковником генштаба райхсвера X. фон Штюльпнагелем и нового германского посла в СССР Р. Надольного с Ворошиловым (ADAP, Ser.C, Bd. 1,2. S. 861.). Примерно в это же время на процессе в Ляйпциге о поджоге райхстага арестом корреспондентов ТАСС и «Известий» по подозрению в намерении присутствовать на процессе, в чем им было отказано днем раньше, был вызван «журналистский конфликт». Москва в ответ отозвала всех своих журналистов из Германии и решила одновременно выслать из СССР всех германских корреспондентов. Одновременно в Германии развернулась кампания по поводу голода в CCCP (Максимычев И. Ф. Указ, соч, с. 50—53.). Однако сталинская пропаганда начисто его отрицала, умело увязав «журналистский конфликт» с «голодной кампанией». В германской прессе усилились нападки против личности Литвинова (РГВА, ф. 33987, оп. 3, д. 505, л. 148-156.). Пытаясь разрядить ситуацию, МИД Германии ухватился за идею своего посольства в Москве об использовании поездки Крестинского на лечение в </w:t>
      </w:r>
      <w:r w:rsidRPr="0044524F">
        <w:rPr>
          <w:rFonts w:ascii="Times New Roman" w:hAnsi="Times New Roman"/>
          <w:color w:val="000000" w:themeColor="text1"/>
          <w:sz w:val="16"/>
          <w:szCs w:val="16"/>
        </w:rPr>
        <w:lastRenderedPageBreak/>
        <w:t>Германию для его Встречи с ведущими деятелями германского правительства. Но когда Гитлер 26 сентября 1933 г. согласился встретиться с Крестинским и об этом через Хинчука было сообщено в Москву, Крестинский, по инициативе Литвинова, вернулся в Москву через Вену (АВП РФ, ф. 082, оп. 16, п. 71, д. 1, л. 324; ADAP, Ser. С, Bd. 11,1. Ь. 75.) (11784).</w:t>
      </w:r>
    </w:p>
    <w:p w14:paraId="387F50D8"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74D3907" w14:textId="77777777" w:rsidR="00096706"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8916AC1" w14:textId="77777777" w:rsidR="00096706" w:rsidRPr="0044524F" w:rsidRDefault="00096706" w:rsidP="009654CF">
      <w:pPr>
        <w:spacing w:after="0" w:line="240" w:lineRule="auto"/>
        <w:jc w:val="both"/>
        <w:rPr>
          <w:rFonts w:ascii="Times New Roman" w:hAnsi="Times New Roman"/>
          <w:iCs/>
          <w:color w:val="000000" w:themeColor="text1"/>
          <w:sz w:val="16"/>
          <w:szCs w:val="16"/>
        </w:rPr>
      </w:pPr>
    </w:p>
    <w:p w14:paraId="3DB94435" w14:textId="77777777" w:rsidR="00096706" w:rsidRPr="0044524F" w:rsidRDefault="00096706"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 xml:space="preserve">23 сентября </w:t>
      </w:r>
      <w:r w:rsidRPr="0044524F">
        <w:rPr>
          <w:rFonts w:ascii="Times New Roman" w:hAnsi="Times New Roman"/>
          <w:color w:val="000000" w:themeColor="text1"/>
          <w:sz w:val="16"/>
          <w:szCs w:val="16"/>
        </w:rPr>
        <w:t>в 1933 году фашистская Германия приступила к осуществлению грандиозной программы строительства автобанов к югу от Франкфурта. На церемонии ее открытия Адольф Гитлер лично зачерпнул первую лопату земли. Лозунг этой кампании гласил: «6 000 километров и 600 000 рабочих мест!», для увеличения числа которых было решено почти полностью отказаться от использования техники. Населению постоянно внушалось, что программа государству ничего не стоит, поскольку финансируется почти целиком за счет средств, сэкономленных на пособиях по безработице и затратах по трудоустройству. И хотя не все шло по плану, программа была выполнена (14778).</w:t>
      </w:r>
    </w:p>
    <w:p w14:paraId="077A73C8" w14:textId="77777777" w:rsidR="00096706" w:rsidRPr="0044524F" w:rsidRDefault="00096706" w:rsidP="009654CF">
      <w:pPr>
        <w:spacing w:after="0" w:line="240" w:lineRule="auto"/>
        <w:jc w:val="both"/>
        <w:rPr>
          <w:rFonts w:ascii="Times New Roman" w:hAnsi="Times New Roman"/>
          <w:color w:val="000000" w:themeColor="text1"/>
          <w:sz w:val="16"/>
          <w:szCs w:val="16"/>
        </w:rPr>
      </w:pPr>
    </w:p>
    <w:p w14:paraId="7FB880EA"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436993A"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1DA1289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сентября 1933 года в СТО была направлена справка</w:t>
      </w:r>
    </w:p>
    <w:p w14:paraId="4A9F705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выполнении программы авиационной промышленности за 8 м-цев 1933 и программы 1У кв.</w:t>
      </w:r>
    </w:p>
    <w:p w14:paraId="61A49B2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1933 год Правительство задало Авиапрому программу сдачи самолетов 4495 штук и моторов 7472 штуки.</w:t>
      </w:r>
    </w:p>
    <w:p w14:paraId="02E03AA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8 месяцев план определял сдачу самолетов 2852 штук и моторов 4785 штук, фактически сдано самолетов 2303 штук или 80,7% и моторов 4172 штук или 87,2%.</w:t>
      </w:r>
    </w:p>
    <w:p w14:paraId="6F37B1B9"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основным типам с-тов выполнение составляет:</w:t>
      </w:r>
    </w:p>
    <w:p w14:paraId="46A9ECD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gridCol w:w="1157"/>
        <w:gridCol w:w="1157"/>
        <w:gridCol w:w="1157"/>
      </w:tblGrid>
      <w:tr w:rsidR="004E10C1" w:rsidRPr="0044524F" w14:paraId="60948303" w14:textId="77777777">
        <w:tc>
          <w:tcPr>
            <w:tcW w:w="2552" w:type="dxa"/>
          </w:tcPr>
          <w:p w14:paraId="7FF09EF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Типы самолетов</w:t>
            </w:r>
          </w:p>
        </w:tc>
        <w:tc>
          <w:tcPr>
            <w:tcW w:w="1157" w:type="dxa"/>
          </w:tcPr>
          <w:p w14:paraId="4D1065C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8-ти месяцев</w:t>
            </w:r>
          </w:p>
        </w:tc>
        <w:tc>
          <w:tcPr>
            <w:tcW w:w="1157" w:type="dxa"/>
          </w:tcPr>
          <w:p w14:paraId="091CF4D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 8 месяцев</w:t>
            </w:r>
          </w:p>
        </w:tc>
        <w:tc>
          <w:tcPr>
            <w:tcW w:w="1157" w:type="dxa"/>
          </w:tcPr>
          <w:p w14:paraId="36E9670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выполнения к 8-ти месячному плану</w:t>
            </w:r>
          </w:p>
        </w:tc>
        <w:tc>
          <w:tcPr>
            <w:tcW w:w="1157" w:type="dxa"/>
          </w:tcPr>
          <w:p w14:paraId="3322FEC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выполнения к годового план</w:t>
            </w:r>
          </w:p>
        </w:tc>
      </w:tr>
      <w:tr w:rsidR="004E10C1" w:rsidRPr="0044524F" w14:paraId="018F2883" w14:textId="77777777">
        <w:tc>
          <w:tcPr>
            <w:tcW w:w="2552" w:type="dxa"/>
          </w:tcPr>
          <w:p w14:paraId="3C72F3D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 Р5-М17</w:t>
            </w:r>
          </w:p>
        </w:tc>
        <w:tc>
          <w:tcPr>
            <w:tcW w:w="1157" w:type="dxa"/>
          </w:tcPr>
          <w:p w14:paraId="210057B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1038</w:t>
            </w:r>
          </w:p>
        </w:tc>
        <w:tc>
          <w:tcPr>
            <w:tcW w:w="1157" w:type="dxa"/>
          </w:tcPr>
          <w:p w14:paraId="2531E99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817</w:t>
            </w:r>
          </w:p>
        </w:tc>
        <w:tc>
          <w:tcPr>
            <w:tcW w:w="1157" w:type="dxa"/>
          </w:tcPr>
          <w:p w14:paraId="06DA0A3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78,7</w:t>
            </w:r>
          </w:p>
        </w:tc>
        <w:tc>
          <w:tcPr>
            <w:tcW w:w="1157" w:type="dxa"/>
          </w:tcPr>
          <w:p w14:paraId="75C7803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48,8</w:t>
            </w:r>
          </w:p>
        </w:tc>
      </w:tr>
      <w:tr w:rsidR="004E10C1" w:rsidRPr="0044524F" w14:paraId="5BE40337" w14:textId="77777777">
        <w:tc>
          <w:tcPr>
            <w:tcW w:w="2552" w:type="dxa"/>
          </w:tcPr>
          <w:p w14:paraId="6C11CB6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 Р6-2М17</w:t>
            </w:r>
          </w:p>
        </w:tc>
        <w:tc>
          <w:tcPr>
            <w:tcW w:w="1157" w:type="dxa"/>
          </w:tcPr>
          <w:p w14:paraId="01B4456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1157" w:type="dxa"/>
          </w:tcPr>
          <w:p w14:paraId="7BD6199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1157" w:type="dxa"/>
          </w:tcPr>
          <w:p w14:paraId="5F9F912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1157" w:type="dxa"/>
          </w:tcPr>
          <w:p w14:paraId="0790DFB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r>
      <w:tr w:rsidR="004E10C1" w:rsidRPr="0044524F" w14:paraId="144C1077" w14:textId="77777777">
        <w:tc>
          <w:tcPr>
            <w:tcW w:w="2552" w:type="dxa"/>
          </w:tcPr>
          <w:p w14:paraId="555C3F9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 морские МР5-М17</w:t>
            </w:r>
          </w:p>
        </w:tc>
        <w:tc>
          <w:tcPr>
            <w:tcW w:w="1157" w:type="dxa"/>
          </w:tcPr>
          <w:p w14:paraId="4F00E2F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1157" w:type="dxa"/>
          </w:tcPr>
          <w:p w14:paraId="70110143"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57" w:type="dxa"/>
          </w:tcPr>
          <w:p w14:paraId="576A631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57" w:type="dxa"/>
          </w:tcPr>
          <w:p w14:paraId="276978C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642F482" w14:textId="77777777">
        <w:tc>
          <w:tcPr>
            <w:tcW w:w="2552" w:type="dxa"/>
          </w:tcPr>
          <w:p w14:paraId="45205D5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tc>
        <w:tc>
          <w:tcPr>
            <w:tcW w:w="1157" w:type="dxa"/>
          </w:tcPr>
          <w:p w14:paraId="05AA2169"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1157" w:type="dxa"/>
          </w:tcPr>
          <w:p w14:paraId="6AD0793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1157" w:type="dxa"/>
          </w:tcPr>
          <w:p w14:paraId="5AC6CBB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18,7</w:t>
            </w:r>
          </w:p>
        </w:tc>
        <w:tc>
          <w:tcPr>
            <w:tcW w:w="1157" w:type="dxa"/>
          </w:tcPr>
          <w:p w14:paraId="1781B67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w:t>
            </w:r>
          </w:p>
        </w:tc>
      </w:tr>
      <w:tr w:rsidR="004E10C1" w:rsidRPr="0044524F" w14:paraId="3DD45007" w14:textId="77777777">
        <w:tc>
          <w:tcPr>
            <w:tcW w:w="2552" w:type="dxa"/>
          </w:tcPr>
          <w:p w14:paraId="31AB1F4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Истребители И5</w:t>
            </w:r>
          </w:p>
        </w:tc>
        <w:tc>
          <w:tcPr>
            <w:tcW w:w="1157" w:type="dxa"/>
          </w:tcPr>
          <w:p w14:paraId="0CDBD0E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c>
          <w:tcPr>
            <w:tcW w:w="1157" w:type="dxa"/>
          </w:tcPr>
          <w:p w14:paraId="67E99C7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179</w:t>
            </w:r>
          </w:p>
        </w:tc>
        <w:tc>
          <w:tcPr>
            <w:tcW w:w="1157" w:type="dxa"/>
          </w:tcPr>
          <w:p w14:paraId="08242859"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99,4</w:t>
            </w:r>
          </w:p>
        </w:tc>
        <w:tc>
          <w:tcPr>
            <w:tcW w:w="1157" w:type="dxa"/>
          </w:tcPr>
          <w:p w14:paraId="6E2C8AC3"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19,7</w:t>
            </w:r>
          </w:p>
        </w:tc>
      </w:tr>
      <w:tr w:rsidR="004E10C1" w:rsidRPr="0044524F" w14:paraId="119BEF82" w14:textId="77777777">
        <w:tc>
          <w:tcPr>
            <w:tcW w:w="2552" w:type="dxa"/>
          </w:tcPr>
          <w:p w14:paraId="150EF9A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Истребители И7</w:t>
            </w:r>
          </w:p>
        </w:tc>
        <w:tc>
          <w:tcPr>
            <w:tcW w:w="1157" w:type="dxa"/>
          </w:tcPr>
          <w:p w14:paraId="7A8D599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142</w:t>
            </w:r>
          </w:p>
        </w:tc>
        <w:tc>
          <w:tcPr>
            <w:tcW w:w="1157" w:type="dxa"/>
          </w:tcPr>
          <w:p w14:paraId="1BB28D03"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1157" w:type="dxa"/>
          </w:tcPr>
          <w:p w14:paraId="2BD86483"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33,8</w:t>
            </w:r>
          </w:p>
        </w:tc>
        <w:tc>
          <w:tcPr>
            <w:tcW w:w="1157" w:type="dxa"/>
          </w:tcPr>
          <w:p w14:paraId="2794C6D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w:t>
            </w:r>
          </w:p>
        </w:tc>
      </w:tr>
      <w:tr w:rsidR="004E10C1" w:rsidRPr="0044524F" w14:paraId="258FED92" w14:textId="77777777">
        <w:tc>
          <w:tcPr>
            <w:tcW w:w="2552" w:type="dxa"/>
          </w:tcPr>
          <w:p w14:paraId="26400ED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 бомбовозы ТБ3-4М17</w:t>
            </w:r>
          </w:p>
        </w:tc>
        <w:tc>
          <w:tcPr>
            <w:tcW w:w="1157" w:type="dxa"/>
          </w:tcPr>
          <w:p w14:paraId="0285316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w:t>
            </w:r>
          </w:p>
        </w:tc>
        <w:tc>
          <w:tcPr>
            <w:tcW w:w="1157" w:type="dxa"/>
          </w:tcPr>
          <w:p w14:paraId="4AC62A1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tc>
        <w:tc>
          <w:tcPr>
            <w:tcW w:w="1157" w:type="dxa"/>
          </w:tcPr>
          <w:p w14:paraId="2F48B79B"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95,9</w:t>
            </w:r>
          </w:p>
        </w:tc>
        <w:tc>
          <w:tcPr>
            <w:tcW w:w="1157" w:type="dxa"/>
          </w:tcPr>
          <w:p w14:paraId="13B86F3B"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67,3</w:t>
            </w:r>
          </w:p>
        </w:tc>
      </w:tr>
      <w:tr w:rsidR="004E10C1" w:rsidRPr="0044524F" w14:paraId="2D2AE448" w14:textId="77777777">
        <w:tc>
          <w:tcPr>
            <w:tcW w:w="2552" w:type="dxa"/>
          </w:tcPr>
          <w:p w14:paraId="1D99CA4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 бомбовозы ТБ3-4М34</w:t>
            </w:r>
          </w:p>
        </w:tc>
        <w:tc>
          <w:tcPr>
            <w:tcW w:w="1157" w:type="dxa"/>
          </w:tcPr>
          <w:p w14:paraId="2FF240F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1157" w:type="dxa"/>
          </w:tcPr>
          <w:p w14:paraId="7BB3138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157" w:type="dxa"/>
          </w:tcPr>
          <w:p w14:paraId="20010D0B"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1157" w:type="dxa"/>
          </w:tcPr>
          <w:p w14:paraId="635E212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r>
      <w:tr w:rsidR="004E10C1" w:rsidRPr="0044524F" w14:paraId="1DDB6D43" w14:textId="77777777">
        <w:tc>
          <w:tcPr>
            <w:tcW w:w="2552" w:type="dxa"/>
          </w:tcPr>
          <w:p w14:paraId="61847572"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Учебные У2-М11</w:t>
            </w:r>
          </w:p>
        </w:tc>
        <w:tc>
          <w:tcPr>
            <w:tcW w:w="1157" w:type="dxa"/>
          </w:tcPr>
          <w:p w14:paraId="319A87B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785</w:t>
            </w:r>
          </w:p>
        </w:tc>
        <w:tc>
          <w:tcPr>
            <w:tcW w:w="1157" w:type="dxa"/>
          </w:tcPr>
          <w:p w14:paraId="1054F6C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768</w:t>
            </w:r>
          </w:p>
        </w:tc>
        <w:tc>
          <w:tcPr>
            <w:tcW w:w="1157" w:type="dxa"/>
          </w:tcPr>
          <w:p w14:paraId="268D24B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97,8</w:t>
            </w:r>
          </w:p>
        </w:tc>
        <w:tc>
          <w:tcPr>
            <w:tcW w:w="1157" w:type="dxa"/>
          </w:tcPr>
          <w:p w14:paraId="0FC5445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r>
    </w:tbl>
    <w:p w14:paraId="05FB6AE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gridCol w:w="1157"/>
        <w:gridCol w:w="1157"/>
        <w:gridCol w:w="1157"/>
      </w:tblGrid>
      <w:tr w:rsidR="004E10C1" w:rsidRPr="0044524F" w14:paraId="78367C32" w14:textId="77777777">
        <w:tc>
          <w:tcPr>
            <w:tcW w:w="2552" w:type="dxa"/>
          </w:tcPr>
          <w:p w14:paraId="1940BEF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Типы моторов</w:t>
            </w:r>
          </w:p>
        </w:tc>
        <w:tc>
          <w:tcPr>
            <w:tcW w:w="1157" w:type="dxa"/>
          </w:tcPr>
          <w:p w14:paraId="63E9DEAB"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8-ти месяцев</w:t>
            </w:r>
          </w:p>
        </w:tc>
        <w:tc>
          <w:tcPr>
            <w:tcW w:w="1157" w:type="dxa"/>
          </w:tcPr>
          <w:p w14:paraId="1E102C0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 8 месяцев</w:t>
            </w:r>
          </w:p>
        </w:tc>
        <w:tc>
          <w:tcPr>
            <w:tcW w:w="1157" w:type="dxa"/>
          </w:tcPr>
          <w:p w14:paraId="6D75BD3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выполнения к 8-ти месячному плану</w:t>
            </w:r>
          </w:p>
        </w:tc>
        <w:tc>
          <w:tcPr>
            <w:tcW w:w="1157" w:type="dxa"/>
          </w:tcPr>
          <w:p w14:paraId="58E8DB6B"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выполнения к годового план</w:t>
            </w:r>
          </w:p>
        </w:tc>
      </w:tr>
      <w:tr w:rsidR="004E10C1" w:rsidRPr="0044524F" w14:paraId="1DB0C762" w14:textId="77777777">
        <w:tc>
          <w:tcPr>
            <w:tcW w:w="2552" w:type="dxa"/>
          </w:tcPr>
          <w:p w14:paraId="5D4792A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157" w:type="dxa"/>
          </w:tcPr>
          <w:p w14:paraId="1DD31B9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2287</w:t>
            </w:r>
          </w:p>
        </w:tc>
        <w:tc>
          <w:tcPr>
            <w:tcW w:w="1157" w:type="dxa"/>
          </w:tcPr>
          <w:p w14:paraId="46D74049"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2205</w:t>
            </w:r>
          </w:p>
        </w:tc>
        <w:tc>
          <w:tcPr>
            <w:tcW w:w="1157" w:type="dxa"/>
          </w:tcPr>
          <w:p w14:paraId="4AC9F9B9"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96,4</w:t>
            </w:r>
          </w:p>
        </w:tc>
        <w:tc>
          <w:tcPr>
            <w:tcW w:w="1157" w:type="dxa"/>
          </w:tcPr>
          <w:p w14:paraId="417E19C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w:t>
            </w:r>
          </w:p>
        </w:tc>
      </w:tr>
      <w:tr w:rsidR="004E10C1" w:rsidRPr="0044524F" w14:paraId="0D45A12B" w14:textId="77777777">
        <w:tc>
          <w:tcPr>
            <w:tcW w:w="2552" w:type="dxa"/>
          </w:tcPr>
          <w:p w14:paraId="21DDC263"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157" w:type="dxa"/>
          </w:tcPr>
          <w:p w14:paraId="537703E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655</w:t>
            </w:r>
          </w:p>
        </w:tc>
        <w:tc>
          <w:tcPr>
            <w:tcW w:w="1157" w:type="dxa"/>
          </w:tcPr>
          <w:p w14:paraId="17DD16F3"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1157" w:type="dxa"/>
          </w:tcPr>
          <w:p w14:paraId="17C628F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68,7</w:t>
            </w:r>
          </w:p>
        </w:tc>
        <w:tc>
          <w:tcPr>
            <w:tcW w:w="1157" w:type="dxa"/>
          </w:tcPr>
          <w:p w14:paraId="281D760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46,8</w:t>
            </w:r>
          </w:p>
        </w:tc>
      </w:tr>
      <w:tr w:rsidR="004E10C1" w:rsidRPr="0044524F" w14:paraId="4E0418AF" w14:textId="77777777">
        <w:tc>
          <w:tcPr>
            <w:tcW w:w="2552" w:type="dxa"/>
          </w:tcPr>
          <w:p w14:paraId="4344B20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57" w:type="dxa"/>
          </w:tcPr>
          <w:p w14:paraId="3D6FAF3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157" w:type="dxa"/>
          </w:tcPr>
          <w:p w14:paraId="00A1623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354</w:t>
            </w:r>
          </w:p>
        </w:tc>
        <w:tc>
          <w:tcPr>
            <w:tcW w:w="1157" w:type="dxa"/>
          </w:tcPr>
          <w:p w14:paraId="4A41A94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84,7</w:t>
            </w:r>
          </w:p>
        </w:tc>
        <w:tc>
          <w:tcPr>
            <w:tcW w:w="1157" w:type="dxa"/>
          </w:tcPr>
          <w:p w14:paraId="5407E5B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48,8</w:t>
            </w:r>
          </w:p>
        </w:tc>
      </w:tr>
      <w:tr w:rsidR="004E10C1" w:rsidRPr="0044524F" w14:paraId="73B5B610" w14:textId="77777777">
        <w:tc>
          <w:tcPr>
            <w:tcW w:w="2552" w:type="dxa"/>
          </w:tcPr>
          <w:p w14:paraId="0E33D9C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157" w:type="dxa"/>
          </w:tcPr>
          <w:p w14:paraId="76375A59"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1540</w:t>
            </w:r>
          </w:p>
        </w:tc>
        <w:tc>
          <w:tcPr>
            <w:tcW w:w="1157" w:type="dxa"/>
          </w:tcPr>
          <w:p w14:paraId="4491F01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1262</w:t>
            </w:r>
          </w:p>
        </w:tc>
        <w:tc>
          <w:tcPr>
            <w:tcW w:w="1157" w:type="dxa"/>
          </w:tcPr>
          <w:p w14:paraId="2DB52BA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w:t>
            </w:r>
          </w:p>
        </w:tc>
        <w:tc>
          <w:tcPr>
            <w:tcW w:w="1157" w:type="dxa"/>
          </w:tcPr>
          <w:p w14:paraId="1A596CF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w:t>
            </w:r>
          </w:p>
        </w:tc>
      </w:tr>
    </w:tbl>
    <w:p w14:paraId="1D16737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сдачи задел машин по сборке по состоянию на 16 сентября с.г. составляет:</w:t>
      </w:r>
    </w:p>
    <w:p w14:paraId="01581BD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tblGrid>
      <w:tr w:rsidR="004E10C1" w:rsidRPr="0044524F" w14:paraId="1F127153" w14:textId="77777777">
        <w:tc>
          <w:tcPr>
            <w:tcW w:w="2552" w:type="dxa"/>
          </w:tcPr>
          <w:p w14:paraId="2C317DE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157" w:type="dxa"/>
          </w:tcPr>
          <w:p w14:paraId="01B886A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tc>
      </w:tr>
      <w:tr w:rsidR="004E10C1" w:rsidRPr="0044524F" w14:paraId="3CDC0576" w14:textId="77777777">
        <w:tc>
          <w:tcPr>
            <w:tcW w:w="2552" w:type="dxa"/>
          </w:tcPr>
          <w:p w14:paraId="2192454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1157" w:type="dxa"/>
          </w:tcPr>
          <w:p w14:paraId="0378658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8C7ED00" w14:textId="77777777">
        <w:tc>
          <w:tcPr>
            <w:tcW w:w="2552" w:type="dxa"/>
          </w:tcPr>
          <w:p w14:paraId="5FCA430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w:t>
            </w:r>
          </w:p>
        </w:tc>
        <w:tc>
          <w:tcPr>
            <w:tcW w:w="1157" w:type="dxa"/>
          </w:tcPr>
          <w:p w14:paraId="6D7ABD9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r>
      <w:tr w:rsidR="004E10C1" w:rsidRPr="0044524F" w14:paraId="7858B3F2" w14:textId="77777777">
        <w:tc>
          <w:tcPr>
            <w:tcW w:w="2552" w:type="dxa"/>
          </w:tcPr>
          <w:p w14:paraId="48DBD3D2"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1157" w:type="dxa"/>
          </w:tcPr>
          <w:p w14:paraId="3459E952"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67193698" w14:textId="77777777">
        <w:tc>
          <w:tcPr>
            <w:tcW w:w="2552" w:type="dxa"/>
          </w:tcPr>
          <w:p w14:paraId="7DFC3DD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w:t>
            </w:r>
          </w:p>
        </w:tc>
        <w:tc>
          <w:tcPr>
            <w:tcW w:w="1157" w:type="dxa"/>
          </w:tcPr>
          <w:p w14:paraId="50DDC69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r>
      <w:tr w:rsidR="004E10C1" w:rsidRPr="0044524F" w14:paraId="75554447" w14:textId="77777777">
        <w:tc>
          <w:tcPr>
            <w:tcW w:w="2552" w:type="dxa"/>
          </w:tcPr>
          <w:p w14:paraId="4D5062F3"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157" w:type="dxa"/>
          </w:tcPr>
          <w:p w14:paraId="1FF0D62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r>
      <w:tr w:rsidR="004E10C1" w:rsidRPr="0044524F" w14:paraId="018169F4" w14:textId="77777777">
        <w:tc>
          <w:tcPr>
            <w:tcW w:w="2552" w:type="dxa"/>
          </w:tcPr>
          <w:p w14:paraId="6329400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157" w:type="dxa"/>
          </w:tcPr>
          <w:p w14:paraId="4089CCC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1C60F0DA" w14:textId="77777777">
        <w:tc>
          <w:tcPr>
            <w:tcW w:w="2552" w:type="dxa"/>
          </w:tcPr>
          <w:p w14:paraId="5CCA549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Учебные У2-М11</w:t>
            </w:r>
          </w:p>
        </w:tc>
        <w:tc>
          <w:tcPr>
            <w:tcW w:w="1157" w:type="dxa"/>
          </w:tcPr>
          <w:p w14:paraId="591BD90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w:t>
            </w:r>
          </w:p>
        </w:tc>
      </w:tr>
    </w:tbl>
    <w:p w14:paraId="4E04ADD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552"/>
        <w:gridCol w:w="1157"/>
      </w:tblGrid>
      <w:tr w:rsidR="004E10C1" w:rsidRPr="0044524F" w14:paraId="6F80B94F" w14:textId="77777777">
        <w:tc>
          <w:tcPr>
            <w:tcW w:w="2552" w:type="dxa"/>
          </w:tcPr>
          <w:p w14:paraId="248DF85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157" w:type="dxa"/>
          </w:tcPr>
          <w:p w14:paraId="757DA06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177</w:t>
            </w:r>
          </w:p>
        </w:tc>
      </w:tr>
      <w:tr w:rsidR="004E10C1" w:rsidRPr="0044524F" w14:paraId="2F47D72B" w14:textId="77777777">
        <w:tc>
          <w:tcPr>
            <w:tcW w:w="2552" w:type="dxa"/>
          </w:tcPr>
          <w:p w14:paraId="3851F69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157" w:type="dxa"/>
          </w:tcPr>
          <w:p w14:paraId="3B6F136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w:t>
            </w:r>
          </w:p>
        </w:tc>
      </w:tr>
      <w:tr w:rsidR="004E10C1" w:rsidRPr="0044524F" w14:paraId="353F3BCD" w14:textId="77777777">
        <w:tc>
          <w:tcPr>
            <w:tcW w:w="2552" w:type="dxa"/>
          </w:tcPr>
          <w:p w14:paraId="72165F6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57" w:type="dxa"/>
          </w:tcPr>
          <w:p w14:paraId="5F575AB2"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w:t>
            </w:r>
          </w:p>
        </w:tc>
      </w:tr>
      <w:tr w:rsidR="004E10C1" w:rsidRPr="0044524F" w14:paraId="73FEE70A" w14:textId="77777777">
        <w:tc>
          <w:tcPr>
            <w:tcW w:w="2552" w:type="dxa"/>
          </w:tcPr>
          <w:p w14:paraId="55E5F8D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157" w:type="dxa"/>
          </w:tcPr>
          <w:p w14:paraId="72885A5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w:t>
            </w:r>
          </w:p>
        </w:tc>
      </w:tr>
    </w:tbl>
    <w:p w14:paraId="14F25B4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Основное недовыполнение программы имело место по самолетным заводам: № 1 (Р5 и И7), № 31 (МБР-4 и Р6) и № 22 (ТБ-3 М34) и по моторным заводам: з-д № 24 (М34) и № 29 (М11 и М22).</w:t>
      </w:r>
    </w:p>
    <w:p w14:paraId="30A3806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 Нехваток цветных металлов, в особенности по олову, сортовой и листовой латуни и по аллюминию.</w:t>
      </w:r>
    </w:p>
    <w:p w14:paraId="0B814383"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 Нехваток холодно-катаной калиброваной стали.</w:t>
      </w:r>
    </w:p>
    <w:p w14:paraId="7907C17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 Недопоставка магнето; АТЭ Электрозавода (системати</w:t>
      </w:r>
      <w:r w:rsidRPr="0044524F">
        <w:rPr>
          <w:rFonts w:ascii="Times New Roman" w:hAnsi="Times New Roman"/>
          <w:color w:val="000000" w:themeColor="text1"/>
          <w:sz w:val="16"/>
          <w:szCs w:val="16"/>
        </w:rPr>
        <w:softHyphen/>
        <w:t>чески не выполняет программ по авиацион. Магнето). По 1 октя</w:t>
      </w:r>
      <w:r w:rsidRPr="0044524F">
        <w:rPr>
          <w:rFonts w:ascii="Times New Roman" w:hAnsi="Times New Roman"/>
          <w:color w:val="000000" w:themeColor="text1"/>
          <w:sz w:val="16"/>
          <w:szCs w:val="16"/>
        </w:rPr>
        <w:softHyphen/>
        <w:t>бря требовалось к подаче - 17.250 шт.; поставлено (включ. по 21 /</w:t>
      </w:r>
      <w:r w:rsidRPr="0044524F">
        <w:rPr>
          <w:rFonts w:ascii="Times New Roman" w:hAnsi="Times New Roman"/>
          <w:color w:val="000000" w:themeColor="text1"/>
          <w:sz w:val="16"/>
          <w:szCs w:val="16"/>
          <w:lang w:val="en-US"/>
        </w:rPr>
        <w:t>IX</w:t>
      </w:r>
      <w:r w:rsidRPr="0044524F">
        <w:rPr>
          <w:rFonts w:ascii="Times New Roman" w:hAnsi="Times New Roman"/>
          <w:color w:val="000000" w:themeColor="text1"/>
          <w:sz w:val="16"/>
          <w:szCs w:val="16"/>
        </w:rPr>
        <w:t xml:space="preserve"> - 7976 шт. В настоящей момент остановился выпуск мо</w:t>
      </w:r>
      <w:r w:rsidRPr="0044524F">
        <w:rPr>
          <w:rFonts w:ascii="Times New Roman" w:hAnsi="Times New Roman"/>
          <w:color w:val="000000" w:themeColor="text1"/>
          <w:sz w:val="16"/>
          <w:szCs w:val="16"/>
        </w:rPr>
        <w:softHyphen/>
        <w:t>торов М17 и М11. Импортного контингента нет.</w:t>
      </w:r>
    </w:p>
    <w:p w14:paraId="3996F4D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области производства:</w:t>
      </w:r>
    </w:p>
    <w:p w14:paraId="6F3C7FF3"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 Конструктивные изменения и недоработки отдельных машин: И-7 изменения хвостового оперения, ТБ-3 М-34 недоработанность винтомоторной установки, М-34 - изыскание конструк</w:t>
      </w:r>
      <w:r w:rsidRPr="0044524F">
        <w:rPr>
          <w:rFonts w:ascii="Times New Roman" w:hAnsi="Times New Roman"/>
          <w:color w:val="000000" w:themeColor="text1"/>
          <w:sz w:val="16"/>
          <w:szCs w:val="16"/>
        </w:rPr>
        <w:softHyphen/>
        <w:t>ции масляной помпы и др.</w:t>
      </w:r>
    </w:p>
    <w:p w14:paraId="7F0579EB"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 Недостаточное еще освоение М-34 (заливка головок главн. шатунов) внедрение в производство М34 и М34Р.</w:t>
      </w:r>
    </w:p>
    <w:p w14:paraId="10233B43"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 Неподготовленность производства по самолетам Р-6.и МБР-4.</w:t>
      </w:r>
    </w:p>
    <w:p w14:paraId="32A53BCD"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1У-й кв. принята сдача самолетов 1658 шт. и моторов 2683 штук в следующей разбивке по основным типам:</w:t>
      </w:r>
    </w:p>
    <w:p w14:paraId="07F405B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Всего В той числе:</w:t>
      </w:r>
    </w:p>
    <w:p w14:paraId="378CC41B"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4423 2819 1658 4477 .101,2</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023"/>
        <w:gridCol w:w="1096"/>
        <w:gridCol w:w="1134"/>
        <w:gridCol w:w="992"/>
        <w:gridCol w:w="923"/>
        <w:gridCol w:w="944"/>
      </w:tblGrid>
      <w:tr w:rsidR="004E10C1" w:rsidRPr="0044524F" w14:paraId="11D40DD0" w14:textId="77777777">
        <w:trPr>
          <w:trHeight w:val="173"/>
        </w:trPr>
        <w:tc>
          <w:tcPr>
            <w:tcW w:w="2023" w:type="dxa"/>
            <w:tcBorders>
              <w:top w:val="single" w:sz="12" w:space="0" w:color="auto"/>
            </w:tcBorders>
          </w:tcPr>
          <w:p w14:paraId="2E4C0C3D"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Типы самолетов</w:t>
            </w:r>
          </w:p>
        </w:tc>
        <w:tc>
          <w:tcPr>
            <w:tcW w:w="1096" w:type="dxa"/>
            <w:tcBorders>
              <w:top w:val="single" w:sz="12" w:space="0" w:color="auto"/>
            </w:tcBorders>
          </w:tcPr>
          <w:p w14:paraId="367E3E20"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 1933</w:t>
            </w:r>
          </w:p>
        </w:tc>
        <w:tc>
          <w:tcPr>
            <w:tcW w:w="1134" w:type="dxa"/>
            <w:tcBorders>
              <w:top w:val="single" w:sz="12" w:space="0" w:color="auto"/>
            </w:tcBorders>
          </w:tcPr>
          <w:p w14:paraId="242233C8"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Ожид. Вып. 9 м</w:t>
            </w:r>
          </w:p>
        </w:tc>
        <w:tc>
          <w:tcPr>
            <w:tcW w:w="992" w:type="dxa"/>
            <w:tcBorders>
              <w:top w:val="single" w:sz="12" w:space="0" w:color="auto"/>
            </w:tcBorders>
          </w:tcPr>
          <w:p w14:paraId="4F29578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 1У кв.</w:t>
            </w:r>
          </w:p>
        </w:tc>
        <w:tc>
          <w:tcPr>
            <w:tcW w:w="923" w:type="dxa"/>
            <w:tcBorders>
              <w:top w:val="single" w:sz="12" w:space="0" w:color="auto"/>
            </w:tcBorders>
          </w:tcPr>
          <w:p w14:paraId="0010722D"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Ожид. Вып. за год</w:t>
            </w:r>
          </w:p>
        </w:tc>
        <w:tc>
          <w:tcPr>
            <w:tcW w:w="944" w:type="dxa"/>
            <w:tcBorders>
              <w:top w:val="single" w:sz="12" w:space="0" w:color="auto"/>
            </w:tcBorders>
          </w:tcPr>
          <w:p w14:paraId="11F8D36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ожтд. Выполн. в год</w:t>
            </w:r>
          </w:p>
        </w:tc>
      </w:tr>
      <w:tr w:rsidR="004E10C1" w:rsidRPr="0044524F" w14:paraId="04703ADF" w14:textId="77777777">
        <w:trPr>
          <w:trHeight w:val="173"/>
        </w:trPr>
        <w:tc>
          <w:tcPr>
            <w:tcW w:w="2023" w:type="dxa"/>
          </w:tcPr>
          <w:p w14:paraId="0F22A67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 всего, в т.ч.</w:t>
            </w:r>
          </w:p>
        </w:tc>
        <w:tc>
          <w:tcPr>
            <w:tcW w:w="1096" w:type="dxa"/>
          </w:tcPr>
          <w:p w14:paraId="3F582871"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4423</w:t>
            </w:r>
          </w:p>
        </w:tc>
        <w:tc>
          <w:tcPr>
            <w:tcW w:w="1134" w:type="dxa"/>
          </w:tcPr>
          <w:p w14:paraId="34145435"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2819</w:t>
            </w:r>
          </w:p>
        </w:tc>
        <w:tc>
          <w:tcPr>
            <w:tcW w:w="992" w:type="dxa"/>
          </w:tcPr>
          <w:p w14:paraId="0AEF3EC3"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1658</w:t>
            </w:r>
          </w:p>
        </w:tc>
        <w:tc>
          <w:tcPr>
            <w:tcW w:w="923" w:type="dxa"/>
          </w:tcPr>
          <w:p w14:paraId="1747799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4477</w:t>
            </w:r>
          </w:p>
        </w:tc>
        <w:tc>
          <w:tcPr>
            <w:tcW w:w="944" w:type="dxa"/>
          </w:tcPr>
          <w:p w14:paraId="2C10328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101,2</w:t>
            </w:r>
          </w:p>
        </w:tc>
      </w:tr>
      <w:tr w:rsidR="004E10C1" w:rsidRPr="0044524F" w14:paraId="40B1088B" w14:textId="77777777">
        <w:trPr>
          <w:trHeight w:val="173"/>
        </w:trPr>
        <w:tc>
          <w:tcPr>
            <w:tcW w:w="2023" w:type="dxa"/>
          </w:tcPr>
          <w:p w14:paraId="608F22D9"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096" w:type="dxa"/>
          </w:tcPr>
          <w:p w14:paraId="6E38D49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1675</w:t>
            </w:r>
          </w:p>
        </w:tc>
        <w:tc>
          <w:tcPr>
            <w:tcW w:w="1134" w:type="dxa"/>
          </w:tcPr>
          <w:p w14:paraId="15419FE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995</w:t>
            </w:r>
          </w:p>
        </w:tc>
        <w:tc>
          <w:tcPr>
            <w:tcW w:w="992" w:type="dxa"/>
          </w:tcPr>
          <w:p w14:paraId="11A0D137"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660</w:t>
            </w:r>
          </w:p>
        </w:tc>
        <w:tc>
          <w:tcPr>
            <w:tcW w:w="923" w:type="dxa"/>
          </w:tcPr>
          <w:p w14:paraId="6186F27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1675</w:t>
            </w:r>
          </w:p>
        </w:tc>
        <w:tc>
          <w:tcPr>
            <w:tcW w:w="944" w:type="dxa"/>
          </w:tcPr>
          <w:p w14:paraId="11107DA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E5FFEF1" w14:textId="77777777">
        <w:trPr>
          <w:trHeight w:val="173"/>
        </w:trPr>
        <w:tc>
          <w:tcPr>
            <w:tcW w:w="2023" w:type="dxa"/>
          </w:tcPr>
          <w:p w14:paraId="62A1A20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МР-5</w:t>
            </w:r>
          </w:p>
        </w:tc>
        <w:tc>
          <w:tcPr>
            <w:tcW w:w="1096" w:type="dxa"/>
          </w:tcPr>
          <w:p w14:paraId="6DD19EBD"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134" w:type="dxa"/>
          </w:tcPr>
          <w:p w14:paraId="1DC39B58"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92" w:type="dxa"/>
          </w:tcPr>
          <w:p w14:paraId="742B3AF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923" w:type="dxa"/>
          </w:tcPr>
          <w:p w14:paraId="3982C258"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944" w:type="dxa"/>
          </w:tcPr>
          <w:p w14:paraId="686679E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4657A813" w14:textId="77777777">
        <w:trPr>
          <w:trHeight w:val="180"/>
        </w:trPr>
        <w:tc>
          <w:tcPr>
            <w:tcW w:w="2023" w:type="dxa"/>
          </w:tcPr>
          <w:p w14:paraId="03C443D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1096" w:type="dxa"/>
          </w:tcPr>
          <w:p w14:paraId="1B6B2BE1"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134" w:type="dxa"/>
          </w:tcPr>
          <w:p w14:paraId="797F26F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992" w:type="dxa"/>
          </w:tcPr>
          <w:p w14:paraId="1E077FF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w:t>
            </w:r>
          </w:p>
        </w:tc>
        <w:tc>
          <w:tcPr>
            <w:tcW w:w="923" w:type="dxa"/>
          </w:tcPr>
          <w:p w14:paraId="20C60339"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944" w:type="dxa"/>
          </w:tcPr>
          <w:p w14:paraId="67767447"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r>
      <w:tr w:rsidR="004E10C1" w:rsidRPr="0044524F" w14:paraId="24458515" w14:textId="77777777">
        <w:trPr>
          <w:trHeight w:val="346"/>
        </w:trPr>
        <w:tc>
          <w:tcPr>
            <w:tcW w:w="2023" w:type="dxa"/>
          </w:tcPr>
          <w:p w14:paraId="2BD7CA67"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 - АСО</w:t>
            </w:r>
          </w:p>
        </w:tc>
        <w:tc>
          <w:tcPr>
            <w:tcW w:w="1096" w:type="dxa"/>
          </w:tcPr>
          <w:p w14:paraId="107CA1AB"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134" w:type="dxa"/>
          </w:tcPr>
          <w:p w14:paraId="1852E53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992" w:type="dxa"/>
          </w:tcPr>
          <w:p w14:paraId="3F2FCBB1"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23" w:type="dxa"/>
          </w:tcPr>
          <w:p w14:paraId="27A609F0"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944" w:type="dxa"/>
          </w:tcPr>
          <w:p w14:paraId="27D7FE5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E49DEB7" w14:textId="77777777">
        <w:trPr>
          <w:trHeight w:val="346"/>
        </w:trPr>
        <w:tc>
          <w:tcPr>
            <w:tcW w:w="2023" w:type="dxa"/>
          </w:tcPr>
          <w:p w14:paraId="1A0F4DE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И-5</w:t>
            </w:r>
          </w:p>
        </w:tc>
        <w:tc>
          <w:tcPr>
            <w:tcW w:w="1096" w:type="dxa"/>
          </w:tcPr>
          <w:p w14:paraId="582D21A9"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134" w:type="dxa"/>
          </w:tcPr>
          <w:p w14:paraId="567142C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w:t>
            </w:r>
          </w:p>
        </w:tc>
        <w:tc>
          <w:tcPr>
            <w:tcW w:w="992" w:type="dxa"/>
          </w:tcPr>
          <w:p w14:paraId="521CE70D"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c>
          <w:tcPr>
            <w:tcW w:w="923" w:type="dxa"/>
          </w:tcPr>
          <w:p w14:paraId="39D8AE1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353</w:t>
            </w:r>
          </w:p>
        </w:tc>
        <w:tc>
          <w:tcPr>
            <w:tcW w:w="944" w:type="dxa"/>
          </w:tcPr>
          <w:p w14:paraId="489CB147"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119,3</w:t>
            </w:r>
          </w:p>
        </w:tc>
      </w:tr>
      <w:tr w:rsidR="004E10C1" w:rsidRPr="0044524F" w14:paraId="5162AE64" w14:textId="77777777">
        <w:trPr>
          <w:trHeight w:val="180"/>
        </w:trPr>
        <w:tc>
          <w:tcPr>
            <w:tcW w:w="2023" w:type="dxa"/>
          </w:tcPr>
          <w:p w14:paraId="32F1D7DD"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w:t>
            </w:r>
          </w:p>
        </w:tc>
        <w:tc>
          <w:tcPr>
            <w:tcW w:w="1096" w:type="dxa"/>
          </w:tcPr>
          <w:p w14:paraId="02F31AC5"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134" w:type="dxa"/>
          </w:tcPr>
          <w:p w14:paraId="4356B71B"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992" w:type="dxa"/>
          </w:tcPr>
          <w:p w14:paraId="70BB61D9"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923" w:type="dxa"/>
          </w:tcPr>
          <w:p w14:paraId="5FA5A6E9"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944" w:type="dxa"/>
          </w:tcPr>
          <w:p w14:paraId="710113D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r>
      <w:tr w:rsidR="004E10C1" w:rsidRPr="0044524F" w14:paraId="0EF42CC6" w14:textId="77777777">
        <w:trPr>
          <w:trHeight w:val="180"/>
        </w:trPr>
        <w:tc>
          <w:tcPr>
            <w:tcW w:w="2023" w:type="dxa"/>
          </w:tcPr>
          <w:p w14:paraId="51C90E4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ТБЗ-М17</w:t>
            </w:r>
          </w:p>
        </w:tc>
        <w:tc>
          <w:tcPr>
            <w:tcW w:w="1096" w:type="dxa"/>
          </w:tcPr>
          <w:p w14:paraId="29351BA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1134" w:type="dxa"/>
          </w:tcPr>
          <w:p w14:paraId="75736E9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992" w:type="dxa"/>
          </w:tcPr>
          <w:p w14:paraId="6865D61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923" w:type="dxa"/>
          </w:tcPr>
          <w:p w14:paraId="25D41923"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944" w:type="dxa"/>
          </w:tcPr>
          <w:p w14:paraId="54D51E31"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2C863640" w14:textId="77777777">
        <w:trPr>
          <w:trHeight w:val="180"/>
        </w:trPr>
        <w:tc>
          <w:tcPr>
            <w:tcW w:w="2023" w:type="dxa"/>
          </w:tcPr>
          <w:p w14:paraId="48665BC8"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М1-34</w:t>
            </w:r>
          </w:p>
        </w:tc>
        <w:tc>
          <w:tcPr>
            <w:tcW w:w="1096" w:type="dxa"/>
          </w:tcPr>
          <w:p w14:paraId="19DBD5C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134" w:type="dxa"/>
          </w:tcPr>
          <w:p w14:paraId="21A62AF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992" w:type="dxa"/>
          </w:tcPr>
          <w:p w14:paraId="7ECBD5A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w:t>
            </w:r>
          </w:p>
        </w:tc>
        <w:tc>
          <w:tcPr>
            <w:tcW w:w="923" w:type="dxa"/>
          </w:tcPr>
          <w:p w14:paraId="6CCFFB7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944" w:type="dxa"/>
          </w:tcPr>
          <w:p w14:paraId="01EE42D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00B399D9" w14:textId="77777777">
        <w:trPr>
          <w:trHeight w:val="180"/>
        </w:trPr>
        <w:tc>
          <w:tcPr>
            <w:tcW w:w="2023" w:type="dxa"/>
          </w:tcPr>
          <w:p w14:paraId="33DC056D"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- 2</w:t>
            </w:r>
          </w:p>
        </w:tc>
        <w:tc>
          <w:tcPr>
            <w:tcW w:w="1096" w:type="dxa"/>
          </w:tcPr>
          <w:p w14:paraId="1AC8FEB7"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1280</w:t>
            </w:r>
          </w:p>
        </w:tc>
        <w:tc>
          <w:tcPr>
            <w:tcW w:w="1134" w:type="dxa"/>
          </w:tcPr>
          <w:p w14:paraId="2BE07D5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936</w:t>
            </w:r>
          </w:p>
        </w:tc>
        <w:tc>
          <w:tcPr>
            <w:tcW w:w="992" w:type="dxa"/>
          </w:tcPr>
          <w:p w14:paraId="5E351153"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441</w:t>
            </w:r>
          </w:p>
        </w:tc>
        <w:tc>
          <w:tcPr>
            <w:tcW w:w="923" w:type="dxa"/>
          </w:tcPr>
          <w:p w14:paraId="34E68920"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1387</w:t>
            </w:r>
          </w:p>
        </w:tc>
        <w:tc>
          <w:tcPr>
            <w:tcW w:w="944" w:type="dxa"/>
          </w:tcPr>
          <w:p w14:paraId="0B2760A7"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w:t>
            </w:r>
          </w:p>
        </w:tc>
      </w:tr>
      <w:tr w:rsidR="004E10C1" w:rsidRPr="0044524F" w14:paraId="7A8D787D" w14:textId="77777777">
        <w:trPr>
          <w:trHeight w:val="180"/>
        </w:trPr>
        <w:tc>
          <w:tcPr>
            <w:tcW w:w="2023" w:type="dxa"/>
          </w:tcPr>
          <w:p w14:paraId="0521CFA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1096" w:type="dxa"/>
          </w:tcPr>
          <w:p w14:paraId="7D273D5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p>
        </w:tc>
        <w:tc>
          <w:tcPr>
            <w:tcW w:w="1134" w:type="dxa"/>
          </w:tcPr>
          <w:p w14:paraId="6569F10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p>
        </w:tc>
        <w:tc>
          <w:tcPr>
            <w:tcW w:w="992" w:type="dxa"/>
          </w:tcPr>
          <w:p w14:paraId="2C4FBA9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p>
        </w:tc>
        <w:tc>
          <w:tcPr>
            <w:tcW w:w="923" w:type="dxa"/>
          </w:tcPr>
          <w:p w14:paraId="09B6C73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p>
        </w:tc>
        <w:tc>
          <w:tcPr>
            <w:tcW w:w="944" w:type="dxa"/>
          </w:tcPr>
          <w:p w14:paraId="4404787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p>
        </w:tc>
      </w:tr>
      <w:tr w:rsidR="004E10C1" w:rsidRPr="0044524F" w14:paraId="231F85DF" w14:textId="77777777">
        <w:trPr>
          <w:trHeight w:val="180"/>
        </w:trPr>
        <w:tc>
          <w:tcPr>
            <w:tcW w:w="2023" w:type="dxa"/>
          </w:tcPr>
          <w:p w14:paraId="205453C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096" w:type="dxa"/>
          </w:tcPr>
          <w:p w14:paraId="5E1E3F8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3800</w:t>
            </w:r>
          </w:p>
        </w:tc>
        <w:tc>
          <w:tcPr>
            <w:tcW w:w="1134" w:type="dxa"/>
          </w:tcPr>
          <w:p w14:paraId="4977CFC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2605</w:t>
            </w:r>
          </w:p>
        </w:tc>
        <w:tc>
          <w:tcPr>
            <w:tcW w:w="992" w:type="dxa"/>
          </w:tcPr>
          <w:p w14:paraId="146B8FF7"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923" w:type="dxa"/>
          </w:tcPr>
          <w:p w14:paraId="7D7EBBD0"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3905</w:t>
            </w:r>
          </w:p>
        </w:tc>
        <w:tc>
          <w:tcPr>
            <w:tcW w:w="944" w:type="dxa"/>
          </w:tcPr>
          <w:p w14:paraId="01F8068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102,8</w:t>
            </w:r>
          </w:p>
        </w:tc>
      </w:tr>
      <w:tr w:rsidR="004E10C1" w:rsidRPr="0044524F" w14:paraId="778485A0" w14:textId="77777777">
        <w:trPr>
          <w:trHeight w:val="180"/>
        </w:trPr>
        <w:tc>
          <w:tcPr>
            <w:tcW w:w="2023" w:type="dxa"/>
          </w:tcPr>
          <w:p w14:paraId="0B5F7629"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096" w:type="dxa"/>
          </w:tcPr>
          <w:p w14:paraId="6844CB93"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962</w:t>
            </w:r>
          </w:p>
        </w:tc>
        <w:tc>
          <w:tcPr>
            <w:tcW w:w="1134" w:type="dxa"/>
          </w:tcPr>
          <w:p w14:paraId="3242A79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577</w:t>
            </w:r>
          </w:p>
        </w:tc>
        <w:tc>
          <w:tcPr>
            <w:tcW w:w="992" w:type="dxa"/>
          </w:tcPr>
          <w:p w14:paraId="4223EF8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383</w:t>
            </w:r>
          </w:p>
        </w:tc>
        <w:tc>
          <w:tcPr>
            <w:tcW w:w="923" w:type="dxa"/>
          </w:tcPr>
          <w:p w14:paraId="77A8ACD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960</w:t>
            </w:r>
          </w:p>
        </w:tc>
        <w:tc>
          <w:tcPr>
            <w:tcW w:w="944" w:type="dxa"/>
          </w:tcPr>
          <w:p w14:paraId="1CFB80A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99,8</w:t>
            </w:r>
          </w:p>
        </w:tc>
      </w:tr>
      <w:tr w:rsidR="004E10C1" w:rsidRPr="0044524F" w14:paraId="5DD63723" w14:textId="77777777">
        <w:trPr>
          <w:trHeight w:val="180"/>
        </w:trPr>
        <w:tc>
          <w:tcPr>
            <w:tcW w:w="2023" w:type="dxa"/>
          </w:tcPr>
          <w:p w14:paraId="320732F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096" w:type="dxa"/>
          </w:tcPr>
          <w:p w14:paraId="593B715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w:t>
            </w:r>
          </w:p>
        </w:tc>
        <w:tc>
          <w:tcPr>
            <w:tcW w:w="1134" w:type="dxa"/>
          </w:tcPr>
          <w:p w14:paraId="5879071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992" w:type="dxa"/>
          </w:tcPr>
          <w:p w14:paraId="36125620"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c>
          <w:tcPr>
            <w:tcW w:w="923" w:type="dxa"/>
          </w:tcPr>
          <w:p w14:paraId="787ECFC1"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944" w:type="dxa"/>
          </w:tcPr>
          <w:p w14:paraId="33F51FEB"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96,2</w:t>
            </w:r>
          </w:p>
        </w:tc>
      </w:tr>
      <w:tr w:rsidR="004E10C1" w:rsidRPr="0044524F" w14:paraId="37ACD13E" w14:textId="77777777">
        <w:trPr>
          <w:trHeight w:val="180"/>
        </w:trPr>
        <w:tc>
          <w:tcPr>
            <w:tcW w:w="2023" w:type="dxa"/>
            <w:tcBorders>
              <w:bottom w:val="single" w:sz="12" w:space="0" w:color="auto"/>
            </w:tcBorders>
          </w:tcPr>
          <w:p w14:paraId="7E0E1F77"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096" w:type="dxa"/>
            <w:tcBorders>
              <w:bottom w:val="single" w:sz="12" w:space="0" w:color="auto"/>
            </w:tcBorders>
          </w:tcPr>
          <w:p w14:paraId="7EDA0BB1"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2155</w:t>
            </w:r>
          </w:p>
        </w:tc>
        <w:tc>
          <w:tcPr>
            <w:tcW w:w="1134" w:type="dxa"/>
            <w:tcBorders>
              <w:bottom w:val="single" w:sz="12" w:space="0" w:color="auto"/>
            </w:tcBorders>
          </w:tcPr>
          <w:p w14:paraId="0DFF820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tc>
        <w:tc>
          <w:tcPr>
            <w:tcW w:w="992" w:type="dxa"/>
            <w:tcBorders>
              <w:bottom w:val="single" w:sz="12" w:space="0" w:color="auto"/>
            </w:tcBorders>
          </w:tcPr>
          <w:p w14:paraId="1E2D3D90"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923" w:type="dxa"/>
            <w:tcBorders>
              <w:bottom w:val="single" w:sz="12" w:space="0" w:color="auto"/>
            </w:tcBorders>
          </w:tcPr>
          <w:p w14:paraId="489F750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944" w:type="dxa"/>
            <w:tcBorders>
              <w:bottom w:val="single" w:sz="12" w:space="0" w:color="auto"/>
            </w:tcBorders>
          </w:tcPr>
          <w:p w14:paraId="285A9FA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w:t>
            </w:r>
          </w:p>
        </w:tc>
      </w:tr>
    </w:tbl>
    <w:p w14:paraId="7BE41B1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Изменение годовой программы - снятие с производства з-да № 31 самолета МБР-4 М-34 и перенесение самолета ТБ4 с з-да и 22 на з-д № 18, а также восстановления производства с-та Р-6 на з-де № 22 про</w:t>
      </w:r>
      <w:r w:rsidRPr="0044524F">
        <w:rPr>
          <w:rFonts w:ascii="Times New Roman" w:hAnsi="Times New Roman"/>
          <w:color w:val="000000" w:themeColor="text1"/>
          <w:sz w:val="16"/>
          <w:szCs w:val="16"/>
        </w:rPr>
        <w:softHyphen/>
        <w:t>изведено по решению Правительства от 13 августа с.г.</w:t>
      </w:r>
    </w:p>
    <w:p w14:paraId="78F09DA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бесперебойного выполнения программы 1У кв. и всего года, а также для обеспечения задела на 1934 год необходимо:</w:t>
      </w:r>
    </w:p>
    <w:p w14:paraId="41DC9DA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 Обеспечено, фонда цветных металлов Глававиапрому:</w:t>
      </w:r>
    </w:p>
    <w:p w14:paraId="4799F4D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аллюминия чушкового</w:t>
      </w:r>
      <w:r w:rsidRPr="0044524F">
        <w:rPr>
          <w:rFonts w:ascii="Times New Roman" w:hAnsi="Times New Roman"/>
          <w:color w:val="000000" w:themeColor="text1"/>
          <w:sz w:val="16"/>
          <w:szCs w:val="16"/>
        </w:rPr>
        <w:tab/>
        <w:t>1270 т.</w:t>
      </w:r>
    </w:p>
    <w:p w14:paraId="7853247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олова</w:t>
      </w:r>
      <w:r w:rsidRPr="0044524F">
        <w:rPr>
          <w:rFonts w:ascii="Times New Roman" w:hAnsi="Times New Roman"/>
          <w:color w:val="000000" w:themeColor="text1"/>
          <w:sz w:val="16"/>
          <w:szCs w:val="16"/>
        </w:rPr>
        <w:tab/>
        <w:t>76</w:t>
      </w:r>
    </w:p>
    <w:p w14:paraId="28AAB7D5"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латуни сортовой</w:t>
      </w:r>
      <w:r w:rsidRPr="0044524F">
        <w:rPr>
          <w:rFonts w:ascii="Times New Roman" w:hAnsi="Times New Roman"/>
          <w:color w:val="000000" w:themeColor="text1"/>
          <w:sz w:val="16"/>
          <w:szCs w:val="16"/>
        </w:rPr>
        <w:tab/>
        <w:t>184</w:t>
      </w:r>
    </w:p>
    <w:p w14:paraId="385B2EA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латуни листовой</w:t>
      </w:r>
      <w:r w:rsidRPr="0044524F">
        <w:rPr>
          <w:rFonts w:ascii="Times New Roman" w:hAnsi="Times New Roman"/>
          <w:color w:val="000000" w:themeColor="text1"/>
          <w:sz w:val="16"/>
          <w:szCs w:val="16"/>
        </w:rPr>
        <w:tab/>
        <w:t>66</w:t>
      </w:r>
    </w:p>
    <w:p w14:paraId="1D1AD448"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меди электролитич.</w:t>
      </w:r>
      <w:r w:rsidRPr="0044524F">
        <w:rPr>
          <w:rFonts w:ascii="Times New Roman" w:hAnsi="Times New Roman"/>
          <w:color w:val="000000" w:themeColor="text1"/>
          <w:sz w:val="16"/>
          <w:szCs w:val="16"/>
        </w:rPr>
        <w:tab/>
        <w:t>344</w:t>
      </w:r>
    </w:p>
    <w:p w14:paraId="294E866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меди листовой</w:t>
      </w:r>
      <w:r w:rsidRPr="0044524F">
        <w:rPr>
          <w:rFonts w:ascii="Times New Roman" w:hAnsi="Times New Roman"/>
          <w:color w:val="000000" w:themeColor="text1"/>
          <w:sz w:val="16"/>
          <w:szCs w:val="16"/>
        </w:rPr>
        <w:tab/>
        <w:t>26</w:t>
      </w:r>
    </w:p>
    <w:p w14:paraId="4487ED3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свинца чушкового</w:t>
      </w:r>
      <w:r w:rsidRPr="0044524F">
        <w:rPr>
          <w:rFonts w:ascii="Times New Roman" w:hAnsi="Times New Roman"/>
          <w:color w:val="000000" w:themeColor="text1"/>
          <w:sz w:val="16"/>
          <w:szCs w:val="16"/>
        </w:rPr>
        <w:tab/>
        <w:t>50</w:t>
      </w:r>
    </w:p>
    <w:p w14:paraId="2DA56813"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свинца листового</w:t>
      </w:r>
      <w:r w:rsidRPr="0044524F">
        <w:rPr>
          <w:rFonts w:ascii="Times New Roman" w:hAnsi="Times New Roman"/>
          <w:color w:val="000000" w:themeColor="text1"/>
          <w:sz w:val="16"/>
          <w:szCs w:val="16"/>
        </w:rPr>
        <w:tab/>
        <w:t>10.5</w:t>
      </w:r>
    </w:p>
    <w:p w14:paraId="3D9660B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магния</w:t>
      </w:r>
      <w:r w:rsidRPr="0044524F">
        <w:rPr>
          <w:rFonts w:ascii="Times New Roman" w:hAnsi="Times New Roman"/>
          <w:color w:val="000000" w:themeColor="text1"/>
          <w:sz w:val="16"/>
          <w:szCs w:val="16"/>
        </w:rPr>
        <w:tab/>
        <w:t>40</w:t>
      </w:r>
    </w:p>
    <w:p w14:paraId="4D0A299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в пределах имеющихся на 1У кв. ресурсов полностью обеспечить невозможно, не затрагивая автотракторной промышленности, кабельного производства и остальной военной промышленности.</w:t>
      </w:r>
    </w:p>
    <w:p w14:paraId="19E9A9F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Выделять Главцветмотобработке дополнительно 400 тн. аллюминия, специально для увеличения программы по дюраллюминию на з-дах им. Ворошилова и № 45.</w:t>
      </w:r>
    </w:p>
    <w:p w14:paraId="342B5AF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Обеспечить в 1У кв. подачу авиац. магнето в количестве 7838 шт.</w:t>
      </w:r>
    </w:p>
    <w:p w14:paraId="7E4D08C5"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Немедленно приступить к реализация импортного контингента на инструмент в суше 56.000 р. (разрешенного к импорту Комиссией тов. Кагановича) я на алмазы в сумме 30.000 руб.</w:t>
      </w:r>
    </w:p>
    <w:p w14:paraId="6C566E5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подать:</w:t>
      </w:r>
    </w:p>
    <w:p w14:paraId="4AD4EF47"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 завода "Красный Октябрь" 241 тн. холодно-волоченой ка</w:t>
      </w:r>
      <w:r w:rsidRPr="0044524F">
        <w:rPr>
          <w:rFonts w:ascii="Times New Roman" w:hAnsi="Times New Roman"/>
          <w:color w:val="000000" w:themeColor="text1"/>
          <w:sz w:val="16"/>
          <w:szCs w:val="16"/>
        </w:rPr>
        <w:softHyphen/>
        <w:t>либрованной стали до 1.Х1-33 г.</w:t>
      </w:r>
    </w:p>
    <w:p w14:paraId="65EC5C9E"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 Мариупольского завода до 15.Х - с.г. - 14 тн. ободьевой стали.</w:t>
      </w:r>
    </w:p>
    <w:p w14:paraId="37AA13D5"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 Белорецкого завода, ИОЗ"а и завода “Красный Гвоздильщик" до 15 октября с.г. проволоку по заказан ГУАП"а, особенно обратив внимание на марку Р разм., 5 и 6, марку ХВа всех размеров и на качество проволоки.</w:t>
      </w:r>
    </w:p>
    <w:p w14:paraId="12C7A49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С завода им. Ленина, до 10/Х - с.г. углеродистых труб 216 тыс. метр. хромомолибденовых труб - 22.3 т. метр., осевых труб 5,5 тыс. мет., а также обеспечить выполнение нарядов ГУАПа на 1У кварт.</w:t>
      </w:r>
    </w:p>
    <w:p w14:paraId="10017F3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Союзнефтеторг и Н.К.П.С. обеспечить в первую оче</w:t>
      </w:r>
      <w:r w:rsidRPr="0044524F">
        <w:rPr>
          <w:rFonts w:ascii="Times New Roman" w:hAnsi="Times New Roman"/>
          <w:color w:val="000000" w:themeColor="text1"/>
          <w:sz w:val="16"/>
          <w:szCs w:val="16"/>
        </w:rPr>
        <w:softHyphen/>
        <w:t>редь равномерную и регулярную подачу Бакинского экспортного бензина авиазаводам по установленным фондак.</w:t>
      </w:r>
    </w:p>
    <w:p w14:paraId="2479EBF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Поручить Госплану СССР обязать лосозаготовительные организации поставить ГУАП"у в 1934 году авиалес в количестве: сосны 53750 кубометров, твордолиственных пород - 27900 кб. м. и авиафанеры 6000 кб. метр., форсировать проведение отборки и клеймения авиадревесины на корню в размере, обеспечиващем подачу указанного количества.</w:t>
      </w:r>
    </w:p>
    <w:p w14:paraId="745F640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 Предложить НКПС приравнять по очередности к военным пере</w:t>
      </w:r>
      <w:r w:rsidRPr="0044524F">
        <w:rPr>
          <w:rFonts w:ascii="Times New Roman" w:hAnsi="Times New Roman"/>
          <w:color w:val="000000" w:themeColor="text1"/>
          <w:sz w:val="16"/>
          <w:szCs w:val="16"/>
        </w:rPr>
        <w:softHyphen/>
        <w:t>возкам - перевозку грузов авиазаводов.</w:t>
      </w:r>
    </w:p>
    <w:p w14:paraId="0A8CA0C8"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 В связи с изменением производственной программы завода № 31 и перенесением производства машин ТБ4 на э-д № 18 с з-да № 22; Р-6 с зав. № 31 на зав. № 22 (по решению Правительства от 13/УШ-с.г.) и образованием излишков незавершенного производства на 1/1Х-С.Г. обязать НКФ целиком покрыть утвержденное Правительством ГУАП"у го</w:t>
      </w:r>
      <w:r w:rsidRPr="0044524F">
        <w:rPr>
          <w:rFonts w:ascii="Times New Roman" w:hAnsi="Times New Roman"/>
          <w:color w:val="000000" w:themeColor="text1"/>
          <w:sz w:val="16"/>
          <w:szCs w:val="16"/>
        </w:rPr>
        <w:softHyphen/>
        <w:t>довое финансирование в размере 51 мил. руб. и полностью выдать пола</w:t>
      </w:r>
      <w:r w:rsidRPr="0044524F">
        <w:rPr>
          <w:rFonts w:ascii="Times New Roman" w:hAnsi="Times New Roman"/>
          <w:color w:val="000000" w:themeColor="text1"/>
          <w:sz w:val="16"/>
          <w:szCs w:val="16"/>
        </w:rPr>
        <w:softHyphen/>
        <w:t>гающееся финансирование в 1У кв. в размере 16.500.000 руб.</w:t>
      </w:r>
    </w:p>
    <w:p w14:paraId="5000DC77"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ГЛАВНОГО УПРАВЛЕНИЯ АВИАПРОМЫШЛЕННОСТИ /Королев/ (4149,25).</w:t>
      </w:r>
    </w:p>
    <w:p w14:paraId="4C16A9D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ПОКАЗАТЕЛИ РАБОТЫ АВИАПРОМЫШЛЕННОСТИ ЗА 8 МЕСЯЦЕВ 1933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36"/>
        <w:gridCol w:w="1039"/>
        <w:gridCol w:w="1039"/>
        <w:gridCol w:w="1039"/>
        <w:gridCol w:w="1039"/>
        <w:gridCol w:w="1039"/>
        <w:gridCol w:w="1039"/>
        <w:gridCol w:w="1039"/>
      </w:tblGrid>
      <w:tr w:rsidR="004E10C1" w:rsidRPr="0044524F" w14:paraId="52A5161F" w14:textId="77777777">
        <w:tc>
          <w:tcPr>
            <w:tcW w:w="3936" w:type="dxa"/>
            <w:tcBorders>
              <w:top w:val="single" w:sz="12" w:space="0" w:color="auto"/>
            </w:tcBorders>
          </w:tcPr>
          <w:p w14:paraId="1C7E19B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Показатели</w:t>
            </w:r>
          </w:p>
        </w:tc>
        <w:tc>
          <w:tcPr>
            <w:tcW w:w="1039" w:type="dxa"/>
            <w:tcBorders>
              <w:top w:val="single" w:sz="12" w:space="0" w:color="auto"/>
            </w:tcBorders>
          </w:tcPr>
          <w:p w14:paraId="2CAE147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годовой</w:t>
            </w:r>
          </w:p>
        </w:tc>
        <w:tc>
          <w:tcPr>
            <w:tcW w:w="1039" w:type="dxa"/>
            <w:tcBorders>
              <w:top w:val="single" w:sz="12" w:space="0" w:color="auto"/>
            </w:tcBorders>
          </w:tcPr>
          <w:p w14:paraId="2D540AE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Плен 8 месяцев</w:t>
            </w:r>
          </w:p>
        </w:tc>
        <w:tc>
          <w:tcPr>
            <w:tcW w:w="1039" w:type="dxa"/>
            <w:tcBorders>
              <w:top w:val="single" w:sz="12" w:space="0" w:color="auto"/>
            </w:tcBorders>
          </w:tcPr>
          <w:p w14:paraId="0C32E21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8 месяцев</w:t>
            </w:r>
          </w:p>
        </w:tc>
        <w:tc>
          <w:tcPr>
            <w:tcW w:w="1039" w:type="dxa"/>
            <w:tcBorders>
              <w:top w:val="single" w:sz="12" w:space="0" w:color="auto"/>
            </w:tcBorders>
          </w:tcPr>
          <w:p w14:paraId="1718393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 годовому</w:t>
            </w:r>
          </w:p>
        </w:tc>
        <w:tc>
          <w:tcPr>
            <w:tcW w:w="1039" w:type="dxa"/>
            <w:tcBorders>
              <w:top w:val="single" w:sz="12" w:space="0" w:color="auto"/>
            </w:tcBorders>
          </w:tcPr>
          <w:p w14:paraId="1758AB6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 8 месяцам</w:t>
            </w:r>
          </w:p>
        </w:tc>
        <w:tc>
          <w:tcPr>
            <w:tcW w:w="1039" w:type="dxa"/>
            <w:tcBorders>
              <w:top w:val="single" w:sz="12" w:space="0" w:color="auto"/>
            </w:tcBorders>
          </w:tcPr>
          <w:p w14:paraId="3FB585B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8 месяцам 1932</w:t>
            </w:r>
          </w:p>
        </w:tc>
        <w:tc>
          <w:tcPr>
            <w:tcW w:w="1039" w:type="dxa"/>
            <w:tcBorders>
              <w:top w:val="single" w:sz="12" w:space="0" w:color="auto"/>
            </w:tcBorders>
          </w:tcPr>
          <w:p w14:paraId="31D850E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за 8 месяцев 1932</w:t>
            </w:r>
          </w:p>
        </w:tc>
      </w:tr>
      <w:tr w:rsidR="004E10C1" w:rsidRPr="0044524F" w14:paraId="3BD83D0D" w14:textId="77777777">
        <w:tc>
          <w:tcPr>
            <w:tcW w:w="3936" w:type="dxa"/>
          </w:tcPr>
          <w:p w14:paraId="224E796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валовой продукции в соп. Ценах 1932 г.</w:t>
            </w:r>
          </w:p>
        </w:tc>
        <w:tc>
          <w:tcPr>
            <w:tcW w:w="1039" w:type="dxa"/>
          </w:tcPr>
          <w:p w14:paraId="3795467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498100</w:t>
            </w:r>
          </w:p>
        </w:tc>
        <w:tc>
          <w:tcPr>
            <w:tcW w:w="1039" w:type="dxa"/>
          </w:tcPr>
          <w:p w14:paraId="74BCB3A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304200</w:t>
            </w:r>
          </w:p>
        </w:tc>
        <w:tc>
          <w:tcPr>
            <w:tcW w:w="1039" w:type="dxa"/>
          </w:tcPr>
          <w:p w14:paraId="0644A32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296602</w:t>
            </w:r>
          </w:p>
        </w:tc>
        <w:tc>
          <w:tcPr>
            <w:tcW w:w="1039" w:type="dxa"/>
          </w:tcPr>
          <w:p w14:paraId="1234ADE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59,5</w:t>
            </w:r>
          </w:p>
        </w:tc>
        <w:tc>
          <w:tcPr>
            <w:tcW w:w="1039" w:type="dxa"/>
          </w:tcPr>
          <w:p w14:paraId="0A00EF8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97,5</w:t>
            </w:r>
          </w:p>
        </w:tc>
        <w:tc>
          <w:tcPr>
            <w:tcW w:w="1039" w:type="dxa"/>
          </w:tcPr>
          <w:p w14:paraId="60F2021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148,1</w:t>
            </w:r>
          </w:p>
        </w:tc>
        <w:tc>
          <w:tcPr>
            <w:tcW w:w="1039" w:type="dxa"/>
          </w:tcPr>
          <w:p w14:paraId="3F47AD8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200247</w:t>
            </w:r>
          </w:p>
        </w:tc>
      </w:tr>
      <w:tr w:rsidR="004E10C1" w:rsidRPr="0044524F" w14:paraId="114E6A37" w14:textId="77777777">
        <w:tc>
          <w:tcPr>
            <w:tcW w:w="3936" w:type="dxa"/>
          </w:tcPr>
          <w:p w14:paraId="71AAF9F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 списочн. числ. рабочих</w:t>
            </w:r>
          </w:p>
        </w:tc>
        <w:tc>
          <w:tcPr>
            <w:tcW w:w="1039" w:type="dxa"/>
          </w:tcPr>
          <w:p w14:paraId="4744FF5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77500</w:t>
            </w:r>
          </w:p>
        </w:tc>
        <w:tc>
          <w:tcPr>
            <w:tcW w:w="1039" w:type="dxa"/>
          </w:tcPr>
          <w:p w14:paraId="3D05129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74542</w:t>
            </w:r>
          </w:p>
        </w:tc>
        <w:tc>
          <w:tcPr>
            <w:tcW w:w="1039" w:type="dxa"/>
          </w:tcPr>
          <w:p w14:paraId="06A5E340"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62742</w:t>
            </w:r>
          </w:p>
        </w:tc>
        <w:tc>
          <w:tcPr>
            <w:tcW w:w="1039" w:type="dxa"/>
          </w:tcPr>
          <w:p w14:paraId="250BC5E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80,9</w:t>
            </w:r>
          </w:p>
        </w:tc>
        <w:tc>
          <w:tcPr>
            <w:tcW w:w="1039" w:type="dxa"/>
          </w:tcPr>
          <w:p w14:paraId="4FB4C700"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84,2</w:t>
            </w:r>
          </w:p>
        </w:tc>
        <w:tc>
          <w:tcPr>
            <w:tcW w:w="1039" w:type="dxa"/>
          </w:tcPr>
          <w:p w14:paraId="654323C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112,7</w:t>
            </w:r>
          </w:p>
        </w:tc>
        <w:tc>
          <w:tcPr>
            <w:tcW w:w="1039" w:type="dxa"/>
          </w:tcPr>
          <w:p w14:paraId="5BC0DF9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55664</w:t>
            </w:r>
          </w:p>
        </w:tc>
      </w:tr>
      <w:tr w:rsidR="004E10C1" w:rsidRPr="0044524F" w14:paraId="1EFDB8FC" w14:textId="77777777">
        <w:tc>
          <w:tcPr>
            <w:tcW w:w="3936" w:type="dxa"/>
          </w:tcPr>
          <w:p w14:paraId="084D88F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 месячн. выработка раб.</w:t>
            </w:r>
          </w:p>
        </w:tc>
        <w:tc>
          <w:tcPr>
            <w:tcW w:w="1039" w:type="dxa"/>
          </w:tcPr>
          <w:p w14:paraId="218C1C1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535,5</w:t>
            </w:r>
          </w:p>
        </w:tc>
        <w:tc>
          <w:tcPr>
            <w:tcW w:w="1039" w:type="dxa"/>
          </w:tcPr>
          <w:p w14:paraId="171D4B5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510,1</w:t>
            </w:r>
          </w:p>
        </w:tc>
        <w:tc>
          <w:tcPr>
            <w:tcW w:w="1039" w:type="dxa"/>
          </w:tcPr>
          <w:p w14:paraId="59E0CF1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590,9</w:t>
            </w:r>
          </w:p>
        </w:tc>
        <w:tc>
          <w:tcPr>
            <w:tcW w:w="1039" w:type="dxa"/>
          </w:tcPr>
          <w:p w14:paraId="2075171F"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110,3</w:t>
            </w:r>
          </w:p>
        </w:tc>
        <w:tc>
          <w:tcPr>
            <w:tcW w:w="1039" w:type="dxa"/>
          </w:tcPr>
          <w:p w14:paraId="4704C678"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115,8</w:t>
            </w:r>
          </w:p>
        </w:tc>
        <w:tc>
          <w:tcPr>
            <w:tcW w:w="1039" w:type="dxa"/>
          </w:tcPr>
          <w:p w14:paraId="1D3ECB01"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131,4</w:t>
            </w:r>
          </w:p>
        </w:tc>
        <w:tc>
          <w:tcPr>
            <w:tcW w:w="1039" w:type="dxa"/>
          </w:tcPr>
          <w:p w14:paraId="0CFE9DF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449,7</w:t>
            </w:r>
          </w:p>
        </w:tc>
      </w:tr>
      <w:tr w:rsidR="004E10C1" w:rsidRPr="0044524F" w14:paraId="7ED5F757" w14:textId="77777777">
        <w:tc>
          <w:tcPr>
            <w:tcW w:w="3936" w:type="dxa"/>
          </w:tcPr>
          <w:p w14:paraId="06AE694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 месячн. зарплата раб.</w:t>
            </w:r>
          </w:p>
        </w:tc>
        <w:tc>
          <w:tcPr>
            <w:tcW w:w="1039" w:type="dxa"/>
          </w:tcPr>
          <w:p w14:paraId="6C087D9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168,3</w:t>
            </w:r>
          </w:p>
        </w:tc>
        <w:tc>
          <w:tcPr>
            <w:tcW w:w="1039" w:type="dxa"/>
          </w:tcPr>
          <w:p w14:paraId="1CC6CC5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tc>
        <w:tc>
          <w:tcPr>
            <w:tcW w:w="1039" w:type="dxa"/>
          </w:tcPr>
          <w:p w14:paraId="11991DC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160,3</w:t>
            </w:r>
          </w:p>
        </w:tc>
        <w:tc>
          <w:tcPr>
            <w:tcW w:w="1039" w:type="dxa"/>
          </w:tcPr>
          <w:p w14:paraId="3A178F9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95,2</w:t>
            </w:r>
          </w:p>
        </w:tc>
        <w:tc>
          <w:tcPr>
            <w:tcW w:w="1039" w:type="dxa"/>
          </w:tcPr>
          <w:p w14:paraId="34ED68B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97,1</w:t>
            </w:r>
          </w:p>
        </w:tc>
        <w:tc>
          <w:tcPr>
            <w:tcW w:w="1039" w:type="dxa"/>
          </w:tcPr>
          <w:p w14:paraId="12D6A61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110,8</w:t>
            </w:r>
          </w:p>
        </w:tc>
        <w:tc>
          <w:tcPr>
            <w:tcW w:w="1039" w:type="dxa"/>
          </w:tcPr>
          <w:p w14:paraId="4FAEC55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144,6</w:t>
            </w:r>
          </w:p>
        </w:tc>
      </w:tr>
      <w:tr w:rsidR="004E10C1" w:rsidRPr="0044524F" w14:paraId="0CFAAFF7" w14:textId="77777777">
        <w:tc>
          <w:tcPr>
            <w:tcW w:w="3936" w:type="dxa"/>
            <w:tcBorders>
              <w:bottom w:val="single" w:sz="12" w:space="0" w:color="auto"/>
            </w:tcBorders>
          </w:tcPr>
          <w:p w14:paraId="717EC92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Фонды заорплаты всех работающих на заводах</w:t>
            </w:r>
          </w:p>
        </w:tc>
        <w:tc>
          <w:tcPr>
            <w:tcW w:w="1039" w:type="dxa"/>
            <w:tcBorders>
              <w:bottom w:val="single" w:sz="12" w:space="0" w:color="auto"/>
            </w:tcBorders>
          </w:tcPr>
          <w:p w14:paraId="27F7C37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229761</w:t>
            </w:r>
          </w:p>
        </w:tc>
        <w:tc>
          <w:tcPr>
            <w:tcW w:w="1039" w:type="dxa"/>
            <w:tcBorders>
              <w:bottom w:val="single" w:sz="12" w:space="0" w:color="auto"/>
            </w:tcBorders>
          </w:tcPr>
          <w:p w14:paraId="6711C40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147862</w:t>
            </w:r>
          </w:p>
        </w:tc>
        <w:tc>
          <w:tcPr>
            <w:tcW w:w="1039" w:type="dxa"/>
            <w:tcBorders>
              <w:bottom w:val="single" w:sz="12" w:space="0" w:color="auto"/>
            </w:tcBorders>
          </w:tcPr>
          <w:p w14:paraId="2F99412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127927</w:t>
            </w:r>
          </w:p>
        </w:tc>
        <w:tc>
          <w:tcPr>
            <w:tcW w:w="1039" w:type="dxa"/>
            <w:tcBorders>
              <w:bottom w:val="single" w:sz="12" w:space="0" w:color="auto"/>
            </w:tcBorders>
          </w:tcPr>
          <w:p w14:paraId="2565CA3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55,7</w:t>
            </w:r>
          </w:p>
        </w:tc>
        <w:tc>
          <w:tcPr>
            <w:tcW w:w="1039" w:type="dxa"/>
            <w:tcBorders>
              <w:bottom w:val="single" w:sz="12" w:space="0" w:color="auto"/>
            </w:tcBorders>
          </w:tcPr>
          <w:p w14:paraId="4D0A7CC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86,5</w:t>
            </w:r>
          </w:p>
        </w:tc>
        <w:tc>
          <w:tcPr>
            <w:tcW w:w="1039" w:type="dxa"/>
            <w:tcBorders>
              <w:bottom w:val="single" w:sz="12" w:space="0" w:color="auto"/>
            </w:tcBorders>
          </w:tcPr>
          <w:p w14:paraId="266213B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125,7</w:t>
            </w:r>
          </w:p>
        </w:tc>
        <w:tc>
          <w:tcPr>
            <w:tcW w:w="1039" w:type="dxa"/>
            <w:tcBorders>
              <w:bottom w:val="single" w:sz="12" w:space="0" w:color="auto"/>
            </w:tcBorders>
          </w:tcPr>
          <w:p w14:paraId="1B9A63F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101783</w:t>
            </w:r>
          </w:p>
        </w:tc>
      </w:tr>
    </w:tbl>
    <w:p w14:paraId="083D3C0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(4149,25).</w:t>
      </w:r>
    </w:p>
    <w:p w14:paraId="30355D5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p w14:paraId="0A4BC42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сентября 1933 в Иркутск прибыл С.А.Леваневский на Дорнье-Валь СССР Н-9, который отправился на помощь Маттерну из Севастополя и долетел до Хабаровска, а оттуда - до Анадыря на Чукотке и доставил Маттерна в Ном, а потом слетал на о. Врангеля (99,195).</w:t>
      </w:r>
    </w:p>
    <w:p w14:paraId="17B0E051"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79A363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сентября 1933 СССР-Н8 прибыл в Иркутск, где экипаж сдал его в авиаремонтные мастерские Аэрофлота. Налет за год составил 222 часа, пройденное расстояние - свыше 37000 км (11970).</w:t>
      </w:r>
    </w:p>
    <w:p w14:paraId="721F2EC0"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1517A4E" w14:textId="77777777" w:rsidR="0025433E" w:rsidRPr="0044524F" w:rsidRDefault="00071897"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24 сентября 1933 г.</w:t>
      </w:r>
      <w:r w:rsidR="0025433E" w:rsidRPr="0044524F">
        <w:rPr>
          <w:rFonts w:ascii="Times New Roman" w:eastAsia="Times New Roman" w:hAnsi="Times New Roman"/>
          <w:bCs/>
          <w:color w:val="000000" w:themeColor="text1"/>
          <w:sz w:val="16"/>
          <w:szCs w:val="16"/>
          <w:lang w:eastAsia="ru-RU"/>
        </w:rPr>
        <w:t xml:space="preserve">Каганович, Молотов — Сталину </w:t>
      </w:r>
    </w:p>
    <w:p w14:paraId="1DCDD43C" w14:textId="77777777" w:rsidR="0025433E" w:rsidRPr="0044524F" w:rsidRDefault="0025433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Шифровка.</w:t>
      </w:r>
    </w:p>
    <w:p w14:paraId="7C53C9BA" w14:textId="77777777" w:rsidR="0025433E" w:rsidRPr="0044524F" w:rsidRDefault="0025433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Из Москвы 24/IX — 33 г. в 15 час. 57 мин.</w:t>
      </w:r>
    </w:p>
    <w:p w14:paraId="356ECCCC" w14:textId="77777777" w:rsidR="0025433E" w:rsidRPr="0044524F" w:rsidRDefault="0025433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Вх. № 42.</w:t>
      </w:r>
    </w:p>
    <w:p w14:paraId="76B37B0F" w14:textId="77777777" w:rsidR="0025433E" w:rsidRPr="0044524F" w:rsidRDefault="0025433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Тов. Сталину. Бельмаус</w:t>
      </w:r>
      <w:r w:rsidRPr="0044524F">
        <w:rPr>
          <w:rFonts w:ascii="Times New Roman" w:eastAsia="Times New Roman" w:hAnsi="Times New Roman"/>
          <w:color w:val="000000" w:themeColor="text1"/>
          <w:sz w:val="16"/>
          <w:szCs w:val="16"/>
          <w:vertAlign w:val="superscript"/>
          <w:lang w:eastAsia="ru-RU"/>
        </w:rPr>
        <w:t>1</w:t>
      </w:r>
      <w:r w:rsidRPr="0044524F">
        <w:rPr>
          <w:rFonts w:ascii="Times New Roman" w:eastAsia="Times New Roman" w:hAnsi="Times New Roman"/>
          <w:color w:val="000000" w:themeColor="text1"/>
          <w:sz w:val="16"/>
          <w:szCs w:val="16"/>
          <w:lang w:eastAsia="ru-RU"/>
        </w:rPr>
        <w:t xml:space="preserve"> — латвийский посланник в неофициальном порядке, через тов. Лоренса (бывш. полпреда в Латвии) зондировал наше отношение к возможному предложению латвийского правительства разрешить прилет латвийской эскадрильи в Москву.</w:t>
      </w:r>
    </w:p>
    <w:p w14:paraId="5E84DD31" w14:textId="77777777" w:rsidR="0025433E" w:rsidRPr="0044524F" w:rsidRDefault="0025433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Наркоминдельцы считают целесообразным ответить латвийскому посланнику тем же неофициальным порядком, что если со стороны Латвии поступит официальное предложение — оно будет принято благоприятно.</w:t>
      </w:r>
    </w:p>
    <w:p w14:paraId="2A268CA0" w14:textId="77777777" w:rsidR="0025433E" w:rsidRPr="0044524F" w:rsidRDefault="0025433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Литвинов считает возможным на прилет латвийской эскадрильи ответить соответствующим нашим полетом в Латвию и что такой обмен «воздушными визитами» не только содействовал бы установлению связи с латвийской армией, но оказал бы также благоприятное влияние и на наши политические отношения с Латвией.</w:t>
      </w:r>
    </w:p>
    <w:p w14:paraId="23ED9837" w14:textId="77777777" w:rsidR="0025433E" w:rsidRPr="0044524F" w:rsidRDefault="0025433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Мы считаем предложение Литвинова приемлемым. Просим сообщить ваше мнение</w:t>
      </w:r>
      <w:r w:rsidRPr="0044524F">
        <w:rPr>
          <w:rFonts w:ascii="Times New Roman" w:eastAsia="Times New Roman" w:hAnsi="Times New Roman"/>
          <w:color w:val="000000" w:themeColor="text1"/>
          <w:sz w:val="16"/>
          <w:szCs w:val="16"/>
          <w:vertAlign w:val="superscript"/>
          <w:lang w:eastAsia="ru-RU"/>
        </w:rPr>
        <w:t>2</w:t>
      </w:r>
      <w:r w:rsidRPr="0044524F">
        <w:rPr>
          <w:rFonts w:ascii="Times New Roman" w:eastAsia="Times New Roman" w:hAnsi="Times New Roman"/>
          <w:color w:val="000000" w:themeColor="text1"/>
          <w:sz w:val="16"/>
          <w:szCs w:val="16"/>
          <w:lang w:eastAsia="ru-RU"/>
        </w:rPr>
        <w:t>. HP 44.</w:t>
      </w:r>
    </w:p>
    <w:p w14:paraId="6CF53165" w14:textId="77777777" w:rsidR="0025433E" w:rsidRPr="0044524F" w:rsidRDefault="0025433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Каганович, Молотов.</w:t>
      </w:r>
    </w:p>
    <w:p w14:paraId="1574F178" w14:textId="77777777" w:rsidR="0025433E" w:rsidRPr="0044524F" w:rsidRDefault="0025433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Ф. 558. On. 11. Д. 81. Л. 53. Подлинник. Машинопись.</w:t>
      </w:r>
    </w:p>
    <w:p w14:paraId="42605326" w14:textId="77777777" w:rsidR="0025433E" w:rsidRPr="0044524F" w:rsidRDefault="0025433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vertAlign w:val="superscript"/>
          <w:lang w:eastAsia="ru-RU"/>
        </w:rPr>
        <w:t>1</w:t>
      </w:r>
      <w:r w:rsidRPr="0044524F">
        <w:rPr>
          <w:rFonts w:ascii="Times New Roman" w:eastAsia="Times New Roman" w:hAnsi="Times New Roman"/>
          <w:color w:val="000000" w:themeColor="text1"/>
          <w:sz w:val="16"/>
          <w:szCs w:val="16"/>
          <w:lang w:eastAsia="ru-RU"/>
        </w:rPr>
        <w:t xml:space="preserve"> Правильно — Бильманис.</w:t>
      </w:r>
    </w:p>
    <w:p w14:paraId="0462A862" w14:textId="77777777" w:rsidR="0025433E" w:rsidRPr="0044524F" w:rsidRDefault="0025433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vertAlign w:val="superscript"/>
          <w:lang w:eastAsia="ru-RU"/>
        </w:rPr>
        <w:t>2</w:t>
      </w:r>
      <w:r w:rsidRPr="0044524F">
        <w:rPr>
          <w:rFonts w:ascii="Times New Roman" w:eastAsia="Times New Roman" w:hAnsi="Times New Roman"/>
          <w:color w:val="000000" w:themeColor="text1"/>
          <w:sz w:val="16"/>
          <w:szCs w:val="16"/>
          <w:lang w:eastAsia="ru-RU"/>
        </w:rPr>
        <w:t xml:space="preserve"> 25 сентября шифром из Гагры в 1 час. 55 мин. Сталин ответил согласием (Там же. Л. 52). 26 сентября 1933 г. ПБ утвердило предложение Литвинова (РГАСПИ. Ф. 17. Оп. 162. Д. 15. Л. 84) (17281).</w:t>
      </w:r>
    </w:p>
    <w:p w14:paraId="57E26754" w14:textId="77777777" w:rsidR="0025433E" w:rsidRPr="0044524F" w:rsidRDefault="0025433E" w:rsidP="009654CF">
      <w:pPr>
        <w:spacing w:after="0" w:line="240" w:lineRule="auto"/>
        <w:jc w:val="both"/>
        <w:rPr>
          <w:rFonts w:ascii="Times New Roman" w:hAnsi="Times New Roman"/>
          <w:color w:val="000000" w:themeColor="text1"/>
          <w:sz w:val="16"/>
          <w:szCs w:val="16"/>
        </w:rPr>
      </w:pPr>
    </w:p>
    <w:p w14:paraId="23A2F668" w14:textId="77777777" w:rsidR="003F239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DD3B50B" w14:textId="77777777" w:rsidR="003F2394" w:rsidRPr="0044524F" w:rsidRDefault="003F2394" w:rsidP="009654CF">
      <w:pPr>
        <w:spacing w:after="0" w:line="240" w:lineRule="auto"/>
        <w:jc w:val="both"/>
        <w:rPr>
          <w:rFonts w:ascii="Times New Roman" w:hAnsi="Times New Roman"/>
          <w:iCs/>
          <w:color w:val="000000" w:themeColor="text1"/>
          <w:sz w:val="16"/>
          <w:szCs w:val="16"/>
        </w:rPr>
      </w:pPr>
    </w:p>
    <w:p w14:paraId="7DD548D9" w14:textId="77777777" w:rsidR="00071897" w:rsidRPr="0044524F" w:rsidRDefault="00071897" w:rsidP="009654CF">
      <w:pPr>
        <w:pStyle w:val="rtejustify"/>
        <w:spacing w:before="0" w:after="0"/>
        <w:rPr>
          <w:color w:val="000000" w:themeColor="text1"/>
          <w:sz w:val="16"/>
          <w:szCs w:val="16"/>
        </w:rPr>
      </w:pPr>
      <w:r w:rsidRPr="0044524F">
        <w:rPr>
          <w:bCs/>
          <w:color w:val="000000" w:themeColor="text1"/>
          <w:sz w:val="16"/>
          <w:szCs w:val="16"/>
        </w:rPr>
        <w:t>24 сентября [1933 г.] Каганович — Сталину</w:t>
      </w:r>
    </w:p>
    <w:p w14:paraId="7A58B593"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24/IX</w:t>
      </w:r>
    </w:p>
    <w:p w14:paraId="383AB546" w14:textId="77777777" w:rsidR="003F2394" w:rsidRPr="0044524F" w:rsidRDefault="003F2394" w:rsidP="009654CF">
      <w:pPr>
        <w:pStyle w:val="rtecenter"/>
        <w:spacing w:before="0" w:after="0"/>
        <w:jc w:val="both"/>
        <w:rPr>
          <w:color w:val="000000" w:themeColor="text1"/>
          <w:sz w:val="16"/>
          <w:szCs w:val="16"/>
        </w:rPr>
      </w:pPr>
      <w:r w:rsidRPr="0044524F">
        <w:rPr>
          <w:color w:val="000000" w:themeColor="text1"/>
          <w:sz w:val="16"/>
          <w:szCs w:val="16"/>
        </w:rPr>
        <w:t>Здравствуйте, Дорогой т. Сталин!</w:t>
      </w:r>
    </w:p>
    <w:p w14:paraId="3F49156C"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1) В связи с вашим указанием о проверке выполнения военных заказов мы собрали Комиссию обороны и заслушали сообщения по всем отраслям военной промышленности. Выяснилось, что выполнение программы идет неудовлетворительно. Всего подлежало сдаче военному ведомству за 8 м[есяце]в 2251 самолет, а сдано 1629 или 72% плана. НКТяжпром оспаривает эти цифры, но если даже взять их цифры, и то получается 80% плана. По танкам цифры НКВоенмора резко расходятся с цифрами НКТяжпрома, ибо НКВоен не считает сданные танки задела 1932 г., но и здесь, если даже взять цифры НКТяжпрома, и то неудовлетворительно. Хуже всего идет выполнение по артиллерии, как по пушкам, так и по боеприпасам. Мы после обмена мнениями дали для подработки вопроса ряд дополнительных поручений по авиации, танкам, артиллерии и назначили следующее заседание на 29 с вызовом директоров заводов для соответствующего «благословения»…</w:t>
      </w:r>
    </w:p>
    <w:p w14:paraId="71C7A5A6"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4) Ставят опять вопрос о разрешении ездить по СССР иностранным корреспондентам. Может быть действительно можно, оставляя порядок выдачи разрешений в каждом конкретном случае, допускать более частые выезды корреспондентов. Прошу вас сообщить ваше мнение.</w:t>
      </w:r>
    </w:p>
    <w:p w14:paraId="132AD435"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5) О КВЖД мы по получении от вас исправленную директиву Юреневу послали ее, одновременно, так как т. Сокольников, хотя и без поручения, сделал это заявление Оте, мы опубликовали это заявление назавтра же в нашей печати. Вышло это очень кстати, потому что с заявлением Юренева получилось неладно из-за безобразной ошибки шифротдела НКИД. Дело в том, что шифровка была передана в два приема, но после первой части не было написано «продолжение следует», а наш «догадливый» посол, получив эту, как он сам пишет странную телеграмму, пошел к Хироте и заявил ему то, что было в 1-ой части. Назавтра ему пришлось идти еще раз и уже заявлять полностью. Мы поручили Ягоде расследовать и он установил, что виноват шифротдел НКИД. Троих мы постановили посадить на 10 дней, одного сняли с работы. Вчера мы редактировали статьи и заметки в печать. Сегодня получились сообщения, что в Харбине арестованы 2 нач[альника] служб Калина и Кубли и 2 нач[альника] станции Маньчжурия и Пограничная. Мы дали директиву, чтобы Рудый немедленно назначил других советских же людей. Славуцкий заявил протест.</w:t>
      </w:r>
    </w:p>
    <w:p w14:paraId="6D1BB551"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О дальнейшем будем вам немедленно же сообщать.</w:t>
      </w:r>
    </w:p>
    <w:p w14:paraId="5B07C9E1"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Привет. Ваш Л.Каганович.</w:t>
      </w:r>
    </w:p>
    <w:p w14:paraId="54D8947A"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РГАСПИ Ф. 558. Oп. 11. Д. 741. Л. 63^71. Автограф. </w:t>
      </w:r>
    </w:p>
    <w:p w14:paraId="13C50110"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Сталин и Каганович. Переписка. 1931–1936 гг. Москва: (РОССПЭН), 2001 Стр. 360-361 (12322).</w:t>
      </w:r>
    </w:p>
    <w:p w14:paraId="07C67624" w14:textId="77777777" w:rsidR="00D51832" w:rsidRPr="0044524F" w:rsidRDefault="00D51832" w:rsidP="009654CF">
      <w:pPr>
        <w:spacing w:after="0" w:line="240" w:lineRule="auto"/>
        <w:jc w:val="both"/>
        <w:rPr>
          <w:rFonts w:ascii="Times New Roman" w:hAnsi="Times New Roman"/>
          <w:iCs/>
          <w:color w:val="000000" w:themeColor="text1"/>
          <w:sz w:val="16"/>
          <w:szCs w:val="16"/>
        </w:rPr>
      </w:pPr>
    </w:p>
    <w:p w14:paraId="63AF06D0"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CA53B32"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79DCBAA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с-т К-7:</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0B419E16" w14:textId="77777777">
        <w:tc>
          <w:tcPr>
            <w:tcW w:w="1384" w:type="dxa"/>
            <w:tcBorders>
              <w:top w:val="single" w:sz="12" w:space="0" w:color="auto"/>
            </w:tcBorders>
          </w:tcPr>
          <w:p w14:paraId="23F0F86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6E7549C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249C150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2DFC78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2DF61D9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55D9453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20C66888" w14:textId="77777777">
        <w:tc>
          <w:tcPr>
            <w:tcW w:w="1384" w:type="dxa"/>
            <w:tcBorders>
              <w:bottom w:val="single" w:sz="12" w:space="0" w:color="auto"/>
            </w:tcBorders>
          </w:tcPr>
          <w:p w14:paraId="6F5A6790" w14:textId="77777777" w:rsidR="0007455B" w:rsidRPr="0044524F" w:rsidRDefault="0007455B" w:rsidP="009654CF">
            <w:pPr>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rPr>
              <w:t>25 сентября 1933</w:t>
            </w:r>
          </w:p>
        </w:tc>
        <w:tc>
          <w:tcPr>
            <w:tcW w:w="2410" w:type="dxa"/>
            <w:tcBorders>
              <w:bottom w:val="single" w:sz="12" w:space="0" w:color="auto"/>
            </w:tcBorders>
          </w:tcPr>
          <w:p w14:paraId="7A43FAA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Третий полет с целью проверки рулей поворота после увеличения углов их отклонения и изучение вопроса о колебаниях и вибрациях</w:t>
            </w:r>
          </w:p>
        </w:tc>
        <w:tc>
          <w:tcPr>
            <w:tcW w:w="1089" w:type="dxa"/>
            <w:tcBorders>
              <w:bottom w:val="single" w:sz="12" w:space="0" w:color="auto"/>
            </w:tcBorders>
          </w:tcPr>
          <w:p w14:paraId="1CF3652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- 0:10</w:t>
            </w:r>
          </w:p>
          <w:p w14:paraId="407D7C7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- 1:14</w:t>
            </w:r>
          </w:p>
          <w:p w14:paraId="291BAFA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- 0:27</w:t>
            </w:r>
          </w:p>
        </w:tc>
        <w:tc>
          <w:tcPr>
            <w:tcW w:w="3447" w:type="dxa"/>
            <w:tcBorders>
              <w:bottom w:val="single" w:sz="12" w:space="0" w:color="auto"/>
            </w:tcBorders>
          </w:tcPr>
          <w:p w14:paraId="262E60C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Отрыв от земли на скорости 100 км.</w:t>
            </w:r>
          </w:p>
          <w:p w14:paraId="5C43743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полета 300 м, скорость до 170 км/час</w:t>
            </w:r>
          </w:p>
          <w:p w14:paraId="22CECF4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колебаний хвостовой части</w:t>
            </w:r>
          </w:p>
          <w:p w14:paraId="72F2BA7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на действия рулей реагирует, но недостаточно</w:t>
            </w:r>
          </w:p>
        </w:tc>
        <w:tc>
          <w:tcPr>
            <w:tcW w:w="1776" w:type="dxa"/>
            <w:tcBorders>
              <w:bottom w:val="single" w:sz="12" w:space="0" w:color="auto"/>
            </w:tcBorders>
          </w:tcPr>
          <w:p w14:paraId="64E7979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Занос с-та при старте влево (устранено)</w:t>
            </w:r>
          </w:p>
          <w:p w14:paraId="23AF05D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Действие рулей с-та - несколько слабее нормального.</w:t>
            </w:r>
          </w:p>
          <w:p w14:paraId="0C7F293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 положительный угол стабилизатора (устранено)</w:t>
            </w:r>
          </w:p>
          <w:p w14:paraId="055C503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Течь радиатора третьего правого мотора (устранена)</w:t>
            </w:r>
          </w:p>
          <w:p w14:paraId="417CFFE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Недостаточны углы отклонения серворулей поворота (устранено)</w:t>
            </w:r>
          </w:p>
        </w:tc>
        <w:tc>
          <w:tcPr>
            <w:tcW w:w="1105" w:type="dxa"/>
            <w:tcBorders>
              <w:bottom w:val="single" w:sz="12" w:space="0" w:color="auto"/>
            </w:tcBorders>
          </w:tcPr>
          <w:p w14:paraId="737313AA"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r>
    </w:tbl>
    <w:p w14:paraId="76A4E1F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2E7E12FB"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5AAF50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ТБ-4 6М-34 был сдан на гос. испытания (2287,145).</w:t>
      </w:r>
    </w:p>
    <w:p w14:paraId="7A87298A"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E519A1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25 сентября по 14 ноября 1933 прототип И-14 (АНТ-31) опять дорабатывали (1454,25).</w:t>
      </w:r>
    </w:p>
    <w:p w14:paraId="0B90D05A"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4D95D36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была достигнута скорость 332 км/ч на АИР-7 (212,19). Контролером летал К.Кривицкий и мотор мог дать еще 80 оборотов (1771,7).</w:t>
      </w:r>
    </w:p>
    <w:p w14:paraId="07DCE86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это произошло только весной 1934</w:t>
      </w:r>
    </w:p>
    <w:p w14:paraId="40CD3952"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C1CE093" w14:textId="77777777" w:rsidR="009E4F90" w:rsidRPr="0044524F" w:rsidRDefault="009E4F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АИР-7 снова был в центре внимания. В этот день, утром и вечером, летчик Пионтковский совершил на нем два полета, установив новый национальный рекорд скорости — 332 км/ч. При этом мотор еще недобрал 80 оборотов. Скорость зафиксировал летевший в качестве контролера инженер К. Кривицкий. Испытания на скороподъемность также дали рекордные результаты. Как и год назад, «Правда» сообщала: «АИР-7 — большая победа советской авиации. Новый рекорд скорости.. . Площадка для взлета и посадки АИ Р-7 требуется самая незначительная, так как разбег при взлете и пробег при посадке не превышают 150 м» (15447).</w:t>
      </w:r>
    </w:p>
    <w:p w14:paraId="1AE01C74" w14:textId="77777777" w:rsidR="009E4F90" w:rsidRPr="0044524F" w:rsidRDefault="009E4F90" w:rsidP="009654CF">
      <w:pPr>
        <w:spacing w:after="0" w:line="240" w:lineRule="auto"/>
        <w:jc w:val="both"/>
        <w:rPr>
          <w:rFonts w:ascii="Times New Roman" w:hAnsi="Times New Roman"/>
          <w:color w:val="000000" w:themeColor="text1"/>
          <w:sz w:val="16"/>
          <w:szCs w:val="16"/>
        </w:rPr>
      </w:pPr>
    </w:p>
    <w:p w14:paraId="22B058B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года Главный инженер вооружения Коннарт утвердил Отчет Об испытании снарядов АПК-4 бис (изготовления ОКБ N 1 - ГАУ) на перевозку</w:t>
      </w:r>
    </w:p>
    <w:p w14:paraId="6247743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производились на участке Москва-Переславль.</w:t>
      </w:r>
    </w:p>
    <w:p w14:paraId="6A431E4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проводились работниками НИИ ВВС:</w:t>
      </w:r>
    </w:p>
    <w:p w14:paraId="2BEC722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28E3905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возможность перевозки снарядов АПК-76,2 автотранспортом.</w:t>
      </w:r>
    </w:p>
    <w:p w14:paraId="3D253B7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проводились путем перевозки стержневых и шрапнельных патрон весом 3,030 кг по шоссе на трехосном автомобиле "Форд".</w:t>
      </w:r>
    </w:p>
    <w:p w14:paraId="5867003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02815DB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слабую упаковку, патроны АПК-4 бис перевозку по шоссе, автотранспортом переносить могут (3903,109-111).</w:t>
      </w:r>
    </w:p>
    <w:p w14:paraId="37F3D286"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FE0314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поплавковый Локхид "Орион" Линдберга приводнился на Москве-реке в районе водного стадиона "Динамо". После трехдневного пребывания в советской столице 29 сентября чета Линдбергов стартовала в обратный путь (11941).</w:t>
      </w:r>
    </w:p>
    <w:p w14:paraId="76CE5B88"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1BCE664" w14:textId="77777777" w:rsidR="00247A63" w:rsidRPr="00142305" w:rsidRDefault="00247A63" w:rsidP="00247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сентября 1933 г. Москву посетил зна</w:t>
      </w:r>
      <w:r w:rsidRPr="00142305">
        <w:rPr>
          <w:rFonts w:ascii="Times New Roman" w:hAnsi="Times New Roman"/>
          <w:color w:val="0070C0"/>
          <w:sz w:val="16"/>
          <w:szCs w:val="16"/>
        </w:rPr>
        <w:softHyphen/>
        <w:t>менитый американский летчик Ч. Линд</w:t>
      </w:r>
      <w:r w:rsidRPr="00142305">
        <w:rPr>
          <w:rFonts w:ascii="Times New Roman" w:hAnsi="Times New Roman"/>
          <w:color w:val="0070C0"/>
          <w:sz w:val="16"/>
          <w:szCs w:val="16"/>
        </w:rPr>
        <w:softHyphen/>
        <w:t>берг, впервые в одиночку перелетевший Атлантический океан. Он прибыл на са</w:t>
      </w:r>
      <w:r w:rsidRPr="00142305">
        <w:rPr>
          <w:rFonts w:ascii="Times New Roman" w:hAnsi="Times New Roman"/>
          <w:color w:val="0070C0"/>
          <w:sz w:val="16"/>
          <w:szCs w:val="16"/>
        </w:rPr>
        <w:softHyphen/>
        <w:t>молете Локхид «Сириус», установленном на поплавки. Советский летчик Возницкий встретил его на АИР-6А на подлете к го</w:t>
      </w:r>
      <w:r w:rsidRPr="00142305">
        <w:rPr>
          <w:rFonts w:ascii="Times New Roman" w:hAnsi="Times New Roman"/>
          <w:color w:val="0070C0"/>
          <w:sz w:val="16"/>
          <w:szCs w:val="16"/>
        </w:rPr>
        <w:softHyphen/>
        <w:t>роду довел до центра и указал место посадки на Москве-реке, приводнившись первым (24945).</w:t>
      </w:r>
    </w:p>
    <w:p w14:paraId="36DF4838" w14:textId="77777777" w:rsidR="00247A63" w:rsidRPr="00142305" w:rsidRDefault="00247A63" w:rsidP="00247A63">
      <w:pPr>
        <w:spacing w:after="0" w:line="240" w:lineRule="auto"/>
        <w:jc w:val="both"/>
        <w:rPr>
          <w:rFonts w:ascii="Times New Roman" w:hAnsi="Times New Roman"/>
          <w:color w:val="0070C0"/>
          <w:sz w:val="16"/>
          <w:szCs w:val="16"/>
        </w:rPr>
      </w:pPr>
    </w:p>
    <w:p w14:paraId="2EE26788" w14:textId="77777777" w:rsidR="00247A63" w:rsidRPr="00142305" w:rsidRDefault="00247A63" w:rsidP="00247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октября 1933 г. Локхид «Орион» с супружеской парой Линдбергов после двухдневного пребывания в русской «северной столице» (22-24 сентября.) прибывает в Москву садится на гладь Москвы-реки в районе водного стадиона «Динамо». Трибуны заполнены ликующими москвичами. Гостям устраивают восторженную встречу. Газеты взахлеб восхищаются отважным пилотом и его дражайшей половиной, рискнувшими преодолеть сухопутный участок трассы Ленинград — Москва на гидросамолете.</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Стартовав 9 июля 1933 года из Нью-Йорка, Линдберг следует на север через Ньюфаундленд и Лабрадор к Гренландии. Далее путь лежит через Исландию, Фарерские острова в Копенгаген, Стокгольм и Гельсинфорс (Хельсинки). Во всех обозначенных пунктах делаются посадки для отдыха и пополнения запаса топлива.</w:t>
      </w:r>
    </w:p>
    <w:p w14:paraId="3EAAA86B" w14:textId="77777777" w:rsidR="00247A63" w:rsidRPr="00142305" w:rsidRDefault="00247A63" w:rsidP="00247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29 октября взяли курс к Балтийскому морю. Путь пролегал через Таллин и Осло на Англию, далее следовал Париж, Амстердам, Женева, Лиссабон. Посетив Азорские, Канарские острова и острова Зеленого мыса, самолет из Гамбии перелетел за 16 часов через Атлантику и прибыл в бразильский порт Наталь. Далее путь пролегал через Бразилию вверх по Амазонке, Тринидад, Пуэрто-Рико, Флориду, Чарльстон к исходному пункту перелета.</w:t>
      </w:r>
    </w:p>
    <w:p w14:paraId="340BECCF" w14:textId="77777777" w:rsidR="00247A63" w:rsidRPr="00142305" w:rsidRDefault="00247A63" w:rsidP="00247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чета Линдбергов преодолела за 200 с небольшим летных часов 47 тысяч километров, посетила 31 страну, совершив при этом 41 остановку. Самолет Локхид «Орион» был подарен впоследствии музею Американской естественной истории в Нью-Йорке. Сохранился сей замечательный аппарат по сей день (25358).</w:t>
      </w:r>
    </w:p>
    <w:p w14:paraId="4888962B" w14:textId="77777777" w:rsidR="00247A63" w:rsidRPr="00142305" w:rsidRDefault="00247A63" w:rsidP="00247A63">
      <w:pPr>
        <w:spacing w:after="0" w:line="240" w:lineRule="auto"/>
        <w:jc w:val="both"/>
        <w:rPr>
          <w:rFonts w:ascii="Times New Roman" w:hAnsi="Times New Roman"/>
          <w:color w:val="0070C0"/>
          <w:sz w:val="16"/>
          <w:szCs w:val="16"/>
        </w:rPr>
      </w:pPr>
    </w:p>
    <w:p w14:paraId="659A7733" w14:textId="77777777" w:rsidR="009E4F90"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1DBD709" w14:textId="77777777" w:rsidR="009E4F90" w:rsidRPr="0044524F" w:rsidRDefault="009E4F90" w:rsidP="009654CF">
      <w:pPr>
        <w:spacing w:after="0" w:line="240" w:lineRule="auto"/>
        <w:jc w:val="both"/>
        <w:rPr>
          <w:rFonts w:ascii="Times New Roman" w:hAnsi="Times New Roman"/>
          <w:iCs/>
          <w:color w:val="000000" w:themeColor="text1"/>
          <w:sz w:val="16"/>
          <w:szCs w:val="16"/>
        </w:rPr>
      </w:pPr>
    </w:p>
    <w:p w14:paraId="19D5699C" w14:textId="77777777" w:rsidR="009E4F90" w:rsidRPr="0044524F" w:rsidRDefault="009E4F90" w:rsidP="009654CF">
      <w:pPr>
        <w:pStyle w:val="rtejustify"/>
        <w:spacing w:before="0" w:after="0"/>
        <w:rPr>
          <w:color w:val="000000" w:themeColor="text1"/>
          <w:sz w:val="16"/>
          <w:szCs w:val="16"/>
        </w:rPr>
      </w:pPr>
      <w:r w:rsidRPr="0044524F">
        <w:rPr>
          <w:rStyle w:val="af0"/>
          <w:bCs/>
          <w:i w:val="0"/>
          <w:color w:val="000000" w:themeColor="text1"/>
          <w:sz w:val="16"/>
          <w:szCs w:val="16"/>
        </w:rPr>
        <w:t>25 сентября</w:t>
      </w:r>
      <w:r w:rsidRPr="0044524F">
        <w:rPr>
          <w:color w:val="000000" w:themeColor="text1"/>
          <w:sz w:val="16"/>
          <w:szCs w:val="16"/>
        </w:rPr>
        <w:t xml:space="preserve"> 1933. Постановление СТО СССР № 92сс/о «Об обеспечении типографическими картами РККА в военное время». (ГА РФ. Ф. Р</w:t>
      </w:r>
      <w:r w:rsidRPr="0044524F">
        <w:rPr>
          <w:color w:val="000000" w:themeColor="text1"/>
          <w:sz w:val="16"/>
          <w:szCs w:val="16"/>
        </w:rPr>
        <w:noBreakHyphen/>
        <w:t>8418. Оп. 28. Д. 2. Л. 175</w:t>
      </w:r>
      <w:r w:rsidRPr="0044524F">
        <w:rPr>
          <w:color w:val="000000" w:themeColor="text1"/>
          <w:sz w:val="16"/>
          <w:szCs w:val="16"/>
        </w:rPr>
        <w:noBreakHyphen/>
        <w:t>177) (15460).</w:t>
      </w:r>
    </w:p>
    <w:p w14:paraId="2B414A88" w14:textId="77777777" w:rsidR="009E4F90" w:rsidRPr="0044524F" w:rsidRDefault="009E4F90" w:rsidP="009654CF">
      <w:pPr>
        <w:pStyle w:val="rtejustify"/>
        <w:spacing w:before="0" w:after="0"/>
        <w:rPr>
          <w:color w:val="000000" w:themeColor="text1"/>
          <w:sz w:val="16"/>
          <w:szCs w:val="16"/>
        </w:rPr>
      </w:pPr>
    </w:p>
    <w:p w14:paraId="02D51A7A" w14:textId="77777777" w:rsidR="009E4F90" w:rsidRPr="0044524F" w:rsidRDefault="009E4F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в 1933 году в Физико-техническом институте Ленинграда открылась первая Всесоюзная конференция по атомному ядру (14780).</w:t>
      </w:r>
    </w:p>
    <w:p w14:paraId="44657058" w14:textId="77777777" w:rsidR="009E4F90" w:rsidRPr="0044524F" w:rsidRDefault="009E4F90" w:rsidP="009654CF">
      <w:pPr>
        <w:spacing w:after="0" w:line="240" w:lineRule="auto"/>
        <w:jc w:val="both"/>
        <w:rPr>
          <w:rFonts w:ascii="Times New Roman" w:hAnsi="Times New Roman"/>
          <w:color w:val="000000" w:themeColor="text1"/>
          <w:sz w:val="16"/>
          <w:szCs w:val="16"/>
        </w:rPr>
      </w:pPr>
    </w:p>
    <w:p w14:paraId="0293B864"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8158554"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6CA8DFC7"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у Пицунды пограничный наряд, попытавшись остановить катер И. Сталина, произвел выстрелы вверх, что Л. Берия представил вождю как попытку покушения на того (4962).</w:t>
      </w:r>
    </w:p>
    <w:p w14:paraId="259DB43B"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p w14:paraId="2E17F44E" w14:textId="77777777" w:rsidR="009E4F90" w:rsidRPr="0044524F" w:rsidRDefault="009E4F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в 1933 году катер, на котором находится отдыхающий в Пицунде Иосиф Виссарионович Сталин, обстреливается пограничным нарядом (14780).</w:t>
      </w:r>
    </w:p>
    <w:p w14:paraId="68042901" w14:textId="77777777" w:rsidR="009E4F90" w:rsidRPr="0044524F" w:rsidRDefault="009E4F90" w:rsidP="009654CF">
      <w:pPr>
        <w:spacing w:after="0" w:line="240" w:lineRule="auto"/>
        <w:jc w:val="both"/>
        <w:rPr>
          <w:rFonts w:ascii="Times New Roman" w:hAnsi="Times New Roman"/>
          <w:color w:val="000000" w:themeColor="text1"/>
          <w:sz w:val="16"/>
          <w:szCs w:val="16"/>
        </w:rPr>
      </w:pPr>
    </w:p>
    <w:p w14:paraId="02A5EEF2"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2CC7CC0"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69DAAC7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утром был третий полет К-7 К.А.К. (2306). Продолжительность 0:27, но моторы работали 1:14. Отрыв на скорости 100 км/час, высота - 500 м, скорость до 170 км/час. Колебяния хвостовой части отсутствовали. Недостаточная реакция на РН. Устраняли занос влево при старте. Течь радиатора 3 правого мотора, недостаточный угол отклонения серворулей РН (2306).</w:t>
      </w:r>
    </w:p>
    <w:p w14:paraId="051826FB"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A9C306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была телеграмма Щербакова ГУАП Алмазову по К-7:</w:t>
      </w:r>
    </w:p>
    <w:p w14:paraId="24FA4C6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Утром 26 произвели третий полет продолжительностью полчаса. Результаты хорошие (2306,9)</w:t>
      </w:r>
    </w:p>
    <w:p w14:paraId="31526CA7"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421F1CF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 самолет ТБ4-6М34 был передан на гос. испытания в НИИ ВВС. Испытания показали, что при полетном весе самолета 33 т (в т.ч. полезная нагрузка 11,5 т) самолет имеет потолок всего лишь 2700 м. Столь низкий потолок объясняется установкой на самолете моторов М34 без редуктора и недостатком общей мощности винтомоторной группы (3516).</w:t>
      </w:r>
    </w:p>
    <w:p w14:paraId="3EA6B81F"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CF2644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17 октября и 16 декабря 1933 г. на НИАП АНИИ с пози</w:t>
      </w:r>
      <w:r w:rsidRPr="0044524F">
        <w:rPr>
          <w:rFonts w:ascii="Times New Roman" w:hAnsi="Times New Roman"/>
          <w:color w:val="000000" w:themeColor="text1"/>
          <w:sz w:val="16"/>
          <w:szCs w:val="16"/>
        </w:rPr>
        <w:softHyphen/>
        <w:t>ции 5600 м под руководством начальника 1 отдела ЛО РНИИ Л.Э.Швар</w:t>
      </w:r>
      <w:r w:rsidRPr="0044524F">
        <w:rPr>
          <w:rFonts w:ascii="Times New Roman" w:hAnsi="Times New Roman"/>
          <w:color w:val="000000" w:themeColor="text1"/>
          <w:sz w:val="16"/>
          <w:szCs w:val="16"/>
        </w:rPr>
        <w:softHyphen/>
        <w:t>ца отстреляли по 20 инертных образцов оперенных ракетных снарядов РС-82 модели 1367, изготовленных в мастерских ЛО РНИИ со стальным оперением размахом 235 мм, «для определения величин их рассеивания на дистанции 4000 м». Сопло боеприпаса с диаметром критического сечения 20,0 мм имело диаметр выходного сечения 45,0 мм. РЗ состоял из 28 шашек рецептуры ПТП габаритами 24/6-57,5 мм. Одна из них - разрезная. По торцам РЗ были расположены воспламенители из 6 г ДРП каж дый. Максимальная величина давления в камере работающего двига</w:t>
      </w:r>
      <w:r w:rsidRPr="0044524F">
        <w:rPr>
          <w:rFonts w:ascii="Times New Roman" w:hAnsi="Times New Roman"/>
          <w:color w:val="000000" w:themeColor="text1"/>
          <w:sz w:val="16"/>
          <w:szCs w:val="16"/>
        </w:rPr>
        <w:softHyphen/>
        <w:t>теля, по данным лабораторных измерений, составляла 300 кг/см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К единой стартовой массе инертные образцы снарядов привели за</w:t>
      </w:r>
      <w:r w:rsidRPr="0044524F">
        <w:rPr>
          <w:rFonts w:ascii="Times New Roman" w:hAnsi="Times New Roman"/>
          <w:color w:val="000000" w:themeColor="text1"/>
          <w:sz w:val="16"/>
          <w:szCs w:val="16"/>
        </w:rPr>
        <w:softHyphen/>
        <w:t>ливкой серы в корпуса БЧ. Выходное отверстие сопла было закрыто деревянной пробкой с отверстием для запальной гальванической трубки. Воспламеняли ее и РЗ, вырабатывая электроток при помощи индуктора. Испытатели отстреливали снаряды из пускового приспособления модели 1292, смонтированного на лафете горной пушки обр.1909 г., с уг</w:t>
      </w:r>
      <w:r w:rsidRPr="0044524F">
        <w:rPr>
          <w:rFonts w:ascii="Times New Roman" w:hAnsi="Times New Roman"/>
          <w:color w:val="000000" w:themeColor="text1"/>
          <w:sz w:val="16"/>
          <w:szCs w:val="16"/>
        </w:rPr>
        <w:softHyphen/>
        <w:t>лом возвышения 17° и 40°. Орудие наводили при помощи артиллерий</w:t>
      </w:r>
      <w:r w:rsidRPr="0044524F">
        <w:rPr>
          <w:rFonts w:ascii="Times New Roman" w:hAnsi="Times New Roman"/>
          <w:color w:val="000000" w:themeColor="text1"/>
          <w:sz w:val="16"/>
          <w:szCs w:val="16"/>
        </w:rPr>
        <w:softHyphen/>
        <w:t>ской панорамы и квадранта. Снаряды ложились довольно кучно. В сен</w:t>
      </w:r>
      <w:r w:rsidRPr="0044524F">
        <w:rPr>
          <w:rFonts w:ascii="Times New Roman" w:hAnsi="Times New Roman"/>
          <w:color w:val="000000" w:themeColor="text1"/>
          <w:sz w:val="16"/>
          <w:szCs w:val="16"/>
        </w:rPr>
        <w:softHyphen/>
        <w:t>тябре по 18 наблюдениям средняя дальность составила 3950 м. Оба от</w:t>
      </w:r>
      <w:r w:rsidRPr="0044524F">
        <w:rPr>
          <w:rFonts w:ascii="Times New Roman" w:hAnsi="Times New Roman"/>
          <w:color w:val="000000" w:themeColor="text1"/>
          <w:sz w:val="16"/>
          <w:szCs w:val="16"/>
        </w:rPr>
        <w:softHyphen/>
        <w:t>стрела РС-82 в 1933 г. дали удовлетворительное рассеивание по направ</w:t>
      </w:r>
      <w:r w:rsidRPr="0044524F">
        <w:rPr>
          <w:rFonts w:ascii="Times New Roman" w:hAnsi="Times New Roman"/>
          <w:color w:val="000000" w:themeColor="text1"/>
          <w:sz w:val="16"/>
          <w:szCs w:val="16"/>
        </w:rPr>
        <w:softHyphen/>
        <w:t>лению и неудовлетворительное по дальности. Последнее обстоятельство разработчики объяснили непостоянством горения РЗ. Расчетная дальность стрельбы была «с очевидностью подтверждена» на практике. По мнению Л.Э.Шварца, совпадение величин рассеивания в этих двух стрельбах «вызывается вполне определенными причинами, постоянно сопутствующими данному снаряду. Наиболее вероятные из них — разнообразие начальных скоростей и углов вылета. В ближайших опытах роль этих факторов необходимо выявить стрельбой по рамам-мишеням и стрельбами на меткость при различных углах возвышения пускового приспособления». Хотя в октябре 1933 г. произошло объединение ЛенГДЛ и МосГИРД в единый институт РНИИ. Окончательно переез</w:t>
      </w:r>
      <w:r w:rsidRPr="0044524F">
        <w:rPr>
          <w:rFonts w:ascii="Times New Roman" w:hAnsi="Times New Roman"/>
          <w:color w:val="000000" w:themeColor="text1"/>
          <w:sz w:val="16"/>
          <w:szCs w:val="16"/>
        </w:rPr>
        <w:softHyphen/>
        <w:t>жать в Москву ленинградцы не торопились — Центральный Московский артполигон в Софрино не был окончательно готов для работы с ракетны</w:t>
      </w:r>
      <w:r w:rsidRPr="0044524F">
        <w:rPr>
          <w:rFonts w:ascii="Times New Roman" w:hAnsi="Times New Roman"/>
          <w:color w:val="000000" w:themeColor="text1"/>
          <w:sz w:val="16"/>
          <w:szCs w:val="16"/>
        </w:rPr>
        <w:softHyphen/>
        <w:t>ми снарядами. На этот период ГДЛ получила статус Ленинградского от</w:t>
      </w:r>
      <w:r w:rsidRPr="0044524F">
        <w:rPr>
          <w:rFonts w:ascii="Times New Roman" w:hAnsi="Times New Roman"/>
          <w:color w:val="000000" w:themeColor="text1"/>
          <w:sz w:val="16"/>
          <w:szCs w:val="16"/>
        </w:rPr>
        <w:softHyphen/>
        <w:t>деления - ЛО РНИИ (11402).</w:t>
      </w:r>
    </w:p>
    <w:p w14:paraId="19FE3B5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p>
    <w:p w14:paraId="4937EF0B" w14:textId="77777777" w:rsidR="00ED1A5E" w:rsidRPr="0044524F" w:rsidRDefault="00ED1A5E"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25 сентября 1933 г. Москву посетил знаменитый американский летчик Ч. Линдберг, впервые в одиночку перелетевший Атлантический океан. Он прибыл на самолете Локхид «Сириус», установленном на поплавки. Советский летчик Возницкий встретил его на АИР-6А на подлете к городу довел до центра и указал место посадки на Москве-реке, приводнившись первым (19099).</w:t>
      </w:r>
    </w:p>
    <w:p w14:paraId="01DA62CD" w14:textId="77777777" w:rsidR="00ED1A5E" w:rsidRPr="0044524F" w:rsidRDefault="00ED1A5E" w:rsidP="009654CF">
      <w:pPr>
        <w:pStyle w:val="a8"/>
        <w:jc w:val="both"/>
        <w:rPr>
          <w:rFonts w:ascii="Times New Roman" w:hAnsi="Times New Roman" w:cs="Times New Roman"/>
          <w:color w:val="000000" w:themeColor="text1"/>
        </w:rPr>
      </w:pPr>
    </w:p>
    <w:p w14:paraId="7691F72E" w14:textId="77777777" w:rsidR="002910CF" w:rsidRPr="0044524F" w:rsidRDefault="002910C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опросом членов ПБ</w:t>
      </w:r>
    </w:p>
    <w:p w14:paraId="58C4A30F" w14:textId="77777777" w:rsidR="002910CF" w:rsidRPr="0044524F" w:rsidRDefault="002910C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130/94.- О прилете Латвийской-эскадрильи в Москву</w:t>
      </w:r>
    </w:p>
    <w:p w14:paraId="0AB06054" w14:textId="77777777" w:rsidR="002910CF" w:rsidRPr="0044524F" w:rsidRDefault="002910C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разрешить прилет Латвийской эскадрильи в Москву.</w:t>
      </w:r>
    </w:p>
    <w:p w14:paraId="2B6C1CE1" w14:textId="77777777" w:rsidR="002910CF" w:rsidRPr="0044524F" w:rsidRDefault="002910C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считать возможным на прилет Латвийской эскадрильи ответить соответствующим нашим поле</w:t>
      </w:r>
      <w:r w:rsidRPr="0044524F">
        <w:rPr>
          <w:rFonts w:ascii="Times New Roman" w:hAnsi="Times New Roman"/>
          <w:color w:val="000000" w:themeColor="text1"/>
          <w:sz w:val="16"/>
          <w:szCs w:val="16"/>
        </w:rPr>
        <w:softHyphen/>
        <w:t>том в Латвию.</w:t>
      </w:r>
    </w:p>
    <w:p w14:paraId="6D9CBD93" w14:textId="77777777" w:rsidR="002910CF" w:rsidRPr="0044524F" w:rsidRDefault="002910C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Литвинову, Тухачевскому, Уншлихту, Артузову.</w:t>
      </w:r>
    </w:p>
    <w:p w14:paraId="3121A870" w14:textId="77777777" w:rsidR="002910CF" w:rsidRPr="0044524F" w:rsidRDefault="002910C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состоялось заседание ПБ и был оформлен протокол № 146 (22996).</w:t>
      </w:r>
    </w:p>
    <w:p w14:paraId="7347AA39" w14:textId="77777777" w:rsidR="002910CF" w:rsidRPr="0044524F" w:rsidRDefault="002910CF" w:rsidP="009654CF">
      <w:pPr>
        <w:spacing w:after="0" w:line="240" w:lineRule="auto"/>
        <w:jc w:val="both"/>
        <w:rPr>
          <w:rFonts w:ascii="Times New Roman" w:hAnsi="Times New Roman"/>
          <w:color w:val="000000" w:themeColor="text1"/>
          <w:sz w:val="16"/>
          <w:szCs w:val="16"/>
        </w:rPr>
      </w:pPr>
    </w:p>
    <w:p w14:paraId="320CF1DE"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5A7AF9D"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7D08DBF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 когда Гитлер согласился встретиться с Крестинским и об этом через Хинчука было сообщено в Москву, Крестинский, по инициативе Литвинова, вернулся в Москву через Вену (АВП РФ, ф. 082, оп. 16, п. 71, д. 1, л. 324; ADAP, Ser. С, Bd. 11,1. Ь. 75.) (11784).</w:t>
      </w:r>
    </w:p>
    <w:p w14:paraId="57EBB34D"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84A74B5"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B6BEE2A"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669C93C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27 сентября 1933 на ТБ-3 (АНТ-6) 22 завода N 22201 постройки марта 1933 и на N 22203 и 22204 в ЦАГИ поставили М-34, а на машину 22202 - М-34Р (1017,168) и две машины - 22203 и 22204 передали в НИИ ВВС на гос. испытания (1854,8).</w:t>
      </w:r>
    </w:p>
    <w:p w14:paraId="1FDD2C6E"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2FE3F3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27 сентября по 6 октября 1933 г. опытный самолет ТБ-3 №22202 с М-34Р проходил заводские испытания (7668).</w:t>
      </w:r>
    </w:p>
    <w:p w14:paraId="6ECC1737"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6A38AF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27 сентября по 6 октября 1933 опытный ТБ-3 (АНТ-6) с М-34Р N 22202 проходил заводские испытания (1854,9). Почему-то назвали “Торгсин” (9086).</w:t>
      </w:r>
    </w:p>
    <w:p w14:paraId="6B16615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два серийных ТБ-3 (АНТ-6) 22 завода (NN 22201 и 22203) были доработаны КБ А.Н.Т. и их после установки М-34 передали в НИИ ВВС. Изменения ЛТХ оказались незначительными из-за несоответствия винтов двигателям. Сделали несколько десятков (346,27).</w:t>
      </w:r>
    </w:p>
    <w:p w14:paraId="54A066D9"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896679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этот же день 27 сентября 1933 начались заводские испытания ТБ-3 (АНТ-6) с М-34 производства 22 завода N 22201 и проходили до 10 октября 1933, а для машин 22203 и 22204 это были гос. испытания (1017,169).</w:t>
      </w:r>
    </w:p>
    <w:p w14:paraId="2D105CF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Потом вышел Отчет о гос. испытаниях самолета ТБ3-4М34.</w:t>
      </w:r>
    </w:p>
    <w:p w14:paraId="67CABB5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67826D2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Гос. испытание самолетов ТБ3-4М34 без редукторов (NN 22203 и 22204).</w:t>
      </w:r>
    </w:p>
    <w:p w14:paraId="11A3060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Выбор наилучшего винта из трех представленных ЦАГИ.</w:t>
      </w:r>
    </w:p>
    <w:p w14:paraId="362B1A9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Изыскание путей облегчения винтомоторной группы.</w:t>
      </w:r>
    </w:p>
    <w:p w14:paraId="2EA85A8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0BA63CB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 Ввиду того, что при испытании трех типов винтов лучшие летные данные самолета ТБ3-4М34 без редуктора получил с винтами Д=3,18; Н=1,88 считать необходимым все самолеты ТБ3-4М34 выпускать с этим типом винтов.</w:t>
      </w:r>
    </w:p>
    <w:p w14:paraId="0375325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Считать возможным допустить приемку самолетов ТБ3-4М34 с завода N 22 при условии устранения заводом дефектов опасных для полета, перечисленных в отчете (3313,42-93).</w:t>
      </w:r>
    </w:p>
    <w:p w14:paraId="4219345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самолета N 22202 это были заводские испытания и они продолжались по 6 октября 1933 (1017,180).</w:t>
      </w:r>
    </w:p>
    <w:p w14:paraId="5BF97CF7"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B892B41" w14:textId="77777777" w:rsidR="00247A63" w:rsidRPr="00142305" w:rsidRDefault="00247A63" w:rsidP="00247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27 сентября по 6 октября 1933 г. опыт</w:t>
      </w:r>
      <w:r w:rsidRPr="00142305">
        <w:rPr>
          <w:rFonts w:ascii="Times New Roman" w:hAnsi="Times New Roman"/>
          <w:color w:val="0070C0"/>
          <w:sz w:val="16"/>
          <w:szCs w:val="16"/>
        </w:rPr>
        <w:softHyphen/>
        <w:t>ный самолет ТБ-3 № 22202 с М-34Р проходил заводские испы</w:t>
      </w:r>
      <w:r w:rsidRPr="00142305">
        <w:rPr>
          <w:rFonts w:ascii="Times New Roman" w:hAnsi="Times New Roman"/>
          <w:color w:val="0070C0"/>
          <w:sz w:val="16"/>
          <w:szCs w:val="16"/>
        </w:rPr>
        <w:softHyphen/>
        <w:t>тания, а с 19 октября - государственные В НИИ ВВС машина почему-то получила прозвище «Торгсин». Испытания показали, что летные характеристики резко улучши</w:t>
      </w:r>
      <w:r w:rsidRPr="00142305">
        <w:rPr>
          <w:rFonts w:ascii="Times New Roman" w:hAnsi="Times New Roman"/>
          <w:color w:val="0070C0"/>
          <w:sz w:val="16"/>
          <w:szCs w:val="16"/>
        </w:rPr>
        <w:softHyphen/>
        <w:t>лись, несмотря на прирост взлетного веса на 1460 кг. Вариант с М-34Р приняли к серийной постройке как эталон на первую половину 1934 г, хотя винтомоторная группа не соответствовала требованиям по надежности. 5 декабря машину вернули на завод № 22. На серийных самолетах УВВС требовало поставить входную дверь, открывающуюся внутрь, а не наружу (так удобнее прыгать с парашютом), ввести люковую пулеметную установку взамен подкрыльных башен, смонтировать новые бомбодержатели. Кроме того, опытный самолет не имел «бороды» под носовой частью (24937).</w:t>
      </w:r>
    </w:p>
    <w:p w14:paraId="784D2A76" w14:textId="77777777" w:rsidR="00247A63" w:rsidRPr="00142305" w:rsidRDefault="00247A63" w:rsidP="00247A63">
      <w:pPr>
        <w:spacing w:after="0" w:line="240" w:lineRule="auto"/>
        <w:jc w:val="both"/>
        <w:rPr>
          <w:rFonts w:ascii="Times New Roman" w:hAnsi="Times New Roman"/>
          <w:color w:val="0070C0"/>
          <w:sz w:val="16"/>
          <w:szCs w:val="16"/>
        </w:rPr>
      </w:pPr>
    </w:p>
    <w:p w14:paraId="0D3BF2A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сентября 1933 года Начальник НИИ ВВС Зильберт утвердил Отчет серийного испытания самолетов ЗЕТ NN 39005 и 39010, вооруженных авиапушками инженера Курчевского "АПК-4бис" калибра 76,2 мм</w:t>
      </w:r>
    </w:p>
    <w:p w14:paraId="4FD8281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Местом испытания был выбран Переславль, в частности берег озера Плещеево. Наличие широкого водного пространства, близость расположения полигона обеспечило наилучшее проведение испытания в части наблюдения за стрельбой, а отдаленность от административного центра, в отношении сохранения секретности работ.</w:t>
      </w:r>
    </w:p>
    <w:p w14:paraId="3285C74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проводились работниками НИИ ВВС:</w:t>
      </w:r>
    </w:p>
    <w:p w14:paraId="513AC3F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руководитель инженер 15а сектора - Мельников</w:t>
      </w:r>
    </w:p>
    <w:p w14:paraId="567D888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бригады НИИ ВВС (самолет N 39005) - Коротков А.</w:t>
      </w:r>
    </w:p>
    <w:p w14:paraId="28EC08D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бригады НИИ ВВС (самолет N 39010) - Сцельников М.</w:t>
      </w:r>
    </w:p>
    <w:p w14:paraId="021C4A3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1257201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работу пушек и автоматики в условиях службы на самолете, при стрельбе в воздухе и на разных эволюциях самолета.</w:t>
      </w:r>
    </w:p>
    <w:p w14:paraId="337676C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влияние выстрела на самолет.</w:t>
      </w:r>
    </w:p>
    <w:p w14:paraId="62B7CD7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эксплуатационные особенности АПК-4бис.</w:t>
      </w:r>
    </w:p>
    <w:p w14:paraId="405337C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538EF7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произведенного серийного испытания самолета ЗЕТ N 39010 считать, что:</w:t>
      </w:r>
    </w:p>
    <w:p w14:paraId="2EB1248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Серийным самолетам свойственны в основном, те же недостатки, что и у самолета, предъявленного на гос. испытания (см. Выводы по самолету N 39012, предъявленного на гос. испытания) (3903,112-119).</w:t>
      </w:r>
    </w:p>
    <w:p w14:paraId="5CD4132E"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4EF0C35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сентября 1933 года Начальник НИИ ВВС Зильберт утвердил Отчет о гос. испытаниях самолета "ЗЕТ", вооруженного авиапушками инженера Курчевского "АПК-4бис" калибр 76,2 мм</w:t>
      </w:r>
    </w:p>
    <w:p w14:paraId="0583F06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Местом испытания был назначен Переславль-Залесский Ивановской пром. области, в частности побережье озера Плещеево. Подобные условия с одной стороны позволили организацию рядом расположенных аэродромной площадки и полигона, а с другой - обеспечивало сохранение секретности работ.</w:t>
      </w:r>
    </w:p>
    <w:p w14:paraId="31AB421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проводились работниками НИИ ВВС:</w:t>
      </w:r>
    </w:p>
    <w:p w14:paraId="1212500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руководитель - Мельников</w:t>
      </w:r>
    </w:p>
    <w:p w14:paraId="639606A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Сузи</w:t>
      </w:r>
    </w:p>
    <w:p w14:paraId="0D8AC94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2059807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технические свойства самолета ЗЕТ вооруженного АПК-76,2 мм, гл. образом в части возможной стрельбы при различных эволюциях самолета.</w:t>
      </w:r>
    </w:p>
    <w:p w14:paraId="24A31C5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эксплуатационные особенности АПК-4бис в условиях службы на самолете.</w:t>
      </w:r>
    </w:p>
    <w:p w14:paraId="20841DA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настоящих данных, предъявленных АПК-4бис и боевых возможностях самолета, определить в первом приближении действительность стрельбы.</w:t>
      </w:r>
    </w:p>
    <w:p w14:paraId="0771C7B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влияние выстрела на самолет и его жизнеспособность.</w:t>
      </w:r>
    </w:p>
    <w:p w14:paraId="3308691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работу автоматики АПК-4бис.</w:t>
      </w:r>
    </w:p>
    <w:p w14:paraId="64B5540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было разбито на 3 очереди:</w:t>
      </w:r>
    </w:p>
    <w:p w14:paraId="1B64755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АПК-4бис на земле для определения характеристических данных.</w:t>
      </w:r>
    </w:p>
    <w:p w14:paraId="77F76A2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АПК-4бис в воздухе для определения возможности стрельбы при различных эволюциях самолета и работу автоматики.</w:t>
      </w:r>
    </w:p>
    <w:p w14:paraId="69B0D75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в первом приближении действительности огня из АПК-4бис на самолете ЗЕТ.</w:t>
      </w:r>
    </w:p>
    <w:p w14:paraId="4042688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4EB175F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ЗЕТ, вооруженный АПК-76,2 испытания прошел (3903,77-102).</w:t>
      </w:r>
    </w:p>
    <w:p w14:paraId="09073390"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451E2F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сентября 1933 состоялось совещание у зам. нач. ГУАП Макаровского по вопросу об изготовлении ГМ-34 без реверса (2292,223).</w:t>
      </w:r>
    </w:p>
    <w:p w14:paraId="047C2A45"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A6E5024" w14:textId="77777777" w:rsidR="00ED1A5E" w:rsidRPr="0044524F" w:rsidRDefault="00ED1A5E"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5053BF5" w14:textId="77777777" w:rsidR="00ED1A5E" w:rsidRPr="0044524F" w:rsidRDefault="00ED1A5E" w:rsidP="009654CF">
      <w:pPr>
        <w:spacing w:after="0" w:line="240" w:lineRule="auto"/>
        <w:jc w:val="both"/>
        <w:rPr>
          <w:rFonts w:ascii="Times New Roman" w:hAnsi="Times New Roman"/>
          <w:iCs/>
          <w:color w:val="000000" w:themeColor="text1"/>
          <w:sz w:val="16"/>
          <w:szCs w:val="16"/>
        </w:rPr>
      </w:pPr>
    </w:p>
    <w:p w14:paraId="14DA1FC4"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сентября 1933 года состоялось совещание комиссии Главхимпрома по выбору площадок для хлорного комбината в Дзержинске. План на 1934 год был утвержден в сумме 7635 тыс. рублей. Эти затраты в основном предусматривались на жилищное строительство. 750 тыс. рублей планировалось на приобретение оборудования и инвентаря, 355 тыс. предполагалось использовать на строительство базы ОРСа (сельское хозяйство, общественное питание и торговля). 300 тыс. рублей отводилось строительству трамвайных путей, соединяющих площадку с городом Дзержинском. По итогам года были сданы в эксплуатацию лесозавод, механические мастерские, деревообделочная и столярная мастерские, 4 котельные, водопровод, материальный склад, подъездные пути: широкой колеи, соединяющие площадку с магистралью протяженностью 3,8 км, узкой колеи, идущей на берег Оки, шоссе, соединяющее площадку с городом; 2 жилых дома и проходная, в которой разместилась и главная контора.</w:t>
      </w:r>
    </w:p>
    <w:p w14:paraId="0F015C0D"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строительстве завода работали до 15 тысяч рабочих.</w:t>
      </w:r>
    </w:p>
    <w:p w14:paraId="42351AE4"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1939 года в помещении здравпункта была организована центральная научно-исследовательская лаборатория, объединяющая 10 химиков и 30 лаборантов.</w:t>
      </w:r>
    </w:p>
    <w:p w14:paraId="0A557133"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1939 года в цехе № 6 получен 100-процентный этилен. Таким радостным событием отметили пусковой год заводстроевцы.</w:t>
      </w:r>
    </w:p>
    <w:p w14:paraId="0AE4793D"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Заслуги капролактамовцев в отечественной химии значительны. Впервые в СССР ими были выпущены 33 вида продукции, такие как изопропиловый спирт, винилхлорид и поливинилхлорид, бензоилхлорид, капролактам из фенола, этилен и диэтиленгликоль, натрий едкий реакционный, полихлорэтилен-80, нефтеполимерный лак, трихлорэтилен, поливинилхлорид в массе, гидротормозная жидкость ГТЖ-22 и другие.</w:t>
      </w:r>
    </w:p>
    <w:p w14:paraId="7A0BC61D"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Великой Отечественной войны «Заводстрой» (завод «Капролактам»), сформировался как крупный химический комплекс, первенец отечественной хлорной промышленности. около 40% хлора и каустика, вырабатываемых в стране, приходилось на его долю. Производство не ограничивалось только их выпуском. Более 27 видов наименований различной продукции было освоено на заводе и серийно вырабатывалось для нужд народного хозяйства.</w:t>
      </w:r>
    </w:p>
    <w:p w14:paraId="30BC4624"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начала войны коллектив завода переключился на выполнение оборонных заданий. Цех № 3 (производство иприта) и цех № 14 (производство люизита) производили химические отравляющие вещества еще до войны, но работали не на полную мощность (18248).</w:t>
      </w:r>
    </w:p>
    <w:p w14:paraId="41DB9371" w14:textId="77777777" w:rsidR="00ED1A5E" w:rsidRPr="0044524F" w:rsidRDefault="00ED1A5E" w:rsidP="009654CF">
      <w:pPr>
        <w:spacing w:after="0" w:line="240" w:lineRule="auto"/>
        <w:jc w:val="both"/>
        <w:rPr>
          <w:rFonts w:ascii="Times New Roman" w:hAnsi="Times New Roman"/>
          <w:color w:val="000000" w:themeColor="text1"/>
          <w:sz w:val="16"/>
          <w:szCs w:val="16"/>
        </w:rPr>
      </w:pPr>
    </w:p>
    <w:p w14:paraId="1FB43104"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EC92D8F"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66E5AF3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28 сентября по 9 октября 1933 проходили гос. испытания ТБ-3 4М-34</w:t>
      </w:r>
    </w:p>
    <w:p w14:paraId="1480FE1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33A0C26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испытание самолетов ТБ3-4М34 без редукторов (NN 22203 и 22204).</w:t>
      </w:r>
    </w:p>
    <w:p w14:paraId="394DA6A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Выбор наилучшего винта из трех представленных ЦАГИ.</w:t>
      </w:r>
    </w:p>
    <w:p w14:paraId="730037D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Изыскание путей облегчения винтомоторной группы.</w:t>
      </w:r>
    </w:p>
    <w:p w14:paraId="6A6A98F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67AB9D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значительно лучших летных данных самолета ТБ3-4М34 без редуктора с винтами Д=3,18 Н=1,88 (С Тб4-6М34) считать необходимым все самолеты ТБ3-4М34 выпускать с этим типом винтов (3903,147-200).</w:t>
      </w:r>
    </w:p>
    <w:p w14:paraId="7D38F201"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CA8FC5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28 сентября 1933 года Начальник НИИ ВВС Зильберт утвердил Отчет об испытании прицела к АПК-4 бис на самолете ЗЕТ конструкции Петрова</w:t>
      </w:r>
    </w:p>
    <w:p w14:paraId="49E53F5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производились в г. Переславле в момент испытаний АПК-4 бис на самолете ЗЕТ.</w:t>
      </w:r>
    </w:p>
    <w:p w14:paraId="7ABBCD1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проводились работниками НИИ ВВС:</w:t>
      </w:r>
    </w:p>
    <w:p w14:paraId="11B8A99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руководитель - Мельников</w:t>
      </w:r>
    </w:p>
    <w:p w14:paraId="744E56B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Сузи</w:t>
      </w:r>
    </w:p>
    <w:p w14:paraId="7C61EDB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53EA79A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возможность прицельного огня при настоящих данных, предъявленного прицела и принятие его на вооружение самолетов ЗЕТ.</w:t>
      </w:r>
    </w:p>
    <w:p w14:paraId="6549B73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эксплуатационные условия прицела.</w:t>
      </w:r>
    </w:p>
    <w:p w14:paraId="5807622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испытании было произведено 5 полетов с прицеливанием по земным объектам и 2 полета с прицеливанием по воздушным объектам (движущаяся цель).</w:t>
      </w:r>
    </w:p>
    <w:p w14:paraId="2E4D0E1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w:t>
      </w:r>
    </w:p>
    <w:p w14:paraId="5D23653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Прицел конструкции Петрова признан годным быть не может (2903,103-108).</w:t>
      </w:r>
    </w:p>
    <w:p w14:paraId="31EF0AC2"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A7C802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сентября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4E10C1" w:rsidRPr="0044524F" w14:paraId="23281517" w14:textId="77777777">
        <w:tc>
          <w:tcPr>
            <w:tcW w:w="2818" w:type="dxa"/>
          </w:tcPr>
          <w:p w14:paraId="554D438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w:t>
            </w:r>
          </w:p>
        </w:tc>
        <w:tc>
          <w:tcPr>
            <w:tcW w:w="2818" w:type="dxa"/>
          </w:tcPr>
          <w:p w14:paraId="1024EA2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Глававиапром</w:t>
            </w:r>
          </w:p>
        </w:tc>
        <w:tc>
          <w:tcPr>
            <w:tcW w:w="2818" w:type="dxa"/>
          </w:tcPr>
          <w:p w14:paraId="733714D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Объединенное бюро стандартизации (ОБСА)</w:t>
            </w:r>
          </w:p>
        </w:tc>
      </w:tr>
      <w:tr w:rsidR="004E10C1" w:rsidRPr="0044524F" w14:paraId="21A095FC" w14:textId="77777777">
        <w:tc>
          <w:tcPr>
            <w:tcW w:w="2818" w:type="dxa"/>
          </w:tcPr>
          <w:p w14:paraId="53BDCCD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Авиационный стандарт</w:t>
            </w:r>
          </w:p>
        </w:tc>
        <w:tc>
          <w:tcPr>
            <w:tcW w:w="2818" w:type="dxa"/>
          </w:tcPr>
          <w:p w14:paraId="3367A0B5"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818" w:type="dxa"/>
          </w:tcPr>
          <w:p w14:paraId="298D025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 СТУ</w:t>
            </w:r>
          </w:p>
        </w:tc>
      </w:tr>
      <w:tr w:rsidR="004E10C1" w:rsidRPr="0044524F" w14:paraId="454341BA" w14:textId="77777777">
        <w:tc>
          <w:tcPr>
            <w:tcW w:w="2818" w:type="dxa"/>
          </w:tcPr>
          <w:p w14:paraId="28A6A31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ТБ-3 4М-34</w:t>
            </w:r>
          </w:p>
        </w:tc>
        <w:tc>
          <w:tcPr>
            <w:tcW w:w="2818" w:type="dxa"/>
          </w:tcPr>
          <w:p w14:paraId="1BCC5CB7"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818" w:type="dxa"/>
          </w:tcPr>
          <w:p w14:paraId="0A0D8F6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16А</w:t>
            </w:r>
          </w:p>
        </w:tc>
      </w:tr>
      <w:tr w:rsidR="004E10C1" w:rsidRPr="0044524F" w14:paraId="76947884" w14:textId="77777777">
        <w:tc>
          <w:tcPr>
            <w:tcW w:w="2818" w:type="dxa"/>
          </w:tcPr>
          <w:p w14:paraId="403D583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 ТУ</w:t>
            </w:r>
          </w:p>
        </w:tc>
        <w:tc>
          <w:tcPr>
            <w:tcW w:w="2818" w:type="dxa"/>
          </w:tcPr>
          <w:p w14:paraId="0C6DC8B7" w14:textId="77777777" w:rsidR="0007455B" w:rsidRPr="0044524F" w:rsidRDefault="0007455B" w:rsidP="009654CF">
            <w:pPr>
              <w:spacing w:after="0" w:line="240" w:lineRule="auto"/>
              <w:jc w:val="both"/>
              <w:rPr>
                <w:rFonts w:ascii="Times New Roman" w:hAnsi="Times New Roman"/>
                <w:color w:val="000000" w:themeColor="text1"/>
                <w:sz w:val="16"/>
                <w:szCs w:val="16"/>
              </w:rPr>
            </w:pPr>
          </w:p>
        </w:tc>
        <w:tc>
          <w:tcPr>
            <w:tcW w:w="2818" w:type="dxa"/>
          </w:tcPr>
          <w:p w14:paraId="6AB9D7B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1-е издание (3100)</w:t>
            </w:r>
          </w:p>
        </w:tc>
      </w:tr>
    </w:tbl>
    <w:p w14:paraId="38E04A47"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0F8E560B" w14:textId="77777777" w:rsidR="00CE35D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287AC13" w14:textId="77777777" w:rsidR="00CE35D9" w:rsidRPr="0044524F" w:rsidRDefault="00CE35D9" w:rsidP="009654CF">
      <w:pPr>
        <w:spacing w:after="0" w:line="240" w:lineRule="auto"/>
        <w:jc w:val="both"/>
        <w:rPr>
          <w:rFonts w:ascii="Times New Roman" w:hAnsi="Times New Roman"/>
          <w:iCs/>
          <w:color w:val="000000" w:themeColor="text1"/>
          <w:sz w:val="16"/>
          <w:szCs w:val="16"/>
        </w:rPr>
      </w:pPr>
    </w:p>
    <w:p w14:paraId="09E14B11" w14:textId="77777777" w:rsidR="00CE35D9" w:rsidRPr="0044524F" w:rsidRDefault="00CE35D9" w:rsidP="009654CF">
      <w:pPr>
        <w:spacing w:after="0" w:line="240" w:lineRule="auto"/>
        <w:jc w:val="both"/>
        <w:rPr>
          <w:rFonts w:ascii="Times New Roman" w:eastAsia="TimesNewRoman" w:hAnsi="Times New Roman"/>
          <w:color w:val="000000" w:themeColor="text1"/>
          <w:sz w:val="16"/>
          <w:szCs w:val="16"/>
        </w:rPr>
      </w:pPr>
      <w:r w:rsidRPr="0044524F">
        <w:rPr>
          <w:rFonts w:ascii="Times New Roman" w:eastAsia="TimesNewRoman" w:hAnsi="Times New Roman"/>
          <w:color w:val="000000" w:themeColor="text1"/>
          <w:sz w:val="16"/>
          <w:szCs w:val="16"/>
        </w:rPr>
        <w:t>28 сентября 1933 г., реализуя принятый курс военно-технического сотрудничества с Италией в области морского вооружения, вышло Постановление КО СНК СССР «О приобретении иностранной технической помощи по постройке крейсеров». В соответствии с данным Постановлением было определено следующее: «Предложить Наркому Тяжелой Промышленности (НКТП) тов. Орджоникидзе немедленно пригласить в СССР представителей итальянской фирмы ―Ансальдо для переговоров о заключении договора на техническую помощь по постройке крейсеров и покупке механических установок для одного крейсера. Первый крейсер строить в г. Ленинграде, место постройки второго крейсера установить особо» [Там же, д. 498, л. 202].</w:t>
      </w:r>
    </w:p>
    <w:p w14:paraId="23098FD0" w14:textId="77777777" w:rsidR="00CE35D9" w:rsidRPr="0044524F" w:rsidRDefault="00CE35D9" w:rsidP="009654CF">
      <w:pPr>
        <w:spacing w:after="0" w:line="240" w:lineRule="auto"/>
        <w:jc w:val="both"/>
        <w:rPr>
          <w:rFonts w:ascii="Times New Roman" w:eastAsia="TimesNewRoman" w:hAnsi="Times New Roman"/>
          <w:color w:val="000000" w:themeColor="text1"/>
          <w:sz w:val="16"/>
          <w:szCs w:val="16"/>
        </w:rPr>
      </w:pPr>
      <w:r w:rsidRPr="0044524F">
        <w:rPr>
          <w:rFonts w:ascii="Times New Roman" w:eastAsia="TimesNewRoman" w:hAnsi="Times New Roman"/>
          <w:color w:val="000000" w:themeColor="text1"/>
          <w:sz w:val="16"/>
          <w:szCs w:val="16"/>
        </w:rPr>
        <w:t>Дальнейшей реализацией данной программы стало Постановление КО СНК СССР от 17 февраля 1934 г. «О результатах переговоров по иностранной техпомощи для постройки крейсеров», в котором, в частности, указывалось НКТП продолжить переговоры с фирмой «Ансальдо»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 (12701).</w:t>
      </w:r>
    </w:p>
    <w:p w14:paraId="40DEE0B9" w14:textId="77777777" w:rsidR="00CE35D9" w:rsidRPr="0044524F" w:rsidRDefault="00CE35D9" w:rsidP="009654CF">
      <w:pPr>
        <w:spacing w:after="0" w:line="240" w:lineRule="auto"/>
        <w:jc w:val="both"/>
        <w:rPr>
          <w:rFonts w:ascii="Times New Roman" w:eastAsia="TimesNewRoman" w:hAnsi="Times New Roman"/>
          <w:color w:val="000000" w:themeColor="text1"/>
          <w:sz w:val="16"/>
          <w:szCs w:val="16"/>
        </w:rPr>
      </w:pPr>
    </w:p>
    <w:p w14:paraId="033488A1" w14:textId="77777777" w:rsidR="00247A63" w:rsidRPr="00142305" w:rsidRDefault="00247A63" w:rsidP="00247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сентября 1933 г., реализуя принятый курс военно-технического сотрудничества с Италией в области морского вооружения и техники, вышло Постановление КО СНК СССР «О приобретении иностранной технической помощи по постройке крейсеров». В соответствии с данным Постановлением было определено следующее: «Предложить Наркому Тяжелой Промышленности (НКТП) тов. Орджоникидзе немедленно пригласить в СССР представителей итальянской фирмы ―Ансальдо для переговоров о заключении договора на техническую помощь по постройке крейсеров и покупке механических установок для одного крейсера. Первый крейсер строить в г. Ленинграде, место постройки второго крейсера установить особо» [Там же, д. 498, л. 202]. Дальнейшей реализацией данной программы стало Постановление КО СНК СССР от 17 февраля 1934 г. «О результатах переговоров по иностранной техпомощи для постройки крейсеров», в котором, в частности, указывалось НКТП продолжить переговоры с фирмой «Ансальдо»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 (25366).</w:t>
      </w:r>
    </w:p>
    <w:p w14:paraId="116A3214" w14:textId="77777777" w:rsidR="00247A63" w:rsidRPr="00142305" w:rsidRDefault="00247A63" w:rsidP="00247A63">
      <w:pPr>
        <w:spacing w:after="0" w:line="240" w:lineRule="auto"/>
        <w:jc w:val="both"/>
        <w:rPr>
          <w:rFonts w:ascii="Times New Roman" w:hAnsi="Times New Roman"/>
          <w:color w:val="0070C0"/>
          <w:sz w:val="16"/>
          <w:szCs w:val="16"/>
        </w:rPr>
      </w:pPr>
    </w:p>
    <w:p w14:paraId="416001F5" w14:textId="77777777" w:rsidR="00D51832" w:rsidRPr="0044524F" w:rsidRDefault="00D5183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 xml:space="preserve">28 сентября 1933 г. Сталин — Кагановичу </w:t>
      </w:r>
    </w:p>
    <w:p w14:paraId="1B37EB4C" w14:textId="77777777" w:rsidR="00D51832" w:rsidRPr="0044524F" w:rsidRDefault="00D5183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u w:val="single"/>
          <w:lang w:eastAsia="ru-RU"/>
        </w:rPr>
        <w:t>Т. Каганович!</w:t>
      </w:r>
    </w:p>
    <w:p w14:paraId="4B4A8D8A" w14:textId="77777777" w:rsidR="00D51832" w:rsidRPr="0044524F" w:rsidRDefault="00D5183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 Кроме аэропланов, танков, артиллерии и боеприпасов надо проверить еще производство подлодок. Очень плохо с подлодками, производят их медленно, до безобразия плохо. Надо нажимать на это дело изо дня в день, непрерывно, </w:t>
      </w:r>
      <w:r w:rsidRPr="0044524F">
        <w:rPr>
          <w:rFonts w:ascii="Times New Roman" w:eastAsia="Times New Roman" w:hAnsi="Times New Roman"/>
          <w:color w:val="000000" w:themeColor="text1"/>
          <w:sz w:val="16"/>
          <w:szCs w:val="16"/>
          <w:u w:val="single"/>
          <w:lang w:eastAsia="ru-RU"/>
        </w:rPr>
        <w:t>без передышки</w:t>
      </w:r>
      <w:r w:rsidRPr="0044524F">
        <w:rPr>
          <w:rFonts w:ascii="Times New Roman" w:eastAsia="Times New Roman" w:hAnsi="Times New Roman"/>
          <w:color w:val="000000" w:themeColor="text1"/>
          <w:sz w:val="16"/>
          <w:szCs w:val="16"/>
          <w:lang w:eastAsia="ru-RU"/>
        </w:rPr>
        <w:t>. Качество подлодок плохое, очень плохое.</w:t>
      </w:r>
    </w:p>
    <w:p w14:paraId="0624B330" w14:textId="77777777" w:rsidR="00D51832" w:rsidRPr="0044524F" w:rsidRDefault="00D5183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2) Нажим по хлебозаготовкам надо начать </w:t>
      </w:r>
      <w:r w:rsidRPr="0044524F">
        <w:rPr>
          <w:rFonts w:ascii="Times New Roman" w:eastAsia="Times New Roman" w:hAnsi="Times New Roman"/>
          <w:color w:val="000000" w:themeColor="text1"/>
          <w:sz w:val="16"/>
          <w:szCs w:val="16"/>
          <w:u w:val="single"/>
          <w:lang w:eastAsia="ru-RU"/>
        </w:rPr>
        <w:t>теперь же</w:t>
      </w:r>
      <w:r w:rsidRPr="0044524F">
        <w:rPr>
          <w:rFonts w:ascii="Times New Roman" w:eastAsia="Times New Roman" w:hAnsi="Times New Roman"/>
          <w:color w:val="000000" w:themeColor="text1"/>
          <w:sz w:val="16"/>
          <w:szCs w:val="16"/>
          <w:lang w:eastAsia="ru-RU"/>
        </w:rPr>
        <w:t xml:space="preserve">. «Потом» будет поздно. Если </w:t>
      </w:r>
      <w:r w:rsidRPr="0044524F">
        <w:rPr>
          <w:rFonts w:ascii="Times New Roman" w:eastAsia="Times New Roman" w:hAnsi="Times New Roman"/>
          <w:color w:val="000000" w:themeColor="text1"/>
          <w:sz w:val="16"/>
          <w:szCs w:val="16"/>
          <w:u w:val="single"/>
          <w:lang w:eastAsia="ru-RU"/>
        </w:rPr>
        <w:t>сейчас</w:t>
      </w:r>
      <w:r w:rsidRPr="0044524F">
        <w:rPr>
          <w:rFonts w:ascii="Times New Roman" w:eastAsia="Times New Roman" w:hAnsi="Times New Roman"/>
          <w:color w:val="000000" w:themeColor="text1"/>
          <w:sz w:val="16"/>
          <w:szCs w:val="16"/>
          <w:lang w:eastAsia="ru-RU"/>
        </w:rPr>
        <w:t xml:space="preserve"> же не начнете серьезным образом нажимать, прозеваете время и разложите работников и колхозников.</w:t>
      </w:r>
    </w:p>
    <w:p w14:paraId="48FAF9ED" w14:textId="77777777" w:rsidR="00D51832" w:rsidRPr="0044524F" w:rsidRDefault="00D5183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3) Допускать «более частые выезды» инокорреспондентов нельзя. Если им не нравится установленный для них порядок, могут уехать в другие страны. В отношении инокорреспондентов надо сохранить полностью нынешний режим.</w:t>
      </w:r>
    </w:p>
    <w:p w14:paraId="5F52C97E" w14:textId="77777777" w:rsidR="00D51832" w:rsidRPr="0044524F" w:rsidRDefault="00D5183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4) Сообщите как идет разворачивание коммерческой («свободной») хлебной торговли.</w:t>
      </w:r>
    </w:p>
    <w:p w14:paraId="0608E329" w14:textId="77777777" w:rsidR="00D51832" w:rsidRPr="0044524F" w:rsidRDefault="00D5183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Привет! И.Сталин. 28/IX 33.</w:t>
      </w:r>
    </w:p>
    <w:p w14:paraId="1DFF3D17" w14:textId="77777777" w:rsidR="00D51832" w:rsidRPr="0044524F" w:rsidRDefault="00D5183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Ф. 81. On. 3. Д. 100. Л. 22–24. Автограф (17281).</w:t>
      </w:r>
    </w:p>
    <w:p w14:paraId="63D760BD" w14:textId="77777777" w:rsidR="00D51832" w:rsidRPr="0044524F" w:rsidRDefault="00D51832" w:rsidP="009654CF">
      <w:pPr>
        <w:spacing w:after="0" w:line="240" w:lineRule="auto"/>
        <w:jc w:val="both"/>
        <w:rPr>
          <w:rFonts w:ascii="Times New Roman" w:eastAsia="TimesNewRoman" w:hAnsi="Times New Roman"/>
          <w:color w:val="000000" w:themeColor="text1"/>
          <w:sz w:val="16"/>
          <w:szCs w:val="16"/>
        </w:rPr>
      </w:pPr>
    </w:p>
    <w:p w14:paraId="58A71424"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сентября 1933 г., реализуя принятый курс военно-технического сотрудничества с Италией в области морского вооружения и техники, вышло Постановление КО СНК СССР «О приобретении иностранной технической помощи по постройке крейсеров». В соответствии с данным Постановлением было определено следующее: «Предложить Наркому Тяжелой Промышленности (НКТП) тов. Орджоникидзе немедленно пригласить в СССР представителей итальянской фирмы ―Ансальдо‖ для переговоров о заключении договора на техническую помощь по постройке крейсеров и покупке механических установок для одного крейсера. Первый крейсер строить в г. Ленинграде, место постройки второго крейсера установить особо» [Там же, д. 498, л. 202]. Дальнейшей реализацией данной программы стало Постановление КО СНК СССР от 17 февраля 1934 г. «О результатах переговоров по иностранной техпомощи для постройки крейсеров», в котором, в частности, указывалось НКТП продолжить переговоры с фирмой «Ансальдо» и заключить в кратчайший срок договор на техпомощь по крейсерам. Постановлением также принималась предъявленная фирмой стоимость заказа в 3000000-3300000 руб. за крейсер и техпомощь [Там же, д. 499, л. 14].</w:t>
      </w:r>
    </w:p>
    <w:p w14:paraId="1CBC8EFC"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Реализуя решения советского правительства, в марте 1934 года был заключѐн договор Центрального конструкторского бюро судостроения (ЦКБС-1) (Главморпром) с итальянской фирмой «Ансальдо» о техпомощи по судостроению. Условия договора были следующие: «1. В результате получения механизмов и техпомощи по судостроению от итальянской фирмы, должен быть построен крейсер со следующими характеристиками:</w:t>
      </w:r>
    </w:p>
    <w:p w14:paraId="08C60E3A"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6 – 180 мм орудий в 3-х парных башнях, 6 – 100 мм зенитных орудий, 6 – 45 мм полуавтоматов, 2 – 3-х трубных торпедных аппарата, 2 – самолѐта на катапультах, прибор управления артиллерийским огнѐм (ПУАО), мины и глубинные бомбы; водоизмещение стандартное – 7.000 тонн.</w:t>
      </w:r>
    </w:p>
    <w:p w14:paraId="311C6EC9"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соответствии с договором фирма поставляет: полный комплект главных и вспомогательных механизмов (перечень прилагался); техпомощь по постановке производства перечисленных выше механизмов на заводах СССР. А также данные технологического процесса, калибров, шаблонов, приспособлений и устройств, необходимых для изготовления этих механизмов в Советском Союзе. Фирма направляла в СССР своих инженеров (18-24 чел.) и техников для обучения и руководства работами на заводах и, наконец, обучения советских инженеров (12 чел.) и рабочих (10 чел.) на своих заводах. Помимо этого, предоставлялся комплект чертежей, расчѐтов и спецификаций по корпусной части крейсера ―Монкукколи‖, одного из наиболее новых крейсеров итальянского флота, вступающего в строй в 1935 году, а также теоретические чертежи и чертежи винтов для запроектированного крейсера и эсминца» [3, д. 56, л. 20-29].</w:t>
      </w:r>
    </w:p>
    <w:p w14:paraId="2AD2D2D6"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Договором также были определены обязательства и гарантии фирмы, стоимость техпомощи – 3 750 000 зол. руб. [Там же].</w:t>
      </w:r>
    </w:p>
    <w:p w14:paraId="74EF2FF5"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согласованию с фирмой «Ансальдо» в Италии с целью приема иностранной техники в исследуемый период находились 26 инженерно-технических работников [Там же, л. 11-12].</w:t>
      </w:r>
    </w:p>
    <w:p w14:paraId="170FD081"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 Италию были направлены еще 4 инженера (специалисты по электрооборудованию, главным турбинам и вспомогательным механизмам) и 10 рабочих для обучения и освоения производственных процессов. Всего проходили изучение производства механизмов в Италии 8 инженеров, 1 мастер и 10 рабочих [Там же, л. 13] (18258).</w:t>
      </w:r>
    </w:p>
    <w:p w14:paraId="54BE9A23" w14:textId="77777777" w:rsidR="00ED1A5E" w:rsidRPr="0044524F" w:rsidRDefault="00ED1A5E" w:rsidP="009654CF">
      <w:pPr>
        <w:spacing w:after="0" w:line="240" w:lineRule="auto"/>
        <w:jc w:val="both"/>
        <w:rPr>
          <w:rFonts w:ascii="Times New Roman" w:hAnsi="Times New Roman"/>
          <w:color w:val="000000" w:themeColor="text1"/>
          <w:sz w:val="16"/>
          <w:szCs w:val="16"/>
        </w:rPr>
      </w:pPr>
    </w:p>
    <w:p w14:paraId="2F2C102D" w14:textId="77777777" w:rsidR="009E4F90"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875518F" w14:textId="77777777" w:rsidR="009E4F90" w:rsidRPr="0044524F" w:rsidRDefault="009E4F90" w:rsidP="009654CF">
      <w:pPr>
        <w:spacing w:after="0" w:line="240" w:lineRule="auto"/>
        <w:jc w:val="both"/>
        <w:rPr>
          <w:rFonts w:ascii="Times New Roman" w:hAnsi="Times New Roman"/>
          <w:iCs/>
          <w:color w:val="000000" w:themeColor="text1"/>
          <w:sz w:val="16"/>
          <w:szCs w:val="16"/>
        </w:rPr>
      </w:pPr>
    </w:p>
    <w:p w14:paraId="57C6B22A" w14:textId="77777777" w:rsidR="009E4F90" w:rsidRPr="0044524F" w:rsidRDefault="009E4F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сентября 1933 г. Густав Лемуан (</w:t>
      </w:r>
      <w:r w:rsidRPr="0044524F">
        <w:rPr>
          <w:rFonts w:ascii="Times New Roman" w:hAnsi="Times New Roman"/>
          <w:color w:val="000000" w:themeColor="text1"/>
          <w:sz w:val="16"/>
          <w:szCs w:val="16"/>
          <w:lang w:val="en-US"/>
        </w:rPr>
        <w:t>GustaveLemoine</w:t>
      </w:r>
      <w:r w:rsidRPr="0044524F">
        <w:rPr>
          <w:rFonts w:ascii="Times New Roman" w:hAnsi="Times New Roman"/>
          <w:color w:val="000000" w:themeColor="text1"/>
          <w:sz w:val="16"/>
          <w:szCs w:val="16"/>
        </w:rPr>
        <w:t>) на самолёте Поте 50 достиг высоты 13661 м. Этому предшествовала трени</w:t>
      </w:r>
      <w:r w:rsidRPr="0044524F">
        <w:rPr>
          <w:rFonts w:ascii="Times New Roman" w:hAnsi="Times New Roman"/>
          <w:color w:val="000000" w:themeColor="text1"/>
          <w:sz w:val="16"/>
          <w:szCs w:val="16"/>
        </w:rPr>
        <w:softHyphen/>
        <w:t>ровка организма: особый режим питания,</w:t>
      </w:r>
      <w:r w:rsidRPr="0044524F">
        <w:rPr>
          <w:rStyle w:val="aff5"/>
          <w:rFonts w:ascii="Times New Roman" w:eastAsia="Arial Unicode MS" w:hAnsi="Times New Roman" w:cs="Times New Roman"/>
          <w:i w:val="0"/>
          <w:color w:val="000000" w:themeColor="text1"/>
        </w:rPr>
        <w:t xml:space="preserve"> «подъёмы» в барокамере и</w:t>
      </w:r>
      <w:r w:rsidRPr="0044524F">
        <w:rPr>
          <w:rFonts w:ascii="Times New Roman" w:hAnsi="Times New Roman"/>
          <w:color w:val="000000" w:themeColor="text1"/>
          <w:sz w:val="16"/>
          <w:szCs w:val="16"/>
        </w:rPr>
        <w:t xml:space="preserve"> пробные высотные полёты, после которых самолёт постепенно дорабатывался. Лемуан рассказывал об одной из попыток: </w:t>
      </w:r>
    </w:p>
    <w:p w14:paraId="7CADDF94" w14:textId="77777777" w:rsidR="009E4F90" w:rsidRPr="0044524F" w:rsidRDefault="009E4F90" w:rsidP="009654CF">
      <w:pPr>
        <w:pStyle w:val="28"/>
        <w:shd w:val="clear" w:color="auto" w:fill="auto"/>
        <w:spacing w:before="0" w:line="240" w:lineRule="auto"/>
        <w:jc w:val="both"/>
        <w:rPr>
          <w:rFonts w:ascii="Times New Roman" w:hAnsi="Times New Roman" w:cs="Times New Roman"/>
          <w:color w:val="000000" w:themeColor="text1"/>
          <w:sz w:val="16"/>
          <w:szCs w:val="16"/>
        </w:rPr>
      </w:pPr>
      <w:r w:rsidRPr="0044524F">
        <w:rPr>
          <w:rStyle w:val="2f2"/>
          <w:rFonts w:ascii="Times New Roman" w:eastAsiaTheme="minorHAnsi" w:hAnsi="Times New Roman" w:cs="Times New Roman"/>
          <w:b w:val="0"/>
          <w:color w:val="000000" w:themeColor="text1"/>
          <w:sz w:val="16"/>
          <w:szCs w:val="16"/>
        </w:rPr>
        <w:lastRenderedPageBreak/>
        <w:t>«Моя</w:t>
      </w:r>
      <w:r w:rsidRPr="0044524F">
        <w:rPr>
          <w:rFonts w:ascii="Times New Roman" w:hAnsi="Times New Roman" w:cs="Times New Roman"/>
          <w:color w:val="000000" w:themeColor="text1"/>
          <w:sz w:val="16"/>
          <w:szCs w:val="16"/>
        </w:rPr>
        <w:t xml:space="preserve"> экипировка состояла из шёлковой пижамы, хлопкового комбинезона, бумажной про</w:t>
      </w:r>
      <w:r w:rsidRPr="0044524F">
        <w:rPr>
          <w:rFonts w:ascii="Times New Roman" w:hAnsi="Times New Roman" w:cs="Times New Roman"/>
          <w:color w:val="000000" w:themeColor="text1"/>
          <w:sz w:val="16"/>
          <w:szCs w:val="16"/>
        </w:rPr>
        <w:softHyphen/>
        <w:t>слойки вокруг грудной клетки и очень мягкого кожаного комбинезона. На лице - шёлковый под</w:t>
      </w:r>
      <w:r w:rsidRPr="0044524F">
        <w:rPr>
          <w:rFonts w:ascii="Times New Roman" w:hAnsi="Times New Roman" w:cs="Times New Roman"/>
          <w:color w:val="000000" w:themeColor="text1"/>
          <w:sz w:val="16"/>
          <w:szCs w:val="16"/>
        </w:rPr>
        <w:softHyphen/>
        <w:t>шлемник, замшевая маска и обычный</w:t>
      </w:r>
      <w:r w:rsidRPr="0044524F">
        <w:rPr>
          <w:rStyle w:val="2f2"/>
          <w:rFonts w:ascii="Times New Roman" w:eastAsiaTheme="minorHAnsi" w:hAnsi="Times New Roman" w:cs="Times New Roman"/>
          <w:b w:val="0"/>
          <w:color w:val="000000" w:themeColor="text1"/>
          <w:sz w:val="16"/>
          <w:szCs w:val="16"/>
        </w:rPr>
        <w:t xml:space="preserve"> шлем. У меня</w:t>
      </w:r>
      <w:r w:rsidRPr="0044524F">
        <w:rPr>
          <w:rFonts w:ascii="Times New Roman" w:hAnsi="Times New Roman" w:cs="Times New Roman"/>
          <w:color w:val="000000" w:themeColor="text1"/>
          <w:sz w:val="16"/>
          <w:szCs w:val="16"/>
        </w:rPr>
        <w:t xml:space="preserve"> были рукавицы и</w:t>
      </w:r>
      <w:r w:rsidRPr="0044524F">
        <w:rPr>
          <w:rStyle w:val="2f2"/>
          <w:rFonts w:ascii="Times New Roman" w:eastAsiaTheme="minorHAnsi" w:hAnsi="Times New Roman" w:cs="Times New Roman"/>
          <w:b w:val="0"/>
          <w:color w:val="000000" w:themeColor="text1"/>
          <w:sz w:val="16"/>
          <w:szCs w:val="16"/>
        </w:rPr>
        <w:t xml:space="preserve"> меховые вкладные</w:t>
      </w:r>
      <w:r w:rsidRPr="0044524F">
        <w:rPr>
          <w:rFonts w:ascii="Times New Roman" w:hAnsi="Times New Roman" w:cs="Times New Roman"/>
          <w:color w:val="000000" w:themeColor="text1"/>
          <w:sz w:val="16"/>
          <w:szCs w:val="16"/>
        </w:rPr>
        <w:t xml:space="preserve"> чулки. Очки - без</w:t>
      </w:r>
      <w:r w:rsidRPr="0044524F">
        <w:rPr>
          <w:rStyle w:val="2f2"/>
          <w:rFonts w:ascii="Times New Roman" w:eastAsiaTheme="minorHAnsi" w:hAnsi="Times New Roman" w:cs="Times New Roman"/>
          <w:b w:val="0"/>
          <w:color w:val="000000" w:themeColor="text1"/>
          <w:sz w:val="16"/>
          <w:szCs w:val="16"/>
        </w:rPr>
        <w:t xml:space="preserve"> стёкол, чтобы не образовывался </w:t>
      </w:r>
      <w:r w:rsidRPr="0044524F">
        <w:rPr>
          <w:rFonts w:ascii="Times New Roman" w:hAnsi="Times New Roman" w:cs="Times New Roman"/>
          <w:color w:val="000000" w:themeColor="text1"/>
          <w:sz w:val="16"/>
          <w:szCs w:val="16"/>
        </w:rPr>
        <w:t>иней, окуляры обеспечивали вокруг глаз слой не такого холодного воздуха.</w:t>
      </w:r>
    </w:p>
    <w:p w14:paraId="3567274E" w14:textId="77777777" w:rsidR="009E4F90" w:rsidRPr="0044524F" w:rsidRDefault="009E4F90" w:rsidP="009654CF">
      <w:pPr>
        <w:pStyle w:val="28"/>
        <w:shd w:val="clear" w:color="auto" w:fill="auto"/>
        <w:spacing w:before="0" w:line="240" w:lineRule="auto"/>
        <w:jc w:val="both"/>
        <w:rPr>
          <w:rFonts w:ascii="Times New Roman" w:hAnsi="Times New Roman" w:cs="Times New Roman"/>
          <w:color w:val="000000" w:themeColor="text1"/>
          <w:sz w:val="16"/>
          <w:szCs w:val="16"/>
        </w:rPr>
      </w:pPr>
      <w:r w:rsidRPr="0044524F">
        <w:rPr>
          <w:rStyle w:val="2f2"/>
          <w:rFonts w:ascii="Times New Roman" w:eastAsiaTheme="minorHAnsi" w:hAnsi="Times New Roman" w:cs="Times New Roman"/>
          <w:b w:val="0"/>
          <w:color w:val="000000" w:themeColor="text1"/>
          <w:sz w:val="16"/>
          <w:szCs w:val="16"/>
        </w:rPr>
        <w:t>Я взлетел в ] 0:40, полный надежд, и</w:t>
      </w:r>
      <w:r w:rsidRPr="0044524F">
        <w:rPr>
          <w:rFonts w:ascii="Times New Roman" w:hAnsi="Times New Roman" w:cs="Times New Roman"/>
          <w:color w:val="000000" w:themeColor="text1"/>
          <w:sz w:val="16"/>
          <w:szCs w:val="16"/>
        </w:rPr>
        <w:t xml:space="preserve"> разме</w:t>
      </w:r>
      <w:r w:rsidRPr="0044524F">
        <w:rPr>
          <w:rFonts w:ascii="Times New Roman" w:hAnsi="Times New Roman" w:cs="Times New Roman"/>
          <w:color w:val="000000" w:themeColor="text1"/>
          <w:sz w:val="16"/>
          <w:szCs w:val="16"/>
        </w:rPr>
        <w:softHyphen/>
        <w:t xml:space="preserve">ренно набирал высоту 8000 метров, используя только часть мощности мотора (режим 1800 оборотов в минуту). Пролетая над регионом Бос, я достиг этой высоты за 30 минут. Выше 8000 метров я прибавил газ до 2350 оборотов </w:t>
      </w:r>
      <w:r w:rsidRPr="0044524F">
        <w:rPr>
          <w:rStyle w:val="26pt"/>
          <w:rFonts w:ascii="Times New Roman" w:hAnsi="Times New Roman" w:cs="Times New Roman"/>
          <w:b w:val="0"/>
          <w:color w:val="000000" w:themeColor="text1"/>
          <w:sz w:val="16"/>
          <w:szCs w:val="16"/>
        </w:rPr>
        <w:t>з</w:t>
      </w:r>
      <w:r w:rsidRPr="0044524F">
        <w:rPr>
          <w:rFonts w:ascii="Times New Roman" w:hAnsi="Times New Roman" w:cs="Times New Roman"/>
          <w:color w:val="000000" w:themeColor="text1"/>
          <w:sz w:val="16"/>
          <w:szCs w:val="16"/>
        </w:rPr>
        <w:t xml:space="preserve"> минуту</w:t>
      </w:r>
      <w:r w:rsidRPr="0044524F">
        <w:rPr>
          <w:rStyle w:val="2f2"/>
          <w:rFonts w:ascii="Times New Roman" w:eastAsiaTheme="minorHAnsi" w:hAnsi="Times New Roman" w:cs="Times New Roman"/>
          <w:b w:val="0"/>
          <w:color w:val="000000" w:themeColor="text1"/>
          <w:sz w:val="16"/>
          <w:szCs w:val="16"/>
        </w:rPr>
        <w:t xml:space="preserve"> и</w:t>
      </w:r>
      <w:r w:rsidRPr="0044524F">
        <w:rPr>
          <w:rFonts w:ascii="Times New Roman" w:hAnsi="Times New Roman" w:cs="Times New Roman"/>
          <w:color w:val="000000" w:themeColor="text1"/>
          <w:sz w:val="16"/>
          <w:szCs w:val="16"/>
        </w:rPr>
        <w:t xml:space="preserve"> переставил стабилизатор, чтобы</w:t>
      </w:r>
      <w:r w:rsidRPr="0044524F">
        <w:rPr>
          <w:rStyle w:val="26pt"/>
          <w:rFonts w:ascii="Times New Roman" w:hAnsi="Times New Roman" w:cs="Times New Roman"/>
          <w:b w:val="0"/>
          <w:color w:val="000000" w:themeColor="text1"/>
          <w:sz w:val="16"/>
          <w:szCs w:val="16"/>
        </w:rPr>
        <w:t xml:space="preserve"> ле</w:t>
      </w:r>
      <w:r w:rsidRPr="0044524F">
        <w:rPr>
          <w:rStyle w:val="26pt"/>
          <w:rFonts w:ascii="Times New Roman" w:hAnsi="Times New Roman" w:cs="Times New Roman"/>
          <w:b w:val="0"/>
          <w:color w:val="000000" w:themeColor="text1"/>
          <w:sz w:val="16"/>
          <w:szCs w:val="16"/>
        </w:rPr>
        <w:softHyphen/>
      </w:r>
      <w:r w:rsidRPr="0044524F">
        <w:rPr>
          <w:rFonts w:ascii="Times New Roman" w:hAnsi="Times New Roman" w:cs="Times New Roman"/>
          <w:color w:val="000000" w:themeColor="text1"/>
          <w:sz w:val="16"/>
          <w:szCs w:val="16"/>
        </w:rPr>
        <w:t>теть с оптимальным углом набора высоты.</w:t>
      </w:r>
    </w:p>
    <w:p w14:paraId="515B9C99" w14:textId="77777777" w:rsidR="009E4F90" w:rsidRPr="0044524F" w:rsidRDefault="009E4F90" w:rsidP="009654CF">
      <w:pPr>
        <w:pStyle w:val="28"/>
        <w:shd w:val="clear" w:color="auto" w:fill="auto"/>
        <w:spacing w:before="0" w:line="240" w:lineRule="auto"/>
        <w:jc w:val="both"/>
        <w:rPr>
          <w:rFonts w:ascii="Times New Roman" w:hAnsi="Times New Roman" w:cs="Times New Roman"/>
          <w:color w:val="000000" w:themeColor="text1"/>
          <w:sz w:val="16"/>
          <w:szCs w:val="16"/>
        </w:rPr>
      </w:pPr>
      <w:r w:rsidRPr="0044524F">
        <w:rPr>
          <w:rStyle w:val="2f2"/>
          <w:rFonts w:ascii="Times New Roman" w:eastAsiaTheme="minorHAnsi" w:hAnsi="Times New Roman" w:cs="Times New Roman"/>
          <w:b w:val="0"/>
          <w:color w:val="000000" w:themeColor="text1"/>
          <w:sz w:val="16"/>
          <w:szCs w:val="16"/>
        </w:rPr>
        <w:t>Официальные барографы были спрятаны з</w:t>
      </w:r>
      <w:r w:rsidRPr="0044524F">
        <w:rPr>
          <w:rFonts w:ascii="Times New Roman" w:hAnsi="Times New Roman" w:cs="Times New Roman"/>
          <w:color w:val="000000" w:themeColor="text1"/>
          <w:sz w:val="16"/>
          <w:szCs w:val="16"/>
        </w:rPr>
        <w:t xml:space="preserve"> фюзеляже комиссарами аэроклуба, месье Сади-Леконтом (</w:t>
      </w:r>
      <w:r w:rsidRPr="0044524F">
        <w:rPr>
          <w:rFonts w:ascii="Times New Roman" w:hAnsi="Times New Roman" w:cs="Times New Roman"/>
          <w:color w:val="000000" w:themeColor="text1"/>
          <w:sz w:val="16"/>
          <w:szCs w:val="16"/>
          <w:lang w:val="en-US"/>
        </w:rPr>
        <w:t>Sadi</w:t>
      </w:r>
      <w:r w:rsidRPr="0044524F">
        <w:rPr>
          <w:rFonts w:ascii="Times New Roman" w:hAnsi="Times New Roman" w:cs="Times New Roman"/>
          <w:color w:val="000000" w:themeColor="text1"/>
          <w:sz w:val="16"/>
          <w:szCs w:val="16"/>
        </w:rPr>
        <w:t>-</w:t>
      </w:r>
      <w:r w:rsidRPr="0044524F">
        <w:rPr>
          <w:rFonts w:ascii="Times New Roman" w:hAnsi="Times New Roman" w:cs="Times New Roman"/>
          <w:color w:val="000000" w:themeColor="text1"/>
          <w:sz w:val="16"/>
          <w:szCs w:val="16"/>
          <w:lang w:val="en-US"/>
        </w:rPr>
        <w:t>Lecointej</w:t>
      </w:r>
      <w:r w:rsidRPr="0044524F">
        <w:rPr>
          <w:rFonts w:ascii="Times New Roman" w:hAnsi="Times New Roman" w:cs="Times New Roman"/>
          <w:color w:val="000000" w:themeColor="text1"/>
          <w:sz w:val="16"/>
          <w:szCs w:val="16"/>
        </w:rPr>
        <w:t xml:space="preserve"> и месье Эспи- </w:t>
      </w:r>
      <w:r w:rsidRPr="0044524F">
        <w:rPr>
          <w:rStyle w:val="2f2"/>
          <w:rFonts w:ascii="Times New Roman" w:eastAsiaTheme="minorHAnsi" w:hAnsi="Times New Roman" w:cs="Times New Roman"/>
          <w:b w:val="0"/>
          <w:color w:val="000000" w:themeColor="text1"/>
          <w:sz w:val="16"/>
          <w:szCs w:val="16"/>
        </w:rPr>
        <w:t>на (</w:t>
      </w:r>
      <w:r w:rsidRPr="0044524F">
        <w:rPr>
          <w:rStyle w:val="2f2"/>
          <w:rFonts w:ascii="Times New Roman" w:eastAsiaTheme="minorHAnsi" w:hAnsi="Times New Roman" w:cs="Times New Roman"/>
          <w:b w:val="0"/>
          <w:color w:val="000000" w:themeColor="text1"/>
          <w:sz w:val="16"/>
          <w:szCs w:val="16"/>
          <w:lang w:val="en-US"/>
        </w:rPr>
        <w:t>Espinat</w:t>
      </w:r>
      <w:r w:rsidRPr="0044524F">
        <w:rPr>
          <w:rStyle w:val="2f2"/>
          <w:rFonts w:ascii="Times New Roman" w:eastAsiaTheme="minorHAnsi" w:hAnsi="Times New Roman" w:cs="Times New Roman"/>
          <w:b w:val="0"/>
          <w:color w:val="000000" w:themeColor="text1"/>
          <w:sz w:val="16"/>
          <w:szCs w:val="16"/>
        </w:rPr>
        <w:t>), и</w:t>
      </w:r>
      <w:r w:rsidRPr="0044524F">
        <w:rPr>
          <w:rFonts w:ascii="Times New Roman" w:hAnsi="Times New Roman" w:cs="Times New Roman"/>
          <w:color w:val="000000" w:themeColor="text1"/>
          <w:sz w:val="16"/>
          <w:szCs w:val="16"/>
        </w:rPr>
        <w:t xml:space="preserve"> перед</w:t>
      </w:r>
      <w:r w:rsidRPr="0044524F">
        <w:rPr>
          <w:rStyle w:val="2f2"/>
          <w:rFonts w:ascii="Times New Roman" w:eastAsiaTheme="minorHAnsi" w:hAnsi="Times New Roman" w:cs="Times New Roman"/>
          <w:b w:val="0"/>
          <w:color w:val="000000" w:themeColor="text1"/>
          <w:sz w:val="16"/>
          <w:szCs w:val="16"/>
        </w:rPr>
        <w:t xml:space="preserve"> глазами</w:t>
      </w:r>
      <w:r w:rsidRPr="0044524F">
        <w:rPr>
          <w:rFonts w:ascii="Times New Roman" w:hAnsi="Times New Roman" w:cs="Times New Roman"/>
          <w:color w:val="000000" w:themeColor="text1"/>
          <w:sz w:val="16"/>
          <w:szCs w:val="16"/>
        </w:rPr>
        <w:t xml:space="preserve"> у меня был только собственный барограф, тоже официальный. Благодаря ему, я шаг за шагом отслеживал набор высоты. От 8000 до 13000 метров я поднимался 1</w:t>
      </w:r>
      <w:r w:rsidRPr="0044524F">
        <w:rPr>
          <w:rStyle w:val="2f2"/>
          <w:rFonts w:ascii="Times New Roman" w:eastAsiaTheme="minorHAnsi" w:hAnsi="Times New Roman" w:cs="Times New Roman"/>
          <w:b w:val="0"/>
          <w:color w:val="000000" w:themeColor="text1"/>
          <w:sz w:val="16"/>
          <w:szCs w:val="16"/>
        </w:rPr>
        <w:t xml:space="preserve"> час.</w:t>
      </w:r>
      <w:r w:rsidRPr="0044524F">
        <w:rPr>
          <w:rFonts w:ascii="Times New Roman" w:hAnsi="Times New Roman" w:cs="Times New Roman"/>
          <w:color w:val="000000" w:themeColor="text1"/>
          <w:sz w:val="16"/>
          <w:szCs w:val="16"/>
        </w:rPr>
        <w:t xml:space="preserve"> Какой холод! Но, при этом, какой восторг. С высоты моему взору откры</w:t>
      </w:r>
      <w:r w:rsidRPr="0044524F">
        <w:rPr>
          <w:rFonts w:ascii="Times New Roman" w:hAnsi="Times New Roman" w:cs="Times New Roman"/>
          <w:color w:val="000000" w:themeColor="text1"/>
          <w:sz w:val="16"/>
          <w:szCs w:val="16"/>
        </w:rPr>
        <w:softHyphen/>
        <w:t>лась четверть Франции.</w:t>
      </w:r>
    </w:p>
    <w:p w14:paraId="42937B70" w14:textId="77777777" w:rsidR="009E4F90" w:rsidRPr="0044524F" w:rsidRDefault="009E4F90" w:rsidP="009654CF">
      <w:pPr>
        <w:pStyle w:val="28"/>
        <w:shd w:val="clear" w:color="auto" w:fill="auto"/>
        <w:spacing w:before="0"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Я различал Ла Манш и угадывал берег Ан</w:t>
      </w:r>
      <w:r w:rsidRPr="0044524F">
        <w:rPr>
          <w:rFonts w:ascii="Times New Roman" w:hAnsi="Times New Roman" w:cs="Times New Roman"/>
          <w:color w:val="000000" w:themeColor="text1"/>
          <w:sz w:val="16"/>
          <w:szCs w:val="16"/>
        </w:rPr>
        <w:softHyphen/>
        <w:t>глии. Дыхательный аппарат работал превос</w:t>
      </w:r>
      <w:r w:rsidRPr="0044524F">
        <w:rPr>
          <w:rFonts w:ascii="Times New Roman" w:hAnsi="Times New Roman" w:cs="Times New Roman"/>
          <w:color w:val="000000" w:themeColor="text1"/>
          <w:sz w:val="16"/>
          <w:szCs w:val="16"/>
        </w:rPr>
        <w:softHyphen/>
        <w:t>ходно, и, начиная с высоты 2500 метров, он автоматически</w:t>
      </w:r>
      <w:r w:rsidRPr="0044524F">
        <w:rPr>
          <w:rStyle w:val="2f2"/>
          <w:rFonts w:ascii="Times New Roman" w:eastAsiaTheme="minorHAnsi" w:hAnsi="Times New Roman" w:cs="Times New Roman"/>
          <w:b w:val="0"/>
          <w:color w:val="000000" w:themeColor="text1"/>
          <w:sz w:val="16"/>
          <w:szCs w:val="16"/>
        </w:rPr>
        <w:t xml:space="preserve"> подавал</w:t>
      </w:r>
      <w:r w:rsidRPr="0044524F">
        <w:rPr>
          <w:rFonts w:ascii="Times New Roman" w:hAnsi="Times New Roman" w:cs="Times New Roman"/>
          <w:color w:val="000000" w:themeColor="text1"/>
          <w:sz w:val="16"/>
          <w:szCs w:val="16"/>
        </w:rPr>
        <w:t xml:space="preserve"> мне подогретый кис</w:t>
      </w:r>
      <w:r w:rsidRPr="0044524F">
        <w:rPr>
          <w:rFonts w:ascii="Times New Roman" w:hAnsi="Times New Roman" w:cs="Times New Roman"/>
          <w:color w:val="000000" w:themeColor="text1"/>
          <w:sz w:val="16"/>
          <w:szCs w:val="16"/>
        </w:rPr>
        <w:softHyphen/>
        <w:t>лород. Между 8000 до 1 1500 метров я пере</w:t>
      </w:r>
      <w:r w:rsidRPr="0044524F">
        <w:rPr>
          <w:rFonts w:ascii="Times New Roman" w:hAnsi="Times New Roman" w:cs="Times New Roman"/>
          <w:color w:val="000000" w:themeColor="text1"/>
          <w:sz w:val="16"/>
          <w:szCs w:val="16"/>
        </w:rPr>
        <w:softHyphen/>
        <w:t>ключил один из кислородных аппаратов на по</w:t>
      </w:r>
      <w:r w:rsidRPr="0044524F">
        <w:rPr>
          <w:rFonts w:ascii="Times New Roman" w:hAnsi="Times New Roman" w:cs="Times New Roman"/>
          <w:color w:val="000000" w:themeColor="text1"/>
          <w:sz w:val="16"/>
          <w:szCs w:val="16"/>
        </w:rPr>
        <w:softHyphen/>
        <w:t>вышенную производительность, а выше 1 1500 метров - оба.</w:t>
      </w:r>
    </w:p>
    <w:p w14:paraId="2EF35A12" w14:textId="77777777" w:rsidR="009E4F90" w:rsidRPr="0044524F" w:rsidRDefault="009E4F90" w:rsidP="009654CF">
      <w:pPr>
        <w:pStyle w:val="28"/>
        <w:shd w:val="clear" w:color="auto" w:fill="auto"/>
        <w:spacing w:before="0"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На высоте 13000 м произошли резкие сильные порывы ветра, которые стали причиной мгновенного падения на 50 метров, и мне пришлось несколько минут лететь без набора высоты.</w:t>
      </w:r>
    </w:p>
    <w:p w14:paraId="48D32AF9" w14:textId="77777777" w:rsidR="009E4F90" w:rsidRPr="0044524F" w:rsidRDefault="009E4F90" w:rsidP="009654CF">
      <w:pPr>
        <w:pStyle w:val="28"/>
        <w:shd w:val="clear" w:color="auto" w:fill="auto"/>
        <w:spacing w:before="0"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К 13200 метрам перо барографа прекратило писать. К счастью, официальные барографы, обмазанные сажей, продолжали работать, иначе рекорд не был бы зафиксирован.</w:t>
      </w:r>
    </w:p>
    <w:p w14:paraId="68246267" w14:textId="77777777" w:rsidR="009E4F90" w:rsidRPr="0044524F" w:rsidRDefault="009E4F90" w:rsidP="009654CF">
      <w:pPr>
        <w:pStyle w:val="28"/>
        <w:shd w:val="clear" w:color="auto" w:fill="auto"/>
        <w:spacing w:before="0"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Взгляд на вариометр уверил меня, что попытка продолжается успешно, судя по указанию положительной вертикальной скорости.</w:t>
      </w:r>
    </w:p>
    <w:p w14:paraId="56E0025A" w14:textId="77777777" w:rsidR="009E4F90" w:rsidRPr="0044524F" w:rsidRDefault="009E4F90" w:rsidP="009654CF">
      <w:pPr>
        <w:pStyle w:val="28"/>
        <w:shd w:val="clear" w:color="auto" w:fill="auto"/>
        <w:spacing w:before="0"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Видимость простиралась на многие сотни километров. На границе горизонта справа свер</w:t>
      </w:r>
      <w:r w:rsidRPr="0044524F">
        <w:rPr>
          <w:rFonts w:ascii="Times New Roman" w:hAnsi="Times New Roman" w:cs="Times New Roman"/>
          <w:color w:val="000000" w:themeColor="text1"/>
          <w:sz w:val="16"/>
          <w:szCs w:val="16"/>
        </w:rPr>
        <w:softHyphen/>
        <w:t>кала Сена, тогда как с другого борта я ясно различал Луару, усеянную залежами песка. Стол</w:t>
      </w:r>
      <w:r w:rsidRPr="0044524F">
        <w:rPr>
          <w:rFonts w:ascii="Times New Roman" w:hAnsi="Times New Roman" w:cs="Times New Roman"/>
          <w:color w:val="000000" w:themeColor="text1"/>
          <w:sz w:val="16"/>
          <w:szCs w:val="16"/>
        </w:rPr>
        <w:softHyphen/>
        <w:t>бик термометра показывал температуру ниже минус 60 градусов, и, тем не менее, мне не было холодно. &lt;...&gt; Я чувствовал себя хорошо.</w:t>
      </w:r>
    </w:p>
    <w:p w14:paraId="6AC716FA" w14:textId="77777777" w:rsidR="009E4F90" w:rsidRPr="0044524F" w:rsidRDefault="009E4F90" w:rsidP="009654CF">
      <w:pPr>
        <w:pStyle w:val="28"/>
        <w:shd w:val="clear" w:color="auto" w:fill="auto"/>
        <w:spacing w:before="0"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Однако после сильной болтанки во все стороны и с глазами, частично прикрытыми льдин</w:t>
      </w:r>
      <w:r w:rsidRPr="0044524F">
        <w:rPr>
          <w:rFonts w:ascii="Times New Roman" w:hAnsi="Times New Roman" w:cs="Times New Roman"/>
          <w:color w:val="000000" w:themeColor="text1"/>
          <w:sz w:val="16"/>
          <w:szCs w:val="16"/>
        </w:rPr>
        <w:softHyphen/>
        <w:t>ками, образовавшимися на кончиках ресниц и постепенно снизившими мои зрительные воз</w:t>
      </w:r>
      <w:r w:rsidRPr="0044524F">
        <w:rPr>
          <w:rFonts w:ascii="Times New Roman" w:hAnsi="Times New Roman" w:cs="Times New Roman"/>
          <w:color w:val="000000" w:themeColor="text1"/>
          <w:sz w:val="16"/>
          <w:szCs w:val="16"/>
        </w:rPr>
        <w:softHyphen/>
        <w:t>можности,</w:t>
      </w:r>
      <w:r w:rsidRPr="0044524F">
        <w:rPr>
          <w:rStyle w:val="2f2"/>
          <w:rFonts w:ascii="Times New Roman" w:eastAsiaTheme="minorHAnsi" w:hAnsi="Times New Roman" w:cs="Times New Roman"/>
          <w:b w:val="0"/>
          <w:color w:val="000000" w:themeColor="text1"/>
          <w:sz w:val="16"/>
          <w:szCs w:val="16"/>
        </w:rPr>
        <w:t xml:space="preserve"> пришлось</w:t>
      </w:r>
      <w:r w:rsidRPr="0044524F">
        <w:rPr>
          <w:rFonts w:ascii="Times New Roman" w:hAnsi="Times New Roman" w:cs="Times New Roman"/>
          <w:color w:val="000000" w:themeColor="text1"/>
          <w:sz w:val="16"/>
          <w:szCs w:val="16"/>
        </w:rPr>
        <w:t xml:space="preserve"> прервать попытку, хотя мой Поте еще не достиг потолка. Находясь над Орлеаном, я остановил двигатель и, планируя, вернулся в Виллакубле в 12:45.</w:t>
      </w:r>
    </w:p>
    <w:p w14:paraId="72C95E51" w14:textId="77777777" w:rsidR="009E4F90" w:rsidRPr="0044524F" w:rsidRDefault="009E4F90" w:rsidP="009654CF">
      <w:pPr>
        <w:pStyle w:val="28"/>
        <w:shd w:val="clear" w:color="auto" w:fill="auto"/>
        <w:spacing w:before="0"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Когда вчера утром я решил приступить к установлению рекорда, к которому приблизился на 28 метров во время предыдущей попытки, сомнений в успехе не было. &lt;...&gt; Мой Поте прошел испытания, и с ним я уже</w:t>
      </w:r>
      <w:r w:rsidRPr="0044524F">
        <w:rPr>
          <w:rStyle w:val="2f2"/>
          <w:rFonts w:ascii="Times New Roman" w:eastAsiaTheme="minorHAnsi" w:hAnsi="Times New Roman" w:cs="Times New Roman"/>
          <w:b w:val="0"/>
          <w:color w:val="000000" w:themeColor="text1"/>
          <w:sz w:val="16"/>
          <w:szCs w:val="16"/>
        </w:rPr>
        <w:t xml:space="preserve"> 1</w:t>
      </w:r>
      <w:r w:rsidRPr="0044524F">
        <w:rPr>
          <w:rFonts w:ascii="Times New Roman" w:hAnsi="Times New Roman" w:cs="Times New Roman"/>
          <w:color w:val="000000" w:themeColor="text1"/>
          <w:sz w:val="16"/>
          <w:szCs w:val="16"/>
        </w:rPr>
        <w:t>3 раз поднимался выше 12000</w:t>
      </w:r>
      <w:r w:rsidRPr="0044524F">
        <w:rPr>
          <w:rStyle w:val="2f2"/>
          <w:rFonts w:ascii="Times New Roman" w:eastAsiaTheme="minorHAnsi" w:hAnsi="Times New Roman" w:cs="Times New Roman"/>
          <w:b w:val="0"/>
          <w:color w:val="000000" w:themeColor="text1"/>
          <w:sz w:val="16"/>
          <w:szCs w:val="16"/>
        </w:rPr>
        <w:t xml:space="preserve"> метров.</w:t>
      </w:r>
    </w:p>
    <w:p w14:paraId="3234400A" w14:textId="77777777" w:rsidR="009E4F90" w:rsidRPr="0044524F" w:rsidRDefault="009E4F90" w:rsidP="009654CF">
      <w:pPr>
        <w:pStyle w:val="28"/>
        <w:shd w:val="clear" w:color="auto" w:fill="auto"/>
        <w:spacing w:before="0"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 xml:space="preserve">Несколькими днями ранее месье П.-Л. Вейер (РА. </w:t>
      </w:r>
      <w:r w:rsidRPr="0044524F">
        <w:rPr>
          <w:rFonts w:ascii="Times New Roman" w:hAnsi="Times New Roman" w:cs="Times New Roman"/>
          <w:color w:val="000000" w:themeColor="text1"/>
          <w:sz w:val="16"/>
          <w:szCs w:val="16"/>
          <w:lang w:val="en-US"/>
        </w:rPr>
        <w:t>Weillerj</w:t>
      </w:r>
      <w:r w:rsidRPr="0044524F">
        <w:rPr>
          <w:rFonts w:ascii="Times New Roman" w:hAnsi="Times New Roman" w:cs="Times New Roman"/>
          <w:color w:val="000000" w:themeColor="text1"/>
          <w:sz w:val="16"/>
          <w:szCs w:val="16"/>
        </w:rPr>
        <w:t xml:space="preserve"> сказал, что мотор должен преодо</w:t>
      </w:r>
      <w:r w:rsidRPr="0044524F">
        <w:rPr>
          <w:rFonts w:ascii="Times New Roman" w:hAnsi="Times New Roman" w:cs="Times New Roman"/>
          <w:color w:val="000000" w:themeColor="text1"/>
          <w:sz w:val="16"/>
          <w:szCs w:val="16"/>
        </w:rPr>
        <w:softHyphen/>
        <w:t>леть 13000 метров. Я знал также, что планер Поте 50 вполне подходит для такого достижения. Как</w:t>
      </w:r>
      <w:r w:rsidRPr="0044524F">
        <w:rPr>
          <w:rStyle w:val="2f2"/>
          <w:rFonts w:ascii="Times New Roman" w:eastAsiaTheme="minorHAnsi" w:hAnsi="Times New Roman" w:cs="Times New Roman"/>
          <w:b w:val="0"/>
          <w:color w:val="000000" w:themeColor="text1"/>
          <w:sz w:val="16"/>
          <w:szCs w:val="16"/>
        </w:rPr>
        <w:t xml:space="preserve"> в</w:t>
      </w:r>
      <w:r w:rsidRPr="0044524F">
        <w:rPr>
          <w:rFonts w:ascii="Times New Roman" w:hAnsi="Times New Roman" w:cs="Times New Roman"/>
          <w:color w:val="000000" w:themeColor="text1"/>
          <w:sz w:val="16"/>
          <w:szCs w:val="16"/>
        </w:rPr>
        <w:t xml:space="preserve"> таких условиях мне</w:t>
      </w:r>
      <w:r w:rsidRPr="0044524F">
        <w:rPr>
          <w:rStyle w:val="2f2"/>
          <w:rFonts w:ascii="Times New Roman" w:eastAsiaTheme="minorHAnsi" w:hAnsi="Times New Roman" w:cs="Times New Roman"/>
          <w:b w:val="0"/>
          <w:color w:val="000000" w:themeColor="text1"/>
          <w:sz w:val="16"/>
          <w:szCs w:val="16"/>
        </w:rPr>
        <w:t xml:space="preserve"> не</w:t>
      </w:r>
      <w:r w:rsidRPr="0044524F">
        <w:rPr>
          <w:rFonts w:ascii="Times New Roman" w:hAnsi="Times New Roman" w:cs="Times New Roman"/>
          <w:color w:val="000000" w:themeColor="text1"/>
          <w:sz w:val="16"/>
          <w:szCs w:val="16"/>
        </w:rPr>
        <w:t xml:space="preserve"> быть</w:t>
      </w:r>
      <w:r w:rsidRPr="0044524F">
        <w:rPr>
          <w:rStyle w:val="26pt"/>
          <w:rFonts w:ascii="Times New Roman" w:hAnsi="Times New Roman" w:cs="Times New Roman"/>
          <w:b w:val="0"/>
          <w:color w:val="000000" w:themeColor="text1"/>
          <w:sz w:val="16"/>
          <w:szCs w:val="16"/>
        </w:rPr>
        <w:t xml:space="preserve"> уверенным?»</w:t>
      </w:r>
      <w:r w:rsidRPr="0044524F">
        <w:rPr>
          <w:rStyle w:val="2f2"/>
          <w:rFonts w:ascii="Times New Roman" w:eastAsiaTheme="minorHAnsi" w:hAnsi="Times New Roman" w:cs="Times New Roman"/>
          <w:b w:val="0"/>
          <w:color w:val="000000" w:themeColor="text1"/>
          <w:sz w:val="16"/>
          <w:szCs w:val="16"/>
        </w:rPr>
        <w:t>.</w:t>
      </w:r>
    </w:p>
    <w:p w14:paraId="198987CB" w14:textId="77777777" w:rsidR="009E4F90" w:rsidRPr="0044524F" w:rsidRDefault="009E4F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Полёт 28 сентября 1933 г. длился чуть больше двух часов. Наверху температура составляла минус 60°С, и Лемуана мучила боль в глазах, на его веках образовались сосульки (на высоте использовались очки без стёкол). Самолёт бросало сильными порывами ветра (15974).</w:t>
      </w:r>
    </w:p>
    <w:p w14:paraId="4C2B2726" w14:textId="77777777" w:rsidR="009E4F90" w:rsidRPr="0044524F" w:rsidRDefault="009E4F90" w:rsidP="009654CF">
      <w:pPr>
        <w:spacing w:after="0" w:line="240" w:lineRule="auto"/>
        <w:jc w:val="both"/>
        <w:rPr>
          <w:rFonts w:ascii="Times New Roman" w:hAnsi="Times New Roman"/>
          <w:color w:val="000000" w:themeColor="text1"/>
          <w:sz w:val="16"/>
          <w:szCs w:val="16"/>
        </w:rPr>
      </w:pPr>
    </w:p>
    <w:p w14:paraId="67E6872A" w14:textId="77777777" w:rsidR="002910CF" w:rsidRPr="0044524F" w:rsidRDefault="002910C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сентября 1933 Гюстав Лемуан , использующий кислород, но без скафандра, устанавливает новый мировой рекорд высоты в 13 661 м (44 820 футов) на Potez 506, не имея возможности подняться выше из-за обледенения глаз, когда он сидит в своей открытой кабине . Его полет из Вилакубле , Франция, длится 2 часа 5 минут (20802).</w:t>
      </w:r>
    </w:p>
    <w:p w14:paraId="11DC4E39" w14:textId="77777777" w:rsidR="002910CF" w:rsidRPr="0044524F" w:rsidRDefault="002910CF" w:rsidP="009654CF">
      <w:pPr>
        <w:spacing w:after="0" w:line="240" w:lineRule="auto"/>
        <w:jc w:val="both"/>
        <w:rPr>
          <w:rFonts w:ascii="Times New Roman" w:hAnsi="Times New Roman"/>
          <w:color w:val="000000" w:themeColor="text1"/>
          <w:sz w:val="16"/>
          <w:szCs w:val="16"/>
        </w:rPr>
      </w:pPr>
    </w:p>
    <w:p w14:paraId="2E89C3AF"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624D31C"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7DC3BE6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были закончены испытания ТБ-4 (АНТ-16) (92,433).</w:t>
      </w:r>
    </w:p>
    <w:p w14:paraId="596C382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23 сентября 1933 начались совместные гос. и войсковые испытания АНТ-16 (ТБ-4). Показал летные данные, удовлетворяющие ТТТ и отметили резервы по улучшению. Выставили дополнительные требования, которые решили учесть при постройке дублера (2072,64).</w:t>
      </w:r>
    </w:p>
    <w:p w14:paraId="27B4108F"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41EBFB3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29 сентября 1933 начались испытательные полеты на ТБ-4 в ходе государственных испытаний. Результаты их выглядели неоднозначно. Летал экипаж П.М. Стефановского. Стефановский позднее писал в своих мемуарах о новом самолете: "Он просто потрясал!"</w:t>
      </w:r>
    </w:p>
    <w:p w14:paraId="1512435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одной стороны, в отчете НИИ было записано: "Выпуск самолета ТБ4-6М34 с полетным весом 33 тонны является, несомненно, крупнейшим достижением Советского самолетостроения". С другой, на акте утверждения отчета начальник ВВС Я.И. Алкснис начертал резолюцию: "Констатирую, что в предъявленном виде самолет ТБ4-6М34 государственных испытаний не выдержал и к серийной постройке не может быть допущен". Причиной столь резкой реакции начальника ВВС РККА стал ряд существенных недостатков, выявленных в НИИ ВВС.</w:t>
      </w:r>
    </w:p>
    <w:p w14:paraId="78ADC42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Пилотирование гиганта оказалось не столь простым, как уверял Стефановского Громов. В отчете записано: "Взлет и посадка вследствие недостаточной мощности рулей высоты сложны и требуют согласованной работы обязательно двух летчиков. Самолет трудно отрывается от земли, имея разбег около 800 метров". Дело в том, что управление электроприводом стабилизатора поставили только у второго пилота. Командир действовал штурвалом, а второй пилот по его командам включал и выключал электромотор. При этом кнопки он искал на ощупь, держа штурвал одной рукой. Учитывая, что нагрузки на штурвале были очень велики, и его запросто могло вырвать, испытатели и пришли к такому разделению труда - один держит штурвал, а второй включает и выключает.</w:t>
      </w:r>
    </w:p>
    <w:p w14:paraId="3D4A254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взлете приходилось дважды включать электромеханизм перестановки стабилизатора. При этом подъемник работал ненадежно. Один раз его отказ чуть не привел к катастрофе. Электромотор после взлета не выключился и продолжал выворачивать стабилизатор. Бомбардировщик задрал нос и начал быстро терять скорость. Вот тут выявился еще один существенный конструктивный недостаток - отсутствие связи пилотов со старшим борттехником. На его месте в этом полете сидел инженер Л.И. Шевердинский. Наконец, Стефановскому удалось привлечь его внимание резким изменением оборотов одного из двигателей. Проблему решили обыкновенные кусачки - Шевердинский перерезал провод к электромотору. Сели без перестановки стабилизатора, используя многочисленный экипаж как живой балласт для изменения центровки. Летать, постоянно ожидая отказа управления, было просто страшновато.</w:t>
      </w:r>
    </w:p>
    <w:p w14:paraId="6085791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и другие неприятности. Выявилась тряска хвостового оперения. "При пробе плоскостных моторов на земле наблюдается боковое раскачивание хвостового оперения. При пробе тандемных моторов раскачивание оперения достигает больших размеров, вызывая опасение за сохранение прочности...". В полете незначительные вибрации проявлялись на всех режимах полета, усиливаясь при скоростях меньше 170 км/ч. Если летчики давали полный газ верхним моторам, начинал вдобавок раскачиваться руль направления. Но это были еще цветочки...</w:t>
      </w:r>
    </w:p>
    <w:p w14:paraId="7B839F8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стадии проверки возможности пилотирования самолета на пяти и даже четырех моторах, стало еще хуже. Когда выключали один двигатель, в сущности, ничего не менялось. На высоте 1000 м бомбардировщик продолжал лететь горизонтально, нагрузки для пилотов оставались в приемлемых пределах. Когда выключали два - самолет терял высоту. Более того, если убирали газ двум моторам с одной стороны, хвостовую часть начинало дергать. Тряска была столь сильной, что серьезно обеспокоила испытателей. Из ЦАГИ прибыл В.М. Петляков, руководивший у Туполева бригадой тяжелых самолетов. Его засунули в кабину кормового стрелка и дали в руки веревку. Если Петляков сочтет, что тряска опасна, он должен был дернуть веревку, второй конец которой привязали к ноге Стефановского. Когда хвост стало трясти, Петляков перепугался и рванул веревку так, что она оборвалась. В итоге специалистам ЦАГИ пришлось признать, что жесткость хвостовой части самолета явно недостаточна.</w:t>
      </w:r>
    </w:p>
    <w:p w14:paraId="038BEA0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Множество неприятностей доставила верхняя мотоустановка. Начнем с того, что электронасос, который должен был подавать бензин из баков в крыле наверх, не работал. Два механика, постоянно меняясь, весь полет орудовали большим ручным насосом. Мощная струя воздуха от тандемной установки делала невозможным даже пребывание в огневой точке на фюзеляже. "Поток от винтов не позволяет даже стоять в верхней турели", - написали в отчете. Обслуживание мотоустановки на высоте около 9 м признали "чрезвычайно затруднительным", "неудобным и небезопасным". Туда надо было поднимать воду и масло дчя двигателей. Это было просто акробатическим трюком. На испытаниях летали в сентябре, было еще сравнительно тепло. А зимой пришлось бы поднимать наверх горячую воду, причем в сильный мороз ее проливали через двигатель раза три- четыре, пока он не придет в норму по температуре. И масло тоже заправляли в мотор горячим.</w:t>
      </w:r>
    </w:p>
    <w:p w14:paraId="299D6B8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Большую проблему создавал ремонт водяного радиатора, общего для двух моторов. Снять его можно было только большим подъемным краном, поскольку вес достигал 200 кг. Спешка, в которой проектировали верхнюю установку, выразилась, например, в том, что у нее не было откидных мостиков для обслуживания, как на крыльях. Вопреки техническому заданию, доступа к этим моторам в полете не имелось.</w:t>
      </w:r>
    </w:p>
    <w:p w14:paraId="1733E0B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Пилотская кабина находилась в плоскости вращения винтов, и в ней было очень шумно. После часа полета у летчиков, даже одетых в наушники, наступала временная глухота. Металлическая крыша над проходом ухудшала обзор. Один пилот мог смотреть только вправо, другой - только влево. Выполняя повороты при маневрировании на земле, летчики то и дело передавали друг другу управление.</w:t>
      </w:r>
    </w:p>
    <w:p w14:paraId="3C413DF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Тормоза работали своеобразно. Они включались с задержкой в пять - десять секунд и с таким же опозданием выключались.</w:t>
      </w:r>
    </w:p>
    <w:p w14:paraId="2DF363B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Вдобавок выявился целый букет заводских недоделок и брака. Два бензобака текли. Водяные и водо-масляные радиаторы текли тоже, да так, что их посчитали "совершенно ненадежными". Выхлопные коллекторы моторов трескались.</w:t>
      </w:r>
    </w:p>
    <w:p w14:paraId="6D44DFF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 хлопот доставляло обслуживание огромной машины при отсутствии специальной техники. На заправку бомбовоза бензином уходило 2,5 часа (при использовании двух насосов). Чтобы подвесить бомбы, команда из 20 человек работала три часа; при этом груз поднимали на высоту в пять метров ручными лебедками.</w:t>
      </w:r>
    </w:p>
    <w:p w14:paraId="0650A59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Но самое главное, конструкторам не удалось выполнить ряд важных требований технического задания. Так, по заданию бомбардировщик должен был лететь на высоте 3000 м со скоростью 200 км/ч. Реально на испытаниях получили 187,5 км/ч на 2500 м. На 3000 м самолет вообще не смог подняться - практический потолок составлял всего 2750 м (при заданном 5000 м). Разбег доходил до 800 м при требуемом 250 м. Фактическая дальность полета составляла 1100 км против 2000 км. При этом нормальная бомбовая нагрузка равнялась всего 4000 кг. Правда, конструкторы предусмотрели установку дополнительных топливных баков емкостью 4000 л, что доводило взлетный вес до 37 т. Но в НИИ ВВС, подсчитав расход машиной горючего, пришли к выводу, что этого запаса хватит только на 1600 км.</w:t>
      </w:r>
    </w:p>
    <w:p w14:paraId="5EEDD87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Задание предусматривало установку стрелковых башен на крыле, введение наддува бензобаков нейтральным газом для уменьшения пожароопасности и устройства для слива горючего в воздухе или сброса части баков. Реально все это отсутствовало. Вернее, слив сделали, но на опорожнение баков требовались 83 минуты. Почти полтора часа никак не укладывались в понятие "быстрый", записанное в задании. Пользы от такого слива в аварийной ситуации реально не было никакой. В то же время все это отсутствовавшее на опытной машине оборудование и вооружение в будущем подняло бы вес самолета и несколько ухудшило его аэродинамику. Соответственно ухудшились бы и летные данные. </w:t>
      </w:r>
    </w:p>
    <w:p w14:paraId="6597218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невысоких летных данных ТБ-4 были ясны. Мощности шести М-34 для бомбардировщика такого веса просто не хватало. У старого ТБ-3 с двигателями М-17 нагрузка на мощность составляла 7,4 кг/л.е., а у АНТ-16 - 8,6 кг/л.с. Даже уменьшив нагрузку на крыло (63,3 кг/м2 против 78,3 кг/м2), парировать это не удалось.</w:t>
      </w:r>
    </w:p>
    <w:p w14:paraId="71EF1ED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обороты моторов М-34 были слишком велики для тихоходного ТБ-4. Коэффициент полезного действия винтов оказался довольно низким, не позволяя полностью использовать даже имеющуюся мощность. Самолет оснащался старомодными деревянными двухлопастными пропеллерами фиксированного шага трех разных размеров. Моторы на крыле вращали винты диаметром 3,18 м, передний двигатель наверху - 3,3 м и задний - 3,0 м.</w:t>
      </w:r>
    </w:p>
    <w:p w14:paraId="7D804C7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Специалисты НИИ ВВС внесли ряд рекомендаций по усовершенствованию машины. Но никто не мог дать бомбардировщику соответствующую его весу и размерам мотоустановку. Поэтому предложения НИИ, по сути, являлись паллиативными: увеличить размах и площадь крыла, увеличить руль высоты, внедрить моторы М-34Р с редукторами, заменить винты. Кроме этого требовали прозрачный фонарь над пилотской кабиной, огневые точки на крыльях и еще кое-что по мелочи.</w:t>
      </w:r>
    </w:p>
    <w:p w14:paraId="3E0364C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Кое-что из этого хотели внедрить на втором экземпляре АНТ-16, он же АНТ-16бис и ТБ-4бис (12036).</w:t>
      </w:r>
    </w:p>
    <w:p w14:paraId="233EDD06"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1E9B479" w14:textId="77777777" w:rsidR="00814683" w:rsidRPr="0044524F" w:rsidRDefault="008146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опросом членов ПБ</w:t>
      </w:r>
    </w:p>
    <w:p w14:paraId="2DBD759A" w14:textId="77777777" w:rsidR="00814683" w:rsidRPr="0044524F" w:rsidRDefault="008146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26/133.-О комиссии Мариамова.</w:t>
      </w:r>
    </w:p>
    <w:p w14:paraId="5855614C" w14:textId="77777777" w:rsidR="00814683" w:rsidRPr="0044524F" w:rsidRDefault="008146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Задачу комиссии т.Мариамова ограничить покупкой 20-30 моторов "Испано-Сюиза" 12-Уbrs с запчастями и инстру</w:t>
      </w:r>
      <w:r w:rsidRPr="0044524F">
        <w:rPr>
          <w:rFonts w:ascii="Times New Roman" w:hAnsi="Times New Roman"/>
          <w:color w:val="000000" w:themeColor="text1"/>
          <w:sz w:val="16"/>
          <w:szCs w:val="16"/>
        </w:rPr>
        <w:softHyphen/>
        <w:t>ментом и приобретением, в счет стоимости моторов, тех</w:t>
      </w:r>
      <w:r w:rsidRPr="0044524F">
        <w:rPr>
          <w:rFonts w:ascii="Times New Roman" w:hAnsi="Times New Roman"/>
          <w:color w:val="000000" w:themeColor="text1"/>
          <w:sz w:val="16"/>
          <w:szCs w:val="16"/>
        </w:rPr>
        <w:softHyphen/>
        <w:t>нической помощи фирмы на производство этих моторов в СССР. Комиссии изучить производство на заводе "Испано- Сюиза".</w:t>
      </w:r>
    </w:p>
    <w:p w14:paraId="5E827DF8" w14:textId="77777777" w:rsidR="00814683" w:rsidRPr="0044524F" w:rsidRDefault="008146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При ведении переговоров исходить ориентировочно из суммы 700-800 тысяч рублей и, во всяком случае, не свыше одного миллиона рублей, ограничив свои задачи установленными полномочиями.</w:t>
      </w:r>
    </w:p>
    <w:p w14:paraId="4F27795F" w14:textId="77777777" w:rsidR="00814683" w:rsidRPr="0044524F" w:rsidRDefault="008146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 Тухачевскому.</w:t>
      </w:r>
    </w:p>
    <w:p w14:paraId="38680907" w14:textId="77777777" w:rsidR="00814683" w:rsidRPr="0044524F" w:rsidRDefault="008146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опросом членов ПБ</w:t>
      </w:r>
    </w:p>
    <w:p w14:paraId="0A2F3161" w14:textId="77777777" w:rsidR="00814683" w:rsidRPr="0044524F" w:rsidRDefault="008146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178/161.- О прилете польской эскадрильи в Москву.</w:t>
      </w:r>
    </w:p>
    <w:p w14:paraId="4F8615ED" w14:textId="77777777" w:rsidR="00814683" w:rsidRPr="0044524F" w:rsidRDefault="008146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возражать против прилета польской эскад</w:t>
      </w:r>
      <w:r w:rsidRPr="0044524F">
        <w:rPr>
          <w:rFonts w:ascii="Times New Roman" w:hAnsi="Times New Roman"/>
          <w:color w:val="000000" w:themeColor="text1"/>
          <w:sz w:val="16"/>
          <w:szCs w:val="16"/>
        </w:rPr>
        <w:softHyphen/>
        <w:t>рильи в Москву.</w:t>
      </w:r>
    </w:p>
    <w:p w14:paraId="66040E12" w14:textId="77777777" w:rsidR="00814683" w:rsidRPr="0044524F" w:rsidRDefault="008146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досланы: т.т.Литвинову.Тухачевскому, Лртузову,Уншлихту (22996).</w:t>
      </w:r>
    </w:p>
    <w:p w14:paraId="449CB4BC" w14:textId="77777777" w:rsidR="00814683" w:rsidRPr="0044524F" w:rsidRDefault="008146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состоялось заседание ПБ и был оформлен протокол № 146 (22996).</w:t>
      </w:r>
    </w:p>
    <w:p w14:paraId="4ACE753A" w14:textId="77777777" w:rsidR="00814683" w:rsidRPr="0044524F" w:rsidRDefault="00814683" w:rsidP="009654CF">
      <w:pPr>
        <w:spacing w:after="0" w:line="240" w:lineRule="auto"/>
        <w:jc w:val="both"/>
        <w:rPr>
          <w:rFonts w:ascii="Times New Roman" w:hAnsi="Times New Roman"/>
          <w:color w:val="000000" w:themeColor="text1"/>
          <w:sz w:val="16"/>
          <w:szCs w:val="16"/>
        </w:rPr>
      </w:pPr>
    </w:p>
    <w:p w14:paraId="3DB1ECC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Ч.Линдберга, который улетал в Таллинн на гидросамолете провожал Ю.Пионтковский на АИР-7 и сделали два прощальных круга над Москвой (1771,7).</w:t>
      </w:r>
    </w:p>
    <w:p w14:paraId="6DD5273E"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54F6206" w14:textId="77777777" w:rsidR="00785FB6" w:rsidRPr="0044524F" w:rsidRDefault="00785FB6" w:rsidP="009654CF">
      <w:pPr>
        <w:pStyle w:val="rtejustify"/>
        <w:spacing w:before="0" w:after="0"/>
        <w:rPr>
          <w:color w:val="000000" w:themeColor="text1"/>
          <w:sz w:val="16"/>
          <w:szCs w:val="16"/>
        </w:rPr>
      </w:pPr>
      <w:r w:rsidRPr="0044524F">
        <w:rPr>
          <w:bCs/>
          <w:color w:val="000000" w:themeColor="text1"/>
          <w:sz w:val="16"/>
          <w:szCs w:val="16"/>
        </w:rPr>
        <w:t>29 сентября 1933 г. Каганович, Молотов — Сталину</w:t>
      </w:r>
    </w:p>
    <w:p w14:paraId="71703441"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Шифровка.</w:t>
      </w:r>
    </w:p>
    <w:p w14:paraId="789184AA"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Из Москвы 29/IX — 33 г. в 2 час. 15 мин. Вх. № 45.</w:t>
      </w:r>
    </w:p>
    <w:p w14:paraId="019B730F" w14:textId="77777777" w:rsidR="003F2394" w:rsidRPr="0044524F" w:rsidRDefault="003F2394" w:rsidP="009654CF">
      <w:pPr>
        <w:pStyle w:val="rtecenter"/>
        <w:spacing w:before="0" w:after="0"/>
        <w:jc w:val="both"/>
        <w:rPr>
          <w:color w:val="000000" w:themeColor="text1"/>
          <w:sz w:val="16"/>
          <w:szCs w:val="16"/>
        </w:rPr>
      </w:pPr>
      <w:r w:rsidRPr="0044524F">
        <w:rPr>
          <w:color w:val="000000" w:themeColor="text1"/>
          <w:sz w:val="16"/>
          <w:szCs w:val="16"/>
        </w:rPr>
        <w:t>Тов. Сталину.</w:t>
      </w:r>
    </w:p>
    <w:p w14:paraId="4399BF52"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1) Поляки выдвинули официальное предложение об установлении воздушной линии Варшава-Москва</w:t>
      </w:r>
      <w:r w:rsidRPr="0044524F">
        <w:rPr>
          <w:color w:val="000000" w:themeColor="text1"/>
          <w:sz w:val="16"/>
          <w:szCs w:val="16"/>
          <w:vertAlign w:val="superscript"/>
        </w:rPr>
        <w:t>1</w:t>
      </w:r>
      <w:r w:rsidRPr="0044524F">
        <w:rPr>
          <w:color w:val="000000" w:themeColor="text1"/>
          <w:sz w:val="16"/>
          <w:szCs w:val="16"/>
        </w:rPr>
        <w:t>. Французы (Шомье) также ставили вопрос о продлении их линии Париж-Прага-Варшава через Минск до Москвы. Просят ускорить ответ.</w:t>
      </w:r>
    </w:p>
    <w:p w14:paraId="7C4D8175"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2) Лукасевич сообщил о желании поляков организовать новый прилет Филипповича в Москву примерно 15 октября, на этот раз с начальником польской военной авиации Райским.</w:t>
      </w:r>
    </w:p>
    <w:p w14:paraId="446C548C"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Литвинов считает, что на оба предложения надо дать положительный ответ. Мы согласны с этим, просим сообщить ваше мнение</w:t>
      </w:r>
      <w:r w:rsidRPr="0044524F">
        <w:rPr>
          <w:color w:val="000000" w:themeColor="text1"/>
          <w:sz w:val="16"/>
          <w:szCs w:val="16"/>
          <w:vertAlign w:val="superscript"/>
        </w:rPr>
        <w:t>2</w:t>
      </w:r>
      <w:r w:rsidRPr="0044524F">
        <w:rPr>
          <w:color w:val="000000" w:themeColor="text1"/>
          <w:sz w:val="16"/>
          <w:szCs w:val="16"/>
        </w:rPr>
        <w:t>. HP 49.</w:t>
      </w:r>
    </w:p>
    <w:p w14:paraId="0AF46032"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Каганович, Молотов.</w:t>
      </w:r>
    </w:p>
    <w:p w14:paraId="5C1B0FC4"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vertAlign w:val="superscript"/>
        </w:rPr>
        <w:t>1</w:t>
      </w:r>
      <w:r w:rsidRPr="0044524F">
        <w:rPr>
          <w:color w:val="000000" w:themeColor="text1"/>
          <w:sz w:val="16"/>
          <w:szCs w:val="16"/>
        </w:rPr>
        <w:t xml:space="preserve"> Вопрос об установлении воздушного сообщения между Варшавой и Москвой был затронут ЮЛукасевичем в беседе с М.МЛитвиновым 5 сентября 1933 г. и в беседе с Б.С.Стомоняковым 13 сентября (ДВП. Т. XVI. С. 854).</w:t>
      </w:r>
    </w:p>
    <w:p w14:paraId="1538B57C"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vertAlign w:val="superscript"/>
        </w:rPr>
        <w:t>2</w:t>
      </w:r>
      <w:r w:rsidRPr="0044524F">
        <w:rPr>
          <w:color w:val="000000" w:themeColor="text1"/>
          <w:sz w:val="16"/>
          <w:szCs w:val="16"/>
        </w:rPr>
        <w:t xml:space="preserve"> 29 сентября шифром из Гагры в 21 час. Сталин ответил согласием (РГАСПИ. Ф. 558. Оп. 11. Д. 81. Л. 65). В тот же день ПБ приняло решение не возражать против прилета польской эскадрильи в Москву (Там же. Ф. 17. Оп. 162. Д. 15. Л. 87). Эскадрилья во главе с начальником польской авиации Райским присутствовала 7 ноября на параде на Красной площади, посетила ЦАГИ. Райский был принят Тухачевским и Крестинским (ДВП. Т. XVI. С. 868). 3 октября Стомоняков сообщил Лукасевичу, что получено принципиальное согласие заинтересованных ведомств на принятие польского предложения. 22 октября для ведения переговоров в Москву прибыла делегация во главе с директором департамента гражданской авиации Филипповичем. Во время переговоров советская сторона предложила образовать советско-польское смешанное общество для обслуживания линии Варшава — Москва. Польская сторона предложила параллельное и попеременное обслуживание этой линии польской и советской авиацией, подписав соответствующий договор между правительствами. 28 октября 1933 г. Стомоняков в беседе с Лукасевичем поставил вопрос «об участии Франции в нашем воздушном сообщении с Польшей. Франция [...] просила нашего согласия на установление воздушной линии Париж — Москва. Ввиду существующих в настоящее время дружественных отношений с Францией у нас принято решение удовлетворить это пожелание Франции». Далее Стомоняков заявил, что «мы хотели бы разрешить вопрос путем тройственного соглашения между СССР, Польшей и Францией». В ответ Лукасевич сказал, что по мнению польского правительства, торопиться с этим делом не следует. В конце 1933 г. переговоры с Польшей были прерваны, так как достичь соглашения по указанным вопросам не удалось (Там же. С. 854).</w:t>
      </w:r>
    </w:p>
    <w:p w14:paraId="3B972360"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РГАСПИ Ф. 558. Оп. 11. Д. 81. Л. 66. Подлинник. Машинопись. </w:t>
      </w:r>
    </w:p>
    <w:p w14:paraId="3034DEBC"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Сталин и Каганович. Переписка. 1931–1936 гг. Москва: (РОССПЭН), 2001 Стр. 366-367 (12358).</w:t>
      </w:r>
    </w:p>
    <w:p w14:paraId="7751A95C" w14:textId="77777777" w:rsidR="003F2394" w:rsidRPr="0044524F" w:rsidRDefault="003F2394" w:rsidP="009654CF">
      <w:pPr>
        <w:spacing w:after="0" w:line="240" w:lineRule="auto"/>
        <w:jc w:val="both"/>
        <w:rPr>
          <w:rFonts w:ascii="Times New Roman" w:hAnsi="Times New Roman"/>
          <w:color w:val="000000" w:themeColor="text1"/>
          <w:sz w:val="16"/>
          <w:szCs w:val="16"/>
          <w:u w:color="002060"/>
        </w:rPr>
      </w:pPr>
    </w:p>
    <w:p w14:paraId="12DB312D" w14:textId="77777777" w:rsidR="006C4664" w:rsidRPr="0044524F" w:rsidRDefault="006C46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 Линдберг улетал в Таллин на своем скоростном гидросамолете с мотором 750 л. с. Его провожал самый быстрый советский самолет АИР-7. Управляемый Пионтковским, он, сделав вместе с Линдбергом два прощальных круга над Москвой-рекой, обогнал американскую машину и пошел впереди нее, указывая выход на трассу...(15447).</w:t>
      </w:r>
    </w:p>
    <w:p w14:paraId="7DFA3D79" w14:textId="77777777" w:rsidR="006C4664" w:rsidRPr="0044524F" w:rsidRDefault="006C4664" w:rsidP="009654CF">
      <w:pPr>
        <w:spacing w:after="0" w:line="240" w:lineRule="auto"/>
        <w:jc w:val="both"/>
        <w:rPr>
          <w:rFonts w:ascii="Times New Roman" w:hAnsi="Times New Roman"/>
          <w:color w:val="000000" w:themeColor="text1"/>
          <w:sz w:val="16"/>
          <w:szCs w:val="16"/>
        </w:rPr>
      </w:pPr>
    </w:p>
    <w:p w14:paraId="041538A8" w14:textId="77777777" w:rsidR="006C4664"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D2B3583" w14:textId="77777777" w:rsidR="006C4664" w:rsidRPr="0044524F" w:rsidRDefault="006C4664" w:rsidP="009654CF">
      <w:pPr>
        <w:spacing w:after="0" w:line="240" w:lineRule="auto"/>
        <w:jc w:val="both"/>
        <w:rPr>
          <w:rFonts w:ascii="Times New Roman" w:hAnsi="Times New Roman"/>
          <w:iCs/>
          <w:color w:val="000000" w:themeColor="text1"/>
          <w:sz w:val="16"/>
          <w:szCs w:val="16"/>
        </w:rPr>
      </w:pPr>
    </w:p>
    <w:p w14:paraId="3DB0AA12" w14:textId="77777777" w:rsidR="006C4664" w:rsidRPr="0044524F" w:rsidRDefault="006C4664" w:rsidP="009654CF">
      <w:pPr>
        <w:pStyle w:val="rtejustify"/>
        <w:spacing w:before="0" w:after="0"/>
        <w:rPr>
          <w:color w:val="000000" w:themeColor="text1"/>
          <w:sz w:val="16"/>
          <w:szCs w:val="16"/>
        </w:rPr>
      </w:pPr>
      <w:r w:rsidRPr="0044524F">
        <w:rPr>
          <w:color w:val="000000" w:themeColor="text1"/>
          <w:sz w:val="16"/>
          <w:szCs w:val="16"/>
        </w:rPr>
        <w:t>29 сентября 1933 г. Правительством было констатировано крайне неудовлетворительное выполнение программы по военной оптике и в особенности по авиаприцелам. Указав тт. Толоконцеву, Трофимову и директорам заводов на их особую ответственность за выполнение программы и определив на IV квартал 1933 г.: ОПБ</w:t>
      </w:r>
      <w:r w:rsidRPr="0044524F">
        <w:rPr>
          <w:color w:val="000000" w:themeColor="text1"/>
          <w:sz w:val="16"/>
          <w:szCs w:val="16"/>
        </w:rPr>
        <w:noBreakHyphen/>
        <w:t>1 — 550 шт., ОПБ</w:t>
      </w:r>
      <w:r w:rsidRPr="0044524F">
        <w:rPr>
          <w:color w:val="000000" w:themeColor="text1"/>
          <w:sz w:val="16"/>
          <w:szCs w:val="16"/>
        </w:rPr>
        <w:noBreakHyphen/>
        <w:t>2 — 30 шт., правительством было предложено через полтора месяца доложить о ходе выполнения программы (15288).</w:t>
      </w:r>
    </w:p>
    <w:p w14:paraId="3D795951" w14:textId="77777777" w:rsidR="006C4664" w:rsidRPr="0044524F" w:rsidRDefault="006C4664" w:rsidP="009654CF">
      <w:pPr>
        <w:pStyle w:val="rtejustify"/>
        <w:spacing w:before="0" w:after="0"/>
        <w:rPr>
          <w:rStyle w:val="af0"/>
          <w:bCs/>
          <w:i w:val="0"/>
          <w:color w:val="000000" w:themeColor="text1"/>
          <w:sz w:val="16"/>
          <w:szCs w:val="16"/>
        </w:rPr>
      </w:pPr>
    </w:p>
    <w:p w14:paraId="73645E07" w14:textId="77777777" w:rsidR="006C4664" w:rsidRPr="0044524F" w:rsidRDefault="006C4664" w:rsidP="009654CF">
      <w:pPr>
        <w:pStyle w:val="rtejustify"/>
        <w:spacing w:before="0" w:after="0"/>
        <w:rPr>
          <w:color w:val="000000" w:themeColor="text1"/>
          <w:sz w:val="16"/>
          <w:szCs w:val="16"/>
        </w:rPr>
      </w:pPr>
      <w:r w:rsidRPr="0044524F">
        <w:rPr>
          <w:rStyle w:val="af0"/>
          <w:bCs/>
          <w:i w:val="0"/>
          <w:color w:val="000000" w:themeColor="text1"/>
          <w:sz w:val="16"/>
          <w:szCs w:val="16"/>
        </w:rPr>
        <w:t>29 сентября 1933 вышел приказ НКТП № 155с.</w:t>
      </w:r>
      <w:r w:rsidRPr="0044524F">
        <w:rPr>
          <w:color w:val="000000" w:themeColor="text1"/>
          <w:sz w:val="16"/>
          <w:szCs w:val="16"/>
        </w:rPr>
        <w:t xml:space="preserve"> О синхронизации в деле снабжения муфтами «Бамаг» дизелей и электромоторов отечественной судостроительной промышленности. (РГАЭ. Ф. 7297. Оп. 38. Д. 37. Л. 216) (15246).</w:t>
      </w:r>
    </w:p>
    <w:p w14:paraId="6C781812" w14:textId="77777777" w:rsidR="006C4664" w:rsidRPr="0044524F" w:rsidRDefault="006C4664" w:rsidP="009654CF">
      <w:pPr>
        <w:pStyle w:val="rtejustify"/>
        <w:spacing w:before="0" w:after="0"/>
        <w:rPr>
          <w:color w:val="000000" w:themeColor="text1"/>
          <w:sz w:val="16"/>
          <w:szCs w:val="16"/>
        </w:rPr>
      </w:pPr>
    </w:p>
    <w:p w14:paraId="5640492C"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B4406B4"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7BC232E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29 сентября и 4 октября 1933. Из протокола заседания Политбюро N146, особая папка, 1933 г.</w:t>
      </w:r>
    </w:p>
    <w:p w14:paraId="6427D08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 антивоенном комитете в СССР </w:t>
      </w:r>
    </w:p>
    <w:p w14:paraId="6677108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предложение т. Стасовой и т. Пятницкого признать необходимым организацию антивоенного комитета в СССР в составе 25 человек. Руководство возложить на тт. Горького, Стасову и Шверника. Остальной состав наметить Оргбюро и внести на утверждение ПБ опросом (11652).</w:t>
      </w:r>
    </w:p>
    <w:p w14:paraId="00C1C3D8"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482DCC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29 сентября и 4 октября 1933. Из протокола заседания Политбюро N146, особая папка, 1933 г.</w:t>
      </w:r>
    </w:p>
    <w:p w14:paraId="4B5DB28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посылке делегации на Всемирную техническую выставку в Чикаго </w:t>
      </w:r>
    </w:p>
    <w:p w14:paraId="6497261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1. Удовлетворить просьбу Наркомтяжпрома о посылке группы товарищей в составе 20 человек. </w:t>
      </w:r>
    </w:p>
    <w:p w14:paraId="159D53A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Поставить перед командируемыми товарищами задачу детального ознакомления с последними достижениями новой техники, представленными на выставке, и, главным образом, изучить организацию производства транспортного машиностроения (особо вагонное хозяйство метрополитена), автотракторное, энергетическое и др. </w:t>
      </w:r>
    </w:p>
    <w:p w14:paraId="4F9F7EA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Поручить Амторгу обеспечить допуск командируемых на крупные предприятия для изучения организации производства. </w:t>
      </w:r>
    </w:p>
    <w:p w14:paraId="34CA4A4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Список командируемых рассмотреть тт. Ежову и Кагановичу М. М... </w:t>
      </w:r>
    </w:p>
    <w:p w14:paraId="4F901A1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 Руководство делегацией возложить на члена коллегии Наркомтяжпрома т. Гинзбурга С. Е. </w:t>
      </w:r>
    </w:p>
    <w:p w14:paraId="6646138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Валютные расходы отнести за счет лимитов Наркомтяжпрома (11652).</w:t>
      </w:r>
    </w:p>
    <w:p w14:paraId="29686289"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498ED99"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9DFD988"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3BA8ECC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в Германии евреям запретили владеть землей (1798).</w:t>
      </w:r>
    </w:p>
    <w:p w14:paraId="5A916FBA"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8782B0F"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51894EC"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2B15FD9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сентября 1933 закончились доработки И-14 (АНТ-31), который отправили назад в ЦАГИ 17 июля 1933 (1454,25) - доводили мотоустановку и шасси (4020,11). Машину вновь отправили в ОЭЛИД ЦАГИ и она там была на испытаниях до 25 октября 1933 (2869,23). Летали К.А.Попов и С.А.Корзинщиков (4020,11).</w:t>
      </w:r>
    </w:p>
    <w:p w14:paraId="05AEA496"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7ECC55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сентября 1933 г. доработанный И-14 (в ЗОК на головном самолете произвели регулировку убирающегося шасси, заменили консоли с полотняной обшивкой на новые, умевшие метеллическую гофрированную обшивку. Поскольку радиатор не отвечал требованиям эффективного охлаждения масла, его заменили на более мощный. Заодно переделали коллектор выпускной системы мотора) вновь отправили на аэродром, где летчикииспытатели ОЭЛИД ЦАГИ обнаружили, что механизм уборки шасси опять не работает, поэтому снятие летных характеристик происходило с выпущенными стойками. Особого смысла такая работа не имела, а потому 30 октября машину опять вернули в ЗОКдлн нового этапа доработок. Лишь 14 ноября старания производственников увенчались успехом и шасси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715B72F1"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C558DAC" w14:textId="77777777" w:rsidR="006C4664" w:rsidRPr="0044524F" w:rsidRDefault="006C46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30 сен</w:t>
      </w:r>
      <w:r w:rsidRPr="0044524F">
        <w:rPr>
          <w:rFonts w:ascii="Times New Roman" w:hAnsi="Times New Roman"/>
          <w:color w:val="000000" w:themeColor="text1"/>
          <w:sz w:val="16"/>
          <w:szCs w:val="16"/>
        </w:rPr>
        <w:softHyphen/>
        <w:t>тября 1933 на самолёте И-14 выполнили следующие работы: отрегулировали систему уборки и выпуска шасси; на отъёмных частях крыла перкалевую обшивку заменили гофрирован</w:t>
      </w:r>
      <w:r w:rsidRPr="0044524F">
        <w:rPr>
          <w:rFonts w:ascii="Times New Roman" w:hAnsi="Times New Roman"/>
          <w:color w:val="000000" w:themeColor="text1"/>
          <w:sz w:val="16"/>
          <w:szCs w:val="16"/>
        </w:rPr>
        <w:softHyphen/>
        <w:t>ной; установили масляный радиатор с увеличенной площадью охлаждения; передела</w:t>
      </w:r>
      <w:r w:rsidRPr="0044524F">
        <w:rPr>
          <w:rFonts w:ascii="Times New Roman" w:hAnsi="Times New Roman"/>
          <w:color w:val="000000" w:themeColor="text1"/>
          <w:sz w:val="16"/>
          <w:szCs w:val="16"/>
        </w:rPr>
        <w:softHyphen/>
        <w:t>ли выхлопной коллектор мотора. В связи с затруднениями, возникшими при доводке самолёта и срывом сроков передачи его на госиспытания (15.03.33), постановлением РВС СССР от 17.07.33 г. определили новый срок — 1.02.34 г.</w:t>
      </w:r>
    </w:p>
    <w:p w14:paraId="5928DEB8" w14:textId="77777777" w:rsidR="006C4664" w:rsidRPr="0044524F" w:rsidRDefault="006C466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Учитывая то, что в Советском Союзе имелся лишь один экземпляр мотора </w:t>
      </w:r>
      <w:r w:rsidRPr="0044524F">
        <w:rPr>
          <w:rFonts w:ascii="Times New Roman" w:hAnsi="Times New Roman"/>
          <w:color w:val="000000" w:themeColor="text1"/>
          <w:sz w:val="16"/>
          <w:szCs w:val="16"/>
          <w:lang w:val="en-US"/>
        </w:rPr>
        <w:t>Bristol</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Mer</w:t>
      </w:r>
      <w:r w:rsidRPr="0044524F">
        <w:rPr>
          <w:rFonts w:ascii="Times New Roman" w:hAnsi="Times New Roman"/>
          <w:color w:val="000000" w:themeColor="text1"/>
          <w:sz w:val="16"/>
          <w:szCs w:val="16"/>
        </w:rPr>
        <w:softHyphen/>
      </w:r>
      <w:r w:rsidRPr="0044524F">
        <w:rPr>
          <w:rFonts w:ascii="Times New Roman" w:hAnsi="Times New Roman"/>
          <w:color w:val="000000" w:themeColor="text1"/>
          <w:sz w:val="16"/>
          <w:szCs w:val="16"/>
          <w:lang w:val="en-US"/>
        </w:rPr>
        <w:t>cury</w:t>
      </w:r>
      <w:r w:rsidRPr="0044524F">
        <w:rPr>
          <w:rFonts w:ascii="Times New Roman" w:hAnsi="Times New Roman"/>
          <w:color w:val="000000" w:themeColor="text1"/>
          <w:sz w:val="16"/>
          <w:szCs w:val="16"/>
        </w:rPr>
        <w:t>, в июле 1933 г. в ЦАГИ приступили к постройке второго экземпляра И-14 или так на</w:t>
      </w:r>
      <w:r w:rsidRPr="0044524F">
        <w:rPr>
          <w:rFonts w:ascii="Times New Roman" w:hAnsi="Times New Roman"/>
          <w:color w:val="000000" w:themeColor="text1"/>
          <w:sz w:val="16"/>
          <w:szCs w:val="16"/>
        </w:rPr>
        <w:softHyphen/>
        <w:t xml:space="preserve">зываемого «дублёра» (И-14бис, АНТ-31бис, заказ 7189, иногда в переписке — И14 РЦ) с мотором </w:t>
      </w:r>
      <w:r w:rsidRPr="0044524F">
        <w:rPr>
          <w:rFonts w:ascii="Times New Roman" w:hAnsi="Times New Roman"/>
          <w:color w:val="000000" w:themeColor="text1"/>
          <w:sz w:val="16"/>
          <w:szCs w:val="16"/>
          <w:lang w:val="en-US"/>
        </w:rPr>
        <w:t>Wright</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CycloneF</w:t>
      </w:r>
      <w:r w:rsidRPr="0044524F">
        <w:rPr>
          <w:rFonts w:ascii="Times New Roman" w:hAnsi="Times New Roman"/>
          <w:color w:val="000000" w:themeColor="text1"/>
          <w:sz w:val="16"/>
          <w:szCs w:val="16"/>
        </w:rPr>
        <w:t>2. При проектировании дублёра учли некоторые недостатки первого экземпляра самолёта (15823).</w:t>
      </w:r>
    </w:p>
    <w:p w14:paraId="0FF50D84" w14:textId="77777777" w:rsidR="006C4664" w:rsidRPr="0044524F" w:rsidRDefault="006C4664" w:rsidP="009654CF">
      <w:pPr>
        <w:spacing w:after="0" w:line="240" w:lineRule="auto"/>
        <w:jc w:val="both"/>
        <w:rPr>
          <w:rFonts w:ascii="Times New Roman" w:hAnsi="Times New Roman"/>
          <w:color w:val="000000" w:themeColor="text1"/>
          <w:sz w:val="16"/>
          <w:szCs w:val="16"/>
        </w:rPr>
      </w:pPr>
    </w:p>
    <w:p w14:paraId="4782C589" w14:textId="77777777" w:rsidR="005B6001" w:rsidRPr="0044524F" w:rsidRDefault="005B60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сентября 1933 г. возобновились испытания И-14, но продолжались они недолго: 25 октября 1933 г. И-14 вновь вернули в ЦАГИ для устранения выявленных недостатков.</w:t>
      </w:r>
    </w:p>
    <w:p w14:paraId="7EE0E258" w14:textId="77777777" w:rsidR="005B6001" w:rsidRPr="0044524F" w:rsidRDefault="005B600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Неудачное начало заводских испы</w:t>
      </w:r>
      <w:r w:rsidRPr="0044524F">
        <w:rPr>
          <w:rFonts w:ascii="Times New Roman" w:hAnsi="Times New Roman"/>
          <w:color w:val="000000" w:themeColor="text1"/>
          <w:sz w:val="16"/>
          <w:szCs w:val="16"/>
        </w:rPr>
        <w:softHyphen/>
        <w:t>таний И-14 показало, что процесс до</w:t>
      </w:r>
      <w:r w:rsidRPr="0044524F">
        <w:rPr>
          <w:rFonts w:ascii="Times New Roman" w:hAnsi="Times New Roman"/>
          <w:color w:val="000000" w:themeColor="text1"/>
          <w:sz w:val="16"/>
          <w:szCs w:val="16"/>
        </w:rPr>
        <w:softHyphen/>
        <w:t>водки конструкции может потребовать много времени без твердой гарантии его успешного завершения. В этих усло</w:t>
      </w:r>
      <w:r w:rsidRPr="0044524F">
        <w:rPr>
          <w:rFonts w:ascii="Times New Roman" w:hAnsi="Times New Roman"/>
          <w:color w:val="000000" w:themeColor="text1"/>
          <w:sz w:val="16"/>
          <w:szCs w:val="16"/>
        </w:rPr>
        <w:softHyphen/>
        <w:t>виях руководство ВВС было вынуждено выдать задание Н.Н. Поликарпову на проектирование альтернативного скоростного истребителя-моноплана И-16. (23455).</w:t>
      </w:r>
    </w:p>
    <w:p w14:paraId="14585869" w14:textId="77777777" w:rsidR="005B6001" w:rsidRPr="0044524F" w:rsidRDefault="005B6001" w:rsidP="009654CF">
      <w:pPr>
        <w:spacing w:after="0" w:line="240" w:lineRule="auto"/>
        <w:jc w:val="both"/>
        <w:rPr>
          <w:rFonts w:ascii="Times New Roman" w:hAnsi="Times New Roman"/>
          <w:color w:val="000000" w:themeColor="text1"/>
          <w:sz w:val="16"/>
          <w:szCs w:val="16"/>
        </w:rPr>
      </w:pPr>
    </w:p>
    <w:p w14:paraId="6BBC382E" w14:textId="77777777" w:rsidR="00247A63" w:rsidRPr="00142305" w:rsidRDefault="00247A63" w:rsidP="00247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30 сентября 1933 г. возобновились испытания И-14, но продолжались они недолго: 25 октября 1933 г. И-14 вновь вернули в ЦАГИ для устранения выявленных недостатков.</w:t>
      </w:r>
    </w:p>
    <w:p w14:paraId="2EC43F3D" w14:textId="77777777" w:rsidR="00247A63" w:rsidRPr="00142305" w:rsidRDefault="00247A63" w:rsidP="00247A6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Неудачное начало заводских испытаний И-14 показало, что процесс доводки конструкции может потребовать много времени без твердой гарантии его успешного завершения. В этих условиях руководство ВВС было вынуждено выдать задание Н. Н. Поликарпову на проектирование альтернативного скоростного истребителя-моноплана И-16 (25035).</w:t>
      </w:r>
    </w:p>
    <w:p w14:paraId="39BACAD2" w14:textId="77777777" w:rsidR="00247A63" w:rsidRPr="00142305" w:rsidRDefault="00247A63" w:rsidP="00247A63">
      <w:pPr>
        <w:spacing w:after="0" w:line="240" w:lineRule="auto"/>
        <w:jc w:val="both"/>
        <w:rPr>
          <w:rFonts w:ascii="Times New Roman" w:hAnsi="Times New Roman"/>
          <w:color w:val="0070C0"/>
          <w:sz w:val="16"/>
          <w:szCs w:val="16"/>
        </w:rPr>
      </w:pPr>
    </w:p>
    <w:p w14:paraId="47143E2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сентября 1933 (3 октября - 66,197) состоялся успешный полет стратостата СССР-1 на 19 км (18800 м - 237,167) с герметической гондолой В.А.Чижевского (95,22). Летали Г.А.Прокофьев, Э.К.Бирнбаум и К.Д.Годунов (237,167). Работали: Н.Н.Каштанов - обшивка и установка приборов, В.М.Лапицкий - люки, иллюминаторы, специальное отцепное устройство, А.Я.Левин - герметические выводы управления клапаном и балластом, И.И.Цебриков - амортизирующее устройство, В.Г.Фролов - механизм сбрасывания балласта. Расчет и конструкцию оболочки предложил К.Д.Годунов (3392).</w:t>
      </w:r>
    </w:p>
    <w:p w14:paraId="6EA1E0D1"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33AB30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Утром 30 сентября 1933 года, будучи в Москве К.Кайтанов видел, как серебристый стратостат «СССР-1» объемом чуть больше 24 000 кубических метров поднял ввысь Г. Прокофьева, конструктора оболочки К. Годунова и радиста Э. Бирнбаума с Центрального аэродрома города Москвы. Утро было изумительно светлое, небо ясное. В 12 часов 45 минут радист доложил:</w:t>
      </w:r>
    </w:p>
    <w:p w14:paraId="0DF2EC3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 ВКП(б), Реввоенсовет, Совнарком СССР. Экипаж первого советского стратостата успешно выполнил поставленную перед ним задачу и сообщает о благополучном завершении подъема стратостата «СССР-1» на высоту 19 000 метров. Экипаж готов к дальнейшей общей работе по овладению стратосферой».</w:t>
      </w:r>
    </w:p>
    <w:p w14:paraId="3B5B9C5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Выполнив намеченную программу научных исследований, стратостат мягко приземлился. Более чем на два километра было улучшено достижение Пиккара (11312).</w:t>
      </w:r>
    </w:p>
    <w:p w14:paraId="4489AA92"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0616B4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сентября 1933 г. советский стратостат "СССР-1" с экипажем Г.А.Прокофьева, К.Д.Бирнбаума и К.Д.Годунова достиг рекордной высоты 19 км, после чего благополучно опустился на берегу реки Москвы близ Коломны. Достигнутый результат стал вообще первым рекордом мирового значения, достигнутым СССР. Полет стратостата лишь подогрел и без того высокий градус массового авиационного психоза, который захватил на этот раз и шестую часть земной поверхности. На вопрос о необходимости завоевания авиационных рекордов в Советском Союзе существовал теперь только один ответ - ДОЛЖНЫ! (11941).</w:t>
      </w:r>
    </w:p>
    <w:p w14:paraId="645D13CD"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61CD824D" w14:textId="77777777" w:rsidR="006C4664" w:rsidRPr="0044524F" w:rsidRDefault="006C4664"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30 сентября 1933 года</w:t>
      </w:r>
      <w:r w:rsidRPr="0044524F">
        <w:rPr>
          <w:rStyle w:val="ucoz-forum-post"/>
          <w:rFonts w:ascii="Times New Roman" w:eastAsiaTheme="majorEastAsia" w:hAnsi="Times New Roman"/>
          <w:color w:val="000000" w:themeColor="text1"/>
          <w:sz w:val="16"/>
          <w:szCs w:val="16"/>
        </w:rPr>
        <w:t xml:space="preserve"> Полет экипажа воздухоплавателей в составе Г. А. Прокофьева, Э. К. Бирнбаума и К. Д. Годунова на первом советском стратостате «СССР-1» (объем 24 тыс.куб. м). В 12 ч. 45 мин. московского времени достигли рекордной высоты 19 км. Полет, начавшийся в 8 ч 40 мин в Кунцево, завершился в 17 ч посадкой в Коломне. Тем самым перекрыв официальный мировой рекорд Огюста Пиккера, поднявшегося в мае 1932 г. на 16 300 метров (14785).</w:t>
      </w:r>
    </w:p>
    <w:p w14:paraId="240CB438" w14:textId="77777777" w:rsidR="006C4664" w:rsidRPr="0044524F" w:rsidRDefault="006C4664" w:rsidP="009654CF">
      <w:pPr>
        <w:spacing w:after="0" w:line="240" w:lineRule="auto"/>
        <w:jc w:val="both"/>
        <w:rPr>
          <w:rStyle w:val="ucoz-forum-post"/>
          <w:rFonts w:ascii="Times New Roman" w:eastAsiaTheme="majorEastAsia" w:hAnsi="Times New Roman"/>
          <w:color w:val="000000" w:themeColor="text1"/>
          <w:sz w:val="16"/>
          <w:szCs w:val="16"/>
        </w:rPr>
      </w:pPr>
    </w:p>
    <w:p w14:paraId="3EB085B8" w14:textId="04F3C541" w:rsidR="003D5AB6" w:rsidRPr="0044524F" w:rsidRDefault="003D5AB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сентября 1933 г. состоялся первый в СССР полет в стратосферу. Воздухоплаватели Георгий Алексеевич Прокофьев /командир/, Эрнест Карлович Бирнбаум /пилот-радист/ и Константин Дмитриевич Годунов /конструктор/ на стратостате «СССР-1» поднялись на высоту 19.000 м и пепрекрыли мировой рекорд 16.300 м, установленный в 1932 году бельгийским стратонавтом Д.Пикаром. Старт состоялся под Москвой, прпземление - близ Коломны. Полет продолжался 8 ч.20 минут, из них на большой высоте 2 ч. 40 минут.</w:t>
      </w:r>
    </w:p>
    <w:p w14:paraId="1506AC3A" w14:textId="77777777" w:rsidR="003D5AB6" w:rsidRPr="0044524F" w:rsidRDefault="003D5AB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Оболочка стратостата об°емом 24.340 м3 была построена заводом «Красный каучук» по проекту инженера К.Д. Годунова, шаровая кольчугалюминиевая гондола объемом 2,3 м3 - по проекту инженера Владимира Антоновича Чижевского. Стратостат был оборудован измерительными приборами для ведения научных исследований. Полет его вызвал восторженные отклики как в нашей стране, так и за границей. Стратонавты были награждены орденом Ленина.</w:t>
      </w:r>
    </w:p>
    <w:p w14:paraId="3C09F261" w14:textId="77777777" w:rsidR="003D5AB6" w:rsidRPr="0044524F" w:rsidRDefault="003D5AB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2 и 18 октября 1933; BBФ,1933 № 10/ (23370).</w:t>
      </w:r>
    </w:p>
    <w:p w14:paraId="64A44DC0" w14:textId="77777777" w:rsidR="003D5AB6" w:rsidRPr="0044524F" w:rsidRDefault="003D5AB6" w:rsidP="009654CF">
      <w:pPr>
        <w:spacing w:after="0" w:line="240" w:lineRule="auto"/>
        <w:jc w:val="both"/>
        <w:rPr>
          <w:rFonts w:ascii="Times New Roman" w:hAnsi="Times New Roman"/>
          <w:color w:val="000000" w:themeColor="text1"/>
          <w:sz w:val="16"/>
          <w:szCs w:val="16"/>
        </w:rPr>
      </w:pPr>
    </w:p>
    <w:p w14:paraId="166A7F92" w14:textId="77777777" w:rsidR="006C4664" w:rsidRPr="0044524F" w:rsidRDefault="006C4664"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 xml:space="preserve">30 сентября </w:t>
      </w:r>
      <w:r w:rsidRPr="0044524F">
        <w:rPr>
          <w:rFonts w:ascii="Times New Roman" w:hAnsi="Times New Roman"/>
          <w:color w:val="000000" w:themeColor="text1"/>
          <w:sz w:val="16"/>
          <w:szCs w:val="16"/>
        </w:rPr>
        <w:t>в 1933 году впервые организована радиосвязь со стратостатом, поднявшимся на 19 тысяч метров. Разговор пилотов с землей транслировался московскими радиостанциями (14785).</w:t>
      </w:r>
    </w:p>
    <w:p w14:paraId="0EACB27F" w14:textId="77777777" w:rsidR="006C4664" w:rsidRPr="0044524F" w:rsidRDefault="006C4664" w:rsidP="009654CF">
      <w:pPr>
        <w:spacing w:after="0" w:line="240" w:lineRule="auto"/>
        <w:jc w:val="both"/>
        <w:rPr>
          <w:rFonts w:ascii="Times New Roman" w:hAnsi="Times New Roman"/>
          <w:color w:val="000000" w:themeColor="text1"/>
          <w:sz w:val="16"/>
          <w:szCs w:val="16"/>
        </w:rPr>
      </w:pPr>
    </w:p>
    <w:p w14:paraId="12487D4B" w14:textId="77777777" w:rsidR="006C4664" w:rsidRPr="0044524F" w:rsidRDefault="006C4664"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 xml:space="preserve">30 сентября </w:t>
      </w:r>
      <w:r w:rsidRPr="0044524F">
        <w:rPr>
          <w:rFonts w:ascii="Times New Roman" w:hAnsi="Times New Roman"/>
          <w:color w:val="000000" w:themeColor="text1"/>
          <w:sz w:val="16"/>
          <w:szCs w:val="16"/>
        </w:rPr>
        <w:t xml:space="preserve">в 1933 году сферический стратостат "СССР-1" (объем 24 тысяч кубических метров) с экипажем в составе командира Георгия Прокофьева, конструктора Константина Годунова и воздухоплавателя Эрнста Бирнбаума совершил рекордный свободный полет, достигнув высоты 18,8 км и перекрыв тем самым официальный мировой рекорд Огюста Пикара, поднявшегося в мае 1932 года на 16 300 метров. Аэронавты взяли пробы воздуха с различных слоев тропо- и стратосферы, определили количество космических лучей, провели аэрологические и метеорологические наблюдения. Полет, начавшийся в 8 ч 40 мин в Кунцево, завершился в 17 ч посадкой недалеко от Коломны в ста километрах от Москвы. Гондола стратостата, сконструированная В.А.Чижевским, очень заинтересовала Сергея Павловича Королева. </w:t>
      </w:r>
      <w:r w:rsidRPr="0044524F">
        <w:rPr>
          <w:rFonts w:ascii="Times New Roman" w:hAnsi="Times New Roman"/>
          <w:color w:val="000000" w:themeColor="text1"/>
          <w:sz w:val="16"/>
          <w:szCs w:val="16"/>
        </w:rPr>
        <w:lastRenderedPageBreak/>
        <w:t>Глядя на этот шар на усеченном конусе, он представил, как этот шар мог бы выглядеть в головной части ракеты. Много лет спустя она будет повторена гениальным конструктором в гагаринском "Востоке", только у "Востока" у основания шара по кольцу будут расположены газовые баллоны (14785).</w:t>
      </w:r>
    </w:p>
    <w:p w14:paraId="01FB60D8" w14:textId="77777777" w:rsidR="006C4664" w:rsidRPr="0044524F" w:rsidRDefault="006C4664" w:rsidP="009654CF">
      <w:pPr>
        <w:spacing w:after="0" w:line="240" w:lineRule="auto"/>
        <w:jc w:val="both"/>
        <w:rPr>
          <w:rFonts w:ascii="Times New Roman" w:hAnsi="Times New Roman"/>
          <w:color w:val="000000" w:themeColor="text1"/>
          <w:sz w:val="16"/>
          <w:szCs w:val="16"/>
        </w:rPr>
      </w:pPr>
    </w:p>
    <w:p w14:paraId="23BEF398" w14:textId="77777777" w:rsidR="00ED1A5E" w:rsidRPr="0044524F" w:rsidRDefault="00ED1A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В ночь на 30 сентября 1933 года состоялась вторая попытка старта аэростата СССР-1. На этот раз оболочку наполняли из 35 газгольдеров с водородом. Команда из 10 красноармейцев просто наваливалась на зеленые газгольдеры и под собственным весом выдавливала газ по шлангу в оболочку стратостата. Руководил стартовой командой один из участников программы создания стратостата Гарканидзе. К 6 часам утра наполнение закончили и немедленно в воздух поднялись два небольших воздушных шара – прыгуна. Сидящие в подвесной системе этих шаров два члена аэродромной команды осмотрели и расправили оболочку. В 6 часов 30 минут запустили радиозонд, который подтвердил полное отсутствие ветра.</w:t>
      </w:r>
    </w:p>
    <w:p w14:paraId="6F93DFBE" w14:textId="77777777" w:rsidR="00ED1A5E" w:rsidRPr="0044524F" w:rsidRDefault="00ED1A5E" w:rsidP="009654CF">
      <w:pPr>
        <w:pStyle w:val="ae"/>
        <w:shd w:val="clear" w:color="auto" w:fill="FFFFFF"/>
        <w:spacing w:before="0" w:after="0"/>
        <w:jc w:val="both"/>
        <w:rPr>
          <w:color w:val="000000" w:themeColor="text1"/>
          <w:sz w:val="16"/>
          <w:szCs w:val="16"/>
        </w:rPr>
      </w:pPr>
      <w:r w:rsidRPr="0044524F">
        <w:rPr>
          <w:color w:val="000000" w:themeColor="text1"/>
          <w:sz w:val="16"/>
          <w:szCs w:val="16"/>
        </w:rPr>
        <w:t>С первыми лучами солнца гондолу, вокруг которой было навешено 620 кг маневрового балласта из мелкой дроби, прикрепили к оболочке. Еще 300 кг резервного балласта разместили внутри гондолы. В оболочке находилось 3000 м3 газа, что составляло 1/10 полного объема. С подъемом на высоту 17 км газ должен был расшириться и заполнить оболочку полностью, превратив ее в сферу.</w:t>
      </w:r>
    </w:p>
    <w:p w14:paraId="16FB5E7B" w14:textId="77777777" w:rsidR="00ED1A5E" w:rsidRPr="0044524F" w:rsidRDefault="00ED1A5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8 часов 30 минут экипаж занял гондолу и через 10 минут начальник ВВС Яков Алкснис лично дал разрешение на старт. Под крики ура и аплодисменты провожающих голубая гондола с надписью «СССР», подвешенная под серебристой «кишкой» оболочки дирижабля, быстро по вертикали пошла вверх. Уже через 5 минут полета набранная высота составила 3 км. Подъем продолжался при постоянной радиосвязи с экипажем, который имел позывной «Марс». На земле связь осуществляли радиоузел в поселке Тарасовка и радиостанция Главной аэрометеорологической службы (ГАМС).</w:t>
      </w:r>
    </w:p>
    <w:p w14:paraId="4464623C" w14:textId="77777777" w:rsidR="00ED1A5E" w:rsidRPr="0044524F" w:rsidRDefault="00ED1A5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К 11 часам дня «СССР-1» достиг высоты 18 км при температуре за бортом -67°C, внутри гондолы температура составила +22°C, перегрев оболочки достиг 75°C. В 12 часов 45 минут аэростат уже полностью достиг сферической формы, к этому моменту он достиг высоты 19 км при температуре -67°C снаружи, внутри оболочки +75°C, внутри гондолы температура колебалась от +12°C до +32°C.</w:t>
      </w:r>
    </w:p>
    <w:p w14:paraId="5A19718F" w14:textId="77777777" w:rsidR="00ED1A5E" w:rsidRPr="0044524F" w:rsidRDefault="00ED1A5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Как и было тогда положено, при достижении максимальной высоты экипаж направил приветственную радиограмму товарищу Сталину, после чего приступил к снижению. В течение всего полета, продолжавшегося около 8 часов 15 минут, стратостат отлично наблюдали с земли. В 13 часов дня наземные наблюдатели отметили начало его снижения и перемещение в направлении на юго-восток. В 17 часов 30 сентября «СССР-1» благополучно опустился на берегу Москва-реки близ Коломны, в 250 метрах от Коломенского завода у станции Голутвин.</w:t>
      </w:r>
    </w:p>
    <w:p w14:paraId="1D266C05" w14:textId="77777777" w:rsidR="00ED1A5E" w:rsidRPr="0044524F" w:rsidRDefault="00ED1A5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Научные результаты полета стратостата «СССР-1» были следующие:</w:t>
      </w:r>
    </w:p>
    <w:p w14:paraId="660AB2F6" w14:textId="77777777" w:rsidR="00ED1A5E" w:rsidRPr="0044524F" w:rsidRDefault="00ED1A5E" w:rsidP="009654CF">
      <w:pPr>
        <w:pStyle w:val="ae"/>
        <w:shd w:val="clear" w:color="auto" w:fill="FFFFFF"/>
        <w:spacing w:before="0" w:after="0"/>
        <w:jc w:val="both"/>
        <w:rPr>
          <w:color w:val="000000" w:themeColor="text1"/>
          <w:sz w:val="16"/>
          <w:szCs w:val="16"/>
        </w:rPr>
      </w:pPr>
      <w:r w:rsidRPr="0044524F">
        <w:rPr>
          <w:color w:val="000000" w:themeColor="text1"/>
          <w:sz w:val="16"/>
          <w:szCs w:val="16"/>
        </w:rPr>
        <w:t>— К.Д.Годунов выполнил измерения интенсивности космических лучей с помощью электрометров Гесса и Кольхёрстера, их зарядка осуществлялась электризованной трением о шерсть эбонитовой палочкой. Электрометр Кольхёрстера был изготовлен в Германии, а электрометр Гесса — на опытном заводе Геологоразведки в Ленинграде. Полученные результаты подтвердили данные Пиккара о космическом (внеземном) происхождения этих лучей и роли атмосферы в защите от них.</w:t>
      </w:r>
    </w:p>
    <w:p w14:paraId="43807B95" w14:textId="77777777" w:rsidR="00ED1A5E" w:rsidRPr="0044524F" w:rsidRDefault="00ED1A5E" w:rsidP="009654CF">
      <w:pPr>
        <w:pStyle w:val="ae"/>
        <w:shd w:val="clear" w:color="auto" w:fill="FFFFFF"/>
        <w:spacing w:before="0" w:after="0"/>
        <w:jc w:val="both"/>
        <w:rPr>
          <w:color w:val="000000" w:themeColor="text1"/>
          <w:sz w:val="16"/>
          <w:szCs w:val="16"/>
        </w:rPr>
      </w:pPr>
      <w:r w:rsidRPr="0044524F">
        <w:rPr>
          <w:color w:val="000000" w:themeColor="text1"/>
          <w:sz w:val="16"/>
          <w:szCs w:val="16"/>
        </w:rPr>
        <w:t>— с высоты 18000 м привезли пробы воздуха. Анализ показал, что на этой высоте состав воздуха немного отличается от близкого к земле: в нем смешаны 78,13% азота, 20,95% кислорода и 0,92% аргона и инертных газов. Установление близости состава стратосферного воздуха к воздуху тропосферы означало в перспективе возможность использования для полета на этих высотах как двигателей внутреннего сгорания, с компрессорами, так и воздушно-реактивных двигателей. Метеорографы стратостата работали нормально. Давление измерялось ртутным барометром, температура — электрическим платиновым термометром, но из-за слабого действия вентиляции точными можно было признать лишь часть отсчетов. Этих отсчетов было достаточно для пользования при вычислении высоты подъема, но полной картины распределения температуры по высоте они не дали.</w:t>
      </w:r>
    </w:p>
    <w:p w14:paraId="3311D267" w14:textId="77777777" w:rsidR="00ED1A5E" w:rsidRPr="0044524F" w:rsidRDefault="00ED1A5E" w:rsidP="009654CF">
      <w:pPr>
        <w:pStyle w:val="ae"/>
        <w:shd w:val="clear" w:color="auto" w:fill="FFFFFF"/>
        <w:spacing w:before="0" w:after="0"/>
        <w:jc w:val="both"/>
        <w:rPr>
          <w:color w:val="000000" w:themeColor="text1"/>
          <w:sz w:val="16"/>
          <w:szCs w:val="16"/>
        </w:rPr>
      </w:pPr>
      <w:r w:rsidRPr="0044524F">
        <w:rPr>
          <w:color w:val="000000" w:themeColor="text1"/>
          <w:sz w:val="16"/>
          <w:szCs w:val="16"/>
        </w:rPr>
        <w:t>— институт актинометрии и атмосферной оптики планировал провести изучение солнечной и рассеянной радиации, а также измерение отражающей способности (альбедо) земной поверхности. Для этого специалисты института разработали два пиранометра, а также пираноальбедометр, которые предполагалось подвесить на расстоянии 75 м под гондолой. Приборы прошли испытания и были подготовлены к полету, но не установлены в стратостате, так как первый полет был предназначен в основном для обучения экипажа (19614).</w:t>
      </w:r>
    </w:p>
    <w:p w14:paraId="4DC19A00" w14:textId="77777777" w:rsidR="00ED1A5E" w:rsidRPr="0044524F" w:rsidRDefault="00ED1A5E" w:rsidP="009654CF">
      <w:pPr>
        <w:spacing w:after="0" w:line="240" w:lineRule="auto"/>
        <w:jc w:val="both"/>
        <w:rPr>
          <w:rFonts w:ascii="Times New Roman" w:hAnsi="Times New Roman"/>
          <w:color w:val="000000" w:themeColor="text1"/>
          <w:sz w:val="16"/>
          <w:szCs w:val="16"/>
        </w:rPr>
      </w:pPr>
    </w:p>
    <w:p w14:paraId="78932E05" w14:textId="77777777" w:rsidR="00AE6ED4" w:rsidRPr="0044524F" w:rsidRDefault="00AE6E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ночь на 30 сентября 1933, когда стало ясно, что по</w:t>
      </w:r>
      <w:r w:rsidRPr="0044524F">
        <w:rPr>
          <w:rFonts w:ascii="Times New Roman" w:hAnsi="Times New Roman"/>
          <w:color w:val="000000" w:themeColor="text1"/>
          <w:sz w:val="16"/>
          <w:szCs w:val="16"/>
        </w:rPr>
        <w:softHyphen/>
        <w:t>года не помешает старту, оболочку стали напол</w:t>
      </w:r>
      <w:r w:rsidRPr="0044524F">
        <w:rPr>
          <w:rFonts w:ascii="Times New Roman" w:hAnsi="Times New Roman"/>
          <w:color w:val="000000" w:themeColor="text1"/>
          <w:sz w:val="16"/>
          <w:szCs w:val="16"/>
        </w:rPr>
        <w:softHyphen/>
        <w:t>нять из газгольдеров. К 6 часам утра наполнение закончилось. В неё влили около 3000 м3 водорода, заполнив примерно на 7g объёма. Через 20 минут на старт вынесли гондолу и прикрепили к таке</w:t>
      </w:r>
      <w:r w:rsidRPr="0044524F">
        <w:rPr>
          <w:rFonts w:ascii="Times New Roman" w:hAnsi="Times New Roman"/>
          <w:color w:val="000000" w:themeColor="text1"/>
          <w:sz w:val="16"/>
          <w:szCs w:val="16"/>
        </w:rPr>
        <w:softHyphen/>
        <w:t>лажу. Комиссия по определению высоты полёта запломбировала барографы. Около 8.00, после доклада командира стратостата Г.А. Прокофьева командарму Я.И. Алкснису о готовности экипа</w:t>
      </w:r>
      <w:r w:rsidRPr="0044524F">
        <w:rPr>
          <w:rFonts w:ascii="Times New Roman" w:hAnsi="Times New Roman"/>
          <w:color w:val="000000" w:themeColor="text1"/>
          <w:sz w:val="16"/>
          <w:szCs w:val="16"/>
        </w:rPr>
        <w:softHyphen/>
        <w:t>жа и стратостата к полёту, пилоты заняли места в гондоле. Всю систему в последний раз взвесили.</w:t>
      </w:r>
    </w:p>
    <w:p w14:paraId="41597C50" w14:textId="77777777" w:rsidR="00AE6ED4" w:rsidRPr="0044524F" w:rsidRDefault="00AE6E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8.40 по команде Я.И. Алксниса красноармей</w:t>
      </w:r>
      <w:r w:rsidRPr="0044524F">
        <w:rPr>
          <w:rFonts w:ascii="Times New Roman" w:hAnsi="Times New Roman"/>
          <w:color w:val="000000" w:themeColor="text1"/>
          <w:sz w:val="16"/>
          <w:szCs w:val="16"/>
        </w:rPr>
        <w:softHyphen/>
        <w:t>цы, державшие стратостат за корзину амортиза</w:t>
      </w:r>
      <w:r w:rsidRPr="0044524F">
        <w:rPr>
          <w:rFonts w:ascii="Times New Roman" w:hAnsi="Times New Roman"/>
          <w:color w:val="000000" w:themeColor="text1"/>
          <w:sz w:val="16"/>
          <w:szCs w:val="16"/>
        </w:rPr>
        <w:softHyphen/>
        <w:t>тора, отпустили его. Через пять минут на радио</w:t>
      </w:r>
      <w:r w:rsidRPr="0044524F">
        <w:rPr>
          <w:rFonts w:ascii="Times New Roman" w:hAnsi="Times New Roman"/>
          <w:color w:val="000000" w:themeColor="text1"/>
          <w:sz w:val="16"/>
          <w:szCs w:val="16"/>
        </w:rPr>
        <w:softHyphen/>
        <w:t>станции Главной аэрометеорологической стан</w:t>
      </w:r>
      <w:r w:rsidRPr="0044524F">
        <w:rPr>
          <w:rFonts w:ascii="Times New Roman" w:hAnsi="Times New Roman"/>
          <w:color w:val="000000" w:themeColor="text1"/>
          <w:sz w:val="16"/>
          <w:szCs w:val="16"/>
        </w:rPr>
        <w:softHyphen/>
        <w:t>ции (ГАМС) аэродрома получили радиограмму с позывными стратостата «Марс», в которой со</w:t>
      </w:r>
      <w:r w:rsidRPr="0044524F">
        <w:rPr>
          <w:rFonts w:ascii="Times New Roman" w:hAnsi="Times New Roman"/>
          <w:color w:val="000000" w:themeColor="text1"/>
          <w:sz w:val="16"/>
          <w:szCs w:val="16"/>
        </w:rPr>
        <w:softHyphen/>
        <w:t>общалось о достижении высоты 2000 м. С этого времени наземная радиостанция поддерживала связь со стратостатом до того момента, когда он пошёл на посадку.</w:t>
      </w:r>
    </w:p>
    <w:p w14:paraId="2102E4B4" w14:textId="77777777" w:rsidR="00AE6ED4" w:rsidRPr="0044524F" w:rsidRDefault="00AE6E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9.17 «СССР-1» достиг высоты 16 800 м, побив рекорд Пиккара-Козинса. В 9.19 страто</w:t>
      </w:r>
      <w:r w:rsidRPr="0044524F">
        <w:rPr>
          <w:rFonts w:ascii="Times New Roman" w:hAnsi="Times New Roman"/>
          <w:color w:val="000000" w:themeColor="text1"/>
          <w:sz w:val="16"/>
          <w:szCs w:val="16"/>
        </w:rPr>
        <w:softHyphen/>
        <w:t>навты сообщили, что оболочка стратостата вы</w:t>
      </w:r>
      <w:r w:rsidRPr="0044524F">
        <w:rPr>
          <w:rFonts w:ascii="Times New Roman" w:hAnsi="Times New Roman"/>
          <w:color w:val="000000" w:themeColor="text1"/>
          <w:sz w:val="16"/>
          <w:szCs w:val="16"/>
        </w:rPr>
        <w:softHyphen/>
        <w:t>полнилась и уравновесилась на высоте 17500 м.</w:t>
      </w:r>
    </w:p>
    <w:p w14:paraId="070C867D" w14:textId="77777777" w:rsidR="00AE6ED4" w:rsidRPr="0044524F" w:rsidRDefault="00AE6ED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Прокофьев, убедившись, что всё в порядке, от</w:t>
      </w:r>
      <w:r w:rsidRPr="0044524F">
        <w:rPr>
          <w:rFonts w:ascii="Times New Roman" w:hAnsi="Times New Roman"/>
          <w:color w:val="000000" w:themeColor="text1"/>
          <w:sz w:val="16"/>
          <w:szCs w:val="16"/>
        </w:rPr>
        <w:softHyphen/>
        <w:t>дал 80 кг балласта, позволив «СССР-1» поднять</w:t>
      </w:r>
      <w:r w:rsidRPr="0044524F">
        <w:rPr>
          <w:rFonts w:ascii="Times New Roman" w:hAnsi="Times New Roman"/>
          <w:color w:val="000000" w:themeColor="text1"/>
          <w:sz w:val="16"/>
          <w:szCs w:val="16"/>
        </w:rPr>
        <w:softHyphen/>
        <w:t>ся выше. В 10.22 на высоте 17 400 м аэронавты взяли первую пробу воздуха. В 10.30 на высоте 18 100 м лопнуло стекло герметического колпака барографа. В 10.35 на высоте 17 900 м давление в гондоле возросло на 12 мм рт. ст., что вызвало остановку прибора, автоматически подающего кислород. Стравив избыток воздуха в атмосфе</w:t>
      </w:r>
      <w:r w:rsidRPr="0044524F">
        <w:rPr>
          <w:rFonts w:ascii="Times New Roman" w:hAnsi="Times New Roman"/>
          <w:color w:val="000000" w:themeColor="text1"/>
          <w:sz w:val="16"/>
          <w:szCs w:val="16"/>
        </w:rPr>
        <w:softHyphen/>
        <w:t>ру, аэронавты перезапустили прибор. В 12.00 они сбросили последнюю дозу балласта, пред</w:t>
      </w:r>
      <w:r w:rsidRPr="0044524F">
        <w:rPr>
          <w:rFonts w:ascii="Times New Roman" w:hAnsi="Times New Roman"/>
          <w:color w:val="000000" w:themeColor="text1"/>
          <w:sz w:val="16"/>
          <w:szCs w:val="16"/>
        </w:rPr>
        <w:softHyphen/>
        <w:t>назначенного для подъёма на потолок. Про</w:t>
      </w:r>
      <w:r w:rsidRPr="0044524F">
        <w:rPr>
          <w:rFonts w:ascii="Times New Roman" w:hAnsi="Times New Roman"/>
          <w:color w:val="000000" w:themeColor="text1"/>
          <w:sz w:val="16"/>
          <w:szCs w:val="16"/>
        </w:rPr>
        <w:softHyphen/>
        <w:t>кофьев занёс в бортовой журнал: «Нам ничего не мешает, разве обилие влаги, которая порой не даёт нам следить за показаниями электроме</w:t>
      </w:r>
      <w:r w:rsidRPr="0044524F">
        <w:rPr>
          <w:rFonts w:ascii="Times New Roman" w:hAnsi="Times New Roman"/>
          <w:color w:val="000000" w:themeColor="text1"/>
          <w:sz w:val="16"/>
          <w:szCs w:val="16"/>
        </w:rPr>
        <w:softHyphen/>
        <w:t>тров». К 12.55 «СССР-1» достиг высоты 19 000 м, и стратонавты послали радиограмму И.В. Ста</w:t>
      </w:r>
      <w:r w:rsidRPr="0044524F">
        <w:rPr>
          <w:rFonts w:ascii="Times New Roman" w:hAnsi="Times New Roman"/>
          <w:color w:val="000000" w:themeColor="text1"/>
          <w:sz w:val="16"/>
          <w:szCs w:val="16"/>
        </w:rPr>
        <w:softHyphen/>
        <w:t>лину, К.Е. Ворошилову и В.М. Молотову. По</w:t>
      </w:r>
      <w:r w:rsidRPr="0044524F">
        <w:rPr>
          <w:rFonts w:ascii="Times New Roman" w:hAnsi="Times New Roman"/>
          <w:color w:val="000000" w:themeColor="text1"/>
          <w:sz w:val="16"/>
          <w:szCs w:val="16"/>
        </w:rPr>
        <w:softHyphen/>
        <w:t>сле достижения рекордной высоты «СССР-1» пошёл на снижение и в 17.00 опустился на луг около Коломенского завода (20120).</w:t>
      </w:r>
    </w:p>
    <w:p w14:paraId="06902CA0" w14:textId="77777777" w:rsidR="00AE6ED4" w:rsidRPr="0044524F" w:rsidRDefault="00AE6ED4" w:rsidP="009654CF">
      <w:pPr>
        <w:spacing w:after="0" w:line="240" w:lineRule="auto"/>
        <w:jc w:val="both"/>
        <w:rPr>
          <w:rFonts w:ascii="Times New Roman" w:hAnsi="Times New Roman"/>
          <w:color w:val="000000" w:themeColor="text1"/>
          <w:sz w:val="16"/>
          <w:szCs w:val="16"/>
        </w:rPr>
      </w:pPr>
    </w:p>
    <w:p w14:paraId="173DD103"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9881FDB"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363ADE2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сентября 1933 г. были окончательно приняты вместе с еще двумя изготов</w:t>
      </w:r>
      <w:r w:rsidRPr="0044524F">
        <w:rPr>
          <w:rFonts w:ascii="Times New Roman" w:hAnsi="Times New Roman"/>
          <w:color w:val="000000" w:themeColor="text1"/>
          <w:sz w:val="16"/>
          <w:szCs w:val="16"/>
        </w:rPr>
        <w:softHyphen/>
        <w:t>ленными сначала 12 танков Т-28, а к концу года при плане 90 танков была сдана 41 машина из 44-изготовленных. Правда, цех МХ-2 “Путиловского завода” уже перестраивался. Для его оснаще</w:t>
      </w:r>
      <w:r w:rsidRPr="0044524F">
        <w:rPr>
          <w:rFonts w:ascii="Times New Roman" w:hAnsi="Times New Roman"/>
          <w:color w:val="000000" w:themeColor="text1"/>
          <w:sz w:val="16"/>
          <w:szCs w:val="16"/>
        </w:rPr>
        <w:softHyphen/>
        <w:t>ния в США и Великобритании были закуплены более трех десятков станков и приспособлений для выпуска тракто</w:t>
      </w:r>
      <w:r w:rsidRPr="0044524F">
        <w:rPr>
          <w:rFonts w:ascii="Times New Roman" w:hAnsi="Times New Roman"/>
          <w:color w:val="000000" w:themeColor="text1"/>
          <w:sz w:val="16"/>
          <w:szCs w:val="16"/>
        </w:rPr>
        <w:softHyphen/>
        <w:t>ров. На заводе были созданы восемь специальных стапелей для сборки больших танков (10733,241).</w:t>
      </w:r>
    </w:p>
    <w:p w14:paraId="0B68CCCB"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p>
    <w:p w14:paraId="4E8546AF" w14:textId="77777777" w:rsidR="00785FB6" w:rsidRPr="0044524F" w:rsidRDefault="00785FB6"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30 сентября 1933 г. закончился автопробег Москва — Кара-Кум — Москва, протяженностью в 9500 километров в составе 23 машин советского производства, который стартовал 6 июля 1933 г. (17381).</w:t>
      </w:r>
    </w:p>
    <w:p w14:paraId="69F59797" w14:textId="77777777" w:rsidR="00785FB6" w:rsidRPr="0044524F" w:rsidRDefault="00785FB6" w:rsidP="009654CF">
      <w:pPr>
        <w:shd w:val="clear" w:color="auto" w:fill="FFFFFF"/>
        <w:spacing w:after="0" w:line="240" w:lineRule="auto"/>
        <w:jc w:val="both"/>
        <w:rPr>
          <w:rFonts w:ascii="Times New Roman" w:hAnsi="Times New Roman"/>
          <w:color w:val="000000" w:themeColor="text1"/>
          <w:sz w:val="16"/>
          <w:szCs w:val="16"/>
        </w:rPr>
      </w:pPr>
    </w:p>
    <w:p w14:paraId="0DC56AE7"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30 сентября 1933 г. был подготовлен Протокол допроса обвиняемого Миллера Вольдемара Антоновича, 1897 г. рождения</w:t>
      </w:r>
    </w:p>
    <w:p w14:paraId="69A2DABC"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Мой отец, бывший домовладелец, Миллер Антон Матвеевич, являющийся контролером отделения международной фирмы "Конт­роль К" в Мариуполе, познакомил меня с ответственным представи­телем этой фирмы доктором химии Вайнцетелем Иосифом и его заме­стителем Цикмундом Евгением в декабре м-це 1931 года.</w:t>
      </w:r>
    </w:p>
    <w:p w14:paraId="27AE4EB1"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Первая моя встреча с Вайнцетелем и Цикмундом состоялась в квар­тире моего отца, которого они периодически посещали.</w:t>
      </w:r>
    </w:p>
    <w:p w14:paraId="650DA175"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Вайнцетель и Цикмунд пригласили меня к себе в гости и с этого момента началось мое сближение с ними.</w:t>
      </w:r>
    </w:p>
    <w:p w14:paraId="56F7F871"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Исключительная любезность и общительность, проявленная Цик­мундом, вызвали мое расположение к нему. Сначала я с ним сблизил­ся более чем с Вайнцетелем, часто его посещая.</w:t>
      </w:r>
    </w:p>
    <w:p w14:paraId="0202F952"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нашем обществе постоянно находился католический пастор г. Мариуполя немец Вагнер Адам.</w:t>
      </w:r>
    </w:p>
    <w:p w14:paraId="47237257"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этой, вполне естественной обстановке встреч, Цикмунд прояв­лял большую инициативу в части проведения бесед на политические темы, носившие к-р характер. Цикмунд расценивал коллективиза­цию как насильственный акт со стороны советского правительства в отношении крестьянства, направленный к развалу сельского, соб­ственнического хозяйства. Его возмущали заготовительные кампа­нии, которым он присваивал кличку "грабежа крестьянина".</w:t>
      </w:r>
    </w:p>
    <w:p w14:paraId="35E64C40"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Он также старался убедить меня в том, что взятые большевиками темпы по индустриализации страны выдержаны не будут, ибо народ! голодает, внутренние ресурсы, дававшие возможность к получению! импорта - машин и прочее, исчерпываются, и все это вместе взятое повлечет за собой подрыв мощи Советской власти, нарастание не­верия и недовольств масс по отношению к советской ]власти и выте­кающие отсюда последствия в виде внутриполитических эксцессов - волнений среди рабочих, восстаний на селе и т.д.</w:t>
      </w:r>
    </w:p>
    <w:p w14:paraId="5F07F928"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Совершенно не скрывая от меня свою враждебность к советской власти, Цикмунд всячески восхвалял мощь Германии как убежденный националист. Несмотря на то, что он является уроженцем Авст­рии, Цикмунд был сторонником воссоздания и захвата исторических границ Германии, считая еще в то время необходимым присоедине­ние к Германии немецкой Австрии.</w:t>
      </w:r>
    </w:p>
    <w:p w14:paraId="4FEE5F6D"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Таким образом, Цикмунд предвосхищал идею "аншлюса", под­держиваемую ныне гитлеровским правительством.</w:t>
      </w:r>
    </w:p>
    <w:p w14:paraId="06CFC805"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Цикмунд убежденно доказывал, что коммунистическое движение в Германии будет подавлено и руководящая роль в германском пра­вительстве перейдет к националистам, которые, несомненно, поведут активную борьбу с советской властью, направленную к защите ин­тересов немецкого населения, живущего на территории СССР, в ос­новном, на Украине и в Приволжском крае.</w:t>
      </w:r>
    </w:p>
    <w:p w14:paraId="6C391F1C"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lastRenderedPageBreak/>
        <w:t>Защита интересов немцев, живущих в СССР, как говорил Цикмунд, должна была в основном сводиться к организации эмиграции немцев из СССР в Германию. Одновременно Цикмунд в процессе бе­сед со мной всегда особо подчеркивал, что каждый немец, живущий в СССР, должен помнить, что он обязан защищать интересы герман­ского народа и, в случае вооруженного столкновения Германии с СССР, стать на путь активной поддержки германской армии путем организации развала тыла Красной Армии, т.е. дезертирства из РККА в ряды германской армии, контреволюционной пропаган­ды, создания волынок и повстанческого движения в немецких коло­ниях.</w:t>
      </w:r>
    </w:p>
    <w:p w14:paraId="666B7752"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Я лично сознательно разделял политические взгляды Цикмунда, так как не был согласен с политикой советской власти по сельским вопросам и считал, что немецкое население угнетено, экономически разорено и также был уверен в непродолжительности существования советской власти.</w:t>
      </w:r>
    </w:p>
    <w:p w14:paraId="43CD7242"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Стремясь выехать в Германию, я был уверен в близости гибели советской власти, полагая, что в России будет установлено демократическое управление государством на выборных началах от всех слоев населения, без участия коммунистов.</w:t>
      </w:r>
    </w:p>
    <w:p w14:paraId="3BA53647"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Вайнцетель также был со мной откровенен, высказывая свои на­ционально-фашистские политические взгляды.</w:t>
      </w:r>
    </w:p>
    <w:p w14:paraId="4C2015A3"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апреле месяце 1932 года Цикмунд пригласил меня зайти к нему. Просьбу его я исполнил. Находясь наедине со мной, Цикмунд пре­дупредил меня, что намерен со мной переговорить по весьма серьезно­му вопросу, касающегося моего активного действенного участия в разведывательной работе в пользу Германии, которую он проводит, находясь в СССР.</w:t>
      </w:r>
    </w:p>
    <w:p w14:paraId="05EAF1E0"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Цикмунд откровенно заявил мне, что в целях оказания помощи германскому правительству, необходимо всесторонне изучать эконо­мическую, политическую и оборонную мощь Советского Союза, как возможного противника Германии, что в данном случае, привлекая меня к разведывательной работе, он даст мне соответствующие пору­чения.</w:t>
      </w:r>
    </w:p>
    <w:p w14:paraId="214DC1D1"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Я, сознательно подчиняясь тому же влиянию Цикмунда, изъявил согласие принять участие в разведывательной работе. Цикмунд ос­тался доволен таким ответом, предупредил меня об осторожности.</w:t>
      </w:r>
    </w:p>
    <w:p w14:paraId="3F11458B"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После осуществления вербовки меня, Цикмунд в тот же день дал мне следующее задание:</w:t>
      </w:r>
    </w:p>
    <w:p w14:paraId="14A5BE70"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1. Собирать сведения о ходе строительства новостроящегося заво­да "Азовстали" в Мариуполе:</w:t>
      </w:r>
    </w:p>
    <w:p w14:paraId="35879978"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а) какие цеха запроектированы и строятся, их назначение, ориен­тировочная производственная мощность;</w:t>
      </w:r>
    </w:p>
    <w:p w14:paraId="2E174EB6"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б) количество предполагаемых к постройке доменных печей, с рас­четами их производственной мощности;</w:t>
      </w:r>
    </w:p>
    <w:p w14:paraId="4F3365D9"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насколько строительство обеспечено материалами и рабочей силой;</w:t>
      </w:r>
    </w:p>
    <w:p w14:paraId="01D7057C"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г) какими механизмами будет оборудовано строительство "Азов­стали", импортными или же советского производства.</w:t>
      </w:r>
    </w:p>
    <w:p w14:paraId="30FA1CBF"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2. Выяснить, какие запроектированы по "Азовстали" цеха обо­ронного значения по выпуску брони и прочее. Возможную, ориен­тировочную их пропускную способность.</w:t>
      </w:r>
    </w:p>
    <w:p w14:paraId="062D95CC"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3. Собирать исчерпывающие сведения по заводу им. Ильича в Мариуполе, в основном интересуясь броневым и снарядным цехами, выясняя характер, качество и количество выпускаемой продукции.</w:t>
      </w:r>
    </w:p>
    <w:p w14:paraId="1DD86564"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4. Собирать данные о пропускной способности Мариупольского порта, количестве и качестве запасов угля в порту, предназначенного для экспорта и состояние железнодорожного транспорта по порто­вому ж. д. узлу.</w:t>
      </w:r>
    </w:p>
    <w:p w14:paraId="11B65C3D"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5. Выяснить состав военного гарнизона РККА, расположенного в Мариуполе, количество и дислокацию его подразделений, характер вооружения. Собирать сведения о настроениях военнослужащих, Цикмунд особо интересовался, имеются ли в составе военнослужащих немцы.</w:t>
      </w:r>
    </w:p>
    <w:p w14:paraId="1BFD3866"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Цикмунд рекомендовал мне черпать необходимые сведения от сво­их надежных, близких знакомых, которые в той, или иной степени сталкиваются с интересующими его объектами.</w:t>
      </w:r>
    </w:p>
    <w:p w14:paraId="5C696949"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Наиболее проверенных близких мне антисоветски настроенных лиц, Цикмунд советовал осторожно привлечь для разведывательной работы.</w:t>
      </w:r>
    </w:p>
    <w:p w14:paraId="52F8F341"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Намеченного к вербовке я должен был, согласно полученных ука­заний, тщательно политически во враждебном к советской власти духе обработать, обещая материальную поддержку за выполнение поручений.</w:t>
      </w:r>
    </w:p>
    <w:p w14:paraId="3398E75F"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Приступив к выполнению порученных мной заданий от Цикмунда по разведывательной деятельности, я решил для облегчения соей работы по "Азовстали" завербовать инженера-конструктора Ниль­сена Виктора Александровича, который, по моему мнению, подхо­дил к условиям, поставленным передо мною Цикмундом.</w:t>
      </w:r>
    </w:p>
    <w:p w14:paraId="0BF0EA6D"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Нильсен по национальности немец, до империалистической вой­ны работал архитектором при Городской Управе г. Мариуполя. В армиях он не служил, пожилой. С ним я находился в близких взаимо­отношениях и знал, что Нильсен настроен антисоветски, а, следова­тельно, не будет противоречить моему предложению.</w:t>
      </w:r>
    </w:p>
    <w:p w14:paraId="345E12F1"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конце мая месяца 1932 года я зашел к Нильсену. В процессе бесе­ды мы коснулись вопросов политического характера и положения Германии. Я доказывал Нильсену, что каждый немец должен быть националистом, не забывая своих отечественных обязанностей. Не видя возражений с его стороны, я приступил к вербовке Нильсена, предложив ему собрать сведения от "Азовстали" в разрезе получен­ного мною задания от Цикмунда. Нильсен в ответ на это спросил меня, с кем я состою в связи, насколько я и он будем гарантированы от про­вала, ибо в случае провала — мы понесем серьезную ответственность.</w:t>
      </w:r>
    </w:p>
    <w:p w14:paraId="18097BFF"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Я сообщил Нильсену, что сведения будут передаваться для герман­ской разведки, в связи с которой я состою и гарантировал ему конс­пирацию. </w:t>
      </w:r>
    </w:p>
    <w:p w14:paraId="3EE6B450"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Нильсена мой ответ не удовлетворил и он потребовал конкретноназвать лицо, которое мною руководит, так как в противном случае согласия на мое предложение не даст.</w:t>
      </w:r>
    </w:p>
    <w:p w14:paraId="33A03043"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Я вынуждено информировал Нильсена о том, что действую по поручению представителя фирмы "Контроль К°" Цикмунда.</w:t>
      </w:r>
    </w:p>
    <w:p w14:paraId="236853F5"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Нильсен, волнуясь, в тот же день изъявил свое согласие работатьсо мной, но неоднократно напоминал о необходимости быть осторожным.</w:t>
      </w:r>
    </w:p>
    <w:p w14:paraId="74699AC5"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Для освещения состояния Мариупольского порта я решил в мае месяце завербовать хорошо знакомого мне сотрудника "У экспорта" Колпакова Владимира Ивановича, проживающего Мариуполе.</w:t>
      </w:r>
    </w:p>
    <w:p w14:paraId="12635D52"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С Колпаковым я знаком около шести лет, знал его как политически неустойчивого человека, далекого от советской действительности постоянно брюзжащего и жалующегося на трудности и «загибы» вполитике Советской власти.</w:t>
      </w:r>
    </w:p>
    <w:p w14:paraId="08FFE00B"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Зайдя к Колпакову на дом (дату точно не могу вспомнить), застав его дома, я начал вести с ним осторожную беседу о внутренних и внешнеполитических затруднениях СССР. Колпаков со мной согласился, и я постепенно свою беседу свел к тому, что близко время, когда политические события, развиваясь, закончатся интервенцией со стороны Германии и других западных государств.</w:t>
      </w:r>
    </w:p>
    <w:p w14:paraId="5B42C3E3"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Колпаков продолжал со мной соглашаться, и я более смело гнул ему о своем намерении переговорить с ним по весьма серьезному делу.</w:t>
      </w:r>
    </w:p>
    <w:p w14:paraId="2B61B6A7"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Колпаков насторожился, сразу же пытливо спросил меня, о чем я хочу с ним говорить. Предупредив его о том, что моя беседа носит секретный характер, заручившись его честным словом об исполнениимоего предупреждения, я сказал ему, что за счет материальных гарантий и политического обезвреживания его при свержении существующего строя в СССР, он, Колпаков, должен помочь мне в сборе сведений о состоянии Мариупольского порта.</w:t>
      </w:r>
    </w:p>
    <w:p w14:paraId="5EA900AE"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Выслушав меня, Колпаков также спросил, от имени кого я действую. Ему я сказал, что требуемые сведения по порту весьма необходимы в коммерческих целях для фирмы "Контроль К°", Колпаков подозрительно отнесся к моему ответу и высказался, что мое предложение он рассматривает "как политическое дело, в его понятиях, экономический шпионаж".</w:t>
      </w:r>
    </w:p>
    <w:p w14:paraId="148BEF27"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Учитывая, что Колпаков догадывается о сути моего предложенияя в более откровенной форме дополнил свою информацию тем, что я связал с Цикмундом, задания которого выполняю по разведке в пользу Германии.</w:t>
      </w:r>
    </w:p>
    <w:p w14:paraId="576259C6"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Колпаков, после некоторого раздумья, боясь за последствия, все же согласие изъявил, обещая быть полезным.</w:t>
      </w:r>
    </w:p>
    <w:p w14:paraId="731ADA04"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первых числах июля месяца 1932 года, зайдя к Цикмунду, я до­ложил ему о вербовке Нильсена и Колпакова. Цикмунд одобрил эти вербовки, но очень просил изучить людей, имеющих связи в Мариу­польском 238 стрелковом полку, для проведения там вербовочной ра­боты. Я обещал ему это, но предупредил Цикмуида, что такими свя­зями не располагаю. Кроме того, указал, что по заводу им. Ильича также не имею подходящих людей для вербовки.</w:t>
      </w:r>
    </w:p>
    <w:p w14:paraId="682ACA88"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Мною лично, а также через Нильсена и Колпакова, были собра­ны и переданы Цикмунду с июня по август месяцы 1932 г. сведения: По "Азовстали" — три рукописных доклада Нильсена (без его подписи) о ходе строительства "Азовстали", запроектированных це­хах оборонного значения, об оборудовании запроектированном для этих цехов и прочее.</w:t>
      </w:r>
    </w:p>
    <w:p w14:paraId="4CA89FA4"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Нильсен обычно подготавливал материалы и передавал мне, для чего я к нему заходил.</w:t>
      </w:r>
    </w:p>
    <w:p w14:paraId="7C01476B"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По Мариупольскому порту от Колпакова, кажется, были мною получены три заметки или четыре с данными по угольному запасу, его качеству, состоянии ж.-д. транспорта.</w:t>
      </w:r>
    </w:p>
    <w:p w14:paraId="581DC2D7"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По заводу им. Ильича я не мог добыть данных, также не мог об­служить Мариупольский полк, ограничиваясь в этом направлении желанием выполнить и эти поручения Цикмунда.</w:t>
      </w:r>
    </w:p>
    <w:p w14:paraId="08C88C66"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Нильсену я вознаграждений не передавал, а Колпакову Цикмунд передал через меня несколько посылок, состоящих из муки, сахара и сливочного масла.</w:t>
      </w:r>
    </w:p>
    <w:p w14:paraId="10BED3D0"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Пастор Вагнер Адам, как я указал выше, находился со мной в са­мых близких дружественных взаимоотношениях, он бывал у меня, присутствовал и участвовал в собеседованиях моих с Цикмундом на политические темы.</w:t>
      </w:r>
    </w:p>
    <w:p w14:paraId="03D0933B"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Вагнер — немец, националист, органически ненавидящий Советскую власть, всегда мечтавший и пророчивший ее близкое свержение интервентами.</w:t>
      </w:r>
    </w:p>
    <w:p w14:paraId="73ACE88A"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Вагнер постоянно твердил, что Германия в ближайшем будущем явится одним из активных агрессоров в отношении СССР и что, в свя­зи с этим, немецкой интеллигенцией, живущей в СССР, должна про­водиться и проводится соответствующая работа, направленная к организации немецкого населения, живущего в </w:t>
      </w:r>
      <w:r w:rsidRPr="0044524F">
        <w:rPr>
          <w:i w:val="0"/>
          <w:iCs w:val="0"/>
          <w:color w:val="000000" w:themeColor="text1"/>
          <w:spacing w:val="0"/>
          <w:kern w:val="0"/>
          <w:position w:val="0"/>
          <w:sz w:val="16"/>
          <w:szCs w:val="16"/>
          <w:lang w:val="ru-RU"/>
        </w:rPr>
        <w:lastRenderedPageBreak/>
        <w:t>колониях, его национальному воспитанию которое бы шло по руслу создания германс­кой национальной повстанческой контрреволюционной органи­зации, которая в момент внутренних и внешних политических ослож­нений в отношении СССР, могла бы активно выступить против Советской власти.</w:t>
      </w:r>
    </w:p>
    <w:p w14:paraId="4B61F97B"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Совершенно доверяя Вагнеру, с другой стороны, задавшись целью проверить, завербован ли он, как и я Цикмундом, я в одной из бесед с ним признался ему, что работаю в области разведки под руководством Цикмунда.</w:t>
      </w:r>
    </w:p>
    <w:p w14:paraId="08ACCD90"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Вагнер, удовлетворенный моим признанием, одобряя мои действия, также откровенно сообщил мне, что он имеет деловую связь с предста­вителем фирмы "Контроль К°" доктором Вайнцетелем, по поручению которого собирает такие же сведения о Советском Союзе и, в частно­сти, проводит работу по изучению политико-экономического состоя­ния немецких колоний, отдельных немцев обрабатывает в национа­листическом духе и вербует их в целях насаждения, при их помощи, в немецких колониях ячеек повстанческой контрреволюционной организации, о существовании которой Вагнер мне ранее намекал.</w:t>
      </w:r>
    </w:p>
    <w:p w14:paraId="6856B3AC"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Он назвал немецкие колонии, где существуют ячейки организа­ции, но название колоний, я не могу припомнить.</w:t>
      </w:r>
    </w:p>
    <w:p w14:paraId="6137CDAF"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О своей беседе с Вагнером, желая проверить, искренне ли он со мной говорил, я информировал Цикмунда.</w:t>
      </w:r>
    </w:p>
    <w:p w14:paraId="34DAAA9C"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Цикмунд удивлен был обстоятельством этой "откровенной" моей встречи с Вагнером, но подтвердил мне, что Вайнцетель ведет также разведывательную работу, как и он, что Вагнер, надо полагать, дей­ствительно с Вайнцетелем связан по этой работе.</w:t>
      </w:r>
    </w:p>
    <w:p w14:paraId="43CFFC10"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Цикмунд все же предупредил меня, впредь более осторожно вести себя, запретил мне совершенно вербовочную работу, намекая на то, что я могу провалиться и причинить, как себе, так и другим большие неприятности.</w:t>
      </w:r>
    </w:p>
    <w:p w14:paraId="1D05C00A"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Цикмунд указал, что с Вагнером от подобных бесед я должен впредь уклоняться, чего я впоследствии придерживался.</w:t>
      </w:r>
    </w:p>
    <w:p w14:paraId="00A50B64"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ноябре месяце 1932 года Цикмунд предупредил меня о том, что он уезжает, и я впредь должен буду продолжать выполнение своих обязательств по разведке, передавая собираемые сведения Вайнцетелю, который обо мне Цикмундом был предупрежден.</w:t>
      </w:r>
    </w:p>
    <w:p w14:paraId="56B2A0F1"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конце ноября месяца 1932 г. Цикмунд выехал из СССР в Вену.</w:t>
      </w:r>
    </w:p>
    <w:p w14:paraId="1DD51E70"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До пасхальных праздников 1933 г. (начало мая месяца), я связь с Вайнцетелем не установил, ожидая, что он это оформит лично, как говорил мне Цикмунд.</w:t>
      </w:r>
    </w:p>
    <w:p w14:paraId="13FD684F"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пасхальные дни Вайнцетель пригласил меня к себе в гости. Пред­ложение я охотно принял, посетил его, и он просил меня заглянуть к нему через несколько дней.</w:t>
      </w:r>
    </w:p>
    <w:p w14:paraId="7B976C52"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При явке моей, Вайнцетель пригласил меня зайти к нему в рабо­чий кабинет, где, уединившись, информировал о том, что в Германии в то время происходили серьезные политические события, завершив­шиеся "славным" приходом к власти Гитлера, который громит ком­мунистические организации, восстанавливает в стране порядок, ук­репляя ее политическую и физическую мощь.</w:t>
      </w:r>
    </w:p>
    <w:p w14:paraId="7B238CE2"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Фашизм, по словам Вайнцетеля, является формой воинственных идей Гитлера и национал-социалистов, он все более и более крепнет, развиваясь на Западе, представит собой в будущем основное поли­тическое ядро в капиталистическом мире, прекращая этим самым меж­дупартийную борьбу, ибо существующие партии, кроме подавляе­мой коммунистической, сольются с национал-социализмом.</w:t>
      </w:r>
    </w:p>
    <w:p w14:paraId="1DE0A720"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Вайнцетель доказывал мне, что именно в настоящее время нацио­нал-социалисты, в основном, взяли ставку на организацию интер­венции СССР, как сильнейшего противника, опирающегося на мощ­ную металлургическую базу, имеющую решающее значение в оборо­не, и подготовленную Красную Армию.</w:t>
      </w:r>
    </w:p>
    <w:p w14:paraId="4E783531"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Указывая на близость интервенции СССР Германий, Вайнцетель особо отмечал, что в мирной обстановке на территории Советского Союза, насыщенного большим количеством немцев и части русской интеллигенции, сочувствующими национал-социализму, представ­ляются большие возможности к пропаганде идей фашизма и созда­нию политической, повстанческой организации, ячейки которой яв­лялись бы фактически боевыми отрядами-звеньями организации.</w:t>
      </w:r>
    </w:p>
    <w:p w14:paraId="749D65F9"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Руководство организации, по словам Вайнцетеля, должно было вести усиленную пропагандистскую работу среди этих отрядов, вов­лекая в состав их большое количество немецкой молодежи, а также и русскую, присваивая этим отрядам, для поднятия их идейно-воин­ствующего духа, под знаком фашизма, звание "штурмовых отрядов защиты Германии".</w:t>
      </w:r>
    </w:p>
    <w:p w14:paraId="555E051B"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Такая организационная работа, как говорил мне Вайнцетель, ведется национал-социалистами в немецких колониях Украины и Приволжского края.</w:t>
      </w:r>
    </w:p>
    <w:p w14:paraId="12F6BC32"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Вайнцетель, как-то случайно, подтвердил, что участниками по­добных организаций проводится вредительская работа в промышлен­ности Советского Союза.</w:t>
      </w:r>
    </w:p>
    <w:p w14:paraId="1E9E8669"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Я разделял политическую точку зрения Вайнцетеля, считал себя с момента этой беседы, сторонником национал-социалистов.</w:t>
      </w:r>
    </w:p>
    <w:p w14:paraId="42971F1E"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Вайнцетель в тот же день подподтвердил, что Цикмунд ему сообщил обо мне как о своем агенте и интересовался сущностью заданий, по­лученных мною от Цикмунда, подтвердил эти задания и попросил продолжать их выполнение, представив ему материалы в ближайшее вре­мя, так: как он должен был их срочно переотправить по месту назна­чения, почему-то назвав мне получателем - правление фирмы.</w:t>
      </w:r>
    </w:p>
    <w:p w14:paraId="3A91ABD9"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До дня ареста Вайнцетелю я передал сведения, полученные от Колпакова по Мариупольскому порту (уголь, транспорт) и одну руко­пись от Никсона по "Азовстали"' содержание которой не помню.</w:t>
      </w:r>
    </w:p>
    <w:p w14:paraId="017A7788"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Нильсену и Колпакову я Вайнцетеля не называл. При встрече же с ним я сообщил как о людях мною завербованных и уже использовавшихся.</w:t>
      </w:r>
    </w:p>
    <w:p w14:paraId="52484BC3"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Материалы от Нильсена я передал Вайнцетелю в конце июля ме­сяца 1933 г. в квартире Вайнцетеля.</w:t>
      </w:r>
    </w:p>
    <w:p w14:paraId="3A8F49E3"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Мне известно, что Вайнцетель был дружен по Мариуполю с инже­нером завода им. Ильича — Ставровским, электромонтером Цыган­ковым, работником "Экспортхлеба" - Булавой, Свирским - сотруд­ник конторы "Контроль К°".</w:t>
      </w:r>
    </w:p>
    <w:p w14:paraId="26126ACC"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Эти люди явно антисоветски настроены и я полагаю, что они да­леко не случайно составляли o6щество Вайнцетеля.</w:t>
      </w:r>
    </w:p>
    <w:p w14:paraId="2B97EC14"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Показания прерываются. Все записано с моих слов правильно, мной прочтено, в чем собственноручно расписываюсь. </w:t>
      </w:r>
    </w:p>
    <w:p w14:paraId="7E48782E"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В.Миллер.</w:t>
      </w:r>
    </w:p>
    <w:p w14:paraId="3D377067"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Допросили: Нач. 2 отделения 00 Доноблотдела ГПУ Богуславский </w:t>
      </w:r>
    </w:p>
    <w:p w14:paraId="12DFE448"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Уполномоченный 00 Турьянский (11462).</w:t>
      </w:r>
    </w:p>
    <w:p w14:paraId="32454EDC" w14:textId="77777777" w:rsidR="0007455B" w:rsidRPr="0044524F" w:rsidRDefault="0007455B" w:rsidP="009654CF">
      <w:pPr>
        <w:pStyle w:val="af2"/>
        <w:jc w:val="both"/>
        <w:rPr>
          <w:i w:val="0"/>
          <w:iCs w:val="0"/>
          <w:color w:val="000000" w:themeColor="text1"/>
          <w:spacing w:val="0"/>
          <w:kern w:val="0"/>
          <w:position w:val="0"/>
          <w:sz w:val="16"/>
          <w:szCs w:val="16"/>
          <w:lang w:val="ru-RU"/>
        </w:rPr>
      </w:pPr>
    </w:p>
    <w:p w14:paraId="27EF2A4F"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D36F11E"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5FCCCC4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30 сентября 1933 года германский долг Англии равнялся 132 млн фунтов стерлингов, или 1718 млн марок. Для сравнения: весь германский экспорт в 1933 году составил 4871 млн марок (11208).</w:t>
      </w:r>
    </w:p>
    <w:p w14:paraId="4EC5014D"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6CFD471"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E15DB5A"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7C4FEEE8" w14:textId="77777777" w:rsidR="009E7199" w:rsidRPr="0044524F" w:rsidRDefault="009E71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сентября 1933 задержки с проведением заводских испытаний И-14 и передачей его на государственные вынудили ВВС дать официальный заказ на постройку истребителя И 16 и было форсировано оформление заключения по эскизному про</w:t>
      </w:r>
      <w:r w:rsidRPr="0044524F">
        <w:rPr>
          <w:rFonts w:ascii="Times New Roman" w:hAnsi="Times New Roman"/>
          <w:color w:val="000000" w:themeColor="text1"/>
          <w:sz w:val="16"/>
          <w:szCs w:val="16"/>
        </w:rPr>
        <w:softHyphen/>
        <w:t>екту И-16 с мотором М-22. Его написал ВРИД начальника 7-го сектора НИИ ВВС Н.А. Жемчужин, а утвердил 2 октября 1933 г. главный инженер-механик ВВС РККА Б.Т. Горощенко, впоследствии профессор ВВА им. проф. Н.Е. Жуковского, видный ученый в области динамики полета и аэродинами</w:t>
      </w:r>
      <w:r w:rsidRPr="0044524F">
        <w:rPr>
          <w:rFonts w:ascii="Times New Roman" w:hAnsi="Times New Roman"/>
          <w:color w:val="000000" w:themeColor="text1"/>
          <w:sz w:val="16"/>
          <w:szCs w:val="16"/>
        </w:rPr>
        <w:softHyphen/>
        <w:t>ческого расчета самолетов.</w:t>
      </w:r>
    </w:p>
    <w:p w14:paraId="218D3C0F" w14:textId="77777777" w:rsidR="009E7199" w:rsidRPr="0044524F" w:rsidRDefault="009E71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документе зафиксированы следующие расчетные харак</w:t>
      </w:r>
      <w:r w:rsidRPr="0044524F">
        <w:rPr>
          <w:rFonts w:ascii="Times New Roman" w:hAnsi="Times New Roman"/>
          <w:color w:val="000000" w:themeColor="text1"/>
          <w:sz w:val="16"/>
          <w:szCs w:val="16"/>
        </w:rPr>
        <w:softHyphen/>
        <w:t>теристики истребителя И-16 с мотором М-22 (в документах тех лет он еще обозначался и как И-16 М-22): максимальная скорость у земли - 345 км/ч, скорость на высоте 3000 м - 320 км/ч, на высоте 5000 м - 300 км/ч, время набора высоты 5000 м - 10-11 мин. После тщательного анализа характеристик отечественных и зарубежных опытных и серийных одномест</w:t>
      </w:r>
      <w:r w:rsidRPr="0044524F">
        <w:rPr>
          <w:rFonts w:ascii="Times New Roman" w:hAnsi="Times New Roman"/>
          <w:color w:val="000000" w:themeColor="text1"/>
          <w:sz w:val="16"/>
          <w:szCs w:val="16"/>
        </w:rPr>
        <w:softHyphen/>
        <w:t>ных истребителей были сделаны следующие выводы:</w:t>
      </w:r>
    </w:p>
    <w:p w14:paraId="4245D601" w14:textId="77777777" w:rsidR="009E7199" w:rsidRPr="0044524F" w:rsidRDefault="009E71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«Рассматривая самолет И-16 с мотором М-22 как более близ</w:t>
      </w:r>
      <w:r w:rsidRPr="0044524F">
        <w:rPr>
          <w:rFonts w:ascii="Times New Roman" w:hAnsi="Times New Roman"/>
          <w:color w:val="000000" w:themeColor="text1"/>
          <w:sz w:val="16"/>
          <w:szCs w:val="16"/>
        </w:rPr>
        <w:softHyphen/>
        <w:t>кий к серийному выпуску вариант (обеспеченный отечественным мотором), нужно признать, что:</w:t>
      </w:r>
    </w:p>
    <w:p w14:paraId="0C2FB3F1" w14:textId="77777777" w:rsidR="009E7199" w:rsidRPr="0044524F" w:rsidRDefault="009E71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своей схеме и аэродинамическим формам самолет И-16 полностью соответствует основному предъявленному к нему требованию - скорости.</w:t>
      </w:r>
    </w:p>
    <w:p w14:paraId="1D16D448" w14:textId="77777777" w:rsidR="009E7199" w:rsidRPr="0044524F" w:rsidRDefault="009E71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 летным данным даже с невысотным мотором стано</w:t>
      </w:r>
      <w:r w:rsidRPr="0044524F">
        <w:rPr>
          <w:rFonts w:ascii="Times New Roman" w:hAnsi="Times New Roman"/>
          <w:color w:val="000000" w:themeColor="text1"/>
          <w:sz w:val="16"/>
          <w:szCs w:val="16"/>
        </w:rPr>
        <w:softHyphen/>
        <w:t>вится на уровне, близком к современным заграничным истреби</w:t>
      </w:r>
      <w:r w:rsidRPr="0044524F">
        <w:rPr>
          <w:rFonts w:ascii="Times New Roman" w:hAnsi="Times New Roman"/>
          <w:color w:val="000000" w:themeColor="text1"/>
          <w:sz w:val="16"/>
          <w:szCs w:val="16"/>
        </w:rPr>
        <w:softHyphen/>
        <w:t>телям, и представляет значительный сдвиг по скорости с имею</w:t>
      </w:r>
      <w:r w:rsidRPr="0044524F">
        <w:rPr>
          <w:rFonts w:ascii="Times New Roman" w:hAnsi="Times New Roman"/>
          <w:color w:val="000000" w:themeColor="text1"/>
          <w:sz w:val="16"/>
          <w:szCs w:val="16"/>
        </w:rPr>
        <w:softHyphen/>
        <w:t>щимися у нас на вооружении истребителями...» (23455).</w:t>
      </w:r>
    </w:p>
    <w:p w14:paraId="0FDA9CAF" w14:textId="77777777" w:rsidR="009E7199" w:rsidRPr="0044524F" w:rsidRDefault="009E7199" w:rsidP="009654CF">
      <w:pPr>
        <w:spacing w:after="0" w:line="240" w:lineRule="auto"/>
        <w:jc w:val="both"/>
        <w:rPr>
          <w:rFonts w:ascii="Times New Roman" w:hAnsi="Times New Roman"/>
          <w:color w:val="000000" w:themeColor="text1"/>
          <w:sz w:val="16"/>
          <w:szCs w:val="16"/>
        </w:rPr>
      </w:pPr>
    </w:p>
    <w:p w14:paraId="478CDF8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сентября 1933 в Москве в аэроклубе Осоавиахима (заказчика) испытывали САМ-5 цельнометаллический А.Москалева. Чуть-чуть поломали крышку фонаря и А.С.Я. предложил помочь отремонтировать. А.С.Я. протянул 2 месяца и машина простояла под открытым небом и требовала более серьезного ремонта. Москалев в это время делал САМ-6 под мотор в 85 нр и проектировал самолет с дельтовидным крылом Сигма, а также договорился с директором Воронежского авиатехникума о переделки цельнометаллического САМ-5 в цельнодеревянный САМ-5бис (2889,29).</w:t>
      </w:r>
    </w:p>
    <w:p w14:paraId="026894CB"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120D33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сентября 1933 первый гидроплан S.55, закупленный ГВФ, под управлением экипажа А.С.Демченко совершил рейс Владивосток - Петропавловск за 4 суток. Потом на ДВ перегнали еще 4 машины, а одну под управлением Б.Л.Бухгольца разбили (1834,16).</w:t>
      </w:r>
    </w:p>
    <w:p w14:paraId="6352AF0E"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6129C0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сентября 1933 г. он совершил рейс Владивосток - Петропавловск-Камчатский и обратно. Перелет занял четверо суток. Ближе к зиме самолет разобрали и оставили на хранение на одном из складов Владивостокского порта, где к этому времени находились еще три лодки, доставленные морем. А куда же делась пятая ? Она предназначалась уже не ГВФ, а Управлению воздушной службы Главсевморпути (УВС ГУСМП). Именно для этого добивались «арктической» доработки С-55. Главсевморпути досталась головная машина, с полным зимним капотированием двигателей. Этот самолет из Одессы перевезли в Севастополь и там собрали (5486,4).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4E10C1" w:rsidRPr="0044524F" w14:paraId="0380EAA7" w14:textId="77777777">
        <w:tc>
          <w:tcPr>
            <w:tcW w:w="4261" w:type="dxa"/>
          </w:tcPr>
          <w:p w14:paraId="42F8672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Технические данные С-55 советского заказа</w:t>
            </w:r>
          </w:p>
        </w:tc>
        <w:tc>
          <w:tcPr>
            <w:tcW w:w="4261" w:type="dxa"/>
          </w:tcPr>
          <w:p w14:paraId="4E99F60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данным НИИ ГВФ)</w:t>
            </w:r>
          </w:p>
        </w:tc>
      </w:tr>
      <w:tr w:rsidR="004E10C1" w:rsidRPr="0044524F" w14:paraId="285C5374" w14:textId="77777777">
        <w:tc>
          <w:tcPr>
            <w:tcW w:w="4261" w:type="dxa"/>
          </w:tcPr>
          <w:p w14:paraId="03B6B64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крыла,м</w:t>
            </w:r>
          </w:p>
        </w:tc>
        <w:tc>
          <w:tcPr>
            <w:tcW w:w="4261" w:type="dxa"/>
          </w:tcPr>
          <w:p w14:paraId="137C733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tc>
      </w:tr>
      <w:tr w:rsidR="004E10C1" w:rsidRPr="0044524F" w14:paraId="36B0ECA2" w14:textId="77777777">
        <w:tc>
          <w:tcPr>
            <w:tcW w:w="4261" w:type="dxa"/>
          </w:tcPr>
          <w:p w14:paraId="78FA608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Длина,м</w:t>
            </w:r>
          </w:p>
        </w:tc>
        <w:tc>
          <w:tcPr>
            <w:tcW w:w="4261" w:type="dxa"/>
          </w:tcPr>
          <w:p w14:paraId="38552D2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tc>
      </w:tr>
      <w:tr w:rsidR="004E10C1" w:rsidRPr="0044524F" w14:paraId="6D919BAA" w14:textId="77777777">
        <w:tc>
          <w:tcPr>
            <w:tcW w:w="4261" w:type="dxa"/>
          </w:tcPr>
          <w:p w14:paraId="3C72CBA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м</w:t>
            </w:r>
          </w:p>
        </w:tc>
        <w:tc>
          <w:tcPr>
            <w:tcW w:w="4261" w:type="dxa"/>
          </w:tcPr>
          <w:p w14:paraId="1AFCC15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6C67CCF9" w14:textId="77777777">
        <w:tc>
          <w:tcPr>
            <w:tcW w:w="4261" w:type="dxa"/>
          </w:tcPr>
          <w:p w14:paraId="060DB50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Пустой вес, кг</w:t>
            </w:r>
          </w:p>
        </w:tc>
        <w:tc>
          <w:tcPr>
            <w:tcW w:w="4261" w:type="dxa"/>
          </w:tcPr>
          <w:p w14:paraId="56E6B98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5970</w:t>
            </w:r>
          </w:p>
        </w:tc>
      </w:tr>
      <w:tr w:rsidR="004E10C1" w:rsidRPr="0044524F" w14:paraId="7149DADF" w14:textId="77777777">
        <w:tc>
          <w:tcPr>
            <w:tcW w:w="4261" w:type="dxa"/>
          </w:tcPr>
          <w:p w14:paraId="652F6C5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Полезная нагрузка, кг</w:t>
            </w:r>
          </w:p>
        </w:tc>
        <w:tc>
          <w:tcPr>
            <w:tcW w:w="4261" w:type="dxa"/>
          </w:tcPr>
          <w:p w14:paraId="675CE1A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r>
      <w:tr w:rsidR="004E10C1" w:rsidRPr="0044524F" w14:paraId="06F85514" w14:textId="77777777">
        <w:tc>
          <w:tcPr>
            <w:tcW w:w="4261" w:type="dxa"/>
          </w:tcPr>
          <w:p w14:paraId="395E8BF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Взлетный вес, кг</w:t>
            </w:r>
          </w:p>
        </w:tc>
        <w:tc>
          <w:tcPr>
            <w:tcW w:w="4261" w:type="dxa"/>
          </w:tcPr>
          <w:p w14:paraId="7B2CF67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8470</w:t>
            </w:r>
          </w:p>
        </w:tc>
      </w:tr>
      <w:tr w:rsidR="004E10C1" w:rsidRPr="0044524F" w14:paraId="428A9FF6" w14:textId="77777777">
        <w:tc>
          <w:tcPr>
            <w:tcW w:w="4261" w:type="dxa"/>
          </w:tcPr>
          <w:p w14:paraId="7FE4A0E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чел</w:t>
            </w:r>
          </w:p>
        </w:tc>
        <w:tc>
          <w:tcPr>
            <w:tcW w:w="4261" w:type="dxa"/>
          </w:tcPr>
          <w:p w14:paraId="00FE9AF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r>
      <w:tr w:rsidR="004E10C1" w:rsidRPr="0044524F" w14:paraId="183AB00F" w14:textId="77777777">
        <w:tc>
          <w:tcPr>
            <w:tcW w:w="4261" w:type="dxa"/>
          </w:tcPr>
          <w:p w14:paraId="5B2771B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Пассажиры, чел</w:t>
            </w:r>
          </w:p>
        </w:tc>
        <w:tc>
          <w:tcPr>
            <w:tcW w:w="4261" w:type="dxa"/>
          </w:tcPr>
          <w:p w14:paraId="13434F0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r>
      <w:tr w:rsidR="004E10C1" w:rsidRPr="0044524F" w14:paraId="44AA331A" w14:textId="77777777">
        <w:tc>
          <w:tcPr>
            <w:tcW w:w="4261" w:type="dxa"/>
          </w:tcPr>
          <w:p w14:paraId="1E80E8F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км/ч</w:t>
            </w:r>
          </w:p>
        </w:tc>
        <w:tc>
          <w:tcPr>
            <w:tcW w:w="4261" w:type="dxa"/>
          </w:tcPr>
          <w:p w14:paraId="5277454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r>
      <w:tr w:rsidR="004E10C1" w:rsidRPr="0044524F" w14:paraId="13C541D7" w14:textId="77777777">
        <w:tc>
          <w:tcPr>
            <w:tcW w:w="4261" w:type="dxa"/>
          </w:tcPr>
          <w:p w14:paraId="507732A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Крейсерская скорость, км/ч</w:t>
            </w:r>
          </w:p>
        </w:tc>
        <w:tc>
          <w:tcPr>
            <w:tcW w:w="4261" w:type="dxa"/>
          </w:tcPr>
          <w:p w14:paraId="07DF121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200-220</w:t>
            </w:r>
          </w:p>
        </w:tc>
      </w:tr>
      <w:tr w:rsidR="004E10C1" w:rsidRPr="0044524F" w14:paraId="295B291A" w14:textId="77777777">
        <w:tc>
          <w:tcPr>
            <w:tcW w:w="4261" w:type="dxa"/>
          </w:tcPr>
          <w:p w14:paraId="117B8DE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км/ч</w:t>
            </w:r>
          </w:p>
        </w:tc>
        <w:tc>
          <w:tcPr>
            <w:tcW w:w="4261" w:type="dxa"/>
          </w:tcPr>
          <w:p w14:paraId="4BFFA49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r>
      <w:tr w:rsidR="004E10C1" w:rsidRPr="0044524F" w14:paraId="03A9614F" w14:textId="77777777">
        <w:tc>
          <w:tcPr>
            <w:tcW w:w="4261" w:type="dxa"/>
          </w:tcPr>
          <w:p w14:paraId="29448CE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км</w:t>
            </w:r>
          </w:p>
        </w:tc>
        <w:tc>
          <w:tcPr>
            <w:tcW w:w="4261" w:type="dxa"/>
          </w:tcPr>
          <w:p w14:paraId="45DE7E8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 (5486,5)</w:t>
            </w:r>
          </w:p>
        </w:tc>
      </w:tr>
    </w:tbl>
    <w:p w14:paraId="1406B9C4"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287B04A3" w14:textId="76021E7E" w:rsidR="00247A63" w:rsidRPr="0044524F" w:rsidRDefault="00247A63" w:rsidP="00247A63">
      <w:pPr>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Жизнь и внутреняя политика</w:t>
      </w:r>
      <w:r w:rsidRPr="0044524F">
        <w:rPr>
          <w:rFonts w:ascii="Times New Roman" w:hAnsi="Times New Roman"/>
          <w:i/>
          <w:iCs/>
          <w:color w:val="000000" w:themeColor="text1"/>
          <w:sz w:val="16"/>
          <w:szCs w:val="16"/>
        </w:rPr>
        <w:t>:</w:t>
      </w:r>
    </w:p>
    <w:p w14:paraId="126DA9F9" w14:textId="77777777" w:rsidR="00247A63" w:rsidRPr="0044524F" w:rsidRDefault="00247A63" w:rsidP="00247A63">
      <w:pPr>
        <w:spacing w:after="0" w:line="240" w:lineRule="auto"/>
        <w:jc w:val="both"/>
        <w:rPr>
          <w:rFonts w:ascii="Times New Roman" w:hAnsi="Times New Roman"/>
          <w:iCs/>
          <w:color w:val="000000" w:themeColor="text1"/>
          <w:sz w:val="16"/>
          <w:szCs w:val="16"/>
        </w:rPr>
      </w:pPr>
    </w:p>
    <w:p w14:paraId="01673CD8" w14:textId="77777777" w:rsidR="00247A63" w:rsidRPr="00142305" w:rsidRDefault="00247A63" w:rsidP="00247A6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сентября 1933 г., потеряв ходовые винты, Челюскин был скован льдом и остался дрейфовать в беспомощном состоянии один. Это произошло у мыса Сердце-Камень, когда до Берингова пролива судну оставалось всего 60 миль.</w:t>
      </w:r>
    </w:p>
    <w:p w14:paraId="7095E79C" w14:textId="77777777" w:rsidR="00247A63" w:rsidRPr="00142305" w:rsidRDefault="00247A63" w:rsidP="00247A63">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это время недалеко от «Челюскина» дрейфовали во льдах ещё несколько судов из состава Северо-Восточной полярной экспедиции Наркомвода (1932 г.) и Колымской особой экспедиции (1933 г.) в сопровождении ледореза «Литке». Все они участвовали в доставке вольнонаёмных рабочих, заключённых и грузов в бухту Амбарчик, неда</w:t>
      </w:r>
      <w:r w:rsidRPr="00142305">
        <w:rPr>
          <w:rStyle w:val="aff"/>
          <w:rFonts w:ascii="Times New Roman" w:hAnsi="Times New Roman" w:cs="Times New Roman"/>
          <w:color w:val="0070C0"/>
          <w:spacing w:val="0"/>
          <w:sz w:val="16"/>
          <w:szCs w:val="16"/>
        </w:rPr>
        <w:softHyphen/>
        <w:t>леко от Колымы, где был создан Севвостлаг Колымского речного управления треста «Дальстрой» ОГПУ СССР.</w:t>
      </w:r>
    </w:p>
    <w:p w14:paraId="41E32DE7" w14:textId="77777777" w:rsidR="00247A63" w:rsidRPr="00142305" w:rsidRDefault="00247A63" w:rsidP="00247A6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Еще в навигацию 1933 г. эти суда начали эвакуировать заболев</w:t>
      </w:r>
      <w:r w:rsidRPr="00142305">
        <w:rPr>
          <w:rStyle w:val="aff"/>
          <w:rFonts w:ascii="Times New Roman" w:hAnsi="Times New Roman" w:cs="Times New Roman"/>
          <w:color w:val="0070C0"/>
          <w:spacing w:val="0"/>
          <w:sz w:val="16"/>
          <w:szCs w:val="16"/>
        </w:rPr>
        <w:softHyphen/>
        <w:t>ший цингой «контингент» на материк, но попали в ледяной плен. Ближе всех к «Челюскину», у мыса Биллингса, точно напротив о. Врангеля, оказались суда «Север», «Анадырь» и «Хабаровск». Только на двух последних находились 168 пассажиров (в т.ч. на «Анадыре» 74, из которых 27 были больны цингой). Капитан судна «Хабаровск» И. Фпнякин, попавший во льды одним из последних, позже писал в своём «Рейсовом донесении»: «В Чуанской губе встре</w:t>
      </w:r>
      <w:r w:rsidRPr="00142305">
        <w:rPr>
          <w:rStyle w:val="aff"/>
          <w:rFonts w:ascii="Times New Roman" w:hAnsi="Times New Roman" w:cs="Times New Roman"/>
          <w:color w:val="0070C0"/>
          <w:spacing w:val="0"/>
          <w:sz w:val="16"/>
          <w:szCs w:val="16"/>
        </w:rPr>
        <w:softHyphen/>
        <w:t>тили «Анадырь», на котором были пассажиры Дальстроя, оставление которых на зимовку допустить было нельзя по известным соображениям». Ледорез «Литке», который от трёх судов разделяли всего 100 миль, попытался пробиться к ним, но, потеряв лопасть ходового винта, получив серьёзное повреждение руля и течь в помятом корпусе, сам с трудом смог вырваться из ледяной ловушки у о. Колючий (25635).</w:t>
      </w:r>
    </w:p>
    <w:p w14:paraId="4364E164" w14:textId="77777777" w:rsidR="00247A63" w:rsidRPr="00142305" w:rsidRDefault="00247A63" w:rsidP="00247A63">
      <w:pPr>
        <w:spacing w:after="0" w:line="240" w:lineRule="auto"/>
        <w:jc w:val="both"/>
        <w:rPr>
          <w:rFonts w:ascii="Times New Roman" w:hAnsi="Times New Roman"/>
          <w:color w:val="0070C0"/>
          <w:sz w:val="16"/>
          <w:szCs w:val="16"/>
        </w:rPr>
      </w:pPr>
    </w:p>
    <w:p w14:paraId="6111522B" w14:textId="77777777" w:rsidR="0007455B"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08A1DC6" w14:textId="77777777" w:rsidR="0007455B" w:rsidRPr="0044524F" w:rsidRDefault="0007455B" w:rsidP="009654CF">
      <w:pPr>
        <w:spacing w:after="0" w:line="240" w:lineRule="auto"/>
        <w:jc w:val="both"/>
        <w:rPr>
          <w:rFonts w:ascii="Times New Roman" w:hAnsi="Times New Roman"/>
          <w:iCs/>
          <w:color w:val="000000" w:themeColor="text1"/>
          <w:sz w:val="16"/>
          <w:szCs w:val="16"/>
        </w:rPr>
      </w:pPr>
    </w:p>
    <w:p w14:paraId="10F6BBA1" w14:textId="77777777" w:rsidR="005F59D0" w:rsidRPr="00142305" w:rsidRDefault="005F59D0" w:rsidP="005F59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 для проверки дальности обоих АНТ-25 предлагали маршрут Москва - Саратов - Оренбург - Казалинск - Астрахань - Москва. Потом ре</w:t>
      </w:r>
      <w:r w:rsidRPr="00142305">
        <w:rPr>
          <w:rFonts w:ascii="Times New Roman" w:hAnsi="Times New Roman"/>
          <w:color w:val="0070C0"/>
          <w:sz w:val="16"/>
          <w:szCs w:val="16"/>
        </w:rPr>
        <w:softHyphen/>
        <w:t>шили дважды пролететь без посадки от Москвы до Севастополя и обратно. Экипаж Громова успешно добрался до Сева</w:t>
      </w:r>
      <w:r w:rsidRPr="00142305">
        <w:rPr>
          <w:rFonts w:ascii="Times New Roman" w:hAnsi="Times New Roman"/>
          <w:color w:val="0070C0"/>
          <w:sz w:val="16"/>
          <w:szCs w:val="16"/>
        </w:rPr>
        <w:softHyphen/>
        <w:t>стополя, затем вернулся в Москву и снова направился на юг, однако на обратном пути из Севастополя, над Сивашем, летчик понял, что топлива на обратный путь может не хватить, поскольку дул сильный встречный ветер. Громов не стал риско</w:t>
      </w:r>
      <w:r w:rsidRPr="00142305">
        <w:rPr>
          <w:rFonts w:ascii="Times New Roman" w:hAnsi="Times New Roman"/>
          <w:color w:val="0070C0"/>
          <w:sz w:val="16"/>
          <w:szCs w:val="16"/>
        </w:rPr>
        <w:softHyphen/>
        <w:t>вать и приземлился в Севастополе.</w:t>
      </w:r>
    </w:p>
    <w:p w14:paraId="6488D578" w14:textId="77777777" w:rsidR="005F59D0" w:rsidRPr="00142305" w:rsidRDefault="005F59D0" w:rsidP="005F59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этого перелета испытания вре</w:t>
      </w:r>
      <w:r w:rsidRPr="00142305">
        <w:rPr>
          <w:rFonts w:ascii="Times New Roman" w:hAnsi="Times New Roman"/>
          <w:color w:val="0070C0"/>
          <w:sz w:val="16"/>
          <w:szCs w:val="16"/>
        </w:rPr>
        <w:softHyphen/>
        <w:t>менно прекратили, машины отправили на доработку. Поверхность крыла и опе</w:t>
      </w:r>
      <w:r w:rsidRPr="00142305">
        <w:rPr>
          <w:rFonts w:ascii="Times New Roman" w:hAnsi="Times New Roman"/>
          <w:color w:val="0070C0"/>
          <w:sz w:val="16"/>
          <w:szCs w:val="16"/>
        </w:rPr>
        <w:softHyphen/>
        <w:t>рения решили сделать гладкой. В пазы гофра поместили бальзовые вкладыши, а сверху обтянули перкалем и покрыли несколькими слоями лака. Поверхность отполировали, причем особенно тщатель</w:t>
      </w:r>
      <w:r w:rsidRPr="00142305">
        <w:rPr>
          <w:rFonts w:ascii="Times New Roman" w:hAnsi="Times New Roman"/>
          <w:color w:val="0070C0"/>
          <w:sz w:val="16"/>
          <w:szCs w:val="16"/>
        </w:rPr>
        <w:softHyphen/>
        <w:t>но - переднюю кромку крыла. На стыке крыла с фюзеляжем установили зали</w:t>
      </w:r>
      <w:r w:rsidRPr="00142305">
        <w:rPr>
          <w:rFonts w:ascii="Times New Roman" w:hAnsi="Times New Roman"/>
          <w:color w:val="0070C0"/>
          <w:sz w:val="16"/>
          <w:szCs w:val="16"/>
        </w:rPr>
        <w:softHyphen/>
        <w:t>зы. На самолетах оставили двухлопаст</w:t>
      </w:r>
      <w:r w:rsidRPr="00142305">
        <w:rPr>
          <w:rFonts w:ascii="Times New Roman" w:hAnsi="Times New Roman"/>
          <w:color w:val="0070C0"/>
          <w:sz w:val="16"/>
          <w:szCs w:val="16"/>
        </w:rPr>
        <w:softHyphen/>
        <w:t>ные винты, но хорошо их отполировали. В перспективе предполагалось заменить их металлическими трехлопастными. На моторе М-34Р смонтировали новый редук</w:t>
      </w:r>
      <w:r w:rsidRPr="00142305">
        <w:rPr>
          <w:rFonts w:ascii="Times New Roman" w:hAnsi="Times New Roman"/>
          <w:color w:val="0070C0"/>
          <w:sz w:val="16"/>
          <w:szCs w:val="16"/>
        </w:rPr>
        <w:softHyphen/>
        <w:t>тор. На заводе № 24 изготовили десять таких редукторов, из которых два прошли 100-часовые стендовые контрольные ис</w:t>
      </w:r>
      <w:r w:rsidRPr="00142305">
        <w:rPr>
          <w:rFonts w:ascii="Times New Roman" w:hAnsi="Times New Roman"/>
          <w:color w:val="0070C0"/>
          <w:sz w:val="16"/>
          <w:szCs w:val="16"/>
        </w:rPr>
        <w:softHyphen/>
        <w:t>пытания. В двигатель внесли и другие изменения, что повысило максимальную мощность до 950 л.с. Увеличили площадь остекления фонаря кабины летчика, не</w:t>
      </w:r>
      <w:r w:rsidRPr="00142305">
        <w:rPr>
          <w:rFonts w:ascii="Times New Roman" w:hAnsi="Times New Roman"/>
          <w:color w:val="0070C0"/>
          <w:sz w:val="16"/>
          <w:szCs w:val="16"/>
        </w:rPr>
        <w:softHyphen/>
        <w:t>однократно меняли конфигурацию и пло</w:t>
      </w:r>
      <w:r w:rsidRPr="00142305">
        <w:rPr>
          <w:rFonts w:ascii="Times New Roman" w:hAnsi="Times New Roman"/>
          <w:color w:val="0070C0"/>
          <w:sz w:val="16"/>
          <w:szCs w:val="16"/>
        </w:rPr>
        <w:softHyphen/>
        <w:t>щадь киля и руля направления.</w:t>
      </w:r>
    </w:p>
    <w:p w14:paraId="70724F75" w14:textId="77777777" w:rsidR="005F59D0" w:rsidRPr="00142305" w:rsidRDefault="005F59D0" w:rsidP="005F59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Доработанный «дублер» опять вывели на испытания. К этому времени подго</w:t>
      </w:r>
      <w:r w:rsidRPr="00142305">
        <w:rPr>
          <w:rFonts w:ascii="Times New Roman" w:hAnsi="Times New Roman"/>
          <w:color w:val="0070C0"/>
          <w:sz w:val="16"/>
          <w:szCs w:val="16"/>
        </w:rPr>
        <w:softHyphen/>
        <w:t>товили бетонную взлетно-посадочную полосу со стартовой горкой в Щелково. Первые взлеты выполняли с не полно</w:t>
      </w:r>
      <w:r w:rsidRPr="00142305">
        <w:rPr>
          <w:rFonts w:ascii="Times New Roman" w:hAnsi="Times New Roman"/>
          <w:color w:val="0070C0"/>
          <w:sz w:val="16"/>
          <w:szCs w:val="16"/>
        </w:rPr>
        <w:softHyphen/>
        <w:t>стью залитыми баками; недостающий вес компенсировали 4 т металлических ша</w:t>
      </w:r>
      <w:r w:rsidRPr="00142305">
        <w:rPr>
          <w:rFonts w:ascii="Times New Roman" w:hAnsi="Times New Roman"/>
          <w:color w:val="0070C0"/>
          <w:sz w:val="16"/>
          <w:szCs w:val="16"/>
        </w:rPr>
        <w:softHyphen/>
        <w:t>риков, которые после взлета сбрасывали и совершали посадку. Затем приступили к полетам на определение дальности (24946)</w:t>
      </w:r>
    </w:p>
    <w:p w14:paraId="6C5F26CD" w14:textId="77777777" w:rsidR="005F59D0" w:rsidRPr="00142305" w:rsidRDefault="005F59D0" w:rsidP="005F59D0">
      <w:pPr>
        <w:spacing w:after="0" w:line="240" w:lineRule="auto"/>
        <w:jc w:val="both"/>
        <w:rPr>
          <w:rFonts w:ascii="Times New Roman" w:hAnsi="Times New Roman"/>
          <w:color w:val="0070C0"/>
          <w:sz w:val="16"/>
          <w:szCs w:val="16"/>
        </w:rPr>
      </w:pPr>
    </w:p>
    <w:p w14:paraId="7DA5332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на ТБ-3 №22202 поставили М-34Р из одной из пробных партий с новыми винтами диаметром 4,4 м. Но заменой двигателей далеко не ограничились. За счет установки редуктора вал винта сместился вверх, что привело к необходимости изменить капоты. На самолете полностью переделали хвостовую часть. В фюзеляже появилась дополнительная секция Ф-4. где разместили кормовую турель Тур-б с парой пулеметов ДА и боезапасом в 12 дисков. Первоначально она была изолирована от остальной части фюзеляжа, но вскоре ширину секции Ф-3 несколько увеличили и сделали в ней сквозной проход, разнеся по бортам тросы управления. Руль направления подняли, изменив его контуры, в частности сделали вырез над турелью. Его площадь возросла на 0,404 м2. Увеличили и площадь рулей высоты, одновременно подрезав их у фюзеляжа. Усилили килевую колонку. Стрелковое вооружение, за исключением кормовой установки, полностью соответствовало поздним ТБ-3 с моторами М-34 - - без подкрыльных башен, но с люковой установкой. Резиновые амортизаторы шасси заменили масляно-воздушными. Задние колеса основных тележек, теперь цельнолитые, получили гидравлические колодочные тормоза, позволившие примерно на четверть сократить дистанцию пробега. Кроме того, улучшилась и маневренность на земле, поскольку правую и левую тележки можно было притормаживать раздельно. Внедрения тормозов на серийных ТБ-3 УВВС требовало еще с марта 1933 г., и Главное управление авиационной промышленности (ГУАП) с этим соглашалось, но не торопилось претворять в жизнь (7668).</w:t>
      </w:r>
    </w:p>
    <w:p w14:paraId="45A96E76"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FFF7D5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на ТБ-3 (АНТ-6) поставили М-34Р с винтами 4.4 м. Стал эталоном на 1934 (156,20). Испытывали как эталон 1934 до октября (437,103).</w:t>
      </w:r>
    </w:p>
    <w:p w14:paraId="5778F9C1"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71237F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на серийном ТБ-3 (АНТ-6) 22 завода (N 22202) поставили М-34Р и новые винты диаметром 3.4 м. Доработали еще много (пришлось переделывать капоты и ввели доаолнительную секцию фюзеляжа - Ф-4, в которой разместили кормовую турель ТУР-6 с парой ДА и боезапасом 12 дисков, подняли руль направления и сделали вырез над турелью и т.п.) и передали на гос. испытания, которые закончились 16 октября 1933 (346,27).</w:t>
      </w:r>
    </w:p>
    <w:p w14:paraId="70F9797C"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DB66ED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состоялись гос. испытания ТБ-3-4М-34 (АНТ-6) с накатанными 1, 2 и 3 И-5 М-22. Оказалось, что летные качества только улучшились (1017,177).</w:t>
      </w:r>
    </w:p>
    <w:p w14:paraId="4AC67A54"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2025CC5" w14:textId="77777777" w:rsidR="00384696" w:rsidRPr="0044524F" w:rsidRDefault="0038469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два серийных само</w:t>
      </w:r>
      <w:r w:rsidRPr="0044524F">
        <w:rPr>
          <w:rFonts w:ascii="Times New Roman" w:hAnsi="Times New Roman"/>
          <w:color w:val="000000" w:themeColor="text1"/>
          <w:sz w:val="16"/>
          <w:szCs w:val="16"/>
        </w:rPr>
        <w:softHyphen/>
        <w:t>лета АНТ-6 завода №22 (№22201 и №22203) бы</w:t>
      </w:r>
      <w:r w:rsidRPr="0044524F">
        <w:rPr>
          <w:rFonts w:ascii="Times New Roman" w:hAnsi="Times New Roman"/>
          <w:color w:val="000000" w:themeColor="text1"/>
          <w:sz w:val="16"/>
          <w:szCs w:val="16"/>
        </w:rPr>
        <w:softHyphen/>
        <w:t>ли доработаны в КБ — на них установили двигатели М—34. После этого машины передали на испытания в НИИ ВВС. Уменьшилась длина разбега при взлете, увеличилась скороподъемность, улучши</w:t>
      </w:r>
      <w:r w:rsidRPr="0044524F">
        <w:rPr>
          <w:rFonts w:ascii="Times New Roman" w:hAnsi="Times New Roman"/>
          <w:color w:val="000000" w:themeColor="text1"/>
          <w:sz w:val="16"/>
          <w:szCs w:val="16"/>
        </w:rPr>
        <w:softHyphen/>
        <w:t>лись управляемость и устойчивость, воз- Серийные ТБ-3 4М- 7 7 росла масса полезной нагрузки. Однако все улучшения оказались весьма незначи</w:t>
      </w:r>
      <w:r w:rsidRPr="0044524F">
        <w:rPr>
          <w:rFonts w:ascii="Times New Roman" w:hAnsi="Times New Roman"/>
          <w:color w:val="000000" w:themeColor="text1"/>
          <w:sz w:val="16"/>
          <w:szCs w:val="16"/>
        </w:rPr>
        <w:softHyphen/>
        <w:t>тельными. Причина крылась в снижении КПД винтов, поскольку М—34 имели бо</w:t>
      </w:r>
      <w:r w:rsidRPr="0044524F">
        <w:rPr>
          <w:rFonts w:ascii="Times New Roman" w:hAnsi="Times New Roman"/>
          <w:color w:val="000000" w:themeColor="text1"/>
          <w:sz w:val="16"/>
          <w:szCs w:val="16"/>
        </w:rPr>
        <w:softHyphen/>
        <w:t>лее высокую частоту вращения коленча</w:t>
      </w:r>
      <w:r w:rsidRPr="0044524F">
        <w:rPr>
          <w:rFonts w:ascii="Times New Roman" w:hAnsi="Times New Roman"/>
          <w:color w:val="000000" w:themeColor="text1"/>
          <w:sz w:val="16"/>
          <w:szCs w:val="16"/>
        </w:rPr>
        <w:softHyphen/>
        <w:t>того вала по сравнению с М—17. Завод № 22 построил несколько десятков ТБ—3 с 4М-34 (23474).</w:t>
      </w:r>
    </w:p>
    <w:p w14:paraId="5FADD6DE" w14:textId="77777777" w:rsidR="00384696" w:rsidRPr="0044524F" w:rsidRDefault="00384696" w:rsidP="009654CF">
      <w:pPr>
        <w:spacing w:after="0" w:line="240" w:lineRule="auto"/>
        <w:jc w:val="both"/>
        <w:rPr>
          <w:rFonts w:ascii="Times New Roman" w:hAnsi="Times New Roman"/>
          <w:color w:val="000000" w:themeColor="text1"/>
          <w:sz w:val="16"/>
          <w:szCs w:val="16"/>
        </w:rPr>
      </w:pPr>
    </w:p>
    <w:p w14:paraId="2B18F2AB" w14:textId="77777777" w:rsidR="00384696" w:rsidRPr="0044524F" w:rsidRDefault="0038469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на серийном самолете АНТ-6 №22202 установили двигатели М—34Р со степенью редукции 0,584 и новыми вин</w:t>
      </w:r>
      <w:r w:rsidRPr="0044524F">
        <w:rPr>
          <w:rFonts w:ascii="Times New Roman" w:hAnsi="Times New Roman"/>
          <w:color w:val="000000" w:themeColor="text1"/>
          <w:sz w:val="16"/>
          <w:szCs w:val="16"/>
        </w:rPr>
        <w:softHyphen/>
        <w:t>тами диаметром 4,4 м. Кроме этого, на самолете выполнили ряд доработок:</w:t>
      </w:r>
    </w:p>
    <w:p w14:paraId="772252CC" w14:textId="77777777" w:rsidR="00384696" w:rsidRPr="0044524F" w:rsidRDefault="0038469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подняли руль направления, его пло</w:t>
      </w:r>
      <w:r w:rsidRPr="0044524F">
        <w:rPr>
          <w:rFonts w:ascii="Times New Roman" w:hAnsi="Times New Roman"/>
          <w:color w:val="000000" w:themeColor="text1"/>
          <w:sz w:val="16"/>
          <w:szCs w:val="16"/>
        </w:rPr>
        <w:softHyphen/>
        <w:t>щадь увеличили на 0,404 м2;</w:t>
      </w:r>
    </w:p>
    <w:p w14:paraId="7ACF63A7" w14:textId="77777777" w:rsidR="00384696" w:rsidRPr="0044524F" w:rsidRDefault="0038469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0,75 м удлинили килевую ко</w:t>
      </w:r>
      <w:r w:rsidRPr="0044524F">
        <w:rPr>
          <w:rFonts w:ascii="Times New Roman" w:hAnsi="Times New Roman"/>
          <w:color w:val="000000" w:themeColor="text1"/>
          <w:sz w:val="16"/>
          <w:szCs w:val="16"/>
        </w:rPr>
        <w:softHyphen/>
        <w:t>лонку;</w:t>
      </w:r>
    </w:p>
    <w:p w14:paraId="012EEE24" w14:textId="77777777" w:rsidR="00384696" w:rsidRPr="0044524F" w:rsidRDefault="0038469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установили кормовую стрелковую установку (без изменения формы фюзе</w:t>
      </w:r>
      <w:r w:rsidRPr="0044524F">
        <w:rPr>
          <w:rFonts w:ascii="Times New Roman" w:hAnsi="Times New Roman"/>
          <w:color w:val="000000" w:themeColor="text1"/>
          <w:sz w:val="16"/>
          <w:szCs w:val="16"/>
        </w:rPr>
        <w:softHyphen/>
        <w:t>ляжа), башни под крылом еще остава</w:t>
      </w:r>
      <w:r w:rsidRPr="0044524F">
        <w:rPr>
          <w:rFonts w:ascii="Times New Roman" w:hAnsi="Times New Roman"/>
          <w:color w:val="000000" w:themeColor="text1"/>
          <w:sz w:val="16"/>
          <w:szCs w:val="16"/>
        </w:rPr>
        <w:softHyphen/>
        <w:t>лись;</w:t>
      </w:r>
    </w:p>
    <w:p w14:paraId="007280EC" w14:textId="77777777" w:rsidR="00384696" w:rsidRPr="0044524F" w:rsidRDefault="0038469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задние колеса в тележках сделали тормозными;</w:t>
      </w:r>
    </w:p>
    <w:p w14:paraId="43C886CC" w14:textId="77777777" w:rsidR="00384696" w:rsidRPr="0044524F" w:rsidRDefault="0038469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резиновую амортизацию заменили масляно-воздушной.</w:t>
      </w:r>
    </w:p>
    <w:p w14:paraId="7EE813C3" w14:textId="77777777" w:rsidR="00384696" w:rsidRPr="0044524F" w:rsidRDefault="0038469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Государственные испытания маши</w:t>
      </w:r>
      <w:r w:rsidRPr="0044524F">
        <w:rPr>
          <w:rFonts w:ascii="Times New Roman" w:hAnsi="Times New Roman"/>
          <w:color w:val="000000" w:themeColor="text1"/>
          <w:sz w:val="16"/>
          <w:szCs w:val="16"/>
        </w:rPr>
        <w:softHyphen/>
        <w:t>ны были закончены 16 октября 1933 г. Летные и взлетно-посадочные характеристики значительно улучшились. Са</w:t>
      </w:r>
      <w:r w:rsidRPr="0044524F">
        <w:rPr>
          <w:rFonts w:ascii="Times New Roman" w:hAnsi="Times New Roman"/>
          <w:color w:val="000000" w:themeColor="text1"/>
          <w:sz w:val="16"/>
          <w:szCs w:val="16"/>
        </w:rPr>
        <w:softHyphen/>
        <w:t>молет утвердили в качестве эталона на 1934 г. После испытаний хвостовая часть фюзеляжа была переделана — кормовая стрелковая установка органически вошла в его конструкцию. Костыль заменили хвостовым колесом. На ТБ—3 4М—34Р удалось достигнуть наибольшей для ТБ—3 продолжительности полета — 18 ча</w:t>
      </w:r>
      <w:r w:rsidRPr="0044524F">
        <w:rPr>
          <w:rFonts w:ascii="Times New Roman" w:hAnsi="Times New Roman"/>
          <w:color w:val="000000" w:themeColor="text1"/>
          <w:sz w:val="16"/>
          <w:szCs w:val="16"/>
        </w:rPr>
        <w:softHyphen/>
        <w:t>сов 30 минут. (23474).</w:t>
      </w:r>
    </w:p>
    <w:p w14:paraId="284B14A8" w14:textId="77777777" w:rsidR="00384696" w:rsidRPr="0044524F" w:rsidRDefault="00384696" w:rsidP="009654CF">
      <w:pPr>
        <w:spacing w:after="0" w:line="240" w:lineRule="auto"/>
        <w:jc w:val="both"/>
        <w:rPr>
          <w:rFonts w:ascii="Times New Roman" w:hAnsi="Times New Roman"/>
          <w:color w:val="000000" w:themeColor="text1"/>
          <w:sz w:val="16"/>
          <w:szCs w:val="16"/>
        </w:rPr>
      </w:pPr>
    </w:p>
    <w:p w14:paraId="0D9FF288"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 на ТБ-3 № 22202 поставили М-34Р из одной из пробных партий с новыми винтами диаметром 4,4 м.</w:t>
      </w:r>
    </w:p>
    <w:p w14:paraId="4C27F30B"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заменой двигателей отнюдь не ограничились. За счет установки редуктора вал винта сместился вверх, что привело к необходимости изменить капоты. На са</w:t>
      </w:r>
      <w:r w:rsidRPr="00142305">
        <w:rPr>
          <w:rFonts w:ascii="Times New Roman" w:hAnsi="Times New Roman"/>
          <w:color w:val="0070C0"/>
          <w:sz w:val="16"/>
          <w:szCs w:val="16"/>
        </w:rPr>
        <w:softHyphen/>
        <w:t>молете полностью переделали хвостовую часть. В фюзеляже появилась дополни</w:t>
      </w:r>
      <w:r w:rsidRPr="00142305">
        <w:rPr>
          <w:rFonts w:ascii="Times New Roman" w:hAnsi="Times New Roman"/>
          <w:color w:val="0070C0"/>
          <w:sz w:val="16"/>
          <w:szCs w:val="16"/>
        </w:rPr>
        <w:softHyphen/>
        <w:t>тельная секция Ф-4, где разместили кор</w:t>
      </w:r>
      <w:r w:rsidRPr="00142305">
        <w:rPr>
          <w:rFonts w:ascii="Times New Roman" w:hAnsi="Times New Roman"/>
          <w:color w:val="0070C0"/>
          <w:sz w:val="16"/>
          <w:szCs w:val="16"/>
        </w:rPr>
        <w:softHyphen/>
        <w:t>мовую турель Тур-6 с парой пулеметов ДА и боезапасом в 12 дисков. Первоначально она изолировалась от остальной части фюзеляжа, но вскоре ширину секции Ф-3 несколько увеличили и сделали в ней сквозной проход, разнеся по бортам тросы управления. Руль направления подняли, изменив его контуры, в частности, сдела</w:t>
      </w:r>
      <w:r w:rsidRPr="00142305">
        <w:rPr>
          <w:rFonts w:ascii="Times New Roman" w:hAnsi="Times New Roman"/>
          <w:color w:val="0070C0"/>
          <w:sz w:val="16"/>
          <w:szCs w:val="16"/>
        </w:rPr>
        <w:softHyphen/>
        <w:t>ли вырез над турелью. Его площадь воз</w:t>
      </w:r>
      <w:r w:rsidRPr="00142305">
        <w:rPr>
          <w:rFonts w:ascii="Times New Roman" w:hAnsi="Times New Roman"/>
          <w:color w:val="0070C0"/>
          <w:sz w:val="16"/>
          <w:szCs w:val="16"/>
        </w:rPr>
        <w:softHyphen/>
        <w:t>росла на 0,404 м2. Увеличили и площадь рулей высоты, одновременно подрезав их у фюзеляжа. Усилили килевую колонку Стрелковое вооружение, за исключением кормовой установки, полностью соответст</w:t>
      </w:r>
      <w:r w:rsidRPr="00142305">
        <w:rPr>
          <w:rFonts w:ascii="Times New Roman" w:hAnsi="Times New Roman"/>
          <w:color w:val="0070C0"/>
          <w:sz w:val="16"/>
          <w:szCs w:val="16"/>
        </w:rPr>
        <w:softHyphen/>
        <w:t>вовало поздним ТБ-3 с моторами М-17. Резиновые амортизаторы шасси замени</w:t>
      </w:r>
      <w:r w:rsidRPr="00142305">
        <w:rPr>
          <w:rFonts w:ascii="Times New Roman" w:hAnsi="Times New Roman"/>
          <w:color w:val="0070C0"/>
          <w:sz w:val="16"/>
          <w:szCs w:val="16"/>
        </w:rPr>
        <w:softHyphen/>
        <w:t xml:space="preserve">ли масляно-воздушными. Задние колеса основных </w:t>
      </w:r>
      <w:r w:rsidRPr="00142305">
        <w:rPr>
          <w:rFonts w:ascii="Times New Roman" w:hAnsi="Times New Roman"/>
          <w:color w:val="0070C0"/>
          <w:sz w:val="16"/>
          <w:szCs w:val="16"/>
        </w:rPr>
        <w:lastRenderedPageBreak/>
        <w:t>тележек, теперь цельнолитые, получили гидравлические колодочные тор</w:t>
      </w:r>
      <w:r w:rsidRPr="00142305">
        <w:rPr>
          <w:rFonts w:ascii="Times New Roman" w:hAnsi="Times New Roman"/>
          <w:color w:val="0070C0"/>
          <w:sz w:val="16"/>
          <w:szCs w:val="16"/>
        </w:rPr>
        <w:softHyphen/>
        <w:t>моза, позволившие примерно на четверть сократить дистанцию пробега. Кроме того, улучшилась и маневренность на земле, поскольку правую и левую тележки можно было притормаживать раздельно. Поста</w:t>
      </w:r>
      <w:r w:rsidRPr="00142305">
        <w:rPr>
          <w:rFonts w:ascii="Times New Roman" w:hAnsi="Times New Roman"/>
          <w:color w:val="0070C0"/>
          <w:sz w:val="16"/>
          <w:szCs w:val="16"/>
        </w:rPr>
        <w:softHyphen/>
        <w:t>вить тормоза на передние колеса побоя</w:t>
      </w:r>
      <w:r w:rsidRPr="00142305">
        <w:rPr>
          <w:rFonts w:ascii="Times New Roman" w:hAnsi="Times New Roman"/>
          <w:color w:val="0070C0"/>
          <w:sz w:val="16"/>
          <w:szCs w:val="16"/>
        </w:rPr>
        <w:softHyphen/>
        <w:t>лись, опасаясь капотирования. Внедрения тормозов на серийных ТБ-3 УВВС требо</w:t>
      </w:r>
      <w:r w:rsidRPr="00142305">
        <w:rPr>
          <w:rFonts w:ascii="Times New Roman" w:hAnsi="Times New Roman"/>
          <w:color w:val="0070C0"/>
          <w:sz w:val="16"/>
          <w:szCs w:val="16"/>
        </w:rPr>
        <w:softHyphen/>
        <w:t>вало еще с марта 1933 г, и ГУАП с этим соглашалось, но, как видим, не торопилось претворять в жизнь.</w:t>
      </w:r>
    </w:p>
    <w:p w14:paraId="33A3CA35"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27 сентября по 6 октября 1933 г. опыт</w:t>
      </w:r>
      <w:r w:rsidRPr="00142305">
        <w:rPr>
          <w:rFonts w:ascii="Times New Roman" w:hAnsi="Times New Roman"/>
          <w:color w:val="0070C0"/>
          <w:sz w:val="16"/>
          <w:szCs w:val="16"/>
        </w:rPr>
        <w:softHyphen/>
        <w:t>ный самолет проходил заводские испы</w:t>
      </w:r>
      <w:r w:rsidRPr="00142305">
        <w:rPr>
          <w:rFonts w:ascii="Times New Roman" w:hAnsi="Times New Roman"/>
          <w:color w:val="0070C0"/>
          <w:sz w:val="16"/>
          <w:szCs w:val="16"/>
        </w:rPr>
        <w:softHyphen/>
        <w:t>тания, а с 19 октября - государственные В НИИ ВВС машина почему-то получила прозвище «Торгсин». Испытания показали, что летные характеристики резко улучши</w:t>
      </w:r>
      <w:r w:rsidRPr="00142305">
        <w:rPr>
          <w:rFonts w:ascii="Times New Roman" w:hAnsi="Times New Roman"/>
          <w:color w:val="0070C0"/>
          <w:sz w:val="16"/>
          <w:szCs w:val="16"/>
        </w:rPr>
        <w:softHyphen/>
        <w:t>лись, несмотря на прирост взлетного веса на 1460 кг. Вариант с М-34Р приняли к серийной постройке как эталон на первую половину 1934 г, хотя винтомоторная группа не соответствовала требованиям по надежности. 5 декабря машину вернули на завод № 22. На серийных самолетах УВВС требовало поставить входную дверь, открывающуюся внутрь, а не наружу (так удобнее прыгать с парашютом), ввести люковую пулеметную установку взамен подкрыльных башен, смонтировать новые бомбодержатели. Кроме того, опытный самолет не имел «бороды» под носовой частью (24937).</w:t>
      </w:r>
    </w:p>
    <w:p w14:paraId="2D912B99" w14:textId="77777777" w:rsidR="00A32ABF" w:rsidRPr="00142305" w:rsidRDefault="00A32ABF" w:rsidP="00A32ABF">
      <w:pPr>
        <w:spacing w:after="0" w:line="240" w:lineRule="auto"/>
        <w:jc w:val="both"/>
        <w:rPr>
          <w:rFonts w:ascii="Times New Roman" w:hAnsi="Times New Roman"/>
          <w:color w:val="0070C0"/>
          <w:sz w:val="16"/>
          <w:szCs w:val="16"/>
        </w:rPr>
      </w:pPr>
    </w:p>
    <w:p w14:paraId="7E79EB69"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года на ТБ-3 установили редукторные М-34Р с новыми винтами диаметром 4,4 м. Кроме того, изменили хвостовую часть, где была установлена еще одна огневая точка. После проведения испытаний вариант ТБ-3-4М-34Р был принят к серийной постройке как эталон на 1934 год. Несмотря на возросшую полетную массу, летные характеристики самолета улучшились (25028).</w:t>
      </w:r>
    </w:p>
    <w:p w14:paraId="26492910" w14:textId="77777777" w:rsidR="00A32ABF" w:rsidRPr="00142305" w:rsidRDefault="00A32ABF" w:rsidP="00A32ABF">
      <w:pPr>
        <w:spacing w:after="0" w:line="240" w:lineRule="auto"/>
        <w:jc w:val="both"/>
        <w:rPr>
          <w:rFonts w:ascii="Times New Roman" w:hAnsi="Times New Roman"/>
          <w:color w:val="0070C0"/>
          <w:sz w:val="16"/>
          <w:szCs w:val="16"/>
        </w:rPr>
      </w:pPr>
    </w:p>
    <w:p w14:paraId="5D9ED93E" w14:textId="77777777" w:rsidR="00961132" w:rsidRPr="0044524F" w:rsidRDefault="00961132" w:rsidP="00961132">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ТБ-4 (АНТ-16) поступил на гос. испытания. В экипаж входили П.Стефановский, М.Нюхтиков, Л.Шевердинский, А.Рязанов. Испытания прекращали из-за сильных виюраций при отключении более двух моторов. Исправили, но военные от машины отказались, т.к. требованиям уже не соответствовал (7388, 8).</w:t>
      </w:r>
    </w:p>
    <w:p w14:paraId="3200F637" w14:textId="77777777" w:rsidR="00961132" w:rsidRPr="0044524F" w:rsidRDefault="00961132" w:rsidP="00961132">
      <w:pPr>
        <w:spacing w:after="0" w:line="240" w:lineRule="auto"/>
        <w:jc w:val="both"/>
        <w:rPr>
          <w:rFonts w:ascii="Times New Roman" w:hAnsi="Times New Roman"/>
          <w:color w:val="000000" w:themeColor="text1"/>
          <w:sz w:val="16"/>
          <w:szCs w:val="16"/>
        </w:rPr>
      </w:pPr>
    </w:p>
    <w:p w14:paraId="3B4FD50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ТБ-4 передали в НИИ ВВС на государственные испытания. Там на нем летал экипаж П.М. Стефановского. Стефановский позднее писал в своих мемуарах о новом самолете: "Он просто потрясал!" (12036).</w:t>
      </w:r>
    </w:p>
    <w:p w14:paraId="00ABAE88"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4817701E"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 ТБ-4 передали в НИИ ВВС на государс</w:t>
      </w:r>
      <w:r w:rsidRPr="00142305">
        <w:rPr>
          <w:rFonts w:ascii="Times New Roman" w:hAnsi="Times New Roman"/>
          <w:color w:val="0070C0"/>
          <w:sz w:val="16"/>
          <w:szCs w:val="16"/>
        </w:rPr>
        <w:softHyphen/>
        <w:t>твенные испытания. Там на нем летал экипаж П.М. Стефановского. Стефановский позднее писал в своих мемуарах о новом самолете: «Он престо потрясал!» (24977).</w:t>
      </w:r>
    </w:p>
    <w:p w14:paraId="4635182C" w14:textId="77777777" w:rsidR="00A32ABF" w:rsidRPr="00142305" w:rsidRDefault="00A32ABF" w:rsidP="00A32ABF">
      <w:pPr>
        <w:spacing w:after="0" w:line="240" w:lineRule="auto"/>
        <w:jc w:val="both"/>
        <w:rPr>
          <w:rFonts w:ascii="Times New Roman" w:hAnsi="Times New Roman"/>
          <w:color w:val="0070C0"/>
          <w:sz w:val="16"/>
          <w:szCs w:val="16"/>
        </w:rPr>
      </w:pPr>
    </w:p>
    <w:p w14:paraId="7DED31B0"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года АНТ-16 - ТБ-4 поступил на государственные испытания в НИИ ВВС. Ведущими по машине были инженер А. Рязанов, летчик П.М. Стефановский. В состав экипажа также входили М.А. Нюхтиков, Л. Шевердинский и А. Рязанов.</w:t>
      </w:r>
    </w:p>
    <w:p w14:paraId="0F9827C0"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Спустя много лет П.М. Стефановский рассказывал: «ТБ-4 заставил забыть и о харак</w:t>
      </w:r>
      <w:r w:rsidRPr="00142305">
        <w:rPr>
          <w:rFonts w:ascii="Times New Roman" w:hAnsi="Times New Roman"/>
          <w:color w:val="0070C0"/>
          <w:sz w:val="16"/>
          <w:szCs w:val="16"/>
        </w:rPr>
        <w:softHyphen/>
        <w:t>тере, и о привычках. Он просто потрясал! Человек среднего роста свободно расхаживал не только в фюзеляже, по не пригибался и в центральной части крыла. Оборудование чудо</w:t>
      </w:r>
      <w:r w:rsidRPr="00142305">
        <w:rPr>
          <w:rFonts w:ascii="Times New Roman" w:hAnsi="Times New Roman"/>
          <w:color w:val="0070C0"/>
          <w:sz w:val="16"/>
          <w:szCs w:val="16"/>
        </w:rPr>
        <w:softHyphen/>
        <w:t>вищной машины напоминало небольшой промышленный комбинат. Имелась даже самая настоящая малогабаритная электростанция для автономного электропитания всех само</w:t>
      </w:r>
      <w:r w:rsidRPr="00142305">
        <w:rPr>
          <w:rFonts w:ascii="Times New Roman" w:hAnsi="Times New Roman"/>
          <w:color w:val="0070C0"/>
          <w:sz w:val="16"/>
          <w:szCs w:val="16"/>
        </w:rPr>
        <w:softHyphen/>
        <w:t>летных агрегатов. Различное оборудование, вооружение, системы и аппараты управления заполнили всю внутренность самолета диковинных размеров. М.М. Громов, передавая мне машину, охарактеризовал ее более чем кратко: «Хорошо летает. Сам увидишь».</w:t>
      </w:r>
    </w:p>
    <w:p w14:paraId="5B399923"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Программа испытаний состояла из двух основных задач: выявить максимальные лет</w:t>
      </w:r>
      <w:r w:rsidRPr="00142305">
        <w:rPr>
          <w:rFonts w:ascii="Times New Roman" w:hAnsi="Times New Roman"/>
          <w:color w:val="0070C0"/>
          <w:sz w:val="16"/>
          <w:szCs w:val="16"/>
        </w:rPr>
        <w:softHyphen/>
        <w:t>ные данные самолета, без пулеметно-пушечного оснащения, а потом с полностью постав</w:t>
      </w:r>
      <w:r w:rsidRPr="00142305">
        <w:rPr>
          <w:rFonts w:ascii="Times New Roman" w:hAnsi="Times New Roman"/>
          <w:color w:val="0070C0"/>
          <w:sz w:val="16"/>
          <w:szCs w:val="16"/>
        </w:rPr>
        <w:softHyphen/>
        <w:t>ленным вооружением...</w:t>
      </w:r>
    </w:p>
    <w:p w14:paraId="4BB4A9E2"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Тридцать пять тонн металла и горючего дали себя знать сразу. Машина разбегалась грузно. На взлете не хватило руля высоты. Конструкторы возможность такого случая предусмотрели. Киваю второму пилоту Мише Нюхтикову, он нажимает кнопку электри</w:t>
      </w:r>
      <w:r w:rsidRPr="00142305">
        <w:rPr>
          <w:rFonts w:ascii="Times New Roman" w:hAnsi="Times New Roman"/>
          <w:color w:val="0070C0"/>
          <w:sz w:val="16"/>
          <w:szCs w:val="16"/>
        </w:rPr>
        <w:softHyphen/>
        <w:t>ческого устройства стабилизатора. Самолет послушно отрывается от полосы.</w:t>
      </w:r>
    </w:p>
    <w:p w14:paraId="6CE61898"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этом корабле со стабилизатором вручную вообще не совладаешь. По площади он равен крылу одномоторного самолета. Вследствие недостаточной аэродинамической компенсации трудно управлять такой махиной, особенно при быстром изменении режима полета...</w:t>
      </w:r>
    </w:p>
    <w:p w14:paraId="524A62B9"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помощи электроуправления стабилизатором прибегали и на посадке, чтобы дожать самолет на три точки. Так оно и полагалось руля высоты не хватало и здесь...</w:t>
      </w:r>
    </w:p>
    <w:p w14:paraId="0ABA3571"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этот раз предстояло проверить поведение при посменном выключении сначала одного, затем двух из шести моторов. Отключение одного на пилотирование машины почти не сказывалось. Когда же выключили сразу два, и притом на одной стороне крыла, на хвостовом оперении появились сильные колебания.</w:t>
      </w:r>
    </w:p>
    <w:p w14:paraId="24A0E88C"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Проэкспериментировали второй, третий, пятый раз тоже самое: колебания воз</w:t>
      </w:r>
      <w:r w:rsidRPr="00142305">
        <w:rPr>
          <w:rFonts w:ascii="Times New Roman" w:hAnsi="Times New Roman"/>
          <w:color w:val="0070C0"/>
          <w:sz w:val="16"/>
          <w:szCs w:val="16"/>
        </w:rPr>
        <w:softHyphen/>
        <w:t>никают совершенно недопустимые, явно угрожающие разрушением воздушного корабля».</w:t>
      </w:r>
    </w:p>
    <w:p w14:paraId="4C061B0D"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Разбираться в этом пришлось В.М. Петлякову, совершившему полет на ТБ-4 в кабине кормового стрелка. Вибрации оказались настолько сильными, что пришлось усиливать хво</w:t>
      </w:r>
      <w:r w:rsidRPr="00142305">
        <w:rPr>
          <w:rFonts w:ascii="Times New Roman" w:hAnsi="Times New Roman"/>
          <w:color w:val="0070C0"/>
          <w:sz w:val="16"/>
          <w:szCs w:val="16"/>
        </w:rPr>
        <w:softHyphen/>
        <w:t>стовую часть фюзеляжа.</w:t>
      </w:r>
    </w:p>
    <w:p w14:paraId="2148938C" w14:textId="77777777" w:rsidR="00A32ABF" w:rsidRPr="00142305" w:rsidRDefault="00A32ABF" w:rsidP="00A32ABF">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доработок и оснащения бомбардировщика штатным вооружением его снова предъявили в НИИ ВВС. Однако все было тщетно. Низкие летные данные не позволили при</w:t>
      </w:r>
      <w:r w:rsidRPr="00142305">
        <w:rPr>
          <w:rFonts w:ascii="Times New Roman" w:hAnsi="Times New Roman"/>
          <w:color w:val="0070C0"/>
          <w:sz w:val="16"/>
          <w:szCs w:val="16"/>
        </w:rPr>
        <w:softHyphen/>
        <w:t>нять ТБ-4 на вооружение. Промышленности же предлагалось установить на самолет более мощные двигатели, только вот задача: где их взять. На огромные же размеры машины, делав</w:t>
      </w:r>
      <w:r w:rsidRPr="00142305">
        <w:rPr>
          <w:rFonts w:ascii="Times New Roman" w:hAnsi="Times New Roman"/>
          <w:color w:val="0070C0"/>
          <w:sz w:val="16"/>
          <w:szCs w:val="16"/>
        </w:rPr>
        <w:softHyphen/>
        <w:t>шие ее хорошей мишенью как для зенитчиков, так и пилотов истребителей, внимание тогда не обратили. Более того, предлагалось сделать ставку на военный вариант восьмидвигатель</w:t>
      </w:r>
      <w:r w:rsidRPr="00142305">
        <w:rPr>
          <w:rFonts w:ascii="Times New Roman" w:hAnsi="Times New Roman"/>
          <w:color w:val="0070C0"/>
          <w:sz w:val="16"/>
          <w:szCs w:val="16"/>
        </w:rPr>
        <w:softHyphen/>
        <w:t>ного самолета «Максим Горький». Якобы он будет летать быстрее и выше (24991).</w:t>
      </w:r>
    </w:p>
    <w:p w14:paraId="785122D2" w14:textId="77777777" w:rsidR="00A32ABF" w:rsidRPr="00142305" w:rsidRDefault="00A32ABF" w:rsidP="00A32ABF">
      <w:pPr>
        <w:spacing w:after="0" w:line="240" w:lineRule="auto"/>
        <w:jc w:val="both"/>
        <w:rPr>
          <w:rFonts w:ascii="Times New Roman" w:hAnsi="Times New Roman"/>
          <w:color w:val="0070C0"/>
          <w:sz w:val="16"/>
          <w:szCs w:val="16"/>
        </w:rPr>
      </w:pPr>
    </w:p>
    <w:p w14:paraId="47181FCF" w14:textId="77777777" w:rsidR="00413D6B" w:rsidRPr="0044524F" w:rsidRDefault="00413D6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в статье «Каким дол</w:t>
      </w:r>
      <w:r w:rsidRPr="0044524F">
        <w:rPr>
          <w:rFonts w:ascii="Times New Roman" w:hAnsi="Times New Roman"/>
          <w:color w:val="000000" w:themeColor="text1"/>
          <w:sz w:val="16"/>
          <w:szCs w:val="16"/>
        </w:rPr>
        <w:softHyphen/>
        <w:t>жен быть самолет имени Максима Горь</w:t>
      </w:r>
      <w:r w:rsidRPr="0044524F">
        <w:rPr>
          <w:rFonts w:ascii="Times New Roman" w:hAnsi="Times New Roman"/>
          <w:color w:val="000000" w:themeColor="text1"/>
          <w:sz w:val="16"/>
          <w:szCs w:val="16"/>
        </w:rPr>
        <w:softHyphen/>
        <w:t>кого», опубликованной в журнале «Само</w:t>
      </w:r>
      <w:r w:rsidRPr="0044524F">
        <w:rPr>
          <w:rFonts w:ascii="Times New Roman" w:hAnsi="Times New Roman"/>
          <w:color w:val="000000" w:themeColor="text1"/>
          <w:sz w:val="16"/>
          <w:szCs w:val="16"/>
        </w:rPr>
        <w:softHyphen/>
        <w:t>лет» №№ 8-9 за 1933 г., А.А. Архангель</w:t>
      </w:r>
      <w:r w:rsidRPr="0044524F">
        <w:rPr>
          <w:rFonts w:ascii="Times New Roman" w:hAnsi="Times New Roman"/>
          <w:color w:val="000000" w:themeColor="text1"/>
          <w:sz w:val="16"/>
          <w:szCs w:val="16"/>
        </w:rPr>
        <w:softHyphen/>
        <w:t>ский рассказал о трех таких возможных направлениях:</w:t>
      </w:r>
    </w:p>
    <w:p w14:paraId="03891168" w14:textId="77777777" w:rsidR="00413D6B" w:rsidRPr="0044524F" w:rsidRDefault="00413D6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желательно оборудовать ус</w:t>
      </w:r>
      <w:r w:rsidRPr="0044524F">
        <w:rPr>
          <w:rFonts w:ascii="Times New Roman" w:hAnsi="Times New Roman"/>
          <w:color w:val="000000" w:themeColor="text1"/>
          <w:sz w:val="16"/>
          <w:szCs w:val="16"/>
        </w:rPr>
        <w:softHyphen/>
        <w:t>тановкой для телевизии е тем, чтобы он мог передать по радио в тот или иной насе</w:t>
      </w:r>
      <w:r w:rsidRPr="0044524F">
        <w:rPr>
          <w:rFonts w:ascii="Times New Roman" w:hAnsi="Times New Roman"/>
          <w:color w:val="000000" w:themeColor="text1"/>
          <w:sz w:val="16"/>
          <w:szCs w:val="16"/>
        </w:rPr>
        <w:softHyphen/>
        <w:t>ленный пункт картинки, наблюдаемые с самолета.</w:t>
      </w:r>
    </w:p>
    <w:p w14:paraId="3C6D8804" w14:textId="77777777" w:rsidR="00413D6B" w:rsidRPr="0044524F" w:rsidRDefault="00413D6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полета желательно, чтобы самолет имел возможность демонстриро</w:t>
      </w:r>
      <w:r w:rsidRPr="0044524F">
        <w:rPr>
          <w:rFonts w:ascii="Times New Roman" w:hAnsi="Times New Roman"/>
          <w:color w:val="000000" w:themeColor="text1"/>
          <w:sz w:val="16"/>
          <w:szCs w:val="16"/>
        </w:rPr>
        <w:softHyphen/>
        <w:t>вать на облаках или на специальной дымо</w:t>
      </w:r>
      <w:r w:rsidRPr="0044524F">
        <w:rPr>
          <w:rFonts w:ascii="Times New Roman" w:hAnsi="Times New Roman"/>
          <w:color w:val="000000" w:themeColor="text1"/>
          <w:sz w:val="16"/>
          <w:szCs w:val="16"/>
        </w:rPr>
        <w:softHyphen/>
        <w:t>вой завесе, устанавливаемой самим же са</w:t>
      </w:r>
      <w:r w:rsidRPr="0044524F">
        <w:rPr>
          <w:rFonts w:ascii="Times New Roman" w:hAnsi="Times New Roman"/>
          <w:color w:val="000000" w:themeColor="text1"/>
          <w:sz w:val="16"/>
          <w:szCs w:val="16"/>
        </w:rPr>
        <w:softHyphen/>
        <w:t>молетом, различные световые изображе</w:t>
      </w:r>
      <w:r w:rsidRPr="0044524F">
        <w:rPr>
          <w:rFonts w:ascii="Times New Roman" w:hAnsi="Times New Roman"/>
          <w:color w:val="000000" w:themeColor="text1"/>
          <w:sz w:val="16"/>
          <w:szCs w:val="16"/>
        </w:rPr>
        <w:softHyphen/>
        <w:t>ния и лозунги путем специальных прожек</w:t>
      </w:r>
      <w:r w:rsidRPr="0044524F">
        <w:rPr>
          <w:rFonts w:ascii="Times New Roman" w:hAnsi="Times New Roman"/>
          <w:color w:val="000000" w:themeColor="text1"/>
          <w:sz w:val="16"/>
          <w:szCs w:val="16"/>
        </w:rPr>
        <w:softHyphen/>
        <w:t>торных установок. Эти изображения, ко</w:t>
      </w:r>
      <w:r w:rsidRPr="0044524F">
        <w:rPr>
          <w:rFonts w:ascii="Times New Roman" w:hAnsi="Times New Roman"/>
          <w:color w:val="000000" w:themeColor="text1"/>
          <w:sz w:val="16"/>
          <w:szCs w:val="16"/>
        </w:rPr>
        <w:softHyphen/>
        <w:t>роткие лозунги, должны быть достаточ</w:t>
      </w:r>
      <w:r w:rsidRPr="0044524F">
        <w:rPr>
          <w:rFonts w:ascii="Times New Roman" w:hAnsi="Times New Roman"/>
          <w:color w:val="000000" w:themeColor="text1"/>
          <w:sz w:val="16"/>
          <w:szCs w:val="16"/>
        </w:rPr>
        <w:softHyphen/>
        <w:t>ных размеров, чтобы можно было их уви</w:t>
      </w:r>
      <w:r w:rsidRPr="0044524F">
        <w:rPr>
          <w:rFonts w:ascii="Times New Roman" w:hAnsi="Times New Roman"/>
          <w:color w:val="000000" w:themeColor="text1"/>
          <w:sz w:val="16"/>
          <w:szCs w:val="16"/>
        </w:rPr>
        <w:softHyphen/>
        <w:t>деть и прочитать с земли на расстоянии около 2—3 км.</w:t>
      </w:r>
    </w:p>
    <w:p w14:paraId="5107D4FF" w14:textId="77777777" w:rsidR="00413D6B" w:rsidRPr="0044524F" w:rsidRDefault="00413D6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самолете желательна также уста</w:t>
      </w:r>
      <w:r w:rsidRPr="0044524F">
        <w:rPr>
          <w:rFonts w:ascii="Times New Roman" w:hAnsi="Times New Roman"/>
          <w:color w:val="000000" w:themeColor="text1"/>
          <w:sz w:val="16"/>
          <w:szCs w:val="16"/>
        </w:rPr>
        <w:softHyphen/>
        <w:t>новка ряда электрических лампочек, с по</w:t>
      </w:r>
      <w:r w:rsidRPr="0044524F">
        <w:rPr>
          <w:rFonts w:ascii="Times New Roman" w:hAnsi="Times New Roman"/>
          <w:color w:val="000000" w:themeColor="text1"/>
          <w:sz w:val="16"/>
          <w:szCs w:val="16"/>
        </w:rPr>
        <w:softHyphen/>
        <w:t>мощью которых на нижней стороне крыль</w:t>
      </w:r>
      <w:r w:rsidRPr="0044524F">
        <w:rPr>
          <w:rFonts w:ascii="Times New Roman" w:hAnsi="Times New Roman"/>
          <w:color w:val="000000" w:themeColor="text1"/>
          <w:sz w:val="16"/>
          <w:szCs w:val="16"/>
        </w:rPr>
        <w:softHyphen/>
        <w:t>ев самолета можно было бы изображать лозунги светящимися точками» (21240).</w:t>
      </w:r>
    </w:p>
    <w:p w14:paraId="348328C8" w14:textId="77777777" w:rsidR="00413D6B" w:rsidRPr="0044524F" w:rsidRDefault="00413D6B" w:rsidP="009654CF">
      <w:pPr>
        <w:spacing w:after="0" w:line="240" w:lineRule="auto"/>
        <w:jc w:val="both"/>
        <w:rPr>
          <w:rFonts w:ascii="Times New Roman" w:hAnsi="Times New Roman"/>
          <w:color w:val="000000" w:themeColor="text1"/>
          <w:sz w:val="16"/>
          <w:szCs w:val="16"/>
        </w:rPr>
      </w:pPr>
    </w:p>
    <w:p w14:paraId="46EC5598" w14:textId="77777777" w:rsidR="00413D6B" w:rsidRPr="0044524F" w:rsidRDefault="00413D6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сентябре 1933 г. в строй Агитэскадрильи вступил самолет «Крестьянская газета». Он положил на</w:t>
      </w:r>
      <w:r w:rsidRPr="0044524F">
        <w:rPr>
          <w:rFonts w:ascii="Times New Roman" w:hAnsi="Times New Roman"/>
          <w:color w:val="000000" w:themeColor="text1"/>
          <w:sz w:val="16"/>
          <w:szCs w:val="16"/>
          <w:lang w:eastAsia="ru-RU" w:bidi="ru-RU"/>
        </w:rPr>
        <w:softHyphen/>
        <w:t>чало целому отряду самолетов с анало</w:t>
      </w:r>
      <w:r w:rsidRPr="0044524F">
        <w:rPr>
          <w:rFonts w:ascii="Times New Roman" w:hAnsi="Times New Roman"/>
          <w:color w:val="000000" w:themeColor="text1"/>
          <w:sz w:val="16"/>
          <w:szCs w:val="16"/>
          <w:lang w:eastAsia="ru-RU" w:bidi="ru-RU"/>
        </w:rPr>
        <w:softHyphen/>
        <w:t>гичными названиями: «Горьковский колхозник». «Социалистическое земле</w:t>
      </w:r>
      <w:r w:rsidRPr="0044524F">
        <w:rPr>
          <w:rFonts w:ascii="Times New Roman" w:hAnsi="Times New Roman"/>
          <w:color w:val="000000" w:themeColor="text1"/>
          <w:sz w:val="16"/>
          <w:szCs w:val="16"/>
          <w:lang w:eastAsia="ru-RU" w:bidi="ru-RU"/>
        </w:rPr>
        <w:softHyphen/>
        <w:t>делие», «Колхозник ЦЧО», «Московский колхозник», «Восточно-Сибир</w:t>
      </w:r>
      <w:r w:rsidRPr="0044524F">
        <w:rPr>
          <w:rFonts w:ascii="Times New Roman" w:hAnsi="Times New Roman"/>
          <w:color w:val="000000" w:themeColor="text1"/>
          <w:sz w:val="16"/>
          <w:szCs w:val="16"/>
          <w:lang w:eastAsia="ru-RU" w:bidi="ru-RU"/>
        </w:rPr>
        <w:softHyphen/>
        <w:t>ский колхозник» и др.</w:t>
      </w:r>
    </w:p>
    <w:p w14:paraId="739C9217" w14:textId="77777777" w:rsidR="00413D6B" w:rsidRPr="0044524F" w:rsidRDefault="00413D6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Пилоты агитэскадрильи совершили рейсы по Кузбассу, районам добычи цвет</w:t>
      </w:r>
      <w:r w:rsidRPr="0044524F">
        <w:rPr>
          <w:rFonts w:ascii="Times New Roman" w:hAnsi="Times New Roman"/>
          <w:color w:val="000000" w:themeColor="text1"/>
          <w:sz w:val="16"/>
          <w:szCs w:val="16"/>
          <w:lang w:eastAsia="ru-RU" w:bidi="ru-RU"/>
        </w:rPr>
        <w:softHyphen/>
        <w:t>ных металлов Урала и Алтая. Донбассу и Подмосковному бассейну, популяризи</w:t>
      </w:r>
      <w:r w:rsidRPr="0044524F">
        <w:rPr>
          <w:rFonts w:ascii="Times New Roman" w:hAnsi="Times New Roman"/>
          <w:color w:val="000000" w:themeColor="text1"/>
          <w:sz w:val="16"/>
          <w:szCs w:val="16"/>
          <w:lang w:eastAsia="ru-RU" w:bidi="ru-RU"/>
        </w:rPr>
        <w:softHyphen/>
        <w:t>руя опыт стахановского движения. Они несли санитарную культуру в деревню, провели специальный рейс для архитек</w:t>
      </w:r>
      <w:r w:rsidRPr="0044524F">
        <w:rPr>
          <w:rFonts w:ascii="Times New Roman" w:hAnsi="Times New Roman"/>
          <w:color w:val="000000" w:themeColor="text1"/>
          <w:sz w:val="16"/>
          <w:szCs w:val="16"/>
          <w:lang w:eastAsia="ru-RU" w:bidi="ru-RU"/>
        </w:rPr>
        <w:softHyphen/>
        <w:t>торов Москвы в связи с перепланировкой города и организацией Сельскохозяйст</w:t>
      </w:r>
      <w:r w:rsidRPr="0044524F">
        <w:rPr>
          <w:rFonts w:ascii="Times New Roman" w:hAnsi="Times New Roman"/>
          <w:color w:val="000000" w:themeColor="text1"/>
          <w:sz w:val="16"/>
          <w:szCs w:val="16"/>
          <w:lang w:eastAsia="ru-RU" w:bidi="ru-RU"/>
        </w:rPr>
        <w:softHyphen/>
        <w:t>венной выставки (ныне ВВЦ).</w:t>
      </w:r>
    </w:p>
    <w:p w14:paraId="589D6F72" w14:textId="77777777" w:rsidR="00413D6B" w:rsidRPr="0044524F" w:rsidRDefault="00413D6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составе агитбригад вылетали и вы</w:t>
      </w:r>
      <w:r w:rsidRPr="0044524F">
        <w:rPr>
          <w:rFonts w:ascii="Times New Roman" w:hAnsi="Times New Roman"/>
          <w:color w:val="000000" w:themeColor="text1"/>
          <w:sz w:val="16"/>
          <w:szCs w:val="16"/>
          <w:lang w:eastAsia="ru-RU" w:bidi="ru-RU"/>
        </w:rPr>
        <w:softHyphen/>
        <w:t>ступали перед рабочими и колхозниками такие выдающиеся деятели международ</w:t>
      </w:r>
      <w:r w:rsidRPr="0044524F">
        <w:rPr>
          <w:rFonts w:ascii="Times New Roman" w:hAnsi="Times New Roman"/>
          <w:color w:val="000000" w:themeColor="text1"/>
          <w:sz w:val="16"/>
          <w:szCs w:val="16"/>
          <w:lang w:eastAsia="ru-RU" w:bidi="ru-RU"/>
        </w:rPr>
        <w:softHyphen/>
        <w:t>ного коммунистического движения, как Георгий Димитров, Вильгельм Пик. Пальмиро Тольятти; прославленные но</w:t>
      </w:r>
      <w:r w:rsidRPr="0044524F">
        <w:rPr>
          <w:rFonts w:ascii="Times New Roman" w:hAnsi="Times New Roman"/>
          <w:color w:val="000000" w:themeColor="text1"/>
          <w:sz w:val="16"/>
          <w:szCs w:val="16"/>
          <w:lang w:eastAsia="ru-RU" w:bidi="ru-RU"/>
        </w:rPr>
        <w:softHyphen/>
        <w:t>ваторы промышленности и сельского хо</w:t>
      </w:r>
      <w:r w:rsidRPr="0044524F">
        <w:rPr>
          <w:rFonts w:ascii="Times New Roman" w:hAnsi="Times New Roman"/>
          <w:color w:val="000000" w:themeColor="text1"/>
          <w:sz w:val="16"/>
          <w:szCs w:val="16"/>
          <w:lang w:eastAsia="ru-RU" w:bidi="ru-RU"/>
        </w:rPr>
        <w:softHyphen/>
        <w:t>зяйства: Мария Демченко. Макар Мазай, Никита Изотов и многие другие извест</w:t>
      </w:r>
      <w:r w:rsidRPr="0044524F">
        <w:rPr>
          <w:rFonts w:ascii="Times New Roman" w:hAnsi="Times New Roman"/>
          <w:color w:val="000000" w:themeColor="text1"/>
          <w:sz w:val="16"/>
          <w:szCs w:val="16"/>
          <w:lang w:eastAsia="ru-RU" w:bidi="ru-RU"/>
        </w:rPr>
        <w:softHyphen/>
        <w:t>ные всей стране люди (21240).</w:t>
      </w:r>
    </w:p>
    <w:p w14:paraId="2AC94241" w14:textId="77777777" w:rsidR="00413D6B" w:rsidRPr="0044524F" w:rsidRDefault="00413D6B" w:rsidP="009654CF">
      <w:pPr>
        <w:spacing w:after="0" w:line="240" w:lineRule="auto"/>
        <w:jc w:val="both"/>
        <w:rPr>
          <w:rFonts w:ascii="Times New Roman" w:hAnsi="Times New Roman"/>
          <w:color w:val="000000" w:themeColor="text1"/>
          <w:sz w:val="16"/>
          <w:szCs w:val="16"/>
        </w:rPr>
      </w:pPr>
    </w:p>
    <w:p w14:paraId="2D42756D" w14:textId="77777777" w:rsidR="008D5CF7" w:rsidRPr="0044524F" w:rsidRDefault="008D5CF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в бригаде истребительной авиации ЦКБ-39 по инициативе ее начальника Н.Н. Поликарпова на основании сделанных уже проработок начато проектирование скоростного истребителя, перехватчика ПВО и истребителя-бомбардировщика И-17 под мотор водяного охлаждения. Хотя командование ВВС было против, Поликарпова поддержали Ильюшин и руководство ГУАП, что помогло добиться утверждения 9 декабря 1933 г. требований ВВС к самолету и этой темы в плане под обозначением ЦКБ-15. К тому времени эскизный проект и макет истребителя уже были представлены к защите (23554).</w:t>
      </w:r>
    </w:p>
    <w:p w14:paraId="699F910A" w14:textId="77777777" w:rsidR="008D5CF7" w:rsidRPr="0044524F" w:rsidRDefault="008D5CF7" w:rsidP="009654CF">
      <w:pPr>
        <w:spacing w:after="0" w:line="240" w:lineRule="auto"/>
        <w:jc w:val="both"/>
        <w:rPr>
          <w:rFonts w:ascii="Times New Roman" w:hAnsi="Times New Roman"/>
          <w:color w:val="000000" w:themeColor="text1"/>
          <w:sz w:val="16"/>
          <w:szCs w:val="16"/>
        </w:rPr>
      </w:pPr>
    </w:p>
    <w:p w14:paraId="42F79AA3"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 руководство завода № 22 обратилось в ГУАП за раз</w:t>
      </w:r>
      <w:r w:rsidRPr="00142305">
        <w:rPr>
          <w:rFonts w:ascii="Times New Roman" w:hAnsi="Times New Roman"/>
          <w:color w:val="0070C0"/>
          <w:sz w:val="16"/>
          <w:szCs w:val="16"/>
        </w:rPr>
        <w:softHyphen/>
        <w:t>решением на постройку опытного образца военного варианта АНТ-14, но, видимо, по</w:t>
      </w:r>
      <w:r w:rsidRPr="00142305">
        <w:rPr>
          <w:rFonts w:ascii="Times New Roman" w:hAnsi="Times New Roman"/>
          <w:color w:val="0070C0"/>
          <w:sz w:val="16"/>
          <w:szCs w:val="16"/>
        </w:rPr>
        <w:softHyphen/>
        <w:t>лучило отказ. В Осконбюро ВВС разрабатывали десантный вариант АНТ-14 на 50 парашютистов, которые должны бы</w:t>
      </w:r>
      <w:r w:rsidRPr="00142305">
        <w:rPr>
          <w:rFonts w:ascii="Times New Roman" w:hAnsi="Times New Roman"/>
          <w:color w:val="0070C0"/>
          <w:sz w:val="16"/>
          <w:szCs w:val="16"/>
        </w:rPr>
        <w:softHyphen/>
        <w:t>ли покидать машину по наклонным трубам, какие можно увидеть сейчас на детских площадках. Прорабатывали так</w:t>
      </w:r>
      <w:r w:rsidRPr="00142305">
        <w:rPr>
          <w:rFonts w:ascii="Times New Roman" w:hAnsi="Times New Roman"/>
          <w:color w:val="0070C0"/>
          <w:sz w:val="16"/>
          <w:szCs w:val="16"/>
        </w:rPr>
        <w:softHyphen/>
        <w:t>же вариант «бензиноносца» — танкера для дозаправки в воз</w:t>
      </w:r>
      <w:r w:rsidRPr="00142305">
        <w:rPr>
          <w:rFonts w:ascii="Times New Roman" w:hAnsi="Times New Roman"/>
          <w:color w:val="0070C0"/>
          <w:sz w:val="16"/>
          <w:szCs w:val="16"/>
        </w:rPr>
        <w:softHyphen/>
        <w:t>духе тяжелого бомбардировшика ТБ-4. Он мог, по расчетам, нести дополнительно около 2500 кг топлива (24977).</w:t>
      </w:r>
    </w:p>
    <w:p w14:paraId="2FF4415F" w14:textId="77777777" w:rsidR="00961132" w:rsidRPr="00142305" w:rsidRDefault="00961132" w:rsidP="00961132">
      <w:pPr>
        <w:spacing w:after="0" w:line="240" w:lineRule="auto"/>
        <w:jc w:val="both"/>
        <w:rPr>
          <w:rFonts w:ascii="Times New Roman" w:hAnsi="Times New Roman"/>
          <w:color w:val="0070C0"/>
          <w:sz w:val="16"/>
          <w:szCs w:val="16"/>
        </w:rPr>
      </w:pPr>
    </w:p>
    <w:p w14:paraId="769A03B2"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1933-го исполнявший обязанности директора завода №22 В.Чернышев сообщал заместителю начальника ГУАПа Мальхову:</w:t>
      </w:r>
    </w:p>
    <w:p w14:paraId="0D8CAE97"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отдельным указаниям начальника ГУАП и протокола от 29 июня 1933 г. мы приступили к изготовлению чертежей АНТ-14 под четыре мотора М-34 с новой хвостовой частью фюзеляжа. При этом согласно специальным решениям совещания от 10 июля 1933 г. в передаваемых ЦАГИ чертежах должны были быть предусмотрены крепления агрегатов вооружения военного варианта этой машины.</w:t>
      </w:r>
    </w:p>
    <w:p w14:paraId="6912921F"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Ввиду того, что означенная машина в военном варианте ЦАГИ не строится, во избежание могущих возникнуть недоразумений, неясностей и задержек в разработке, считаем необходимым просить Вашего указания ЦАГИ построить опытный АНТ-14, военного варианта, так как на основании приказа НКВМ и НКТП от 31 июля 1933 г. (…) завод должен производить внедрение конструкции в серийное производство.</w:t>
      </w:r>
    </w:p>
    <w:p w14:paraId="087CA31B"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Вследствие перегруженности конструкторского отдела, связанной с форсированием работ по Р-6 и МК (…) завод не имеет возможности начать работы по подготовке к пуску в производство АНТ-14 ранее второго квартала. Кроме того, при отсутствии утвержденного образца до выпуска и испытаний его мы считаем начинать работу нецелесообразно…" (25604).</w:t>
      </w:r>
    </w:p>
    <w:p w14:paraId="3089EF3E" w14:textId="77777777" w:rsidR="00961132" w:rsidRPr="00142305" w:rsidRDefault="00961132" w:rsidP="00961132">
      <w:pPr>
        <w:spacing w:after="0" w:line="240" w:lineRule="auto"/>
        <w:jc w:val="both"/>
        <w:rPr>
          <w:rFonts w:ascii="Times New Roman" w:hAnsi="Times New Roman"/>
          <w:color w:val="0070C0"/>
          <w:sz w:val="16"/>
          <w:szCs w:val="16"/>
        </w:rPr>
      </w:pPr>
    </w:p>
    <w:p w14:paraId="5553541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летало звено В.С.Вахмистрова - ТБ-1 с двумя И-5 (88,106).</w:t>
      </w:r>
    </w:p>
    <w:p w14:paraId="78CE21DD"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6F61E56" w14:textId="77777777" w:rsidR="00CE69D7" w:rsidRPr="0044524F" w:rsidRDefault="00CE69D7" w:rsidP="009654CF">
      <w:pPr>
        <w:pStyle w:val="a3"/>
        <w:rPr>
          <w:color w:val="000000" w:themeColor="text1"/>
          <w:lang w:val="ru-RU"/>
        </w:rPr>
      </w:pPr>
      <w:r w:rsidRPr="0044524F">
        <w:rPr>
          <w:color w:val="000000" w:themeColor="text1"/>
          <w:lang w:val="ru-RU"/>
        </w:rPr>
        <w:t>В сен</w:t>
      </w:r>
      <w:r w:rsidRPr="0044524F">
        <w:rPr>
          <w:color w:val="000000" w:themeColor="text1"/>
          <w:lang w:val="ru-RU"/>
        </w:rPr>
        <w:softHyphen/>
        <w:t>тябре 1933 г. испытывали следующий вариант — «Звено-1а», нёс вместо И-4 пару И-5., ТБ-1 пилотировал Стефановский, истребители — Коккинаки и Гродзь (Лагутин). Во всех последующих «звеньях» в качестве носителя использовался четырёх</w:t>
      </w:r>
      <w:r w:rsidRPr="0044524F">
        <w:rPr>
          <w:color w:val="000000" w:themeColor="text1"/>
          <w:lang w:val="ru-RU"/>
        </w:rPr>
        <w:softHyphen/>
        <w:t>моторный бомбардировщик ТБ-3 (15821).</w:t>
      </w:r>
    </w:p>
    <w:p w14:paraId="7AF6973D" w14:textId="77777777" w:rsidR="00CE69D7" w:rsidRPr="0044524F" w:rsidRDefault="00CE69D7" w:rsidP="009654CF">
      <w:pPr>
        <w:pStyle w:val="a3"/>
        <w:rPr>
          <w:color w:val="000000" w:themeColor="text1"/>
          <w:lang w:val="ru-RU"/>
        </w:rPr>
      </w:pPr>
    </w:p>
    <w:p w14:paraId="611502B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успешно провели вой</w:t>
      </w:r>
      <w:r w:rsidRPr="0044524F">
        <w:rPr>
          <w:rFonts w:ascii="Times New Roman" w:hAnsi="Times New Roman"/>
          <w:color w:val="000000" w:themeColor="text1"/>
          <w:sz w:val="16"/>
          <w:szCs w:val="16"/>
        </w:rPr>
        <w:softHyphen/>
        <w:t>сковые испытания еще одного «звена» — «3-1а», составленного из ТБ-1 и двух И-5. Алкснис утвердил отчет по ним 5 октября с положительной оценкой и предложением более эффективная система — ТБ-3 с дву</w:t>
      </w:r>
      <w:r w:rsidRPr="0044524F">
        <w:rPr>
          <w:rFonts w:ascii="Times New Roman" w:hAnsi="Times New Roman"/>
          <w:color w:val="000000" w:themeColor="text1"/>
          <w:sz w:val="16"/>
          <w:szCs w:val="16"/>
        </w:rPr>
        <w:softHyphen/>
        <w:t>мя подвешенными под крылом И-16 — была принята на вооружение и нашла примене</w:t>
      </w:r>
      <w:r w:rsidRPr="0044524F">
        <w:rPr>
          <w:rFonts w:ascii="Times New Roman" w:hAnsi="Times New Roman"/>
          <w:color w:val="000000" w:themeColor="text1"/>
          <w:sz w:val="16"/>
          <w:szCs w:val="16"/>
        </w:rPr>
        <w:softHyphen/>
        <w:t>ние в Великой Отечественной войне (11286).</w:t>
      </w:r>
    </w:p>
    <w:p w14:paraId="7E16BEA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p>
    <w:p w14:paraId="499C52F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с положительной оценкой прошла государственные испытания система звено - 2 - ТБ-3, несущий сверху три истребителя И-5 - два на крыле и один на фюзеляже («Зве</w:t>
      </w:r>
      <w:r w:rsidRPr="0044524F">
        <w:rPr>
          <w:rFonts w:ascii="Times New Roman" w:hAnsi="Times New Roman"/>
          <w:color w:val="000000" w:themeColor="text1"/>
          <w:sz w:val="16"/>
          <w:szCs w:val="16"/>
        </w:rPr>
        <w:softHyphen/>
        <w:t>но-2»). Наибольшее число истребителей нес вариант «Звено-7» - сверху на крыле ТБ-3 было два И-5, снизу - два И-16, в воздухе под фюзеляж подцеплялся И-2 (10667).</w:t>
      </w:r>
    </w:p>
    <w:p w14:paraId="0D27F9B2"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EDDB527" w14:textId="77777777" w:rsidR="00413D6B" w:rsidRPr="0044524F" w:rsidRDefault="00413D6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спустя два месяца после завершения войсковых испытаний, было оборудовано еще одно «звено» - З-1а, со</w:t>
      </w:r>
      <w:r w:rsidRPr="0044524F">
        <w:rPr>
          <w:rFonts w:ascii="Times New Roman" w:hAnsi="Times New Roman"/>
          <w:color w:val="000000" w:themeColor="text1"/>
          <w:sz w:val="16"/>
          <w:szCs w:val="16"/>
        </w:rPr>
        <w:softHyphen/>
        <w:t>ставленное из ТБ-1 и двух И-5. Войсковые испытания З-1а успешно провели в сентябре 1933 г. Начальник ВВС Яков Алкснис утвердил отчет по испытаниям З-1а 5 октя</w:t>
      </w:r>
      <w:r w:rsidRPr="0044524F">
        <w:rPr>
          <w:rFonts w:ascii="Times New Roman" w:hAnsi="Times New Roman"/>
          <w:color w:val="000000" w:themeColor="text1"/>
          <w:sz w:val="16"/>
          <w:szCs w:val="16"/>
        </w:rPr>
        <w:softHyphen/>
        <w:t>бря 1933 г. с положительной оценкой и предложением по</w:t>
      </w:r>
      <w:r w:rsidRPr="0044524F">
        <w:rPr>
          <w:rFonts w:ascii="Times New Roman" w:hAnsi="Times New Roman"/>
          <w:color w:val="000000" w:themeColor="text1"/>
          <w:sz w:val="16"/>
          <w:szCs w:val="16"/>
        </w:rPr>
        <w:softHyphen/>
        <w:t>строить серию таких составных самолето (20345).</w:t>
      </w:r>
    </w:p>
    <w:p w14:paraId="7A7B897B" w14:textId="77777777" w:rsidR="00413D6B" w:rsidRPr="0044524F" w:rsidRDefault="00413D6B" w:rsidP="009654CF">
      <w:pPr>
        <w:spacing w:after="0" w:line="240" w:lineRule="auto"/>
        <w:jc w:val="both"/>
        <w:rPr>
          <w:rFonts w:ascii="Times New Roman" w:hAnsi="Times New Roman"/>
          <w:color w:val="000000" w:themeColor="text1"/>
          <w:sz w:val="16"/>
          <w:szCs w:val="16"/>
        </w:rPr>
      </w:pPr>
    </w:p>
    <w:p w14:paraId="742CAD5A" w14:textId="77777777" w:rsidR="00CF38E2" w:rsidRPr="0044524F" w:rsidRDefault="00CF38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было оборудовано еще одно «звено» — «З-1а», составленное из ТБ-1 и двух И-5. Войсковые испытания «З-1а» успешно провели в сентябре 1933 г. Начальник ВВС Яков Алкснис ут</w:t>
      </w:r>
      <w:r w:rsidRPr="0044524F">
        <w:rPr>
          <w:rFonts w:ascii="Times New Roman" w:hAnsi="Times New Roman"/>
          <w:color w:val="000000" w:themeColor="text1"/>
          <w:sz w:val="16"/>
          <w:szCs w:val="16"/>
        </w:rPr>
        <w:softHyphen/>
        <w:t>вердил отчет по испытаниям «З-1а» 5 октября 1933 г. с положительной оценкой и предложением постро</w:t>
      </w:r>
      <w:r w:rsidRPr="0044524F">
        <w:rPr>
          <w:rFonts w:ascii="Times New Roman" w:hAnsi="Times New Roman"/>
          <w:color w:val="000000" w:themeColor="text1"/>
          <w:sz w:val="16"/>
          <w:szCs w:val="16"/>
        </w:rPr>
        <w:softHyphen/>
        <w:t>ить серию таких составных самолетов (23378).</w:t>
      </w:r>
    </w:p>
    <w:p w14:paraId="71034569" w14:textId="77777777" w:rsidR="00CF38E2" w:rsidRPr="0044524F" w:rsidRDefault="00CF38E2" w:rsidP="009654CF">
      <w:pPr>
        <w:spacing w:after="0" w:line="240" w:lineRule="auto"/>
        <w:jc w:val="both"/>
        <w:rPr>
          <w:rFonts w:ascii="Times New Roman" w:hAnsi="Times New Roman"/>
          <w:color w:val="000000" w:themeColor="text1"/>
          <w:sz w:val="16"/>
          <w:szCs w:val="16"/>
        </w:rPr>
      </w:pPr>
    </w:p>
    <w:p w14:paraId="332381F8" w14:textId="77777777" w:rsidR="007F3AE2" w:rsidRPr="00142305" w:rsidRDefault="007F3AE2" w:rsidP="007F3AE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w:t>
      </w:r>
      <w:r w:rsidRPr="00142305">
        <w:rPr>
          <w:rFonts w:ascii="Times New Roman" w:hAnsi="Times New Roman"/>
          <w:color w:val="0070C0"/>
          <w:sz w:val="16"/>
          <w:szCs w:val="16"/>
        </w:rPr>
        <w:softHyphen/>
        <w:t>ре 1933 г. испытали следующий вариант «авиаматки». «Звено-1А», где ТБ-1 нес вмес</w:t>
      </w:r>
      <w:r w:rsidRPr="00142305">
        <w:rPr>
          <w:rFonts w:ascii="Times New Roman" w:hAnsi="Times New Roman"/>
          <w:color w:val="0070C0"/>
          <w:sz w:val="16"/>
          <w:szCs w:val="16"/>
        </w:rPr>
        <w:softHyphen/>
        <w:t>то И-4 пару истребителей И-5. ТБ-l пилотировал Стефановский, истребители — Коккинаки и Лагутин (24977).</w:t>
      </w:r>
    </w:p>
    <w:p w14:paraId="743DDB16" w14:textId="77777777" w:rsidR="007F3AE2" w:rsidRPr="00142305" w:rsidRDefault="007F3AE2" w:rsidP="007F3AE2">
      <w:pPr>
        <w:spacing w:after="0" w:line="240" w:lineRule="auto"/>
        <w:jc w:val="both"/>
        <w:rPr>
          <w:rFonts w:ascii="Times New Roman" w:hAnsi="Times New Roman"/>
          <w:color w:val="0070C0"/>
          <w:sz w:val="16"/>
          <w:szCs w:val="16"/>
        </w:rPr>
      </w:pPr>
    </w:p>
    <w:p w14:paraId="040ACC96" w14:textId="77777777" w:rsidR="007F3AE2" w:rsidRPr="00142305" w:rsidRDefault="007F3AE2" w:rsidP="007F3AE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 испытывали следующий вариант «Звено-la», когда ТБ-1 нес вместо И-4 пару И-5. ТБ-1 пилотиро</w:t>
      </w:r>
      <w:r w:rsidRPr="00142305">
        <w:rPr>
          <w:rFonts w:ascii="Times New Roman" w:hAnsi="Times New Roman"/>
          <w:color w:val="0070C0"/>
          <w:sz w:val="16"/>
          <w:szCs w:val="16"/>
        </w:rPr>
        <w:softHyphen/>
        <w:t>вал Стефановский, истребители - Коккинаки и Гродзь (Лагутин). Во всех последующих «звеньях» в качестве носителя использовался четырехмоторный ТБ-3 (25004).</w:t>
      </w:r>
    </w:p>
    <w:p w14:paraId="2D57580E" w14:textId="77777777" w:rsidR="007F3AE2" w:rsidRPr="00142305" w:rsidRDefault="007F3AE2" w:rsidP="007F3AE2">
      <w:pPr>
        <w:spacing w:after="0" w:line="240" w:lineRule="auto"/>
        <w:jc w:val="both"/>
        <w:rPr>
          <w:rFonts w:ascii="Times New Roman" w:hAnsi="Times New Roman"/>
          <w:color w:val="0070C0"/>
          <w:sz w:val="16"/>
          <w:szCs w:val="16"/>
        </w:rPr>
      </w:pPr>
    </w:p>
    <w:p w14:paraId="0AD9E875" w14:textId="77777777" w:rsidR="007F3AE2" w:rsidRPr="00142305" w:rsidRDefault="007F3AE2" w:rsidP="007F3AE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года проводили испытания в варианте «Звено-1а»: на крыле ТБ-1 вместо И-4 расположили пару И-5.. ТБ-1 пилотировал П.М. Стефановский, а истребители - К.К. Коккинаки и Лагутин.</w:t>
      </w:r>
    </w:p>
    <w:p w14:paraId="64B77C09" w14:textId="77777777" w:rsidR="007F3AE2" w:rsidRPr="00142305" w:rsidRDefault="007F3AE2" w:rsidP="007F3AE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Возможности «Самолета-Звена» подтвердились, когда в ходе войсковых испытаний имитировали воздушный налет на Киев. На подходе к городу с него стартовали истребители сопровождения, прикрывавшие авиаматку вплоть до полигона, где было выполнено учебное бомбометание. Но дальше опытов дело не пошло. ТБ-1 морально устарел, и эксперименты продолжили на четырехмоторном ТБ-3 (24991).</w:t>
      </w:r>
    </w:p>
    <w:p w14:paraId="6E1E5390" w14:textId="77777777" w:rsidR="007F3AE2" w:rsidRPr="00142305" w:rsidRDefault="007F3AE2" w:rsidP="007F3AE2">
      <w:pPr>
        <w:spacing w:after="0" w:line="240" w:lineRule="auto"/>
        <w:jc w:val="both"/>
        <w:rPr>
          <w:rFonts w:ascii="Times New Roman" w:hAnsi="Times New Roman"/>
          <w:color w:val="0070C0"/>
          <w:sz w:val="16"/>
          <w:szCs w:val="16"/>
        </w:rPr>
      </w:pPr>
    </w:p>
    <w:p w14:paraId="23DA711B" w14:textId="372E5174"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года у МИ-3 АНТ-21 случилась поломка. В тот день на машине, пило</w:t>
      </w:r>
      <w:r w:rsidRPr="00142305">
        <w:rPr>
          <w:rFonts w:ascii="Times New Roman" w:hAnsi="Times New Roman"/>
          <w:color w:val="0070C0"/>
          <w:sz w:val="16"/>
          <w:szCs w:val="16"/>
        </w:rPr>
        <w:softHyphen/>
        <w:t>тировавшейся И.Ф Козловым, разрушились узлы крепления руля поворота. Однако после</w:t>
      </w:r>
      <w:r w:rsidRPr="00142305">
        <w:rPr>
          <w:rFonts w:ascii="Times New Roman" w:hAnsi="Times New Roman"/>
          <w:color w:val="0070C0"/>
          <w:sz w:val="16"/>
          <w:szCs w:val="16"/>
        </w:rPr>
        <w:softHyphen/>
        <w:t>довавшие повторные расчеты не выявили отклонений от действовавших норм прочности. Причина же поломки заключалась в том, что существовавшие рекомендации конструкторам не учитывали динамические нагрузки на летательный аппарат и не соответствовали требо</w:t>
      </w:r>
      <w:r w:rsidRPr="00142305">
        <w:rPr>
          <w:rFonts w:ascii="Times New Roman" w:hAnsi="Times New Roman"/>
          <w:color w:val="0070C0"/>
          <w:sz w:val="16"/>
          <w:szCs w:val="16"/>
        </w:rPr>
        <w:softHyphen/>
        <w:t>ваниям времени.</w:t>
      </w:r>
    </w:p>
    <w:p w14:paraId="0E31CC10"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снова доработки, затянувшиеся до 1934 года (24991).</w:t>
      </w:r>
    </w:p>
    <w:p w14:paraId="276E3E95" w14:textId="77777777" w:rsidR="00961132" w:rsidRPr="00142305" w:rsidRDefault="00961132" w:rsidP="00961132">
      <w:pPr>
        <w:spacing w:after="0" w:line="240" w:lineRule="auto"/>
        <w:jc w:val="both"/>
        <w:rPr>
          <w:rFonts w:ascii="Times New Roman" w:hAnsi="Times New Roman"/>
          <w:color w:val="0070C0"/>
          <w:sz w:val="16"/>
          <w:szCs w:val="16"/>
        </w:rPr>
      </w:pPr>
    </w:p>
    <w:p w14:paraId="3C0872F4" w14:textId="1F6982E9" w:rsidR="00413D6B" w:rsidRPr="0044524F" w:rsidRDefault="00413D6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уточненный проект ВС-2 К-12 был представлен НИИ ВВС, но снова отклонен и оправлен на доработку.</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По инициативе ГУ ВВС самолет был включен в Постановление СТО № 119сс от 23.11.33 г., которое предусматривало строительство его головной (т.е. установочной) серии из трех экз. на ХАЗОС со сроком передачи на ГИ, сдвинутым на 01.09.34 г. Однако ГУАП настоял на исключении самолета из его серийной программы на том основании, что самолет можно считать только экспериментальным и вопрос о его серийном производстве можно рассматривать только после завершения испытаний. Кроме того, в начале 1934 г. строительство самолета было передано опытному производству завода № 18 (г. Воронеж).</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Постановлением СТО №№ С-39сс «О плане опытного строительства самолетов и моторов на 1936-1936 гг.» от 16.04.35 г. был введен в действие новый) «План опытного моторо- и самолетостроения ВВС РККА на 1935-36 гг.», которым срок сдачи самолета на 01.10.35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В начале 1935 г. был забракован натурный макет самолета (см. ниже).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2B2ED89A" w14:textId="77777777" w:rsidR="00413D6B" w:rsidRPr="0044524F" w:rsidRDefault="00413D6B" w:rsidP="009654CF">
      <w:pPr>
        <w:spacing w:after="0" w:line="240" w:lineRule="auto"/>
        <w:jc w:val="both"/>
        <w:rPr>
          <w:rFonts w:ascii="Times New Roman" w:hAnsi="Times New Roman"/>
          <w:color w:val="000000" w:themeColor="text1"/>
          <w:sz w:val="16"/>
          <w:szCs w:val="16"/>
        </w:rPr>
      </w:pPr>
    </w:p>
    <w:p w14:paraId="56E84340"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года после продувки моделей в аэродинамической трубе ХАИ и с учетом этих экспериментов, появился второй эскизный проект ВС К-12. Новый вариант отличался от классического “летающего крыла”, в документах КБ его называли “короткохвостым”. Машина выглядела довольно необычно. Так, вдоль всей задней кромки крыла размещался мощный закрылок, что позволяло значительно уменьшить посадочную скорость. Именно поэтому руль высоты и стабилизатор крепились к задней части фюзеляжа. Элероны, получившие название “садовая скамейка”, — на стойках в конце крыла. Органы управления такого типа в сочетании с закрылками впоследствии с успехом использовал на скоростных машинах американский конструктор Д. Нортроп.</w:t>
      </w:r>
    </w:p>
    <w:p w14:paraId="2768C060"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крыла “короткохвосток” выбрали малоизвестный профиль НАСА R-106R, а само крыло было оснащено автоматическими и управляемыми предкрылками на передней его кромке.</w:t>
      </w:r>
    </w:p>
    <w:p w14:paraId="78A8D958"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Проектом предусматривалась гражданская модификация самолета на 11 пассажиров с багажом.</w:t>
      </w:r>
    </w:p>
    <w:p w14:paraId="00A70733"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Новый проект повлек за собой новые продувки, и их результаты заставили К. А. Калинина все же отказаться от “короткохвостой” схемы и вернуться к самолету-бесхвостке. Соответственно не понадобились предкрылок, стабилизатор и выносные элероны. Для обеспечения продольной устойчивости была изменена и профилировка крыла: вместо НАСА R-106R с аэродинамической круткой крыла применили отечественный профиль ЦАГИ Р-11, удачно модифицированный конструкторами группы управления во главе с А. В. Коваленко. А вдоль всей задней кромки крыла на кронштейнах подвесили вспомогательную плоскость, выполняющую роль горизонтального оперения. Интересно, что она имела тот же профиль — ЦАГИ Р-11, перевернутый на 180° по отношению к крылу. Столь же неожиданное решение позволило добиться надежной продольной устойчивости на всех режимах полета. А крыло с модифицированным профилем, кроме того, обладало хорошими несущими свойствами при посадке в отличие от крыльев с отрицательной круткой профиля.</w:t>
      </w:r>
    </w:p>
    <w:p w14:paraId="22CBD751"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Функции вертикального оперения выполняли расположенные на концах крыла шайбы эллиптической формы. Рули направления отклонялись раздельно и только в наружную сторону.</w:t>
      </w:r>
    </w:p>
    <w:p w14:paraId="01100337"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Чтобы проверить свои теоретические расчеты, К. А. Калинин задумал построить еще одну аэродинамическую модель, но только не продувочную, а… летающую. В сущности, получился настоящий планер. Сделали его цельнодеревянным, в масштабе 1:2 — по отношению к самолету. Летчик-испытатель П. О. Борисов совершил на нем свыше ста успешных полетов, исследуя в реальных условиях различные режимы (25251).</w:t>
      </w:r>
    </w:p>
    <w:p w14:paraId="5E580A37" w14:textId="77777777" w:rsidR="00961132" w:rsidRPr="00142305" w:rsidRDefault="00961132" w:rsidP="00961132">
      <w:pPr>
        <w:spacing w:after="0" w:line="240" w:lineRule="auto"/>
        <w:jc w:val="both"/>
        <w:rPr>
          <w:rFonts w:ascii="Times New Roman" w:hAnsi="Times New Roman"/>
          <w:color w:val="0070C0"/>
          <w:sz w:val="16"/>
          <w:szCs w:val="16"/>
        </w:rPr>
      </w:pPr>
    </w:p>
    <w:p w14:paraId="26EAEFB0" w14:textId="77777777" w:rsidR="009F44F5" w:rsidRPr="0044524F" w:rsidRDefault="009F44F5"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 сентябре 1933 г. был готов третий опытный образец АИР-6. На нем увеличили запас горючего, установив не два, а четыре бака. Правую дверь переделали, придав ей более удобную форму. Элероны разделили на две секции. На колеса поставили каплевидные обтекатели, мотор прикрыли узким кольцевым капотом (кольцом Тауненда), а втулку винта - выпуклым коком. Таким образом хотели улучшить аэродинамику машины и способствовать улучшению летных данных. Но скорость самолета оказалась слишком мала, чтобы подобные меры дали существенный результат. Третий образец оказался еще легче, чем второй - вес пустого равнялся 605 кг. Кольцо Тауненда и кок позже сняли, а обтекатели колес - оставили.</w:t>
      </w:r>
    </w:p>
    <w:p w14:paraId="1DF9E751" w14:textId="77777777" w:rsidR="009F44F5" w:rsidRPr="0044524F" w:rsidRDefault="009F44F5"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Позднее второй и третий образец АИР-6 передали московскому отделению Осоавиахима.</w:t>
      </w:r>
    </w:p>
    <w:p w14:paraId="172BC0A1" w14:textId="77777777" w:rsidR="009F44F5" w:rsidRPr="0044524F" w:rsidRDefault="009F44F5"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 xml:space="preserve">Видимо, именно третий образец направили на государственные испытания в СНИИ ГВФ, завершившиеся в октябре 1933 г Самолет опять подтвердил заявленные конструктором данные и продемонстрировал хорошую устойчивость и управляемость, а также простоту в эксплуатации. Получили максимальную скорость 169 км/ч. В заключении СНИИ ГВФ говорилось: «Простота конструкции, надежная работа мотора, удобная пассажирская кабина типа «лимузин» и сравнительно малая посадочная скорость создали самолету хорошую репутацию. Имея в закрытой кабине два места для пассажиров, самолет является наиболее удобным типом на </w:t>
      </w:r>
      <w:r w:rsidRPr="0044524F">
        <w:rPr>
          <w:rFonts w:ascii="Times New Roman" w:hAnsi="Times New Roman" w:cs="Times New Roman"/>
          <w:color w:val="000000" w:themeColor="text1"/>
        </w:rPr>
        <w:lastRenderedPageBreak/>
        <w:t>местных линиях воздушного сообщения для перевозки почты и пассажиров» (19099).</w:t>
      </w:r>
    </w:p>
    <w:p w14:paraId="0489AECB" w14:textId="77777777" w:rsidR="009F44F5" w:rsidRPr="0044524F" w:rsidRDefault="009F44F5" w:rsidP="009654CF">
      <w:pPr>
        <w:pStyle w:val="a8"/>
        <w:jc w:val="both"/>
        <w:rPr>
          <w:rFonts w:ascii="Times New Roman" w:hAnsi="Times New Roman" w:cs="Times New Roman"/>
          <w:color w:val="000000" w:themeColor="text1"/>
        </w:rPr>
      </w:pPr>
    </w:p>
    <w:p w14:paraId="14A508BE"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 был готов третий опытный образец АИР-6. На нем увели</w:t>
      </w:r>
      <w:r w:rsidRPr="00142305">
        <w:rPr>
          <w:rFonts w:ascii="Times New Roman" w:hAnsi="Times New Roman"/>
          <w:color w:val="0070C0"/>
          <w:sz w:val="16"/>
          <w:szCs w:val="16"/>
        </w:rPr>
        <w:softHyphen/>
        <w:t>чили запас горючего, установив не два, а четыре бака. Правую дверь переделали, придав ей более удобную форму. Элероны разделили на две секции. На колеса по</w:t>
      </w:r>
      <w:r w:rsidRPr="00142305">
        <w:rPr>
          <w:rFonts w:ascii="Times New Roman" w:hAnsi="Times New Roman"/>
          <w:color w:val="0070C0"/>
          <w:sz w:val="16"/>
          <w:szCs w:val="16"/>
        </w:rPr>
        <w:softHyphen/>
        <w:t>ставили каплевидные обтекатели, мотор прикрыли узким кольцевым капотом (коль</w:t>
      </w:r>
      <w:r w:rsidRPr="00142305">
        <w:rPr>
          <w:rFonts w:ascii="Times New Roman" w:hAnsi="Times New Roman"/>
          <w:color w:val="0070C0"/>
          <w:sz w:val="16"/>
          <w:szCs w:val="16"/>
        </w:rPr>
        <w:softHyphen/>
        <w:t>цом Тауненда), а втулку винта - выпуклым коком. Таким образом хотели улучшить аэродинамику машины и способствовать улучшению летных данных. Но скорость самолета оказалась слишком мала, что</w:t>
      </w:r>
      <w:r w:rsidRPr="00142305">
        <w:rPr>
          <w:rFonts w:ascii="Times New Roman" w:hAnsi="Times New Roman"/>
          <w:color w:val="0070C0"/>
          <w:sz w:val="16"/>
          <w:szCs w:val="16"/>
        </w:rPr>
        <w:softHyphen/>
        <w:t>бы подобные меры дали существенный результат. Третий образец оказался еще легче, чем второй - вес пустого равнялся 605 кг. Кольцо Тауненда и кок позже сняли, а обтекатели колес – оставили.</w:t>
      </w:r>
    </w:p>
    <w:p w14:paraId="1A4D2DE7"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Видимо, именно третий образец напра</w:t>
      </w:r>
      <w:r w:rsidRPr="00142305">
        <w:rPr>
          <w:rFonts w:ascii="Times New Roman" w:hAnsi="Times New Roman"/>
          <w:color w:val="0070C0"/>
          <w:sz w:val="16"/>
          <w:szCs w:val="16"/>
        </w:rPr>
        <w:softHyphen/>
        <w:t>вили на государственные испытания в СНИИ ГВФ, завершившиеся в октябре 1933 г Самолет опять подтвердил за</w:t>
      </w:r>
      <w:r w:rsidRPr="00142305">
        <w:rPr>
          <w:rFonts w:ascii="Times New Roman" w:hAnsi="Times New Roman"/>
          <w:color w:val="0070C0"/>
          <w:sz w:val="16"/>
          <w:szCs w:val="16"/>
        </w:rPr>
        <w:softHyphen/>
        <w:t>явленные конструктором данные и про</w:t>
      </w:r>
      <w:r w:rsidRPr="00142305">
        <w:rPr>
          <w:rFonts w:ascii="Times New Roman" w:hAnsi="Times New Roman"/>
          <w:color w:val="0070C0"/>
          <w:sz w:val="16"/>
          <w:szCs w:val="16"/>
        </w:rPr>
        <w:softHyphen/>
        <w:t>демонстрировал хорошую устойчивость и управляемость, а также простоту в эксплуатации. Получили максимальную скорость 169 км/ч. В заключении СНИИ ГВФ говорилось: «Простота конструкции, надежная работа мотора, удобная пасса</w:t>
      </w:r>
      <w:r w:rsidRPr="00142305">
        <w:rPr>
          <w:rFonts w:ascii="Times New Roman" w:hAnsi="Times New Roman"/>
          <w:color w:val="0070C0"/>
          <w:sz w:val="16"/>
          <w:szCs w:val="16"/>
        </w:rPr>
        <w:softHyphen/>
        <w:t>жирская кабина типа «лимузин» и срав</w:t>
      </w:r>
      <w:r w:rsidRPr="00142305">
        <w:rPr>
          <w:rFonts w:ascii="Times New Roman" w:hAnsi="Times New Roman"/>
          <w:color w:val="0070C0"/>
          <w:sz w:val="16"/>
          <w:szCs w:val="16"/>
        </w:rPr>
        <w:softHyphen/>
        <w:t>нительно малая посадочная скорость создали самолету хорошую репутацию. Имея в закрытой кабине два места для пассажиров, самолет является наиболее удобным типом на местных линиях воз</w:t>
      </w:r>
      <w:r w:rsidRPr="00142305">
        <w:rPr>
          <w:rFonts w:ascii="Times New Roman" w:hAnsi="Times New Roman"/>
          <w:color w:val="0070C0"/>
          <w:sz w:val="16"/>
          <w:szCs w:val="16"/>
        </w:rPr>
        <w:softHyphen/>
        <w:t>душного сообщения для перевозки почты и пассажиров» (24945).</w:t>
      </w:r>
    </w:p>
    <w:p w14:paraId="1DE6B855" w14:textId="77777777" w:rsidR="00961132" w:rsidRPr="00142305" w:rsidRDefault="00961132" w:rsidP="00961132">
      <w:pPr>
        <w:spacing w:after="0" w:line="240" w:lineRule="auto"/>
        <w:jc w:val="both"/>
        <w:rPr>
          <w:rFonts w:ascii="Times New Roman" w:hAnsi="Times New Roman"/>
          <w:color w:val="0070C0"/>
          <w:sz w:val="16"/>
          <w:szCs w:val="16"/>
        </w:rPr>
      </w:pPr>
    </w:p>
    <w:p w14:paraId="31034E1B"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делегация советских моторостроителей, отбиравших об</w:t>
      </w:r>
      <w:r w:rsidRPr="0044524F">
        <w:rPr>
          <w:rFonts w:ascii="Times New Roman" w:hAnsi="Times New Roman"/>
          <w:color w:val="000000" w:themeColor="text1"/>
          <w:sz w:val="16"/>
          <w:szCs w:val="16"/>
        </w:rPr>
        <w:softHyphen/>
        <w:t>разцы двигателей для производства в СССР, отправилась во Францию. Руко</w:t>
      </w:r>
      <w:r w:rsidRPr="0044524F">
        <w:rPr>
          <w:rFonts w:ascii="Times New Roman" w:hAnsi="Times New Roman"/>
          <w:color w:val="000000" w:themeColor="text1"/>
          <w:sz w:val="16"/>
          <w:szCs w:val="16"/>
        </w:rPr>
        <w:softHyphen/>
        <w:t>водителем делегации являлся В.Я. Климов, ВВС представлял М.А. Левин. Двигатели фирмы «Гном-Рон» вызвали большой интерес у советских спе</w:t>
      </w:r>
      <w:r w:rsidRPr="0044524F">
        <w:rPr>
          <w:rFonts w:ascii="Times New Roman" w:hAnsi="Times New Roman"/>
          <w:color w:val="000000" w:themeColor="text1"/>
          <w:sz w:val="16"/>
          <w:szCs w:val="16"/>
        </w:rPr>
        <w:softHyphen/>
        <w:t>циалистов, причем не только двухрядный мотор типа 14К, о котором шла речь первоначально, но и менее мощный унифицированный с ним 9К. Их в первую очередь собирались ставить на бомбардировщики. 7 июня 1934 г. вышло специальное постановление Комитета обороны, предписывавшее Кли</w:t>
      </w:r>
      <w:r w:rsidRPr="0044524F">
        <w:rPr>
          <w:rFonts w:ascii="Times New Roman" w:hAnsi="Times New Roman"/>
          <w:color w:val="000000" w:themeColor="text1"/>
          <w:sz w:val="16"/>
          <w:szCs w:val="16"/>
        </w:rPr>
        <w:softHyphen/>
        <w:t>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 В итоге с фирмой «Гном-Рон» заключили соглашение о технической помощи в освоении двух двигателей семейства К: 9-цилиндровый 9К «Мистраль» и 14-цилиндровый 14К «Мистраль мажор». Первый получил советское обозначение М-75, второй — М-85 (ненадолго его переимено</w:t>
      </w:r>
      <w:r w:rsidRPr="0044524F">
        <w:rPr>
          <w:rFonts w:ascii="Times New Roman" w:hAnsi="Times New Roman"/>
          <w:color w:val="000000" w:themeColor="text1"/>
          <w:sz w:val="16"/>
          <w:szCs w:val="16"/>
        </w:rPr>
        <w:softHyphen/>
        <w:t>вали в М-70, а затем обратно в М-85). Договор предусматривал поставки комплектующих для первых серий двигателей, а также стажировку 15 со</w:t>
      </w:r>
      <w:r w:rsidRPr="0044524F">
        <w:rPr>
          <w:rFonts w:ascii="Times New Roman" w:hAnsi="Times New Roman"/>
          <w:color w:val="000000" w:themeColor="text1"/>
          <w:sz w:val="16"/>
          <w:szCs w:val="16"/>
        </w:rPr>
        <w:softHyphen/>
        <w:t>ветских инженеров на заводе «Гном-Рон» (11852).</w:t>
      </w:r>
    </w:p>
    <w:p w14:paraId="66D829AA"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C230AD0"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 во Францию отправилась делегация для закупки лицензий на авиадвигатели, в состав которой вошел и Ильюшин. В этой стране присмотрели два мощных двигателя – рядный «Испано-Сюиза»12У и звездообразный «Гном-Рон»14К. Последний очень понравился Ильюшину. Это была 14-цилиндровая двухрядная звезда воздушного охлаждения, отличавшаяся компактностью, малым весом и экономичностью на крейсерском режиме. Такие моторы могли существенно улучшить показатели проектируемого бомбардировщика, особенно в отношении радиуса действия.</w:t>
      </w:r>
    </w:p>
    <w:p w14:paraId="37629352"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Вернувшись домой, Ильюшин внес предложение о постройке бомбардировщика с двигателями «Гном-Рон»14К (у нас его чаще называли К-14). Уже в октябре ГУАП одобрило эту идею. Самолет должен был стать альтернативой туполевскому СБ. В документах ВВС машина именовалась ББ-2 или иногда СБ-39 («скоростной бомбардировщик завода №39»). Интересно, что по заданию самолет имел двойное назначение – ближний бомбардировщик и пассажирский. Последний определялся как «магистральный для ночных линий» и должен был отличаться моторами. Вместо «Гном-Ронов» на нем хотели ставить «Райт-Циклон» (у нас именовавшийся М-25). Срок выхода бомбардировщика на государственные испытания установили в мае 1935 г. (впоследствии его сдвинули на 1 ноября).</w:t>
      </w:r>
    </w:p>
    <w:p w14:paraId="5BBA8EBF"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Группа Ильюшина начала перерабатывать документацию под французские моторы. В результате возник проект ЦКБ-26, уже имевший многие основные черты будущего ДБ-3. Главный упор делался на скорость полета. Крыло получило сравнительно небольшое удлинение (около 7), но со значительной нагрузкой – до 140 кг/мг . Для него выбрали тонкий (по тому времени) двояковыпуклый профиль Кларк Y-15. Такой подход обеспечивал бомбардировщику небольшое аэродинамическое сопротивление и тем самым способствовал получению высоких скоростных характеристик. В тоже время такое крыло ухудшало взлетно-посадочные качества. Это решили парировать щитками типа Цап.</w:t>
      </w:r>
    </w:p>
    <w:p w14:paraId="1F032D0D"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Многие другие конструктивные решения также были продиктованы стремлением до предела уменьшить аэродинамическое сопротивление: гладкая обшивка, узкий фюзеляж, развитые зализы на стыке фюзеляжа и крыла, убирающееся шасси. В итоге получился компактный, изящный и прочный самолет. Конструкция его была смешанной. ЦКБ-26 имел деревянные фюзеляж и киль при металлическом крыле и горизонтальном оперении (25043).</w:t>
      </w:r>
    </w:p>
    <w:p w14:paraId="57E40245" w14:textId="77777777" w:rsidR="00961132" w:rsidRPr="00142305" w:rsidRDefault="00961132" w:rsidP="00961132">
      <w:pPr>
        <w:spacing w:after="0" w:line="240" w:lineRule="auto"/>
        <w:jc w:val="both"/>
        <w:rPr>
          <w:rFonts w:ascii="Times New Roman" w:hAnsi="Times New Roman"/>
          <w:color w:val="0070C0"/>
          <w:sz w:val="16"/>
          <w:szCs w:val="16"/>
        </w:rPr>
      </w:pPr>
    </w:p>
    <w:p w14:paraId="12A086E7"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 проходил заводские испытания самый большой мотор из четверки моторов на базе М-11 = девятицилиндровый М-49 (максимальная мощность 310 л.с.), Конструкция его сохраняла все черты меньших «собратьев». Были изготовлены два экземпляра М-49. Использование этого двигателя предусматривалось в оригинальном проекте конструктора Михельсона.</w:t>
      </w:r>
    </w:p>
    <w:p w14:paraId="3363FFFF"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Предполагалось, что три из четырех двигателей семейства (за исключением М-50) будут запущены в серийное производство. Первым планировали освоить М-51 — в 1933 г. он должен был сменить М-11В в цехах завода № 29. Но в установленные сроки запорожский завод не уложился с доводкой моторов до требуемых показателей надежности (с межремонтным ресурсом порядка 200 ч), а в 1934 г. там развернули выпуск моторов М-22. Под этим обозначением у нас по французской лицензии стали делать английский мотор «Юпитер». Ему придавалось гораздо большее значение, чем двигателям на базе М-11, ведь «Юпитер» предназначался для истребителей И-4 и И-5.</w:t>
      </w:r>
    </w:p>
    <w:p w14:paraId="1E609655"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Работы по М-51, М-48 и М-49 в Запорожье прекратили. Там всем стало не до них. В 1933 г. группу специалистов, занимавшуюся моторами малой мощности, перевели из Запорожья в Москву в состав Отдела бензиновых двигателей НИИ авиадвигателей ГВФ (НИИ АД ГВФ). Отдел разместили в здании Дирижаблестроительного учебного комбината в подмосковном поселке Тушино. Началь</w:t>
      </w:r>
      <w:r w:rsidRPr="00142305">
        <w:rPr>
          <w:rFonts w:ascii="Times New Roman" w:hAnsi="Times New Roman"/>
          <w:color w:val="0070C0"/>
          <w:sz w:val="16"/>
          <w:szCs w:val="16"/>
        </w:rPr>
        <w:softHyphen/>
        <w:t>ником отдела стал М. А. Коссов. Базовым предприятием определили расположенный рядом завод №82, тоже принадлежавший гражданской авиации; в его составе организовали опытный цех. НИИ АД ГВФ передали всю документацию на М-48, М-49 и М-51. Коссов прихватил с собой и проект М-50; до 1934 г. он несколько раз пытался его усовершенствовать, но так и не получил удовлетвори</w:t>
      </w:r>
      <w:r w:rsidRPr="00142305">
        <w:rPr>
          <w:rFonts w:ascii="Times New Roman" w:hAnsi="Times New Roman"/>
          <w:color w:val="0070C0"/>
          <w:sz w:val="16"/>
          <w:szCs w:val="16"/>
        </w:rPr>
        <w:softHyphen/>
        <w:t>тель</w:t>
      </w:r>
      <w:r w:rsidRPr="00142305">
        <w:rPr>
          <w:rFonts w:ascii="Times New Roman" w:hAnsi="Times New Roman"/>
          <w:color w:val="0070C0"/>
          <w:sz w:val="16"/>
          <w:szCs w:val="16"/>
        </w:rPr>
        <w:softHyphen/>
        <w:t>ного результата.</w:t>
      </w:r>
    </w:p>
    <w:p w14:paraId="7A73F34C"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Другим членам семейства повезло больше. На их основе в Тушино спроектировали серию двига</w:t>
      </w:r>
      <w:r w:rsidRPr="00142305">
        <w:rPr>
          <w:rFonts w:ascii="Times New Roman" w:hAnsi="Times New Roman"/>
          <w:color w:val="0070C0"/>
          <w:sz w:val="16"/>
          <w:szCs w:val="16"/>
        </w:rPr>
        <w:softHyphen/>
        <w:t>телей, сохранявших многие детали и узлы М-11, но отличавшихся от оригинала все больше и больше. М-51 превратился в МГ-11, М-48 – в МГ-21, М-49 – в МГ-31. Буквы «МГ» расшифровы</w:t>
      </w:r>
      <w:r w:rsidRPr="00142305">
        <w:rPr>
          <w:rFonts w:ascii="Times New Roman" w:hAnsi="Times New Roman"/>
          <w:color w:val="0070C0"/>
          <w:sz w:val="16"/>
          <w:szCs w:val="16"/>
        </w:rPr>
        <w:softHyphen/>
        <w:t>ва</w:t>
      </w:r>
      <w:r w:rsidRPr="00142305">
        <w:rPr>
          <w:rFonts w:ascii="Times New Roman" w:hAnsi="Times New Roman"/>
          <w:color w:val="0070C0"/>
          <w:sz w:val="16"/>
          <w:szCs w:val="16"/>
        </w:rPr>
        <w:softHyphen/>
        <w:t>лись как «мотор гражданский». Все двигатели, спроектированные в НИИ АД ГВФ, получали обо</w:t>
      </w:r>
      <w:r w:rsidRPr="00142305">
        <w:rPr>
          <w:rFonts w:ascii="Times New Roman" w:hAnsi="Times New Roman"/>
          <w:color w:val="0070C0"/>
          <w:sz w:val="16"/>
          <w:szCs w:val="16"/>
        </w:rPr>
        <w:softHyphen/>
        <w:t>зна</w:t>
      </w:r>
      <w:r w:rsidRPr="00142305">
        <w:rPr>
          <w:rFonts w:ascii="Times New Roman" w:hAnsi="Times New Roman"/>
          <w:color w:val="0070C0"/>
          <w:sz w:val="16"/>
          <w:szCs w:val="16"/>
        </w:rPr>
        <w:softHyphen/>
        <w:t>чение с этим сочетанием. Три мотора имели до 90 % взаимозаменяемых деталей. Мощность их по срав</w:t>
      </w:r>
      <w:r w:rsidRPr="00142305">
        <w:rPr>
          <w:rFonts w:ascii="Times New Roman" w:hAnsi="Times New Roman"/>
          <w:color w:val="0070C0"/>
          <w:sz w:val="16"/>
          <w:szCs w:val="16"/>
        </w:rPr>
        <w:softHyphen/>
        <w:t>нению с запорожскими вариантами существенно возросла.</w:t>
      </w:r>
    </w:p>
    <w:p w14:paraId="4D49A232"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 МГ-11 уже «от рождения» рассчитывался на максимальную мощность 180 л.с. (номинальная — 150 л.с.). Однако при этом мотор потяжелел, и его удельная мощность лишь немного превышала единицу.</w:t>
      </w:r>
    </w:p>
    <w:p w14:paraId="1CE02E1C"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Первые опытные образцы МГ-11 изготовили в 1934–1935 гг. После успешных запусков на стенде в 1935 г. один из них установили на биплане У-2. Коссов создал несколько модификаций МГ-11. Так, на некоторых экземплярах вместо отечественного карбюратора К-11 (от М-11В) устанавливался французский «Зенит» DCL 42, а в 1937 г. — специальные карбюраторы для перевернутого полета. Последовательно появились МГ-11А с увеличенным ресурсом и МГ-11Н с непосредственным впрыском топлива (оба — в 1936 г.), МГ-11Ф, у которого номинальную мощность довели до 165 л.с. (1937 г.), и его модификация МГ-11ФН с впрыском топлива.</w:t>
      </w:r>
    </w:p>
    <w:p w14:paraId="5F55A8C2"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Завод изготовил 13 экземпляров МГ-11. Фактически все они были опытными образцами, хотя летали на самолетах У-2, У-5бис и др.</w:t>
      </w:r>
    </w:p>
    <w:p w14:paraId="74380A57"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Конструкция МГ-11 вызвала интерес и в других конструкторских бюро. Например, в харьковском УНИАДИ проектировался вариант этого мотора с нагнетателем типа «Рутс» (25387).</w:t>
      </w:r>
    </w:p>
    <w:p w14:paraId="24F1B314" w14:textId="77777777" w:rsidR="00961132" w:rsidRPr="00142305" w:rsidRDefault="00961132" w:rsidP="00961132">
      <w:pPr>
        <w:spacing w:after="0" w:line="240" w:lineRule="auto"/>
        <w:jc w:val="both"/>
        <w:rPr>
          <w:rFonts w:ascii="Times New Roman" w:hAnsi="Times New Roman"/>
          <w:color w:val="0070C0"/>
          <w:sz w:val="16"/>
          <w:szCs w:val="16"/>
        </w:rPr>
      </w:pPr>
    </w:p>
    <w:p w14:paraId="0DC3400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в Москву на ЦА из Ленинграда перегнали ТБ-1 с автопилотом АВП-2 конструкции Осконбюро для гос. испытаний в НИИ ВВС (390,132).</w:t>
      </w:r>
    </w:p>
    <w:p w14:paraId="167BAA74"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04E5C2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года зам. начальника Аэрофлота Анвельт писал письмо № 19с в СТО Базилевичу</w:t>
      </w:r>
    </w:p>
    <w:p w14:paraId="4931966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ГУГВФ Правительством было возложено задание по постройке в 1932 году для военведа опытных самолетов, из числа которых строится только один (хим-Х1 с двумя М-34), так как с одной стороны средства на все самолеты не были отпущены, а с другой – не было достаточной базы для постройки таких самолетов как МБР-5.</w:t>
      </w:r>
    </w:p>
    <w:p w14:paraId="0E632E7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по заявлению НИИ ВВС самолет МБР 5 принимается постройкой ЦКБ-39 завода, а для постройки У3-М48 и П3-М52 нет еще моторов (не прошли госиспытаний).</w:t>
      </w:r>
    </w:p>
    <w:p w14:paraId="0DFAE85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оформить передачу заданий по постройке МБР-5 на ГУГВФ заводу № 39, а постройку У3 и П3 отнести на 1934 год (при наличии моторов) со сроком готовности к 1 мая с обеспечением средств в сумме 60000 рублей (из них 20000 рублей в течении 4 квартала 1933 года) и 40000 рублей – в первом квартале 1934 года. По имеющимся сведениям самолет У3-М48 проектируется в ГУАПе (3530,136).</w:t>
      </w:r>
    </w:p>
    <w:p w14:paraId="6DB052A1"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05EE27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дополнительно испытали с деревянным воздушным винтом фирмы Шварц диаметром 2,75 метра с целлулоидным покрытием И-5 для строительства на заводе №21 по типу самолета № 4302, выпущенного на за</w:t>
      </w:r>
      <w:r w:rsidRPr="0044524F">
        <w:rPr>
          <w:rFonts w:ascii="Times New Roman" w:hAnsi="Times New Roman"/>
          <w:color w:val="000000" w:themeColor="text1"/>
          <w:sz w:val="16"/>
          <w:szCs w:val="16"/>
        </w:rPr>
        <w:softHyphen/>
        <w:t>воде №1. Летал Томас Сузи. Самолет недодал скорости - раз</w:t>
      </w:r>
      <w:r w:rsidRPr="0044524F">
        <w:rPr>
          <w:rFonts w:ascii="Times New Roman" w:hAnsi="Times New Roman"/>
          <w:color w:val="000000" w:themeColor="text1"/>
          <w:sz w:val="16"/>
          <w:szCs w:val="16"/>
        </w:rPr>
        <w:softHyphen/>
        <w:t>вивал всего 265 км/ч у земли. Однако воз</w:t>
      </w:r>
      <w:r w:rsidRPr="0044524F">
        <w:rPr>
          <w:rFonts w:ascii="Times New Roman" w:hAnsi="Times New Roman"/>
          <w:color w:val="000000" w:themeColor="text1"/>
          <w:sz w:val="16"/>
          <w:szCs w:val="16"/>
        </w:rPr>
        <w:softHyphen/>
        <w:t>душный винт понравился, поэтому в 1934 г. предлагалось организовать производство таких винтов. Между тем, в Горьком (в городе Горьком, ибо так с 1932 г. стал именоваться Нижний Новгород) уже выпускали самолеты с металлическими воздушными винтами. Образцом-эталоном был выбран серийный И-5 № 21510 (11974).</w:t>
      </w:r>
    </w:p>
    <w:p w14:paraId="73222845"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06FDEC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сентябре 1933 г. Предварительные проекты истребителя И-17 в трех вариантах (один с двигателем Испано-Сюиза 12У и пулеметным вооружением, другой с 12У и пушкой, стреляющей через полый вал редуктора, тре</w:t>
      </w:r>
      <w:r w:rsidRPr="0044524F">
        <w:rPr>
          <w:rFonts w:ascii="Times New Roman" w:hAnsi="Times New Roman"/>
          <w:color w:val="000000" w:themeColor="text1"/>
          <w:sz w:val="16"/>
          <w:szCs w:val="16"/>
        </w:rPr>
        <w:softHyphen/>
        <w:t>тий с мотором М-34ФН). Согласно принятой на заводе №39 традиции, он обозначался еще и как ЦКБ-15 (10667).</w:t>
      </w:r>
    </w:p>
    <w:p w14:paraId="5EC10CA4"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F0EE5D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на заводе 39 был построен 1-й экз. И-15 РЦ (2287,131).</w:t>
      </w:r>
    </w:p>
    <w:p w14:paraId="699359FE"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4F041A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ИО нач. завода № 22 В.Чернышев писал Зам. Нач. ГУАП Мальхову: “По отдельным указаниям Нач. ГУАП и протокола от 29 июня 1933 мы приступили к изготовлению чертежей АНТ-14 под четыре мотора М-34 с новой хвостовой частью фюзеляжа. При этом согласно специальным решениям совещания от 10 июля 1933 в переделываемых ЦАГИ чертежах д.б. б. Предусмотрены крепления агрегатов вооружения военного варианта этой машины.</w:t>
      </w:r>
    </w:p>
    <w:p w14:paraId="2013C8D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означенная машина в военном варианте ЦАГИ не строится, во избежание могущих возникнуть недоразумений, неясностей и зедержек в разработке, считаем необходимым просить вашего указания ЦАГИ построить опытный АНТ-14 военного варианта, т. как на основании приказа НКВМ и НКТП от 31 июля 1933...завод должен производить внедрение конструкции в серийное производство.</w:t>
      </w:r>
    </w:p>
    <w:p w14:paraId="320B93E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Вследствие перегруженности конструкторского отдела, связанной с форсированием работ по Р-6 и МК... завод не имеет возможности начать работы по подготовке к пуску в производство АНТ-14 ранее второго квартала. Кроме того, при отсутствии утвержденного образца до выпуска и сипытаний его мы считаем начинать работу нецелесообразно...” (8863,8).</w:t>
      </w:r>
    </w:p>
    <w:p w14:paraId="0136C611"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D591AE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в УВВС из ВВА поступил проект переделки АНТ-9 в штурманский самолет, выполненный Сумароковым. Выполнили в 1934 и использовали несколько лет (10542,29).</w:t>
      </w:r>
    </w:p>
    <w:p w14:paraId="4E6A91AC"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686010BE" w14:textId="77777777" w:rsidR="002C580E" w:rsidRPr="00142305" w:rsidRDefault="002C580E" w:rsidP="002C580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 в УВВС поступил проект переделки АНТ-9 в летающий класс штурманской подготовки, заклю</w:t>
      </w:r>
      <w:r w:rsidRPr="00142305">
        <w:rPr>
          <w:rFonts w:ascii="Times New Roman" w:hAnsi="Times New Roman"/>
          <w:color w:val="0070C0"/>
          <w:sz w:val="16"/>
          <w:szCs w:val="16"/>
        </w:rPr>
        <w:softHyphen/>
        <w:t>чавшийся в установке дополнительного оборудования в салоне - столиков для карт, навигационных визиров, бомбовых прицелов и прочего. Выполнила проект инженер Сумарокова. В 1934 г. необходи</w:t>
      </w:r>
      <w:r w:rsidRPr="00142305">
        <w:rPr>
          <w:rFonts w:ascii="Times New Roman" w:hAnsi="Times New Roman"/>
          <w:color w:val="0070C0"/>
          <w:sz w:val="16"/>
          <w:szCs w:val="16"/>
        </w:rPr>
        <w:softHyphen/>
        <w:t>мую доработку самолета осуществили в мастерских Военно-воздушной академии. Эта машина несколько лет эксплуатиро</w:t>
      </w:r>
      <w:r w:rsidRPr="00142305">
        <w:rPr>
          <w:rFonts w:ascii="Times New Roman" w:hAnsi="Times New Roman"/>
          <w:color w:val="0070C0"/>
          <w:sz w:val="16"/>
          <w:szCs w:val="16"/>
        </w:rPr>
        <w:softHyphen/>
        <w:t>валась для обучения слушателей (24949).</w:t>
      </w:r>
    </w:p>
    <w:p w14:paraId="486F3718" w14:textId="77777777" w:rsidR="002C580E" w:rsidRPr="00142305" w:rsidRDefault="002C580E" w:rsidP="002C580E">
      <w:pPr>
        <w:spacing w:after="0" w:line="240" w:lineRule="auto"/>
        <w:jc w:val="both"/>
        <w:rPr>
          <w:rFonts w:ascii="Times New Roman" w:hAnsi="Times New Roman"/>
          <w:color w:val="0070C0"/>
          <w:sz w:val="16"/>
          <w:szCs w:val="16"/>
        </w:rPr>
      </w:pPr>
    </w:p>
    <w:p w14:paraId="696352D4" w14:textId="77777777" w:rsidR="00681A8C" w:rsidRPr="0044524F" w:rsidRDefault="00681A8C" w:rsidP="009654CF">
      <w:pPr>
        <w:pStyle w:val="a3"/>
        <w:rPr>
          <w:color w:val="000000" w:themeColor="text1"/>
          <w:lang w:val="ru-RU"/>
        </w:rPr>
      </w:pPr>
      <w:r w:rsidRPr="0044524F">
        <w:rPr>
          <w:color w:val="000000" w:themeColor="text1"/>
          <w:lang w:val="ru-RU"/>
        </w:rPr>
        <w:t>В сентябре 1933 состоялся первый полет «Звено-</w:t>
      </w:r>
      <w:r w:rsidRPr="0044524F">
        <w:rPr>
          <w:color w:val="000000" w:themeColor="text1"/>
        </w:rPr>
        <w:t>la</w:t>
      </w:r>
      <w:r w:rsidRPr="0044524F">
        <w:rPr>
          <w:color w:val="000000" w:themeColor="text1"/>
          <w:lang w:val="ru-RU"/>
        </w:rPr>
        <w:t>» (ТБ-1 + 2 И-5). Имев</w:t>
      </w:r>
      <w:r w:rsidRPr="0044524F">
        <w:rPr>
          <w:color w:val="000000" w:themeColor="text1"/>
          <w:lang w:val="ru-RU"/>
        </w:rPr>
        <w:softHyphen/>
        <w:t>шийся в НИИ ВВС носитель переделали под пару И-5. Командиром ТБ-1 являлся Стефановский, истребители пилотирова</w:t>
      </w:r>
      <w:r w:rsidRPr="0044524F">
        <w:rPr>
          <w:color w:val="000000" w:themeColor="text1"/>
          <w:lang w:val="ru-RU"/>
        </w:rPr>
        <w:softHyphen/>
      </w:r>
      <w:r w:rsidRPr="0044524F">
        <w:rPr>
          <w:rStyle w:val="96"/>
          <w:rFonts w:ascii="Times New Roman" w:hAnsi="Times New Roman" w:cs="Times New Roman"/>
          <w:b w:val="0"/>
          <w:color w:val="000000" w:themeColor="text1"/>
          <w:spacing w:val="0"/>
          <w:sz w:val="16"/>
          <w:szCs w:val="16"/>
          <w:lang w:val="ru-RU"/>
        </w:rPr>
        <w:t>ли</w:t>
      </w:r>
      <w:r w:rsidRPr="0044524F">
        <w:rPr>
          <w:color w:val="000000" w:themeColor="text1"/>
          <w:lang w:val="ru-RU"/>
        </w:rPr>
        <w:t xml:space="preserve"> Коккинаки и Лагутин.</w:t>
      </w:r>
    </w:p>
    <w:p w14:paraId="226D815C" w14:textId="77777777" w:rsidR="00681A8C" w:rsidRPr="0044524F" w:rsidRDefault="00681A8C"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hAnsi="Times New Roman"/>
          <w:color w:val="000000" w:themeColor="text1"/>
          <w:sz w:val="16"/>
          <w:szCs w:val="16"/>
        </w:rPr>
        <w:t>Управление ВВС распорядилось обо</w:t>
      </w:r>
      <w:r w:rsidRPr="0044524F">
        <w:rPr>
          <w:rFonts w:ascii="Times New Roman" w:hAnsi="Times New Roman"/>
          <w:color w:val="000000" w:themeColor="text1"/>
          <w:sz w:val="16"/>
          <w:szCs w:val="16"/>
        </w:rPr>
        <w:softHyphen/>
        <w:t>рудовать подобным образом шесть ком</w:t>
      </w:r>
      <w:r w:rsidRPr="0044524F">
        <w:rPr>
          <w:rFonts w:ascii="Times New Roman" w:hAnsi="Times New Roman"/>
          <w:color w:val="000000" w:themeColor="text1"/>
          <w:sz w:val="16"/>
          <w:szCs w:val="16"/>
        </w:rPr>
        <w:softHyphen/>
        <w:t xml:space="preserve">плектов «Звена-1а» и направить их в </w:t>
      </w:r>
      <w:r w:rsidRPr="0044524F">
        <w:rPr>
          <w:rStyle w:val="96"/>
          <w:rFonts w:ascii="Times New Roman" w:hAnsi="Times New Roman" w:cs="Times New Roman"/>
          <w:b w:val="0"/>
          <w:color w:val="000000" w:themeColor="text1"/>
          <w:spacing w:val="0"/>
          <w:sz w:val="16"/>
          <w:szCs w:val="16"/>
        </w:rPr>
        <w:t>1-ю</w:t>
      </w:r>
      <w:r w:rsidRPr="0044524F">
        <w:rPr>
          <w:rFonts w:ascii="Times New Roman" w:hAnsi="Times New Roman"/>
          <w:color w:val="000000" w:themeColor="text1"/>
          <w:sz w:val="16"/>
          <w:szCs w:val="16"/>
        </w:rPr>
        <w:t xml:space="preserve"> авиабригаду. Срок начала войсковых испытаний определили как 1 мая 1934 г. (17741)</w:t>
      </w:r>
    </w:p>
    <w:p w14:paraId="5E0860F0" w14:textId="77777777" w:rsidR="00681A8C" w:rsidRPr="0044524F" w:rsidRDefault="00681A8C" w:rsidP="009654CF">
      <w:pPr>
        <w:spacing w:after="0" w:line="240" w:lineRule="auto"/>
        <w:jc w:val="both"/>
        <w:rPr>
          <w:rFonts w:ascii="Times New Roman" w:hAnsi="Times New Roman"/>
          <w:color w:val="000000" w:themeColor="text1"/>
          <w:sz w:val="16"/>
          <w:szCs w:val="16"/>
        </w:rPr>
      </w:pPr>
    </w:p>
    <w:p w14:paraId="027BD213"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К.А.К. по результатом продувок ХАИ представил в НИИ ВВС второй эскизный проект ВС-2</w:t>
      </w:r>
    </w:p>
    <w:p w14:paraId="6336D22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сентября 1933 лл S.55 ГВФ начала эксплуатироваться на линиях Хабаровск-Петропавловск и Владивосток-Петропавловск (2446,41).</w:t>
      </w:r>
    </w:p>
    <w:p w14:paraId="492A2028"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0206928"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руководство завода № 22 в Филях обратилось в ГУАП за разрешением на постройку опытного образца военно-транспортной машины на базе АНТ-14, но, видимо, получило отказ. В Осконбюро ВВС разрабатывали десантный вариант АНТ-14 на 50 парашютистов, которые должны были покидать машину по наклонным трубам, какие можно увидеть сейчас на детских площадках. Прорабатывали также вариант "бензиноносца" - танкера для дозаправки в воздухе тяжелого бомбардировщика ТБ-4. Он мог, по расчетам, нести дополнительно около 2500 кг топлива.</w:t>
      </w:r>
    </w:p>
    <w:p w14:paraId="266F207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Изучалась также возможность доработки при необходимости обычного пассажирского АНТ-14 для военных целей - как транспортного или "вспомогательного бомбардировщика", аналогично подобному проекту для АНТ-9. Все эти работы были прекращены после принятия решения об отказе от запуска АНТ-14 в серию (12036).</w:t>
      </w:r>
    </w:p>
    <w:p w14:paraId="103C3ABD"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1A6142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на заводе 39 был готов третий АИР-6, уже модифицированный Е.Г.Адлером и со сниженной массой (3550,10).</w:t>
      </w:r>
    </w:p>
    <w:p w14:paraId="0B606F3F"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D986B3A"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был выпущен АИР-6 на поплавках, которые разработал В.Б.Ш. и прошел испытания (1076,826).</w:t>
      </w:r>
    </w:p>
    <w:p w14:paraId="2B565169"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97DEB9C"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испытали АИР-6 на поплавках, сконструированных В.Б.Ш. (92,449).</w:t>
      </w:r>
    </w:p>
    <w:p w14:paraId="5EC47791"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22BE2D9"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В.П.Чкалов выполнил первый полет и испытывал НВ-1 и выполнил 9 (10 - 4,99) полетов. Оказался очень строгим в пилотировании - слишком маленьким, построенным под влиянием Джи-Бее. Строили на 39 заводе на средства Осоавиахима (1076,804).</w:t>
      </w:r>
    </w:p>
    <w:p w14:paraId="58AA6B42"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1CE1A74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В.П.Чкалов начал испытания УТИ-6 В.В.Никитина (682,118).</w:t>
      </w:r>
    </w:p>
    <w:p w14:paraId="17DC3D7F"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72FE2A9" w14:textId="77777777" w:rsidR="0007455B" w:rsidRPr="0044524F" w:rsidRDefault="0007455B"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сентябре 1933 г. самый большой мотор из четверки моторов, созданных на основе М-11 на заводе № 29, девятицилиндровый М-49 (максимальная мощность 310 л.с.), проходил заводские испытания Конструкция его сохраняла все черты меньших "собратьев". Были изготовлены два экземпляра М-49. Использование этого двигателя предусматривалось в оригинальном проекте конструктора Михельсона. Предполагалось, что три из четырех двигателей семейства (за исключением М-50) будут запущены в серийное производство. Первым планировали освоить М-51 - в 1933 г. он должен был сменить М-11В в цехах завода № 29. Но в установленные сроки запорожский завод не уложился с доводкой моторов до требуемых показателей надежности (с межремонтным ресурсом порядка 200 ч), а в 1934 г. там развернули выпуск моторов М-22. Под этим обозначением у нас по французской лицензии стали делать английский мотор "Юпитер". Ему придавалось гораздо большее значение, чем двигателям на базе М-11, ведь "Юпитер" предназначался для истребителей И-4 и И-5. Работы по М-51, М-48 и М-49 в Запорожье прекратили. Там всем стало не до них (11478).</w:t>
      </w:r>
    </w:p>
    <w:p w14:paraId="03177013" w14:textId="77777777" w:rsidR="0007455B" w:rsidRPr="0044524F" w:rsidRDefault="0007455B" w:rsidP="009654CF">
      <w:pPr>
        <w:pStyle w:val="af2"/>
        <w:jc w:val="both"/>
        <w:rPr>
          <w:i w:val="0"/>
          <w:iCs w:val="0"/>
          <w:color w:val="000000" w:themeColor="text1"/>
          <w:spacing w:val="0"/>
          <w:kern w:val="0"/>
          <w:position w:val="0"/>
          <w:sz w:val="16"/>
          <w:szCs w:val="16"/>
          <w:lang w:val="ru-RU"/>
        </w:rPr>
      </w:pPr>
    </w:p>
    <w:p w14:paraId="353333FD"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года после продувки моделей в аэродинамической трубе ХАИ и с их учетом появился второй эскизный проект ВС-2. Новый вариант отличался от классического «летающего крыла», в документах КБ его называли «короткохвостым». Машина выглядела довольно необычно. Так, вдоль всей задней кромки крыла размещался мощный закрылок, что позволяло значительно уменьшить посадочную скорость. Именно поэтому руль высоты и стабилизатор крепились к задней части фюзеляжа. Элероны, получившие название «садовая скамейка», — на стойках в конце крыла. Органы управления такого типа в сочетании с закрылками впоследствии с успехом использовал на скоростных машинах американский конструктор Д. Нортроп. Для крыла «короткохвосток» выбрали малоизвестный профиль НАСА R-106R, а само крыло было оснащено автоматическими и управляемыми предкрылками на передней его кромке. Проектом предусматривалась гражданская модификация самолета на 11 пассажиров с багажом. Новый проект повлек за собой новые продувки, и их результаты заставили К. А. Калинина все же отказаться от «короткохвостой» схемы и вернуться к самолету-бесхвостке. Соответственно не понадобились предкрылок, стабилизатор и выносные элероны. Для обеспечения продольной устойчивости была изменена и профилировка крыла: вместо НАСА R-106R с аэродинамической круткой крыла применили отечественный профиль ЦАГИ Р-11, удачно модифицированный конструкторами группы управления во главе с А. В. Коваленко. А вдоль всей задней кромки крыла на кронштейнах подвесили вспомогательную плоскость, выполняющую роль горизонтального оперения. Интересно, что она имела тот же профиль — ЦАГИ Р-11, перевернутый на 180° по отношению к крылу. Столь же неожиданное решение позволило добиться надежной продольной устойчивости на всех режимах полета. А крыло с модифицированным профилем, кроме того, обладало хорошими несущими свойствами при посадке в отличие от крыльев с отрицательной круткой профиля. Функции вертикального оперения выполняли расположенные на концах крыла шайбы эллиптической формы. Рули направления отклонялись раздельно и только в наружную сторону. Чтобы проверить свои теоретические расчеты, К. А. Калинин задумал построить еще одну аэродинамическую модель, но только не продувочную, а... летающую. В сущности, получился настоящий планер. Сделали его цельно-деревянным, в масштабе 1:2 — по отношению к самолету. Летчик-испытатель П. О. Борисов совершил на нем свыше ста успешных полетов, исследуя в реальных условиях различные режимы. В одном из первых полетов произошел случай, подтвердивший правильность выбранный схемы. На высоте около трех километров из-за недостаточной прочности сломалась качалка руля высоты. Планер резко клюнул носом, войдя в крутое пикирование, привязные ремни не выдержали перегрузки, и летчика выбросило из кабины. Борисов благополучно опустился на землю с парашютом. Но цел остался и планер: он вдруг выровнялся, начал плавно снижаться по спирали и совершил нормальную посадку.</w:t>
      </w:r>
    </w:p>
    <w:p w14:paraId="085E3567"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Высокая продольная и путевая устойчивость планера-аналога позволяла совершать на нем дальние буксирные перелеты. Была также практически доказана возможность выполнения горизонтального полета на «бесхвостке» с «брошенной» ручкой управления. Этот эксперимент, блестяще продемонстрированный Борисовым, практически доказал возможность продольной аэродинамической балансировки машин выбранной схемы. В целом же модель-аналог значительно ускорила и облегчила проектирование самолета (15128).</w:t>
      </w:r>
    </w:p>
    <w:p w14:paraId="21335549" w14:textId="77777777" w:rsidR="00C47183" w:rsidRPr="0044524F" w:rsidRDefault="00C47183" w:rsidP="009654CF">
      <w:pPr>
        <w:spacing w:after="0" w:line="240" w:lineRule="auto"/>
        <w:jc w:val="both"/>
        <w:rPr>
          <w:rFonts w:ascii="Times New Roman" w:hAnsi="Times New Roman"/>
          <w:color w:val="000000" w:themeColor="text1"/>
          <w:sz w:val="16"/>
          <w:szCs w:val="16"/>
        </w:rPr>
      </w:pPr>
    </w:p>
    <w:p w14:paraId="495B9315"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сентябре 1933 года появился второй эскизный проект К-12. Новый вариант отличался от классического “летающего крыла”, в документах КБ его называли “короткохвостым”. Машина выглядела довольно необычно. Так, вдоль всей задней кромки крыла размещался мощный закрылок, что позволяло значительно </w:t>
      </w:r>
      <w:r w:rsidRPr="0044524F">
        <w:rPr>
          <w:rFonts w:ascii="Times New Roman" w:hAnsi="Times New Roman"/>
          <w:color w:val="000000" w:themeColor="text1"/>
          <w:sz w:val="16"/>
          <w:szCs w:val="16"/>
        </w:rPr>
        <w:lastRenderedPageBreak/>
        <w:t>уменьшить посадочную скорость. Именно поэтому руль высоты и стабилизатор крепились к задней части фюзеляжа. Элероны, получившие название “садовая скамейка” — на стойках в конце крыла. Органы управления такого типа в сочетании с закрылками впоследствии с успехом использовал на скоростных машинах американский конструктор Д. Нортроп.</w:t>
      </w:r>
    </w:p>
    <w:p w14:paraId="592663FE"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крыла “короткохвосток” выбрали малоизвестный профиль НАСА R-106R, а само крыло было оснащено автоматическими и управляемыми предкрылками на передней его кромке.</w:t>
      </w:r>
    </w:p>
    <w:p w14:paraId="30D6FF89"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Проектом предусматривалась гражданская модификация самолета на 11 пассажиров с багажом.</w:t>
      </w:r>
    </w:p>
    <w:p w14:paraId="4315F2B3"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проект повлек за собой новые продувки, и их результаты заставили К. А. Калинина все же отказаться от “короткохвостой” схемы и вернуться к самолету-бесхвостке. Соответственно не понадобились предкрылок, стабилизатор и выносные элероны. Для обеспечения продольной устойчивости была изменена и профилировка крыла: вместо НАСА R-106R с аэродинамической круткой крыла применили отечественный профиль ЦАГИ Р-11, удачно модифицированный конструкторами группы управления во главе с А. В. Коваленко. А вдоль всей задней кромки крыла на кронштейнах подвесили вспомогательную плоскость, выполняющую роль горизонтального оперения. Интересно, что она имела тот же профиль — ЦАГИ Р-11, перевернутый на 180° по отношению к крылу. Столь же неожиданное решение позволило добиться надежной продольной устойчивости на всех режимах полета. А крыло с модифицированным профилем, кроме того, обладало хорошими несущими свойствами при посадке в отличие от крыльев с отрицательной круткой профиля.</w:t>
      </w:r>
    </w:p>
    <w:p w14:paraId="3C0CA541"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Функции вертикального оперения выполняли расположенные на концах крыла шайбы эллиптической формы. Рули направления отклонялись раздельно и только в наружную сторону.</w:t>
      </w:r>
    </w:p>
    <w:p w14:paraId="4C2C7B7D"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Чтобы проверить свои теоретические расчеты, К. А. Калинин задумал построить еще одну аэродинамическую модель, но только не продувочную, а... летающую. В сущности, получился настоящий планер. Сделали его цельнодеревянным, в масштабе 1:2 — по отношению к самолету. Летчик-испытатель П. О. Борисов совершил на нем свыше ста успешных полетов, исследуя в реальных условиях различные режимы.</w:t>
      </w:r>
    </w:p>
    <w:p w14:paraId="618A522F"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одном из первых полетов произошел случай, подтвердивший правильность выбранный схемы. На высоте около трех километров из-за недостаточной прочности сломалась качалка руля высоты. Планер резко клюнул носом, войдя в крутое пикирование, привязные ремни не выдержали перегрузки, и летчика выбросило из кабины. Борисов благополучно опустился на землю с парашютом. Но цел остался и планер: он вдруг выровнялся, начал плавно снижаться по спирали и совершил нормальную посадку.</w:t>
      </w:r>
    </w:p>
    <w:p w14:paraId="127FC4DF"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Высокая продольная и путевая устойчивость планера-аналога позволяла совершать на нем дальние буксирные перелеты. Была также практически доказана возможность выполнения горизонтального полета на “бесхвостке” с “брошенной” ручкой управления. Этот эксперимент, блестяще продемонстрированный Борисовым, практически доказал возможность продольной аэродинамической балансировки машин выбранной схемы. В целом же модель-аналог значительно ускорила и облегчила проектирование самолета.</w:t>
      </w:r>
    </w:p>
    <w:p w14:paraId="4AB052C9"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планера совпали по времени с переездом КБ в Воронеж, где К. А. Калинину предоставили новую производственную базу на авиационном заводе. Весь 1935 год уходит на размещение на новом месте, и только в начале следующего года опытный цех завода приступает к строительству реального самолета.</w:t>
      </w:r>
    </w:p>
    <w:p w14:paraId="6964D690"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Новая машина вобрала в себя результаты многочисленных расчетов, а также аэродинамических и натурных экспериментов. Каркас самолета сваривался из хромансилевых труб, обшивка была полотняной, а у кабины летчика и штурмана — дюралевой. Нервюры и лонжероны крыла, а также нервюры оперения выполнялись форменными, из труб. Для их расчета применили оригинальную методику, разработанную инженером В. К. Золотухиным.</w:t>
      </w:r>
    </w:p>
    <w:p w14:paraId="5C884194"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Каждая из консолей крыла представляла собой неразъемный сварной узел, составленный из лонжеронов, нервюр, кромок и других узлов.</w:t>
      </w:r>
    </w:p>
    <w:p w14:paraId="7248C0DA"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Крупными сварными агрегатами стали и три отсека фюзеляжа, соединявшиеся между собой болтами. Рулевые поверхности и концевые шайбы — из дюралевых труб, обтянутых полотном.</w:t>
      </w:r>
    </w:p>
    <w:p w14:paraId="6C1B4F39"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 неубирающееся, двухколесное, баллонное, с тормозами. Хвостовое колесо имело масляно-пневматическую амортизацию.</w:t>
      </w:r>
    </w:p>
    <w:p w14:paraId="6EBB2A6D"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довольно просторном фюзеляже конструкторы расположили кассетный бомбодержатель КД-2, неподвижную фотоустановку АФА-13 и связную радиостанцию ВСК-2. В носу и корме фюзеляжа располагались установки пулеметов ШКАС в прозрачных поворотных башнях. Бомбовая нагрузка равнялась 500 кг.</w:t>
      </w:r>
    </w:p>
    <w:p w14:paraId="1D578705"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двигателя М-22 по 480 л. с. с двухлопастными винтами фиксированного шага диаметром 2,8 м закрывались капотами НАСА с регулируемыми в полете створками.</w:t>
      </w:r>
    </w:p>
    <w:p w14:paraId="41E38230" w14:textId="77777777" w:rsidR="00C47183" w:rsidRPr="0044524F" w:rsidRDefault="00C471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состоял из трех человек: летчика, штурмана и хвостового стрелка. Управление самолетом было двойное — в кабине пилота располагался штурвал, в кабине штурмана — съемная ручка (15552).</w:t>
      </w:r>
    </w:p>
    <w:p w14:paraId="50064E31" w14:textId="77777777" w:rsidR="00C47183" w:rsidRPr="0044524F" w:rsidRDefault="00C47183" w:rsidP="009654CF">
      <w:pPr>
        <w:spacing w:after="0" w:line="240" w:lineRule="auto"/>
        <w:jc w:val="both"/>
        <w:rPr>
          <w:rFonts w:ascii="Times New Roman" w:hAnsi="Times New Roman"/>
          <w:color w:val="000000" w:themeColor="text1"/>
          <w:sz w:val="16"/>
          <w:szCs w:val="16"/>
        </w:rPr>
      </w:pPr>
    </w:p>
    <w:p w14:paraId="1CF29714" w14:textId="77777777" w:rsidR="0007455B" w:rsidRPr="0044524F" w:rsidRDefault="0007455B" w:rsidP="009654CF">
      <w:pPr>
        <w:pStyle w:val="ae"/>
        <w:widowControl/>
        <w:spacing w:before="0" w:after="0"/>
        <w:jc w:val="both"/>
        <w:rPr>
          <w:color w:val="000000" w:themeColor="text1"/>
          <w:sz w:val="16"/>
          <w:szCs w:val="16"/>
        </w:rPr>
      </w:pPr>
      <w:r w:rsidRPr="0044524F">
        <w:rPr>
          <w:color w:val="000000" w:themeColor="text1"/>
          <w:sz w:val="16"/>
          <w:szCs w:val="16"/>
        </w:rPr>
        <w:t>В сентябре 1933 на ХАЗОС Начаты летные испытания бесхвостого планера К-12. Летчик В.О.Борисов (10674).</w:t>
      </w:r>
    </w:p>
    <w:p w14:paraId="219A959C" w14:textId="77777777" w:rsidR="0007455B" w:rsidRPr="0044524F" w:rsidRDefault="0007455B" w:rsidP="009654CF">
      <w:pPr>
        <w:pStyle w:val="ae"/>
        <w:widowControl/>
        <w:spacing w:before="0" w:after="0"/>
        <w:jc w:val="both"/>
        <w:rPr>
          <w:color w:val="000000" w:themeColor="text1"/>
          <w:sz w:val="16"/>
          <w:szCs w:val="16"/>
        </w:rPr>
      </w:pPr>
    </w:p>
    <w:p w14:paraId="426A561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был утвержден Отчет по испытанию автожира «4А» с мотором М-26 300 НР</w:t>
      </w:r>
    </w:p>
    <w:p w14:paraId="04768B9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52D5559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Бронин</w:t>
      </w:r>
    </w:p>
    <w:p w14:paraId="5D41CE8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Тихонов</w:t>
      </w:r>
    </w:p>
    <w:p w14:paraId="409E271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Летнаб Агишев</w:t>
      </w:r>
    </w:p>
    <w:p w14:paraId="0E4E100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63C95CEA" w14:textId="77777777" w:rsidR="0007455B" w:rsidRPr="0044524F" w:rsidRDefault="0007455B" w:rsidP="009654CF">
      <w:pPr>
        <w:numPr>
          <w:ilvl w:val="0"/>
          <w:numId w:val="37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Снятие летной характеристики.</w:t>
      </w:r>
    </w:p>
    <w:p w14:paraId="3EFE79B0" w14:textId="77777777" w:rsidR="0007455B" w:rsidRPr="0044524F" w:rsidRDefault="0007455B" w:rsidP="009654CF">
      <w:pPr>
        <w:numPr>
          <w:ilvl w:val="0"/>
          <w:numId w:val="37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летных свойств и особенностей пилотирования автожира, как особого типа летательного аппарата.</w:t>
      </w:r>
    </w:p>
    <w:p w14:paraId="438F385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68724969" w14:textId="77777777" w:rsidR="0007455B" w:rsidRPr="0044524F" w:rsidRDefault="0007455B" w:rsidP="009654CF">
      <w:pPr>
        <w:pStyle w:val="31"/>
        <w:widowControl/>
        <w:numPr>
          <w:ilvl w:val="0"/>
          <w:numId w:val="373"/>
        </w:numPr>
        <w:tabs>
          <w:tab w:val="left" w:pos="360"/>
          <w:tab w:val="left" w:pos="11199"/>
        </w:tabs>
        <w:ind w:left="0" w:firstLine="0"/>
        <w:jc w:val="both"/>
        <w:rPr>
          <w:color w:val="000000" w:themeColor="text1"/>
        </w:rPr>
      </w:pPr>
      <w:r w:rsidRPr="0044524F">
        <w:rPr>
          <w:color w:val="000000" w:themeColor="text1"/>
        </w:rPr>
        <w:t>Серия автожиров завода № 43 на основании испытания головной машины А-4 М-26 № 4301 может быть допущена для передачи в строевые части с целью ознакомления с особенностями пилотирования и эксплуатации автожиров.</w:t>
      </w:r>
    </w:p>
    <w:p w14:paraId="03772421" w14:textId="77777777" w:rsidR="0007455B" w:rsidRPr="0044524F" w:rsidRDefault="0007455B" w:rsidP="009654CF">
      <w:pPr>
        <w:numPr>
          <w:ilvl w:val="0"/>
          <w:numId w:val="37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на автожире установлен мотор М-26 обладающий скверными эксплуатационными данными, поскольку автожир А-4 имеет нескладывающийся ротор, выявил недостаточную устойчивость и взлетные свойства, считать нецелесообразным данный тип автожира строить сверх указанной уже серии.</w:t>
      </w:r>
    </w:p>
    <w:p w14:paraId="0CB1B772" w14:textId="77777777" w:rsidR="0007455B" w:rsidRPr="0044524F" w:rsidRDefault="0007455B" w:rsidP="009654CF">
      <w:pPr>
        <w:numPr>
          <w:ilvl w:val="0"/>
          <w:numId w:val="37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Форсировать передачу на гос. испытания А-6 М-11, как обладающего рядом эксплуатационных преимуществ перед А-4, а именно складывающийся ротор и крылья, свободно махающие лопасти и надежный мотор М-11.</w:t>
      </w:r>
    </w:p>
    <w:p w14:paraId="18D73F6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 автожира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5E74E2E3" w14:textId="77777777">
        <w:tc>
          <w:tcPr>
            <w:tcW w:w="5636" w:type="dxa"/>
          </w:tcPr>
          <w:p w14:paraId="14A7DB43"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августа 1933 года</w:t>
            </w:r>
          </w:p>
        </w:tc>
        <w:tc>
          <w:tcPr>
            <w:tcW w:w="5636" w:type="dxa"/>
          </w:tcPr>
          <w:p w14:paraId="06935D7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принят на испытания. Проведено 2 приемных полета и перелет из Москвы в Щелково.</w:t>
            </w:r>
          </w:p>
        </w:tc>
      </w:tr>
      <w:tr w:rsidR="004E10C1" w:rsidRPr="0044524F" w14:paraId="1C98E03F" w14:textId="77777777">
        <w:tc>
          <w:tcPr>
            <w:tcW w:w="5636" w:type="dxa"/>
          </w:tcPr>
          <w:p w14:paraId="4530FDB3"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 года</w:t>
            </w:r>
          </w:p>
        </w:tc>
        <w:tc>
          <w:tcPr>
            <w:tcW w:w="5636" w:type="dxa"/>
          </w:tcPr>
          <w:p w14:paraId="038190B3"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тренировочных полетов.</w:t>
            </w:r>
          </w:p>
        </w:tc>
      </w:tr>
      <w:tr w:rsidR="004E10C1" w:rsidRPr="0044524F" w14:paraId="51D1EE7B" w14:textId="77777777">
        <w:tc>
          <w:tcPr>
            <w:tcW w:w="5636" w:type="dxa"/>
          </w:tcPr>
          <w:p w14:paraId="2FDF93B9"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августа 1933 года</w:t>
            </w:r>
          </w:p>
        </w:tc>
        <w:tc>
          <w:tcPr>
            <w:tcW w:w="5636" w:type="dxa"/>
          </w:tcPr>
          <w:p w14:paraId="2F32FAF2"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Демонстрационный полет.</w:t>
            </w:r>
          </w:p>
        </w:tc>
      </w:tr>
      <w:tr w:rsidR="004E10C1" w:rsidRPr="0044524F" w14:paraId="62975EEC" w14:textId="77777777">
        <w:tc>
          <w:tcPr>
            <w:tcW w:w="5636" w:type="dxa"/>
          </w:tcPr>
          <w:p w14:paraId="7DB6B2FB"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августа 1933 года</w:t>
            </w:r>
          </w:p>
        </w:tc>
        <w:tc>
          <w:tcPr>
            <w:tcW w:w="5636" w:type="dxa"/>
          </w:tcPr>
          <w:p w14:paraId="64FD404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полета на километраж.</w:t>
            </w:r>
          </w:p>
        </w:tc>
      </w:tr>
      <w:tr w:rsidR="004E10C1" w:rsidRPr="0044524F" w14:paraId="6B047F77" w14:textId="77777777">
        <w:tc>
          <w:tcPr>
            <w:tcW w:w="5636" w:type="dxa"/>
          </w:tcPr>
          <w:p w14:paraId="642164F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 года</w:t>
            </w:r>
          </w:p>
        </w:tc>
        <w:tc>
          <w:tcPr>
            <w:tcW w:w="5636" w:type="dxa"/>
          </w:tcPr>
          <w:p w14:paraId="702C3545"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полетов на выяснение взлетно-посадочных свойств самолета.</w:t>
            </w:r>
          </w:p>
        </w:tc>
      </w:tr>
      <w:tr w:rsidR="004E10C1" w:rsidRPr="0044524F" w14:paraId="7D7049B3" w14:textId="77777777">
        <w:tc>
          <w:tcPr>
            <w:tcW w:w="5636" w:type="dxa"/>
          </w:tcPr>
          <w:p w14:paraId="269AEB8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августа 1933 года</w:t>
            </w:r>
          </w:p>
        </w:tc>
        <w:tc>
          <w:tcPr>
            <w:tcW w:w="5636" w:type="dxa"/>
          </w:tcPr>
          <w:p w14:paraId="204B225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полета на устойчивость на 1500 м.</w:t>
            </w:r>
          </w:p>
        </w:tc>
      </w:tr>
      <w:tr w:rsidR="004E10C1" w:rsidRPr="0044524F" w14:paraId="55A63B19" w14:textId="77777777">
        <w:tc>
          <w:tcPr>
            <w:tcW w:w="5636" w:type="dxa"/>
          </w:tcPr>
          <w:p w14:paraId="57C854C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tc>
        <w:tc>
          <w:tcPr>
            <w:tcW w:w="5636" w:type="dxa"/>
          </w:tcPr>
          <w:p w14:paraId="3B69672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зубцы с летнабом.</w:t>
            </w:r>
          </w:p>
        </w:tc>
      </w:tr>
    </w:tbl>
    <w:p w14:paraId="65360D5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дальнейшие полеты произведены с летнабом.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0B6651D0" w14:textId="77777777">
        <w:tc>
          <w:tcPr>
            <w:tcW w:w="5636" w:type="dxa"/>
          </w:tcPr>
          <w:p w14:paraId="65A9B11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августа 1933 года</w:t>
            </w:r>
          </w:p>
        </w:tc>
        <w:tc>
          <w:tcPr>
            <w:tcW w:w="5636" w:type="dxa"/>
          </w:tcPr>
          <w:p w14:paraId="39FBC94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зубцы.</w:t>
            </w:r>
          </w:p>
        </w:tc>
      </w:tr>
      <w:tr w:rsidR="004E10C1" w:rsidRPr="0044524F" w14:paraId="3FFB9990" w14:textId="77777777">
        <w:tc>
          <w:tcPr>
            <w:tcW w:w="5636" w:type="dxa"/>
          </w:tcPr>
          <w:p w14:paraId="6F5D4CE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августа 1933 года</w:t>
            </w:r>
          </w:p>
        </w:tc>
        <w:tc>
          <w:tcPr>
            <w:tcW w:w="5636" w:type="dxa"/>
          </w:tcPr>
          <w:p w14:paraId="695D6BC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зубцы на 3500 м.</w:t>
            </w:r>
          </w:p>
        </w:tc>
      </w:tr>
      <w:tr w:rsidR="004E10C1" w:rsidRPr="0044524F" w14:paraId="1EC2758C" w14:textId="77777777">
        <w:tc>
          <w:tcPr>
            <w:tcW w:w="5636" w:type="dxa"/>
          </w:tcPr>
          <w:p w14:paraId="323F09F9"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августа 1933 года</w:t>
            </w:r>
          </w:p>
        </w:tc>
        <w:tc>
          <w:tcPr>
            <w:tcW w:w="5636" w:type="dxa"/>
          </w:tcPr>
          <w:p w14:paraId="376E5512"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маневренность и управляемость на 1000 м и 2000 м.</w:t>
            </w:r>
          </w:p>
        </w:tc>
      </w:tr>
      <w:tr w:rsidR="004E10C1" w:rsidRPr="0044524F" w14:paraId="6FDE4C98" w14:textId="77777777">
        <w:tc>
          <w:tcPr>
            <w:tcW w:w="5636" w:type="dxa"/>
          </w:tcPr>
          <w:p w14:paraId="252445D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года</w:t>
            </w:r>
          </w:p>
        </w:tc>
        <w:tc>
          <w:tcPr>
            <w:tcW w:w="5636" w:type="dxa"/>
          </w:tcPr>
          <w:p w14:paraId="7B97211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 (с летнабом).</w:t>
            </w:r>
          </w:p>
        </w:tc>
      </w:tr>
      <w:tr w:rsidR="004E10C1" w:rsidRPr="0044524F" w14:paraId="1B32A151" w14:textId="77777777">
        <w:tc>
          <w:tcPr>
            <w:tcW w:w="5636" w:type="dxa"/>
          </w:tcPr>
          <w:p w14:paraId="3E2D552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августа 1933 года</w:t>
            </w:r>
          </w:p>
        </w:tc>
        <w:tc>
          <w:tcPr>
            <w:tcW w:w="5636" w:type="dxa"/>
          </w:tcPr>
          <w:p w14:paraId="6C29D08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 (1 пилот).</w:t>
            </w:r>
          </w:p>
        </w:tc>
      </w:tr>
      <w:tr w:rsidR="004E10C1" w:rsidRPr="0044524F" w14:paraId="0C877F24" w14:textId="77777777">
        <w:tc>
          <w:tcPr>
            <w:tcW w:w="5636" w:type="dxa"/>
          </w:tcPr>
          <w:p w14:paraId="0063701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августа 1933 года</w:t>
            </w:r>
          </w:p>
        </w:tc>
        <w:tc>
          <w:tcPr>
            <w:tcW w:w="5636" w:type="dxa"/>
          </w:tcPr>
          <w:p w14:paraId="01CF65F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и потолок.</w:t>
            </w:r>
          </w:p>
        </w:tc>
      </w:tr>
      <w:tr w:rsidR="004E10C1" w:rsidRPr="0044524F" w14:paraId="52B70C2D" w14:textId="77777777">
        <w:tc>
          <w:tcPr>
            <w:tcW w:w="5636" w:type="dxa"/>
          </w:tcPr>
          <w:p w14:paraId="452531B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5636" w:type="dxa"/>
          </w:tcPr>
          <w:p w14:paraId="3EF18639"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маневренность и устойчивость.</w:t>
            </w:r>
          </w:p>
        </w:tc>
      </w:tr>
      <w:tr w:rsidR="004E10C1" w:rsidRPr="0044524F" w14:paraId="3B4B571A" w14:textId="77777777">
        <w:tc>
          <w:tcPr>
            <w:tcW w:w="5636" w:type="dxa"/>
          </w:tcPr>
          <w:p w14:paraId="535B018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1933 года</w:t>
            </w:r>
          </w:p>
        </w:tc>
        <w:tc>
          <w:tcPr>
            <w:tcW w:w="5636" w:type="dxa"/>
          </w:tcPr>
          <w:p w14:paraId="6556501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полетов на определение взлетно-посадочных свойств, определение траектории взлета и посадки.</w:t>
            </w:r>
          </w:p>
        </w:tc>
      </w:tr>
      <w:tr w:rsidR="004E10C1" w:rsidRPr="0044524F" w14:paraId="539DCACA" w14:textId="77777777">
        <w:tc>
          <w:tcPr>
            <w:tcW w:w="5636" w:type="dxa"/>
          </w:tcPr>
          <w:p w14:paraId="545944A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сентября 1933 года</w:t>
            </w:r>
          </w:p>
        </w:tc>
        <w:tc>
          <w:tcPr>
            <w:tcW w:w="5636" w:type="dxa"/>
          </w:tcPr>
          <w:p w14:paraId="7FAAB990"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полета с перегрузкой в 53 кг на скороподъемность на 2000 м и горизонталь скорости по высотам и маневренность.</w:t>
            </w:r>
          </w:p>
        </w:tc>
      </w:tr>
      <w:tr w:rsidR="004E10C1" w:rsidRPr="0044524F" w14:paraId="3D8E9EA0" w14:textId="77777777">
        <w:tc>
          <w:tcPr>
            <w:tcW w:w="5636" w:type="dxa"/>
          </w:tcPr>
          <w:p w14:paraId="67797C6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tc>
        <w:tc>
          <w:tcPr>
            <w:tcW w:w="5636" w:type="dxa"/>
          </w:tcPr>
          <w:p w14:paraId="3AA741A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облетных полетов (2 выпущено).</w:t>
            </w:r>
          </w:p>
        </w:tc>
      </w:tr>
      <w:tr w:rsidR="004E10C1" w:rsidRPr="0044524F" w14:paraId="17EBB8C4" w14:textId="77777777">
        <w:tc>
          <w:tcPr>
            <w:tcW w:w="5636" w:type="dxa"/>
          </w:tcPr>
          <w:p w14:paraId="23683CB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сентября 1933 года</w:t>
            </w:r>
          </w:p>
        </w:tc>
        <w:tc>
          <w:tcPr>
            <w:tcW w:w="5636" w:type="dxa"/>
          </w:tcPr>
          <w:p w14:paraId="70EEE59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облетных полетов (4 выпущено).</w:t>
            </w:r>
          </w:p>
        </w:tc>
      </w:tr>
    </w:tbl>
    <w:p w14:paraId="491BED14"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проведено в 14 дней (13 летных), проведено 69 полетов. Полетных часов – 20 час. 20 мин.</w:t>
      </w:r>
    </w:p>
    <w:p w14:paraId="4F62E2BE"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технические и регулировочные данные автожира «4А»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5C65D48F" w14:textId="77777777">
        <w:tc>
          <w:tcPr>
            <w:tcW w:w="5636" w:type="dxa"/>
          </w:tcPr>
          <w:p w14:paraId="1FA181FF"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Год выпуска</w:t>
            </w:r>
          </w:p>
        </w:tc>
        <w:tc>
          <w:tcPr>
            <w:tcW w:w="5636" w:type="dxa"/>
          </w:tcPr>
          <w:p w14:paraId="1204C77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r>
      <w:tr w:rsidR="004E10C1" w:rsidRPr="0044524F" w14:paraId="0D9BBD39" w14:textId="77777777">
        <w:tc>
          <w:tcPr>
            <w:tcW w:w="5636" w:type="dxa"/>
          </w:tcPr>
          <w:p w14:paraId="49985D19"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Полный полетный вес</w:t>
            </w:r>
          </w:p>
        </w:tc>
        <w:tc>
          <w:tcPr>
            <w:tcW w:w="5636" w:type="dxa"/>
          </w:tcPr>
          <w:p w14:paraId="7538582D"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1391,4</w:t>
            </w:r>
          </w:p>
        </w:tc>
      </w:tr>
      <w:tr w:rsidR="004E10C1" w:rsidRPr="0044524F" w14:paraId="7894D666" w14:textId="77777777">
        <w:tc>
          <w:tcPr>
            <w:tcW w:w="5636" w:type="dxa"/>
          </w:tcPr>
          <w:p w14:paraId="2AB6E563"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крыльев</w:t>
            </w:r>
          </w:p>
        </w:tc>
        <w:tc>
          <w:tcPr>
            <w:tcW w:w="5636" w:type="dxa"/>
          </w:tcPr>
          <w:p w14:paraId="458ACADA"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6,72</w:t>
            </w:r>
          </w:p>
        </w:tc>
      </w:tr>
    </w:tbl>
    <w:p w14:paraId="00F1F2A8"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Винты деревянные окованные (6646).</w:t>
      </w:r>
    </w:p>
    <w:p w14:paraId="5CF6C436"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p w14:paraId="01D239C4" w14:textId="77777777" w:rsidR="00CE69D7" w:rsidRPr="0044524F" w:rsidRDefault="00CE69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1933-го Москва встречала зарубежных авиаторов. Готовясь к визиту министра авиации Франции Пьера Кота, на Центральном аэродроме устроили выставку самолетов. Левее аэродрома в два ряда построили агитэскадрилью им. М.Горького во главе с флагманским кораблем АНТ-14 А.Н.Туполева и самолетом "Сталь" А.И.Путилова. Правее эскадрильи внимание привлекала красно-белая авиэтка АИР-6, отделанная с большим изяществом. Тут же расположился и АИР-7 - самый скоростной советский самолет. Неподалеку стоя французский аппарат.</w:t>
      </w:r>
    </w:p>
    <w:p w14:paraId="78FED397" w14:textId="77777777" w:rsidR="00CE69D7" w:rsidRPr="0044524F" w:rsidRDefault="00CE69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Выставку посетил новый начальник ГУАП Г.Н.Королев, сменивший на этом посту погибшего в авиакатастрофе 5 сентября 1933-го П.И.Баранова. С многочисленной свитой он подошел к одной из машин. Самолет этот был очень красив, великолепно отделан как снаружи, так и изнутри. Королев остановился и величественно протянул к самолету указательный палец. "Сразу видно заграничную работу, - сказал он. - Вот - это культура! Посмотрите на окраску, на изящество, на вкус! Да, нескоро мы научимся так строить самолеты! Что за машина? Какой фирмы?" А ему шепотом говорят: "Это новый осоавиахимовский самолет АИР-6 конструкции Яковлева". Ответственное лицо, скрывая свое смущение, зевнуло, и пошло дальше отыскивать на аэродроме иностранный самолет. Одиноко остался стоять у самолета обескураженный конструктор.</w:t>
      </w:r>
    </w:p>
    <w:p w14:paraId="63083B52" w14:textId="77777777" w:rsidR="00CE69D7" w:rsidRPr="0044524F" w:rsidRDefault="00CE69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описали эту сцену А.Яковлев и журналист А.Гарри. Но более забавно изложил ее спустя три года Е.Кригер в "Известиях": "Когда в Москву прилетел французский министр авиации, он долго стоял возле машины конструктора Яковлева, и, наконец, сказал своим спутникам: - Вот как нужно культурно строить самолеты". Следующая встреча Королева и Яковлева состоялась спустя два-три месяца. Тогда Яковлева выживали с завода №39 при попустительстве ГУАП. Пришлось обращаться за помощью в правительство. По этому поводу Яковлев вспоминал: "Вскоре меня вызвали к начальнику ГУАПа. Пришлось долго ожидать в приемной, пока, наконец, пригласили пройти в кабинет. За огромным письменным столом сидел удивительно полный, черноволосый человек. Не поздоровавшись и даже не пригласив сесть, окинув меня недружелюбным взглядом, он без лишних предисловий приступил к делу: - С завода вас выселяют? Правильно делают. Так вот... Я дал указание разместить ваше конструкторское бюро и производственников в кроватной мастерской на Ленинградском шоссе. Ясно? На большее не рассчитывайте. Идите. И поменьше бегайте с жалобами. А то... В общем, идите. Он предупредил, между прочим, что производство кроватей за мастерской сохраняется" (15727).</w:t>
      </w:r>
    </w:p>
    <w:p w14:paraId="4DD8A61C" w14:textId="77777777" w:rsidR="00CE69D7" w:rsidRPr="0044524F" w:rsidRDefault="00CE69D7" w:rsidP="009654CF">
      <w:pPr>
        <w:spacing w:after="0" w:line="240" w:lineRule="auto"/>
        <w:jc w:val="both"/>
        <w:rPr>
          <w:rFonts w:ascii="Times New Roman" w:hAnsi="Times New Roman"/>
          <w:color w:val="000000" w:themeColor="text1"/>
          <w:sz w:val="16"/>
          <w:szCs w:val="16"/>
        </w:rPr>
      </w:pPr>
    </w:p>
    <w:p w14:paraId="0B695A8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во Францию от</w:t>
      </w:r>
      <w:r w:rsidRPr="0044524F">
        <w:rPr>
          <w:rFonts w:ascii="Times New Roman" w:hAnsi="Times New Roman"/>
          <w:color w:val="000000" w:themeColor="text1"/>
          <w:sz w:val="16"/>
          <w:szCs w:val="16"/>
        </w:rPr>
        <w:softHyphen/>
        <w:t>правилась советская авиационная деле</w:t>
      </w:r>
      <w:r w:rsidRPr="0044524F">
        <w:rPr>
          <w:rFonts w:ascii="Times New Roman" w:hAnsi="Times New Roman"/>
          <w:color w:val="000000" w:themeColor="text1"/>
          <w:sz w:val="16"/>
          <w:szCs w:val="16"/>
        </w:rPr>
        <w:softHyphen/>
        <w:t>гация. Руководителем ее являлся В.Я. Климов, ВВС представлял М.А. Левин. В состав группы вошел и Ильюшин. Большая программа создания мощных отечественных авиамоторов в конце 20-х — начале 30-х годов дала лишь один практический результат — внедрение в серию двигателя М-34 (впоследствии переименованного в АМ-34) конструк</w:t>
      </w:r>
      <w:r w:rsidRPr="0044524F">
        <w:rPr>
          <w:rFonts w:ascii="Times New Roman" w:hAnsi="Times New Roman"/>
          <w:color w:val="000000" w:themeColor="text1"/>
          <w:sz w:val="16"/>
          <w:szCs w:val="16"/>
        </w:rPr>
        <w:softHyphen/>
        <w:t>ции А.А. Микулина. Однако к моменту развертывания массового производства он уже уступал передовым моторам За</w:t>
      </w:r>
      <w:r w:rsidRPr="0044524F">
        <w:rPr>
          <w:rFonts w:ascii="Times New Roman" w:hAnsi="Times New Roman"/>
          <w:color w:val="000000" w:themeColor="text1"/>
          <w:sz w:val="16"/>
          <w:szCs w:val="16"/>
        </w:rPr>
        <w:softHyphen/>
        <w:t>пада по удельной массе и экономичнос</w:t>
      </w:r>
      <w:r w:rsidRPr="0044524F">
        <w:rPr>
          <w:rFonts w:ascii="Times New Roman" w:hAnsi="Times New Roman"/>
          <w:color w:val="000000" w:themeColor="text1"/>
          <w:sz w:val="16"/>
          <w:szCs w:val="16"/>
        </w:rPr>
        <w:softHyphen/>
        <w:t>ти. Отставание по моторостроению от</w:t>
      </w:r>
      <w:r w:rsidRPr="0044524F">
        <w:rPr>
          <w:rFonts w:ascii="Times New Roman" w:hAnsi="Times New Roman"/>
          <w:color w:val="000000" w:themeColor="text1"/>
          <w:sz w:val="16"/>
          <w:szCs w:val="16"/>
        </w:rPr>
        <w:softHyphen/>
        <w:t>рицательно влияло на создание новых типов самолетов, в первую очередь, во</w:t>
      </w:r>
      <w:r w:rsidRPr="0044524F">
        <w:rPr>
          <w:rFonts w:ascii="Times New Roman" w:hAnsi="Times New Roman"/>
          <w:color w:val="000000" w:themeColor="text1"/>
          <w:sz w:val="16"/>
          <w:szCs w:val="16"/>
        </w:rPr>
        <w:softHyphen/>
        <w:t>енных. Было решено приобрести ли</w:t>
      </w:r>
      <w:r w:rsidRPr="0044524F">
        <w:rPr>
          <w:rFonts w:ascii="Times New Roman" w:hAnsi="Times New Roman"/>
          <w:color w:val="000000" w:themeColor="text1"/>
          <w:sz w:val="16"/>
          <w:szCs w:val="16"/>
        </w:rPr>
        <w:softHyphen/>
        <w:t>цензии за рубежом. С этой целью и от</w:t>
      </w:r>
      <w:r w:rsidRPr="0044524F">
        <w:rPr>
          <w:rFonts w:ascii="Times New Roman" w:hAnsi="Times New Roman"/>
          <w:color w:val="000000" w:themeColor="text1"/>
          <w:sz w:val="16"/>
          <w:szCs w:val="16"/>
        </w:rPr>
        <w:softHyphen/>
        <w:t>правилась делегация во Францию. Ос</w:t>
      </w:r>
      <w:r w:rsidRPr="0044524F">
        <w:rPr>
          <w:rFonts w:ascii="Times New Roman" w:hAnsi="Times New Roman"/>
          <w:color w:val="000000" w:themeColor="text1"/>
          <w:sz w:val="16"/>
          <w:szCs w:val="16"/>
        </w:rPr>
        <w:softHyphen/>
        <w:t>новной задачей ей ставили получение лицензии на мотор Испано-Сюиза 12У. Но и двигатели «Гном-Рон» вызвали большой интерес у советских специали</w:t>
      </w:r>
      <w:r w:rsidRPr="0044524F">
        <w:rPr>
          <w:rFonts w:ascii="Times New Roman" w:hAnsi="Times New Roman"/>
          <w:color w:val="000000" w:themeColor="text1"/>
          <w:sz w:val="16"/>
          <w:szCs w:val="16"/>
        </w:rPr>
        <w:softHyphen/>
        <w:t>стов, причем не только двухрядный мо</w:t>
      </w:r>
      <w:r w:rsidRPr="0044524F">
        <w:rPr>
          <w:rFonts w:ascii="Times New Roman" w:hAnsi="Times New Roman"/>
          <w:color w:val="000000" w:themeColor="text1"/>
          <w:sz w:val="16"/>
          <w:szCs w:val="16"/>
        </w:rPr>
        <w:softHyphen/>
        <w:t>тор типа 14К, о котором шла речь пер</w:t>
      </w:r>
      <w:r w:rsidRPr="0044524F">
        <w:rPr>
          <w:rFonts w:ascii="Times New Roman" w:hAnsi="Times New Roman"/>
          <w:color w:val="000000" w:themeColor="text1"/>
          <w:sz w:val="16"/>
          <w:szCs w:val="16"/>
        </w:rPr>
        <w:softHyphen/>
        <w:t>воначально, но и менее мощный унифи</w:t>
      </w:r>
      <w:r w:rsidRPr="0044524F">
        <w:rPr>
          <w:rFonts w:ascii="Times New Roman" w:hAnsi="Times New Roman"/>
          <w:color w:val="000000" w:themeColor="text1"/>
          <w:sz w:val="16"/>
          <w:szCs w:val="16"/>
        </w:rPr>
        <w:softHyphen/>
        <w:t>цированный с ним 9К. Их в первую оче</w:t>
      </w:r>
      <w:r w:rsidRPr="0044524F">
        <w:rPr>
          <w:rFonts w:ascii="Times New Roman" w:hAnsi="Times New Roman"/>
          <w:color w:val="000000" w:themeColor="text1"/>
          <w:sz w:val="16"/>
          <w:szCs w:val="16"/>
        </w:rPr>
        <w:softHyphen/>
        <w:t>редь собирались ставить на бомбарди</w:t>
      </w:r>
      <w:r w:rsidRPr="0044524F">
        <w:rPr>
          <w:rFonts w:ascii="Times New Roman" w:hAnsi="Times New Roman"/>
          <w:color w:val="000000" w:themeColor="text1"/>
          <w:sz w:val="16"/>
          <w:szCs w:val="16"/>
        </w:rPr>
        <w:softHyphen/>
        <w:t>ровщики (10734,3).</w:t>
      </w:r>
    </w:p>
    <w:p w14:paraId="63C315DB"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p>
    <w:p w14:paraId="4E2A557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С.В.И. в составе группы специалистов был командирован во Францию для покупки лицензии на производство перспективного авиадвигателя. Выбрали Мистраль-Мажор К-14 Гном-Рон 800 нр (3846,5).</w:t>
      </w:r>
    </w:p>
    <w:p w14:paraId="491D8714"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CD3E3BC"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в состав делегации, отправившейся во Францию, вошел и С.В.Ильюшин. В этой стране присмотрели два мощных двигателя - рядный “Испано-Сюиза”12У и звездообразный “Гном-Рон-14К”. Последний очень понравился Ильюшину. Это была 14-цилиндровая двухрядная звезда воздушного охлаждения, отличавшаяся компактностью, малым весом и экономичностью на крейсерском режиме. Такие моторы могли существенно улучшить показатели проектируемого бомбардировщика ЛБ-2, особенно в отношении радиуса действия. Вернувшись домой, Ильюшин внес предложение о постройке бомбардировщика с двигателями "Гном-Рон”14К (у нас его чаще называли К-14) (6474).</w:t>
      </w:r>
    </w:p>
    <w:p w14:paraId="37D45221" w14:textId="77777777" w:rsidR="0007455B" w:rsidRPr="0044524F" w:rsidRDefault="0007455B" w:rsidP="009654CF">
      <w:pPr>
        <w:tabs>
          <w:tab w:val="left" w:pos="11199"/>
        </w:tabs>
        <w:spacing w:after="0" w:line="240" w:lineRule="auto"/>
        <w:jc w:val="both"/>
        <w:rPr>
          <w:rFonts w:ascii="Times New Roman" w:hAnsi="Times New Roman"/>
          <w:color w:val="000000" w:themeColor="text1"/>
          <w:sz w:val="16"/>
          <w:szCs w:val="16"/>
        </w:rPr>
      </w:pPr>
    </w:p>
    <w:p w14:paraId="675F839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во Францию отправилась советская авиационная делегация. Руководителем ее являлся В.Я. Климов, ВВС представлял М.А. Левин. В состав группы вошел и Ильюшин. Большая программа создания мощных отечественных авиамоторов в конце 20-х - начале 30-х годов дала лишь один практический результат - внедрение в серию двигателя М-34 (впоследствии переименованного в АМ-34) конструкции А.А. Микулина. Однако к моменту развертывания массового производства он уже уступал передовым моторам Запада по удельной массе и экономичности. Отставание по моторостроению отрицательно влияло на создание новых типов самолетов, в первую очередь, военных. Было решено приобрести лицензии за рубежом. С этой целью и отправилась делегация во Францию. Основной задачей ей ставили получение лицензии на мотор Испано-Сюиза 12Y.</w:t>
      </w:r>
    </w:p>
    <w:p w14:paraId="5649371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и двигатели "Гном-Рон" вызвали большой интерес у советских специалистов, причем не только двухрядный мотор типа 14К, о котором шла речь первоначально, но и менее мощный унифицированный с ним 9К. Их в первую очередь собирались ставить на бомбардировщики. 7 июня 1934 г. вышло специальное постановление Комитета обороны, предписывавшее Климову, Левину и директору завода № 29 Александрову в кратчайшие сроки завершить переговоры с "Гном-Рон" и добиться предоставления лицензии на оба этих типа, приобрести необходимую документацию и образцы моторов.</w:t>
      </w:r>
    </w:p>
    <w:p w14:paraId="51D430E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итоге с фирмой "Гном-Рон" заключили соглашение о технической помощи в освоении двух двигателей семейства К: 9-цилиндрового 9К "Мистраль" и 14-цилиндрового 14К "Мистраль мажор". Первый получил советское обозначение М-75, второй - М-85 (ненадолго его переименовали в М-70, а затем обратно в М-85) (12021).</w:t>
      </w:r>
    </w:p>
    <w:p w14:paraId="5464A778"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4797E1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серию «Е» М-34 завода № 24 приемщики опять забраковали. Инспектор Уп</w:t>
      </w:r>
      <w:r w:rsidRPr="0044524F">
        <w:rPr>
          <w:rFonts w:ascii="Times New Roman" w:hAnsi="Times New Roman"/>
          <w:color w:val="000000" w:themeColor="text1"/>
          <w:sz w:val="16"/>
          <w:szCs w:val="16"/>
        </w:rPr>
        <w:softHyphen/>
        <w:t>равления материально-технического снабжения в июле 1933 г. доклады</w:t>
      </w:r>
      <w:r w:rsidRPr="0044524F">
        <w:rPr>
          <w:rFonts w:ascii="Times New Roman" w:hAnsi="Times New Roman"/>
          <w:color w:val="000000" w:themeColor="text1"/>
          <w:sz w:val="16"/>
          <w:szCs w:val="16"/>
        </w:rPr>
        <w:softHyphen/>
        <w:t>вал в УВВС: «Качество моторов М-34, выпускаемых заводом, с начала производства оставляет желать мно</w:t>
      </w:r>
      <w:r w:rsidRPr="0044524F">
        <w:rPr>
          <w:rFonts w:ascii="Times New Roman" w:hAnsi="Times New Roman"/>
          <w:color w:val="000000" w:themeColor="text1"/>
          <w:sz w:val="16"/>
          <w:szCs w:val="16"/>
        </w:rPr>
        <w:softHyphen/>
        <w:t>го лучшего» (11848).</w:t>
      </w:r>
    </w:p>
    <w:p w14:paraId="33E7D802"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p>
    <w:p w14:paraId="6056846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проходил заводские испытания двигатель М-49. Разрабатывался в КБ завода № 29 (Запорожье) под руководством А.С. Назарова в 1931 г. Использовал часть узлов и агрегатов двигателя М-11 и унифицировался с моторами М-48 и М-51, входившими в то же семейство. Изготовлены 3 экз. В серийное производство М-49 не запускался. Работы по этому двигателю прекращены в апреле 1934 г. Он послужил основой для раз</w:t>
      </w:r>
      <w:r w:rsidRPr="0044524F">
        <w:rPr>
          <w:rFonts w:ascii="Times New Roman" w:hAnsi="Times New Roman"/>
          <w:color w:val="000000" w:themeColor="text1"/>
          <w:sz w:val="16"/>
          <w:szCs w:val="16"/>
        </w:rPr>
        <w:softHyphen/>
        <w:t>работки двигателя МГ-31.</w:t>
      </w:r>
    </w:p>
    <w:p w14:paraId="7222BF7B"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3A18BDE1"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9-цилиндровый, звездообразный, четырехтактный, воздушного охлаж</w:t>
      </w:r>
      <w:r w:rsidRPr="0044524F">
        <w:rPr>
          <w:rFonts w:ascii="Times New Roman" w:hAnsi="Times New Roman"/>
          <w:color w:val="000000" w:themeColor="text1"/>
          <w:sz w:val="16"/>
          <w:szCs w:val="16"/>
        </w:rPr>
        <w:softHyphen/>
        <w:t>дения, с ПЦН;</w:t>
      </w:r>
    </w:p>
    <w:p w14:paraId="623945AA"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270/310 л.с.;</w:t>
      </w:r>
    </w:p>
    <w:p w14:paraId="4A327E4C"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125/140 мм;</w:t>
      </w:r>
    </w:p>
    <w:p w14:paraId="0E2406E6"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5,0;</w:t>
      </w:r>
    </w:p>
    <w:p w14:paraId="17295E81"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вес 248 кг. (11852).</w:t>
      </w:r>
    </w:p>
    <w:p w14:paraId="291B3024" w14:textId="77777777" w:rsidR="0007455B" w:rsidRPr="0044524F" w:rsidRDefault="0007455B" w:rsidP="009654CF">
      <w:pPr>
        <w:shd w:val="clear" w:color="auto" w:fill="FFFFFF"/>
        <w:spacing w:after="0" w:line="240" w:lineRule="auto"/>
        <w:jc w:val="both"/>
        <w:rPr>
          <w:rFonts w:ascii="Times New Roman" w:hAnsi="Times New Roman"/>
          <w:color w:val="000000" w:themeColor="text1"/>
          <w:sz w:val="16"/>
          <w:szCs w:val="16"/>
        </w:rPr>
      </w:pPr>
    </w:p>
    <w:p w14:paraId="5511BE9E"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1933 г. проходил заводские испытания самый большой мотор из четверки моторов на базе М-11 = девятицилиндровый М-49 (максимальная мощность 310 л.с.), Конструкция его сохраняла все черты меньших «собратьев». Были изготовлены два экземпляра М-49. Использование этого двигателя предусматривалось в оригинальном проекте конструктора Михельсона.</w:t>
      </w:r>
    </w:p>
    <w:p w14:paraId="24CA90B0"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Предполагалось, что три из четырех двигателей семейства (за исключением М-50) будут запущены в серийное производство. Первым планировали освоить М-51 — в 1933 г. он должен был сменить М-11В в цехах завода № 29. Но в установленные сроки запорожский завод не уложился с доводкой моторов до требуемых показателей надежности (с межремонтным ресурсом порядка 200 ч), а в 1934 г. там развернули выпуск моторов М-22. Под этим обозначением у нас по французской лицензии стали делать английский мотор «Юпитер». Ему придавалось гораздо большее значение, чем двигателям на базе М-11, ведь «Юпитер» предназначался для истребителей И-4 и И-5.</w:t>
      </w:r>
    </w:p>
    <w:p w14:paraId="0A1D68E3"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Работы по М-51, М-48 и М-49 в Запорожье прекратили. Там всем стало не до них. В 1933 г. группу специалистов, занимавшуюся моторами малой мощности, перевели из Запорожья в Москву в состав Отдела бензиновых двигателей НИИ авиадвигателей ГВФ (НИИ АД ГВФ). Отдел разместили в здании Дирижаблестроительного учебного комбината в подмосковном поселке Тушино. Началь</w:t>
      </w:r>
      <w:r w:rsidRPr="00142305">
        <w:rPr>
          <w:rFonts w:ascii="Times New Roman" w:hAnsi="Times New Roman"/>
          <w:color w:val="0070C0"/>
          <w:sz w:val="16"/>
          <w:szCs w:val="16"/>
        </w:rPr>
        <w:softHyphen/>
        <w:t>ником отдела стал М. А. Коссов. Базовым предприятием определили расположенный рядом завод №82, тоже принадлежавший гражданской авиации; в его составе организовали опытный цех. НИИ АД ГВФ передали всю документацию на М-48, М-49 и М-51. Коссов прихватил с собой и проект М-50; до 1934 г. он несколько раз пытался его усовершенствовать, но так и не получил удовлетвори</w:t>
      </w:r>
      <w:r w:rsidRPr="00142305">
        <w:rPr>
          <w:rFonts w:ascii="Times New Roman" w:hAnsi="Times New Roman"/>
          <w:color w:val="0070C0"/>
          <w:sz w:val="16"/>
          <w:szCs w:val="16"/>
        </w:rPr>
        <w:softHyphen/>
        <w:t>тель</w:t>
      </w:r>
      <w:r w:rsidRPr="00142305">
        <w:rPr>
          <w:rFonts w:ascii="Times New Roman" w:hAnsi="Times New Roman"/>
          <w:color w:val="0070C0"/>
          <w:sz w:val="16"/>
          <w:szCs w:val="16"/>
        </w:rPr>
        <w:softHyphen/>
        <w:t>ного результата.</w:t>
      </w:r>
    </w:p>
    <w:p w14:paraId="254D81BE"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Другим членам семейства повезло больше. На их основе в Тушино спроектировали серию двига</w:t>
      </w:r>
      <w:r w:rsidRPr="00142305">
        <w:rPr>
          <w:rFonts w:ascii="Times New Roman" w:hAnsi="Times New Roman"/>
          <w:color w:val="0070C0"/>
          <w:sz w:val="16"/>
          <w:szCs w:val="16"/>
        </w:rPr>
        <w:softHyphen/>
        <w:t>телей, сохранявших многие детали и узлы М-11, но отличавшихся от оригинала все больше и больше. М-51 превратился в МГ-11, М-48 – в МГ-21, М-49 – в МГ-31. Буквы «МГ» расшифровы</w:t>
      </w:r>
      <w:r w:rsidRPr="00142305">
        <w:rPr>
          <w:rFonts w:ascii="Times New Roman" w:hAnsi="Times New Roman"/>
          <w:color w:val="0070C0"/>
          <w:sz w:val="16"/>
          <w:szCs w:val="16"/>
        </w:rPr>
        <w:softHyphen/>
        <w:t>ва</w:t>
      </w:r>
      <w:r w:rsidRPr="00142305">
        <w:rPr>
          <w:rFonts w:ascii="Times New Roman" w:hAnsi="Times New Roman"/>
          <w:color w:val="0070C0"/>
          <w:sz w:val="16"/>
          <w:szCs w:val="16"/>
        </w:rPr>
        <w:softHyphen/>
        <w:t xml:space="preserve">лись как «мотор гражданский». Все </w:t>
      </w:r>
      <w:r w:rsidRPr="00142305">
        <w:rPr>
          <w:rFonts w:ascii="Times New Roman" w:hAnsi="Times New Roman"/>
          <w:color w:val="0070C0"/>
          <w:sz w:val="16"/>
          <w:szCs w:val="16"/>
        </w:rPr>
        <w:lastRenderedPageBreak/>
        <w:t>двигатели, спроектированные в НИИ АД ГВФ, получали обо</w:t>
      </w:r>
      <w:r w:rsidRPr="00142305">
        <w:rPr>
          <w:rFonts w:ascii="Times New Roman" w:hAnsi="Times New Roman"/>
          <w:color w:val="0070C0"/>
          <w:sz w:val="16"/>
          <w:szCs w:val="16"/>
        </w:rPr>
        <w:softHyphen/>
        <w:t>зна</w:t>
      </w:r>
      <w:r w:rsidRPr="00142305">
        <w:rPr>
          <w:rFonts w:ascii="Times New Roman" w:hAnsi="Times New Roman"/>
          <w:color w:val="0070C0"/>
          <w:sz w:val="16"/>
          <w:szCs w:val="16"/>
        </w:rPr>
        <w:softHyphen/>
        <w:t>чение с этим сочетанием. Три мотора имели до 90 % взаимозаменяемых деталей. Мощность их по срав</w:t>
      </w:r>
      <w:r w:rsidRPr="00142305">
        <w:rPr>
          <w:rFonts w:ascii="Times New Roman" w:hAnsi="Times New Roman"/>
          <w:color w:val="0070C0"/>
          <w:sz w:val="16"/>
          <w:szCs w:val="16"/>
        </w:rPr>
        <w:softHyphen/>
        <w:t>нению с запорожскими вариантами существенно возросла.</w:t>
      </w:r>
    </w:p>
    <w:p w14:paraId="29770F1F"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 МГ-11 уже «от рождения» рассчитывался на максимальную мощность 180 л.с. (номинальная — 150 л.с.). Однако при этом мотор потяжелел, и его удельная мощность лишь немного превышала единицу.</w:t>
      </w:r>
    </w:p>
    <w:p w14:paraId="578BDB79"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Первые опытные образцы МГ-11 изготовили в 1934–1935 гг. После успешных запусков на стенде в 1935 г. один из них установили на биплане У-2. Коссов создал несколько модификаций МГ-11. Так, на некоторых экземплярах вместо отечественного карбюратора К-11 (от М-11В) устанавливался французский «Зенит» DCL 42, а в 1937 г. — специальные карбюраторы для перевернутого полета. Последовательно появились МГ-11А с увеличенным ресурсом и МГ-11Н с непосредственным впрыском топлива (оба — в 1936 г.), МГ-11Ф, у которого номинальную мощность довели до 165 л.с. (1937 г.), и его модификация МГ-11ФН с впрыском топлива.</w:t>
      </w:r>
    </w:p>
    <w:p w14:paraId="2B6F882D"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Завод изготовил 13 экземпляров МГ-11. Фактически все они были опытными образцами, хотя летали на самолетах У-2, У-5бис и др.</w:t>
      </w:r>
    </w:p>
    <w:p w14:paraId="70C7EA4E"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Конструкция МГ-11 вызвала интерес и в других конструкторских бюро. Например, в харьковском УНИАДИ проектировался вариант этого мотора с нагнетателем типа «Рутс» (25387).</w:t>
      </w:r>
    </w:p>
    <w:p w14:paraId="4074A8DF" w14:textId="77777777" w:rsidR="00961132" w:rsidRPr="00142305" w:rsidRDefault="00961132" w:rsidP="00961132">
      <w:pPr>
        <w:spacing w:after="0" w:line="240" w:lineRule="auto"/>
        <w:jc w:val="both"/>
        <w:rPr>
          <w:rFonts w:ascii="Times New Roman" w:hAnsi="Times New Roman"/>
          <w:color w:val="0070C0"/>
          <w:sz w:val="16"/>
          <w:szCs w:val="16"/>
        </w:rPr>
      </w:pPr>
    </w:p>
    <w:p w14:paraId="13128E2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года Бакулов подготовил:</w:t>
      </w:r>
    </w:p>
    <w:p w14:paraId="49E5178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w:t>
      </w:r>
    </w:p>
    <w:p w14:paraId="74C5A02A" w14:textId="77777777" w:rsidR="0007455B" w:rsidRPr="0044524F" w:rsidRDefault="0007455B" w:rsidP="009654CF">
      <w:pPr>
        <w:numPr>
          <w:ilvl w:val="0"/>
          <w:numId w:val="37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постановления об опытном самолето- и моторостроении проработан совместно с ГУАПом и возражений со стороны последнего невызывает. ГУАП (ядров и Яхонтов) вносят только ряд изменений в сроки готовности отдельных объектов: М-58 вместо 1 сентября 1933 года – 1 ноября 1933 года; Н-5 вместо 1 сентября 1933 года – 1 ноября 1933 года; М-48 вместо 1 сентября 1933 года – 1 ноября 1933 года; МИ3-2М34 вместо 1 сентября 1933 года – 1 ноября 1933 года; ЛР М-34 - вместо 1 сентября 1933 года – 1 ноября 1933 года и некоторые др.</w:t>
      </w:r>
    </w:p>
    <w:p w14:paraId="5C9E5594" w14:textId="77777777" w:rsidR="0007455B" w:rsidRPr="0044524F" w:rsidRDefault="0007455B" w:rsidP="009654CF">
      <w:pPr>
        <w:numPr>
          <w:ilvl w:val="0"/>
          <w:numId w:val="37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Алкснис считатет возможным согласиться с этими изменениями сроков и одновременно просит исключить из проекта постановления п. 7 (покупка иностранных моторов), как разрешенный постановлением СТО № 72сс/о о гидросамолетостроении (п.п. 8 и 9), а также исключить из списка опытных самолетов МБР-4 М-34 (С-62), как экземпляр, снятый с производства тем же постановлением СТО № 72сс/о (п. 1 «г»).</w:t>
      </w:r>
    </w:p>
    <w:p w14:paraId="41460561" w14:textId="77777777" w:rsidR="0007455B" w:rsidRPr="0044524F" w:rsidRDefault="0007455B" w:rsidP="009654CF">
      <w:pPr>
        <w:numPr>
          <w:ilvl w:val="0"/>
          <w:numId w:val="37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ГУГВФ (Анвельт) принципиально не возражает против п. 15 проекта, если опытные работы, возлагаемые на ГУГВФ, будут обеспечены спецкредитами, из-за отсутствия которых и было приостановлено опытное самолетостроение (У-3 бис М-48, П3 М-52, Х-1, паровая турбина 3000 НР).</w:t>
      </w:r>
    </w:p>
    <w:p w14:paraId="36492252" w14:textId="77777777" w:rsidR="0007455B" w:rsidRPr="0044524F" w:rsidRDefault="0007455B" w:rsidP="009654CF">
      <w:pPr>
        <w:numPr>
          <w:ilvl w:val="0"/>
          <w:numId w:val="37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ОГПУ (Миронов – начальник ЭКУ) не возражает (п.п. 5 и 11-а проекта). В отношении проф. петрова сообщает, что последний в данное время работает в системе НКТП (4223, 38).</w:t>
      </w:r>
    </w:p>
    <w:p w14:paraId="2EB67397"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87D2C7E"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на базе ГДЛ и ГИРД был организован РНИИ. После смерти Петропавловского начальником ГДЛ стал И.Т.Клейменов и РНИИ был создан по его идее с поддержкой Г.К.Орджоникидзе и М.Н.Тухачевского (93,18).</w:t>
      </w:r>
    </w:p>
    <w:p w14:paraId="65209FE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это было в октябре.</w:t>
      </w:r>
    </w:p>
    <w:p w14:paraId="2FA47C93"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544BEAB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С.К.Королева назначили зам. директора РНИИ, но продержался до января 1934 и стал рядовым (105,141).</w:t>
      </w:r>
    </w:p>
    <w:p w14:paraId="7F777997"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258088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проведены летные испытания ПВРД Ю.А.Победоносцева, выполнявшего роль второй ступени 76 мм арт. снаряда. Выстрелили 10 из пушки обр. 1902 (388,71). Скорость - 2 М (237,167).</w:t>
      </w:r>
    </w:p>
    <w:p w14:paraId="4EF8A6FE"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342B35A4"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ВАП-5 передали на Центральный военно-химический полигон (ЦВХП) в Шиханах и в следующем месяце подвергли испытаниям. ВАП-5 должен был стать альтернативой ВАП-4. Но результаты испытаний признали неудовлетворительными, прибор забраковали. ВАП-5, имевший большую емкость - 120 л (по другим данным - 160 л). Предполагалось, что Р-5 будет нести два таких. Опытный образец ВАП-5 изготовили в НИИ ВВС (11931).</w:t>
      </w:r>
    </w:p>
    <w:p w14:paraId="78B5A679"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6BC05E4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германский персонал покинул Липецк, хотя интерес стал снижаться с лета 1930. Нам оставили 30 истребителей Д-8. С 1928 УГПУ арестовало 28 наших за общение с немцами, в 1937 - еще 8 и в 1941 - 39 (162,28).</w:t>
      </w:r>
    </w:p>
    <w:p w14:paraId="4DECA57A"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7DFC7E84" w14:textId="77777777" w:rsidR="007F3AE2" w:rsidRPr="00142305" w:rsidRDefault="007F3AE2" w:rsidP="007F3AE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сентябре 1933 г. Пьер Кот и командующий француз</w:t>
      </w:r>
      <w:r w:rsidRPr="00142305">
        <w:rPr>
          <w:rStyle w:val="aff"/>
          <w:rFonts w:ascii="Times New Roman" w:hAnsi="Times New Roman" w:cs="Times New Roman"/>
          <w:color w:val="0070C0"/>
          <w:spacing w:val="0"/>
          <w:sz w:val="16"/>
          <w:szCs w:val="16"/>
        </w:rPr>
        <w:softHyphen/>
        <w:t>скими ВВС генерал Эдуард Бар посетили СССР и встречались с высшим военным руководством. Генерал Бар, как и Пьер Кот, был в восторге от советской авиации и строил француз</w:t>
      </w:r>
      <w:r w:rsidRPr="00142305">
        <w:rPr>
          <w:rStyle w:val="aff"/>
          <w:rFonts w:ascii="Times New Roman" w:hAnsi="Times New Roman" w:cs="Times New Roman"/>
          <w:color w:val="0070C0"/>
          <w:spacing w:val="0"/>
          <w:sz w:val="16"/>
          <w:szCs w:val="16"/>
        </w:rPr>
        <w:softHyphen/>
        <w:t>ские ВВС, подражая советским. Во Франции генерала Бара обвиняли в тайном получении звания генерала РККА (25668).</w:t>
      </w:r>
    </w:p>
    <w:p w14:paraId="5A8E8C95" w14:textId="77777777" w:rsidR="007F3AE2" w:rsidRPr="00142305" w:rsidRDefault="007F3AE2" w:rsidP="007F3AE2">
      <w:pPr>
        <w:spacing w:after="0" w:line="240" w:lineRule="auto"/>
        <w:jc w:val="both"/>
        <w:rPr>
          <w:rFonts w:ascii="Times New Roman" w:hAnsi="Times New Roman"/>
          <w:color w:val="0070C0"/>
          <w:sz w:val="16"/>
          <w:szCs w:val="16"/>
        </w:rPr>
      </w:pPr>
    </w:p>
    <w:p w14:paraId="0A950646"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французские пилоты Росси и Кодос на самолете Блерио-110 прилетели в Москву. Известный советский журналист Л.Бронтман в своих дневниковых записях оставил такие воспоминания о посещении Москвы французскими летчиками (датировано 1936-м годом):</w:t>
      </w:r>
    </w:p>
    <w:p w14:paraId="121E73D0"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"Утром был в Центральном аэроклубе на приеме французской авиационной парламентской делегации. В числе других были Кодос (толстый, краснощекий, грузный) и Боссутро.</w:t>
      </w:r>
    </w:p>
    <w:p w14:paraId="354DB7D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(зачеркнуто) интервьюировал Кодоса:</w:t>
      </w:r>
    </w:p>
    <w:p w14:paraId="0193C087"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вы можете сказать о полете Чкалова?</w:t>
      </w:r>
    </w:p>
    <w:p w14:paraId="1C4DBEB5"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слыхал.</w:t>
      </w:r>
    </w:p>
    <w:p w14:paraId="6D99DA0D"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Громова (на "РД") ?</w:t>
      </w:r>
    </w:p>
    <w:p w14:paraId="424F282F"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сожалению тоже не знаю.</w:t>
      </w:r>
    </w:p>
    <w:p w14:paraId="71C57441"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Кого из советских пилотов вы знаете?</w:t>
      </w:r>
    </w:p>
    <w:p w14:paraId="3F09D20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Россинского"</w:t>
      </w:r>
    </w:p>
    <w:p w14:paraId="76CA5BE2"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 время как Сигизмунд Леваневский спасал Маттерна, еще один пилот готовился к дальнему полету через территорию СССР. Этим пилотом был его родной брат - Юзеф Леваневский. Еще в 1919 г. Юзеф вместе с семьей вернулся в Польшу, где получил необходимое образование и в 1924 г. стал военным летчиком. Позднее он получил диплом инженера, занимался научно-исследовательской работой и одновременно совершенствовал свое летное мастерство. В 1933 г. Ю.Леваневский начинает подготовку к кругосветному перелету и в качестве тренировочной акции планирует беспосадочный перелет из Варшавы в Омск протяженностью 3400 км (11941).</w:t>
      </w:r>
    </w:p>
    <w:p w14:paraId="4C33E00B"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081BA934" w14:textId="77777777" w:rsidR="007F3AE2" w:rsidRPr="00142305" w:rsidRDefault="007F3AE2" w:rsidP="007F3AE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сентября 1933 г. итальянские лодки С-55 фирмы «SIAT» летали на маршрутах: Хабаровск – Владивосток – Охотск – Петропавловск, а с мая 1935 г. – Хабаровск – Оха. Лодки С-55 на Дальнем Востоке эксплуатировались до конца 1930-х гг. (25184).</w:t>
      </w:r>
    </w:p>
    <w:p w14:paraId="2836F5E0" w14:textId="77777777" w:rsidR="007F3AE2" w:rsidRPr="00142305" w:rsidRDefault="007F3AE2" w:rsidP="007F3AE2">
      <w:pPr>
        <w:spacing w:after="0" w:line="240" w:lineRule="auto"/>
        <w:jc w:val="both"/>
        <w:rPr>
          <w:rFonts w:ascii="Times New Roman" w:hAnsi="Times New Roman"/>
          <w:color w:val="0070C0"/>
          <w:sz w:val="16"/>
          <w:szCs w:val="16"/>
        </w:rPr>
      </w:pPr>
    </w:p>
    <w:p w14:paraId="7D26D20B" w14:textId="77777777" w:rsidR="0007455B" w:rsidRPr="0044524F" w:rsidRDefault="000745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из Варшавы в Красноярск вылетела спортивная машина PZL-19 с экипажем из двух человек. Одним из пилотов и был капитан Юзеф Левоневский (в Польше эта фамилия пишется через «о»), с которым Сигизмунд расстался во времена гражданской войны. Маленький самолетик разбился недалеко от чувашского города Ядрин (150 км западнее Казани), погибшего Юзефа привезли сначала в наш город, а потом отправили в Польшу. Вот так, весьма неожиданно, Казань соединила память о двух братьях, летчиках двух стран (12049).</w:t>
      </w:r>
    </w:p>
    <w:p w14:paraId="5554FE36" w14:textId="77777777" w:rsidR="0007455B" w:rsidRPr="0044524F" w:rsidRDefault="0007455B" w:rsidP="009654CF">
      <w:pPr>
        <w:spacing w:after="0" w:line="240" w:lineRule="auto"/>
        <w:jc w:val="both"/>
        <w:rPr>
          <w:rFonts w:ascii="Times New Roman" w:hAnsi="Times New Roman"/>
          <w:color w:val="000000" w:themeColor="text1"/>
          <w:sz w:val="16"/>
          <w:szCs w:val="16"/>
        </w:rPr>
      </w:pPr>
    </w:p>
    <w:p w14:paraId="4686318F" w14:textId="77777777" w:rsidR="00CF38E2" w:rsidRPr="0044524F" w:rsidRDefault="00CF38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одного из бывших видных функционеров советских спецслужб И. С. Уншлихта, занимавшего в свое время пост заместителя Председателя ГПУ, назначили на должность начальника Главного управления ГВФ при СНК СССР вместо погибшего в авиакатастрофе А. З. Гольцмана. Касаясь его деятельности на этой должности, историк советской авиации В. С. Шумихин обратил внимание на то, что И. С. Уншлихт увидел в ней множество диспропорций и узких мест, причем именно в «Аэрофлоте», может, даже больше, чем в какой-либо другой области производства действовал волевой, командно-административный метод руководства, чрезвычайщины, принималась масса решений, не подкрепленных экономическими расчетами и материальным обеспечением, и поэтому заранее обреченных на невыполнение. Вникнув в ситуацию, И. С. Уншлихт откровенно заявил, что качество работы «Аэрофлота» находится на низком уровне, а те огромные задачи, которые стояли перед его руководством во второй пятилетке, требуют коренной перестройки работы [8, с. 6–7] (24338).</w:t>
      </w:r>
    </w:p>
    <w:p w14:paraId="25280EA5" w14:textId="77777777" w:rsidR="00CF38E2" w:rsidRPr="0044524F" w:rsidRDefault="00CF38E2" w:rsidP="009654CF">
      <w:pPr>
        <w:spacing w:after="0" w:line="240" w:lineRule="auto"/>
        <w:jc w:val="both"/>
        <w:rPr>
          <w:rFonts w:ascii="Times New Roman" w:hAnsi="Times New Roman"/>
          <w:color w:val="000000" w:themeColor="text1"/>
          <w:sz w:val="16"/>
          <w:szCs w:val="16"/>
        </w:rPr>
      </w:pPr>
    </w:p>
    <w:p w14:paraId="0AE4316B" w14:textId="77777777" w:rsidR="007F3AE2" w:rsidRPr="00142305" w:rsidRDefault="007F3AE2" w:rsidP="007F3AE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В сентябре 1933 г. один из бывших видных функционеров советских спецслужб И. С. Уншлихт, занимавший в свое время пост заместителя Председателя ГПУ, был назначен на должность начальника Главного управления ГВФ при СНК СССР вместо погибшего в авиакатастрофе А. З. Гольцмана. Касаясь его деятельности на этой должности, историк советской авиации В. С. Шумихин обратил внимание на то, что И. С. Уншлихт увидел в ней множество диспропорций и узких мест, причем именно в «Аэрофлоте», может, даже больше, чем в какой-либо другой области производства действовал волевой, командно-административный метод руководства, чрезвычайщины, принималась масса решений, не подкрепленных экономическими расчетами и материальным обеспечением, и поэтому заранее обреченных на </w:t>
      </w:r>
      <w:r w:rsidRPr="00142305">
        <w:rPr>
          <w:rFonts w:ascii="Times New Roman" w:hAnsi="Times New Roman"/>
          <w:color w:val="0070C0"/>
          <w:sz w:val="16"/>
          <w:szCs w:val="16"/>
        </w:rPr>
        <w:lastRenderedPageBreak/>
        <w:t>невыполнение. Вникнув в ситуацию, И. С. Уншлихт откровенно заявил, что качество работы «Аэрофлота» находится на низком уровне, а те огромные задачи, которые стояли перед его руководством во второй пятилетке, требуют коренной перестройки работы [8, с. 6–7] (25099).</w:t>
      </w:r>
    </w:p>
    <w:p w14:paraId="6F488C1E" w14:textId="77777777" w:rsidR="007F3AE2" w:rsidRPr="00142305" w:rsidRDefault="007F3AE2" w:rsidP="007F3AE2">
      <w:pPr>
        <w:spacing w:after="0" w:line="240" w:lineRule="auto"/>
        <w:jc w:val="both"/>
        <w:rPr>
          <w:rFonts w:ascii="Times New Roman" w:hAnsi="Times New Roman"/>
          <w:color w:val="0070C0"/>
          <w:sz w:val="16"/>
          <w:szCs w:val="16"/>
        </w:rPr>
      </w:pPr>
    </w:p>
    <w:p w14:paraId="27FC007A" w14:textId="77777777" w:rsidR="00961132" w:rsidRPr="00142305" w:rsidRDefault="00961132" w:rsidP="0096113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сентябре 1933 г. А.В. Ляпидевский был направлен в распоряжение ГУСМ11 для участия в спасательной экспеди</w:t>
      </w:r>
      <w:r w:rsidRPr="00142305">
        <w:rPr>
          <w:rStyle w:val="aff"/>
          <w:rFonts w:ascii="Times New Roman" w:hAnsi="Times New Roman" w:cs="Times New Roman"/>
          <w:color w:val="0070C0"/>
          <w:spacing w:val="0"/>
          <w:sz w:val="16"/>
          <w:szCs w:val="16"/>
        </w:rPr>
        <w:softHyphen/>
        <w:t xml:space="preserve">ции. </w:t>
      </w:r>
    </w:p>
    <w:p w14:paraId="09AB07CA"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мысе Северный в целях срочной эвакуации экипажей и пассажиров дрейфующих судов, зажатых льдами, было создано временное объедине</w:t>
      </w:r>
      <w:r w:rsidRPr="00142305">
        <w:rPr>
          <w:rStyle w:val="aff"/>
          <w:rFonts w:ascii="Times New Roman" w:hAnsi="Times New Roman" w:cs="Times New Roman"/>
          <w:color w:val="0070C0"/>
          <w:spacing w:val="0"/>
          <w:sz w:val="16"/>
          <w:szCs w:val="16"/>
        </w:rPr>
        <w:softHyphen/>
        <w:t xml:space="preserve">ние - Северо-восточная авиагруппа УВС ГУСМП. Сначала правительство СССР возложило руководство спасательной операцией на начальника ГУСМП </w:t>
      </w:r>
      <w:r w:rsidRPr="00142305">
        <w:rPr>
          <w:rStyle w:val="aff"/>
          <w:rFonts w:ascii="Times New Roman" w:hAnsi="Times New Roman" w:cs="Times New Roman"/>
          <w:color w:val="0070C0"/>
          <w:spacing w:val="0"/>
          <w:sz w:val="16"/>
          <w:szCs w:val="16"/>
          <w:lang w:val="en-US"/>
        </w:rPr>
        <w:t>O</w:t>
      </w:r>
      <w:r w:rsidRPr="00142305">
        <w:rPr>
          <w:rStyle w:val="aff"/>
          <w:rFonts w:ascii="Times New Roman" w:hAnsi="Times New Roman" w:cs="Times New Roman"/>
          <w:color w:val="0070C0"/>
          <w:spacing w:val="0"/>
          <w:sz w:val="16"/>
          <w:szCs w:val="16"/>
        </w:rPr>
        <w:t>.</w:t>
      </w:r>
      <w:r w:rsidRPr="00142305">
        <w:rPr>
          <w:rStyle w:val="aff"/>
          <w:rFonts w:ascii="Times New Roman" w:hAnsi="Times New Roman" w:cs="Times New Roman"/>
          <w:color w:val="0070C0"/>
          <w:spacing w:val="0"/>
          <w:sz w:val="16"/>
          <w:szCs w:val="16"/>
          <w:lang w:val="en-US"/>
        </w:rPr>
        <w:t>IO</w:t>
      </w:r>
      <w:r w:rsidRPr="00142305">
        <w:rPr>
          <w:rStyle w:val="aff"/>
          <w:rFonts w:ascii="Times New Roman" w:hAnsi="Times New Roman" w:cs="Times New Roman"/>
          <w:color w:val="0070C0"/>
          <w:spacing w:val="0"/>
          <w:sz w:val="16"/>
          <w:szCs w:val="16"/>
        </w:rPr>
        <w:t>. Шмидта, возглав</w:t>
      </w:r>
      <w:r w:rsidRPr="00142305">
        <w:rPr>
          <w:rStyle w:val="aff"/>
          <w:rFonts w:ascii="Times New Roman" w:hAnsi="Times New Roman" w:cs="Times New Roman"/>
          <w:color w:val="0070C0"/>
          <w:spacing w:val="0"/>
          <w:sz w:val="16"/>
          <w:szCs w:val="16"/>
        </w:rPr>
        <w:softHyphen/>
        <w:t>лявшего экспедицию на пароходе «Челюскин», но он сам вскоре попал в безвыходную ситуацию и уполномоченным СНК был назначен Г.Д. Красииский. Последнему удалось собрать в состав Северо-восточной авиагруппы пять самолётов («Савойя», Дорнье «Валь», «Юнкере» и два У-2). Но после отлёта Дорнье «Валя» С.А. Леваневского единственной исправной машиной оказался видавший виды «Юнкере» Ф.К. Куканова.</w:t>
      </w:r>
    </w:p>
    <w:p w14:paraId="01567E18"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Поэтому в помощь Г.Д.Красовскому была выделена группа из двух самолётов ТБ-1 во главе с нилотом Дальне</w:t>
      </w:r>
      <w:r w:rsidRPr="00142305">
        <w:rPr>
          <w:rStyle w:val="aff"/>
          <w:rFonts w:ascii="Times New Roman" w:hAnsi="Times New Roman" w:cs="Times New Roman"/>
          <w:color w:val="0070C0"/>
          <w:spacing w:val="0"/>
          <w:sz w:val="16"/>
          <w:szCs w:val="16"/>
        </w:rPr>
        <w:softHyphen/>
        <w:t>восточного Управления воздушных линий «Трансавиации» ГВФ А.В. Ляпидевским.</w:t>
      </w:r>
    </w:p>
    <w:p w14:paraId="6E300A8D" w14:textId="77777777" w:rsidR="00961132" w:rsidRPr="00142305" w:rsidRDefault="00961132" w:rsidP="0096113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октябре его группа в составе: лётчиков А. Чернявско</w:t>
      </w:r>
      <w:r w:rsidRPr="00142305">
        <w:rPr>
          <w:rStyle w:val="aff"/>
          <w:rFonts w:ascii="Times New Roman" w:hAnsi="Times New Roman" w:cs="Times New Roman"/>
          <w:color w:val="0070C0"/>
          <w:spacing w:val="0"/>
          <w:sz w:val="16"/>
          <w:szCs w:val="16"/>
        </w:rPr>
        <w:softHyphen/>
        <w:t>го, Е.М. Конкина, штурмана Л.В. Петрова, бортмехаников М.А. Буковского, И.М. Курова и мотористов А.М. Ярового, А.И. Склярова, И. Гераскина получила в Приморье в 28-й авиабригаде ОКДВА два тяжёлых бомбардировщика ТБ-1. После демонтажа вооружения машины вновь получили открытое гражданское наименование Г-1. Облётанные машины АНТ-4 авиаторы группы А.В. Ляпи</w:t>
      </w:r>
      <w:r w:rsidRPr="00142305">
        <w:rPr>
          <w:rStyle w:val="aff"/>
          <w:rFonts w:ascii="Times New Roman" w:hAnsi="Times New Roman" w:cs="Times New Roman"/>
          <w:color w:val="0070C0"/>
          <w:spacing w:val="0"/>
          <w:sz w:val="16"/>
          <w:szCs w:val="16"/>
        </w:rPr>
        <w:softHyphen/>
        <w:t>девского доставили во Владивосток, где разобрали и погру</w:t>
      </w:r>
      <w:r w:rsidRPr="00142305">
        <w:rPr>
          <w:rStyle w:val="aff"/>
          <w:rFonts w:ascii="Times New Roman" w:hAnsi="Times New Roman" w:cs="Times New Roman"/>
          <w:color w:val="0070C0"/>
          <w:spacing w:val="0"/>
          <w:sz w:val="16"/>
          <w:szCs w:val="16"/>
        </w:rPr>
        <w:softHyphen/>
        <w:t>зили на пароход «Сергей Киров».</w:t>
      </w:r>
    </w:p>
    <w:p w14:paraId="4411A707" w14:textId="77777777" w:rsidR="00961132" w:rsidRPr="00142305" w:rsidRDefault="00961132" w:rsidP="00961132">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21 октября в обстановке особой секретности (отношения СССР с соседней Японией начинали ухудшаться) судно покинуло Владивосток и далее, минуя Сангарский пролив, прибыло па Камчатку. В Петро</w:t>
      </w:r>
      <w:r w:rsidRPr="00142305">
        <w:rPr>
          <w:rStyle w:val="aff"/>
          <w:rFonts w:ascii="Times New Roman" w:hAnsi="Times New Roman" w:cs="Times New Roman"/>
          <w:color w:val="0070C0"/>
          <w:spacing w:val="0"/>
          <w:sz w:val="16"/>
          <w:szCs w:val="16"/>
        </w:rPr>
        <w:softHyphen/>
        <w:t>павловске самолёты с экипажами перегрузили па пароход «Смоленск», который в конце ноября вместе с грузом угля доставил их на Чукотку в бухту Провидения.</w:t>
      </w:r>
    </w:p>
    <w:p w14:paraId="74419AD2" w14:textId="77777777" w:rsidR="00961132" w:rsidRPr="00142305" w:rsidRDefault="00961132" w:rsidP="0096113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Здесь АНТ-4 выгрузили на лёд, собрали и облетали. 20 декабря самолёт А.В. Ляпидевского, как наиболее опытного морского лётчика, перелетел па промежуточную базу Уэлен, расположенную на мысе Дежнёва (25653).</w:t>
      </w:r>
    </w:p>
    <w:p w14:paraId="13DD5DFB" w14:textId="77777777" w:rsidR="00961132" w:rsidRPr="00142305" w:rsidRDefault="00961132" w:rsidP="00961132">
      <w:pPr>
        <w:spacing w:after="0" w:line="240" w:lineRule="auto"/>
        <w:jc w:val="both"/>
        <w:rPr>
          <w:rFonts w:ascii="Times New Roman" w:hAnsi="Times New Roman"/>
          <w:color w:val="0070C0"/>
          <w:sz w:val="16"/>
          <w:szCs w:val="16"/>
        </w:rPr>
      </w:pPr>
    </w:p>
    <w:p w14:paraId="38A92E2A"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D5CE536"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FD22E4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были проведены испытания Т-25А (артиллерийский) или Т-26-4, разработанного в 1933 КБ Опытного завода Спешмаштреста им. Кирова под руководством Н.В.Барыкова и С.А.Гинзбурга. По результатам испытаний в конструкцию внесли изменения и в 1933-34 изготовили опытную партию из 5 машин. Получил 76 мм пушку обр. 1927 с укороченным откатом (2 машины) и 76 мм ПС-3 (3 машины). Орудия монтировали на Красном пролетарии в Москве (9527,92).</w:t>
      </w:r>
    </w:p>
    <w:p w14:paraId="3D46DFB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3025676" w14:textId="77777777" w:rsidR="003F2394" w:rsidRPr="0044524F" w:rsidRDefault="003F2394" w:rsidP="009654CF">
      <w:pPr>
        <w:pStyle w:val="a3"/>
        <w:rPr>
          <w:color w:val="000000" w:themeColor="text1"/>
          <w:lang w:val="ru-RU"/>
        </w:rPr>
      </w:pPr>
      <w:r w:rsidRPr="0044524F">
        <w:rPr>
          <w:color w:val="000000" w:themeColor="text1"/>
          <w:lang w:val="ru-RU"/>
        </w:rPr>
        <w:t xml:space="preserve">В сентябре 1933 г. произошла очередная реорганизация танкового производства завода. Вся конструкторско-экспериментальная часть завода </w:t>
      </w:r>
      <w:r w:rsidRPr="0044524F">
        <w:rPr>
          <w:color w:val="000000" w:themeColor="text1"/>
        </w:rPr>
        <w:t>N</w:t>
      </w:r>
      <w:r w:rsidRPr="0044524F">
        <w:rPr>
          <w:color w:val="000000" w:themeColor="text1"/>
          <w:lang w:val="ru-RU"/>
        </w:rPr>
        <w:t>"174 была выделена в самостоя</w:t>
      </w:r>
      <w:r w:rsidRPr="0044524F">
        <w:rPr>
          <w:color w:val="000000" w:themeColor="text1"/>
          <w:lang w:val="ru-RU"/>
        </w:rPr>
        <w:softHyphen/>
        <w:t>тельный завод №185 (с 1934 г. — им. Кирова). Директором завода стал Н.В. Барыков, заме</w:t>
      </w:r>
      <w:r w:rsidRPr="0044524F">
        <w:rPr>
          <w:color w:val="000000" w:themeColor="text1"/>
          <w:lang w:val="ru-RU"/>
        </w:rPr>
        <w:softHyphen/>
        <w:t>стителем директора и начальником конструк</w:t>
      </w:r>
      <w:r w:rsidRPr="0044524F">
        <w:rPr>
          <w:color w:val="000000" w:themeColor="text1"/>
          <w:lang w:val="ru-RU"/>
        </w:rPr>
        <w:softHyphen/>
        <w:t>торского отдела — С.А. Гинзбург, вторым заместителем директора по конструкторско- исследовательской части — Г.В. Гудков (12619).</w:t>
      </w:r>
    </w:p>
    <w:p w14:paraId="6BBBCFEC" w14:textId="77777777" w:rsidR="003F2394" w:rsidRPr="0044524F" w:rsidRDefault="003F2394" w:rsidP="009654CF">
      <w:pPr>
        <w:pStyle w:val="a3"/>
        <w:rPr>
          <w:color w:val="000000" w:themeColor="text1"/>
          <w:lang w:val="ru-RU"/>
        </w:rPr>
      </w:pPr>
    </w:p>
    <w:p w14:paraId="1F246F85" w14:textId="77777777" w:rsidR="003F2394" w:rsidRPr="0044524F" w:rsidRDefault="003F2394" w:rsidP="009654CF">
      <w:pPr>
        <w:pStyle w:val="74"/>
        <w:shd w:val="clear" w:color="auto" w:fill="auto"/>
        <w:spacing w:line="240" w:lineRule="auto"/>
        <w:ind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в заключении 3-го управле</w:t>
      </w:r>
      <w:r w:rsidRPr="0044524F">
        <w:rPr>
          <w:rFonts w:ascii="Times New Roman" w:hAnsi="Times New Roman"/>
          <w:color w:val="000000" w:themeColor="text1"/>
          <w:sz w:val="16"/>
          <w:szCs w:val="16"/>
        </w:rPr>
        <w:softHyphen/>
        <w:t>ния УММ РККА БХМ-8 отмечалось:</w:t>
      </w:r>
    </w:p>
    <w:p w14:paraId="53D7129D" w14:textId="77777777" w:rsidR="003F2394" w:rsidRPr="0044524F" w:rsidRDefault="003F2394" w:rsidP="009654CF">
      <w:pPr>
        <w:pStyle w:val="5a"/>
        <w:shd w:val="clear" w:color="auto" w:fill="auto"/>
        <w:spacing w:line="240" w:lineRule="auto"/>
        <w:ind w:firstLine="0"/>
        <w:jc w:val="both"/>
        <w:rPr>
          <w:rFonts w:ascii="Times New Roman" w:hAnsi="Times New Roman"/>
          <w:color w:val="000000" w:themeColor="text1"/>
          <w:spacing w:val="0"/>
          <w:sz w:val="16"/>
          <w:szCs w:val="16"/>
        </w:rPr>
      </w:pPr>
      <w:r w:rsidRPr="0044524F">
        <w:rPr>
          <w:rFonts w:ascii="Times New Roman" w:hAnsi="Times New Roman"/>
          <w:color w:val="000000" w:themeColor="text1"/>
          <w:spacing w:val="0"/>
          <w:sz w:val="16"/>
          <w:szCs w:val="16"/>
        </w:rPr>
        <w:t>«Таких же результатов, вернее, лучших в смысле использования веса, можно было бы добиться и на шасси танка Т-37, сняв с него вооружение, боевой комплект, башню, часть запаса горючего и одного человека экипажа».</w:t>
      </w:r>
    </w:p>
    <w:p w14:paraId="7CF1EDF1" w14:textId="77777777" w:rsidR="003F2394" w:rsidRPr="0044524F" w:rsidRDefault="003F2394" w:rsidP="009654CF">
      <w:pPr>
        <w:pStyle w:val="74"/>
        <w:shd w:val="clear" w:color="auto" w:fill="auto"/>
        <w:spacing w:line="240" w:lineRule="auto"/>
        <w:ind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было установлено, что при заданных условиях получить специальную бое</w:t>
      </w:r>
      <w:r w:rsidRPr="0044524F">
        <w:rPr>
          <w:rFonts w:ascii="Times New Roman" w:hAnsi="Times New Roman"/>
          <w:color w:val="000000" w:themeColor="text1"/>
          <w:sz w:val="16"/>
          <w:szCs w:val="16"/>
        </w:rPr>
        <w:softHyphen/>
        <w:t>вую химическую машину с необходимыми пара</w:t>
      </w:r>
      <w:r w:rsidRPr="0044524F">
        <w:rPr>
          <w:rFonts w:ascii="Times New Roman" w:hAnsi="Times New Roman"/>
          <w:color w:val="000000" w:themeColor="text1"/>
          <w:sz w:val="16"/>
          <w:szCs w:val="16"/>
        </w:rPr>
        <w:softHyphen/>
        <w:t>метрами невозможно. Дальнейшие работы по БХМ-8 были приостановлены, а проектирование легких боевых химических гусеничных машин велось уже на базе серийных конструкций.</w:t>
      </w:r>
    </w:p>
    <w:p w14:paraId="68423FBE" w14:textId="77777777" w:rsidR="003F2394" w:rsidRPr="0044524F" w:rsidRDefault="003F2394" w:rsidP="009654CF">
      <w:pPr>
        <w:pStyle w:val="a3"/>
        <w:rPr>
          <w:color w:val="000000" w:themeColor="text1"/>
          <w:lang w:val="ru-RU"/>
        </w:rPr>
      </w:pPr>
      <w:r w:rsidRPr="0044524F">
        <w:rPr>
          <w:color w:val="000000" w:themeColor="text1"/>
          <w:lang w:val="ru-RU"/>
        </w:rPr>
        <w:t>В Управлении военных изобретений (УВИ) РККА организовали про</w:t>
      </w:r>
      <w:r w:rsidRPr="0044524F">
        <w:rPr>
          <w:color w:val="000000" w:themeColor="text1"/>
          <w:lang w:val="ru-RU"/>
        </w:rPr>
        <w:softHyphen/>
        <w:t>ектные работы по созданию легкой гусеничной БХМ на оригинальной базе. Одноместная ма</w:t>
      </w:r>
      <w:r w:rsidRPr="0044524F">
        <w:rPr>
          <w:color w:val="000000" w:themeColor="text1"/>
          <w:lang w:val="ru-RU"/>
        </w:rPr>
        <w:softHyphen/>
        <w:t>шина разработки Конструкторского бюро УВИ РККА т. Бродского была названа БХМ-8. В БХМ-8 из серийных агрегатов предпо</w:t>
      </w:r>
      <w:r w:rsidRPr="0044524F">
        <w:rPr>
          <w:color w:val="000000" w:themeColor="text1"/>
          <w:lang w:val="ru-RU"/>
        </w:rPr>
        <w:softHyphen/>
        <w:t>лагалось использовать только силовую уста</w:t>
      </w:r>
      <w:r w:rsidRPr="0044524F">
        <w:rPr>
          <w:color w:val="000000" w:themeColor="text1"/>
          <w:lang w:val="ru-RU"/>
        </w:rPr>
        <w:softHyphen/>
        <w:t>новку — двигатель «Форд АА». С целью обе</w:t>
      </w:r>
      <w:r w:rsidRPr="0044524F">
        <w:rPr>
          <w:color w:val="000000" w:themeColor="text1"/>
          <w:lang w:val="ru-RU"/>
        </w:rPr>
        <w:softHyphen/>
        <w:t>спечения подвижности масса машины ограни</w:t>
      </w:r>
      <w:r w:rsidRPr="0044524F">
        <w:rPr>
          <w:color w:val="000000" w:themeColor="text1"/>
          <w:lang w:val="ru-RU"/>
        </w:rPr>
        <w:softHyphen/>
        <w:t>чивалась в пределах 3000—3200 кг. Для БХМ-8 спроектировали оригинальный гусеничный движитель с резинометаллической гусеницей, а также предусмотрели возможность движения по железной дороге со скоростью до 60 км/ч. Расположение отделений управления, силово</w:t>
      </w:r>
      <w:r w:rsidRPr="0044524F">
        <w:rPr>
          <w:color w:val="000000" w:themeColor="text1"/>
          <w:lang w:val="ru-RU"/>
        </w:rPr>
        <w:softHyphen/>
        <w:t>го и боевого отделений было последователь</w:t>
      </w:r>
      <w:r w:rsidRPr="0044524F">
        <w:rPr>
          <w:color w:val="000000" w:themeColor="text1"/>
          <w:lang w:val="ru-RU"/>
        </w:rPr>
        <w:softHyphen/>
        <w:t>ным. По проекту, боевые химические вещества размещались в разделенной на отсеки цистер</w:t>
      </w:r>
      <w:r w:rsidRPr="0044524F">
        <w:rPr>
          <w:color w:val="000000" w:themeColor="text1"/>
          <w:lang w:val="ru-RU"/>
        </w:rPr>
        <w:softHyphen/>
        <w:t>не, допускающей при необходимости заправку через отдельные горловины. Подразумевался вариант управления БХМ-8 по радио.</w:t>
      </w:r>
    </w:p>
    <w:p w14:paraId="50944C57" w14:textId="77777777" w:rsidR="003F2394" w:rsidRPr="0044524F" w:rsidRDefault="003F2394" w:rsidP="009654CF">
      <w:pPr>
        <w:pStyle w:val="74"/>
        <w:shd w:val="clear" w:color="auto" w:fill="auto"/>
        <w:spacing w:line="240" w:lineRule="auto"/>
        <w:ind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 не менее, в этом проекте не удалось реализовать комплекс требований, предъяв</w:t>
      </w:r>
      <w:r w:rsidRPr="0044524F">
        <w:rPr>
          <w:rFonts w:ascii="Times New Roman" w:hAnsi="Times New Roman"/>
          <w:color w:val="000000" w:themeColor="text1"/>
          <w:sz w:val="16"/>
          <w:szCs w:val="16"/>
        </w:rPr>
        <w:softHyphen/>
        <w:t>ляемых к боевой химической машине. Мас</w:t>
      </w:r>
      <w:r w:rsidRPr="0044524F">
        <w:rPr>
          <w:rFonts w:ascii="Times New Roman" w:hAnsi="Times New Roman"/>
          <w:color w:val="000000" w:themeColor="text1"/>
          <w:sz w:val="16"/>
          <w:szCs w:val="16"/>
        </w:rPr>
        <w:softHyphen/>
        <w:t>са специального вещества была ограничена 650 кг. Из-за массогабаритных ограничений в БХМ-8 пришлось отказаться от бронирования, что обесценивало ее боевые возможности (12125).</w:t>
      </w:r>
    </w:p>
    <w:p w14:paraId="64418A28" w14:textId="77777777" w:rsidR="003F2394" w:rsidRPr="0044524F" w:rsidRDefault="003F2394" w:rsidP="009654CF">
      <w:pPr>
        <w:spacing w:after="0" w:line="240" w:lineRule="auto"/>
        <w:jc w:val="both"/>
        <w:rPr>
          <w:rStyle w:val="1c"/>
          <w:rFonts w:ascii="Times New Roman" w:hAnsi="Times New Roman"/>
          <w:i w:val="0"/>
          <w:color w:val="000000" w:themeColor="text1"/>
          <w:sz w:val="16"/>
          <w:szCs w:val="16"/>
        </w:rPr>
      </w:pPr>
    </w:p>
    <w:p w14:paraId="415E179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сентября 1933 на Т-35 устанавливали съемный дымовой прибор ТДП-3 (два баллона по 40 л) конструкции СКБ завода Промет с использованием спецжидкости S-IV, но с 1933 прибор прекратили производить и заменили ТДП-4 с двумя баллонами общей емкостью 150-180 л (9527,197).</w:t>
      </w:r>
    </w:p>
    <w:p w14:paraId="51BBEDB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19C95D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года в докладе директора завода имени Коминтерна на бюро горкома партии о состоянии дизелестроения на заводе сказано: «...за</w:t>
      </w:r>
      <w:r w:rsidRPr="0044524F">
        <w:rPr>
          <w:rFonts w:ascii="Times New Roman" w:hAnsi="Times New Roman"/>
          <w:color w:val="000000" w:themeColor="text1"/>
          <w:sz w:val="16"/>
          <w:szCs w:val="16"/>
        </w:rPr>
        <w:softHyphen/>
        <w:t>вод поставил перед собой задачу (и в настоящее время может считать ее Почти разрешенной) — сконструировать и построить мощный быстро</w:t>
      </w:r>
      <w:r w:rsidRPr="0044524F">
        <w:rPr>
          <w:rFonts w:ascii="Times New Roman" w:hAnsi="Times New Roman"/>
          <w:color w:val="000000" w:themeColor="text1"/>
          <w:sz w:val="16"/>
          <w:szCs w:val="16"/>
        </w:rPr>
        <w:softHyphen/>
        <w:t>ходный дизель-мотор, имеющий колоссальное значение». С 1932 года Конструкторы-дизелисты завода полностью сосредоточили свои усилия На создании танкового дизеля. Дизели другого назначения, находящиеся в разработке и в производстве завода, были переданы на другие предпри</w:t>
      </w:r>
      <w:r w:rsidRPr="0044524F">
        <w:rPr>
          <w:rFonts w:ascii="Times New Roman" w:hAnsi="Times New Roman"/>
          <w:color w:val="000000" w:themeColor="text1"/>
          <w:sz w:val="16"/>
          <w:szCs w:val="16"/>
        </w:rPr>
        <w:softHyphen/>
        <w:t>ятия отрасли дизелестроения (11504).</w:t>
      </w:r>
    </w:p>
    <w:p w14:paraId="5F2C868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32092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года закончились стендовые испытания первого опытного дизель-мотора ХПЗ БД-1, которые начались в мае. К 1 мая 1933 года быстроходный дизель БД-1 был собран. Помня свой богатый опыт неудач, начиная с Д-40, Челпан и Вихман приготовились к тому, что, во-первых, он сразу же не запустится, а во-вторых, долго не проработает. А проработать на испытаниях согласно техническому зада</w:t>
      </w:r>
      <w:r w:rsidRPr="0044524F">
        <w:rPr>
          <w:rFonts w:ascii="Times New Roman" w:hAnsi="Times New Roman"/>
          <w:color w:val="000000" w:themeColor="text1"/>
          <w:sz w:val="16"/>
          <w:szCs w:val="16"/>
        </w:rPr>
        <w:softHyphen/>
        <w:t>нию на дизель Д-300 мотор должен был целых 150 часов. Неожиданно мотор сразу запустился и начал работать, словно это на</w:t>
      </w:r>
      <w:r w:rsidRPr="0044524F">
        <w:rPr>
          <w:rFonts w:ascii="Times New Roman" w:hAnsi="Times New Roman"/>
          <w:color w:val="000000" w:themeColor="text1"/>
          <w:sz w:val="16"/>
          <w:szCs w:val="16"/>
        </w:rPr>
        <w:softHyphen/>
        <w:t>дежный серийный двигатель. был поставлен на специальный обкаточ</w:t>
      </w:r>
      <w:r w:rsidRPr="0044524F">
        <w:rPr>
          <w:rFonts w:ascii="Times New Roman" w:hAnsi="Times New Roman"/>
          <w:color w:val="000000" w:themeColor="text1"/>
          <w:sz w:val="16"/>
          <w:szCs w:val="16"/>
        </w:rPr>
        <w:softHyphen/>
        <w:t>ный стенд.</w:t>
      </w:r>
    </w:p>
    <w:p w14:paraId="7C96707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 БД-1 был установлен на специальный обкаточный стенд. После того, как его запустили, около него остался дежурный механик ис</w:t>
      </w:r>
      <w:r w:rsidRPr="0044524F">
        <w:rPr>
          <w:rFonts w:ascii="Times New Roman" w:hAnsi="Times New Roman"/>
          <w:color w:val="000000" w:themeColor="text1"/>
          <w:sz w:val="16"/>
          <w:szCs w:val="16"/>
        </w:rPr>
        <w:softHyphen/>
        <w:t>пытательной лаборатории дизельного отдела. Он стал прохаживаться под навесом, ни к чему не прикасаясь, лишь поглядывая на стрелки прибо</w:t>
      </w:r>
      <w:r w:rsidRPr="0044524F">
        <w:rPr>
          <w:rFonts w:ascii="Times New Roman" w:hAnsi="Times New Roman"/>
          <w:color w:val="000000" w:themeColor="text1"/>
          <w:sz w:val="16"/>
          <w:szCs w:val="16"/>
        </w:rPr>
        <w:softHyphen/>
        <w:t>ров, размещенных на длинной панели. Стрелки приборов дрожали, по</w:t>
      </w:r>
      <w:r w:rsidRPr="0044524F">
        <w:rPr>
          <w:rFonts w:ascii="Times New Roman" w:hAnsi="Times New Roman"/>
          <w:color w:val="000000" w:themeColor="text1"/>
          <w:sz w:val="16"/>
          <w:szCs w:val="16"/>
        </w:rPr>
        <w:softHyphen/>
        <w:t>казывая количество оборотов в минуту, мощность, развиваемую двигате</w:t>
      </w:r>
      <w:r w:rsidRPr="0044524F">
        <w:rPr>
          <w:rFonts w:ascii="Times New Roman" w:hAnsi="Times New Roman"/>
          <w:color w:val="000000" w:themeColor="text1"/>
          <w:sz w:val="16"/>
          <w:szCs w:val="16"/>
        </w:rPr>
        <w:softHyphen/>
        <w:t>лем, давление масла и т.д.</w:t>
      </w:r>
    </w:p>
    <w:p w14:paraId="326567C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БД-1 ревел под навесом на открытом воздухе. Из его выхлопных труб вылетали огненные языки, прорезая темноту навеса. В любом помеще</w:t>
      </w:r>
      <w:r w:rsidRPr="0044524F">
        <w:rPr>
          <w:rFonts w:ascii="Times New Roman" w:hAnsi="Times New Roman"/>
          <w:color w:val="000000" w:themeColor="text1"/>
          <w:sz w:val="16"/>
          <w:szCs w:val="16"/>
        </w:rPr>
        <w:softHyphen/>
        <w:t>нии от этих сгорающих отработанных газов задохнулись бы не только люди, но и сам мотор, тоже требующий кислорода...</w:t>
      </w:r>
    </w:p>
    <w:p w14:paraId="774A784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 ревел, сотрясая бетонный фундамент под собой, сотрясая воз</w:t>
      </w:r>
      <w:r w:rsidRPr="0044524F">
        <w:rPr>
          <w:rFonts w:ascii="Times New Roman" w:hAnsi="Times New Roman"/>
          <w:color w:val="000000" w:themeColor="text1"/>
          <w:sz w:val="16"/>
          <w:szCs w:val="16"/>
        </w:rPr>
        <w:softHyphen/>
        <w:t>дух. Вот так — без перерыва, без единой остановки хотя бы на минуту — мотор должен был проработать 150 часов на государственных испытаниях, к которым должны были его подготовить конструкторы и инженеры отде</w:t>
      </w:r>
      <w:r w:rsidRPr="0044524F">
        <w:rPr>
          <w:rFonts w:ascii="Times New Roman" w:hAnsi="Times New Roman"/>
          <w:color w:val="000000" w:themeColor="text1"/>
          <w:sz w:val="16"/>
          <w:szCs w:val="16"/>
        </w:rPr>
        <w:softHyphen/>
        <w:t>ла. Танковый дизель, по существу, еще не был создан, не был доведен.</w:t>
      </w:r>
    </w:p>
    <w:p w14:paraId="7EF5573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Никто из создателей танкового дизеля не предполагал тогда, что для того, чтобы довести дизель до его непрерывной 150 часовой работы по</w:t>
      </w:r>
      <w:r w:rsidRPr="0044524F">
        <w:rPr>
          <w:rFonts w:ascii="Times New Roman" w:hAnsi="Times New Roman"/>
          <w:color w:val="000000" w:themeColor="text1"/>
          <w:sz w:val="16"/>
          <w:szCs w:val="16"/>
        </w:rPr>
        <w:softHyphen/>
        <w:t>требуется долгих 6,5 лет.</w:t>
      </w:r>
    </w:p>
    <w:p w14:paraId="251EE88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рабочего дня около дизеля собрались конструкторы и инже</w:t>
      </w:r>
      <w:r w:rsidRPr="0044524F">
        <w:rPr>
          <w:rFonts w:ascii="Times New Roman" w:hAnsi="Times New Roman"/>
          <w:color w:val="000000" w:themeColor="text1"/>
          <w:sz w:val="16"/>
          <w:szCs w:val="16"/>
        </w:rPr>
        <w:softHyphen/>
        <w:t>неры дизельного отдела. Пришел ярый поборник установки дизеля на танк военпред на ХПЗ М.Н.Федоров. Подошли и Челпан с Вихманом.</w:t>
      </w:r>
    </w:p>
    <w:p w14:paraId="2DCAD13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Константин Федорович стоял у ярко освещенной панели, где по при-</w:t>
      </w:r>
    </w:p>
    <w:p w14:paraId="58C90CD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борам можно было увидеть, как работает БД-1, но сейчас, сдержанно улы</w:t>
      </w:r>
      <w:r w:rsidRPr="0044524F">
        <w:rPr>
          <w:rFonts w:ascii="Times New Roman" w:hAnsi="Times New Roman"/>
          <w:color w:val="000000" w:themeColor="text1"/>
          <w:sz w:val="16"/>
          <w:szCs w:val="16"/>
        </w:rPr>
        <w:softHyphen/>
        <w:t>баясь, смотрел не на приборы, а на молодых конструкторов, которые сто</w:t>
      </w:r>
      <w:r w:rsidRPr="0044524F">
        <w:rPr>
          <w:rFonts w:ascii="Times New Roman" w:hAnsi="Times New Roman"/>
          <w:color w:val="000000" w:themeColor="text1"/>
          <w:sz w:val="16"/>
          <w:szCs w:val="16"/>
        </w:rPr>
        <w:softHyphen/>
        <w:t>яли в ожидании команды, чтобы отметить двойное событие: начало за</w:t>
      </w:r>
      <w:r w:rsidRPr="0044524F">
        <w:rPr>
          <w:rFonts w:ascii="Times New Roman" w:hAnsi="Times New Roman"/>
          <w:color w:val="000000" w:themeColor="text1"/>
          <w:sz w:val="16"/>
          <w:szCs w:val="16"/>
        </w:rPr>
        <w:softHyphen/>
        <w:t>рождения танкового дизеля и наступающий праздник 1 Мая 1933 года. Вихман прокричал на ухо дежурному механику:</w:t>
      </w:r>
    </w:p>
    <w:p w14:paraId="33FE502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Сбросьте газ до малого!</w:t>
      </w:r>
    </w:p>
    <w:p w14:paraId="3E54A20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полагаясь на свой голос, Вихман еще и жестами скомандовал, что</w:t>
      </w:r>
      <w:r w:rsidRPr="0044524F">
        <w:rPr>
          <w:rFonts w:ascii="Times New Roman" w:hAnsi="Times New Roman"/>
          <w:color w:val="000000" w:themeColor="text1"/>
          <w:sz w:val="16"/>
          <w:szCs w:val="16"/>
        </w:rPr>
        <w:softHyphen/>
        <w:t>бы мотор гудел потише.</w:t>
      </w:r>
    </w:p>
    <w:p w14:paraId="4FD9E96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Снизьте обороты! — прокричал на этот раз Челпан.</w:t>
      </w:r>
    </w:p>
    <w:p w14:paraId="75DBC09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Он жестами изобразил, что представляет слово главному конструкто</w:t>
      </w:r>
      <w:r w:rsidRPr="0044524F">
        <w:rPr>
          <w:rFonts w:ascii="Times New Roman" w:hAnsi="Times New Roman"/>
          <w:color w:val="000000" w:themeColor="text1"/>
          <w:sz w:val="16"/>
          <w:szCs w:val="16"/>
        </w:rPr>
        <w:softHyphen/>
        <w:t>ру. И опять не обошлось без назидательной, но весьма разумной фило</w:t>
      </w:r>
      <w:r w:rsidRPr="0044524F">
        <w:rPr>
          <w:rFonts w:ascii="Times New Roman" w:hAnsi="Times New Roman"/>
          <w:color w:val="000000" w:themeColor="text1"/>
          <w:sz w:val="16"/>
          <w:szCs w:val="16"/>
        </w:rPr>
        <w:softHyphen/>
        <w:t>софской лекции Якова Вихмана.</w:t>
      </w:r>
    </w:p>
    <w:p w14:paraId="0A799A6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Друзья мои, — начал он с пафосом, — посмотрите на это свое желез</w:t>
      </w:r>
      <w:r w:rsidRPr="0044524F">
        <w:rPr>
          <w:rFonts w:ascii="Times New Roman" w:hAnsi="Times New Roman"/>
          <w:color w:val="000000" w:themeColor="text1"/>
          <w:sz w:val="16"/>
          <w:szCs w:val="16"/>
        </w:rPr>
        <w:softHyphen/>
        <w:t>ное творение, в котором скрыта силища в целый табун из четырехсот ло</w:t>
      </w:r>
      <w:r w:rsidRPr="0044524F">
        <w:rPr>
          <w:rFonts w:ascii="Times New Roman" w:hAnsi="Times New Roman"/>
          <w:color w:val="000000" w:themeColor="text1"/>
          <w:sz w:val="16"/>
          <w:szCs w:val="16"/>
        </w:rPr>
        <w:softHyphen/>
        <w:t>шадей. А теперь послушайте, что могут нам преподнести эти строптивые «лошадки», дабы испортить нам спокойную кабинетную жизнь.</w:t>
      </w:r>
    </w:p>
    <w:p w14:paraId="7625715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Альтернативы, возникающие при исследовании опытного образца, — продолжал Вихман, — примерно таковы:</w:t>
      </w:r>
    </w:p>
    <w:p w14:paraId="157A874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Первое. Известны причины и источник неблагополучия, а также изве</w:t>
      </w:r>
      <w:r w:rsidRPr="0044524F">
        <w:rPr>
          <w:rFonts w:ascii="Times New Roman" w:hAnsi="Times New Roman"/>
          <w:color w:val="000000" w:themeColor="text1"/>
          <w:sz w:val="16"/>
          <w:szCs w:val="16"/>
        </w:rPr>
        <w:softHyphen/>
        <w:t>стно, что необходимо предпринять для устранения неблагоприятных про</w:t>
      </w:r>
      <w:r w:rsidRPr="0044524F">
        <w:rPr>
          <w:rFonts w:ascii="Times New Roman" w:hAnsi="Times New Roman"/>
          <w:color w:val="000000" w:themeColor="text1"/>
          <w:sz w:val="16"/>
          <w:szCs w:val="16"/>
        </w:rPr>
        <w:softHyphen/>
        <w:t>явлений.</w:t>
      </w:r>
    </w:p>
    <w:p w14:paraId="18A472C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Второе. Известны причины и источник неудовлетворительной рабо</w:t>
      </w:r>
      <w:r w:rsidRPr="0044524F">
        <w:rPr>
          <w:rFonts w:ascii="Times New Roman" w:hAnsi="Times New Roman"/>
          <w:color w:val="000000" w:themeColor="text1"/>
          <w:sz w:val="16"/>
          <w:szCs w:val="16"/>
        </w:rPr>
        <w:softHyphen/>
        <w:t>ты опытного образца БД-1, но неизвестно, что именно следует предпри</w:t>
      </w:r>
      <w:r w:rsidRPr="0044524F">
        <w:rPr>
          <w:rFonts w:ascii="Times New Roman" w:hAnsi="Times New Roman"/>
          <w:color w:val="000000" w:themeColor="text1"/>
          <w:sz w:val="16"/>
          <w:szCs w:val="16"/>
        </w:rPr>
        <w:softHyphen/>
        <w:t>нять для устранения дефектов. Не видно приемлемых решений, по край</w:t>
      </w:r>
      <w:r w:rsidRPr="0044524F">
        <w:rPr>
          <w:rFonts w:ascii="Times New Roman" w:hAnsi="Times New Roman"/>
          <w:color w:val="000000" w:themeColor="text1"/>
          <w:sz w:val="16"/>
          <w:szCs w:val="16"/>
        </w:rPr>
        <w:softHyphen/>
        <w:t>ней мере, таких, которые не требуют коренной реконструкции опытного образца двигателя.</w:t>
      </w:r>
    </w:p>
    <w:p w14:paraId="77D3264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Третье. Неизвестны причины и источник помех, однако известно, что следует предпринять для устранения неблагоприятных проявлений. И наконец, четвертое. Неизвестны ни причины, ни источник неудовлетво</w:t>
      </w:r>
      <w:r w:rsidRPr="0044524F">
        <w:rPr>
          <w:rFonts w:ascii="Times New Roman" w:hAnsi="Times New Roman"/>
          <w:color w:val="000000" w:themeColor="text1"/>
          <w:sz w:val="16"/>
          <w:szCs w:val="16"/>
        </w:rPr>
        <w:softHyphen/>
        <w:t>рительного функционирования образца, ни средства, которые могут ис</w:t>
      </w:r>
      <w:r w:rsidRPr="0044524F">
        <w:rPr>
          <w:rFonts w:ascii="Times New Roman" w:hAnsi="Times New Roman"/>
          <w:color w:val="000000" w:themeColor="text1"/>
          <w:sz w:val="16"/>
          <w:szCs w:val="16"/>
        </w:rPr>
        <w:softHyphen/>
        <w:t>править положение.</w:t>
      </w:r>
    </w:p>
    <w:p w14:paraId="7A70A5F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Вихман обвел всех внимательным взглядом и с не меньшим пафосом закончил свои рассуждения словами:</w:t>
      </w:r>
    </w:p>
    <w:p w14:paraId="4E9CFBA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 общем, друзья мои, я уже вам говорил, что мы идем по пути проб и ошибок — самому горькому пути, так что не ждите легкой жизни.</w:t>
      </w:r>
    </w:p>
    <w:p w14:paraId="776E412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Яков Ефимович окажется пророком, изо дня в день почти полных 80 месяцев будут заниматься танковым дизелем конструкторы и инженеры ХПЗ, пока его 19 декабря 1939 года не примет государственная комиссия к серийному производству.</w:t>
      </w:r>
    </w:p>
    <w:p w14:paraId="5BC6640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пока БД-1 гудел. К мотору подошел военпред Федоров, постоял, на</w:t>
      </w:r>
      <w:r w:rsidRPr="0044524F">
        <w:rPr>
          <w:rFonts w:ascii="Times New Roman" w:hAnsi="Times New Roman"/>
          <w:color w:val="000000" w:themeColor="text1"/>
          <w:sz w:val="16"/>
          <w:szCs w:val="16"/>
        </w:rPr>
        <w:softHyphen/>
        <w:t>клонился к Челпану и что-то прокричал. Вихман, смеясь подставил ухо.</w:t>
      </w:r>
    </w:p>
    <w:p w14:paraId="64F98D0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Когда же он сломается? — весело крикнул Федоров.</w:t>
      </w:r>
    </w:p>
    <w:p w14:paraId="54A54AB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Сломается, не беспокойтесь! — так же весело заорал в ответ Вихман.</w:t>
      </w:r>
    </w:p>
    <w:p w14:paraId="64305F9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Он уже не был новичком в своем деле, твердо знал, что поломки обяза</w:t>
      </w:r>
      <w:r w:rsidRPr="0044524F">
        <w:rPr>
          <w:rFonts w:ascii="Times New Roman" w:hAnsi="Times New Roman"/>
          <w:color w:val="000000" w:themeColor="text1"/>
          <w:sz w:val="16"/>
          <w:szCs w:val="16"/>
        </w:rPr>
        <w:softHyphen/>
        <w:t>тельно будут, и запасся терпением, упорством, по его выражению, «ульт</w:t>
      </w:r>
      <w:r w:rsidRPr="0044524F">
        <w:rPr>
          <w:rFonts w:ascii="Times New Roman" w:hAnsi="Times New Roman"/>
          <w:color w:val="000000" w:themeColor="text1"/>
          <w:sz w:val="16"/>
          <w:szCs w:val="16"/>
        </w:rPr>
        <w:softHyphen/>
        <w:t>раупорством» чтобы «доводить и доводить» мотор.</w:t>
      </w:r>
    </w:p>
    <w:p w14:paraId="2ED1040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Оставайтесь с нами до утра! — прокричал Челпан Федорову. — Тог</w:t>
      </w:r>
      <w:r w:rsidRPr="0044524F">
        <w:rPr>
          <w:rFonts w:ascii="Times New Roman" w:hAnsi="Times New Roman"/>
          <w:color w:val="000000" w:themeColor="text1"/>
          <w:sz w:val="16"/>
          <w:szCs w:val="16"/>
        </w:rPr>
        <w:softHyphen/>
        <w:t>да, может быть, дождетесь...</w:t>
      </w:r>
    </w:p>
    <w:p w14:paraId="2394029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Федоров отрицательно повел головой.</w:t>
      </w:r>
    </w:p>
    <w:p w14:paraId="00334AD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Он так и не дождался поломки. Еще некоторое время он пробыл у мотора, потом попрощался со всеми и уехал.</w:t>
      </w:r>
    </w:p>
    <w:p w14:paraId="4ACB15F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действительно сломался к утру, беспрерывно проработав мень</w:t>
      </w:r>
      <w:r w:rsidRPr="0044524F">
        <w:rPr>
          <w:rFonts w:ascii="Times New Roman" w:hAnsi="Times New Roman"/>
          <w:color w:val="000000" w:themeColor="text1"/>
          <w:sz w:val="16"/>
          <w:szCs w:val="16"/>
        </w:rPr>
        <w:softHyphen/>
        <w:t>ше суток. Это было 1 мая 1933 года (11504).</w:t>
      </w:r>
    </w:p>
    <w:p w14:paraId="6C1661D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1B598A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года представитель УММ докладывал в наркомат обороны о ходе их выпуска следующее: «БАД (плавающий) из 25 будет вероятно сдано не более 15». Но из-за большой загрузки другой продукцией Ижорский завод не смог изготовить эти машины. БАД-2 так и остался в единственном экземпляре. Следует добавить, что 1 мая 1933 года БАД-2 вместе с БАД-1 показали во время военного парада на площади Урицкого (ныне Дворцовая) в Ленинграде, после чего на гла</w:t>
      </w:r>
      <w:r w:rsidRPr="0044524F">
        <w:rPr>
          <w:rFonts w:ascii="Times New Roman" w:hAnsi="Times New Roman"/>
          <w:color w:val="000000" w:themeColor="text1"/>
          <w:sz w:val="16"/>
          <w:szCs w:val="16"/>
        </w:rPr>
        <w:softHyphen/>
        <w:t>зах советских и иностранных военных броневик переплыл Неву. Дальнейшая судьба машины неизвестна, но, по неко</w:t>
      </w:r>
      <w:r w:rsidRPr="0044524F">
        <w:rPr>
          <w:rFonts w:ascii="Times New Roman" w:hAnsi="Times New Roman"/>
          <w:color w:val="000000" w:themeColor="text1"/>
          <w:sz w:val="16"/>
          <w:szCs w:val="16"/>
        </w:rPr>
        <w:softHyphen/>
        <w:t>торым данным, осенью того же года она была разобрана (11284).</w:t>
      </w:r>
    </w:p>
    <w:p w14:paraId="1EAD32A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7C11A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года Ижорский завод изготовил три об</w:t>
      </w:r>
      <w:r w:rsidRPr="0044524F">
        <w:rPr>
          <w:rFonts w:ascii="Times New Roman" w:hAnsi="Times New Roman"/>
          <w:color w:val="000000" w:themeColor="text1"/>
          <w:sz w:val="16"/>
          <w:szCs w:val="16"/>
        </w:rPr>
        <w:softHyphen/>
        <w:t>разца ПБ-4, которые в октябре прошли испытания пробе</w:t>
      </w:r>
      <w:r w:rsidRPr="0044524F">
        <w:rPr>
          <w:rFonts w:ascii="Times New Roman" w:hAnsi="Times New Roman"/>
          <w:color w:val="000000" w:themeColor="text1"/>
          <w:sz w:val="16"/>
          <w:szCs w:val="16"/>
        </w:rPr>
        <w:softHyphen/>
        <w:t>гом и на плаву.</w:t>
      </w:r>
    </w:p>
    <w:p w14:paraId="33BEBC6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Получив задание на производство БАД-2, работники Ижорского завода столкнулись с проблемой изготовления бронекорпуса машины, который имел очень сложную фор</w:t>
      </w:r>
      <w:r w:rsidRPr="0044524F">
        <w:rPr>
          <w:rFonts w:ascii="Times New Roman" w:hAnsi="Times New Roman"/>
          <w:color w:val="000000" w:themeColor="text1"/>
          <w:sz w:val="16"/>
          <w:szCs w:val="16"/>
        </w:rPr>
        <w:softHyphen/>
        <w:t>му. Поэтому инженер-конструктор Эммануилов и замести</w:t>
      </w:r>
      <w:r w:rsidRPr="0044524F">
        <w:rPr>
          <w:rFonts w:ascii="Times New Roman" w:hAnsi="Times New Roman"/>
          <w:color w:val="000000" w:themeColor="text1"/>
          <w:sz w:val="16"/>
          <w:szCs w:val="16"/>
        </w:rPr>
        <w:softHyphen/>
        <w:t>тель начальника КБС Григорьев при активном участии на</w:t>
      </w:r>
      <w:r w:rsidRPr="0044524F">
        <w:rPr>
          <w:rFonts w:ascii="Times New Roman" w:hAnsi="Times New Roman"/>
          <w:color w:val="000000" w:themeColor="text1"/>
          <w:sz w:val="16"/>
          <w:szCs w:val="16"/>
        </w:rPr>
        <w:softHyphen/>
        <w:t>чальника КБС Померанцева спроектировали новую боевую плавающую машину, получившую обозначение ПБ-4.</w:t>
      </w:r>
    </w:p>
    <w:p w14:paraId="374E182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Впервые в нашей стране корпус бронеавтомобиля был безрамным и несущим. По конфигурации он почти не от</w:t>
      </w:r>
      <w:r w:rsidRPr="0044524F">
        <w:rPr>
          <w:rFonts w:ascii="Times New Roman" w:hAnsi="Times New Roman"/>
          <w:color w:val="000000" w:themeColor="text1"/>
          <w:sz w:val="16"/>
          <w:szCs w:val="16"/>
        </w:rPr>
        <w:softHyphen/>
        <w:t>личался от корпуса БА-3, за исключением изменения кон</w:t>
      </w:r>
      <w:r w:rsidRPr="0044524F">
        <w:rPr>
          <w:rFonts w:ascii="Times New Roman" w:hAnsi="Times New Roman"/>
          <w:color w:val="000000" w:themeColor="text1"/>
          <w:sz w:val="16"/>
          <w:szCs w:val="16"/>
        </w:rPr>
        <w:softHyphen/>
        <w:t>струкции кормы. Передний и задние мосты монтировались снаружи и приваривались к специальным кронштейнам, карданный вал выводился наружу через специальный саль</w:t>
      </w:r>
      <w:r w:rsidRPr="0044524F">
        <w:rPr>
          <w:rFonts w:ascii="Times New Roman" w:hAnsi="Times New Roman"/>
          <w:color w:val="000000" w:themeColor="text1"/>
          <w:sz w:val="16"/>
          <w:szCs w:val="16"/>
        </w:rPr>
        <w:softHyphen/>
        <w:t>ник в редане днища корпуса.</w:t>
      </w:r>
    </w:p>
    <w:p w14:paraId="4A006E9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Башня цилиндрической формы, аналогичная по конст</w:t>
      </w:r>
      <w:r w:rsidRPr="0044524F">
        <w:rPr>
          <w:rFonts w:ascii="Times New Roman" w:hAnsi="Times New Roman"/>
          <w:color w:val="000000" w:themeColor="text1"/>
          <w:sz w:val="16"/>
          <w:szCs w:val="16"/>
        </w:rPr>
        <w:softHyphen/>
        <w:t>рукции БА-3, но без кормовой ниши, располагалась в задней части машины. Для посадки экипажа из 4 человек, раз</w:t>
      </w:r>
      <w:r w:rsidRPr="0044524F">
        <w:rPr>
          <w:rFonts w:ascii="Times New Roman" w:hAnsi="Times New Roman"/>
          <w:color w:val="000000" w:themeColor="text1"/>
          <w:sz w:val="16"/>
          <w:szCs w:val="16"/>
        </w:rPr>
        <w:softHyphen/>
        <w:t>мещавшихся так же, как на БА-3, служили два люка в кры</w:t>
      </w:r>
      <w:r w:rsidRPr="0044524F">
        <w:rPr>
          <w:rFonts w:ascii="Times New Roman" w:hAnsi="Times New Roman"/>
          <w:color w:val="000000" w:themeColor="text1"/>
          <w:sz w:val="16"/>
          <w:szCs w:val="16"/>
        </w:rPr>
        <w:softHyphen/>
        <w:t>ше над отделением управления и два в башне. Доступ к дви</w:t>
      </w:r>
      <w:r w:rsidRPr="0044524F">
        <w:rPr>
          <w:rFonts w:ascii="Times New Roman" w:hAnsi="Times New Roman"/>
          <w:color w:val="000000" w:themeColor="text1"/>
          <w:sz w:val="16"/>
          <w:szCs w:val="16"/>
        </w:rPr>
        <w:softHyphen/>
        <w:t>гателю осуществлялся через откидывающуюся вперед кры</w:t>
      </w:r>
      <w:r w:rsidRPr="0044524F">
        <w:rPr>
          <w:rFonts w:ascii="Times New Roman" w:hAnsi="Times New Roman"/>
          <w:color w:val="000000" w:themeColor="text1"/>
          <w:sz w:val="16"/>
          <w:szCs w:val="16"/>
        </w:rPr>
        <w:softHyphen/>
        <w:t>шу моторного отделения, запираемую 10 хомутиками. Кроме того, в днище корпуса имелись 4 пробки для стока попавшей внутрь воды и 2 лючка для слива масла из карте</w:t>
      </w:r>
      <w:r w:rsidRPr="0044524F">
        <w:rPr>
          <w:rFonts w:ascii="Times New Roman" w:hAnsi="Times New Roman"/>
          <w:color w:val="000000" w:themeColor="text1"/>
          <w:sz w:val="16"/>
          <w:szCs w:val="16"/>
        </w:rPr>
        <w:softHyphen/>
        <w:t>ров двигателя и демультипликатора.</w:t>
      </w:r>
    </w:p>
    <w:p w14:paraId="0DA0B24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Наблюдение за дорогой водитель вел через лючок со смотровой щелью в лобовом листе корпуса и две смотровые щели в бортах. В башне наблюдение велось через смотро</w:t>
      </w:r>
      <w:r w:rsidRPr="0044524F">
        <w:rPr>
          <w:rFonts w:ascii="Times New Roman" w:hAnsi="Times New Roman"/>
          <w:color w:val="000000" w:themeColor="text1"/>
          <w:sz w:val="16"/>
          <w:szCs w:val="16"/>
        </w:rPr>
        <w:softHyphen/>
        <w:t>вые приборы «Триплекс» в правом и левом бортах.</w:t>
      </w:r>
    </w:p>
    <w:p w14:paraId="68E4834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броневика состояло из 45-мм танковой пушки 20К и спаренного пулемета ДТ в башне и еще одно</w:t>
      </w:r>
      <w:r w:rsidRPr="0044524F">
        <w:rPr>
          <w:rFonts w:ascii="Times New Roman" w:hAnsi="Times New Roman"/>
          <w:color w:val="000000" w:themeColor="text1"/>
          <w:sz w:val="16"/>
          <w:szCs w:val="16"/>
        </w:rPr>
        <w:softHyphen/>
        <w:t>го ДТ в лобовом листе корпуса. Следует отметить, что из-за отсутствия ниши башня получилась неуравновешенной, поэтому ее поворот на 360 или 180 градусов требовал боль</w:t>
      </w:r>
      <w:r w:rsidRPr="0044524F">
        <w:rPr>
          <w:rFonts w:ascii="Times New Roman" w:hAnsi="Times New Roman"/>
          <w:color w:val="000000" w:themeColor="text1"/>
          <w:sz w:val="16"/>
          <w:szCs w:val="16"/>
        </w:rPr>
        <w:softHyphen/>
        <w:t>шого усилия на маховиках, а при крене 10—11 градусов в сторону приходилось их вращать обеими руками.</w:t>
      </w:r>
    </w:p>
    <w:p w14:paraId="218CC55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Боекомплект к пушке состоял из 52 снарядов, к пулеме</w:t>
      </w:r>
      <w:r w:rsidRPr="0044524F">
        <w:rPr>
          <w:rFonts w:ascii="Times New Roman" w:hAnsi="Times New Roman"/>
          <w:color w:val="000000" w:themeColor="text1"/>
          <w:sz w:val="16"/>
          <w:szCs w:val="16"/>
        </w:rPr>
        <w:softHyphen/>
        <w:t>там 2268 патронов (36 дисков). Снаряды укладывались по бокам башни (12 штук), справа и слева в корме корпуса (две укладки по 20 штук), пулеметные диски располагались в башне и по бортам боевого отделения.</w:t>
      </w:r>
    </w:p>
    <w:p w14:paraId="307C255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ПБ-4 оснащался 40-сильным двигателем ГАЗ-АА, стандартной «газовской» коробкой перемены передач и де</w:t>
      </w:r>
      <w:r w:rsidRPr="0044524F">
        <w:rPr>
          <w:rFonts w:ascii="Times New Roman" w:hAnsi="Times New Roman"/>
          <w:color w:val="000000" w:themeColor="text1"/>
          <w:sz w:val="16"/>
          <w:szCs w:val="16"/>
        </w:rPr>
        <w:softHyphen/>
        <w:t>мультипликатором. Движение на плаву осуществлялось при помощи трехлопастного гребного винта, установлен</w:t>
      </w:r>
      <w:r w:rsidRPr="0044524F">
        <w:rPr>
          <w:rFonts w:ascii="Times New Roman" w:hAnsi="Times New Roman"/>
          <w:color w:val="000000" w:themeColor="text1"/>
          <w:sz w:val="16"/>
          <w:szCs w:val="16"/>
        </w:rPr>
        <w:softHyphen/>
        <w:t>ного на удлиненном червяке дифференциала заднего мос</w:t>
      </w:r>
      <w:r w:rsidRPr="0044524F">
        <w:rPr>
          <w:rFonts w:ascii="Times New Roman" w:hAnsi="Times New Roman"/>
          <w:color w:val="000000" w:themeColor="text1"/>
          <w:sz w:val="16"/>
          <w:szCs w:val="16"/>
        </w:rPr>
        <w:softHyphen/>
        <w:t>та. Как и на БАД-2, винт ПБ-4 был включен постоянно, да</w:t>
      </w:r>
      <w:r w:rsidRPr="0044524F">
        <w:rPr>
          <w:rFonts w:ascii="Times New Roman" w:hAnsi="Times New Roman"/>
          <w:color w:val="000000" w:themeColor="text1"/>
          <w:sz w:val="16"/>
          <w:szCs w:val="16"/>
        </w:rPr>
        <w:softHyphen/>
        <w:t>же на суше. Соответственно в воде вращались колеса зад</w:t>
      </w:r>
      <w:r w:rsidRPr="0044524F">
        <w:rPr>
          <w:rFonts w:ascii="Times New Roman" w:hAnsi="Times New Roman"/>
          <w:color w:val="000000" w:themeColor="text1"/>
          <w:sz w:val="16"/>
          <w:szCs w:val="16"/>
        </w:rPr>
        <w:softHyphen/>
        <w:t>них мостов.</w:t>
      </w:r>
    </w:p>
    <w:p w14:paraId="25B1B9C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увеличения водоизмещения по бортам броневика устанавливались деревянные поплавки (а не пробковые, как указывалось в ряде источников), обитые 1 мм железом.</w:t>
      </w:r>
    </w:p>
    <w:p w14:paraId="2E2FBC3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Бронеавтомобиль комплектовался четырьмя спасательны</w:t>
      </w:r>
      <w:r w:rsidRPr="0044524F">
        <w:rPr>
          <w:rFonts w:ascii="Times New Roman" w:hAnsi="Times New Roman"/>
          <w:color w:val="000000" w:themeColor="text1"/>
          <w:sz w:val="16"/>
          <w:szCs w:val="16"/>
        </w:rPr>
        <w:softHyphen/>
        <w:t>ми пробковыми жилетами, уложенными между снарядны</w:t>
      </w:r>
      <w:r w:rsidRPr="0044524F">
        <w:rPr>
          <w:rFonts w:ascii="Times New Roman" w:hAnsi="Times New Roman"/>
          <w:color w:val="000000" w:themeColor="text1"/>
          <w:sz w:val="16"/>
          <w:szCs w:val="16"/>
        </w:rPr>
        <w:softHyphen/>
        <w:t>ми стеллажами в корме корпуса. Для откачки попавшей внутрь воды справа от водителя крепилась ручная помпа «Альвейер» производительностью 20 литров в минуту.</w:t>
      </w:r>
    </w:p>
    <w:p w14:paraId="7855408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и все средние советские броневики, ПБ-4 имел вращающиеся запасные колеса и вездеходные цепи «Ове-ролл», уложенные на корме машины. Боевая масса броне</w:t>
      </w:r>
      <w:r w:rsidRPr="0044524F">
        <w:rPr>
          <w:rFonts w:ascii="Times New Roman" w:hAnsi="Times New Roman"/>
          <w:color w:val="000000" w:themeColor="text1"/>
          <w:sz w:val="16"/>
          <w:szCs w:val="16"/>
        </w:rPr>
        <w:softHyphen/>
        <w:t>автомобиля составляла 5285 кг.Несмотря на удовлетворительные результа</w:t>
      </w:r>
      <w:r w:rsidRPr="0044524F">
        <w:rPr>
          <w:rFonts w:ascii="Times New Roman" w:hAnsi="Times New Roman"/>
          <w:color w:val="000000" w:themeColor="text1"/>
          <w:sz w:val="16"/>
          <w:szCs w:val="16"/>
        </w:rPr>
        <w:softHyphen/>
        <w:t>ты, у них выявили большое количество недостатков и недо</w:t>
      </w:r>
      <w:r w:rsidRPr="0044524F">
        <w:rPr>
          <w:rFonts w:ascii="Times New Roman" w:hAnsi="Times New Roman"/>
          <w:color w:val="000000" w:themeColor="text1"/>
          <w:sz w:val="16"/>
          <w:szCs w:val="16"/>
        </w:rPr>
        <w:softHyphen/>
        <w:t>работок, в частности большое количество трещин в местах сварных швов бронекорпусов. Из-за этого представитель военной приемки на заводе принял броневики только ус</w:t>
      </w:r>
      <w:r w:rsidRPr="0044524F">
        <w:rPr>
          <w:rFonts w:ascii="Times New Roman" w:hAnsi="Times New Roman"/>
          <w:color w:val="000000" w:themeColor="text1"/>
          <w:sz w:val="16"/>
          <w:szCs w:val="16"/>
        </w:rPr>
        <w:softHyphen/>
        <w:t>ловно, а заказчик - УММ РККА - не оплатило их (11284).</w:t>
      </w:r>
    </w:p>
    <w:p w14:paraId="799A83F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C588A7" w14:textId="77777777" w:rsidR="00CE69D7" w:rsidRPr="0044524F" w:rsidRDefault="00CE69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года последний 15-й серийный образец Д-2, изготовленный на заводе Можерез, окончательноп передали заказчику. Таким образом, в 1932 -1934 годах в Москве и Брянске изготовили 30 серийных мотоброневагонов Д-2 Дыренкова (15624).</w:t>
      </w:r>
    </w:p>
    <w:p w14:paraId="30183421" w14:textId="77777777" w:rsidR="00CE69D7" w:rsidRPr="0044524F" w:rsidRDefault="00CE69D7" w:rsidP="009654CF">
      <w:pPr>
        <w:spacing w:after="0" w:line="240" w:lineRule="auto"/>
        <w:jc w:val="both"/>
        <w:rPr>
          <w:rFonts w:ascii="Times New Roman" w:hAnsi="Times New Roman"/>
          <w:color w:val="000000" w:themeColor="text1"/>
          <w:sz w:val="16"/>
          <w:szCs w:val="16"/>
        </w:rPr>
      </w:pPr>
    </w:p>
    <w:p w14:paraId="01417AAF" w14:textId="77777777" w:rsidR="00C41ABF" w:rsidRPr="00951B40" w:rsidRDefault="00C41ABF" w:rsidP="00C41ABF">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В сентябре 1933 трехосные АМО-6, прототипом для которых по</w:t>
      </w:r>
      <w:r w:rsidRPr="00951B40">
        <w:rPr>
          <w:rStyle w:val="aff"/>
          <w:rFonts w:ascii="Times New Roman" w:hAnsi="Times New Roman" w:cs="Times New Roman"/>
          <w:color w:val="0070C0"/>
          <w:spacing w:val="0"/>
          <w:sz w:val="16"/>
          <w:szCs w:val="16"/>
        </w:rPr>
        <w:softHyphen/>
        <w:t xml:space="preserve">служили английские грузовики </w:t>
      </w:r>
      <w:r w:rsidRPr="00951B40">
        <w:rPr>
          <w:rStyle w:val="aff"/>
          <w:rFonts w:ascii="Times New Roman" w:hAnsi="Times New Roman" w:cs="Times New Roman"/>
          <w:color w:val="0070C0"/>
          <w:spacing w:val="0"/>
          <w:sz w:val="16"/>
          <w:szCs w:val="16"/>
          <w:lang w:val="en-US"/>
        </w:rPr>
        <w:t>WD</w:t>
      </w:r>
      <w:r w:rsidRPr="00951B40">
        <w:rPr>
          <w:rStyle w:val="aff"/>
          <w:rFonts w:ascii="Times New Roman" w:hAnsi="Times New Roman" w:cs="Times New Roman"/>
          <w:color w:val="0070C0"/>
          <w:spacing w:val="0"/>
          <w:sz w:val="16"/>
          <w:szCs w:val="16"/>
        </w:rPr>
        <w:t xml:space="preserve"> (</w:t>
      </w:r>
      <w:r w:rsidRPr="00951B40">
        <w:rPr>
          <w:rStyle w:val="aff"/>
          <w:rFonts w:ascii="Times New Roman" w:hAnsi="Times New Roman" w:cs="Times New Roman"/>
          <w:color w:val="0070C0"/>
          <w:spacing w:val="0"/>
          <w:sz w:val="16"/>
          <w:szCs w:val="16"/>
          <w:lang w:val="en-US"/>
        </w:rPr>
        <w:t>War</w:t>
      </w:r>
      <w:r w:rsidRPr="00951B40">
        <w:rPr>
          <w:rStyle w:val="aff"/>
          <w:rFonts w:ascii="Times New Roman" w:hAnsi="Times New Roman" w:cs="Times New Roman"/>
          <w:color w:val="0070C0"/>
          <w:spacing w:val="0"/>
          <w:sz w:val="16"/>
          <w:szCs w:val="16"/>
        </w:rPr>
        <w:t xml:space="preserve"> </w:t>
      </w:r>
      <w:r w:rsidRPr="00951B40">
        <w:rPr>
          <w:rStyle w:val="aff"/>
          <w:rFonts w:ascii="Times New Roman" w:hAnsi="Times New Roman" w:cs="Times New Roman"/>
          <w:color w:val="0070C0"/>
          <w:spacing w:val="0"/>
          <w:sz w:val="16"/>
          <w:szCs w:val="16"/>
          <w:lang w:val="en-US"/>
        </w:rPr>
        <w:t>Department</w:t>
      </w:r>
      <w:r w:rsidRPr="00951B40">
        <w:rPr>
          <w:rStyle w:val="aff"/>
          <w:rFonts w:ascii="Times New Roman" w:hAnsi="Times New Roman" w:cs="Times New Roman"/>
          <w:color w:val="0070C0"/>
          <w:spacing w:val="0"/>
          <w:sz w:val="16"/>
          <w:szCs w:val="16"/>
        </w:rPr>
        <w:t>), а также отечествен</w:t>
      </w:r>
      <w:r w:rsidRPr="00951B40">
        <w:rPr>
          <w:rStyle w:val="aff"/>
          <w:rFonts w:ascii="Times New Roman" w:hAnsi="Times New Roman" w:cs="Times New Roman"/>
          <w:color w:val="0070C0"/>
          <w:spacing w:val="0"/>
          <w:sz w:val="16"/>
          <w:szCs w:val="16"/>
        </w:rPr>
        <w:softHyphen/>
        <w:t>ная разработка АМО-З-НАТИ, участвовали в испыта</w:t>
      </w:r>
      <w:r w:rsidRPr="00951B40">
        <w:rPr>
          <w:rStyle w:val="aff"/>
          <w:rFonts w:ascii="Times New Roman" w:hAnsi="Times New Roman" w:cs="Times New Roman"/>
          <w:color w:val="0070C0"/>
          <w:spacing w:val="0"/>
          <w:sz w:val="16"/>
          <w:szCs w:val="16"/>
        </w:rPr>
        <w:softHyphen/>
        <w:t>тельном пробеге по маршруту Мос</w:t>
      </w:r>
      <w:r w:rsidRPr="00951B40">
        <w:rPr>
          <w:rStyle w:val="aff"/>
          <w:rFonts w:ascii="Times New Roman" w:hAnsi="Times New Roman" w:cs="Times New Roman"/>
          <w:color w:val="0070C0"/>
          <w:spacing w:val="0"/>
          <w:sz w:val="16"/>
          <w:szCs w:val="16"/>
        </w:rPr>
        <w:softHyphen/>
        <w:t>ква - Киев - Харьков - Москва, а в декабре началось их серийное произ</w:t>
      </w:r>
      <w:r w:rsidRPr="00951B40">
        <w:rPr>
          <w:rStyle w:val="aff"/>
          <w:rFonts w:ascii="Times New Roman" w:hAnsi="Times New Roman" w:cs="Times New Roman"/>
          <w:color w:val="0070C0"/>
          <w:spacing w:val="0"/>
          <w:sz w:val="16"/>
          <w:szCs w:val="16"/>
        </w:rPr>
        <w:softHyphen/>
        <w:t>водство. Всего за 1933 год изготови</w:t>
      </w:r>
      <w:r w:rsidRPr="00951B40">
        <w:rPr>
          <w:rStyle w:val="aff"/>
          <w:rFonts w:ascii="Times New Roman" w:hAnsi="Times New Roman" w:cs="Times New Roman"/>
          <w:color w:val="0070C0"/>
          <w:spacing w:val="0"/>
          <w:sz w:val="16"/>
          <w:szCs w:val="16"/>
        </w:rPr>
        <w:softHyphen/>
        <w:t>ли 20 экземпляров. После реконст</w:t>
      </w:r>
      <w:r w:rsidRPr="00951B40">
        <w:rPr>
          <w:rStyle w:val="aff"/>
          <w:rFonts w:ascii="Times New Roman" w:hAnsi="Times New Roman" w:cs="Times New Roman"/>
          <w:color w:val="0070C0"/>
          <w:spacing w:val="0"/>
          <w:sz w:val="16"/>
          <w:szCs w:val="16"/>
        </w:rPr>
        <w:softHyphen/>
        <w:t>рукции завода производство ЗиС-6 возросло. Наиболее продуктивным был 1939 год, когда изготовили 4460 трехосных автомашин. До дня эваку</w:t>
      </w:r>
      <w:r w:rsidRPr="00951B40">
        <w:rPr>
          <w:rStyle w:val="aff"/>
          <w:rFonts w:ascii="Times New Roman" w:hAnsi="Times New Roman" w:cs="Times New Roman"/>
          <w:color w:val="0070C0"/>
          <w:spacing w:val="0"/>
          <w:sz w:val="16"/>
          <w:szCs w:val="16"/>
        </w:rPr>
        <w:softHyphen/>
        <w:t>ации завода, 16.10.1941, было выпу</w:t>
      </w:r>
      <w:r w:rsidRPr="00951B40">
        <w:rPr>
          <w:rStyle w:val="aff"/>
          <w:rFonts w:ascii="Times New Roman" w:hAnsi="Times New Roman" w:cs="Times New Roman"/>
          <w:color w:val="0070C0"/>
          <w:spacing w:val="0"/>
          <w:sz w:val="16"/>
          <w:szCs w:val="16"/>
        </w:rPr>
        <w:softHyphen/>
        <w:t>щено 21239 ЗиС-6 (25777).</w:t>
      </w:r>
    </w:p>
    <w:p w14:paraId="480C31DD" w14:textId="77777777" w:rsidR="00C41ABF" w:rsidRPr="00951B40" w:rsidRDefault="00C41ABF" w:rsidP="00C41ABF">
      <w:pPr>
        <w:spacing w:after="0" w:line="240" w:lineRule="auto"/>
        <w:jc w:val="both"/>
        <w:rPr>
          <w:rFonts w:ascii="Times New Roman" w:hAnsi="Times New Roman"/>
          <w:color w:val="0070C0"/>
          <w:sz w:val="16"/>
          <w:szCs w:val="16"/>
        </w:rPr>
      </w:pPr>
    </w:p>
    <w:p w14:paraId="2B94981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к выполнению задачи разработки конструк ции однократного ленточного аппарата со скоростью передачи 360-400 слов в минуту на заводе им. Кулакова приступила группа спе циалистов в количестве десяти человек под руководством инженера Е.Р. Мило видова. К сентябрю 1934 г. был создан аппарат НОТА-34, изготовлены проект ные чертежи и семь комплектов образцов изделий. Однако выпуск первой се рийной партии в сто аппаратов в 1935 г. был сорван. Сказалась слабая освоен ность технологического процесса, нехватка квалифицированных кадров, а также невыполнение заводами-поставщиками обязательств по поставке материалов к этому аппарату, который оказался исключительно требовательным к качеству материалов (ЦГА СПб., ф. 2086, оп. 11, д. 1, л. 87.). На 1936 г. завод получил заказ на изготовление девяноста аппара тов НОТА-34 (ЦГА СПб., ф. 2086, оп. 11, д. 1, л. 88) (11870).</w:t>
      </w:r>
    </w:p>
    <w:p w14:paraId="7E9AF2A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95CFEFD" w14:textId="77777777" w:rsidR="00BE6B55" w:rsidRPr="0044524F" w:rsidRDefault="00BE6B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к разработку конструк</w:t>
      </w:r>
      <w:r w:rsidRPr="0044524F">
        <w:rPr>
          <w:rFonts w:ascii="Times New Roman" w:hAnsi="Times New Roman"/>
          <w:color w:val="000000" w:themeColor="text1"/>
          <w:sz w:val="16"/>
          <w:szCs w:val="16"/>
        </w:rPr>
        <w:softHyphen/>
        <w:t>ции однократного ленточного аппарата со скоростью передачи 360-400 слов в минуту приступила группа спе</w:t>
      </w:r>
      <w:r w:rsidRPr="0044524F">
        <w:rPr>
          <w:rFonts w:ascii="Times New Roman" w:hAnsi="Times New Roman"/>
          <w:color w:val="000000" w:themeColor="text1"/>
          <w:sz w:val="16"/>
          <w:szCs w:val="16"/>
        </w:rPr>
        <w:softHyphen/>
        <w:t>циалистов в количестве десяти человек под руководством инженера Е.Р. Миловидова. К сентябрю 1934 г. был создан аппарат НОТА-34, изготовлены проект</w:t>
      </w:r>
      <w:r w:rsidRPr="0044524F">
        <w:rPr>
          <w:rFonts w:ascii="Times New Roman" w:hAnsi="Times New Roman"/>
          <w:color w:val="000000" w:themeColor="text1"/>
          <w:sz w:val="16"/>
          <w:szCs w:val="16"/>
        </w:rPr>
        <w:softHyphen/>
        <w:t>ные чертежи и семь комплектов образцов изделий. Однако выпуск первой се</w:t>
      </w:r>
      <w:r w:rsidRPr="0044524F">
        <w:rPr>
          <w:rFonts w:ascii="Times New Roman" w:hAnsi="Times New Roman"/>
          <w:color w:val="000000" w:themeColor="text1"/>
          <w:sz w:val="16"/>
          <w:szCs w:val="16"/>
        </w:rPr>
        <w:softHyphen/>
        <w:t>рийной партии в сто аппаратов в 1935 г. был сорван. Сказалась слабая освоен</w:t>
      </w:r>
      <w:r w:rsidRPr="0044524F">
        <w:rPr>
          <w:rFonts w:ascii="Times New Roman" w:hAnsi="Times New Roman"/>
          <w:color w:val="000000" w:themeColor="text1"/>
          <w:sz w:val="16"/>
          <w:szCs w:val="16"/>
        </w:rPr>
        <w:softHyphen/>
        <w:t>ность технологического процесса, нехватка квалифицированных кадров, а также невыполнение заводами-поставщиками обязательств по поставке материалов к этому аппарату, который оказался исключительно требовательным к качеству материалов. На 1936 г. завод Кулакова получил заказ на изготовление девяноста аппара</w:t>
      </w:r>
      <w:r w:rsidRPr="0044524F">
        <w:rPr>
          <w:rFonts w:ascii="Times New Roman" w:hAnsi="Times New Roman"/>
          <w:color w:val="000000" w:themeColor="text1"/>
          <w:sz w:val="16"/>
          <w:szCs w:val="16"/>
        </w:rPr>
        <w:softHyphen/>
        <w:t>тов НОТА-34 (19098).</w:t>
      </w:r>
    </w:p>
    <w:p w14:paraId="1FAEFA77" w14:textId="77777777" w:rsidR="00BE6B55" w:rsidRPr="0044524F" w:rsidRDefault="00BE6B55" w:rsidP="009654CF">
      <w:pPr>
        <w:spacing w:after="0" w:line="240" w:lineRule="auto"/>
        <w:jc w:val="both"/>
        <w:rPr>
          <w:rFonts w:ascii="Times New Roman" w:hAnsi="Times New Roman"/>
          <w:color w:val="000000" w:themeColor="text1"/>
          <w:sz w:val="16"/>
          <w:szCs w:val="16"/>
        </w:rPr>
      </w:pPr>
    </w:p>
    <w:p w14:paraId="16CB76CF" w14:textId="77777777" w:rsidR="00681A8C" w:rsidRPr="0044524F" w:rsidRDefault="00681A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состоялся испытательный автопробег машин ЗИС-5 и ЗИС-6 по маршруту Москва – Харьков – Москва (17494).</w:t>
      </w:r>
    </w:p>
    <w:p w14:paraId="169992EE" w14:textId="77777777" w:rsidR="00681A8C" w:rsidRPr="0044524F" w:rsidRDefault="00681A8C" w:rsidP="009654CF">
      <w:pPr>
        <w:spacing w:after="0" w:line="240" w:lineRule="auto"/>
        <w:jc w:val="both"/>
        <w:rPr>
          <w:rFonts w:ascii="Times New Roman" w:eastAsia="Times New Roman" w:hAnsi="Times New Roman"/>
          <w:color w:val="000000" w:themeColor="text1"/>
          <w:sz w:val="16"/>
          <w:szCs w:val="16"/>
          <w:lang w:eastAsia="ru-RU"/>
        </w:rPr>
      </w:pPr>
    </w:p>
    <w:p w14:paraId="1CA682F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ГУ ПВО представило в НКВМД официальный доклад "Электромагнитные станции ВНОС" и в декабре работы были утверждены комиссией по вооружениям СТО (380,87).</w:t>
      </w:r>
    </w:p>
    <w:p w14:paraId="3AFBE5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C93AAD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 флотом была принята первая лодка V серии Лосось, а в сентябре 1934 - последняя. Таким образом, на создание всей серии бьшо затрачено около 30 мес. Значение этого для ВМС РККА трудно переоце</w:t>
      </w:r>
      <w:r w:rsidRPr="0044524F">
        <w:rPr>
          <w:rFonts w:ascii="Times New Roman" w:hAnsi="Times New Roman"/>
          <w:color w:val="000000" w:themeColor="text1"/>
          <w:sz w:val="16"/>
          <w:szCs w:val="16"/>
        </w:rPr>
        <w:softHyphen/>
        <w:t>нить. Впервые за предшествующие 30 лет флоту вероятного про</w:t>
      </w:r>
      <w:r w:rsidRPr="0044524F">
        <w:rPr>
          <w:rFonts w:ascii="Times New Roman" w:hAnsi="Times New Roman"/>
          <w:color w:val="000000" w:themeColor="text1"/>
          <w:sz w:val="16"/>
          <w:szCs w:val="16"/>
        </w:rPr>
        <w:softHyphen/>
        <w:t>тивника была создана реальная угроза в пределах всего Японского моря (3898).</w:t>
      </w:r>
    </w:p>
    <w:p w14:paraId="780DDC7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плавания лодок V серии позволяла определенное время использовать их даже в водах Тихого океана и Желтого мо</w:t>
      </w:r>
      <w:r w:rsidRPr="0044524F">
        <w:rPr>
          <w:rFonts w:ascii="Times New Roman" w:hAnsi="Times New Roman"/>
          <w:color w:val="000000" w:themeColor="text1"/>
          <w:sz w:val="16"/>
          <w:szCs w:val="16"/>
        </w:rPr>
        <w:softHyphen/>
        <w:t>ря. По сравнению с лодками III серии они получили более плавные обводы носовой части легкого корпуса и наклонный форштевень. Дополнительная плоская переборка разделила первый отсек на два: число отсеков в лодке увеличилось до семи. Центральный пост стал просторнее благодаря более рациональному размещению механиз</w:t>
      </w:r>
      <w:r w:rsidRPr="0044524F">
        <w:rPr>
          <w:rFonts w:ascii="Times New Roman" w:hAnsi="Times New Roman"/>
          <w:color w:val="000000" w:themeColor="text1"/>
          <w:sz w:val="16"/>
          <w:szCs w:val="16"/>
        </w:rPr>
        <w:softHyphen/>
        <w:t>мов и цистерн. На лодках V серии было установлено по два 45-мм полуавтомата с боезапасом по 500 патронов на ствол. Это вооруже</w:t>
      </w:r>
      <w:r w:rsidRPr="0044524F">
        <w:rPr>
          <w:rFonts w:ascii="Times New Roman" w:hAnsi="Times New Roman"/>
          <w:color w:val="000000" w:themeColor="text1"/>
          <w:sz w:val="16"/>
          <w:szCs w:val="16"/>
        </w:rPr>
        <w:softHyphen/>
        <w:t>ние дополняли два 7,62-мм пулемета (3898).</w:t>
      </w:r>
    </w:p>
    <w:p w14:paraId="46D06DE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515A75D" w14:textId="77777777" w:rsidR="001F72EB"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6AC27033"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057576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ТБ-1П впервые участвовали в крупных учениях Балтийского флота. Торпедоносцы 121-й эскадрильи «атаковали» эсминец «Карл Маркс», игравший роль финского броненосца «Вяйне-мяйнен». В октябрьских учениях «нападе</w:t>
      </w:r>
      <w:r w:rsidRPr="0044524F">
        <w:rPr>
          <w:rFonts w:ascii="Times New Roman" w:hAnsi="Times New Roman"/>
          <w:color w:val="000000" w:themeColor="text1"/>
          <w:sz w:val="16"/>
          <w:szCs w:val="16"/>
        </w:rPr>
        <w:softHyphen/>
        <w:t>нию» подвергался линкор «Марат». Манев</w:t>
      </w:r>
      <w:r w:rsidRPr="0044524F">
        <w:rPr>
          <w:rFonts w:ascii="Times New Roman" w:hAnsi="Times New Roman"/>
          <w:color w:val="000000" w:themeColor="text1"/>
          <w:sz w:val="16"/>
          <w:szCs w:val="16"/>
        </w:rPr>
        <w:softHyphen/>
        <w:t>ры показали, что сброс высотных торпед на парашютах малоэффективен, и следует развивать низковысотную технику и тактику. Однако для подобных стремительных атак ТБ-1 подходил мало — крупный тихоходный самолет сам был неплохой целью для ПВО. На Балтике значительная часть поплавковых ТБ-1 базировалась в Гребном порту) (Гавани) Ленинграда на Васильевском ост</w:t>
      </w:r>
      <w:r w:rsidRPr="0044524F">
        <w:rPr>
          <w:rFonts w:ascii="Times New Roman" w:hAnsi="Times New Roman"/>
          <w:color w:val="000000" w:themeColor="text1"/>
          <w:sz w:val="16"/>
          <w:szCs w:val="16"/>
        </w:rPr>
        <w:softHyphen/>
        <w:t>рове, поэтому горожане могли в летний период наблюдать полеты этих необычных воздушных кораблей. По причине недостатка минно-торпедного оружия они выполняли задачи разведки, связи с флотом и учебного бомбометания. Использовали их и для поисково-спасательных операций. Так, когда летом 1934 г. в Финском заливе произошел взрыв в одном из отсеков подводной лодки Л-2 «Сталинец», для эвакуации раненых с субмарины вылетела пара ТБ-1, экипажи которых возглавляли коман</w:t>
      </w:r>
      <w:r w:rsidRPr="0044524F">
        <w:rPr>
          <w:rFonts w:ascii="Times New Roman" w:hAnsi="Times New Roman"/>
          <w:color w:val="000000" w:themeColor="text1"/>
          <w:sz w:val="16"/>
          <w:szCs w:val="16"/>
        </w:rPr>
        <w:softHyphen/>
        <w:t>дир 122-й эскадрильи А.М. Вирак и коман</w:t>
      </w:r>
      <w:r w:rsidRPr="0044524F">
        <w:rPr>
          <w:rFonts w:ascii="Times New Roman" w:hAnsi="Times New Roman"/>
          <w:color w:val="000000" w:themeColor="text1"/>
          <w:sz w:val="16"/>
          <w:szCs w:val="16"/>
        </w:rPr>
        <w:softHyphen/>
        <w:t>дир отряда А.А. Полозов. Поиск аварийного корабля происходил ночью. В воздухе тяжелые машины разошлись, и обнаружить лодку удалось экипажу Полозова. В полной темноте, подсвечивая посадочными фара</w:t>
      </w:r>
      <w:r w:rsidRPr="0044524F">
        <w:rPr>
          <w:rFonts w:ascii="Times New Roman" w:hAnsi="Times New Roman"/>
          <w:color w:val="000000" w:themeColor="text1"/>
          <w:sz w:val="16"/>
          <w:szCs w:val="16"/>
        </w:rPr>
        <w:softHyphen/>
        <w:t>ми, он стал заходить на посадку. Фары давали рассеянный свет на удалении не бо</w:t>
      </w:r>
      <w:r w:rsidRPr="0044524F">
        <w:rPr>
          <w:rFonts w:ascii="Times New Roman" w:hAnsi="Times New Roman"/>
          <w:color w:val="000000" w:themeColor="text1"/>
          <w:sz w:val="16"/>
          <w:szCs w:val="16"/>
        </w:rPr>
        <w:softHyphen/>
        <w:t>лее тридцати метров. Тем не менее, Полозов удачно приводнился, подошел к лодке и забрал раненых (11286).</w:t>
      </w:r>
    </w:p>
    <w:p w14:paraId="71C1D6F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6006C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завод № I рассылал самолеты 16 эскадрильям, 26 отдельным отрядам и четырем летным школам. К 1 декабря в ВВС насчитывалось уже 1898 Р-5 (12034).</w:t>
      </w:r>
    </w:p>
    <w:p w14:paraId="62F042A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638E18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началась восьмилетняя работе в Японии (прерванной арестом японской полицией в октябре 1941-го) Рихарда Зорге (Рамзая). В Москве не слишком доверяли его сообщениям, а оценить по достоинству (посмертным присвоением звания Героя Советского Союза) деятельность Зорге сочли необходимым лишь в 1964-м, после того как Н.С.Хрущев случайно узнал о ней - не из документов, а из французского художественного фильма трехлетней давности (тогда же в Москве появится идущая от комплекса зданий ГРУ (Хорошевское шоссе, 76) к готовящей для него кадры Военно-дипломатической академии (ул. Народного ополчения, 50) улица Зорге). Отметим поэтому только факт контактов Зорге с французским информационным агентством "Гавас", в токийском бюро которого работал член группы "Рамзай" югослав Бранко Вукелич. Спустя годы глава этого бюро Робер Гиейн осознал, что "по желанию Зорге... получал информацию, которую добывала его разведывательная сеть. Ему было необходимо, чтобы некоторые данные... дошли до представителей западных стран - противников Гитлера. О секретной информации я ставил в известность своего посла и военного атташе. Мой приятель полковник Тибо передавал ее, о чем я сказал Вукеличу, своим коллегам - британскому и американскому военным атташе"; по мнению Гийена, Зорге понимал, что Центр относится к его сообщениям скептически, и считал полезным, "чтобы и по другим каналам подтверждалась информация, которую он посылал в Москву с помощью своей тайной радиостанции. Тем самым его данным придавался бoльший вес" (7559).</w:t>
      </w:r>
    </w:p>
    <w:p w14:paraId="3F308CA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4909445"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994FE58"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3EE69A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в СССР нанес визит военный министр Франции П. Кот. Он посетил Киев, Харьков, Москву, авиационный завод в Филях и завод по производству авиамоторов. В начале 1934 г. произошел обмен военно-воздушными атташе. При этом «французов не оставляло ощущение, что инициатива к сближению исходила от советской стороны». (Подробнее см.: Орлов Б. М. Указ, соч.).) (11784).</w:t>
      </w:r>
    </w:p>
    <w:p w14:paraId="4C583D4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032BDA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г. германский военный атташе Хартман употребил формулировку, что закончился период советско-германского военного сотрудничества «в его нынешних формах». Оно продолжалось и в «пострапалльский» период. Сохранились и поддерживались официальные контакты офицеров РККА с офицерами райхсвера, в Германии по-прежнему осуществлялись закупки военных образцов и лицензий (11784).</w:t>
      </w:r>
    </w:p>
    <w:p w14:paraId="65A3989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21FE12"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31CE63C"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6B962A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Министерство авиации Германии (RLM) объявило двухэтапный конкурс на разработку конструкции пикирующего бомбардировщика (Sturzkampfflugzeug). Немедленная программа (Sofort-Program) предполагала биплан для замены Не-50. В результате появился Ю-87 (347,1).</w:t>
      </w:r>
    </w:p>
    <w:p w14:paraId="5109F50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60B253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нацисты учредили Палату по культуре и исключили евреев из культурной деятельности (1798).</w:t>
      </w:r>
    </w:p>
    <w:p w14:paraId="74A007A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A533703"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5724CBA"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CF63ED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сентябре-ноябре 1933 на ТБ-3 с М-17 и Р-5, дооборудованных на заводе 39, проводили гос. испытания дозаправки машин в воздухе по системе А.К.Запаванного. Р-5 был танкером и с него ручной лебедкой выпускали бронированный шланг с "грузовой грушей" на конце. Приемная горловина на Тб-3 была между турелями ТУР-5 и от нее шла разводка к крыльевым бакам. Грушу ловили 2 стрелка, так как один удержать не мог (1854,10).</w:t>
      </w:r>
    </w:p>
    <w:p w14:paraId="7DD635B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DD8A03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сентябре-ноябре 1933 г. велись государственные испытания системы заправки ТБ-3 с Р-5, который выступал в качестве танкера. С Р-5 ручной лебедкой выпускался бронированный шланг, на конце которого висела -грузовая груша» - попросту увесистая гиря. Дозаправлялся ТБ-3 с моторами М-17. Приемная горловина на бомбардировщике размещалась на фюзеляже перед турелями Тур-5, от нее шла разводка к крыльевым бакам. Бензин с танкера поступал самотеком - заправщик просто шел несколько выше заправляемого самолета. Доработку Р-5 и ТБ-3 осуществлял завод №39. «Грузовую грушу» ловили сразу два стрелка - один не мог удержать бьющийся на ветру шланг (9807).</w:t>
      </w:r>
    </w:p>
    <w:p w14:paraId="1A87A19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0500E5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 ноябре 1933 с Р-5 в полете заправляли бомбардировщик ТБ-3. Испытания прошли в целом успешно, если не считать того, что ловля "груши" оказалась делом нелегким и опасным. Конец шланга болтался в воздухе, можно было запросто получить по голове трехкилограммовой гирей. На ТБ-3 два стрелка с трудом удерживали шланг, бьющийся на ветру. Однако система работала. Сначала пробовали переливать воду, затем перешли на бензин. Для использования Р-5 в качестве танкера, естественно, потребовалось увеличить запас горючего на борту. В апреле 1932 г. попробовали подвесить дополнительные баки под крылом. Однако баки и магистрали текли, проводить испытания даже не рискнули. В июне выставили образец с большим подфю- зеляжным баком из стали, вмещавшим 550 л. Этот вариант использовали для заправки ТБ-1. При установке дополнительных внутренних баков, как на машинах для дальних перелетов, "бензиновоз" мог слить в бомбардировщик до 1040 л топлива. Весь комплект оборудования танкера весил около 120 кг. За счет дополнительного сопротивления бака скорость заправщика уменьшалась на 6 км/ч. (11836).</w:t>
      </w:r>
    </w:p>
    <w:p w14:paraId="7A43785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96DC10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ноябре 1933 г. с того же Р-5 попробовали заправлять ТБ-3. Дозаправлялся самолет одной из ранних серий с моторами М-17. Приемная горловина на бомбардировщике размещалась на фюзеляже перед турелями Тур-5, от нее шла разводка к крыльевым бакам. Доработку ТБ-3 осуществлял завод № 39. 20 ноября экипаж летчика Иванова впервые успешно дозаправил свой ТБ-3. Но для него бензин, сливавшийся с переоборудованного разведчика, был "каплей в море". Альтернативно рассматривали другие типы самолетов. На роль "бензиноносца" примеряли ТБ-1, пассажирские трехмоторный АНТ-9 и пятимоторный АНТ-14. Проект переделки АНТ-9 в танкер разрабатывался в Осконбюро ВВС, руководимом П.И. Гроховским. В эту организацию влилась группа Запанованного, которая фактически и вела конструирование. Параллельно там же делали проект доработки ТБ-1. По АНТ-14 сделали только самые прикидочные расчеты; эта машина предназначалась для снабжения горючим в воздухе шестимоторного бомбардировщика ТБ-4. В проекте самолета Г-1 (Д-1) предусматривался вариант "танкера сопровождения". Последний должен был лететь в составе соединения, подпитывая бензином тяжелые бомбовозы и сопровождающие их "крейсера". Г-1 мог дозаправить в одном вылете, например, две с половиной эскадрильи "крейсеров" Р-6 - три десятка машин. По-видимому, на "танкере" предусматривалась не одна, а две линии заправки с одинаковым оборудованием. Но все это остаюсь лишь в проектах. Вариант заправщика предлагал и B.C. Вахмистров для своей "авиаматки" - огромного "летающего крыла", прорисованного автором в эскизах.</w:t>
      </w:r>
    </w:p>
    <w:p w14:paraId="5292442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Несколько дальше ушли с превращением в танкер бомбардировщика ТБ-3. Его грузоподъемность и габариты позволяли взять немало дополнительного горючего. Группа Запанованного, которая при передаче Осконбюро Нарком- тяжпрому перешла в состав военного КБ-1, выполнила один за другим несколько подобных проектов. С каждым разом оборудование становилось легче и надежнее. Но в связи с крайней дефицитностью ТБ-3 до реализации дело дошло лишь в 1935 г. В НИИ ВВС переоборудовали два самолета - № 22610 и № 22464, оба с моторами М-34Р. Шланг-дюрит был намотан на барабан, располагавшийся в хвостовой части фюзеляжа. Он выпускался и втягивался ручной лебедкой через люк в полу за кабиной радиста. Шланг снаружи армировался стальными тросами - как для повышения прочности, так и для выравнивания потенциалов. Бензин для перелива браш из средних центропланных баков. Между 3-м и 4-м шпангоутами Ф-3 бомбардировщика находился полуавтомат перелива, открывавший и закрывавший магистраль. Насоса не было; топливо, как и ранее, переливалось под воздействием собственного веса. Общий вес комплекта АЗ-21 на ТБ-3 равнялся 59,32 кг.</w:t>
      </w:r>
    </w:p>
    <w:p w14:paraId="504DE25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Конструкцию КБ-1 одобрили. Отчет НИИ ВВС рекомендовал изготовить серию комплектов для дозаправки. Ознакомившийся с отчетом начальник ВВС РККА Я.И. Алк- снис наложил резолюцию: "Провести войсковые испытания на трех ТБ-3". Но никаких следов дальнейших работ по дозаправке в довоенный период мне найти </w:t>
      </w:r>
      <w:r w:rsidRPr="0044524F">
        <w:rPr>
          <w:rFonts w:ascii="Times New Roman" w:hAnsi="Times New Roman"/>
          <w:color w:val="000000" w:themeColor="text1"/>
          <w:sz w:val="16"/>
          <w:szCs w:val="16"/>
        </w:rPr>
        <w:lastRenderedPageBreak/>
        <w:t>не удалось. Что было этому причиной? Возможно, быстрый рост скоростей самолетов. Все эксперименты с системами Запано- ванного велись на скоростях не более 200 км/ч, шланг ловили руками из открытых кабин. При больших скоростях это стало невозможно, кроме того, кабины закрыли фонарями, стрелковые установки - экранами (12036).</w:t>
      </w:r>
    </w:p>
    <w:p w14:paraId="56EFF5D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A5BF2C0"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сентябре-ноябре 1933 г. прошли государственные испытания системы заправки ТБ-3 в воздухе с Р-5. Доработку Р-5 и ТБ-3 осуществлял завод № 39. «Грузовую гру</w:t>
      </w:r>
      <w:r w:rsidRPr="00142305">
        <w:rPr>
          <w:rFonts w:ascii="Times New Roman" w:hAnsi="Times New Roman"/>
          <w:color w:val="0070C0"/>
          <w:sz w:val="16"/>
          <w:szCs w:val="16"/>
        </w:rPr>
        <w:softHyphen/>
        <w:t>шу» ловили сразу два стрелка - один не мог удержать бьющийся на ветру шланг. 20 ноября экипаж летчика Иванова впер</w:t>
      </w:r>
      <w:r w:rsidRPr="00142305">
        <w:rPr>
          <w:rFonts w:ascii="Times New Roman" w:hAnsi="Times New Roman"/>
          <w:color w:val="0070C0"/>
          <w:sz w:val="16"/>
          <w:szCs w:val="16"/>
        </w:rPr>
        <w:softHyphen/>
        <w:t>вые успешно дозаправил свой ТБ-3 (24937).</w:t>
      </w:r>
    </w:p>
    <w:p w14:paraId="447C9A13" w14:textId="77777777" w:rsidR="00FA6C6B" w:rsidRPr="00142305" w:rsidRDefault="00FA6C6B" w:rsidP="00FA6C6B">
      <w:pPr>
        <w:spacing w:after="0" w:line="240" w:lineRule="auto"/>
        <w:jc w:val="both"/>
        <w:rPr>
          <w:rFonts w:ascii="Times New Roman" w:hAnsi="Times New Roman"/>
          <w:color w:val="0070C0"/>
          <w:sz w:val="16"/>
          <w:szCs w:val="16"/>
        </w:rPr>
      </w:pPr>
    </w:p>
    <w:p w14:paraId="7B2F9B13"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сентябре-ноябре 1933 г. с того же Р-5 попробовали заправлять ТБ-3. Дозаправлялся самолет одной из ранних серий с моторами M-17. Приемная горловина на бомбардировщике размеща</w:t>
      </w:r>
      <w:r w:rsidRPr="00142305">
        <w:rPr>
          <w:rFonts w:ascii="Times New Roman" w:hAnsi="Times New Roman"/>
          <w:color w:val="0070C0"/>
          <w:sz w:val="16"/>
          <w:szCs w:val="16"/>
        </w:rPr>
        <w:softHyphen/>
        <w:t>лась на фюзеляже перед турелями Тур-5, от нее шла развод</w:t>
      </w:r>
      <w:r w:rsidRPr="00142305">
        <w:rPr>
          <w:rFonts w:ascii="Times New Roman" w:hAnsi="Times New Roman"/>
          <w:color w:val="0070C0"/>
          <w:sz w:val="16"/>
          <w:szCs w:val="16"/>
        </w:rPr>
        <w:softHyphen/>
        <w:t>ка к крыльевым бакам. Доработку ТБ-3 осуществлял завод № 39. 20 ноября экипаж летчика Иванова впервые успешно дозаправил свой ТБ-3. Но для него бензин, сливавшийся с переоборудованного разведчика, был «каплей в море».</w:t>
      </w:r>
    </w:p>
    <w:p w14:paraId="6C5D0F60"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Альтернативно рассматривали другие типы самолетов. На роль «бензиноносца» примеряли ТБ-I, пассажирские трехмоторный ЛНТ-9 и пятимоторный ЛНТ-14. Проект переделки АНТ -9 в танкер разрабатывался в Осконбюро ВВС, руководимом П.И. Гроховским. В эту организацию влилась группа 3апанованного, которая фактически и вела конс</w:t>
      </w:r>
      <w:r w:rsidRPr="00142305">
        <w:rPr>
          <w:rFonts w:ascii="Times New Roman" w:hAnsi="Times New Roman"/>
          <w:color w:val="0070C0"/>
          <w:sz w:val="16"/>
          <w:szCs w:val="16"/>
        </w:rPr>
        <w:softHyphen/>
        <w:t>труирование. Параллельно там же делали проект доработки ТБ-l. По АНТ-14 сделали только самые прикидочные рас</w:t>
      </w:r>
      <w:r w:rsidRPr="00142305">
        <w:rPr>
          <w:rFonts w:ascii="Times New Roman" w:hAnsi="Times New Roman"/>
          <w:color w:val="0070C0"/>
          <w:sz w:val="16"/>
          <w:szCs w:val="16"/>
        </w:rPr>
        <w:softHyphen/>
        <w:t>четы; эта машина предназначалась дня снабжения горючим в воздухе шестимоторного бомбардировщика ТБ-4. В про</w:t>
      </w:r>
      <w:r w:rsidRPr="00142305">
        <w:rPr>
          <w:rFonts w:ascii="Times New Roman" w:hAnsi="Times New Roman"/>
          <w:color w:val="0070C0"/>
          <w:sz w:val="16"/>
          <w:szCs w:val="16"/>
        </w:rPr>
        <w:softHyphen/>
        <w:t>екте самолета Г-1 (Д-1) предусматривался вариант «танкера сопровождения». Последний должен был лететь в составе соединения, подпитывая бензином тяжелые бомбовозы и сопровождающие их «крейсера». Г -1 мог дозаправить в од</w:t>
      </w:r>
      <w:r w:rsidRPr="00142305">
        <w:rPr>
          <w:rFonts w:ascii="Times New Roman" w:hAnsi="Times New Roman"/>
          <w:color w:val="0070C0"/>
          <w:sz w:val="16"/>
          <w:szCs w:val="16"/>
        </w:rPr>
        <w:softHyphen/>
        <w:t>ном вылете, например, две с половиной эскадрильи «крей</w:t>
      </w:r>
      <w:r w:rsidRPr="00142305">
        <w:rPr>
          <w:rFonts w:ascii="Times New Roman" w:hAnsi="Times New Roman"/>
          <w:color w:val="0070C0"/>
          <w:sz w:val="16"/>
          <w:szCs w:val="16"/>
        </w:rPr>
        <w:softHyphen/>
        <w:t>серов» Р-6 — три десятка машин. По-видимому, на «тан</w:t>
      </w:r>
      <w:r w:rsidRPr="00142305">
        <w:rPr>
          <w:rFonts w:ascii="Times New Roman" w:hAnsi="Times New Roman"/>
          <w:color w:val="0070C0"/>
          <w:sz w:val="16"/>
          <w:szCs w:val="16"/>
        </w:rPr>
        <w:softHyphen/>
        <w:t>кере» предусматривалась не одна, а две линии заправки с одинаковым оборудованием. Но все это осталось лишь в проектах. Вариант заправщика предлагал и В.С. Вахмист</w:t>
      </w:r>
      <w:r w:rsidRPr="00142305">
        <w:rPr>
          <w:rFonts w:ascii="Times New Roman" w:hAnsi="Times New Roman"/>
          <w:color w:val="0070C0"/>
          <w:sz w:val="16"/>
          <w:szCs w:val="16"/>
        </w:rPr>
        <w:softHyphen/>
        <w:t>ров для своей «авиаматки» — огромного «летающего кры</w:t>
      </w:r>
      <w:r w:rsidRPr="00142305">
        <w:rPr>
          <w:rFonts w:ascii="Times New Roman" w:hAnsi="Times New Roman"/>
          <w:color w:val="0070C0"/>
          <w:sz w:val="16"/>
          <w:szCs w:val="16"/>
        </w:rPr>
        <w:softHyphen/>
        <w:t>ла», прорисованного автором в эскизах.</w:t>
      </w:r>
    </w:p>
    <w:p w14:paraId="4923D03C"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Несколько дальше ушли с превращением в танкер бом</w:t>
      </w:r>
      <w:r w:rsidRPr="00142305">
        <w:rPr>
          <w:rFonts w:ascii="Times New Roman" w:hAnsi="Times New Roman"/>
          <w:color w:val="0070C0"/>
          <w:sz w:val="16"/>
          <w:szCs w:val="16"/>
        </w:rPr>
        <w:softHyphen/>
        <w:t>бардировщика ТБ-3. Его грузоподъемность и габариты поз</w:t>
      </w:r>
      <w:r w:rsidRPr="00142305">
        <w:rPr>
          <w:rFonts w:ascii="Times New Roman" w:hAnsi="Times New Roman"/>
          <w:color w:val="0070C0"/>
          <w:sz w:val="16"/>
          <w:szCs w:val="16"/>
        </w:rPr>
        <w:softHyphen/>
        <w:t>воляли взять немало дополнительного горючего. Группа Запанованного, которая при передаче Осконбюро Наркомтяжпрому перешла в состав военного КБ-1 , выполнила один за другим несколько подобных проектов. С каждым разом оборудование становилось легче и надежнее. Но в связи с крайней дефицитностью ТБ-3 до реализации дело дошло лишь в 1935 г. (24977).</w:t>
      </w:r>
    </w:p>
    <w:p w14:paraId="7DF85919" w14:textId="77777777" w:rsidR="00FA6C6B" w:rsidRPr="00142305" w:rsidRDefault="00FA6C6B" w:rsidP="00FA6C6B">
      <w:pPr>
        <w:spacing w:after="0" w:line="240" w:lineRule="auto"/>
        <w:jc w:val="both"/>
        <w:rPr>
          <w:rFonts w:ascii="Times New Roman" w:hAnsi="Times New Roman"/>
          <w:color w:val="0070C0"/>
          <w:sz w:val="16"/>
          <w:szCs w:val="16"/>
        </w:rPr>
      </w:pPr>
    </w:p>
    <w:p w14:paraId="04C40583"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 октябре 1933 г. в ВВС ОКДВА на С-62 произвели замену итальянских ту</w:t>
      </w:r>
      <w:r w:rsidRPr="00142305">
        <w:rPr>
          <w:rFonts w:ascii="Times New Roman" w:hAnsi="Times New Roman"/>
          <w:color w:val="0070C0"/>
          <w:sz w:val="16"/>
          <w:szCs w:val="16"/>
        </w:rPr>
        <w:softHyphen/>
        <w:t>релей на советские Тур-6. В ходе модер</w:t>
      </w:r>
      <w:r w:rsidRPr="00142305">
        <w:rPr>
          <w:rFonts w:ascii="Times New Roman" w:hAnsi="Times New Roman"/>
          <w:color w:val="0070C0"/>
          <w:sz w:val="16"/>
          <w:szCs w:val="16"/>
        </w:rPr>
        <w:softHyphen/>
        <w:t>низации на самолетах на Дальнем Восто</w:t>
      </w:r>
      <w:r w:rsidRPr="00142305">
        <w:rPr>
          <w:rFonts w:ascii="Times New Roman" w:hAnsi="Times New Roman"/>
          <w:color w:val="0070C0"/>
          <w:sz w:val="16"/>
          <w:szCs w:val="16"/>
        </w:rPr>
        <w:softHyphen/>
        <w:t>ке, Черном море и Балтике монтировали радиостанции 14С-1. Они устанавлива</w:t>
      </w:r>
      <w:r w:rsidRPr="00142305">
        <w:rPr>
          <w:rFonts w:ascii="Times New Roman" w:hAnsi="Times New Roman"/>
          <w:color w:val="0070C0"/>
          <w:sz w:val="16"/>
          <w:szCs w:val="16"/>
        </w:rPr>
        <w:softHyphen/>
        <w:t>лись там же. где и старые 13-СК. При этом динамо-машины меняли на более мощные, поставлявшиеся в комплекте со станциями После монтажа 14С-1 появи</w:t>
      </w:r>
      <w:r w:rsidRPr="00142305">
        <w:rPr>
          <w:rFonts w:ascii="Times New Roman" w:hAnsi="Times New Roman"/>
          <w:color w:val="0070C0"/>
          <w:sz w:val="16"/>
          <w:szCs w:val="16"/>
        </w:rPr>
        <w:softHyphen/>
        <w:t>лась возможность установления связи из положения на плаву. Для этого придавали складную мачту с растяжками и неболь</w:t>
      </w:r>
      <w:r w:rsidRPr="00142305">
        <w:rPr>
          <w:rFonts w:ascii="Times New Roman" w:hAnsi="Times New Roman"/>
          <w:color w:val="0070C0"/>
          <w:sz w:val="16"/>
          <w:szCs w:val="16"/>
        </w:rPr>
        <w:softHyphen/>
        <w:t>шой мотор-генератор. Но такой комплект брали на борт только при необходимости, обычно летали без него (24948).</w:t>
      </w:r>
    </w:p>
    <w:p w14:paraId="6F143439" w14:textId="77777777" w:rsidR="00FA6C6B" w:rsidRPr="00142305" w:rsidRDefault="00FA6C6B" w:rsidP="00FA6C6B">
      <w:pPr>
        <w:spacing w:after="0" w:line="240" w:lineRule="auto"/>
        <w:jc w:val="both"/>
        <w:rPr>
          <w:rFonts w:ascii="Times New Roman" w:hAnsi="Times New Roman"/>
          <w:color w:val="0070C0"/>
          <w:sz w:val="16"/>
          <w:szCs w:val="16"/>
        </w:rPr>
      </w:pPr>
    </w:p>
    <w:p w14:paraId="411A2363" w14:textId="77777777" w:rsidR="00CF38E2" w:rsidRPr="0044524F" w:rsidRDefault="00CF38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сентября по декабрь 1933 года, несмотря на образо</w:t>
      </w:r>
      <w:r w:rsidRPr="0044524F">
        <w:rPr>
          <w:rFonts w:ascii="Times New Roman" w:hAnsi="Times New Roman"/>
          <w:color w:val="000000" w:themeColor="text1"/>
          <w:sz w:val="16"/>
          <w:szCs w:val="16"/>
        </w:rPr>
        <w:softHyphen/>
        <w:t>вание РНИИ, коллективы ленинградской ГДЛ и московского ГИРДа продолжали работать в своих городах по своим пла</w:t>
      </w:r>
      <w:r w:rsidRPr="0044524F">
        <w:rPr>
          <w:rFonts w:ascii="Times New Roman" w:hAnsi="Times New Roman"/>
          <w:color w:val="000000" w:themeColor="text1"/>
          <w:sz w:val="16"/>
          <w:szCs w:val="16"/>
        </w:rPr>
        <w:softHyphen/>
        <w:t>нам. Во-первых, положение РНИИ было неопределенным, во- вторых, следовало завершить намеченные на год работы, чтобы позже отчитаться за них. ГДЛ была преобразована в Ленинградское отделение РНИИ и переименована в ЛОРНИИ. Начальником отделения стал Лангемак, его заместителем и главным инженером – Петропавловский (23510).</w:t>
      </w:r>
    </w:p>
    <w:p w14:paraId="22CC7352" w14:textId="77777777" w:rsidR="00CF38E2" w:rsidRPr="0044524F" w:rsidRDefault="00CF38E2" w:rsidP="009654CF">
      <w:pPr>
        <w:spacing w:after="0" w:line="240" w:lineRule="auto"/>
        <w:jc w:val="both"/>
        <w:rPr>
          <w:rFonts w:ascii="Times New Roman" w:hAnsi="Times New Roman"/>
          <w:color w:val="000000" w:themeColor="text1"/>
          <w:sz w:val="16"/>
          <w:szCs w:val="16"/>
        </w:rPr>
      </w:pPr>
    </w:p>
    <w:p w14:paraId="4EB7570E"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A938A07"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923157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1933 - феврале 1934 на НИБТ полигоне проходили полигонные испытания тягача Т-26-Т2, разработанного КБ завода им. Ворошилова в Ленинграде в 1933 на основе поекта КБ завода Большевик, для обслуживания мехсоединений. С 1933 был на вооружении и небольшие партии машин выпускались заводом им. Ворошилова в 1934, 35, 36 (9527,212).</w:t>
      </w:r>
    </w:p>
    <w:p w14:paraId="11FC72A5" w14:textId="77777777" w:rsidR="001F72EB"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EF8CF3A"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сентября 1933 по февраль 1934 г. на НИБТ полигоне прошел испытания опытный образец транспортера ТР-1 (ТР-26), который был разработан в 1932- 1933 гг. слушателями ВАММ им. Сталина на базе танка Т-26, окончательно доработан в КВ завода № 185 и изготовлен летом 1933 на опытном заводе Спецмаштреста им.С.М.Кирова (завод № 185) в Ленинграде.</w:t>
      </w:r>
    </w:p>
    <w:p w14:paraId="4A32A6FB"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Машина была предназначена для перевозки четырнадцати десантников, которые размещались в броневой кабине, расположенной за иод-башенной коробкой. Карбюраторный двигатель "Геркулес" жидкостного охлаждения мощностью 90 л.с. ((56 кВт), установленный в едином блоке с коробкой передач и главным фрикционом "Геркулес", был расположен в средней части корпуса слева от механика-водителя. Такое расположение силовой установки потребовало перекомпоновки и конструктивного изменения систем, обеспечивающих работу двигателя.</w:t>
      </w:r>
    </w:p>
    <w:p w14:paraId="143CCCE5"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Броневая защита противопульная, выполненная из броневых катаных листов толщиной 6 и 10 мм. Соединение броневых листов производилось с помощью сварки и клепки.</w:t>
      </w:r>
    </w:p>
    <w:p w14:paraId="7B8D1B45"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Посадка и спешивание десанта осуществлялись через двухстворчатую дверь, расположенную в кормовой части машины, и десантный люк в крыше кабины. Для ведения огня из личного оружия десанта и наблюдения во время движения в бортовых и передней стенках броневой кабины имелись амбразуры, закрывавшиеся броневыми крышками.</w:t>
      </w:r>
    </w:p>
    <w:p w14:paraId="6F5C1B1A"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Размещение десанта было тесным и неудобным. Проведенные испытания показали необходимость применения бронетранспортера в РККА, нос улучшением комфортности размещения десанта.</w:t>
      </w:r>
    </w:p>
    <w:p w14:paraId="3B88AA29"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Запас хода машины по шоссе достигал 100 км (25501).</w:t>
      </w:r>
    </w:p>
    <w:p w14:paraId="2964E6D9" w14:textId="77777777" w:rsidR="00FA6C6B" w:rsidRPr="0044524F" w:rsidRDefault="00FA6C6B" w:rsidP="009654CF">
      <w:pPr>
        <w:autoSpaceDE w:val="0"/>
        <w:autoSpaceDN w:val="0"/>
        <w:adjustRightInd w:val="0"/>
        <w:spacing w:after="0" w:line="240" w:lineRule="auto"/>
        <w:jc w:val="both"/>
        <w:rPr>
          <w:rFonts w:ascii="Times New Roman" w:hAnsi="Times New Roman"/>
          <w:color w:val="000000" w:themeColor="text1"/>
          <w:sz w:val="16"/>
          <w:szCs w:val="16"/>
        </w:rPr>
      </w:pPr>
    </w:p>
    <w:p w14:paraId="1B245EA2" w14:textId="77777777" w:rsidR="00FA6C6B" w:rsidRPr="00142305" w:rsidRDefault="00FA6C6B" w:rsidP="00FA6C6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сентябре — ноябре 1933 года летающий танк Кристи М.1932, получивший обозначение БТ-32 проходила испыта</w:t>
      </w:r>
      <w:r w:rsidRPr="00142305">
        <w:rPr>
          <w:rFonts w:ascii="Times New Roman" w:hAnsi="Times New Roman"/>
          <w:color w:val="0070C0"/>
          <w:sz w:val="16"/>
          <w:szCs w:val="16"/>
        </w:rPr>
        <w:softHyphen/>
        <w:t>ния, и даже была показана на параде 7 ноября 1933 года в Харькове. В ре</w:t>
      </w:r>
      <w:r w:rsidRPr="00142305">
        <w:rPr>
          <w:rFonts w:ascii="Times New Roman" w:hAnsi="Times New Roman"/>
          <w:color w:val="0070C0"/>
          <w:sz w:val="16"/>
          <w:szCs w:val="16"/>
        </w:rPr>
        <w:softHyphen/>
        <w:t>зультате испытаний выяснилось, что конструкция агрегатов ходовой части и трансмиссии танка М.1932 не отлича</w:t>
      </w:r>
      <w:r w:rsidRPr="00142305">
        <w:rPr>
          <w:rFonts w:ascii="Times New Roman" w:hAnsi="Times New Roman"/>
          <w:color w:val="0070C0"/>
          <w:sz w:val="16"/>
          <w:szCs w:val="16"/>
        </w:rPr>
        <w:softHyphen/>
        <w:t>ется высокой надежностью. Поэтому все дальнейшие испытания этой маши</w:t>
      </w:r>
      <w:r w:rsidRPr="00142305">
        <w:rPr>
          <w:rFonts w:ascii="Times New Roman" w:hAnsi="Times New Roman"/>
          <w:color w:val="0070C0"/>
          <w:sz w:val="16"/>
          <w:szCs w:val="16"/>
        </w:rPr>
        <w:softHyphen/>
        <w:t>ны прекратили (25009)</w:t>
      </w:r>
    </w:p>
    <w:p w14:paraId="5D4F2785" w14:textId="77777777" w:rsidR="00FA6C6B" w:rsidRPr="00142305" w:rsidRDefault="00FA6C6B" w:rsidP="00FA6C6B">
      <w:pPr>
        <w:spacing w:after="0" w:line="240" w:lineRule="auto"/>
        <w:jc w:val="both"/>
        <w:rPr>
          <w:rFonts w:ascii="Times New Roman" w:hAnsi="Times New Roman"/>
          <w:color w:val="0070C0"/>
          <w:sz w:val="16"/>
          <w:szCs w:val="16"/>
        </w:rPr>
      </w:pPr>
    </w:p>
    <w:p w14:paraId="1CC6DEB0"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459C900"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380CE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в ОКБ С.В.И. шло проектирование ЛБ-2 - будущего ДБ-3 (6474).</w:t>
      </w:r>
    </w:p>
    <w:p w14:paraId="0F766C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план опытного самолетостроения на 1933-1934 гг. были заложены два "бомбардировщика ближнего действия”. Создание цельнометаллической машины поручалось ЦАГИ - в итоге появился знаменитый СБ. На ЦКБ возложили проектирование самолета аналогичного назначения, но смешанной конструкции. Он обозначался ЛБ-2. Этот бомбардировщик должен был оснащаться двумя двигателями М-34РН. Максимальная скорость определялась а 300 км/ч на высоте 5000 м. практический потолок - 7500 м, дальность полета 800-1500 км. Вооружение: два пулемета и 800 кг бомб (6474).</w:t>
      </w:r>
    </w:p>
    <w:p w14:paraId="4D27D4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04757AD"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 вернувшись из Франции, Ильюшин внес предложение о постройке бомбардировщика с двигателями «Гном-Рон»14К (у нас его чаще называли К-14). Уже в октябре ГУАП одобрило эту идею. Самолет должен был стать альтернативой туполевскому СБ. В документах ВВС машина именовалась ББ-2 или иногда СБ-39 («скоростной бомбардировщик завода №39»). Интересно, что по заданию самолет имел двойное назначение – ближний бомбардировщик и пассажирский. Последний определялся как «магистральный для ночных линий» и должен был отличаться моторами. Вместо «Гном-Ронов» на нем хотели ставить «Райт-Циклон» (у нас именовавшийся М-25). Срок выхода бомбардировщика на государственные испытания установили в мае 1935 г. (впоследствии его сдвинули на 1 ноября).</w:t>
      </w:r>
    </w:p>
    <w:p w14:paraId="7BFB73E4"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Группа Ильюшина начала перерабатывать документацию под французские моторы. В результате возник проект ЦКБ-26, уже имевший многие основные черты будущего ДБ-3. Главный упор делался на скорость полета. Крыло получило сравнительно небольшое удлинение (около 7), но со значительной нагрузкой – до 140 кг/мг . Для него выбрали тонкий (по тому времени) двояковыпуклый профиль Кларк Y-15. Такой подход обеспечивал бомбардировщику небольшое аэродинамическое сопротивление и тем самым способствовал получению высоких скоростных характеристик. В тоже время такое крыло ухудшало взлетно-посадочные качества. Это решили парировать щитками типа Цап.</w:t>
      </w:r>
    </w:p>
    <w:p w14:paraId="7899EF54"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Многие другие конструктивные решения также были продиктованы стремлением до предела уменьшить аэродинамическое сопротивление: гладкая обшивка, узкий фюзеляж, развитые зализы на стыке фюзеляжа и крыла, убирающееся шасси. В итоге получился компактный, изящный и прочный самолет. Конструкция его была смешанной. ЦКБ-26 имел деревянные фюзеляж и киль при металлическом крыле и горизонтальном оперении (25043).</w:t>
      </w:r>
    </w:p>
    <w:p w14:paraId="447F734F" w14:textId="77777777" w:rsidR="009D616C" w:rsidRPr="00142305" w:rsidRDefault="009D616C" w:rsidP="009D616C">
      <w:pPr>
        <w:spacing w:after="0" w:line="240" w:lineRule="auto"/>
        <w:jc w:val="both"/>
        <w:rPr>
          <w:rFonts w:ascii="Times New Roman" w:hAnsi="Times New Roman"/>
          <w:color w:val="0070C0"/>
          <w:sz w:val="16"/>
          <w:szCs w:val="16"/>
        </w:rPr>
      </w:pPr>
    </w:p>
    <w:p w14:paraId="240E115E"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осени 1933 г. хотели начать массовый выпуск новой модификации ТБ-3 с М-34, но моторы поступали с перебоями, и в янва</w:t>
      </w:r>
      <w:r w:rsidRPr="00142305">
        <w:rPr>
          <w:rFonts w:ascii="Times New Roman" w:hAnsi="Times New Roman"/>
          <w:color w:val="0070C0"/>
          <w:sz w:val="16"/>
          <w:szCs w:val="16"/>
        </w:rPr>
        <w:softHyphen/>
        <w:t>ре следующего года завод продолжал сдавать некоторые са</w:t>
      </w:r>
      <w:r w:rsidRPr="00142305">
        <w:rPr>
          <w:rFonts w:ascii="Times New Roman" w:hAnsi="Times New Roman"/>
          <w:color w:val="0070C0"/>
          <w:sz w:val="16"/>
          <w:szCs w:val="16"/>
        </w:rPr>
        <w:softHyphen/>
        <w:t>молеты с моторамами под М-34, но стояли на них М-17. К 1 января 1934 г. ВВС приняли 38 новых машин. Моторы М-34 оценивались как временные, а сама модификация — как пе</w:t>
      </w:r>
      <w:r w:rsidRPr="00142305">
        <w:rPr>
          <w:rFonts w:ascii="Times New Roman" w:hAnsi="Times New Roman"/>
          <w:color w:val="0070C0"/>
          <w:sz w:val="16"/>
          <w:szCs w:val="16"/>
        </w:rPr>
        <w:softHyphen/>
        <w:t>реходная, но таких ТБ-3 выпустили около сотни (24977_.</w:t>
      </w:r>
    </w:p>
    <w:p w14:paraId="4ABCFD84" w14:textId="77777777" w:rsidR="009D616C" w:rsidRPr="00142305" w:rsidRDefault="009D616C" w:rsidP="009D616C">
      <w:pPr>
        <w:spacing w:after="0" w:line="240" w:lineRule="auto"/>
        <w:jc w:val="both"/>
        <w:rPr>
          <w:rFonts w:ascii="Times New Roman" w:hAnsi="Times New Roman"/>
          <w:color w:val="0070C0"/>
          <w:sz w:val="16"/>
          <w:szCs w:val="16"/>
        </w:rPr>
      </w:pPr>
    </w:p>
    <w:p w14:paraId="0C1D50F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Осенью (в октябре - 237,167; 1 - 271,137) 1933 проводились летные испытания ТБ-1, управляемого по радио, и была создана опытная эскадрилья таких самолетов в качестве беспилотных бомбардировщиков с возвращением на базу, а также самолетов-снарядов (80,303).</w:t>
      </w:r>
    </w:p>
    <w:p w14:paraId="5BB8D0A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C2A63B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идея создания ТБ-7 начала обретать реальность. Тяжелый бомбардировщик включили в план опытного самолетостроения советской авиапромышленности на 1934-1935 гг. Согласно этому документу, утвержденному 13 декабря 1933 г. начальником 7-го сектора НИИ ВВС Б.Т.Горощенко, задание на проектирование ТБ-7 расценивалось как приоритетное, в недалеком будущем ему предстояло заменить быстро устаревающий ТБ-3. С четырьмя двигателями М-34 ТБ-7 должен был развивать скорость 280-300 км/ч на высоте 5000 м, обладать рабочим потолком 8000 м, нести максимальную бомбовую нагрузку 4000 кг на дальность 4000 км. Срок готовности опытного экземпляра устанавливался весьма сжатый, к его летным испытаниям предстояло приступить не позднее 1 октября 1935 г. Понятно, что в реальности для создания столь крупного и сложного самолета понадобилось значительно больше времени (12025).</w:t>
      </w:r>
    </w:p>
    <w:p w14:paraId="6140991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023B4B4"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 идея создания ТБ-7 начала обретать реальность. Тяжелый бомбардиров</w:t>
      </w:r>
      <w:r w:rsidRPr="00142305">
        <w:rPr>
          <w:rFonts w:ascii="Times New Roman" w:hAnsi="Times New Roman"/>
          <w:color w:val="0070C0"/>
          <w:sz w:val="16"/>
          <w:szCs w:val="16"/>
        </w:rPr>
        <w:softHyphen/>
        <w:t>щик включили в план опытного самолетостро</w:t>
      </w:r>
      <w:r w:rsidRPr="00142305">
        <w:rPr>
          <w:rFonts w:ascii="Times New Roman" w:hAnsi="Times New Roman"/>
          <w:color w:val="0070C0"/>
          <w:sz w:val="16"/>
          <w:szCs w:val="16"/>
        </w:rPr>
        <w:softHyphen/>
        <w:t>ения советской авиапромышленности на 1934 — 1935 гг. Согласно этому документу, ут</w:t>
      </w:r>
      <w:r w:rsidRPr="00142305">
        <w:rPr>
          <w:rFonts w:ascii="Times New Roman" w:hAnsi="Times New Roman"/>
          <w:color w:val="0070C0"/>
          <w:sz w:val="16"/>
          <w:szCs w:val="16"/>
        </w:rPr>
        <w:softHyphen/>
        <w:t>вержденному 13 декабря 1933 г. начальником 7-го сектора НИИ ВВС Борисом Горощенко, задание на проектирование ТБ-7 расценива</w:t>
      </w:r>
      <w:r w:rsidRPr="00142305">
        <w:rPr>
          <w:rFonts w:ascii="Times New Roman" w:hAnsi="Times New Roman"/>
          <w:color w:val="0070C0"/>
          <w:sz w:val="16"/>
          <w:szCs w:val="16"/>
        </w:rPr>
        <w:softHyphen/>
        <w:t>лось как приоритетное, в недалеком будущем ему предстояло заменить быстро устареваю</w:t>
      </w:r>
      <w:r w:rsidRPr="00142305">
        <w:rPr>
          <w:rFonts w:ascii="Times New Roman" w:hAnsi="Times New Roman"/>
          <w:color w:val="0070C0"/>
          <w:sz w:val="16"/>
          <w:szCs w:val="16"/>
        </w:rPr>
        <w:softHyphen/>
        <w:t>щий ТБ-3. С четырьмя двигателями М-34ФРН взлетной мощностью по 1250 л.с. ТБ-7 должен был развивать скорость 280 — 300 км/ч на вы</w:t>
      </w:r>
      <w:r w:rsidRPr="00142305">
        <w:rPr>
          <w:rFonts w:ascii="Times New Roman" w:hAnsi="Times New Roman"/>
          <w:color w:val="0070C0"/>
          <w:sz w:val="16"/>
          <w:szCs w:val="16"/>
        </w:rPr>
        <w:softHyphen/>
        <w:t>соте 5000 м, обладать рабочим потолком 8000 м, нести максимальную бомбовую нагрузку 4000 кг на дальность 4000 км. Срок готовности опытного экземпляра устанавливался весьма сжатый, к его летным испытаниям предстояло приступить не позднее 1 октября 1935 г. По</w:t>
      </w:r>
      <w:r w:rsidRPr="00142305">
        <w:rPr>
          <w:rFonts w:ascii="Times New Roman" w:hAnsi="Times New Roman"/>
          <w:color w:val="0070C0"/>
          <w:sz w:val="16"/>
          <w:szCs w:val="16"/>
        </w:rPr>
        <w:softHyphen/>
        <w:t>нятно, что в реальности для создания столь крупного и сложного самолета понадобилось значительно больше времени (24951).</w:t>
      </w:r>
    </w:p>
    <w:p w14:paraId="64D820C0" w14:textId="77777777" w:rsidR="009D616C" w:rsidRPr="00142305" w:rsidRDefault="009D616C" w:rsidP="009D616C">
      <w:pPr>
        <w:spacing w:after="0" w:line="240" w:lineRule="auto"/>
        <w:jc w:val="both"/>
        <w:rPr>
          <w:rFonts w:ascii="Times New Roman" w:hAnsi="Times New Roman"/>
          <w:color w:val="0070C0"/>
          <w:sz w:val="16"/>
          <w:szCs w:val="16"/>
        </w:rPr>
      </w:pPr>
    </w:p>
    <w:p w14:paraId="063E860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года началось проектирование модификации Р-5Т. Переделкой планера занималась группа конструкторов завода № 1 во главе с инженером Гребеневым. Основную роль в ней играли инженеры Шишкин и Никитин. Подвеску торпеды разрабатывали в 16-м отделе НИИ ВВС под руководством М.И. Проценко.</w:t>
      </w:r>
    </w:p>
    <w:p w14:paraId="27A8F05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Такой тяжелый груз, как торпеда, можно было подвесить только под фюзеляжем. Но Р-5 имел старомодное шасси, не позволявшее разместить торпеду между стойками, поэтому его заменили новой конструкцией с двумя отдельными пирамидальными стойками. Силовой набор крыла и фюзеляжа несколько усилили.</w:t>
      </w:r>
    </w:p>
    <w:p w14:paraId="1718469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Р-5Т выбрали торпеду ТАН-12 - переделанную морскую торпеду образца 1912 г. Ее расположили под фюзеляжем наклонно. Подвеска ("торпедодержатель") снабжалась замками от бомбодержателя Дер-13. Сброс осуществлялся механическим сбрасывателем, стоявшим у пилота.</w:t>
      </w:r>
    </w:p>
    <w:p w14:paraId="1958EFA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самолета сконструировали простой торпедный прицел ПТН-1 ("гребенку").</w:t>
      </w:r>
    </w:p>
    <w:p w14:paraId="03EF1A5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торпеды с подвеской (930 кг) превышала максимально допустимые для Р-5 пределы. Для облегчения самолет сделали одноместным, закрыв проем задней кабины съемной крышкой. Курсовой пулемет ПВ-1 сохранили для подавления зенитных средств атакуемого корабля. Р-5Т без торпеды мог использоваться как дальний разведчик. При этом предусматривалось размещение в задней кабине дополнительного бензобака, позволявшего увеличить дальность до 1200 км.</w:t>
      </w:r>
    </w:p>
    <w:p w14:paraId="06D1227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ближнего разведчика Р-5Т опять становился двухместным. В задней кабине предусматривалась установка радиостанции 13-СК и фотоаппаратов Поттэ 1Б или АФА-13. При этом машина могла нести мелкие бомбы на держателях Дер-7 под крылом.</w:t>
      </w:r>
    </w:p>
    <w:p w14:paraId="2023F9F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переделка серийного Р-5 в опытный образец торпедоносца заняли всего 29 дней (11936).</w:t>
      </w:r>
    </w:p>
    <w:p w14:paraId="1F38235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7B0681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началось проектирование модификации, названной Р-5Т. Переделкой планера занималась группа конструкторов завода №1 во главе с инженером Гребеневым. Основную роль в ней играли инженеры Шишкин и Никитин. Подвеску торпеды разрабатывали в 16-м отделе НИИ ВВС под руководством М.И. Проценко.</w:t>
      </w:r>
    </w:p>
    <w:p w14:paraId="55962FF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Такой тяжелый груз, как торпеда, можно было подвесить только под фюзеляжем самолета. Для этого требовалось освободить всю его нижнюю поверхность. Но Р-5 имел старомодное шасси, не позволявшее разместить торпеду между стойками. Его заменили новой конструкцией. Две отдельные пирамидальные стойки с полуосями освободили пространство по оси самолета. Основная стойка с пластинчатым резиновым амортизатором присоединялась теперь не к фюзеляжу, а к переднему лонжерону крыла и подкреплялась раскосом, идущим вверх. Силовой набор крыла и фюзеляжа был несколько усилен в расчете на большие нагрузки.</w:t>
      </w:r>
    </w:p>
    <w:p w14:paraId="7DBC03D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торпеда TAB-15 с громоздкой парашютной коробкой оказалась неприемлема для сравнительно небольшого биплана. Поэтому от высотного торпедометания отказались. Для Р-5Т выбрали торпеду ТАН-12 (она же ВВС 12 и 45-12). Она представляла собой переделку морской торпеды образца 1912 г. Такую торпеду можно было сбрасывать с высоты 10-20 м при скорости не более 160 км/ч. ТАН-12 расположили под фюзеляжем наклонно, передней частью вниз. Подвеска ("торпедодержатель") снабжалась замками от бомбодержателя Дер-13. Подвеска и торпеда вместе весили 930 кг. Сброс осуществлялся механическим бомбосбрасывателем, стоявшим у пилота. Последние чертежи торпедодержателя передали на завод 15 января 1934 г. Для самолета сконструировали простой торпедный прицел ПТН -1 ("гребенку").</w:t>
      </w:r>
    </w:p>
    <w:p w14:paraId="30ECC79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принципе любой Р-5 мог быть переделан в торпедоносец непосредственно в авиационной части с использованием набора узлов, поставленного заводом.</w:t>
      </w:r>
    </w:p>
    <w:p w14:paraId="06B0EBC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торпеды с подвеской превышал максимально допустимые для самолета пределы, поэтому машину требовалось облегчить. Сняли турель со спаренным пулеметом ДА-2, стоявшую в задней кабине. Да и сама эта кабина при несении торпеды не использовалась - самолет становился одноместным. Для улучшения аэродинамики проем задней кабины закрывался съемной крышкой. Один из вариантов предусматривал размещение в ней дополнительного бензобака, позволявшего увеличить дальность полетало 1200 км.</w:t>
      </w:r>
    </w:p>
    <w:p w14:paraId="4C53076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в качестве разведчика Р-5Т опять становился двухместным. В задней кабине предусматривалась установка радиостанции 13-СК, запитывавшейся от электрогенератора ДОС-1 с ветрянкой, и фотоаппаратов Поттэ 1Б или АФА-13. При этом машина могла нести мелкие бомбы на бомбодержателях Дер-7 под крылом. Они управлялись вторым бомбосбрасывателем, в задней кабине.</w:t>
      </w:r>
    </w:p>
    <w:p w14:paraId="2850559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стрелкового оружия на самолете остался только неподвижный пулемет ПВ-1 под капотом мотора. Он мог использоваться торпедоносцем для подавления зенитных средств атакуемого корабля.</w:t>
      </w:r>
    </w:p>
    <w:p w14:paraId="2CF01A6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оценкам специалистов НИИ ВВС, Р-5Т имел ряд преимуществ по сравнению с создававшимся почти параллельно в ЦАГИ поплавковым торпедоносцем Р-6Т - лучшую маневренность, меньшие габариты. Он был легче, дешевле, проще в производстве и ремонте. Очень важным считалось то, что минимальная скорость полета биплана составляла 130 км/ч, а у моноплана Р-6Т - 157 км/ч, что было близко к пределу прочности торпед того времени.</w:t>
      </w:r>
    </w:p>
    <w:p w14:paraId="1232DDF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 переделка серийного Р-5 в опытный образец торпедоносца заняли всего 29 дней. Постройкой машины руководил инженер Шиц. К 20 января 1934 г. уже были готовы все основные узлы. К 4 февраля сборку самолета закончили, о чем начальник ВВС РККА Я.И. Алкснис немедленно доложил Реввоенсовету. В ответ последовало распоряжение: "Предусмотреть приспособление одной эскадрильи Р-5 под торпедоносцы после испытаний опытного образца специально для Дальнего Востока" (12034).</w:t>
      </w:r>
    </w:p>
    <w:p w14:paraId="447AAED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F06A6DF"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 началось проектирование торпедоносной модификации Р-5, названной Р-5Т. Переделкой планера занималась группа конструкторов завода №1 во главе с инженером Гребене</w:t>
      </w:r>
      <w:r w:rsidRPr="00142305">
        <w:rPr>
          <w:rFonts w:ascii="Times New Roman" w:hAnsi="Times New Roman"/>
          <w:color w:val="0070C0"/>
          <w:sz w:val="16"/>
          <w:szCs w:val="16"/>
        </w:rPr>
        <w:softHyphen/>
        <w:t>вым. Основную роль в ней играли инженеры Шишкин и Никитин. Подвеску торпеды разрабатывали в 16-м отделе НИИ ВВС под руководством М.И. Проценко.</w:t>
      </w:r>
    </w:p>
    <w:p w14:paraId="6D3CAA73"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Такой тяжелый груз, как торпеда, можно было подве</w:t>
      </w:r>
      <w:r w:rsidRPr="00142305">
        <w:rPr>
          <w:rFonts w:ascii="Times New Roman" w:hAnsi="Times New Roman"/>
          <w:color w:val="0070C0"/>
          <w:sz w:val="16"/>
          <w:szCs w:val="16"/>
        </w:rPr>
        <w:softHyphen/>
        <w:t>сить только под фюзеляжем самолета. Для этого требо</w:t>
      </w:r>
      <w:r w:rsidRPr="00142305">
        <w:rPr>
          <w:rFonts w:ascii="Times New Roman" w:hAnsi="Times New Roman"/>
          <w:color w:val="0070C0"/>
          <w:sz w:val="16"/>
          <w:szCs w:val="16"/>
        </w:rPr>
        <w:softHyphen/>
        <w:t>валось освободить всю его нижнюю поверхность. Но Р-5 имел старомодное шасси, не позволявшее разместить тор</w:t>
      </w:r>
      <w:r w:rsidRPr="00142305">
        <w:rPr>
          <w:rFonts w:ascii="Times New Roman" w:hAnsi="Times New Roman"/>
          <w:color w:val="0070C0"/>
          <w:sz w:val="16"/>
          <w:szCs w:val="16"/>
        </w:rPr>
        <w:softHyphen/>
        <w:t>педу между стойками. Его заменили новой конструкцией. Две отдельные пирамидальные стойки с полуосями осво</w:t>
      </w:r>
      <w:r w:rsidRPr="00142305">
        <w:rPr>
          <w:rFonts w:ascii="Times New Roman" w:hAnsi="Times New Roman"/>
          <w:color w:val="0070C0"/>
          <w:sz w:val="16"/>
          <w:szCs w:val="16"/>
        </w:rPr>
        <w:softHyphen/>
        <w:t>бодили пространство по оси самолета. Основная стойка с пластинчатым резиновым амортизатором присоединя</w:t>
      </w:r>
      <w:r w:rsidRPr="00142305">
        <w:rPr>
          <w:rFonts w:ascii="Times New Roman" w:hAnsi="Times New Roman"/>
          <w:color w:val="0070C0"/>
          <w:sz w:val="16"/>
          <w:szCs w:val="16"/>
        </w:rPr>
        <w:softHyphen/>
        <w:t>лась теперь не к фюзеляжу, а к переднему лонжерону кры</w:t>
      </w:r>
      <w:r w:rsidRPr="00142305">
        <w:rPr>
          <w:rFonts w:ascii="Times New Roman" w:hAnsi="Times New Roman"/>
          <w:color w:val="0070C0"/>
          <w:sz w:val="16"/>
          <w:szCs w:val="16"/>
        </w:rPr>
        <w:softHyphen/>
        <w:t>ла и подкреплялась раскосом, идущим вверх. Силовой на</w:t>
      </w:r>
      <w:r w:rsidRPr="00142305">
        <w:rPr>
          <w:rFonts w:ascii="Times New Roman" w:hAnsi="Times New Roman"/>
          <w:color w:val="0070C0"/>
          <w:sz w:val="16"/>
          <w:szCs w:val="16"/>
        </w:rPr>
        <w:softHyphen/>
        <w:t>бор крыла и фюзеляжа был несколько усилен в расчете на большие нагрузки.</w:t>
      </w:r>
    </w:p>
    <w:p w14:paraId="4B63FE47"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торпеда TAB-15 с громоздкой парашютной короб</w:t>
      </w:r>
      <w:r w:rsidRPr="00142305">
        <w:rPr>
          <w:rFonts w:ascii="Times New Roman" w:hAnsi="Times New Roman"/>
          <w:color w:val="0070C0"/>
          <w:sz w:val="16"/>
          <w:szCs w:val="16"/>
        </w:rPr>
        <w:softHyphen/>
        <w:t>кой оказалась неприемлема для сравнительно небольшо</w:t>
      </w:r>
      <w:r w:rsidRPr="00142305">
        <w:rPr>
          <w:rFonts w:ascii="Times New Roman" w:hAnsi="Times New Roman"/>
          <w:color w:val="0070C0"/>
          <w:sz w:val="16"/>
          <w:szCs w:val="16"/>
        </w:rPr>
        <w:softHyphen/>
        <w:t>го биплана. Поэтому от высотного торпедометания отказались. Для Р-5Т выбрали торпеду ТАН-12 (она же ВВС 12 и 45—12). Она представляла собой переделку морской торпе</w:t>
      </w:r>
      <w:r w:rsidRPr="00142305">
        <w:rPr>
          <w:rFonts w:ascii="Times New Roman" w:hAnsi="Times New Roman"/>
          <w:color w:val="0070C0"/>
          <w:sz w:val="16"/>
          <w:szCs w:val="16"/>
        </w:rPr>
        <w:softHyphen/>
        <w:t>ды образца 1912 г. Такую торпеду можно было сбрасывать с высоты 10—20 м при скорости нс более 160 км/ч. ТАН-12 расположили под фюзеляжем наклонно, передней частью вниз. Подвеска («торпедодержатель») снабжалась замка</w:t>
      </w:r>
      <w:r w:rsidRPr="00142305">
        <w:rPr>
          <w:rFonts w:ascii="Times New Roman" w:hAnsi="Times New Roman"/>
          <w:color w:val="0070C0"/>
          <w:sz w:val="16"/>
          <w:szCs w:val="16"/>
        </w:rPr>
        <w:softHyphen/>
        <w:t>ми от бомбодержателя Дер-13. Подвеска и торпеда вмес</w:t>
      </w:r>
      <w:r w:rsidRPr="00142305">
        <w:rPr>
          <w:rFonts w:ascii="Times New Roman" w:hAnsi="Times New Roman"/>
          <w:color w:val="0070C0"/>
          <w:sz w:val="16"/>
          <w:szCs w:val="16"/>
        </w:rPr>
        <w:softHyphen/>
        <w:t>те весили 930 кг. Сброс осуществлялся механическим бом</w:t>
      </w:r>
      <w:r w:rsidRPr="00142305">
        <w:rPr>
          <w:rFonts w:ascii="Times New Roman" w:hAnsi="Times New Roman"/>
          <w:color w:val="0070C0"/>
          <w:sz w:val="16"/>
          <w:szCs w:val="16"/>
        </w:rPr>
        <w:softHyphen/>
        <w:t>босбрасывателем, стоявшим у пилота (24990).</w:t>
      </w:r>
    </w:p>
    <w:p w14:paraId="561ED769" w14:textId="77777777" w:rsidR="009D616C" w:rsidRPr="00142305" w:rsidRDefault="009D616C" w:rsidP="009D616C">
      <w:pPr>
        <w:spacing w:after="0" w:line="240" w:lineRule="auto"/>
        <w:jc w:val="both"/>
        <w:rPr>
          <w:rFonts w:ascii="Times New Roman" w:hAnsi="Times New Roman"/>
          <w:color w:val="0070C0"/>
          <w:sz w:val="16"/>
          <w:szCs w:val="16"/>
        </w:rPr>
      </w:pPr>
    </w:p>
    <w:p w14:paraId="2ABA1759" w14:textId="77777777" w:rsidR="00CF38E2" w:rsidRPr="0044524F" w:rsidRDefault="00CF38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общая проектная документация по военному варианту ХАИ-1 (ХАИ-1ВВ) была подготовлена в кратчайшие сроки. Ввиду того что коллектив ХАИ не имел опыта работы с системами вооружения (требовалось разработать шкворенные пулеметные установки и бомбодержатели), к этой работе были привлечены сторонние организации (24546).</w:t>
      </w:r>
    </w:p>
    <w:p w14:paraId="401E6DA6" w14:textId="77777777" w:rsidR="00CF38E2" w:rsidRPr="0044524F" w:rsidRDefault="00CF38E2" w:rsidP="009654CF">
      <w:pPr>
        <w:spacing w:after="0" w:line="240" w:lineRule="auto"/>
        <w:jc w:val="both"/>
        <w:rPr>
          <w:rFonts w:ascii="Times New Roman" w:hAnsi="Times New Roman"/>
          <w:color w:val="000000" w:themeColor="text1"/>
          <w:sz w:val="16"/>
          <w:szCs w:val="16"/>
        </w:rPr>
      </w:pPr>
    </w:p>
    <w:p w14:paraId="31933578" w14:textId="66E36D1C"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Осенью 1933 г. начальник 4-го (разведывательного) управления штаба РККА Берзин сообщил о том, что его агентам удалось заполучить комплект </w:t>
      </w:r>
      <w:r w:rsidR="0089171E">
        <w:rPr>
          <w:rFonts w:ascii="Times New Roman" w:hAnsi="Times New Roman"/>
          <w:color w:val="000000" w:themeColor="text1"/>
          <w:sz w:val="16"/>
          <w:szCs w:val="16"/>
        </w:rPr>
        <w:t xml:space="preserve">чертежей </w:t>
      </w:r>
      <w:r w:rsidR="0089171E" w:rsidRPr="0044524F">
        <w:rPr>
          <w:rFonts w:ascii="Times New Roman" w:hAnsi="Times New Roman"/>
          <w:color w:val="000000" w:themeColor="text1"/>
          <w:sz w:val="16"/>
          <w:szCs w:val="16"/>
        </w:rPr>
        <w:t>бомбардировщик</w:t>
      </w:r>
      <w:r w:rsidR="0089171E">
        <w:rPr>
          <w:rFonts w:ascii="Times New Roman" w:hAnsi="Times New Roman"/>
          <w:color w:val="000000" w:themeColor="text1"/>
          <w:sz w:val="16"/>
          <w:szCs w:val="16"/>
        </w:rPr>
        <w:t xml:space="preserve">а </w:t>
      </w:r>
      <w:r w:rsidRPr="0044524F">
        <w:rPr>
          <w:rFonts w:ascii="Times New Roman" w:hAnsi="Times New Roman"/>
          <w:color w:val="000000" w:themeColor="text1"/>
          <w:sz w:val="16"/>
          <w:szCs w:val="16"/>
        </w:rPr>
        <w:t>Мартин 139</w:t>
      </w:r>
      <w:r w:rsidR="0089171E">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(В-10) чертежей и аэродинамические расчеты машины. Поставить в строй ВВС РККА подобный самолет было очень заманчиво.</w:t>
      </w:r>
    </w:p>
    <w:p w14:paraId="7777069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 вот в конце 1933 г. при формировании плана опытно-конструкторских работ по самолетостроению на 1934-35 годы А.Н. Туполев внес предложение построить отечественный скоростной бомбардировщик. Правда, первые наметки Туполева были довольно скромны: скорость 300-320 км/ч (а В-10 имел 340 км/ч). В итоге уже в первый вариант плана заложили два новых двухмоторных "бомбардировщика ближнего действия". Создание одного из них, цельнометаллического, поручили </w:t>
      </w:r>
      <w:r w:rsidRPr="0044524F">
        <w:rPr>
          <w:rFonts w:ascii="Times New Roman" w:hAnsi="Times New Roman"/>
          <w:color w:val="000000" w:themeColor="text1"/>
          <w:sz w:val="16"/>
          <w:szCs w:val="16"/>
        </w:rPr>
        <w:lastRenderedPageBreak/>
        <w:t>КОСОС ЦАГИ, руководимому Туполевым. Работу над вторым самолетом, смешанной конструкции, задали заводу № 39 - фактически базировавшемуся там Центральному конструкторскому бюро (ЦКБ).</w:t>
      </w:r>
    </w:p>
    <w:p w14:paraId="2C45ED4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ЦКБ в то время являлся С.В. Ильюшин. Он тогда был более известен как высокопоставленный администратор, нежели как конструктор. Его конструкторский опыт сводился лишь к созданию нескольких учебных и спортивных планеров. Однако Ильюшин рвался к самостоятельной работе по проектированию боевых самолетов. Уже в феврале 1934 г. с согласия начальника Главного управления авиационной промышленности (ГУАП) П.И. Баранова в рамках ЦКБ он создал небольшую собственную группу (12021).</w:t>
      </w:r>
    </w:p>
    <w:p w14:paraId="11ACD62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EA128D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на И-ЗЕТ № 39010, вооружённого серийными пушками АПК-4, каждая из которых была снабжена трубчатым магазином на шесть снарядов (плюс ещё один снаряд в стволе) выполнили 52 полёта. Использовали 598 снарядов, но по причине многочисленных отказов произвели всего 363 выстрела (60,7%). Стрельбы велись на высоте 700 - 800 м по запускаемым группами шарам-пилотам, каждый из которых имел диаметр 50 - 60 см. Проведённые испытания показали, что для повышения эффективности стрельбы из АПК-4 нужен дальномер и более совершенный прицел, чем имеющийся оптический ОП-1, рассчитанный на дальность стрельбы 400 м и скорость 250 км/ч. После полётов Т. Сузи в этих же местах начались испытания ещё двух серийных И-ЗЕТ (№№ 39005 и 39010), на которых летали А. Короткое и М. Сцельников (12005).</w:t>
      </w:r>
    </w:p>
    <w:p w14:paraId="77A92F5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08A68B6" w14:textId="77777777" w:rsidR="007D171D" w:rsidRPr="0044524F" w:rsidRDefault="007D17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были проведены государственные испытания самолета И-7 № 39010, вооруженного серийными пушками АПК-4бис. Испытания проходили на аэродроме НИИ ВВС в Щелкове в период с 14 сентября по 1 октября 1933 г. Летал летчик Сцельников, общий налет составил 16 часов 20 минут. (Сх.9)</w:t>
      </w:r>
    </w:p>
    <w:p w14:paraId="48DFDFDD" w14:textId="77777777" w:rsidR="007D171D" w:rsidRPr="0044524F" w:rsidRDefault="007D17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отчете по испытаниям указывалось, что самолет И-7 № 39010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4F9C01A4" w14:textId="77777777" w:rsidR="007D171D" w:rsidRPr="0044524F" w:rsidRDefault="007D17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 310 км — также признана недостаточной.</w:t>
      </w:r>
    </w:p>
    <w:p w14:paraId="2EF7E10C" w14:textId="77777777" w:rsidR="007D171D" w:rsidRPr="0044524F" w:rsidRDefault="007D17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7681557C" w14:textId="77777777" w:rsidR="007D171D" w:rsidRPr="0044524F" w:rsidRDefault="007D17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Малая емкость магазинов — на две пушки всего 14 снарядов —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5AB964DD" w14:textId="77777777" w:rsidR="007D171D" w:rsidRPr="0044524F" w:rsidRDefault="007D17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155F6501" w14:textId="77777777" w:rsidR="007D171D" w:rsidRPr="0044524F" w:rsidRDefault="007D17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максимальной скорости до 300 км/час;</w:t>
      </w:r>
    </w:p>
    <w:p w14:paraId="07B28E5D" w14:textId="77777777" w:rsidR="007D171D" w:rsidRPr="0044524F" w:rsidRDefault="007D17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емкости бензобаков, доведение количества снарядов до 20 штук, установка электрооборудования и радио.</w:t>
      </w:r>
    </w:p>
    <w:p w14:paraId="680C45B2" w14:textId="77777777" w:rsidR="007D171D" w:rsidRPr="0044524F" w:rsidRDefault="007D17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39DABB8B" w14:textId="77777777" w:rsidR="007D171D" w:rsidRPr="0044524F" w:rsidRDefault="007D17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39005 и № 39010) с четырьмя серийными пушками АПК-4бис. Летали летчики А. Коротков и М. Сцельников. Из 147 патронов выстреляно 74, задержек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 (15117).</w:t>
      </w:r>
    </w:p>
    <w:p w14:paraId="1759A355" w14:textId="77777777" w:rsidR="007D171D" w:rsidRPr="0044524F" w:rsidRDefault="007D171D" w:rsidP="009654CF">
      <w:pPr>
        <w:spacing w:after="0" w:line="240" w:lineRule="auto"/>
        <w:jc w:val="both"/>
        <w:rPr>
          <w:rFonts w:ascii="Times New Roman" w:hAnsi="Times New Roman"/>
          <w:color w:val="000000" w:themeColor="text1"/>
          <w:sz w:val="16"/>
          <w:szCs w:val="16"/>
        </w:rPr>
      </w:pPr>
    </w:p>
    <w:p w14:paraId="271BE044"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Осенью 1933 г. были проведены государственные испытания самолета И-7 № 39010, вооруженного серийными пушками АПК-4бис. Испытания проходили на аэродроме НИИ ВВС в Щелкове в период с 14 сентября по 1 октября 1933 г. Летал летчик Сцельников, общий налет составил 16 часов 20 минут.</w:t>
      </w:r>
    </w:p>
    <w:p w14:paraId="73776179"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отчете по испытаниям указывалось, что самолет И-7 № 39010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45E357D1"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 310 км — также признана недостаточной.</w:t>
      </w:r>
    </w:p>
    <w:p w14:paraId="3DACC651"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2840DFA7"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Малая емкость магазинов — на две пушки всего 14 снарядов —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5BD0D56B"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75985C35"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увеличение максимальной скорости до 300 км/час;</w:t>
      </w:r>
    </w:p>
    <w:p w14:paraId="7116647F"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увеличение емкости бензобаков, доведение количества снарядов до 20 штук, установка электрооборудования и радио.</w:t>
      </w:r>
    </w:p>
    <w:p w14:paraId="031A5719"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248C1068"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39005 и № 39010) с четырьмя серийными пушками АПК-4бис. Летали летчики А. Коротков и М. Сцельников. Из 147 патронов выстреляно 74, задержек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 (25213).</w:t>
      </w:r>
    </w:p>
    <w:p w14:paraId="2C5E33B6" w14:textId="77777777" w:rsidR="009D616C" w:rsidRPr="00142305" w:rsidRDefault="009D616C" w:rsidP="009D616C">
      <w:pPr>
        <w:spacing w:after="0" w:line="240" w:lineRule="auto"/>
        <w:jc w:val="both"/>
        <w:rPr>
          <w:rFonts w:ascii="Times New Roman" w:hAnsi="Times New Roman"/>
          <w:color w:val="0070C0"/>
          <w:sz w:val="16"/>
          <w:szCs w:val="16"/>
        </w:rPr>
      </w:pPr>
    </w:p>
    <w:p w14:paraId="64DBB39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"Сталь-6", спроектированный Р. Бартини и оснащённый двигателем Кертисс "Конкерор" мощностью 680 л. с., самолёт летал со скоростью свыше 400 км/ч, что на тот момент являлось весьма впечатляющим достижением. На базе "Стали-б" в 1934 г. был спроектирован и начал строиться истребитель "Сталь-8", ориентированный под "Испано Сюизу". Однако ещё до окончания года на стадии готовности 70% все работы над машиной были прекращены. Основными причинами назывались трудоёмкость используемой технологии и уязвимое в боевой обстановке пароиспарительное охлаждение двигателя (9630).</w:t>
      </w:r>
    </w:p>
    <w:p w14:paraId="5B84AAA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B938E8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самолет "Сталь-6", спроектированный Роберто Бартини и оснащенный двигателем Кертисс "Конкверор" мощностью 680 л.с. летал со скоростью свыше 400 км/ч. что являлось значительным и весьма впечатляющим достижением. На базе своего вполне успешного Сталь-6 в 1934 г. Бартини начал* строить новый опытный истребитель. Эта машина получила обозначение Сталь-8, предполагалась под двигатель "Испано Сюиза" l2Ybrs, и вполне могла стать очередным громким успехом конструктора Бартини. Однако по целому ряду обстоятельств, основными из которых назывались трудоемкость используемой технологии и уязвимое в боевой обстановке па- роиспарительное охлаждения двигателя, постройка этого опытного истребителя была прекращена (12016).</w:t>
      </w:r>
    </w:p>
    <w:p w14:paraId="36CEA96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445466B" w14:textId="77777777" w:rsidR="00640E1D" w:rsidRPr="0044524F" w:rsidRDefault="00640E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года в Монино прошли испытания нового «детища» проекта Владимира Сергеевича Вахмистрова – самолёта-авианосца, основой которого стал тяжёлый бомбардировщик ТБ-3 (21535).</w:t>
      </w:r>
    </w:p>
    <w:p w14:paraId="40AB3600" w14:textId="77777777" w:rsidR="00640E1D" w:rsidRPr="0044524F" w:rsidRDefault="00640E1D" w:rsidP="009654CF">
      <w:pPr>
        <w:spacing w:after="0" w:line="240" w:lineRule="auto"/>
        <w:jc w:val="both"/>
        <w:rPr>
          <w:rFonts w:ascii="Times New Roman" w:hAnsi="Times New Roman"/>
          <w:color w:val="000000" w:themeColor="text1"/>
          <w:sz w:val="16"/>
          <w:szCs w:val="16"/>
        </w:rPr>
      </w:pPr>
    </w:p>
    <w:p w14:paraId="61410E8F"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года в Монино прошли испытания нового «детища» проекта Владимира Сергеевича Вахмистрова – самолёта-авианосца, основой которого стал тяжёлый бомбардировщик ТБ-3.</w:t>
      </w:r>
    </w:p>
    <w:p w14:paraId="17D8673B" w14:textId="1B944F91"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своём «теле» воздушный гигант нёс к цели уже три истребителя И-5 (один из них был</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закреплён на фюзеляже, а два – на крыльях) (25652).</w:t>
      </w:r>
    </w:p>
    <w:p w14:paraId="63FD0FC2" w14:textId="77777777" w:rsidR="009D616C" w:rsidRPr="00142305" w:rsidRDefault="009D616C" w:rsidP="009D616C">
      <w:pPr>
        <w:spacing w:after="0" w:line="240" w:lineRule="auto"/>
        <w:jc w:val="both"/>
        <w:rPr>
          <w:rFonts w:ascii="Times New Roman" w:hAnsi="Times New Roman"/>
          <w:color w:val="0070C0"/>
          <w:sz w:val="16"/>
          <w:szCs w:val="16"/>
        </w:rPr>
      </w:pPr>
    </w:p>
    <w:p w14:paraId="3146AE23" w14:textId="77777777" w:rsidR="00B06AD3" w:rsidRPr="0044524F" w:rsidRDefault="00B06A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БИЧ-12 вместе с БИЧ-13 успешно летал на 9-х планерных состязаниях в Коктебеле. Вес конструк</w:t>
      </w:r>
      <w:r w:rsidRPr="0044524F">
        <w:rPr>
          <w:rFonts w:ascii="Times New Roman" w:hAnsi="Times New Roman"/>
          <w:color w:val="000000" w:themeColor="text1"/>
          <w:sz w:val="16"/>
          <w:szCs w:val="16"/>
        </w:rPr>
        <w:softHyphen/>
        <w:t>ции планера составлял 97 кг.</w:t>
      </w:r>
      <w:bookmarkStart w:id="47" w:name="bookmark13"/>
      <w:r w:rsidRPr="0044524F">
        <w:rPr>
          <w:rFonts w:ascii="Times New Roman" w:hAnsi="Times New Roman"/>
          <w:color w:val="000000" w:themeColor="text1"/>
          <w:sz w:val="16"/>
          <w:szCs w:val="16"/>
        </w:rPr>
        <w:t xml:space="preserve"> Планер БИЧ-12 отличался от БИЧ-11</w:t>
      </w:r>
      <w:bookmarkEnd w:id="47"/>
      <w:r w:rsidRPr="0044524F">
        <w:rPr>
          <w:rFonts w:ascii="Times New Roman" w:hAnsi="Times New Roman"/>
          <w:color w:val="000000" w:themeColor="text1"/>
          <w:sz w:val="16"/>
          <w:szCs w:val="16"/>
        </w:rPr>
        <w:t xml:space="preserve"> отсутствием вертикального оперения. Испытания аппарата состоялись на пла</w:t>
      </w:r>
      <w:r w:rsidRPr="0044524F">
        <w:rPr>
          <w:rFonts w:ascii="Times New Roman" w:hAnsi="Times New Roman"/>
          <w:color w:val="000000" w:themeColor="text1"/>
          <w:sz w:val="16"/>
          <w:szCs w:val="16"/>
        </w:rPr>
        <w:softHyphen/>
        <w:t>нерной станции «Первомайская» вблизи одноименной железнодорожной стан</w:t>
      </w:r>
      <w:r w:rsidRPr="0044524F">
        <w:rPr>
          <w:rFonts w:ascii="Times New Roman" w:hAnsi="Times New Roman"/>
          <w:color w:val="000000" w:themeColor="text1"/>
          <w:sz w:val="16"/>
          <w:szCs w:val="16"/>
        </w:rPr>
        <w:softHyphen/>
        <w:t>ции под Москвой 23 января 1933 г. По</w:t>
      </w:r>
      <w:r w:rsidRPr="0044524F">
        <w:rPr>
          <w:rFonts w:ascii="Times New Roman" w:hAnsi="Times New Roman"/>
          <w:color w:val="000000" w:themeColor="text1"/>
          <w:sz w:val="16"/>
          <w:szCs w:val="16"/>
        </w:rPr>
        <w:softHyphen/>
        <w:t>леты осуществлялись на пологом склоне при помощи резинового амортизатора. Пилоты Молчанов, Подрезков, Романов отмечали, что БИЧ-12 устойчив и прия</w:t>
      </w:r>
      <w:r w:rsidRPr="0044524F">
        <w:rPr>
          <w:rFonts w:ascii="Times New Roman" w:hAnsi="Times New Roman"/>
          <w:color w:val="000000" w:themeColor="text1"/>
          <w:sz w:val="16"/>
          <w:szCs w:val="16"/>
        </w:rPr>
        <w:softHyphen/>
        <w:t>тен в полете. Особенно важным счита лось, что предположения конструктора оправдались, планер отлично управлял</w:t>
      </w:r>
      <w:r w:rsidRPr="0044524F">
        <w:rPr>
          <w:rFonts w:ascii="Times New Roman" w:hAnsi="Times New Roman"/>
          <w:color w:val="000000" w:themeColor="text1"/>
          <w:sz w:val="16"/>
          <w:szCs w:val="16"/>
        </w:rPr>
        <w:softHyphen/>
        <w:t>ся по курсу без вертикального оперения при помощи элеронов.</w:t>
      </w:r>
    </w:p>
    <w:p w14:paraId="7F9351FF" w14:textId="77777777" w:rsidR="00B06AD3" w:rsidRPr="0044524F" w:rsidRDefault="00B06A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Планер БИЧ-13 имел одинаковый размах и площадь крыла с БИЧ-12, од</w:t>
      </w:r>
      <w:r w:rsidRPr="0044524F">
        <w:rPr>
          <w:rFonts w:ascii="Times New Roman" w:hAnsi="Times New Roman"/>
          <w:color w:val="000000" w:themeColor="text1"/>
          <w:sz w:val="16"/>
          <w:szCs w:val="16"/>
        </w:rPr>
        <w:softHyphen/>
        <w:t>нако был выполнен в виде «параболы». Целью эксперимента стало получение сравнительных характеристик этих двух планеров, отличающихся лишь формой крыла. На обоих планерах рули пово</w:t>
      </w:r>
      <w:r w:rsidRPr="0044524F">
        <w:rPr>
          <w:rFonts w:ascii="Times New Roman" w:hAnsi="Times New Roman"/>
          <w:color w:val="000000" w:themeColor="text1"/>
          <w:sz w:val="16"/>
          <w:szCs w:val="16"/>
        </w:rPr>
        <w:softHyphen/>
        <w:t>рота были заменены закрылками не</w:t>
      </w:r>
      <w:r w:rsidRPr="0044524F">
        <w:rPr>
          <w:rFonts w:ascii="Times New Roman" w:hAnsi="Times New Roman"/>
          <w:color w:val="000000" w:themeColor="text1"/>
          <w:sz w:val="16"/>
          <w:szCs w:val="16"/>
        </w:rPr>
        <w:softHyphen/>
        <w:t>большой площади, расположенными по концам крыла, приводимыми в движе</w:t>
      </w:r>
      <w:r w:rsidRPr="0044524F">
        <w:rPr>
          <w:rFonts w:ascii="Times New Roman" w:hAnsi="Times New Roman"/>
          <w:color w:val="000000" w:themeColor="text1"/>
          <w:sz w:val="16"/>
          <w:szCs w:val="16"/>
        </w:rPr>
        <w:softHyphen/>
        <w:t>ние ножными педалями. При испытани</w:t>
      </w:r>
      <w:r w:rsidRPr="0044524F">
        <w:rPr>
          <w:rFonts w:ascii="Times New Roman" w:hAnsi="Times New Roman"/>
          <w:color w:val="000000" w:themeColor="text1"/>
          <w:sz w:val="16"/>
          <w:szCs w:val="16"/>
        </w:rPr>
        <w:softHyphen/>
        <w:t>ях опытными пилотами производились виражи и развороты, при этом не было обнаружено каких-либо особенностей в технике пилотирования по сравнению с планерами нормальной схемы.</w:t>
      </w:r>
    </w:p>
    <w:p w14:paraId="51BDA94F" w14:textId="77777777" w:rsidR="00B06AD3" w:rsidRPr="0044524F" w:rsidRDefault="00B06A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полет БИЧ-13 состоялся на 9-х планерных состязаниях в Коктебе</w:t>
      </w:r>
      <w:r w:rsidRPr="0044524F">
        <w:rPr>
          <w:rFonts w:ascii="Times New Roman" w:hAnsi="Times New Roman"/>
          <w:color w:val="000000" w:themeColor="text1"/>
          <w:sz w:val="16"/>
          <w:szCs w:val="16"/>
        </w:rPr>
        <w:softHyphen/>
        <w:t>ле, причем пилот В.А. Степанчонок сра</w:t>
      </w:r>
      <w:r w:rsidRPr="0044524F">
        <w:rPr>
          <w:rFonts w:ascii="Times New Roman" w:hAnsi="Times New Roman"/>
          <w:color w:val="000000" w:themeColor="text1"/>
          <w:sz w:val="16"/>
          <w:szCs w:val="16"/>
        </w:rPr>
        <w:softHyphen/>
        <w:t>зу вылетел на парение и парил 26 мин, что явилось блестящим результатом. По отзывам всех летчиков БИЧ-13 обладал настолько хорошей поперечной и путе</w:t>
      </w:r>
      <w:r w:rsidRPr="0044524F">
        <w:rPr>
          <w:rFonts w:ascii="Times New Roman" w:hAnsi="Times New Roman"/>
          <w:color w:val="000000" w:themeColor="text1"/>
          <w:sz w:val="16"/>
          <w:szCs w:val="16"/>
        </w:rPr>
        <w:softHyphen/>
        <w:t>вой устойчивостью, что в спокойном по</w:t>
      </w:r>
      <w:r w:rsidRPr="0044524F">
        <w:rPr>
          <w:rFonts w:ascii="Times New Roman" w:hAnsi="Times New Roman"/>
          <w:color w:val="000000" w:themeColor="text1"/>
          <w:sz w:val="16"/>
          <w:szCs w:val="16"/>
        </w:rPr>
        <w:softHyphen/>
        <w:t>токе можно было'бросить ручку управ</w:t>
      </w:r>
      <w:r w:rsidRPr="0044524F">
        <w:rPr>
          <w:rFonts w:ascii="Times New Roman" w:hAnsi="Times New Roman"/>
          <w:color w:val="000000" w:themeColor="text1"/>
          <w:sz w:val="16"/>
          <w:szCs w:val="16"/>
        </w:rPr>
        <w:softHyphen/>
        <w:t>ления и педали.</w:t>
      </w:r>
    </w:p>
    <w:p w14:paraId="74151755" w14:textId="77777777" w:rsidR="00B06AD3" w:rsidRPr="0044524F" w:rsidRDefault="00B06A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ЦАГИ А.И. Сильман отме</w:t>
      </w:r>
      <w:r w:rsidRPr="0044524F">
        <w:rPr>
          <w:rFonts w:ascii="Times New Roman" w:hAnsi="Times New Roman"/>
          <w:color w:val="000000" w:themeColor="text1"/>
          <w:sz w:val="16"/>
          <w:szCs w:val="16"/>
        </w:rPr>
        <w:softHyphen/>
        <w:t>чал, что эта «парабола» Черановского была самой удачной из четырех других безхвостых планеров-участников состя</w:t>
      </w:r>
      <w:r w:rsidRPr="0044524F">
        <w:rPr>
          <w:rFonts w:ascii="Times New Roman" w:hAnsi="Times New Roman"/>
          <w:color w:val="000000" w:themeColor="text1"/>
          <w:sz w:val="16"/>
          <w:szCs w:val="16"/>
        </w:rPr>
        <w:softHyphen/>
        <w:t>заний (17473).</w:t>
      </w:r>
    </w:p>
    <w:p w14:paraId="682D1DB3" w14:textId="77777777" w:rsidR="00B06AD3" w:rsidRPr="0044524F" w:rsidRDefault="00B06AD3" w:rsidP="009654CF">
      <w:pPr>
        <w:spacing w:after="0" w:line="240" w:lineRule="auto"/>
        <w:jc w:val="both"/>
        <w:rPr>
          <w:rFonts w:ascii="Times New Roman" w:hAnsi="Times New Roman"/>
          <w:color w:val="000000" w:themeColor="text1"/>
          <w:sz w:val="16"/>
          <w:szCs w:val="16"/>
        </w:rPr>
      </w:pPr>
    </w:p>
    <w:p w14:paraId="4F11061A" w14:textId="77777777" w:rsidR="00CF38E2" w:rsidRPr="0044524F" w:rsidRDefault="00CF38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на девятых Всесоюзных состязаниях планеристов в Коктебеле на БИЧ-11 было совершено 8 планирующих полетов, на БИЧ-12 — 10 планирующих и 2 парящих.</w:t>
      </w:r>
    </w:p>
    <w:p w14:paraId="5B23E7AA" w14:textId="77777777" w:rsidR="00CF38E2" w:rsidRPr="0044524F" w:rsidRDefault="00CF38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планера с трапециевидным крылом были сконструированы и построены Черановским в 1932 г. В статье "Треугольники и параболы" он писал: "Треугольники БИЧ-11 и БИЧ-12, представляющие собой упрощенную схему бесхвостого планера, построены с целью дать простую, общедоступную конструкцию "летающего крыла" с тем, чтобы после испытаний их можно было бы рекомендовать эту конструкцию кружкам. Опыт с парящими треугольниками дал исчерпывающий положительный опыт, и все предположения автора этими испытаниями оправданы."</w:t>
      </w:r>
    </w:p>
    <w:p w14:paraId="0B7B44E5" w14:textId="77777777" w:rsidR="00CF38E2" w:rsidRPr="0044524F" w:rsidRDefault="00CF38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общей схеме планеры были аналогичны БИЧ-8. Различие заключалось в установке раздельных рулей высоты и элеронов и большем размахе крыла: 12,2 м — у БИЧ-11 и 14,2 м — у БИЧ-12.</w:t>
      </w:r>
    </w:p>
    <w:p w14:paraId="130EBA65" w14:textId="77777777" w:rsidR="00CF38E2" w:rsidRPr="0044524F" w:rsidRDefault="00CF38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планерном слете 1933 г. летал еще один планер Б.И.Черановского — БИЧ-13. Как на БИЧ-4, крыло имело параболическую форму, а вертикальные кили отсутствовали. Новшество состояло в системе управления. Если на БИЧ-4 летчик выполнял развороты ручкой, отклоняя элевоны в разные стороны, то теперь для этого на концах крыла имелись аэродинамические тормоза, действующие от педалей. За ними располагались элероны, а у основания крыла — рули высоты.</w:t>
      </w:r>
    </w:p>
    <w:p w14:paraId="371166D2" w14:textId="77777777" w:rsidR="00CF38E2" w:rsidRPr="0044524F" w:rsidRDefault="00CF38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несчастливый порядковый номер, БИЧ-13 оказался лучшим из троицы "БИЧей". В Коктебеле на нем совершили 19 полетов, в том числе 4 парящих. По отзыву известного летчика-испытателя и планериста В.А.Степанченка, парившего на БИЧ-13 в течение 26 минут, разработанный Черановским горизонтальный руль направления вполне себя оправдал (24253).</w:t>
      </w:r>
    </w:p>
    <w:p w14:paraId="31A24D9F" w14:textId="77777777" w:rsidR="00CF38E2" w:rsidRPr="0044524F" w:rsidRDefault="00CF38E2" w:rsidP="009654CF">
      <w:pPr>
        <w:spacing w:after="0" w:line="240" w:lineRule="auto"/>
        <w:jc w:val="both"/>
        <w:rPr>
          <w:rFonts w:ascii="Times New Roman" w:hAnsi="Times New Roman"/>
          <w:color w:val="000000" w:themeColor="text1"/>
          <w:sz w:val="16"/>
          <w:szCs w:val="16"/>
        </w:rPr>
      </w:pPr>
    </w:p>
    <w:p w14:paraId="25D945C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осени 1933 г. в соответствии с постановлением Реввоенсовета 17 июля 1933 г. в ЦИАМ проектировалась модифика</w:t>
      </w:r>
      <w:r w:rsidRPr="0044524F">
        <w:rPr>
          <w:rFonts w:ascii="Times New Roman" w:hAnsi="Times New Roman"/>
          <w:color w:val="000000" w:themeColor="text1"/>
          <w:sz w:val="16"/>
          <w:szCs w:val="16"/>
        </w:rPr>
        <w:softHyphen/>
        <w:t>ция двигателя с редуктором и нагне</w:t>
      </w:r>
      <w:r w:rsidRPr="0044524F">
        <w:rPr>
          <w:rFonts w:ascii="Times New Roman" w:hAnsi="Times New Roman"/>
          <w:color w:val="000000" w:themeColor="text1"/>
          <w:sz w:val="16"/>
          <w:szCs w:val="16"/>
        </w:rPr>
        <w:softHyphen/>
        <w:t>тателем, форсированная до 950 л.с., которая именовалась М-34ФРН (он же М-34РФН и М-34РНФ). Моторы серии «Б» дали выигрыш в надежности, но не в мощности и поэтому понадобился новый мотор. Он представлял собой сильно дорабо</w:t>
      </w:r>
      <w:r w:rsidRPr="0044524F">
        <w:rPr>
          <w:rFonts w:ascii="Times New Roman" w:hAnsi="Times New Roman"/>
          <w:color w:val="000000" w:themeColor="text1"/>
          <w:sz w:val="16"/>
          <w:szCs w:val="16"/>
        </w:rPr>
        <w:softHyphen/>
        <w:t>танный вариант М-34РНБ с некото</w:t>
      </w:r>
      <w:r w:rsidRPr="0044524F">
        <w:rPr>
          <w:rFonts w:ascii="Times New Roman" w:hAnsi="Times New Roman"/>
          <w:color w:val="000000" w:themeColor="text1"/>
          <w:sz w:val="16"/>
          <w:szCs w:val="16"/>
        </w:rPr>
        <w:softHyphen/>
        <w:t>рыми конструктивными элементами от так называемого «М-34Р эталон 1934 г.». На нем усилили коленчатый вал, редуктор и картер. Централь</w:t>
      </w:r>
      <w:r w:rsidRPr="0044524F">
        <w:rPr>
          <w:rFonts w:ascii="Times New Roman" w:hAnsi="Times New Roman"/>
          <w:color w:val="000000" w:themeColor="text1"/>
          <w:sz w:val="16"/>
          <w:szCs w:val="16"/>
        </w:rPr>
        <w:softHyphen/>
        <w:t>ное сочленение шатунов заменили боковым (главный — прицепной). При этом проиграли в плавности хода, но выиграли в надежности. Изменили си</w:t>
      </w:r>
      <w:r w:rsidRPr="0044524F">
        <w:rPr>
          <w:rFonts w:ascii="Times New Roman" w:hAnsi="Times New Roman"/>
          <w:color w:val="000000" w:themeColor="text1"/>
          <w:sz w:val="16"/>
          <w:szCs w:val="16"/>
        </w:rPr>
        <w:softHyphen/>
        <w:t>стему смазки (масло пустили через вал), усовершенствовали нагнета</w:t>
      </w:r>
      <w:r w:rsidRPr="0044524F">
        <w:rPr>
          <w:rFonts w:ascii="Times New Roman" w:hAnsi="Times New Roman"/>
          <w:color w:val="000000" w:themeColor="text1"/>
          <w:sz w:val="16"/>
          <w:szCs w:val="16"/>
        </w:rPr>
        <w:softHyphen/>
        <w:t>тель, подняв наддув, внедрили новый механизм газораспределения, а кар</w:t>
      </w:r>
      <w:r w:rsidRPr="0044524F">
        <w:rPr>
          <w:rFonts w:ascii="Times New Roman" w:hAnsi="Times New Roman"/>
          <w:color w:val="000000" w:themeColor="text1"/>
          <w:sz w:val="16"/>
          <w:szCs w:val="16"/>
        </w:rPr>
        <w:softHyphen/>
        <w:t>бюраторы (их стало несколько) уста</w:t>
      </w:r>
      <w:r w:rsidRPr="0044524F">
        <w:rPr>
          <w:rFonts w:ascii="Times New Roman" w:hAnsi="Times New Roman"/>
          <w:color w:val="000000" w:themeColor="text1"/>
          <w:sz w:val="16"/>
          <w:szCs w:val="16"/>
        </w:rPr>
        <w:softHyphen/>
        <w:t>новили после нагнетателя.</w:t>
      </w:r>
    </w:p>
    <w:p w14:paraId="1B55BBE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3166F0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в НИИ ВВС испытывался автопилот АВП-3 конструкции Тимофеева-Лусисса и в январе 1934 его приняли на снабжение ВВС в виде опытной партии. Летал А.Анисимов и А.И.Петров (390,128).</w:t>
      </w:r>
    </w:p>
    <w:p w14:paraId="4EAD23E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347F52A" w14:textId="77777777" w:rsidR="001F72EB" w:rsidRPr="0044524F" w:rsidRDefault="001F72E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года второй опытный образец автопилота Ниренберга прошел госиспытания в НИИ ВВС и несмотря на ряд удачных новшеств был признан непригодным для эксплуатации в строевых частях ВВС РККА (4039,114).</w:t>
      </w:r>
    </w:p>
    <w:p w14:paraId="5A9543B1" w14:textId="77777777" w:rsidR="001F72EB" w:rsidRPr="0044524F" w:rsidRDefault="001F72EB"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2B52CBA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создали эскадрилью особого назначения под управлением Т.П.Сузи, которая базировалась в Переяславле-Залесском на Плещеевом озере и занималась испытаниями ДРП и РС. Начали на И-зет, а потом получили и ИП-1 и И-14 (4020,15).</w:t>
      </w:r>
    </w:p>
    <w:p w14:paraId="225C4E5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A35422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в план опытного самолетостроения ГУАП на 1933-1934 было внесено дополнительное задание на самолеты-разведчики для конструкторских бригад С.А.Кочеригина из ЦКБ завода 39 (СР (ЦКБ-27) с ГР ММ) и И.Г.Немана из ХАИ (СО (ХАИ-5) с М-22). Было предложено создать однодвигательный двухместный скоростной разведчик с убирающимся шасси, пулеметным вооружением и возможностью нести бомбы и сроком выхода на заводские испытания к 1 декабря 1934. Кроме того, ХАИ поручили, используя опыт проектирования ХАИ-1, создать невооруженный скоростной фоторазведчик ФР (СФР), получивший номер ХАИ-6. Неман начал с ФР и хотел его выпустить на испытания к 1 сентября 1934. Идея СФР была выдвинута нач. сектора сухопутных самолетов НИИ ВВС Б.С.Горощенко, который считал, что скорости, превосходящей скорость истребителя, будет достаточно для защиты (1166,28).</w:t>
      </w:r>
    </w:p>
    <w:p w14:paraId="7838C6D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проверить по плану, то окажется, что в план попали только 8 декабря, это был план на 1934-1935 и СР ХАИ был с М-34ФРН или Испано, а ЦКБ-27 с РЦ, а ФР - также с РЦ.</w:t>
      </w:r>
    </w:p>
    <w:p w14:paraId="3531D23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3598DC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л Возницкий на АИР-6 с поплавками выполнил перелет на 3000 км на АИР-6 на поплавках вдоль Москвы-реки, Оки и Волги (3550,12).</w:t>
      </w:r>
    </w:p>
    <w:p w14:paraId="2DA0B4F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94ACE2F" w14:textId="77777777" w:rsidR="00CE69D7" w:rsidRPr="0044524F" w:rsidRDefault="00CE69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1933-го Возницкий пролетел на поплавковом АИР-6 3000 км вдоль Москва-реки, Оки и Волги из Москвы в Казань и обратно (15727).</w:t>
      </w:r>
    </w:p>
    <w:p w14:paraId="15D496E0" w14:textId="77777777" w:rsidR="00CE69D7" w:rsidRPr="0044524F" w:rsidRDefault="00CE69D7" w:rsidP="009654CF">
      <w:pPr>
        <w:spacing w:after="0" w:line="240" w:lineRule="auto"/>
        <w:jc w:val="both"/>
        <w:rPr>
          <w:rFonts w:ascii="Times New Roman" w:hAnsi="Times New Roman"/>
          <w:color w:val="000000" w:themeColor="text1"/>
          <w:sz w:val="16"/>
          <w:szCs w:val="16"/>
        </w:rPr>
      </w:pPr>
    </w:p>
    <w:p w14:paraId="17ACD2E3" w14:textId="77777777" w:rsidR="00BE6B55" w:rsidRPr="0044524F" w:rsidRDefault="00BE6B55"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Осенью 1933 года Возницкий совершил на АИР-6А перелет вдоль Москвы-реки, Оки и Волги по маршруту Москва - Рязань - Горький - Казань и обратно общей протяженностью 3000 км (19099).</w:t>
      </w:r>
    </w:p>
    <w:p w14:paraId="5C231B31" w14:textId="77777777" w:rsidR="00BE6B55" w:rsidRPr="0044524F" w:rsidRDefault="00BE6B55" w:rsidP="009654CF">
      <w:pPr>
        <w:pStyle w:val="a8"/>
        <w:jc w:val="both"/>
        <w:rPr>
          <w:rFonts w:ascii="Times New Roman" w:hAnsi="Times New Roman" w:cs="Times New Roman"/>
          <w:color w:val="000000" w:themeColor="text1"/>
        </w:rPr>
      </w:pPr>
    </w:p>
    <w:p w14:paraId="56834AE1"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года Возницкий совер</w:t>
      </w:r>
      <w:r w:rsidRPr="00142305">
        <w:rPr>
          <w:rFonts w:ascii="Times New Roman" w:hAnsi="Times New Roman"/>
          <w:color w:val="0070C0"/>
          <w:sz w:val="16"/>
          <w:szCs w:val="16"/>
        </w:rPr>
        <w:softHyphen/>
        <w:t>шил на АИР-6А перелет вдоль Москвы реки, Оки и Волги по маршруту Москва - Рязань - Горький - Казань и обратно общей протяженностью 3000 км (24945).</w:t>
      </w:r>
    </w:p>
    <w:p w14:paraId="05DC81D1" w14:textId="77777777" w:rsidR="009D616C" w:rsidRPr="00142305" w:rsidRDefault="009D616C" w:rsidP="009D616C">
      <w:pPr>
        <w:spacing w:after="0" w:line="240" w:lineRule="auto"/>
        <w:jc w:val="both"/>
        <w:rPr>
          <w:rFonts w:ascii="Times New Roman" w:hAnsi="Times New Roman"/>
          <w:color w:val="0070C0"/>
          <w:sz w:val="16"/>
          <w:szCs w:val="16"/>
        </w:rPr>
      </w:pPr>
    </w:p>
    <w:p w14:paraId="49D700A4" w14:textId="77777777" w:rsidR="00BE6B55" w:rsidRPr="0044524F" w:rsidRDefault="00BE6B55"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Осенью 1933 г. американский мотор с самолета АИР-5 сняли и начали переделывать машину под советский М-48, несколько более громоздкий и тяжелый. Максимальная мощность зато тоже была немного выше-210 л.с. Когда именно из Запорожья доставили опытный образец М-48, неизвестно, но, по воспоминаниям Л.М. Шехтера, в ноябре замену двигателя уже вели. Таким образом хотели получить эталон для серийного производства (19099).</w:t>
      </w:r>
    </w:p>
    <w:p w14:paraId="58406540" w14:textId="77777777" w:rsidR="00BE6B55" w:rsidRPr="0044524F" w:rsidRDefault="00BE6B55" w:rsidP="009654CF">
      <w:pPr>
        <w:pStyle w:val="a8"/>
        <w:jc w:val="both"/>
        <w:rPr>
          <w:rFonts w:ascii="Times New Roman" w:hAnsi="Times New Roman" w:cs="Times New Roman"/>
          <w:color w:val="000000" w:themeColor="text1"/>
        </w:rPr>
      </w:pPr>
    </w:p>
    <w:p w14:paraId="4F90C0C5"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 американский мотор с самолета АИР-5 сняли и начали переделывать машину под советский, несколько более громоздкий и тяжелый. Максимальная мощность зато тоже была немного вы- ше-210 л.с. Когда именно из Запорожья доставили опытный образец М-48, неиз</w:t>
      </w:r>
      <w:r w:rsidRPr="00142305">
        <w:rPr>
          <w:rFonts w:ascii="Times New Roman" w:hAnsi="Times New Roman"/>
          <w:color w:val="0070C0"/>
          <w:sz w:val="16"/>
          <w:szCs w:val="16"/>
        </w:rPr>
        <w:softHyphen/>
        <w:t>вестно, но, по воспоминаниям Л.М. Шехтера, в ноябре замену двигателя уже вели. Таким образом хотели получить эталон для серийного производства (24945).</w:t>
      </w:r>
    </w:p>
    <w:p w14:paraId="7F402625" w14:textId="77777777" w:rsidR="009D616C" w:rsidRPr="00142305" w:rsidRDefault="009D616C" w:rsidP="009D616C">
      <w:pPr>
        <w:spacing w:after="0" w:line="240" w:lineRule="auto"/>
        <w:jc w:val="both"/>
        <w:rPr>
          <w:rFonts w:ascii="Times New Roman" w:hAnsi="Times New Roman"/>
          <w:color w:val="0070C0"/>
          <w:sz w:val="16"/>
          <w:szCs w:val="16"/>
        </w:rPr>
      </w:pPr>
    </w:p>
    <w:p w14:paraId="397921A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Зам. НКТП Пятаков писал проект записки Пред. СНК т. Молотову:</w:t>
      </w:r>
    </w:p>
    <w:p w14:paraId="770C5EC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вопросу: Доводки и летных испытаний сам. ДАР-2 (группа Чухновского)</w:t>
      </w:r>
    </w:p>
    <w:p w14:paraId="309DD09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постановлению Правительства от 7 августа с.г. за № К-30/с ГУАП должен произвести на заводе № 45 окончательную сборку и заводские испытания самолета ДАР-2 (группы Чухновского).</w:t>
      </w:r>
    </w:p>
    <w:p w14:paraId="3157FCE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по заявлению тов. Чухновского, доводка и производство заводских испытаний сам. ДАР-2 будет произведена на заводе им. Марти в Ленинграде, силами группы тов. Чухновского, что в болтшей степени будет отвечать своевременности выпуска самолета на госиспытания.</w:t>
      </w:r>
    </w:p>
    <w:p w14:paraId="178E382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силу Изложенного ходатайствую об отмене постановления правительства от 7 августа с.г. в части, касающейся ГУАПа (2266,235).</w:t>
      </w:r>
    </w:p>
    <w:p w14:paraId="460C40C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F1CDBC4"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М.Н.Тухачевский вызывает Н.Я.Ильина в Москву и назначает его на должность начальника конструкторского бюро № 2 Отдела изобретений НКО. Оно было создано, как КБ-11 при непосредственном участии Н.Я.Ильина еще в 1931 г. (12702).</w:t>
      </w:r>
    </w:p>
    <w:p w14:paraId="7127DC1F" w14:textId="77777777" w:rsidR="00CE35D9" w:rsidRPr="0044524F" w:rsidRDefault="00CE35D9" w:rsidP="009654CF">
      <w:pPr>
        <w:spacing w:after="0" w:line="240" w:lineRule="auto"/>
        <w:jc w:val="both"/>
        <w:rPr>
          <w:rFonts w:ascii="Times New Roman" w:hAnsi="Times New Roman"/>
          <w:color w:val="000000" w:themeColor="text1"/>
          <w:sz w:val="16"/>
          <w:szCs w:val="16"/>
        </w:rPr>
      </w:pPr>
    </w:p>
    <w:p w14:paraId="21347D03"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Осенью 1933 г. в Московском отделении ГИРД по инициа тиве СП. Королева было принято решение о начале работ по ракетопланам, т.е. над самолетами, полет которых обеспечи вает ЖРД.</w:t>
      </w:r>
    </w:p>
    <w:p w14:paraId="75AC975B"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Предусматривалось два основных направления работ:</w:t>
      </w:r>
    </w:p>
    <w:p w14:paraId="793771E5"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создание ракетоплана РП-1 с ЖРД ОР-2 с вытеснитель ной подачей компонентов топлива в камеру сгорания двигате ля (рис. 2.7 а). Эта работа велась в четвертой бригаде ГИРД под руководством СП. Королева;</w:t>
      </w:r>
    </w:p>
    <w:p w14:paraId="5F195780"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создание ракетоплана РП-2 с ЖРД РД-А (03) и с насос ной подачей компонентов топлива в камеру сгорания двигате ля. Эта работа велась во второй бригаде ГИРД под руководством М.К. Тихонравова.</w:t>
      </w:r>
    </w:p>
    <w:p w14:paraId="6A3EA655"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В этих работах надо было не только показать принципи альную возможность создания ракетных самолетов, но и раз работать двигательную установку с ЖРД. Эта ДУ должна была обеспечить ракетному самолету достаточно высокую полезную нагрузку, большую продолжительность полета, простоту в эк сплуатации, а в конечном итоге возможность и практического использования самолета, например, для изучения стратосфе ры (высота 11...40км), освоению которой придавалось тогда большое значение.</w:t>
      </w:r>
    </w:p>
    <w:p w14:paraId="00800D1C"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 П. Королев предложил в основу ракетоплана положить бесхвостый планер БИЧ-XI конструкции Б.И. Черановского.</w:t>
      </w:r>
    </w:p>
    <w:p w14:paraId="4B8392CF"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Для ракетоплана РП-1 двигатель ОР-2 разрабатывал Ф.А. Цандер.</w:t>
      </w:r>
    </w:p>
    <w:p w14:paraId="11A3EC6A"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ЖРД создавался не как изолированный агрегат, а как со ставная часть конкретного самолета (рис. 2.8), то есть осу ществлялся комплексный подход к решению проблемы уста новки двигателя.</w:t>
      </w:r>
    </w:p>
    <w:p w14:paraId="58B15BF3"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Тяга этого ЖРД должна была составлять 50 кгс, а время ра боты 30 секунд. В качестве горючего было принято взять авиационный бензин, окислителя — жидкий кислород. Компоненты топлива заправлялись в баки грушевидной формы, из которых под давлением сжатого азота подавались в камеру сгорания дви гателя по вытеснительной схеме. Вытеснительная система пода чи была наиболее простой и легко осуществимой, но получалась относительно тяжелой из-за необходимости расчета баков, тру бопроводов, арматуры и соединений на довольно высокое избы точное давление (6...8 атм.). При этом необходимо было тщательно собирать и подгонять все части системы в производстве, и под держивать ее герметичность в эксплуатации.</w:t>
      </w:r>
    </w:p>
    <w:p w14:paraId="27215105"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ракетоплане РП-2 планировали установить двигатель РД-А с тягой 80...85 кгс, который создавался во второй бригаде ГИРД под руководством М.К. Тихонравова. Для этого ЖРД должна была применяться насосная система подачи топлива, которая по зволяла выполнить баки плоскими, тонкостенными и легки ми. При этом под высоким давлением находились только сам насос и трубопровод, соединяющий его с камерой сгорания двигателя. Кроме того, насосная система подачи отличалась безопасностью и простотой в эксплуатации.</w:t>
      </w:r>
    </w:p>
    <w:p w14:paraId="442DFB31"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Разработчики ракетопланов РП-1 и РП-2 не ставили перед собой цель получить выдающиеся летно-те^нические характе ристики, они рассчитывали всего лишь подтвердить возмож ности полета самолета с ЖРД.</w:t>
      </w:r>
    </w:p>
    <w:p w14:paraId="330A607E"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При полной массе 470 кг максимальная расчетная скорость этих ракетных самолетов составила бы не более 140 км/ч. Про должительность полета получалась из расчетов равной соответ ственно 7 и 12 мин. С П. Королев подчеркивал, что при тяге 50 кгс для взлета ракетоплану потребуется продолжительный разбег, а набор высоты будет происходить очень медленно и до потолка всего 810 м. Несколько лучше, считал С П. Королев, будет обстоять дело и при форсировании работы реактивного Двигателя до тяги 100 кгс.</w:t>
      </w:r>
    </w:p>
    <w:p w14:paraId="30248583"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Аэродинамическая схема ракетопланов — «летающее кры Ло ». Выбор этой схемы был обусловлен необходимостью со 40 М. ЕВТИФЬЕВ кращения длины герметичных трубопроводов вытеснительной системы подачи топлива для РП-1 и трубопровода от насоса до двигателя для РП-2. Такая аэродинамическая схема дава ла возможность всю ДУ разместить очень компактно вблизи центра тяжести ракетоплана при минимальной длине находя щихся под давлением трубопроводов.</w:t>
      </w:r>
    </w:p>
    <w:p w14:paraId="0422ADDD"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Тяга двигателя ракетоплана РП-1 в полете должна была регулироваться из кабины летчика со специального щитка посредством подачи различного количества горючей смеси жиклерами, а также изменением давления подачи. Работа дви гательной установки должна была контролироваться маномет рами в каждом из баков и в камере сгорания, а также термо метрами.</w:t>
      </w:r>
    </w:p>
    <w:p w14:paraId="41749E66"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Планер БИЧ-XI построили, смонтировали практически все агрегаты двигательной установки ракетоплана РП-1, но сам двигатель еще не был готов. Работы по ЖРД ОР-2 оказались не простыми, как думали раньше. Как показали стендовые испытания, двигатель ОР-2 оказался ненадежным в работе.</w:t>
      </w:r>
    </w:p>
    <w:p w14:paraId="31ED81DA"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Возникли проблемы с устойчивостью горения топливной сме си в камере сгорания, надежностью охлаждения двигателя.</w:t>
      </w:r>
    </w:p>
    <w:p w14:paraId="7F9B5704"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Надо было определить возникающие нагрузки, решить еще многие трудные и не известные в то время вопросы, а это по требовало дополнительного времени. Также возникли трудно сти, и затянулась работа по изготовлению топливного насоса для двигателя РД-А на ракетоплан РП-2. В связи с этими про блемами было принято решение о прекращении работ по ра кетопланам РП-1 и РП-2. Основные усилия направили на раз работку более совершенных и надежных жидкостных ракет ных двигателей.</w:t>
      </w:r>
    </w:p>
    <w:p w14:paraId="056637F5"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Зимой 1932 г. СП. Королев испытал в полете планер без двигателя, а также с маломощным поршневым двигателем.</w:t>
      </w:r>
    </w:p>
    <w:p w14:paraId="3D7D5D17"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 результатам полетов было установлено, что планер доволь но сложен в управлении. В связи с этим С П. Королев решил спроектировать свой новый планер СК-б, аэродинамическая схема которого обеспечивала бы получение нормальных ха рактеристик устойчивости и управляемости и одновременно обладала всеми компоновочными достоинствами для размеще ния двигательной установки с ЖРД (19586).</w:t>
      </w:r>
    </w:p>
    <w:p w14:paraId="0D68FFD8" w14:textId="77777777" w:rsidR="00BE6B55" w:rsidRPr="0044524F" w:rsidRDefault="00BE6B55"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6974BE33"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 было принято важное решение об органи</w:t>
      </w:r>
      <w:r w:rsidRPr="00142305">
        <w:rPr>
          <w:rFonts w:ascii="Times New Roman" w:hAnsi="Times New Roman"/>
          <w:color w:val="0070C0"/>
          <w:sz w:val="16"/>
          <w:szCs w:val="16"/>
        </w:rPr>
        <w:softHyphen/>
        <w:t>зации на базе ГДЛ и московской ГИРД Реактивного научно</w:t>
      </w:r>
      <w:r w:rsidRPr="00142305">
        <w:rPr>
          <w:rFonts w:ascii="Times New Roman" w:hAnsi="Times New Roman"/>
          <w:color w:val="0070C0"/>
          <w:sz w:val="16"/>
          <w:szCs w:val="16"/>
        </w:rPr>
        <w:softHyphen/>
        <w:t>исследовательского института (РНИИ). Перед РНИИ была по</w:t>
      </w:r>
      <w:r w:rsidRPr="00142305">
        <w:rPr>
          <w:rFonts w:ascii="Times New Roman" w:hAnsi="Times New Roman"/>
          <w:color w:val="0070C0"/>
          <w:sz w:val="16"/>
          <w:szCs w:val="16"/>
        </w:rPr>
        <w:softHyphen/>
        <w:t>ставлена задача: объединить ведущих специалистов, исследо</w:t>
      </w:r>
      <w:r w:rsidRPr="00142305">
        <w:rPr>
          <w:rFonts w:ascii="Times New Roman" w:hAnsi="Times New Roman"/>
          <w:color w:val="0070C0"/>
          <w:sz w:val="16"/>
          <w:szCs w:val="16"/>
        </w:rPr>
        <w:softHyphen/>
        <w:t>вательские и опытно-конструкторские работы по различным направлениям реактивной техники в едином научно-исследо</w:t>
      </w:r>
      <w:r w:rsidRPr="00142305">
        <w:rPr>
          <w:rFonts w:ascii="Times New Roman" w:hAnsi="Times New Roman"/>
          <w:color w:val="0070C0"/>
          <w:sz w:val="16"/>
          <w:szCs w:val="16"/>
        </w:rPr>
        <w:softHyphen/>
        <w:t>вательском центре и в короткие сроки решить многие слож</w:t>
      </w:r>
      <w:r w:rsidRPr="00142305">
        <w:rPr>
          <w:rFonts w:ascii="Times New Roman" w:hAnsi="Times New Roman"/>
          <w:color w:val="0070C0"/>
          <w:sz w:val="16"/>
          <w:szCs w:val="16"/>
        </w:rPr>
        <w:softHyphen/>
        <w:t>ные проблемы практической реализации возможностей реак</w:t>
      </w:r>
      <w:r w:rsidRPr="00142305">
        <w:rPr>
          <w:rFonts w:ascii="Times New Roman" w:hAnsi="Times New Roman"/>
          <w:color w:val="0070C0"/>
          <w:sz w:val="16"/>
          <w:szCs w:val="16"/>
        </w:rPr>
        <w:softHyphen/>
        <w:t>тивной техники.</w:t>
      </w:r>
    </w:p>
    <w:p w14:paraId="3EB19766"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после организации РНИИ в его плане не оказалось ра</w:t>
      </w:r>
      <w:r w:rsidRPr="00142305">
        <w:rPr>
          <w:rFonts w:ascii="Times New Roman" w:hAnsi="Times New Roman"/>
          <w:color w:val="0070C0"/>
          <w:sz w:val="16"/>
          <w:szCs w:val="16"/>
        </w:rPr>
        <w:softHyphen/>
        <w:t>бот по ракетопланам и авиационным силовым установкам с ЖРД. Эти работы в 1934—1935 гг. СП. Королев проводил в порядке личной инициативы, опираясь на широкий обществен</w:t>
      </w:r>
      <w:r w:rsidRPr="00142305">
        <w:rPr>
          <w:rFonts w:ascii="Times New Roman" w:hAnsi="Times New Roman"/>
          <w:color w:val="0070C0"/>
          <w:sz w:val="16"/>
          <w:szCs w:val="16"/>
        </w:rPr>
        <w:softHyphen/>
        <w:t>ный интерес к проблеме изучения и использования стратосфе</w:t>
      </w:r>
      <w:r w:rsidRPr="00142305">
        <w:rPr>
          <w:rFonts w:ascii="Times New Roman" w:hAnsi="Times New Roman"/>
          <w:color w:val="0070C0"/>
          <w:sz w:val="16"/>
          <w:szCs w:val="16"/>
        </w:rPr>
        <w:softHyphen/>
        <w:t>ры, к перспективам, открывающимся перед авиацией при обес</w:t>
      </w:r>
      <w:r w:rsidRPr="00142305">
        <w:rPr>
          <w:rFonts w:ascii="Times New Roman" w:hAnsi="Times New Roman"/>
          <w:color w:val="0070C0"/>
          <w:sz w:val="16"/>
          <w:szCs w:val="16"/>
        </w:rPr>
        <w:softHyphen/>
        <w:t>печении возможности выполнения регулярных полетов в стра</w:t>
      </w:r>
      <w:r w:rsidRPr="00142305">
        <w:rPr>
          <w:rFonts w:ascii="Times New Roman" w:hAnsi="Times New Roman"/>
          <w:color w:val="0070C0"/>
          <w:sz w:val="16"/>
          <w:szCs w:val="16"/>
        </w:rPr>
        <w:softHyphen/>
        <w:t>тосфере (24920).</w:t>
      </w:r>
    </w:p>
    <w:p w14:paraId="3E09FAF9" w14:textId="77777777" w:rsidR="009D616C" w:rsidRPr="00142305" w:rsidRDefault="009D616C" w:rsidP="009D616C">
      <w:pPr>
        <w:spacing w:after="0" w:line="240" w:lineRule="auto"/>
        <w:jc w:val="both"/>
        <w:rPr>
          <w:rFonts w:ascii="Times New Roman" w:hAnsi="Times New Roman"/>
          <w:color w:val="0070C0"/>
          <w:sz w:val="16"/>
          <w:szCs w:val="16"/>
        </w:rPr>
      </w:pPr>
    </w:p>
    <w:p w14:paraId="1FEDF0E9"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 в Московском отделении ГИРД по инициа</w:t>
      </w:r>
      <w:r w:rsidRPr="00142305">
        <w:rPr>
          <w:rFonts w:ascii="Times New Roman" w:hAnsi="Times New Roman"/>
          <w:color w:val="0070C0"/>
          <w:sz w:val="16"/>
          <w:szCs w:val="16"/>
        </w:rPr>
        <w:softHyphen/>
        <w:t>тиве СП. Королева было принято решение о начале работ по ракетопланам, т.е. над самолетами, полет которых обеспечи</w:t>
      </w:r>
      <w:r w:rsidRPr="00142305">
        <w:rPr>
          <w:rFonts w:ascii="Times New Roman" w:hAnsi="Times New Roman"/>
          <w:color w:val="0070C0"/>
          <w:sz w:val="16"/>
          <w:szCs w:val="16"/>
        </w:rPr>
        <w:softHyphen/>
        <w:t>вает ЖРД.</w:t>
      </w:r>
    </w:p>
    <w:p w14:paraId="063FD4F1"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Предусматривалось два основных направления работ:</w:t>
      </w:r>
    </w:p>
    <w:p w14:paraId="59D8E12A" w14:textId="77777777" w:rsidR="009D616C" w:rsidRPr="00142305" w:rsidRDefault="009D616C" w:rsidP="009D616C">
      <w:pPr>
        <w:spacing w:after="0" w:line="240" w:lineRule="auto"/>
        <w:jc w:val="both"/>
        <w:rPr>
          <w:rFonts w:ascii="Times New Roman" w:hAnsi="Times New Roman"/>
          <w:color w:val="0070C0"/>
          <w:sz w:val="16"/>
          <w:szCs w:val="16"/>
        </w:rPr>
      </w:pPr>
      <w:bookmarkStart w:id="48" w:name="bookmark83"/>
      <w:bookmarkEnd w:id="48"/>
      <w:r w:rsidRPr="00142305">
        <w:rPr>
          <w:rFonts w:ascii="Times New Roman" w:hAnsi="Times New Roman"/>
          <w:color w:val="0070C0"/>
          <w:sz w:val="16"/>
          <w:szCs w:val="16"/>
        </w:rPr>
        <w:t>- создание ракетоплана РП-1 с ЖРД ОР-2 с вытеснитель</w:t>
      </w:r>
      <w:r w:rsidRPr="00142305">
        <w:rPr>
          <w:rFonts w:ascii="Times New Roman" w:hAnsi="Times New Roman"/>
          <w:color w:val="0070C0"/>
          <w:sz w:val="16"/>
          <w:szCs w:val="16"/>
        </w:rPr>
        <w:softHyphen/>
        <w:t>ной подачей компонентов топлива в камеру сгорания двигате</w:t>
      </w:r>
      <w:r w:rsidRPr="00142305">
        <w:rPr>
          <w:rFonts w:ascii="Times New Roman" w:hAnsi="Times New Roman"/>
          <w:color w:val="0070C0"/>
          <w:sz w:val="16"/>
          <w:szCs w:val="16"/>
        </w:rPr>
        <w:softHyphen/>
        <w:t>ля (рис. 2.7 а). Эта работа велась в четвертой бригаде ГИРД под руководством СП. Королева;</w:t>
      </w:r>
    </w:p>
    <w:p w14:paraId="7042EA43" w14:textId="77777777" w:rsidR="009D616C" w:rsidRPr="00142305" w:rsidRDefault="009D616C" w:rsidP="009D616C">
      <w:pPr>
        <w:spacing w:after="0" w:line="240" w:lineRule="auto"/>
        <w:jc w:val="both"/>
        <w:rPr>
          <w:rFonts w:ascii="Times New Roman" w:hAnsi="Times New Roman"/>
          <w:color w:val="0070C0"/>
          <w:sz w:val="16"/>
          <w:szCs w:val="16"/>
        </w:rPr>
      </w:pPr>
      <w:bookmarkStart w:id="49" w:name="bookmark84"/>
      <w:bookmarkEnd w:id="49"/>
      <w:r w:rsidRPr="00142305">
        <w:rPr>
          <w:rFonts w:ascii="Times New Roman" w:hAnsi="Times New Roman"/>
          <w:color w:val="0070C0"/>
          <w:sz w:val="16"/>
          <w:szCs w:val="16"/>
        </w:rPr>
        <w:t>- создание ракетоплана РП-2 с ЖРД РД-А (03) и с насос</w:t>
      </w:r>
      <w:r w:rsidRPr="00142305">
        <w:rPr>
          <w:rFonts w:ascii="Times New Roman" w:hAnsi="Times New Roman"/>
          <w:color w:val="0070C0"/>
          <w:sz w:val="16"/>
          <w:szCs w:val="16"/>
        </w:rPr>
        <w:softHyphen/>
        <w:t>ной подачей компонентов топлива в камеру сгорания двигате</w:t>
      </w:r>
      <w:r w:rsidRPr="00142305">
        <w:rPr>
          <w:rFonts w:ascii="Times New Roman" w:hAnsi="Times New Roman"/>
          <w:color w:val="0070C0"/>
          <w:sz w:val="16"/>
          <w:szCs w:val="16"/>
        </w:rPr>
        <w:softHyphen/>
        <w:t>ля (рис. 2.7 б). Эта работа велась во второй бригаде ГИРД под руководством М.К. Тихонравова.</w:t>
      </w:r>
    </w:p>
    <w:p w14:paraId="5221FCA8"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этих работах надо было не только показать принципи</w:t>
      </w:r>
      <w:r w:rsidRPr="00142305">
        <w:rPr>
          <w:rFonts w:ascii="Times New Roman" w:hAnsi="Times New Roman"/>
          <w:color w:val="0070C0"/>
          <w:sz w:val="16"/>
          <w:szCs w:val="16"/>
        </w:rPr>
        <w:softHyphen/>
        <w:t>альную возможность создания ракетных самолетов, но и раз</w:t>
      </w:r>
      <w:r w:rsidRPr="00142305">
        <w:rPr>
          <w:rFonts w:ascii="Times New Roman" w:hAnsi="Times New Roman"/>
          <w:color w:val="0070C0"/>
          <w:sz w:val="16"/>
          <w:szCs w:val="16"/>
        </w:rPr>
        <w:softHyphen/>
        <w:t>работать двигательную установку с ЖРД. Эта ДУ должна была обеспечить ракетному самолету достаточно высокую полезную нагрузку, большую продолжительность полета, простоту в эк</w:t>
      </w:r>
      <w:r w:rsidRPr="00142305">
        <w:rPr>
          <w:rFonts w:ascii="Times New Roman" w:hAnsi="Times New Roman"/>
          <w:color w:val="0070C0"/>
          <w:sz w:val="16"/>
          <w:szCs w:val="16"/>
        </w:rPr>
        <w:softHyphen/>
        <w:t>сплуатации, а в конечном итоге возможность и практического использования самолета, например, для изучения стратосфе</w:t>
      </w:r>
      <w:r w:rsidRPr="00142305">
        <w:rPr>
          <w:rFonts w:ascii="Times New Roman" w:hAnsi="Times New Roman"/>
          <w:color w:val="0070C0"/>
          <w:sz w:val="16"/>
          <w:szCs w:val="16"/>
        </w:rPr>
        <w:softHyphen/>
        <w:t>ры (высота 11...40км), освоению которой придавалось тогда большое значение.</w:t>
      </w:r>
    </w:p>
    <w:p w14:paraId="7CE69DA8"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СП. Королев предложил в основу ракетоплана положить бесхвостый планер БИЧ-XI конструкции Б.И. Черановского (24920).</w:t>
      </w:r>
    </w:p>
    <w:p w14:paraId="363B3410" w14:textId="77777777" w:rsidR="009D616C" w:rsidRPr="00142305" w:rsidRDefault="009D616C" w:rsidP="009D616C">
      <w:pPr>
        <w:spacing w:after="0" w:line="240" w:lineRule="auto"/>
        <w:jc w:val="both"/>
        <w:rPr>
          <w:rFonts w:ascii="Times New Roman" w:hAnsi="Times New Roman"/>
          <w:color w:val="0070C0"/>
          <w:sz w:val="16"/>
          <w:szCs w:val="16"/>
        </w:rPr>
      </w:pPr>
    </w:p>
    <w:p w14:paraId="35270B9A" w14:textId="77777777" w:rsidR="00CF38E2" w:rsidRPr="0044524F" w:rsidRDefault="00CF38E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го</w:t>
      </w:r>
      <w:r w:rsidRPr="0044524F">
        <w:rPr>
          <w:rFonts w:ascii="Times New Roman" w:hAnsi="Times New Roman"/>
          <w:color w:val="000000" w:themeColor="text1"/>
          <w:sz w:val="16"/>
          <w:szCs w:val="16"/>
        </w:rPr>
        <w:softHyphen/>
        <w:t>да Тихонравов за</w:t>
      </w:r>
      <w:r w:rsidRPr="0044524F">
        <w:rPr>
          <w:rFonts w:ascii="Times New Roman" w:hAnsi="Times New Roman"/>
          <w:color w:val="000000" w:themeColor="text1"/>
          <w:sz w:val="16"/>
          <w:szCs w:val="16"/>
        </w:rPr>
        <w:softHyphen/>
        <w:t>вершил проект новой ракеты 05 (ГИРД-5). Первоначально пла</w:t>
      </w:r>
      <w:r w:rsidRPr="0044524F">
        <w:rPr>
          <w:rFonts w:ascii="Times New Roman" w:hAnsi="Times New Roman"/>
          <w:color w:val="000000" w:themeColor="text1"/>
          <w:sz w:val="16"/>
          <w:szCs w:val="16"/>
        </w:rPr>
        <w:softHyphen/>
        <w:t>нировалось оснастить ее двигателем Глушко ОРМ-50, работавшим на азотной кислоте и керосине. Но позже решено было ракету доработать. К доработке подключился Стра</w:t>
      </w:r>
      <w:r w:rsidRPr="0044524F">
        <w:rPr>
          <w:rFonts w:ascii="Times New Roman" w:hAnsi="Times New Roman"/>
          <w:color w:val="000000" w:themeColor="text1"/>
          <w:sz w:val="16"/>
          <w:szCs w:val="16"/>
        </w:rPr>
        <w:softHyphen/>
        <w:t>тосферный комитет при Всесо</w:t>
      </w:r>
      <w:r w:rsidRPr="0044524F">
        <w:rPr>
          <w:rFonts w:ascii="Times New Roman" w:hAnsi="Times New Roman"/>
          <w:color w:val="000000" w:themeColor="text1"/>
          <w:sz w:val="16"/>
          <w:szCs w:val="16"/>
        </w:rPr>
        <w:softHyphen/>
        <w:t>юзном авиационном научном инженерно-техническом обще</w:t>
      </w:r>
      <w:r w:rsidRPr="0044524F">
        <w:rPr>
          <w:rFonts w:ascii="Times New Roman" w:hAnsi="Times New Roman"/>
          <w:color w:val="000000" w:themeColor="text1"/>
          <w:sz w:val="16"/>
          <w:szCs w:val="16"/>
        </w:rPr>
        <w:softHyphen/>
        <w:t>стве. В июле 1935 года ракета получила сокращенное название этого комитета «Авиавнито» (23510).</w:t>
      </w:r>
    </w:p>
    <w:p w14:paraId="35F4F541" w14:textId="77777777" w:rsidR="00CF38E2" w:rsidRPr="0044524F" w:rsidRDefault="00CF38E2" w:rsidP="009654CF">
      <w:pPr>
        <w:spacing w:after="0" w:line="240" w:lineRule="auto"/>
        <w:jc w:val="both"/>
        <w:rPr>
          <w:rFonts w:ascii="Times New Roman" w:hAnsi="Times New Roman"/>
          <w:color w:val="000000" w:themeColor="text1"/>
          <w:sz w:val="16"/>
          <w:szCs w:val="16"/>
        </w:rPr>
      </w:pPr>
    </w:p>
    <w:p w14:paraId="713F13AB"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года В.К. Коккинаки испытывал на Комендантском аэродроме в Ленинграде Р-5 с подвеской восьми оперенных снарядов ка</w:t>
      </w:r>
      <w:r w:rsidRPr="00142305">
        <w:rPr>
          <w:rFonts w:ascii="Times New Roman" w:hAnsi="Times New Roman"/>
          <w:color w:val="0070C0"/>
          <w:sz w:val="16"/>
          <w:szCs w:val="16"/>
        </w:rPr>
        <w:softHyphen/>
        <w:t>либра 82 мм. Программа включала стрельбы на полигоне. Обследование самолета после пусков выявило деформа</w:t>
      </w:r>
      <w:r w:rsidRPr="00142305">
        <w:rPr>
          <w:rFonts w:ascii="Times New Roman" w:hAnsi="Times New Roman"/>
          <w:color w:val="0070C0"/>
          <w:sz w:val="16"/>
          <w:szCs w:val="16"/>
        </w:rPr>
        <w:softHyphen/>
        <w:t>цию нервюр и повреждение переднего лонжерона. Конс</w:t>
      </w:r>
      <w:r w:rsidRPr="00142305">
        <w:rPr>
          <w:rFonts w:ascii="Times New Roman" w:hAnsi="Times New Roman"/>
          <w:color w:val="0070C0"/>
          <w:sz w:val="16"/>
          <w:szCs w:val="16"/>
        </w:rPr>
        <w:softHyphen/>
        <w:t>трукторы усилили набор крыла, изменили крепление на</w:t>
      </w:r>
      <w:r w:rsidRPr="00142305">
        <w:rPr>
          <w:rFonts w:ascii="Times New Roman" w:hAnsi="Times New Roman"/>
          <w:color w:val="0070C0"/>
          <w:sz w:val="16"/>
          <w:szCs w:val="16"/>
        </w:rPr>
        <w:softHyphen/>
        <w:t>правляющих (24990).</w:t>
      </w:r>
    </w:p>
    <w:p w14:paraId="1BE275F1" w14:textId="77777777" w:rsidR="009D616C" w:rsidRPr="00142305" w:rsidRDefault="009D616C" w:rsidP="009D616C">
      <w:pPr>
        <w:spacing w:after="0" w:line="240" w:lineRule="auto"/>
        <w:jc w:val="both"/>
        <w:rPr>
          <w:rFonts w:ascii="Times New Roman" w:hAnsi="Times New Roman"/>
          <w:color w:val="0070C0"/>
          <w:sz w:val="16"/>
          <w:szCs w:val="16"/>
        </w:rPr>
      </w:pPr>
    </w:p>
    <w:p w14:paraId="6413B00E" w14:textId="77777777" w:rsidR="009D616C" w:rsidRPr="00142305" w:rsidRDefault="009D616C" w:rsidP="009D616C">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 Камов провел повторное испытание модели «высотной торпеды Камова» и на этот раз получил вполне приличные результаты — 100% раскрытий винта на «дистанциях» от двух до 14 секунд. Впрочем, выявился недостаток прочности лопастей на «дистанциях» раскрытия более 10 секунд. Опыты с большими образцами дали тот же эффект (раскрытие, но недостаточная прочность лопастей) (25314).</w:t>
      </w:r>
    </w:p>
    <w:p w14:paraId="6255FAC0" w14:textId="77777777" w:rsidR="009D616C" w:rsidRPr="00142305" w:rsidRDefault="009D616C" w:rsidP="009D616C">
      <w:pPr>
        <w:spacing w:after="0" w:line="240" w:lineRule="auto"/>
        <w:jc w:val="both"/>
        <w:rPr>
          <w:rFonts w:ascii="Times New Roman" w:hAnsi="Times New Roman"/>
          <w:color w:val="0070C0"/>
          <w:sz w:val="16"/>
          <w:szCs w:val="16"/>
        </w:rPr>
      </w:pPr>
    </w:p>
    <w:p w14:paraId="178186A6" w14:textId="77777777" w:rsidR="009D616C" w:rsidRPr="00142305" w:rsidRDefault="009D616C" w:rsidP="009D616C">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Осенью 1933 г. суда Первой Ленской экспедиции под руководством Б.В. Лаврова были вынуждены зазимовать в районе о. Самуила. Для слежения за ледовой обстановкой организовали воздушную разведку, которая выполнялась с октября 1933 г, до июня 1934 года. Это были первые зимние ледовые разведки, выполнявшиеся лётчиком М.Я. Линде- лем с мыса Челюскин на самолётах У-2 и «Сталь-2» (25653).</w:t>
      </w:r>
    </w:p>
    <w:p w14:paraId="5F173B2F" w14:textId="77777777" w:rsidR="009D616C" w:rsidRPr="00142305" w:rsidRDefault="009D616C" w:rsidP="009D616C">
      <w:pPr>
        <w:spacing w:after="0" w:line="240" w:lineRule="auto"/>
        <w:jc w:val="both"/>
        <w:rPr>
          <w:rStyle w:val="aff"/>
          <w:rFonts w:ascii="Times New Roman" w:hAnsi="Times New Roman" w:cs="Times New Roman"/>
          <w:color w:val="0070C0"/>
          <w:spacing w:val="0"/>
          <w:sz w:val="16"/>
          <w:szCs w:val="16"/>
        </w:rPr>
      </w:pPr>
    </w:p>
    <w:p w14:paraId="0C53798D" w14:textId="77777777" w:rsidR="00640E1D" w:rsidRPr="0044524F" w:rsidRDefault="00640E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вторая оболочка дирижабля «СССР В-1» пришла в негодность, и взамен её изготовили тре</w:t>
      </w:r>
      <w:r w:rsidRPr="0044524F">
        <w:rPr>
          <w:rFonts w:ascii="Times New Roman" w:hAnsi="Times New Roman"/>
          <w:color w:val="000000" w:themeColor="text1"/>
          <w:sz w:val="16"/>
          <w:szCs w:val="16"/>
        </w:rPr>
        <w:softHyphen/>
        <w:t>тью, на этот раз большего объёма за счёт вставки дополнительного полотнища. Она имела объём 2625 м3, длину 45,3 м, наибольший диаметр 0,8 м. Полезная нагрузка возросла до 1148 кг (20120).</w:t>
      </w:r>
    </w:p>
    <w:p w14:paraId="796AC3B3" w14:textId="77777777" w:rsidR="00640E1D" w:rsidRPr="0044524F" w:rsidRDefault="00640E1D" w:rsidP="009654CF">
      <w:pPr>
        <w:spacing w:after="0" w:line="240" w:lineRule="auto"/>
        <w:jc w:val="both"/>
        <w:rPr>
          <w:rFonts w:ascii="Times New Roman" w:hAnsi="Times New Roman"/>
          <w:color w:val="000000" w:themeColor="text1"/>
          <w:sz w:val="16"/>
          <w:szCs w:val="16"/>
        </w:rPr>
      </w:pPr>
    </w:p>
    <w:p w14:paraId="102BB5B2"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7E6384A"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60A6B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прошли испытания танка БТ-5ПХ, оборудованного в мастерских 5 учебного полка БелВО. Резиновыми уплотнителями обеспечили герметичность, а швы прокрасили суриком (3880,30).</w:t>
      </w:r>
    </w:p>
    <w:p w14:paraId="68D5F66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35BAFD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проходили испытания радиостанции 71-ТК на БТ-2. Неудовлетворительно из-за помех от системы зажигания (9527,78).</w:t>
      </w:r>
    </w:p>
    <w:p w14:paraId="1F75380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EF225B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прошли испытания опытного образца танка Т-26 с приспособлением для плава (АТ-2), разработанного специальным отделом НАТИ под руководством А.С.Кузина в 1933. Всерии и на вооружении не был (9527,241).</w:t>
      </w:r>
    </w:p>
    <w:p w14:paraId="502D5563" w14:textId="77777777" w:rsidR="00625DC6" w:rsidRDefault="00625DC6" w:rsidP="00625DC6">
      <w:pPr>
        <w:autoSpaceDE w:val="0"/>
        <w:autoSpaceDN w:val="0"/>
        <w:adjustRightInd w:val="0"/>
        <w:spacing w:after="0" w:line="240" w:lineRule="auto"/>
        <w:jc w:val="both"/>
        <w:rPr>
          <w:rFonts w:ascii="Times New Roman" w:hAnsi="Times New Roman"/>
          <w:i/>
          <w:iCs/>
          <w:color w:val="000000" w:themeColor="text1"/>
          <w:sz w:val="16"/>
          <w:szCs w:val="16"/>
        </w:rPr>
      </w:pPr>
    </w:p>
    <w:p w14:paraId="7631A7BB" w14:textId="77777777" w:rsidR="00625DC6" w:rsidRPr="00142305" w:rsidRDefault="00625DC6" w:rsidP="00625D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года на Красном Путиловце для испытания и приемки танков создается комиссия под руководством С. Гинзбурга, реорганизованная в конце года в опытно-исследовательскую секцию, которую возглавил опытный инженер А. Ланцберг. Все изменения в конструкции танков перед введением их в серийное производство должны были получить одобрение секции (24998).</w:t>
      </w:r>
    </w:p>
    <w:p w14:paraId="69FC98EF" w14:textId="77777777" w:rsidR="00625DC6" w:rsidRPr="00142305" w:rsidRDefault="00625DC6" w:rsidP="00625DC6">
      <w:pPr>
        <w:spacing w:after="0" w:line="240" w:lineRule="auto"/>
        <w:jc w:val="both"/>
        <w:rPr>
          <w:rFonts w:ascii="Times New Roman" w:hAnsi="Times New Roman"/>
          <w:color w:val="0070C0"/>
          <w:sz w:val="16"/>
          <w:szCs w:val="16"/>
        </w:rPr>
      </w:pPr>
    </w:p>
    <w:p w14:paraId="5AA3676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были построены три ба ПБ-4 КБ Ижорского завода. В апреле 1934 построенные в феврале 1934 по доработанным чертежам еще три ба ПБ-4, разработанные КБ Ижорского завода под руководством Н.Я.Обухова на базе Форд Тимкен, показали удовлетворительные результаты во время испытаний (9527,332).</w:t>
      </w:r>
    </w:p>
    <w:p w14:paraId="49C26BF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2B4367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года на одном БАИ установили 37-мм динамо-реактивное (бе</w:t>
      </w:r>
      <w:r w:rsidRPr="0044524F">
        <w:rPr>
          <w:rFonts w:ascii="Times New Roman" w:hAnsi="Times New Roman"/>
          <w:color w:val="000000" w:themeColor="text1"/>
          <w:sz w:val="16"/>
          <w:szCs w:val="16"/>
        </w:rPr>
        <w:softHyphen/>
        <w:t>зоткатное) противотанковое ружье конструкции Курчевского. Для этого в корме башни прорезали квадратное от</w:t>
      </w:r>
      <w:r w:rsidRPr="0044524F">
        <w:rPr>
          <w:rFonts w:ascii="Times New Roman" w:hAnsi="Times New Roman"/>
          <w:color w:val="000000" w:themeColor="text1"/>
          <w:sz w:val="16"/>
          <w:szCs w:val="16"/>
        </w:rPr>
        <w:softHyphen/>
        <w:t>верстие, закрытое бронелистом, а спереди приварили спе</w:t>
      </w:r>
      <w:r w:rsidRPr="0044524F">
        <w:rPr>
          <w:rFonts w:ascii="Times New Roman" w:hAnsi="Times New Roman"/>
          <w:color w:val="000000" w:themeColor="text1"/>
          <w:sz w:val="16"/>
          <w:szCs w:val="16"/>
        </w:rPr>
        <w:softHyphen/>
        <w:t>циальный коробчатый кожух. Испытания, проведенные на Кунцевском стрелковом полигоне, выявили ненадежное крепление ствола в башне, неудачную систему заряжания, малый угол возвышения и невозможность стрельбы назад из-за крыши, возвышающейся над отделением водителя. Поэтому дальнейшие работы по вооружению БАИ система</w:t>
      </w:r>
      <w:r w:rsidRPr="0044524F">
        <w:rPr>
          <w:rFonts w:ascii="Times New Roman" w:hAnsi="Times New Roman"/>
          <w:color w:val="000000" w:themeColor="text1"/>
          <w:sz w:val="16"/>
          <w:szCs w:val="16"/>
        </w:rPr>
        <w:softHyphen/>
        <w:t>ми Курчевского прекратили (11284).</w:t>
      </w:r>
    </w:p>
    <w:p w14:paraId="1699A63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89FD3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года собрали два двигателя мощностью около 90 л.с., установили их на автомобили Я-5 и отправили в сравнительный пробег, где испытывалось 27 аналогичных зарубежных двигателей, установленных на таких же Я-5. Испытание ярославские моторы выдержали, но производство еще не было готово к выпуску столь сложной продукции, как дизельный двигатель, особенно прецизионной топливной аппаратуры для дизелей (11197).</w:t>
      </w:r>
    </w:p>
    <w:p w14:paraId="0BC42F8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05F1965"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года собрали два двигателя профессора Н.Р. Брилинга мощностью около 90 л.с., установили их на автомобили Я-5 и отправили в сравнительный пробег, где испытывалось 27 аналогичных зарубежных двигателей, установленных на таких же Я-5. Испытание ярославские моторы выдержали, но производство еще не было готово к выпуску столь сложной продукции, как дизельный двигатель, особенно прецизионной топливной аппаратуры для дизелей (12200).</w:t>
      </w:r>
    </w:p>
    <w:p w14:paraId="5B5DEDA3" w14:textId="77777777" w:rsidR="003F2394" w:rsidRPr="0044524F" w:rsidRDefault="003F2394" w:rsidP="009654CF">
      <w:pPr>
        <w:spacing w:after="0" w:line="240" w:lineRule="auto"/>
        <w:jc w:val="both"/>
        <w:rPr>
          <w:rFonts w:ascii="Times New Roman" w:hAnsi="Times New Roman"/>
          <w:color w:val="000000" w:themeColor="text1"/>
          <w:sz w:val="16"/>
          <w:szCs w:val="16"/>
        </w:rPr>
      </w:pPr>
    </w:p>
    <w:p w14:paraId="3D727E0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экспериментальном отделе завода начались работы по новой легковой модели, получившей впоследствии обозначение ГАЗ-М1. Когда в 1933 г. началось производство модели "Форд-40", был поставлен вопрос о выпуске ее и на ГАЗе. Одним из инициаторов быстрейшей подготовки производства новой легковой модели выступил назначенный в октябре 1933 г. главным конструктором ГАЗа А. А. Липгарт. Первые три опытных образца собрали в январе 1934 г. Они внешне отличались от серийных машин иной облицовкой радиатора, лючками на боковинах капота, колесами с проволочными спицами. ГАЗ-М1 не повторял полностью конструкцию "Форда-40". Так горьковские конструкторы в подвесках колес отказались от двух поперечных рессор в польз четырех продольных, впервые самостоятельно путем графо-пластических методов они разработали иную, чем у "Форда-40", криволинейную поверхность передних крыльев, перешли на дисковые штампованные колеса, ввели ряд других изменений, в том числе "плавающую" подвеску двигателя. Главным новшеством стал кузов - закрытый цельнометаллический. Деревянной оставалась лишь одна деталь - боковой брус крыши. В целом машина сохранила очень мало общего с ГАЗ-А, хотя двигатель, коробка передач и задний мост представляли собой усовершенствованные узлы прежней модели. Двигатель получил систему смазки под давлением, циркуляционную (от насоса) систему охлаждения, автомат опережения момента зажигания, усовершенствованный карбюратор с экономайзером и автоматическим клапаном воздушной заслонки, коленчатый вал с противовесами, а также контактно-масляный воздушный фильтр. При таком же рабочем объеме, как у ГАЗ-А, двигатель ГАЗ-M новой модели стал мощнее (50 л. с.) благодаря измененным фазам газораспределения и повышенной до 4,6 степени сжатия. Эта степень сжатия соответствовала тогда наиболее распространенному в СССР сорту автомобильного бензина с октановым числом 59-65. Двигатель ГАЗ-M с 1938 г. стал монтироваться и на модернизированных грузовиках ГАЗ-АА, получивших индекс ГАЗ-ММ. Завод обновил и коробку передач - ввел шестерни постоянного зацепления на второй ступени и скользящую зубчатую муфту включения второй и третьей передач. Толкающие усилия от заднего моста на раму у ГАЗ-М1 передавала не труба карданного вала, как у ГАЗ-А, а рессоры. Поэтому труба стала легче, получила скользящее телескопическое сочленение и воспринимала только реактивный момент заднего моста. Значительное увеличение жесткости рамы было достигнуто не только увеличением сечений лонжеронов и траверс, но и введением Х-образной поперечины. Более мягкие, чем у ГАЗ-А, рессоры сочетались с гидравлическими рычажными амортизаторами одностороннего действия. Изменения коснулись рулевого механизма (глобоидальный червяк и двойной ролик вместо червяка и двухзубого сектора на ГАЗ-А), а также тормозов. Кузов ГАЗ-М1 был более комфортным для водителя и пассажиров. Многое завод применил впервые: регулируемое по расстоянию от педалей сиденье водителя, бессквозняковая вентиляция с четырьмя поворотными форточками в боковых окнах, противосолнечные щитки, суконная обивка сидений, прикуриватель, пепельница. Добавим сюда запираемые изнутри три двери и правую дверь с индивидуальным наружным замком, ножной переключатель дальнего света фар, подфарники, электрический указатель уровня бензина. ГАЗ-MI имел следующие характеристики: количество мест - 5; двигатель: число цилиндров- 4; рабочий объем - 3285 см'*, мощность - 50 л. с. при 2800 об/мин; число передач - 3; размер шин - 7,00 - 16"; длина - 4625 мм, ширина - 1770 мм, высота - 1780 мм; база - 2845 мм. Масса в снаряженном состоянии - 1370 кг. Наибольшая скорость - 105 км/ч, разгон места до 80 км/ч - за 24 с. Средний эксплуатационный расход топлива - 14,5 л/100 км. С 1936 по 1943 г. изготовлено 62888 машин ГАЗ-М1. Конструкция ГАЗ-М1 разрабатывалась под руководством А. А. Липгарта инженерами Л. В. Косткиным, А. М. Кригером, Ю. Н. Сорочкиным и др. Первые два серийных образца ГАЗ-М1 17 марта 1936 г. были отправлены в Кремль. Там их осматривали И. В. Сталин, В. М. Молотов, К. Е. Ворошилов, Г. К. Орджоникидзе. Так установилась традиция, когда все новые модели автомобилей проходили высшую госприемку (12098).</w:t>
      </w:r>
    </w:p>
    <w:p w14:paraId="6C59A56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62BA94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мотоцикл-одиночку НАТИ-А-750 с заводским номером 2 передали в Политехнический музей столи</w:t>
      </w:r>
      <w:r w:rsidRPr="0044524F">
        <w:rPr>
          <w:rFonts w:ascii="Times New Roman" w:hAnsi="Times New Roman"/>
          <w:color w:val="000000" w:themeColor="text1"/>
          <w:sz w:val="16"/>
          <w:szCs w:val="16"/>
        </w:rPr>
        <w:softHyphen/>
        <w:t>цы [4.72] (11429).</w:t>
      </w:r>
    </w:p>
    <w:p w14:paraId="140AC81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755172" w14:textId="77777777" w:rsidR="00625DC6" w:rsidRPr="00142305" w:rsidRDefault="00625DC6" w:rsidP="00625DC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Осенью 1933 года Г.С.Бродский, работавший в конструкторском бюро Управления военных изобретений РККА, предложил очередной ва</w:t>
      </w:r>
      <w:r w:rsidRPr="00142305">
        <w:rPr>
          <w:rStyle w:val="aff"/>
          <w:rFonts w:ascii="Times New Roman" w:hAnsi="Times New Roman" w:cs="Times New Roman"/>
          <w:color w:val="0070C0"/>
          <w:spacing w:val="0"/>
          <w:sz w:val="16"/>
          <w:szCs w:val="16"/>
        </w:rPr>
        <w:softHyphen/>
        <w:t>риант - «железнодорожную торпеду для разру</w:t>
      </w:r>
      <w:r w:rsidRPr="00142305">
        <w:rPr>
          <w:rStyle w:val="aff"/>
          <w:rFonts w:ascii="Times New Roman" w:hAnsi="Times New Roman" w:cs="Times New Roman"/>
          <w:color w:val="0070C0"/>
          <w:spacing w:val="0"/>
          <w:sz w:val="16"/>
          <w:szCs w:val="16"/>
        </w:rPr>
        <w:softHyphen/>
        <w:t>шения бронепоездов» на базе четырехколесной двухколейной тележки. Длина и ширина конструк</w:t>
      </w:r>
      <w:r w:rsidRPr="00142305">
        <w:rPr>
          <w:rStyle w:val="aff"/>
          <w:rFonts w:ascii="Times New Roman" w:hAnsi="Times New Roman" w:cs="Times New Roman"/>
          <w:color w:val="0070C0"/>
          <w:spacing w:val="0"/>
          <w:sz w:val="16"/>
          <w:szCs w:val="16"/>
        </w:rPr>
        <w:softHyphen/>
        <w:t>ции составляли примерно 1,75 метра, а высо</w:t>
      </w:r>
      <w:r w:rsidRPr="00142305">
        <w:rPr>
          <w:rStyle w:val="aff"/>
          <w:rFonts w:ascii="Times New Roman" w:hAnsi="Times New Roman" w:cs="Times New Roman"/>
          <w:color w:val="0070C0"/>
          <w:spacing w:val="0"/>
          <w:sz w:val="16"/>
          <w:szCs w:val="16"/>
        </w:rPr>
        <w:softHyphen/>
        <w:t>та - чуть менее полуметра. Масса - около 200 кг, причем примерно более половины из них прихо</w:t>
      </w:r>
      <w:r w:rsidRPr="00142305">
        <w:rPr>
          <w:rStyle w:val="aff"/>
          <w:rFonts w:ascii="Times New Roman" w:hAnsi="Times New Roman" w:cs="Times New Roman"/>
          <w:color w:val="0070C0"/>
          <w:spacing w:val="0"/>
          <w:sz w:val="16"/>
          <w:szCs w:val="16"/>
        </w:rPr>
        <w:softHyphen/>
        <w:t>дилась на взрывчатку. Торпеда могла оснащаться контактным или дистанционным взрывателем, за</w:t>
      </w:r>
      <w:r w:rsidRPr="00142305">
        <w:rPr>
          <w:rStyle w:val="aff"/>
          <w:rFonts w:ascii="Times New Roman" w:hAnsi="Times New Roman" w:cs="Times New Roman"/>
          <w:color w:val="0070C0"/>
          <w:spacing w:val="0"/>
          <w:sz w:val="16"/>
          <w:szCs w:val="16"/>
        </w:rPr>
        <w:softHyphen/>
        <w:t>патентованными в 1931 году и уже проверенными на опытной «торпеде крупного калибра» (25695).</w:t>
      </w:r>
    </w:p>
    <w:p w14:paraId="47C28D55" w14:textId="77777777" w:rsidR="00625DC6" w:rsidRPr="00142305" w:rsidRDefault="00625DC6" w:rsidP="00625DC6">
      <w:pPr>
        <w:spacing w:after="0" w:line="240" w:lineRule="auto"/>
        <w:jc w:val="both"/>
        <w:rPr>
          <w:rFonts w:ascii="Times New Roman" w:hAnsi="Times New Roman"/>
          <w:color w:val="0070C0"/>
          <w:sz w:val="16"/>
          <w:szCs w:val="16"/>
        </w:rPr>
      </w:pPr>
    </w:p>
    <w:p w14:paraId="7CA9E68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1933г. в системе НКТП по инициативе А.Ф. Шорина пост. СНК создан ВГИТиС (ГС НИИ-10 НКОП, НКСП, МСП, ГКРЭ, МРП, п/я 2435, Всесоюзный государственный институт телемеханики и связи (ВГИТиС) НКТП, Всесоюзный НИИ радиоэлектронники (ВНИИРЭ) МСП, ВНИИ, НПО «Альтаир», А-1586, ГосНПО «Альтаир», ФГУП «НТК «Альтаир», ОАО «Морской НИИ радиоэлектроники (МНИИРЭ) «Альтаир» ФАП /111024 г. Москва ул. Авиамоторная, 57 тел. 673-14-32/) для разработки радиоэлектронного вооружения армии и флота. Строительство комплекса зданий началось в 1934г. в Дангауэровской слободе. Коллектив института формировался из сотрудников Остехбюро, ЦЛПС, ВЭИ и НРЛ. Приказом НКТП от 23.10.1933г. директором назначен Ф.Ф. Сучков. Положение об институте утверждено приказом НКТП от 2.07.1935г. В 12.1936г. институт передан в ведение НКОП и по пр. № Обсс от 30.12.1936г. переименован в НИИ-10, приказом № 262 от 31.07.1937г. утверждено Положение о ГС НИИ-10 5ГУ. По пр. № 108с от 25.03.1938г. передан в ведение нового 20ГУ, пр. № 328 от 29.08.1938г. утвержден новый Устав института. В 02.1939г. из 20ГУ передан в ведение НКСП.</w:t>
      </w:r>
    </w:p>
    <w:p w14:paraId="1CFDA54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Первоначально в составе института было три сектора: электрических процессов (разработка радиоаппаратуры для радиолиний управления объектами); электроакустики; телемеханики (разработка исполнительных механизмов для телеуправляемых объектов). На базе ЦЛПС был организован Ленинградский филиал (ЛФ) института - Тихвинские мастерские. В Москве построены три больших корпуса и вспомогательные постройки. Приказом № 020 от 3.02.1937г. предписано к 1.01.1938г. закончить строительство института; пр. НКМ/НКОП № 311сс/425сс от 3/14.11.1938г. - сдать лабораторный корпус к 1.12.1938г. Этим же приказом в институт из ВЭИ переданы со всей тематикой, кадрами и имуществом лаборатории № 1 (станция БТП-ВЭИ; изготовление: болометров, специндикаторов; радио-синхронная передача показаний углов при помощи кабельного телевидения) и № 2 (силовая синхронно-следящая передача: для Б-34, для стабилизированной платформы; разработка: электровысотомера координат самолета, электрогироскопа, электрофугального молота; ПУАЗО для малокалиберной артиллерии) на правах отдельных лабораторий. В конце 1930-х г. сектор электрических процессов преобразован в лабораторию № 3. В ее составе группы: высокочастотных устройств, передающих устройств, приемных устройств, специальных устройств, устройств электропитания аппаратуры; конструкторский сектор. К этому времени были созданы также лаборатории: электровакуумных и оптических устройств, химическая; опытное производство, сборочный цех № 2. Создан отдел технического обучения.</w:t>
      </w:r>
    </w:p>
    <w:p w14:paraId="49BA85B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1939г. ЛФ НИИ-10 объединен с Ленинградским филиалом НИИ-20 в Институт морской телемеханики и автоматики (НИИ-49).</w:t>
      </w:r>
    </w:p>
    <w:p w14:paraId="13A866B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Работы (1930-е г.): управляемые по проводам: пулемет ШКАС (Г.Г. Коннов), пулемет «Максим» (С.Д. Иваненко); система наведения планера-снаряда с самолета на корабль «Квант» (В.Д. Калмыков); радиолинии управления для танков и торпедных катеров: на дециметровых волнах «Альфа» (В.А. Кузовкин), на СВ «Штурвал» (К.А. Рождественский); радиолиния управления фугасными зарядами «Малютка» (А.Ф. Шорин); в ЛФ создана радиоаппаратура для МБР-2 для наведения торпедных </w:t>
      </w:r>
      <w:r w:rsidRPr="0044524F">
        <w:rPr>
          <w:rFonts w:ascii="Times New Roman" w:hAnsi="Times New Roman"/>
          <w:color w:val="000000" w:themeColor="text1"/>
          <w:sz w:val="16"/>
          <w:szCs w:val="16"/>
        </w:rPr>
        <w:lastRenderedPageBreak/>
        <w:t>катеров; система наведения торпедного катера по ИК-лучам «Луна» (1937г.), модернизированная- «Аргон»; создана «трубка Кубецкого»- каскадный усилитель электрических сигналов; управление для крылатой ракеты «217» конструкции РНИИ.</w:t>
      </w:r>
      <w:r w:rsidRPr="0044524F">
        <w:rPr>
          <w:rFonts w:ascii="Times New Roman" w:hAnsi="Times New Roman"/>
          <w:color w:val="000000" w:themeColor="text1"/>
          <w:sz w:val="16"/>
          <w:szCs w:val="16"/>
          <w:vertAlign w:val="superscript"/>
        </w:rPr>
        <w:t>57</w:t>
      </w:r>
      <w:r w:rsidRPr="0044524F">
        <w:rPr>
          <w:rFonts w:ascii="Times New Roman" w:hAnsi="Times New Roman"/>
          <w:color w:val="000000" w:themeColor="text1"/>
          <w:sz w:val="16"/>
          <w:szCs w:val="16"/>
        </w:rPr>
        <w:t xml:space="preserve"> В эти же годы были заложены основы радиолокации, теплопеленгации, гироскопии, электроакустики, управления стрельбой артиллерии. С 1940 г. начинают превалировать разработки для ВМФ. В 05.1940 г. образован отдел гл. конструктора (ОГК), а в его составе- ЦКБ. Лаборатории оснащаются новейшей зарубежной измерительной и испытательной аппаратурой.</w:t>
      </w:r>
    </w:p>
    <w:p w14:paraId="3E786A6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решения правительства № 62сс от 26.03.1937г. институту поручено (совместно с заводом № 21) выполнить к 1.09.1937г. взамен турельного авиаприбора с автоматическим открытием огня с помощью фотоспуска на самолете И-16 аналогичное устройство для неподвижной установки с оптическим прицелом ОП-1.</w:t>
      </w:r>
    </w:p>
    <w:p w14:paraId="2C96733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распоряжением СНК № 1720-рс от 19.06.1941 г. и приказом НКАП № 558с от 24.06.1941 г. институту переданы опытные работы и оборудование по морским гироскопическим приборам ликвидированного НИИ-22 НКАП.</w:t>
      </w:r>
    </w:p>
    <w:p w14:paraId="22CEEC9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09.1941 г. большая часть института (кадры и оборудование) эвакуирована в пос. Бекетовка под Сталинградом. Уполномоченным по эвакуации назначен А.С. Андреев. 16.10.1941 г. принято решение о эвакуации оставшейся части института в Свердловск, где он был размещен в здании Политехнического института. Начальником Свердловского отделения назначен Н.В. Рогачевский. В Москве продолжал действовать филиал: велось изготовление аппаратуры для фронта; работы по созданию аппаратуры по обнаружению самолетов с земли (К.В. Байдун). В 12.1941 г. в Свердловске в состав НИИ-10 влилась часть эвакуированного НИИ-49, и образован Свердловский филиал НИИ-10. В начале 1941 г. в Москву возвращается часть института из Сталинграда, а в 08.1941 г.- из Свердловска. К концу 1943г. институт полностью восстановил свою деятельность. В 07.1941 г. группа специалистов НИИ-10 по гироскопической тематике переведена в СКБ НКСП. В 10.1941 г. часть сотрудников НИИ-49 из Ленинграда переведена в Москву в распоряжение НИИ-10.</w:t>
      </w:r>
    </w:p>
    <w:p w14:paraId="7757D82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1941 г. началась разработка первой морской РЛС для управления стрельбой зенитных орудий крейсеров- «Юпитер-1». 3.03.1943г. вышло распоряжение ГКО № 2960 об изготовлении в институте РЛ аппаратуры для кораблей ВМФ. 13.02.1944г. - постановление ГКО № 5167 о проектировании и изготовлении в институте опытных РЛС и приборов точной наводки артиллерии для кораблей ВМФ. 8.05.1945г. вышло постановление ГКО № 8454 о проектировании и изготовлении опытных образцов радиолокатора «Юпитер-</w:t>
      </w:r>
      <w:r w:rsidRPr="0044524F">
        <w:rPr>
          <w:rFonts w:ascii="Times New Roman" w:hAnsi="Times New Roman"/>
          <w:color w:val="000000" w:themeColor="text1"/>
          <w:sz w:val="16"/>
          <w:szCs w:val="16"/>
          <w:lang w:val="en-US"/>
        </w:rPr>
        <w:t>Ill</w:t>
      </w:r>
      <w:r w:rsidRPr="0044524F">
        <w:rPr>
          <w:rFonts w:ascii="Times New Roman" w:hAnsi="Times New Roman"/>
          <w:color w:val="000000" w:themeColor="text1"/>
          <w:sz w:val="16"/>
          <w:szCs w:val="16"/>
        </w:rPr>
        <w:t>» и электрического ПУАЗО.</w:t>
      </w:r>
    </w:p>
    <w:p w14:paraId="000CA5A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войны, наряду с разработкой РЛС для ВМФ, велась разработка измерительной и контрольной аппаратуры; создан отдел гироскопических приборов УР. Работы по гироприборам, как для морской техники, так и для ракетной (гл. конструктор- В.И. Кузнецов, до этого работавший в МНИИ-1).</w:t>
      </w:r>
    </w:p>
    <w:p w14:paraId="003B4B1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9.08.1946г. ВМФ выдало задание на разработку' корабельной РЛС «Риф». В соответствии с пост, правительства от 10.07.1946г. создана РЛС «Зарница», в соответствии с пост, правительства от 17.07.1947г. станция была полностью переделана (А.К. Балаян). В соответствии с этими же постановлениями начата разработка боевого информационного поста (БИЛ) «Звено» для надводных кораблей. В 1948-50 г. выполнена (совместно с НИМРИ) НИР «Знамя» по устранению недостатков БИП «Звено», в результате которой в 1953г. создан новый БИП «Цепь». В соответствии с ПСМ № 547-242сс от 27.03.1954г. БИП «Планшет» пнв.</w:t>
      </w:r>
    </w:p>
    <w:p w14:paraId="7DBC61E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1940-х г. проведены НИР «Гавань» и «Нарцисс» по исследованию автоматического сопровождения воздушных целей. Создана первая отечественная РЛС с автоматическим сопровождением воздушных и надводных целей «Якорь» (1950 г.). В 1948г.- НИР «Ют» по определению принципов построения комплексной СУ стрельбой малокалиберной зенитной артиллерии (МЗА) (А.А. Папернов).</w:t>
      </w:r>
    </w:p>
    <w:p w14:paraId="3F0503C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1950-х г. построены два новых больших корпуса. В 1957г. началось оснащение института ЭВМ, создан вычислительный центр. Имелись лаборатории: вакуумная, климатических и механических испытаний.</w:t>
      </w:r>
    </w:p>
    <w:p w14:paraId="3E6DB4F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проведения испытаний аппаратуры на Московском море у пристани Большая Волга создается научно- испытательная база (НИБ) «Большая Волга». В 1956г. построен лабораторный корпус, а в 1958г. строительство НИБ было завершено. Оборудовано лабораторно-экспедиционное судно «Торпедо». Были также организованы производственные и научно-испытательные базы в Севастополе, Феодосии, Североморске. В 1958г. организован филиал института в Таганроге (с 1961 г. - самостоятельный НИИ-406).</w:t>
      </w:r>
    </w:p>
    <w:p w14:paraId="11C3536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Построен корпус института в Таганроге; 22.04.1961 г. вышло распоряжение правительства № 1093-рс о завершении строительства корпуса в 1961 г.</w:t>
      </w:r>
    </w:p>
    <w:p w14:paraId="0D624AD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1950-60-е г. с помощью ведущих специалистов НИИ-10 созданы: Московский НИИ прикладной механики, КБ завода «Топаз», КБ завода «Салют», ЦНИИ «Курс». В 1955г. на базе СКБ создан НИИГС.</w:t>
      </w:r>
    </w:p>
    <w:p w14:paraId="0EDDE01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1950 г. выполнена НИР «Анализ» по созданию средств обнаружения, пеленгования и определения параметров РЛС противника (А.И. Бобров). В результате в 1954г. создана корабельная станция поиска и радиоразведки «Мачта». В 1956-58г. проведена НИР «Хорда» по новым принципам построения станций радиоразведки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 Фридман, И.В. Мальский). В результате в 1961 г. создана новая станция «Залив».</w:t>
      </w:r>
    </w:p>
    <w:p w14:paraId="70EA9ED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1950 г. выполена НИР «Фаза» по радиопротиводействию (А.В. Кожухов). В результате в 1952-54г. созданы станции помех «Коралл-11» и «Коралл-14». В 1955г.- НИР «Дракон» по методам создания заградительных шумовых помех (В.А. Егоров), в результате создана станция прицельно-заградительных помех «Взрью». В 1956г.- НИР «Прибой» по разработке методов создания импульсных ответных помех (В.А. Егоров). В 1958-59г. выполнена НИР «Воронеж» по разработке средств радиопротиводействия УР (В.А. Егоров). В 1960 г. выполнен аванпроект «Зарево». В 1960 г. тематика радиоразведки и радиопротиводействия передана во вновь созданный Таганрогский НИИ связи.</w:t>
      </w:r>
    </w:p>
    <w:p w14:paraId="73DD22D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1951 г. разработана первая аппаратура коллективной защиты </w:t>
      </w:r>
      <w:r w:rsidRPr="0044524F">
        <w:rPr>
          <w:rFonts w:ascii="Times New Roman" w:hAnsi="Times New Roman"/>
          <w:color w:val="000000" w:themeColor="text1"/>
          <w:sz w:val="16"/>
          <w:szCs w:val="16"/>
          <w:lang w:val="en-US"/>
        </w:rPr>
        <w:t>PJIC</w:t>
      </w:r>
      <w:r w:rsidRPr="0044524F">
        <w:rPr>
          <w:rFonts w:ascii="Times New Roman" w:hAnsi="Times New Roman"/>
          <w:color w:val="000000" w:themeColor="text1"/>
          <w:sz w:val="16"/>
          <w:szCs w:val="16"/>
        </w:rPr>
        <w:t xml:space="preserve"> корабля от взаимных импульсных помех «Звезда». В 1961-66г. выполнена НИР по электромагнитной совместимости (ЭМС) «Итог». В 1971 г. вышло постановление СМ СССР № 90-43, направленное на комплексное решение проблемы ЭМС. В 1974-78г. проведена НИР «Совместимость» по обеспечению ЭМС ТАКР «Киев». В 1975г. начата разработка корабельного комплекса защиты РЭС от непреднамеренных помех «Подзаголовок», в 1986г.- «Подзаголовок-2». В 1992-96г. выполнены НИР «Парус», «Пандус» по формированию облика аппаратуры обеспечения ЭМС 3-го поколения.</w:t>
      </w:r>
    </w:p>
    <w:p w14:paraId="058F099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начале 1950-х г. была создана лаборатория № 24 для доводки бортовой аппаратуры управления КР «Комета» разработки КБ-1 </w:t>
      </w:r>
      <w:r w:rsidRPr="0044524F">
        <w:rPr>
          <w:rFonts w:ascii="Times New Roman" w:hAnsi="Times New Roman"/>
          <w:color w:val="000000" w:themeColor="text1"/>
          <w:sz w:val="16"/>
          <w:szCs w:val="16"/>
          <w:lang w:val="en-US"/>
        </w:rPr>
        <w:t>MB</w:t>
      </w:r>
      <w:r w:rsidRPr="0044524F">
        <w:rPr>
          <w:rFonts w:ascii="Times New Roman" w:hAnsi="Times New Roman"/>
          <w:color w:val="000000" w:themeColor="text1"/>
          <w:sz w:val="16"/>
          <w:szCs w:val="16"/>
        </w:rPr>
        <w:t>. В 11.1951 г. аппаратура прошла госиспытания и запущена в серию. Затем разработана СУ «Колчан» для КСС, в 1956г. работы по ней прекращены. В 08.1956г. начата разработка СУ для ПКР комплекса П-6.</w:t>
      </w:r>
    </w:p>
    <w:p w14:paraId="5B6FE48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соответствии с пост. СМ СССР от 3.10.1951 г. начата разработка усовершенствованной береговой </w:t>
      </w:r>
      <w:r w:rsidRPr="0044524F">
        <w:rPr>
          <w:rFonts w:ascii="Times New Roman" w:hAnsi="Times New Roman"/>
          <w:color w:val="000000" w:themeColor="text1"/>
          <w:sz w:val="16"/>
          <w:szCs w:val="16"/>
          <w:lang w:val="en-US"/>
        </w:rPr>
        <w:t>PJIC</w:t>
      </w:r>
      <w:r w:rsidRPr="0044524F">
        <w:rPr>
          <w:rFonts w:ascii="Times New Roman" w:hAnsi="Times New Roman"/>
          <w:color w:val="000000" w:themeColor="text1"/>
          <w:sz w:val="16"/>
          <w:szCs w:val="16"/>
        </w:rPr>
        <w:t xml:space="preserve"> управления стрельбой «Редан-ЗА» и СУ стрельбой зенитной артиллерии среднего калибра «Парус» в составе станции обнаружения «Парус-Н» и управления артиллерией «Парус-Б»; пост, правительства № 721-346 от 26.06.1957г. </w:t>
      </w:r>
      <w:r w:rsidRPr="0044524F">
        <w:rPr>
          <w:rFonts w:ascii="Times New Roman" w:hAnsi="Times New Roman"/>
          <w:color w:val="000000" w:themeColor="text1"/>
          <w:sz w:val="16"/>
          <w:szCs w:val="16"/>
          <w:lang w:val="en-US"/>
        </w:rPr>
        <w:t>MP</w:t>
      </w:r>
      <w:r w:rsidRPr="0044524F">
        <w:rPr>
          <w:rFonts w:ascii="Times New Roman" w:hAnsi="Times New Roman"/>
          <w:color w:val="000000" w:themeColor="text1"/>
          <w:sz w:val="16"/>
          <w:szCs w:val="16"/>
        </w:rPr>
        <w:t>-100 «Парус» пнв.</w:t>
      </w:r>
    </w:p>
    <w:p w14:paraId="6EA021B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1954г. начались работы по созданию РЛГСН для ракет. В 1955-56г. проведена НИР «Вектор» по корабельной СУ КР с принципом «визирования через снаряд» (К.А. Петров) с командной радиолинией управления (КРУ). В 1956г. институту поручена разработка СУ КР П-35 «Бином-Блок» и ее береговые варианты «Скала-Блок» (мобильный), «Утес-Блок» (стационарный). В 1963г. начата разработка СУ для ККР П-120. С начала 1970-х г. - разработка СУ для КР «Прогресс» и «Москит». В 1970-е г. создана ИК ГСН для противоспутниковой системы ИС-М, в 1978г. работы по ней прекращены.</w:t>
      </w:r>
    </w:p>
    <w:p w14:paraId="1039FBD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1957г. выполнена НИР «Дозор» по созданию </w:t>
      </w:r>
      <w:r w:rsidRPr="0044524F">
        <w:rPr>
          <w:rFonts w:ascii="Times New Roman" w:hAnsi="Times New Roman"/>
          <w:color w:val="000000" w:themeColor="text1"/>
          <w:sz w:val="16"/>
          <w:szCs w:val="16"/>
          <w:lang w:val="en-US"/>
        </w:rPr>
        <w:t>PJI</w:t>
      </w:r>
      <w:r w:rsidRPr="0044524F">
        <w:rPr>
          <w:rFonts w:ascii="Times New Roman" w:hAnsi="Times New Roman"/>
          <w:color w:val="000000" w:themeColor="text1"/>
          <w:sz w:val="16"/>
          <w:szCs w:val="16"/>
        </w:rPr>
        <w:t xml:space="preserve"> высотомера для обнаружения воздушных целей, в результате в 1958г. создана </w:t>
      </w:r>
      <w:r w:rsidRPr="0044524F">
        <w:rPr>
          <w:rFonts w:ascii="Times New Roman" w:hAnsi="Times New Roman"/>
          <w:color w:val="000000" w:themeColor="text1"/>
          <w:sz w:val="16"/>
          <w:szCs w:val="16"/>
          <w:lang w:val="en-US"/>
        </w:rPr>
        <w:t>PJIC</w:t>
      </w:r>
      <w:r w:rsidRPr="0044524F">
        <w:rPr>
          <w:rFonts w:ascii="Times New Roman" w:hAnsi="Times New Roman"/>
          <w:color w:val="000000" w:themeColor="text1"/>
          <w:sz w:val="16"/>
          <w:szCs w:val="16"/>
        </w:rPr>
        <w:t xml:space="preserve"> «Разлив». Затем работы по </w:t>
      </w:r>
      <w:r w:rsidRPr="0044524F">
        <w:rPr>
          <w:rFonts w:ascii="Times New Roman" w:hAnsi="Times New Roman"/>
          <w:color w:val="000000" w:themeColor="text1"/>
          <w:sz w:val="16"/>
          <w:szCs w:val="16"/>
          <w:lang w:val="en-US"/>
        </w:rPr>
        <w:t>PJIC</w:t>
      </w:r>
      <w:r w:rsidRPr="0044524F">
        <w:rPr>
          <w:rFonts w:ascii="Times New Roman" w:hAnsi="Times New Roman"/>
          <w:color w:val="000000" w:themeColor="text1"/>
          <w:sz w:val="16"/>
          <w:szCs w:val="16"/>
        </w:rPr>
        <w:t xml:space="preserve"> обнаружения воздушных целей переданы в КБ завода № 703.</w:t>
      </w:r>
    </w:p>
    <w:p w14:paraId="1B7F2DE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1955-57г. начаты работы в направлении автоматической обработки </w:t>
      </w:r>
      <w:r w:rsidRPr="0044524F">
        <w:rPr>
          <w:rFonts w:ascii="Times New Roman" w:hAnsi="Times New Roman"/>
          <w:color w:val="000000" w:themeColor="text1"/>
          <w:sz w:val="16"/>
          <w:szCs w:val="16"/>
          <w:lang w:val="en-US"/>
        </w:rPr>
        <w:t>PJI</w:t>
      </w:r>
      <w:r w:rsidRPr="0044524F">
        <w:rPr>
          <w:rFonts w:ascii="Times New Roman" w:hAnsi="Times New Roman"/>
          <w:color w:val="000000" w:themeColor="text1"/>
          <w:sz w:val="16"/>
          <w:szCs w:val="16"/>
        </w:rPr>
        <w:t xml:space="preserve"> информации на базе компьютерной технологии. В 1958г. группа аналоговых счетно-решающих приборов (СРП) лаборатории № 24 выделилась в отдельную лабораторию № 30. В 1961 г. начата ОКР по созданию первой отечественной системы автоматической обработки РЛ информации «Ангара-А», в 1968г. она запущена в серию как МРО-ЗЮА. В 1965г. начата разработка системы «Байкал-С4» (Б.М. Гусев). Затем эта тематика передана в КБ завода «Салют».</w:t>
      </w:r>
    </w:p>
    <w:p w14:paraId="7911366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Тематика по системам управления корабельной артиллерией была передана в КБ «Аметист»; по координации формирования состава РЭВ кораблей- в ЦНИИ «Курс».</w:t>
      </w:r>
    </w:p>
    <w:p w14:paraId="246224A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1950-х г. по заданию ВМФ институту поручено создание первого отечественного корабельного ЗРК «Волна». В соответствии с пост, правительства в 1961 г. начата разработка ЗРК «Шторм», для этого создана комплексная лаборатория (Г.Н. Волгин). В 1969г. по решению правительства начата разработка ЗРК С-300Ф, в котором впервые в институте применены ФАР. Для него создан комплексный имитационно-моделирующий стенд. В 1975г. по постановлению производства начата разработка ЗРК «Клинок».</w:t>
      </w:r>
    </w:p>
    <w:p w14:paraId="6424FCE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1960 г.- НИР «Весна» по разработке экспериментальных запоминающих устройств, в 1961 г. начата разработка первой специализированной ЦВМ.</w:t>
      </w:r>
    </w:p>
    <w:p w14:paraId="7A06E26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1968г. выполнена НИР «Квант» по оценке возможностей создания импульсно-доплеровских </w:t>
      </w:r>
      <w:r w:rsidRPr="0044524F">
        <w:rPr>
          <w:rFonts w:ascii="Times New Roman" w:hAnsi="Times New Roman"/>
          <w:color w:val="000000" w:themeColor="text1"/>
          <w:sz w:val="16"/>
          <w:szCs w:val="16"/>
          <w:lang w:val="en-US"/>
        </w:rPr>
        <w:t>PJIC</w:t>
      </w:r>
      <w:r w:rsidRPr="0044524F">
        <w:rPr>
          <w:rFonts w:ascii="Times New Roman" w:hAnsi="Times New Roman"/>
          <w:color w:val="000000" w:themeColor="text1"/>
          <w:sz w:val="16"/>
          <w:szCs w:val="16"/>
        </w:rPr>
        <w:t xml:space="preserve"> (В.А. Букатов). В 1970-е г.- НИР «Сириус» по сокращению длительности зондирующих сигналов (Г.А. Пасюков).</w:t>
      </w:r>
    </w:p>
    <w:p w14:paraId="7528D4B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Выполнены также НИР: «Сокол», «Квант», «Баклан», «Агат», «Стриж».</w:t>
      </w:r>
    </w:p>
    <w:p w14:paraId="3A74A8E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Созданы првые в стране приемники лучистой энергии на основе селенида свинца (А.С. Егоров-Кузьмин). Создана первая отечественная компьютерная система обработки </w:t>
      </w:r>
      <w:r w:rsidRPr="0044524F">
        <w:rPr>
          <w:rFonts w:ascii="Times New Roman" w:hAnsi="Times New Roman"/>
          <w:color w:val="000000" w:themeColor="text1"/>
          <w:sz w:val="16"/>
          <w:szCs w:val="16"/>
          <w:lang w:val="en-US"/>
        </w:rPr>
        <w:t>PJI</w:t>
      </w:r>
      <w:r w:rsidRPr="0044524F">
        <w:rPr>
          <w:rFonts w:ascii="Times New Roman" w:hAnsi="Times New Roman"/>
          <w:color w:val="000000" w:themeColor="text1"/>
          <w:sz w:val="16"/>
          <w:szCs w:val="16"/>
        </w:rPr>
        <w:t xml:space="preserve"> информации «Байкал».</w:t>
      </w:r>
    </w:p>
    <w:p w14:paraId="2881541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Созданы научные школы: по теплопеленгации (Н.Д. Смирнов совместно с В.А. Грановским и К.С. Вульфсоном), по ИК технике; по методам машинного проектирования аппаратуры, компьютеризированной обработки документации (В.А. Букатов).</w:t>
      </w:r>
    </w:p>
    <w:p w14:paraId="048458A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Институт имел наименования: «п/я 2435», А-1586. В 1958г. передан в ведение ГКРЭ, затем- в МРП. В 1967г. НИИ-10 вновь передан из МРП в МСП и переименован во ВНИИРЭ, а в 1973г.- во ВНИИ «Альтаир».</w:t>
      </w:r>
    </w:p>
    <w:p w14:paraId="6449545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После войны в институте существовал отдел с опытным цехом, где разрабатывались электроприборы: потенциометры, трансформаторы, кнопки, моторы, источники питания, тестеры. В 1955г. образована лаборатория электропитания. В 09.1966г. она преобразована в отдел с тремя лабораториями, в т.ч. высоковольтных источников. В середине 1950-х г. создан новый комплексный отдел № 2, имелся отдел бортовой аппаратуры №51. Для изготовления аппаратуры «Блок» был создан </w:t>
      </w:r>
      <w:r w:rsidRPr="0044524F">
        <w:rPr>
          <w:rFonts w:ascii="Times New Roman" w:hAnsi="Times New Roman"/>
          <w:color w:val="000000" w:themeColor="text1"/>
          <w:sz w:val="16"/>
          <w:szCs w:val="16"/>
        </w:rPr>
        <w:lastRenderedPageBreak/>
        <w:t xml:space="preserve">механосборочный цех № 10 с монтажным участком и комплексный стенд (руководитель- А.В. Ковалев). Была также дооборудована лаборатория климатических и механических испытаний. Для разработки аппаратуры СУ П-120 в 1960-е г. созданы две новые лаборатории по разработке бортовой и корабельной СУ. Для разработки автопилота АПЛИ-5 для П-120 в отделе № 7 создана лаборатория в составе групп: автопилота, гироприборов, усилителей приводов, электроэлементов, радиовысотомера. Для отработки комбинированной активно-пассивной </w:t>
      </w:r>
      <w:r w:rsidRPr="0044524F">
        <w:rPr>
          <w:rFonts w:ascii="Times New Roman" w:hAnsi="Times New Roman"/>
          <w:color w:val="000000" w:themeColor="text1"/>
          <w:sz w:val="16"/>
          <w:szCs w:val="16"/>
          <w:lang w:val="en-US"/>
        </w:rPr>
        <w:t>PJITCH</w:t>
      </w:r>
      <w:r w:rsidRPr="0044524F">
        <w:rPr>
          <w:rFonts w:ascii="Times New Roman" w:hAnsi="Times New Roman"/>
          <w:color w:val="000000" w:themeColor="text1"/>
          <w:sz w:val="16"/>
          <w:szCs w:val="16"/>
        </w:rPr>
        <w:t xml:space="preserve"> для КР «Москит» создан комплекс полунатурного моделирования. Создан отдел № 4 для разработки сложных передатчиков, в его составе- лаборатория устройств опорных и гетеродинных сигналов. В 1968г. создан отдел № 15 по разработке ЦВМ, аналоговых счетно-решающих устройств. В его состав вошли лаборатории: вычислительных машин; счетно- решающих приборов; регистрирующих устройств; и вновь созданные- запоминающих устройств и математического обеспечения.</w:t>
      </w:r>
    </w:p>
    <w:p w14:paraId="6C35290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Было создано мощное ОП, оснащенное станками с ЧПУ, с цехом по производству многослойных печатных плат. Кроме того, в ведущих отделах имелись экспериментальные цеха и участки. Создан отдел микроминиатюризации. Разработана и внедрена технология изготовления приемников ИК-излучения. Были построены новые корпуса: 6-этажный лаборторно-складской; корпус для сборки антенных постов, где был установлен уникальный трехстепенной моделирующий стенд для отработки ГСН ракет, а также комплексный имитационно-моделирующий стенд. Построена безэховая камера для измерения параметров антенн. Начато строительство научно-испытательных баз: «Ай-Петри»- на Черном море (г. Феодосия) и Североморской испытательной базы «Скала» (г. Североморск) на Баренцевом море. На базах в Феодосии и «Большой Волге» построены механические цеха и стенды.</w:t>
      </w:r>
    </w:p>
    <w:p w14:paraId="4E73DDD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1989г. на базе ВНИИ «Альтаир» создано Государственное НПО «Альтаир», в которое также вошли НИБ «Большая Волга», «Ай-Перти», «Скала» и опытный завод «Фобос» (г. Москва). В 2001 г. НПО преобразовано в ФГУП «НПО «Альтаир», а в 2003(2)г.- в ОАО «МНИИРЭ «Альтаир». Входит в концерн «Алмаз-Антей» (2003- 06г.). По Указу Президента РФ № 1009 от 4.08.2004г. вошло в число стратегических оборонных предприятий.</w:t>
      </w:r>
    </w:p>
    <w:p w14:paraId="4E11608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1997г. - работы по созданию автоматизированных рабочих мест (АРМ) операторов корабельных систем.</w:t>
      </w:r>
    </w:p>
    <w:p w14:paraId="0BB137C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(2005г.): ЗРК ближней зоны обороны, а также обороны малых кораблей «Гибка» с ракетами «Игла».</w:t>
      </w:r>
      <w:r w:rsidRPr="0044524F">
        <w:rPr>
          <w:rFonts w:ascii="Times New Roman" w:hAnsi="Times New Roman"/>
          <w:color w:val="000000" w:themeColor="text1"/>
          <w:sz w:val="16"/>
          <w:szCs w:val="16"/>
          <w:vertAlign w:val="superscript"/>
        </w:rPr>
        <w:t>35</w:t>
      </w:r>
    </w:p>
    <w:p w14:paraId="28B6404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(23.10.1933-36г.)- Ф.Ф. Сучков, (1936-38г.)- А.Ф. Шорин, (1938-41 г.)- А.А. Осмер, (1942-49г.)- В.Д. Калмыков, (1949-51 г.)- Б.Н. Савельев, (1953-76г.)- М.П. Петелин, (1976-78г.)- В.А. Букатов, (1978-86г.)- Л.Б. Масленников, (1986-89г.)- В.Ф. Измайлов. Гендиректор (1989-91 г.)- В.Ф. Измайлов, (1991-2006г.)- С.А. Климов, (07.2006-07г.-)- В.Н. Гусев.</w:t>
      </w:r>
    </w:p>
    <w:p w14:paraId="72CD0CA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1-й зам. директора, гендиректора: (14.07.1938г.-)- М.М. Гусев; по научной работе (-1991 г.)- С.А. Климов, Н.С. Щербаков, по научной работе, конверсии и ВЭД- С.М. Соколов; по конверсии- Н.С. Щербаков; (-2006г.)- В.Н. Гусев, В.И. Харитонов,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xml:space="preserve">. Бобрышев,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H</w:t>
      </w:r>
      <w:r w:rsidRPr="0044524F">
        <w:rPr>
          <w:rFonts w:ascii="Times New Roman" w:hAnsi="Times New Roman"/>
          <w:color w:val="000000" w:themeColor="text1"/>
          <w:sz w:val="16"/>
          <w:szCs w:val="16"/>
        </w:rPr>
        <w:t xml:space="preserve">. Шинкарев. Зам. директора: по научной части- Ю.А. Шаровский, по научной работе (1960 г.-)- А.А. Гапеев, (-1976г.)- В.А. Букатов, Е.М. Гогичайшвили, С.А. Климов, (-1986г.)- В.Ф. Измайлов, (1987-88г.)-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A</w:t>
      </w:r>
      <w:r w:rsidRPr="0044524F">
        <w:rPr>
          <w:rFonts w:ascii="Times New Roman" w:hAnsi="Times New Roman"/>
          <w:color w:val="000000" w:themeColor="text1"/>
          <w:sz w:val="16"/>
          <w:szCs w:val="16"/>
        </w:rPr>
        <w:t xml:space="preserve">. Родионов, Д.Я. Ковалевский, Л.Б. Масленников, по НИР (-1995г.)- Б.М. Палладии; по производству (1943-44г.)- Н.А. Чарин, Е.М. Гогичайшвили; по опытному производству (-1976г.)- В.П. Олеванов; по испытаниям (1980-е-91 г.)- А.А. Исраелов, В.Т. Ященко; по общим вопросам- В.Н. Гусев; по кадрм- Г.П. Шадрин; С.Н. Беляев, В.Г. Ильюшин, А.С. Манасаров, В.Д. Пономарев, Г.Ф. Черкасов, И.П. Федечкин. Зам. гендиректора: по научной работе (07.2006-07г.-)- С.А. Климов; по производству (2007г.)- В.И. Харитонов; по общим вопросам- В.Н. Гусев; по ВЭД (2000-05г.)- О.П. Ефимов, (2007г.)- С.М. Соколов; по кадрам и социально- бытовым вопросам- Г.П. Шадрин, по управлению персоналом (2007г.)- Г.П. Шадрин; (-1991 г.)-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Бобрышев.</w:t>
      </w:r>
    </w:p>
    <w:p w14:paraId="3F6C591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финансовый (-2006г.)- В.Н. Гусев.</w:t>
      </w:r>
    </w:p>
    <w:p w14:paraId="3AA26DC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(1940 г.-)- В.Д. Калмыков, (1943г.-)- Ю.А. Шаровский, И.А. Игнатьев, (1969г.)- В.А. Букатов, (1970-е)- Г.Н. Волгин, (1980-е)- С.А. Фадеев. Ген. конструктор (1986г.-)- Л.Б. Масленников, (1992-2007г.-)- С.А. Климов. Ген. конструктор направления: корабельных ЗРК и систем (2004-07г.-)- С.А. Климов; Л.Б. Масленников.</w:t>
      </w:r>
    </w:p>
    <w:p w14:paraId="045AE58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зам. гл., Ген. конструктора- В.В. Быстровзоров, (2004г.)- С.М. Соколов. Зам. гл. конструктора (1970-е)- М.М. Жаров, (-1968г.)- Ю.А. Шаровский. Зам. ген. конструктора (2006г.)- С.М. Соколов, В.В. Быстровзоров.</w:t>
      </w:r>
    </w:p>
    <w:p w14:paraId="2E25462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Гл. инженер (14.07.1938г.-&gt; М.М. Гусев, (1938г.-)- А.И. Бобров, (1941-41 г.)- В.Д. Калмыков, (1941 г.-)- А.И. Мирвис, Ю.А. Шаровский, (-1953г.)- Ф.В. Лукин, (1950-е)- В.А. Кузовкин, (1960 г.-)- А.А. Гапеев, (-1976г.)- В.А. Букатов, С.А. Климов, Л.Н. Шинкарев, (-1986г.)- В.Ф. Измайлов, Б.М. Палладии, (-1991 г.)-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xml:space="preserve">. Бобрышев, В.И. Харитонов, С.М. Соколов, (2004г.-)-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Клементьев.</w:t>
      </w:r>
    </w:p>
    <w:p w14:paraId="6700867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Зам. гл. инженера (1952-56г.-&gt; Б.П. Капелин,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xml:space="preserve">. Бобрышев, В.А. Кузовкин, В.В. Быстровзоров, Е.М. Гогичайшвили, (-1978г.)- Л.Б. Масленников, (1969-79г.)- Б.С. Сыромятников, С.А. Климов, (1980-е)- Л.Н. Шинкарев, Е.Г. Демин, (-1999г.)- Б.М. Гусев, (2000-е)-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Клементьев.</w:t>
      </w:r>
    </w:p>
    <w:p w14:paraId="1A33E76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Гл. технолог (-1986г.)- В.И. Соловьев, В.И. Харитонов. Гл. энергетик-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Бобрышев.</w:t>
      </w:r>
    </w:p>
    <w:p w14:paraId="54409E7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Ленинградского филиала (-17.05.1937г.)- А.С. Порфирьев, (17.05.1937г.-)- М.П. Курочкин, (-2.12.1938г.)- И.М. Тарновский, (2.12.1938г.-)- К.В. Грудницкий; Свердловского филиала (1941 г.)- В.Д. Калмыков; Таганрогского филиала (1958-61 г.)- В.Н. Бровиков; опытного завода- Г.Ф. Черкасов; комплексов: НТК- Л.Б. Масленников; конструкторско-технологического (-1998г.)- Е.М. Гогичайшвили; экономического- С.М. Соколов. Помощник директора по найму и увольнению Ленинградского филиала (14.08.1938г.-)- Я.В. Фитиалов. Начальники управлений: НИУ (2007г.)- А.В. Борзунов, (2007г.)- М.И. Кризенталь; (2007г.)- Д.С. Климов, (2000- е)- А.В. Листратов.</w:t>
      </w:r>
    </w:p>
    <w:p w14:paraId="4E0C7C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зам. директора комплекса: научно-исследовательского (-1994г.)- С.А. Фадеев. Зам. директора НТК по научной работе- А.П. Ежов, Е.А. Титов. Гл. инженер комплекса (-1994г.)- С.А. Фадеев.</w:t>
      </w:r>
    </w:p>
    <w:p w14:paraId="5004734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Гл. конструкторы: (-1943-49г.-)- В.Б. Кнунянц («Окунь», «Координатор»), Б.Н. Савельев («Сом», «Координатор»), (-1945-48г.-)- Ф.В. Лукин («Марс-2», «Юпитер-2», «Фут»), (-1946-50 г.-)- В.А. Кузовкин («Марс- 3», «Редан-3»), (-1946-51 г.)- В.М. Ястребилов («Сириус», «Штаг-Б», БИМС), (1946г.)- В.И. Кузнецов (гироприборы), (-1947-53г.-)- М.С. Орышак («Звено», «Цепь»), (1948г.)- Г.А. Астахов («Фут»), (-1947-56г.-)- А.К. Балаян («Зарница», «Парус-Н»), (1940-е)- С. Дикий («Линь»), (-1945-51 г.-)- А.С. Гринштейн («Редан-1, -2», «Якорь»), И.Т. Соколов (измерительные приборы), (-1951-58г.-)- Ф.Н. Малахов («Редан-ЗА», «Разлив»,, командная радиолиния), (1951 г.)- А.И. Кузнецов («Звезда»), (1950-52г,-)- И.И. Бакулов («Залп»), (-1948-61 г.-)- И.А. Игнатьев («Риф», «Риф-А», «Волна»), (-1954-61 г.-)- А.И. Бурмистров («Мачта», «Гафель», «Залив»), (-1954- 57г.-)- А.В. Кожухов («Коралл», «Краб», «Взрыв»), (1956г.)- Б.И. Станиславский («Парус-Б»), (1956г.)- Е.В. Ковалев («Бизань»), (1956г.)- К.А. Петров («Бином-Блок»), (1956г.)- А.С. Полянский («Бином»), (-1956-63г.-)- Л.Е. Хазанов (СУ для «Комета», «Блок»), (1956г.)- А.И. Беляков (автопилоты), (1958г.)- С.Н. Литков («Ангара»), (1950-е)-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xml:space="preserve">. Острецов («Залп-Б»), (1950-е)- П.А. Ануфриев (Лоза»), (1950-е)- В.И. Ярошенко («Юпитер-1», «Тайфун»), (-1961-61 г.-)- М.В. Яцковский (СУ П-6), (-1961-61 г.-&gt; Н.А. Чарин (СУ П-6), (-1961-61 г.-)- И.Ю. Кривцов (бортаппаратура СУ П-6), (-1961-61 г.-)- В.Н. Яковлев (корабельная аппаратура СУ П-6, П-500), (-1961- 61 г.-)- В.П. Лапин (КПА СУ П-6), (-1961-66г.)- Я.Г. Генин («Ангара-А»), А.И. Денисов (РЛС для КР «Щука»), (-1962-63г.-)- А.С. Миронов («Бином-Блок»), (1963г.)- В.Е. Краснов (СУ П-120), (-1947-63г.-)- И.А. Скородумов («Вахта», «Колчан», «Двина», РЛГСН П-120), (-1963-71 г.)-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xml:space="preserve">. Марчик («Дрофа»), (1963г.)- В.П. Хондзинский («Дунай»), (1963г.)- С.Е. Ермолаев (АПЛИ-5 П-120), (1963г.)- Г.И. Келлер (АКИА «Дон», АК-120), (1966г.-)- Л.Г. Коваленко (МРО-ЗЮА, -М, «Ангара-А»), (1968г.)- И.С. Перельман («Звездочка»), (-1968-71 г.-)- Э.М. Лившиц («Гравюра», «Гравюра-МТ»), Л.В. Голубев (ВЭПУАЗО), С.М. Голубев (АКИА «Дон», АК-120), Н.Н. Государов (ИГС-59), Н.Д. Смирнов (теплопеленгаторы, ИК ГСН для К-8), Д.П. Павлов («Снегирь»), А.Ф. Шорин, В.Д. Калмыков, (1960-е)- М.П. Петелин («Астра», «Подснежник»), В.Ф. Измайлов, (1960-е-85г.)- Г.Н. Волгин («Шторм», «Метель», «Штиль»), (-1969-78; 1984г.)- В.А. Букатов (С-300Ф, «Риф», «Байкал»), Б.А. Митрофанов («Аметист»), (1958г.)- С.Т. Зайцев (М-2, «Аметист»), А(Л).М. Камаевский (бортаппаратура СУ «Аметист», «Гранит»), Б.П. Михеев (корабельная аппаратура СУ «Аметист», «Гранит»), О.Ф. Евстигнеева (КПА СУ «Аметист»), А.В. Чижов (бортаппаратура СУ П-500), Е.Я. Кац (корабельная аппаратура П-500 для пр. 675), (1976г.)- С.И. Червяков («Аргон» для пр. 1143), Г.А. Васильев (корабельная аппаратура П-500 для пр. 1164), Б.М. Гольдин (КПА СУ П-500, «Гранит»), Н.М. Мозжухин («Гранит»), Б.Н. Степанов (корабельная аппаратура для ПЛ СУ «Гранит»), Ю.Ф. Подоплекин, В.А. Никольцев, А.Б. Якобсон, К.С. Хрусталев,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xml:space="preserve">. Богданов, Ю.В. Молодык (СУ для П-35, «Москит»), (-1971 г.)- Л.В. Некрасов, (1970-е)- Д.Я. Ковалевский (Ж ГСН для ИС-М), (1971-81 г.-&gt; А.Н. Крюков («Снегирь», «Дрофа», «Дрофа-МТ»), (-1973-78г.-)- С.А. Климов (СУ «Прогресс», «Москит»), (1975г.)- С.А. Фадеев («Клинок», ЗУРО-ЗРК «Волна»), М.А. Липатов («Клинок»), (-1975-86г.-)- А.Г. Байдун («Подзаголовок», «Подзаголовок-2»), (1978-81 г.)- Б.М. Палладии (С-300Ф, «Риф»), (1970-е)- Е.Ф. Глаголев (КМСУО «Штиль»), (1970-е)- Н.М. Грязное (СП «Штиль»), А.П. Ежов (С-300Ф, «Риф-М»), Н.Н. Гусарова (ТГС), (1982-84г.-)- Е.А. Титов (С-300Ф), (1985г.-)- А.С. Евстигнеев («Штиль»), (1980-е)- С.М. Соколов («Штиль-1»), Н.А. Макарова («Штиль-1»), (1972-86г.-)- Ю.М. Бабкин (РЛСУ «Муссон», «Раструб», «Каштан»), </w:t>
      </w:r>
      <w:r w:rsidRPr="0044524F">
        <w:rPr>
          <w:rFonts w:ascii="Times New Roman" w:hAnsi="Times New Roman"/>
          <w:color w:val="000000" w:themeColor="text1"/>
          <w:sz w:val="16"/>
          <w:szCs w:val="16"/>
          <w:lang w:val="en-US"/>
        </w:rPr>
        <w:t>A</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w:t>
      </w:r>
      <w:r w:rsidRPr="0044524F">
        <w:rPr>
          <w:rFonts w:ascii="Times New Roman" w:hAnsi="Times New Roman"/>
          <w:color w:val="000000" w:themeColor="text1"/>
          <w:sz w:val="16"/>
          <w:szCs w:val="16"/>
        </w:rPr>
        <w:t>. Томский (РЛСУ «Каштан»), (1980-е)- О.В. Гудков (РЛСУ П-35, БМ «Каштан», «Полимент-Редут»), А.С. Егоров-Кузьмин (приемники лучистой энергии), В.П. Еремин (системы отображения информации), А.В. Листратов (системы спутниковой метеорологии), Л.А. Логвинов, В.Т. Родионов (ИК-аппаратура для КА «Метеор»); направления (-2005-07г.-)- А.В. Борзунов, (2007г.)- М.И. Кризенталь, В.П. Линьков (оптимизация корабельных РЭС), (2007г.)- Л.Н. Шинкарев.</w:t>
      </w:r>
    </w:p>
    <w:p w14:paraId="55C68B8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1-й зам. гл. конструкторов: (1950-е)- М.Ф. Кортюков («Волна»), В.Б. Голованов («Гранит»), (-1962-78г-.)- Л.А. Гурвиц («Бином-Блок», «Москит»), (-1969-78г.)- Б.М. Палладии (С-300Ф, «Риф»), (1971 г.)- Н.И. Кузнецов («Штиль»), Н.В. Алексеев («Штиль-1»), (1975г.)- М.А. Липатов («Клинок»), (1978г.-)- А.А. Хрусталев (СУ «Москит»), Зам. гл. конструкторов: (1949г.)- Я.А. Габелев («Якорь»), (1950 г.)- Б.И. Матвиенко («Редан-3»), (-1947-93г.-)- И.А. Скородумов («Редан-3», «Блок», РЛСУ «Каштан», линия радиокоррекции), (1950 г.)- К.А. Петров («Редан-3»), (1950 г.)- К.А. Беляев («Редан-3»), Е.И. Яковлев («Зарница»), (1956г.)- В.Н. Бурашников («Бином»), (1956г.)- В.Е. Краснов («Бином-Блок»), (1956г.)- Г.И. Келлер («Бином-Блок»), В.П. Хондзинский (СУ П-120), (1950-е-73г.-)- В.В. Романов («Волна», «Метель»), (1950-е-61 г.-)- В.И. Тумаркин («Волна»), (1950-е-62г,- )- С.Г. Шойхет («Волна»), (1950-е)- В.А. Кочурков («Волна»), (1950-е&gt; В.И. Максюк («Волна»), (1950-е)- П.И. Сизов («Волна»), Г.Н. Волгин («Волна»), (1960-е)- Ю.Г. Черкасов («Ангара-А»), (1960-е-71 г.-)- Ю.С. Сергеев («Ангара-А», «Штиль»), (1960-е-71 г.)- Ю.П. Гуров («Шторм», «Штиль»), (1960-е-73г.-)- А.П. Шульга («Шторм», «Метель»), (1960-е)- Н.И. Морозов («Шторм»), (1960-е)- А. И. Филиппов («Шторм»), О.В. Гудков («Шторм»), (1969г.)- В.Л. Ришин (С-300Ф), (-1969-70-е)- Е.А. Титов (С-300Ф), (1969г.)- Г.А. Пасюков (С-300Ф), (1969г.)- Я.Е. Нефедов (С-300Ф), (1969г.)- Л.Г. Коваленко (С-300Ф, «Риф»), (1969г.)- М.И. Волков (С-300Ф), (1969г.)- К.Г. Агапов (С-300Ф), Н.Д. Горман (С-ЗООФ, -ФМ), В.П. Олеванов («Москит»), А.С. </w:t>
      </w:r>
      <w:r w:rsidRPr="0044524F">
        <w:rPr>
          <w:rFonts w:ascii="Times New Roman" w:hAnsi="Times New Roman"/>
          <w:color w:val="000000" w:themeColor="text1"/>
          <w:sz w:val="16"/>
          <w:szCs w:val="16"/>
        </w:rPr>
        <w:lastRenderedPageBreak/>
        <w:t xml:space="preserve">Миронов (МР-310, «Фут», «Волна»), В .А. Спирин (МР-310, «Шторм-Н»), (1971 г.)-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xml:space="preserve">. Баранов («Штиль»), (1971 г.)- Е.Ф. Глаголев («Штиль»), (1971 г.)- Н.М. Грязнов («Штиль»), (1971 г.)- Н.И. Егоров («Штиль»), (1971 г.)- О.Г. Петров («Штиль»), Н.В. Алексеев («Ураган», «Кашмир», «Штиль», «Редут»), (-1973-78г.-)- В.В. Быстровзоров (СУ «Прогресс», «Москит»), (-1973-78г.-)- В.Н. Гусев (СУ «Прогресс», «Москит-М»), (-1973-78г.-)- Ю.И. Бородин (СУ П-120, «Прогресс», «Москит»), (1973г.)- А.А. Хрусталев (СУ «Прогресс»), (1973г.)- А.Г. Стронин (СУ «Прогресс»), (1973г.)- В.В. Феоктистов (СУ «Прогресс»), (1973г.)- Ф.И. Тезиков (СУ «Прогресс»), (1973г.)- А.Н. Скоробогачев (СУ «Прогресс»), (1973г.)- Ю.П. Горячев (СУ «Прогресс»), (1973г.)- А.С. Евстигнеев («Метель», «Штиль»), (1973г.)- Н.И. Кузнецов («Метель»), (1975г.)- Е.Л. Назаров («Клинок»), (1975г.)- В.Д. Немцов («Клинок»), (1975г.)- О.Н. Смирнов («Клинок»), (1975г.)- А.И. Чугунов («Эльбрус», «Кристалл», «Зефир», «Клинок», «Пакет- 71»), (1978г.-)- С.Е. Ермолаев (СУ «Москит»), (1978г.-)- Ю.В. Молодык (СУ «Москит»), (1978г.-)- </w:t>
      </w:r>
      <w:r w:rsidRPr="0044524F">
        <w:rPr>
          <w:rFonts w:ascii="Times New Roman" w:hAnsi="Times New Roman"/>
          <w:color w:val="000000" w:themeColor="text1"/>
          <w:sz w:val="16"/>
          <w:szCs w:val="16"/>
          <w:lang w:val="en-US"/>
        </w:rPr>
        <w:t>G</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w:t>
      </w:r>
      <w:r w:rsidRPr="0044524F">
        <w:rPr>
          <w:rFonts w:ascii="Times New Roman" w:hAnsi="Times New Roman"/>
          <w:color w:val="000000" w:themeColor="text1"/>
          <w:sz w:val="16"/>
          <w:szCs w:val="16"/>
        </w:rPr>
        <w:t xml:space="preserve">. Голубев (СУ «Москит»), (1970-е)- В.А. Драчук («Штиль»), (1970-е)- Н.А. Макарова («Штиль»), (1970-е)- Э.В. Романова («Клинок»), (1970-е)- С.Н. Лещев («Клинок»), (1970-е)- Г.А. Миронов («Клинок»), (1970-е)- Ю.И. Иванов («Клинок»), (1980-е)- Б.М. Палладии, (1969-80-е)- О.М. Гиндлин («Риф», «Риф-М», С-300Ф), А.В. Борзунов, А.П. Ежов, ИЛ. Левин,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 xml:space="preserve">. Некрасов, Э.Г. Подоляк, Г.П. Шадрин,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H</w:t>
      </w:r>
      <w:r w:rsidRPr="0044524F">
        <w:rPr>
          <w:rFonts w:ascii="Times New Roman" w:hAnsi="Times New Roman"/>
          <w:color w:val="000000" w:themeColor="text1"/>
          <w:sz w:val="16"/>
          <w:szCs w:val="16"/>
        </w:rPr>
        <w:t>. Шинкарев.</w:t>
      </w:r>
    </w:p>
    <w:p w14:paraId="3CE4CBF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отделений: НИО-2 (1970-е-80-е)- С.А. Климов; НИО-3 (1960-е)- В.И. Ярошенко, (1970-е)- В.Ф. Измайлов, Н.С. Щербаков, В.И. Кочурков; конструкторского (-1971 г.)- Л.В. Некрасов, Л.А. Логвинов, Л.Н. Шинкарев; (1971 г.-)- И.Н. Амиантов, (-1985г.)- Г.Н. Волгин, С.А. Гвоздев, Д.Я. Ковалевский, В.П. Линьков, А.С. Миронов; и.о.- С.М. Соколов; (-1986г.)- В.И. Соловьев, Е.А. Титов, С.А. Фадеев, В.И. Харитонов.</w:t>
      </w:r>
    </w:p>
    <w:p w14:paraId="30715C2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отделения: НИО-2 (1980-е)- О.В. Гудков; конструкторского- Л.А. Логвинов, Л.Н. Шинкарев; по научной работе- В.А. Кочурков; В.В. Быстровзоров, Е.М. Гогичайшвили, В.Н. Гусев, В.П. Линьков, А.В. Листратов, Д.П. Павлов, А.И. Чугунов, Г.П. Шадрин.</w:t>
      </w:r>
    </w:p>
    <w:p w14:paraId="07E84DE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НТС (1938-40 г.)- А.Ф. Шорин. Ученый секретарь (-1984г.)- П.А. Богомолов, А.В. Листратов, Д.П. Павлов.</w:t>
      </w:r>
    </w:p>
    <w:p w14:paraId="76028B8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Начальники отделов: № 2 (1956г.)- Б.П. Капелин, (1961 г.)- А.С. Миронов; № 4- В.А. Егоров; № 15 (1968-70-е)- Н.С. Щербаков; № 51 (1956г.)- Г.А. Абрамян; электропитания (1966г.-)- К.Г. Агапов; ОГК (1940 г.-)- В.Д. Калмыков; системного программирования (2007г.)- И.С. Чернова; ОКС (1938г.)- Косоруков; (-1987г.)- И.Н. Амиантов, (2001 г.)- В. Беляев, (-1954г.)- А.И. Бобров,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Бобрышев, П.А. Богомолов, А.В. Борзунов, (-1979г.)- Ю.И. Бородин, Г.Н. Волгин, (-1953г.)- А.С. Гринштейн, О.В. Гудков, В.Н. Гусев, (-1991 г.)- О.Н. Демин, А.С. Евстигнеев, А.П. Ежов, В.Ф. Измайлов, Д.Я. Ковалевский, В.Е. Краснов, М.И. Кризенталь, (1940 г.-)- В.И. Кузнецов, В.А. Кузовкин, В.П. Линьков, М.А. Липатов, А.В. Листратов, Л.А. Логвинов, Л.Б. Масленников, С.А. Миронов, Я.Е. Нефедов, Д.П. Павлов, В.И. Пейсиков, Э.Г. Подоляк, Н.Д. Смирнов, С.М. Соколов, В.И. Соловьев, (-1987г.)- Ф.И. Тезиков, Е.А. Титов, (2007г.)- О.В. Тихонова, (2007г.)- А.М. Томский, С.А. Фадеев, В.И. Харитонов, А.И. Чугунов, (-1968г.)- Ю.А. Шаровский, Л.Н. Шинкарев, В.И. Ярошенко.</w:t>
      </w:r>
    </w:p>
    <w:p w14:paraId="5AAFEC1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отдела: КО (-1973г.)- Б.П. Капелин; А.В. Борзунов, В.В. Быстровзоров, (2000-е)- С.А. Гвоздев, В.А. Егоров, И.А. Игнатьев, (2001 г.-)- Д.С. Климов, (-1997г.)- В.А. Кочурков, С.А. Миронов, Д.П. Павлов, (-1961 г.)- К.А. Петров, (-2004г.)- Э.Г. Подоляк, (-1961 г.)- С.П. Сагарда, (-1974г.)- Н.Д. Смирнов, (-1986г.)- B.П.Хондзинский, Г.П. Шадрин, Л.Н. Шинкарев, В.И. Ярошенко.</w:t>
      </w:r>
    </w:p>
    <w:p w14:paraId="2A005E8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секторов: электрических процессов (1933г.-)- Б.А. Смирении; электроакустики (1933г.-)- А.И. Бобров; телемеханики (1933г.-)- П.П. Темный; конструкторского ОГК- В.А. Соломенцев, (-1964г.)- В.К. Беляев, (-1965г.)- В.В. Романов, А.П. Беляков, (-1968г.)- А.Ф. Малютин, (-1971 г.)- И.Я. Левин; (2000-е)- Н.В. Алексеев, Ю.М. Бабкин, А.В. Борзунов, Ю.И. Бородин, В.В. Быстровзоров, Г.Н. Волгин, (-1978г.)- Н.Н. Гусарова, О.Н. Демин, (-2001 г.)- А.С. Евстигнеев, В.А. Егоров, (1971 г.-)- В.Ф. Измайлов, (2005г.)- А. Котов, В.А. Кочурков, В.Е. Краснов, В.П. Линьков, М.А. Липатов, Н.А. Макарова, Ю.В. Малинин, С.А. Миронов, (-1985г.)- Ю.В. Молодык, Я.Е. Нефедов, Д.П. Павлов, (1970-е)- О.В. Платонов, (-1984г.)- Л.М. Рогов, (-1990 г.)- В.В. Романов, (-2003г.)- Э.В. Романова, (-1991 г.)- Ю.С. Сергеев, В.И. Соловьев, (-2006г.)- В.Н. Тимашов, Е.А. Титов, О.В. Тихонова, В.И. Тумаркин, С.А. Фадеев, В.И. Харитонов, В.П. Хондзинский, А.И. Чугунов, Л.Н. Шинкарев. Зам. начальника сектора: А.П. Ежов, Н.А. Камнев, И.С. Чернова.</w:t>
      </w:r>
    </w:p>
    <w:p w14:paraId="6B385CA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филиалов: Ленинградского (-28.10.1937г.)- М.Т. Курочкин, (28.10.1937г.-)- И.М. Тарновский, (1930-е)- М.Л. Медведев; Свердловского отделения (10.1941 г.-)- Н.В. Рогачевский, Свердловского филиала (12.1941 г.-)- С.В. Петренко; НИБ «Большая Волга» (1950-е)- к1р В.Г. Турусов, Г.А. Пушкин, А.И. Пестов, В.В. Смирнов.</w:t>
      </w:r>
    </w:p>
    <w:p w14:paraId="6C466DA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инженеры: Свердловского филиала (12.1941 г.-)- В.Д. Калмыков; ОП- Е.М. Гогичайшвили, В.П. Олеванов, (-1994г.)- Ю.В. Малинин.</w:t>
      </w:r>
    </w:p>
    <w:p w14:paraId="64EA299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цехов: (1960-е)- В.П. Олеванов.</w:t>
      </w:r>
    </w:p>
    <w:p w14:paraId="064A521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цеха: Е.М. Гогичайшвили, В.П. Олеванов.</w:t>
      </w:r>
    </w:p>
    <w:p w14:paraId="6C3AD8D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Начальники лабораторий: вторичного электронного преобразования (1930-е)- Кубецкий; № 3 (1930-е)- К.В. Байдун; № 24 (1954г.)- </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II</w:t>
      </w:r>
      <w:r w:rsidRPr="0044524F">
        <w:rPr>
          <w:rFonts w:ascii="Times New Roman" w:hAnsi="Times New Roman"/>
          <w:color w:val="000000" w:themeColor="text1"/>
          <w:sz w:val="16"/>
          <w:szCs w:val="16"/>
        </w:rPr>
        <w:t xml:space="preserve">. Сагарда, (-1955-57г.-&gt; А.С. Миронов; № 30 (1958-60 г.)- А.А. Папернов; № 35 (1965г.)- В.А. Букатов; № 44 А.Н. Сыровец; электропитания (1955г.-)- Ф.П. Афонина; корабельной СУ П-120 (-1965г.)- С.Н. Литков, В.П. Хондзинский; цифровой обработки сигналов (1958г.)- Ю.Г. Черкасов; СВЧ- передатчиков- П.А. Ануфриев, К.Г. Кнорре, К.А. Рождественский, А.Е. Бударов; устройств опорных и гетеродинных сигналов- Ю.В. Пырсиков; вычислительных машин (1968г.)- Г.Е. Ножников; счетно-решающих приборов (1968г.)- А.Н. Голощапов; регистрирующих устройств (1968г.)- М.С. Арапов; запоминающих устройств (1968г.)- Ю.И. Фокин; математического обеспечения (-1968-70 г.)- Е.Н. Пирогов, Э.Г. Подоляк; высоковольтных источников питания- Ю.П. Кудряшов; (-1971 г.)- М.Е. Альбац, (1966г.)- Ф.П. Афонина, (-1953г.)- И.И. Бакулов, (-1961 г.)- А.К. Балаян, А.С. Батанов, (-1956-60-е)- А.И. Беляков, В.Б. Биншток, (1935г.-)- А.И. Бобров, П.А. Богомолов, В.А. Борисюк, (1960-е)- Г.Н. Волгин, (2001 г.)- В. Волоцкий, (-1966г.)- В.И. Гаврююв, С.А. Гвоздев, (-1960 г.)- Г.Г. Гинкин, О.В. Гудков, (-1971 г.)- Ю.П. Гуров, Б.М. Гусев, О.Н. Демин, А.И. Денисов, В.А. Егоров, Е.В. Егоров, А.С. Егоров-Кузьмин, В.П. Еремин, (-1968г.)- И.А. Игнатьев, Г.И. Келлер, (-1995г.)- В.И. Киселев, C.А.Климов, Д.Я. Ковалевский, Л.Г. Коваленко, А.В. Кожухов, В.Е. Краснов, М.И. Кризенталь, В.П. Крупкин, (-1987г.)- А.Н. Крюков; и.о.- М.Ф. Куртюков; (-1964г.)- М.Ф. Куртюков, (-1989г.)- Э.М. Лившиц, (2000-е)- М.А. Липатов, А.В. Листратов, Л.А. Логвинов, (-1971 г.)-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xml:space="preserve">. Марчик, (1969г.-)- Л.Б. Масленников, (1966г.)- Л.Г. Махнин, (1970-е)- Ю.В. Молодык,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Острецов, Д.П. Павлов, Б.М. Палладии, (-1989г.)- Г.А. Пасюков, В.И. Пейсиков; и.о.- Э.Г. Подоляк; (1960 г.-)- Л.М. Рогов, (-1974г.)- В.Т. Родионов, (-1949г.)- Б.Н. Савельев, Ю.С. Сергеев, (-1971 г.)- П.А. Синицын, (-1999г.)- И.А. Скородумов, Н.Д. Смирнов, (-1950 г.)- И.Т. Соколов, Б.С. Ставицкий, (1956г.)- Б.И. Станиславский, (1971 г.)- А.Г. Стронин, Ф.И. Тезиков, Е.А. Титов, С.А. Фадеев, В.А.Фокин, (-1985г.)- Л.Е. Хазанов, Ф.Н. Черных, Л.Н. Шинкарев, Н.С. Щербаков, (1939г.-)- Н.М. Якименко, (1940 г.- )- В.М. Ястребилов.</w:t>
      </w:r>
    </w:p>
    <w:p w14:paraId="289ED18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Зам. начальника лаборатории: № 5 (-17.05.1937г.)- М.П. Курочкин; П.А. Богомолов, Г.Н. Волгин, В.И. Гаврилов, (-1966г.)- Я.Г. Генин , Ю.П. Гуров, В.А. Егоров, А.С. Егоров-Кузьмин,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xml:space="preserve">. Жданов, Н.А. Камнев, Г.И. Келлер, М.Ф. Куртюков, Ф.Н. Малахов,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Марчик, Ю.В. Молодык, Ю.С. Сергеев, Ф.И. Тезиков, В.И. Тумаркин, С.А. Фадеев, (-1981 г.)- Г.Ф. Черкасов, (-1971 г.)- В.И. Шпагин, (-1996г.)- И.С. Ямпольский, В.И. Ярошенко.</w:t>
      </w:r>
    </w:p>
    <w:p w14:paraId="6FD9253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групп: высокочастотных устройств (1930-е)- В.А. Кузовкин; передающих устройств (1930-е)- К.А. Рождественский; приемных устройств (1930-е)- Ф.В. Лукин; специальных устройств (1930-е)- Н.К. Свистов; устройств электропитания аппаратуры (1930-е)- Ф.П. Афонина; аналоговых СРП (-1958г.)- А.А. Папернов; гироприборов (1970-е)- А.П. Антонов; усилителей приводов (1970-е)- В.А. Алешин, А.И. Скоробогачев; электроэлементов (1970-е)- Н.А. Ивенин; радиовысотомера (1970-е)- Д.М. Котлярский; А.С. Гринштейн, В.П. Еремин, (2000-е)- Ф.К. Поволоцкий, Н.Д. Смирнов. Начальники бюро: ИТБ (1937г.-)- Г.Г. Гинкин.</w:t>
      </w:r>
    </w:p>
    <w:p w14:paraId="7876CF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КБ- Л.А. Логвинов. Зам. гл. инженера КБ- Ю.В. Малинин.</w:t>
      </w:r>
    </w:p>
    <w:p w14:paraId="010C1DD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Научные руководители НИР: Н.Н. Гусарова («Сокол», «Квант», «Баклан», «Агат», «Стриж»), Д.Я. Ковалевский, В.П. Линьков, А.В. Листратов, Г.А. Пасюков, В.Т. Родионов, Е.А. Титов.</w:t>
      </w:r>
    </w:p>
    <w:p w14:paraId="48E2748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научного руководителя НИР: Б.М. Палладии.</w:t>
      </w:r>
      <w:r w:rsidRPr="0044524F">
        <w:rPr>
          <w:rFonts w:ascii="Times New Roman" w:hAnsi="Times New Roman"/>
          <w:color w:val="000000" w:themeColor="text1"/>
          <w:sz w:val="16"/>
          <w:szCs w:val="16"/>
          <w:vertAlign w:val="superscript"/>
        </w:rPr>
        <w:t>ьо</w:t>
      </w:r>
    </w:p>
    <w:p w14:paraId="329D900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Создано: корабельные РЛС:</w:t>
      </w:r>
      <w:r w:rsidRPr="0044524F">
        <w:rPr>
          <w:rFonts w:ascii="Times New Roman" w:hAnsi="Times New Roman"/>
          <w:color w:val="000000" w:themeColor="text1"/>
          <w:sz w:val="16"/>
          <w:szCs w:val="16"/>
        </w:rPr>
        <w:t xml:space="preserve"> управления артстрельбой: «Юпитер-1» (1943), «Вымпел-2Д» («Юпитер-2», 1946), «Марс-1» (1945), «Редан-1», «Редан-2» («Марс-2», пнв в 09.1945г.), «Марс-3» (1946), БИМС, радиодальномеры «Сириус» (1946), «Сириус-Б» (1948), «Штаг-Б» (1948), для торпедной стрельбы «Редан-ЗТ» (1952), орудий главного калибра «Грот» (1951-) и «Залп» (1952), «Якорь» (1949-51), «Турель» (1955); обнаружения надводных целей и низколетяших самолетов: «Риф» (пнв в 1949г.), «Риф-А» (1954), для торпедных катеров «Зарница» (1947), для сторожевиков и тральщиков «Линь» (1940-е), «Ангара» (пнв в 1958г.); обнаружения воздушных целей «Разлив» (1958), «Ангара» (1958), «Тайфун» (1950-е); «Бином»;</w:t>
      </w:r>
      <w:r w:rsidRPr="0044524F">
        <w:rPr>
          <w:rFonts w:ascii="Times New Roman" w:hAnsi="Times New Roman"/>
          <w:iCs/>
          <w:color w:val="000000" w:themeColor="text1"/>
          <w:sz w:val="16"/>
          <w:szCs w:val="16"/>
        </w:rPr>
        <w:t xml:space="preserve"> береговые РЛС:</w:t>
      </w:r>
      <w:r w:rsidRPr="0044524F">
        <w:rPr>
          <w:rFonts w:ascii="Times New Roman" w:hAnsi="Times New Roman"/>
          <w:color w:val="000000" w:themeColor="text1"/>
          <w:sz w:val="16"/>
          <w:szCs w:val="16"/>
        </w:rPr>
        <w:t xml:space="preserve"> «Шкот» (на базе «Риф», пнв в 1950 г.), «Лот» (на базе «Линь», 1940-е), «Редан-3» (1950), «Редан-ЗА» (1953), «Залп-Б» (1950-е); «Вахта» (1947), «Колчан» (1955);</w:t>
      </w:r>
      <w:r w:rsidRPr="0044524F">
        <w:rPr>
          <w:rFonts w:ascii="Times New Roman" w:hAnsi="Times New Roman"/>
          <w:iCs/>
          <w:color w:val="000000" w:themeColor="text1"/>
          <w:sz w:val="16"/>
          <w:szCs w:val="16"/>
        </w:rPr>
        <w:t xml:space="preserve"> станции поиска и разведки:</w:t>
      </w:r>
      <w:r w:rsidRPr="0044524F">
        <w:rPr>
          <w:rFonts w:ascii="Times New Roman" w:hAnsi="Times New Roman"/>
          <w:color w:val="000000" w:themeColor="text1"/>
          <w:sz w:val="16"/>
          <w:szCs w:val="16"/>
        </w:rPr>
        <w:t xml:space="preserve"> «Мачта» (1954), «Бизань» (1956), «Гафель» (1956), МРП-11-12, МРП-13-14 и МРП-15-16 («Залив», 1961); РЛС «Мост» (1970-е);</w:t>
      </w:r>
      <w:r w:rsidRPr="0044524F">
        <w:rPr>
          <w:rFonts w:ascii="Times New Roman" w:hAnsi="Times New Roman"/>
          <w:iCs/>
          <w:color w:val="000000" w:themeColor="text1"/>
          <w:sz w:val="16"/>
          <w:szCs w:val="16"/>
        </w:rPr>
        <w:t xml:space="preserve"> станции радиопротиводействия:</w:t>
      </w:r>
      <w:r w:rsidRPr="0044524F">
        <w:rPr>
          <w:rFonts w:ascii="Times New Roman" w:hAnsi="Times New Roman"/>
          <w:color w:val="000000" w:themeColor="text1"/>
          <w:sz w:val="16"/>
          <w:szCs w:val="16"/>
        </w:rPr>
        <w:t xml:space="preserve"> «Коралл-11, - 14» (1954), «Краб-11», «Краб-12» (1956), «Взрыв» (1960); автомат стрельбы 37-мм пушек «Юкон» (1946); первый отечественный векторно-электрический прибор ВЭПУАЗО;</w:t>
      </w:r>
      <w:r w:rsidRPr="0044524F">
        <w:rPr>
          <w:rFonts w:ascii="Times New Roman" w:hAnsi="Times New Roman"/>
          <w:iCs/>
          <w:color w:val="000000" w:themeColor="text1"/>
          <w:sz w:val="16"/>
          <w:szCs w:val="16"/>
        </w:rPr>
        <w:t xml:space="preserve"> системы управления:</w:t>
      </w:r>
      <w:r w:rsidRPr="0044524F">
        <w:rPr>
          <w:rFonts w:ascii="Times New Roman" w:hAnsi="Times New Roman"/>
          <w:color w:val="000000" w:themeColor="text1"/>
          <w:sz w:val="16"/>
          <w:szCs w:val="16"/>
        </w:rPr>
        <w:t xml:space="preserve"> стрельбой МЗА «Фут» (пнв в 1955г.), ЗА МР-100 «Парус» (пнв 26.06.1957г.), береговым комплексом «Полимент-Редут»; УРВП «Комета», ККР П-6 (1962), «Аметист», «Бином-Блок» для П-35 «Скала» (пнв в 1961 г.), «Аргон» для П-500, «Двина» для П-120 «Малахит» (пнв в 03.1971 г.), «Прогресс» (пнв в 1981 г.), «Гранит», противолодочным УРПК-3 «Метель» (пнв в 1973г.), «Муссон» для УРПК-4 (1972), «Раструб» для УРК-5 (1982), для ЗК-96, «Москит-М, -МВЕ», РЛСУ ЗРК «Каштан» (пнв в 1990 г., «Кортик»- экпортный); «Трио»;</w:t>
      </w:r>
      <w:r w:rsidRPr="0044524F">
        <w:rPr>
          <w:rFonts w:ascii="Times New Roman" w:hAnsi="Times New Roman"/>
          <w:iCs/>
          <w:color w:val="000000" w:themeColor="text1"/>
          <w:sz w:val="16"/>
          <w:szCs w:val="16"/>
        </w:rPr>
        <w:t xml:space="preserve"> БИП:</w:t>
      </w:r>
      <w:r w:rsidRPr="0044524F">
        <w:rPr>
          <w:rFonts w:ascii="Times New Roman" w:hAnsi="Times New Roman"/>
          <w:color w:val="000000" w:themeColor="text1"/>
          <w:sz w:val="16"/>
          <w:szCs w:val="16"/>
        </w:rPr>
        <w:t xml:space="preserve"> «Звено» (1948), «Цепь» (1953), «Планшет» (пнв 27.03.1954г.), «Дозор», «Сапфир» (1970-е);</w:t>
      </w:r>
      <w:r w:rsidRPr="0044524F">
        <w:rPr>
          <w:rFonts w:ascii="Times New Roman" w:hAnsi="Times New Roman"/>
          <w:iCs/>
          <w:color w:val="000000" w:themeColor="text1"/>
          <w:sz w:val="16"/>
          <w:szCs w:val="16"/>
        </w:rPr>
        <w:t xml:space="preserve"> ИК ГСН:</w:t>
      </w:r>
      <w:r w:rsidRPr="0044524F">
        <w:rPr>
          <w:rFonts w:ascii="Times New Roman" w:hAnsi="Times New Roman"/>
          <w:color w:val="000000" w:themeColor="text1"/>
          <w:sz w:val="16"/>
          <w:szCs w:val="16"/>
        </w:rPr>
        <w:t xml:space="preserve"> ИГС-59 для К-55, для К-8, 5Г42 (середина 1960-х), «Кондор», «Снегирь» для П-15, «Дрофа» для П-120 (1971), «Дрофа-МТ» для УРК-5 (1982); комбинированная ГСН для КР «Москит» (1970-е); ИК ГСН для ИС-М (1970-е); радионавигационная система движения судов по схеме «кабель на дне» «Окунь» (1943), система ориентации судов относительно берега «Координатор» (1949); «Сом»; триод НТ-99Д (ВОВ); автоматический имитатор корабля «Минарет» (1970-е); корабельные системы автоматической обработки РЛ информации МРО-ЗЮА «Ангара-А» (1968), «Байкал-С4 (1969), -Ф»; системы отображения РЛ, оптико-электронной информации для космических систем «Метеор», «Метеор-2»;</w:t>
      </w:r>
      <w:r w:rsidRPr="0044524F">
        <w:rPr>
          <w:rFonts w:ascii="Times New Roman" w:hAnsi="Times New Roman"/>
          <w:iCs/>
          <w:color w:val="000000" w:themeColor="text1"/>
          <w:sz w:val="16"/>
          <w:szCs w:val="16"/>
        </w:rPr>
        <w:t xml:space="preserve"> АРМ:</w:t>
      </w:r>
      <w:r w:rsidRPr="0044524F">
        <w:rPr>
          <w:rFonts w:ascii="Times New Roman" w:hAnsi="Times New Roman"/>
          <w:color w:val="000000" w:themeColor="text1"/>
          <w:sz w:val="16"/>
          <w:szCs w:val="16"/>
        </w:rPr>
        <w:t xml:space="preserve"> АРМ- 01, ^02,-03 (2000-е);</w:t>
      </w:r>
    </w:p>
    <w:p w14:paraId="61AB1CD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корабельные ЗРК:</w:t>
      </w:r>
      <w:r w:rsidRPr="0044524F">
        <w:rPr>
          <w:rFonts w:ascii="Times New Roman" w:hAnsi="Times New Roman"/>
          <w:color w:val="000000" w:themeColor="text1"/>
          <w:sz w:val="16"/>
          <w:szCs w:val="16"/>
        </w:rPr>
        <w:t xml:space="preserve"> М-1 «Волна» (пнв 24.08.1961 г.), «Волна-М» (пнв в 1968г.), «Волна-П» (пнв в 1976г.); «Волна-Н» (пнв в 1984г.); М-2 «Волхов-М» (опытный, 1958); М-11 «Шторм» (пнв в 1969г., «Шквал»- экспортный), «Шторм-М» (пнв в 1971 г.), «Шторм-Н» (пнв в 1986г.); ЗМ95, ЗМ95М; «Штиль» (1983), «Штиль-1»- экспортный; С-300Ф «Форт» (пнв в 1983г.), «Форт-М» (пнв в 1990 г., «Риф»-экспортный); М-22 «Ураган» (пнв в 1983г.); «Клинок» (пнв в 1989г., «Кинжал»-экспортный); «Риф-</w:t>
      </w:r>
      <w:r w:rsidRPr="0044524F">
        <w:rPr>
          <w:rFonts w:ascii="Times New Roman" w:hAnsi="Times New Roman"/>
          <w:color w:val="000000" w:themeColor="text1"/>
          <w:sz w:val="16"/>
          <w:szCs w:val="16"/>
        </w:rPr>
        <w:lastRenderedPageBreak/>
        <w:t>М, -96»; «Гибка» (2005); «Квант» (опытный, середина 1960-х);</w:t>
      </w:r>
      <w:r w:rsidRPr="0044524F">
        <w:rPr>
          <w:rFonts w:ascii="Times New Roman" w:hAnsi="Times New Roman"/>
          <w:color w:val="000000" w:themeColor="text1"/>
          <w:sz w:val="16"/>
          <w:szCs w:val="16"/>
          <w:vertAlign w:val="superscript"/>
        </w:rPr>
        <w:t>58</w:t>
      </w:r>
      <w:r w:rsidRPr="0044524F">
        <w:rPr>
          <w:rFonts w:ascii="Times New Roman" w:hAnsi="Times New Roman"/>
          <w:color w:val="000000" w:themeColor="text1"/>
          <w:sz w:val="16"/>
          <w:szCs w:val="16"/>
        </w:rPr>
        <w:t xml:space="preserve"> опытные «Орех», «Зефир»; бортовая аппаратура СУ «Гравюра» для ЗУР В-611 (1968), «Гравюра-МТ» для 85Р (1972); командно-измерительная система «Подснежник» для управления ИСЗ (1960-е), командно-траекторная радиолиния «Астра» (1960-е);</w:t>
      </w:r>
      <w:r w:rsidRPr="0044524F">
        <w:rPr>
          <w:rFonts w:ascii="Times New Roman" w:hAnsi="Times New Roman"/>
          <w:iCs/>
          <w:color w:val="000000" w:themeColor="text1"/>
          <w:sz w:val="16"/>
          <w:szCs w:val="16"/>
        </w:rPr>
        <w:t xml:space="preserve"> аппаратура обеспечения электромагнитной совместимости:</w:t>
      </w:r>
      <w:r w:rsidRPr="0044524F">
        <w:rPr>
          <w:rFonts w:ascii="Times New Roman" w:hAnsi="Times New Roman"/>
          <w:color w:val="000000" w:themeColor="text1"/>
          <w:sz w:val="16"/>
          <w:szCs w:val="16"/>
        </w:rPr>
        <w:t xml:space="preserve"> «Звезда» (1951), «Звезда-М» (1957), «Звездочка» (1968), «Подзаголовок» (пнв в 1981 г.), для больших кораблей «Подзаголовок-21» (пнв в 1993г.), для средних и малых кораблей МКЗ-11 «Подзаголовок-23» (пнв в 1993г.), для катеров «Подзаголовок-24» (пнв в 1993г.) (11982).</w:t>
      </w:r>
      <w:r w:rsidRPr="0044524F">
        <w:rPr>
          <w:rFonts w:ascii="Times New Roman" w:hAnsi="Times New Roman"/>
          <w:color w:val="000000" w:themeColor="text1"/>
          <w:sz w:val="16"/>
          <w:szCs w:val="16"/>
          <w:vertAlign w:val="superscript"/>
        </w:rPr>
        <w:t>77,103</w:t>
      </w:r>
    </w:p>
    <w:p w14:paraId="7C7DEB5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0D5BF5B" w14:textId="22C80224" w:rsidR="00625DC6" w:rsidRPr="0044524F" w:rsidRDefault="00625DC6" w:rsidP="00625DC6">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44524F">
        <w:rPr>
          <w:rFonts w:ascii="Times New Roman" w:hAnsi="Times New Roman"/>
          <w:i/>
          <w:iCs/>
          <w:color w:val="000000" w:themeColor="text1"/>
          <w:sz w:val="16"/>
          <w:szCs w:val="16"/>
        </w:rPr>
        <w:t>:</w:t>
      </w:r>
    </w:p>
    <w:p w14:paraId="431AD64F" w14:textId="77777777" w:rsidR="00625DC6" w:rsidRPr="0044524F" w:rsidRDefault="00625DC6" w:rsidP="00625DC6">
      <w:pPr>
        <w:autoSpaceDE w:val="0"/>
        <w:autoSpaceDN w:val="0"/>
        <w:adjustRightInd w:val="0"/>
        <w:spacing w:after="0" w:line="240" w:lineRule="auto"/>
        <w:jc w:val="both"/>
        <w:rPr>
          <w:rFonts w:ascii="Times New Roman" w:hAnsi="Times New Roman"/>
          <w:iCs/>
          <w:color w:val="000000" w:themeColor="text1"/>
          <w:sz w:val="16"/>
          <w:szCs w:val="16"/>
        </w:rPr>
      </w:pPr>
    </w:p>
    <w:p w14:paraId="7473184C" w14:textId="77777777" w:rsidR="00625DC6" w:rsidRPr="00142305" w:rsidRDefault="00625DC6" w:rsidP="00625DC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Осенью 1933 г. в Липецк приехал Алкснис, чтобы осмотреть оставленное немцами имущество и постройки. Вскоре там была со</w:t>
      </w:r>
      <w:r w:rsidRPr="00142305">
        <w:rPr>
          <w:rFonts w:ascii="Times New Roman" w:hAnsi="Times New Roman"/>
          <w:color w:val="0070C0"/>
          <w:sz w:val="16"/>
          <w:szCs w:val="16"/>
        </w:rPr>
        <w:softHyphen/>
        <w:t>здана Высшая летно-тактическая школа ВВС РККА. В построенные немцами ангары завезли новейшие советские самолеты — разведчи</w:t>
      </w:r>
      <w:r w:rsidRPr="00142305">
        <w:rPr>
          <w:rFonts w:ascii="Times New Roman" w:hAnsi="Times New Roman"/>
          <w:color w:val="0070C0"/>
          <w:sz w:val="16"/>
          <w:szCs w:val="16"/>
        </w:rPr>
        <w:softHyphen/>
        <w:t>ки Н.Н. Поликарпова Р-5 и бомбардировщики А.Н. Туполева ТБ-3. Из ветхого «германского наследства» использовали только два са</w:t>
      </w:r>
      <w:r w:rsidRPr="00142305">
        <w:rPr>
          <w:rFonts w:ascii="Times New Roman" w:hAnsi="Times New Roman"/>
          <w:color w:val="0070C0"/>
          <w:sz w:val="16"/>
          <w:szCs w:val="16"/>
        </w:rPr>
        <w:softHyphen/>
        <w:t>молета: один Хейнкель D XIII и один Юнкерс F-13</w:t>
      </w:r>
      <w:r w:rsidRPr="00142305">
        <w:rPr>
          <w:rFonts w:ascii="Times New Roman" w:hAnsi="Times New Roman"/>
          <w:color w:val="0070C0"/>
          <w:sz w:val="16"/>
          <w:szCs w:val="16"/>
          <w:vertAlign w:val="superscript"/>
        </w:rPr>
        <w:t>15</w:t>
      </w:r>
      <w:r w:rsidRPr="00142305">
        <w:rPr>
          <w:rFonts w:ascii="Times New Roman" w:hAnsi="Times New Roman"/>
          <w:color w:val="0070C0"/>
          <w:sz w:val="16"/>
          <w:szCs w:val="16"/>
        </w:rPr>
        <w:t>. В годы войны липецкая авиашкола была преобразована в Авиационные курсы усовершенствования командного состава, а ныне это Центр боево</w:t>
      </w:r>
      <w:r w:rsidRPr="00142305">
        <w:rPr>
          <w:rFonts w:ascii="Times New Roman" w:hAnsi="Times New Roman"/>
          <w:color w:val="0070C0"/>
          <w:sz w:val="16"/>
          <w:szCs w:val="16"/>
        </w:rPr>
        <w:softHyphen/>
        <w:t>го применения и переучивания летного состава ВВС России (25025).</w:t>
      </w:r>
    </w:p>
    <w:p w14:paraId="7E7809AD" w14:textId="77777777" w:rsidR="00625DC6" w:rsidRDefault="00625DC6" w:rsidP="00625DC6">
      <w:pPr>
        <w:autoSpaceDE w:val="0"/>
        <w:autoSpaceDN w:val="0"/>
        <w:adjustRightInd w:val="0"/>
        <w:spacing w:after="0" w:line="240" w:lineRule="auto"/>
        <w:jc w:val="both"/>
        <w:rPr>
          <w:rFonts w:ascii="Times New Roman" w:hAnsi="Times New Roman"/>
          <w:i/>
          <w:iCs/>
          <w:color w:val="000000" w:themeColor="text1"/>
          <w:sz w:val="16"/>
          <w:szCs w:val="16"/>
        </w:rPr>
      </w:pPr>
    </w:p>
    <w:p w14:paraId="05BB8D1B" w14:textId="3BB54F56" w:rsidR="00BE6B55" w:rsidRPr="0044524F" w:rsidRDefault="00BE6B5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7210660" w14:textId="77777777" w:rsidR="00BE6B55" w:rsidRPr="0044524F" w:rsidRDefault="00BE6B5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FE41E1" w14:textId="77777777" w:rsidR="00BE6B55" w:rsidRPr="0044524F" w:rsidRDefault="00BE6B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не был решен еще ряд важных вопросов: точное прохождение трассы на Арбате, положение и тип станции «Дворец Советов» и «Улица Коминтерна», ширина станций, гидроизоляция, система доставки пассажиров на станции, профиль тоннелей и габариты поездов (железнодорожная колея или уменьшенная) и снабжение электроэнергией подвижного состава. Вследствие вопиющего отставания проектных работ на ряде объектов в 1933 г. в ходе строительных работ пришлось переделывать готовые сооружения. В этом отношении заметных улучшений не наблюдалось. Механизация работ, которую требовали в марте, оставалась неудовлетворительной и нарушала все планы. Поставки оборудования не были систематическими, а носили скорее случайный характер, поскольку осуществлялись начальниками строительных объектов самостоятельно. Оборудование поступало разукомплектованным, а имеющиеся машины не использовались или применялись неправильно. Выемка и отвал грунта производились все еще по преимуществу ручным способом. Не хватало транспортных средств. Прогресс на различных производственных стадиях был неравномерен: шахты угрожающе долго оставались только с деревянной крепью, поскольку бетонные работы запаздывали. Несмотря на высокий расход цемента, качество бетонных работ оставалось низким. Затраты же на строительство оказывались непомерно высоки{503}.Производительность труда рабочих была чрезвычайно невелика, управленческий же аппарат оставался крайне раздутым{504}. [Картинка: i_024.png] Рис. 20. Схема линий Метростроя, август 1933 г. (18299).</w:t>
      </w:r>
    </w:p>
    <w:p w14:paraId="6D3226A2" w14:textId="77777777" w:rsidR="00BE6B55" w:rsidRPr="0044524F" w:rsidRDefault="00BE6B55" w:rsidP="009654CF">
      <w:pPr>
        <w:spacing w:after="0" w:line="240" w:lineRule="auto"/>
        <w:jc w:val="both"/>
        <w:rPr>
          <w:rFonts w:ascii="Times New Roman" w:hAnsi="Times New Roman"/>
          <w:color w:val="000000" w:themeColor="text1"/>
          <w:sz w:val="16"/>
          <w:szCs w:val="16"/>
        </w:rPr>
      </w:pPr>
    </w:p>
    <w:p w14:paraId="38010326" w14:textId="77777777" w:rsidR="00BE6B55" w:rsidRPr="0044524F" w:rsidRDefault="00BE6B5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9E28AAB" w14:textId="77777777" w:rsidR="00BE6B55" w:rsidRPr="0044524F" w:rsidRDefault="00BE6B55"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2EE8F00" w14:textId="77777777" w:rsidR="00BE6B55" w:rsidRPr="0044524F" w:rsidRDefault="00BE6B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 Липецкая школа была закрыта. Ряд наших авторов не мудрствуя лукаво связывают это с приходом к власти Гитлера. Однако связь между этими событиями лишь косвенная. Дело в том, что к 1933 г. контроль западных держав за соблюдением статей Версальского договора в Германии ослаб, а военная и политическая мощь страны возросла.</w:t>
      </w:r>
    </w:p>
    <w:p w14:paraId="34F0B46A" w14:textId="77777777" w:rsidR="00BE6B55" w:rsidRPr="0044524F" w:rsidRDefault="00BE6B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Выпуск Липецкой школы в 1933 г. составил всего 15 человек. 18 августа аэродром в Липецке был возвращен ВВС РККА, а через несколько дней в Москву, а оттуда в Германию вылетели базировавшиеся в Липецке самолеты «Юнкерс» W 33, K 47 и А 48 с немецкими летчиками и наиболее ценным оборудованием на борту. Последние представители рейхсвера покинули Липецк 14 сентября 1933 г.</w:t>
      </w:r>
    </w:p>
    <w:p w14:paraId="11460FF1" w14:textId="77777777" w:rsidR="00BE6B55" w:rsidRPr="0044524F" w:rsidRDefault="00BE6B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Нашим ВВС немцы оставили 15 истребителей «Фоккер D XIII», несколько автомобилей и другое имущество. На месте бывшей Липецкой авиашколы была создана Высшая военно-техническая школа ВВС РККА, затем преобразованная в летный центр по испытаниям боевых самолетов (18264).</w:t>
      </w:r>
    </w:p>
    <w:p w14:paraId="47DE4453" w14:textId="77777777" w:rsidR="00BE6B55" w:rsidRPr="0044524F" w:rsidRDefault="00BE6B55" w:rsidP="009654CF">
      <w:pPr>
        <w:spacing w:after="0" w:line="240" w:lineRule="auto"/>
        <w:jc w:val="both"/>
        <w:rPr>
          <w:rFonts w:ascii="Times New Roman" w:hAnsi="Times New Roman"/>
          <w:color w:val="000000" w:themeColor="text1"/>
          <w:sz w:val="16"/>
          <w:szCs w:val="16"/>
        </w:rPr>
      </w:pPr>
    </w:p>
    <w:p w14:paraId="34F011B3"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8E3C8EE"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5A0488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года в «Обществе межпланетных сообщений» была серьезная дискуссия по поводу применения спирта в качестве горючего. Было известно, что спирт требует при горении меньшее количество окислителя. Чтобы полностью сжечь 1 кг бензина, необходимо иметь 3,5 кг кислорода. Для того, чтобы сжечь 1 кг спирта, нужно всего лишь около 2 кг кислорода. Хотя спирт выделяет несколько меньше энергии, это преимущество было явным. В это время Ридель работал над проблемой повышения эффективности системы охлаждения. Заинтересовавшись спиртом как возможным ракетным топливом, Ридель задался мыслью охладить двигатель путем впрыскивания внутрь камеры сгорания некоторого количества охлаждающей воды. Готовность Риделя согласиться на применение спирта основывалась на том, что охлаждающую воду можно было смешать со спиртом, обходясь без дополнительной впрыскивающей форсунки.</w:t>
      </w:r>
    </w:p>
    <w:p w14:paraId="010C06E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 временем неутомимый Рудольф Небель усиленно искал тех, кто смог бы оказывать постоянную финансовую поддержку работам с ракетами. Обращение к промышленникам ничего не давало – ракеты им были не нужны. Тогда Небель попытался заинтересовать в проводившихся работах военное ведомство. Он направил туда, по воспоминаниям Вилли Лея «технически совершенно неграмотный секретный меморандум о дальнобойной ракетной артиллерии». Военное ведомство предложением заинтересовалось и в конце концов было решено произвести показательный пуск ракеты на артиллерийском полигоне Куммерсдорф, расположенном южнее Берлине. Пуск ракеты «Repulsor» не произвел большого впечатления на военных. Она поднялась примерно на 70 м и уже на этой малой высоте ее траектория была почти горизонтальной. Ракета упала на расстоянии 2 – 3 км от точки старта. Военные сочли, что продемонстрированный запуск говорит о неспособности группы Небеля организовать серьезную разработку. Особенно плохое впечатление произвело на них то, что у Небеля не было конкретных ответов на вопросы по проблеме управления полетом ракеты, о ее траекториях, потребном расходе топлива и тому подобном. На эти вопросы мог бы ответить Герман Оберт, но его на те испытания никто не пригласил (11688).</w:t>
      </w:r>
    </w:p>
    <w:p w14:paraId="45711F1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FC35D8D" w14:textId="77777777" w:rsidR="00321E7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4E8AA23" w14:textId="77777777" w:rsidR="00321E7A" w:rsidRPr="0044524F" w:rsidRDefault="00321E7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CD3D83C" w14:textId="77777777" w:rsidR="00321E7A" w:rsidRPr="0044524F" w:rsidRDefault="00321E7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3-го квартала 1933 по дирижаблю В-10 на совещании у заместителя начальника Дирижаблестроя Флаксермана было вынесено решение - работы приостановить. Если до 1934 г. в течение 3-х лет проблеме жесткого дирижаблестроения почти не уделялось внимания, то за 1934 г. силами молодых советских специалистов - инженерами выпуска 19321933 гг. проделана глубокая серьезная работа по жесткому дирижаблю ДЖ-1 объемом 100 000 м 3. Группа в составе 20 человек изучила весь имеющийся материал, разработала техническое задание и технические условия, сделала около 40 основных расчетов и выполнила 4 комплекта рабочих чертежей по опытным конструкциям (около 108 чертежей) [14, л. 41]. С 1 сентября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Храбковского − по модернизации В-7 было спущено около 2000 чертежей [14, л. 40-42 об] (15797).</w:t>
      </w:r>
    </w:p>
    <w:p w14:paraId="361B2F45" w14:textId="77777777" w:rsidR="00321E7A" w:rsidRPr="0044524F" w:rsidRDefault="00321E7A" w:rsidP="009654CF">
      <w:pPr>
        <w:spacing w:after="0" w:line="240" w:lineRule="auto"/>
        <w:jc w:val="both"/>
        <w:rPr>
          <w:rFonts w:ascii="Times New Roman" w:hAnsi="Times New Roman"/>
          <w:color w:val="000000" w:themeColor="text1"/>
          <w:sz w:val="16"/>
          <w:szCs w:val="16"/>
        </w:rPr>
      </w:pPr>
    </w:p>
    <w:p w14:paraId="4BF129C1" w14:textId="77777777" w:rsidR="003F2394"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DDBBA16" w14:textId="77777777" w:rsidR="003F2394" w:rsidRPr="0044524F" w:rsidRDefault="003F239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17ECA30"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осенний и зимний период 1933 г. в Подмосковье на НИАБТП испытания специальной подкатной тележки для Т-27, буксируемой грузовым автомобилем провели начальник испытательной станции Громов, начальник автобронестанции Шмелев и старший авто-техник Шумилов под руковод-ством начальника полигона Штагина.</w:t>
      </w:r>
    </w:p>
    <w:p w14:paraId="281F785E"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Целью испытаний являлось определение соответствия изготовленного образца тактико- техническим требованиям, предъявляемым к подобным изделиям. Если для разработчиков транспортеров танков за рубежом немаловаж-ным фактором было стремление сохранить до-рожное покрытие автострад от разрушения гу-сеницами, то при утверждении программы ис-пытания подкатной тележки для Т-27 из общего пробега в 600 км только половина должна была пройти по шоссе. Остальные 300 км распреде-лялись следующим образом:«150 км среднего качества и 150 км разбитой и сильно грязной» дороги.</w:t>
      </w:r>
    </w:p>
    <w:p w14:paraId="5A597B66"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транспортировки тележки по снегу Остехбюро сконструировало специальные мощные аэросани.</w:t>
      </w:r>
    </w:p>
    <w:p w14:paraId="35DFDC4F"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Скорости движения в ходе испытаний пред-полагалось «иметь до пределов допускаемых машиной, но не менее 30 клм/час по шоссе, по проселку среднего качества не менее 25 клм/час и по разбитой проселочной дороге не менее 15 клм/час». Следовало установить «время вка-тывания с закреплением танкетки на поход, вре-мя освобождения танкетки и ее скатывания», до-пустимые крены, минимальный радиус поворо-та, возможность преодоления валов и движения по косогору, а также выбрать подходящий для буксировки тип автомобиля и придать«особое внимание мерам предосторожности при всех операциях и перевозках».</w:t>
      </w:r>
    </w:p>
    <w:p w14:paraId="68139DE3"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буксировки за АМО-6</w:t>
      </w:r>
    </w:p>
    <w:p w14:paraId="539CE97A"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Пробеги, км</w:t>
      </w:r>
      <w:r w:rsidRPr="0044524F">
        <w:rPr>
          <w:rFonts w:ascii="Times New Roman" w:hAnsi="Times New Roman"/>
          <w:color w:val="000000" w:themeColor="text1"/>
          <w:sz w:val="16"/>
          <w:szCs w:val="16"/>
        </w:rPr>
        <w:tab/>
        <w:t>94</w:t>
      </w:r>
      <w:r w:rsidRPr="0044524F">
        <w:rPr>
          <w:rFonts w:ascii="Times New Roman" w:hAnsi="Times New Roman"/>
          <w:color w:val="000000" w:themeColor="text1"/>
          <w:sz w:val="16"/>
          <w:szCs w:val="16"/>
        </w:rPr>
        <w:tab/>
        <w:t>128</w:t>
      </w:r>
      <w:r w:rsidRPr="0044524F">
        <w:rPr>
          <w:rFonts w:ascii="Times New Roman" w:hAnsi="Times New Roman"/>
          <w:color w:val="000000" w:themeColor="text1"/>
          <w:sz w:val="16"/>
          <w:szCs w:val="16"/>
        </w:rPr>
        <w:tab/>
        <w:t>103</w:t>
      </w:r>
    </w:p>
    <w:p w14:paraId="45B5C942"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движения расчетная, км/ч</w:t>
      </w:r>
      <w:r w:rsidRPr="0044524F">
        <w:rPr>
          <w:rFonts w:ascii="Times New Roman" w:hAnsi="Times New Roman"/>
          <w:color w:val="000000" w:themeColor="text1"/>
          <w:sz w:val="16"/>
          <w:szCs w:val="16"/>
        </w:rPr>
        <w:tab/>
        <w:t>27,7</w:t>
      </w:r>
      <w:r w:rsidRPr="0044524F">
        <w:rPr>
          <w:rFonts w:ascii="Times New Roman" w:hAnsi="Times New Roman"/>
          <w:color w:val="000000" w:themeColor="text1"/>
          <w:sz w:val="16"/>
          <w:szCs w:val="16"/>
        </w:rPr>
        <w:tab/>
        <w:t>27,1</w:t>
      </w:r>
      <w:r w:rsidRPr="0044524F">
        <w:rPr>
          <w:rFonts w:ascii="Times New Roman" w:hAnsi="Times New Roman"/>
          <w:color w:val="000000" w:themeColor="text1"/>
          <w:sz w:val="16"/>
          <w:szCs w:val="16"/>
        </w:rPr>
        <w:tab/>
        <w:t>19,8</w:t>
      </w:r>
    </w:p>
    <w:p w14:paraId="69F6BDF1"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движения фактическая, км/ч</w:t>
      </w:r>
      <w:r w:rsidRPr="0044524F">
        <w:rPr>
          <w:rFonts w:ascii="Times New Roman" w:hAnsi="Times New Roman"/>
          <w:color w:val="000000" w:themeColor="text1"/>
          <w:sz w:val="16"/>
          <w:szCs w:val="16"/>
        </w:rPr>
        <w:tab/>
        <w:t>21,2</w:t>
      </w:r>
      <w:r w:rsidRPr="0044524F">
        <w:rPr>
          <w:rFonts w:ascii="Times New Roman" w:hAnsi="Times New Roman"/>
          <w:color w:val="000000" w:themeColor="text1"/>
          <w:sz w:val="16"/>
          <w:szCs w:val="16"/>
        </w:rPr>
        <w:tab/>
        <w:t>15,2</w:t>
      </w:r>
      <w:r w:rsidRPr="0044524F">
        <w:rPr>
          <w:rFonts w:ascii="Times New Roman" w:hAnsi="Times New Roman"/>
          <w:color w:val="000000" w:themeColor="text1"/>
          <w:sz w:val="16"/>
          <w:szCs w:val="16"/>
        </w:rPr>
        <w:tab/>
        <w:t>15,8</w:t>
      </w:r>
    </w:p>
    <w:p w14:paraId="39E1C601"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Передачи, на которых автомобиль двигался в пробеге</w:t>
      </w:r>
      <w:r w:rsidRPr="0044524F">
        <w:rPr>
          <w:rFonts w:ascii="Times New Roman" w:hAnsi="Times New Roman"/>
          <w:color w:val="000000" w:themeColor="text1"/>
          <w:sz w:val="16"/>
          <w:szCs w:val="16"/>
        </w:rPr>
        <w:tab/>
        <w:t>2-3-4</w:t>
      </w:r>
      <w:r w:rsidRPr="0044524F">
        <w:rPr>
          <w:rFonts w:ascii="Times New Roman" w:hAnsi="Times New Roman"/>
          <w:color w:val="000000" w:themeColor="text1"/>
          <w:sz w:val="16"/>
          <w:szCs w:val="16"/>
        </w:rPr>
        <w:tab/>
        <w:t>1-2-3-4</w:t>
      </w:r>
      <w:r w:rsidRPr="0044524F">
        <w:rPr>
          <w:rFonts w:ascii="Times New Roman" w:hAnsi="Times New Roman"/>
          <w:color w:val="000000" w:themeColor="text1"/>
          <w:sz w:val="16"/>
          <w:szCs w:val="16"/>
        </w:rPr>
        <w:tab/>
        <w:t>1-2-3-4</w:t>
      </w:r>
    </w:p>
    <w:p w14:paraId="2575ED15"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Полезная нагрузка</w:t>
      </w:r>
      <w:r w:rsidRPr="0044524F">
        <w:rPr>
          <w:rFonts w:ascii="Times New Roman" w:hAnsi="Times New Roman"/>
          <w:color w:val="000000" w:themeColor="text1"/>
          <w:sz w:val="16"/>
          <w:szCs w:val="16"/>
        </w:rPr>
        <w:tab/>
        <w:t>2,5 т в кузове и Т-27 на буксире</w:t>
      </w:r>
      <w:r w:rsidRPr="0044524F">
        <w:rPr>
          <w:rFonts w:ascii="Times New Roman" w:hAnsi="Times New Roman"/>
          <w:color w:val="000000" w:themeColor="text1"/>
          <w:sz w:val="16"/>
          <w:szCs w:val="16"/>
        </w:rPr>
        <w:tab/>
        <w:t>2,5 т в кузове и Т-27 на буксире</w:t>
      </w:r>
      <w:r w:rsidRPr="0044524F">
        <w:rPr>
          <w:rFonts w:ascii="Times New Roman" w:hAnsi="Times New Roman"/>
          <w:color w:val="000000" w:themeColor="text1"/>
          <w:sz w:val="16"/>
          <w:szCs w:val="16"/>
        </w:rPr>
        <w:tab/>
        <w:t>2 т в кузове и Т-27 на буксире</w:t>
      </w:r>
    </w:p>
    <w:p w14:paraId="3814F481"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Общий расход горючего, кг</w:t>
      </w:r>
      <w:r w:rsidRPr="0044524F">
        <w:rPr>
          <w:rFonts w:ascii="Times New Roman" w:hAnsi="Times New Roman"/>
          <w:color w:val="000000" w:themeColor="text1"/>
          <w:sz w:val="16"/>
          <w:szCs w:val="16"/>
        </w:rPr>
        <w:tab/>
        <w:t>48</w:t>
      </w:r>
      <w:r w:rsidRPr="0044524F">
        <w:rPr>
          <w:rFonts w:ascii="Times New Roman" w:hAnsi="Times New Roman"/>
          <w:color w:val="000000" w:themeColor="text1"/>
          <w:sz w:val="16"/>
          <w:szCs w:val="16"/>
        </w:rPr>
        <w:tab/>
        <w:t>72</w:t>
      </w:r>
      <w:r w:rsidRPr="0044524F">
        <w:rPr>
          <w:rFonts w:ascii="Times New Roman" w:hAnsi="Times New Roman"/>
          <w:color w:val="000000" w:themeColor="text1"/>
          <w:sz w:val="16"/>
          <w:szCs w:val="16"/>
        </w:rPr>
        <w:tab/>
        <w:t>71,2</w:t>
      </w:r>
    </w:p>
    <w:p w14:paraId="16F4C358"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 пробега</w:t>
      </w:r>
      <w:r w:rsidRPr="0044524F">
        <w:rPr>
          <w:rFonts w:ascii="Times New Roman" w:hAnsi="Times New Roman"/>
          <w:color w:val="000000" w:themeColor="text1"/>
          <w:sz w:val="16"/>
          <w:szCs w:val="16"/>
        </w:rPr>
        <w:tab/>
        <w:t>4 ч 4 мин</w:t>
      </w:r>
      <w:r w:rsidRPr="0044524F">
        <w:rPr>
          <w:rFonts w:ascii="Times New Roman" w:hAnsi="Times New Roman"/>
          <w:color w:val="000000" w:themeColor="text1"/>
          <w:sz w:val="16"/>
          <w:szCs w:val="16"/>
        </w:rPr>
        <w:tab/>
        <w:t>8 ч 26 мин</w:t>
      </w:r>
      <w:r w:rsidRPr="0044524F">
        <w:rPr>
          <w:rFonts w:ascii="Times New Roman" w:hAnsi="Times New Roman"/>
          <w:color w:val="000000" w:themeColor="text1"/>
          <w:sz w:val="16"/>
          <w:szCs w:val="16"/>
        </w:rPr>
        <w:tab/>
        <w:t>6 ч 25 мин</w:t>
      </w:r>
    </w:p>
    <w:p w14:paraId="46F6CF93"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все выявленные недостатки подкатной тележки были устранимы, внедрению их в войс-ка препятствовал недостаток мощных колесных тягачей. Автомобили АМО-6 могли использо-ваться для перевозки по хорошим дорогам в благоприятных погодных условиях, а ЯГ-10 были крайне малочисленными. Поэтому массово под-катная тележка не производилась и нашла огра-ниченное применение в РККА — главным обра-зом для доставки к месту испытаний опытных об-разцов танкеток, в частности, Т-27 с ДРП Курчевского</w:t>
      </w:r>
    </w:p>
    <w:p w14:paraId="0586149F"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Закатывание Т-27 на подкатную тележку производилось автомобилем. После предва-рительных тренировок на эту операцию затрачивалось до 35 с, а на скатывание — 20 с. В первый день испытания подкатной тележки пробе-гом производились по щебенчатому шоссе среднего качества на буксире за автомобилем ЯГ-10. На случай поломки буксировочного крю-ка имелось дополнительное крепление страхо-вочной цепью. На буксире за ЯГ-10 было прой-дено 138 км со средней скоростью 29,7 км/ч, что оказалось близко к расчетным данным. В ходе дальнейших испытаний (было соверше-но три пробега общей протяженностью 325 км) подкатная тележка буксировалась за автомо-билем АМО-6. Затем испытания приостанови-ли из-за отсутствия подходящих тягачей и ухуд-шения погодных условий. При буксировании подкатной тележки за АМО-6 его двигатель все время работал с перегрузкой. Кроме того, от-мечалась и неудачная конструкция сцепного прибора:«Буксирное приспособление у АМО-6 не позволяет нормальное крепление подкатной те-лежки, вследствие того, что отворотные лапы (буксирное приспособление подкатной тележ-ки) не совпадают с отверстием буксирного при-способления у автомобиля АМО-6, благодаря чему шкворень упирается в лапу тележки и не проходит. Для испытания было введено проме-жуточное соединение через рымы. Устранение означенного недостатка возможно путем изме-нения буксирного приспособления у АМО-6, и ни в коем случае не за счет увеличения отверстия у лапы тележки, так как это повело бы к ослабле-нию последней».</w:t>
      </w:r>
    </w:p>
    <w:p w14:paraId="03D1BF8D"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Крепление лапы буксировочного приспо-собления к тележке на заклепках характеризо-валось как ненадежное — отмечались случаи их срезания. Тогда было предложено усилить крепление путем увеличения количества закле-пок и их сечения. При движении со скоростями 25—30 км/ч и выше наблюдалась сильная тряска тележки,запыление,забрасывание сне-гом и грязью. Для устранения тряски (подпры-гивания и сильных ударов) испытатели реко-мендовали ввести подрессоривание или уста-новить на колеса специальную резину типа «полу-баллон» или «сверх-баллон», а для пре-дохранения от загрязнения требовался бре-зентовый чехол.</w:t>
      </w:r>
    </w:p>
    <w:p w14:paraId="20AE4902"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въезде на подкатную тележку танкетка брюхом садилась на ребро лапы тележки, и даль-нейшее движение становилось невозможным. Чтобы избежать этого, под гусеницы Т-27 под- кладывали доски. Испытатели рекомендовали уменьшить высоту ребра на 20—30 мм. Отмеча-лись и другие недостатки.</w:t>
      </w:r>
    </w:p>
    <w:p w14:paraId="5933A1D3"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Спецификация подкатной тележки</w:t>
      </w:r>
    </w:p>
    <w:p w14:paraId="2CD3FC29"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и материал рамы</w:t>
      </w:r>
      <w:r w:rsidRPr="0044524F">
        <w:rPr>
          <w:rFonts w:ascii="Times New Roman" w:hAnsi="Times New Roman"/>
          <w:color w:val="000000" w:themeColor="text1"/>
          <w:sz w:val="16"/>
          <w:szCs w:val="16"/>
        </w:rPr>
        <w:tab/>
        <w:t>Железная, корытообразного сечения (швеллер №24).</w:t>
      </w:r>
    </w:p>
    <w:p w14:paraId="5B7D88EF"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Концы выгнуты по форме гусеницы</w:t>
      </w:r>
    </w:p>
    <w:p w14:paraId="79FB2312"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поперечин рамы</w:t>
      </w:r>
      <w:r w:rsidRPr="0044524F">
        <w:rPr>
          <w:rFonts w:ascii="Times New Roman" w:hAnsi="Times New Roman"/>
          <w:color w:val="000000" w:themeColor="text1"/>
          <w:sz w:val="16"/>
          <w:szCs w:val="16"/>
        </w:rPr>
        <w:tab/>
        <w:t>6</w:t>
      </w:r>
    </w:p>
    <w:p w14:paraId="327D591C"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и тип осей</w:t>
      </w:r>
      <w:r w:rsidRPr="0044524F">
        <w:rPr>
          <w:rFonts w:ascii="Times New Roman" w:hAnsi="Times New Roman"/>
          <w:color w:val="000000" w:themeColor="text1"/>
          <w:sz w:val="16"/>
          <w:szCs w:val="16"/>
        </w:rPr>
        <w:tab/>
        <w:t>Одна, типа автомобиля Я-5, усиленная</w:t>
      </w:r>
    </w:p>
    <w:p w14:paraId="0DD04C7C"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Крепление оси к раме</w:t>
      </w:r>
      <w:r w:rsidRPr="0044524F">
        <w:rPr>
          <w:rFonts w:ascii="Times New Roman" w:hAnsi="Times New Roman"/>
          <w:color w:val="000000" w:themeColor="text1"/>
          <w:sz w:val="16"/>
          <w:szCs w:val="16"/>
        </w:rPr>
        <w:tab/>
        <w:t>Жесткое</w:t>
      </w:r>
    </w:p>
    <w:p w14:paraId="0B12E533"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и тип колес</w:t>
      </w:r>
      <w:r w:rsidRPr="0044524F">
        <w:rPr>
          <w:rFonts w:ascii="Times New Roman" w:hAnsi="Times New Roman"/>
          <w:color w:val="000000" w:themeColor="text1"/>
          <w:sz w:val="16"/>
          <w:szCs w:val="16"/>
        </w:rPr>
        <w:tab/>
        <w:t>Два дисковые (от автомобиля Я-5)</w:t>
      </w:r>
    </w:p>
    <w:p w14:paraId="6EEF992F"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Резина</w:t>
      </w:r>
      <w:r w:rsidRPr="0044524F">
        <w:rPr>
          <w:rFonts w:ascii="Times New Roman" w:hAnsi="Times New Roman"/>
          <w:color w:val="000000" w:themeColor="text1"/>
          <w:sz w:val="16"/>
          <w:szCs w:val="16"/>
        </w:rPr>
        <w:tab/>
        <w:t>40x8' (пневматики высокого давления)</w:t>
      </w:r>
    </w:p>
    <w:p w14:paraId="78D4A119"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Крепление колес</w:t>
      </w:r>
      <w:r w:rsidRPr="0044524F">
        <w:rPr>
          <w:rFonts w:ascii="Times New Roman" w:hAnsi="Times New Roman"/>
          <w:color w:val="000000" w:themeColor="text1"/>
          <w:sz w:val="16"/>
          <w:szCs w:val="16"/>
        </w:rPr>
        <w:tab/>
        <w:t>На 10 шпильках</w:t>
      </w:r>
    </w:p>
    <w:p w14:paraId="10353432"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хода, мм</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 xml:space="preserve"> 2620</w:t>
      </w:r>
    </w:p>
    <w:p w14:paraId="64201C3B"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колеи, мм</w:t>
      </w:r>
      <w:r w:rsidRPr="0044524F">
        <w:rPr>
          <w:rFonts w:ascii="Times New Roman" w:hAnsi="Times New Roman"/>
          <w:color w:val="000000" w:themeColor="text1"/>
          <w:sz w:val="16"/>
          <w:szCs w:val="16"/>
        </w:rPr>
        <w:tab/>
        <w:t xml:space="preserve"> 2340</w:t>
      </w:r>
    </w:p>
    <w:p w14:paraId="3EE7FADF"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по колпакам колес, мм</w:t>
      </w:r>
      <w:r w:rsidRPr="0044524F">
        <w:rPr>
          <w:rFonts w:ascii="Times New Roman" w:hAnsi="Times New Roman"/>
          <w:color w:val="000000" w:themeColor="text1"/>
          <w:sz w:val="16"/>
          <w:szCs w:val="16"/>
        </w:rPr>
        <w:tab/>
        <w:t xml:space="preserve"> 2580</w:t>
      </w:r>
    </w:p>
    <w:p w14:paraId="64900504"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мм</w:t>
      </w:r>
      <w:r w:rsidRPr="0044524F">
        <w:rPr>
          <w:rFonts w:ascii="Times New Roman" w:hAnsi="Times New Roman"/>
          <w:color w:val="000000" w:themeColor="text1"/>
          <w:sz w:val="16"/>
          <w:szCs w:val="16"/>
        </w:rPr>
        <w:tab/>
        <w:t>4500</w:t>
      </w:r>
    </w:p>
    <w:p w14:paraId="041D59A7"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Приспособление для крепления Т-27</w:t>
      </w:r>
      <w:r w:rsidRPr="0044524F">
        <w:rPr>
          <w:rFonts w:ascii="Times New Roman" w:hAnsi="Times New Roman"/>
          <w:color w:val="000000" w:themeColor="text1"/>
          <w:sz w:val="16"/>
          <w:szCs w:val="16"/>
        </w:rPr>
        <w:tab/>
        <w:t>Специальные стяжки</w:t>
      </w:r>
    </w:p>
    <w:p w14:paraId="7504FE0F"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Заезд Т-27 на подкат-ную тележку. Хорошо видно ребро лапы подкатной тележки, затрудняющее танкетки.</w:t>
      </w:r>
    </w:p>
    <w:p w14:paraId="5B936D99"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Буксирное приспособление</w:t>
      </w:r>
      <w:r w:rsidRPr="0044524F">
        <w:rPr>
          <w:rFonts w:ascii="Times New Roman" w:hAnsi="Times New Roman"/>
          <w:color w:val="000000" w:themeColor="text1"/>
          <w:sz w:val="16"/>
          <w:szCs w:val="16"/>
        </w:rPr>
        <w:tab/>
        <w:t>Специальная лапа с отверстием под шкворень (12261).</w:t>
      </w:r>
    </w:p>
    <w:p w14:paraId="41E07301" w14:textId="77777777" w:rsidR="003F2394" w:rsidRPr="0044524F" w:rsidRDefault="003F2394" w:rsidP="009654CF">
      <w:pPr>
        <w:spacing w:after="0" w:line="240" w:lineRule="auto"/>
        <w:jc w:val="both"/>
        <w:rPr>
          <w:rFonts w:ascii="Times New Roman" w:hAnsi="Times New Roman"/>
          <w:color w:val="000000" w:themeColor="text1"/>
          <w:sz w:val="16"/>
          <w:szCs w:val="16"/>
        </w:rPr>
      </w:pPr>
    </w:p>
    <w:p w14:paraId="0E93331A" w14:textId="77777777" w:rsidR="00D232B4" w:rsidRPr="00142305" w:rsidRDefault="00D232B4" w:rsidP="00D232B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осенний и зимний период 1933 г. на НИАБТП и в Подмосковье начальник испытательной станции Громов, начальник автобронестанции Шмелев и старший авто-техник Шумилов под руководством начальника полигона Штагина провели испытания подкатной тележки, буксируемой автомобилем,</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для транспортировки танкеток Т-27.</w:t>
      </w:r>
    </w:p>
    <w:p w14:paraId="401C2012" w14:textId="77777777" w:rsidR="00D232B4" w:rsidRPr="00142305" w:rsidRDefault="00D232B4" w:rsidP="00D232B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Целью испытаний являлось определение соответствия изготовленного образца тактико-техническим требованиям, предъявляемым к подобным изделиям. Если для разработчиков транспортеров танков за рубежом немаловажным фактором было стремление сохранить дорожное покрытие автострад от разрушения гусеницами, то при утверждении программы испытания подкатной тележки для Т-27 из общего пробега в 600 км только половина должна была пройти по шоссе. Остальные 300 км распределялись следующим образом:</w:t>
      </w:r>
    </w:p>
    <w:p w14:paraId="12073227" w14:textId="77777777" w:rsidR="00D232B4" w:rsidRPr="00142305" w:rsidRDefault="00D232B4" w:rsidP="00D232B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«150 км среднего качества и 150 км разбитой и сильно грязной» дороги. Для транспортировки тележки по снегу Остехбюро сконструировало специальные мощные аэросани.</w:t>
      </w:r>
    </w:p>
    <w:p w14:paraId="391BACF4" w14:textId="77777777" w:rsidR="00D232B4" w:rsidRPr="00142305" w:rsidRDefault="00D232B4" w:rsidP="00D232B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Скорости движения в ходе испытаний предполагалось «иметь до пределов допускаемых машиной, но не менее 30 клм/час по шоссе, по проселку среднего качества не менее 25 клм/час и по разбитой проселочной дороге не менее 15 клм/час».</w:t>
      </w:r>
    </w:p>
    <w:p w14:paraId="75C6DB9D" w14:textId="77777777" w:rsidR="00D232B4" w:rsidRPr="00142305" w:rsidRDefault="00D232B4" w:rsidP="00D232B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Следовало установить:</w:t>
      </w:r>
    </w:p>
    <w:p w14:paraId="68E4011B" w14:textId="77777777" w:rsidR="00D232B4" w:rsidRPr="00142305" w:rsidRDefault="00D232B4" w:rsidP="00D232B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«время вкатывания с закреплением танкетки на поход, время освобождения танкетки нее скатывания», </w:t>
      </w:r>
    </w:p>
    <w:p w14:paraId="0E0B5861" w14:textId="77777777" w:rsidR="00D232B4" w:rsidRPr="00142305" w:rsidRDefault="00D232B4" w:rsidP="00D232B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допустимые крены, минимальный радиус поворота, возможность преодоления валов и движения по косогору, а также выбрать подходящий для буксировки тип автомобиля и придать </w:t>
      </w:r>
    </w:p>
    <w:p w14:paraId="644A4678" w14:textId="77777777" w:rsidR="00D232B4" w:rsidRPr="00142305" w:rsidRDefault="00D232B4" w:rsidP="00D232B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«особое внимание мерам предосторожности при всех операциях и перевозках».</w:t>
      </w:r>
    </w:p>
    <w:p w14:paraId="107E6381" w14:textId="77777777" w:rsidR="00D232B4" w:rsidRPr="00142305" w:rsidRDefault="00D232B4" w:rsidP="00D232B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Закатывание Т-27 на подкатную тележку производилось автомобилем. После предварительных тренировок на эту операцию затрачивалось до 35 с, а на скатывание — 20 с. В первый день испытания подкатной тележки пробегом производились по щебенчатому шоссе среднего качества на буксире за автомобилем ЯГ-10. На случай поломки буксировочного крюка имелось дополнительное крепление страховочной цепью. На буксире за ЯГ-10 было пройдено 138 км со средней скоростью 29,7 км/ч, что оказалось близко к расчетным данным. В ходе дальнейших испытаний (было совершено три пробега общей протяженностью 325 км) подкатная тележка буксировалась за автомобилем АМО-6. Затем испытания приостановили из-за отсутствия подходящих тягачей и ухудшения погодных условий. При буксировании подкатной тележки за АМО-6 его двигатель все время работал с перегрузкой. Кроме того, отмечалась и неудачная конструкция сцепного прибора:</w:t>
      </w:r>
    </w:p>
    <w:p w14:paraId="5BBC13A5" w14:textId="77777777" w:rsidR="00D232B4" w:rsidRPr="00142305" w:rsidRDefault="00D232B4" w:rsidP="00D232B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«Буксирное приспособление у АМО-6 не позволяет нормальное крепление подкатной тележки, вследствие того, что отворотные лапы (буксирное приспособление подкатной тележки) не совпадают с отверстием буксирного приспособления у автомобиля АМО-6, благодаря чему шкворень упирается в лапу тележки и не проходит. Для испытания было введено промежуточное соединение через рымы. Устранение означенного недостатка возможно путем изменения буксирного приспособления у АМО-6, и ни в коем случае не за счет увеличения отверстия у лапы тележки, так как это повело бы к ослаблению последней».</w:t>
      </w:r>
    </w:p>
    <w:p w14:paraId="594A7B3B" w14:textId="77777777" w:rsidR="00D232B4" w:rsidRPr="00142305" w:rsidRDefault="00D232B4" w:rsidP="00D232B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Массово подкатная тележка не производилась и нашла ограниченное применение в РККА — главным образом для доставки к месту испытаний опытных образцов танкеток, в частности, Т-27 с ДРП Курчевского (25477).</w:t>
      </w:r>
    </w:p>
    <w:p w14:paraId="19665B8E" w14:textId="77777777" w:rsidR="00D232B4" w:rsidRPr="00142305" w:rsidRDefault="00D232B4" w:rsidP="00D232B4">
      <w:pPr>
        <w:spacing w:after="0" w:line="240" w:lineRule="auto"/>
        <w:jc w:val="both"/>
        <w:rPr>
          <w:rFonts w:ascii="Times New Roman" w:hAnsi="Times New Roman"/>
          <w:color w:val="0070C0"/>
          <w:sz w:val="16"/>
          <w:szCs w:val="16"/>
        </w:rPr>
      </w:pPr>
    </w:p>
    <w:p w14:paraId="5AA8C0D5"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6FA928F"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5D52FF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закончились гос. испытания опытного самолета ТБ4-6М34 конструкции и производства ЦАГИ с первым вариантом вооружения, которые проходили с 23 сентября 1933 (6642).</w:t>
      </w:r>
    </w:p>
    <w:p w14:paraId="7E9F1E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395D59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испытания – Рязанов</w:t>
      </w:r>
    </w:p>
    <w:p w14:paraId="4D4A59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ведущий испытания – Стефановский</w:t>
      </w:r>
    </w:p>
    <w:p w14:paraId="384EAEF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3D99F9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самолета ТБ4-6М34 с первым вариантом вооружения (без пулеметных точек на крыльях) с целью определения дальнейших работ по самолету.</w:t>
      </w:r>
    </w:p>
    <w:p w14:paraId="57183F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8514365"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Констатируя крупнейшее достижение Советского опытного самолетостроения, выразившееся в выпуске самолета ТБ4-6М34, НИИ ВВС не считает возможным рекомендовать серийную постройку самолета в виде идентичном испытанному самолету.</w:t>
      </w:r>
    </w:p>
    <w:p w14:paraId="4093537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681BCD0D" w14:textId="77777777">
        <w:tc>
          <w:tcPr>
            <w:tcW w:w="5636" w:type="dxa"/>
          </w:tcPr>
          <w:p w14:paraId="6EF57A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года</w:t>
            </w:r>
          </w:p>
        </w:tc>
        <w:tc>
          <w:tcPr>
            <w:tcW w:w="5636" w:type="dxa"/>
          </w:tcPr>
          <w:p w14:paraId="5A5E20C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Приемка от ЦАГИ самолета в воздухе.</w:t>
            </w:r>
          </w:p>
        </w:tc>
      </w:tr>
      <w:tr w:rsidR="004E10C1" w:rsidRPr="0044524F" w14:paraId="78A7F05F" w14:textId="77777777">
        <w:tc>
          <w:tcPr>
            <w:tcW w:w="5636" w:type="dxa"/>
          </w:tcPr>
          <w:p w14:paraId="0D9661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36" w:type="dxa"/>
          </w:tcPr>
          <w:p w14:paraId="5D21E70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Вывозные полеты для к-ра тяжелой эскадрилии, полет на километраж.</w:t>
            </w:r>
          </w:p>
        </w:tc>
      </w:tr>
      <w:tr w:rsidR="004E10C1" w:rsidRPr="0044524F" w14:paraId="10A5F17B" w14:textId="77777777">
        <w:tc>
          <w:tcPr>
            <w:tcW w:w="5636" w:type="dxa"/>
          </w:tcPr>
          <w:p w14:paraId="5DBD52A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w:t>
            </w:r>
          </w:p>
        </w:tc>
        <w:tc>
          <w:tcPr>
            <w:tcW w:w="5636" w:type="dxa"/>
          </w:tcPr>
          <w:p w14:paraId="431827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скорости по высотам.</w:t>
            </w:r>
          </w:p>
        </w:tc>
      </w:tr>
    </w:tbl>
    <w:p w14:paraId="492DB6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испытания выполнена в 6 календарных дней, полеты – 3 дня (6642).</w:t>
      </w:r>
    </w:p>
    <w:p w14:paraId="79BF3CE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88FE25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начались летные испытания АНТ-16 А.Н.Т. полетным весом 33000 кг. Бомбовая нагрузка - 4000 кг (271,137).</w:t>
      </w:r>
    </w:p>
    <w:p w14:paraId="02EB635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B4F203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был готов АНТ-25бис (514).</w:t>
      </w:r>
    </w:p>
    <w:p w14:paraId="459340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D25699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закончились гос. испытания И-Зет N 39012 с мотором ЮVI, 2хАПК-4бис 76.2 мм, которые проходили с 14 сентября 1933. Выполнили 15 посадок и налетали 16:20 за 7 летных дней. Вл П.Холопов и л Оцельников (2303,70). Проводили примерный воздушный бой с И-4 и Р-5 на высоте 1500 м. С И-4 мог вести бой только в вертикальном направлении с применением фигур. Преимущество было за И-4 и на вираже он свободно заходил в хвост. В бою с Р-5 И-зет уверенно держался в хвосте И-5 (2303,46).</w:t>
      </w:r>
    </w:p>
    <w:p w14:paraId="5F50B4E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испытания 17 календарных дней, из них:</w:t>
      </w:r>
    </w:p>
    <w:p w14:paraId="3638BCB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был неисправен</w:t>
      </w:r>
      <w:r w:rsidRPr="0044524F">
        <w:rPr>
          <w:rFonts w:ascii="Times New Roman" w:hAnsi="Times New Roman"/>
          <w:color w:val="000000" w:themeColor="text1"/>
          <w:sz w:val="16"/>
          <w:szCs w:val="16"/>
        </w:rPr>
        <w:tab/>
        <w:t>1</w:t>
      </w:r>
    </w:p>
    <w:p w14:paraId="39AD68B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нелетных дней</w:t>
      </w:r>
      <w:r w:rsidRPr="0044524F">
        <w:rPr>
          <w:rFonts w:ascii="Times New Roman" w:hAnsi="Times New Roman"/>
          <w:color w:val="000000" w:themeColor="text1"/>
          <w:sz w:val="16"/>
          <w:szCs w:val="16"/>
        </w:rPr>
        <w:tab/>
        <w:t>5</w:t>
      </w:r>
    </w:p>
    <w:p w14:paraId="4C96137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дни командирской учебы</w:t>
      </w:r>
      <w:r w:rsidRPr="0044524F">
        <w:rPr>
          <w:rFonts w:ascii="Times New Roman" w:hAnsi="Times New Roman"/>
          <w:color w:val="000000" w:themeColor="text1"/>
          <w:sz w:val="16"/>
          <w:szCs w:val="16"/>
        </w:rPr>
        <w:tab/>
        <w:t>1</w:t>
      </w:r>
    </w:p>
    <w:p w14:paraId="3475627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выходные дни</w:t>
      </w:r>
      <w:r w:rsidRPr="0044524F">
        <w:rPr>
          <w:rFonts w:ascii="Times New Roman" w:hAnsi="Times New Roman"/>
          <w:color w:val="000000" w:themeColor="text1"/>
          <w:sz w:val="16"/>
          <w:szCs w:val="16"/>
        </w:rPr>
        <w:tab/>
        <w:t>1</w:t>
      </w:r>
    </w:p>
    <w:p w14:paraId="164E7B5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Всего </w:t>
      </w:r>
      <w:r w:rsidRPr="0044524F">
        <w:rPr>
          <w:rFonts w:ascii="Times New Roman" w:hAnsi="Times New Roman"/>
          <w:color w:val="000000" w:themeColor="text1"/>
          <w:sz w:val="16"/>
          <w:szCs w:val="16"/>
        </w:rPr>
        <w:tab/>
        <w:t>10</w:t>
      </w:r>
    </w:p>
    <w:p w14:paraId="5BDDAC5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испытание было произведено за 7 летных дней.</w:t>
      </w:r>
    </w:p>
    <w:p w14:paraId="62295E3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время испытаний налет составил 16:20</w:t>
      </w:r>
    </w:p>
    <w:p w14:paraId="68116C2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Сделано посадок 15 (2303,63).</w:t>
      </w:r>
    </w:p>
    <w:p w14:paraId="7F6F092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ОСНОВНЫЕ ТЕХНИЧЕСКИЕ, РЕГУЛИРОВОЧНЫЕ И ВЕСОВЫЕ ДАННЫЕ</w:t>
      </w:r>
    </w:p>
    <w:p w14:paraId="61BE259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Полная длина самолета..............................7,645 мтр.</w:t>
      </w:r>
    </w:p>
    <w:p w14:paraId="56B4A2D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Высота самолета при стоянка до конца лопасти винта...3,35</w:t>
      </w:r>
    </w:p>
    <w:p w14:paraId="6AD8DB0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 а з м а х к р ы л ь е в........................11,5</w:t>
      </w:r>
    </w:p>
    <w:p w14:paraId="1C57F7E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Длина хорды к р ы л а.,:.........................2,215</w:t>
      </w:r>
    </w:p>
    <w:p w14:paraId="75CE610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 а з м а х стабилизатора........................3,2</w:t>
      </w:r>
    </w:p>
    <w:p w14:paraId="096E7E3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Р а з м а х руля высоты.........................3,203</w:t>
      </w:r>
    </w:p>
    <w:p w14:paraId="6EED419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Площадь крыльев с элеронами......................19,6</w:t>
      </w:r>
    </w:p>
    <w:p w14:paraId="1EFB66B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Плошадь э л е р о н о в..........................2,12</w:t>
      </w:r>
    </w:p>
    <w:p w14:paraId="2D9FB74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Плошадь стабилизатора................1,56</w:t>
      </w:r>
    </w:p>
    <w:p w14:paraId="6346AE8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Плошадь р у л я высоты...........................1,325</w:t>
      </w:r>
    </w:p>
    <w:p w14:paraId="29A2506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Общая плошадь горизвнтального оперения............2,835</w:t>
      </w:r>
    </w:p>
    <w:p w14:paraId="52F4483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Площадь килей.................................0,69</w:t>
      </w:r>
    </w:p>
    <w:p w14:paraId="0082CE3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Плошадь рулей направления.........................0,88</w:t>
      </w:r>
    </w:p>
    <w:p w14:paraId="352E710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Общая площадь вертикального оперения..............1,57</w:t>
      </w:r>
    </w:p>
    <w:p w14:paraId="51B2A08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Расстояние от земли до нижнего конца лопасти в линии полета.....0,35</w:t>
      </w:r>
    </w:p>
    <w:p w14:paraId="4CC4A2C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Ширина ш а с с и.................................1,86</w:t>
      </w:r>
    </w:p>
    <w:p w14:paraId="2EA6BFD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Размер колес с пневматикой.....................750x125 м/м.</w:t>
      </w:r>
    </w:p>
    <w:p w14:paraId="4E1B1A8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Угол атаки крыльев................................0</w:t>
      </w:r>
    </w:p>
    <w:p w14:paraId="00D5DBC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Угол к а п о т а ж а............................19</w:t>
      </w:r>
    </w:p>
    <w:p w14:paraId="275D2B4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Пасадочный у г о л...............................14</w:t>
      </w:r>
      <w:r w:rsidRPr="0044524F">
        <w:rPr>
          <w:rFonts w:ascii="Times New Roman" w:hAnsi="Times New Roman"/>
          <w:color w:val="000000" w:themeColor="text1"/>
          <w:sz w:val="16"/>
          <w:szCs w:val="16"/>
          <w:vertAlign w:val="superscript"/>
        </w:rPr>
        <w:t>8</w:t>
      </w:r>
      <w:r w:rsidRPr="0044524F">
        <w:rPr>
          <w:rFonts w:ascii="Times New Roman" w:hAnsi="Times New Roman"/>
          <w:color w:val="000000" w:themeColor="text1"/>
          <w:sz w:val="16"/>
          <w:szCs w:val="16"/>
        </w:rPr>
        <w:t>30</w:t>
      </w:r>
    </w:p>
    <w:p w14:paraId="3C50F47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ВЕСОЫЕ ДАННЫЕ</w:t>
      </w:r>
    </w:p>
    <w:p w14:paraId="08BE6F4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Вес полной нагрузки...............................556 кг.</w:t>
      </w:r>
    </w:p>
    <w:p w14:paraId="0CBEC47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Полетный в е с..................................1648</w:t>
      </w:r>
    </w:p>
    <w:p w14:paraId="0D83D76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Отношение веса полной нагрузка к полетному весу..33,8%</w:t>
      </w:r>
    </w:p>
    <w:p w14:paraId="15EA8F6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Нягрузка на 1 мтр. крыльев........................84,1 кг.</w:t>
      </w:r>
    </w:p>
    <w:p w14:paraId="628B991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Нагрузка на нр..................................3,43</w:t>
      </w:r>
    </w:p>
    <w:p w14:paraId="207BDB5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Мощность на 1 мтр. 24,5</w:t>
      </w:r>
    </w:p>
    <w:p w14:paraId="4A99B0D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КРАТКОЕ ОПИСАНИЕ САМОЛЕТА.</w:t>
      </w:r>
    </w:p>
    <w:p w14:paraId="05219F4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"ЗЕТ" представляет собою одномоторный подкосный, моноплан истребитель с мотором воздушного охлаждения ЮУ1 А</w:t>
      </w:r>
      <w:r w:rsidRPr="0044524F">
        <w:rPr>
          <w:rFonts w:ascii="Times New Roman" w:hAnsi="Times New Roman"/>
          <w:color w:val="000000" w:themeColor="text1"/>
          <w:sz w:val="16"/>
          <w:szCs w:val="16"/>
          <w:lang w:val="en-US"/>
        </w:rPr>
        <w:t>q</w:t>
      </w:r>
      <w:r w:rsidRPr="0044524F">
        <w:rPr>
          <w:rFonts w:ascii="Times New Roman" w:hAnsi="Times New Roman"/>
          <w:color w:val="000000" w:themeColor="text1"/>
          <w:sz w:val="16"/>
          <w:szCs w:val="16"/>
        </w:rPr>
        <w:t xml:space="preserve"> 480/550 нр.'</w:t>
      </w:r>
    </w:p>
    <w:p w14:paraId="75E7BCE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 состоит из дзух частей: передней и заднейй /хвостовой/, стыуцемых между собой посредством 4-х узловых соеди</w:t>
      </w:r>
      <w:r w:rsidRPr="0044524F">
        <w:rPr>
          <w:rFonts w:ascii="Times New Roman" w:hAnsi="Times New Roman"/>
          <w:color w:val="000000" w:themeColor="text1"/>
          <w:sz w:val="16"/>
          <w:szCs w:val="16"/>
        </w:rPr>
        <w:softHyphen/>
        <w:t>нений. Конструкция фюзеляжа смешанного типа. Передняя часть от мотоустановки до заднего обреза кабины летчика - ферменная, выполненная из сварных хромансилевых труб, ввиде сварной корзин</w:t>
      </w:r>
      <w:r w:rsidRPr="0044524F">
        <w:rPr>
          <w:rFonts w:ascii="Times New Roman" w:hAnsi="Times New Roman"/>
          <w:color w:val="000000" w:themeColor="text1"/>
          <w:sz w:val="16"/>
          <w:szCs w:val="16"/>
        </w:rPr>
        <w:softHyphen/>
        <w:t>ки и служит основанием для присоединения к ней мотсустановки, шасси, крыльев и хвостовой части фазеляжа. На трубчатый остов корзинки приклепываются дюралевые профильки, которые обматываются полотняными лентами; к последним пришивается полотняная обтяжка.</w:t>
      </w:r>
    </w:p>
    <w:p w14:paraId="5646FBE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Задняя часть /хвостовая/ - шпоагоутного типа представляет кон</w:t>
      </w:r>
      <w:r w:rsidRPr="0044524F">
        <w:rPr>
          <w:rFonts w:ascii="Times New Roman" w:hAnsi="Times New Roman"/>
          <w:color w:val="000000" w:themeColor="text1"/>
          <w:sz w:val="16"/>
          <w:szCs w:val="16"/>
        </w:rPr>
        <w:softHyphen/>
        <w:t xml:space="preserve">струкцию из 11 дюралевых шпангоутов эллиптической формы, утоняющихся по своимразмерам к хвосту фюзеляжа; последние 4 шпангоута служат для образования киля фюзеляжа, составлякинаго одно целое с ним и имеют удлиненную вверх форму в соответствии с формой килевого образованил. Стрингеров 10; из них 4 усиленных: все они имеют форму </w:t>
      </w:r>
      <w:r w:rsidRPr="0044524F">
        <w:rPr>
          <w:rFonts w:ascii="Times New Roman" w:hAnsi="Times New Roman"/>
          <w:smallCaps/>
          <w:color w:val="000000" w:themeColor="text1"/>
          <w:sz w:val="16"/>
          <w:szCs w:val="16"/>
          <w:lang w:val="en-US"/>
        </w:rPr>
        <w:t>v</w:t>
      </w:r>
      <w:r w:rsidRPr="0044524F">
        <w:rPr>
          <w:rFonts w:ascii="Times New Roman" w:hAnsi="Times New Roman"/>
          <w:color w:val="000000" w:themeColor="text1"/>
          <w:sz w:val="16"/>
          <w:szCs w:val="16"/>
        </w:rPr>
        <w:t>образных профильков. Общивка - дюралевая.</w:t>
      </w:r>
    </w:p>
    <w:p w14:paraId="7C39BA4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р ы л о - двухлонжеронное деревяное с полотняной обшивкой. Нервюр 22 из них 5 усиленных нервюр распорок и 17 нормальных. Лонжероны представляют собою конструкцию коробча</w:t>
      </w:r>
      <w:r w:rsidRPr="0044524F">
        <w:rPr>
          <w:rFonts w:ascii="Times New Roman" w:hAnsi="Times New Roman"/>
          <w:color w:val="000000" w:themeColor="text1"/>
          <w:sz w:val="16"/>
          <w:szCs w:val="16"/>
        </w:rPr>
        <w:softHyphen/>
        <w:t>того сеченая; материалом для них служит:- сосна, березовая фанера и липа. Нервюры состоят из фанерных стенок с облегчениями в них круглыми отверстиями, охваченными сверху и снизу сосновыми полочками, изогнутыми по форме дужки крыла.</w:t>
      </w:r>
    </w:p>
    <w:p w14:paraId="4DAC4A4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Хвостовое оперение - целиком из дюраллюминия, усиленной конструкции с высоко расположенным горизонтальным оперением. Оно разделяется на горизонтальное, к которому относитсязакрепленный с помощью ушковых накшадок и подкосов стабилизатор и 2-х рулей высоты с компенсаторам; а вертикальное- включающее руль поворота и килек, наглухо приклепанный к вер</w:t>
      </w:r>
      <w:r w:rsidRPr="0044524F">
        <w:rPr>
          <w:rFonts w:ascii="Times New Roman" w:hAnsi="Times New Roman"/>
          <w:color w:val="000000" w:themeColor="text1"/>
          <w:sz w:val="16"/>
          <w:szCs w:val="16"/>
        </w:rPr>
        <w:softHyphen/>
        <w:t>хней поверхности стабилизатора.</w:t>
      </w:r>
    </w:p>
    <w:p w14:paraId="65AB466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Стабилизатор 2-х лонжеронный, с жесткими нервюрами и передним обтекателем. Рули высоты насаживаются на один обший, склепаный лонжерон, к которому крепится 11 нервюр. По своей конструкция и связи нервюр с обшивкой таковые имеют полную аналогию со стабилизатором. Руль направления состоит из основного лонжерона, 11 нервюр, ободка и стрингера; соединения их схоже с та</w:t>
      </w:r>
      <w:r w:rsidRPr="0044524F">
        <w:rPr>
          <w:rFonts w:ascii="Times New Roman" w:hAnsi="Times New Roman"/>
          <w:color w:val="000000" w:themeColor="text1"/>
          <w:sz w:val="16"/>
          <w:szCs w:val="16"/>
        </w:rPr>
        <w:softHyphen/>
        <w:t>ковыми для руля высоты. Обшивка - листовая, дюралевая с продольными ребрами жесткости, разбита на ряд секции, которые отгибаются в местах присоединения к соответствующим ребрам нервюи под прямым углом, охватывля эти ребра и приклепываются к ним. Подобное соединение обшивки с нервюрами увеличивают жесткость всей конструкции хаостового оперения.</w:t>
      </w:r>
    </w:p>
    <w:p w14:paraId="76B90D3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 представляют собою стальную конструкцию состоящую ия 2-х передних амортизационных ног, 2-х пар задних ног и 2-х пар крыльевых подкосов. Аммортизационные ноги укрепляются к пе</w:t>
      </w:r>
      <w:r w:rsidRPr="0044524F">
        <w:rPr>
          <w:rFonts w:ascii="Times New Roman" w:hAnsi="Times New Roman"/>
          <w:color w:val="000000" w:themeColor="text1"/>
          <w:sz w:val="16"/>
          <w:szCs w:val="16"/>
        </w:rPr>
        <w:softHyphen/>
        <w:t>редним нижним узлам сварной частя фюзеляжа и связываются между собою /снизу/ осью шасси. Задние ноги и крыльевые подкоса сое</w:t>
      </w:r>
      <w:r w:rsidRPr="0044524F">
        <w:rPr>
          <w:rFonts w:ascii="Times New Roman" w:hAnsi="Times New Roman"/>
          <w:color w:val="000000" w:themeColor="text1"/>
          <w:sz w:val="16"/>
          <w:szCs w:val="16"/>
        </w:rPr>
        <w:softHyphen/>
        <w:t>диняются в 2 узла /кабана/ между которыми проходит дополнитель</w:t>
      </w:r>
      <w:r w:rsidRPr="0044524F">
        <w:rPr>
          <w:rFonts w:ascii="Times New Roman" w:hAnsi="Times New Roman"/>
          <w:color w:val="000000" w:themeColor="text1"/>
          <w:sz w:val="16"/>
          <w:szCs w:val="16"/>
        </w:rPr>
        <w:softHyphen/>
        <w:t>ная ось. Дополнительная ось в свою очередь связана 2-мя горизон</w:t>
      </w:r>
      <w:r w:rsidRPr="0044524F">
        <w:rPr>
          <w:rFonts w:ascii="Times New Roman" w:hAnsi="Times New Roman"/>
          <w:color w:val="000000" w:themeColor="text1"/>
          <w:sz w:val="16"/>
          <w:szCs w:val="16"/>
        </w:rPr>
        <w:softHyphen/>
        <w:t>тальными распорными трубами с основной осью. Верхние концы ног укрепляются к переднему и заднему узлу сварной частя фюзеляжа. Верхние концы подкосов приходятся в-местах подхода переднего и заднего лонжеронов крыла..</w:t>
      </w:r>
    </w:p>
    <w:p w14:paraId="343C3C5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Колеса - стандартного типа; размер 750 х 125 м/м.</w:t>
      </w:r>
    </w:p>
    <w:p w14:paraId="05E29A5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 с т ы л ь- ориентирующийся.</w:t>
      </w:r>
    </w:p>
    <w:p w14:paraId="6148985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 о р у ж е н и е- Самолет имеет следующие об"екты вооружения:</w:t>
      </w:r>
    </w:p>
    <w:p w14:paraId="3908D7B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2 пушки АПК-4 бис- 76,2 м/м. с автоматическим механизмом перезаряжания и 14 снарядов к ним.</w:t>
      </w:r>
    </w:p>
    <w:p w14:paraId="23482B0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Одинпулемет ПВ-1 стреляющий через винт мотора посредст</w:t>
      </w:r>
      <w:r w:rsidRPr="0044524F">
        <w:rPr>
          <w:rFonts w:ascii="Times New Roman" w:hAnsi="Times New Roman"/>
          <w:color w:val="000000" w:themeColor="text1"/>
          <w:sz w:val="16"/>
          <w:szCs w:val="16"/>
        </w:rPr>
        <w:softHyphen/>
        <w:t>вом пулеметной установки ПУЛ-9 с 750 патронами.</w:t>
      </w:r>
    </w:p>
    <w:p w14:paraId="22A6563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Оптический прицел Альдис.</w:t>
      </w:r>
    </w:p>
    <w:p w14:paraId="62469D8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б о р у д о в а н и е - является нормальным для истребителя.</w:t>
      </w:r>
    </w:p>
    <w:p w14:paraId="4A160F3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Бензиновые баки состоят из главного на 87 кг. грозненского бензина марки Г2 я добавочного на 48 кг. В случае применения бензол-бензина обычне количество горючего составляет 145 кг.</w:t>
      </w:r>
    </w:p>
    <w:p w14:paraId="4B51D21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МасляныК бак расчитан на 18 кг.</w:t>
      </w:r>
    </w:p>
    <w:p w14:paraId="1CF6CAC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Ц Е Н Т Р О В К А И Е Е В А Р И А Н Т 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88"/>
        <w:gridCol w:w="2398"/>
        <w:gridCol w:w="965"/>
        <w:gridCol w:w="799"/>
        <w:gridCol w:w="922"/>
        <w:gridCol w:w="929"/>
        <w:gridCol w:w="1267"/>
      </w:tblGrid>
      <w:tr w:rsidR="004E10C1" w:rsidRPr="0044524F" w14:paraId="0A3F3D89" w14:textId="77777777">
        <w:trPr>
          <w:trHeight w:val="432"/>
        </w:trPr>
        <w:tc>
          <w:tcPr>
            <w:tcW w:w="288" w:type="dxa"/>
            <w:tcBorders>
              <w:top w:val="single" w:sz="12" w:space="0" w:color="auto"/>
            </w:tcBorders>
          </w:tcPr>
          <w:p w14:paraId="42CCF94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lastRenderedPageBreak/>
              <w:t>п/п</w:t>
            </w:r>
          </w:p>
        </w:tc>
        <w:tc>
          <w:tcPr>
            <w:tcW w:w="2398" w:type="dxa"/>
            <w:tcBorders>
              <w:top w:val="single" w:sz="12" w:space="0" w:color="auto"/>
            </w:tcBorders>
          </w:tcPr>
          <w:p w14:paraId="4C83BDE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Наименование</w:t>
            </w:r>
          </w:p>
        </w:tc>
        <w:tc>
          <w:tcPr>
            <w:tcW w:w="965" w:type="dxa"/>
            <w:tcBorders>
              <w:top w:val="single" w:sz="12" w:space="0" w:color="auto"/>
            </w:tcBorders>
          </w:tcPr>
          <w:p w14:paraId="75185D9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нагрузки в кг.</w:t>
            </w:r>
          </w:p>
        </w:tc>
        <w:tc>
          <w:tcPr>
            <w:tcW w:w="799" w:type="dxa"/>
            <w:tcBorders>
              <w:top w:val="single" w:sz="12" w:space="0" w:color="auto"/>
            </w:tcBorders>
          </w:tcPr>
          <w:p w14:paraId="42CA750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Обшй вес в кг.</w:t>
            </w:r>
          </w:p>
        </w:tc>
        <w:tc>
          <w:tcPr>
            <w:tcW w:w="922" w:type="dxa"/>
            <w:tcBorders>
              <w:top w:val="single" w:sz="12" w:space="0" w:color="auto"/>
            </w:tcBorders>
          </w:tcPr>
          <w:p w14:paraId="6BF8FA1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Координаты ЦТ к передней </w:t>
            </w:r>
            <w:r w:rsidRPr="0044524F">
              <w:rPr>
                <w:rFonts w:ascii="Times New Roman" w:hAnsi="Times New Roman"/>
                <w:color w:val="000000" w:themeColor="text1"/>
                <w:sz w:val="16"/>
                <w:szCs w:val="16"/>
              </w:rPr>
              <w:lastRenderedPageBreak/>
              <w:t>точки хорды крыла у фюзеляжа</w:t>
            </w:r>
          </w:p>
        </w:tc>
        <w:tc>
          <w:tcPr>
            <w:tcW w:w="929" w:type="dxa"/>
            <w:tcBorders>
              <w:top w:val="single" w:sz="12" w:space="0" w:color="auto"/>
            </w:tcBorders>
          </w:tcPr>
          <w:p w14:paraId="499F2F0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Borders>
              <w:top w:val="single" w:sz="12" w:space="0" w:color="auto"/>
            </w:tcBorders>
          </w:tcPr>
          <w:p w14:paraId="7ADCF8B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 к САХ крыла</w:t>
            </w:r>
          </w:p>
        </w:tc>
      </w:tr>
      <w:tr w:rsidR="004E10C1" w:rsidRPr="0044524F" w14:paraId="54AC26B7" w14:textId="77777777">
        <w:trPr>
          <w:trHeight w:val="432"/>
        </w:trPr>
        <w:tc>
          <w:tcPr>
            <w:tcW w:w="288" w:type="dxa"/>
          </w:tcPr>
          <w:p w14:paraId="3728605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398" w:type="dxa"/>
          </w:tcPr>
          <w:p w14:paraId="23051D4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1641430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60B51E4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Pr>
          <w:p w14:paraId="1F57BFF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м/м.</w:t>
            </w:r>
          </w:p>
          <w:p w14:paraId="046B703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9" w:type="dxa"/>
          </w:tcPr>
          <w:p w14:paraId="28BBFA5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Ук/м.</w:t>
            </w:r>
          </w:p>
          <w:p w14:paraId="4E80B79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Pr>
          <w:p w14:paraId="3B0F4A8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54E4A1" w14:textId="77777777">
        <w:trPr>
          <w:trHeight w:val="432"/>
        </w:trPr>
        <w:tc>
          <w:tcPr>
            <w:tcW w:w="288" w:type="dxa"/>
          </w:tcPr>
          <w:p w14:paraId="6B56215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398" w:type="dxa"/>
          </w:tcPr>
          <w:p w14:paraId="624A88F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пустой с несъемным оборудованием</w:t>
            </w:r>
          </w:p>
          <w:p w14:paraId="6075043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65" w:type="dxa"/>
          </w:tcPr>
          <w:p w14:paraId="0430347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328</w:t>
            </w:r>
          </w:p>
          <w:p w14:paraId="485A45D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99" w:type="dxa"/>
          </w:tcPr>
          <w:p w14:paraId="4A3676A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1320</w:t>
            </w:r>
          </w:p>
          <w:p w14:paraId="26723F2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2" w:type="dxa"/>
          </w:tcPr>
          <w:p w14:paraId="07ECAEC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p w14:paraId="1DF8ECD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29" w:type="dxa"/>
          </w:tcPr>
          <w:p w14:paraId="71A1EB6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318</w:t>
            </w:r>
          </w:p>
          <w:p w14:paraId="6BD1F58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267" w:type="dxa"/>
          </w:tcPr>
          <w:p w14:paraId="70C57E7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34,1</w:t>
            </w:r>
          </w:p>
          <w:p w14:paraId="63921C4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114086D" w14:textId="77777777">
        <w:trPr>
          <w:trHeight w:val="432"/>
        </w:trPr>
        <w:tc>
          <w:tcPr>
            <w:tcW w:w="288" w:type="dxa"/>
            <w:tcBorders>
              <w:bottom w:val="single" w:sz="12" w:space="0" w:color="auto"/>
            </w:tcBorders>
          </w:tcPr>
          <w:p w14:paraId="0ED3DDD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2398" w:type="dxa"/>
            <w:tcBorders>
              <w:bottom w:val="single" w:sz="12" w:space="0" w:color="auto"/>
            </w:tcBorders>
          </w:tcPr>
          <w:p w14:paraId="70F2439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полной боевой нагрузкой</w:t>
            </w:r>
          </w:p>
        </w:tc>
        <w:tc>
          <w:tcPr>
            <w:tcW w:w="965" w:type="dxa"/>
            <w:tcBorders>
              <w:bottom w:val="single" w:sz="12" w:space="0" w:color="auto"/>
            </w:tcBorders>
          </w:tcPr>
          <w:p w14:paraId="1916EFF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556</w:t>
            </w:r>
          </w:p>
        </w:tc>
        <w:tc>
          <w:tcPr>
            <w:tcW w:w="799" w:type="dxa"/>
            <w:tcBorders>
              <w:bottom w:val="single" w:sz="12" w:space="0" w:color="auto"/>
            </w:tcBorders>
          </w:tcPr>
          <w:p w14:paraId="1FFF912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1648</w:t>
            </w:r>
          </w:p>
        </w:tc>
        <w:tc>
          <w:tcPr>
            <w:tcW w:w="922" w:type="dxa"/>
            <w:tcBorders>
              <w:bottom w:val="single" w:sz="12" w:space="0" w:color="auto"/>
            </w:tcBorders>
          </w:tcPr>
          <w:p w14:paraId="2A7012C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844</w:t>
            </w:r>
          </w:p>
        </w:tc>
        <w:tc>
          <w:tcPr>
            <w:tcW w:w="929" w:type="dxa"/>
            <w:tcBorders>
              <w:bottom w:val="single" w:sz="12" w:space="0" w:color="auto"/>
            </w:tcBorders>
          </w:tcPr>
          <w:p w14:paraId="288E44E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267" w:type="dxa"/>
            <w:tcBorders>
              <w:bottom w:val="single" w:sz="12" w:space="0" w:color="auto"/>
            </w:tcBorders>
          </w:tcPr>
          <w:p w14:paraId="74F6F4A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36,3</w:t>
            </w:r>
          </w:p>
        </w:tc>
      </w:tr>
    </w:tbl>
    <w:p w14:paraId="3894172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Положение средней аэродинамической хорды по отношению к передней точке крыла у фюзеляжа - 119 м/и.</w:t>
      </w:r>
    </w:p>
    <w:p w14:paraId="244875E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средней аэродинамической хорды крыла.... 1978 м/м.</w:t>
      </w:r>
    </w:p>
    <w:p w14:paraId="0ADEFC4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ГОРИЗОНТАЛЬНЫЕ СКОРОСТИ НА РАЗНЫХ ВЫСОТАХ</w:t>
      </w:r>
    </w:p>
    <w:p w14:paraId="277FEFF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сведений: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462"/>
        <w:gridCol w:w="1152"/>
        <w:gridCol w:w="1022"/>
        <w:gridCol w:w="1044"/>
        <w:gridCol w:w="972"/>
        <w:gridCol w:w="1011"/>
        <w:gridCol w:w="992"/>
      </w:tblGrid>
      <w:tr w:rsidR="004E10C1" w:rsidRPr="0044524F" w14:paraId="2C96A6A8" w14:textId="77777777">
        <w:trPr>
          <w:trHeight w:val="367"/>
        </w:trPr>
        <w:tc>
          <w:tcPr>
            <w:tcW w:w="1462" w:type="dxa"/>
            <w:tcBorders>
              <w:top w:val="single" w:sz="12" w:space="0" w:color="auto"/>
            </w:tcBorders>
          </w:tcPr>
          <w:p w14:paraId="722623A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C32DC1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top w:val="single" w:sz="12" w:space="0" w:color="auto"/>
            </w:tcBorders>
          </w:tcPr>
          <w:p w14:paraId="063151B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МАКСИМАЛЬНЫЕ</w:t>
            </w:r>
          </w:p>
          <w:p w14:paraId="2D18B5A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Borders>
              <w:top w:val="single" w:sz="12" w:space="0" w:color="auto"/>
            </w:tcBorders>
          </w:tcPr>
          <w:p w14:paraId="27FD3E7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51B4D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Borders>
              <w:top w:val="single" w:sz="12" w:space="0" w:color="auto"/>
            </w:tcBorders>
          </w:tcPr>
          <w:p w14:paraId="0E94827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СРЕДНИЕ</w:t>
            </w:r>
          </w:p>
          <w:p w14:paraId="725EC71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Borders>
              <w:top w:val="single" w:sz="12" w:space="0" w:color="auto"/>
            </w:tcBorders>
          </w:tcPr>
          <w:p w14:paraId="39084A0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Borders>
              <w:top w:val="single" w:sz="12" w:space="0" w:color="auto"/>
            </w:tcBorders>
          </w:tcPr>
          <w:p w14:paraId="0E0C701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МИНИМАЛЬНЫЕ</w:t>
            </w:r>
          </w:p>
          <w:p w14:paraId="0E36019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top w:val="single" w:sz="12" w:space="0" w:color="auto"/>
            </w:tcBorders>
          </w:tcPr>
          <w:p w14:paraId="48E8F89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88B8989" w14:textId="77777777">
        <w:trPr>
          <w:trHeight w:val="763"/>
        </w:trPr>
        <w:tc>
          <w:tcPr>
            <w:tcW w:w="1462" w:type="dxa"/>
          </w:tcPr>
          <w:p w14:paraId="2A844C0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Высота в метрах. </w:t>
            </w:r>
          </w:p>
        </w:tc>
        <w:tc>
          <w:tcPr>
            <w:tcW w:w="1152" w:type="dxa"/>
          </w:tcPr>
          <w:p w14:paraId="30658FF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в км/час</w:t>
            </w:r>
          </w:p>
        </w:tc>
        <w:tc>
          <w:tcPr>
            <w:tcW w:w="1022" w:type="dxa"/>
          </w:tcPr>
          <w:p w14:paraId="435003D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Оборотов мотора в мин.</w:t>
            </w:r>
          </w:p>
        </w:tc>
        <w:tc>
          <w:tcPr>
            <w:tcW w:w="1044" w:type="dxa"/>
          </w:tcPr>
          <w:p w14:paraId="6FB1240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в км/час</w:t>
            </w:r>
          </w:p>
        </w:tc>
        <w:tc>
          <w:tcPr>
            <w:tcW w:w="972" w:type="dxa"/>
          </w:tcPr>
          <w:p w14:paraId="79C00C3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Оборотов мотора в мин.</w:t>
            </w:r>
          </w:p>
        </w:tc>
        <w:tc>
          <w:tcPr>
            <w:tcW w:w="1011" w:type="dxa"/>
          </w:tcPr>
          <w:p w14:paraId="57A1749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в км/час</w:t>
            </w:r>
          </w:p>
        </w:tc>
        <w:tc>
          <w:tcPr>
            <w:tcW w:w="992" w:type="dxa"/>
          </w:tcPr>
          <w:p w14:paraId="6801CFB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Оборотов мотора в мин.</w:t>
            </w:r>
          </w:p>
        </w:tc>
      </w:tr>
      <w:tr w:rsidR="004E10C1" w:rsidRPr="0044524F" w14:paraId="7EEA77DD" w14:textId="77777777">
        <w:trPr>
          <w:trHeight w:val="526"/>
        </w:trPr>
        <w:tc>
          <w:tcPr>
            <w:tcW w:w="1462" w:type="dxa"/>
          </w:tcPr>
          <w:p w14:paraId="0C281AA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p w14:paraId="7992150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743DDAD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259.0</w:t>
            </w:r>
          </w:p>
          <w:p w14:paraId="0401BC4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51A0DCF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2100</w:t>
            </w:r>
          </w:p>
          <w:p w14:paraId="2349BC2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5EC42ED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204,5</w:t>
            </w:r>
          </w:p>
          <w:p w14:paraId="2746901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5912272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287505D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2C6E00E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w:t>
            </w:r>
          </w:p>
          <w:p w14:paraId="1325FBD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333BDB2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1260</w:t>
            </w:r>
          </w:p>
          <w:p w14:paraId="1A530B7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72F2D98" w14:textId="77777777">
        <w:trPr>
          <w:trHeight w:val="504"/>
        </w:trPr>
        <w:tc>
          <w:tcPr>
            <w:tcW w:w="1462" w:type="dxa"/>
          </w:tcPr>
          <w:p w14:paraId="040551A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p w14:paraId="5B190FC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6B806A3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255,8</w:t>
            </w:r>
          </w:p>
          <w:p w14:paraId="3878918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0473F37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2095</w:t>
            </w:r>
          </w:p>
          <w:p w14:paraId="6F50B72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068F74F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202.2</w:t>
            </w:r>
          </w:p>
          <w:p w14:paraId="4885FB5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5707545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4F3BD92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4607CDC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133,4</w:t>
            </w:r>
          </w:p>
          <w:p w14:paraId="346DD56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4A0E4A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p w14:paraId="5B6FB2E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49B34FA" w14:textId="77777777">
        <w:trPr>
          <w:trHeight w:val="518"/>
        </w:trPr>
        <w:tc>
          <w:tcPr>
            <w:tcW w:w="1462" w:type="dxa"/>
          </w:tcPr>
          <w:p w14:paraId="17F50CB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p w14:paraId="2EF5A2E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2077F46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252.0</w:t>
            </w:r>
          </w:p>
          <w:p w14:paraId="34E8D86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63C1F8D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2080</w:t>
            </w:r>
          </w:p>
          <w:p w14:paraId="23738C9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2E58A2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p w14:paraId="5AF2837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24AB338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56E4386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0C53AA8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138,7</w:t>
            </w:r>
          </w:p>
          <w:p w14:paraId="00C17C8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19D2C9B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1340</w:t>
            </w:r>
          </w:p>
          <w:p w14:paraId="4692462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EF2E9B9" w14:textId="77777777">
        <w:trPr>
          <w:trHeight w:val="511"/>
        </w:trPr>
        <w:tc>
          <w:tcPr>
            <w:tcW w:w="1462" w:type="dxa"/>
          </w:tcPr>
          <w:p w14:paraId="014C505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p w14:paraId="67B1B95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Pr>
          <w:p w14:paraId="28204C3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248,4</w:t>
            </w:r>
          </w:p>
          <w:p w14:paraId="7A18F12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29E9870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2055</w:t>
            </w:r>
          </w:p>
          <w:p w14:paraId="7EEE8B4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206244A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198,3</w:t>
            </w:r>
          </w:p>
          <w:p w14:paraId="74F0083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377902F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3874CDC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7406F64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144</w:t>
            </w:r>
          </w:p>
          <w:p w14:paraId="4A23CBD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5A5048F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1390</w:t>
            </w:r>
          </w:p>
          <w:p w14:paraId="550C966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9067847" w14:textId="77777777">
        <w:trPr>
          <w:trHeight w:val="511"/>
        </w:trPr>
        <w:tc>
          <w:tcPr>
            <w:tcW w:w="1462" w:type="dxa"/>
          </w:tcPr>
          <w:p w14:paraId="27FD452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c>
          <w:tcPr>
            <w:tcW w:w="1152" w:type="dxa"/>
          </w:tcPr>
          <w:p w14:paraId="3A52FF6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244,2</w:t>
            </w:r>
          </w:p>
          <w:p w14:paraId="1D1CCD2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Pr>
          <w:p w14:paraId="74F7875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2020</w:t>
            </w:r>
          </w:p>
          <w:p w14:paraId="570F1E1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Pr>
          <w:p w14:paraId="7A0164E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195,5</w:t>
            </w:r>
          </w:p>
          <w:p w14:paraId="22885C3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Pr>
          <w:p w14:paraId="644583D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59E09AB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Pr>
          <w:p w14:paraId="189D1C4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149,4</w:t>
            </w:r>
          </w:p>
          <w:p w14:paraId="5E51AA0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Pr>
          <w:p w14:paraId="7DF596A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1455</w:t>
            </w:r>
          </w:p>
          <w:p w14:paraId="51A16E0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206849" w14:textId="77777777">
        <w:trPr>
          <w:trHeight w:val="518"/>
        </w:trPr>
        <w:tc>
          <w:tcPr>
            <w:tcW w:w="1462" w:type="dxa"/>
            <w:tcBorders>
              <w:bottom w:val="single" w:sz="12" w:space="0" w:color="auto"/>
            </w:tcBorders>
          </w:tcPr>
          <w:p w14:paraId="48411A0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p w14:paraId="049151E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2" w:type="dxa"/>
            <w:tcBorders>
              <w:bottom w:val="single" w:sz="12" w:space="0" w:color="auto"/>
            </w:tcBorders>
          </w:tcPr>
          <w:p w14:paraId="55FF8A9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239.2</w:t>
            </w:r>
          </w:p>
          <w:p w14:paraId="4775B3B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22" w:type="dxa"/>
            <w:tcBorders>
              <w:bottom w:val="single" w:sz="12" w:space="0" w:color="auto"/>
            </w:tcBorders>
          </w:tcPr>
          <w:p w14:paraId="097CC8B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2005</w:t>
            </w:r>
          </w:p>
          <w:p w14:paraId="132D5F7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44" w:type="dxa"/>
            <w:tcBorders>
              <w:bottom w:val="single" w:sz="12" w:space="0" w:color="auto"/>
            </w:tcBorders>
          </w:tcPr>
          <w:p w14:paraId="4EB40E2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w:t>
            </w:r>
          </w:p>
          <w:p w14:paraId="6C90CC2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72" w:type="dxa"/>
            <w:tcBorders>
              <w:bottom w:val="single" w:sz="12" w:space="0" w:color="auto"/>
            </w:tcBorders>
          </w:tcPr>
          <w:p w14:paraId="09F5056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17DC34F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11" w:type="dxa"/>
            <w:tcBorders>
              <w:bottom w:val="single" w:sz="12" w:space="0" w:color="auto"/>
            </w:tcBorders>
          </w:tcPr>
          <w:p w14:paraId="75E9336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156,4</w:t>
            </w:r>
          </w:p>
          <w:p w14:paraId="0E652B4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92" w:type="dxa"/>
            <w:tcBorders>
              <w:bottom w:val="single" w:sz="12" w:space="0" w:color="auto"/>
            </w:tcBorders>
          </w:tcPr>
          <w:p w14:paraId="5A39A27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1550</w:t>
            </w:r>
          </w:p>
          <w:p w14:paraId="701BD75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314DB05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СКОРОПОД'ЕМНОСТЬ И ПОТОЛОК.</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78"/>
        <w:gridCol w:w="1541"/>
        <w:gridCol w:w="1714"/>
        <w:gridCol w:w="1541"/>
        <w:gridCol w:w="1634"/>
      </w:tblGrid>
      <w:tr w:rsidR="004E10C1" w:rsidRPr="0044524F" w14:paraId="49C6EDCC" w14:textId="77777777">
        <w:trPr>
          <w:trHeight w:val="1080"/>
        </w:trPr>
        <w:tc>
          <w:tcPr>
            <w:tcW w:w="878" w:type="dxa"/>
            <w:tcBorders>
              <w:top w:val="single" w:sz="12" w:space="0" w:color="auto"/>
            </w:tcBorders>
          </w:tcPr>
          <w:p w14:paraId="0C72717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 мтр.</w:t>
            </w:r>
          </w:p>
          <w:p w14:paraId="1D76B73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6E60B26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под"ема в мин.</w:t>
            </w:r>
          </w:p>
          <w:p w14:paraId="0EA8A39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Borders>
              <w:top w:val="single" w:sz="12" w:space="0" w:color="auto"/>
            </w:tcBorders>
          </w:tcPr>
          <w:p w14:paraId="7699661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Вертикаль</w:t>
            </w:r>
            <w:r w:rsidRPr="0044524F">
              <w:rPr>
                <w:rFonts w:ascii="Times New Roman" w:hAnsi="Times New Roman"/>
                <w:color w:val="000000" w:themeColor="text1"/>
                <w:sz w:val="16"/>
                <w:szCs w:val="16"/>
              </w:rPr>
              <w:softHyphen/>
              <w:t>ная скорость в мтр/сек.</w:t>
            </w:r>
          </w:p>
          <w:p w14:paraId="75EF93E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top w:val="single" w:sz="12" w:space="0" w:color="auto"/>
            </w:tcBorders>
          </w:tcPr>
          <w:p w14:paraId="030A848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по приборам в км/час.</w:t>
            </w:r>
          </w:p>
          <w:p w14:paraId="4589EC2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Borders>
              <w:top w:val="single" w:sz="12" w:space="0" w:color="auto"/>
            </w:tcBorders>
          </w:tcPr>
          <w:p w14:paraId="5735833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Обороты мотора в мин.</w:t>
            </w:r>
          </w:p>
          <w:p w14:paraId="3AF7A6C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9A141D2" w14:textId="77777777">
        <w:trPr>
          <w:trHeight w:val="511"/>
        </w:trPr>
        <w:tc>
          <w:tcPr>
            <w:tcW w:w="878" w:type="dxa"/>
          </w:tcPr>
          <w:p w14:paraId="6F9D977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p w14:paraId="0BC8300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19E681B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p w14:paraId="3B0BEE4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53C1D41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w:t>
            </w:r>
          </w:p>
          <w:p w14:paraId="4DF35C1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C1FB18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142</w:t>
            </w:r>
          </w:p>
          <w:p w14:paraId="36E92D4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2A79E17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1865</w:t>
            </w:r>
          </w:p>
          <w:p w14:paraId="20CB7DA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1860C5D" w14:textId="77777777">
        <w:trPr>
          <w:trHeight w:val="338"/>
        </w:trPr>
        <w:tc>
          <w:tcPr>
            <w:tcW w:w="878" w:type="dxa"/>
          </w:tcPr>
          <w:p w14:paraId="7A66E54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p w14:paraId="5878079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FC87B2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p w14:paraId="192A848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0F2C043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w:t>
            </w:r>
          </w:p>
          <w:p w14:paraId="26A9A60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5552B59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w:t>
            </w:r>
          </w:p>
          <w:p w14:paraId="610DC01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678F28D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1860</w:t>
            </w:r>
          </w:p>
          <w:p w14:paraId="7A1DBA6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4144692" w14:textId="77777777">
        <w:trPr>
          <w:trHeight w:val="346"/>
        </w:trPr>
        <w:tc>
          <w:tcPr>
            <w:tcW w:w="878" w:type="dxa"/>
          </w:tcPr>
          <w:p w14:paraId="6E95361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p w14:paraId="6D49A05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3C99379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p w14:paraId="5CF6A42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7D042F2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7,45</w:t>
            </w:r>
          </w:p>
          <w:p w14:paraId="2491D3D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978D5D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w:t>
            </w:r>
          </w:p>
          <w:p w14:paraId="7BB17BA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62E216A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1850</w:t>
            </w:r>
          </w:p>
          <w:p w14:paraId="168CD6A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96D508E" w14:textId="77777777">
        <w:trPr>
          <w:trHeight w:val="346"/>
        </w:trPr>
        <w:tc>
          <w:tcPr>
            <w:tcW w:w="878" w:type="dxa"/>
          </w:tcPr>
          <w:p w14:paraId="08E430D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p w14:paraId="3531C3B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512D9AF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p w14:paraId="5D9E057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1245628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6Л</w:t>
            </w:r>
          </w:p>
          <w:p w14:paraId="0AE0BD6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6ACE669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0B4290B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13B678A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1840</w:t>
            </w:r>
          </w:p>
          <w:p w14:paraId="5A3F4CA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A15988F" w14:textId="77777777">
        <w:trPr>
          <w:trHeight w:val="346"/>
        </w:trPr>
        <w:tc>
          <w:tcPr>
            <w:tcW w:w="878" w:type="dxa"/>
          </w:tcPr>
          <w:p w14:paraId="01B82AE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p w14:paraId="1152DF8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3355D7F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w:t>
            </w:r>
          </w:p>
          <w:p w14:paraId="7F4B301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0280CAE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4,75</w:t>
            </w:r>
          </w:p>
          <w:p w14:paraId="21F4029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29132C9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p w14:paraId="5FA1E13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6049BE5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1830,</w:t>
            </w:r>
          </w:p>
          <w:p w14:paraId="0817F4C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AD012F6" w14:textId="77777777">
        <w:trPr>
          <w:trHeight w:val="346"/>
        </w:trPr>
        <w:tc>
          <w:tcPr>
            <w:tcW w:w="878" w:type="dxa"/>
          </w:tcPr>
          <w:p w14:paraId="498A76D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p w14:paraId="5FFF297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5AE5CB7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3CBC426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Pr>
          <w:p w14:paraId="1D4CCBB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p w14:paraId="262F812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Pr>
          <w:p w14:paraId="077A509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w:t>
            </w:r>
          </w:p>
          <w:p w14:paraId="7A729D2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Pr>
          <w:p w14:paraId="1A02C08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1820</w:t>
            </w:r>
          </w:p>
          <w:p w14:paraId="76A09DB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54DD32" w14:textId="77777777">
        <w:trPr>
          <w:trHeight w:val="396"/>
        </w:trPr>
        <w:tc>
          <w:tcPr>
            <w:tcW w:w="878" w:type="dxa"/>
            <w:tcBorders>
              <w:bottom w:val="single" w:sz="12" w:space="0" w:color="auto"/>
            </w:tcBorders>
          </w:tcPr>
          <w:p w14:paraId="6B741CF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w:t>
            </w:r>
          </w:p>
          <w:p w14:paraId="60871E8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3AAAAD8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20,6</w:t>
            </w:r>
          </w:p>
          <w:p w14:paraId="40D1073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714" w:type="dxa"/>
            <w:tcBorders>
              <w:bottom w:val="single" w:sz="12" w:space="0" w:color="auto"/>
            </w:tcBorders>
          </w:tcPr>
          <w:p w14:paraId="2E0F832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242760C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541" w:type="dxa"/>
            <w:tcBorders>
              <w:bottom w:val="single" w:sz="12" w:space="0" w:color="auto"/>
            </w:tcBorders>
          </w:tcPr>
          <w:p w14:paraId="15B7DA6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118</w:t>
            </w:r>
          </w:p>
          <w:p w14:paraId="494278C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634" w:type="dxa"/>
            <w:tcBorders>
              <w:bottom w:val="single" w:sz="12" w:space="0" w:color="auto"/>
            </w:tcBorders>
          </w:tcPr>
          <w:p w14:paraId="162088E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1810</w:t>
            </w:r>
          </w:p>
          <w:p w14:paraId="7931674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DB6BA7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при Ин=0.05 Ис равен 7000 мтр.за 35,2 м</w:t>
      </w:r>
    </w:p>
    <w:p w14:paraId="361CC92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 А Н Е В Р Е Н Н О С Т Ь.</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569"/>
        <w:gridCol w:w="569"/>
        <w:gridCol w:w="569"/>
        <w:gridCol w:w="576"/>
        <w:gridCol w:w="562"/>
        <w:gridCol w:w="540"/>
        <w:gridCol w:w="583"/>
        <w:gridCol w:w="554"/>
        <w:gridCol w:w="562"/>
        <w:gridCol w:w="569"/>
        <w:gridCol w:w="619"/>
        <w:gridCol w:w="518"/>
        <w:gridCol w:w="1130"/>
      </w:tblGrid>
      <w:tr w:rsidR="004E10C1" w:rsidRPr="0044524F" w14:paraId="1E68E9D3" w14:textId="77777777">
        <w:trPr>
          <w:trHeight w:val="252"/>
        </w:trPr>
        <w:tc>
          <w:tcPr>
            <w:tcW w:w="569" w:type="dxa"/>
            <w:tcBorders>
              <w:top w:val="single" w:sz="12" w:space="0" w:color="auto"/>
            </w:tcBorders>
          </w:tcPr>
          <w:p w14:paraId="095D365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57FB177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w:t>
            </w:r>
          </w:p>
        </w:tc>
        <w:tc>
          <w:tcPr>
            <w:tcW w:w="569" w:type="dxa"/>
            <w:tcBorders>
              <w:top w:val="single" w:sz="12" w:space="0" w:color="auto"/>
            </w:tcBorders>
          </w:tcPr>
          <w:p w14:paraId="56BF812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top w:val="single" w:sz="12" w:space="0" w:color="auto"/>
            </w:tcBorders>
          </w:tcPr>
          <w:p w14:paraId="0BCB727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smallCaps/>
                <w:color w:val="000000" w:themeColor="text1"/>
                <w:sz w:val="16"/>
                <w:szCs w:val="16"/>
              </w:rPr>
            </w:pPr>
          </w:p>
        </w:tc>
        <w:tc>
          <w:tcPr>
            <w:tcW w:w="562" w:type="dxa"/>
            <w:tcBorders>
              <w:top w:val="single" w:sz="12" w:space="0" w:color="auto"/>
            </w:tcBorders>
          </w:tcPr>
          <w:p w14:paraId="16F408C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w:t>
            </w:r>
          </w:p>
        </w:tc>
        <w:tc>
          <w:tcPr>
            <w:tcW w:w="540" w:type="dxa"/>
            <w:tcBorders>
              <w:top w:val="single" w:sz="12" w:space="0" w:color="auto"/>
            </w:tcBorders>
          </w:tcPr>
          <w:p w14:paraId="2B011B8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top w:val="single" w:sz="12" w:space="0" w:color="auto"/>
            </w:tcBorders>
          </w:tcPr>
          <w:p w14:paraId="6488BE3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Borders>
              <w:top w:val="single" w:sz="12" w:space="0" w:color="auto"/>
            </w:tcBorders>
          </w:tcPr>
          <w:p w14:paraId="6CF7019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Borders>
              <w:top w:val="single" w:sz="12" w:space="0" w:color="auto"/>
            </w:tcBorders>
          </w:tcPr>
          <w:p w14:paraId="5B0549C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top w:val="single" w:sz="12" w:space="0" w:color="auto"/>
            </w:tcBorders>
          </w:tcPr>
          <w:p w14:paraId="74ED748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Borders>
              <w:top w:val="single" w:sz="12" w:space="0" w:color="auto"/>
            </w:tcBorders>
          </w:tcPr>
          <w:p w14:paraId="549C08D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Обороты</w:t>
            </w:r>
          </w:p>
        </w:tc>
        <w:tc>
          <w:tcPr>
            <w:tcW w:w="518" w:type="dxa"/>
            <w:tcBorders>
              <w:top w:val="single" w:sz="12" w:space="0" w:color="auto"/>
            </w:tcBorders>
          </w:tcPr>
          <w:p w14:paraId="010C7AD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Borders>
              <w:top w:val="single" w:sz="12" w:space="0" w:color="auto"/>
            </w:tcBorders>
          </w:tcPr>
          <w:p w14:paraId="56D0AC2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2D7F068" w14:textId="77777777">
        <w:trPr>
          <w:trHeight w:val="252"/>
        </w:trPr>
        <w:tc>
          <w:tcPr>
            <w:tcW w:w="569" w:type="dxa"/>
          </w:tcPr>
          <w:p w14:paraId="39DF158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3E4A8A2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569" w:type="dxa"/>
          </w:tcPr>
          <w:p w14:paraId="4CA2E26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576" w:type="dxa"/>
          </w:tcPr>
          <w:p w14:paraId="1FD4099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562" w:type="dxa"/>
          </w:tcPr>
          <w:p w14:paraId="247FE77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59DF169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5E71B92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4BD9E0E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00957A1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0179E0C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3BB222D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518" w:type="dxa"/>
          </w:tcPr>
          <w:p w14:paraId="3BF0706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130" w:type="dxa"/>
          </w:tcPr>
          <w:p w14:paraId="12160C0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6AF83583" w14:textId="77777777">
        <w:trPr>
          <w:trHeight w:val="684"/>
        </w:trPr>
        <w:tc>
          <w:tcPr>
            <w:tcW w:w="569" w:type="dxa"/>
          </w:tcPr>
          <w:p w14:paraId="612EC8C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один правый</w:t>
            </w:r>
          </w:p>
        </w:tc>
        <w:tc>
          <w:tcPr>
            <w:tcW w:w="569" w:type="dxa"/>
          </w:tcPr>
          <w:p w14:paraId="5AD8816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16,8</w:t>
            </w:r>
          </w:p>
          <w:p w14:paraId="3EEA59B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3F7F910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18,8</w:t>
            </w:r>
          </w:p>
          <w:p w14:paraId="1BEB761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31DFAD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w:t>
            </w:r>
          </w:p>
          <w:p w14:paraId="202CE39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75232D3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w:t>
            </w:r>
          </w:p>
          <w:p w14:paraId="618B1E6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311B2E5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p w14:paraId="7ACC906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14CD658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26BC2A2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1BAB0D8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p w14:paraId="0C323C8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7E48A3A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43BB996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0EFA07B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29071A3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085EAA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1750</w:t>
            </w:r>
          </w:p>
          <w:p w14:paraId="7C86E7D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5E7A377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p w14:paraId="11AFC2C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1ECF21C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1890</w:t>
            </w:r>
          </w:p>
          <w:p w14:paraId="0B4ED96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B64FB85" w14:textId="77777777">
        <w:trPr>
          <w:trHeight w:val="605"/>
        </w:trPr>
        <w:tc>
          <w:tcPr>
            <w:tcW w:w="569" w:type="dxa"/>
          </w:tcPr>
          <w:p w14:paraId="4F29D9A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один левый</w:t>
            </w:r>
          </w:p>
        </w:tc>
        <w:tc>
          <w:tcPr>
            <w:tcW w:w="569" w:type="dxa"/>
          </w:tcPr>
          <w:p w14:paraId="138FA74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17,3</w:t>
            </w:r>
          </w:p>
        </w:tc>
        <w:tc>
          <w:tcPr>
            <w:tcW w:w="569" w:type="dxa"/>
          </w:tcPr>
          <w:p w14:paraId="0910E67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p w14:paraId="686672B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3D4BD09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p w14:paraId="208EF3B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2728CE2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6378C49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2B1AD7A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3FD10D9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520362D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p w14:paraId="66F313F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1652BAD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w:t>
            </w:r>
          </w:p>
          <w:p w14:paraId="7ED75D9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272F4C1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5C87ECF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6599D5C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59AB39A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18CF163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1780</w:t>
            </w:r>
          </w:p>
          <w:p w14:paraId="5B93A99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4ADF25B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p w14:paraId="6DB66EA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0ABF53E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1890</w:t>
            </w:r>
          </w:p>
          <w:p w14:paraId="6902CC5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35999D" w14:textId="77777777">
        <w:trPr>
          <w:trHeight w:val="518"/>
        </w:trPr>
        <w:tc>
          <w:tcPr>
            <w:tcW w:w="569" w:type="dxa"/>
          </w:tcPr>
          <w:p w14:paraId="5C11EAB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серия правых</w:t>
            </w:r>
          </w:p>
        </w:tc>
        <w:tc>
          <w:tcPr>
            <w:tcW w:w="569" w:type="dxa"/>
          </w:tcPr>
          <w:p w14:paraId="366660A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w:t>
            </w:r>
          </w:p>
          <w:p w14:paraId="1097796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1E1A4DB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66,5</w:t>
            </w:r>
          </w:p>
          <w:p w14:paraId="7224871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E5FC29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75,1</w:t>
            </w:r>
          </w:p>
          <w:p w14:paraId="3AB8118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4284AA8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p w14:paraId="768ED20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601B962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p w14:paraId="1D5D3B8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1CC080B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p w14:paraId="2016661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16582F8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w:t>
            </w:r>
          </w:p>
          <w:p w14:paraId="5023B1A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0462E6D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613EFFD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48EA330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5BB53FE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53626ED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1740</w:t>
            </w:r>
          </w:p>
          <w:p w14:paraId="0244199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0996484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p w14:paraId="65600C9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Pr>
          <w:p w14:paraId="30CFAED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1875</w:t>
            </w:r>
          </w:p>
          <w:p w14:paraId="2A72A52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3E5410A" w14:textId="77777777">
        <w:trPr>
          <w:trHeight w:val="425"/>
        </w:trPr>
        <w:tc>
          <w:tcPr>
            <w:tcW w:w="569" w:type="dxa"/>
          </w:tcPr>
          <w:p w14:paraId="2252DF7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серия левых</w:t>
            </w:r>
          </w:p>
        </w:tc>
        <w:tc>
          <w:tcPr>
            <w:tcW w:w="569" w:type="dxa"/>
          </w:tcPr>
          <w:p w14:paraId="6053EAB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p w14:paraId="0E604C7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1F615C5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68,0</w:t>
            </w:r>
          </w:p>
          <w:p w14:paraId="75209F3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Pr>
          <w:p w14:paraId="7F89F05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74.0</w:t>
            </w:r>
          </w:p>
          <w:p w14:paraId="69D69D0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695260B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18554A8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Pr>
          <w:p w14:paraId="1B184B0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0E01F67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Pr>
          <w:p w14:paraId="7C585D2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w:t>
            </w:r>
          </w:p>
          <w:p w14:paraId="64F9ECD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Pr>
          <w:p w14:paraId="6300E2E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p w14:paraId="340CB09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Pr>
          <w:p w14:paraId="65DFB5C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524D3EC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Pr>
          <w:p w14:paraId="786D331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104D4C4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Pr>
          <w:p w14:paraId="0072FFE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1740</w:t>
            </w:r>
          </w:p>
          <w:p w14:paraId="56D013C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Pr>
          <w:p w14:paraId="0794022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1710</w:t>
            </w:r>
          </w:p>
        </w:tc>
        <w:tc>
          <w:tcPr>
            <w:tcW w:w="1130" w:type="dxa"/>
          </w:tcPr>
          <w:p w14:paraId="54245CD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1860</w:t>
            </w:r>
          </w:p>
          <w:p w14:paraId="1209FAC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23541C1" w14:textId="77777777">
        <w:trPr>
          <w:trHeight w:val="403"/>
        </w:trPr>
        <w:tc>
          <w:tcPr>
            <w:tcW w:w="569" w:type="dxa"/>
            <w:tcBorders>
              <w:bottom w:val="single" w:sz="12" w:space="0" w:color="auto"/>
            </w:tcBorders>
          </w:tcPr>
          <w:p w14:paraId="2CFCD35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восбмерки</w:t>
            </w:r>
          </w:p>
        </w:tc>
        <w:tc>
          <w:tcPr>
            <w:tcW w:w="569" w:type="dxa"/>
            <w:tcBorders>
              <w:bottom w:val="single" w:sz="12" w:space="0" w:color="auto"/>
            </w:tcBorders>
          </w:tcPr>
          <w:p w14:paraId="7A442E4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p w14:paraId="24B0682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1E98A4D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p w14:paraId="60F9A66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76" w:type="dxa"/>
            <w:tcBorders>
              <w:bottom w:val="single" w:sz="12" w:space="0" w:color="auto"/>
            </w:tcBorders>
          </w:tcPr>
          <w:p w14:paraId="64726BE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53,0</w:t>
            </w:r>
          </w:p>
          <w:p w14:paraId="14A261A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3487EF6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5DF7DF5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40" w:type="dxa"/>
            <w:tcBorders>
              <w:bottom w:val="single" w:sz="12" w:space="0" w:color="auto"/>
            </w:tcBorders>
          </w:tcPr>
          <w:p w14:paraId="093FEAC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p w14:paraId="741F2D9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83" w:type="dxa"/>
            <w:tcBorders>
              <w:bottom w:val="single" w:sz="12" w:space="0" w:color="auto"/>
            </w:tcBorders>
          </w:tcPr>
          <w:p w14:paraId="6B24A40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p w14:paraId="77B5F7A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54" w:type="dxa"/>
            <w:tcBorders>
              <w:bottom w:val="single" w:sz="12" w:space="0" w:color="auto"/>
            </w:tcBorders>
          </w:tcPr>
          <w:p w14:paraId="1AEAFB1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p w14:paraId="43B076F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2" w:type="dxa"/>
            <w:tcBorders>
              <w:bottom w:val="single" w:sz="12" w:space="0" w:color="auto"/>
            </w:tcBorders>
          </w:tcPr>
          <w:p w14:paraId="63D04C4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490C01C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69" w:type="dxa"/>
            <w:tcBorders>
              <w:bottom w:val="single" w:sz="12" w:space="0" w:color="auto"/>
            </w:tcBorders>
          </w:tcPr>
          <w:p w14:paraId="6CAC5CD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2B73B85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619" w:type="dxa"/>
            <w:tcBorders>
              <w:bottom w:val="single" w:sz="12" w:space="0" w:color="auto"/>
            </w:tcBorders>
          </w:tcPr>
          <w:p w14:paraId="1173E00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1740</w:t>
            </w:r>
          </w:p>
          <w:p w14:paraId="256596F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518" w:type="dxa"/>
            <w:tcBorders>
              <w:bottom w:val="single" w:sz="12" w:space="0" w:color="auto"/>
            </w:tcBorders>
          </w:tcPr>
          <w:p w14:paraId="455DBE0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p w14:paraId="384FD7C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30" w:type="dxa"/>
            <w:tcBorders>
              <w:bottom w:val="single" w:sz="12" w:space="0" w:color="auto"/>
            </w:tcBorders>
          </w:tcPr>
          <w:p w14:paraId="6A15C0D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1870</w:t>
            </w:r>
          </w:p>
          <w:p w14:paraId="5F93BFE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0285E3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13. КРЕЙСЕРСКАЯ СКОРОСТЬ, РАСХОД ГОРЮЧЕГО И ДАЛЬНОСТЬ ПОЛЕТА.</w:t>
      </w:r>
    </w:p>
    <w:p w14:paraId="77B3E47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по т р е у г о л ь н в к у:</w:t>
      </w:r>
    </w:p>
    <w:p w14:paraId="4B50535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Щелково-Покров / пересечение железных дорог/.</w:t>
      </w:r>
    </w:p>
    <w:p w14:paraId="639A0DB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Покров-Щелково</w:t>
      </w:r>
    </w:p>
    <w:p w14:paraId="280E036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Щелково-Сергиев Посад-Щелково.</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14"/>
        <w:gridCol w:w="814"/>
        <w:gridCol w:w="1051"/>
        <w:gridCol w:w="900"/>
        <w:gridCol w:w="1159"/>
        <w:gridCol w:w="2635"/>
      </w:tblGrid>
      <w:tr w:rsidR="004E10C1" w:rsidRPr="0044524F" w14:paraId="46CF4CA5" w14:textId="77777777">
        <w:trPr>
          <w:trHeight w:val="886"/>
        </w:trPr>
        <w:tc>
          <w:tcPr>
            <w:tcW w:w="814" w:type="dxa"/>
            <w:tcBorders>
              <w:top w:val="single" w:sz="12" w:space="0" w:color="auto"/>
            </w:tcBorders>
          </w:tcPr>
          <w:p w14:paraId="3CA51D9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814" w:type="dxa"/>
            <w:tcBorders>
              <w:top w:val="single" w:sz="12" w:space="0" w:color="auto"/>
            </w:tcBorders>
          </w:tcPr>
          <w:p w14:paraId="256C48C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Обороты</w:t>
            </w:r>
          </w:p>
        </w:tc>
        <w:tc>
          <w:tcPr>
            <w:tcW w:w="1051" w:type="dxa"/>
            <w:tcBorders>
              <w:top w:val="single" w:sz="12" w:space="0" w:color="auto"/>
            </w:tcBorders>
          </w:tcPr>
          <w:p w14:paraId="462FB80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/км/час крейсер</w:t>
            </w:r>
            <w:r w:rsidRPr="0044524F">
              <w:rPr>
                <w:rFonts w:ascii="Times New Roman" w:hAnsi="Times New Roman"/>
                <w:color w:val="000000" w:themeColor="text1"/>
                <w:sz w:val="16"/>
                <w:szCs w:val="16"/>
              </w:rPr>
              <w:softHyphen/>
              <w:t>ская ско рость.</w:t>
            </w:r>
          </w:p>
          <w:p w14:paraId="2FB2D86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top w:val="single" w:sz="12" w:space="0" w:color="auto"/>
            </w:tcBorders>
          </w:tcPr>
          <w:p w14:paraId="7B25B42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 в час в кг.</w:t>
            </w:r>
          </w:p>
          <w:p w14:paraId="707DEF5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Borders>
              <w:top w:val="single" w:sz="12" w:space="0" w:color="auto"/>
            </w:tcBorders>
          </w:tcPr>
          <w:p w14:paraId="2A55053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Расход на км/пути</w:t>
            </w:r>
          </w:p>
          <w:p w14:paraId="1AB6435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35" w:type="dxa"/>
            <w:tcBorders>
              <w:top w:val="single" w:sz="12" w:space="0" w:color="auto"/>
            </w:tcBorders>
          </w:tcPr>
          <w:p w14:paraId="5D41F5B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в клм.</w:t>
            </w:r>
          </w:p>
          <w:p w14:paraId="467D0FA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30E2560" w14:textId="77777777">
        <w:trPr>
          <w:trHeight w:val="547"/>
        </w:trPr>
        <w:tc>
          <w:tcPr>
            <w:tcW w:w="814" w:type="dxa"/>
            <w:tcBorders>
              <w:bottom w:val="single" w:sz="12" w:space="0" w:color="auto"/>
            </w:tcBorders>
          </w:tcPr>
          <w:p w14:paraId="19BC25E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814" w:type="dxa"/>
            <w:tcBorders>
              <w:bottom w:val="single" w:sz="12" w:space="0" w:color="auto"/>
            </w:tcBorders>
          </w:tcPr>
          <w:p w14:paraId="62066E6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w:t>
            </w:r>
          </w:p>
          <w:p w14:paraId="2BC61F5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051" w:type="dxa"/>
            <w:tcBorders>
              <w:bottom w:val="single" w:sz="12" w:space="0" w:color="auto"/>
            </w:tcBorders>
          </w:tcPr>
          <w:p w14:paraId="6AAD0FB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w:t>
            </w:r>
          </w:p>
          <w:p w14:paraId="0C41BC4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00" w:type="dxa"/>
            <w:tcBorders>
              <w:bottom w:val="single" w:sz="12" w:space="0" w:color="auto"/>
            </w:tcBorders>
          </w:tcPr>
          <w:p w14:paraId="50E0918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69,0</w:t>
            </w:r>
          </w:p>
          <w:p w14:paraId="523B1E6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1159" w:type="dxa"/>
            <w:tcBorders>
              <w:bottom w:val="single" w:sz="12" w:space="0" w:color="auto"/>
            </w:tcBorders>
          </w:tcPr>
          <w:p w14:paraId="4109A6F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0,348</w:t>
            </w:r>
          </w:p>
          <w:p w14:paraId="2A5713E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635" w:type="dxa"/>
            <w:tcBorders>
              <w:bottom w:val="single" w:sz="12" w:space="0" w:color="auto"/>
            </w:tcBorders>
          </w:tcPr>
          <w:p w14:paraId="69A2FA9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w:t>
            </w:r>
          </w:p>
          <w:p w14:paraId="2C73D70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00BCC64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На рулежку, планирование и набор высота отведено 20% от общего количества горючего. Дальность под</w:t>
      </w:r>
      <w:r w:rsidRPr="0044524F">
        <w:rPr>
          <w:rFonts w:ascii="Times New Roman" w:hAnsi="Times New Roman"/>
          <w:color w:val="000000" w:themeColor="text1"/>
          <w:sz w:val="16"/>
          <w:szCs w:val="16"/>
        </w:rPr>
        <w:softHyphen/>
        <w:t>считана до полного выгорания горючего. Расход масла от 3 до 3,5 кг. в час.</w:t>
      </w:r>
    </w:p>
    <w:p w14:paraId="650FECC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РАЗБЕГ И П Р О Б Е Г.</w:t>
      </w:r>
    </w:p>
    <w:p w14:paraId="2EFC989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 а з б е г........110 мтр. в 8,2 сек.</w:t>
      </w:r>
    </w:p>
    <w:p w14:paraId="2B75D00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р об е г........180 мтр. за 15,2 сек.</w:t>
      </w:r>
    </w:p>
    <w:p w14:paraId="61BACF8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ПЛАНИРОВАНИЕ И ПОСАДОЧНАЯ СКОРОСТЬ.</w:t>
      </w:r>
    </w:p>
    <w:p w14:paraId="56B9056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при наивыгодн. угле снижен.........148 км/час.</w:t>
      </w:r>
    </w:p>
    <w:p w14:paraId="131013B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Наивыгоднейш угол наклона траектории..... 7° 50</w:t>
      </w:r>
    </w:p>
    <w:p w14:paraId="6AD0ECC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планирования с высоты 1000 мтр.... 7,2 км.</w:t>
      </w:r>
    </w:p>
    <w:p w14:paraId="6C1983C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 е м я..............................2,58 сек.</w:t>
      </w:r>
    </w:p>
    <w:p w14:paraId="29E2887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скорость.......................110 км/час.</w:t>
      </w:r>
    </w:p>
    <w:p w14:paraId="729A4F9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16.ТРАЕКТОРИЯ ВЗЛЕТА И ВЗЛЕТНАЯ СКОРОСТЬ.</w:t>
      </w:r>
    </w:p>
    <w:p w14:paraId="24EB3DB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при наивыгоднейшем угле подъема..... .153 км/час</w:t>
      </w:r>
    </w:p>
    <w:p w14:paraId="6FAAD59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Наивыгоднейший угол под”ема...................12,5°</w:t>
      </w:r>
    </w:p>
    <w:p w14:paraId="07CFF7D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на 1000 мтр............... 1,8 мин.</w:t>
      </w:r>
    </w:p>
    <w:p w14:paraId="5063B6C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при наивыгоднейшем угле отрыва от з е м л и.................................115 км/час.</w:t>
      </w:r>
    </w:p>
    <w:p w14:paraId="1C6757D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ЛЕТНО-ТАКТИЧЕСКАЯ ОЦЕНКА САМОЛЕТА "ЗЕТ” С МОТОРОМ ЮУ1.</w:t>
      </w:r>
    </w:p>
    <w:p w14:paraId="43A2B13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Каби на удобна и просторна. Требуется увеличить опускание. сидения на 1-2 зубца вниз, так как на больиих скоростях летчик испытывает большое задувание. Посадка в кабину неудобна, необ</w:t>
      </w:r>
      <w:r w:rsidRPr="0044524F">
        <w:rPr>
          <w:rFonts w:ascii="Times New Roman" w:hAnsi="Times New Roman"/>
          <w:color w:val="000000" w:themeColor="text1"/>
          <w:sz w:val="16"/>
          <w:szCs w:val="16"/>
        </w:rPr>
        <w:softHyphen/>
        <w:t>ходимо сделать выдвижную поднодку.</w:t>
      </w:r>
    </w:p>
    <w:p w14:paraId="5376904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Проба мотора. При пробе мотора на оборотах свыше 1500 необходимо хвост удерживать. Колодки вполне подходят от самолетов И4 и И5.</w:t>
      </w:r>
    </w:p>
    <w:p w14:paraId="068AF90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Руление. Самолет рулит на 700-800 об/мин. На ровном и сухом грунте может рулить и на меньших оборотах; позволяет рулить без сопровождающего. Управляемость удовлетворительная. При рулении ручку следует отдавать от себя для облегчения хвоста и уменьшения нагрузки на ручку летчика.</w:t>
      </w:r>
    </w:p>
    <w:p w14:paraId="1C810CB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Взлет. При разбеге самолет требует почти полной отдачи ручки от себя с обязательным опережением ручки по отношению к даче газу; к концу разбега необходимо поддерживать ручкой. При нормальном взлете никаких тенденций к разворотам не имеет, на взлете с недос</w:t>
      </w:r>
      <w:r w:rsidRPr="0044524F">
        <w:rPr>
          <w:rFonts w:ascii="Times New Roman" w:hAnsi="Times New Roman"/>
          <w:color w:val="000000" w:themeColor="text1"/>
          <w:sz w:val="16"/>
          <w:szCs w:val="16"/>
        </w:rPr>
        <w:softHyphen/>
        <w:t>таточно поднятым хвостом на малой скорости, самолет очень быстро отрывается с разворотом в право.</w:t>
      </w:r>
    </w:p>
    <w:p w14:paraId="1DD27E2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Набор высоты. Наивыгоднейшая скорость набора высоты уземли 153 кв/час. с подъемом на высоту необходимо на каждую 1000 м. уменьшать скорость на 4 км/час: Во время набора при брошенной ручке самолет идет вверх до полной потери скорости. Нагрузка на ручку почти совершенно отсутствует.</w:t>
      </w:r>
    </w:p>
    <w:p w14:paraId="2F3EBA0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Горизоктальный полет особенностей не имеет. При 1500-1550 об/мин самолет идет с отпущенной ручкой по прямой. Нагрузка на ручку отсутствует.</w:t>
      </w:r>
    </w:p>
    <w:p w14:paraId="1473247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Устойчивость самолета. Правильно отрегулированный самолет достаточно устойчив во всех отношениях как впродольном, поперечном так и пути. При наличии нечеткости в регулировке, самолет при брошеном управлении имеет тенденцию к развороту вправо и требует постоянного поддерживания левой ногой. Управление достаточно мягко и легко. При внезапном сбавлении газа, самолет переходит на нос до скорости 200 км/час и делает колебания в диапазоне - 200-160 км/час.</w:t>
      </w:r>
    </w:p>
    <w:p w14:paraId="204AAA1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Планирование. Самолет достаточно устойчиво планирует на скорости 160 км/час; наибольшая продолжительность планирования на скорости 143 км/час, с брошеным управлением самолет планирует сам; на скорости 130-160, самолет имеет тенденцию клевать на нос.</w:t>
      </w:r>
    </w:p>
    <w:p w14:paraId="6B6D264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Вираж и восьмерки .Самолет виражит хорошо при вводе на скорости 150-160 км/час. С виража в вираж прекладывается легко, время виража на высоте 1000 мтр. 16,8 сек. Выполнение этих фгур требует хорошее координации и внимания от летчика. Самолет не любит резких движений на вираже при перетягивании ручки теряет скорость, появ</w:t>
      </w:r>
      <w:r w:rsidRPr="0044524F">
        <w:rPr>
          <w:rFonts w:ascii="Times New Roman" w:hAnsi="Times New Roman"/>
          <w:color w:val="000000" w:themeColor="text1"/>
          <w:sz w:val="16"/>
          <w:szCs w:val="16"/>
        </w:rPr>
        <w:softHyphen/>
        <w:t>ляются вибрации и самолет теряет устойчивость. На левом вираже имеет тенденцию к задиру, на правом к забрыванию. Рулей вполне достаточно. Хорошо выполняет боевые развороты.</w:t>
      </w:r>
    </w:p>
    <w:p w14:paraId="5562426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Скольжение. Самолет скользит нормально с креном 25-30°.</w:t>
      </w:r>
    </w:p>
    <w:p w14:paraId="359AC76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Парашютирование. Парашютирует хорошо на скорости 70-75 км/час с уменьшением скорости появляется незначительная вибрация хвосто</w:t>
      </w:r>
      <w:r w:rsidRPr="0044524F">
        <w:rPr>
          <w:rFonts w:ascii="Times New Roman" w:hAnsi="Times New Roman"/>
          <w:color w:val="000000" w:themeColor="text1"/>
          <w:sz w:val="16"/>
          <w:szCs w:val="16"/>
        </w:rPr>
        <w:softHyphen/>
        <w:t xml:space="preserve">вого оперения. </w:t>
      </w:r>
    </w:p>
    <w:p w14:paraId="0DE1A88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Пикирование. Самолет устойчиво пикирует; со скоростью 280 км/час и выше появляется незначительная вибрация хвостового оперения. Вывод из пикирования легок, нагрузка на ручку незначительная.</w:t>
      </w:r>
    </w:p>
    <w:p w14:paraId="250ABCD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Штопор Испытания на штопор с системами ЛПК не производилось. Тенденции к срыву в штопор самолет не имеет.</w:t>
      </w:r>
    </w:p>
    <w:p w14:paraId="27FAC19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Петли перевороты, с системами не производились, без систем на самолете выполнялись петли с одинарные переворотом.</w:t>
      </w:r>
    </w:p>
    <w:p w14:paraId="59E0CC7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Посадка. Посадка на самолете проста. Подход к земле на скорости 120125 км/час по сафу, самолет легко садится на три точки с недобраной ручкой. Не любит высокого перевода и резких движений в силу особой чуткости руля глубины. Стремлений к развороту при пробеге не ямеет. Козлят довольно сильно.</w:t>
      </w:r>
    </w:p>
    <w:p w14:paraId="2011B81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Обзор самолета. Обзор вверх я в стороны хороший, вниз я в стороны слепой. В полете на низких высотах вперед обзор плохой - мешает крыло.</w:t>
      </w:r>
    </w:p>
    <w:p w14:paraId="62CF4A2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Наводка на цель. Наводка на цель самолетом и удержание цели на прицеле не затруднена, самолет устойчив в этом подожении</w:t>
      </w:r>
    </w:p>
    <w:p w14:paraId="455C9C2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Воздушны и бой. Примерный воздушный бой проведен на высоте 1500 мтр. с самолетами И4 и Р5. Вести бой с И4 самолет “ЗЕТ" может только в вертикальном направлении с применением фигур. Преимушество остается на стороне самолета И4.</w:t>
      </w:r>
    </w:p>
    <w:p w14:paraId="0CE0344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виражах самолет И4 свободно заходят в хвост.</w:t>
      </w:r>
    </w:p>
    <w:p w14:paraId="1043528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бою с самолетом Р5, самолет “ЗЕТ" легко держится в хвосте Р5.</w:t>
      </w:r>
    </w:p>
    <w:p w14:paraId="01C1D5B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ЗАКЛЮЧЕНИЕ ПО ВООРУЖЕНИЮ.</w:t>
      </w:r>
    </w:p>
    <w:p w14:paraId="0431A58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 Стр. отчета о Государственных Испытаниях Артиллерийского вооружения самолета "ЗЕТ" № 39012, вооруженного 2-мя пушками АПК-4бис колибром 76,2 м/м/.</w:t>
      </w:r>
    </w:p>
    <w:p w14:paraId="7FA8EFA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Самолет "ЗЕТ" вооруженный АПК-76,2 испытания прошел.</w:t>
      </w:r>
    </w:p>
    <w:p w14:paraId="0EFF044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Конструкция самолета.Стрельбу из АПК-4 бис 76,2 м/м, до 350 выстрелов выдерживает.</w:t>
      </w:r>
    </w:p>
    <w:p w14:paraId="6853AC8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Система в основном работает удовлетворительно, хотя нуждается в доработке и исправлении ряда неполадок.</w:t>
      </w:r>
    </w:p>
    <w:p w14:paraId="6D0F5CC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Снаряды качественно должны быть повышены, выбор-же наилучшего из них подвергнуть специальным испытаниям.</w:t>
      </w:r>
    </w:p>
    <w:p w14:paraId="01667FE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При данной установке АПК-76,2 м/м стрельба возможна: на горизонтальном полете, при пикировании до 30-35 гр., при кабрировании - пределах кабрирования самолета и при крене до 25-30 гр.</w:t>
      </w:r>
    </w:p>
    <w:p w14:paraId="5444A8E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Самолет "ЗЕТ" вооруженный АПК-76,2 м/м. должен быть снабжен специальным прицелом и дальномером.</w:t>
      </w:r>
    </w:p>
    <w:p w14:paraId="690FF79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Прицельная стрельба и попадания на дистанция 800-1000 мтр. При надлежашей тренировке личного состава возможна.</w:t>
      </w:r>
    </w:p>
    <w:p w14:paraId="249B1D9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Звено самолетов /3 самолета/ при стрельбе в горивонтаном полете дают относительно большую насыщенность зоны разрывов снарядов.</w:t>
      </w:r>
    </w:p>
    <w:p w14:paraId="6DCB4F1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Дальнейшим этапом работ должны стать войсковые испытания где провести в отработку тактики и применения, как одного самолета, так и звена или группы самолетов “ЗЕТ".</w:t>
      </w:r>
    </w:p>
    <w:p w14:paraId="2BA5533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Неполадки, выявленные в процессе испытания, как в системе, так и в снарядах устранить до начала работ по тактике и применению.</w:t>
      </w:r>
    </w:p>
    <w:p w14:paraId="0076FBA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Для работ по тактике и применению самолетов "3ЕТ” необходимо провести подготовку и тренировку, как летного, так техничекого состава.</w:t>
      </w:r>
    </w:p>
    <w:p w14:paraId="6FA08A0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ЗАКЛЮЧЕНИЕ ПО СПЕЦОБОРУДОВАНИЮ</w:t>
      </w:r>
    </w:p>
    <w:p w14:paraId="7CDD463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ночным полетам, а также для полетов на больших высотах, самолет не подготовлен.</w:t>
      </w:r>
    </w:p>
    <w:p w14:paraId="4FDC104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Связь как с землей, так и с самолетами в воздухе осуществить нельзя (2303,62).</w:t>
      </w:r>
    </w:p>
    <w:p w14:paraId="4869AC0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8F9EE93" w14:textId="77777777" w:rsidR="005228D6" w:rsidRPr="0044524F" w:rsidRDefault="005228D6"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1-е октября 1933 в Щелково прошли лётные Государственные испытания «И-Z», вооруженного серийными пушками АПК-4, каждая из которых была снабжена трубчатым магазином на шесть снарядов, которые шли с 14 сентября. Летал на истребителе летчик-испытатель НИИ ВВС М. Сцельников. В отчете НИИ ВВС по </w:t>
      </w:r>
      <w:r w:rsidRPr="0044524F">
        <w:rPr>
          <w:rFonts w:ascii="Times New Roman" w:hAnsi="Times New Roman"/>
          <w:color w:val="000000" w:themeColor="text1"/>
          <w:sz w:val="16"/>
          <w:szCs w:val="16"/>
        </w:rPr>
        <w:lastRenderedPageBreak/>
        <w:t>испытаниям указывалось, что самолет «И-Z» изготовлен по образцу опытного и в основных размерных параметрах от последнего не отличается. Кабина летчика удобна и просторна. На взлете «И-Z» быстро отрывается в горизонтальном полете идет с отпущенной ручкой, устойчив во всех отношениях, управление легкое. Испытания на штопор не проводились, но и тенденции к срыву в штопор не наблюдалось. В заключении по испытаниям говорилось, что истребители типа «И-Z» могут быть приняты на вооружение ВВС РККА при выполнении следующих условий: увеличение максимальной скорости до 300 км/час, емкости бензобаков, количества снарядов, установки электрооборудования и радио. Особым пунктом шло пожелание увеличить прочность самолета, так как уже после 300-500 выстрелов его конструкция нуждалась в ремонте. Военные хотели довести живучесть «И-Z» до 1000 выстрелов. Однако это пожелание ВВС выполнить не удалось. В ходе последующих испытаний истребителей «И-Z», стрельбы из пушек велись с пикирования, кабрирования, в горизонтальном полете, одиночными выстрелами и сериями. После 100-150 выстрелов проводился осмотр конструкций истребителей с заменой, по возможности, отдельных частей. В среднем из каждой пушки выполнили 240 выстрелов. При стрельбе в конструкции самолетов наблюдались значительные повреждения. Газы, вылетавшие из пушек, коробили и отрывали обшивку, оказывали на конструкцию крайне нежелательные нагрузки. Лишь отдельные самолеты смогли выдержать свыше 350 выстрелов. Признавалось, что даже при соответствующих усилениях конструкции «И-Z», срок его службы при стрельбе из динамо-реактивных пушек составит не более 400 выстрелов. При испытаниях большую часть серийных истребителей довели до нелетного состояния (15223).</w:t>
      </w:r>
    </w:p>
    <w:p w14:paraId="4742494E" w14:textId="77777777" w:rsidR="005228D6" w:rsidRPr="0044524F" w:rsidRDefault="005228D6" w:rsidP="009654CF">
      <w:pPr>
        <w:shd w:val="clear" w:color="auto" w:fill="FFFFFF"/>
        <w:spacing w:after="0" w:line="240" w:lineRule="auto"/>
        <w:jc w:val="both"/>
        <w:rPr>
          <w:rFonts w:ascii="Times New Roman" w:hAnsi="Times New Roman"/>
          <w:color w:val="000000" w:themeColor="text1"/>
          <w:sz w:val="16"/>
          <w:szCs w:val="16"/>
        </w:rPr>
      </w:pPr>
    </w:p>
    <w:p w14:paraId="55030F4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в НИИ ВВС в Щелково закончились гос. испытания И-ЗЕТ № 39010 с 2хАПК-4бис. Летал л М.Сцельников и летали 16:20 С с 14 сентября (3996, 92).</w:t>
      </w:r>
    </w:p>
    <w:p w14:paraId="716CE2E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отчете указано, что с-т изготовлен по образцу серийного и в основных размерных параметров от него не отличается.</w:t>
      </w:r>
    </w:p>
    <w:p w14:paraId="79491A1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Кабина л удобна и просторна.</w:t>
      </w:r>
    </w:p>
    <w:p w14:paraId="047AFFD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взлете быстро отрывается с поднятым хвостом, в горизонтальном полете идет с отпущенной ручкой, устойчив во всех отношениях, управление мягкое, легкое.</w:t>
      </w:r>
    </w:p>
    <w:p w14:paraId="7DB5649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на штопор не проводились, но тенденции к срыву в штопор не отмечались.</w:t>
      </w:r>
    </w:p>
    <w:p w14:paraId="32E2043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Скороподъемнеость (14 мин на 500 м - удовлетворительна, потолок - 7000 м - тоже, скорость 259 - км/час мала. Причина- неудачная конструкция колес и большое сопротивление пушек. Тактическая дальность - 310 км - недостаточна.</w:t>
      </w:r>
    </w:p>
    <w:p w14:paraId="23C8DE3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Артвооружение испытания выдержало. Выстрелили 363 патрона. 19 задержек. Снятие и установка АПК-4бис - 15 минут и 2 чел-ка.</w:t>
      </w:r>
    </w:p>
    <w:p w14:paraId="6C02BAB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Мала емкость магазина - 7 на ствол, но Курчевский обещал 14.</w:t>
      </w:r>
    </w:p>
    <w:p w14:paraId="3FC15E7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852A5D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И-ЗЕТ с АПК м.б. принят на вооружение при условиях доработок с предъявлением модификации к 1 марта:</w:t>
      </w:r>
    </w:p>
    <w:p w14:paraId="15B03CE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скорости до 300 км/час,</w:t>
      </w:r>
    </w:p>
    <w:p w14:paraId="251D856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емкости баков, доведение к-ва снарядов до 20, установка электрооборудования и радио,</w:t>
      </w:r>
    </w:p>
    <w:p w14:paraId="789349D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прочности, т.к. после 300-500 выстрелов нуждался в ремонте, а хотели - 1000 (3996, 93).</w:t>
      </w:r>
    </w:p>
    <w:p w14:paraId="4585526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Стреляли в р-не Переяславля-залесского на берегу Плещеева озера. Испытывали два - № 39005 и 39010 с 4хАПК-4бис серийные.</w:t>
      </w:r>
    </w:p>
    <w:p w14:paraId="26B7901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Летали: А.Коротков, М.Сцельников (3996, 93).</w:t>
      </w:r>
    </w:p>
    <w:p w14:paraId="6B1F853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34583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 закончились гос. испытания серийного самолета «ЗЕТ» № 39010 с мотором ЮVI-9 Aq 480/560 НР № 42151, которые проходили с 14 сентября 1933 (6783).</w:t>
      </w:r>
    </w:p>
    <w:p w14:paraId="0CD41DC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40870A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И. Холодов</w:t>
      </w:r>
    </w:p>
    <w:p w14:paraId="179F152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Сцельников</w:t>
      </w:r>
    </w:p>
    <w:p w14:paraId="4CFA5B3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3B8A511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 целью определения вопроса о целесообразности постройки самолетов и использования построенной малой серии.</w:t>
      </w:r>
    </w:p>
    <w:p w14:paraId="44554F0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7C55C18"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Построенные самолеты «ЗЕТ» вооруженные пушами АПК-4 бис и пулеметом ПВ-1 могут быть приняты на вооружение ВВС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w:t>
      </w:r>
    </w:p>
    <w:p w14:paraId="096AC01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5F56FA4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года – самолет поступил в бригаду НИИ ВВС для прохождения гос. испытаний.</w:t>
      </w:r>
    </w:p>
    <w:p w14:paraId="26CB84A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года – фактическое начало испытаний.</w:t>
      </w:r>
    </w:p>
    <w:p w14:paraId="68ACC9D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 – фактическое окончание испытаний.</w:t>
      </w:r>
    </w:p>
    <w:p w14:paraId="47C923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испытание 17 календарных дней, из них:</w:t>
      </w:r>
    </w:p>
    <w:p w14:paraId="0A5AA47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было проведено в 7 летных дней.</w:t>
      </w:r>
    </w:p>
    <w:p w14:paraId="526475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Налетано 16 час. 20 мин. (6783).</w:t>
      </w:r>
    </w:p>
    <w:p w14:paraId="72F6A4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B0F0CA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 на аэродроме НИИ ВВС в Щелкове закончились государственные испытания самолета И-7 № 39 010, вооруженного серийными пушками АПК-4бис, которые шли с 14 сентября. Летал летчик Сцельников, общий налет составил 16 часов 20 минут.</w:t>
      </w:r>
    </w:p>
    <w:p w14:paraId="0B64D30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отчете по испытаниям указывалось, что самолет И-7 № 39 010 постройки авиазавода № 39 изготовлен по образцу опытного и в основных размерных параметрах от последнего не отклоняется. Кабина летчика удобна и просторна. На взлете И-7 быстро отрывается с поднятым хвостом, в горизонтальном полете идет с опущенной ручкой, устойчив во всех отношениях, управление мягкое и легкое. Испытания на штопор не производились, однако и тенденции к срыву в штопор не отмечалось.</w:t>
      </w:r>
    </w:p>
    <w:p w14:paraId="35FFCF1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результатам оценки летных данных отмечалось, что полученные данные скороподъемности (подъем на высоту 5000 м за 14 мин.) и потолка (7000 м) являются достаточно удовлетворительными. Полученное значение максимальной скорости 259 км/час совершенно недостаточное. Причина — неудачная конструкция колес и шасси, большое сопротивление пушек. Тактическая дальность действия самолета 310 км также признана недостаточной.</w:t>
      </w:r>
    </w:p>
    <w:p w14:paraId="31B782C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записала в отчете, что артиллерийское вооружение И-7 испытания выдержало. Выстреляно 363 патрона, 19 патронов не было выстреляно из-за задержек. Снятие или установка АПК-4бис на самолет занимает 15 минут и производится силами не менее двух человек.</w:t>
      </w:r>
    </w:p>
    <w:p w14:paraId="6820468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Малая емкость магазинов — на две пушки всего 14 снарядов — оценивалась как недопустимая. Курчевский предполагал далее установить в крыле коробчатый магазин для 14 снарядов, но для АПК-4бис это сделано не было.</w:t>
      </w:r>
    </w:p>
    <w:p w14:paraId="393ECB7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заключении по результатам испытаний говорилось, что самолеты типа И-7 могут быть приняты на вооружение ВВС РККА при условии следующих доработок, с предъявлением модификации к 1 марта 1934 г.:</w:t>
      </w:r>
    </w:p>
    <w:p w14:paraId="39114C7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максимальной скорости до 300 км/час;</w:t>
      </w:r>
    </w:p>
    <w:p w14:paraId="67AEFA5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увеличение емкости бензобаков, доведения количества снарядов до 20 штук, установки электрооборудования и радио.</w:t>
      </w:r>
    </w:p>
    <w:p w14:paraId="3EC7EE7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Особым пунктом шло пожелание увеличить прочность самолета. Уже после 300–500 выстрелов конструкция истребителя нуждалась в ремонте, поэтому ВВС хотели довести живучесть И-7 до 1000 выстрелов.</w:t>
      </w:r>
    </w:p>
    <w:p w14:paraId="17154BC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местом проведения госиспытаний назывался аэродром НИИ ВВС, на самом деле из пушек стреляли совсем в другой местности — в районе Переславля-Залесского на берегу Плещеева озера. Кстати, испытания безоткатных орудий на этом озере проводились еще в сентябре 1924 г. Испытывались два самолета И-7 (№ 39 005 и № 39 010) с четырьмя серийными пушками АПК-4бис. Летали летчики А. Коротков и М. Сцельников. Из 147 патронов выстреляно 74, задержек — 18. Причины задержек: а) отказ воздушного клапана в механизме перезарядки; б) утыкание снаряда, поданного на лоток, в головку очередного снаряда; в) неполное сгорание нитроткани (12091).</w:t>
      </w:r>
    </w:p>
    <w:p w14:paraId="2708589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63AC5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 начались летные испытания самолета И-15 "Чайка" конструкции Н.Н.Поликарпова. И-15 был принят на вооружение и запущен в производство, на то время он превосходил лучшие зарубежные образцы. (6395).</w:t>
      </w:r>
    </w:p>
    <w:p w14:paraId="17CA326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FD96A7" w14:textId="77777777" w:rsidR="00CF276A" w:rsidRPr="0044524F" w:rsidRDefault="00CF27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1 октября </w:t>
      </w:r>
      <w:r w:rsidRPr="0044524F">
        <w:rPr>
          <w:rFonts w:ascii="Times New Roman" w:hAnsi="Times New Roman"/>
          <w:color w:val="000000" w:themeColor="text1"/>
          <w:sz w:val="16"/>
          <w:szCs w:val="16"/>
        </w:rPr>
        <w:t>в 1933 году начались летные испытания самолета «И-15» "Чайка" конструкции Н.Н.Поликарпова. «И-15» был принят на вооружение и запущен в производство, на то время он превосходил лучшие зарубежные образцы (14786).</w:t>
      </w:r>
    </w:p>
    <w:p w14:paraId="158965B4" w14:textId="77777777" w:rsidR="00CF276A" w:rsidRPr="0044524F" w:rsidRDefault="00CF276A" w:rsidP="009654CF">
      <w:pPr>
        <w:spacing w:after="0" w:line="240" w:lineRule="auto"/>
        <w:jc w:val="both"/>
        <w:rPr>
          <w:rFonts w:ascii="Times New Roman" w:hAnsi="Times New Roman"/>
          <w:color w:val="000000" w:themeColor="text1"/>
          <w:sz w:val="16"/>
          <w:szCs w:val="16"/>
        </w:rPr>
      </w:pPr>
    </w:p>
    <w:p w14:paraId="530F667B" w14:textId="77777777" w:rsidR="00CF276A" w:rsidRPr="0044524F" w:rsidRDefault="00CF276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1 октября 1933 г. Протокол ПБ № 146 п.25/133: О комиссии Мариамова - ОП. Решено: 1. Задачу комиссии Мариамова ограничить покупкой 20-30 моторов "Испано-Сюиза" 12-У с запчастями и инструментом и приобретением, в счет стоимости моторов, технической помощи фирмы на производство этих моторов в СССР. Комиссии изучить производство на заводе "Испано-Сюиза". 2. При ведении переговоров исходить ориентировочно из суммы 700-800 тысяч рублей и, во всяком случае, не свыше одного миллиона рублей, ограничив свои задачи установленными полномочиями (15883).</w:t>
      </w:r>
    </w:p>
    <w:p w14:paraId="10DB7073" w14:textId="77777777" w:rsidR="00CF276A" w:rsidRPr="0044524F" w:rsidRDefault="00CF276A" w:rsidP="009654CF">
      <w:pPr>
        <w:spacing w:after="0" w:line="240" w:lineRule="auto"/>
        <w:jc w:val="both"/>
        <w:rPr>
          <w:rFonts w:ascii="Times New Roman" w:hAnsi="Times New Roman"/>
          <w:iCs/>
          <w:color w:val="000000" w:themeColor="text1"/>
          <w:sz w:val="16"/>
          <w:szCs w:val="16"/>
        </w:rPr>
      </w:pPr>
    </w:p>
    <w:p w14:paraId="5096770F"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состоялось заседание ПБ и был оформлен протокол № 146</w:t>
      </w:r>
    </w:p>
    <w:p w14:paraId="37626A18"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договоре с Люфтганзой</w:t>
      </w:r>
    </w:p>
    <w:p w14:paraId="558CE6EB"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(т.т. Сокольников, Беленькии 3.).</w:t>
      </w:r>
    </w:p>
    <w:p w14:paraId="1983BB29"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 принципе не возражать против предложения о тран</w:t>
      </w:r>
      <w:r w:rsidRPr="0044524F">
        <w:rPr>
          <w:rFonts w:ascii="Times New Roman" w:hAnsi="Times New Roman"/>
          <w:color w:val="000000" w:themeColor="text1"/>
          <w:sz w:val="16"/>
          <w:szCs w:val="16"/>
        </w:rPr>
        <w:softHyphen/>
        <w:t>зитной воздушной линии Москва-Синь-Цзянь.</w:t>
      </w:r>
    </w:p>
    <w:p w14:paraId="6DAFDC0C"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Поручить комиссии в составе т.т.Уншлихта, Сокольнико ва, Беленького 3. и Элиавы обсудить вопрос и внести конкрет</w:t>
      </w:r>
      <w:r w:rsidRPr="0044524F">
        <w:rPr>
          <w:rFonts w:ascii="Times New Roman" w:hAnsi="Times New Roman"/>
          <w:color w:val="000000" w:themeColor="text1"/>
          <w:sz w:val="16"/>
          <w:szCs w:val="16"/>
        </w:rPr>
        <w:softHyphen/>
        <w:t>ные предложения.</w:t>
      </w:r>
    </w:p>
    <w:p w14:paraId="0E99B57E"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Созыв комиссии за т. Уншлихтом.</w:t>
      </w:r>
    </w:p>
    <w:p w14:paraId="39D46370"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т.т.Уншлихту, Сокольникову, Беленькому З., Элиаве.</w:t>
      </w:r>
    </w:p>
    <w:p w14:paraId="23F7902A"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опросом членов ПБ</w:t>
      </w:r>
    </w:p>
    <w:p w14:paraId="6B6251E1"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26/133.-О комиссии Мариамова.</w:t>
      </w:r>
    </w:p>
    <w:p w14:paraId="35EC0E8A"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Задачу комиссии т.Мариамова ограничить покупкой 20-30 моторов "Испано-Сюиза" 12-Уbrs с запчастями и инстру</w:t>
      </w:r>
      <w:r w:rsidRPr="0044524F">
        <w:rPr>
          <w:rFonts w:ascii="Times New Roman" w:hAnsi="Times New Roman"/>
          <w:color w:val="000000" w:themeColor="text1"/>
          <w:sz w:val="16"/>
          <w:szCs w:val="16"/>
        </w:rPr>
        <w:softHyphen/>
        <w:t>ментом и приобретением, в счет стоимости моторов, тех</w:t>
      </w:r>
      <w:r w:rsidRPr="0044524F">
        <w:rPr>
          <w:rFonts w:ascii="Times New Roman" w:hAnsi="Times New Roman"/>
          <w:color w:val="000000" w:themeColor="text1"/>
          <w:sz w:val="16"/>
          <w:szCs w:val="16"/>
        </w:rPr>
        <w:softHyphen/>
        <w:t>нической помощи фирмы на производство этих моторов в СССР. Комиссии изучить производство на заводе "Испано- Сюиза".</w:t>
      </w:r>
    </w:p>
    <w:p w14:paraId="3BF689E4"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При ведении переговоров исходить ориентировочно из суммы 700-800 тысяч рублей и, во всяком случае, не свыше одного миллиона рублей, ограничив свои задачи установленными полномочиями.</w:t>
      </w:r>
    </w:p>
    <w:p w14:paraId="7C14CDC9"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 Тухачевскому.</w:t>
      </w:r>
    </w:p>
    <w:p w14:paraId="45278FAE"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опросом членов ПБ</w:t>
      </w:r>
    </w:p>
    <w:p w14:paraId="19BFE333"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130/94.- О прилете Латвийской-эскадрильи в Москву</w:t>
      </w:r>
    </w:p>
    <w:p w14:paraId="717BDEF6"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разрешить прилет Латвийской эскадрильи в Москву.</w:t>
      </w:r>
    </w:p>
    <w:p w14:paraId="38256F7D"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считать возможным на прилет Латвийской эскадрильи ответить соответствующим нашим поле</w:t>
      </w:r>
      <w:r w:rsidRPr="0044524F">
        <w:rPr>
          <w:rFonts w:ascii="Times New Roman" w:hAnsi="Times New Roman"/>
          <w:color w:val="000000" w:themeColor="text1"/>
          <w:sz w:val="16"/>
          <w:szCs w:val="16"/>
        </w:rPr>
        <w:softHyphen/>
        <w:t>том в Латвию.</w:t>
      </w:r>
    </w:p>
    <w:p w14:paraId="0F32EC73"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Литвинову, Тухачевскому, Уншлихту, Артузову.</w:t>
      </w:r>
    </w:p>
    <w:p w14:paraId="2FA5A9AE"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опросом членов ПБ</w:t>
      </w:r>
    </w:p>
    <w:p w14:paraId="016B5101"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178/161.- О прилете польской эскадрильи в Москву.</w:t>
      </w:r>
    </w:p>
    <w:p w14:paraId="0D0F5035"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возражать против прилета польской эскад</w:t>
      </w:r>
      <w:r w:rsidRPr="0044524F">
        <w:rPr>
          <w:rFonts w:ascii="Times New Roman" w:hAnsi="Times New Roman"/>
          <w:color w:val="000000" w:themeColor="text1"/>
          <w:sz w:val="16"/>
          <w:szCs w:val="16"/>
        </w:rPr>
        <w:softHyphen/>
        <w:t>рильи в Москву.</w:t>
      </w:r>
    </w:p>
    <w:p w14:paraId="1F84C79D" w14:textId="77777777" w:rsidR="008C59D2" w:rsidRPr="0044524F" w:rsidRDefault="008C59D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досланы: т.т.Литвинову.Тухачевскому, Лртузову,Уншлихту (22996).</w:t>
      </w:r>
    </w:p>
    <w:p w14:paraId="43EAA684" w14:textId="77777777" w:rsidR="008C59D2" w:rsidRPr="0044524F" w:rsidRDefault="008C59D2" w:rsidP="009654CF">
      <w:pPr>
        <w:spacing w:after="0" w:line="240" w:lineRule="auto"/>
        <w:jc w:val="both"/>
        <w:rPr>
          <w:rFonts w:ascii="Times New Roman" w:hAnsi="Times New Roman"/>
          <w:color w:val="000000" w:themeColor="text1"/>
          <w:sz w:val="16"/>
          <w:szCs w:val="16"/>
        </w:rPr>
      </w:pPr>
    </w:p>
    <w:p w14:paraId="7DDAA069" w14:textId="77777777" w:rsidR="008C59D2" w:rsidRPr="0044524F" w:rsidRDefault="008C59D2"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ГДЛ была преобразована в Ленинградское отделении РНИИ, но уже в октябре 1933 М.Тухачевский обратился к С.Орджоникидзе с просьбой принять РНИИ в НКТП (5380, 23).</w:t>
      </w:r>
    </w:p>
    <w:p w14:paraId="4748CEA3" w14:textId="77777777" w:rsidR="008C59D2" w:rsidRPr="0044524F" w:rsidRDefault="008C59D2" w:rsidP="009654CF">
      <w:pPr>
        <w:autoSpaceDE w:val="0"/>
        <w:autoSpaceDN w:val="0"/>
        <w:adjustRightInd w:val="0"/>
        <w:spacing w:after="0" w:line="240" w:lineRule="auto"/>
        <w:jc w:val="both"/>
        <w:rPr>
          <w:rFonts w:ascii="Times New Roman" w:hAnsi="Times New Roman"/>
          <w:color w:val="000000" w:themeColor="text1"/>
          <w:sz w:val="16"/>
          <w:szCs w:val="16"/>
        </w:rPr>
      </w:pPr>
    </w:p>
    <w:p w14:paraId="13A50261"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C58F1C5"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15C55D2" w14:textId="77777777" w:rsidR="007F562C" w:rsidRPr="0044524F" w:rsidRDefault="007F562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октября 1933 г. была окончательно готова первая партия Т-28 (14 танков) была готова, а всего до конца года была выпущена 41 машина из 90 запланированных[68]. К апрелю 1933 года удалось собрать 12 новых танков Т-28, и они даже приняли участие в первомайских парадах в Москве и Ленинграде (10 и 2 машины соответственно). Но сразу же после парадных мероприятий танки были возвращены в цеха для доработки. Исследователь М.В. Коломиец считает, что фактически освоение производства было завершено уже в следующем году[69]. Сами кировские танкостроители считали, что серийное производство Т-28 началось в 1934-1935 годах. А в 1932-1933 годах были изготовлены только «первые образцы» [70] (23536).</w:t>
      </w:r>
    </w:p>
    <w:p w14:paraId="1E551F80" w14:textId="77777777" w:rsidR="007F562C" w:rsidRPr="0044524F" w:rsidRDefault="007F562C" w:rsidP="009654CF">
      <w:pPr>
        <w:spacing w:after="0" w:line="240" w:lineRule="auto"/>
        <w:jc w:val="both"/>
        <w:rPr>
          <w:rFonts w:ascii="Times New Roman" w:hAnsi="Times New Roman"/>
          <w:color w:val="000000" w:themeColor="text1"/>
          <w:sz w:val="16"/>
          <w:szCs w:val="16"/>
        </w:rPr>
      </w:pPr>
    </w:p>
    <w:p w14:paraId="347D3839" w14:textId="77777777" w:rsidR="00902533" w:rsidRPr="00142305" w:rsidRDefault="00902533" w:rsidP="00902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октября 1933 г. была окончательно готова первая партия из 14 танков Т-28, а к концу декабря при годовом плане в 90 машин с большими трудностями была сдана только 41 (24998).</w:t>
      </w:r>
    </w:p>
    <w:p w14:paraId="42E2BE58" w14:textId="77777777" w:rsidR="00902533" w:rsidRPr="00142305" w:rsidRDefault="00902533" w:rsidP="00902533">
      <w:pPr>
        <w:spacing w:after="0" w:line="240" w:lineRule="auto"/>
        <w:jc w:val="both"/>
        <w:rPr>
          <w:rFonts w:ascii="Times New Roman" w:hAnsi="Times New Roman"/>
          <w:color w:val="0070C0"/>
          <w:sz w:val="16"/>
          <w:szCs w:val="16"/>
        </w:rPr>
      </w:pPr>
    </w:p>
    <w:p w14:paraId="3B3FE4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1 октября 1933 на Электрозаводе количество бригад сократилось до 365, но число занятых в них рабочих возросло до 5462, что составляло 62% всех рабочих завода, занятых на основных работах. К этому времени заводской и цеховой хозрасчёт отошли на вторые роли, на первый план был выдвинут хозрасчёт бригадный, однако и с последним дела не ладились. В объяснение столь неутешительных итогов заводоуправление привело следующие причины: </w:t>
      </w:r>
    </w:p>
    <w:p w14:paraId="1D3510C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Организационный разброд и разные ревизионистские настроения, стремящиеся оправдать этот разброд. </w:t>
      </w:r>
    </w:p>
    <w:p w14:paraId="17D157C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Рост рабочей силы, ведущий к снижению удельного веса охваченных хозрасчётными бригадами рабочих. </w:t>
      </w:r>
    </w:p>
    <w:p w14:paraId="5521D4B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Бригадный хозрасчёт застыл в тех формах, которые он принял в середине 1932 г., хотя многое в нём уже изменилось. Основное было то, что организационная структура хозрасчётных бригад была недостаточно чёткая, недостаточно рациональная с токи зрения технологического процесса. Среднее число членов в бригаде по 4 основным заводам (АТЭ, Трансформаторный, Прожекторный, Ламповый) было 10–11 человек, а в Прожекторном – 6–7 человек, а при такой численности далеко не всюду бригада могла быть организована как следует. Превалировала организация бригады по принципу обработки какой-либо операции. Пример: деталь начата обработкой в бригаде № 19, затем она идёт в бригаду № 21, оттуда возвращается в бригаду № 19, а затем – в бригаду № 27, оттуда возвращается в бригаду № 21, затем – снова в бригаду № 19, потом – в бригаду № 27 и окончательная обработка – в бригаде № 25. </w:t>
      </w:r>
    </w:p>
    <w:p w14:paraId="0DEB809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в 1932 г. велась борьба и удалось изменить существующую практику многочисленных и многосменных бригад (в 50–70 человек), не считавшихся с техническими процессами и требовавших правильного хозрасчёта, то тут мы имеем дело с другой крайностью – размельчением бригад» (11564).</w:t>
      </w:r>
    </w:p>
    <w:p w14:paraId="1EB145E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1D44E7F" w14:textId="77777777" w:rsidR="00FE71E3" w:rsidRPr="0044524F" w:rsidRDefault="00FE71E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 ПБ рассмотрело вопрос об Уральском вагоностроительном заводе. Заместителю наркома тяжелой промышленности Пятакову было поручено «установить личное систематическое наблюдение за проведением всех директив по выполнению заданий строительства» и в конце ноября — декабре выехать на место. Различные задания получили также руководители Уральского обкома партии. Вновь рассмотреть вопрос о заводе было решено в декабре (Там же. Ф. 17. Оп. 3. Д. 931. Л. 3) (17281).</w:t>
      </w:r>
    </w:p>
    <w:p w14:paraId="18D416DC" w14:textId="77777777" w:rsidR="00FE71E3" w:rsidRPr="0044524F" w:rsidRDefault="00FE71E3" w:rsidP="009654CF">
      <w:pPr>
        <w:autoSpaceDE w:val="0"/>
        <w:autoSpaceDN w:val="0"/>
        <w:adjustRightInd w:val="0"/>
        <w:spacing w:after="0" w:line="240" w:lineRule="auto"/>
        <w:jc w:val="both"/>
        <w:rPr>
          <w:rFonts w:ascii="Times New Roman" w:hAnsi="Times New Roman"/>
          <w:color w:val="000000" w:themeColor="text1"/>
          <w:sz w:val="16"/>
          <w:szCs w:val="16"/>
        </w:rPr>
      </w:pPr>
    </w:p>
    <w:p w14:paraId="1B7DBCA8" w14:textId="77777777" w:rsidR="00CF276A" w:rsidRPr="0044524F" w:rsidRDefault="00CF276A"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bCs/>
          <w:iCs/>
          <w:color w:val="000000" w:themeColor="text1"/>
          <w:sz w:val="16"/>
          <w:szCs w:val="16"/>
        </w:rPr>
        <w:t>1 октября 1933 г.</w:t>
      </w:r>
      <w:r w:rsidRPr="0044524F">
        <w:rPr>
          <w:rFonts w:ascii="Times New Roman" w:hAnsi="Times New Roman"/>
          <w:color w:val="000000" w:themeColor="text1"/>
          <w:sz w:val="16"/>
          <w:szCs w:val="16"/>
        </w:rPr>
        <w:t xml:space="preserve"> Приказ начальника ВОХИМУ и химических войск РККА Я.М.Фишмана об организации на полигоне в Кузьминках (Москва) в связи с предстоящим в октябре Пленумом РВС СССР «</w:t>
      </w:r>
      <w:r w:rsidRPr="0044524F">
        <w:rPr>
          <w:rFonts w:ascii="Times New Roman" w:hAnsi="Times New Roman"/>
          <w:iCs/>
          <w:color w:val="000000" w:themeColor="text1"/>
          <w:sz w:val="16"/>
          <w:szCs w:val="16"/>
        </w:rPr>
        <w:t>демонстрации средств химического вооружения РККА</w:t>
      </w:r>
      <w:r w:rsidRPr="0044524F">
        <w:rPr>
          <w:rFonts w:ascii="Times New Roman" w:hAnsi="Times New Roman"/>
          <w:color w:val="000000" w:themeColor="text1"/>
          <w:sz w:val="16"/>
          <w:szCs w:val="16"/>
        </w:rPr>
        <w:t>». Демонстрация включала химическую атаку с использованием танков, химическую атаку с применением самолетов, бой боевой химической машины с танком, стрельбы химическими минами, преодоление войсками зараженного участка. Химическая атака с использованием танков так понравилась РВС СССР, что вскоре на полигон прибыли уже члены советского правительства во главе с И.В.Сталиным. Этот визит имел и практическое продолжение — уже в первые месяцы 1934 года на полигоне проходили первые испытания химического танка БТ, созданного в ударном порядке по совету товарища Сталина в качестве подарка к намечавшемуся XVII съезду ВКП(б) (17133).</w:t>
      </w:r>
    </w:p>
    <w:p w14:paraId="41BB3E7D" w14:textId="77777777" w:rsidR="00CF276A" w:rsidRPr="0044524F" w:rsidRDefault="00CF276A" w:rsidP="009654CF">
      <w:pPr>
        <w:shd w:val="clear" w:color="auto" w:fill="FFFFFF"/>
        <w:spacing w:after="0" w:line="240" w:lineRule="auto"/>
        <w:jc w:val="both"/>
        <w:rPr>
          <w:rFonts w:ascii="Times New Roman" w:hAnsi="Times New Roman"/>
          <w:color w:val="000000" w:themeColor="text1"/>
          <w:sz w:val="16"/>
          <w:szCs w:val="16"/>
        </w:rPr>
      </w:pPr>
    </w:p>
    <w:p w14:paraId="475929DC" w14:textId="77777777" w:rsidR="00CF276A" w:rsidRPr="0044524F" w:rsidRDefault="00CF276A" w:rsidP="009654CF">
      <w:pPr>
        <w:pStyle w:val="rtejustify"/>
        <w:spacing w:before="0" w:after="0"/>
        <w:rPr>
          <w:color w:val="000000" w:themeColor="text1"/>
          <w:sz w:val="16"/>
          <w:szCs w:val="16"/>
        </w:rPr>
      </w:pPr>
      <w:r w:rsidRPr="0044524F">
        <w:rPr>
          <w:rStyle w:val="af0"/>
          <w:bCs/>
          <w:i w:val="0"/>
          <w:color w:val="000000" w:themeColor="text1"/>
          <w:sz w:val="16"/>
          <w:szCs w:val="16"/>
        </w:rPr>
        <w:t>1 октября</w:t>
      </w:r>
      <w:r w:rsidRPr="0044524F">
        <w:rPr>
          <w:color w:val="000000" w:themeColor="text1"/>
          <w:sz w:val="16"/>
          <w:szCs w:val="16"/>
        </w:rPr>
        <w:t xml:space="preserve"> 1933. Протокол заседания Политбюро ЦК ВКП (б) № 146. </w:t>
      </w:r>
      <w:hyperlink r:id="rId337" w:anchor="showunit&amp;id=87865" w:history="1">
        <w:r w:rsidRPr="0044524F">
          <w:rPr>
            <w:rStyle w:val="a5"/>
            <w:color w:val="000000" w:themeColor="text1"/>
            <w:sz w:val="16"/>
            <w:szCs w:val="16"/>
          </w:rPr>
          <w:t>7. О договоре техпомощи с фирмой «Крупп-Грузонверк»</w:t>
        </w:r>
      </w:hyperlink>
      <w:r w:rsidRPr="0044524F">
        <w:rPr>
          <w:color w:val="000000" w:themeColor="text1"/>
          <w:sz w:val="16"/>
          <w:szCs w:val="16"/>
        </w:rPr>
        <w:t xml:space="preserve"> (Пятаков, Элиава). — ОП. Решено позволить Наркомату тяжелой промышленности заключить ликвидационное соглашение с фирмой “Крупп-Грузонверк” на основе уплаты последней, в качестве ликвидационной суммы, до 100 000 долларов. </w:t>
      </w:r>
      <w:hyperlink r:id="rId338" w:anchor="showunit&amp;id=87737" w:history="1">
        <w:r w:rsidRPr="0044524F">
          <w:rPr>
            <w:rStyle w:val="a5"/>
            <w:color w:val="000000" w:themeColor="text1"/>
            <w:sz w:val="16"/>
            <w:szCs w:val="16"/>
          </w:rPr>
          <w:t>12. Об импорте кабеля (Молотов)</w:t>
        </w:r>
      </w:hyperlink>
      <w:r w:rsidRPr="0044524F">
        <w:rPr>
          <w:color w:val="000000" w:themeColor="text1"/>
          <w:sz w:val="16"/>
          <w:szCs w:val="16"/>
        </w:rPr>
        <w:t xml:space="preserve"> (ПБ от 1 октября 1933 г.). — ОП. 25/133. О Комиссии Мариамова (ПБ от 29 сентября 1933 г.) — ОП. Решено утвердить следующее постановление СНК СССР: 1. Сверх утвержденного для текущего года плана ввоза цветных металлов, обязать наркома внешней торговли Розенгольца немедленно закупить по целевому фонду для нужд электростроительства 850 тонн меди и 1220 тонн свинца с тем, чтобы это количество было завезено в Союз не позже 1 ноября с. г. 2. Обязать Наркомат тяжелой промышленности обеспечить изготовление в текущем году на кабельных заводах сверх установленных фондов 3</w:t>
      </w:r>
      <w:r w:rsidRPr="0044524F">
        <w:rPr>
          <w:color w:val="000000" w:themeColor="text1"/>
          <w:sz w:val="16"/>
          <w:szCs w:val="16"/>
        </w:rPr>
        <w:noBreakHyphen/>
        <w:t xml:space="preserve">х кварталов для Главэнерго следующее количество кабеля за счет указанного импорта цветных металлов: контрольно-измерительного кабеля — 250 километров, кабеля СРГН — 220 км., силового кабеля — 300 км. </w:t>
      </w:r>
      <w:hyperlink r:id="rId339" w:anchor="showunit&amp;id=87897" w:history="1">
        <w:r w:rsidRPr="0044524F">
          <w:rPr>
            <w:rStyle w:val="a5"/>
            <w:color w:val="000000" w:themeColor="text1"/>
            <w:sz w:val="16"/>
            <w:szCs w:val="16"/>
          </w:rPr>
          <w:t>99/63. Об обеспечении безопасности полетов на самолетах</w:t>
        </w:r>
      </w:hyperlink>
      <w:r w:rsidRPr="0044524F">
        <w:rPr>
          <w:color w:val="000000" w:themeColor="text1"/>
          <w:sz w:val="16"/>
          <w:szCs w:val="16"/>
        </w:rPr>
        <w:t xml:space="preserve"> (ПБ от 11 сентября 1933 г., пр. № 145, п. 123/107), (ПБ от 22 сентября 1933 г.). Решено утвердить предложения комиссии Политбюро об обеспечении безопасности полетов на самолетах. </w:t>
      </w:r>
      <w:hyperlink r:id="rId340" w:anchor="showunit&amp;id=87806" w:history="1">
        <w:r w:rsidRPr="0044524F">
          <w:rPr>
            <w:rStyle w:val="a5"/>
            <w:color w:val="000000" w:themeColor="text1"/>
            <w:sz w:val="16"/>
            <w:szCs w:val="16"/>
          </w:rPr>
          <w:t>182/166. Вопрос КО</w:t>
        </w:r>
      </w:hyperlink>
      <w:r w:rsidRPr="0044524F">
        <w:rPr>
          <w:color w:val="000000" w:themeColor="text1"/>
          <w:sz w:val="16"/>
          <w:szCs w:val="16"/>
        </w:rPr>
        <w:t xml:space="preserve"> (ПБ от 29 сентября 1933 г.). — ОП. Решено утвердить постановление Комитета обороны об отпуске ВООМП (Всесоюзному объединению оптико-механической промышленности) 50 тысяч рублей валюты сверх контингента Наркомата тяжелой промышленности (15462).</w:t>
      </w:r>
    </w:p>
    <w:p w14:paraId="42A7BEB4" w14:textId="77777777" w:rsidR="00CF276A" w:rsidRPr="0044524F" w:rsidRDefault="00CF276A" w:rsidP="009654CF">
      <w:pPr>
        <w:pStyle w:val="rtejustify"/>
        <w:spacing w:before="0" w:after="0"/>
        <w:rPr>
          <w:color w:val="000000" w:themeColor="text1"/>
          <w:sz w:val="16"/>
          <w:szCs w:val="16"/>
        </w:rPr>
      </w:pPr>
    </w:p>
    <w:p w14:paraId="384BDACE" w14:textId="77777777" w:rsidR="001F72EB"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5115DB64"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50671A4"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октября 1933 г. ВВС имели, не считая учебных, 4 745 самолетов. Вспомним, - требовалось иметь в конце 1932 г. 4 150 новых самолетов. Поступ</w:t>
      </w:r>
      <w:r w:rsidRPr="00142305">
        <w:rPr>
          <w:rFonts w:ascii="Times New Roman" w:hAnsi="Times New Roman"/>
          <w:color w:val="0070C0"/>
          <w:sz w:val="16"/>
          <w:szCs w:val="16"/>
        </w:rPr>
        <w:softHyphen/>
        <w:t>ление в войска большого количества четырехмоторных самолетов ТБ-3 повлекло за собой создание однородных тяжелобомбардировочных авиабригад (тбб) (24968).</w:t>
      </w:r>
    </w:p>
    <w:p w14:paraId="1342A43B" w14:textId="77777777" w:rsidR="00D64533" w:rsidRPr="00142305" w:rsidRDefault="00D64533" w:rsidP="00D64533">
      <w:pPr>
        <w:spacing w:after="0" w:line="240" w:lineRule="auto"/>
        <w:jc w:val="both"/>
        <w:rPr>
          <w:rFonts w:ascii="Times New Roman" w:hAnsi="Times New Roman"/>
          <w:color w:val="0070C0"/>
          <w:sz w:val="16"/>
          <w:szCs w:val="16"/>
        </w:rPr>
      </w:pPr>
    </w:p>
    <w:p w14:paraId="4E8E5AE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было сформировано Управление и Штаб ВВС морских сил ДВ (2668).</w:t>
      </w:r>
    </w:p>
    <w:p w14:paraId="4642260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2B90F9D"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098E1A9"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415F25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Врид ГИ-М ВВС РККА Горощенко утвердил Заключение по эскизному проекту самолета И-16 с М-22 (2303,35):</w:t>
      </w:r>
    </w:p>
    <w:p w14:paraId="18FE438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ПРЕДСТАВЛЕННЫЕ НА РАССМОТРЕНИЕ МАТЕРИАЛЫ</w:t>
      </w:r>
    </w:p>
    <w:p w14:paraId="6D706E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Материал представлен заволом № 39 не полностью по положению о прохождении опытных с-тов, утвержденному СТО от 7 мая 1932 г. за № 937/157</w:t>
      </w:r>
    </w:p>
    <w:p w14:paraId="0D3F84A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представлен: 1) Краткий аэродинамический расчет</w:t>
      </w:r>
    </w:p>
    <w:p w14:paraId="58D1898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Соответствие с техническими требованиями</w:t>
      </w:r>
    </w:p>
    <w:p w14:paraId="7996187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Летные данные и свойства</w:t>
      </w:r>
    </w:p>
    <w:p w14:paraId="0E34B8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Основная летная характеристика</w:t>
      </w:r>
    </w:p>
    <w:p w14:paraId="17A1DC1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Скрость на 0</w:t>
      </w:r>
      <w:r w:rsidRPr="0044524F">
        <w:rPr>
          <w:rFonts w:ascii="Times New Roman" w:hAnsi="Times New Roman"/>
          <w:color w:val="000000" w:themeColor="text1"/>
          <w:sz w:val="16"/>
          <w:szCs w:val="16"/>
        </w:rPr>
        <w:tab/>
        <w:t>345</w:t>
      </w:r>
    </w:p>
    <w:p w14:paraId="3785863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3000</w:t>
      </w:r>
      <w:r w:rsidRPr="0044524F">
        <w:rPr>
          <w:rFonts w:ascii="Times New Roman" w:hAnsi="Times New Roman"/>
          <w:color w:val="000000" w:themeColor="text1"/>
          <w:sz w:val="16"/>
          <w:szCs w:val="16"/>
        </w:rPr>
        <w:tab/>
        <w:t>320</w:t>
      </w:r>
    </w:p>
    <w:p w14:paraId="187A013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5000</w:t>
      </w:r>
      <w:r w:rsidRPr="0044524F">
        <w:rPr>
          <w:rFonts w:ascii="Times New Roman" w:hAnsi="Times New Roman"/>
          <w:color w:val="000000" w:themeColor="text1"/>
          <w:sz w:val="16"/>
          <w:szCs w:val="16"/>
        </w:rPr>
        <w:tab/>
        <w:t>300</w:t>
      </w:r>
    </w:p>
    <w:p w14:paraId="1B8D2E5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r w:rsidRPr="0044524F">
        <w:rPr>
          <w:rFonts w:ascii="Times New Roman" w:hAnsi="Times New Roman"/>
          <w:color w:val="000000" w:themeColor="text1"/>
          <w:sz w:val="16"/>
          <w:szCs w:val="16"/>
        </w:rPr>
        <w:tab/>
        <w:t>6700</w:t>
      </w:r>
    </w:p>
    <w:p w14:paraId="123687A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5000</w:t>
      </w:r>
      <w:r w:rsidRPr="0044524F">
        <w:rPr>
          <w:rFonts w:ascii="Times New Roman" w:hAnsi="Times New Roman"/>
          <w:color w:val="000000" w:themeColor="text1"/>
          <w:sz w:val="16"/>
          <w:szCs w:val="16"/>
        </w:rPr>
        <w:tab/>
        <w:t>10-11</w:t>
      </w:r>
    </w:p>
    <w:p w14:paraId="50FF14A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100-105</w:t>
      </w:r>
    </w:p>
    <w:p w14:paraId="64C7C4E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Расхождение с требованиями по следующим пунктам: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802"/>
        <w:gridCol w:w="2802"/>
      </w:tblGrid>
      <w:tr w:rsidR="004E10C1" w:rsidRPr="0044524F" w14:paraId="1A1BBCBE" w14:textId="77777777">
        <w:tc>
          <w:tcPr>
            <w:tcW w:w="2802" w:type="dxa"/>
            <w:tcBorders>
              <w:top w:val="single" w:sz="12" w:space="0" w:color="auto"/>
            </w:tcBorders>
          </w:tcPr>
          <w:p w14:paraId="5ED985E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top w:val="single" w:sz="12" w:space="0" w:color="auto"/>
            </w:tcBorders>
          </w:tcPr>
          <w:p w14:paraId="59F3647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ТТТ</w:t>
            </w:r>
          </w:p>
        </w:tc>
        <w:tc>
          <w:tcPr>
            <w:tcW w:w="2802" w:type="dxa"/>
            <w:tcBorders>
              <w:top w:val="single" w:sz="12" w:space="0" w:color="auto"/>
            </w:tcBorders>
          </w:tcPr>
          <w:p w14:paraId="6961BF6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эскизному проекту</w:t>
            </w:r>
          </w:p>
        </w:tc>
        <w:tc>
          <w:tcPr>
            <w:tcW w:w="2802" w:type="dxa"/>
            <w:tcBorders>
              <w:top w:val="single" w:sz="12" w:space="0" w:color="auto"/>
            </w:tcBorders>
          </w:tcPr>
          <w:p w14:paraId="65F8EFF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64A20651" w14:textId="77777777">
        <w:tc>
          <w:tcPr>
            <w:tcW w:w="2802" w:type="dxa"/>
          </w:tcPr>
          <w:p w14:paraId="352473D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5000 м</w:t>
            </w:r>
          </w:p>
        </w:tc>
        <w:tc>
          <w:tcPr>
            <w:tcW w:w="2802" w:type="dxa"/>
          </w:tcPr>
          <w:p w14:paraId="527D603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7,5-8</w:t>
            </w:r>
          </w:p>
        </w:tc>
        <w:tc>
          <w:tcPr>
            <w:tcW w:w="2802" w:type="dxa"/>
          </w:tcPr>
          <w:p w14:paraId="2EE0042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10-11</w:t>
            </w:r>
          </w:p>
        </w:tc>
        <w:tc>
          <w:tcPr>
            <w:tcW w:w="2802" w:type="dxa"/>
          </w:tcPr>
          <w:p w14:paraId="630C298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6BDA5B4" w14:textId="77777777">
        <w:tc>
          <w:tcPr>
            <w:tcW w:w="2802" w:type="dxa"/>
          </w:tcPr>
          <w:p w14:paraId="36D94F4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w:t>
            </w:r>
          </w:p>
        </w:tc>
        <w:tc>
          <w:tcPr>
            <w:tcW w:w="2802" w:type="dxa"/>
          </w:tcPr>
          <w:p w14:paraId="49C4432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2802" w:type="dxa"/>
          </w:tcPr>
          <w:p w14:paraId="0951AEA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Несколько больше</w:t>
            </w:r>
          </w:p>
        </w:tc>
        <w:tc>
          <w:tcPr>
            <w:tcW w:w="2802" w:type="dxa"/>
          </w:tcPr>
          <w:p w14:paraId="1DA6E57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Подсчет не дан</w:t>
            </w:r>
          </w:p>
        </w:tc>
      </w:tr>
      <w:tr w:rsidR="004E10C1" w:rsidRPr="0044524F" w14:paraId="3AC0058D" w14:textId="77777777">
        <w:tc>
          <w:tcPr>
            <w:tcW w:w="2802" w:type="dxa"/>
          </w:tcPr>
          <w:p w14:paraId="548AA8F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Запаздывание после 6 витков штопора</w:t>
            </w:r>
          </w:p>
        </w:tc>
        <w:tc>
          <w:tcPr>
            <w:tcW w:w="2802" w:type="dxa"/>
          </w:tcPr>
          <w:p w14:paraId="66808C2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 вит.</w:t>
            </w:r>
          </w:p>
        </w:tc>
        <w:tc>
          <w:tcPr>
            <w:tcW w:w="2802" w:type="dxa"/>
          </w:tcPr>
          <w:p w14:paraId="6C8E9DF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802" w:type="dxa"/>
          </w:tcPr>
          <w:p w14:paraId="36501EF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 гарантирует только свободный вход и выход</w:t>
            </w:r>
          </w:p>
        </w:tc>
      </w:tr>
      <w:tr w:rsidR="004E10C1" w:rsidRPr="0044524F" w14:paraId="09EBDA54" w14:textId="77777777">
        <w:tc>
          <w:tcPr>
            <w:tcW w:w="2802" w:type="dxa"/>
            <w:tcBorders>
              <w:bottom w:val="single" w:sz="12" w:space="0" w:color="auto"/>
            </w:tcBorders>
          </w:tcPr>
          <w:p w14:paraId="73A1D1A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Давление на ручку при управлении</w:t>
            </w:r>
          </w:p>
        </w:tc>
        <w:tc>
          <w:tcPr>
            <w:tcW w:w="2802" w:type="dxa"/>
            <w:tcBorders>
              <w:bottom w:val="single" w:sz="12" w:space="0" w:color="auto"/>
            </w:tcBorders>
          </w:tcPr>
          <w:p w14:paraId="21F5E9C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0,5-1 кг</w:t>
            </w:r>
          </w:p>
        </w:tc>
        <w:tc>
          <w:tcPr>
            <w:tcW w:w="2802" w:type="dxa"/>
            <w:tcBorders>
              <w:bottom w:val="single" w:sz="12" w:space="0" w:color="auto"/>
            </w:tcBorders>
          </w:tcPr>
          <w:p w14:paraId="72169B4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02" w:type="dxa"/>
            <w:tcBorders>
              <w:bottom w:val="single" w:sz="12" w:space="0" w:color="auto"/>
            </w:tcBorders>
          </w:tcPr>
          <w:p w14:paraId="685116F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 цифр не дает</w:t>
            </w:r>
          </w:p>
        </w:tc>
      </w:tr>
    </w:tbl>
    <w:p w14:paraId="38238A0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w:t>
      </w:r>
    </w:p>
    <w:p w14:paraId="467218C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летных данных с-та И-16, ЦКБ полностью удовлетворяет основному пункут (требования скорости на 5000 м). Уменьшение скороподъемности (второе по определению требований) все же выходит из допустимых границ.</w:t>
      </w:r>
    </w:p>
    <w:p w14:paraId="222CC6D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нагрузкам</w:t>
      </w:r>
    </w:p>
    <w:p w14:paraId="2AD5AD7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Расхождение против требований выражается в 5.2 кг</w:t>
      </w:r>
    </w:p>
    <w:p w14:paraId="626D0D1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Получается за счет точнения весов вооружения и несъемных деталей крепления оборудования</w:t>
      </w:r>
    </w:p>
    <w:p w14:paraId="0C9B26A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конструкции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4E10C1" w:rsidRPr="0044524F" w14:paraId="5623EB5C" w14:textId="77777777">
        <w:tc>
          <w:tcPr>
            <w:tcW w:w="5605" w:type="dxa"/>
            <w:tcBorders>
              <w:top w:val="single" w:sz="12" w:space="0" w:color="auto"/>
            </w:tcBorders>
          </w:tcPr>
          <w:p w14:paraId="3726E0E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Редакция требования</w:t>
            </w:r>
          </w:p>
        </w:tc>
        <w:tc>
          <w:tcPr>
            <w:tcW w:w="5605" w:type="dxa"/>
            <w:tcBorders>
              <w:top w:val="single" w:sz="12" w:space="0" w:color="auto"/>
            </w:tcBorders>
          </w:tcPr>
          <w:p w14:paraId="69900BD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Редакция завода № 39</w:t>
            </w:r>
          </w:p>
        </w:tc>
      </w:tr>
      <w:tr w:rsidR="004E10C1" w:rsidRPr="0044524F" w14:paraId="4784DF64" w14:textId="77777777">
        <w:tc>
          <w:tcPr>
            <w:tcW w:w="5605" w:type="dxa"/>
          </w:tcPr>
          <w:p w14:paraId="3B090C9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 при каких режимах полета не должны возникать вибрации оперения и крыльев</w:t>
            </w:r>
          </w:p>
        </w:tc>
        <w:tc>
          <w:tcPr>
            <w:tcW w:w="5605" w:type="dxa"/>
          </w:tcPr>
          <w:p w14:paraId="6535442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 при каких режимах полета не должны возникать вибрации оперения и крыльев, опасные для полета</w:t>
            </w:r>
          </w:p>
        </w:tc>
      </w:tr>
      <w:tr w:rsidR="004E10C1" w:rsidRPr="0044524F" w14:paraId="3606521F" w14:textId="77777777">
        <w:tc>
          <w:tcPr>
            <w:tcW w:w="5605" w:type="dxa"/>
          </w:tcPr>
          <w:p w14:paraId="4F7ADAE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Капотирование мотора должно обеспечивать возможность просмотра без снятия капотов фильтров, карбюратора и других</w:t>
            </w:r>
          </w:p>
        </w:tc>
        <w:tc>
          <w:tcPr>
            <w:tcW w:w="5605" w:type="dxa"/>
          </w:tcPr>
          <w:p w14:paraId="372C355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установки кольца НАКА требование выполнено быть не может</w:t>
            </w:r>
          </w:p>
        </w:tc>
      </w:tr>
      <w:tr w:rsidR="004E10C1" w:rsidRPr="0044524F" w14:paraId="30FC98AA" w14:textId="77777777">
        <w:tc>
          <w:tcPr>
            <w:tcW w:w="5605" w:type="dxa"/>
          </w:tcPr>
          <w:p w14:paraId="2B89461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Снятие капота не должно отнимать времени более 3-х минут, закопачивание - 5 минут</w:t>
            </w:r>
          </w:p>
        </w:tc>
        <w:tc>
          <w:tcPr>
            <w:tcW w:w="5605" w:type="dxa"/>
          </w:tcPr>
          <w:p w14:paraId="4C53414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Выдержать время по ТТ ЦКБ не может, но будет стремиться обеспечить наименьшее время на снятие и установку</w:t>
            </w:r>
          </w:p>
        </w:tc>
      </w:tr>
      <w:tr w:rsidR="004E10C1" w:rsidRPr="0044524F" w14:paraId="76D545D0" w14:textId="77777777">
        <w:tc>
          <w:tcPr>
            <w:tcW w:w="5605" w:type="dxa"/>
            <w:tcBorders>
              <w:bottom w:val="single" w:sz="12" w:space="0" w:color="auto"/>
            </w:tcBorders>
          </w:tcPr>
          <w:p w14:paraId="657970F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 при каких режимах работы мотора не должны наблюдаться вибрации отдельных элементов конструкции с-та</w:t>
            </w:r>
          </w:p>
        </w:tc>
        <w:tc>
          <w:tcPr>
            <w:tcW w:w="5605" w:type="dxa"/>
            <w:tcBorders>
              <w:bottom w:val="single" w:sz="12" w:space="0" w:color="auto"/>
            </w:tcBorders>
          </w:tcPr>
          <w:p w14:paraId="7EF0CC2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 при каких режимах работы мотора не должны наблюдаться вибрации отдельных элементов конструкции с-та, опасные для полета</w:t>
            </w:r>
          </w:p>
        </w:tc>
      </w:tr>
    </w:tbl>
    <w:p w14:paraId="6EE445C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4654ED6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Учитывая установку на с-те капота НАКА (техтребования были даны с учетом кольца Тауненда) можно согласиться с невыполнением требования к времени снятия и установки капота</w:t>
      </w:r>
    </w:p>
    <w:p w14:paraId="4325799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Ввиду невозможности при проектировании гарантировать полное отсутствие вибраций отдельных элементов куонструкции с-та, можно согласиться с редакцией завода, что степень опасности вибраций, будут таковые, будет определена на заводских испытаниях.</w:t>
      </w:r>
    </w:p>
    <w:p w14:paraId="0FB66D8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Сравнение с одноместными истребителями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4E10C1" w:rsidRPr="0044524F" w14:paraId="195BFBAB" w14:textId="77777777">
        <w:tc>
          <w:tcPr>
            <w:tcW w:w="1127" w:type="dxa"/>
          </w:tcPr>
          <w:p w14:paraId="6494751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E5CAAC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И-16</w:t>
            </w:r>
          </w:p>
        </w:tc>
        <w:tc>
          <w:tcPr>
            <w:tcW w:w="1127" w:type="dxa"/>
          </w:tcPr>
          <w:p w14:paraId="3411643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оп.</w:t>
            </w:r>
          </w:p>
        </w:tc>
        <w:tc>
          <w:tcPr>
            <w:tcW w:w="1127" w:type="dxa"/>
          </w:tcPr>
          <w:p w14:paraId="1A3DB75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1933</w:t>
            </w:r>
          </w:p>
        </w:tc>
        <w:tc>
          <w:tcPr>
            <w:tcW w:w="1127" w:type="dxa"/>
          </w:tcPr>
          <w:p w14:paraId="4CAE808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И-16</w:t>
            </w:r>
          </w:p>
        </w:tc>
        <w:tc>
          <w:tcPr>
            <w:tcW w:w="1127" w:type="dxa"/>
          </w:tcPr>
          <w:p w14:paraId="5D84CC2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пр.</w:t>
            </w:r>
          </w:p>
        </w:tc>
        <w:tc>
          <w:tcPr>
            <w:tcW w:w="1127" w:type="dxa"/>
          </w:tcPr>
          <w:p w14:paraId="4A98AE3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Виккерс</w:t>
            </w:r>
          </w:p>
        </w:tc>
        <w:tc>
          <w:tcPr>
            <w:tcW w:w="1127" w:type="dxa"/>
          </w:tcPr>
          <w:p w14:paraId="5E612B3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Девуатин</w:t>
            </w:r>
          </w:p>
        </w:tc>
        <w:tc>
          <w:tcPr>
            <w:tcW w:w="1127" w:type="dxa"/>
          </w:tcPr>
          <w:p w14:paraId="50C464C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Кертис</w:t>
            </w:r>
          </w:p>
        </w:tc>
      </w:tr>
      <w:tr w:rsidR="004E10C1" w:rsidRPr="0044524F" w14:paraId="28BC223F" w14:textId="77777777">
        <w:tc>
          <w:tcPr>
            <w:tcW w:w="1127" w:type="dxa"/>
          </w:tcPr>
          <w:p w14:paraId="78D297E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219548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0CC851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11B09E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5583D3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530127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Джойс</w:t>
            </w:r>
          </w:p>
        </w:tc>
        <w:tc>
          <w:tcPr>
            <w:tcW w:w="1127" w:type="dxa"/>
          </w:tcPr>
          <w:p w14:paraId="6041F3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Д-37</w:t>
            </w:r>
          </w:p>
        </w:tc>
        <w:tc>
          <w:tcPr>
            <w:tcW w:w="1127" w:type="dxa"/>
          </w:tcPr>
          <w:p w14:paraId="5D3276E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4096D8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Хаук</w:t>
            </w:r>
          </w:p>
        </w:tc>
      </w:tr>
      <w:tr w:rsidR="004E10C1" w:rsidRPr="0044524F" w14:paraId="4D6ED539" w14:textId="77777777">
        <w:tc>
          <w:tcPr>
            <w:tcW w:w="1127" w:type="dxa"/>
          </w:tcPr>
          <w:p w14:paraId="547A9FE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w:t>
            </w:r>
          </w:p>
        </w:tc>
        <w:tc>
          <w:tcPr>
            <w:tcW w:w="1127" w:type="dxa"/>
          </w:tcPr>
          <w:p w14:paraId="7F564D8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27" w:type="dxa"/>
          </w:tcPr>
          <w:p w14:paraId="2CE8BBE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27" w:type="dxa"/>
          </w:tcPr>
          <w:p w14:paraId="777DB65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27" w:type="dxa"/>
          </w:tcPr>
          <w:p w14:paraId="2CC8A8C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РЦФ-3</w:t>
            </w:r>
          </w:p>
        </w:tc>
        <w:tc>
          <w:tcPr>
            <w:tcW w:w="1127" w:type="dxa"/>
          </w:tcPr>
          <w:p w14:paraId="2900BD1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C6284B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0A8AB2F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Мистраль</w:t>
            </w:r>
          </w:p>
        </w:tc>
        <w:tc>
          <w:tcPr>
            <w:tcW w:w="1127" w:type="dxa"/>
          </w:tcPr>
          <w:p w14:paraId="06001D4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РЦ</w:t>
            </w:r>
          </w:p>
        </w:tc>
      </w:tr>
      <w:tr w:rsidR="004E10C1" w:rsidRPr="0044524F" w14:paraId="56EAE727" w14:textId="77777777">
        <w:tc>
          <w:tcPr>
            <w:tcW w:w="1127" w:type="dxa"/>
          </w:tcPr>
          <w:p w14:paraId="2FF6D5A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 на 5000</w:t>
            </w:r>
          </w:p>
        </w:tc>
        <w:tc>
          <w:tcPr>
            <w:tcW w:w="1127" w:type="dxa"/>
          </w:tcPr>
          <w:p w14:paraId="2B6F61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127" w:type="dxa"/>
          </w:tcPr>
          <w:p w14:paraId="6B04F24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w:t>
            </w:r>
          </w:p>
        </w:tc>
        <w:tc>
          <w:tcPr>
            <w:tcW w:w="1127" w:type="dxa"/>
          </w:tcPr>
          <w:p w14:paraId="37CFD2E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242</w:t>
            </w:r>
          </w:p>
        </w:tc>
        <w:tc>
          <w:tcPr>
            <w:tcW w:w="1127" w:type="dxa"/>
          </w:tcPr>
          <w:p w14:paraId="3ADBCA6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405</w:t>
            </w:r>
          </w:p>
        </w:tc>
        <w:tc>
          <w:tcPr>
            <w:tcW w:w="1127" w:type="dxa"/>
          </w:tcPr>
          <w:p w14:paraId="1CF0B85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c>
          <w:tcPr>
            <w:tcW w:w="1127" w:type="dxa"/>
          </w:tcPr>
          <w:p w14:paraId="59DDDE0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371</w:t>
            </w:r>
          </w:p>
        </w:tc>
        <w:tc>
          <w:tcPr>
            <w:tcW w:w="1127" w:type="dxa"/>
          </w:tcPr>
          <w:p w14:paraId="2F9B209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385</w:t>
            </w:r>
          </w:p>
        </w:tc>
        <w:tc>
          <w:tcPr>
            <w:tcW w:w="1127" w:type="dxa"/>
          </w:tcPr>
          <w:p w14:paraId="6D3CF75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w:t>
            </w:r>
          </w:p>
        </w:tc>
      </w:tr>
      <w:tr w:rsidR="004E10C1" w:rsidRPr="0044524F" w14:paraId="62315C7D" w14:textId="77777777">
        <w:tc>
          <w:tcPr>
            <w:tcW w:w="1127" w:type="dxa"/>
          </w:tcPr>
          <w:p w14:paraId="0CB2B5E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 на 5000</w:t>
            </w:r>
          </w:p>
        </w:tc>
        <w:tc>
          <w:tcPr>
            <w:tcW w:w="1127" w:type="dxa"/>
          </w:tcPr>
          <w:p w14:paraId="3EF87C7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10-11</w:t>
            </w:r>
          </w:p>
        </w:tc>
        <w:tc>
          <w:tcPr>
            <w:tcW w:w="1127" w:type="dxa"/>
          </w:tcPr>
          <w:p w14:paraId="5DCBA12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8:58</w:t>
            </w:r>
          </w:p>
        </w:tc>
        <w:tc>
          <w:tcPr>
            <w:tcW w:w="1127" w:type="dxa"/>
          </w:tcPr>
          <w:p w14:paraId="67F1DFF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11:30</w:t>
            </w:r>
          </w:p>
        </w:tc>
        <w:tc>
          <w:tcPr>
            <w:tcW w:w="1127" w:type="dxa"/>
          </w:tcPr>
          <w:p w14:paraId="452999D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10-10.5</w:t>
            </w:r>
          </w:p>
        </w:tc>
        <w:tc>
          <w:tcPr>
            <w:tcW w:w="1127" w:type="dxa"/>
          </w:tcPr>
          <w:p w14:paraId="67FF8CC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9:30</w:t>
            </w:r>
          </w:p>
        </w:tc>
        <w:tc>
          <w:tcPr>
            <w:tcW w:w="1127" w:type="dxa"/>
          </w:tcPr>
          <w:p w14:paraId="51C930B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1127" w:type="dxa"/>
          </w:tcPr>
          <w:p w14:paraId="2E5EEF0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1127" w:type="dxa"/>
          </w:tcPr>
          <w:p w14:paraId="0B05379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78FF6E88" w14:textId="77777777">
        <w:tc>
          <w:tcPr>
            <w:tcW w:w="1127" w:type="dxa"/>
          </w:tcPr>
          <w:p w14:paraId="1AB604B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1127" w:type="dxa"/>
          </w:tcPr>
          <w:p w14:paraId="53DEFFF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6700</w:t>
            </w:r>
          </w:p>
        </w:tc>
        <w:tc>
          <w:tcPr>
            <w:tcW w:w="1127" w:type="dxa"/>
          </w:tcPr>
          <w:p w14:paraId="2D0ECF1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8200</w:t>
            </w:r>
          </w:p>
        </w:tc>
        <w:tc>
          <w:tcPr>
            <w:tcW w:w="1127" w:type="dxa"/>
          </w:tcPr>
          <w:p w14:paraId="2C2BAB2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2252C6E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9200</w:t>
            </w:r>
          </w:p>
        </w:tc>
        <w:tc>
          <w:tcPr>
            <w:tcW w:w="1127" w:type="dxa"/>
          </w:tcPr>
          <w:p w14:paraId="5CA622F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8500</w:t>
            </w:r>
          </w:p>
        </w:tc>
        <w:tc>
          <w:tcPr>
            <w:tcW w:w="1127" w:type="dxa"/>
          </w:tcPr>
          <w:p w14:paraId="6C97AE9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11000</w:t>
            </w:r>
          </w:p>
        </w:tc>
        <w:tc>
          <w:tcPr>
            <w:tcW w:w="1127" w:type="dxa"/>
          </w:tcPr>
          <w:p w14:paraId="12121A1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11500</w:t>
            </w:r>
          </w:p>
        </w:tc>
        <w:tc>
          <w:tcPr>
            <w:tcW w:w="1127" w:type="dxa"/>
          </w:tcPr>
          <w:p w14:paraId="5B80D88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8150</w:t>
            </w:r>
          </w:p>
        </w:tc>
      </w:tr>
      <w:tr w:rsidR="004E10C1" w:rsidRPr="0044524F" w14:paraId="238F5CC4" w14:textId="77777777">
        <w:tc>
          <w:tcPr>
            <w:tcW w:w="1127" w:type="dxa"/>
          </w:tcPr>
          <w:p w14:paraId="7A40602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w:t>
            </w:r>
          </w:p>
        </w:tc>
        <w:tc>
          <w:tcPr>
            <w:tcW w:w="1127" w:type="dxa"/>
          </w:tcPr>
          <w:p w14:paraId="12B57EA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938</w:t>
            </w:r>
          </w:p>
        </w:tc>
        <w:tc>
          <w:tcPr>
            <w:tcW w:w="1127" w:type="dxa"/>
          </w:tcPr>
          <w:p w14:paraId="57C989D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852</w:t>
            </w:r>
          </w:p>
        </w:tc>
        <w:tc>
          <w:tcPr>
            <w:tcW w:w="1127" w:type="dxa"/>
          </w:tcPr>
          <w:p w14:paraId="69B9D28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1002</w:t>
            </w:r>
          </w:p>
        </w:tc>
        <w:tc>
          <w:tcPr>
            <w:tcW w:w="1127" w:type="dxa"/>
          </w:tcPr>
          <w:p w14:paraId="18CE3B3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938</w:t>
            </w:r>
          </w:p>
        </w:tc>
        <w:tc>
          <w:tcPr>
            <w:tcW w:w="1127" w:type="dxa"/>
          </w:tcPr>
          <w:p w14:paraId="3AC2935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c>
          <w:tcPr>
            <w:tcW w:w="1127" w:type="dxa"/>
          </w:tcPr>
          <w:p w14:paraId="559B025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1080</w:t>
            </w:r>
          </w:p>
        </w:tc>
        <w:tc>
          <w:tcPr>
            <w:tcW w:w="1127" w:type="dxa"/>
          </w:tcPr>
          <w:p w14:paraId="36B6858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1173</w:t>
            </w:r>
          </w:p>
        </w:tc>
        <w:tc>
          <w:tcPr>
            <w:tcW w:w="1127" w:type="dxa"/>
          </w:tcPr>
          <w:p w14:paraId="132C3F9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1145</w:t>
            </w:r>
          </w:p>
        </w:tc>
      </w:tr>
      <w:tr w:rsidR="004E10C1" w:rsidRPr="0044524F" w14:paraId="48B27CC9" w14:textId="77777777">
        <w:tc>
          <w:tcPr>
            <w:tcW w:w="1127" w:type="dxa"/>
          </w:tcPr>
          <w:p w14:paraId="4DE6A2C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полетн.</w:t>
            </w:r>
          </w:p>
        </w:tc>
        <w:tc>
          <w:tcPr>
            <w:tcW w:w="1127" w:type="dxa"/>
          </w:tcPr>
          <w:p w14:paraId="24002C8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1330</w:t>
            </w:r>
          </w:p>
        </w:tc>
        <w:tc>
          <w:tcPr>
            <w:tcW w:w="1127" w:type="dxa"/>
          </w:tcPr>
          <w:p w14:paraId="35B9D8C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1262</w:t>
            </w:r>
          </w:p>
        </w:tc>
        <w:tc>
          <w:tcPr>
            <w:tcW w:w="1127" w:type="dxa"/>
          </w:tcPr>
          <w:p w14:paraId="35BEA6B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1414</w:t>
            </w:r>
          </w:p>
        </w:tc>
        <w:tc>
          <w:tcPr>
            <w:tcW w:w="1127" w:type="dxa"/>
          </w:tcPr>
          <w:p w14:paraId="6E0F3C9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1330</w:t>
            </w:r>
          </w:p>
        </w:tc>
        <w:tc>
          <w:tcPr>
            <w:tcW w:w="1127" w:type="dxa"/>
          </w:tcPr>
          <w:p w14:paraId="5994FCF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1360</w:t>
            </w:r>
          </w:p>
        </w:tc>
        <w:tc>
          <w:tcPr>
            <w:tcW w:w="1127" w:type="dxa"/>
          </w:tcPr>
          <w:p w14:paraId="43BA91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1486</w:t>
            </w:r>
          </w:p>
        </w:tc>
        <w:tc>
          <w:tcPr>
            <w:tcW w:w="1127" w:type="dxa"/>
          </w:tcPr>
          <w:p w14:paraId="6773D89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1630</w:t>
            </w:r>
          </w:p>
        </w:tc>
        <w:tc>
          <w:tcPr>
            <w:tcW w:w="1127" w:type="dxa"/>
          </w:tcPr>
          <w:p w14:paraId="6249EA6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1467</w:t>
            </w:r>
          </w:p>
        </w:tc>
      </w:tr>
    </w:tbl>
    <w:p w14:paraId="0269FF2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w:t>
      </w:r>
    </w:p>
    <w:p w14:paraId="376EC76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 И-16 в сравнении с И-5 имеющим такой же мотор в отношении горизонтальной скорости дает скачек на 20% (60 км)</w:t>
      </w:r>
    </w:p>
    <w:p w14:paraId="2FE559E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скороподъемности находится на уровне эталона 1933 г.</w:t>
      </w:r>
    </w:p>
    <w:p w14:paraId="0CB77B7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Сравнивая И-16 с РЦФ3 с современными истребителями с воздушным мотором, получаем, что И-16 также значительно превосходит таковые</w:t>
      </w:r>
    </w:p>
    <w:p w14:paraId="7609528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Оценка схемы и конструкции с-та</w:t>
      </w:r>
    </w:p>
    <w:p w14:paraId="5EB1243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Вибрация схемы низкокрылого моноплана с убирающимся шасси вполне соответствует основным требованиям, предъявляемым к самолету.</w:t>
      </w:r>
    </w:p>
    <w:p w14:paraId="4CC7645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Для опытного экземпляра нужно остановиться на капоте НАКА, как дающем больший выигрыш в скорости, хотя и за счет некоторого ухудшения эксплоатационной стороны.</w:t>
      </w:r>
    </w:p>
    <w:p w14:paraId="1860477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Общий вывод:</w:t>
      </w:r>
    </w:p>
    <w:p w14:paraId="40A1E05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Рассматривая И-16 с М-22 как более близкий к серийному выпуску вариант (обеспечен отечественным мотором) нужно признать, что:</w:t>
      </w:r>
    </w:p>
    <w:p w14:paraId="1D275F9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своей схеме и аэродинамическим формам И-16 полностью соответствует сновному, предъявленному к нему требованию.</w:t>
      </w:r>
    </w:p>
    <w:p w14:paraId="0A8AE75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 летным данным даже с невысотным мотором становится на уровень, близкий к современным заграничным с-там истребителям и представляет значительный сдвиг по скорости с имеющимися у нас на вооружении истребителями.</w:t>
      </w:r>
    </w:p>
    <w:p w14:paraId="0DDACDE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E18E43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Предъявленную боевую схему И-16 с мотором М-22 - утвердить.</w:t>
      </w:r>
    </w:p>
    <w:p w14:paraId="3BF7E3A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Считать необходимым опытный экземпляр выпустить с капотом N АС"а, дублер же с кольцом ТАУЭНДА с целью всестороннего сравнения выгод и недостатков присущих тому и другому типу.</w:t>
      </w:r>
    </w:p>
    <w:p w14:paraId="2FE5570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Считать возможным согласиться с ЦКБ завода N 39 в отношении отклонения техтребований перечисленных в разделе 2-го пункта А 9стр. 1) (2303,30).</w:t>
      </w:r>
    </w:p>
    <w:p w14:paraId="0C49A8A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0D8C09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Врид ГИ-М ВВС РККА Горощенко утвердил Заключение по эскизному проекту самолета И-16 с М-22 (2303,35):</w:t>
      </w:r>
    </w:p>
    <w:p w14:paraId="16619FE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Предъявленную боевую схему И-16 с мотором М-22 - утвердить.</w:t>
      </w:r>
    </w:p>
    <w:p w14:paraId="3A41019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Считать необходимым опытный экземпляр выпустить с капотом N АС"а, дублер же с кольцом ТАУЭНДА с целью всестороннего сравнения выгод и недостатков присущих тому и другому типу.</w:t>
      </w:r>
    </w:p>
    <w:p w14:paraId="6AE7EA6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Считать возможным согласиться с ЦКБ завода N 39 в отношении отклонения техтребований перечисленных в разделе 2-го пункта А 9стр. 1) (2303,30).</w:t>
      </w:r>
    </w:p>
    <w:p w14:paraId="5E18EF2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Сравнение с одноместными истребителями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27"/>
        <w:gridCol w:w="1127"/>
        <w:gridCol w:w="1127"/>
        <w:gridCol w:w="1127"/>
        <w:gridCol w:w="1127"/>
        <w:gridCol w:w="1127"/>
        <w:gridCol w:w="1127"/>
        <w:gridCol w:w="1127"/>
        <w:gridCol w:w="1127"/>
      </w:tblGrid>
      <w:tr w:rsidR="004E10C1" w:rsidRPr="0044524F" w14:paraId="22BA2223" w14:textId="77777777">
        <w:tc>
          <w:tcPr>
            <w:tcW w:w="1127" w:type="dxa"/>
          </w:tcPr>
          <w:p w14:paraId="7D9A79F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A45BC5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И-16</w:t>
            </w:r>
          </w:p>
        </w:tc>
        <w:tc>
          <w:tcPr>
            <w:tcW w:w="1127" w:type="dxa"/>
          </w:tcPr>
          <w:p w14:paraId="5056434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оп.</w:t>
            </w:r>
          </w:p>
        </w:tc>
        <w:tc>
          <w:tcPr>
            <w:tcW w:w="1127" w:type="dxa"/>
          </w:tcPr>
          <w:p w14:paraId="185F91B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1933</w:t>
            </w:r>
          </w:p>
        </w:tc>
        <w:tc>
          <w:tcPr>
            <w:tcW w:w="1127" w:type="dxa"/>
          </w:tcPr>
          <w:p w14:paraId="2566300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И-16</w:t>
            </w:r>
          </w:p>
        </w:tc>
        <w:tc>
          <w:tcPr>
            <w:tcW w:w="1127" w:type="dxa"/>
          </w:tcPr>
          <w:p w14:paraId="5C4CB9B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пр.</w:t>
            </w:r>
          </w:p>
        </w:tc>
        <w:tc>
          <w:tcPr>
            <w:tcW w:w="1127" w:type="dxa"/>
          </w:tcPr>
          <w:p w14:paraId="067D2DB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Виккерс</w:t>
            </w:r>
          </w:p>
        </w:tc>
        <w:tc>
          <w:tcPr>
            <w:tcW w:w="1127" w:type="dxa"/>
          </w:tcPr>
          <w:p w14:paraId="0B4ED07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Девуатин</w:t>
            </w:r>
          </w:p>
        </w:tc>
        <w:tc>
          <w:tcPr>
            <w:tcW w:w="1127" w:type="dxa"/>
          </w:tcPr>
          <w:p w14:paraId="699F638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Кертис</w:t>
            </w:r>
          </w:p>
        </w:tc>
      </w:tr>
      <w:tr w:rsidR="004E10C1" w:rsidRPr="0044524F" w14:paraId="4AFBF35C" w14:textId="77777777">
        <w:tc>
          <w:tcPr>
            <w:tcW w:w="1127" w:type="dxa"/>
          </w:tcPr>
          <w:p w14:paraId="59BC685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BFC94D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3E7133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22D9CCC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18928C7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4922BF3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Джойс</w:t>
            </w:r>
          </w:p>
        </w:tc>
        <w:tc>
          <w:tcPr>
            <w:tcW w:w="1127" w:type="dxa"/>
          </w:tcPr>
          <w:p w14:paraId="550D831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Д-37</w:t>
            </w:r>
          </w:p>
        </w:tc>
        <w:tc>
          <w:tcPr>
            <w:tcW w:w="1127" w:type="dxa"/>
          </w:tcPr>
          <w:p w14:paraId="026B878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23A8B3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Хаук</w:t>
            </w:r>
          </w:p>
        </w:tc>
      </w:tr>
      <w:tr w:rsidR="004E10C1" w:rsidRPr="0044524F" w14:paraId="6076B97F" w14:textId="77777777">
        <w:tc>
          <w:tcPr>
            <w:tcW w:w="1127" w:type="dxa"/>
          </w:tcPr>
          <w:p w14:paraId="3EB3DF5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w:t>
            </w:r>
          </w:p>
        </w:tc>
        <w:tc>
          <w:tcPr>
            <w:tcW w:w="1127" w:type="dxa"/>
          </w:tcPr>
          <w:p w14:paraId="158B30E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27" w:type="dxa"/>
          </w:tcPr>
          <w:p w14:paraId="17DF8E7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27" w:type="dxa"/>
          </w:tcPr>
          <w:p w14:paraId="7668694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27" w:type="dxa"/>
          </w:tcPr>
          <w:p w14:paraId="1E9CB08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РЦФ-3</w:t>
            </w:r>
          </w:p>
        </w:tc>
        <w:tc>
          <w:tcPr>
            <w:tcW w:w="1127" w:type="dxa"/>
          </w:tcPr>
          <w:p w14:paraId="7C2CE0C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60B7A21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127" w:type="dxa"/>
          </w:tcPr>
          <w:p w14:paraId="7FD2DD0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Мистраль</w:t>
            </w:r>
          </w:p>
        </w:tc>
        <w:tc>
          <w:tcPr>
            <w:tcW w:w="1127" w:type="dxa"/>
          </w:tcPr>
          <w:p w14:paraId="5775E24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РЦ</w:t>
            </w:r>
          </w:p>
        </w:tc>
      </w:tr>
      <w:tr w:rsidR="004E10C1" w:rsidRPr="0044524F" w14:paraId="0C0F6910" w14:textId="77777777">
        <w:tc>
          <w:tcPr>
            <w:tcW w:w="1127" w:type="dxa"/>
          </w:tcPr>
          <w:p w14:paraId="45B7391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 на 5000</w:t>
            </w:r>
          </w:p>
        </w:tc>
        <w:tc>
          <w:tcPr>
            <w:tcW w:w="1127" w:type="dxa"/>
          </w:tcPr>
          <w:p w14:paraId="21152BA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127" w:type="dxa"/>
          </w:tcPr>
          <w:p w14:paraId="44385D6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w:t>
            </w:r>
          </w:p>
        </w:tc>
        <w:tc>
          <w:tcPr>
            <w:tcW w:w="1127" w:type="dxa"/>
          </w:tcPr>
          <w:p w14:paraId="41648AB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242</w:t>
            </w:r>
          </w:p>
        </w:tc>
        <w:tc>
          <w:tcPr>
            <w:tcW w:w="1127" w:type="dxa"/>
          </w:tcPr>
          <w:p w14:paraId="492B6FB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405</w:t>
            </w:r>
          </w:p>
        </w:tc>
        <w:tc>
          <w:tcPr>
            <w:tcW w:w="1127" w:type="dxa"/>
          </w:tcPr>
          <w:p w14:paraId="2268BCE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c>
          <w:tcPr>
            <w:tcW w:w="1127" w:type="dxa"/>
          </w:tcPr>
          <w:p w14:paraId="2722ECF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371</w:t>
            </w:r>
          </w:p>
        </w:tc>
        <w:tc>
          <w:tcPr>
            <w:tcW w:w="1127" w:type="dxa"/>
          </w:tcPr>
          <w:p w14:paraId="01E88DE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385</w:t>
            </w:r>
          </w:p>
        </w:tc>
        <w:tc>
          <w:tcPr>
            <w:tcW w:w="1127" w:type="dxa"/>
          </w:tcPr>
          <w:p w14:paraId="519995A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w:t>
            </w:r>
          </w:p>
        </w:tc>
      </w:tr>
      <w:tr w:rsidR="004E10C1" w:rsidRPr="0044524F" w14:paraId="003203AD" w14:textId="77777777">
        <w:tc>
          <w:tcPr>
            <w:tcW w:w="1127" w:type="dxa"/>
          </w:tcPr>
          <w:p w14:paraId="463E4E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 на 5000</w:t>
            </w:r>
          </w:p>
        </w:tc>
        <w:tc>
          <w:tcPr>
            <w:tcW w:w="1127" w:type="dxa"/>
          </w:tcPr>
          <w:p w14:paraId="5F49D32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10-11</w:t>
            </w:r>
          </w:p>
        </w:tc>
        <w:tc>
          <w:tcPr>
            <w:tcW w:w="1127" w:type="dxa"/>
          </w:tcPr>
          <w:p w14:paraId="2E35C7C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8:58</w:t>
            </w:r>
          </w:p>
        </w:tc>
        <w:tc>
          <w:tcPr>
            <w:tcW w:w="1127" w:type="dxa"/>
          </w:tcPr>
          <w:p w14:paraId="603EAE0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11:30</w:t>
            </w:r>
          </w:p>
        </w:tc>
        <w:tc>
          <w:tcPr>
            <w:tcW w:w="1127" w:type="dxa"/>
          </w:tcPr>
          <w:p w14:paraId="5FA7495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10-10.5</w:t>
            </w:r>
          </w:p>
        </w:tc>
        <w:tc>
          <w:tcPr>
            <w:tcW w:w="1127" w:type="dxa"/>
          </w:tcPr>
          <w:p w14:paraId="2FB55FA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9:30</w:t>
            </w:r>
          </w:p>
        </w:tc>
        <w:tc>
          <w:tcPr>
            <w:tcW w:w="1127" w:type="dxa"/>
          </w:tcPr>
          <w:p w14:paraId="5C245E3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1127" w:type="dxa"/>
          </w:tcPr>
          <w:p w14:paraId="7A3F53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1127" w:type="dxa"/>
          </w:tcPr>
          <w:p w14:paraId="6A66AE1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08109317" w14:textId="77777777">
        <w:tc>
          <w:tcPr>
            <w:tcW w:w="1127" w:type="dxa"/>
          </w:tcPr>
          <w:p w14:paraId="19C3AA5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Потолок</w:t>
            </w:r>
          </w:p>
        </w:tc>
        <w:tc>
          <w:tcPr>
            <w:tcW w:w="1127" w:type="dxa"/>
          </w:tcPr>
          <w:p w14:paraId="026B733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6700</w:t>
            </w:r>
          </w:p>
        </w:tc>
        <w:tc>
          <w:tcPr>
            <w:tcW w:w="1127" w:type="dxa"/>
          </w:tcPr>
          <w:p w14:paraId="6F2F435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8200</w:t>
            </w:r>
          </w:p>
        </w:tc>
        <w:tc>
          <w:tcPr>
            <w:tcW w:w="1127" w:type="dxa"/>
          </w:tcPr>
          <w:p w14:paraId="0336A45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7" w:type="dxa"/>
          </w:tcPr>
          <w:p w14:paraId="624BBB2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9200</w:t>
            </w:r>
          </w:p>
        </w:tc>
        <w:tc>
          <w:tcPr>
            <w:tcW w:w="1127" w:type="dxa"/>
          </w:tcPr>
          <w:p w14:paraId="0E58AD2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8500</w:t>
            </w:r>
          </w:p>
        </w:tc>
        <w:tc>
          <w:tcPr>
            <w:tcW w:w="1127" w:type="dxa"/>
          </w:tcPr>
          <w:p w14:paraId="7AF8838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11000</w:t>
            </w:r>
          </w:p>
        </w:tc>
        <w:tc>
          <w:tcPr>
            <w:tcW w:w="1127" w:type="dxa"/>
          </w:tcPr>
          <w:p w14:paraId="2ADB506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11500</w:t>
            </w:r>
          </w:p>
        </w:tc>
        <w:tc>
          <w:tcPr>
            <w:tcW w:w="1127" w:type="dxa"/>
          </w:tcPr>
          <w:p w14:paraId="3AA932D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8150</w:t>
            </w:r>
          </w:p>
        </w:tc>
      </w:tr>
      <w:tr w:rsidR="004E10C1" w:rsidRPr="0044524F" w14:paraId="38C3E043" w14:textId="77777777">
        <w:tc>
          <w:tcPr>
            <w:tcW w:w="1127" w:type="dxa"/>
          </w:tcPr>
          <w:p w14:paraId="7EE78E2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w:t>
            </w:r>
          </w:p>
        </w:tc>
        <w:tc>
          <w:tcPr>
            <w:tcW w:w="1127" w:type="dxa"/>
          </w:tcPr>
          <w:p w14:paraId="144656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938</w:t>
            </w:r>
          </w:p>
        </w:tc>
        <w:tc>
          <w:tcPr>
            <w:tcW w:w="1127" w:type="dxa"/>
          </w:tcPr>
          <w:p w14:paraId="6979D32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852</w:t>
            </w:r>
          </w:p>
        </w:tc>
        <w:tc>
          <w:tcPr>
            <w:tcW w:w="1127" w:type="dxa"/>
          </w:tcPr>
          <w:p w14:paraId="01A6076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1002</w:t>
            </w:r>
          </w:p>
        </w:tc>
        <w:tc>
          <w:tcPr>
            <w:tcW w:w="1127" w:type="dxa"/>
          </w:tcPr>
          <w:p w14:paraId="5977203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938</w:t>
            </w:r>
          </w:p>
        </w:tc>
        <w:tc>
          <w:tcPr>
            <w:tcW w:w="1127" w:type="dxa"/>
          </w:tcPr>
          <w:p w14:paraId="4A1C768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950</w:t>
            </w:r>
          </w:p>
        </w:tc>
        <w:tc>
          <w:tcPr>
            <w:tcW w:w="1127" w:type="dxa"/>
          </w:tcPr>
          <w:p w14:paraId="40FB674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1080</w:t>
            </w:r>
          </w:p>
        </w:tc>
        <w:tc>
          <w:tcPr>
            <w:tcW w:w="1127" w:type="dxa"/>
          </w:tcPr>
          <w:p w14:paraId="07B66AB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1173</w:t>
            </w:r>
          </w:p>
        </w:tc>
        <w:tc>
          <w:tcPr>
            <w:tcW w:w="1127" w:type="dxa"/>
          </w:tcPr>
          <w:p w14:paraId="7C28800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1145</w:t>
            </w:r>
          </w:p>
        </w:tc>
      </w:tr>
      <w:tr w:rsidR="004E10C1" w:rsidRPr="0044524F" w14:paraId="7563C283" w14:textId="77777777">
        <w:tc>
          <w:tcPr>
            <w:tcW w:w="1127" w:type="dxa"/>
          </w:tcPr>
          <w:p w14:paraId="4D7F36D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полетн.</w:t>
            </w:r>
          </w:p>
        </w:tc>
        <w:tc>
          <w:tcPr>
            <w:tcW w:w="1127" w:type="dxa"/>
          </w:tcPr>
          <w:p w14:paraId="2467C16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1330</w:t>
            </w:r>
          </w:p>
        </w:tc>
        <w:tc>
          <w:tcPr>
            <w:tcW w:w="1127" w:type="dxa"/>
          </w:tcPr>
          <w:p w14:paraId="3B736A7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1262</w:t>
            </w:r>
          </w:p>
        </w:tc>
        <w:tc>
          <w:tcPr>
            <w:tcW w:w="1127" w:type="dxa"/>
          </w:tcPr>
          <w:p w14:paraId="55C7BC6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1414</w:t>
            </w:r>
          </w:p>
        </w:tc>
        <w:tc>
          <w:tcPr>
            <w:tcW w:w="1127" w:type="dxa"/>
          </w:tcPr>
          <w:p w14:paraId="6A93BA9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1330</w:t>
            </w:r>
          </w:p>
        </w:tc>
        <w:tc>
          <w:tcPr>
            <w:tcW w:w="1127" w:type="dxa"/>
          </w:tcPr>
          <w:p w14:paraId="4069563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1360</w:t>
            </w:r>
          </w:p>
        </w:tc>
        <w:tc>
          <w:tcPr>
            <w:tcW w:w="1127" w:type="dxa"/>
          </w:tcPr>
          <w:p w14:paraId="241E753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1486</w:t>
            </w:r>
          </w:p>
        </w:tc>
        <w:tc>
          <w:tcPr>
            <w:tcW w:w="1127" w:type="dxa"/>
          </w:tcPr>
          <w:p w14:paraId="3F84BAD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1630</w:t>
            </w:r>
          </w:p>
        </w:tc>
        <w:tc>
          <w:tcPr>
            <w:tcW w:w="1127" w:type="dxa"/>
          </w:tcPr>
          <w:p w14:paraId="6201AD5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1467</w:t>
            </w:r>
          </w:p>
        </w:tc>
      </w:tr>
    </w:tbl>
    <w:p w14:paraId="0F2A089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Главный вывод, что И-16 с М-22 все равно надо делать, т.к. это лучшая машина с отечественным мотором (2393,32).</w:t>
      </w:r>
    </w:p>
    <w:p w14:paraId="5A992D9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1773A1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г. главный инженер-ме</w:t>
      </w:r>
      <w:r w:rsidRPr="0044524F">
        <w:rPr>
          <w:rFonts w:ascii="Times New Roman" w:hAnsi="Times New Roman"/>
          <w:color w:val="000000" w:themeColor="text1"/>
          <w:sz w:val="16"/>
          <w:szCs w:val="16"/>
        </w:rPr>
        <w:softHyphen/>
        <w:t>ханик ВВС РККА Б.Т.Горощенко, впоследствии профессор ВВА им. проф. Н.Е.Жуковского, видный уче</w:t>
      </w:r>
      <w:r w:rsidRPr="0044524F">
        <w:rPr>
          <w:rFonts w:ascii="Times New Roman" w:hAnsi="Times New Roman"/>
          <w:color w:val="000000" w:themeColor="text1"/>
          <w:sz w:val="16"/>
          <w:szCs w:val="16"/>
        </w:rPr>
        <w:softHyphen/>
        <w:t>ный в области динамики полета и аэродинамического расчета самолетов утвердил заключения по эскизному проекту И-16 с мотором М-22 написанное ВРИД начальника 7-го сектора НИИ ВВС Н.А.Жемчу-жиным. Дать официальный заказ на постройку истреби</w:t>
      </w:r>
      <w:r w:rsidRPr="0044524F">
        <w:rPr>
          <w:rFonts w:ascii="Times New Roman" w:hAnsi="Times New Roman"/>
          <w:color w:val="000000" w:themeColor="text1"/>
          <w:sz w:val="16"/>
          <w:szCs w:val="16"/>
        </w:rPr>
        <w:softHyphen/>
        <w:t>теля И-16 ВВС вынуди</w:t>
      </w:r>
      <w:r w:rsidRPr="0044524F">
        <w:rPr>
          <w:rFonts w:ascii="Times New Roman" w:hAnsi="Times New Roman"/>
          <w:color w:val="000000" w:themeColor="text1"/>
          <w:sz w:val="16"/>
          <w:szCs w:val="16"/>
        </w:rPr>
        <w:softHyphen/>
        <w:t>ли задержки с проведением заводских испытаний И-14 и передачей его на государственные испытания. В документе были зафиксированы следующие рас</w:t>
      </w:r>
      <w:r w:rsidRPr="0044524F">
        <w:rPr>
          <w:rFonts w:ascii="Times New Roman" w:hAnsi="Times New Roman"/>
          <w:color w:val="000000" w:themeColor="text1"/>
          <w:sz w:val="16"/>
          <w:szCs w:val="16"/>
        </w:rPr>
        <w:softHyphen/>
        <w:t>четные характеристики истребителя: максимальная скорость у земли - 345 км/ч, скорость на высоте 3000 м - 320 км/ч, на высоте 5000 м - 300 км/ч, время набора высоты 5000 м - 10-11 мин. После анализа характерис</w:t>
      </w:r>
      <w:r w:rsidRPr="0044524F">
        <w:rPr>
          <w:rFonts w:ascii="Times New Roman" w:hAnsi="Times New Roman"/>
          <w:color w:val="000000" w:themeColor="text1"/>
          <w:sz w:val="16"/>
          <w:szCs w:val="16"/>
        </w:rPr>
        <w:softHyphen/>
        <w:t>тик отечественных и зарубежных опытных и серийных одноместных истребителей были сделаны следующие выводы:</w:t>
      </w:r>
    </w:p>
    <w:p w14:paraId="15FD948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«Рассматривая самолет И-16 с мотором М-22 как бо</w:t>
      </w:r>
      <w:r w:rsidRPr="0044524F">
        <w:rPr>
          <w:rFonts w:ascii="Times New Roman" w:hAnsi="Times New Roman"/>
          <w:color w:val="000000" w:themeColor="text1"/>
          <w:sz w:val="16"/>
          <w:szCs w:val="16"/>
        </w:rPr>
        <w:softHyphen/>
        <w:t>лее близкий к серийному выпуску вариант (обеспечен</w:t>
      </w:r>
      <w:r w:rsidRPr="0044524F">
        <w:rPr>
          <w:rFonts w:ascii="Times New Roman" w:hAnsi="Times New Roman"/>
          <w:color w:val="000000" w:themeColor="text1"/>
          <w:sz w:val="16"/>
          <w:szCs w:val="16"/>
        </w:rPr>
        <w:softHyphen/>
        <w:t>ный отечественным мотором), нужно признать, что:</w:t>
      </w:r>
    </w:p>
    <w:p w14:paraId="3C389E2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своей схеме и аэродинамическим формам са</w:t>
      </w:r>
      <w:r w:rsidRPr="0044524F">
        <w:rPr>
          <w:rFonts w:ascii="Times New Roman" w:hAnsi="Times New Roman"/>
          <w:color w:val="000000" w:themeColor="text1"/>
          <w:sz w:val="16"/>
          <w:szCs w:val="16"/>
        </w:rPr>
        <w:softHyphen/>
        <w:t>молет И-16 полностью соответствует основному предъ</w:t>
      </w:r>
      <w:r w:rsidRPr="0044524F">
        <w:rPr>
          <w:rFonts w:ascii="Times New Roman" w:hAnsi="Times New Roman"/>
          <w:color w:val="000000" w:themeColor="text1"/>
          <w:sz w:val="16"/>
          <w:szCs w:val="16"/>
        </w:rPr>
        <w:softHyphen/>
        <w:t>явленному к нему требованию - скорости.</w:t>
      </w:r>
    </w:p>
    <w:p w14:paraId="6318B34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 летным данным даже с невысотным мотором становится на уровне, близком к современным загра</w:t>
      </w:r>
      <w:r w:rsidRPr="0044524F">
        <w:rPr>
          <w:rFonts w:ascii="Times New Roman" w:hAnsi="Times New Roman"/>
          <w:color w:val="000000" w:themeColor="text1"/>
          <w:sz w:val="16"/>
          <w:szCs w:val="16"/>
        </w:rPr>
        <w:softHyphen/>
        <w:t>ничным истребителям, и представляет значительный сдвиг по скорости с имеющимися у нас на вооружении истребителями...» (10667).</w:t>
      </w:r>
    </w:p>
    <w:p w14:paraId="45A1CA6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0D2DD6C"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г. главный инженер-механик ВВС РККА Б.Т. Горощенко, впоследствии профессор ВВА им. проф. Н.Е. Жуковского, видный ученый в области динамики полета и аэродинами</w:t>
      </w:r>
      <w:r w:rsidRPr="0044524F">
        <w:rPr>
          <w:rFonts w:ascii="Times New Roman" w:hAnsi="Times New Roman"/>
          <w:color w:val="000000" w:themeColor="text1"/>
          <w:sz w:val="16"/>
          <w:szCs w:val="16"/>
        </w:rPr>
        <w:softHyphen/>
        <w:t>ческого расчета самолетов, утвердил заключения по эскизному про</w:t>
      </w:r>
      <w:r w:rsidRPr="0044524F">
        <w:rPr>
          <w:rFonts w:ascii="Times New Roman" w:hAnsi="Times New Roman"/>
          <w:color w:val="000000" w:themeColor="text1"/>
          <w:sz w:val="16"/>
          <w:szCs w:val="16"/>
        </w:rPr>
        <w:softHyphen/>
        <w:t>екту И-16 с мотором М-22, которое в конце сентября написал ВРИД начальника 7-го сектора НИИ ВВС Н.А. Жемчужин.</w:t>
      </w:r>
    </w:p>
    <w:p w14:paraId="74855B49"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документе зафиксированы следующие расчетные харак</w:t>
      </w:r>
      <w:r w:rsidRPr="0044524F">
        <w:rPr>
          <w:rFonts w:ascii="Times New Roman" w:hAnsi="Times New Roman"/>
          <w:color w:val="000000" w:themeColor="text1"/>
          <w:sz w:val="16"/>
          <w:szCs w:val="16"/>
        </w:rPr>
        <w:softHyphen/>
        <w:t>теристики истребителя И-16 с мотором М-22 (в документах тех лет он еще обозначался и как И-16 М-22): максимальная скорость у земли - 345 км/ч, скорость на высоте 3000 м - 320 км/ч, на высоте 5000 м - 300 км/ч, время набора высоты 5000 м - 10-11 мин. После тщательного анализа характеристик отечественных и зарубежных опытных и серийных одномест</w:t>
      </w:r>
      <w:r w:rsidRPr="0044524F">
        <w:rPr>
          <w:rFonts w:ascii="Times New Roman" w:hAnsi="Times New Roman"/>
          <w:color w:val="000000" w:themeColor="text1"/>
          <w:sz w:val="16"/>
          <w:szCs w:val="16"/>
        </w:rPr>
        <w:softHyphen/>
        <w:t>ных истребителей были сделаны следующие выводы:</w:t>
      </w:r>
    </w:p>
    <w:p w14:paraId="3B0C04AB"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«Рассматривая самолет И-16 с мотором М-22 как более близ</w:t>
      </w:r>
      <w:r w:rsidRPr="0044524F">
        <w:rPr>
          <w:rFonts w:ascii="Times New Roman" w:hAnsi="Times New Roman"/>
          <w:color w:val="000000" w:themeColor="text1"/>
          <w:sz w:val="16"/>
          <w:szCs w:val="16"/>
        </w:rPr>
        <w:softHyphen/>
        <w:t>кий к серийному выпуску вариант (обеспеченный отечественным мотором), нужно признать, что:</w:t>
      </w:r>
    </w:p>
    <w:p w14:paraId="571BE56B"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своей схеме и аэродинамическим формам самолет И-16 полностью соответствует основному предъявленному к нему требованию - скорости.</w:t>
      </w:r>
    </w:p>
    <w:p w14:paraId="643D16C8"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 летным данным даже с невысотным мотором стано</w:t>
      </w:r>
      <w:r w:rsidRPr="0044524F">
        <w:rPr>
          <w:rFonts w:ascii="Times New Roman" w:hAnsi="Times New Roman"/>
          <w:color w:val="000000" w:themeColor="text1"/>
          <w:sz w:val="16"/>
          <w:szCs w:val="16"/>
        </w:rPr>
        <w:softHyphen/>
        <w:t>вится на уровне, близком к современным заграничным истреби</w:t>
      </w:r>
      <w:r w:rsidRPr="0044524F">
        <w:rPr>
          <w:rFonts w:ascii="Times New Roman" w:hAnsi="Times New Roman"/>
          <w:color w:val="000000" w:themeColor="text1"/>
          <w:sz w:val="16"/>
          <w:szCs w:val="16"/>
        </w:rPr>
        <w:softHyphen/>
        <w:t>телям, и представляет значительный сдвиг по скорости с имею</w:t>
      </w:r>
      <w:r w:rsidRPr="0044524F">
        <w:rPr>
          <w:rFonts w:ascii="Times New Roman" w:hAnsi="Times New Roman"/>
          <w:color w:val="000000" w:themeColor="text1"/>
          <w:sz w:val="16"/>
          <w:szCs w:val="16"/>
        </w:rPr>
        <w:softHyphen/>
        <w:t>щимися у нас на вооружении истребителями...» (23455).</w:t>
      </w:r>
    </w:p>
    <w:p w14:paraId="169FD97D" w14:textId="77777777" w:rsidR="00C12A56" w:rsidRPr="0044524F" w:rsidRDefault="00C12A56" w:rsidP="009654CF">
      <w:pPr>
        <w:spacing w:after="0" w:line="240" w:lineRule="auto"/>
        <w:jc w:val="both"/>
        <w:rPr>
          <w:rFonts w:ascii="Times New Roman" w:hAnsi="Times New Roman"/>
          <w:color w:val="000000" w:themeColor="text1"/>
          <w:sz w:val="16"/>
          <w:szCs w:val="16"/>
        </w:rPr>
      </w:pPr>
    </w:p>
    <w:p w14:paraId="6ADFEDE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1934 года С.Н.Анохин выполнил исключительный по смелости эксперимент по испытанию планера "Рот-Фронт-1 " с преднамеренным разрушением в воздухе. Эксперимент был задуман учёными и конструкторами ЦАГИ. По расчётам известного учёно-го-аэродинамика В.П.Ветчинкина, планер должен был разрушиться на скорости 220 км/ч. По мнению другой группы учёных, в числе которых был конструктор планера О.К.Антонов, это должно было произойти на скорости около 300 км/ч. При испытании в воздухе планер разрушился на скорости, очень близкой к той, которую рассчитал Ветчинкин. Анохин благополучно спасся на парашюте (5996).</w:t>
      </w:r>
    </w:p>
    <w:p w14:paraId="2BB667C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FB7DAE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 по 15 октября 1933 проводились наземные гос. испытания ж/д торпед ЖДТ-1 и ЖДТ-3 системы Бродского, изготовленных КБ N 5 УВИ НВ РККА, предназначаемые для поражения ж/д составов, бронепоездов и мостов при воздушно-десантных операциях.</w:t>
      </w:r>
    </w:p>
    <w:p w14:paraId="1B552D0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 испытаний - предварительных земных и воздушных в Москве</w:t>
      </w:r>
    </w:p>
    <w:p w14:paraId="2DAC407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Земных испытаний - в Ильино на научно-испытательном ж/д полигоне</w:t>
      </w:r>
    </w:p>
    <w:p w14:paraId="44325C3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5B097AC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возможность применения указанных торпед ЖДТ-1 (ЖДТ-3) при десантных операциях для разрушения ж/д составов, бронепоездов, путей и мостов, в частности:</w:t>
      </w:r>
    </w:p>
    <w:p w14:paraId="15B836B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Удобство подвески торпед под самолетом (с использованием существующих держателей на самолете).</w:t>
      </w:r>
    </w:p>
    <w:p w14:paraId="57176E6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Установку на ж/д полотно после падения и потребное число обслуживающего персонала.</w:t>
      </w:r>
    </w:p>
    <w:p w14:paraId="38F27B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Техническое устройство торпед (действие механизмов).</w:t>
      </w:r>
    </w:p>
    <w:p w14:paraId="49664B5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Устойчивость торпед в пути (при разных закруглениях профиля пути).</w:t>
      </w:r>
    </w:p>
    <w:p w14:paraId="7465A20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Среднюю скорость передвижения торпеды по ж/д полотну и ее максимальный радиус действия.</w:t>
      </w:r>
    </w:p>
    <w:p w14:paraId="7A0684D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Характер разрушительного действия торпеды (ЖДТ-3).</w:t>
      </w:r>
    </w:p>
    <w:p w14:paraId="67232E4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Полученные результаты должны дать возможность судить о целесообразности производства войсковых испытаний и дать конструктивные изменения, которые должны быть внесены в этом случае.</w:t>
      </w:r>
    </w:p>
    <w:p w14:paraId="4BB2611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15434AE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ЖДТ-1 и ЖДТ-3 испытания выдержали. Необходимо произвести войсковые испытания (3853).</w:t>
      </w:r>
    </w:p>
    <w:p w14:paraId="519E604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3E173FE" w14:textId="77777777" w:rsidR="00585A9A" w:rsidRPr="0044524F" w:rsidRDefault="001A42D5"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B2BA114" w14:textId="77777777" w:rsidR="00585A9A" w:rsidRPr="0044524F" w:rsidRDefault="00585A9A"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13CF52E3" w14:textId="77777777" w:rsidR="00CF276A" w:rsidRPr="0044524F" w:rsidRDefault="00CF276A" w:rsidP="009654CF">
      <w:pPr>
        <w:pStyle w:val="rtejustify"/>
        <w:spacing w:before="0" w:after="0"/>
        <w:rPr>
          <w:color w:val="000000" w:themeColor="text1"/>
          <w:sz w:val="16"/>
          <w:szCs w:val="16"/>
        </w:rPr>
      </w:pPr>
      <w:r w:rsidRPr="0044524F">
        <w:rPr>
          <w:color w:val="000000" w:themeColor="text1"/>
          <w:sz w:val="16"/>
          <w:szCs w:val="16"/>
        </w:rPr>
        <w:t>2 октября [1933 г.] Каганович — Сталину</w:t>
      </w:r>
    </w:p>
    <w:p w14:paraId="13AB810B"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2/Х</w:t>
      </w:r>
    </w:p>
    <w:p w14:paraId="35824DC7" w14:textId="77777777" w:rsidR="003F2394" w:rsidRPr="0044524F" w:rsidRDefault="003F2394" w:rsidP="009654CF">
      <w:pPr>
        <w:pStyle w:val="rtecenter"/>
        <w:spacing w:before="0" w:after="0"/>
        <w:jc w:val="both"/>
        <w:rPr>
          <w:color w:val="000000" w:themeColor="text1"/>
          <w:sz w:val="16"/>
          <w:szCs w:val="16"/>
        </w:rPr>
      </w:pPr>
      <w:r w:rsidRPr="0044524F">
        <w:rPr>
          <w:color w:val="000000" w:themeColor="text1"/>
          <w:sz w:val="16"/>
          <w:szCs w:val="16"/>
        </w:rPr>
        <w:t>Дорогой т. Сталин.</w:t>
      </w:r>
    </w:p>
    <w:p w14:paraId="62EE8968"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…4) По военным заводам: мы специально заслушивали непосредственно заводы, надо надеяться, что подтянутся, но нужно будет проверять</w:t>
      </w:r>
      <w:r w:rsidRPr="0044524F">
        <w:rPr>
          <w:color w:val="000000" w:themeColor="text1"/>
          <w:sz w:val="16"/>
          <w:szCs w:val="16"/>
          <w:vertAlign w:val="superscript"/>
        </w:rPr>
        <w:t>4</w:t>
      </w:r>
      <w:r w:rsidRPr="0044524F">
        <w:rPr>
          <w:color w:val="000000" w:themeColor="text1"/>
          <w:sz w:val="16"/>
          <w:szCs w:val="16"/>
        </w:rPr>
        <w:t>.</w:t>
      </w:r>
    </w:p>
    <w:p w14:paraId="741A4ADF"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Я лично прикрепился к 8-му заводу в Мытищах, который провалился с танковой пушкой, с зенитной и т.д. Теперь мы согласно Вашему указанию займемся подлодками</w:t>
      </w:r>
      <w:r w:rsidRPr="0044524F">
        <w:rPr>
          <w:color w:val="000000" w:themeColor="text1"/>
          <w:sz w:val="16"/>
          <w:szCs w:val="16"/>
          <w:vertAlign w:val="superscript"/>
        </w:rPr>
        <w:t>5</w:t>
      </w:r>
      <w:r w:rsidRPr="0044524F">
        <w:rPr>
          <w:color w:val="000000" w:themeColor="text1"/>
          <w:sz w:val="16"/>
          <w:szCs w:val="16"/>
        </w:rPr>
        <w:t>.</w:t>
      </w:r>
    </w:p>
    <w:p w14:paraId="2FB74306"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5) Слушали мы на ПБ вчера сообщение Пятакова об Уральском вагоностроительном заводе. Плохо там дело. Мы указали Уральскому обкому и предложили ему принять меры помощи. Возложили на Пятакова повседневную проверку исполнения, с тем, чтобы он в ноябре еще раз поехал туда, а в декабре заслушать на ПБ отчет о ходе стройки</w:t>
      </w:r>
      <w:r w:rsidRPr="0044524F">
        <w:rPr>
          <w:color w:val="000000" w:themeColor="text1"/>
          <w:sz w:val="16"/>
          <w:szCs w:val="16"/>
          <w:vertAlign w:val="superscript"/>
        </w:rPr>
        <w:t>6</w:t>
      </w:r>
      <w:r w:rsidRPr="0044524F">
        <w:rPr>
          <w:color w:val="000000" w:themeColor="text1"/>
          <w:sz w:val="16"/>
          <w:szCs w:val="16"/>
        </w:rPr>
        <w:t>.</w:t>
      </w:r>
    </w:p>
    <w:p w14:paraId="24931A51"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6) Слушали мы также вопрос о минеральных удобрениях, поднятый с[ель]х[оз] отделом. Яковлев знает как нажимать, чтобы побольше ему дали, но использование удобрений поставлено безобразно. Складов нет, удобрения сваливаются под откос, портятся и теряют свои свойства, превращаясь просто в землю. Работники на местах относятся к удобрениям плохо, даже враждебно. Мы заострили этот вопрос и создали комиссию для разработки этого вопроса во всю ширь, а главное, практически обеспечить правильное использование удобрений</w:t>
      </w:r>
      <w:r w:rsidRPr="0044524F">
        <w:rPr>
          <w:color w:val="000000" w:themeColor="text1"/>
          <w:sz w:val="16"/>
          <w:szCs w:val="16"/>
          <w:vertAlign w:val="superscript"/>
        </w:rPr>
        <w:t>7</w:t>
      </w:r>
      <w:r w:rsidRPr="0044524F">
        <w:rPr>
          <w:color w:val="000000" w:themeColor="text1"/>
          <w:sz w:val="16"/>
          <w:szCs w:val="16"/>
        </w:rPr>
        <w:t>.</w:t>
      </w:r>
    </w:p>
    <w:p w14:paraId="3A6566CC"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Привет Вам. Ваш Л. Каганович.</w:t>
      </w:r>
    </w:p>
    <w:p w14:paraId="5F2583FD"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P.S. Комсомольцы хотят издать обращение в связи с 15-летием комсомола, но они, кроме этого, хотят, чтобы ЦК принял постановление. Проект обращения большой и я Вам его не посылаю, но проект постановления ЦК я Вам посылаю и прошу сообщить Ваше мнение. Кроме этого, они намекали насчет награждений по примеру женщин к женскому дню. Прошу и об этом сообщить Ваше мнение.</w:t>
      </w:r>
    </w:p>
    <w:p w14:paraId="3D455F9F"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rPr>
        <w:t>Жму руку. Ваш Л.Каганович.</w:t>
      </w:r>
    </w:p>
    <w:p w14:paraId="29722104"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vertAlign w:val="superscript"/>
        </w:rPr>
        <w:t>5</w:t>
      </w:r>
      <w:r w:rsidRPr="0044524F">
        <w:rPr>
          <w:color w:val="000000" w:themeColor="text1"/>
          <w:sz w:val="16"/>
          <w:szCs w:val="16"/>
        </w:rPr>
        <w:t xml:space="preserve"> 5 ноября 1933 г. Политбюро утвердило разработанный комиссией под руководством Я.Б.Гамарника график постройки и сдачи 20 подлодок типа «М» в 1933 г., после исправления на них «выявленных на испытаниях конструктивных дефектов» (Там же. Ф. 17. Oп. 162. Д. 15. Л. 130). См. также: Дмитриев В.И. Советское подводное кораблестроение. М., 1990.</w:t>
      </w:r>
    </w:p>
    <w:p w14:paraId="1A697085"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vertAlign w:val="superscript"/>
        </w:rPr>
        <w:t>6</w:t>
      </w:r>
      <w:r w:rsidRPr="0044524F">
        <w:rPr>
          <w:color w:val="000000" w:themeColor="text1"/>
          <w:sz w:val="16"/>
          <w:szCs w:val="16"/>
        </w:rPr>
        <w:t xml:space="preserve"> 1 октября 1933 г. ПБ рассмотрело вопрос об Уральском вагоностроительном заводе. Заместителю наркома тяжелой промышленности Пятакову было поручено «установить личное систематическое наблюдение за проведением всех директив по выполнению заданий строительства» и в конце ноября — декабре выехать на место. Различные задания получили также руководители Уральского обкома партии. Вновь рассмотреть вопрос о заводе было решено в декабре (Там же. Ф. 17. Оп. 3. Д. 931. Л. 3).</w:t>
      </w:r>
    </w:p>
    <w:p w14:paraId="5A0E5E87" w14:textId="77777777" w:rsidR="003F2394" w:rsidRPr="0044524F" w:rsidRDefault="003F2394" w:rsidP="009654CF">
      <w:pPr>
        <w:pStyle w:val="rtejustify"/>
        <w:spacing w:before="0" w:after="0"/>
        <w:rPr>
          <w:color w:val="000000" w:themeColor="text1"/>
          <w:sz w:val="16"/>
          <w:szCs w:val="16"/>
        </w:rPr>
      </w:pPr>
      <w:r w:rsidRPr="0044524F">
        <w:rPr>
          <w:color w:val="000000" w:themeColor="text1"/>
          <w:sz w:val="16"/>
          <w:szCs w:val="16"/>
          <w:vertAlign w:val="superscript"/>
        </w:rPr>
        <w:t>7</w:t>
      </w:r>
      <w:r w:rsidRPr="0044524F">
        <w:rPr>
          <w:color w:val="000000" w:themeColor="text1"/>
          <w:sz w:val="16"/>
          <w:szCs w:val="16"/>
        </w:rPr>
        <w:t xml:space="preserve"> 1 октября 1933 г. ПБ приняло в основном представленный сельскохозяйственным отделом ЦК проект постановления об использовании минеральных удобрений. Комиссии под руководством Кагановича было поручено разработать вопрос о выполнении программы производства минеральных удобрений и их использования (Там же. Л. 4).</w:t>
      </w:r>
    </w:p>
    <w:p w14:paraId="744D546E"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РГАСПИ Ф. 558. Оп. 11. Д. 741. Л. 80–89. Автограф. </w:t>
      </w:r>
    </w:p>
    <w:p w14:paraId="55ACF5AC" w14:textId="77777777" w:rsidR="003F2394" w:rsidRPr="0044524F" w:rsidRDefault="003F239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Сталин и Каганович. Переписка. 1931–1936 гг. Москва: (РОССПЭН), 2001 Стр. 370-373 (12336).</w:t>
      </w:r>
    </w:p>
    <w:p w14:paraId="6759AF1C" w14:textId="77777777" w:rsidR="003F2394" w:rsidRPr="0044524F" w:rsidRDefault="003F2394" w:rsidP="009654CF">
      <w:pPr>
        <w:spacing w:after="0" w:line="240" w:lineRule="auto"/>
        <w:jc w:val="both"/>
        <w:rPr>
          <w:rFonts w:ascii="Times New Roman" w:hAnsi="Times New Roman"/>
          <w:color w:val="000000" w:themeColor="text1"/>
          <w:sz w:val="16"/>
          <w:szCs w:val="16"/>
          <w:u w:color="002060"/>
        </w:rPr>
      </w:pPr>
    </w:p>
    <w:p w14:paraId="769FA706" w14:textId="77777777" w:rsidR="00CF276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5D799EC" w14:textId="77777777" w:rsidR="00CF276A" w:rsidRPr="0044524F" w:rsidRDefault="00CF276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B38DF9C" w14:textId="77777777" w:rsidR="00CF276A" w:rsidRPr="0044524F" w:rsidRDefault="00CF276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года в Бельгии аппа</w:t>
      </w:r>
      <w:r w:rsidRPr="0044524F">
        <w:rPr>
          <w:rFonts w:ascii="Times New Roman" w:hAnsi="Times New Roman"/>
          <w:color w:val="000000" w:themeColor="text1"/>
          <w:sz w:val="16"/>
          <w:szCs w:val="16"/>
        </w:rPr>
        <w:softHyphen/>
        <w:t>рат Г.Флорина поднялся на высоту 3,5 м и про</w:t>
      </w:r>
      <w:r w:rsidRPr="0044524F">
        <w:rPr>
          <w:rFonts w:ascii="Times New Roman" w:hAnsi="Times New Roman"/>
          <w:color w:val="000000" w:themeColor="text1"/>
          <w:sz w:val="16"/>
          <w:szCs w:val="16"/>
        </w:rPr>
        <w:softHyphen/>
        <w:t>держался в воздухе 2 мин 54 с. 19 октября вертолет поднялся на высоту 6 м и продержался в воздухе 6 мин 30 с. Рекордную продолжительность полета - 9 мин 47 с (превышавшую рекорд вертолета д'Асканио на 1 мин 13 с) Роберт Коллин показал 25 ок</w:t>
      </w:r>
      <w:r w:rsidRPr="0044524F">
        <w:rPr>
          <w:rFonts w:ascii="Times New Roman" w:hAnsi="Times New Roman"/>
          <w:color w:val="000000" w:themeColor="text1"/>
          <w:sz w:val="16"/>
          <w:szCs w:val="16"/>
        </w:rPr>
        <w:softHyphen/>
        <w:t>тября. Это достижение было зарегист</w:t>
      </w:r>
      <w:r w:rsidRPr="0044524F">
        <w:rPr>
          <w:rFonts w:ascii="Times New Roman" w:hAnsi="Times New Roman"/>
          <w:color w:val="000000" w:themeColor="text1"/>
          <w:sz w:val="16"/>
          <w:szCs w:val="16"/>
        </w:rPr>
        <w:softHyphen/>
        <w:t>рировано официальными представите</w:t>
      </w:r>
      <w:r w:rsidRPr="0044524F">
        <w:rPr>
          <w:rFonts w:ascii="Times New Roman" w:hAnsi="Times New Roman"/>
          <w:color w:val="000000" w:themeColor="text1"/>
          <w:sz w:val="16"/>
          <w:szCs w:val="16"/>
        </w:rPr>
        <w:softHyphen/>
        <w:t>лями «Аэроклуба», однако в качестве мирового рекорда не утверждено. Отметим попутно, что и этот рекорд значительно уступает рекорду, достигнутому на вертолете ЦАГИ 1 -ЭА (11401).</w:t>
      </w:r>
    </w:p>
    <w:p w14:paraId="6FE71439" w14:textId="77777777" w:rsidR="00CF276A" w:rsidRPr="0044524F" w:rsidRDefault="00CF276A"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D17850"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г., хотя военные настояли на применении отечес</w:t>
      </w:r>
      <w:r w:rsidRPr="0044524F">
        <w:rPr>
          <w:rFonts w:ascii="Times New Roman" w:hAnsi="Times New Roman"/>
          <w:color w:val="000000" w:themeColor="text1"/>
          <w:sz w:val="16"/>
          <w:szCs w:val="16"/>
        </w:rPr>
        <w:softHyphen/>
        <w:t>твенной силовой установки, руководитель компании Клод Дорнье (Claude Dornier) предложил построить тре</w:t>
      </w:r>
      <w:r w:rsidRPr="0044524F">
        <w:rPr>
          <w:rFonts w:ascii="Times New Roman" w:hAnsi="Times New Roman"/>
          <w:color w:val="000000" w:themeColor="text1"/>
          <w:sz w:val="16"/>
          <w:szCs w:val="16"/>
        </w:rPr>
        <w:softHyphen/>
        <w:t>тий прототип Дорнье До-17 в пассажирском исполнении с моторами HS 12Ybrs. Уже 4 ноября эта ма</w:t>
      </w:r>
      <w:r w:rsidRPr="0044524F">
        <w:rPr>
          <w:rFonts w:ascii="Times New Roman" w:hAnsi="Times New Roman"/>
          <w:color w:val="000000" w:themeColor="text1"/>
          <w:sz w:val="16"/>
          <w:szCs w:val="16"/>
        </w:rPr>
        <w:softHyphen/>
        <w:t>шина была официально заказана, получив обозначение Do 17d. Прототип гражданс</w:t>
      </w:r>
      <w:r w:rsidRPr="0044524F">
        <w:rPr>
          <w:rFonts w:ascii="Times New Roman" w:hAnsi="Times New Roman"/>
          <w:color w:val="000000" w:themeColor="text1"/>
          <w:sz w:val="16"/>
          <w:szCs w:val="16"/>
        </w:rPr>
        <w:softHyphen/>
        <w:t>кого самолета с моторами BMW VI 6,0 (660 л.с.) теперь обозначался Do 17а, а военного с более мощными двигателями BMW IV 7,3 (700 л.с.) — Do 17с. Кроме того, для сравне</w:t>
      </w:r>
      <w:r w:rsidRPr="0044524F">
        <w:rPr>
          <w:rFonts w:ascii="Times New Roman" w:hAnsi="Times New Roman"/>
          <w:color w:val="000000" w:themeColor="text1"/>
          <w:sz w:val="16"/>
          <w:szCs w:val="16"/>
        </w:rPr>
        <w:softHyphen/>
        <w:t>ния различных конструкторских решений на Do 17а решили применить двухкилевое оперение, довольно редко встречавшееся в то время, а на Do 17с — однокилевое.</w:t>
      </w:r>
    </w:p>
    <w:p w14:paraId="580158B9"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трех прототипов велась прак</w:t>
      </w:r>
      <w:r w:rsidRPr="0044524F">
        <w:rPr>
          <w:rFonts w:ascii="Times New Roman" w:hAnsi="Times New Roman"/>
          <w:color w:val="000000" w:themeColor="text1"/>
          <w:sz w:val="16"/>
          <w:szCs w:val="16"/>
        </w:rPr>
        <w:softHyphen/>
        <w:t>тически параллельно. Правда, при этом в переговорах с рейхсминистерством ави</w:t>
      </w:r>
      <w:r w:rsidRPr="0044524F">
        <w:rPr>
          <w:rFonts w:ascii="Times New Roman" w:hAnsi="Times New Roman"/>
          <w:color w:val="000000" w:themeColor="text1"/>
          <w:sz w:val="16"/>
          <w:szCs w:val="16"/>
        </w:rPr>
        <w:softHyphen/>
        <w:t>ации продолжали согласовывать различ</w:t>
      </w:r>
      <w:r w:rsidRPr="0044524F">
        <w:rPr>
          <w:rFonts w:ascii="Times New Roman" w:hAnsi="Times New Roman"/>
          <w:color w:val="000000" w:themeColor="text1"/>
          <w:sz w:val="16"/>
          <w:szCs w:val="16"/>
        </w:rPr>
        <w:softHyphen/>
        <w:t>ные технические детали, так что техничес</w:t>
      </w:r>
      <w:r w:rsidRPr="0044524F">
        <w:rPr>
          <w:rFonts w:ascii="Times New Roman" w:hAnsi="Times New Roman"/>
          <w:color w:val="000000" w:themeColor="text1"/>
          <w:sz w:val="16"/>
          <w:szCs w:val="16"/>
        </w:rPr>
        <w:softHyphen/>
        <w:t>кие требования к Do 17 были окончатель</w:t>
      </w:r>
      <w:r w:rsidRPr="0044524F">
        <w:rPr>
          <w:rFonts w:ascii="Times New Roman" w:hAnsi="Times New Roman"/>
          <w:color w:val="000000" w:themeColor="text1"/>
          <w:sz w:val="16"/>
          <w:szCs w:val="16"/>
        </w:rPr>
        <w:softHyphen/>
        <w:t>но утверждены лишь в июне 1934 г. В соот</w:t>
      </w:r>
      <w:r w:rsidRPr="0044524F">
        <w:rPr>
          <w:rFonts w:ascii="Times New Roman" w:hAnsi="Times New Roman"/>
          <w:color w:val="000000" w:themeColor="text1"/>
          <w:sz w:val="16"/>
          <w:szCs w:val="16"/>
        </w:rPr>
        <w:softHyphen/>
        <w:t>ветствии с ними, военные хотели получить скоростной высотный разведывательный самолет с возможностью применения в ка</w:t>
      </w:r>
      <w:r w:rsidRPr="0044524F">
        <w:rPr>
          <w:rFonts w:ascii="Times New Roman" w:hAnsi="Times New Roman"/>
          <w:color w:val="000000" w:themeColor="text1"/>
          <w:sz w:val="16"/>
          <w:szCs w:val="16"/>
        </w:rPr>
        <w:softHyphen/>
        <w:t>честве бомбардировщика и оборонитель</w:t>
      </w:r>
      <w:r w:rsidRPr="0044524F">
        <w:rPr>
          <w:rFonts w:ascii="Times New Roman" w:hAnsi="Times New Roman"/>
          <w:color w:val="000000" w:themeColor="text1"/>
          <w:sz w:val="16"/>
          <w:szCs w:val="16"/>
        </w:rPr>
        <w:softHyphen/>
        <w:t>ным вооружением, ограниченным одним пулеметом. Создание такой машины, призванной заменить одномоторный дальний разведчик «Хейнкель» Не 70, было призна</w:t>
      </w:r>
      <w:r w:rsidRPr="0044524F">
        <w:rPr>
          <w:rFonts w:ascii="Times New Roman" w:hAnsi="Times New Roman"/>
          <w:color w:val="000000" w:themeColor="text1"/>
          <w:sz w:val="16"/>
          <w:szCs w:val="16"/>
        </w:rPr>
        <w:softHyphen/>
        <w:t>но более целесообразным, чем чистого бом</w:t>
      </w:r>
      <w:r w:rsidRPr="0044524F">
        <w:rPr>
          <w:rFonts w:ascii="Times New Roman" w:hAnsi="Times New Roman"/>
          <w:color w:val="000000" w:themeColor="text1"/>
          <w:sz w:val="16"/>
          <w:szCs w:val="16"/>
        </w:rPr>
        <w:softHyphen/>
        <w:t>бардировщика.</w:t>
      </w:r>
    </w:p>
    <w:p w14:paraId="46B58BDF"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Согласование облика машины позволи</w:t>
      </w:r>
      <w:r w:rsidRPr="0044524F">
        <w:rPr>
          <w:rFonts w:ascii="Times New Roman" w:hAnsi="Times New Roman"/>
          <w:color w:val="000000" w:themeColor="text1"/>
          <w:sz w:val="16"/>
          <w:szCs w:val="16"/>
        </w:rPr>
        <w:softHyphen/>
        <w:t>ло в быстром темпе завершить построй</w:t>
      </w:r>
      <w:r w:rsidRPr="0044524F">
        <w:rPr>
          <w:rFonts w:ascii="Times New Roman" w:hAnsi="Times New Roman"/>
          <w:color w:val="000000" w:themeColor="text1"/>
          <w:sz w:val="16"/>
          <w:szCs w:val="16"/>
        </w:rPr>
        <w:softHyphen/>
        <w:t>ку прототипа Do 17с (W.Nr. 256, гражданс</w:t>
      </w:r>
      <w:r w:rsidRPr="0044524F">
        <w:rPr>
          <w:rFonts w:ascii="Times New Roman" w:hAnsi="Times New Roman"/>
          <w:color w:val="000000" w:themeColor="text1"/>
          <w:sz w:val="16"/>
          <w:szCs w:val="16"/>
        </w:rPr>
        <w:softHyphen/>
        <w:t>кая регистрация D-AJUN).(24192).</w:t>
      </w:r>
    </w:p>
    <w:p w14:paraId="3DC3BB9C" w14:textId="77777777" w:rsidR="00C12A56" w:rsidRPr="0044524F" w:rsidRDefault="00C12A56" w:rsidP="009654CF">
      <w:pPr>
        <w:spacing w:after="0" w:line="240" w:lineRule="auto"/>
        <w:jc w:val="both"/>
        <w:rPr>
          <w:rFonts w:ascii="Times New Roman" w:hAnsi="Times New Roman"/>
          <w:color w:val="000000" w:themeColor="text1"/>
          <w:sz w:val="16"/>
          <w:szCs w:val="16"/>
        </w:rPr>
      </w:pPr>
    </w:p>
    <w:p w14:paraId="0EFFC386"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4FCA60E"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B7B074E" w14:textId="77777777" w:rsidR="00CF276A" w:rsidRPr="0044524F" w:rsidRDefault="00CF276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октября 1933 года Поздравление экипажу стратостата “СССР”</w:t>
      </w:r>
    </w:p>
    <w:p w14:paraId="69D4193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Командиру стратостата «СССР» ПРОКОФЬЕВУ</w:t>
      </w:r>
    </w:p>
    <w:p w14:paraId="08D86A1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Пилоту БИРНБАУМУ</w:t>
      </w:r>
    </w:p>
    <w:p w14:paraId="716B9C2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Инженеру ГОДУНОВУ</w:t>
      </w:r>
    </w:p>
    <w:p w14:paraId="4853225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Поздравляем непревзойденных героев стратосферы с блестящим выполнением задания Советской власти.</w:t>
      </w:r>
    </w:p>
    <w:p w14:paraId="385871A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 совместно с рабочими и конструкторами, создавшими стратостат, вместе с организаторами полета, вписали блестящие страницы в историю советской авиации и изучения стратосферы. Ваша самоотверженная и успешная работа ярко выявила новые достижения советской техники.</w:t>
      </w:r>
    </w:p>
    <w:p w14:paraId="340C6FD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 входим в ЦИК Союза ССР с предложением о награждении орденом Ленина участников и организаторов полета.</w:t>
      </w:r>
    </w:p>
    <w:p w14:paraId="5C2BDEC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СТАЛИН</w:t>
      </w:r>
    </w:p>
    <w:p w14:paraId="1A0E574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МОЛОТОВ</w:t>
      </w:r>
    </w:p>
    <w:p w14:paraId="33380B1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ВОРОШИЛОВ</w:t>
      </w:r>
    </w:p>
    <w:p w14:paraId="080EAE0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КАГАНОВИЧ</w:t>
      </w:r>
    </w:p>
    <w:p w14:paraId="3637044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Правда. 1933. 3 октября (11659).</w:t>
      </w:r>
    </w:p>
    <w:p w14:paraId="77AB16EA" w14:textId="77777777" w:rsidR="00CF276A" w:rsidRPr="0044524F" w:rsidRDefault="00CF276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99AFF06"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A36784C"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6B1E3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4 по 11 октября 1933 проходили гос. испытания по сокращению разбега самолета ТБ1-2М17 с помощью стартовых ракет, разработанных Реактивным НИИ (бывш. ГДЛ).</w:t>
      </w:r>
    </w:p>
    <w:p w14:paraId="117E559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приказа РВС № 0025 от 22 августа 1933 года настоящей комиссией были проведены в НИИ ВВС гос. испытания по ускорению взлета самолета ТБ1-2М17 со стартовыми ракетами.</w:t>
      </w:r>
    </w:p>
    <w:p w14:paraId="36A7762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16D65C7"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Стартовые ракеты конструкции Реактивного НИИ для ускорения взлета самолета ТБ1-2М17 гос. испытания прошли вполне удовлетворительно.</w:t>
      </w:r>
    </w:p>
    <w:p w14:paraId="6CE65D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5C9B32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испытания – Рязанов</w:t>
      </w:r>
    </w:p>
    <w:p w14:paraId="48ED6E4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ведущий испытания – Миндер</w:t>
      </w:r>
    </w:p>
    <w:p w14:paraId="57AC9D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6E3C6FEB" w14:textId="77777777">
        <w:tc>
          <w:tcPr>
            <w:tcW w:w="5636" w:type="dxa"/>
          </w:tcPr>
          <w:p w14:paraId="142F36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года</w:t>
            </w:r>
          </w:p>
        </w:tc>
        <w:tc>
          <w:tcPr>
            <w:tcW w:w="5636" w:type="dxa"/>
          </w:tcPr>
          <w:p w14:paraId="7252D18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Приемка самолета на испытание.</w:t>
            </w:r>
          </w:p>
        </w:tc>
      </w:tr>
      <w:tr w:rsidR="004E10C1" w:rsidRPr="0044524F" w14:paraId="21B3D3CA" w14:textId="77777777">
        <w:tc>
          <w:tcPr>
            <w:tcW w:w="5636" w:type="dxa"/>
          </w:tcPr>
          <w:p w14:paraId="1F9E88C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w:t>
            </w:r>
          </w:p>
        </w:tc>
        <w:tc>
          <w:tcPr>
            <w:tcW w:w="5636" w:type="dxa"/>
          </w:tcPr>
          <w:p w14:paraId="1FF1FE4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Взлеты с полетным весом 6500 кг и 7000 кг.</w:t>
            </w:r>
          </w:p>
        </w:tc>
      </w:tr>
      <w:tr w:rsidR="004E10C1" w:rsidRPr="0044524F" w14:paraId="50DAC4B5" w14:textId="77777777">
        <w:tc>
          <w:tcPr>
            <w:tcW w:w="5636" w:type="dxa"/>
          </w:tcPr>
          <w:p w14:paraId="0AD0AD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года</w:t>
            </w:r>
          </w:p>
        </w:tc>
        <w:tc>
          <w:tcPr>
            <w:tcW w:w="5636" w:type="dxa"/>
          </w:tcPr>
          <w:p w14:paraId="029CB50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 с полетным весом 7000 кг.</w:t>
            </w:r>
          </w:p>
        </w:tc>
      </w:tr>
      <w:tr w:rsidR="004E10C1" w:rsidRPr="0044524F" w14:paraId="15938CF3" w14:textId="77777777">
        <w:tc>
          <w:tcPr>
            <w:tcW w:w="5636" w:type="dxa"/>
          </w:tcPr>
          <w:p w14:paraId="73B93FC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года</w:t>
            </w:r>
          </w:p>
        </w:tc>
        <w:tc>
          <w:tcPr>
            <w:tcW w:w="5636" w:type="dxa"/>
          </w:tcPr>
          <w:p w14:paraId="24D1897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 с полетным весом 8000 кг.</w:t>
            </w:r>
          </w:p>
        </w:tc>
      </w:tr>
    </w:tbl>
    <w:p w14:paraId="5892FD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 о. испытание заняло календарных дней, взлеты по программе – 3 дня (6643).</w:t>
      </w:r>
    </w:p>
    <w:p w14:paraId="1A0B4CB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8A934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г. появился приказ начальника штаба ВВС о формировании шести торпедоносных эскадрилий на ТБ-3: двух на Балтике и четырех на Тихом океане. Промышленности для этих целей выдали заказ на 76 мостов. Но вскоре распоряжением Алксниса его урезали до 38 штук (9807).</w:t>
      </w:r>
    </w:p>
    <w:p w14:paraId="65409DE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AF6669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г. на НИАП АНИИ состоялась стрельба теми же РС-132 модели 561/1273. В этот раз боеприпасы двух опытных партий отличались от прототипа тем, что их оперение из восьми крыльев было выполнено с размахом 400 и 300 мм. Наземную стрельбу вели с углами возвышения 25°. Из 25 отстрелянных снарядов удалось зафиксировать 16 точек паде</w:t>
      </w:r>
      <w:r w:rsidRPr="0044524F">
        <w:rPr>
          <w:rFonts w:ascii="Times New Roman" w:hAnsi="Times New Roman"/>
          <w:color w:val="000000" w:themeColor="text1"/>
          <w:sz w:val="16"/>
          <w:szCs w:val="16"/>
        </w:rPr>
        <w:softHyphen/>
        <w:t>ния. Выводы - «увеличение количества крыльев стабилизатора не пони</w:t>
      </w:r>
      <w:r w:rsidRPr="0044524F">
        <w:rPr>
          <w:rFonts w:ascii="Times New Roman" w:hAnsi="Times New Roman"/>
          <w:color w:val="000000" w:themeColor="text1"/>
          <w:sz w:val="16"/>
          <w:szCs w:val="16"/>
        </w:rPr>
        <w:softHyphen/>
        <w:t>жает меткости, но и не увеличивает ее». Кроме того, сравнивая результа</w:t>
      </w:r>
      <w:r w:rsidRPr="0044524F">
        <w:rPr>
          <w:rFonts w:ascii="Times New Roman" w:hAnsi="Times New Roman"/>
          <w:color w:val="000000" w:themeColor="text1"/>
          <w:sz w:val="16"/>
          <w:szCs w:val="16"/>
        </w:rPr>
        <w:softHyphen/>
        <w:t>ты точности при стрельбе 27 июля и 17 августа 1933 г. с данным опытом, испытатели резюмировали, что «имеются постоянные источники по</w:t>
      </w:r>
      <w:r w:rsidRPr="0044524F">
        <w:rPr>
          <w:rFonts w:ascii="Times New Roman" w:hAnsi="Times New Roman"/>
          <w:color w:val="000000" w:themeColor="text1"/>
          <w:sz w:val="16"/>
          <w:szCs w:val="16"/>
        </w:rPr>
        <w:softHyphen/>
        <w:t>грешности, из которых наиболее существенные — недостаточная тща</w:t>
      </w:r>
      <w:r w:rsidRPr="0044524F">
        <w:rPr>
          <w:rFonts w:ascii="Times New Roman" w:hAnsi="Times New Roman"/>
          <w:color w:val="000000" w:themeColor="text1"/>
          <w:sz w:val="16"/>
          <w:szCs w:val="16"/>
        </w:rPr>
        <w:softHyphen/>
        <w:t>тельность изготовления снарядов и разнообразие скоростей, которые да</w:t>
      </w:r>
      <w:r w:rsidRPr="0044524F">
        <w:rPr>
          <w:rFonts w:ascii="Times New Roman" w:hAnsi="Times New Roman"/>
          <w:color w:val="000000" w:themeColor="text1"/>
          <w:sz w:val="16"/>
          <w:szCs w:val="16"/>
        </w:rPr>
        <w:softHyphen/>
        <w:t>ют значительное рассеивание по дальности» (11402).</w:t>
      </w:r>
    </w:p>
    <w:p w14:paraId="59CB314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32E836D" w14:textId="77777777" w:rsidR="001F72EB" w:rsidRPr="0044524F" w:rsidRDefault="001A42D5"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A74D87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3FA2493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4-го октября 1933 года Протокол дополнительных показаний Обвиняемого Фогеля Отто Александровича</w:t>
      </w:r>
    </w:p>
    <w:p w14:paraId="4FDEBA7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дополнение к моим предыдущим показаниям о моей шпионской деятельности в пользу Германии, осуществлявшейся путем представ­ления в распоряжение германского консульства сведений шпионско­го характера, я добавляю следующее:</w:t>
      </w:r>
    </w:p>
    <w:p w14:paraId="2EA41CA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Центральное правление Союзверфи заключило договор с герман­ской фирмой Манна на изготовление в Германии для Николаевских судостроительных заводов им. А. Марти и № 61 (бывший Руссуд) двигателей внутреннего сгорания для коммерческих судов. По выпол­нении этого заказа, двигатели должны быть в разобранном виде до­ставлены в Николаев и фирма Манна приняла на себя обязательство смонтировать, установить и испытать эти двигатели на Николаевс­ких заводах.</w:t>
      </w:r>
    </w:p>
    <w:p w14:paraId="68EC201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1928 году заказанные двигатели прибыли из Германии, для производства указанных работ (монтаж) фирмой Манн был командиро­ван немецкий специалист некий Шрамль (имя и отчество не помню). Впервые Шрамль прибыл в Николаев приблизительно в июле — ав­густе месяце 1928 года.</w:t>
      </w:r>
    </w:p>
    <w:p w14:paraId="4596E72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Технический директор завода "А. Марти" — Л.П. Орлов (ныне находится в Ленинграде — технический директор Северной верфи) познакомил меня с прибывшим Шрамлем и просил оказать содействие в устройстве Шрамля где-либо на квартире. Я эту просьбу исполнил.</w:t>
      </w:r>
    </w:p>
    <w:p w14:paraId="492E4E6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Благодаря этому между мною и Шрамлем установились приятель­ские взаимоотношения, выразившиеся в частых посещениях моего дома Шрамлем.</w:t>
      </w:r>
    </w:p>
    <w:p w14:paraId="1082CF1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Встречи с Шрамлем сопровождались обоюдным обсуждением воп­росов производственного характера, мы делились впечатлениями о советском строительстве, об условиях быта рабочих на заводе, Шрамль в свою очередь, рассказывал о положении в Германии и в процессе наших разговоров Шрамль пришел, видимо, к заключению, что я настроен в национальном духе и дружелюбно отношусь к Гер­мании.</w:t>
      </w:r>
    </w:p>
    <w:p w14:paraId="054E662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Период встреч с Шрамлем относится к тому времени, когда мой сын Эдмунд Оттович находился в Германии, и я имел в виду использо­вать предстоявший отъезд Шрамля в Германию для передачи кое-чего сыну, а впоследствии обратился к нему с просьбой субсидировать сына в Германии деньгами, стоимость которых я возвращу ему в соввалюте при вторичном приезде в Николаев.</w:t>
      </w:r>
    </w:p>
    <w:p w14:paraId="2BB137F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одной из таких бесед Шрамль обратился ко мне с предложением оказать ему содействие в представлении некоторых сведений, касаю­щихся деятельности завода, необходимых ему в производственных интересах фирмы - представителем которой он является. Сведения, которые у меня просил Шрамль, в основном касались производствен­ной программы завода и его перспектив по части коммерческого су­достроения. Я согласился представить ему просимые сведения и, дей­ствительно, </w:t>
      </w:r>
      <w:r w:rsidRPr="0044524F">
        <w:rPr>
          <w:rFonts w:ascii="Times New Roman" w:hAnsi="Times New Roman"/>
          <w:color w:val="000000" w:themeColor="text1"/>
          <w:sz w:val="16"/>
          <w:szCs w:val="16"/>
        </w:rPr>
        <w:lastRenderedPageBreak/>
        <w:t>такие сведения я ему сообщил. Спустя несколько месяцев, приблизительно в декабре 1928 г., Шрамль уехал обратно в Герма­нию и я перед самым его отъездом дополнительно дал ему необходи­мые сведения.</w:t>
      </w:r>
    </w:p>
    <w:p w14:paraId="48BBC94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Вторично Шрамль приехал в Николаев уже летом 1929 года, после того как мой сын уже возвратился из Германии и работал в дизельно-монтажном отделе завода «А. Марта».</w:t>
      </w:r>
    </w:p>
    <w:p w14:paraId="67249EF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время отсутствия Шрамля я вел с ним переписку частного ха­рактера, касавшуюся пересылки денег моему сыну с последующим возвратом, но он моей просьбы не выполнил.</w:t>
      </w:r>
    </w:p>
    <w:p w14:paraId="02F49B6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приезде Шрамль заехал ко мне, а затем переселился на свою прежнюю квартиру к Орловой. С этого времени вновь восстанови­лась близкая связь между мною и Шрамлем.</w:t>
      </w:r>
    </w:p>
    <w:p w14:paraId="7CFB183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Спустя некоторое время после приезда (вторичного) в Николаев Шрамля, на наш завод приехал представитель другой, более круп­ной германской фирмы "Сульцер", некий Лишер. Фирма "Сульцер" также, как и раньше фирма Манна, устанавливала двигатели внут­реннего сгорания своей системы, являвшиеся более усовершенствован­ными.</w:t>
      </w:r>
    </w:p>
    <w:p w14:paraId="47DD90C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тем, до весны 1933 года на заводе "А. Марта" одновремен­но работали представители обеих фирм, т.е. «Манна» и "Сульцер", ибо первый заканчивал работу по двигателям своей фирмы, а второй лишь начал развивать работу продукции своей фирмы.</w:t>
      </w:r>
    </w:p>
    <w:p w14:paraId="1A07670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Указанный Лишер являлся старшим монтером фирмы "Сульцер", а спустя месяц после его приезда, приехал второй представитель той же фирмы, некий Фелькер - монтер.</w:t>
      </w:r>
    </w:p>
    <w:p w14:paraId="2908376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времени приезда Фелькера, он приступил практически к рабо­те на заводе "А. Марта", а Лишер выехал в Ленинград на завод "Рус­ский Дизель", где работал в качестве консультанта, посещая перио­дически город Николаев, для наблюдения за работой Фелькера по установлению двигателей на н/заводе.</w:t>
      </w:r>
    </w:p>
    <w:p w14:paraId="3B417B2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Лишер, а впоследствии и Фелькер, работали в одном цеху с Шрам­лем до его отъезда, и с ними в том же цеху работал мой сын Эдмунд, приехавший из Германии.</w:t>
      </w:r>
    </w:p>
    <w:p w14:paraId="5A1E44C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Благодаря этому я при посредстве Шрамля и моего сына познако­мился с Лишером и Фелькером, которые также, как и ранее Шрамль, сделались завсегдатаями моего дома.</w:t>
      </w:r>
    </w:p>
    <w:p w14:paraId="5640AC2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 временем я продолжал информировать Шрамля об интересовав­ших его сведениях по части производственной деятельности завода.</w:t>
      </w:r>
    </w:p>
    <w:p w14:paraId="0A1940A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 представлял в его распоряжение данные, касающиеся строив­шихся коммерческих судов, их тоннажа, конструктивных особеннос­тей и т.п.</w:t>
      </w:r>
    </w:p>
    <w:p w14:paraId="05D2943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того, я периодически информировал Шрамля о производ­ственной программе коммерческого судостроения поквартально и пер­спективах на дальнейшее развитие этого судостроения.</w:t>
      </w:r>
    </w:p>
    <w:p w14:paraId="7A8C253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одной из информаций, данных мною Шрамля, я сообщил ему также сведения, касающиеся достраивавшегося тогда на нашем за­воде крейсера "Червоная Украина", которыми он интересовался.</w:t>
      </w:r>
    </w:p>
    <w:p w14:paraId="6D7CB42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Сведения, которыми я снабжал Шрамля, я в свою очередь получал отчасти из производственного отдела завода, т.к. не все мне было из­вестно, как начальнику одного только котельного цеха и, пользуясь своим положением, я имел возможность беспрепятственно и без всяких подозрений получать, как я сказал, в производственном отделе недо­стававшие мне сведения.</w:t>
      </w:r>
    </w:p>
    <w:p w14:paraId="6417274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Интересовавшие меня сведения я получил в производственном от­деле от заведующего сектором котлостроения Кульчевского и сотруд­ника Худика, которые не знали для какой цели эти сведения мне не­обходимы.</w:t>
      </w:r>
    </w:p>
    <w:p w14:paraId="674AF88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1930 года Шрамль из г. Николаева выехал обратно в Гер­манию.</w:t>
      </w:r>
    </w:p>
    <w:p w14:paraId="422C56A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После отъезда Шрамля оставшийся на заводе фелькер начал за­вязывать со мной более близкие взаимоотношения, которые впослед­ствии также, как и взаимоотношения </w:t>
      </w:r>
      <w:r w:rsidRPr="0044524F">
        <w:rPr>
          <w:rFonts w:ascii="Times New Roman" w:hAnsi="Times New Roman"/>
          <w:iCs/>
          <w:color w:val="000000" w:themeColor="text1"/>
          <w:sz w:val="16"/>
          <w:szCs w:val="16"/>
        </w:rPr>
        <w:t xml:space="preserve">с </w:t>
      </w:r>
      <w:r w:rsidRPr="0044524F">
        <w:rPr>
          <w:rFonts w:ascii="Times New Roman" w:hAnsi="Times New Roman"/>
          <w:color w:val="000000" w:themeColor="text1"/>
          <w:sz w:val="16"/>
          <w:szCs w:val="16"/>
        </w:rPr>
        <w:t>Шрамлем, перешли в форму связи шпионского характера.</w:t>
      </w:r>
    </w:p>
    <w:p w14:paraId="3A057D8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Произошло это таким образом: Фелькер, посещая мой дом, старался максимально сблизиться со мной и моей семьей, при чем этому способ­ствовала совместная работа, вначале с моим старшим сыном Эдмун­дом на заводе "А. Марта", а впоследствии, с переходом Фелькера на завод бывший «Руссуд», с младшим сыном Александром, работав­шим прорабом по оборудованию коммерческих судов.</w:t>
      </w:r>
    </w:p>
    <w:p w14:paraId="7FAD0EE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бесед мы касались разных политических вопросов, обсуж­дая международное положение СССР и Германии, внутреннее положе­ние обоих стран и т.п. Фелькер, как я установил, являлся личностью отрицательно настроенной к Советской власти, он критиковал дости­жения Советского Союза и вместе с тем был личностью национально-патриотически настроенной в духе ярого сторонника Германии.</w:t>
      </w:r>
    </w:p>
    <w:p w14:paraId="2D21F84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 в разговорах с ним не срывал своих национально-патриотичес­ких чувств к Германии и эта общность во взглядах укрепила наши взаимоотношения.</w:t>
      </w:r>
    </w:p>
    <w:p w14:paraId="0B3FA55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разговоров со мной Фелькер, интересуясь достижения­ми Советской власти в области техники и, в частности, достижения­ми завода "А. Марти", очень подробно расспрашивал меня о работе завода, о имеющихся достижениях о выпускаемой продукции и т.п. Я весьма охотно давал ему подробные ответы. При таких разговорах обычно присутствовали и мои сыновья, которые также давали ответ на вопросы Фелькера.</w:t>
      </w:r>
    </w:p>
    <w:p w14:paraId="23B6249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Видя весьма благосклонное отношение с моей стороны к нему и даваемые мною ответы по ряду вопросов, Фелькер, находясь однаж­ды у меня дома и, оставщись со мной наедине, обратился ко мне с пред­ложением сообщить ему более подробно сведения, необходимые в ин­тересах Германии не только по части коммерческого судостроения, но и по военному кораблестроению.</w:t>
      </w:r>
    </w:p>
    <w:p w14:paraId="1DA67A9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Получив на то мое согласие, Фелькер с этого момента установил со мной регулярную связь, и я предоставлял в его распоряжение инте­ресовавшие его сведения.</w:t>
      </w:r>
    </w:p>
    <w:p w14:paraId="16BAB70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Установившаяся между нами связь по линии дачи ему сведений шпионского характера продолжалась до конца 1930 года до июня месяца 1932 года, т.е. до момента окончательного отъезда Фелькера обратно в Германию.</w:t>
      </w:r>
    </w:p>
    <w:p w14:paraId="140B25F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этот период времени, как я сейчас припоминаю, я представил Фелькеру, помимо подробных данных о строившемся коммерческом судостроении, следующие данные о строившихся на заводе "А. Марти" военных судах:</w:t>
      </w:r>
    </w:p>
    <w:p w14:paraId="0ABB1EB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 строившихся 4-х сторожевых судах и следующих их особенно­стях: скорости, роде орудий</w:t>
      </w:r>
      <w:r w:rsidRPr="0044524F">
        <w:rPr>
          <w:rFonts w:ascii="Times New Roman" w:hAnsi="Times New Roman"/>
          <w:color w:val="000000" w:themeColor="text1"/>
          <w:sz w:val="16"/>
          <w:szCs w:val="16"/>
          <w:vertAlign w:val="subscript"/>
        </w:rPr>
        <w:t>;</w:t>
      </w:r>
      <w:r w:rsidRPr="0044524F">
        <w:rPr>
          <w:rFonts w:ascii="Times New Roman" w:hAnsi="Times New Roman"/>
          <w:color w:val="000000" w:themeColor="text1"/>
          <w:sz w:val="16"/>
          <w:szCs w:val="16"/>
        </w:rPr>
        <w:t xml:space="preserve"> калибр орудий, дальнобойности, конст­руктивности, устройстве машин (турбины и котлы) тоннаже.</w:t>
      </w:r>
    </w:p>
    <w:p w14:paraId="4796F52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Хорошо помню, что я сообщил ему подробное описание двух сто­рожевых судов за №№ 186 и 187.</w:t>
      </w:r>
    </w:p>
    <w:p w14:paraId="0546BCD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шести торпедоносцах, которые тогда были намечены к строи­тельству. Помимо аналогичных сведений, которые я сообщил ему в отношении 4-х сторожевых судов, я в отношении торпедоносцев из­ложил также особенности конструкции котлов, вооружения и т.п.</w:t>
      </w:r>
    </w:p>
    <w:p w14:paraId="05C86E3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 передача сведений производилась путем заметок со­ставляемых мною на немецком языке, которые зачитывались Фельке­ру, а им подробнее записывались, после чего эти записочки мною уничтожались.</w:t>
      </w:r>
    </w:p>
    <w:p w14:paraId="7539C89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Фелькер, как мне известно, периодически сообщал эти сведения в Германию, способ отправки их мне неизвестен. Помимо того, Фель­кер дважды лично выезжал в Германию.</w:t>
      </w:r>
    </w:p>
    <w:p w14:paraId="44D2208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Находившийся в Ленинграде Лишер до его отъезда в Германию два раза посетил г. Николаев.</w:t>
      </w:r>
    </w:p>
    <w:p w14:paraId="4C37A24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моей связи с Фелькером и представлявшихся мною ему сведениях Лишер знал со слов Фелькера. Об этом Фелькер говорил Лишеру в моем присутствии.</w:t>
      </w:r>
    </w:p>
    <w:p w14:paraId="0D587A1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мне известно, Щрамль находился в дружеских отношениях с Верманом и посещал его на дому, а Фелькер поддерживал близкие отношения с Козловским.</w:t>
      </w:r>
    </w:p>
    <w:p w14:paraId="164FD1F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записан с моих слов правильно, мне прочитан, в чем и расписываюсь.</w:t>
      </w:r>
    </w:p>
    <w:p w14:paraId="0F35D66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Допросили: Нач. 2 отделения особого отдела Лукин</w:t>
      </w:r>
    </w:p>
    <w:p w14:paraId="1F6E1A3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Уполномоченный ОО Бриннер (11462).</w:t>
      </w:r>
    </w:p>
    <w:p w14:paraId="5DEF59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u w:val="single"/>
        </w:rPr>
      </w:pPr>
    </w:p>
    <w:p w14:paraId="42563BA3" w14:textId="77777777" w:rsidR="001F72EB"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013AAE57"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33EF61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г. начальник штаба ВВС приказал начать подготовку к формированию сразу десяти эскадрилий (в том числе четырех на ТБ-1). 29 декабря в округа поступает новый план - сформировать восемь эскадрилий (из них семь - на ТБ-1). Почти все они должны были дислоцироваться на Дальнем Востоке. Но эти планы не были реализованы.</w:t>
      </w:r>
    </w:p>
    <w:p w14:paraId="6173392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ТБ-1П активно использовались на Балтике, но из-за нехватки мин и торпед фактически служили только как разведчики и бомбардировщики. Зимой их переставляли на лыжи или колеса. В сентябре 1934 г. 122-ю эскадрилью привлекли к поискам затонувшей в Финском заливе после взрыва подводной лодки Л-2 ("Сталинец"). Ее нашел и помог вывезти раненых экипаж комэска A.M. Вирака.</w:t>
      </w:r>
    </w:p>
    <w:p w14:paraId="1C63807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Реально на 1 сентября 1936 г. в составе советской минно-торпедной авиации было всего шесть эскадрилий, из них четыре - на ТБ-1 (на Балтийском флоте две - 121-я и 122-я; на Черном море - одна и неполная, 34-я; и одна, 109-я, - на Тихом океане). Последнюю на следующий год перевооружили на ТБ-3. Еще 12 самолетов имелись в школе в Ейске.</w:t>
      </w:r>
    </w:p>
    <w:p w14:paraId="3043B75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последующие два года положение мало улучшилось. 34-я эскадрилья в Евпатории сдала изношенные ТБ-1П, получив Р-5Т. На 1 января 1938 г. в боевых частях морской авиации насчитывалось 38 ТБ-1 и ТБ-1 П. В том же году поступило распоряжение их списать или сдать во вспомогательные подразделения.</w:t>
      </w:r>
    </w:p>
    <w:p w14:paraId="30DD25E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2F02CE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19C192E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22E9AB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начальник штаба ВВС приказал начать подготовку к формированию десяти эскадрилий (четырех на ТБ-1 и шести на ТБ-3). оказалось, что для ТБ-3 только делают два опытных моста, а самих самолетов не хватает даже тяжелобомбардировочным бригадам. Необходимого количества денег на мосты тоже нет - начальник ВВС Я.И. Алкснис урезал заказ впятеро. Тем не менее 29 декабря в округа поступает новый план - сформировать восемь эскадрилий (семь на ТБ-1 и одну - на ТБ-3). Почти все они должны были дислоцироваться на Дальнем Востоке. Две эскадрильи для Балтийского флота собирались базировать в Едрово, одну для Черноморского - в Севастополе. При этом черноморцам предложили поставить торпедные мосты на старые летающие лодки Дорнье "Валь", на которых ни мины, ни торпеды никогда и не пытались вешать (12002).</w:t>
      </w:r>
    </w:p>
    <w:p w14:paraId="40F31C2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98CCA2E" w14:textId="77777777" w:rsidR="005228D6" w:rsidRPr="0044524F" w:rsidRDefault="005228D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г. появился приказ начальника штаба ВВС о формировании шести торпедоносных эскадрилий на ТБ-3 - двух на Балтике и четырех на Тихом океане. Промышленности для этих целей выдали заказ на 76 мостов. Но вскоре распоряжением начальника ВВС Я.И. Алксниса его урезали до 38 штук. 29 декабря поступил новый приказ - торпедоносные эскадрильи вооружать ТБ-1 и лишь одну, 110-ю на Дальнем Востоке - ТБ-3 (12036).</w:t>
      </w:r>
    </w:p>
    <w:p w14:paraId="39352CC4" w14:textId="77777777" w:rsidR="005228D6" w:rsidRPr="0044524F" w:rsidRDefault="005228D6" w:rsidP="009654CF">
      <w:pPr>
        <w:autoSpaceDE w:val="0"/>
        <w:autoSpaceDN w:val="0"/>
        <w:adjustRightInd w:val="0"/>
        <w:spacing w:after="0" w:line="240" w:lineRule="auto"/>
        <w:jc w:val="both"/>
        <w:rPr>
          <w:rFonts w:ascii="Times New Roman" w:hAnsi="Times New Roman"/>
          <w:color w:val="000000" w:themeColor="text1"/>
          <w:sz w:val="16"/>
          <w:szCs w:val="16"/>
        </w:rPr>
      </w:pPr>
    </w:p>
    <w:p w14:paraId="66EC3CEF"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октября 1933 г. появился приказ начальника штаба ВВС о формировании шести торпедоносных эскадрилий на машинах ТБ-3 - двух на Балтике и четырех на Тихом океане. Промышленности для этих целей выдали заказ на 76 мостов. Но вско</w:t>
      </w:r>
      <w:r w:rsidRPr="00142305">
        <w:rPr>
          <w:rFonts w:ascii="Times New Roman" w:hAnsi="Times New Roman"/>
          <w:color w:val="0070C0"/>
          <w:sz w:val="16"/>
          <w:szCs w:val="16"/>
        </w:rPr>
        <w:softHyphen/>
        <w:t>ре распоряжением Алксниса его урезали до 38 штук. 29 декабря поступил новый приказ - торпедоносные эскадрильи воору</w:t>
      </w:r>
      <w:r w:rsidRPr="00142305">
        <w:rPr>
          <w:rFonts w:ascii="Times New Roman" w:hAnsi="Times New Roman"/>
          <w:color w:val="0070C0"/>
          <w:sz w:val="16"/>
          <w:szCs w:val="16"/>
        </w:rPr>
        <w:softHyphen/>
        <w:t>жать ТБ-1 и лишь одну. 110-ю на Дальнем Востоке, - ТБ-3.</w:t>
      </w:r>
    </w:p>
    <w:p w14:paraId="0FEA959D"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Реально специальных минно-торпед</w:t>
      </w:r>
      <w:r w:rsidRPr="00142305">
        <w:rPr>
          <w:rFonts w:ascii="Times New Roman" w:hAnsi="Times New Roman"/>
          <w:color w:val="0070C0"/>
          <w:sz w:val="16"/>
          <w:szCs w:val="16"/>
        </w:rPr>
        <w:softHyphen/>
        <w:t>ных эскадрилий на ТБ-3 не появилось до 1937 г. (24937).</w:t>
      </w:r>
    </w:p>
    <w:p w14:paraId="357A5405" w14:textId="77777777" w:rsidR="00D64533" w:rsidRPr="00142305" w:rsidRDefault="00D64533" w:rsidP="00D64533">
      <w:pPr>
        <w:spacing w:after="0" w:line="240" w:lineRule="auto"/>
        <w:jc w:val="both"/>
        <w:rPr>
          <w:rFonts w:ascii="Times New Roman" w:hAnsi="Times New Roman"/>
          <w:color w:val="0070C0"/>
          <w:sz w:val="16"/>
          <w:szCs w:val="16"/>
        </w:rPr>
      </w:pPr>
    </w:p>
    <w:p w14:paraId="30F60F32"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октября 1933 г. появился приказ начальника штаба ВВС о формировании шести торпедоносных эскадрилий на ТБ-3 - двух на Балтике и четырех на Тихом океане. Про</w:t>
      </w:r>
      <w:r w:rsidRPr="00142305">
        <w:rPr>
          <w:rFonts w:ascii="Times New Roman" w:hAnsi="Times New Roman"/>
          <w:color w:val="0070C0"/>
          <w:sz w:val="16"/>
          <w:szCs w:val="16"/>
        </w:rPr>
        <w:softHyphen/>
        <w:t>мышленности для этих целей выдали заказ на 76 мостов. Но вскоре распоряжением начальника ВВС Я.И. Алксниса его урезали до 38 штук. 29 декабря поступил новый приказ - торпедоносные эскадрильи вооружать ТБ-l и лишь одну, 110-ю на Дальнем Востоке - ТБ-3.</w:t>
      </w:r>
    </w:p>
    <w:p w14:paraId="6AB1C0A9"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итоге заказ на мосты сократили до 15 экземпляров, но в январе 1934 г., наконец, пришли к окончательному реше</w:t>
      </w:r>
      <w:r w:rsidRPr="00142305">
        <w:rPr>
          <w:rFonts w:ascii="Times New Roman" w:hAnsi="Times New Roman"/>
          <w:color w:val="0070C0"/>
          <w:sz w:val="16"/>
          <w:szCs w:val="16"/>
        </w:rPr>
        <w:softHyphen/>
        <w:t>нию - 30 мостов для двух эскадрилий. В феврале того же го</w:t>
      </w:r>
      <w:r w:rsidRPr="00142305">
        <w:rPr>
          <w:rFonts w:ascii="Times New Roman" w:hAnsi="Times New Roman"/>
          <w:color w:val="0070C0"/>
          <w:sz w:val="16"/>
          <w:szCs w:val="16"/>
        </w:rPr>
        <w:softHyphen/>
        <w:t xml:space="preserve">да Кировский завод в Ленинграде изготовил два первых из них. Мост приняли на вооружение под обозначением ОТ-3. </w:t>
      </w:r>
      <w:bookmarkStart w:id="50" w:name="_Hlk177549817"/>
      <w:r w:rsidRPr="00142305">
        <w:rPr>
          <w:rFonts w:ascii="Times New Roman" w:hAnsi="Times New Roman"/>
          <w:color w:val="0070C0"/>
          <w:sz w:val="16"/>
          <w:szCs w:val="16"/>
        </w:rPr>
        <w:t>В октябре 1934 г. УВВС ставило вопрос об оснащении мин</w:t>
      </w:r>
      <w:r w:rsidRPr="00142305">
        <w:rPr>
          <w:rFonts w:ascii="Times New Roman" w:hAnsi="Times New Roman"/>
          <w:color w:val="0070C0"/>
          <w:sz w:val="16"/>
          <w:szCs w:val="16"/>
        </w:rPr>
        <w:softHyphen/>
        <w:t>но-торпедной подвеской всех выходящих с завода ТБ-3 с моторами М-34Р, но дирекция отказалась, ссылаясь на то, что эталон уже утвержден (24977).</w:t>
      </w:r>
    </w:p>
    <w:bookmarkEnd w:id="50"/>
    <w:p w14:paraId="403908E2" w14:textId="77777777" w:rsidR="00D64533" w:rsidRPr="00142305" w:rsidRDefault="00D64533" w:rsidP="00D64533">
      <w:pPr>
        <w:spacing w:after="0" w:line="240" w:lineRule="auto"/>
        <w:jc w:val="both"/>
        <w:rPr>
          <w:rFonts w:ascii="Times New Roman" w:hAnsi="Times New Roman"/>
          <w:color w:val="0070C0"/>
          <w:sz w:val="16"/>
          <w:szCs w:val="16"/>
        </w:rPr>
      </w:pPr>
    </w:p>
    <w:p w14:paraId="671698BF"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октября 1933 г. начальник штаба ВВС приказал начать подго</w:t>
      </w:r>
      <w:r w:rsidRPr="00142305">
        <w:rPr>
          <w:rFonts w:ascii="Times New Roman" w:hAnsi="Times New Roman"/>
          <w:color w:val="0070C0"/>
          <w:sz w:val="16"/>
          <w:szCs w:val="16"/>
        </w:rPr>
        <w:softHyphen/>
        <w:t>товку к формированию сразу десяти торпедоносных эскадрилий, в том числе четырех на ТБ-1. 29 декабря в округа поступил новый план - сформировать восемь эскадрилий, из них семь - на ТБ-1. Почти все они должны предназначались для базирования на Дальнем Востоке. Но эти планы так и не были реализованы (25004).</w:t>
      </w:r>
    </w:p>
    <w:p w14:paraId="68EEBEA3" w14:textId="77777777" w:rsidR="00D64533" w:rsidRPr="00142305" w:rsidRDefault="00D64533" w:rsidP="00D64533">
      <w:pPr>
        <w:spacing w:after="0" w:line="240" w:lineRule="auto"/>
        <w:jc w:val="both"/>
        <w:rPr>
          <w:rFonts w:ascii="Times New Roman" w:hAnsi="Times New Roman"/>
          <w:color w:val="0070C0"/>
          <w:sz w:val="16"/>
          <w:szCs w:val="16"/>
        </w:rPr>
      </w:pPr>
    </w:p>
    <w:p w14:paraId="48031DD0"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A9BA0C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F73176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появился приказ начальника ГУЛАГа № 155:</w:t>
      </w:r>
    </w:p>
    <w:p w14:paraId="7D55BDF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«Вайгачская экспедиция ОГПУ, находясь за полярным кругом в исключительно тяжелых условиях, закончила свой производственный год с выполнением плановых заданий на 194%.</w:t>
      </w:r>
    </w:p>
    <w:p w14:paraId="5D653D7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Перевыполнение плана было дано экспедицией не только по количественным показателям, но и по качественным. Добываемая экспедицией цинково свинцовая руда путем ручной сортировки была доведена в среднем до 32% содержания в ней металлов, в то время как по плану предполагалось добывать руду всего лишь с 20%.</w:t>
      </w:r>
    </w:p>
    <w:p w14:paraId="0FF2DF0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Подготавливаясь к развороту работ на летний период вне острова, экспедиция, преодолевая исключительные трудности освоения вековой тундры, сумела заблаговременно забросить в намеченные пункты людей, продовольствие, оборудование, организовав для этого беспримерные в истории Севера рейсы тракторов по льду через море.</w:t>
      </w:r>
    </w:p>
    <w:p w14:paraId="73622A1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эти достижения явились результатом четкой работы руководства экспедиции и подлинного трудового энтузиазма лучших лагерников, показавших образцы честного и преданного отношения к делу, добивавшихся наивысших производственных достижений и закреплявших свои производственные достижения широко развитым трудсоревнованием и ударничеством.</w:t>
      </w:r>
    </w:p>
    <w:p w14:paraId="17F5907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Отмечая эти достижения, объявляю благодарность начальнику экспедиции тов. Дицкалн А. Ф. (с 27 октября 1932 года до 27 марта 1934 года - начальник Вайгачской экспедиции ОГПУ) и всему составу экспедиции.</w:t>
      </w:r>
    </w:p>
    <w:p w14:paraId="42B3220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Приказываю:</w:t>
      </w:r>
    </w:p>
    <w:p w14:paraId="6D2D64B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Экспедицию премировать духовым оркестром и кинопередвижкой.</w:t>
      </w:r>
    </w:p>
    <w:p w14:paraId="017DE28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Наиболее отличившихся 2 лагерных пункта премировать библиотечками и патефонами.</w:t>
      </w:r>
    </w:p>
    <w:p w14:paraId="556910D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Для персонального премирования личного состава экспедиции выделить в распоряжение начальника экспедиции фонд в 5.000 рублей.</w:t>
      </w:r>
    </w:p>
    <w:p w14:paraId="3AB8DF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Особо отметить, с занесением в личные дела, энергичную работу вольнонаемных сотрудников экспедиции тт. Красильникова, Купчинского и з/к Клыкова, Ливанова, Микалк, Свирского, Виттенбург, Потехина, Лойко и Лабутина» (7560).</w:t>
      </w:r>
    </w:p>
    <w:p w14:paraId="616BC80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EE565C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г. было подготовлено донесение №50665</w:t>
      </w:r>
    </w:p>
    <w:p w14:paraId="417E1D5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СЕКРЕТАРЮ ЦК ВКП (Б)</w:t>
      </w:r>
    </w:p>
    <w:p w14:paraId="1E398115" w14:textId="77777777" w:rsidR="001F72EB" w:rsidRPr="0044524F" w:rsidRDefault="001F72EB" w:rsidP="009654CF">
      <w:pPr>
        <w:autoSpaceDE w:val="0"/>
        <w:autoSpaceDN w:val="0"/>
        <w:adjustRightInd w:val="0"/>
        <w:spacing w:after="0" w:line="240" w:lineRule="auto"/>
        <w:jc w:val="both"/>
        <w:rPr>
          <w:rFonts w:ascii="Times New Roman" w:hAnsi="Times New Roman"/>
          <w:bCs/>
          <w:color w:val="000000" w:themeColor="text1"/>
          <w:sz w:val="16"/>
          <w:szCs w:val="16"/>
        </w:rPr>
      </w:pPr>
      <w:r w:rsidRPr="0044524F">
        <w:rPr>
          <w:rFonts w:ascii="Times New Roman" w:hAnsi="Times New Roman"/>
          <w:color w:val="000000" w:themeColor="text1"/>
          <w:sz w:val="16"/>
          <w:szCs w:val="16"/>
        </w:rPr>
        <w:t>т.Сталину</w:t>
      </w:r>
    </w:p>
    <w:p w14:paraId="1F19C59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ОГПУ получено от ПП ОГПУ Белоруссии телеграфное сообщение следующего содержания:</w:t>
      </w:r>
    </w:p>
    <w:p w14:paraId="3ABF00B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 Могилеве вскрывается, ликвидируется филиал Польской Военной Организации (ПОВ). Сознанием членов организации: слесаря депо, исключенного из партии в 1931 г. – РЕУТА, сестры известного к.-р. деятеля Белоголового – Скоповского выявлены пока свыше 30 человек организации, завербованных ксендзом Ярошевичем.</w:t>
      </w:r>
    </w:p>
    <w:p w14:paraId="4C8B167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Жлобине также вскрывается филиал ПОВ, созданный ксендзом Ярошевичем. Арестованный член организации, БАТУРО и Кучинская сознались в передаче Ярошевичу сведений о Жблодинском узле и воинских частях.</w:t>
      </w:r>
    </w:p>
    <w:p w14:paraId="0EE8BC1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 Осиповическом районе вскрывается, ликвидируется филиал ПОВ, созданный ксендзом Мустейкисом. Сознанием арестованных Рожновского и Барташкевича устанавливается возникновение организации в 1924 году, имеются указания на наличие ячеек ПОВ в Осиповическ5ом железнодорожном узле.</w:t>
      </w:r>
    </w:p>
    <w:p w14:paraId="1184FD2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Арестованный в Гомеле по делу ПОВ Сескевич Антон подтвердил свою причастность к организации. Сознался в том что в 1929 г. – 1932 г. по заданиям ксендза Андрекуса бывал в Польше, в 1932 г., будучи в Белостоке, окончил 3-х месячные развед. – диверсионные курсы.</w:t>
      </w:r>
    </w:p>
    <w:p w14:paraId="35EF79A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1-го октября 1933 г. в Минске задержан бежавший в Польшу в начале 1933 года по досрочной демобилизации из армии отделком 5-го артполка 2-й дивизии Сучков Иван. Сознанием Сучкова устанавливается его сотрудничество в Лунинецкой разведпляцувке и создания им в Минске резидентуры в лице отделкома 2-го артполка Трофимовича Георгия, инструктора военстрой-площадки Кулинича Ивана. Арестованный Трофимович в шпионаже сознался.</w:t>
      </w:r>
    </w:p>
    <w:p w14:paraId="3F1A20D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Арестован разрабатываемый нами родственник известного польского диверсанта Холява – Янковский Адам Иосифович, сознался в сотрудничестве с Виллейской разведпляцувской. Сознанием Янковского также устанавливается крупная шпионско-диверсионная резидентура в Минске, в Логойском районе. Привлеченный к следствию Шимченко подтвердил показания Янковского.</w:t>
      </w:r>
    </w:p>
    <w:p w14:paraId="686B45B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На участке 17 погранотряда задержан с оружием в руках старый агент Столпецкий разведпляцувки Зойнич, Франц Бронеславович. Войнич в 1932 г. был судим за шпионаж, бежал из концлагеря в Польшу. Прибыл с заданием по Смоленскому гарнизону, ограбления фельдъегаря, курсирующего Минск – Москва.</w:t>
      </w:r>
    </w:p>
    <w:p w14:paraId="765DE38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1-го октября 1933 г. на участке 13-го погранотряда задержан бежавший в Польшу в сентябре месяце бывший красноармеец 13-го погранотряда, осевший в погранполосе после демобилизации в 1932 году – Лошков, Андрей Петрович. Сознанием Лошкова устанавливается его сотрудничество с Глубокской разведпляцувкой, сознание резидентуры в Полоцке и сбор сведений в Полоцким гарнизоне.</w:t>
      </w:r>
    </w:p>
    <w:p w14:paraId="0AEF9E4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29-го сентября 1933 г. на участке 16-го погранотряда задержан агент Столпецкой разведпляцувки Казак, Франц Антонивич, бежавший из ссылки в июле месяце в Польшу. Прибыл с заданием осесть в Слуцке в качестве резидента. У Казака обнаружены фиктивные советские документы на фамилию Крук Николая Антоновича.</w:t>
      </w:r>
    </w:p>
    <w:p w14:paraId="2597954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1-го октября 1933 г. на участке 15-го погранотряда задержан польский агент Виллейской разведпляцувки Логунов Савелий Прокопьевич, житель сов. стороны, бежавший в Польшу в июне месяце. При Логунове обнаружено 500 рублей.</w:t>
      </w:r>
    </w:p>
    <w:p w14:paraId="4345D6C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4-го октября 1933 г. Заковский.</w:t>
      </w:r>
    </w:p>
    <w:p w14:paraId="694E376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ф.3, оп.58, д.243, л.86-88 (11462).</w:t>
      </w:r>
    </w:p>
    <w:p w14:paraId="78B189A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DFB57F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датировано разосланное всем начальникам управлений ИТЛ ОГПУ приказание ГУЛАГа № 11 за подписью начальника главка Бермана:</w:t>
      </w:r>
    </w:p>
    <w:p w14:paraId="3E6B49E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Москву приезжают сотрудники лагерей, допуская нарушение правил ношения формы (неряшливо одеты и т. д.).</w:t>
      </w:r>
    </w:p>
    <w:p w14:paraId="34FFA16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Секретарю Управления тов. Сулину я приказал: впредь за отмеченные нарушения ношения формы виновных немедленно арестовывать. Одновременно будут налагаться взыскания на непосредственных их начальников и на нач. лагерей, не сумевших внушить своим подчиненным о необходимости выполнения приказаний» (7560).</w:t>
      </w:r>
    </w:p>
    <w:p w14:paraId="4DDEB4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3ACFCF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г. были подготовлены Сведения Секретариата Президиума ЦИК Союза ССР об иностранных специалистах, награжденных орденами Советского Союза за оказание технической помощи</w:t>
      </w:r>
    </w:p>
    <w:p w14:paraId="4E7208D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Наркомтяжпром:</w:t>
      </w:r>
    </w:p>
    <w:p w14:paraId="07CB04D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заслуги в области тяжелой промышленности Президиум ЦИК Союза ССР наградил орденами СССР ряд иностранцев... Награждены:</w:t>
      </w:r>
    </w:p>
    <w:p w14:paraId="12857DE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Днепрострою - Франк Фейфер, Чарльз Джон Томсон, Вильгельм Петрикович Меффи, Хью Купер, Фридрих Вильгельмович Винтер, Георг Себастьянович Биндер;</w:t>
      </w:r>
    </w:p>
    <w:p w14:paraId="263CD46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"Серп и Молот" - Томас Яковлевич Монгер;</w:t>
      </w:r>
    </w:p>
    <w:p w14:paraId="06AE1F9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Сталинградскому тракторному заводу - Франк Бруно Хоней;</w:t>
      </w:r>
    </w:p>
    <w:p w14:paraId="60FE63A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Харьковскому тракторному заводу - Леон Эвис Суважан;</w:t>
      </w:r>
    </w:p>
    <w:p w14:paraId="1A4102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угольной промышленности Донбасса - И. Г. Либхард.</w:t>
      </w:r>
    </w:p>
    <w:p w14:paraId="4B14B70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Заведующий сектором С. Терехов.</w:t>
      </w:r>
    </w:p>
    <w:p w14:paraId="74BF6C5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РГАЭ. Ф. 7297. Оп. 38. Д. 60. Л.1.</w:t>
      </w:r>
    </w:p>
    <w:p w14:paraId="6EAC917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Франк Бруно Хоней, работник Сталинградского тракторного завода, на котором только в октябре 1930 года трудилось около 170 иностранных специалистов был удостоен высокой советской награды - Ордена Ленина. Чуть ранее американское издание "Детройт Таймс" рассказало об этом читателям в самой Америке, назвав эту награду "крестом Ленина". </w:t>
      </w:r>
    </w:p>
    <w:p w14:paraId="6D56255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Настоящая фамилия Франка Хонея была Метушевский, его семья была из числа эмигрантов из западных губерний Российской Империи. Франк Метушевский родился в городе Эри (штат Пенсильвания), а работать он начал с 13 лет, продавая газету "Эри дейли таймс". Схема была такова: он покупал в редакции газеты по 1 центу за экземпляр, а реализовывал за 2. Скоро у него собрался пул из 40 постоянных покупателей. При этом в воскресенье, когда газета выходила с четырьмя страницами комиксов, число покупателей увеличивалось. В выходной день выпуск стоил 3 цента, а он продавал его по 5.</w:t>
      </w:r>
    </w:p>
    <w:p w14:paraId="1CE2D4E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Потом он работал на пяти различных заводах в родном городке и одновременно получал техническое образование в вечерней конструкторской школе. Однако в самом Эри работать у него не сложилось из-за увлечения профсоюзной деятельностью, и Франку пришлось уехать в Детройт. Там он под псевдонимом Хоней работал специалистом пружинного производства на заводах Форда и "Додж". 1 марта 1930 года Франк Хоней , будучи уже безработным, завербовался в Сталинград, где готовили к пуску тракторный завод. Группа из 60 американских специалистов выехала поездом из Детройта в Нью-Йорк. </w:t>
      </w:r>
    </w:p>
    <w:p w14:paraId="450F074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Сталинграде американцев разместили в новых домах в Нижнем поселке (аналог Верхней Колонии в Кузнецке), где у каждого была отдельная комната. На СТЗ Хоней организовал и возглавил пружинное отделение, обучив сложному делу молодых рабочих. И уже в первый год работы его поощрили грамотой, премией и ценным подарком - именным серебряным портсигаром с камнем. А в 1932 году Франк вместе с другими ударниками труда был вызван в Москву и получил из рук Калинина орден Ленина. "В Кремле я чувствовал себя, как во сне, - вспоминал Франк Хоней . - Михаил Иванович Калинин вручил мне орден Ленина и пожелал дальнейших успехов в работе". </w:t>
      </w:r>
    </w:p>
    <w:p w14:paraId="6C96E25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Американец так понравился большевикам, что чуть позже ему подарили легковую персональную машину, а в 1936 году он принял советское гражданство. За 30-е годы мистер Хоней подготовил более 300 рацпредложений, а к 1941 году занял уже должность заместителя директора (затем и директора) Сталинградского метизного завода - "дочки" СТЗ. Именно Франк Хоней провел за две недели удачную и оперативную эвакуацию этого предприятия и пружинного цеха СТЗ в 1942 году в Барнаул. Еще две недели ему понадобилось, чтобы там запустить эти производства. </w:t>
      </w:r>
    </w:p>
    <w:p w14:paraId="7376229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войны бывший американец был еще неоднократно награжден советскими наградами - медалями "За оборону Сталинграда" и "За доблестный труд в ВОВ 1941-1945". Однако личная жизнь у него не совсем сложилась: американская жена Стефания отказалась жить с детьми в СССР и уехала обратно на родину. В СССР Метушевский был еще два раза женат, но оба раза неудачно. Известно, что он взял на воспитание ребенка-сироту (Вадима Евстафьева) из детского дома и смог его вырастить. Во время хрущевской оттепели была даже опубликована книга воспоминаний Франка Хонея "Я уехал из Америки" (Волгоград, 1962) (11600).</w:t>
      </w:r>
    </w:p>
    <w:p w14:paraId="161A90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413BF19"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496ED29"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CAAC437" w14:textId="77777777" w:rsidR="008C761D" w:rsidRPr="0044524F" w:rsidRDefault="008C76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французские авиаторы Жан Ассолан и Рене Лефевр вылетают из Орана во французском Алжире на Bernard 81 GR L'Oiseau Canari II, надеясь установить новый мировой рекорд дальности без дозаправки по прямой прямой, долетев до Сайгона во французском Индокитае . Неожиданно высокий расход топлива делает рекорд недосягаемым, и они приземляются в Карачи , пролетев 6600 км (4099 миль) за 27 часов (20802).</w:t>
      </w:r>
    </w:p>
    <w:p w14:paraId="5E36223C" w14:textId="77777777" w:rsidR="008C761D" w:rsidRPr="0044524F" w:rsidRDefault="008C761D" w:rsidP="009654CF">
      <w:pPr>
        <w:spacing w:after="0" w:line="240" w:lineRule="auto"/>
        <w:jc w:val="both"/>
        <w:rPr>
          <w:rFonts w:ascii="Times New Roman" w:hAnsi="Times New Roman"/>
          <w:color w:val="000000" w:themeColor="text1"/>
          <w:sz w:val="16"/>
          <w:szCs w:val="16"/>
        </w:rPr>
      </w:pPr>
    </w:p>
    <w:p w14:paraId="5DCC30BC" w14:textId="77777777" w:rsidR="008C761D" w:rsidRPr="0044524F" w:rsidRDefault="008C76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4–11 октября 1933 сэр Чарльз Кингсфорд Смит на Percival Gull устанавливает новый рекорд одиночного полета между Англией и Австралией - 7 дней 4 часа 44 минуты (20802).</w:t>
      </w:r>
    </w:p>
    <w:p w14:paraId="7D768D6F" w14:textId="77777777" w:rsidR="008C761D" w:rsidRPr="0044524F" w:rsidRDefault="008C761D" w:rsidP="009654CF">
      <w:pPr>
        <w:spacing w:after="0" w:line="240" w:lineRule="auto"/>
        <w:jc w:val="both"/>
        <w:rPr>
          <w:rFonts w:ascii="Times New Roman" w:hAnsi="Times New Roman"/>
          <w:color w:val="000000" w:themeColor="text1"/>
          <w:sz w:val="16"/>
          <w:szCs w:val="16"/>
        </w:rPr>
      </w:pPr>
    </w:p>
    <w:p w14:paraId="481CE62B" w14:textId="77777777" w:rsidR="008C761D" w:rsidRPr="0044524F" w:rsidRDefault="008C76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 Выдающийся английский авиатор Чарлз Кигсфорд Смит (Charles Kingsford Smith) взлетев в 05:28 утра с аэродрома «Lympne» (графство Кент) в Великобритании начал рекордный одиночный перелёт на самолёте «Percival D.2 Gull IV» (борт. рег. код G-ACJV) между Великобританией и Австралией, на который ему потребуется 7 дней, 4 часа и 44 минуты (22347).</w:t>
      </w:r>
    </w:p>
    <w:p w14:paraId="17B6C96E" w14:textId="77777777" w:rsidR="008C761D" w:rsidRPr="0044524F" w:rsidRDefault="008C761D" w:rsidP="009654CF">
      <w:pPr>
        <w:spacing w:after="0" w:line="240" w:lineRule="auto"/>
        <w:jc w:val="both"/>
        <w:rPr>
          <w:rFonts w:ascii="Times New Roman" w:hAnsi="Times New Roman"/>
          <w:color w:val="000000" w:themeColor="text1"/>
          <w:sz w:val="16"/>
          <w:szCs w:val="16"/>
        </w:rPr>
      </w:pPr>
    </w:p>
    <w:p w14:paraId="3D1517E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в Германии евреям запретили быть издателями газет (1798).</w:t>
      </w:r>
    </w:p>
    <w:p w14:paraId="6D4218B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BBACF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евреям запрещено работать в газетах Германии (4962).</w:t>
      </w:r>
    </w:p>
    <w:p w14:paraId="68AE32C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DDDE1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была ратифицирована 20 поправка к Конституции США (3481).</w:t>
      </w:r>
    </w:p>
    <w:p w14:paraId="442BEDC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44CEA31"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5C134E9"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017CA0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М.Н.Тухачевский оценил в приказе работы по гос. испытанию по ракетному разгону ТБ-3 (АНТ-6), которые проводились с 22 августа 1933 (376,26).</w:t>
      </w:r>
    </w:p>
    <w:p w14:paraId="7BAF34D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B8B91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закончились гос. испытания самолета Звена З-2, которые проходили с 13 сентября 1933 (6777).</w:t>
      </w:r>
    </w:p>
    <w:p w14:paraId="044B2A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Ведущий испытания:</w:t>
      </w:r>
    </w:p>
    <w:p w14:paraId="52B9B53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инженер Фролов, Вед. летчик Залевский</w:t>
      </w:r>
    </w:p>
    <w:p w14:paraId="3968C10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Стефановский, Сузи, Кокинаки, Лагутин</w:t>
      </w:r>
    </w:p>
    <w:p w14:paraId="02C264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Предварительные замечания</w:t>
      </w:r>
    </w:p>
    <w:p w14:paraId="76A4500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Дальнейшее развитие идеи самолета Звена инженера Вахмистрова получило применение в разработанной им же установке на самолете ТБ3 4М17 № 22164 трех И-5 – М22 – два на плоскости и один на фюзеляже, а также двух истребителей Зет, подвешенных под плоскость.</w:t>
      </w:r>
    </w:p>
    <w:p w14:paraId="189EB2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всей установки инженера Вахмистрова разбито на три части:</w:t>
      </w:r>
    </w:p>
    <w:p w14:paraId="1B358B65"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верхней установки Звена, т.е. ТБ3 4М17 с одним И5, ТБ3 – 4М17 с двумя И5 и ТБ3 4М17 с тремя И5.</w:t>
      </w:r>
    </w:p>
    <w:p w14:paraId="70315AEF"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нижней установки самолета Звена, т.е. ТБ3 4М17 с двумя Зет подвешенными под плоскость, а также ТБ3 4М17 с двумя самолетами Зет и с двумя И5 и ТБ3 с двумя Зет и с тремя И5.</w:t>
      </w:r>
    </w:p>
    <w:p w14:paraId="307A7A56"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приспособления для посадки среднего самолета И5.</w:t>
      </w:r>
    </w:p>
    <w:p w14:paraId="65B404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Настоящий отчет составлен по первой части испытаний, т.е. по верхней установке трех И5 – М22 на ТБ3 4М17.</w:t>
      </w:r>
    </w:p>
    <w:p w14:paraId="46157CE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4166551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Гос. испытания «Звена Вахмистрова» ТБ3-4М17 + И5 М22, ТБ3-4М17 + два И5 М22, ТБ3-4М17 + три И5 М22 имели целью:</w:t>
      </w:r>
    </w:p>
    <w:p w14:paraId="0DDBD1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определить надежность подъема с самолетов И5-М22 с плоскостей самолета ТБ3-4М17;</w:t>
      </w:r>
    </w:p>
    <w:p w14:paraId="450CEC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влияние на летные данные самолета ТБ3-4М17 установки на него двух и трех самолетов И5 М22.</w:t>
      </w:r>
    </w:p>
    <w:p w14:paraId="1BE1B4E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CE67B0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Гос. испытания З-2 пройдены вполне успешно.</w:t>
      </w:r>
    </w:p>
    <w:p w14:paraId="710BA0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4E10C1" w:rsidRPr="0044524F" w14:paraId="6867386F" w14:textId="77777777">
        <w:tc>
          <w:tcPr>
            <w:tcW w:w="3024" w:type="dxa"/>
          </w:tcPr>
          <w:p w14:paraId="660DB5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сентября 1933 года</w:t>
            </w:r>
          </w:p>
        </w:tc>
        <w:tc>
          <w:tcPr>
            <w:tcW w:w="5616" w:type="dxa"/>
          </w:tcPr>
          <w:p w14:paraId="3702258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Перелет в Щелково</w:t>
            </w:r>
          </w:p>
        </w:tc>
      </w:tr>
      <w:tr w:rsidR="004E10C1" w:rsidRPr="0044524F" w14:paraId="1D6AFC36" w14:textId="77777777">
        <w:tc>
          <w:tcPr>
            <w:tcW w:w="3024" w:type="dxa"/>
          </w:tcPr>
          <w:p w14:paraId="5AECEC9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года</w:t>
            </w:r>
          </w:p>
        </w:tc>
        <w:tc>
          <w:tcPr>
            <w:tcW w:w="5616" w:type="dxa"/>
          </w:tcPr>
          <w:p w14:paraId="4E3D36C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и тарировка САФА самолета ТБ3-4М17</w:t>
            </w:r>
          </w:p>
        </w:tc>
      </w:tr>
      <w:tr w:rsidR="004E10C1" w:rsidRPr="0044524F" w14:paraId="07306B64" w14:textId="77777777">
        <w:tc>
          <w:tcPr>
            <w:tcW w:w="3024" w:type="dxa"/>
          </w:tcPr>
          <w:p w14:paraId="2C5A52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21 сентября 1933 года</w:t>
            </w:r>
          </w:p>
        </w:tc>
        <w:tc>
          <w:tcPr>
            <w:tcW w:w="5616" w:type="dxa"/>
          </w:tcPr>
          <w:p w14:paraId="201CAD4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ТБ3 с двумя И5</w:t>
            </w:r>
          </w:p>
        </w:tc>
      </w:tr>
      <w:tr w:rsidR="004E10C1" w:rsidRPr="0044524F" w14:paraId="4EE644EE" w14:textId="77777777">
        <w:tc>
          <w:tcPr>
            <w:tcW w:w="3024" w:type="dxa"/>
          </w:tcPr>
          <w:p w14:paraId="679492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года</w:t>
            </w:r>
          </w:p>
        </w:tc>
        <w:tc>
          <w:tcPr>
            <w:tcW w:w="5616" w:type="dxa"/>
          </w:tcPr>
          <w:p w14:paraId="49CCBF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ТБ3 с одним И5</w:t>
            </w:r>
          </w:p>
        </w:tc>
      </w:tr>
      <w:tr w:rsidR="004E10C1" w:rsidRPr="0044524F" w14:paraId="6D8D08EC" w14:textId="77777777">
        <w:tc>
          <w:tcPr>
            <w:tcW w:w="3024" w:type="dxa"/>
          </w:tcPr>
          <w:p w14:paraId="72EF402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года</w:t>
            </w:r>
          </w:p>
        </w:tc>
        <w:tc>
          <w:tcPr>
            <w:tcW w:w="5616" w:type="dxa"/>
          </w:tcPr>
          <w:p w14:paraId="5F7D861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ТБ3 с тремя И5</w:t>
            </w:r>
          </w:p>
        </w:tc>
      </w:tr>
      <w:tr w:rsidR="004E10C1" w:rsidRPr="0044524F" w14:paraId="78C52168" w14:textId="77777777">
        <w:tc>
          <w:tcPr>
            <w:tcW w:w="3024" w:type="dxa"/>
          </w:tcPr>
          <w:p w14:paraId="569C42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года</w:t>
            </w:r>
          </w:p>
        </w:tc>
        <w:tc>
          <w:tcPr>
            <w:tcW w:w="5616" w:type="dxa"/>
          </w:tcPr>
          <w:p w14:paraId="43A700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7A36B462" w14:textId="77777777">
        <w:tc>
          <w:tcPr>
            <w:tcW w:w="3024" w:type="dxa"/>
          </w:tcPr>
          <w:p w14:paraId="3D9F932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года</w:t>
            </w:r>
          </w:p>
        </w:tc>
        <w:tc>
          <w:tcPr>
            <w:tcW w:w="5616" w:type="dxa"/>
          </w:tcPr>
          <w:p w14:paraId="2DDC5F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горизонтальные скорости по высотам одного ТБ3-4М17 с весом 15725 кг</w:t>
            </w:r>
          </w:p>
        </w:tc>
      </w:tr>
      <w:tr w:rsidR="004E10C1" w:rsidRPr="0044524F" w14:paraId="14C0555B" w14:textId="77777777">
        <w:tc>
          <w:tcPr>
            <w:tcW w:w="3024" w:type="dxa"/>
          </w:tcPr>
          <w:p w14:paraId="1FB304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w:t>
            </w:r>
          </w:p>
        </w:tc>
        <w:tc>
          <w:tcPr>
            <w:tcW w:w="5616" w:type="dxa"/>
          </w:tcPr>
          <w:p w14:paraId="31CCB1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одним И5</w:t>
            </w:r>
          </w:p>
        </w:tc>
      </w:tr>
      <w:tr w:rsidR="004E10C1" w:rsidRPr="0044524F" w14:paraId="737124CB" w14:textId="77777777">
        <w:tc>
          <w:tcPr>
            <w:tcW w:w="3024" w:type="dxa"/>
          </w:tcPr>
          <w:p w14:paraId="31974F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w:t>
            </w:r>
          </w:p>
        </w:tc>
        <w:tc>
          <w:tcPr>
            <w:tcW w:w="5616" w:type="dxa"/>
          </w:tcPr>
          <w:p w14:paraId="14E36A4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0D7FEE15" w14:textId="77777777">
        <w:tc>
          <w:tcPr>
            <w:tcW w:w="3024" w:type="dxa"/>
          </w:tcPr>
          <w:p w14:paraId="569D7B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сентября 1933 года</w:t>
            </w:r>
          </w:p>
        </w:tc>
        <w:tc>
          <w:tcPr>
            <w:tcW w:w="5616" w:type="dxa"/>
          </w:tcPr>
          <w:p w14:paraId="729306F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4524F" w14:paraId="0ABC6E59" w14:textId="77777777">
        <w:tc>
          <w:tcPr>
            <w:tcW w:w="3024" w:type="dxa"/>
          </w:tcPr>
          <w:p w14:paraId="7FDD4A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16" w:type="dxa"/>
          </w:tcPr>
          <w:p w14:paraId="678F97B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4524F" w14:paraId="12EA02B9" w14:textId="77777777">
        <w:tc>
          <w:tcPr>
            <w:tcW w:w="3024" w:type="dxa"/>
          </w:tcPr>
          <w:p w14:paraId="79E2138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16" w:type="dxa"/>
          </w:tcPr>
          <w:p w14:paraId="711377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6BC54220" w14:textId="77777777">
        <w:tc>
          <w:tcPr>
            <w:tcW w:w="3024" w:type="dxa"/>
          </w:tcPr>
          <w:p w14:paraId="367737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года</w:t>
            </w:r>
          </w:p>
        </w:tc>
        <w:tc>
          <w:tcPr>
            <w:tcW w:w="5616" w:type="dxa"/>
          </w:tcPr>
          <w:p w14:paraId="16A8FB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0FEB253E" w14:textId="77777777">
        <w:tc>
          <w:tcPr>
            <w:tcW w:w="3024" w:type="dxa"/>
          </w:tcPr>
          <w:p w14:paraId="0986C3A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года</w:t>
            </w:r>
          </w:p>
        </w:tc>
        <w:tc>
          <w:tcPr>
            <w:tcW w:w="5616" w:type="dxa"/>
          </w:tcPr>
          <w:p w14:paraId="120CCB9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расход горючего с двумя И5</w:t>
            </w:r>
          </w:p>
        </w:tc>
      </w:tr>
      <w:tr w:rsidR="004E10C1" w:rsidRPr="0044524F" w14:paraId="4C2CE4B9" w14:textId="77777777">
        <w:tc>
          <w:tcPr>
            <w:tcW w:w="3024" w:type="dxa"/>
          </w:tcPr>
          <w:p w14:paraId="4B0076A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5616" w:type="dxa"/>
          </w:tcPr>
          <w:p w14:paraId="6BD457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полетов с налетом 16 час. 23 мин.</w:t>
            </w:r>
          </w:p>
        </w:tc>
      </w:tr>
    </w:tbl>
    <w:p w14:paraId="714F5B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(6777).</w:t>
      </w:r>
    </w:p>
    <w:p w14:paraId="0C709D3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74BCA8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Алкснис утвердил отчет по вой</w:t>
      </w:r>
      <w:r w:rsidRPr="0044524F">
        <w:rPr>
          <w:rFonts w:ascii="Times New Roman" w:hAnsi="Times New Roman"/>
          <w:color w:val="000000" w:themeColor="text1"/>
          <w:sz w:val="16"/>
          <w:szCs w:val="16"/>
        </w:rPr>
        <w:softHyphen/>
        <w:t>сковым испытаниям еще одного «звена» — «3-1а», составленного из ТБ-1 и двух И-5 с положительной оценкой и предложением более эффективная система — ТБ-3 с дву</w:t>
      </w:r>
      <w:r w:rsidRPr="0044524F">
        <w:rPr>
          <w:rFonts w:ascii="Times New Roman" w:hAnsi="Times New Roman"/>
          <w:color w:val="000000" w:themeColor="text1"/>
          <w:sz w:val="16"/>
          <w:szCs w:val="16"/>
        </w:rPr>
        <w:softHyphen/>
        <w:t>мя подвешенными под крылом И-16 — была принята на вооружение и нашла примене</w:t>
      </w:r>
      <w:r w:rsidRPr="0044524F">
        <w:rPr>
          <w:rFonts w:ascii="Times New Roman" w:hAnsi="Times New Roman"/>
          <w:color w:val="000000" w:themeColor="text1"/>
          <w:sz w:val="16"/>
          <w:szCs w:val="16"/>
        </w:rPr>
        <w:softHyphen/>
        <w:t>ние в Великой Отечественной войне (11286).</w:t>
      </w:r>
    </w:p>
    <w:p w14:paraId="11A47EF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EA6D9B6" w14:textId="77777777" w:rsidR="00035895" w:rsidRPr="0044524F" w:rsidRDefault="00035895" w:rsidP="009654CF">
      <w:pPr>
        <w:pStyle w:val="a3"/>
        <w:rPr>
          <w:color w:val="000000" w:themeColor="text1"/>
          <w:lang w:val="ru-RU"/>
        </w:rPr>
      </w:pPr>
      <w:r w:rsidRPr="0044524F">
        <w:rPr>
          <w:color w:val="000000" w:themeColor="text1"/>
          <w:lang w:val="ru-RU"/>
        </w:rPr>
        <w:t>5 октября 1933 завершили испытания нового звена на ТБ-3.</w:t>
      </w:r>
    </w:p>
    <w:p w14:paraId="11FB061E" w14:textId="77777777" w:rsidR="00035895" w:rsidRPr="0044524F" w:rsidRDefault="00035895" w:rsidP="009654CF">
      <w:pPr>
        <w:pStyle w:val="a3"/>
        <w:rPr>
          <w:color w:val="000000" w:themeColor="text1"/>
          <w:lang w:val="ru-RU"/>
        </w:rPr>
      </w:pPr>
      <w:r w:rsidRPr="0044524F">
        <w:rPr>
          <w:color w:val="000000" w:themeColor="text1"/>
          <w:lang w:val="ru-RU"/>
        </w:rPr>
        <w:t>Носитель обычно взлетал при помощи своих собст</w:t>
      </w:r>
      <w:r w:rsidRPr="0044524F">
        <w:rPr>
          <w:color w:val="000000" w:themeColor="text1"/>
          <w:lang w:val="ru-RU"/>
        </w:rPr>
        <w:softHyphen/>
        <w:t>венных двигателей, а на истребителях их запускали перед отцепкой сжатым воз</w:t>
      </w:r>
      <w:r w:rsidRPr="0044524F">
        <w:rPr>
          <w:color w:val="000000" w:themeColor="text1"/>
          <w:lang w:val="ru-RU"/>
        </w:rPr>
        <w:softHyphen/>
        <w:t>духом. Лишь чтобы замерить максималь</w:t>
      </w:r>
      <w:r w:rsidRPr="0044524F">
        <w:rPr>
          <w:color w:val="000000" w:themeColor="text1"/>
          <w:lang w:val="ru-RU"/>
        </w:rPr>
        <w:softHyphen/>
        <w:t>ные данные «Звена-2» в воздухе исполь</w:t>
      </w:r>
      <w:r w:rsidRPr="0044524F">
        <w:rPr>
          <w:color w:val="000000" w:themeColor="text1"/>
          <w:lang w:val="ru-RU"/>
        </w:rPr>
        <w:softHyphen/>
        <w:t>зовали все моторы комплекта. Результат оказался неоднозначным. С двумя И-5 скорость составляла 199,5 км/ч, а с тре</w:t>
      </w:r>
      <w:r w:rsidRPr="0044524F">
        <w:rPr>
          <w:color w:val="000000" w:themeColor="text1"/>
          <w:lang w:val="ru-RU"/>
        </w:rPr>
        <w:softHyphen/>
        <w:t>мя - 196,5 км/ч, то есть третья машина выигрыша здесь не дала. Зато ее наличие существенно повлияло на скороподъем</w:t>
      </w:r>
      <w:r w:rsidRPr="0044524F">
        <w:rPr>
          <w:color w:val="000000" w:themeColor="text1"/>
          <w:lang w:val="ru-RU"/>
        </w:rPr>
        <w:softHyphen/>
        <w:t>ность и потолок. У «чистого» ТБ-3 практи</w:t>
      </w:r>
      <w:r w:rsidRPr="0044524F">
        <w:rPr>
          <w:color w:val="000000" w:themeColor="text1"/>
          <w:lang w:val="ru-RU"/>
        </w:rPr>
        <w:softHyphen/>
        <w:t>ческий потолок равнялся 3800 м,у носи</w:t>
      </w:r>
      <w:r w:rsidRPr="0044524F">
        <w:rPr>
          <w:color w:val="000000" w:themeColor="text1"/>
          <w:lang w:val="ru-RU"/>
        </w:rPr>
        <w:softHyphen/>
        <w:t>теля с двумя И-5 - 3880 м, а с тремя - 5130 м. Аналогичная ситуация сложилась со скороподъемностью. Бомбардировщик забирался на высоту 3000 м за 53 мин, носитель с двумя И-5 - за 31,5 мин, а с тремя - за 21 мин. Стоявший на фюзеля</w:t>
      </w:r>
      <w:r w:rsidRPr="0044524F">
        <w:rPr>
          <w:color w:val="000000" w:themeColor="text1"/>
          <w:lang w:val="ru-RU"/>
        </w:rPr>
        <w:softHyphen/>
        <w:t>же И-5 отцепили всего один раз, далее он стоял неподвижно (но с летчиком).</w:t>
      </w:r>
    </w:p>
    <w:p w14:paraId="66266F0F" w14:textId="77777777" w:rsidR="00035895" w:rsidRPr="0044524F" w:rsidRDefault="00035895" w:rsidP="009654CF">
      <w:pPr>
        <w:pStyle w:val="a3"/>
        <w:rPr>
          <w:color w:val="000000" w:themeColor="text1"/>
          <w:lang w:val="ru-RU"/>
        </w:rPr>
      </w:pPr>
      <w:r w:rsidRPr="0044524F">
        <w:rPr>
          <w:color w:val="000000" w:themeColor="text1"/>
          <w:lang w:val="ru-RU"/>
        </w:rPr>
        <w:t>Однажды на режиме максимальной скорости произошла авария. Когда все пилоты дали полный газ, на среднем И-5 оторвался кок винта. Он отлетел, про</w:t>
      </w:r>
      <w:r w:rsidRPr="0044524F">
        <w:rPr>
          <w:color w:val="000000" w:themeColor="text1"/>
          <w:lang w:val="ru-RU"/>
        </w:rPr>
        <w:softHyphen/>
        <w:t>бив большую дыру в крыле у фюзеляжа. Чтобы не прерывать замер, Вахмистров заткнул пробоину собственной спиной. Командиру самолета П.М. Стефановскому удалось успешно приземлиться.</w:t>
      </w:r>
    </w:p>
    <w:p w14:paraId="6B7F7B32" w14:textId="77777777" w:rsidR="00035895" w:rsidRPr="0044524F" w:rsidRDefault="00035895" w:rsidP="009654CF">
      <w:pPr>
        <w:pStyle w:val="a3"/>
        <w:rPr>
          <w:color w:val="000000" w:themeColor="text1"/>
          <w:lang w:val="ru-RU"/>
        </w:rPr>
      </w:pPr>
      <w:r w:rsidRPr="0044524F">
        <w:rPr>
          <w:color w:val="000000" w:themeColor="text1"/>
          <w:lang w:val="ru-RU"/>
        </w:rPr>
        <w:t>Ре</w:t>
      </w:r>
      <w:r w:rsidRPr="0044524F">
        <w:rPr>
          <w:color w:val="000000" w:themeColor="text1"/>
          <w:lang w:val="ru-RU"/>
        </w:rPr>
        <w:softHyphen/>
        <w:t>зультаты их признали успешными. Управ</w:t>
      </w:r>
      <w:r w:rsidRPr="0044524F">
        <w:rPr>
          <w:color w:val="000000" w:themeColor="text1"/>
          <w:lang w:val="ru-RU"/>
        </w:rPr>
        <w:softHyphen/>
        <w:t>ление ВВС в конце 1933 г. стало планиро</w:t>
      </w:r>
      <w:r w:rsidRPr="0044524F">
        <w:rPr>
          <w:color w:val="000000" w:themeColor="text1"/>
          <w:lang w:val="ru-RU"/>
        </w:rPr>
        <w:softHyphen/>
        <w:t>вать размещение подобных «звеньев» на Дальнем Востоке. Две эскадрильи хотели дислоцировать в Воздвиженке, одну - в Хабаровске и одну под Читой. «Зве</w:t>
      </w:r>
      <w:r w:rsidRPr="0044524F">
        <w:rPr>
          <w:color w:val="000000" w:themeColor="text1"/>
          <w:lang w:val="ru-RU"/>
        </w:rPr>
        <w:softHyphen/>
        <w:t>нья» должны были прикрывать соеди</w:t>
      </w:r>
      <w:r w:rsidRPr="0044524F">
        <w:rPr>
          <w:color w:val="000000" w:themeColor="text1"/>
          <w:lang w:val="ru-RU"/>
        </w:rPr>
        <w:softHyphen/>
        <w:t>нения тяжелых бомбардировщиков при ударах по целям в Маньчжурии и Корее. Но вскоре взгляды изменились - И-5 устаревал, ему на смену шли новые типы истребителей.</w:t>
      </w:r>
    </w:p>
    <w:p w14:paraId="14A62AD2" w14:textId="77777777" w:rsidR="00035895" w:rsidRPr="0044524F" w:rsidRDefault="000358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Вахмистров учел это в последую</w:t>
      </w:r>
      <w:r w:rsidRPr="0044524F">
        <w:rPr>
          <w:rFonts w:ascii="Times New Roman" w:hAnsi="Times New Roman"/>
          <w:color w:val="000000" w:themeColor="text1"/>
          <w:sz w:val="16"/>
          <w:szCs w:val="16"/>
        </w:rPr>
        <w:softHyphen/>
        <w:t>щих проектах. Они выполнялись уже в конструкторском бюро завода №22 в Филях, куда его перевели.</w:t>
      </w:r>
    </w:p>
    <w:p w14:paraId="45C5854B" w14:textId="77777777" w:rsidR="00035895" w:rsidRPr="0044524F" w:rsidRDefault="000358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«Звене-З» он использовал два уже упоминавшихся выше моноплана И-Зет (И-</w:t>
      </w:r>
      <w:r w:rsidRPr="0044524F">
        <w:rPr>
          <w:rFonts w:ascii="Times New Roman" w:hAnsi="Times New Roman"/>
          <w:color w:val="000000" w:themeColor="text1"/>
          <w:sz w:val="16"/>
          <w:szCs w:val="16"/>
          <w:lang w:val="en-US"/>
        </w:rPr>
        <w:t>Z</w:t>
      </w:r>
      <w:r w:rsidRPr="0044524F">
        <w:rPr>
          <w:rFonts w:ascii="Times New Roman" w:hAnsi="Times New Roman"/>
          <w:color w:val="000000" w:themeColor="text1"/>
          <w:sz w:val="16"/>
          <w:szCs w:val="16"/>
        </w:rPr>
        <w:t>) конструкции Д.П. Григоровича. Эта цельнометалличе</w:t>
      </w:r>
      <w:r w:rsidRPr="0044524F">
        <w:rPr>
          <w:rFonts w:ascii="Times New Roman" w:hAnsi="Times New Roman"/>
          <w:color w:val="000000" w:themeColor="text1"/>
          <w:sz w:val="16"/>
          <w:szCs w:val="16"/>
        </w:rPr>
        <w:softHyphen/>
        <w:t>ская машина вооружалась двумя 76-мм динамореактивными (безоткатными) пушпуш</w:t>
      </w:r>
      <w:r w:rsidRPr="0044524F">
        <w:rPr>
          <w:rFonts w:ascii="Times New Roman" w:hAnsi="Times New Roman"/>
          <w:color w:val="000000" w:themeColor="text1"/>
          <w:sz w:val="16"/>
          <w:szCs w:val="16"/>
        </w:rPr>
        <w:softHyphen/>
        <w:t>ками. Подвеску таких самолетов под кры</w:t>
      </w:r>
      <w:r w:rsidRPr="0044524F">
        <w:rPr>
          <w:rFonts w:ascii="Times New Roman" w:hAnsi="Times New Roman"/>
          <w:color w:val="000000" w:themeColor="text1"/>
          <w:sz w:val="16"/>
          <w:szCs w:val="16"/>
        </w:rPr>
        <w:softHyphen/>
        <w:t>лом ТБ-3 конструктор уже прорабатывал в ходе создания «Звена-2». Такой подход значительно упрощал размещение ис</w:t>
      </w:r>
      <w:r w:rsidRPr="0044524F">
        <w:rPr>
          <w:rFonts w:ascii="Times New Roman" w:hAnsi="Times New Roman"/>
          <w:color w:val="000000" w:themeColor="text1"/>
          <w:sz w:val="16"/>
          <w:szCs w:val="16"/>
        </w:rPr>
        <w:softHyphen/>
        <w:t>требителей. Не требовались громоздкие деревянные мостки, не нужен был целый</w:t>
      </w:r>
    </w:p>
    <w:p w14:paraId="45976144" w14:textId="77777777" w:rsidR="00035895" w:rsidRPr="0044524F" w:rsidRDefault="00035895" w:rsidP="009654CF">
      <w:pPr>
        <w:pStyle w:val="a3"/>
        <w:rPr>
          <w:color w:val="000000" w:themeColor="text1"/>
          <w:lang w:val="ru-RU"/>
        </w:rPr>
      </w:pPr>
      <w:r w:rsidRPr="0044524F">
        <w:rPr>
          <w:rStyle w:val="ArialNarrow10"/>
          <w:rFonts w:ascii="Times New Roman" w:hAnsi="Times New Roman" w:cs="Times New Roman"/>
          <w:b w:val="0"/>
          <w:color w:val="000000" w:themeColor="text1"/>
          <w:sz w:val="16"/>
          <w:szCs w:val="16"/>
          <w:lang w:val="ru-RU"/>
        </w:rPr>
        <w:t>Первый</w:t>
      </w:r>
      <w:r w:rsidRPr="0044524F">
        <w:rPr>
          <w:color w:val="000000" w:themeColor="text1"/>
          <w:lang w:val="ru-RU"/>
        </w:rPr>
        <w:t xml:space="preserve"> же полет «Звена-З» закончил</w:t>
      </w:r>
      <w:r w:rsidRPr="0044524F">
        <w:rPr>
          <w:color w:val="000000" w:themeColor="text1"/>
          <w:lang w:val="ru-RU"/>
        </w:rPr>
        <w:softHyphen/>
      </w:r>
      <w:r w:rsidRPr="0044524F">
        <w:rPr>
          <w:rStyle w:val="910"/>
          <w:rFonts w:ascii="Times New Roman" w:hAnsi="Times New Roman" w:cs="Times New Roman"/>
          <w:b w:val="0"/>
          <w:color w:val="000000" w:themeColor="text1"/>
          <w:spacing w:val="0"/>
          <w:sz w:val="16"/>
          <w:szCs w:val="16"/>
          <w:lang w:val="ru-RU"/>
        </w:rPr>
        <w:t>ся</w:t>
      </w:r>
      <w:r w:rsidRPr="0044524F">
        <w:rPr>
          <w:rStyle w:val="ArialNarrow10"/>
          <w:rFonts w:ascii="Times New Roman" w:hAnsi="Times New Roman" w:cs="Times New Roman"/>
          <w:b w:val="0"/>
          <w:color w:val="000000" w:themeColor="text1"/>
          <w:sz w:val="16"/>
          <w:szCs w:val="16"/>
          <w:lang w:val="ru-RU"/>
        </w:rPr>
        <w:t xml:space="preserve"> катастрофой.</w:t>
      </w:r>
      <w:r w:rsidRPr="0044524F">
        <w:rPr>
          <w:color w:val="000000" w:themeColor="text1"/>
          <w:lang w:val="ru-RU"/>
        </w:rPr>
        <w:t xml:space="preserve"> Командиром носителя </w:t>
      </w:r>
      <w:r w:rsidRPr="0044524F">
        <w:rPr>
          <w:rStyle w:val="910"/>
          <w:rFonts w:ascii="Times New Roman" w:hAnsi="Times New Roman" w:cs="Times New Roman"/>
          <w:b w:val="0"/>
          <w:color w:val="000000" w:themeColor="text1"/>
          <w:spacing w:val="0"/>
          <w:sz w:val="16"/>
          <w:szCs w:val="16"/>
          <w:lang w:val="ru-RU"/>
        </w:rPr>
        <w:t>являлся</w:t>
      </w:r>
      <w:r w:rsidRPr="0044524F">
        <w:rPr>
          <w:rStyle w:val="ArialNarrow10"/>
          <w:rFonts w:ascii="Times New Roman" w:hAnsi="Times New Roman" w:cs="Times New Roman"/>
          <w:b w:val="0"/>
          <w:color w:val="000000" w:themeColor="text1"/>
          <w:sz w:val="16"/>
          <w:szCs w:val="16"/>
          <w:lang w:val="ru-RU"/>
        </w:rPr>
        <w:t xml:space="preserve"> П.М.</w:t>
      </w:r>
      <w:r w:rsidRPr="0044524F">
        <w:rPr>
          <w:color w:val="000000" w:themeColor="text1"/>
          <w:lang w:val="ru-RU"/>
        </w:rPr>
        <w:t xml:space="preserve"> Стефановский, на истреби</w:t>
      </w:r>
      <w:r w:rsidRPr="0044524F">
        <w:rPr>
          <w:color w:val="000000" w:themeColor="text1"/>
          <w:lang w:val="ru-RU"/>
        </w:rPr>
        <w:softHyphen/>
      </w:r>
      <w:r w:rsidRPr="0044524F">
        <w:rPr>
          <w:rStyle w:val="910"/>
          <w:rFonts w:ascii="Times New Roman" w:hAnsi="Times New Roman" w:cs="Times New Roman"/>
          <w:b w:val="0"/>
          <w:color w:val="000000" w:themeColor="text1"/>
          <w:spacing w:val="0"/>
          <w:sz w:val="16"/>
          <w:szCs w:val="16"/>
          <w:lang w:val="ru-RU"/>
        </w:rPr>
        <w:t>телях</w:t>
      </w:r>
      <w:r w:rsidRPr="0044524F">
        <w:rPr>
          <w:rStyle w:val="ArialNarrow10"/>
          <w:rFonts w:ascii="Times New Roman" w:hAnsi="Times New Roman" w:cs="Times New Roman"/>
          <w:b w:val="0"/>
          <w:color w:val="000000" w:themeColor="text1"/>
          <w:sz w:val="16"/>
          <w:szCs w:val="16"/>
          <w:lang w:val="ru-RU"/>
        </w:rPr>
        <w:t xml:space="preserve"> летели И.Ф.</w:t>
      </w:r>
      <w:r w:rsidRPr="0044524F">
        <w:rPr>
          <w:color w:val="000000" w:themeColor="text1"/>
          <w:lang w:val="ru-RU"/>
        </w:rPr>
        <w:t xml:space="preserve"> Гродзь и А.В. Короткое. </w:t>
      </w:r>
      <w:r w:rsidRPr="0044524F">
        <w:rPr>
          <w:rStyle w:val="ArialNarrow10"/>
          <w:rFonts w:ascii="Times New Roman" w:hAnsi="Times New Roman" w:cs="Times New Roman"/>
          <w:b w:val="0"/>
          <w:color w:val="000000" w:themeColor="text1"/>
          <w:sz w:val="16"/>
          <w:szCs w:val="16"/>
          <w:lang w:val="ru-RU"/>
        </w:rPr>
        <w:t>Короткое ошибся</w:t>
      </w:r>
      <w:r w:rsidRPr="0044524F">
        <w:rPr>
          <w:color w:val="000000" w:themeColor="text1"/>
          <w:lang w:val="ru-RU"/>
        </w:rPr>
        <w:t xml:space="preserve"> дважды. Еще на взлете </w:t>
      </w:r>
      <w:r w:rsidRPr="0044524F">
        <w:rPr>
          <w:rStyle w:val="910"/>
          <w:rFonts w:ascii="Times New Roman" w:hAnsi="Times New Roman" w:cs="Times New Roman"/>
          <w:b w:val="0"/>
          <w:color w:val="000000" w:themeColor="text1"/>
          <w:spacing w:val="0"/>
          <w:sz w:val="16"/>
          <w:szCs w:val="16"/>
          <w:lang w:val="ru-RU"/>
        </w:rPr>
        <w:t>он</w:t>
      </w:r>
      <w:r w:rsidRPr="0044524F">
        <w:rPr>
          <w:rStyle w:val="ArialNarrow10"/>
          <w:rFonts w:ascii="Times New Roman" w:hAnsi="Times New Roman" w:cs="Times New Roman"/>
          <w:b w:val="0"/>
          <w:color w:val="000000" w:themeColor="text1"/>
          <w:sz w:val="16"/>
          <w:szCs w:val="16"/>
          <w:lang w:val="ru-RU"/>
        </w:rPr>
        <w:t xml:space="preserve"> неправильно</w:t>
      </w:r>
      <w:r w:rsidRPr="0044524F">
        <w:rPr>
          <w:color w:val="000000" w:themeColor="text1"/>
          <w:lang w:val="ru-RU"/>
        </w:rPr>
        <w:t xml:space="preserve"> выставил руль высо ты, и его машину подбросило к нижней поверхности крыла ТБ-3. Набрав высоту 2000 м, Стефановский поднял нос бом</w:t>
      </w:r>
      <w:r w:rsidRPr="0044524F">
        <w:rPr>
          <w:color w:val="000000" w:themeColor="text1"/>
          <w:lang w:val="ru-RU"/>
        </w:rPr>
        <w:softHyphen/>
        <w:t>бардировщика и смог как бы стряхнуть истребитель вниз. Но «зет» вдруг опять с треском врезался в крыло. Как потом оказалось, из-за новой ошибки Коротко- ва, слишком рано взявшего ручку управ</w:t>
      </w:r>
      <w:r w:rsidRPr="0044524F">
        <w:rPr>
          <w:color w:val="000000" w:themeColor="text1"/>
          <w:lang w:val="ru-RU"/>
        </w:rPr>
        <w:softHyphen/>
        <w:t>ления на себя, сломались крепления и истребитель ударил винтом в плоскость носителя. Винт разрушился, а отцепить «зет» от ТБ-3 стало невозможно.</w:t>
      </w:r>
    </w:p>
    <w:p w14:paraId="5B7B516E" w14:textId="77777777" w:rsidR="00035895" w:rsidRPr="0044524F" w:rsidRDefault="00035895" w:rsidP="009654CF">
      <w:pPr>
        <w:pStyle w:val="a3"/>
        <w:rPr>
          <w:color w:val="000000" w:themeColor="text1"/>
          <w:lang w:val="ru-RU"/>
        </w:rPr>
      </w:pPr>
      <w:r w:rsidRPr="0044524F">
        <w:rPr>
          <w:color w:val="000000" w:themeColor="text1"/>
          <w:lang w:val="ru-RU"/>
        </w:rPr>
        <w:t>С самолета сопровождения Р-5 Короткову жестами предложили выпрыгнуть на парашюте, но летчик остался в кабине. Стефановский повел «звено» на посадку. Но на выравнивании И-Зет оторвался и, перевернувшись, упал. Коротков погиб, более никто не пострадал. Но «Звено-З» сочли вариантом неудачным.</w:t>
      </w:r>
    </w:p>
    <w:p w14:paraId="24EFE019" w14:textId="77777777" w:rsidR="00035895" w:rsidRPr="0044524F" w:rsidRDefault="00035895" w:rsidP="009654CF">
      <w:pPr>
        <w:pStyle w:val="a3"/>
        <w:rPr>
          <w:color w:val="000000" w:themeColor="text1"/>
          <w:lang w:val="ru-RU"/>
        </w:rPr>
      </w:pPr>
      <w:r w:rsidRPr="0044524F">
        <w:rPr>
          <w:color w:val="000000" w:themeColor="text1"/>
          <w:lang w:val="ru-RU"/>
        </w:rPr>
        <w:t>Что скрывалось под обозначением «Звено-4», выяснить не удалось. Возмож</w:t>
      </w:r>
      <w:r w:rsidRPr="0044524F">
        <w:rPr>
          <w:color w:val="000000" w:themeColor="text1"/>
          <w:lang w:val="ru-RU"/>
        </w:rPr>
        <w:softHyphen/>
        <w:t>но, это упоминавшийся вариант с дву</w:t>
      </w:r>
      <w:r w:rsidRPr="0044524F">
        <w:rPr>
          <w:color w:val="000000" w:themeColor="text1"/>
          <w:lang w:val="ru-RU"/>
        </w:rPr>
        <w:softHyphen/>
        <w:t>мя И-5 сверху и двумя «зетами» снизу. По другой версии, «Звеном-4» являлся первый проектный вариант описанно</w:t>
      </w:r>
      <w:r w:rsidRPr="0044524F">
        <w:rPr>
          <w:color w:val="000000" w:themeColor="text1"/>
          <w:lang w:val="ru-RU"/>
        </w:rPr>
        <w:softHyphen/>
        <w:t xml:space="preserve">го далее проекта «Тягач». </w:t>
      </w:r>
    </w:p>
    <w:p w14:paraId="2174F195" w14:textId="77777777" w:rsidR="00035895" w:rsidRPr="0044524F" w:rsidRDefault="00035895" w:rsidP="009654CF">
      <w:pPr>
        <w:pStyle w:val="a3"/>
        <w:rPr>
          <w:color w:val="000000" w:themeColor="text1"/>
          <w:lang w:val="ru-RU"/>
        </w:rPr>
      </w:pPr>
      <w:r w:rsidRPr="0044524F">
        <w:rPr>
          <w:color w:val="000000" w:themeColor="text1"/>
          <w:lang w:val="ru-RU"/>
        </w:rPr>
        <w:t>А вот «Звено-5» - это подвеска одного И-Зет под фюзеляжем ТБ-3 с возможностью под</w:t>
      </w:r>
      <w:r w:rsidRPr="0044524F">
        <w:rPr>
          <w:color w:val="000000" w:themeColor="text1"/>
          <w:lang w:val="ru-RU"/>
        </w:rPr>
        <w:softHyphen/>
        <w:t>цепки и отцепки в воздухе. На этот раз взяли бомбардировщик более поздней модификации с моторами М-34Р (в более ранних вариантах «Звена» использовали машину ранней серии с двигателями М-17). Этот самолет отличался большей грузоподъемностью и улучшенными летными данными. Между пирамидами шасси смонтировали ферму-трапецию, которая с помощью лебедки с редукто</w:t>
      </w:r>
      <w:r w:rsidRPr="0044524F">
        <w:rPr>
          <w:color w:val="000000" w:themeColor="text1"/>
          <w:lang w:val="ru-RU"/>
        </w:rPr>
        <w:softHyphen/>
        <w:t>ром могла опускаться вниз и поднимать</w:t>
      </w:r>
      <w:r w:rsidRPr="0044524F">
        <w:rPr>
          <w:color w:val="000000" w:themeColor="text1"/>
          <w:lang w:val="ru-RU"/>
        </w:rPr>
        <w:softHyphen/>
        <w:t>ся. В полностью опущенном положении перекладина находилась ниже колесных тележек. Чтобы погасить рывок при при</w:t>
      </w:r>
      <w:r w:rsidRPr="0044524F">
        <w:rPr>
          <w:color w:val="000000" w:themeColor="text1"/>
          <w:lang w:val="ru-RU"/>
        </w:rPr>
        <w:softHyphen/>
        <w:t>чаливании, стойки трапеции снабдили гидропневматическими амортизаторами по образцу истребителя И-16. Для экс</w:t>
      </w:r>
      <w:r w:rsidRPr="0044524F">
        <w:rPr>
          <w:color w:val="000000" w:themeColor="text1"/>
          <w:lang w:val="ru-RU"/>
        </w:rPr>
        <w:softHyphen/>
        <w:t>перимента переоборудовали один И-Зет, на котором над кабиной поставили высо</w:t>
      </w:r>
      <w:r w:rsidRPr="0044524F">
        <w:rPr>
          <w:color w:val="000000" w:themeColor="text1"/>
          <w:lang w:val="ru-RU"/>
        </w:rPr>
        <w:softHyphen/>
        <w:t>кую треногу с крюком на конце. На крю</w:t>
      </w:r>
      <w:r w:rsidRPr="0044524F">
        <w:rPr>
          <w:color w:val="000000" w:themeColor="text1"/>
          <w:lang w:val="ru-RU"/>
        </w:rPr>
        <w:softHyphen/>
        <w:t>ке находился замок от бомбодержателя, управляемый летчиком. Вообще вся схе</w:t>
      </w:r>
      <w:r w:rsidRPr="0044524F">
        <w:rPr>
          <w:color w:val="000000" w:themeColor="text1"/>
          <w:lang w:val="ru-RU"/>
        </w:rPr>
        <w:softHyphen/>
        <w:t>ма сильно напоминала применявшуюся американцами на их дирижаблях-авиа</w:t>
      </w:r>
      <w:r w:rsidRPr="0044524F">
        <w:rPr>
          <w:color w:val="000000" w:themeColor="text1"/>
          <w:lang w:val="ru-RU"/>
        </w:rPr>
        <w:softHyphen/>
        <w:t>носцах «Акрон» и «Мекон», только там на борт принимали бипланы.</w:t>
      </w:r>
    </w:p>
    <w:p w14:paraId="1E649415" w14:textId="77777777" w:rsidR="00035895" w:rsidRPr="0044524F" w:rsidRDefault="00035895" w:rsidP="009654CF">
      <w:pPr>
        <w:pStyle w:val="a3"/>
        <w:rPr>
          <w:color w:val="000000" w:themeColor="text1"/>
          <w:lang w:val="ru-RU"/>
        </w:rPr>
      </w:pPr>
      <w:r w:rsidRPr="0044524F">
        <w:rPr>
          <w:color w:val="000000" w:themeColor="text1"/>
          <w:lang w:val="ru-RU"/>
        </w:rPr>
        <w:t>Начали с причаливания к трапеции. ТБ-3, который пилотировал Стефанов</w:t>
      </w:r>
      <w:r w:rsidRPr="0044524F">
        <w:rPr>
          <w:color w:val="000000" w:themeColor="text1"/>
          <w:lang w:val="ru-RU"/>
        </w:rPr>
        <w:softHyphen/>
        <w:t>ский, взлетал один и в воздухе опускал ферму. На стойки надставили деревян</w:t>
      </w:r>
      <w:r w:rsidRPr="0044524F">
        <w:rPr>
          <w:color w:val="000000" w:themeColor="text1"/>
          <w:lang w:val="ru-RU"/>
        </w:rPr>
        <w:softHyphen/>
        <w:t>ные рейки, между которыми натянули цветные перкалевые ленты. В.А. Степанченок старался захватить их крюком. Носитель при этом должен был идеально идти по прямой. Лишь после упорных тренировок решили попробовать захватить трубу. В апреле 1934 г. Степанченку впервые удалось под</w:t>
      </w:r>
      <w:r w:rsidRPr="0044524F">
        <w:rPr>
          <w:color w:val="000000" w:themeColor="text1"/>
          <w:lang w:val="ru-RU"/>
        </w:rPr>
        <w:softHyphen/>
        <w:t>цепиться к носителю. Вместе с трапецией истребитель подтянули вверх так, что его плоскости прижались к колесам бомбар</w:t>
      </w:r>
      <w:r w:rsidRPr="0044524F">
        <w:rPr>
          <w:color w:val="000000" w:themeColor="text1"/>
          <w:lang w:val="ru-RU"/>
        </w:rPr>
        <w:softHyphen/>
        <w:t>дировщика. Затем все проделали в обрат</w:t>
      </w:r>
      <w:r w:rsidRPr="0044524F">
        <w:rPr>
          <w:color w:val="000000" w:themeColor="text1"/>
          <w:lang w:val="ru-RU"/>
        </w:rPr>
        <w:softHyphen/>
        <w:t>ном порядке, выпустив «зет» обратно в свободный полет.</w:t>
      </w:r>
    </w:p>
    <w:p w14:paraId="1391B0E4" w14:textId="77777777" w:rsidR="00035895" w:rsidRPr="0044524F" w:rsidRDefault="00035895" w:rsidP="009654CF">
      <w:pPr>
        <w:pStyle w:val="a3"/>
        <w:rPr>
          <w:color w:val="000000" w:themeColor="text1"/>
          <w:lang w:val="ru-RU"/>
        </w:rPr>
      </w:pPr>
      <w:r w:rsidRPr="0044524F">
        <w:rPr>
          <w:color w:val="000000" w:themeColor="text1"/>
          <w:lang w:val="ru-RU"/>
        </w:rPr>
        <w:t>Эти эксперименты «цирка Вахмистро- ва» являлись подготовительной стадией к созданию «авиаматки ПВО» - мобильной базы истребителей-перехватчиков. Она должна была по командам с земли вый</w:t>
      </w:r>
      <w:r w:rsidRPr="0044524F">
        <w:rPr>
          <w:color w:val="000000" w:themeColor="text1"/>
          <w:lang w:val="ru-RU"/>
        </w:rPr>
        <w:softHyphen/>
        <w:t>ти в заданный район и выпустить истре</w:t>
      </w:r>
      <w:r w:rsidRPr="0044524F">
        <w:rPr>
          <w:color w:val="000000" w:themeColor="text1"/>
          <w:lang w:val="ru-RU"/>
        </w:rPr>
        <w:softHyphen/>
        <w:t>бители. После выполнения задания они возвращались и подцеплялись к носите</w:t>
      </w:r>
      <w:r w:rsidRPr="0044524F">
        <w:rPr>
          <w:color w:val="000000" w:themeColor="text1"/>
          <w:lang w:val="ru-RU"/>
        </w:rPr>
        <w:softHyphen/>
        <w:t>лю для дозаправки. «Авиаматка» могла дозаправлять и машины, поднявшиеся с земли, если их оборудовали необходи</w:t>
      </w:r>
      <w:r w:rsidRPr="0044524F">
        <w:rPr>
          <w:color w:val="000000" w:themeColor="text1"/>
          <w:lang w:val="ru-RU"/>
        </w:rPr>
        <w:softHyphen/>
        <w:t>мым образом. В перспективе Вахмистров рассчитывал дать летчикам возможность перейти в бомбардировщик для отдыха.</w:t>
      </w:r>
    </w:p>
    <w:p w14:paraId="573BC456" w14:textId="77777777" w:rsidR="00035895" w:rsidRPr="0044524F" w:rsidRDefault="00035895" w:rsidP="009654CF">
      <w:pPr>
        <w:pStyle w:val="a3"/>
        <w:rPr>
          <w:color w:val="000000" w:themeColor="text1"/>
          <w:lang w:val="ru-RU"/>
        </w:rPr>
      </w:pPr>
      <w:r w:rsidRPr="0044524F">
        <w:rPr>
          <w:color w:val="000000" w:themeColor="text1"/>
          <w:lang w:val="ru-RU"/>
        </w:rPr>
        <w:t>В следующем проекте, названном «Звено-6», конструктор учел ошибки и ввел новые пирамиды подкрыльной под</w:t>
      </w:r>
      <w:r w:rsidRPr="0044524F">
        <w:rPr>
          <w:color w:val="000000" w:themeColor="text1"/>
          <w:lang w:val="ru-RU"/>
        </w:rPr>
        <w:softHyphen/>
        <w:t>вески, спроектированные В.И. Синель- щиковым. На этот раз подвешивались два новых истребителя-моноплана И-16 с убирающимся шасси. Правда, Вах- мистрову выделили машины раннего типа с моторами М-22. Возможность поднять колеса намного облегчила подвеску ис</w:t>
      </w:r>
      <w:r w:rsidRPr="0044524F">
        <w:rPr>
          <w:color w:val="000000" w:themeColor="text1"/>
          <w:lang w:val="ru-RU"/>
        </w:rPr>
        <w:softHyphen/>
        <w:t>требителей. Их просто подкатывали под крыло, закрепляли и убирали шасси. Пи</w:t>
      </w:r>
      <w:r w:rsidRPr="0044524F">
        <w:rPr>
          <w:color w:val="000000" w:themeColor="text1"/>
          <w:lang w:val="ru-RU"/>
        </w:rPr>
        <w:softHyphen/>
        <w:t>тание моторов истребителей горючим до момента отцепки осуществлялось из ба</w:t>
      </w:r>
      <w:r w:rsidRPr="0044524F">
        <w:rPr>
          <w:color w:val="000000" w:themeColor="text1"/>
          <w:lang w:val="ru-RU"/>
        </w:rPr>
        <w:softHyphen/>
        <w:t>ков носителя через трубу в задней отки</w:t>
      </w:r>
      <w:r w:rsidRPr="0044524F">
        <w:rPr>
          <w:color w:val="000000" w:themeColor="text1"/>
          <w:lang w:val="ru-RU"/>
        </w:rPr>
        <w:softHyphen/>
        <w:t>дывающейся стойке. Предусматривалась телефонная связь с пилотами И-16 и све</w:t>
      </w:r>
      <w:r w:rsidRPr="0044524F">
        <w:rPr>
          <w:color w:val="000000" w:themeColor="text1"/>
          <w:lang w:val="ru-RU"/>
        </w:rPr>
        <w:softHyphen/>
        <w:t>товая сигнализация лампами под крылом ТБ-3. Возвращение И-16 под носитель в данном случае не предусматривалось.</w:t>
      </w:r>
    </w:p>
    <w:p w14:paraId="2AE80936" w14:textId="77777777" w:rsidR="00035895" w:rsidRPr="0044524F" w:rsidRDefault="00035895" w:rsidP="009654CF">
      <w:pPr>
        <w:pStyle w:val="a3"/>
        <w:rPr>
          <w:color w:val="000000" w:themeColor="text1"/>
          <w:lang w:val="ru-RU"/>
        </w:rPr>
      </w:pPr>
      <w:r w:rsidRPr="0044524F">
        <w:rPr>
          <w:color w:val="000000" w:themeColor="text1"/>
          <w:lang w:val="ru-RU"/>
        </w:rPr>
        <w:t>Проектирование «Звена-6» провели в 1934 г., переоборудование самолетов завершили в августе 1935 г., тогда же они поднялись в воздух. В первом полете ко</w:t>
      </w:r>
      <w:r w:rsidRPr="0044524F">
        <w:rPr>
          <w:color w:val="000000" w:themeColor="text1"/>
          <w:lang w:val="ru-RU"/>
        </w:rPr>
        <w:softHyphen/>
        <w:t>мандиром ТБ-3 являлся П.М. Стефановский, истребители пилотировали С.П. Суп</w:t>
      </w:r>
      <w:r w:rsidRPr="0044524F">
        <w:rPr>
          <w:color w:val="000000" w:themeColor="text1"/>
          <w:lang w:val="ru-RU"/>
        </w:rPr>
        <w:softHyphen/>
        <w:t>рун и В.К. Евсеев. Испытания завершили в декабре 1935 г. Конструкцию признали весьма удачной.</w:t>
      </w:r>
    </w:p>
    <w:p w14:paraId="22B61AA9" w14:textId="77777777" w:rsidR="00035895" w:rsidRPr="0044524F" w:rsidRDefault="00035895" w:rsidP="009654CF">
      <w:pPr>
        <w:spacing w:after="0" w:line="240" w:lineRule="auto"/>
        <w:jc w:val="both"/>
        <w:rPr>
          <w:rFonts w:ascii="Times New Roman" w:hAnsi="Times New Roman"/>
          <w:color w:val="000000" w:themeColor="text1"/>
          <w:sz w:val="16"/>
          <w:szCs w:val="16"/>
        </w:rPr>
      </w:pPr>
      <w:r w:rsidRPr="0044524F">
        <w:rPr>
          <w:rStyle w:val="94"/>
          <w:rFonts w:ascii="Times New Roman" w:hAnsi="Times New Roman" w:cs="Times New Roman"/>
          <w:b w:val="0"/>
          <w:color w:val="000000" w:themeColor="text1"/>
          <w:spacing w:val="0"/>
          <w:sz w:val="16"/>
          <w:szCs w:val="16"/>
        </w:rPr>
        <w:t>«Звено</w:t>
      </w:r>
      <w:r w:rsidRPr="0044524F">
        <w:rPr>
          <w:rStyle w:val="ArialNarrow8"/>
          <w:rFonts w:ascii="Times New Roman" w:hAnsi="Times New Roman" w:cs="Times New Roman"/>
          <w:b w:val="0"/>
          <w:color w:val="000000" w:themeColor="text1"/>
          <w:sz w:val="16"/>
          <w:szCs w:val="16"/>
        </w:rPr>
        <w:t>-7»</w:t>
      </w:r>
      <w:r w:rsidRPr="0044524F">
        <w:rPr>
          <w:rFonts w:ascii="Times New Roman" w:hAnsi="Times New Roman"/>
          <w:color w:val="000000" w:themeColor="text1"/>
          <w:sz w:val="16"/>
          <w:szCs w:val="16"/>
        </w:rPr>
        <w:t xml:space="preserve"> представляло собой гибрид </w:t>
      </w:r>
      <w:r w:rsidRPr="0044524F">
        <w:rPr>
          <w:rStyle w:val="9"/>
          <w:rFonts w:ascii="Times New Roman" w:hAnsi="Times New Roman" w:cs="Times New Roman"/>
          <w:color w:val="000000" w:themeColor="text1"/>
          <w:spacing w:val="0"/>
          <w:sz w:val="16"/>
          <w:szCs w:val="16"/>
        </w:rPr>
        <w:t>всех</w:t>
      </w:r>
      <w:r w:rsidRPr="0044524F">
        <w:rPr>
          <w:rStyle w:val="94"/>
          <w:rFonts w:ascii="Times New Roman" w:hAnsi="Times New Roman" w:cs="Times New Roman"/>
          <w:b w:val="0"/>
          <w:color w:val="000000" w:themeColor="text1"/>
          <w:spacing w:val="0"/>
          <w:sz w:val="16"/>
          <w:szCs w:val="16"/>
        </w:rPr>
        <w:t xml:space="preserve"> ранее</w:t>
      </w:r>
      <w:r w:rsidRPr="0044524F">
        <w:rPr>
          <w:rFonts w:ascii="Times New Roman" w:hAnsi="Times New Roman"/>
          <w:color w:val="000000" w:themeColor="text1"/>
          <w:sz w:val="16"/>
          <w:szCs w:val="16"/>
        </w:rPr>
        <w:t xml:space="preserve"> реализованных проектов. На крыле</w:t>
      </w:r>
      <w:r w:rsidRPr="0044524F">
        <w:rPr>
          <w:rStyle w:val="ArialNarrow8"/>
          <w:rFonts w:ascii="Times New Roman" w:hAnsi="Times New Roman" w:cs="Times New Roman"/>
          <w:b w:val="0"/>
          <w:color w:val="000000" w:themeColor="text1"/>
          <w:sz w:val="16"/>
          <w:szCs w:val="16"/>
        </w:rPr>
        <w:t xml:space="preserve"> стояли</w:t>
      </w:r>
      <w:r w:rsidRPr="0044524F">
        <w:rPr>
          <w:rFonts w:ascii="Times New Roman" w:hAnsi="Times New Roman"/>
          <w:color w:val="000000" w:themeColor="text1"/>
          <w:sz w:val="16"/>
          <w:szCs w:val="16"/>
        </w:rPr>
        <w:t xml:space="preserve"> два И-5, под ним подве</w:t>
      </w:r>
      <w:r w:rsidRPr="0044524F">
        <w:rPr>
          <w:rFonts w:ascii="Times New Roman" w:hAnsi="Times New Roman"/>
          <w:color w:val="000000" w:themeColor="text1"/>
          <w:sz w:val="16"/>
          <w:szCs w:val="16"/>
        </w:rPr>
        <w:softHyphen/>
      </w:r>
      <w:r w:rsidRPr="0044524F">
        <w:rPr>
          <w:rStyle w:val="94"/>
          <w:rFonts w:ascii="Times New Roman" w:hAnsi="Times New Roman" w:cs="Times New Roman"/>
          <w:b w:val="0"/>
          <w:color w:val="000000" w:themeColor="text1"/>
          <w:spacing w:val="0"/>
          <w:sz w:val="16"/>
          <w:szCs w:val="16"/>
        </w:rPr>
        <w:t>шивалась</w:t>
      </w:r>
      <w:r w:rsidRPr="0044524F">
        <w:rPr>
          <w:rStyle w:val="ArialNarrow8"/>
          <w:rFonts w:ascii="Times New Roman" w:hAnsi="Times New Roman" w:cs="Times New Roman"/>
          <w:b w:val="0"/>
          <w:color w:val="000000" w:themeColor="text1"/>
          <w:sz w:val="16"/>
          <w:szCs w:val="16"/>
        </w:rPr>
        <w:t xml:space="preserve"> пара</w:t>
      </w:r>
      <w:r w:rsidRPr="0044524F">
        <w:rPr>
          <w:rFonts w:ascii="Times New Roman" w:hAnsi="Times New Roman"/>
          <w:color w:val="000000" w:themeColor="text1"/>
          <w:sz w:val="16"/>
          <w:szCs w:val="16"/>
        </w:rPr>
        <w:t xml:space="preserve"> И-16, а под фюзеляжем </w:t>
      </w:r>
      <w:r w:rsidRPr="0044524F">
        <w:rPr>
          <w:rStyle w:val="ArialNarrow8"/>
          <w:rFonts w:ascii="Times New Roman" w:hAnsi="Times New Roman" w:cs="Times New Roman"/>
          <w:b w:val="0"/>
          <w:color w:val="000000" w:themeColor="text1"/>
          <w:sz w:val="16"/>
          <w:szCs w:val="16"/>
        </w:rPr>
        <w:t>ионпфовалась</w:t>
      </w:r>
      <w:r w:rsidRPr="0044524F">
        <w:rPr>
          <w:rFonts w:ascii="Times New Roman" w:hAnsi="Times New Roman"/>
          <w:color w:val="000000" w:themeColor="text1"/>
          <w:sz w:val="16"/>
          <w:szCs w:val="16"/>
        </w:rPr>
        <w:t xml:space="preserve"> трапеция, на которую уже </w:t>
      </w:r>
      <w:r w:rsidRPr="0044524F">
        <w:rPr>
          <w:rStyle w:val="102"/>
          <w:rFonts w:ascii="Times New Roman" w:hAnsi="Times New Roman" w:cs="Times New Roman"/>
          <w:color w:val="000000" w:themeColor="text1"/>
          <w:spacing w:val="0"/>
          <w:sz w:val="16"/>
          <w:szCs w:val="16"/>
        </w:rPr>
        <w:t>в</w:t>
      </w:r>
      <w:r w:rsidRPr="0044524F">
        <w:rPr>
          <w:rStyle w:val="ArialNarrow8"/>
          <w:rFonts w:ascii="Times New Roman" w:hAnsi="Times New Roman" w:cs="Times New Roman"/>
          <w:b w:val="0"/>
          <w:color w:val="000000" w:themeColor="text1"/>
          <w:sz w:val="16"/>
          <w:szCs w:val="16"/>
        </w:rPr>
        <w:t xml:space="preserve"> воздухе</w:t>
      </w:r>
      <w:r w:rsidRPr="0044524F">
        <w:rPr>
          <w:rFonts w:ascii="Times New Roman" w:hAnsi="Times New Roman"/>
          <w:color w:val="000000" w:themeColor="text1"/>
          <w:sz w:val="16"/>
          <w:szCs w:val="16"/>
        </w:rPr>
        <w:t xml:space="preserve"> подцеплялся И-Зет.</w:t>
      </w:r>
    </w:p>
    <w:p w14:paraId="3F298828" w14:textId="77777777" w:rsidR="00035895" w:rsidRPr="0044524F" w:rsidRDefault="000358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(17741).</w:t>
      </w:r>
    </w:p>
    <w:p w14:paraId="37593A4D" w14:textId="77777777" w:rsidR="00035895" w:rsidRPr="0044524F" w:rsidRDefault="00035895" w:rsidP="009654CF">
      <w:pPr>
        <w:spacing w:after="0" w:line="240" w:lineRule="auto"/>
        <w:jc w:val="both"/>
        <w:rPr>
          <w:rFonts w:ascii="Times New Roman" w:eastAsia="Times New Roman" w:hAnsi="Times New Roman"/>
          <w:color w:val="000000" w:themeColor="text1"/>
          <w:sz w:val="16"/>
          <w:szCs w:val="16"/>
          <w:lang w:eastAsia="ru-RU"/>
        </w:rPr>
      </w:pPr>
    </w:p>
    <w:p w14:paraId="7D664911" w14:textId="77777777" w:rsidR="008C761D" w:rsidRPr="0044524F" w:rsidRDefault="008C76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w:t>
      </w:r>
      <w:r w:rsidRPr="0044524F">
        <w:rPr>
          <w:rFonts w:ascii="Times New Roman" w:hAnsi="Times New Roman"/>
          <w:color w:val="000000" w:themeColor="text1"/>
          <w:sz w:val="16"/>
          <w:szCs w:val="16"/>
        </w:rPr>
        <w:softHyphen/>
        <w:t>бря 1933 г. Начальник ВВС Яков Алкснис утвердил отчет по испытаниям З-1а с положительной оценкой и предложением по</w:t>
      </w:r>
      <w:r w:rsidRPr="0044524F">
        <w:rPr>
          <w:rFonts w:ascii="Times New Roman" w:hAnsi="Times New Roman"/>
          <w:color w:val="000000" w:themeColor="text1"/>
          <w:sz w:val="16"/>
          <w:szCs w:val="16"/>
        </w:rPr>
        <w:softHyphen/>
        <w:t>строить серию таких составных самолетов (20345).</w:t>
      </w:r>
    </w:p>
    <w:p w14:paraId="580E0144" w14:textId="77777777" w:rsidR="008C761D" w:rsidRPr="0044524F" w:rsidRDefault="008C761D" w:rsidP="009654CF">
      <w:pPr>
        <w:spacing w:after="0" w:line="240" w:lineRule="auto"/>
        <w:jc w:val="both"/>
        <w:rPr>
          <w:rFonts w:ascii="Times New Roman" w:hAnsi="Times New Roman"/>
          <w:color w:val="000000" w:themeColor="text1"/>
          <w:sz w:val="16"/>
          <w:szCs w:val="16"/>
        </w:rPr>
      </w:pPr>
    </w:p>
    <w:p w14:paraId="4305696B"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г. Начальник ВВС Яков Алкснис ут</w:t>
      </w:r>
      <w:r w:rsidRPr="0044524F">
        <w:rPr>
          <w:rFonts w:ascii="Times New Roman" w:hAnsi="Times New Roman"/>
          <w:color w:val="000000" w:themeColor="text1"/>
          <w:sz w:val="16"/>
          <w:szCs w:val="16"/>
        </w:rPr>
        <w:softHyphen/>
        <w:t>вердил отчет по войсковым испытаниям «З-1а» , составленного из ТБ-1 и двух И-5 и прошедших в сентябре 1933 с положительной оценкой и предложением постро</w:t>
      </w:r>
      <w:r w:rsidRPr="0044524F">
        <w:rPr>
          <w:rFonts w:ascii="Times New Roman" w:hAnsi="Times New Roman"/>
          <w:color w:val="000000" w:themeColor="text1"/>
          <w:sz w:val="16"/>
          <w:szCs w:val="16"/>
        </w:rPr>
        <w:softHyphen/>
        <w:t>ить серию таких составных самолетов (23378).</w:t>
      </w:r>
    </w:p>
    <w:p w14:paraId="41AA04DD" w14:textId="77777777" w:rsidR="00C12A56" w:rsidRPr="0044524F" w:rsidRDefault="00C12A56" w:rsidP="009654CF">
      <w:pPr>
        <w:spacing w:after="0" w:line="240" w:lineRule="auto"/>
        <w:jc w:val="both"/>
        <w:rPr>
          <w:rFonts w:ascii="Times New Roman" w:hAnsi="Times New Roman"/>
          <w:color w:val="000000" w:themeColor="text1"/>
          <w:sz w:val="16"/>
          <w:szCs w:val="16"/>
        </w:rPr>
      </w:pPr>
    </w:p>
    <w:p w14:paraId="751E78A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года Начальник Штаба ВВС Хрипин утвердил протокол Тактико-технического совещания НИИ ВВС (Журнал № 8) от 21 сентября 1933 года (6788).</w:t>
      </w:r>
    </w:p>
    <w:p w14:paraId="2D07B95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разбиравшихся вопросов</w:t>
      </w:r>
    </w:p>
    <w:p w14:paraId="1C5D5509"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Эскизный проект Х1. Докладчик Гребенев.</w:t>
      </w:r>
    </w:p>
    <w:p w14:paraId="4393F05E"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Эскизный проект ДИ6 (6788).</w:t>
      </w:r>
    </w:p>
    <w:p w14:paraId="1D792589"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BA1B50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года Начальник Штаба ВВС Хрипин утвердил протокол Тактико-технического совещания НИИ ВВС (Журнал № 9) от 28 сентября 1933 года (6788).</w:t>
      </w:r>
    </w:p>
    <w:p w14:paraId="15AA0F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разбиравшихся вопросов</w:t>
      </w:r>
    </w:p>
    <w:p w14:paraId="381EB28C"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Эскизный проект боевого самолета особого назначения конструкции Заславского. Докладчик Гребенев.</w:t>
      </w:r>
    </w:p>
    <w:p w14:paraId="0CB4788F"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Рассмотрение боевой схемы самолета И16. Докладчик Жемчужин (6788).</w:t>
      </w:r>
    </w:p>
    <w:p w14:paraId="0281B54F"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15436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 А.С.Я. как начальника конструкторской группы пытались выжить с завода Менжинского - N 142 НКТП СССР в течение недели - пом. директора - Александров (74,66). Помог Ф.Ф.Башин - секретарь парторганизации. Посоветовал писать в ЦКК Я.Э.Рудзутаку. Демонстрировал и катал его на красном моноплане вместе с Ю.И.Пионтковским (74,69). На конях в Николину гору прискакали К.Е.Ворошилов и А.И.Микоян (74,70). М.М.Каганович дал кроватную мастерскую на Ленинградском ш. (там, где сейчас КБ) (74,70). Обращался все время в Правду, боролся. От главка был - А.М.Беленкович, зам. нач. (74,72).</w:t>
      </w:r>
    </w:p>
    <w:p w14:paraId="5BC6DC7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Опять какое-то новое обозначение в дополнение к 39 и п/я 411</w:t>
      </w:r>
    </w:p>
    <w:p w14:paraId="7704DE9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0DBBEB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года начались гос. испытания мотора М-34 с электронным картером. Электронный картер дает облегчение мотора на 35 кг. Общий вес мотора вместо 600 кг был 565 кг (3516).</w:t>
      </w:r>
    </w:p>
    <w:p w14:paraId="592F479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5D5B3FC" w14:textId="220490D8"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г. Тухачевский встретился с Нарко</w:t>
      </w:r>
      <w:r w:rsidRPr="0044524F">
        <w:rPr>
          <w:rFonts w:ascii="Times New Roman" w:hAnsi="Times New Roman"/>
          <w:color w:val="000000" w:themeColor="text1"/>
          <w:sz w:val="16"/>
          <w:szCs w:val="16"/>
        </w:rPr>
        <w:softHyphen/>
        <w:t>мом тяжелой промышленности Орджоникидзе и уговорил его принять ракетный институт в свой наркомат. Выслушав пламенную речь военачальника, Орджоникидзе согласился, но попросил подо</w:t>
      </w:r>
      <w:r w:rsidRPr="0044524F">
        <w:rPr>
          <w:rFonts w:ascii="Times New Roman" w:hAnsi="Times New Roman"/>
          <w:color w:val="000000" w:themeColor="text1"/>
          <w:sz w:val="16"/>
          <w:szCs w:val="16"/>
        </w:rPr>
        <w:softHyphen/>
        <w:t>ждать до начала следующего года, так как в текущем денег уже не было. Тухачевский убеждал как мог и наконец убедил нарко</w:t>
      </w:r>
      <w:r w:rsidRPr="0044524F">
        <w:rPr>
          <w:rFonts w:ascii="Times New Roman" w:hAnsi="Times New Roman"/>
          <w:color w:val="000000" w:themeColor="text1"/>
          <w:sz w:val="16"/>
          <w:szCs w:val="16"/>
        </w:rPr>
        <w:softHyphen/>
        <w:t>ма приступить к решению вопроса немедленно.</w:t>
      </w:r>
    </w:p>
    <w:p w14:paraId="72667C85"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Орджоникидзе вышел с предложением в Совет Труда и Обо</w:t>
      </w:r>
      <w:r w:rsidRPr="0044524F">
        <w:rPr>
          <w:rFonts w:ascii="Times New Roman" w:hAnsi="Times New Roman"/>
          <w:color w:val="000000" w:themeColor="text1"/>
          <w:sz w:val="16"/>
          <w:szCs w:val="16"/>
        </w:rPr>
        <w:softHyphen/>
        <w:t>роны, и 31 октября 1933 года Постановлением СТО СССР Народ</w:t>
      </w:r>
      <w:r w:rsidRPr="0044524F">
        <w:rPr>
          <w:rFonts w:ascii="Times New Roman" w:hAnsi="Times New Roman"/>
          <w:color w:val="000000" w:themeColor="text1"/>
          <w:sz w:val="16"/>
          <w:szCs w:val="16"/>
        </w:rPr>
        <w:softHyphen/>
        <w:t>ному комиссариату тяжелой промышленности было разрешено включить в план 1934 года строительство Реактивного института.</w:t>
      </w:r>
    </w:p>
    <w:p w14:paraId="60C40070"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ноября 1933 года Орджоникидзе подписал приказ о соз</w:t>
      </w:r>
      <w:r w:rsidRPr="0044524F">
        <w:rPr>
          <w:rFonts w:ascii="Times New Roman" w:hAnsi="Times New Roman"/>
          <w:color w:val="000000" w:themeColor="text1"/>
          <w:sz w:val="16"/>
          <w:szCs w:val="16"/>
        </w:rPr>
        <w:softHyphen/>
        <w:t>дании РНИИ, а 9 ноября утвердил перечень должностных лиц. Не возражая Тухачевскому, которого он считал одаренным полководцем, Орджоникидзе исполняющим обязанности на</w:t>
      </w:r>
      <w:r w:rsidRPr="0044524F">
        <w:rPr>
          <w:rFonts w:ascii="Times New Roman" w:hAnsi="Times New Roman"/>
          <w:color w:val="000000" w:themeColor="text1"/>
          <w:sz w:val="16"/>
          <w:szCs w:val="16"/>
        </w:rPr>
        <w:softHyphen/>
        <w:t>чальника института назначил Клейменова, исполняющим обя</w:t>
      </w:r>
      <w:r w:rsidRPr="0044524F">
        <w:rPr>
          <w:rFonts w:ascii="Times New Roman" w:hAnsi="Times New Roman"/>
          <w:color w:val="000000" w:themeColor="text1"/>
          <w:sz w:val="16"/>
          <w:szCs w:val="16"/>
        </w:rPr>
        <w:softHyphen/>
        <w:t>занности заместителя начальника – Королева (23510).</w:t>
      </w:r>
    </w:p>
    <w:p w14:paraId="5A51A7EC" w14:textId="77777777" w:rsidR="00C12A56" w:rsidRPr="0044524F" w:rsidRDefault="00C12A56" w:rsidP="009654CF">
      <w:pPr>
        <w:spacing w:after="0" w:line="240" w:lineRule="auto"/>
        <w:jc w:val="both"/>
        <w:rPr>
          <w:rFonts w:ascii="Times New Roman" w:hAnsi="Times New Roman"/>
          <w:color w:val="000000" w:themeColor="text1"/>
          <w:sz w:val="16"/>
          <w:szCs w:val="16"/>
        </w:rPr>
      </w:pPr>
    </w:p>
    <w:p w14:paraId="05D9798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5 октября 1933 г. приступили к отстрелу РС-132 модели 1374, изго</w:t>
      </w:r>
      <w:r w:rsidRPr="0044524F">
        <w:rPr>
          <w:rFonts w:ascii="Times New Roman" w:hAnsi="Times New Roman"/>
          <w:color w:val="000000" w:themeColor="text1"/>
          <w:sz w:val="16"/>
          <w:szCs w:val="16"/>
        </w:rPr>
        <w:softHyphen/>
        <w:t>товленными тщательнее снарядов модели 561/1273. В отличие от прото</w:t>
      </w:r>
      <w:r w:rsidRPr="0044524F">
        <w:rPr>
          <w:rFonts w:ascii="Times New Roman" w:hAnsi="Times New Roman"/>
          <w:color w:val="000000" w:themeColor="text1"/>
          <w:sz w:val="16"/>
          <w:szCs w:val="16"/>
        </w:rPr>
        <w:softHyphen/>
        <w:t>типа, они были оснащены оперением из четырех крыльев размахом 300 мм. По 11 выстрелам при углах возвышения 23° средняя дальность соста</w:t>
      </w:r>
      <w:r w:rsidRPr="0044524F">
        <w:rPr>
          <w:rFonts w:ascii="Times New Roman" w:hAnsi="Times New Roman"/>
          <w:color w:val="000000" w:themeColor="text1"/>
          <w:sz w:val="16"/>
          <w:szCs w:val="16"/>
        </w:rPr>
        <w:softHyphen/>
        <w:t>вила 4129 м. Рассеивание уменьшилось на 30% и показало, что качество изготовления снарядов при повышении давления в камере двигателя оказывает влияние на меткость (11402).</w:t>
      </w:r>
    </w:p>
    <w:p w14:paraId="03178FC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F28793" w14:textId="77777777" w:rsidR="00CF276A" w:rsidRPr="0044524F" w:rsidRDefault="001A42D5"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847EF8B" w14:textId="77777777" w:rsidR="00CF276A" w:rsidRPr="0044524F" w:rsidRDefault="00CF276A"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6ABD6981" w14:textId="77777777" w:rsidR="00CF276A" w:rsidRPr="0044524F" w:rsidRDefault="00CF276A" w:rsidP="009654CF">
      <w:pPr>
        <w:pStyle w:val="rtejustify"/>
        <w:spacing w:before="0" w:after="0"/>
        <w:rPr>
          <w:color w:val="000000" w:themeColor="text1"/>
          <w:sz w:val="16"/>
          <w:szCs w:val="16"/>
        </w:rPr>
      </w:pPr>
      <w:r w:rsidRPr="0044524F">
        <w:rPr>
          <w:rStyle w:val="af0"/>
          <w:bCs/>
          <w:i w:val="0"/>
          <w:color w:val="000000" w:themeColor="text1"/>
          <w:sz w:val="16"/>
          <w:szCs w:val="16"/>
        </w:rPr>
        <w:t>5 октября 1933 вышел приказ НКТП № 168сс.</w:t>
      </w:r>
      <w:r w:rsidRPr="0044524F">
        <w:rPr>
          <w:color w:val="000000" w:themeColor="text1"/>
          <w:sz w:val="16"/>
          <w:szCs w:val="16"/>
        </w:rPr>
        <w:t xml:space="preserve"> О строительстве новых пороховых заводов. (РГАЭ. Ф. 7297. Оп. 38. Д. 38. Л. 110) (15246).</w:t>
      </w:r>
    </w:p>
    <w:p w14:paraId="7F857B09" w14:textId="77777777" w:rsidR="00CF276A" w:rsidRPr="0044524F" w:rsidRDefault="00CF276A" w:rsidP="009654CF">
      <w:pPr>
        <w:pStyle w:val="rtejustify"/>
        <w:spacing w:before="0" w:after="0"/>
        <w:rPr>
          <w:color w:val="000000" w:themeColor="text1"/>
          <w:sz w:val="16"/>
          <w:szCs w:val="16"/>
        </w:rPr>
      </w:pPr>
    </w:p>
    <w:p w14:paraId="3ECE0E2B"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20251E1"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E0BD87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за национализм уволен из харьковского театра «Березиль» украинский режиссер Л. Курбас (4962).</w:t>
      </w:r>
    </w:p>
    <w:p w14:paraId="177B274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A9E3FBB" w14:textId="77777777" w:rsidR="00CF276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3FFD594" w14:textId="77777777" w:rsidR="00CF276A" w:rsidRPr="0044524F" w:rsidRDefault="00CF276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B17725" w14:textId="77777777" w:rsidR="00CF276A" w:rsidRPr="0044524F" w:rsidRDefault="00CF27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в 1933 году в США ратифицирована XX поправка к конституции, "поправка о подбитой утке". "Хроменькой (или подбитой) уткой" (Lame duck или попросту ламер) называют в США только что избранного президента. Этим же выражением припечатывают бизнес, который никак не может "встать на ноги", подчеркивая тем самым стремление такой вот "уточки" побыстрее избавиться от присущих ей недостатков и стать полноценной. Поправка же предусматривала срок истечения полномочий покидающего свой пост президента в полдень 20 января года, следующего за годом выборов, и соответственно ту же дату вступления в должность нового президента, благодаря чему соблюдается принцип преемственности президентского поста. Устанавливает дату начала сессий Конгресса США очередного созыва - полдень 3 января, за счет чего сокращается переходный период передачи власти. Ранее переходный этап заканчивался в марте (14790).</w:t>
      </w:r>
    </w:p>
    <w:p w14:paraId="6B347AE4" w14:textId="77777777" w:rsidR="00CF276A" w:rsidRPr="0044524F" w:rsidRDefault="00CF276A" w:rsidP="009654CF">
      <w:pPr>
        <w:spacing w:after="0" w:line="240" w:lineRule="auto"/>
        <w:jc w:val="both"/>
        <w:rPr>
          <w:rFonts w:ascii="Times New Roman" w:hAnsi="Times New Roman"/>
          <w:color w:val="000000" w:themeColor="text1"/>
          <w:sz w:val="16"/>
          <w:szCs w:val="16"/>
        </w:rPr>
      </w:pPr>
    </w:p>
    <w:p w14:paraId="575B5C5C"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6F32609"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90727B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октября 1933 закончились заводские испытания ТБ-3 (АНТ-6) N 22202 с М-34Р, которые проводились с 27 сентября 1933 (1017,180). Поставили хвостовую турель (1854,9).</w:t>
      </w:r>
    </w:p>
    <w:p w14:paraId="428ABE3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FB11D8C" w14:textId="77777777" w:rsidR="00CF276A" w:rsidRPr="0044524F" w:rsidRDefault="00CF27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октября 1933 К.К. Попов приступил к официальным заводским испытаниям опытного И-14, где выяснилось, что система уборки и выпуска шасси не доведена, и поэтому снятие лётных характеристик выполнялось с выпущенным шасси. С 25 октября по 14 ноября на самолёте доработали шасси. Заводские испытания завершились 13 декабря.</w:t>
      </w:r>
    </w:p>
    <w:p w14:paraId="28C77993" w14:textId="77777777" w:rsidR="00CF276A" w:rsidRPr="0044524F" w:rsidRDefault="00CF27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Заключении Отчёта по испытаниям И-14 отмечалось: «Лётные качества самолёта И-14 — горизонтальная скорость и скороподъёмность ставят его в разряд современных скоростных истребителей ...Самолет И-14 передать на государственные испытания» (15823).</w:t>
      </w:r>
    </w:p>
    <w:p w14:paraId="078FBD98" w14:textId="77777777" w:rsidR="00CF276A" w:rsidRPr="0044524F" w:rsidRDefault="00CF276A" w:rsidP="009654CF">
      <w:pPr>
        <w:spacing w:after="0" w:line="240" w:lineRule="auto"/>
        <w:jc w:val="both"/>
        <w:rPr>
          <w:rFonts w:ascii="Times New Roman" w:hAnsi="Times New Roman"/>
          <w:color w:val="000000" w:themeColor="text1"/>
          <w:sz w:val="16"/>
          <w:szCs w:val="16"/>
        </w:rPr>
      </w:pPr>
    </w:p>
    <w:p w14:paraId="306924BF" w14:textId="77777777" w:rsidR="00354C71" w:rsidRPr="0044524F" w:rsidRDefault="00354C71"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6 октября 1933 К. К. Попов приступил к официальным заводским испытаниям опытного И-14, в процессе которых выяснилось, что система уборки и выпуска шасси не доведена и поэтому снятие летных характеристик выполнялось с выпущенным шасси. С 25 октября по 14 ноября на самолете были выполнены доработки шасси. Заводские испытания завершились 13 декабря.</w:t>
      </w:r>
    </w:p>
    <w:p w14:paraId="4CB37386" w14:textId="77777777" w:rsidR="00354C71" w:rsidRPr="0044524F" w:rsidRDefault="00354C71"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В заключении Отчета по испытаниям самолета И-14 было отмечено:</w:t>
      </w:r>
    </w:p>
    <w:p w14:paraId="1B63C81A" w14:textId="77777777" w:rsidR="00354C71" w:rsidRPr="0044524F" w:rsidRDefault="00354C71" w:rsidP="009654CF">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44524F">
        <w:rPr>
          <w:rStyle w:val="af0"/>
          <w:i w:val="0"/>
          <w:color w:val="000000" w:themeColor="text1"/>
          <w:sz w:val="16"/>
          <w:szCs w:val="16"/>
          <w:bdr w:val="none" w:sz="0" w:space="0" w:color="auto" w:frame="1"/>
        </w:rPr>
        <w:t>«…Летные качества самолета И-14 – горизонтальная скорость и скороподъемность ставят его в разряд современных скоростных истребителей. …Самолет И-14 передать на государственные испытания.» (19177).</w:t>
      </w:r>
    </w:p>
    <w:p w14:paraId="5E0060EA" w14:textId="77777777" w:rsidR="00354C71" w:rsidRPr="0044524F" w:rsidRDefault="00354C71" w:rsidP="009654CF">
      <w:pPr>
        <w:pStyle w:val="ae"/>
        <w:shd w:val="clear" w:color="auto" w:fill="FFFFFF"/>
        <w:spacing w:before="0" w:after="0"/>
        <w:jc w:val="both"/>
        <w:textAlignment w:val="baseline"/>
        <w:rPr>
          <w:color w:val="000000" w:themeColor="text1"/>
          <w:sz w:val="16"/>
          <w:szCs w:val="16"/>
        </w:rPr>
      </w:pPr>
    </w:p>
    <w:p w14:paraId="4F92D82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6 октября по 13 декабря 1933 велись официальные заводские испытания И-14 (АНТ-31) (1454,25) c мотором Бристоль-Меркур (2267,50), а на гос. испытания машина попала только 2 января 1934 (2233,40). Машина то направлялась в ОЭЛИД, то отзывалась оттуда для доработок (2869,23).</w:t>
      </w:r>
    </w:p>
    <w:p w14:paraId="4F7C617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1B4A6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октября 1933 в Финском заливе в районе Толбухина маяка в ходе испытаний улучшенных ТАВ-15 с ТБ-1 удачно сбросили торпеду с 1000 м при температуре -7. Приняли к производству как эталон на 1934 и Нач. ВВС приказал доработать имеющиеся торпеды (1966,12).</w:t>
      </w:r>
    </w:p>
    <w:p w14:paraId="3A6F7DE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23EF8B0" w14:textId="77777777" w:rsidR="00FE71E3" w:rsidRPr="0044524F" w:rsidRDefault="00FE71E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6 октября 1933 г. Сталин — Кагановичу</w:t>
      </w:r>
    </w:p>
    <w:p w14:paraId="24D760FD" w14:textId="77777777" w:rsidR="00FE71E3" w:rsidRPr="0044524F" w:rsidRDefault="00FE71E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u w:val="single"/>
          <w:lang w:eastAsia="ru-RU"/>
        </w:rPr>
        <w:t>Здравствуйте, т. Каганович!</w:t>
      </w:r>
    </w:p>
    <w:p w14:paraId="75B096B5" w14:textId="77777777" w:rsidR="00FE71E3" w:rsidRPr="0044524F" w:rsidRDefault="00FE71E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 Мои поправки к проекту пост[ановле]ния ЦК в связи с юбилеем Комсомола посылаю. Проект составлен неряшливо.</w:t>
      </w:r>
    </w:p>
    <w:p w14:paraId="1292A4ED" w14:textId="77777777" w:rsidR="00FE71E3" w:rsidRPr="0044524F" w:rsidRDefault="00FE71E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Придется 10–15 орденов (или 20) дать комсомольцам</w:t>
      </w:r>
      <w:r w:rsidRPr="0044524F">
        <w:rPr>
          <w:rFonts w:ascii="Times New Roman" w:eastAsia="Times New Roman" w:hAnsi="Times New Roman"/>
          <w:color w:val="000000" w:themeColor="text1"/>
          <w:sz w:val="16"/>
          <w:szCs w:val="16"/>
          <w:vertAlign w:val="superscript"/>
          <w:lang w:eastAsia="ru-RU"/>
        </w:rPr>
        <w:t>1</w:t>
      </w:r>
      <w:r w:rsidRPr="0044524F">
        <w:rPr>
          <w:rFonts w:ascii="Times New Roman" w:eastAsia="Times New Roman" w:hAnsi="Times New Roman"/>
          <w:color w:val="000000" w:themeColor="text1"/>
          <w:sz w:val="16"/>
          <w:szCs w:val="16"/>
          <w:lang w:eastAsia="ru-RU"/>
        </w:rPr>
        <w:t>.</w:t>
      </w:r>
    </w:p>
    <w:p w14:paraId="1ECDE5A7" w14:textId="77777777" w:rsidR="00FE71E3" w:rsidRPr="0044524F" w:rsidRDefault="00FE71E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 Доколе будете терпеть безобразия в предприятиях НКснаба, особенно в консервных заводах? Отравили опять свыше 100 человек! Почему не принимаете меры против НКснаба и Микояна? Доколе будут издеваться над населением. Ваше (т.е. ПБ) долготерпение прямо поразительно</w:t>
      </w:r>
      <w:r w:rsidRPr="0044524F">
        <w:rPr>
          <w:rFonts w:ascii="Times New Roman" w:eastAsia="Times New Roman" w:hAnsi="Times New Roman"/>
          <w:color w:val="000000" w:themeColor="text1"/>
          <w:sz w:val="16"/>
          <w:szCs w:val="16"/>
          <w:vertAlign w:val="superscript"/>
          <w:lang w:eastAsia="ru-RU"/>
        </w:rPr>
        <w:t>2</w:t>
      </w:r>
      <w:r w:rsidRPr="0044524F">
        <w:rPr>
          <w:rFonts w:ascii="Times New Roman" w:eastAsia="Times New Roman" w:hAnsi="Times New Roman"/>
          <w:color w:val="000000" w:themeColor="text1"/>
          <w:sz w:val="16"/>
          <w:szCs w:val="16"/>
          <w:lang w:eastAsia="ru-RU"/>
        </w:rPr>
        <w:t>.</w:t>
      </w:r>
    </w:p>
    <w:p w14:paraId="5BEFEB11" w14:textId="77777777" w:rsidR="00FE71E3" w:rsidRPr="0044524F" w:rsidRDefault="00FE71E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3) Крайне подозрительно, что в разработке материалов стратостата</w:t>
      </w:r>
      <w:r w:rsidRPr="0044524F">
        <w:rPr>
          <w:rFonts w:ascii="Times New Roman" w:eastAsia="Times New Roman" w:hAnsi="Times New Roman"/>
          <w:color w:val="000000" w:themeColor="text1"/>
          <w:sz w:val="16"/>
          <w:szCs w:val="16"/>
          <w:vertAlign w:val="superscript"/>
          <w:lang w:eastAsia="ru-RU"/>
        </w:rPr>
        <w:t>3</w:t>
      </w:r>
      <w:r w:rsidRPr="0044524F">
        <w:rPr>
          <w:rFonts w:ascii="Times New Roman" w:eastAsia="Times New Roman" w:hAnsi="Times New Roman"/>
          <w:color w:val="000000" w:themeColor="text1"/>
          <w:sz w:val="16"/>
          <w:szCs w:val="16"/>
          <w:u w:val="single"/>
          <w:lang w:eastAsia="ru-RU"/>
        </w:rPr>
        <w:t>первую скрипку</w:t>
      </w:r>
      <w:r w:rsidRPr="0044524F">
        <w:rPr>
          <w:rFonts w:ascii="Times New Roman" w:eastAsia="Times New Roman" w:hAnsi="Times New Roman"/>
          <w:color w:val="000000" w:themeColor="text1"/>
          <w:sz w:val="16"/>
          <w:szCs w:val="16"/>
          <w:lang w:eastAsia="ru-RU"/>
        </w:rPr>
        <w:t xml:space="preserve"> играет Вангенгейм, тот самый Вангенгейм, который во главе Бюро погоды сулил нам к лету 33 года великую засуху и который организовал в Мурманске ГОИН, потом разгромленный нами, как гнездо немецких шпионов. В чем тут дело? Откуда такое доверие к этому субъекту?</w:t>
      </w:r>
    </w:p>
    <w:p w14:paraId="1E19DC3F" w14:textId="77777777" w:rsidR="00FE71E3" w:rsidRPr="0044524F" w:rsidRDefault="00FE71E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Ну, пока все. Привет И. Сталин</w:t>
      </w:r>
      <w:r w:rsidRPr="0044524F">
        <w:rPr>
          <w:rFonts w:ascii="Times New Roman" w:eastAsia="Times New Roman" w:hAnsi="Times New Roman"/>
          <w:color w:val="000000" w:themeColor="text1"/>
          <w:sz w:val="16"/>
          <w:szCs w:val="16"/>
          <w:vertAlign w:val="superscript"/>
          <w:lang w:eastAsia="ru-RU"/>
        </w:rPr>
        <w:t xml:space="preserve">4 </w:t>
      </w:r>
      <w:r w:rsidRPr="0044524F">
        <w:rPr>
          <w:rFonts w:ascii="Times New Roman" w:eastAsia="Times New Roman" w:hAnsi="Times New Roman"/>
          <w:color w:val="000000" w:themeColor="text1"/>
          <w:sz w:val="16"/>
          <w:szCs w:val="16"/>
          <w:lang w:eastAsia="ru-RU"/>
        </w:rPr>
        <w:t>6/Х-ЗЗ</w:t>
      </w:r>
    </w:p>
    <w:p w14:paraId="61231408" w14:textId="77777777" w:rsidR="00FE71E3" w:rsidRPr="0044524F" w:rsidRDefault="00FE71E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iCs/>
          <w:color w:val="000000" w:themeColor="text1"/>
          <w:sz w:val="16"/>
          <w:szCs w:val="16"/>
          <w:lang w:eastAsia="ru-RU"/>
        </w:rPr>
        <w:t>Ф. 81. On. 3. Д. 100. Л. 34–35. Автограф(17281).</w:t>
      </w:r>
    </w:p>
    <w:p w14:paraId="19C46B1F" w14:textId="77777777" w:rsidR="00FE71E3" w:rsidRPr="0044524F" w:rsidRDefault="00FE71E3" w:rsidP="009654CF">
      <w:pPr>
        <w:autoSpaceDE w:val="0"/>
        <w:autoSpaceDN w:val="0"/>
        <w:adjustRightInd w:val="0"/>
        <w:spacing w:after="0" w:line="240" w:lineRule="auto"/>
        <w:jc w:val="both"/>
        <w:rPr>
          <w:rFonts w:ascii="Times New Roman" w:hAnsi="Times New Roman"/>
          <w:color w:val="000000" w:themeColor="text1"/>
          <w:sz w:val="16"/>
          <w:szCs w:val="16"/>
        </w:rPr>
      </w:pPr>
    </w:p>
    <w:p w14:paraId="1F4E538A"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AE78F5B"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0734EB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6 и 12 октября 1933. Из протокола заседания Политбюро N 148, 1933 г.</w:t>
      </w:r>
    </w:p>
    <w:p w14:paraId="229F358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Об отпуске средств на пособия работникам МХАТ им. Горького </w:t>
      </w:r>
    </w:p>
    <w:p w14:paraId="50D4F8E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Отпустить из резервного фонда СНК СССР двести тысяч рублей на выплату единовременных пособий руководителям и старейшим работникам — артистам МХАТ им. Горького в связи с 35-летним юбилеем этого театра (11652).</w:t>
      </w:r>
    </w:p>
    <w:p w14:paraId="155D514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803830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6 и 12 октября 1933. Из протокола заседания Политбюро N 148, 1933 г.</w:t>
      </w:r>
    </w:p>
    <w:p w14:paraId="79C5AD6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выдаче пшеничной муки к Октябрьским праздникам </w:t>
      </w:r>
    </w:p>
    <w:p w14:paraId="2F99514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Комитету по заготовкам при СНК СССР выдать рабочим в важнейших промышленных центрах к Октябрьским праздникам вместо ржаной муки пшеничную, выделить для этой цели для всего Союза 20 000 тонн пшеничной муки (11652).</w:t>
      </w:r>
    </w:p>
    <w:p w14:paraId="27D0187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5484B5F"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1808527"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A811CE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6 и 12 октября 1933. Из протокола заседания Политбюро N 148, 1933 г.</w:t>
      </w:r>
    </w:p>
    <w:p w14:paraId="763FC8B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Польше </w:t>
      </w:r>
    </w:p>
    <w:p w14:paraId="0804617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Утвердить следующий текст ноты Польше с опубликованием в печати: </w:t>
      </w:r>
    </w:p>
    <w:p w14:paraId="2B1CAA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"21-го октября на Генеральное Консульство СССР во Львове было произведено нападение, в результате которого сотрудник Консульства Майлов был убит, а другой сотрудник, Джугай,— ранен. Это покушение нельзя не поставить в связь с той кампанией, которая уже в течение продолжительного времени ведется в некоторых воеводствах и, в частности, во Львове, кампании, не знающей никаких границ в травле, клевете и науськивании на Советский Союз и имеющей целью возбудить известные слои населения против СССР" (11652).</w:t>
      </w:r>
    </w:p>
    <w:p w14:paraId="05CCF736" w14:textId="4AA0AED3"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15FBE4E" w14:textId="7A2A7266" w:rsidR="00302848" w:rsidRPr="0044524F" w:rsidRDefault="00302848"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298AA6F3" w14:textId="77777777" w:rsidR="00302848" w:rsidRPr="0044524F" w:rsidRDefault="00302848"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19CA4EE6" w14:textId="77777777" w:rsidR="00302848" w:rsidRPr="0044524F" w:rsidRDefault="0030284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октября 1933 состоялся первый полет Pander S-4 Postjager (20802).</w:t>
      </w:r>
    </w:p>
    <w:p w14:paraId="01418BE6" w14:textId="77777777" w:rsidR="00302848" w:rsidRPr="0044524F" w:rsidRDefault="00302848" w:rsidP="009654CF">
      <w:pPr>
        <w:spacing w:after="0" w:line="240" w:lineRule="auto"/>
        <w:jc w:val="both"/>
        <w:rPr>
          <w:rFonts w:ascii="Times New Roman" w:hAnsi="Times New Roman"/>
          <w:color w:val="000000" w:themeColor="text1"/>
          <w:sz w:val="16"/>
          <w:szCs w:val="16"/>
        </w:rPr>
      </w:pPr>
    </w:p>
    <w:p w14:paraId="23347ADB"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F59EBCA"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7B7821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октября 1933 г. на аэродроме появился Первенец бригады № 2 ЦКБ - И-15. На киле ярко-красного самолета в центре белого круга была изображена звезда, а поверх ее выведены цифры «39» и надпись «ЦКБ-3». Испытания прошли успешно: И-15 был принят на вооружение ВВС СССР и в течение двух лет выпускался серийно. На опытном экземпляре ЦКБ-3, специально облегченном для этого полета, летчик Владимир Константинович Коккинаки 21 декабря 1935 г. установил мировой рекорд высоты, поднявшись на 14575 метров. Этот результат на 132 м превысил рекорд высоты, установленный в 1934 г. итальянским летчиком Р.Донатти на самолете «Caproni-114a» (9536,5).</w:t>
      </w:r>
    </w:p>
    <w:p w14:paraId="46079BA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CEB3EF2" w14:textId="77777777" w:rsidR="00354C71" w:rsidRPr="0044524F" w:rsidRDefault="00354C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октября 1933 г. первенец бригады № 2 появился на аэродроме На киле ярко-красного самолета в центре белого круга была изображена звезда, а поверх ее выведены цифры «39» и надпись «ЦКБ-3». Испытания прошли успешно: И-15 был принят на вооружение ВВС СССР и в течение двух лет выпускался серийно. На опытном экземпляре ЦКБ-3, специально облегченном для этого полета, летчик Владимир Константинович Коккинаки 21 декабря 1935 г. установил мировой рекорд высоты, поднявшись на 14575 метров. Этот результат на 132 м превысил рекорд высоты, установленный в 1934 г. итальянским летчиком Р.Донатти на самолете «Caproni 14а» (18254).</w:t>
      </w:r>
    </w:p>
    <w:p w14:paraId="57DA8542" w14:textId="77777777" w:rsidR="00354C71" w:rsidRPr="0044524F" w:rsidRDefault="00354C71" w:rsidP="009654CF">
      <w:pPr>
        <w:spacing w:after="0" w:line="240" w:lineRule="auto"/>
        <w:jc w:val="both"/>
        <w:rPr>
          <w:rFonts w:ascii="Times New Roman" w:hAnsi="Times New Roman"/>
          <w:color w:val="000000" w:themeColor="text1"/>
          <w:sz w:val="16"/>
          <w:szCs w:val="16"/>
        </w:rPr>
      </w:pPr>
    </w:p>
    <w:p w14:paraId="7537096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октября 1933 г. ярко-красный самолет - пер</w:t>
      </w:r>
      <w:r w:rsidRPr="0044524F">
        <w:rPr>
          <w:rFonts w:ascii="Times New Roman" w:hAnsi="Times New Roman"/>
          <w:color w:val="000000" w:themeColor="text1"/>
          <w:sz w:val="16"/>
          <w:szCs w:val="16"/>
        </w:rPr>
        <w:softHyphen/>
        <w:t>венец бригады № 2 - доставили на аэродром. На киле в центре белого круга была изображена звезда, а поверх нее выведены цифры «39» и надпись «ЦКБ-3». Начались наземные испытания и подготовка к первому вылету (10667).</w:t>
      </w:r>
    </w:p>
    <w:p w14:paraId="5B7142E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4E1DE86"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октября 1933 г. ярко-красный самолет ЦКБ-3 И-15 — первенец бригады № 2 — доставили на аэродром. На киле в центре белого круга была изображена звезда, а поверх ее выведены цифры «39» и надпись «ЦКБ-3». Начались наземные испытания и подготовка к первому вылету.</w:t>
      </w:r>
    </w:p>
    <w:p w14:paraId="78229531"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получения формального разрешения на проведение испытаний требовался утвержденный эскизный проект (25035).</w:t>
      </w:r>
    </w:p>
    <w:p w14:paraId="61C262D3" w14:textId="77777777" w:rsidR="00D64533" w:rsidRPr="00142305" w:rsidRDefault="00D64533" w:rsidP="00D64533">
      <w:pPr>
        <w:spacing w:after="0" w:line="240" w:lineRule="auto"/>
        <w:jc w:val="both"/>
        <w:rPr>
          <w:rFonts w:ascii="Times New Roman" w:hAnsi="Times New Roman"/>
          <w:color w:val="0070C0"/>
          <w:sz w:val="16"/>
          <w:szCs w:val="16"/>
        </w:rPr>
      </w:pPr>
    </w:p>
    <w:p w14:paraId="79561363"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начале октября 1933 г. Николай Николаевич ознакомил с результатами работы по И-17 руководство ВВС. Ожидаемые летные характеристики предварительных вариантов И-17 существенно не превосходили характеристик И-16 с мотором Райт «ЦИКЛОН» SGR-1820 F-3 и F-5. И в ВВС довольно прохладно встретили инициативные предложения Н. Н. Поликарпова. Однако мотор-пушка тогда являлся технической новинкой (25035).</w:t>
      </w:r>
    </w:p>
    <w:p w14:paraId="7632BBE4" w14:textId="77777777" w:rsidR="00D64533" w:rsidRPr="00142305" w:rsidRDefault="00D64533" w:rsidP="00D64533">
      <w:pPr>
        <w:spacing w:after="0" w:line="240" w:lineRule="auto"/>
        <w:jc w:val="both"/>
        <w:rPr>
          <w:rFonts w:ascii="Times New Roman" w:hAnsi="Times New Roman"/>
          <w:color w:val="0070C0"/>
          <w:sz w:val="16"/>
          <w:szCs w:val="16"/>
        </w:rPr>
      </w:pPr>
    </w:p>
    <w:p w14:paraId="2320B3F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октября 1933 Нач. 4 отдела ЭКУ ОГПУ Калецкий подготовил:</w:t>
      </w:r>
    </w:p>
    <w:p w14:paraId="38A5FED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в е д е н и я</w:t>
      </w:r>
    </w:p>
    <w:p w14:paraId="532DBF8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вьполнении программы по з-дам самолетостроения взятые ив сводки ГУАП"а, подписанной Нач.ГУАП"а тов. КОРОЛШШ.</w:t>
      </w:r>
    </w:p>
    <w:p w14:paraId="1D19F7A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val="en-US"/>
        </w:rPr>
        <w:t>I</w:t>
      </w:r>
      <w:r w:rsidRPr="0044524F">
        <w:rPr>
          <w:rFonts w:ascii="Times New Roman" w:hAnsi="Times New Roman"/>
          <w:color w:val="000000" w:themeColor="text1"/>
          <w:sz w:val="16"/>
          <w:szCs w:val="16"/>
        </w:rPr>
        <w:t xml:space="preserve">. Завод № </w:t>
      </w:r>
      <w:r w:rsidRPr="0044524F">
        <w:rPr>
          <w:rFonts w:ascii="Times New Roman" w:hAnsi="Times New Roman"/>
          <w:color w:val="000000" w:themeColor="text1"/>
          <w:sz w:val="16"/>
          <w:szCs w:val="16"/>
          <w:lang w:val="en-US"/>
        </w:rPr>
        <w:t>I</w:t>
      </w:r>
    </w:p>
    <w:p w14:paraId="083DEE4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программу Р-5 выполнил - 57% годового задания или 79% задания на 9 мес За 8 мес. недодано 252 само</w:t>
      </w:r>
      <w:r w:rsidRPr="0044524F">
        <w:rPr>
          <w:rFonts w:ascii="Times New Roman" w:hAnsi="Times New Roman"/>
          <w:color w:val="000000" w:themeColor="text1"/>
          <w:sz w:val="16"/>
          <w:szCs w:val="16"/>
        </w:rPr>
        <w:softHyphen/>
        <w:t>лета.</w:t>
      </w:r>
    </w:p>
    <w:p w14:paraId="4AEAC6E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программу И-7 выполнил - 1.9% годового зада</w:t>
      </w:r>
      <w:r w:rsidRPr="0044524F">
        <w:rPr>
          <w:rFonts w:ascii="Times New Roman" w:hAnsi="Times New Roman"/>
          <w:color w:val="000000" w:themeColor="text1"/>
          <w:sz w:val="16"/>
          <w:szCs w:val="16"/>
        </w:rPr>
        <w:softHyphen/>
        <w:t>ния или 27% задания на 9 мео. За 9 мес. недодано 124 само</w:t>
      </w:r>
      <w:r w:rsidRPr="0044524F">
        <w:rPr>
          <w:rFonts w:ascii="Times New Roman" w:hAnsi="Times New Roman"/>
          <w:color w:val="000000" w:themeColor="text1"/>
          <w:sz w:val="16"/>
          <w:szCs w:val="16"/>
        </w:rPr>
        <w:softHyphen/>
        <w:t>лета.</w:t>
      </w:r>
    </w:p>
    <w:p w14:paraId="2BDD4CB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Еще хуже выполнение по групповым комплектам.</w:t>
      </w:r>
    </w:p>
    <w:p w14:paraId="63D5805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Завод № 31 программа по гидросамолетам "МБР-4" с мотором АСОО выполнена на 75%, не</w:t>
      </w:r>
      <w:r w:rsidRPr="0044524F">
        <w:rPr>
          <w:rFonts w:ascii="Times New Roman" w:hAnsi="Times New Roman"/>
          <w:color w:val="000000" w:themeColor="text1"/>
          <w:sz w:val="16"/>
          <w:szCs w:val="16"/>
        </w:rPr>
        <w:softHyphen/>
        <w:t>додано 5 машин.</w:t>
      </w:r>
    </w:p>
    <w:p w14:paraId="10A984B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Тоже с мотором “М-34"не сда</w:t>
      </w:r>
      <w:r w:rsidRPr="0044524F">
        <w:rPr>
          <w:rFonts w:ascii="Times New Roman" w:hAnsi="Times New Roman"/>
          <w:color w:val="000000" w:themeColor="text1"/>
          <w:sz w:val="16"/>
          <w:szCs w:val="16"/>
        </w:rPr>
        <w:softHyphen/>
        <w:t>но ни одной машины при зада</w:t>
      </w:r>
      <w:r w:rsidRPr="0044524F">
        <w:rPr>
          <w:rFonts w:ascii="Times New Roman" w:hAnsi="Times New Roman"/>
          <w:color w:val="000000" w:themeColor="text1"/>
          <w:sz w:val="16"/>
          <w:szCs w:val="16"/>
        </w:rPr>
        <w:softHyphen/>
        <w:t>нии 42.</w:t>
      </w:r>
    </w:p>
    <w:p w14:paraId="525524A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программу по сам. Р6 с мотор. 2 М17 7-8% годово</w:t>
      </w:r>
      <w:r w:rsidRPr="0044524F">
        <w:rPr>
          <w:rFonts w:ascii="Times New Roman" w:hAnsi="Times New Roman"/>
          <w:color w:val="000000" w:themeColor="text1"/>
          <w:sz w:val="16"/>
          <w:szCs w:val="16"/>
        </w:rPr>
        <w:softHyphen/>
        <w:t>го или 16% 9 мес. задания недо</w:t>
      </w:r>
      <w:r w:rsidRPr="0044524F">
        <w:rPr>
          <w:rFonts w:ascii="Times New Roman" w:hAnsi="Times New Roman"/>
          <w:color w:val="000000" w:themeColor="text1"/>
          <w:sz w:val="16"/>
          <w:szCs w:val="16"/>
        </w:rPr>
        <w:softHyphen/>
        <w:t>дано 49 машин.</w:t>
      </w:r>
    </w:p>
    <w:p w14:paraId="276C72D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Тоже с моторами М34 - 0%</w:t>
      </w:r>
    </w:p>
    <w:p w14:paraId="067E56D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программу по сам. АНТ-9 - 0% при задании 8 са</w:t>
      </w:r>
      <w:r w:rsidRPr="0044524F">
        <w:rPr>
          <w:rFonts w:ascii="Times New Roman" w:hAnsi="Times New Roman"/>
          <w:color w:val="000000" w:themeColor="text1"/>
          <w:sz w:val="16"/>
          <w:szCs w:val="16"/>
        </w:rPr>
        <w:softHyphen/>
        <w:t>молетов.</w:t>
      </w:r>
    </w:p>
    <w:p w14:paraId="37D6E49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Завод №18 не сдал в течение 1 и 1/2 мес. ни одной маши</w:t>
      </w:r>
      <w:r w:rsidRPr="0044524F">
        <w:rPr>
          <w:rFonts w:ascii="Times New Roman" w:hAnsi="Times New Roman"/>
          <w:color w:val="000000" w:themeColor="text1"/>
          <w:sz w:val="16"/>
          <w:szCs w:val="16"/>
        </w:rPr>
        <w:softHyphen/>
        <w:t>ны.</w:t>
      </w:r>
    </w:p>
    <w:p w14:paraId="4A0CC80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Харьковский авиазавод из программы на 9 мес. выполнил 76%, недодав 25 самолетов К5.</w:t>
      </w:r>
    </w:p>
    <w:p w14:paraId="6761A2F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остальным заводам /№№ 21, 22, 23, 39/ программа само</w:t>
      </w:r>
      <w:r w:rsidRPr="0044524F">
        <w:rPr>
          <w:rFonts w:ascii="Times New Roman" w:hAnsi="Times New Roman"/>
          <w:color w:val="000000" w:themeColor="text1"/>
          <w:sz w:val="16"/>
          <w:szCs w:val="16"/>
        </w:rPr>
        <w:softHyphen/>
        <w:t>летостроения выполнена более удовлетворительно /выше 80%/, за исключением ТБ-3 с мотором М34 /з-д № 22/ из 45 самоле</w:t>
      </w:r>
      <w:r w:rsidRPr="0044524F">
        <w:rPr>
          <w:rFonts w:ascii="Times New Roman" w:hAnsi="Times New Roman"/>
          <w:color w:val="000000" w:themeColor="text1"/>
          <w:sz w:val="16"/>
          <w:szCs w:val="16"/>
        </w:rPr>
        <w:softHyphen/>
        <w:t>тов сдано 2- и отставание по групповым комплектам,</w:t>
      </w:r>
    </w:p>
    <w:p w14:paraId="27B56D9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 4 ОТД ЭКУ ОГПУ /КАЛЕЦКИЙ/ (4191).</w:t>
      </w:r>
    </w:p>
    <w:p w14:paraId="763B0D5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7C366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октября 1933 была подготовлена:</w:t>
      </w:r>
    </w:p>
    <w:p w14:paraId="0240A97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w:t>
      </w:r>
    </w:p>
    <w:p w14:paraId="05B2517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МАТЕРИАЛОВ ПРЕДВАРИТЕЛЬНОГО СЛЕДСТВИЯ ПО ЗАВОДУ№ 21.</w:t>
      </w:r>
    </w:p>
    <w:p w14:paraId="24EAFE4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ПОКАЗАНИЯ КУПРИЯНОВА:</w:t>
      </w:r>
    </w:p>
    <w:p w14:paraId="662A747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21 самолета, сданных в июле в счет июньской про</w:t>
      </w:r>
      <w:r w:rsidRPr="0044524F">
        <w:rPr>
          <w:rFonts w:ascii="Times New Roman" w:hAnsi="Times New Roman"/>
          <w:color w:val="000000" w:themeColor="text1"/>
          <w:sz w:val="16"/>
          <w:szCs w:val="16"/>
        </w:rPr>
        <w:softHyphen/>
        <w:t>граммы, только машина № 2197 была задержана в заводе по вине завода № 29, все остальные 20 машин должны были пройти ряд операций производственного характера, прежде чем попасть в ящик. На каждой из этих машин требовалось времени на прохождение этих операций не менее 60-ти ра</w:t>
      </w:r>
      <w:r w:rsidRPr="0044524F">
        <w:rPr>
          <w:rFonts w:ascii="Times New Roman" w:hAnsi="Times New Roman"/>
          <w:color w:val="000000" w:themeColor="text1"/>
          <w:sz w:val="16"/>
          <w:szCs w:val="16"/>
        </w:rPr>
        <w:softHyphen/>
        <w:t>бочих часов. Дирекцией завода эти машины были сданы и коммерчески оформлены следующим образом: 27 и 28 июня были Заводоуправлением пред"явлены к техническому осмо</w:t>
      </w:r>
      <w:r w:rsidRPr="0044524F">
        <w:rPr>
          <w:rFonts w:ascii="Times New Roman" w:hAnsi="Times New Roman"/>
          <w:color w:val="000000" w:themeColor="text1"/>
          <w:sz w:val="16"/>
          <w:szCs w:val="16"/>
        </w:rPr>
        <w:softHyphen/>
        <w:t>тру ВОенпредству 15 машин из июньской программы, а 28 и 29 июня уже были Военпредом -ЖУКОВЫМ выданы на них удосто</w:t>
      </w:r>
      <w:r w:rsidRPr="0044524F">
        <w:rPr>
          <w:rFonts w:ascii="Times New Roman" w:hAnsi="Times New Roman"/>
          <w:color w:val="000000" w:themeColor="text1"/>
          <w:sz w:val="16"/>
          <w:szCs w:val="16"/>
        </w:rPr>
        <w:softHyphen/>
        <w:t>верения, свидетельствующие о 100% готовности этих машин к отправке в ящики. На этих удостоверениях за №№ 93 и 95 имеется примечание: "самолеты отправлены в ящиках УВВС." Фактически были отправлены 5 самолетов 17 июля, 3 само</w:t>
      </w:r>
      <w:r w:rsidRPr="0044524F">
        <w:rPr>
          <w:rFonts w:ascii="Times New Roman" w:hAnsi="Times New Roman"/>
          <w:color w:val="000000" w:themeColor="text1"/>
          <w:sz w:val="16"/>
          <w:szCs w:val="16"/>
        </w:rPr>
        <w:softHyphen/>
        <w:t>лета 23 июля, 5 самолетов 31 июля, а машина № 21128, числящаяся сданной по удостоверению № 95 в июне, пред</w:t>
      </w:r>
      <w:r w:rsidRPr="0044524F">
        <w:rPr>
          <w:rFonts w:ascii="Times New Roman" w:hAnsi="Times New Roman"/>
          <w:color w:val="000000" w:themeColor="text1"/>
          <w:sz w:val="16"/>
          <w:szCs w:val="16"/>
        </w:rPr>
        <w:softHyphen/>
        <w:t>полагалась к отправке только 7 августа, из-за отсутствия некоторых запасных частей, например: резины и платформ.</w:t>
      </w:r>
    </w:p>
    <w:p w14:paraId="05C2625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показаний младшего Военпреда ИЕВЛЕВА, заместите</w:t>
      </w:r>
      <w:r w:rsidRPr="0044524F">
        <w:rPr>
          <w:rFonts w:ascii="Times New Roman" w:hAnsi="Times New Roman"/>
          <w:color w:val="000000" w:themeColor="text1"/>
          <w:sz w:val="16"/>
          <w:szCs w:val="16"/>
        </w:rPr>
        <w:softHyphen/>
        <w:t>ля Военпреда ЖУКОВА видно, что:</w:t>
      </w:r>
    </w:p>
    <w:p w14:paraId="0D437DD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программы проходит в ненормальных условиях, в сильной степени отражающейся на качестве продукции. Примером может служить июль</w:t>
      </w:r>
      <w:r w:rsidRPr="0044524F">
        <w:rPr>
          <w:rFonts w:ascii="Times New Roman" w:hAnsi="Times New Roman"/>
          <w:color w:val="000000" w:themeColor="text1"/>
          <w:sz w:val="16"/>
          <w:szCs w:val="16"/>
        </w:rPr>
        <w:softHyphen/>
        <w:t>ская программа. Не имея ряда деталей секторов газа, заливной с ис темы, краников фильтра, тяг и т.д. Самолеты пред являлись ОТК и, одновременно, Военной При е мке.</w:t>
      </w:r>
    </w:p>
    <w:p w14:paraId="713EAF7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"Самолеы из сборочного цеха перебрасывались на аэродром в недоделанном виде. На мой вопрос АБРАМОВУ (Пом. Техн. директора, быв. вредитель, </w:t>
      </w:r>
      <w:r w:rsidRPr="0044524F">
        <w:rPr>
          <w:rFonts w:ascii="Times New Roman" w:hAnsi="Times New Roman"/>
          <w:smallCaps/>
          <w:color w:val="000000" w:themeColor="text1"/>
          <w:sz w:val="16"/>
          <w:szCs w:val="16"/>
        </w:rPr>
        <w:t xml:space="preserve">досрочно </w:t>
      </w:r>
      <w:r w:rsidRPr="0044524F">
        <w:rPr>
          <w:rFonts w:ascii="Times New Roman" w:hAnsi="Times New Roman"/>
          <w:color w:val="000000" w:themeColor="text1"/>
          <w:sz w:val="16"/>
          <w:szCs w:val="16"/>
        </w:rPr>
        <w:t>освобожденный), что это дело никуда не годится, что на устранение дефектов и недо</w:t>
      </w:r>
      <w:r w:rsidRPr="0044524F">
        <w:rPr>
          <w:rFonts w:ascii="Times New Roman" w:hAnsi="Times New Roman"/>
          <w:color w:val="000000" w:themeColor="text1"/>
          <w:sz w:val="16"/>
          <w:szCs w:val="16"/>
        </w:rPr>
        <w:softHyphen/>
        <w:t>лов на еэродраме затрачивается лишняя рабочая сила, время', средства, АБРАМОВ ответил, что "в цехе нет места". На ряд других требований с моей стороны АБРАМОВУ и КУПРИЯНОУ (ст. инженер сборочного цеха) я получил ответ: что если машина на аэродроме, то она считается готовой к полету, а если она здесь, то уже другое дело, тем более, что может кто нибудь навернуться из Москвы для проверки выполнения программы по отправленной телеграмме".</w:t>
      </w:r>
    </w:p>
    <w:p w14:paraId="0CDD46D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показания мл. Военпреда ИЕВЛЕВА).</w:t>
      </w:r>
    </w:p>
    <w:p w14:paraId="1FF34FF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показаний летчика ПАВЛУШОВА:</w:t>
      </w:r>
    </w:p>
    <w:p w14:paraId="54508B5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еще находится в стадии сборки, а военный представитель уже оплачивает заводу за самолет, т.е. приблизительно за 10 - 15 дней до поступления самолета в экспедицию. В результате сборочный цех пред"являет самолет Контрольному Отделу без многих монтажей и если Контрольный Отдел не принимает для осмотра са</w:t>
      </w:r>
      <w:r w:rsidRPr="0044524F">
        <w:rPr>
          <w:rFonts w:ascii="Times New Roman" w:hAnsi="Times New Roman"/>
          <w:color w:val="000000" w:themeColor="text1"/>
          <w:sz w:val="16"/>
          <w:szCs w:val="16"/>
        </w:rPr>
        <w:softHyphen/>
        <w:t>молет, то на него производиться нажим со сторо</w:t>
      </w:r>
      <w:r w:rsidRPr="0044524F">
        <w:rPr>
          <w:rFonts w:ascii="Times New Roman" w:hAnsi="Times New Roman"/>
          <w:color w:val="000000" w:themeColor="text1"/>
          <w:sz w:val="16"/>
          <w:szCs w:val="16"/>
        </w:rPr>
        <w:softHyphen/>
        <w:t>ны дирекции. Военнае представительство также осматривает незаконченные самолеты и требования снизило в последние 2 месяца июнь-июль по срав</w:t>
      </w:r>
      <w:r w:rsidRPr="0044524F">
        <w:rPr>
          <w:rFonts w:ascii="Times New Roman" w:hAnsi="Times New Roman"/>
          <w:color w:val="000000" w:themeColor="text1"/>
          <w:sz w:val="16"/>
          <w:szCs w:val="16"/>
        </w:rPr>
        <w:softHyphen/>
        <w:t>нению с мартом-апрелем. Сборочный цех стал самолеты выводить на аэродром совершенно недо</w:t>
      </w:r>
      <w:r w:rsidRPr="0044524F">
        <w:rPr>
          <w:rFonts w:ascii="Times New Roman" w:hAnsi="Times New Roman"/>
          <w:color w:val="000000" w:themeColor="text1"/>
          <w:sz w:val="16"/>
          <w:szCs w:val="16"/>
        </w:rPr>
        <w:softHyphen/>
        <w:t>деланными и все недоделки в большой суете и спешке производятся на аэродроме, при чем на ка</w:t>
      </w:r>
      <w:r w:rsidRPr="0044524F">
        <w:rPr>
          <w:rFonts w:ascii="Times New Roman" w:hAnsi="Times New Roman"/>
          <w:color w:val="000000" w:themeColor="text1"/>
          <w:sz w:val="16"/>
          <w:szCs w:val="16"/>
        </w:rPr>
        <w:softHyphen/>
        <w:t>чество отделки Военное представительство снизило требование. В результате спешки (т.е. пере</w:t>
      </w:r>
      <w:r w:rsidRPr="0044524F">
        <w:rPr>
          <w:rFonts w:ascii="Times New Roman" w:hAnsi="Times New Roman"/>
          <w:color w:val="000000" w:themeColor="text1"/>
          <w:sz w:val="16"/>
          <w:szCs w:val="16"/>
        </w:rPr>
        <w:softHyphen/>
        <w:t>выполнение программы) качество самолетов не улучшается, а ухудшается, при чем военное представи</w:t>
      </w:r>
      <w:r w:rsidRPr="0044524F">
        <w:rPr>
          <w:rFonts w:ascii="Times New Roman" w:hAnsi="Times New Roman"/>
          <w:color w:val="000000" w:themeColor="text1"/>
          <w:sz w:val="16"/>
          <w:szCs w:val="16"/>
        </w:rPr>
        <w:softHyphen/>
        <w:t>тельство это отлично видит.</w:t>
      </w:r>
    </w:p>
    <w:p w14:paraId="30FEF1D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облетываются недоделанными и летают только как летательные машины, а не как боевая и после полетов в экспедиции устраняются до 30 недоделок (дефекты). Конечно экспедиция устра няет эти недоделки, а часть их остается, т.к. самолет в экспедицию поступает в разобранном виде, например: патронные ящики в собранном виде самолета не вынимаются, а когда самолет разобран то ящики вынимаются свободно. Все самолеты, ко</w:t>
      </w:r>
      <w:r w:rsidRPr="0044524F">
        <w:rPr>
          <w:rFonts w:ascii="Times New Roman" w:hAnsi="Times New Roman"/>
          <w:color w:val="000000" w:themeColor="text1"/>
          <w:sz w:val="16"/>
          <w:szCs w:val="16"/>
        </w:rPr>
        <w:softHyphen/>
        <w:t>торые поступают на аэродром с т.н. дефектами, то эти дефекты просто являются недоделками, ко</w:t>
      </w:r>
      <w:r w:rsidRPr="0044524F">
        <w:rPr>
          <w:rFonts w:ascii="Times New Roman" w:hAnsi="Times New Roman"/>
          <w:color w:val="000000" w:themeColor="text1"/>
          <w:sz w:val="16"/>
          <w:szCs w:val="16"/>
        </w:rPr>
        <w:softHyphen/>
        <w:t>торые следовало бы устранять а цеху до полета"</w:t>
      </w:r>
    </w:p>
    <w:p w14:paraId="3F91498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подлинным верно:</w:t>
      </w:r>
    </w:p>
    <w:p w14:paraId="43BFB51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 Уполномоченного 4 отд. ЭКУ ОГПУ(Куторин) (4149,79).</w:t>
      </w:r>
    </w:p>
    <w:p w14:paraId="2C93DBE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F68C407"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1350B79"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B05ED0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октября 1933 г. ЗОКом были получены чертежи на консоли дублера И-14, сборку лонжеронов завершили 25 ноября, нервюры собрали лишь 11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0D624D9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0F46F72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Консоли крыла были собраны 13 января 1934 г. </w:t>
      </w:r>
    </w:p>
    <w:p w14:paraId="3084DC4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7403575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3F3ADD1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04029E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48942A0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71D47B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3954933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CA0821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октября 1933 года Начальник Штаба ВВС Хрипин утвердил протокол Тактико-технического совещания НИИ ВВС (Журнал № 7), состоявшегося в конце сентября 1933 (6788).</w:t>
      </w:r>
    </w:p>
    <w:p w14:paraId="34AC8A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разбиравшихся вопросов</w:t>
      </w:r>
    </w:p>
    <w:p w14:paraId="5A415D18"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спецоборудования самолетов на 1934 год. Докладчик Панов.</w:t>
      </w:r>
    </w:p>
    <w:p w14:paraId="189D4E5E"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Обсуждение военного варианта самолетов Ш5 и СПЛ. Докладчик Красильников.</w:t>
      </w:r>
    </w:p>
    <w:p w14:paraId="65D42E29"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Рассмотрение предложений завода № 22. Докладчик Лосюков (6788).</w:t>
      </w:r>
    </w:p>
    <w:p w14:paraId="17FBB5B6"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76C04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октября 1933 были назначены газовки, руление и пробежки Сталь-6 - полетел и показал скорость до 420 км/ч и потом - совещание М.Н.Тухачевского в помещении ГУ ВМФ - реклама (173,3).</w:t>
      </w:r>
    </w:p>
    <w:p w14:paraId="1CBBA11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Осенью 1933 ВВС уже выдвинуло ТТТ на истребитель со скоростью 400-450, но ГУАП не брался сделать. На совещании в Наркомвоенморе в присутствии К.Е.В. и Г.К.О. представитель ГУАП заявил о невыполнимости ТТТ. Поправили, сказали, что есть. Дали задание на истребитель (92,442).</w:t>
      </w:r>
    </w:p>
    <w:p w14:paraId="651EB5E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Наверное, анекдот.</w:t>
      </w:r>
    </w:p>
    <w:p w14:paraId="66356FFA"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B15BCD6" w14:textId="77777777" w:rsidR="00CF276A" w:rsidRPr="0044524F" w:rsidRDefault="00CF276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7 октября 1933 года были назначены газовки, руления и пробежки по аэродрому Сталь-6. При первом же энергичном разгоне летчик-испытатель Андрей Борисович Юмашев почувствовал легкость управления самолетом, который «сам запросился в воздух». Пилот не препятствовал «желанию» машины и взял ручку на себя... Так состоялся незапланированный первый полет. После посадки он получил «разгон» от Бартини за самовольство, а заводские испытания были продолжены. В одном из полетов Юмашев впервые в СССР превысил значение скорости в 400 км/ч, а на другой день была достигнута скорость 420 км/ч (15555).</w:t>
      </w:r>
    </w:p>
    <w:p w14:paraId="7BFA309C" w14:textId="77777777" w:rsidR="00CF276A" w:rsidRPr="0044524F" w:rsidRDefault="00CF276A" w:rsidP="009654CF">
      <w:pPr>
        <w:spacing w:after="0" w:line="240" w:lineRule="auto"/>
        <w:jc w:val="both"/>
        <w:rPr>
          <w:rFonts w:ascii="Times New Roman" w:hAnsi="Times New Roman"/>
          <w:color w:val="000000" w:themeColor="text1"/>
          <w:sz w:val="16"/>
          <w:szCs w:val="16"/>
        </w:rPr>
      </w:pPr>
    </w:p>
    <w:p w14:paraId="4827CC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октября 1933 года была подготовлена справка в СТО</w:t>
      </w:r>
    </w:p>
    <w:p w14:paraId="39E9BA1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выполнении авиапромышленностью программы за 9 месяцев и IV квартал 1933 года</w:t>
      </w:r>
    </w:p>
    <w:p w14:paraId="569576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1933 год Правительство задало Авиапрому программу сдачи самолетов 4495 штук и моторов 7472 штуки.</w:t>
      </w:r>
    </w:p>
    <w:p w14:paraId="3EF0CE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9 месяцев план определял сдачу самолетов 3230 штук и моторов 5305 штук, фактически сдано самолетов 2630 штук или 81,4% к 9-ти месячному плану и моторов 4836 штук или 91,1% к плану.</w:t>
      </w:r>
    </w:p>
    <w:p w14:paraId="373ED7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программы по заводам и типам составляет:</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4E10C1" w:rsidRPr="0044524F" w14:paraId="6D0A8944" w14:textId="77777777">
        <w:tc>
          <w:tcPr>
            <w:tcW w:w="1436" w:type="dxa"/>
          </w:tcPr>
          <w:p w14:paraId="00EB8EC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заводов</w:t>
            </w:r>
          </w:p>
        </w:tc>
        <w:tc>
          <w:tcPr>
            <w:tcW w:w="1436" w:type="dxa"/>
          </w:tcPr>
          <w:p w14:paraId="67D228A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Типы самолетов</w:t>
            </w:r>
          </w:p>
        </w:tc>
        <w:tc>
          <w:tcPr>
            <w:tcW w:w="1436" w:type="dxa"/>
          </w:tcPr>
          <w:p w14:paraId="046FB61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Годовой план 1933 года (госплан)</w:t>
            </w:r>
          </w:p>
        </w:tc>
        <w:tc>
          <w:tcPr>
            <w:tcW w:w="1436" w:type="dxa"/>
          </w:tcPr>
          <w:p w14:paraId="4CA9609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9-ти месяцев</w:t>
            </w:r>
          </w:p>
        </w:tc>
        <w:tc>
          <w:tcPr>
            <w:tcW w:w="1436" w:type="dxa"/>
          </w:tcPr>
          <w:p w14:paraId="18EBE26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 9 месяцев</w:t>
            </w:r>
          </w:p>
        </w:tc>
        <w:tc>
          <w:tcPr>
            <w:tcW w:w="1436" w:type="dxa"/>
          </w:tcPr>
          <w:p w14:paraId="2C58E62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выполнения к 9-ти месячному плану</w:t>
            </w:r>
          </w:p>
        </w:tc>
        <w:tc>
          <w:tcPr>
            <w:tcW w:w="1436" w:type="dxa"/>
          </w:tcPr>
          <w:p w14:paraId="6981449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 9 месяцев 1932 года</w:t>
            </w:r>
          </w:p>
        </w:tc>
        <w:tc>
          <w:tcPr>
            <w:tcW w:w="1005" w:type="dxa"/>
          </w:tcPr>
          <w:p w14:paraId="1F3270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сдачи 1933 года к 1932 году</w:t>
            </w:r>
          </w:p>
        </w:tc>
      </w:tr>
      <w:tr w:rsidR="004E10C1" w:rsidRPr="0044524F" w14:paraId="52C25320" w14:textId="77777777">
        <w:tc>
          <w:tcPr>
            <w:tcW w:w="1436" w:type="dxa"/>
          </w:tcPr>
          <w:p w14:paraId="4840F35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36" w:type="dxa"/>
          </w:tcPr>
          <w:p w14:paraId="7EC4DB6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tc>
        <w:tc>
          <w:tcPr>
            <w:tcW w:w="1436" w:type="dxa"/>
          </w:tcPr>
          <w:p w14:paraId="6122B7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1675</w:t>
            </w:r>
          </w:p>
        </w:tc>
        <w:tc>
          <w:tcPr>
            <w:tcW w:w="1436" w:type="dxa"/>
          </w:tcPr>
          <w:p w14:paraId="0BEB0C2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1208</w:t>
            </w:r>
          </w:p>
        </w:tc>
        <w:tc>
          <w:tcPr>
            <w:tcW w:w="1436" w:type="dxa"/>
          </w:tcPr>
          <w:p w14:paraId="533D1EC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956</w:t>
            </w:r>
          </w:p>
        </w:tc>
        <w:tc>
          <w:tcPr>
            <w:tcW w:w="1436" w:type="dxa"/>
          </w:tcPr>
          <w:p w14:paraId="6AD1F1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79,1</w:t>
            </w:r>
          </w:p>
        </w:tc>
        <w:tc>
          <w:tcPr>
            <w:tcW w:w="1436" w:type="dxa"/>
          </w:tcPr>
          <w:p w14:paraId="1324498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690</w:t>
            </w:r>
          </w:p>
        </w:tc>
        <w:tc>
          <w:tcPr>
            <w:tcW w:w="1005" w:type="dxa"/>
          </w:tcPr>
          <w:p w14:paraId="7226BA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138,5</w:t>
            </w:r>
          </w:p>
        </w:tc>
      </w:tr>
      <w:tr w:rsidR="004E10C1" w:rsidRPr="0044524F" w14:paraId="0042DCBF" w14:textId="77777777">
        <w:tc>
          <w:tcPr>
            <w:tcW w:w="1436" w:type="dxa"/>
          </w:tcPr>
          <w:p w14:paraId="03FBE4B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36" w:type="dxa"/>
          </w:tcPr>
          <w:p w14:paraId="718318F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МР5-М17</w:t>
            </w:r>
          </w:p>
        </w:tc>
        <w:tc>
          <w:tcPr>
            <w:tcW w:w="1436" w:type="dxa"/>
          </w:tcPr>
          <w:p w14:paraId="4D62F5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36" w:type="dxa"/>
          </w:tcPr>
          <w:p w14:paraId="687FB3B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436" w:type="dxa"/>
          </w:tcPr>
          <w:p w14:paraId="061D90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3734BAC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7CED321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32A85EA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7D0A686" w14:textId="77777777">
        <w:tc>
          <w:tcPr>
            <w:tcW w:w="1436" w:type="dxa"/>
          </w:tcPr>
          <w:p w14:paraId="201B3CD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36" w:type="dxa"/>
          </w:tcPr>
          <w:p w14:paraId="4FF9D9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1436" w:type="dxa"/>
          </w:tcPr>
          <w:p w14:paraId="3F17F4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436" w:type="dxa"/>
          </w:tcPr>
          <w:p w14:paraId="15148F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w:t>
            </w:r>
          </w:p>
        </w:tc>
        <w:tc>
          <w:tcPr>
            <w:tcW w:w="1436" w:type="dxa"/>
          </w:tcPr>
          <w:p w14:paraId="50D6402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1436" w:type="dxa"/>
          </w:tcPr>
          <w:p w14:paraId="46688C0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27,9</w:t>
            </w:r>
          </w:p>
        </w:tc>
        <w:tc>
          <w:tcPr>
            <w:tcW w:w="1436" w:type="dxa"/>
          </w:tcPr>
          <w:p w14:paraId="33D1FE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1A1D79A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3F20DE2" w14:textId="77777777">
        <w:tc>
          <w:tcPr>
            <w:tcW w:w="1436" w:type="dxa"/>
          </w:tcPr>
          <w:p w14:paraId="1A915E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36" w:type="dxa"/>
          </w:tcPr>
          <w:p w14:paraId="55F5D09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И5-М17</w:t>
            </w:r>
          </w:p>
        </w:tc>
        <w:tc>
          <w:tcPr>
            <w:tcW w:w="1436" w:type="dxa"/>
          </w:tcPr>
          <w:p w14:paraId="524F67E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4B50D95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77AF883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2409B87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23F68B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1005" w:type="dxa"/>
          </w:tcPr>
          <w:p w14:paraId="444987F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CAD58B7" w14:textId="77777777">
        <w:tc>
          <w:tcPr>
            <w:tcW w:w="1436" w:type="dxa"/>
          </w:tcPr>
          <w:p w14:paraId="080B7A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436" w:type="dxa"/>
          </w:tcPr>
          <w:p w14:paraId="3B5FEF0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И5-М22</w:t>
            </w:r>
          </w:p>
        </w:tc>
        <w:tc>
          <w:tcPr>
            <w:tcW w:w="1436" w:type="dxa"/>
          </w:tcPr>
          <w:p w14:paraId="6A62DB6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436" w:type="dxa"/>
          </w:tcPr>
          <w:p w14:paraId="6D88E1A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 (план 8-ми месяцев)</w:t>
            </w:r>
          </w:p>
        </w:tc>
        <w:tc>
          <w:tcPr>
            <w:tcW w:w="1436" w:type="dxa"/>
          </w:tcPr>
          <w:p w14:paraId="3745A3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179 (сдача 8-ми месяцев)</w:t>
            </w:r>
          </w:p>
        </w:tc>
        <w:tc>
          <w:tcPr>
            <w:tcW w:w="1436" w:type="dxa"/>
          </w:tcPr>
          <w:p w14:paraId="05A12B6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99,4</w:t>
            </w:r>
          </w:p>
        </w:tc>
        <w:tc>
          <w:tcPr>
            <w:tcW w:w="1436" w:type="dxa"/>
          </w:tcPr>
          <w:p w14:paraId="130BB3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42E23F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16EFB7A" w14:textId="77777777">
        <w:tc>
          <w:tcPr>
            <w:tcW w:w="1436" w:type="dxa"/>
          </w:tcPr>
          <w:p w14:paraId="213169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436" w:type="dxa"/>
          </w:tcPr>
          <w:p w14:paraId="7FB3D6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436" w:type="dxa"/>
          </w:tcPr>
          <w:p w14:paraId="3139CD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436" w:type="dxa"/>
          </w:tcPr>
          <w:p w14:paraId="1195A2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436" w:type="dxa"/>
          </w:tcPr>
          <w:p w14:paraId="34952F9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168</w:t>
            </w:r>
          </w:p>
        </w:tc>
        <w:tc>
          <w:tcPr>
            <w:tcW w:w="1436" w:type="dxa"/>
          </w:tcPr>
          <w:p w14:paraId="5A501FC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140,0</w:t>
            </w:r>
          </w:p>
        </w:tc>
        <w:tc>
          <w:tcPr>
            <w:tcW w:w="1436" w:type="dxa"/>
          </w:tcPr>
          <w:p w14:paraId="4EE0FB2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1005" w:type="dxa"/>
          </w:tcPr>
          <w:p w14:paraId="280FCE6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357,4</w:t>
            </w:r>
          </w:p>
        </w:tc>
      </w:tr>
      <w:tr w:rsidR="004E10C1" w:rsidRPr="0044524F" w14:paraId="5F9DEA7F" w14:textId="77777777">
        <w:tc>
          <w:tcPr>
            <w:tcW w:w="1436" w:type="dxa"/>
          </w:tcPr>
          <w:p w14:paraId="19B21C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436" w:type="dxa"/>
          </w:tcPr>
          <w:p w14:paraId="60FE7E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436" w:type="dxa"/>
          </w:tcPr>
          <w:p w14:paraId="1E42375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436" w:type="dxa"/>
          </w:tcPr>
          <w:p w14:paraId="6D5127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1436" w:type="dxa"/>
          </w:tcPr>
          <w:p w14:paraId="5D5B694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436" w:type="dxa"/>
          </w:tcPr>
          <w:p w14:paraId="16E307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tc>
        <w:tc>
          <w:tcPr>
            <w:tcW w:w="1436" w:type="dxa"/>
          </w:tcPr>
          <w:p w14:paraId="1EAE83F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2808407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67B4A71" w14:textId="77777777">
        <w:tc>
          <w:tcPr>
            <w:tcW w:w="1436" w:type="dxa"/>
          </w:tcPr>
          <w:p w14:paraId="4839FF1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436" w:type="dxa"/>
          </w:tcPr>
          <w:p w14:paraId="73FC50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w:t>
            </w:r>
          </w:p>
        </w:tc>
        <w:tc>
          <w:tcPr>
            <w:tcW w:w="1436" w:type="dxa"/>
          </w:tcPr>
          <w:p w14:paraId="31AFDA9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436" w:type="dxa"/>
          </w:tcPr>
          <w:p w14:paraId="426168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2E046F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7B2CA17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7A3B73C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55D5647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CB4DB43" w14:textId="77777777">
        <w:tc>
          <w:tcPr>
            <w:tcW w:w="1436" w:type="dxa"/>
          </w:tcPr>
          <w:p w14:paraId="72E3D9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436" w:type="dxa"/>
          </w:tcPr>
          <w:p w14:paraId="2A2A0D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w:t>
            </w:r>
          </w:p>
        </w:tc>
        <w:tc>
          <w:tcPr>
            <w:tcW w:w="1436" w:type="dxa"/>
          </w:tcPr>
          <w:p w14:paraId="2A57272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436" w:type="dxa"/>
          </w:tcPr>
          <w:p w14:paraId="6C85D4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6543157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599C77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629ED66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0294420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6B182D7" w14:textId="77777777">
        <w:tc>
          <w:tcPr>
            <w:tcW w:w="1436" w:type="dxa"/>
          </w:tcPr>
          <w:p w14:paraId="114C43F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436" w:type="dxa"/>
          </w:tcPr>
          <w:p w14:paraId="35D8A5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МБР4-АССО</w:t>
            </w:r>
          </w:p>
        </w:tc>
        <w:tc>
          <w:tcPr>
            <w:tcW w:w="1436" w:type="dxa"/>
          </w:tcPr>
          <w:p w14:paraId="535F77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436" w:type="dxa"/>
          </w:tcPr>
          <w:p w14:paraId="106C96F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436" w:type="dxa"/>
          </w:tcPr>
          <w:p w14:paraId="30E8B8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436" w:type="dxa"/>
          </w:tcPr>
          <w:p w14:paraId="6AEEA1D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436" w:type="dxa"/>
          </w:tcPr>
          <w:p w14:paraId="5FC47D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1005" w:type="dxa"/>
          </w:tcPr>
          <w:p w14:paraId="100A502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r>
      <w:tr w:rsidR="004E10C1" w:rsidRPr="0044524F" w14:paraId="3EC31D9E" w14:textId="77777777">
        <w:tc>
          <w:tcPr>
            <w:tcW w:w="1436" w:type="dxa"/>
          </w:tcPr>
          <w:p w14:paraId="12F5656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436" w:type="dxa"/>
          </w:tcPr>
          <w:p w14:paraId="6B40A8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tc>
        <w:tc>
          <w:tcPr>
            <w:tcW w:w="1436" w:type="dxa"/>
          </w:tcPr>
          <w:p w14:paraId="2A945A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1436" w:type="dxa"/>
          </w:tcPr>
          <w:p w14:paraId="1863B6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c>
          <w:tcPr>
            <w:tcW w:w="1436" w:type="dxa"/>
          </w:tcPr>
          <w:p w14:paraId="4455C6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29B3836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66C42AB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0EA72F0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D599B25" w14:textId="77777777">
        <w:tc>
          <w:tcPr>
            <w:tcW w:w="1436" w:type="dxa"/>
          </w:tcPr>
          <w:p w14:paraId="5E54119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436" w:type="dxa"/>
          </w:tcPr>
          <w:p w14:paraId="5A3383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tc>
        <w:tc>
          <w:tcPr>
            <w:tcW w:w="1436" w:type="dxa"/>
          </w:tcPr>
          <w:p w14:paraId="0548C7C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36" w:type="dxa"/>
          </w:tcPr>
          <w:p w14:paraId="5425D87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36" w:type="dxa"/>
          </w:tcPr>
          <w:p w14:paraId="4AED402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436" w:type="dxa"/>
          </w:tcPr>
          <w:p w14:paraId="0AC27DC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1436" w:type="dxa"/>
          </w:tcPr>
          <w:p w14:paraId="6260B0F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32727E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BC4653A" w14:textId="77777777">
        <w:tc>
          <w:tcPr>
            <w:tcW w:w="1436" w:type="dxa"/>
          </w:tcPr>
          <w:p w14:paraId="21A1DB0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31</w:t>
            </w:r>
          </w:p>
        </w:tc>
        <w:tc>
          <w:tcPr>
            <w:tcW w:w="1436" w:type="dxa"/>
          </w:tcPr>
          <w:p w14:paraId="595C1CF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АШ-М11</w:t>
            </w:r>
          </w:p>
        </w:tc>
        <w:tc>
          <w:tcPr>
            <w:tcW w:w="1436" w:type="dxa"/>
          </w:tcPr>
          <w:p w14:paraId="3DD01AE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c>
          <w:tcPr>
            <w:tcW w:w="1436" w:type="dxa"/>
          </w:tcPr>
          <w:p w14:paraId="73A3F9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c>
          <w:tcPr>
            <w:tcW w:w="1436" w:type="dxa"/>
          </w:tcPr>
          <w:p w14:paraId="74B467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w:t>
            </w:r>
          </w:p>
        </w:tc>
        <w:tc>
          <w:tcPr>
            <w:tcW w:w="1436" w:type="dxa"/>
          </w:tcPr>
          <w:p w14:paraId="47E9DA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98,3</w:t>
            </w:r>
          </w:p>
        </w:tc>
        <w:tc>
          <w:tcPr>
            <w:tcW w:w="1436" w:type="dxa"/>
          </w:tcPr>
          <w:p w14:paraId="716833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005" w:type="dxa"/>
          </w:tcPr>
          <w:p w14:paraId="4581486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8600,0</w:t>
            </w:r>
          </w:p>
        </w:tc>
      </w:tr>
      <w:tr w:rsidR="004E10C1" w:rsidRPr="0044524F" w14:paraId="0CB27DD8" w14:textId="77777777">
        <w:tc>
          <w:tcPr>
            <w:tcW w:w="1436" w:type="dxa"/>
          </w:tcPr>
          <w:p w14:paraId="086C1D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436" w:type="dxa"/>
          </w:tcPr>
          <w:p w14:paraId="36B6FFB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АНТ9-2М17</w:t>
            </w:r>
          </w:p>
        </w:tc>
        <w:tc>
          <w:tcPr>
            <w:tcW w:w="1436" w:type="dxa"/>
          </w:tcPr>
          <w:p w14:paraId="257C161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436" w:type="dxa"/>
          </w:tcPr>
          <w:p w14:paraId="24688D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436" w:type="dxa"/>
          </w:tcPr>
          <w:p w14:paraId="59F73E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7D24AE9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034B33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77016C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32C7770" w14:textId="77777777">
        <w:tc>
          <w:tcPr>
            <w:tcW w:w="1436" w:type="dxa"/>
          </w:tcPr>
          <w:p w14:paraId="369287F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1436" w:type="dxa"/>
          </w:tcPr>
          <w:p w14:paraId="2E77911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436" w:type="dxa"/>
          </w:tcPr>
          <w:p w14:paraId="3C05B7D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436" w:type="dxa"/>
          </w:tcPr>
          <w:p w14:paraId="426B359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436" w:type="dxa"/>
          </w:tcPr>
          <w:p w14:paraId="25F46E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436" w:type="dxa"/>
          </w:tcPr>
          <w:p w14:paraId="2D3EF8C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104,3</w:t>
            </w:r>
          </w:p>
        </w:tc>
        <w:tc>
          <w:tcPr>
            <w:tcW w:w="1436" w:type="dxa"/>
          </w:tcPr>
          <w:p w14:paraId="63DA44C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478C79E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B7D18B9" w14:textId="77777777">
        <w:tc>
          <w:tcPr>
            <w:tcW w:w="1436" w:type="dxa"/>
          </w:tcPr>
          <w:p w14:paraId="0BEF07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436" w:type="dxa"/>
          </w:tcPr>
          <w:p w14:paraId="6C01ED2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436" w:type="dxa"/>
          </w:tcPr>
          <w:p w14:paraId="20F4338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436" w:type="dxa"/>
          </w:tcPr>
          <w:p w14:paraId="5369C92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436" w:type="dxa"/>
          </w:tcPr>
          <w:p w14:paraId="1C5630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3195A14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5459117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7800A31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D2BB3E9" w14:textId="77777777">
        <w:tc>
          <w:tcPr>
            <w:tcW w:w="1436" w:type="dxa"/>
          </w:tcPr>
          <w:p w14:paraId="192A3EC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436" w:type="dxa"/>
          </w:tcPr>
          <w:p w14:paraId="04B672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tc>
        <w:tc>
          <w:tcPr>
            <w:tcW w:w="1436" w:type="dxa"/>
          </w:tcPr>
          <w:p w14:paraId="66497F3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1280</w:t>
            </w:r>
          </w:p>
        </w:tc>
        <w:tc>
          <w:tcPr>
            <w:tcW w:w="1436" w:type="dxa"/>
          </w:tcPr>
          <w:p w14:paraId="2CA2B19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933</w:t>
            </w:r>
          </w:p>
        </w:tc>
        <w:tc>
          <w:tcPr>
            <w:tcW w:w="1436" w:type="dxa"/>
          </w:tcPr>
          <w:p w14:paraId="78836EF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880</w:t>
            </w:r>
          </w:p>
        </w:tc>
        <w:tc>
          <w:tcPr>
            <w:tcW w:w="1436" w:type="dxa"/>
          </w:tcPr>
          <w:p w14:paraId="6545627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94,3</w:t>
            </w:r>
          </w:p>
        </w:tc>
        <w:tc>
          <w:tcPr>
            <w:tcW w:w="1436" w:type="dxa"/>
          </w:tcPr>
          <w:p w14:paraId="31DF033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642</w:t>
            </w:r>
          </w:p>
        </w:tc>
        <w:tc>
          <w:tcPr>
            <w:tcW w:w="1005" w:type="dxa"/>
          </w:tcPr>
          <w:p w14:paraId="538C01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137,1</w:t>
            </w:r>
          </w:p>
        </w:tc>
      </w:tr>
      <w:tr w:rsidR="004E10C1" w:rsidRPr="0044524F" w14:paraId="24C0F727" w14:textId="77777777">
        <w:tc>
          <w:tcPr>
            <w:tcW w:w="1436" w:type="dxa"/>
          </w:tcPr>
          <w:p w14:paraId="50A1BBF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436" w:type="dxa"/>
          </w:tcPr>
          <w:p w14:paraId="67B5207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АП-М11</w:t>
            </w:r>
          </w:p>
        </w:tc>
        <w:tc>
          <w:tcPr>
            <w:tcW w:w="1436" w:type="dxa"/>
          </w:tcPr>
          <w:p w14:paraId="2AAC3D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436" w:type="dxa"/>
          </w:tcPr>
          <w:p w14:paraId="2CCE3B0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436" w:type="dxa"/>
          </w:tcPr>
          <w:p w14:paraId="7EBC2D8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127</w:t>
            </w:r>
          </w:p>
        </w:tc>
        <w:tc>
          <w:tcPr>
            <w:tcW w:w="1436" w:type="dxa"/>
          </w:tcPr>
          <w:p w14:paraId="142C4D2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105,8</w:t>
            </w:r>
          </w:p>
        </w:tc>
        <w:tc>
          <w:tcPr>
            <w:tcW w:w="1436" w:type="dxa"/>
          </w:tcPr>
          <w:p w14:paraId="0299477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w:t>
            </w:r>
          </w:p>
        </w:tc>
        <w:tc>
          <w:tcPr>
            <w:tcW w:w="1005" w:type="dxa"/>
          </w:tcPr>
          <w:p w14:paraId="4D572F5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74,3</w:t>
            </w:r>
          </w:p>
        </w:tc>
      </w:tr>
      <w:tr w:rsidR="004E10C1" w:rsidRPr="0044524F" w14:paraId="03816309" w14:textId="77777777">
        <w:tc>
          <w:tcPr>
            <w:tcW w:w="1436" w:type="dxa"/>
          </w:tcPr>
          <w:p w14:paraId="19D6610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tc>
        <w:tc>
          <w:tcPr>
            <w:tcW w:w="1436" w:type="dxa"/>
          </w:tcPr>
          <w:p w14:paraId="5054CC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К5-М22</w:t>
            </w:r>
          </w:p>
        </w:tc>
        <w:tc>
          <w:tcPr>
            <w:tcW w:w="1436" w:type="dxa"/>
          </w:tcPr>
          <w:p w14:paraId="60266EF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436" w:type="dxa"/>
          </w:tcPr>
          <w:p w14:paraId="3D7ACC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w:t>
            </w:r>
          </w:p>
        </w:tc>
        <w:tc>
          <w:tcPr>
            <w:tcW w:w="1436" w:type="dxa"/>
          </w:tcPr>
          <w:p w14:paraId="2AF880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w:t>
            </w:r>
          </w:p>
        </w:tc>
        <w:tc>
          <w:tcPr>
            <w:tcW w:w="1436" w:type="dxa"/>
          </w:tcPr>
          <w:p w14:paraId="1A5E86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70,6</w:t>
            </w:r>
          </w:p>
        </w:tc>
        <w:tc>
          <w:tcPr>
            <w:tcW w:w="1436" w:type="dxa"/>
          </w:tcPr>
          <w:p w14:paraId="376734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w:t>
            </w:r>
          </w:p>
        </w:tc>
        <w:tc>
          <w:tcPr>
            <w:tcW w:w="1005" w:type="dxa"/>
          </w:tcPr>
          <w:p w14:paraId="0D5EA8E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92,1</w:t>
            </w:r>
          </w:p>
        </w:tc>
      </w:tr>
    </w:tbl>
    <w:p w14:paraId="15C0F29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самолетов: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F26F01" w:rsidRPr="0044524F" w14:paraId="536DA811" w14:textId="77777777">
        <w:tc>
          <w:tcPr>
            <w:tcW w:w="1436" w:type="dxa"/>
          </w:tcPr>
          <w:p w14:paraId="262745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4BA8C7E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2508C7E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4495</w:t>
            </w:r>
          </w:p>
        </w:tc>
        <w:tc>
          <w:tcPr>
            <w:tcW w:w="1436" w:type="dxa"/>
          </w:tcPr>
          <w:p w14:paraId="5CE98F2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3230</w:t>
            </w:r>
          </w:p>
        </w:tc>
        <w:tc>
          <w:tcPr>
            <w:tcW w:w="1436" w:type="dxa"/>
          </w:tcPr>
          <w:p w14:paraId="0724D7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2630</w:t>
            </w:r>
          </w:p>
        </w:tc>
        <w:tc>
          <w:tcPr>
            <w:tcW w:w="1436" w:type="dxa"/>
          </w:tcPr>
          <w:p w14:paraId="2B62B28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81,4</w:t>
            </w:r>
          </w:p>
        </w:tc>
        <w:tc>
          <w:tcPr>
            <w:tcW w:w="1436" w:type="dxa"/>
          </w:tcPr>
          <w:p w14:paraId="0467BD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1736</w:t>
            </w:r>
          </w:p>
        </w:tc>
        <w:tc>
          <w:tcPr>
            <w:tcW w:w="1005" w:type="dxa"/>
          </w:tcPr>
          <w:p w14:paraId="1AE4B7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151,5</w:t>
            </w:r>
          </w:p>
        </w:tc>
      </w:tr>
    </w:tbl>
    <w:p w14:paraId="30D582C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4E10C1" w:rsidRPr="0044524F" w14:paraId="0A34801A" w14:textId="77777777">
        <w:tc>
          <w:tcPr>
            <w:tcW w:w="1436" w:type="dxa"/>
          </w:tcPr>
          <w:p w14:paraId="0A069D4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заводов</w:t>
            </w:r>
          </w:p>
        </w:tc>
        <w:tc>
          <w:tcPr>
            <w:tcW w:w="1436" w:type="dxa"/>
          </w:tcPr>
          <w:p w14:paraId="3ACD75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Типы моторов</w:t>
            </w:r>
          </w:p>
        </w:tc>
        <w:tc>
          <w:tcPr>
            <w:tcW w:w="1436" w:type="dxa"/>
          </w:tcPr>
          <w:p w14:paraId="772A49D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Годовой план 1933 года (госплан)</w:t>
            </w:r>
          </w:p>
        </w:tc>
        <w:tc>
          <w:tcPr>
            <w:tcW w:w="1436" w:type="dxa"/>
          </w:tcPr>
          <w:p w14:paraId="2C5FC52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9-ти месяцев</w:t>
            </w:r>
          </w:p>
        </w:tc>
        <w:tc>
          <w:tcPr>
            <w:tcW w:w="1436" w:type="dxa"/>
          </w:tcPr>
          <w:p w14:paraId="711C23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 9 месяцев</w:t>
            </w:r>
          </w:p>
        </w:tc>
        <w:tc>
          <w:tcPr>
            <w:tcW w:w="1436" w:type="dxa"/>
          </w:tcPr>
          <w:p w14:paraId="5F95F16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выполнения к 9-ти месячному плану</w:t>
            </w:r>
          </w:p>
        </w:tc>
        <w:tc>
          <w:tcPr>
            <w:tcW w:w="1436" w:type="dxa"/>
          </w:tcPr>
          <w:p w14:paraId="165B8B9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 9 месяцев 1932 года</w:t>
            </w:r>
          </w:p>
        </w:tc>
        <w:tc>
          <w:tcPr>
            <w:tcW w:w="1005" w:type="dxa"/>
          </w:tcPr>
          <w:p w14:paraId="5106BAA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сдачи 1933 года к 1932 году</w:t>
            </w:r>
          </w:p>
        </w:tc>
      </w:tr>
      <w:tr w:rsidR="004E10C1" w:rsidRPr="0044524F" w14:paraId="5DCD8E70" w14:textId="77777777">
        <w:tc>
          <w:tcPr>
            <w:tcW w:w="1436" w:type="dxa"/>
          </w:tcPr>
          <w:p w14:paraId="1B23259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436" w:type="dxa"/>
          </w:tcPr>
          <w:p w14:paraId="2E65B18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436" w:type="dxa"/>
          </w:tcPr>
          <w:p w14:paraId="0E5941B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962</w:t>
            </w:r>
          </w:p>
        </w:tc>
        <w:tc>
          <w:tcPr>
            <w:tcW w:w="1436" w:type="dxa"/>
          </w:tcPr>
          <w:p w14:paraId="113A0A7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570</w:t>
            </w:r>
          </w:p>
        </w:tc>
        <w:tc>
          <w:tcPr>
            <w:tcW w:w="1436" w:type="dxa"/>
          </w:tcPr>
          <w:p w14:paraId="7AB0C8B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457</w:t>
            </w:r>
          </w:p>
        </w:tc>
        <w:tc>
          <w:tcPr>
            <w:tcW w:w="1436" w:type="dxa"/>
          </w:tcPr>
          <w:p w14:paraId="6B1182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80,2</w:t>
            </w:r>
          </w:p>
        </w:tc>
        <w:tc>
          <w:tcPr>
            <w:tcW w:w="1436" w:type="dxa"/>
          </w:tcPr>
          <w:p w14:paraId="19CF117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005" w:type="dxa"/>
          </w:tcPr>
          <w:p w14:paraId="37DE14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2538,8</w:t>
            </w:r>
          </w:p>
        </w:tc>
      </w:tr>
      <w:tr w:rsidR="004E10C1" w:rsidRPr="0044524F" w14:paraId="2E26CD11" w14:textId="77777777">
        <w:tc>
          <w:tcPr>
            <w:tcW w:w="1436" w:type="dxa"/>
          </w:tcPr>
          <w:p w14:paraId="31DE56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436" w:type="dxa"/>
          </w:tcPr>
          <w:p w14:paraId="39A371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436" w:type="dxa"/>
          </w:tcPr>
          <w:p w14:paraId="4E3C3A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77977E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09ED9AC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7B5772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64DCDAC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w:t>
            </w:r>
          </w:p>
        </w:tc>
        <w:tc>
          <w:tcPr>
            <w:tcW w:w="1005" w:type="dxa"/>
          </w:tcPr>
          <w:p w14:paraId="07C1BAC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C8871C0" w14:textId="77777777">
        <w:tc>
          <w:tcPr>
            <w:tcW w:w="1436" w:type="dxa"/>
          </w:tcPr>
          <w:p w14:paraId="2195D32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436" w:type="dxa"/>
          </w:tcPr>
          <w:p w14:paraId="0BD342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436" w:type="dxa"/>
          </w:tcPr>
          <w:p w14:paraId="42AD40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3800</w:t>
            </w:r>
          </w:p>
        </w:tc>
        <w:tc>
          <w:tcPr>
            <w:tcW w:w="1436" w:type="dxa"/>
          </w:tcPr>
          <w:p w14:paraId="0B8836A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2605</w:t>
            </w:r>
          </w:p>
        </w:tc>
        <w:tc>
          <w:tcPr>
            <w:tcW w:w="1436" w:type="dxa"/>
          </w:tcPr>
          <w:p w14:paraId="03A510A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2605</w:t>
            </w:r>
          </w:p>
        </w:tc>
        <w:tc>
          <w:tcPr>
            <w:tcW w:w="1436" w:type="dxa"/>
          </w:tcPr>
          <w:p w14:paraId="6E7D107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436" w:type="dxa"/>
          </w:tcPr>
          <w:p w14:paraId="4EEE773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1186</w:t>
            </w:r>
          </w:p>
        </w:tc>
        <w:tc>
          <w:tcPr>
            <w:tcW w:w="1005" w:type="dxa"/>
          </w:tcPr>
          <w:p w14:paraId="2D60FA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219,6</w:t>
            </w:r>
          </w:p>
        </w:tc>
      </w:tr>
      <w:tr w:rsidR="004E10C1" w:rsidRPr="0044524F" w14:paraId="223B4F0C" w14:textId="77777777">
        <w:tc>
          <w:tcPr>
            <w:tcW w:w="1436" w:type="dxa"/>
          </w:tcPr>
          <w:p w14:paraId="1980D06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436" w:type="dxa"/>
          </w:tcPr>
          <w:p w14:paraId="7DC7F0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436" w:type="dxa"/>
          </w:tcPr>
          <w:p w14:paraId="7A6D22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2155</w:t>
            </w:r>
          </w:p>
        </w:tc>
        <w:tc>
          <w:tcPr>
            <w:tcW w:w="1436" w:type="dxa"/>
          </w:tcPr>
          <w:p w14:paraId="47BFBD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1780</w:t>
            </w:r>
          </w:p>
        </w:tc>
        <w:tc>
          <w:tcPr>
            <w:tcW w:w="1436" w:type="dxa"/>
          </w:tcPr>
          <w:p w14:paraId="21D069A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1493</w:t>
            </w:r>
          </w:p>
        </w:tc>
        <w:tc>
          <w:tcPr>
            <w:tcW w:w="1436" w:type="dxa"/>
          </w:tcPr>
          <w:p w14:paraId="537145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83,9</w:t>
            </w:r>
          </w:p>
        </w:tc>
        <w:tc>
          <w:tcPr>
            <w:tcW w:w="1436" w:type="dxa"/>
          </w:tcPr>
          <w:p w14:paraId="3B7D099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1161</w:t>
            </w:r>
          </w:p>
        </w:tc>
        <w:tc>
          <w:tcPr>
            <w:tcW w:w="1005" w:type="dxa"/>
          </w:tcPr>
          <w:p w14:paraId="46E6E0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128,6</w:t>
            </w:r>
          </w:p>
        </w:tc>
      </w:tr>
      <w:tr w:rsidR="004E10C1" w:rsidRPr="0044524F" w14:paraId="15577D83" w14:textId="77777777">
        <w:tc>
          <w:tcPr>
            <w:tcW w:w="1436" w:type="dxa"/>
          </w:tcPr>
          <w:p w14:paraId="585436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436" w:type="dxa"/>
          </w:tcPr>
          <w:p w14:paraId="31B6275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436" w:type="dxa"/>
          </w:tcPr>
          <w:p w14:paraId="340FE5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w:t>
            </w:r>
          </w:p>
        </w:tc>
        <w:tc>
          <w:tcPr>
            <w:tcW w:w="1436" w:type="dxa"/>
          </w:tcPr>
          <w:p w14:paraId="60EE23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1436" w:type="dxa"/>
          </w:tcPr>
          <w:p w14:paraId="2ACD73C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w:t>
            </w:r>
          </w:p>
        </w:tc>
        <w:tc>
          <w:tcPr>
            <w:tcW w:w="1436" w:type="dxa"/>
          </w:tcPr>
          <w:p w14:paraId="26DE75B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80,3</w:t>
            </w:r>
          </w:p>
        </w:tc>
        <w:tc>
          <w:tcPr>
            <w:tcW w:w="1436" w:type="dxa"/>
          </w:tcPr>
          <w:p w14:paraId="3F57266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257</w:t>
            </w:r>
          </w:p>
        </w:tc>
        <w:tc>
          <w:tcPr>
            <w:tcW w:w="1005" w:type="dxa"/>
          </w:tcPr>
          <w:p w14:paraId="0D6922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109,3</w:t>
            </w:r>
          </w:p>
        </w:tc>
      </w:tr>
      <w:tr w:rsidR="004E10C1" w:rsidRPr="0044524F" w14:paraId="44B3CFB0" w14:textId="77777777">
        <w:tc>
          <w:tcPr>
            <w:tcW w:w="1436" w:type="dxa"/>
          </w:tcPr>
          <w:p w14:paraId="5876C18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1436" w:type="dxa"/>
          </w:tcPr>
          <w:p w14:paraId="5EEA9DE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436" w:type="dxa"/>
          </w:tcPr>
          <w:p w14:paraId="69B85C3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1436" w:type="dxa"/>
          </w:tcPr>
          <w:p w14:paraId="60B5A3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3345048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79CC6C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6" w:type="dxa"/>
          </w:tcPr>
          <w:p w14:paraId="3268EF0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05" w:type="dxa"/>
          </w:tcPr>
          <w:p w14:paraId="7EA6165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bl>
    <w:p w14:paraId="413362E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моторов: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6"/>
        <w:gridCol w:w="1436"/>
        <w:gridCol w:w="1436"/>
        <w:gridCol w:w="1436"/>
        <w:gridCol w:w="1436"/>
        <w:gridCol w:w="1436"/>
        <w:gridCol w:w="1436"/>
        <w:gridCol w:w="1005"/>
      </w:tblGrid>
      <w:tr w:rsidR="004E10C1" w:rsidRPr="0044524F" w14:paraId="1B5FCB1E" w14:textId="77777777">
        <w:tc>
          <w:tcPr>
            <w:tcW w:w="1436" w:type="dxa"/>
          </w:tcPr>
          <w:p w14:paraId="6B6571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2DAE46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6" w:type="dxa"/>
          </w:tcPr>
          <w:p w14:paraId="11D578C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7472</w:t>
            </w:r>
          </w:p>
        </w:tc>
        <w:tc>
          <w:tcPr>
            <w:tcW w:w="1436" w:type="dxa"/>
          </w:tcPr>
          <w:p w14:paraId="4588015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5305</w:t>
            </w:r>
          </w:p>
        </w:tc>
        <w:tc>
          <w:tcPr>
            <w:tcW w:w="1436" w:type="dxa"/>
          </w:tcPr>
          <w:p w14:paraId="0DA7B77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4836</w:t>
            </w:r>
          </w:p>
        </w:tc>
        <w:tc>
          <w:tcPr>
            <w:tcW w:w="1436" w:type="dxa"/>
          </w:tcPr>
          <w:p w14:paraId="7636937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91,1</w:t>
            </w:r>
          </w:p>
        </w:tc>
        <w:tc>
          <w:tcPr>
            <w:tcW w:w="1436" w:type="dxa"/>
          </w:tcPr>
          <w:p w14:paraId="26C5304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3162</w:t>
            </w:r>
          </w:p>
        </w:tc>
        <w:tc>
          <w:tcPr>
            <w:tcW w:w="1005" w:type="dxa"/>
          </w:tcPr>
          <w:p w14:paraId="75D8DB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152,9</w:t>
            </w:r>
          </w:p>
        </w:tc>
      </w:tr>
    </w:tbl>
    <w:p w14:paraId="44FFFF7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групповых комплектов за 9 месяцев составляло по самолетам – 333 комплекта или 68,5% от 9-ти месячного плана и по моторам 339 комплектов или 64,0% от плана.</w:t>
      </w:r>
    </w:p>
    <w:p w14:paraId="2BF829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Основное недовыполнение программы за 9 месяцев зависело от следующих причин:</w:t>
      </w:r>
    </w:p>
    <w:p w14:paraId="6A52B4B1"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области производства.</w:t>
      </w:r>
    </w:p>
    <w:p w14:paraId="01EAD89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Конструктивные изменения и недоработки самолетов и моторов: изменение хвостового оперения И7, недоработанность винтомоторной установки на самолет ТБ3 4М34 (радиаторы, винты, подогрев и проч.), задержка выхода эталонов из опытных организаций – самолетов ТБ4 и МИ3, неподготовленность к производству по самолетам Р6 и МБР4.</w:t>
      </w:r>
    </w:p>
    <w:p w14:paraId="2984277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Недостаточное освоение в производстве мотора М34 (заливка баббитом головок шатуна, течь воды в картер через уплотнительные кольца цилиндра и проч.) (и внедрение в производство ГМ34 и М34Р) редук. Изменение конструк. Масляных помп и друг.).</w:t>
      </w:r>
    </w:p>
    <w:p w14:paraId="4DEA0D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Многотипность в производстве: так по разведчикам Р5 завод № 1 выпускает по назначению: штурмовик, почтовый, школьный, разведчик, поплавковые и на тормозном шасси; большой типаж самолетов по заводу № 31 (Р6, МБР4-4М34, АШ-М11, АНТ9, МБР4-АССО).</w:t>
      </w:r>
    </w:p>
    <w:p w14:paraId="270CCE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Отсутствие необходимого хозяйственного и технического руководства (заводы №№ 1 и 31), к настоящему времени руководство сменено.</w:t>
      </w:r>
    </w:p>
    <w:p w14:paraId="3161101F"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области снабжения.</w:t>
      </w:r>
    </w:p>
    <w:p w14:paraId="73B4503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Недостаток цветных металлов, в особенности по олову, сортовой и листовой латуни и по алюминию.</w:t>
      </w:r>
    </w:p>
    <w:p w14:paraId="6776882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Недопоставка холоднокатанной калиброванной стали.</w:t>
      </w:r>
    </w:p>
    <w:p w14:paraId="49530EB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Недопоставка магнето; АТЭ. Электрокомбината систематически не выполняет программы по авиационному магнето. По 1 октября требовалось к подаче 17250 штук, поставлено (включительно по 1 октября 8785 штук. В настоящий момент остановился выпуск моторов М17 и М11. Импортного контингента нет.</w:t>
      </w:r>
    </w:p>
    <w:p w14:paraId="1268AA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программы по основным потребителям (по программе Госплана) составляет:</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83"/>
        <w:gridCol w:w="883"/>
        <w:gridCol w:w="883"/>
        <w:gridCol w:w="883"/>
        <w:gridCol w:w="883"/>
        <w:gridCol w:w="883"/>
        <w:gridCol w:w="883"/>
        <w:gridCol w:w="883"/>
        <w:gridCol w:w="883"/>
        <w:gridCol w:w="883"/>
        <w:gridCol w:w="883"/>
        <w:gridCol w:w="883"/>
        <w:gridCol w:w="461"/>
      </w:tblGrid>
      <w:tr w:rsidR="004E10C1" w:rsidRPr="0044524F" w14:paraId="5CD943CF" w14:textId="77777777">
        <w:tc>
          <w:tcPr>
            <w:tcW w:w="883" w:type="dxa"/>
          </w:tcPr>
          <w:p w14:paraId="544F61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Типы машин</w:t>
            </w:r>
          </w:p>
        </w:tc>
        <w:tc>
          <w:tcPr>
            <w:tcW w:w="883" w:type="dxa"/>
          </w:tcPr>
          <w:p w14:paraId="045683E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УВВС годовой заказ</w:t>
            </w:r>
          </w:p>
        </w:tc>
        <w:tc>
          <w:tcPr>
            <w:tcW w:w="883" w:type="dxa"/>
          </w:tcPr>
          <w:p w14:paraId="060DFB7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УВВС поставка за 9 месяцев</w:t>
            </w:r>
          </w:p>
        </w:tc>
        <w:tc>
          <w:tcPr>
            <w:tcW w:w="883" w:type="dxa"/>
          </w:tcPr>
          <w:p w14:paraId="617515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УВВС % выполн.</w:t>
            </w:r>
          </w:p>
          <w:p w14:paraId="63BEAAE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4AF0C6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ГУГВФ годовой заказ</w:t>
            </w:r>
          </w:p>
        </w:tc>
        <w:tc>
          <w:tcPr>
            <w:tcW w:w="883" w:type="dxa"/>
          </w:tcPr>
          <w:p w14:paraId="6A7C876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ГУГВФ поставка за 9 месяцев</w:t>
            </w:r>
          </w:p>
        </w:tc>
        <w:tc>
          <w:tcPr>
            <w:tcW w:w="883" w:type="dxa"/>
          </w:tcPr>
          <w:p w14:paraId="4662E0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ГУГВФ % выполн.</w:t>
            </w:r>
          </w:p>
        </w:tc>
        <w:tc>
          <w:tcPr>
            <w:tcW w:w="883" w:type="dxa"/>
          </w:tcPr>
          <w:p w14:paraId="5A4561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ОСОАВИАХИМ</w:t>
            </w:r>
          </w:p>
          <w:p w14:paraId="32C289D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годовой заказ</w:t>
            </w:r>
          </w:p>
        </w:tc>
        <w:tc>
          <w:tcPr>
            <w:tcW w:w="883" w:type="dxa"/>
          </w:tcPr>
          <w:p w14:paraId="6C2EC73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ОСОАВИАХИМ поставка за 9 месяцев</w:t>
            </w:r>
          </w:p>
        </w:tc>
        <w:tc>
          <w:tcPr>
            <w:tcW w:w="883" w:type="dxa"/>
          </w:tcPr>
          <w:p w14:paraId="599D2E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ОСОАВИАХИМ% выполн.</w:t>
            </w:r>
          </w:p>
        </w:tc>
        <w:tc>
          <w:tcPr>
            <w:tcW w:w="883" w:type="dxa"/>
          </w:tcPr>
          <w:p w14:paraId="7E171DD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ГПУ и</w:t>
            </w:r>
          </w:p>
          <w:p w14:paraId="57E0B3B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Динамо</w:t>
            </w:r>
          </w:p>
          <w:p w14:paraId="625C7CE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годовой заказ</w:t>
            </w:r>
          </w:p>
        </w:tc>
        <w:tc>
          <w:tcPr>
            <w:tcW w:w="883" w:type="dxa"/>
          </w:tcPr>
          <w:p w14:paraId="113188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ГПУ и Динамо поставка за 9 месяцев</w:t>
            </w:r>
          </w:p>
        </w:tc>
        <w:tc>
          <w:tcPr>
            <w:tcW w:w="461" w:type="dxa"/>
          </w:tcPr>
          <w:p w14:paraId="344BD93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ГПУ и Динамо % выполн.</w:t>
            </w:r>
          </w:p>
        </w:tc>
      </w:tr>
      <w:tr w:rsidR="004E10C1" w:rsidRPr="0044524F" w14:paraId="48F39D32" w14:textId="77777777">
        <w:tc>
          <w:tcPr>
            <w:tcW w:w="883" w:type="dxa"/>
          </w:tcPr>
          <w:p w14:paraId="160B4F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tc>
        <w:tc>
          <w:tcPr>
            <w:tcW w:w="883" w:type="dxa"/>
          </w:tcPr>
          <w:p w14:paraId="4B01C2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1550</w:t>
            </w:r>
          </w:p>
        </w:tc>
        <w:tc>
          <w:tcPr>
            <w:tcW w:w="883" w:type="dxa"/>
          </w:tcPr>
          <w:p w14:paraId="1D9BA71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811</w:t>
            </w:r>
          </w:p>
        </w:tc>
        <w:tc>
          <w:tcPr>
            <w:tcW w:w="883" w:type="dxa"/>
          </w:tcPr>
          <w:p w14:paraId="7766DF8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52,3</w:t>
            </w:r>
          </w:p>
        </w:tc>
        <w:tc>
          <w:tcPr>
            <w:tcW w:w="883" w:type="dxa"/>
          </w:tcPr>
          <w:p w14:paraId="409AD9C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c>
          <w:tcPr>
            <w:tcW w:w="883" w:type="dxa"/>
          </w:tcPr>
          <w:p w14:paraId="0FA23C2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c>
          <w:tcPr>
            <w:tcW w:w="883" w:type="dxa"/>
          </w:tcPr>
          <w:p w14:paraId="5DEA843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77,0</w:t>
            </w:r>
          </w:p>
        </w:tc>
        <w:tc>
          <w:tcPr>
            <w:tcW w:w="883" w:type="dxa"/>
          </w:tcPr>
          <w:p w14:paraId="08DF79A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883" w:type="dxa"/>
          </w:tcPr>
          <w:p w14:paraId="004B4B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883" w:type="dxa"/>
          </w:tcPr>
          <w:p w14:paraId="6397427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114,2</w:t>
            </w:r>
          </w:p>
        </w:tc>
        <w:tc>
          <w:tcPr>
            <w:tcW w:w="883" w:type="dxa"/>
          </w:tcPr>
          <w:p w14:paraId="3CDDCF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c>
          <w:tcPr>
            <w:tcW w:w="883" w:type="dxa"/>
          </w:tcPr>
          <w:p w14:paraId="247FD47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461" w:type="dxa"/>
          </w:tcPr>
          <w:p w14:paraId="57072A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121,2</w:t>
            </w:r>
          </w:p>
        </w:tc>
      </w:tr>
      <w:tr w:rsidR="004E10C1" w:rsidRPr="0044524F" w14:paraId="7F0935C1" w14:textId="77777777">
        <w:tc>
          <w:tcPr>
            <w:tcW w:w="883" w:type="dxa"/>
          </w:tcPr>
          <w:p w14:paraId="44E25B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МР5-М17</w:t>
            </w:r>
          </w:p>
        </w:tc>
        <w:tc>
          <w:tcPr>
            <w:tcW w:w="883" w:type="dxa"/>
          </w:tcPr>
          <w:p w14:paraId="3AE9DD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883" w:type="dxa"/>
          </w:tcPr>
          <w:p w14:paraId="38F4E9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26A34AA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6172DB0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0E4A766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59AC86A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4AB7D5C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0991AE0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34CD2D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3E5209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6C4FB09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61" w:type="dxa"/>
          </w:tcPr>
          <w:p w14:paraId="4836F2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EB137DA" w14:textId="77777777">
        <w:tc>
          <w:tcPr>
            <w:tcW w:w="883" w:type="dxa"/>
          </w:tcPr>
          <w:p w14:paraId="1F603BE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883" w:type="dxa"/>
          </w:tcPr>
          <w:p w14:paraId="49E7D5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883" w:type="dxa"/>
          </w:tcPr>
          <w:p w14:paraId="5DE456E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883" w:type="dxa"/>
          </w:tcPr>
          <w:p w14:paraId="1BE651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w:t>
            </w:r>
          </w:p>
        </w:tc>
        <w:tc>
          <w:tcPr>
            <w:tcW w:w="883" w:type="dxa"/>
          </w:tcPr>
          <w:p w14:paraId="6DD192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1BE20A7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49B9292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F6CFC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73156A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7AA69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FA700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44CDF8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2CD0509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5C4D059" w14:textId="77777777">
        <w:tc>
          <w:tcPr>
            <w:tcW w:w="883" w:type="dxa"/>
          </w:tcPr>
          <w:p w14:paraId="7FB8957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И5-М22</w:t>
            </w:r>
          </w:p>
        </w:tc>
        <w:tc>
          <w:tcPr>
            <w:tcW w:w="883" w:type="dxa"/>
          </w:tcPr>
          <w:p w14:paraId="674AC5F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883" w:type="dxa"/>
          </w:tcPr>
          <w:p w14:paraId="3A9905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179</w:t>
            </w:r>
          </w:p>
        </w:tc>
        <w:tc>
          <w:tcPr>
            <w:tcW w:w="883" w:type="dxa"/>
          </w:tcPr>
          <w:p w14:paraId="1B7B5DC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59,7</w:t>
            </w:r>
          </w:p>
        </w:tc>
        <w:tc>
          <w:tcPr>
            <w:tcW w:w="883" w:type="dxa"/>
          </w:tcPr>
          <w:p w14:paraId="66C910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4A8DD8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EBA854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498A52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3F049C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EEBA10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208DC94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7A6FC86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2D677A1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8063E84" w14:textId="77777777">
        <w:tc>
          <w:tcPr>
            <w:tcW w:w="883" w:type="dxa"/>
          </w:tcPr>
          <w:p w14:paraId="1A79E56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883" w:type="dxa"/>
          </w:tcPr>
          <w:p w14:paraId="5162C9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883" w:type="dxa"/>
          </w:tcPr>
          <w:p w14:paraId="55D47F1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w:t>
            </w:r>
          </w:p>
        </w:tc>
        <w:tc>
          <w:tcPr>
            <w:tcW w:w="883" w:type="dxa"/>
          </w:tcPr>
          <w:p w14:paraId="541C11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128,0</w:t>
            </w:r>
          </w:p>
        </w:tc>
        <w:tc>
          <w:tcPr>
            <w:tcW w:w="883" w:type="dxa"/>
          </w:tcPr>
          <w:p w14:paraId="53CE050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21A312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7FF995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3A93BC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3E67E1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247427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2CCAC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31133C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4A00B40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43DF04C" w14:textId="77777777">
        <w:tc>
          <w:tcPr>
            <w:tcW w:w="883" w:type="dxa"/>
          </w:tcPr>
          <w:p w14:paraId="429911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883" w:type="dxa"/>
          </w:tcPr>
          <w:p w14:paraId="05458EB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tc>
        <w:tc>
          <w:tcPr>
            <w:tcW w:w="883" w:type="dxa"/>
          </w:tcPr>
          <w:p w14:paraId="58803AA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883" w:type="dxa"/>
          </w:tcPr>
          <w:p w14:paraId="4A55DE8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883" w:type="dxa"/>
          </w:tcPr>
          <w:p w14:paraId="5B4773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5F1B83A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D95AD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22824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49195E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D5BDE1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86364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180AEE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767A132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5C9B2AF" w14:textId="77777777">
        <w:tc>
          <w:tcPr>
            <w:tcW w:w="883" w:type="dxa"/>
          </w:tcPr>
          <w:p w14:paraId="17387CB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w:t>
            </w:r>
          </w:p>
        </w:tc>
        <w:tc>
          <w:tcPr>
            <w:tcW w:w="883" w:type="dxa"/>
          </w:tcPr>
          <w:p w14:paraId="6D160C1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883" w:type="dxa"/>
          </w:tcPr>
          <w:p w14:paraId="01D9C4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1A6220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417D6D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03E78E4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54A107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56744F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45CD31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6BF705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E912E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22B01F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59C7EC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5BF85ED" w14:textId="77777777">
        <w:tc>
          <w:tcPr>
            <w:tcW w:w="883" w:type="dxa"/>
          </w:tcPr>
          <w:p w14:paraId="05D8D3E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МБР4-АССО</w:t>
            </w:r>
          </w:p>
        </w:tc>
        <w:tc>
          <w:tcPr>
            <w:tcW w:w="883" w:type="dxa"/>
          </w:tcPr>
          <w:p w14:paraId="6A45B6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883" w:type="dxa"/>
          </w:tcPr>
          <w:p w14:paraId="0F729E4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883" w:type="dxa"/>
          </w:tcPr>
          <w:p w14:paraId="3B2FBB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883" w:type="dxa"/>
          </w:tcPr>
          <w:p w14:paraId="3138FAF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71FF901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446D5E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5C8A121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37E57F6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A54A9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D03A14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2F4DE4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5A43CA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73FA76D" w14:textId="77777777">
        <w:tc>
          <w:tcPr>
            <w:tcW w:w="883" w:type="dxa"/>
          </w:tcPr>
          <w:p w14:paraId="4F81C01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tc>
        <w:tc>
          <w:tcPr>
            <w:tcW w:w="883" w:type="dxa"/>
          </w:tcPr>
          <w:p w14:paraId="3FB341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883" w:type="dxa"/>
          </w:tcPr>
          <w:p w14:paraId="5ADAD0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1774E4B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7A77582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83" w:type="dxa"/>
          </w:tcPr>
          <w:p w14:paraId="4F7D02C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09E0012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719826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750442F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3F89790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883" w:type="dxa"/>
          </w:tcPr>
          <w:p w14:paraId="17F430F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0E0876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461" w:type="dxa"/>
          </w:tcPr>
          <w:p w14:paraId="75B18B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5D4FA3E" w14:textId="77777777">
        <w:tc>
          <w:tcPr>
            <w:tcW w:w="883" w:type="dxa"/>
          </w:tcPr>
          <w:p w14:paraId="2006C2C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Р6-М17, М34</w:t>
            </w:r>
          </w:p>
        </w:tc>
        <w:tc>
          <w:tcPr>
            <w:tcW w:w="883" w:type="dxa"/>
          </w:tcPr>
          <w:p w14:paraId="3E6A753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883" w:type="dxa"/>
          </w:tcPr>
          <w:p w14:paraId="152009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883" w:type="dxa"/>
          </w:tcPr>
          <w:p w14:paraId="0913FFB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883" w:type="dxa"/>
          </w:tcPr>
          <w:p w14:paraId="5F45DB8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1603D8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2C8C2C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188F34E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48ECFCB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46A9172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5FE954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1568554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61" w:type="dxa"/>
          </w:tcPr>
          <w:p w14:paraId="5E9C863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DCC1592" w14:textId="77777777">
        <w:tc>
          <w:tcPr>
            <w:tcW w:w="883" w:type="dxa"/>
          </w:tcPr>
          <w:p w14:paraId="4690DA5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tc>
        <w:tc>
          <w:tcPr>
            <w:tcW w:w="883" w:type="dxa"/>
          </w:tcPr>
          <w:p w14:paraId="3E150F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883" w:type="dxa"/>
          </w:tcPr>
          <w:p w14:paraId="490CF1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w:t>
            </w:r>
          </w:p>
        </w:tc>
        <w:tc>
          <w:tcPr>
            <w:tcW w:w="883" w:type="dxa"/>
          </w:tcPr>
          <w:p w14:paraId="10A4879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126,0</w:t>
            </w:r>
          </w:p>
        </w:tc>
        <w:tc>
          <w:tcPr>
            <w:tcW w:w="883" w:type="dxa"/>
          </w:tcPr>
          <w:p w14:paraId="12F2379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883" w:type="dxa"/>
          </w:tcPr>
          <w:p w14:paraId="714C96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c>
          <w:tcPr>
            <w:tcW w:w="883" w:type="dxa"/>
          </w:tcPr>
          <w:p w14:paraId="2226ED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110,0</w:t>
            </w:r>
          </w:p>
        </w:tc>
        <w:tc>
          <w:tcPr>
            <w:tcW w:w="883" w:type="dxa"/>
          </w:tcPr>
          <w:p w14:paraId="4A7474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883" w:type="dxa"/>
          </w:tcPr>
          <w:p w14:paraId="70B454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883" w:type="dxa"/>
          </w:tcPr>
          <w:p w14:paraId="5116882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883" w:type="dxa"/>
          </w:tcPr>
          <w:p w14:paraId="6872E5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883" w:type="dxa"/>
          </w:tcPr>
          <w:p w14:paraId="1AECF0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461" w:type="dxa"/>
          </w:tcPr>
          <w:p w14:paraId="0ECE5C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29,2</w:t>
            </w:r>
          </w:p>
        </w:tc>
      </w:tr>
      <w:tr w:rsidR="004E10C1" w:rsidRPr="0044524F" w14:paraId="0F07F0D8" w14:textId="77777777">
        <w:tc>
          <w:tcPr>
            <w:tcW w:w="883" w:type="dxa"/>
          </w:tcPr>
          <w:p w14:paraId="396452B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tc>
        <w:tc>
          <w:tcPr>
            <w:tcW w:w="883" w:type="dxa"/>
          </w:tcPr>
          <w:p w14:paraId="58C6E83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883" w:type="dxa"/>
          </w:tcPr>
          <w:p w14:paraId="61C656D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558</w:t>
            </w:r>
          </w:p>
        </w:tc>
        <w:tc>
          <w:tcPr>
            <w:tcW w:w="883" w:type="dxa"/>
          </w:tcPr>
          <w:p w14:paraId="10FF96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69,7</w:t>
            </w:r>
          </w:p>
        </w:tc>
        <w:tc>
          <w:tcPr>
            <w:tcW w:w="883" w:type="dxa"/>
          </w:tcPr>
          <w:p w14:paraId="3834355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883" w:type="dxa"/>
          </w:tcPr>
          <w:p w14:paraId="45F05DB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883" w:type="dxa"/>
          </w:tcPr>
          <w:p w14:paraId="31483E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40,8</w:t>
            </w:r>
          </w:p>
        </w:tc>
        <w:tc>
          <w:tcPr>
            <w:tcW w:w="883" w:type="dxa"/>
          </w:tcPr>
          <w:p w14:paraId="3B8DBD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883" w:type="dxa"/>
          </w:tcPr>
          <w:p w14:paraId="47A1E1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157</w:t>
            </w:r>
          </w:p>
        </w:tc>
        <w:tc>
          <w:tcPr>
            <w:tcW w:w="883" w:type="dxa"/>
          </w:tcPr>
          <w:p w14:paraId="285857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78,5</w:t>
            </w:r>
          </w:p>
        </w:tc>
        <w:tc>
          <w:tcPr>
            <w:tcW w:w="883" w:type="dxa"/>
          </w:tcPr>
          <w:p w14:paraId="6023225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883" w:type="dxa"/>
          </w:tcPr>
          <w:p w14:paraId="3EEA7D2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461" w:type="dxa"/>
          </w:tcPr>
          <w:p w14:paraId="44D0884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w:t>
            </w:r>
          </w:p>
        </w:tc>
      </w:tr>
      <w:tr w:rsidR="004E10C1" w:rsidRPr="0044524F" w14:paraId="3AFA6510" w14:textId="77777777">
        <w:tc>
          <w:tcPr>
            <w:tcW w:w="883" w:type="dxa"/>
          </w:tcPr>
          <w:p w14:paraId="3EAF50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К5-М22</w:t>
            </w:r>
          </w:p>
        </w:tc>
        <w:tc>
          <w:tcPr>
            <w:tcW w:w="883" w:type="dxa"/>
          </w:tcPr>
          <w:p w14:paraId="669E1A4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5A62C15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883" w:type="dxa"/>
          </w:tcPr>
          <w:p w14:paraId="199F7B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164FACA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c>
          <w:tcPr>
            <w:tcW w:w="883" w:type="dxa"/>
          </w:tcPr>
          <w:p w14:paraId="099EDC7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c>
          <w:tcPr>
            <w:tcW w:w="883" w:type="dxa"/>
          </w:tcPr>
          <w:p w14:paraId="2E7C35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49,4</w:t>
            </w:r>
          </w:p>
        </w:tc>
        <w:tc>
          <w:tcPr>
            <w:tcW w:w="883" w:type="dxa"/>
          </w:tcPr>
          <w:p w14:paraId="6E2D41C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883" w:type="dxa"/>
          </w:tcPr>
          <w:p w14:paraId="59422F9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5B2961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5D864A1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883" w:type="dxa"/>
          </w:tcPr>
          <w:p w14:paraId="03D652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461" w:type="dxa"/>
          </w:tcPr>
          <w:p w14:paraId="5035CC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5CE0433B" w14:textId="77777777">
        <w:tc>
          <w:tcPr>
            <w:tcW w:w="883" w:type="dxa"/>
          </w:tcPr>
          <w:p w14:paraId="3303EA9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АП-М11</w:t>
            </w:r>
          </w:p>
        </w:tc>
        <w:tc>
          <w:tcPr>
            <w:tcW w:w="883" w:type="dxa"/>
          </w:tcPr>
          <w:p w14:paraId="384B32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37E949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883" w:type="dxa"/>
          </w:tcPr>
          <w:p w14:paraId="0BC3067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53DAD32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883" w:type="dxa"/>
          </w:tcPr>
          <w:p w14:paraId="0CE3383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883" w:type="dxa"/>
          </w:tcPr>
          <w:p w14:paraId="03EF6C0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883" w:type="dxa"/>
          </w:tcPr>
          <w:p w14:paraId="1310BD5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043C4F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18CF4B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63985A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66E195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61" w:type="dxa"/>
          </w:tcPr>
          <w:p w14:paraId="773C3C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6C5E528" w14:textId="77777777">
        <w:tc>
          <w:tcPr>
            <w:tcW w:w="883" w:type="dxa"/>
          </w:tcPr>
          <w:p w14:paraId="228022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АНТ9-2М17</w:t>
            </w:r>
          </w:p>
        </w:tc>
        <w:tc>
          <w:tcPr>
            <w:tcW w:w="883" w:type="dxa"/>
          </w:tcPr>
          <w:p w14:paraId="28B849D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40F57F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252BBBF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19D5ACF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883" w:type="dxa"/>
          </w:tcPr>
          <w:p w14:paraId="355A7F1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6BC96D2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296CE0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50E335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37953CF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7351A5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3" w:type="dxa"/>
          </w:tcPr>
          <w:p w14:paraId="1E4624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461" w:type="dxa"/>
          </w:tcPr>
          <w:p w14:paraId="04031EE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bl>
    <w:p w14:paraId="70F4E3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Поставка моторов в резерв УВВС за 8 месяцев составляет:</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871"/>
        <w:gridCol w:w="2871"/>
        <w:gridCol w:w="2444"/>
      </w:tblGrid>
      <w:tr w:rsidR="004E10C1" w:rsidRPr="0044524F" w14:paraId="34CF9130" w14:textId="77777777">
        <w:tc>
          <w:tcPr>
            <w:tcW w:w="2871" w:type="dxa"/>
          </w:tcPr>
          <w:p w14:paraId="7DC6D4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моторов</w:t>
            </w:r>
          </w:p>
        </w:tc>
        <w:tc>
          <w:tcPr>
            <w:tcW w:w="2871" w:type="dxa"/>
          </w:tcPr>
          <w:p w14:paraId="4FD7BE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8-ми месячный заказ</w:t>
            </w:r>
          </w:p>
        </w:tc>
        <w:tc>
          <w:tcPr>
            <w:tcW w:w="2871" w:type="dxa"/>
          </w:tcPr>
          <w:p w14:paraId="22BF1B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Поставлено за 8 месяцев</w:t>
            </w:r>
          </w:p>
        </w:tc>
        <w:tc>
          <w:tcPr>
            <w:tcW w:w="2444" w:type="dxa"/>
          </w:tcPr>
          <w:p w14:paraId="189F5D6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выполнения</w:t>
            </w:r>
          </w:p>
        </w:tc>
      </w:tr>
      <w:tr w:rsidR="004E10C1" w:rsidRPr="0044524F" w14:paraId="12030F9F" w14:textId="77777777">
        <w:tc>
          <w:tcPr>
            <w:tcW w:w="2871" w:type="dxa"/>
          </w:tcPr>
          <w:p w14:paraId="1A01A4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2871" w:type="dxa"/>
          </w:tcPr>
          <w:p w14:paraId="4C134F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127</w:t>
            </w:r>
          </w:p>
        </w:tc>
        <w:tc>
          <w:tcPr>
            <w:tcW w:w="2871" w:type="dxa"/>
          </w:tcPr>
          <w:p w14:paraId="1BDCDE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w:t>
            </w:r>
          </w:p>
        </w:tc>
        <w:tc>
          <w:tcPr>
            <w:tcW w:w="2444" w:type="dxa"/>
          </w:tcPr>
          <w:p w14:paraId="034BE7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103,1</w:t>
            </w:r>
          </w:p>
        </w:tc>
      </w:tr>
      <w:tr w:rsidR="004E10C1" w:rsidRPr="0044524F" w14:paraId="736194A2" w14:textId="77777777">
        <w:tc>
          <w:tcPr>
            <w:tcW w:w="2871" w:type="dxa"/>
          </w:tcPr>
          <w:p w14:paraId="1A7AF6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2871" w:type="dxa"/>
          </w:tcPr>
          <w:p w14:paraId="7A49658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2871" w:type="dxa"/>
          </w:tcPr>
          <w:p w14:paraId="6CCA05C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367</w:t>
            </w:r>
          </w:p>
        </w:tc>
        <w:tc>
          <w:tcPr>
            <w:tcW w:w="2444" w:type="dxa"/>
          </w:tcPr>
          <w:p w14:paraId="1D4B78A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149,8</w:t>
            </w:r>
          </w:p>
        </w:tc>
      </w:tr>
      <w:tr w:rsidR="004E10C1" w:rsidRPr="0044524F" w14:paraId="6397E72B" w14:textId="77777777">
        <w:tc>
          <w:tcPr>
            <w:tcW w:w="2871" w:type="dxa"/>
          </w:tcPr>
          <w:p w14:paraId="018FFA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2871" w:type="dxa"/>
          </w:tcPr>
          <w:p w14:paraId="0B89A67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62</w:t>
            </w:r>
          </w:p>
        </w:tc>
        <w:tc>
          <w:tcPr>
            <w:tcW w:w="2871" w:type="dxa"/>
          </w:tcPr>
          <w:p w14:paraId="3AC4E6C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w:t>
            </w:r>
          </w:p>
        </w:tc>
        <w:tc>
          <w:tcPr>
            <w:tcW w:w="2444" w:type="dxa"/>
          </w:tcPr>
          <w:p w14:paraId="2ED605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51,6</w:t>
            </w:r>
          </w:p>
        </w:tc>
      </w:tr>
      <w:tr w:rsidR="004E10C1" w:rsidRPr="0044524F" w14:paraId="073CAA35" w14:textId="77777777">
        <w:tc>
          <w:tcPr>
            <w:tcW w:w="2871" w:type="dxa"/>
          </w:tcPr>
          <w:p w14:paraId="558C538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2871" w:type="dxa"/>
          </w:tcPr>
          <w:p w14:paraId="036D6C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c>
          <w:tcPr>
            <w:tcW w:w="2871" w:type="dxa"/>
          </w:tcPr>
          <w:p w14:paraId="17E2EB1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149</w:t>
            </w:r>
          </w:p>
        </w:tc>
        <w:tc>
          <w:tcPr>
            <w:tcW w:w="2444" w:type="dxa"/>
          </w:tcPr>
          <w:p w14:paraId="77620A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82,8</w:t>
            </w:r>
          </w:p>
        </w:tc>
      </w:tr>
    </w:tbl>
    <w:p w14:paraId="3D5A700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71"/>
        <w:gridCol w:w="2871"/>
        <w:gridCol w:w="2871"/>
        <w:gridCol w:w="2444"/>
      </w:tblGrid>
      <w:tr w:rsidR="004E10C1" w:rsidRPr="0044524F" w14:paraId="6D20CC86" w14:textId="77777777">
        <w:tc>
          <w:tcPr>
            <w:tcW w:w="2871" w:type="dxa"/>
          </w:tcPr>
          <w:p w14:paraId="518855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871" w:type="dxa"/>
          </w:tcPr>
          <w:p w14:paraId="76478F2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614</w:t>
            </w:r>
          </w:p>
        </w:tc>
        <w:tc>
          <w:tcPr>
            <w:tcW w:w="2871" w:type="dxa"/>
          </w:tcPr>
          <w:p w14:paraId="324B2E6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679</w:t>
            </w:r>
          </w:p>
        </w:tc>
        <w:tc>
          <w:tcPr>
            <w:tcW w:w="2444" w:type="dxa"/>
          </w:tcPr>
          <w:p w14:paraId="093FBC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110,6</w:t>
            </w:r>
          </w:p>
        </w:tc>
      </w:tr>
    </w:tbl>
    <w:p w14:paraId="1E5313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IV квартал принята сдача самолетов по программе – 1658 штук и моторов – 2683 штук следующей разбивки по основным типам и заводам:</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4E10C1" w:rsidRPr="0044524F" w14:paraId="21DA69E9" w14:textId="77777777">
        <w:tc>
          <w:tcPr>
            <w:tcW w:w="1435" w:type="dxa"/>
          </w:tcPr>
          <w:p w14:paraId="7426124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заводов</w:t>
            </w:r>
          </w:p>
        </w:tc>
        <w:tc>
          <w:tcPr>
            <w:tcW w:w="1435" w:type="dxa"/>
          </w:tcPr>
          <w:p w14:paraId="739856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самолета и мотора</w:t>
            </w:r>
          </w:p>
        </w:tc>
        <w:tc>
          <w:tcPr>
            <w:tcW w:w="1435" w:type="dxa"/>
          </w:tcPr>
          <w:p w14:paraId="3647FA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на 1933 год по Госплану</w:t>
            </w:r>
          </w:p>
        </w:tc>
        <w:tc>
          <w:tcPr>
            <w:tcW w:w="1435" w:type="dxa"/>
          </w:tcPr>
          <w:p w14:paraId="026E5B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за 9 месяцев</w:t>
            </w:r>
          </w:p>
        </w:tc>
        <w:tc>
          <w:tcPr>
            <w:tcW w:w="1435" w:type="dxa"/>
          </w:tcPr>
          <w:p w14:paraId="5EBBF7F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квартал утвержд. Госпланом</w:t>
            </w:r>
          </w:p>
        </w:tc>
        <w:tc>
          <w:tcPr>
            <w:tcW w:w="1435" w:type="dxa"/>
          </w:tcPr>
          <w:p w14:paraId="6C245EE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квартал</w:t>
            </w:r>
          </w:p>
          <w:p w14:paraId="4A58A5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учетом выполнения за 9 месяцев</w:t>
            </w:r>
          </w:p>
        </w:tc>
        <w:tc>
          <w:tcPr>
            <w:tcW w:w="1435" w:type="dxa"/>
          </w:tcPr>
          <w:p w14:paraId="45CA1A1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Ожидаемый выпуск за год</w:t>
            </w:r>
          </w:p>
        </w:tc>
        <w:tc>
          <w:tcPr>
            <w:tcW w:w="1012" w:type="dxa"/>
          </w:tcPr>
          <w:p w14:paraId="7556E69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ожидаемого выполнения за год</w:t>
            </w:r>
          </w:p>
        </w:tc>
      </w:tr>
      <w:tr w:rsidR="004E10C1" w:rsidRPr="0044524F" w14:paraId="7F276278" w14:textId="77777777">
        <w:tc>
          <w:tcPr>
            <w:tcW w:w="1435" w:type="dxa"/>
          </w:tcPr>
          <w:p w14:paraId="531DC4C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35" w:type="dxa"/>
          </w:tcPr>
          <w:p w14:paraId="38128B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tc>
        <w:tc>
          <w:tcPr>
            <w:tcW w:w="1435" w:type="dxa"/>
          </w:tcPr>
          <w:p w14:paraId="3A6EBCC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1675</w:t>
            </w:r>
          </w:p>
        </w:tc>
        <w:tc>
          <w:tcPr>
            <w:tcW w:w="1435" w:type="dxa"/>
          </w:tcPr>
          <w:p w14:paraId="454E27A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956</w:t>
            </w:r>
          </w:p>
        </w:tc>
        <w:tc>
          <w:tcPr>
            <w:tcW w:w="1435" w:type="dxa"/>
          </w:tcPr>
          <w:p w14:paraId="6254961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680</w:t>
            </w:r>
          </w:p>
        </w:tc>
        <w:tc>
          <w:tcPr>
            <w:tcW w:w="1435" w:type="dxa"/>
          </w:tcPr>
          <w:p w14:paraId="62101CA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719</w:t>
            </w:r>
          </w:p>
        </w:tc>
        <w:tc>
          <w:tcPr>
            <w:tcW w:w="1435" w:type="dxa"/>
          </w:tcPr>
          <w:p w14:paraId="1F27C9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1675</w:t>
            </w:r>
          </w:p>
        </w:tc>
        <w:tc>
          <w:tcPr>
            <w:tcW w:w="1012" w:type="dxa"/>
          </w:tcPr>
          <w:p w14:paraId="54709C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62C7D122" w14:textId="77777777">
        <w:tc>
          <w:tcPr>
            <w:tcW w:w="1435" w:type="dxa"/>
          </w:tcPr>
          <w:p w14:paraId="24F995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35" w:type="dxa"/>
          </w:tcPr>
          <w:p w14:paraId="15E065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МР5-М17</w:t>
            </w:r>
          </w:p>
        </w:tc>
        <w:tc>
          <w:tcPr>
            <w:tcW w:w="1435" w:type="dxa"/>
          </w:tcPr>
          <w:p w14:paraId="5CA9E0C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35" w:type="dxa"/>
          </w:tcPr>
          <w:p w14:paraId="7C22572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4C76CA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35" w:type="dxa"/>
          </w:tcPr>
          <w:p w14:paraId="04499E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35" w:type="dxa"/>
          </w:tcPr>
          <w:p w14:paraId="175328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012" w:type="dxa"/>
          </w:tcPr>
          <w:p w14:paraId="6C35B0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01120C62" w14:textId="77777777">
        <w:tc>
          <w:tcPr>
            <w:tcW w:w="1435" w:type="dxa"/>
          </w:tcPr>
          <w:p w14:paraId="26AF01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35" w:type="dxa"/>
          </w:tcPr>
          <w:p w14:paraId="22EAF07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1435" w:type="dxa"/>
          </w:tcPr>
          <w:p w14:paraId="2A17E4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435" w:type="dxa"/>
          </w:tcPr>
          <w:p w14:paraId="71AA3DA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1435" w:type="dxa"/>
          </w:tcPr>
          <w:p w14:paraId="2B0B97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435" w:type="dxa"/>
          </w:tcPr>
          <w:p w14:paraId="76CFD6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w:t>
            </w:r>
          </w:p>
        </w:tc>
        <w:tc>
          <w:tcPr>
            <w:tcW w:w="1435" w:type="dxa"/>
          </w:tcPr>
          <w:p w14:paraId="1E52CB9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1012" w:type="dxa"/>
          </w:tcPr>
          <w:p w14:paraId="695871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42,0</w:t>
            </w:r>
          </w:p>
        </w:tc>
      </w:tr>
      <w:tr w:rsidR="004E10C1" w:rsidRPr="0044524F" w14:paraId="4723AE45" w14:textId="77777777">
        <w:tc>
          <w:tcPr>
            <w:tcW w:w="1435" w:type="dxa"/>
          </w:tcPr>
          <w:p w14:paraId="2C71AF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435" w:type="dxa"/>
          </w:tcPr>
          <w:p w14:paraId="20608F1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И5-М22</w:t>
            </w:r>
          </w:p>
        </w:tc>
        <w:tc>
          <w:tcPr>
            <w:tcW w:w="1435" w:type="dxa"/>
          </w:tcPr>
          <w:p w14:paraId="335E860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435" w:type="dxa"/>
          </w:tcPr>
          <w:p w14:paraId="4C49088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179</w:t>
            </w:r>
          </w:p>
        </w:tc>
        <w:tc>
          <w:tcPr>
            <w:tcW w:w="1435" w:type="dxa"/>
          </w:tcPr>
          <w:p w14:paraId="28DA2CC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c>
          <w:tcPr>
            <w:tcW w:w="1435" w:type="dxa"/>
          </w:tcPr>
          <w:p w14:paraId="54F3BF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179</w:t>
            </w:r>
          </w:p>
        </w:tc>
        <w:tc>
          <w:tcPr>
            <w:tcW w:w="1435" w:type="dxa"/>
          </w:tcPr>
          <w:p w14:paraId="25FFE3D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358</w:t>
            </w:r>
          </w:p>
        </w:tc>
        <w:tc>
          <w:tcPr>
            <w:tcW w:w="1012" w:type="dxa"/>
          </w:tcPr>
          <w:p w14:paraId="64D47F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119,3</w:t>
            </w:r>
          </w:p>
        </w:tc>
      </w:tr>
      <w:tr w:rsidR="004E10C1" w:rsidRPr="0044524F" w14:paraId="029D524E" w14:textId="77777777">
        <w:tc>
          <w:tcPr>
            <w:tcW w:w="1435" w:type="dxa"/>
          </w:tcPr>
          <w:p w14:paraId="3EE160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435" w:type="dxa"/>
          </w:tcPr>
          <w:p w14:paraId="67528E2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435" w:type="dxa"/>
          </w:tcPr>
          <w:p w14:paraId="6524F3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435" w:type="dxa"/>
          </w:tcPr>
          <w:p w14:paraId="55A4BE1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168</w:t>
            </w:r>
          </w:p>
        </w:tc>
        <w:tc>
          <w:tcPr>
            <w:tcW w:w="1435" w:type="dxa"/>
          </w:tcPr>
          <w:p w14:paraId="2C1E33F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1435" w:type="dxa"/>
          </w:tcPr>
          <w:p w14:paraId="1DBBF42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w:t>
            </w:r>
          </w:p>
        </w:tc>
        <w:tc>
          <w:tcPr>
            <w:tcW w:w="1435" w:type="dxa"/>
          </w:tcPr>
          <w:p w14:paraId="4E9348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012" w:type="dxa"/>
          </w:tcPr>
          <w:p w14:paraId="0358D9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166,7</w:t>
            </w:r>
          </w:p>
        </w:tc>
      </w:tr>
      <w:tr w:rsidR="004E10C1" w:rsidRPr="0044524F" w14:paraId="3C4351B1" w14:textId="77777777">
        <w:tc>
          <w:tcPr>
            <w:tcW w:w="1435" w:type="dxa"/>
          </w:tcPr>
          <w:p w14:paraId="686B3A6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435" w:type="dxa"/>
          </w:tcPr>
          <w:p w14:paraId="74AC408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435" w:type="dxa"/>
          </w:tcPr>
          <w:p w14:paraId="0F33A9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435" w:type="dxa"/>
          </w:tcPr>
          <w:p w14:paraId="4C06BB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435" w:type="dxa"/>
          </w:tcPr>
          <w:p w14:paraId="3941B7F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293A351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1435" w:type="dxa"/>
          </w:tcPr>
          <w:p w14:paraId="3913E1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w:t>
            </w:r>
          </w:p>
        </w:tc>
        <w:tc>
          <w:tcPr>
            <w:tcW w:w="1012" w:type="dxa"/>
          </w:tcPr>
          <w:p w14:paraId="4AC9D6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w:t>
            </w:r>
          </w:p>
        </w:tc>
      </w:tr>
      <w:tr w:rsidR="004E10C1" w:rsidRPr="0044524F" w14:paraId="1FDFB0C7" w14:textId="77777777">
        <w:tc>
          <w:tcPr>
            <w:tcW w:w="1435" w:type="dxa"/>
          </w:tcPr>
          <w:p w14:paraId="7DA1C27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435" w:type="dxa"/>
          </w:tcPr>
          <w:p w14:paraId="41AF821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w:t>
            </w:r>
          </w:p>
        </w:tc>
        <w:tc>
          <w:tcPr>
            <w:tcW w:w="1435" w:type="dxa"/>
          </w:tcPr>
          <w:p w14:paraId="051F75A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435" w:type="dxa"/>
          </w:tcPr>
          <w:p w14:paraId="22F1E08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343ECEB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688C32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657EBA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12" w:type="dxa"/>
          </w:tcPr>
          <w:p w14:paraId="49D232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010D0C8" w14:textId="77777777">
        <w:tc>
          <w:tcPr>
            <w:tcW w:w="1435" w:type="dxa"/>
          </w:tcPr>
          <w:p w14:paraId="638D73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435" w:type="dxa"/>
          </w:tcPr>
          <w:p w14:paraId="449E3B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w:t>
            </w:r>
          </w:p>
        </w:tc>
        <w:tc>
          <w:tcPr>
            <w:tcW w:w="1435" w:type="dxa"/>
          </w:tcPr>
          <w:p w14:paraId="05664A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435" w:type="dxa"/>
          </w:tcPr>
          <w:p w14:paraId="4044FAF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315D00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57EB99E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047C54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12" w:type="dxa"/>
          </w:tcPr>
          <w:p w14:paraId="30BB64A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F8CDF2A" w14:textId="77777777">
        <w:tc>
          <w:tcPr>
            <w:tcW w:w="1435" w:type="dxa"/>
          </w:tcPr>
          <w:p w14:paraId="40263D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435" w:type="dxa"/>
          </w:tcPr>
          <w:p w14:paraId="1600347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МБР4-АССО</w:t>
            </w:r>
          </w:p>
        </w:tc>
        <w:tc>
          <w:tcPr>
            <w:tcW w:w="1435" w:type="dxa"/>
          </w:tcPr>
          <w:p w14:paraId="20E9D4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435" w:type="dxa"/>
          </w:tcPr>
          <w:p w14:paraId="4580BA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435" w:type="dxa"/>
          </w:tcPr>
          <w:p w14:paraId="76872CE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3AD1BB5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435" w:type="dxa"/>
          </w:tcPr>
          <w:p w14:paraId="1B0D899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012" w:type="dxa"/>
          </w:tcPr>
          <w:p w14:paraId="7163750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0A42CC0C" w14:textId="77777777">
        <w:tc>
          <w:tcPr>
            <w:tcW w:w="1435" w:type="dxa"/>
          </w:tcPr>
          <w:p w14:paraId="2A5A177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435" w:type="dxa"/>
          </w:tcPr>
          <w:p w14:paraId="5D42F57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tc>
        <w:tc>
          <w:tcPr>
            <w:tcW w:w="1435" w:type="dxa"/>
          </w:tcPr>
          <w:p w14:paraId="6CCFA9C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1435" w:type="dxa"/>
          </w:tcPr>
          <w:p w14:paraId="75B0FF1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223656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199B2AB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435" w:type="dxa"/>
          </w:tcPr>
          <w:p w14:paraId="70C3540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012" w:type="dxa"/>
          </w:tcPr>
          <w:p w14:paraId="107C43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20,8</w:t>
            </w:r>
          </w:p>
        </w:tc>
      </w:tr>
      <w:tr w:rsidR="004E10C1" w:rsidRPr="0044524F" w14:paraId="6FA22138" w14:textId="77777777">
        <w:tc>
          <w:tcPr>
            <w:tcW w:w="1435" w:type="dxa"/>
          </w:tcPr>
          <w:p w14:paraId="3F9AAC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435" w:type="dxa"/>
          </w:tcPr>
          <w:p w14:paraId="2BD475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Р6-М17 М34</w:t>
            </w:r>
          </w:p>
        </w:tc>
        <w:tc>
          <w:tcPr>
            <w:tcW w:w="1435" w:type="dxa"/>
          </w:tcPr>
          <w:p w14:paraId="10B94FB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435" w:type="dxa"/>
          </w:tcPr>
          <w:p w14:paraId="3034B3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435" w:type="dxa"/>
          </w:tcPr>
          <w:p w14:paraId="70DA8EF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w:t>
            </w:r>
          </w:p>
        </w:tc>
        <w:tc>
          <w:tcPr>
            <w:tcW w:w="1435" w:type="dxa"/>
          </w:tcPr>
          <w:p w14:paraId="0BAB24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c>
          <w:tcPr>
            <w:tcW w:w="1435" w:type="dxa"/>
          </w:tcPr>
          <w:p w14:paraId="3FA202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012" w:type="dxa"/>
          </w:tcPr>
          <w:p w14:paraId="454127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r>
      <w:tr w:rsidR="004E10C1" w:rsidRPr="0044524F" w14:paraId="66BE55F0" w14:textId="77777777">
        <w:tc>
          <w:tcPr>
            <w:tcW w:w="1435" w:type="dxa"/>
          </w:tcPr>
          <w:p w14:paraId="39E151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435" w:type="dxa"/>
          </w:tcPr>
          <w:p w14:paraId="13FE055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АШ-М11</w:t>
            </w:r>
          </w:p>
        </w:tc>
        <w:tc>
          <w:tcPr>
            <w:tcW w:w="1435" w:type="dxa"/>
          </w:tcPr>
          <w:p w14:paraId="131F914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c>
          <w:tcPr>
            <w:tcW w:w="1435" w:type="dxa"/>
          </w:tcPr>
          <w:p w14:paraId="3D1627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w:t>
            </w:r>
          </w:p>
        </w:tc>
        <w:tc>
          <w:tcPr>
            <w:tcW w:w="1435" w:type="dxa"/>
          </w:tcPr>
          <w:p w14:paraId="15FF65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w:t>
            </w:r>
          </w:p>
        </w:tc>
        <w:tc>
          <w:tcPr>
            <w:tcW w:w="1435" w:type="dxa"/>
          </w:tcPr>
          <w:p w14:paraId="01EBE2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1435" w:type="dxa"/>
          </w:tcPr>
          <w:p w14:paraId="5165ED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012" w:type="dxa"/>
          </w:tcPr>
          <w:p w14:paraId="4E5D276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114,3</w:t>
            </w:r>
          </w:p>
        </w:tc>
      </w:tr>
      <w:tr w:rsidR="004E10C1" w:rsidRPr="0044524F" w14:paraId="1E0F10D7" w14:textId="77777777">
        <w:tc>
          <w:tcPr>
            <w:tcW w:w="1435" w:type="dxa"/>
          </w:tcPr>
          <w:p w14:paraId="2EF3D41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435" w:type="dxa"/>
          </w:tcPr>
          <w:p w14:paraId="5B1D6D5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w:t>
            </w:r>
          </w:p>
        </w:tc>
        <w:tc>
          <w:tcPr>
            <w:tcW w:w="1435" w:type="dxa"/>
          </w:tcPr>
          <w:p w14:paraId="12F9B3A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435" w:type="dxa"/>
          </w:tcPr>
          <w:p w14:paraId="106CBA0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3628404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435" w:type="dxa"/>
          </w:tcPr>
          <w:p w14:paraId="4137D3E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435" w:type="dxa"/>
          </w:tcPr>
          <w:p w14:paraId="15C9A13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012" w:type="dxa"/>
          </w:tcPr>
          <w:p w14:paraId="733A48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33,3</w:t>
            </w:r>
          </w:p>
        </w:tc>
      </w:tr>
      <w:tr w:rsidR="004E10C1" w:rsidRPr="0044524F" w14:paraId="6F5B9C59" w14:textId="77777777">
        <w:tc>
          <w:tcPr>
            <w:tcW w:w="1435" w:type="dxa"/>
          </w:tcPr>
          <w:p w14:paraId="4305D6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1435" w:type="dxa"/>
          </w:tcPr>
          <w:p w14:paraId="5204E6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435" w:type="dxa"/>
          </w:tcPr>
          <w:p w14:paraId="2101BE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435" w:type="dxa"/>
          </w:tcPr>
          <w:p w14:paraId="5AF616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435" w:type="dxa"/>
          </w:tcPr>
          <w:p w14:paraId="2DCA43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1435" w:type="dxa"/>
          </w:tcPr>
          <w:p w14:paraId="438020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1435" w:type="dxa"/>
          </w:tcPr>
          <w:p w14:paraId="2562A16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1012" w:type="dxa"/>
          </w:tcPr>
          <w:p w14:paraId="53D6B7F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133,3</w:t>
            </w:r>
          </w:p>
        </w:tc>
      </w:tr>
      <w:tr w:rsidR="004E10C1" w:rsidRPr="0044524F" w14:paraId="59EB3394" w14:textId="77777777">
        <w:tc>
          <w:tcPr>
            <w:tcW w:w="1435" w:type="dxa"/>
          </w:tcPr>
          <w:p w14:paraId="2889EF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435" w:type="dxa"/>
          </w:tcPr>
          <w:p w14:paraId="4EB8D4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435" w:type="dxa"/>
          </w:tcPr>
          <w:p w14:paraId="23B5C8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435" w:type="dxa"/>
          </w:tcPr>
          <w:p w14:paraId="0FE6E0C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2749479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435" w:type="dxa"/>
          </w:tcPr>
          <w:p w14:paraId="414C79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435" w:type="dxa"/>
          </w:tcPr>
          <w:p w14:paraId="2DD4365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012" w:type="dxa"/>
          </w:tcPr>
          <w:p w14:paraId="4136446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w:t>
            </w:r>
          </w:p>
        </w:tc>
      </w:tr>
      <w:tr w:rsidR="004E10C1" w:rsidRPr="0044524F" w14:paraId="7771857A" w14:textId="77777777">
        <w:tc>
          <w:tcPr>
            <w:tcW w:w="1435" w:type="dxa"/>
          </w:tcPr>
          <w:p w14:paraId="2F26A0E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ХАЗОСС</w:t>
            </w:r>
          </w:p>
        </w:tc>
        <w:tc>
          <w:tcPr>
            <w:tcW w:w="1435" w:type="dxa"/>
          </w:tcPr>
          <w:p w14:paraId="77F7026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К5-М22</w:t>
            </w:r>
          </w:p>
        </w:tc>
        <w:tc>
          <w:tcPr>
            <w:tcW w:w="1435" w:type="dxa"/>
          </w:tcPr>
          <w:p w14:paraId="5A24E0E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435" w:type="dxa"/>
          </w:tcPr>
          <w:p w14:paraId="53D48E2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w:t>
            </w:r>
          </w:p>
        </w:tc>
        <w:tc>
          <w:tcPr>
            <w:tcW w:w="1435" w:type="dxa"/>
          </w:tcPr>
          <w:p w14:paraId="1C5F3E2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w:t>
            </w:r>
          </w:p>
        </w:tc>
        <w:tc>
          <w:tcPr>
            <w:tcW w:w="1435" w:type="dxa"/>
          </w:tcPr>
          <w:p w14:paraId="0CDFFD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w:t>
            </w:r>
          </w:p>
        </w:tc>
        <w:tc>
          <w:tcPr>
            <w:tcW w:w="1435" w:type="dxa"/>
          </w:tcPr>
          <w:p w14:paraId="080F5B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w:t>
            </w:r>
          </w:p>
        </w:tc>
        <w:tc>
          <w:tcPr>
            <w:tcW w:w="1012" w:type="dxa"/>
          </w:tcPr>
          <w:p w14:paraId="502D5DB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108,0</w:t>
            </w:r>
          </w:p>
        </w:tc>
      </w:tr>
      <w:tr w:rsidR="004E10C1" w:rsidRPr="0044524F" w14:paraId="4A4C4C2C" w14:textId="77777777">
        <w:tc>
          <w:tcPr>
            <w:tcW w:w="1435" w:type="dxa"/>
          </w:tcPr>
          <w:p w14:paraId="591AA28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435" w:type="dxa"/>
          </w:tcPr>
          <w:p w14:paraId="6DD96B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У2-М11 </w:t>
            </w:r>
          </w:p>
        </w:tc>
        <w:tc>
          <w:tcPr>
            <w:tcW w:w="1435" w:type="dxa"/>
          </w:tcPr>
          <w:p w14:paraId="490D87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1280</w:t>
            </w:r>
          </w:p>
        </w:tc>
        <w:tc>
          <w:tcPr>
            <w:tcW w:w="1435" w:type="dxa"/>
          </w:tcPr>
          <w:p w14:paraId="2720ED9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880</w:t>
            </w:r>
          </w:p>
        </w:tc>
        <w:tc>
          <w:tcPr>
            <w:tcW w:w="1435" w:type="dxa"/>
          </w:tcPr>
          <w:p w14:paraId="3547935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441</w:t>
            </w:r>
          </w:p>
        </w:tc>
        <w:tc>
          <w:tcPr>
            <w:tcW w:w="1435" w:type="dxa"/>
          </w:tcPr>
          <w:p w14:paraId="15EB85F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497</w:t>
            </w:r>
          </w:p>
        </w:tc>
        <w:tc>
          <w:tcPr>
            <w:tcW w:w="1435" w:type="dxa"/>
          </w:tcPr>
          <w:p w14:paraId="077FDC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1377</w:t>
            </w:r>
          </w:p>
        </w:tc>
        <w:tc>
          <w:tcPr>
            <w:tcW w:w="1012" w:type="dxa"/>
          </w:tcPr>
          <w:p w14:paraId="4F2E9D1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107,0</w:t>
            </w:r>
          </w:p>
        </w:tc>
      </w:tr>
      <w:tr w:rsidR="004E10C1" w:rsidRPr="0044524F" w14:paraId="21488091" w14:textId="77777777">
        <w:tc>
          <w:tcPr>
            <w:tcW w:w="1435" w:type="dxa"/>
          </w:tcPr>
          <w:p w14:paraId="6C131A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435" w:type="dxa"/>
          </w:tcPr>
          <w:p w14:paraId="33E353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АП-М11</w:t>
            </w:r>
          </w:p>
        </w:tc>
        <w:tc>
          <w:tcPr>
            <w:tcW w:w="1435" w:type="dxa"/>
          </w:tcPr>
          <w:p w14:paraId="3314D8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435" w:type="dxa"/>
          </w:tcPr>
          <w:p w14:paraId="41BE5A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127</w:t>
            </w:r>
          </w:p>
        </w:tc>
        <w:tc>
          <w:tcPr>
            <w:tcW w:w="1435" w:type="dxa"/>
          </w:tcPr>
          <w:p w14:paraId="3E9E243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53E017D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56FE6B7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w:t>
            </w:r>
          </w:p>
        </w:tc>
        <w:tc>
          <w:tcPr>
            <w:tcW w:w="1012" w:type="dxa"/>
          </w:tcPr>
          <w:p w14:paraId="796E8DF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102,5</w:t>
            </w:r>
          </w:p>
        </w:tc>
      </w:tr>
    </w:tbl>
    <w:p w14:paraId="7578F3B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самолетов: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4E10C1" w:rsidRPr="0044524F" w14:paraId="3D07E0E6" w14:textId="77777777">
        <w:tc>
          <w:tcPr>
            <w:tcW w:w="1435" w:type="dxa"/>
          </w:tcPr>
          <w:p w14:paraId="3C29D64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C0DF06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2DCC895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4495</w:t>
            </w:r>
          </w:p>
        </w:tc>
        <w:tc>
          <w:tcPr>
            <w:tcW w:w="1435" w:type="dxa"/>
          </w:tcPr>
          <w:p w14:paraId="1ABEAE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2630</w:t>
            </w:r>
          </w:p>
        </w:tc>
        <w:tc>
          <w:tcPr>
            <w:tcW w:w="1435" w:type="dxa"/>
          </w:tcPr>
          <w:p w14:paraId="20466A3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1658</w:t>
            </w:r>
          </w:p>
        </w:tc>
        <w:tc>
          <w:tcPr>
            <w:tcW w:w="1435" w:type="dxa"/>
          </w:tcPr>
          <w:p w14:paraId="4864857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1791</w:t>
            </w:r>
          </w:p>
        </w:tc>
        <w:tc>
          <w:tcPr>
            <w:tcW w:w="1435" w:type="dxa"/>
          </w:tcPr>
          <w:p w14:paraId="5361BBE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4411</w:t>
            </w:r>
          </w:p>
        </w:tc>
        <w:tc>
          <w:tcPr>
            <w:tcW w:w="1012" w:type="dxa"/>
          </w:tcPr>
          <w:p w14:paraId="6772DF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98,1</w:t>
            </w:r>
          </w:p>
        </w:tc>
      </w:tr>
    </w:tbl>
    <w:p w14:paraId="724BB84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4E10C1" w:rsidRPr="0044524F" w14:paraId="0F9BC0A8" w14:textId="77777777">
        <w:tc>
          <w:tcPr>
            <w:tcW w:w="1435" w:type="dxa"/>
          </w:tcPr>
          <w:p w14:paraId="5DE9B57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435" w:type="dxa"/>
          </w:tcPr>
          <w:p w14:paraId="69E374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435" w:type="dxa"/>
          </w:tcPr>
          <w:p w14:paraId="55F02CF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962</w:t>
            </w:r>
          </w:p>
        </w:tc>
        <w:tc>
          <w:tcPr>
            <w:tcW w:w="1435" w:type="dxa"/>
          </w:tcPr>
          <w:p w14:paraId="79F9FEE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457</w:t>
            </w:r>
          </w:p>
        </w:tc>
        <w:tc>
          <w:tcPr>
            <w:tcW w:w="1435" w:type="dxa"/>
          </w:tcPr>
          <w:p w14:paraId="06B407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383</w:t>
            </w:r>
          </w:p>
        </w:tc>
        <w:tc>
          <w:tcPr>
            <w:tcW w:w="1435" w:type="dxa"/>
          </w:tcPr>
          <w:p w14:paraId="4389280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503</w:t>
            </w:r>
          </w:p>
        </w:tc>
        <w:tc>
          <w:tcPr>
            <w:tcW w:w="1435" w:type="dxa"/>
          </w:tcPr>
          <w:p w14:paraId="7FD2906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960</w:t>
            </w:r>
          </w:p>
        </w:tc>
        <w:tc>
          <w:tcPr>
            <w:tcW w:w="1012" w:type="dxa"/>
          </w:tcPr>
          <w:p w14:paraId="4BFBA2A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99,8</w:t>
            </w:r>
          </w:p>
        </w:tc>
      </w:tr>
      <w:tr w:rsidR="004E10C1" w:rsidRPr="0044524F" w14:paraId="17631524" w14:textId="77777777">
        <w:tc>
          <w:tcPr>
            <w:tcW w:w="1435" w:type="dxa"/>
          </w:tcPr>
          <w:p w14:paraId="653A94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435" w:type="dxa"/>
          </w:tcPr>
          <w:p w14:paraId="1357E1F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435" w:type="dxa"/>
          </w:tcPr>
          <w:p w14:paraId="2D8520C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3800</w:t>
            </w:r>
          </w:p>
        </w:tc>
        <w:tc>
          <w:tcPr>
            <w:tcW w:w="1435" w:type="dxa"/>
          </w:tcPr>
          <w:p w14:paraId="6746DD1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2605</w:t>
            </w:r>
          </w:p>
        </w:tc>
        <w:tc>
          <w:tcPr>
            <w:tcW w:w="1435" w:type="dxa"/>
          </w:tcPr>
          <w:p w14:paraId="249C85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1435" w:type="dxa"/>
          </w:tcPr>
          <w:p w14:paraId="23C16B9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1435" w:type="dxa"/>
          </w:tcPr>
          <w:p w14:paraId="4E49FBC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3905</w:t>
            </w:r>
          </w:p>
        </w:tc>
        <w:tc>
          <w:tcPr>
            <w:tcW w:w="1012" w:type="dxa"/>
          </w:tcPr>
          <w:p w14:paraId="074C5B9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102,8</w:t>
            </w:r>
          </w:p>
        </w:tc>
      </w:tr>
      <w:tr w:rsidR="004E10C1" w:rsidRPr="0044524F" w14:paraId="7685851B" w14:textId="77777777">
        <w:tc>
          <w:tcPr>
            <w:tcW w:w="1435" w:type="dxa"/>
          </w:tcPr>
          <w:p w14:paraId="4F2EB2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435" w:type="dxa"/>
          </w:tcPr>
          <w:p w14:paraId="4D88DA2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435" w:type="dxa"/>
          </w:tcPr>
          <w:p w14:paraId="162605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w:t>
            </w:r>
          </w:p>
        </w:tc>
        <w:tc>
          <w:tcPr>
            <w:tcW w:w="1435" w:type="dxa"/>
          </w:tcPr>
          <w:p w14:paraId="4BAAF8B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281</w:t>
            </w:r>
          </w:p>
        </w:tc>
        <w:tc>
          <w:tcPr>
            <w:tcW w:w="1435" w:type="dxa"/>
          </w:tcPr>
          <w:p w14:paraId="791487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c>
          <w:tcPr>
            <w:tcW w:w="1435" w:type="dxa"/>
          </w:tcPr>
          <w:p w14:paraId="23A5FA1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219</w:t>
            </w:r>
          </w:p>
        </w:tc>
        <w:tc>
          <w:tcPr>
            <w:tcW w:w="1435" w:type="dxa"/>
          </w:tcPr>
          <w:p w14:paraId="3177790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tc>
        <w:tc>
          <w:tcPr>
            <w:tcW w:w="1012" w:type="dxa"/>
          </w:tcPr>
          <w:p w14:paraId="4F6BD2D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96,2</w:t>
            </w:r>
          </w:p>
        </w:tc>
      </w:tr>
      <w:tr w:rsidR="004E10C1" w:rsidRPr="0044524F" w14:paraId="73C7BFAC" w14:textId="77777777">
        <w:tc>
          <w:tcPr>
            <w:tcW w:w="1435" w:type="dxa"/>
          </w:tcPr>
          <w:p w14:paraId="7B5063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435" w:type="dxa"/>
          </w:tcPr>
          <w:p w14:paraId="560CE24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435" w:type="dxa"/>
          </w:tcPr>
          <w:p w14:paraId="47509B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2150</w:t>
            </w:r>
          </w:p>
        </w:tc>
        <w:tc>
          <w:tcPr>
            <w:tcW w:w="1435" w:type="dxa"/>
          </w:tcPr>
          <w:p w14:paraId="7A6D26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1493</w:t>
            </w:r>
          </w:p>
        </w:tc>
        <w:tc>
          <w:tcPr>
            <w:tcW w:w="1435" w:type="dxa"/>
          </w:tcPr>
          <w:p w14:paraId="486DBCE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435" w:type="dxa"/>
          </w:tcPr>
          <w:p w14:paraId="34F3D7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1007</w:t>
            </w:r>
          </w:p>
        </w:tc>
        <w:tc>
          <w:tcPr>
            <w:tcW w:w="1435" w:type="dxa"/>
          </w:tcPr>
          <w:p w14:paraId="09A8128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1012" w:type="dxa"/>
          </w:tcPr>
          <w:p w14:paraId="0FDB869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116,0</w:t>
            </w:r>
          </w:p>
        </w:tc>
      </w:tr>
      <w:tr w:rsidR="004E10C1" w:rsidRPr="0044524F" w14:paraId="070380B9" w14:textId="77777777">
        <w:tc>
          <w:tcPr>
            <w:tcW w:w="1435" w:type="dxa"/>
          </w:tcPr>
          <w:p w14:paraId="511121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1435" w:type="dxa"/>
          </w:tcPr>
          <w:p w14:paraId="194864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435" w:type="dxa"/>
          </w:tcPr>
          <w:p w14:paraId="09403F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1435" w:type="dxa"/>
          </w:tcPr>
          <w:p w14:paraId="00D1C0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09D04A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16C5F0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35" w:type="dxa"/>
          </w:tcPr>
          <w:p w14:paraId="429DD87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12" w:type="dxa"/>
          </w:tcPr>
          <w:p w14:paraId="3C864B4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bl>
    <w:p w14:paraId="2C6DF21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моторов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435"/>
        <w:gridCol w:w="1435"/>
        <w:gridCol w:w="1435"/>
        <w:gridCol w:w="1435"/>
        <w:gridCol w:w="1435"/>
        <w:gridCol w:w="1435"/>
        <w:gridCol w:w="1435"/>
        <w:gridCol w:w="1012"/>
      </w:tblGrid>
      <w:tr w:rsidR="004E10C1" w:rsidRPr="0044524F" w14:paraId="5FE9505A" w14:textId="77777777">
        <w:tc>
          <w:tcPr>
            <w:tcW w:w="1435" w:type="dxa"/>
          </w:tcPr>
          <w:p w14:paraId="10ECBDF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653F5D6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35" w:type="dxa"/>
          </w:tcPr>
          <w:p w14:paraId="4AEF21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7472</w:t>
            </w:r>
          </w:p>
        </w:tc>
        <w:tc>
          <w:tcPr>
            <w:tcW w:w="1435" w:type="dxa"/>
          </w:tcPr>
          <w:p w14:paraId="52E9852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4836</w:t>
            </w:r>
          </w:p>
        </w:tc>
        <w:tc>
          <w:tcPr>
            <w:tcW w:w="1435" w:type="dxa"/>
          </w:tcPr>
          <w:p w14:paraId="63A568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2663</w:t>
            </w:r>
          </w:p>
        </w:tc>
        <w:tc>
          <w:tcPr>
            <w:tcW w:w="1435" w:type="dxa"/>
          </w:tcPr>
          <w:p w14:paraId="5B9E60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3029</w:t>
            </w:r>
          </w:p>
        </w:tc>
        <w:tc>
          <w:tcPr>
            <w:tcW w:w="1435" w:type="dxa"/>
          </w:tcPr>
          <w:p w14:paraId="65E73B3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7865</w:t>
            </w:r>
          </w:p>
        </w:tc>
        <w:tc>
          <w:tcPr>
            <w:tcW w:w="1012" w:type="dxa"/>
          </w:tcPr>
          <w:p w14:paraId="72D7E7E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105,3</w:t>
            </w:r>
          </w:p>
        </w:tc>
      </w:tr>
    </w:tbl>
    <w:p w14:paraId="14BC843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по заводу № 21 план и выполнение показаны за 8 месяцев.</w:t>
      </w:r>
    </w:p>
    <w:p w14:paraId="1F28B43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Остатки на 1 октября 1933 года</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96"/>
        <w:gridCol w:w="2296"/>
        <w:gridCol w:w="2296"/>
        <w:gridCol w:w="2296"/>
        <w:gridCol w:w="1873"/>
      </w:tblGrid>
      <w:tr w:rsidR="004E10C1" w:rsidRPr="0044524F" w14:paraId="710EC515" w14:textId="77777777">
        <w:tc>
          <w:tcPr>
            <w:tcW w:w="2296" w:type="dxa"/>
          </w:tcPr>
          <w:p w14:paraId="7797002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tc>
        <w:tc>
          <w:tcPr>
            <w:tcW w:w="2296" w:type="dxa"/>
          </w:tcPr>
          <w:p w14:paraId="76ED549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изделий</w:t>
            </w:r>
          </w:p>
        </w:tc>
        <w:tc>
          <w:tcPr>
            <w:tcW w:w="2296" w:type="dxa"/>
          </w:tcPr>
          <w:p w14:paraId="09D249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Собрано</w:t>
            </w:r>
          </w:p>
        </w:tc>
        <w:tc>
          <w:tcPr>
            <w:tcW w:w="2296" w:type="dxa"/>
          </w:tcPr>
          <w:p w14:paraId="6360FCD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Предъявлено</w:t>
            </w:r>
          </w:p>
        </w:tc>
        <w:tc>
          <w:tcPr>
            <w:tcW w:w="1873" w:type="dxa"/>
          </w:tcPr>
          <w:p w14:paraId="1AD178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r>
      <w:tr w:rsidR="004E10C1" w:rsidRPr="0044524F" w14:paraId="65173E72" w14:textId="77777777">
        <w:tc>
          <w:tcPr>
            <w:tcW w:w="2296" w:type="dxa"/>
          </w:tcPr>
          <w:p w14:paraId="5EABA0B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296" w:type="dxa"/>
          </w:tcPr>
          <w:p w14:paraId="7941E1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2296" w:type="dxa"/>
          </w:tcPr>
          <w:p w14:paraId="6F6955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2296" w:type="dxa"/>
          </w:tcPr>
          <w:p w14:paraId="36FCCA1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tc>
        <w:tc>
          <w:tcPr>
            <w:tcW w:w="1873" w:type="dxa"/>
          </w:tcPr>
          <w:p w14:paraId="1AE1D78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w:t>
            </w:r>
          </w:p>
        </w:tc>
      </w:tr>
      <w:tr w:rsidR="004E10C1" w:rsidRPr="0044524F" w14:paraId="2801C310" w14:textId="77777777">
        <w:tc>
          <w:tcPr>
            <w:tcW w:w="2296" w:type="dxa"/>
          </w:tcPr>
          <w:p w14:paraId="47C38FC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296" w:type="dxa"/>
          </w:tcPr>
          <w:p w14:paraId="346FA2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w:t>
            </w:r>
          </w:p>
        </w:tc>
        <w:tc>
          <w:tcPr>
            <w:tcW w:w="2296" w:type="dxa"/>
          </w:tcPr>
          <w:p w14:paraId="39BA07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2296" w:type="dxa"/>
          </w:tcPr>
          <w:p w14:paraId="30B335A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1873" w:type="dxa"/>
          </w:tcPr>
          <w:p w14:paraId="661E006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r>
      <w:tr w:rsidR="004E10C1" w:rsidRPr="0044524F" w14:paraId="00AF7B10" w14:textId="77777777">
        <w:tc>
          <w:tcPr>
            <w:tcW w:w="2296" w:type="dxa"/>
          </w:tcPr>
          <w:p w14:paraId="66A5024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296" w:type="dxa"/>
          </w:tcPr>
          <w:p w14:paraId="6354F9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2296" w:type="dxa"/>
          </w:tcPr>
          <w:p w14:paraId="4DF51E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296" w:type="dxa"/>
          </w:tcPr>
          <w:p w14:paraId="4FA8ED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873" w:type="dxa"/>
          </w:tcPr>
          <w:p w14:paraId="1EB429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5BED7715" w14:textId="77777777">
        <w:tc>
          <w:tcPr>
            <w:tcW w:w="2296" w:type="dxa"/>
          </w:tcPr>
          <w:p w14:paraId="6710C4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296" w:type="dxa"/>
          </w:tcPr>
          <w:p w14:paraId="0950D7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2296" w:type="dxa"/>
          </w:tcPr>
          <w:p w14:paraId="7D55CDE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296" w:type="dxa"/>
          </w:tcPr>
          <w:p w14:paraId="5FC9171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1873" w:type="dxa"/>
          </w:tcPr>
          <w:p w14:paraId="4088D20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r>
      <w:tr w:rsidR="004E10C1" w:rsidRPr="0044524F" w14:paraId="6CDB23D7" w14:textId="77777777">
        <w:tc>
          <w:tcPr>
            <w:tcW w:w="2296" w:type="dxa"/>
          </w:tcPr>
          <w:p w14:paraId="3FFE511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2296" w:type="dxa"/>
          </w:tcPr>
          <w:p w14:paraId="1A79F83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2296" w:type="dxa"/>
          </w:tcPr>
          <w:p w14:paraId="5433F81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296" w:type="dxa"/>
          </w:tcPr>
          <w:p w14:paraId="68C0BD2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1873" w:type="dxa"/>
          </w:tcPr>
          <w:p w14:paraId="4526641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r>
      <w:tr w:rsidR="004E10C1" w:rsidRPr="0044524F" w14:paraId="455AF3E1" w14:textId="77777777">
        <w:tc>
          <w:tcPr>
            <w:tcW w:w="2296" w:type="dxa"/>
          </w:tcPr>
          <w:p w14:paraId="2DFAEC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2296" w:type="dxa"/>
          </w:tcPr>
          <w:p w14:paraId="0E54001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 IV</w:t>
            </w:r>
          </w:p>
        </w:tc>
        <w:tc>
          <w:tcPr>
            <w:tcW w:w="2296" w:type="dxa"/>
          </w:tcPr>
          <w:p w14:paraId="4794C0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2296" w:type="dxa"/>
          </w:tcPr>
          <w:p w14:paraId="30B1C2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3" w:type="dxa"/>
          </w:tcPr>
          <w:p w14:paraId="2E887E1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r>
      <w:tr w:rsidR="004E10C1" w:rsidRPr="0044524F" w14:paraId="0C86405B" w14:textId="77777777">
        <w:tc>
          <w:tcPr>
            <w:tcW w:w="2296" w:type="dxa"/>
          </w:tcPr>
          <w:p w14:paraId="4D4AD44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2296" w:type="dxa"/>
          </w:tcPr>
          <w:p w14:paraId="4ABF9EC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2296" w:type="dxa"/>
          </w:tcPr>
          <w:p w14:paraId="343C49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296" w:type="dxa"/>
          </w:tcPr>
          <w:p w14:paraId="07D53AF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3" w:type="dxa"/>
          </w:tcPr>
          <w:p w14:paraId="1A42B77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D6B6186" w14:textId="77777777">
        <w:tc>
          <w:tcPr>
            <w:tcW w:w="2296" w:type="dxa"/>
          </w:tcPr>
          <w:p w14:paraId="155FA5E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2296" w:type="dxa"/>
          </w:tcPr>
          <w:p w14:paraId="116C1C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w:t>
            </w:r>
          </w:p>
        </w:tc>
        <w:tc>
          <w:tcPr>
            <w:tcW w:w="2296" w:type="dxa"/>
          </w:tcPr>
          <w:p w14:paraId="7B9EAF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296" w:type="dxa"/>
          </w:tcPr>
          <w:p w14:paraId="11AD6D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873" w:type="dxa"/>
          </w:tcPr>
          <w:p w14:paraId="455BCA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01FEC624" w14:textId="77777777">
        <w:tc>
          <w:tcPr>
            <w:tcW w:w="2296" w:type="dxa"/>
          </w:tcPr>
          <w:p w14:paraId="4B89552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2296" w:type="dxa"/>
          </w:tcPr>
          <w:p w14:paraId="6E95972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2296" w:type="dxa"/>
          </w:tcPr>
          <w:p w14:paraId="7BD4C4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2296" w:type="dxa"/>
          </w:tcPr>
          <w:p w14:paraId="2C7E97F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1873" w:type="dxa"/>
          </w:tcPr>
          <w:p w14:paraId="0F992A7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r>
      <w:tr w:rsidR="004E10C1" w:rsidRPr="0044524F" w14:paraId="1275C10C" w14:textId="77777777">
        <w:tc>
          <w:tcPr>
            <w:tcW w:w="2296" w:type="dxa"/>
          </w:tcPr>
          <w:p w14:paraId="2603FB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2296" w:type="dxa"/>
          </w:tcPr>
          <w:p w14:paraId="01CD1A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2296" w:type="dxa"/>
          </w:tcPr>
          <w:p w14:paraId="348493C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296" w:type="dxa"/>
          </w:tcPr>
          <w:p w14:paraId="5D25C6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873" w:type="dxa"/>
          </w:tcPr>
          <w:p w14:paraId="0D33ACB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47749F5E" w14:textId="77777777">
        <w:tc>
          <w:tcPr>
            <w:tcW w:w="2296" w:type="dxa"/>
          </w:tcPr>
          <w:p w14:paraId="4A7BB7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ХАЗОСС</w:t>
            </w:r>
          </w:p>
        </w:tc>
        <w:tc>
          <w:tcPr>
            <w:tcW w:w="2296" w:type="dxa"/>
          </w:tcPr>
          <w:p w14:paraId="0741A11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w:t>
            </w:r>
          </w:p>
        </w:tc>
        <w:tc>
          <w:tcPr>
            <w:tcW w:w="2296" w:type="dxa"/>
          </w:tcPr>
          <w:p w14:paraId="7BCEC3C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2296" w:type="dxa"/>
          </w:tcPr>
          <w:p w14:paraId="4638A45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1873" w:type="dxa"/>
          </w:tcPr>
          <w:p w14:paraId="0606A1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bl>
    <w:p w14:paraId="6012C43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самолетов: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96"/>
        <w:gridCol w:w="2296"/>
        <w:gridCol w:w="2296"/>
        <w:gridCol w:w="2296"/>
        <w:gridCol w:w="1873"/>
      </w:tblGrid>
      <w:tr w:rsidR="00F26F01" w:rsidRPr="0044524F" w14:paraId="6D29B67A" w14:textId="77777777">
        <w:tc>
          <w:tcPr>
            <w:tcW w:w="2296" w:type="dxa"/>
          </w:tcPr>
          <w:p w14:paraId="4AFE87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96" w:type="dxa"/>
          </w:tcPr>
          <w:p w14:paraId="21AE01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296" w:type="dxa"/>
          </w:tcPr>
          <w:p w14:paraId="2B77712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c>
          <w:tcPr>
            <w:tcW w:w="2296" w:type="dxa"/>
          </w:tcPr>
          <w:p w14:paraId="203DB91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w:t>
            </w:r>
          </w:p>
        </w:tc>
        <w:tc>
          <w:tcPr>
            <w:tcW w:w="1873" w:type="dxa"/>
          </w:tcPr>
          <w:p w14:paraId="7AF391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w:t>
            </w:r>
          </w:p>
        </w:tc>
      </w:tr>
    </w:tbl>
    <w:p w14:paraId="744A4B8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4524F" w14:paraId="481DC724" w14:textId="77777777">
        <w:tc>
          <w:tcPr>
            <w:tcW w:w="1914" w:type="dxa"/>
          </w:tcPr>
          <w:p w14:paraId="614122F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tc>
        <w:tc>
          <w:tcPr>
            <w:tcW w:w="1914" w:type="dxa"/>
          </w:tcPr>
          <w:p w14:paraId="1AE7F1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w:t>
            </w:r>
          </w:p>
        </w:tc>
        <w:tc>
          <w:tcPr>
            <w:tcW w:w="1914" w:type="dxa"/>
          </w:tcPr>
          <w:p w14:paraId="4F246CF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Собрано</w:t>
            </w:r>
          </w:p>
        </w:tc>
        <w:tc>
          <w:tcPr>
            <w:tcW w:w="1914" w:type="dxa"/>
          </w:tcPr>
          <w:p w14:paraId="4375C9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Прошли 3-х часовые испытания</w:t>
            </w:r>
          </w:p>
        </w:tc>
        <w:tc>
          <w:tcPr>
            <w:tcW w:w="1914" w:type="dxa"/>
          </w:tcPr>
          <w:p w14:paraId="18BA58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Прошли 20-ти минутные испытания</w:t>
            </w:r>
          </w:p>
        </w:tc>
        <w:tc>
          <w:tcPr>
            <w:tcW w:w="1487" w:type="dxa"/>
          </w:tcPr>
          <w:p w14:paraId="3FDACE0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r>
      <w:tr w:rsidR="004E10C1" w:rsidRPr="0044524F" w14:paraId="54BADA0F" w14:textId="77777777">
        <w:tc>
          <w:tcPr>
            <w:tcW w:w="1914" w:type="dxa"/>
          </w:tcPr>
          <w:p w14:paraId="396D948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914" w:type="dxa"/>
          </w:tcPr>
          <w:p w14:paraId="3BE8FBA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914" w:type="dxa"/>
          </w:tcPr>
          <w:p w14:paraId="740C11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1914" w:type="dxa"/>
          </w:tcPr>
          <w:p w14:paraId="0E1601F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c>
          <w:tcPr>
            <w:tcW w:w="1914" w:type="dxa"/>
          </w:tcPr>
          <w:p w14:paraId="7D56EB1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w:t>
            </w:r>
          </w:p>
        </w:tc>
        <w:tc>
          <w:tcPr>
            <w:tcW w:w="1487" w:type="dxa"/>
          </w:tcPr>
          <w:p w14:paraId="0A8614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223</w:t>
            </w:r>
          </w:p>
        </w:tc>
      </w:tr>
      <w:tr w:rsidR="004E10C1" w:rsidRPr="0044524F" w14:paraId="0F0131C6" w14:textId="77777777">
        <w:tc>
          <w:tcPr>
            <w:tcW w:w="1914" w:type="dxa"/>
          </w:tcPr>
          <w:p w14:paraId="1F4C4DE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914" w:type="dxa"/>
          </w:tcPr>
          <w:p w14:paraId="4D55C3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914" w:type="dxa"/>
          </w:tcPr>
          <w:p w14:paraId="6E27C62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914" w:type="dxa"/>
          </w:tcPr>
          <w:p w14:paraId="06E97B2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1914" w:type="dxa"/>
          </w:tcPr>
          <w:p w14:paraId="4625FE1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1487" w:type="dxa"/>
          </w:tcPr>
          <w:p w14:paraId="3A92061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r>
      <w:tr w:rsidR="004E10C1" w:rsidRPr="0044524F" w14:paraId="384D2F84" w14:textId="77777777">
        <w:tc>
          <w:tcPr>
            <w:tcW w:w="1914" w:type="dxa"/>
          </w:tcPr>
          <w:p w14:paraId="3BDF24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914" w:type="dxa"/>
          </w:tcPr>
          <w:p w14:paraId="7A9AD04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914" w:type="dxa"/>
          </w:tcPr>
          <w:p w14:paraId="20343F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w:t>
            </w:r>
          </w:p>
        </w:tc>
        <w:tc>
          <w:tcPr>
            <w:tcW w:w="1914" w:type="dxa"/>
          </w:tcPr>
          <w:p w14:paraId="0F6F55B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914" w:type="dxa"/>
          </w:tcPr>
          <w:p w14:paraId="3D37DD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487" w:type="dxa"/>
          </w:tcPr>
          <w:p w14:paraId="234565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191</w:t>
            </w:r>
          </w:p>
        </w:tc>
      </w:tr>
      <w:tr w:rsidR="004E10C1" w:rsidRPr="0044524F" w14:paraId="70A1A956" w14:textId="77777777">
        <w:tc>
          <w:tcPr>
            <w:tcW w:w="1914" w:type="dxa"/>
          </w:tcPr>
          <w:p w14:paraId="0424B9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914" w:type="dxa"/>
          </w:tcPr>
          <w:p w14:paraId="0FE519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914" w:type="dxa"/>
          </w:tcPr>
          <w:p w14:paraId="631630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914" w:type="dxa"/>
          </w:tcPr>
          <w:p w14:paraId="655727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914" w:type="dxa"/>
          </w:tcPr>
          <w:p w14:paraId="5B9C0F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487" w:type="dxa"/>
          </w:tcPr>
          <w:p w14:paraId="0D0E17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w:t>
            </w:r>
          </w:p>
        </w:tc>
      </w:tr>
    </w:tbl>
    <w:p w14:paraId="04EA2E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моторов:</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4524F" w14:paraId="4D9038A5" w14:textId="77777777">
        <w:tc>
          <w:tcPr>
            <w:tcW w:w="1914" w:type="dxa"/>
          </w:tcPr>
          <w:p w14:paraId="27049BF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76E0105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0CDEFF7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914" w:type="dxa"/>
          </w:tcPr>
          <w:p w14:paraId="61FB64C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w:t>
            </w:r>
          </w:p>
        </w:tc>
        <w:tc>
          <w:tcPr>
            <w:tcW w:w="1914" w:type="dxa"/>
          </w:tcPr>
          <w:p w14:paraId="0456ED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202</w:t>
            </w:r>
          </w:p>
        </w:tc>
        <w:tc>
          <w:tcPr>
            <w:tcW w:w="1487" w:type="dxa"/>
          </w:tcPr>
          <w:p w14:paraId="15F0AF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541</w:t>
            </w:r>
          </w:p>
        </w:tc>
      </w:tr>
    </w:tbl>
    <w:p w14:paraId="30D9DFA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(4191, 33-38).</w:t>
      </w:r>
    </w:p>
    <w:p w14:paraId="31657E4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ПЛАНА 9-ти МЕСЯЦЕВ 1933 ГОДА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656"/>
        <w:gridCol w:w="1093"/>
        <w:gridCol w:w="1093"/>
        <w:gridCol w:w="1094"/>
        <w:gridCol w:w="1093"/>
        <w:gridCol w:w="1093"/>
        <w:gridCol w:w="1093"/>
        <w:gridCol w:w="1093"/>
        <w:gridCol w:w="1094"/>
      </w:tblGrid>
      <w:tr w:rsidR="004E10C1" w:rsidRPr="0044524F" w14:paraId="7C73F5C0" w14:textId="77777777">
        <w:tc>
          <w:tcPr>
            <w:tcW w:w="817" w:type="dxa"/>
            <w:tcBorders>
              <w:top w:val="single" w:sz="12" w:space="0" w:color="auto"/>
            </w:tcBorders>
          </w:tcPr>
          <w:p w14:paraId="1DAA529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завода</w:t>
            </w:r>
          </w:p>
        </w:tc>
        <w:tc>
          <w:tcPr>
            <w:tcW w:w="1656" w:type="dxa"/>
            <w:tcBorders>
              <w:top w:val="single" w:sz="12" w:space="0" w:color="auto"/>
            </w:tcBorders>
          </w:tcPr>
          <w:p w14:paraId="2A3055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самолета</w:t>
            </w:r>
          </w:p>
        </w:tc>
        <w:tc>
          <w:tcPr>
            <w:tcW w:w="1093" w:type="dxa"/>
            <w:tcBorders>
              <w:top w:val="single" w:sz="12" w:space="0" w:color="auto"/>
            </w:tcBorders>
          </w:tcPr>
          <w:p w14:paraId="1B52FB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на 1933</w:t>
            </w:r>
          </w:p>
        </w:tc>
        <w:tc>
          <w:tcPr>
            <w:tcW w:w="7653" w:type="dxa"/>
            <w:gridSpan w:val="7"/>
            <w:tcBorders>
              <w:top w:val="single" w:sz="12" w:space="0" w:color="auto"/>
            </w:tcBorders>
          </w:tcPr>
          <w:p w14:paraId="597BC6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w:t>
            </w:r>
          </w:p>
        </w:tc>
      </w:tr>
      <w:tr w:rsidR="004E10C1" w:rsidRPr="0044524F" w14:paraId="493B063F" w14:textId="77777777">
        <w:tc>
          <w:tcPr>
            <w:tcW w:w="2473" w:type="dxa"/>
            <w:gridSpan w:val="2"/>
          </w:tcPr>
          <w:p w14:paraId="07A7CF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4BC7621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3B0B900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w:t>
            </w:r>
          </w:p>
        </w:tc>
        <w:tc>
          <w:tcPr>
            <w:tcW w:w="1093" w:type="dxa"/>
          </w:tcPr>
          <w:p w14:paraId="45A258A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кв.</w:t>
            </w:r>
          </w:p>
        </w:tc>
        <w:tc>
          <w:tcPr>
            <w:tcW w:w="5466" w:type="dxa"/>
            <w:gridSpan w:val="5"/>
          </w:tcPr>
          <w:p w14:paraId="002FEA4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 квартал</w:t>
            </w:r>
          </w:p>
        </w:tc>
      </w:tr>
      <w:tr w:rsidR="004E10C1" w:rsidRPr="0044524F" w14:paraId="4F5561D3" w14:textId="77777777">
        <w:tc>
          <w:tcPr>
            <w:tcW w:w="2473" w:type="dxa"/>
            <w:gridSpan w:val="2"/>
          </w:tcPr>
          <w:p w14:paraId="786B8D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510E549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2187" w:type="dxa"/>
            <w:gridSpan w:val="2"/>
          </w:tcPr>
          <w:p w14:paraId="2DCFA88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1281191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w:t>
            </w:r>
          </w:p>
        </w:tc>
        <w:tc>
          <w:tcPr>
            <w:tcW w:w="1093" w:type="dxa"/>
          </w:tcPr>
          <w:p w14:paraId="7DAB425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всего</w:t>
            </w:r>
          </w:p>
        </w:tc>
        <w:tc>
          <w:tcPr>
            <w:tcW w:w="3280" w:type="dxa"/>
            <w:gridSpan w:val="3"/>
          </w:tcPr>
          <w:p w14:paraId="2E1DFBE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числе по месяцам</w:t>
            </w:r>
          </w:p>
        </w:tc>
      </w:tr>
      <w:tr w:rsidR="004E10C1" w:rsidRPr="0044524F" w14:paraId="32CEE4BB" w14:textId="77777777">
        <w:tc>
          <w:tcPr>
            <w:tcW w:w="817" w:type="dxa"/>
          </w:tcPr>
          <w:p w14:paraId="1996A92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3E329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7CC6D2D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7293859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20795C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6AE843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6B6091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72C738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июль</w:t>
            </w:r>
          </w:p>
        </w:tc>
        <w:tc>
          <w:tcPr>
            <w:tcW w:w="1093" w:type="dxa"/>
          </w:tcPr>
          <w:p w14:paraId="5FD603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август</w:t>
            </w:r>
          </w:p>
        </w:tc>
        <w:tc>
          <w:tcPr>
            <w:tcW w:w="1093" w:type="dxa"/>
          </w:tcPr>
          <w:p w14:paraId="304DC6C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сентябрь</w:t>
            </w:r>
          </w:p>
        </w:tc>
      </w:tr>
      <w:tr w:rsidR="004E10C1" w:rsidRPr="0044524F" w14:paraId="07B79EDC" w14:textId="77777777">
        <w:tc>
          <w:tcPr>
            <w:tcW w:w="817" w:type="dxa"/>
          </w:tcPr>
          <w:p w14:paraId="4629B51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656" w:type="dxa"/>
          </w:tcPr>
          <w:p w14:paraId="491642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tc>
        <w:tc>
          <w:tcPr>
            <w:tcW w:w="1093" w:type="dxa"/>
          </w:tcPr>
          <w:p w14:paraId="75F953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1675</w:t>
            </w:r>
          </w:p>
        </w:tc>
        <w:tc>
          <w:tcPr>
            <w:tcW w:w="1093" w:type="dxa"/>
          </w:tcPr>
          <w:p w14:paraId="7900121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244</w:t>
            </w:r>
          </w:p>
        </w:tc>
        <w:tc>
          <w:tcPr>
            <w:tcW w:w="1093" w:type="dxa"/>
          </w:tcPr>
          <w:p w14:paraId="12C3E22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339</w:t>
            </w:r>
          </w:p>
        </w:tc>
        <w:tc>
          <w:tcPr>
            <w:tcW w:w="1093" w:type="dxa"/>
          </w:tcPr>
          <w:p w14:paraId="7FC73F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514</w:t>
            </w:r>
          </w:p>
        </w:tc>
        <w:tc>
          <w:tcPr>
            <w:tcW w:w="1093" w:type="dxa"/>
          </w:tcPr>
          <w:p w14:paraId="19D9AD0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373</w:t>
            </w:r>
          </w:p>
        </w:tc>
        <w:tc>
          <w:tcPr>
            <w:tcW w:w="1093" w:type="dxa"/>
          </w:tcPr>
          <w:p w14:paraId="4ECF39B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1093" w:type="dxa"/>
          </w:tcPr>
          <w:p w14:paraId="7EE5CA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169</w:t>
            </w:r>
          </w:p>
        </w:tc>
        <w:tc>
          <w:tcPr>
            <w:tcW w:w="1093" w:type="dxa"/>
          </w:tcPr>
          <w:p w14:paraId="50A93DE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129</w:t>
            </w:r>
          </w:p>
        </w:tc>
      </w:tr>
      <w:tr w:rsidR="004E10C1" w:rsidRPr="0044524F" w14:paraId="39F93F82" w14:textId="77777777">
        <w:tc>
          <w:tcPr>
            <w:tcW w:w="817" w:type="dxa"/>
          </w:tcPr>
          <w:p w14:paraId="2A5601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07C438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1093" w:type="dxa"/>
          </w:tcPr>
          <w:p w14:paraId="7A37957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093" w:type="dxa"/>
          </w:tcPr>
          <w:p w14:paraId="416DE6F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w:t>
            </w:r>
          </w:p>
        </w:tc>
        <w:tc>
          <w:tcPr>
            <w:tcW w:w="1093" w:type="dxa"/>
          </w:tcPr>
          <w:p w14:paraId="3043AC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093" w:type="dxa"/>
          </w:tcPr>
          <w:p w14:paraId="2F45A76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1093" w:type="dxa"/>
          </w:tcPr>
          <w:p w14:paraId="1E34A3E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4802A8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3EB9E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128EC2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DA0BA17" w14:textId="77777777">
        <w:tc>
          <w:tcPr>
            <w:tcW w:w="817" w:type="dxa"/>
          </w:tcPr>
          <w:p w14:paraId="2A062AC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9A4ECB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МР5-М17</w:t>
            </w:r>
          </w:p>
        </w:tc>
        <w:tc>
          <w:tcPr>
            <w:tcW w:w="1093" w:type="dxa"/>
          </w:tcPr>
          <w:p w14:paraId="571AE8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093" w:type="dxa"/>
          </w:tcPr>
          <w:p w14:paraId="3E59280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D6203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424164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093" w:type="dxa"/>
          </w:tcPr>
          <w:p w14:paraId="677876A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36C564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E36E6C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B40BD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5342729" w14:textId="77777777">
        <w:tc>
          <w:tcPr>
            <w:tcW w:w="817" w:type="dxa"/>
          </w:tcPr>
          <w:p w14:paraId="7A0FEA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FA6407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093" w:type="dxa"/>
          </w:tcPr>
          <w:p w14:paraId="38052C2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97C33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CE00D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A6AD10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EE30BF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74F8C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1D68EA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F2BFA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C6B1558" w14:textId="77777777">
        <w:tc>
          <w:tcPr>
            <w:tcW w:w="817" w:type="dxa"/>
          </w:tcPr>
          <w:p w14:paraId="3CCEFC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BB8B11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093" w:type="dxa"/>
          </w:tcPr>
          <w:p w14:paraId="276E47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1975</w:t>
            </w:r>
          </w:p>
        </w:tc>
        <w:tc>
          <w:tcPr>
            <w:tcW w:w="1093" w:type="dxa"/>
          </w:tcPr>
          <w:p w14:paraId="4CBAB1E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261</w:t>
            </w:r>
          </w:p>
        </w:tc>
        <w:tc>
          <w:tcPr>
            <w:tcW w:w="1093" w:type="dxa"/>
          </w:tcPr>
          <w:p w14:paraId="3146C22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w:t>
            </w:r>
          </w:p>
        </w:tc>
        <w:tc>
          <w:tcPr>
            <w:tcW w:w="1093" w:type="dxa"/>
          </w:tcPr>
          <w:p w14:paraId="0294367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630</w:t>
            </w:r>
          </w:p>
        </w:tc>
        <w:tc>
          <w:tcPr>
            <w:tcW w:w="1093" w:type="dxa"/>
          </w:tcPr>
          <w:p w14:paraId="0AF9CE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373</w:t>
            </w:r>
          </w:p>
        </w:tc>
        <w:tc>
          <w:tcPr>
            <w:tcW w:w="1093" w:type="dxa"/>
          </w:tcPr>
          <w:p w14:paraId="2C7477A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1093" w:type="dxa"/>
          </w:tcPr>
          <w:p w14:paraId="0B1ECF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169</w:t>
            </w:r>
          </w:p>
        </w:tc>
        <w:tc>
          <w:tcPr>
            <w:tcW w:w="1093" w:type="dxa"/>
          </w:tcPr>
          <w:p w14:paraId="3811C2C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w:t>
            </w:r>
          </w:p>
        </w:tc>
      </w:tr>
      <w:tr w:rsidR="004E10C1" w:rsidRPr="0044524F" w14:paraId="49724453" w14:textId="77777777">
        <w:tc>
          <w:tcPr>
            <w:tcW w:w="817" w:type="dxa"/>
          </w:tcPr>
          <w:p w14:paraId="531E8B1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656" w:type="dxa"/>
          </w:tcPr>
          <w:p w14:paraId="55CBAF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093" w:type="dxa"/>
          </w:tcPr>
          <w:p w14:paraId="021B84A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093" w:type="dxa"/>
          </w:tcPr>
          <w:p w14:paraId="74BCC3D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w:t>
            </w:r>
          </w:p>
        </w:tc>
        <w:tc>
          <w:tcPr>
            <w:tcW w:w="1093" w:type="dxa"/>
          </w:tcPr>
          <w:p w14:paraId="08B32D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w:t>
            </w:r>
          </w:p>
        </w:tc>
        <w:tc>
          <w:tcPr>
            <w:tcW w:w="1093" w:type="dxa"/>
          </w:tcPr>
          <w:p w14:paraId="5CE9A4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1093" w:type="dxa"/>
          </w:tcPr>
          <w:p w14:paraId="0A50BD4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1093" w:type="dxa"/>
          </w:tcPr>
          <w:p w14:paraId="567ABD3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093" w:type="dxa"/>
          </w:tcPr>
          <w:p w14:paraId="3DBAA2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1093" w:type="dxa"/>
          </w:tcPr>
          <w:p w14:paraId="3BFBE44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r>
      <w:tr w:rsidR="004E10C1" w:rsidRPr="0044524F" w14:paraId="01DDD8D3" w14:textId="77777777">
        <w:tc>
          <w:tcPr>
            <w:tcW w:w="817" w:type="dxa"/>
          </w:tcPr>
          <w:p w14:paraId="3FB402A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7D602E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093" w:type="dxa"/>
          </w:tcPr>
          <w:p w14:paraId="683B24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093" w:type="dxa"/>
          </w:tcPr>
          <w:p w14:paraId="3FF50E3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72EE5D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093" w:type="dxa"/>
          </w:tcPr>
          <w:p w14:paraId="1D333F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1093" w:type="dxa"/>
          </w:tcPr>
          <w:p w14:paraId="520E0F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093" w:type="dxa"/>
          </w:tcPr>
          <w:p w14:paraId="00821D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093" w:type="dxa"/>
          </w:tcPr>
          <w:p w14:paraId="1ABFBB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88A6F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11ECD642" w14:textId="77777777">
        <w:tc>
          <w:tcPr>
            <w:tcW w:w="817" w:type="dxa"/>
          </w:tcPr>
          <w:p w14:paraId="36D3D6A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7DE301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w:t>
            </w:r>
          </w:p>
        </w:tc>
        <w:tc>
          <w:tcPr>
            <w:tcW w:w="1093" w:type="dxa"/>
          </w:tcPr>
          <w:p w14:paraId="21E6C88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093" w:type="dxa"/>
          </w:tcPr>
          <w:p w14:paraId="2DA7C07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78FF59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8CC8F1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A9985C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EACD2E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72455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7FA21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565D085" w14:textId="77777777">
        <w:tc>
          <w:tcPr>
            <w:tcW w:w="817" w:type="dxa"/>
          </w:tcPr>
          <w:p w14:paraId="45E454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39815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w:t>
            </w:r>
          </w:p>
        </w:tc>
        <w:tc>
          <w:tcPr>
            <w:tcW w:w="1093" w:type="dxa"/>
          </w:tcPr>
          <w:p w14:paraId="5C8AF9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093" w:type="dxa"/>
          </w:tcPr>
          <w:p w14:paraId="5A9F05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19903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6262A2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12B9F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18C94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92B340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976960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1846CD2" w14:textId="77777777">
        <w:tc>
          <w:tcPr>
            <w:tcW w:w="817" w:type="dxa"/>
          </w:tcPr>
          <w:p w14:paraId="1DFD60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1C6AD9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093" w:type="dxa"/>
          </w:tcPr>
          <w:p w14:paraId="4A34362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00DFAE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35EC15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52AF4A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BF875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5B8BB2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AF0993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B32A8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EE7914A" w14:textId="77777777">
        <w:tc>
          <w:tcPr>
            <w:tcW w:w="817" w:type="dxa"/>
          </w:tcPr>
          <w:p w14:paraId="504F5B8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F7810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093" w:type="dxa"/>
          </w:tcPr>
          <w:p w14:paraId="0C2F590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278</w:t>
            </w:r>
          </w:p>
        </w:tc>
        <w:tc>
          <w:tcPr>
            <w:tcW w:w="1093" w:type="dxa"/>
          </w:tcPr>
          <w:p w14:paraId="0F781D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w:t>
            </w:r>
          </w:p>
        </w:tc>
        <w:tc>
          <w:tcPr>
            <w:tcW w:w="1093" w:type="dxa"/>
          </w:tcPr>
          <w:p w14:paraId="0E1409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w:t>
            </w:r>
          </w:p>
        </w:tc>
        <w:tc>
          <w:tcPr>
            <w:tcW w:w="1093" w:type="dxa"/>
          </w:tcPr>
          <w:p w14:paraId="31CA4A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w:t>
            </w:r>
          </w:p>
        </w:tc>
        <w:tc>
          <w:tcPr>
            <w:tcW w:w="1093" w:type="dxa"/>
          </w:tcPr>
          <w:p w14:paraId="38A1C8A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1093" w:type="dxa"/>
          </w:tcPr>
          <w:p w14:paraId="319C0EB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1093" w:type="dxa"/>
          </w:tcPr>
          <w:p w14:paraId="4AECED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1093" w:type="dxa"/>
          </w:tcPr>
          <w:p w14:paraId="7E57871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r>
      <w:tr w:rsidR="004E10C1" w:rsidRPr="0044524F" w14:paraId="08DE7B35" w14:textId="77777777">
        <w:tc>
          <w:tcPr>
            <w:tcW w:w="817" w:type="dxa"/>
          </w:tcPr>
          <w:p w14:paraId="14BDCC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23</w:t>
            </w:r>
          </w:p>
        </w:tc>
        <w:tc>
          <w:tcPr>
            <w:tcW w:w="1656" w:type="dxa"/>
          </w:tcPr>
          <w:p w14:paraId="5065C2B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tc>
        <w:tc>
          <w:tcPr>
            <w:tcW w:w="1093" w:type="dxa"/>
          </w:tcPr>
          <w:p w14:paraId="6AEC9B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1280</w:t>
            </w:r>
          </w:p>
        </w:tc>
        <w:tc>
          <w:tcPr>
            <w:tcW w:w="1093" w:type="dxa"/>
          </w:tcPr>
          <w:p w14:paraId="1210017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c>
          <w:tcPr>
            <w:tcW w:w="1093" w:type="dxa"/>
          </w:tcPr>
          <w:p w14:paraId="0B1425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419</w:t>
            </w:r>
          </w:p>
        </w:tc>
        <w:tc>
          <w:tcPr>
            <w:tcW w:w="1093" w:type="dxa"/>
          </w:tcPr>
          <w:p w14:paraId="1EF8ADC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444</w:t>
            </w:r>
          </w:p>
        </w:tc>
        <w:tc>
          <w:tcPr>
            <w:tcW w:w="1093" w:type="dxa"/>
          </w:tcPr>
          <w:p w14:paraId="452ECD1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395</w:t>
            </w:r>
          </w:p>
        </w:tc>
        <w:tc>
          <w:tcPr>
            <w:tcW w:w="1093" w:type="dxa"/>
          </w:tcPr>
          <w:p w14:paraId="2F7F78A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156</w:t>
            </w:r>
          </w:p>
        </w:tc>
        <w:tc>
          <w:tcPr>
            <w:tcW w:w="1093" w:type="dxa"/>
          </w:tcPr>
          <w:p w14:paraId="48444B1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127</w:t>
            </w:r>
          </w:p>
        </w:tc>
        <w:tc>
          <w:tcPr>
            <w:tcW w:w="1093" w:type="dxa"/>
          </w:tcPr>
          <w:p w14:paraId="7F01F3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w:t>
            </w:r>
          </w:p>
        </w:tc>
      </w:tr>
      <w:tr w:rsidR="004E10C1" w:rsidRPr="0044524F" w14:paraId="1AB1EB3D" w14:textId="77777777">
        <w:tc>
          <w:tcPr>
            <w:tcW w:w="817" w:type="dxa"/>
          </w:tcPr>
          <w:p w14:paraId="5A294B5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D3C0D1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АП-М11</w:t>
            </w:r>
          </w:p>
        </w:tc>
        <w:tc>
          <w:tcPr>
            <w:tcW w:w="1093" w:type="dxa"/>
          </w:tcPr>
          <w:p w14:paraId="03CF05F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093" w:type="dxa"/>
          </w:tcPr>
          <w:p w14:paraId="3823DF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w:t>
            </w:r>
          </w:p>
        </w:tc>
        <w:tc>
          <w:tcPr>
            <w:tcW w:w="1093" w:type="dxa"/>
          </w:tcPr>
          <w:p w14:paraId="53468D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093" w:type="dxa"/>
          </w:tcPr>
          <w:p w14:paraId="54BEF17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C4364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06FF0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172EE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13789E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D74B218" w14:textId="77777777">
        <w:tc>
          <w:tcPr>
            <w:tcW w:w="817" w:type="dxa"/>
          </w:tcPr>
          <w:p w14:paraId="369A3C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561D722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093" w:type="dxa"/>
          </w:tcPr>
          <w:p w14:paraId="42B11E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1400</w:t>
            </w:r>
          </w:p>
        </w:tc>
        <w:tc>
          <w:tcPr>
            <w:tcW w:w="1093" w:type="dxa"/>
          </w:tcPr>
          <w:p w14:paraId="1FF6A5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w:t>
            </w:r>
          </w:p>
        </w:tc>
        <w:tc>
          <w:tcPr>
            <w:tcW w:w="1093" w:type="dxa"/>
          </w:tcPr>
          <w:p w14:paraId="543C526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423</w:t>
            </w:r>
          </w:p>
        </w:tc>
        <w:tc>
          <w:tcPr>
            <w:tcW w:w="1093" w:type="dxa"/>
          </w:tcPr>
          <w:p w14:paraId="2931EF2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444</w:t>
            </w:r>
          </w:p>
        </w:tc>
        <w:tc>
          <w:tcPr>
            <w:tcW w:w="1093" w:type="dxa"/>
          </w:tcPr>
          <w:p w14:paraId="7BB01AF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395</w:t>
            </w:r>
          </w:p>
        </w:tc>
        <w:tc>
          <w:tcPr>
            <w:tcW w:w="1093" w:type="dxa"/>
          </w:tcPr>
          <w:p w14:paraId="2E0806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156</w:t>
            </w:r>
          </w:p>
        </w:tc>
        <w:tc>
          <w:tcPr>
            <w:tcW w:w="1093" w:type="dxa"/>
          </w:tcPr>
          <w:p w14:paraId="04EA2A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127</w:t>
            </w:r>
          </w:p>
        </w:tc>
        <w:tc>
          <w:tcPr>
            <w:tcW w:w="1093" w:type="dxa"/>
          </w:tcPr>
          <w:p w14:paraId="2662F59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w:t>
            </w:r>
          </w:p>
        </w:tc>
      </w:tr>
      <w:tr w:rsidR="004E10C1" w:rsidRPr="0044524F" w14:paraId="0F7A9DD3" w14:textId="77777777">
        <w:tc>
          <w:tcPr>
            <w:tcW w:w="817" w:type="dxa"/>
          </w:tcPr>
          <w:p w14:paraId="40E10F7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656" w:type="dxa"/>
          </w:tcPr>
          <w:p w14:paraId="151A62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МБР4-АСО</w:t>
            </w:r>
          </w:p>
        </w:tc>
        <w:tc>
          <w:tcPr>
            <w:tcW w:w="1093" w:type="dxa"/>
          </w:tcPr>
          <w:p w14:paraId="3038294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093" w:type="dxa"/>
          </w:tcPr>
          <w:p w14:paraId="7594AE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406EE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906ACC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093" w:type="dxa"/>
          </w:tcPr>
          <w:p w14:paraId="101EA7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1093" w:type="dxa"/>
          </w:tcPr>
          <w:p w14:paraId="030070B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093" w:type="dxa"/>
          </w:tcPr>
          <w:p w14:paraId="42F20B7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093" w:type="dxa"/>
          </w:tcPr>
          <w:p w14:paraId="5AAF3B1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r>
      <w:tr w:rsidR="004E10C1" w:rsidRPr="0044524F" w14:paraId="2643D902" w14:textId="77777777">
        <w:tc>
          <w:tcPr>
            <w:tcW w:w="817" w:type="dxa"/>
          </w:tcPr>
          <w:p w14:paraId="6E05718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1E14B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tc>
        <w:tc>
          <w:tcPr>
            <w:tcW w:w="1093" w:type="dxa"/>
          </w:tcPr>
          <w:p w14:paraId="1B2D242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1093" w:type="dxa"/>
          </w:tcPr>
          <w:p w14:paraId="2DD157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31FF0D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B6803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w:t>
            </w:r>
          </w:p>
        </w:tc>
        <w:tc>
          <w:tcPr>
            <w:tcW w:w="1093" w:type="dxa"/>
          </w:tcPr>
          <w:p w14:paraId="3066040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4B511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15B11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DC9EAD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6EF73BF" w14:textId="77777777">
        <w:tc>
          <w:tcPr>
            <w:tcW w:w="817" w:type="dxa"/>
          </w:tcPr>
          <w:p w14:paraId="13E8E87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92ABC5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tc>
        <w:tc>
          <w:tcPr>
            <w:tcW w:w="1093" w:type="dxa"/>
          </w:tcPr>
          <w:p w14:paraId="2787A49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093" w:type="dxa"/>
          </w:tcPr>
          <w:p w14:paraId="19C289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72A7FF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47CB11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1093" w:type="dxa"/>
          </w:tcPr>
          <w:p w14:paraId="0EA302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093" w:type="dxa"/>
          </w:tcPr>
          <w:p w14:paraId="1E914FE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093" w:type="dxa"/>
          </w:tcPr>
          <w:p w14:paraId="47B36C2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093" w:type="dxa"/>
          </w:tcPr>
          <w:p w14:paraId="494995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1ED523F7" w14:textId="77777777">
        <w:tc>
          <w:tcPr>
            <w:tcW w:w="817" w:type="dxa"/>
          </w:tcPr>
          <w:p w14:paraId="4B38226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38CB63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Р6-2М34</w:t>
            </w:r>
          </w:p>
        </w:tc>
        <w:tc>
          <w:tcPr>
            <w:tcW w:w="1093" w:type="dxa"/>
          </w:tcPr>
          <w:p w14:paraId="08372B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093" w:type="dxa"/>
          </w:tcPr>
          <w:p w14:paraId="479D1C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1493F3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209FDF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45FB06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60080C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C58D5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703FB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20C4DA4" w14:textId="77777777">
        <w:tc>
          <w:tcPr>
            <w:tcW w:w="817" w:type="dxa"/>
          </w:tcPr>
          <w:p w14:paraId="71D17DD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CD67DE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АНТ9-2М17</w:t>
            </w:r>
          </w:p>
        </w:tc>
        <w:tc>
          <w:tcPr>
            <w:tcW w:w="1093" w:type="dxa"/>
          </w:tcPr>
          <w:p w14:paraId="1BA8A8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093" w:type="dxa"/>
          </w:tcPr>
          <w:p w14:paraId="305D24E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05CD8F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4FCD7B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1093" w:type="dxa"/>
          </w:tcPr>
          <w:p w14:paraId="72EC931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8D310F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43E84F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D7F91E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4DD9361" w14:textId="77777777">
        <w:tc>
          <w:tcPr>
            <w:tcW w:w="817" w:type="dxa"/>
          </w:tcPr>
          <w:p w14:paraId="4D0B4B7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55A171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АШ-М11</w:t>
            </w:r>
          </w:p>
        </w:tc>
        <w:tc>
          <w:tcPr>
            <w:tcW w:w="1093" w:type="dxa"/>
          </w:tcPr>
          <w:p w14:paraId="2C350D4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c>
          <w:tcPr>
            <w:tcW w:w="1093" w:type="dxa"/>
          </w:tcPr>
          <w:p w14:paraId="0A4A0A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093" w:type="dxa"/>
          </w:tcPr>
          <w:p w14:paraId="55891C3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1093" w:type="dxa"/>
          </w:tcPr>
          <w:p w14:paraId="080C43C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093" w:type="dxa"/>
          </w:tcPr>
          <w:p w14:paraId="598FC1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127</w:t>
            </w:r>
          </w:p>
        </w:tc>
        <w:tc>
          <w:tcPr>
            <w:tcW w:w="1093" w:type="dxa"/>
          </w:tcPr>
          <w:p w14:paraId="7AEF6CD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c>
          <w:tcPr>
            <w:tcW w:w="1093" w:type="dxa"/>
          </w:tcPr>
          <w:p w14:paraId="4E304E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w:t>
            </w:r>
          </w:p>
        </w:tc>
        <w:tc>
          <w:tcPr>
            <w:tcW w:w="1093" w:type="dxa"/>
          </w:tcPr>
          <w:p w14:paraId="2E4053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w:t>
            </w:r>
          </w:p>
        </w:tc>
      </w:tr>
      <w:tr w:rsidR="004E10C1" w:rsidRPr="0044524F" w14:paraId="11054B5F" w14:textId="77777777">
        <w:tc>
          <w:tcPr>
            <w:tcW w:w="817" w:type="dxa"/>
          </w:tcPr>
          <w:p w14:paraId="736BF17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F1C2EF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093" w:type="dxa"/>
          </w:tcPr>
          <w:p w14:paraId="47436D0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397</w:t>
            </w:r>
          </w:p>
        </w:tc>
        <w:tc>
          <w:tcPr>
            <w:tcW w:w="1093" w:type="dxa"/>
          </w:tcPr>
          <w:p w14:paraId="00B9E2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093" w:type="dxa"/>
          </w:tcPr>
          <w:p w14:paraId="762F933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1093" w:type="dxa"/>
          </w:tcPr>
          <w:p w14:paraId="1A2F59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w:t>
            </w:r>
          </w:p>
        </w:tc>
        <w:tc>
          <w:tcPr>
            <w:tcW w:w="1093" w:type="dxa"/>
          </w:tcPr>
          <w:p w14:paraId="2597FB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093" w:type="dxa"/>
          </w:tcPr>
          <w:p w14:paraId="528EE9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093" w:type="dxa"/>
          </w:tcPr>
          <w:p w14:paraId="4FAA04E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093" w:type="dxa"/>
          </w:tcPr>
          <w:p w14:paraId="488AD4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w:t>
            </w:r>
          </w:p>
        </w:tc>
      </w:tr>
      <w:tr w:rsidR="004E10C1" w:rsidRPr="0044524F" w14:paraId="27114BDB" w14:textId="77777777">
        <w:tc>
          <w:tcPr>
            <w:tcW w:w="817" w:type="dxa"/>
          </w:tcPr>
          <w:p w14:paraId="13293E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656" w:type="dxa"/>
          </w:tcPr>
          <w:p w14:paraId="3043F7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093" w:type="dxa"/>
          </w:tcPr>
          <w:p w14:paraId="3A74325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093" w:type="dxa"/>
          </w:tcPr>
          <w:p w14:paraId="16BB67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E863E2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F0B4F3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093" w:type="dxa"/>
          </w:tcPr>
          <w:p w14:paraId="1FEB8E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ABF3A8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53602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40AA2B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0344289" w14:textId="77777777">
        <w:tc>
          <w:tcPr>
            <w:tcW w:w="817" w:type="dxa"/>
          </w:tcPr>
          <w:p w14:paraId="5D97D05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656" w:type="dxa"/>
          </w:tcPr>
          <w:p w14:paraId="241FC9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И5-М22</w:t>
            </w:r>
          </w:p>
        </w:tc>
        <w:tc>
          <w:tcPr>
            <w:tcW w:w="1093" w:type="dxa"/>
          </w:tcPr>
          <w:p w14:paraId="728AF30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093" w:type="dxa"/>
          </w:tcPr>
          <w:p w14:paraId="579979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093" w:type="dxa"/>
          </w:tcPr>
          <w:p w14:paraId="35C4F1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w:t>
            </w:r>
          </w:p>
        </w:tc>
        <w:tc>
          <w:tcPr>
            <w:tcW w:w="1093" w:type="dxa"/>
          </w:tcPr>
          <w:p w14:paraId="5F73E9F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tc>
        <w:tc>
          <w:tcPr>
            <w:tcW w:w="1093" w:type="dxa"/>
          </w:tcPr>
          <w:p w14:paraId="7CE496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w:t>
            </w:r>
          </w:p>
        </w:tc>
        <w:tc>
          <w:tcPr>
            <w:tcW w:w="1093" w:type="dxa"/>
          </w:tcPr>
          <w:p w14:paraId="686CD08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c>
          <w:tcPr>
            <w:tcW w:w="1093" w:type="dxa"/>
          </w:tcPr>
          <w:p w14:paraId="3188DCE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093" w:type="dxa"/>
          </w:tcPr>
          <w:p w14:paraId="6A9063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15224AD4" w14:textId="77777777">
        <w:tc>
          <w:tcPr>
            <w:tcW w:w="817" w:type="dxa"/>
          </w:tcPr>
          <w:p w14:paraId="2FE95BA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tc>
        <w:tc>
          <w:tcPr>
            <w:tcW w:w="1656" w:type="dxa"/>
          </w:tcPr>
          <w:p w14:paraId="266F213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К5-М22</w:t>
            </w:r>
          </w:p>
        </w:tc>
        <w:tc>
          <w:tcPr>
            <w:tcW w:w="1093" w:type="dxa"/>
          </w:tcPr>
          <w:p w14:paraId="105A104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093" w:type="dxa"/>
          </w:tcPr>
          <w:p w14:paraId="6A2E35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093" w:type="dxa"/>
          </w:tcPr>
          <w:p w14:paraId="09D4B4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093" w:type="dxa"/>
          </w:tcPr>
          <w:p w14:paraId="401A97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tc>
        <w:tc>
          <w:tcPr>
            <w:tcW w:w="1093" w:type="dxa"/>
          </w:tcPr>
          <w:p w14:paraId="572C7AA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093" w:type="dxa"/>
          </w:tcPr>
          <w:p w14:paraId="606982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093" w:type="dxa"/>
          </w:tcPr>
          <w:p w14:paraId="4AB1E7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093" w:type="dxa"/>
          </w:tcPr>
          <w:p w14:paraId="26047C5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r>
      <w:tr w:rsidR="004E10C1" w:rsidRPr="0044524F" w14:paraId="6984D5D5" w14:textId="77777777">
        <w:tc>
          <w:tcPr>
            <w:tcW w:w="817" w:type="dxa"/>
          </w:tcPr>
          <w:p w14:paraId="5F9D763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1656" w:type="dxa"/>
          </w:tcPr>
          <w:p w14:paraId="36CCF5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093" w:type="dxa"/>
          </w:tcPr>
          <w:p w14:paraId="6FF6AB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093" w:type="dxa"/>
          </w:tcPr>
          <w:p w14:paraId="65185B1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093" w:type="dxa"/>
          </w:tcPr>
          <w:p w14:paraId="726B28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1093" w:type="dxa"/>
          </w:tcPr>
          <w:p w14:paraId="13F3B6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1093" w:type="dxa"/>
          </w:tcPr>
          <w:p w14:paraId="07B7CBA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1093" w:type="dxa"/>
          </w:tcPr>
          <w:p w14:paraId="310BC9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093" w:type="dxa"/>
          </w:tcPr>
          <w:p w14:paraId="2C3BA16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093" w:type="dxa"/>
          </w:tcPr>
          <w:p w14:paraId="06AB025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5436B5A0" w14:textId="77777777">
        <w:tc>
          <w:tcPr>
            <w:tcW w:w="817" w:type="dxa"/>
            <w:tcBorders>
              <w:bottom w:val="single" w:sz="12" w:space="0" w:color="auto"/>
            </w:tcBorders>
          </w:tcPr>
          <w:p w14:paraId="280C48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Borders>
              <w:bottom w:val="single" w:sz="12" w:space="0" w:color="auto"/>
            </w:tcBorders>
          </w:tcPr>
          <w:p w14:paraId="7A4A68A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самолетов</w:t>
            </w:r>
          </w:p>
        </w:tc>
        <w:tc>
          <w:tcPr>
            <w:tcW w:w="1093" w:type="dxa"/>
            <w:tcBorders>
              <w:bottom w:val="single" w:sz="12" w:space="0" w:color="auto"/>
            </w:tcBorders>
          </w:tcPr>
          <w:p w14:paraId="139DC2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4495</w:t>
            </w:r>
          </w:p>
        </w:tc>
        <w:tc>
          <w:tcPr>
            <w:tcW w:w="1093" w:type="dxa"/>
            <w:tcBorders>
              <w:bottom w:val="single" w:sz="12" w:space="0" w:color="auto"/>
            </w:tcBorders>
          </w:tcPr>
          <w:p w14:paraId="264187C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528</w:t>
            </w:r>
          </w:p>
        </w:tc>
        <w:tc>
          <w:tcPr>
            <w:tcW w:w="1093" w:type="dxa"/>
            <w:tcBorders>
              <w:bottom w:val="single" w:sz="12" w:space="0" w:color="auto"/>
            </w:tcBorders>
          </w:tcPr>
          <w:p w14:paraId="3B0230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1048</w:t>
            </w:r>
          </w:p>
        </w:tc>
        <w:tc>
          <w:tcPr>
            <w:tcW w:w="1093" w:type="dxa"/>
            <w:tcBorders>
              <w:bottom w:val="single" w:sz="12" w:space="0" w:color="auto"/>
            </w:tcBorders>
          </w:tcPr>
          <w:p w14:paraId="5E166CE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1417</w:t>
            </w:r>
          </w:p>
        </w:tc>
        <w:tc>
          <w:tcPr>
            <w:tcW w:w="1093" w:type="dxa"/>
            <w:tcBorders>
              <w:bottom w:val="single" w:sz="12" w:space="0" w:color="auto"/>
            </w:tcBorders>
          </w:tcPr>
          <w:p w14:paraId="1D5CCA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1055</w:t>
            </w:r>
          </w:p>
        </w:tc>
        <w:tc>
          <w:tcPr>
            <w:tcW w:w="1093" w:type="dxa"/>
            <w:tcBorders>
              <w:bottom w:val="single" w:sz="12" w:space="0" w:color="auto"/>
            </w:tcBorders>
          </w:tcPr>
          <w:p w14:paraId="0BD5A3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301</w:t>
            </w:r>
          </w:p>
        </w:tc>
        <w:tc>
          <w:tcPr>
            <w:tcW w:w="1093" w:type="dxa"/>
            <w:tcBorders>
              <w:bottom w:val="single" w:sz="12" w:space="0" w:color="auto"/>
            </w:tcBorders>
          </w:tcPr>
          <w:p w14:paraId="1DF612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w:t>
            </w:r>
          </w:p>
        </w:tc>
        <w:tc>
          <w:tcPr>
            <w:tcW w:w="1093" w:type="dxa"/>
            <w:tcBorders>
              <w:bottom w:val="single" w:sz="12" w:space="0" w:color="auto"/>
            </w:tcBorders>
          </w:tcPr>
          <w:p w14:paraId="043DDC3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329</w:t>
            </w:r>
          </w:p>
        </w:tc>
      </w:tr>
    </w:tbl>
    <w:p w14:paraId="51E28E1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(4149,40).</w:t>
      </w:r>
    </w:p>
    <w:p w14:paraId="7B71254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ПЛАНА 9-ти МЕСЯЦЕВ 1933 ГОДА ПО САМОЛЕТАМ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1656"/>
        <w:gridCol w:w="1093"/>
        <w:gridCol w:w="1093"/>
        <w:gridCol w:w="1093"/>
        <w:gridCol w:w="1093"/>
        <w:gridCol w:w="1094"/>
        <w:gridCol w:w="1093"/>
        <w:gridCol w:w="1093"/>
        <w:gridCol w:w="1094"/>
      </w:tblGrid>
      <w:tr w:rsidR="004E10C1" w:rsidRPr="0044524F" w14:paraId="55234903" w14:textId="77777777">
        <w:tc>
          <w:tcPr>
            <w:tcW w:w="817" w:type="dxa"/>
            <w:tcBorders>
              <w:top w:val="single" w:sz="12" w:space="0" w:color="auto"/>
            </w:tcBorders>
          </w:tcPr>
          <w:p w14:paraId="3EB0CF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п/п</w:t>
            </w:r>
          </w:p>
        </w:tc>
        <w:tc>
          <w:tcPr>
            <w:tcW w:w="1656" w:type="dxa"/>
            <w:tcBorders>
              <w:top w:val="single" w:sz="12" w:space="0" w:color="auto"/>
            </w:tcBorders>
          </w:tcPr>
          <w:p w14:paraId="202349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самолета</w:t>
            </w:r>
          </w:p>
        </w:tc>
        <w:tc>
          <w:tcPr>
            <w:tcW w:w="1093" w:type="dxa"/>
            <w:tcBorders>
              <w:top w:val="single" w:sz="12" w:space="0" w:color="auto"/>
            </w:tcBorders>
          </w:tcPr>
          <w:p w14:paraId="04D4C7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на 9 месяцев</w:t>
            </w:r>
          </w:p>
        </w:tc>
        <w:tc>
          <w:tcPr>
            <w:tcW w:w="4373" w:type="dxa"/>
            <w:gridSpan w:val="4"/>
            <w:tcBorders>
              <w:top w:val="single" w:sz="12" w:space="0" w:color="auto"/>
            </w:tcBorders>
          </w:tcPr>
          <w:p w14:paraId="71EDA02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w:t>
            </w:r>
          </w:p>
        </w:tc>
        <w:tc>
          <w:tcPr>
            <w:tcW w:w="1093" w:type="dxa"/>
            <w:tcBorders>
              <w:top w:val="single" w:sz="12" w:space="0" w:color="auto"/>
            </w:tcBorders>
          </w:tcPr>
          <w:p w14:paraId="4426865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 9 мес. 1932</w:t>
            </w:r>
          </w:p>
        </w:tc>
        <w:tc>
          <w:tcPr>
            <w:tcW w:w="2187" w:type="dxa"/>
            <w:gridSpan w:val="2"/>
            <w:tcBorders>
              <w:top w:val="single" w:sz="12" w:space="0" w:color="auto"/>
            </w:tcBorders>
          </w:tcPr>
          <w:p w14:paraId="14FD51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Остаток на 1 октября</w:t>
            </w:r>
          </w:p>
        </w:tc>
      </w:tr>
      <w:tr w:rsidR="004E10C1" w:rsidRPr="0044524F" w14:paraId="11743852" w14:textId="77777777">
        <w:tc>
          <w:tcPr>
            <w:tcW w:w="817" w:type="dxa"/>
          </w:tcPr>
          <w:p w14:paraId="45B4D17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4D529E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40B59B6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121764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w:t>
            </w:r>
          </w:p>
        </w:tc>
        <w:tc>
          <w:tcPr>
            <w:tcW w:w="3280" w:type="dxa"/>
            <w:gridSpan w:val="3"/>
          </w:tcPr>
          <w:p w14:paraId="266567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w:t>
            </w:r>
          </w:p>
        </w:tc>
        <w:tc>
          <w:tcPr>
            <w:tcW w:w="1093" w:type="dxa"/>
          </w:tcPr>
          <w:p w14:paraId="1B4B84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3B3667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Отбракованных</w:t>
            </w:r>
          </w:p>
        </w:tc>
        <w:tc>
          <w:tcPr>
            <w:tcW w:w="1093" w:type="dxa"/>
          </w:tcPr>
          <w:p w14:paraId="312FCA6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Предъявленных</w:t>
            </w:r>
          </w:p>
        </w:tc>
      </w:tr>
      <w:tr w:rsidR="004E10C1" w:rsidRPr="0044524F" w14:paraId="61B5AEC9" w14:textId="77777777">
        <w:tc>
          <w:tcPr>
            <w:tcW w:w="817" w:type="dxa"/>
          </w:tcPr>
          <w:p w14:paraId="32A15B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32E396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4F5D8C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52F125B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083FCE5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годов. Плану</w:t>
            </w:r>
          </w:p>
        </w:tc>
        <w:tc>
          <w:tcPr>
            <w:tcW w:w="1093" w:type="dxa"/>
          </w:tcPr>
          <w:p w14:paraId="12DCC8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9 мес. плану</w:t>
            </w:r>
          </w:p>
        </w:tc>
        <w:tc>
          <w:tcPr>
            <w:tcW w:w="1093" w:type="dxa"/>
          </w:tcPr>
          <w:p w14:paraId="3B0608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Сдача за 9 мес.</w:t>
            </w:r>
          </w:p>
        </w:tc>
        <w:tc>
          <w:tcPr>
            <w:tcW w:w="1093" w:type="dxa"/>
          </w:tcPr>
          <w:p w14:paraId="7174D9C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2AD468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093" w:type="dxa"/>
          </w:tcPr>
          <w:p w14:paraId="31B757F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CFE4B0C" w14:textId="77777777">
        <w:tc>
          <w:tcPr>
            <w:tcW w:w="817" w:type="dxa"/>
          </w:tcPr>
          <w:p w14:paraId="11FF46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656" w:type="dxa"/>
          </w:tcPr>
          <w:p w14:paraId="095315F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tc>
        <w:tc>
          <w:tcPr>
            <w:tcW w:w="1093" w:type="dxa"/>
          </w:tcPr>
          <w:p w14:paraId="537DF46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1208</w:t>
            </w:r>
          </w:p>
        </w:tc>
        <w:tc>
          <w:tcPr>
            <w:tcW w:w="1093" w:type="dxa"/>
          </w:tcPr>
          <w:p w14:paraId="2215E73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956</w:t>
            </w:r>
          </w:p>
        </w:tc>
        <w:tc>
          <w:tcPr>
            <w:tcW w:w="1093" w:type="dxa"/>
          </w:tcPr>
          <w:p w14:paraId="3D52F9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57,1</w:t>
            </w:r>
          </w:p>
        </w:tc>
        <w:tc>
          <w:tcPr>
            <w:tcW w:w="1093" w:type="dxa"/>
          </w:tcPr>
          <w:p w14:paraId="332C0E8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79,1</w:t>
            </w:r>
          </w:p>
        </w:tc>
        <w:tc>
          <w:tcPr>
            <w:tcW w:w="1093" w:type="dxa"/>
          </w:tcPr>
          <w:p w14:paraId="3C370D7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138,5</w:t>
            </w:r>
          </w:p>
        </w:tc>
        <w:tc>
          <w:tcPr>
            <w:tcW w:w="1093" w:type="dxa"/>
          </w:tcPr>
          <w:p w14:paraId="270C6AB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690</w:t>
            </w:r>
          </w:p>
        </w:tc>
        <w:tc>
          <w:tcPr>
            <w:tcW w:w="1093" w:type="dxa"/>
          </w:tcPr>
          <w:p w14:paraId="2265E7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093" w:type="dxa"/>
          </w:tcPr>
          <w:p w14:paraId="3A76072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tc>
      </w:tr>
      <w:tr w:rsidR="004E10C1" w:rsidRPr="0044524F" w14:paraId="7E717612" w14:textId="77777777">
        <w:tc>
          <w:tcPr>
            <w:tcW w:w="817" w:type="dxa"/>
          </w:tcPr>
          <w:p w14:paraId="2291F5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547CAB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1093" w:type="dxa"/>
          </w:tcPr>
          <w:p w14:paraId="4DC817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w:t>
            </w:r>
          </w:p>
        </w:tc>
        <w:tc>
          <w:tcPr>
            <w:tcW w:w="1093" w:type="dxa"/>
          </w:tcPr>
          <w:p w14:paraId="1036E9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1093" w:type="dxa"/>
          </w:tcPr>
          <w:p w14:paraId="259CD2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w:t>
            </w:r>
          </w:p>
        </w:tc>
        <w:tc>
          <w:tcPr>
            <w:tcW w:w="1093" w:type="dxa"/>
          </w:tcPr>
          <w:p w14:paraId="0C4ACA1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27,9</w:t>
            </w:r>
          </w:p>
        </w:tc>
        <w:tc>
          <w:tcPr>
            <w:tcW w:w="1093" w:type="dxa"/>
          </w:tcPr>
          <w:p w14:paraId="2C383B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44CF21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6EEF0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093" w:type="dxa"/>
          </w:tcPr>
          <w:p w14:paraId="677B40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r>
      <w:tr w:rsidR="004E10C1" w:rsidRPr="0044524F" w14:paraId="4887EFFC" w14:textId="77777777">
        <w:tc>
          <w:tcPr>
            <w:tcW w:w="817" w:type="dxa"/>
          </w:tcPr>
          <w:p w14:paraId="61CB97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5A908E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МР5-М17</w:t>
            </w:r>
          </w:p>
        </w:tc>
        <w:tc>
          <w:tcPr>
            <w:tcW w:w="1093" w:type="dxa"/>
          </w:tcPr>
          <w:p w14:paraId="76B20D6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093" w:type="dxa"/>
          </w:tcPr>
          <w:p w14:paraId="27B9FCA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51EFF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13D4B2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77946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28F97F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9C5CCC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44EA7C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851D07E" w14:textId="77777777">
        <w:tc>
          <w:tcPr>
            <w:tcW w:w="817" w:type="dxa"/>
          </w:tcPr>
          <w:p w14:paraId="220E7D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20E5E1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093" w:type="dxa"/>
          </w:tcPr>
          <w:p w14:paraId="2E099CE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1D5583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0A5C09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1DB65A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8D7CC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9C674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1093" w:type="dxa"/>
          </w:tcPr>
          <w:p w14:paraId="5D6B7A1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F3892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B5BD012" w14:textId="77777777">
        <w:tc>
          <w:tcPr>
            <w:tcW w:w="817" w:type="dxa"/>
          </w:tcPr>
          <w:p w14:paraId="35B84BE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7A45173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093" w:type="dxa"/>
          </w:tcPr>
          <w:p w14:paraId="47977B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1406</w:t>
            </w:r>
          </w:p>
        </w:tc>
        <w:tc>
          <w:tcPr>
            <w:tcW w:w="1093" w:type="dxa"/>
          </w:tcPr>
          <w:p w14:paraId="19719E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1004</w:t>
            </w:r>
          </w:p>
        </w:tc>
        <w:tc>
          <w:tcPr>
            <w:tcW w:w="1093" w:type="dxa"/>
          </w:tcPr>
          <w:p w14:paraId="36DC723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50,3</w:t>
            </w:r>
          </w:p>
        </w:tc>
        <w:tc>
          <w:tcPr>
            <w:tcW w:w="1093" w:type="dxa"/>
          </w:tcPr>
          <w:p w14:paraId="4216B6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71,4</w:t>
            </w:r>
          </w:p>
        </w:tc>
        <w:tc>
          <w:tcPr>
            <w:tcW w:w="1093" w:type="dxa"/>
          </w:tcPr>
          <w:p w14:paraId="7C724B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w:t>
            </w:r>
          </w:p>
        </w:tc>
        <w:tc>
          <w:tcPr>
            <w:tcW w:w="1093" w:type="dxa"/>
          </w:tcPr>
          <w:p w14:paraId="47C35F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766</w:t>
            </w:r>
          </w:p>
        </w:tc>
        <w:tc>
          <w:tcPr>
            <w:tcW w:w="1093" w:type="dxa"/>
          </w:tcPr>
          <w:p w14:paraId="2D2DA45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w:t>
            </w:r>
          </w:p>
        </w:tc>
        <w:tc>
          <w:tcPr>
            <w:tcW w:w="1093" w:type="dxa"/>
          </w:tcPr>
          <w:p w14:paraId="4B064A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w:t>
            </w:r>
          </w:p>
        </w:tc>
      </w:tr>
      <w:tr w:rsidR="004E10C1" w:rsidRPr="0044524F" w14:paraId="794BEFE0" w14:textId="77777777">
        <w:tc>
          <w:tcPr>
            <w:tcW w:w="817" w:type="dxa"/>
          </w:tcPr>
          <w:p w14:paraId="1C4A135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656" w:type="dxa"/>
          </w:tcPr>
          <w:p w14:paraId="60D3B68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093" w:type="dxa"/>
          </w:tcPr>
          <w:p w14:paraId="350F65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093" w:type="dxa"/>
          </w:tcPr>
          <w:p w14:paraId="2AACA8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168</w:t>
            </w:r>
          </w:p>
        </w:tc>
        <w:tc>
          <w:tcPr>
            <w:tcW w:w="1093" w:type="dxa"/>
          </w:tcPr>
          <w:p w14:paraId="3CDAB5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c>
          <w:tcPr>
            <w:tcW w:w="1093" w:type="dxa"/>
          </w:tcPr>
          <w:p w14:paraId="2D67D72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c>
          <w:tcPr>
            <w:tcW w:w="1093" w:type="dxa"/>
          </w:tcPr>
          <w:p w14:paraId="03B4CB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357,4</w:t>
            </w:r>
          </w:p>
        </w:tc>
        <w:tc>
          <w:tcPr>
            <w:tcW w:w="1093" w:type="dxa"/>
          </w:tcPr>
          <w:p w14:paraId="49DDB4A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1093" w:type="dxa"/>
          </w:tcPr>
          <w:p w14:paraId="5968D7E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62F22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16FEEF5A" w14:textId="77777777">
        <w:tc>
          <w:tcPr>
            <w:tcW w:w="817" w:type="dxa"/>
          </w:tcPr>
          <w:p w14:paraId="713E60F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11B59B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093" w:type="dxa"/>
          </w:tcPr>
          <w:p w14:paraId="114DCE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1093" w:type="dxa"/>
          </w:tcPr>
          <w:p w14:paraId="70EF12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093" w:type="dxa"/>
          </w:tcPr>
          <w:p w14:paraId="1EA65B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c>
          <w:tcPr>
            <w:tcW w:w="1093" w:type="dxa"/>
          </w:tcPr>
          <w:p w14:paraId="6F0D9A5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tc>
        <w:tc>
          <w:tcPr>
            <w:tcW w:w="1093" w:type="dxa"/>
          </w:tcPr>
          <w:p w14:paraId="77E6FB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34E66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1B5D7C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824CDF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r>
      <w:tr w:rsidR="004E10C1" w:rsidRPr="0044524F" w14:paraId="26EB962E" w14:textId="77777777">
        <w:tc>
          <w:tcPr>
            <w:tcW w:w="817" w:type="dxa"/>
          </w:tcPr>
          <w:p w14:paraId="4D31090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6D33B6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w:t>
            </w:r>
          </w:p>
        </w:tc>
        <w:tc>
          <w:tcPr>
            <w:tcW w:w="1093" w:type="dxa"/>
          </w:tcPr>
          <w:p w14:paraId="73EFC9E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1211B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E2318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369E1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FF15D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9A99B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AB8D56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FDEF1B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B68BD39" w14:textId="77777777">
        <w:tc>
          <w:tcPr>
            <w:tcW w:w="817" w:type="dxa"/>
          </w:tcPr>
          <w:p w14:paraId="36ED2C1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3C05B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w:t>
            </w:r>
          </w:p>
        </w:tc>
        <w:tc>
          <w:tcPr>
            <w:tcW w:w="1093" w:type="dxa"/>
          </w:tcPr>
          <w:p w14:paraId="457D30A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EBFA5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94663A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C6910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59F3FE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96376C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7D0A5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A74BC4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6136719" w14:textId="77777777">
        <w:tc>
          <w:tcPr>
            <w:tcW w:w="817" w:type="dxa"/>
          </w:tcPr>
          <w:p w14:paraId="2C30193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C44F1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093" w:type="dxa"/>
          </w:tcPr>
          <w:p w14:paraId="0BEEF2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8DE28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2DD23FC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5E4EC6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A4D75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8B19E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w:t>
            </w:r>
          </w:p>
        </w:tc>
        <w:tc>
          <w:tcPr>
            <w:tcW w:w="1093" w:type="dxa"/>
          </w:tcPr>
          <w:p w14:paraId="110EDE9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27E65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0124A5D" w14:textId="77777777">
        <w:tc>
          <w:tcPr>
            <w:tcW w:w="817" w:type="dxa"/>
          </w:tcPr>
          <w:p w14:paraId="716701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17BDE1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093" w:type="dxa"/>
          </w:tcPr>
          <w:p w14:paraId="6A6EC09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w:t>
            </w:r>
          </w:p>
        </w:tc>
        <w:tc>
          <w:tcPr>
            <w:tcW w:w="1093" w:type="dxa"/>
          </w:tcPr>
          <w:p w14:paraId="35DFC5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w:t>
            </w:r>
          </w:p>
        </w:tc>
        <w:tc>
          <w:tcPr>
            <w:tcW w:w="1093" w:type="dxa"/>
          </w:tcPr>
          <w:p w14:paraId="64B5802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61,9</w:t>
            </w:r>
          </w:p>
        </w:tc>
        <w:tc>
          <w:tcPr>
            <w:tcW w:w="1093" w:type="dxa"/>
          </w:tcPr>
          <w:p w14:paraId="22032B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87,7</w:t>
            </w:r>
          </w:p>
        </w:tc>
        <w:tc>
          <w:tcPr>
            <w:tcW w:w="1093" w:type="dxa"/>
          </w:tcPr>
          <w:p w14:paraId="6EAC39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175,6</w:t>
            </w:r>
          </w:p>
        </w:tc>
        <w:tc>
          <w:tcPr>
            <w:tcW w:w="1093" w:type="dxa"/>
          </w:tcPr>
          <w:p w14:paraId="602B1C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1093" w:type="dxa"/>
          </w:tcPr>
          <w:p w14:paraId="70E7590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65042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r>
      <w:tr w:rsidR="004E10C1" w:rsidRPr="0044524F" w14:paraId="6B3A0056" w14:textId="77777777">
        <w:tc>
          <w:tcPr>
            <w:tcW w:w="817" w:type="dxa"/>
          </w:tcPr>
          <w:p w14:paraId="58BB8CC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656" w:type="dxa"/>
          </w:tcPr>
          <w:p w14:paraId="2E13A01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tc>
        <w:tc>
          <w:tcPr>
            <w:tcW w:w="1093" w:type="dxa"/>
          </w:tcPr>
          <w:p w14:paraId="41F110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923</w:t>
            </w:r>
          </w:p>
        </w:tc>
        <w:tc>
          <w:tcPr>
            <w:tcW w:w="1093" w:type="dxa"/>
          </w:tcPr>
          <w:p w14:paraId="5806AAA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880</w:t>
            </w:r>
          </w:p>
        </w:tc>
        <w:tc>
          <w:tcPr>
            <w:tcW w:w="1093" w:type="dxa"/>
          </w:tcPr>
          <w:p w14:paraId="12CD786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68,7</w:t>
            </w:r>
          </w:p>
        </w:tc>
        <w:tc>
          <w:tcPr>
            <w:tcW w:w="1093" w:type="dxa"/>
          </w:tcPr>
          <w:p w14:paraId="6F90AF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94,3</w:t>
            </w:r>
          </w:p>
        </w:tc>
        <w:tc>
          <w:tcPr>
            <w:tcW w:w="1093" w:type="dxa"/>
          </w:tcPr>
          <w:p w14:paraId="1CACA8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137,1</w:t>
            </w:r>
          </w:p>
        </w:tc>
        <w:tc>
          <w:tcPr>
            <w:tcW w:w="1093" w:type="dxa"/>
          </w:tcPr>
          <w:p w14:paraId="26C4E6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642</w:t>
            </w:r>
          </w:p>
        </w:tc>
        <w:tc>
          <w:tcPr>
            <w:tcW w:w="1093" w:type="dxa"/>
          </w:tcPr>
          <w:p w14:paraId="6AC25B5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D3667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r>
      <w:tr w:rsidR="004E10C1" w:rsidRPr="0044524F" w14:paraId="5B32862F" w14:textId="77777777">
        <w:tc>
          <w:tcPr>
            <w:tcW w:w="817" w:type="dxa"/>
          </w:tcPr>
          <w:p w14:paraId="2B2BD8A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C2370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АП-М11</w:t>
            </w:r>
          </w:p>
        </w:tc>
        <w:tc>
          <w:tcPr>
            <w:tcW w:w="1093" w:type="dxa"/>
          </w:tcPr>
          <w:p w14:paraId="06AA9B0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093" w:type="dxa"/>
          </w:tcPr>
          <w:p w14:paraId="5A0909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127</w:t>
            </w:r>
          </w:p>
        </w:tc>
        <w:tc>
          <w:tcPr>
            <w:tcW w:w="1093" w:type="dxa"/>
          </w:tcPr>
          <w:p w14:paraId="27BF07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105,8</w:t>
            </w:r>
          </w:p>
        </w:tc>
        <w:tc>
          <w:tcPr>
            <w:tcW w:w="1093" w:type="dxa"/>
          </w:tcPr>
          <w:p w14:paraId="669C726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105,8</w:t>
            </w:r>
          </w:p>
        </w:tc>
        <w:tc>
          <w:tcPr>
            <w:tcW w:w="1093" w:type="dxa"/>
          </w:tcPr>
          <w:p w14:paraId="1ADD0B0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74,3</w:t>
            </w:r>
          </w:p>
        </w:tc>
        <w:tc>
          <w:tcPr>
            <w:tcW w:w="1093" w:type="dxa"/>
          </w:tcPr>
          <w:p w14:paraId="2CFD7E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w:t>
            </w:r>
          </w:p>
        </w:tc>
        <w:tc>
          <w:tcPr>
            <w:tcW w:w="1093" w:type="dxa"/>
          </w:tcPr>
          <w:p w14:paraId="13FD692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BB7F4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36E543E" w14:textId="77777777">
        <w:tc>
          <w:tcPr>
            <w:tcW w:w="817" w:type="dxa"/>
          </w:tcPr>
          <w:p w14:paraId="3C52A44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975CE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093" w:type="dxa"/>
          </w:tcPr>
          <w:p w14:paraId="47869F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1053</w:t>
            </w:r>
          </w:p>
        </w:tc>
        <w:tc>
          <w:tcPr>
            <w:tcW w:w="1093" w:type="dxa"/>
          </w:tcPr>
          <w:p w14:paraId="1297993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1007</w:t>
            </w:r>
          </w:p>
        </w:tc>
        <w:tc>
          <w:tcPr>
            <w:tcW w:w="1093" w:type="dxa"/>
          </w:tcPr>
          <w:p w14:paraId="5CDD93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71,9</w:t>
            </w:r>
          </w:p>
        </w:tc>
        <w:tc>
          <w:tcPr>
            <w:tcW w:w="1093" w:type="dxa"/>
          </w:tcPr>
          <w:p w14:paraId="3B6A71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95,6</w:t>
            </w:r>
          </w:p>
        </w:tc>
        <w:tc>
          <w:tcPr>
            <w:tcW w:w="1093" w:type="dxa"/>
          </w:tcPr>
          <w:p w14:paraId="7DA1A4E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123,8</w:t>
            </w:r>
          </w:p>
        </w:tc>
        <w:tc>
          <w:tcPr>
            <w:tcW w:w="1093" w:type="dxa"/>
          </w:tcPr>
          <w:p w14:paraId="3D4126C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813</w:t>
            </w:r>
          </w:p>
        </w:tc>
        <w:tc>
          <w:tcPr>
            <w:tcW w:w="1093" w:type="dxa"/>
          </w:tcPr>
          <w:p w14:paraId="0778DA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26A4F3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r>
      <w:tr w:rsidR="004E10C1" w:rsidRPr="0044524F" w14:paraId="4510A993" w14:textId="77777777">
        <w:tc>
          <w:tcPr>
            <w:tcW w:w="817" w:type="dxa"/>
          </w:tcPr>
          <w:p w14:paraId="3AA27EC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656" w:type="dxa"/>
          </w:tcPr>
          <w:p w14:paraId="06E6713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МБР4-АСО</w:t>
            </w:r>
          </w:p>
        </w:tc>
        <w:tc>
          <w:tcPr>
            <w:tcW w:w="1093" w:type="dxa"/>
          </w:tcPr>
          <w:p w14:paraId="5192D5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1093" w:type="dxa"/>
          </w:tcPr>
          <w:p w14:paraId="09184CE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1093" w:type="dxa"/>
          </w:tcPr>
          <w:p w14:paraId="044A43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1093" w:type="dxa"/>
          </w:tcPr>
          <w:p w14:paraId="301912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1093" w:type="dxa"/>
          </w:tcPr>
          <w:p w14:paraId="4CD5739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093" w:type="dxa"/>
          </w:tcPr>
          <w:p w14:paraId="33C0CB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1093" w:type="dxa"/>
          </w:tcPr>
          <w:p w14:paraId="0653ED1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1093" w:type="dxa"/>
          </w:tcPr>
          <w:p w14:paraId="5CBC763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30398D5" w14:textId="77777777">
        <w:tc>
          <w:tcPr>
            <w:tcW w:w="817" w:type="dxa"/>
          </w:tcPr>
          <w:p w14:paraId="2B4634B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3F60E87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tc>
        <w:tc>
          <w:tcPr>
            <w:tcW w:w="1093" w:type="dxa"/>
          </w:tcPr>
          <w:p w14:paraId="03C2AF2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c>
          <w:tcPr>
            <w:tcW w:w="1093" w:type="dxa"/>
          </w:tcPr>
          <w:p w14:paraId="5EC5BB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2B1BCF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7AB5C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400A02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70D027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92534B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36489B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B8EA5FF" w14:textId="77777777">
        <w:tc>
          <w:tcPr>
            <w:tcW w:w="817" w:type="dxa"/>
          </w:tcPr>
          <w:p w14:paraId="3C0AE01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842F1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tc>
        <w:tc>
          <w:tcPr>
            <w:tcW w:w="1093" w:type="dxa"/>
          </w:tcPr>
          <w:p w14:paraId="0B30E56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093" w:type="dxa"/>
          </w:tcPr>
          <w:p w14:paraId="6DDC871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093" w:type="dxa"/>
          </w:tcPr>
          <w:p w14:paraId="40384B5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093" w:type="dxa"/>
          </w:tcPr>
          <w:p w14:paraId="4AAE05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1093" w:type="dxa"/>
          </w:tcPr>
          <w:p w14:paraId="11186C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1121E1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F18D4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6ACBAF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8844AC3" w14:textId="77777777">
        <w:tc>
          <w:tcPr>
            <w:tcW w:w="817" w:type="dxa"/>
          </w:tcPr>
          <w:p w14:paraId="6A830DE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40B9A1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Р6-2М34</w:t>
            </w:r>
          </w:p>
        </w:tc>
        <w:tc>
          <w:tcPr>
            <w:tcW w:w="1093" w:type="dxa"/>
          </w:tcPr>
          <w:p w14:paraId="2C7671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6ED94A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36C408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AF54D6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FA7E6C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74E13A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954A4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F3B14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5080A74" w14:textId="77777777">
        <w:tc>
          <w:tcPr>
            <w:tcW w:w="817" w:type="dxa"/>
          </w:tcPr>
          <w:p w14:paraId="36351C8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2E94C41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АНТ9-2М17</w:t>
            </w:r>
          </w:p>
        </w:tc>
        <w:tc>
          <w:tcPr>
            <w:tcW w:w="1093" w:type="dxa"/>
          </w:tcPr>
          <w:p w14:paraId="1C332D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093" w:type="dxa"/>
          </w:tcPr>
          <w:p w14:paraId="725E9E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301A30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0D94C6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B547F4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3A3B6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AA352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6A0E1E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E6EA63E" w14:textId="77777777">
        <w:tc>
          <w:tcPr>
            <w:tcW w:w="817" w:type="dxa"/>
          </w:tcPr>
          <w:p w14:paraId="6085D7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09A1E35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АШ-М11</w:t>
            </w:r>
          </w:p>
        </w:tc>
        <w:tc>
          <w:tcPr>
            <w:tcW w:w="1093" w:type="dxa"/>
          </w:tcPr>
          <w:p w14:paraId="229C55A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c>
          <w:tcPr>
            <w:tcW w:w="1093" w:type="dxa"/>
          </w:tcPr>
          <w:p w14:paraId="628FC7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w:t>
            </w:r>
          </w:p>
        </w:tc>
        <w:tc>
          <w:tcPr>
            <w:tcW w:w="1093" w:type="dxa"/>
          </w:tcPr>
          <w:p w14:paraId="40E3A5C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98,3</w:t>
            </w:r>
          </w:p>
        </w:tc>
        <w:tc>
          <w:tcPr>
            <w:tcW w:w="1093" w:type="dxa"/>
          </w:tcPr>
          <w:p w14:paraId="785B87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98,3</w:t>
            </w:r>
          </w:p>
        </w:tc>
        <w:tc>
          <w:tcPr>
            <w:tcW w:w="1093" w:type="dxa"/>
          </w:tcPr>
          <w:p w14:paraId="6A71D80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8600</w:t>
            </w:r>
          </w:p>
        </w:tc>
        <w:tc>
          <w:tcPr>
            <w:tcW w:w="1093" w:type="dxa"/>
          </w:tcPr>
          <w:p w14:paraId="2C78B9D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093" w:type="dxa"/>
          </w:tcPr>
          <w:p w14:paraId="2E7E43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CE7A9E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3C3081CD" w14:textId="77777777">
        <w:tc>
          <w:tcPr>
            <w:tcW w:w="817" w:type="dxa"/>
          </w:tcPr>
          <w:p w14:paraId="15EC54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Pr>
          <w:p w14:paraId="266E5F3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самолетов</w:t>
            </w:r>
          </w:p>
        </w:tc>
        <w:tc>
          <w:tcPr>
            <w:tcW w:w="1093" w:type="dxa"/>
          </w:tcPr>
          <w:p w14:paraId="73468CA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305</w:t>
            </w:r>
          </w:p>
        </w:tc>
        <w:tc>
          <w:tcPr>
            <w:tcW w:w="1093" w:type="dxa"/>
          </w:tcPr>
          <w:p w14:paraId="748DCE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w:t>
            </w:r>
          </w:p>
        </w:tc>
        <w:tc>
          <w:tcPr>
            <w:tcW w:w="1093" w:type="dxa"/>
          </w:tcPr>
          <w:p w14:paraId="7F3094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49,1</w:t>
            </w:r>
          </w:p>
        </w:tc>
        <w:tc>
          <w:tcPr>
            <w:tcW w:w="1093" w:type="dxa"/>
          </w:tcPr>
          <w:p w14:paraId="05AB969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53,9</w:t>
            </w:r>
          </w:p>
        </w:tc>
        <w:tc>
          <w:tcPr>
            <w:tcW w:w="1093" w:type="dxa"/>
          </w:tcPr>
          <w:p w14:paraId="22BD657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2437</w:t>
            </w:r>
          </w:p>
        </w:tc>
        <w:tc>
          <w:tcPr>
            <w:tcW w:w="1093" w:type="dxa"/>
          </w:tcPr>
          <w:p w14:paraId="56EB5A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093" w:type="dxa"/>
          </w:tcPr>
          <w:p w14:paraId="1DFDD3E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1093" w:type="dxa"/>
          </w:tcPr>
          <w:p w14:paraId="2DB60D7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5023F2C5" w14:textId="77777777">
        <w:tc>
          <w:tcPr>
            <w:tcW w:w="817" w:type="dxa"/>
          </w:tcPr>
          <w:p w14:paraId="2BF065F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656" w:type="dxa"/>
          </w:tcPr>
          <w:p w14:paraId="4083D1E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093" w:type="dxa"/>
          </w:tcPr>
          <w:p w14:paraId="1C184E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093" w:type="dxa"/>
          </w:tcPr>
          <w:p w14:paraId="6B82BE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11DF35E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3B2316E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C32D37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4E8635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7238B1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03FB060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28D68B99" w14:textId="77777777">
        <w:tc>
          <w:tcPr>
            <w:tcW w:w="817" w:type="dxa"/>
          </w:tcPr>
          <w:p w14:paraId="0E2545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656" w:type="dxa"/>
          </w:tcPr>
          <w:p w14:paraId="46E593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И5-М22</w:t>
            </w:r>
          </w:p>
        </w:tc>
        <w:tc>
          <w:tcPr>
            <w:tcW w:w="1093" w:type="dxa"/>
          </w:tcPr>
          <w:p w14:paraId="70510B5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1093" w:type="dxa"/>
          </w:tcPr>
          <w:p w14:paraId="702C4F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c>
          <w:tcPr>
            <w:tcW w:w="1093" w:type="dxa"/>
          </w:tcPr>
          <w:p w14:paraId="6F017E1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1093" w:type="dxa"/>
          </w:tcPr>
          <w:p w14:paraId="2750503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81,8</w:t>
            </w:r>
          </w:p>
        </w:tc>
        <w:tc>
          <w:tcPr>
            <w:tcW w:w="1093" w:type="dxa"/>
          </w:tcPr>
          <w:p w14:paraId="4F21350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47FD17F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538DAD0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093" w:type="dxa"/>
          </w:tcPr>
          <w:p w14:paraId="7D3301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r>
      <w:tr w:rsidR="004E10C1" w:rsidRPr="0044524F" w14:paraId="1F981DAA" w14:textId="77777777">
        <w:tc>
          <w:tcPr>
            <w:tcW w:w="817" w:type="dxa"/>
          </w:tcPr>
          <w:p w14:paraId="49B641A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tc>
        <w:tc>
          <w:tcPr>
            <w:tcW w:w="1656" w:type="dxa"/>
          </w:tcPr>
          <w:p w14:paraId="7000772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К5-М22</w:t>
            </w:r>
          </w:p>
        </w:tc>
        <w:tc>
          <w:tcPr>
            <w:tcW w:w="1093" w:type="dxa"/>
          </w:tcPr>
          <w:p w14:paraId="5CE91AA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w:t>
            </w:r>
          </w:p>
        </w:tc>
        <w:tc>
          <w:tcPr>
            <w:tcW w:w="1093" w:type="dxa"/>
          </w:tcPr>
          <w:p w14:paraId="75B0EEC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w:t>
            </w:r>
          </w:p>
        </w:tc>
        <w:tc>
          <w:tcPr>
            <w:tcW w:w="1093" w:type="dxa"/>
          </w:tcPr>
          <w:p w14:paraId="1FC649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1093" w:type="dxa"/>
          </w:tcPr>
          <w:p w14:paraId="14F026D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76,6</w:t>
            </w:r>
          </w:p>
        </w:tc>
        <w:tc>
          <w:tcPr>
            <w:tcW w:w="1093" w:type="dxa"/>
          </w:tcPr>
          <w:p w14:paraId="5C0FEF1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92,1</w:t>
            </w:r>
          </w:p>
        </w:tc>
        <w:tc>
          <w:tcPr>
            <w:tcW w:w="1093" w:type="dxa"/>
          </w:tcPr>
          <w:p w14:paraId="6A54E4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w:t>
            </w:r>
          </w:p>
        </w:tc>
        <w:tc>
          <w:tcPr>
            <w:tcW w:w="1093" w:type="dxa"/>
          </w:tcPr>
          <w:p w14:paraId="55D0FE3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093" w:type="dxa"/>
          </w:tcPr>
          <w:p w14:paraId="4DB4792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r>
      <w:tr w:rsidR="004E10C1" w:rsidRPr="0044524F" w14:paraId="0E1B2AE3" w14:textId="77777777">
        <w:tc>
          <w:tcPr>
            <w:tcW w:w="817" w:type="dxa"/>
          </w:tcPr>
          <w:p w14:paraId="29B6D6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1656" w:type="dxa"/>
          </w:tcPr>
          <w:p w14:paraId="664DF5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093" w:type="dxa"/>
          </w:tcPr>
          <w:p w14:paraId="57DDCAF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093" w:type="dxa"/>
          </w:tcPr>
          <w:p w14:paraId="72C061F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093" w:type="dxa"/>
          </w:tcPr>
          <w:p w14:paraId="597AFA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093" w:type="dxa"/>
          </w:tcPr>
          <w:p w14:paraId="5DE31C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104,3</w:t>
            </w:r>
          </w:p>
        </w:tc>
        <w:tc>
          <w:tcPr>
            <w:tcW w:w="1093" w:type="dxa"/>
          </w:tcPr>
          <w:p w14:paraId="6CC5366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4C4832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93" w:type="dxa"/>
          </w:tcPr>
          <w:p w14:paraId="61E84D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093" w:type="dxa"/>
          </w:tcPr>
          <w:p w14:paraId="27F21BA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23A2B2D1" w14:textId="77777777">
        <w:tc>
          <w:tcPr>
            <w:tcW w:w="817" w:type="dxa"/>
            <w:tcBorders>
              <w:bottom w:val="single" w:sz="12" w:space="0" w:color="auto"/>
            </w:tcBorders>
          </w:tcPr>
          <w:p w14:paraId="434904C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56" w:type="dxa"/>
            <w:tcBorders>
              <w:bottom w:val="single" w:sz="12" w:space="0" w:color="auto"/>
            </w:tcBorders>
          </w:tcPr>
          <w:p w14:paraId="634A317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самолетов</w:t>
            </w:r>
          </w:p>
        </w:tc>
        <w:tc>
          <w:tcPr>
            <w:tcW w:w="1093" w:type="dxa"/>
            <w:tcBorders>
              <w:bottom w:val="single" w:sz="12" w:space="0" w:color="auto"/>
            </w:tcBorders>
          </w:tcPr>
          <w:p w14:paraId="3058B2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3270</w:t>
            </w:r>
          </w:p>
        </w:tc>
        <w:tc>
          <w:tcPr>
            <w:tcW w:w="1093" w:type="dxa"/>
            <w:tcBorders>
              <w:bottom w:val="single" w:sz="12" w:space="0" w:color="auto"/>
            </w:tcBorders>
          </w:tcPr>
          <w:p w14:paraId="55BAD2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2631</w:t>
            </w:r>
          </w:p>
        </w:tc>
        <w:tc>
          <w:tcPr>
            <w:tcW w:w="1093" w:type="dxa"/>
            <w:tcBorders>
              <w:bottom w:val="single" w:sz="12" w:space="0" w:color="auto"/>
            </w:tcBorders>
          </w:tcPr>
          <w:p w14:paraId="7B324FF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58,5</w:t>
            </w:r>
          </w:p>
        </w:tc>
        <w:tc>
          <w:tcPr>
            <w:tcW w:w="1093" w:type="dxa"/>
            <w:tcBorders>
              <w:bottom w:val="single" w:sz="12" w:space="0" w:color="auto"/>
            </w:tcBorders>
          </w:tcPr>
          <w:p w14:paraId="54323A8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80,4</w:t>
            </w:r>
          </w:p>
        </w:tc>
        <w:tc>
          <w:tcPr>
            <w:tcW w:w="1093" w:type="dxa"/>
            <w:tcBorders>
              <w:bottom w:val="single" w:sz="12" w:space="0" w:color="auto"/>
            </w:tcBorders>
          </w:tcPr>
          <w:p w14:paraId="25FD174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151,5</w:t>
            </w:r>
          </w:p>
        </w:tc>
        <w:tc>
          <w:tcPr>
            <w:tcW w:w="1093" w:type="dxa"/>
            <w:tcBorders>
              <w:bottom w:val="single" w:sz="12" w:space="0" w:color="auto"/>
            </w:tcBorders>
          </w:tcPr>
          <w:p w14:paraId="7971DEE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1736</w:t>
            </w:r>
          </w:p>
        </w:tc>
        <w:tc>
          <w:tcPr>
            <w:tcW w:w="1093" w:type="dxa"/>
            <w:tcBorders>
              <w:bottom w:val="single" w:sz="12" w:space="0" w:color="auto"/>
            </w:tcBorders>
          </w:tcPr>
          <w:p w14:paraId="2080DF9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c>
          <w:tcPr>
            <w:tcW w:w="1093" w:type="dxa"/>
            <w:tcBorders>
              <w:bottom w:val="single" w:sz="12" w:space="0" w:color="auto"/>
            </w:tcBorders>
          </w:tcPr>
          <w:p w14:paraId="0B0D98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167</w:t>
            </w:r>
          </w:p>
        </w:tc>
      </w:tr>
    </w:tbl>
    <w:p w14:paraId="33B2C1F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(4149,40).</w:t>
      </w:r>
    </w:p>
    <w:p w14:paraId="6BC8B40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ПЛАНА 9-ти МЕСЯЦЕВ 1933 ГОДА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701"/>
        <w:gridCol w:w="1123"/>
        <w:gridCol w:w="1123"/>
        <w:gridCol w:w="1123"/>
        <w:gridCol w:w="1123"/>
        <w:gridCol w:w="1123"/>
        <w:gridCol w:w="1123"/>
        <w:gridCol w:w="1123"/>
        <w:gridCol w:w="1123"/>
      </w:tblGrid>
      <w:tr w:rsidR="004E10C1" w:rsidRPr="0044524F" w14:paraId="5AB34FE3" w14:textId="77777777">
        <w:tc>
          <w:tcPr>
            <w:tcW w:w="534" w:type="dxa"/>
            <w:tcBorders>
              <w:top w:val="single" w:sz="12" w:space="0" w:color="auto"/>
            </w:tcBorders>
          </w:tcPr>
          <w:p w14:paraId="0DAEE4A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п/п</w:t>
            </w:r>
          </w:p>
        </w:tc>
        <w:tc>
          <w:tcPr>
            <w:tcW w:w="1701" w:type="dxa"/>
            <w:tcBorders>
              <w:top w:val="single" w:sz="12" w:space="0" w:color="auto"/>
            </w:tcBorders>
          </w:tcPr>
          <w:p w14:paraId="0985D2F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мотора</w:t>
            </w:r>
          </w:p>
        </w:tc>
        <w:tc>
          <w:tcPr>
            <w:tcW w:w="1123" w:type="dxa"/>
            <w:tcBorders>
              <w:top w:val="single" w:sz="12" w:space="0" w:color="auto"/>
            </w:tcBorders>
          </w:tcPr>
          <w:p w14:paraId="6DFB762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на 1933</w:t>
            </w:r>
          </w:p>
        </w:tc>
        <w:tc>
          <w:tcPr>
            <w:tcW w:w="7861" w:type="dxa"/>
            <w:gridSpan w:val="7"/>
            <w:tcBorders>
              <w:top w:val="single" w:sz="12" w:space="0" w:color="auto"/>
            </w:tcBorders>
          </w:tcPr>
          <w:p w14:paraId="62F1360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w:t>
            </w:r>
          </w:p>
        </w:tc>
      </w:tr>
      <w:tr w:rsidR="004E10C1" w:rsidRPr="0044524F" w14:paraId="1EBDE299" w14:textId="77777777">
        <w:tc>
          <w:tcPr>
            <w:tcW w:w="534" w:type="dxa"/>
          </w:tcPr>
          <w:p w14:paraId="2C0C96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9E446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457F483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F02BEE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кв.</w:t>
            </w:r>
          </w:p>
        </w:tc>
        <w:tc>
          <w:tcPr>
            <w:tcW w:w="1123" w:type="dxa"/>
          </w:tcPr>
          <w:p w14:paraId="6762519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кв.</w:t>
            </w:r>
          </w:p>
        </w:tc>
        <w:tc>
          <w:tcPr>
            <w:tcW w:w="5615" w:type="dxa"/>
            <w:gridSpan w:val="5"/>
          </w:tcPr>
          <w:p w14:paraId="41E2395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 квартал</w:t>
            </w:r>
          </w:p>
        </w:tc>
      </w:tr>
      <w:tr w:rsidR="004E10C1" w:rsidRPr="0044524F" w14:paraId="21766ED4" w14:textId="77777777">
        <w:tc>
          <w:tcPr>
            <w:tcW w:w="534" w:type="dxa"/>
          </w:tcPr>
          <w:p w14:paraId="75AAB8F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18683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1078E9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09B094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564F546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C6574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w:t>
            </w:r>
          </w:p>
        </w:tc>
        <w:tc>
          <w:tcPr>
            <w:tcW w:w="1123" w:type="dxa"/>
          </w:tcPr>
          <w:p w14:paraId="1B4327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всего</w:t>
            </w:r>
          </w:p>
        </w:tc>
        <w:tc>
          <w:tcPr>
            <w:tcW w:w="3369" w:type="dxa"/>
            <w:gridSpan w:val="3"/>
          </w:tcPr>
          <w:p w14:paraId="7A40C29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числе по месяцам</w:t>
            </w:r>
          </w:p>
        </w:tc>
      </w:tr>
      <w:tr w:rsidR="004E10C1" w:rsidRPr="0044524F" w14:paraId="391FE33B" w14:textId="77777777">
        <w:tc>
          <w:tcPr>
            <w:tcW w:w="534" w:type="dxa"/>
          </w:tcPr>
          <w:p w14:paraId="57868F9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040304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1989277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DBC4DA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7BFD0EA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6284C4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4303F6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0A20AF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июль</w:t>
            </w:r>
          </w:p>
        </w:tc>
        <w:tc>
          <w:tcPr>
            <w:tcW w:w="1123" w:type="dxa"/>
          </w:tcPr>
          <w:p w14:paraId="230354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август</w:t>
            </w:r>
          </w:p>
        </w:tc>
        <w:tc>
          <w:tcPr>
            <w:tcW w:w="1123" w:type="dxa"/>
          </w:tcPr>
          <w:p w14:paraId="51C622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сентябрь</w:t>
            </w:r>
          </w:p>
        </w:tc>
      </w:tr>
      <w:tr w:rsidR="004E10C1" w:rsidRPr="0044524F" w14:paraId="735702B9" w14:textId="77777777">
        <w:tc>
          <w:tcPr>
            <w:tcW w:w="534" w:type="dxa"/>
          </w:tcPr>
          <w:p w14:paraId="175D2BC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1701" w:type="dxa"/>
          </w:tcPr>
          <w:p w14:paraId="6C65F10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23" w:type="dxa"/>
          </w:tcPr>
          <w:p w14:paraId="1DDC4A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1123" w:type="dxa"/>
          </w:tcPr>
          <w:p w14:paraId="272A6E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21DDE43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5887EE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123" w:type="dxa"/>
          </w:tcPr>
          <w:p w14:paraId="71D21E5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24E2D48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2D0059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0163F91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DAE4817" w14:textId="77777777">
        <w:tc>
          <w:tcPr>
            <w:tcW w:w="534" w:type="dxa"/>
          </w:tcPr>
          <w:p w14:paraId="6C10759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701" w:type="dxa"/>
          </w:tcPr>
          <w:p w14:paraId="4E7BBC9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123" w:type="dxa"/>
          </w:tcPr>
          <w:p w14:paraId="7BFF5A4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962</w:t>
            </w:r>
          </w:p>
        </w:tc>
        <w:tc>
          <w:tcPr>
            <w:tcW w:w="1123" w:type="dxa"/>
          </w:tcPr>
          <w:p w14:paraId="0E382D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1123" w:type="dxa"/>
          </w:tcPr>
          <w:p w14:paraId="1C38D5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166</w:t>
            </w:r>
          </w:p>
        </w:tc>
        <w:tc>
          <w:tcPr>
            <w:tcW w:w="1123" w:type="dxa"/>
          </w:tcPr>
          <w:p w14:paraId="4B595C8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w:t>
            </w:r>
          </w:p>
        </w:tc>
        <w:tc>
          <w:tcPr>
            <w:tcW w:w="1123" w:type="dxa"/>
          </w:tcPr>
          <w:p w14:paraId="3E3F78F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166</w:t>
            </w:r>
          </w:p>
        </w:tc>
        <w:tc>
          <w:tcPr>
            <w:tcW w:w="1123" w:type="dxa"/>
          </w:tcPr>
          <w:p w14:paraId="240F7D7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w:t>
            </w:r>
          </w:p>
        </w:tc>
        <w:tc>
          <w:tcPr>
            <w:tcW w:w="1123" w:type="dxa"/>
          </w:tcPr>
          <w:p w14:paraId="014DBFE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c>
          <w:tcPr>
            <w:tcW w:w="1123" w:type="dxa"/>
          </w:tcPr>
          <w:p w14:paraId="1EC81A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r>
      <w:tr w:rsidR="004E10C1" w:rsidRPr="0044524F" w14:paraId="767A66AB" w14:textId="77777777">
        <w:tc>
          <w:tcPr>
            <w:tcW w:w="534" w:type="dxa"/>
          </w:tcPr>
          <w:p w14:paraId="221095A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149EA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123" w:type="dxa"/>
          </w:tcPr>
          <w:p w14:paraId="3BA7D24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3039A83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2EF6D3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4E21307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6A4DE7F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49C84C7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242B30E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27FED69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E95CB53" w14:textId="77777777">
        <w:tc>
          <w:tcPr>
            <w:tcW w:w="534" w:type="dxa"/>
          </w:tcPr>
          <w:p w14:paraId="50C1A0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2F440F2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123" w:type="dxa"/>
          </w:tcPr>
          <w:p w14:paraId="61071E9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962</w:t>
            </w:r>
          </w:p>
        </w:tc>
        <w:tc>
          <w:tcPr>
            <w:tcW w:w="1123" w:type="dxa"/>
          </w:tcPr>
          <w:p w14:paraId="692D80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1123" w:type="dxa"/>
          </w:tcPr>
          <w:p w14:paraId="11ABE7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166</w:t>
            </w:r>
          </w:p>
        </w:tc>
        <w:tc>
          <w:tcPr>
            <w:tcW w:w="1123" w:type="dxa"/>
          </w:tcPr>
          <w:p w14:paraId="0AD3180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w:t>
            </w:r>
          </w:p>
        </w:tc>
        <w:tc>
          <w:tcPr>
            <w:tcW w:w="1123" w:type="dxa"/>
          </w:tcPr>
          <w:p w14:paraId="5F4EA5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166</w:t>
            </w:r>
          </w:p>
        </w:tc>
        <w:tc>
          <w:tcPr>
            <w:tcW w:w="1123" w:type="dxa"/>
          </w:tcPr>
          <w:p w14:paraId="672E413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w:t>
            </w:r>
          </w:p>
        </w:tc>
        <w:tc>
          <w:tcPr>
            <w:tcW w:w="1123" w:type="dxa"/>
          </w:tcPr>
          <w:p w14:paraId="748887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w:t>
            </w:r>
          </w:p>
        </w:tc>
        <w:tc>
          <w:tcPr>
            <w:tcW w:w="1123" w:type="dxa"/>
          </w:tcPr>
          <w:p w14:paraId="34D3DB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r>
      <w:tr w:rsidR="004E10C1" w:rsidRPr="0044524F" w14:paraId="7E934F2A" w14:textId="77777777">
        <w:tc>
          <w:tcPr>
            <w:tcW w:w="534" w:type="dxa"/>
          </w:tcPr>
          <w:p w14:paraId="13A60A1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701" w:type="dxa"/>
          </w:tcPr>
          <w:p w14:paraId="63DEE80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123" w:type="dxa"/>
          </w:tcPr>
          <w:p w14:paraId="797756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3800</w:t>
            </w:r>
          </w:p>
        </w:tc>
        <w:tc>
          <w:tcPr>
            <w:tcW w:w="1123" w:type="dxa"/>
          </w:tcPr>
          <w:p w14:paraId="72448B9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567</w:t>
            </w:r>
          </w:p>
        </w:tc>
        <w:tc>
          <w:tcPr>
            <w:tcW w:w="1123" w:type="dxa"/>
          </w:tcPr>
          <w:p w14:paraId="4AAC76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885</w:t>
            </w:r>
          </w:p>
        </w:tc>
        <w:tc>
          <w:tcPr>
            <w:tcW w:w="1123" w:type="dxa"/>
          </w:tcPr>
          <w:p w14:paraId="55519BB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1120</w:t>
            </w:r>
          </w:p>
        </w:tc>
        <w:tc>
          <w:tcPr>
            <w:tcW w:w="1123" w:type="dxa"/>
          </w:tcPr>
          <w:p w14:paraId="36CED52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1153</w:t>
            </w:r>
          </w:p>
        </w:tc>
        <w:tc>
          <w:tcPr>
            <w:tcW w:w="1123" w:type="dxa"/>
          </w:tcPr>
          <w:p w14:paraId="37D328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883</w:t>
            </w:r>
          </w:p>
        </w:tc>
        <w:tc>
          <w:tcPr>
            <w:tcW w:w="1123" w:type="dxa"/>
          </w:tcPr>
          <w:p w14:paraId="3AB95A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w:t>
            </w:r>
          </w:p>
        </w:tc>
        <w:tc>
          <w:tcPr>
            <w:tcW w:w="1123" w:type="dxa"/>
          </w:tcPr>
          <w:p w14:paraId="73D99E1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56490F7F" w14:textId="77777777">
        <w:tc>
          <w:tcPr>
            <w:tcW w:w="534" w:type="dxa"/>
          </w:tcPr>
          <w:p w14:paraId="74510B0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701" w:type="dxa"/>
          </w:tcPr>
          <w:p w14:paraId="6421B0E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123" w:type="dxa"/>
          </w:tcPr>
          <w:p w14:paraId="7B8BD31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2155</w:t>
            </w:r>
          </w:p>
        </w:tc>
        <w:tc>
          <w:tcPr>
            <w:tcW w:w="1123" w:type="dxa"/>
          </w:tcPr>
          <w:p w14:paraId="3E2E4F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475</w:t>
            </w:r>
          </w:p>
        </w:tc>
        <w:tc>
          <w:tcPr>
            <w:tcW w:w="1123" w:type="dxa"/>
          </w:tcPr>
          <w:p w14:paraId="11B5974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581</w:t>
            </w:r>
          </w:p>
        </w:tc>
        <w:tc>
          <w:tcPr>
            <w:tcW w:w="1123" w:type="dxa"/>
          </w:tcPr>
          <w:p w14:paraId="7E78FFD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715</w:t>
            </w:r>
          </w:p>
        </w:tc>
        <w:tc>
          <w:tcPr>
            <w:tcW w:w="1123" w:type="dxa"/>
          </w:tcPr>
          <w:p w14:paraId="02FBC9C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437</w:t>
            </w:r>
          </w:p>
        </w:tc>
        <w:tc>
          <w:tcPr>
            <w:tcW w:w="1123" w:type="dxa"/>
          </w:tcPr>
          <w:p w14:paraId="107895B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w:t>
            </w:r>
          </w:p>
        </w:tc>
        <w:tc>
          <w:tcPr>
            <w:tcW w:w="1123" w:type="dxa"/>
          </w:tcPr>
          <w:p w14:paraId="7D1426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178</w:t>
            </w:r>
          </w:p>
        </w:tc>
        <w:tc>
          <w:tcPr>
            <w:tcW w:w="1123" w:type="dxa"/>
          </w:tcPr>
          <w:p w14:paraId="09106D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r>
      <w:tr w:rsidR="004E10C1" w:rsidRPr="0044524F" w14:paraId="1BA99857" w14:textId="77777777">
        <w:tc>
          <w:tcPr>
            <w:tcW w:w="534" w:type="dxa"/>
          </w:tcPr>
          <w:p w14:paraId="4BE46C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52643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23" w:type="dxa"/>
          </w:tcPr>
          <w:p w14:paraId="780222B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w:t>
            </w:r>
          </w:p>
        </w:tc>
        <w:tc>
          <w:tcPr>
            <w:tcW w:w="1123" w:type="dxa"/>
          </w:tcPr>
          <w:p w14:paraId="04FAE45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w:t>
            </w:r>
          </w:p>
        </w:tc>
        <w:tc>
          <w:tcPr>
            <w:tcW w:w="1123" w:type="dxa"/>
          </w:tcPr>
          <w:p w14:paraId="2817461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w:t>
            </w:r>
          </w:p>
        </w:tc>
        <w:tc>
          <w:tcPr>
            <w:tcW w:w="1123" w:type="dxa"/>
          </w:tcPr>
          <w:p w14:paraId="1FE96B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146</w:t>
            </w:r>
          </w:p>
        </w:tc>
        <w:tc>
          <w:tcPr>
            <w:tcW w:w="1123" w:type="dxa"/>
          </w:tcPr>
          <w:p w14:paraId="58DB4F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w:t>
            </w:r>
          </w:p>
        </w:tc>
        <w:tc>
          <w:tcPr>
            <w:tcW w:w="1123" w:type="dxa"/>
          </w:tcPr>
          <w:p w14:paraId="707A62E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123" w:type="dxa"/>
          </w:tcPr>
          <w:p w14:paraId="2230BF5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1123" w:type="dxa"/>
          </w:tcPr>
          <w:p w14:paraId="43291F7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r>
      <w:tr w:rsidR="004E10C1" w:rsidRPr="0044524F" w14:paraId="6ACAA0F8" w14:textId="77777777">
        <w:tc>
          <w:tcPr>
            <w:tcW w:w="534" w:type="dxa"/>
          </w:tcPr>
          <w:p w14:paraId="5445EF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9F7C26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123" w:type="dxa"/>
          </w:tcPr>
          <w:p w14:paraId="50E937E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2675</w:t>
            </w:r>
          </w:p>
        </w:tc>
        <w:tc>
          <w:tcPr>
            <w:tcW w:w="1123" w:type="dxa"/>
          </w:tcPr>
          <w:p w14:paraId="1E11FD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570</w:t>
            </w:r>
          </w:p>
        </w:tc>
        <w:tc>
          <w:tcPr>
            <w:tcW w:w="1123" w:type="dxa"/>
          </w:tcPr>
          <w:p w14:paraId="332B391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884</w:t>
            </w:r>
          </w:p>
        </w:tc>
        <w:tc>
          <w:tcPr>
            <w:tcW w:w="1123" w:type="dxa"/>
          </w:tcPr>
          <w:p w14:paraId="1C38E2B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861</w:t>
            </w:r>
          </w:p>
        </w:tc>
        <w:tc>
          <w:tcPr>
            <w:tcW w:w="1123" w:type="dxa"/>
          </w:tcPr>
          <w:p w14:paraId="4D5F7B4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w:t>
            </w:r>
          </w:p>
        </w:tc>
        <w:tc>
          <w:tcPr>
            <w:tcW w:w="1123" w:type="dxa"/>
          </w:tcPr>
          <w:p w14:paraId="630813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w:t>
            </w:r>
          </w:p>
        </w:tc>
        <w:tc>
          <w:tcPr>
            <w:tcW w:w="1123" w:type="dxa"/>
          </w:tcPr>
          <w:p w14:paraId="47D29A6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211</w:t>
            </w:r>
          </w:p>
        </w:tc>
        <w:tc>
          <w:tcPr>
            <w:tcW w:w="1123" w:type="dxa"/>
          </w:tcPr>
          <w:p w14:paraId="757A2A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267</w:t>
            </w:r>
          </w:p>
        </w:tc>
      </w:tr>
      <w:tr w:rsidR="004E10C1" w:rsidRPr="0044524F" w14:paraId="1BCD0D8F" w14:textId="77777777">
        <w:tc>
          <w:tcPr>
            <w:tcW w:w="534" w:type="dxa"/>
            <w:tcBorders>
              <w:bottom w:val="single" w:sz="12" w:space="0" w:color="auto"/>
            </w:tcBorders>
          </w:tcPr>
          <w:p w14:paraId="7A8E37B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bottom w:val="single" w:sz="12" w:space="0" w:color="auto"/>
            </w:tcBorders>
          </w:tcPr>
          <w:p w14:paraId="3CFC37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123" w:type="dxa"/>
            <w:tcBorders>
              <w:bottom w:val="single" w:sz="12" w:space="0" w:color="auto"/>
            </w:tcBorders>
          </w:tcPr>
          <w:p w14:paraId="32E7499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7472</w:t>
            </w:r>
          </w:p>
        </w:tc>
        <w:tc>
          <w:tcPr>
            <w:tcW w:w="1123" w:type="dxa"/>
            <w:tcBorders>
              <w:bottom w:val="single" w:sz="12" w:space="0" w:color="auto"/>
            </w:tcBorders>
          </w:tcPr>
          <w:p w14:paraId="6DFFA68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1243</w:t>
            </w:r>
          </w:p>
        </w:tc>
        <w:tc>
          <w:tcPr>
            <w:tcW w:w="1123" w:type="dxa"/>
            <w:tcBorders>
              <w:bottom w:val="single" w:sz="12" w:space="0" w:color="auto"/>
            </w:tcBorders>
          </w:tcPr>
          <w:p w14:paraId="03A5A1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1735</w:t>
            </w:r>
          </w:p>
        </w:tc>
        <w:tc>
          <w:tcPr>
            <w:tcW w:w="1123" w:type="dxa"/>
            <w:tcBorders>
              <w:bottom w:val="single" w:sz="12" w:space="0" w:color="auto"/>
            </w:tcBorders>
          </w:tcPr>
          <w:p w14:paraId="042AE43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2314</w:t>
            </w:r>
          </w:p>
        </w:tc>
        <w:tc>
          <w:tcPr>
            <w:tcW w:w="1123" w:type="dxa"/>
            <w:tcBorders>
              <w:bottom w:val="single" w:sz="12" w:space="0" w:color="auto"/>
            </w:tcBorders>
          </w:tcPr>
          <w:p w14:paraId="7C81DD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1859</w:t>
            </w:r>
          </w:p>
        </w:tc>
        <w:tc>
          <w:tcPr>
            <w:tcW w:w="1123" w:type="dxa"/>
            <w:tcBorders>
              <w:bottom w:val="single" w:sz="12" w:space="0" w:color="auto"/>
            </w:tcBorders>
          </w:tcPr>
          <w:p w14:paraId="1D1BA1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486</w:t>
            </w:r>
          </w:p>
        </w:tc>
        <w:tc>
          <w:tcPr>
            <w:tcW w:w="1123" w:type="dxa"/>
            <w:tcBorders>
              <w:bottom w:val="single" w:sz="12" w:space="0" w:color="auto"/>
            </w:tcBorders>
          </w:tcPr>
          <w:p w14:paraId="4815BD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709</w:t>
            </w:r>
          </w:p>
        </w:tc>
        <w:tc>
          <w:tcPr>
            <w:tcW w:w="1123" w:type="dxa"/>
            <w:tcBorders>
              <w:bottom w:val="single" w:sz="12" w:space="0" w:color="auto"/>
            </w:tcBorders>
          </w:tcPr>
          <w:p w14:paraId="051BEF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664</w:t>
            </w:r>
          </w:p>
        </w:tc>
      </w:tr>
    </w:tbl>
    <w:p w14:paraId="248DE37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(4149,40).</w:t>
      </w:r>
    </w:p>
    <w:p w14:paraId="725D29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ПЛАНА 9-ти МЕСЯЦЕВ 1933 ГОДА ПО МОТОРАМ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34"/>
        <w:gridCol w:w="1701"/>
        <w:gridCol w:w="1123"/>
        <w:gridCol w:w="1123"/>
        <w:gridCol w:w="1123"/>
        <w:gridCol w:w="1123"/>
        <w:gridCol w:w="1123"/>
        <w:gridCol w:w="905"/>
        <w:gridCol w:w="1232"/>
        <w:gridCol w:w="1232"/>
      </w:tblGrid>
      <w:tr w:rsidR="004E10C1" w:rsidRPr="0044524F" w14:paraId="59C815B1" w14:textId="77777777">
        <w:tc>
          <w:tcPr>
            <w:tcW w:w="534" w:type="dxa"/>
            <w:tcBorders>
              <w:top w:val="single" w:sz="12" w:space="0" w:color="auto"/>
            </w:tcBorders>
          </w:tcPr>
          <w:p w14:paraId="7B12923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п/п</w:t>
            </w:r>
          </w:p>
        </w:tc>
        <w:tc>
          <w:tcPr>
            <w:tcW w:w="1701" w:type="dxa"/>
            <w:tcBorders>
              <w:top w:val="single" w:sz="12" w:space="0" w:color="auto"/>
            </w:tcBorders>
          </w:tcPr>
          <w:p w14:paraId="1280906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мотора</w:t>
            </w:r>
          </w:p>
        </w:tc>
        <w:tc>
          <w:tcPr>
            <w:tcW w:w="1123" w:type="dxa"/>
            <w:tcBorders>
              <w:top w:val="single" w:sz="12" w:space="0" w:color="auto"/>
            </w:tcBorders>
          </w:tcPr>
          <w:p w14:paraId="6931082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на 9 месяцев</w:t>
            </w:r>
          </w:p>
        </w:tc>
        <w:tc>
          <w:tcPr>
            <w:tcW w:w="4492" w:type="dxa"/>
            <w:gridSpan w:val="4"/>
            <w:tcBorders>
              <w:top w:val="single" w:sz="12" w:space="0" w:color="auto"/>
            </w:tcBorders>
          </w:tcPr>
          <w:p w14:paraId="19128B4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w:t>
            </w:r>
          </w:p>
        </w:tc>
        <w:tc>
          <w:tcPr>
            <w:tcW w:w="905" w:type="dxa"/>
            <w:tcBorders>
              <w:top w:val="single" w:sz="12" w:space="0" w:color="auto"/>
            </w:tcBorders>
          </w:tcPr>
          <w:p w14:paraId="7774C9D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 9 мес. 1932</w:t>
            </w:r>
          </w:p>
        </w:tc>
        <w:tc>
          <w:tcPr>
            <w:tcW w:w="2464" w:type="dxa"/>
            <w:gridSpan w:val="2"/>
            <w:tcBorders>
              <w:top w:val="single" w:sz="12" w:space="0" w:color="auto"/>
            </w:tcBorders>
          </w:tcPr>
          <w:p w14:paraId="567175F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Остаток на 1 октября</w:t>
            </w:r>
          </w:p>
        </w:tc>
      </w:tr>
      <w:tr w:rsidR="004E10C1" w:rsidRPr="0044524F" w14:paraId="35DFEBE5" w14:textId="77777777">
        <w:tc>
          <w:tcPr>
            <w:tcW w:w="534" w:type="dxa"/>
          </w:tcPr>
          <w:p w14:paraId="6BF51CA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355884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1FD7D4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5F03B9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w:t>
            </w:r>
          </w:p>
        </w:tc>
        <w:tc>
          <w:tcPr>
            <w:tcW w:w="3369" w:type="dxa"/>
            <w:gridSpan w:val="3"/>
          </w:tcPr>
          <w:p w14:paraId="5C2AE36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w:t>
            </w:r>
          </w:p>
        </w:tc>
        <w:tc>
          <w:tcPr>
            <w:tcW w:w="905" w:type="dxa"/>
          </w:tcPr>
          <w:p w14:paraId="7462AE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32" w:type="dxa"/>
          </w:tcPr>
          <w:p w14:paraId="08C1B4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Собранных</w:t>
            </w:r>
          </w:p>
        </w:tc>
        <w:tc>
          <w:tcPr>
            <w:tcW w:w="1232" w:type="dxa"/>
          </w:tcPr>
          <w:p w14:paraId="0A428B1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Прошудших 2-х часовое испытание</w:t>
            </w:r>
          </w:p>
        </w:tc>
      </w:tr>
      <w:tr w:rsidR="004E10C1" w:rsidRPr="0044524F" w14:paraId="17A797F1" w14:textId="77777777">
        <w:tc>
          <w:tcPr>
            <w:tcW w:w="534" w:type="dxa"/>
          </w:tcPr>
          <w:p w14:paraId="6A697C8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BDBBD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680F60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3102C95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123" w:type="dxa"/>
          </w:tcPr>
          <w:p w14:paraId="52F2A8A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годов. Плану</w:t>
            </w:r>
          </w:p>
        </w:tc>
        <w:tc>
          <w:tcPr>
            <w:tcW w:w="1123" w:type="dxa"/>
          </w:tcPr>
          <w:p w14:paraId="423DFD2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9 мес. плану</w:t>
            </w:r>
          </w:p>
        </w:tc>
        <w:tc>
          <w:tcPr>
            <w:tcW w:w="1123" w:type="dxa"/>
          </w:tcPr>
          <w:p w14:paraId="5F25376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Сдача за 9 мес.</w:t>
            </w:r>
          </w:p>
        </w:tc>
        <w:tc>
          <w:tcPr>
            <w:tcW w:w="905" w:type="dxa"/>
          </w:tcPr>
          <w:p w14:paraId="31CC39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32" w:type="dxa"/>
          </w:tcPr>
          <w:p w14:paraId="02BE02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32" w:type="dxa"/>
          </w:tcPr>
          <w:p w14:paraId="4E7C752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80993E3" w14:textId="77777777">
        <w:tc>
          <w:tcPr>
            <w:tcW w:w="534" w:type="dxa"/>
          </w:tcPr>
          <w:p w14:paraId="137CAE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1701" w:type="dxa"/>
          </w:tcPr>
          <w:p w14:paraId="3133B67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23" w:type="dxa"/>
          </w:tcPr>
          <w:p w14:paraId="27EBC8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1B6C259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1EEBF71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5D73EFC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43C249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05" w:type="dxa"/>
          </w:tcPr>
          <w:p w14:paraId="0F8709C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32" w:type="dxa"/>
          </w:tcPr>
          <w:p w14:paraId="4A8DE4F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32" w:type="dxa"/>
          </w:tcPr>
          <w:p w14:paraId="4095A5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0C562CF" w14:textId="77777777">
        <w:tc>
          <w:tcPr>
            <w:tcW w:w="534" w:type="dxa"/>
          </w:tcPr>
          <w:p w14:paraId="327B3B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701" w:type="dxa"/>
          </w:tcPr>
          <w:p w14:paraId="3CA8E3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123" w:type="dxa"/>
          </w:tcPr>
          <w:p w14:paraId="3638C7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570</w:t>
            </w:r>
          </w:p>
        </w:tc>
        <w:tc>
          <w:tcPr>
            <w:tcW w:w="1123" w:type="dxa"/>
          </w:tcPr>
          <w:p w14:paraId="3B43CBC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437</w:t>
            </w:r>
          </w:p>
        </w:tc>
        <w:tc>
          <w:tcPr>
            <w:tcW w:w="1123" w:type="dxa"/>
          </w:tcPr>
          <w:p w14:paraId="32ECE7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47,5</w:t>
            </w:r>
          </w:p>
        </w:tc>
        <w:tc>
          <w:tcPr>
            <w:tcW w:w="1123" w:type="dxa"/>
          </w:tcPr>
          <w:p w14:paraId="45766C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123" w:type="dxa"/>
          </w:tcPr>
          <w:p w14:paraId="6B2898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2538,8</w:t>
            </w:r>
          </w:p>
        </w:tc>
        <w:tc>
          <w:tcPr>
            <w:tcW w:w="905" w:type="dxa"/>
          </w:tcPr>
          <w:p w14:paraId="0F7A1EC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232" w:type="dxa"/>
          </w:tcPr>
          <w:p w14:paraId="5AFC78E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1232" w:type="dxa"/>
          </w:tcPr>
          <w:p w14:paraId="22B765B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r>
      <w:tr w:rsidR="004E10C1" w:rsidRPr="0044524F" w14:paraId="4C2F15C8" w14:textId="77777777">
        <w:tc>
          <w:tcPr>
            <w:tcW w:w="534" w:type="dxa"/>
          </w:tcPr>
          <w:p w14:paraId="5F6C96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63E172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w:t>
            </w:r>
          </w:p>
        </w:tc>
        <w:tc>
          <w:tcPr>
            <w:tcW w:w="1123" w:type="dxa"/>
          </w:tcPr>
          <w:p w14:paraId="5B042E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4A71C9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0A4423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730D1D1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23" w:type="dxa"/>
          </w:tcPr>
          <w:p w14:paraId="5922F7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05" w:type="dxa"/>
          </w:tcPr>
          <w:p w14:paraId="2D7F5B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w:t>
            </w:r>
          </w:p>
        </w:tc>
        <w:tc>
          <w:tcPr>
            <w:tcW w:w="1232" w:type="dxa"/>
          </w:tcPr>
          <w:p w14:paraId="09F371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232" w:type="dxa"/>
          </w:tcPr>
          <w:p w14:paraId="5B4A4B1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F7C1C7C" w14:textId="77777777">
        <w:tc>
          <w:tcPr>
            <w:tcW w:w="534" w:type="dxa"/>
          </w:tcPr>
          <w:p w14:paraId="4563797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1438967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123" w:type="dxa"/>
          </w:tcPr>
          <w:p w14:paraId="59F115D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570</w:t>
            </w:r>
          </w:p>
        </w:tc>
        <w:tc>
          <w:tcPr>
            <w:tcW w:w="1123" w:type="dxa"/>
          </w:tcPr>
          <w:p w14:paraId="10DFC54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437</w:t>
            </w:r>
          </w:p>
        </w:tc>
        <w:tc>
          <w:tcPr>
            <w:tcW w:w="1123" w:type="dxa"/>
          </w:tcPr>
          <w:p w14:paraId="73A0FFE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47,5</w:t>
            </w:r>
          </w:p>
        </w:tc>
        <w:tc>
          <w:tcPr>
            <w:tcW w:w="1123" w:type="dxa"/>
          </w:tcPr>
          <w:p w14:paraId="02860E1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123" w:type="dxa"/>
          </w:tcPr>
          <w:p w14:paraId="6BD78C2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2538,8</w:t>
            </w:r>
          </w:p>
        </w:tc>
        <w:tc>
          <w:tcPr>
            <w:tcW w:w="905" w:type="dxa"/>
          </w:tcPr>
          <w:p w14:paraId="4728A16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558</w:t>
            </w:r>
          </w:p>
        </w:tc>
        <w:tc>
          <w:tcPr>
            <w:tcW w:w="1232" w:type="dxa"/>
          </w:tcPr>
          <w:p w14:paraId="7CC549F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1232" w:type="dxa"/>
          </w:tcPr>
          <w:p w14:paraId="37B400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r>
      <w:tr w:rsidR="004E10C1" w:rsidRPr="0044524F" w14:paraId="26ED21BF" w14:textId="77777777">
        <w:tc>
          <w:tcPr>
            <w:tcW w:w="534" w:type="dxa"/>
          </w:tcPr>
          <w:p w14:paraId="275D6F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701" w:type="dxa"/>
          </w:tcPr>
          <w:p w14:paraId="4685B3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123" w:type="dxa"/>
          </w:tcPr>
          <w:p w14:paraId="123B6DA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2605</w:t>
            </w:r>
          </w:p>
        </w:tc>
        <w:tc>
          <w:tcPr>
            <w:tcW w:w="1123" w:type="dxa"/>
          </w:tcPr>
          <w:p w14:paraId="0CE9943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2605</w:t>
            </w:r>
          </w:p>
        </w:tc>
        <w:tc>
          <w:tcPr>
            <w:tcW w:w="1123" w:type="dxa"/>
          </w:tcPr>
          <w:p w14:paraId="77E84DA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60,6</w:t>
            </w:r>
          </w:p>
        </w:tc>
        <w:tc>
          <w:tcPr>
            <w:tcW w:w="1123" w:type="dxa"/>
          </w:tcPr>
          <w:p w14:paraId="25F734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123" w:type="dxa"/>
          </w:tcPr>
          <w:p w14:paraId="17A67EC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219,6</w:t>
            </w:r>
          </w:p>
        </w:tc>
        <w:tc>
          <w:tcPr>
            <w:tcW w:w="905" w:type="dxa"/>
          </w:tcPr>
          <w:p w14:paraId="69595A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1196</w:t>
            </w:r>
          </w:p>
        </w:tc>
        <w:tc>
          <w:tcPr>
            <w:tcW w:w="1232" w:type="dxa"/>
          </w:tcPr>
          <w:p w14:paraId="23F496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232" w:type="dxa"/>
          </w:tcPr>
          <w:p w14:paraId="793FFD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1BEB891B" w14:textId="77777777">
        <w:tc>
          <w:tcPr>
            <w:tcW w:w="534" w:type="dxa"/>
          </w:tcPr>
          <w:p w14:paraId="723454C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701" w:type="dxa"/>
          </w:tcPr>
          <w:p w14:paraId="5CA65A6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123" w:type="dxa"/>
          </w:tcPr>
          <w:p w14:paraId="74E7B72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1780</w:t>
            </w:r>
          </w:p>
        </w:tc>
        <w:tc>
          <w:tcPr>
            <w:tcW w:w="1123" w:type="dxa"/>
          </w:tcPr>
          <w:p w14:paraId="786B204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1493</w:t>
            </w:r>
          </w:p>
        </w:tc>
        <w:tc>
          <w:tcPr>
            <w:tcW w:w="1123" w:type="dxa"/>
          </w:tcPr>
          <w:p w14:paraId="40C2F3A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68,8</w:t>
            </w:r>
          </w:p>
        </w:tc>
        <w:tc>
          <w:tcPr>
            <w:tcW w:w="1123" w:type="dxa"/>
          </w:tcPr>
          <w:p w14:paraId="120930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83,9</w:t>
            </w:r>
          </w:p>
        </w:tc>
        <w:tc>
          <w:tcPr>
            <w:tcW w:w="1123" w:type="dxa"/>
          </w:tcPr>
          <w:p w14:paraId="058CA2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128,6</w:t>
            </w:r>
          </w:p>
        </w:tc>
        <w:tc>
          <w:tcPr>
            <w:tcW w:w="905" w:type="dxa"/>
          </w:tcPr>
          <w:p w14:paraId="7F498CC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1161</w:t>
            </w:r>
          </w:p>
        </w:tc>
        <w:tc>
          <w:tcPr>
            <w:tcW w:w="1232" w:type="dxa"/>
          </w:tcPr>
          <w:p w14:paraId="43A9B40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w:t>
            </w:r>
          </w:p>
        </w:tc>
        <w:tc>
          <w:tcPr>
            <w:tcW w:w="1232" w:type="dxa"/>
          </w:tcPr>
          <w:p w14:paraId="606BA02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r>
      <w:tr w:rsidR="004E10C1" w:rsidRPr="0044524F" w14:paraId="78F9663A" w14:textId="77777777">
        <w:tc>
          <w:tcPr>
            <w:tcW w:w="534" w:type="dxa"/>
          </w:tcPr>
          <w:p w14:paraId="35F786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73E572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123" w:type="dxa"/>
          </w:tcPr>
          <w:p w14:paraId="447310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1123" w:type="dxa"/>
          </w:tcPr>
          <w:p w14:paraId="0D46FE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261</w:t>
            </w:r>
          </w:p>
        </w:tc>
        <w:tc>
          <w:tcPr>
            <w:tcW w:w="1123" w:type="dxa"/>
          </w:tcPr>
          <w:p w14:paraId="77996C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w:t>
            </w:r>
          </w:p>
        </w:tc>
        <w:tc>
          <w:tcPr>
            <w:tcW w:w="1123" w:type="dxa"/>
          </w:tcPr>
          <w:p w14:paraId="53EE3E0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80,3</w:t>
            </w:r>
          </w:p>
        </w:tc>
        <w:tc>
          <w:tcPr>
            <w:tcW w:w="1123" w:type="dxa"/>
          </w:tcPr>
          <w:p w14:paraId="75CF17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109,3</w:t>
            </w:r>
          </w:p>
        </w:tc>
        <w:tc>
          <w:tcPr>
            <w:tcW w:w="905" w:type="dxa"/>
          </w:tcPr>
          <w:p w14:paraId="24CBD5A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267</w:t>
            </w:r>
          </w:p>
        </w:tc>
        <w:tc>
          <w:tcPr>
            <w:tcW w:w="1232" w:type="dxa"/>
          </w:tcPr>
          <w:p w14:paraId="3ACF91E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232" w:type="dxa"/>
          </w:tcPr>
          <w:p w14:paraId="481C190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r>
      <w:tr w:rsidR="004E10C1" w:rsidRPr="0044524F" w14:paraId="06C0C505" w14:textId="77777777">
        <w:tc>
          <w:tcPr>
            <w:tcW w:w="534" w:type="dxa"/>
          </w:tcPr>
          <w:p w14:paraId="12D3B7D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Pr>
          <w:p w14:paraId="5F411EE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123" w:type="dxa"/>
          </w:tcPr>
          <w:p w14:paraId="604B75A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2130</w:t>
            </w:r>
          </w:p>
        </w:tc>
        <w:tc>
          <w:tcPr>
            <w:tcW w:w="1123" w:type="dxa"/>
          </w:tcPr>
          <w:p w14:paraId="49EDA3E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1774</w:t>
            </w:r>
          </w:p>
        </w:tc>
        <w:tc>
          <w:tcPr>
            <w:tcW w:w="1123" w:type="dxa"/>
          </w:tcPr>
          <w:p w14:paraId="3CB557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66,3</w:t>
            </w:r>
          </w:p>
        </w:tc>
        <w:tc>
          <w:tcPr>
            <w:tcW w:w="1123" w:type="dxa"/>
          </w:tcPr>
          <w:p w14:paraId="13E3911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63,8</w:t>
            </w:r>
          </w:p>
        </w:tc>
        <w:tc>
          <w:tcPr>
            <w:tcW w:w="1123" w:type="dxa"/>
          </w:tcPr>
          <w:p w14:paraId="1C4146C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125,1</w:t>
            </w:r>
          </w:p>
        </w:tc>
        <w:tc>
          <w:tcPr>
            <w:tcW w:w="905" w:type="dxa"/>
          </w:tcPr>
          <w:p w14:paraId="0F4598C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141,8</w:t>
            </w:r>
          </w:p>
        </w:tc>
        <w:tc>
          <w:tcPr>
            <w:tcW w:w="1232" w:type="dxa"/>
          </w:tcPr>
          <w:p w14:paraId="7C02417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c>
          <w:tcPr>
            <w:tcW w:w="1232" w:type="dxa"/>
          </w:tcPr>
          <w:p w14:paraId="7D9636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w:t>
            </w:r>
          </w:p>
        </w:tc>
      </w:tr>
      <w:tr w:rsidR="004E10C1" w:rsidRPr="0044524F" w14:paraId="1E0BA6F4" w14:textId="77777777">
        <w:tc>
          <w:tcPr>
            <w:tcW w:w="534" w:type="dxa"/>
            <w:tcBorders>
              <w:bottom w:val="single" w:sz="12" w:space="0" w:color="auto"/>
            </w:tcBorders>
          </w:tcPr>
          <w:p w14:paraId="2C52F80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701" w:type="dxa"/>
            <w:tcBorders>
              <w:bottom w:val="single" w:sz="12" w:space="0" w:color="auto"/>
            </w:tcBorders>
          </w:tcPr>
          <w:p w14:paraId="0601182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123" w:type="dxa"/>
            <w:tcBorders>
              <w:bottom w:val="single" w:sz="12" w:space="0" w:color="auto"/>
            </w:tcBorders>
          </w:tcPr>
          <w:p w14:paraId="730774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5306</w:t>
            </w:r>
          </w:p>
        </w:tc>
        <w:tc>
          <w:tcPr>
            <w:tcW w:w="1123" w:type="dxa"/>
            <w:tcBorders>
              <w:bottom w:val="single" w:sz="12" w:space="0" w:color="auto"/>
            </w:tcBorders>
          </w:tcPr>
          <w:p w14:paraId="001487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4836</w:t>
            </w:r>
          </w:p>
        </w:tc>
        <w:tc>
          <w:tcPr>
            <w:tcW w:w="1123" w:type="dxa"/>
            <w:tcBorders>
              <w:bottom w:val="single" w:sz="12" w:space="0" w:color="auto"/>
            </w:tcBorders>
          </w:tcPr>
          <w:p w14:paraId="2EAB046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64,7</w:t>
            </w:r>
          </w:p>
        </w:tc>
        <w:tc>
          <w:tcPr>
            <w:tcW w:w="1123" w:type="dxa"/>
            <w:tcBorders>
              <w:bottom w:val="single" w:sz="12" w:space="0" w:color="auto"/>
            </w:tcBorders>
          </w:tcPr>
          <w:p w14:paraId="71D525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91,1</w:t>
            </w:r>
          </w:p>
        </w:tc>
        <w:tc>
          <w:tcPr>
            <w:tcW w:w="1123" w:type="dxa"/>
            <w:tcBorders>
              <w:bottom w:val="single" w:sz="12" w:space="0" w:color="auto"/>
            </w:tcBorders>
          </w:tcPr>
          <w:p w14:paraId="191757E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152,9</w:t>
            </w:r>
          </w:p>
        </w:tc>
        <w:tc>
          <w:tcPr>
            <w:tcW w:w="905" w:type="dxa"/>
            <w:tcBorders>
              <w:bottom w:val="single" w:sz="12" w:space="0" w:color="auto"/>
            </w:tcBorders>
          </w:tcPr>
          <w:p w14:paraId="2F930D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3162</w:t>
            </w:r>
          </w:p>
        </w:tc>
        <w:tc>
          <w:tcPr>
            <w:tcW w:w="1232" w:type="dxa"/>
            <w:tcBorders>
              <w:bottom w:val="single" w:sz="12" w:space="0" w:color="auto"/>
            </w:tcBorders>
          </w:tcPr>
          <w:p w14:paraId="3781B0B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1232" w:type="dxa"/>
            <w:tcBorders>
              <w:bottom w:val="single" w:sz="12" w:space="0" w:color="auto"/>
            </w:tcBorders>
          </w:tcPr>
          <w:p w14:paraId="0565662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w:t>
            </w:r>
          </w:p>
        </w:tc>
      </w:tr>
    </w:tbl>
    <w:p w14:paraId="4010A3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(4149,40).</w:t>
      </w:r>
    </w:p>
    <w:p w14:paraId="595D3C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08B491"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октября 1933 г. подготовлена справка ГУАП в СТО «О выполнении авиапромышленностью программы за 9 месяцев и IV квартал 1933 г.», в которой подтверждено сложившееся неудовлетворительное положение с выпуском самолетов И-7 и указано, что Госпланом после всех корректировок утвержден на IV квартал выпуск 120 самолетов этого типа, но ожидается сдача в этот период только 57 самолетов И-7, а всего за год – 105 (24331).</w:t>
      </w:r>
    </w:p>
    <w:p w14:paraId="2C03E1E3" w14:textId="77777777" w:rsidR="00C12A56" w:rsidRPr="0044524F" w:rsidRDefault="00C12A56" w:rsidP="009654CF">
      <w:pPr>
        <w:spacing w:after="0" w:line="240" w:lineRule="auto"/>
        <w:jc w:val="both"/>
        <w:rPr>
          <w:rFonts w:ascii="Times New Roman" w:hAnsi="Times New Roman"/>
          <w:color w:val="000000" w:themeColor="text1"/>
          <w:sz w:val="16"/>
          <w:szCs w:val="16"/>
        </w:rPr>
      </w:pPr>
    </w:p>
    <w:p w14:paraId="68E9630F" w14:textId="77777777" w:rsidR="00CF276A" w:rsidRPr="0044524F" w:rsidRDefault="00CF276A"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7 октября 1933 г. </w:t>
      </w:r>
      <w:r w:rsidRPr="0044524F">
        <w:rPr>
          <w:rFonts w:ascii="Times New Roman" w:hAnsi="Times New Roman"/>
          <w:color w:val="000000" w:themeColor="text1"/>
          <w:sz w:val="16"/>
          <w:szCs w:val="16"/>
        </w:rPr>
        <w:t>Письмо заместителя начальника Реактивного научно-исследовательского института РККА С. П. Королева в Сектор обороны Госплана СССР об испытаниях первых советских ракет</w:t>
      </w:r>
    </w:p>
    <w:p w14:paraId="5C8A353A" w14:textId="77777777" w:rsidR="00CF276A" w:rsidRPr="0044524F" w:rsidRDefault="00CF276A"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Секретно.</w:t>
      </w:r>
    </w:p>
    <w:p w14:paraId="3D28D8CC" w14:textId="77777777" w:rsidR="00CF276A" w:rsidRPr="0044524F" w:rsidRDefault="00CF276A" w:rsidP="009654CF">
      <w:pPr>
        <w:pStyle w:val="rtejustify"/>
        <w:spacing w:before="0" w:after="0"/>
        <w:rPr>
          <w:color w:val="000000" w:themeColor="text1"/>
          <w:sz w:val="16"/>
          <w:szCs w:val="16"/>
        </w:rPr>
      </w:pPr>
      <w:r w:rsidRPr="0044524F">
        <w:rPr>
          <w:color w:val="000000" w:themeColor="text1"/>
          <w:sz w:val="16"/>
          <w:szCs w:val="16"/>
        </w:rPr>
        <w:t>При сем препровождаю краткий фотоальбом реактивных систем, которые выстроены бывшим ГИРД Осоавиахима, ныне Реактивный научно-исследовательский институт РККА¹*.</w:t>
      </w:r>
    </w:p>
    <w:p w14:paraId="6311E512" w14:textId="77777777" w:rsidR="00CF276A" w:rsidRPr="0044524F" w:rsidRDefault="00CF276A" w:rsidP="009654CF">
      <w:pPr>
        <w:pStyle w:val="rtejustify"/>
        <w:spacing w:before="0" w:after="0"/>
        <w:rPr>
          <w:color w:val="000000" w:themeColor="text1"/>
          <w:sz w:val="16"/>
          <w:szCs w:val="16"/>
        </w:rPr>
      </w:pPr>
      <w:r w:rsidRPr="0044524F">
        <w:rPr>
          <w:color w:val="000000" w:themeColor="text1"/>
          <w:sz w:val="16"/>
          <w:szCs w:val="16"/>
        </w:rPr>
        <w:t>Все эти объекты в течение этого года проходят испытания. Первая советская ракета на жидком горючем была пущена ГИРД 17 августа сего года. К Октябрьской годовщине РНИИ выпустит в воздух еще 4 объекта на высоту подъема до 12 км и на дальность до 20 км.</w:t>
      </w:r>
    </w:p>
    <w:p w14:paraId="408DD102" w14:textId="77777777" w:rsidR="00CF276A" w:rsidRPr="0044524F" w:rsidRDefault="00CF276A" w:rsidP="009654CF">
      <w:pPr>
        <w:pStyle w:val="rtejustify"/>
        <w:spacing w:before="0" w:after="0"/>
        <w:rPr>
          <w:color w:val="000000" w:themeColor="text1"/>
          <w:sz w:val="16"/>
          <w:szCs w:val="16"/>
        </w:rPr>
      </w:pPr>
      <w:r w:rsidRPr="0044524F">
        <w:rPr>
          <w:color w:val="000000" w:themeColor="text1"/>
          <w:sz w:val="16"/>
          <w:szCs w:val="16"/>
        </w:rPr>
        <w:t>Значительные трудности в настоящее время испытывает РНИИ вследствие отсутствия у него достаточного транспорта. Необходима грузовая или легковая автомашина для проведения испытаний на полигоне, находящемся в 40 км от Москвы. Кроме того работа РНИИ предусматривает сейчас работы только на военвед. Мирное применение ракет не учитывается, и средств на это нет. Недавно НТУ ГУ ГВФ дало 15 тыс. руб. на ракету, но эта сумма совершенно очевидно недостаточна. Необходимы какие-то плановые ассигнования на научно-исследовательскую работу по мирному применению ракет.</w:t>
      </w:r>
    </w:p>
    <w:p w14:paraId="1B982207" w14:textId="77777777" w:rsidR="00CF276A" w:rsidRPr="0044524F" w:rsidRDefault="00CF276A" w:rsidP="009654CF">
      <w:pPr>
        <w:pStyle w:val="rtejustify"/>
        <w:spacing w:before="0" w:after="0"/>
        <w:rPr>
          <w:color w:val="000000" w:themeColor="text1"/>
          <w:sz w:val="16"/>
          <w:szCs w:val="16"/>
        </w:rPr>
      </w:pPr>
      <w:r w:rsidRPr="0044524F">
        <w:rPr>
          <w:color w:val="000000" w:themeColor="text1"/>
          <w:sz w:val="16"/>
          <w:szCs w:val="16"/>
        </w:rPr>
        <w:t>О всем вышеизложенном прошу Вас доложить т. Уншлихту.</w:t>
      </w:r>
    </w:p>
    <w:p w14:paraId="365E3A63" w14:textId="77777777" w:rsidR="00CF276A" w:rsidRPr="0044524F" w:rsidRDefault="00CF276A" w:rsidP="009654CF">
      <w:pPr>
        <w:pStyle w:val="rtejustify"/>
        <w:spacing w:before="0" w:after="0"/>
        <w:rPr>
          <w:color w:val="000000" w:themeColor="text1"/>
          <w:sz w:val="16"/>
          <w:szCs w:val="16"/>
        </w:rPr>
      </w:pPr>
      <w:r w:rsidRPr="0044524F">
        <w:rPr>
          <w:color w:val="000000" w:themeColor="text1"/>
          <w:sz w:val="16"/>
          <w:szCs w:val="16"/>
        </w:rPr>
        <w:t>(Приложение на 26 листах)²*.</w:t>
      </w:r>
    </w:p>
    <w:p w14:paraId="57F2CB9E" w14:textId="77777777" w:rsidR="00CF276A" w:rsidRPr="0044524F" w:rsidRDefault="00CF276A" w:rsidP="009654CF">
      <w:pPr>
        <w:pStyle w:val="ae"/>
        <w:spacing w:before="0" w:after="0"/>
        <w:jc w:val="both"/>
        <w:rPr>
          <w:color w:val="000000" w:themeColor="text1"/>
          <w:sz w:val="16"/>
          <w:szCs w:val="16"/>
        </w:rPr>
      </w:pPr>
      <w:r w:rsidRPr="0044524F">
        <w:rPr>
          <w:rStyle w:val="af0"/>
          <w:i w:val="0"/>
          <w:color w:val="000000" w:themeColor="text1"/>
          <w:sz w:val="16"/>
          <w:szCs w:val="16"/>
        </w:rPr>
        <w:t>Зам. начальника РНИИ РККА Королев</w:t>
      </w:r>
    </w:p>
    <w:p w14:paraId="187A5C92" w14:textId="77777777" w:rsidR="00CF276A" w:rsidRPr="0044524F" w:rsidRDefault="00CF276A"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293DFD4B" w14:textId="77777777" w:rsidR="00CF276A" w:rsidRPr="0044524F" w:rsidRDefault="00CF276A" w:rsidP="009654CF">
      <w:pPr>
        <w:pStyle w:val="rtejustify"/>
        <w:spacing w:before="0" w:after="0"/>
        <w:rPr>
          <w:color w:val="000000" w:themeColor="text1"/>
          <w:sz w:val="16"/>
          <w:szCs w:val="16"/>
        </w:rPr>
      </w:pPr>
      <w:r w:rsidRPr="0044524F">
        <w:rPr>
          <w:color w:val="000000" w:themeColor="text1"/>
          <w:sz w:val="16"/>
          <w:szCs w:val="16"/>
        </w:rPr>
        <w:t>¹* Реактивный научно-исследовательский институт (РНИИ) был создан 21 сентября 1933 г. путем слияния Газодинамической лаборатории и Группы изучения реактивного движения. Начальником института был назначен И. Т. Клейменов, его заместителем по научной части — С. П. Королев. Основным направлением деятельности РНИИ была разработка экспериментальных баллистических и крылатых ракет. В институте также велись исследования и разработки жидкостных ракетных двигателей и продолжались работы по ракетным двигателям на твердом топливе. Созданная институтом наземная многозарядная установка для стрельбы реактивными снарядами явилась прототипом боевой машины БМ</w:t>
      </w:r>
      <w:r w:rsidRPr="0044524F">
        <w:rPr>
          <w:color w:val="000000" w:themeColor="text1"/>
          <w:sz w:val="16"/>
          <w:szCs w:val="16"/>
        </w:rPr>
        <w:noBreakHyphen/>
        <w:t>13 («Катюша»).</w:t>
      </w:r>
    </w:p>
    <w:p w14:paraId="4A2AFF30" w14:textId="77777777" w:rsidR="00CF276A" w:rsidRPr="0044524F" w:rsidRDefault="00CF276A" w:rsidP="009654CF">
      <w:pPr>
        <w:pStyle w:val="rtejustify"/>
        <w:spacing w:before="0" w:after="0"/>
        <w:rPr>
          <w:color w:val="000000" w:themeColor="text1"/>
          <w:sz w:val="16"/>
          <w:szCs w:val="16"/>
        </w:rPr>
      </w:pPr>
      <w:r w:rsidRPr="0044524F">
        <w:rPr>
          <w:color w:val="000000" w:themeColor="text1"/>
          <w:sz w:val="16"/>
          <w:szCs w:val="16"/>
        </w:rPr>
        <w:t>²* Приложение не публикуется (см. там же, л. 313</w:t>
      </w:r>
      <w:r w:rsidRPr="0044524F">
        <w:rPr>
          <w:color w:val="000000" w:themeColor="text1"/>
          <w:sz w:val="16"/>
          <w:szCs w:val="16"/>
        </w:rPr>
        <w:noBreakHyphen/>
        <w:t>286).</w:t>
      </w:r>
    </w:p>
    <w:p w14:paraId="6E8C9F37" w14:textId="77777777" w:rsidR="00CF276A" w:rsidRPr="0044524F" w:rsidRDefault="00CF276A" w:rsidP="009654CF">
      <w:pPr>
        <w:pStyle w:val="ae"/>
        <w:spacing w:before="0" w:after="0"/>
        <w:jc w:val="both"/>
        <w:rPr>
          <w:color w:val="000000" w:themeColor="text1"/>
          <w:sz w:val="16"/>
          <w:szCs w:val="16"/>
        </w:rPr>
      </w:pPr>
      <w:r w:rsidRPr="0044524F">
        <w:rPr>
          <w:color w:val="000000" w:themeColor="text1"/>
          <w:sz w:val="16"/>
          <w:szCs w:val="16"/>
        </w:rPr>
        <w:t>РГАЭ. Ф. 4372. Оп. 91. Д. 1076. Л. 314. Подлинник (15282).</w:t>
      </w:r>
    </w:p>
    <w:p w14:paraId="23C4E576" w14:textId="77777777" w:rsidR="00CF276A" w:rsidRPr="0044524F" w:rsidRDefault="00CF276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7A99784"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октября 1933 г. Письмо заместителя начальника Реактивного научно-исследовательского института РККА С. П. Королева в Сектор обороны Госплана СССР об испытаниях первых советских ракет</w:t>
      </w:r>
    </w:p>
    <w:p w14:paraId="70268EB3"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Секретно.</w:t>
      </w:r>
    </w:p>
    <w:p w14:paraId="123D4A83"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сем препровождаю краткий фотоальбом реактивных систем, которые выстроены бывшим ГИРД Осоавиахима, ныне Реактивный научно-исследовательский институт РККА53.</w:t>
      </w:r>
    </w:p>
    <w:p w14:paraId="54604334"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эти объекты в течение этого года проходят испытания. Первая советская ракета на жидком горючем была пущена ГИРД 17 августа сего года. К Октябрьской годовщине РНИИ выпустит в воздух еще 4 объекта на высоту подъема до 12 км и на дальность до 20 км.</w:t>
      </w:r>
    </w:p>
    <w:p w14:paraId="0BFF03E6"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Значительные трудности в настоящее время испытывает РНИИ вследствие отсутствия у него достаточного транспорта. Необходима грузовая или легковая автомашина для проведения испытаний на полигоне, находящемся в 40 км от Москвы.</w:t>
      </w:r>
    </w:p>
    <w:p w14:paraId="51455882"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работа РНИИ предусматривает сейчас работы только на военвед. Мирное применение ракет не учитывается, и средств на это нет. Недавно НТУ ГУ ГВФ дало 15 тыс. руб. на ракету, но эта сумма совершенно очевидно недостаточна. Необходимы какие-то плановые ассигнования на научно-исследовательскую работу по мирному применению ракет.</w:t>
      </w:r>
    </w:p>
    <w:p w14:paraId="6C6157C7"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всем вышеизложенном прошу Вас доложить т. Уншлихту.</w:t>
      </w:r>
    </w:p>
    <w:p w14:paraId="6D71645A"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на 26 листах)1*.</w:t>
      </w:r>
    </w:p>
    <w:p w14:paraId="3223C2AA"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РНИИ РККА Королев</w:t>
      </w:r>
    </w:p>
    <w:p w14:paraId="20EFB1E0" w14:textId="77777777" w:rsidR="00C12A56" w:rsidRPr="0044524F" w:rsidRDefault="00C12A5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РГАЭ. Ф. 4372. Оп. 91. Д. 1076. Л. 314. Подлинник (23729).</w:t>
      </w:r>
    </w:p>
    <w:p w14:paraId="2687A81B" w14:textId="77777777" w:rsidR="00C12A56" w:rsidRPr="0044524F" w:rsidRDefault="00C12A56" w:rsidP="009654CF">
      <w:pPr>
        <w:spacing w:after="0" w:line="240" w:lineRule="auto"/>
        <w:jc w:val="both"/>
        <w:rPr>
          <w:rFonts w:ascii="Times New Roman" w:hAnsi="Times New Roman"/>
          <w:color w:val="000000" w:themeColor="text1"/>
          <w:sz w:val="16"/>
          <w:szCs w:val="16"/>
        </w:rPr>
      </w:pPr>
    </w:p>
    <w:p w14:paraId="53A3A9AC" w14:textId="77777777" w:rsidR="00CF276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8B1021A" w14:textId="77777777" w:rsidR="00CF276A" w:rsidRPr="0044524F" w:rsidRDefault="00CF276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9AA7863" w14:textId="77777777" w:rsidR="00CF276A" w:rsidRPr="0044524F" w:rsidRDefault="00CF276A" w:rsidP="009654CF">
      <w:pPr>
        <w:pStyle w:val="rtejustify"/>
        <w:spacing w:before="0" w:after="0"/>
        <w:rPr>
          <w:color w:val="000000" w:themeColor="text1"/>
          <w:sz w:val="16"/>
          <w:szCs w:val="16"/>
        </w:rPr>
      </w:pPr>
      <w:r w:rsidRPr="0044524F">
        <w:rPr>
          <w:rStyle w:val="af0"/>
          <w:bCs/>
          <w:i w:val="0"/>
          <w:color w:val="000000" w:themeColor="text1"/>
          <w:sz w:val="16"/>
          <w:szCs w:val="16"/>
        </w:rPr>
        <w:t>7 октября</w:t>
      </w:r>
      <w:r w:rsidRPr="0044524F">
        <w:rPr>
          <w:color w:val="000000" w:themeColor="text1"/>
          <w:sz w:val="16"/>
          <w:szCs w:val="16"/>
        </w:rPr>
        <w:t xml:space="preserve"> 1933. Постановление Комиссии обороны СССР № 13сс «О мероприятиях по выполнению программы 1933 г. заводом “Баррикады”». (ГА РФ. Ф. Р</w:t>
      </w:r>
      <w:r w:rsidRPr="0044524F">
        <w:rPr>
          <w:color w:val="000000" w:themeColor="text1"/>
          <w:sz w:val="16"/>
          <w:szCs w:val="16"/>
        </w:rPr>
        <w:noBreakHyphen/>
        <w:t>8418. Оп. 28. Д. 25а. Л. 44</w:t>
      </w:r>
      <w:r w:rsidRPr="0044524F">
        <w:rPr>
          <w:color w:val="000000" w:themeColor="text1"/>
          <w:sz w:val="16"/>
          <w:szCs w:val="16"/>
        </w:rPr>
        <w:noBreakHyphen/>
        <w:t>48, 54) (15460).</w:t>
      </w:r>
    </w:p>
    <w:p w14:paraId="2BD938BF" w14:textId="77777777" w:rsidR="00CF276A" w:rsidRPr="0044524F" w:rsidRDefault="00CF276A" w:rsidP="009654CF">
      <w:pPr>
        <w:pStyle w:val="rtejustify"/>
        <w:spacing w:before="0" w:after="0"/>
        <w:rPr>
          <w:color w:val="000000" w:themeColor="text1"/>
          <w:sz w:val="16"/>
          <w:szCs w:val="16"/>
        </w:rPr>
      </w:pPr>
    </w:p>
    <w:p w14:paraId="4762B581" w14:textId="77777777" w:rsidR="00CF276A" w:rsidRPr="0044524F" w:rsidRDefault="00CF276A" w:rsidP="009654CF">
      <w:pPr>
        <w:pStyle w:val="rtejustify"/>
        <w:spacing w:before="0" w:after="0"/>
        <w:rPr>
          <w:color w:val="000000" w:themeColor="text1"/>
          <w:sz w:val="16"/>
          <w:szCs w:val="16"/>
        </w:rPr>
      </w:pPr>
      <w:r w:rsidRPr="0044524F">
        <w:rPr>
          <w:rStyle w:val="af0"/>
          <w:bCs/>
          <w:i w:val="0"/>
          <w:color w:val="000000" w:themeColor="text1"/>
          <w:sz w:val="16"/>
          <w:szCs w:val="16"/>
        </w:rPr>
        <w:t>7 октября 1933 вышел приказ НКТП № 156с.</w:t>
      </w:r>
      <w:r w:rsidRPr="0044524F">
        <w:rPr>
          <w:color w:val="000000" w:themeColor="text1"/>
          <w:sz w:val="16"/>
          <w:szCs w:val="16"/>
        </w:rPr>
        <w:t xml:space="preserve"> О повышении оплаты труда на предприятиях, имеющих важное оборонное значение. (РГАЭ. Ф. 7297. Оп. 38. Д. 38. Л. 109) (15246).</w:t>
      </w:r>
    </w:p>
    <w:p w14:paraId="30D9DF98" w14:textId="7F477015" w:rsidR="00CF276A" w:rsidRPr="0044524F" w:rsidRDefault="00CF276A" w:rsidP="009654CF">
      <w:pPr>
        <w:pStyle w:val="rtejustify"/>
        <w:spacing w:before="0" w:after="0"/>
        <w:rPr>
          <w:color w:val="000000" w:themeColor="text1"/>
          <w:sz w:val="16"/>
          <w:szCs w:val="16"/>
        </w:rPr>
      </w:pPr>
    </w:p>
    <w:p w14:paraId="72A3D83A" w14:textId="15312E66" w:rsidR="00B55CC8" w:rsidRPr="0044524F" w:rsidRDefault="00B55CC8" w:rsidP="009654CF">
      <w:pPr>
        <w:pStyle w:val="rtejustify"/>
        <w:spacing w:before="0" w:after="0"/>
        <w:rPr>
          <w:i/>
          <w:iCs/>
          <w:color w:val="000000" w:themeColor="text1"/>
          <w:sz w:val="16"/>
          <w:szCs w:val="16"/>
        </w:rPr>
      </w:pPr>
      <w:r w:rsidRPr="0044524F">
        <w:rPr>
          <w:i/>
          <w:iCs/>
          <w:color w:val="000000" w:themeColor="text1"/>
          <w:sz w:val="16"/>
          <w:szCs w:val="16"/>
        </w:rPr>
        <w:t>Внешняя политика:</w:t>
      </w:r>
    </w:p>
    <w:p w14:paraId="4910CE8F" w14:textId="77777777" w:rsidR="00B55CC8" w:rsidRPr="0044524F" w:rsidRDefault="00B55CC8" w:rsidP="009654CF">
      <w:pPr>
        <w:pStyle w:val="rtejustify"/>
        <w:spacing w:before="0" w:after="0"/>
        <w:rPr>
          <w:i/>
          <w:iCs/>
          <w:color w:val="000000" w:themeColor="text1"/>
          <w:sz w:val="16"/>
          <w:szCs w:val="16"/>
        </w:rPr>
      </w:pPr>
    </w:p>
    <w:p w14:paraId="2A5A6DF9" w14:textId="77777777" w:rsidR="00B55CC8" w:rsidRPr="0044524F" w:rsidRDefault="00B55C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октября 1933 опросом членов ПБ</w:t>
      </w:r>
    </w:p>
    <w:p w14:paraId="6A39ADCA" w14:textId="77777777" w:rsidR="00B55CC8" w:rsidRPr="0044524F" w:rsidRDefault="00B55C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71/48.- О Tvрции.</w:t>
      </w:r>
    </w:p>
    <w:p w14:paraId="41CD1166" w14:textId="77777777" w:rsidR="00B55CC8" w:rsidRPr="0044524F" w:rsidRDefault="00B55C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Передать через делегацию, в качестве подарка Турецкой послублике от правительства СССР одно звено (3) военных самолетов Р-5 :: 1 пассажирский самолет "АНТ-9".</w:t>
      </w:r>
    </w:p>
    <w:p w14:paraId="732148EC" w14:textId="77777777" w:rsidR="00B55CC8" w:rsidRPr="0044524F" w:rsidRDefault="00B55C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Ворошилову ,.Литвинову, Сокольникову.</w:t>
      </w:r>
    </w:p>
    <w:p w14:paraId="5EF781E4" w14:textId="77777777" w:rsidR="00B55CC8" w:rsidRPr="0044524F" w:rsidRDefault="00B55C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состоялось заседание ПБ и был оформлен протокол № 147 (22997).</w:t>
      </w:r>
    </w:p>
    <w:p w14:paraId="583EE0EB" w14:textId="1ACDAC04" w:rsidR="00B55CC8" w:rsidRPr="0044524F" w:rsidRDefault="00B55CC8" w:rsidP="009654CF">
      <w:pPr>
        <w:spacing w:after="0" w:line="240" w:lineRule="auto"/>
        <w:jc w:val="both"/>
        <w:rPr>
          <w:rFonts w:ascii="Times New Roman" w:hAnsi="Times New Roman"/>
          <w:color w:val="000000" w:themeColor="text1"/>
          <w:sz w:val="16"/>
          <w:szCs w:val="16"/>
        </w:rPr>
      </w:pPr>
    </w:p>
    <w:p w14:paraId="5F4CC854" w14:textId="06DBA8B8" w:rsidR="00B55CC8" w:rsidRPr="0044524F" w:rsidRDefault="00B55CC8"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76D4B69D" w14:textId="77777777" w:rsidR="00B55CC8" w:rsidRPr="0044524F" w:rsidRDefault="00B55CC8" w:rsidP="009654CF">
      <w:pPr>
        <w:spacing w:after="0" w:line="240" w:lineRule="auto"/>
        <w:jc w:val="both"/>
        <w:rPr>
          <w:rFonts w:ascii="Times New Roman" w:hAnsi="Times New Roman"/>
          <w:i/>
          <w:iCs/>
          <w:color w:val="000000" w:themeColor="text1"/>
          <w:sz w:val="16"/>
          <w:szCs w:val="16"/>
        </w:rPr>
      </w:pPr>
    </w:p>
    <w:p w14:paraId="7C1AF38B" w14:textId="77777777" w:rsidR="00B55CC8" w:rsidRPr="0044524F" w:rsidRDefault="00B55CC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октября 1933 Air France образована в результате слияния пяти французских авиакомпаний - Air Orient , Air Union , Compagnie Générale Aéropostale , Compagnie Internationale de Navigation Aérienne (CIDNA) и Société Générale des Transports Aériens (SGTA) - начало операций с 250 самолетами (20802).</w:t>
      </w:r>
    </w:p>
    <w:p w14:paraId="30FE24FE" w14:textId="77777777" w:rsidR="00B55CC8" w:rsidRPr="0044524F" w:rsidRDefault="00B55CC8" w:rsidP="009654CF">
      <w:pPr>
        <w:spacing w:after="0" w:line="240" w:lineRule="auto"/>
        <w:jc w:val="both"/>
        <w:rPr>
          <w:rFonts w:ascii="Times New Roman" w:hAnsi="Times New Roman"/>
          <w:color w:val="000000" w:themeColor="text1"/>
          <w:sz w:val="16"/>
          <w:szCs w:val="16"/>
        </w:rPr>
      </w:pPr>
    </w:p>
    <w:p w14:paraId="316399DE"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512B6B5"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9F82E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года начальник ВВС Алкснис писал письмо № МТС/007442 председателю РВС Ворошилову, зам. председателя РВС Гамарнику, зам. председателя РВС Тухачевскому</w:t>
      </w:r>
    </w:p>
    <w:p w14:paraId="511D8C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w:t>
      </w:r>
    </w:p>
    <w:p w14:paraId="759CDD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выполнении авиапромышленностью программы за 3 квартала 1933 года по самолетам, моторам и запчастям.</w:t>
      </w:r>
    </w:p>
    <w:p w14:paraId="1DF44F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авиапромышленностью заказа на самолеты, моторы и запасные части к ним за 3 квартала 1933 года характеризуется:</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4524F" w14:paraId="2D94245F" w14:textId="77777777">
        <w:tc>
          <w:tcPr>
            <w:tcW w:w="1914" w:type="dxa"/>
          </w:tcPr>
          <w:p w14:paraId="409F28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tc>
        <w:tc>
          <w:tcPr>
            <w:tcW w:w="1914" w:type="dxa"/>
          </w:tcPr>
          <w:p w14:paraId="34EF25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продукции</w:t>
            </w:r>
          </w:p>
        </w:tc>
        <w:tc>
          <w:tcPr>
            <w:tcW w:w="1914" w:type="dxa"/>
          </w:tcPr>
          <w:p w14:paraId="558B592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Годовой заказ по постановлению Правительства</w:t>
            </w:r>
          </w:p>
        </w:tc>
        <w:tc>
          <w:tcPr>
            <w:tcW w:w="1914" w:type="dxa"/>
          </w:tcPr>
          <w:p w14:paraId="5DE757C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Подлежат поставке за 9 месяцев</w:t>
            </w:r>
          </w:p>
        </w:tc>
        <w:tc>
          <w:tcPr>
            <w:tcW w:w="1914" w:type="dxa"/>
          </w:tcPr>
          <w:p w14:paraId="0F1E37E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Поставлено за 9 месяцев</w:t>
            </w:r>
          </w:p>
        </w:tc>
        <w:tc>
          <w:tcPr>
            <w:tcW w:w="1487" w:type="dxa"/>
          </w:tcPr>
          <w:p w14:paraId="1553093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выполнения</w:t>
            </w:r>
          </w:p>
        </w:tc>
      </w:tr>
    </w:tbl>
    <w:p w14:paraId="2744114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4524F" w14:paraId="43ADA2EC" w14:textId="77777777">
        <w:tc>
          <w:tcPr>
            <w:tcW w:w="1914" w:type="dxa"/>
          </w:tcPr>
          <w:p w14:paraId="79569B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914" w:type="dxa"/>
          </w:tcPr>
          <w:p w14:paraId="0A9FAE2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ТБ3-М17</w:t>
            </w:r>
          </w:p>
          <w:p w14:paraId="2AE96B9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ТБ3-М22</w:t>
            </w:r>
          </w:p>
          <w:p w14:paraId="57D1034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комплектов на 10 самолетов</w:t>
            </w:r>
          </w:p>
          <w:p w14:paraId="087888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комплектов на 30 самолетов</w:t>
            </w:r>
          </w:p>
          <w:p w14:paraId="131777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 один. компл.</w:t>
            </w:r>
          </w:p>
        </w:tc>
        <w:tc>
          <w:tcPr>
            <w:tcW w:w="1914" w:type="dxa"/>
          </w:tcPr>
          <w:p w14:paraId="0657D2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p w14:paraId="722B26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7C735F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29F8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w:t>
            </w:r>
          </w:p>
          <w:p w14:paraId="723382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26AA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p w14:paraId="0F607A7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1914" w:type="dxa"/>
          </w:tcPr>
          <w:p w14:paraId="03479C1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p w14:paraId="6D3C35A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p w14:paraId="39E27DC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1009B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w:t>
            </w:r>
          </w:p>
          <w:p w14:paraId="4F5C630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64F4E6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p w14:paraId="4B8041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1914" w:type="dxa"/>
          </w:tcPr>
          <w:p w14:paraId="124B81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168</w:t>
            </w:r>
          </w:p>
          <w:p w14:paraId="75B15BA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30154D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5137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p w14:paraId="12C3FFF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4402D0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2D0D490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87" w:type="dxa"/>
          </w:tcPr>
          <w:p w14:paraId="71B679C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006C013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p w14:paraId="4A77A77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60968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p w14:paraId="737BF94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618292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57,1%</w:t>
            </w:r>
          </w:p>
          <w:p w14:paraId="17EEEA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3994E72C" w14:textId="77777777">
        <w:tc>
          <w:tcPr>
            <w:tcW w:w="1914" w:type="dxa"/>
          </w:tcPr>
          <w:p w14:paraId="77501A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914" w:type="dxa"/>
          </w:tcPr>
          <w:p w14:paraId="5720962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p w14:paraId="182DC0E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комплектов на 10 самолетов</w:t>
            </w:r>
          </w:p>
          <w:p w14:paraId="2E4ED44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комплектов на 30 самолетов</w:t>
            </w:r>
          </w:p>
          <w:p w14:paraId="2132B0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 один. компл.</w:t>
            </w:r>
          </w:p>
        </w:tc>
        <w:tc>
          <w:tcPr>
            <w:tcW w:w="1914" w:type="dxa"/>
          </w:tcPr>
          <w:p w14:paraId="30BCA3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w:t>
            </w:r>
          </w:p>
          <w:p w14:paraId="4FE459F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65C53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w:t>
            </w:r>
          </w:p>
          <w:p w14:paraId="1F0C032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AE21C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p w14:paraId="3F79B2A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1914" w:type="dxa"/>
          </w:tcPr>
          <w:p w14:paraId="3AC8B51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p w14:paraId="40D84B8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D69D3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w:t>
            </w:r>
          </w:p>
          <w:p w14:paraId="785AF82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4EF36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p w14:paraId="780225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1914" w:type="dxa"/>
          </w:tcPr>
          <w:p w14:paraId="0566567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w:t>
            </w:r>
          </w:p>
          <w:p w14:paraId="420F72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B3704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p w14:paraId="2FE6EC7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09A2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119A1E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87" w:type="dxa"/>
          </w:tcPr>
          <w:p w14:paraId="60851F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74,7%</w:t>
            </w:r>
          </w:p>
          <w:p w14:paraId="6E10D2E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78CB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p w14:paraId="331F16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B63E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57,1%</w:t>
            </w:r>
          </w:p>
          <w:p w14:paraId="4C8C33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7B8456A3" w14:textId="77777777">
        <w:tc>
          <w:tcPr>
            <w:tcW w:w="1914" w:type="dxa"/>
          </w:tcPr>
          <w:p w14:paraId="20754CF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1914" w:type="dxa"/>
          </w:tcPr>
          <w:p w14:paraId="4F1577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ТБ3-М17</w:t>
            </w:r>
          </w:p>
          <w:p w14:paraId="059F84B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комплектов на 10 самолетов</w:t>
            </w:r>
          </w:p>
        </w:tc>
        <w:tc>
          <w:tcPr>
            <w:tcW w:w="1914" w:type="dxa"/>
          </w:tcPr>
          <w:p w14:paraId="53B378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p w14:paraId="272BA1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FE8702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914" w:type="dxa"/>
          </w:tcPr>
          <w:p w14:paraId="2324681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p w14:paraId="46BAB40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398DF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914" w:type="dxa"/>
          </w:tcPr>
          <w:p w14:paraId="1AD59A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p w14:paraId="0FA4F11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5C15F9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487" w:type="dxa"/>
          </w:tcPr>
          <w:p w14:paraId="267CD6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92,7%</w:t>
            </w:r>
          </w:p>
          <w:p w14:paraId="1E46AA9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80B107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56,6%</w:t>
            </w:r>
          </w:p>
        </w:tc>
      </w:tr>
      <w:tr w:rsidR="004E10C1" w:rsidRPr="0044524F" w14:paraId="0E29157E" w14:textId="77777777">
        <w:tc>
          <w:tcPr>
            <w:tcW w:w="1914" w:type="dxa"/>
          </w:tcPr>
          <w:p w14:paraId="1EFC932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914" w:type="dxa"/>
          </w:tcPr>
          <w:p w14:paraId="5AA5A3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p w14:paraId="1F7EFE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комплектов на 10 самолетов</w:t>
            </w:r>
          </w:p>
          <w:p w14:paraId="65EA14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комплектов на 30 самолетов</w:t>
            </w:r>
          </w:p>
          <w:p w14:paraId="60300A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 один. компл.</w:t>
            </w:r>
          </w:p>
        </w:tc>
        <w:tc>
          <w:tcPr>
            <w:tcW w:w="1914" w:type="dxa"/>
          </w:tcPr>
          <w:p w14:paraId="2E1764B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p w14:paraId="5280C6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14E274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p w14:paraId="1E44B12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4CAB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p w14:paraId="3463513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1914" w:type="dxa"/>
          </w:tcPr>
          <w:p w14:paraId="612F49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256</w:t>
            </w:r>
          </w:p>
          <w:p w14:paraId="6E11652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C62CB0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w:t>
            </w:r>
          </w:p>
          <w:p w14:paraId="6512E1F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073C38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p w14:paraId="1421FDF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1914" w:type="dxa"/>
          </w:tcPr>
          <w:p w14:paraId="7718F5B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w:t>
            </w:r>
          </w:p>
          <w:p w14:paraId="1396AF5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6D26CD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p w14:paraId="21A51BD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62ABE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40E9B6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87" w:type="dxa"/>
          </w:tcPr>
          <w:p w14:paraId="610C05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76,5%</w:t>
            </w:r>
          </w:p>
          <w:p w14:paraId="2529A8E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A4235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56,9%</w:t>
            </w:r>
          </w:p>
          <w:p w14:paraId="69010D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87FE9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57,1%</w:t>
            </w:r>
          </w:p>
        </w:tc>
      </w:tr>
      <w:tr w:rsidR="004E10C1" w:rsidRPr="0044524F" w14:paraId="7700D575" w14:textId="77777777">
        <w:tc>
          <w:tcPr>
            <w:tcW w:w="1914" w:type="dxa"/>
          </w:tcPr>
          <w:p w14:paraId="592A41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914" w:type="dxa"/>
          </w:tcPr>
          <w:p w14:paraId="452AB30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ТБ4-М34</w:t>
            </w:r>
          </w:p>
          <w:p w14:paraId="122218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w:t>
            </w:r>
          </w:p>
        </w:tc>
        <w:tc>
          <w:tcPr>
            <w:tcW w:w="1914" w:type="dxa"/>
          </w:tcPr>
          <w:p w14:paraId="410A8A1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p w14:paraId="4C5FE7C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914" w:type="dxa"/>
          </w:tcPr>
          <w:p w14:paraId="164B6D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66C1EC4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914" w:type="dxa"/>
          </w:tcPr>
          <w:p w14:paraId="389266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637F1F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87" w:type="dxa"/>
          </w:tcPr>
          <w:p w14:paraId="1EE9D32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B55D6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C558415" w14:textId="77777777">
        <w:tc>
          <w:tcPr>
            <w:tcW w:w="1914" w:type="dxa"/>
          </w:tcPr>
          <w:p w14:paraId="7609E0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914" w:type="dxa"/>
          </w:tcPr>
          <w:p w14:paraId="73F8E6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МИ3-М34</w:t>
            </w:r>
          </w:p>
          <w:p w14:paraId="2EA716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tc>
        <w:tc>
          <w:tcPr>
            <w:tcW w:w="1914" w:type="dxa"/>
          </w:tcPr>
          <w:p w14:paraId="5B0E45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p w14:paraId="4D82E56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914" w:type="dxa"/>
          </w:tcPr>
          <w:p w14:paraId="31A7EC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226C28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914" w:type="dxa"/>
          </w:tcPr>
          <w:p w14:paraId="7402A61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24A9A3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87" w:type="dxa"/>
          </w:tcPr>
          <w:p w14:paraId="1B01CA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2ED2E9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CDE2D2E" w14:textId="77777777">
        <w:tc>
          <w:tcPr>
            <w:tcW w:w="1914" w:type="dxa"/>
          </w:tcPr>
          <w:p w14:paraId="27B901A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914" w:type="dxa"/>
          </w:tcPr>
          <w:p w14:paraId="7F805B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p w14:paraId="7A4F7B6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tc>
        <w:tc>
          <w:tcPr>
            <w:tcW w:w="1914" w:type="dxa"/>
          </w:tcPr>
          <w:p w14:paraId="563EF36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p w14:paraId="480D1C3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c>
          <w:tcPr>
            <w:tcW w:w="1914" w:type="dxa"/>
          </w:tcPr>
          <w:p w14:paraId="3A00941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p w14:paraId="433D36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1914" w:type="dxa"/>
          </w:tcPr>
          <w:p w14:paraId="1E5ED7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p w14:paraId="378427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1487" w:type="dxa"/>
          </w:tcPr>
          <w:p w14:paraId="63FA2F5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25,7</w:t>
            </w:r>
          </w:p>
          <w:p w14:paraId="0FF6DF3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39,2</w:t>
            </w:r>
          </w:p>
        </w:tc>
      </w:tr>
      <w:tr w:rsidR="004E10C1" w:rsidRPr="0044524F" w14:paraId="1BD69E07" w14:textId="77777777">
        <w:tc>
          <w:tcPr>
            <w:tcW w:w="1914" w:type="dxa"/>
          </w:tcPr>
          <w:p w14:paraId="4277FC4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1015FCF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9693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A0CF8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914" w:type="dxa"/>
          </w:tcPr>
          <w:p w14:paraId="3947097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p w14:paraId="75442C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p w14:paraId="536FACC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Р5а-М17</w:t>
            </w:r>
          </w:p>
          <w:p w14:paraId="7E44BF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p w14:paraId="2E61AD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p w14:paraId="744C39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tc>
        <w:tc>
          <w:tcPr>
            <w:tcW w:w="1914" w:type="dxa"/>
          </w:tcPr>
          <w:p w14:paraId="2B418CA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p w14:paraId="0CBD19C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267</w:t>
            </w:r>
          </w:p>
          <w:p w14:paraId="4D9231C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7C8D1E6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p w14:paraId="4CD501B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1650</w:t>
            </w:r>
          </w:p>
          <w:p w14:paraId="22B03D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275</w:t>
            </w:r>
          </w:p>
        </w:tc>
        <w:tc>
          <w:tcPr>
            <w:tcW w:w="1914" w:type="dxa"/>
          </w:tcPr>
          <w:p w14:paraId="5E2F48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1115</w:t>
            </w:r>
          </w:p>
          <w:p w14:paraId="56FFC17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p w14:paraId="2CAD9D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1B70514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p w14:paraId="3EEBB7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1165</w:t>
            </w:r>
          </w:p>
          <w:p w14:paraId="73EDD8D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183</w:t>
            </w:r>
          </w:p>
        </w:tc>
        <w:tc>
          <w:tcPr>
            <w:tcW w:w="1914" w:type="dxa"/>
          </w:tcPr>
          <w:p w14:paraId="06A3AB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813</w:t>
            </w:r>
          </w:p>
          <w:p w14:paraId="4FE53B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w:t>
            </w:r>
          </w:p>
          <w:p w14:paraId="2821F52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39C6F21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2042788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813</w:t>
            </w:r>
          </w:p>
          <w:p w14:paraId="3115DB6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78</w:t>
            </w:r>
          </w:p>
        </w:tc>
        <w:tc>
          <w:tcPr>
            <w:tcW w:w="1487" w:type="dxa"/>
          </w:tcPr>
          <w:p w14:paraId="2E8E155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DBDFD5B" w14:textId="77777777">
        <w:tc>
          <w:tcPr>
            <w:tcW w:w="1914" w:type="dxa"/>
          </w:tcPr>
          <w:p w14:paraId="1379351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914" w:type="dxa"/>
          </w:tcPr>
          <w:p w14:paraId="2BF6257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И5-М22</w:t>
            </w:r>
          </w:p>
          <w:p w14:paraId="1D093B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p w14:paraId="0648DA7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 один. компл.</w:t>
            </w:r>
          </w:p>
        </w:tc>
        <w:tc>
          <w:tcPr>
            <w:tcW w:w="1914" w:type="dxa"/>
          </w:tcPr>
          <w:p w14:paraId="33F174F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p w14:paraId="51205B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w:t>
            </w:r>
          </w:p>
          <w:p w14:paraId="616FADC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w:t>
            </w:r>
          </w:p>
        </w:tc>
        <w:tc>
          <w:tcPr>
            <w:tcW w:w="1914" w:type="dxa"/>
          </w:tcPr>
          <w:p w14:paraId="146A9C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w:t>
            </w:r>
          </w:p>
          <w:p w14:paraId="58FD52E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w:t>
            </w:r>
          </w:p>
          <w:p w14:paraId="096368A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1914" w:type="dxa"/>
          </w:tcPr>
          <w:p w14:paraId="45B3841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182</w:t>
            </w:r>
          </w:p>
          <w:p w14:paraId="12E079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p w14:paraId="48AF32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w:t>
            </w:r>
          </w:p>
        </w:tc>
        <w:tc>
          <w:tcPr>
            <w:tcW w:w="1487" w:type="dxa"/>
          </w:tcPr>
          <w:p w14:paraId="043058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41D35AF" w14:textId="77777777">
        <w:tc>
          <w:tcPr>
            <w:tcW w:w="1914" w:type="dxa"/>
          </w:tcPr>
          <w:p w14:paraId="0CAD742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p w14:paraId="754D21A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B10F3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4616FB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914" w:type="dxa"/>
          </w:tcPr>
          <w:p w14:paraId="6906C1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Р6-М17</w:t>
            </w:r>
          </w:p>
          <w:p w14:paraId="4338450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p w14:paraId="60BDC94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Р6-М34</w:t>
            </w:r>
          </w:p>
          <w:p w14:paraId="6BDEB2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p w14:paraId="5960BA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p w14:paraId="6EE2289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комплектов</w:t>
            </w:r>
          </w:p>
        </w:tc>
        <w:tc>
          <w:tcPr>
            <w:tcW w:w="1914" w:type="dxa"/>
          </w:tcPr>
          <w:p w14:paraId="753CE40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3C03D39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p w14:paraId="79D9A1A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2D1C1E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p w14:paraId="2AC8E9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p w14:paraId="78A0CE2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914" w:type="dxa"/>
          </w:tcPr>
          <w:p w14:paraId="4C112D0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49F9E3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p w14:paraId="1298890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00CE87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p w14:paraId="0E2C24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p w14:paraId="4E83E5C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1914" w:type="dxa"/>
          </w:tcPr>
          <w:p w14:paraId="3514035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p w14:paraId="5BD0E73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7841FA5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62D0C7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5944AB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p w14:paraId="3A7C6DF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487" w:type="dxa"/>
          </w:tcPr>
          <w:p w14:paraId="52925D9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4E14F3" w14:textId="77777777">
        <w:tc>
          <w:tcPr>
            <w:tcW w:w="1914" w:type="dxa"/>
          </w:tcPr>
          <w:p w14:paraId="7FA14D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914" w:type="dxa"/>
          </w:tcPr>
          <w:p w14:paraId="6A27C41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МБР4-АССО</w:t>
            </w:r>
          </w:p>
          <w:p w14:paraId="129A085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p w14:paraId="3A3D9E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p w14:paraId="69004D1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tc>
        <w:tc>
          <w:tcPr>
            <w:tcW w:w="1914" w:type="dxa"/>
          </w:tcPr>
          <w:p w14:paraId="4B99882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5C0907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p w14:paraId="616330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p w14:paraId="355B35F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1914" w:type="dxa"/>
          </w:tcPr>
          <w:p w14:paraId="07335A8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582557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p w14:paraId="2B94A46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0750B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914" w:type="dxa"/>
          </w:tcPr>
          <w:p w14:paraId="2547B4F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p w14:paraId="4AF59AA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4B39FB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A6C7A3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87" w:type="dxa"/>
          </w:tcPr>
          <w:p w14:paraId="7E999DF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FC6B27E" w14:textId="77777777">
        <w:tc>
          <w:tcPr>
            <w:tcW w:w="1914" w:type="dxa"/>
          </w:tcPr>
          <w:p w14:paraId="5C8690C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914" w:type="dxa"/>
          </w:tcPr>
          <w:p w14:paraId="316E299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АШ-М11</w:t>
            </w:r>
          </w:p>
          <w:p w14:paraId="6A3D8D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tc>
        <w:tc>
          <w:tcPr>
            <w:tcW w:w="1914" w:type="dxa"/>
          </w:tcPr>
          <w:p w14:paraId="5673AB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2E8F17F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914" w:type="dxa"/>
          </w:tcPr>
          <w:p w14:paraId="429851E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688BC5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914" w:type="dxa"/>
          </w:tcPr>
          <w:p w14:paraId="5514F4F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2005CF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487" w:type="dxa"/>
          </w:tcPr>
          <w:p w14:paraId="1A03427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p w14:paraId="0A19ED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21432CD1" w14:textId="77777777">
        <w:tc>
          <w:tcPr>
            <w:tcW w:w="1914" w:type="dxa"/>
          </w:tcPr>
          <w:p w14:paraId="24BA4DA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914" w:type="dxa"/>
          </w:tcPr>
          <w:p w14:paraId="1A41331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p w14:paraId="5251E12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tc>
        <w:tc>
          <w:tcPr>
            <w:tcW w:w="1914" w:type="dxa"/>
          </w:tcPr>
          <w:p w14:paraId="2A369E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p w14:paraId="0C7638C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w:t>
            </w:r>
          </w:p>
        </w:tc>
        <w:tc>
          <w:tcPr>
            <w:tcW w:w="1914" w:type="dxa"/>
          </w:tcPr>
          <w:p w14:paraId="2E6DB1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640</w:t>
            </w:r>
          </w:p>
          <w:p w14:paraId="4137532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1914" w:type="dxa"/>
          </w:tcPr>
          <w:p w14:paraId="027DCEE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w:t>
            </w:r>
          </w:p>
          <w:p w14:paraId="2F76E4D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w:t>
            </w:r>
          </w:p>
        </w:tc>
        <w:tc>
          <w:tcPr>
            <w:tcW w:w="1487" w:type="dxa"/>
          </w:tcPr>
          <w:p w14:paraId="7F3692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90,5%</w:t>
            </w:r>
          </w:p>
          <w:p w14:paraId="6B93D4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w:t>
            </w:r>
          </w:p>
        </w:tc>
      </w:tr>
      <w:tr w:rsidR="004E10C1" w:rsidRPr="0044524F" w14:paraId="7AB102A1" w14:textId="77777777">
        <w:tc>
          <w:tcPr>
            <w:tcW w:w="1914" w:type="dxa"/>
          </w:tcPr>
          <w:p w14:paraId="291B07F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914" w:type="dxa"/>
          </w:tcPr>
          <w:p w14:paraId="0D0E92B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Самолетов</w:t>
            </w:r>
          </w:p>
          <w:p w14:paraId="031F182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комплектов</w:t>
            </w:r>
          </w:p>
          <w:p w14:paraId="5AED4C7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 один. компл.</w:t>
            </w:r>
          </w:p>
        </w:tc>
        <w:tc>
          <w:tcPr>
            <w:tcW w:w="1914" w:type="dxa"/>
          </w:tcPr>
          <w:p w14:paraId="5C9AED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3615</w:t>
            </w:r>
          </w:p>
          <w:p w14:paraId="3E8CFC2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637</w:t>
            </w:r>
          </w:p>
          <w:p w14:paraId="41B161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144</w:t>
            </w:r>
          </w:p>
        </w:tc>
        <w:tc>
          <w:tcPr>
            <w:tcW w:w="1914" w:type="dxa"/>
          </w:tcPr>
          <w:p w14:paraId="4CEA81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2604</w:t>
            </w:r>
          </w:p>
          <w:p w14:paraId="5B77BA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439</w:t>
            </w:r>
          </w:p>
          <w:p w14:paraId="1B40BC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1914" w:type="dxa"/>
          </w:tcPr>
          <w:p w14:paraId="1D7C77E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1890</w:t>
            </w:r>
          </w:p>
          <w:p w14:paraId="4B109F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253</w:t>
            </w:r>
          </w:p>
          <w:p w14:paraId="57C6AF4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w:t>
            </w:r>
          </w:p>
        </w:tc>
        <w:tc>
          <w:tcPr>
            <w:tcW w:w="1487" w:type="dxa"/>
          </w:tcPr>
          <w:p w14:paraId="7C3E3D2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72,5%</w:t>
            </w:r>
          </w:p>
          <w:p w14:paraId="7ABE15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51,2%</w:t>
            </w:r>
          </w:p>
          <w:p w14:paraId="694AEE9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128,8%</w:t>
            </w:r>
          </w:p>
        </w:tc>
      </w:tr>
      <w:tr w:rsidR="004E10C1" w:rsidRPr="0044524F" w14:paraId="6B269A9B" w14:textId="77777777">
        <w:tc>
          <w:tcPr>
            <w:tcW w:w="1914" w:type="dxa"/>
          </w:tcPr>
          <w:p w14:paraId="73BED5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w:t>
            </w:r>
          </w:p>
        </w:tc>
        <w:tc>
          <w:tcPr>
            <w:tcW w:w="1914" w:type="dxa"/>
          </w:tcPr>
          <w:p w14:paraId="7B12330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Автожиры</w:t>
            </w:r>
          </w:p>
          <w:p w14:paraId="043D243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tc>
        <w:tc>
          <w:tcPr>
            <w:tcW w:w="1914" w:type="dxa"/>
          </w:tcPr>
          <w:p w14:paraId="38A2DEC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p w14:paraId="5B49ED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914" w:type="dxa"/>
          </w:tcPr>
          <w:p w14:paraId="3E38C72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p w14:paraId="233D16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914" w:type="dxa"/>
          </w:tcPr>
          <w:p w14:paraId="798BBBD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p w14:paraId="00B1129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87" w:type="dxa"/>
          </w:tcPr>
          <w:p w14:paraId="242351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p w14:paraId="79EBEE6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bl>
    <w:p w14:paraId="43062E2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3"/>
        <w:gridCol w:w="1913"/>
        <w:gridCol w:w="1913"/>
        <w:gridCol w:w="1913"/>
        <w:gridCol w:w="1913"/>
        <w:gridCol w:w="1490"/>
      </w:tblGrid>
      <w:tr w:rsidR="004E10C1" w:rsidRPr="0044524F" w14:paraId="5479FCB0" w14:textId="77777777">
        <w:tc>
          <w:tcPr>
            <w:tcW w:w="1913" w:type="dxa"/>
          </w:tcPr>
          <w:p w14:paraId="5F25AC7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913" w:type="dxa"/>
          </w:tcPr>
          <w:p w14:paraId="435730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p w14:paraId="02E0C0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tc>
        <w:tc>
          <w:tcPr>
            <w:tcW w:w="1913" w:type="dxa"/>
          </w:tcPr>
          <w:p w14:paraId="03462CF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p w14:paraId="3637F59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913" w:type="dxa"/>
          </w:tcPr>
          <w:p w14:paraId="1BD5AE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p w14:paraId="6F8E27E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w:t>
            </w:r>
          </w:p>
        </w:tc>
        <w:tc>
          <w:tcPr>
            <w:tcW w:w="1913" w:type="dxa"/>
          </w:tcPr>
          <w:p w14:paraId="3B9DC3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w:t>
            </w:r>
          </w:p>
          <w:p w14:paraId="2E5386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490" w:type="dxa"/>
          </w:tcPr>
          <w:p w14:paraId="555621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w:t>
            </w:r>
          </w:p>
          <w:p w14:paraId="645CBAE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w:t>
            </w:r>
          </w:p>
        </w:tc>
      </w:tr>
      <w:tr w:rsidR="004E10C1" w:rsidRPr="0044524F" w14:paraId="1372122C" w14:textId="77777777">
        <w:tc>
          <w:tcPr>
            <w:tcW w:w="1913" w:type="dxa"/>
          </w:tcPr>
          <w:p w14:paraId="66DFD9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913" w:type="dxa"/>
          </w:tcPr>
          <w:p w14:paraId="34AA12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М-17</w:t>
            </w:r>
          </w:p>
          <w:p w14:paraId="7BA0F44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tc>
        <w:tc>
          <w:tcPr>
            <w:tcW w:w="1913" w:type="dxa"/>
          </w:tcPr>
          <w:p w14:paraId="68C7460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790</w:t>
            </w:r>
          </w:p>
          <w:p w14:paraId="3FD5F0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339</w:t>
            </w:r>
          </w:p>
        </w:tc>
        <w:tc>
          <w:tcPr>
            <w:tcW w:w="1913" w:type="dxa"/>
          </w:tcPr>
          <w:p w14:paraId="0D7B31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p w14:paraId="4A28317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913" w:type="dxa"/>
          </w:tcPr>
          <w:p w14:paraId="02FE236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382</w:t>
            </w:r>
          </w:p>
          <w:p w14:paraId="6AA209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212</w:t>
            </w:r>
          </w:p>
        </w:tc>
        <w:tc>
          <w:tcPr>
            <w:tcW w:w="1490" w:type="dxa"/>
          </w:tcPr>
          <w:p w14:paraId="6547EC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95,5%</w:t>
            </w:r>
          </w:p>
          <w:p w14:paraId="13432F1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92,1%</w:t>
            </w:r>
          </w:p>
        </w:tc>
      </w:tr>
      <w:tr w:rsidR="004E10C1" w:rsidRPr="0044524F" w14:paraId="10C2D90D" w14:textId="77777777">
        <w:tc>
          <w:tcPr>
            <w:tcW w:w="1913" w:type="dxa"/>
          </w:tcPr>
          <w:p w14:paraId="1A2FD7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913" w:type="dxa"/>
          </w:tcPr>
          <w:p w14:paraId="3875FD8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p w14:paraId="218C172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p w14:paraId="16604D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p w14:paraId="077E22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комплекты</w:t>
            </w:r>
          </w:p>
        </w:tc>
        <w:tc>
          <w:tcPr>
            <w:tcW w:w="1913" w:type="dxa"/>
          </w:tcPr>
          <w:p w14:paraId="0CFD55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p w14:paraId="6DC005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p w14:paraId="7AA20A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w:t>
            </w:r>
          </w:p>
          <w:p w14:paraId="3581677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119</w:t>
            </w:r>
          </w:p>
        </w:tc>
        <w:tc>
          <w:tcPr>
            <w:tcW w:w="1913" w:type="dxa"/>
          </w:tcPr>
          <w:p w14:paraId="406A41F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w:t>
            </w:r>
          </w:p>
          <w:p w14:paraId="4771EB3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p w14:paraId="785862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p w14:paraId="71C1452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w:t>
            </w:r>
          </w:p>
        </w:tc>
        <w:tc>
          <w:tcPr>
            <w:tcW w:w="1913" w:type="dxa"/>
          </w:tcPr>
          <w:p w14:paraId="1E87913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w:t>
            </w:r>
          </w:p>
          <w:p w14:paraId="51DA91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p w14:paraId="490F566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p w14:paraId="6C7332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490" w:type="dxa"/>
          </w:tcPr>
          <w:p w14:paraId="1A66D90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45,8%</w:t>
            </w:r>
          </w:p>
          <w:p w14:paraId="76A00BB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p w14:paraId="74EF9F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p w14:paraId="27C377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32,9%</w:t>
            </w:r>
          </w:p>
        </w:tc>
      </w:tr>
      <w:tr w:rsidR="004E10C1" w:rsidRPr="0044524F" w14:paraId="7BA48AB1" w14:textId="77777777">
        <w:tc>
          <w:tcPr>
            <w:tcW w:w="1913" w:type="dxa"/>
          </w:tcPr>
          <w:p w14:paraId="1E0D726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913" w:type="dxa"/>
          </w:tcPr>
          <w:p w14:paraId="04EBD45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Моторов</w:t>
            </w:r>
          </w:p>
          <w:p w14:paraId="663D89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 комплектов</w:t>
            </w:r>
          </w:p>
        </w:tc>
        <w:tc>
          <w:tcPr>
            <w:tcW w:w="1913" w:type="dxa"/>
          </w:tcPr>
          <w:p w14:paraId="61D8D3D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1430</w:t>
            </w:r>
          </w:p>
          <w:p w14:paraId="5644FA2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610</w:t>
            </w:r>
          </w:p>
        </w:tc>
        <w:tc>
          <w:tcPr>
            <w:tcW w:w="1913" w:type="dxa"/>
          </w:tcPr>
          <w:p w14:paraId="2F3DE32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824</w:t>
            </w:r>
          </w:p>
          <w:p w14:paraId="7440AE2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416</w:t>
            </w:r>
          </w:p>
        </w:tc>
        <w:tc>
          <w:tcPr>
            <w:tcW w:w="1913" w:type="dxa"/>
          </w:tcPr>
          <w:p w14:paraId="7065FD9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710</w:t>
            </w:r>
          </w:p>
          <w:p w14:paraId="13BE413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256</w:t>
            </w:r>
          </w:p>
        </w:tc>
        <w:tc>
          <w:tcPr>
            <w:tcW w:w="1490" w:type="dxa"/>
          </w:tcPr>
          <w:p w14:paraId="04D930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86,1%</w:t>
            </w:r>
          </w:p>
          <w:p w14:paraId="1B35D7C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61,5%</w:t>
            </w:r>
          </w:p>
        </w:tc>
      </w:tr>
    </w:tbl>
    <w:p w14:paraId="7269A37B"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низ 30 самолетов И-7 находятся на заводе для замены хвостового оперения.</w:t>
      </w:r>
    </w:p>
    <w:p w14:paraId="59B197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 по количеству</w:t>
      </w:r>
    </w:p>
    <w:p w14:paraId="0D0260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авиапромышленность выполнение заказов ВВС за три квартала 1933 года закончила со значительным недоделом.</w:t>
      </w:r>
    </w:p>
    <w:p w14:paraId="2F3F306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самолетам</w:t>
      </w:r>
    </w:p>
    <w:p w14:paraId="2630D3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самолетам в целом заказ недовыполнен на 27,5%, т.е. недодано 714 самолетов, причем недовыполнение главным образом по истребителям (И-7) завода № 1, гидросамолетам (Р-5а и ) по заводам №№ 1 и 31, по разведчикам (Р-5) по заводу № 1, также по дальнеразведовательным и крейсерским самолетам по заводу № 31. Третий квартал дал значительное недовыполнение по тяжелобомбардировочным самолетам – ТБ-3 по заводу № в количестве 58 самолетов.</w:t>
      </w:r>
    </w:p>
    <w:p w14:paraId="3A227DE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моторам</w:t>
      </w:r>
    </w:p>
    <w:p w14:paraId="5844D9D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резервным моторам план заказов недовыполнен на 114 моторов, главным образом, моторов М-22 и М-11 (по заводу № 29).</w:t>
      </w:r>
    </w:p>
    <w:p w14:paraId="6466D00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 запчастям</w:t>
      </w:r>
    </w:p>
    <w:p w14:paraId="5748314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Еще более неудовлетворительно выполнение заказов по групповым комплектам запчастей к самолетам и моторам. По самолетным групповым комплектам недовыполнено 48,8%, т.е. недодано 186 групповых комплектов, а по моторным групповым комплектам недовыполнено 38,5%, т.е. недодано 160 группкомплектов.</w:t>
      </w:r>
    </w:p>
    <w:p w14:paraId="07965CB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недосдачи групповых комплектов к самолетам и моторам, сданные групповые комплекты недоукомплектованы, например: в группкомплекты к мотору М-17 недодаются роликовые обоймы, шатуны, коренные вкладыши, ролики шатунов и др.; в самолетные комплекты и к самолетам недодаются специальные ключи, ряд технических деталей и др., что сильно затрудняет эксплуатацию и ремонт самолетов и моторов в частях ВВС.</w:t>
      </w:r>
    </w:p>
    <w:p w14:paraId="2E70752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Решение СТО от 27 апреля 1933 года о сдаче в 1933 году 100 самолетов ТБ-3 и 350 самолетов Р-5 на тормозных колесах до сих пор авиапромышленностью не выполнено.</w:t>
      </w:r>
    </w:p>
    <w:p w14:paraId="2B4A753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то, что тем же решением СТО, ГУАП обязан был не позднее 10 июля 1933 года сдать на тормозных колесах первые пять самолетов Р-5 и не позднее 15 августа 1933 года – первые 5 самолетов ТБ-3, ни один самолет на тормозных шасси не сдан.</w:t>
      </w:r>
    </w:p>
    <w:p w14:paraId="627F8CF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 по качеству</w:t>
      </w:r>
    </w:p>
    <w:p w14:paraId="5250566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самолетам</w:t>
      </w:r>
    </w:p>
    <w:p w14:paraId="6F0F39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Качество сдаваемых самолетов продолжает иметь ряд существенных недостатков, например:</w:t>
      </w:r>
    </w:p>
    <w:p w14:paraId="360BC7AA"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почти все самолеты перетяжелены против весов образцов или против расчетных весов;</w:t>
      </w:r>
    </w:p>
    <w:p w14:paraId="7CF7A3FD"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большинстве самолетов с моторами водяного охлаждения текут радиаторы;</w:t>
      </w:r>
    </w:p>
    <w:p w14:paraId="435B1BF1"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текут бензо-маслокраны;</w:t>
      </w:r>
    </w:p>
    <w:p w14:paraId="194BD048"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 частей и деталей самолетов слабо и ломается (хвостовое оперение И-7, крепление верхних узлов шасси самолета ТБ-3) и т.д.</w:t>
      </w:r>
    </w:p>
    <w:p w14:paraId="0C822A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 моторам</w:t>
      </w:r>
    </w:p>
    <w:p w14:paraId="78B5BEF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еще частые явления на моторах М-17:</w:t>
      </w:r>
    </w:p>
    <w:p w14:paraId="6F6B9651"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обрыв шпилек цилиндров;</w:t>
      </w:r>
    </w:p>
    <w:p w14:paraId="0D728F0D"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обрыв фланцев цилиндров;</w:t>
      </w:r>
    </w:p>
    <w:p w14:paraId="7EE68F4E"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износ верхних головок шатунов;</w:t>
      </w:r>
    </w:p>
    <w:p w14:paraId="6E149C45"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люфт сцепления магнето;</w:t>
      </w:r>
    </w:p>
    <w:p w14:paraId="27BBE380"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обрыв шпилек карбюратора.</w:t>
      </w:r>
    </w:p>
    <w:p w14:paraId="6E1376A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М-34 имеет ряд серьезных дефектов, затрудняющих нормальную эксплуатацию его, а именно:</w:t>
      </w:r>
    </w:p>
    <w:p w14:paraId="7BBB8D47"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трещины, выкрашивание и выплавление баббита шатунных и коренных вкладышей;</w:t>
      </w:r>
    </w:p>
    <w:p w14:paraId="6527C803"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поломки коленчатых валов и др.</w:t>
      </w:r>
    </w:p>
    <w:p w14:paraId="423118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мотору М-22 (завод № 29) в эксплуатации выявлены:</w:t>
      </w:r>
    </w:p>
    <w:p w14:paraId="70896292"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большой износ пальцев;</w:t>
      </w:r>
    </w:p>
    <w:p w14:paraId="619775B2"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износ втулок коромысла;</w:t>
      </w:r>
    </w:p>
    <w:p w14:paraId="0A8B14D8"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не держит давления на малых оборотах из-за плохого монтажа масляных помп.</w:t>
      </w:r>
    </w:p>
    <w:p w14:paraId="14AB5A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Предложения</w:t>
      </w:r>
    </w:p>
    <w:p w14:paraId="0CBC4E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своей стороны полагаю необходимым для обеспечения выполнения авиапромышленностью заказов ВВС на 1933 год проведение следующих мероприятий:</w:t>
      </w:r>
    </w:p>
    <w:p w14:paraId="2F23ED37"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Наркомтяжпром снабдить заводы ГУАПа в IV квартале материалами, в особенности цветными металлами, оловом, сортовыми сталями и лесом в размерах. Полностью обеспечивающих 100% выполнение программы УВВС. Впредь авиазаводы обеспечивать материалами из расчета потребностей на 3 месяца вперед.</w:t>
      </w:r>
    </w:p>
    <w:p w14:paraId="105015B3"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Категорически обязать ГУАП сдать в IV квартале весь недодел первых трех кварталов, как по самолетам, так и по моторам, предложив ГУАПу не позднее 15 октября 1933 года разработать конкретный план сдачи продукции в IV квартале.</w:t>
      </w:r>
    </w:p>
    <w:p w14:paraId="6B5D28C6"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сдать в IV квартале все заказанные в 1933 году запасные части к самолетам и моторам, как по основным заводам, так и по заводам, изготовляющим запчасти для самолетов, снятых с серийного производства (заводы №№ 16, 18, 35, 45, 47). Так как недовыполнение заказов по запчастям ставит в чрезвычайно тяжелое положение эксплуатацию и ремонт самолетов и моторов в частях ВВС.</w:t>
      </w:r>
    </w:p>
    <w:p w14:paraId="6FF22F56"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ГУАПу произвести быструю перестройку производства на заводе № 31 по выпуску гидросамолетов и дальнеразведовательных самолетов (Р-6); такие мероприятия провести и в отношении заводов №№ 1 45, кооперированных постройкой самолетов Р-5а на поплавках.</w:t>
      </w:r>
    </w:p>
    <w:p w14:paraId="390ED660"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не позднее, как со второй половины октября начать сдавать самолеты Р-5 и ТБ-3 с тормозными шасси, с тем, чтобы в текущем году решение СТО от 27 апреля 1933 года было бы выполнено.</w:t>
      </w:r>
    </w:p>
    <w:p w14:paraId="0942FC84"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решительно перестроить работу подсобных заводов (№№ 32, 34, 20, 28, 33) для полного обеспечения выполнения программы IV квартала основных самолетостроительных и моторостроительных заводов по подаче: литья, радиаторов, колес, вооружения, винтов, лыж, масляных и бензиновых помп, карбюраторов. Одновременно ГУАПу добиться своевременного и полного снабжения этих заводов материалами (олово, медь, сталь, лес).</w:t>
      </w:r>
    </w:p>
    <w:p w14:paraId="69DE0D0C"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не позднее 20 октября закончить испытание новой передачи к масляной помпе моторов М-22 с последующим немедленным внедрением этой передачи в серийное производство.</w:t>
      </w:r>
    </w:p>
    <w:p w14:paraId="06A76EF0"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в течение IV квартала довести веса выпускаемых самолетов до установленных пределов.</w:t>
      </w:r>
    </w:p>
    <w:p w14:paraId="60579E0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не позднее 1 декабря 1933 года предъявить УВВС на испытание эталоны самолетов и моторов, предусмотренных по плану заказов на 1934 год (4191, 81-84).</w:t>
      </w:r>
    </w:p>
    <w:p w14:paraId="1C56CFF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74BA2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года начальник ВВС Алкснис писал письмо N 3552сс Ворошилову.</w:t>
      </w:r>
    </w:p>
    <w:p w14:paraId="1E1737D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 о ходе опытного строительства главнейших объектов моторов и самолетов на 1 октября 1933 года</w:t>
      </w:r>
    </w:p>
    <w:p w14:paraId="7BC56D9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моторам:</w:t>
      </w:r>
    </w:p>
    <w:p w14:paraId="600964A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М34Н (с нагнетателем). Мощность 750 л.с., высотность 3500 м. Срок предъявления на гос. испытания 1 сентября 1933 года.</w:t>
      </w:r>
    </w:p>
    <w:p w14:paraId="6367938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был предъявлен на гос. испытания, которые начались 17 сентября. На 41 часу гос. испытания были аннулированы из-за прогорания клапанов и трещин в крышке нагнетателя. На клапанах изменена сталь. Крышка переделана. На гос. испытания мотор можно ожидать к 1 сентября 1933 года.</w:t>
      </w:r>
    </w:p>
    <w:p w14:paraId="17930CE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М-58 (с нагнетателем). Мощность 630 л.с., высотность 4000 м. Срок предъявления на гос. испытания 1 сентября 1933 года.</w:t>
      </w:r>
    </w:p>
    <w:p w14:paraId="7F633E4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Заводские испытания М58 проходят медленными темпами, ввиду постоянных задержек в изготовлении опытных деталей. До сих пор не изжит дефект-поломка клапанов выпуска и коробление седел клапанов. Заводскими испытаниями проверяются новые варианты клапанов. Для проверки высотности мотора в ЦИАМ направлен импеллер М58, который будет испытан в ближайшее время и там же будет проверена высотность мотора к 1 ноября 1933 года. Ожидаемый срок предъявления мотора на гос. испытания 15 ноября 1933 года - 1 декабря 1933 года.</w:t>
      </w:r>
    </w:p>
    <w:p w14:paraId="1D5A134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Н-5 (дизель). Мощность 2000 л.с. Срок предъявления на гос. испытания 1 сентября 1933 года.</w:t>
      </w:r>
    </w:p>
    <w:p w14:paraId="23A13AB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 Н-5 находится в сборке. Собран картер с коленчатым валом и нагнетателем и отправлен в лабораторию ЦИАМ для испытания нагнетателя. Срок постановки на заводские испытания до этого установить трудно.</w:t>
      </w:r>
    </w:p>
    <w:p w14:paraId="7B566EB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Н-1 (дизель). Мощность 750-900 л.с. Срок предъявления на гос. испытания 1 ноября 1933 года.</w:t>
      </w:r>
    </w:p>
    <w:p w14:paraId="3DE28CC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 Н-1 находится в сборке. Ввиду задержки в механической обработке ряда деталей, срок окончания сборки и начало заводских испытаний установить трудно.</w:t>
      </w:r>
    </w:p>
    <w:p w14:paraId="37401CA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М-34Р (выпуск серии).</w:t>
      </w:r>
    </w:p>
    <w:p w14:paraId="319791B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октября 1933 года завод N 24 не обеспечил выпуска в серию С34Р. Модели готовы, технологический процесс разработан, проектируется инструмент и приспособления.... Нормальный выпуск серии завод предполагает наладить во 2-ом квартале 1934 года вместо 1 октября 1933 года, определен. постановлением РВС.</w:t>
      </w:r>
    </w:p>
    <w:p w14:paraId="1EBD5CD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М-34э (с электронным картером). Срок предъявления 1 декабря 1933 года.</w:t>
      </w:r>
    </w:p>
    <w:p w14:paraId="61A0662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предъявлен на гос. испытания, которые начались 5 октября 1933 года. Электронный картер дает облегчение мотора на 35 кг. Общий вес мотора вместо 600 кг будет 565 кг.</w:t>
      </w:r>
    </w:p>
    <w:p w14:paraId="617B8DC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самолетам:</w:t>
      </w:r>
    </w:p>
    <w:p w14:paraId="5BFBF50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Установка мотора М34 на самолете ТБ3</w:t>
      </w:r>
    </w:p>
    <w:p w14:paraId="6BF4A5B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крайне длительной доводки винтомоторной группы на самолете ТБ3-4М34 ЦАГИ 17 сентября 1933 года передало на гос. испытания самолет ТБ3-4М34 (без редуктора) с тремя вариантами винтов.</w:t>
      </w:r>
    </w:p>
    <w:p w14:paraId="2385A3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ЦАГИ начаты заводские испытания ТБ3-4М34 с редуктором. По данным испытаний ЦАГИ потолок ТБ3-4М34 с редуктором 4600м, полетный вес самолета 18600 кг.</w:t>
      </w:r>
    </w:p>
    <w:p w14:paraId="58E9354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Одноместный истребитель И14 с мотором Бристоль Меркур. Срок предъявления на гос. испытания 30 июля 1933 года.</w:t>
      </w:r>
    </w:p>
    <w:p w14:paraId="05ACD34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ввиду необходимости доводки механизма подъема шасси на гос. испытания не передан. В настоящее время после переделки шасси ЦАГИ вновь приступило к заводским испытаниям самолета.</w:t>
      </w:r>
    </w:p>
    <w:p w14:paraId="523254B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Легкий разведчик ЛР-М34</w:t>
      </w:r>
    </w:p>
    <w:p w14:paraId="6FE9997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испытания 1 сентября 1933 года.</w:t>
      </w:r>
    </w:p>
    <w:p w14:paraId="6FB277D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проходит заводские испытания, крупных дефектов у самолета не обнаружено, летная характеристика еще не снята.</w:t>
      </w:r>
    </w:p>
    <w:p w14:paraId="2CADA50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Многоместный истребитель МИ3-2М34</w:t>
      </w:r>
    </w:p>
    <w:p w14:paraId="1CA05FC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испытания 1 сентября 1933 года.</w:t>
      </w:r>
    </w:p>
    <w:p w14:paraId="4F87EAA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самолет, при заводских испытаниях благодаря поломки компенсаторов рулей направления, в воздухе разбит. Дублер самолета должен выйти на заводские испытания между 20-30 октября 1933 года.</w:t>
      </w:r>
    </w:p>
    <w:p w14:paraId="2C42D95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5. Тяжелый бомбардировщик ТБ4-6М34</w:t>
      </w:r>
    </w:p>
    <w:p w14:paraId="1B97FCE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на гос. испытания 15 августа 1933 года.</w:t>
      </w:r>
    </w:p>
    <w:p w14:paraId="30CDE2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 самолет передан на гос. испытания в НИИ ВВС. Испытания показали, что при полетном весе самолета 33 т (в т.ч. полезная нагрузка 11,5 т) самолет имеет потолок всего лишь 2700 м. Столь низкий потолок объясняется установкой на самолете моторов М34 без редуктора и недостатком общей мощности винтомоторной группы.</w:t>
      </w:r>
    </w:p>
    <w:p w14:paraId="6582340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Истребитель И15 Райт-Циклон</w:t>
      </w:r>
    </w:p>
    <w:p w14:paraId="4F13BA4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Истребитель И15 Райт Циклон заканчивается постройкой. Завод N 39 обещает выпустить этот самолет на аэродром к 15-18 октября 1933 года - к заседанию РВС по итогам боевой подготовки.</w:t>
      </w:r>
    </w:p>
    <w:p w14:paraId="42DF05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Истребитель И16-М22</w:t>
      </w:r>
    </w:p>
    <w:p w14:paraId="00D643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получение импортных моторов ограничено, а введение на вооружение истребителей с большими скоростями крайне необходимо, мною перед заводом N 39 была поставлена задача попытаться изыскать возможности получить истребитель со скоростью порядка 300 км/час и выше под мотор М22.</w:t>
      </w:r>
    </w:p>
    <w:p w14:paraId="36F0E8C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N 39 после подсчета изысканий, дал согласие на конструирование и постройку И16 под М22 со скоростью у земли 345, а на высоте 5000 м - 300 км/час, против 290 км/час у земли у И5 и И7 и против 242-270 км/час скорости их на высоте 5000 м. Срок выхода И16 на аэродром 1 января 1934 года.</w:t>
      </w:r>
    </w:p>
    <w:p w14:paraId="531EC23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Гидросамолеты</w:t>
      </w:r>
    </w:p>
    <w:p w14:paraId="5E0E2F9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Согласно постановления КО всемерно форсируется постройка тяжелых гидросамолетов МДР4-3М34 и МК1-6М34.</w:t>
      </w:r>
    </w:p>
    <w:p w14:paraId="6145A69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самолет находится в производстве, готовность 30%. Проектирование второго самолета закончено. Готовность в производстве 66%.</w:t>
      </w:r>
    </w:p>
    <w:p w14:paraId="4815327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Во исполнение постановления РВС от 17 июля 1933 года об организации бюро опытного гидросамолетостроения на незамерзающем море ведется выбор места. ГУАП настаивает на Севастополе, ВВС на районе Керчи.</w:t>
      </w:r>
    </w:p>
    <w:p w14:paraId="703EEF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Экспериментальные работы</w:t>
      </w:r>
    </w:p>
    <w:p w14:paraId="397F984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 НИИ ВВС закончены испытания ТБ3-4М17 с двумя и тремя установленными на нем истребителями И5-М22 (звено Вахмистрова). Испытания показали значительное увеличение скороподъемности ТБ3-4м17, небольшое (100-300 м) увеличение потолка и полную надежность подъема истребителей с крыльев бомбовоза.</w:t>
      </w:r>
    </w:p>
    <w:p w14:paraId="6F00957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Закончились успешно заводские испытания, ускорения ракетами взлета ТБ1-2М17. При полетном весе самолета ТБ1-2М17 8000 кг разбег сократился с 550-600 м до 150 м. Самолет предъявлен на гос. испытания (3516,130-136).</w:t>
      </w:r>
    </w:p>
    <w:p w14:paraId="04728AE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947EB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года начальник Управления материально-технического снабжения и вооружения УВВС Жаров писал письмо в СТО Базилевичу</w:t>
      </w:r>
    </w:p>
    <w:p w14:paraId="17256BE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выполнении авиапромышленностью плана заказов УВВС 1933 года за 9 месяцев</w:t>
      </w:r>
    </w:p>
    <w:p w14:paraId="11AA30CD"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СТО от 5 декабря 1932 года для ВВС по авиапромышленности определен следующий заказ материальной части:</w:t>
      </w:r>
    </w:p>
    <w:p w14:paraId="491EE9C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p w14:paraId="41FC93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ТБ3-М17 – 150 штук</w:t>
      </w:r>
    </w:p>
    <w:p w14:paraId="11A12B7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ТБ3-М34 - 150 штук</w:t>
      </w:r>
    </w:p>
    <w:p w14:paraId="6F0C54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ТБ4-М34 - 10 штук</w:t>
      </w:r>
    </w:p>
    <w:p w14:paraId="472048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Р6-М17 - 80 штук</w:t>
      </w:r>
    </w:p>
    <w:p w14:paraId="3C8462A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Р6-М34 - 50 штук</w:t>
      </w:r>
    </w:p>
    <w:p w14:paraId="3DC9CF8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Р5-М17 - 1600 штук</w:t>
      </w:r>
    </w:p>
    <w:p w14:paraId="022C2C1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МР5-М17 - 50 штук</w:t>
      </w:r>
    </w:p>
    <w:p w14:paraId="73A530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С62-АССО - 20 штук</w:t>
      </w:r>
    </w:p>
    <w:p w14:paraId="234FC64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С62-М34 - 60 штук</w:t>
      </w:r>
    </w:p>
    <w:p w14:paraId="467693A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И5-М22 – 350 штук</w:t>
      </w:r>
    </w:p>
    <w:p w14:paraId="4E0AF27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 – 250 штук</w:t>
      </w:r>
    </w:p>
    <w:p w14:paraId="15048A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МИ3-М34 – 25 штук</w:t>
      </w:r>
    </w:p>
    <w:p w14:paraId="6A49320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АШ-М11 – 50 штук</w:t>
      </w:r>
    </w:p>
    <w:p w14:paraId="15119B0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 – 800 штук</w:t>
      </w:r>
    </w:p>
    <w:p w14:paraId="5F74220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3615 штук</w:t>
      </w:r>
    </w:p>
    <w:p w14:paraId="0549FD8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p w14:paraId="0290B4A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 – 3300 штук</w:t>
      </w:r>
    </w:p>
    <w:p w14:paraId="046E7D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 1070 штук</w:t>
      </w:r>
    </w:p>
    <w:p w14:paraId="1DCB98A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 – 450 штук</w:t>
      </w:r>
    </w:p>
    <w:p w14:paraId="26ABF68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 – 1190 штук</w:t>
      </w:r>
    </w:p>
    <w:p w14:paraId="2E1E838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 6010 штук</w:t>
      </w:r>
    </w:p>
    <w:p w14:paraId="63A7F338"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авиапромышленностью заключенных в развитие постановления СТО договоров за период 1 января – 1 октября 1933 года – выразилось:</w:t>
      </w:r>
    </w:p>
    <w:p w14:paraId="3D2A9D7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Самолеты: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4524F" w14:paraId="32243692" w14:textId="77777777">
        <w:tc>
          <w:tcPr>
            <w:tcW w:w="1914" w:type="dxa"/>
          </w:tcPr>
          <w:p w14:paraId="26E8F3B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завода</w:t>
            </w:r>
          </w:p>
        </w:tc>
        <w:tc>
          <w:tcPr>
            <w:tcW w:w="1914" w:type="dxa"/>
          </w:tcPr>
          <w:p w14:paraId="51DB9B5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Типы самолетов</w:t>
            </w:r>
          </w:p>
        </w:tc>
        <w:tc>
          <w:tcPr>
            <w:tcW w:w="1914" w:type="dxa"/>
          </w:tcPr>
          <w:p w14:paraId="70E4025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Годовой заказ, согласно постановления СТО</w:t>
            </w:r>
          </w:p>
        </w:tc>
        <w:tc>
          <w:tcPr>
            <w:tcW w:w="1914" w:type="dxa"/>
          </w:tcPr>
          <w:p w14:paraId="763BCA3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Подлежащие сдаче, согласно договора за 9 месяцев</w:t>
            </w:r>
          </w:p>
        </w:tc>
        <w:tc>
          <w:tcPr>
            <w:tcW w:w="1914" w:type="dxa"/>
          </w:tcPr>
          <w:p w14:paraId="6EC9290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 9 месяцев</w:t>
            </w:r>
          </w:p>
        </w:tc>
        <w:tc>
          <w:tcPr>
            <w:tcW w:w="1487" w:type="dxa"/>
          </w:tcPr>
          <w:p w14:paraId="36388A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выполнения</w:t>
            </w:r>
          </w:p>
        </w:tc>
      </w:tr>
      <w:tr w:rsidR="004E10C1" w:rsidRPr="0044524F" w14:paraId="2B0E566D" w14:textId="77777777">
        <w:tc>
          <w:tcPr>
            <w:tcW w:w="1914" w:type="dxa"/>
          </w:tcPr>
          <w:p w14:paraId="324E3B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914" w:type="dxa"/>
          </w:tcPr>
          <w:p w14:paraId="7E5C137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p w14:paraId="2D635E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МР5-М17</w:t>
            </w:r>
          </w:p>
          <w:p w14:paraId="583A81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p w14:paraId="578D91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1914" w:type="dxa"/>
          </w:tcPr>
          <w:p w14:paraId="6D0D28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p w14:paraId="2CCFAA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p w14:paraId="35DA2C5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1660</w:t>
            </w:r>
          </w:p>
          <w:p w14:paraId="0DE4A3F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1914" w:type="dxa"/>
          </w:tcPr>
          <w:p w14:paraId="1773B6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1115</w:t>
            </w:r>
          </w:p>
          <w:p w14:paraId="4D3B1E9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70116CA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1165</w:t>
            </w:r>
          </w:p>
          <w:p w14:paraId="678349A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c>
          <w:tcPr>
            <w:tcW w:w="1914" w:type="dxa"/>
          </w:tcPr>
          <w:p w14:paraId="32AD11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813</w:t>
            </w:r>
          </w:p>
          <w:p w14:paraId="347D0F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3CBF4CD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813</w:t>
            </w:r>
          </w:p>
          <w:p w14:paraId="11F3A3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1487" w:type="dxa"/>
          </w:tcPr>
          <w:p w14:paraId="4AC9E11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73,9%</w:t>
            </w:r>
          </w:p>
          <w:p w14:paraId="3DCCA3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p w14:paraId="6EA9E4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69,7%</w:t>
            </w:r>
          </w:p>
          <w:p w14:paraId="06A9618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25,7%</w:t>
            </w:r>
          </w:p>
        </w:tc>
      </w:tr>
      <w:tr w:rsidR="004E10C1" w:rsidRPr="0044524F" w14:paraId="2C3E22E7" w14:textId="77777777">
        <w:tc>
          <w:tcPr>
            <w:tcW w:w="1914" w:type="dxa"/>
          </w:tcPr>
          <w:p w14:paraId="60164E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914" w:type="dxa"/>
          </w:tcPr>
          <w:p w14:paraId="52D9884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-М22</w:t>
            </w:r>
          </w:p>
        </w:tc>
        <w:tc>
          <w:tcPr>
            <w:tcW w:w="1914" w:type="dxa"/>
          </w:tcPr>
          <w:p w14:paraId="7E4CFC8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1914" w:type="dxa"/>
          </w:tcPr>
          <w:p w14:paraId="6A80BB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w:t>
            </w:r>
          </w:p>
        </w:tc>
        <w:tc>
          <w:tcPr>
            <w:tcW w:w="1914" w:type="dxa"/>
          </w:tcPr>
          <w:p w14:paraId="67B3A1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182</w:t>
            </w:r>
          </w:p>
        </w:tc>
        <w:tc>
          <w:tcPr>
            <w:tcW w:w="1487" w:type="dxa"/>
          </w:tcPr>
          <w:p w14:paraId="713F80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72,8%</w:t>
            </w:r>
          </w:p>
        </w:tc>
      </w:tr>
      <w:tr w:rsidR="004E10C1" w:rsidRPr="0044524F" w14:paraId="410C1A59" w14:textId="77777777">
        <w:tc>
          <w:tcPr>
            <w:tcW w:w="1914" w:type="dxa"/>
          </w:tcPr>
          <w:p w14:paraId="66CDC25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914" w:type="dxa"/>
          </w:tcPr>
          <w:p w14:paraId="7EA4AB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p w14:paraId="0E5F42B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p w14:paraId="778F5AB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914" w:type="dxa"/>
          </w:tcPr>
          <w:p w14:paraId="51972DF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p w14:paraId="2FCA30E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p w14:paraId="7AC3945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w:t>
            </w:r>
          </w:p>
        </w:tc>
        <w:tc>
          <w:tcPr>
            <w:tcW w:w="1914" w:type="dxa"/>
          </w:tcPr>
          <w:p w14:paraId="3C1DC55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p w14:paraId="5D27587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p w14:paraId="4979B53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1914" w:type="dxa"/>
          </w:tcPr>
          <w:p w14:paraId="5D2A76C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168</w:t>
            </w:r>
          </w:p>
          <w:p w14:paraId="411B31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4B40C5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w:t>
            </w:r>
          </w:p>
        </w:tc>
        <w:tc>
          <w:tcPr>
            <w:tcW w:w="1487" w:type="dxa"/>
          </w:tcPr>
          <w:p w14:paraId="0EDCF32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p w14:paraId="4D683DF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p w14:paraId="331ED6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74,7%</w:t>
            </w:r>
          </w:p>
        </w:tc>
      </w:tr>
      <w:tr w:rsidR="004E10C1" w:rsidRPr="0044524F" w14:paraId="040EC1CB" w14:textId="77777777">
        <w:tc>
          <w:tcPr>
            <w:tcW w:w="1914" w:type="dxa"/>
          </w:tcPr>
          <w:p w14:paraId="085BAE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1914" w:type="dxa"/>
          </w:tcPr>
          <w:p w14:paraId="40438E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914" w:type="dxa"/>
          </w:tcPr>
          <w:p w14:paraId="7AB79D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914" w:type="dxa"/>
          </w:tcPr>
          <w:p w14:paraId="711D77E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914" w:type="dxa"/>
          </w:tcPr>
          <w:p w14:paraId="128E389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487" w:type="dxa"/>
          </w:tcPr>
          <w:p w14:paraId="751D67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92,3%</w:t>
            </w:r>
          </w:p>
        </w:tc>
      </w:tr>
      <w:tr w:rsidR="004E10C1" w:rsidRPr="0044524F" w14:paraId="06A7F661" w14:textId="77777777">
        <w:tc>
          <w:tcPr>
            <w:tcW w:w="1914" w:type="dxa"/>
          </w:tcPr>
          <w:p w14:paraId="452D3D6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Итого </w:t>
            </w:r>
          </w:p>
        </w:tc>
        <w:tc>
          <w:tcPr>
            <w:tcW w:w="1914" w:type="dxa"/>
          </w:tcPr>
          <w:p w14:paraId="739A264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914" w:type="dxa"/>
          </w:tcPr>
          <w:p w14:paraId="7BBC88E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914" w:type="dxa"/>
          </w:tcPr>
          <w:p w14:paraId="0ADBF4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256</w:t>
            </w:r>
          </w:p>
        </w:tc>
        <w:tc>
          <w:tcPr>
            <w:tcW w:w="1914" w:type="dxa"/>
          </w:tcPr>
          <w:p w14:paraId="332DBE1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w:t>
            </w:r>
          </w:p>
        </w:tc>
        <w:tc>
          <w:tcPr>
            <w:tcW w:w="1487" w:type="dxa"/>
          </w:tcPr>
          <w:p w14:paraId="7CE20A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76,5%</w:t>
            </w:r>
          </w:p>
        </w:tc>
      </w:tr>
      <w:tr w:rsidR="004E10C1" w:rsidRPr="0044524F" w14:paraId="56B23C64" w14:textId="77777777">
        <w:tc>
          <w:tcPr>
            <w:tcW w:w="1914" w:type="dxa"/>
          </w:tcPr>
          <w:p w14:paraId="74A3AB7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914" w:type="dxa"/>
          </w:tcPr>
          <w:p w14:paraId="45F713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ТБ4-5М34</w:t>
            </w:r>
          </w:p>
          <w:p w14:paraId="32A7C93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МИ3-3М34</w:t>
            </w:r>
          </w:p>
        </w:tc>
        <w:tc>
          <w:tcPr>
            <w:tcW w:w="1914" w:type="dxa"/>
          </w:tcPr>
          <w:p w14:paraId="69DF26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p w14:paraId="30CE85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1914" w:type="dxa"/>
          </w:tcPr>
          <w:p w14:paraId="7DE5BF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71FEA57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914" w:type="dxa"/>
          </w:tcPr>
          <w:p w14:paraId="511E2C1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D8DEC7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87" w:type="dxa"/>
          </w:tcPr>
          <w:p w14:paraId="18B6162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C7BDB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EFE1159" w14:textId="77777777">
        <w:tc>
          <w:tcPr>
            <w:tcW w:w="1914" w:type="dxa"/>
          </w:tcPr>
          <w:p w14:paraId="0EC3A1D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914" w:type="dxa"/>
          </w:tcPr>
          <w:p w14:paraId="02259DD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МБР4-АССО</w:t>
            </w:r>
          </w:p>
          <w:p w14:paraId="7823F81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МБР4-М34</w:t>
            </w:r>
          </w:p>
          <w:p w14:paraId="16F0BDA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p w14:paraId="2CA7BA6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p w14:paraId="39A6F7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Р6-2М34</w:t>
            </w:r>
          </w:p>
          <w:p w14:paraId="556C342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p w14:paraId="33198AB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АШ-М11</w:t>
            </w:r>
          </w:p>
        </w:tc>
        <w:tc>
          <w:tcPr>
            <w:tcW w:w="1914" w:type="dxa"/>
          </w:tcPr>
          <w:p w14:paraId="75EA8FE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42A058F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p w14:paraId="1C816B2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p w14:paraId="2BF94B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15CCA9C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679997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p w14:paraId="0A56C8E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914" w:type="dxa"/>
          </w:tcPr>
          <w:p w14:paraId="3E66C6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07C7A82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18B91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325C9C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p w14:paraId="25E619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p w14:paraId="077BC50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p w14:paraId="324158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914" w:type="dxa"/>
          </w:tcPr>
          <w:p w14:paraId="0FFD8AB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p w14:paraId="0CBE4E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7BE2695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p w14:paraId="37EFF8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p w14:paraId="0C0B4B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2858C2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p w14:paraId="7023D96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87" w:type="dxa"/>
          </w:tcPr>
          <w:p w14:paraId="2A58D3F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p w14:paraId="2CC842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99A19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p w14:paraId="47D31E9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p w14:paraId="0949AE6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p w14:paraId="6AB4383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12,8%</w:t>
            </w:r>
          </w:p>
          <w:p w14:paraId="1EDDD34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45347537" w14:textId="77777777">
        <w:tc>
          <w:tcPr>
            <w:tcW w:w="1914" w:type="dxa"/>
          </w:tcPr>
          <w:p w14:paraId="33EC47A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914" w:type="dxa"/>
          </w:tcPr>
          <w:p w14:paraId="0A8637C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tc>
        <w:tc>
          <w:tcPr>
            <w:tcW w:w="1914" w:type="dxa"/>
          </w:tcPr>
          <w:p w14:paraId="5A1679C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914" w:type="dxa"/>
          </w:tcPr>
          <w:p w14:paraId="2B4B83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640</w:t>
            </w:r>
          </w:p>
        </w:tc>
        <w:tc>
          <w:tcPr>
            <w:tcW w:w="1914" w:type="dxa"/>
          </w:tcPr>
          <w:p w14:paraId="0AF7A0B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580</w:t>
            </w:r>
          </w:p>
        </w:tc>
        <w:tc>
          <w:tcPr>
            <w:tcW w:w="1487" w:type="dxa"/>
          </w:tcPr>
          <w:p w14:paraId="58DD849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90,6%</w:t>
            </w:r>
          </w:p>
        </w:tc>
      </w:tr>
      <w:tr w:rsidR="004E10C1" w:rsidRPr="0044524F" w14:paraId="16064499" w14:textId="77777777">
        <w:tc>
          <w:tcPr>
            <w:tcW w:w="1914" w:type="dxa"/>
          </w:tcPr>
          <w:p w14:paraId="088189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914" w:type="dxa"/>
          </w:tcPr>
          <w:p w14:paraId="6C74DD1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5A53B6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3615</w:t>
            </w:r>
          </w:p>
        </w:tc>
        <w:tc>
          <w:tcPr>
            <w:tcW w:w="1914" w:type="dxa"/>
          </w:tcPr>
          <w:p w14:paraId="58957D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2604</w:t>
            </w:r>
          </w:p>
        </w:tc>
        <w:tc>
          <w:tcPr>
            <w:tcW w:w="1914" w:type="dxa"/>
          </w:tcPr>
          <w:p w14:paraId="79F0C4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1890</w:t>
            </w:r>
          </w:p>
        </w:tc>
        <w:tc>
          <w:tcPr>
            <w:tcW w:w="1487" w:type="dxa"/>
          </w:tcPr>
          <w:p w14:paraId="24B02EF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72,5%</w:t>
            </w:r>
          </w:p>
        </w:tc>
      </w:tr>
    </w:tbl>
    <w:p w14:paraId="098262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14"/>
        <w:gridCol w:w="1914"/>
        <w:gridCol w:w="1914"/>
        <w:gridCol w:w="1914"/>
        <w:gridCol w:w="1914"/>
        <w:gridCol w:w="1487"/>
      </w:tblGrid>
      <w:tr w:rsidR="004E10C1" w:rsidRPr="0044524F" w14:paraId="01F8A47D" w14:textId="77777777">
        <w:tc>
          <w:tcPr>
            <w:tcW w:w="1914" w:type="dxa"/>
          </w:tcPr>
          <w:p w14:paraId="69F73BB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завода</w:t>
            </w:r>
          </w:p>
        </w:tc>
        <w:tc>
          <w:tcPr>
            <w:tcW w:w="1914" w:type="dxa"/>
          </w:tcPr>
          <w:p w14:paraId="4CBBF7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Типы моторов</w:t>
            </w:r>
          </w:p>
        </w:tc>
        <w:tc>
          <w:tcPr>
            <w:tcW w:w="1914" w:type="dxa"/>
          </w:tcPr>
          <w:p w14:paraId="621BCFF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Годовой заказ, согласно постановления СТО</w:t>
            </w:r>
          </w:p>
        </w:tc>
        <w:tc>
          <w:tcPr>
            <w:tcW w:w="1914" w:type="dxa"/>
          </w:tcPr>
          <w:p w14:paraId="600653C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Подлежащие сдаче, согласно договора за 9 месяцев</w:t>
            </w:r>
          </w:p>
        </w:tc>
        <w:tc>
          <w:tcPr>
            <w:tcW w:w="1914" w:type="dxa"/>
          </w:tcPr>
          <w:p w14:paraId="6DC8EEB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Сдано за 9 месяцев</w:t>
            </w:r>
          </w:p>
        </w:tc>
        <w:tc>
          <w:tcPr>
            <w:tcW w:w="1487" w:type="dxa"/>
          </w:tcPr>
          <w:p w14:paraId="507A61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выполнения</w:t>
            </w:r>
          </w:p>
        </w:tc>
      </w:tr>
      <w:tr w:rsidR="004E10C1" w:rsidRPr="0044524F" w14:paraId="418E3DD5" w14:textId="77777777">
        <w:tc>
          <w:tcPr>
            <w:tcW w:w="1914" w:type="dxa"/>
          </w:tcPr>
          <w:p w14:paraId="3ACAF5A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914" w:type="dxa"/>
          </w:tcPr>
          <w:p w14:paraId="173DC7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p w14:paraId="3809487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самолеты</w:t>
            </w:r>
          </w:p>
          <w:p w14:paraId="572DA67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резерв</w:t>
            </w:r>
          </w:p>
        </w:tc>
        <w:tc>
          <w:tcPr>
            <w:tcW w:w="1914" w:type="dxa"/>
          </w:tcPr>
          <w:p w14:paraId="0D57132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08640F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870</w:t>
            </w:r>
          </w:p>
          <w:p w14:paraId="19772B5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914" w:type="dxa"/>
          </w:tcPr>
          <w:p w14:paraId="0BC723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B9AA6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521</w:t>
            </w:r>
          </w:p>
          <w:p w14:paraId="7ACA84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w:t>
            </w:r>
          </w:p>
        </w:tc>
        <w:tc>
          <w:tcPr>
            <w:tcW w:w="1914" w:type="dxa"/>
          </w:tcPr>
          <w:p w14:paraId="4653FC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F15A4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197</w:t>
            </w:r>
          </w:p>
          <w:p w14:paraId="1C4287C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w:t>
            </w:r>
          </w:p>
        </w:tc>
        <w:tc>
          <w:tcPr>
            <w:tcW w:w="1487" w:type="dxa"/>
          </w:tcPr>
          <w:p w14:paraId="3F605C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EBB08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w:t>
            </w:r>
          </w:p>
          <w:p w14:paraId="183843D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w:t>
            </w:r>
          </w:p>
        </w:tc>
      </w:tr>
      <w:tr w:rsidR="004E10C1" w:rsidRPr="0044524F" w14:paraId="79DE5E2C" w14:textId="77777777">
        <w:tc>
          <w:tcPr>
            <w:tcW w:w="1914" w:type="dxa"/>
          </w:tcPr>
          <w:p w14:paraId="08E6E1D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p w14:paraId="1C7361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914" w:type="dxa"/>
          </w:tcPr>
          <w:p w14:paraId="116AAEE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p w14:paraId="44C3F13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самолеты</w:t>
            </w:r>
          </w:p>
          <w:p w14:paraId="2C0A828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резерв</w:t>
            </w:r>
          </w:p>
        </w:tc>
        <w:tc>
          <w:tcPr>
            <w:tcW w:w="1914" w:type="dxa"/>
          </w:tcPr>
          <w:p w14:paraId="2A3E7F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AA5F23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2600</w:t>
            </w:r>
          </w:p>
          <w:p w14:paraId="0B4A8BB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780*</w:t>
            </w:r>
          </w:p>
        </w:tc>
        <w:tc>
          <w:tcPr>
            <w:tcW w:w="1914" w:type="dxa"/>
          </w:tcPr>
          <w:p w14:paraId="45DDB90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0F1B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2034</w:t>
            </w:r>
          </w:p>
          <w:p w14:paraId="6CA1C9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400</w:t>
            </w:r>
          </w:p>
        </w:tc>
        <w:tc>
          <w:tcPr>
            <w:tcW w:w="1914" w:type="dxa"/>
          </w:tcPr>
          <w:p w14:paraId="15C7401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7F2C0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2070</w:t>
            </w:r>
          </w:p>
          <w:p w14:paraId="56C9D1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382</w:t>
            </w:r>
          </w:p>
        </w:tc>
        <w:tc>
          <w:tcPr>
            <w:tcW w:w="1487" w:type="dxa"/>
          </w:tcPr>
          <w:p w14:paraId="17836E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82115B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w:t>
            </w:r>
          </w:p>
          <w:p w14:paraId="184A6A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95,5%</w:t>
            </w:r>
          </w:p>
        </w:tc>
      </w:tr>
      <w:tr w:rsidR="004E10C1" w:rsidRPr="0044524F" w14:paraId="36C19FF8" w14:textId="77777777">
        <w:tc>
          <w:tcPr>
            <w:tcW w:w="1914" w:type="dxa"/>
          </w:tcPr>
          <w:p w14:paraId="62CFC4A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29</w:t>
            </w:r>
          </w:p>
        </w:tc>
        <w:tc>
          <w:tcPr>
            <w:tcW w:w="1914" w:type="dxa"/>
          </w:tcPr>
          <w:p w14:paraId="57B73E1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p w14:paraId="2BD4C3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самолеты</w:t>
            </w:r>
          </w:p>
          <w:p w14:paraId="1C4ACD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резерв</w:t>
            </w:r>
          </w:p>
          <w:p w14:paraId="7CC88D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p w14:paraId="34F598C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самолеты</w:t>
            </w:r>
          </w:p>
          <w:p w14:paraId="4CF26B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резерв</w:t>
            </w:r>
          </w:p>
        </w:tc>
        <w:tc>
          <w:tcPr>
            <w:tcW w:w="1914" w:type="dxa"/>
          </w:tcPr>
          <w:p w14:paraId="0B074E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2652A0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p w14:paraId="6E0A98F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w:t>
            </w:r>
          </w:p>
          <w:p w14:paraId="279C66E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6244D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p w14:paraId="29C0562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914" w:type="dxa"/>
          </w:tcPr>
          <w:p w14:paraId="52B592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AB670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w:t>
            </w:r>
          </w:p>
          <w:p w14:paraId="63FF99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p w14:paraId="5FAA3DC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10C4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w:t>
            </w:r>
          </w:p>
          <w:p w14:paraId="1B4967F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w:t>
            </w:r>
          </w:p>
        </w:tc>
        <w:tc>
          <w:tcPr>
            <w:tcW w:w="1914" w:type="dxa"/>
          </w:tcPr>
          <w:p w14:paraId="6A27570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243C7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791</w:t>
            </w:r>
          </w:p>
          <w:p w14:paraId="7D568AC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w:t>
            </w:r>
          </w:p>
          <w:p w14:paraId="7C17B27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4256D0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w:t>
            </w:r>
          </w:p>
          <w:p w14:paraId="1AD530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w:t>
            </w:r>
          </w:p>
        </w:tc>
        <w:tc>
          <w:tcPr>
            <w:tcW w:w="1487" w:type="dxa"/>
          </w:tcPr>
          <w:p w14:paraId="7FB8B24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B9C94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w:t>
            </w:r>
          </w:p>
          <w:p w14:paraId="70EB885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p w14:paraId="16DA16B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A5813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p w14:paraId="335AA03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r>
      <w:tr w:rsidR="004E10C1" w:rsidRPr="0044524F" w14:paraId="679757E2" w14:textId="77777777">
        <w:tc>
          <w:tcPr>
            <w:tcW w:w="1914" w:type="dxa"/>
          </w:tcPr>
          <w:p w14:paraId="3D22D1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914" w:type="dxa"/>
          </w:tcPr>
          <w:p w14:paraId="7BC05EC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самолеты</w:t>
            </w:r>
          </w:p>
          <w:p w14:paraId="1E00DC8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резерв</w:t>
            </w:r>
          </w:p>
        </w:tc>
        <w:tc>
          <w:tcPr>
            <w:tcW w:w="1914" w:type="dxa"/>
          </w:tcPr>
          <w:p w14:paraId="2219C2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4670</w:t>
            </w:r>
          </w:p>
          <w:p w14:paraId="513BE21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1430</w:t>
            </w:r>
          </w:p>
        </w:tc>
        <w:tc>
          <w:tcPr>
            <w:tcW w:w="1914" w:type="dxa"/>
          </w:tcPr>
          <w:p w14:paraId="015E463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3467</w:t>
            </w:r>
          </w:p>
          <w:p w14:paraId="18B91B2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824</w:t>
            </w:r>
          </w:p>
        </w:tc>
        <w:tc>
          <w:tcPr>
            <w:tcW w:w="1914" w:type="dxa"/>
          </w:tcPr>
          <w:p w14:paraId="1053793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8173</w:t>
            </w:r>
          </w:p>
          <w:p w14:paraId="6D5E14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710</w:t>
            </w:r>
          </w:p>
        </w:tc>
        <w:tc>
          <w:tcPr>
            <w:tcW w:w="1487" w:type="dxa"/>
          </w:tcPr>
          <w:p w14:paraId="4D3F88F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w:t>
            </w:r>
          </w:p>
          <w:p w14:paraId="197639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r>
    </w:tbl>
    <w:p w14:paraId="34136F90"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Количество сдаваемых в резерв моторов М-17 по дополнительному соглашению между ГУАПом и УВВС увеличено на 90 штук.</w:t>
      </w:r>
    </w:p>
    <w:p w14:paraId="68ABC7D1"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и завод № 1 устранить на самолетах И-7 все дефекты, довести серийные самолеты на заводе полностью до требований эталона и начать с 1 ноября серийный выпуск их.</w:t>
      </w:r>
    </w:p>
    <w:p w14:paraId="211D9B55"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в течение IV квартала 1933 года ликвидировать всю задолженность ВВС по запасным частям к самолетам и моторам, как в отношении групповых и одиночных комплектов, так и запасных частей снятой с производства продукции.</w:t>
      </w:r>
    </w:p>
    <w:p w14:paraId="07DCCFC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в кратчайший срок наладить работу подсобной группы заводов (№№ 22, 34 20, 28 и 33), подрывающих выполнение программы основных самолетостроительных и моторостроительных заводов из-за систематической неподачи: литья, радиаторов, колес, вооружения, винтов, масляных и бензиновых помп и др. изделий (4191, 55-68).</w:t>
      </w:r>
    </w:p>
    <w:p w14:paraId="3D1B5B6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770B23" w14:textId="77777777" w:rsidR="00162762" w:rsidRPr="0044524F" w:rsidRDefault="001627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г. письмом №МТС/007442 начальник ВВС Алкснис направил председателю РВС Ворошилову, зам. председателя РВС Гамарнику, зам. председателя РВС Тухачевскому доклад «О выполнении авиапромышленностью программы за 3 квартала 1933 года по самолетам, моторам и запчастям», в котором приведены несколько отличающиеся данные: подлежат сдаче за год 250 самолетов И-7, в т.ч. за первые 9 месяцев – 175, а фактически построено 45 (из них 30 находятся на заводе для замены хвостового оперения на усиленное) и 11 групповых комплектов средств наземного обслуживания (СНО) для них. Из недочетов по серийному производству на первом месте упомянут именно выпуск самолета И-7 на заводе №1. Тем же документом отмечены недостаточная прочность оперения самолета И-7 в исходном виде (случаи поломки повторяющиеся) и дефекты двигателей М-17:</w:t>
      </w:r>
    </w:p>
    <w:p w14:paraId="31F32711" w14:textId="77777777" w:rsidR="00162762" w:rsidRPr="0044524F" w:rsidRDefault="001627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еще частые явления на моторах М-17:</w:t>
      </w:r>
    </w:p>
    <w:p w14:paraId="582E797C" w14:textId="77777777" w:rsidR="00162762" w:rsidRPr="0044524F" w:rsidRDefault="001627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обрыв шпилек цилиндров;</w:t>
      </w:r>
    </w:p>
    <w:p w14:paraId="09F780BD" w14:textId="77777777" w:rsidR="00162762" w:rsidRPr="0044524F" w:rsidRDefault="001627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обрыв фланцев цилиндров;</w:t>
      </w:r>
    </w:p>
    <w:p w14:paraId="77127B58" w14:textId="77777777" w:rsidR="00162762" w:rsidRPr="0044524F" w:rsidRDefault="001627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износ верхних головок шатунов;</w:t>
      </w:r>
    </w:p>
    <w:p w14:paraId="1B12D103" w14:textId="77777777" w:rsidR="00162762" w:rsidRPr="0044524F" w:rsidRDefault="001627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люфт сцепления магнето;</w:t>
      </w:r>
    </w:p>
    <w:p w14:paraId="3BE92540" w14:textId="77777777" w:rsidR="00162762" w:rsidRPr="0044524F" w:rsidRDefault="001627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обрыв шпилек карбюратора (24331).</w:t>
      </w:r>
    </w:p>
    <w:p w14:paraId="7A46D4D3" w14:textId="77777777" w:rsidR="00162762" w:rsidRPr="0044524F" w:rsidRDefault="00162762" w:rsidP="009654CF">
      <w:pPr>
        <w:spacing w:after="0" w:line="240" w:lineRule="auto"/>
        <w:jc w:val="both"/>
        <w:rPr>
          <w:rFonts w:ascii="Times New Roman" w:hAnsi="Times New Roman"/>
          <w:color w:val="000000" w:themeColor="text1"/>
          <w:sz w:val="16"/>
          <w:szCs w:val="16"/>
        </w:rPr>
      </w:pPr>
    </w:p>
    <w:p w14:paraId="5D8E9060" w14:textId="77777777" w:rsidR="00CF276A" w:rsidRPr="0044524F" w:rsidRDefault="00CF276A"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 xml:space="preserve">8 октября </w:t>
      </w:r>
      <w:r w:rsidRPr="0044524F">
        <w:rPr>
          <w:rFonts w:ascii="Times New Roman" w:hAnsi="Times New Roman"/>
          <w:color w:val="000000" w:themeColor="text1"/>
          <w:sz w:val="16"/>
          <w:szCs w:val="16"/>
        </w:rPr>
        <w:t>в 1933 году совершил первый полет истребитель ОКБ Н.Н.Поликарпова И-15 "Чайка" (ЦКБ-3; летчик-испытатель В.П.Чкалов). Для того времени — самый маневренный в мире самолет, превосходивший лучшие зарубежные образцы. В ноябре 1935 г. летчик В.К.Коккинаки на специально облегченном ЦКБ-3 установил неофициальный мировой рекорд высоты полета —14 575 м</w:t>
      </w:r>
    </w:p>
    <w:p w14:paraId="4145ACC9" w14:textId="77777777" w:rsidR="00CF276A" w:rsidRPr="0044524F" w:rsidRDefault="00CF276A" w:rsidP="009654CF">
      <w:pPr>
        <w:spacing w:after="0" w:line="240" w:lineRule="auto"/>
        <w:jc w:val="both"/>
        <w:rPr>
          <w:rFonts w:ascii="Times New Roman" w:hAnsi="Times New Roman"/>
          <w:color w:val="000000" w:themeColor="text1"/>
          <w:sz w:val="16"/>
          <w:szCs w:val="16"/>
        </w:rPr>
      </w:pPr>
    </w:p>
    <w:p w14:paraId="1F4EFCB9" w14:textId="77777777" w:rsidR="00162762" w:rsidRPr="0044524F" w:rsidRDefault="0016276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г. на испытания выведен самолет И-15 (ЦКБ-3) конструкции Поликарпова, который открыл новую ветвь его проектов этого класса – она продолжалась вплоть до 1941 г. и завершила развитие истребителей-бипланов в СССР (23554).</w:t>
      </w:r>
    </w:p>
    <w:p w14:paraId="34421049" w14:textId="77777777" w:rsidR="00162762" w:rsidRPr="0044524F" w:rsidRDefault="00162762" w:rsidP="009654CF">
      <w:pPr>
        <w:spacing w:after="0" w:line="240" w:lineRule="auto"/>
        <w:jc w:val="both"/>
        <w:rPr>
          <w:rFonts w:ascii="Times New Roman" w:hAnsi="Times New Roman"/>
          <w:color w:val="000000" w:themeColor="text1"/>
          <w:sz w:val="16"/>
          <w:szCs w:val="16"/>
        </w:rPr>
      </w:pPr>
    </w:p>
    <w:p w14:paraId="290262C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летчики ГВФ А.С.Демченко закончил перелет из Италии на Дальний Восток на Савойе-55, начавшийся 28 июня (438,657).</w:t>
      </w:r>
    </w:p>
    <w:p w14:paraId="5B952CC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B3BD297" w14:textId="77777777" w:rsidR="000048D0" w:rsidRPr="0044524F" w:rsidRDefault="000048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г. летчик ГВФ Александр Степанович Демченко закончил перелет Сспастополь-Владивосток-Петропавловск на Камчатке, начатый 28-го июля. Перелет был совершен на летающей лодке Савойя-55, закупленной в Италии, с целью перегонки ее на дальний Восток. В Севастополь «Савойя» была доставлена из Италии также экипажем Демченко.</w:t>
      </w:r>
    </w:p>
    <w:p w14:paraId="410AF5FF" w14:textId="77777777" w:rsidR="000048D0" w:rsidRPr="0044524F" w:rsidRDefault="000048D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10 окт. 1933; "Грнжд.авиация», 1933 № 9/ (23370).</w:t>
      </w:r>
    </w:p>
    <w:p w14:paraId="5C8C1D50" w14:textId="77777777" w:rsidR="000048D0" w:rsidRPr="0044524F" w:rsidRDefault="000048D0" w:rsidP="009654CF">
      <w:pPr>
        <w:spacing w:after="0" w:line="240" w:lineRule="auto"/>
        <w:jc w:val="both"/>
        <w:rPr>
          <w:rFonts w:ascii="Times New Roman" w:hAnsi="Times New Roman"/>
          <w:color w:val="000000" w:themeColor="text1"/>
          <w:sz w:val="16"/>
          <w:szCs w:val="16"/>
        </w:rPr>
      </w:pPr>
    </w:p>
    <w:p w14:paraId="3FB096DA" w14:textId="77777777" w:rsidR="008D2E02" w:rsidRPr="0044524F" w:rsidRDefault="008D2E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опросом членов ПБ</w:t>
      </w:r>
    </w:p>
    <w:p w14:paraId="74980CEC" w14:textId="77777777" w:rsidR="008D2E02" w:rsidRPr="0044524F" w:rsidRDefault="008D2E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77/54,- О гелии</w:t>
      </w:r>
    </w:p>
    <w:p w14:paraId="0834B0E0" w14:textId="77777777" w:rsidR="008D2E02" w:rsidRPr="0044524F" w:rsidRDefault="008D2E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(ПБ от 13.1Х.ЗЗг., Пр. № 145, п.125/109).</w:t>
      </w:r>
    </w:p>
    <w:p w14:paraId="68722DA8" w14:textId="77777777" w:rsidR="008D2E02" w:rsidRPr="0044524F" w:rsidRDefault="008D2E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изменение постановления ПБ от 13.1Х.ЗЗ г. возложить ответственность за организацию работ по улавливанию гелия в скважине 103 (Артемовск) на т. Нестерова (Главгаз).</w:t>
      </w:r>
    </w:p>
    <w:p w14:paraId="7F4E6D47" w14:textId="77777777" w:rsidR="008D2E02" w:rsidRPr="0044524F" w:rsidRDefault="008D2E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Выписки_посланы: т.т. Пятакову, Нестерову.</w:t>
      </w:r>
    </w:p>
    <w:p w14:paraId="7EC34888" w14:textId="77777777" w:rsidR="008D2E02" w:rsidRPr="0044524F" w:rsidRDefault="008D2E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состоялось заседание ПБ и был оформлен протокол № 147 (22997).</w:t>
      </w:r>
    </w:p>
    <w:p w14:paraId="24C28078" w14:textId="77777777" w:rsidR="008D2E02" w:rsidRPr="0044524F" w:rsidRDefault="008D2E02" w:rsidP="009654CF">
      <w:pPr>
        <w:spacing w:after="0" w:line="240" w:lineRule="auto"/>
        <w:jc w:val="both"/>
        <w:rPr>
          <w:rFonts w:ascii="Times New Roman" w:hAnsi="Times New Roman"/>
          <w:color w:val="000000" w:themeColor="text1"/>
          <w:sz w:val="16"/>
          <w:szCs w:val="16"/>
        </w:rPr>
      </w:pPr>
    </w:p>
    <w:p w14:paraId="04E309F6"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501E309"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46F7A6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Не ранее 8 октября 1933 г. </w:t>
      </w:r>
      <w:r w:rsidR="000656DA" w:rsidRPr="0044524F">
        <w:rPr>
          <w:rFonts w:ascii="Times New Roman" w:hAnsi="Times New Roman"/>
          <w:color w:val="000000" w:themeColor="text1"/>
          <w:sz w:val="16"/>
          <w:szCs w:val="16"/>
        </w:rPr>
        <w:fldChar w:fldCharType="begin"/>
      </w:r>
      <w:r w:rsidR="000656DA" w:rsidRPr="0044524F">
        <w:rPr>
          <w:rFonts w:ascii="Times New Roman" w:hAnsi="Times New Roman"/>
          <w:color w:val="000000" w:themeColor="text1"/>
          <w:sz w:val="16"/>
          <w:szCs w:val="16"/>
        </w:rPr>
        <w:instrText xml:space="preserve">ref HYPERLINK  \l "_edn2" \* MERGEFORMAT </w:instrText>
      </w:r>
      <w:r w:rsidR="000656DA"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u w:val="single"/>
        </w:rPr>
        <w:t>[2]</w:t>
      </w:r>
      <w:r w:rsidR="000656DA" w:rsidRPr="0044524F">
        <w:rPr>
          <w:rFonts w:ascii="Times New Roman" w:hAnsi="Times New Roman"/>
          <w:color w:val="000000" w:themeColor="text1"/>
          <w:sz w:val="16"/>
          <w:szCs w:val="16"/>
          <w:u w:val="single"/>
        </w:rPr>
        <w:fldChar w:fldCharType="end"/>
      </w:r>
      <w:r w:rsidRPr="0044524F">
        <w:rPr>
          <w:rFonts w:ascii="Times New Roman" w:hAnsi="Times New Roman"/>
          <w:color w:val="000000" w:themeColor="text1"/>
          <w:sz w:val="16"/>
          <w:szCs w:val="16"/>
        </w:rPr>
        <w:t xml:space="preserve"> Из отчета дирекции, парткома и завкома Московского автомобильного завода им. Сталина об участии завода во Всесоюзном конкурсе по освоению техники </w:t>
      </w:r>
      <w:r w:rsidRPr="0044524F">
        <w:rPr>
          <w:rFonts w:ascii="Times New Roman" w:hAnsi="Times New Roman"/>
          <w:color w:val="000000" w:themeColor="text1"/>
          <w:sz w:val="16"/>
          <w:szCs w:val="16"/>
          <w:vertAlign w:val="superscript"/>
        </w:rPr>
        <w:t>16</w:t>
      </w:r>
    </w:p>
    <w:p w14:paraId="43B6B83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Не ранее 8 октября 1933 г. </w:t>
      </w:r>
      <w:r w:rsidR="000656DA" w:rsidRPr="0044524F">
        <w:rPr>
          <w:rFonts w:ascii="Times New Roman" w:hAnsi="Times New Roman"/>
          <w:color w:val="000000" w:themeColor="text1"/>
          <w:sz w:val="16"/>
          <w:szCs w:val="16"/>
        </w:rPr>
        <w:fldChar w:fldCharType="begin"/>
      </w:r>
      <w:r w:rsidR="000656DA" w:rsidRPr="0044524F">
        <w:rPr>
          <w:rFonts w:ascii="Times New Roman" w:hAnsi="Times New Roman"/>
          <w:color w:val="000000" w:themeColor="text1"/>
          <w:sz w:val="16"/>
          <w:szCs w:val="16"/>
        </w:rPr>
        <w:instrText xml:space="preserve">ref HYPERLINK  \l "_edn2" \* MERGEFORMAT </w:instrText>
      </w:r>
      <w:r w:rsidR="000656DA"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u w:val="single"/>
        </w:rPr>
        <w:t>[2]</w:t>
      </w:r>
      <w:r w:rsidR="000656DA" w:rsidRPr="0044524F">
        <w:rPr>
          <w:rFonts w:ascii="Times New Roman" w:hAnsi="Times New Roman"/>
          <w:color w:val="000000" w:themeColor="text1"/>
          <w:sz w:val="16"/>
          <w:szCs w:val="16"/>
          <w:u w:val="single"/>
        </w:rPr>
        <w:fldChar w:fldCharType="end"/>
      </w:r>
    </w:p>
    <w:p w14:paraId="53C64C8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Показатели итогов конкурса </w:t>
      </w:r>
    </w:p>
    <w:p w14:paraId="7971DCFB" w14:textId="77777777" w:rsidR="001F72EB" w:rsidRPr="0044524F" w:rsidRDefault="000656DA"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ref HYPERLINK  \l "_edn3" \* MERGEFORMAT </w:instrText>
      </w:r>
      <w:r w:rsidRPr="0044524F">
        <w:rPr>
          <w:rFonts w:ascii="Times New Roman" w:hAnsi="Times New Roman"/>
          <w:color w:val="000000" w:themeColor="text1"/>
          <w:sz w:val="16"/>
          <w:szCs w:val="16"/>
        </w:rPr>
        <w:fldChar w:fldCharType="separate"/>
      </w:r>
      <w:r w:rsidR="001F72EB" w:rsidRPr="0044524F">
        <w:rPr>
          <w:rFonts w:ascii="Times New Roman" w:hAnsi="Times New Roman"/>
          <w:color w:val="000000" w:themeColor="text1"/>
          <w:sz w:val="16"/>
          <w:szCs w:val="16"/>
          <w:u w:val="single"/>
        </w:rPr>
        <w:t>[3]</w:t>
      </w:r>
      <w:r w:rsidRPr="0044524F">
        <w:rPr>
          <w:rFonts w:ascii="Times New Roman" w:hAnsi="Times New Roman"/>
          <w:color w:val="000000" w:themeColor="text1"/>
          <w:sz w:val="16"/>
          <w:szCs w:val="16"/>
          <w:u w:val="single"/>
        </w:rPr>
        <w:fldChar w:fldCharType="end"/>
      </w:r>
      <w:r w:rsidR="001F72EB" w:rsidRPr="0044524F">
        <w:rPr>
          <w:rFonts w:ascii="Times New Roman" w:hAnsi="Times New Roman"/>
          <w:color w:val="000000" w:themeColor="text1"/>
          <w:sz w:val="16"/>
          <w:szCs w:val="16"/>
        </w:rPr>
        <w:t xml:space="preserve">... Освоение техники и создание постоянных, квалифицированных кадров рабочих дало возможность решительно внедрить прямую неограниченную сдельщину — процент сдельных работ увеличился с 42 при пуске завода до 57,6 в среднем за 1932 г. и 65 — в июле 1933 г. </w:t>
      </w:r>
    </w:p>
    <w:p w14:paraId="20378D8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Внедрение сдельщины, улучшение организации труда обеспечили резкое снижение нормы на производство ЗИС-3.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24"/>
        <w:gridCol w:w="768"/>
        <w:gridCol w:w="576"/>
      </w:tblGrid>
      <w:tr w:rsidR="004E10C1" w:rsidRPr="0044524F" w14:paraId="5EF93339" w14:textId="77777777">
        <w:tc>
          <w:tcPr>
            <w:tcW w:w="4224" w:type="dxa"/>
            <w:tcBorders>
              <w:top w:val="single" w:sz="12" w:space="0" w:color="auto"/>
            </w:tcBorders>
          </w:tcPr>
          <w:p w14:paraId="0E3C85A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квартал 1931 г</w:t>
            </w:r>
          </w:p>
        </w:tc>
        <w:tc>
          <w:tcPr>
            <w:tcW w:w="768" w:type="dxa"/>
            <w:tcBorders>
              <w:top w:val="single" w:sz="12" w:space="0" w:color="auto"/>
            </w:tcBorders>
          </w:tcPr>
          <w:p w14:paraId="42E1025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—479</w:t>
            </w:r>
          </w:p>
        </w:tc>
        <w:tc>
          <w:tcPr>
            <w:tcW w:w="576" w:type="dxa"/>
            <w:tcBorders>
              <w:top w:val="single" w:sz="12" w:space="0" w:color="auto"/>
            </w:tcBorders>
          </w:tcPr>
          <w:p w14:paraId="4D23517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r w:rsidR="004E10C1" w:rsidRPr="0044524F" w14:paraId="1F636C6A" w14:textId="77777777">
        <w:tc>
          <w:tcPr>
            <w:tcW w:w="4224" w:type="dxa"/>
          </w:tcPr>
          <w:p w14:paraId="192EE84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полугодие 1932 г</w:t>
            </w:r>
          </w:p>
        </w:tc>
        <w:tc>
          <w:tcPr>
            <w:tcW w:w="768" w:type="dxa"/>
          </w:tcPr>
          <w:p w14:paraId="3790B13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—406</w:t>
            </w:r>
          </w:p>
        </w:tc>
        <w:tc>
          <w:tcPr>
            <w:tcW w:w="576" w:type="dxa"/>
          </w:tcPr>
          <w:p w14:paraId="44EBA69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r w:rsidR="004E10C1" w:rsidRPr="0044524F" w14:paraId="30C7FB46" w14:textId="77777777">
        <w:tc>
          <w:tcPr>
            <w:tcW w:w="4224" w:type="dxa"/>
          </w:tcPr>
          <w:p w14:paraId="4442EBC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полугодие 1932 г.</w:t>
            </w:r>
          </w:p>
        </w:tc>
        <w:tc>
          <w:tcPr>
            <w:tcW w:w="768" w:type="dxa"/>
          </w:tcPr>
          <w:p w14:paraId="565B55B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—364</w:t>
            </w:r>
          </w:p>
        </w:tc>
        <w:tc>
          <w:tcPr>
            <w:tcW w:w="576" w:type="dxa"/>
          </w:tcPr>
          <w:p w14:paraId="08F4C22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r w:rsidR="004E10C1" w:rsidRPr="0044524F" w14:paraId="49489FA1" w14:textId="77777777">
        <w:tc>
          <w:tcPr>
            <w:tcW w:w="4224" w:type="dxa"/>
          </w:tcPr>
          <w:p w14:paraId="02FF885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 1933 г.</w:t>
            </w:r>
          </w:p>
        </w:tc>
        <w:tc>
          <w:tcPr>
            <w:tcW w:w="768" w:type="dxa"/>
          </w:tcPr>
          <w:p w14:paraId="201F531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—319</w:t>
            </w:r>
          </w:p>
        </w:tc>
        <w:tc>
          <w:tcPr>
            <w:tcW w:w="576" w:type="dxa"/>
          </w:tcPr>
          <w:p w14:paraId="6CC47EF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r w:rsidR="004E10C1" w:rsidRPr="0044524F" w14:paraId="4EBB1366" w14:textId="77777777">
        <w:tc>
          <w:tcPr>
            <w:tcW w:w="4224" w:type="dxa"/>
          </w:tcPr>
          <w:p w14:paraId="0220B6B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квартал 1933 г.</w:t>
            </w:r>
          </w:p>
        </w:tc>
        <w:tc>
          <w:tcPr>
            <w:tcW w:w="768" w:type="dxa"/>
          </w:tcPr>
          <w:p w14:paraId="3C0F1C9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w:t>
            </w:r>
          </w:p>
        </w:tc>
        <w:tc>
          <w:tcPr>
            <w:tcW w:w="576" w:type="dxa"/>
          </w:tcPr>
          <w:p w14:paraId="2AC7D17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r w:rsidR="004E10C1" w:rsidRPr="0044524F" w14:paraId="648E5637" w14:textId="77777777">
        <w:tc>
          <w:tcPr>
            <w:tcW w:w="4224" w:type="dxa"/>
            <w:tcBorders>
              <w:bottom w:val="single" w:sz="12" w:space="0" w:color="auto"/>
            </w:tcBorders>
          </w:tcPr>
          <w:p w14:paraId="79E41C1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15 сентября 1933 г.</w:t>
            </w:r>
          </w:p>
        </w:tc>
        <w:tc>
          <w:tcPr>
            <w:tcW w:w="768" w:type="dxa"/>
            <w:tcBorders>
              <w:bottom w:val="single" w:sz="12" w:space="0" w:color="auto"/>
            </w:tcBorders>
          </w:tcPr>
          <w:p w14:paraId="3F16E87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—284</w:t>
            </w:r>
          </w:p>
        </w:tc>
        <w:tc>
          <w:tcPr>
            <w:tcW w:w="576" w:type="dxa"/>
            <w:tcBorders>
              <w:bottom w:val="single" w:sz="12" w:space="0" w:color="auto"/>
            </w:tcBorders>
          </w:tcPr>
          <w:p w14:paraId="6CDFE62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bl>
    <w:p w14:paraId="438E5E3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Рассматривая техническое нормирование как основной рычаг поднятия производительности труда, завод в 1933 г. начал внедрять технически обоснованные нормы выработки. Уже внедрено 6585 норм, что дало экономии 30 час. на машину и повлекло значительное увеличение выработки. Так, например, в литейной ковкого чугуна до внедрения технически обоснованных норм картеров диффера делалось 100 шт. в смену, после внедрения — 185 шт. в смену; задний мост — 130 шт. вместо 70 шт.; тормозные колодки — 220 шт. вместо 100 шт.; результатом явилось значительное перекрытие американских норм.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50"/>
        <w:gridCol w:w="2637"/>
        <w:gridCol w:w="3071"/>
      </w:tblGrid>
      <w:tr w:rsidR="004E10C1" w:rsidRPr="0044524F" w14:paraId="45AE1678" w14:textId="77777777">
        <w:tc>
          <w:tcPr>
            <w:tcW w:w="3650" w:type="dxa"/>
            <w:tcBorders>
              <w:top w:val="single" w:sz="12" w:space="0" w:color="auto"/>
            </w:tcBorders>
          </w:tcPr>
          <w:p w14:paraId="47C11C7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637" w:type="dxa"/>
            <w:tcBorders>
              <w:top w:val="single" w:sz="12" w:space="0" w:color="auto"/>
            </w:tcBorders>
          </w:tcPr>
          <w:p w14:paraId="566E4C8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Американская норма</w:t>
            </w:r>
          </w:p>
        </w:tc>
        <w:tc>
          <w:tcPr>
            <w:tcW w:w="3071" w:type="dxa"/>
            <w:tcBorders>
              <w:top w:val="single" w:sz="12" w:space="0" w:color="auto"/>
            </w:tcBorders>
          </w:tcPr>
          <w:p w14:paraId="607A0F6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Фактическая выработка</w:t>
            </w:r>
          </w:p>
        </w:tc>
      </w:tr>
      <w:tr w:rsidR="004E10C1" w:rsidRPr="0044524F" w14:paraId="6F9E76D9" w14:textId="77777777">
        <w:tc>
          <w:tcPr>
            <w:tcW w:w="3650" w:type="dxa"/>
          </w:tcPr>
          <w:p w14:paraId="42A0E5F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Блок цилиндров (формовки)</w:t>
            </w:r>
          </w:p>
        </w:tc>
        <w:tc>
          <w:tcPr>
            <w:tcW w:w="2637" w:type="dxa"/>
          </w:tcPr>
          <w:p w14:paraId="31A21B0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tc>
        <w:tc>
          <w:tcPr>
            <w:tcW w:w="3071" w:type="dxa"/>
          </w:tcPr>
          <w:p w14:paraId="32F4AD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w:t>
            </w:r>
          </w:p>
        </w:tc>
      </w:tr>
      <w:tr w:rsidR="004E10C1" w:rsidRPr="0044524F" w14:paraId="398D724D" w14:textId="77777777">
        <w:tc>
          <w:tcPr>
            <w:tcW w:w="3650" w:type="dxa"/>
          </w:tcPr>
          <w:p w14:paraId="2D42617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Картер заднего моста</w:t>
            </w:r>
          </w:p>
        </w:tc>
        <w:tc>
          <w:tcPr>
            <w:tcW w:w="2637" w:type="dxa"/>
          </w:tcPr>
          <w:p w14:paraId="66A1C4C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w:t>
            </w:r>
          </w:p>
        </w:tc>
        <w:tc>
          <w:tcPr>
            <w:tcW w:w="3071" w:type="dxa"/>
          </w:tcPr>
          <w:p w14:paraId="670803F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w:t>
            </w:r>
          </w:p>
        </w:tc>
      </w:tr>
      <w:tr w:rsidR="004E10C1" w:rsidRPr="0044524F" w14:paraId="50527C12" w14:textId="77777777">
        <w:tc>
          <w:tcPr>
            <w:tcW w:w="3650" w:type="dxa"/>
          </w:tcPr>
          <w:p w14:paraId="0266BDB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Передняя ось (штамповки)</w:t>
            </w:r>
          </w:p>
        </w:tc>
        <w:tc>
          <w:tcPr>
            <w:tcW w:w="2637" w:type="dxa"/>
          </w:tcPr>
          <w:p w14:paraId="3A88720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3071" w:type="dxa"/>
          </w:tcPr>
          <w:p w14:paraId="1F8BC6B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r>
      <w:tr w:rsidR="004E10C1" w:rsidRPr="0044524F" w14:paraId="669A4B48" w14:textId="77777777">
        <w:tc>
          <w:tcPr>
            <w:tcW w:w="3650" w:type="dxa"/>
          </w:tcPr>
          <w:p w14:paraId="076E9D7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Шатун</w:t>
            </w:r>
          </w:p>
        </w:tc>
        <w:tc>
          <w:tcPr>
            <w:tcW w:w="2637" w:type="dxa"/>
          </w:tcPr>
          <w:p w14:paraId="399C0A1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3071" w:type="dxa"/>
          </w:tcPr>
          <w:p w14:paraId="323CEE9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1190</w:t>
            </w:r>
          </w:p>
        </w:tc>
      </w:tr>
      <w:tr w:rsidR="004E10C1" w:rsidRPr="0044524F" w14:paraId="40B28B22" w14:textId="77777777">
        <w:tc>
          <w:tcPr>
            <w:tcW w:w="3650" w:type="dxa"/>
            <w:tcBorders>
              <w:bottom w:val="single" w:sz="12" w:space="0" w:color="auto"/>
            </w:tcBorders>
          </w:tcPr>
          <w:p w14:paraId="4846F1F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Поворотный кулак</w:t>
            </w:r>
          </w:p>
        </w:tc>
        <w:tc>
          <w:tcPr>
            <w:tcW w:w="2637" w:type="dxa"/>
            <w:tcBorders>
              <w:bottom w:val="single" w:sz="12" w:space="0" w:color="auto"/>
            </w:tcBorders>
          </w:tcPr>
          <w:p w14:paraId="64BE087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3071" w:type="dxa"/>
            <w:tcBorders>
              <w:bottom w:val="single" w:sz="12" w:space="0" w:color="auto"/>
            </w:tcBorders>
          </w:tcPr>
          <w:p w14:paraId="6956C43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355</w:t>
            </w:r>
          </w:p>
        </w:tc>
      </w:tr>
    </w:tbl>
    <w:p w14:paraId="1C907BA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итоге производительность труда по заводу возрастает из месяца в месяц. Среднемесячная выработка одного рабочего (в руб.): 1932 г. — 1117, I квартал 1933 г.— 1462, II квартал 1933 г. — 1531, июль 1933 г.— 1557. Таким образом, в июле 1933 г. производительность труда составляет 140% против 1932 г. </w:t>
      </w:r>
    </w:p>
    <w:p w14:paraId="6DE5A45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Наряду с работой по повышению производительности труда завод вел усиленную борьбу за повышение качества продукции, за снижение брака. Количество дефектных машин по рекламациям уменьшилось с 533 в первой выпущенной тысяче машин, находящихся 6 месяцев в эксплуатации, до 42 в 17-й тысяче выпущенных машин. Брак по заводу снизился с 7,83% в 1932 г. до 6,66% в I квартале 1933 г., 5,66% — во II квартале 1933 г. и 5,32% — в июле. Снижение брака достигнуто </w:t>
      </w:r>
      <w:r w:rsidRPr="0044524F">
        <w:rPr>
          <w:rFonts w:ascii="Times New Roman" w:hAnsi="Times New Roman"/>
          <w:color w:val="000000" w:themeColor="text1"/>
          <w:sz w:val="16"/>
          <w:szCs w:val="16"/>
        </w:rPr>
        <w:lastRenderedPageBreak/>
        <w:t xml:space="preserve">благодаря упорной борьбе одних цехов при слабой мобилизации других: если по литейной ковкого чугуна брак снизился с 22,7% в 1932 г. до 10,5% в июле 1933 г., по механосборочному — соответственно с 3,4 до 2%, то по литейной серого чугуна брак составляет 28% в 1932 г., 28,4% — во II квартале 1933 г., 26,5% — в июле. В убытках, которые несет завод от брака, существенное место занимают наши смежники, поставляющие зачастую недоброкачественные материалы и изделия. </w:t>
      </w:r>
    </w:p>
    <w:p w14:paraId="1DDF820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июне на заводе была созвана конференция по качеству автомобиля с привлечением на нее смежных производств, на которой был предъявлен социалистический счет смежникам и приняты обязательства по борьбе с браком коллективом завода. </w:t>
      </w:r>
    </w:p>
    <w:p w14:paraId="228C960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Таким образом, задача дальнейшей напряженной работы по снижению брака стоит в центре внимания ближайшего периода работы завода. </w:t>
      </w:r>
    </w:p>
    <w:p w14:paraId="0664163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Успешно закончившийся Кара-Кумский пробег показал высокое качество выпускаемых нами машин, способных нести свою службу в разнообразных дорожных условиях Союза. </w:t>
      </w:r>
    </w:p>
    <w:p w14:paraId="48B5BC2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Рост производительности труда, улучшение качества продукции, снижение брака обеспечивались не только борьбой за овладение техникой производственного процесса, но и большой работой по внедрению хозрасчета. </w:t>
      </w:r>
    </w:p>
    <w:p w14:paraId="7F004BD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Введенная в практику система жесткого финансового контроля рублем, закрытия кредитов в случае прорывов, выдачи им ссуд только под определенные обязательства, изъятия излишка средств у цехов, а также - распределение премий в зависимости от результатов хозяйственной деятельности цехов значительно оздоровили финансовое состояние отделов и усилили борьбу за выполнение качественных показателей плана. Ведется строгий ежедневный контроль за состоянием расчетных счетов отделов (цехов), и на основе этого принимаются оперативные меры по ликвидации узких мест. В результате на 21 сентября с.г. нет ни одного отдела, имеющего дебетовое сальдо, т.е. работающего на чужие средства. </w:t>
      </w:r>
    </w:p>
    <w:p w14:paraId="496AFE0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Усиление контроля рублем способствовало уменьшению мертвого капитала, снижению за последний квартал незавершен­ного производства больше, чем на 2 млн. руб. </w:t>
      </w:r>
    </w:p>
    <w:p w14:paraId="28A03AE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Освоение технологического процесса, рост производительности труда, развернутая рационализаторская и изобретательская работа, экономия металла и замена цветных металлов черными, внедрение хозрасчета и усиление партийно-массовой работы дали возможность достичь значительных результатов в борьбе за один из основных качественных показателей — снижение себестоимости. </w:t>
      </w:r>
    </w:p>
    <w:p w14:paraId="2601243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Себестоимость автомобиля неуклонно, из месяца в месяц снижалась. Если в IV квартале 1931 г. машина стоила 11 258 руб., то в среднем за 1932 г. она дошла до 5658 руб., а в августе 1933 г. была снижена до 4755 руб. без учета удорожания от замены импорта советскими изделиями и 4868 руб. с учетом удорожания импорта, в то время как за границей 2,5-тонный автокар стоит 2300 долларов, или примерно 4600 золотых руб. Этому снижению способствовала большая работа, проведенная по линии экономии и замены материалов. Целый ряд деталей был переведен с цветных металлов на чугунное литье, ряд деталей изготовляется из гладкотянутой стали вместо латуни. Экономия металла достигалась вследствие изменения технологического процесса; так, например, применением холодной высадки болтов, профильного волочения. Наконец, немалое значение имело все увеличивающееся использование отходов, высечек и обрезов. В результате расход металла на одну машину снижается с 1827 кг в IV квартале 1931 г. до 1713 кг в I квартале 1933 г. Расход стали уменьшается с 1704 кг в I квартале 1933 г. до 1604 кг во II квартале. Потребление цветных металлов на одну машину снизилось с 36,5 кг в I квартале 1932 г. до 27,8 кг в I квартале 1933 г. </w:t>
      </w:r>
    </w:p>
    <w:p w14:paraId="14D5FE9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результате снижения себестоимости как против отчетных данных за прошлые периоды, так и против плана завод сумел только за 1932 г. создать 5800 тыс. руб. экономии, из которых свыше 1 млн. было обращено на улучшение снабжения и питания рабочих. </w:t>
      </w:r>
    </w:p>
    <w:p w14:paraId="709570D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Наряду с мероприятиями, позволяющими снизить себестоимость машины, завод проводил большую работу, не отражавшуюся непосредственно на себестоимости, но имеющую огромное народнохозяйственное значение, завод освобождался от импорта. Так, например, была произведена замена никелевых и хромоникелевых сталей кремнистыми, замена импортного феррофосфора в шихте апатитонефелиновой рудой и т.д. </w:t>
      </w:r>
    </w:p>
    <w:p w14:paraId="30172E4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Ведя борьбу за качественные показатели, завод уделял большое внимание вопросам организации управления, планирования и учета. На основе решений ЦК партии о Донбассе заводом проведена большая реорганизация системы управления с целью значительного упрощения работы и усиления оперативного руководства. Упразднено и сокращено 38 отделов и бюро; в связи с проведенным укрупнением цехов сокращено 28 цехов. Пересмотрена вся система отчетности, упразднена 101 форма, упрощено 59 форм. Сокращена система внутризаводского промфинплана с 33 до 12 форм. </w:t>
      </w:r>
    </w:p>
    <w:p w14:paraId="0457B7A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результате проведенной работы сокращено У8 человек счетно-конторского персонала. </w:t>
      </w:r>
    </w:p>
    <w:p w14:paraId="342D7BA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Произведенная перестройка требует дальнейшего углубления и сосредоточения особого внимания на вопросах еще большего упрощения отчетности и усиления оперативного руководства. </w:t>
      </w:r>
      <w:r w:rsidR="000656DA" w:rsidRPr="0044524F">
        <w:rPr>
          <w:rFonts w:ascii="Times New Roman" w:hAnsi="Times New Roman"/>
          <w:color w:val="000000" w:themeColor="text1"/>
          <w:sz w:val="16"/>
          <w:szCs w:val="16"/>
        </w:rPr>
        <w:fldChar w:fldCharType="begin"/>
      </w:r>
      <w:r w:rsidR="000656DA" w:rsidRPr="0044524F">
        <w:rPr>
          <w:rFonts w:ascii="Times New Roman" w:hAnsi="Times New Roman"/>
          <w:color w:val="000000" w:themeColor="text1"/>
          <w:sz w:val="16"/>
          <w:szCs w:val="16"/>
        </w:rPr>
        <w:instrText xml:space="preserve">ref HYPERLINK  \l "_edn4" \* MERGEFORMAT </w:instrText>
      </w:r>
      <w:r w:rsidR="000656DA"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u w:val="single"/>
        </w:rPr>
        <w:t>[4]</w:t>
      </w:r>
      <w:r w:rsidR="000656DA" w:rsidRPr="0044524F">
        <w:rPr>
          <w:rFonts w:ascii="Times New Roman" w:hAnsi="Times New Roman"/>
          <w:color w:val="000000" w:themeColor="text1"/>
          <w:sz w:val="16"/>
          <w:szCs w:val="16"/>
          <w:u w:val="single"/>
        </w:rPr>
        <w:fldChar w:fldCharType="end"/>
      </w:r>
    </w:p>
    <w:p w14:paraId="4FED846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Директор завода Лихачев Секретарь парткома Тарасов Председатель завкома Ойцев Председатель конкурсной комиссии Голяев </w:t>
      </w:r>
    </w:p>
    <w:p w14:paraId="65FDD30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ЦГАНХ СССР, ф. 7622, on. 1, д. 59, лл. 8—13. Заверенная копия (12053).</w:t>
      </w:r>
    </w:p>
    <w:p w14:paraId="5595FC2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5F63B20"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Ранее 8 октября 1933 г. из отчета дирекции, парткома и завкома Московского автомобильного завода им. Сталина об участии завода во Всесоюзном конкурсе по освоению техники</w:t>
      </w:r>
    </w:p>
    <w:p w14:paraId="02474339"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сдельщины, улучшение организации труда обеспечили резкое снижение нормы на производство ЗИС-3.</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4"/>
        <w:gridCol w:w="430"/>
        <w:gridCol w:w="268"/>
      </w:tblGrid>
      <w:tr w:rsidR="004E10C1" w:rsidRPr="0044524F" w14:paraId="36C375BF" w14:textId="77777777" w:rsidTr="00DC292A">
        <w:trPr>
          <w:tblCellSpacing w:w="15" w:type="dxa"/>
        </w:trPr>
        <w:tc>
          <w:tcPr>
            <w:tcW w:w="0" w:type="auto"/>
            <w:tcMar>
              <w:top w:w="0" w:type="dxa"/>
              <w:left w:w="0" w:type="dxa"/>
              <w:bottom w:w="0" w:type="dxa"/>
              <w:right w:w="0" w:type="dxa"/>
            </w:tcMar>
            <w:vAlign w:val="center"/>
            <w:hideMark/>
          </w:tcPr>
          <w:p w14:paraId="02EA9A48"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квартал 1931 г</w:t>
            </w:r>
          </w:p>
        </w:tc>
        <w:tc>
          <w:tcPr>
            <w:tcW w:w="0" w:type="auto"/>
            <w:tcMar>
              <w:top w:w="0" w:type="dxa"/>
              <w:left w:w="0" w:type="dxa"/>
              <w:bottom w:w="0" w:type="dxa"/>
              <w:right w:w="0" w:type="dxa"/>
            </w:tcMar>
            <w:vAlign w:val="center"/>
            <w:hideMark/>
          </w:tcPr>
          <w:p w14:paraId="7D2D74F3"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—479</w:t>
            </w:r>
          </w:p>
        </w:tc>
        <w:tc>
          <w:tcPr>
            <w:tcW w:w="0" w:type="auto"/>
            <w:tcMar>
              <w:top w:w="0" w:type="dxa"/>
              <w:left w:w="0" w:type="dxa"/>
              <w:bottom w:w="0" w:type="dxa"/>
              <w:right w:w="0" w:type="dxa"/>
            </w:tcMar>
            <w:vAlign w:val="center"/>
            <w:hideMark/>
          </w:tcPr>
          <w:p w14:paraId="53EC9957"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r w:rsidR="004E10C1" w:rsidRPr="0044524F" w14:paraId="0401387D" w14:textId="77777777" w:rsidTr="00DC292A">
        <w:trPr>
          <w:tblCellSpacing w:w="15" w:type="dxa"/>
        </w:trPr>
        <w:tc>
          <w:tcPr>
            <w:tcW w:w="0" w:type="auto"/>
            <w:tcMar>
              <w:top w:w="0" w:type="dxa"/>
              <w:left w:w="0" w:type="dxa"/>
              <w:bottom w:w="0" w:type="dxa"/>
              <w:right w:w="0" w:type="dxa"/>
            </w:tcMar>
            <w:vAlign w:val="center"/>
            <w:hideMark/>
          </w:tcPr>
          <w:p w14:paraId="038903BF"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полугодие 1932 г</w:t>
            </w:r>
          </w:p>
        </w:tc>
        <w:tc>
          <w:tcPr>
            <w:tcW w:w="0" w:type="auto"/>
            <w:tcMar>
              <w:top w:w="0" w:type="dxa"/>
              <w:left w:w="0" w:type="dxa"/>
              <w:bottom w:w="0" w:type="dxa"/>
              <w:right w:w="0" w:type="dxa"/>
            </w:tcMar>
            <w:vAlign w:val="center"/>
            <w:hideMark/>
          </w:tcPr>
          <w:p w14:paraId="3A616452"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—406</w:t>
            </w:r>
          </w:p>
        </w:tc>
        <w:tc>
          <w:tcPr>
            <w:tcW w:w="0" w:type="auto"/>
            <w:tcMar>
              <w:top w:w="0" w:type="dxa"/>
              <w:left w:w="0" w:type="dxa"/>
              <w:bottom w:w="0" w:type="dxa"/>
              <w:right w:w="0" w:type="dxa"/>
            </w:tcMar>
            <w:vAlign w:val="center"/>
            <w:hideMark/>
          </w:tcPr>
          <w:p w14:paraId="45525E87"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r w:rsidR="004E10C1" w:rsidRPr="0044524F" w14:paraId="0D2B6367" w14:textId="77777777" w:rsidTr="00DC292A">
        <w:trPr>
          <w:tblCellSpacing w:w="15" w:type="dxa"/>
        </w:trPr>
        <w:tc>
          <w:tcPr>
            <w:tcW w:w="0" w:type="auto"/>
            <w:tcMar>
              <w:top w:w="0" w:type="dxa"/>
              <w:left w:w="0" w:type="dxa"/>
              <w:bottom w:w="0" w:type="dxa"/>
              <w:right w:w="0" w:type="dxa"/>
            </w:tcMar>
            <w:vAlign w:val="center"/>
            <w:hideMark/>
          </w:tcPr>
          <w:p w14:paraId="3DE0C5EA"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полугодие 1932 г.</w:t>
            </w:r>
          </w:p>
        </w:tc>
        <w:tc>
          <w:tcPr>
            <w:tcW w:w="0" w:type="auto"/>
            <w:tcMar>
              <w:top w:w="0" w:type="dxa"/>
              <w:left w:w="0" w:type="dxa"/>
              <w:bottom w:w="0" w:type="dxa"/>
              <w:right w:w="0" w:type="dxa"/>
            </w:tcMar>
            <w:vAlign w:val="center"/>
            <w:hideMark/>
          </w:tcPr>
          <w:p w14:paraId="731565D1"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—364</w:t>
            </w:r>
          </w:p>
        </w:tc>
        <w:tc>
          <w:tcPr>
            <w:tcW w:w="0" w:type="auto"/>
            <w:tcMar>
              <w:top w:w="0" w:type="dxa"/>
              <w:left w:w="0" w:type="dxa"/>
              <w:bottom w:w="0" w:type="dxa"/>
              <w:right w:w="0" w:type="dxa"/>
            </w:tcMar>
            <w:vAlign w:val="center"/>
            <w:hideMark/>
          </w:tcPr>
          <w:p w14:paraId="16EFEB87"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r w:rsidR="004E10C1" w:rsidRPr="0044524F" w14:paraId="4774C307" w14:textId="77777777" w:rsidTr="00DC292A">
        <w:trPr>
          <w:tblCellSpacing w:w="15" w:type="dxa"/>
        </w:trPr>
        <w:tc>
          <w:tcPr>
            <w:tcW w:w="0" w:type="auto"/>
            <w:tcMar>
              <w:top w:w="0" w:type="dxa"/>
              <w:left w:w="0" w:type="dxa"/>
              <w:bottom w:w="0" w:type="dxa"/>
              <w:right w:w="0" w:type="dxa"/>
            </w:tcMar>
            <w:vAlign w:val="center"/>
            <w:hideMark/>
          </w:tcPr>
          <w:p w14:paraId="54911339"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квартал 1933 г.</w:t>
            </w:r>
          </w:p>
        </w:tc>
        <w:tc>
          <w:tcPr>
            <w:tcW w:w="0" w:type="auto"/>
            <w:tcMar>
              <w:top w:w="0" w:type="dxa"/>
              <w:left w:w="0" w:type="dxa"/>
              <w:bottom w:w="0" w:type="dxa"/>
              <w:right w:w="0" w:type="dxa"/>
            </w:tcMar>
            <w:vAlign w:val="center"/>
            <w:hideMark/>
          </w:tcPr>
          <w:p w14:paraId="5C9B635F"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—319</w:t>
            </w:r>
          </w:p>
        </w:tc>
        <w:tc>
          <w:tcPr>
            <w:tcW w:w="0" w:type="auto"/>
            <w:tcMar>
              <w:top w:w="0" w:type="dxa"/>
              <w:left w:w="0" w:type="dxa"/>
              <w:bottom w:w="0" w:type="dxa"/>
              <w:right w:w="0" w:type="dxa"/>
            </w:tcMar>
            <w:vAlign w:val="center"/>
            <w:hideMark/>
          </w:tcPr>
          <w:p w14:paraId="50402268"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r w:rsidR="004E10C1" w:rsidRPr="0044524F" w14:paraId="17E1DA0A" w14:textId="77777777" w:rsidTr="00DC292A">
        <w:trPr>
          <w:tblCellSpacing w:w="15" w:type="dxa"/>
        </w:trPr>
        <w:tc>
          <w:tcPr>
            <w:tcW w:w="0" w:type="auto"/>
            <w:tcMar>
              <w:top w:w="0" w:type="dxa"/>
              <w:left w:w="0" w:type="dxa"/>
              <w:bottom w:w="0" w:type="dxa"/>
              <w:right w:w="0" w:type="dxa"/>
            </w:tcMar>
            <w:vAlign w:val="center"/>
            <w:hideMark/>
          </w:tcPr>
          <w:p w14:paraId="656AB5D0"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квартал 1933 г.</w:t>
            </w:r>
          </w:p>
        </w:tc>
        <w:tc>
          <w:tcPr>
            <w:tcW w:w="0" w:type="auto"/>
            <w:tcMar>
              <w:top w:w="0" w:type="dxa"/>
              <w:left w:w="0" w:type="dxa"/>
              <w:bottom w:w="0" w:type="dxa"/>
              <w:right w:w="0" w:type="dxa"/>
            </w:tcMar>
            <w:vAlign w:val="center"/>
            <w:hideMark/>
          </w:tcPr>
          <w:p w14:paraId="49CDD756"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w:t>
            </w:r>
          </w:p>
        </w:tc>
        <w:tc>
          <w:tcPr>
            <w:tcW w:w="0" w:type="auto"/>
            <w:tcMar>
              <w:top w:w="0" w:type="dxa"/>
              <w:left w:w="0" w:type="dxa"/>
              <w:bottom w:w="0" w:type="dxa"/>
              <w:right w:w="0" w:type="dxa"/>
            </w:tcMar>
            <w:vAlign w:val="center"/>
            <w:hideMark/>
          </w:tcPr>
          <w:p w14:paraId="78CAD1DC"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r w:rsidR="004E10C1" w:rsidRPr="0044524F" w14:paraId="65400B6A" w14:textId="77777777" w:rsidTr="00DC292A">
        <w:trPr>
          <w:tblCellSpacing w:w="15" w:type="dxa"/>
        </w:trPr>
        <w:tc>
          <w:tcPr>
            <w:tcW w:w="0" w:type="auto"/>
            <w:tcMar>
              <w:top w:w="0" w:type="dxa"/>
              <w:left w:w="0" w:type="dxa"/>
              <w:bottom w:w="0" w:type="dxa"/>
              <w:right w:w="0" w:type="dxa"/>
            </w:tcMar>
            <w:vAlign w:val="center"/>
            <w:hideMark/>
          </w:tcPr>
          <w:p w14:paraId="4E766183"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15 сентября 1933 г.</w:t>
            </w:r>
          </w:p>
        </w:tc>
        <w:tc>
          <w:tcPr>
            <w:tcW w:w="0" w:type="auto"/>
            <w:tcMar>
              <w:top w:w="0" w:type="dxa"/>
              <w:left w:w="0" w:type="dxa"/>
              <w:bottom w:w="0" w:type="dxa"/>
              <w:right w:w="0" w:type="dxa"/>
            </w:tcMar>
            <w:vAlign w:val="center"/>
            <w:hideMark/>
          </w:tcPr>
          <w:p w14:paraId="2E87BB0E"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—284</w:t>
            </w:r>
          </w:p>
        </w:tc>
        <w:tc>
          <w:tcPr>
            <w:tcW w:w="0" w:type="auto"/>
            <w:tcMar>
              <w:top w:w="0" w:type="dxa"/>
              <w:left w:w="0" w:type="dxa"/>
              <w:bottom w:w="0" w:type="dxa"/>
              <w:right w:w="0" w:type="dxa"/>
            </w:tcMar>
            <w:vAlign w:val="center"/>
            <w:hideMark/>
          </w:tcPr>
          <w:p w14:paraId="281FC11C"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w:t>
            </w:r>
          </w:p>
        </w:tc>
      </w:tr>
    </w:tbl>
    <w:p w14:paraId="6502BCD8"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Рассматривая техническое нормирование как основной рычаг поднятия производительности труда, завод в 1933 г. начал внедрять технически обоснованные нормы выработки. Уже внедрено 6585 норм, что дало экономии 30 час. на машину и повлекло значительное увеличение выработки. Так, например, в литейной ковкого чугуна до внедрения технически обоснованных норм картеров диффера делалось 100 шт. в смену, после внедрения — 185 шт. в смену; задний мост — 130 шт. вместо 70 шт.; тормозные колодки — 220 шт. вместо 100 шт.; результатом явилось значительное перекрытие американских норм.</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85"/>
        <w:gridCol w:w="1470"/>
        <w:gridCol w:w="1675"/>
      </w:tblGrid>
      <w:tr w:rsidR="004E10C1" w:rsidRPr="0044524F" w14:paraId="2520E4BD" w14:textId="77777777" w:rsidTr="00DC292A">
        <w:trPr>
          <w:tblCellSpacing w:w="15" w:type="dxa"/>
        </w:trPr>
        <w:tc>
          <w:tcPr>
            <w:tcW w:w="0" w:type="auto"/>
            <w:tcMar>
              <w:top w:w="0" w:type="dxa"/>
              <w:left w:w="0" w:type="dxa"/>
              <w:bottom w:w="0" w:type="dxa"/>
              <w:right w:w="0" w:type="dxa"/>
            </w:tcMar>
            <w:vAlign w:val="center"/>
            <w:hideMark/>
          </w:tcPr>
          <w:p w14:paraId="3513946B" w14:textId="77777777" w:rsidR="00810F58" w:rsidRPr="0044524F" w:rsidRDefault="00810F58" w:rsidP="009654CF">
            <w:pPr>
              <w:spacing w:after="0" w:line="240" w:lineRule="auto"/>
              <w:jc w:val="both"/>
              <w:rPr>
                <w:rFonts w:ascii="Times New Roman" w:hAnsi="Times New Roman"/>
                <w:color w:val="000000" w:themeColor="text1"/>
                <w:sz w:val="16"/>
                <w:szCs w:val="16"/>
              </w:rPr>
            </w:pPr>
          </w:p>
        </w:tc>
        <w:tc>
          <w:tcPr>
            <w:tcW w:w="0" w:type="auto"/>
            <w:tcMar>
              <w:top w:w="0" w:type="dxa"/>
              <w:left w:w="0" w:type="dxa"/>
              <w:bottom w:w="0" w:type="dxa"/>
              <w:right w:w="0" w:type="dxa"/>
            </w:tcMar>
            <w:vAlign w:val="center"/>
            <w:hideMark/>
          </w:tcPr>
          <w:p w14:paraId="4B31A091"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Американская норма</w:t>
            </w:r>
          </w:p>
        </w:tc>
        <w:tc>
          <w:tcPr>
            <w:tcW w:w="0" w:type="auto"/>
            <w:tcMar>
              <w:top w:w="0" w:type="dxa"/>
              <w:left w:w="0" w:type="dxa"/>
              <w:bottom w:w="0" w:type="dxa"/>
              <w:right w:w="0" w:type="dxa"/>
            </w:tcMar>
            <w:vAlign w:val="center"/>
            <w:hideMark/>
          </w:tcPr>
          <w:p w14:paraId="49E9B065"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Фактическая выработка</w:t>
            </w:r>
          </w:p>
        </w:tc>
      </w:tr>
      <w:tr w:rsidR="004E10C1" w:rsidRPr="0044524F" w14:paraId="130B833A" w14:textId="77777777" w:rsidTr="00DC292A">
        <w:trPr>
          <w:tblCellSpacing w:w="15" w:type="dxa"/>
        </w:trPr>
        <w:tc>
          <w:tcPr>
            <w:tcW w:w="0" w:type="auto"/>
            <w:tcMar>
              <w:top w:w="0" w:type="dxa"/>
              <w:left w:w="0" w:type="dxa"/>
              <w:bottom w:w="0" w:type="dxa"/>
              <w:right w:w="0" w:type="dxa"/>
            </w:tcMar>
            <w:vAlign w:val="center"/>
            <w:hideMark/>
          </w:tcPr>
          <w:p w14:paraId="79F3FC86"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Блок цилиндров (формовки)</w:t>
            </w:r>
          </w:p>
        </w:tc>
        <w:tc>
          <w:tcPr>
            <w:tcW w:w="0" w:type="auto"/>
            <w:tcMar>
              <w:top w:w="0" w:type="dxa"/>
              <w:left w:w="0" w:type="dxa"/>
              <w:bottom w:w="0" w:type="dxa"/>
              <w:right w:w="0" w:type="dxa"/>
            </w:tcMar>
            <w:vAlign w:val="center"/>
            <w:hideMark/>
          </w:tcPr>
          <w:p w14:paraId="202BA707"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tc>
        <w:tc>
          <w:tcPr>
            <w:tcW w:w="0" w:type="auto"/>
            <w:tcMar>
              <w:top w:w="0" w:type="dxa"/>
              <w:left w:w="0" w:type="dxa"/>
              <w:bottom w:w="0" w:type="dxa"/>
              <w:right w:w="0" w:type="dxa"/>
            </w:tcMar>
            <w:vAlign w:val="center"/>
            <w:hideMark/>
          </w:tcPr>
          <w:p w14:paraId="45B3853E"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w:t>
            </w:r>
          </w:p>
        </w:tc>
      </w:tr>
      <w:tr w:rsidR="004E10C1" w:rsidRPr="0044524F" w14:paraId="25432DE4" w14:textId="77777777" w:rsidTr="00DC292A">
        <w:trPr>
          <w:tblCellSpacing w:w="15" w:type="dxa"/>
        </w:trPr>
        <w:tc>
          <w:tcPr>
            <w:tcW w:w="0" w:type="auto"/>
            <w:tcMar>
              <w:top w:w="0" w:type="dxa"/>
              <w:left w:w="0" w:type="dxa"/>
              <w:bottom w:w="0" w:type="dxa"/>
              <w:right w:w="0" w:type="dxa"/>
            </w:tcMar>
            <w:vAlign w:val="center"/>
            <w:hideMark/>
          </w:tcPr>
          <w:p w14:paraId="3BB60A88"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Картер заднего моста</w:t>
            </w:r>
          </w:p>
        </w:tc>
        <w:tc>
          <w:tcPr>
            <w:tcW w:w="0" w:type="auto"/>
            <w:tcMar>
              <w:top w:w="0" w:type="dxa"/>
              <w:left w:w="0" w:type="dxa"/>
              <w:bottom w:w="0" w:type="dxa"/>
              <w:right w:w="0" w:type="dxa"/>
            </w:tcMar>
            <w:vAlign w:val="center"/>
            <w:hideMark/>
          </w:tcPr>
          <w:p w14:paraId="51BEE1AA"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w:t>
            </w:r>
          </w:p>
        </w:tc>
        <w:tc>
          <w:tcPr>
            <w:tcW w:w="0" w:type="auto"/>
            <w:tcMar>
              <w:top w:w="0" w:type="dxa"/>
              <w:left w:w="0" w:type="dxa"/>
              <w:bottom w:w="0" w:type="dxa"/>
              <w:right w:w="0" w:type="dxa"/>
            </w:tcMar>
            <w:vAlign w:val="center"/>
            <w:hideMark/>
          </w:tcPr>
          <w:p w14:paraId="22E423EE"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w:t>
            </w:r>
          </w:p>
        </w:tc>
      </w:tr>
      <w:tr w:rsidR="004E10C1" w:rsidRPr="0044524F" w14:paraId="3EBD1C83" w14:textId="77777777" w:rsidTr="00DC292A">
        <w:trPr>
          <w:tblCellSpacing w:w="15" w:type="dxa"/>
        </w:trPr>
        <w:tc>
          <w:tcPr>
            <w:tcW w:w="0" w:type="auto"/>
            <w:tcMar>
              <w:top w:w="0" w:type="dxa"/>
              <w:left w:w="0" w:type="dxa"/>
              <w:bottom w:w="0" w:type="dxa"/>
              <w:right w:w="0" w:type="dxa"/>
            </w:tcMar>
            <w:vAlign w:val="center"/>
            <w:hideMark/>
          </w:tcPr>
          <w:p w14:paraId="1D4441CC"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Передняя ось (штамповки)</w:t>
            </w:r>
          </w:p>
        </w:tc>
        <w:tc>
          <w:tcPr>
            <w:tcW w:w="0" w:type="auto"/>
            <w:tcMar>
              <w:top w:w="0" w:type="dxa"/>
              <w:left w:w="0" w:type="dxa"/>
              <w:bottom w:w="0" w:type="dxa"/>
              <w:right w:w="0" w:type="dxa"/>
            </w:tcMar>
            <w:vAlign w:val="center"/>
            <w:hideMark/>
          </w:tcPr>
          <w:p w14:paraId="5E9CEAE7"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0" w:type="auto"/>
            <w:tcMar>
              <w:top w:w="0" w:type="dxa"/>
              <w:left w:w="0" w:type="dxa"/>
              <w:bottom w:w="0" w:type="dxa"/>
              <w:right w:w="0" w:type="dxa"/>
            </w:tcMar>
            <w:vAlign w:val="center"/>
            <w:hideMark/>
          </w:tcPr>
          <w:p w14:paraId="44EC77CF"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r>
      <w:tr w:rsidR="004E10C1" w:rsidRPr="0044524F" w14:paraId="7F3219C7" w14:textId="77777777" w:rsidTr="00DC292A">
        <w:trPr>
          <w:tblCellSpacing w:w="15" w:type="dxa"/>
        </w:trPr>
        <w:tc>
          <w:tcPr>
            <w:tcW w:w="0" w:type="auto"/>
            <w:tcMar>
              <w:top w:w="0" w:type="dxa"/>
              <w:left w:w="0" w:type="dxa"/>
              <w:bottom w:w="0" w:type="dxa"/>
              <w:right w:w="0" w:type="dxa"/>
            </w:tcMar>
            <w:vAlign w:val="center"/>
            <w:hideMark/>
          </w:tcPr>
          <w:p w14:paraId="77FB9F09"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Шатун</w:t>
            </w:r>
          </w:p>
        </w:tc>
        <w:tc>
          <w:tcPr>
            <w:tcW w:w="0" w:type="auto"/>
            <w:tcMar>
              <w:top w:w="0" w:type="dxa"/>
              <w:left w:w="0" w:type="dxa"/>
              <w:bottom w:w="0" w:type="dxa"/>
              <w:right w:w="0" w:type="dxa"/>
            </w:tcMar>
            <w:vAlign w:val="center"/>
            <w:hideMark/>
          </w:tcPr>
          <w:p w14:paraId="0B11071F"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0" w:type="auto"/>
            <w:tcMar>
              <w:top w:w="0" w:type="dxa"/>
              <w:left w:w="0" w:type="dxa"/>
              <w:bottom w:w="0" w:type="dxa"/>
              <w:right w:w="0" w:type="dxa"/>
            </w:tcMar>
            <w:vAlign w:val="center"/>
            <w:hideMark/>
          </w:tcPr>
          <w:p w14:paraId="274AE4A3"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1190</w:t>
            </w:r>
          </w:p>
        </w:tc>
      </w:tr>
      <w:tr w:rsidR="004E10C1" w:rsidRPr="0044524F" w14:paraId="577723BE" w14:textId="77777777" w:rsidTr="00DC292A">
        <w:trPr>
          <w:tblCellSpacing w:w="15" w:type="dxa"/>
        </w:trPr>
        <w:tc>
          <w:tcPr>
            <w:tcW w:w="0" w:type="auto"/>
            <w:tcMar>
              <w:top w:w="0" w:type="dxa"/>
              <w:left w:w="0" w:type="dxa"/>
              <w:bottom w:w="0" w:type="dxa"/>
              <w:right w:w="0" w:type="dxa"/>
            </w:tcMar>
            <w:vAlign w:val="center"/>
            <w:hideMark/>
          </w:tcPr>
          <w:p w14:paraId="4013DBF5"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Поворотный кулак</w:t>
            </w:r>
          </w:p>
        </w:tc>
        <w:tc>
          <w:tcPr>
            <w:tcW w:w="0" w:type="auto"/>
            <w:tcMar>
              <w:top w:w="0" w:type="dxa"/>
              <w:left w:w="0" w:type="dxa"/>
              <w:bottom w:w="0" w:type="dxa"/>
              <w:right w:w="0" w:type="dxa"/>
            </w:tcMar>
            <w:vAlign w:val="center"/>
            <w:hideMark/>
          </w:tcPr>
          <w:p w14:paraId="54EA18CC"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0" w:type="auto"/>
            <w:tcMar>
              <w:top w:w="0" w:type="dxa"/>
              <w:left w:w="0" w:type="dxa"/>
              <w:bottom w:w="0" w:type="dxa"/>
              <w:right w:w="0" w:type="dxa"/>
            </w:tcMar>
            <w:vAlign w:val="center"/>
            <w:hideMark/>
          </w:tcPr>
          <w:p w14:paraId="33C63F4C"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355</w:t>
            </w:r>
          </w:p>
        </w:tc>
      </w:tr>
    </w:tbl>
    <w:p w14:paraId="10A327C3"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итоге производительность труда по заводу возрастает из месяца в месяц. Среднемесячная выработка одного рабочего (в руб.): 1932 г. — 1117, I квартал 1933 г.— 1462, II квартал 1933 г. — 1531, июль 1933 г.— 1557. Таким образом, в июле 1933 г. производительность труда составляет 140% против 1932 г.</w:t>
      </w:r>
    </w:p>
    <w:p w14:paraId="5E39215B"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работой по повышению производительности труда завод вел усиленную борьбу за повышение качества продукции, за снижение брака. Количество дефектных машин по рекламациям уменьшилось с 533 в первой выпущенной тысяче машин, находящихся 6 месяцев в эксплуатации, до 42 в 17-й тысяче выпущенных машин. Брак по заводу снизился с 7,83% в 1932 г. до 6,66% в I квартале 1933 г., 5,66% — во II квартале 1933 г. и 5,32% — в июле. Снижение брака достигнуто благодаря упорной борьбе одних цехов при слабой мобилизации других: если по литейной ковкого чугуна брак снизился с 22,7% в 1932 г. до 10,5% в июле 1933 г., по механосборочному — соответственно с 3,4 до 2%, то по литейной серого чугуна брак составляет 28% в 1932 г., 28,4% — во II квартале 1933 г., 26,5% — в июле. В убытках, которые несет завод от брака, существенное место занимают наши смежники, поставляющие зачастую недоброкачественные материалы и изделия. В июне на заводе была созвана конференция по качеству автомобиля с привлечением на нее смежных производств, на которой был предъявлен социалистический счет смежникам и приняты обязательства по борьбе с браком коллективом завода. Таким образом, задача дальнейшей напряженной работы по снижению брака стоит в центре внимания ближайшего периода работы завода. Успешно закончившийся Кара-Кумский пробег показал высокое качество выпускаемых нами машин, способных нести свою службу в разнообразных дорожных условиях Союза. Рост производительности труда, улучшение качества продукции, снижение брака обеспечивались не только борьбой за овладение техникой производственного процесса, но и большой работой по внедрению хозрасчета. Введенная в практику система жесткого финансового контроля рублем, закрытия кредитов в случае прорывов, выдачи им ссуд только под определенные обязательства, изъятия излишка средств у цехов, а также - распределение премий в зависимости от результатов хозяйственной деятельности цехов значительно оздоровили финансовое состояние отделов и усилили борьбу за выполнение качественных показателей плана. Ведется строгий ежедневный контроль за состоянием расчетных счетов отделов (цехов), и на основе этого принимаются оперативные меры по ликвидации узких мест. В результате на 21 сентября с.г. нет ни одного отдела, имеющего дебетовое сальдо, т.е. работающего на чужие средства. Усиление контроля рублем способствовало уменьшению мертвого капитала, снижению за последний квартал незавершен</w:t>
      </w:r>
      <w:r w:rsidRPr="0044524F">
        <w:rPr>
          <w:rFonts w:ascii="Times New Roman" w:hAnsi="Times New Roman"/>
          <w:color w:val="000000" w:themeColor="text1"/>
          <w:sz w:val="16"/>
          <w:szCs w:val="16"/>
        </w:rPr>
        <w:softHyphen/>
        <w:t>ного производства больше, чем на 2 млн. руб. Освоение технологического процесса, рост производительности труда, развернутая рационализаторская и изобретательская работа, экономия металла и замена цветных металлов черными, внедрение хозрасчета и усиление партийно-массовой работы дали возможность достичь значительных результатов в борьбе за один из основных качественных показателей — снижение себестоимости.</w:t>
      </w:r>
    </w:p>
    <w:p w14:paraId="50C17EC4"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Себестоимость автомобиля неуклонно, из месяца в месяц снижалась. Если в IV квартале 1931 г. машина стоила 11 258 руб., то в среднем за 1932 г. она дошла до 5658 руб., а в августе 1933 г. была снижена до 4755 руб. без учета удорожания от замены импорта советскими изделиями и 4868 руб. с учетом удорожания импорта, в то время как за границей 2,5-тонный автокар стоит 2300 долларов, или примерно 4600 золотых руб. Этому снижению способствовала большая работа, проведенная по линии экономии и замены материалов. Целый ряд деталей был переведен с цветных металлов на чугунное литье, ряд деталей изготовляется из гладкотянутой стали вместо латуни. Экономия металла достигалась вследствие изменения технологического процесса; так, например, применением холодной высадки болтов, профильного волочения. Наконец, немалое значение имело все увеличивающееся использование отходов, высечек и обрезов. В результате расход металла на одну машину снижается с 1827 кг в IV квартале 1931 г. до 1713 кг в I квартале 1933 г. Расход стали уменьшается с 1704 кг в I квартале 1933 г. до 1604 кг во II квартале. Потребление цветных металлов на одну машину снизилось с 36,5 кг в I квартале 1932 г. до 27,8 кг в I квартале 1933 г. В результате снижения себестоимости как против отчетных данных за прошлые периоды, так и против плана завод сумел только за 1932 г. создать 5800 тыс. руб. экономии, из которых свыше 1 млн. было обращено на улучшение снабжения и питания рабочих. Наряду с мероприятиями, позволяющими снизить себестоимость машины, завод проводил большую работу, не отражавшуюся непосредственно на себестоимости, но имеющую огромное народнохозяйственное значение, завод освобождался от импорта. Так, например, была произведена замена никелевых и хромоникелевых сталей кремнистыми, замена импортного феррофосфора в шихте апатитонефелиновой рудой и т.д. Ведя борьбу за качественные показатели, завод уделял большое внимание вопросам организации управления, планирования и учета. На основе решений ЦК партии о Донбассе заводом проведена большая реорганизация системы управления с целью значительного упрощения работы и усиления оперативного руководства. Упразднено и сокращено 38 отделов и бюро; в связи с проведенным укрупнением цехов сокращено 28 цехов. Пересмотрена вся система отчетности, упразднена 101 форма, упрощено 59 форм. Сокращена система внутризаводского промфинплана с 33 до 12 форм. В результате проведенной работы сокращено У8 человек счетно-конторского персонала.</w:t>
      </w:r>
    </w:p>
    <w:p w14:paraId="2A2915D2" w14:textId="77777777" w:rsidR="00810F58" w:rsidRPr="0044524F" w:rsidRDefault="00810F5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Произведенная перестройка требует дальнейшего углубления и сосредоточения особого внимания на вопросах еще большего упрощения отчетности и усиления оперативного руководства.* Директор завода Лихачев Секретарь парткома Тарасов Председатель завкома Ойцев Председатель конкурсной комиссии Голяев ЦГАНХ СССР, ф. 7622, on. 1, д. 59, лл. 8—13. Заверенная копия (18300).</w:t>
      </w:r>
    </w:p>
    <w:p w14:paraId="0536F35B" w14:textId="77777777" w:rsidR="00810F58" w:rsidRPr="0044524F" w:rsidRDefault="00810F58" w:rsidP="009654CF">
      <w:pPr>
        <w:spacing w:after="0" w:line="240" w:lineRule="auto"/>
        <w:jc w:val="both"/>
        <w:rPr>
          <w:rFonts w:ascii="Times New Roman" w:hAnsi="Times New Roman"/>
          <w:color w:val="000000" w:themeColor="text1"/>
          <w:sz w:val="16"/>
          <w:szCs w:val="16"/>
        </w:rPr>
      </w:pPr>
    </w:p>
    <w:p w14:paraId="2822AA46" w14:textId="77777777" w:rsidR="001F72EB"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54EB0C74"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849B3D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г. состоялись первые учения с применением торпедоносцев. Учения проходили на Балтике по специальному постановлению Реввоенсовета под личным руководством заместителя Наркома по военным и морским делам М.Н. Тухачевского. В своем письменном докладе К.Е. Ворошилову он отмечал:</w:t>
      </w:r>
    </w:p>
    <w:p w14:paraId="1E8599C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постановления Реввоенсовета СССР от 9 июля 1933 г. мною было проведено 8 октября 1933 г. опытное учение Морских сил Балтийского моря с целью определить возможности дальнейшего развития тактики морского боя и увеличения боевой значимости мелких судов, путем применения высотного бомбо- и минометания. низкого и высотного торпедометания, торпедных катеров, телеуправляемых торпед и дымовых завес...</w:t>
      </w:r>
    </w:p>
    <w:p w14:paraId="06680F4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Учение состояло из трех эпизодов.</w:t>
      </w:r>
    </w:p>
    <w:p w14:paraId="611ED6E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эпизод учения имел своей задачей разработку частного случая движения линкора в узкости.</w:t>
      </w:r>
    </w:p>
    <w:p w14:paraId="772854E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2-й эпизод имел своей задачей: применением новых технических средств поставить свободно маневрирующий линкор в такое положение, когда он не мог бы использовать всей своей артиллерии и когда он подвергался бы одновременной атаке бомбардировщиков, торпедоносцев, торпедных катеров...</w:t>
      </w:r>
    </w:p>
    <w:p w14:paraId="614D359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3-й эпизод состоял из опыта с радиоуправляемой торпедой Бекаури (РУТ). Опыт показал изумительную меткость торпеды.</w:t>
      </w:r>
    </w:p>
    <w:p w14:paraId="6A0D095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учение в совокупности заставляет прийти к следующим выводам:</w:t>
      </w:r>
    </w:p>
    <w:p w14:paraId="112D212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Применение новых технических средств морского и воздушного боя совершенно по-новому ставит вопрос о борьбе с линейным флотом, особенно в условиях относительной близости берега. Быстроходность линкора и мощь его артиллерийского вооружения могут уменьшиться, иногда почти сводиться на нет применением высотного и низкого торпедометания, высотной постановкой мин заграждения, атаками радиоуправляемыми торпедами и торпедными катерами.</w:t>
      </w:r>
    </w:p>
    <w:p w14:paraId="0B5CE1D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Основным выводом из этого является необходимость форсированного создания мощного торпедоносного и мино- заградительного воздушного флота, обратив на это дело в первую очередь все сухопутные ТБ-1.</w:t>
      </w:r>
    </w:p>
    <w:p w14:paraId="0551537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Охранение линейного флота от атак с воздуха должно быть возложено на специальные суда, несущие на себе:</w:t>
      </w:r>
    </w:p>
    <w:p w14:paraId="1BFCE6D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ТБ-1П из состава ВВС Морских сил Балтийского моря</w:t>
      </w:r>
    </w:p>
    <w:p w14:paraId="502F6B7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авиацию, могущую в любой момент подняться в воздух для отражения атак противника;</w:t>
      </w:r>
    </w:p>
    <w:p w14:paraId="463A8D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зенитные орудия...</w:t>
      </w:r>
    </w:p>
    <w:p w14:paraId="4F40DC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отношении материальной части: ...</w:t>
      </w:r>
    </w:p>
    <w:p w14:paraId="0645988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необходимо сконструировать специальный самолет-торпедоносец..." (12002).</w:t>
      </w:r>
    </w:p>
    <w:p w14:paraId="36F9AF1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3BFC23B"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E8B0AFB"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4AA1851" w14:textId="77777777" w:rsidR="008D2E02" w:rsidRPr="0044524F" w:rsidRDefault="008D2E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г. подполковник Гуильельмо Кассинелли установил мировой рекорд скорости по замкнутому 100-км маршруту 629,39 км/ч, хотя наблюдалась тряска мотора. Через две недели, 21 октября, капитан Пьетро Скапинелли выиграл престижный Кубок Блерио, пройдя дистанцию между портами Реканти и Корсини со средней скоростью 619,37 км/ч в сложных метеоусловиях.</w:t>
      </w:r>
    </w:p>
    <w:p w14:paraId="6C73BF14" w14:textId="77777777" w:rsidR="008D2E02" w:rsidRPr="0044524F" w:rsidRDefault="008D2E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октября 1934 г. военный пилот Франческо Аджелло, который установил первый рекорд, пройдя мерную базу 3 км со скоростью 682,403 км/ч, четырежды прошел трехкилометровый участок над озером Гарда с севера на юг и обратно. Комиссары ФАИ зафиксировали скорости 705,882, 710,433, 711,462 и 709,034 км/ч, выведя среднее значение 709,202 км/ч. Достижение Аджелло продержалось в качестве абсолютного мирового рекорда скорости аж до 30 марта 1939 г., когда немец Ганс Дитерле на специально переоборудованном опытном истребителе Хейнкель Не 100V показал на базе 3 км скорость 746,606 км/ч и, но рекорд Аджелло для поршневых летательных аппаратов, взлетающих с воды, действует до сих пор (22725).</w:t>
      </w:r>
    </w:p>
    <w:p w14:paraId="2F76526F" w14:textId="77777777" w:rsidR="008D2E02" w:rsidRPr="0044524F" w:rsidRDefault="008D2E02" w:rsidP="009654CF">
      <w:pPr>
        <w:spacing w:after="0" w:line="240" w:lineRule="auto"/>
        <w:jc w:val="both"/>
        <w:rPr>
          <w:rFonts w:ascii="Times New Roman" w:hAnsi="Times New Roman"/>
          <w:color w:val="000000" w:themeColor="text1"/>
          <w:sz w:val="16"/>
          <w:szCs w:val="16"/>
        </w:rPr>
      </w:pPr>
    </w:p>
    <w:p w14:paraId="073105D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Мартинес Барриос сформировал новое испанское правительство (3481).</w:t>
      </w:r>
    </w:p>
    <w:p w14:paraId="7EB9EDF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DEABC93"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15134E2"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ACC21AE"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 вопрос срыва плана по сдаче самолетов И-7 вынесен первым пунктом на заседание Комитета Обороны СССР (24331).</w:t>
      </w:r>
    </w:p>
    <w:p w14:paraId="4434E358" w14:textId="77777777" w:rsidR="00910A99" w:rsidRPr="0044524F" w:rsidRDefault="00910A99" w:rsidP="009654CF">
      <w:pPr>
        <w:spacing w:after="0" w:line="240" w:lineRule="auto"/>
        <w:jc w:val="both"/>
        <w:rPr>
          <w:rFonts w:ascii="Times New Roman" w:hAnsi="Times New Roman"/>
          <w:color w:val="000000" w:themeColor="text1"/>
          <w:sz w:val="16"/>
          <w:szCs w:val="16"/>
        </w:rPr>
      </w:pPr>
    </w:p>
    <w:p w14:paraId="5366A80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 в НИИ ВВС закончились гос. испытания самолета ТБ3-4М34 (6635), которые проходили с 23 сентября 1933 (6635).</w:t>
      </w:r>
    </w:p>
    <w:p w14:paraId="2448096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7A9D827D"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испытание самолетов ТБ3-4М34 без редукторов (№№ 22203 и 22204).</w:t>
      </w:r>
    </w:p>
    <w:p w14:paraId="07A3FFF5"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Выбор наилучшего винта из трех представленных ЦАГИ.</w:t>
      </w:r>
    </w:p>
    <w:p w14:paraId="399F07F0"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Изыскание путей облегчения винтомоторной группы.</w:t>
      </w:r>
    </w:p>
    <w:p w14:paraId="250042E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614558B"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при испытании трех типов винтов лучшие летные данные самолет ТБ3-4М34 без редуктора получил с винтами Д=3,18; Н=1,88, считать необходимым все самолеты ТБ3-4М34 выпускать с этим типом винтов.</w:t>
      </w:r>
    </w:p>
    <w:p w14:paraId="2522680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33FC8BD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22203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671D4142" w14:textId="77777777">
        <w:tc>
          <w:tcPr>
            <w:tcW w:w="5636" w:type="dxa"/>
          </w:tcPr>
          <w:p w14:paraId="7A8C6CC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сентября 1933 года</w:t>
            </w:r>
          </w:p>
        </w:tc>
        <w:tc>
          <w:tcPr>
            <w:tcW w:w="5636" w:type="dxa"/>
          </w:tcPr>
          <w:p w14:paraId="7836BD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ОЭЛИД ЦАГИ, переслан в Щелково и облетан.</w:t>
            </w:r>
          </w:p>
        </w:tc>
      </w:tr>
      <w:tr w:rsidR="004E10C1" w:rsidRPr="0044524F" w14:paraId="036E92EE" w14:textId="77777777">
        <w:tc>
          <w:tcPr>
            <w:tcW w:w="5636" w:type="dxa"/>
          </w:tcPr>
          <w:p w14:paraId="685D79A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сентября 1933 года</w:t>
            </w:r>
          </w:p>
        </w:tc>
        <w:tc>
          <w:tcPr>
            <w:tcW w:w="5636" w:type="dxa"/>
          </w:tcPr>
          <w:p w14:paraId="6512205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5A1C31F2" w14:textId="77777777">
        <w:tc>
          <w:tcPr>
            <w:tcW w:w="5636" w:type="dxa"/>
          </w:tcPr>
          <w:p w14:paraId="44075D3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36" w:type="dxa"/>
          </w:tcPr>
          <w:p w14:paraId="6990265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w:t>
            </w:r>
          </w:p>
        </w:tc>
      </w:tr>
      <w:tr w:rsidR="004E10C1" w:rsidRPr="0044524F" w14:paraId="6C8C0E92" w14:textId="77777777">
        <w:tc>
          <w:tcPr>
            <w:tcW w:w="5636" w:type="dxa"/>
          </w:tcPr>
          <w:p w14:paraId="06B4F64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года</w:t>
            </w:r>
          </w:p>
        </w:tc>
        <w:tc>
          <w:tcPr>
            <w:tcW w:w="5636" w:type="dxa"/>
          </w:tcPr>
          <w:p w14:paraId="67596B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0CF70504" w14:textId="77777777">
        <w:tc>
          <w:tcPr>
            <w:tcW w:w="5636" w:type="dxa"/>
          </w:tcPr>
          <w:p w14:paraId="5417D8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октября 1933 года</w:t>
            </w:r>
          </w:p>
        </w:tc>
        <w:tc>
          <w:tcPr>
            <w:tcW w:w="5636" w:type="dxa"/>
          </w:tcPr>
          <w:p w14:paraId="31DD2C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зубцы.</w:t>
            </w:r>
          </w:p>
        </w:tc>
      </w:tr>
      <w:tr w:rsidR="004E10C1" w:rsidRPr="0044524F" w14:paraId="7D222B67" w14:textId="77777777">
        <w:tc>
          <w:tcPr>
            <w:tcW w:w="5636" w:type="dxa"/>
          </w:tcPr>
          <w:p w14:paraId="7B8830A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w:t>
            </w:r>
          </w:p>
        </w:tc>
        <w:tc>
          <w:tcPr>
            <w:tcW w:w="5636" w:type="dxa"/>
          </w:tcPr>
          <w:p w14:paraId="32BFA4C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трехчасовой 450 км полет по маршруту: Щелково-Коломна-Щелково-Серпухов-Щелково.</w:t>
            </w:r>
          </w:p>
        </w:tc>
      </w:tr>
    </w:tbl>
    <w:p w14:paraId="22E813F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22204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17E5CEE3" w14:textId="77777777">
        <w:tc>
          <w:tcPr>
            <w:tcW w:w="5636" w:type="dxa"/>
          </w:tcPr>
          <w:p w14:paraId="3C51D26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года</w:t>
            </w:r>
          </w:p>
        </w:tc>
        <w:tc>
          <w:tcPr>
            <w:tcW w:w="5636" w:type="dxa"/>
          </w:tcPr>
          <w:p w14:paraId="2A0188B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22 завода и перегнан в Щелково.</w:t>
            </w:r>
          </w:p>
        </w:tc>
      </w:tr>
      <w:tr w:rsidR="004E10C1" w:rsidRPr="0044524F" w14:paraId="2086768E" w14:textId="77777777">
        <w:tc>
          <w:tcPr>
            <w:tcW w:w="5636" w:type="dxa"/>
          </w:tcPr>
          <w:p w14:paraId="663E931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года</w:t>
            </w:r>
          </w:p>
        </w:tc>
        <w:tc>
          <w:tcPr>
            <w:tcW w:w="5636" w:type="dxa"/>
          </w:tcPr>
          <w:p w14:paraId="099E7F4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Ознакомительный полет.</w:t>
            </w:r>
          </w:p>
        </w:tc>
      </w:tr>
      <w:tr w:rsidR="004E10C1" w:rsidRPr="0044524F" w14:paraId="23E061AA" w14:textId="77777777">
        <w:tc>
          <w:tcPr>
            <w:tcW w:w="5636" w:type="dxa"/>
          </w:tcPr>
          <w:p w14:paraId="617EE74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w:t>
            </w:r>
          </w:p>
        </w:tc>
        <w:tc>
          <w:tcPr>
            <w:tcW w:w="5636" w:type="dxa"/>
          </w:tcPr>
          <w:p w14:paraId="5C7C33E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w:t>
            </w:r>
          </w:p>
        </w:tc>
      </w:tr>
      <w:tr w:rsidR="004E10C1" w:rsidRPr="0044524F" w14:paraId="1BF8511E" w14:textId="77777777">
        <w:tc>
          <w:tcPr>
            <w:tcW w:w="5636" w:type="dxa"/>
          </w:tcPr>
          <w:p w14:paraId="720F7F6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28 сентября 1933 года</w:t>
            </w:r>
          </w:p>
        </w:tc>
        <w:tc>
          <w:tcPr>
            <w:tcW w:w="5636" w:type="dxa"/>
          </w:tcPr>
          <w:p w14:paraId="5798CC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44C5A547" w14:textId="77777777">
        <w:tc>
          <w:tcPr>
            <w:tcW w:w="5636" w:type="dxa"/>
          </w:tcPr>
          <w:p w14:paraId="204CB8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36" w:type="dxa"/>
          </w:tcPr>
          <w:p w14:paraId="3A3CAD0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по зубцам.</w:t>
            </w:r>
          </w:p>
        </w:tc>
      </w:tr>
      <w:tr w:rsidR="004E10C1" w:rsidRPr="0044524F" w14:paraId="4801FD19" w14:textId="77777777">
        <w:tc>
          <w:tcPr>
            <w:tcW w:w="5636" w:type="dxa"/>
          </w:tcPr>
          <w:p w14:paraId="6D626B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года</w:t>
            </w:r>
          </w:p>
        </w:tc>
        <w:tc>
          <w:tcPr>
            <w:tcW w:w="5636" w:type="dxa"/>
          </w:tcPr>
          <w:p w14:paraId="73B6D47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2ABDBD2D" w14:textId="77777777">
        <w:tc>
          <w:tcPr>
            <w:tcW w:w="5636" w:type="dxa"/>
          </w:tcPr>
          <w:p w14:paraId="0F578B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w:t>
            </w:r>
          </w:p>
        </w:tc>
        <w:tc>
          <w:tcPr>
            <w:tcW w:w="5636" w:type="dxa"/>
          </w:tcPr>
          <w:p w14:paraId="2C8FFBD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зубцы.</w:t>
            </w:r>
          </w:p>
        </w:tc>
      </w:tr>
    </w:tbl>
    <w:p w14:paraId="4C0F3F2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проведены в 13 дней, из них самолет летал 6 дней (6635).</w:t>
      </w:r>
    </w:p>
    <w:p w14:paraId="7FF7039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252008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закончились гос. испытания ТБ-3 4М-34, которые проходили с 28 сентября 1933:</w:t>
      </w:r>
    </w:p>
    <w:p w14:paraId="5EEA8C3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6711DFA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испытание самолетов ТБ3-4М34 без редукторов (NN 22203 и 22204).</w:t>
      </w:r>
    </w:p>
    <w:p w14:paraId="33BE53C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Выбор наилучшего винта из трех представленных ЦАГИ.</w:t>
      </w:r>
    </w:p>
    <w:p w14:paraId="279FC2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Изыскание путей облегчений винтомоторной группы.</w:t>
      </w:r>
    </w:p>
    <w:p w14:paraId="36E8C82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B538CE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значительно лучших летных данных самолета ТБ3-4М34 без редуктора с винтами Д=3,18 Н=1,88 (С Тб4-6М34) считать необходимым все самолеты ТБ3-4М34 выпускать с этим типом винтов (3903,147-200).</w:t>
      </w:r>
    </w:p>
    <w:p w14:paraId="6F50989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1FA8E3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в Финском заливе в районе Толбухина маяка закончились испытания улучшенных ТАВ-15, которые шли с 16 августа 1933. С одного ТБ-1 сбросили 4 болванки и две торпеды с ходом и 6 октября удачно сбросили торпеду с 1000 м при температуре -7. Приняли к производству как эталон на 1934 и Нач. ВВС приказал доработать имеющиеся торпеды (1966,12).</w:t>
      </w:r>
    </w:p>
    <w:p w14:paraId="042E475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на Балтике провели первые учения минно-торпедной авиации. Самолеты ТБ-1а 121 Э применяли торпеды ТАН-12 и мины МАВ-1. Руководил Я.И.Алкснис (561,7). 10 октября четыре машины с торпедами и четыре с минами атаковали эсминец Карл Маркс. С-62Б делали дымовую завесу. 15 октября - атаковали Марат и Р-5 с ВАП выливали имитацию ОВ. ТБ-1 были не очень то хороши как торпедоносцы из-за плохой маневренности (561,7).</w:t>
      </w:r>
    </w:p>
    <w:p w14:paraId="7E72D3E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атаки Марата были в ходе маневров Балтфлота в июне 1934 (1966,12).</w:t>
      </w:r>
    </w:p>
    <w:p w14:paraId="16374D5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29E37C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 выписка из протокола № 14 КО</w:t>
      </w:r>
    </w:p>
    <w:p w14:paraId="6ACDAF5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О недовыполнении программы заказов 1933 года по авиации</w:t>
      </w:r>
    </w:p>
    <w:p w14:paraId="6FCCA0B4"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Комиссии в составе Кагановича М. (председатель), Прокофьева, Беленького, Королева, Алксниса, Жарова, Малахова, Копосова, Чернышева и Коврова в пяти дневный срок, на основе обмена мнений, разработать и доложить КО мероприятия по обеспечению выполнения всей программы 1933 года:</w:t>
      </w:r>
    </w:p>
    <w:p w14:paraId="183DFC3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Комиссии обратить особое внимание на:</w:t>
      </w:r>
    </w:p>
    <w:p w14:paraId="1D01E0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устранение причин организационного и производственного порядка, препятствующих выполнению программы, в особенности на отстающих заводах №№ 1 и 31;</w:t>
      </w:r>
    </w:p>
    <w:p w14:paraId="6C1497F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ликвидацию прорыва по производству самолетов новых типов (И7-М17, ТБ3-4М34, МБР4-2М34, Р6-2М34);</w:t>
      </w:r>
    </w:p>
    <w:p w14:paraId="6D1615F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усиление руководства работой ЦАГИ со стороны НКТП (Галактионов)</w:t>
      </w:r>
    </w:p>
    <w:p w14:paraId="0355E36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Для расследования случаев сдачи и приемки дефектных моторов на заводе № 26 назначить комиссию в составе тт. Беленького (Председатель), Прокофьева, Павлуновского, Алксниса.</w:t>
      </w:r>
    </w:p>
    <w:p w14:paraId="11028AB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работы - декадный (4191, 19).</w:t>
      </w:r>
    </w:p>
    <w:p w14:paraId="2990583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194DF4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 зам. начальника ЭКУ ОГПУ Шанин, начальник 4 отдела ЭКУ ОГПУ Калецкий</w:t>
      </w:r>
    </w:p>
    <w:p w14:paraId="674610C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выполнении программы самолето- и моторостроения за 9 месяцев 1933 года</w:t>
      </w:r>
    </w:p>
    <w:p w14:paraId="05FDF99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текущего года за 9 месяцев по самолето- и моторостроению за отдельными исключениями не выполнена.</w:t>
      </w:r>
    </w:p>
    <w:p w14:paraId="7B5D974E" w14:textId="77777777" w:rsidR="001F72EB" w:rsidRPr="0044524F" w:rsidRDefault="001F72EB" w:rsidP="009654CF">
      <w:pPr>
        <w:tabs>
          <w:tab w:val="left" w:pos="72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Самолетостроение</w:t>
      </w:r>
    </w:p>
    <w:p w14:paraId="508290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всем заводам самолетостроения годовая программа выполнена на 58,5%, а к заданию 9-ти месяцев на 80%. Особо отстают заводы №№ 1, 31 и 18.</w:t>
      </w:r>
    </w:p>
    <w:p w14:paraId="3BDC771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данные о выполнении программы см. приложение.</w:t>
      </w:r>
    </w:p>
    <w:p w14:paraId="13D2AF8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Основными причинами являются:</w:t>
      </w:r>
    </w:p>
    <w:p w14:paraId="14A4FB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Расстроенность производственного планирования (цехового) отсюда некомплектная заготовка полуфабрикатов.</w:t>
      </w:r>
    </w:p>
    <w:p w14:paraId="184B8A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Совершенно недостаточное выполнение работ вспомогательными заводами (винты, лыжи, вооружение, колеса, радиаторы, помпы), что лимитирует работу основных цехов.</w:t>
      </w:r>
    </w:p>
    <w:p w14:paraId="251501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 погоне за показательным количеством, отсутствует борьба за качество и как результат большой брак, попытки сдачи и сдача при попустительстве приемки УВВС некондиционной продукции и без внутреннего оборудования, так:</w:t>
      </w:r>
    </w:p>
    <w:p w14:paraId="31E814E6"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22</w:t>
      </w:r>
    </w:p>
    <w:p w14:paraId="2F767D4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Неудовлетворительная сварка – имеются трещины на сварке; погнутость, главным образом, в месте приварки заглушек помяты в узлах.</w:t>
      </w:r>
    </w:p>
    <w:p w14:paraId="6FB07F0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32</w:t>
      </w:r>
    </w:p>
    <w:p w14:paraId="610539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Большой брак агрегатов и деталей, поступающих на сборку, так например: радиаторы, колеса, поступающие на другие авиазаводы, оказываются некомплектными и некондиционными.</w:t>
      </w:r>
    </w:p>
    <w:p w14:paraId="20772D5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Практикуются случаи сдачи заводам явно некондиционных деталей, минуя технический контроль завода. (По вине начальника радиаторного цеха Гусева за два месяца сдано заводу № 22 – 85 заведомо дефектных радиаторов – с большой деформацией).</w:t>
      </w:r>
    </w:p>
    <w:p w14:paraId="1713E43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четкой планировки создает подачу некомплектных деталей.</w:t>
      </w:r>
    </w:p>
    <w:p w14:paraId="7126B1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28</w:t>
      </w:r>
    </w:p>
    <w:p w14:paraId="74754D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погоне исключительно за количеством – выполняет неходовые винты, но более легкие в производстве (ветрянки, винты для У-2), тогда как винты для ТБ-3, МБР-4 производятся в недостаточном количестве:</w:t>
      </w:r>
    </w:p>
    <w:p w14:paraId="532DEF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изготовлено винтов для УД-2 вместо 130-182; ветрянки (небольшие винты для динамомашин) вместо 700 – 918, тогда как для ТБ-3 место 210 – 118 штук; МБР4 вместо 14 изготовлено 0.</w:t>
      </w:r>
    </w:p>
    <w:p w14:paraId="2456290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производство запускаются невыдержанные материалы, вследствие чего имеются случаи коробления винтов; отстает окраска вследствие неудовлетворительности шпаклевки; винты плохо балансируются, что приводит к тряске моторов и неоднократной смене винтов при сдаче самолетов в полет.</w:t>
      </w:r>
    </w:p>
    <w:p w14:paraId="1870ADF0"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М-17 (завод № 26).</w:t>
      </w:r>
    </w:p>
    <w:p w14:paraId="35CD931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то, что это производство является вполне освоенным, за последний период времени в авиачасти ВВС РККА систематически начали поступать моторы с существенными дефектами, обнаруженными в процессе эксплуатации после непродолжительного времени работы таковых.</w:t>
      </w:r>
    </w:p>
    <w:p w14:paraId="2A9107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w:t>
      </w:r>
    </w:p>
    <w:p w14:paraId="18E4A4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основным трем дефектам (коленчатый вал, цилиндры и картер) сдано моторов со скидкой, но в счет выполнения программы:</w:t>
      </w:r>
    </w:p>
    <w:p w14:paraId="169427B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5 моторов – сумма скидки 3983 рублей 86 копеек</w:t>
      </w:r>
    </w:p>
    <w:p w14:paraId="4CC3808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68 моторов – сумма скидки 44283 рубля 60 копеек</w:t>
      </w:r>
    </w:p>
    <w:p w14:paraId="0325881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142 мотора - сумма скидки 58929 рублей 00 копеек</w:t>
      </w:r>
    </w:p>
    <w:p w14:paraId="51E3A3A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177 моторов - сумма скидки 83220 рублей 00 копеек</w:t>
      </w:r>
    </w:p>
    <w:p w14:paraId="250A96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завод потерпел убыток на недоброкачественности моторов 190416 рублей 36 копеек, а военное ведомство получило 393 дефектных мотора, что подтверждается целым рядом актов, полученных из авиачастей.</w:t>
      </w:r>
    </w:p>
    <w:p w14:paraId="223D03B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Брак идет, главным образом, за счет трудоемких деталей.</w:t>
      </w:r>
    </w:p>
    <w:p w14:paraId="19C390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Шатуны бракуются из-за наличия в металле волосовин; цилиндры по трещинам в головке.</w:t>
      </w:r>
    </w:p>
    <w:p w14:paraId="7E9B454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 дефекты благодаря безобразно поставленного контроля обнаруживаются на последних стадиях механической обработки.</w:t>
      </w:r>
    </w:p>
    <w:p w14:paraId="25BCF68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Брак по картерам в первом полугодии достигал 70% благодаря отсутствию проработанного технологического процесса и плохого контроля за режимом плавки и составом шихты.</w:t>
      </w:r>
    </w:p>
    <w:p w14:paraId="5D4A752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отметить, что в последнее время наметился сдвиг в сторону уменьшения брака (для картеров 40%).</w:t>
      </w:r>
    </w:p>
    <w:p w14:paraId="0C7C55E6"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М-22 и М-11 (завод № 29).</w:t>
      </w:r>
    </w:p>
    <w:p w14:paraId="18F8030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за 9 месяцев выполнена по М-22 на 80% (годовой 54%) и по М-11 на 84% (годовой – 68%).</w:t>
      </w:r>
    </w:p>
    <w:p w14:paraId="7D99701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Продукция невысокого качества.</w:t>
      </w:r>
    </w:p>
    <w:p w14:paraId="026E444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дефекты в производстве относятся за счет расстроенности инструментального хозяйства и приспособлений, кустарничества в производстве, отсутствия четкого технического планирования, в особенности в механических цехах и отсутствия плановопредупредительного ремонта оборудования.</w:t>
      </w:r>
    </w:p>
    <w:p w14:paraId="5B3E1F7F"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Завод № 20 (помпы, нормали их).</w:t>
      </w:r>
    </w:p>
    <w:p w14:paraId="794B44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формально выполняя программу на 100%, по существу недодает заводам нужного количества, не говоря уже о качестве частей и деталей моторов.</w:t>
      </w:r>
    </w:p>
    <w:p w14:paraId="579C1C8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в погоне за выполнением программы цеха, производит детали большой стоимости и менее трудоемкие, например:</w:t>
      </w:r>
    </w:p>
    <w:p w14:paraId="1AFF6B2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сентября 1933 года не было одних деталей – для бензопомп (сальники, прокладки, хомуты) при запасе других деталей (пружин – 9149 штук, кольца прокладочные – 4700 штук и проч.).</w:t>
      </w:r>
    </w:p>
    <w:p w14:paraId="53BE26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водопомпам: шплинтов – нет, патрубков входящей воды – нет, гаек к шпилькам (дет. № Б20256) не достает.</w:t>
      </w:r>
    </w:p>
    <w:p w14:paraId="40E4A2A7"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33 (производство карбюраторов).</w:t>
      </w:r>
    </w:p>
    <w:p w14:paraId="1E40C2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последнего времени завод находился в большом прорыве и лишь в последнее время освоил часть номенклатур. Так, например, особо дефицитные карбюраторы к мотору М-34 из 3-х серий – 1-ая серия – 100% брак, из 2-ой серии только 20 штук годных и лишь последнюю серию завод выполнил с большим напряжением.</w:t>
      </w:r>
    </w:p>
    <w:p w14:paraId="356DB15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невыполнения заводом программы – низкое качество литья, получаемого с завода № 20, конструктивные доводки карбюраторов – недоработанность технологического процесса и вследствие этого бесплановый и кустарный характер производства (4191, 71-75).</w:t>
      </w:r>
    </w:p>
    <w:p w14:paraId="4C38657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октября 1933 Нач. 4 отдела ЭКУ ОГПУ Калецкий подготовил:</w:t>
      </w:r>
    </w:p>
    <w:p w14:paraId="2A99556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в е д е н и я</w:t>
      </w:r>
    </w:p>
    <w:p w14:paraId="576F369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вьполнении программы по з-дам самолетостроения взятые ив сводки ГУАП"а, подписанной Нач.ГУАП"а тов. КОРОЛШШ.</w:t>
      </w:r>
    </w:p>
    <w:p w14:paraId="608D888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val="en-US"/>
        </w:rPr>
        <w:t>I</w:t>
      </w:r>
      <w:r w:rsidRPr="0044524F">
        <w:rPr>
          <w:rFonts w:ascii="Times New Roman" w:hAnsi="Times New Roman"/>
          <w:color w:val="000000" w:themeColor="text1"/>
          <w:sz w:val="16"/>
          <w:szCs w:val="16"/>
        </w:rPr>
        <w:t xml:space="preserve">. Завод № </w:t>
      </w:r>
      <w:r w:rsidRPr="0044524F">
        <w:rPr>
          <w:rFonts w:ascii="Times New Roman" w:hAnsi="Times New Roman"/>
          <w:color w:val="000000" w:themeColor="text1"/>
          <w:sz w:val="16"/>
          <w:szCs w:val="16"/>
          <w:lang w:val="en-US"/>
        </w:rPr>
        <w:t>I</w:t>
      </w:r>
    </w:p>
    <w:p w14:paraId="30BBAF2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программу Р-5 выполнил - 57% годового задания или 79% задания на 9 мес За 8 мес. недодано 252 само</w:t>
      </w:r>
      <w:r w:rsidRPr="0044524F">
        <w:rPr>
          <w:rFonts w:ascii="Times New Roman" w:hAnsi="Times New Roman"/>
          <w:color w:val="000000" w:themeColor="text1"/>
          <w:sz w:val="16"/>
          <w:szCs w:val="16"/>
        </w:rPr>
        <w:softHyphen/>
        <w:t>лета.</w:t>
      </w:r>
    </w:p>
    <w:p w14:paraId="2B3B84F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программу И-7 выполнил - 1.9% годового зада</w:t>
      </w:r>
      <w:r w:rsidRPr="0044524F">
        <w:rPr>
          <w:rFonts w:ascii="Times New Roman" w:hAnsi="Times New Roman"/>
          <w:color w:val="000000" w:themeColor="text1"/>
          <w:sz w:val="16"/>
          <w:szCs w:val="16"/>
        </w:rPr>
        <w:softHyphen/>
        <w:t>ния или 27% задания на 9 мео. За 9 мес. недодано 124 само</w:t>
      </w:r>
      <w:r w:rsidRPr="0044524F">
        <w:rPr>
          <w:rFonts w:ascii="Times New Roman" w:hAnsi="Times New Roman"/>
          <w:color w:val="000000" w:themeColor="text1"/>
          <w:sz w:val="16"/>
          <w:szCs w:val="16"/>
        </w:rPr>
        <w:softHyphen/>
        <w:t>лета.</w:t>
      </w:r>
    </w:p>
    <w:p w14:paraId="256A00F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Еще хуже выполнение по групповым комплектам.</w:t>
      </w:r>
    </w:p>
    <w:p w14:paraId="6EB3741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Завод № 31 программа по гидросамолетам "МБР-4" с мотором АСОО выполнена на 75%, не</w:t>
      </w:r>
      <w:r w:rsidRPr="0044524F">
        <w:rPr>
          <w:rFonts w:ascii="Times New Roman" w:hAnsi="Times New Roman"/>
          <w:color w:val="000000" w:themeColor="text1"/>
          <w:sz w:val="16"/>
          <w:szCs w:val="16"/>
        </w:rPr>
        <w:softHyphen/>
        <w:t>додано 5 машин.</w:t>
      </w:r>
    </w:p>
    <w:p w14:paraId="7578B1C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Тоже с мотором “М-34"не сда</w:t>
      </w:r>
      <w:r w:rsidRPr="0044524F">
        <w:rPr>
          <w:rFonts w:ascii="Times New Roman" w:hAnsi="Times New Roman"/>
          <w:color w:val="000000" w:themeColor="text1"/>
          <w:sz w:val="16"/>
          <w:szCs w:val="16"/>
        </w:rPr>
        <w:softHyphen/>
        <w:t>но ни одной машины при зада</w:t>
      </w:r>
      <w:r w:rsidRPr="0044524F">
        <w:rPr>
          <w:rFonts w:ascii="Times New Roman" w:hAnsi="Times New Roman"/>
          <w:color w:val="000000" w:themeColor="text1"/>
          <w:sz w:val="16"/>
          <w:szCs w:val="16"/>
        </w:rPr>
        <w:softHyphen/>
        <w:t>нии 42.</w:t>
      </w:r>
    </w:p>
    <w:p w14:paraId="3249E89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программу по сам. Р6 с мотор. 2 М17 7-8% годово</w:t>
      </w:r>
      <w:r w:rsidRPr="0044524F">
        <w:rPr>
          <w:rFonts w:ascii="Times New Roman" w:hAnsi="Times New Roman"/>
          <w:color w:val="000000" w:themeColor="text1"/>
          <w:sz w:val="16"/>
          <w:szCs w:val="16"/>
        </w:rPr>
        <w:softHyphen/>
        <w:t>го или 16% 9 мес. задания недо</w:t>
      </w:r>
      <w:r w:rsidRPr="0044524F">
        <w:rPr>
          <w:rFonts w:ascii="Times New Roman" w:hAnsi="Times New Roman"/>
          <w:color w:val="000000" w:themeColor="text1"/>
          <w:sz w:val="16"/>
          <w:szCs w:val="16"/>
        </w:rPr>
        <w:softHyphen/>
        <w:t>дано 49 машин.</w:t>
      </w:r>
    </w:p>
    <w:p w14:paraId="586D41C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Тоже с моторами М34 - 0%</w:t>
      </w:r>
    </w:p>
    <w:p w14:paraId="72811CF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программу по сам. АНТ-9 - 0% при задании 8 са</w:t>
      </w:r>
      <w:r w:rsidRPr="0044524F">
        <w:rPr>
          <w:rFonts w:ascii="Times New Roman" w:hAnsi="Times New Roman"/>
          <w:color w:val="000000" w:themeColor="text1"/>
          <w:sz w:val="16"/>
          <w:szCs w:val="16"/>
        </w:rPr>
        <w:softHyphen/>
        <w:t>молетов.</w:t>
      </w:r>
    </w:p>
    <w:p w14:paraId="5E425B3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Завод №18 не сдал в течение 1 и 1/2 мес. ни одной маши</w:t>
      </w:r>
      <w:r w:rsidRPr="0044524F">
        <w:rPr>
          <w:rFonts w:ascii="Times New Roman" w:hAnsi="Times New Roman"/>
          <w:color w:val="000000" w:themeColor="text1"/>
          <w:sz w:val="16"/>
          <w:szCs w:val="16"/>
        </w:rPr>
        <w:softHyphen/>
        <w:t>ны.</w:t>
      </w:r>
    </w:p>
    <w:p w14:paraId="32B1710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Харьковский авиазавод из программы на 9 мес. выполнил 76%, недодав 25 самолетов К5.</w:t>
      </w:r>
    </w:p>
    <w:p w14:paraId="5C4A91B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остальным заводам /№№ 21, 22, 23, 39/ программа само</w:t>
      </w:r>
      <w:r w:rsidRPr="0044524F">
        <w:rPr>
          <w:rFonts w:ascii="Times New Roman" w:hAnsi="Times New Roman"/>
          <w:color w:val="000000" w:themeColor="text1"/>
          <w:sz w:val="16"/>
          <w:szCs w:val="16"/>
        </w:rPr>
        <w:softHyphen/>
        <w:t>летостроения выполнена более удовлетворительно /выше 80%/, за исключением ТБ-3 с мотором М34 /з-д № 22/ из 45 самоле</w:t>
      </w:r>
      <w:r w:rsidRPr="0044524F">
        <w:rPr>
          <w:rFonts w:ascii="Times New Roman" w:hAnsi="Times New Roman"/>
          <w:color w:val="000000" w:themeColor="text1"/>
          <w:sz w:val="16"/>
          <w:szCs w:val="16"/>
        </w:rPr>
        <w:softHyphen/>
        <w:t>тов сдано 2- и отставание по групповым комплектам,</w:t>
      </w:r>
    </w:p>
    <w:p w14:paraId="33C4970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 4 ОТД ЭКУ ОГПУ /КАЛЕЦКИЙ/ (4191).</w:t>
      </w:r>
    </w:p>
    <w:p w14:paraId="17E201C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октября 1933 была подготовлена:</w:t>
      </w:r>
    </w:p>
    <w:p w14:paraId="546B88F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w:t>
      </w:r>
    </w:p>
    <w:p w14:paraId="3C72126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МАТЕРИАЛОВ ПРЕДВАРИТЕЛЬНОГО СЛЕДСТВИЯ ПО ЗАВОДУ№ 21.</w:t>
      </w:r>
    </w:p>
    <w:p w14:paraId="7F387C0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ПОКАЗАНИЯ КУПРИЯНОВА:</w:t>
      </w:r>
    </w:p>
    <w:p w14:paraId="34FB732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21 самолета, сданных в июле в счет июньской про</w:t>
      </w:r>
      <w:r w:rsidRPr="0044524F">
        <w:rPr>
          <w:rFonts w:ascii="Times New Roman" w:hAnsi="Times New Roman"/>
          <w:color w:val="000000" w:themeColor="text1"/>
          <w:sz w:val="16"/>
          <w:szCs w:val="16"/>
        </w:rPr>
        <w:softHyphen/>
        <w:t>граммы, только машина № 2197 была задержана в заводе по вине завода № 29, все остальные 20 машин должны были пройти ряд операций производственного характера, прежде чем попасть в ящик. На каждой из этих машин требовалось времени на прохождение этих операций не менее 60-ти ра</w:t>
      </w:r>
      <w:r w:rsidRPr="0044524F">
        <w:rPr>
          <w:rFonts w:ascii="Times New Roman" w:hAnsi="Times New Roman"/>
          <w:color w:val="000000" w:themeColor="text1"/>
          <w:sz w:val="16"/>
          <w:szCs w:val="16"/>
        </w:rPr>
        <w:softHyphen/>
        <w:t>бочих часов. Дирекцией завода эти машины были сданы и коммерчески оформлены следующим образом: 27 и 28 июня были Заводоуправлением пред"явлены к техническому осмо</w:t>
      </w:r>
      <w:r w:rsidRPr="0044524F">
        <w:rPr>
          <w:rFonts w:ascii="Times New Roman" w:hAnsi="Times New Roman"/>
          <w:color w:val="000000" w:themeColor="text1"/>
          <w:sz w:val="16"/>
          <w:szCs w:val="16"/>
        </w:rPr>
        <w:softHyphen/>
        <w:t>тру ВОенпредству 15 машин из июньской программы, а 28 и 29 июня уже были Военпредом -ЖУКОВЫМ выданы на них удосто</w:t>
      </w:r>
      <w:r w:rsidRPr="0044524F">
        <w:rPr>
          <w:rFonts w:ascii="Times New Roman" w:hAnsi="Times New Roman"/>
          <w:color w:val="000000" w:themeColor="text1"/>
          <w:sz w:val="16"/>
          <w:szCs w:val="16"/>
        </w:rPr>
        <w:softHyphen/>
        <w:t>верения, свидетельствующие о 100% готовности этих машин к отправке в ящики. На этих удостоверениях за №№ 93 и 95 имеется примечание: "самолеты отправлены в ящиках УВВС." Фактически были отправлены 5 самолетов 17 июля, 3 само</w:t>
      </w:r>
      <w:r w:rsidRPr="0044524F">
        <w:rPr>
          <w:rFonts w:ascii="Times New Roman" w:hAnsi="Times New Roman"/>
          <w:color w:val="000000" w:themeColor="text1"/>
          <w:sz w:val="16"/>
          <w:szCs w:val="16"/>
        </w:rPr>
        <w:softHyphen/>
        <w:t>лета 23 июля, 5 самолетов 31 июля, а машина № 21128, числящаяся сданной по удостоверению № 95 в июне, пред</w:t>
      </w:r>
      <w:r w:rsidRPr="0044524F">
        <w:rPr>
          <w:rFonts w:ascii="Times New Roman" w:hAnsi="Times New Roman"/>
          <w:color w:val="000000" w:themeColor="text1"/>
          <w:sz w:val="16"/>
          <w:szCs w:val="16"/>
        </w:rPr>
        <w:softHyphen/>
        <w:t>полагалась к отправке только 7 августа, из-за отсутствия некоторых запасных частей, например: резины и платформ.</w:t>
      </w:r>
    </w:p>
    <w:p w14:paraId="2D7EAD1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показаний младшего Военпреда ИЕВЛЕВА, заместите</w:t>
      </w:r>
      <w:r w:rsidRPr="0044524F">
        <w:rPr>
          <w:rFonts w:ascii="Times New Roman" w:hAnsi="Times New Roman"/>
          <w:color w:val="000000" w:themeColor="text1"/>
          <w:sz w:val="16"/>
          <w:szCs w:val="16"/>
        </w:rPr>
        <w:softHyphen/>
        <w:t>ля Военпреда ЖУКОВА видно, что:</w:t>
      </w:r>
    </w:p>
    <w:p w14:paraId="6FC3FF9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программы проходит в ненормальных условиях, в сильной степени отражающейся на качестве продукции. Примером может служить июль</w:t>
      </w:r>
      <w:r w:rsidRPr="0044524F">
        <w:rPr>
          <w:rFonts w:ascii="Times New Roman" w:hAnsi="Times New Roman"/>
          <w:color w:val="000000" w:themeColor="text1"/>
          <w:sz w:val="16"/>
          <w:szCs w:val="16"/>
        </w:rPr>
        <w:softHyphen/>
        <w:t>ская программа. Не имея ряда деталей секторов газа, заливной с ис темы, краников фильтра, тяг и т.д. Самолеты пред являлись ОТК и, одновременно, Военной Приемке.</w:t>
      </w:r>
    </w:p>
    <w:p w14:paraId="4D31E7D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"Самолеы из сборочного цеха перебрасывались на аэродром в недоделанном виде. На мой вопрос АБРАМОВУ (Пом. Техн. директора, быв. вредитель, </w:t>
      </w:r>
      <w:r w:rsidRPr="0044524F">
        <w:rPr>
          <w:rFonts w:ascii="Times New Roman" w:hAnsi="Times New Roman"/>
          <w:smallCaps/>
          <w:color w:val="000000" w:themeColor="text1"/>
          <w:sz w:val="16"/>
          <w:szCs w:val="16"/>
        </w:rPr>
        <w:t xml:space="preserve">досрочно </w:t>
      </w:r>
      <w:r w:rsidRPr="0044524F">
        <w:rPr>
          <w:rFonts w:ascii="Times New Roman" w:hAnsi="Times New Roman"/>
          <w:color w:val="000000" w:themeColor="text1"/>
          <w:sz w:val="16"/>
          <w:szCs w:val="16"/>
        </w:rPr>
        <w:t>освобожденный), что это дело никуда не годится, что на устранение дефектов и недо</w:t>
      </w:r>
      <w:r w:rsidRPr="0044524F">
        <w:rPr>
          <w:rFonts w:ascii="Times New Roman" w:hAnsi="Times New Roman"/>
          <w:color w:val="000000" w:themeColor="text1"/>
          <w:sz w:val="16"/>
          <w:szCs w:val="16"/>
        </w:rPr>
        <w:softHyphen/>
        <w:t>лов на еэродраме затрачивается лишняя рабочая сила, время', средства, АБРАМОВ ответил, что "в цехе нет места". На ряд других требований с моей стороны АБРАМОВУ и КУПРИЯНОУ (ст. инженер сборочного цеха) я получил ответ: что если машина на аэродроме, то она считается готовой к полету, а если она здесь, то уже другое дело, тем более, что может кто нибудь навернуться из Москвы для проверки выполнения программы по отправленной телеграмме".</w:t>
      </w:r>
    </w:p>
    <w:p w14:paraId="0E986A7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показания мл. Военпреда ИЕВЛЕВА).</w:t>
      </w:r>
    </w:p>
    <w:p w14:paraId="083A248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показаний летчика ПАВЛУШОВА:</w:t>
      </w:r>
    </w:p>
    <w:p w14:paraId="39978D0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еще находится в стадии сборки, а военный представитель уже оплачивает заводу за самолет, т.е. приблизительно за 10 - 15 дней до поступления самолета в экспедицию. В результате сборочный цех пред"являет самолет Контрольному Отделу без многих монтажей и если Контрольный Отдел не принимает для осмотра са</w:t>
      </w:r>
      <w:r w:rsidRPr="0044524F">
        <w:rPr>
          <w:rFonts w:ascii="Times New Roman" w:hAnsi="Times New Roman"/>
          <w:color w:val="000000" w:themeColor="text1"/>
          <w:sz w:val="16"/>
          <w:szCs w:val="16"/>
        </w:rPr>
        <w:softHyphen/>
        <w:t>молет, то на него производиться нажим со сторо</w:t>
      </w:r>
      <w:r w:rsidRPr="0044524F">
        <w:rPr>
          <w:rFonts w:ascii="Times New Roman" w:hAnsi="Times New Roman"/>
          <w:color w:val="000000" w:themeColor="text1"/>
          <w:sz w:val="16"/>
          <w:szCs w:val="16"/>
        </w:rPr>
        <w:softHyphen/>
        <w:t>ны дирекции. Военнае представительство также осматривает незаконченные самолеты и требования снизило в последние 2 месяца июнь-июль по срав</w:t>
      </w:r>
      <w:r w:rsidRPr="0044524F">
        <w:rPr>
          <w:rFonts w:ascii="Times New Roman" w:hAnsi="Times New Roman"/>
          <w:color w:val="000000" w:themeColor="text1"/>
          <w:sz w:val="16"/>
          <w:szCs w:val="16"/>
        </w:rPr>
        <w:softHyphen/>
        <w:t>нению с мартом-апрелем. Сборочный цех стал самолеты выводить на аэродром совершенно недо</w:t>
      </w:r>
      <w:r w:rsidRPr="0044524F">
        <w:rPr>
          <w:rFonts w:ascii="Times New Roman" w:hAnsi="Times New Roman"/>
          <w:color w:val="000000" w:themeColor="text1"/>
          <w:sz w:val="16"/>
          <w:szCs w:val="16"/>
        </w:rPr>
        <w:softHyphen/>
        <w:t>деланными и все недоделки в большой суете и спешке производятся на аэродроме, при чем на ка</w:t>
      </w:r>
      <w:r w:rsidRPr="0044524F">
        <w:rPr>
          <w:rFonts w:ascii="Times New Roman" w:hAnsi="Times New Roman"/>
          <w:color w:val="000000" w:themeColor="text1"/>
          <w:sz w:val="16"/>
          <w:szCs w:val="16"/>
        </w:rPr>
        <w:softHyphen/>
        <w:t>чество отделки Военное представительство снизило требование. В результате спешки (т.е. пере</w:t>
      </w:r>
      <w:r w:rsidRPr="0044524F">
        <w:rPr>
          <w:rFonts w:ascii="Times New Roman" w:hAnsi="Times New Roman"/>
          <w:color w:val="000000" w:themeColor="text1"/>
          <w:sz w:val="16"/>
          <w:szCs w:val="16"/>
        </w:rPr>
        <w:softHyphen/>
        <w:t>выполнение программы) качество самолетов не улучшается, а ухудшается, при чем военное представи</w:t>
      </w:r>
      <w:r w:rsidRPr="0044524F">
        <w:rPr>
          <w:rFonts w:ascii="Times New Roman" w:hAnsi="Times New Roman"/>
          <w:color w:val="000000" w:themeColor="text1"/>
          <w:sz w:val="16"/>
          <w:szCs w:val="16"/>
        </w:rPr>
        <w:softHyphen/>
        <w:t>тельство это отлично видит.</w:t>
      </w:r>
    </w:p>
    <w:p w14:paraId="060A44C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облетываются недоделанными и летают только как летательные машины, а не как боевая и после полетов в экспедиции устраняются до 30 недоделок (дефекты). Конечно экспедиция устра няет эти недоделки, а часть их остается, т.к. самолет в экспедицию поступает в разобранном виде, например: патронные ящики в собранном виде самолета не вынимаются, а когда самолет разобран то ящики вынимаются свободно. Все самолеты, ко</w:t>
      </w:r>
      <w:r w:rsidRPr="0044524F">
        <w:rPr>
          <w:rFonts w:ascii="Times New Roman" w:hAnsi="Times New Roman"/>
          <w:color w:val="000000" w:themeColor="text1"/>
          <w:sz w:val="16"/>
          <w:szCs w:val="16"/>
        </w:rPr>
        <w:softHyphen/>
        <w:t>торые поступают на аэродром с т.н. дефектами, то эти дефекты просто являются недоделками, ко</w:t>
      </w:r>
      <w:r w:rsidRPr="0044524F">
        <w:rPr>
          <w:rFonts w:ascii="Times New Roman" w:hAnsi="Times New Roman"/>
          <w:color w:val="000000" w:themeColor="text1"/>
          <w:sz w:val="16"/>
          <w:szCs w:val="16"/>
        </w:rPr>
        <w:softHyphen/>
        <w:t>торые следовало бы устранять а цеху до полета"</w:t>
      </w:r>
    </w:p>
    <w:p w14:paraId="52FD23B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подлинным верно:</w:t>
      </w:r>
    </w:p>
    <w:p w14:paraId="5450F24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 Уполномоченного 4 отд. ЭКУ ОГПУ(Куторин) (4149,79).</w:t>
      </w:r>
    </w:p>
    <w:p w14:paraId="406ABDB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9FC28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 выписка из протокола № 14 КО</w:t>
      </w:r>
    </w:p>
    <w:p w14:paraId="39B7650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О недовыполнении программы заказов 1933 года по авиации</w:t>
      </w:r>
    </w:p>
    <w:p w14:paraId="4BAC45E4"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Комиссии в составе Кагановича М. (председатель), Прокофьева, Беленького, Королева, Алксниса, Жарова, Малахова, Копосова, Чернышева и Коврова в пяти дневный срок, на основе обмена мнений, разработать и доложить КО мероприятия по обеспечению выполнения всей программы 1933 года:</w:t>
      </w:r>
    </w:p>
    <w:p w14:paraId="2B020F1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Комиссии обратить особое внимание на:</w:t>
      </w:r>
    </w:p>
    <w:p w14:paraId="09091E2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устранение причин организационного и производственного порядка, препятствующих выполнению программы, в особенности на отстающих заводах №№ 1 и 31;</w:t>
      </w:r>
    </w:p>
    <w:p w14:paraId="3DD768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ликвидацию прорыва по производству самолетов новых типов (И7-М17, ТБ3-4М34, МБР4-2М34, Р6-2М34);</w:t>
      </w:r>
    </w:p>
    <w:p w14:paraId="0BDAAE1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усиление руководства работой ЦАГИ со стороны НКТП.</w:t>
      </w:r>
    </w:p>
    <w:p w14:paraId="5F55C3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расследования случаев сдачи и приемки дефектных моторов на заводе № 26 назначить комиссию в составе Беленького (председатель), Прокофьева, Павлуновского и Алксниса (Галактионов) (4191, 22).</w:t>
      </w:r>
    </w:p>
    <w:p w14:paraId="7846988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757085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 в районе дер. Татарово-Крылатское ТБ-3 перевез группу парашютистов в количестве 21 чел. (3853).</w:t>
      </w:r>
    </w:p>
    <w:p w14:paraId="70E8484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A298EA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были закончены дополнительные испытания МАВ-1 (ВОМИЗЫ-100), которые шли с 24 июля 1933. Морские испытания с корабля произведены в ладожском озере на глубинах от 5 до 43 морских саженей. 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 Сброшено с самолета 2 раза с бикфордовым шнуром и 7 раз с гидростатической отдачей (3052).</w:t>
      </w:r>
    </w:p>
    <w:p w14:paraId="4751913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F3D36A3"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A65D985"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0566FAE" w14:textId="77777777" w:rsidR="00CF276A" w:rsidRPr="0044524F" w:rsidRDefault="00CF276A" w:rsidP="009654CF">
      <w:pPr>
        <w:pStyle w:val="rtejustify"/>
        <w:spacing w:before="0" w:after="0"/>
        <w:rPr>
          <w:color w:val="000000" w:themeColor="text1"/>
          <w:sz w:val="16"/>
          <w:szCs w:val="16"/>
        </w:rPr>
      </w:pPr>
      <w:r w:rsidRPr="0044524F">
        <w:rPr>
          <w:rStyle w:val="af0"/>
          <w:bCs/>
          <w:i w:val="0"/>
          <w:color w:val="000000" w:themeColor="text1"/>
          <w:sz w:val="16"/>
          <w:szCs w:val="16"/>
        </w:rPr>
        <w:t>9 октября</w:t>
      </w:r>
      <w:r w:rsidRPr="0044524F">
        <w:rPr>
          <w:color w:val="000000" w:themeColor="text1"/>
          <w:sz w:val="16"/>
          <w:szCs w:val="16"/>
        </w:rPr>
        <w:t xml:space="preserve"> 1933. Постановление СТО СССР № 93с/о «О мероприятиях по форсированию строительства «Двигательстрой» (Махачкала) и развитии производства торпед». (ГА РФ. Ф. Р</w:t>
      </w:r>
      <w:r w:rsidRPr="0044524F">
        <w:rPr>
          <w:color w:val="000000" w:themeColor="text1"/>
          <w:sz w:val="16"/>
          <w:szCs w:val="16"/>
        </w:rPr>
        <w:noBreakHyphen/>
        <w:t>8418. Оп. 28. Д. 2. Л. 178</w:t>
      </w:r>
      <w:r w:rsidRPr="0044524F">
        <w:rPr>
          <w:color w:val="000000" w:themeColor="text1"/>
          <w:sz w:val="16"/>
          <w:szCs w:val="16"/>
        </w:rPr>
        <w:noBreakHyphen/>
        <w:t>182) (15460).</w:t>
      </w:r>
    </w:p>
    <w:p w14:paraId="0F0707B5" w14:textId="77777777" w:rsidR="00CF276A" w:rsidRPr="0044524F" w:rsidRDefault="00CF276A" w:rsidP="009654CF">
      <w:pPr>
        <w:pStyle w:val="rtejustify"/>
        <w:spacing w:before="0" w:after="0"/>
        <w:rPr>
          <w:color w:val="000000" w:themeColor="text1"/>
          <w:sz w:val="16"/>
          <w:szCs w:val="16"/>
        </w:rPr>
      </w:pPr>
    </w:p>
    <w:p w14:paraId="1BBF65A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9 октября 1933 года выписка из протокола № 14 КО</w:t>
      </w:r>
    </w:p>
    <w:p w14:paraId="18AB70A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Поручить т. Беленькому, совместно с т.т. Халепским и Павлуновским, проверить правильность оплаты НКВМором 411 танков Т-26 по недоделу 1932 г.</w:t>
      </w:r>
    </w:p>
    <w:p w14:paraId="040E3A9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Для рабочих, техников и инженеров,подлежащих призыву в 1933 г., по заводам им. Ворошиловаи Ижорскому, предоставить каждому по 100 отсрочек.</w:t>
      </w:r>
    </w:p>
    <w:p w14:paraId="30EAB75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ходе изготовления и сдаче подводных лодок по программе 1933 г.</w:t>
      </w:r>
    </w:p>
    <w:p w14:paraId="3787F0C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Перенести на следующее заседание</w:t>
      </w:r>
    </w:p>
    <w:p w14:paraId="752BCA6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 приобретении инотехпомощи по постройке крейсеров и эскадренных миноносцев и об отпуске валюты на приобретение автопилотов “Сперри”</w:t>
      </w:r>
    </w:p>
    <w:p w14:paraId="2C014E7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Отложить (4191,24).</w:t>
      </w:r>
    </w:p>
    <w:p w14:paraId="492B7B0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1C836E"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4EAE767"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2BC4F7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закончились заводские испытания ТБ-3 (АНТ-6) с М-34 производства 22 завода N 22201, которые проходили с 27 сентября 1933 (1017,169).</w:t>
      </w:r>
    </w:p>
    <w:p w14:paraId="3D410AD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34A34D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Пом. Нач. ГУАП Алмазов писал письмо на вх. N 203 от 25 сентября 1933 о том, что по программе на 4 кв. завод 24 д. сдать 5 МР-34Р, а в декабре - 15. Все выпущенные моторы д.б. пойти в распоряжение ЦАГИ. Первые 9 - по срочному заданию Правительства, а остальные - для МГ (2306,24).</w:t>
      </w:r>
    </w:p>
    <w:p w14:paraId="50D93E2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931F3D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в ОЭЛИД ЦАГИ в 12:15 на ЦА произошла поломка автожира 4-А, которого подломил л ОЭЛИД Саливачев (2331,248).</w:t>
      </w:r>
    </w:p>
    <w:p w14:paraId="4C63C31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A40103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В.Н.Евсеев совершил прыжок с ДН-4 с высоты 7200 м и был в свободном падении до высоты 150 м. - 132.5 сек (438,137). К.Е.В. в приказе N 163 наградил золотыми часами "Воздушному бойцу т. Евсееву за храбрость от РВС" (172,52).</w:t>
      </w:r>
    </w:p>
    <w:p w14:paraId="76BBC78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CE372CC" w14:textId="77777777" w:rsidR="00CF276A" w:rsidRPr="0044524F" w:rsidRDefault="00CF276A" w:rsidP="009654CF">
      <w:pPr>
        <w:spacing w:after="0" w:line="240" w:lineRule="auto"/>
        <w:jc w:val="both"/>
        <w:rPr>
          <w:rStyle w:val="ucoz-forum-post"/>
          <w:rFonts w:ascii="Times New Roman" w:eastAsiaTheme="majorEastAsia"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10 октября 1933 года</w:t>
      </w:r>
      <w:r w:rsidRPr="0044524F">
        <w:rPr>
          <w:rStyle w:val="ucoz-forum-post"/>
          <w:rFonts w:ascii="Times New Roman" w:eastAsiaTheme="majorEastAsia" w:hAnsi="Times New Roman"/>
          <w:color w:val="000000" w:themeColor="text1"/>
          <w:sz w:val="16"/>
          <w:szCs w:val="16"/>
        </w:rPr>
        <w:t xml:space="preserve"> Мировой рекорд затяжного парашютного прыжка - 7050 м, время падения - 132,5 сек., прыжок исполнен с высоты 7200 м, парашютист В.Н. Евсеев (14795).</w:t>
      </w:r>
    </w:p>
    <w:p w14:paraId="5CB7B846" w14:textId="77777777" w:rsidR="00CF276A" w:rsidRPr="0044524F" w:rsidRDefault="00CF276A" w:rsidP="009654CF">
      <w:pPr>
        <w:spacing w:after="0" w:line="240" w:lineRule="auto"/>
        <w:jc w:val="both"/>
        <w:rPr>
          <w:rStyle w:val="ucoz-forum-post"/>
          <w:rFonts w:ascii="Times New Roman" w:eastAsiaTheme="majorEastAsia" w:hAnsi="Times New Roman"/>
          <w:color w:val="000000" w:themeColor="text1"/>
          <w:sz w:val="16"/>
          <w:szCs w:val="16"/>
        </w:rPr>
      </w:pPr>
    </w:p>
    <w:p w14:paraId="150E105B" w14:textId="77777777" w:rsidR="008911EF" w:rsidRPr="0044524F" w:rsidRDefault="008911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г. инструктор парашютного дела военииый летчик Виктор Николаевич Евсеев установил новый мировой рекорд затяжного прыжка. Оставив самолет на высоте 7200 м, он падал, не раскрывая парошют 7050 м. Свободное падение продолжалось. 132 секунды и прекратилось на высоте 150 м. Прежний мировой рекорд 6220 м был установлен Евдокнмовым в августе этого года.</w:t>
      </w:r>
    </w:p>
    <w:p w14:paraId="57962D47" w14:textId="77777777" w:rsidR="008911EF" w:rsidRPr="0044524F" w:rsidRDefault="008911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12 октября 1933; ВВФ, 1936 № 8 (23370).</w:t>
      </w:r>
    </w:p>
    <w:p w14:paraId="3753DBCE" w14:textId="27242D9A" w:rsidR="008911EF" w:rsidRPr="0044524F" w:rsidRDefault="008911EF" w:rsidP="009654CF">
      <w:pPr>
        <w:spacing w:after="0" w:line="240" w:lineRule="auto"/>
        <w:jc w:val="both"/>
        <w:rPr>
          <w:rFonts w:ascii="Times New Roman" w:hAnsi="Times New Roman"/>
          <w:color w:val="000000" w:themeColor="text1"/>
          <w:sz w:val="16"/>
          <w:szCs w:val="16"/>
        </w:rPr>
      </w:pPr>
    </w:p>
    <w:p w14:paraId="0F25502A" w14:textId="77777777" w:rsidR="001F72EB"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258122F7"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627310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4 ТБ-1 с торпедами и 4 ТБ-1 с минами атаковали эсминец Карл Маркс, изображавший финский броненосец Вайнемяйнен. Удар поддерживали С-62, которые ставили дымзавесы и Р-5, подавлявшие легкими бомбами и пулеметами зенитные средства (3413,15).</w:t>
      </w:r>
    </w:p>
    <w:p w14:paraId="089198F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4A5FC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четыре машины ТБ-1 с торпедами и четыре с минами (естественно, без боевого заряда) атаковали эсминец "Карл Маркс", игравший роль финского броненосца "Вайнемяйнен". Удар поддерживали летающие лодки -дымзавес- чики С-62Б и легкие бомбардировщики Р-5, подавлявшие мелкими бомбами и пулеметным огнем зенитные средства противника. Ставилась задача поставить минную банку по курсу корабля, шедшего через проход в минном поле, сковать его маневр и атаковать торпедами. Но задуманная как согласованная операция сорвалась.</w:t>
      </w:r>
    </w:p>
    <w:p w14:paraId="7EC21FC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Эсминец вышел с минного поля почти на десять минут раньше, чем появились ТБ-1 П. Легкие бомбардировщики запоздали и не смогли сымитировать подавление зенитных средств. Мины поставили не по курсу корабля, а левее. От момента их падения в воду до постановки на заданную глубину прошло 10- 15 минут, причем сработала только одна МАВ-1 из трех сброшенных.</w:t>
      </w:r>
    </w:p>
    <w:p w14:paraId="784B39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Торпедоносцы пошли в атаку двумя парами, с севера и юга, под прикрытием дымовых завес. Северная группа появилась слишком поздно и слишком высоко, дым ее укрыть не мог. Поскольку Р-5 свою задачу не выполнили, зенитчики эсминца палили вовсю. Тем не менее, одна из торпед северной пары, сброшенная с дистанции 5 - 6 кабельтовых, попала в правый борт под мостиком. Одна торпеда другой пары прошла немного впереди носа эсминца (12001).</w:t>
      </w:r>
    </w:p>
    <w:p w14:paraId="78F4E24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59AC82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четыре ТБ-1а 121-й эскадрильи с торпедами и четыре с минами атаковали эсминец "Карл Маркс", изображавший финский броненосец "Вай- немяйнен". Удар поддерживали летающие лодки-дымзавесчи- ки С-62Б и легкие бомбардировщики Р-5, подавлявшие мелкими бомбами и пулеметным огнем зенитные средства. Ставилась задача поставить минную банку по курсу корабля, шедшего через проход в минном поле, сковать его маневр и атаковать торпедами На практике же скоординированного удара не получилось.</w:t>
      </w:r>
    </w:p>
    <w:p w14:paraId="7DFCE60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Эсминец вышел с минного поля почти на десять минут раньше, чем появились ТБ-1а. Легкие бомбардировщики запоздали и не смогли изобразить подавление зенитных средств. Мины поставили не по курсу корабля, а левее на 3 кабельтовых. От момента падения мин в воду до их постановки на заданную глубину прошло 10-15 мин, причем сработала только одна МАВ-1 из трех сброшенных.</w:t>
      </w:r>
    </w:p>
    <w:p w14:paraId="6A11189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Торпедоносцы атаковали двумя парами, с севера и юга, под прикрытием дымовых завес. Северная группа появилась слишком поздно и слишком высоко, дым ее укрыть не смог. Поскольку Р-5 свою задачу не выполнили, зенитчики эсминца палили вовсю. Тем не менее одна из торпед северной пары, сброшенная с дистанции 5-6 кабельтовых, попала в правый борт под мостиком. Одна из торпед другой пары прошла немного впереди носа эсминца (12002).</w:t>
      </w:r>
    </w:p>
    <w:p w14:paraId="2CE963D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AA927EA"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октября 1933 г. четыре машины ТБ-1П с торпедами и четыре с минами (естественно, без боевого заряда) атаковали эс</w:t>
      </w:r>
      <w:r w:rsidRPr="00142305">
        <w:rPr>
          <w:rFonts w:ascii="Times New Roman" w:hAnsi="Times New Roman"/>
          <w:color w:val="0070C0"/>
          <w:sz w:val="16"/>
          <w:szCs w:val="16"/>
        </w:rPr>
        <w:softHyphen/>
        <w:t>минец «Карл Маркс», игравший роль финского броненос</w:t>
      </w:r>
      <w:r w:rsidRPr="00142305">
        <w:rPr>
          <w:rFonts w:ascii="Times New Roman" w:hAnsi="Times New Roman"/>
          <w:color w:val="0070C0"/>
          <w:sz w:val="16"/>
          <w:szCs w:val="16"/>
        </w:rPr>
        <w:softHyphen/>
        <w:t>ца «Вайнемяйнен». Удар поддерживали летающие лодки Савойя С-62Б - постановщики дымовой завесы и легкие бомбардировщики Р-5, подавлявшие мелкими бомбами и пулеметным огнем зенитные средства противника. Ста</w:t>
      </w:r>
      <w:r w:rsidRPr="00142305">
        <w:rPr>
          <w:rFonts w:ascii="Times New Roman" w:hAnsi="Times New Roman"/>
          <w:color w:val="0070C0"/>
          <w:sz w:val="16"/>
          <w:szCs w:val="16"/>
        </w:rPr>
        <w:softHyphen/>
        <w:t>вилась задача поставить минную банку по курсу корабля, шедшего через проход в минном поле, сковать его маневр и атаковать торпедами. Но задуманная как согласованная операция сорвалась.</w:t>
      </w:r>
    </w:p>
    <w:p w14:paraId="066D1DA5"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Эсминец вышел с минного поля почти на десять минут раньше, чем появились ТБ-1П. Легкие бомбардировщики запоздали и не смогли сымитировать подавление зенит</w:t>
      </w:r>
      <w:r w:rsidRPr="00142305">
        <w:rPr>
          <w:rFonts w:ascii="Times New Roman" w:hAnsi="Times New Roman"/>
          <w:color w:val="0070C0"/>
          <w:sz w:val="16"/>
          <w:szCs w:val="16"/>
        </w:rPr>
        <w:softHyphen/>
        <w:t>ных средств. Мины поставили не по курсу корабля, а ле</w:t>
      </w:r>
      <w:r w:rsidRPr="00142305">
        <w:rPr>
          <w:rFonts w:ascii="Times New Roman" w:hAnsi="Times New Roman"/>
          <w:color w:val="0070C0"/>
          <w:sz w:val="16"/>
          <w:szCs w:val="16"/>
        </w:rPr>
        <w:softHyphen/>
        <w:t>вее. От момента их падения в воду до постановки на за</w:t>
      </w:r>
      <w:r w:rsidRPr="00142305">
        <w:rPr>
          <w:rFonts w:ascii="Times New Roman" w:hAnsi="Times New Roman"/>
          <w:color w:val="0070C0"/>
          <w:sz w:val="16"/>
          <w:szCs w:val="16"/>
        </w:rPr>
        <w:softHyphen/>
        <w:t>данную глубину прошло 10-15 минут, причем сработала только одна МАВ-1 из трех сброшенных.</w:t>
      </w:r>
    </w:p>
    <w:p w14:paraId="2316EA0E"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Торпедоносцы пошли в атаку двумя парами, с се</w:t>
      </w:r>
      <w:r w:rsidRPr="00142305">
        <w:rPr>
          <w:rFonts w:ascii="Times New Roman" w:hAnsi="Times New Roman"/>
          <w:color w:val="0070C0"/>
          <w:sz w:val="16"/>
          <w:szCs w:val="16"/>
        </w:rPr>
        <w:softHyphen/>
        <w:t>вера и юга, под прикрытием дымовых завес. Северная группа появилась слишком поздно и слишком высоко, дым ее укрыть не мог. Поскольку Р-5 свою задачу не выполнили, зенитчики с эсминца палили вовсю. Тем не менее, одна из торпед северной пары, сброшенная с дистанции 5-6 кабельтовых, попала в правый борт под мостиком. Одна торпеда другой пары прошла немного впереди носа эсминца (25004).</w:t>
      </w:r>
    </w:p>
    <w:p w14:paraId="411DEDE2" w14:textId="77777777" w:rsidR="00D64533" w:rsidRPr="00142305" w:rsidRDefault="00D64533" w:rsidP="00D64533">
      <w:pPr>
        <w:spacing w:after="0" w:line="240" w:lineRule="auto"/>
        <w:jc w:val="both"/>
        <w:rPr>
          <w:rFonts w:ascii="Times New Roman" w:hAnsi="Times New Roman"/>
          <w:color w:val="0070C0"/>
          <w:sz w:val="16"/>
          <w:szCs w:val="16"/>
        </w:rPr>
      </w:pPr>
    </w:p>
    <w:p w14:paraId="5BB38614" w14:textId="77777777" w:rsidR="00C97702" w:rsidRPr="0044524F" w:rsidRDefault="00C977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года Начальник ВВС в своем докладе Председателю РВС СССР писал:«1933 год является годом решительного перелома в развитии воздушно-десантного дела в РККА в целом и в ВВС в особенности. В 1933 г. произведен огромный сдвиг в отношении внедрения воздушно-десантного дела во все расчеты операций наземных, воздушных и отчасти морских сил» (Архив ЦДА и К. Ф. 50. Оп. 1. Д. 3. Л. 37.).</w:t>
      </w:r>
    </w:p>
    <w:p w14:paraId="112BA17C" w14:textId="77777777" w:rsidR="00C97702" w:rsidRPr="0044524F" w:rsidRDefault="00C977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9 месяцев 1933 года было совершено прыжков в 6 раз больше, чем за весь 1932 год, в абсолютном измерении – 14.800 и 2.480 прыжков соответственно. Было подготовлено инструкторов парашютного дела ВВС в 5.5 раз больше по сравнению с 1932 годом. С учетом инструкторской подготовки командного состава частей особого назначения эти цифры увеличивались вдвое. Штатные структуры ВДВ уделили должное внимание парашютной подготовке. Количество парашютных прыжков, выполненных штатными десантниками в 1933 г., более чем в 13 раз превысило уровень 1932 г. (21402).</w:t>
      </w:r>
    </w:p>
    <w:p w14:paraId="51DEBAF5" w14:textId="77777777" w:rsidR="00C97702" w:rsidRPr="0044524F" w:rsidRDefault="00C97702" w:rsidP="009654CF">
      <w:pPr>
        <w:spacing w:after="0" w:line="240" w:lineRule="auto"/>
        <w:jc w:val="both"/>
        <w:rPr>
          <w:rFonts w:ascii="Times New Roman" w:hAnsi="Times New Roman"/>
          <w:color w:val="000000" w:themeColor="text1"/>
          <w:sz w:val="16"/>
          <w:szCs w:val="16"/>
        </w:rPr>
      </w:pPr>
    </w:p>
    <w:p w14:paraId="10A85380"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4981CE9"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8686041" w14:textId="77777777" w:rsidR="00C97702" w:rsidRPr="0044524F" w:rsidRDefault="00C977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бомба уничтожает United Airlines Boeing 247 в воздухе около Честертон, Индиана, во время трансконтинентального перелета через Соединенные Штаты. Погибли все семь человек на борту. Это первый доказанный случай саботажа в гражданской авиации, хотя ни одного подозреваемого не выявлено (20802).</w:t>
      </w:r>
    </w:p>
    <w:p w14:paraId="47415CA1" w14:textId="77777777" w:rsidR="00C97702" w:rsidRPr="0044524F" w:rsidRDefault="00C97702" w:rsidP="009654CF">
      <w:pPr>
        <w:spacing w:after="0" w:line="240" w:lineRule="auto"/>
        <w:jc w:val="both"/>
        <w:rPr>
          <w:rFonts w:ascii="Times New Roman" w:hAnsi="Times New Roman"/>
          <w:color w:val="000000" w:themeColor="text1"/>
          <w:sz w:val="16"/>
          <w:szCs w:val="16"/>
        </w:rPr>
      </w:pPr>
    </w:p>
    <w:p w14:paraId="318B5D1D" w14:textId="77777777" w:rsidR="00C97702" w:rsidRPr="0044524F" w:rsidRDefault="00C9770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 Честертон, Индиана, США. Boeing-247 а/к United Air Lines разбился и сгорел, выполняя рейс из Кливленд в Чикаго. Все 7 человек на борту погибают... Самолёт выполнял трансконтинентальный рейс из Ньюарка в Окленд. На борту, помимо трёх членов экипажа, находилось ещё четыре пассажира. Боинг уже приземлялся в Кливленде и летел до следующей остановки в Чикаго, но взорвался в пути. Произошла детонация взрывного устройства, заложенного в багажный отсек; во взрывном устройстве использовался нитроглицерин. Возможно, устройство было оснащено часовым механизмом. Первый доказанный террористический акт в истории коммерческой авиации (22341).</w:t>
      </w:r>
    </w:p>
    <w:p w14:paraId="4A7FE618" w14:textId="77777777" w:rsidR="00C97702" w:rsidRPr="0044524F" w:rsidRDefault="00C97702" w:rsidP="009654CF">
      <w:pPr>
        <w:spacing w:after="0" w:line="240" w:lineRule="auto"/>
        <w:jc w:val="both"/>
        <w:rPr>
          <w:rFonts w:ascii="Times New Roman" w:hAnsi="Times New Roman"/>
          <w:color w:val="000000" w:themeColor="text1"/>
          <w:sz w:val="16"/>
          <w:szCs w:val="16"/>
        </w:rPr>
      </w:pPr>
    </w:p>
    <w:p w14:paraId="7A99CE1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10 октября 1933 нации западного полушария подписали в Рио де Жанейро договор о политики ненападения (2100).</w:t>
      </w:r>
    </w:p>
    <w:p w14:paraId="7984321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F820E7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был выпущен первый комплексный стиральный порошок Dreft компании Proctor &amp; Gamble (3481).</w:t>
      </w:r>
    </w:p>
    <w:p w14:paraId="1B72E0E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12AAB54"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CFB6BD6"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464E5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закончились гос. испытания по сокращению разбега самолета ТБ1-2М17 с помощью стартовых ракет, разработанных Реактивным НИИ (бывш. ГДЛ), которые проходили с 4 октября 1933 (6643).</w:t>
      </w:r>
    </w:p>
    <w:p w14:paraId="3DB33A2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приказа РВС № 0025 от 22 августа 1933 года настоящей комиссией были проведены в НИИ ВВС гос. испытания по ускорению взлета самолета ТБ1-2М17 со стартовыми ракетами.</w:t>
      </w:r>
    </w:p>
    <w:p w14:paraId="1FCAA04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B733016"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Стартовые ракеты конструкции Реактивного НИИ для ускорения взлета самолета ТБ1-2М17 гос. испытания прошли вполне удовлетворительно.</w:t>
      </w:r>
    </w:p>
    <w:p w14:paraId="4D089E9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5EB92E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ведущий испытания – Рязанов</w:t>
      </w:r>
    </w:p>
    <w:p w14:paraId="0149D75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ведущий испытания – Миндер</w:t>
      </w:r>
    </w:p>
    <w:p w14:paraId="08D6387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0144C845" w14:textId="77777777">
        <w:tc>
          <w:tcPr>
            <w:tcW w:w="5636" w:type="dxa"/>
          </w:tcPr>
          <w:p w14:paraId="1D41C2C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года</w:t>
            </w:r>
          </w:p>
        </w:tc>
        <w:tc>
          <w:tcPr>
            <w:tcW w:w="5636" w:type="dxa"/>
          </w:tcPr>
          <w:p w14:paraId="7ED9B6B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Приемка самолета на испытание.</w:t>
            </w:r>
          </w:p>
        </w:tc>
      </w:tr>
      <w:tr w:rsidR="004E10C1" w:rsidRPr="0044524F" w14:paraId="3535CCDB" w14:textId="77777777">
        <w:tc>
          <w:tcPr>
            <w:tcW w:w="5636" w:type="dxa"/>
          </w:tcPr>
          <w:p w14:paraId="46C3B92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w:t>
            </w:r>
          </w:p>
        </w:tc>
        <w:tc>
          <w:tcPr>
            <w:tcW w:w="5636" w:type="dxa"/>
          </w:tcPr>
          <w:p w14:paraId="5DA244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Взлеты с полетным весом 6500 кг и 7000 кг.</w:t>
            </w:r>
          </w:p>
        </w:tc>
      </w:tr>
      <w:tr w:rsidR="004E10C1" w:rsidRPr="0044524F" w14:paraId="18E3427B" w14:textId="77777777">
        <w:tc>
          <w:tcPr>
            <w:tcW w:w="5636" w:type="dxa"/>
          </w:tcPr>
          <w:p w14:paraId="6C00AE5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года</w:t>
            </w:r>
          </w:p>
        </w:tc>
        <w:tc>
          <w:tcPr>
            <w:tcW w:w="5636" w:type="dxa"/>
          </w:tcPr>
          <w:p w14:paraId="712E50E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 с полетным весом 7000 кг.</w:t>
            </w:r>
          </w:p>
        </w:tc>
      </w:tr>
      <w:tr w:rsidR="004E10C1" w:rsidRPr="0044524F" w14:paraId="52B29593" w14:textId="77777777">
        <w:tc>
          <w:tcPr>
            <w:tcW w:w="5636" w:type="dxa"/>
          </w:tcPr>
          <w:p w14:paraId="617A2CF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года</w:t>
            </w:r>
          </w:p>
        </w:tc>
        <w:tc>
          <w:tcPr>
            <w:tcW w:w="5636" w:type="dxa"/>
          </w:tcPr>
          <w:p w14:paraId="271B059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 с полетным весом 8000 кг.</w:t>
            </w:r>
          </w:p>
        </w:tc>
      </w:tr>
    </w:tbl>
    <w:p w14:paraId="2820FDD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 о. испытание заняло календарных дней, взлеты по программе – 3 дня (6643).</w:t>
      </w:r>
    </w:p>
    <w:p w14:paraId="14B63D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6EAE0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при полете для киносъемке разбился А.Ф.Анисимов (438,658).</w:t>
      </w:r>
    </w:p>
    <w:p w14:paraId="67163AD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12D06DA" w14:textId="77777777" w:rsidR="008911EF" w:rsidRPr="0044524F" w:rsidRDefault="008911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г. при полете для киносъемки разбился выдающийся военный летчик, один из виртуозов высшего пилотажа Александр Фролович Анисимов /род. 1897/. Анисимов начал службу в авиации в 1916 г. мотористом. В 1922 году окончил севастопольскую авиашколу, после чего служил в истребительной авиации, а с 1928 года был летчиком-испытателем в НИИ ВВС, где показал себя как новатор и непревзойденный 'мастер высшего пилотажа. Участвовал в испытании первых советских истребителей я авианосца ТБ-1.</w:t>
      </w:r>
    </w:p>
    <w:p w14:paraId="676CBFEC" w14:textId="77777777" w:rsidR="008911EF" w:rsidRPr="0044524F" w:rsidRDefault="008911E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/ВВФ, 1051, № 6/ (23370).</w:t>
      </w:r>
    </w:p>
    <w:p w14:paraId="520B9BC5" w14:textId="77777777" w:rsidR="008911EF" w:rsidRPr="0044524F" w:rsidRDefault="008911EF" w:rsidP="009654CF">
      <w:pPr>
        <w:spacing w:after="0" w:line="240" w:lineRule="auto"/>
        <w:jc w:val="both"/>
        <w:rPr>
          <w:rFonts w:ascii="Times New Roman" w:hAnsi="Times New Roman"/>
          <w:color w:val="000000" w:themeColor="text1"/>
          <w:sz w:val="16"/>
          <w:szCs w:val="16"/>
        </w:rPr>
      </w:pPr>
    </w:p>
    <w:p w14:paraId="5ADC728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на заседании Бюро Президиума ЦС ОХА принято решение при передаче ГИРД в военное ведомство исходить из того, что ОХА "преподносит ГИРД целиком как подарок Реввоенсовету к XVI годовщине Октября, о чем написать рапорт Наркомвоенмору" (ЦГАОР, ф. 8355, № 74(1), л. 1) (10676).</w:t>
      </w:r>
    </w:p>
    <w:p w14:paraId="562324E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D4C5731"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4B9A408"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0D68759" w14:textId="77777777" w:rsidR="00CF276A" w:rsidRPr="0044524F" w:rsidRDefault="00CF276A" w:rsidP="009654CF">
      <w:pPr>
        <w:pStyle w:val="rtejustify"/>
        <w:spacing w:before="0" w:after="0"/>
        <w:rPr>
          <w:color w:val="000000" w:themeColor="text1"/>
          <w:sz w:val="16"/>
          <w:szCs w:val="16"/>
        </w:rPr>
      </w:pPr>
      <w:r w:rsidRPr="0044524F">
        <w:rPr>
          <w:rStyle w:val="af0"/>
          <w:bCs/>
          <w:i w:val="0"/>
          <w:color w:val="000000" w:themeColor="text1"/>
          <w:sz w:val="16"/>
          <w:szCs w:val="16"/>
        </w:rPr>
        <w:t>11 октября</w:t>
      </w:r>
      <w:r w:rsidRPr="0044524F">
        <w:rPr>
          <w:color w:val="000000" w:themeColor="text1"/>
          <w:sz w:val="16"/>
          <w:szCs w:val="16"/>
        </w:rPr>
        <w:t xml:space="preserve"> 1933. Постановление СНК СССР № 25сс/о «Об ассигнованиях по общесоюзному бюджету на оборонные мероприятия в IV квартале 1933 г.». (ГА РФ. Ф. Р</w:t>
      </w:r>
      <w:r w:rsidRPr="0044524F">
        <w:rPr>
          <w:color w:val="000000" w:themeColor="text1"/>
          <w:sz w:val="16"/>
          <w:szCs w:val="16"/>
        </w:rPr>
        <w:noBreakHyphen/>
        <w:t>8418. Оп. 28. Д. 15. Л. 50</w:t>
      </w:r>
      <w:r w:rsidRPr="0044524F">
        <w:rPr>
          <w:color w:val="000000" w:themeColor="text1"/>
          <w:sz w:val="16"/>
          <w:szCs w:val="16"/>
        </w:rPr>
        <w:noBreakHyphen/>
        <w:t>52) (15460).</w:t>
      </w:r>
    </w:p>
    <w:p w14:paraId="31131CE7" w14:textId="77777777" w:rsidR="00CF276A" w:rsidRPr="0044524F" w:rsidRDefault="00CF276A" w:rsidP="009654CF">
      <w:pPr>
        <w:pStyle w:val="rtejustify"/>
        <w:spacing w:before="0" w:after="0"/>
        <w:rPr>
          <w:color w:val="000000" w:themeColor="text1"/>
          <w:sz w:val="16"/>
          <w:szCs w:val="16"/>
        </w:rPr>
      </w:pPr>
    </w:p>
    <w:p w14:paraId="06B90F52" w14:textId="77777777" w:rsidR="00863284" w:rsidRPr="0044524F" w:rsidRDefault="008632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опросом членов ПБ</w:t>
      </w:r>
    </w:p>
    <w:p w14:paraId="048D7A16" w14:textId="77777777" w:rsidR="00863284" w:rsidRPr="0044524F" w:rsidRDefault="008632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110/37.</w:t>
      </w:r>
    </w:p>
    <w:p w14:paraId="4291416F" w14:textId="77777777" w:rsidR="00863284" w:rsidRPr="0044524F" w:rsidRDefault="008632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К.О.</w:t>
      </w:r>
    </w:p>
    <w:p w14:paraId="598815F1" w14:textId="77777777" w:rsidR="00863284" w:rsidRPr="0044524F" w:rsidRDefault="008632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КО об отпуске в 1У кв.1933 г. из резерва СНК 5 млн.р. и выделении дополнительного импортного контингента - 50 т.р. "Двигательстрою”.</w:t>
      </w:r>
    </w:p>
    <w:p w14:paraId="54BE977D" w14:textId="2AA4DBB8" w:rsidR="00863284" w:rsidRPr="0044524F" w:rsidRDefault="008632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т.т. Базилевичу, Мирошникову.</w:t>
      </w:r>
    </w:p>
    <w:p w14:paraId="2EC6878E" w14:textId="77777777" w:rsidR="00863284" w:rsidRPr="0044524F" w:rsidRDefault="008632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состоялось заседание ПБ и был оформлен протокол № 147 (22997).</w:t>
      </w:r>
    </w:p>
    <w:p w14:paraId="114B10B4" w14:textId="77777777" w:rsidR="00863284" w:rsidRPr="0044524F" w:rsidRDefault="00863284" w:rsidP="009654CF">
      <w:pPr>
        <w:spacing w:after="0" w:line="240" w:lineRule="auto"/>
        <w:jc w:val="both"/>
        <w:rPr>
          <w:rFonts w:ascii="Times New Roman" w:hAnsi="Times New Roman"/>
          <w:color w:val="000000" w:themeColor="text1"/>
          <w:sz w:val="16"/>
          <w:szCs w:val="16"/>
        </w:rPr>
      </w:pPr>
    </w:p>
    <w:p w14:paraId="45488CE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11 октября 1933 был прием в состав МСБМ подводной лодки «Щука» — головной средней подводной лодки типа «Щ» III серии. </w:t>
      </w:r>
    </w:p>
    <w:p w14:paraId="0B52629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Полуторакорпусные подводные лодки типа «Щ» всех шести серий строились по проектам Б. М. Малинина (за основу был взят проект III серии). Они имели 6 отсеков, главный балласт размещался вне прочного корпуса в бортовых цистернах в виде булей. Подводные лодки отличались простотой конструкции, прочностью, надежностью систем и механизмов, обладали высокими по тому времени тактико-техническими характеристиками. В разобранном виде их можно было перевозить по железным дорогам. </w:t>
      </w:r>
    </w:p>
    <w:p w14:paraId="729D318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1938 ПЛ «Щ-402» и «Щ-403» участвовали в операции по эвакуации членов научно-исследовательской экспедиции со станции «Северный полюс-1». </w:t>
      </w:r>
    </w:p>
    <w:p w14:paraId="1382708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годы Великой Отечественной войны подводные лодки типа «Щ» активно участвовали в боевых действиях, 11 из них были награждены орденом Красного </w:t>
      </w:r>
    </w:p>
    <w:p w14:paraId="0E24769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Знамени, 6 удостоены гвардейского звания. Командирам лодок Н. А. Лунину («Щ-421»), Е. Я. Осипову («Щ-406»), М. С. Калинину («Щ-303»), С. Н. Богораду </w:t>
      </w:r>
    </w:p>
    <w:p w14:paraId="27E7310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(«Щ-310»), М. В. Грешилову («Щ-215») присвоено звание Героя Советского Союза. ПЛ «Щ-402» СФ под командованием старшего лейтенанта (затем капитана 3 ранга) Н. Г. Столбова, а с 31 августа 1942 капитана 3 ранга А. М. Каутского совершила 16 боевых походов и потопила 9 кораблей и транспортов противника общим водоизмещением около 50000 т. 3 апреля 1942 она была награждена орденом Красного Знамени, а 25 июля 1943 удостоена гвардейского звания (11712). </w:t>
      </w:r>
    </w:p>
    <w:p w14:paraId="6B5020F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C0DC4F9"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74A8077"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CE556B4" w14:textId="77777777" w:rsidR="00863284" w:rsidRPr="0044524F" w:rsidRDefault="008632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состоялся первый полет Блэкберн Перт (20802).</w:t>
      </w:r>
    </w:p>
    <w:p w14:paraId="653C2828" w14:textId="77777777" w:rsidR="00863284" w:rsidRPr="0044524F" w:rsidRDefault="00863284" w:rsidP="009654CF">
      <w:pPr>
        <w:spacing w:after="0" w:line="240" w:lineRule="auto"/>
        <w:jc w:val="both"/>
        <w:rPr>
          <w:rFonts w:ascii="Times New Roman" w:hAnsi="Times New Roman"/>
          <w:color w:val="000000" w:themeColor="text1"/>
          <w:sz w:val="16"/>
          <w:szCs w:val="16"/>
        </w:rPr>
      </w:pPr>
    </w:p>
    <w:p w14:paraId="402F206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в США поступил в продажу первый в мире стиральный порошок (4962).</w:t>
      </w:r>
    </w:p>
    <w:p w14:paraId="6AFA308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B25B970"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147CF4A"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AE7F5F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октября 1933 состоялся 4-й полет К-7 К.А.К. после увеличения углов серворулей поворота и положительного угла стабилизатора. Летали 0:27. Пробег 327 м, машина хорошо шла по прямой. Скорость - 190 км/час. Полетный вес - 29 тон. Эффективность РН - слабая, большие нагрузки на ноги. Течь водяного радиатора первого левого мотора - устранили (2306).</w:t>
      </w:r>
    </w:p>
    <w:p w14:paraId="7FD2F0E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6592631C" w14:textId="77777777">
        <w:tc>
          <w:tcPr>
            <w:tcW w:w="1384" w:type="dxa"/>
            <w:tcBorders>
              <w:top w:val="single" w:sz="12" w:space="0" w:color="auto"/>
            </w:tcBorders>
          </w:tcPr>
          <w:p w14:paraId="5A7072E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26F60A7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47FCA1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1BA073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18B3D75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4659294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7500649C" w14:textId="77777777">
        <w:tc>
          <w:tcPr>
            <w:tcW w:w="1384" w:type="dxa"/>
            <w:tcBorders>
              <w:bottom w:val="single" w:sz="12" w:space="0" w:color="auto"/>
            </w:tcBorders>
          </w:tcPr>
          <w:p w14:paraId="3BF117D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октября 1933</w:t>
            </w:r>
          </w:p>
        </w:tc>
        <w:tc>
          <w:tcPr>
            <w:tcW w:w="2410" w:type="dxa"/>
            <w:tcBorders>
              <w:bottom w:val="single" w:sz="12" w:space="0" w:color="auto"/>
            </w:tcBorders>
          </w:tcPr>
          <w:p w14:paraId="2B2C77D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4-й полет после увеличения углов серворулей поворота и положительного угла стабилизатора</w:t>
            </w:r>
          </w:p>
        </w:tc>
        <w:tc>
          <w:tcPr>
            <w:tcW w:w="1089" w:type="dxa"/>
            <w:tcBorders>
              <w:bottom w:val="single" w:sz="12" w:space="0" w:color="auto"/>
            </w:tcBorders>
          </w:tcPr>
          <w:p w14:paraId="63FD1E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- 0:10</w:t>
            </w:r>
          </w:p>
          <w:p w14:paraId="0094BB0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- 1:26</w:t>
            </w:r>
          </w:p>
          <w:p w14:paraId="64D7D9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- 0:27</w:t>
            </w:r>
          </w:p>
        </w:tc>
        <w:tc>
          <w:tcPr>
            <w:tcW w:w="3447" w:type="dxa"/>
            <w:tcBorders>
              <w:bottom w:val="single" w:sz="12" w:space="0" w:color="auto"/>
            </w:tcBorders>
          </w:tcPr>
          <w:p w14:paraId="47C89AC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 18 сек., высота 370 м</w:t>
            </w:r>
          </w:p>
          <w:p w14:paraId="75E679F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хорошо выдерживает прямую при старте.</w:t>
            </w:r>
          </w:p>
          <w:p w14:paraId="25E0EE7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Пробег - 327 м.</w:t>
            </w:r>
          </w:p>
          <w:p w14:paraId="412A067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шел с отпущенным управлением</w:t>
            </w:r>
          </w:p>
          <w:p w14:paraId="0446703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до 190 км/час, максимальное число оборотов по электрическому счетчику - 1450.</w:t>
            </w:r>
          </w:p>
          <w:p w14:paraId="1D4B292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Посадка при положительном угле стабилизатора (не соответствует посадочному)</w:t>
            </w:r>
          </w:p>
          <w:p w14:paraId="677566D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29 т</w:t>
            </w:r>
          </w:p>
        </w:tc>
        <w:tc>
          <w:tcPr>
            <w:tcW w:w="1776" w:type="dxa"/>
            <w:tcBorders>
              <w:bottom w:val="single" w:sz="12" w:space="0" w:color="auto"/>
            </w:tcBorders>
          </w:tcPr>
          <w:p w14:paraId="1DF8665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Слабая эффективность рулей поворота.</w:t>
            </w:r>
          </w:p>
          <w:p w14:paraId="5D7AA53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Большие нагрузки на ноги пилота.</w:t>
            </w:r>
          </w:p>
          <w:p w14:paraId="4522179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Течь водяного радиатора первого левого мотора (устранено)</w:t>
            </w:r>
          </w:p>
        </w:tc>
        <w:tc>
          <w:tcPr>
            <w:tcW w:w="1105" w:type="dxa"/>
            <w:tcBorders>
              <w:bottom w:val="single" w:sz="12" w:space="0" w:color="auto"/>
            </w:tcBorders>
          </w:tcPr>
          <w:p w14:paraId="47F09E9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2B20B48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20B967D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3D19F0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12 октября 1933 года начальник воздушно-десантной службы ВВС Татарченко.</w:t>
      </w:r>
    </w:p>
    <w:p w14:paraId="1BCF06B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работе ОКПБ ВВС и его начальника Гроховского</w:t>
      </w:r>
    </w:p>
    <w:p w14:paraId="7042852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Штат 1932 года 700 человек.</w:t>
      </w:r>
    </w:p>
    <w:p w14:paraId="42FA489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строго отделить работу коллектива бюро от работы его начальника. Бюро безусловно имеет некоторые достижения в своей работе над развитием парашютно и воздушно-десантной материальной части. На 90% бюро работало над грузовыми парашютами. Задача решена ОКПБ несовершенно. Кроме неблагоприятного соотношения весов все объекты имеют много дефектов конструктивного характера. Все они построены наспех, недоработаны, все нуждаются в коренных улучшениях. Опыт эксплуатации этой материальной части в войсках дал много данных в этом отношении. При более удовлетворительной работе госкомиссии по испытаниям объектов 1932 года многие дефекты можно было бы установить до передачи объектов на массовое изготовление. Часть объектов следовало совсем забраковать чего комиссия не сделала. Комиссия пропустила такие объекты как авиабусы, агитбомбы, агиткассеты и т.п., у которых соотношение весов сбрасываемого груза и веса приспособлений конструкций ОКПБ превосходят всякие границы вообще допустимого даже в первом приближении (составляя 208-424% от веса сбрасываемого груза).</w:t>
      </w:r>
    </w:p>
    <w:p w14:paraId="16BF773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Изобретательства в полном смысле этого слова во всей своей деятельности ни Бюро, ни лично Гроховский не проявили, если взять объекты в целом. Все это было повторением известного у нас или за границей. Сколько ни будь заметные формы изобретательства можно усмотреть лишь в некоторых деталях конструкций объектов.</w:t>
      </w:r>
    </w:p>
    <w:p w14:paraId="4A4E235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32AECC0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Очковтирательский трюк Гроховского состоял в том, что варианты одной и той же конструкции, а также отдельные детали конструкций он выдает за отдельные объекты. Так например, к парашюту можно подвесить бесконечное число предметов. На этом основании число объектов Гроховского можно было увеличить до бесконечности. В действительности по воздушно-десантной материальной части ОКПБ разрабатывало 5 тем - объектов:</w:t>
      </w:r>
    </w:p>
    <w:p w14:paraId="76D6C37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 (различных диаметров, из различного материала с разными подвесками);</w:t>
      </w:r>
    </w:p>
    <w:p w14:paraId="2815CE0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Тара для грузов, сбрасываемых на парашютах (мешки, баки, короба и т.п.);</w:t>
      </w:r>
    </w:p>
    <w:p w14:paraId="678CB62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Буксируемый планер много местный;</w:t>
      </w:r>
    </w:p>
    <w:p w14:paraId="1C3411E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Беспарашютное сбрасывание (авиабусы и др.);</w:t>
      </w:r>
    </w:p>
    <w:p w14:paraId="14A0168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Агитсредства для ПУРа.</w:t>
      </w:r>
    </w:p>
    <w:p w14:paraId="5C8BF3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ОКПБ бралось за решение различных задач не по воздушно-десантному делу. Сюда входят и реактивные пушки и бактериологические средства и автолебедки и телефоны и т.п.</w:t>
      </w:r>
    </w:p>
    <w:p w14:paraId="0016093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Здесь необходимо дать общую оценку этим основным работам Бюро. Бюро освоило иностранный парашют Ирвина, применило вместо шелка перкаль и в последнее время делает попытку применить для грузовых парашютов марлю. В области парашютного дела бюро имеет наибольшие заслуги. К сожалению все конструкции ОКПБ являются вариантом Ирвина. Ничего нового в области парашюта бюро не дало, между тем здесь много не терпящих отлагательства задач (управление, скоростные парашюты и т.д.).</w:t>
      </w:r>
    </w:p>
    <w:p w14:paraId="686C973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области создания тары для сбрасывания грузов нужно отметить мягкие мешки, баки и короба разной формы. Их общий недостаток - большая тяжесть, недоработанность деталей, порча аэродинамических качеств самолета.</w:t>
      </w:r>
    </w:p>
    <w:p w14:paraId="28F0F13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Агитсредства конструкции ОКПБ наиболее слабый участок в работе Бюро. Все они крайне тяжелы, портят аэродинамику самолета, мало надежны.</w:t>
      </w:r>
    </w:p>
    <w:p w14:paraId="3E62BE3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Беспарашютное сбрасывание и буксирные планеры пока не представлены ни одним удачным образцом. Авиабусы вообще негодная идея. Но оба эти отдела работы представляют большой интерес для ВД. Нужно констатировать, что бюро пока совершенно не справилось с поставленной ему задачей.</w:t>
      </w:r>
    </w:p>
    <w:p w14:paraId="6D28521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других не чисто ВД объектов необходимо указать на телефонную установку, буксируемую кабину, как на объекты представляющие интерес и посильные Бюро. Реактивные пушки, мины, приспособления для действия химическими и бактериологическими средствами не обещают никакого успеха при данном составе Бюро.</w:t>
      </w:r>
    </w:p>
    <w:p w14:paraId="3EE338B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степени выполнения плана ОКПБ ВВС (Гроховского) на 1933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361"/>
        <w:gridCol w:w="6095"/>
      </w:tblGrid>
      <w:tr w:rsidR="004E10C1" w:rsidRPr="0044524F" w14:paraId="47DF5CB4" w14:textId="77777777">
        <w:tc>
          <w:tcPr>
            <w:tcW w:w="4361" w:type="dxa"/>
          </w:tcPr>
          <w:p w14:paraId="2E02B87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Предъявляется на испытание НИИ ВВС недоделанные объекты не прошедшие заводских</w:t>
            </w:r>
          </w:p>
        </w:tc>
        <w:tc>
          <w:tcPr>
            <w:tcW w:w="6095" w:type="dxa"/>
          </w:tcPr>
          <w:p w14:paraId="396A8E3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32BE9F5" w14:textId="77777777">
        <w:tc>
          <w:tcPr>
            <w:tcW w:w="4361" w:type="dxa"/>
          </w:tcPr>
          <w:p w14:paraId="5EF4351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объектов</w:t>
            </w:r>
          </w:p>
        </w:tc>
        <w:tc>
          <w:tcPr>
            <w:tcW w:w="6095" w:type="dxa"/>
          </w:tcPr>
          <w:p w14:paraId="59A67D9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r>
      <w:tr w:rsidR="004E10C1" w:rsidRPr="0044524F" w14:paraId="6B168A41" w14:textId="77777777">
        <w:tc>
          <w:tcPr>
            <w:tcW w:w="4361" w:type="dxa"/>
          </w:tcPr>
          <w:p w14:paraId="26BB446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выполнено из них на 12 октября 1933 года</w:t>
            </w:r>
          </w:p>
        </w:tc>
        <w:tc>
          <w:tcPr>
            <w:tcW w:w="6095" w:type="dxa"/>
          </w:tcPr>
          <w:p w14:paraId="793B180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т.е. 66%</w:t>
            </w:r>
          </w:p>
        </w:tc>
      </w:tr>
      <w:tr w:rsidR="004E10C1" w:rsidRPr="0044524F" w14:paraId="70CF6B95" w14:textId="77777777">
        <w:tc>
          <w:tcPr>
            <w:tcW w:w="4361" w:type="dxa"/>
          </w:tcPr>
          <w:p w14:paraId="5AC2D03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испытаний на 12 октября 1933 года</w:t>
            </w:r>
          </w:p>
        </w:tc>
        <w:tc>
          <w:tcPr>
            <w:tcW w:w="6095" w:type="dxa"/>
          </w:tcPr>
          <w:p w14:paraId="7EBB419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т.е. 34%</w:t>
            </w:r>
          </w:p>
        </w:tc>
      </w:tr>
      <w:tr w:rsidR="004E10C1" w:rsidRPr="0044524F" w14:paraId="414AD3F9" w14:textId="77777777">
        <w:tc>
          <w:tcPr>
            <w:tcW w:w="4361" w:type="dxa"/>
          </w:tcPr>
          <w:p w14:paraId="605F228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Летающее крыло универс.</w:t>
            </w:r>
          </w:p>
        </w:tc>
        <w:tc>
          <w:tcPr>
            <w:tcW w:w="6095" w:type="dxa"/>
          </w:tcPr>
          <w:p w14:paraId="3CBD329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постройке на складе ВВС БМ N 17.</w:t>
            </w:r>
          </w:p>
        </w:tc>
      </w:tr>
      <w:tr w:rsidR="004E10C1" w:rsidRPr="0044524F" w14:paraId="251D3306" w14:textId="77777777">
        <w:tc>
          <w:tcPr>
            <w:tcW w:w="4361" w:type="dxa"/>
          </w:tcPr>
          <w:p w14:paraId="6EB2E0B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5F6447A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Полная готовность не раньше конца года.</w:t>
            </w:r>
          </w:p>
        </w:tc>
      </w:tr>
      <w:tr w:rsidR="004E10C1" w:rsidRPr="0044524F" w14:paraId="7A8D5F2A" w14:textId="77777777">
        <w:tc>
          <w:tcPr>
            <w:tcW w:w="4361" w:type="dxa"/>
          </w:tcPr>
          <w:p w14:paraId="6C3B3BD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37740FC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плану должно быть готово сентябрь-</w:t>
            </w:r>
          </w:p>
        </w:tc>
      </w:tr>
      <w:tr w:rsidR="004E10C1" w:rsidRPr="0044524F" w14:paraId="0291BFC8" w14:textId="77777777">
        <w:tc>
          <w:tcPr>
            <w:tcW w:w="4361" w:type="dxa"/>
          </w:tcPr>
          <w:p w14:paraId="1C88B85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4155CB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октябрь.</w:t>
            </w:r>
          </w:p>
        </w:tc>
      </w:tr>
      <w:tr w:rsidR="004E10C1" w:rsidRPr="0044524F" w14:paraId="1BFEBDDA" w14:textId="77777777">
        <w:tc>
          <w:tcPr>
            <w:tcW w:w="4361" w:type="dxa"/>
          </w:tcPr>
          <w:p w14:paraId="2C77081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Таран-истребитель</w:t>
            </w:r>
          </w:p>
        </w:tc>
        <w:tc>
          <w:tcPr>
            <w:tcW w:w="6095" w:type="dxa"/>
          </w:tcPr>
          <w:p w14:paraId="6D7E292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 До момента снятия сделано было</w:t>
            </w:r>
          </w:p>
        </w:tc>
      </w:tr>
      <w:tr w:rsidR="004E10C1" w:rsidRPr="0044524F" w14:paraId="1D52604F" w14:textId="77777777">
        <w:tc>
          <w:tcPr>
            <w:tcW w:w="4361" w:type="dxa"/>
          </w:tcPr>
          <w:p w14:paraId="16C61CA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945FEF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мало.</w:t>
            </w:r>
          </w:p>
        </w:tc>
      </w:tr>
      <w:tr w:rsidR="004E10C1" w:rsidRPr="0044524F" w14:paraId="73148D1D" w14:textId="77777777">
        <w:tc>
          <w:tcPr>
            <w:tcW w:w="4361" w:type="dxa"/>
          </w:tcPr>
          <w:p w14:paraId="7C457AB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Буксируемая кабина</w:t>
            </w:r>
          </w:p>
        </w:tc>
        <w:tc>
          <w:tcPr>
            <w:tcW w:w="6095" w:type="dxa"/>
          </w:tcPr>
          <w:p w14:paraId="1082557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Предъявляется на испытание НИИ. Данные</w:t>
            </w:r>
          </w:p>
        </w:tc>
      </w:tr>
      <w:tr w:rsidR="004E10C1" w:rsidRPr="0044524F" w14:paraId="7EC81F01" w14:textId="77777777">
        <w:tc>
          <w:tcPr>
            <w:tcW w:w="4361" w:type="dxa"/>
          </w:tcPr>
          <w:p w14:paraId="7676932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3DF86F0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пока не известны. </w:t>
            </w:r>
          </w:p>
        </w:tc>
      </w:tr>
      <w:tr w:rsidR="004E10C1" w:rsidRPr="0044524F" w14:paraId="17C862E2" w14:textId="77777777">
        <w:tc>
          <w:tcPr>
            <w:tcW w:w="4361" w:type="dxa"/>
          </w:tcPr>
          <w:p w14:paraId="5E5A63C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Буксируемая сеть</w:t>
            </w:r>
          </w:p>
        </w:tc>
        <w:tc>
          <w:tcPr>
            <w:tcW w:w="6095" w:type="dxa"/>
          </w:tcPr>
          <w:p w14:paraId="4CB35B7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Заводских испытаний не прошла.</w:t>
            </w:r>
          </w:p>
        </w:tc>
      </w:tr>
      <w:tr w:rsidR="004E10C1" w:rsidRPr="0044524F" w14:paraId="74A3BB2F" w14:textId="77777777">
        <w:tc>
          <w:tcPr>
            <w:tcW w:w="4361" w:type="dxa"/>
          </w:tcPr>
          <w:p w14:paraId="7D86479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50-местный планер буксируемый (проект)</w:t>
            </w:r>
          </w:p>
        </w:tc>
        <w:tc>
          <w:tcPr>
            <w:tcW w:w="6095" w:type="dxa"/>
          </w:tcPr>
          <w:p w14:paraId="2375AE1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 т.к. мало было сделано по 18-местному</w:t>
            </w:r>
          </w:p>
        </w:tc>
      </w:tr>
      <w:tr w:rsidR="004E10C1" w:rsidRPr="0044524F" w14:paraId="12967BC6" w14:textId="77777777">
        <w:tc>
          <w:tcPr>
            <w:tcW w:w="4361" w:type="dxa"/>
          </w:tcPr>
          <w:p w14:paraId="4850E15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61E112A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планеру.</w:t>
            </w:r>
          </w:p>
        </w:tc>
      </w:tr>
      <w:tr w:rsidR="004E10C1" w:rsidRPr="0044524F" w14:paraId="4B9E73A1" w14:textId="77777777">
        <w:tc>
          <w:tcPr>
            <w:tcW w:w="4361" w:type="dxa"/>
          </w:tcPr>
          <w:p w14:paraId="3217174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Автосцепка планера с летящим самолетом</w:t>
            </w:r>
          </w:p>
        </w:tc>
        <w:tc>
          <w:tcPr>
            <w:tcW w:w="6095" w:type="dxa"/>
          </w:tcPr>
          <w:p w14:paraId="3AE3AE3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выполнено.</w:t>
            </w:r>
          </w:p>
        </w:tc>
      </w:tr>
      <w:tr w:rsidR="004E10C1" w:rsidRPr="0044524F" w14:paraId="3D1B823F" w14:textId="77777777">
        <w:tc>
          <w:tcPr>
            <w:tcW w:w="4361" w:type="dxa"/>
          </w:tcPr>
          <w:p w14:paraId="18C6BB8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18-местный планер буксируемый </w:t>
            </w:r>
          </w:p>
        </w:tc>
        <w:tc>
          <w:tcPr>
            <w:tcW w:w="6095" w:type="dxa"/>
          </w:tcPr>
          <w:p w14:paraId="1B162F2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Ремонт старого планера, Разбит при первой</w:t>
            </w:r>
          </w:p>
        </w:tc>
      </w:tr>
      <w:tr w:rsidR="004E10C1" w:rsidRPr="0044524F" w14:paraId="37AC7FFA" w14:textId="77777777">
        <w:tc>
          <w:tcPr>
            <w:tcW w:w="4361" w:type="dxa"/>
          </w:tcPr>
          <w:p w14:paraId="636082A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088028D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же попытке испытания вследствие</w:t>
            </w:r>
          </w:p>
        </w:tc>
      </w:tr>
      <w:tr w:rsidR="004E10C1" w:rsidRPr="0044524F" w14:paraId="446C1BE5" w14:textId="77777777">
        <w:tc>
          <w:tcPr>
            <w:tcW w:w="4361" w:type="dxa"/>
          </w:tcPr>
          <w:p w14:paraId="6FB65D8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22FF23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неудовлетвор. Конструкции.</w:t>
            </w:r>
          </w:p>
        </w:tc>
      </w:tr>
      <w:tr w:rsidR="004E10C1" w:rsidRPr="0044524F" w14:paraId="61885B44" w14:textId="77777777">
        <w:tc>
          <w:tcPr>
            <w:tcW w:w="4361" w:type="dxa"/>
          </w:tcPr>
          <w:p w14:paraId="0276F9F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Парашютная кабина на 12 и 35 чел.</w:t>
            </w:r>
          </w:p>
        </w:tc>
        <w:tc>
          <w:tcPr>
            <w:tcW w:w="6095" w:type="dxa"/>
          </w:tcPr>
          <w:p w14:paraId="295FF6B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проект забракован. Дальн.</w:t>
            </w:r>
          </w:p>
        </w:tc>
      </w:tr>
      <w:tr w:rsidR="004E10C1" w:rsidRPr="0044524F" w14:paraId="749A07EF" w14:textId="77777777">
        <w:tc>
          <w:tcPr>
            <w:tcW w:w="4361" w:type="dxa"/>
          </w:tcPr>
          <w:p w14:paraId="4722248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03E1482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работы неизвестно.</w:t>
            </w:r>
          </w:p>
        </w:tc>
      </w:tr>
      <w:tr w:rsidR="004E10C1" w:rsidRPr="0044524F" w14:paraId="7CE4F9CD" w14:textId="77777777">
        <w:tc>
          <w:tcPr>
            <w:tcW w:w="4361" w:type="dxa"/>
          </w:tcPr>
          <w:p w14:paraId="542F611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Грузовой парашют 40 м дл.</w:t>
            </w:r>
          </w:p>
        </w:tc>
        <w:tc>
          <w:tcPr>
            <w:tcW w:w="6095" w:type="dxa"/>
          </w:tcPr>
          <w:p w14:paraId="38ADC17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 на испыт. НИИ не пройдя заводск.</w:t>
            </w:r>
          </w:p>
        </w:tc>
      </w:tr>
      <w:tr w:rsidR="004E10C1" w:rsidRPr="0044524F" w14:paraId="2A58C870" w14:textId="77777777">
        <w:tc>
          <w:tcPr>
            <w:tcW w:w="4361" w:type="dxa"/>
          </w:tcPr>
          <w:p w14:paraId="7750376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5B6AC6C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w:t>
            </w:r>
          </w:p>
        </w:tc>
      </w:tr>
      <w:tr w:rsidR="004E10C1" w:rsidRPr="0044524F" w14:paraId="7A926B92" w14:textId="77777777">
        <w:tc>
          <w:tcPr>
            <w:tcW w:w="4361" w:type="dxa"/>
          </w:tcPr>
          <w:p w14:paraId="2B0E4C1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Грузовой парашют 62 м дл.</w:t>
            </w:r>
          </w:p>
        </w:tc>
        <w:tc>
          <w:tcPr>
            <w:tcW w:w="6095" w:type="dxa"/>
          </w:tcPr>
          <w:p w14:paraId="5E8A4BF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 на испыт. НИИ не пройдя заводск.</w:t>
            </w:r>
          </w:p>
        </w:tc>
      </w:tr>
      <w:tr w:rsidR="004E10C1" w:rsidRPr="0044524F" w14:paraId="177A74E5" w14:textId="77777777">
        <w:tc>
          <w:tcPr>
            <w:tcW w:w="4361" w:type="dxa"/>
          </w:tcPr>
          <w:p w14:paraId="5E35BC7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E8D22B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w:t>
            </w:r>
          </w:p>
        </w:tc>
      </w:tr>
      <w:tr w:rsidR="004E10C1" w:rsidRPr="0044524F" w14:paraId="59183C73" w14:textId="77777777">
        <w:tc>
          <w:tcPr>
            <w:tcW w:w="4361" w:type="dxa"/>
          </w:tcPr>
          <w:p w14:paraId="4FE32C9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Парашютная подцепка д/танка</w:t>
            </w:r>
          </w:p>
        </w:tc>
        <w:tc>
          <w:tcPr>
            <w:tcW w:w="6095" w:type="dxa"/>
          </w:tcPr>
          <w:p w14:paraId="5931731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 на испыт. НИИ не пройдя заводск.</w:t>
            </w:r>
          </w:p>
        </w:tc>
      </w:tr>
      <w:tr w:rsidR="004E10C1" w:rsidRPr="0044524F" w14:paraId="6885C672" w14:textId="77777777">
        <w:tc>
          <w:tcPr>
            <w:tcW w:w="4361" w:type="dxa"/>
          </w:tcPr>
          <w:p w14:paraId="11D3E97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09B10E7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w:t>
            </w:r>
          </w:p>
        </w:tc>
      </w:tr>
      <w:tr w:rsidR="004E10C1" w:rsidRPr="0044524F" w14:paraId="21894D75" w14:textId="77777777">
        <w:tc>
          <w:tcPr>
            <w:tcW w:w="4361" w:type="dxa"/>
          </w:tcPr>
          <w:p w14:paraId="6F1AF8F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Комбинированная грузовая кабина</w:t>
            </w:r>
          </w:p>
        </w:tc>
        <w:tc>
          <w:tcPr>
            <w:tcW w:w="6095" w:type="dxa"/>
          </w:tcPr>
          <w:p w14:paraId="78CE686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8F7A374" w14:textId="77777777">
        <w:tc>
          <w:tcPr>
            <w:tcW w:w="4361" w:type="dxa"/>
          </w:tcPr>
          <w:p w14:paraId="2B6D40F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парашютная</w:t>
            </w:r>
          </w:p>
        </w:tc>
        <w:tc>
          <w:tcPr>
            <w:tcW w:w="6095" w:type="dxa"/>
          </w:tcPr>
          <w:p w14:paraId="19623E2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деталь объекта N 1, а не самостоятельн.</w:t>
            </w:r>
          </w:p>
        </w:tc>
      </w:tr>
      <w:tr w:rsidR="004E10C1" w:rsidRPr="0044524F" w14:paraId="41E2267B" w14:textId="77777777">
        <w:tc>
          <w:tcPr>
            <w:tcW w:w="4361" w:type="dxa"/>
          </w:tcPr>
          <w:p w14:paraId="7F467CF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E3427A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объект. Данные не известны.</w:t>
            </w:r>
          </w:p>
        </w:tc>
      </w:tr>
      <w:tr w:rsidR="004E10C1" w:rsidRPr="0044524F" w14:paraId="700BCE22" w14:textId="77777777">
        <w:tc>
          <w:tcPr>
            <w:tcW w:w="4361" w:type="dxa"/>
          </w:tcPr>
          <w:p w14:paraId="1BEB1D5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Десантная кабина на 4 человека</w:t>
            </w:r>
          </w:p>
        </w:tc>
        <w:tc>
          <w:tcPr>
            <w:tcW w:w="6095" w:type="dxa"/>
          </w:tcPr>
          <w:p w14:paraId="25D1789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выполнена.</w:t>
            </w:r>
          </w:p>
        </w:tc>
      </w:tr>
      <w:tr w:rsidR="004E10C1" w:rsidRPr="0044524F" w14:paraId="6BFADF6A" w14:textId="77777777">
        <w:tc>
          <w:tcPr>
            <w:tcW w:w="4361" w:type="dxa"/>
          </w:tcPr>
          <w:p w14:paraId="0FEFDEA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Беспарашютный грузосбрасыв. 80 кг</w:t>
            </w:r>
          </w:p>
        </w:tc>
        <w:tc>
          <w:tcPr>
            <w:tcW w:w="6095" w:type="dxa"/>
          </w:tcPr>
          <w:p w14:paraId="003E2AC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Данных нет. Первые образцы неудачны,</w:t>
            </w:r>
          </w:p>
        </w:tc>
      </w:tr>
      <w:tr w:rsidR="004E10C1" w:rsidRPr="0044524F" w14:paraId="184C4CB6" w14:textId="77777777">
        <w:tc>
          <w:tcPr>
            <w:tcW w:w="4361" w:type="dxa"/>
          </w:tcPr>
          <w:p w14:paraId="1259D34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1B0B371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обр. скоро будет готов.</w:t>
            </w:r>
          </w:p>
        </w:tc>
      </w:tr>
      <w:tr w:rsidR="004E10C1" w:rsidRPr="0044524F" w14:paraId="23F959BB" w14:textId="77777777">
        <w:tc>
          <w:tcPr>
            <w:tcW w:w="4361" w:type="dxa"/>
          </w:tcPr>
          <w:p w14:paraId="4227AB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Санитарные подвесные носилки на Р-5</w:t>
            </w:r>
          </w:p>
        </w:tc>
        <w:tc>
          <w:tcPr>
            <w:tcW w:w="6095" w:type="dxa"/>
          </w:tcPr>
          <w:p w14:paraId="06DE94A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выполнена.</w:t>
            </w:r>
          </w:p>
        </w:tc>
      </w:tr>
      <w:tr w:rsidR="004E10C1" w:rsidRPr="0044524F" w14:paraId="663857C7" w14:textId="77777777">
        <w:tc>
          <w:tcPr>
            <w:tcW w:w="4361" w:type="dxa"/>
          </w:tcPr>
          <w:p w14:paraId="2FF421F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 связь с самолетом</w:t>
            </w:r>
          </w:p>
        </w:tc>
        <w:tc>
          <w:tcPr>
            <w:tcW w:w="6095" w:type="dxa"/>
          </w:tcPr>
          <w:p w14:paraId="43C7E21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Предъявляется НИИ для исп.</w:t>
            </w:r>
          </w:p>
        </w:tc>
      </w:tr>
      <w:tr w:rsidR="004E10C1" w:rsidRPr="0044524F" w14:paraId="41829ECB" w14:textId="77777777">
        <w:tc>
          <w:tcPr>
            <w:tcW w:w="4361" w:type="dxa"/>
          </w:tcPr>
          <w:p w14:paraId="1A8C509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Прокладка телефона на 30 км</w:t>
            </w:r>
          </w:p>
        </w:tc>
        <w:tc>
          <w:tcPr>
            <w:tcW w:w="6095" w:type="dxa"/>
          </w:tcPr>
          <w:p w14:paraId="13FBE4B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выполнена.</w:t>
            </w:r>
          </w:p>
        </w:tc>
      </w:tr>
      <w:tr w:rsidR="004E10C1" w:rsidRPr="0044524F" w14:paraId="12E7B5B2" w14:textId="77777777">
        <w:tc>
          <w:tcPr>
            <w:tcW w:w="4361" w:type="dxa"/>
          </w:tcPr>
          <w:p w14:paraId="4B12A8D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Автолебедка для взлета самолетов</w:t>
            </w:r>
          </w:p>
        </w:tc>
        <w:tc>
          <w:tcPr>
            <w:tcW w:w="6095" w:type="dxa"/>
          </w:tcPr>
          <w:p w14:paraId="25E30FF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выполнена.</w:t>
            </w:r>
          </w:p>
        </w:tc>
      </w:tr>
      <w:tr w:rsidR="004E10C1" w:rsidRPr="0044524F" w14:paraId="52D34B55" w14:textId="77777777">
        <w:tc>
          <w:tcPr>
            <w:tcW w:w="4361" w:type="dxa"/>
          </w:tcPr>
          <w:p w14:paraId="5E322E0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Оборудование десантного корабля К-7</w:t>
            </w:r>
          </w:p>
        </w:tc>
        <w:tc>
          <w:tcPr>
            <w:tcW w:w="6095" w:type="dxa"/>
          </w:tcPr>
          <w:p w14:paraId="461C9D8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Ничего не сделано.</w:t>
            </w:r>
          </w:p>
        </w:tc>
      </w:tr>
      <w:tr w:rsidR="004E10C1" w:rsidRPr="0044524F" w14:paraId="3148073E" w14:textId="77777777">
        <w:tc>
          <w:tcPr>
            <w:tcW w:w="4361" w:type="dxa"/>
          </w:tcPr>
          <w:p w14:paraId="0EFDE42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 парашют-разведка</w:t>
            </w:r>
          </w:p>
        </w:tc>
        <w:tc>
          <w:tcPr>
            <w:tcW w:w="6095" w:type="dxa"/>
          </w:tcPr>
          <w:p w14:paraId="3D278C8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w:t>
            </w:r>
          </w:p>
        </w:tc>
      </w:tr>
      <w:tr w:rsidR="004E10C1" w:rsidRPr="0044524F" w14:paraId="3776614B" w14:textId="77777777">
        <w:tc>
          <w:tcPr>
            <w:tcW w:w="4361" w:type="dxa"/>
          </w:tcPr>
          <w:p w14:paraId="334A9F5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Различные экспериментальные работы</w:t>
            </w:r>
          </w:p>
        </w:tc>
        <w:tc>
          <w:tcPr>
            <w:tcW w:w="6095" w:type="dxa"/>
          </w:tcPr>
          <w:p w14:paraId="50CF302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B02AC1F" w14:textId="77777777">
        <w:tc>
          <w:tcPr>
            <w:tcW w:w="4361" w:type="dxa"/>
          </w:tcPr>
          <w:p w14:paraId="537F450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ОВ, термиты, бактер. и т.п.</w:t>
            </w:r>
          </w:p>
        </w:tc>
        <w:tc>
          <w:tcPr>
            <w:tcW w:w="6095" w:type="dxa"/>
          </w:tcPr>
          <w:p w14:paraId="5487DBA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объекта предъявл. НИИ для испытаний.</w:t>
            </w:r>
          </w:p>
        </w:tc>
      </w:tr>
      <w:tr w:rsidR="004E10C1" w:rsidRPr="0044524F" w14:paraId="10A94D0D" w14:textId="77777777">
        <w:tc>
          <w:tcPr>
            <w:tcW w:w="4361" w:type="dxa"/>
          </w:tcPr>
          <w:p w14:paraId="3092174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6F93B59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Данных об остальных нет.</w:t>
            </w:r>
          </w:p>
        </w:tc>
      </w:tr>
      <w:tr w:rsidR="004E10C1" w:rsidRPr="0044524F" w14:paraId="07F4740D" w14:textId="77777777">
        <w:tc>
          <w:tcPr>
            <w:tcW w:w="4361" w:type="dxa"/>
          </w:tcPr>
          <w:p w14:paraId="49FDA96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Агитпланер</w:t>
            </w:r>
          </w:p>
        </w:tc>
        <w:tc>
          <w:tcPr>
            <w:tcW w:w="6095" w:type="dxa"/>
          </w:tcPr>
          <w:p w14:paraId="2358279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w:t>
            </w:r>
          </w:p>
        </w:tc>
      </w:tr>
      <w:tr w:rsidR="004E10C1" w:rsidRPr="0044524F" w14:paraId="3C0F567F" w14:textId="77777777">
        <w:tc>
          <w:tcPr>
            <w:tcW w:w="4361" w:type="dxa"/>
          </w:tcPr>
          <w:p w14:paraId="4814CB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Агитстат парашютный</w:t>
            </w:r>
          </w:p>
        </w:tc>
        <w:tc>
          <w:tcPr>
            <w:tcW w:w="6095" w:type="dxa"/>
          </w:tcPr>
          <w:p w14:paraId="60C3368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w:t>
            </w:r>
          </w:p>
        </w:tc>
      </w:tr>
      <w:tr w:rsidR="004E10C1" w:rsidRPr="0044524F" w14:paraId="6BF40000" w14:textId="77777777">
        <w:tc>
          <w:tcPr>
            <w:tcW w:w="4361" w:type="dxa"/>
          </w:tcPr>
          <w:p w14:paraId="3376193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Кассета для ударных агитбомб</w:t>
            </w:r>
          </w:p>
        </w:tc>
        <w:tc>
          <w:tcPr>
            <w:tcW w:w="6095" w:type="dxa"/>
          </w:tcPr>
          <w:p w14:paraId="54B2D72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другим названием предъявлен НИИ</w:t>
            </w:r>
          </w:p>
        </w:tc>
      </w:tr>
      <w:tr w:rsidR="004E10C1" w:rsidRPr="0044524F" w14:paraId="0331619E" w14:textId="77777777">
        <w:tc>
          <w:tcPr>
            <w:tcW w:w="4361" w:type="dxa"/>
          </w:tcPr>
          <w:p w14:paraId="0AB0F93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6095" w:type="dxa"/>
          </w:tcPr>
          <w:p w14:paraId="425648B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испытания.</w:t>
            </w:r>
          </w:p>
        </w:tc>
      </w:tr>
      <w:tr w:rsidR="004E10C1" w:rsidRPr="0044524F" w14:paraId="56D2CC96" w14:textId="77777777">
        <w:tc>
          <w:tcPr>
            <w:tcW w:w="4361" w:type="dxa"/>
          </w:tcPr>
          <w:p w14:paraId="187A8D8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Радио-установка агитационная</w:t>
            </w:r>
          </w:p>
        </w:tc>
        <w:tc>
          <w:tcPr>
            <w:tcW w:w="6095" w:type="dxa"/>
          </w:tcPr>
          <w:p w14:paraId="3094C83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выполнена.</w:t>
            </w:r>
          </w:p>
        </w:tc>
      </w:tr>
      <w:tr w:rsidR="004E10C1" w:rsidRPr="0044524F" w14:paraId="0E7FD207" w14:textId="77777777">
        <w:tc>
          <w:tcPr>
            <w:tcW w:w="4361" w:type="dxa"/>
          </w:tcPr>
          <w:p w14:paraId="6FFF7D1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Вертикальная агитмина</w:t>
            </w:r>
          </w:p>
        </w:tc>
        <w:tc>
          <w:tcPr>
            <w:tcW w:w="6095" w:type="dxa"/>
          </w:tcPr>
          <w:p w14:paraId="376DE89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другим названием предъявлена НИИ.</w:t>
            </w:r>
          </w:p>
        </w:tc>
      </w:tr>
    </w:tbl>
    <w:p w14:paraId="58A917B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1934 год Бюро задач не разработало.</w:t>
      </w:r>
    </w:p>
    <w:p w14:paraId="6A003BD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Общее заключение</w:t>
      </w:r>
    </w:p>
    <w:p w14:paraId="2603CDC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Нет сомнений, что план ОКПБ в 1933 году даже формально не будет выполнен, даже на 50%. По существу же план вряд ли будет выполнен на 25%/</w:t>
      </w:r>
    </w:p>
    <w:p w14:paraId="7AFAAAC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Фактический план ОКПБ на 1933 год сорван.</w:t>
      </w:r>
    </w:p>
    <w:p w14:paraId="7D77744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он на 34%, по существу же не больше чем на 25%. Из 35 объектов утвержденный на 1933 год на 12... 1933 года не выполнено 23, т.е. 66%.</w:t>
      </w:r>
    </w:p>
    <w:p w14:paraId="6AB5BBA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слабого технического руководства Гроховского и погони за рекламой многие объекты построены наспех, недоделаны, имеют крупные дефекты конструктивного порядка.</w:t>
      </w:r>
    </w:p>
    <w:p w14:paraId="58ED2ED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E29DB6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за 1,5 года израсходовано 202717 руб. Помимо этого велась политика повышения цен на поставляемое серийное имущество доходившее по отдельным предметам до 490% их действительной стоимости.</w:t>
      </w:r>
    </w:p>
    <w:p w14:paraId="46D298D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83F5B1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Вследствие всех этих безобразий царивших за последнее время в ОКПБ нарком Ворошилов приказал ликвидировать ОКПБ как самостоятельное учреждение и влить его в качестве парашютно-десантного отдела в НИИ ВВС, подчинив его начальнику НИИ (3853,128-142).</w:t>
      </w:r>
    </w:p>
    <w:p w14:paraId="5195233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3747DED" w14:textId="77777777" w:rsidR="00755546" w:rsidRPr="0044524F" w:rsidRDefault="0075554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октября 1933 г .закончился перелет военного летчика Дмитрия Александ</w:t>
      </w:r>
      <w:r w:rsidRPr="0044524F">
        <w:rPr>
          <w:rFonts w:ascii="Times New Roman" w:hAnsi="Times New Roman"/>
          <w:color w:val="000000" w:themeColor="text1"/>
          <w:sz w:val="16"/>
          <w:szCs w:val="16"/>
        </w:rPr>
        <w:softHyphen/>
        <w:t>ровича Ко шица ин буксируемом планере из Коктебеля в Москву, начатый 1 октября. На планере Ш-5 с пассажиром Д. С. Зосимом, буксируемым самолетом Р-5 /пилот Н.Федосеев/, Кошиц пролетел по ломаному маршруту Коктебель-Севастополь - Запорожье-Одесса-Киев-Харьков-Ростов - Сталинград-Казань-Пеиза-Воронеж-Брянск-Москва, покрыв расстояние 5025 им за 34 летных часа. В этом перелете Кошиц перекрыл всесоюзный рекорд дальности буксировки 3550 км, установленный Юдиным и Стародумовым в августе этого года, и мировой рекорд 4200 км, установленный американцами.</w:t>
      </w:r>
    </w:p>
    <w:p w14:paraId="670FCBE1" w14:textId="77777777" w:rsidR="00755546" w:rsidRPr="0044524F" w:rsidRDefault="0075554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/"Красная звезда" за 14 октября 1933;«Самолет», 1933 № 12/ (23370).</w:t>
      </w:r>
    </w:p>
    <w:p w14:paraId="640D6E52" w14:textId="77777777" w:rsidR="00755546" w:rsidRPr="0044524F" w:rsidRDefault="00755546" w:rsidP="009654CF">
      <w:pPr>
        <w:spacing w:after="0" w:line="240" w:lineRule="auto"/>
        <w:jc w:val="both"/>
        <w:rPr>
          <w:rFonts w:ascii="Times New Roman" w:hAnsi="Times New Roman"/>
          <w:color w:val="000000" w:themeColor="text1"/>
          <w:sz w:val="16"/>
          <w:szCs w:val="16"/>
        </w:rPr>
      </w:pPr>
    </w:p>
    <w:p w14:paraId="3BAE9BB1" w14:textId="77777777" w:rsidR="0004162D" w:rsidRPr="0044524F" w:rsidRDefault="0004162D" w:rsidP="009654CF">
      <w:pPr>
        <w:autoSpaceDE w:val="0"/>
        <w:autoSpaceDN w:val="0"/>
        <w:adjustRightInd w:val="0"/>
        <w:spacing w:after="0" w:line="240" w:lineRule="auto"/>
        <w:jc w:val="both"/>
        <w:rPr>
          <w:rFonts w:ascii="Times New Roman" w:hAnsi="Times New Roman"/>
          <w:i/>
          <w:color w:val="000000" w:themeColor="text1"/>
          <w:sz w:val="16"/>
          <w:szCs w:val="16"/>
        </w:rPr>
      </w:pPr>
      <w:r w:rsidRPr="0044524F">
        <w:rPr>
          <w:rFonts w:ascii="Times New Roman" w:hAnsi="Times New Roman"/>
          <w:i/>
          <w:color w:val="000000" w:themeColor="text1"/>
          <w:sz w:val="16"/>
          <w:szCs w:val="16"/>
        </w:rPr>
        <w:t>Жизнь и внутренняя политика:</w:t>
      </w:r>
    </w:p>
    <w:p w14:paraId="3497B309" w14:textId="77777777" w:rsidR="0004162D" w:rsidRPr="0044524F" w:rsidRDefault="0004162D" w:rsidP="009654CF">
      <w:pPr>
        <w:autoSpaceDE w:val="0"/>
        <w:autoSpaceDN w:val="0"/>
        <w:adjustRightInd w:val="0"/>
        <w:spacing w:after="0" w:line="240" w:lineRule="auto"/>
        <w:jc w:val="both"/>
        <w:rPr>
          <w:rFonts w:ascii="Times New Roman" w:hAnsi="Times New Roman"/>
          <w:i/>
          <w:color w:val="000000" w:themeColor="text1"/>
          <w:sz w:val="16"/>
          <w:szCs w:val="16"/>
        </w:rPr>
      </w:pPr>
    </w:p>
    <w:p w14:paraId="6F441FAA" w14:textId="77777777" w:rsidR="0004162D" w:rsidRPr="0044524F" w:rsidRDefault="0004162D"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12 октября 1933 Москву смогли информировать, что Челюскин, «ценою пробоины в правом борту», все же прорвалось за мыс Сердце-Камень, расположенный всего в 100 километрах от Берингова пролива.</w:t>
      </w:r>
    </w:p>
    <w:p w14:paraId="237F9CEE" w14:textId="77777777" w:rsidR="0004162D" w:rsidRPr="0044524F" w:rsidRDefault="0004162D"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тот же день на имя О.Ю. Шмидта из Москвы поступила ободряющая телеграмма, подписанная В.М. Молотовым и В.В. Куйбышевым: «Горячо приветствуем Вас и всех участников экспедиции, находящейся, как мы твердо уверены, перед успешным завершением дела. Ждем в ближайшие дни ваших сообщений о прохождении Берингова пролива».</w:t>
      </w:r>
    </w:p>
    <w:p w14:paraId="71B4225C" w14:textId="77777777" w:rsidR="0004162D" w:rsidRPr="0044524F" w:rsidRDefault="0004162D"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Но и неделю спустя «Челюскин» все еще не мог выйти в Тихий океан. Теперь Шмидту приходилось чуть ли не оправдываться в задержке. «Проходим мыс Уникин, в шестидесяти метрах от Берингова пролива, — радировал он в столицу. — Лед очень тяжелый»14. Зато тогда же смог Шмидт сообщить и о бесспорном успехе. О спасении больных пассажиров «Севера», «Анадыря» и «Хабаровска». Создание Северо-восточной авиагруппы ГУСМП, располагавшей всего пятью самолетами — «Савойя», «Дорнье-Валь», «Юнкерс» и два У-2, да постройка самой примитивной взлетно-посадочной полосы, гордо именуемой аэродром мыса Северный, оказались решающими. Только благодаря им буквально в считанные дни удалось эвакуировать на материк самолетами 67 человек, и еще, но на собачьих упряжках, — 16 (20467).</w:t>
      </w:r>
    </w:p>
    <w:p w14:paraId="269723B3" w14:textId="77777777" w:rsidR="0004162D" w:rsidRPr="0044524F" w:rsidRDefault="0004162D" w:rsidP="009654CF">
      <w:pPr>
        <w:spacing w:after="0" w:line="240" w:lineRule="auto"/>
        <w:jc w:val="both"/>
        <w:rPr>
          <w:rFonts w:ascii="Times New Roman" w:hAnsi="Times New Roman"/>
          <w:color w:val="000000" w:themeColor="text1"/>
          <w:sz w:val="16"/>
          <w:szCs w:val="16"/>
        </w:rPr>
      </w:pPr>
    </w:p>
    <w:p w14:paraId="6173F959"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931B069"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249874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октября 1933 в США тюрьма Alcatraz стала тюрьмой высшей защиты (2100).</w:t>
      </w:r>
    </w:p>
    <w:p w14:paraId="19D6C40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F2AD3DF"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90F0CF9"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17162B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октября 1933 был подписан Отчет по гос. испытаниям самолета Зет N 39020 с мотором ЮVI-9АQ 480/560 нр N 42151 Х-6,9 винт N 40460 Д-2.8 Н-2,1 (2303,69).</w:t>
      </w:r>
    </w:p>
    <w:p w14:paraId="15E480B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7A2AA07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 целью определения вопроса о целесообразности серийной постройки самолета с использованием построенной малой серии.</w:t>
      </w:r>
    </w:p>
    <w:p w14:paraId="505B6AC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полученные данные</w:t>
      </w:r>
    </w:p>
    <w:p w14:paraId="5E1BEA8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Вес пустого с несъемным оборудованием - 1320 кг</w:t>
      </w:r>
    </w:p>
    <w:p w14:paraId="7001D4A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Нагрузка - 328</w:t>
      </w:r>
    </w:p>
    <w:p w14:paraId="1148C63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Полетный вес - 1648</w:t>
      </w:r>
    </w:p>
    <w:p w14:paraId="2FE81B7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Макс. гор. скорость у земли - 259 км/час</w:t>
      </w:r>
    </w:p>
    <w:p w14:paraId="7671AF7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Макс. гор. скорость на 3000 м - 248 км/час</w:t>
      </w:r>
    </w:p>
    <w:p w14:paraId="02664EC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Макс. гор. скорость на 5000 м - 239 км/час</w:t>
      </w:r>
    </w:p>
    <w:p w14:paraId="29E86E8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Скороподъемность (с форсированным газом) на 3000 м - 6.5 м</w:t>
      </w:r>
    </w:p>
    <w:p w14:paraId="54E4E2C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Скороподъемность (с форсированным газом) на 5000 м - 14 м.</w:t>
      </w:r>
    </w:p>
    <w:p w14:paraId="6BDD8DF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Практический потолок - 7000 м</w:t>
      </w:r>
    </w:p>
    <w:p w14:paraId="2D9C1F1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Время одинарного виража на 1000 м - 18.8 с</w:t>
      </w:r>
    </w:p>
    <w:p w14:paraId="5962620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Время восьмерки на 1000 м - 40 с</w:t>
      </w:r>
    </w:p>
    <w:p w14:paraId="2E5816E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0473DD7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Констатировать, что для истребителя вооруженного двумя пушками АПК-4 и одним пулеметом ПВ-1 при полной нагрузке 556 кг и невысотном мотором ЮVI полученные данные: скороподъемность, потолок и маневренность являются достаточно удовлетворительными.</w:t>
      </w:r>
    </w:p>
    <w:p w14:paraId="6C03B22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Максимальная гор. скорость 259 км/час для моноплана с большой нагрузкой на кв. м крыла совершенно недостаточна. Малая скорость в основном объясняется:</w:t>
      </w:r>
    </w:p>
    <w:p w14:paraId="64D6B4D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неудачной конструкцией шасси</w:t>
      </w:r>
    </w:p>
    <w:p w14:paraId="1BE5B11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большим сопротивлением пушек</w:t>
      </w:r>
    </w:p>
    <w:p w14:paraId="55C7B6A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неудобообтекаемой формой фюзеляжа</w:t>
      </w:r>
    </w:p>
    <w:p w14:paraId="69B6920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Артиллерийское вооружение самолета испытание выдержало. (см. стр. 20 заключения по вооружению).</w:t>
      </w:r>
    </w:p>
    <w:p w14:paraId="1C0C4E2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Запас горючего, обеспечивающий тех. дальность 310 км, недостаточен.</w:t>
      </w:r>
    </w:p>
    <w:p w14:paraId="1F1F694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Невозможность путем перегрузки самолета увеличить общее количество снарядов выше 14 - недопустимо.</w:t>
      </w:r>
    </w:p>
    <w:p w14:paraId="13161E8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Невозможность установки рации (за счет перегрузки) на ведущем самолете с тактической точки зрения недопустимо.7. Отсутствие электрооборудования для пушечного самолета является недопустимым.</w:t>
      </w:r>
    </w:p>
    <w:p w14:paraId="529E368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Конструкция самолета после 300-350 выстрелов требует заводского ремонта.</w:t>
      </w:r>
    </w:p>
    <w:p w14:paraId="1A9E9A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Самолет обладает рядом дефектов (см. стр. 2), наиболее серьезным из которых является невозможность полета при открытом кране обоих баков.</w:t>
      </w:r>
    </w:p>
    <w:p w14:paraId="51A6A34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00D3136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Построенные самолеты Зет, вооруженные двумя пушками АПК-4 бис и пулеметом ПВ-1 могут быть приняты на вооружение ВВС РККА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 указанных на стр. 2.</w:t>
      </w:r>
    </w:p>
    <w:p w14:paraId="3C9CB8E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Считать целесообразным построенные самолеты И-зет сосредоточить в одной части ВВС с проведением в ней Войсковых испытаний самолета при следующих в основном цель технического и тактического освоения нового оружия (пушки АПК).</w:t>
      </w:r>
    </w:p>
    <w:p w14:paraId="636F39C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Считать необходимым заводу 133 произвести модификацию самолета И-зет с предъявлением модифицированного экз. на гос. испытания не позднее 1 марта 1934.</w:t>
      </w:r>
    </w:p>
    <w:p w14:paraId="3D07AE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Модифицированный самолет должен обладать гор. скоростью у земли не ниже 300 км/час.</w:t>
      </w:r>
    </w:p>
    <w:p w14:paraId="6AC6FAF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За счет перегрузки на модифицированном самолете д.б. предусмотрено:</w:t>
      </w:r>
    </w:p>
    <w:p w14:paraId="6E960CE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увеличение емкости бензобаков на 60-70 кг</w:t>
      </w:r>
    </w:p>
    <w:p w14:paraId="0D79BE7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б) увеличение количества снарядов до 20 шт.</w:t>
      </w:r>
    </w:p>
    <w:p w14:paraId="128D2FF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установка электрооборудования для ночных полетов</w:t>
      </w:r>
    </w:p>
    <w:p w14:paraId="4D75711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сделать легкосъемные установки радио 14-СК для командирских самолетов</w:t>
      </w:r>
    </w:p>
    <w:p w14:paraId="2D815EB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Прочность конструкции самолета д. допускать производство 1000 выстрелов.</w:t>
      </w:r>
    </w:p>
    <w:p w14:paraId="571AA17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Вес конструкции самолета д.б. не выше 1000 кг (вместо 1092).</w:t>
      </w:r>
    </w:p>
    <w:p w14:paraId="33B2158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При модификации самолета д.б. учтено устранение дефектов, указанных на стр. 22-24 сводки. Врид ГИ-М ВВС РККА Горощенко, Ком. бриг. НИИ ВВС Залевский, Зам. нач. 7 Сектора НИИ ВВС РККА Жемчужин" (2303,70).</w:t>
      </w:r>
    </w:p>
    <w:p w14:paraId="51F16D3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5F8545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октября 1933 состоялось совещание у Нач. Авиапрома Королева (протокол 138) и постановили:</w:t>
      </w:r>
    </w:p>
    <w:p w14:paraId="12C75FC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заводу 22</w:t>
      </w:r>
    </w:p>
    <w:p w14:paraId="05B1F93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М17 и М-34 - 300</w:t>
      </w:r>
    </w:p>
    <w:p w14:paraId="17B15A2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Р-6 - 150-200</w:t>
      </w:r>
    </w:p>
    <w:p w14:paraId="09DBD74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МИ-3 - 100</w:t>
      </w:r>
    </w:p>
    <w:p w14:paraId="51DF254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 заводу 31</w:t>
      </w:r>
    </w:p>
    <w:p w14:paraId="78A5BDC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МБР-2 - основной</w:t>
      </w:r>
    </w:p>
    <w:p w14:paraId="096E62D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МДР-4 - второй</w:t>
      </w:r>
    </w:p>
    <w:p w14:paraId="6AD2D38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 заводу 39</w:t>
      </w:r>
    </w:p>
    <w:p w14:paraId="3508F04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АНТ-14 вместо ТБ-3</w:t>
      </w:r>
    </w:p>
    <w:p w14:paraId="32F79E4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 заводу 24</w:t>
      </w:r>
    </w:p>
    <w:p w14:paraId="6080D22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 заводам 26 и 29</w:t>
      </w:r>
    </w:p>
    <w:p w14:paraId="490A13E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капстроительству (2286,92).</w:t>
      </w:r>
    </w:p>
    <w:p w14:paraId="22A97B0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AE2732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октября 1933 состоялось совещание у зам. нач. ЦАГИ А.Н.Т. по вопросу о моторах Ми-3 (1077,247).</w:t>
      </w:r>
    </w:p>
    <w:p w14:paraId="3C69237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8828D2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октября 1933 г. самолет ТБ-1 № 750, на котором установили автопилот АВП-2, сопряженный с приборами управления по радио, самопроизвольно перешел в пикирование, но пилот отреагировал вовремя. Выяснилось, что отказал АВП-2.</w:t>
      </w:r>
    </w:p>
    <w:p w14:paraId="336F0EB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работы достигли такой стадии, что машина с этой аппаратурой уже могла летать. Опытным образцом. Сначала опробовали только автопилот. Автоматику подстраховывал сидевший в кабине летчик Агров. В октябре на этом самолете совершили перелеты Москва - Клин - Москва и Москва - Одоев - Москва - Загорск - Москва. Общий курс выдерживался удовлетворительно, но скорость сильно колебалась, а несколько раз пилоту пришлось браться за штурвал.</w:t>
      </w:r>
    </w:p>
    <w:p w14:paraId="4693E5E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Затем перешли на управление по радио (но опять с присутствием на борту летчика). Командный пост расположили на вышке Центрального аэродрома. Выяснилось, что повторную команду на поворот можно выдать не ранее, чем через 40 с после первой - устройство не успевает срабатывать. Угол разворота не мог быть больше 55°.</w:t>
      </w:r>
    </w:p>
    <w:p w14:paraId="32E8D3C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его ремонта попробовали атаковать условную цель - перекресток шоссе и железной дороги в Химках. Управлять летающей бомбой должны были с борта ТБ-3. По плану ТБ-1 требовалось совершить перелет до Сенежского озера, вернуться и пройти точно над контрольным пунктом у перекрестка. Две недели ушли на попытки выполнить этот план. То не работала радиостанция на ТБ-3, то мешала непогода. Наилучшим достижением оказался полет до Дмитрова и обратно; операторам наведения не удавалось провести ТБ-1 ближе, чем в 100 м от контрольного пункта. Неожиданным препятствием явился параллакс. Оператору казалось, что наводимый им самолет идет правильно, а на самом деле он двигался в стороне от цели.</w:t>
      </w:r>
    </w:p>
    <w:p w14:paraId="2912080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Впоследствии на ТБ-1 опробовали много различных автопилотов и несколько усовершенствованных систем радиоуправления. В июле 1935 г. заместитель наркома обороны М.Н. Тухачевский утвердил задание на комплекс, получивший позже обозначение ТМС-36. Он состоял из двух "телемеханических" (радиоуправляемых) ТБ-1 и самолета наведения ТБ-3. "Летающие бомбы", загруженные взрывчаткой или ОВ, поднимались в воздух пилотами, выбрасывавшимися затем на парашютах. Дальше к цели их вели операторы с борта ТБ-3, шедшего сзади в отдалении 10 - 20 км.</w:t>
      </w:r>
    </w:p>
    <w:p w14:paraId="33CA18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Задача была решена, опытные самолеты построены и испытаны, но на вооружение ТМС-36 не приняли. Надежность системы по-прежнему оставалась недостаточной.</w:t>
      </w:r>
    </w:p>
    <w:p w14:paraId="6B2770A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Лишь в конце 1930-х гг. удалось предъявить более-менее пригодную к боевому применению "летающую бомбу". В мае 1939 г. Военному совету ВВС продемонстрировали полеты ТБ-1 № 712, управляемого по радио от взлета до посадки. Экипажа на самолете не было. В акте комиссия записала: "Проведенные испытания доказали, что впервые в СССР... разрешена проблема создания телемеханического самолета..." Полученный опыт помог при проектировании других, более современных, радиоуправляемых машин (12001).</w:t>
      </w:r>
    </w:p>
    <w:p w14:paraId="6318B4B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36F68D1" w14:textId="77777777" w:rsidR="002346CC" w:rsidRPr="0044524F" w:rsidRDefault="002346CC"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13 октября 1933 года во время испытаний ТМС, управляемого по радио, но с присутствием на борту летчика (командные сигналы подавались с вышки Центрального аэродрома в Москве) произошел сбой в системе управления, после чего самолет самопроизвольно перешел в пикирование, но пилот вовремя отреагировал и взял управление на себя. Выяснилось, что причиной сбоя стал отказ АВП-2. После ремонта автопилота запланировали попробовать атаковать условную цель – перекресток шоссе и железной дороги в Химках.</w:t>
      </w:r>
    </w:p>
    <w:p w14:paraId="14150C32" w14:textId="77777777" w:rsidR="002346CC" w:rsidRPr="0044524F" w:rsidRDefault="002346CC"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Управлять ТМС должны были с борта самолета управления ТБ-3. Планировалось, что ТМС совершит перелет до Сенежского озера, вернется и пройдет точно над контрольным пунктом у перекрестка. Испытания длились две недели, наилучшим достижением оказался полет до Дмитрова и обратно с отклонением около 100 м при прохождении контрольного пункта.</w:t>
      </w:r>
    </w:p>
    <w:p w14:paraId="06818DCB" w14:textId="77777777" w:rsidR="002346CC" w:rsidRPr="0044524F" w:rsidRDefault="002346CC"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Впоследствии на ТБ-1 опробовали много различных конструкций автопилотов (пневматические, гидравлические, электромеханические) и несколько усовершенствованных систем радиоуправления (22290).</w:t>
      </w:r>
    </w:p>
    <w:p w14:paraId="33295DFE" w14:textId="77777777" w:rsidR="002346CC" w:rsidRPr="0044524F" w:rsidRDefault="002346CC" w:rsidP="009654CF">
      <w:pPr>
        <w:spacing w:after="0" w:line="240" w:lineRule="auto"/>
        <w:jc w:val="both"/>
        <w:rPr>
          <w:rFonts w:ascii="Times New Roman" w:hAnsi="Times New Roman"/>
          <w:color w:val="000000" w:themeColor="text1"/>
          <w:sz w:val="16"/>
          <w:szCs w:val="16"/>
          <w:shd w:val="clear" w:color="auto" w:fill="FFFFFF"/>
        </w:rPr>
      </w:pPr>
    </w:p>
    <w:p w14:paraId="56F99D51"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октября 1933 г. самолет ТБ-1, оснащенный автопилотом АВП-2, самопроизвольно перешел в пикирование, но пилот отреагировал вовремя. Выясни</w:t>
      </w:r>
      <w:r w:rsidRPr="00142305">
        <w:rPr>
          <w:rFonts w:ascii="Times New Roman" w:hAnsi="Times New Roman"/>
          <w:color w:val="0070C0"/>
          <w:sz w:val="16"/>
          <w:szCs w:val="16"/>
        </w:rPr>
        <w:softHyphen/>
        <w:t>лось, что отказал АВП-2.</w:t>
      </w:r>
    </w:p>
    <w:p w14:paraId="411514F3"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его ремонта попробовали атаковать условную цель - перекресток шоссе и железной дороги в Химках. Управлять «беспилотником» должны были с борта ТБ-3. По плану ТБ-1 требовалось совершить перелет до Сенеж</w:t>
      </w:r>
      <w:r w:rsidRPr="00142305">
        <w:rPr>
          <w:rFonts w:ascii="Times New Roman" w:hAnsi="Times New Roman"/>
          <w:color w:val="0070C0"/>
          <w:sz w:val="16"/>
          <w:szCs w:val="16"/>
        </w:rPr>
        <w:softHyphen/>
        <w:t>ского озера, вернуться и пройти точно над контрольным пунктом у перекрестка. Две недели ушли на попытки выполнить этот план. То не работала радиостанция на ТБ-3, то мешала непогода. Наилучшим достижением оказался полет до Дмитрова и обратно; операторам на</w:t>
      </w:r>
      <w:r w:rsidRPr="00142305">
        <w:rPr>
          <w:rFonts w:ascii="Times New Roman" w:hAnsi="Times New Roman"/>
          <w:color w:val="0070C0"/>
          <w:sz w:val="16"/>
          <w:szCs w:val="16"/>
        </w:rPr>
        <w:softHyphen/>
        <w:t>ведения не удавалось провести ТБ-1 ближе, чем в 100 м от контрольного пункта. Неожиданным препятствием явился параллакс. Оператору казалось, что наводимый им самолет идет правильно, а на самом деле он двигался в стороне от цели.</w:t>
      </w:r>
    </w:p>
    <w:p w14:paraId="60D19707"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создания АВП-2, позволявшего по радио уп</w:t>
      </w:r>
      <w:r w:rsidRPr="00142305">
        <w:rPr>
          <w:rFonts w:ascii="Times New Roman" w:hAnsi="Times New Roman"/>
          <w:color w:val="0070C0"/>
          <w:sz w:val="16"/>
          <w:szCs w:val="16"/>
        </w:rPr>
        <w:softHyphen/>
        <w:t>равлять полетом самолета, разработчикам предстояло создать систему автоматического управления (САУ) по</w:t>
      </w:r>
      <w:r w:rsidRPr="00142305">
        <w:rPr>
          <w:rFonts w:ascii="Times New Roman" w:hAnsi="Times New Roman"/>
          <w:color w:val="0070C0"/>
          <w:sz w:val="16"/>
          <w:szCs w:val="16"/>
        </w:rPr>
        <w:softHyphen/>
        <w:t>летом от взлета и до посадки включительно (25004).</w:t>
      </w:r>
    </w:p>
    <w:p w14:paraId="639BBED5" w14:textId="77777777" w:rsidR="00D64533" w:rsidRPr="00142305" w:rsidRDefault="00D64533" w:rsidP="00D64533">
      <w:pPr>
        <w:spacing w:after="0" w:line="240" w:lineRule="auto"/>
        <w:jc w:val="both"/>
        <w:rPr>
          <w:rFonts w:ascii="Times New Roman" w:hAnsi="Times New Roman"/>
          <w:color w:val="0070C0"/>
          <w:sz w:val="16"/>
          <w:szCs w:val="16"/>
        </w:rPr>
      </w:pPr>
    </w:p>
    <w:p w14:paraId="5507AA6B" w14:textId="77777777" w:rsidR="002346CC" w:rsidRPr="0044524F" w:rsidRDefault="002346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октября 1933 опросом членов ПБ</w:t>
      </w:r>
    </w:p>
    <w:p w14:paraId="2221C036" w14:textId="77777777" w:rsidR="002346CC" w:rsidRPr="0044524F" w:rsidRDefault="002346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договоре с Манчжурском авиаобществом</w:t>
      </w:r>
    </w:p>
    <w:p w14:paraId="03D79C55" w14:textId="77777777" w:rsidR="002346CC" w:rsidRPr="0044524F" w:rsidRDefault="002346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нецелесообразным утверждение дого</w:t>
      </w:r>
      <w:r w:rsidRPr="0044524F">
        <w:rPr>
          <w:rFonts w:ascii="Times New Roman" w:hAnsi="Times New Roman"/>
          <w:color w:val="000000" w:themeColor="text1"/>
          <w:sz w:val="16"/>
          <w:szCs w:val="16"/>
        </w:rPr>
        <w:softHyphen/>
        <w:t>вора с манчжурским авиаобществом; добиться отка</w:t>
      </w:r>
      <w:r w:rsidRPr="0044524F">
        <w:rPr>
          <w:rFonts w:ascii="Times New Roman" w:hAnsi="Times New Roman"/>
          <w:color w:val="000000" w:themeColor="text1"/>
          <w:sz w:val="16"/>
          <w:szCs w:val="16"/>
        </w:rPr>
        <w:softHyphen/>
        <w:t>за манчжурского общества от договора.</w:t>
      </w:r>
    </w:p>
    <w:p w14:paraId="01950BA6" w14:textId="77777777" w:rsidR="002346CC" w:rsidRPr="0044524F" w:rsidRDefault="002346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Розенгольцу, Сокольникову.</w:t>
      </w:r>
    </w:p>
    <w:p w14:paraId="4DEC9D92" w14:textId="77777777" w:rsidR="002346CC" w:rsidRPr="0044524F" w:rsidRDefault="002346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143/120. - О полете на дальность.</w:t>
      </w:r>
    </w:p>
    <w:p w14:paraId="0965C1B6" w14:textId="77777777" w:rsidR="002346CC" w:rsidRPr="0044524F" w:rsidRDefault="002346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Отложить рекордный полет нашего самолета на дальность на весну 1934 г.</w:t>
      </w:r>
    </w:p>
    <w:p w14:paraId="1FC50FA0" w14:textId="77777777" w:rsidR="002346CC" w:rsidRPr="0044524F" w:rsidRDefault="002346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тов. Ворошилову.</w:t>
      </w:r>
    </w:p>
    <w:p w14:paraId="65F542EA" w14:textId="77777777" w:rsidR="002346CC" w:rsidRPr="0044524F" w:rsidRDefault="002346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состоялось заседание ПБ и был оформлен протокол № 147 (22997).</w:t>
      </w:r>
    </w:p>
    <w:p w14:paraId="0D150A64" w14:textId="77777777" w:rsidR="002346CC" w:rsidRPr="0044524F" w:rsidRDefault="002346CC" w:rsidP="009654CF">
      <w:pPr>
        <w:spacing w:after="0" w:line="240" w:lineRule="auto"/>
        <w:jc w:val="both"/>
        <w:rPr>
          <w:rFonts w:ascii="Times New Roman" w:hAnsi="Times New Roman"/>
          <w:color w:val="000000" w:themeColor="text1"/>
          <w:sz w:val="16"/>
          <w:szCs w:val="16"/>
        </w:rPr>
      </w:pPr>
    </w:p>
    <w:p w14:paraId="45DAB85C"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2DF8B5E"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4F28F36" w14:textId="77777777" w:rsidR="00CF276A" w:rsidRPr="0044524F" w:rsidRDefault="00CF276A" w:rsidP="009654CF">
      <w:pPr>
        <w:pStyle w:val="rtejustify"/>
        <w:spacing w:before="0" w:after="0"/>
        <w:rPr>
          <w:color w:val="000000" w:themeColor="text1"/>
          <w:sz w:val="16"/>
          <w:szCs w:val="16"/>
        </w:rPr>
      </w:pPr>
      <w:r w:rsidRPr="0044524F">
        <w:rPr>
          <w:rStyle w:val="af0"/>
          <w:bCs/>
          <w:i w:val="0"/>
          <w:color w:val="000000" w:themeColor="text1"/>
          <w:sz w:val="16"/>
          <w:szCs w:val="16"/>
        </w:rPr>
        <w:t>13 октября</w:t>
      </w:r>
      <w:r w:rsidRPr="0044524F">
        <w:rPr>
          <w:color w:val="000000" w:themeColor="text1"/>
          <w:sz w:val="16"/>
          <w:szCs w:val="16"/>
        </w:rPr>
        <w:t xml:space="preserve"> 1933. Постановление СТО СССР № 94сс/о «О мероприятиях по выполнению программы 1933 г. заводом № 8». (ГА РФ. Ф. Р</w:t>
      </w:r>
      <w:r w:rsidRPr="0044524F">
        <w:rPr>
          <w:color w:val="000000" w:themeColor="text1"/>
          <w:sz w:val="16"/>
          <w:szCs w:val="16"/>
        </w:rPr>
        <w:noBreakHyphen/>
        <w:t>8418. Оп. 28. Д. 2. Л. 184</w:t>
      </w:r>
      <w:r w:rsidRPr="0044524F">
        <w:rPr>
          <w:color w:val="000000" w:themeColor="text1"/>
          <w:sz w:val="16"/>
          <w:szCs w:val="16"/>
        </w:rPr>
        <w:noBreakHyphen/>
        <w:t>188) (15460).</w:t>
      </w:r>
    </w:p>
    <w:p w14:paraId="686CBA0B" w14:textId="77777777" w:rsidR="00CF276A" w:rsidRPr="0044524F" w:rsidRDefault="00CF276A" w:rsidP="009654CF">
      <w:pPr>
        <w:pStyle w:val="rtejustify"/>
        <w:spacing w:before="0" w:after="0"/>
        <w:rPr>
          <w:color w:val="000000" w:themeColor="text1"/>
          <w:sz w:val="16"/>
          <w:szCs w:val="16"/>
        </w:rPr>
      </w:pPr>
    </w:p>
    <w:p w14:paraId="2E2A3760" w14:textId="77777777" w:rsidR="00CF276A" w:rsidRPr="0044524F" w:rsidRDefault="00CF276A" w:rsidP="009654CF">
      <w:pPr>
        <w:pStyle w:val="rtejustify"/>
        <w:spacing w:before="0" w:after="0"/>
        <w:rPr>
          <w:color w:val="000000" w:themeColor="text1"/>
          <w:sz w:val="16"/>
          <w:szCs w:val="16"/>
        </w:rPr>
      </w:pPr>
      <w:r w:rsidRPr="0044524F">
        <w:rPr>
          <w:rStyle w:val="af0"/>
          <w:bCs/>
          <w:i w:val="0"/>
          <w:color w:val="000000" w:themeColor="text1"/>
          <w:sz w:val="16"/>
          <w:szCs w:val="16"/>
        </w:rPr>
        <w:t>13/14 октября 1933 вышел приказ НКТП № 174с.</w:t>
      </w:r>
      <w:r w:rsidRPr="0044524F">
        <w:rPr>
          <w:color w:val="000000" w:themeColor="text1"/>
          <w:sz w:val="16"/>
          <w:szCs w:val="16"/>
        </w:rPr>
        <w:t xml:space="preserve"> О строительстве завода и пристрелочной станции «Двигательстрой». (РГАЭ. Ф. 7297. Оп. 38. Д. 38. Л. 113</w:t>
      </w:r>
      <w:r w:rsidRPr="0044524F">
        <w:rPr>
          <w:color w:val="000000" w:themeColor="text1"/>
          <w:sz w:val="16"/>
          <w:szCs w:val="16"/>
        </w:rPr>
        <w:noBreakHyphen/>
        <w:t>113 об.) (15246).</w:t>
      </w:r>
    </w:p>
    <w:p w14:paraId="249B2FA0" w14:textId="77777777" w:rsidR="00CF276A" w:rsidRPr="0044524F" w:rsidRDefault="00CF276A" w:rsidP="009654CF">
      <w:pPr>
        <w:pStyle w:val="rtejustify"/>
        <w:spacing w:before="0" w:after="0"/>
        <w:rPr>
          <w:color w:val="000000" w:themeColor="text1"/>
          <w:sz w:val="16"/>
          <w:szCs w:val="16"/>
        </w:rPr>
      </w:pPr>
    </w:p>
    <w:p w14:paraId="707EC71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13 октября 1933 г. на заводе “Электроприбор” в г. Ленинграде была обнаружена пропажа секретного чертежа – схемы управления артиллерийским огнем береговой обороны.</w:t>
      </w:r>
    </w:p>
    <w:p w14:paraId="4AA9BA5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Негласным исследованием этого факта, ОГПУ было установлено, что чертеж присвоен заводским инженером Зильберберг Лев Яковлевичем.</w:t>
      </w:r>
    </w:p>
    <w:p w14:paraId="6C5F745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последний был арестован и на квартире у него обнаружены 3 секретных чертежа, военных заказов, находящихся в производстве на заводе “Электроприбор”.</w:t>
      </w:r>
    </w:p>
    <w:p w14:paraId="24FF701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Следствием установлено; инж. Зильберберг проживая в 1921-23 гг. в г. Аккермане (Бессарабия) был завербован Румынской разведкой (сигуранцей) в лице сотрудника разведки Керлера, при содействии некоего гр. Капелюшника, также тайного агента разведки.</w:t>
      </w:r>
    </w:p>
    <w:p w14:paraId="767D1D6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1923 г. Зильберберг был нелегально переброшен на территорию СССР для ведения, по заданию разведки шпионской работы, где выдал себя за политэмигранта.</w:t>
      </w:r>
    </w:p>
    <w:p w14:paraId="38DE68A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того же года Зильберберг, по заданию разведки вступил добровольно в РККА и был зачислен в 6-й полк связи в г. Киеве. Затем, будучи демобилизованным, пробрался во СТУЗ и по окончании его в 1931 г. переехал в г. Ленинград, где и поступил на завод “Электроприбор” в качестве инженера.</w:t>
      </w:r>
    </w:p>
    <w:p w14:paraId="47611C3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1931 г. Зильберберг установил связь с упомянутым тайным агентом Румынской разведки Капелюшником, также перебравшимся в СССР и устроившимся инженером на военный радиозавод им. “Коминтерн” в Ленинграде.</w:t>
      </w:r>
    </w:p>
    <w:p w14:paraId="738546F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проведения разведывательной работы по военным заказам на заводе “Электроприбор” Зильбербергом был завербован инж. Военно-морской части завода Дмитриев В.М., который в течение свыше года снабжал Зильберберга секретными чертежами, схемами и подробными сведениями о количестве и назначении заказов военно-морской части завода “Электроприбор”.</w:t>
      </w:r>
    </w:p>
    <w:p w14:paraId="5B01819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Шпионские сведения и материалы Зильбербергом передавались Капелюшнику, который за это платил деньги.</w:t>
      </w:r>
    </w:p>
    <w:p w14:paraId="63D69AA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 Капелюшник Ю.И. – Зав. Спец. Конструкторск. Бюро Радиозавод им. “Коминтерн” и инж. Дмитриев Б.М – сотрудник Военно-морской части завода “Электроприбор” – арестованы.</w:t>
      </w:r>
    </w:p>
    <w:p w14:paraId="3AF72BF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Следствие по делу продолжается.</w:t>
      </w:r>
    </w:p>
    <w:p w14:paraId="375D966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Председателя ОГПУ Ягода</w:t>
      </w:r>
    </w:p>
    <w:p w14:paraId="1C5F4C0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 ЭКУ ОГПУ Миронов</w:t>
      </w:r>
    </w:p>
    <w:p w14:paraId="0EF37565" w14:textId="77777777" w:rsidR="001F72EB" w:rsidRPr="0044524F" w:rsidRDefault="001F72EB" w:rsidP="009654CF">
      <w:pPr>
        <w:autoSpaceDE w:val="0"/>
        <w:autoSpaceDN w:val="0"/>
        <w:adjustRightInd w:val="0"/>
        <w:spacing w:after="0" w:line="240" w:lineRule="auto"/>
        <w:jc w:val="both"/>
        <w:rPr>
          <w:rFonts w:ascii="Times New Roman" w:hAnsi="Times New Roman"/>
          <w:bCs/>
          <w:color w:val="000000" w:themeColor="text1"/>
          <w:sz w:val="16"/>
          <w:szCs w:val="16"/>
        </w:rPr>
      </w:pPr>
      <w:r w:rsidRPr="0044524F">
        <w:rPr>
          <w:rFonts w:ascii="Times New Roman" w:hAnsi="Times New Roman"/>
          <w:color w:val="000000" w:themeColor="text1"/>
          <w:sz w:val="16"/>
          <w:szCs w:val="16"/>
        </w:rPr>
        <w:t>АП РФ, ф.3, оп.58, д.243, л.201-202 (11462).</w:t>
      </w:r>
    </w:p>
    <w:p w14:paraId="2CEB4B8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9BE5256" w14:textId="0F4162AC" w:rsidR="001F72EB" w:rsidRPr="0044524F" w:rsidRDefault="001F72EB" w:rsidP="009654CF">
      <w:pPr>
        <w:autoSpaceDE w:val="0"/>
        <w:autoSpaceDN w:val="0"/>
        <w:adjustRightInd w:val="0"/>
        <w:spacing w:after="0" w:line="240" w:lineRule="auto"/>
        <w:jc w:val="both"/>
        <w:rPr>
          <w:rFonts w:ascii="Times New Roman" w:hAnsi="Times New Roman"/>
          <w:i/>
          <w:color w:val="000000" w:themeColor="text1"/>
          <w:sz w:val="16"/>
          <w:szCs w:val="16"/>
        </w:rPr>
      </w:pPr>
      <w:r w:rsidRPr="0044524F">
        <w:rPr>
          <w:rFonts w:ascii="Times New Roman" w:hAnsi="Times New Roman"/>
          <w:i/>
          <w:color w:val="000000" w:themeColor="text1"/>
          <w:sz w:val="16"/>
          <w:szCs w:val="16"/>
        </w:rPr>
        <w:t>Жизнь и внутре</w:t>
      </w:r>
      <w:r w:rsidR="0004162D" w:rsidRPr="0044524F">
        <w:rPr>
          <w:rFonts w:ascii="Times New Roman" w:hAnsi="Times New Roman"/>
          <w:i/>
          <w:color w:val="000000" w:themeColor="text1"/>
          <w:sz w:val="16"/>
          <w:szCs w:val="16"/>
        </w:rPr>
        <w:t>н</w:t>
      </w:r>
      <w:r w:rsidRPr="0044524F">
        <w:rPr>
          <w:rFonts w:ascii="Times New Roman" w:hAnsi="Times New Roman"/>
          <w:i/>
          <w:color w:val="000000" w:themeColor="text1"/>
          <w:sz w:val="16"/>
          <w:szCs w:val="16"/>
        </w:rPr>
        <w:t>няя политика:</w:t>
      </w:r>
    </w:p>
    <w:p w14:paraId="75699F94" w14:textId="77777777" w:rsidR="001F72EB" w:rsidRPr="0044524F" w:rsidRDefault="001F72EB" w:rsidP="009654CF">
      <w:pPr>
        <w:autoSpaceDE w:val="0"/>
        <w:autoSpaceDN w:val="0"/>
        <w:adjustRightInd w:val="0"/>
        <w:spacing w:after="0" w:line="240" w:lineRule="auto"/>
        <w:jc w:val="both"/>
        <w:rPr>
          <w:rFonts w:ascii="Times New Roman" w:hAnsi="Times New Roman"/>
          <w:i/>
          <w:color w:val="000000" w:themeColor="text1"/>
          <w:sz w:val="16"/>
          <w:szCs w:val="16"/>
        </w:rPr>
      </w:pPr>
    </w:p>
    <w:p w14:paraId="701BF80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13 и 19 октября 1933. Из протокола заседания Политбюро N147, особая папка, 1933 г.</w:t>
      </w:r>
    </w:p>
    <w:p w14:paraId="7C065FA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переселении 14 000 хозяйств демобилизованных красноармейцев на Северный Кавказ </w:t>
      </w:r>
    </w:p>
    <w:p w14:paraId="1B91994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Телеграмма Кагановича и Молотова крайкомам, обкомам, ЦК Белоруссии: </w:t>
      </w:r>
    </w:p>
    <w:p w14:paraId="3BB16D5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15 ноября должны быть переселены на Северный Кавказ 14 000 семей демобилизованных красноармейцев. Проведение вербовки, организация отправки по железной дороге, питание, обслуживание в пути возложено на военвед. ЦК ВКП(б) и СНК СССР предлагают вам оказать всемерную помощь местным органам военведа и обеспечить своевременное проведение на местах — районах, колхозах всех мер, связанных с производством расчетов между колхозниками и колхозами, полностью и своевременно по выработанным последними трудодням, подготовить к выезду переселенцев и доставке их в точно установленные сроки к станциям погрузки" (11652).</w:t>
      </w:r>
    </w:p>
    <w:p w14:paraId="20BC7FD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A804D4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13 и 19 октября 1933. Из протокола заседания Политбюро N147, особая папка, 1933 г.</w:t>
      </w:r>
    </w:p>
    <w:p w14:paraId="2721097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продуктовых магазинах во Владивостоке и Хабаровске </w:t>
      </w:r>
    </w:p>
    <w:p w14:paraId="3974D31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Открыть пять продуктовых (гастрономических) магазинов во Владивостоке и Хабаровске с продажей по повышенным ценам, причем в среднем цены должны быть на 30 процентов выше цен, установленных для таких же магазинов Донбасса (11652).</w:t>
      </w:r>
    </w:p>
    <w:p w14:paraId="51D3611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541791E"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BD036BC"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DD0A50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13 и 19 октября 1933. Из протокола заседания Политбюро N147, особая папка, 1933 г.</w:t>
      </w:r>
    </w:p>
    <w:p w14:paraId="785822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польских журналистах </w:t>
      </w:r>
    </w:p>
    <w:p w14:paraId="683D3A3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редакциям газет "Известия", "За индустриализацию", "Экономическая жизнь" и "Соц. земледелие" послать приглашение польским журналистам, выступающим в пользу сближения Польши и СССР, совершить экскурсию по СССР. Все мероприятия по организации этой экскурсии согласовать с НКИД (11652).</w:t>
      </w:r>
    </w:p>
    <w:p w14:paraId="0FEE4A8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3AE305A" w14:textId="77777777" w:rsidR="00CF276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C81CA95" w14:textId="77777777" w:rsidR="00CF276A" w:rsidRPr="0044524F" w:rsidRDefault="00CF276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A458075" w14:textId="77777777" w:rsidR="00CF276A" w:rsidRPr="0044524F" w:rsidRDefault="00CF276A"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 xml:space="preserve">13 октября </w:t>
      </w:r>
      <w:r w:rsidRPr="0044524F">
        <w:rPr>
          <w:rFonts w:ascii="Times New Roman" w:hAnsi="Times New Roman"/>
          <w:color w:val="000000" w:themeColor="text1"/>
          <w:sz w:val="16"/>
          <w:szCs w:val="16"/>
        </w:rPr>
        <w:t>в 1933 году в Лондоне создано Британское межпланетное общество (British Interplanetary Society), одна из старейших ныне действующих общественных организаций подобного профиля. В 1936 году при обществе, насчитывавшем порядка 100 членов, был организован Технический комитет, в задачи которого входили исследования в области проектирования и оборудования космических кораблей. В 1939 году членами общества был разработан проект космического корабля, рассчитанного на экипаж из 3 человек и предназначенный для 20-дневной экспедиции на Луну. После войны тем для обсуждения и теоретической разработки появилось великое множество. Члены общества разрабатывали проекты космической станции, скафандров, встречи и заправки космического летательного аппарата на орбите, использования ядерной энергии для ракетного двигателя, создания глобальной системы связи с ИСЗ. В 1950 году на основе BIS возникла Международная астронавтическая федерация, содействующая развитию космонавтики, межпланетных исследований и космической связи путем проведения исследований, публикации открытий и содействия международному сотрудничеству в области космонавтики. Общество издает журнал "Spaceflight" и организует тематические симпозиумы (14798).</w:t>
      </w:r>
    </w:p>
    <w:p w14:paraId="075DE98A" w14:textId="77777777" w:rsidR="00CF276A" w:rsidRPr="0044524F" w:rsidRDefault="00CF276A" w:rsidP="009654CF">
      <w:pPr>
        <w:spacing w:after="0" w:line="240" w:lineRule="auto"/>
        <w:jc w:val="both"/>
        <w:rPr>
          <w:rFonts w:ascii="Times New Roman" w:hAnsi="Times New Roman"/>
          <w:color w:val="000000" w:themeColor="text1"/>
          <w:sz w:val="16"/>
          <w:szCs w:val="16"/>
        </w:rPr>
      </w:pPr>
    </w:p>
    <w:p w14:paraId="38D50F3A"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0B5F178"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EFD7AC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1933 И.С.Уншлихт получил записку по поводу К-5М-22, в которой констатировались хорошие качества машины как планер, но недостаточную мощность в расчете на л.с. (70,173).</w:t>
      </w:r>
    </w:p>
    <w:p w14:paraId="1D5C43F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7A8377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1933 года зам. начальника НТУ Зоншайн</w:t>
      </w:r>
    </w:p>
    <w:p w14:paraId="0B65B1A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 по вопросу о самолете К-5</w:t>
      </w:r>
    </w:p>
    <w:p w14:paraId="575DBF5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Первое испытание самолета К-5 производилось в апреле 1930 года в ВВС.</w:t>
      </w:r>
    </w:p>
    <w:p w14:paraId="42816A3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1930 года представитель Аэрофлота совместно с НИИ ВВС испытывал самолет с точки зрения пригодности его для ГВФ и предложил ряд улучшений без проведения которых самолет не мог быть рекомендован для внедрения.</w:t>
      </w:r>
    </w:p>
    <w:p w14:paraId="79D531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1931 года в НИИ поступил самолет К-5 для испытаний, но он был возвращен ХАЗу из-за наличия большого количества дефектов.23 августа 1931 года в НИИ поступил другой экземпляр К-5 с частично устраненными дефектами. Самолет был испытан и условно утвержден для производства.</w:t>
      </w:r>
    </w:p>
    <w:p w14:paraId="02CC59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1932 года на ХАЗ испытывался улучшенный вариант К-5. Самолет был утвержден в эксплуатацию, по этому образцу строилась серия 1932 года.</w:t>
      </w:r>
    </w:p>
    <w:p w14:paraId="749AE80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Параллельно ГРОСС (гл. конструктор Калинин) вел работы по созданию эталона (для серии 1933 года).</w:t>
      </w:r>
    </w:p>
    <w:p w14:paraId="75C4E60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1932 года с участием представителей Аэрофлота проводились заводские испытания этого самолета. Был выявлен ряд производственных и конструктивных дефектов.</w:t>
      </w:r>
    </w:p>
    <w:p w14:paraId="1DB9B16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экземпляр с 23 мая по 26 июня проходил госиспытания в НИИ. Эталон принят не был, заводу было предложено ввести ряд переделок и после этого предъявить самолет для дополнительных испытаний.</w:t>
      </w:r>
    </w:p>
    <w:p w14:paraId="77D67C1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отказался от введения кардинальных переделок (перенос шасси, уменьшение веса); в дальнейшем самолет в НИИ ГВФ для дополнительных испытаний не поступил.</w:t>
      </w:r>
    </w:p>
    <w:p w14:paraId="7A62DA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Последние испытания К-5 эталонного проводились в феврале 1933 года в отряде ГУАП только с привлечением в комиссию представителей Аэрофлота.</w:t>
      </w:r>
    </w:p>
    <w:p w14:paraId="3D6C807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688DF5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приходится констатировать, что образец 1933 года был внедрен в производство недоиспытанным (7738, 12-10).</w:t>
      </w:r>
    </w:p>
    <w:p w14:paraId="4BED20D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310B05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1933 года начальник 8 сектора НИИ ВВС Ганулич писал письмо N 2/01328 начальнику штаба ВВС.</w:t>
      </w:r>
    </w:p>
    <w:p w14:paraId="1249DF3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w:t>
      </w:r>
    </w:p>
    <w:p w14:paraId="3704D9C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Туполев считает, что второй экземпляр крыла самолета МДР4 к строящейся второй лодке для перелета в Италию построить невозможно (якобы из-за перегруженности ЗОКа).</w:t>
      </w:r>
    </w:p>
    <w:p w14:paraId="5023AC3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т.к. остается лишь опытный экземпляр, который совершенно нежелательно пускать в перелет, он нужен для освоения строем и промышленностью.</w:t>
      </w:r>
    </w:p>
    <w:p w14:paraId="03929CA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Необходимо начальнику ГУАП поставить задание: специально подготовить к перелету в июле-августе 1934 года:</w:t>
      </w:r>
    </w:p>
    <w:p w14:paraId="2A90E1B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ЦАГИ второй экземпляр МДР4</w:t>
      </w:r>
    </w:p>
    <w:p w14:paraId="132F75D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заводу N 31 - два самолета МБР2 из числа серийных.</w:t>
      </w:r>
    </w:p>
    <w:p w14:paraId="1EC926A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Считаю, что следует поставить вопрос о том, чтобы завязать с Турцией связь по авиационной линии, которая практически обеспечивается тем, что в серию вводятся отечественные образцы гидросамолетов (3559,1).</w:t>
      </w:r>
    </w:p>
    <w:p w14:paraId="25DBC0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A7BDD6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1933 года инженер ВВС Попов писал письмо Nсс 001207 Кагановичу, Молотову, Базилевичу, Тухачевскому, Алкснису.</w:t>
      </w:r>
    </w:p>
    <w:p w14:paraId="7CE8A9F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4CDD0A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оживились в мире работы над заброшенной было идеей геликоптера и появился в результате исследований Де-Сиерва новый аппарат-автожир.</w:t>
      </w:r>
    </w:p>
    <w:p w14:paraId="66C9B79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сожалению до сих пор оказались безуспешными попытки создать геликоптер и автожир обладающие достаточной для практического использования устойчивостью, хотя успехи в этом деле уже имеются.</w:t>
      </w:r>
    </w:p>
    <w:p w14:paraId="6394BC1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последние годы особенно широко стоит вопрос создания самолета с вращающимися крыльями.</w:t>
      </w:r>
    </w:p>
    <w:p w14:paraId="5C0002C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777C9B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1932 года я по заданию зам. наркомвоенмора Тухачевского приступил к постройке модели воздушного гребного колеса, предложенного инженером Максимовым А.П.</w:t>
      </w:r>
    </w:p>
    <w:p w14:paraId="19822C2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течение 3-х месяцев была спроектирована модель и затем почти 7 месяцев ее строили.</w:t>
      </w:r>
    </w:p>
    <w:p w14:paraId="31E4904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модели показали, что от гребных воздушных колес можно получить значительную подъемную силу при затрате мощности примерно такой же как у современного самолета.</w:t>
      </w:r>
    </w:p>
    <w:p w14:paraId="287F27B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1933 года я получил задание Тухачевского приступить к проектированию самолета с гребными воздушными колесами тотчас же после окончания испытаний переделанной нами модели.</w:t>
      </w:r>
    </w:p>
    <w:p w14:paraId="31246FD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были закончены в мае 1933 года, причем результаты вполне совпали с результатами первых испытаний.</w:t>
      </w:r>
    </w:p>
    <w:p w14:paraId="5DE3D12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средств и людей на разработку проекта самолета не хватало, я приступил к проектированию универсальной модели, позволяющей испытание различных гребных колес. Кроме того мы спроектировали специальные аэродинамические весы для испытания гребных колес в трубе Т-1 аэродинамической лаборатории ВВА.</w:t>
      </w:r>
    </w:p>
    <w:p w14:paraId="07DB2ED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7EA0C2F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исследованы все детали вопроса и мы вплотную подошли к созданию проекта самолета с вращающимися крыльями, способного вертикально взлетать и спускаться, висеть в воздухе и передвигаться со скоростями современных самолетов.</w:t>
      </w:r>
    </w:p>
    <w:p w14:paraId="7865A91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………….(4015,3-10).</w:t>
      </w:r>
    </w:p>
    <w:p w14:paraId="6F15E71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64F86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14 по 29 октября 1933 проходили гос. испытания турельных авиационных пулеметов калибра 7,62 мм ШКАС-МК-1933 г. за NN 290, 301, 302, 303 и 310 (3053).</w:t>
      </w:r>
    </w:p>
    <w:p w14:paraId="23D542D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772D1FB"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AEE5EC8"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5B6D4E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1933 г. Я. Берзин докладывал К.Ворошилову:</w:t>
      </w:r>
    </w:p>
    <w:p w14:paraId="12128F3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Казань. Ликвидация станции была начала 20-го июля. Тремя транспортами 11.8, 19.8 и 4.9. имущество «друзей» ушло из азани. 6 сентября никого из «друзей» на месте не осталось.</w:t>
      </w:r>
    </w:p>
    <w:p w14:paraId="6D0DF18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Безвозмездно перешедшее во владение УММ имущество по самым скромным подсчетам оценивается до миллиона рублей. Состоить оно из переоборудованных и вночь построенных зда</w:t>
      </w:r>
      <w:r w:rsidRPr="0044524F">
        <w:rPr>
          <w:rFonts w:ascii="Times New Roman" w:hAnsi="Times New Roman"/>
          <w:color w:val="000000" w:themeColor="text1"/>
          <w:sz w:val="16"/>
          <w:szCs w:val="16"/>
        </w:rPr>
        <w:softHyphen/>
        <w:t>ний склада огнеприпасов, жилых корпусов, радиолаборатории,, караульного помещения, кооператива, холодильника, бензохра</w:t>
      </w:r>
      <w:r w:rsidRPr="0044524F">
        <w:rPr>
          <w:rFonts w:ascii="Times New Roman" w:hAnsi="Times New Roman"/>
          <w:color w:val="000000" w:themeColor="text1"/>
          <w:sz w:val="16"/>
          <w:szCs w:val="16"/>
        </w:rPr>
        <w:softHyphen/>
        <w:t>нилища на 20 тонн горючего, электростанции, реконструиро</w:t>
      </w:r>
      <w:r w:rsidRPr="0044524F">
        <w:rPr>
          <w:rFonts w:ascii="Times New Roman" w:hAnsi="Times New Roman"/>
          <w:color w:val="000000" w:themeColor="text1"/>
          <w:sz w:val="16"/>
          <w:szCs w:val="16"/>
        </w:rPr>
        <w:softHyphen/>
        <w:t>ванной водокачки, гаража с компрессорной установкой, мас</w:t>
      </w:r>
      <w:r w:rsidRPr="0044524F">
        <w:rPr>
          <w:rFonts w:ascii="Times New Roman" w:hAnsi="Times New Roman"/>
          <w:color w:val="000000" w:themeColor="text1"/>
          <w:sz w:val="16"/>
          <w:szCs w:val="16"/>
        </w:rPr>
        <w:softHyphen/>
        <w:t>терских на ходу (сборная, станочная),... системы центрально</w:t>
      </w:r>
      <w:r w:rsidRPr="0044524F">
        <w:rPr>
          <w:rFonts w:ascii="Times New Roman" w:hAnsi="Times New Roman"/>
          <w:color w:val="000000" w:themeColor="text1"/>
          <w:sz w:val="16"/>
          <w:szCs w:val="16"/>
        </w:rPr>
        <w:softHyphen/>
        <w:t>го отопления, гаража и склада, канализации, тира, благоуст</w:t>
      </w:r>
      <w:r w:rsidRPr="0044524F">
        <w:rPr>
          <w:rFonts w:ascii="Times New Roman" w:hAnsi="Times New Roman"/>
          <w:color w:val="000000" w:themeColor="text1"/>
          <w:sz w:val="16"/>
          <w:szCs w:val="16"/>
        </w:rPr>
        <w:softHyphen/>
        <w:t>роенной мостовой, строительных материалов и пр.</w:t>
      </w:r>
    </w:p>
    <w:p w14:paraId="4AF77DC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Приобретено УММ имущества на сумму 220 000 рублей: автомашины и трактора с запасными частями, канализаци</w:t>
      </w:r>
      <w:r w:rsidRPr="0044524F">
        <w:rPr>
          <w:rFonts w:ascii="Times New Roman" w:hAnsi="Times New Roman"/>
          <w:color w:val="000000" w:themeColor="text1"/>
          <w:sz w:val="16"/>
          <w:szCs w:val="16"/>
        </w:rPr>
        <w:softHyphen/>
        <w:t>онные трубы и оборудование холодильника и столовой.</w:t>
      </w:r>
    </w:p>
    <w:p w14:paraId="13A0AB3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Вывезено в Германию: 6 больших и 4 малых танка, одна восъмиколесная машина с запасными частями, снаряжение, вооружение...» (10733,127).</w:t>
      </w:r>
    </w:p>
    <w:p w14:paraId="15D401E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1595D2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1933 г. на Щ-301 был поднят военно-морской флаг. Она пополнила одно из соединений Краснознаменного Балтийского флота (10700).</w:t>
      </w:r>
    </w:p>
    <w:p w14:paraId="5C58368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F31A9B3"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F47FB3C"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56AD3C"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1933 года ледокол Садко, 16 (29) июня 1916 года затонувший при перевозке груза для строительства железной дороги Кандалакша-Мурманск «Садко» в Кандалакшской губе, наскочив на подводный камень, поднят силами ЭПРОН. Год спустя, 9 июля 1934 года состоялся первый выход «Садко» в море после ремонта.</w:t>
      </w:r>
    </w:p>
    <w:p w14:paraId="5E40D426"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сентября 1934 года экспедиция на «Садко» под командованием капитана А. К. Бурке, в сопровождении ледокола «Ермак», основала полярную станцию на острове Уединения.</w:t>
      </w:r>
    </w:p>
    <w:p w14:paraId="7817B1A8"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Оборудование и персонал были предназначены для станции на мысе Оловянный (Северная Земля), но ледовая обстановка не позволила туда пробиться и по распоряжению Главсевморпути место выгрузки было перенесено. Начало строительства станции и первую зимовку на острове провели 18 человек (в том числе 9 строительных рабочих) под руководством С. В. Шманева.</w:t>
      </w:r>
    </w:p>
    <w:p w14:paraId="400783E6"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1935 году на «Садко» предпринята Первая Высокоширотная экспедиция Главсевморпути под руководством Г. А. Ушакова. Установлен мировой рекорд свободного плавания за Полярным кругом (82°4’с.ш.). Открыт остров Ушакова.</w:t>
      </w:r>
    </w:p>
    <w:p w14:paraId="4CACE389"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1937 года экспедиция на «Садко» (капитан Николай Иванович Хромцов) под руководством профессора Визе, отплыла из Мурманска к островам Де-Лонга. Однако задачи были изменены и ледокол направлен для помощи судам в Карском море и море Лаптевых. Попытка преодолеть льды оказалась неудачой и «Садко» также оказался блокирован льдами в районе Новосибирских островов 75°17' с.ш. 132°28' в. д. (G) (O).</w:t>
      </w:r>
    </w:p>
    <w:p w14:paraId="7B5BF0C8" w14:textId="1FA1EB91"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Вместе с ледокольными пароходами «Малыгин» и «Георгий Седов», «Садко» дрейфовал во льдах на север от Бельковского острова до 83°05' северной широты.</w:t>
      </w:r>
    </w:p>
    <w:p w14:paraId="11312DE2"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Экспедиция на «Садко» не имела достаточных припасов для столь долгой зимовки, однако из-за сложных метеоусловий часть членов экспедиции и экипажа удалось эвакуировать лишь в апреле 1938 года.</w:t>
      </w:r>
    </w:p>
    <w:p w14:paraId="26B9E915"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 «Садко» освободился от ледового плена только в сентябре 1938 года с помощью ледокола «Ермак» 83°04' с. ш. 138°22' в. д. (G) (O).</w:t>
      </w:r>
    </w:p>
    <w:p w14:paraId="452F8406"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сентября 1941 года, на пути из Диксона на Землю Франца-Иосифа, «Садко» наскочил на ранее неизвестную подводную банку вблизи островов Известий ЦИК в Карском море и затонул. Погиб один человек, остальной экипаж спасен ледоколом «Ленин» (21179).</w:t>
      </w:r>
    </w:p>
    <w:p w14:paraId="4AE8B943" w14:textId="77777777" w:rsidR="00F15A76" w:rsidRPr="0044524F" w:rsidRDefault="00F15A76" w:rsidP="009654CF">
      <w:pPr>
        <w:pStyle w:val="108"/>
        <w:shd w:val="clear" w:color="auto" w:fill="auto"/>
        <w:spacing w:after="0" w:line="240" w:lineRule="auto"/>
        <w:ind w:firstLine="0"/>
        <w:jc w:val="both"/>
        <w:rPr>
          <w:rStyle w:val="820"/>
          <w:rFonts w:ascii="Times New Roman" w:hAnsi="Times New Roman" w:cs="Times New Roman"/>
          <w:color w:val="000000" w:themeColor="text1"/>
          <w:sz w:val="16"/>
          <w:szCs w:val="16"/>
        </w:rPr>
      </w:pPr>
    </w:p>
    <w:p w14:paraId="377E2A6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14 октября 1934 г. Мытищинским заводом два опытных вагона, которые были направлены сначала на завод «Динамо», где было смонтировано электротехническое оборудование и аппаратура, а потом опробованы и прошли обкатку, были отправлены на метрополитен. 15 октября первая секция прибыла в депо «Северное». Первый вагон был опробован со скоростью около 25 км/ч с пассажирами, которыми были работники заводов-изготовителей Мытищинского машиностроительного, Московского тормозного и завода «Динамо». Среди первых пассажиров были также специалисты метростроя. Первые вагоны получили названия «ММ-1 моторный» и «МП-1001 прицепной» типа «А». </w:t>
      </w:r>
    </w:p>
    <w:p w14:paraId="7E2C8F3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дню открытия VII съезда Советов 25 января 1935 г. Мытищинский завод выпустил первые 40 вагонов, обеспечив тем самым своевременное открытие движения на метрополитене. В процессе эксплуатации и доводки первые вагоны типа «А» и «Б» были значительно модернизированы, особенно усовершенствована их электрическая схема. Эксплуатация показала высокую надежность и долговечность вагонов. Срок их эксплуатации был определен в 50 лет. Вагоны обеспечивали устойчивый пробег без капитального ремонта 2,5 млн. км. </w:t>
      </w:r>
    </w:p>
    <w:p w14:paraId="0E7E67B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Серьезным недостатком конструкции первых вагонов было несовершенство конструкции автотормозов. Торможение было пневматическим, производилось за счет трения колодок о бандажи колес (электротормоз был внедрен позднее). Недостаточна была и электрическая защита от токов перегрузки и коротких замыканий (11613).</w:t>
      </w:r>
    </w:p>
    <w:p w14:paraId="225D25A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A7A5986"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2C94C0F"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F77C83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1933 г. правительство Гитлера заявило о прекращении своего участия в работе Конференции по разоружению (3871).</w:t>
      </w:r>
    </w:p>
    <w:p w14:paraId="2149E8D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B762C51"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1933 г. Германия, указав на бесплодность работы конференции, отозвала своего делегата с Женевской конференции, а спустя пять дней — 19 октября вышла из Лиги Наций.</w:t>
      </w:r>
    </w:p>
    <w:p w14:paraId="6F8ED958" w14:textId="77777777" w:rsidR="00562118" w:rsidRPr="0044524F" w:rsidRDefault="00562118" w:rsidP="009654CF">
      <w:pPr>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rPr>
        <w:lastRenderedPageBreak/>
        <w:t>На Женевской конференции требование Германии о незамедлительном признании равноправия в вооружениях было отвергнуто. Реакция стран, подписавших с Германией римский «пакт четырех», была следующей: Италия поддержала Германию, Англия и Франция выступили против, блокировав тем самым ревизию военных положений Версальского договора. Это, кстати сказать, стало в тот момент одной из целей советской внешней политики. США</w:t>
      </w:r>
      <w:r w:rsidRPr="0044524F">
        <w:rPr>
          <w:rFonts w:ascii="Times New Roman" w:hAnsi="Times New Roman"/>
          <w:color w:val="000000" w:themeColor="text1"/>
          <w:sz w:val="16"/>
          <w:szCs w:val="16"/>
          <w:lang w:val="en-US"/>
        </w:rPr>
        <w:t xml:space="preserve"> </w:t>
      </w:r>
      <w:r w:rsidRPr="0044524F">
        <w:rPr>
          <w:rFonts w:ascii="Times New Roman" w:hAnsi="Times New Roman"/>
          <w:color w:val="000000" w:themeColor="text1"/>
          <w:sz w:val="16"/>
          <w:szCs w:val="16"/>
        </w:rPr>
        <w:t>заняли</w:t>
      </w:r>
      <w:r w:rsidRPr="0044524F">
        <w:rPr>
          <w:rFonts w:ascii="Times New Roman" w:hAnsi="Times New Roman"/>
          <w:color w:val="000000" w:themeColor="text1"/>
          <w:sz w:val="16"/>
          <w:szCs w:val="16"/>
          <w:lang w:val="en-US"/>
        </w:rPr>
        <w:t xml:space="preserve"> </w:t>
      </w:r>
      <w:r w:rsidRPr="0044524F">
        <w:rPr>
          <w:rFonts w:ascii="Times New Roman" w:hAnsi="Times New Roman"/>
          <w:color w:val="000000" w:themeColor="text1"/>
          <w:sz w:val="16"/>
          <w:szCs w:val="16"/>
        </w:rPr>
        <w:t>нейтральную</w:t>
      </w:r>
      <w:r w:rsidRPr="0044524F">
        <w:rPr>
          <w:rFonts w:ascii="Times New Roman" w:hAnsi="Times New Roman"/>
          <w:color w:val="000000" w:themeColor="text1"/>
          <w:sz w:val="16"/>
          <w:szCs w:val="16"/>
          <w:lang w:val="en-US"/>
        </w:rPr>
        <w:t xml:space="preserve"> </w:t>
      </w:r>
      <w:r w:rsidRPr="0044524F">
        <w:rPr>
          <w:rFonts w:ascii="Times New Roman" w:hAnsi="Times New Roman"/>
          <w:color w:val="000000" w:themeColor="text1"/>
          <w:sz w:val="16"/>
          <w:szCs w:val="16"/>
        </w:rPr>
        <w:t>позицию</w:t>
      </w:r>
      <w:r w:rsidRPr="0044524F">
        <w:rPr>
          <w:rFonts w:ascii="Times New Roman" w:hAnsi="Times New Roman"/>
          <w:color w:val="000000" w:themeColor="text1"/>
          <w:sz w:val="16"/>
          <w:szCs w:val="16"/>
          <w:lang w:val="en-US"/>
        </w:rPr>
        <w:t xml:space="preserve"> (18265)</w:t>
      </w:r>
    </w:p>
    <w:p w14:paraId="5634EE77" w14:textId="77777777" w:rsidR="00562118" w:rsidRPr="0044524F" w:rsidRDefault="00562118" w:rsidP="009654CF">
      <w:pPr>
        <w:spacing w:after="0" w:line="240" w:lineRule="auto"/>
        <w:jc w:val="both"/>
        <w:rPr>
          <w:rFonts w:ascii="Times New Roman" w:hAnsi="Times New Roman"/>
          <w:color w:val="000000" w:themeColor="text1"/>
          <w:sz w:val="16"/>
          <w:szCs w:val="16"/>
          <w:lang w:val="en-US"/>
        </w:rPr>
      </w:pPr>
    </w:p>
    <w:p w14:paraId="47AD41D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October 14 1933 Germany leaves League of Nations (1037).</w:t>
      </w:r>
    </w:p>
    <w:p w14:paraId="5CC3C38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lang w:val="en-US"/>
        </w:rPr>
      </w:pPr>
    </w:p>
    <w:p w14:paraId="5D31C8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1933 была прервана Женевская мирная конференция, так как Германия объявила о своем выходе из инициативы по разоружению, а также из Лиги наций (2100).</w:t>
      </w:r>
    </w:p>
    <w:p w14:paraId="59D352D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B1CDE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1933 Германия вышла из Лиги Наций (4962).</w:t>
      </w:r>
    </w:p>
    <w:p w14:paraId="3D80DAB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3548251" w14:textId="77777777" w:rsidR="00362C4F" w:rsidRPr="0044524F" w:rsidRDefault="00362C4F"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14 октября 1933 Гитлер заявил, что поскольку другие участники женевских переговоров отказываются предоставить Германии равные права, она немедленно отзывает своих представителей с конференции по разоружению и из Лиги Наций. Одновременно он принял и другие меры: распустил рейхстаг, объявив, что решение отозвать своих представителей из Женевы вынесет на референдум, и приказал министру обороны генералу фон Бломбергу издать секретную директиву вооруженным силам - оказать вооруженное сопротивление, если Лига Наций прибегнет к санкциям (17283).</w:t>
      </w:r>
    </w:p>
    <w:p w14:paraId="2C18285B" w14:textId="77777777" w:rsidR="00362C4F" w:rsidRPr="0044524F" w:rsidRDefault="00362C4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5D0F71D"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CA4D506"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A8D179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ТБ-3, переделанный в машину с 4М-34Р, полученных ЦАГИ с 7 по 13 августа, был направлен на гос. испытания (2287,129).</w:t>
      </w:r>
    </w:p>
    <w:p w14:paraId="21CE5EC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5170C9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г. Главным конструктором Григоровичем и инженером П.М.Крейсоном (являлся начальником бригады №6 ЦКБ, которая осуществляла весовые расчеты, взвешивание, статические испытания) был разработан военный вариант РД-МАИ.</w:t>
      </w:r>
    </w:p>
    <w:p w14:paraId="604A4F2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расчетные технические и летные характеристики РД-МАИ*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4E10C1" w:rsidRPr="0044524F" w14:paraId="2DD1BE46" w14:textId="77777777">
        <w:tc>
          <w:tcPr>
            <w:tcW w:w="5156" w:type="dxa"/>
            <w:tcBorders>
              <w:top w:val="single" w:sz="12" w:space="0" w:color="auto"/>
            </w:tcBorders>
          </w:tcPr>
          <w:p w14:paraId="1DCB464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(м)</w:t>
            </w:r>
          </w:p>
        </w:tc>
        <w:tc>
          <w:tcPr>
            <w:tcW w:w="5156" w:type="dxa"/>
            <w:tcBorders>
              <w:top w:val="single" w:sz="12" w:space="0" w:color="auto"/>
            </w:tcBorders>
          </w:tcPr>
          <w:p w14:paraId="1A54446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r>
      <w:tr w:rsidR="004E10C1" w:rsidRPr="0044524F" w14:paraId="066AC838" w14:textId="77777777">
        <w:tc>
          <w:tcPr>
            <w:tcW w:w="5156" w:type="dxa"/>
          </w:tcPr>
          <w:p w14:paraId="627D518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(м2)</w:t>
            </w:r>
          </w:p>
        </w:tc>
        <w:tc>
          <w:tcPr>
            <w:tcW w:w="5156" w:type="dxa"/>
          </w:tcPr>
          <w:p w14:paraId="7CACA60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40,5</w:t>
            </w:r>
          </w:p>
        </w:tc>
      </w:tr>
      <w:tr w:rsidR="004E10C1" w:rsidRPr="0044524F" w14:paraId="1F18F193" w14:textId="77777777">
        <w:tc>
          <w:tcPr>
            <w:tcW w:w="5156" w:type="dxa"/>
          </w:tcPr>
          <w:p w14:paraId="498FC61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самолета (м)</w:t>
            </w:r>
          </w:p>
        </w:tc>
        <w:tc>
          <w:tcPr>
            <w:tcW w:w="5156" w:type="dxa"/>
          </w:tcPr>
          <w:p w14:paraId="2BB0221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11,5</w:t>
            </w:r>
          </w:p>
        </w:tc>
      </w:tr>
      <w:tr w:rsidR="004E10C1" w:rsidRPr="0044524F" w14:paraId="7C98B68E" w14:textId="77777777">
        <w:tc>
          <w:tcPr>
            <w:tcW w:w="5156" w:type="dxa"/>
          </w:tcPr>
          <w:p w14:paraId="1AF85BB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 линии полета (м)</w:t>
            </w:r>
          </w:p>
        </w:tc>
        <w:tc>
          <w:tcPr>
            <w:tcW w:w="5156" w:type="dxa"/>
          </w:tcPr>
          <w:p w14:paraId="44E4122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4,03</w:t>
            </w:r>
          </w:p>
        </w:tc>
      </w:tr>
      <w:tr w:rsidR="004E10C1" w:rsidRPr="0044524F" w14:paraId="17CBDE63" w14:textId="77777777">
        <w:tc>
          <w:tcPr>
            <w:tcW w:w="5156" w:type="dxa"/>
          </w:tcPr>
          <w:p w14:paraId="09A070B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(кг)</w:t>
            </w:r>
          </w:p>
        </w:tc>
        <w:tc>
          <w:tcPr>
            <w:tcW w:w="5156" w:type="dxa"/>
          </w:tcPr>
          <w:p w14:paraId="6B11753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2410</w:t>
            </w:r>
          </w:p>
        </w:tc>
      </w:tr>
      <w:tr w:rsidR="004E10C1" w:rsidRPr="0044524F" w14:paraId="5BD988B9" w14:textId="77777777">
        <w:tc>
          <w:tcPr>
            <w:tcW w:w="5156" w:type="dxa"/>
          </w:tcPr>
          <w:p w14:paraId="031F300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(кг)</w:t>
            </w:r>
          </w:p>
        </w:tc>
        <w:tc>
          <w:tcPr>
            <w:tcW w:w="5156" w:type="dxa"/>
          </w:tcPr>
          <w:p w14:paraId="5E82D2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3850-4600</w:t>
            </w:r>
          </w:p>
        </w:tc>
      </w:tr>
      <w:tr w:rsidR="004E10C1" w:rsidRPr="0044524F" w14:paraId="1982F04E" w14:textId="77777777">
        <w:tc>
          <w:tcPr>
            <w:tcW w:w="5156" w:type="dxa"/>
          </w:tcPr>
          <w:p w14:paraId="435F096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Горючее (кг)</w:t>
            </w:r>
          </w:p>
        </w:tc>
        <w:tc>
          <w:tcPr>
            <w:tcW w:w="5156" w:type="dxa"/>
          </w:tcPr>
          <w:p w14:paraId="2FF9B43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1000-1800</w:t>
            </w:r>
          </w:p>
        </w:tc>
      </w:tr>
      <w:tr w:rsidR="004E10C1" w:rsidRPr="0044524F" w14:paraId="77815D26" w14:textId="77777777">
        <w:tc>
          <w:tcPr>
            <w:tcW w:w="5156" w:type="dxa"/>
          </w:tcPr>
          <w:p w14:paraId="4F49A9C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(км/ч) ....</w:t>
            </w:r>
          </w:p>
        </w:tc>
        <w:tc>
          <w:tcPr>
            <w:tcW w:w="5156" w:type="dxa"/>
          </w:tcPr>
          <w:p w14:paraId="58029E5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330-350</w:t>
            </w:r>
          </w:p>
        </w:tc>
      </w:tr>
      <w:tr w:rsidR="004E10C1" w:rsidRPr="0044524F" w14:paraId="71740006" w14:textId="77777777">
        <w:tc>
          <w:tcPr>
            <w:tcW w:w="5156" w:type="dxa"/>
          </w:tcPr>
          <w:p w14:paraId="38DF6A1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Крейсерская скорость (км/ч)</w:t>
            </w:r>
          </w:p>
        </w:tc>
        <w:tc>
          <w:tcPr>
            <w:tcW w:w="5156" w:type="dxa"/>
          </w:tcPr>
          <w:p w14:paraId="6DF52AB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290-300</w:t>
            </w:r>
          </w:p>
        </w:tc>
      </w:tr>
      <w:tr w:rsidR="004E10C1" w:rsidRPr="0044524F" w14:paraId="5C4EF43D" w14:textId="77777777">
        <w:tc>
          <w:tcPr>
            <w:tcW w:w="5156" w:type="dxa"/>
          </w:tcPr>
          <w:p w14:paraId="0A31CEB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Потолок(м) </w:t>
            </w:r>
          </w:p>
        </w:tc>
        <w:tc>
          <w:tcPr>
            <w:tcW w:w="5156" w:type="dxa"/>
          </w:tcPr>
          <w:p w14:paraId="33D3B83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6000</w:t>
            </w:r>
          </w:p>
        </w:tc>
      </w:tr>
      <w:tr w:rsidR="004E10C1" w:rsidRPr="0044524F" w14:paraId="13C076AB" w14:textId="77777777">
        <w:tc>
          <w:tcPr>
            <w:tcW w:w="5156" w:type="dxa"/>
            <w:tcBorders>
              <w:bottom w:val="single" w:sz="12" w:space="0" w:color="auto"/>
            </w:tcBorders>
          </w:tcPr>
          <w:p w14:paraId="5BFCB55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(км)</w:t>
            </w:r>
          </w:p>
        </w:tc>
        <w:tc>
          <w:tcPr>
            <w:tcW w:w="5156" w:type="dxa"/>
            <w:tcBorders>
              <w:bottom w:val="single" w:sz="12" w:space="0" w:color="auto"/>
            </w:tcBorders>
          </w:tcPr>
          <w:p w14:paraId="08C54A4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3250-6000</w:t>
            </w:r>
          </w:p>
        </w:tc>
      </w:tr>
    </w:tbl>
    <w:p w14:paraId="599539E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Подписано с таким названием: "Главный конструктор Григорович 28 ноября 1933 г".</w:t>
      </w:r>
    </w:p>
    <w:p w14:paraId="4CDB9DE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Постепенно Д.П.Григорович переключился на другие работы, в частности на создание истребителей с динамо-реактивными пушками, поэтому техническое руководство процессом создания Сталь-МАИ спустя некоторое время перешло к П.Д.Грушину. В 1933 г. в институте окончательно оформилось конструкторское бюро, которое получило официальное наименование ОКБ-1 и в дальнейшем функционировало как полноценное КБ с главным конструктором Грушиным во главе (11941).</w:t>
      </w:r>
    </w:p>
    <w:p w14:paraId="20455CD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B847889" w14:textId="0D8D4ACE"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октября 1933 г. Главным конструктором Григоровичем и инженером П.М.Крейсоном (являлся начальником бригады №6 ЦКБ, которая осуществляла весовые расчеты, взвешивание, статические испытания) был утвержден военный вариант Сталь-МАИ, разработанный по ТТТ НИИ ВВС 16 июля 1933 г.</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(25198).</w:t>
      </w:r>
    </w:p>
    <w:p w14:paraId="5411206C" w14:textId="77777777" w:rsidR="00D64533" w:rsidRPr="00142305" w:rsidRDefault="00D64533" w:rsidP="00D64533">
      <w:pPr>
        <w:spacing w:after="0" w:line="240" w:lineRule="auto"/>
        <w:jc w:val="both"/>
        <w:rPr>
          <w:rFonts w:ascii="Times New Roman" w:hAnsi="Times New Roman"/>
          <w:color w:val="0070C0"/>
          <w:sz w:val="16"/>
          <w:szCs w:val="16"/>
        </w:rPr>
      </w:pPr>
    </w:p>
    <w:p w14:paraId="2008821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на заводе 22 состоялось совещание по вопросу дефектов ТБ-3, на котором военные представили их перечень (2264).</w:t>
      </w:r>
    </w:p>
    <w:p w14:paraId="0173BD9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1A0FBA9" w14:textId="77777777" w:rsidR="005228D6" w:rsidRPr="0044524F" w:rsidRDefault="005228D6" w:rsidP="009654CF">
      <w:pPr>
        <w:pStyle w:val="a3"/>
        <w:rPr>
          <w:color w:val="000000" w:themeColor="text1"/>
          <w:lang w:val="ru-RU"/>
        </w:rPr>
      </w:pPr>
      <w:r w:rsidRPr="0044524F">
        <w:rPr>
          <w:color w:val="000000" w:themeColor="text1"/>
          <w:lang w:val="ru-RU"/>
        </w:rPr>
        <w:t>15 октября 1933 г. Главным конструктором Григоровичем и инжене</w:t>
      </w:r>
      <w:r w:rsidRPr="0044524F">
        <w:rPr>
          <w:color w:val="000000" w:themeColor="text1"/>
          <w:lang w:val="ru-RU"/>
        </w:rPr>
        <w:softHyphen/>
        <w:t>ром П.М. Крейсоном (являлся начальни</w:t>
      </w:r>
      <w:r w:rsidRPr="0044524F">
        <w:rPr>
          <w:color w:val="000000" w:themeColor="text1"/>
          <w:lang w:val="ru-RU"/>
        </w:rPr>
        <w:softHyphen/>
        <w:t xml:space="preserve">ком бригады </w:t>
      </w:r>
      <w:r w:rsidRPr="0044524F">
        <w:rPr>
          <w:color w:val="000000" w:themeColor="text1"/>
        </w:rPr>
        <w:t>N</w:t>
      </w:r>
      <w:r w:rsidRPr="0044524F">
        <w:rPr>
          <w:color w:val="000000" w:themeColor="text1"/>
          <w:lang w:val="ru-RU"/>
        </w:rPr>
        <w:t xml:space="preserve"> 6 ЦКБ, которая осущест</w:t>
      </w:r>
      <w:r w:rsidRPr="0044524F">
        <w:rPr>
          <w:color w:val="000000" w:themeColor="text1"/>
          <w:lang w:val="ru-RU"/>
        </w:rPr>
        <w:softHyphen/>
        <w:t>вляла весовые расчеты, взвешивание и статические испытания)был утвержден проект военного варианта РД-МАИ.</w:t>
      </w:r>
    </w:p>
    <w:p w14:paraId="77E36F7D" w14:textId="77777777" w:rsidR="005228D6" w:rsidRPr="0044524F" w:rsidRDefault="005228D6" w:rsidP="009654CF">
      <w:pPr>
        <w:pStyle w:val="a3"/>
        <w:rPr>
          <w:color w:val="000000" w:themeColor="text1"/>
          <w:lang w:val="ru-RU"/>
        </w:rPr>
      </w:pPr>
      <w:r w:rsidRPr="0044524F">
        <w:rPr>
          <w:color w:val="000000" w:themeColor="text1"/>
          <w:lang w:val="ru-RU"/>
        </w:rPr>
        <w:t>Постепенно, уже в процессе строи</w:t>
      </w:r>
      <w:r w:rsidRPr="0044524F">
        <w:rPr>
          <w:color w:val="000000" w:themeColor="text1"/>
          <w:lang w:val="ru-RU"/>
        </w:rPr>
        <w:softHyphen/>
        <w:t>тельства дальнего самолета, Григоро</w:t>
      </w:r>
      <w:r w:rsidRPr="0044524F">
        <w:rPr>
          <w:color w:val="000000" w:themeColor="text1"/>
          <w:lang w:val="ru-RU"/>
        </w:rPr>
        <w:softHyphen/>
        <w:t>вич переключился на другие работы, в частности на создание истребителей с динамо-реактивными пушками, поэто</w:t>
      </w:r>
      <w:r w:rsidRPr="0044524F">
        <w:rPr>
          <w:color w:val="000000" w:themeColor="text1"/>
          <w:lang w:val="ru-RU"/>
        </w:rPr>
        <w:softHyphen/>
        <w:t>му техническое руководство при соз</w:t>
      </w:r>
      <w:r w:rsidRPr="0044524F">
        <w:rPr>
          <w:color w:val="000000" w:themeColor="text1"/>
          <w:lang w:val="ru-RU"/>
        </w:rPr>
        <w:softHyphen/>
        <w:t>дании РД-МАИ спустя некоторое время перешло к П.Д. Грушину. В 1933 г. в институте окончательно оформилось конструкторское бюро, которое получи</w:t>
      </w:r>
      <w:r w:rsidRPr="0044524F">
        <w:rPr>
          <w:color w:val="000000" w:themeColor="text1"/>
          <w:lang w:val="ru-RU"/>
        </w:rPr>
        <w:softHyphen/>
        <w:t>ло официальное наименование ОКБ-1 и в дальнейшем функционировало как полноценное проектное подразделение с главным конструктором Грушиным во главе.</w:t>
      </w:r>
    </w:p>
    <w:p w14:paraId="6B39113C" w14:textId="77777777" w:rsidR="005228D6" w:rsidRPr="0044524F" w:rsidRDefault="005228D6" w:rsidP="009654CF">
      <w:pPr>
        <w:pStyle w:val="a3"/>
        <w:rPr>
          <w:color w:val="000000" w:themeColor="text1"/>
          <w:lang w:val="ru-RU"/>
        </w:rPr>
      </w:pPr>
      <w:r w:rsidRPr="0044524F">
        <w:rPr>
          <w:rStyle w:val="380"/>
          <w:rFonts w:ascii="Times New Roman" w:hAnsi="Times New Roman" w:cs="Times New Roman"/>
          <w:b w:val="0"/>
          <w:color w:val="000000" w:themeColor="text1"/>
          <w:sz w:val="16"/>
          <w:szCs w:val="16"/>
          <w:lang w:val="ru-RU"/>
        </w:rPr>
        <w:t>Самолет</w:t>
      </w:r>
      <w:r w:rsidRPr="0044524F">
        <w:rPr>
          <w:color w:val="000000" w:themeColor="text1"/>
          <w:lang w:val="ru-RU"/>
        </w:rPr>
        <w:t xml:space="preserve"> закончили производством в</w:t>
      </w:r>
      <w:r w:rsidRPr="0044524F">
        <w:rPr>
          <w:rStyle w:val="380"/>
          <w:rFonts w:ascii="Times New Roman" w:hAnsi="Times New Roman" w:cs="Times New Roman"/>
          <w:b w:val="0"/>
          <w:color w:val="000000" w:themeColor="text1"/>
          <w:sz w:val="16"/>
          <w:szCs w:val="16"/>
          <w:lang w:val="ru-RU"/>
        </w:rPr>
        <w:t xml:space="preserve"> мастерских института летом 1934</w:t>
      </w:r>
      <w:r w:rsidRPr="0044524F">
        <w:rPr>
          <w:color w:val="000000" w:themeColor="text1"/>
          <w:lang w:val="ru-RU"/>
        </w:rPr>
        <w:t xml:space="preserve"> г. </w:t>
      </w:r>
      <w:r w:rsidRPr="0044524F">
        <w:rPr>
          <w:rStyle w:val="380"/>
          <w:rFonts w:ascii="Times New Roman" w:hAnsi="Times New Roman" w:cs="Times New Roman"/>
          <w:b w:val="0"/>
          <w:color w:val="000000" w:themeColor="text1"/>
          <w:sz w:val="16"/>
          <w:szCs w:val="16"/>
          <w:lang w:val="ru-RU"/>
        </w:rPr>
        <w:t>Очевидно, вопрос осуществления ре</w:t>
      </w:r>
      <w:r w:rsidRPr="0044524F">
        <w:rPr>
          <w:rStyle w:val="380"/>
          <w:rFonts w:ascii="Times New Roman" w:hAnsi="Times New Roman" w:cs="Times New Roman"/>
          <w:b w:val="0"/>
          <w:color w:val="000000" w:themeColor="text1"/>
          <w:sz w:val="16"/>
          <w:szCs w:val="16"/>
          <w:lang w:val="ru-RU"/>
        </w:rPr>
        <w:softHyphen/>
        <w:t xml:space="preserve">кордных перелетов для студенческой машины на тот момент не ставился, ибо </w:t>
      </w:r>
      <w:r w:rsidRPr="0044524F">
        <w:rPr>
          <w:color w:val="000000" w:themeColor="text1"/>
          <w:lang w:val="ru-RU"/>
        </w:rPr>
        <w:t>приказом</w:t>
      </w:r>
      <w:r w:rsidRPr="0044524F">
        <w:rPr>
          <w:rStyle w:val="380"/>
          <w:rFonts w:ascii="Times New Roman" w:hAnsi="Times New Roman" w:cs="Times New Roman"/>
          <w:b w:val="0"/>
          <w:color w:val="000000" w:themeColor="text1"/>
          <w:sz w:val="16"/>
          <w:szCs w:val="16"/>
          <w:lang w:val="ru-RU"/>
        </w:rPr>
        <w:t xml:space="preserve"> по Московскому авиационному </w:t>
      </w:r>
      <w:r w:rsidRPr="0044524F">
        <w:rPr>
          <w:color w:val="000000" w:themeColor="text1"/>
          <w:lang w:val="ru-RU"/>
        </w:rPr>
        <w:t>институту №224</w:t>
      </w:r>
      <w:r w:rsidRPr="0044524F">
        <w:rPr>
          <w:rStyle w:val="380"/>
          <w:rFonts w:ascii="Times New Roman" w:hAnsi="Times New Roman" w:cs="Times New Roman"/>
          <w:b w:val="0"/>
          <w:color w:val="000000" w:themeColor="text1"/>
          <w:sz w:val="16"/>
          <w:szCs w:val="16"/>
          <w:lang w:val="ru-RU"/>
        </w:rPr>
        <w:t xml:space="preserve"> от 16 сентября 1934</w:t>
      </w:r>
      <w:r w:rsidRPr="0044524F">
        <w:rPr>
          <w:color w:val="000000" w:themeColor="text1"/>
          <w:lang w:val="ru-RU"/>
        </w:rPr>
        <w:t xml:space="preserve"> г. самолету присвоили наименование Сталь-МАИ. Журнал «Самолет» №11 за 1934 г. сообщал:</w:t>
      </w:r>
      <w:r w:rsidRPr="0044524F">
        <w:rPr>
          <w:rStyle w:val="252"/>
          <w:rFonts w:ascii="Times New Roman" w:hAnsi="Times New Roman" w:cs="Times New Roman"/>
          <w:i w:val="0"/>
          <w:color w:val="000000" w:themeColor="text1"/>
          <w:sz w:val="16"/>
          <w:szCs w:val="16"/>
          <w:lang w:val="ru-RU"/>
        </w:rPr>
        <w:t xml:space="preserve"> «19 сентября со</w:t>
      </w:r>
      <w:r w:rsidRPr="0044524F">
        <w:rPr>
          <w:rStyle w:val="252"/>
          <w:rFonts w:ascii="Times New Roman" w:hAnsi="Times New Roman" w:cs="Times New Roman"/>
          <w:i w:val="0"/>
          <w:color w:val="000000" w:themeColor="text1"/>
          <w:sz w:val="16"/>
          <w:szCs w:val="16"/>
          <w:lang w:val="ru-RU"/>
        </w:rPr>
        <w:softHyphen/>
        <w:t>стоялись летные испытания самолета Сталь-МАИ имени Алксниса. Испыты</w:t>
      </w:r>
      <w:r w:rsidRPr="0044524F">
        <w:rPr>
          <w:rStyle w:val="252"/>
          <w:rFonts w:ascii="Times New Roman" w:hAnsi="Times New Roman" w:cs="Times New Roman"/>
          <w:i w:val="0"/>
          <w:color w:val="000000" w:themeColor="text1"/>
          <w:sz w:val="16"/>
          <w:szCs w:val="16"/>
          <w:lang w:val="ru-RU"/>
        </w:rPr>
        <w:softHyphen/>
        <w:t>вающий самолет летчик Пионтковский отмечает прекрасный взлет самолета и хорошую устойчивость в воздухе».</w:t>
      </w:r>
      <w:r w:rsidRPr="0044524F">
        <w:rPr>
          <w:color w:val="000000" w:themeColor="text1"/>
          <w:lang w:val="ru-RU"/>
        </w:rPr>
        <w:t xml:space="preserve"> За</w:t>
      </w:r>
      <w:r w:rsidRPr="0044524F">
        <w:rPr>
          <w:color w:val="000000" w:themeColor="text1"/>
          <w:lang w:val="ru-RU"/>
        </w:rPr>
        <w:softHyphen/>
        <w:t>тем три полета выполнил летчик-испы</w:t>
      </w:r>
      <w:r w:rsidRPr="0044524F">
        <w:rPr>
          <w:color w:val="000000" w:themeColor="text1"/>
          <w:lang w:val="ru-RU"/>
        </w:rPr>
        <w:softHyphen/>
        <w:t>татель НИИ ВВС И.Ф. Козлов. 4 октября 1934 г. при совершении пятого по счету полета произошла авария на Централь</w:t>
      </w:r>
      <w:r w:rsidRPr="0044524F">
        <w:rPr>
          <w:color w:val="000000" w:themeColor="text1"/>
          <w:lang w:val="ru-RU"/>
        </w:rPr>
        <w:softHyphen/>
        <w:t>ном аэродроме. В этот день поднять</w:t>
      </w:r>
      <w:r w:rsidRPr="0044524F">
        <w:rPr>
          <w:color w:val="000000" w:themeColor="text1"/>
          <w:lang w:val="ru-RU"/>
        </w:rPr>
        <w:softHyphen/>
        <w:t>ся в воздух</w:t>
      </w:r>
      <w:r w:rsidRPr="0044524F">
        <w:rPr>
          <w:rStyle w:val="252"/>
          <w:rFonts w:ascii="Times New Roman" w:hAnsi="Times New Roman" w:cs="Times New Roman"/>
          <w:i w:val="0"/>
          <w:color w:val="000000" w:themeColor="text1"/>
          <w:sz w:val="16"/>
          <w:szCs w:val="16"/>
          <w:lang w:val="ru-RU"/>
        </w:rPr>
        <w:t xml:space="preserve"> на</w:t>
      </w:r>
      <w:r w:rsidRPr="0044524F">
        <w:rPr>
          <w:color w:val="000000" w:themeColor="text1"/>
          <w:lang w:val="ru-RU"/>
        </w:rPr>
        <w:t xml:space="preserve"> Сталь-МАИ готовились испытатель Пионтковский и главный конструктор Грушин. Причиной аварии стала банальная ошибка пилота, не переключившего бензокран на питание из основного бака. На взлете двигатель встал, и машина врезалась в кучу песка. В результате были повреждены силовые элементы носовой части фюзеляжа в районе двигателя, моторама, шасси, стыковые узлы крыла (15746).</w:t>
      </w:r>
    </w:p>
    <w:p w14:paraId="07570A56" w14:textId="77777777" w:rsidR="005228D6" w:rsidRPr="0044524F" w:rsidRDefault="005228D6" w:rsidP="009654CF">
      <w:pPr>
        <w:pStyle w:val="a3"/>
        <w:rPr>
          <w:color w:val="000000" w:themeColor="text1"/>
          <w:lang w:val="ru-RU"/>
        </w:rPr>
      </w:pPr>
    </w:p>
    <w:p w14:paraId="31342922" w14:textId="77777777" w:rsidR="00347975" w:rsidRPr="0044524F" w:rsidRDefault="0034797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15 октября 1933 г. Главным конструктором Д.П. Григоровичем и инженером П.М. Крейсоном был утвержден военный вариант Сталь-МАИ. Предусматривалась установка пулемётов ШКАС (один — для стрельбы вперед через винт, второй — для стрельбы назад-вверх) и крыльевых держателей для бомб весом до 500 кг.</w:t>
      </w:r>
    </w:p>
    <w:p w14:paraId="391AD76B" w14:textId="77777777" w:rsidR="00347975" w:rsidRPr="0044524F" w:rsidRDefault="0034797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то время, когда самолёт ещё строился, Григорович переключился на другие работы, в частности на создание истребителей с динамо-реактивными пушками Курчевского, поэтому техническое руководство созданием стального самолёта МАИ перешло к П.Д. Грушину. К концу 1933 г. в институте окончательно оформилось конструкторское бюро, которое получило официальное наименование ОКБ-1 и в дальнейшем функционировало как полноценное проектное подразделение во главе с главным конструктором Грушиным (17489).</w:t>
      </w:r>
    </w:p>
    <w:p w14:paraId="55C6E415" w14:textId="77777777" w:rsidR="00347975" w:rsidRPr="0044524F" w:rsidRDefault="00347975" w:rsidP="009654CF">
      <w:pPr>
        <w:spacing w:after="0" w:line="240" w:lineRule="auto"/>
        <w:jc w:val="both"/>
        <w:rPr>
          <w:rFonts w:ascii="Times New Roman" w:eastAsia="Times New Roman" w:hAnsi="Times New Roman"/>
          <w:color w:val="000000" w:themeColor="text1"/>
          <w:sz w:val="16"/>
          <w:szCs w:val="16"/>
          <w:lang w:eastAsia="ru-RU"/>
        </w:rPr>
      </w:pPr>
    </w:p>
    <w:p w14:paraId="4A28ED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стал днем официального начала работ по КАИ-1,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1F19A82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6553AC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Пятаковым был подготовлен:</w:t>
      </w:r>
    </w:p>
    <w:p w14:paraId="7EBDF21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СОВЕТА ТРУДА И ОБОРОНЫ СОЮЗА С. С. Р. (проект)</w:t>
      </w:r>
    </w:p>
    <w:p w14:paraId="57FD1C7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Кремль, “__"Октября 1933 г.</w:t>
      </w:r>
    </w:p>
    <w:p w14:paraId="243AFA32" w14:textId="19A8C411"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Комиссия Обороны отмечает, что, наряду с заврдами</w:t>
      </w:r>
      <w:r w:rsidRPr="0044524F">
        <w:rPr>
          <w:rFonts w:ascii="Times New Roman" w:hAnsi="Times New Roman"/>
          <w:smallCaps/>
          <w:color w:val="000000" w:themeColor="text1"/>
          <w:sz w:val="16"/>
          <w:szCs w:val="16"/>
        </w:rPr>
        <w:t xml:space="preserve">, </w:t>
      </w:r>
      <w:r w:rsidRPr="0044524F">
        <w:rPr>
          <w:rFonts w:ascii="Times New Roman" w:hAnsi="Times New Roman"/>
          <w:color w:val="000000" w:themeColor="text1"/>
          <w:sz w:val="16"/>
          <w:szCs w:val="16"/>
        </w:rPr>
        <w:t>успешно выполнившимиза 9 м-цев 1333 г. свою производственную программу по основным объектам (завод № 22 - самолет ТБЗ с М17;</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завод № 39 - са</w:t>
      </w:r>
      <w:r w:rsidRPr="0044524F">
        <w:rPr>
          <w:rFonts w:ascii="Times New Roman" w:hAnsi="Times New Roman"/>
          <w:color w:val="000000" w:themeColor="text1"/>
          <w:sz w:val="16"/>
          <w:szCs w:val="16"/>
        </w:rPr>
        <w:softHyphen/>
        <w:t>молет ТБ3 с М17; завод № 21 - самолет И5 с М22; завод № 24 - мотор М34, завод № 26 - мотор М17; завод № 23 - У2 с М11), тогда как не справились с поставленным им программными заданием заводы №№ 1, 31 и 29 (И7 с М17, Р6 с М17, Р5-А с М17, АНТ9 и моторы М22 и М11), что создает угрожающее положение по выполнения заданий - не только в отно</w:t>
      </w:r>
      <w:r w:rsidRPr="0044524F">
        <w:rPr>
          <w:rFonts w:ascii="Times New Roman" w:hAnsi="Times New Roman"/>
          <w:color w:val="000000" w:themeColor="text1"/>
          <w:sz w:val="16"/>
          <w:szCs w:val="16"/>
        </w:rPr>
        <w:softHyphen/>
        <w:t>шении данных заводов, но и годовой программы Глававиапрома в целом.</w:t>
      </w:r>
    </w:p>
    <w:p w14:paraId="059D23A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также явно неудовлетворительную сдачу запасных частей, как к самолетам, так и к моторам (за 9 м. 68,5% и 64%).</w:t>
      </w:r>
    </w:p>
    <w:p w14:paraId="786CE50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Констатировать, что при заметном улучшении качества основных типов самолетов и моторов (ТБЗ, Р5, И15, У2 и И17), выпускаемая заводами продукция все еще имеет существенные недостатки, осложняющие эксплоатацию и понижающие надежность материальной части в полете, основными из коих являются:</w:t>
      </w:r>
    </w:p>
    <w:p w14:paraId="049B1BF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Конструкция большинства самолетов перетяжелена;</w:t>
      </w:r>
    </w:p>
    <w:p w14:paraId="4D8C346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отмечается массовая течь радиаторов и бензокранов;</w:t>
      </w:r>
    </w:p>
    <w:p w14:paraId="16C27E2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быстро появляется люфты в соединениях;</w:t>
      </w:r>
    </w:p>
    <w:p w14:paraId="3E6E5CE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 наблюдаются частые обрывы шпилек и фланцов в цилиндрах моторов М17;</w:t>
      </w:r>
    </w:p>
    <w:p w14:paraId="2AEE253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появляется трещина в лапах картеров М34</w:t>
      </w:r>
    </w:p>
    <w:p w14:paraId="0D16840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выкрашивание баббита в шатунах того-же мотора;</w:t>
      </w:r>
    </w:p>
    <w:p w14:paraId="33D3BA3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недостаточное давление масла в моторе М22 на малых оборотах.</w:t>
      </w:r>
    </w:p>
    <w:p w14:paraId="5C9C8AC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несмотря на двухкратное постановление С.Т.О., до сего времени не введено в серийное производство одно из крупнейших мероприятий по увеличеншз безопасности полета и улучшению эксплоатационных качеств самолетов - тормазное шасси.</w:t>
      </w:r>
    </w:p>
    <w:p w14:paraId="7C83EAB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 нержавеющей стали и сверхлегкие сплавы: электрон, магний и т.д.).</w:t>
      </w:r>
    </w:p>
    <w:p w14:paraId="6BD0A88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Вследствие отсутствия эталонов, а также выявившихся в процессе производства конструктивных недостатков, - снять с утвержденной программы по самолетостроению на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4E10C1" w:rsidRPr="0044524F" w14:paraId="06034788" w14:textId="77777777">
        <w:tc>
          <w:tcPr>
            <w:tcW w:w="3736" w:type="dxa"/>
            <w:tcBorders>
              <w:top w:val="single" w:sz="12" w:space="0" w:color="auto"/>
            </w:tcBorders>
            <w:shd w:val="clear" w:color="auto" w:fill="FFFFFF"/>
          </w:tcPr>
          <w:p w14:paraId="3EDE1D7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w:t>
            </w:r>
          </w:p>
        </w:tc>
        <w:tc>
          <w:tcPr>
            <w:tcW w:w="3736" w:type="dxa"/>
            <w:tcBorders>
              <w:top w:val="single" w:sz="12" w:space="0" w:color="auto"/>
            </w:tcBorders>
            <w:shd w:val="clear" w:color="auto" w:fill="FFFFFF"/>
          </w:tcPr>
          <w:p w14:paraId="6A1DDAD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w:t>
            </w:r>
          </w:p>
        </w:tc>
        <w:tc>
          <w:tcPr>
            <w:tcW w:w="3736" w:type="dxa"/>
            <w:tcBorders>
              <w:top w:val="single" w:sz="12" w:space="0" w:color="auto"/>
            </w:tcBorders>
            <w:shd w:val="clear" w:color="auto" w:fill="FFFFFF"/>
          </w:tcPr>
          <w:p w14:paraId="1660435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самолетов И7 с М17</w:t>
            </w:r>
          </w:p>
        </w:tc>
      </w:tr>
      <w:tr w:rsidR="004E10C1" w:rsidRPr="0044524F" w14:paraId="03A471A3" w14:textId="77777777">
        <w:tc>
          <w:tcPr>
            <w:tcW w:w="3736" w:type="dxa"/>
            <w:shd w:val="clear" w:color="auto" w:fill="FFFFFF"/>
          </w:tcPr>
          <w:p w14:paraId="46DBDC5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- 22</w:t>
            </w:r>
          </w:p>
        </w:tc>
        <w:tc>
          <w:tcPr>
            <w:tcW w:w="3736" w:type="dxa"/>
            <w:shd w:val="clear" w:color="auto" w:fill="FFFFFF"/>
          </w:tcPr>
          <w:p w14:paraId="7BA198D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3736" w:type="dxa"/>
            <w:shd w:val="clear" w:color="auto" w:fill="FFFFFF"/>
          </w:tcPr>
          <w:p w14:paraId="0171BE7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с М34</w:t>
            </w:r>
          </w:p>
        </w:tc>
      </w:tr>
      <w:tr w:rsidR="004E10C1" w:rsidRPr="0044524F" w14:paraId="04C635DC" w14:textId="77777777">
        <w:tc>
          <w:tcPr>
            <w:tcW w:w="3736" w:type="dxa"/>
            <w:shd w:val="clear" w:color="auto" w:fill="FFFFFF"/>
          </w:tcPr>
          <w:p w14:paraId="56A8399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shd w:val="clear" w:color="auto" w:fill="FFFFFF"/>
          </w:tcPr>
          <w:p w14:paraId="0EB6C7E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3736" w:type="dxa"/>
            <w:shd w:val="clear" w:color="auto" w:fill="FFFFFF"/>
          </w:tcPr>
          <w:p w14:paraId="151FECA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с 6М34</w:t>
            </w:r>
          </w:p>
        </w:tc>
      </w:tr>
      <w:tr w:rsidR="004E10C1" w:rsidRPr="0044524F" w14:paraId="77F1D34E" w14:textId="77777777">
        <w:tc>
          <w:tcPr>
            <w:tcW w:w="3736" w:type="dxa"/>
            <w:shd w:val="clear" w:color="auto" w:fill="FFFFFF"/>
          </w:tcPr>
          <w:p w14:paraId="430CEA1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 " 31</w:t>
            </w:r>
          </w:p>
        </w:tc>
        <w:tc>
          <w:tcPr>
            <w:tcW w:w="3736" w:type="dxa"/>
            <w:shd w:val="clear" w:color="auto" w:fill="FFFFFF"/>
          </w:tcPr>
          <w:p w14:paraId="617CBAB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3736" w:type="dxa"/>
            <w:shd w:val="clear" w:color="auto" w:fill="FFFFFF"/>
          </w:tcPr>
          <w:p w14:paraId="0914A45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с М34. Весь задел по АНТ9 передать ГУГВФ</w:t>
            </w:r>
          </w:p>
        </w:tc>
      </w:tr>
      <w:tr w:rsidR="004E10C1" w:rsidRPr="0044524F" w14:paraId="490D1B28" w14:textId="77777777">
        <w:tc>
          <w:tcPr>
            <w:tcW w:w="3736" w:type="dxa"/>
            <w:tcBorders>
              <w:bottom w:val="single" w:sz="12" w:space="0" w:color="auto"/>
            </w:tcBorders>
            <w:shd w:val="clear" w:color="auto" w:fill="FFFFFF"/>
          </w:tcPr>
          <w:p w14:paraId="1344438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 " 18</w:t>
            </w:r>
          </w:p>
        </w:tc>
        <w:tc>
          <w:tcPr>
            <w:tcW w:w="3736" w:type="dxa"/>
            <w:tcBorders>
              <w:bottom w:val="single" w:sz="12" w:space="0" w:color="auto"/>
            </w:tcBorders>
            <w:shd w:val="clear" w:color="auto" w:fill="FFFFFF"/>
          </w:tcPr>
          <w:p w14:paraId="3CDF9D5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3736" w:type="dxa"/>
            <w:tcBorders>
              <w:bottom w:val="single" w:sz="12" w:space="0" w:color="auto"/>
            </w:tcBorders>
            <w:shd w:val="clear" w:color="auto" w:fill="FFFFFF"/>
          </w:tcPr>
          <w:p w14:paraId="69A3B96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с М34</w:t>
            </w:r>
          </w:p>
        </w:tc>
      </w:tr>
    </w:tbl>
    <w:p w14:paraId="16D7AC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НКТП и НКВМ войти в К.О. к 10 Ноября со своими сообщениями о постановке на производство самолета И7 с дюралевым хвостовым оперением.</w:t>
      </w:r>
    </w:p>
    <w:p w14:paraId="6B0E8FB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связи с быстрой модификацией предметов оборудования самолетов...под руководством и ближайшем участии потребителей, - обязанность по размещению заказов на опытные образцы утвержденного оборудования, утверждению образца, размещению заказа на опытную партию и проведению с ней войско</w:t>
      </w:r>
      <w:r w:rsidRPr="0044524F">
        <w:rPr>
          <w:rFonts w:ascii="Times New Roman" w:hAnsi="Times New Roman"/>
          <w:color w:val="000000" w:themeColor="text1"/>
          <w:sz w:val="16"/>
          <w:szCs w:val="16"/>
        </w:rPr>
        <w:softHyphen/>
        <w:t>вых эксплоатационных испытаний, возложить на УВВС.</w:t>
      </w:r>
    </w:p>
    <w:p w14:paraId="28AD4B7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Каждый новыйоб"ект внедрять всерийное производство только при наличии всех тактико-технических требований и законченного испы</w:t>
      </w:r>
      <w:r w:rsidRPr="0044524F">
        <w:rPr>
          <w:rFonts w:ascii="Times New Roman" w:hAnsi="Times New Roman"/>
          <w:color w:val="000000" w:themeColor="text1"/>
          <w:sz w:val="16"/>
          <w:szCs w:val="16"/>
        </w:rPr>
        <w:softHyphen/>
        <w:t>тания эталонов.</w:t>
      </w:r>
    </w:p>
    <w:p w14:paraId="1B35976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Изъятия из этого правила могут допускаться только при специаль</w:t>
      </w:r>
      <w:r w:rsidRPr="0044524F">
        <w:rPr>
          <w:rFonts w:ascii="Times New Roman" w:hAnsi="Times New Roman"/>
          <w:color w:val="000000" w:themeColor="text1"/>
          <w:sz w:val="16"/>
          <w:szCs w:val="16"/>
        </w:rPr>
        <w:softHyphen/>
        <w:t>ном постановлении Комиссии Обороны в каждом отдельнойм случае.</w:t>
      </w:r>
    </w:p>
    <w:p w14:paraId="71FE55E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безусловного выполнения авиапромышленностью программы 4-го квартала с покрытием всего недовыполненного за год, обязать:</w:t>
      </w:r>
    </w:p>
    <w:p w14:paraId="453393E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НКТП (Глававиапром) взять под особое наблюдение работу заво</w:t>
      </w:r>
      <w:r w:rsidRPr="0044524F">
        <w:rPr>
          <w:rFonts w:ascii="Times New Roman" w:hAnsi="Times New Roman"/>
          <w:color w:val="000000" w:themeColor="text1"/>
          <w:sz w:val="16"/>
          <w:szCs w:val="16"/>
        </w:rPr>
        <w:softHyphen/>
        <w:t>дов №№ 31, 1 и 29 и в частности:</w:t>
      </w:r>
    </w:p>
    <w:p w14:paraId="66BDFC4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зазову № 31:</w:t>
      </w:r>
    </w:p>
    <w:p w14:paraId="2184173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Нач. ГУАП тов. КОРОЛЕВУ принять на месте все необходимые меры по укреплению завода, обеспечению всеми потребными материалами в целях полного выполнения программы.</w:t>
      </w:r>
    </w:p>
    <w:p w14:paraId="637AA61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Ввиду прорыва на заводе № 31, возловить на Северо-Кавказский Крайком ВКП(б) непосредственное наблюдение за полным выполнением за</w:t>
      </w:r>
      <w:r w:rsidRPr="0044524F">
        <w:rPr>
          <w:rFonts w:ascii="Times New Roman" w:hAnsi="Times New Roman"/>
          <w:color w:val="000000" w:themeColor="text1"/>
          <w:sz w:val="16"/>
          <w:szCs w:val="16"/>
        </w:rPr>
        <w:softHyphen/>
        <w:t>водом программы, обязав оказать заводу максимальное содействие в этом.</w:t>
      </w:r>
    </w:p>
    <w:p w14:paraId="7343954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Но заводу № 1:</w:t>
      </w:r>
    </w:p>
    <w:p w14:paraId="02C2B07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Тов. КОРОЛЕВУ Г.Е. уделить исключительное внимание заводу, в частности .установить точные календарные српоки окончания и ввода -в эксплоатапизс отдельных цехов и представить таковые к 1 ноября в К.О.</w:t>
      </w:r>
    </w:p>
    <w:p w14:paraId="01F89FD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Закончить в </w:t>
      </w:r>
      <w:r w:rsidRPr="0044524F">
        <w:rPr>
          <w:rFonts w:ascii="Times New Roman" w:hAnsi="Times New Roman"/>
          <w:iCs/>
          <w:color w:val="000000" w:themeColor="text1"/>
          <w:sz w:val="16"/>
          <w:szCs w:val="16"/>
        </w:rPr>
        <w:t xml:space="preserve">4-и </w:t>
      </w:r>
      <w:r w:rsidRPr="0044524F">
        <w:rPr>
          <w:rFonts w:ascii="Times New Roman" w:hAnsi="Times New Roman"/>
          <w:color w:val="000000" w:themeColor="text1"/>
          <w:sz w:val="16"/>
          <w:szCs w:val="16"/>
        </w:rPr>
        <w:t>квартале строительство завода, обязав т. ГИНЗБУРГА обеспечить его всеми необходимыми материалами, рабочей силой и руководящим строительным персоналом.</w:t>
      </w:r>
    </w:p>
    <w:p w14:paraId="3A1805E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 заводу № 29:</w:t>
      </w:r>
    </w:p>
    <w:p w14:paraId="46A7F5E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командировать на завод, сроком не менее м-ца, груп</w:t>
      </w:r>
      <w:r w:rsidRPr="0044524F">
        <w:rPr>
          <w:rFonts w:ascii="Times New Roman" w:hAnsi="Times New Roman"/>
          <w:color w:val="000000" w:themeColor="text1"/>
          <w:sz w:val="16"/>
          <w:szCs w:val="16"/>
        </w:rPr>
        <w:softHyphen/>
        <w:t>пу ответственных специалистов и Зам. Нач. ГУАП т. БЕЛЕНКОВИЧА для конкретной производственной помощи заводу.</w:t>
      </w:r>
    </w:p>
    <w:p w14:paraId="3491D34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Обязать ГУАП тов. КОРОЛЕВА и персонально всех директоров за</w:t>
      </w:r>
      <w:r w:rsidRPr="0044524F">
        <w:rPr>
          <w:rFonts w:ascii="Times New Roman" w:hAnsi="Times New Roman"/>
          <w:color w:val="000000" w:themeColor="text1"/>
          <w:sz w:val="16"/>
          <w:szCs w:val="16"/>
        </w:rPr>
        <w:softHyphen/>
        <w:t>водов авиапромышленности обеспечить полное выполнение программы по запчастям.</w:t>
      </w:r>
    </w:p>
    <w:p w14:paraId="5962DFE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 Обязать НКТП проверить всю деятельность Научно-Исследователь</w:t>
      </w:r>
      <w:r w:rsidRPr="0044524F">
        <w:rPr>
          <w:rFonts w:ascii="Times New Roman" w:hAnsi="Times New Roman"/>
          <w:color w:val="000000" w:themeColor="text1"/>
          <w:sz w:val="16"/>
          <w:szCs w:val="16"/>
        </w:rPr>
        <w:softHyphen/>
        <w:t>ских учреждений ГУАП (ЦАГИ, ЦИАМ и ВИАМ), в целя выяснения связи с заводами и их технического обслуживания, представив К.О. в месячный срок подробный доклад и проект необходимых мероприятий.</w:t>
      </w:r>
    </w:p>
    <w:p w14:paraId="4135431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недопустимую волокиту, проявленную ЦАГИ в отношении проработки образцов (особенно по ТБ3 с М34) и обязать т. КОРОЛЕВА лично обеспечить надлежащие темпы работы Института в отношении проверки и выпуска образцов - эталонов.</w:t>
      </w:r>
    </w:p>
    <w:p w14:paraId="335C9C5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1У. Обязать НКТП (ГУАП) немедленно приступить к усовершенствованию аэродромного хозяйств (планировка посадочных площадок, мелиоративные работы, постройка бензохранилищ, механизация обслуживания и т.д.) и представить к 1 ноября в КО исчерпывающую программу по приведению этого хозяйства в порядок...</w:t>
      </w:r>
    </w:p>
    <w:p w14:paraId="02E638D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ватманской бумаги 60.000 листов.</w:t>
      </w:r>
    </w:p>
    <w:p w14:paraId="551EEF9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У1. В целях своевременной подготовки к 1934г. - обязать НКТП (ГУАП) совместно с НКВоенмором немедленно приступить к проработке всего плана 1934 года и наметить все необходимые ме</w:t>
      </w:r>
      <w:r w:rsidRPr="0044524F">
        <w:rPr>
          <w:rFonts w:ascii="Times New Roman" w:hAnsi="Times New Roman"/>
          <w:color w:val="000000" w:themeColor="text1"/>
          <w:sz w:val="16"/>
          <w:szCs w:val="16"/>
        </w:rPr>
        <w:softHyphen/>
        <w:t>роприятия, обеспечизазцие выполнение программы 1934 года как в части строительства, так и всех видов снабжения и внести в К.О. к 10 Ноября.</w:t>
      </w:r>
    </w:p>
    <w:p w14:paraId="1EDA2DC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Наркомвоенмор в декадный срок уточнить и пред</w:t>
      </w:r>
      <w:r w:rsidRPr="0044524F">
        <w:rPr>
          <w:rFonts w:ascii="Times New Roman" w:hAnsi="Times New Roman"/>
          <w:color w:val="000000" w:themeColor="text1"/>
          <w:sz w:val="16"/>
          <w:szCs w:val="16"/>
        </w:rPr>
        <w:softHyphen/>
        <w:t>ставить свой заказ авиапромышленности на 1934 год (4191,94).</w:t>
      </w:r>
    </w:p>
    <w:p w14:paraId="331B056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EAC3A82" w14:textId="77777777" w:rsidR="003026DB" w:rsidRPr="0044524F" w:rsidRDefault="003026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г. Протокол ПБ № 147 п.16: О дирижабле В-3 "Красная Звезда" (Антипов, Прокофьев, Уншлихт) - ОП. Решено принять с поправками внесенный комиссией проект постановления о дирижабле В-3 "Красная Звезда". В постановлении говорилось: "1. Констатировать, что происшедшая 3 сентября катастрофа дирижабля В-3 "Красная Звезда" явилась следствием небрежной и преступной подготовки дирижабля к полету. Начальником порта Куприяновым, командиром корабля Мейснером, его помощником Шнейдерманом, непосредственно отвечающими за организацию полета, были допущены следующие явно преступные действия: а) учебно-тренировочный полет дирижабля В-3 был проработан совершенно недостаточно; летный состав перед полетом в должной мере проинструктирован не был; б) корабль не был обеспечен опытным руководством аэронавигационной службы; в) полет совершался без метеорологических сводок и необходимых карт. 2. Дирижаблестрой, в лице Фельдмана, не обеспечил правильной постановки учебно-тренировочных полетов, не организовал технически грамотной эксплуатационной службы в Московском порту дирижаблей. 3. Главная инспекция Аэрофлота также не обеспечила должного наблюдения и контроля за состоянием эксплуатационной работы Дирижаблестроя." Центральный Комитет ВКП(б) постановляет: 1) Обязать начальника Главного управления Гражданского воздушного флота Уншлихта в кратчайший срок привести в полный порядок эксплуатационную службу Дирижаблестроя и организовать строгий контроль над ней со стороны Главной инспекции. 2) Предложить Уншлихту привлечь к уголовной ответственности отстраненного от должности начальника порта Куприянова, ответственного за преступную организацию полета дирижабля "Красная Звезда". 3) Начальнику Дирижаблестроя Фельдману за отсутствие должного руководства постановкой учебно-тренировочных полетов, за крайнюю неорганизованность эксплуатационной службы в Московском порту - объявить строгий выговор. 4) Принять к сведению приказ ГУГВФ, согласно которому командир корабля Мейснер, его помощник Шнейдерман привлечены к уголовной ответственности. 5) Обязать Центральную аварийную комиссию в двухдекадный срок рассмотреть материалы всех аварий дирижаблей ГУГВФ и разработать соответствующие мероприятия по полному обеспечению правильной эксплуатации материальной части и безопасности воздушных полетов. 6) Поручить Ворошилову расследовать дело об обстреле дирижабля и сообщить о результатах в ЦК (15954).</w:t>
      </w:r>
    </w:p>
    <w:p w14:paraId="204D5622" w14:textId="77777777" w:rsidR="003026DB" w:rsidRPr="0044524F" w:rsidRDefault="003026DB" w:rsidP="009654CF">
      <w:pPr>
        <w:spacing w:after="0" w:line="240" w:lineRule="auto"/>
        <w:jc w:val="both"/>
        <w:rPr>
          <w:rFonts w:ascii="Times New Roman" w:hAnsi="Times New Roman"/>
          <w:color w:val="000000" w:themeColor="text1"/>
          <w:sz w:val="16"/>
          <w:szCs w:val="16"/>
        </w:rPr>
      </w:pPr>
    </w:p>
    <w:p w14:paraId="51EE2613" w14:textId="77777777" w:rsidR="003026DB" w:rsidRPr="0044524F" w:rsidRDefault="003026DB" w:rsidP="009654CF">
      <w:pPr>
        <w:pStyle w:val="rtejustify"/>
        <w:spacing w:before="0" w:after="0"/>
        <w:rPr>
          <w:color w:val="000000" w:themeColor="text1"/>
          <w:sz w:val="16"/>
          <w:szCs w:val="16"/>
        </w:rPr>
      </w:pPr>
      <w:r w:rsidRPr="0044524F">
        <w:rPr>
          <w:rStyle w:val="af0"/>
          <w:bCs/>
          <w:i w:val="0"/>
          <w:color w:val="000000" w:themeColor="text1"/>
          <w:sz w:val="16"/>
          <w:szCs w:val="16"/>
        </w:rPr>
        <w:t>15 октября</w:t>
      </w:r>
      <w:r w:rsidRPr="0044524F">
        <w:rPr>
          <w:color w:val="000000" w:themeColor="text1"/>
          <w:sz w:val="16"/>
          <w:szCs w:val="16"/>
        </w:rPr>
        <w:t xml:space="preserve"> 1933. Протокол заседания Политбюро ЦК ВКП (б) № 147. </w:t>
      </w:r>
      <w:hyperlink r:id="rId341" w:anchor="showunit&amp;id=87979" w:history="1">
        <w:r w:rsidRPr="0044524F">
          <w:rPr>
            <w:rStyle w:val="a5"/>
            <w:color w:val="000000" w:themeColor="text1"/>
            <w:sz w:val="16"/>
            <w:szCs w:val="16"/>
          </w:rPr>
          <w:t>3. О договоре с «Люфтганзой»</w:t>
        </w:r>
      </w:hyperlink>
      <w:r w:rsidRPr="0044524F">
        <w:rPr>
          <w:color w:val="000000" w:themeColor="text1"/>
          <w:sz w:val="16"/>
          <w:szCs w:val="16"/>
        </w:rPr>
        <w:t xml:space="preserve"> (Уншлихт, Сокольников, 3. Беленький, Элиава) (ПБ от 1 октября 1933 г., пр. № 146, п. 36). — ОП. Решено: а) Считая в принципе приемлемым предложение комиссии, предложить Уншлихту и Сокольникову представить в Политбюро экономический расчет в двухнедельный срок. б) Против переговоров с "Люфтганзой" в установленных комиссией пределах не возражать. </w:t>
      </w:r>
      <w:hyperlink r:id="rId342" w:anchor="showunit&amp;id=87964" w:history="1">
        <w:r w:rsidRPr="0044524F">
          <w:rPr>
            <w:rStyle w:val="a5"/>
            <w:color w:val="000000" w:themeColor="text1"/>
            <w:sz w:val="16"/>
            <w:szCs w:val="16"/>
          </w:rPr>
          <w:t>16. О дирижабле В</w:t>
        </w:r>
        <w:r w:rsidRPr="0044524F">
          <w:rPr>
            <w:rStyle w:val="a5"/>
            <w:color w:val="000000" w:themeColor="text1"/>
            <w:sz w:val="16"/>
            <w:szCs w:val="16"/>
          </w:rPr>
          <w:noBreakHyphen/>
          <w:t>3 «Красная звезда»</w:t>
        </w:r>
      </w:hyperlink>
      <w:r w:rsidRPr="0044524F">
        <w:rPr>
          <w:color w:val="000000" w:themeColor="text1"/>
          <w:sz w:val="16"/>
          <w:szCs w:val="16"/>
        </w:rPr>
        <w:t xml:space="preserve"> (Антипов, Прокофьев, Уншлихт). — ОП. Решено принять с поправками внесенный комиссией проект постановления о дирижабле В</w:t>
      </w:r>
      <w:r w:rsidRPr="0044524F">
        <w:rPr>
          <w:color w:val="000000" w:themeColor="text1"/>
          <w:sz w:val="16"/>
          <w:szCs w:val="16"/>
        </w:rPr>
        <w:noBreakHyphen/>
        <w:t>3 “Красная Звезда”. В постановлении говорилось: «1. Констатировать, что происшедшая 3 сентября катастрофа дирижабля В</w:t>
      </w:r>
      <w:r w:rsidRPr="0044524F">
        <w:rPr>
          <w:color w:val="000000" w:themeColor="text1"/>
          <w:sz w:val="16"/>
          <w:szCs w:val="16"/>
        </w:rPr>
        <w:noBreakHyphen/>
        <w:t>3 “Красная Звезда” явилась следствием небрежной и преступной подготовки дирижабля к полету. Начальником порта Куприяновым, командиром корабля Мейснером, его помощником Шнейдерманом, непосредственно отвечающими за организацию полета, были допущены следующие явно преступные действия: а) учебно-тренировочный полет дирижабля В</w:t>
      </w:r>
      <w:r w:rsidRPr="0044524F">
        <w:rPr>
          <w:color w:val="000000" w:themeColor="text1"/>
          <w:sz w:val="16"/>
          <w:szCs w:val="16"/>
        </w:rPr>
        <w:noBreakHyphen/>
        <w:t xml:space="preserve">3 был проработан совершенно недостаточно; летный состав перед полетом в должной мере проинструктирован не был; б) корабль не был обеспечен опытным руководством аэронавигационной службы; в) полет совершался без метеорологических сводок и необходимых карт. 2. Дирижаблестрой, в лице Фельдмана, не обеспечил правильной постановки учебно-тренировочных полетов, не организовал технически грамотной эксплуатационной службы в Московском порту дирижаблей. 3. Главная инспекция Аэрофлота также не обеспечила должного наблюдения и контроля за состоянием эксплуатационной работы Дирижаблестроя.» Центральный Комитет ВКП(б) постановляет: 1) Обязать начальника Главного управления Гражданского воздушного флота Уншлихта в кратчайший срок привести в полный порядок эксплуатационную службу Дирижаблестроя и организовать строгий контроль над ней со стороны Главной инспекции. 2) Предложить Уншлихту привлечь к уголовной ответственности отстраненного от должности начальника порта Куприянова, ответственного за преступную организацию полета дирижабля “Красная Звезда”. 3) Начальнику Дирижаблестроя Фельдману за отсутствие должного руководства постановкой учебно-тренировочных полетов, за крайнюю неорганизованность эксплуатационной службы в Московском порту — объявить строгий выговор. 4) Принять к сведению приказ ГУГВФ, согласно которому командир корабля Мейснер, его помощник Шнейдерман привлечены к уголовной ответственности. 5) Обязать Центральную аварийную комиссию в двухдекадный срок рассмотреть материалы всех аварий дирижаблей ГУГВФ и разработать соответствующие мероприятия по полному обеспечению правильной эксплуатации </w:t>
      </w:r>
      <w:r w:rsidRPr="0044524F">
        <w:rPr>
          <w:color w:val="000000" w:themeColor="text1"/>
          <w:sz w:val="16"/>
          <w:szCs w:val="16"/>
        </w:rPr>
        <w:lastRenderedPageBreak/>
        <w:t xml:space="preserve">материальной части и безопасности воздушных полетов. 6) Поручить Ворошилову расследовать дело об обстреле дирижабля и сообщить о результатах в ЦК» (см. приложение). </w:t>
      </w:r>
      <w:hyperlink r:id="rId343" w:anchor="showunit&amp;id=88031" w:history="1">
        <w:r w:rsidRPr="0044524F">
          <w:rPr>
            <w:rStyle w:val="a5"/>
            <w:color w:val="000000" w:themeColor="text1"/>
            <w:sz w:val="16"/>
            <w:szCs w:val="16"/>
          </w:rPr>
          <w:t>77/54. О гелии.</w:t>
        </w:r>
      </w:hyperlink>
      <w:r w:rsidRPr="0044524F">
        <w:rPr>
          <w:color w:val="000000" w:themeColor="text1"/>
          <w:sz w:val="16"/>
          <w:szCs w:val="16"/>
        </w:rPr>
        <w:t xml:space="preserve"> (ПБ от 13 сентября 1933 г., пр. № 145, п. 125/109). — ОП. Решено, вo изменение постановления ПБ от 13</w:t>
      </w:r>
      <w:r w:rsidRPr="0044524F">
        <w:rPr>
          <w:color w:val="000000" w:themeColor="text1"/>
          <w:sz w:val="16"/>
          <w:szCs w:val="16"/>
        </w:rPr>
        <w:noBreakHyphen/>
        <w:t>9</w:t>
      </w:r>
      <w:r w:rsidRPr="0044524F">
        <w:rPr>
          <w:color w:val="000000" w:themeColor="text1"/>
          <w:sz w:val="16"/>
          <w:szCs w:val="16"/>
        </w:rPr>
        <w:noBreakHyphen/>
        <w:t xml:space="preserve">1933, возложить ответственность за организацию работ по улавливанию гелия в скважине 108 (Артемовск) на Нестерова (Главгаз). </w:t>
      </w:r>
      <w:hyperlink r:id="rId344" w:anchor="showunit&amp;id=87896" w:history="1">
        <w:r w:rsidRPr="0044524F">
          <w:rPr>
            <w:rStyle w:val="a5"/>
            <w:color w:val="000000" w:themeColor="text1"/>
            <w:sz w:val="16"/>
            <w:szCs w:val="16"/>
          </w:rPr>
          <w:t>98/62. О перевозках стройматериалов для НКВМ</w:t>
        </w:r>
      </w:hyperlink>
      <w:r w:rsidRPr="0044524F">
        <w:rPr>
          <w:color w:val="000000" w:themeColor="text1"/>
          <w:sz w:val="16"/>
          <w:szCs w:val="16"/>
        </w:rPr>
        <w:t xml:space="preserve"> (ПБ от 22 сентября 1933 г.). — ОП. Решено обязать НКПС безусловно обеспечить строительство взлетно-посадочных площадок Наркомата по военным и морским делам перевозкой в октябре 20 000 вагонов стройматериалов. </w:t>
      </w:r>
      <w:hyperlink r:id="rId345" w:anchor="showunit&amp;id=87911" w:history="1">
        <w:r w:rsidRPr="0044524F">
          <w:rPr>
            <w:rStyle w:val="a5"/>
            <w:color w:val="000000" w:themeColor="text1"/>
            <w:sz w:val="16"/>
            <w:szCs w:val="16"/>
          </w:rPr>
          <w:t>110/87. Вопрос КО</w:t>
        </w:r>
      </w:hyperlink>
      <w:r w:rsidRPr="0044524F">
        <w:rPr>
          <w:color w:val="000000" w:themeColor="text1"/>
          <w:sz w:val="16"/>
          <w:szCs w:val="16"/>
        </w:rPr>
        <w:t xml:space="preserve"> (ПБ от 11 октября 1933 г.). — ОП. Решено утвердить постановление КО об отпуске в IV кв. 1933 г. из резерва СНК 5 млн. руб. и выделении дополнительного импортного контингента — 50 тыс. руб. Двигательстрою. </w:t>
      </w:r>
      <w:hyperlink r:id="rId346" w:anchor="showunit&amp;id=87927" w:history="1">
        <w:r w:rsidRPr="0044524F">
          <w:rPr>
            <w:rStyle w:val="a5"/>
            <w:color w:val="000000" w:themeColor="text1"/>
            <w:sz w:val="16"/>
            <w:szCs w:val="16"/>
          </w:rPr>
          <w:t>125/102. О взаимоотношениях с немецкими компаниями</w:t>
        </w:r>
      </w:hyperlink>
      <w:r w:rsidRPr="0044524F">
        <w:rPr>
          <w:color w:val="000000" w:themeColor="text1"/>
          <w:sz w:val="16"/>
          <w:szCs w:val="16"/>
        </w:rPr>
        <w:t xml:space="preserve"> (ПБ от 13 октября 1933 г.). — ОП. Решено считать установку Литвинова правильной — руководствоваться во взаимоотношениях с компаниями исключительно хозяйственными соображениями (15462).</w:t>
      </w:r>
    </w:p>
    <w:p w14:paraId="38378AEF" w14:textId="77777777" w:rsidR="003026DB" w:rsidRPr="0044524F" w:rsidRDefault="003026DB" w:rsidP="009654CF">
      <w:pPr>
        <w:pStyle w:val="rtejustify"/>
        <w:spacing w:before="0" w:after="0"/>
        <w:rPr>
          <w:color w:val="000000" w:themeColor="text1"/>
          <w:sz w:val="16"/>
          <w:szCs w:val="16"/>
        </w:rPr>
      </w:pPr>
    </w:p>
    <w:p w14:paraId="45D9B91B"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w:t>
      </w:r>
    </w:p>
    <w:p w14:paraId="4C9F292F"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147 заседания Политбюро ЦК ВКП(б) от 15 октября 1933 года</w:t>
      </w:r>
    </w:p>
    <w:p w14:paraId="10FBCAE4"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15</w:t>
      </w:r>
      <w:r w:rsidRPr="0044524F">
        <w:rPr>
          <w:rFonts w:ascii="Times New Roman" w:hAnsi="Times New Roman"/>
          <w:color w:val="000000" w:themeColor="text1"/>
          <w:sz w:val="16"/>
          <w:szCs w:val="16"/>
        </w:rPr>
        <w:noBreakHyphen/>
        <w:t>го октября 1933 года.</w:t>
      </w:r>
    </w:p>
    <w:p w14:paraId="26A34600"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3: О договоре с “Люфтганзой”</w:t>
      </w:r>
    </w:p>
    <w:p w14:paraId="60C1382D"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(ПБ от 1.X.33 г., пр. № 146, п. 3-б).</w:t>
      </w:r>
    </w:p>
    <w:p w14:paraId="6F950FCE"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(Уншлихт, Сокольников, Беленький 3., Элиава).</w:t>
      </w:r>
    </w:p>
    <w:p w14:paraId="448C3C89"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52FB206C"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Считая в принципе приемлемым предложение комиссии, предложить т.т. Уншлихту и Сокольникову представить в Политбюро экономический расчет в 2</w:t>
      </w:r>
      <w:r w:rsidRPr="0044524F">
        <w:rPr>
          <w:rFonts w:ascii="Times New Roman" w:hAnsi="Times New Roman"/>
          <w:color w:val="000000" w:themeColor="text1"/>
          <w:sz w:val="16"/>
          <w:szCs w:val="16"/>
        </w:rPr>
        <w:noBreakHyphen/>
        <w:t>недельный срок.</w:t>
      </w:r>
    </w:p>
    <w:p w14:paraId="0717A21C"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Против переговоров с “Люфтганзой” в установленных комиссией пределах не возражать.</w:t>
      </w:r>
    </w:p>
    <w:p w14:paraId="30B2BB9A"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53D3DBF6"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Уншлихту, Сокольникову, Элиаве, Беленькому 3.</w:t>
      </w:r>
    </w:p>
    <w:p w14:paraId="01AA3E1E"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16: О дирижабле В-3 “Красная Звезда”</w:t>
      </w:r>
    </w:p>
    <w:p w14:paraId="7B1DBEE4"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(Антипов, Прокофьев, Уншлихт).</w:t>
      </w:r>
    </w:p>
    <w:p w14:paraId="3F31214C"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5AD73859"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с поправками внесенный комиссией проект постановления о дирижабле В</w:t>
      </w:r>
      <w:r w:rsidRPr="0044524F">
        <w:rPr>
          <w:rFonts w:ascii="Times New Roman" w:hAnsi="Times New Roman"/>
          <w:color w:val="000000" w:themeColor="text1"/>
          <w:sz w:val="16"/>
          <w:szCs w:val="16"/>
        </w:rPr>
        <w:noBreakHyphen/>
        <w:t>3 “Красная Звезда” (</w:t>
      </w:r>
      <w:hyperlink r:id="rId347" w:history="1">
        <w:r w:rsidRPr="0044524F">
          <w:rPr>
            <w:rFonts w:ascii="Times New Roman" w:hAnsi="Times New Roman"/>
            <w:color w:val="000000" w:themeColor="text1"/>
            <w:sz w:val="16"/>
            <w:szCs w:val="16"/>
          </w:rPr>
          <w:t>см. приложение № 1</w:t>
        </w:r>
        <w:r w:rsidRPr="0044524F">
          <w:rPr>
            <w:rFonts w:ascii="Times New Roman" w:hAnsi="Times New Roman"/>
            <w:color w:val="000000" w:themeColor="text1"/>
            <w:sz w:val="16"/>
            <w:szCs w:val="16"/>
          </w:rPr>
          <w:noBreakHyphen/>
          <w:t>ОП</w:t>
        </w:r>
      </w:hyperlink>
      <w:r w:rsidRPr="0044524F">
        <w:rPr>
          <w:rFonts w:ascii="Times New Roman" w:hAnsi="Times New Roman"/>
          <w:color w:val="000000" w:themeColor="text1"/>
          <w:sz w:val="16"/>
          <w:szCs w:val="16"/>
        </w:rPr>
        <w:t>).</w:t>
      </w:r>
    </w:p>
    <w:p w14:paraId="0D99A313"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5A11C33A"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Фельдману (Дирижаблестрой), Уншлихту, Ворошилову;</w:t>
      </w:r>
    </w:p>
    <w:p w14:paraId="767B722A"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председателю Центральной Аварийной Комиссии — п. 5 из приложения.</w:t>
      </w:r>
    </w:p>
    <w:p w14:paraId="78D7BD40"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77/54: О гелии</w:t>
      </w:r>
    </w:p>
    <w:p w14:paraId="0784342B"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(ПБ от 13.IX.3З г., пр. № 145, п. 125/109).</w:t>
      </w:r>
    </w:p>
    <w:p w14:paraId="75D20918"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15B3D5C2"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изменение постановления ПБ от 13.IX.1933 г. возложить ответственность за организацию работ по улавливанию гелия в скважине 108 (Артемовск) на т. Нестерова (Главгаз).</w:t>
      </w:r>
    </w:p>
    <w:p w14:paraId="2F1C26A7"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6603B0D4"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Пятакову, Нестерову (18070).</w:t>
      </w:r>
    </w:p>
    <w:p w14:paraId="36A39EE4" w14:textId="77777777" w:rsidR="00347975" w:rsidRPr="0044524F" w:rsidRDefault="00347975" w:rsidP="009654CF">
      <w:pPr>
        <w:spacing w:after="0" w:line="240" w:lineRule="auto"/>
        <w:jc w:val="both"/>
        <w:rPr>
          <w:rFonts w:ascii="Times New Roman" w:hAnsi="Times New Roman"/>
          <w:color w:val="000000" w:themeColor="text1"/>
          <w:sz w:val="16"/>
          <w:szCs w:val="16"/>
        </w:rPr>
      </w:pPr>
    </w:p>
    <w:p w14:paraId="3E135D8E"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w:t>
      </w:r>
    </w:p>
    <w:p w14:paraId="07F8EA6E"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w:t>
      </w:r>
    </w:p>
    <w:p w14:paraId="73462944"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http://sovdoc.rusarchives.ru</w:t>
      </w:r>
    </w:p>
    <w:p w14:paraId="65AA1574"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Архив: </w:t>
      </w:r>
    </w:p>
    <w:p w14:paraId="4905F7CE"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РГАСПИ. Ф. 17. Оп. 162. Д. 15. Л. 105.</w:t>
      </w:r>
    </w:p>
    <w:p w14:paraId="05006C90"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 1-ОП</w:t>
      </w:r>
    </w:p>
    <w:p w14:paraId="7C5171CD"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 16 (о. п.) пр. ПБ № 147.</w:t>
      </w:r>
    </w:p>
    <w:p w14:paraId="5B87CD17"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дирижабле В-3 “Красная Звезда”.</w:t>
      </w:r>
    </w:p>
    <w:p w14:paraId="03D3E2DF"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Центрального Комитета ВКП/б/ от 15.Х.1933 г.</w:t>
      </w:r>
    </w:p>
    <w:p w14:paraId="72B32D9F"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Констатировать, что происшедшая 3</w:t>
      </w:r>
      <w:r w:rsidRPr="0044524F">
        <w:rPr>
          <w:rFonts w:ascii="Times New Roman" w:hAnsi="Times New Roman"/>
          <w:color w:val="000000" w:themeColor="text1"/>
          <w:sz w:val="16"/>
          <w:szCs w:val="16"/>
        </w:rPr>
        <w:noBreakHyphen/>
        <w:t>го сентября катастрофа дирижабля В</w:t>
      </w:r>
      <w:r w:rsidRPr="0044524F">
        <w:rPr>
          <w:rFonts w:ascii="Times New Roman" w:hAnsi="Times New Roman"/>
          <w:color w:val="000000" w:themeColor="text1"/>
          <w:sz w:val="16"/>
          <w:szCs w:val="16"/>
        </w:rPr>
        <w:noBreakHyphen/>
        <w:t>3 “Красная Звезда” явилась следствием небрежной и преступной подготовки дирижабля к полету.</w:t>
      </w:r>
    </w:p>
    <w:p w14:paraId="5EEA17D5"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порта т. Куприяновым, командиром корабля т. Мейснером, его помощником Шнейдерманом, непосредственно отвечающими за организацию полета, были допущены следующие явно преступные действия:</w:t>
      </w:r>
    </w:p>
    <w:p w14:paraId="55A135F2"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учебно-тренировочный полет дирижабля В</w:t>
      </w:r>
      <w:r w:rsidRPr="0044524F">
        <w:rPr>
          <w:rFonts w:ascii="Times New Roman" w:hAnsi="Times New Roman"/>
          <w:color w:val="000000" w:themeColor="text1"/>
          <w:sz w:val="16"/>
          <w:szCs w:val="16"/>
        </w:rPr>
        <w:noBreakHyphen/>
        <w:t>3 был проработан совершенно недостаточно; летный состав перед полетом в должной мере проинструктирован не был;</w:t>
      </w:r>
    </w:p>
    <w:p w14:paraId="249F7083"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корабль не был обеспечен опытным руководством аэронавигационной службы;</w:t>
      </w:r>
    </w:p>
    <w:p w14:paraId="13AC2523"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полет совершался без метеорологических сводок и необходимых карт.</w:t>
      </w:r>
    </w:p>
    <w:p w14:paraId="4E19777F"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Дирижаблестрой, в лице т. Фельдмана, не обеспечил правильной постановки учебно-тренировочных полетов, не организовал технически-грамотной эксплуатационной службы в Московском порту дирижаблей.</w:t>
      </w:r>
    </w:p>
    <w:p w14:paraId="420A1D6D"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Главная Инспекция Аэрофлота также не обеспечила должного наблюдения и контроля за состоянием эксплуатационной работы Дирижаблестроя.</w:t>
      </w:r>
    </w:p>
    <w:p w14:paraId="1917B3B8"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Центральный Комитет ВКП/б/ постановляет:</w:t>
      </w:r>
    </w:p>
    <w:p w14:paraId="3D565A82"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начальника Главного Управления Гражданского Воздушного Флота т. Уншлихта: в кратчайший срок привести в полный порядок эксплуатационную службу Дирижаблестроя и организовать строгий контроль над ней со стороны Главной Инспекции.</w:t>
      </w:r>
    </w:p>
    <w:p w14:paraId="34DAFDB3"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Предложить тов. Уншлихту привлечь к уголовной ответственности отстраненного от должности начальника порта Куприянова, ответственного за преступную организацию полета дирижабля “Красная Звезда”.</w:t>
      </w:r>
    </w:p>
    <w:p w14:paraId="50439903"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Начальнику Дирижаблестроя т. Фельдману за отсутствие должного руководства постановкой учебно-тренировочных полетов, за крайнюю неорганизованность эксплуатационной службы в Московском порту — объявить строгий выговор.</w:t>
      </w:r>
    </w:p>
    <w:p w14:paraId="4C51F1E3"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Принять к сведению приказ ГУГВФ, согласно которого командир корабля Мейснер, его помощник Шнейдерман привлечены к уголовной ответственности.</w:t>
      </w:r>
    </w:p>
    <w:p w14:paraId="7EB97D95"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Центральную Аварийную комиссию в двухдекадный срок рассмотреть материалы всех аварий дирижаблей ГУГВФ и разработать соответствующие мероприятия по полному обеспечению правильной эксплуатации материальной части и безопасности воздушных полетов.</w:t>
      </w:r>
    </w:p>
    <w:p w14:paraId="2D13C174" w14:textId="77777777" w:rsidR="00347975" w:rsidRPr="0044524F" w:rsidRDefault="0034797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Поручить т. Ворошилову расследовать дело об обстреле дирижабля и сообщить о результатах в ЦК (18071).</w:t>
      </w:r>
    </w:p>
    <w:p w14:paraId="69F15096" w14:textId="77777777" w:rsidR="00347975" w:rsidRPr="0044524F" w:rsidRDefault="00347975" w:rsidP="009654CF">
      <w:pPr>
        <w:spacing w:after="0" w:line="240" w:lineRule="auto"/>
        <w:jc w:val="both"/>
        <w:rPr>
          <w:rFonts w:ascii="Times New Roman" w:eastAsia="Times New Roman" w:hAnsi="Times New Roman"/>
          <w:color w:val="000000" w:themeColor="text1"/>
          <w:sz w:val="16"/>
          <w:szCs w:val="16"/>
          <w:lang w:eastAsia="ru-RU"/>
        </w:rPr>
      </w:pPr>
    </w:p>
    <w:p w14:paraId="69AD7556" w14:textId="77777777" w:rsidR="003026DB" w:rsidRPr="0044524F" w:rsidRDefault="003026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г. Протокол ПБ № 147 п.143/120: О полете на дальность - ОП. Решено отложить рекордный полет нашего самолета на дальность на весну 1934 г. (15913).</w:t>
      </w:r>
    </w:p>
    <w:p w14:paraId="3E7B6532" w14:textId="77777777" w:rsidR="003026DB" w:rsidRPr="0044524F" w:rsidRDefault="003026DB" w:rsidP="009654CF">
      <w:pPr>
        <w:spacing w:after="0" w:line="240" w:lineRule="auto"/>
        <w:jc w:val="both"/>
        <w:rPr>
          <w:rFonts w:ascii="Times New Roman" w:hAnsi="Times New Roman"/>
          <w:color w:val="000000" w:themeColor="text1"/>
          <w:sz w:val="16"/>
          <w:szCs w:val="16"/>
        </w:rPr>
      </w:pPr>
    </w:p>
    <w:p w14:paraId="708C2038"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состоялось заседание ПБ и был оформлен протокол № 147</w:t>
      </w:r>
    </w:p>
    <w:p w14:paraId="4ABCF8B5"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договоре с Люфтганзой</w:t>
      </w:r>
    </w:p>
    <w:p w14:paraId="4E9E150A"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(ПБ от 1.Х.33 г. Пр. № 146, п. 3 - б).</w:t>
      </w:r>
    </w:p>
    <w:p w14:paraId="2199FFF2"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(т.т.Уншлихт, Сокольников, Беленький 3., Элиава).</w:t>
      </w:r>
    </w:p>
    <w:p w14:paraId="2BFC9C31"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Считая в принципе приемлемым предложение комис</w:t>
      </w:r>
      <w:r w:rsidRPr="0044524F">
        <w:rPr>
          <w:rFonts w:ascii="Times New Roman" w:hAnsi="Times New Roman"/>
          <w:color w:val="000000" w:themeColor="text1"/>
          <w:sz w:val="16"/>
          <w:szCs w:val="16"/>
        </w:rPr>
        <w:softHyphen/>
        <w:t>сии. Предложить т.т. Уншлихту и Сокольникову представить в Политбюро экономический расчет в 2-недельный срок.</w:t>
      </w:r>
    </w:p>
    <w:p w14:paraId="1500BCE6"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Против переговоров с ’’Люфтганзой" в установлен</w:t>
      </w:r>
      <w:r w:rsidRPr="0044524F">
        <w:rPr>
          <w:rFonts w:ascii="Times New Roman" w:hAnsi="Times New Roman"/>
          <w:color w:val="000000" w:themeColor="text1"/>
          <w:sz w:val="16"/>
          <w:szCs w:val="16"/>
        </w:rPr>
        <w:softHyphen/>
        <w:t>ных комиссией пределах не возражать.</w:t>
      </w:r>
    </w:p>
    <w:p w14:paraId="585B86C4"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т.т.Уншлихту, Сокольникову, Элиаве, Беленькому 3.</w:t>
      </w:r>
    </w:p>
    <w:p w14:paraId="4A4DE46B"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октября 1933 опросом членов ПБ</w:t>
      </w:r>
    </w:p>
    <w:p w14:paraId="2940C732"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71/48.- О Tvрции.</w:t>
      </w:r>
    </w:p>
    <w:p w14:paraId="35269957"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ередать через делегацию, в качестве подарка Турецкой послублике от правительства СССР одно звено (3) военных самолетов Р-5 :: 1 пассажирский самолет "АНТ-9".</w:t>
      </w:r>
    </w:p>
    <w:p w14:paraId="24D55FB8"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Ворошилову ,.Литвинову, Сокольникову.</w:t>
      </w:r>
    </w:p>
    <w:p w14:paraId="28C5E9C4"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октября 1933 опросом членов ПБ</w:t>
      </w:r>
    </w:p>
    <w:p w14:paraId="4BA5C876"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77/54,- О гелии</w:t>
      </w:r>
    </w:p>
    <w:p w14:paraId="320842EA"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(ПБ от 13.1Х.ЗЗг., Пр. № 145, п.125/109).</w:t>
      </w:r>
    </w:p>
    <w:p w14:paraId="01FBE201"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изменение постановления ПБ от 13.1Х.ЗЗ г. возложить ответственность за организацию работ по улавливанию гелия в скважине 103 (Артемовск) на т. Нестерова (Главгаз).</w:t>
      </w:r>
    </w:p>
    <w:p w14:paraId="3719EF6B"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Выписки_посланы: т.т. Пятакову, Нестерову.</w:t>
      </w:r>
    </w:p>
    <w:p w14:paraId="7902B868"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опросом членов ПБ</w:t>
      </w:r>
    </w:p>
    <w:p w14:paraId="78696B22"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110/37.</w:t>
      </w:r>
    </w:p>
    <w:p w14:paraId="7F3FF334"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К.О.</w:t>
      </w:r>
    </w:p>
    <w:p w14:paraId="53621BD5"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КО об отпуске в 1У кв.1933 г. из резерва СНК 5 млн.р. и выделении дополнительного импортного контингента - 50 т.р. "Двигателвстрою”.</w:t>
      </w:r>
    </w:p>
    <w:p w14:paraId="75D2A3A6" w14:textId="2F73117F"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т.т. Базилевичу, Мирошникову.</w:t>
      </w:r>
    </w:p>
    <w:p w14:paraId="2CDD1F60"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октября 1933 опросом членов ПБ</w:t>
      </w:r>
    </w:p>
    <w:p w14:paraId="3A097A52"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договоре с Манчжурском авиаобществом</w:t>
      </w:r>
    </w:p>
    <w:p w14:paraId="18A66A77"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нецелесообразным утверждение дого</w:t>
      </w:r>
      <w:r w:rsidRPr="0044524F">
        <w:rPr>
          <w:rFonts w:ascii="Times New Roman" w:hAnsi="Times New Roman"/>
          <w:color w:val="000000" w:themeColor="text1"/>
          <w:sz w:val="16"/>
          <w:szCs w:val="16"/>
        </w:rPr>
        <w:softHyphen/>
        <w:t>вора с манчжурским авиаобществом; добиться отка</w:t>
      </w:r>
      <w:r w:rsidRPr="0044524F">
        <w:rPr>
          <w:rFonts w:ascii="Times New Roman" w:hAnsi="Times New Roman"/>
          <w:color w:val="000000" w:themeColor="text1"/>
          <w:sz w:val="16"/>
          <w:szCs w:val="16"/>
        </w:rPr>
        <w:softHyphen/>
        <w:t>за манчжурского общества от договора.</w:t>
      </w:r>
    </w:p>
    <w:p w14:paraId="434F266E"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Розенгольцу, Сокольникову.</w:t>
      </w:r>
    </w:p>
    <w:p w14:paraId="4E822393"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143/120. - О полете на дальность.</w:t>
      </w:r>
    </w:p>
    <w:p w14:paraId="719BA188"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Отложить рекордный полет нашего самолета на дальность на весну 1934 г.</w:t>
      </w:r>
    </w:p>
    <w:p w14:paraId="7A90C428"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тов. Ворошилову.</w:t>
      </w:r>
    </w:p>
    <w:p w14:paraId="1EC22626"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опросом членов ПБ</w:t>
      </w:r>
    </w:p>
    <w:p w14:paraId="193E3DC6"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152/129.- О договоре с манчжурским авиаобществом.</w:t>
      </w:r>
    </w:p>
    <w:p w14:paraId="03D490BA" w14:textId="77777777" w:rsidR="00F15A76" w:rsidRPr="0044524F" w:rsidRDefault="00F15A7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изменение решения Пб от 12.X считать нецелесообразном утверждение договора с ман</w:t>
      </w:r>
      <w:r w:rsidRPr="0044524F">
        <w:rPr>
          <w:rFonts w:ascii="Times New Roman" w:hAnsi="Times New Roman"/>
          <w:color w:val="000000" w:themeColor="text1"/>
          <w:sz w:val="16"/>
          <w:szCs w:val="16"/>
        </w:rPr>
        <w:softHyphen/>
        <w:t>чжурским авиаобществок в его настоящей редакции. Выдвинуть, во-порых требованио об оплате за товар по скользящей мировой цене; во-вторых, требогание о подписании особого протокола сто</w:t>
      </w:r>
      <w:r w:rsidRPr="0044524F">
        <w:rPr>
          <w:rFonts w:ascii="Times New Roman" w:hAnsi="Times New Roman"/>
          <w:color w:val="000000" w:themeColor="text1"/>
          <w:sz w:val="16"/>
          <w:szCs w:val="16"/>
        </w:rPr>
        <w:softHyphen/>
        <w:t>ронами о том, что договор отпадает в случае нарушения договорного статута К.В.Ж.Д. манчжур скими властями (22997).</w:t>
      </w:r>
    </w:p>
    <w:p w14:paraId="0CC0E11A" w14:textId="77777777" w:rsidR="00F15A76" w:rsidRPr="0044524F" w:rsidRDefault="00F15A76" w:rsidP="009654CF">
      <w:pPr>
        <w:spacing w:after="0" w:line="240" w:lineRule="auto"/>
        <w:jc w:val="both"/>
        <w:rPr>
          <w:rFonts w:ascii="Times New Roman" w:hAnsi="Times New Roman"/>
          <w:color w:val="000000" w:themeColor="text1"/>
          <w:sz w:val="16"/>
          <w:szCs w:val="16"/>
        </w:rPr>
      </w:pPr>
    </w:p>
    <w:p w14:paraId="1EE5F9CC" w14:textId="77777777" w:rsidR="001F72EB" w:rsidRPr="0044524F" w:rsidRDefault="001A42D5" w:rsidP="009654C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7ACB74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380063DB" w14:textId="77777777" w:rsidR="003026DB" w:rsidRPr="0044524F" w:rsidRDefault="003026DB"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15 октября 1933 г. </w:t>
      </w:r>
      <w:r w:rsidRPr="0044524F">
        <w:rPr>
          <w:rFonts w:ascii="Times New Roman" w:hAnsi="Times New Roman"/>
          <w:color w:val="000000" w:themeColor="text1"/>
          <w:sz w:val="16"/>
          <w:szCs w:val="16"/>
        </w:rPr>
        <w:t>Докладная записка Госплана СССР в Комиссию обороны СССР о кооперировании военного и гражданского производств</w:t>
      </w:r>
    </w:p>
    <w:p w14:paraId="0203979D" w14:textId="77777777" w:rsidR="003026DB" w:rsidRPr="0044524F" w:rsidRDefault="003026DB"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5EDC0759"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Предстоящая война предъявит грандиозные требования на стрелковое оружие. Эти требования сейчас трудно точно определить, но ясно одно, что нам нужно готовить свою промышленность к удовлетворению потребностей фронта в любых количествах этого основного оружия пехоты.</w:t>
      </w:r>
    </w:p>
    <w:p w14:paraId="3A12CCB5"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Наши кадровые заводы Оружейно-пулеметного треста, реконструкция которых в основном будет закончена в 1934 г., имеют чрезвычайно большую мощность. Мощность, которая ставит наши заводы на одно из самых первых мест в мире. Мобилизационная подача на 1934 г. по трем оружейным заводам и кооперированному Подольскому механическому заводу определена правительством в 2 млн. винтовок и 120 тыс. пулеметов. Капитальные работы 1933</w:t>
      </w:r>
      <w:r w:rsidRPr="0044524F">
        <w:rPr>
          <w:color w:val="000000" w:themeColor="text1"/>
          <w:sz w:val="16"/>
          <w:szCs w:val="16"/>
        </w:rPr>
        <w:noBreakHyphen/>
        <w:t>1934 гг. делают эту подачу реальной.</w:t>
      </w:r>
    </w:p>
    <w:p w14:paraId="7E441165"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Тем не менее, одна только кадровая промышленность не в состоянии покрыть рост потребности армии в стрелковом оружии. Следовательно, перед нами стоит задача дальнейшего наращивания мощностей. Возможны два способа решения этой задачи. Первый способ — увеличивать мощности исключительно за счет развития кадровой промышленности, т. е. способ, которым мы разрешали задачу до сего времени. Второй способ — закончить реконструкцию кадровой промышленности в 1934 г., в дальнейшем по кадровым заводам ограничиваться самыми минимальными работами, а центр тяжести по созданию дополнительных мощностей перенести на гражданскую промышленность по методу кооперирования.</w:t>
      </w:r>
    </w:p>
    <w:p w14:paraId="145C4123"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Госплан СССР считает, что если до сего времени мы решали задачу первым способом, что являлось неизбежным и в основном правильным, то сейчас необходимо резко изменить курс. Сейчас, опираясь на большую мощность кадровых военных заводов, необходимо решительно взяться за внедрение производства пулеметных и винтовочных деталей на соответствующих предприятиях гражданской промышленности. Целесообразность именно этого пути подтверждается как соображениями чисто экономического и производственного, так и оборонного порядка. Приспособление гражданских предприятий под военное производство, систематически и планомерно проводимое, обеспечит стране такое количество оружия, какого нельзя получить в одной только даже самой мощной кадровой промышленности. Яркой иллюстрацией этого является Германия периода империалистической войны. На государственных оружейных заводах Германии по плану предполагалось производство винтовок в течение 5 месяцев войны довести до 1200 шт. в день. Когда же выявилась действительная потребность, было мобилизовано 100 гражданских предприятий на изготовление деталей винтовок. Мобилизация 100 частных предприятий целиком оправдала себя: в августе 1915 г. на двенадцатом месяце войны германская промышленность дала месячный выпуск в 250 тыс. винтовок. Еще более показательны результаты постановки производства пулеметов на гражданских заводах. Производство пулеметов перед войной сосредотачивалось на трех госзаводах незначительной мощности. С объявлением войны к производству пулеметов было привлечено свыше 60 гражданских предприятий. Месячное производство с 200 шт. в начале войны было доведено до 2300</w:t>
      </w:r>
      <w:r w:rsidRPr="0044524F">
        <w:rPr>
          <w:color w:val="000000" w:themeColor="text1"/>
          <w:sz w:val="16"/>
          <w:szCs w:val="16"/>
        </w:rPr>
        <w:noBreakHyphen/>
        <w:t>2400 в конце первого года войны и до 14 750 шт. в январе 1918 г. Годовой же выпуск пулеметов в 1917 г. составил свыше 100 тыс. шт., в 1918 г. — около 140 тыс. шт.</w:t>
      </w:r>
    </w:p>
    <w:p w14:paraId="323B8F7E"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Таковы результаты работы капиталистической промышленности. Наша социалистическая промышленность, в которой имеются самые широкие возможности подготовительной планово-мобилизационной работы, должна и может дать несравненно большие результаты с меньшими затратами времени и средств.</w:t>
      </w:r>
    </w:p>
    <w:p w14:paraId="31FC9BF5"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Внедрение производства деталей стрелкового оружия на гражданские заводы обойдется значительно дешевле, нежели строительство новых специальных заводов и цехов. Необходимы только тщательный подбор соответствующих предприятий и постановка на них производства деталей, наиболее родственных по технологическому процессу основной продукции предприятия. В таком случае значительная доля оборудования и площадей гражданских предприятий сможет быть использована в военное время под специальное производство, а в мирное время для выпуска нормальной продукции.</w:t>
      </w:r>
    </w:p>
    <w:p w14:paraId="42F7CEE9"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Дальнейшее увеличение мощностей кадровой промышленности нецелесообразно еще и потому, что оружейные заводы сейчас загружены военными заказами не более, чем на 15</w:t>
      </w:r>
      <w:r w:rsidRPr="0044524F">
        <w:rPr>
          <w:color w:val="000000" w:themeColor="text1"/>
          <w:sz w:val="16"/>
          <w:szCs w:val="16"/>
        </w:rPr>
        <w:noBreakHyphen/>
        <w:t>17% их мощности. Дальнейшее увеличение мощности при вероятной стабильности, и даже возможном снижении военных заказов в мирное время, повлечет дальнейшее уменьшение процента загрузки заводов специальными заказами и приведет таким образом к деквалификации их как кадровых оружейных заводов. Дело в том, что поддержание необходимой мобилизационной готовности военных заводов в условиях недостатка специальных заказов требует постановки на них производства гражданской продукции. Последнее дает возможность заводу сохранить его квалифицированные кадры и поддерживать оборудование и весь производственный процесс на уровне развивающейся техники. Но эта обратная ассимиляция, проведенная в широком масштабе, настолько изменяет структуру оборудования и производственного процесса, что кадровый завод по своему типу приближается к гражданскому приспособленному предприятию.</w:t>
      </w:r>
    </w:p>
    <w:p w14:paraId="37C9905E"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Все это говорит о том, что мобилизационное развертывание заводов, имеющих неполную общую загрузку и, особенно, незначительную загрузку спецзаказами, представляет несомненно немалые трудности, мало уступающие трудностям освоения отдельных деталей специально отобранными гражданскими заводами и развертывания последних в военный период. Следовательно, целесообразность создания дополнительных мощностей за счет приспособления гражданской промышленности совершенно очевидна как со стороны чисто экономической, так и со стороны военно-мобилизационной. Весь вопрос сводится лишь к тому, сможет ли наша машиностроительная промышленность справиться с задачей массового производства специальных деталей, не уступающих по своим качествам деталям, выпускаемым с военных заводов, и смогут ли наши военно-мобилизационные органы обеспечить четкую и согласованную работу кооперируемых предприятий, в результате которой должно получиться необходимое комплектное количество деталей, взаимозаменяемых и отвечающих всем необходимым условиям.</w:t>
      </w:r>
    </w:p>
    <w:p w14:paraId="4AB44A2D"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Наше машиностроение сделало колоссальные успехи как в смысле расширения своей производственной базы, так и в смысле изменения структуры и улучшения оборудования, что позволило нашей промышленности освоить ряд новых производств, в том числе и чрезвычайно сложных и точных (пишущие и счетные машины, велосипеды, шарикоподшипники, оптические, аэро-навигационные приборы и т. д.). Советское машиностроение достигло такого уровня, что оно в состоянии изготовлять на своих гражданских предприятиях сложнейшие виды оружия и отдельные его детали. Вся трудность привлечения гражданской промышленности к военному производству сейчас заключается уже не в недостаточности и отставании машиностроения, а в нашем неумении организовать это, используя наши плановые и производственные преимущества и возможности, и в недооценке значения разрешения этой задачи для укрепления обороноспособности.</w:t>
      </w:r>
    </w:p>
    <w:p w14:paraId="018E8CFF"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 xml:space="preserve">НКТП по вопросам кооперирования не имеет установившейся определенной точки зрения; в этом деле до настоящего времени преобладает самотек; заводы, привлекаемые к кооперированному производству, предоставлены, как правило, сами себе. Это особенно наглядно выявил опыт кооперирования Подольского механического завода с Тульским оружейным по производству винтовки. Здесь прежде всего был допущен неправильный подход к самому разрешению вопроса. Вместо того, чтобы заводу дать такое количество специально отобранных деталей, освоение которых было бы посильно для него, НКТП дает Подольскому заводу для освоения сразу 66 деталей, т. е. почти полный комплект винтовки. Вторым серьезнейшим недостатком явилось по существу отсутствие детальных рабочих чертежей. Спущенные Подольскому заводу детальные чертежи, по которым он с мая 1930 г. вел разработку технологического процесса, оказались в значительной мере устаревшими и не отражавшими действительности. Но обнаружено это было только через 1,5 года — в декабре 1931 г., когда Тульский оружейный завод вынужден был заявить, что ряд операций и деталей должны производиться не по детальным чертежам, а по выработкам с лекал. Наконец, отсутствовали определенные взаимоотношения между кооперированными заводами, вследствие чего техническая помощь и контроль со стороны Тульского завода были абсолютно недостаточны. К этим основным недостаткам необходимо прибавить, что ни ГВМУ НКТП, ни объединение «Всесчетшвеймашина» не руководили и не интересовались этим делом. </w:t>
      </w:r>
      <w:r w:rsidRPr="0044524F">
        <w:rPr>
          <w:color w:val="000000" w:themeColor="text1"/>
          <w:sz w:val="16"/>
          <w:szCs w:val="16"/>
        </w:rPr>
        <w:lastRenderedPageBreak/>
        <w:t>Результатом этого и явилось то положение, что несмотря на затраты свыше 4 млн. руб. и длительную работу на сегодняшний день на Подольском заводе еще нет реальных мощностей.</w:t>
      </w:r>
    </w:p>
    <w:p w14:paraId="54C3D4A6"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Более удачной оказалась постановка производства некоторых пулеметных деталей на Пресненском механическом заводе № 3 в Москве. Заводу было предложено освоить только 3 детали. Завод при незначительных затратах (30 тыс. руб.) с меньшими техническими силами в течение 8</w:t>
      </w:r>
      <w:r w:rsidRPr="0044524F">
        <w:rPr>
          <w:color w:val="000000" w:themeColor="text1"/>
          <w:sz w:val="16"/>
          <w:szCs w:val="16"/>
        </w:rPr>
        <w:noBreakHyphen/>
        <w:t>10 мес. в основном освоил производство этих деталей.</w:t>
      </w:r>
    </w:p>
    <w:p w14:paraId="77C1BF1E"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Таким образом, учитывая мощности кадровых заводов и достигнутый уровень советского машиностроения, Госплан СССР считает, что внедрение производства стрелкового оружия в гражданскую промышленность является вполне возможным и наиболее целесообразным способом дальнейшего увеличения мощностей. В первую очередь на гражданских предприятиях необходимо создавать мощности по новым видам стрелкового оружия (автоматическая винтовка, крупнокалиберные и скоростные пулеметы и т. п.) и по деталям, являющимся узким местом на военных заводах. Это обеспечит удовлетворение потребностей в названном оружии без большого расширения военных заводов и без сокращения их мощности по установившимся видам оружия. Освоение производства новых видов оружия должно вестись на кадровых заводах; здесь же создается минимальная производственно-техническая база, обеспечивающая необходимый выпуск соответствующих типов оружия гражданскими заводами.</w:t>
      </w:r>
    </w:p>
    <w:p w14:paraId="5ECDCCE5"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К разрешению задачи кооперирования надо приступить немедленно. Необходимо уже сейчас начать отбор соответствующего количества гражданских заводов, проработку вопроса о постановке на каждом из них производства определенных деталей и определение системы взаимоотношений гражданских заводов с военными, в особенности в отношении снабжения чертежами и мерительным инструментом.</w:t>
      </w:r>
    </w:p>
    <w:p w14:paraId="183A55B8"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Для осуществления поставленной задачи необходима целая система организационных и производственных мероприятий, разработку которой необходимо поручить НКТП совместно с НКВМ. В соответствии с этим Госплан СССР просит утвердить прилагаемый проект постановления¹*.</w:t>
      </w:r>
    </w:p>
    <w:p w14:paraId="10F7363C" w14:textId="77777777" w:rsidR="003026DB" w:rsidRPr="0044524F" w:rsidRDefault="003026DB" w:rsidP="009654CF">
      <w:pPr>
        <w:pStyle w:val="ae"/>
        <w:spacing w:before="0" w:after="0"/>
        <w:jc w:val="both"/>
        <w:rPr>
          <w:color w:val="000000" w:themeColor="text1"/>
          <w:sz w:val="16"/>
          <w:szCs w:val="16"/>
        </w:rPr>
      </w:pPr>
      <w:r w:rsidRPr="0044524F">
        <w:rPr>
          <w:rStyle w:val="af0"/>
          <w:i w:val="0"/>
          <w:color w:val="000000" w:themeColor="text1"/>
          <w:sz w:val="16"/>
          <w:szCs w:val="16"/>
        </w:rPr>
        <w:t>Зам. председателя Госплана СССР Трояновский</w:t>
      </w:r>
    </w:p>
    <w:p w14:paraId="76E84CB9" w14:textId="77777777" w:rsidR="003026DB" w:rsidRPr="0044524F" w:rsidRDefault="003026DB"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Примечание</w:t>
      </w:r>
      <w:r w:rsidRPr="0044524F">
        <w:rPr>
          <w:color w:val="000000" w:themeColor="text1"/>
          <w:sz w:val="16"/>
          <w:szCs w:val="16"/>
        </w:rPr>
        <w:t>:</w:t>
      </w:r>
    </w:p>
    <w:p w14:paraId="48D44680" w14:textId="77777777" w:rsidR="003026DB" w:rsidRPr="0044524F" w:rsidRDefault="003026DB" w:rsidP="009654CF">
      <w:pPr>
        <w:pStyle w:val="rtejustify"/>
        <w:spacing w:before="0" w:after="0"/>
        <w:rPr>
          <w:color w:val="000000" w:themeColor="text1"/>
          <w:sz w:val="16"/>
          <w:szCs w:val="16"/>
        </w:rPr>
      </w:pPr>
      <w:r w:rsidRPr="0044524F">
        <w:rPr>
          <w:color w:val="000000" w:themeColor="text1"/>
          <w:sz w:val="16"/>
          <w:szCs w:val="16"/>
        </w:rPr>
        <w:t>¹* Проект постановления не публикуется (см. там же, л. 270).</w:t>
      </w:r>
    </w:p>
    <w:p w14:paraId="12A1688E" w14:textId="77777777" w:rsidR="003026DB" w:rsidRPr="0044524F" w:rsidRDefault="003026DB" w:rsidP="009654CF">
      <w:pPr>
        <w:pStyle w:val="ae"/>
        <w:spacing w:before="0" w:after="0"/>
        <w:jc w:val="both"/>
        <w:rPr>
          <w:color w:val="000000" w:themeColor="text1"/>
          <w:sz w:val="16"/>
          <w:szCs w:val="16"/>
        </w:rPr>
      </w:pPr>
      <w:r w:rsidRPr="0044524F">
        <w:rPr>
          <w:color w:val="000000" w:themeColor="text1"/>
          <w:sz w:val="16"/>
          <w:szCs w:val="16"/>
        </w:rPr>
        <w:t>РГАЭ. Ф. 7297. Оп. 41. Д. 73. Л. 272-271 об. Заверенная копия (15283).</w:t>
      </w:r>
    </w:p>
    <w:p w14:paraId="5534D113" w14:textId="77777777" w:rsidR="003026DB" w:rsidRPr="0044524F" w:rsidRDefault="003026DB" w:rsidP="009654CF">
      <w:pPr>
        <w:autoSpaceDE w:val="0"/>
        <w:autoSpaceDN w:val="0"/>
        <w:adjustRightInd w:val="0"/>
        <w:spacing w:after="0" w:line="240" w:lineRule="auto"/>
        <w:jc w:val="both"/>
        <w:rPr>
          <w:rFonts w:ascii="Times New Roman" w:hAnsi="Times New Roman"/>
          <w:color w:val="000000" w:themeColor="text1"/>
          <w:sz w:val="16"/>
          <w:szCs w:val="16"/>
        </w:rPr>
      </w:pPr>
    </w:p>
    <w:p w14:paraId="6645964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15 октября 1933 г было подготовлено донесение № 50699 </w:t>
      </w:r>
    </w:p>
    <w:p w14:paraId="16A3DDF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Секретарю ЦК ВКП(б)</w:t>
      </w:r>
    </w:p>
    <w:p w14:paraId="278820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Сталину</w:t>
      </w:r>
    </w:p>
    <w:p w14:paraId="2C6050C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 ПО ДЕЛУ ЛИКВИДИРОВАННОЙ ГПУ УССР ГЕРМАНСКОЙ ДИВЕРСИОННО-РАЗВЕДОВАТЕЛЬНОЙ ОРГАНИЗАЦИИ (МАРИУПОЛЬ – НИКОЛАЕВ)</w:t>
      </w:r>
    </w:p>
    <w:p w14:paraId="06072A5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ГПУ УССР вскрыта и частично ликвидирована в г.г. Мариуполе и Николаеве диверсионно разведывательная организация немецкой националсоциалистической партии, работавшая под прикрытием фирмы "Контроль К°". Ячейки и резидентуры этой организации вскрыты в оборонных цехах заводов им. Ильича и "Азовстали" (Ма­риуполь), им. Марти, "им. 61", "Плуг и Молот" (Николаев), в Ма­риупольском, Бердянском, Николаевском, Херсонской и Одесском портах и в частях XV дивизии (44 стр. полк, 15 артполк).</w:t>
      </w:r>
    </w:p>
    <w:p w14:paraId="5BEF71B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Организацией руководил представитель фирмы Контроль К°" на Украине Вайнцетель Иосиф бывший австрийский офицер, австрий­ский подданный). Главными резидентами Вайнцетеля по диверсион­но-разведывательной работе являлись:</w:t>
      </w:r>
    </w:p>
    <w:p w14:paraId="0BE96E5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Кришайт Рихард - член австрийской организации нац.-соц. партии, инженер-конструктор завода "Плуг и Молот", австрийский подданный;</w:t>
      </w:r>
    </w:p>
    <w:p w14:paraId="153ACDA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Карлл Густав, бывший офицер германской армии, инженер-конструктор завода им. Марти, германский подданный;</w:t>
      </w:r>
    </w:p>
    <w:p w14:paraId="0BF1706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Штурм Альфред, прибалтийский немец, гражданин СССР, представитель конторы "Контроль К°" в г. Николаеве (арестован и сознался).</w:t>
      </w:r>
    </w:p>
    <w:p w14:paraId="4871808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важнейших секретных материалов, добытых немцами, обраща­ют на себя особое внимание данные об оборонных цехах мариуполь­ских и николаевских заводов ("А. Марти", "Плуг и Молот", "им. 61", "им. Ильича", "Азовсталь"), о строительстве подлодок и спецсудов, рецепты специальной танковой стали марок "М.М." и "М.И.", данные о состоянии XY дивизии и Мариупольского гарнизона и т.д.</w:t>
      </w:r>
    </w:p>
    <w:p w14:paraId="455D5AF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Установлено, что широкая разведывательная работа сопровож­далась подготовкой диверсий на ряде предприятий и частичным осу­ществлением диверсионных актов на заводе "им. Марти". Одновре­менно установлено, что ряд завербованных немцев-колонистов ис­пользовался для создания контрреволюционных низовых повстан­ческих ячеек. Вайнцетелем были завербованы в организацию ксенд­зы - Вагнер, Зисько и Гатенбелер, при участии которых были созда­ны к.-р. повстанческие ячейки в немецких колониях Донбасса, Одесщины и Днепропетровщины. При создании этих ячеек организация использовала старые кадры существовавшего в 1920-24 гг. в г. Ма­риуполе "Союза германцев арийской расы" (ликвидирован в 1924 году).</w:t>
      </w:r>
    </w:p>
    <w:p w14:paraId="29789DD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делу арестовано 28 человек. Большинство арестованных со­знались, в том числе непосредственные помощники Вайнцетеля -Штурм Альфред и патер Вагнер</w:t>
      </w:r>
    </w:p>
    <w:p w14:paraId="134BF33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полного вскрытия диверсионных ячеек организации счи­таем необходимым арестовать австрийских подданных - Вайнцетеля Иосифа и Кришая Рихарда и германского подданного Карлла Густава.</w:t>
      </w:r>
    </w:p>
    <w:p w14:paraId="63BF0C2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председателя ОГПУ Я. Агранов</w:t>
      </w:r>
    </w:p>
    <w:p w14:paraId="334124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ф.З, оп. 58, д. 242,л.89-91 (11462).</w:t>
      </w:r>
    </w:p>
    <w:p w14:paraId="652EC6D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C54B559" w14:textId="0BAD22A4" w:rsidR="00D64533" w:rsidRPr="0044524F" w:rsidRDefault="00D64533" w:rsidP="00D6453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Армия</w:t>
      </w:r>
      <w:r w:rsidRPr="0044524F">
        <w:rPr>
          <w:rFonts w:ascii="Times New Roman" w:hAnsi="Times New Roman"/>
          <w:i/>
          <w:iCs/>
          <w:color w:val="000000" w:themeColor="text1"/>
          <w:sz w:val="16"/>
          <w:szCs w:val="16"/>
        </w:rPr>
        <w:t>:</w:t>
      </w:r>
    </w:p>
    <w:p w14:paraId="58BE1549" w14:textId="77777777" w:rsidR="00D64533" w:rsidRPr="0044524F" w:rsidRDefault="00D64533" w:rsidP="00D64533">
      <w:pPr>
        <w:autoSpaceDE w:val="0"/>
        <w:autoSpaceDN w:val="0"/>
        <w:adjustRightInd w:val="0"/>
        <w:spacing w:after="0" w:line="240" w:lineRule="auto"/>
        <w:jc w:val="both"/>
        <w:rPr>
          <w:rFonts w:ascii="Times New Roman" w:hAnsi="Times New Roman"/>
          <w:iCs/>
          <w:color w:val="000000" w:themeColor="text1"/>
          <w:sz w:val="16"/>
          <w:szCs w:val="16"/>
        </w:rPr>
      </w:pPr>
    </w:p>
    <w:p w14:paraId="09DECF12"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4 ТБ-1 с торпедами и 4 ТБ-1 с минами атаковали линкор Марат, изображавший финский броненосец Вайнемяйнен. Удар поддерживали С-62, которые ставили дымзавесы и Р-5, подавлявшие легкими бомбами и пулеметами зенитные средства, а также выливавшими ОВ из ВАП. также появились 4 И-4, которые сопровождали ТБ-1 (3413,15).</w:t>
      </w:r>
    </w:p>
    <w:p w14:paraId="43BA8BA3"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p>
    <w:p w14:paraId="668BB938"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цель выбрали покрупнее - линкор "Марат". Самолеты с минами должны были связать маневрирование корабля перед ударом Р-5. Добавили истребительное прикрытие: ТБ-1П сопровождали четыре И-4. Сбросили пять мин, из них всплыли две. Обе банки поставили левее, чем нужно. Р-5 отбомбились довольно удачно: из 10 практических бомб одна попала прямо в линкор.</w:t>
      </w:r>
    </w:p>
    <w:p w14:paraId="194D96ED"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 учений показал, что на "динамическое вомизометание" надежды мало - мина спускалась на парашютах так долго, что даже огромный "Марат" успевал отвернуть от нее. Был сделан вывод: "Использование МАВ-1 как активного средства для связывания маневра морской цели в условиях комбинированного удара нецелесообразно...". Досталось и торпедоносцам: "Самолет ТБ1 для низкого торпедометания малопригоден". Тоже вполне резонно - велик, тихоходен, недостаточно маневрен.</w:t>
      </w:r>
    </w:p>
    <w:p w14:paraId="50A3C60F"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в целом применение нового оружия сочли перспективным. В итоговом отчете записали: "Учение показало, что применение в комбинированном ударе в короткий промежуток времени таких средств, как МАВ-1, ТАН-12, штурмовиков и легких бомбардировщиков, действующих с использованием завес, как средств, маскирующих "атакующие силы, авиация способна нанести морским силам большие потери, вплоть до полного уничтожения" (12001).</w:t>
      </w:r>
    </w:p>
    <w:p w14:paraId="35F1FDA0"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p>
    <w:p w14:paraId="1F9BA43D"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цель была покрупнее - линкор "Марат". Самолеты с минами должны были связать маневрирование корабля перед ударом Р-5. Добавили истребительное прикрытие: ТБ-1а сопровождали четыре И-4. ТБ-1а сбросили пять мин, из них всплыли две. Обе банки поставили левее, чем нужно, на 3-4 кабельтова. Р-5 отбомбились довольно удачно: из 10 практических бомб одна попала прямо в линкор.</w:t>
      </w:r>
    </w:p>
    <w:p w14:paraId="30F88C15"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 учений показал, что "динамическое вомизометание" в боевой обстановке вряд ли даст практический результат - мина спускалась на парашютах так долго, что даже огромный "Марат" успевал отвернуть от нее. Был сделан вывод: "Использование МАВ-1 как активного средства для связывания маневра морской цели в условиях комбинированного удара нецелесообразно..." Досталось и торпедоносцам. В своих выводах командующий Морскими силами Балтийского моря Л.М. Галлер записал:</w:t>
      </w:r>
    </w:p>
    <w:p w14:paraId="4A22C5E3"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проведенного опытового учения необходимо отметить:</w:t>
      </w:r>
    </w:p>
    <w:p w14:paraId="330E8183"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Минно-торпедное оружие, применяемое с воздуха, является мощным средством нападения во взаимодействии со своими линкорами и самостоятельно против линкоров противника...</w:t>
      </w:r>
    </w:p>
    <w:p w14:paraId="4E8B5595"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Вероятность попадания 18" торпеды с самолета в свободно маневрирующий отдельный корабль мала...</w:t>
      </w:r>
    </w:p>
    <w:p w14:paraId="525F0A8C"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Следует немедленно рассмотреть вопрос о самолете- торпедоносце. так как "ТБ-1" мало соответствует этому назначению.</w:t>
      </w:r>
    </w:p>
    <w:p w14:paraId="23247966"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Необходимо в дальнейшем значительно увеличить количество минно-торпедной авиации ВВС Балтийского моря...</w:t>
      </w:r>
    </w:p>
    <w:p w14:paraId="4951FE0B"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Материальная часть авиаторпед проверена недостаточно" (12002).</w:t>
      </w:r>
    </w:p>
    <w:p w14:paraId="698BCA7A" w14:textId="77777777" w:rsidR="00D64533" w:rsidRPr="0044524F" w:rsidRDefault="00D64533" w:rsidP="00D64533">
      <w:pPr>
        <w:autoSpaceDE w:val="0"/>
        <w:autoSpaceDN w:val="0"/>
        <w:adjustRightInd w:val="0"/>
        <w:spacing w:after="0" w:line="240" w:lineRule="auto"/>
        <w:jc w:val="both"/>
        <w:rPr>
          <w:rFonts w:ascii="Times New Roman" w:hAnsi="Times New Roman"/>
          <w:color w:val="000000" w:themeColor="text1"/>
          <w:sz w:val="16"/>
          <w:szCs w:val="16"/>
        </w:rPr>
      </w:pPr>
    </w:p>
    <w:p w14:paraId="748490DD"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октября 1933 г. ТБ-1П атаковали более крупную цель - линкор «Марат». Самолеты с минами должны были связать маневрирование корабля перед ударом Р-5. Добавили истребительное прикрытие: ТБ-1П сопровождали че</w:t>
      </w:r>
      <w:r w:rsidRPr="00142305">
        <w:rPr>
          <w:rFonts w:ascii="Times New Roman" w:hAnsi="Times New Roman"/>
          <w:color w:val="0070C0"/>
          <w:sz w:val="16"/>
          <w:szCs w:val="16"/>
        </w:rPr>
        <w:softHyphen/>
        <w:t>тыре И-4. Сбросили пять мин, из них всплыли две. Обе банки поставили левее, чем нужно. Р-5 отбомби</w:t>
      </w:r>
      <w:r w:rsidRPr="00142305">
        <w:rPr>
          <w:rFonts w:ascii="Times New Roman" w:hAnsi="Times New Roman"/>
          <w:color w:val="0070C0"/>
          <w:sz w:val="16"/>
          <w:szCs w:val="16"/>
        </w:rPr>
        <w:softHyphen/>
        <w:t>лись довольно удачно: из 10 практических бомб одна попала прямо в линкор.</w:t>
      </w:r>
    </w:p>
    <w:p w14:paraId="1CB65CCF"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Опыт учений показал, что на «динамическое вомизометание» надежды мало - мина спускалась на парашютах так долго, что даже огромный «Марат» успевал отвер</w:t>
      </w:r>
      <w:r w:rsidRPr="00142305">
        <w:rPr>
          <w:rFonts w:ascii="Times New Roman" w:hAnsi="Times New Roman"/>
          <w:color w:val="0070C0"/>
          <w:sz w:val="16"/>
          <w:szCs w:val="16"/>
        </w:rPr>
        <w:softHyphen/>
        <w:t>нуть от нее. В результате сделали вывод: «Использование МАВ-1 как активного средства для связывания маневра морской цели в условиях комбинированного удара нецеле</w:t>
      </w:r>
      <w:r w:rsidRPr="00142305">
        <w:rPr>
          <w:rFonts w:ascii="Times New Roman" w:hAnsi="Times New Roman"/>
          <w:color w:val="0070C0"/>
          <w:sz w:val="16"/>
          <w:szCs w:val="16"/>
        </w:rPr>
        <w:softHyphen/>
        <w:t>сообразно...». Досталось и торпедоносцам: «Самолет ТБ-1 для низкого торпедометания малопригоден». Тоже вполне резонно - велик, тихоходен, недостаточно маневрен (25004).</w:t>
      </w:r>
    </w:p>
    <w:p w14:paraId="1B1321AE" w14:textId="77777777" w:rsidR="00D64533" w:rsidRPr="00142305" w:rsidRDefault="00D64533" w:rsidP="00D64533">
      <w:pPr>
        <w:spacing w:after="0" w:line="240" w:lineRule="auto"/>
        <w:jc w:val="both"/>
        <w:rPr>
          <w:rFonts w:ascii="Times New Roman" w:hAnsi="Times New Roman"/>
          <w:color w:val="0070C0"/>
          <w:sz w:val="16"/>
          <w:szCs w:val="16"/>
        </w:rPr>
      </w:pPr>
    </w:p>
    <w:p w14:paraId="4E8FCAB3" w14:textId="77777777" w:rsidR="003026D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D601AA0" w14:textId="77777777" w:rsidR="003026DB" w:rsidRPr="0044524F" w:rsidRDefault="003026D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AEA7804" w14:textId="77777777" w:rsidR="003026DB" w:rsidRPr="0044524F" w:rsidRDefault="003026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г. Протокол ПБ № 147 п.71/48: О Турции – ОП. Решено передать через делегацию, в качестве подарка Турецкой республике от правительства СССР, одно звено (3) военных самолетов Р-5 и 1 пассажирский самолет "АНТ-9" (15912).</w:t>
      </w:r>
    </w:p>
    <w:p w14:paraId="400B1016" w14:textId="361CF82F" w:rsidR="003026DB" w:rsidRPr="0044524F" w:rsidRDefault="003026DB" w:rsidP="009654CF">
      <w:pPr>
        <w:spacing w:after="0" w:line="240" w:lineRule="auto"/>
        <w:jc w:val="both"/>
        <w:rPr>
          <w:rFonts w:ascii="Times New Roman" w:hAnsi="Times New Roman"/>
          <w:color w:val="000000" w:themeColor="text1"/>
          <w:sz w:val="16"/>
          <w:szCs w:val="16"/>
        </w:rPr>
      </w:pPr>
    </w:p>
    <w:p w14:paraId="5521C338" w14:textId="77777777" w:rsidR="00D64533" w:rsidRPr="00142305" w:rsidRDefault="00D64533" w:rsidP="00D64533">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15 октября 1933 г. к 10‑летию Турецкой республики, согласно решению Политбюро ЦК ВКП(б), СССР поставил Турции звено самолетов‑разведчиков Р‑5 и пассажирский самолет АНТ‑9 (ПС‑9).</w:t>
      </w:r>
    </w:p>
    <w:p w14:paraId="0B4B2838"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Р‑5 поступи‑ ли в учебную авиационную эскадрилью ВВС Турции, где несколько лет служили в качестве учебно‑тренировочных машин. Русскоязычные самолеты «Эр пять» турки именовали у себя как «Эрпет». Они нравились турецким летчикам, но из‑за отсутствия запчастей впоследствии были списаны.</w:t>
      </w:r>
    </w:p>
    <w:p w14:paraId="5D529CE5" w14:textId="77777777" w:rsidR="00D64533" w:rsidRPr="00142305" w:rsidRDefault="00D64533" w:rsidP="00D64533">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АНТ‑9 был вы‑ пушен в августе 1932 г. на Филевском авиазаводе №22 ГУАП НКТП, зарегистрирован в «Аэрофлоте» как «СССР‑Ш670» и год использовался в 3‑й Объединенной школе пилотов и тех‑ ников ГВФ в г. Балашове для первоначальной подготовки летного состава. Затем его пере‑ дали в «Аэрофлот», где перерегистрировали как «СССР‑Л145». В Турции АНТ‑9 эксплуатировался до 1936 г. – сначала в ВВС как военно‑транспортный («TC‑HRT»), базируясь на аэродроме Есилкой под Стамбулом, а затем в почтовом ведомстве как аэрофотосъемщик.</w:t>
      </w:r>
    </w:p>
    <w:p w14:paraId="4559F201" w14:textId="77777777" w:rsidR="00D64533" w:rsidRPr="00142305" w:rsidRDefault="00D64533" w:rsidP="00D6453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Военные самолеты закупались Турцией, главным образом, на Западе – в Италии, Франции, Англии, Германии, Польше и США. К 1935 г. ВВС Турции располагали 160 боевыми самолетами. В 1938 г. их количество довели до 370, а к 1940 г. турецкая военная авиация стала самой мощной и многочисленной силой на Балканах и на Ближнем Востоке, насчитывая более 500 боевых самолетов. Попытки создать собственную национальную авиапромышленность закончились скромными лицензионными выпусками немецких «юнкерсов» и английских учебных самолетов,</w:t>
      </w:r>
      <w:r w:rsidRPr="00142305">
        <w:rPr>
          <w:rStyle w:val="af1"/>
          <w:rFonts w:ascii="Times New Roman" w:hAnsi="Times New Roman"/>
          <w:color w:val="0070C0"/>
          <w:sz w:val="16"/>
          <w:szCs w:val="16"/>
        </w:rPr>
        <w:t xml:space="preserve"> </w:t>
      </w:r>
      <w:r w:rsidRPr="00142305">
        <w:rPr>
          <w:rStyle w:val="aff"/>
          <w:rFonts w:ascii="Times New Roman" w:hAnsi="Times New Roman" w:cs="Times New Roman"/>
          <w:color w:val="0070C0"/>
          <w:spacing w:val="0"/>
          <w:sz w:val="16"/>
          <w:szCs w:val="16"/>
        </w:rPr>
        <w:t>а также немецких и советских учебных плане‑ ров (25104).</w:t>
      </w:r>
    </w:p>
    <w:p w14:paraId="26A5F106" w14:textId="77777777" w:rsidR="00D64533" w:rsidRPr="00142305" w:rsidRDefault="00D64533" w:rsidP="00D64533">
      <w:pPr>
        <w:spacing w:after="0" w:line="240" w:lineRule="auto"/>
        <w:jc w:val="both"/>
        <w:rPr>
          <w:rFonts w:ascii="Times New Roman" w:hAnsi="Times New Roman"/>
          <w:color w:val="0070C0"/>
          <w:sz w:val="16"/>
          <w:szCs w:val="16"/>
        </w:rPr>
      </w:pPr>
    </w:p>
    <w:p w14:paraId="1069EB88" w14:textId="59418F13" w:rsidR="00760051" w:rsidRPr="0044524F" w:rsidRDefault="00760051"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4D8AEBF7" w14:textId="77777777" w:rsidR="00760051" w:rsidRPr="0044524F" w:rsidRDefault="00760051" w:rsidP="009654CF">
      <w:pPr>
        <w:spacing w:after="0" w:line="240" w:lineRule="auto"/>
        <w:jc w:val="both"/>
        <w:rPr>
          <w:rFonts w:ascii="Times New Roman" w:hAnsi="Times New Roman"/>
          <w:i/>
          <w:iCs/>
          <w:color w:val="000000" w:themeColor="text1"/>
          <w:sz w:val="16"/>
          <w:szCs w:val="16"/>
        </w:rPr>
      </w:pPr>
    </w:p>
    <w:p w14:paraId="3E3BFFC7" w14:textId="77777777" w:rsidR="00760051" w:rsidRPr="0044524F" w:rsidRDefault="0076005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впервые запускается двигатель Rolls-Royce Merlin (20802).</w:t>
      </w:r>
    </w:p>
    <w:p w14:paraId="1ED03F66" w14:textId="77777777" w:rsidR="00760051" w:rsidRPr="0044524F" w:rsidRDefault="00760051" w:rsidP="009654CF">
      <w:pPr>
        <w:spacing w:after="0" w:line="240" w:lineRule="auto"/>
        <w:jc w:val="both"/>
        <w:rPr>
          <w:rFonts w:ascii="Times New Roman" w:hAnsi="Times New Roman"/>
          <w:color w:val="000000" w:themeColor="text1"/>
          <w:sz w:val="16"/>
          <w:szCs w:val="16"/>
        </w:rPr>
      </w:pPr>
    </w:p>
    <w:p w14:paraId="037505B8"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B6922A2"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4D724EB"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середине октября 1933 г. уда</w:t>
      </w:r>
      <w:r w:rsidRPr="0044524F">
        <w:rPr>
          <w:rFonts w:ascii="Times New Roman" w:hAnsi="Times New Roman"/>
          <w:color w:val="000000" w:themeColor="text1"/>
          <w:sz w:val="16"/>
          <w:szCs w:val="16"/>
        </w:rPr>
        <w:softHyphen/>
        <w:t>лось построить макет самолета ЦКБ-12. Несмотря на ожидаемые высокие летные характеристики истребителя с моторами М-25, началь</w:t>
      </w:r>
      <w:r w:rsidRPr="0044524F">
        <w:rPr>
          <w:rFonts w:ascii="Times New Roman" w:hAnsi="Times New Roman"/>
          <w:color w:val="000000" w:themeColor="text1"/>
          <w:sz w:val="16"/>
          <w:szCs w:val="16"/>
        </w:rPr>
        <w:softHyphen/>
        <w:t>ник ВВС Алкснис дал указание спро</w:t>
      </w:r>
      <w:r w:rsidRPr="0044524F">
        <w:rPr>
          <w:rFonts w:ascii="Times New Roman" w:hAnsi="Times New Roman"/>
          <w:color w:val="000000" w:themeColor="text1"/>
          <w:sz w:val="16"/>
          <w:szCs w:val="16"/>
        </w:rPr>
        <w:softHyphen/>
        <w:t>ектировать еще один его вариант с менее мощным и высотным мотором М-22. При этом, разумеется, летные характеристики И-16 ухудшались. Самолет мог развить у земли максимальную скорость 345 км/ч, а на высоте 3000 м - 320 км/ч. С одной стороны, такое желание было продиктовано стремлением обеспечить новый истреби</w:t>
      </w:r>
      <w:r w:rsidRPr="0044524F">
        <w:rPr>
          <w:rFonts w:ascii="Times New Roman" w:hAnsi="Times New Roman"/>
          <w:color w:val="000000" w:themeColor="text1"/>
          <w:sz w:val="16"/>
          <w:szCs w:val="16"/>
        </w:rPr>
        <w:softHyphen/>
        <w:t>тель мотором, уже освоенным нашей промышленностью. С другой стороны, на нем сказалось давление А.Н. Тупо</w:t>
      </w:r>
      <w:r w:rsidRPr="0044524F">
        <w:rPr>
          <w:rFonts w:ascii="Times New Roman" w:hAnsi="Times New Roman"/>
          <w:color w:val="000000" w:themeColor="text1"/>
          <w:sz w:val="16"/>
          <w:szCs w:val="16"/>
        </w:rPr>
        <w:softHyphen/>
        <w:t>лева, предпринятое, чтобы «развести» по разным направ</w:t>
      </w:r>
      <w:r w:rsidRPr="0044524F">
        <w:rPr>
          <w:rFonts w:ascii="Times New Roman" w:hAnsi="Times New Roman"/>
          <w:color w:val="000000" w:themeColor="text1"/>
          <w:sz w:val="16"/>
          <w:szCs w:val="16"/>
        </w:rPr>
        <w:softHyphen/>
        <w:t>лениям целевого назначения истребители И-14 и И-16. Сам Поликарпов был против установки на И-16 мотора М-22, но игнорировать указание начальника ВВС не мог. Поликарповым в августе 1933 г. был выполнен и такой проект. Николай Николаевич позабо</w:t>
      </w:r>
      <w:r w:rsidRPr="0044524F">
        <w:rPr>
          <w:rFonts w:ascii="Times New Roman" w:hAnsi="Times New Roman"/>
          <w:color w:val="000000" w:themeColor="text1"/>
          <w:sz w:val="16"/>
          <w:szCs w:val="16"/>
        </w:rPr>
        <w:softHyphen/>
        <w:t>тился о том, чтобы варианты отличались лишь мотор</w:t>
      </w:r>
      <w:r w:rsidRPr="0044524F">
        <w:rPr>
          <w:rFonts w:ascii="Times New Roman" w:hAnsi="Times New Roman"/>
          <w:color w:val="000000" w:themeColor="text1"/>
          <w:sz w:val="16"/>
          <w:szCs w:val="16"/>
        </w:rPr>
        <w:softHyphen/>
        <w:t>ными установками и капотами. У земли разница в их максимальных скоростях составляла около 30 км/ч, но с ростом высоты она увеличивалась до 100 км/ч (см. таблицу).</w:t>
      </w:r>
    </w:p>
    <w:p w14:paraId="1CB0025F"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Расчетные летные характеристики вариантов эскизного проекта истребителя ЦКБ-12</w:t>
      </w:r>
    </w:p>
    <w:tbl>
      <w:tblPr>
        <w:tblOverlap w:val="never"/>
        <w:tblW w:w="0" w:type="auto"/>
        <w:tblLayout w:type="fixed"/>
        <w:tblCellMar>
          <w:left w:w="10" w:type="dxa"/>
          <w:right w:w="10" w:type="dxa"/>
        </w:tblCellMar>
        <w:tblLook w:val="04A0" w:firstRow="1" w:lastRow="0" w:firstColumn="1" w:lastColumn="0" w:noHBand="0" w:noVBand="1"/>
      </w:tblPr>
      <w:tblGrid>
        <w:gridCol w:w="3005"/>
        <w:gridCol w:w="850"/>
        <w:gridCol w:w="1066"/>
      </w:tblGrid>
      <w:tr w:rsidR="00910A99" w:rsidRPr="0044524F" w14:paraId="51E5EC96" w14:textId="77777777" w:rsidTr="00E9136F">
        <w:trPr>
          <w:trHeight w:val="446"/>
        </w:trPr>
        <w:tc>
          <w:tcPr>
            <w:tcW w:w="3005" w:type="dxa"/>
            <w:tcBorders>
              <w:top w:val="single" w:sz="4" w:space="0" w:color="auto"/>
              <w:left w:val="single" w:sz="4" w:space="0" w:color="auto"/>
            </w:tcBorders>
          </w:tcPr>
          <w:p w14:paraId="2757B66D" w14:textId="77777777" w:rsidR="00910A99" w:rsidRPr="0044524F" w:rsidRDefault="00910A99" w:rsidP="009654CF">
            <w:pPr>
              <w:spacing w:after="0" w:line="240" w:lineRule="auto"/>
              <w:jc w:val="both"/>
              <w:rPr>
                <w:rFonts w:ascii="Times New Roman" w:hAnsi="Times New Roman"/>
                <w:color w:val="000000" w:themeColor="text1"/>
                <w:sz w:val="16"/>
                <w:szCs w:val="16"/>
              </w:rPr>
            </w:pPr>
          </w:p>
        </w:tc>
        <w:tc>
          <w:tcPr>
            <w:tcW w:w="850" w:type="dxa"/>
            <w:tcBorders>
              <w:top w:val="single" w:sz="4" w:space="0" w:color="auto"/>
              <w:left w:val="single" w:sz="4" w:space="0" w:color="auto"/>
            </w:tcBorders>
            <w:vAlign w:val="bottom"/>
          </w:tcPr>
          <w:p w14:paraId="6AFE4B1D"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p w14:paraId="3894775F"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480 л.с.</w:t>
            </w:r>
          </w:p>
        </w:tc>
        <w:tc>
          <w:tcPr>
            <w:tcW w:w="1066" w:type="dxa"/>
            <w:tcBorders>
              <w:top w:val="single" w:sz="4" w:space="0" w:color="auto"/>
              <w:left w:val="single" w:sz="4" w:space="0" w:color="auto"/>
              <w:right w:val="single" w:sz="4" w:space="0" w:color="auto"/>
            </w:tcBorders>
            <w:vAlign w:val="bottom"/>
          </w:tcPr>
          <w:p w14:paraId="32B43747"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Р.Ц. F-3</w:t>
            </w:r>
          </w:p>
          <w:p w14:paraId="46B9685F"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 л.с.</w:t>
            </w:r>
          </w:p>
        </w:tc>
      </w:tr>
      <w:tr w:rsidR="00910A99" w:rsidRPr="0044524F" w14:paraId="4D17C427" w14:textId="77777777" w:rsidTr="00E9136F">
        <w:trPr>
          <w:trHeight w:val="413"/>
        </w:trPr>
        <w:tc>
          <w:tcPr>
            <w:tcW w:w="3005" w:type="dxa"/>
            <w:tcBorders>
              <w:top w:val="single" w:sz="4" w:space="0" w:color="auto"/>
              <w:left w:val="single" w:sz="4" w:space="0" w:color="auto"/>
            </w:tcBorders>
            <w:vAlign w:val="bottom"/>
          </w:tcPr>
          <w:p w14:paraId="7CB21BCB"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км/ч: у земли</w:t>
            </w:r>
          </w:p>
        </w:tc>
        <w:tc>
          <w:tcPr>
            <w:tcW w:w="850" w:type="dxa"/>
            <w:tcBorders>
              <w:top w:val="single" w:sz="4" w:space="0" w:color="auto"/>
              <w:left w:val="single" w:sz="4" w:space="0" w:color="auto"/>
            </w:tcBorders>
            <w:vAlign w:val="bottom"/>
          </w:tcPr>
          <w:p w14:paraId="57E12AC3"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345</w:t>
            </w:r>
          </w:p>
        </w:tc>
        <w:tc>
          <w:tcPr>
            <w:tcW w:w="1066" w:type="dxa"/>
            <w:tcBorders>
              <w:top w:val="single" w:sz="4" w:space="0" w:color="auto"/>
              <w:left w:val="single" w:sz="4" w:space="0" w:color="auto"/>
              <w:right w:val="single" w:sz="4" w:space="0" w:color="auto"/>
            </w:tcBorders>
            <w:vAlign w:val="bottom"/>
          </w:tcPr>
          <w:p w14:paraId="743269F5"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w:t>
            </w:r>
          </w:p>
        </w:tc>
      </w:tr>
      <w:tr w:rsidR="00910A99" w:rsidRPr="0044524F" w14:paraId="7A72FBEC" w14:textId="77777777" w:rsidTr="00E9136F">
        <w:trPr>
          <w:trHeight w:val="187"/>
        </w:trPr>
        <w:tc>
          <w:tcPr>
            <w:tcW w:w="3005" w:type="dxa"/>
            <w:tcBorders>
              <w:left w:val="single" w:sz="4" w:space="0" w:color="auto"/>
            </w:tcBorders>
          </w:tcPr>
          <w:p w14:paraId="23CCF897"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1000 м</w:t>
            </w:r>
          </w:p>
        </w:tc>
        <w:tc>
          <w:tcPr>
            <w:tcW w:w="850" w:type="dxa"/>
            <w:tcBorders>
              <w:left w:val="single" w:sz="4" w:space="0" w:color="auto"/>
            </w:tcBorders>
          </w:tcPr>
          <w:p w14:paraId="09698C54"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w:t>
            </w:r>
          </w:p>
        </w:tc>
        <w:tc>
          <w:tcPr>
            <w:tcW w:w="1066" w:type="dxa"/>
            <w:tcBorders>
              <w:left w:val="single" w:sz="4" w:space="0" w:color="auto"/>
              <w:right w:val="single" w:sz="4" w:space="0" w:color="auto"/>
            </w:tcBorders>
          </w:tcPr>
          <w:p w14:paraId="31393354"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395</w:t>
            </w:r>
          </w:p>
        </w:tc>
      </w:tr>
      <w:tr w:rsidR="00910A99" w:rsidRPr="0044524F" w14:paraId="7D2F9889" w14:textId="77777777" w:rsidTr="00E9136F">
        <w:trPr>
          <w:trHeight w:val="192"/>
        </w:trPr>
        <w:tc>
          <w:tcPr>
            <w:tcW w:w="3005" w:type="dxa"/>
            <w:tcBorders>
              <w:left w:val="single" w:sz="4" w:space="0" w:color="auto"/>
            </w:tcBorders>
            <w:vAlign w:val="bottom"/>
          </w:tcPr>
          <w:p w14:paraId="283787D8"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w:t>
            </w:r>
          </w:p>
        </w:tc>
        <w:tc>
          <w:tcPr>
            <w:tcW w:w="850" w:type="dxa"/>
            <w:tcBorders>
              <w:left w:val="single" w:sz="4" w:space="0" w:color="auto"/>
            </w:tcBorders>
            <w:vAlign w:val="bottom"/>
          </w:tcPr>
          <w:p w14:paraId="75632DBA"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1066" w:type="dxa"/>
            <w:tcBorders>
              <w:left w:val="single" w:sz="4" w:space="0" w:color="auto"/>
              <w:right w:val="single" w:sz="4" w:space="0" w:color="auto"/>
            </w:tcBorders>
            <w:vAlign w:val="bottom"/>
          </w:tcPr>
          <w:p w14:paraId="78DE249D"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415</w:t>
            </w:r>
          </w:p>
        </w:tc>
      </w:tr>
      <w:tr w:rsidR="00910A99" w:rsidRPr="0044524F" w14:paraId="3CBC074F" w14:textId="77777777" w:rsidTr="00E9136F">
        <w:trPr>
          <w:trHeight w:val="206"/>
        </w:trPr>
        <w:tc>
          <w:tcPr>
            <w:tcW w:w="3005" w:type="dxa"/>
            <w:tcBorders>
              <w:left w:val="single" w:sz="4" w:space="0" w:color="auto"/>
            </w:tcBorders>
          </w:tcPr>
          <w:p w14:paraId="25FBC991"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 м</w:t>
            </w:r>
          </w:p>
        </w:tc>
        <w:tc>
          <w:tcPr>
            <w:tcW w:w="850" w:type="dxa"/>
            <w:tcBorders>
              <w:left w:val="single" w:sz="4" w:space="0" w:color="auto"/>
            </w:tcBorders>
          </w:tcPr>
          <w:p w14:paraId="477074A6"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066" w:type="dxa"/>
            <w:tcBorders>
              <w:left w:val="single" w:sz="4" w:space="0" w:color="auto"/>
              <w:right w:val="single" w:sz="4" w:space="0" w:color="auto"/>
            </w:tcBorders>
          </w:tcPr>
          <w:p w14:paraId="4037EE41"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405</w:t>
            </w:r>
          </w:p>
        </w:tc>
      </w:tr>
      <w:tr w:rsidR="00910A99" w:rsidRPr="0044524F" w14:paraId="083FFA26" w14:textId="77777777" w:rsidTr="00E9136F">
        <w:trPr>
          <w:trHeight w:val="418"/>
        </w:trPr>
        <w:tc>
          <w:tcPr>
            <w:tcW w:w="3005" w:type="dxa"/>
            <w:tcBorders>
              <w:top w:val="single" w:sz="4" w:space="0" w:color="auto"/>
              <w:left w:val="single" w:sz="4" w:space="0" w:color="auto"/>
            </w:tcBorders>
            <w:vAlign w:val="bottom"/>
          </w:tcPr>
          <w:p w14:paraId="1471376C"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в мин на высоту: 1000 м</w:t>
            </w:r>
          </w:p>
        </w:tc>
        <w:tc>
          <w:tcPr>
            <w:tcW w:w="850" w:type="dxa"/>
            <w:tcBorders>
              <w:top w:val="single" w:sz="4" w:space="0" w:color="auto"/>
              <w:left w:val="single" w:sz="4" w:space="0" w:color="auto"/>
            </w:tcBorders>
            <w:vAlign w:val="bottom"/>
          </w:tcPr>
          <w:p w14:paraId="5667D5EB"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1066" w:type="dxa"/>
            <w:tcBorders>
              <w:top w:val="single" w:sz="4" w:space="0" w:color="auto"/>
              <w:left w:val="single" w:sz="4" w:space="0" w:color="auto"/>
              <w:right w:val="single" w:sz="4" w:space="0" w:color="auto"/>
            </w:tcBorders>
            <w:vAlign w:val="bottom"/>
          </w:tcPr>
          <w:p w14:paraId="68866E3D"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0,8</w:t>
            </w:r>
          </w:p>
        </w:tc>
      </w:tr>
      <w:tr w:rsidR="00910A99" w:rsidRPr="0044524F" w14:paraId="373B7EF5" w14:textId="77777777" w:rsidTr="00E9136F">
        <w:trPr>
          <w:trHeight w:val="187"/>
        </w:trPr>
        <w:tc>
          <w:tcPr>
            <w:tcW w:w="3005" w:type="dxa"/>
            <w:tcBorders>
              <w:left w:val="single" w:sz="4" w:space="0" w:color="auto"/>
            </w:tcBorders>
            <w:vAlign w:val="bottom"/>
          </w:tcPr>
          <w:p w14:paraId="196C2B12"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 м</w:t>
            </w:r>
          </w:p>
        </w:tc>
        <w:tc>
          <w:tcPr>
            <w:tcW w:w="850" w:type="dxa"/>
            <w:tcBorders>
              <w:left w:val="single" w:sz="4" w:space="0" w:color="auto"/>
            </w:tcBorders>
            <w:vAlign w:val="bottom"/>
          </w:tcPr>
          <w:p w14:paraId="65BD0BE8"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w:t>
            </w:r>
          </w:p>
        </w:tc>
        <w:tc>
          <w:tcPr>
            <w:tcW w:w="1066" w:type="dxa"/>
            <w:tcBorders>
              <w:left w:val="single" w:sz="4" w:space="0" w:color="auto"/>
              <w:right w:val="single" w:sz="4" w:space="0" w:color="auto"/>
            </w:tcBorders>
            <w:vAlign w:val="bottom"/>
          </w:tcPr>
          <w:p w14:paraId="207EB03B"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3-3,5</w:t>
            </w:r>
          </w:p>
        </w:tc>
      </w:tr>
      <w:tr w:rsidR="00910A99" w:rsidRPr="0044524F" w14:paraId="35E4DF59" w14:textId="77777777" w:rsidTr="00E9136F">
        <w:trPr>
          <w:trHeight w:val="206"/>
        </w:trPr>
        <w:tc>
          <w:tcPr>
            <w:tcW w:w="3005" w:type="dxa"/>
            <w:tcBorders>
              <w:left w:val="single" w:sz="4" w:space="0" w:color="auto"/>
            </w:tcBorders>
          </w:tcPr>
          <w:p w14:paraId="00824756"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 м</w:t>
            </w:r>
          </w:p>
        </w:tc>
        <w:tc>
          <w:tcPr>
            <w:tcW w:w="850" w:type="dxa"/>
            <w:tcBorders>
              <w:left w:val="single" w:sz="4" w:space="0" w:color="auto"/>
            </w:tcBorders>
          </w:tcPr>
          <w:p w14:paraId="20F768EA"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10-11</w:t>
            </w:r>
          </w:p>
        </w:tc>
        <w:tc>
          <w:tcPr>
            <w:tcW w:w="1066" w:type="dxa"/>
            <w:tcBorders>
              <w:left w:val="single" w:sz="4" w:space="0" w:color="auto"/>
              <w:right w:val="single" w:sz="4" w:space="0" w:color="auto"/>
            </w:tcBorders>
          </w:tcPr>
          <w:p w14:paraId="4E80951A"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6-6,5</w:t>
            </w:r>
          </w:p>
        </w:tc>
      </w:tr>
      <w:tr w:rsidR="00910A99" w:rsidRPr="0044524F" w14:paraId="2AD86D4A" w14:textId="77777777" w:rsidTr="00E9136F">
        <w:trPr>
          <w:trHeight w:val="230"/>
        </w:trPr>
        <w:tc>
          <w:tcPr>
            <w:tcW w:w="3005" w:type="dxa"/>
            <w:tcBorders>
              <w:top w:val="single" w:sz="4" w:space="0" w:color="auto"/>
              <w:left w:val="single" w:sz="4" w:space="0" w:color="auto"/>
            </w:tcBorders>
            <w:vAlign w:val="bottom"/>
          </w:tcPr>
          <w:p w14:paraId="285933D9"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м</w:t>
            </w:r>
          </w:p>
        </w:tc>
        <w:tc>
          <w:tcPr>
            <w:tcW w:w="850" w:type="dxa"/>
            <w:tcBorders>
              <w:top w:val="single" w:sz="4" w:space="0" w:color="auto"/>
              <w:left w:val="single" w:sz="4" w:space="0" w:color="auto"/>
            </w:tcBorders>
            <w:vAlign w:val="bottom"/>
          </w:tcPr>
          <w:p w14:paraId="0126CF7F"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6700</w:t>
            </w:r>
          </w:p>
        </w:tc>
        <w:tc>
          <w:tcPr>
            <w:tcW w:w="1066" w:type="dxa"/>
            <w:tcBorders>
              <w:top w:val="single" w:sz="4" w:space="0" w:color="auto"/>
              <w:left w:val="single" w:sz="4" w:space="0" w:color="auto"/>
              <w:right w:val="single" w:sz="4" w:space="0" w:color="auto"/>
            </w:tcBorders>
            <w:vAlign w:val="bottom"/>
          </w:tcPr>
          <w:p w14:paraId="48F2EF70"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9200</w:t>
            </w:r>
          </w:p>
        </w:tc>
      </w:tr>
      <w:tr w:rsidR="00910A99" w:rsidRPr="0044524F" w14:paraId="6E34F758" w14:textId="77777777" w:rsidTr="00E9136F">
        <w:trPr>
          <w:trHeight w:val="274"/>
        </w:trPr>
        <w:tc>
          <w:tcPr>
            <w:tcW w:w="3005" w:type="dxa"/>
            <w:tcBorders>
              <w:top w:val="single" w:sz="4" w:space="0" w:color="auto"/>
              <w:left w:val="single" w:sz="4" w:space="0" w:color="auto"/>
              <w:bottom w:val="single" w:sz="4" w:space="0" w:color="auto"/>
            </w:tcBorders>
            <w:vAlign w:val="bottom"/>
          </w:tcPr>
          <w:p w14:paraId="4BE56767"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Взлетный вес, кг</w:t>
            </w:r>
          </w:p>
        </w:tc>
        <w:tc>
          <w:tcPr>
            <w:tcW w:w="850" w:type="dxa"/>
            <w:tcBorders>
              <w:top w:val="single" w:sz="4" w:space="0" w:color="auto"/>
              <w:left w:val="single" w:sz="4" w:space="0" w:color="auto"/>
              <w:bottom w:val="single" w:sz="4" w:space="0" w:color="auto"/>
            </w:tcBorders>
            <w:vAlign w:val="bottom"/>
          </w:tcPr>
          <w:p w14:paraId="3ABCCB1C"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1330</w:t>
            </w:r>
          </w:p>
        </w:tc>
        <w:tc>
          <w:tcPr>
            <w:tcW w:w="1066" w:type="dxa"/>
            <w:tcBorders>
              <w:top w:val="single" w:sz="4" w:space="0" w:color="auto"/>
              <w:left w:val="single" w:sz="4" w:space="0" w:color="auto"/>
              <w:bottom w:val="single" w:sz="4" w:space="0" w:color="auto"/>
              <w:right w:val="single" w:sz="4" w:space="0" w:color="auto"/>
            </w:tcBorders>
            <w:vAlign w:val="bottom"/>
          </w:tcPr>
          <w:p w14:paraId="77C8D233"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1330</w:t>
            </w:r>
          </w:p>
        </w:tc>
      </w:tr>
    </w:tbl>
    <w:p w14:paraId="0101DEE3" w14:textId="77777777" w:rsidR="00910A99" w:rsidRPr="0044524F" w:rsidRDefault="00910A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(23455).</w:t>
      </w:r>
    </w:p>
    <w:p w14:paraId="3FD05DF1" w14:textId="77777777" w:rsidR="00910A99" w:rsidRPr="0044524F" w:rsidRDefault="00910A99" w:rsidP="009654CF">
      <w:pPr>
        <w:spacing w:after="0" w:line="240" w:lineRule="auto"/>
        <w:jc w:val="both"/>
        <w:rPr>
          <w:rFonts w:ascii="Times New Roman" w:hAnsi="Times New Roman"/>
          <w:color w:val="000000" w:themeColor="text1"/>
          <w:sz w:val="16"/>
          <w:szCs w:val="16"/>
        </w:rPr>
      </w:pPr>
    </w:p>
    <w:p w14:paraId="4B6282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октября 1933 был подготовлен Отчет по испытанию самолета Звена З-2. 1-я часть (6777).</w:t>
      </w:r>
    </w:p>
    <w:p w14:paraId="1D45DBC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Ведущий испытания:</w:t>
      </w:r>
    </w:p>
    <w:p w14:paraId="1C0C0E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инженер Фролов, Вед. летчик Залевский</w:t>
      </w:r>
    </w:p>
    <w:p w14:paraId="15A15F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Стефановский, Сузи, Кокинаки, Лагутин</w:t>
      </w:r>
    </w:p>
    <w:p w14:paraId="6AD43AC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Предварительные замечания</w:t>
      </w:r>
    </w:p>
    <w:p w14:paraId="6AE046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Дальнейшее развитие идеи самолета Звена инженера Вахмистрова получило применение в разработанной им же установке на самолете ТБ3 4М17 № 22164 трех И-5 – М22 – два на плоскости и один на фюзеляже, а также двух истребителей Зет, подвешенных под плоскость.</w:t>
      </w:r>
    </w:p>
    <w:p w14:paraId="3900648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всей установки инженера Вахмистрова разбито на три части:</w:t>
      </w:r>
    </w:p>
    <w:p w14:paraId="5F1D2A8A"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верхней установки Звена, т.е. ТБ3 4М17 с одним И5, ТБ3 – 4М17 с двумя И5 и ТБ3 4М17 с тремя И5.</w:t>
      </w:r>
    </w:p>
    <w:p w14:paraId="7CF5E35E"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нижней установки самолета Звена, т.е. ТБ3 4М17 с двумя Зет подвешенными под плоскость, а также ТБ3 4М17 с двумя самолетами Зет и с двумя И5 и ТБ3 с двумя Зет и с тремя И5.</w:t>
      </w:r>
    </w:p>
    <w:p w14:paraId="00209B4B"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приспособления для посадки среднего самолета И5.</w:t>
      </w:r>
    </w:p>
    <w:p w14:paraId="7DF22F6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Настоящий отчет составлен по первой части испытаний, т.е. по верхней установке трех И5 – М22 на ТБ3 4М17.</w:t>
      </w:r>
    </w:p>
    <w:p w14:paraId="4F10CA1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52250C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Гос. испытания «Звена Вахмистрова» ТБ3-4М17 + И5 М22, ТБ3-4М17 + два И5 М22, ТБ3-4М17 + три И5 М22 имели целью:</w:t>
      </w:r>
    </w:p>
    <w:p w14:paraId="72579D2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определить надежность подъема с самолетов И5-М22 с плоскостей самолета ТБ3-4М17;</w:t>
      </w:r>
    </w:p>
    <w:p w14:paraId="2635C84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влияние на летные данные самолета ТБ3-4М17 установки на него двух и трех самолетов И5 М22.</w:t>
      </w:r>
    </w:p>
    <w:p w14:paraId="7851FC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C57565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Гос. испытания З-2 пройдены вполне успешно.</w:t>
      </w:r>
    </w:p>
    <w:p w14:paraId="3D98D54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024"/>
        <w:gridCol w:w="5616"/>
      </w:tblGrid>
      <w:tr w:rsidR="004E10C1" w:rsidRPr="0044524F" w14:paraId="26F3435C" w14:textId="77777777">
        <w:tc>
          <w:tcPr>
            <w:tcW w:w="3024" w:type="dxa"/>
          </w:tcPr>
          <w:p w14:paraId="2B3AADC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сентября 1933 года</w:t>
            </w:r>
          </w:p>
        </w:tc>
        <w:tc>
          <w:tcPr>
            <w:tcW w:w="5616" w:type="dxa"/>
          </w:tcPr>
          <w:p w14:paraId="052992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Перелет в Щелково</w:t>
            </w:r>
          </w:p>
        </w:tc>
      </w:tr>
      <w:tr w:rsidR="004E10C1" w:rsidRPr="0044524F" w14:paraId="2E04A1FC" w14:textId="77777777">
        <w:tc>
          <w:tcPr>
            <w:tcW w:w="3024" w:type="dxa"/>
          </w:tcPr>
          <w:p w14:paraId="5D6BE08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года</w:t>
            </w:r>
          </w:p>
        </w:tc>
        <w:tc>
          <w:tcPr>
            <w:tcW w:w="5616" w:type="dxa"/>
          </w:tcPr>
          <w:p w14:paraId="0E92BA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Километраж и тарировка САФА самолета ТБ3-4М17</w:t>
            </w:r>
          </w:p>
        </w:tc>
      </w:tr>
      <w:tr w:rsidR="004E10C1" w:rsidRPr="0044524F" w14:paraId="41A23420" w14:textId="77777777">
        <w:tc>
          <w:tcPr>
            <w:tcW w:w="3024" w:type="dxa"/>
          </w:tcPr>
          <w:p w14:paraId="02C7015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года</w:t>
            </w:r>
          </w:p>
        </w:tc>
        <w:tc>
          <w:tcPr>
            <w:tcW w:w="5616" w:type="dxa"/>
          </w:tcPr>
          <w:p w14:paraId="278C04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ТБ3 с двумя И5</w:t>
            </w:r>
          </w:p>
        </w:tc>
      </w:tr>
      <w:tr w:rsidR="004E10C1" w:rsidRPr="0044524F" w14:paraId="025FC858" w14:textId="77777777">
        <w:tc>
          <w:tcPr>
            <w:tcW w:w="3024" w:type="dxa"/>
          </w:tcPr>
          <w:p w14:paraId="06B68A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года</w:t>
            </w:r>
          </w:p>
        </w:tc>
        <w:tc>
          <w:tcPr>
            <w:tcW w:w="5616" w:type="dxa"/>
          </w:tcPr>
          <w:p w14:paraId="23F8299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ТБ3 с одним И5</w:t>
            </w:r>
          </w:p>
        </w:tc>
      </w:tr>
      <w:tr w:rsidR="004E10C1" w:rsidRPr="0044524F" w14:paraId="5E5F677D" w14:textId="77777777">
        <w:tc>
          <w:tcPr>
            <w:tcW w:w="3024" w:type="dxa"/>
          </w:tcPr>
          <w:p w14:paraId="2F95869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года</w:t>
            </w:r>
          </w:p>
        </w:tc>
        <w:tc>
          <w:tcPr>
            <w:tcW w:w="5616" w:type="dxa"/>
          </w:tcPr>
          <w:p w14:paraId="16588E7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ТБ3 с тремя И5</w:t>
            </w:r>
          </w:p>
        </w:tc>
      </w:tr>
      <w:tr w:rsidR="004E10C1" w:rsidRPr="0044524F" w14:paraId="093EF6E1" w14:textId="77777777">
        <w:tc>
          <w:tcPr>
            <w:tcW w:w="3024" w:type="dxa"/>
          </w:tcPr>
          <w:p w14:paraId="0D121FF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года</w:t>
            </w:r>
          </w:p>
        </w:tc>
        <w:tc>
          <w:tcPr>
            <w:tcW w:w="5616" w:type="dxa"/>
          </w:tcPr>
          <w:p w14:paraId="0B60523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3BADBDAE" w14:textId="77777777">
        <w:tc>
          <w:tcPr>
            <w:tcW w:w="3024" w:type="dxa"/>
          </w:tcPr>
          <w:p w14:paraId="4F91C29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года</w:t>
            </w:r>
          </w:p>
        </w:tc>
        <w:tc>
          <w:tcPr>
            <w:tcW w:w="5616" w:type="dxa"/>
          </w:tcPr>
          <w:p w14:paraId="25E420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горизонтальные скорости по высотам одного ТБ3-4М17 с весом 15725 кг</w:t>
            </w:r>
          </w:p>
        </w:tc>
      </w:tr>
      <w:tr w:rsidR="004E10C1" w:rsidRPr="0044524F" w14:paraId="6E52A127" w14:textId="77777777">
        <w:tc>
          <w:tcPr>
            <w:tcW w:w="3024" w:type="dxa"/>
          </w:tcPr>
          <w:p w14:paraId="13528F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26 сентября 1933 года</w:t>
            </w:r>
          </w:p>
        </w:tc>
        <w:tc>
          <w:tcPr>
            <w:tcW w:w="5616" w:type="dxa"/>
          </w:tcPr>
          <w:p w14:paraId="6164AD2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одним И5</w:t>
            </w:r>
          </w:p>
        </w:tc>
      </w:tr>
      <w:tr w:rsidR="004E10C1" w:rsidRPr="0044524F" w14:paraId="37B399C0" w14:textId="77777777">
        <w:tc>
          <w:tcPr>
            <w:tcW w:w="3024" w:type="dxa"/>
          </w:tcPr>
          <w:p w14:paraId="72FD510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w:t>
            </w:r>
          </w:p>
        </w:tc>
        <w:tc>
          <w:tcPr>
            <w:tcW w:w="5616" w:type="dxa"/>
          </w:tcPr>
          <w:p w14:paraId="7B1A36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13302AD9" w14:textId="77777777">
        <w:tc>
          <w:tcPr>
            <w:tcW w:w="3024" w:type="dxa"/>
          </w:tcPr>
          <w:p w14:paraId="001E3C8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сентября 1933 года</w:t>
            </w:r>
          </w:p>
        </w:tc>
        <w:tc>
          <w:tcPr>
            <w:tcW w:w="5616" w:type="dxa"/>
          </w:tcPr>
          <w:p w14:paraId="230508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4524F" w14:paraId="6CBAA7E3" w14:textId="77777777">
        <w:tc>
          <w:tcPr>
            <w:tcW w:w="3024" w:type="dxa"/>
          </w:tcPr>
          <w:p w14:paraId="39E87E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16" w:type="dxa"/>
          </w:tcPr>
          <w:p w14:paraId="274713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горизонтальные скорости по высотам с тремя И5</w:t>
            </w:r>
          </w:p>
        </w:tc>
      </w:tr>
      <w:tr w:rsidR="004E10C1" w:rsidRPr="0044524F" w14:paraId="721473DD" w14:textId="77777777">
        <w:tc>
          <w:tcPr>
            <w:tcW w:w="3024" w:type="dxa"/>
          </w:tcPr>
          <w:p w14:paraId="4FC7924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16" w:type="dxa"/>
          </w:tcPr>
          <w:p w14:paraId="3644379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59826E3A" w14:textId="77777777">
        <w:tc>
          <w:tcPr>
            <w:tcW w:w="3024" w:type="dxa"/>
          </w:tcPr>
          <w:p w14:paraId="15ADDC5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года</w:t>
            </w:r>
          </w:p>
        </w:tc>
        <w:tc>
          <w:tcPr>
            <w:tcW w:w="5616" w:type="dxa"/>
          </w:tcPr>
          <w:p w14:paraId="49EB0D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определение горизонтальных скоростей по высотам с двумя И5</w:t>
            </w:r>
          </w:p>
        </w:tc>
      </w:tr>
      <w:tr w:rsidR="004E10C1" w:rsidRPr="0044524F" w14:paraId="61BC2AA9" w14:textId="77777777">
        <w:tc>
          <w:tcPr>
            <w:tcW w:w="3024" w:type="dxa"/>
          </w:tcPr>
          <w:p w14:paraId="7BCB903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года</w:t>
            </w:r>
          </w:p>
        </w:tc>
        <w:tc>
          <w:tcPr>
            <w:tcW w:w="5616" w:type="dxa"/>
          </w:tcPr>
          <w:p w14:paraId="4B67A1E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расход горючего с двумя И5</w:t>
            </w:r>
          </w:p>
        </w:tc>
      </w:tr>
      <w:tr w:rsidR="004E10C1" w:rsidRPr="0044524F" w14:paraId="6AE15A07" w14:textId="77777777">
        <w:tc>
          <w:tcPr>
            <w:tcW w:w="3024" w:type="dxa"/>
          </w:tcPr>
          <w:p w14:paraId="0ABD71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5616" w:type="dxa"/>
          </w:tcPr>
          <w:p w14:paraId="20AEBEF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полетов с налетом 16 час. 23 мин.</w:t>
            </w:r>
          </w:p>
        </w:tc>
      </w:tr>
    </w:tbl>
    <w:p w14:paraId="6247BD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(6777).</w:t>
      </w:r>
    </w:p>
    <w:p w14:paraId="7533F9B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FFEDE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октября 1933 директор завода 39 потребовал от группы легкой авиации А.С.Я., созданной Летом 1932, покинуть территорию. А.С.Я. обратился в РКИ к Пред. ЦКК ВКП(б) Я.Э.Рудзутаку. Тот пригласил к нему на дачу в район Горок у Николиной Горы. Надо было садиться на заливной лужок на берегу р Москвы перед дачей. Полетели в ближайший выходной. А.С.Я. и механик Демещкевич разложили белое полотнище и развели костер. Около полудня прилетел Пионтковский. Я.Э.Рудзутак вместе с А.С.Я. сели в кабину и Пионтковский продемонстрировал машину в воздухе (3971,6).</w:t>
      </w:r>
    </w:p>
    <w:p w14:paraId="2656535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это было 19 июня 1932</w:t>
      </w:r>
    </w:p>
    <w:p w14:paraId="58C71E32"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9DE40D9"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E6AB920"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F4CB08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октября 1933 г. представители УММ РККА, посетившие завод № 37, докладывали: «Заканчива</w:t>
      </w:r>
      <w:r w:rsidRPr="0044524F">
        <w:rPr>
          <w:rFonts w:ascii="Times New Roman" w:hAnsi="Times New Roman"/>
          <w:color w:val="000000" w:themeColor="text1"/>
          <w:sz w:val="16"/>
          <w:szCs w:val="16"/>
        </w:rPr>
        <w:softHyphen/>
        <w:t>ется сдача первой опытной группы Т-37, всего, вместе с Т-41, 45 машин. К концу года будет, вероятно, не более 800 тан</w:t>
      </w:r>
      <w:r w:rsidRPr="0044524F">
        <w:rPr>
          <w:rFonts w:ascii="Times New Roman" w:hAnsi="Times New Roman"/>
          <w:color w:val="000000" w:themeColor="text1"/>
          <w:sz w:val="16"/>
          <w:szCs w:val="16"/>
        </w:rPr>
        <w:softHyphen/>
        <w:t>ков». Но и их прогноз был оптимистичным — к 1 января 1934 г. завод № 37 сдал всего 126 танков Т-37А и 12 Т-41. 7 ноября 1933 г. первые серийные танки Т-37А вместе с Т-41 были показаны во время парада на Красной площади (10733,155).</w:t>
      </w:r>
    </w:p>
    <w:p w14:paraId="2C1C215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9EAAD1B"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середи</w:t>
      </w:r>
      <w:r w:rsidRPr="00142305">
        <w:rPr>
          <w:rFonts w:ascii="Times New Roman" w:hAnsi="Times New Roman"/>
          <w:color w:val="0070C0"/>
          <w:sz w:val="16"/>
          <w:szCs w:val="16"/>
        </w:rPr>
        <w:softHyphen/>
        <w:t>не октября 1933 года представители УММ РККА, посетившие завод № 37, докладывали: «За</w:t>
      </w:r>
      <w:r w:rsidRPr="00142305">
        <w:rPr>
          <w:rFonts w:ascii="Times New Roman" w:hAnsi="Times New Roman"/>
          <w:color w:val="0070C0"/>
          <w:sz w:val="16"/>
          <w:szCs w:val="16"/>
        </w:rPr>
        <w:softHyphen/>
        <w:t>канчивается сдача первой опытной груп</w:t>
      </w:r>
      <w:r w:rsidRPr="00142305">
        <w:rPr>
          <w:rFonts w:ascii="Times New Roman" w:hAnsi="Times New Roman"/>
          <w:color w:val="0070C0"/>
          <w:sz w:val="16"/>
          <w:szCs w:val="16"/>
        </w:rPr>
        <w:softHyphen/>
        <w:t>пы Т-37, всего, вместе с Т-41, 45 машин. К концу года будет, вероятно, не более 800 танков».</w:t>
      </w:r>
    </w:p>
    <w:p w14:paraId="7AFFC264"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прогноз был оптимис</w:t>
      </w:r>
      <w:r w:rsidRPr="00142305">
        <w:rPr>
          <w:rFonts w:ascii="Times New Roman" w:hAnsi="Times New Roman"/>
          <w:color w:val="0070C0"/>
          <w:sz w:val="16"/>
          <w:szCs w:val="16"/>
        </w:rPr>
        <w:softHyphen/>
        <w:t xml:space="preserve">тичным - к 1 января 1934 года завод № 37 изготовил всего 126 Т-37А (из них 2 радийных) и 12 Т-41 (25019). </w:t>
      </w:r>
    </w:p>
    <w:p w14:paraId="40D17183" w14:textId="77777777" w:rsidR="00022A55" w:rsidRPr="00142305" w:rsidRDefault="00022A55" w:rsidP="00022A55">
      <w:pPr>
        <w:spacing w:after="0" w:line="240" w:lineRule="auto"/>
        <w:jc w:val="both"/>
        <w:rPr>
          <w:rFonts w:ascii="Times New Roman" w:hAnsi="Times New Roman"/>
          <w:color w:val="0070C0"/>
          <w:sz w:val="16"/>
          <w:szCs w:val="16"/>
        </w:rPr>
      </w:pPr>
    </w:p>
    <w:p w14:paraId="4E374C89"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A800660"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C816C3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октября 1933 года в НИИ ВВС был подготовлен Отчет о гос. испытаниях самолета ТБ3-4М34 (6635).</w:t>
      </w:r>
    </w:p>
    <w:p w14:paraId="6C213D9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5243B75F"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испытание самолетов ТБ3-4М34 без редукторов (№№ 22203 и 22204).</w:t>
      </w:r>
    </w:p>
    <w:p w14:paraId="0ADE8D4F"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Выбор наилучшего винта из трех представленных ЦАГИ.</w:t>
      </w:r>
    </w:p>
    <w:p w14:paraId="16DFC25B"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Изыскание путей облегчения винтомоторной группы.</w:t>
      </w:r>
    </w:p>
    <w:p w14:paraId="212FC87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41297769"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того, что при испытании трех типов винтов лучшие летные данные самолет ТБ3-4М34 без редуктора получил с винтами Д=3,18; Н=1,88, считать необходимым все самолеты ТБ3-4М34 выпускать с этим типом винтов.</w:t>
      </w:r>
    </w:p>
    <w:p w14:paraId="6ED6C13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3FC0806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22203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5959A4F1" w14:textId="77777777">
        <w:tc>
          <w:tcPr>
            <w:tcW w:w="5636" w:type="dxa"/>
          </w:tcPr>
          <w:p w14:paraId="5709D1B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сентября 1933 года</w:t>
            </w:r>
          </w:p>
        </w:tc>
        <w:tc>
          <w:tcPr>
            <w:tcW w:w="5636" w:type="dxa"/>
          </w:tcPr>
          <w:p w14:paraId="2EBE65F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ОЭЛИД ЦАГИ, переслан в Щелково и облетан.</w:t>
            </w:r>
          </w:p>
        </w:tc>
      </w:tr>
      <w:tr w:rsidR="004E10C1" w:rsidRPr="0044524F" w14:paraId="03313C3B" w14:textId="77777777">
        <w:tc>
          <w:tcPr>
            <w:tcW w:w="5636" w:type="dxa"/>
          </w:tcPr>
          <w:p w14:paraId="5F199BF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сентября 1933 года</w:t>
            </w:r>
          </w:p>
        </w:tc>
        <w:tc>
          <w:tcPr>
            <w:tcW w:w="5636" w:type="dxa"/>
          </w:tcPr>
          <w:p w14:paraId="7480906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292C1DB1" w14:textId="77777777">
        <w:tc>
          <w:tcPr>
            <w:tcW w:w="5636" w:type="dxa"/>
          </w:tcPr>
          <w:p w14:paraId="12E051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36" w:type="dxa"/>
          </w:tcPr>
          <w:p w14:paraId="42A403A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w:t>
            </w:r>
          </w:p>
        </w:tc>
      </w:tr>
      <w:tr w:rsidR="004E10C1" w:rsidRPr="0044524F" w14:paraId="69FEE3B2" w14:textId="77777777">
        <w:tc>
          <w:tcPr>
            <w:tcW w:w="5636" w:type="dxa"/>
          </w:tcPr>
          <w:p w14:paraId="1C7BDF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октября 1933 года</w:t>
            </w:r>
          </w:p>
        </w:tc>
        <w:tc>
          <w:tcPr>
            <w:tcW w:w="5636" w:type="dxa"/>
          </w:tcPr>
          <w:p w14:paraId="57476B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4438D302" w14:textId="77777777">
        <w:tc>
          <w:tcPr>
            <w:tcW w:w="5636" w:type="dxa"/>
          </w:tcPr>
          <w:p w14:paraId="7272102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октября 1933 года</w:t>
            </w:r>
          </w:p>
        </w:tc>
        <w:tc>
          <w:tcPr>
            <w:tcW w:w="5636" w:type="dxa"/>
          </w:tcPr>
          <w:p w14:paraId="1CE2CF5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зубцы.</w:t>
            </w:r>
          </w:p>
        </w:tc>
      </w:tr>
      <w:tr w:rsidR="004E10C1" w:rsidRPr="0044524F" w14:paraId="047FC557" w14:textId="77777777">
        <w:tc>
          <w:tcPr>
            <w:tcW w:w="5636" w:type="dxa"/>
          </w:tcPr>
          <w:p w14:paraId="5303D9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w:t>
            </w:r>
          </w:p>
        </w:tc>
        <w:tc>
          <w:tcPr>
            <w:tcW w:w="5636" w:type="dxa"/>
          </w:tcPr>
          <w:p w14:paraId="55BB10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трехчасовой 450 км полет по маршруту: Щелково-Коломна-Щелково-Серпухов-Щелково.</w:t>
            </w:r>
          </w:p>
        </w:tc>
      </w:tr>
    </w:tbl>
    <w:p w14:paraId="34C257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22204</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287043F7" w14:textId="77777777">
        <w:tc>
          <w:tcPr>
            <w:tcW w:w="5636" w:type="dxa"/>
          </w:tcPr>
          <w:p w14:paraId="1EAA3CC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сентября 1933 года</w:t>
            </w:r>
          </w:p>
        </w:tc>
        <w:tc>
          <w:tcPr>
            <w:tcW w:w="5636" w:type="dxa"/>
          </w:tcPr>
          <w:p w14:paraId="03E94E5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22 завода и перегнан в Щелково.</w:t>
            </w:r>
          </w:p>
        </w:tc>
      </w:tr>
      <w:tr w:rsidR="004E10C1" w:rsidRPr="0044524F" w14:paraId="0986CC38" w14:textId="77777777">
        <w:tc>
          <w:tcPr>
            <w:tcW w:w="5636" w:type="dxa"/>
          </w:tcPr>
          <w:p w14:paraId="75EC301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сентября 1933 года</w:t>
            </w:r>
          </w:p>
        </w:tc>
        <w:tc>
          <w:tcPr>
            <w:tcW w:w="5636" w:type="dxa"/>
          </w:tcPr>
          <w:p w14:paraId="00FD1E7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Ознакомительный полет.</w:t>
            </w:r>
          </w:p>
        </w:tc>
      </w:tr>
      <w:tr w:rsidR="004E10C1" w:rsidRPr="0044524F" w14:paraId="5D3A0656" w14:textId="77777777">
        <w:tc>
          <w:tcPr>
            <w:tcW w:w="5636" w:type="dxa"/>
          </w:tcPr>
          <w:p w14:paraId="1355460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w:t>
            </w:r>
          </w:p>
        </w:tc>
        <w:tc>
          <w:tcPr>
            <w:tcW w:w="5636" w:type="dxa"/>
          </w:tcPr>
          <w:p w14:paraId="496C5D0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w:t>
            </w:r>
          </w:p>
        </w:tc>
      </w:tr>
      <w:tr w:rsidR="004E10C1" w:rsidRPr="0044524F" w14:paraId="5B6696E1" w14:textId="77777777">
        <w:tc>
          <w:tcPr>
            <w:tcW w:w="5636" w:type="dxa"/>
          </w:tcPr>
          <w:p w14:paraId="1611EE2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сентября 1933 года</w:t>
            </w:r>
          </w:p>
        </w:tc>
        <w:tc>
          <w:tcPr>
            <w:tcW w:w="5636" w:type="dxa"/>
          </w:tcPr>
          <w:p w14:paraId="48EA310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2A3CBA9D" w14:textId="77777777">
        <w:tc>
          <w:tcPr>
            <w:tcW w:w="5636" w:type="dxa"/>
          </w:tcPr>
          <w:p w14:paraId="09B7135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сентября 1933 года</w:t>
            </w:r>
          </w:p>
        </w:tc>
        <w:tc>
          <w:tcPr>
            <w:tcW w:w="5636" w:type="dxa"/>
          </w:tcPr>
          <w:p w14:paraId="4F6D2BF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по зубцам.</w:t>
            </w:r>
          </w:p>
        </w:tc>
      </w:tr>
      <w:tr w:rsidR="004E10C1" w:rsidRPr="0044524F" w14:paraId="19D7226B" w14:textId="77777777">
        <w:tc>
          <w:tcPr>
            <w:tcW w:w="5636" w:type="dxa"/>
          </w:tcPr>
          <w:p w14:paraId="76CFD3A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октября 1933 года</w:t>
            </w:r>
          </w:p>
        </w:tc>
        <w:tc>
          <w:tcPr>
            <w:tcW w:w="5636" w:type="dxa"/>
          </w:tcPr>
          <w:p w14:paraId="1DF6A2F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1B35A2AD" w14:textId="77777777">
        <w:tc>
          <w:tcPr>
            <w:tcW w:w="5636" w:type="dxa"/>
          </w:tcPr>
          <w:p w14:paraId="6D50354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октября 1933 года</w:t>
            </w:r>
          </w:p>
        </w:tc>
        <w:tc>
          <w:tcPr>
            <w:tcW w:w="5636" w:type="dxa"/>
          </w:tcPr>
          <w:p w14:paraId="3919509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потолок и зубцы.</w:t>
            </w:r>
          </w:p>
        </w:tc>
      </w:tr>
    </w:tbl>
    <w:p w14:paraId="73AE76F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проведены в 13 дней, из них самолет летал 6 дней (6635).</w:t>
      </w:r>
    </w:p>
    <w:p w14:paraId="071639A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AAE420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октября 1933 закончили гос. испытания двух ТБ-3 (АНТ-6) 4М-34Р и они стали эталоном на 1934 (92,432). Мотор был запущен в серию на 24 заводе с ресурсом 100 ч, увеличенном с 30 (80,74).</w:t>
      </w:r>
    </w:p>
    <w:p w14:paraId="0A283DF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 одного (346,27).</w:t>
      </w:r>
    </w:p>
    <w:p w14:paraId="44DE1FB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третьим данным - 6 октября 1933</w:t>
      </w:r>
    </w:p>
    <w:p w14:paraId="1874B54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E4CD368"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октября 1933 г. были закончены государственные испытания АНТ-6 №22202, на котором в сентябре 1933 г. установили двигатели М—34Р со степенью редукции 0,584 и новыми вин</w:t>
      </w:r>
      <w:r w:rsidRPr="0044524F">
        <w:rPr>
          <w:rFonts w:ascii="Times New Roman" w:hAnsi="Times New Roman"/>
          <w:color w:val="000000" w:themeColor="text1"/>
          <w:sz w:val="16"/>
          <w:szCs w:val="16"/>
        </w:rPr>
        <w:softHyphen/>
        <w:t>тами диаметром 4,4 м.</w:t>
      </w:r>
    </w:p>
    <w:p w14:paraId="54571319"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этого, на самолете выполнили ряд доработок:</w:t>
      </w:r>
    </w:p>
    <w:p w14:paraId="2B848983"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подняли руль направления, его пло</w:t>
      </w:r>
      <w:r w:rsidRPr="0044524F">
        <w:rPr>
          <w:rFonts w:ascii="Times New Roman" w:hAnsi="Times New Roman"/>
          <w:color w:val="000000" w:themeColor="text1"/>
          <w:sz w:val="16"/>
          <w:szCs w:val="16"/>
        </w:rPr>
        <w:softHyphen/>
        <w:t>щадь увеличили на 0,404 м2;</w:t>
      </w:r>
    </w:p>
    <w:p w14:paraId="169C41DB"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0,75 м удлинили килевую ко</w:t>
      </w:r>
      <w:r w:rsidRPr="0044524F">
        <w:rPr>
          <w:rFonts w:ascii="Times New Roman" w:hAnsi="Times New Roman"/>
          <w:color w:val="000000" w:themeColor="text1"/>
          <w:sz w:val="16"/>
          <w:szCs w:val="16"/>
        </w:rPr>
        <w:softHyphen/>
        <w:t>лонку;</w:t>
      </w:r>
    </w:p>
    <w:p w14:paraId="03972B2E"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установили кормовую стрелковую установку (без изменения формы фюзе</w:t>
      </w:r>
      <w:r w:rsidRPr="0044524F">
        <w:rPr>
          <w:rFonts w:ascii="Times New Roman" w:hAnsi="Times New Roman"/>
          <w:color w:val="000000" w:themeColor="text1"/>
          <w:sz w:val="16"/>
          <w:szCs w:val="16"/>
        </w:rPr>
        <w:softHyphen/>
        <w:t>ляжа), башни под крылом еще остава</w:t>
      </w:r>
      <w:r w:rsidRPr="0044524F">
        <w:rPr>
          <w:rFonts w:ascii="Times New Roman" w:hAnsi="Times New Roman"/>
          <w:color w:val="000000" w:themeColor="text1"/>
          <w:sz w:val="16"/>
          <w:szCs w:val="16"/>
        </w:rPr>
        <w:softHyphen/>
        <w:t>лись;</w:t>
      </w:r>
    </w:p>
    <w:p w14:paraId="5960352A"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задние колеса в тележках сделали тормозными;</w:t>
      </w:r>
    </w:p>
    <w:p w14:paraId="5AE4619A"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резиновую амортизацию заменили масляно-воздушной.</w:t>
      </w:r>
    </w:p>
    <w:p w14:paraId="06812684"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и взлетно-посадочные характеристики значительно улучшились. Са</w:t>
      </w:r>
      <w:r w:rsidRPr="0044524F">
        <w:rPr>
          <w:rFonts w:ascii="Times New Roman" w:hAnsi="Times New Roman"/>
          <w:color w:val="000000" w:themeColor="text1"/>
          <w:sz w:val="16"/>
          <w:szCs w:val="16"/>
        </w:rPr>
        <w:softHyphen/>
        <w:t>молет утвердили в качестве эталона на 1934 г. После испытаний хвостовая часть фюзеляжа была переделана — кормовая стрелковая установка органически вошла в его конструкцию. Костыль заменили хвостовым колесом. На ТБ—3 4М—34Р удалось достигнуть наибольшей для ТБ—3 продолжительности полета — 18 ча</w:t>
      </w:r>
      <w:r w:rsidRPr="0044524F">
        <w:rPr>
          <w:rFonts w:ascii="Times New Roman" w:hAnsi="Times New Roman"/>
          <w:color w:val="000000" w:themeColor="text1"/>
          <w:sz w:val="16"/>
          <w:szCs w:val="16"/>
        </w:rPr>
        <w:softHyphen/>
        <w:t>сов 30 минут. (23474).</w:t>
      </w:r>
    </w:p>
    <w:p w14:paraId="23AF5A11" w14:textId="77777777" w:rsidR="00AD0645" w:rsidRPr="0044524F" w:rsidRDefault="00AD0645" w:rsidP="009654CF">
      <w:pPr>
        <w:spacing w:after="0" w:line="240" w:lineRule="auto"/>
        <w:jc w:val="both"/>
        <w:rPr>
          <w:rFonts w:ascii="Times New Roman" w:hAnsi="Times New Roman"/>
          <w:color w:val="000000" w:themeColor="text1"/>
          <w:sz w:val="16"/>
          <w:szCs w:val="16"/>
        </w:rPr>
      </w:pPr>
    </w:p>
    <w:p w14:paraId="68398DA9"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октября 1933 г. из Таганрога в Мос</w:t>
      </w:r>
      <w:r w:rsidRPr="00142305">
        <w:rPr>
          <w:rFonts w:ascii="Times New Roman" w:hAnsi="Times New Roman"/>
          <w:color w:val="0070C0"/>
          <w:sz w:val="16"/>
          <w:szCs w:val="16"/>
        </w:rPr>
        <w:softHyphen/>
        <w:t>кву доложили, что добились охлаждения М-34 на С-62 (МБР-4) «близкого к нормальному» (24948).</w:t>
      </w:r>
    </w:p>
    <w:p w14:paraId="02FC7AB1" w14:textId="77777777" w:rsidR="00022A55" w:rsidRPr="00142305" w:rsidRDefault="00022A55" w:rsidP="00022A55">
      <w:pPr>
        <w:spacing w:after="0" w:line="240" w:lineRule="auto"/>
        <w:jc w:val="both"/>
        <w:rPr>
          <w:rFonts w:ascii="Times New Roman" w:hAnsi="Times New Roman"/>
          <w:color w:val="0070C0"/>
          <w:sz w:val="16"/>
          <w:szCs w:val="16"/>
        </w:rPr>
      </w:pPr>
    </w:p>
    <w:p w14:paraId="505A7AC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октября 1933 состоялось заседание комиссии, на которой было признано, что установка импеллеров (так называли ТК) на МК невозможна, так как М34-Р не лезет (1024,58).</w:t>
      </w:r>
    </w:p>
    <w:p w14:paraId="3A24B09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C9715E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октября 1933 года зам. наркома Рабоче-крестьянской инспекции Беленький писал письмо № 7170/с Молотову</w:t>
      </w:r>
    </w:p>
    <w:p w14:paraId="3B2F12B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проекту постановления комиссии Пятакова о выполнении плана IV квартала по авиации сообщаю свои поправки, которые были на Комиссии отвергнуты.</w:t>
      </w:r>
    </w:p>
    <w:p w14:paraId="17EE806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 п. 1 необходимо усилить формулировку в части заводов не выполнивших программу.</w:t>
      </w:r>
    </w:p>
    <w:p w14:paraId="33C0BB8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разделу II п. 2 об импорте цветных металлов считаю, что нужно поручить НКВТ и НКТПрому проверить размер необходимого импорта, поскольку ни в комиссии, ни в РКИ не имеется баланса цветных металлов на IV квартал, а следовательно нельзя одностороннюю заявку НКТП передавать на импорт. Кроме того, необходимо это увязать с валютным планом на IV квартал и на I квартал 1934 года.</w:t>
      </w:r>
    </w:p>
    <w:p w14:paraId="03E7B25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тому-же разделу п. 5 об отпуске машин и тракторов предлагаю вычеркнуть все количество машин, которые должны быть отпущены из резерва СНК и оставить лишь то количество, которое обязуется отпустить НКТП. Это для заводов явится достаточной помощью.</w:t>
      </w:r>
    </w:p>
    <w:p w14:paraId="6AB099B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тому-же разделу п. 6 насчет паровозов и вагонов считаю невозможным отпуск за счет НКПС. Платформы НКТП 'должен дать этим заводам за свой счет, а вместо паровозов НКТП может изготовить мотовозы, которые с успехом заменят паровозы на зяводском транспорте.</w:t>
      </w:r>
    </w:p>
    <w:p w14:paraId="140564C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11 б) Как видно случайно пропущено указание, в какой срок нужны эти вагоны и по каким направлениям.</w:t>
      </w:r>
    </w:p>
    <w:p w14:paraId="2DF8370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Имелось ввиду, что эта норма вагонов месячная и в направленни Москвы и частью Ленинграда.</w:t>
      </w:r>
    </w:p>
    <w:p w14:paraId="2664EB3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п.11 а) Считаю, что принимать не - следует.</w:t>
      </w:r>
    </w:p>
    <w:p w14:paraId="08A0F36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smallCaps/>
          <w:color w:val="000000" w:themeColor="text1"/>
          <w:sz w:val="16"/>
          <w:szCs w:val="16"/>
        </w:rPr>
        <w:t xml:space="preserve">зам. </w:t>
      </w:r>
      <w:r w:rsidRPr="0044524F">
        <w:rPr>
          <w:rFonts w:ascii="Times New Roman" w:hAnsi="Times New Roman"/>
          <w:color w:val="000000" w:themeColor="text1"/>
          <w:sz w:val="16"/>
          <w:szCs w:val="16"/>
        </w:rPr>
        <w:t>Народного. Комиссара Беленький (4191, 50).</w:t>
      </w:r>
    </w:p>
    <w:p w14:paraId="21A770E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FA2C1E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октября 1933 года зам. наркома тяжелой промышленности Пятаков писал письмо в СТО Молотову</w:t>
      </w:r>
    </w:p>
    <w:p w14:paraId="11F69EE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Направляя проект постановления, принятый Комиссией, выделенной СТО от 9 октября 1933 года по вопросу «Об итогах девятимесячного выполнения авиапромышленностью производственной программы» – сообщаю, что в связи с болезнью М.М. Кагановича, работа комиссии была проведена под моим председательством.</w:t>
      </w:r>
    </w:p>
    <w:p w14:paraId="3D3ADC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6 экземпляров (4191, 42).</w:t>
      </w:r>
    </w:p>
    <w:p w14:paraId="1634CED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октября 1933 был подготовлен:</w:t>
      </w:r>
    </w:p>
    <w:p w14:paraId="02EF839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СОВЕТА ТРУДА И ОБОРОНЫ СОЮЗА С. С. Р. (проект)</w:t>
      </w:r>
    </w:p>
    <w:p w14:paraId="39990DC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 Кремль, “__"Октября 1933 г.</w:t>
      </w:r>
    </w:p>
    <w:p w14:paraId="3FB17849" w14:textId="11244BC2"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Комиссия Обороны отмечает, что, наряду с заврдами</w:t>
      </w:r>
      <w:r w:rsidRPr="0044524F">
        <w:rPr>
          <w:rFonts w:ascii="Times New Roman" w:hAnsi="Times New Roman"/>
          <w:smallCaps/>
          <w:color w:val="000000" w:themeColor="text1"/>
          <w:sz w:val="16"/>
          <w:szCs w:val="16"/>
        </w:rPr>
        <w:t xml:space="preserve">, </w:t>
      </w:r>
      <w:r w:rsidRPr="0044524F">
        <w:rPr>
          <w:rFonts w:ascii="Times New Roman" w:hAnsi="Times New Roman"/>
          <w:color w:val="000000" w:themeColor="text1"/>
          <w:sz w:val="16"/>
          <w:szCs w:val="16"/>
        </w:rPr>
        <w:t>успешно выполнившимиза 9 м-цев 1333 г. свою производственную программу по основным объектам (завод № 22 - самолет ТБЗ с М17;</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завод № 39 - са</w:t>
      </w:r>
      <w:r w:rsidRPr="0044524F">
        <w:rPr>
          <w:rFonts w:ascii="Times New Roman" w:hAnsi="Times New Roman"/>
          <w:color w:val="000000" w:themeColor="text1"/>
          <w:sz w:val="16"/>
          <w:szCs w:val="16"/>
        </w:rPr>
        <w:softHyphen/>
        <w:t>молет ТБ3 с М17; завод № 21 - самолет И5 с М22; завод № 24 - мотор М34, завод № 26 - мотор М17; завод № 23 - У2 с М11), тогда как не справились с поставленным им программными заданием заводы №№ 1, 31 и 29 (И7 с М17, Р6 с М17, Р5-А с М17, АНТ9 и моторы М22 и М11), что создает угрожающее положение по выполнения заданий - не только в отно</w:t>
      </w:r>
      <w:r w:rsidRPr="0044524F">
        <w:rPr>
          <w:rFonts w:ascii="Times New Roman" w:hAnsi="Times New Roman"/>
          <w:color w:val="000000" w:themeColor="text1"/>
          <w:sz w:val="16"/>
          <w:szCs w:val="16"/>
        </w:rPr>
        <w:softHyphen/>
        <w:t>шении данных заводов, но и годовой программы Глававиапрома в целом.</w:t>
      </w:r>
    </w:p>
    <w:p w14:paraId="16606AD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также явно неудовлетворительную сдачу запасных частей, как к самолетам, так и к моторам (за 9 м. 68,5% и 64%).</w:t>
      </w:r>
    </w:p>
    <w:p w14:paraId="0BEF067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Констатировать, что при заметном улучшении качества основных типов самолетов и моторов (ТБЗ, Р5, И15, У2 и И17), выпускаемая заводами продукция все еще имеет существенные недостатки, осложняющие эксплоатацию и понижающие надежность материальной части в полете, основными из коих являются:</w:t>
      </w:r>
    </w:p>
    <w:p w14:paraId="6BD870C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Конструкция большинства самолетов перетяжелена;</w:t>
      </w:r>
    </w:p>
    <w:p w14:paraId="696A6E4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отмечается массовая течь радиаторов и бензокранов;</w:t>
      </w:r>
    </w:p>
    <w:p w14:paraId="3316B09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быстро появляется люфты в соединениях;</w:t>
      </w:r>
    </w:p>
    <w:p w14:paraId="0880FC7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наблюдаются частые обрывы шпилек и фланцов в цилиндрах моторов М17;</w:t>
      </w:r>
    </w:p>
    <w:p w14:paraId="57629E9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появляется трещина в лапах картеров М34</w:t>
      </w:r>
    </w:p>
    <w:p w14:paraId="7D6A477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выкрашивание баббита в шатунах того-же мотора;</w:t>
      </w:r>
    </w:p>
    <w:p w14:paraId="714486C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недостаточное давление масла в моторе М22 на малых оборотах.</w:t>
      </w:r>
    </w:p>
    <w:p w14:paraId="6CF4804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несмотря на двухкратное постановление С.Т.О., до сего времени не введено в серийное производство одно из крупнейших мероприятий по увеличеншз безопасности полета и улучшению эксплоатационных качеств самолетов - тормазное шасси.</w:t>
      </w:r>
    </w:p>
    <w:p w14:paraId="7AEAE05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 нержавеющей стали и сверхлегкие сплавы: электрон, магний и т.д.).</w:t>
      </w:r>
    </w:p>
    <w:p w14:paraId="1FAE3A4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Вследствие отсутствия эталонов, а также выявившихся в процессе производства конструктивных недостатков, - снять с утвержденной программы по самолетостроению на 1933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4E10C1" w:rsidRPr="0044524F" w14:paraId="570ABE71" w14:textId="77777777">
        <w:tc>
          <w:tcPr>
            <w:tcW w:w="3736" w:type="dxa"/>
            <w:tcBorders>
              <w:top w:val="single" w:sz="12" w:space="0" w:color="auto"/>
            </w:tcBorders>
            <w:shd w:val="clear" w:color="auto" w:fill="FFFFFF"/>
          </w:tcPr>
          <w:p w14:paraId="79FDD42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w:t>
            </w:r>
          </w:p>
        </w:tc>
        <w:tc>
          <w:tcPr>
            <w:tcW w:w="3736" w:type="dxa"/>
            <w:tcBorders>
              <w:top w:val="single" w:sz="12" w:space="0" w:color="auto"/>
            </w:tcBorders>
            <w:shd w:val="clear" w:color="auto" w:fill="FFFFFF"/>
          </w:tcPr>
          <w:p w14:paraId="19C10F1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w:t>
            </w:r>
          </w:p>
        </w:tc>
        <w:tc>
          <w:tcPr>
            <w:tcW w:w="3736" w:type="dxa"/>
            <w:tcBorders>
              <w:top w:val="single" w:sz="12" w:space="0" w:color="auto"/>
            </w:tcBorders>
            <w:shd w:val="clear" w:color="auto" w:fill="FFFFFF"/>
          </w:tcPr>
          <w:p w14:paraId="1E6D02A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самолетов И7 с М17</w:t>
            </w:r>
          </w:p>
        </w:tc>
      </w:tr>
      <w:tr w:rsidR="004E10C1" w:rsidRPr="0044524F" w14:paraId="11F0E618" w14:textId="77777777">
        <w:tc>
          <w:tcPr>
            <w:tcW w:w="3736" w:type="dxa"/>
            <w:shd w:val="clear" w:color="auto" w:fill="FFFFFF"/>
          </w:tcPr>
          <w:p w14:paraId="5238DA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- 22</w:t>
            </w:r>
          </w:p>
        </w:tc>
        <w:tc>
          <w:tcPr>
            <w:tcW w:w="3736" w:type="dxa"/>
            <w:shd w:val="clear" w:color="auto" w:fill="FFFFFF"/>
          </w:tcPr>
          <w:p w14:paraId="6A2BFE1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3736" w:type="dxa"/>
            <w:shd w:val="clear" w:color="auto" w:fill="FFFFFF"/>
          </w:tcPr>
          <w:p w14:paraId="34BEAC9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с М34</w:t>
            </w:r>
          </w:p>
        </w:tc>
      </w:tr>
      <w:tr w:rsidR="004E10C1" w:rsidRPr="0044524F" w14:paraId="6A1E3BF5" w14:textId="77777777">
        <w:tc>
          <w:tcPr>
            <w:tcW w:w="3736" w:type="dxa"/>
            <w:shd w:val="clear" w:color="auto" w:fill="FFFFFF"/>
          </w:tcPr>
          <w:p w14:paraId="61B7DF2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36" w:type="dxa"/>
            <w:shd w:val="clear" w:color="auto" w:fill="FFFFFF"/>
          </w:tcPr>
          <w:p w14:paraId="65F8394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3736" w:type="dxa"/>
            <w:shd w:val="clear" w:color="auto" w:fill="FFFFFF"/>
          </w:tcPr>
          <w:p w14:paraId="7EBB14E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с 6М34</w:t>
            </w:r>
          </w:p>
        </w:tc>
      </w:tr>
      <w:tr w:rsidR="004E10C1" w:rsidRPr="0044524F" w14:paraId="15FDB6D8" w14:textId="77777777">
        <w:tc>
          <w:tcPr>
            <w:tcW w:w="3736" w:type="dxa"/>
            <w:shd w:val="clear" w:color="auto" w:fill="FFFFFF"/>
          </w:tcPr>
          <w:p w14:paraId="24EF160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 " 31</w:t>
            </w:r>
          </w:p>
        </w:tc>
        <w:tc>
          <w:tcPr>
            <w:tcW w:w="3736" w:type="dxa"/>
            <w:shd w:val="clear" w:color="auto" w:fill="FFFFFF"/>
          </w:tcPr>
          <w:p w14:paraId="032CACD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3736" w:type="dxa"/>
            <w:shd w:val="clear" w:color="auto" w:fill="FFFFFF"/>
          </w:tcPr>
          <w:p w14:paraId="63F0551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с М34. Весь задел по АНТ9 передать ГУГВФ</w:t>
            </w:r>
          </w:p>
        </w:tc>
      </w:tr>
      <w:tr w:rsidR="004E10C1" w:rsidRPr="0044524F" w14:paraId="6522F19C" w14:textId="77777777">
        <w:tc>
          <w:tcPr>
            <w:tcW w:w="3736" w:type="dxa"/>
            <w:tcBorders>
              <w:bottom w:val="single" w:sz="12" w:space="0" w:color="auto"/>
            </w:tcBorders>
            <w:shd w:val="clear" w:color="auto" w:fill="FFFFFF"/>
          </w:tcPr>
          <w:p w14:paraId="415C324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 - " 18</w:t>
            </w:r>
          </w:p>
        </w:tc>
        <w:tc>
          <w:tcPr>
            <w:tcW w:w="3736" w:type="dxa"/>
            <w:tcBorders>
              <w:bottom w:val="single" w:sz="12" w:space="0" w:color="auto"/>
            </w:tcBorders>
            <w:shd w:val="clear" w:color="auto" w:fill="FFFFFF"/>
          </w:tcPr>
          <w:p w14:paraId="0901449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3736" w:type="dxa"/>
            <w:tcBorders>
              <w:bottom w:val="single" w:sz="12" w:space="0" w:color="auto"/>
            </w:tcBorders>
            <w:shd w:val="clear" w:color="auto" w:fill="FFFFFF"/>
          </w:tcPr>
          <w:p w14:paraId="10B0AE7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с М34</w:t>
            </w:r>
          </w:p>
        </w:tc>
      </w:tr>
    </w:tbl>
    <w:p w14:paraId="089BE5B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НКТП и НКВМ войти в К.О. к 10 Ноября со своими сообщениями о постановке на производство самолета И7 с дюралевым хвостовым оперением.</w:t>
      </w:r>
    </w:p>
    <w:p w14:paraId="5FC82A2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связи с быстрой модификацией предметов оборудования самолетов...под руководством и ближайшем участии потребителей, - обязанность по размещению заказов на опытные образцы утвержденного оборудования, утверждению образца, размещению заказа на опытную партию и проведению с ней войско</w:t>
      </w:r>
      <w:r w:rsidRPr="0044524F">
        <w:rPr>
          <w:rFonts w:ascii="Times New Roman" w:hAnsi="Times New Roman"/>
          <w:color w:val="000000" w:themeColor="text1"/>
          <w:sz w:val="16"/>
          <w:szCs w:val="16"/>
        </w:rPr>
        <w:softHyphen/>
        <w:t>вых эксплоатационных испытаний, возложить на УВВС.</w:t>
      </w:r>
    </w:p>
    <w:p w14:paraId="1D059BA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Каждый новыйоб"ект внедрять всерийное производство только при наличии всех тактико-технических требований и законченного испы</w:t>
      </w:r>
      <w:r w:rsidRPr="0044524F">
        <w:rPr>
          <w:rFonts w:ascii="Times New Roman" w:hAnsi="Times New Roman"/>
          <w:color w:val="000000" w:themeColor="text1"/>
          <w:sz w:val="16"/>
          <w:szCs w:val="16"/>
        </w:rPr>
        <w:softHyphen/>
        <w:t>тания эталонов.</w:t>
      </w:r>
    </w:p>
    <w:p w14:paraId="7B31BAD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Изъятия из этого правила могут допускаться только при специаль</w:t>
      </w:r>
      <w:r w:rsidRPr="0044524F">
        <w:rPr>
          <w:rFonts w:ascii="Times New Roman" w:hAnsi="Times New Roman"/>
          <w:color w:val="000000" w:themeColor="text1"/>
          <w:sz w:val="16"/>
          <w:szCs w:val="16"/>
        </w:rPr>
        <w:softHyphen/>
        <w:t>ном постановлении Комиссии Обороны в каждом отдельнойм случае.</w:t>
      </w:r>
    </w:p>
    <w:p w14:paraId="3DDAEF5A"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безусловного выполнения авиапромышленностью программы 4-го квартала с покрытием всего недовыполненного за год, обязать:</w:t>
      </w:r>
    </w:p>
    <w:p w14:paraId="131D30B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НКТП (Глававиапром) взять под особое наблюдение работу заво</w:t>
      </w:r>
      <w:r w:rsidRPr="0044524F">
        <w:rPr>
          <w:rFonts w:ascii="Times New Roman" w:hAnsi="Times New Roman"/>
          <w:color w:val="000000" w:themeColor="text1"/>
          <w:sz w:val="16"/>
          <w:szCs w:val="16"/>
        </w:rPr>
        <w:softHyphen/>
        <w:t>дов №№ 31, 1 и 29 и в частности:</w:t>
      </w:r>
    </w:p>
    <w:p w14:paraId="61E3320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зазову № 31:</w:t>
      </w:r>
    </w:p>
    <w:p w14:paraId="640303F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Нач. ГУАП тов. КОРОЛЕВУ принять на месте все необходимые меры по укреплению завода, обеспечению всеми потребными материалами в целях полного выполнения программы.</w:t>
      </w:r>
    </w:p>
    <w:p w14:paraId="62BB26B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Ввиду прорыва на заводе № 31, возловить на Северо-Кавказский Крайком ВКП(б) непосредственное наблюдение за полным выполнением за</w:t>
      </w:r>
      <w:r w:rsidRPr="0044524F">
        <w:rPr>
          <w:rFonts w:ascii="Times New Roman" w:hAnsi="Times New Roman"/>
          <w:color w:val="000000" w:themeColor="text1"/>
          <w:sz w:val="16"/>
          <w:szCs w:val="16"/>
        </w:rPr>
        <w:softHyphen/>
        <w:t>водом программы, обязав оказать заводу максимальное содействие в этом.</w:t>
      </w:r>
    </w:p>
    <w:p w14:paraId="40CA19F8"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Но заводу № 1:</w:t>
      </w:r>
    </w:p>
    <w:p w14:paraId="24531BD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Тов. КОРОЛЕВУ Г.Е. уделить исключительное внимание заводу, в частности .установить точные календарные српоки окончания и ввода -в эксплоатапизс отдельных цехов и представить таковые к 1 ноября в К.О.</w:t>
      </w:r>
    </w:p>
    <w:p w14:paraId="2360757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Закончить в </w:t>
      </w:r>
      <w:r w:rsidRPr="0044524F">
        <w:rPr>
          <w:rFonts w:ascii="Times New Roman" w:hAnsi="Times New Roman"/>
          <w:iCs/>
          <w:color w:val="000000" w:themeColor="text1"/>
          <w:sz w:val="16"/>
          <w:szCs w:val="16"/>
        </w:rPr>
        <w:t xml:space="preserve">4-и </w:t>
      </w:r>
      <w:r w:rsidRPr="0044524F">
        <w:rPr>
          <w:rFonts w:ascii="Times New Roman" w:hAnsi="Times New Roman"/>
          <w:color w:val="000000" w:themeColor="text1"/>
          <w:sz w:val="16"/>
          <w:szCs w:val="16"/>
        </w:rPr>
        <w:t>квартале строительство завода, обязав т. ГИНЗБУРГА обеспечить его всеми необходимыми материалами, рабочей силой и руководящим строительным персоналом.</w:t>
      </w:r>
    </w:p>
    <w:p w14:paraId="4686B54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 заводу № 29:</w:t>
      </w:r>
    </w:p>
    <w:p w14:paraId="38E4A82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командировать на завод, сроком не менее м-ца, груп</w:t>
      </w:r>
      <w:r w:rsidRPr="0044524F">
        <w:rPr>
          <w:rFonts w:ascii="Times New Roman" w:hAnsi="Times New Roman"/>
          <w:color w:val="000000" w:themeColor="text1"/>
          <w:sz w:val="16"/>
          <w:szCs w:val="16"/>
        </w:rPr>
        <w:softHyphen/>
        <w:t>пу ответственных специалистов и Зам. Нач. ГУАП т. БЕЛЕНКОВИЧА для конкретной производственной помощи заводу.</w:t>
      </w:r>
    </w:p>
    <w:p w14:paraId="3714A23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Обязать ГУАП тов. КОРОЛЕВА и персонально всех директоров за</w:t>
      </w:r>
      <w:r w:rsidRPr="0044524F">
        <w:rPr>
          <w:rFonts w:ascii="Times New Roman" w:hAnsi="Times New Roman"/>
          <w:color w:val="000000" w:themeColor="text1"/>
          <w:sz w:val="16"/>
          <w:szCs w:val="16"/>
        </w:rPr>
        <w:softHyphen/>
        <w:t>водов авиапромышленности обеспечить полное выполнение программы по запчастям.</w:t>
      </w:r>
    </w:p>
    <w:p w14:paraId="2D9FBF9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 Обязать НКТП проверить всю деятельность Научно-Исследователь</w:t>
      </w:r>
      <w:r w:rsidRPr="0044524F">
        <w:rPr>
          <w:rFonts w:ascii="Times New Roman" w:hAnsi="Times New Roman"/>
          <w:color w:val="000000" w:themeColor="text1"/>
          <w:sz w:val="16"/>
          <w:szCs w:val="16"/>
        </w:rPr>
        <w:softHyphen/>
        <w:t>ских учреждений ГУАП (ЦАГИ, ЦИАМ и ВИАМ), в целя выяснения связи с заводами и их технического обслуживания, представив К.О. в месячный срок подробный доклад и проект необходимых мероприятий.</w:t>
      </w:r>
    </w:p>
    <w:p w14:paraId="6486ED9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недопустимую волокиту, проявленную ЦАГИ в отношении проработки образцов (особенно по ТБ3 с М34) и обязать т. КОРОЛЕВА лично обеспечить надлежащие темпы работы Института в отношении проверки и выпуска образцов - эталонов.</w:t>
      </w:r>
    </w:p>
    <w:p w14:paraId="2756520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1У. Обязать НКТП (ГУАП) немедленно приступить к усовершенствованию аэродромного хозяйств (планировка посадочных площадок, мелиоративные работы, постройка бензохранилищ, механизация обслуживания и т.д.) и представить к 1 ноября в КО исчерпывающую программу по приведению этого хозяйства в порядок...</w:t>
      </w:r>
    </w:p>
    <w:p w14:paraId="35951CD9"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ватманской бумаги 60.000 листов.</w:t>
      </w:r>
    </w:p>
    <w:p w14:paraId="34808FE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У1. В целях своевременной подготовки к 1934г. - обязать НКТП (ГУАП) совместно с НКВоенмором немедленно приступить к проработке всего плана 1934 года и наметить все необходимые ме</w:t>
      </w:r>
      <w:r w:rsidRPr="0044524F">
        <w:rPr>
          <w:rFonts w:ascii="Times New Roman" w:hAnsi="Times New Roman"/>
          <w:color w:val="000000" w:themeColor="text1"/>
          <w:sz w:val="16"/>
          <w:szCs w:val="16"/>
        </w:rPr>
        <w:softHyphen/>
        <w:t>роприятия, обеспечизазцие выполнение программы 1934 года как в части строительства, так и всех видов снабжения и внести в К.О. к 10 Ноября.</w:t>
      </w:r>
    </w:p>
    <w:p w14:paraId="431DF11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Наркомвоенмор в декадный срок уточнить и пред</w:t>
      </w:r>
      <w:r w:rsidRPr="0044524F">
        <w:rPr>
          <w:rFonts w:ascii="Times New Roman" w:hAnsi="Times New Roman"/>
          <w:color w:val="000000" w:themeColor="text1"/>
          <w:sz w:val="16"/>
          <w:szCs w:val="16"/>
        </w:rPr>
        <w:softHyphen/>
        <w:t>ставить свой заказ авиапромышленности на 1934 год (4191,94).</w:t>
      </w:r>
    </w:p>
    <w:p w14:paraId="6EB75E4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BA83F2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октября 1933 года начальник 4 сектора 2 отдела УМТС и В ВВС Апухтин.</w:t>
      </w:r>
    </w:p>
    <w:p w14:paraId="508B9D1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по вопросу о заказе объектов Гроховского</w:t>
      </w:r>
    </w:p>
    <w:p w14:paraId="1716B16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1932 года работала особая комиссия в состав которой входил и Гроховский. В результате работы зам. нач. ВВС Наумовым дано было приказание разместить в 1932 году заказ на 2400 грузовых парашютов разных типов и 5000 людских десантных.</w:t>
      </w:r>
    </w:p>
    <w:p w14:paraId="5CA1B1A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Заказ не был в 1932 году реализован, т.к. результаты испытаний и техническая документация начали поступать только во 2 квартале и в основном через НИИ ВВС они были получены в декабре 1932 года.</w:t>
      </w:r>
    </w:p>
    <w:p w14:paraId="42288A8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или марте 1932 года имело место постановление РВС о заказе объектов Гроховского для войсковых испытаний, не дожидаясь результатов предварительных испытаний.</w:t>
      </w:r>
    </w:p>
    <w:p w14:paraId="28579F2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1932 года имело место совещание у нач. Штаба ВВС Меженинова, на котором Межениновым было дано указание о заказе следующих количеств парашютно-десантного имущества: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4E10C1" w:rsidRPr="0044524F" w14:paraId="05FBF845" w14:textId="77777777">
        <w:tc>
          <w:tcPr>
            <w:tcW w:w="3757" w:type="dxa"/>
          </w:tcPr>
          <w:p w14:paraId="448299C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Десантн. людских тренировочн.</w:t>
            </w:r>
          </w:p>
        </w:tc>
        <w:tc>
          <w:tcPr>
            <w:tcW w:w="3757" w:type="dxa"/>
          </w:tcPr>
          <w:p w14:paraId="6151461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 шт.</w:t>
            </w:r>
          </w:p>
        </w:tc>
      </w:tr>
      <w:tr w:rsidR="004E10C1" w:rsidRPr="0044524F" w14:paraId="552DDB52" w14:textId="77777777">
        <w:tc>
          <w:tcPr>
            <w:tcW w:w="3757" w:type="dxa"/>
          </w:tcPr>
          <w:p w14:paraId="2E701CD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Десантн. людских боевых</w:t>
            </w:r>
          </w:p>
        </w:tc>
        <w:tc>
          <w:tcPr>
            <w:tcW w:w="3757" w:type="dxa"/>
          </w:tcPr>
          <w:p w14:paraId="1E0F8A0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 шт.</w:t>
            </w:r>
          </w:p>
        </w:tc>
      </w:tr>
      <w:tr w:rsidR="004E10C1" w:rsidRPr="0044524F" w14:paraId="7BA826CC" w14:textId="77777777">
        <w:tc>
          <w:tcPr>
            <w:tcW w:w="3757" w:type="dxa"/>
          </w:tcPr>
          <w:p w14:paraId="5B43B0E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Для сбрасывания вооружения</w:t>
            </w:r>
          </w:p>
        </w:tc>
        <w:tc>
          <w:tcPr>
            <w:tcW w:w="3757" w:type="dxa"/>
          </w:tcPr>
          <w:p w14:paraId="4EE67F2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 шт.</w:t>
            </w:r>
          </w:p>
        </w:tc>
      </w:tr>
      <w:tr w:rsidR="004E10C1" w:rsidRPr="0044524F" w14:paraId="5B776D27" w14:textId="77777777">
        <w:tc>
          <w:tcPr>
            <w:tcW w:w="3757" w:type="dxa"/>
          </w:tcPr>
          <w:p w14:paraId="7CE54C1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Для сбрасывания термосов</w:t>
            </w:r>
          </w:p>
        </w:tc>
        <w:tc>
          <w:tcPr>
            <w:tcW w:w="3757" w:type="dxa"/>
          </w:tcPr>
          <w:p w14:paraId="03A491B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 шт.</w:t>
            </w:r>
          </w:p>
        </w:tc>
      </w:tr>
      <w:tr w:rsidR="004E10C1" w:rsidRPr="0044524F" w14:paraId="64E375E6" w14:textId="77777777">
        <w:tc>
          <w:tcPr>
            <w:tcW w:w="3757" w:type="dxa"/>
          </w:tcPr>
          <w:p w14:paraId="0FA3502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Для сбрасывания мотоциклов</w:t>
            </w:r>
          </w:p>
        </w:tc>
        <w:tc>
          <w:tcPr>
            <w:tcW w:w="3757" w:type="dxa"/>
          </w:tcPr>
          <w:p w14:paraId="0747B47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 шт.</w:t>
            </w:r>
          </w:p>
        </w:tc>
      </w:tr>
      <w:tr w:rsidR="004E10C1" w:rsidRPr="0044524F" w14:paraId="4389E667" w14:textId="77777777">
        <w:tc>
          <w:tcPr>
            <w:tcW w:w="3757" w:type="dxa"/>
          </w:tcPr>
          <w:p w14:paraId="052EE0A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Для сбрасывания автомоб. и танкет.</w:t>
            </w:r>
          </w:p>
        </w:tc>
        <w:tc>
          <w:tcPr>
            <w:tcW w:w="3757" w:type="dxa"/>
          </w:tcPr>
          <w:p w14:paraId="726C65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 шт.</w:t>
            </w:r>
          </w:p>
        </w:tc>
      </w:tr>
      <w:tr w:rsidR="004E10C1" w:rsidRPr="0044524F" w14:paraId="5C08FA9F" w14:textId="77777777">
        <w:tc>
          <w:tcPr>
            <w:tcW w:w="3757" w:type="dxa"/>
          </w:tcPr>
          <w:p w14:paraId="1C58C62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Для сбрасывания баков горючего</w:t>
            </w:r>
          </w:p>
        </w:tc>
        <w:tc>
          <w:tcPr>
            <w:tcW w:w="3757" w:type="dxa"/>
          </w:tcPr>
          <w:p w14:paraId="14B76E2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 шт.</w:t>
            </w:r>
          </w:p>
        </w:tc>
      </w:tr>
    </w:tbl>
    <w:p w14:paraId="5F8391A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1932 года по заявкам, составленным на основании указанных выше распоряжений через 5 управление штаба РККА был установлен размер заказа по объектам Гроховского для промышленности на 1933 год. При этом установленое для заказа количество было значительно меньше приводимых выше цифр.</w:t>
      </w:r>
    </w:p>
    <w:p w14:paraId="5577C97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результатах гос. испытаний объектов ОКПБ ВВС</w:t>
      </w:r>
    </w:p>
    <w:p w14:paraId="6F781E6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испытания с 19 сентября по 5 октября 1932 года.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19"/>
        <w:gridCol w:w="4820"/>
      </w:tblGrid>
      <w:tr w:rsidR="004E10C1" w:rsidRPr="0044524F" w14:paraId="58C20AF9" w14:textId="77777777">
        <w:tc>
          <w:tcPr>
            <w:tcW w:w="4219" w:type="dxa"/>
          </w:tcPr>
          <w:p w14:paraId="6E348A7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объектов</w:t>
            </w:r>
          </w:p>
        </w:tc>
        <w:tc>
          <w:tcPr>
            <w:tcW w:w="4820" w:type="dxa"/>
          </w:tcPr>
          <w:p w14:paraId="70B1316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испытаний</w:t>
            </w:r>
          </w:p>
        </w:tc>
      </w:tr>
      <w:tr w:rsidR="004E10C1" w:rsidRPr="0044524F" w14:paraId="5D99DB03" w14:textId="77777777">
        <w:tc>
          <w:tcPr>
            <w:tcW w:w="4219" w:type="dxa"/>
          </w:tcPr>
          <w:p w14:paraId="272BCD5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16-ти местная кабина под ТБ1</w:t>
            </w:r>
          </w:p>
        </w:tc>
        <w:tc>
          <w:tcPr>
            <w:tcW w:w="4820" w:type="dxa"/>
          </w:tcPr>
          <w:p w14:paraId="56718F7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ВВС с</w:t>
            </w:r>
          </w:p>
        </w:tc>
      </w:tr>
      <w:tr w:rsidR="004E10C1" w:rsidRPr="0044524F" w14:paraId="682F9021" w14:textId="77777777">
        <w:tc>
          <w:tcPr>
            <w:tcW w:w="4219" w:type="dxa"/>
          </w:tcPr>
          <w:p w14:paraId="7273FBE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69473E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устранением в серийном производстве</w:t>
            </w:r>
          </w:p>
        </w:tc>
      </w:tr>
      <w:tr w:rsidR="004E10C1" w:rsidRPr="0044524F" w14:paraId="17C34199" w14:textId="77777777">
        <w:tc>
          <w:tcPr>
            <w:tcW w:w="4219" w:type="dxa"/>
          </w:tcPr>
          <w:p w14:paraId="03B91DB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FB5427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указанных комиссией дефектов.</w:t>
            </w:r>
          </w:p>
        </w:tc>
      </w:tr>
      <w:tr w:rsidR="004E10C1" w:rsidRPr="0044524F" w14:paraId="6CCBC4B6" w14:textId="77777777">
        <w:tc>
          <w:tcPr>
            <w:tcW w:w="4219" w:type="dxa"/>
          </w:tcPr>
          <w:p w14:paraId="38B83BF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25-ти метровый парашют для грузов до 1000 кг</w:t>
            </w:r>
          </w:p>
        </w:tc>
        <w:tc>
          <w:tcPr>
            <w:tcW w:w="4820" w:type="dxa"/>
          </w:tcPr>
          <w:p w14:paraId="0EE11AB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ВВС.</w:t>
            </w:r>
          </w:p>
        </w:tc>
      </w:tr>
      <w:tr w:rsidR="004E10C1" w:rsidRPr="0044524F" w14:paraId="3F831B83" w14:textId="77777777">
        <w:tc>
          <w:tcPr>
            <w:tcW w:w="4219" w:type="dxa"/>
          </w:tcPr>
          <w:p w14:paraId="6046643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30-ти метровый парашют для грузов до 1250 кг</w:t>
            </w:r>
          </w:p>
        </w:tc>
        <w:tc>
          <w:tcPr>
            <w:tcW w:w="4820" w:type="dxa"/>
          </w:tcPr>
          <w:p w14:paraId="077F739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и допустить</w:t>
            </w:r>
          </w:p>
        </w:tc>
      </w:tr>
      <w:tr w:rsidR="004E10C1" w:rsidRPr="0044524F" w14:paraId="48545185" w14:textId="77777777">
        <w:tc>
          <w:tcPr>
            <w:tcW w:w="4219" w:type="dxa"/>
          </w:tcPr>
          <w:p w14:paraId="23C3436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4FCFBC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войсковым испытаниям.</w:t>
            </w:r>
          </w:p>
        </w:tc>
      </w:tr>
      <w:tr w:rsidR="004E10C1" w:rsidRPr="0044524F" w14:paraId="530813A2" w14:textId="77777777">
        <w:tc>
          <w:tcPr>
            <w:tcW w:w="4219" w:type="dxa"/>
          </w:tcPr>
          <w:p w14:paraId="65C82C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Парашютная подвеска автомобиля Форд</w:t>
            </w:r>
          </w:p>
        </w:tc>
        <w:tc>
          <w:tcPr>
            <w:tcW w:w="4820" w:type="dxa"/>
          </w:tcPr>
          <w:p w14:paraId="4B673FD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устранением указанных дефектов</w:t>
            </w:r>
          </w:p>
        </w:tc>
      </w:tr>
      <w:tr w:rsidR="004E10C1" w:rsidRPr="0044524F" w14:paraId="72CB02C1" w14:textId="77777777">
        <w:tc>
          <w:tcPr>
            <w:tcW w:w="4219" w:type="dxa"/>
          </w:tcPr>
          <w:p w14:paraId="77E61E7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22BBBA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и передать</w:t>
            </w:r>
          </w:p>
        </w:tc>
      </w:tr>
      <w:tr w:rsidR="004E10C1" w:rsidRPr="0044524F" w14:paraId="7652E3A5" w14:textId="77777777">
        <w:tc>
          <w:tcPr>
            <w:tcW w:w="4219" w:type="dxa"/>
          </w:tcPr>
          <w:p w14:paraId="7135A77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265614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войсковые испытания.</w:t>
            </w:r>
          </w:p>
        </w:tc>
      </w:tr>
      <w:tr w:rsidR="004E10C1" w:rsidRPr="0044524F" w14:paraId="7CCA1445" w14:textId="77777777">
        <w:tc>
          <w:tcPr>
            <w:tcW w:w="4219" w:type="dxa"/>
          </w:tcPr>
          <w:p w14:paraId="64F429E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Парашютная подвеска полкового орудия</w:t>
            </w:r>
          </w:p>
        </w:tc>
        <w:tc>
          <w:tcPr>
            <w:tcW w:w="4820" w:type="dxa"/>
          </w:tcPr>
          <w:p w14:paraId="05F756D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и допустить</w:t>
            </w:r>
          </w:p>
        </w:tc>
      </w:tr>
      <w:tr w:rsidR="004E10C1" w:rsidRPr="0044524F" w14:paraId="122FD505" w14:textId="77777777">
        <w:tc>
          <w:tcPr>
            <w:tcW w:w="4219" w:type="dxa"/>
          </w:tcPr>
          <w:p w14:paraId="6F78896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E3D569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войсковым испытаниям;</w:t>
            </w:r>
          </w:p>
        </w:tc>
      </w:tr>
      <w:tr w:rsidR="004E10C1" w:rsidRPr="0044524F" w14:paraId="5911BD9D" w14:textId="77777777">
        <w:tc>
          <w:tcPr>
            <w:tcW w:w="4219" w:type="dxa"/>
          </w:tcPr>
          <w:p w14:paraId="500BE58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37135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проработать вопрос автоматической</w:t>
            </w:r>
          </w:p>
        </w:tc>
      </w:tr>
      <w:tr w:rsidR="004E10C1" w:rsidRPr="0044524F" w14:paraId="785718CF" w14:textId="77777777">
        <w:tc>
          <w:tcPr>
            <w:tcW w:w="4219" w:type="dxa"/>
          </w:tcPr>
          <w:p w14:paraId="18A407C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7CB2BA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отцепки парашютов.</w:t>
            </w:r>
          </w:p>
        </w:tc>
      </w:tr>
      <w:tr w:rsidR="004E10C1" w:rsidRPr="0044524F" w14:paraId="4F8A4800" w14:textId="77777777">
        <w:tc>
          <w:tcPr>
            <w:tcW w:w="4219" w:type="dxa"/>
          </w:tcPr>
          <w:p w14:paraId="405FA74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Парашютная подвеска одиночного мотоцикла</w:t>
            </w:r>
          </w:p>
        </w:tc>
        <w:tc>
          <w:tcPr>
            <w:tcW w:w="4820" w:type="dxa"/>
          </w:tcPr>
          <w:p w14:paraId="30A1F03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A40D7F6" w14:textId="77777777">
        <w:tc>
          <w:tcPr>
            <w:tcW w:w="4219" w:type="dxa"/>
          </w:tcPr>
          <w:p w14:paraId="06F8FAC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Харлей-Давидсон</w:t>
            </w:r>
          </w:p>
        </w:tc>
        <w:tc>
          <w:tcPr>
            <w:tcW w:w="4820" w:type="dxa"/>
          </w:tcPr>
          <w:p w14:paraId="18BA32F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ВВС.</w:t>
            </w:r>
          </w:p>
        </w:tc>
      </w:tr>
      <w:tr w:rsidR="004E10C1" w:rsidRPr="0044524F" w14:paraId="70D1FBD7" w14:textId="77777777">
        <w:tc>
          <w:tcPr>
            <w:tcW w:w="4219" w:type="dxa"/>
          </w:tcPr>
          <w:p w14:paraId="64A9C9B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Парашютная подвеска мотоцикла с коляской</w:t>
            </w:r>
          </w:p>
        </w:tc>
        <w:tc>
          <w:tcPr>
            <w:tcW w:w="4820" w:type="dxa"/>
          </w:tcPr>
          <w:p w14:paraId="60AD3B8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Допустить</w:t>
            </w:r>
          </w:p>
        </w:tc>
      </w:tr>
      <w:tr w:rsidR="004E10C1" w:rsidRPr="0044524F" w14:paraId="24D7D384" w14:textId="77777777">
        <w:tc>
          <w:tcPr>
            <w:tcW w:w="4219" w:type="dxa"/>
          </w:tcPr>
          <w:p w14:paraId="42B757B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EAD2E5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войсковым испытаниям. Желательно</w:t>
            </w:r>
          </w:p>
        </w:tc>
      </w:tr>
      <w:tr w:rsidR="004E10C1" w:rsidRPr="0044524F" w14:paraId="4B4117F8" w14:textId="77777777">
        <w:tc>
          <w:tcPr>
            <w:tcW w:w="4219" w:type="dxa"/>
          </w:tcPr>
          <w:p w14:paraId="06DA37D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C9DC2A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дальнейшее облегчение установки.</w:t>
            </w:r>
          </w:p>
        </w:tc>
      </w:tr>
      <w:tr w:rsidR="004E10C1" w:rsidRPr="0044524F" w14:paraId="0BDFC5FA" w14:textId="77777777">
        <w:tc>
          <w:tcPr>
            <w:tcW w:w="4219" w:type="dxa"/>
          </w:tcPr>
          <w:p w14:paraId="1B4171D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Парашютная подвеска для танкетки</w:t>
            </w:r>
          </w:p>
        </w:tc>
        <w:tc>
          <w:tcPr>
            <w:tcW w:w="4820" w:type="dxa"/>
          </w:tcPr>
          <w:p w14:paraId="38B827E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4B438B1" w14:textId="77777777">
        <w:tc>
          <w:tcPr>
            <w:tcW w:w="4219" w:type="dxa"/>
          </w:tcPr>
          <w:p w14:paraId="22BAC15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английского образца</w:t>
            </w:r>
          </w:p>
        </w:tc>
        <w:tc>
          <w:tcPr>
            <w:tcW w:w="4820" w:type="dxa"/>
          </w:tcPr>
          <w:p w14:paraId="7198F9C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и допустить</w:t>
            </w:r>
          </w:p>
        </w:tc>
      </w:tr>
      <w:tr w:rsidR="004E10C1" w:rsidRPr="0044524F" w14:paraId="04572992" w14:textId="77777777">
        <w:tc>
          <w:tcPr>
            <w:tcW w:w="4219" w:type="dxa"/>
          </w:tcPr>
          <w:p w14:paraId="60EFA4A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48CB05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войсковым испытаниям. Устранить</w:t>
            </w:r>
          </w:p>
        </w:tc>
      </w:tr>
      <w:tr w:rsidR="004E10C1" w:rsidRPr="0044524F" w14:paraId="6B1FEAA8" w14:textId="77777777">
        <w:tc>
          <w:tcPr>
            <w:tcW w:w="4219" w:type="dxa"/>
          </w:tcPr>
          <w:p w14:paraId="1EE27F9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245642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указанные комиссией дефекты.</w:t>
            </w:r>
          </w:p>
        </w:tc>
      </w:tr>
      <w:tr w:rsidR="004E10C1" w:rsidRPr="0044524F" w14:paraId="26E64349" w14:textId="77777777">
        <w:tc>
          <w:tcPr>
            <w:tcW w:w="4219" w:type="dxa"/>
          </w:tcPr>
          <w:p w14:paraId="427A1BC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187842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проработать вопрос</w:t>
            </w:r>
          </w:p>
        </w:tc>
      </w:tr>
      <w:tr w:rsidR="004E10C1" w:rsidRPr="0044524F" w14:paraId="78B6A33E" w14:textId="77777777">
        <w:tc>
          <w:tcPr>
            <w:tcW w:w="4219" w:type="dxa"/>
          </w:tcPr>
          <w:p w14:paraId="6AAFFCF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C8796F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автоматической отцепки парашюта.</w:t>
            </w:r>
          </w:p>
        </w:tc>
      </w:tr>
      <w:tr w:rsidR="004E10C1" w:rsidRPr="0044524F" w14:paraId="7F98AC67" w14:textId="77777777">
        <w:tc>
          <w:tcPr>
            <w:tcW w:w="4219" w:type="dxa"/>
          </w:tcPr>
          <w:p w14:paraId="11A17FE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Малый авиабус под самолет Р-5</w:t>
            </w:r>
          </w:p>
        </w:tc>
        <w:tc>
          <w:tcPr>
            <w:tcW w:w="4820" w:type="dxa"/>
          </w:tcPr>
          <w:p w14:paraId="7BB5916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Допустить на вооружение ВВС и к</w:t>
            </w:r>
          </w:p>
        </w:tc>
      </w:tr>
      <w:tr w:rsidR="004E10C1" w:rsidRPr="0044524F" w14:paraId="4B2BEB77" w14:textId="77777777">
        <w:tc>
          <w:tcPr>
            <w:tcW w:w="4219" w:type="dxa"/>
          </w:tcPr>
          <w:p w14:paraId="1F1AF96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8DEECB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серийной постройке.</w:t>
            </w:r>
          </w:p>
        </w:tc>
      </w:tr>
      <w:tr w:rsidR="004E10C1" w:rsidRPr="0044524F" w14:paraId="0383C95D" w14:textId="77777777">
        <w:tc>
          <w:tcPr>
            <w:tcW w:w="4219" w:type="dxa"/>
          </w:tcPr>
          <w:p w14:paraId="6EF51CE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Авиабусная площадка под самолет ТБ-1</w:t>
            </w:r>
          </w:p>
        </w:tc>
        <w:tc>
          <w:tcPr>
            <w:tcW w:w="4820" w:type="dxa"/>
          </w:tcPr>
          <w:p w14:paraId="4C62C09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и допустить</w:t>
            </w:r>
          </w:p>
        </w:tc>
      </w:tr>
      <w:tr w:rsidR="004E10C1" w:rsidRPr="0044524F" w14:paraId="2DE2F338" w14:textId="77777777">
        <w:tc>
          <w:tcPr>
            <w:tcW w:w="4219" w:type="dxa"/>
          </w:tcPr>
          <w:p w14:paraId="71D09A1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AB49C7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войсковым испытаниям.</w:t>
            </w:r>
          </w:p>
        </w:tc>
      </w:tr>
      <w:tr w:rsidR="004E10C1" w:rsidRPr="0044524F" w14:paraId="676FD9FE" w14:textId="77777777">
        <w:tc>
          <w:tcPr>
            <w:tcW w:w="4219" w:type="dxa"/>
          </w:tcPr>
          <w:p w14:paraId="7699867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Раскидыватель телефонного провода</w:t>
            </w:r>
          </w:p>
        </w:tc>
        <w:tc>
          <w:tcPr>
            <w:tcW w:w="4820" w:type="dxa"/>
          </w:tcPr>
          <w:p w14:paraId="7AC80B8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и передать на</w:t>
            </w:r>
          </w:p>
        </w:tc>
      </w:tr>
      <w:tr w:rsidR="004E10C1" w:rsidRPr="0044524F" w14:paraId="1C99F106" w14:textId="77777777">
        <w:tc>
          <w:tcPr>
            <w:tcW w:w="4219" w:type="dxa"/>
          </w:tcPr>
          <w:p w14:paraId="490AC0E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C978A1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широкие войсковые исптыания.</w:t>
            </w:r>
          </w:p>
        </w:tc>
      </w:tr>
      <w:tr w:rsidR="004E10C1" w:rsidRPr="0044524F" w14:paraId="6CF4749B" w14:textId="77777777">
        <w:tc>
          <w:tcPr>
            <w:tcW w:w="4219" w:type="dxa"/>
          </w:tcPr>
          <w:p w14:paraId="58C0240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Мягкий мешок с парашютом</w:t>
            </w:r>
          </w:p>
        </w:tc>
        <w:tc>
          <w:tcPr>
            <w:tcW w:w="4820" w:type="dxa"/>
          </w:tcPr>
          <w:p w14:paraId="5E33313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и допустить</w:t>
            </w:r>
          </w:p>
        </w:tc>
      </w:tr>
      <w:tr w:rsidR="004E10C1" w:rsidRPr="0044524F" w14:paraId="2BDAD8C2" w14:textId="77777777">
        <w:tc>
          <w:tcPr>
            <w:tcW w:w="4219" w:type="dxa"/>
          </w:tcPr>
          <w:p w14:paraId="792A45C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5C4040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постройке войсковой серии.</w:t>
            </w:r>
          </w:p>
        </w:tc>
      </w:tr>
      <w:tr w:rsidR="004E10C1" w:rsidRPr="0044524F" w14:paraId="5D2290BA" w14:textId="77777777">
        <w:tc>
          <w:tcPr>
            <w:tcW w:w="4219" w:type="dxa"/>
          </w:tcPr>
          <w:p w14:paraId="05BA530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Круглые цилиндры с парашютами</w:t>
            </w:r>
          </w:p>
        </w:tc>
        <w:tc>
          <w:tcPr>
            <w:tcW w:w="4820" w:type="dxa"/>
          </w:tcPr>
          <w:p w14:paraId="580F46F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Устранить</w:t>
            </w:r>
          </w:p>
        </w:tc>
      </w:tr>
      <w:tr w:rsidR="004E10C1" w:rsidRPr="0044524F" w14:paraId="785DF09A" w14:textId="77777777">
        <w:tc>
          <w:tcPr>
            <w:tcW w:w="4219" w:type="dxa"/>
          </w:tcPr>
          <w:p w14:paraId="12171A5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B5A759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отмеченные дефекты.</w:t>
            </w:r>
          </w:p>
        </w:tc>
      </w:tr>
      <w:tr w:rsidR="004E10C1" w:rsidRPr="0044524F" w14:paraId="004397D0" w14:textId="77777777">
        <w:tc>
          <w:tcPr>
            <w:tcW w:w="4219" w:type="dxa"/>
          </w:tcPr>
          <w:p w14:paraId="46E4407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Бензиномасляные баки с парашютами</w:t>
            </w:r>
          </w:p>
        </w:tc>
        <w:tc>
          <w:tcPr>
            <w:tcW w:w="4820" w:type="dxa"/>
          </w:tcPr>
          <w:p w14:paraId="3D8A5DF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w:t>
            </w:r>
          </w:p>
        </w:tc>
      </w:tr>
      <w:tr w:rsidR="004E10C1" w:rsidRPr="0044524F" w14:paraId="4A3DE2E5" w14:textId="77777777">
        <w:tc>
          <w:tcPr>
            <w:tcW w:w="4219" w:type="dxa"/>
          </w:tcPr>
          <w:p w14:paraId="3C23BA3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Клеть для сбрасывания грузов с парашютом</w:t>
            </w:r>
          </w:p>
        </w:tc>
        <w:tc>
          <w:tcPr>
            <w:tcW w:w="4820" w:type="dxa"/>
          </w:tcPr>
          <w:p w14:paraId="41AAA30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и передать на</w:t>
            </w:r>
          </w:p>
        </w:tc>
      </w:tr>
      <w:tr w:rsidR="004E10C1" w:rsidRPr="0044524F" w14:paraId="4DE33502" w14:textId="77777777">
        <w:tc>
          <w:tcPr>
            <w:tcW w:w="4219" w:type="dxa"/>
          </w:tcPr>
          <w:p w14:paraId="4336355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1AA509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войсковые исптыания. Устранить</w:t>
            </w:r>
          </w:p>
        </w:tc>
      </w:tr>
      <w:tr w:rsidR="004E10C1" w:rsidRPr="0044524F" w14:paraId="493F1DF7" w14:textId="77777777">
        <w:tc>
          <w:tcPr>
            <w:tcW w:w="4219" w:type="dxa"/>
          </w:tcPr>
          <w:p w14:paraId="20755A6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1190E1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указанные дефекты.</w:t>
            </w:r>
          </w:p>
        </w:tc>
      </w:tr>
      <w:tr w:rsidR="004E10C1" w:rsidRPr="0044524F" w14:paraId="115B52B6" w14:textId="77777777">
        <w:tc>
          <w:tcPr>
            <w:tcW w:w="4219" w:type="dxa"/>
          </w:tcPr>
          <w:p w14:paraId="156D65C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Вышки для тренировки парашютистов</w:t>
            </w:r>
          </w:p>
        </w:tc>
        <w:tc>
          <w:tcPr>
            <w:tcW w:w="4820" w:type="dxa"/>
          </w:tcPr>
          <w:p w14:paraId="20E5222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ВВС.</w:t>
            </w:r>
          </w:p>
        </w:tc>
      </w:tr>
      <w:tr w:rsidR="004E10C1" w:rsidRPr="0044524F" w14:paraId="37CE4233" w14:textId="77777777">
        <w:tc>
          <w:tcPr>
            <w:tcW w:w="4219" w:type="dxa"/>
          </w:tcPr>
          <w:p w14:paraId="7780DA3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Ударная агитбомба</w:t>
            </w:r>
          </w:p>
        </w:tc>
        <w:tc>
          <w:tcPr>
            <w:tcW w:w="4820" w:type="dxa"/>
          </w:tcPr>
          <w:p w14:paraId="254088D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ВВС и</w:t>
            </w:r>
          </w:p>
        </w:tc>
      </w:tr>
      <w:tr w:rsidR="004E10C1" w:rsidRPr="0044524F" w14:paraId="0127968C" w14:textId="77777777">
        <w:tc>
          <w:tcPr>
            <w:tcW w:w="4219" w:type="dxa"/>
          </w:tcPr>
          <w:p w14:paraId="7ECE6AC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FE4373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Политуправления.</w:t>
            </w:r>
          </w:p>
        </w:tc>
      </w:tr>
      <w:tr w:rsidR="004E10C1" w:rsidRPr="0044524F" w14:paraId="63C979A1" w14:textId="77777777">
        <w:tc>
          <w:tcPr>
            <w:tcW w:w="4219" w:type="dxa"/>
          </w:tcPr>
          <w:p w14:paraId="66C7309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Вертикальная агит-мина</w:t>
            </w:r>
          </w:p>
        </w:tc>
        <w:tc>
          <w:tcPr>
            <w:tcW w:w="4820" w:type="dxa"/>
          </w:tcPr>
          <w:p w14:paraId="02A0898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Подлежит дальнейшей проработке.</w:t>
            </w:r>
          </w:p>
        </w:tc>
      </w:tr>
      <w:tr w:rsidR="004E10C1" w:rsidRPr="0044524F" w14:paraId="5B96759C" w14:textId="77777777">
        <w:tc>
          <w:tcPr>
            <w:tcW w:w="4219" w:type="dxa"/>
          </w:tcPr>
          <w:p w14:paraId="434BF10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Литературная агит-кассета</w:t>
            </w:r>
          </w:p>
        </w:tc>
        <w:tc>
          <w:tcPr>
            <w:tcW w:w="4820" w:type="dxa"/>
          </w:tcPr>
          <w:p w14:paraId="536B6F3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ВВС и</w:t>
            </w:r>
          </w:p>
        </w:tc>
      </w:tr>
      <w:tr w:rsidR="004E10C1" w:rsidRPr="0044524F" w14:paraId="61947EE6" w14:textId="77777777">
        <w:tc>
          <w:tcPr>
            <w:tcW w:w="4219" w:type="dxa"/>
          </w:tcPr>
          <w:p w14:paraId="362AB95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2015060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Политуправления с передачей на</w:t>
            </w:r>
          </w:p>
        </w:tc>
      </w:tr>
      <w:tr w:rsidR="004E10C1" w:rsidRPr="0044524F" w14:paraId="67142CFE" w14:textId="77777777">
        <w:tc>
          <w:tcPr>
            <w:tcW w:w="4219" w:type="dxa"/>
          </w:tcPr>
          <w:p w14:paraId="18D5274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450B3F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войсковые испытания.</w:t>
            </w:r>
          </w:p>
        </w:tc>
      </w:tr>
      <w:tr w:rsidR="004E10C1" w:rsidRPr="0044524F" w14:paraId="582631AC" w14:textId="77777777">
        <w:tc>
          <w:tcPr>
            <w:tcW w:w="4219" w:type="dxa"/>
          </w:tcPr>
          <w:p w14:paraId="0C0F039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Горизонтальная агит-кассета под ТБ-1</w:t>
            </w:r>
          </w:p>
        </w:tc>
        <w:tc>
          <w:tcPr>
            <w:tcW w:w="4820" w:type="dxa"/>
          </w:tcPr>
          <w:p w14:paraId="3708656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ВВС и</w:t>
            </w:r>
          </w:p>
        </w:tc>
      </w:tr>
      <w:tr w:rsidR="004E10C1" w:rsidRPr="0044524F" w14:paraId="61D70015" w14:textId="77777777">
        <w:tc>
          <w:tcPr>
            <w:tcW w:w="4219" w:type="dxa"/>
          </w:tcPr>
          <w:p w14:paraId="4C4C81D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2E1E776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Политуправления и допустить к</w:t>
            </w:r>
          </w:p>
        </w:tc>
      </w:tr>
      <w:tr w:rsidR="004E10C1" w:rsidRPr="0044524F" w14:paraId="7F43BB35" w14:textId="77777777">
        <w:tc>
          <w:tcPr>
            <w:tcW w:w="4219" w:type="dxa"/>
          </w:tcPr>
          <w:p w14:paraId="102B0DC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EBC779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войсковым испытаниям.</w:t>
            </w:r>
          </w:p>
        </w:tc>
      </w:tr>
      <w:tr w:rsidR="004E10C1" w:rsidRPr="0044524F" w14:paraId="08A5621A" w14:textId="77777777">
        <w:tc>
          <w:tcPr>
            <w:tcW w:w="4219" w:type="dxa"/>
          </w:tcPr>
          <w:p w14:paraId="6471CFA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Раскрывающаяся агитбомба</w:t>
            </w:r>
          </w:p>
        </w:tc>
        <w:tc>
          <w:tcPr>
            <w:tcW w:w="4820" w:type="dxa"/>
          </w:tcPr>
          <w:p w14:paraId="7D38D73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Дала неудовлетворительные результаты.</w:t>
            </w:r>
          </w:p>
        </w:tc>
      </w:tr>
      <w:tr w:rsidR="004E10C1" w:rsidRPr="0044524F" w14:paraId="49D7CD6E" w14:textId="77777777">
        <w:tc>
          <w:tcPr>
            <w:tcW w:w="4219" w:type="dxa"/>
          </w:tcPr>
          <w:p w14:paraId="4BB1428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A513E8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Подлежит дальнейшей проработке.</w:t>
            </w:r>
          </w:p>
        </w:tc>
      </w:tr>
      <w:tr w:rsidR="004E10C1" w:rsidRPr="0044524F" w14:paraId="6D4BC61A" w14:textId="77777777">
        <w:tc>
          <w:tcPr>
            <w:tcW w:w="4219" w:type="dxa"/>
          </w:tcPr>
          <w:p w14:paraId="76F0C46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Санитарная кабина под ТБ-1</w:t>
            </w:r>
          </w:p>
        </w:tc>
        <w:tc>
          <w:tcPr>
            <w:tcW w:w="4820" w:type="dxa"/>
          </w:tcPr>
          <w:p w14:paraId="0DAAD22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на снабжение при условии</w:t>
            </w:r>
          </w:p>
        </w:tc>
      </w:tr>
      <w:tr w:rsidR="004E10C1" w:rsidRPr="0044524F" w14:paraId="224BB0BE" w14:textId="77777777">
        <w:tc>
          <w:tcPr>
            <w:tcW w:w="4219" w:type="dxa"/>
          </w:tcPr>
          <w:p w14:paraId="0EFBC14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B3318C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устранения указанных дефектов и</w:t>
            </w:r>
          </w:p>
        </w:tc>
      </w:tr>
      <w:tr w:rsidR="004E10C1" w:rsidRPr="0044524F" w14:paraId="4CB14820" w14:textId="77777777">
        <w:tc>
          <w:tcPr>
            <w:tcW w:w="4219" w:type="dxa"/>
          </w:tcPr>
          <w:p w14:paraId="4CC8201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48425F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заменой системы крепления.</w:t>
            </w:r>
          </w:p>
        </w:tc>
      </w:tr>
      <w:tr w:rsidR="004E10C1" w:rsidRPr="0044524F" w14:paraId="59B8E303" w14:textId="77777777">
        <w:tc>
          <w:tcPr>
            <w:tcW w:w="4219" w:type="dxa"/>
          </w:tcPr>
          <w:p w14:paraId="4828D3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Экспериментальная 100 кг мина</w:t>
            </w:r>
          </w:p>
        </w:tc>
        <w:tc>
          <w:tcPr>
            <w:tcW w:w="4820" w:type="dxa"/>
          </w:tcPr>
          <w:p w14:paraId="615374E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Мина в предъявленном виде</w:t>
            </w:r>
          </w:p>
        </w:tc>
      </w:tr>
      <w:tr w:rsidR="004E10C1" w:rsidRPr="0044524F" w14:paraId="09DBC739" w14:textId="77777777">
        <w:tc>
          <w:tcPr>
            <w:tcW w:w="4219" w:type="dxa"/>
          </w:tcPr>
          <w:p w14:paraId="24E9D82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3A16703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практического применения иметь не</w:t>
            </w:r>
          </w:p>
        </w:tc>
      </w:tr>
      <w:tr w:rsidR="004E10C1" w:rsidRPr="0044524F" w14:paraId="2B47B115" w14:textId="77777777">
        <w:tc>
          <w:tcPr>
            <w:tcW w:w="4219" w:type="dxa"/>
          </w:tcPr>
          <w:p w14:paraId="4F7695F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13652BA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может. Необходимы дальнейшие</w:t>
            </w:r>
          </w:p>
        </w:tc>
      </w:tr>
      <w:tr w:rsidR="004E10C1" w:rsidRPr="0044524F" w14:paraId="04182AAC" w14:textId="77777777">
        <w:tc>
          <w:tcPr>
            <w:tcW w:w="4219" w:type="dxa"/>
          </w:tcPr>
          <w:p w14:paraId="7861343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41C132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в этой области.</w:t>
            </w:r>
          </w:p>
        </w:tc>
      </w:tr>
      <w:tr w:rsidR="004E10C1" w:rsidRPr="0044524F" w14:paraId="1A53D2D2" w14:textId="77777777">
        <w:tc>
          <w:tcPr>
            <w:tcW w:w="4219" w:type="dxa"/>
          </w:tcPr>
          <w:p w14:paraId="2E29B7F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12-ти метровый грузовой парашют</w:t>
            </w:r>
          </w:p>
        </w:tc>
        <w:tc>
          <w:tcPr>
            <w:tcW w:w="4820" w:type="dxa"/>
          </w:tcPr>
          <w:p w14:paraId="118444E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 с испытания как уже испытанный</w:t>
            </w:r>
          </w:p>
        </w:tc>
      </w:tr>
      <w:tr w:rsidR="004E10C1" w:rsidRPr="0044524F" w14:paraId="7A0FC5B4" w14:textId="77777777">
        <w:tc>
          <w:tcPr>
            <w:tcW w:w="4219" w:type="dxa"/>
          </w:tcPr>
          <w:p w14:paraId="1CCB7CA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457A25F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ВВС и принятый на снабжение в</w:t>
            </w:r>
          </w:p>
        </w:tc>
      </w:tr>
      <w:tr w:rsidR="004E10C1" w:rsidRPr="0044524F" w14:paraId="442BF6DA" w14:textId="77777777">
        <w:tc>
          <w:tcPr>
            <w:tcW w:w="4219" w:type="dxa"/>
          </w:tcPr>
          <w:p w14:paraId="4A207B1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B1EB5A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мае текущего года.</w:t>
            </w:r>
          </w:p>
        </w:tc>
      </w:tr>
      <w:tr w:rsidR="004E10C1" w:rsidRPr="0044524F" w14:paraId="23E3CA18" w14:textId="77777777">
        <w:tc>
          <w:tcPr>
            <w:tcW w:w="4219" w:type="dxa"/>
          </w:tcPr>
          <w:p w14:paraId="65A9D69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20-ти метровый грузовой парашют</w:t>
            </w:r>
          </w:p>
        </w:tc>
        <w:tc>
          <w:tcPr>
            <w:tcW w:w="4820" w:type="dxa"/>
          </w:tcPr>
          <w:p w14:paraId="3F9A776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 с испытания как уже испытанный</w:t>
            </w:r>
          </w:p>
        </w:tc>
      </w:tr>
      <w:tr w:rsidR="004E10C1" w:rsidRPr="0044524F" w14:paraId="652C5DF1" w14:textId="77777777">
        <w:tc>
          <w:tcPr>
            <w:tcW w:w="4219" w:type="dxa"/>
          </w:tcPr>
          <w:p w14:paraId="74CCB11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6BB3A0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ВВС и принятый на снабжение в</w:t>
            </w:r>
          </w:p>
        </w:tc>
      </w:tr>
      <w:tr w:rsidR="004E10C1" w:rsidRPr="0044524F" w14:paraId="5FE8DCBD" w14:textId="77777777">
        <w:tc>
          <w:tcPr>
            <w:tcW w:w="4219" w:type="dxa"/>
          </w:tcPr>
          <w:p w14:paraId="721CCA6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558EBCA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мае текущего года.</w:t>
            </w:r>
          </w:p>
        </w:tc>
      </w:tr>
      <w:tr w:rsidR="004E10C1" w:rsidRPr="0044524F" w14:paraId="2CC2870C" w14:textId="77777777">
        <w:tc>
          <w:tcPr>
            <w:tcW w:w="4219" w:type="dxa"/>
          </w:tcPr>
          <w:p w14:paraId="036918B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 местная кабина под ТБ-3</w:t>
            </w:r>
          </w:p>
        </w:tc>
        <w:tc>
          <w:tcPr>
            <w:tcW w:w="4820" w:type="dxa"/>
          </w:tcPr>
          <w:p w14:paraId="71E657C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испытана из-за отсутствия ТБ-3.</w:t>
            </w:r>
          </w:p>
        </w:tc>
      </w:tr>
      <w:tr w:rsidR="004E10C1" w:rsidRPr="0044524F" w14:paraId="33D86C3A" w14:textId="77777777">
        <w:tc>
          <w:tcPr>
            <w:tcW w:w="4219" w:type="dxa"/>
          </w:tcPr>
          <w:p w14:paraId="3DC3A6B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 метровый парашют</w:t>
            </w:r>
          </w:p>
        </w:tc>
        <w:tc>
          <w:tcPr>
            <w:tcW w:w="4820" w:type="dxa"/>
          </w:tcPr>
          <w:p w14:paraId="15DF554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испытана из-за отсутствия ТБ-3.</w:t>
            </w:r>
          </w:p>
        </w:tc>
      </w:tr>
      <w:tr w:rsidR="004E10C1" w:rsidRPr="0044524F" w14:paraId="0D65DE52" w14:textId="77777777">
        <w:tc>
          <w:tcPr>
            <w:tcW w:w="4219" w:type="dxa"/>
          </w:tcPr>
          <w:p w14:paraId="10BCAD3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Буксируемый планер</w:t>
            </w:r>
          </w:p>
        </w:tc>
        <w:tc>
          <w:tcPr>
            <w:tcW w:w="4820" w:type="dxa"/>
          </w:tcPr>
          <w:p w14:paraId="314DB6A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 с испытаний из-за повреждений</w:t>
            </w:r>
          </w:p>
        </w:tc>
      </w:tr>
      <w:tr w:rsidR="004E10C1" w:rsidRPr="0044524F" w14:paraId="588D91CD" w14:textId="77777777">
        <w:tc>
          <w:tcPr>
            <w:tcW w:w="4219" w:type="dxa"/>
          </w:tcPr>
          <w:p w14:paraId="180EB09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699E25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испытаний.</w:t>
            </w:r>
          </w:p>
        </w:tc>
      </w:tr>
      <w:tr w:rsidR="004E10C1" w:rsidRPr="0044524F" w14:paraId="7621904D" w14:textId="77777777">
        <w:tc>
          <w:tcPr>
            <w:tcW w:w="4219" w:type="dxa"/>
          </w:tcPr>
          <w:p w14:paraId="4A1F500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Треугольный конус для воздушной стрельбы</w:t>
            </w:r>
          </w:p>
        </w:tc>
        <w:tc>
          <w:tcPr>
            <w:tcW w:w="4820" w:type="dxa"/>
          </w:tcPr>
          <w:p w14:paraId="2E4DB4E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 с испытания из-за неокончания</w:t>
            </w:r>
          </w:p>
        </w:tc>
      </w:tr>
      <w:tr w:rsidR="004E10C1" w:rsidRPr="0044524F" w14:paraId="583F7A13" w14:textId="77777777">
        <w:tc>
          <w:tcPr>
            <w:tcW w:w="4219" w:type="dxa"/>
          </w:tcPr>
          <w:p w14:paraId="00A9D56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E6BCA6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проработки.</w:t>
            </w:r>
          </w:p>
        </w:tc>
      </w:tr>
      <w:tr w:rsidR="004E10C1" w:rsidRPr="0044524F" w14:paraId="7AB4082C" w14:textId="77777777">
        <w:tc>
          <w:tcPr>
            <w:tcW w:w="4219" w:type="dxa"/>
          </w:tcPr>
          <w:p w14:paraId="163B0EE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Радио-танк и самолет</w:t>
            </w:r>
          </w:p>
        </w:tc>
        <w:tc>
          <w:tcPr>
            <w:tcW w:w="4820" w:type="dxa"/>
          </w:tcPr>
          <w:p w14:paraId="72B73D3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 с испытания из-за неокончания</w:t>
            </w:r>
          </w:p>
        </w:tc>
      </w:tr>
      <w:tr w:rsidR="004E10C1" w:rsidRPr="0044524F" w14:paraId="0459002D" w14:textId="77777777">
        <w:tc>
          <w:tcPr>
            <w:tcW w:w="4219" w:type="dxa"/>
          </w:tcPr>
          <w:p w14:paraId="67AA6BC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0FF6A65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проработки.</w:t>
            </w:r>
          </w:p>
        </w:tc>
      </w:tr>
      <w:tr w:rsidR="004E10C1" w:rsidRPr="0044524F" w14:paraId="76F1A242" w14:textId="77777777">
        <w:tc>
          <w:tcPr>
            <w:tcW w:w="4219" w:type="dxa"/>
          </w:tcPr>
          <w:p w14:paraId="65686F4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Переливка бензина в воздухе с Р-5 на ТБ1</w:t>
            </w:r>
          </w:p>
        </w:tc>
        <w:tc>
          <w:tcPr>
            <w:tcW w:w="4820" w:type="dxa"/>
          </w:tcPr>
          <w:p w14:paraId="7281C1B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испытано из-за низкой облачности</w:t>
            </w:r>
          </w:p>
        </w:tc>
      </w:tr>
      <w:tr w:rsidR="004E10C1" w:rsidRPr="0044524F" w14:paraId="33C2B04A" w14:textId="77777777">
        <w:tc>
          <w:tcPr>
            <w:tcW w:w="4219" w:type="dxa"/>
          </w:tcPr>
          <w:p w14:paraId="2EEAA5E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7AEB665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сильных ветров.</w:t>
            </w:r>
          </w:p>
        </w:tc>
      </w:tr>
      <w:tr w:rsidR="004E10C1" w:rsidRPr="0044524F" w14:paraId="635CCB0D" w14:textId="77777777">
        <w:tc>
          <w:tcPr>
            <w:tcW w:w="4219" w:type="dxa"/>
          </w:tcPr>
          <w:p w14:paraId="4EF1CAD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Дессантный парашют</w:t>
            </w:r>
          </w:p>
        </w:tc>
        <w:tc>
          <w:tcPr>
            <w:tcW w:w="4820" w:type="dxa"/>
          </w:tcPr>
          <w:p w14:paraId="2CFF90A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 с испытания из-за недоработки</w:t>
            </w:r>
          </w:p>
        </w:tc>
      </w:tr>
      <w:tr w:rsidR="004E10C1" w:rsidRPr="0044524F" w14:paraId="366A8BAB" w14:textId="77777777">
        <w:tc>
          <w:tcPr>
            <w:tcW w:w="4219" w:type="dxa"/>
          </w:tcPr>
          <w:p w14:paraId="79E6AC0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4820" w:type="dxa"/>
          </w:tcPr>
          <w:p w14:paraId="21618CF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конструкции (8853,125-127)</w:t>
            </w:r>
          </w:p>
        </w:tc>
      </w:tr>
    </w:tbl>
    <w:p w14:paraId="307CFD15"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0A196E" w14:textId="77777777" w:rsidR="00760051" w:rsidRPr="0044524F" w:rsidRDefault="0076005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октября 1933 г. комиссия под предсе</w:t>
      </w:r>
      <w:r w:rsidRPr="0044524F">
        <w:rPr>
          <w:rFonts w:ascii="Times New Roman" w:hAnsi="Times New Roman"/>
          <w:color w:val="000000" w:themeColor="text1"/>
          <w:sz w:val="16"/>
          <w:szCs w:val="16"/>
        </w:rPr>
        <w:softHyphen/>
        <w:t>дательством начальника ЦУ ЕГМС СССР про</w:t>
      </w:r>
      <w:r w:rsidRPr="0044524F">
        <w:rPr>
          <w:rFonts w:ascii="Times New Roman" w:hAnsi="Times New Roman"/>
          <w:color w:val="000000" w:themeColor="text1"/>
          <w:sz w:val="16"/>
          <w:szCs w:val="16"/>
        </w:rPr>
        <w:softHyphen/>
        <w:t>фессора А.Ф. Вангенгейма объявила, что она «на основании анализа всей совокупности дан</w:t>
      </w:r>
      <w:r w:rsidRPr="0044524F">
        <w:rPr>
          <w:rFonts w:ascii="Times New Roman" w:hAnsi="Times New Roman"/>
          <w:color w:val="000000" w:themeColor="text1"/>
          <w:sz w:val="16"/>
          <w:szCs w:val="16"/>
        </w:rPr>
        <w:softHyphen/>
        <w:t>ных о высоте подъёма — считает установлен</w:t>
      </w:r>
      <w:r w:rsidRPr="0044524F">
        <w:rPr>
          <w:rFonts w:ascii="Times New Roman" w:hAnsi="Times New Roman"/>
          <w:color w:val="000000" w:themeColor="text1"/>
          <w:sz w:val="16"/>
          <w:szCs w:val="16"/>
        </w:rPr>
        <w:softHyphen/>
        <w:t>ной максимальную высоту подъёма стратостата «СССР-1» 30 сентября 1933 г. в промежутке вре</w:t>
      </w:r>
      <w:r w:rsidRPr="0044524F">
        <w:rPr>
          <w:rFonts w:ascii="Times New Roman" w:hAnsi="Times New Roman"/>
          <w:color w:val="000000" w:themeColor="text1"/>
          <w:sz w:val="16"/>
          <w:szCs w:val="16"/>
        </w:rPr>
        <w:softHyphen/>
        <w:t>мени между 13 час. и 13 час. 20 мин. в 19 км над уровнем моря».</w:t>
      </w:r>
    </w:p>
    <w:p w14:paraId="3B7E66C1" w14:textId="77777777" w:rsidR="00760051" w:rsidRPr="0044524F" w:rsidRDefault="0076005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Пиккар болезненно воспринял успех «СССР-1» и публично отрицал достижение стратонавтами высоты 19 км, несмотря на то, что её определили не только по запломбированному барометру, но и тригонометрическими измерениями с земли.</w:t>
      </w:r>
    </w:p>
    <w:p w14:paraId="7B38D320" w14:textId="77777777" w:rsidR="00760051" w:rsidRPr="0044524F" w:rsidRDefault="0076005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подготовки к полёту учёные ГГО создали ряд научных приборов и мето</w:t>
      </w:r>
      <w:r w:rsidRPr="0044524F">
        <w:rPr>
          <w:rFonts w:ascii="Times New Roman" w:hAnsi="Times New Roman"/>
          <w:color w:val="000000" w:themeColor="text1"/>
          <w:sz w:val="16"/>
          <w:szCs w:val="16"/>
        </w:rPr>
        <w:softHyphen/>
        <w:t>дик. А.Б. Вериго разработал методику наблю</w:t>
      </w:r>
      <w:r w:rsidRPr="0044524F">
        <w:rPr>
          <w:rFonts w:ascii="Times New Roman" w:hAnsi="Times New Roman"/>
          <w:color w:val="000000" w:themeColor="text1"/>
          <w:sz w:val="16"/>
          <w:szCs w:val="16"/>
        </w:rPr>
        <w:softHyphen/>
        <w:t>дения над интенсивностью космических лучей, М.И. Гольцман сконструировал устройство для отбора проб воздуха атмосферы и создал мето</w:t>
      </w:r>
      <w:r w:rsidRPr="0044524F">
        <w:rPr>
          <w:rFonts w:ascii="Times New Roman" w:hAnsi="Times New Roman"/>
          <w:color w:val="000000" w:themeColor="text1"/>
          <w:sz w:val="16"/>
          <w:szCs w:val="16"/>
        </w:rPr>
        <w:softHyphen/>
        <w:t>дику определения влажности воздуха. П.А. Мол</w:t>
      </w:r>
      <w:r w:rsidRPr="0044524F">
        <w:rPr>
          <w:rFonts w:ascii="Times New Roman" w:hAnsi="Times New Roman"/>
          <w:color w:val="000000" w:themeColor="text1"/>
          <w:sz w:val="16"/>
          <w:szCs w:val="16"/>
        </w:rPr>
        <w:softHyphen/>
        <w:t>чанов изготовил метеорографы для регистрации температуры, давления и влажности воздуха, а также методику базисных наблюдений за по</w:t>
      </w:r>
      <w:r w:rsidRPr="0044524F">
        <w:rPr>
          <w:rFonts w:ascii="Times New Roman" w:hAnsi="Times New Roman"/>
          <w:color w:val="000000" w:themeColor="text1"/>
          <w:sz w:val="16"/>
          <w:szCs w:val="16"/>
        </w:rPr>
        <w:softHyphen/>
        <w:t>лётом. С.И. Савинов и В.Г. Третьяков разрабо</w:t>
      </w:r>
      <w:r w:rsidRPr="0044524F">
        <w:rPr>
          <w:rFonts w:ascii="Times New Roman" w:hAnsi="Times New Roman"/>
          <w:color w:val="000000" w:themeColor="text1"/>
          <w:sz w:val="16"/>
          <w:szCs w:val="16"/>
        </w:rPr>
        <w:softHyphen/>
        <w:t>тали специальные ртутные и легкожидкостные барометры и электрические платиновые термо</w:t>
      </w:r>
      <w:r w:rsidRPr="0044524F">
        <w:rPr>
          <w:rFonts w:ascii="Times New Roman" w:hAnsi="Times New Roman"/>
          <w:color w:val="000000" w:themeColor="text1"/>
          <w:sz w:val="16"/>
          <w:szCs w:val="16"/>
        </w:rPr>
        <w:softHyphen/>
        <w:t>метры для наблюдения давления и температуры. Н.Н. Калитин и Ю.Д. Янишевский создал мето</w:t>
      </w:r>
      <w:r w:rsidRPr="0044524F">
        <w:rPr>
          <w:rFonts w:ascii="Times New Roman" w:hAnsi="Times New Roman"/>
          <w:color w:val="000000" w:themeColor="text1"/>
          <w:sz w:val="16"/>
          <w:szCs w:val="16"/>
        </w:rPr>
        <w:softHyphen/>
        <w:t>дику и аппаратуру для наблюдения солнечной и рассеянной радиации, П.Н. Тверской и В.И. Ге</w:t>
      </w:r>
      <w:r w:rsidRPr="0044524F">
        <w:rPr>
          <w:rFonts w:ascii="Times New Roman" w:hAnsi="Times New Roman"/>
          <w:color w:val="000000" w:themeColor="text1"/>
          <w:sz w:val="16"/>
          <w:szCs w:val="16"/>
        </w:rPr>
        <w:softHyphen/>
        <w:t>расименко — аппаратуру для наблюдения над напряжённостью электрического поля и про</w:t>
      </w:r>
      <w:r w:rsidRPr="0044524F">
        <w:rPr>
          <w:rFonts w:ascii="Times New Roman" w:hAnsi="Times New Roman"/>
          <w:color w:val="000000" w:themeColor="text1"/>
          <w:sz w:val="16"/>
          <w:szCs w:val="16"/>
        </w:rPr>
        <w:softHyphen/>
        <w:t>водимостью атмосферы. Но большинство этих приборов в полёт не взяли, чтобы не перегрузить аэростат и сосредоточить внимание наблюдате</w:t>
      </w:r>
      <w:r w:rsidRPr="0044524F">
        <w:rPr>
          <w:rFonts w:ascii="Times New Roman" w:hAnsi="Times New Roman"/>
          <w:color w:val="000000" w:themeColor="text1"/>
          <w:sz w:val="16"/>
          <w:szCs w:val="16"/>
        </w:rPr>
        <w:softHyphen/>
        <w:t>лей на меньшем количестве приборов.</w:t>
      </w:r>
    </w:p>
    <w:p w14:paraId="4E086ABC" w14:textId="77777777" w:rsidR="00760051" w:rsidRPr="0044524F" w:rsidRDefault="0076005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Наблюдения над космическими лучами велись электрометрами Гесса (СССР) и Кольхёрстера (Германия). Их результаты хорошо коррелиро</w:t>
      </w:r>
      <w:r w:rsidRPr="0044524F">
        <w:rPr>
          <w:rFonts w:ascii="Times New Roman" w:hAnsi="Times New Roman"/>
          <w:color w:val="000000" w:themeColor="text1"/>
          <w:sz w:val="16"/>
          <w:szCs w:val="16"/>
        </w:rPr>
        <w:softHyphen/>
        <w:t>вали с данными, полученными Пиккаром32. От</w:t>
      </w:r>
      <w:r w:rsidRPr="0044524F">
        <w:rPr>
          <w:rFonts w:ascii="Times New Roman" w:hAnsi="Times New Roman"/>
          <w:color w:val="000000" w:themeColor="text1"/>
          <w:sz w:val="16"/>
          <w:szCs w:val="16"/>
        </w:rPr>
        <w:softHyphen/>
        <w:t>мечался рост интенсивность космического излу</w:t>
      </w:r>
      <w:r w:rsidRPr="0044524F">
        <w:rPr>
          <w:rFonts w:ascii="Times New Roman" w:hAnsi="Times New Roman"/>
          <w:color w:val="000000" w:themeColor="text1"/>
          <w:sz w:val="16"/>
          <w:szCs w:val="16"/>
        </w:rPr>
        <w:softHyphen/>
        <w:t>чения с высотой (на 17 000 м она почти в 200 раз превышала интенсивность на уровне моря), что ещё раз подтвердило гипотезу внеземного проис</w:t>
      </w:r>
      <w:r w:rsidRPr="0044524F">
        <w:rPr>
          <w:rFonts w:ascii="Times New Roman" w:hAnsi="Times New Roman"/>
          <w:color w:val="000000" w:themeColor="text1"/>
          <w:sz w:val="16"/>
          <w:szCs w:val="16"/>
        </w:rPr>
        <w:softHyphen/>
        <w:t>хождения космических лучей.</w:t>
      </w:r>
    </w:p>
    <w:p w14:paraId="33F38EBB" w14:textId="77777777" w:rsidR="00760051" w:rsidRPr="0044524F" w:rsidRDefault="0076005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Анализ проб воздуха, взятых приборами кон</w:t>
      </w:r>
      <w:r w:rsidRPr="0044524F">
        <w:rPr>
          <w:rFonts w:ascii="Times New Roman" w:hAnsi="Times New Roman"/>
          <w:color w:val="000000" w:themeColor="text1"/>
          <w:sz w:val="16"/>
          <w:szCs w:val="16"/>
        </w:rPr>
        <w:softHyphen/>
        <w:t>струкции М.И. Гольцмана, показал, что на вы</w:t>
      </w:r>
      <w:r w:rsidRPr="0044524F">
        <w:rPr>
          <w:rFonts w:ascii="Times New Roman" w:hAnsi="Times New Roman"/>
          <w:color w:val="000000" w:themeColor="text1"/>
          <w:sz w:val="16"/>
          <w:szCs w:val="16"/>
        </w:rPr>
        <w:softHyphen/>
        <w:t>соте 18000 м его состав мало отличается от при</w:t>
      </w:r>
      <w:r w:rsidRPr="0044524F">
        <w:rPr>
          <w:rFonts w:ascii="Times New Roman" w:hAnsi="Times New Roman"/>
          <w:color w:val="000000" w:themeColor="text1"/>
          <w:sz w:val="16"/>
          <w:szCs w:val="16"/>
        </w:rPr>
        <w:softHyphen/>
        <w:t>земного (78,13% азота, 20,95% кислорода и 0,92% аргона и инертных газов), что соответствовало результатам, полученным ещё в конце 90-х годов XIX в. Кальете (Франция). Близость состава стра</w:t>
      </w:r>
      <w:r w:rsidRPr="0044524F">
        <w:rPr>
          <w:rFonts w:ascii="Times New Roman" w:hAnsi="Times New Roman"/>
          <w:color w:val="000000" w:themeColor="text1"/>
          <w:sz w:val="16"/>
          <w:szCs w:val="16"/>
        </w:rPr>
        <w:softHyphen/>
        <w:t>тосферного и тропосферного воздуха означала возможность полётов в стратосфере аэропланов как с двигателями внутреннего сгорания (с ком</w:t>
      </w:r>
      <w:r w:rsidRPr="0044524F">
        <w:rPr>
          <w:rFonts w:ascii="Times New Roman" w:hAnsi="Times New Roman"/>
          <w:color w:val="000000" w:themeColor="text1"/>
          <w:sz w:val="16"/>
          <w:szCs w:val="16"/>
        </w:rPr>
        <w:softHyphen/>
        <w:t>прессорами), так и с воздушно-реактивными двигателями. Влажность стратосферного воздуха неожиданно оказалась меньше порога чувстви</w:t>
      </w:r>
      <w:r w:rsidRPr="0044524F">
        <w:rPr>
          <w:rFonts w:ascii="Times New Roman" w:hAnsi="Times New Roman"/>
          <w:color w:val="000000" w:themeColor="text1"/>
          <w:sz w:val="16"/>
          <w:szCs w:val="16"/>
        </w:rPr>
        <w:softHyphen/>
        <w:t>тельности метода её определения. Исследование работы температурных приёмников метеорогра</w:t>
      </w:r>
      <w:r w:rsidRPr="0044524F">
        <w:rPr>
          <w:rFonts w:ascii="Times New Roman" w:hAnsi="Times New Roman"/>
          <w:color w:val="000000" w:themeColor="text1"/>
          <w:sz w:val="16"/>
          <w:szCs w:val="16"/>
        </w:rPr>
        <w:softHyphen/>
        <w:t>фа позволило определить критерий эффектив</w:t>
      </w:r>
      <w:r w:rsidRPr="0044524F">
        <w:rPr>
          <w:rFonts w:ascii="Times New Roman" w:hAnsi="Times New Roman"/>
          <w:color w:val="000000" w:themeColor="text1"/>
          <w:sz w:val="16"/>
          <w:szCs w:val="16"/>
        </w:rPr>
        <w:softHyphen/>
        <w:t>ности вентиляционного потока воздуха (20120).</w:t>
      </w:r>
    </w:p>
    <w:p w14:paraId="21B76D02" w14:textId="77777777" w:rsidR="00760051" w:rsidRPr="0044524F" w:rsidRDefault="00760051" w:rsidP="009654CF">
      <w:pPr>
        <w:spacing w:after="0" w:line="240" w:lineRule="auto"/>
        <w:jc w:val="both"/>
        <w:rPr>
          <w:rFonts w:ascii="Times New Roman" w:hAnsi="Times New Roman"/>
          <w:color w:val="000000" w:themeColor="text1"/>
          <w:sz w:val="16"/>
          <w:szCs w:val="16"/>
        </w:rPr>
      </w:pPr>
    </w:p>
    <w:p w14:paraId="4605DFED" w14:textId="77777777" w:rsidR="00AA4C7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A6C6402" w14:textId="77777777" w:rsidR="00AA4C72" w:rsidRPr="0044524F" w:rsidRDefault="00AA4C7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B45838E" w14:textId="77777777" w:rsidR="00AA4C72" w:rsidRPr="0044524F" w:rsidRDefault="00AA4C72" w:rsidP="009654CF">
      <w:pPr>
        <w:pStyle w:val="rtejustify"/>
        <w:spacing w:before="0" w:after="0"/>
        <w:rPr>
          <w:color w:val="000000" w:themeColor="text1"/>
          <w:sz w:val="16"/>
          <w:szCs w:val="16"/>
        </w:rPr>
      </w:pPr>
      <w:r w:rsidRPr="0044524F">
        <w:rPr>
          <w:rStyle w:val="af0"/>
          <w:bCs/>
          <w:i w:val="0"/>
          <w:color w:val="000000" w:themeColor="text1"/>
          <w:sz w:val="16"/>
          <w:szCs w:val="16"/>
        </w:rPr>
        <w:t>16 октября 1933 вышел приказ НКТП № 175с.</w:t>
      </w:r>
      <w:r w:rsidRPr="0044524F">
        <w:rPr>
          <w:color w:val="000000" w:themeColor="text1"/>
          <w:sz w:val="16"/>
          <w:szCs w:val="16"/>
        </w:rPr>
        <w:t xml:space="preserve"> Об организации работ по гражданским предприятиям, имеющим узкооборонное значение, со стороны отраслевых главных управлений. (РГАЭ. Ф. 7297. Оп. 38. Д. 38. Л. 114) (15246).</w:t>
      </w:r>
    </w:p>
    <w:p w14:paraId="14D4CED5" w14:textId="77777777" w:rsidR="00AA4C72" w:rsidRPr="0044524F" w:rsidRDefault="00AA4C72" w:rsidP="009654CF">
      <w:pPr>
        <w:pStyle w:val="rtejustify"/>
        <w:spacing w:before="0" w:after="0"/>
        <w:rPr>
          <w:color w:val="000000" w:themeColor="text1"/>
          <w:sz w:val="16"/>
          <w:szCs w:val="16"/>
        </w:rPr>
      </w:pPr>
    </w:p>
    <w:p w14:paraId="430F789A" w14:textId="77777777" w:rsidR="00AA4C72" w:rsidRPr="0044524F" w:rsidRDefault="00AA4C72" w:rsidP="009654CF">
      <w:pPr>
        <w:pStyle w:val="rtejustify"/>
        <w:spacing w:before="0" w:after="0"/>
        <w:rPr>
          <w:color w:val="000000" w:themeColor="text1"/>
          <w:sz w:val="16"/>
          <w:szCs w:val="16"/>
        </w:rPr>
      </w:pPr>
      <w:r w:rsidRPr="0044524F">
        <w:rPr>
          <w:rStyle w:val="af0"/>
          <w:bCs/>
          <w:i w:val="0"/>
          <w:color w:val="000000" w:themeColor="text1"/>
          <w:sz w:val="16"/>
          <w:szCs w:val="16"/>
        </w:rPr>
        <w:t>16 октября 1933 вышел приказ НКТП № 177/сс.</w:t>
      </w:r>
      <w:r w:rsidRPr="0044524F">
        <w:rPr>
          <w:color w:val="000000" w:themeColor="text1"/>
          <w:sz w:val="16"/>
          <w:szCs w:val="16"/>
        </w:rPr>
        <w:t xml:space="preserve"> Об обеспечении внедрения нового технологического процесса по артсистемам 20</w:t>
      </w:r>
      <w:r w:rsidRPr="0044524F">
        <w:rPr>
          <w:color w:val="000000" w:themeColor="text1"/>
          <w:sz w:val="16"/>
          <w:szCs w:val="16"/>
        </w:rPr>
        <w:noBreakHyphen/>
        <w:t>К и 19</w:t>
      </w:r>
      <w:r w:rsidRPr="0044524F">
        <w:rPr>
          <w:color w:val="000000" w:themeColor="text1"/>
          <w:sz w:val="16"/>
          <w:szCs w:val="16"/>
        </w:rPr>
        <w:noBreakHyphen/>
        <w:t>К на заводе № 8. (РГАЭ. Ф. 7297. Оп. 38. Д. 38. Л. 117</w:t>
      </w:r>
      <w:r w:rsidRPr="0044524F">
        <w:rPr>
          <w:color w:val="000000" w:themeColor="text1"/>
          <w:sz w:val="16"/>
          <w:szCs w:val="16"/>
        </w:rPr>
        <w:noBreakHyphen/>
        <w:t>115) (15246).</w:t>
      </w:r>
    </w:p>
    <w:p w14:paraId="439280C4" w14:textId="77777777" w:rsidR="00AA4C72" w:rsidRPr="0044524F" w:rsidRDefault="00AA4C72" w:rsidP="009654CF">
      <w:pPr>
        <w:pStyle w:val="rtejustify"/>
        <w:spacing w:before="0" w:after="0"/>
        <w:rPr>
          <w:color w:val="000000" w:themeColor="text1"/>
          <w:sz w:val="16"/>
          <w:szCs w:val="16"/>
        </w:rPr>
      </w:pPr>
    </w:p>
    <w:p w14:paraId="6662AA5B"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22E4603"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440E2F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октября 1933 в УВВС у Нач. УМТС и В Жарова состоялось совещание по вопросу ТБ-3:</w:t>
      </w:r>
    </w:p>
    <w:p w14:paraId="784F092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0B1EC94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техусловий на М-34</w:t>
      </w:r>
    </w:p>
    <w:p w14:paraId="371D685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устранение дефектов</w:t>
      </w:r>
    </w:p>
    <w:p w14:paraId="7E39860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Дополнительно М-17 - 20 шт.</w:t>
      </w:r>
    </w:p>
    <w:p w14:paraId="7FD6ECD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крыльчатках М-34</w:t>
      </w:r>
    </w:p>
    <w:p w14:paraId="7348E68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 аэросанях</w:t>
      </w:r>
    </w:p>
    <w:p w14:paraId="4EC0643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 оборудованию для обслуживания ТБ-3 (2264).</w:t>
      </w:r>
    </w:p>
    <w:p w14:paraId="45D275F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6045D9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октября 1933 года был утвержден пом. нач. ГУАП как обязательный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4524F" w14:paraId="71075218" w14:textId="77777777">
        <w:tc>
          <w:tcPr>
            <w:tcW w:w="3757" w:type="dxa"/>
          </w:tcPr>
          <w:p w14:paraId="60877A6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w:t>
            </w:r>
          </w:p>
        </w:tc>
        <w:tc>
          <w:tcPr>
            <w:tcW w:w="3757" w:type="dxa"/>
          </w:tcPr>
          <w:p w14:paraId="486F36E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Глававиапром</w:t>
            </w:r>
          </w:p>
        </w:tc>
        <w:tc>
          <w:tcPr>
            <w:tcW w:w="3757" w:type="dxa"/>
          </w:tcPr>
          <w:p w14:paraId="6D9B11D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Объединенное бюро стандартизации (ОБСА)</w:t>
            </w:r>
          </w:p>
        </w:tc>
      </w:tr>
      <w:tr w:rsidR="004E10C1" w:rsidRPr="0044524F" w14:paraId="5D7ECD2B" w14:textId="77777777">
        <w:tc>
          <w:tcPr>
            <w:tcW w:w="3757" w:type="dxa"/>
          </w:tcPr>
          <w:p w14:paraId="40E5548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Ведомственный стандарт</w:t>
            </w:r>
          </w:p>
        </w:tc>
        <w:tc>
          <w:tcPr>
            <w:tcW w:w="3757" w:type="dxa"/>
          </w:tcPr>
          <w:p w14:paraId="38E8E25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93EE90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 СТУ</w:t>
            </w:r>
          </w:p>
        </w:tc>
      </w:tr>
      <w:tr w:rsidR="004E10C1" w:rsidRPr="0044524F" w14:paraId="679B2DAF" w14:textId="77777777">
        <w:tc>
          <w:tcPr>
            <w:tcW w:w="3757" w:type="dxa"/>
          </w:tcPr>
          <w:p w14:paraId="6491CEB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И-7 М-17</w:t>
            </w:r>
          </w:p>
        </w:tc>
        <w:tc>
          <w:tcPr>
            <w:tcW w:w="3757" w:type="dxa"/>
          </w:tcPr>
          <w:p w14:paraId="48B482D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00B968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16А (3100)</w:t>
            </w:r>
          </w:p>
        </w:tc>
      </w:tr>
      <w:tr w:rsidR="004E10C1" w:rsidRPr="0044524F" w14:paraId="61E93F8D" w14:textId="77777777">
        <w:tc>
          <w:tcPr>
            <w:tcW w:w="3757" w:type="dxa"/>
          </w:tcPr>
          <w:p w14:paraId="47346E9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w:t>
            </w:r>
          </w:p>
        </w:tc>
        <w:tc>
          <w:tcPr>
            <w:tcW w:w="3757" w:type="dxa"/>
          </w:tcPr>
          <w:p w14:paraId="41834C6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6517ECE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1-е издание</w:t>
            </w:r>
          </w:p>
        </w:tc>
      </w:tr>
    </w:tbl>
    <w:p w14:paraId="4C37DCF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20A8D2D"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октября 1933 г. для контроля за качеством самолетов И-7 М-17 помощник начальника ГУАП утвердил как обязательный со дня опубликования Ведомственный стандарт НКТП «Технические условия на самолет И-7 М-17 (24331).</w:t>
      </w:r>
    </w:p>
    <w:p w14:paraId="69D6B11D" w14:textId="77777777" w:rsidR="00AD0645" w:rsidRPr="0044524F" w:rsidRDefault="00AD0645" w:rsidP="009654CF">
      <w:pPr>
        <w:spacing w:after="0" w:line="240" w:lineRule="auto"/>
        <w:jc w:val="both"/>
        <w:rPr>
          <w:rFonts w:ascii="Times New Roman" w:hAnsi="Times New Roman"/>
          <w:color w:val="000000" w:themeColor="text1"/>
          <w:sz w:val="16"/>
          <w:szCs w:val="16"/>
        </w:rPr>
      </w:pPr>
    </w:p>
    <w:p w14:paraId="1623BF6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октября 1933 ЦИК и СНК вынесли постановление об обеспечении летно-подъемного состава ГВФ пенсиями за выслугу лет - 20 лет и более (438,658).</w:t>
      </w:r>
    </w:p>
    <w:p w14:paraId="7473831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E72D0A8" w14:textId="77777777" w:rsidR="003A1911" w:rsidRPr="0044524F" w:rsidRDefault="003A1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октября 1933 г. ЦИК и СНК Союза ССР вынесли постановление об обеспечении летно-подъемного состава ГВФ пенсиями за выслугу лет. Постановление было мотивировано растущей ролью гражданской авиации в народном хозяйстве и необходимостью обеспечения ГВФ квалвфицированным летко -подъемным со ставом. Пенсия назначалась лицам, оставивившим летную службу и проработавшим на ней не менее 20 лет. Размер пенсии устанавливался в зависимости от выслуги от 50 до 100% среднемесячного заработка однако, вскоре был ограничен 500 рублями.</w:t>
      </w:r>
    </w:p>
    <w:p w14:paraId="75BBB1B1" w14:textId="77777777" w:rsidR="003A1911" w:rsidRPr="0044524F" w:rsidRDefault="003A191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/Сборник законов 1938 г., отд.1, № 63, стр. 378/ (23370).</w:t>
      </w:r>
    </w:p>
    <w:p w14:paraId="3C9CCC63" w14:textId="77777777" w:rsidR="003A1911" w:rsidRPr="0044524F" w:rsidRDefault="003A1911" w:rsidP="009654CF">
      <w:pPr>
        <w:spacing w:after="0" w:line="240" w:lineRule="auto"/>
        <w:jc w:val="both"/>
        <w:rPr>
          <w:rFonts w:ascii="Times New Roman" w:hAnsi="Times New Roman"/>
          <w:color w:val="000000" w:themeColor="text1"/>
          <w:sz w:val="16"/>
          <w:szCs w:val="16"/>
        </w:rPr>
      </w:pPr>
    </w:p>
    <w:p w14:paraId="0E785EE0"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октября, 26 сентября и 16 декабря 1933 г. на НИАП АНИИ с пози</w:t>
      </w:r>
      <w:r w:rsidRPr="0044524F">
        <w:rPr>
          <w:rFonts w:ascii="Times New Roman" w:hAnsi="Times New Roman"/>
          <w:color w:val="000000" w:themeColor="text1"/>
          <w:sz w:val="16"/>
          <w:szCs w:val="16"/>
        </w:rPr>
        <w:softHyphen/>
        <w:t>ции 5600 м под руководством начальника 1 отдела ЛО РНИИ Л.Э.Швар</w:t>
      </w:r>
      <w:r w:rsidRPr="0044524F">
        <w:rPr>
          <w:rFonts w:ascii="Times New Roman" w:hAnsi="Times New Roman"/>
          <w:color w:val="000000" w:themeColor="text1"/>
          <w:sz w:val="16"/>
          <w:szCs w:val="16"/>
        </w:rPr>
        <w:softHyphen/>
        <w:t>ца отстреляли по 20 инертных образцов оперенных ракетных снарядов РС-82 модели 1367, изготовленных в мастерских ЛО РНИИ со стальным оперением размахом 235 мм, «для определения величин их рассеивания на дистанции 4000 м». Сопло боеприпаса с диаметром критического сечения 20,0 мм имело диаметр выходного сечения 45,0 мм. РЗ состоял из 28 шашек рецептуры ПТП габаритами 24/6-57,5 мм. Одна из них - разрезная. По торцам РЗ были расположены воспламенители из 6 г ДРП каж дый. Максимальная величина давления в камере работающего двига</w:t>
      </w:r>
      <w:r w:rsidRPr="0044524F">
        <w:rPr>
          <w:rFonts w:ascii="Times New Roman" w:hAnsi="Times New Roman"/>
          <w:color w:val="000000" w:themeColor="text1"/>
          <w:sz w:val="16"/>
          <w:szCs w:val="16"/>
        </w:rPr>
        <w:softHyphen/>
        <w:t>теля, по данным лабораторных измерений, составляла 300 кг/см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К единой стартовой массе инертные образцы снарядов привели за</w:t>
      </w:r>
      <w:r w:rsidRPr="0044524F">
        <w:rPr>
          <w:rFonts w:ascii="Times New Roman" w:hAnsi="Times New Roman"/>
          <w:color w:val="000000" w:themeColor="text1"/>
          <w:sz w:val="16"/>
          <w:szCs w:val="16"/>
        </w:rPr>
        <w:softHyphen/>
        <w:t>ливкой серы в корпуса БЧ. Выходное отверстие сопла было закрыто деревянной пробкой с отверстием для запальной гальванической трубки. Воспламеняли ее и РЗ, вырабатывая электроток при помощи индуктора. Испытатели отстреливали снаряды из пускового приспособления модели 1292, смонтированного на лафете горной пушки обр.1909 г., с уг</w:t>
      </w:r>
      <w:r w:rsidRPr="0044524F">
        <w:rPr>
          <w:rFonts w:ascii="Times New Roman" w:hAnsi="Times New Roman"/>
          <w:color w:val="000000" w:themeColor="text1"/>
          <w:sz w:val="16"/>
          <w:szCs w:val="16"/>
        </w:rPr>
        <w:softHyphen/>
        <w:t>лом возвышения 17° и 40°. Орудие наводили при помощи артиллерий</w:t>
      </w:r>
      <w:r w:rsidRPr="0044524F">
        <w:rPr>
          <w:rFonts w:ascii="Times New Roman" w:hAnsi="Times New Roman"/>
          <w:color w:val="000000" w:themeColor="text1"/>
          <w:sz w:val="16"/>
          <w:szCs w:val="16"/>
        </w:rPr>
        <w:softHyphen/>
        <w:t>ской панорамы и квадранта. Снаряды ложились довольно кучно. В сен</w:t>
      </w:r>
      <w:r w:rsidRPr="0044524F">
        <w:rPr>
          <w:rFonts w:ascii="Times New Roman" w:hAnsi="Times New Roman"/>
          <w:color w:val="000000" w:themeColor="text1"/>
          <w:sz w:val="16"/>
          <w:szCs w:val="16"/>
        </w:rPr>
        <w:softHyphen/>
        <w:t>тябре по 18 наблюдениям средняя дальность составила 3950 м. Оба от</w:t>
      </w:r>
      <w:r w:rsidRPr="0044524F">
        <w:rPr>
          <w:rFonts w:ascii="Times New Roman" w:hAnsi="Times New Roman"/>
          <w:color w:val="000000" w:themeColor="text1"/>
          <w:sz w:val="16"/>
          <w:szCs w:val="16"/>
        </w:rPr>
        <w:softHyphen/>
        <w:t>стрела РС-82 в 1933 г. дали удовлетворительное рассеивание по направ</w:t>
      </w:r>
      <w:r w:rsidRPr="0044524F">
        <w:rPr>
          <w:rFonts w:ascii="Times New Roman" w:hAnsi="Times New Roman"/>
          <w:color w:val="000000" w:themeColor="text1"/>
          <w:sz w:val="16"/>
          <w:szCs w:val="16"/>
        </w:rPr>
        <w:softHyphen/>
        <w:t xml:space="preserve">лению и неудовлетворительное по дальности. Последнее обстоятельство разработчики объяснили непостоянством горения РЗ. Расчетная дальность стрельбы </w:t>
      </w:r>
      <w:r w:rsidRPr="0044524F">
        <w:rPr>
          <w:rFonts w:ascii="Times New Roman" w:hAnsi="Times New Roman"/>
          <w:color w:val="000000" w:themeColor="text1"/>
          <w:sz w:val="16"/>
          <w:szCs w:val="16"/>
        </w:rPr>
        <w:lastRenderedPageBreak/>
        <w:t>была «с очевидностью подтверждена» на практике. По мнению Л.Э.Шварца, совпадение величин рассеивания в этих двух стрельбах «вызывается вполне определенными причинами, постоянно сопутствующими данному снаряду. Наиболее вероятные из них — разнообразие начальных скоростей и углов вылета. В ближайших опытах роль этих факторов необходимо выявить стрельбой по рамам-мишеням и стрельбами на меткость при различных углах возвышения пускового приспособления». Хотя в октябре 1933 г. произошло объединение ЛенГДЛ и МосГИРД в единый институт РНИИ. Окончательно переез</w:t>
      </w:r>
      <w:r w:rsidRPr="0044524F">
        <w:rPr>
          <w:rFonts w:ascii="Times New Roman" w:hAnsi="Times New Roman"/>
          <w:color w:val="000000" w:themeColor="text1"/>
          <w:sz w:val="16"/>
          <w:szCs w:val="16"/>
        </w:rPr>
        <w:softHyphen/>
        <w:t>жать в Москву ленинградцы не торопились — Центральный Московский артполигон в Софрино не был окончательно готов для работы с ракетны</w:t>
      </w:r>
      <w:r w:rsidRPr="0044524F">
        <w:rPr>
          <w:rFonts w:ascii="Times New Roman" w:hAnsi="Times New Roman"/>
          <w:color w:val="000000" w:themeColor="text1"/>
          <w:sz w:val="16"/>
          <w:szCs w:val="16"/>
        </w:rPr>
        <w:softHyphen/>
        <w:t>ми снарядами. На этот период ГДЛ получила статус Ленинградского от</w:t>
      </w:r>
      <w:r w:rsidRPr="0044524F">
        <w:rPr>
          <w:rFonts w:ascii="Times New Roman" w:hAnsi="Times New Roman"/>
          <w:color w:val="000000" w:themeColor="text1"/>
          <w:sz w:val="16"/>
          <w:szCs w:val="16"/>
        </w:rPr>
        <w:softHyphen/>
        <w:t>деления - ЛО РНИИ. По итогам стрельбы 17 октября руководитель опытов Ф.Н.Пойда сде</w:t>
      </w:r>
      <w:r w:rsidRPr="0044524F">
        <w:rPr>
          <w:rFonts w:ascii="Times New Roman" w:hAnsi="Times New Roman"/>
          <w:color w:val="000000" w:themeColor="text1"/>
          <w:sz w:val="16"/>
          <w:szCs w:val="16"/>
        </w:rPr>
        <w:softHyphen/>
        <w:t>лал вывод: «Результаты данной стрельбы позволяют утверждать с еще большей очевидностью, чем это было до сих пор, что вопреки довольно широко еще распространенным, хотя и ни на чем не основанным воззре</w:t>
      </w:r>
      <w:r w:rsidRPr="0044524F">
        <w:rPr>
          <w:rFonts w:ascii="Times New Roman" w:hAnsi="Times New Roman"/>
          <w:color w:val="000000" w:themeColor="text1"/>
          <w:sz w:val="16"/>
          <w:szCs w:val="16"/>
        </w:rPr>
        <w:softHyphen/>
        <w:t>ниям, реактивные снаряды вполне способны давать вполне удовлетво</w:t>
      </w:r>
      <w:r w:rsidRPr="0044524F">
        <w:rPr>
          <w:rFonts w:ascii="Times New Roman" w:hAnsi="Times New Roman"/>
          <w:color w:val="000000" w:themeColor="text1"/>
          <w:sz w:val="16"/>
          <w:szCs w:val="16"/>
        </w:rPr>
        <w:softHyphen/>
        <w:t>рительную меткость. Дальнейшие опыты по боеприпасам испытанного типа должны быть направлены на определение меткости на всех дистан</w:t>
      </w:r>
      <w:r w:rsidRPr="0044524F">
        <w:rPr>
          <w:rFonts w:ascii="Times New Roman" w:hAnsi="Times New Roman"/>
          <w:color w:val="000000" w:themeColor="text1"/>
          <w:sz w:val="16"/>
          <w:szCs w:val="16"/>
        </w:rPr>
        <w:softHyphen/>
        <w:t>циях, а также к дальнейшему уменьшению оперения для повышения компактности снаряда» (11402).</w:t>
      </w:r>
    </w:p>
    <w:p w14:paraId="3ADC6B4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50D3E18"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813DF61"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D6D831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октября 1933 А.Энштейн эмигрировал из Германии в США и поселился в Принсентоне (2100) - прибыл в Нью Йорк (3481).</w:t>
      </w:r>
    </w:p>
    <w:p w14:paraId="3D4A4CE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6748A4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октября 1933 Альберт Эйнштейн прибыл в США в качестве немецкого беженца (4962).</w:t>
      </w:r>
    </w:p>
    <w:p w14:paraId="1FE9187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C5C44D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октября 1933 вышел в свет первый номер журнала «Ньюсуик» (4962).</w:t>
      </w:r>
    </w:p>
    <w:p w14:paraId="0AC94A5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734BBF9"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D1C2249"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B5C3AC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октября 1933 года началась и к 1 ноября закончилась сборка первого танка Т-35 на ХПЗ (3862).</w:t>
      </w:r>
    </w:p>
    <w:p w14:paraId="4C47289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0EC723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ок</w:t>
      </w:r>
      <w:r w:rsidRPr="0044524F">
        <w:rPr>
          <w:rFonts w:ascii="Times New Roman" w:hAnsi="Times New Roman"/>
          <w:color w:val="000000" w:themeColor="text1"/>
          <w:sz w:val="16"/>
          <w:szCs w:val="16"/>
        </w:rPr>
        <w:softHyphen/>
        <w:t>тября 1933 г. на козлах ХПЗ началась сборка первого серийного танка Т-35А, которая в целом была закончена 1 ноября. Спустя 4 дня военпред ХПЗ подписал документы о при</w:t>
      </w:r>
      <w:r w:rsidRPr="0044524F">
        <w:rPr>
          <w:rFonts w:ascii="Times New Roman" w:hAnsi="Times New Roman"/>
          <w:color w:val="000000" w:themeColor="text1"/>
          <w:sz w:val="16"/>
          <w:szCs w:val="16"/>
        </w:rPr>
        <w:softHyphen/>
        <w:t>емке машины, которая 7 ноября должна была принять учасвовать в параде в столице Украины, городе Харькове. Интерес</w:t>
      </w:r>
      <w:r w:rsidRPr="0044524F">
        <w:rPr>
          <w:rFonts w:ascii="Times New Roman" w:hAnsi="Times New Roman"/>
          <w:color w:val="000000" w:themeColor="text1"/>
          <w:sz w:val="16"/>
          <w:szCs w:val="16"/>
        </w:rPr>
        <w:softHyphen/>
        <w:t>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пятибашенная машина, воорурженная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69E731A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D54B852"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октября 1933 года ХПЗ начал и закон</w:t>
      </w:r>
      <w:r w:rsidRPr="00142305">
        <w:rPr>
          <w:rFonts w:ascii="Times New Roman" w:hAnsi="Times New Roman"/>
          <w:color w:val="0070C0"/>
          <w:sz w:val="16"/>
          <w:szCs w:val="16"/>
        </w:rPr>
        <w:softHyphen/>
        <w:t>чилось к 1 ноября сборку первой серийной маши</w:t>
      </w:r>
      <w:r w:rsidRPr="00142305">
        <w:rPr>
          <w:rFonts w:ascii="Times New Roman" w:hAnsi="Times New Roman"/>
          <w:color w:val="0070C0"/>
          <w:sz w:val="16"/>
          <w:szCs w:val="16"/>
        </w:rPr>
        <w:softHyphen/>
        <w:t>ны Т-35.</w:t>
      </w:r>
    </w:p>
    <w:p w14:paraId="66302091"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ноября, после предва</w:t>
      </w:r>
      <w:r w:rsidRPr="00142305">
        <w:rPr>
          <w:rFonts w:ascii="Times New Roman" w:hAnsi="Times New Roman"/>
          <w:color w:val="0070C0"/>
          <w:sz w:val="16"/>
          <w:szCs w:val="16"/>
        </w:rPr>
        <w:softHyphen/>
        <w:t>рительной обкатки, первый серийный танк Т-35 в окружении танкеток Т-27 принял участие в праздничном параде в Харькове (в то время столица Украины). Но оконча</w:t>
      </w:r>
      <w:r w:rsidRPr="00142305">
        <w:rPr>
          <w:rFonts w:ascii="Times New Roman" w:hAnsi="Times New Roman"/>
          <w:color w:val="0070C0"/>
          <w:sz w:val="16"/>
          <w:szCs w:val="16"/>
        </w:rPr>
        <w:softHyphen/>
        <w:t>тельно военная приемка приняла этот танк лишь в начале следующего года (25014).</w:t>
      </w:r>
    </w:p>
    <w:p w14:paraId="5F5E4167" w14:textId="77777777" w:rsidR="00022A55" w:rsidRPr="00142305" w:rsidRDefault="00022A55" w:rsidP="00022A55">
      <w:pPr>
        <w:spacing w:after="0" w:line="240" w:lineRule="auto"/>
        <w:jc w:val="both"/>
        <w:rPr>
          <w:rFonts w:ascii="Times New Roman" w:hAnsi="Times New Roman"/>
          <w:color w:val="0070C0"/>
          <w:sz w:val="16"/>
          <w:szCs w:val="16"/>
        </w:rPr>
      </w:pPr>
    </w:p>
    <w:p w14:paraId="1D692195" w14:textId="77777777" w:rsidR="00760051" w:rsidRPr="0044524F" w:rsidRDefault="00760051"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53A032E" w14:textId="77777777" w:rsidR="00760051" w:rsidRPr="0044524F" w:rsidRDefault="0076005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72BDF9A" w14:textId="77777777" w:rsidR="00760051" w:rsidRPr="0044524F" w:rsidRDefault="0076005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октября 1933 американский Ford 4-AT-B Trimotor NC4806, летавший над Никарагуа в качестве служебного самолета, врезался в озеро Манагуа с высоты 2 000 футов (610 метров), в результате чего погибли все три человека на борту (20802).</w:t>
      </w:r>
    </w:p>
    <w:p w14:paraId="292DF2BC" w14:textId="77777777" w:rsidR="00760051" w:rsidRPr="0044524F" w:rsidRDefault="00760051" w:rsidP="009654CF">
      <w:pPr>
        <w:spacing w:after="0" w:line="240" w:lineRule="auto"/>
        <w:jc w:val="both"/>
        <w:rPr>
          <w:rFonts w:ascii="Times New Roman" w:hAnsi="Times New Roman"/>
          <w:color w:val="000000" w:themeColor="text1"/>
          <w:sz w:val="16"/>
          <w:szCs w:val="16"/>
        </w:rPr>
      </w:pPr>
    </w:p>
    <w:p w14:paraId="62C5DD54" w14:textId="77777777" w:rsidR="00760051" w:rsidRPr="0044524F" w:rsidRDefault="0076005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октября 1933 состоялся первый полет Grumman XF2F-1, первого одноместного с закрытым кокпитом самолета и прототипа Грумман F2F (20802).</w:t>
      </w:r>
    </w:p>
    <w:p w14:paraId="5BC8C0D9" w14:textId="77777777" w:rsidR="00760051" w:rsidRPr="0044524F" w:rsidRDefault="00760051" w:rsidP="009654CF">
      <w:pPr>
        <w:spacing w:after="0" w:line="240" w:lineRule="auto"/>
        <w:jc w:val="both"/>
        <w:rPr>
          <w:rFonts w:ascii="Times New Roman" w:hAnsi="Times New Roman"/>
          <w:color w:val="000000" w:themeColor="text1"/>
          <w:sz w:val="16"/>
          <w:szCs w:val="16"/>
        </w:rPr>
      </w:pPr>
    </w:p>
    <w:p w14:paraId="3F9B1CCC" w14:textId="65D82F83" w:rsidR="00760051" w:rsidRPr="0044524F" w:rsidRDefault="0076005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октября 1933 - Первый полет Grumman F2F, первого одноместного самолета Grumman с закрытой кабиной. Это</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истребитель палубного и аэродромного базирования.</w:t>
      </w:r>
    </w:p>
    <w:p w14:paraId="3CACA164" w14:textId="1E1D6604" w:rsidR="00760051" w:rsidRPr="0044524F" w:rsidRDefault="0076005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оценочных испытаний он показал максимальную скорость 369 км/час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на высоте 2560 м</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 начальную скороподъемность 939 м</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минуту. Однако выявились и недостатки. Так короткий толстый фюзеляж приводил к некоторой неустойчивости по курсу, и самолет затягивало в штопор. После их устранения и внесения некоторых изменений - увеличения фонаря кабины, удлинения размаха верхнего крыла на 0,15 м</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 замены первоначального капота плавной формы, разработанного НАСА (NASA), на другой, меньшего диаметра с блистерами сложной формы - 17 мая 1934 г. Флот США разместил серийный заказ на 54 истребителя F2F-1, первый из которых был поставлен 28 января 1935 г. Последняя машина была выведена из эксплуатации в ноябре 1943 г. (22333).</w:t>
      </w:r>
    </w:p>
    <w:p w14:paraId="45B846A7" w14:textId="77777777" w:rsidR="00760051" w:rsidRPr="0044524F" w:rsidRDefault="00760051" w:rsidP="009654CF">
      <w:pPr>
        <w:spacing w:after="0" w:line="240" w:lineRule="auto"/>
        <w:jc w:val="both"/>
        <w:rPr>
          <w:rFonts w:ascii="Times New Roman" w:hAnsi="Times New Roman"/>
          <w:color w:val="000000" w:themeColor="text1"/>
          <w:sz w:val="16"/>
          <w:szCs w:val="16"/>
        </w:rPr>
      </w:pPr>
    </w:p>
    <w:p w14:paraId="6569976E"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EE35225"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1D3209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 октября по 5 декабря 1933 проходили гос. испытания ТБ-3 (АНТ-6) 22 завода N 22202 с М-34Р в качестве эталона на 34 год (1017,169).</w:t>
      </w:r>
    </w:p>
    <w:p w14:paraId="6B9648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Исполнители:</w:t>
      </w:r>
    </w:p>
    <w:p w14:paraId="7F5BC1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 Лосюков и Кудрявцев</w:t>
      </w:r>
    </w:p>
    <w:p w14:paraId="7E28005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вл Байдуков (2264,126).</w:t>
      </w:r>
    </w:p>
    <w:p w14:paraId="5FA1DC1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F85AA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в ходе гос. испытаний ТБ-3 (АНТ-6) 22 завода N 22202 с 4М-34Р в качестве эталона на 34 год был выполнен тренировочный полет (2264,117).</w:t>
      </w:r>
    </w:p>
    <w:p w14:paraId="25F7A1F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6723F6C"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19 октября 1933 г. опыт</w:t>
      </w:r>
      <w:r w:rsidRPr="00142305">
        <w:rPr>
          <w:rFonts w:ascii="Times New Roman" w:hAnsi="Times New Roman"/>
          <w:color w:val="0070C0"/>
          <w:sz w:val="16"/>
          <w:szCs w:val="16"/>
        </w:rPr>
        <w:softHyphen/>
        <w:t>ный самолет ТБ-3 № 22202 с М-34Р проходил государственные испытания в НИИ ВВС. Машина почему-то получила прозвище «Торгсин». Испытания показали, что летные характеристики резко улучши</w:t>
      </w:r>
      <w:r w:rsidRPr="00142305">
        <w:rPr>
          <w:rFonts w:ascii="Times New Roman" w:hAnsi="Times New Roman"/>
          <w:color w:val="0070C0"/>
          <w:sz w:val="16"/>
          <w:szCs w:val="16"/>
        </w:rPr>
        <w:softHyphen/>
        <w:t>лись, несмотря на прирост взлетного веса на 1460 кг. Вариант с М-34Р приняли к серийной постройке как эталон на первую половину 1934 г, хотя винтомоторная группа не соответствовала требованиям по надежности. 5 декабря машину вернули на завод № 22. На серийных самолетах УВВС требовало поставить входную дверь, открывающуюся внутрь, а не наружу (так удобнее прыгать с парашютом), ввести люковую пулеметную установку взамен подкрыльных башен, смонтировать новые бомбодержатели. Кроме того, опытный самолет не имел «бороды» под носовой частью (24937).</w:t>
      </w:r>
    </w:p>
    <w:p w14:paraId="57F7ED92" w14:textId="77777777" w:rsidR="00022A55" w:rsidRPr="00142305" w:rsidRDefault="00022A55" w:rsidP="00022A55">
      <w:pPr>
        <w:spacing w:after="0" w:line="240" w:lineRule="auto"/>
        <w:jc w:val="both"/>
        <w:rPr>
          <w:rFonts w:ascii="Times New Roman" w:hAnsi="Times New Roman"/>
          <w:color w:val="0070C0"/>
          <w:sz w:val="16"/>
          <w:szCs w:val="16"/>
        </w:rPr>
      </w:pPr>
    </w:p>
    <w:p w14:paraId="280D72D9"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19 октября 1933 г. состоялся единственный полёт нового составного самолёта, который получил название «Звено-З», закончившийся катастрофой </w:t>
      </w:r>
      <w:hyperlink r:id="rId348" w:history="1">
        <w:r w:rsidRPr="0044524F">
          <w:rPr>
            <w:rFonts w:ascii="Times New Roman" w:eastAsia="Times New Roman" w:hAnsi="Times New Roman"/>
            <w:color w:val="000000" w:themeColor="text1"/>
            <w:sz w:val="16"/>
            <w:szCs w:val="16"/>
            <w:lang w:eastAsia="ru-RU"/>
          </w:rPr>
          <w:t>[88]</w:t>
        </w:r>
      </w:hyperlink>
      <w:r w:rsidRPr="0044524F">
        <w:rPr>
          <w:rFonts w:ascii="Times New Roman" w:eastAsia="Times New Roman" w:hAnsi="Times New Roman"/>
          <w:color w:val="000000" w:themeColor="text1"/>
          <w:sz w:val="16"/>
          <w:szCs w:val="16"/>
          <w:lang w:eastAsia="ru-RU"/>
        </w:rPr>
        <w:t xml:space="preserve"> . В кабинах истребителей находились уже знакомый читателю И.Ф. Гроздь и недавно появившийся в НИИ ВВС лётчик А.В. Коротков. ТБ-3, как всегда, пилотировал П.М. Стефановский. Он пишет:</w:t>
      </w:r>
    </w:p>
    <w:p w14:paraId="26FBBAD0"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«Когда колеса ТБ-3 отделились от земли, более опытный лётчик Гроздь отдал ручку от себя и застопорил свой самолёт в нужном нижнем положении. Коротков же прозевал момент отрыва и неправильно поставил рули глубины. Собственная подъёмная сила подбросила истребитель в крайнее верхнее положение и прижала его к носителю. Я это почувствовал по поведению ТБ-3. И крепко обругал Короткова.</w:t>
      </w:r>
    </w:p>
    <w:p w14:paraId="223A7815"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Возможность такой ошибки предусматривалась при подготовке к полётам. В этом случае мне надлежало набрать две тысячи метров высоты и поднять нос корабля почти до посадочного угла. Поскольку нагрузка на квадратный метр площади крыла у истребителя значительно больше, чем у бомбардировщика, то он должен и скорость потерять раньше, быстрее свалиться на нос.</w:t>
      </w:r>
    </w:p>
    <w:p w14:paraId="381D9226"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Одно, правда, в расчёт не принималось: возможность возникновения в такой момент тряски хвостового оперения от слишком сильных возмущений воздуха на больших углах атаки.</w:t>
      </w:r>
    </w:p>
    <w:p w14:paraId="617C9172"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Необходимая высота достигнута. ТБ-3 начинает медленно терять скорость: сто сорок, сто двадцать, наконец — сто километров в час. Самолёт вздрогнул.</w:t>
      </w:r>
    </w:p>
    <w:p w14:paraId="02E4B3DC"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Ощутив резкий толчок, я с облегчением вздохнул. „Зет“ Короткова опустился в крайнее нижнее положение. Всё в порядке! Плавно увеличиваю скорость бомбардировщика. Коротков сейчас проверит, надежно ли закрылись стопоры, и мы пойдём на рубеж воздушного старта. Начал было подсчитывать оставшееся расстояние, как какая-то неведомая сила швырнула самолёт на левую плоскость. Послышался треск и скрежет. Машинально уменьшаю обороты всех двигателей. Машину ещё сильнее потянуло вниз.</w:t>
      </w:r>
    </w:p>
    <w:p w14:paraId="1AD4B28D"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Оцепенение, вызванное неожиданностью случившегося, быстро проходит. Лихорадочно скачут тревожные мысли. Осматриваюсь. Так и есть: самолёт Короткова прилип к плоскости бомбардировщика и разворотил её.</w:t>
      </w:r>
    </w:p>
    <w:p w14:paraId="6CD28478"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Скорость снижения неумолимо нарастает. По переговорному устройству спрашиваю Короткова, не ранен ли? Он молчит.</w:t>
      </w:r>
    </w:p>
    <w:p w14:paraId="6330D7BE"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lastRenderedPageBreak/>
        <w:t>Быстро соображаю, что же произошло. Коротков, видимо, преждевременно потянул ручку на себя, боясь снова опоздать, как на взлёте. Неплотно закрывавшийся задний стопор выскочил. „Зет“ сразу же перешел на большой угол атаки. Один крыльевой стопор не выдержал нагрузки и сломался. Возник перекос. Вырвало стопор другого крыла. Истребитель в положении небольшой горки с разворотом врезался в нашу плоскость. Нет у него винта — разлетелся вдребезги.</w:t>
      </w:r>
    </w:p>
    <w:p w14:paraId="63D18071"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Анализируя случившееся, продолжаю действовать. Сейчас промедление подобно самоубийству. Даже групповому убийству. Даю газ всем двигателям, плавно, почти до отказа выжимаю правую педаль, отжимаю от себя штурвал.</w:t>
      </w:r>
    </w:p>
    <w:p w14:paraId="773968E2"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 „звену“ подстраивается сопровождавший нас связной самолёт Р-5. Лётчик Михаил Александрович Нюхтиков и ведущий инженер Николай Владимирович Флоров руками показывают Короткову на землю. Но лётчик не прыгает. Однако он жив. Догадываюсь об этом по разгневанной жестикуляции Нюхтикова. Не надеется, что ли, Коротков на шёлковый купол парашюта? Или в нём заговорил ложный стыд — этот извечный и страшный враг лётчиков? Вот сядем, я покажу тебе стыд, научу уму-разуму.</w:t>
      </w:r>
    </w:p>
    <w:p w14:paraId="70798D46"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Сядем? А как садиться с этими бандурами под плоскостями?</w:t>
      </w:r>
    </w:p>
    <w:p w14:paraId="022DBB48"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такие посадки „звено“ не рассчитано. И другого выхода нет.</w:t>
      </w:r>
    </w:p>
    <w:p w14:paraId="2F766E95"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„Зет“ Короткова теперь никакой силой не оторвешь от авиаматки.</w:t>
      </w:r>
    </w:p>
    <w:p w14:paraId="6D7D1129"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…Разворачиваюсь в сторону аэродрома и аккуратно снижаюсь. Вот и полосатый конус ветроуказателя. Правильно вышел, навстречу ветру. Всё ближе земля. Дотяну ли? Газку, газку ещё чуток. Только бы перетянуть вон через те чёртовы сосны. Они промелькнули под самым самолётом. Едва не зацепился за их макушки. Впереди взлётно-посадочная полоса. Пора выравнивать. Штурвал помалу на себя — и никакого крена, под плоскостями — самолёты. Машина выровнялась. И тут же резко свалилась на правую плоскость. Еле опять выровнял. Шасси коснулись земли. Самолёт побежал по полю. Сели!</w:t>
      </w:r>
    </w:p>
    <w:p w14:paraId="72084A3A"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Когда вылезли из кабины, радость нашу как ветром сдуло. Самолёта Короткова под плоскостью не было. Увидели его невдалеке от начала взлётно-посадочной полосы, бежим туда. „Зет“ лежал на спине. Коротков был мертв. На выравнивании подъёмная сила, прижимавшая истребитель к крылу авиаматки, иссякла, и он, перевернувшись, рухнул на землю» </w:t>
      </w:r>
      <w:hyperlink r:id="rId349" w:history="1">
        <w:r w:rsidRPr="0044524F">
          <w:rPr>
            <w:rFonts w:ascii="Times New Roman" w:eastAsia="Times New Roman" w:hAnsi="Times New Roman"/>
            <w:color w:val="000000" w:themeColor="text1"/>
            <w:sz w:val="16"/>
            <w:szCs w:val="16"/>
            <w:lang w:eastAsia="ru-RU"/>
          </w:rPr>
          <w:t>[89]</w:t>
        </w:r>
      </w:hyperlink>
      <w:r w:rsidRPr="0044524F">
        <w:rPr>
          <w:rFonts w:ascii="Times New Roman" w:eastAsia="Times New Roman" w:hAnsi="Times New Roman"/>
          <w:color w:val="000000" w:themeColor="text1"/>
          <w:sz w:val="16"/>
          <w:szCs w:val="16"/>
          <w:lang w:eastAsia="ru-RU"/>
        </w:rPr>
        <w:t xml:space="preserve"> .</w:t>
      </w:r>
    </w:p>
    <w:p w14:paraId="4314887C"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После этого случая Гроздь отказался участвовать в дальнейших полётах в составе «Звена», сочтя их слишком опасными. Он погиб в 1935 г. при испытании модифицированного варианта серийного разведчика Р-5. Между тем, ни одного серьёзного происшествия при испытании самолётов-звеньев больше не случилось…</w:t>
      </w:r>
    </w:p>
    <w:p w14:paraId="05C4C8CE"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 концу 1933 г. ТБ-3 и поврежденный узел крепления И-Z отремонтировали, в январе 1934 г. планировалось продолжить испытания. Но к этому времени Владимир Сергеевич Вахмистров был захвачен новой идеей — он решил сделать так, чтобы истребители взлетали самостоятельно и подцеплялись к бомбардировщику в полёте. В нужный момент они могли отсоединиться, выполнить задачу и затем вновь сцепиться с ТБ-3 для дозаправки топливом и пополнения боекомплекта. Так появилось «Звено-5» (15489).</w:t>
      </w:r>
    </w:p>
    <w:p w14:paraId="69582C73" w14:textId="77777777" w:rsidR="00D344E9" w:rsidRPr="0044524F" w:rsidRDefault="00D344E9" w:rsidP="009654CF">
      <w:pPr>
        <w:spacing w:after="0" w:line="240" w:lineRule="auto"/>
        <w:jc w:val="both"/>
        <w:rPr>
          <w:rFonts w:ascii="Times New Roman" w:eastAsia="Times New Roman" w:hAnsi="Times New Roman"/>
          <w:color w:val="000000" w:themeColor="text1"/>
          <w:sz w:val="16"/>
          <w:szCs w:val="16"/>
          <w:lang w:eastAsia="ru-RU"/>
        </w:rPr>
      </w:pPr>
    </w:p>
    <w:p w14:paraId="76AE18A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был пятый полет К-7 К.А.К. после восстановления компенсации серворулей поворота. Полет - 7.5 мин., высота - 120 м. Отмечено и устранено колебание рулей и серворулей во время полета и необходимость уменьшения компенсации (2306). Машина получила прозвище “Торгсин” (9086).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7A68E023" w14:textId="77777777">
        <w:tc>
          <w:tcPr>
            <w:tcW w:w="1384" w:type="dxa"/>
            <w:tcBorders>
              <w:top w:val="single" w:sz="12" w:space="0" w:color="auto"/>
            </w:tcBorders>
          </w:tcPr>
          <w:p w14:paraId="0FF4DFE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403EE9A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489676B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F56576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E62DD7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71D7AF3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635BD087" w14:textId="77777777">
        <w:tc>
          <w:tcPr>
            <w:tcW w:w="1384" w:type="dxa"/>
            <w:tcBorders>
              <w:bottom w:val="single" w:sz="12" w:space="0" w:color="auto"/>
            </w:tcBorders>
          </w:tcPr>
          <w:p w14:paraId="246B89F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w:t>
            </w:r>
          </w:p>
        </w:tc>
        <w:tc>
          <w:tcPr>
            <w:tcW w:w="2410" w:type="dxa"/>
            <w:tcBorders>
              <w:bottom w:val="single" w:sz="12" w:space="0" w:color="auto"/>
            </w:tcBorders>
          </w:tcPr>
          <w:p w14:paraId="4C97935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Пятый полет после восстановления компенсации серворулей поворота с целью проверки их действия</w:t>
            </w:r>
          </w:p>
        </w:tc>
        <w:tc>
          <w:tcPr>
            <w:tcW w:w="1089" w:type="dxa"/>
            <w:tcBorders>
              <w:bottom w:val="single" w:sz="12" w:space="0" w:color="auto"/>
            </w:tcBorders>
          </w:tcPr>
          <w:p w14:paraId="6DFBE0D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- 0:6</w:t>
            </w:r>
          </w:p>
          <w:p w14:paraId="72EE9F4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- 1:07</w:t>
            </w:r>
          </w:p>
          <w:p w14:paraId="47625A8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- 0:7,5</w:t>
            </w:r>
          </w:p>
        </w:tc>
        <w:tc>
          <w:tcPr>
            <w:tcW w:w="3447" w:type="dxa"/>
            <w:tcBorders>
              <w:bottom w:val="single" w:sz="12" w:space="0" w:color="auto"/>
            </w:tcBorders>
          </w:tcPr>
          <w:p w14:paraId="2337321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120 м</w:t>
            </w:r>
          </w:p>
        </w:tc>
        <w:tc>
          <w:tcPr>
            <w:tcW w:w="1776" w:type="dxa"/>
            <w:tcBorders>
              <w:bottom w:val="single" w:sz="12" w:space="0" w:color="auto"/>
            </w:tcBorders>
          </w:tcPr>
          <w:p w14:paraId="1788DE9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Колебания рулей и серворулей во время полета.</w:t>
            </w:r>
          </w:p>
          <w:p w14:paraId="78D1137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уменьшить компенсацию (устранено)</w:t>
            </w:r>
          </w:p>
        </w:tc>
        <w:tc>
          <w:tcPr>
            <w:tcW w:w="1105" w:type="dxa"/>
            <w:tcBorders>
              <w:bottom w:val="single" w:sz="12" w:space="0" w:color="auto"/>
            </w:tcBorders>
          </w:tcPr>
          <w:p w14:paraId="07E47B5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545BBFC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5ED9355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DE05B1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года, при полетах с подкрыльными самолетами "ЗЕТ" на установках на крыльях ТБ-3 трех самолетов И-5 и подвески двух самолетов "ЗЕТ" под крыльями того же ТБ-3, которые были сделаны в НИИ ВВС за лекто 1933, один из них не отцепился, несмотря на все принятые меры и при посадке ТБ-3 с этим подкрыльным самолетом последний был разбит, а сидевший в нем летчик (один из лучших командиров истребительных отрядов Коротков) убит (7439, 206-207).</w:t>
      </w:r>
    </w:p>
    <w:p w14:paraId="33127CC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74ADEAC" w14:textId="77777777" w:rsidR="00562118" w:rsidRPr="0044524F" w:rsidRDefault="0056211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19 октября 1933 перегруженный гидроплан АИР-6А вылетел из Ейска. Вместе с Письменным на борту находился механик В.П. Кузнецов. 250 км машина летела над сушей, а от Запорожья - над Днепром. За Черкассами совершили посадку на реку между селами Свидовок и Секирно. Общая протяженность маршрута составила 568 км. Рекорд зарегистрировали сперва как всесоюзный, а затем и как мировой: Письменный почти в полтора раза превысил достижение американцев Г Борнтрегера и Э. Стаффорда, зарегистрированное в марте 1936 г. (19099).</w:t>
      </w:r>
    </w:p>
    <w:p w14:paraId="3E4D65A5" w14:textId="77777777" w:rsidR="00562118" w:rsidRPr="0044524F" w:rsidRDefault="00562118" w:rsidP="009654CF">
      <w:pPr>
        <w:pStyle w:val="a8"/>
        <w:jc w:val="both"/>
        <w:rPr>
          <w:rFonts w:ascii="Times New Roman" w:hAnsi="Times New Roman" w:cs="Times New Roman"/>
          <w:color w:val="000000" w:themeColor="text1"/>
        </w:rPr>
      </w:pPr>
    </w:p>
    <w:p w14:paraId="20E232AE"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октября 1933 г. пере</w:t>
      </w:r>
      <w:r w:rsidRPr="00142305">
        <w:rPr>
          <w:rFonts w:ascii="Times New Roman" w:hAnsi="Times New Roman"/>
          <w:color w:val="0070C0"/>
          <w:sz w:val="16"/>
          <w:szCs w:val="16"/>
        </w:rPr>
        <w:softHyphen/>
        <w:t>груженный гидроплан АИР-6 вылетел из Ейска. Вместе с Письменным на борту находил</w:t>
      </w:r>
      <w:r w:rsidRPr="00142305">
        <w:rPr>
          <w:rFonts w:ascii="Times New Roman" w:hAnsi="Times New Roman"/>
          <w:color w:val="0070C0"/>
          <w:sz w:val="16"/>
          <w:szCs w:val="16"/>
        </w:rPr>
        <w:softHyphen/>
        <w:t>ся механик В.П. Кузнецов. 250 км машина летела над сушей, а от Запорожья - над Днепром. За Черкассами совершили по</w:t>
      </w:r>
      <w:r w:rsidRPr="00142305">
        <w:rPr>
          <w:rFonts w:ascii="Times New Roman" w:hAnsi="Times New Roman"/>
          <w:color w:val="0070C0"/>
          <w:sz w:val="16"/>
          <w:szCs w:val="16"/>
        </w:rPr>
        <w:softHyphen/>
        <w:t>садку на реку между селами Свидовок и Секирно. Общая протяженность мар</w:t>
      </w:r>
      <w:r w:rsidRPr="00142305">
        <w:rPr>
          <w:rFonts w:ascii="Times New Roman" w:hAnsi="Times New Roman"/>
          <w:color w:val="0070C0"/>
          <w:sz w:val="16"/>
          <w:szCs w:val="16"/>
        </w:rPr>
        <w:softHyphen/>
        <w:t>шрута составила 568 км. Рекорд заре</w:t>
      </w:r>
      <w:r w:rsidRPr="00142305">
        <w:rPr>
          <w:rFonts w:ascii="Times New Roman" w:hAnsi="Times New Roman"/>
          <w:color w:val="0070C0"/>
          <w:sz w:val="16"/>
          <w:szCs w:val="16"/>
        </w:rPr>
        <w:softHyphen/>
        <w:t>гистрировали сперва как всесоюзный, а затем и как мировой: Письменный почти в полтора раза превысил достижение аме</w:t>
      </w:r>
      <w:r w:rsidRPr="00142305">
        <w:rPr>
          <w:rFonts w:ascii="Times New Roman" w:hAnsi="Times New Roman"/>
          <w:color w:val="0070C0"/>
          <w:sz w:val="16"/>
          <w:szCs w:val="16"/>
        </w:rPr>
        <w:softHyphen/>
        <w:t>риканцев Г Борнтрегера и Э. Стаффорда, зарегистрированное в марте 1936 г. (24945).</w:t>
      </w:r>
    </w:p>
    <w:p w14:paraId="20BEF82F" w14:textId="77777777" w:rsidR="00022A55" w:rsidRPr="00142305" w:rsidRDefault="00022A55" w:rsidP="00022A55">
      <w:pPr>
        <w:spacing w:after="0" w:line="240" w:lineRule="auto"/>
        <w:jc w:val="both"/>
        <w:rPr>
          <w:rFonts w:ascii="Times New Roman" w:hAnsi="Times New Roman"/>
          <w:color w:val="0070C0"/>
          <w:sz w:val="16"/>
          <w:szCs w:val="16"/>
        </w:rPr>
      </w:pPr>
    </w:p>
    <w:p w14:paraId="3A4139C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НТОС ГУАП Алмазов письмом N 00280/638с дал указание о необходимости представить на рассмотрение НИИ ВВС конструктивной схемы КАИ-1 в варианте учебного бомбардировщика (2305,83).</w:t>
      </w:r>
    </w:p>
    <w:p w14:paraId="7351F15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9A467F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состоялась демонстрация телемеханического управления самолетом для Гл. инспектора ВВС И.В.Павлова, М.Н.Тухачевского, Я.И.Алксниса, Г.Л.Пятакова. М.Н.Тухачевский нажимал кнопки. 14 ноября участников разработки наградили ОЛ и ОКЗ. Заказали малую партию и сделали в начале 1934 (390,132).</w:t>
      </w:r>
    </w:p>
    <w:p w14:paraId="2335C5D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Известно, что потом Осконбюро получил три ТБ-1 NN 692 - установили командную радиолинию, 772 - летающая бомба, 712 - телемеханический самолет, то есть помимо радиоуправляющих устройств был оборудован системой Р.Чачикяна, позволяющей по радиосигналам с земли или командного пункта проводить взлет, полет по требуемой траектории, заход на посадку, выравнивание и приземление (1220,11).</w:t>
      </w:r>
    </w:p>
    <w:p w14:paraId="60F4027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C0FEAB3"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 состоялась успешная демонстрация телемеханического управления самолетом М.Н. Тухачевскому и Я.И. Алкснису. Однако в 1937 г. Остехбюро было реорганизовано. В Ленинграде на улице Комсомола, 1/3, корп. 2 «а» было образовано НИИ-22. В него были переданы все работы по авиации и, соответственно, все самолеты и аэродромы бывшего Остехбюро. В 1939 г. наработки НИИ-22 по телемеханическим системам материализовались в проектах легкого самолета У-2 и бомбардировщика ТБ-1 с дистанционным управлением. Несколько позже в соответствии с постановлением Совета труда и обороны № 42 от 26.01.1940 г. НИИ-22 приступил к разработке телемеханического самолета УТ-2 и командного самолета управления (19543).</w:t>
      </w:r>
    </w:p>
    <w:p w14:paraId="59AB897A" w14:textId="77777777" w:rsidR="00562118" w:rsidRPr="0044524F" w:rsidRDefault="00562118" w:rsidP="009654CF">
      <w:pPr>
        <w:spacing w:after="0" w:line="240" w:lineRule="auto"/>
        <w:jc w:val="both"/>
        <w:rPr>
          <w:rFonts w:ascii="Times New Roman" w:hAnsi="Times New Roman"/>
          <w:color w:val="000000" w:themeColor="text1"/>
          <w:sz w:val="16"/>
          <w:szCs w:val="16"/>
        </w:rPr>
      </w:pPr>
    </w:p>
    <w:p w14:paraId="1F8240FE" w14:textId="77777777" w:rsidR="00FE0782" w:rsidRPr="0044524F" w:rsidRDefault="00FE07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 зампред ОГПУ Яков Агранов сообщил Сталину тревожную информацию, поступившую по телеграфу от полпреда ОГПУ по Северо-Кавказскому краю и Дагестанской АССР Ефима Евдокимова: "14 октября на заводе N 31 в Таганроге при отправке самолета Р-6 обнаружен полный обрыв электропроводов зажигания и освещения. Расследованием установлено, что обрыв совершен электриком Скоробогатовым с диверсионной целью. Скоробогатов - казак, сын кулака. По его показаниям, к диверсионной работе он был привлечен Пилюгиным (сын расстрелянного за контрреволюционную деятельность). По совершении ряда диверсионных актов Пилюгин скрылся" (21336).</w:t>
      </w:r>
    </w:p>
    <w:p w14:paraId="63040313" w14:textId="77777777" w:rsidR="00FE0782" w:rsidRPr="0044524F" w:rsidRDefault="00FE0782" w:rsidP="009654CF">
      <w:pPr>
        <w:spacing w:after="0" w:line="240" w:lineRule="auto"/>
        <w:jc w:val="both"/>
        <w:rPr>
          <w:rFonts w:ascii="Times New Roman" w:hAnsi="Times New Roman"/>
          <w:color w:val="000000" w:themeColor="text1"/>
          <w:sz w:val="16"/>
          <w:szCs w:val="16"/>
        </w:rPr>
      </w:pPr>
    </w:p>
    <w:p w14:paraId="24C5ECDB" w14:textId="77777777" w:rsidR="00AA4C7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81C57BD" w14:textId="77777777" w:rsidR="00AA4C72" w:rsidRPr="0044524F" w:rsidRDefault="00AA4C7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25EC0C1" w14:textId="77777777" w:rsidR="00AA4C72" w:rsidRPr="0044524F" w:rsidRDefault="00AA4C72" w:rsidP="009654CF">
      <w:pPr>
        <w:pStyle w:val="rtejustify"/>
        <w:spacing w:before="0" w:after="0"/>
        <w:rPr>
          <w:color w:val="000000" w:themeColor="text1"/>
          <w:sz w:val="16"/>
          <w:szCs w:val="16"/>
        </w:rPr>
      </w:pPr>
      <w:r w:rsidRPr="0044524F">
        <w:rPr>
          <w:rStyle w:val="af0"/>
          <w:bCs/>
          <w:i w:val="0"/>
          <w:color w:val="000000" w:themeColor="text1"/>
          <w:sz w:val="16"/>
          <w:szCs w:val="16"/>
        </w:rPr>
        <w:t>19/22 октября 1933 вышел приказ НКТП № 185с.</w:t>
      </w:r>
      <w:r w:rsidRPr="0044524F">
        <w:rPr>
          <w:color w:val="000000" w:themeColor="text1"/>
          <w:sz w:val="16"/>
          <w:szCs w:val="16"/>
        </w:rPr>
        <w:t xml:space="preserve"> Об обеспечении основных договоров НКВМ СССР по артиллерийской программе на 1934 г. чертежами и техническими условиями. (РГАЭ. Ф. 7297. Оп. 38. Д. 37. Л. 318</w:t>
      </w:r>
      <w:r w:rsidRPr="0044524F">
        <w:rPr>
          <w:color w:val="000000" w:themeColor="text1"/>
          <w:sz w:val="16"/>
          <w:szCs w:val="16"/>
        </w:rPr>
        <w:noBreakHyphen/>
        <w:t>316) (15246).</w:t>
      </w:r>
    </w:p>
    <w:p w14:paraId="181596D0" w14:textId="77777777" w:rsidR="00AA4C72" w:rsidRPr="0044524F" w:rsidRDefault="00AA4C72" w:rsidP="009654CF">
      <w:pPr>
        <w:pStyle w:val="rtejustify"/>
        <w:spacing w:before="0" w:after="0"/>
        <w:rPr>
          <w:color w:val="000000" w:themeColor="text1"/>
          <w:sz w:val="16"/>
          <w:szCs w:val="16"/>
        </w:rPr>
      </w:pPr>
    </w:p>
    <w:p w14:paraId="0F477638"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38EEEDA"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D6DF6FD"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19 октября 1933 вертолет Г.Флорина поднялся на высоту 6 м и продержался в воздухе 6 мин 30 с. Рекордную продолжительность полета - 9 мин 47 с (превышавшую рекорд вертолета д'Асканио на 1 мин 13 с) Роберт Коллин показал 25 ок</w:t>
      </w:r>
      <w:r w:rsidRPr="0044524F">
        <w:rPr>
          <w:rFonts w:ascii="Times New Roman" w:hAnsi="Times New Roman"/>
          <w:color w:val="000000" w:themeColor="text1"/>
          <w:sz w:val="16"/>
          <w:szCs w:val="16"/>
        </w:rPr>
        <w:softHyphen/>
        <w:t>тября. Это достижение было зарегист</w:t>
      </w:r>
      <w:r w:rsidRPr="0044524F">
        <w:rPr>
          <w:rFonts w:ascii="Times New Roman" w:hAnsi="Times New Roman"/>
          <w:color w:val="000000" w:themeColor="text1"/>
          <w:sz w:val="16"/>
          <w:szCs w:val="16"/>
        </w:rPr>
        <w:softHyphen/>
        <w:t>рировано официальными представите</w:t>
      </w:r>
      <w:r w:rsidRPr="0044524F">
        <w:rPr>
          <w:rFonts w:ascii="Times New Roman" w:hAnsi="Times New Roman"/>
          <w:color w:val="000000" w:themeColor="text1"/>
          <w:sz w:val="16"/>
          <w:szCs w:val="16"/>
        </w:rPr>
        <w:softHyphen/>
        <w:t>лями «Аэроклуба», однако в качестве мирового рекорда не утверждено. Отметим попутно, что и этот рекорд значительно уступает рекорду, достигнутому на вертолете ЦАГИ 1 -ЭА (11401).</w:t>
      </w:r>
    </w:p>
    <w:p w14:paraId="5EA920EC"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3F7C851"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 под покровом сумерек в порту Бремерхафен с борта грузового паро</w:t>
      </w:r>
      <w:r w:rsidRPr="0044524F">
        <w:rPr>
          <w:rFonts w:ascii="Times New Roman" w:hAnsi="Times New Roman"/>
          <w:color w:val="000000" w:themeColor="text1"/>
          <w:sz w:val="16"/>
          <w:szCs w:val="16"/>
        </w:rPr>
        <w:softHyphen/>
        <w:t>хода, прибывшего из Нью-Йорка, были вы</w:t>
      </w:r>
      <w:r w:rsidRPr="0044524F">
        <w:rPr>
          <w:rFonts w:ascii="Times New Roman" w:hAnsi="Times New Roman"/>
          <w:color w:val="000000" w:themeColor="text1"/>
          <w:sz w:val="16"/>
          <w:szCs w:val="16"/>
        </w:rPr>
        <w:softHyphen/>
        <w:t>гружены два больших контейнера. В каждом из них находился разобранный самолет Кер</w:t>
      </w:r>
      <w:r w:rsidRPr="0044524F">
        <w:rPr>
          <w:rFonts w:ascii="Times New Roman" w:hAnsi="Times New Roman"/>
          <w:color w:val="000000" w:themeColor="text1"/>
          <w:sz w:val="16"/>
          <w:szCs w:val="16"/>
        </w:rPr>
        <w:softHyphen/>
        <w:t>тисс «Хоук» II. Помимо своего основного назначения этот весьма прочный истреби</w:t>
      </w:r>
      <w:r w:rsidRPr="0044524F">
        <w:rPr>
          <w:rFonts w:ascii="Times New Roman" w:hAnsi="Times New Roman"/>
          <w:color w:val="000000" w:themeColor="text1"/>
          <w:sz w:val="16"/>
          <w:szCs w:val="16"/>
        </w:rPr>
        <w:softHyphen/>
        <w:t>тель-биплан был способен выполнять функ</w:t>
      </w:r>
      <w:r w:rsidRPr="0044524F">
        <w:rPr>
          <w:rFonts w:ascii="Times New Roman" w:hAnsi="Times New Roman"/>
          <w:color w:val="000000" w:themeColor="text1"/>
          <w:sz w:val="16"/>
          <w:szCs w:val="16"/>
        </w:rPr>
        <w:softHyphen/>
        <w:t>ции пикирующего бомбардировщика. По документам оба самолета были собственнос</w:t>
      </w:r>
      <w:r w:rsidRPr="0044524F">
        <w:rPr>
          <w:rFonts w:ascii="Times New Roman" w:hAnsi="Times New Roman"/>
          <w:color w:val="000000" w:themeColor="text1"/>
          <w:sz w:val="16"/>
          <w:szCs w:val="16"/>
        </w:rPr>
        <w:softHyphen/>
        <w:t>тью знаменитого германского пилота Эрн</w:t>
      </w:r>
      <w:r w:rsidRPr="0044524F">
        <w:rPr>
          <w:rFonts w:ascii="Times New Roman" w:hAnsi="Times New Roman"/>
          <w:color w:val="000000" w:themeColor="text1"/>
          <w:sz w:val="16"/>
          <w:szCs w:val="16"/>
        </w:rPr>
        <w:softHyphen/>
        <w:t>ста Удета. В начале 1930-х годов Удет ув</w:t>
      </w:r>
      <w:r w:rsidRPr="0044524F">
        <w:rPr>
          <w:rFonts w:ascii="Times New Roman" w:hAnsi="Times New Roman"/>
          <w:color w:val="000000" w:themeColor="text1"/>
          <w:sz w:val="16"/>
          <w:szCs w:val="16"/>
        </w:rPr>
        <w:softHyphen/>
        <w:t>лекся идеей бомбометания с пикирования и стал ее ревностным сторонником. Изучая зарубежный опыт, он посетил Соединенные Штаты, где полным ходом шли эксперимен</w:t>
      </w:r>
      <w:r w:rsidRPr="0044524F">
        <w:rPr>
          <w:rFonts w:ascii="Times New Roman" w:hAnsi="Times New Roman"/>
          <w:color w:val="000000" w:themeColor="text1"/>
          <w:sz w:val="16"/>
          <w:szCs w:val="16"/>
        </w:rPr>
        <w:softHyphen/>
        <w:t>ты с пикировщиками. Здесь-то ему и «при</w:t>
      </w:r>
      <w:r w:rsidRPr="0044524F">
        <w:rPr>
          <w:rFonts w:ascii="Times New Roman" w:hAnsi="Times New Roman"/>
          <w:color w:val="000000" w:themeColor="text1"/>
          <w:sz w:val="16"/>
          <w:szCs w:val="16"/>
        </w:rPr>
        <w:softHyphen/>
        <w:t>шла в голову» мысль о закупке наиболее удачных образцов самолета фирмы «Кер</w:t>
      </w:r>
      <w:r w:rsidRPr="0044524F">
        <w:rPr>
          <w:rFonts w:ascii="Times New Roman" w:hAnsi="Times New Roman"/>
          <w:color w:val="000000" w:themeColor="text1"/>
          <w:sz w:val="16"/>
          <w:szCs w:val="16"/>
        </w:rPr>
        <w:softHyphen/>
        <w:t>тисс». На самом деле оба «Хоука» стали соб</w:t>
      </w:r>
      <w:r w:rsidRPr="0044524F">
        <w:rPr>
          <w:rFonts w:ascii="Times New Roman" w:hAnsi="Times New Roman"/>
          <w:color w:val="000000" w:themeColor="text1"/>
          <w:sz w:val="16"/>
          <w:szCs w:val="16"/>
        </w:rPr>
        <w:softHyphen/>
        <w:t>ственностью германского правительства. Идея закупки «Хоуков» принадле</w:t>
      </w:r>
      <w:r w:rsidRPr="0044524F">
        <w:rPr>
          <w:rFonts w:ascii="Times New Roman" w:hAnsi="Times New Roman"/>
          <w:color w:val="000000" w:themeColor="text1"/>
          <w:sz w:val="16"/>
          <w:szCs w:val="16"/>
        </w:rPr>
        <w:softHyphen/>
        <w:t>жала рейхсминистру авиации Герману Ге</w:t>
      </w:r>
      <w:r w:rsidRPr="0044524F">
        <w:rPr>
          <w:rFonts w:ascii="Times New Roman" w:hAnsi="Times New Roman"/>
          <w:color w:val="000000" w:themeColor="text1"/>
          <w:sz w:val="16"/>
          <w:szCs w:val="16"/>
        </w:rPr>
        <w:softHyphen/>
        <w:t>рингу, который пожелал лично полетать на заокеанской новинке (24187).</w:t>
      </w:r>
    </w:p>
    <w:p w14:paraId="23CC7E4E" w14:textId="77777777" w:rsidR="00AD0645" w:rsidRPr="0044524F" w:rsidRDefault="00AD0645" w:rsidP="009654CF">
      <w:pPr>
        <w:spacing w:after="0" w:line="240" w:lineRule="auto"/>
        <w:jc w:val="both"/>
        <w:rPr>
          <w:rFonts w:ascii="Times New Roman" w:hAnsi="Times New Roman"/>
          <w:color w:val="000000" w:themeColor="text1"/>
          <w:sz w:val="16"/>
          <w:szCs w:val="16"/>
        </w:rPr>
      </w:pPr>
    </w:p>
    <w:p w14:paraId="1960F5D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Германия вышла из Лиги наций (2242,2).</w:t>
      </w:r>
    </w:p>
    <w:p w14:paraId="37C43FD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ED1721E"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Германия вышла из Лиги Наций (18265).</w:t>
      </w:r>
    </w:p>
    <w:p w14:paraId="4413DB64" w14:textId="77777777" w:rsidR="00562118" w:rsidRPr="0044524F" w:rsidRDefault="00562118" w:rsidP="009654CF">
      <w:pPr>
        <w:spacing w:after="0" w:line="240" w:lineRule="auto"/>
        <w:jc w:val="both"/>
        <w:rPr>
          <w:rFonts w:ascii="Times New Roman" w:hAnsi="Times New Roman"/>
          <w:color w:val="000000" w:themeColor="text1"/>
          <w:sz w:val="16"/>
          <w:szCs w:val="16"/>
        </w:rPr>
      </w:pPr>
    </w:p>
    <w:p w14:paraId="48D453C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вышла из Лиги Наций. Москва же, сделавшая к тому времени выбор не в пользу нацистской Германии, инициировала подписание в Лондоне в ходе международной экономической конференции Соглашения об определении агрессора с соседними государствами, которое было направлено против Германии. Сталин и его окружение, поняв, что в лице правительства Гитлера они столкнулись со столь же целеустремленными, циничными и беспардонными политиками, как и они сами, всеми силами стремились загнать Германию в политическую изоляцию. Частично это им удалось. Однако опасения Запада относительно политики правительства «национальной концентрации» Гитлера были куда меньшими, нежели почти неприкрытый страх перед возможностью большевизации всего мира. В Берлине это понимали. Поэтому, выбрав курс на достижение двусторонних соглашений и взяв на себя роль «защитного вала» против большевизма (Meinecke Friedrich. Die deutsche Katastrophe. Betrachtungen und Erinnerungen. Wiesbaden 1949. S. 115.), Гитлер умело решал внешнеполитические головоломки последующего периода. Здесь были и резкое политическое противостояние Москвы и Берлина и попытки советско-германского сближения, вплоть до восстановления прежних военных связей, однако с «рапалльской политикой» было покончено (11784).</w:t>
      </w:r>
    </w:p>
    <w:p w14:paraId="149F124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358DC401"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AA51E67"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B8C063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октября 1933 года был подготовлен Отчет по использованию самолета ТБ-3 как транспортного для перевозки и сбрасывания парашютного десанта</w:t>
      </w:r>
    </w:p>
    <w:p w14:paraId="55D68F8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Цель и задачи</w:t>
      </w:r>
    </w:p>
    <w:p w14:paraId="234CB59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Использовать самолет ТБ-3 как транспортный для перевозки большого количества парашютистов и сбрасывания таковых в наикратчайший срок. Вышеуказанная задача была решена 9 октября 1933 года в районе дер. Татарово-Крылатское группой парашютистов в количестве 21 чел.</w:t>
      </w:r>
    </w:p>
    <w:p w14:paraId="50E008C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3DBD6B5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ТБ-3 можно вполне использовать без ущерба его боевым и летным качествам для переброски десанта в количестве 34 человек.</w:t>
      </w:r>
    </w:p>
    <w:p w14:paraId="26CCF46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Распределение людей по самолету даст возможность совершенно отказаться от подвесных кабин, но желательно построить дополнительную дверь с левого бока фюзеляжа (3853,165-172).</w:t>
      </w:r>
    </w:p>
    <w:p w14:paraId="1FC7F10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47741F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октября 1933 Нач. ВВС Алкснис подписал Акт утверждения гос. испытаний самолета И-3ет М-22:</w:t>
      </w:r>
    </w:p>
    <w:p w14:paraId="7E2A43B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Заключение НИИ ВВС РККА по Гос. испытаниям самолета И-зет М-22 утверждаю.</w:t>
      </w:r>
    </w:p>
    <w:p w14:paraId="3674E36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Нач. УМТС и Вооружений принять построенные на заводе 39 самолета И-зет по их вооружению и устранению дефектов, указанных на с. 21 сводки испытаний.</w:t>
      </w:r>
    </w:p>
    <w:p w14:paraId="3D43CBB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Нач. Штаба ВВС РККА разработать программу войсковых и тактических испытаний самолетов, сосредоточив их в одной части.</w:t>
      </w:r>
    </w:p>
    <w:p w14:paraId="6CEA1BC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Основной задачей для завода 133 считать передачу на гос. испытания к 1 марта 1934 модифицированного экз. самолета И-зет М-22, удовлетворяющего требованиям, указанным в заключении НИИ ВВС РККА." (2303,70).</w:t>
      </w:r>
    </w:p>
    <w:p w14:paraId="6C381F9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1C07C86" w14:textId="77777777" w:rsidR="00FE0782" w:rsidRPr="0044524F" w:rsidRDefault="00FE07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октября 1933 г. при утверждении акта по испытаниям А-4 Начальник ВВС РККА Алкснис приказал начальни</w:t>
      </w:r>
      <w:r w:rsidRPr="0044524F">
        <w:rPr>
          <w:rFonts w:ascii="Times New Roman" w:hAnsi="Times New Roman"/>
          <w:color w:val="000000" w:themeColor="text1"/>
          <w:sz w:val="16"/>
          <w:szCs w:val="16"/>
        </w:rPr>
        <w:softHyphen/>
        <w:t>ку Управления материально-технического снабжения ВВС принять построенную серию автожиров и распределить ее для эксплуатации в строевые части (20381).</w:t>
      </w:r>
    </w:p>
    <w:p w14:paraId="30760C21" w14:textId="77777777" w:rsidR="00FE0782" w:rsidRPr="0044524F" w:rsidRDefault="00FE0782" w:rsidP="009654CF">
      <w:pPr>
        <w:shd w:val="clear" w:color="auto" w:fill="FFFFFF"/>
        <w:spacing w:after="0" w:line="240" w:lineRule="auto"/>
        <w:jc w:val="both"/>
        <w:rPr>
          <w:rFonts w:ascii="Times New Roman" w:hAnsi="Times New Roman"/>
          <w:color w:val="000000" w:themeColor="text1"/>
          <w:sz w:val="16"/>
          <w:szCs w:val="16"/>
        </w:rPr>
      </w:pPr>
    </w:p>
    <w:p w14:paraId="401FF72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октября 1933 года начальник НИИ ВВС Зильберт писал письмо N 1/02385с начальнику ВВС.</w:t>
      </w:r>
    </w:p>
    <w:p w14:paraId="2558BE2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Представляю отчет по испытаниям усовершенствования системы ТАВ-15 (ВВС 10/15 года).</w:t>
      </w:r>
    </w:p>
    <w:p w14:paraId="5882A53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были проведены в Финском заливе на самолете ТБ-1 под руководством врид начальника минно-торпедного сектора НИИ ВВС Панова. Всего было произведено 6 сбрасываний из коих 4 болванки и две торпеды с ходом, высот до 3000 м. Результаты изменений подтвердили правильность и своевременность проделанных изменений в системе (3051).</w:t>
      </w:r>
    </w:p>
    <w:p w14:paraId="270A30A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CF8B362" w14:textId="77777777" w:rsidR="00AA4C7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C068C17" w14:textId="77777777" w:rsidR="00AA4C72" w:rsidRPr="0044524F" w:rsidRDefault="00AA4C7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239583A" w14:textId="77777777" w:rsidR="00AA4C72" w:rsidRPr="0044524F" w:rsidRDefault="00AA4C72"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20 октября 1933 г. </w:t>
      </w:r>
      <w:r w:rsidRPr="0044524F">
        <w:rPr>
          <w:rFonts w:ascii="Times New Roman" w:hAnsi="Times New Roman"/>
          <w:color w:val="000000" w:themeColor="text1"/>
          <w:sz w:val="16"/>
          <w:szCs w:val="16"/>
        </w:rPr>
        <w:t>Из справки Главного военно-мобилизационного управления НКТП СССР о состоянии опытных и научно-исследовательских работ в военной промышленности</w:t>
      </w:r>
    </w:p>
    <w:p w14:paraId="0CFA64F1" w14:textId="77777777" w:rsidR="00AA4C72" w:rsidRPr="0044524F" w:rsidRDefault="00AA4C72"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7CFF2A0B"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Кампания отчетов по выполнению опытных и научно-исследовательских работ оборонного значения, начатая 20 сентября, проведена пока наполовину. Однако в настоящее время представляется возможным сделать оценку общего положения этих работ. Дать оценку теперь же необходимо в виду того, что идет уже составление плана таких работ на 1934 г. При составлении этого плана должны быть учтены все неполадки, которые имели место в работах текущего года.</w:t>
      </w:r>
    </w:p>
    <w:p w14:paraId="63FCE68C"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Положение с опытными и научно-исследовательскими работами в 1933 г. надо признать совершенно неудовлетворительным. Основной причиной тому служит значительная дезорганизация этих работ, являющаяся следствием крайне слабого ими руководства. Во многих случаях опытные и научно-исследовательские работы оборонного значения являются прямо беспризорными. Положение с центробежной отливкой, со звуковыми минами, работы по телемеханике, манесмановскому прокату и очень многое другое служат достаточной иллюстрацией верности этого вывода. Также необходимо отметить наблюдаемую разобщенность конструкторов от производства, что приводит к полной неувязке в путях, по которым должны идти теоретические достижения для возможности скорейшего внедрения в практическое использование.</w:t>
      </w:r>
    </w:p>
    <w:p w14:paraId="7825811E"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I. Отсутствие руководства</w:t>
      </w:r>
    </w:p>
    <w:p w14:paraId="51D74A31"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Прежде всего отсутствует центральное руководство опытными работами в целом. Большинство научно-исследовательских и опытных работ не представляют замкнутой проблемы, а охватывают целый ряд заданий, осуществление которых требует, как правило, участия целого ряда специальностей, следовательно, целого ряда научных дисциплин, разбитых по различным институтам и заводам: металл, аппаратура, порох и т. п. Отсутствие центрального руководства приводит к тому, что одни элементы в своей разработке уходят далеко вперед, например, конструктивная часть орудий (хотя бы лейнеры), а другая оказывается отсталой (металл не соответствует заданию конструкторов), в результате при внедрении в производство приходится менять конструкцию под качество металла, и вся предшествующая работа идет насмарку.</w:t>
      </w:r>
    </w:p>
    <w:p w14:paraId="4B462207"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Или такое положение: центробежная отливка снарядов задана заводу МЗМ. Днепропетровский институт металлов по своей инициативе занялся этим делом — аналогичную работу ведет и Снарядный институт. В результате — в то время, как МЗМ на основе предыдущего цикла работ этого рода уже производит в настоящее время отливки стальных снарядов — Харьковский институт металлов продвигается ощупью и после почти годовой работы построил две машины, не лишенные остроумия, но на них пока производит опыты с парафином и свинцом, т. е. проходит вслепую те этапы, которые МЗМ давно преодолел.</w:t>
      </w:r>
    </w:p>
    <w:p w14:paraId="5C94336B"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Обстановка дела с центробежным литьем орудий на заводе МЗМ служит наилучшей иллюстрацией беспризорности и безголовья в этом деле. Всего до начала августа заводом отлито 108 122</w:t>
      </w:r>
      <w:r w:rsidRPr="0044524F">
        <w:rPr>
          <w:color w:val="000000" w:themeColor="text1"/>
          <w:sz w:val="16"/>
          <w:szCs w:val="16"/>
        </w:rPr>
        <w:noBreakHyphen/>
        <w:t xml:space="preserve">мм труб, причем только четыре трубы оказались вполне годными, из них из двух изготовлены тела гаубиц. Все прочие трубы в количестве 104 оказались с глубокими трещинами после вынутия из изложницы. Такие результаты показывают, что завод не организовал правильного изучения процесса центробежного литья и не подвергнул систематическому анализу результатов производившихся плавок, не изучал причины систематических разрывов отлитых орудийных болванок. Только в последнее время, после установления явной нецелесообразности продолжать существовавший метод испытаний, завод приступил к </w:t>
      </w:r>
      <w:r w:rsidRPr="0044524F">
        <w:rPr>
          <w:color w:val="000000" w:themeColor="text1"/>
          <w:sz w:val="16"/>
          <w:szCs w:val="16"/>
        </w:rPr>
        <w:lastRenderedPageBreak/>
        <w:t>изучению своих неполадок. В августе было произведено изменение метода литья (подогрев изложницы, изменена конструкция литейной воронки и кольца) и усилен контроль над плавкой. В результате этого на следующей же серии в 10 отливок получены были трубы без трещин.</w:t>
      </w:r>
    </w:p>
    <w:p w14:paraId="3C8577A6"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Однако и тут завод недостаточно оценил необходимость более глубокого анализа всего процесса: почему все 10 труб вышли в брак при термообработке? Причиной этого брака явилось недостаточное изучение структуры металла после отливки. Оказалось, что в казенной части скапливается нездоровая часть металла на длине около 1</w:t>
      </w:r>
      <w:r w:rsidRPr="0044524F">
        <w:rPr>
          <w:color w:val="000000" w:themeColor="text1"/>
          <w:sz w:val="16"/>
          <w:szCs w:val="16"/>
        </w:rPr>
        <w:noBreakHyphen/>
        <w:t>1,5 калибров болванки, которая подлежит обязательному отбросу. В результате все 10 болванок вышли в брак. При систематическом изучении своих неполадок завод должен был бы обнаружить это явление на первой или второй болванке. После этого завод отлил еще 12 плавок — получил трубы без трещин и в настоящее время подвергает их термической обработке — результаты которой пока не получены. Необходимо также отметить, что завод отлил уже 140 плавок и, имея только четыре гарантированные удачные плавки, 124 бракованных и 12 пока неизвестных, не подверг исследованию ни влияние скоростей вращения, ни влияние угла наклона машины. Последнее обстоятельство тем более требуется поставить заводу в упрек, что международная практика не применяет машин центробежного литья с таким большим наклоном, а в подавляющем большинстве пользуется машинами горизонтального типа. В деле центробежного литья снарядов и орудийных стволов и труб необходимо ввести здоровое организационное начало и твердое руководство.</w:t>
      </w:r>
    </w:p>
    <w:p w14:paraId="674BE4BB"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По линии арсенальных работ в текущем году одной из крупных работ было приспособление зарядных ящиков для механической тяги (подрессоривание). В результате работы проведены по всем типам ящиков — но только по их передним ходам — а задние хода остались не подрессоренными, в результате работа не привела ни к какой цели, ни один ящик к мехтяге не приспособлен, т. к. хотя передний ход и подрессорен, но без подрессоренного заднего хода ящик на прицепку к трактору ставить нельзя.</w:t>
      </w:r>
    </w:p>
    <w:p w14:paraId="6592DA6F"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По снарядам из томассовой стали работы начаты еще в 1932 г. — Керченский завод отлил 17 плавок, не обследовав ни одной. В текущем году Харьковский институт металлов получил задание на эту работу. Он обследовал эти плавки — все 17 оказались неудовлетворительными. В 1934 г. эту работу придется начинать сначала — потеряно 2 года.</w:t>
      </w:r>
    </w:p>
    <w:p w14:paraId="4DD2C1DE"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Электротехнический институт ВЭИ разрабатывает макет (образец) радиостанции на ультракоротких волнах. При этом он разрабатывает вновь образцы всех деталей, несмотря на то, что большинство их по своему назначению не отличается от деталей существующих станций. Руководители этой работы в институте объяснили это тем, что им не удалось достать на заводах детали существующих установок, поэтому они делают эти детали по своему усмотрению.</w:t>
      </w:r>
    </w:p>
    <w:p w14:paraId="296450EB"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Таких примеров исключительной несогласованности и дезорганизации руководства можно привести еще много. Все это говорит за то, что дело опытных работ не получает того внимания и не имеет того руководства, которое необходимо. Без этого останется навсегда то положение, что мы добиваемся с большим трудом достигнуть тех результатов, которые за границей уже не считают нужным скрывать за устарелостью.</w:t>
      </w:r>
    </w:p>
    <w:p w14:paraId="08811719"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II. Отсутствие плана</w:t>
      </w:r>
    </w:p>
    <w:p w14:paraId="5B5FD7BF"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Отсутствие централизованного руководства приводит к тому, что единого плана в проведении опытных работ нет. Список опытных работ содержит до 1 тыс. заданий оборонного значения, распределенных между сотней заводов и научно-исследовательских институтов. В этом нагромождении тем, как правило, нет никакой взаимной связи. Нет твердой целеустановки: что добиваемся мы дать обороне страны за текущий год? Чем усилится боевая мощь Красной армии в результате проделанной работы? Какие, наконец, научные достижения будут поставлены на службу в виде конкретно построенных и переданных на валовое производство систем или приборов?</w:t>
      </w:r>
    </w:p>
    <w:p w14:paraId="06E4A709"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Необходимо при составлении плана опытных и научно-исследовательских работ на 1934 г. предварительно утвердить твердые и резко очертанные целевые установки для всего комплекса основных тем, очерчивающих основные задачи в усилении обороны Союза. На основе этих целевых установок должна производиться разработка отдельных тем, долженствующих в своем комплексе в исчерпывающей форме разрешить поставленные задания. Отдельные, оторванные задания могут быть допущены только там, где образовались неувязки благодаря неправильной тематике работ предыдущих лет, где требуется конкретизировать техническое использование ранее полученных отвлеченных разработок или где надо доработать тему для приближения ее к промышленным возможностям¹*.</w:t>
      </w:r>
    </w:p>
    <w:p w14:paraId="0CE8C649" w14:textId="77777777" w:rsidR="00AA4C72" w:rsidRPr="0044524F" w:rsidRDefault="00AA4C72"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Примечание</w:t>
      </w:r>
      <w:r w:rsidRPr="0044524F">
        <w:rPr>
          <w:color w:val="000000" w:themeColor="text1"/>
          <w:sz w:val="16"/>
          <w:szCs w:val="16"/>
        </w:rPr>
        <w:t>:</w:t>
      </w:r>
    </w:p>
    <w:p w14:paraId="590B92F8" w14:textId="77777777" w:rsidR="00AA4C72" w:rsidRPr="0044524F" w:rsidRDefault="00AA4C72" w:rsidP="009654CF">
      <w:pPr>
        <w:pStyle w:val="rtejustify"/>
        <w:spacing w:before="0" w:after="0"/>
        <w:rPr>
          <w:color w:val="000000" w:themeColor="text1"/>
          <w:sz w:val="16"/>
          <w:szCs w:val="16"/>
        </w:rPr>
      </w:pPr>
      <w:r w:rsidRPr="0044524F">
        <w:rPr>
          <w:color w:val="000000" w:themeColor="text1"/>
          <w:sz w:val="16"/>
          <w:szCs w:val="16"/>
        </w:rPr>
        <w:t>¹* Опущен раздел III — «Академичность тем и оторванность их от производства», а также заключительный раздел с предложениями по реорганизации опытных работ на заводах военной промышленности. Часть доклада в деле отсутствует.</w:t>
      </w:r>
    </w:p>
    <w:p w14:paraId="2C1213A1" w14:textId="77777777" w:rsidR="00AA4C72" w:rsidRPr="0044524F" w:rsidRDefault="00AA4C72" w:rsidP="009654CF">
      <w:pPr>
        <w:pStyle w:val="ae"/>
        <w:spacing w:before="0" w:after="0"/>
        <w:jc w:val="both"/>
        <w:rPr>
          <w:color w:val="000000" w:themeColor="text1"/>
          <w:sz w:val="16"/>
          <w:szCs w:val="16"/>
        </w:rPr>
      </w:pPr>
      <w:r w:rsidRPr="0044524F">
        <w:rPr>
          <w:color w:val="000000" w:themeColor="text1"/>
          <w:sz w:val="16"/>
          <w:szCs w:val="16"/>
        </w:rPr>
        <w:t>РГАЭ. Ф. 7297. Оп. 41. Д. 78. Л. 19-14. Копия (15284).</w:t>
      </w:r>
    </w:p>
    <w:p w14:paraId="4C87D1AB" w14:textId="77777777" w:rsidR="00AA4C72" w:rsidRPr="0044524F" w:rsidRDefault="00AA4C7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1836038" w14:textId="77777777" w:rsidR="00AA4C72" w:rsidRPr="0044524F" w:rsidRDefault="00AA4C72" w:rsidP="009654CF">
      <w:pPr>
        <w:pStyle w:val="rtejustify"/>
        <w:spacing w:before="0" w:after="0"/>
        <w:rPr>
          <w:color w:val="000000" w:themeColor="text1"/>
          <w:sz w:val="16"/>
          <w:szCs w:val="16"/>
        </w:rPr>
      </w:pPr>
      <w:r w:rsidRPr="0044524F">
        <w:rPr>
          <w:rStyle w:val="af0"/>
          <w:bCs/>
          <w:i w:val="0"/>
          <w:color w:val="000000" w:themeColor="text1"/>
          <w:sz w:val="16"/>
          <w:szCs w:val="16"/>
        </w:rPr>
        <w:t>20 октября</w:t>
      </w:r>
      <w:r w:rsidRPr="0044524F">
        <w:rPr>
          <w:color w:val="000000" w:themeColor="text1"/>
          <w:sz w:val="16"/>
          <w:szCs w:val="16"/>
        </w:rPr>
        <w:t xml:space="preserve"> 1933. Постановление СТО СССР № 97с/о «О распределении радиостанций военных типов в IV квартале 1933 г.». (ГА РФ. Ф. Р</w:t>
      </w:r>
      <w:r w:rsidRPr="0044524F">
        <w:rPr>
          <w:color w:val="000000" w:themeColor="text1"/>
          <w:sz w:val="16"/>
          <w:szCs w:val="16"/>
        </w:rPr>
        <w:noBreakHyphen/>
        <w:t>8418. Оп. 28. Д. 2. Л. 209) (15460).</w:t>
      </w:r>
    </w:p>
    <w:p w14:paraId="780F08AD" w14:textId="77777777" w:rsidR="00AA4C72" w:rsidRPr="0044524F" w:rsidRDefault="00AA4C72" w:rsidP="009654CF">
      <w:pPr>
        <w:pStyle w:val="rtejustify"/>
        <w:spacing w:before="0" w:after="0"/>
        <w:rPr>
          <w:color w:val="000000" w:themeColor="text1"/>
          <w:sz w:val="16"/>
          <w:szCs w:val="16"/>
        </w:rPr>
      </w:pPr>
    </w:p>
    <w:p w14:paraId="2510DFF0" w14:textId="548390F2" w:rsidR="00022A55" w:rsidRPr="0044524F" w:rsidRDefault="00022A55" w:rsidP="00022A55">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Жизнь и внутреняя политика</w:t>
      </w:r>
      <w:r w:rsidRPr="0044524F">
        <w:rPr>
          <w:rFonts w:ascii="Times New Roman" w:hAnsi="Times New Roman"/>
          <w:i/>
          <w:iCs/>
          <w:color w:val="000000" w:themeColor="text1"/>
          <w:sz w:val="16"/>
          <w:szCs w:val="16"/>
        </w:rPr>
        <w:t>:</w:t>
      </w:r>
    </w:p>
    <w:p w14:paraId="136BC69E" w14:textId="77777777" w:rsidR="00022A55" w:rsidRPr="0044524F" w:rsidRDefault="00022A55" w:rsidP="00022A55">
      <w:pPr>
        <w:autoSpaceDE w:val="0"/>
        <w:autoSpaceDN w:val="0"/>
        <w:adjustRightInd w:val="0"/>
        <w:spacing w:after="0" w:line="240" w:lineRule="auto"/>
        <w:jc w:val="both"/>
        <w:rPr>
          <w:rFonts w:ascii="Times New Roman" w:hAnsi="Times New Roman"/>
          <w:iCs/>
          <w:color w:val="000000" w:themeColor="text1"/>
          <w:sz w:val="16"/>
          <w:szCs w:val="16"/>
        </w:rPr>
      </w:pPr>
    </w:p>
    <w:p w14:paraId="71EE911E"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20 октября 1933 г. капит</w:t>
      </w:r>
      <w:r w:rsidRPr="00142305">
        <w:rPr>
          <w:rStyle w:val="aff"/>
          <w:rFonts w:ascii="Times New Roman" w:hAnsi="Times New Roman" w:cs="Times New Roman"/>
          <w:color w:val="0070C0"/>
          <w:spacing w:val="0"/>
          <w:sz w:val="16"/>
          <w:szCs w:val="16"/>
          <w:lang w:val="en-US"/>
        </w:rPr>
        <w:t>a</w:t>
      </w:r>
      <w:r w:rsidRPr="00142305">
        <w:rPr>
          <w:rStyle w:val="aff"/>
          <w:rFonts w:ascii="Times New Roman" w:hAnsi="Times New Roman" w:cs="Times New Roman"/>
          <w:color w:val="0070C0"/>
          <w:spacing w:val="0"/>
          <w:sz w:val="16"/>
          <w:szCs w:val="16"/>
        </w:rPr>
        <w:t xml:space="preserve">н </w:t>
      </w:r>
      <w:r w:rsidRPr="00022A55">
        <w:rPr>
          <w:rStyle w:val="aff"/>
          <w:rFonts w:ascii="Times New Roman" w:hAnsi="Times New Roman" w:cs="Times New Roman"/>
          <w:color w:val="0070C0"/>
          <w:sz w:val="16"/>
          <w:szCs w:val="16"/>
        </w:rPr>
        <w:t xml:space="preserve">ледореза </w:t>
      </w:r>
      <w:r w:rsidRPr="00142305">
        <w:rPr>
          <w:rStyle w:val="aff"/>
          <w:rFonts w:ascii="Times New Roman" w:hAnsi="Times New Roman" w:cs="Times New Roman"/>
          <w:color w:val="0070C0"/>
          <w:spacing w:val="0"/>
          <w:sz w:val="16"/>
          <w:szCs w:val="16"/>
        </w:rPr>
        <w:t>«Литке» П.М. Николаев отказал в помощи капитану «Челю</w:t>
      </w:r>
      <w:r w:rsidRPr="00142305">
        <w:rPr>
          <w:rStyle w:val="aff"/>
          <w:rFonts w:ascii="Times New Roman" w:hAnsi="Times New Roman" w:cs="Times New Roman"/>
          <w:color w:val="0070C0"/>
          <w:spacing w:val="0"/>
          <w:sz w:val="16"/>
          <w:szCs w:val="16"/>
        </w:rPr>
        <w:softHyphen/>
        <w:t>скина» В.И. Воронину. Вскоре, кое-как залатав пробонны, «Литке» сам предложил помощь «Челюскину», но на этот раз от неё отказался уже О.Ю. Шмидт. Ещё через 20 дней, отчаявшись самостоятельно выйти из дрейфа, «Челюскин» запросил срочной помощи ледореза, и тот сразу же вышел в море. Суда разделяло лишь 50 миль не самых тяжёлых льдов, во тут сказались повреждения, полученные при подходе к судам дальстроевских экспедиций. Уже самому «Литке» грозила зимовка, из-за отсутствия запасов угля и продоволь</w:t>
      </w:r>
      <w:r w:rsidRPr="00142305">
        <w:rPr>
          <w:rStyle w:val="aff"/>
          <w:rFonts w:ascii="Times New Roman" w:hAnsi="Times New Roman" w:cs="Times New Roman"/>
          <w:color w:val="0070C0"/>
          <w:spacing w:val="0"/>
          <w:sz w:val="16"/>
          <w:szCs w:val="16"/>
        </w:rPr>
        <w:softHyphen/>
        <w:t>ствия обречённому на трагедию. Заместитель руководителя Северо-Восточной полярной экспедиции опытный морской капитан А.П. Бочек даже предложил П.М. Николаеву вы</w:t>
      </w:r>
      <w:r w:rsidRPr="00142305">
        <w:rPr>
          <w:rStyle w:val="aff"/>
          <w:rFonts w:ascii="Times New Roman" w:hAnsi="Times New Roman" w:cs="Times New Roman"/>
          <w:color w:val="0070C0"/>
          <w:spacing w:val="0"/>
          <w:sz w:val="16"/>
          <w:szCs w:val="16"/>
        </w:rPr>
        <w:softHyphen/>
        <w:t>бросить ледорез па берег Аляски, чтобы спасти экипаж.</w:t>
      </w:r>
    </w:p>
    <w:p w14:paraId="68421FA9"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Остро встал вопрос и об эвакуации людей с «Севера». «Ха</w:t>
      </w:r>
      <w:r w:rsidRPr="00142305">
        <w:rPr>
          <w:rStyle w:val="aff"/>
          <w:rFonts w:ascii="Times New Roman" w:hAnsi="Times New Roman" w:cs="Times New Roman"/>
          <w:color w:val="0070C0"/>
          <w:spacing w:val="0"/>
          <w:sz w:val="16"/>
          <w:szCs w:val="16"/>
        </w:rPr>
        <w:softHyphen/>
        <w:t>баровска» и «Анадыря», которым грозила гибель от голода и болезней. Единственным самолётом, способным выполнить эти задачи, оказался «дышавший на ладан» ЮГ-1 иод номе</w:t>
      </w:r>
      <w:r w:rsidRPr="00142305">
        <w:rPr>
          <w:rStyle w:val="aff"/>
          <w:rFonts w:ascii="Times New Roman" w:hAnsi="Times New Roman" w:cs="Times New Roman"/>
          <w:color w:val="0070C0"/>
          <w:spacing w:val="0"/>
          <w:sz w:val="16"/>
          <w:szCs w:val="16"/>
        </w:rPr>
        <w:softHyphen/>
        <w:t>ром Н-4 Ф.К. Куканова (25635).</w:t>
      </w:r>
    </w:p>
    <w:p w14:paraId="4BC588A9" w14:textId="77777777" w:rsidR="00022A55" w:rsidRPr="00142305" w:rsidRDefault="00022A55" w:rsidP="00022A55">
      <w:pPr>
        <w:spacing w:after="0" w:line="240" w:lineRule="auto"/>
        <w:jc w:val="both"/>
        <w:rPr>
          <w:rStyle w:val="aff"/>
          <w:rFonts w:ascii="Times New Roman" w:hAnsi="Times New Roman" w:cs="Times New Roman"/>
          <w:color w:val="0070C0"/>
          <w:spacing w:val="0"/>
          <w:sz w:val="16"/>
          <w:szCs w:val="16"/>
        </w:rPr>
      </w:pPr>
    </w:p>
    <w:p w14:paraId="73CCC7DC"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21C3C3C"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03F804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20 и 26 октября 1933. Из протокола заседания Политбюро N148, особая папка, 1933 г.</w:t>
      </w:r>
    </w:p>
    <w:p w14:paraId="7F28B2E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поездке т. Литвинова </w:t>
      </w:r>
    </w:p>
    <w:p w14:paraId="5765227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Считать целесообразной остановку т. Литвинова в Берлине и не отказываться от беседы с Нейратом или если пожелает Гитлер, то и с ним. </w:t>
      </w:r>
    </w:p>
    <w:p w14:paraId="5DE7E62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 случае, если немцы будут предлагать подписать протокол о том, что все конфликты улажены, идти на это можно при условии, если они публично в той или иной извиняющейся форме выразят сожаление по поводу ряда неправильных действий германских властей в конфликте о журналистах. Если же они протокола требовать не будут, то ограничиться беседой в тоне, дающем им понять, что мы не намерены углублять конфликт и готовы сделать все необходимое для восстановления прежних отношений (11652).</w:t>
      </w:r>
    </w:p>
    <w:p w14:paraId="2475457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1F734F5"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3B77A76"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0E1EA7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21 октября 1933 К-7 сделал семь опытных полетов. Серворули отладили (70,232). По другим данным это был только 6-й полет после уменьшения компенсации серворулей РН. Время полета 0:25. Разбег - 20 сек. - 244 м, пробег - 195 м. Полетный вес 29.5 тон. 1000 м набрали за 9 мин., скорость - 180 км/час. Отмечена слабость обшивки около заднего мотора и в передних лазах шасси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27973CFF" w14:textId="77777777">
        <w:tc>
          <w:tcPr>
            <w:tcW w:w="1384" w:type="dxa"/>
            <w:tcBorders>
              <w:top w:val="single" w:sz="12" w:space="0" w:color="auto"/>
            </w:tcBorders>
          </w:tcPr>
          <w:p w14:paraId="25EBC84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616EC30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713CB3B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40C75AF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AF93D0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06A5F43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713246B0" w14:textId="77777777">
        <w:tc>
          <w:tcPr>
            <w:tcW w:w="1384" w:type="dxa"/>
            <w:tcBorders>
              <w:bottom w:val="single" w:sz="12" w:space="0" w:color="auto"/>
            </w:tcBorders>
          </w:tcPr>
          <w:p w14:paraId="700BDA0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октября 1933</w:t>
            </w:r>
          </w:p>
        </w:tc>
        <w:tc>
          <w:tcPr>
            <w:tcW w:w="2410" w:type="dxa"/>
            <w:tcBorders>
              <w:bottom w:val="single" w:sz="12" w:space="0" w:color="auto"/>
            </w:tcBorders>
          </w:tcPr>
          <w:p w14:paraId="11B72A4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6-й полет после уменьшения компенсации серворулей поворота</w:t>
            </w:r>
          </w:p>
        </w:tc>
        <w:tc>
          <w:tcPr>
            <w:tcW w:w="1089" w:type="dxa"/>
            <w:tcBorders>
              <w:bottom w:val="single" w:sz="12" w:space="0" w:color="auto"/>
            </w:tcBorders>
          </w:tcPr>
          <w:p w14:paraId="3ADD145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- 0:7</w:t>
            </w:r>
          </w:p>
          <w:p w14:paraId="4E62632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- 2:02</w:t>
            </w:r>
          </w:p>
          <w:p w14:paraId="2F830B0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- 0:25</w:t>
            </w:r>
          </w:p>
        </w:tc>
        <w:tc>
          <w:tcPr>
            <w:tcW w:w="3447" w:type="dxa"/>
            <w:tcBorders>
              <w:bottom w:val="single" w:sz="12" w:space="0" w:color="auto"/>
            </w:tcBorders>
          </w:tcPr>
          <w:p w14:paraId="514A5A3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 - 20 сек., 244 м</w:t>
            </w:r>
          </w:p>
          <w:p w14:paraId="2C74C26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Пробег 195 м</w:t>
            </w:r>
          </w:p>
          <w:p w14:paraId="1653E1D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29,5 т</w:t>
            </w:r>
          </w:p>
          <w:p w14:paraId="2B0C7DF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1150 м</w:t>
            </w:r>
          </w:p>
          <w:p w14:paraId="1949BD7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Набор 1000 м - 9 мин.</w:t>
            </w:r>
          </w:p>
          <w:p w14:paraId="3CF6F37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Нормальное действие серворулей и рулей поворота</w:t>
            </w:r>
          </w:p>
          <w:p w14:paraId="68E72FF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- 180 км/час</w:t>
            </w:r>
          </w:p>
        </w:tc>
        <w:tc>
          <w:tcPr>
            <w:tcW w:w="1776" w:type="dxa"/>
            <w:tcBorders>
              <w:bottom w:val="single" w:sz="12" w:space="0" w:color="auto"/>
            </w:tcBorders>
          </w:tcPr>
          <w:p w14:paraId="0828DE3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Слабость обшивки около заднего мотора и в передних лазах шасси (устранено)</w:t>
            </w:r>
          </w:p>
        </w:tc>
        <w:tc>
          <w:tcPr>
            <w:tcW w:w="1105" w:type="dxa"/>
            <w:tcBorders>
              <w:bottom w:val="single" w:sz="12" w:space="0" w:color="auto"/>
            </w:tcBorders>
          </w:tcPr>
          <w:p w14:paraId="22E2C87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30CEC1A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06E7025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751E76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21 октября 1933 удалось довести до нормы работу серворулей К-7. Их раскачивание исчезло, а усилия на органах управления находились в приемлемых для пилотов пределах.</w:t>
      </w:r>
    </w:p>
    <w:p w14:paraId="4C27107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в ноябре один из полетов чуть не закончился аварией. Отказал механизм поворота стабилизатора. На третьем заходе на посадку огромный самолет рухнул на землю с высоты около 9 м, но не разрушился, а подпрыгнул несколько раз и остановился. Машину спасли большие колеса низкого давления, погасившие удар. При осмотре в цепи привода стабилизатора нашли болт, мешавший ее перемещению. Но ОГПУ сочло это случайностью, а не диверсией. Существенных повреждений после падения К-7 не получил; ограничились заменой некоторых приборов и отдельных деталей.</w:t>
      </w:r>
    </w:p>
    <w:p w14:paraId="11AE977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Замеренные на испытаниях скорость и скороподъемность самолета оказались ниже расчетных. Скорость составляла 213 км/ч, практический потолок - 3650 м. Дальность оценивалась в 2000 км. Калинин упорно старался их "дожать" до требований задания. Дату полета над мерной базой несколько раз переносили из-за плохой погоды. Наконец, 21 ноября он состоялся. На борту гиганта находились 20 человек. На полном газу машина прошла первый створ. При высоких оборотах моторов и ранее наблюдался бафтинг хвостовых балок. По показаниям очевидцев, было слышно, как лопнула труба лонжерона левой балки. Ее разошедшиеся концы зажали управление рулем высоты. В 5 км от аэродрома К-7 клюнул носом и пошел к земле под углом около 40 градусов. При ударе сначала разлетелось шасси, затем машина ударилась носом фюзеляжа о землю. Шасси и переднюю гондолу подмяло под крыло. Начался пожар, взорвались бензобаки. Вся полотняная обшивка крыла быстро сгорела. Через несколько минут рядом совершили посадку два самолета сопровождения, подъехали автомобили. Три члена экипажа смогли вылезти сами, еще четверых живых вытащили спасатели, но двое умерли по дороге в больницу. В общей сложности пятнадцать человек, включая командира самолета, погибли.</w:t>
      </w:r>
    </w:p>
    <w:p w14:paraId="71F596F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Расследовавшая катастрофу комиссия под председательством заместителя начальника штаба ВВС В.К. Лаврова пришла к выводу, что основной причиной явилась ранее не запланированная установка седьмого мотора, которая создавала сильное вихреобразование на хвостовом оперении, усугубляемое воздействием вынесенных на длинных балках серворулей и недостаточной жесткостью ферм. В акте записано: "Катастрофа самолета К-7 произошла из-за потери управляемости самолета в продольном направлении, что было вызвано деформацией хвостовой части самолета". Сам же Калинин говорил о диверсии, приведшей к гибели гиганта (12036).</w:t>
      </w:r>
    </w:p>
    <w:p w14:paraId="75AD0FF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2FC060E"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21 октября 1933 г. на К-7 удалось довести до нормы работу сер</w:t>
      </w:r>
      <w:r w:rsidRPr="00142305">
        <w:rPr>
          <w:rFonts w:ascii="Times New Roman" w:hAnsi="Times New Roman"/>
          <w:color w:val="0070C0"/>
          <w:sz w:val="16"/>
          <w:szCs w:val="16"/>
        </w:rPr>
        <w:softHyphen/>
        <w:t>ворулей. Их раскачивание исчезло, а усилия на органах уп</w:t>
      </w:r>
      <w:r w:rsidRPr="00142305">
        <w:rPr>
          <w:rFonts w:ascii="Times New Roman" w:hAnsi="Times New Roman"/>
          <w:color w:val="0070C0"/>
          <w:sz w:val="16"/>
          <w:szCs w:val="16"/>
        </w:rPr>
        <w:softHyphen/>
        <w:t>равления находились в приемлемых для пилотов пределах (24977).</w:t>
      </w:r>
    </w:p>
    <w:p w14:paraId="498139E0" w14:textId="77777777" w:rsidR="00022A55" w:rsidRPr="00142305" w:rsidRDefault="00022A55" w:rsidP="00022A55">
      <w:pPr>
        <w:spacing w:after="0" w:line="240" w:lineRule="auto"/>
        <w:jc w:val="both"/>
        <w:rPr>
          <w:rFonts w:ascii="Times New Roman" w:hAnsi="Times New Roman"/>
          <w:color w:val="0070C0"/>
          <w:sz w:val="16"/>
          <w:szCs w:val="16"/>
        </w:rPr>
      </w:pPr>
    </w:p>
    <w:p w14:paraId="0B4A645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октября 1933 Нач. НТОС ГУАП Алмазов писал письмо N 282/645с Нач. 8 сектора НИИ ВВС Ганулину (копия ЦКБ завода 39):</w:t>
      </w:r>
    </w:p>
    <w:p w14:paraId="3FF8A0A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"Настоящим прошу прислать в адрес 5 бригады ЦКБ завода 39 сводку испытаний С-62бис АССО 150 с предкрылками типа МБР-4.</w:t>
      </w:r>
    </w:p>
    <w:p w14:paraId="4037AC8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предкрылки разработаны ЦКБ и в ближайшее время будут установлены на 2-х машинах из серии на заводе 31 для выявления их качеств в эксплуатации." (2305).</w:t>
      </w:r>
    </w:p>
    <w:p w14:paraId="32E1FDE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22D53D83"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ок</w:t>
      </w:r>
      <w:r w:rsidRPr="0044524F">
        <w:rPr>
          <w:rFonts w:ascii="Times New Roman" w:hAnsi="Times New Roman"/>
          <w:color w:val="000000" w:themeColor="text1"/>
          <w:sz w:val="16"/>
          <w:szCs w:val="16"/>
        </w:rPr>
        <w:softHyphen/>
        <w:t>тября 1933 г. из Владивостока вышел паро</w:t>
      </w:r>
      <w:r w:rsidRPr="0044524F">
        <w:rPr>
          <w:rFonts w:ascii="Times New Roman" w:hAnsi="Times New Roman"/>
          <w:color w:val="000000" w:themeColor="text1"/>
          <w:sz w:val="16"/>
          <w:szCs w:val="16"/>
        </w:rPr>
        <w:softHyphen/>
        <w:t>ход «Сергей Киров» с двумя разобранными ТБ-1 из 28-й ТБАБ ОКДВА. В Петропавлов</w:t>
      </w:r>
      <w:r w:rsidRPr="0044524F">
        <w:rPr>
          <w:rFonts w:ascii="Times New Roman" w:hAnsi="Times New Roman"/>
          <w:color w:val="000000" w:themeColor="text1"/>
          <w:sz w:val="16"/>
          <w:szCs w:val="16"/>
        </w:rPr>
        <w:softHyphen/>
        <w:t>ске самолеты перегрузили на судно «Смо</w:t>
      </w:r>
      <w:r w:rsidRPr="0044524F">
        <w:rPr>
          <w:rFonts w:ascii="Times New Roman" w:hAnsi="Times New Roman"/>
          <w:color w:val="000000" w:themeColor="text1"/>
          <w:sz w:val="16"/>
          <w:szCs w:val="16"/>
        </w:rPr>
        <w:softHyphen/>
        <w:t>ленск», следовавшее с грузом угля в бухту Провидения. В конце ноября ТБ-1 выгрузи</w:t>
      </w:r>
      <w:r w:rsidRPr="0044524F">
        <w:rPr>
          <w:rFonts w:ascii="Times New Roman" w:hAnsi="Times New Roman"/>
          <w:color w:val="000000" w:themeColor="text1"/>
          <w:sz w:val="16"/>
          <w:szCs w:val="16"/>
        </w:rPr>
        <w:softHyphen/>
        <w:t>ли на лед, собрали и облетали. Наиболее опытным пилотом в составе этой авиагруп</w:t>
      </w:r>
      <w:r w:rsidRPr="0044524F">
        <w:rPr>
          <w:rFonts w:ascii="Times New Roman" w:hAnsi="Times New Roman"/>
          <w:color w:val="000000" w:themeColor="text1"/>
          <w:sz w:val="16"/>
          <w:szCs w:val="16"/>
        </w:rPr>
        <w:softHyphen/>
        <w:t>пы оказался военный летчик А.В. Ляпидев</w:t>
      </w:r>
      <w:r w:rsidRPr="0044524F">
        <w:rPr>
          <w:rFonts w:ascii="Times New Roman" w:hAnsi="Times New Roman"/>
          <w:color w:val="000000" w:themeColor="text1"/>
          <w:sz w:val="16"/>
          <w:szCs w:val="16"/>
        </w:rPr>
        <w:softHyphen/>
        <w:t>ский, который годом ранее прошел обуче</w:t>
      </w:r>
      <w:r w:rsidRPr="0044524F">
        <w:rPr>
          <w:rFonts w:ascii="Times New Roman" w:hAnsi="Times New Roman"/>
          <w:color w:val="000000" w:themeColor="text1"/>
          <w:sz w:val="16"/>
          <w:szCs w:val="16"/>
        </w:rPr>
        <w:softHyphen/>
        <w:t>ние полетам на ТБ-1 в НИИ ВВС, а затем много летал на этом типе в строевых частях. В декабре начальником спасательной экспедиции назначили опытного полярника Г.Д. Красинского, по мнению которого, по</w:t>
      </w:r>
      <w:r w:rsidRPr="0044524F">
        <w:rPr>
          <w:rFonts w:ascii="Times New Roman" w:hAnsi="Times New Roman"/>
          <w:color w:val="000000" w:themeColor="text1"/>
          <w:sz w:val="16"/>
          <w:szCs w:val="16"/>
        </w:rPr>
        <w:softHyphen/>
        <w:t>ложение «Челюскина» становилось безвы</w:t>
      </w:r>
      <w:r w:rsidRPr="0044524F">
        <w:rPr>
          <w:rFonts w:ascii="Times New Roman" w:hAnsi="Times New Roman"/>
          <w:color w:val="000000" w:themeColor="text1"/>
          <w:sz w:val="16"/>
          <w:szCs w:val="16"/>
        </w:rPr>
        <w:softHyphen/>
        <w:t>ходным, и снимать людей с него следовало в первую очередь. После этого 20 декабря один ТБ-1 перелетел на промежуточную ба</w:t>
      </w:r>
      <w:r w:rsidRPr="0044524F">
        <w:rPr>
          <w:rFonts w:ascii="Times New Roman" w:hAnsi="Times New Roman"/>
          <w:color w:val="000000" w:themeColor="text1"/>
          <w:sz w:val="16"/>
          <w:szCs w:val="16"/>
        </w:rPr>
        <w:softHyphen/>
        <w:t>зу Уэллен на мысе Дежнева. Оттуда в конце декабря Ляпидевский дважды пытался вы</w:t>
      </w:r>
      <w:r w:rsidRPr="0044524F">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44524F">
        <w:rPr>
          <w:rFonts w:ascii="Times New Roman" w:hAnsi="Times New Roman"/>
          <w:color w:val="000000" w:themeColor="text1"/>
          <w:sz w:val="16"/>
          <w:szCs w:val="16"/>
        </w:rPr>
        <w:softHyphen/>
        <w:t>вращался. Затем на самолете иссяк запас сжатого воздуха, и Ляпидевскому пришлось вернуться в бухту Провидения за второй машиной. Она числилась за летчиком Чер</w:t>
      </w:r>
      <w:r w:rsidRPr="0044524F">
        <w:rPr>
          <w:rFonts w:ascii="Times New Roman" w:hAnsi="Times New Roman"/>
          <w:color w:val="000000" w:themeColor="text1"/>
          <w:sz w:val="16"/>
          <w:szCs w:val="16"/>
        </w:rPr>
        <w:softHyphen/>
        <w:t>нявским, однако решили, что полеты про</w:t>
      </w:r>
      <w:r w:rsidRPr="0044524F">
        <w:rPr>
          <w:rFonts w:ascii="Times New Roman" w:hAnsi="Times New Roman"/>
          <w:color w:val="000000" w:themeColor="text1"/>
          <w:sz w:val="16"/>
          <w:szCs w:val="16"/>
        </w:rPr>
        <w:softHyphen/>
        <w:t>должит именно Ляпидевский. Двухнедель</w:t>
      </w:r>
      <w:r w:rsidRPr="0044524F">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44524F">
        <w:rPr>
          <w:rFonts w:ascii="Times New Roman" w:hAnsi="Times New Roman"/>
          <w:color w:val="000000" w:themeColor="text1"/>
          <w:sz w:val="16"/>
          <w:szCs w:val="16"/>
        </w:rPr>
        <w:softHyphen/>
        <w:t>жали начало спасения людей (11286).</w:t>
      </w:r>
    </w:p>
    <w:p w14:paraId="69A59AD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131F231" w14:textId="77777777" w:rsidR="008A5189" w:rsidRPr="0044524F" w:rsidRDefault="008A518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октября 1933 из Владивостока вышел пароход «Сергей Киров», на нем находились два разобранных АНТ-4. Начальником экспедиции уполномоченный Севморпути назначил летчика-наблюдателя Петрова. Ляпидевский стал командиром одного из самолётов, лётчик Конкин — командиром звена и политруководителем. В Петропавловске само</w:t>
      </w:r>
      <w:r w:rsidRPr="0044524F">
        <w:rPr>
          <w:rFonts w:ascii="Times New Roman" w:hAnsi="Times New Roman"/>
          <w:color w:val="000000" w:themeColor="text1"/>
          <w:sz w:val="16"/>
          <w:szCs w:val="16"/>
        </w:rPr>
        <w:softHyphen/>
        <w:t>лёты перегрузили на госпитальное судно «Смоленск». Оно должно было доставить в бухту Провидения уголь для стоявших там пароходов «Литке», «Лейтенант Шмидт» и «Свердловск» и затем служить базой для переброски больных с зимующих пароходов (15822).</w:t>
      </w:r>
    </w:p>
    <w:p w14:paraId="4424EB3C" w14:textId="77777777" w:rsidR="008A5189" w:rsidRPr="0044524F" w:rsidRDefault="008A5189" w:rsidP="009654CF">
      <w:pPr>
        <w:spacing w:after="0" w:line="240" w:lineRule="auto"/>
        <w:jc w:val="both"/>
        <w:rPr>
          <w:rFonts w:ascii="Times New Roman" w:hAnsi="Times New Roman"/>
          <w:color w:val="000000" w:themeColor="text1"/>
          <w:sz w:val="16"/>
          <w:szCs w:val="16"/>
        </w:rPr>
      </w:pPr>
    </w:p>
    <w:p w14:paraId="576147CB"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A0C1F45"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E1882D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22 октября по 5 декабря 1933 года проходили гос. испытания эталона самолета ТБ3-4М34Р (редукторного) (6663).</w:t>
      </w:r>
    </w:p>
    <w:p w14:paraId="1D5F633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6F6E264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инженеры Лосюков, Кудрявцев</w:t>
      </w:r>
    </w:p>
    <w:p w14:paraId="6FBF177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Байдуков</w:t>
      </w:r>
    </w:p>
    <w:p w14:paraId="10F4B1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164E851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самолета с целью выявления преимуществ, которые дает установка на самолете моторов М34Р (редукторных).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10"/>
        <w:gridCol w:w="1418"/>
        <w:gridCol w:w="1417"/>
        <w:gridCol w:w="1843"/>
        <w:gridCol w:w="2125"/>
      </w:tblGrid>
      <w:tr w:rsidR="004E10C1" w:rsidRPr="0044524F" w14:paraId="100FAF19" w14:textId="77777777">
        <w:tc>
          <w:tcPr>
            <w:tcW w:w="3510" w:type="dxa"/>
          </w:tcPr>
          <w:p w14:paraId="5D55826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34786D3B"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ТБ3-4М34Р</w:t>
            </w:r>
          </w:p>
        </w:tc>
        <w:tc>
          <w:tcPr>
            <w:tcW w:w="1417" w:type="dxa"/>
          </w:tcPr>
          <w:p w14:paraId="0B0332A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843" w:type="dxa"/>
          </w:tcPr>
          <w:p w14:paraId="14BBB9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2125" w:type="dxa"/>
          </w:tcPr>
          <w:p w14:paraId="00D5404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r>
      <w:tr w:rsidR="004E10C1" w:rsidRPr="0044524F" w14:paraId="19F7DA59" w14:textId="77777777">
        <w:tc>
          <w:tcPr>
            <w:tcW w:w="3510" w:type="dxa"/>
          </w:tcPr>
          <w:p w14:paraId="44BD1A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25B2D7C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90CF4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611106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модифицир.</w:t>
            </w:r>
          </w:p>
        </w:tc>
        <w:tc>
          <w:tcPr>
            <w:tcW w:w="2125" w:type="dxa"/>
          </w:tcPr>
          <w:p w14:paraId="6534143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FB794DA" w14:textId="77777777">
        <w:tc>
          <w:tcPr>
            <w:tcW w:w="3510" w:type="dxa"/>
          </w:tcPr>
          <w:p w14:paraId="5480386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самолета</w:t>
            </w:r>
          </w:p>
        </w:tc>
        <w:tc>
          <w:tcPr>
            <w:tcW w:w="1418" w:type="dxa"/>
          </w:tcPr>
          <w:p w14:paraId="5601EBB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18600</w:t>
            </w:r>
          </w:p>
        </w:tc>
        <w:tc>
          <w:tcPr>
            <w:tcW w:w="1417" w:type="dxa"/>
          </w:tcPr>
          <w:p w14:paraId="22BBB85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18100</w:t>
            </w:r>
          </w:p>
        </w:tc>
        <w:tc>
          <w:tcPr>
            <w:tcW w:w="1843" w:type="dxa"/>
          </w:tcPr>
          <w:p w14:paraId="169B058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17200</w:t>
            </w:r>
          </w:p>
        </w:tc>
        <w:tc>
          <w:tcPr>
            <w:tcW w:w="2125" w:type="dxa"/>
          </w:tcPr>
          <w:p w14:paraId="542F901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17200</w:t>
            </w:r>
          </w:p>
        </w:tc>
      </w:tr>
      <w:tr w:rsidR="004E10C1" w:rsidRPr="0044524F" w14:paraId="5BC7A343" w14:textId="77777777">
        <w:tc>
          <w:tcPr>
            <w:tcW w:w="3510" w:type="dxa"/>
          </w:tcPr>
          <w:p w14:paraId="00D6488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у земли</w:t>
            </w:r>
          </w:p>
        </w:tc>
        <w:tc>
          <w:tcPr>
            <w:tcW w:w="1418" w:type="dxa"/>
          </w:tcPr>
          <w:p w14:paraId="37A890D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229,0</w:t>
            </w:r>
          </w:p>
        </w:tc>
        <w:tc>
          <w:tcPr>
            <w:tcW w:w="1417" w:type="dxa"/>
          </w:tcPr>
          <w:p w14:paraId="58C9A4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207,5</w:t>
            </w:r>
          </w:p>
        </w:tc>
        <w:tc>
          <w:tcPr>
            <w:tcW w:w="1843" w:type="dxa"/>
          </w:tcPr>
          <w:p w14:paraId="4AC08AD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215(4)/</w:t>
            </w:r>
          </w:p>
        </w:tc>
        <w:tc>
          <w:tcPr>
            <w:tcW w:w="2125" w:type="dxa"/>
          </w:tcPr>
          <w:p w14:paraId="579A76A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184(1)</w:t>
            </w:r>
          </w:p>
        </w:tc>
      </w:tr>
      <w:tr w:rsidR="004E10C1" w:rsidRPr="0044524F" w14:paraId="0506DA81" w14:textId="77777777">
        <w:tc>
          <w:tcPr>
            <w:tcW w:w="3510" w:type="dxa"/>
          </w:tcPr>
          <w:p w14:paraId="14CF281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8" w:type="dxa"/>
          </w:tcPr>
          <w:p w14:paraId="6A40EF2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22FF2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843" w:type="dxa"/>
          </w:tcPr>
          <w:p w14:paraId="51A4966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187(1)</w:t>
            </w:r>
          </w:p>
        </w:tc>
        <w:tc>
          <w:tcPr>
            <w:tcW w:w="2125" w:type="dxa"/>
          </w:tcPr>
          <w:p w14:paraId="3229B4B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D94ED93" w14:textId="77777777">
        <w:tc>
          <w:tcPr>
            <w:tcW w:w="3510" w:type="dxa"/>
          </w:tcPr>
          <w:p w14:paraId="72F92A4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на 3000 м</w:t>
            </w:r>
          </w:p>
        </w:tc>
        <w:tc>
          <w:tcPr>
            <w:tcW w:w="1418" w:type="dxa"/>
          </w:tcPr>
          <w:p w14:paraId="5BD8C8F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211,0</w:t>
            </w:r>
          </w:p>
        </w:tc>
        <w:tc>
          <w:tcPr>
            <w:tcW w:w="1417" w:type="dxa"/>
          </w:tcPr>
          <w:p w14:paraId="26A2119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w:t>
            </w:r>
          </w:p>
        </w:tc>
        <w:tc>
          <w:tcPr>
            <w:tcW w:w="1843" w:type="dxa"/>
          </w:tcPr>
          <w:p w14:paraId="32894BE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w:t>
            </w:r>
          </w:p>
        </w:tc>
        <w:tc>
          <w:tcPr>
            <w:tcW w:w="2125" w:type="dxa"/>
          </w:tcPr>
          <w:p w14:paraId="5831E7C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177</w:t>
            </w:r>
          </w:p>
        </w:tc>
      </w:tr>
      <w:tr w:rsidR="004E10C1" w:rsidRPr="0044524F" w14:paraId="2275CD1B" w14:textId="77777777">
        <w:tc>
          <w:tcPr>
            <w:tcW w:w="3510" w:type="dxa"/>
          </w:tcPr>
          <w:p w14:paraId="256AC9B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1000 м</w:t>
            </w:r>
          </w:p>
        </w:tc>
        <w:tc>
          <w:tcPr>
            <w:tcW w:w="1418" w:type="dxa"/>
          </w:tcPr>
          <w:p w14:paraId="0CC8420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4,1 </w:t>
            </w:r>
          </w:p>
        </w:tc>
        <w:tc>
          <w:tcPr>
            <w:tcW w:w="1417" w:type="dxa"/>
          </w:tcPr>
          <w:p w14:paraId="7998C467"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843" w:type="dxa"/>
          </w:tcPr>
          <w:p w14:paraId="74B38B6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2125" w:type="dxa"/>
          </w:tcPr>
          <w:p w14:paraId="26F8663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w:t>
            </w:r>
          </w:p>
        </w:tc>
      </w:tr>
      <w:tr w:rsidR="004E10C1" w:rsidRPr="0044524F" w14:paraId="4638A307" w14:textId="77777777">
        <w:tc>
          <w:tcPr>
            <w:tcW w:w="3510" w:type="dxa"/>
          </w:tcPr>
          <w:p w14:paraId="1C4A541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3000 м</w:t>
            </w:r>
          </w:p>
        </w:tc>
        <w:tc>
          <w:tcPr>
            <w:tcW w:w="1418" w:type="dxa"/>
          </w:tcPr>
          <w:p w14:paraId="6A888A3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17,6</w:t>
            </w:r>
          </w:p>
        </w:tc>
        <w:tc>
          <w:tcPr>
            <w:tcW w:w="1417" w:type="dxa"/>
          </w:tcPr>
          <w:p w14:paraId="132B18A1"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32,8</w:t>
            </w:r>
          </w:p>
        </w:tc>
        <w:tc>
          <w:tcPr>
            <w:tcW w:w="1843" w:type="dxa"/>
          </w:tcPr>
          <w:p w14:paraId="775C984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29,5</w:t>
            </w:r>
          </w:p>
        </w:tc>
        <w:tc>
          <w:tcPr>
            <w:tcW w:w="2125" w:type="dxa"/>
          </w:tcPr>
          <w:p w14:paraId="3649BF3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w:t>
            </w:r>
          </w:p>
        </w:tc>
      </w:tr>
      <w:tr w:rsidR="004E10C1" w:rsidRPr="0044524F" w14:paraId="38E2EA11" w14:textId="77777777">
        <w:tc>
          <w:tcPr>
            <w:tcW w:w="3510" w:type="dxa"/>
          </w:tcPr>
          <w:p w14:paraId="05D3106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w:t>
            </w:r>
          </w:p>
        </w:tc>
        <w:tc>
          <w:tcPr>
            <w:tcW w:w="1418" w:type="dxa"/>
          </w:tcPr>
          <w:p w14:paraId="0D29C0A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4500</w:t>
            </w:r>
          </w:p>
        </w:tc>
        <w:tc>
          <w:tcPr>
            <w:tcW w:w="1417" w:type="dxa"/>
          </w:tcPr>
          <w:p w14:paraId="15D069B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3900</w:t>
            </w:r>
          </w:p>
        </w:tc>
        <w:tc>
          <w:tcPr>
            <w:tcW w:w="1843" w:type="dxa"/>
          </w:tcPr>
          <w:p w14:paraId="77752B6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4800</w:t>
            </w:r>
          </w:p>
        </w:tc>
        <w:tc>
          <w:tcPr>
            <w:tcW w:w="2125" w:type="dxa"/>
          </w:tcPr>
          <w:p w14:paraId="65102ED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3800</w:t>
            </w:r>
          </w:p>
        </w:tc>
      </w:tr>
      <w:tr w:rsidR="004E10C1" w:rsidRPr="0044524F" w14:paraId="045CBC50" w14:textId="77777777">
        <w:tc>
          <w:tcPr>
            <w:tcW w:w="3510" w:type="dxa"/>
          </w:tcPr>
          <w:p w14:paraId="743A6BD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практический потолок</w:t>
            </w:r>
          </w:p>
        </w:tc>
        <w:tc>
          <w:tcPr>
            <w:tcW w:w="1418" w:type="dxa"/>
          </w:tcPr>
          <w:p w14:paraId="0047CC8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50,6</w:t>
            </w:r>
          </w:p>
        </w:tc>
        <w:tc>
          <w:tcPr>
            <w:tcW w:w="1417" w:type="dxa"/>
          </w:tcPr>
          <w:p w14:paraId="5D7E448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73,4</w:t>
            </w:r>
          </w:p>
        </w:tc>
        <w:tc>
          <w:tcPr>
            <w:tcW w:w="1843" w:type="dxa"/>
          </w:tcPr>
          <w:p w14:paraId="50173DE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82,1</w:t>
            </w:r>
          </w:p>
        </w:tc>
        <w:tc>
          <w:tcPr>
            <w:tcW w:w="2125" w:type="dxa"/>
          </w:tcPr>
          <w:p w14:paraId="26AE3610"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85,5</w:t>
            </w:r>
          </w:p>
        </w:tc>
      </w:tr>
      <w:tr w:rsidR="004E10C1" w:rsidRPr="0044524F" w14:paraId="55AD58D2" w14:textId="77777777">
        <w:tc>
          <w:tcPr>
            <w:tcW w:w="3510" w:type="dxa"/>
          </w:tcPr>
          <w:p w14:paraId="74B0FAE3"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w:t>
            </w:r>
          </w:p>
        </w:tc>
        <w:tc>
          <w:tcPr>
            <w:tcW w:w="1418" w:type="dxa"/>
          </w:tcPr>
          <w:p w14:paraId="4495CEA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150-200</w:t>
            </w:r>
          </w:p>
        </w:tc>
        <w:tc>
          <w:tcPr>
            <w:tcW w:w="1417" w:type="dxa"/>
          </w:tcPr>
          <w:p w14:paraId="42259DA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300-490</w:t>
            </w:r>
          </w:p>
        </w:tc>
        <w:tc>
          <w:tcPr>
            <w:tcW w:w="1843" w:type="dxa"/>
          </w:tcPr>
          <w:p w14:paraId="381D15D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125" w:type="dxa"/>
          </w:tcPr>
          <w:p w14:paraId="4EDB7F3E"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300-450</w:t>
            </w:r>
          </w:p>
        </w:tc>
      </w:tr>
    </w:tbl>
    <w:p w14:paraId="76354E5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760A9E6A"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нормальный газ</w:t>
      </w:r>
    </w:p>
    <w:p w14:paraId="106C47D0"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чистый бакинский</w:t>
      </w:r>
    </w:p>
    <w:p w14:paraId="250BC16B"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бензольная смесь</w:t>
      </w:r>
    </w:p>
    <w:p w14:paraId="4F07EAF4"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форсированный газ</w:t>
      </w:r>
    </w:p>
    <w:p w14:paraId="7DCD7E9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13754313" w14:textId="77777777">
        <w:tc>
          <w:tcPr>
            <w:tcW w:w="5636" w:type="dxa"/>
          </w:tcPr>
          <w:p w14:paraId="4F7F1D0F"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года</w:t>
            </w:r>
          </w:p>
        </w:tc>
        <w:tc>
          <w:tcPr>
            <w:tcW w:w="5636" w:type="dxa"/>
          </w:tcPr>
          <w:p w14:paraId="5A8AA1F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ОЭЛИД ЦАГИ, перегнан в Щелково и облетан ведущим летчиком.</w:t>
            </w:r>
          </w:p>
        </w:tc>
      </w:tr>
      <w:tr w:rsidR="004E10C1" w:rsidRPr="0044524F" w14:paraId="168B35A4" w14:textId="77777777">
        <w:tc>
          <w:tcPr>
            <w:tcW w:w="5636" w:type="dxa"/>
          </w:tcPr>
          <w:p w14:paraId="149AF36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октября 1933 года</w:t>
            </w:r>
          </w:p>
        </w:tc>
        <w:tc>
          <w:tcPr>
            <w:tcW w:w="5636" w:type="dxa"/>
          </w:tcPr>
          <w:p w14:paraId="1778F63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на устойчивость и управляемость.</w:t>
            </w:r>
          </w:p>
        </w:tc>
      </w:tr>
      <w:tr w:rsidR="004E10C1" w:rsidRPr="0044524F" w14:paraId="62259FDB" w14:textId="77777777">
        <w:tc>
          <w:tcPr>
            <w:tcW w:w="5636" w:type="dxa"/>
          </w:tcPr>
          <w:p w14:paraId="75957FE2"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октября 1933 года</w:t>
            </w:r>
          </w:p>
        </w:tc>
        <w:tc>
          <w:tcPr>
            <w:tcW w:w="5636" w:type="dxa"/>
          </w:tcPr>
          <w:p w14:paraId="035800D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на километраж.</w:t>
            </w:r>
          </w:p>
        </w:tc>
      </w:tr>
      <w:tr w:rsidR="004E10C1" w:rsidRPr="0044524F" w14:paraId="3FFB055E" w14:textId="77777777">
        <w:tc>
          <w:tcPr>
            <w:tcW w:w="5636" w:type="dxa"/>
          </w:tcPr>
          <w:p w14:paraId="58728DA4"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ноября 1933 года</w:t>
            </w:r>
          </w:p>
        </w:tc>
        <w:tc>
          <w:tcPr>
            <w:tcW w:w="5636" w:type="dxa"/>
          </w:tcPr>
          <w:p w14:paraId="3DB0BACC"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летчиком Кастанаевым на потолок и зубцы.</w:t>
            </w:r>
          </w:p>
        </w:tc>
      </w:tr>
      <w:tr w:rsidR="004E10C1" w:rsidRPr="0044524F" w14:paraId="26460D6C" w14:textId="77777777">
        <w:tc>
          <w:tcPr>
            <w:tcW w:w="5636" w:type="dxa"/>
          </w:tcPr>
          <w:p w14:paraId="1C09B826"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года</w:t>
            </w:r>
          </w:p>
        </w:tc>
        <w:tc>
          <w:tcPr>
            <w:tcW w:w="5636" w:type="dxa"/>
          </w:tcPr>
          <w:p w14:paraId="3BEA4AD8"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на зубцы у земли (500 м) и устранение девиации.</w:t>
            </w:r>
          </w:p>
        </w:tc>
      </w:tr>
      <w:tr w:rsidR="004E10C1" w:rsidRPr="0044524F" w14:paraId="05F09445" w14:textId="77777777">
        <w:tc>
          <w:tcPr>
            <w:tcW w:w="5636" w:type="dxa"/>
          </w:tcPr>
          <w:p w14:paraId="687DB09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декабря 1933 года</w:t>
            </w:r>
          </w:p>
        </w:tc>
        <w:tc>
          <w:tcPr>
            <w:tcW w:w="5636" w:type="dxa"/>
          </w:tcPr>
          <w:p w14:paraId="38ED62B5"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летит на боевую стрельбу с задней точки.</w:t>
            </w:r>
          </w:p>
        </w:tc>
      </w:tr>
      <w:tr w:rsidR="004E10C1" w:rsidRPr="0044524F" w14:paraId="4B25AF8B" w14:textId="77777777">
        <w:tc>
          <w:tcPr>
            <w:tcW w:w="5636" w:type="dxa"/>
          </w:tcPr>
          <w:p w14:paraId="7974DEB9"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года</w:t>
            </w:r>
          </w:p>
        </w:tc>
        <w:tc>
          <w:tcPr>
            <w:tcW w:w="5636" w:type="dxa"/>
          </w:tcPr>
          <w:p w14:paraId="1391603D"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Работа тормозными колесами.</w:t>
            </w:r>
          </w:p>
        </w:tc>
      </w:tr>
    </w:tbl>
    <w:p w14:paraId="7FCC47DA" w14:textId="77777777" w:rsidR="001F72EB" w:rsidRPr="0044524F" w:rsidRDefault="001F72EB"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AED66A9"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возможным допустить испытанный самолет в качестве эталона первой половины 1934 года с устранением на нем всех выявленных дефектов и выполнением требований, утвержденных начальником ВВС (6663).</w:t>
      </w:r>
    </w:p>
    <w:p w14:paraId="608853F5" w14:textId="77777777" w:rsidR="001F72EB" w:rsidRPr="0044524F" w:rsidRDefault="001F72EB"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09D3C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октября 1933 в ходе гос. испытаний ТБ-3 (АНТ-6) 22 завода N 22202 с 4М-34Р в качестве эталона на 34 год, которые проходили с 18 октября по 5 декабря 1933, был выполнен полет на устойчивость и управляемость с разной комбинацией работающих моторов (2264,117).</w:t>
      </w:r>
    </w:p>
    <w:p w14:paraId="390EDAE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09F0A6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22 октября 1933 г. состоялось заседание макетной ко</w:t>
      </w:r>
      <w:r w:rsidRPr="0044524F">
        <w:rPr>
          <w:rFonts w:ascii="Times New Roman" w:hAnsi="Times New Roman"/>
          <w:color w:val="000000" w:themeColor="text1"/>
          <w:sz w:val="16"/>
          <w:szCs w:val="16"/>
        </w:rPr>
        <w:softHyphen/>
        <w:t>миссии по самолету ЦКБ-12 под председательством Н.А.Жемчужина. Первого ноября на заседании научно-технического совета ГУАП в присутствии представителей ВВС состоялось утверждение боевой схемы истребителя. Там же было рекомендовано строить опытный экземп</w:t>
      </w:r>
      <w:r w:rsidRPr="0044524F">
        <w:rPr>
          <w:rFonts w:ascii="Times New Roman" w:hAnsi="Times New Roman"/>
          <w:color w:val="000000" w:themeColor="text1"/>
          <w:sz w:val="16"/>
          <w:szCs w:val="16"/>
        </w:rPr>
        <w:softHyphen/>
        <w:t>ляр ЦКБ-12 с капотом НАКА, а дублер - с кольцом Тауненда «с целью всестороннего сравнения выгод и недостатков, присущих тому и другому типу» (10667).</w:t>
      </w:r>
    </w:p>
    <w:p w14:paraId="70376E7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17D1B1D"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октября 1933 г. состоялось заседание макетной комис</w:t>
      </w:r>
      <w:r w:rsidRPr="0044524F">
        <w:rPr>
          <w:rFonts w:ascii="Times New Roman" w:hAnsi="Times New Roman"/>
          <w:color w:val="000000" w:themeColor="text1"/>
          <w:sz w:val="16"/>
          <w:szCs w:val="16"/>
        </w:rPr>
        <w:softHyphen/>
        <w:t>сии по самолету ЦКБ-12 М-22 под председательством Н.А. Жем</w:t>
      </w:r>
      <w:r w:rsidRPr="0044524F">
        <w:rPr>
          <w:rFonts w:ascii="Times New Roman" w:hAnsi="Times New Roman"/>
          <w:color w:val="000000" w:themeColor="text1"/>
          <w:sz w:val="16"/>
          <w:szCs w:val="16"/>
        </w:rPr>
        <w:softHyphen/>
        <w:t>чужина. Первого ноября на заседании научно-технического совета ГУАП в присутствии представителей ВВС состоялось ут</w:t>
      </w:r>
      <w:r w:rsidRPr="0044524F">
        <w:rPr>
          <w:rFonts w:ascii="Times New Roman" w:hAnsi="Times New Roman"/>
          <w:color w:val="000000" w:themeColor="text1"/>
          <w:sz w:val="16"/>
          <w:szCs w:val="16"/>
        </w:rPr>
        <w:softHyphen/>
        <w:t>верждение боевой схемы истребителя. Там же было рекомен</w:t>
      </w:r>
      <w:r w:rsidRPr="0044524F">
        <w:rPr>
          <w:rFonts w:ascii="Times New Roman" w:hAnsi="Times New Roman"/>
          <w:color w:val="000000" w:themeColor="text1"/>
          <w:sz w:val="16"/>
          <w:szCs w:val="16"/>
        </w:rPr>
        <w:softHyphen/>
        <w:t>довано строить опытный экземпляр ЦКБ-12 с капотом НАКА, а дублер - с кольцом Тауненда «с целью всестороннего сравнения выгод и недостатков, присущих тому и другому типу» (23455).</w:t>
      </w:r>
    </w:p>
    <w:p w14:paraId="0785E701" w14:textId="77777777" w:rsidR="00AD0645" w:rsidRPr="0044524F" w:rsidRDefault="00AD0645" w:rsidP="009654CF">
      <w:pPr>
        <w:spacing w:after="0" w:line="240" w:lineRule="auto"/>
        <w:jc w:val="both"/>
        <w:rPr>
          <w:rFonts w:ascii="Times New Roman" w:hAnsi="Times New Roman"/>
          <w:color w:val="000000" w:themeColor="text1"/>
          <w:sz w:val="16"/>
          <w:szCs w:val="16"/>
        </w:rPr>
      </w:pPr>
    </w:p>
    <w:p w14:paraId="19951AAE" w14:textId="77777777" w:rsidR="008A5189" w:rsidRPr="0044524F" w:rsidRDefault="008A5189" w:rsidP="009654CF">
      <w:pPr>
        <w:pStyle w:val="rtejustify"/>
        <w:spacing w:before="0" w:after="0"/>
        <w:rPr>
          <w:color w:val="000000" w:themeColor="text1"/>
          <w:sz w:val="16"/>
          <w:szCs w:val="16"/>
        </w:rPr>
      </w:pPr>
      <w:r w:rsidRPr="0044524F">
        <w:rPr>
          <w:rStyle w:val="af0"/>
          <w:bCs/>
          <w:i w:val="0"/>
          <w:color w:val="000000" w:themeColor="text1"/>
          <w:sz w:val="16"/>
          <w:szCs w:val="16"/>
        </w:rPr>
        <w:t>22 октября</w:t>
      </w:r>
      <w:r w:rsidRPr="0044524F">
        <w:rPr>
          <w:color w:val="000000" w:themeColor="text1"/>
          <w:sz w:val="16"/>
          <w:szCs w:val="16"/>
        </w:rPr>
        <w:t xml:space="preserve"> 1933. Постановление СТО СССР № 98сс/о «Об отпуске из спецрезерва алюминия, олова и магнето для обеспечения авиационной и танковой программы в IV квартале 1933 г.» (ГА РФ. Ф. Р</w:t>
      </w:r>
      <w:r w:rsidRPr="0044524F">
        <w:rPr>
          <w:color w:val="000000" w:themeColor="text1"/>
          <w:sz w:val="16"/>
          <w:szCs w:val="16"/>
        </w:rPr>
        <w:noBreakHyphen/>
        <w:t>8418. Оп. 28. Д. 3. Л. 1) (15460).</w:t>
      </w:r>
    </w:p>
    <w:p w14:paraId="082D4414" w14:textId="77777777" w:rsidR="008A5189" w:rsidRPr="0044524F" w:rsidRDefault="008A5189" w:rsidP="009654CF">
      <w:pPr>
        <w:pStyle w:val="rtejustify"/>
        <w:spacing w:before="0" w:after="0"/>
        <w:rPr>
          <w:color w:val="000000" w:themeColor="text1"/>
          <w:sz w:val="16"/>
          <w:szCs w:val="16"/>
        </w:rPr>
      </w:pPr>
    </w:p>
    <w:p w14:paraId="4B9975F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октября 1933 вышло постановление СТО N 98сс/о "Об охране заводов АП" (2282,51).</w:t>
      </w:r>
    </w:p>
    <w:p w14:paraId="594EDE7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1B875DC" w14:textId="77777777" w:rsidR="008A5189" w:rsidRPr="0044524F" w:rsidRDefault="008A5189" w:rsidP="009654CF">
      <w:pPr>
        <w:pStyle w:val="rtejustify"/>
        <w:spacing w:before="0" w:after="0"/>
        <w:rPr>
          <w:color w:val="000000" w:themeColor="text1"/>
          <w:sz w:val="16"/>
          <w:szCs w:val="16"/>
        </w:rPr>
      </w:pPr>
      <w:r w:rsidRPr="0044524F">
        <w:rPr>
          <w:rStyle w:val="af0"/>
          <w:bCs/>
          <w:i w:val="0"/>
          <w:color w:val="000000" w:themeColor="text1"/>
          <w:sz w:val="16"/>
          <w:szCs w:val="16"/>
        </w:rPr>
        <w:t>22 октября</w:t>
      </w:r>
      <w:r w:rsidRPr="0044524F">
        <w:rPr>
          <w:color w:val="000000" w:themeColor="text1"/>
          <w:sz w:val="16"/>
          <w:szCs w:val="16"/>
        </w:rPr>
        <w:t xml:space="preserve"> 1933. Постановление СНК СССР № 28сс/о «Об охране заводов авиационной промышленности». (ГА РФ. Ф. Р</w:t>
      </w:r>
      <w:r w:rsidRPr="0044524F">
        <w:rPr>
          <w:color w:val="000000" w:themeColor="text1"/>
          <w:sz w:val="16"/>
          <w:szCs w:val="16"/>
        </w:rPr>
        <w:noBreakHyphen/>
        <w:t>8418. Оп. 28. Д. 15. Л. 68</w:t>
      </w:r>
      <w:r w:rsidRPr="0044524F">
        <w:rPr>
          <w:color w:val="000000" w:themeColor="text1"/>
          <w:sz w:val="16"/>
          <w:szCs w:val="16"/>
        </w:rPr>
        <w:noBreakHyphen/>
        <w:t>70) (15460).</w:t>
      </w:r>
    </w:p>
    <w:p w14:paraId="5C8E4679" w14:textId="77777777" w:rsidR="008A5189" w:rsidRPr="0044524F" w:rsidRDefault="008A5189" w:rsidP="009654CF">
      <w:pPr>
        <w:pStyle w:val="rtejustify"/>
        <w:spacing w:before="0" w:after="0"/>
        <w:rPr>
          <w:color w:val="000000" w:themeColor="text1"/>
          <w:sz w:val="16"/>
          <w:szCs w:val="16"/>
        </w:rPr>
      </w:pPr>
    </w:p>
    <w:p w14:paraId="5FB29629" w14:textId="77777777" w:rsidR="007F0600" w:rsidRPr="0044524F" w:rsidRDefault="007F060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октября 1933 г. в Москву на трехмоторном «Фоккере», пилотируемом Яном Плончинским, прилетела делегация департамента гражданской авиации Польши во главе с начальником департамента полковником Филипповичем - спутником И,А,Леваневского, потерпевшего катастрофу в сентябре - для деловых переговоров с начальником ГУ ГВФ. 31-го октября делегация вылетела обратно.</w:t>
      </w:r>
    </w:p>
    <w:p w14:paraId="61379250" w14:textId="77777777" w:rsidR="007F0600" w:rsidRPr="0044524F" w:rsidRDefault="007F060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ЦК СССР» за 23 окт. и 1-го ноября 1933 г./ (23370).</w:t>
      </w:r>
    </w:p>
    <w:p w14:paraId="2BF4E4B9" w14:textId="77777777" w:rsidR="007F0600" w:rsidRPr="0044524F" w:rsidRDefault="007F0600" w:rsidP="009654CF">
      <w:pPr>
        <w:spacing w:after="0" w:line="240" w:lineRule="auto"/>
        <w:jc w:val="both"/>
        <w:rPr>
          <w:rFonts w:ascii="Times New Roman" w:hAnsi="Times New Roman"/>
          <w:color w:val="000000" w:themeColor="text1"/>
          <w:sz w:val="16"/>
          <w:szCs w:val="16"/>
        </w:rPr>
      </w:pPr>
    </w:p>
    <w:p w14:paraId="593269B8"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E0EA8E8"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372D02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октября 1933 г. вступила в строй Головная лодка "Ленинец" Параллельно с ней строилась и вся серия. На создание пяти лодок было затрачено око</w:t>
      </w:r>
      <w:r w:rsidRPr="0044524F">
        <w:rPr>
          <w:rFonts w:ascii="Times New Roman" w:hAnsi="Times New Roman"/>
          <w:color w:val="000000" w:themeColor="text1"/>
          <w:sz w:val="16"/>
          <w:szCs w:val="16"/>
        </w:rPr>
        <w:softHyphen/>
        <w:t>ло 50 мес., только готовность "Карбонария" задержалась до мая 1935 г. (3898).</w:t>
      </w:r>
    </w:p>
    <w:p w14:paraId="36A85C6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Подводные лодки типа "Ленинец" имели полуторакорпусную конструкцию с булевыми наделками и прямым форштевнем (как на L-55). Прочный корпус (шпация — 750 мм) получил, вместо сложной веретенообразной упрощенную форму в виде сочетания цилиндров с усеченными конусами. Запас плавучести составил 29%. Однако время заполнения расположенных в булях ЦГБ оказа</w:t>
      </w:r>
      <w:r w:rsidRPr="0044524F">
        <w:rPr>
          <w:rFonts w:ascii="Times New Roman" w:hAnsi="Times New Roman"/>
          <w:color w:val="000000" w:themeColor="text1"/>
          <w:sz w:val="16"/>
          <w:szCs w:val="16"/>
        </w:rPr>
        <w:softHyphen/>
        <w:t>лось слишком большим — лодка уходила на глубину в течение поч</w:t>
      </w:r>
      <w:r w:rsidRPr="0044524F">
        <w:rPr>
          <w:rFonts w:ascii="Times New Roman" w:hAnsi="Times New Roman"/>
          <w:color w:val="000000" w:themeColor="text1"/>
          <w:sz w:val="16"/>
          <w:szCs w:val="16"/>
        </w:rPr>
        <w:softHyphen/>
        <w:t>ти 3 мин. Продувание главного балласта в средней и палубнь1х ци</w:t>
      </w:r>
      <w:r w:rsidRPr="0044524F">
        <w:rPr>
          <w:rFonts w:ascii="Times New Roman" w:hAnsi="Times New Roman"/>
          <w:color w:val="000000" w:themeColor="text1"/>
          <w:sz w:val="16"/>
          <w:szCs w:val="16"/>
        </w:rPr>
        <w:softHyphen/>
        <w:t>стернах занимало 70 с и 4 мин 25 с соответственно, откачка балла</w:t>
      </w:r>
      <w:r w:rsidRPr="0044524F">
        <w:rPr>
          <w:rFonts w:ascii="Times New Roman" w:hAnsi="Times New Roman"/>
          <w:color w:val="000000" w:themeColor="text1"/>
          <w:sz w:val="16"/>
          <w:szCs w:val="16"/>
        </w:rPr>
        <w:softHyphen/>
        <w:t>ста помпами Рато — около 2 ч.</w:t>
      </w:r>
    </w:p>
    <w:p w14:paraId="73ECEAD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Четыре сферических (на 6 кгс/см ) и одна плоская (1кгс/см ) переборки подразделяли прочный корпус на шесть отсеков. Вместо кругльхх лазов в переборках были устроены овальные двери, задра</w:t>
      </w:r>
      <w:r w:rsidRPr="0044524F">
        <w:rPr>
          <w:rFonts w:ascii="Times New Roman" w:hAnsi="Times New Roman"/>
          <w:color w:val="000000" w:themeColor="text1"/>
          <w:sz w:val="16"/>
          <w:szCs w:val="16"/>
        </w:rPr>
        <w:softHyphen/>
        <w:t>иваемые на барашки. В трех отсеках-убежищах имелись посты ава</w:t>
      </w:r>
      <w:r w:rsidRPr="0044524F">
        <w:rPr>
          <w:rFonts w:ascii="Times New Roman" w:hAnsi="Times New Roman"/>
          <w:color w:val="000000" w:themeColor="text1"/>
          <w:sz w:val="16"/>
          <w:szCs w:val="16"/>
        </w:rPr>
        <w:softHyphen/>
        <w:t>рийного продувания главного балласта.</w:t>
      </w:r>
    </w:p>
    <w:p w14:paraId="62FB73F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Надводный ход обеспечивался бескомпрессорными дизелями 42-БМ-6 (модернизированный вариант "декабристских"), полный подводный — двухъякорными электродвигателями. Для экономи</w:t>
      </w:r>
      <w:r w:rsidRPr="0044524F">
        <w:rPr>
          <w:rFonts w:ascii="Times New Roman" w:hAnsi="Times New Roman"/>
          <w:color w:val="000000" w:themeColor="text1"/>
          <w:sz w:val="16"/>
          <w:szCs w:val="16"/>
        </w:rPr>
        <w:softHyphen/>
        <w:t>ческого подводного хода имелись отдельные малые электродвига</w:t>
      </w:r>
      <w:r w:rsidRPr="0044524F">
        <w:rPr>
          <w:rFonts w:ascii="Times New Roman" w:hAnsi="Times New Roman"/>
          <w:color w:val="000000" w:themeColor="text1"/>
          <w:sz w:val="16"/>
          <w:szCs w:val="16"/>
        </w:rPr>
        <w:softHyphen/>
        <w:t>тели мощностью по 30 л. с. с текстропной передачей вращения на гребные валы.</w:t>
      </w:r>
    </w:p>
    <w:p w14:paraId="639C5D1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Три группы аккумуляторных батарей (по 112 элементов) раз</w:t>
      </w:r>
      <w:r w:rsidRPr="0044524F">
        <w:rPr>
          <w:rFonts w:ascii="Times New Roman" w:hAnsi="Times New Roman"/>
          <w:color w:val="000000" w:themeColor="text1"/>
          <w:sz w:val="16"/>
          <w:szCs w:val="16"/>
        </w:rPr>
        <w:softHyphen/>
        <w:t>мещались в открытых ямах под деревянным съемным настилом. При номинальном напряжении 220 В батарея обеспечивала 1,3-ч режим разряда большим током.</w:t>
      </w:r>
    </w:p>
    <w:p w14:paraId="00AC021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испытаниях "Ленинец" в надводном положении развил ско</w:t>
      </w:r>
      <w:r w:rsidRPr="0044524F">
        <w:rPr>
          <w:rFonts w:ascii="Times New Roman" w:hAnsi="Times New Roman"/>
          <w:color w:val="000000" w:themeColor="text1"/>
          <w:sz w:val="16"/>
          <w:szCs w:val="16"/>
        </w:rPr>
        <w:softHyphen/>
        <w:t>рость 14,2 уз, в подводном — 8,5 уз, дальность плавания пол</w:t>
      </w:r>
      <w:r w:rsidRPr="0044524F">
        <w:rPr>
          <w:rFonts w:ascii="Times New Roman" w:hAnsi="Times New Roman"/>
          <w:color w:val="000000" w:themeColor="text1"/>
          <w:sz w:val="16"/>
          <w:szCs w:val="16"/>
        </w:rPr>
        <w:softHyphen/>
        <w:t>ным подводным ходом составила 12,7 мили. Время непрерывного пребывания под водой достигало 72 ч, надводная автономность — 28сут.</w:t>
      </w:r>
    </w:p>
    <w:p w14:paraId="61D8F1D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Впервые в отечественном кораблестроении лодки типа "Лени</w:t>
      </w:r>
      <w:r w:rsidRPr="0044524F">
        <w:rPr>
          <w:rFonts w:ascii="Times New Roman" w:hAnsi="Times New Roman"/>
          <w:color w:val="000000" w:themeColor="text1"/>
          <w:sz w:val="16"/>
          <w:szCs w:val="16"/>
        </w:rPr>
        <w:softHyphen/>
        <w:t>нец" получили стальные торпедные аппараты вместо прежних бронзовых. Однако создать предусмотренную заданием систему беспузырной торпедной стрельбы (БТС) для них не удалось. Шесть торпед типа 53-27 хранились в аппаратах, шесть запасных — в I отсеке. Якорные ударно-механические мины типа ПЛТ при массе 840 кг имели 250-кг заряд и могли ставиться из подводного поло</w:t>
      </w:r>
      <w:r w:rsidRPr="0044524F">
        <w:rPr>
          <w:rFonts w:ascii="Times New Roman" w:hAnsi="Times New Roman"/>
          <w:color w:val="000000" w:themeColor="text1"/>
          <w:sz w:val="16"/>
          <w:szCs w:val="16"/>
        </w:rPr>
        <w:softHyphen/>
        <w:t>жения на скоростях до 8 уз на углубление от 4 до 12 м и на глуби</w:t>
      </w:r>
      <w:r w:rsidRPr="0044524F">
        <w:rPr>
          <w:rFonts w:ascii="Times New Roman" w:hAnsi="Times New Roman"/>
          <w:color w:val="000000" w:themeColor="text1"/>
          <w:sz w:val="16"/>
          <w:szCs w:val="16"/>
        </w:rPr>
        <w:softHyphen/>
        <w:t>нах моря до 150 м. Длина каждой мины с якорем 1772 мм</w:t>
      </w:r>
      <w:r w:rsidRPr="0044524F">
        <w:rPr>
          <w:rFonts w:ascii="Times New Roman" w:hAnsi="Times New Roman"/>
          <w:bCs/>
          <w:color w:val="000000" w:themeColor="text1"/>
          <w:sz w:val="16"/>
          <w:szCs w:val="16"/>
        </w:rPr>
        <w:t>,</w:t>
      </w:r>
      <w:r w:rsidRPr="0044524F">
        <w:rPr>
          <w:rFonts w:ascii="Times New Roman" w:hAnsi="Times New Roman"/>
          <w:color w:val="000000" w:themeColor="text1"/>
          <w:sz w:val="16"/>
          <w:szCs w:val="16"/>
        </w:rPr>
        <w:t xml:space="preserve"> диа</w:t>
      </w:r>
      <w:r w:rsidRPr="0044524F">
        <w:rPr>
          <w:rFonts w:ascii="Times New Roman" w:hAnsi="Times New Roman"/>
          <w:color w:val="000000" w:themeColor="text1"/>
          <w:sz w:val="16"/>
          <w:szCs w:val="16"/>
        </w:rPr>
        <w:softHyphen/>
        <w:t>метр 800 мм.</w:t>
      </w:r>
    </w:p>
    <w:p w14:paraId="5AC1A10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Назначенная на лодки II серии артиллерия — 102-мм и 37-мм пушки — имела те же недостатки, что и на "Декабристе", 37-мм ав</w:t>
      </w:r>
      <w:r w:rsidRPr="0044524F">
        <w:rPr>
          <w:rFonts w:ascii="Times New Roman" w:hAnsi="Times New Roman"/>
          <w:color w:val="000000" w:themeColor="text1"/>
          <w:sz w:val="16"/>
          <w:szCs w:val="16"/>
        </w:rPr>
        <w:softHyphen/>
        <w:t>томаты из-за непригодности заменили 45-мм полуавтоматами. При капитальном ремонте 102-мм пушки также уступили место новым 100-мм. Тогда же ГКП перенесен из центрального поста (III отсек) в прочную боевую рубку, что позволило на 2 м увели</w:t>
      </w:r>
      <w:r w:rsidRPr="0044524F">
        <w:rPr>
          <w:rFonts w:ascii="Times New Roman" w:hAnsi="Times New Roman"/>
          <w:color w:val="000000" w:themeColor="text1"/>
          <w:sz w:val="16"/>
          <w:szCs w:val="16"/>
        </w:rPr>
        <w:softHyphen/>
        <w:t>чить перископную глубину погружения.</w:t>
      </w:r>
    </w:p>
    <w:p w14:paraId="514ADD5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недостаткам лодок II серии, помимо длительного погруже</w:t>
      </w:r>
      <w:r w:rsidRPr="0044524F">
        <w:rPr>
          <w:rFonts w:ascii="Times New Roman" w:hAnsi="Times New Roman"/>
          <w:color w:val="000000" w:themeColor="text1"/>
          <w:sz w:val="16"/>
          <w:szCs w:val="16"/>
        </w:rPr>
        <w:softHyphen/>
        <w:t>ния, относились также большая шумность трюмных помп, приво</w:t>
      </w:r>
      <w:r w:rsidRPr="0044524F">
        <w:rPr>
          <w:rFonts w:ascii="Times New Roman" w:hAnsi="Times New Roman"/>
          <w:color w:val="000000" w:themeColor="text1"/>
          <w:sz w:val="16"/>
          <w:szCs w:val="16"/>
        </w:rPr>
        <w:softHyphen/>
        <w:t>дов экономического хода, рулей и перископных лебедок. Не удов</w:t>
      </w:r>
      <w:r w:rsidRPr="0044524F">
        <w:rPr>
          <w:rFonts w:ascii="Times New Roman" w:hAnsi="Times New Roman"/>
          <w:color w:val="000000" w:themeColor="text1"/>
          <w:sz w:val="16"/>
          <w:szCs w:val="16"/>
        </w:rPr>
        <w:softHyphen/>
        <w:t>летворяла подводников и скорость погрузки торпед, когда на каж</w:t>
      </w:r>
      <w:r w:rsidRPr="0044524F">
        <w:rPr>
          <w:rFonts w:ascii="Times New Roman" w:hAnsi="Times New Roman"/>
          <w:color w:val="000000" w:themeColor="text1"/>
          <w:sz w:val="16"/>
          <w:szCs w:val="16"/>
        </w:rPr>
        <w:softHyphen/>
        <w:t>дую торпеду требовалось по 40—45 мин. Но наибольшие нарекания моряков вызвали низкие качества элементов аккумуляторных бата</w:t>
      </w:r>
      <w:r w:rsidRPr="0044524F">
        <w:rPr>
          <w:rFonts w:ascii="Times New Roman" w:hAnsi="Times New Roman"/>
          <w:color w:val="000000" w:themeColor="text1"/>
          <w:sz w:val="16"/>
          <w:szCs w:val="16"/>
        </w:rPr>
        <w:softHyphen/>
        <w:t>рей (завода им. лейтенанта Шмидта) и плохая система вентиляции ям. Это бьшо обнаружено еще на испытаниях лодок "Гарибальдиец" и "Чартист" в 1933 г., и Реввоенсовет морских сил Черного моря справедливо возражал против приемки кораблей с взрывоопасны</w:t>
      </w:r>
      <w:r w:rsidRPr="0044524F">
        <w:rPr>
          <w:rFonts w:ascii="Times New Roman" w:hAnsi="Times New Roman"/>
          <w:color w:val="000000" w:themeColor="text1"/>
          <w:sz w:val="16"/>
          <w:szCs w:val="16"/>
        </w:rPr>
        <w:softHyphen/>
        <w:t>ми батареями. Лодки были приняты по указанию руководства УВМС (3898).</w:t>
      </w:r>
    </w:p>
    <w:p w14:paraId="4019FFA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070F06C" w14:textId="77777777" w:rsidR="00562118" w:rsidRPr="0044524F" w:rsidRDefault="0056211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22 октября 1933 года Совнарком принял специальное постановление, направленное на улучшение работы граммофонно-пластиночной отрасли промышленности.</w:t>
      </w:r>
    </w:p>
    <w:p w14:paraId="47C441C4" w14:textId="77777777" w:rsidR="00562118" w:rsidRPr="0044524F" w:rsidRDefault="0056211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результате осуществления намеченных постановлением мер, в работе граммофонно-пластиночного производства, которое в конце 1933 года было передано специально созданному Грампласттресту НКЛП, наступил коренной перелом. Начала работать Московская фабрика звукозаписи Грампласттреста, а фабрика грампластинок, получившая теперь название - Апрелевский завод памяти 1905 года (в 1936–1938 гг. производство именовалось Московским заводом памяти 1905 года) - была оснащена новым, совершенным оборудованием и укомплектована высококвалифицированными специалистами. Советская грампластинка поднялась на качественно новую ступень своего технологического совершенства.</w:t>
      </w:r>
    </w:p>
    <w:p w14:paraId="4F1BD092" w14:textId="77777777" w:rsidR="00562118" w:rsidRPr="0044524F" w:rsidRDefault="0056211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Этапы большого пути</w:t>
      </w:r>
    </w:p>
    <w:p w14:paraId="791D5F1B" w14:textId="77777777" w:rsidR="00562118" w:rsidRPr="0044524F" w:rsidRDefault="0056211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1934 году началось строительство еще одного завода грампластинок - в поселке Глухово (в 68 км от Москвы, возле г. Ногинска). Новое предприятие, оснащенное самым совершенным оборудованием и значительно более мощное, чем Апрелевское, получило название Ногинский завод.</w:t>
      </w:r>
    </w:p>
    <w:p w14:paraId="76D6887D" w14:textId="77777777" w:rsidR="00562118" w:rsidRPr="0044524F" w:rsidRDefault="0056211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Строился он быстро, и уже в конце 1935 года смог выпустить 1158 тыс. пластинок. В последующие годы производительность Ногинского завода росла быстрыми темпами.</w:t>
      </w:r>
    </w:p>
    <w:p w14:paraId="1F3F2304" w14:textId="77777777" w:rsidR="00562118" w:rsidRPr="0044524F" w:rsidRDefault="0056211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Для сравнения скажем, что в 1938 году Апрелевский завод выпустил всего 19 294 тыс. дисков.</w:t>
      </w:r>
    </w:p>
    <w:p w14:paraId="542F10D1" w14:textId="77777777" w:rsidR="00562118" w:rsidRPr="0044524F" w:rsidRDefault="0056211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 размахе производства граммофонных пластинок в конце 30-х годов можно судить хотя бы по такому примеру: популярная песенка Роберта из кинофильма "Дети капитана Гранта" была выпущена тиражом более 1 млн. экземпляров.</w:t>
      </w:r>
    </w:p>
    <w:p w14:paraId="2CA4FCE4" w14:textId="77777777" w:rsidR="00562118" w:rsidRPr="0044524F" w:rsidRDefault="0056211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Качество записи постоянно улучшалось, а после открытия в Москве центрального Дома звукозаписи граммофонных пластинок в 1938 г. достигло уровня мировых стандартов.</w:t>
      </w:r>
    </w:p>
    <w:p w14:paraId="50867DEF" w14:textId="77777777" w:rsidR="00562118" w:rsidRPr="0044524F" w:rsidRDefault="00562118"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Среди заводов можно назвать</w:t>
      </w:r>
    </w:p>
    <w:p w14:paraId="529A2220"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Апрелевский завод грампластинок памяти 1905 года;</w:t>
      </w:r>
    </w:p>
    <w:p w14:paraId="7E1BF977"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Ногинский завод грампластинок;</w:t>
      </w:r>
    </w:p>
    <w:p w14:paraId="123E5440"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Экспериментальная фабрика грампластинок Леноблискусства;</w:t>
      </w:r>
    </w:p>
    <w:p w14:paraId="7C32E533"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Фабрика грампластинок Ленмузтреста;</w:t>
      </w:r>
    </w:p>
    <w:p w14:paraId="478FE072"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Фабрика звукозаписи Всесоюзного Радиокомитета (Москва);</w:t>
      </w:r>
    </w:p>
    <w:p w14:paraId="75A24642"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Экспериментальная фабрика грампластинок (Москва);</w:t>
      </w:r>
    </w:p>
    <w:p w14:paraId="6D6E51CD"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Артель "Грампластмасс" Леноблрадио Леноблпромсоюза в Красном Селе;</w:t>
      </w:r>
    </w:p>
    <w:p w14:paraId="3C45212E"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Фабрика радиоизделий ЛГМП-ПИК (Ленинград);</w:t>
      </w:r>
    </w:p>
    <w:p w14:paraId="4316B75B"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Фабрика "Авангард" Учпромкомбината Леноблкужда на ст. Дудергоф Балтийской Ж. Д.;</w:t>
      </w:r>
    </w:p>
    <w:p w14:paraId="5984E923"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Цех грампластинок в Институте по обработке дерева (Ленинград);</w:t>
      </w:r>
    </w:p>
    <w:p w14:paraId="5AF0BDB4"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Цех грампластинок "ЗЭТ" Ленметбытремпромсоюза;</w:t>
      </w:r>
    </w:p>
    <w:p w14:paraId="60AA81FF"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Цех грампластинок "Культпром" Ленкультпромсоюза;</w:t>
      </w:r>
    </w:p>
    <w:p w14:paraId="084A0B27"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Цех грампластинок промкооперативной артели им. Дзержинского Укопромсбыта в г. Орджоникидзе (Донбасс);</w:t>
      </w:r>
    </w:p>
    <w:p w14:paraId="1B9A7FC8"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Экспериментальная лаборатория грампластинок Ленгоркино;</w:t>
      </w:r>
    </w:p>
    <w:p w14:paraId="1124E05E"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Экспериментальный цех Ваковской фабрики граммофонных пластинок.</w:t>
      </w:r>
    </w:p>
    <w:p w14:paraId="4EC03F47" w14:textId="77777777" w:rsidR="00562118" w:rsidRPr="0044524F" w:rsidRDefault="00562118" w:rsidP="009654CF">
      <w:pPr>
        <w:pStyle w:val="ae"/>
        <w:spacing w:before="0" w:after="0"/>
        <w:jc w:val="both"/>
        <w:rPr>
          <w:color w:val="000000" w:themeColor="text1"/>
          <w:sz w:val="16"/>
          <w:szCs w:val="16"/>
        </w:rPr>
      </w:pPr>
      <w:r w:rsidRPr="0044524F">
        <w:rPr>
          <w:color w:val="000000" w:themeColor="text1"/>
          <w:sz w:val="16"/>
          <w:szCs w:val="16"/>
        </w:rPr>
        <w:t>Этим списком, конечно, не исчерпывается перечень предприятий, на которых изготовлялись обычные (твердые) и гибкие диски - шире (19204).</w:t>
      </w:r>
    </w:p>
    <w:p w14:paraId="40486B6C" w14:textId="77777777" w:rsidR="00562118" w:rsidRPr="0044524F" w:rsidRDefault="00562118" w:rsidP="009654CF">
      <w:pPr>
        <w:spacing w:after="0" w:line="240" w:lineRule="auto"/>
        <w:jc w:val="both"/>
        <w:rPr>
          <w:rFonts w:ascii="Times New Roman" w:hAnsi="Times New Roman"/>
          <w:color w:val="000000" w:themeColor="text1"/>
          <w:sz w:val="16"/>
          <w:szCs w:val="16"/>
        </w:rPr>
      </w:pPr>
    </w:p>
    <w:p w14:paraId="354DE5E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22 октября 1933 был прием в состав МСБМ «Л-1» — головной подводной лодки типа «Л» II серии. </w:t>
      </w:r>
    </w:p>
    <w:p w14:paraId="0879965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II серия подводных заградителей типа «Ленинец» из 6 единиц была построена по проекту, разработанному под руководством Б. М. Малинина. Проектированием руководили видные ученые во главе с А. Н. Крыловым. </w:t>
      </w:r>
    </w:p>
    <w:p w14:paraId="3B88CBF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Подводные лодки этой серки успешно участвовали в Великой Отечественной войне. ПЛ «Л-4» ЧФ (командир капитан 3 ранга Е. П. Поляков), совершившая 24 боевых похода и потопившая 6 транспортов и боевых кораблей противника, 23.10 1942 награждена орденом Красного Знамени. Наиболее успешно действовал экипаж ПЛ «Л-3» КБФ (командир капитан 2 ранга П. Д. Грищенко, с 9.3 1943 капитан 3 ранга П. К. Коновалов), совершившей 7 боевых походов продолжительностью 173 суток и одержавшей наибольшее количество побед среди подводных лодок Советского ВМФ. Только по подтвержденным противником данным, она уничтожила 18 судов общим тоннажем более 50 000 т и 7 кораблей, нескольким кораблям нанесла повреждения. 1.3 1943 «Л-3» была удостоена гвардейского звания, члены ее экипажа получили 423 награды, командиру В. К. Коновалову (впоследствии контр-адмирал) было присвоено звание Героя Советского Союза. Рубка «Л-3» в качестве памятника ныне установлена на территории одной из частей ДКБФ (11712).</w:t>
      </w:r>
    </w:p>
    <w:p w14:paraId="0A05861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0F60583"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93E2E4F"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1835D9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октября 1933 г. опытный экземпляр ЦКБ-3 (И-15) Н.Н.П. совершил первый полет, затем успешно прошел летные испытания и в 1934 г. был внедрен в серийное производство (3406).</w:t>
      </w:r>
    </w:p>
    <w:p w14:paraId="57AB7D3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68EEB84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октября 1933 года директор завода N 39 Марголин писал письмо N1196с Алкснису.</w:t>
      </w:r>
    </w:p>
    <w:p w14:paraId="2921A40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Докладываю, что 23 октября 1933 года опытный самолет И-15 совершил первый контрольный полет. 23 октября 1933 года приступлено к заводским испытаниям самолета.</w:t>
      </w:r>
    </w:p>
    <w:p w14:paraId="0A9ED85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полет дает основание ожидать высоких качеств машины в части скороподъемности и маневренности в особенности (3903,26).</w:t>
      </w:r>
    </w:p>
    <w:p w14:paraId="0ADE711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12A5B0B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октября 1933 г. утвердили Заключение по эскизному проекту И-15. В тот же день В.П.Чкалов совершил на истребителе И-15 (ЦКБ-3) первый полет (10667).</w:t>
      </w:r>
    </w:p>
    <w:p w14:paraId="79790DC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5839388" w14:textId="5B1ACBDC"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октября 1933 г. было утверждено заключение по третьему эскизному проекту ЦКБ-3</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И-15.</w:t>
      </w:r>
    </w:p>
    <w:p w14:paraId="63BFA9BC"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Отзыв на проект давал Н. А. Жемчужин, выпускник Военно-воздушной академии им. проф. Н. Е. Жуковского. Итоговый документ гласил:</w:t>
      </w:r>
    </w:p>
    <w:p w14:paraId="4ADF8FA0"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«Общий вывод </w:t>
      </w:r>
    </w:p>
    <w:p w14:paraId="7D95D067"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В отношении максимальной скорости на высоте 5000 м самолет И-15 не выполняет предъявленных к нему технических требований и отстает от современных уже построенных заграничных истребителей. </w:t>
      </w:r>
    </w:p>
    <w:p w14:paraId="7768F31B"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Предъявленные к нему требования в отношении маневренности и скороподъемности выполняются и перекрывают данные сравниваемых самолетов. </w:t>
      </w:r>
    </w:p>
    <w:p w14:paraId="10433E09"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Эксплуатационные качества (удобство обслуживания и доступность ремонта) заводом № 39 при предъявлении проекта не гарантируются. </w:t>
      </w:r>
    </w:p>
    <w:p w14:paraId="7EAF900B"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Заключение </w:t>
      </w:r>
    </w:p>
    <w:p w14:paraId="3035FFB7"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Проект самолета И-15 может быть допущен к дальнейшей разработке и постройке. ЦКБ завода 39 надлежит добиться выполнения поставленных эксплуатационных требований и приложить усилия к повышению запроектированной максимальной скорости без снижения других летных данных самолета, особенно маневренности и скороподъемности». </w:t>
      </w:r>
    </w:p>
    <w:p w14:paraId="229FE3ED"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тот же день В. П. Чкалов совершил на истребителе И-15 (ЦКБ-3) первый полет.</w:t>
      </w:r>
    </w:p>
    <w:p w14:paraId="6AF7C9C5"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Несмотря на имеющиеся недостатки, удалось выявить главное: получился хороший самолет. Машина показала высокие по тем временам летные характеристики.</w:t>
      </w:r>
    </w:p>
    <w:p w14:paraId="3F048021" w14:textId="77777777" w:rsidR="00022A55" w:rsidRPr="00142305" w:rsidRDefault="00022A55" w:rsidP="00022A55">
      <w:pPr>
        <w:spacing w:after="0" w:line="240" w:lineRule="auto"/>
        <w:jc w:val="both"/>
        <w:rPr>
          <w:rFonts w:ascii="Times New Roman" w:hAnsi="Times New Roman"/>
          <w:color w:val="0070C0"/>
          <w:sz w:val="16"/>
          <w:szCs w:val="16"/>
        </w:rPr>
      </w:pPr>
    </w:p>
    <w:p w14:paraId="34129F6D"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97AF67C"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D4EBD6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октября 1933 г приказом Наркома тяжелой промышленности СССР Серго Орджоникидзе был назначен директор Всесоюзного государственного института телемеханики и связи (ВГИТИС) Федор Федорович Сучков.</w:t>
      </w:r>
    </w:p>
    <w:p w14:paraId="20C3ECE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Инициатором создания ВГИТИС был ученый и изобретатель Александр Федорович Шорин, который обратился с докладом к Серго Орджоникидзе, в котором убедительно доказал необходимость создания института в целях объединения в одном месте научных работников и изобретателей, способных в кратчайшие сроки реализовать свои идеи и задумки в образцы новой интенсивно развивающейся радиотехники, автоматики, электроники, акустики и специальной физики.</w:t>
      </w:r>
    </w:p>
    <w:p w14:paraId="176462B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Одним из родоначальников ВГИТИС явилось Особое техническое бюро (Остехбюро), созданное в августе 1921 г. по указанию Владимира Ильича Ленина для реализации важнейшего изобретения оборонного значения – особого приспособления к морским торпедам, которое существенно повышало эффективность поражения цели. Автор этого изобретения В.М. Бакаури был назначен руководителем Остехбюро, где особое место занимал отдел радиоуправления, телемеханики и электротехники. Наибольшее внимание здесь уделялось разработке радиотелеуправлению средств поражения объектов противника.</w:t>
      </w:r>
    </w:p>
    <w:p w14:paraId="012CBA1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Похожими работами и даже с более эффективными результатами занималась в Ленинграде Центральная лаборатория проводной связи, базой для создания которой послужил Отдел специальной аппаратуры (ОСА) Центральной радиолаборатории (ЦРЛ) завода им. Коминтерна, оснащавший радиоаппаратурой военные корабли и гражданские суда еще со времени изобретения А.С. Попова.</w:t>
      </w:r>
    </w:p>
    <w:p w14:paraId="2BEAC3A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1927 г. ОСА, которым руководил А.Ф. Шорин, проводил по его схеме испытания телеуправляемого торпедного катера. Испытания показали, что для полного решения задач радиоуправления необходимо широкое привлечение специалистов многих отраслей промышленности и науки. Это послужило причиной реорганизации ОСА ЦРЛ в самостоятельное научно-исследовательское предприятие. Так в 1928 г. образовалась Центральная лаборатория проводной связи (ЦЛПС), работу которой возглавил А.Ф. Шорин. Ее “красным директором” был назначен бывший комиссар крейсера «Аврора» А.В. Белышев. Отделом радиоуправления руководил соратник А.Ф. Шорина по ОСА ЦРА Б.А. Смиренин.</w:t>
      </w:r>
    </w:p>
    <w:p w14:paraId="68603D8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базе Остехбюро, ЦЛПС, а также Всесоюзного энергетического института (ВЭИ) в Москве и Нижегородской радиолаборатории (НРЛ) и был сформирован коллектив ВГИТИС.</w:t>
      </w:r>
    </w:p>
    <w:p w14:paraId="4F2525F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Остехбюро и ЦЛПС в институт пришли работать Л.М. Кубецкий, А.И. Мирвис, Ю.А. Шаровский, К.А. Рождественский, В.Я. Соколов, В.М. Ястребилов, Я.М. Щербовский, А.М. Свердлов, Э.Ю. Гутников, А.Г. Иваненко, А.А. Солодовников, Б.А. Смиренин, М.М. Гусаков, М.П. Петелин, И.В. Филиппов, С.Г. Зайцев, М.А. Орышак, К.В. Байдун, Л.В. Масанов, И.Н. Майоров и другие.</w:t>
      </w:r>
    </w:p>
    <w:p w14:paraId="5F2D720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Всесоюзного электротехнического института были переведены целые лаборатории во главе с профессором Б.А. Введенским (в будущем академиком), вместе с ним пришли А.М. Майзельс, В.И. Пейсиков, В.А. Кузовкин, М.Б. Аксенцев, позже пришли Н.Д. Смирнов и В.Т. Тимофеев, из Нижегородской лаборатории Ф.Ф. Сучков, И.С. Шапошников, В.Д. Калмыков и другие.</w:t>
      </w:r>
    </w:p>
    <w:p w14:paraId="6D7D655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дальнейшем институт пополнялся молодыми специалистами – выпускниками высших учебных заведений Москвы, Ленинграда и Горького.</w:t>
      </w:r>
    </w:p>
    <w:p w14:paraId="7EA4B34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окраине Москвы в Дангауэрской слободе был выделен участок и в 1934 г. началось строительство ВГИТИСа. На плечи военного специалиста Ф.Ф. Сучкова легли заботы о строительстве, наборе кадров, все заботы хозяйственника. А.Ф. Шорин, как научный руководитель института, занимался разработкой основных тематических направлений, добивался финансирования проектов и непосредственно участвовал в создании новых образцов военной и гражданской продукции.</w:t>
      </w:r>
    </w:p>
    <w:p w14:paraId="0F7ECFD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в мае 1935 г. началась трудовая биография ВГИТИС. Научный руководитель А.Ф. Шорин, директор Ф.Ф. Сучков, главный инженер Л.П. Косоротов, парторг ЦК ВКП(б) П.И. Куприянов вели огромную работу по мобилизации коллектива на выполнение поставленных перед институтом ответственных задач. С первых дней, когда еще полным ходом шло строительство корпусов нового предприятия, четко был определен фронт научно-технических работ и функциональные основы структурных подразделений.</w:t>
      </w:r>
    </w:p>
    <w:p w14:paraId="0EF90AC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Первые сотрудники размещались на площадках завода «Радиоприбор», пока не был введен в эксплуатацию первый из корпусов – корпус № 2.</w:t>
      </w:r>
    </w:p>
    <w:p w14:paraId="031E742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начальный период научные подразделения института состояли из трех секторов:</w:t>
      </w:r>
    </w:p>
    <w:p w14:paraId="425B583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электрических процессов (СЭП), которые в основном разрабатывали радиоаппаратуру для радиолиний управления объектами; </w:t>
      </w:r>
    </w:p>
    <w:p w14:paraId="4554BBA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электроакустики (СЭА), в котором шли разработки приборов звукометрии, звукозаписи и применение электроакустики в военном деле; </w:t>
      </w:r>
    </w:p>
    <w:p w14:paraId="5EAF0B6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специальной техники (телемеханики) (ССТ), разрабатывавших в основном исполнительные механизмы для телеуправляемых объектов. </w:t>
      </w:r>
    </w:p>
    <w:p w14:paraId="7C55F25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СЭП был опытный руководитель, соратник А.Ф. Шорина по работе в ОСА ЦРЛ и созданию звукового кино в ЦЛПс Б.А. Смиренин, начальником СЭА – А.И. Бобров, бывший сотрудник ЦЛПС, начальником ССТ – П.П. Темный.</w:t>
      </w:r>
    </w:p>
    <w:p w14:paraId="083EF81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Одной из первых больших работ, выполненных в 1935 г., явилась разработка управляемого по радио автоматического танка Т-26 и его вооружения. Эта работа под шифром «Титан» проводилась сектором телемеханики под руководством Л.Б. Гутникова, бывшего сотрудника Остехбюро. Автоматизировалось не только вождение танка по радио, но и его вооружение: пушка, пулемет, огнемет. Разработка эта вполне соответствовала назначению института и велась на высоком техническом уровне того времени. Конструкторское оформление отличалось блочной компоновкой аппаратуры на танке.</w:t>
      </w:r>
    </w:p>
    <w:p w14:paraId="72BFF67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Первые два года в институте разрабатывалось несколько боевых систем с телемеханическим управлением по проводам и радио, в том числе кассетное устройство для разбрасывания мин с танка, выполненное под руководством Г.Г. Коннова, который также разработал управляемый по проводам пулемет «Шкал». Под руководством </w:t>
      </w:r>
      <w:r w:rsidRPr="0044524F">
        <w:rPr>
          <w:rFonts w:ascii="Times New Roman" w:hAnsi="Times New Roman"/>
          <w:color w:val="000000" w:themeColor="text1"/>
          <w:sz w:val="16"/>
          <w:szCs w:val="16"/>
        </w:rPr>
        <w:lastRenderedPageBreak/>
        <w:t>В.Е. Кукуева совместно с Г.Г. Коновым был разработан управляемый по радио ручной пулемет «Руп» и управляемый по кабелю пулемет «Максим», выполненный С.Д. Иваненко.</w:t>
      </w:r>
    </w:p>
    <w:p w14:paraId="4960612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 же годы создается система «Квант» для наведения планера-снаряда с самолета на корабль. Руководителем этой разработки был В.Д. Калмыков (в будущем директор института и министр радиопромышленности). Наведение планера-снаряда осуществлялось в лучах трех прожекторов инфракрасных лучей, модулированных разными частотами, и производилось ручным поворотом рамы, укрепленной под самолетом. На раме крепились прожекторы и снаряд. В этой же лаборатории проводилась разработка теплопеленгационного блока «АРГОН» для самонаведения торпедного катера на корабль.</w:t>
      </w:r>
    </w:p>
    <w:p w14:paraId="117C925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секторе электрических процессов широким фронтом шла разработка радиолиний управления для танков и торпедных катеров. Радиолиния управления торпедными катерами с самолета состояла из двух самостоятельных радиоустройств. Одна разрабатывалась в диапазоне дециметровых волн, что по тем временам было технической новинкой, другая – дублирующая на средних волнах. Разработку радиолинии на дециметровых волнах под названием «Альфа» вела группа под руководством В.А. Кузовкина, В.И. Пейсикова и В.И. Ярошенко. Линию на средних волнах под шифром «Штурвал» разрабатывали К.А. Рождественский и Н.И. Иванов.</w:t>
      </w:r>
    </w:p>
    <w:p w14:paraId="7307577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непосредственным руководством А.Ф. Шорина велись изыскательские работы по созданию командных радиолиний управления фугасными зарядами под шифром «Малютка», которые предназначались для закладки на поле боя или в зданиях и сооружениях. При наступлении противника каждый из фугасов взрывался по своей кодированной команде, передаваемой по радиолинии на средних волнах из командного пункта или штабного подразделения.</w:t>
      </w:r>
    </w:p>
    <w:p w14:paraId="7BB3691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1935-1937 гг. в институте проводились работы и для учебных военных целей. Сюда относятся созданные по идее А.Ф. Шорина электротренажер для обучения летчиков, фотокинопулемет для контроля стрельбы с самолета по воздушным целям и прибор записи разговора летчика с землей. Запись велась на стальные диски или барабаны. Проводились также работы для народного хозяйства страны. К ним относится реализация изобретения А.Ф. Шорина по электромеханической записи звука. Это прибор настольного типа, в котором звук микрофона усиливается и записывается сапфировым резцом на отработанную кинопленку, а воспроизводится обычной патефонной иглой. Прибор этот получил название «Шоринофон». Несколько серий таких приборов были созданы для всех радиостанций страны.</w:t>
      </w:r>
    </w:p>
    <w:p w14:paraId="2CD370B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 время из Германии начали поступать сведения об опытах по записи звука на стальную проволоку или ленту и удачных опытах по записи звука на ферромагнитную пленку. Под руководством А.Ф. Шорина институт в кратчайшие сроки создает свой оригинальный студийный прибор записи звука на ферромагнитную пленку, которому дается название – магнитофон.</w:t>
      </w:r>
    </w:p>
    <w:p w14:paraId="46991D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Вообще работы, связанные с акустикой продвигались в институте довольно успешно. Так под руководством профессора А.М. Данилевского и инженера М. Евтюхова создаются акустические пеленгационные устройства. Разработанная ими звукометрическая станция «ДЕ» позволяла определять местоположение артиллерии противника и широко применялась в Красной Армии. За эту работу А.М. Данилевский был награжден орденом Ленина.</w:t>
      </w:r>
    </w:p>
    <w:p w14:paraId="7B14BBA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начаты исследовательские работы под руководством А.М. Боброва и Е.В. Ковалева по созданию акустического посадочного альтиметра «БК» для самолета. Под руководством В.А. Якименко создается система управления орудийными башнями главного калибра для крейсеров.</w:t>
      </w:r>
    </w:p>
    <w:p w14:paraId="65700A4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1937 г. в институте успешно разрабатывается ряд устройств, в числе которых система «Луна» – самонаведение торпедного катера по инфракрасным лучам на корабль противника (руководитель разработки Г.Г. Коннов). На первом этапе, до введения катера в зону самоуправления наведение осуществлялось по радио с самолета. Несколько позже эта система была улучшена под шифром «Аргон» и успешно использовалась во время войны в Испании.</w:t>
      </w:r>
    </w:p>
    <w:p w14:paraId="16461A9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системы опознавания «свой-чужой» была создана на инфракрасных лучах аппаратура «Фрегат». С корабля-запросчика мощным прожектором с фильтром, пропускавшим только инфракрасные лучи, запрашивался неопознанный корабль. Ответчиком служило оптическое устройство из уголковых призм-отражателей, которые, вращаясь, создавали кодированные ответы. Эта система нашла широкое применение на кораблях и подводных лодках ВМФ.</w:t>
      </w:r>
    </w:p>
    <w:p w14:paraId="1A769E1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первые годы работы института характерным настроением для его сотрудников было состояние творческого энтузиазма, оптимизма, легкости свершений, свойственных молодости. Старшим опытным сотрудникам, в том числе А.Ф. Шорину, было не более 40...45 лет. Все отчетливо осознавали значение радиотелемеханизации и, понимая необходимость скорейшей разработки «всей телемеханики», работали добросовестно, увлеченно, быстро. Для создания аппаратуры и боевой техники требовались особо надежные и точные радиоэлектронные элементы, узлы, детали, а их промышленность выпускала в ограниченном количестве. Но и в этих условиях институт находил выход, восполняя недостающие изделия собственными разработками.</w:t>
      </w:r>
    </w:p>
    <w:p w14:paraId="539BE1F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Наступил 1938 год. Из Англии поступает лабораторное оборудование и измерительная техника. На 26 километре Горьковского шоссе в лесу институт оборудует испытательный полигон, танкодром и аэродром. Закупаются два самолета Р.5, вводится в эксплуатацию в дополнение к корпусу № 2 корпус № 1, затем – корпус № 3. В просторных помещениях размещают прибывшее из Англии оборудование, лаборатории налаживают темпы исследовательских и опытных работ.</w:t>
      </w:r>
    </w:p>
    <w:p w14:paraId="1E39E75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Одним из важных событий института того времени была эпопея с так называемой «трубкой Кубецкого». Руководитель лаборатории вторичного электронного преобразования Кобецкий создает крупное изобретение. Он разрабатывает способ каскадного усиления электрических сигналов в устройстве, напоминающем электронную лампу и фотоэлемент, где первичный сигнал вызывает поток электронов, который, последовательно падая на ряд анодов, выдает на выходе мощный импульс тока. Применение этой трубки взамен громоздких усилителей позволило решать в электрорадиотехнике принципиально новые задачи. Создателя трубки нарком С. Орджоникидзе премирует автомобилем, Кубецкому и его сотрудникам выделяются квартиры в новом жилом доме.</w:t>
      </w:r>
    </w:p>
    <w:p w14:paraId="2E6C466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1938 г. А.Ф. Шорин переходит работать в АН СССР на должность директора института автоматики и телемеханики. Директором ВГИТИС становится Александр Алексеевич Осмер, главным инженером – А.И. Бобров.</w:t>
      </w:r>
    </w:p>
    <w:p w14:paraId="0AD4A7F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институте более четко формируется тематическая направленность работ, специализируются и реорганизуются подразделения. Так, сектор электрических процессов был реорганизован в лабораторию № 3, руководителем которой назначен Константин Васильевич Байдун. Эта лаборатория имела группы: высокочастотных устройств под руководством В.А. Кузовкина; передающих устройств под руководством К.А. Рождественского; приемных устройств под руководством Ф.В. Лукина; специальных устройств под руководством Н.К. Свистова; устройств электропитания аппаратуры под руководством Ф.П. Афониной и другие группы, в том числе конструкторский сектор. Активно развивались лаборатории электровакуумных и оптических устройств, химическая лаборатория и др. Оснащалось оборудованием производство, шла специализация его цехов, среди которых особое место занимал цех № 2, как сборочный, где производились сборка и выпуск аппаратуры.</w:t>
      </w:r>
    </w:p>
    <w:p w14:paraId="1B3BA4F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Развитие в третьей пятилетке торгово-экономических связей с зарубежными странами значительно увеличило торговый оборот СССР. Осуществлялся он в основном через морские порты. Гидрографическое управление морского коммерческого флота обратилось в Наркомат тяжелой промышленности с просьбой подключить НИИ-10, уже известный своими работами для ВМФ, к разработке и созданию навигационных устройств безопасности движения судов. В 1939 г. группа инженеров института под руководством В.Б. Кнунянца при участии А.М. Белова, Л.В. Фридмана, А.В. Наумова и В.В. Романова приступает к разработке системы «Окунь», а также системы «Координатор» для ориентации судов относительно берега.</w:t>
      </w:r>
    </w:p>
    <w:p w14:paraId="5A33639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институте постепенно нарастал объем работ по новым направлениям. Были заложены основы радиолокации, теплопеленгации, гироскопии и синхронных механизмов, приборов управления стрельбой артиллерии, электроакустики и радиотехники во всех областях военного дела. В группе Ф.В. Лукина проводятся работы по созданию приборов обнаружения кораблей с самолета с помощью радиоволн. Под руководством А.П. Морозова разрабатывается устройство системы «Гладиатор» для повышения точности стрельбы зенитной артиллерии.</w:t>
      </w:r>
    </w:p>
    <w:p w14:paraId="0080F1A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 Н.А. Дарьин предложил радиолокационный высотомер для самолетов. Антенна передатчика самолета излучает на землю энергию в виде прямых импульсов. Одновременно с запуском радиосигнала к земле запускается круговая развертка на электронно-лучевой трубке («ждущая развертка»). Принятые на приемнике отраженные от земли радиоимпульсы поступают на электро-лучевую трубку, где воспроизводятся на экране. По времени запаздывания отраженного импульса относительно прямого, определяется расстояние до земли. Пауза между импульсами соответствует полной развертке луча – минимальной измеряемой высоте самолета.</w:t>
      </w:r>
    </w:p>
    <w:p w14:paraId="6DC42E7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лаборатории В.Д. Калмыкова осуществлялась идея оптической связи и использования инфракрасных лучей для пеленгации объектов на суше и на море. В 1939 г. В.С. Курылевым, Г.И. Судаковым и Г.Г. Конновым создаются оптические телефоны на световых лучах: ОТД-100 – для ближайшей связи и ОТД-200 – на расстоянии до 20 км. Они широко применялись в 1941 г. на фронте для связи между островами в Финском заливе. Для защиты пороховых погребов кораблей от воспламенения и взрыва М.С. Араловым и Г.Г. Конновым создается для ВМФ система «Защита».</w:t>
      </w:r>
    </w:p>
    <w:p w14:paraId="1A36B8E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1939 г. дирекция института принимает решение о развитии направления по использованию инфракрасных лучей. Создается лаборатория теплопеленгации, которую возглавил Н.Д. Смирнов (в будущем д-р техн. наук, профессор). Под его непосредственным руководством по заданию Военно-Морского Флота срочно велась разработка двух вариантов теплопеленгаторов – для установки на кораблях и автомобилях. Испытания автомобильного варианта, которые проходили в 1939 г. в г. Севастополе, дали хорошие результаты. Морской транспорт обнаруживался на расстоянии до 30 км. Этот пеленгатор поступил на вооружение береговых войсковых соединений и долгие годы выпускался серийно. В том же году создается весьма компактный береговой стационарный теплопеленгатор-теплоблок (БТП-39) и корабельный теплопеленгатор, опытный образец которого был установлен на крейсере «Красный Кавказ».</w:t>
      </w:r>
    </w:p>
    <w:p w14:paraId="405FAA0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1940 г. теплоблок БТП-39 совершенствуется, становится более компактным. Один из этих приборов, установленный на Дальнем Востоке, контролировал выход японских и китайских кораблей из реки Сунгури. Второй был установлен на Дунае и регистрировал прохождение подводных лодок и других судов в ночное время в тумане. Еще один БТП-39, установленный у Толбухина маяка в Финском заливе, регистрировал прохождение кораблей всех классов вплоть до торпедных катеров.</w:t>
      </w:r>
    </w:p>
    <w:p w14:paraId="310A353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1940 г. НИИ-10 передан в Наркомат судостроительной промышленности в целях своевременного оснащения радиоэлектронным оборудованием военных и торговых кораблей, при этом приоритет отдается разработкам, относящимся к ВМФ.</w:t>
      </w:r>
    </w:p>
    <w:p w14:paraId="6FA8700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институте нарастала многотемность и направленность разработок. Небольшие КБ при научных лабораториях различались по уровню квалификации конструкторов и опыту их работы. Одни и те же узлы и детали приборов в каждом КБ конструировались по-своему. Большая номенклатура однотипных элементов и узлов аппаратуры </w:t>
      </w:r>
      <w:r w:rsidRPr="0044524F">
        <w:rPr>
          <w:rFonts w:ascii="Times New Roman" w:hAnsi="Times New Roman"/>
          <w:color w:val="000000" w:themeColor="text1"/>
          <w:sz w:val="16"/>
          <w:szCs w:val="16"/>
        </w:rPr>
        <w:lastRenderedPageBreak/>
        <w:t>становились не под силу производству, создавали неудобства и в работе заводов. Назрела необходимость в создании централизованного конструкторского бюро, и в мае 1940 г. организуется отдел главного конструктора (ОГК), а в его составе Центральное конструкторское бюро (ЦКБ). Главным конструктором института и начальником ОГК назначается В.Д. Калмыков, начальником ЦКБ – Г.Г. Конов.</w:t>
      </w:r>
    </w:p>
    <w:p w14:paraId="2BDF59DF"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Организация ОГК во многом способствовала улучшению конструирования приборов и устройств. В ЦКБ были развернуты работы в более широком масштабе по унификации, нормализации и обеспечению конструкторов справочными материалами. Новый отдел взаимодействовал с лабораториями и производством, приборы конструировались в совместном творческом поиске не только для опытно-конструкторских работ, но и для текущих исследовательских работ и специальной измерительной техники.</w:t>
      </w:r>
    </w:p>
    <w:p w14:paraId="32878DD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период с 1935 по 1941 гг. ВГИТИС – НИИ-10 превратился в известный своими научными и инженерно-техническими работами специализированный институт с широким профилем работ, высоким практическим выходом продукции высокого качества и оригинального изобретательского творческого исполнения. В течение первых шести лет становления в институте выработались приемы освоения технических задач, ход научно-исследовательского поиска и пути инженерного осуществления найденных решений. Лаборатории оснащались новейшей зарубежной измерительной и испытательной электрорадиоаппаратурой. Создание единого конструкторского отдела повысило уровень конструирования и унификации аппаратуры, была улучшена организационная структура и технологический уровень опытного производства. В таком состоянии институт оказался в момент вероломного нападения фашистской Германии на Советский Союз.</w:t>
      </w:r>
    </w:p>
    <w:p w14:paraId="155A269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началом войны планы института были срочно пересмотрены. Были сняты все работы с большим циклом разработки. Институт получал задания на изделия, необходимые фронту, в том числе на срочную разработку рабочих чертежей и ускоренный серийный выпуск аппаратуры радиоуправляемых фугасных зарядов большой мощности «Малютка». В производстве в широком масштабе началось изготовление дистанционных трубок, сконструированных институтом к знаменитым реактивным снарядам «Катюша». В тех же масштабах шло изготовление разновидности таких трубок и для авиационных бомб. Кроме того, в первые месяцы войны был налажен массовый выпуск деталей к стрелковому автомату «ППШ» и к коммулятивному снаряду для танковых пушек, стаканы для снарядов «Катюш» и многое другое. Цехи производства работали круглосуточно.</w:t>
      </w:r>
    </w:p>
    <w:p w14:paraId="3E861C8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Инженерами А.П. Морозовым, В.П. Соломенцевым, Л.В. Голубевым, В.В. Романовым и Ф.Н. Черных срочно завершается, начатая еще в 1939 г. разработка векторно-электрического прибора управления артиллерийским огнем (ВЭПУАЗО). Этот прибор имел большие преимущества перед существовавшим тогда прибором ПУАЗО, т.к. давал все необходимые упрежденные координаты для наводки орудий и обслуживался меньшим боевым расчетом. Прибор был выпущен в начале 1942 г. и 16 октября установлен на четырехорудийной батарее у железнодорожного моста через р .Оку у г .Голутвина. Им управляли разработчики Л.В. Голубев и В.А. Соломенцев. В течение двух лет батарея успешно отражала налеты фашистской авиации и благодаря исключительно точной стрельбе самолеты противника сбивались и не допускались в район моста.</w:t>
      </w:r>
    </w:p>
    <w:p w14:paraId="3A016C6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Командование противовоздушной обороны высоко оценило работу прибора и настояло на его срочном серийном изготовлении. Основные разработчики ВЭПУАЗО В.А. Соломенцев, Л.В. Голубев и А.П. Морозов в 1943 г. были удостоены званий лауреатов Государственной премии СССР.</w:t>
      </w:r>
    </w:p>
    <w:p w14:paraId="63A904A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сентябре 1941 г. принимается решение об эвакуации части сотрудников института в составе лабораторий № 2, 3, 4, 6, КБ, опытного производства и их семей в пригород Сталинграда – поселок Бекетовку. Уполномоченным по эвакуации был назначен начальник фотолаборатории Аркадий Сергеевич Андреев. В поселке сотрудникам института выделили хорошее здание школы, где быстро установили лабораторное оборудование, развернули подразделения опытного производства. Инженеры института приступили к продолжению прерванных работ. Начали проводиться первые изыскания и пробы по применению частотно-модулированных радиоволн дециметрового диапазона для обнаружения самолетов. Совершенствуется аппаратура радиоальтиметра и теплопеленгатора БТП-39; создается аппаратура для прослушивания телефонных разговоров противника по полевым проводам. По заданию обкома партии идет массовый выпуск 20-мм снарядов для авиационных пушек и деталей к гранатам. Под руководством Н.Д. Смирнова разрабатываются сложные детали для наводки орудий и минометов.</w:t>
      </w:r>
    </w:p>
    <w:p w14:paraId="6623AAC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в Сталинградском «филиале» не было представителей дирекции института, решили провести общее собрание, на котором главным инженером избрали Николая Николаевича Острякова, секретарем партийной организации – Гая Арменаковича Абрамяна. Начальником отдела технического контроля становится Александр Юльевич Ишлинский (будущий академик АН СССР), его помощником назначается В.И. Ярошенко.</w:t>
      </w:r>
    </w:p>
    <w:p w14:paraId="015C15D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оставшейся части института в Москве также шла напряженная работа по выпуску изделий для фронта. Станки работали круглосуточно. В пять часов утра 16 октября 1941 г. пришло сообщение, что немцы прорвали фронт в районе Химок. Парторг ЦК ВКП(б) Евгений Иванович Зиновьев и директор института Александр Алексеевич Осмер собрали сотрудников и объявили об эвакуации в Свердловск. Прибывших в Свердловск разместили в здании Политехнического института вместе с сотрудниками Ленинградского филиала института (будущий ЦНИИ «Гранит»). Начальник строительного главка наркомата Степан Васильевич Петренко помог наладить производство и устроить людей. Руководителем Свердловского отделения института был назначен инженер Н.В. Рогачевский.</w:t>
      </w:r>
    </w:p>
    <w:p w14:paraId="44BDFE9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Условия труда и быта в Сталинграде и Свердловске были чрезвычайно тяжелыми. Люди работали в две смены по 12 часов, засыпая иногда от усталости прямо за регулировочными столами и станками. Из-за нехватки рук к токарной работе были привлечены подростки, которыми руководил инженер Л.Г. Тигров.</w:t>
      </w:r>
    </w:p>
    <w:p w14:paraId="47DCD6E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производстве и регулировочной лаборатории круглосуточно шел выпуск радиофугасов «Малютка» и аппаратуры к ним. Изготавливались детали для снарядов «Катюш», ручных и противотанковых гранат, комплектующих устройств к стрелковому оружию. Был налажен выпуск аппаратуры «Тракс», разработанный Ленинградским филиалом и предназначенный для кодовой связи командования с нашими самолетами. За установку и наладку этой аппаратуры на самолетах, и участие в боевых операциях инженер В.М. Ястребилов был награжден орденом Красной Звезды.</w:t>
      </w:r>
    </w:p>
    <w:p w14:paraId="7E2C238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1942 г. в г. Свердловск приехали главный инженер института Алексей Иванович Бобров и начальник ОГК В.Д. Калмыков. В Москве осталась лишь необходимая часть сотрудников, занимавшихся выпуском приборов ВЭПУАЗО и группа под руководством К.В. Байдуна, проводивших работы по созданию радиоаппаратуры для обнаружения самолетов с земли.</w:t>
      </w:r>
    </w:p>
    <w:p w14:paraId="7E5B7E7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разгрома немцев под Москвой в столицу возвратился ряд предприятий, в том числе та часть НИИ-10, которая была эвакуирована под Сталинград. В конце мая из Свердловска в Москву возвратился начальник ОГК В.Д. Калмыков и доложил в наркомате о положении дел в институте. Валерия Дмитриевича назначают директором объединенного с ленинградским филиалом предприятия, а его главным инженером становится бывший главный инженер филиала А.И. Мирвис. К концу 1942 г. в Москву вернулись почти все сотрудники, эвакуированные в Свердловск. Организацией эвакуации занимались А.С. Андреев и ленинградцы М.С. Орышак и А.М. Осокин.</w:t>
      </w:r>
    </w:p>
    <w:p w14:paraId="1710148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энергичным деловым руководством В.Д. Калмыкова полным ходом шло восстановление института, налаживалась работа всех его подразделений, хотя продолжавшаяся война на все накладывала свой отпечаток.</w:t>
      </w:r>
    </w:p>
    <w:p w14:paraId="5EEFF214"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1943 г. численность института сократилась до 714 человек, после объединения с филиалом она возросла, но все равно была много меньше довоенной. В то время в институте работало всего 375 инженерно-технических сотрудников, 484 рабочих, 242 служащих. В составе лабораторий были, в основном, опытные ученые и инженеры, прошедшие школу предвоенных лет. Это они на годы вперед определили творческий почерк института, заложили основы его авторитета.</w:t>
      </w:r>
    </w:p>
    <w:p w14:paraId="3626D93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1943 г. институт полностью восстанавливает свою деятельность, успешно выполняет большой объем правительственных заказов для фронта. Группа инженеров Л.В. Голубев, В.А. Соломенцев, Л.И. Кошелев, М.И. Зайцев, А.П. Морозов и другие срочно разрабатывают новый вариант векторно-электрического прибора управления артиллерийским зенитным огнем (ВЭПУАЗО-2), который должен был работать сопряжено с только что появившимися наземными радиолокационными станциями «Пегматит». С помощью этих приборов, первая партия которых вышла в начале 1944 г., зенитные батареи успешно отбивали налеты фашистской авиации. Основные разработчики устройства «ВЭПУАЗО-2» были удостоены звания лауреатов Государственной премии СССР, в том числе А.П. Морозов, В.А. Соломенцев и Л.В. Голубев вторично.</w:t>
      </w:r>
    </w:p>
    <w:p w14:paraId="0B67AE5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возвращения в Москву часть сотрудников института, по указанию главка, временно переходит на соседний завод, чтобы оказать помощь при освоении серийного выпуска приборов, совместно разработанных институтом и заводом. Здесь они работали до конца 1945 года. На этом же заводе группа инженеров института в составе З.М. Цециора, Н.В. Мариничева и К.Ф. Комарова разработала и внедрила в производство автономную силовую гироскопическую стабилизацию корабельного теплопеленгатора «Солнце», созданного под руководством Н.Д. Смирнова.</w:t>
      </w:r>
    </w:p>
    <w:p w14:paraId="2397B1D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институте ведется разработка устройств полной стабилизации и синхронно-следящих приводов для корабельных теплопеленгаторов. Полностью завершается работа по стабилизации специального зенитного теплопеленгатора «Уран» для крейсеров, создано также устройство «Юкон» для стабилизации 37-мм спаренных зенитных орудий для крейсеров. Часть сотрудников, по мере необходимости, выезжает на корабли для ремонта и восстановления гироскопических приборов, поврежденных при бомбежках. Под руководством А.И. Боброва и Е.В. Ковалева разрабатывается новый более совершенный вариант импульсно-акустического альтиметра БК для «слепой» посадки самолетов и выдерживания высоты полета самолета при прицельном торпедометании. Под руководством В.Б. Кнунянца продолжается прерванная эвакуацией работа по созданию навигационного устройства «Окунь». Первая кабельная трасса «Окунь» была проложена в 1943 г. при входе в бухту г. Владивостока, по ней проводились суда типа «Либерти» с оборудованием и вооружением из США. В этом же году сразу после освобождения Одессы трасса «Окунь» была проложена для прохода в минных полях. Такие же трассы были проложены в г. Мурманске и Белом море. Все эти работы проводились под руководством А.И. Бурмистрова.</w:t>
      </w:r>
    </w:p>
    <w:p w14:paraId="0D8D8EF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руководством В.С. Григорьева в 1943 г. создаётся и поставляется оборудование для плавучей лаборатории гидрографических измерений на крейсер «Красный вымпел» Тихоокеанского флота. В этом же году под руководством Ф.Н. Малахова создается аппаратура «Рита» для автоматического подрыва бросаемых с эскадренных миноносцев торпед при их прохождении под днищем атакуемого корабля.</w:t>
      </w:r>
    </w:p>
    <w:p w14:paraId="0AB1A29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лаборатории Н.Д. Смирнова разрабатывается усовершенствованный вариант теплопеленгатора БТП. С несколькими такими теплоблоками на Северный фронт выезжал А.П. Корейко. Он установил БТП вдоль береговой линии у г. Мурманска, успешно обслуживал их до конца войны. Ни один вражеский корабль не смог </w:t>
      </w:r>
      <w:r w:rsidRPr="0044524F">
        <w:rPr>
          <w:rFonts w:ascii="Times New Roman" w:hAnsi="Times New Roman"/>
          <w:color w:val="000000" w:themeColor="text1"/>
          <w:sz w:val="16"/>
          <w:szCs w:val="16"/>
        </w:rPr>
        <w:lastRenderedPageBreak/>
        <w:t>проникнуть к берегам и войти в Белое море. БТП давали точные пеленги и расстояние для береговых батарей. С их помощью было уничтожено 26 кораблей противника.</w:t>
      </w:r>
    </w:p>
    <w:p w14:paraId="5BB7826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успех этого теплопеленгатора, лаборатория под руководством Н.Д. Смирнова создает еще более совершенный теплопеленгатор «Тигр» – легкий аппарат, который устанавливался и обслуживался одним человеком и нашел широкое применение в прифронтовой полосе и пограничных регионах.</w:t>
      </w:r>
    </w:p>
    <w:p w14:paraId="2A12737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войны для снабжения партизанских отрядов вооружением и боеприпасами использовались деревянные планеры, буксируемые самолетом. Буксировка осложнялась тем, что днем случались обстрелы зенитной артиллерией противника, а ночью – пилот планера в облаках не видел самолета-буксировщика. Результат – частые аварии. Лаборатория Н.Д. Смирнова разработала аппаратуру электромагнитной связи между самолетом и планером. С ее применением аварии из-за плохой погоды прекратились.</w:t>
      </w:r>
    </w:p>
    <w:p w14:paraId="20E3C7F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руководством В.Д. Калмыкова был разработан командирский специальный компас, который позволял ориентироваться на местности, визировать и пеленговать ориентиры, определять время днем и ночью. Таких компасов было изготовлено более 300 штук.</w:t>
      </w:r>
    </w:p>
    <w:p w14:paraId="5D7A0EC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производстве был продолжен выпуск больших партий оптических телефонов ОТД-200, деталей для ракет «Катюша», корпусов и деталей для гранат и деталей к стрелковому оружию «ППШ», усовершенствованной аппаратуры «Малютка».</w:t>
      </w:r>
    </w:p>
    <w:p w14:paraId="2E95411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во всех подразделениях института шла под девизом «Все для фронта, все для победы!». Ведется поиск новых средств вооружения, разрабатывается целый ряд заказов, создается и выпускается в большом количестве разновидность радиофугаса под шифром «Река», предназначенного для партизанских отрядов. Для них же создается крупная серия взрывных устройств «Сюрприз», закладываемых партизанами в столы, сейфы, автомобили противника.</w:t>
      </w:r>
    </w:p>
    <w:p w14:paraId="2EEF82B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руководством К.В. Байдуна была создана аппаратура управления стрельбой орудиями главного калибра на крейсерах с учетом так называемых всплесков взрывов снарядов при недолетах. Эта аппаратура сопрягалась и с большими оптическими дальномерами.</w:t>
      </w:r>
    </w:p>
    <w:p w14:paraId="3576CBD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Н.Д. Смирновым и В.Т. Родионовым продолжается разработка и создается ряд новейших по схеме и конструкции теплопеленаторов. В их числе теплообнаружитель «Прицел» для обнаружения танков ночью и в тумане, миниатюрный теплоприцел «Шмель» для авиационных пулеметов, чувствительный теплообнаружитель «Леопард» для просмотра ущелий, заливов и рек.</w:t>
      </w:r>
    </w:p>
    <w:p w14:paraId="2977191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 же время изыскиваются возможности для создания средств обнаружения самолетов в любое время суток и при любой погоде. Анализируется опыт Ф.В. Лукина по обнаружению кораблей на море с самолета и опыты В.А. Кузовкина и В.И. Ярошенко по применению частотно-модулированных волн дециметрового диапазона для обнаружения самолетов. Начинает приходить информация о применении радиосредств для обеспечения защиты Лондона от налетов немецкой авиации. Эти средства там называли радарами-радиолокаторами.</w:t>
      </w:r>
    </w:p>
    <w:p w14:paraId="590AC90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Накануне войны численность института составляла приблизительно 2 000 человек. В послевоенные годы, в связи с постоянно растущими объемами работ, она стала быстро увеличиваться. На базе лабораторий № 2, 3, 4, 6 стали создаваться отделы. На основе лаборатории № 3 еще в 1944 г. был образован отдел № 3. Его возглавил К.В. Байдун. В дальнейшем начальником отдела № 3, а позже НИО-3, становились А.С. Гринштейн, Ф.В. Лукин, И.А. Игнатьев, В.И. Ярошенко, В.Ф. Измайлов, Н.С. Щербаков, Л.Б. Масленников. Отдел № 3 был самым крупным в институте, его численность в отдельные годы доходила до 700 человек.</w:t>
      </w:r>
    </w:p>
    <w:p w14:paraId="0DCF999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1946 г. создается отдел № 4, состоящий из четырех лабораторий, начальником которого назначается А.И. Бобров, в дальнейшем эту должность занимали В.А. Кузовкин, С.А. Ноздрин, И.А. Коновалов, А.И. Бурмистров, В.А. Егоров.</w:t>
      </w:r>
    </w:p>
    <w:p w14:paraId="7044139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же 1946 г. лаборатория № 6 реорганизуется в отдел № 6 с несколькими лабораториями, в том числе с лабораториями по вакуумным устройствам. Начальником отдела № 6 назначается Н.Д. Смирнов, позже отделом № 6 руководил Д.П. Павлов и после прихода в институт большой группы сотрудников из НИИ “Вымпел” – И.Н. Амиантов, затем Д.Я. Ковалевский.</w:t>
      </w:r>
    </w:p>
    <w:p w14:paraId="7EB06A9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1947 г. из лаборатории № 2 образован отдел № 2, который возглавил В.И. Кузнецов (впоследствии академик, дважды Герой Социалистического труда). В 1953 г. на базе отдела № 2 создается внутри института СКБ под руководством В.И. Кузнецова, а в 1956 г. он с группой сотрудников (приблизительно 350 человек), занимавшихся разработкой гироскопических приборов, переходит в другой, только что созданный институт прикладной механики. Начальником отдела № 2 становится В.П. Антонов, затем Б.П. Капелин, М.С. Орышак, А.С. Миронов, С.А. Климов.</w:t>
      </w:r>
    </w:p>
    <w:p w14:paraId="50F6CC1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1961 г. в связи с развитием работ по ударному противокорабельному оружию был создан отдел № 7 по разработкам методов управления крылатыми ракетами и автопилотам. Его начальником был назначен В.Е. Краснов, позднее эту должность занимали Ю.И. Бородин и С.Е. Ермолаев.</w:t>
      </w:r>
    </w:p>
    <w:p w14:paraId="2700A47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Расширение объема работ, углубление специализации привели к необходимости создания отраслевых научно-исследовательских отделов. Собранные из разных отделов специалисты родственных направлений техники могли более эффективно использоваться в отраслевой структуре за счет перераспределения работ, обмена накопленного опыта и широкой унификации принимаемых решений.</w:t>
      </w:r>
    </w:p>
    <w:p w14:paraId="5EB12FDB"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в 1963 г. появился первый отраслевой отдел антенно-фидерных устройств (отдел № 12). Его начальником был назначен В.И. Пейсиков, позднее отделом руководили С.А. Казбеков, Ф.И. Тезиков, Е.А. Титов, Ф.И. Емельченков, В.А. Балагуровский.</w:t>
      </w:r>
    </w:p>
    <w:p w14:paraId="4E85D63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1966 г. образован отдел № 14 – отдел источников питания. Руководила отделом Ф.П. Афонина, в дальнейшем – К.Г. Агапов, В.С. Бобрышев, Г.Е. Воеводин, В.Н. Панфилов. В 1969 г. создается отдел № 15 – отдел счетно-решающих устройств. Начальником отдела был назначен Н.С. Щербаков, позднее отделом руководили С.М. Соколов, В.П. Холопов, С.А. Гвоздев, В.П. Стручков.</w:t>
      </w:r>
    </w:p>
    <w:p w14:paraId="7F78379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институте установилась определенная технология прохождения заказов. Основными ее этапами являлись эскизный и технический проекты, на стадии которых изготовлялись и проверялись отдельные приборы и устройства. Оба этапа сдавались заказчику.</w:t>
      </w:r>
    </w:p>
    <w:p w14:paraId="41F9E23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основе технического проекта с учетом замечаний и предложений составлялись технические задания на рабочие чертежи конструкторскому отделу. Общие виды конструкторских чертежей также предъявлялись заказчику, и после внесения исправлений шли в опытное производство (ОП).</w:t>
      </w:r>
    </w:p>
    <w:p w14:paraId="2A674426"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 образцы приборов поступали в лаборатории на проверку и регулировку, затем вся аппаратура устанавливалась на стенде, где проводились стендовые испытания. Такая технология позволяла предъявлять аппаратуру на внешние испытания в реальных условиях, что сокращало сроки разработки, давало качественный эффект на последнем этапе – государственных испытаниях.</w:t>
      </w:r>
    </w:p>
    <w:p w14:paraId="56AE312E"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созданием радиолокационных станций в институте велись активные работы по разработке измерительной и контрольной аппаратуры. Была создана серия измерительных приборов, основные разработчики которой Г.Г. Гинкин, Е.В. Ковалев, Г.И. Келлер удостоены звания лауреатов Государственной премии СССР.</w:t>
      </w:r>
    </w:p>
    <w:p w14:paraId="73A1A79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институте активно ведется строительство новых корпусов. В 1950 г. заложен фундамент корпуса № 10, который был введен в эксплуатацию в 1953 г., построена проходная. В 1954 г. разбит сквер перед первым корпусом, открылась амбулатория, началось строительство научной испытательной базы на Большой Волге (НИБ “Большая Волга”). В 1957-1960 гг. построен корпус № 11, здание “Шатер”, надстроен пятый этаж корпуса № 10, позволивший существенно улучшить условия труда конструкторов. Значительно расширяется опытное производство, функционируют 15 цехов, позже были созданы цеха по механообработке в Феодосии (цех № 15) и на НИБ “Большая Волга” (цех № 12).</w:t>
      </w:r>
    </w:p>
    <w:p w14:paraId="1BA6818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1957 г. институт начинает оснащаться электронными вычислительными машинами, создается вычислительный центр.</w:t>
      </w:r>
    </w:p>
    <w:p w14:paraId="5DC3EA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проведения испытаний приобретается самоходная баржа «Торпедо», которая переоборудуется под лабораторно-экспедиционное судно.</w:t>
      </w:r>
    </w:p>
    <w:p w14:paraId="400F493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Щелковском районе была построена складская база «Шевелкино».</w:t>
      </w:r>
    </w:p>
    <w:p w14:paraId="25779BD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 развитием технической и производственной базы институт много внимания уделял социальной сфере, заботе о сотрудниках.</w:t>
      </w:r>
    </w:p>
    <w:p w14:paraId="78A1718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1946 г. закладывается фундамент первого жилого дома в Перовом Поле, где затем строится еще три дома. На поле, отведенном институту в 1939 г. на 30-м километре Горьковского шоссе для проведения испытаний аппаратуры, в 1947 г. по инициативе С.А. Андреева начинается строительство пионерского лагеря «Дружба». В 1954 г. построен стадион «Авангард», в 1956 г. введен в эксплуатацию летний детский сад в поселке «Быково».</w:t>
      </w:r>
    </w:p>
    <w:p w14:paraId="648DF2C8"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50-м годам значительно повысился научный уровень разработок института. Расчеты надежности, точности, прочности, эффективности систем и приборов стали обязательными. При увеличивающейся сложности систем упрощалось их обслуживание и тем самым сокращалось число операторов, что достигалось за счет повышения уровня автоматизации. Большое внимание уделялось снижению массы и габаритов аппаратуры путем совершенствования конструкций и миниатюризации применяемых элементов и их унификации.</w:t>
      </w:r>
    </w:p>
    <w:p w14:paraId="34A7C44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1953 г. директором института назначается Михаил Павлович Петелин. С его именем связано наиболее поступательное развитие и становление НИИ-10, как важнейшего головного института страны по радиолокационному вооружению и радиолокационным системам управления ракетным оружием кораблей ВМФ.</w:t>
      </w:r>
    </w:p>
    <w:p w14:paraId="2322185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вузов Ленинграда, Горького, Киева, Харькова и других городов страны в НИИ-10 были направлены молодые специалисты. Для их размещения в корпусе № 9, где сегодня находится медпункт, было организовано общежитие. Там поселили более 80 юношей и девушек. Многие из них впоследствии стали ведущими специалистами, руководителями отделов и лабораторий, главными конструкторами, кандидатами технических наук. В их числе Г.Н. Волгин, В.А. Алешин, А.Г. Стронин, С.А. Казбеков, А.М. Скоробогачев, А.А. Перуанский, В.И. Преснецов, Н.В. Расторопов, С.Н. Гай и др. Развертывание работ по ракетному оружию потребовало несколько изменить тематическую направленность института, разгрузить его от ряда тематических направлений. Гироскопия, как уже говорилось ранее, была передана в институт прикладной механики; радиоразведка и радиопротиводействие во вновь организованный институт связи в г. Таганроге; системы управления корабельной артиллерией – в КБ «Аметист» при заводе «Топаз». Позднее разработка обзорных корабельных РЛС передана в ОКБ завода «Салют». Из института также было выделено направление по координации формирования состава радиоэлектронного вооружения кораблей ВМФ во вновь организованный ЦНИИ «Курс» в Москве.</w:t>
      </w:r>
    </w:p>
    <w:p w14:paraId="6E0D543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1956 г. институт передан в ведение Министерства радиопромышленности. Для успешного проведения испытаний дирекцией было принято решение построить базы в непосредственной близости от районов испытаний, что позволило бы существенно снизить сроки их проведения и обеспечить нормальными жилищными условиями испытательные бригады. Такие базы были созданы. В 1969 г. в г. Феодосии на берегу моря построена научная база «Ай-Петри». Помимо комфортабельной гостиницы </w:t>
      </w:r>
      <w:r w:rsidRPr="0044524F">
        <w:rPr>
          <w:rFonts w:ascii="Times New Roman" w:hAnsi="Times New Roman"/>
          <w:color w:val="000000" w:themeColor="text1"/>
          <w:sz w:val="16"/>
          <w:szCs w:val="16"/>
        </w:rPr>
        <w:lastRenderedPageBreak/>
        <w:t>был возведен административный корпус, где разместились универсальные ЭВМ, на которых проходила обработка данных испытаний комплексов на Черноморском полигоне, в нескольких километрах от него располагался комплексный стенд и цех № 15. В 1973 г. в г. Севастополе построена производственная база ПБ «Утес», в которой размещались сдаточные бригады, обслуживающие аппаратуру института, установленную на кораблях. В г. Североморске в 1984 г. для этих же целей создана производственная база СИБ «Скала». Таким образом, институт к концу 70-х годов располагал пятью базами, включая НИБ «Большая Волга».</w:t>
      </w:r>
    </w:p>
    <w:p w14:paraId="1064B72C"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1963 г. за большие заслуги в деле создания и производства новых типов ракетного вооружения, а также строительства надводных кораблей, оснащенных этим оружием, и перевооружением кораблей ВМФ, институт был награжден орденом Трудового Красного Знамени, а большая группа его сотрудников – орденами и медалями СССР.</w:t>
      </w:r>
    </w:p>
    <w:p w14:paraId="02D3C9C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1967 г. постановлением ЦК КПСС и СМ СССР институт вновь передан в ведение Министерства судостроительной промышленности СССР и стал называться Всесоюзным научно-исследовательским институтом радиоэлектроники (ВНИИРЭ). 20 сентября 1972 г. приказом Министра судостроительной промышленности институту присвоено наименование Всесоюзный научно-исследовательский институт «Альтаир». К этому времени на корабли ВМФ были поставлены серийно изготовленные ЗРК «Волна», «Шторм», системы управления ударным оружием П-35, «Малахит», управляемые ракетные противолодочные комплексы «Метель», «Муссон», системы обработки радиолокационной информации и целеуказания МРО-400 и МРО-500. Институт приступил к разработке многоканальных зенитных ракетных комплексов «Штиль», «С-300Ф», «Клинок» и РЛСУ «Каштан», обеспечивающих многорубежную противовоздушную оборону кораблей ВМФ. Одновременно новые задачи были поставлены перед разработчиками ударного ракетного оружия – создать сверхзвуковые, низколетящие противокорабельные ракеты, способные прорвать мощную эшелонированную оборону корабельных соединений противника и уничтожить основную ударную силу – авианосцы ВМС США. Эта задача была решена в комплексах «Прогресс» и «Малахит».</w:t>
      </w:r>
    </w:p>
    <w:p w14:paraId="11EFE8DA"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Самоотверженный труд сотрудников института в создании новейших зенитных ракетных комплексов и систем управления ударным ракетным оружием завершился принятием на вооружение ЗРК «Штиль» (1983 г.), ЗРК С-300Ф (1984 г.), позднее ЗРАК «Каштан» (1988 г.), ЗРК «Клинок» (1989 г.), а также комплексов ударного оружия «Прогресс» (1982 г.) и «Москит-Е» (1984 г.).</w:t>
      </w:r>
    </w:p>
    <w:p w14:paraId="3BC4B0B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1989 г. ВНИИ «Альтаир» с вновь строящимся заводом в г. Новодвинске Архангельской области преобразован в НПО «Альтаир», а в 1992 г. НПО получило название Государственное научно-производственное объединение «Альтаир», позже, в 2001 г. – Федеральное государственное унитарное предприятие (ФГУП «НПО «Альтаир»).</w:t>
      </w:r>
    </w:p>
    <w:p w14:paraId="03BC2B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в течение истекших десятилетий институт выполнил и внедрил в серийное производство более 200 ОКР, принятых на вооружение ВМФ. Шесть разработок удостоены Ленинской премии, свыше 30 – Государственной премии СССР, две – премии Правительства РФ. Наиболее выдающиеся представители института – создатели вооружения флота удостоены почетных званий: три – Героя Социалистического труда (В.И. Ярошенко, Л.Е. Хазанов, В.Н. Малахов); 14 – лауреатов Ленинской премии (из них И.А. Игнатьев, В.А. Букатов, Е.А. Титов – Ленинской и Государственной премий); 10 – дважды лауреатов Государственной премии (в том числе Г.Н. Волгин, В.Т. Родионов, В.А. Кузовкин и др.); 70 – лауреат Государственной премии СССР; свыше 1 100 сотрудников награждены орденами и медалями.</w:t>
      </w:r>
    </w:p>
    <w:p w14:paraId="64EA4B9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2003 г. ФГУП «НПО «Альтаир» акционировалось и вошло в концерн «ПВО «Алмаз-Антей» и теперь называется ОАО «Морской научно-исследовательский институт радиоэлектроники «Альтаир» (ОАО «МНИИРЭ «Альтаир»). В настоящее время «Альтаир» располагает квалифицированными научными и инженерными кадрами, опытным производством, хорошо оборудованными лабораториями, научно-испытательной базой «Большая Волга», имеет хорошие экспортные возможности и способен разрабатывать новые виды вооружения, отвечающие самым современным требованиям (11670).</w:t>
      </w:r>
    </w:p>
    <w:p w14:paraId="0B61D491"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43247ED1" w14:textId="77777777" w:rsidR="008A5189" w:rsidRPr="0044524F" w:rsidRDefault="008A5189" w:rsidP="009654CF">
      <w:pPr>
        <w:pStyle w:val="ae"/>
        <w:spacing w:before="0" w:after="0"/>
        <w:jc w:val="both"/>
        <w:rPr>
          <w:color w:val="000000" w:themeColor="text1"/>
          <w:sz w:val="16"/>
          <w:szCs w:val="16"/>
        </w:rPr>
      </w:pPr>
      <w:r w:rsidRPr="0044524F">
        <w:rPr>
          <w:color w:val="000000" w:themeColor="text1"/>
          <w:sz w:val="16"/>
          <w:szCs w:val="16"/>
        </w:rPr>
        <w:t>23 октября 1933 г. приказом Наркома тяжелой промышленности СССР Серго Орджоникидзе был создан Всесоюзный государственный институт телемеханики и связи (ВГИТИС) (днем основания института считается день назначения директора института - Федора Федоровича Сучкова). Базой для создания ВГИТИС послужила ЦЛПС, которая после переезда основного института в Москву стала его Ленинградским филиалом. Я.И. Эфрусси в своих воспоминаниях так оценил эти работы: «Работа над комплексами А.Ф. Шорина и В.И. Бекаури, как понял я позже, послужила мощным импульсом для развития ряда отраслей науки в нашей стране, способствовала созданию новых видов производства, разработки не существовавших ранее приборов радиотехники и телемеханики. Многое из разработанного для аппаратуры радиотелеуправления нашло применение в проектах ГИРДа – как известно, одно передовое направление в технике неизменно обогащает другое» (15736).</w:t>
      </w:r>
    </w:p>
    <w:p w14:paraId="6A21DDFB" w14:textId="77777777" w:rsidR="008A5189" w:rsidRPr="0044524F" w:rsidRDefault="008A5189" w:rsidP="009654CF">
      <w:pPr>
        <w:pStyle w:val="ae"/>
        <w:spacing w:before="0" w:after="0"/>
        <w:jc w:val="both"/>
        <w:rPr>
          <w:color w:val="000000" w:themeColor="text1"/>
          <w:sz w:val="16"/>
          <w:szCs w:val="16"/>
        </w:rPr>
      </w:pPr>
    </w:p>
    <w:p w14:paraId="304DE005" w14:textId="77777777" w:rsidR="008A5189" w:rsidRPr="0044524F" w:rsidRDefault="008A5189"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 xml:space="preserve">23 октября </w:t>
      </w:r>
      <w:r w:rsidRPr="0044524F">
        <w:rPr>
          <w:rFonts w:ascii="Times New Roman" w:hAnsi="Times New Roman"/>
          <w:color w:val="000000" w:themeColor="text1"/>
          <w:sz w:val="16"/>
          <w:szCs w:val="16"/>
        </w:rPr>
        <w:t xml:space="preserve">в 1933 году постановлением советского правительства был создан Всесоюзный институт телемеханики и связи (ВГИТИС). С 2002 г. ОАО "Морской научно-исследовательский институт радиоэлектроники "Альтаир" — ведущее предприятие России в области разработки зенитно-ракетного оружия и радиоэлектронного вооружения кораблей ВМФ. Основной задачей было создание новых образцов вооружений для Красной Армии и ВМФ. Первыми его разработками были системы с телемеханическим управлением наземными объектами, летательными аппаратами, теплопеленгаторы, приборы управления артиллерийской стрельбой. В 1942 году институт приступил к разработке радиолокационных систем. Первой была спроектирована радиолокационная станция (РЛС) управления огнем корабельной зенитной артиллерии дециметрового диапазона "Юпитер-1". Вслед за ней в короткие сроки были разработаны "Юпитер-2" (наводка орудий главного и универсального калибра эсминца) и радиолокатор "Марс-3" (наводка орудий береговых батарей). Одновременно со стрельбовыми создаются обзорные общекорабельные РЛС. Первой такой станцией была РЛС "Риф", для малых кораблей, торпедных катеров и тральщиков была разработана РЛС "Зарница", а позже - обзорная РЛС "Ангара", первая в истории института отмеченная Ленинской премией СССР. Развитие вычислительной техники и полупроводниковой элементной базы во второй половине 1950-х годов позволило начать оснащение РЛС системами автоматической обработки информации и целеуказания, что существенно повысило их пропускную способность и надежность в сложной помеховой обстановке. Первая такая система МРО-310А была разработана для РЛС "Ангара-А", затем были созданы системы автоматической обработки информации от РЛС "Восход" и РЛС "Ангара-А" "Байкал-С4" и система "Байкал-Ф". В 50-х годах в институте начались работы над ракетным оружием. Разработка его велась по двум направлениям - зенитного ракетного управляемого оружия (ЗУРО) для обороны кораблей ВМФ и систем управления противокорабельными ракетами (ПКР). За эти работы в 1962 году институт был награжден вторым орденом - Трудового Красного Знамени. Позже институтом были спроектированы многоканальные ЗРК "Штиль", "Риф" "Клинок", позволяющие отбивать атаки ПКР. За успехи в разработке и серийном освоении этих комплексов в 1984 году он был награжден вторым орденом Ленина </w:t>
      </w:r>
    </w:p>
    <w:p w14:paraId="3697E0A1" w14:textId="77777777" w:rsidR="008A5189" w:rsidRPr="0044524F" w:rsidRDefault="008A5189" w:rsidP="009654CF">
      <w:pPr>
        <w:spacing w:after="0" w:line="240" w:lineRule="auto"/>
        <w:jc w:val="both"/>
        <w:rPr>
          <w:rFonts w:ascii="Times New Roman" w:hAnsi="Times New Roman"/>
          <w:color w:val="000000" w:themeColor="text1"/>
          <w:sz w:val="16"/>
          <w:szCs w:val="16"/>
        </w:rPr>
      </w:pPr>
    </w:p>
    <w:p w14:paraId="7B915EE5" w14:textId="77777777" w:rsidR="00585A9A"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2F2724D" w14:textId="77777777" w:rsidR="00585A9A" w:rsidRPr="0044524F" w:rsidRDefault="00585A9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A17B83B" w14:textId="77777777" w:rsidR="00585A9A" w:rsidRPr="0044524F" w:rsidRDefault="00585A9A" w:rsidP="009654CF">
      <w:pPr>
        <w:pStyle w:val="rtejustify"/>
        <w:spacing w:before="0" w:after="0"/>
        <w:rPr>
          <w:color w:val="000000" w:themeColor="text1"/>
          <w:sz w:val="16"/>
          <w:szCs w:val="16"/>
        </w:rPr>
      </w:pPr>
      <w:r w:rsidRPr="0044524F">
        <w:rPr>
          <w:color w:val="000000" w:themeColor="text1"/>
          <w:sz w:val="16"/>
          <w:szCs w:val="16"/>
        </w:rPr>
        <w:t>23 октября 1933 г. посол Франции в СССР в беседе с наркомом иностранных дел Литвиновым вновь поставил вопрос о визите Тухачевского во Францию. Литвинов ответил, что «вопрос у нас не обсуждался», и он даже не знает получил ли Тухачевский приглашение от кого-либо. 30 ноября 1933 г. советник посольства Франции передал члену коллегии НКИД Б.С.Стомонякову памятную записку французского посольства, в которой подтверждалось приглашение Тухачевскому и советским летчикам прибыть во Францию с визитом в ответ на визит Кота (ДВП. Т. XVI. С. 555, 859–860). 10 декабря 1933 г. ПБ приняло предложение Кота о посылке советских командиров в школы французской авиации для совершенствования и наметило состав командируемых. Послу во Франции В.СДовгалевскому было поручено сообщить французской стороне о намерении послать весной 1934 г. эскадрилью самолетов в Париж в ответ на визит Кота (РГАСПИ. Ф. 17. Оп. 162. Д. 15. Л. 152). Визит советской авиационной делегации во главе с начальником Главного управления гражданского/Воздушного флота Уншлихтом состоялся в августе 1934 г. (ДВП. Т. XVII. М. 1971. С. 811).</w:t>
      </w:r>
    </w:p>
    <w:p w14:paraId="7B039B7A"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РГАСПИ Ф. 558. Оп. 11. Д. 81. Л. 24. Заверенная машинописная копия; Ф. 81. Оп. 3. Д. 101. Л. 26. Машинописный текст с пометами Кагановича. </w:t>
      </w:r>
    </w:p>
    <w:p w14:paraId="547094D3"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Сталин и Каганович. Переписка. 1931–1936 гг. Москва: (РОССПЭН), 2001 Стр. 351-352 (12310).</w:t>
      </w:r>
    </w:p>
    <w:p w14:paraId="7E0A4614" w14:textId="77777777" w:rsidR="00585A9A" w:rsidRPr="0044524F" w:rsidRDefault="00585A9A" w:rsidP="009654CF">
      <w:pPr>
        <w:spacing w:after="0" w:line="240" w:lineRule="auto"/>
        <w:jc w:val="both"/>
        <w:rPr>
          <w:rFonts w:ascii="Times New Roman" w:hAnsi="Times New Roman"/>
          <w:color w:val="000000" w:themeColor="text1"/>
          <w:sz w:val="16"/>
          <w:szCs w:val="16"/>
          <w:u w:color="002060"/>
        </w:rPr>
      </w:pPr>
    </w:p>
    <w:p w14:paraId="04217C90" w14:textId="77777777" w:rsidR="00FE0782" w:rsidRPr="0044524F" w:rsidRDefault="00FE07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октября 1933</w:t>
      </w:r>
    </w:p>
    <w:p w14:paraId="13B45357" w14:textId="77777777" w:rsidR="00FE0782" w:rsidRPr="0044524F" w:rsidRDefault="00FE07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Меморандум посольства КР в СССР о порядке импорта в Китай самолетов, радиоаппаратуры и других материалов, которые могут быть использованы в военных целях, о неправомочности провинциальных властей Китая заключать с иностранными государствами договоры и соглашения об использовании национальной собственности страны (леса, копи и т.д.)</w:t>
      </w:r>
    </w:p>
    <w:p w14:paraId="07EDFED6" w14:textId="77777777" w:rsidR="00FE0782" w:rsidRPr="0044524F" w:rsidRDefault="00FE07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Китайское посольство свидетельствует свое почтение Народному комиссариату по иностранным делам Союза Советских Социалистических Республик и, ссылаясь на свой меморандум от 14 октября 1933 г. ", имеет честь заявить, что упомянутые в последнем оружие и снаряжение, конечно, и естественно, включают также самолеты всех типов, радиоаппаратуру и все другие материалы, которые могут быть использованы в военных целях.</w:t>
      </w:r>
    </w:p>
    <w:p w14:paraId="5055FD21" w14:textId="77777777" w:rsidR="00FE0782" w:rsidRPr="0044524F" w:rsidRDefault="00FE07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Китайское посольство имеет честь также сообщить Народному комиссариату по иностранным делам, что правительство Китайской Республики неоднократно формально извещало правительства тех стран, с которыми Республика имеет договорные отношения, что без предварительного осведомления и согласия китайского правительства никакие провинциальные или местные власти не имеют прав использовать национальную собственность, как то: копи, леса и т.д. как обеспечение иностранных займов или в качестве платежа за товары, купленные за границей; тем меньшим правом они обладают для заклада и продажи их какому-нибудь иностранному государству или лицу.</w:t>
      </w:r>
    </w:p>
    <w:p w14:paraId="0DDCCD55" w14:textId="77777777" w:rsidR="00FE0782" w:rsidRPr="0044524F" w:rsidRDefault="00FE07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же в противовес этому подобного рода соглашения оказались заключенными местными властями, эти соглашения будут признаны не имеющими никакого значения и силы.</w:t>
      </w:r>
    </w:p>
    <w:p w14:paraId="6ABDF065" w14:textId="77777777" w:rsidR="00FE0782" w:rsidRPr="0044524F" w:rsidRDefault="00FE078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АВП</w:t>
      </w:r>
      <w:r w:rsidRPr="0044524F">
        <w:rPr>
          <w:rFonts w:ascii="Times New Roman" w:hAnsi="Times New Roman"/>
          <w:color w:val="000000" w:themeColor="text1"/>
          <w:sz w:val="16"/>
          <w:szCs w:val="16"/>
          <w:lang w:val="en-US"/>
        </w:rPr>
        <w:t xml:space="preserve"> </w:t>
      </w:r>
      <w:r w:rsidRPr="0044524F">
        <w:rPr>
          <w:rFonts w:ascii="Times New Roman" w:hAnsi="Times New Roman"/>
          <w:color w:val="000000" w:themeColor="text1"/>
          <w:sz w:val="16"/>
          <w:szCs w:val="16"/>
        </w:rPr>
        <w:t>РФ</w:t>
      </w:r>
      <w:r w:rsidRPr="0044524F">
        <w:rPr>
          <w:rFonts w:ascii="Times New Roman" w:hAnsi="Times New Roman"/>
          <w:color w:val="000000" w:themeColor="text1"/>
          <w:sz w:val="16"/>
          <w:szCs w:val="16"/>
          <w:lang w:val="en-US"/>
        </w:rPr>
        <w:t xml:space="preserve">. </w:t>
      </w:r>
      <w:r w:rsidRPr="0044524F">
        <w:rPr>
          <w:rFonts w:ascii="Times New Roman" w:hAnsi="Times New Roman"/>
          <w:color w:val="000000" w:themeColor="text1"/>
          <w:sz w:val="16"/>
          <w:szCs w:val="16"/>
        </w:rPr>
        <w:t>Ф</w:t>
      </w:r>
      <w:r w:rsidRPr="0044524F">
        <w:rPr>
          <w:rFonts w:ascii="Times New Roman" w:hAnsi="Times New Roman"/>
          <w:color w:val="000000" w:themeColor="text1"/>
          <w:sz w:val="16"/>
          <w:szCs w:val="16"/>
          <w:lang w:val="en-US"/>
        </w:rPr>
        <w:t xml:space="preserve">. 100. On. 17. </w:t>
      </w:r>
      <w:r w:rsidRPr="0044524F">
        <w:rPr>
          <w:rFonts w:ascii="Times New Roman" w:hAnsi="Times New Roman"/>
          <w:color w:val="000000" w:themeColor="text1"/>
          <w:sz w:val="16"/>
          <w:szCs w:val="16"/>
        </w:rPr>
        <w:t>П</w:t>
      </w:r>
      <w:r w:rsidRPr="0044524F">
        <w:rPr>
          <w:rFonts w:ascii="Times New Roman" w:hAnsi="Times New Roman"/>
          <w:color w:val="000000" w:themeColor="text1"/>
          <w:sz w:val="16"/>
          <w:szCs w:val="16"/>
          <w:lang w:val="en-US"/>
        </w:rPr>
        <w:t xml:space="preserve">. 32. </w:t>
      </w:r>
      <w:r w:rsidRPr="0044524F">
        <w:rPr>
          <w:rFonts w:ascii="Times New Roman" w:hAnsi="Times New Roman"/>
          <w:color w:val="000000" w:themeColor="text1"/>
          <w:sz w:val="16"/>
          <w:szCs w:val="16"/>
        </w:rPr>
        <w:t>Д</w:t>
      </w:r>
      <w:r w:rsidRPr="0044524F">
        <w:rPr>
          <w:rFonts w:ascii="Times New Roman" w:hAnsi="Times New Roman"/>
          <w:color w:val="000000" w:themeColor="text1"/>
          <w:sz w:val="16"/>
          <w:szCs w:val="16"/>
          <w:lang w:val="en-US"/>
        </w:rPr>
        <w:t xml:space="preserve">. 12. </w:t>
      </w:r>
      <w:r w:rsidRPr="0044524F">
        <w:rPr>
          <w:rFonts w:ascii="Times New Roman" w:hAnsi="Times New Roman"/>
          <w:color w:val="000000" w:themeColor="text1"/>
          <w:sz w:val="16"/>
          <w:szCs w:val="16"/>
        </w:rPr>
        <w:t>Л. 89. Копия. Машинописный экз. Перевод с англ. (20871).</w:t>
      </w:r>
    </w:p>
    <w:p w14:paraId="13BC4D94" w14:textId="77777777" w:rsidR="00FE0782" w:rsidRPr="0044524F" w:rsidRDefault="00FE0782" w:rsidP="009654CF">
      <w:pPr>
        <w:spacing w:after="0" w:line="240" w:lineRule="auto"/>
        <w:jc w:val="both"/>
        <w:rPr>
          <w:rFonts w:ascii="Times New Roman" w:hAnsi="Times New Roman"/>
          <w:color w:val="000000" w:themeColor="text1"/>
          <w:sz w:val="16"/>
          <w:szCs w:val="16"/>
        </w:rPr>
      </w:pPr>
    </w:p>
    <w:p w14:paraId="6B2F6EE4"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lastRenderedPageBreak/>
        <w:t>За рубежом:</w:t>
      </w:r>
    </w:p>
    <w:p w14:paraId="15BE03F6"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5AAB3D5"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23 октября 1933 Германия перестала быть членом Лиги наций (2100).</w:t>
      </w:r>
    </w:p>
    <w:p w14:paraId="70C1C672"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54E6FBF9" w14:textId="77777777" w:rsidR="001F72E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C5D6356" w14:textId="77777777" w:rsidR="001F72EB" w:rsidRPr="0044524F" w:rsidRDefault="001F72E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5B8B8F3"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октября 1933 года пятью серийными танками БТ-5 был совершен рекордный тысячекилометровый бе</w:t>
      </w:r>
      <w:r w:rsidRPr="0044524F">
        <w:rPr>
          <w:rFonts w:ascii="Times New Roman" w:hAnsi="Times New Roman"/>
          <w:color w:val="000000" w:themeColor="text1"/>
          <w:sz w:val="16"/>
          <w:szCs w:val="16"/>
        </w:rPr>
        <w:softHyphen/>
        <w:t>зостановочный пробег, совершенный по маршруту Харьков-Москва под руководством ди</w:t>
      </w:r>
      <w:r w:rsidRPr="0044524F">
        <w:rPr>
          <w:rFonts w:ascii="Times New Roman" w:hAnsi="Times New Roman"/>
          <w:color w:val="000000" w:themeColor="text1"/>
          <w:sz w:val="16"/>
          <w:szCs w:val="16"/>
        </w:rPr>
        <w:softHyphen/>
        <w:t>ректора завода Л.С.Владимирова.</w:t>
      </w:r>
    </w:p>
    <w:p w14:paraId="7A9C32E4"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экипажей танков, штатных испытателей и представителей КБ, в нем участвовали начальник производства С.Н.Махонин, инженеры Е.И.Юдин, И.Я. Помогайбо, старший военпред Ю.Л.Бакуревич... И эта всеобщая заинтересованность в судьбе машины лучше всяких слов гово</w:t>
      </w:r>
      <w:r w:rsidRPr="0044524F">
        <w:rPr>
          <w:rFonts w:ascii="Times New Roman" w:hAnsi="Times New Roman"/>
          <w:color w:val="000000" w:themeColor="text1"/>
          <w:sz w:val="16"/>
          <w:szCs w:val="16"/>
        </w:rPr>
        <w:softHyphen/>
        <w:t>рила о царившей здесь атмосфере.</w:t>
      </w:r>
    </w:p>
    <w:p w14:paraId="55595541"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Ворошилов, поручая начальнику УММ РККА Халепскому организа</w:t>
      </w:r>
      <w:r w:rsidRPr="0044524F">
        <w:rPr>
          <w:rFonts w:ascii="Times New Roman" w:hAnsi="Times New Roman"/>
          <w:color w:val="000000" w:themeColor="text1"/>
          <w:sz w:val="16"/>
          <w:szCs w:val="16"/>
        </w:rPr>
        <w:softHyphen/>
        <w:t>цию пробега, в присутствии его участников предупредил:</w:t>
      </w:r>
    </w:p>
    <w:p w14:paraId="5F28855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 должны провести свои танки так, чтобы не задеть ни одной кре</w:t>
      </w:r>
      <w:r w:rsidRPr="0044524F">
        <w:rPr>
          <w:rFonts w:ascii="Times New Roman" w:hAnsi="Times New Roman"/>
          <w:color w:val="000000" w:themeColor="text1"/>
          <w:sz w:val="16"/>
          <w:szCs w:val="16"/>
        </w:rPr>
        <w:softHyphen/>
        <w:t>стьянской подводы, чтобы в селениях ни единой курицы не задавить...</w:t>
      </w:r>
    </w:p>
    <w:p w14:paraId="3090359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пробег было отпущено всего 72 часа, а на его подготовку отводилось четыре дня.</w:t>
      </w:r>
    </w:p>
    <w:p w14:paraId="2763E926"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Выслушав рапорты о готовности экипажей и машин к пробегу, Вла</w:t>
      </w:r>
      <w:r w:rsidRPr="0044524F">
        <w:rPr>
          <w:rFonts w:ascii="Times New Roman" w:hAnsi="Times New Roman"/>
          <w:color w:val="000000" w:themeColor="text1"/>
          <w:sz w:val="16"/>
          <w:szCs w:val="16"/>
        </w:rPr>
        <w:softHyphen/>
        <w:t>димиров отдал последние приказания:</w:t>
      </w:r>
    </w:p>
    <w:p w14:paraId="3EF418B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Старт завтра в 6.00. Порядок движения: головная — моя машина, за мной — машина Кузнецова, третьей — машина Юдина, четвертой — ма</w:t>
      </w:r>
      <w:r w:rsidRPr="0044524F">
        <w:rPr>
          <w:rFonts w:ascii="Times New Roman" w:hAnsi="Times New Roman"/>
          <w:color w:val="000000" w:themeColor="text1"/>
          <w:sz w:val="16"/>
          <w:szCs w:val="16"/>
        </w:rPr>
        <w:softHyphen/>
        <w:t>шина Юрченко, замыкает колонну мой заместитель — вице-командор Бакуревич. Скорость движения регулирую я сам. Дистанция между ма</w:t>
      </w:r>
      <w:r w:rsidRPr="0044524F">
        <w:rPr>
          <w:rFonts w:ascii="Times New Roman" w:hAnsi="Times New Roman"/>
          <w:color w:val="000000" w:themeColor="text1"/>
          <w:sz w:val="16"/>
          <w:szCs w:val="16"/>
        </w:rPr>
        <w:softHyphen/>
        <w:t>шинами: при движении через населенный пункт — до 300 метров, вне населенных пунктов — до километра...</w:t>
      </w:r>
    </w:p>
    <w:p w14:paraId="356604DF"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 Москвой, у железнодорожного переезда через шоссе на окраи</w:t>
      </w:r>
      <w:r w:rsidRPr="0044524F">
        <w:rPr>
          <w:rFonts w:ascii="Times New Roman" w:hAnsi="Times New Roman"/>
          <w:color w:val="000000" w:themeColor="text1"/>
          <w:sz w:val="16"/>
          <w:szCs w:val="16"/>
        </w:rPr>
        <w:softHyphen/>
        <w:t>не маленького города, на техническом финише, участников пробега встре</w:t>
      </w:r>
      <w:r w:rsidRPr="0044524F">
        <w:rPr>
          <w:rFonts w:ascii="Times New Roman" w:hAnsi="Times New Roman"/>
          <w:color w:val="000000" w:themeColor="text1"/>
          <w:sz w:val="16"/>
          <w:szCs w:val="16"/>
        </w:rPr>
        <w:softHyphen/>
        <w:t>тил Халепский. Поздравив экипажи, он сел в свою большую машину и сам повел колонну к торжественному финишу в Москве.</w:t>
      </w:r>
    </w:p>
    <w:p w14:paraId="25D59C4E"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далекого южного города до стен Кремля танки БТ-5 прошли слож</w:t>
      </w:r>
      <w:r w:rsidRPr="0044524F">
        <w:rPr>
          <w:rFonts w:ascii="Times New Roman" w:hAnsi="Times New Roman"/>
          <w:color w:val="000000" w:themeColor="text1"/>
          <w:sz w:val="16"/>
          <w:szCs w:val="16"/>
        </w:rPr>
        <w:softHyphen/>
        <w:t>ное испытание. Тысяча километров осталась позади.</w:t>
      </w:r>
    </w:p>
    <w:p w14:paraId="0EDA2625"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Оценку работе Фирсова и КБ дал этот пробег, о котором в газете «Правда» от 20 ноября 1933 года, была помещена статья «Мужество».</w:t>
      </w:r>
    </w:p>
    <w:p w14:paraId="61F609B2"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Но на этом испытания танков БТ-5 в Москве не закончились. Они приняли участие в параде войск Московского гарнизона в день </w:t>
      </w:r>
      <w:r w:rsidRPr="0044524F">
        <w:rPr>
          <w:rFonts w:ascii="Times New Roman" w:hAnsi="Times New Roman"/>
          <w:color w:val="000000" w:themeColor="text1"/>
          <w:sz w:val="16"/>
          <w:szCs w:val="16"/>
          <w:lang w:val="en-US"/>
        </w:rPr>
        <w:t>XVI</w:t>
      </w:r>
      <w:r w:rsidRPr="0044524F">
        <w:rPr>
          <w:rFonts w:ascii="Times New Roman" w:hAnsi="Times New Roman"/>
          <w:color w:val="000000" w:themeColor="text1"/>
          <w:sz w:val="16"/>
          <w:szCs w:val="16"/>
        </w:rPr>
        <w:t xml:space="preserve"> Го</w:t>
      </w:r>
      <w:r w:rsidRPr="0044524F">
        <w:rPr>
          <w:rFonts w:ascii="Times New Roman" w:hAnsi="Times New Roman"/>
          <w:color w:val="000000" w:themeColor="text1"/>
          <w:sz w:val="16"/>
          <w:szCs w:val="16"/>
        </w:rPr>
        <w:softHyphen/>
        <w:t>довщины Октябрьской революции.</w:t>
      </w:r>
    </w:p>
    <w:p w14:paraId="36DECA9B"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РВС СССР за отличные успехи мехвойск РККА, продемонстрирован</w:t>
      </w:r>
      <w:r w:rsidRPr="0044524F">
        <w:rPr>
          <w:rFonts w:ascii="Times New Roman" w:hAnsi="Times New Roman"/>
          <w:color w:val="000000" w:themeColor="text1"/>
          <w:sz w:val="16"/>
          <w:szCs w:val="16"/>
        </w:rPr>
        <w:softHyphen/>
        <w:t>ные на параде войск Московского гарнизона механизированными частя</w:t>
      </w:r>
      <w:r w:rsidRPr="0044524F">
        <w:rPr>
          <w:rFonts w:ascii="Times New Roman" w:hAnsi="Times New Roman"/>
          <w:color w:val="000000" w:themeColor="text1"/>
          <w:sz w:val="16"/>
          <w:szCs w:val="16"/>
        </w:rPr>
        <w:softHyphen/>
        <w:t>ми в составе 415 боевых машин, значительные достижения личного со</w:t>
      </w:r>
      <w:r w:rsidRPr="0044524F">
        <w:rPr>
          <w:rFonts w:ascii="Times New Roman" w:hAnsi="Times New Roman"/>
          <w:color w:val="000000" w:themeColor="text1"/>
          <w:sz w:val="16"/>
          <w:szCs w:val="16"/>
        </w:rPr>
        <w:softHyphen/>
        <w:t>става в деле овладения высокой техникой и искусством вождения в массах боевых машин, помощнику начальника Управления механизации и мо</w:t>
      </w:r>
      <w:r w:rsidRPr="0044524F">
        <w:rPr>
          <w:rFonts w:ascii="Times New Roman" w:hAnsi="Times New Roman"/>
          <w:color w:val="000000" w:themeColor="text1"/>
          <w:sz w:val="16"/>
          <w:szCs w:val="16"/>
        </w:rPr>
        <w:softHyphen/>
        <w:t>тобоевых машин, помощнику начальника Управления механизации и моторизации РККА Г.Г.Бокису была объявлена благодарность. (Приказ РВС СССР №0129 от 11.Х1-1933 г.) (11504)</w:t>
      </w:r>
    </w:p>
    <w:p w14:paraId="1C0F6717" w14:textId="77777777" w:rsidR="001F72EB" w:rsidRPr="0044524F" w:rsidRDefault="001F72EB" w:rsidP="009654CF">
      <w:pPr>
        <w:shd w:val="clear" w:color="auto" w:fill="FFFFFF"/>
        <w:autoSpaceDE w:val="0"/>
        <w:autoSpaceDN w:val="0"/>
        <w:adjustRightInd w:val="0"/>
        <w:spacing w:after="0" w:line="240" w:lineRule="auto"/>
        <w:jc w:val="both"/>
        <w:rPr>
          <w:rFonts w:ascii="Times New Roman" w:hAnsi="Times New Roman"/>
          <w:bCs/>
          <w:color w:val="000000" w:themeColor="text1"/>
          <w:sz w:val="16"/>
          <w:szCs w:val="16"/>
        </w:rPr>
      </w:pPr>
    </w:p>
    <w:p w14:paraId="15F29B79"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24октября 1933 г. 1 час. Была направлена ТЕЛЕГРАММА ЭКУ ОГПУ ШАНИНУ из Харькова</w:t>
      </w:r>
    </w:p>
    <w:p w14:paraId="17433AB0"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22-го октября 21 час в Николаеве в корпусном цехе крытого эл­линга" завода "Марти", где находятся 11-12 подлодок, возник по­жар. Огонь, прорвавшийся из-под деревянного настила, быстро охватил значительную часть здания цеха, уничтожив часть штабелей лесов, электрическую проводку, электрообмотку электрического кра­на, который временно выбыл из строя. Огнем повреждены две под­лодки находящиеся вблизи пожара. По неполным данным, одна лод­ка значительно повреждена, другая незначительно и переделок не потребуется. Принятыми мерами по мобилизации всех пожарных ча­стей города пожар локализован. Деревянный настил цеха обуглил­ся снизу на 30 проц. площади, занимаемой им. Ориентировочно цех работу сумеет продолжать, за исключением места возникновения по­жара, на восстановление потребуется пять дней. Даны указания в проведении максимально тщательного следствия, выявления причин и источника возникновения пожара. В Николаеве аппарат горотдела мобилизован. О результатах расследования сообщим дополнительно. </w:t>
      </w:r>
    </w:p>
    <w:p w14:paraId="092F4197"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Мазо</w:t>
      </w:r>
    </w:p>
    <w:p w14:paraId="74F3F48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 3 оп 58, д.243. л.92 (11462).</w:t>
      </w:r>
    </w:p>
    <w:p w14:paraId="4DF9B5FD" w14:textId="77777777" w:rsidR="001F72EB" w:rsidRPr="0044524F" w:rsidRDefault="001F72EB" w:rsidP="009654CF">
      <w:pPr>
        <w:autoSpaceDE w:val="0"/>
        <w:autoSpaceDN w:val="0"/>
        <w:adjustRightInd w:val="0"/>
        <w:spacing w:after="0" w:line="240" w:lineRule="auto"/>
        <w:jc w:val="both"/>
        <w:rPr>
          <w:rFonts w:ascii="Times New Roman" w:hAnsi="Times New Roman"/>
          <w:color w:val="000000" w:themeColor="text1"/>
          <w:sz w:val="16"/>
          <w:szCs w:val="16"/>
        </w:rPr>
      </w:pPr>
    </w:p>
    <w:p w14:paraId="7FC792FB"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color w:val="000000" w:themeColor="text1"/>
          <w:sz w:val="16"/>
          <w:szCs w:val="16"/>
        </w:rPr>
        <w:t>Авиапромышленность:</w:t>
      </w:r>
    </w:p>
    <w:p w14:paraId="265EB2DA"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1A001EDA"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25 октября по 20 ноября 1933 в НИИ ВВС проходили гос. испытания модифицированного самолета ТБ3-4М17 № 22243 (6636).</w:t>
      </w:r>
    </w:p>
    <w:p w14:paraId="11AC59E1"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1C00C78F"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Куликов</w:t>
      </w:r>
    </w:p>
    <w:p w14:paraId="64F482FA"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Кастанаев</w:t>
      </w:r>
    </w:p>
    <w:p w14:paraId="13519C58"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3CE7A88C"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влияние на летные данные самолета ТБ-3 - увеличения площади крыльев, увеличение размаха, установки обтекателей на стыках крыльев, хвостового оперения и тележках шасси и улучшения обтекания других деталей.</w:t>
      </w:r>
    </w:p>
    <w:p w14:paraId="1E39CEC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ABDE8C1" w14:textId="77777777" w:rsidR="001E1317" w:rsidRPr="0044524F" w:rsidRDefault="001E1317" w:rsidP="009654CF">
      <w:pPr>
        <w:numPr>
          <w:ilvl w:val="0"/>
          <w:numId w:val="38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совершенно необходимым внедрить в серийное производство самолетов ТБ3 улучшение конструкции и обтекаемости, выполненные на самолете ТБ3 № 22243.</w:t>
      </w:r>
    </w:p>
    <w:p w14:paraId="52970CC1"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315E1E1F" w14:textId="77777777">
        <w:tc>
          <w:tcPr>
            <w:tcW w:w="5636" w:type="dxa"/>
          </w:tcPr>
          <w:p w14:paraId="07D11D63"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октября 1933 года</w:t>
            </w:r>
          </w:p>
        </w:tc>
        <w:tc>
          <w:tcPr>
            <w:tcW w:w="5636" w:type="dxa"/>
          </w:tcPr>
          <w:p w14:paraId="7C610733"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ЦАГИ на испытания.</w:t>
            </w:r>
          </w:p>
        </w:tc>
      </w:tr>
      <w:tr w:rsidR="004E10C1" w:rsidRPr="0044524F" w14:paraId="7661A29A" w14:textId="77777777">
        <w:tc>
          <w:tcPr>
            <w:tcW w:w="5636" w:type="dxa"/>
          </w:tcPr>
          <w:p w14:paraId="02B66900"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октября 1933 года</w:t>
            </w:r>
          </w:p>
        </w:tc>
        <w:tc>
          <w:tcPr>
            <w:tcW w:w="5636" w:type="dxa"/>
          </w:tcPr>
          <w:p w14:paraId="2AE6E165"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горизонтальных скоростей по мерному километру.</w:t>
            </w:r>
          </w:p>
        </w:tc>
      </w:tr>
      <w:tr w:rsidR="004E10C1" w:rsidRPr="0044524F" w14:paraId="175C1984" w14:textId="77777777">
        <w:tc>
          <w:tcPr>
            <w:tcW w:w="5636" w:type="dxa"/>
          </w:tcPr>
          <w:p w14:paraId="1AA7E6A8"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года</w:t>
            </w:r>
          </w:p>
        </w:tc>
        <w:tc>
          <w:tcPr>
            <w:tcW w:w="5636" w:type="dxa"/>
          </w:tcPr>
          <w:p w14:paraId="3648867C"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скороподъемности, потолка, горизонтальных скоростей по высотам, полет на зубцы.</w:t>
            </w:r>
          </w:p>
        </w:tc>
      </w:tr>
    </w:tbl>
    <w:p w14:paraId="434BA7F5"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испытания выполнены за 28 календарных дней, из них полетных дней – 2.</w:t>
      </w:r>
    </w:p>
    <w:p w14:paraId="48773506"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Особенности конструкции самолета, отличающие его от серийных самолетов</w:t>
      </w:r>
    </w:p>
    <w:p w14:paraId="203A0AE9" w14:textId="77777777" w:rsidR="001E1317" w:rsidRPr="0044524F" w:rsidRDefault="001E1317" w:rsidP="009654CF">
      <w:pPr>
        <w:numPr>
          <w:ilvl w:val="0"/>
          <w:numId w:val="38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Увеличена площадь крыльев.</w:t>
      </w:r>
    </w:p>
    <w:p w14:paraId="6DC15D6A" w14:textId="77777777" w:rsidR="001E1317" w:rsidRPr="0044524F" w:rsidRDefault="001E1317" w:rsidP="009654CF">
      <w:pPr>
        <w:numPr>
          <w:ilvl w:val="0"/>
          <w:numId w:val="38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 размах крыльев.</w:t>
      </w:r>
    </w:p>
    <w:p w14:paraId="2E29A45E" w14:textId="77777777" w:rsidR="001E1317" w:rsidRPr="0044524F" w:rsidRDefault="001E1317" w:rsidP="009654CF">
      <w:pPr>
        <w:numPr>
          <w:ilvl w:val="0"/>
          <w:numId w:val="38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руле направления монтирован управляемый компенсатор типа «Флейтнера».</w:t>
      </w:r>
    </w:p>
    <w:p w14:paraId="0E93838B" w14:textId="77777777" w:rsidR="001E1317" w:rsidRPr="0044524F" w:rsidRDefault="001E1317" w:rsidP="009654CF">
      <w:pPr>
        <w:numPr>
          <w:ilvl w:val="0"/>
          <w:numId w:val="38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Закрыты обтекателями стыки крыла и фюзеляжа.</w:t>
      </w:r>
    </w:p>
    <w:p w14:paraId="4C2A135C" w14:textId="77777777" w:rsidR="001E1317" w:rsidRPr="0044524F" w:rsidRDefault="001E1317" w:rsidP="009654CF">
      <w:pPr>
        <w:numPr>
          <w:ilvl w:val="0"/>
          <w:numId w:val="38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подножки на правом крыле.</w:t>
      </w:r>
    </w:p>
    <w:p w14:paraId="05357C2E" w14:textId="77777777" w:rsidR="001E1317" w:rsidRPr="0044524F" w:rsidRDefault="001E1317" w:rsidP="009654CF">
      <w:pPr>
        <w:numPr>
          <w:ilvl w:val="0"/>
          <w:numId w:val="38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Закрыты обтекателями стыки киля и стабилизатора с фюзеляжем.</w:t>
      </w:r>
    </w:p>
    <w:p w14:paraId="6FE99653" w14:textId="77777777" w:rsidR="001E1317" w:rsidRPr="0044524F" w:rsidRDefault="001E1317" w:rsidP="009654CF">
      <w:pPr>
        <w:numPr>
          <w:ilvl w:val="0"/>
          <w:numId w:val="38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Закрыты обтекателями стыки капотов моторов с крылом.</w:t>
      </w:r>
    </w:p>
    <w:p w14:paraId="6F38CF08" w14:textId="77777777" w:rsidR="001E1317" w:rsidRPr="0044524F" w:rsidRDefault="001E1317" w:rsidP="009654CF">
      <w:pPr>
        <w:numPr>
          <w:ilvl w:val="0"/>
          <w:numId w:val="388"/>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Переделаны капоты радиаторов – улучшено обтекание их.</w:t>
      </w:r>
    </w:p>
    <w:p w14:paraId="716B60DC" w14:textId="77777777" w:rsidR="001E1317" w:rsidRPr="0044524F" w:rsidRDefault="001E1317" w:rsidP="009654CF">
      <w:pPr>
        <w:numPr>
          <w:ilvl w:val="0"/>
          <w:numId w:val="389"/>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Поставлены обтекатели на тележки колес шасси.</w:t>
      </w:r>
    </w:p>
    <w:p w14:paraId="3F6FDAF9" w14:textId="77777777" w:rsidR="001E1317" w:rsidRPr="0044524F" w:rsidRDefault="001E1317" w:rsidP="009654CF">
      <w:pPr>
        <w:numPr>
          <w:ilvl w:val="0"/>
          <w:numId w:val="390"/>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Поставлены обтекатели на полуоси шасси.</w:t>
      </w:r>
    </w:p>
    <w:p w14:paraId="41305075" w14:textId="77777777" w:rsidR="001E1317" w:rsidRPr="0044524F" w:rsidRDefault="001E1317" w:rsidP="009654CF">
      <w:pPr>
        <w:numPr>
          <w:ilvl w:val="0"/>
          <w:numId w:val="39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Улучшена обтекаемость носовой турели: обрезы сглажены фанерным покрытием.</w:t>
      </w:r>
    </w:p>
    <w:p w14:paraId="758B75B6" w14:textId="77777777" w:rsidR="001E1317" w:rsidRPr="0044524F" w:rsidRDefault="001E1317" w:rsidP="009654CF">
      <w:pPr>
        <w:numPr>
          <w:ilvl w:val="0"/>
          <w:numId w:val="39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Передняя кормовая кабина закрыта наглухо.</w:t>
      </w:r>
    </w:p>
    <w:p w14:paraId="022FC5D3" w14:textId="77777777" w:rsidR="001E1317" w:rsidRPr="0044524F" w:rsidRDefault="001E1317" w:rsidP="009654CF">
      <w:pPr>
        <w:numPr>
          <w:ilvl w:val="0"/>
          <w:numId w:val="39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каркасы фар и динамо-машины в носке крыла, отверстия заглажены ровными щитками.</w:t>
      </w:r>
    </w:p>
    <w:p w14:paraId="7DC4E91E" w14:textId="77777777" w:rsidR="001E1317" w:rsidRPr="0044524F" w:rsidRDefault="001E1317" w:rsidP="009654CF">
      <w:pPr>
        <w:numPr>
          <w:ilvl w:val="0"/>
          <w:numId w:val="39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дверцы бомболюков и заменены гладкими щитками.</w:t>
      </w:r>
    </w:p>
    <w:p w14:paraId="06303052" w14:textId="77777777" w:rsidR="001E1317" w:rsidRPr="0044524F" w:rsidRDefault="001E1317" w:rsidP="009654CF">
      <w:pPr>
        <w:numPr>
          <w:ilvl w:val="0"/>
          <w:numId w:val="39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Клапан тяги руля высоты в задней части фюзеляжа переставлен вовнутрь.</w:t>
      </w:r>
    </w:p>
    <w:p w14:paraId="01BA6D1E" w14:textId="77777777" w:rsidR="001E1317" w:rsidRPr="0044524F" w:rsidRDefault="001E1317" w:rsidP="009654CF">
      <w:pPr>
        <w:numPr>
          <w:ilvl w:val="0"/>
          <w:numId w:val="39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Поставлены новые винты конструкции ЦАГИ.</w:t>
      </w:r>
    </w:p>
    <w:p w14:paraId="67F8DBA2" w14:textId="77777777" w:rsidR="001E1317" w:rsidRPr="0044524F" w:rsidRDefault="001E1317" w:rsidP="009654CF">
      <w:pPr>
        <w:numPr>
          <w:ilvl w:val="0"/>
          <w:numId w:val="39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подкрыльевые башни (6636).</w:t>
      </w:r>
    </w:p>
    <w:p w14:paraId="510EB77C" w14:textId="77777777" w:rsidR="001E1317" w:rsidRPr="0044524F" w:rsidRDefault="001E1317" w:rsidP="009654CF">
      <w:pPr>
        <w:tabs>
          <w:tab w:val="left" w:pos="360"/>
          <w:tab w:val="left" w:pos="11199"/>
        </w:tabs>
        <w:spacing w:after="0" w:line="240" w:lineRule="auto"/>
        <w:jc w:val="both"/>
        <w:rPr>
          <w:rFonts w:ascii="Times New Roman" w:hAnsi="Times New Roman"/>
          <w:color w:val="000000" w:themeColor="text1"/>
          <w:sz w:val="16"/>
          <w:szCs w:val="16"/>
        </w:rPr>
      </w:pPr>
    </w:p>
    <w:p w14:paraId="3CA1F48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состоялся седьмой полет К-7 К.А.К. продолжительностью 32 мин. Разбег - 311 м, пробег - 380 м. Взлет на скорости 205 км/час. Работа РН была нормальной. Заметили и устранили течь водяного радиатора первого правого мотора. Всего к этому времени моторы проработали 21:30 и в полете машина была 2.5 час. (2306).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3997551C" w14:textId="77777777">
        <w:tc>
          <w:tcPr>
            <w:tcW w:w="1384" w:type="dxa"/>
            <w:tcBorders>
              <w:top w:val="single" w:sz="12" w:space="0" w:color="auto"/>
            </w:tcBorders>
          </w:tcPr>
          <w:p w14:paraId="2C2EA8C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150D839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427DA1D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68B60C6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2B074CE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521CE55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45DF00C8" w14:textId="77777777">
        <w:tc>
          <w:tcPr>
            <w:tcW w:w="1384" w:type="dxa"/>
            <w:tcBorders>
              <w:bottom w:val="single" w:sz="12" w:space="0" w:color="auto"/>
            </w:tcBorders>
          </w:tcPr>
          <w:p w14:paraId="7DA8DB7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25 октября 1933</w:t>
            </w:r>
          </w:p>
        </w:tc>
        <w:tc>
          <w:tcPr>
            <w:tcW w:w="2410" w:type="dxa"/>
            <w:tcBorders>
              <w:bottom w:val="single" w:sz="12" w:space="0" w:color="auto"/>
            </w:tcBorders>
          </w:tcPr>
          <w:p w14:paraId="51F8BC0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7-й полет</w:t>
            </w:r>
          </w:p>
        </w:tc>
        <w:tc>
          <w:tcPr>
            <w:tcW w:w="1089" w:type="dxa"/>
            <w:tcBorders>
              <w:bottom w:val="single" w:sz="12" w:space="0" w:color="auto"/>
            </w:tcBorders>
          </w:tcPr>
          <w:p w14:paraId="4E5210D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32 мин.</w:t>
            </w:r>
          </w:p>
        </w:tc>
        <w:tc>
          <w:tcPr>
            <w:tcW w:w="3447" w:type="dxa"/>
            <w:tcBorders>
              <w:bottom w:val="single" w:sz="12" w:space="0" w:color="auto"/>
            </w:tcBorders>
          </w:tcPr>
          <w:p w14:paraId="3D5BE53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 - 20 сек., 311 м</w:t>
            </w:r>
          </w:p>
          <w:p w14:paraId="097526C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Пробег - 23,5 сек., 380 м</w:t>
            </w:r>
          </w:p>
          <w:p w14:paraId="6E5E6CA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700 м</w:t>
            </w:r>
          </w:p>
          <w:p w14:paraId="377BF96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хорошо держит прямую при старте.</w:t>
            </w:r>
          </w:p>
          <w:p w14:paraId="2A1B7BB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взлете замерена максимальная скорость - 205 км/час</w:t>
            </w:r>
          </w:p>
          <w:p w14:paraId="7B662E7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руля поворота - нормальная</w:t>
            </w:r>
          </w:p>
        </w:tc>
        <w:tc>
          <w:tcPr>
            <w:tcW w:w="1776" w:type="dxa"/>
            <w:tcBorders>
              <w:bottom w:val="single" w:sz="12" w:space="0" w:color="auto"/>
            </w:tcBorders>
          </w:tcPr>
          <w:p w14:paraId="1A1259C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Течь водорадиатора первого правого мотора (устранено)</w:t>
            </w:r>
          </w:p>
        </w:tc>
        <w:tc>
          <w:tcPr>
            <w:tcW w:w="1105" w:type="dxa"/>
            <w:tcBorders>
              <w:bottom w:val="single" w:sz="12" w:space="0" w:color="auto"/>
            </w:tcBorders>
          </w:tcPr>
          <w:p w14:paraId="4D0B4EE8"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bl>
    <w:p w14:paraId="172DE51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56BA03BC"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392E2A7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закончились испытания И-14 БМ в ОЭЛИД ЦАГИ и он был вновь отправлен в ЦАГИ, где находился до 14 ноября 1933 (2869,23) ). Летали К.А.Попов и С.А.Корзинщиков. На 5000 м получили 283 км/час и на 6000 м поднимались за 10 мин. Переставили на лыжи и работу окончили лишь 14 ноября 1933 (4020,11).</w:t>
      </w:r>
    </w:p>
    <w:p w14:paraId="3B20425E"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F9EE4E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25 октября 1933 г. из-за нового неудачного цикла заводских испыта</w:t>
      </w:r>
      <w:r w:rsidRPr="0044524F">
        <w:rPr>
          <w:rFonts w:ascii="Times New Roman" w:hAnsi="Times New Roman"/>
          <w:color w:val="000000" w:themeColor="text1"/>
          <w:sz w:val="16"/>
          <w:szCs w:val="16"/>
        </w:rPr>
        <w:softHyphen/>
        <w:t>ний истребителя И-14 (в итоге еще раз возвращенного на доработку) ВВС начали проявлять повышенное внимание к И-16 (10667).</w:t>
      </w:r>
    </w:p>
    <w:p w14:paraId="6DBFE960"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7668ECF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года постановление № 103сс/о СТО</w:t>
      </w:r>
    </w:p>
    <w:p w14:paraId="325727D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мероприятиях по выполнению авиационной программы 1933 года</w:t>
      </w:r>
    </w:p>
    <w:p w14:paraId="549FCC1A" w14:textId="77777777" w:rsidR="001E1317" w:rsidRPr="0044524F" w:rsidRDefault="001E1317" w:rsidP="009654CF">
      <w:pPr>
        <w:numPr>
          <w:ilvl w:val="0"/>
          <w:numId w:val="39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отмечает, что наряду с заводами, успешно выполнившими за 9 месяцев 1933 года свою производственную программу по основным объектам (завод № 22 – самолет ТБ-3 м М-17; завод № 39 - самолет ТБ-3 м М-17; завод № 21 – самолет И-5 с М-22; завод № 24 – мотор М-34, завод № 26 – мотор М-17; завод № 23 – У" с М-11), не справились с поставленным им программным заданием заводы №№ 1, 31 и 29 (И7 с М-17, Р6 с М-17, Р5-А с М-17, АНТ-9 и моторы М-22 и М-11), что создает угрожающее положение по выполнению заданий не только в отношении данных заводов, но и годовой программы Глававиапрома в целом.</w:t>
      </w:r>
    </w:p>
    <w:p w14:paraId="1165E45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также явно неудовлетворительную сдачу запасных частей, как к самолетам, так и к моторам (за 9 месяцев 68,5% и 64%).</w:t>
      </w:r>
    </w:p>
    <w:p w14:paraId="0CF6218C" w14:textId="77777777" w:rsidR="001E1317" w:rsidRPr="0044524F" w:rsidRDefault="001E1317" w:rsidP="009654CF">
      <w:pPr>
        <w:numPr>
          <w:ilvl w:val="0"/>
          <w:numId w:val="39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Констатировать, что при заметном улучшении качества основных типов самолетов и моторов (ТБ3, Р5, И5, У2 и М-17) выпускаемая заводами продукция все же еще имеет существенные недостатки, осложняющие эксплуатацию и понижающие надежность материальной части в полете, основными из коих являются:</w:t>
      </w:r>
    </w:p>
    <w:p w14:paraId="5971AAF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конструкция большинства самолетов перетяжелена;</w:t>
      </w:r>
    </w:p>
    <w:p w14:paraId="78B8748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отмечается массовая течь радиаторов и бензокранов;</w:t>
      </w:r>
    </w:p>
    <w:p w14:paraId="575C7FF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быстро появляются люфты в соединениях;</w:t>
      </w:r>
    </w:p>
    <w:p w14:paraId="12A5334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наблюдаются частые обрывы шпилек и флянцев в целиндрах моторов М-17;</w:t>
      </w:r>
    </w:p>
    <w:p w14:paraId="66AC951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появляются трещины в лапах картеров М-34;</w:t>
      </w:r>
    </w:p>
    <w:p w14:paraId="05DF6D1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выкрашивание баббита в шатунах того же мотора;</w:t>
      </w:r>
    </w:p>
    <w:p w14:paraId="6768E2D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недостаточное давление масла в моторе М22 на малых оборотах.</w:t>
      </w:r>
    </w:p>
    <w:p w14:paraId="3DD464D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несмотря на двукратное постановление СТО, до сего времени не введено в серийное производство одно из крупнейших мероприятий по увеличению безопасности полета и улучшению эксплуатационных качеств самолета – тормозное шасси.</w:t>
      </w:r>
    </w:p>
    <w:p w14:paraId="182D988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нержавеющих сталей и сверхлегких сплавов (электрон, магний и т.д.).</w:t>
      </w:r>
    </w:p>
    <w:p w14:paraId="28410F4B" w14:textId="77777777" w:rsidR="001E1317" w:rsidRPr="0044524F" w:rsidRDefault="001E1317" w:rsidP="009654CF">
      <w:pPr>
        <w:numPr>
          <w:ilvl w:val="0"/>
          <w:numId w:val="40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Вследствие отсутствия эталонов, а также выявившихся в процессе производства конструктивных недостатков, снять с утвержденной программы по самолетостроению на 1933 год:</w:t>
      </w:r>
    </w:p>
    <w:p w14:paraId="62F4761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 – 145 самолетов И7 с М-17</w:t>
      </w:r>
    </w:p>
    <w:p w14:paraId="5762C23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22 – 5 самолетов МИ3 с М-34</w:t>
      </w:r>
    </w:p>
    <w:p w14:paraId="02C0C55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22 – 3 самолетов ТБ4 с М-34</w:t>
      </w:r>
    </w:p>
    <w:p w14:paraId="385F77E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31 – 50 самолетов Р6 с М-34. Весь задел по АНТ9 передать ГУГВФ.</w:t>
      </w:r>
    </w:p>
    <w:p w14:paraId="4187452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18 – 13 самолетов ТБ3 с М-34.</w:t>
      </w:r>
    </w:p>
    <w:p w14:paraId="7D74425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НКТП и НКВМ войти в СТО к 10 ноября 1933 года со своими соображениями о постановке на производство самолета И7 с дюралевым хвостовым оперением.</w:t>
      </w:r>
    </w:p>
    <w:p w14:paraId="7022737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……………………………………………..(7503, 83-88).</w:t>
      </w:r>
    </w:p>
    <w:p w14:paraId="74B3ED3F"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35A18E7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года постановлением СТО № 103сс/о производство самолетов АНТ-9 было прекращено; весь задел по АНТ-9 передан ГУГВФ; вместо 30 самолетов АНТ-9 ГУГВФ не получило ни одного (4188).</w:t>
      </w:r>
    </w:p>
    <w:p w14:paraId="11E21E9B"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ABCD177"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года подготовлена выписка из Постановление СТО № 103сс</w:t>
      </w:r>
    </w:p>
    <w:p w14:paraId="28BC7BB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мероприятиях по выполнению авиапрограммы 1933 года</w:t>
      </w:r>
    </w:p>
    <w:p w14:paraId="61E2681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своевременной подготовки к 1934 года, обязать НКТП (ГУАП) совместно с НКВМором немедленно приступить к проработке всего плана 1934 года и наметить все необходимые мероприятия, обеспечивающие выполнение программы 1934 года, как в части строительства, так и всех видов …………… и внести в СТО к 10 ноября 1933 года.</w:t>
      </w:r>
    </w:p>
    <w:p w14:paraId="45BFB03D"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НКВМор в декадный срок уточнить и установить свой заказ авиапромышленности на 1934 год (Переговорил с Королевым. Будут приняты меры к обеспечению программы по линии НКТП. В случае невозможности по отд. Вопросам будет внесено в КО.) (4191, 1).</w:t>
      </w:r>
    </w:p>
    <w:p w14:paraId="65D9005B"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p>
    <w:p w14:paraId="50EF87FC"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года постановление СТО № 103сс/о</w:t>
      </w:r>
    </w:p>
    <w:p w14:paraId="1040C217"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мероприятиях по выполнению авиационной программы 1933 года</w:t>
      </w:r>
    </w:p>
    <w:p w14:paraId="1F62A348" w14:textId="77777777" w:rsidR="001E1317" w:rsidRPr="0044524F" w:rsidRDefault="001E1317" w:rsidP="009654CF">
      <w:pPr>
        <w:numPr>
          <w:ilvl w:val="0"/>
          <w:numId w:val="40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 отмечает, что наряду с заводами, успешно выполнившими за 9 месяцев 1933 года свою производственную программу по основным объектам (завод № 22 – самолет ТБ3 с М-17; завод № 39 – самолет ТБ3 с М-17; завод № 21 – самолет И5 с М-22; завод № 24 – мотор М-34; завод № 26 – мотор М-17; завод № 23 – У2 с М11), не справились с поставленным им программным заданием заводы №№ 1, 31 и 29 (И7 с М-17, Р5 с М-17, Р5-А с М-17, АНТ-9 и моторы М-22 и М-11), что создает угрожающее положение по выполнению заданий не только в отношении данных заводов, но и годовой программы Глававиапрома в целом.</w:t>
      </w:r>
    </w:p>
    <w:p w14:paraId="261EBA1B" w14:textId="77777777" w:rsidR="001E1317" w:rsidRPr="0044524F" w:rsidRDefault="001E1317" w:rsidP="009654CF">
      <w:pPr>
        <w:pStyle w:val="a3"/>
        <w:widowControl/>
        <w:tabs>
          <w:tab w:val="left" w:pos="11199"/>
        </w:tabs>
        <w:rPr>
          <w:color w:val="000000" w:themeColor="text1"/>
          <w:lang w:val="ru-RU"/>
        </w:rPr>
      </w:pPr>
      <w:r w:rsidRPr="0044524F">
        <w:rPr>
          <w:color w:val="000000" w:themeColor="text1"/>
          <w:lang w:val="ru-RU"/>
        </w:rPr>
        <w:t>Отметить также явно неудовлетворительную сдачу запасных частей, как к самолетам, так и к моторам (за 9 месяцев 68,5% и 54%).</w:t>
      </w:r>
    </w:p>
    <w:p w14:paraId="03D65316" w14:textId="77777777" w:rsidR="001E1317" w:rsidRPr="0044524F" w:rsidRDefault="001E1317" w:rsidP="009654CF">
      <w:pPr>
        <w:numPr>
          <w:ilvl w:val="0"/>
          <w:numId w:val="40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Констатировать, что при заметном улучшении качества основных типов самолетов и моторов (ТБ3, Р5, И5, У2 и М-17) выпускаемая заводами продукция все же еще имеет существенные недостатки, осложняющие эксплуатацию и понижающие надежность материальной части в полете, основными из коих являются:</w:t>
      </w:r>
    </w:p>
    <w:p w14:paraId="503E2C16"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конструкция большинства самолетов перетяжелена;</w:t>
      </w:r>
    </w:p>
    <w:p w14:paraId="7C2E3190"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отмечается массовая течь радиаторов и бензокранов;</w:t>
      </w:r>
    </w:p>
    <w:p w14:paraId="13305EE5"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быстро появляются люфты в соединениях;</w:t>
      </w:r>
    </w:p>
    <w:p w14:paraId="41B53B27"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наблюдаются частые обрывы шпилек и фланцев в цилиндрах моторов М-17;</w:t>
      </w:r>
    </w:p>
    <w:p w14:paraId="60AB1757"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выкрашивание баббита в шатунах мотора М-34;</w:t>
      </w:r>
    </w:p>
    <w:p w14:paraId="1EAB4C15"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недостаточное давление масла и мотора М22 на малых оборотах.</w:t>
      </w:r>
    </w:p>
    <w:p w14:paraId="2C92958D"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несмотря на двукратное постановление СТО до сего времени не введено в серийное производство одно из крупнейших мероприятий по увеличению безопасности полета и улучшению эксплуатационных качеств самолетов – тормозное шасси.</w:t>
      </w:r>
    </w:p>
    <w:p w14:paraId="0E80067C"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улучшения качества продукции до сих пор не внедрено: производство в массовом порядке – нержавеющих сталей и сверхлегких сплавов (электрон, магний и т.д.).</w:t>
      </w:r>
    </w:p>
    <w:p w14:paraId="608588BB" w14:textId="77777777" w:rsidR="001E1317" w:rsidRPr="0044524F" w:rsidRDefault="001E1317" w:rsidP="009654CF">
      <w:pPr>
        <w:numPr>
          <w:ilvl w:val="0"/>
          <w:numId w:val="40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Вследствие отсутствия эталонов, а также выявившихся в процессе производства конструктивных недостатков, снять с утвержденной программы по самолетостроению на 1933 год:</w:t>
      </w:r>
    </w:p>
    <w:p w14:paraId="7DDB44EC"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 – 145 самолетов И7 с М-17</w:t>
      </w:r>
    </w:p>
    <w:p w14:paraId="5FF00D8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22 - 5 самолетов МИ3 с М-34</w:t>
      </w:r>
    </w:p>
    <w:p w14:paraId="17435D7E"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31 - 50 самолетов Р5 с М-34 (весь задел по АНТ9 передать ГУГВФ).</w:t>
      </w:r>
    </w:p>
    <w:p w14:paraId="0E666AC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22 – 3 самолета ТБ4 с М-34</w:t>
      </w:r>
    </w:p>
    <w:p w14:paraId="0A1A995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18 – 13 самолетов ТБ3 с М-34</w:t>
      </w:r>
    </w:p>
    <w:p w14:paraId="3978E0DE"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НКТП и НКВМ войти в СТО к 10 ноября 1933 года со своими соображениями о постановке на производство самолета К7 с дюралевым хвостовым оперением.</w:t>
      </w:r>
    </w:p>
    <w:p w14:paraId="6D5764B6" w14:textId="77777777" w:rsidR="001E1317" w:rsidRPr="0044524F" w:rsidRDefault="001E1317" w:rsidP="009654CF">
      <w:pPr>
        <w:numPr>
          <w:ilvl w:val="0"/>
          <w:numId w:val="40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связи с быстрой модификацией предметов оборудования самолетов (фото, электро, радио, аэронавигация) необходимость проведения в этом направлении большой исследовательской и опытной работы под руководством и ближайшем участии потребителей, обязанность по размещению заказов на опытные образцы оборудования, утверждению образца, размещению заказа на опытную партию и проведению с ней войсковых эксплуатационных испытаний возложить на УВВС.</w:t>
      </w:r>
    </w:p>
    <w:p w14:paraId="4CBF7F92" w14:textId="77777777" w:rsidR="001E1317" w:rsidRPr="0044524F" w:rsidRDefault="001E1317" w:rsidP="009654CF">
      <w:pPr>
        <w:numPr>
          <w:ilvl w:val="0"/>
          <w:numId w:val="40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Каждый новый объект внедрять в серийное производство только при наличии всех тактико-технических требований и законченного испытания эталонов.</w:t>
      </w:r>
    </w:p>
    <w:p w14:paraId="698DDBC7"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безусловного выполнения авиапромышленностью программы IV квартала с покрытием всего недовыполненного за год, обязать:</w:t>
      </w:r>
    </w:p>
    <w:p w14:paraId="02355609" w14:textId="77777777" w:rsidR="001E1317" w:rsidRPr="0044524F" w:rsidRDefault="001E1317" w:rsidP="009654CF">
      <w:pPr>
        <w:numPr>
          <w:ilvl w:val="0"/>
          <w:numId w:val="40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 (Глававиапром) взять под особое наблюдение работу заводов №№ 31, 1 и 29 и в частности:</w:t>
      </w:r>
    </w:p>
    <w:p w14:paraId="53324A98" w14:textId="77777777" w:rsidR="001E1317" w:rsidRPr="0044524F" w:rsidRDefault="001E1317" w:rsidP="009654CF">
      <w:pPr>
        <w:pStyle w:val="a3"/>
        <w:widowControl/>
        <w:tabs>
          <w:tab w:val="left" w:pos="11199"/>
        </w:tabs>
        <w:rPr>
          <w:color w:val="000000" w:themeColor="text1"/>
          <w:lang w:val="ru-RU"/>
        </w:rPr>
      </w:pPr>
      <w:r w:rsidRPr="0044524F">
        <w:rPr>
          <w:color w:val="000000" w:themeColor="text1"/>
          <w:lang w:val="ru-RU"/>
        </w:rPr>
        <w:t>По заводу № 31:</w:t>
      </w:r>
    </w:p>
    <w:p w14:paraId="4B649352"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начальнику ГУАП Королеву принять на месте все необходимые меры по укреплению завода, обеспечению всеми потребными материалами в целях полного выполнения программы.</w:t>
      </w:r>
    </w:p>
    <w:p w14:paraId="6C74830F"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w:t>
      </w:r>
    </w:p>
    <w:p w14:paraId="4CD4C139"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Королеву уделить исключительное внимание заводу, в частности установить точные календарные сроки окончания и ввода в эксплуатацию отдельных цехов и представить к 1 ноября 1933 года в СТО таковые;</w:t>
      </w:r>
    </w:p>
    <w:p w14:paraId="19057B68"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закончить в IV квартале строительство завода, обязав Гинзбурга обеспечить его всеми необходимыми материалами, рабочей силой и руководящим строительным персоналом.</w:t>
      </w:r>
    </w:p>
    <w:p w14:paraId="025BF42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29:</w:t>
      </w:r>
    </w:p>
    <w:p w14:paraId="1CB1B4C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ГУАП командировать на завод, сроком не менее месяца, группу ответственных специалистов и зам начальника ГУАП Беленковича для конкретной производственной помощи заводу.</w:t>
      </w:r>
    </w:p>
    <w:p w14:paraId="687072B5"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Обязать ГУАП Королева и персонально всех директоров заводов авиапромышленности обеспечить полное выполнение программы по запчастям.</w:t>
      </w:r>
    </w:p>
    <w:p w14:paraId="3CED80BE"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Обязать НКТП проверить всю деятельность научно-исследовательских учреждений ГУАП (ЦАГИ, ЦИАМ и ВИАМ) в целях выяснения связи с заводами и их технического обслуживания, представив СТО в месячный срок подробный доклад и проект необходимых мероприятий.</w:t>
      </w:r>
    </w:p>
    <w:p w14:paraId="7E70BD9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недопустимую волокиту, проявленную ЦАГИ в отношении проработки образцов (особенно по ТБ3 с М-34) и обязать …………………………….</w:t>
      </w:r>
    </w:p>
    <w:p w14:paraId="4625DEAF"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Обязать НКТП (ГУАП) немедленно приступить к усовершенствованию аэродромного хозяйства (планировка посадочных площадок, мелиоративные работы, постройка бензохранилищ, механизация обслуживания и т.д.) и представить к 1 ноября 1933 года в СТО исчерпывающую программу по приведению этого хозяйства в порядок.</w:t>
      </w:r>
    </w:p>
    <w:p w14:paraId="35DCCC9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Для выполнения программы 1У квартала авиапромышленностью:</w:t>
      </w:r>
    </w:p>
    <w:p w14:paraId="72A1C812"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НКТП (т. Пархоменко):</w:t>
      </w:r>
    </w:p>
    <w:p w14:paraId="4385471C" w14:textId="0EAEA424"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выдать Глававиапрому</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на 1У кв. фонд на цветные металлы в размере:</w:t>
      </w:r>
    </w:p>
    <w:p w14:paraId="6B05DEA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аллюминия чушкового</w:t>
      </w:r>
      <w:r w:rsidRPr="0044524F">
        <w:rPr>
          <w:rFonts w:ascii="Times New Roman" w:hAnsi="Times New Roman"/>
          <w:color w:val="000000" w:themeColor="text1"/>
          <w:sz w:val="16"/>
          <w:szCs w:val="16"/>
        </w:rPr>
        <w:tab/>
        <w:t>1270 т</w:t>
      </w:r>
    </w:p>
    <w:p w14:paraId="5B3B9292"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олова</w:t>
      </w:r>
      <w:r w:rsidRPr="0044524F">
        <w:rPr>
          <w:rFonts w:ascii="Times New Roman" w:hAnsi="Times New Roman"/>
          <w:color w:val="000000" w:themeColor="text1"/>
          <w:sz w:val="16"/>
          <w:szCs w:val="16"/>
        </w:rPr>
        <w:tab/>
        <w:t>76</w:t>
      </w:r>
    </w:p>
    <w:p w14:paraId="1772C614"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свинца чушкового</w:t>
      </w:r>
      <w:r w:rsidRPr="0044524F">
        <w:rPr>
          <w:rFonts w:ascii="Times New Roman" w:hAnsi="Times New Roman"/>
          <w:color w:val="000000" w:themeColor="text1"/>
          <w:sz w:val="16"/>
          <w:szCs w:val="16"/>
        </w:rPr>
        <w:tab/>
        <w:t>50</w:t>
      </w:r>
    </w:p>
    <w:p w14:paraId="2925BB58"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меди</w:t>
      </w:r>
      <w:r w:rsidRPr="0044524F">
        <w:rPr>
          <w:rFonts w:ascii="Times New Roman" w:hAnsi="Times New Roman"/>
          <w:color w:val="000000" w:themeColor="text1"/>
          <w:sz w:val="16"/>
          <w:szCs w:val="16"/>
        </w:rPr>
        <w:tab/>
        <w:t>344</w:t>
      </w:r>
    </w:p>
    <w:p w14:paraId="2790DCC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аллюминия листового</w:t>
      </w:r>
      <w:r w:rsidRPr="0044524F">
        <w:rPr>
          <w:rFonts w:ascii="Times New Roman" w:hAnsi="Times New Roman"/>
          <w:color w:val="000000" w:themeColor="text1"/>
          <w:sz w:val="16"/>
          <w:szCs w:val="16"/>
        </w:rPr>
        <w:tab/>
        <w:t>58</w:t>
      </w:r>
    </w:p>
    <w:p w14:paraId="7B72DF3C"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меди листовой</w:t>
      </w:r>
      <w:r w:rsidRPr="0044524F">
        <w:rPr>
          <w:rFonts w:ascii="Times New Roman" w:hAnsi="Times New Roman"/>
          <w:color w:val="000000" w:themeColor="text1"/>
          <w:sz w:val="16"/>
          <w:szCs w:val="16"/>
        </w:rPr>
        <w:tab/>
        <w:t>26</w:t>
      </w:r>
    </w:p>
    <w:p w14:paraId="00EB074C"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латуни прутковой и пкд</w:t>
      </w:r>
      <w:r w:rsidRPr="0044524F">
        <w:rPr>
          <w:rFonts w:ascii="Times New Roman" w:hAnsi="Times New Roman"/>
          <w:color w:val="000000" w:themeColor="text1"/>
          <w:sz w:val="16"/>
          <w:szCs w:val="16"/>
        </w:rPr>
        <w:tab/>
        <w:t>184</w:t>
      </w:r>
    </w:p>
    <w:p w14:paraId="5383A3E2"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свинца листового</w:t>
      </w:r>
      <w:r w:rsidRPr="0044524F">
        <w:rPr>
          <w:rFonts w:ascii="Times New Roman" w:hAnsi="Times New Roman"/>
          <w:color w:val="000000" w:themeColor="text1"/>
          <w:sz w:val="16"/>
          <w:szCs w:val="16"/>
        </w:rPr>
        <w:tab/>
        <w:t>10</w:t>
      </w:r>
    </w:p>
    <w:p w14:paraId="7C32F48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 латунных 98х76</w:t>
      </w:r>
      <w:r w:rsidRPr="0044524F">
        <w:rPr>
          <w:rFonts w:ascii="Times New Roman" w:hAnsi="Times New Roman"/>
          <w:color w:val="000000" w:themeColor="text1"/>
          <w:sz w:val="16"/>
          <w:szCs w:val="16"/>
        </w:rPr>
        <w:tab/>
        <w:t>48</w:t>
      </w:r>
    </w:p>
    <w:p w14:paraId="49DD06FD"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 и палок из сплава ПТ</w:t>
      </w:r>
      <w:r w:rsidRPr="0044524F">
        <w:rPr>
          <w:rFonts w:ascii="Times New Roman" w:hAnsi="Times New Roman"/>
          <w:color w:val="000000" w:themeColor="text1"/>
          <w:sz w:val="16"/>
          <w:szCs w:val="16"/>
        </w:rPr>
        <w:tab/>
        <w:t>25</w:t>
      </w:r>
    </w:p>
    <w:p w14:paraId="3F61E742"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магния</w:t>
      </w:r>
      <w:r w:rsidRPr="0044524F">
        <w:rPr>
          <w:rFonts w:ascii="Times New Roman" w:hAnsi="Times New Roman"/>
          <w:color w:val="000000" w:themeColor="text1"/>
          <w:sz w:val="16"/>
          <w:szCs w:val="16"/>
        </w:rPr>
        <w:tab/>
        <w:t>40</w:t>
      </w:r>
    </w:p>
    <w:p w14:paraId="29F1B68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дюралевых полуфабрикатов</w:t>
      </w:r>
      <w:r w:rsidRPr="0044524F">
        <w:rPr>
          <w:rFonts w:ascii="Times New Roman" w:hAnsi="Times New Roman"/>
          <w:color w:val="000000" w:themeColor="text1"/>
          <w:sz w:val="16"/>
          <w:szCs w:val="16"/>
        </w:rPr>
        <w:tab/>
        <w:t>400</w:t>
      </w:r>
    </w:p>
    <w:p w14:paraId="38F433E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Увеличить Главцветметобработке фонд на чушковый аллюминий в 1У кв. для выполнениязаказов Глававиапрома на дбраллюминиевые полуфабрикаты заводами им. Ворошилова и № 95 (б. 45) на 400 т</w:t>
      </w:r>
    </w:p>
    <w:p w14:paraId="0B7917F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Поручить комиссии тт. Беленького З. (созыв), Пятакова и Розенгольца рассмотреть вопрос об удовлетворении следующей заявки НКТП по импорту цветных металлов в 1У кв. для авиапромышленности, учитывая такие потребности начала 1 кв. 34 г:</w:t>
      </w:r>
    </w:p>
    <w:p w14:paraId="3F9924CA"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олова чушкового</w:t>
      </w:r>
      <w:r w:rsidRPr="0044524F">
        <w:rPr>
          <w:rFonts w:ascii="Times New Roman" w:hAnsi="Times New Roman"/>
          <w:color w:val="000000" w:themeColor="text1"/>
          <w:sz w:val="16"/>
          <w:szCs w:val="16"/>
        </w:rPr>
        <w:tab/>
        <w:t>150 т</w:t>
      </w:r>
    </w:p>
    <w:p w14:paraId="71252CDA"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аллюминия чушкового</w:t>
      </w:r>
      <w:r w:rsidRPr="0044524F">
        <w:rPr>
          <w:rFonts w:ascii="Times New Roman" w:hAnsi="Times New Roman"/>
          <w:color w:val="000000" w:themeColor="text1"/>
          <w:sz w:val="16"/>
          <w:szCs w:val="16"/>
        </w:rPr>
        <w:tab/>
        <w:t>1100</w:t>
      </w:r>
    </w:p>
    <w:p w14:paraId="3A368E5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окиси аллюминия</w:t>
      </w:r>
      <w:r w:rsidRPr="0044524F">
        <w:rPr>
          <w:rFonts w:ascii="Times New Roman" w:hAnsi="Times New Roman"/>
          <w:color w:val="000000" w:themeColor="text1"/>
          <w:sz w:val="16"/>
          <w:szCs w:val="16"/>
        </w:rPr>
        <w:tab/>
        <w:t>1500</w:t>
      </w:r>
    </w:p>
    <w:p w14:paraId="5A00B0F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криолита</w:t>
      </w:r>
      <w:r w:rsidRPr="0044524F">
        <w:rPr>
          <w:rFonts w:ascii="Times New Roman" w:hAnsi="Times New Roman"/>
          <w:color w:val="000000" w:themeColor="text1"/>
          <w:sz w:val="16"/>
          <w:szCs w:val="16"/>
        </w:rPr>
        <w:tab/>
        <w:t>600</w:t>
      </w:r>
    </w:p>
    <w:p w14:paraId="6793025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магния</w:t>
      </w:r>
      <w:r w:rsidRPr="0044524F">
        <w:rPr>
          <w:rFonts w:ascii="Times New Roman" w:hAnsi="Times New Roman"/>
          <w:color w:val="000000" w:themeColor="text1"/>
          <w:sz w:val="16"/>
          <w:szCs w:val="16"/>
        </w:rPr>
        <w:tab/>
        <w:t>40</w:t>
      </w:r>
    </w:p>
    <w:p w14:paraId="0DCDF6C3"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меди электролитной</w:t>
      </w:r>
      <w:r w:rsidRPr="0044524F">
        <w:rPr>
          <w:rFonts w:ascii="Times New Roman" w:hAnsi="Times New Roman"/>
          <w:color w:val="000000" w:themeColor="text1"/>
          <w:sz w:val="16"/>
          <w:szCs w:val="16"/>
        </w:rPr>
        <w:tab/>
        <w:t>300</w:t>
      </w:r>
    </w:p>
    <w:p w14:paraId="318055EE"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Обязать Слюхнефтеторг (т. Ганшин) подать в 1У кв. заводам Глававиапрома:</w:t>
      </w:r>
    </w:p>
    <w:p w14:paraId="236D630E"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банзина бакинского экс. П сорта</w:t>
      </w:r>
      <w:r w:rsidRPr="0044524F">
        <w:rPr>
          <w:rFonts w:ascii="Times New Roman" w:hAnsi="Times New Roman"/>
          <w:color w:val="000000" w:themeColor="text1"/>
          <w:sz w:val="16"/>
          <w:szCs w:val="16"/>
        </w:rPr>
        <w:tab/>
        <w:t>3400 т</w:t>
      </w:r>
    </w:p>
    <w:p w14:paraId="367DD086"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грозенского</w:t>
      </w:r>
      <w:r w:rsidRPr="0044524F">
        <w:rPr>
          <w:rFonts w:ascii="Times New Roman" w:hAnsi="Times New Roman"/>
          <w:color w:val="000000" w:themeColor="text1"/>
          <w:sz w:val="16"/>
          <w:szCs w:val="16"/>
        </w:rPr>
        <w:tab/>
        <w:t>1200</w:t>
      </w:r>
    </w:p>
    <w:p w14:paraId="13B5869D"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авиабензина зимнего</w:t>
      </w:r>
      <w:r w:rsidRPr="0044524F">
        <w:rPr>
          <w:rFonts w:ascii="Times New Roman" w:hAnsi="Times New Roman"/>
          <w:color w:val="000000" w:themeColor="text1"/>
          <w:sz w:val="16"/>
          <w:szCs w:val="16"/>
        </w:rPr>
        <w:tab/>
        <w:t>550</w:t>
      </w:r>
    </w:p>
    <w:p w14:paraId="35F9F806"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летнего</w:t>
      </w:r>
      <w:r w:rsidRPr="0044524F">
        <w:rPr>
          <w:rFonts w:ascii="Times New Roman" w:hAnsi="Times New Roman"/>
          <w:color w:val="000000" w:themeColor="text1"/>
          <w:sz w:val="16"/>
          <w:szCs w:val="16"/>
        </w:rPr>
        <w:tab/>
        <w:t>200</w:t>
      </w:r>
    </w:p>
    <w:p w14:paraId="51ACC07E"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Отгрузку производить наравне с УВВС</w:t>
      </w:r>
    </w:p>
    <w:p w14:paraId="6B617218"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Обязать НКТП (т. Пятаков) выдать Глававиапрому недоданные в сентябре, согласно решению СТО от 26 июля и 13 августа 1933:</w:t>
      </w:r>
    </w:p>
    <w:p w14:paraId="1462F822"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тракторов</w:t>
      </w:r>
      <w:r w:rsidRPr="0044524F">
        <w:rPr>
          <w:rFonts w:ascii="Times New Roman" w:hAnsi="Times New Roman"/>
          <w:color w:val="000000" w:themeColor="text1"/>
          <w:sz w:val="16"/>
          <w:szCs w:val="16"/>
        </w:rPr>
        <w:tab/>
        <w:t>5 шт.</w:t>
      </w:r>
    </w:p>
    <w:p w14:paraId="33D5FC1B"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легковых автомашин</w:t>
      </w:r>
      <w:r w:rsidRPr="0044524F">
        <w:rPr>
          <w:rFonts w:ascii="Times New Roman" w:hAnsi="Times New Roman"/>
          <w:color w:val="000000" w:themeColor="text1"/>
          <w:sz w:val="16"/>
          <w:szCs w:val="16"/>
        </w:rPr>
        <w:tab/>
        <w:t>2</w:t>
      </w:r>
    </w:p>
    <w:p w14:paraId="333563C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грузовых</w:t>
      </w:r>
      <w:r w:rsidRPr="0044524F">
        <w:rPr>
          <w:rFonts w:ascii="Times New Roman" w:hAnsi="Times New Roman"/>
          <w:color w:val="000000" w:themeColor="text1"/>
          <w:sz w:val="16"/>
          <w:szCs w:val="16"/>
        </w:rPr>
        <w:tab/>
        <w:t>15</w:t>
      </w:r>
    </w:p>
    <w:p w14:paraId="2241F6E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автобусов</w:t>
      </w:r>
      <w:r w:rsidRPr="0044524F">
        <w:rPr>
          <w:rFonts w:ascii="Times New Roman" w:hAnsi="Times New Roman"/>
          <w:color w:val="000000" w:themeColor="text1"/>
          <w:sz w:val="16"/>
          <w:szCs w:val="16"/>
        </w:rPr>
        <w:tab/>
        <w:t>4</w:t>
      </w:r>
    </w:p>
    <w:p w14:paraId="57A9D070"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выделить в 1У кв. за свет фондов НКТяжпрома:</w:t>
      </w:r>
    </w:p>
    <w:p w14:paraId="28AE2E55"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грузовых автомашин</w:t>
      </w:r>
      <w:r w:rsidRPr="0044524F">
        <w:rPr>
          <w:rFonts w:ascii="Times New Roman" w:hAnsi="Times New Roman"/>
          <w:color w:val="000000" w:themeColor="text1"/>
          <w:sz w:val="16"/>
          <w:szCs w:val="16"/>
        </w:rPr>
        <w:tab/>
        <w:t>40</w:t>
      </w:r>
    </w:p>
    <w:p w14:paraId="3D343DF5"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легковых автомашин</w:t>
      </w:r>
      <w:r w:rsidRPr="0044524F">
        <w:rPr>
          <w:rFonts w:ascii="Times New Roman" w:hAnsi="Times New Roman"/>
          <w:color w:val="000000" w:themeColor="text1"/>
          <w:sz w:val="16"/>
          <w:szCs w:val="16"/>
        </w:rPr>
        <w:tab/>
        <w:t>10</w:t>
      </w:r>
    </w:p>
    <w:p w14:paraId="1839B9F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санитарных</w:t>
      </w:r>
      <w:r w:rsidRPr="0044524F">
        <w:rPr>
          <w:rFonts w:ascii="Times New Roman" w:hAnsi="Times New Roman"/>
          <w:color w:val="000000" w:themeColor="text1"/>
          <w:sz w:val="16"/>
          <w:szCs w:val="16"/>
        </w:rPr>
        <w:tab/>
        <w:t>4</w:t>
      </w:r>
    </w:p>
    <w:p w14:paraId="79A124E1"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автостартеров</w:t>
      </w:r>
      <w:r w:rsidRPr="0044524F">
        <w:rPr>
          <w:rFonts w:ascii="Times New Roman" w:hAnsi="Times New Roman"/>
          <w:color w:val="000000" w:themeColor="text1"/>
          <w:sz w:val="16"/>
          <w:szCs w:val="16"/>
        </w:rPr>
        <w:tab/>
        <w:t>5</w:t>
      </w:r>
    </w:p>
    <w:p w14:paraId="3610C340"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тягачей</w:t>
      </w:r>
      <w:r w:rsidRPr="0044524F">
        <w:rPr>
          <w:rFonts w:ascii="Times New Roman" w:hAnsi="Times New Roman"/>
          <w:color w:val="000000" w:themeColor="text1"/>
          <w:sz w:val="16"/>
          <w:szCs w:val="16"/>
        </w:rPr>
        <w:tab/>
        <w:t>20</w:t>
      </w:r>
    </w:p>
    <w:p w14:paraId="3C1F3D4D"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Главтрансмаш НКТП поставить Глававиапрому в 1У кв. 25 платформ и 2 паровоза или мотовоза</w:t>
      </w:r>
    </w:p>
    <w:p w14:paraId="157F7EA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Обязать ВЗО (т. Чернова) отпустить заводам ГУАП с завода АТЭ</w:t>
      </w:r>
    </w:p>
    <w:p w14:paraId="572A91AD"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авиамагнето рабочих типа БС-5</w:t>
      </w:r>
      <w:r w:rsidRPr="0044524F">
        <w:rPr>
          <w:rFonts w:ascii="Times New Roman" w:hAnsi="Times New Roman"/>
          <w:color w:val="000000" w:themeColor="text1"/>
          <w:sz w:val="16"/>
          <w:szCs w:val="16"/>
        </w:rPr>
        <w:tab/>
        <w:t>2100</w:t>
      </w:r>
    </w:p>
    <w:p w14:paraId="17237EDB"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БС-9</w:t>
      </w:r>
      <w:r w:rsidRPr="0044524F">
        <w:rPr>
          <w:rFonts w:ascii="Times New Roman" w:hAnsi="Times New Roman"/>
          <w:color w:val="000000" w:themeColor="text1"/>
          <w:sz w:val="16"/>
          <w:szCs w:val="16"/>
        </w:rPr>
        <w:tab/>
        <w:t>500</w:t>
      </w:r>
    </w:p>
    <w:p w14:paraId="47C6455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БС-12 правых</w:t>
      </w:r>
      <w:r w:rsidRPr="0044524F">
        <w:rPr>
          <w:rFonts w:ascii="Times New Roman" w:hAnsi="Times New Roman"/>
          <w:color w:val="000000" w:themeColor="text1"/>
          <w:sz w:val="16"/>
          <w:szCs w:val="16"/>
        </w:rPr>
        <w:tab/>
        <w:t>600</w:t>
      </w:r>
    </w:p>
    <w:p w14:paraId="1C5EF3C6"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БС-12 левых</w:t>
      </w:r>
      <w:r w:rsidRPr="0044524F">
        <w:rPr>
          <w:rFonts w:ascii="Times New Roman" w:hAnsi="Times New Roman"/>
          <w:color w:val="000000" w:themeColor="text1"/>
          <w:sz w:val="16"/>
          <w:szCs w:val="16"/>
        </w:rPr>
        <w:tab/>
        <w:t>3638</w:t>
      </w:r>
    </w:p>
    <w:p w14:paraId="01BAAC41"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ПС</w:t>
      </w:r>
      <w:r w:rsidRPr="0044524F">
        <w:rPr>
          <w:rFonts w:ascii="Times New Roman" w:hAnsi="Times New Roman"/>
          <w:color w:val="000000" w:themeColor="text1"/>
          <w:sz w:val="16"/>
          <w:szCs w:val="16"/>
        </w:rPr>
        <w:tab/>
        <w:t>1000</w:t>
      </w:r>
    </w:p>
    <w:p w14:paraId="716EEB5D"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 целях обеспечения производства реверсивных муфт к мотору М-34 передать завод “Спартак” из Ватозапчасть в ведение ГУАП, не снимая с него обязательства по запчастям для автотранспортной промышленности.</w:t>
      </w:r>
    </w:p>
    <w:p w14:paraId="47484001"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Обязать Ивановский облисполком обеспечить бесперебойное снабжение электроэнергией завода № 25</w:t>
      </w:r>
    </w:p>
    <w:p w14:paraId="39CC4273"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По финансированию</w:t>
      </w:r>
    </w:p>
    <w:p w14:paraId="6C1E18AE"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НКФ СССР целиком безоговорочно покрыть утвержденное Правительством ГУАПу годовое финансирование в пополнение оборотных средств в размере 51 млн. руб. и выделить в 1У кв. отстаток от годового назначения в размере 18,3 млн. руб.</w:t>
      </w:r>
    </w:p>
    <w:p w14:paraId="59A5C26C"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По транспорту:</w:t>
      </w:r>
    </w:p>
    <w:p w14:paraId="472082C6"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Предложить НКПС приравнять перевозку грузов для авиазаводов по очередности к военным перевозкам</w:t>
      </w:r>
    </w:p>
    <w:p w14:paraId="4545C21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НКПС выделить ГУАПу для перевозок производственных материалов с центрального базового склада (ст. Люберцы, М.Казанская) 800 вагонов и со станции Фили - 400 вагонов</w:t>
      </w:r>
    </w:p>
    <w:p w14:paraId="2033D63B"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Обязать Госзнак поставить Авиапромышленности для прокладок к моторам: бумаги ватманской 45000 листов и полутканной - 50000 листов, а Главбумпрому обеспечить Госзнак целлюлозой соответствующего качества в количестве 15 т.</w:t>
      </w:r>
    </w:p>
    <w:p w14:paraId="7FAE6228"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12) Обязать Союзбумснабсбыт поставить Глававиапрому александрийской бумаги 80000 листов.</w:t>
      </w:r>
    </w:p>
    <w:p w14:paraId="5FF898BB"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У1 В целях своевременной подготовки к 1934 обязать НКТП (ГУАП) совместно с НКВоенмором немедленно приступить к проработке всего плана 1934 г. и наметить все необходимые мероприятия, обеспечивающие выполнение программы 1934 г., как в части строительства, так и всех видов снабжения, и внести в СТО к 10 ноябряч 1933 г.</w:t>
      </w:r>
    </w:p>
    <w:p w14:paraId="5F08360B"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НКВМор в декадный срок уточнить и представить свой заказ авиапромышленности на 1934 г. (3777,2-7).</w:t>
      </w:r>
    </w:p>
    <w:p w14:paraId="590E245A"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p>
    <w:p w14:paraId="0E95812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вышло постановление СТО N 103сс/о "О мероприятиях по выполнению авиационной программы 1933". В основном о низком качестве (2282,62).</w:t>
      </w:r>
    </w:p>
    <w:p w14:paraId="1888F46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СТО отмечает, что наряду с заводами, успешно выполнившими за 9 месяцев свою производственную программу по основным объектам (22 - ТБ-3 М-17, 39 - ТБ-3 м_17, 21 - И-5 с М-226 24 - М-34, 26 - М-17, 23 - У-2 М-11), не справились с поставленным программным заданием заводы 1, 31 и 29 (И-7 М-17, Р-6 М-17, Р-5А М-17, МТ-9 и М-22 и М-41)...</w:t>
      </w:r>
    </w:p>
    <w:p w14:paraId="5914426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Констатировать, что при заметном улучшении качества основных типов самолетов и моторов (ТБ-3, Р-5, И-5, У-2, М-17) выпускаемая заводами продукция все же еще имеет существенные недостатки, осложняющие эксплуатацию и понижающие надежность матчасти в полете, основными из коих являются:</w:t>
      </w:r>
    </w:p>
    <w:p w14:paraId="7944F58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конструкция большинства самолетов перетяжелена</w:t>
      </w:r>
    </w:p>
    <w:p w14:paraId="658B78F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отмечается массовая течь радиаторов и бензокранов</w:t>
      </w:r>
    </w:p>
    <w:p w14:paraId="32AD1FA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быстро появляются люфты в соединениях...</w:t>
      </w:r>
    </w:p>
    <w:p w14:paraId="36A44E2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Вследствие отсутствия эталонов, а также выявившихся в процессе производства конструктивных недостатков, снять с утвержденной программы по самолетостроению на 1933:</w:t>
      </w:r>
    </w:p>
    <w:p w14:paraId="58569A5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 заводу 1 - 145 И-7 с М-17</w:t>
      </w:r>
    </w:p>
    <w:p w14:paraId="0D6AC3B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 заводу 22 - 5 ДИ-3 с М-34</w:t>
      </w:r>
    </w:p>
    <w:p w14:paraId="53E3C08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 заводу 22 - 3 ТБ-4 с М-34</w:t>
      </w:r>
    </w:p>
    <w:p w14:paraId="635D4AC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 заводу 31 - 60 Р-6 с М-34 - весь задел по АНТ-9 передать ГУГВФ</w:t>
      </w:r>
    </w:p>
    <w:p w14:paraId="0D0B022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 заводу 18 - 13 ТБ-3 с М-34 (2282,63).</w:t>
      </w:r>
    </w:p>
    <w:p w14:paraId="7A5D37D3"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65338E50" w14:textId="77777777" w:rsidR="008A5189" w:rsidRPr="0044524F" w:rsidRDefault="008A5189" w:rsidP="009654CF">
      <w:pPr>
        <w:pStyle w:val="rtejustify"/>
        <w:spacing w:before="0" w:after="0"/>
        <w:rPr>
          <w:color w:val="000000" w:themeColor="text1"/>
          <w:sz w:val="16"/>
          <w:szCs w:val="16"/>
        </w:rPr>
      </w:pPr>
      <w:r w:rsidRPr="0044524F">
        <w:rPr>
          <w:rStyle w:val="af0"/>
          <w:bCs/>
          <w:i w:val="0"/>
          <w:color w:val="000000" w:themeColor="text1"/>
          <w:sz w:val="16"/>
          <w:szCs w:val="16"/>
        </w:rPr>
        <w:t>25 октября</w:t>
      </w:r>
      <w:r w:rsidRPr="0044524F">
        <w:rPr>
          <w:color w:val="000000" w:themeColor="text1"/>
          <w:sz w:val="16"/>
          <w:szCs w:val="16"/>
        </w:rPr>
        <w:t xml:space="preserve"> 1933. Постановление СТО СССР № 103сс/о «О мероприятиях по выполнению авиационной программы 1933 г.». (ГА РФ. Ф. Р</w:t>
      </w:r>
      <w:r w:rsidRPr="0044524F">
        <w:rPr>
          <w:color w:val="000000" w:themeColor="text1"/>
          <w:sz w:val="16"/>
          <w:szCs w:val="16"/>
        </w:rPr>
        <w:noBreakHyphen/>
        <w:t>8418. Оп. 28. Д. 3. Л. 11</w:t>
      </w:r>
      <w:r w:rsidRPr="0044524F">
        <w:rPr>
          <w:color w:val="000000" w:themeColor="text1"/>
          <w:sz w:val="16"/>
          <w:szCs w:val="16"/>
        </w:rPr>
        <w:noBreakHyphen/>
        <w:t>15) (15460).</w:t>
      </w:r>
    </w:p>
    <w:p w14:paraId="05E78C3A" w14:textId="77777777" w:rsidR="008A5189" w:rsidRPr="0044524F" w:rsidRDefault="008A5189" w:rsidP="009654CF">
      <w:pPr>
        <w:pStyle w:val="rtejustify"/>
        <w:spacing w:before="0" w:after="0"/>
        <w:rPr>
          <w:color w:val="000000" w:themeColor="text1"/>
          <w:sz w:val="16"/>
          <w:szCs w:val="16"/>
        </w:rPr>
      </w:pPr>
    </w:p>
    <w:p w14:paraId="6C43B20E" w14:textId="77777777" w:rsidR="00AD0645" w:rsidRPr="0044524F" w:rsidRDefault="00AD064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г. вышло постановление СТО №103сс/о «О мероприятиях по выполнению авиационной программы 1933 г.», где снова в перечне недовыполненных ГУАП заданий шел серийный выпуск самолетов И-7 и дано распоряжение сократить программу выпуска этих самолетов на 1933 г. на 145 машин, т.е. до 105 самолетов. Тем же документом решено «…Предложить НКТП и НКВМ войти в СТО к 10 ноября 1933 года со своими соображениями о постановке на производство самолета И7 с дюралевым хвостовым оперением» (24331).</w:t>
      </w:r>
    </w:p>
    <w:p w14:paraId="7C12A803" w14:textId="77777777" w:rsidR="00AD0645" w:rsidRPr="0044524F" w:rsidRDefault="00AD0645" w:rsidP="009654CF">
      <w:pPr>
        <w:spacing w:after="0" w:line="240" w:lineRule="auto"/>
        <w:jc w:val="both"/>
        <w:rPr>
          <w:rFonts w:ascii="Times New Roman" w:hAnsi="Times New Roman"/>
          <w:color w:val="000000" w:themeColor="text1"/>
          <w:sz w:val="16"/>
          <w:szCs w:val="16"/>
        </w:rPr>
      </w:pPr>
    </w:p>
    <w:p w14:paraId="1EFB358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года начальник Глававиапрома Королев писал письмо N 12/оп в СТО Базилевичу.</w:t>
      </w:r>
    </w:p>
    <w:p w14:paraId="26417F8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N 1599/ко от 22.10.33 г.</w:t>
      </w:r>
    </w:p>
    <w:p w14:paraId="39C6C8D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развертывании производства гидросамолетов.</w:t>
      </w:r>
    </w:p>
    <w:p w14:paraId="1A14D08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решением СТО от 13.08.с.г. "О форсировании морского гидросамолетостроения" докладываю о следующем.</w:t>
      </w:r>
    </w:p>
    <w:p w14:paraId="2B90A9C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Решено создать мощную производственную базу по гидросамолетостроению в Казани на заводе N 124, расположенном в 10 км от берега Волги.</w:t>
      </w:r>
    </w:p>
    <w:p w14:paraId="67CD1B5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Впредь до создания указанной гидробазы на зав. N 124, внутренней базой будет являться по тяжелым морским машинам типа МК завод N 22, со сборкой производимых этим заводом узлов в Таганроге на зав. N 31 и в Севастополе на зав. N 45 (где будет построен необходимый легкий сборочный цех).</w:t>
      </w:r>
    </w:p>
    <w:p w14:paraId="429FBF3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разворачивания же производства по средним морским машинам типа МБР-2 и МБР-4 используются зав. N 31, 125 и 126. (3099,2).</w:t>
      </w:r>
    </w:p>
    <w:p w14:paraId="05776133"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4FD8883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г. Начальник НИИ ВВС Зильберт утвердил Отчет по дополнительным испытаниям МАВ-1 (ВОМИЗЫ-100).</w:t>
      </w:r>
    </w:p>
    <w:p w14:paraId="40ED8F2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были проведены в период с 24 июля по 9 октября с.г.</w:t>
      </w:r>
    </w:p>
    <w:p w14:paraId="74998C5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Морские испытания с корабля произведены в ладожском озере на глубинах от 5 до 43 морских саженей.</w:t>
      </w:r>
    </w:p>
    <w:p w14:paraId="41AA59F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w:t>
      </w:r>
    </w:p>
    <w:p w14:paraId="3F497F7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Сброшено с самолета 2 раза с бикфордовым шнуром и 7 раз с гидростатической отдачей (3052).</w:t>
      </w:r>
    </w:p>
    <w:p w14:paraId="01ACD1CE"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DF974D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25-29 октября 1933 на гидроплане Локхид красного цвета в Москву прилетал Линдберг с супругой и садился на Москву реку от Крымского моста (старого) к станции Динамо (238,115).</w:t>
      </w:r>
    </w:p>
    <w:p w14:paraId="460383D8"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0FE5C100"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C29D412"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6BB9A3C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года вышло Постановление Правительства СССР, в соответствии с которым ХПЗ должен был к 1 января 1934 года изготовить пять танков Т-35А и один Т-35Б (с двигателем М-34) (3862).</w:t>
      </w:r>
    </w:p>
    <w:p w14:paraId="4BCD2990"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457DF36"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октября 1933 года вышло Постановление Прави</w:t>
      </w:r>
      <w:r w:rsidRPr="00142305">
        <w:rPr>
          <w:rFonts w:ascii="Times New Roman" w:hAnsi="Times New Roman"/>
          <w:color w:val="0070C0"/>
          <w:sz w:val="16"/>
          <w:szCs w:val="16"/>
        </w:rPr>
        <w:softHyphen/>
        <w:t>тельства СССР, в соответствии с которым ХПЗ должен был к 1 января 1934 года изготовить пять танков Т-35А и один Т-35Б (с двигате</w:t>
      </w:r>
      <w:r w:rsidRPr="00142305">
        <w:rPr>
          <w:rFonts w:ascii="Times New Roman" w:hAnsi="Times New Roman"/>
          <w:color w:val="0070C0"/>
          <w:sz w:val="16"/>
          <w:szCs w:val="16"/>
        </w:rPr>
        <w:softHyphen/>
        <w:t>лем М-34).</w:t>
      </w:r>
    </w:p>
    <w:p w14:paraId="5A1ACFF7"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указанному сроку полностью готовым оказался только один танк, а еще три, хотя и были на ходу, но не имели вооружения и внутреннего оборудования. Что касается Т-35Б, то его так и не построили, хотя вопрос о производстве этой машины поднимался в течение полутора лет (25014).</w:t>
      </w:r>
    </w:p>
    <w:p w14:paraId="51A91D28" w14:textId="77777777" w:rsidR="00022A55" w:rsidRPr="00142305" w:rsidRDefault="00022A55" w:rsidP="00022A55">
      <w:pPr>
        <w:spacing w:after="0" w:line="240" w:lineRule="auto"/>
        <w:jc w:val="both"/>
        <w:rPr>
          <w:rFonts w:ascii="Times New Roman" w:hAnsi="Times New Roman"/>
          <w:color w:val="0070C0"/>
          <w:sz w:val="16"/>
          <w:szCs w:val="16"/>
        </w:rPr>
      </w:pPr>
    </w:p>
    <w:p w14:paraId="18C0678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танковая программа 1933 по выпуску БТ была увеличена до 1000 танков (3880,6).</w:t>
      </w:r>
    </w:p>
    <w:p w14:paraId="2850ADAA"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3A2323C2"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г. итоги испытаний модернизированной танкетки Т-27 подвели начальник полигона Штагин, начальник испытательного отдела Воробьев и начальник первой станции НИАБТП Кульчицкий.</w:t>
      </w:r>
    </w:p>
    <w:p w14:paraId="711F8A83"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конструкцию танкетки Т-27 были внесены следующие изменения:</w:t>
      </w:r>
    </w:p>
    <w:p w14:paraId="6211B6E7"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Гусеница поставлена с разваленными перьями для уменьшения схождения гусеницы.</w:t>
      </w:r>
    </w:p>
    <w:p w14:paraId="5CA2AABC"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Поставлены задние крылья над гусеницами.</w:t>
      </w:r>
    </w:p>
    <w:p w14:paraId="677CE0EF"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Поставлены наколенники для правой ноги механика водителя и для левой пулеметчика, предохраняющие ноги от ушибов об уголки.</w:t>
      </w:r>
    </w:p>
    <w:p w14:paraId="3CCE2D95"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Вместо пружинных амортизаторов подвески радиатора поставлены резиновые пластины.</w:t>
      </w:r>
    </w:p>
    <w:p w14:paraId="4CB7712A"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Снят канал приточного воздуха.</w:t>
      </w:r>
    </w:p>
    <w:p w14:paraId="347D2F67"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Сделан макет бронировки козырька над радиатором.</w:t>
      </w:r>
    </w:p>
    <w:p w14:paraId="41903F69"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Сделано новое крепление АКБ с поддоном.</w:t>
      </w:r>
    </w:p>
    <w:p w14:paraId="55DD7370"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Правый тормозной валик поставлен усиленный, увеличенного диаметра.</w:t>
      </w:r>
    </w:p>
    <w:p w14:paraId="2BA276CA"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Сделаны лючки в крышках лазов у командира наверх и назад, механик водитель имеет один лючок назад.</w:t>
      </w:r>
    </w:p>
    <w:p w14:paraId="12B3FAD4"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Поставлены пружины и сделаны другие петли крышек лазов.</w:t>
      </w:r>
    </w:p>
    <w:p w14:paraId="1DAA4985"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 Поставлен налобник для водителя.</w:t>
      </w:r>
    </w:p>
    <w:p w14:paraId="28D33721"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 Изменены крышки сальника.</w:t>
      </w:r>
    </w:p>
    <w:p w14:paraId="49F6AF3A"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 Изменено направление для заводной ручки в кронштейне задней подвески мотора. Для удержания заводной рукоятки в горизонтальном положении поставлена пружина.</w:t>
      </w:r>
    </w:p>
    <w:p w14:paraId="17AD0D6E"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Сиденье механика-водителя обшито сзади асбестом, а спереди войлоком.</w:t>
      </w:r>
    </w:p>
    <w:p w14:paraId="64E8E1C4"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Пулеметная установка II образца установлена с прожиганием двух отверстий в лобовом листе, что не делается на других машинах и имеет люфт в боковой плоскости. Удобной и надежной конструкцией является серийный тип Виккерса, поставленный на пулеметную танкетку Т-27.</w:t>
      </w:r>
    </w:p>
    <w:p w14:paraId="552A0DDE"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 Каретка подачи магазинов поставлена сварная без роликов.</w:t>
      </w:r>
    </w:p>
    <w:p w14:paraId="4962EC8B"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Конструктивные изменения, отмеченные в пункте «п», были встречены негативно еще до проведения испытаний, а по пунктам «м», «н» и «р» требовали дополнительных испытаний. По остальным пунктам после завершения испытаний отмечалось:</w:t>
      </w:r>
    </w:p>
    <w:p w14:paraId="731963BD"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 Постановка гусеницы с разваленными перьями вопроса ее схождения с катков и ленивца не разрешают. Число спаданий гусеницы, особенно при разворотах, увеличивается по сравнению с серийным траком.</w:t>
      </w:r>
    </w:p>
    <w:p w14:paraId="3014424C"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Причина – частота перьев, благодаря чему снег с беговой поверхности гусениц не выдавливается, а спрессовывается уменьшая тем самым опорную высоту перьев и способствует спаданию.</w:t>
      </w:r>
    </w:p>
    <w:p w14:paraId="1440222C"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Постановка задних крыльев приводит к защите от грязи танкетки, но конструкция оказалась не жизненна, т.к. при первом же соскакивании гусеницы, крылья пришли в негодность, вследствие чего их пришлось снять после пробега 49 км.</w:t>
      </w:r>
    </w:p>
    <w:p w14:paraId="7B6BAD2D"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Постановка наколенников предохраняет правую ногу механика водителя и левую ногу пулеметчика от ушибов об угольник.</w:t>
      </w:r>
    </w:p>
    <w:p w14:paraId="6CDF8437"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Постановка резиновых пластин вместо пружинных амортизаторов показала себя более надежной и целесообразной.</w:t>
      </w:r>
    </w:p>
    <w:p w14:paraId="55E02F56"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и е. Для сравнительных испытаний вместе с серийной машиной. Установка козырька над радиатором дает ухудшение охлаждения двигателя, вследствие чего при первых же испытаниях машины макет пришлось снять.</w:t>
      </w:r>
    </w:p>
    <w:p w14:paraId="1484CBBD"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Постановка усиленного валика целесообразна и гарантирует лучшую его работу на скручивание.</w:t>
      </w:r>
    </w:p>
    <w:p w14:paraId="4588CECD"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Люки в крышках лазов необходимы для защиты экипажа машины от нападений, применения ручного огнестрельного оружия. Люк назад у механика водителя расположен высоко и с места сидения не видно дороги назад. Крепление барашком верхнего командирского люка не надежно – последний во время движения машины отвертывается и соскакивает.</w:t>
      </w:r>
    </w:p>
    <w:p w14:paraId="2C7270B5"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Постановка пружин у крышек лазов, облегчает открытие последних, но пружины не прочны и лопаются (после 1100 км).</w:t>
      </w:r>
    </w:p>
    <w:p w14:paraId="3D5A8840"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 Постановка налобника целесообразна и предохраняет голову механика водителя </w:t>
      </w:r>
    </w:p>
    <w:p w14:paraId="5529D771"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Обивка сидений оказалась надежной и вполне удовлетворительна».</w:t>
      </w:r>
    </w:p>
    <w:p w14:paraId="413ADBDF"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испытаниях оценивались также и серийные агрегаты танкетки Т-27. Указывалось, что за весь пробег в двигателе «Форд-АА», наработавшем 250 ч, «значительных поломок и дефектов не обнаружено». Однако слабым местом являлась подвеска переднего конца двигателя, так как амортизационная пружина «не выдерживает наших дорог». Осадка пружины оказалась столь значительной, что для установки заводной рукоятки требовалось снимать задний фланец. «Кроме того лопасти вентилятора при сильных сотрясениях в пути задевают за обшивку». В этой связи испытатели указали на целесообразность постановки резиновых пластин-амортизаторов по аналогии с новыми амортизаторами радиатора. Критике подверглось натяжное устройство ленивца в виде распорного болта, которое гнулось под воздействием сжимающих усилий.</w:t>
      </w:r>
    </w:p>
    <w:p w14:paraId="0A11E157"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на Т-27 №452 прошли испытания три типа ведущих колес: серийные, с наварным зубом и литые с необработанным зубом. Для наварки зуба использовался твердый сплав «Сталинит». При работе ведущих колес с наварными зубьями наблюдался сильный износ (стирание) проушин траков в местах зацепления, что значительно сокращало срок службы гусениц. Вместе с тем, испытания показали одинаковый износ при использовании серийных и литых ведущих колес. «При возможности получения высококачественного безпузырькового литья целесообразно по экономическим соображениям применение ведущих колес, изготовленных из стального литья и не требующих мехобработки зубьев».</w:t>
      </w:r>
    </w:p>
    <w:p w14:paraId="6AFE8C96"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эксплуатации Т-27 выходили из строя в основном элементы ходовой части, что объяснялось «слишком жесткой подвеской и неприспособленностью движителя для работы в наших дорожных условиях». При движении по разбитому шоссе, а также по проселкам требовались частые остановки для крепления гаек и болтов ходовой части, что снижало средние скорости движения машины. Отмечался срез болтов, поломка листов рессор и катков. Выход из строя последних происходил главным образом в результате срыва резиновых бандажей. Были отмечены 54 поломки первого и второго катков и 28 – пятого и шестого катков. Значительный процент повреждений катков передних тележек испытатели объяснили более тяжелыми условиями работы вследствие перегрузок при движении.</w:t>
      </w:r>
    </w:p>
    <w:p w14:paraId="4264495C" w14:textId="77777777" w:rsidR="00585A9A" w:rsidRPr="0044524F" w:rsidRDefault="00585A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заключению, сделанному по результатам испытаний, изменения по пунктам «в», «г», «д», «з», «и», «л», «н», «о» сочли целесообразными, а по пунктам «а», «б», «е», «ж», «к» – непригодными для установки на машину без дополнительной доработки (12138).</w:t>
      </w:r>
    </w:p>
    <w:p w14:paraId="1C5F136F" w14:textId="77777777" w:rsidR="00585A9A" w:rsidRPr="0044524F" w:rsidRDefault="00585A9A" w:rsidP="009654CF">
      <w:pPr>
        <w:spacing w:after="0" w:line="240" w:lineRule="auto"/>
        <w:jc w:val="both"/>
        <w:rPr>
          <w:rFonts w:ascii="Times New Roman" w:hAnsi="Times New Roman"/>
          <w:color w:val="000000" w:themeColor="text1"/>
          <w:sz w:val="16"/>
          <w:szCs w:val="16"/>
        </w:rPr>
      </w:pPr>
    </w:p>
    <w:p w14:paraId="54699919"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октября 1933 г. начальник полигона Штагин, начальник испытательного отдела Воробьев и начальник первой станции НИАБТП Кульчицкий подвели итоги испытаний модернизированной танкетки Т-27 с заводским номером 452 на НИАБТП с целью подтверждения целесообразности внесения конструктивных изменений, а также определения износа и ресурса доработанных деталей и механизмов (25559).</w:t>
      </w:r>
    </w:p>
    <w:p w14:paraId="72232574" w14:textId="77777777" w:rsidR="00022A55" w:rsidRPr="00142305" w:rsidRDefault="00022A55" w:rsidP="00022A55">
      <w:pPr>
        <w:spacing w:after="0" w:line="240" w:lineRule="auto"/>
        <w:jc w:val="both"/>
        <w:rPr>
          <w:rFonts w:ascii="Times New Roman" w:hAnsi="Times New Roman"/>
          <w:color w:val="0070C0"/>
          <w:sz w:val="16"/>
          <w:szCs w:val="16"/>
        </w:rPr>
      </w:pPr>
    </w:p>
    <w:p w14:paraId="067947F8" w14:textId="77777777" w:rsidR="008A5189" w:rsidRPr="0044524F" w:rsidRDefault="008A5189" w:rsidP="009654CF">
      <w:pPr>
        <w:pStyle w:val="rtejustify"/>
        <w:spacing w:before="0" w:after="0"/>
        <w:rPr>
          <w:color w:val="000000" w:themeColor="text1"/>
          <w:sz w:val="16"/>
          <w:szCs w:val="16"/>
        </w:rPr>
      </w:pPr>
      <w:r w:rsidRPr="0044524F">
        <w:rPr>
          <w:rStyle w:val="af0"/>
          <w:bCs/>
          <w:i w:val="0"/>
          <w:color w:val="000000" w:themeColor="text1"/>
          <w:sz w:val="16"/>
          <w:szCs w:val="16"/>
        </w:rPr>
        <w:t>25 октября</w:t>
      </w:r>
      <w:r w:rsidRPr="0044524F">
        <w:rPr>
          <w:color w:val="000000" w:themeColor="text1"/>
          <w:sz w:val="16"/>
          <w:szCs w:val="16"/>
        </w:rPr>
        <w:t xml:space="preserve"> 1933. Постановление СТО СССР № 102сс/о «О мероприятиях по выполнению танковой программы 1933 г.». (ГА РФ. Ф. Р</w:t>
      </w:r>
      <w:r w:rsidRPr="0044524F">
        <w:rPr>
          <w:color w:val="000000" w:themeColor="text1"/>
          <w:sz w:val="16"/>
          <w:szCs w:val="16"/>
        </w:rPr>
        <w:noBreakHyphen/>
        <w:t>8418. Оп. 28. Д. 3. Л. 7</w:t>
      </w:r>
      <w:r w:rsidRPr="0044524F">
        <w:rPr>
          <w:color w:val="000000" w:themeColor="text1"/>
          <w:sz w:val="16"/>
          <w:szCs w:val="16"/>
        </w:rPr>
        <w:noBreakHyphen/>
        <w:t>10) (15460).</w:t>
      </w:r>
    </w:p>
    <w:p w14:paraId="75CAA2DF" w14:textId="77777777" w:rsidR="008A5189" w:rsidRPr="0044524F" w:rsidRDefault="008A5189" w:rsidP="009654CF">
      <w:pPr>
        <w:pStyle w:val="rtejustify"/>
        <w:spacing w:before="0" w:after="0"/>
        <w:rPr>
          <w:color w:val="000000" w:themeColor="text1"/>
          <w:sz w:val="16"/>
          <w:szCs w:val="16"/>
        </w:rPr>
      </w:pPr>
    </w:p>
    <w:p w14:paraId="79D74489" w14:textId="77777777" w:rsidR="008A5189" w:rsidRPr="0044524F" w:rsidRDefault="008A5189" w:rsidP="009654CF">
      <w:pPr>
        <w:pStyle w:val="rtejustify"/>
        <w:spacing w:before="0" w:after="0"/>
        <w:rPr>
          <w:color w:val="000000" w:themeColor="text1"/>
          <w:sz w:val="16"/>
          <w:szCs w:val="16"/>
        </w:rPr>
      </w:pPr>
      <w:r w:rsidRPr="0044524F">
        <w:rPr>
          <w:rStyle w:val="af0"/>
          <w:bCs/>
          <w:i w:val="0"/>
          <w:color w:val="000000" w:themeColor="text1"/>
          <w:sz w:val="16"/>
          <w:szCs w:val="16"/>
        </w:rPr>
        <w:t>25 октября</w:t>
      </w:r>
      <w:r w:rsidRPr="0044524F">
        <w:rPr>
          <w:color w:val="000000" w:themeColor="text1"/>
          <w:sz w:val="16"/>
          <w:szCs w:val="16"/>
        </w:rPr>
        <w:t xml:space="preserve"> 1933. Постановление СТО СССР № 99сс/о «Об усилении судовым составом Морских сил РККА». (ГА РФ. Ф. Р</w:t>
      </w:r>
      <w:r w:rsidRPr="0044524F">
        <w:rPr>
          <w:color w:val="000000" w:themeColor="text1"/>
          <w:sz w:val="16"/>
          <w:szCs w:val="16"/>
        </w:rPr>
        <w:noBreakHyphen/>
        <w:t>8418. Оп. 28. Д. 3. Л. 2</w:t>
      </w:r>
      <w:r w:rsidRPr="0044524F">
        <w:rPr>
          <w:color w:val="000000" w:themeColor="text1"/>
          <w:sz w:val="16"/>
          <w:szCs w:val="16"/>
        </w:rPr>
        <w:noBreakHyphen/>
        <w:t>3) (15460).</w:t>
      </w:r>
    </w:p>
    <w:p w14:paraId="526D41F7" w14:textId="77777777" w:rsidR="008A5189" w:rsidRPr="0044524F" w:rsidRDefault="008A5189" w:rsidP="009654CF">
      <w:pPr>
        <w:pStyle w:val="rtejustify"/>
        <w:spacing w:before="0" w:after="0"/>
        <w:rPr>
          <w:color w:val="000000" w:themeColor="text1"/>
          <w:sz w:val="16"/>
          <w:szCs w:val="16"/>
        </w:rPr>
      </w:pPr>
    </w:p>
    <w:p w14:paraId="448886DC" w14:textId="77777777" w:rsidR="008A5189" w:rsidRPr="0044524F" w:rsidRDefault="008A5189" w:rsidP="009654CF">
      <w:pPr>
        <w:pStyle w:val="rtejustify"/>
        <w:spacing w:before="0" w:after="0"/>
        <w:rPr>
          <w:color w:val="000000" w:themeColor="text1"/>
          <w:sz w:val="16"/>
          <w:szCs w:val="16"/>
        </w:rPr>
      </w:pPr>
      <w:r w:rsidRPr="0044524F">
        <w:rPr>
          <w:rStyle w:val="af0"/>
          <w:bCs/>
          <w:i w:val="0"/>
          <w:color w:val="000000" w:themeColor="text1"/>
          <w:sz w:val="16"/>
          <w:szCs w:val="16"/>
        </w:rPr>
        <w:t>25 октября</w:t>
      </w:r>
      <w:r w:rsidRPr="0044524F">
        <w:rPr>
          <w:color w:val="000000" w:themeColor="text1"/>
          <w:sz w:val="16"/>
          <w:szCs w:val="16"/>
        </w:rPr>
        <w:t xml:space="preserve"> 1933. Постановление СТО СССР № 100сс/о «О выделении НКВМору двигателей внутреннего сгорания». (ГА РФ. Ф. Р</w:t>
      </w:r>
      <w:r w:rsidRPr="0044524F">
        <w:rPr>
          <w:color w:val="000000" w:themeColor="text1"/>
          <w:sz w:val="16"/>
          <w:szCs w:val="16"/>
        </w:rPr>
        <w:noBreakHyphen/>
        <w:t>8418. Оп. 28. Д. 3. Л. 4) (15460).</w:t>
      </w:r>
    </w:p>
    <w:p w14:paraId="44AA6F80" w14:textId="77777777" w:rsidR="008A5189" w:rsidRPr="0044524F" w:rsidRDefault="008A5189" w:rsidP="009654CF">
      <w:pPr>
        <w:pStyle w:val="rtejustify"/>
        <w:spacing w:before="0" w:after="0"/>
        <w:rPr>
          <w:color w:val="000000" w:themeColor="text1"/>
          <w:sz w:val="16"/>
          <w:szCs w:val="16"/>
        </w:rPr>
      </w:pPr>
    </w:p>
    <w:p w14:paraId="59846993" w14:textId="77777777" w:rsidR="008A5189" w:rsidRPr="0044524F" w:rsidRDefault="008A5189" w:rsidP="009654CF">
      <w:pPr>
        <w:pStyle w:val="rtejustify"/>
        <w:spacing w:before="0" w:after="0"/>
        <w:rPr>
          <w:color w:val="000000" w:themeColor="text1"/>
          <w:sz w:val="16"/>
          <w:szCs w:val="16"/>
        </w:rPr>
      </w:pPr>
      <w:r w:rsidRPr="0044524F">
        <w:rPr>
          <w:rStyle w:val="af0"/>
          <w:bCs/>
          <w:i w:val="0"/>
          <w:color w:val="000000" w:themeColor="text1"/>
          <w:sz w:val="16"/>
          <w:szCs w:val="16"/>
        </w:rPr>
        <w:t>25 октября</w:t>
      </w:r>
      <w:r w:rsidRPr="0044524F">
        <w:rPr>
          <w:color w:val="000000" w:themeColor="text1"/>
          <w:sz w:val="16"/>
          <w:szCs w:val="16"/>
        </w:rPr>
        <w:t xml:space="preserve"> 1933. Постановление СТО СССР № 101с/о «Об обеспечении Военно-морских сил РККА моторами для катеров». (ГА РФ. Ф. Р</w:t>
      </w:r>
      <w:r w:rsidRPr="0044524F">
        <w:rPr>
          <w:color w:val="000000" w:themeColor="text1"/>
          <w:sz w:val="16"/>
          <w:szCs w:val="16"/>
        </w:rPr>
        <w:noBreakHyphen/>
        <w:t>8418. Оп. 28. Д. 3. Л. 5</w:t>
      </w:r>
      <w:r w:rsidRPr="0044524F">
        <w:rPr>
          <w:color w:val="000000" w:themeColor="text1"/>
          <w:sz w:val="16"/>
          <w:szCs w:val="16"/>
        </w:rPr>
        <w:noBreakHyphen/>
        <w:t>6) (15460).</w:t>
      </w:r>
    </w:p>
    <w:p w14:paraId="47D311B5" w14:textId="77777777" w:rsidR="008A5189" w:rsidRPr="0044524F" w:rsidRDefault="008A5189" w:rsidP="009654CF">
      <w:pPr>
        <w:pStyle w:val="rtejustify"/>
        <w:spacing w:before="0" w:after="0"/>
        <w:rPr>
          <w:color w:val="000000" w:themeColor="text1"/>
          <w:sz w:val="16"/>
          <w:szCs w:val="16"/>
        </w:rPr>
      </w:pPr>
    </w:p>
    <w:p w14:paraId="075B166A"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C7782D3"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1FE2B9D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был выпущен циркуляр ОГПУ № 109:</w:t>
      </w:r>
    </w:p>
    <w:p w14:paraId="580010C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планомерного распределения и лучшего использования вновь осуждаемых специалистов ПП ОГПУ должны сообщать в ГУЛАГ ОГПУ о всех высококвалифицированных специалистах как осужденных Тройками ПП к лишению свободы, так и осужденных органами НКЮ, находящихся на территории данного ПП ОГПУ. В сведениях надо указывать фамилию, имя, отчество, кем и когда осужден, статью, срок, специальность, стаж, по-следнее место работы. Сведения высылаются на всех инженеров, техников, профессоров, научных работников, врачей, агрономов, плановиков-экономистов и крупных адмхозработников (директоров, членов правлений объединений и трестов). По получении от ПП ОГПУ сведений, ГУЛАГ ОГПУ будет выдавать индивидуальные наряды на отправление осужденных специалистов в лагеря» (7560).</w:t>
      </w:r>
    </w:p>
    <w:p w14:paraId="15904117"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A1DDBE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 последовал приказ по лагерю за № 362, в котором Фирин распорядился реорганизовать существовавшие в отделениях Дмитлага духовые оркестры в «Специальные освобожденные музкоманды», зачислить в центральный оркестр КВО прибывших из Вишлага заключенных-музыкантов и подготовить «инструкцию о порядке использования духовых оркестров, с установкой на обслуживание трассы в первую очередь» (7560).</w:t>
      </w:r>
    </w:p>
    <w:p w14:paraId="468B2BBA"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6419587B"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B6465B0"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159DE63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октября 1933 в ходе гос. испытаний ТБ-3 (АНТ-6) 22 завода N 22202 с 4М-34Р в качестве эталона на 34 год, которые проходили с 18 октября по 5 декабря 1933, был выполнен полет на километраж (2264,117).</w:t>
      </w:r>
    </w:p>
    <w:p w14:paraId="65954DDA"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BD892C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26 октября 1933 г. была подготовлена Сводка о ходе заводских испытаний с-та К-7 директора завода и Председателя комиссии по проведению полетных испытаний К.А.К. т члена комиссии и ответственного секретаря П.С.Ситникова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6F0D66D7" w14:textId="77777777">
        <w:tc>
          <w:tcPr>
            <w:tcW w:w="1384" w:type="dxa"/>
            <w:tcBorders>
              <w:top w:val="single" w:sz="12" w:space="0" w:color="auto"/>
            </w:tcBorders>
          </w:tcPr>
          <w:p w14:paraId="2E842D1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1FC3BAA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tc>
        <w:tc>
          <w:tcPr>
            <w:tcW w:w="1089" w:type="dxa"/>
            <w:tcBorders>
              <w:top w:val="single" w:sz="12" w:space="0" w:color="auto"/>
            </w:tcBorders>
          </w:tcPr>
          <w:p w14:paraId="32DC81F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5071DC4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B1BA46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2E7F91E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19FEACDE" w14:textId="77777777">
        <w:tc>
          <w:tcPr>
            <w:tcW w:w="1384" w:type="dxa"/>
          </w:tcPr>
          <w:p w14:paraId="702F461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августа 1933</w:t>
            </w:r>
          </w:p>
        </w:tc>
        <w:tc>
          <w:tcPr>
            <w:tcW w:w="2410" w:type="dxa"/>
          </w:tcPr>
          <w:p w14:paraId="60A076C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Проба мотора</w:t>
            </w:r>
          </w:p>
        </w:tc>
        <w:tc>
          <w:tcPr>
            <w:tcW w:w="1089" w:type="dxa"/>
          </w:tcPr>
          <w:p w14:paraId="06F8D64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c>
          <w:tcPr>
            <w:tcW w:w="3447" w:type="dxa"/>
          </w:tcPr>
          <w:p w14:paraId="1342426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7 моторов с-та работали нормально</w:t>
            </w:r>
          </w:p>
        </w:tc>
        <w:tc>
          <w:tcPr>
            <w:tcW w:w="1776" w:type="dxa"/>
          </w:tcPr>
          <w:p w14:paraId="6FFA61F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Поправки к электрическим счетчикам оборотов - 180-200</w:t>
            </w:r>
          </w:p>
        </w:tc>
        <w:tc>
          <w:tcPr>
            <w:tcW w:w="1105" w:type="dxa"/>
          </w:tcPr>
          <w:p w14:paraId="738D979F"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63B096F9" w14:textId="77777777">
        <w:tc>
          <w:tcPr>
            <w:tcW w:w="1384" w:type="dxa"/>
          </w:tcPr>
          <w:p w14:paraId="5A3A8F1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августа 1933</w:t>
            </w:r>
          </w:p>
        </w:tc>
        <w:tc>
          <w:tcPr>
            <w:tcW w:w="2410" w:type="dxa"/>
          </w:tcPr>
          <w:p w14:paraId="139092B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Взвешивание пустого с-та и определение ЦТ</w:t>
            </w:r>
          </w:p>
        </w:tc>
        <w:tc>
          <w:tcPr>
            <w:tcW w:w="1089" w:type="dxa"/>
          </w:tcPr>
          <w:p w14:paraId="2C5A42A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447" w:type="dxa"/>
          </w:tcPr>
          <w:p w14:paraId="1DBB493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конструкции пустого с-та - 22.900 кг. ЦТ расположен на 32,5% макс. аэродинамической хорды</w:t>
            </w:r>
          </w:p>
        </w:tc>
        <w:tc>
          <w:tcPr>
            <w:tcW w:w="1776" w:type="dxa"/>
          </w:tcPr>
          <w:p w14:paraId="34F4D9A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105" w:type="dxa"/>
          </w:tcPr>
          <w:p w14:paraId="304F0CF3"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2369B8D9" w14:textId="77777777">
        <w:tc>
          <w:tcPr>
            <w:tcW w:w="1384" w:type="dxa"/>
          </w:tcPr>
          <w:p w14:paraId="089CC05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8 августа 1933</w:t>
            </w:r>
          </w:p>
        </w:tc>
        <w:tc>
          <w:tcPr>
            <w:tcW w:w="2410" w:type="dxa"/>
          </w:tcPr>
          <w:p w14:paraId="008BF3C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рулежка с-та по аэродрому</w:t>
            </w:r>
          </w:p>
        </w:tc>
        <w:tc>
          <w:tcPr>
            <w:tcW w:w="1089" w:type="dxa"/>
          </w:tcPr>
          <w:p w14:paraId="1413937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0:25</w:t>
            </w:r>
          </w:p>
          <w:p w14:paraId="4E0C762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1:24</w:t>
            </w:r>
          </w:p>
          <w:p w14:paraId="4F1E61B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Рулежка: 0:49</w:t>
            </w:r>
          </w:p>
        </w:tc>
        <w:tc>
          <w:tcPr>
            <w:tcW w:w="3447" w:type="dxa"/>
          </w:tcPr>
          <w:p w14:paraId="5B96B47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рулежке достаточно работы 2-х моторов на 1000-1200 оборотов, машина разворачивается при даче усиленного газа одному из крайних моторов. Действие тормозов - удовлетворительное. Скррость рулежки - 25 км/час</w:t>
            </w:r>
          </w:p>
        </w:tc>
        <w:tc>
          <w:tcPr>
            <w:tcW w:w="1776" w:type="dxa"/>
          </w:tcPr>
          <w:p w14:paraId="3F95378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Регулировка рукояток управления газом - невполне удовлетворительная. Неудобство их расположения (устранено)</w:t>
            </w:r>
          </w:p>
          <w:p w14:paraId="5A80262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Слабые ограничители отклонений рулей поворота и глубины (устранены)</w:t>
            </w:r>
          </w:p>
        </w:tc>
        <w:tc>
          <w:tcPr>
            <w:tcW w:w="1105" w:type="dxa"/>
          </w:tcPr>
          <w:p w14:paraId="0143DC5E"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48A18419" w14:textId="77777777">
        <w:tc>
          <w:tcPr>
            <w:tcW w:w="1384" w:type="dxa"/>
          </w:tcPr>
          <w:p w14:paraId="29E5273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августа 1933</w:t>
            </w:r>
          </w:p>
        </w:tc>
        <w:tc>
          <w:tcPr>
            <w:tcW w:w="2410" w:type="dxa"/>
          </w:tcPr>
          <w:p w14:paraId="571F1C4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Вторая рулежка с-та К-7</w:t>
            </w:r>
          </w:p>
        </w:tc>
        <w:tc>
          <w:tcPr>
            <w:tcW w:w="1089" w:type="dxa"/>
          </w:tcPr>
          <w:p w14:paraId="5F8D7C9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0:42</w:t>
            </w:r>
          </w:p>
          <w:p w14:paraId="51F1A17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1:58</w:t>
            </w:r>
          </w:p>
          <w:p w14:paraId="3DCB5E2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Рулежка: 0:45</w:t>
            </w:r>
          </w:p>
        </w:tc>
        <w:tc>
          <w:tcPr>
            <w:tcW w:w="3447" w:type="dxa"/>
          </w:tcPr>
          <w:p w14:paraId="3DE8639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разворот с места на 180 гр. - 1:20</w:t>
            </w:r>
          </w:p>
          <w:p w14:paraId="1741C57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полный круг на 360 гр - 1:18, д - 69 м (против часовой)</w:t>
            </w:r>
          </w:p>
          <w:p w14:paraId="51413AC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то же по часовой - 0:59, д. 49 м</w:t>
            </w:r>
          </w:p>
          <w:p w14:paraId="4E77AD6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разворот на 180 гр. - 0:29</w:t>
            </w:r>
          </w:p>
          <w:p w14:paraId="6043C6C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скорость пробежки - 60 км/час</w:t>
            </w:r>
          </w:p>
          <w:p w14:paraId="232D4D8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непродолжительный отрыз от земли (1-2 сек)</w:t>
            </w:r>
          </w:p>
          <w:p w14:paraId="1C052032"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c>
          <w:tcPr>
            <w:tcW w:w="1776" w:type="dxa"/>
          </w:tcPr>
          <w:p w14:paraId="0BB0EF5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Разрыв покрышки и камеры Пальмер левого заднего колеса правого шасси (устранено)</w:t>
            </w:r>
          </w:p>
          <w:p w14:paraId="1DD99F0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Колебания хвостовых ферм и оперения 9устранено)</w:t>
            </w:r>
          </w:p>
        </w:tc>
        <w:tc>
          <w:tcPr>
            <w:tcW w:w="1105" w:type="dxa"/>
          </w:tcPr>
          <w:p w14:paraId="40B70758"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1CA7FBEA" w14:textId="77777777">
        <w:tc>
          <w:tcPr>
            <w:tcW w:w="1384" w:type="dxa"/>
          </w:tcPr>
          <w:p w14:paraId="775597B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августа 1933</w:t>
            </w:r>
          </w:p>
        </w:tc>
        <w:tc>
          <w:tcPr>
            <w:tcW w:w="2410" w:type="dxa"/>
          </w:tcPr>
          <w:p w14:paraId="29A9F8C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Третья рулежка с-та</w:t>
            </w:r>
          </w:p>
        </w:tc>
        <w:tc>
          <w:tcPr>
            <w:tcW w:w="1089" w:type="dxa"/>
          </w:tcPr>
          <w:p w14:paraId="78B9FE9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1:50</w:t>
            </w:r>
          </w:p>
          <w:p w14:paraId="1268392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Рулежка: 0:10</w:t>
            </w:r>
          </w:p>
        </w:tc>
        <w:tc>
          <w:tcPr>
            <w:tcW w:w="3447" w:type="dxa"/>
          </w:tcPr>
          <w:p w14:paraId="4365487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Исправное состояние вновь установленных колес</w:t>
            </w:r>
          </w:p>
        </w:tc>
        <w:tc>
          <w:tcPr>
            <w:tcW w:w="1776" w:type="dxa"/>
          </w:tcPr>
          <w:p w14:paraId="1F98BE2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Слабость запоров люков передней кромки крыла (устранено)</w:t>
            </w:r>
          </w:p>
        </w:tc>
        <w:tc>
          <w:tcPr>
            <w:tcW w:w="1105" w:type="dxa"/>
          </w:tcPr>
          <w:p w14:paraId="41C4240E"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1048AB98" w14:textId="77777777">
        <w:tc>
          <w:tcPr>
            <w:tcW w:w="1384" w:type="dxa"/>
          </w:tcPr>
          <w:p w14:paraId="7377F6C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августа 1933</w:t>
            </w:r>
          </w:p>
        </w:tc>
        <w:tc>
          <w:tcPr>
            <w:tcW w:w="2410" w:type="dxa"/>
          </w:tcPr>
          <w:p w14:paraId="5C43280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полет по прямой</w:t>
            </w:r>
          </w:p>
        </w:tc>
        <w:tc>
          <w:tcPr>
            <w:tcW w:w="1089" w:type="dxa"/>
          </w:tcPr>
          <w:p w14:paraId="1763789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0:15</w:t>
            </w:r>
          </w:p>
          <w:p w14:paraId="5E1565A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занял несколько секунд</w:t>
            </w:r>
          </w:p>
        </w:tc>
        <w:tc>
          <w:tcPr>
            <w:tcW w:w="3447" w:type="dxa"/>
          </w:tcPr>
          <w:p w14:paraId="75EAD2F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полета 5 м</w:t>
            </w:r>
          </w:p>
          <w:p w14:paraId="4CAB8F1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Посадка на задние колеса с переходом на передние</w:t>
            </w:r>
          </w:p>
          <w:p w14:paraId="6C9D44E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Нормальное действие элеронов и рулей глубины</w:t>
            </w:r>
          </w:p>
          <w:p w14:paraId="6868A90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рулями легкое, нормальная работа тормозов</w:t>
            </w:r>
          </w:p>
          <w:p w14:paraId="122884F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Показания электроческих счетчиков при разбеге - 1380 об/мин</w:t>
            </w:r>
          </w:p>
        </w:tc>
        <w:tc>
          <w:tcPr>
            <w:tcW w:w="1776" w:type="dxa"/>
          </w:tcPr>
          <w:p w14:paraId="378216B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Колебания хвостовой части и необходимость установки боковых подкосов от килей к стабилизатору (устранено)</w:t>
            </w:r>
          </w:p>
        </w:tc>
        <w:tc>
          <w:tcPr>
            <w:tcW w:w="1105" w:type="dxa"/>
          </w:tcPr>
          <w:p w14:paraId="14AEC859"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5B6C2483" w14:textId="77777777">
        <w:tc>
          <w:tcPr>
            <w:tcW w:w="1384" w:type="dxa"/>
          </w:tcPr>
          <w:p w14:paraId="4EEB8E9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августа 1933</w:t>
            </w:r>
          </w:p>
        </w:tc>
        <w:tc>
          <w:tcPr>
            <w:tcW w:w="2410" w:type="dxa"/>
          </w:tcPr>
          <w:p w14:paraId="3DCAA67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круговой полет с-та К-7. Проба машины, мотора и управления в воздухе</w:t>
            </w:r>
          </w:p>
        </w:tc>
        <w:tc>
          <w:tcPr>
            <w:tcW w:w="1089" w:type="dxa"/>
          </w:tcPr>
          <w:p w14:paraId="22616BD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0:05</w:t>
            </w:r>
          </w:p>
          <w:p w14:paraId="0E71EE1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1:21</w:t>
            </w:r>
          </w:p>
          <w:p w14:paraId="43C6E46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0:14</w:t>
            </w:r>
          </w:p>
        </w:tc>
        <w:tc>
          <w:tcPr>
            <w:tcW w:w="3447" w:type="dxa"/>
          </w:tcPr>
          <w:p w14:paraId="403548A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 12 гр. 200 м</w:t>
            </w:r>
          </w:p>
          <w:p w14:paraId="573093C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Посадка - нормальная, без торможения</w:t>
            </w:r>
          </w:p>
          <w:p w14:paraId="7DA1BE6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элеровнов - вполне удовлетворительная</w:t>
            </w:r>
          </w:p>
          <w:p w14:paraId="4111C34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стабилизатора - нормальная</w:t>
            </w:r>
          </w:p>
          <w:p w14:paraId="617DDA4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Тенженция машины - легко набирать высоту</w:t>
            </w:r>
          </w:p>
          <w:p w14:paraId="342CB5C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Устойчивость машины во всех плоскостях - нормальная</w:t>
            </w:r>
          </w:p>
        </w:tc>
        <w:tc>
          <w:tcPr>
            <w:tcW w:w="1776" w:type="dxa"/>
          </w:tcPr>
          <w:p w14:paraId="3247870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Эффективности рулей поворота не наблюдалось</w:t>
            </w:r>
          </w:p>
          <w:p w14:paraId="7D135C7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Значительные колебания рулей и серворулей, а также стабилизатора и хвостовых ферм (устранено)</w:t>
            </w:r>
          </w:p>
          <w:p w14:paraId="6AD06F3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Течь водорадиаторов обоих средних моторов (устранено)</w:t>
            </w:r>
          </w:p>
          <w:p w14:paraId="5948882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Температура воды левого 3-го мотора - 105</w:t>
            </w:r>
          </w:p>
          <w:p w14:paraId="4E9BDF9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Разрыв тросса управления правого серворуля (устранено)</w:t>
            </w:r>
          </w:p>
          <w:p w14:paraId="4CDC754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Необходимость удаления компенсации серворулей</w:t>
            </w:r>
          </w:p>
          <w:p w14:paraId="408BCFB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сильно дымят, особенно при взлете</w:t>
            </w:r>
          </w:p>
        </w:tc>
        <w:tc>
          <w:tcPr>
            <w:tcW w:w="1105" w:type="dxa"/>
          </w:tcPr>
          <w:p w14:paraId="4EACEF7B"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3DA67D12" w14:textId="77777777">
        <w:tc>
          <w:tcPr>
            <w:tcW w:w="1384" w:type="dxa"/>
          </w:tcPr>
          <w:p w14:paraId="5EC1A5D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сентября 1933</w:t>
            </w:r>
          </w:p>
        </w:tc>
        <w:tc>
          <w:tcPr>
            <w:tcW w:w="2410" w:type="dxa"/>
          </w:tcPr>
          <w:p w14:paraId="4603B9F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пробежки по аэродрому.</w:t>
            </w:r>
          </w:p>
          <w:p w14:paraId="18020D8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 по прямой после удаления компенсации серворулей, изменения крепления троссов, соединения обеих половин стабилизатора в одно целое и установки лонжерона верхнего плана с внутренними подкосами хвостового оперения</w:t>
            </w:r>
          </w:p>
        </w:tc>
        <w:tc>
          <w:tcPr>
            <w:tcW w:w="1089" w:type="dxa"/>
          </w:tcPr>
          <w:p w14:paraId="21CEA56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- 0:08</w:t>
            </w:r>
          </w:p>
          <w:p w14:paraId="0FAB34D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- 2:13</w:t>
            </w:r>
          </w:p>
        </w:tc>
        <w:tc>
          <w:tcPr>
            <w:tcW w:w="3447" w:type="dxa"/>
          </w:tcPr>
          <w:p w14:paraId="3616AAD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взлетов - 2-3 метра, отрыв от земли - через 12-15 секунд, посадки - нормальные</w:t>
            </w:r>
          </w:p>
          <w:p w14:paraId="1EA5D82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Эффективность действия рулей глубины - нормальная</w:t>
            </w:r>
          </w:p>
          <w:p w14:paraId="5B62DB7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взлете - 60 км/час</w:t>
            </w:r>
          </w:p>
        </w:tc>
        <w:tc>
          <w:tcPr>
            <w:tcW w:w="1776" w:type="dxa"/>
          </w:tcPr>
          <w:p w14:paraId="7A892E2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Стремление с-та поворачивать при разбеге 9устранено)</w:t>
            </w:r>
          </w:p>
          <w:p w14:paraId="7BBC7F8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реагирования на рули поворота (устранено)</w:t>
            </w:r>
          </w:p>
          <w:p w14:paraId="09757DD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Течь водяного радиатора второго левого мотора (устранено)</w:t>
            </w:r>
          </w:p>
        </w:tc>
        <w:tc>
          <w:tcPr>
            <w:tcW w:w="1105" w:type="dxa"/>
          </w:tcPr>
          <w:p w14:paraId="7B6A720E"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05B38DB7" w14:textId="77777777">
        <w:tc>
          <w:tcPr>
            <w:tcW w:w="1384" w:type="dxa"/>
          </w:tcPr>
          <w:p w14:paraId="3718EA4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сентября 1933</w:t>
            </w:r>
          </w:p>
        </w:tc>
        <w:tc>
          <w:tcPr>
            <w:tcW w:w="2410" w:type="dxa"/>
          </w:tcPr>
          <w:p w14:paraId="51E0EF0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взлета по прямой</w:t>
            </w:r>
          </w:p>
          <w:p w14:paraId="3D3F9B3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Проверка действия рулей поворота и обтекания деталей оперения</w:t>
            </w:r>
          </w:p>
        </w:tc>
        <w:tc>
          <w:tcPr>
            <w:tcW w:w="1089" w:type="dxa"/>
          </w:tcPr>
          <w:p w14:paraId="4C32707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- 0:05</w:t>
            </w:r>
          </w:p>
          <w:p w14:paraId="4612274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- 1:28</w:t>
            </w:r>
          </w:p>
        </w:tc>
        <w:tc>
          <w:tcPr>
            <w:tcW w:w="3447" w:type="dxa"/>
          </w:tcPr>
          <w:p w14:paraId="4179ADA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взлетов - 3-4 м.</w:t>
            </w:r>
          </w:p>
          <w:p w14:paraId="7407B7D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Отклонение серворулей и рулей поваорота отвечает движению педалей.</w:t>
            </w:r>
          </w:p>
          <w:p w14:paraId="672544B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Обтекание частей оперения воздушным потоком - нормальное (по флюгерным лентам)</w:t>
            </w:r>
          </w:p>
        </w:tc>
        <w:tc>
          <w:tcPr>
            <w:tcW w:w="1776" w:type="dxa"/>
          </w:tcPr>
          <w:p w14:paraId="1BCB145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Недостаточная эффективность рулей поворота</w:t>
            </w:r>
          </w:p>
        </w:tc>
        <w:tc>
          <w:tcPr>
            <w:tcW w:w="1105" w:type="dxa"/>
          </w:tcPr>
          <w:p w14:paraId="58D886AD"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250C2ADC" w14:textId="77777777">
        <w:tc>
          <w:tcPr>
            <w:tcW w:w="1384" w:type="dxa"/>
          </w:tcPr>
          <w:p w14:paraId="54506A6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val="en-US"/>
              </w:rPr>
              <w:t xml:space="preserve">22 </w:t>
            </w:r>
            <w:r w:rsidRPr="0044524F">
              <w:rPr>
                <w:rFonts w:ascii="Times New Roman" w:hAnsi="Times New Roman"/>
                <w:color w:val="000000" w:themeColor="text1"/>
                <w:sz w:val="16"/>
                <w:szCs w:val="16"/>
              </w:rPr>
              <w:t>сентября</w:t>
            </w:r>
            <w:r w:rsidRPr="0044524F">
              <w:rPr>
                <w:rFonts w:ascii="Times New Roman" w:hAnsi="Times New Roman"/>
                <w:color w:val="000000" w:themeColor="text1"/>
                <w:sz w:val="16"/>
                <w:szCs w:val="16"/>
                <w:lang w:val="en-US"/>
              </w:rPr>
              <w:t xml:space="preserve"> 1933</w:t>
            </w:r>
          </w:p>
        </w:tc>
        <w:tc>
          <w:tcPr>
            <w:tcW w:w="2410" w:type="dxa"/>
          </w:tcPr>
          <w:p w14:paraId="2C0F428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круговой полет с целью проверки управляемости машины и наличия колебаний хвостовой части</w:t>
            </w:r>
          </w:p>
        </w:tc>
        <w:tc>
          <w:tcPr>
            <w:tcW w:w="1089" w:type="dxa"/>
          </w:tcPr>
          <w:p w14:paraId="6078A6C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- 0:08</w:t>
            </w:r>
          </w:p>
          <w:p w14:paraId="0FA25FA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- 2:10</w:t>
            </w:r>
          </w:p>
        </w:tc>
        <w:tc>
          <w:tcPr>
            <w:tcW w:w="3447" w:type="dxa"/>
          </w:tcPr>
          <w:p w14:paraId="633B86B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колебаний хвостовой части, кратковременное появление колебаний (3-4 сек.), устранимое изменением режима заднего мотора</w:t>
            </w:r>
          </w:p>
          <w:p w14:paraId="7DAB210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Нормальная работа элеронов и рулей глубины</w:t>
            </w:r>
          </w:p>
          <w:p w14:paraId="291EAC2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Реагирование с-та на действие ножного управления</w:t>
            </w:r>
          </w:p>
        </w:tc>
        <w:tc>
          <w:tcPr>
            <w:tcW w:w="1776" w:type="dxa"/>
          </w:tcPr>
          <w:p w14:paraId="18BF77B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Недостаточная эффективность рулей поворота на малых скоростях</w:t>
            </w:r>
          </w:p>
        </w:tc>
        <w:tc>
          <w:tcPr>
            <w:tcW w:w="1105" w:type="dxa"/>
          </w:tcPr>
          <w:p w14:paraId="04615525"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1214F780" w14:textId="77777777">
        <w:tc>
          <w:tcPr>
            <w:tcW w:w="1384" w:type="dxa"/>
          </w:tcPr>
          <w:p w14:paraId="5ED4F929" w14:textId="77777777" w:rsidR="001E1317" w:rsidRPr="0044524F" w:rsidRDefault="001E1317" w:rsidP="009654CF">
            <w:pPr>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rPr>
              <w:t>25 сентября 1933</w:t>
            </w:r>
          </w:p>
        </w:tc>
        <w:tc>
          <w:tcPr>
            <w:tcW w:w="2410" w:type="dxa"/>
          </w:tcPr>
          <w:p w14:paraId="2B677F6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Третий полет с целью проверки рулей поворота после увеличения углов их </w:t>
            </w:r>
            <w:r w:rsidRPr="0044524F">
              <w:rPr>
                <w:rFonts w:ascii="Times New Roman" w:hAnsi="Times New Roman"/>
                <w:color w:val="000000" w:themeColor="text1"/>
                <w:sz w:val="16"/>
                <w:szCs w:val="16"/>
              </w:rPr>
              <w:lastRenderedPageBreak/>
              <w:t>отклонения и изучение вопроса о колебаниях и вибрациях</w:t>
            </w:r>
          </w:p>
        </w:tc>
        <w:tc>
          <w:tcPr>
            <w:tcW w:w="1089" w:type="dxa"/>
          </w:tcPr>
          <w:p w14:paraId="3C9030C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Запуск моторов - 0:10</w:t>
            </w:r>
          </w:p>
          <w:p w14:paraId="02ACBE6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Работа моторов - 1:14</w:t>
            </w:r>
          </w:p>
          <w:p w14:paraId="38123DE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- 0:27</w:t>
            </w:r>
          </w:p>
        </w:tc>
        <w:tc>
          <w:tcPr>
            <w:tcW w:w="3447" w:type="dxa"/>
          </w:tcPr>
          <w:p w14:paraId="2EDDACC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Отрыв от земли на скорости 100 км.</w:t>
            </w:r>
          </w:p>
          <w:p w14:paraId="0939067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полета 300 м, скорость до 170 км/час</w:t>
            </w:r>
          </w:p>
          <w:p w14:paraId="6BB9A5F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колебаний хвостовой части</w:t>
            </w:r>
          </w:p>
          <w:p w14:paraId="4C220C4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Самолет на действия рулей реагирует, но недостаточно</w:t>
            </w:r>
          </w:p>
        </w:tc>
        <w:tc>
          <w:tcPr>
            <w:tcW w:w="1776" w:type="dxa"/>
          </w:tcPr>
          <w:p w14:paraId="513D647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Занос с-та при старте влево (устранено)</w:t>
            </w:r>
          </w:p>
          <w:p w14:paraId="3B4337C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Действие рулей с-та - несколько слабее нормального.</w:t>
            </w:r>
          </w:p>
          <w:p w14:paraId="1CC01A1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Мал положительный угол стабилизатора (устранено)</w:t>
            </w:r>
          </w:p>
          <w:p w14:paraId="10B50EA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Течь радиатора третьего правого мотора (устранена)</w:t>
            </w:r>
          </w:p>
          <w:p w14:paraId="0CFF64D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Недостаточны углы отклонения серворулей поворота (устранено)</w:t>
            </w:r>
          </w:p>
        </w:tc>
        <w:tc>
          <w:tcPr>
            <w:tcW w:w="1105" w:type="dxa"/>
          </w:tcPr>
          <w:p w14:paraId="3CCCA64F"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75416510" w14:textId="77777777">
        <w:tc>
          <w:tcPr>
            <w:tcW w:w="1384" w:type="dxa"/>
          </w:tcPr>
          <w:p w14:paraId="496791F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октября 1933</w:t>
            </w:r>
          </w:p>
        </w:tc>
        <w:tc>
          <w:tcPr>
            <w:tcW w:w="2410" w:type="dxa"/>
          </w:tcPr>
          <w:p w14:paraId="2557678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4-й полет после увеличения углов серворулей поворота и положительного угла стабилизатора</w:t>
            </w:r>
          </w:p>
        </w:tc>
        <w:tc>
          <w:tcPr>
            <w:tcW w:w="1089" w:type="dxa"/>
          </w:tcPr>
          <w:p w14:paraId="252A913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- 0:10</w:t>
            </w:r>
          </w:p>
          <w:p w14:paraId="6D128EA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- 1:26</w:t>
            </w:r>
          </w:p>
          <w:p w14:paraId="7BF8618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- 0:27</w:t>
            </w:r>
          </w:p>
        </w:tc>
        <w:tc>
          <w:tcPr>
            <w:tcW w:w="3447" w:type="dxa"/>
          </w:tcPr>
          <w:p w14:paraId="02C3753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 18 сек., высота 370 м</w:t>
            </w:r>
          </w:p>
          <w:p w14:paraId="1F74260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хорошо выдерживает прямую при старте.</w:t>
            </w:r>
          </w:p>
          <w:p w14:paraId="45E3C81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Пробег - 327 м.</w:t>
            </w:r>
          </w:p>
          <w:p w14:paraId="4E7FFA4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шел с отпущенным управлением</w:t>
            </w:r>
          </w:p>
          <w:p w14:paraId="1EB0C95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до 190 км/час, максимальное число оборотов по электрическому счетчику - 1450.</w:t>
            </w:r>
          </w:p>
          <w:p w14:paraId="7F29B34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Посадка при положительном угле стабилизатора (не соответствует посадочному)</w:t>
            </w:r>
          </w:p>
          <w:p w14:paraId="7DCF70F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29 т</w:t>
            </w:r>
          </w:p>
        </w:tc>
        <w:tc>
          <w:tcPr>
            <w:tcW w:w="1776" w:type="dxa"/>
          </w:tcPr>
          <w:p w14:paraId="1A2EEE7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Слабая эффективность рулей поворота.</w:t>
            </w:r>
          </w:p>
          <w:p w14:paraId="157FCAA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Большие нагрузки на ноги пилота.</w:t>
            </w:r>
          </w:p>
          <w:p w14:paraId="628E976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Течь водяного радиатора первого левого мотора (устранено)</w:t>
            </w:r>
          </w:p>
        </w:tc>
        <w:tc>
          <w:tcPr>
            <w:tcW w:w="1105" w:type="dxa"/>
          </w:tcPr>
          <w:p w14:paraId="13531460"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76B3454B" w14:textId="77777777">
        <w:tc>
          <w:tcPr>
            <w:tcW w:w="1384" w:type="dxa"/>
          </w:tcPr>
          <w:p w14:paraId="68CF0DD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w:t>
            </w:r>
          </w:p>
        </w:tc>
        <w:tc>
          <w:tcPr>
            <w:tcW w:w="2410" w:type="dxa"/>
          </w:tcPr>
          <w:p w14:paraId="6A5415F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Пятый полет после восстановления компенсации серворулей поворота с целью проверки их действия</w:t>
            </w:r>
          </w:p>
        </w:tc>
        <w:tc>
          <w:tcPr>
            <w:tcW w:w="1089" w:type="dxa"/>
          </w:tcPr>
          <w:p w14:paraId="36DBFC3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- 0:6</w:t>
            </w:r>
          </w:p>
          <w:p w14:paraId="3067FFD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- 1:07</w:t>
            </w:r>
          </w:p>
          <w:p w14:paraId="20CE622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- 0:7,5</w:t>
            </w:r>
          </w:p>
        </w:tc>
        <w:tc>
          <w:tcPr>
            <w:tcW w:w="3447" w:type="dxa"/>
          </w:tcPr>
          <w:p w14:paraId="2898287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120 м</w:t>
            </w:r>
          </w:p>
        </w:tc>
        <w:tc>
          <w:tcPr>
            <w:tcW w:w="1776" w:type="dxa"/>
          </w:tcPr>
          <w:p w14:paraId="705637B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Колебания рулей и серворулей во время полета.</w:t>
            </w:r>
          </w:p>
          <w:p w14:paraId="36A3A44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уменьшить компенсацию (устранено)</w:t>
            </w:r>
          </w:p>
        </w:tc>
        <w:tc>
          <w:tcPr>
            <w:tcW w:w="1105" w:type="dxa"/>
          </w:tcPr>
          <w:p w14:paraId="3EE1C79A"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585E7A49" w14:textId="77777777">
        <w:tc>
          <w:tcPr>
            <w:tcW w:w="1384" w:type="dxa"/>
          </w:tcPr>
          <w:p w14:paraId="5676531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октября 1933</w:t>
            </w:r>
          </w:p>
        </w:tc>
        <w:tc>
          <w:tcPr>
            <w:tcW w:w="2410" w:type="dxa"/>
          </w:tcPr>
          <w:p w14:paraId="145E9B8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6-й полет после уменьшения компенсации серворулей поворота</w:t>
            </w:r>
          </w:p>
        </w:tc>
        <w:tc>
          <w:tcPr>
            <w:tcW w:w="1089" w:type="dxa"/>
          </w:tcPr>
          <w:p w14:paraId="0C80914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Запуск моторов - 0:7</w:t>
            </w:r>
          </w:p>
          <w:p w14:paraId="3B51724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моторов - 2:02</w:t>
            </w:r>
          </w:p>
          <w:p w14:paraId="3E9B18A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- 0:25</w:t>
            </w:r>
          </w:p>
        </w:tc>
        <w:tc>
          <w:tcPr>
            <w:tcW w:w="3447" w:type="dxa"/>
          </w:tcPr>
          <w:p w14:paraId="5F0E150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 - 20 сек., 244 м</w:t>
            </w:r>
          </w:p>
          <w:p w14:paraId="3A49EDF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Пробег 195 м</w:t>
            </w:r>
          </w:p>
          <w:p w14:paraId="413ABB3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29,5 т</w:t>
            </w:r>
          </w:p>
          <w:p w14:paraId="052D772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1150 м</w:t>
            </w:r>
          </w:p>
          <w:p w14:paraId="3C40561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Набор 1000 м - 9 мин.</w:t>
            </w:r>
          </w:p>
          <w:p w14:paraId="0B33FBD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Нормальное действие серворулей и рулей поворота</w:t>
            </w:r>
          </w:p>
          <w:p w14:paraId="64520DA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- 180 км/час</w:t>
            </w:r>
          </w:p>
        </w:tc>
        <w:tc>
          <w:tcPr>
            <w:tcW w:w="1776" w:type="dxa"/>
          </w:tcPr>
          <w:p w14:paraId="3AE2744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Слабость обшивки около заднего мотора и в передних лазах шасси (устранено)</w:t>
            </w:r>
          </w:p>
        </w:tc>
        <w:tc>
          <w:tcPr>
            <w:tcW w:w="1105" w:type="dxa"/>
          </w:tcPr>
          <w:p w14:paraId="1C93422D"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547AE9FE" w14:textId="77777777">
        <w:tc>
          <w:tcPr>
            <w:tcW w:w="1384" w:type="dxa"/>
            <w:tcBorders>
              <w:bottom w:val="single" w:sz="12" w:space="0" w:color="auto"/>
            </w:tcBorders>
          </w:tcPr>
          <w:p w14:paraId="3B86165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октября 1933</w:t>
            </w:r>
          </w:p>
        </w:tc>
        <w:tc>
          <w:tcPr>
            <w:tcW w:w="2410" w:type="dxa"/>
            <w:tcBorders>
              <w:bottom w:val="single" w:sz="12" w:space="0" w:color="auto"/>
            </w:tcBorders>
          </w:tcPr>
          <w:p w14:paraId="2214D17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7-й полет</w:t>
            </w:r>
          </w:p>
        </w:tc>
        <w:tc>
          <w:tcPr>
            <w:tcW w:w="1089" w:type="dxa"/>
            <w:tcBorders>
              <w:bottom w:val="single" w:sz="12" w:space="0" w:color="auto"/>
            </w:tcBorders>
          </w:tcPr>
          <w:p w14:paraId="13B3A5D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32 мин.</w:t>
            </w:r>
          </w:p>
        </w:tc>
        <w:tc>
          <w:tcPr>
            <w:tcW w:w="3447" w:type="dxa"/>
            <w:tcBorders>
              <w:bottom w:val="single" w:sz="12" w:space="0" w:color="auto"/>
            </w:tcBorders>
          </w:tcPr>
          <w:p w14:paraId="6DEE992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 - 20 сек., 311 м</w:t>
            </w:r>
          </w:p>
          <w:p w14:paraId="75772C4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Пробег - 23,5 сек., 380 м</w:t>
            </w:r>
          </w:p>
          <w:p w14:paraId="77EADDB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700 м</w:t>
            </w:r>
          </w:p>
          <w:p w14:paraId="084960D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хорошо держит прямую при старте.</w:t>
            </w:r>
          </w:p>
          <w:p w14:paraId="021424F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взлете замерена максимальная скорость - 205 км/час</w:t>
            </w:r>
          </w:p>
          <w:p w14:paraId="59DA046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руля поворота - нормальная</w:t>
            </w:r>
          </w:p>
        </w:tc>
        <w:tc>
          <w:tcPr>
            <w:tcW w:w="1776" w:type="dxa"/>
            <w:tcBorders>
              <w:bottom w:val="single" w:sz="12" w:space="0" w:color="auto"/>
            </w:tcBorders>
          </w:tcPr>
          <w:p w14:paraId="1BE8790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Течь водорадиатора первого правого мотора (устранено)</w:t>
            </w:r>
          </w:p>
        </w:tc>
        <w:tc>
          <w:tcPr>
            <w:tcW w:w="1105" w:type="dxa"/>
            <w:tcBorders>
              <w:bottom w:val="single" w:sz="12" w:space="0" w:color="auto"/>
            </w:tcBorders>
          </w:tcPr>
          <w:p w14:paraId="4077F190"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bl>
    <w:p w14:paraId="0A6F967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75EBD088"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72ABDCED" w14:textId="77777777" w:rsidR="00F46121"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647631D" w14:textId="77777777" w:rsidR="00F46121" w:rsidRPr="0044524F" w:rsidRDefault="00F46121" w:rsidP="009654CF">
      <w:pPr>
        <w:spacing w:after="0" w:line="240" w:lineRule="auto"/>
        <w:jc w:val="both"/>
        <w:rPr>
          <w:rFonts w:ascii="Times New Roman" w:hAnsi="Times New Roman"/>
          <w:iCs/>
          <w:color w:val="000000" w:themeColor="text1"/>
          <w:sz w:val="16"/>
          <w:szCs w:val="16"/>
        </w:rPr>
      </w:pPr>
    </w:p>
    <w:p w14:paraId="3BB2227B" w14:textId="77777777" w:rsidR="00671E59" w:rsidRPr="0044524F" w:rsidRDefault="00671E59" w:rsidP="009654CF">
      <w:pPr>
        <w:pStyle w:val="rtejustify"/>
        <w:spacing w:before="0" w:after="0"/>
        <w:rPr>
          <w:color w:val="000000" w:themeColor="text1"/>
          <w:sz w:val="16"/>
          <w:szCs w:val="16"/>
        </w:rPr>
      </w:pPr>
      <w:r w:rsidRPr="0044524F">
        <w:rPr>
          <w:rStyle w:val="af0"/>
          <w:bCs/>
          <w:i w:val="0"/>
          <w:color w:val="000000" w:themeColor="text1"/>
          <w:sz w:val="16"/>
          <w:szCs w:val="16"/>
        </w:rPr>
        <w:t>26/27октября 1933 вышел приказ НКТП № 195сс.</w:t>
      </w:r>
      <w:r w:rsidRPr="0044524F">
        <w:rPr>
          <w:color w:val="000000" w:themeColor="text1"/>
          <w:sz w:val="16"/>
          <w:szCs w:val="16"/>
        </w:rPr>
        <w:t xml:space="preserve"> О введении в действие мобплана М</w:t>
      </w:r>
      <w:r w:rsidRPr="0044524F">
        <w:rPr>
          <w:color w:val="000000" w:themeColor="text1"/>
          <w:sz w:val="16"/>
          <w:szCs w:val="16"/>
        </w:rPr>
        <w:noBreakHyphen/>
        <w:t>3 по удовлетворению заявки НКВМ СССР на год войны на предприятиях НКТП СССР. (РГАЭ. Ф. 7297. Оп. 38. Д. 38. Л. 273</w:t>
      </w:r>
      <w:r w:rsidRPr="0044524F">
        <w:rPr>
          <w:color w:val="000000" w:themeColor="text1"/>
          <w:sz w:val="16"/>
          <w:szCs w:val="16"/>
        </w:rPr>
        <w:noBreakHyphen/>
        <w:t>272) (15246).</w:t>
      </w:r>
    </w:p>
    <w:p w14:paraId="3BE1A572" w14:textId="77777777" w:rsidR="00671E59" w:rsidRPr="0044524F" w:rsidRDefault="00671E59" w:rsidP="009654CF">
      <w:pPr>
        <w:pStyle w:val="rtejustify"/>
        <w:spacing w:before="0" w:after="0"/>
        <w:rPr>
          <w:color w:val="000000" w:themeColor="text1"/>
          <w:sz w:val="16"/>
          <w:szCs w:val="16"/>
        </w:rPr>
      </w:pPr>
    </w:p>
    <w:p w14:paraId="0194FA2C"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26 октября 1933 года УММ РККА за</w:t>
      </w:r>
      <w:r w:rsidRPr="00142305">
        <w:rPr>
          <w:rFonts w:ascii="Times New Roman" w:hAnsi="Times New Roman"/>
          <w:color w:val="0070C0"/>
          <w:sz w:val="16"/>
          <w:szCs w:val="16"/>
        </w:rPr>
        <w:softHyphen/>
        <w:t>ключило с Автотанковым бюро (АТБ) ЭКУ ОГПУ договор на разработ</w:t>
      </w:r>
      <w:r w:rsidRPr="00142305">
        <w:rPr>
          <w:rFonts w:ascii="Times New Roman" w:hAnsi="Times New Roman"/>
          <w:color w:val="0070C0"/>
          <w:sz w:val="16"/>
          <w:szCs w:val="16"/>
        </w:rPr>
        <w:softHyphen/>
        <w:t>ку и изготовление танка БТ с мелкозвенчатой гусеницей и 76-мм пушкой. Эта ра</w:t>
      </w:r>
      <w:r w:rsidRPr="00142305">
        <w:rPr>
          <w:rFonts w:ascii="Times New Roman" w:hAnsi="Times New Roman"/>
          <w:color w:val="0070C0"/>
          <w:sz w:val="16"/>
          <w:szCs w:val="16"/>
        </w:rPr>
        <w:softHyphen/>
        <w:t>бота проводилась в 1933 — 1934 годах на заводе «Красный пролетарий» в Москве, куда УММ передало танк БТ-2. В октяб</w:t>
      </w:r>
      <w:r w:rsidRPr="00142305">
        <w:rPr>
          <w:rFonts w:ascii="Times New Roman" w:hAnsi="Times New Roman"/>
          <w:color w:val="0070C0"/>
          <w:sz w:val="16"/>
          <w:szCs w:val="16"/>
        </w:rPr>
        <w:softHyphen/>
        <w:t>ре 1934 года модернизацию машины за</w:t>
      </w:r>
      <w:r w:rsidRPr="00142305">
        <w:rPr>
          <w:rFonts w:ascii="Times New Roman" w:hAnsi="Times New Roman"/>
          <w:color w:val="0070C0"/>
          <w:sz w:val="16"/>
          <w:szCs w:val="16"/>
        </w:rPr>
        <w:softHyphen/>
        <w:t>кончили. Танк получил новую башню с 76-мм орудием и пулеметом ДТ, для ус</w:t>
      </w:r>
      <w:r w:rsidRPr="00142305">
        <w:rPr>
          <w:rFonts w:ascii="Times New Roman" w:hAnsi="Times New Roman"/>
          <w:color w:val="0070C0"/>
          <w:sz w:val="16"/>
          <w:szCs w:val="16"/>
        </w:rPr>
        <w:softHyphen/>
        <w:t>тановки которой пришлось переделать верх корпуса и укладку снарядов. Транс</w:t>
      </w:r>
      <w:r w:rsidRPr="00142305">
        <w:rPr>
          <w:rFonts w:ascii="Times New Roman" w:hAnsi="Times New Roman"/>
          <w:color w:val="0070C0"/>
          <w:sz w:val="16"/>
          <w:szCs w:val="16"/>
        </w:rPr>
        <w:softHyphen/>
        <w:t>миссия, ведущие колеса и ленивцы бы</w:t>
      </w:r>
      <w:r w:rsidRPr="00142305">
        <w:rPr>
          <w:rFonts w:ascii="Times New Roman" w:hAnsi="Times New Roman"/>
          <w:color w:val="0070C0"/>
          <w:sz w:val="16"/>
          <w:szCs w:val="16"/>
        </w:rPr>
        <w:softHyphen/>
        <w:t>ли переконструированы под мелкозвенчатую гусеницу (по типу танка ПТ-1). Но вскоре в связи с ликвидацией АТБ все проводимые им работы в области танкостроения передали заводу Опыт</w:t>
      </w:r>
      <w:r w:rsidRPr="00142305">
        <w:rPr>
          <w:rFonts w:ascii="Times New Roman" w:hAnsi="Times New Roman"/>
          <w:color w:val="0070C0"/>
          <w:sz w:val="16"/>
          <w:szCs w:val="16"/>
        </w:rPr>
        <w:softHyphen/>
        <w:t>ного машиностроения Спецмаштреста в Ленинграде, который, в свою очередь, всячески от них отказывался, ссылаясь на отсутствие средств. Дальнейшая судьба модернизированного БТ-2 неиз</w:t>
      </w:r>
      <w:r w:rsidRPr="00142305">
        <w:rPr>
          <w:rFonts w:ascii="Times New Roman" w:hAnsi="Times New Roman"/>
          <w:color w:val="0070C0"/>
          <w:sz w:val="16"/>
          <w:szCs w:val="16"/>
        </w:rPr>
        <w:softHyphen/>
        <w:t>вестна, вероятнее всего, машина была разобрана (25009.</w:t>
      </w:r>
    </w:p>
    <w:p w14:paraId="4B4E1990" w14:textId="77777777" w:rsidR="00022A55" w:rsidRPr="00142305" w:rsidRDefault="00022A55" w:rsidP="00022A55">
      <w:pPr>
        <w:spacing w:after="0" w:line="240" w:lineRule="auto"/>
        <w:jc w:val="both"/>
        <w:rPr>
          <w:rFonts w:ascii="Times New Roman" w:hAnsi="Times New Roman"/>
          <w:color w:val="0070C0"/>
          <w:sz w:val="16"/>
          <w:szCs w:val="16"/>
        </w:rPr>
      </w:pPr>
    </w:p>
    <w:p w14:paraId="5A94DB4E" w14:textId="77777777" w:rsidR="00671E59" w:rsidRPr="0044524F" w:rsidRDefault="00671E59" w:rsidP="009654CF">
      <w:pPr>
        <w:pStyle w:val="rtejustify"/>
        <w:spacing w:before="0" w:after="0"/>
        <w:rPr>
          <w:color w:val="000000" w:themeColor="text1"/>
          <w:sz w:val="16"/>
          <w:szCs w:val="16"/>
        </w:rPr>
      </w:pPr>
      <w:r w:rsidRPr="0044524F">
        <w:rPr>
          <w:rStyle w:val="af0"/>
          <w:bCs/>
          <w:i w:val="0"/>
          <w:color w:val="000000" w:themeColor="text1"/>
          <w:sz w:val="16"/>
          <w:szCs w:val="16"/>
        </w:rPr>
        <w:t>26 октября 1933 вышел приказ НКТП № 197сс.</w:t>
      </w:r>
      <w:r w:rsidRPr="0044524F">
        <w:rPr>
          <w:color w:val="000000" w:themeColor="text1"/>
          <w:sz w:val="16"/>
          <w:szCs w:val="16"/>
        </w:rPr>
        <w:t xml:space="preserve"> О созыве конференции по организации научно-исследовательских работ в области порохов, взрывчатых веществ и снаряжения. (РГАЭ. Ф. 7297. Оп. 38. Д. 38. Л. 160) (15246).</w:t>
      </w:r>
    </w:p>
    <w:p w14:paraId="1BAE37D3" w14:textId="77777777" w:rsidR="00671E59" w:rsidRPr="0044524F" w:rsidRDefault="00671E59" w:rsidP="009654CF">
      <w:pPr>
        <w:pStyle w:val="rtejustify"/>
        <w:spacing w:before="0" w:after="0"/>
        <w:rPr>
          <w:color w:val="000000" w:themeColor="text1"/>
          <w:sz w:val="16"/>
          <w:szCs w:val="16"/>
        </w:rPr>
      </w:pPr>
    </w:p>
    <w:p w14:paraId="05A05021" w14:textId="77777777" w:rsidR="00F46121" w:rsidRPr="0044524F" w:rsidRDefault="00F46121" w:rsidP="009654CF">
      <w:pPr>
        <w:pStyle w:val="rtejustify"/>
        <w:spacing w:before="0" w:after="0"/>
        <w:rPr>
          <w:color w:val="000000" w:themeColor="text1"/>
          <w:sz w:val="16"/>
          <w:szCs w:val="16"/>
        </w:rPr>
      </w:pPr>
      <w:r w:rsidRPr="0044524F">
        <w:rPr>
          <w:rStyle w:val="af0"/>
          <w:bCs/>
          <w:i w:val="0"/>
          <w:color w:val="000000" w:themeColor="text1"/>
          <w:sz w:val="16"/>
          <w:szCs w:val="16"/>
        </w:rPr>
        <w:t>26 октября 1933 вышел приказ НКТП № 190сс.</w:t>
      </w:r>
      <w:r w:rsidRPr="0044524F">
        <w:rPr>
          <w:color w:val="000000" w:themeColor="text1"/>
          <w:sz w:val="16"/>
          <w:szCs w:val="16"/>
        </w:rPr>
        <w:t xml:space="preserve"> О работах по изготовлению дистанционных трубок на заводе «Прогресс» под руководством инженера П. К. Георгиева. (РГАЭ. Ф. 7297. Оп. 38. Д. 38. Л. 145</w:t>
      </w:r>
      <w:r w:rsidRPr="0044524F">
        <w:rPr>
          <w:color w:val="000000" w:themeColor="text1"/>
          <w:sz w:val="16"/>
          <w:szCs w:val="16"/>
        </w:rPr>
        <w:noBreakHyphen/>
        <w:t>144) (15246).</w:t>
      </w:r>
    </w:p>
    <w:p w14:paraId="722EB77C" w14:textId="77777777" w:rsidR="00F46121" w:rsidRPr="0044524F" w:rsidRDefault="00F46121" w:rsidP="009654CF">
      <w:pPr>
        <w:pStyle w:val="rtejustify"/>
        <w:spacing w:before="0" w:after="0"/>
        <w:rPr>
          <w:color w:val="000000" w:themeColor="text1"/>
          <w:sz w:val="16"/>
          <w:szCs w:val="16"/>
        </w:rPr>
      </w:pPr>
    </w:p>
    <w:p w14:paraId="0542046A" w14:textId="77777777" w:rsidR="008A518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0B00D6E" w14:textId="77777777" w:rsidR="008A5189" w:rsidRPr="0044524F" w:rsidRDefault="008A5189" w:rsidP="009654CF">
      <w:pPr>
        <w:spacing w:after="0" w:line="240" w:lineRule="auto"/>
        <w:jc w:val="both"/>
        <w:rPr>
          <w:rFonts w:ascii="Times New Roman" w:hAnsi="Times New Roman"/>
          <w:iCs/>
          <w:color w:val="000000" w:themeColor="text1"/>
          <w:sz w:val="16"/>
          <w:szCs w:val="16"/>
        </w:rPr>
      </w:pPr>
    </w:p>
    <w:p w14:paraId="0D001446" w14:textId="77777777" w:rsidR="008A5189" w:rsidRPr="0044524F" w:rsidRDefault="008A518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26 октября 1933 г. в Анкару с официальным визитом по приглашению турецкого правительства посетила делегация по главе с народным комиссаром по военным и морским делам К.Е. Ворошиловым. Советская делегация присутствовала 29 октября 1933 г. на параде по случаю десятой годовщины Турецкой Республики. Вместе с Мустафой Кемалем Ататюрком, министром национальной обороны Февзи Чакмаком, а также премьер-министром Исметом Иненю К.Е. Ворошилов объехал турецкие войска, принимая парад. Этот факт был беспрецедентным и произвел «ошеломляющее впечатление как на массу зрителей, так и на дипломатический корпус».9 ноября 1933 г. в заявлении представителям печати в Стамбуле К.Е. Ворошилов подчеркнул, что тесные дружественные контакты «позволят с еще большей энергией вести совместную борьбу за мир, борьбу за предотвращение войны со всеми страданиями и разрушениями, которыми она угрожает человечеству». Мустафа Кемаль Ататюрк, открывая сессию меджлиса в 1933 году, так охарактеризовал значение визита: «Это посещение послужило счастливым поводом для демонстрации глубокой искренности взаимоотношений между нашими странами. Нет сомнения, что наша дружба, родившаяся в тяжелые для обеих стран времена и неизменно в течение тринадцати лет выходившая из всех испытаний, является ценным и важным фактором укрепления всеобщего мира». За особые заслуги в установлении и развитии двусторонних связей в середине 30-х годов правительство Турции приняло решение о присвоении одной из улиц г. Измира имени Ворошилова. М.М. Литвинов на сессии ЦИК СССР 29 декабря 1933 года так охарактеризовал уровень контактов с Турцией: «Образцом отношений с иностранными государствами мы считаем наши отношения с великой Турецкой Республикой. В течение свыше десяти лет эти отношения улучшались из года в год, достигнув истинной дружбы… Политика дружбы и взаимного доверия создает почву для плодотворного сотрудничества и на международной арене. Каждая сторона, выдвигая предложение, направленное на упрочение мира, может заранее рассчитывать на поддержку и содействие другой стороны». Советско-турецкая дружба, определенно, переросла обычные дипломатические рамки. Высокий уровень и динамика межправительственных контактов самым позитивным образом сказывались на росте взаимного интереса народов друг к другу, поступательном взаимообогащении культуры, науки и искусства. </w:t>
      </w:r>
    </w:p>
    <w:p w14:paraId="571676B4" w14:textId="77777777" w:rsidR="008A5189" w:rsidRPr="0044524F" w:rsidRDefault="008A5189"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lastRenderedPageBreak/>
        <w:t>В 1926 г. по инициативе советского «Авиахима» состоялся авиационный перелет Москва – Анкара. В 1930 году Анкара стала одним из этапов т.н. «Большого восточного перелета» из Москвы в Тегеран и Кабул. Примечательно, что в СССР в аэроклубах проходила стажировку и первая турецкая летчица Сабиха Гекчен, а несколько самолетов из турецкого авиационного отряда, находившихся в апреле – мае 1934 г. в Советском Союзе, приняли участие в первомайском параде. Вторая половина тридцатых годов продолжали развиваться в большей степени по линии укрепления торгово-экономического потенциала. В счет советского кредита, предоставлено в 1934 г., Турции было поставлено оборудование для Кайсерийского и Назиллийского текстильных комбинатов, грузовики, автобусы для Анкарского муниципалитета и пр., а также выполнены некоторые военные заказы. Серьезно активизировался обмен техническими кадрами, специалистами и т.п. В 1935 и 1937 гг. были пущены в строй строившиеся при технической поддержке СССР первые в Турции текстильные комбинаты в Кайсери и Назилли. Оба объекта были охарактеризованы премьер-министром Турции И. Иненю как «прекрасные произведения советской индустрии - символы вечной дружбы». Между тем, в политических контактах обозначилась определенная сдержанность. Ряд разногласий возник в ходе визита в июле 1935 г. в Москву министра народного хозяйства Турции Баяра, на международной конференции 1936 г. в Монтре и т.п. И хотя в состоявшихся в 1937 г. встречах на высоком уровне (М.М. Литвинов и И. Иненю в Лондоне, визит в Москву министра иностранных дел Т.Р. Араса и министра внутренних дел Ш. Кая) взаимная дружба была обозначена в качестве «стабильного элемента» в турецкой и советской внешней политике, тем не менее, кризис в отношениях стал проявляться все серьезнее. К февралю 1938 г. были закрыты советские консульства в Измире, Карсе, Артвине, Эрзуруме, Трабзоне, а также турецкие консульства в Одессе, Баку, Ленинакане и Ереване. В 1938 г. имело место сокращение внешнеторгового оборота между двумя странами (17262).</w:t>
      </w:r>
    </w:p>
    <w:p w14:paraId="13D4B6DA" w14:textId="77777777" w:rsidR="008A5189" w:rsidRPr="0044524F" w:rsidRDefault="008A5189" w:rsidP="009654CF">
      <w:pPr>
        <w:spacing w:after="0" w:line="240" w:lineRule="auto"/>
        <w:jc w:val="both"/>
        <w:rPr>
          <w:rFonts w:ascii="Times New Roman" w:hAnsi="Times New Roman"/>
          <w:iCs/>
          <w:color w:val="000000" w:themeColor="text1"/>
          <w:sz w:val="16"/>
          <w:szCs w:val="16"/>
        </w:rPr>
      </w:pPr>
    </w:p>
    <w:p w14:paraId="62778C67"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26 октября по 9 ноября 1933 г. в ответ на визит турецкой делегации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А с 22 апреля по 14 мая 1934 г. в СССР с дружеским визитом находился турецкий авиационный отряд, 3 самолета которого приняли участие в первомайском параде12. Примечательно, что на следующий день, 2 мая 1934 г., представители ВВС Турции во главе с полковником Джелал-беем были приглашены на завтрак в Кремль, где присутствовал И.В. Сталин. На встречу «вождей партии и членов правительства с участниками первомайского парада» прибыло около 2 тыс. чел., представлявших все рода войск Красной Армии (18261).</w:t>
      </w:r>
    </w:p>
    <w:p w14:paraId="1F524900" w14:textId="77777777" w:rsidR="00562118" w:rsidRPr="0044524F" w:rsidRDefault="00562118" w:rsidP="009654CF">
      <w:pPr>
        <w:spacing w:after="0" w:line="240" w:lineRule="auto"/>
        <w:jc w:val="both"/>
        <w:rPr>
          <w:rFonts w:ascii="Times New Roman" w:hAnsi="Times New Roman"/>
          <w:color w:val="000000" w:themeColor="text1"/>
          <w:sz w:val="16"/>
          <w:szCs w:val="16"/>
        </w:rPr>
      </w:pPr>
    </w:p>
    <w:p w14:paraId="32C748F6"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26 октября по 9 ноября 1933 г. в ответ на визит турецкой делегации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(18512).</w:t>
      </w:r>
    </w:p>
    <w:p w14:paraId="2246D58B" w14:textId="77777777" w:rsidR="00562118" w:rsidRPr="0044524F" w:rsidRDefault="00562118" w:rsidP="009654CF">
      <w:pPr>
        <w:spacing w:after="0" w:line="240" w:lineRule="auto"/>
        <w:jc w:val="both"/>
        <w:rPr>
          <w:rFonts w:ascii="Times New Roman" w:hAnsi="Times New Roman"/>
          <w:color w:val="000000" w:themeColor="text1"/>
          <w:sz w:val="16"/>
          <w:szCs w:val="16"/>
        </w:rPr>
      </w:pPr>
    </w:p>
    <w:p w14:paraId="02D8C1EB"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26 октября по 9 ноября 1933 г. в ответ на апрельско-майский визит турецкой делегации в Москву в Анкаре находилась советская правительственная делегация, во главе с К.Е. Ворошиловым, который вместе с турецкими руководителями объехал войска, принимая парад по случаю десятой годовщины Турецкой Республики (24334).</w:t>
      </w:r>
    </w:p>
    <w:p w14:paraId="50940200" w14:textId="77777777" w:rsidR="00C56BA7" w:rsidRPr="0044524F" w:rsidRDefault="00C56BA7" w:rsidP="009654CF">
      <w:pPr>
        <w:spacing w:after="0" w:line="240" w:lineRule="auto"/>
        <w:jc w:val="both"/>
        <w:rPr>
          <w:rFonts w:ascii="Times New Roman" w:hAnsi="Times New Roman"/>
          <w:color w:val="000000" w:themeColor="text1"/>
          <w:sz w:val="16"/>
          <w:szCs w:val="16"/>
        </w:rPr>
      </w:pPr>
    </w:p>
    <w:p w14:paraId="602CDC0E"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26 ок</w:t>
      </w:r>
      <w:r w:rsidRPr="00142305">
        <w:rPr>
          <w:rStyle w:val="aff"/>
          <w:rFonts w:ascii="Times New Roman" w:hAnsi="Times New Roman" w:cs="Times New Roman"/>
          <w:color w:val="0070C0"/>
          <w:spacing w:val="0"/>
          <w:sz w:val="16"/>
          <w:szCs w:val="16"/>
        </w:rPr>
        <w:softHyphen/>
        <w:t>тября по 9 ноября 1933 г. в Турции побывала первая официальная делегация СССР во главе с наркомвоенмором К.Е. Ворошиловым. Ее по</w:t>
      </w:r>
      <w:r w:rsidRPr="00142305">
        <w:rPr>
          <w:rStyle w:val="aff"/>
          <w:rFonts w:ascii="Times New Roman" w:hAnsi="Times New Roman" w:cs="Times New Roman"/>
          <w:color w:val="0070C0"/>
          <w:spacing w:val="0"/>
          <w:sz w:val="16"/>
          <w:szCs w:val="16"/>
        </w:rPr>
        <w:softHyphen/>
        <w:t>ездка рассматривалась советским руководст</w:t>
      </w:r>
      <w:r w:rsidRPr="00142305">
        <w:rPr>
          <w:rStyle w:val="aff"/>
          <w:rFonts w:ascii="Times New Roman" w:hAnsi="Times New Roman" w:cs="Times New Roman"/>
          <w:color w:val="0070C0"/>
          <w:spacing w:val="0"/>
          <w:sz w:val="16"/>
          <w:szCs w:val="16"/>
        </w:rPr>
        <w:softHyphen/>
        <w:t xml:space="preserve">вом как </w:t>
      </w:r>
      <w:r w:rsidRPr="00142305">
        <w:rPr>
          <w:rStyle w:val="aff"/>
          <w:rFonts w:ascii="Times New Roman" w:eastAsia="Segoe UI" w:hAnsi="Times New Roman" w:cs="Times New Roman"/>
          <w:color w:val="0070C0"/>
          <w:spacing w:val="0"/>
          <w:sz w:val="16"/>
          <w:szCs w:val="16"/>
        </w:rPr>
        <w:t>«ответный визит»</w:t>
      </w:r>
      <w:r w:rsidRPr="00142305">
        <w:rPr>
          <w:rStyle w:val="aff"/>
          <w:rFonts w:ascii="Times New Roman" w:hAnsi="Times New Roman" w:cs="Times New Roman"/>
          <w:color w:val="0070C0"/>
          <w:spacing w:val="0"/>
          <w:sz w:val="16"/>
          <w:szCs w:val="16"/>
        </w:rPr>
        <w:t xml:space="preserve"> на приезд в СССР весной 1932 г. премьер‑министра Турции гене</w:t>
      </w:r>
      <w:r w:rsidRPr="00142305">
        <w:rPr>
          <w:rStyle w:val="aff"/>
          <w:rFonts w:ascii="Times New Roman" w:hAnsi="Times New Roman" w:cs="Times New Roman"/>
          <w:color w:val="0070C0"/>
          <w:spacing w:val="0"/>
          <w:sz w:val="16"/>
          <w:szCs w:val="16"/>
        </w:rPr>
        <w:softHyphen/>
        <w:t>рала И. Иненю.</w:t>
      </w:r>
    </w:p>
    <w:p w14:paraId="3402DCD4"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Советская делегация состояла из 15 чел., включая члена РВС и инспектора кавалерии РККА С.М. Буденного, наркома просвещения А.С. Бубнова, бывшего полпреда С.И. Аралова, заместителя наркома иностранных дел Л.М. Карахана, вице‑президента АН СССР и председа</w:t>
      </w:r>
      <w:r w:rsidRPr="00142305">
        <w:rPr>
          <w:rStyle w:val="aff"/>
          <w:rFonts w:ascii="Times New Roman" w:hAnsi="Times New Roman" w:cs="Times New Roman"/>
          <w:color w:val="0070C0"/>
          <w:spacing w:val="0"/>
          <w:sz w:val="16"/>
          <w:szCs w:val="16"/>
        </w:rPr>
        <w:softHyphen/>
        <w:t>теля Госэнерго Г.М. Кржижановского. В распо</w:t>
      </w:r>
      <w:r w:rsidRPr="00142305">
        <w:rPr>
          <w:rStyle w:val="aff"/>
          <w:rFonts w:ascii="Times New Roman" w:hAnsi="Times New Roman" w:cs="Times New Roman"/>
          <w:color w:val="0070C0"/>
          <w:spacing w:val="0"/>
          <w:sz w:val="16"/>
          <w:szCs w:val="16"/>
        </w:rPr>
        <w:softHyphen/>
        <w:t xml:space="preserve">ряжение делегации советское правительство ассигновало </w:t>
      </w:r>
      <w:r w:rsidRPr="00142305">
        <w:rPr>
          <w:rStyle w:val="aff"/>
          <w:rFonts w:ascii="Times New Roman" w:eastAsia="Segoe UI" w:hAnsi="Times New Roman" w:cs="Times New Roman"/>
          <w:color w:val="0070C0"/>
          <w:spacing w:val="0"/>
          <w:sz w:val="16"/>
          <w:szCs w:val="16"/>
        </w:rPr>
        <w:t>«10 тыс. золотых рублей на раз</w:t>
      </w:r>
      <w:r w:rsidRPr="00142305">
        <w:rPr>
          <w:rStyle w:val="aff"/>
          <w:rFonts w:ascii="Times New Roman" w:eastAsia="Segoe UI" w:hAnsi="Times New Roman" w:cs="Times New Roman"/>
          <w:color w:val="0070C0"/>
          <w:spacing w:val="0"/>
          <w:sz w:val="16"/>
          <w:szCs w:val="16"/>
        </w:rPr>
        <w:softHyphen/>
        <w:t>ные расходы и в резерв»,</w:t>
      </w:r>
      <w:r w:rsidRPr="00142305">
        <w:rPr>
          <w:rStyle w:val="aff"/>
          <w:rFonts w:ascii="Times New Roman" w:hAnsi="Times New Roman" w:cs="Times New Roman"/>
          <w:color w:val="0070C0"/>
          <w:spacing w:val="0"/>
          <w:sz w:val="16"/>
          <w:szCs w:val="16"/>
        </w:rPr>
        <w:t xml:space="preserve"> а также </w:t>
      </w:r>
      <w:r w:rsidRPr="00142305">
        <w:rPr>
          <w:rStyle w:val="aff"/>
          <w:rFonts w:ascii="Times New Roman" w:eastAsia="Segoe UI" w:hAnsi="Times New Roman" w:cs="Times New Roman"/>
          <w:color w:val="0070C0"/>
          <w:spacing w:val="0"/>
          <w:sz w:val="16"/>
          <w:szCs w:val="16"/>
        </w:rPr>
        <w:t>«на дополни</w:t>
      </w:r>
      <w:r w:rsidRPr="00142305">
        <w:rPr>
          <w:rStyle w:val="aff"/>
          <w:rFonts w:ascii="Times New Roman" w:eastAsia="Segoe UI" w:hAnsi="Times New Roman" w:cs="Times New Roman"/>
          <w:color w:val="0070C0"/>
          <w:spacing w:val="0"/>
          <w:sz w:val="16"/>
          <w:szCs w:val="16"/>
        </w:rPr>
        <w:softHyphen/>
        <w:t>тельную закупку подарков – 60 тыс. червонных рублей».</w:t>
      </w:r>
      <w:r w:rsidRPr="00142305">
        <w:rPr>
          <w:rStyle w:val="aff"/>
          <w:rFonts w:ascii="Times New Roman" w:hAnsi="Times New Roman" w:cs="Times New Roman"/>
          <w:color w:val="0070C0"/>
          <w:spacing w:val="0"/>
          <w:sz w:val="16"/>
          <w:szCs w:val="16"/>
        </w:rPr>
        <w:t xml:space="preserve"> Кроме того, было решено </w:t>
      </w:r>
      <w:r w:rsidRPr="00142305">
        <w:rPr>
          <w:rStyle w:val="aff"/>
          <w:rFonts w:ascii="Times New Roman" w:eastAsia="Segoe UI" w:hAnsi="Times New Roman" w:cs="Times New Roman"/>
          <w:color w:val="0070C0"/>
          <w:spacing w:val="0"/>
          <w:sz w:val="16"/>
          <w:szCs w:val="16"/>
        </w:rPr>
        <w:t>«передать через делегацию, в качестве подарка Турецкой Республике от правительства СССР, одно звено (3) военных самолетов Р‑5 и 1 пассажирский са</w:t>
      </w:r>
      <w:r w:rsidRPr="00142305">
        <w:rPr>
          <w:rStyle w:val="aff"/>
          <w:rFonts w:ascii="Times New Roman" w:eastAsia="Segoe UI" w:hAnsi="Times New Roman" w:cs="Times New Roman"/>
          <w:color w:val="0070C0"/>
          <w:spacing w:val="0"/>
          <w:sz w:val="16"/>
          <w:szCs w:val="16"/>
        </w:rPr>
        <w:softHyphen/>
        <w:t>молет АНТ‑9».</w:t>
      </w:r>
      <w:r w:rsidRPr="00142305">
        <w:rPr>
          <w:rStyle w:val="aff"/>
          <w:rFonts w:ascii="Times New Roman" w:hAnsi="Times New Roman" w:cs="Times New Roman"/>
          <w:color w:val="0070C0"/>
          <w:spacing w:val="0"/>
          <w:sz w:val="16"/>
          <w:szCs w:val="16"/>
        </w:rPr>
        <w:t xml:space="preserve"> Это был уже второй весомый по</w:t>
      </w:r>
      <w:r w:rsidRPr="00142305">
        <w:rPr>
          <w:rStyle w:val="aff"/>
          <w:rFonts w:ascii="Times New Roman" w:hAnsi="Times New Roman" w:cs="Times New Roman"/>
          <w:color w:val="0070C0"/>
          <w:spacing w:val="0"/>
          <w:sz w:val="16"/>
          <w:szCs w:val="16"/>
        </w:rPr>
        <w:softHyphen/>
        <w:t>дарок Советского Союза Турции после дости</w:t>
      </w:r>
      <w:r w:rsidRPr="00142305">
        <w:rPr>
          <w:rStyle w:val="aff"/>
          <w:rFonts w:ascii="Times New Roman" w:hAnsi="Times New Roman" w:cs="Times New Roman"/>
          <w:color w:val="0070C0"/>
          <w:spacing w:val="0"/>
          <w:sz w:val="16"/>
          <w:szCs w:val="16"/>
        </w:rPr>
        <w:softHyphen/>
        <w:t>жения договоренностей о кредите.</w:t>
      </w:r>
    </w:p>
    <w:p w14:paraId="6CDE7F63"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Советская делегация в сопровождении ту</w:t>
      </w:r>
      <w:r w:rsidRPr="00142305">
        <w:rPr>
          <w:rStyle w:val="aff"/>
          <w:rFonts w:ascii="Times New Roman" w:hAnsi="Times New Roman" w:cs="Times New Roman"/>
          <w:color w:val="0070C0"/>
          <w:spacing w:val="0"/>
          <w:sz w:val="16"/>
          <w:szCs w:val="16"/>
        </w:rPr>
        <w:softHyphen/>
        <w:t>рецких военных и дипломатов, участвовавших в переговорах о военных поставках, убыла из Москвы поездом и проследовала до Севас</w:t>
      </w:r>
      <w:r w:rsidRPr="00142305">
        <w:rPr>
          <w:rStyle w:val="aff"/>
          <w:rFonts w:ascii="Times New Roman" w:hAnsi="Times New Roman" w:cs="Times New Roman"/>
          <w:color w:val="0070C0"/>
          <w:spacing w:val="0"/>
          <w:sz w:val="16"/>
          <w:szCs w:val="16"/>
        </w:rPr>
        <w:softHyphen/>
        <w:t>тополя. Там почетные гости осмотрели корабли и гидросамолеты авиации Морских Сил Черно</w:t>
      </w:r>
      <w:r w:rsidRPr="00142305">
        <w:rPr>
          <w:rStyle w:val="aff"/>
          <w:rFonts w:ascii="Times New Roman" w:hAnsi="Times New Roman" w:cs="Times New Roman"/>
          <w:color w:val="0070C0"/>
          <w:spacing w:val="0"/>
          <w:sz w:val="16"/>
          <w:szCs w:val="16"/>
        </w:rPr>
        <w:softHyphen/>
        <w:t>го моря (МСЧМ, командующий – И.К. Кожанов) и в тот же день на турецком пароходе «Измир», прибывшим в Севастополь 24 октября, убыла в Стамбул. При этом на выходе из бухты «Из</w:t>
      </w:r>
      <w:r w:rsidRPr="00142305">
        <w:rPr>
          <w:rStyle w:val="aff"/>
          <w:rFonts w:ascii="Times New Roman" w:hAnsi="Times New Roman" w:cs="Times New Roman"/>
          <w:color w:val="0070C0"/>
          <w:spacing w:val="0"/>
          <w:sz w:val="16"/>
          <w:szCs w:val="16"/>
        </w:rPr>
        <w:softHyphen/>
        <w:t>мир» сопровождал внушительный отряд кора</w:t>
      </w:r>
      <w:r w:rsidRPr="00142305">
        <w:rPr>
          <w:rStyle w:val="aff"/>
          <w:rFonts w:ascii="Times New Roman" w:hAnsi="Times New Roman" w:cs="Times New Roman"/>
          <w:color w:val="0070C0"/>
          <w:spacing w:val="0"/>
          <w:sz w:val="16"/>
          <w:szCs w:val="16"/>
        </w:rPr>
        <w:softHyphen/>
        <w:t>блей в составе линкора «Парижская Коммуна», крейсеров «Профинтерн» и «Червона Украина», эсминцев «Фрунзе» и «Незаможник» при под</w:t>
      </w:r>
      <w:r w:rsidRPr="00142305">
        <w:rPr>
          <w:rStyle w:val="aff"/>
          <w:rFonts w:ascii="Times New Roman" w:hAnsi="Times New Roman" w:cs="Times New Roman"/>
          <w:color w:val="0070C0"/>
          <w:spacing w:val="0"/>
          <w:sz w:val="16"/>
          <w:szCs w:val="16"/>
        </w:rPr>
        <w:softHyphen/>
        <w:t>держке с воздуха самолетов ВВС МСЧМ. Лин</w:t>
      </w:r>
      <w:r w:rsidRPr="00142305">
        <w:rPr>
          <w:rStyle w:val="aff"/>
          <w:rFonts w:ascii="Times New Roman" w:hAnsi="Times New Roman" w:cs="Times New Roman"/>
          <w:color w:val="0070C0"/>
          <w:spacing w:val="0"/>
          <w:sz w:val="16"/>
          <w:szCs w:val="16"/>
        </w:rPr>
        <w:softHyphen/>
        <w:t>кор и авиация сопровождали пароход 20 миль, а затем вернулись в главную базу.</w:t>
      </w:r>
    </w:p>
    <w:p w14:paraId="2EC9F905"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26 октября утром остальные корабли вме</w:t>
      </w:r>
      <w:r w:rsidRPr="00142305">
        <w:rPr>
          <w:rStyle w:val="aff"/>
          <w:rFonts w:ascii="Times New Roman" w:hAnsi="Times New Roman" w:cs="Times New Roman"/>
          <w:color w:val="0070C0"/>
          <w:spacing w:val="0"/>
          <w:sz w:val="16"/>
          <w:szCs w:val="16"/>
        </w:rPr>
        <w:softHyphen/>
        <w:t>сте с «Измиром» прибыли в Стамбул. На входе в бухту отряд советских кораблей и пароход с делегацией встречал линейный крейсер ВМС Турции «Явуз». Через 6 ч советские боевые ко</w:t>
      </w:r>
      <w:r w:rsidRPr="00142305">
        <w:rPr>
          <w:rStyle w:val="aff"/>
          <w:rFonts w:ascii="Times New Roman" w:hAnsi="Times New Roman" w:cs="Times New Roman"/>
          <w:color w:val="0070C0"/>
          <w:spacing w:val="0"/>
          <w:sz w:val="16"/>
          <w:szCs w:val="16"/>
        </w:rPr>
        <w:softHyphen/>
        <w:t>рабли покинули турецкий порт и на следующий день вернулись в Севастополь.</w:t>
      </w:r>
    </w:p>
    <w:p w14:paraId="1562F8A1" w14:textId="77777777" w:rsidR="00022A55" w:rsidRPr="00142305" w:rsidRDefault="00022A55" w:rsidP="00022A5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Из Стамбула делегация поездом проследо</w:t>
      </w:r>
      <w:r w:rsidRPr="00142305">
        <w:rPr>
          <w:rStyle w:val="aff"/>
          <w:rFonts w:ascii="Times New Roman" w:hAnsi="Times New Roman" w:cs="Times New Roman"/>
          <w:color w:val="0070C0"/>
          <w:spacing w:val="0"/>
          <w:sz w:val="16"/>
          <w:szCs w:val="16"/>
        </w:rPr>
        <w:softHyphen/>
        <w:t>вала в столицу Анкару.</w:t>
      </w:r>
    </w:p>
    <w:p w14:paraId="10E8FABA" w14:textId="77777777" w:rsidR="00022A55" w:rsidRPr="00142305" w:rsidRDefault="00022A55" w:rsidP="00022A5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Президент М.К. Ататюрк оказал совет</w:t>
      </w:r>
      <w:r w:rsidRPr="00142305">
        <w:rPr>
          <w:rStyle w:val="aff"/>
          <w:rFonts w:ascii="Times New Roman" w:hAnsi="Times New Roman" w:cs="Times New Roman"/>
          <w:color w:val="0070C0"/>
          <w:spacing w:val="0"/>
          <w:sz w:val="16"/>
          <w:szCs w:val="16"/>
        </w:rPr>
        <w:softHyphen/>
        <w:t>ской делегации исключительно теплый при</w:t>
      </w:r>
      <w:r w:rsidRPr="00142305">
        <w:rPr>
          <w:rStyle w:val="aff"/>
          <w:rFonts w:ascii="Times New Roman" w:hAnsi="Times New Roman" w:cs="Times New Roman"/>
          <w:color w:val="0070C0"/>
          <w:spacing w:val="0"/>
          <w:sz w:val="16"/>
          <w:szCs w:val="16"/>
        </w:rPr>
        <w:softHyphen/>
        <w:t>ем. Прежде всего, К.Е. Ворошилов, С.М. Буден</w:t>
      </w:r>
      <w:r w:rsidRPr="00142305">
        <w:rPr>
          <w:rStyle w:val="aff"/>
          <w:rFonts w:ascii="Times New Roman" w:hAnsi="Times New Roman" w:cs="Times New Roman"/>
          <w:color w:val="0070C0"/>
          <w:spacing w:val="0"/>
          <w:sz w:val="16"/>
          <w:szCs w:val="16"/>
        </w:rPr>
        <w:softHyphen/>
        <w:t>ный и другие члены делегации присутствова</w:t>
      </w:r>
      <w:r w:rsidRPr="00142305">
        <w:rPr>
          <w:rStyle w:val="aff"/>
          <w:rFonts w:ascii="Times New Roman" w:hAnsi="Times New Roman" w:cs="Times New Roman"/>
          <w:color w:val="0070C0"/>
          <w:spacing w:val="0"/>
          <w:sz w:val="16"/>
          <w:szCs w:val="16"/>
        </w:rPr>
        <w:softHyphen/>
        <w:t>ли на военном параде в честь 10‑летия респу</w:t>
      </w:r>
      <w:r w:rsidRPr="00142305">
        <w:rPr>
          <w:rStyle w:val="aff"/>
          <w:rFonts w:ascii="Times New Roman" w:hAnsi="Times New Roman" w:cs="Times New Roman"/>
          <w:color w:val="0070C0"/>
          <w:spacing w:val="0"/>
          <w:sz w:val="16"/>
          <w:szCs w:val="16"/>
        </w:rPr>
        <w:softHyphen/>
        <w:t>блики. Парад проходил не в городе, а в долине на фоне гор. Вместе с президентом М.К. Ата</w:t>
      </w:r>
      <w:r w:rsidRPr="00142305">
        <w:rPr>
          <w:rStyle w:val="aff"/>
          <w:rFonts w:ascii="Times New Roman" w:hAnsi="Times New Roman" w:cs="Times New Roman"/>
          <w:color w:val="0070C0"/>
          <w:spacing w:val="0"/>
          <w:sz w:val="16"/>
          <w:szCs w:val="16"/>
        </w:rPr>
        <w:softHyphen/>
        <w:t>тюрком, министром национальной обороны фельдмаршалом Ф. Чакмаком и премьер‑ми</w:t>
      </w:r>
      <w:r w:rsidRPr="00142305">
        <w:rPr>
          <w:rStyle w:val="aff"/>
          <w:rFonts w:ascii="Times New Roman" w:hAnsi="Times New Roman" w:cs="Times New Roman"/>
          <w:color w:val="0070C0"/>
          <w:spacing w:val="0"/>
          <w:sz w:val="16"/>
          <w:szCs w:val="16"/>
        </w:rPr>
        <w:softHyphen/>
        <w:t>нистром генералом И. Иненю К.Е. Ворошилов объехал на машине турецкие войска, а также колонны демонстрантов, принимая парад. Этот факт был беспрецедентным и произвел «</w:t>
      </w:r>
      <w:r w:rsidRPr="00142305">
        <w:rPr>
          <w:rStyle w:val="aff"/>
          <w:rFonts w:ascii="Times New Roman" w:eastAsia="Segoe UI" w:hAnsi="Times New Roman" w:cs="Times New Roman"/>
          <w:color w:val="0070C0"/>
          <w:spacing w:val="0"/>
          <w:sz w:val="16"/>
          <w:szCs w:val="16"/>
        </w:rPr>
        <w:t>оше</w:t>
      </w:r>
      <w:r w:rsidRPr="00142305">
        <w:rPr>
          <w:rStyle w:val="aff"/>
          <w:rFonts w:ascii="Times New Roman" w:eastAsia="Segoe UI" w:hAnsi="Times New Roman" w:cs="Times New Roman"/>
          <w:color w:val="0070C0"/>
          <w:spacing w:val="0"/>
          <w:sz w:val="16"/>
          <w:szCs w:val="16"/>
        </w:rPr>
        <w:softHyphen/>
        <w:t>ломляющее впечатление как на массу зрите</w:t>
      </w:r>
      <w:r w:rsidRPr="00142305">
        <w:rPr>
          <w:rStyle w:val="aff"/>
          <w:rFonts w:ascii="Times New Roman" w:eastAsia="Segoe UI" w:hAnsi="Times New Roman" w:cs="Times New Roman"/>
          <w:color w:val="0070C0"/>
          <w:spacing w:val="0"/>
          <w:sz w:val="16"/>
          <w:szCs w:val="16"/>
        </w:rPr>
        <w:softHyphen/>
        <w:t>лей, так и на дипломатический корпус</w:t>
      </w:r>
      <w:r w:rsidRPr="00142305">
        <w:rPr>
          <w:rStyle w:val="aff"/>
          <w:rFonts w:ascii="Times New Roman" w:hAnsi="Times New Roman" w:cs="Times New Roman"/>
          <w:color w:val="0070C0"/>
          <w:spacing w:val="0"/>
          <w:sz w:val="16"/>
          <w:szCs w:val="16"/>
        </w:rPr>
        <w:t>». Затем советская делегация заняла места на празд</w:t>
      </w:r>
      <w:r w:rsidRPr="00142305">
        <w:rPr>
          <w:rStyle w:val="aff"/>
          <w:rFonts w:ascii="Times New Roman" w:hAnsi="Times New Roman" w:cs="Times New Roman"/>
          <w:color w:val="0070C0"/>
          <w:spacing w:val="0"/>
          <w:sz w:val="16"/>
          <w:szCs w:val="16"/>
        </w:rPr>
        <w:softHyphen/>
        <w:t>ничной трибуне, увитой лавровыми венками. На трибуне советский наркомвоенмор сто</w:t>
      </w:r>
      <w:r w:rsidRPr="00142305">
        <w:rPr>
          <w:rStyle w:val="aff"/>
          <w:rFonts w:ascii="Times New Roman" w:hAnsi="Times New Roman" w:cs="Times New Roman"/>
          <w:color w:val="0070C0"/>
          <w:spacing w:val="0"/>
          <w:sz w:val="16"/>
          <w:szCs w:val="16"/>
        </w:rPr>
        <w:softHyphen/>
        <w:t xml:space="preserve">ял рядом с М.К. Ататюрком, который </w:t>
      </w:r>
      <w:r w:rsidRPr="00142305">
        <w:rPr>
          <w:rStyle w:val="aff"/>
          <w:rFonts w:ascii="Times New Roman" w:eastAsia="Segoe UI" w:hAnsi="Times New Roman" w:cs="Times New Roman"/>
          <w:color w:val="0070C0"/>
          <w:spacing w:val="0"/>
          <w:sz w:val="16"/>
          <w:szCs w:val="16"/>
        </w:rPr>
        <w:t>«сам лич</w:t>
      </w:r>
      <w:r w:rsidRPr="00142305">
        <w:rPr>
          <w:rStyle w:val="aff"/>
          <w:rFonts w:ascii="Times New Roman" w:eastAsia="Segoe UI" w:hAnsi="Times New Roman" w:cs="Times New Roman"/>
          <w:color w:val="0070C0"/>
          <w:spacing w:val="0"/>
          <w:sz w:val="16"/>
          <w:szCs w:val="16"/>
        </w:rPr>
        <w:softHyphen/>
        <w:t xml:space="preserve">но давал ему пояснение всему происходящему». </w:t>
      </w:r>
      <w:r w:rsidRPr="00142305">
        <w:rPr>
          <w:rStyle w:val="aff"/>
          <w:rFonts w:ascii="Times New Roman" w:hAnsi="Times New Roman" w:cs="Times New Roman"/>
          <w:color w:val="0070C0"/>
          <w:spacing w:val="0"/>
          <w:sz w:val="16"/>
          <w:szCs w:val="16"/>
        </w:rPr>
        <w:t>Остается добавить, что на этом военном пара</w:t>
      </w:r>
      <w:r w:rsidRPr="00142305">
        <w:rPr>
          <w:rStyle w:val="aff"/>
          <w:rFonts w:ascii="Times New Roman" w:hAnsi="Times New Roman" w:cs="Times New Roman"/>
          <w:color w:val="0070C0"/>
          <w:spacing w:val="0"/>
          <w:sz w:val="16"/>
          <w:szCs w:val="16"/>
        </w:rPr>
        <w:softHyphen/>
        <w:t>де впервые публично была продемонстриро</w:t>
      </w:r>
      <w:r w:rsidRPr="00142305">
        <w:rPr>
          <w:rStyle w:val="aff"/>
          <w:rFonts w:ascii="Times New Roman" w:hAnsi="Times New Roman" w:cs="Times New Roman"/>
          <w:color w:val="0070C0"/>
          <w:spacing w:val="0"/>
          <w:sz w:val="16"/>
          <w:szCs w:val="16"/>
        </w:rPr>
        <w:softHyphen/>
        <w:t>вана советская автобронетехника.</w:t>
      </w:r>
    </w:p>
    <w:p w14:paraId="54E77AED"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Советская делегация и сопровождающие ее турецкие официальные лица возвращались в Союз вновь на пароходе «Измир». 11 но</w:t>
      </w:r>
      <w:r w:rsidRPr="00142305">
        <w:rPr>
          <w:rStyle w:val="aff"/>
          <w:rFonts w:ascii="Times New Roman" w:hAnsi="Times New Roman" w:cs="Times New Roman"/>
          <w:color w:val="0070C0"/>
          <w:spacing w:val="0"/>
          <w:sz w:val="16"/>
          <w:szCs w:val="16"/>
        </w:rPr>
        <w:softHyphen/>
        <w:t>ября его встретили и вступили в охранение крейсеры «Профинтерн» и «Червона Украина» под общим командованием начальника шта</w:t>
      </w:r>
      <w:r w:rsidRPr="00142305">
        <w:rPr>
          <w:rStyle w:val="aff"/>
          <w:rFonts w:ascii="Times New Roman" w:hAnsi="Times New Roman" w:cs="Times New Roman"/>
          <w:color w:val="0070C0"/>
          <w:spacing w:val="0"/>
          <w:sz w:val="16"/>
          <w:szCs w:val="16"/>
        </w:rPr>
        <w:softHyphen/>
        <w:t>ба МСЧМ К.И. Душенова. Утром 12 ноября от-</w:t>
      </w:r>
    </w:p>
    <w:p w14:paraId="4F63A944"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ряд прибыл в Одессу, где их встречали только что прибывшие из Средиземноморского похо</w:t>
      </w:r>
      <w:r w:rsidRPr="00142305">
        <w:rPr>
          <w:rStyle w:val="aff"/>
          <w:rFonts w:ascii="Times New Roman" w:hAnsi="Times New Roman" w:cs="Times New Roman"/>
          <w:color w:val="0070C0"/>
          <w:spacing w:val="0"/>
          <w:sz w:val="16"/>
          <w:szCs w:val="16"/>
        </w:rPr>
        <w:softHyphen/>
        <w:t>да крейсер «Красный Кавказ», эсминцы «Пе</w:t>
      </w:r>
      <w:r w:rsidRPr="00142305">
        <w:rPr>
          <w:rStyle w:val="aff"/>
          <w:rFonts w:ascii="Times New Roman" w:hAnsi="Times New Roman" w:cs="Times New Roman"/>
          <w:color w:val="0070C0"/>
          <w:spacing w:val="0"/>
          <w:sz w:val="16"/>
          <w:szCs w:val="16"/>
        </w:rPr>
        <w:softHyphen/>
        <w:t>тровский», «Шаумян», а также эсминец «Фрун</w:t>
      </w:r>
      <w:r w:rsidRPr="00142305">
        <w:rPr>
          <w:rStyle w:val="aff"/>
          <w:rFonts w:ascii="Times New Roman" w:hAnsi="Times New Roman" w:cs="Times New Roman"/>
          <w:color w:val="0070C0"/>
          <w:spacing w:val="0"/>
          <w:sz w:val="16"/>
          <w:szCs w:val="16"/>
        </w:rPr>
        <w:softHyphen/>
        <w:t>зе» и самолеты ВВС МСЧМ. Почетные гости ос</w:t>
      </w:r>
      <w:r w:rsidRPr="00142305">
        <w:rPr>
          <w:rStyle w:val="aff"/>
          <w:rFonts w:ascii="Times New Roman" w:hAnsi="Times New Roman" w:cs="Times New Roman"/>
          <w:color w:val="0070C0"/>
          <w:spacing w:val="0"/>
          <w:sz w:val="16"/>
          <w:szCs w:val="16"/>
        </w:rPr>
        <w:softHyphen/>
        <w:t>мотрели «Красный Кавказ» и позже поездом убыли в Москву (25113).</w:t>
      </w:r>
    </w:p>
    <w:p w14:paraId="3D61875F" w14:textId="77777777" w:rsidR="00022A55" w:rsidRPr="00142305" w:rsidRDefault="00022A55" w:rsidP="00022A55">
      <w:pPr>
        <w:spacing w:after="0" w:line="240" w:lineRule="auto"/>
        <w:jc w:val="both"/>
        <w:rPr>
          <w:rFonts w:ascii="Times New Roman" w:hAnsi="Times New Roman"/>
          <w:color w:val="0070C0"/>
          <w:sz w:val="16"/>
          <w:szCs w:val="16"/>
        </w:rPr>
      </w:pPr>
    </w:p>
    <w:p w14:paraId="127AF69D"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2539298"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2B2B957B" w14:textId="77777777" w:rsidR="00F46121" w:rsidRPr="0044524F" w:rsidRDefault="00F461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(15117).</w:t>
      </w:r>
    </w:p>
    <w:p w14:paraId="4212555E"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644FF6A7" w14:textId="77777777" w:rsidR="00022A55" w:rsidRPr="00142305" w:rsidRDefault="00022A55" w:rsidP="00022A5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27 октября 1933 г. начальник АНИМИ приказал 130/55-мм пушку как полигональную «с плана снять», а взамен заводу «Большевик» «надлежит нарезать 130/55-мм пушку № 7 углубленной нарезкой по чертежам, выданным на завод… Нарезку закончить к 15.12.1933 г.» (25213).</w:t>
      </w:r>
    </w:p>
    <w:p w14:paraId="6AB64207" w14:textId="77777777" w:rsidR="00022A55" w:rsidRPr="00142305" w:rsidRDefault="00022A55" w:rsidP="00022A55">
      <w:pPr>
        <w:spacing w:after="0" w:line="240" w:lineRule="auto"/>
        <w:jc w:val="both"/>
        <w:rPr>
          <w:rFonts w:ascii="Times New Roman" w:hAnsi="Times New Roman"/>
          <w:color w:val="0070C0"/>
          <w:sz w:val="16"/>
          <w:szCs w:val="16"/>
        </w:rPr>
      </w:pPr>
    </w:p>
    <w:p w14:paraId="5461CE2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27-29 октября 1933 состоялся скоростной безостановочный пробег пяти БТ-5 на колесах по маршруту Харьков - Москва. За 57 час. Прошли 995 км. Чистое время движения - 22:53, ср. скорость -35 км/час (3880,36).</w:t>
      </w:r>
    </w:p>
    <w:p w14:paraId="472E107F" w14:textId="4382AD05" w:rsidR="001E1317" w:rsidRPr="0044524F" w:rsidRDefault="001E1317" w:rsidP="009654CF">
      <w:pPr>
        <w:spacing w:after="0" w:line="240" w:lineRule="auto"/>
        <w:jc w:val="both"/>
        <w:rPr>
          <w:rFonts w:ascii="Times New Roman" w:hAnsi="Times New Roman"/>
          <w:color w:val="000000" w:themeColor="text1"/>
          <w:sz w:val="16"/>
          <w:szCs w:val="16"/>
        </w:rPr>
      </w:pPr>
    </w:p>
    <w:p w14:paraId="2C8C7705"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октября 1934 г. «буксиры» PS-8 и PS-26 с итальянскими экипажами и без артиллерийского вооружения (на борту были лишь упрятанные в трюмы пулемёты) отправляются по маршруту Генуя – Порт-Саид – Сингапур – Владивосток. Во Владивосток корабли благополучно прибыли 11 декабря 1934 г. и в феврале следующего года вошли в состав флотилии пограничной охраны НКВД (ОГПУ 10 июля 1934 г. было преобразовано в НКВД).</w:t>
      </w:r>
    </w:p>
    <w:p w14:paraId="23BECFB6"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Корабли имели полное водоизмещение 1161 т. Вооружение кораблей составляли три 102/60-мм пушки системы Обуховского завода и четыре 45-мм полуавтомата 21К. Система управления огнём – итальянской фирмы «Галилео». На каждом корабле было установлено по два 3-метровых дальномера.</w:t>
      </w:r>
    </w:p>
    <w:p w14:paraId="6A334B3D"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Два дизеля Този общей мощностью 5400 л.с. позволяли развивать скорость до 21,5 узла (на испытаниях в Италии). Дальность экономического хода составляла 6000 миль.</w:t>
      </w:r>
    </w:p>
    <w:p w14:paraId="4CDA3FFF" w14:textId="77777777" w:rsidR="00022A55" w:rsidRPr="00142305" w:rsidRDefault="00022A55" w:rsidP="00022A5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Корабли оказались добротными и служили на Камчатке до 1959 г. (25184)</w:t>
      </w:r>
    </w:p>
    <w:p w14:paraId="6BD5F57F" w14:textId="77777777" w:rsidR="00022A55" w:rsidRPr="00142305" w:rsidRDefault="00022A55" w:rsidP="00022A55">
      <w:pPr>
        <w:spacing w:after="0" w:line="240" w:lineRule="auto"/>
        <w:jc w:val="both"/>
        <w:rPr>
          <w:rFonts w:ascii="Times New Roman" w:hAnsi="Times New Roman"/>
          <w:color w:val="0070C0"/>
          <w:sz w:val="16"/>
          <w:szCs w:val="16"/>
        </w:rPr>
      </w:pPr>
    </w:p>
    <w:p w14:paraId="0734665F" w14:textId="484AF015" w:rsidR="003172F1" w:rsidRPr="0044524F" w:rsidRDefault="003172F1"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64E4C4B6" w14:textId="77777777" w:rsidR="003172F1" w:rsidRPr="0044524F" w:rsidRDefault="003172F1" w:rsidP="009654CF">
      <w:pPr>
        <w:spacing w:after="0" w:line="240" w:lineRule="auto"/>
        <w:jc w:val="both"/>
        <w:rPr>
          <w:rFonts w:ascii="Times New Roman" w:hAnsi="Times New Roman"/>
          <w:i/>
          <w:iCs/>
          <w:color w:val="000000" w:themeColor="text1"/>
          <w:sz w:val="16"/>
          <w:szCs w:val="16"/>
        </w:rPr>
      </w:pPr>
    </w:p>
    <w:p w14:paraId="7DD6CBA2"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октября 1933 опросом членов ПБ</w:t>
      </w:r>
    </w:p>
    <w:p w14:paraId="344F0142"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106/120.- Предложения т.т. Сталина и Гамарника,</w:t>
      </w:r>
    </w:p>
    <w:p w14:paraId="55F0211C"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следующее предложение т.т.Сталина и Гамарника:</w:t>
      </w:r>
    </w:p>
    <w:p w14:paraId="78330ABB"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усиления обороны нашего морского побережья на Дальнем Востоке считать необходимым провести сле</w:t>
      </w:r>
      <w:r w:rsidRPr="0044524F">
        <w:rPr>
          <w:rFonts w:ascii="Times New Roman" w:hAnsi="Times New Roman"/>
          <w:color w:val="000000" w:themeColor="text1"/>
          <w:sz w:val="16"/>
          <w:szCs w:val="16"/>
        </w:rPr>
        <w:softHyphen/>
        <w:t>дующие меры:</w:t>
      </w:r>
    </w:p>
    <w:p w14:paraId="592FA6C9"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 1-му мая 1934 года построить и перебросить на Дальний Восток 100 торпедных катеров. Если для этого необходимо импортировать моторы, то пойти на это. При постройке торпедных катеров обязательно до</w:t>
      </w:r>
      <w:r w:rsidRPr="0044524F">
        <w:rPr>
          <w:rFonts w:ascii="Times New Roman" w:hAnsi="Times New Roman"/>
          <w:color w:val="000000" w:themeColor="text1"/>
          <w:sz w:val="16"/>
          <w:szCs w:val="16"/>
        </w:rPr>
        <w:softHyphen/>
        <w:t>биваться их высокой мореходности-желательно 7-8 бал</w:t>
      </w:r>
      <w:r w:rsidRPr="0044524F">
        <w:rPr>
          <w:rFonts w:ascii="Times New Roman" w:hAnsi="Times New Roman"/>
          <w:color w:val="000000" w:themeColor="text1"/>
          <w:sz w:val="16"/>
          <w:szCs w:val="16"/>
        </w:rPr>
        <w:softHyphen/>
        <w:t>лов. Если нужна иностранная техпомощь, то пойти на это.</w:t>
      </w:r>
    </w:p>
    <w:p w14:paraId="141E5ACB"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Отправить в Николаев комиссию в составе т.т.Га</w:t>
      </w:r>
      <w:r w:rsidRPr="0044524F">
        <w:rPr>
          <w:rFonts w:ascii="Times New Roman" w:hAnsi="Times New Roman"/>
          <w:color w:val="000000" w:themeColor="text1"/>
          <w:sz w:val="16"/>
          <w:szCs w:val="16"/>
        </w:rPr>
        <w:softHyphen/>
        <w:t>марника, Орлова, Муклевича и Павлуновского, которая во что бы то ни стало добилась бы ликвидации недостат</w:t>
      </w:r>
      <w:r w:rsidRPr="0044524F">
        <w:rPr>
          <w:rFonts w:ascii="Times New Roman" w:hAnsi="Times New Roman"/>
          <w:color w:val="000000" w:themeColor="text1"/>
          <w:sz w:val="16"/>
          <w:szCs w:val="16"/>
        </w:rPr>
        <w:softHyphen/>
        <w:t>ков в "Малютке" и обеспечила сдачу заводом еще в те</w:t>
      </w:r>
      <w:r w:rsidRPr="0044524F">
        <w:rPr>
          <w:rFonts w:ascii="Times New Roman" w:hAnsi="Times New Roman"/>
          <w:color w:val="000000" w:themeColor="text1"/>
          <w:sz w:val="16"/>
          <w:szCs w:val="16"/>
        </w:rPr>
        <w:softHyphen/>
        <w:t>кущем году 20 подлодок типа "Малютка".</w:t>
      </w:r>
    </w:p>
    <w:p w14:paraId="6B8DD531"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Поручить т.т.Орджоникидзе и Гамарнику в 2-днев</w:t>
      </w:r>
      <w:r w:rsidRPr="0044524F">
        <w:rPr>
          <w:rFonts w:ascii="Times New Roman" w:hAnsi="Times New Roman"/>
          <w:color w:val="000000" w:themeColor="text1"/>
          <w:sz w:val="16"/>
          <w:szCs w:val="16"/>
        </w:rPr>
        <w:softHyphen/>
        <w:t>ный срок представить проект конкретных мероприятий по осуществлению пункта 1-го.</w:t>
      </w:r>
    </w:p>
    <w:p w14:paraId="3B38A286"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Орджоникидзе, Гамарнику-все;</w:t>
      </w:r>
    </w:p>
    <w:p w14:paraId="06BFD3E9"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Орлову, Муклевичу, Павлуновскому-п.2. (22999).</w:t>
      </w:r>
    </w:p>
    <w:p w14:paraId="08315456"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состоялось заседание ПБ и был оформлен протокол № 149 (22999).</w:t>
      </w:r>
    </w:p>
    <w:p w14:paraId="677D0DAE" w14:textId="77777777" w:rsidR="003172F1" w:rsidRPr="0044524F" w:rsidRDefault="003172F1" w:rsidP="009654CF">
      <w:pPr>
        <w:spacing w:after="0" w:line="240" w:lineRule="auto"/>
        <w:jc w:val="both"/>
        <w:rPr>
          <w:rFonts w:ascii="Times New Roman" w:hAnsi="Times New Roman"/>
          <w:color w:val="000000" w:themeColor="text1"/>
          <w:sz w:val="16"/>
          <w:szCs w:val="16"/>
        </w:rPr>
      </w:pPr>
    </w:p>
    <w:p w14:paraId="68BCEE91" w14:textId="62F0D830" w:rsidR="003172F1" w:rsidRPr="0044524F" w:rsidRDefault="003172F1"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79A833D" w14:textId="77777777" w:rsidR="003172F1" w:rsidRPr="0044524F" w:rsidRDefault="003172F1" w:rsidP="009654CF">
      <w:pPr>
        <w:spacing w:after="0" w:line="240" w:lineRule="auto"/>
        <w:jc w:val="both"/>
        <w:rPr>
          <w:rFonts w:ascii="Times New Roman" w:hAnsi="Times New Roman"/>
          <w:i/>
          <w:iCs/>
          <w:color w:val="000000" w:themeColor="text1"/>
          <w:sz w:val="16"/>
          <w:szCs w:val="16"/>
        </w:rPr>
      </w:pPr>
    </w:p>
    <w:p w14:paraId="768BCCB0" w14:textId="77777777" w:rsidR="003172F1" w:rsidRPr="0044524F" w:rsidRDefault="003172F1"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28 октября 1933 О.Ю. Шмидту пришлось сообщить крайне неутешительную новость, выдержанную, правда, в предельно оптимистическом тоне: «Мы еще не можем рапортовать о победе, но твердо уверены, что победу одержим и задание сквозного плавания по Ледовитому океану, безусловно, выполним».</w:t>
      </w:r>
    </w:p>
    <w:p w14:paraId="6C3860F0" w14:textId="77777777" w:rsidR="003172F1" w:rsidRPr="0044524F" w:rsidRDefault="003172F1"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Но оптимизм удалось сохранить лишь до 5 ноября, т. е. до того дня, когда «Челюскин» все же вошел в Берингов пролив, но так и не смог пройти его. Пароход потерял управление и начал дрейфовать на запад, в Чукотское море. Тогда-то и началось то, что впоследствии назвали челюскинской эпопеей, продолжавшейся сто шестьдесят дней (20467).</w:t>
      </w:r>
    </w:p>
    <w:p w14:paraId="49EBD1B2" w14:textId="77777777" w:rsidR="003172F1" w:rsidRPr="0044524F" w:rsidRDefault="003172F1" w:rsidP="009654CF">
      <w:pPr>
        <w:spacing w:after="0" w:line="240" w:lineRule="auto"/>
        <w:jc w:val="both"/>
        <w:rPr>
          <w:rFonts w:ascii="Times New Roman" w:hAnsi="Times New Roman"/>
          <w:color w:val="000000" w:themeColor="text1"/>
          <w:sz w:val="16"/>
          <w:szCs w:val="16"/>
        </w:rPr>
      </w:pPr>
    </w:p>
    <w:p w14:paraId="4D3BB4AC" w14:textId="77777777" w:rsidR="001E1317" w:rsidRPr="0044524F" w:rsidRDefault="001A42D5" w:rsidP="009654CF">
      <w:pPr>
        <w:spacing w:after="0" w:line="240" w:lineRule="auto"/>
        <w:jc w:val="both"/>
        <w:rPr>
          <w:rFonts w:ascii="Times New Roman" w:hAnsi="Times New Roman"/>
          <w:iCs/>
          <w:color w:val="000000" w:themeColor="text1"/>
          <w:sz w:val="16"/>
          <w:szCs w:val="16"/>
          <w:lang w:val="en-US"/>
        </w:rPr>
      </w:pPr>
      <w:r w:rsidRPr="0044524F">
        <w:rPr>
          <w:rFonts w:ascii="Times New Roman" w:hAnsi="Times New Roman"/>
          <w:i/>
          <w:iCs/>
          <w:color w:val="000000" w:themeColor="text1"/>
          <w:sz w:val="16"/>
          <w:szCs w:val="16"/>
        </w:rPr>
        <w:t>За</w:t>
      </w:r>
      <w:r w:rsidRPr="0044524F">
        <w:rPr>
          <w:rFonts w:ascii="Times New Roman" w:hAnsi="Times New Roman"/>
          <w:i/>
          <w:iCs/>
          <w:color w:val="000000" w:themeColor="text1"/>
          <w:sz w:val="16"/>
          <w:szCs w:val="16"/>
          <w:lang w:val="en-US"/>
        </w:rPr>
        <w:t xml:space="preserve"> </w:t>
      </w:r>
      <w:r w:rsidRPr="0044524F">
        <w:rPr>
          <w:rFonts w:ascii="Times New Roman" w:hAnsi="Times New Roman"/>
          <w:i/>
          <w:iCs/>
          <w:color w:val="000000" w:themeColor="text1"/>
          <w:sz w:val="16"/>
          <w:szCs w:val="16"/>
        </w:rPr>
        <w:t>рубежом</w:t>
      </w:r>
      <w:r w:rsidRPr="0044524F">
        <w:rPr>
          <w:rFonts w:ascii="Times New Roman" w:hAnsi="Times New Roman"/>
          <w:i/>
          <w:iCs/>
          <w:color w:val="000000" w:themeColor="text1"/>
          <w:sz w:val="16"/>
          <w:szCs w:val="16"/>
          <w:lang w:val="en-US"/>
        </w:rPr>
        <w:t>:</w:t>
      </w:r>
    </w:p>
    <w:p w14:paraId="068F10D7" w14:textId="77777777" w:rsidR="001E1317" w:rsidRPr="0044524F" w:rsidRDefault="001E1317" w:rsidP="009654CF">
      <w:pPr>
        <w:spacing w:after="0" w:line="240" w:lineRule="auto"/>
        <w:jc w:val="both"/>
        <w:rPr>
          <w:rFonts w:ascii="Times New Roman" w:hAnsi="Times New Roman"/>
          <w:iCs/>
          <w:color w:val="000000" w:themeColor="text1"/>
          <w:sz w:val="16"/>
          <w:szCs w:val="16"/>
          <w:lang w:val="en-US"/>
        </w:rPr>
      </w:pPr>
    </w:p>
    <w:p w14:paraId="3985C03A" w14:textId="77777777" w:rsidR="001E1317" w:rsidRPr="0044524F" w:rsidRDefault="001E1317" w:rsidP="009654CF">
      <w:pPr>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October 28, 1933 A contract was issued to Consolidated for the XP3Y-1 flying boat, marking the initiation of Navy sponsored development of the PBY Catalina series of flying boats which were used through and beyond World War II (1090).</w:t>
      </w:r>
    </w:p>
    <w:p w14:paraId="5B2C4CC8" w14:textId="77777777" w:rsidR="001E1317" w:rsidRPr="0044524F" w:rsidRDefault="001E1317" w:rsidP="009654CF">
      <w:pPr>
        <w:spacing w:after="0" w:line="240" w:lineRule="auto"/>
        <w:jc w:val="both"/>
        <w:rPr>
          <w:rFonts w:ascii="Times New Roman" w:hAnsi="Times New Roman"/>
          <w:color w:val="000000" w:themeColor="text1"/>
          <w:sz w:val="16"/>
          <w:szCs w:val="16"/>
          <w:lang w:val="en-US"/>
        </w:rPr>
      </w:pPr>
    </w:p>
    <w:p w14:paraId="4D8A7B1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октября 1933 фирма Консолидейтед получила заказ на лл XP3Y-1 начав работу по созданию серии лл Каталина (1090).</w:t>
      </w:r>
    </w:p>
    <w:p w14:paraId="54A0BA15"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350F8F3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октября 1933 года пилот пред</w:t>
      </w:r>
      <w:r w:rsidRPr="0044524F">
        <w:rPr>
          <w:rFonts w:ascii="Times New Roman" w:hAnsi="Times New Roman"/>
          <w:color w:val="000000" w:themeColor="text1"/>
          <w:sz w:val="16"/>
          <w:szCs w:val="16"/>
        </w:rPr>
        <w:softHyphen/>
        <w:t>принял попытку превысить рекорд вы</w:t>
      </w:r>
      <w:r w:rsidRPr="0044524F">
        <w:rPr>
          <w:rFonts w:ascii="Times New Roman" w:hAnsi="Times New Roman"/>
          <w:color w:val="000000" w:themeColor="text1"/>
          <w:sz w:val="16"/>
          <w:szCs w:val="16"/>
        </w:rPr>
        <w:softHyphen/>
        <w:t>соты 18 м, принадлежащий д'Асканио на вертолете Г.Флорио, но потерпел неудачу. Вертолет поднял</w:t>
      </w:r>
      <w:r w:rsidRPr="0044524F">
        <w:rPr>
          <w:rFonts w:ascii="Times New Roman" w:hAnsi="Times New Roman"/>
          <w:color w:val="000000" w:themeColor="text1"/>
          <w:sz w:val="16"/>
          <w:szCs w:val="16"/>
        </w:rPr>
        <w:softHyphen/>
        <w:t>ся на высоту 4 м, затем вдруг резко наклонился и упал на землю, от удара была повреждена одна лопасть несу</w:t>
      </w:r>
      <w:r w:rsidRPr="0044524F">
        <w:rPr>
          <w:rFonts w:ascii="Times New Roman" w:hAnsi="Times New Roman"/>
          <w:color w:val="000000" w:themeColor="text1"/>
          <w:sz w:val="16"/>
          <w:szCs w:val="16"/>
        </w:rPr>
        <w:softHyphen/>
        <w:t>щего винта. В этом полете на вертолет с целью демонстрации возможности ведения воздушной съемки была уста</w:t>
      </w:r>
      <w:r w:rsidRPr="0044524F">
        <w:rPr>
          <w:rFonts w:ascii="Times New Roman" w:hAnsi="Times New Roman"/>
          <w:color w:val="000000" w:themeColor="text1"/>
          <w:sz w:val="16"/>
          <w:szCs w:val="16"/>
        </w:rPr>
        <w:softHyphen/>
        <w:t>новлена кинокамера (питавшаяся от ак</w:t>
      </w:r>
      <w:r w:rsidRPr="0044524F">
        <w:rPr>
          <w:rFonts w:ascii="Times New Roman" w:hAnsi="Times New Roman"/>
          <w:color w:val="000000" w:themeColor="text1"/>
          <w:sz w:val="16"/>
          <w:szCs w:val="16"/>
        </w:rPr>
        <w:softHyphen/>
        <w:t>кумуляторной батареи). При аварии она уцелела, и, как отмечал Роберт Коллин, «кадры, снятые в полете, по</w:t>
      </w:r>
      <w:r w:rsidRPr="0044524F">
        <w:rPr>
          <w:rFonts w:ascii="Times New Roman" w:hAnsi="Times New Roman"/>
          <w:color w:val="000000" w:themeColor="text1"/>
          <w:sz w:val="16"/>
          <w:szCs w:val="16"/>
        </w:rPr>
        <w:softHyphen/>
        <w:t>лучились хорошие» (11401).</w:t>
      </w:r>
    </w:p>
    <w:p w14:paraId="30F63E26" w14:textId="77777777" w:rsidR="001E1317" w:rsidRPr="0044524F" w:rsidRDefault="001E1317" w:rsidP="009654CF">
      <w:pPr>
        <w:shd w:val="clear" w:color="auto" w:fill="FFFFFF"/>
        <w:spacing w:after="0" w:line="240" w:lineRule="auto"/>
        <w:jc w:val="both"/>
        <w:rPr>
          <w:rFonts w:ascii="Times New Roman" w:hAnsi="Times New Roman"/>
          <w:bCs/>
          <w:color w:val="000000" w:themeColor="text1"/>
          <w:sz w:val="16"/>
          <w:szCs w:val="16"/>
        </w:rPr>
      </w:pPr>
    </w:p>
    <w:p w14:paraId="71BAF35F"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C176CDD"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19B81CC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1933 Алмазов писал телеграмму К.А.К. на ХАЗ:</w:t>
      </w:r>
    </w:p>
    <w:p w14:paraId="4733A9A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"Слухи прилета в Москву К-7 сообщите спешной почтой подробно (2306,10).</w:t>
      </w:r>
    </w:p>
    <w:p w14:paraId="24000C1D"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30DD80F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1933 Нач. 7 сектора НИИ ВВС РККА писал на завод 133 Д.П.Г., самолетному тресту, 1 отд. 1 сектора УМТС, нач. ГУАП и Заводу 39 письмо N с/с 001290:</w:t>
      </w:r>
    </w:p>
    <w:p w14:paraId="3CA941B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сем препровождается отчет о гос. испытаниях самолета Зет N 39010 с мотором ЮVI-9A 480/560" (2303,71).</w:t>
      </w:r>
    </w:p>
    <w:p w14:paraId="444A2BD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октября 1933 Нач. ВВС Алкснис подписал Акт утверждения гос. испытаний самолета И-3ет М-22:</w:t>
      </w:r>
    </w:p>
    <w:p w14:paraId="6C7FEF2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Заключение НИИ ВВС РККА по Гос. испытаниям самолета И-зет М-22 утверждаю.</w:t>
      </w:r>
    </w:p>
    <w:p w14:paraId="0307940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Нач. УМТС и Вооружений принять построенные на заводе 39 самолета И-зет по их вооружению и устранению дефектов, указанных на с. 21 сводки испытаний.</w:t>
      </w:r>
    </w:p>
    <w:p w14:paraId="54C67BA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Нач. Штаба ВВС РККА разработать программу войсковых и тактических испытаний самолетов, сосредоточив их в одной части.</w:t>
      </w:r>
    </w:p>
    <w:p w14:paraId="5D8193F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Основной задачей для завода 133 считать передачу на гос. испытания к 1 марта 1934 модифицированного экз. самолета И-зет М-22, удовлетворяющего требованиям, указанным в заключении НИИ ВВС РККА." (2303,70).</w:t>
      </w:r>
    </w:p>
    <w:p w14:paraId="4F16A90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октября 1933 был подписан Отчет по гос. испытаниям самолета Зет N 39020 с мотором ЮVI-9АQ 480/560 нр N 42151 Х-6,9 винт N 40460 Д-2.8 Н-2,1 (2303,69).</w:t>
      </w:r>
    </w:p>
    <w:p w14:paraId="3360194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08B6DCE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 целью определения вопроса о целесообразности серийной постройки самолета с использованием построенной малой серии.</w:t>
      </w:r>
    </w:p>
    <w:p w14:paraId="6A44C25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полученные данные</w:t>
      </w:r>
    </w:p>
    <w:p w14:paraId="6AE131B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Вес пустого с несъемным оборудованием - 1320 кг</w:t>
      </w:r>
    </w:p>
    <w:p w14:paraId="5C3D21B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Нагрузка - 328</w:t>
      </w:r>
    </w:p>
    <w:p w14:paraId="3042E9B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Полетный вес - 1648</w:t>
      </w:r>
    </w:p>
    <w:p w14:paraId="120C8D2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Макс. гор. скорость у земли - 259 км/час</w:t>
      </w:r>
    </w:p>
    <w:p w14:paraId="068F3D0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Макс. гор. скорость на 3000 м - 248 км/час</w:t>
      </w:r>
    </w:p>
    <w:p w14:paraId="4024E9B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Макс. гор. скорость на 5000 м - 239 км/час</w:t>
      </w:r>
    </w:p>
    <w:p w14:paraId="6326155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Скороподъемность (с форсированным газом) на 3000 м - 6.5 м</w:t>
      </w:r>
    </w:p>
    <w:p w14:paraId="470CEBD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Скороподъемность (с форсированным газом) на 5000 м - 14 м.</w:t>
      </w:r>
    </w:p>
    <w:p w14:paraId="55BF828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Практический потолок - 7000 м</w:t>
      </w:r>
    </w:p>
    <w:p w14:paraId="2EFF211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Время одинарного виража на 1000 м - 18.8 с</w:t>
      </w:r>
    </w:p>
    <w:p w14:paraId="0CA5B4C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Время восьмерки на 1000 м - 40 с</w:t>
      </w:r>
    </w:p>
    <w:p w14:paraId="4C159B2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73ECEA1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Констатировать, что для истребителя вооруженного двумя пушками АПК-4 и одним пулеметом ПВ-1 при полной нагрузке 556 кг и невысотном мотором ЮVI полученные данные: скороподъемность, потолок и маневренность являются достаточно удовлетворительными.</w:t>
      </w:r>
    </w:p>
    <w:p w14:paraId="62DE9CB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Максимальная гор. скорость 259 км/час для моноплана с большой нагрузкой на кв. м крыла совершенно недостаточна. Малая скорость в основном объясняется:</w:t>
      </w:r>
    </w:p>
    <w:p w14:paraId="1130446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неудачной конструкцией шасси</w:t>
      </w:r>
    </w:p>
    <w:p w14:paraId="03BCBDF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большим сопротивлением пушек</w:t>
      </w:r>
    </w:p>
    <w:p w14:paraId="7ACFABE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неудобообтекаемой формой фюзеляжа</w:t>
      </w:r>
    </w:p>
    <w:p w14:paraId="0C039A1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Артиллерийское вооружение самолета испытание выдержало. (см. стр. 20 заключения по вооружению).</w:t>
      </w:r>
    </w:p>
    <w:p w14:paraId="013B028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Запас горючего, обеспечивающий тех. дальность 310 км, недостаточен.</w:t>
      </w:r>
    </w:p>
    <w:p w14:paraId="4FDDBCC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Невозможность путем перегрузки самолета увеличить общее количество снарядов выше 14 - недопустимо.</w:t>
      </w:r>
    </w:p>
    <w:p w14:paraId="08A00B2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Невозможность установки рации (за счет перегрузки) на ведущем самолете с тактической точки зрения недопустимо.7. Отсутствие электрооборудования для пушечного самолета является недопустимым.</w:t>
      </w:r>
    </w:p>
    <w:p w14:paraId="7ED92CA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Конструкция самолета после 300-350 выстрелов требует заводского ремонта.</w:t>
      </w:r>
    </w:p>
    <w:p w14:paraId="6C92560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Самолет обладает рядом дефектов (см. стр. 2), наиболее серьезным из которых является невозможность полета при открытом кране обоих баков.</w:t>
      </w:r>
    </w:p>
    <w:p w14:paraId="44FA810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9352F4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Построенные самолеты Зет, вооруженные двумя пушками АПК-4 бис и пулеметом ПВ-1 могут быть приняты на вооружение ВВС РККА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 указанных на стр. 2.</w:t>
      </w:r>
    </w:p>
    <w:p w14:paraId="68639E0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Считать целесообразным построенные самолеты И-зет сосредоточить в одной части ВВС с проведением в ней Войсковых испытаний самолета при следующих в основном цель технического и тактического освоения нового оружия (пушки АПК).</w:t>
      </w:r>
    </w:p>
    <w:p w14:paraId="50B2F16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Считать необходимым заводу 133 произвести модификацию самолета И-зет с предъявлением модифицированного экз. на гос. испытания не позднее 1 марта 1934.</w:t>
      </w:r>
    </w:p>
    <w:p w14:paraId="7BE2C07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Модифицированный самолет должен обладать гор. скоростью у земли не ниже 300 км/час.</w:t>
      </w:r>
    </w:p>
    <w:p w14:paraId="44FFB30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За счет перегрузки на модифицированном самолете д.б. предусмотрено:</w:t>
      </w:r>
    </w:p>
    <w:p w14:paraId="2085281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увеличение емкости бензобаков на 60-70 кг</w:t>
      </w:r>
    </w:p>
    <w:p w14:paraId="2F5F7B1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увеличение количества снарядов до 20 шт.</w:t>
      </w:r>
    </w:p>
    <w:p w14:paraId="7D028D9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установка электрооборудования для ночных полетов</w:t>
      </w:r>
    </w:p>
    <w:p w14:paraId="65FF422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сделать легкосъемные установки радио 14-СК для командирских самолетов</w:t>
      </w:r>
    </w:p>
    <w:p w14:paraId="0C98EF7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Прочность конструкции самолета д. допускать производство 1000 выстрелов.</w:t>
      </w:r>
    </w:p>
    <w:p w14:paraId="62285FC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Вес конструкции самолета д.б. не выше 1000 кг (вместо 1092).</w:t>
      </w:r>
    </w:p>
    <w:p w14:paraId="41EF5F8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8. При модификации самолета д.б. учтено устранение дефектов, указанных на стр. 22-24 сводки. Врид ГИ-М ВВС РККА Горощенко, Ком. бриг. НИИ ВВС Залевский, Зам. нач. 7 Сектора НИИ ВВС РККА Жемчужин" (2303,70).</w:t>
      </w:r>
    </w:p>
    <w:p w14:paraId="1730E97B"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4A79DDF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1933 состоялось заседание у Нач. ГУАП Королева:</w:t>
      </w:r>
    </w:p>
    <w:p w14:paraId="40441A4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 Доклады о работе НИИ институтов ЦИАМ, ВИАМ и ЦАГИ (Харламов, Петровский Десятников).</w:t>
      </w:r>
    </w:p>
    <w:p w14:paraId="0FAFEFD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 Комиссии в составе Ермолаева, Алмазова, Харламова, Фельдмана, Петровского, Десятникова, Марголина, Колосова и А.Н.Т. пересмотреть существующее положение о НИИ, план их работы и, на основании этого, разработать предложения и программные задания для будущей работы институтов с точки зрения увязки между собой и промышленностью, взяв упор на углубление технической части работы. Срок окончания работы 20 ноября 1933 (2281,91).</w:t>
      </w:r>
    </w:p>
    <w:p w14:paraId="6B90650A"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1D81265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1933 Харламов подготовил Тезисы доклада о работе ЦАГИ с 1 января по 1 ноября 1933, выступил с ними и 1 ноября 1933 они поступили в ГУАП (N ОП/614с) (2281,37).</w:t>
      </w:r>
    </w:p>
    <w:p w14:paraId="7EA8E597"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307CDA1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1933 года. Тезисы доклада о работе ЦАГИ с 1/I по 1/XI-1933 г. Начальник ЦАГИ Харламов:</w:t>
      </w:r>
    </w:p>
    <w:p w14:paraId="40C6ED6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Задачи ЦАГИ в 1933 г. заключались в проведении:</w:t>
      </w:r>
    </w:p>
    <w:p w14:paraId="2A8F8FB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научно-исследовательских и экспериментальных работ,</w:t>
      </w:r>
    </w:p>
    <w:p w14:paraId="6088675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опытного строительства по самолетам и глиссерам,</w:t>
      </w:r>
    </w:p>
    <w:p w14:paraId="6BF27AD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внедрению в серию испытательных образцов.</w:t>
      </w:r>
    </w:p>
    <w:p w14:paraId="505F169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Тематический план научно-исследовательских работ был построен в соответствии с требованиями опытного строительства, рассмотрен и утвержден Сектором Опытного Строительства ГУАПа.</w:t>
      </w:r>
    </w:p>
    <w:p w14:paraId="6AF3921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опытного строительства ЦАГИ бал разработан на основе постановления СТО от 4/УП-32 и дополнен по указанию Нач. ГУАП и требований РВС.</w:t>
      </w:r>
    </w:p>
    <w:p w14:paraId="1D39B09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в серию проходило по указанию Нач. ГУАП или специальных указаний Правительственных органов.</w:t>
      </w:r>
    </w:p>
    <w:p w14:paraId="4938581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Тематический план НИС включал в себя:</w:t>
      </w:r>
    </w:p>
    <w:p w14:paraId="1199206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ЭАО</w:t>
      </w:r>
      <w:r w:rsidRPr="0044524F">
        <w:rPr>
          <w:rFonts w:ascii="Times New Roman" w:hAnsi="Times New Roman"/>
          <w:color w:val="000000" w:themeColor="text1"/>
          <w:sz w:val="16"/>
          <w:szCs w:val="16"/>
        </w:rPr>
        <w:tab/>
        <w:t>66 тем</w:t>
      </w:r>
    </w:p>
    <w:p w14:paraId="3A7D27B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ЭГО</w:t>
      </w:r>
      <w:r w:rsidRPr="0044524F">
        <w:rPr>
          <w:rFonts w:ascii="Times New Roman" w:hAnsi="Times New Roman"/>
          <w:color w:val="000000" w:themeColor="text1"/>
          <w:sz w:val="16"/>
          <w:szCs w:val="16"/>
        </w:rPr>
        <w:tab/>
        <w:t>50</w:t>
      </w:r>
    </w:p>
    <w:p w14:paraId="6E6AAEC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ОПАК</w:t>
      </w:r>
      <w:r w:rsidRPr="0044524F">
        <w:rPr>
          <w:rFonts w:ascii="Times New Roman" w:hAnsi="Times New Roman"/>
          <w:color w:val="000000" w:themeColor="text1"/>
          <w:sz w:val="16"/>
          <w:szCs w:val="16"/>
        </w:rPr>
        <w:tab/>
        <w:t>52</w:t>
      </w:r>
    </w:p>
    <w:p w14:paraId="0DC0648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теор. гр.</w:t>
      </w:r>
      <w:r w:rsidRPr="0044524F">
        <w:rPr>
          <w:rFonts w:ascii="Times New Roman" w:hAnsi="Times New Roman"/>
          <w:color w:val="000000" w:themeColor="text1"/>
          <w:sz w:val="16"/>
          <w:szCs w:val="16"/>
        </w:rPr>
        <w:tab/>
        <w:t>14</w:t>
      </w:r>
    </w:p>
    <w:p w14:paraId="28DCA31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Отд. Эконон. Исслед. </w:t>
      </w:r>
      <w:r w:rsidRPr="0044524F">
        <w:rPr>
          <w:rFonts w:ascii="Times New Roman" w:hAnsi="Times New Roman"/>
          <w:color w:val="000000" w:themeColor="text1"/>
          <w:sz w:val="16"/>
          <w:szCs w:val="16"/>
        </w:rPr>
        <w:tab/>
        <w:t>24</w:t>
      </w:r>
    </w:p>
    <w:p w14:paraId="3368CD3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был ряд тем по исследованиям самолета в натуре.</w:t>
      </w:r>
    </w:p>
    <w:p w14:paraId="5694C0F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Полетные исследования проводились на ЦА, а по гидродинамике - на гидробазне ЦАГИ в Севастополе.</w:t>
      </w:r>
    </w:p>
    <w:p w14:paraId="23BBC0B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Наряду с НИР ЦАГИ проводил контрольные испытания для АЗ, морского ведомства и различных КБ СССР, одновременно удовлетворяя полностью и запросы КО и завода самого ЦАГИ.</w:t>
      </w:r>
    </w:p>
    <w:p w14:paraId="74DCDF0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Важнейшие работы, проведенные НИСом ЦАГИ:</w:t>
      </w:r>
    </w:p>
    <w:p w14:paraId="58660D3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ЭАО</w:t>
      </w:r>
    </w:p>
    <w:p w14:paraId="5E164EB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работа по штопору,</w:t>
      </w:r>
    </w:p>
    <w:p w14:paraId="18D600B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работа по вибрации крыльев,</w:t>
      </w:r>
    </w:p>
    <w:p w14:paraId="64E5741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работа по винтам,</w:t>
      </w:r>
    </w:p>
    <w:p w14:paraId="51A2B45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специальные работы по оборудованию и вооружению самолетов, улучшению их летных качеств,</w:t>
      </w:r>
    </w:p>
    <w:p w14:paraId="69EDA40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Работа по новым измерительным приборам и работа по промышленной аэродинамике, касающаяся разработки вентиляторов низкого, среднего и высокого давления.</w:t>
      </w:r>
    </w:p>
    <w:p w14:paraId="5CBB923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ЭГО</w:t>
      </w:r>
    </w:p>
    <w:p w14:paraId="22E6103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Проблема улучшения качества глиссирующих объектов,</w:t>
      </w:r>
    </w:p>
    <w:p w14:paraId="6F09EB7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Проблема удара при посадке гидросамолета,</w:t>
      </w:r>
    </w:p>
    <w:p w14:paraId="6A9A54D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Проблемы, связанные с проведением контрольных испытаний моделей гидросамолетов, глиссеров и винтов.</w:t>
      </w:r>
    </w:p>
    <w:p w14:paraId="3DB5D9F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ОПАК</w:t>
      </w:r>
    </w:p>
    <w:p w14:paraId="0478412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Составление новых норм прочности,</w:t>
      </w:r>
    </w:p>
    <w:p w14:paraId="1468869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Систематизация материалов по свободнонесущим крыльям с указанием всех методов расчета,</w:t>
      </w:r>
    </w:p>
    <w:p w14:paraId="0900B17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Работа по тонкостенным конструкциям,</w:t>
      </w:r>
    </w:p>
    <w:p w14:paraId="7AA3FA5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Контрольные испытания деталей и конструкций. Выполнено за 2 года 860</w:t>
      </w:r>
    </w:p>
    <w:p w14:paraId="7FC6CD1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ОТГ</w:t>
      </w:r>
    </w:p>
    <w:p w14:paraId="08B6D94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Работа по гидродинамической теории деяствия ... авиационных двигателей,</w:t>
      </w:r>
    </w:p>
    <w:p w14:paraId="69BA3E4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Изучение движения газов при звуковых и сверхзвуковых скоростях,</w:t>
      </w:r>
    </w:p>
    <w:p w14:paraId="28F305B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Изучение движения вязкой жидкости.</w:t>
      </w:r>
    </w:p>
    <w:p w14:paraId="0E2E85D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текущем году работа НИС была премирована НКТП по следующим работам:</w:t>
      </w:r>
    </w:p>
    <w:p w14:paraId="29D0319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 движении газов в цилиндрах авиадвигателей,</w:t>
      </w:r>
    </w:p>
    <w:p w14:paraId="330C1E9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 движении вязкой жидкости, приближающейся к Пуазельскому,</w:t>
      </w:r>
    </w:p>
    <w:p w14:paraId="72FE566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 расчете центробежных вентиляторов</w:t>
      </w:r>
    </w:p>
    <w:p w14:paraId="2246900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Результаты исследовательских работ 1933 г. внедрения.</w:t>
      </w:r>
    </w:p>
    <w:p w14:paraId="081137B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Хвостовой оперение Р5, И5 - обеспечивающее выход из штопора;</w:t>
      </w:r>
    </w:p>
    <w:p w14:paraId="1792232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Поворотные стойки самолета И5 для выхода из штопора;</w:t>
      </w:r>
    </w:p>
    <w:p w14:paraId="5C5C065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Вибрация крыльев на РД;</w:t>
      </w:r>
    </w:p>
    <w:p w14:paraId="516CB3D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 И5, увеличивающий коэффициент полезного действия на</w:t>
      </w:r>
    </w:p>
    <w:p w14:paraId="523B1BD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Винты к М34; обтекатели колес, увеличивающие скорость на....</w:t>
      </w:r>
    </w:p>
    <w:p w14:paraId="40A7C27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кольцо Тауненда, повышающее скорость на 12 км</w:t>
      </w:r>
    </w:p>
    <w:p w14:paraId="7EDB8A3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целый ряд других работ.</w:t>
      </w:r>
    </w:p>
    <w:p w14:paraId="47527B6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По опытному строительству в плане ЦАГИ стояли нижеследующие машины:</w:t>
      </w:r>
    </w:p>
    <w:p w14:paraId="42542DF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p w14:paraId="3273AAD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 ред.</w:t>
      </w:r>
    </w:p>
    <w:p w14:paraId="1A6D61E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 в разн. вариант.</w:t>
      </w:r>
    </w:p>
    <w:p w14:paraId="7151C16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w:t>
      </w:r>
    </w:p>
    <w:p w14:paraId="6876124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ТБ6; установка МК-6М34 рн;</w:t>
      </w:r>
    </w:p>
    <w:p w14:paraId="14A89AC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МДР3-3М34 рн</w:t>
      </w:r>
    </w:p>
    <w:p w14:paraId="2347258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н</w:t>
      </w:r>
    </w:p>
    <w:p w14:paraId="7B77865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 Бр. Мер.</w:t>
      </w:r>
    </w:p>
    <w:p w14:paraId="3369400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 "Циклон"</w:t>
      </w:r>
    </w:p>
    <w:p w14:paraId="67C900A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 М34</w:t>
      </w:r>
    </w:p>
    <w:p w14:paraId="252B4A3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 М34 ред.</w:t>
      </w:r>
    </w:p>
    <w:p w14:paraId="08CB966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 ДИП</w:t>
      </w:r>
    </w:p>
    <w:p w14:paraId="055670A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на поплавках</w:t>
      </w:r>
    </w:p>
    <w:p w14:paraId="602D3C3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"Савойя"-62 - М34</w:t>
      </w:r>
    </w:p>
    <w:p w14:paraId="426CF47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МБР2 - пассажир. вариант</w:t>
      </w:r>
    </w:p>
    <w:p w14:paraId="68EC0A5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Глиссеры - Г5, Г6 и самолеты, переданные с группой С.В.И. на 39 завод.</w:t>
      </w:r>
    </w:p>
    <w:p w14:paraId="4255AEE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разработка образцов вооружения самолетов-бомбардировщиков, стрелкового и химического.</w:t>
      </w:r>
    </w:p>
    <w:p w14:paraId="6C22D09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оборудования самолетов - электро, радио, аэро-навигационного, фото и вспомогательного.</w:t>
      </w:r>
    </w:p>
    <w:p w14:paraId="0EA83AE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Винты, лыжи, масляные аммортизаторы, тормозные колеса.</w:t>
      </w:r>
    </w:p>
    <w:p w14:paraId="66E9271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автожирам и винтовым аппаратам:</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353F6633" w14:textId="77777777">
        <w:tc>
          <w:tcPr>
            <w:tcW w:w="5636" w:type="dxa"/>
          </w:tcPr>
          <w:p w14:paraId="198E199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постройка автожира под мотор </w:t>
            </w:r>
          </w:p>
        </w:tc>
        <w:tc>
          <w:tcPr>
            <w:tcW w:w="5636" w:type="dxa"/>
          </w:tcPr>
          <w:p w14:paraId="7B77929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r>
      <w:tr w:rsidR="004E10C1" w:rsidRPr="0044524F" w14:paraId="7878608C" w14:textId="77777777">
        <w:tc>
          <w:tcPr>
            <w:tcW w:w="5636" w:type="dxa"/>
          </w:tcPr>
          <w:p w14:paraId="5C4086F8"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c>
          <w:tcPr>
            <w:tcW w:w="5636" w:type="dxa"/>
          </w:tcPr>
          <w:p w14:paraId="3286CD2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r>
      <w:tr w:rsidR="004E10C1" w:rsidRPr="0044524F" w14:paraId="15541EC4" w14:textId="77777777">
        <w:tc>
          <w:tcPr>
            <w:tcW w:w="5636" w:type="dxa"/>
          </w:tcPr>
          <w:p w14:paraId="3D1CDAD6"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c>
          <w:tcPr>
            <w:tcW w:w="5636" w:type="dxa"/>
          </w:tcPr>
          <w:p w14:paraId="170426E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М26</w:t>
            </w:r>
          </w:p>
        </w:tc>
      </w:tr>
    </w:tbl>
    <w:p w14:paraId="572D124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специальный аппарат под два мотора РОН.</w:t>
      </w:r>
    </w:p>
    <w:p w14:paraId="772410A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этих работ ЦАГИ закончил и сдал на гос. испытание</w:t>
      </w:r>
    </w:p>
    <w:p w14:paraId="3D9FBA1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ТБ3 - 4М34</w:t>
      </w:r>
    </w:p>
    <w:p w14:paraId="33B32C6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ТБ3 - 4М34 ред.</w:t>
      </w:r>
    </w:p>
    <w:p w14:paraId="7BBBEED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ТБ3 - 4М17 разн. вариант.</w:t>
      </w:r>
    </w:p>
    <w:p w14:paraId="73C5C1F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ТБ4 - 6М34</w:t>
      </w:r>
    </w:p>
    <w:p w14:paraId="04AFB65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 М34</w:t>
      </w:r>
    </w:p>
    <w:p w14:paraId="63F300B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 М34 ред.</w:t>
      </w:r>
    </w:p>
    <w:p w14:paraId="7C6E856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Глиссеры Г5</w:t>
      </w:r>
    </w:p>
    <w:p w14:paraId="36FFB67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Савойя 62</w:t>
      </w:r>
    </w:p>
    <w:p w14:paraId="0B0830E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Автожиры 4ЭА</w:t>
      </w:r>
    </w:p>
    <w:p w14:paraId="5447D0F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Автожиры 6ЭА</w:t>
      </w:r>
    </w:p>
    <w:p w14:paraId="6227D05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Тормозн. колеса.</w:t>
      </w:r>
    </w:p>
    <w:p w14:paraId="2C719B0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Выпущены, но не сданы на гос. испытание самолеты:</w:t>
      </w:r>
    </w:p>
    <w:p w14:paraId="1D558FE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МИ3 - 2М34</w:t>
      </w:r>
    </w:p>
    <w:p w14:paraId="767E260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 Бр. Мер.</w:t>
      </w:r>
    </w:p>
    <w:p w14:paraId="60867CB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 винтовой аппарат с 2-мя моторами РОН.</w:t>
      </w:r>
    </w:p>
    <w:p w14:paraId="226C4B8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Лаборатория с различн. предметами вооружения.</w:t>
      </w:r>
    </w:p>
    <w:p w14:paraId="2F9A775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окончании сдачи самолетов на гос. испытание ЦАГИ имеет определенное запоздание, получившееся вследствие:</w:t>
      </w:r>
    </w:p>
    <w:p w14:paraId="53E0799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позднего получения моторов, каковые получены с запозданием 5 месяцев для ТБ3, ТБ4, МИ3 и РД;</w:t>
      </w:r>
    </w:p>
    <w:p w14:paraId="65A5E99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долгих сроков летных испытаний, вызванных необходимостью доведения нового мотора М34, потребовавшего больших исследовательских работ по винто-моторной группе (винты, радиаторы, подогреватель);</w:t>
      </w:r>
    </w:p>
    <w:p w14:paraId="28FF9EE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внутренних неполадок, заключающихся в плане организации... недостаток транспорта, задержка с материалом и проч.;</w:t>
      </w:r>
    </w:p>
    <w:p w14:paraId="7180A5B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несвоевременного получения технических требований и утверждение макетов от ВВС;</w:t>
      </w:r>
    </w:p>
    <w:p w14:paraId="6F6333F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несвоевременного получения необходимого оборудования - вооружение для И14.</w:t>
      </w:r>
    </w:p>
    <w:p w14:paraId="4BCDE27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ЦАГИ подготовил и сдал в серию конструктивные чертежи машин:</w:t>
      </w:r>
    </w:p>
    <w:p w14:paraId="34752D8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ТБ3 - 4М34</w:t>
      </w:r>
    </w:p>
    <w:p w14:paraId="0E6015B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ТБ3 - 4М34 ред.</w:t>
      </w:r>
    </w:p>
    <w:p w14:paraId="172D00F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ТБ4 - 6М34 военный и пассажир. вариант</w:t>
      </w:r>
    </w:p>
    <w:p w14:paraId="348BD40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ТБ3 - 2М34</w:t>
      </w:r>
    </w:p>
    <w:p w14:paraId="7351325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МБР2 - военный и пассажир. вариант</w:t>
      </w:r>
    </w:p>
    <w:p w14:paraId="0D05C0E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Тб3 - 4М34 по облегчению веса</w:t>
      </w:r>
    </w:p>
    <w:p w14:paraId="30C60A8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 М17 по облегчению веса</w:t>
      </w:r>
    </w:p>
    <w:p w14:paraId="388DAD4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на поплавках</w:t>
      </w:r>
    </w:p>
    <w:p w14:paraId="2E3CB83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p w14:paraId="6A74A7E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Савойя-62 бис</w:t>
      </w:r>
    </w:p>
    <w:p w14:paraId="185ABF3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Глиссер Г5</w:t>
      </w:r>
    </w:p>
    <w:p w14:paraId="6C66301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начата сдача конструктивных чертежей для серийного производства самолетов:</w:t>
      </w:r>
    </w:p>
    <w:p w14:paraId="2750BCE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ТБ3 - 4М34 эталон 34 года</w:t>
      </w:r>
    </w:p>
    <w:p w14:paraId="5F6BA0D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ТБ3 - 4М34 эталон 34 года по перевооружению</w:t>
      </w:r>
    </w:p>
    <w:p w14:paraId="3F06376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военный вариант - сдано 75%</w:t>
      </w:r>
    </w:p>
    <w:p w14:paraId="6C88B92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 Райт-Циклон</w:t>
      </w:r>
    </w:p>
    <w:p w14:paraId="54339FE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МК-1 - 6М34</w:t>
      </w:r>
    </w:p>
    <w:p w14:paraId="5B8A244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МДР4 - М34</w:t>
      </w:r>
    </w:p>
    <w:p w14:paraId="5D9E9CF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Автожиром 6ЭА.</w:t>
      </w:r>
    </w:p>
    <w:p w14:paraId="28F7D1F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стрелковому вооружению: шаровая башня, пушка Эрликон, турель пушечная, скорострельная турель 2ДА.</w:t>
      </w:r>
    </w:p>
    <w:p w14:paraId="463FF48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бомбардировочному вооружению: ДОС, Лебедка ДОС, СК - 1-й вариант, Лебедка КД2, Актив, Пассив.</w:t>
      </w:r>
    </w:p>
    <w:p w14:paraId="1E95F26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химическому оборудованию: ДАП-Д300 для ТБ4, ВАП4 для Р5, ВАП-5, ВАП6 без пиротехники, ВАП6 для РД, ДАП-Д100 для Р6, МБР4, С62 бис, ВАП6 без пиротехники для И5.</w:t>
      </w:r>
    </w:p>
    <w:p w14:paraId="79806AA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с помощью ЦАГИ завод N 48 выпустил в серийное производство 10 автожиров 40А конструкции ЦАГИ.</w:t>
      </w:r>
    </w:p>
    <w:p w14:paraId="4E8936D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этого за 10 месяцев 1933 г. ЗОК ЦАГИ построил 5 экз. автожиров 3ЭА, 5ЭА, 6ЭА, 7ЭА и строит 6 автожир.</w:t>
      </w:r>
    </w:p>
    <w:p w14:paraId="010A387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весь 1933 г. выпущено всего 2 автожира.</w:t>
      </w:r>
    </w:p>
    <w:p w14:paraId="0024FCF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Располагаемые средства ЦАГИ заключались в следующем:</w:t>
      </w:r>
    </w:p>
    <w:p w14:paraId="260900A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Личный состав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94"/>
        <w:gridCol w:w="3544"/>
      </w:tblGrid>
      <w:tr w:rsidR="004E10C1" w:rsidRPr="0044524F" w14:paraId="5D0A7085" w14:textId="77777777">
        <w:tc>
          <w:tcPr>
            <w:tcW w:w="3794" w:type="dxa"/>
            <w:tcBorders>
              <w:top w:val="single" w:sz="12" w:space="0" w:color="auto"/>
            </w:tcBorders>
          </w:tcPr>
          <w:p w14:paraId="426B984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НИСу</w:t>
            </w:r>
          </w:p>
        </w:tc>
        <w:tc>
          <w:tcPr>
            <w:tcW w:w="3544" w:type="dxa"/>
            <w:tcBorders>
              <w:top w:val="single" w:sz="12" w:space="0" w:color="auto"/>
            </w:tcBorders>
          </w:tcPr>
          <w:p w14:paraId="34BD4B9C"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15835AE8" w14:textId="77777777">
        <w:tc>
          <w:tcPr>
            <w:tcW w:w="3794" w:type="dxa"/>
          </w:tcPr>
          <w:p w14:paraId="748B77C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1.1-33</w:t>
            </w:r>
          </w:p>
        </w:tc>
        <w:tc>
          <w:tcPr>
            <w:tcW w:w="3544" w:type="dxa"/>
          </w:tcPr>
          <w:p w14:paraId="257F08D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900</w:t>
            </w:r>
          </w:p>
        </w:tc>
      </w:tr>
      <w:tr w:rsidR="004E10C1" w:rsidRPr="0044524F" w14:paraId="1B3493C9" w14:textId="77777777">
        <w:tc>
          <w:tcPr>
            <w:tcW w:w="3794" w:type="dxa"/>
          </w:tcPr>
          <w:p w14:paraId="6B43233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1/Х-33</w:t>
            </w:r>
          </w:p>
        </w:tc>
        <w:tc>
          <w:tcPr>
            <w:tcW w:w="3544" w:type="dxa"/>
          </w:tcPr>
          <w:p w14:paraId="09ABB46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964</w:t>
            </w:r>
          </w:p>
        </w:tc>
      </w:tr>
      <w:tr w:rsidR="004E10C1" w:rsidRPr="0044524F" w14:paraId="099BA8F4" w14:textId="77777777">
        <w:tc>
          <w:tcPr>
            <w:tcW w:w="3794" w:type="dxa"/>
          </w:tcPr>
          <w:p w14:paraId="4B163A9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ОСС</w:t>
            </w:r>
          </w:p>
        </w:tc>
        <w:tc>
          <w:tcPr>
            <w:tcW w:w="3544" w:type="dxa"/>
          </w:tcPr>
          <w:p w14:paraId="2ED3ACDF"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44785F2D" w14:textId="77777777">
        <w:tc>
          <w:tcPr>
            <w:tcW w:w="3794" w:type="dxa"/>
          </w:tcPr>
          <w:p w14:paraId="33AD462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1/1.-33</w:t>
            </w:r>
          </w:p>
        </w:tc>
        <w:tc>
          <w:tcPr>
            <w:tcW w:w="3544" w:type="dxa"/>
          </w:tcPr>
          <w:p w14:paraId="1967F6E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4089</w:t>
            </w:r>
          </w:p>
        </w:tc>
      </w:tr>
      <w:tr w:rsidR="004E10C1" w:rsidRPr="0044524F" w14:paraId="33208C44" w14:textId="77777777">
        <w:tc>
          <w:tcPr>
            <w:tcW w:w="3794" w:type="dxa"/>
          </w:tcPr>
          <w:p w14:paraId="58E817F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1/Х-33</w:t>
            </w:r>
          </w:p>
        </w:tc>
        <w:tc>
          <w:tcPr>
            <w:tcW w:w="3544" w:type="dxa"/>
          </w:tcPr>
          <w:p w14:paraId="5AEC37A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4729</w:t>
            </w:r>
          </w:p>
        </w:tc>
      </w:tr>
      <w:tr w:rsidR="004E10C1" w:rsidRPr="0044524F" w14:paraId="21A72378" w14:textId="77777777">
        <w:tc>
          <w:tcPr>
            <w:tcW w:w="3794" w:type="dxa"/>
          </w:tcPr>
          <w:p w14:paraId="02B1CAD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СРК и инфо</w:t>
            </w:r>
          </w:p>
        </w:tc>
        <w:tc>
          <w:tcPr>
            <w:tcW w:w="3544" w:type="dxa"/>
          </w:tcPr>
          <w:p w14:paraId="79BEA404"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197AC0BE" w14:textId="77777777">
        <w:tc>
          <w:tcPr>
            <w:tcW w:w="3794" w:type="dxa"/>
          </w:tcPr>
          <w:p w14:paraId="2408804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1/1-33</w:t>
            </w:r>
          </w:p>
        </w:tc>
        <w:tc>
          <w:tcPr>
            <w:tcW w:w="3544" w:type="dxa"/>
          </w:tcPr>
          <w:p w14:paraId="752EA4F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w:t>
            </w:r>
          </w:p>
        </w:tc>
      </w:tr>
      <w:tr w:rsidR="004E10C1" w:rsidRPr="0044524F" w14:paraId="40698ED0" w14:textId="77777777">
        <w:tc>
          <w:tcPr>
            <w:tcW w:w="3794" w:type="dxa"/>
          </w:tcPr>
          <w:p w14:paraId="1540F0F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1/Х-33</w:t>
            </w:r>
          </w:p>
        </w:tc>
        <w:tc>
          <w:tcPr>
            <w:tcW w:w="3544" w:type="dxa"/>
          </w:tcPr>
          <w:p w14:paraId="776A346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108</w:t>
            </w:r>
          </w:p>
        </w:tc>
      </w:tr>
      <w:tr w:rsidR="004E10C1" w:rsidRPr="0044524F" w14:paraId="5D62FFC8" w14:textId="77777777">
        <w:tc>
          <w:tcPr>
            <w:tcW w:w="3794" w:type="dxa"/>
          </w:tcPr>
          <w:p w14:paraId="2C98A65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производственный персонал</w:t>
            </w:r>
          </w:p>
        </w:tc>
        <w:tc>
          <w:tcPr>
            <w:tcW w:w="3544" w:type="dxa"/>
          </w:tcPr>
          <w:p w14:paraId="77323D35"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385E0998" w14:textId="77777777">
        <w:tc>
          <w:tcPr>
            <w:tcW w:w="3794" w:type="dxa"/>
          </w:tcPr>
          <w:p w14:paraId="39FB7A4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1/1-33</w:t>
            </w:r>
          </w:p>
        </w:tc>
        <w:tc>
          <w:tcPr>
            <w:tcW w:w="3544" w:type="dxa"/>
          </w:tcPr>
          <w:p w14:paraId="7F8F528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5187</w:t>
            </w:r>
          </w:p>
        </w:tc>
      </w:tr>
      <w:tr w:rsidR="004E10C1" w:rsidRPr="0044524F" w14:paraId="589A237B" w14:textId="77777777">
        <w:tc>
          <w:tcPr>
            <w:tcW w:w="3794" w:type="dxa"/>
          </w:tcPr>
          <w:p w14:paraId="0AA2CC2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1/Х-33</w:t>
            </w:r>
          </w:p>
        </w:tc>
        <w:tc>
          <w:tcPr>
            <w:tcW w:w="3544" w:type="dxa"/>
          </w:tcPr>
          <w:p w14:paraId="227E0BD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5987</w:t>
            </w:r>
          </w:p>
        </w:tc>
      </w:tr>
      <w:tr w:rsidR="004E10C1" w:rsidRPr="0044524F" w14:paraId="2A198744" w14:textId="77777777">
        <w:tc>
          <w:tcPr>
            <w:tcW w:w="3794" w:type="dxa"/>
          </w:tcPr>
          <w:p w14:paraId="2C500BB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Обслуживающий персонал</w:t>
            </w:r>
          </w:p>
        </w:tc>
        <w:tc>
          <w:tcPr>
            <w:tcW w:w="3544" w:type="dxa"/>
          </w:tcPr>
          <w:p w14:paraId="15DF1446"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6F4285CE" w14:textId="77777777">
        <w:tc>
          <w:tcPr>
            <w:tcW w:w="3794" w:type="dxa"/>
          </w:tcPr>
          <w:p w14:paraId="3066FA4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1\1-33</w:t>
            </w:r>
          </w:p>
        </w:tc>
        <w:tc>
          <w:tcPr>
            <w:tcW w:w="3544" w:type="dxa"/>
          </w:tcPr>
          <w:p w14:paraId="799BF63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r>
      <w:tr w:rsidR="004E10C1" w:rsidRPr="0044524F" w14:paraId="4CF92281" w14:textId="77777777">
        <w:tc>
          <w:tcPr>
            <w:tcW w:w="3794" w:type="dxa"/>
          </w:tcPr>
          <w:p w14:paraId="6614359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1/Х-33</w:t>
            </w:r>
          </w:p>
        </w:tc>
        <w:tc>
          <w:tcPr>
            <w:tcW w:w="3544" w:type="dxa"/>
          </w:tcPr>
          <w:p w14:paraId="305877D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756</w:t>
            </w:r>
          </w:p>
        </w:tc>
      </w:tr>
      <w:tr w:rsidR="004E10C1" w:rsidRPr="0044524F" w14:paraId="564FF4B5" w14:textId="77777777">
        <w:tc>
          <w:tcPr>
            <w:tcW w:w="3794" w:type="dxa"/>
          </w:tcPr>
          <w:p w14:paraId="0CAD94B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Охрана, ОРС, ФЗУ, ВНК и др.</w:t>
            </w:r>
          </w:p>
        </w:tc>
        <w:tc>
          <w:tcPr>
            <w:tcW w:w="3544" w:type="dxa"/>
          </w:tcPr>
          <w:p w14:paraId="7A2E1E5E"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56EFEE91" w14:textId="77777777">
        <w:tc>
          <w:tcPr>
            <w:tcW w:w="3794" w:type="dxa"/>
          </w:tcPr>
          <w:p w14:paraId="546BA7A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1/1-33</w:t>
            </w:r>
          </w:p>
        </w:tc>
        <w:tc>
          <w:tcPr>
            <w:tcW w:w="3544" w:type="dxa"/>
          </w:tcPr>
          <w:p w14:paraId="410AD09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1225</w:t>
            </w:r>
          </w:p>
        </w:tc>
      </w:tr>
      <w:tr w:rsidR="004E10C1" w:rsidRPr="0044524F" w14:paraId="278F8030" w14:textId="77777777">
        <w:tc>
          <w:tcPr>
            <w:tcW w:w="3794" w:type="dxa"/>
          </w:tcPr>
          <w:p w14:paraId="4DA00AB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1/Х-33</w:t>
            </w:r>
          </w:p>
        </w:tc>
        <w:tc>
          <w:tcPr>
            <w:tcW w:w="3544" w:type="dxa"/>
          </w:tcPr>
          <w:p w14:paraId="0FC8DB3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882</w:t>
            </w:r>
          </w:p>
        </w:tc>
      </w:tr>
      <w:tr w:rsidR="004E10C1" w:rsidRPr="0044524F" w14:paraId="452969ED" w14:textId="77777777">
        <w:tc>
          <w:tcPr>
            <w:tcW w:w="3794" w:type="dxa"/>
          </w:tcPr>
          <w:p w14:paraId="473580C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по ЦАГИ</w:t>
            </w:r>
          </w:p>
        </w:tc>
        <w:tc>
          <w:tcPr>
            <w:tcW w:w="3544" w:type="dxa"/>
          </w:tcPr>
          <w:p w14:paraId="6A9A8691"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r w:rsidR="004E10C1" w:rsidRPr="0044524F" w14:paraId="358B72D6" w14:textId="77777777">
        <w:tc>
          <w:tcPr>
            <w:tcW w:w="3794" w:type="dxa"/>
          </w:tcPr>
          <w:p w14:paraId="60D18F9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1/1-33</w:t>
            </w:r>
          </w:p>
        </w:tc>
        <w:tc>
          <w:tcPr>
            <w:tcW w:w="3544" w:type="dxa"/>
          </w:tcPr>
          <w:p w14:paraId="627ECD0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7576</w:t>
            </w:r>
          </w:p>
        </w:tc>
      </w:tr>
      <w:tr w:rsidR="004E10C1" w:rsidRPr="0044524F" w14:paraId="161C9862" w14:textId="77777777">
        <w:tc>
          <w:tcPr>
            <w:tcW w:w="3794" w:type="dxa"/>
            <w:tcBorders>
              <w:bottom w:val="single" w:sz="12" w:space="0" w:color="auto"/>
            </w:tcBorders>
          </w:tcPr>
          <w:p w14:paraId="41C13C8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на1/Х-33</w:t>
            </w:r>
          </w:p>
        </w:tc>
        <w:tc>
          <w:tcPr>
            <w:tcW w:w="3544" w:type="dxa"/>
            <w:tcBorders>
              <w:bottom w:val="single" w:sz="12" w:space="0" w:color="auto"/>
            </w:tcBorders>
          </w:tcPr>
          <w:p w14:paraId="2D3CF1F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7605</w:t>
            </w:r>
          </w:p>
        </w:tc>
      </w:tr>
    </w:tbl>
    <w:p w14:paraId="620EABC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КО ЦАГИ имеет 1247 чел., из них инженеров 163, техников 223, практ. Работников 284, прочих ИТР 36, чертежников 236, конструкторского персонала 152, рабочих 975, МОП 58, учеников 2.</w:t>
      </w:r>
    </w:p>
    <w:p w14:paraId="67E1231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ЗОК имеет 3205, их них произв. рабочих 1789</w:t>
      </w:r>
    </w:p>
    <w:p w14:paraId="430C513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Затраты рабвремени по КО следующие: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4524F" w14:paraId="55B7CFA4" w14:textId="77777777">
        <w:tc>
          <w:tcPr>
            <w:tcW w:w="3757" w:type="dxa"/>
            <w:tcBorders>
              <w:top w:val="single" w:sz="12" w:space="0" w:color="auto"/>
            </w:tcBorders>
          </w:tcPr>
          <w:p w14:paraId="4A93C03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w:t>
            </w:r>
          </w:p>
        </w:tc>
        <w:tc>
          <w:tcPr>
            <w:tcW w:w="3757" w:type="dxa"/>
            <w:tcBorders>
              <w:top w:val="single" w:sz="12" w:space="0" w:color="auto"/>
            </w:tcBorders>
          </w:tcPr>
          <w:p w14:paraId="2141915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553000</w:t>
            </w:r>
          </w:p>
        </w:tc>
        <w:tc>
          <w:tcPr>
            <w:tcW w:w="3757" w:type="dxa"/>
            <w:tcBorders>
              <w:top w:val="single" w:sz="12" w:space="0" w:color="auto"/>
            </w:tcBorders>
          </w:tcPr>
          <w:p w14:paraId="6B707EA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w:t>
            </w:r>
          </w:p>
        </w:tc>
      </w:tr>
      <w:tr w:rsidR="004E10C1" w:rsidRPr="0044524F" w14:paraId="776F6A7B" w14:textId="77777777">
        <w:tc>
          <w:tcPr>
            <w:tcW w:w="3757" w:type="dxa"/>
          </w:tcPr>
          <w:p w14:paraId="07A5B3E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экспериментальные работы</w:t>
            </w:r>
          </w:p>
        </w:tc>
        <w:tc>
          <w:tcPr>
            <w:tcW w:w="3757" w:type="dxa"/>
          </w:tcPr>
          <w:p w14:paraId="7AF358E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49000</w:t>
            </w:r>
          </w:p>
        </w:tc>
        <w:tc>
          <w:tcPr>
            <w:tcW w:w="3757" w:type="dxa"/>
          </w:tcPr>
          <w:p w14:paraId="64A70B7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r>
      <w:tr w:rsidR="004E10C1" w:rsidRPr="0044524F" w14:paraId="3213D28F" w14:textId="77777777">
        <w:tc>
          <w:tcPr>
            <w:tcW w:w="3757" w:type="dxa"/>
          </w:tcPr>
          <w:p w14:paraId="0854EED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3757" w:type="dxa"/>
          </w:tcPr>
          <w:p w14:paraId="3D5C69A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148000</w:t>
            </w:r>
          </w:p>
        </w:tc>
        <w:tc>
          <w:tcPr>
            <w:tcW w:w="3757" w:type="dxa"/>
          </w:tcPr>
          <w:p w14:paraId="1D4D1B0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2116C01B" w14:textId="77777777">
        <w:tc>
          <w:tcPr>
            <w:tcW w:w="3757" w:type="dxa"/>
          </w:tcPr>
          <w:p w14:paraId="3D81960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оборудование</w:t>
            </w:r>
          </w:p>
        </w:tc>
        <w:tc>
          <w:tcPr>
            <w:tcW w:w="3757" w:type="dxa"/>
          </w:tcPr>
          <w:p w14:paraId="2F669CA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46000</w:t>
            </w:r>
          </w:p>
        </w:tc>
        <w:tc>
          <w:tcPr>
            <w:tcW w:w="3757" w:type="dxa"/>
          </w:tcPr>
          <w:p w14:paraId="0E95BA3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r>
      <w:tr w:rsidR="004E10C1" w:rsidRPr="0044524F" w14:paraId="570C0522" w14:textId="77777777">
        <w:tc>
          <w:tcPr>
            <w:tcW w:w="3757" w:type="dxa"/>
          </w:tcPr>
          <w:p w14:paraId="00D48EA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757" w:type="dxa"/>
          </w:tcPr>
          <w:p w14:paraId="75712AA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86000</w:t>
            </w:r>
          </w:p>
        </w:tc>
        <w:tc>
          <w:tcPr>
            <w:tcW w:w="3757" w:type="dxa"/>
          </w:tcPr>
          <w:p w14:paraId="117F2DC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r>
      <w:tr w:rsidR="004E10C1" w:rsidRPr="0044524F" w14:paraId="6C754472" w14:textId="77777777">
        <w:tc>
          <w:tcPr>
            <w:tcW w:w="3757" w:type="dxa"/>
          </w:tcPr>
          <w:p w14:paraId="032DBB0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оперение и се-</w:t>
            </w:r>
          </w:p>
        </w:tc>
        <w:tc>
          <w:tcPr>
            <w:tcW w:w="3757" w:type="dxa"/>
          </w:tcPr>
          <w:p w14:paraId="0C6CAE9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85000</w:t>
            </w:r>
          </w:p>
        </w:tc>
        <w:tc>
          <w:tcPr>
            <w:tcW w:w="3757" w:type="dxa"/>
          </w:tcPr>
          <w:p w14:paraId="4071E54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r>
      <w:tr w:rsidR="004E10C1" w:rsidRPr="0044524F" w14:paraId="46D8A5FB" w14:textId="77777777">
        <w:tc>
          <w:tcPr>
            <w:tcW w:w="3757" w:type="dxa"/>
          </w:tcPr>
          <w:p w14:paraId="69CFC9C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винты и лыжи</w:t>
            </w:r>
          </w:p>
        </w:tc>
        <w:tc>
          <w:tcPr>
            <w:tcW w:w="3757" w:type="dxa"/>
          </w:tcPr>
          <w:p w14:paraId="637C43E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17000</w:t>
            </w:r>
          </w:p>
        </w:tc>
        <w:tc>
          <w:tcPr>
            <w:tcW w:w="3757" w:type="dxa"/>
          </w:tcPr>
          <w:p w14:paraId="3145339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5567A1C1" w14:textId="77777777">
        <w:tc>
          <w:tcPr>
            <w:tcW w:w="3757" w:type="dxa"/>
            <w:tcBorders>
              <w:bottom w:val="single" w:sz="12" w:space="0" w:color="auto"/>
            </w:tcBorders>
          </w:tcPr>
          <w:p w14:paraId="006479A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984000 час.</w:t>
            </w:r>
          </w:p>
        </w:tc>
        <w:tc>
          <w:tcPr>
            <w:tcW w:w="3757" w:type="dxa"/>
            <w:tcBorders>
              <w:bottom w:val="single" w:sz="12" w:space="0" w:color="auto"/>
            </w:tcBorders>
          </w:tcPr>
          <w:p w14:paraId="299B017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3757" w:type="dxa"/>
            <w:tcBorders>
              <w:bottom w:val="single" w:sz="12" w:space="0" w:color="auto"/>
            </w:tcBorders>
          </w:tcPr>
          <w:p w14:paraId="3A93DBE5" w14:textId="77777777" w:rsidR="001E1317" w:rsidRPr="0044524F" w:rsidRDefault="001E1317" w:rsidP="009654CF">
            <w:pPr>
              <w:spacing w:after="0" w:line="240" w:lineRule="auto"/>
              <w:jc w:val="both"/>
              <w:rPr>
                <w:rFonts w:ascii="Times New Roman" w:hAnsi="Times New Roman"/>
                <w:color w:val="000000" w:themeColor="text1"/>
                <w:sz w:val="16"/>
                <w:szCs w:val="16"/>
              </w:rPr>
            </w:pPr>
          </w:p>
        </w:tc>
      </w:tr>
    </w:tbl>
    <w:p w14:paraId="03B5407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этого перечня видно, что лишь половина производственной мощности КО ЦАГИ идет на самолетостроительные работы.</w:t>
      </w:r>
    </w:p>
    <w:p w14:paraId="5B77809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сравнению с прошлям годом ЦАГИ стал значительно больше времени уделять конструированию новых самолетов, ибо в прошлом 1932 году из всего бюджета времени на новые самолеты уходило лишь 30-32% времени.</w:t>
      </w:r>
    </w:p>
    <w:p w14:paraId="128C9C1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Причины неудовлетворительной работы:</w:t>
      </w:r>
    </w:p>
    <w:p w14:paraId="374BD3A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отсутствие достаточного количества площадей производства, что вызывало необходимость располагать строительство самолетов в несколько этажей (один самолет над другим), чем стеснялось движение и снижалась производительность труда,</w:t>
      </w:r>
    </w:p>
    <w:p w14:paraId="730460B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отсутствие достаточного количества оборудования, в особенности точного для прецизионных мастерских и станочного оборудования для работ по вооружению и оборудованию самолетов.</w:t>
      </w:r>
    </w:p>
    <w:p w14:paraId="09FF80F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низкая квалификация рабочего состава ЦАГИ</w:t>
      </w:r>
    </w:p>
    <w:p w14:paraId="2A040D0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неблагоустроенность территории завода и недостаточность производственных помещений КО и завода</w:t>
      </w:r>
    </w:p>
    <w:p w14:paraId="78758CD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недостаточное количество складских помещений для ОЭЛИД (ангары)</w:t>
      </w:r>
    </w:p>
    <w:p w14:paraId="50A88A7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катастрофическое положение с автотранспортом, каковой в ЦАГИ имеется в совершенно недостаточном количестве</w:t>
      </w:r>
    </w:p>
    <w:p w14:paraId="6CD3DA6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чрезвычайная стесненность в жилищных площадях, что препятствует комплектование квалифицированными кадрами</w:t>
      </w:r>
    </w:p>
    <w:p w14:paraId="166E9AF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недостаточность финансирования, препятствующее нормальному росту ЦАГИ</w:t>
      </w:r>
    </w:p>
    <w:p w14:paraId="2C3B4E1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отсутствие летного состава для ОЭЛИД и гидробазы</w:t>
      </w:r>
    </w:p>
    <w:p w14:paraId="7A2FC52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устарелость и недостаточность лабораторного оборудования и специальных устройств в НИС</w:t>
      </w:r>
    </w:p>
    <w:p w14:paraId="15AC8D7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 затруднения с капстроительством, объем которого не соответствует потребностям</w:t>
      </w:r>
    </w:p>
    <w:p w14:paraId="17BAFB2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 недостаточная производственная база ОРС и недостаточное его финансирование, препятствующие хорошему снабжению.</w:t>
      </w:r>
    </w:p>
    <w:p w14:paraId="7B41A52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Ближайшие задачи, над которыми работает ЦАГИ - постройка по заданию Правительства самолетов МДР-4 и МК и сдача их в серию; постройка самолетов "Максим Горький", истребителя И-14 и МИ-3 (2281,37).</w:t>
      </w:r>
    </w:p>
    <w:p w14:paraId="206922BB"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7C6632E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1933 закончились гос. испытания турельных авиационных пулеметов калибра 7,62 мм ШКАС-МК-1933 г. за NN 290, 301, 302, 303 и 310, которые проходили с 14 октября 1933 (3053).</w:t>
      </w:r>
    </w:p>
    <w:p w14:paraId="77BABE7F"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22B098B" w14:textId="77777777" w:rsidR="00562118" w:rsidRPr="0044524F" w:rsidRDefault="00562118"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819F9A1" w14:textId="77777777" w:rsidR="00562118" w:rsidRPr="0044524F" w:rsidRDefault="00562118" w:rsidP="009654CF">
      <w:pPr>
        <w:spacing w:after="0" w:line="240" w:lineRule="auto"/>
        <w:jc w:val="both"/>
        <w:rPr>
          <w:rFonts w:ascii="Times New Roman" w:hAnsi="Times New Roman"/>
          <w:iCs/>
          <w:color w:val="000000" w:themeColor="text1"/>
          <w:sz w:val="16"/>
          <w:szCs w:val="16"/>
        </w:rPr>
      </w:pPr>
    </w:p>
    <w:p w14:paraId="713303BD"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29 октября 1933 г. В докладной записке о ходе работ по БД-2, составленной старшим военным представителем УММ РККА на ХПЗ А.Р. Луценко, говорилось:</w:t>
      </w:r>
    </w:p>
    <w:p w14:paraId="4D23594E"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производится установка "БД-2" на "БТ-5".</w:t>
      </w:r>
    </w:p>
    <w:p w14:paraId="6025D1B0"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графику работ намечено закончить монтаж машины в целом к 2-му Ноября с.г. и приступить к испытаниям пробегом 3/XI-33 г.</w:t>
      </w:r>
    </w:p>
    <w:p w14:paraId="25EA2A4D"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30/Х выполнены следующие работы:</w:t>
      </w:r>
    </w:p>
    <w:p w14:paraId="23658BE3"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Установлена коробка скоростей и бортовые фрикционы.</w:t>
      </w:r>
    </w:p>
    <w:p w14:paraId="09B45AFC"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Установлен дизель в машину.</w:t>
      </w:r>
    </w:p>
    <w:p w14:paraId="67132F04"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Производится установка: радиаторов, проводка системы питания горючим, маслопровода, баллонов и магистрали воздушного запуска».</w:t>
      </w:r>
    </w:p>
    <w:p w14:paraId="65FF9281"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[РГВА. Ф. 31811. Оп. 3. Д. 152. Л. 103] (24856).</w:t>
      </w:r>
    </w:p>
    <w:p w14:paraId="18A447D7" w14:textId="77777777" w:rsidR="00C56BA7" w:rsidRPr="0044524F" w:rsidRDefault="00C56BA7" w:rsidP="009654CF">
      <w:pPr>
        <w:spacing w:after="0" w:line="240" w:lineRule="auto"/>
        <w:jc w:val="both"/>
        <w:rPr>
          <w:rFonts w:ascii="Times New Roman" w:hAnsi="Times New Roman"/>
          <w:color w:val="000000" w:themeColor="text1"/>
          <w:sz w:val="16"/>
          <w:szCs w:val="16"/>
        </w:rPr>
      </w:pPr>
    </w:p>
    <w:p w14:paraId="778A710C"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1933. На заводе "Динамо" закончили сборку первых двух троллейбусов "АК". Коллектив рабочих завода постановил назвать троллейбусы этой серии именем Кагановича (18722).</w:t>
      </w:r>
    </w:p>
    <w:p w14:paraId="151FD837" w14:textId="77777777" w:rsidR="00562118" w:rsidRPr="0044524F" w:rsidRDefault="00562118" w:rsidP="009654CF">
      <w:pPr>
        <w:spacing w:after="0" w:line="240" w:lineRule="auto"/>
        <w:jc w:val="both"/>
        <w:rPr>
          <w:rFonts w:ascii="Times New Roman" w:hAnsi="Times New Roman"/>
          <w:color w:val="000000" w:themeColor="text1"/>
          <w:sz w:val="16"/>
          <w:szCs w:val="16"/>
        </w:rPr>
      </w:pPr>
    </w:p>
    <w:p w14:paraId="01B67D64"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0F51CC6"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665DC1A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октября 1933 Начальник НИИ ВВС Зильберт утвердил Отчет по гос. испытаниям турельных авиационных пулеметов калибра 7,62 мм ШКАС-МК-1933 г. за NN 290, 301, 302, 303 и 310</w:t>
      </w:r>
    </w:p>
    <w:p w14:paraId="35DB1FD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Начато - 14 октября 1933 года</w:t>
      </w:r>
    </w:p>
    <w:p w14:paraId="3260BAA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Окончено 29 октября 1933 года</w:t>
      </w:r>
    </w:p>
    <w:p w14:paraId="43E603D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 и заключение</w:t>
      </w:r>
    </w:p>
    <w:p w14:paraId="6A2F3C0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Предъявленные образцы испытание выдержали (3053).</w:t>
      </w:r>
    </w:p>
    <w:p w14:paraId="311DE2D5"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F70B7B2" w14:textId="680D0AD6" w:rsidR="00C56BA7" w:rsidRPr="0044524F" w:rsidRDefault="00C56BA7"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AFC89DC" w14:textId="77777777" w:rsidR="00C56BA7" w:rsidRPr="0044524F" w:rsidRDefault="00C56BA7" w:rsidP="009654CF">
      <w:pPr>
        <w:spacing w:after="0" w:line="240" w:lineRule="auto"/>
        <w:jc w:val="both"/>
        <w:rPr>
          <w:rFonts w:ascii="Times New Roman" w:hAnsi="Times New Roman"/>
          <w:i/>
          <w:iCs/>
          <w:color w:val="000000" w:themeColor="text1"/>
          <w:sz w:val="16"/>
          <w:szCs w:val="16"/>
        </w:rPr>
      </w:pPr>
    </w:p>
    <w:p w14:paraId="15417366"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октября 1933 г.</w:t>
      </w:r>
    </w:p>
    <w:p w14:paraId="0AF4DC8D"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РГВА Фонд 31811 Опись 3 Дело 152 лист 103 </w:t>
      </w:r>
    </w:p>
    <w:p w14:paraId="6EBDC2E8"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Секретно </w:t>
      </w:r>
    </w:p>
    <w:p w14:paraId="00EB30E3"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093 </w:t>
      </w:r>
    </w:p>
    <w:p w14:paraId="59BF343A"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30/X-1933 г.</w:t>
      </w:r>
    </w:p>
    <w:p w14:paraId="17438504"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НАЧАЛЬНИКУ III-го УПРАВЛЕНИЯ УММ РККА </w:t>
      </w:r>
    </w:p>
    <w:p w14:paraId="1452B7A2"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ЛЕБЕДЕВУ</w:t>
      </w:r>
    </w:p>
    <w:p w14:paraId="445B78C6"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ДОКЛАДНАЯ ЗАПИСКА </w:t>
      </w:r>
    </w:p>
    <w:p w14:paraId="0435233E"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работ по "БД-2" на 30-е Октября 33 г.</w:t>
      </w:r>
    </w:p>
    <w:p w14:paraId="0595B6CD"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После предварительной обкатки на станде "БД-2" 27/Х с.г. были произведены испытания дизеля под нагрузкой по следующему режиму: </w:t>
      </w:r>
    </w:p>
    <w:p w14:paraId="5B928F91"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Число об/м – 1500, Nе (эффект. мощ.) 270, время – 1 ч. 25 м. </w:t>
      </w:r>
    </w:p>
    <w:p w14:paraId="209A9741"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Число об/м – 1600, Nе (эффект. мощ.) 300, время – 30 м. </w:t>
      </w:r>
    </w:p>
    <w:p w14:paraId="65A94977"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Число об/м – 1700, Nе (эффект. мощ.) 360, время – 5 м. </w:t>
      </w:r>
    </w:p>
    <w:p w14:paraId="2A74448E"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Итого – 2 ч. </w:t>
      </w:r>
    </w:p>
    <w:p w14:paraId="4976CBC2"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Результаты испытания следующие: </w:t>
      </w:r>
    </w:p>
    <w:p w14:paraId="6D73B8F3"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Дизель непрерывно работал на эксплоатационной мощности (270 НР) 1500 об/м – 1 ч. 25 м. Во время работы пробило прокладку под головкой 3-го цилиндра левой группы и слегка пропускали прокладки в остальных цилиндрах обеих групп. Дизель был остановлен для замены прокладок. </w:t>
      </w:r>
    </w:p>
    <w:p w14:paraId="0B8B3C90"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После этого дизель непрерывно проработал: </w:t>
      </w:r>
    </w:p>
    <w:p w14:paraId="779F2492"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На номинальной мощности (300 НР) при 1600 об/м – 30 мин. </w:t>
      </w:r>
    </w:p>
    <w:p w14:paraId="2F4AE116"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На максимальной мощности (360 НР) при 1700 об/м – 5 мин. </w:t>
      </w:r>
    </w:p>
    <w:p w14:paraId="66A9E022"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 время 2-х часового испытания дефектов в работе дизеля не обнаружено. Средние показания во время испытания при сем прилагается. </w:t>
      </w:r>
    </w:p>
    <w:p w14:paraId="1E085BB5"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настоящее время производится установка "БД-2" на "БТ-5". </w:t>
      </w:r>
    </w:p>
    <w:p w14:paraId="41B3030C"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графику работ намечено закончить монтаж машины в целом к 2-му Ноября с.г. и приступить к испытаниям пробегом 3/XI-33 г. </w:t>
      </w:r>
    </w:p>
    <w:p w14:paraId="0B88CA77"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30/Х выполнены следующие работы: </w:t>
      </w:r>
    </w:p>
    <w:p w14:paraId="19CBE850"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Установлена коробка скоростей и бортовые фрикционы. </w:t>
      </w:r>
    </w:p>
    <w:p w14:paraId="3E9BF791"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Установлен дизель в машину. </w:t>
      </w:r>
    </w:p>
    <w:p w14:paraId="0075397D"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Производится установка: радиаторов, проводки системы питания горючим, маслопровода, баллонов и магистрали воздушного запуска.</w:t>
      </w:r>
    </w:p>
    <w:p w14:paraId="2C2B32A6"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СТАРШИЙ ВОЕНПРЕД УММ РККА подпись (ЛУЦЕНКО)</w:t>
      </w:r>
    </w:p>
    <w:p w14:paraId="1042D3AA"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Отп. 2 экз. </w:t>
      </w:r>
    </w:p>
    <w:p w14:paraId="6EBED910"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Исп. Чернявский </w:t>
      </w:r>
    </w:p>
    <w:p w14:paraId="2A9A3B21"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документе помета: «Результаты как будто бы хорошие. 5/XI подпись И.А. Лебедева» (24884).</w:t>
      </w:r>
    </w:p>
    <w:p w14:paraId="79DB2A0A" w14:textId="77777777" w:rsidR="00C56BA7" w:rsidRPr="0044524F" w:rsidRDefault="00C56BA7" w:rsidP="009654CF">
      <w:pPr>
        <w:spacing w:after="0" w:line="240" w:lineRule="auto"/>
        <w:jc w:val="both"/>
        <w:rPr>
          <w:rFonts w:ascii="Times New Roman" w:hAnsi="Times New Roman"/>
          <w:color w:val="000000" w:themeColor="text1"/>
          <w:sz w:val="16"/>
          <w:szCs w:val="16"/>
        </w:rPr>
      </w:pPr>
    </w:p>
    <w:p w14:paraId="6293D181" w14:textId="024422ED"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BD930AE"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362D75DA"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октября 1933 в Испании создана фашистская партия - Фаланга. (4962).</w:t>
      </w:r>
    </w:p>
    <w:p w14:paraId="090F0297"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p>
    <w:p w14:paraId="455BF38C" w14:textId="77777777" w:rsidR="003172F1" w:rsidRPr="0044524F" w:rsidRDefault="003172F1"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39B26EF" w14:textId="77777777" w:rsidR="003172F1" w:rsidRPr="0044524F" w:rsidRDefault="003172F1" w:rsidP="009654CF">
      <w:pPr>
        <w:spacing w:after="0" w:line="240" w:lineRule="auto"/>
        <w:jc w:val="both"/>
        <w:rPr>
          <w:rFonts w:ascii="Times New Roman" w:hAnsi="Times New Roman"/>
          <w:iCs/>
          <w:color w:val="000000" w:themeColor="text1"/>
          <w:sz w:val="16"/>
          <w:szCs w:val="16"/>
        </w:rPr>
      </w:pPr>
    </w:p>
    <w:p w14:paraId="1ACBB12B"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октября 1933 года — первый полёт многоцелевого военного самолёта Westland PV.7. /Англия/</w:t>
      </w:r>
    </w:p>
    <w:p w14:paraId="13588E33"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Спецификация G.4/31 британского авиационного министерства описывала требования к многоцелевому самолёту для замены устаревшего Westland Wapiti. Он должен был объединить в себе роли разведчика, лёгкого бомбардировщика, санитарного самолёта и даже торпедоносца. В частном порядке компания Westland Aircraft начала работать над проектом PV.7.</w:t>
      </w:r>
    </w:p>
    <w:p w14:paraId="4753EA42"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двухместный высокоплан с неубираемым шасси оснащался двигателем Bristol Pegasus IIIM3 (722 л.с.) Максимальная скорость — 278 км/ч, дальность полёта — 620 км. Вооружение состояло из 2 × 7,7-мм пулемётов + 2 × 228-кг бомб или 1 × 500-кг торпеда.</w:t>
      </w:r>
    </w:p>
    <w:p w14:paraId="794EB480"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заводских испытаний самолёт постоянно дорабатывали. В 1934 году PV.7 передали на внешние испытания. Во время пробного пикирования у самолёта отвалилось крыло. Пилоту, к счастью, удалось спасти. Но единственный построенный PV.7 разбился и проект был закрыт (22300).</w:t>
      </w:r>
    </w:p>
    <w:p w14:paraId="5B6F7A20" w14:textId="77777777" w:rsidR="003172F1" w:rsidRPr="0044524F" w:rsidRDefault="003172F1" w:rsidP="009654CF">
      <w:pPr>
        <w:spacing w:after="0" w:line="240" w:lineRule="auto"/>
        <w:jc w:val="both"/>
        <w:rPr>
          <w:rFonts w:ascii="Times New Roman" w:hAnsi="Times New Roman"/>
          <w:color w:val="000000" w:themeColor="text1"/>
          <w:sz w:val="16"/>
          <w:szCs w:val="16"/>
        </w:rPr>
      </w:pPr>
    </w:p>
    <w:p w14:paraId="5EACFF8E"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октября 1933, возвращаясь из путешествия по Африке, Couzinet 33 Biarritz терпит крушение в Блейзи-Ба, Франция (20802).</w:t>
      </w:r>
    </w:p>
    <w:p w14:paraId="2DD4D3F0" w14:textId="77777777" w:rsidR="003172F1" w:rsidRPr="0044524F" w:rsidRDefault="003172F1" w:rsidP="009654CF">
      <w:pPr>
        <w:spacing w:after="0" w:line="240" w:lineRule="auto"/>
        <w:jc w:val="both"/>
        <w:rPr>
          <w:rFonts w:ascii="Times New Roman" w:hAnsi="Times New Roman"/>
          <w:color w:val="000000" w:themeColor="text1"/>
          <w:sz w:val="16"/>
          <w:szCs w:val="16"/>
        </w:rPr>
      </w:pPr>
    </w:p>
    <w:p w14:paraId="58D3607F" w14:textId="77777777" w:rsidR="003172F1" w:rsidRPr="0044524F" w:rsidRDefault="003172F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октября 1933 во время авиашоу в Амарилло, штат Техас, два самолета, принадлежащих труппе летающего цирка, сталкиваются над городом, пролетая над лентами, сброшенными третьим самолетом. Четыре человека на борту двух самолетов погибают (20802).</w:t>
      </w:r>
    </w:p>
    <w:p w14:paraId="4029DED3" w14:textId="77777777" w:rsidR="003172F1" w:rsidRPr="0044524F" w:rsidRDefault="003172F1" w:rsidP="009654CF">
      <w:pPr>
        <w:spacing w:after="0" w:line="240" w:lineRule="auto"/>
        <w:jc w:val="both"/>
        <w:rPr>
          <w:rFonts w:ascii="Times New Roman" w:hAnsi="Times New Roman"/>
          <w:color w:val="000000" w:themeColor="text1"/>
          <w:sz w:val="16"/>
          <w:szCs w:val="16"/>
        </w:rPr>
      </w:pPr>
    </w:p>
    <w:p w14:paraId="1FE31EE5"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724E7F8"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0DE3F87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Н.М.Харламовым был утвержден генплан первой очереди нового ЦАГИ. Решение о начале работ было принято только в апреле 1935 (80,40).</w:t>
      </w:r>
    </w:p>
    <w:p w14:paraId="7DBF2811"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F89CC46"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г. Сообщение Полномочного представительства ОГПУ Северо-Кавказского края и Дагестанской АССР в ЦК ВКП(б) о ликвидации диверсионной группы на авиазаводе № 31 г. Таганрога</w:t>
      </w:r>
    </w:p>
    <w:p w14:paraId="446E7E36"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последнее время, в процессе агентурного обслуживания завода № 31 в г. Таганроге, неоднократно фиксировались случаи производства недоброкачественной</w:t>
      </w:r>
    </w:p>
    <w:p w14:paraId="5DECAB3E"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электропроводки на военных самолетах Р-6, поломок, порчи и хищения аппаратуры и</w:t>
      </w:r>
    </w:p>
    <w:p w14:paraId="5B724A41"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инструментов с самолетов.</w:t>
      </w:r>
    </w:p>
    <w:p w14:paraId="4A978C8F"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Агентурными материалами отмечалось наличие на заводе группы лиц, прибывших из школы авиамотористов Шахтинского осоавиахима, тесно связанных между собой и антисоветски настроенных. В порядке дальнейшей агпроработки было установлено, что 13 октября с. г., в конце дня, одним из участников этой группы, электриком Скоробогатовым, произведен обрыв части электропроводов на самолете Р-6 № 3153, подготовленном к отправке с завода. Скоробогатов был 14-го числа арестован, и по данному делу было развернуто следствие.</w:t>
      </w:r>
    </w:p>
    <w:p w14:paraId="32F827D6"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Скоробогатов, по его показаниям — рождения 1914 г., из семьи кулака, казака станицы Семикаракорской С[еверо-]К[авказского] К[рая], отец его в 1931 г. распродал имущество и, опасаясь высылки, выехал в г. Шахты, где проживал до мая 1933 г., после чего переехал в г. Ростов-на-Дону, где в настоящее время служит в качестве сторожа на «Ростсельмаше». Захар Скоробогатов в мае текущего года в г. Шахтах окончил курсы авиамотористов при Осоавиахиме, после чего в составе слушателей в количестве 25 чел. был командирован на завод № 31. Далее в своих показаниях Скоробогатов Захар указал, что к диверсионной работе он был привлечен в июле месяце т. г. электриком цеха Пилюгиным Федором Сергеевичем, который после совершения целого ряда диверсионных актов, не получив расчета, из Таганрога скрылся. Пилюгин нами арестован. Одновременно была ликвидирована вся группировка, и проходящие по делу в числе 9 чел., арестованы, за исключением Шубина, находящегося сейчас в отпуске.</w:t>
      </w:r>
    </w:p>
    <w:p w14:paraId="751D0711"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Меры к его аресту приняты. Дальнейшими следственно-агентурными мероприятиями вскрыта диверсионная группировка в составе: Шубина, Пилюгина, Скоробогатова Захара, Ушакова, Данилова, Скоробогатова Бориса, Кириченко, Гладуненко, Ермолова и других. Все указанные лица прибыли на завод по окончании школы авиамотористов Шахтинского осоавиахима. По показаниям арестованных, наиболее активным участником данной группировки являлся Шубин Иван — секретарь комсомольской ячейки цеха МОС. Шубин резко антисоветски настроен и разлагающее действовал на беспартийную молодежь.</w:t>
      </w:r>
    </w:p>
    <w:p w14:paraId="75A51E91"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числа арестованных Скоробогатов, Пилюгин, Гладуненко, Кириченко, Данилов и Ушаков сознались в принадлежности к вышеуказанной группировке и в непосредственной диверсионной деятельности.</w:t>
      </w:r>
    </w:p>
    <w:p w14:paraId="5A92A992"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Конкретная диверсионная деятельность группировки, согласно показаниям обвиняемых характеризуется следующим:</w:t>
      </w:r>
    </w:p>
    <w:p w14:paraId="47801A7C"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 показаниям Скоробогатова, им при участии Пилюгина созданы условия аварийности на самолетах Р-6 за №№ 3150, 3151, 3152, уже отправленных в части УВВС. ...1* «В июле месяце текущего года с 8-го числа в течение 10 дней совместно с Пилюгиным производя электропроводку самолетов Р-6 за №№ 3150, 3151, 3152, в хвостовых частях всех самолетов проводили частично разорванные провода, собрав их в жгут. Эти самолеты техническим контролем были приняты и, как мне известно, отправлены с завода в воинские части. При эксплуатации в самое ближайшее время может последовать разрыв проводов ...» ... «Производя электропроводку на самолетах Р-6 Пилюгин заявил мне, что он ставит надорванные провода, обматывая их изоляционной, а затем перкалевой лентой и покрывает их лаком, что делает совершенно незаметным обрыв проводки ...» ... «Таким образом, если бы в полете оборвался провод, идущий от пускового магнето, то при отключении мотора в воздухе невозможно было бы его включить, а полный разрыв проводов, идущих от динамо и от аккумулятора лишал бы самолет освещения...»</w:t>
      </w:r>
    </w:p>
    <w:p w14:paraId="1884D5B9"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Обвиняемый Пилюгин о своей диверсионной деятельности показывает следующее: ... «Мною создавались условия аварийного состояния военных самолетов Р-6, электрооборудованием которых я занимался. Вместе со Скоробогатовым я проводил электропроводку на самолетах Р-6 № 3152 и 3153 и кроме того Скоробогатов самостоятельно производил работы на самолетах Р-6 № 3154 и 3155. Работа была организована таким образом, что провода приходилось сильно натягивать, чтобы пропустить их через отверстие в нервюрах. При натяжке происходила частичная деформация проводов, которые от сотрясения могли оборваться. Кроме того на всех указанных самолетах часть проводки была установлена недоброкачественная, в частности, в хвостовых частях...»</w:t>
      </w:r>
    </w:p>
    <w:p w14:paraId="3B07E968"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 показаниям обвиняемого Данилова:... «Шубин, Ермолов и Гладуненко совершенно сознательно неправильно укрепили корытце маслостекателей, затянув болты и не поставив шайб «Гравера». В результате этого во время нахождения самолета в воздухе болты неизбежно должны открутиться, нарушив деятельность самолета ...» ...«На этом же самолете (Р-6 № 3157) Шубин, Ермолов и Гладуненко явно неправильно произвели работу по калибровке деталей «АМ» благодаря чему в полете мог соскочить хомутик, произведя разрыв в маслопроводе, вызвав в лучшем случае вынужденную посадку, а в худшем — аварию самолета...».</w:t>
      </w:r>
    </w:p>
    <w:p w14:paraId="39921465"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Обвиняемый Гладуненко, подтверждая в своих показаниях проведенные диверсионные акты по маслопроводам, говорит следующее:... «На машине Р-6 № 3157 мною были сделаны следующие дефекты: 1. Неправильно поставлен хомутик крепления маслостекательных трубок. 2. Неправильно поставлена контровка детали «АМ» маслопровода.</w:t>
      </w:r>
    </w:p>
    <w:p w14:paraId="342549D3"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то, что мне были известны все дефекты и могущие быть последствия от них, я, со своей стороны, не принял надлежащих мер к устранению таковых...».</w:t>
      </w:r>
    </w:p>
    <w:p w14:paraId="158DE30B"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Обвиняемый Кириченко, говоря о диверсионной деятельности группы, указывает на приведение в негодность радиаторов:... «В первой половине сентября, работая на самолете Р-6, Гладуненко и Ермолов подпилили подкосы радиаторов, но чтобы скрыть свои преступления, эти подкосы подложили другим ребятам, работающим на другой машине...».</w:t>
      </w:r>
    </w:p>
    <w:p w14:paraId="7F4BEA18"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Характеризуя спаянность группы Кириченко показывает:... «Среди нас, шахтинцев, с первых дней работы на заводе № 31 образовалось очень тесная группа людей, всегда и во всем друг друга поддерживающих... Близкая связь между собой этих лиц еще началась на шахтинских авиакурсах...».</w:t>
      </w:r>
    </w:p>
    <w:p w14:paraId="1E609767"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Обвиняемый Пилюгин об этом дает следующие показания:... «О том, что мы занимались систематическим разрушением самолетов и хищением приборов и материалов с самолетов, знала группа следующих лиц: Ушаков, Ермолов, Шубин, Пономарев, Скоробогатовы и Гладуненко, т. к. и они этим занимались, об этом мне хорошо известно...»</w:t>
      </w:r>
    </w:p>
    <w:p w14:paraId="7A9D077B"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порче приборов и хищениях на самолетах Пилюгин говорит следующее: ...«В августе месяце с. г., по договоренности со Скоробогатовым, в течение 5 дней мы произвели хищения с самолетов АНТ-9 двух магнето, трех наволочек, вольтметра, двух ремней, четырех реостатов и различных инструментов и материалов. В это же время на 2-х самолетах АНТ-9 мы испортили 2 компаса, вылив из них спирт...»</w:t>
      </w:r>
    </w:p>
    <w:p w14:paraId="7534FB4E"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заключению ст[аршего] военного представителя УВВС РККА т. Багрова, в течение 1933 г. военной приемкой было обнаружено в самолетах Р-6 огромное количество производственных дефектов, кои могли повлечь за собой аварии самолетов:</w:t>
      </w:r>
    </w:p>
    <w:p w14:paraId="0C99E8D5"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 Самолет Р-б № 3145 имел 176 производственных дефектов, б) Самолет № 3147 имел 272 дефекта, в) Самолет № 3149 имел 275 дефектов. По документальным данным военпреда, 9 выпущенных самолетов имели в общей сложности 1621 дефект.</w:t>
      </w:r>
    </w:p>
    <w:p w14:paraId="0785F2D9" w14:textId="74CA9A7C"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октября в 9 час. 30 мин. утра на машине Р-6 № 3153 обнаружено повреждение проводов центроплана, умышленно перекушенных в нескольких местах. По подозрению в совершении этого диверсионного акта арестован электрик Полонский, который,</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не имея никакого отношения к этому самолету, был замечен до повреждения в башне этого самолета.</w:t>
      </w:r>
    </w:p>
    <w:p w14:paraId="38C21C8A"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всех самолетах Р-6, находящихся в данное время на заводе № 31, производится тщательная техническая проверка состояния всей электропроводки и особенно тех самолетов, к монтажу которых имели отношение члены контрреволюционной группировки. Производится уточнение пунктов назначения отправленных самолетов и сообщается по месту нахождения для принятия соответствующих мер. Следствие продолжается.</w:t>
      </w:r>
    </w:p>
    <w:p w14:paraId="09CDAC55"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Прилагаются протоколы: Скоробогатова, Пилюгина, Кириченко, Данилова, Ушакова и заключение ст[аршего] военного представителя УВВС РККА т. Багрова.</w:t>
      </w:r>
    </w:p>
    <w:p w14:paraId="3258F652"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77/7 ОГПУ СКК и ДССР Евдокимов</w:t>
      </w:r>
    </w:p>
    <w:p w14:paraId="19EE7F88"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 3. Оп. 58. Д. 348. Л. 29-34. Подлинник.</w:t>
      </w:r>
    </w:p>
    <w:p w14:paraId="6D9F52C7"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Опущен раздел III — «Академичность тем и оторванность их от производства», а также заключительный </w:t>
      </w:r>
    </w:p>
    <w:p w14:paraId="14379C59"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раздел с предложениями по реорганизации опытных работ на заводах военной промышленности.</w:t>
      </w:r>
    </w:p>
    <w:p w14:paraId="3475C625"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Часть доклада в деле отсутствует.</w:t>
      </w:r>
    </w:p>
    <w:p w14:paraId="253F3BAE"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Помета: «Для т. Сталина» (23904).</w:t>
      </w:r>
    </w:p>
    <w:p w14:paraId="05E14B92" w14:textId="77777777" w:rsidR="00C56BA7" w:rsidRPr="0044524F" w:rsidRDefault="00C56BA7" w:rsidP="009654CF">
      <w:pPr>
        <w:spacing w:after="0" w:line="240" w:lineRule="auto"/>
        <w:jc w:val="both"/>
        <w:rPr>
          <w:rFonts w:ascii="Times New Roman" w:hAnsi="Times New Roman"/>
          <w:color w:val="000000" w:themeColor="text1"/>
          <w:sz w:val="16"/>
          <w:szCs w:val="16"/>
        </w:rPr>
      </w:pPr>
    </w:p>
    <w:p w14:paraId="297121A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вышло постановление СТО N 104 об объединении ГДЛ и ГИРД в РНИИ (1232). На самом деле ГДЛ был Ленинградским отделением РНИИ, а РНИИ был в Москве как институт РККА (5380, 23).</w:t>
      </w:r>
    </w:p>
    <w:p w14:paraId="74246804"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321D6B40" w14:textId="77777777" w:rsidR="006C50AE" w:rsidRPr="0044524F" w:rsidRDefault="006C50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г. выходит постановление № 104 Совета Труда и Обороны «Об организации Реактивного научно-исследовательского института», подтверждающее приказ Реввоенсовета и утверждающее подчинение нового института НКТП СССР. (В то же время, чтобы сохранить возможность воздействовать на работу РНИИ, военно-морской наркомат выделяет для руководящего состава института 46 штатных должностей командного состава РККА.) (22685).</w:t>
      </w:r>
    </w:p>
    <w:p w14:paraId="2DA83F02" w14:textId="77777777" w:rsidR="006C50AE" w:rsidRPr="0044524F" w:rsidRDefault="006C50AE" w:rsidP="009654CF">
      <w:pPr>
        <w:spacing w:after="0" w:line="240" w:lineRule="auto"/>
        <w:jc w:val="both"/>
        <w:rPr>
          <w:rFonts w:ascii="Times New Roman" w:hAnsi="Times New Roman"/>
          <w:color w:val="000000" w:themeColor="text1"/>
          <w:sz w:val="16"/>
          <w:szCs w:val="16"/>
        </w:rPr>
      </w:pPr>
    </w:p>
    <w:p w14:paraId="33B760A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года постановлением СТО был организован НИИ № 3 на базе двух организаций, именуемых ранее Газодинамической лабораторией управления военных изобретений и Группой изучения реактивного движения при ЦС ОСО. Первая из этих организаций существовала с 1928 года, а вторая с 1931 года. Причем Газодинамическая лаборатория занималась главным образом разработкой ракет использующих для движущей силы энергию пороха, а группа изучения реактивного движения разрабатывала ракеты, используя для них компоненты жидких топлив (бензин, спирт+жидкий кислород). В результате соединения этих двух групп и оформилась тематика института, направленная на разработку ракетных летательных аппаратов на твердом топливе в виде ракетных снарядов и авиабомб с дополнительной скоростью и ракетных летательных аппаратов на жидком топливе в виде стратосферных ракет, воздушных торпед и непосредственно двигателей на жидком топливе и т.п. (3187).</w:t>
      </w:r>
    </w:p>
    <w:p w14:paraId="1D04DD89"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EB3A0F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принято постановление Совета Труда и Обороны № 104, в котором подтверждался приказ Реввоенсовета! 15 ноября вновь образованный РНИИ передали в ведение Народного комиссариата тяжелой промышленности СССР! Отныне у них свой институт! После подвала на Садово-Спасской помещение института в Лихоборах на окраине Москвы представлялось Королеву царскими хоромами: двухэтажный корпус, к которому примыкал производственный цех. В цеху было полное запустение, по-кладбищенски белели бетонные фундаменты демонтированных машин: здесь размещалась лаборатория дизелей. В корпусе - натоптано, грязь, кучки какого-то домашнего мусора, девушки из ГИРД кричали, что обнаружили клопов. Королев помнил, каким был их подвал на Садовой, пожалуй, еще хуже. Ясно, что снова придется начинать на пустом месте, снова навалятся нескончаемые хозяйственные и организационные заботы. У пионеров науки и техники разные судьбы. Для великого Тихо Браге датский король построил целый научный городок -Ураниборг - столицу Урании, богини астрономии. Менделеев трудился в теплом уюте Петербургского университета. Эрнест Резерфорд обосновался в Кембридже, в прекрасно оборудованной Кавендишской лаборатории. Сергей Королев всю жизнь начинал с нуля: в 1931 году - ГИРД, 1934-м - РНИИ, в 1946-м - Подлипки и Капустин Яр, в 1955-м - Тюратам. Быть пионером - трудно, но во сто крат труднее создавать новое в условиях, мешающих создавать новое. Значит, придется останавливаться. Останавливаться, чтобы следующий шаг был шире (11143).</w:t>
      </w:r>
    </w:p>
    <w:p w14:paraId="2C322507"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1AC3517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г. в соответствии с Постановлением Совета Труда и Обороны за №104/сс и приказом НКТП от 4 ноября 1933 г. за № 198с. Состоялось официально рождение РНИИ ГУБ НКТП (с 30 декабря 1936 г. -НИИ-3 НКОП, ныне - Федеральный ракетостроительный центр имени академика М.В.Келдыша). Основным направлением деятельно</w:t>
      </w:r>
      <w:r w:rsidRPr="0044524F">
        <w:rPr>
          <w:rFonts w:ascii="Times New Roman" w:hAnsi="Times New Roman"/>
          <w:color w:val="000000" w:themeColor="text1"/>
          <w:sz w:val="16"/>
          <w:szCs w:val="16"/>
        </w:rPr>
        <w:softHyphen/>
        <w:t>сти института была определена «организация и проведение теоретиче</w:t>
      </w:r>
      <w:r w:rsidRPr="0044524F">
        <w:rPr>
          <w:rFonts w:ascii="Times New Roman" w:hAnsi="Times New Roman"/>
          <w:color w:val="000000" w:themeColor="text1"/>
          <w:sz w:val="16"/>
          <w:szCs w:val="16"/>
        </w:rPr>
        <w:softHyphen/>
        <w:t>ских и экспериментально-исследовательских работ в области ракетного движения с целью создания ракетных аппаратов и снарядов, предназна</w:t>
      </w:r>
      <w:r w:rsidRPr="0044524F">
        <w:rPr>
          <w:rFonts w:ascii="Times New Roman" w:hAnsi="Times New Roman"/>
          <w:color w:val="000000" w:themeColor="text1"/>
          <w:sz w:val="16"/>
          <w:szCs w:val="16"/>
        </w:rPr>
        <w:softHyphen/>
        <w:t>ченных для использования в различных областях военной техники и на</w:t>
      </w:r>
      <w:r w:rsidRPr="0044524F">
        <w:rPr>
          <w:rFonts w:ascii="Times New Roman" w:hAnsi="Times New Roman"/>
          <w:color w:val="000000" w:themeColor="text1"/>
          <w:sz w:val="16"/>
          <w:szCs w:val="16"/>
        </w:rPr>
        <w:softHyphen/>
        <w:t>родного хозяйства».</w:t>
      </w:r>
    </w:p>
    <w:p w14:paraId="5219067D"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Утверждают, что в одном из интервью с академиком В.П.Глушко на вопрос, кто, помимо всемирно известных советских ученых, способство</w:t>
      </w:r>
      <w:r w:rsidRPr="0044524F">
        <w:rPr>
          <w:rFonts w:ascii="Times New Roman" w:hAnsi="Times New Roman"/>
          <w:color w:val="000000" w:themeColor="text1"/>
          <w:sz w:val="16"/>
          <w:szCs w:val="16"/>
        </w:rPr>
        <w:softHyphen/>
        <w:t>вал становлению ракетного дела в СССР, тот ответил: «Первым я бы по</w:t>
      </w:r>
      <w:r w:rsidRPr="0044524F">
        <w:rPr>
          <w:rFonts w:ascii="Times New Roman" w:hAnsi="Times New Roman"/>
          <w:color w:val="000000" w:themeColor="text1"/>
          <w:sz w:val="16"/>
          <w:szCs w:val="16"/>
        </w:rPr>
        <w:softHyphen/>
        <w:t>ставил Михаила Николаевича Тухачевского». В своих мемуарах Маршал Советского Союза Г.К.Жуков отзывался о М.Н.Тухачевском, как об ум</w:t>
      </w:r>
      <w:r w:rsidRPr="0044524F">
        <w:rPr>
          <w:rFonts w:ascii="Times New Roman" w:hAnsi="Times New Roman"/>
          <w:color w:val="000000" w:themeColor="text1"/>
          <w:sz w:val="16"/>
          <w:szCs w:val="16"/>
        </w:rPr>
        <w:softHyphen/>
        <w:t>ном, широко образованном профессиональном военном, великолепно разбиравшемся как в области тактики, так и в стратегических вопросах, хорошо понимавшем роль различных видов наших Вооруженных Сил в современных войнах и творчески решавшем любые проблемы.</w:t>
      </w:r>
    </w:p>
    <w:p w14:paraId="251AD575"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Считается, что к 1932 г. ГДЛ располагала уже целым «отделом приме</w:t>
      </w:r>
      <w:r w:rsidRPr="0044524F">
        <w:rPr>
          <w:rFonts w:ascii="Times New Roman" w:hAnsi="Times New Roman"/>
          <w:color w:val="000000" w:themeColor="text1"/>
          <w:sz w:val="16"/>
          <w:szCs w:val="16"/>
        </w:rPr>
        <w:softHyphen/>
        <w:t>нения ракет в авиации», который сначала возглавлял В.И.Худяков. Поз</w:t>
      </w:r>
      <w:r w:rsidRPr="0044524F">
        <w:rPr>
          <w:rFonts w:ascii="Times New Roman" w:hAnsi="Times New Roman"/>
          <w:color w:val="000000" w:themeColor="text1"/>
          <w:sz w:val="16"/>
          <w:szCs w:val="16"/>
        </w:rPr>
        <w:softHyphen/>
        <w:t>же на этом посту его сменил В.И.Дудаков. По структуре ГДЛ сфера дея тельности «авиационного отдела» ограничивалась разработкой самолет</w:t>
      </w:r>
      <w:r w:rsidRPr="0044524F">
        <w:rPr>
          <w:rFonts w:ascii="Times New Roman" w:hAnsi="Times New Roman"/>
          <w:color w:val="000000" w:themeColor="text1"/>
          <w:sz w:val="16"/>
          <w:szCs w:val="16"/>
        </w:rPr>
        <w:softHyphen/>
        <w:t>ных пусковых установок (11402).</w:t>
      </w:r>
    </w:p>
    <w:p w14:paraId="117BC080"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p>
    <w:p w14:paraId="53949D8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вышло правительственное постановление о создании РНИИ (274).</w:t>
      </w:r>
    </w:p>
    <w:p w14:paraId="076D2D2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Нет, оно было 21 сентября, а в этот день был основан РНИИ на основе ленинградской ГДЛ и московского ГИРД (1136,265).</w:t>
      </w:r>
    </w:p>
    <w:p w14:paraId="0268E49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Нет, в этот день РНИИ передали НКТП по постановлению СТО (2990).</w:t>
      </w:r>
    </w:p>
    <w:p w14:paraId="0D173986"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4F067F08" w14:textId="77777777" w:rsidR="00F46121" w:rsidRPr="0044524F" w:rsidRDefault="00F46121" w:rsidP="009654CF">
      <w:pPr>
        <w:pStyle w:val="rtejustify"/>
        <w:spacing w:before="0" w:after="0"/>
        <w:rPr>
          <w:color w:val="000000" w:themeColor="text1"/>
          <w:sz w:val="16"/>
          <w:szCs w:val="16"/>
        </w:rPr>
      </w:pPr>
      <w:r w:rsidRPr="0044524F">
        <w:rPr>
          <w:rStyle w:val="af0"/>
          <w:bCs/>
          <w:i w:val="0"/>
          <w:color w:val="000000" w:themeColor="text1"/>
          <w:sz w:val="16"/>
          <w:szCs w:val="16"/>
        </w:rPr>
        <w:t>31 октября</w:t>
      </w:r>
      <w:r w:rsidRPr="0044524F">
        <w:rPr>
          <w:color w:val="000000" w:themeColor="text1"/>
          <w:sz w:val="16"/>
          <w:szCs w:val="16"/>
        </w:rPr>
        <w:t xml:space="preserve"> 1933. Постановление СТО СССР № 104сс/о «Об организации Реактивного института». (ГА РФ. Ф. Р</w:t>
      </w:r>
      <w:r w:rsidRPr="0044524F">
        <w:rPr>
          <w:color w:val="000000" w:themeColor="text1"/>
          <w:sz w:val="16"/>
          <w:szCs w:val="16"/>
        </w:rPr>
        <w:noBreakHyphen/>
        <w:t>8418. Оп. 28. Д. 3. Л. 17</w:t>
      </w:r>
      <w:r w:rsidRPr="0044524F">
        <w:rPr>
          <w:color w:val="000000" w:themeColor="text1"/>
          <w:sz w:val="16"/>
          <w:szCs w:val="16"/>
        </w:rPr>
        <w:noBreakHyphen/>
        <w:t>18) (15460).</w:t>
      </w:r>
    </w:p>
    <w:p w14:paraId="47442CF7" w14:textId="77777777" w:rsidR="00F46121" w:rsidRPr="0044524F" w:rsidRDefault="00F46121" w:rsidP="009654CF">
      <w:pPr>
        <w:pStyle w:val="rtejustify"/>
        <w:spacing w:before="0" w:after="0"/>
        <w:rPr>
          <w:color w:val="000000" w:themeColor="text1"/>
          <w:sz w:val="16"/>
          <w:szCs w:val="16"/>
        </w:rPr>
      </w:pPr>
    </w:p>
    <w:p w14:paraId="1D7DCCD6" w14:textId="77777777" w:rsidR="00F46121" w:rsidRPr="0044524F" w:rsidRDefault="00F46121"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eastAsiaTheme="majorEastAsia" w:hAnsi="Times New Roman"/>
          <w:bCs/>
          <w:color w:val="000000" w:themeColor="text1"/>
          <w:sz w:val="16"/>
          <w:szCs w:val="16"/>
        </w:rPr>
        <w:t xml:space="preserve">31 октября </w:t>
      </w:r>
      <w:r w:rsidRPr="0044524F">
        <w:rPr>
          <w:rFonts w:ascii="Times New Roman" w:hAnsi="Times New Roman"/>
          <w:color w:val="000000" w:themeColor="text1"/>
          <w:sz w:val="16"/>
          <w:szCs w:val="16"/>
        </w:rPr>
        <w:t>в 1933 году в соответствии с постановлением Совета труда и обороны СССР №104 организован первый в стране научно-исследовательский центр по разработке ракетно-космической техники. Ныне — ФГУП "Исследовательский центр им М.В.Келдыша" (Центр Келдыша) Роскосмоса. Головная научно-исследовательская организация ракетно-космической промышленности в области ракетного двигателестроения и космической энергетики. Крупнейшим достижением Центра довоенного и военного времени стало создание и изготовление первой партии мобильного боевого оружия - легендарной «Катюши». В послевоенное время роботы института во многом способствовали созданию высокоэффективных ракетных двигателей на жидком и твердом топливе современных ракетных и ракетно-космических комплексов. С 1946 года по 1961 год начальником и научным руководителем Центра был академик М.В.Келдыш. В настоящее время в Центре проводится широкий круг теоретических и экспериментальных работ, связанных с созданием жидкостных, твердотопливных, электрических двигателей и космических энергоустановок нового поколения (14816).</w:t>
      </w:r>
    </w:p>
    <w:p w14:paraId="7E27DDB1"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2FD90E99"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года Постановлением СТО СССР Народ</w:t>
      </w:r>
      <w:r w:rsidRPr="0044524F">
        <w:rPr>
          <w:rFonts w:ascii="Times New Roman" w:hAnsi="Times New Roman"/>
          <w:color w:val="000000" w:themeColor="text1"/>
          <w:sz w:val="16"/>
          <w:szCs w:val="16"/>
        </w:rPr>
        <w:softHyphen/>
        <w:t>ному комиссариату тяжелой промышленности было разрешено включить в план 1934 года строительство Реактивного института.</w:t>
      </w:r>
    </w:p>
    <w:p w14:paraId="3511C00D" w14:textId="77777777" w:rsidR="00C56BA7" w:rsidRPr="0044524F" w:rsidRDefault="00C56BA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г. через 6 недель после этого приказа Тухачевского постановлением Совета Тру</w:t>
      </w:r>
      <w:r w:rsidRPr="0044524F">
        <w:rPr>
          <w:rFonts w:ascii="Times New Roman" w:hAnsi="Times New Roman"/>
          <w:color w:val="000000" w:themeColor="text1"/>
          <w:sz w:val="16"/>
          <w:szCs w:val="16"/>
        </w:rPr>
        <w:softHyphen/>
        <w:t>да и Обороны № 104сс (совершенно секретным) за подписью Председателя Совнаркома СССР В. М. Молотова, организацию РНИИ поручили Наркомату тяжелой промышленности (НКТП). Новое на</w:t>
      </w:r>
      <w:r w:rsidRPr="0044524F">
        <w:rPr>
          <w:rFonts w:ascii="Times New Roman" w:hAnsi="Times New Roman"/>
          <w:color w:val="000000" w:themeColor="text1"/>
          <w:sz w:val="16"/>
          <w:szCs w:val="16"/>
        </w:rPr>
        <w:softHyphen/>
        <w:t>чальство предоставило институту дом № 6 по Михайловскому шоссе (позже его переименовали в Лихачев</w:t>
      </w:r>
      <w:r w:rsidRPr="0044524F">
        <w:rPr>
          <w:rFonts w:ascii="Times New Roman" w:hAnsi="Times New Roman"/>
          <w:color w:val="000000" w:themeColor="text1"/>
          <w:sz w:val="16"/>
          <w:szCs w:val="16"/>
        </w:rPr>
        <w:softHyphen/>
        <w:t>ское). Тем не менее «становиться на ноги» РНИИ начал только в 1935 г. (23550).</w:t>
      </w:r>
    </w:p>
    <w:p w14:paraId="05017C9B" w14:textId="77777777" w:rsidR="00C56BA7" w:rsidRPr="0044524F" w:rsidRDefault="00C56BA7" w:rsidP="009654CF">
      <w:pPr>
        <w:spacing w:after="0" w:line="240" w:lineRule="auto"/>
        <w:jc w:val="both"/>
        <w:rPr>
          <w:rFonts w:ascii="Times New Roman" w:hAnsi="Times New Roman"/>
          <w:color w:val="000000" w:themeColor="text1"/>
          <w:sz w:val="16"/>
          <w:szCs w:val="16"/>
        </w:rPr>
      </w:pPr>
    </w:p>
    <w:p w14:paraId="5A70D918" w14:textId="08A7161A" w:rsidR="00562118" w:rsidRPr="0044524F" w:rsidRDefault="005621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31 октября 1933 года постановлением Совета Труда и обороны (СТО) за № 104 сс и приказом Наркома Тяжелой Промышленности от 4 ноября 1933 года за № 198 сс был организован Научно-Исследовательский Институт № 3 (НИИ № 3) (в действительности Реактивный Научно-исследовательский Институт [Письмо Исх № 552с от 17.08.1935 г. от НАЧАЛЬНИКА РНИИ НАРОДНОМУ КОМИССАРУ ТЯЖЕЛОЙ ПРОМЫШЛЕННОСТИ С С С Р тов. ОРДЖОНИКИДЗЕ. Подлинник. 17.08.1935 г. // Архив ГНЦ ФГУП "Центр Келдыша". Инв. 97. Оп. 1. Ед. хр. по описи 1. Л. 135,139.],[ Письмо Исх. А 705сс от 19.10.1935 г. от ДИРЕКТОРА РНИИ И.КЛЕЙМЕНОВА в Ц К ВКП/б/, ОТДЕЛ Н А У К И тов. Г О Р О Х О В У.</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Подлинник. 17.10.1935 г. // Архив ГНЦ ФГУП "Центр Келдыша". Инв. 97. Оп. 1. Ед. хр. по описи 1. Л. 140,141.]) на базе двух организаций, именуемых ранее Газодинамической лабораторией Управления военных изобретений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44524F">
        <w:rPr>
          <w:rFonts w:ascii="Times New Roman" w:eastAsia="Times New Roman" w:hAnsi="Times New Roman"/>
          <w:color w:val="000000" w:themeColor="text1"/>
          <w:sz w:val="16"/>
          <w:szCs w:val="16"/>
          <w:u w:val="single"/>
          <w:lang w:eastAsia="ru-RU"/>
        </w:rPr>
        <w:t>Тов. МАТВЕЕВУ.</w:t>
      </w:r>
      <w:r w:rsidRPr="0044524F">
        <w:rPr>
          <w:rFonts w:ascii="Times New Roman" w:eastAsia="Times New Roman" w:hAnsi="Times New Roman"/>
          <w:color w:val="000000" w:themeColor="text1"/>
          <w:sz w:val="16"/>
          <w:szCs w:val="16"/>
          <w:lang w:eastAsia="ru-RU"/>
        </w:rPr>
        <w:t xml:space="preserve"> Копия // Архив ГНЦ ФГУП "Центр Келдыша". Инв. 291. Оп. 1. Ед. хр. по описи 14. Л. 53,54,55,64.] (Наркомвоенмор"а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 и Московской группой изучения реактивного движения (ГИРД) при ЦС ОСО (ЦС Осовиахима) [Письмо </w:t>
      </w:r>
      <w:r w:rsidRPr="0044524F">
        <w:rPr>
          <w:rFonts w:ascii="Times New Roman" w:eastAsia="Times New Roman" w:hAnsi="Times New Roman"/>
          <w:color w:val="000000" w:themeColor="text1"/>
          <w:sz w:val="16"/>
          <w:szCs w:val="16"/>
          <w:lang w:eastAsia="ru-RU"/>
        </w:rPr>
        <w:lastRenderedPageBreak/>
        <w:t>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44524F">
        <w:rPr>
          <w:rFonts w:ascii="Times New Roman" w:eastAsia="Times New Roman" w:hAnsi="Times New Roman"/>
          <w:color w:val="000000" w:themeColor="text1"/>
          <w:sz w:val="16"/>
          <w:szCs w:val="16"/>
          <w:u w:val="single"/>
          <w:lang w:eastAsia="ru-RU"/>
        </w:rPr>
        <w:t>Тов. МАТВЕЕВУ.</w:t>
      </w:r>
      <w:r w:rsidRPr="0044524F">
        <w:rPr>
          <w:rFonts w:ascii="Times New Roman" w:eastAsia="Times New Roman" w:hAnsi="Times New Roman"/>
          <w:color w:val="000000" w:themeColor="text1"/>
          <w:sz w:val="16"/>
          <w:szCs w:val="16"/>
          <w:lang w:eastAsia="ru-RU"/>
        </w:rPr>
        <w:t> Копия // Архив ГНЦ ФГУП "Центр Келдыша". Инв. 291. Оп. 1. Ед. хр. по описи 14. Л. 53,54,55,64.],[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Первая из этих организаций существовала с 1928 года, а вторая с 1931 года. Причем, газодинамическая лаборатория занималась главным образом разработкой ракет использующих для движущей силы энергию пороха, а группа изучения реактивного движения разрабатывала ракеты, используя для них компоненты жидких топлив (бензин, спирт+жидкий кислород).</w:t>
      </w:r>
    </w:p>
    <w:p w14:paraId="3645490F" w14:textId="77777777" w:rsidR="00562118" w:rsidRPr="0044524F" w:rsidRDefault="005621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результате соединения этих двух групп и сформировалась тематика института, направленная на разработку ракетных летательных аппаратов на твёрдом топливе, ввиде ракетных снарядов и авиабомб с дополнительной скоростью, и ракетных летательных аппаратов на жидком топливе в виде стратосферных ракет, воздушных торпед и непосредственно двигателей на жидком топливе и т.п.</w:t>
      </w:r>
    </w:p>
    <w:p w14:paraId="1B10880A" w14:textId="77777777" w:rsidR="00562118" w:rsidRPr="0044524F" w:rsidRDefault="005621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Отмечалось, что наиболее давнюю историю имеют ракетные снаряды, разработка которых началась с 1928 года. С 1928 года по 1935 год отработка устойчивости полёта ракетных снарядов шла по линии использования жироскопического эффекта, т.к. называемый турбо-реактивный снаряд. Едва ли этот принцип в чистом виде имел техническое обоснование столь длительного экспериментирования. Снаряды в таком виде летали абсолютно не сохраняя какую-либо закономерность (19771).</w:t>
      </w:r>
    </w:p>
    <w:p w14:paraId="643F94F6" w14:textId="77777777" w:rsidR="00562118" w:rsidRPr="0044524F" w:rsidRDefault="005621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76429D72" w14:textId="77777777" w:rsidR="00F46121" w:rsidRPr="0044524F" w:rsidRDefault="00F46121" w:rsidP="009654CF">
      <w:pPr>
        <w:pStyle w:val="ae"/>
        <w:spacing w:before="0" w:after="0"/>
        <w:jc w:val="both"/>
        <w:rPr>
          <w:rStyle w:val="af0"/>
          <w:i w:val="0"/>
          <w:color w:val="000000" w:themeColor="text1"/>
          <w:sz w:val="16"/>
          <w:szCs w:val="16"/>
        </w:rPr>
      </w:pPr>
      <w:r w:rsidRPr="0044524F">
        <w:rPr>
          <w:rStyle w:val="af0"/>
          <w:i w:val="0"/>
          <w:color w:val="000000" w:themeColor="text1"/>
          <w:sz w:val="16"/>
          <w:szCs w:val="16"/>
        </w:rPr>
        <w:t>31 октября 1933 г. </w:t>
      </w:r>
      <w:r w:rsidRPr="0044524F">
        <w:rPr>
          <w:color w:val="000000" w:themeColor="text1"/>
          <w:sz w:val="16"/>
          <w:szCs w:val="16"/>
        </w:rPr>
        <w:t>— Сообщение Полномочного представительства ОГПУ Северо-Кавказского края и Дагестанской АССР в ЦК ВКП(б) о ликвидации диверсионной группы на авиазаводе № 31 г. Таганрога¹*</w:t>
      </w:r>
    </w:p>
    <w:p w14:paraId="749F16D2" w14:textId="77777777" w:rsidR="00F46121" w:rsidRPr="0044524F" w:rsidRDefault="00F46121" w:rsidP="009654CF">
      <w:pPr>
        <w:pStyle w:val="ae"/>
        <w:spacing w:before="0" w:after="0"/>
        <w:jc w:val="both"/>
        <w:rPr>
          <w:color w:val="000000" w:themeColor="text1"/>
          <w:sz w:val="16"/>
          <w:szCs w:val="16"/>
        </w:rPr>
      </w:pPr>
      <w:r w:rsidRPr="0044524F">
        <w:rPr>
          <w:rStyle w:val="af0"/>
          <w:i w:val="0"/>
          <w:color w:val="000000" w:themeColor="text1"/>
          <w:sz w:val="16"/>
          <w:szCs w:val="16"/>
        </w:rPr>
        <w:t>31 октября 1933 г.</w:t>
      </w:r>
    </w:p>
    <w:p w14:paraId="163B7299"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За последнее время, в процессе агентурного обслуживания завода № 31 в г. Таганроге, неоднократно фиксировались случаи производства недоброкачественной электропроводки на военных самолетах Р</w:t>
      </w:r>
      <w:r w:rsidRPr="0044524F">
        <w:rPr>
          <w:color w:val="000000" w:themeColor="text1"/>
          <w:sz w:val="16"/>
          <w:szCs w:val="16"/>
        </w:rPr>
        <w:noBreakHyphen/>
        <w:t>6, поломок, порчи и хищения аппаратуры и инструментов с самолетов.</w:t>
      </w:r>
    </w:p>
    <w:p w14:paraId="01A81840"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Агентурными материалами отмечалось наличие на заводе группы лиц, прибывших из школы авиамотористов Шахтинского осоавиахима, тесно связанных между собой и антисоветски настроенных. В порядке дальнейшей агпроработки было установлено, что 13 октября с. г., в конце дня, одним из участников этой группы, электриком Скоробогатовым, произведен обрыв части электропроводов на самолете Р</w:t>
      </w:r>
      <w:r w:rsidRPr="0044524F">
        <w:rPr>
          <w:color w:val="000000" w:themeColor="text1"/>
          <w:sz w:val="16"/>
          <w:szCs w:val="16"/>
        </w:rPr>
        <w:noBreakHyphen/>
        <w:t>6 № 3153, подготовленном к отправке с завода. Скоробогатов был 14</w:t>
      </w:r>
      <w:r w:rsidRPr="0044524F">
        <w:rPr>
          <w:color w:val="000000" w:themeColor="text1"/>
          <w:sz w:val="16"/>
          <w:szCs w:val="16"/>
        </w:rPr>
        <w:noBreakHyphen/>
        <w:t>го числа арестован, и по данному делу было развернуто следствие.</w:t>
      </w:r>
    </w:p>
    <w:p w14:paraId="28B6F95D"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Скоробогатов, по его показаниям — рождения 1914 г., из семьи кулака, казака станицы Семикаракорской С[еверо-]К[авказского] К[рая], отец его в 1931 г. распродал имущество и, опасаясь высылки, выехал в г. Шахты, где проживал до мая 1933 г., после чего переехал в г. Ростов-на-Дону, где в настоящее время служит в качестве сторожа на «Ростсельмаше». Захар Скоробогатов в мае текущего года в г. Шахтах окончил курсы авиамотористов при Осоавиахиме, после чего в составе слушателей в количестве 25 чел. был командирован на завод № 31. Далее в своих показаниях Скоробогатов Захар указал, что к диверсионной работе он был привлечен в июле месяце т. г. электриком цеха Пилюгиным Федором Сергеевичем, который после совершения целого ряда диверсионных актов, не получив расчета, из Таганрога скрылся. Пилюгин нами арестован. Одновременно была ликвидирована вся группировка, и проходящие по делу в числе 9 чел., арестованы, за исключением Шубина, находящегося сейчас в отпуске. Меры к его аресту приняты. Дальнейшими следственно-агентурными мероприятиями вскрыта диверсионная группировка в составе: Шубина, Пилюгина, Скоробогатова Захара, Ушакова, Данилова, Скоробогатова Бориса, Кириченко, Гладуненко, Ермолова и других. Все указанные лица прибыли на завод по окончании школы авиамотористов Шахтинского осоавиахима. По показаниям арестованных, наиболее активным участником данной группировки являлся Шубин Иван — секретарь комсомольской ячейки цеха МОС. Шубин резко антисоветски настроен и разлагающее действовал на беспартийную молодежь.</w:t>
      </w:r>
    </w:p>
    <w:p w14:paraId="0E891B6A"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Из числа арестованных Скоробогатов, Пилюгин, Гладуненко, Кириченко, Данилов и Ушаков сознались в принадлежности к вышеуказанной группировке и в непосредственной диверсионной деятельности.</w:t>
      </w:r>
    </w:p>
    <w:p w14:paraId="3CED5A15"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Конкретная диверсионная деятельность группировки, согласно показаниям обвиняемых характеризуется следующим:</w:t>
      </w:r>
    </w:p>
    <w:p w14:paraId="78A5AC08"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1. По показаниям Скоробогатова, им при участии Пилюгина созданы условия аварийности на самолетах Р</w:t>
      </w:r>
      <w:r w:rsidRPr="0044524F">
        <w:rPr>
          <w:color w:val="000000" w:themeColor="text1"/>
          <w:sz w:val="16"/>
          <w:szCs w:val="16"/>
        </w:rPr>
        <w:noBreakHyphen/>
        <w:t>6 за №№ 3150, 3151, 3152, уже отправленных в части УВВС. ...²* «В июле месяце текущего года с 8</w:t>
      </w:r>
      <w:r w:rsidRPr="0044524F">
        <w:rPr>
          <w:color w:val="000000" w:themeColor="text1"/>
          <w:sz w:val="16"/>
          <w:szCs w:val="16"/>
        </w:rPr>
        <w:noBreakHyphen/>
        <w:t>го числа в течение 10 дней совместно с Пилюгиным производя электропроводку самолетов Р</w:t>
      </w:r>
      <w:r w:rsidRPr="0044524F">
        <w:rPr>
          <w:color w:val="000000" w:themeColor="text1"/>
          <w:sz w:val="16"/>
          <w:szCs w:val="16"/>
        </w:rPr>
        <w:noBreakHyphen/>
        <w:t>6 за №№ 3150, 3151, 3152, в хвостовых частях всех самолетов проводили частично разорванные провода, собрав их в жгут. Эти самолеты техническим контролем были приняты и, как мне известно, отправлены с завода в воинские части. При эксплуатации в самое ближайшее время может последовать разрыв проводов ...» ...«Производя электропроводку на самолетах Р</w:t>
      </w:r>
      <w:r w:rsidRPr="0044524F">
        <w:rPr>
          <w:color w:val="000000" w:themeColor="text1"/>
          <w:sz w:val="16"/>
          <w:szCs w:val="16"/>
        </w:rPr>
        <w:noBreakHyphen/>
        <w:t>6 Пилюгин заявил мне, что он ставит надорванные провода, обматывая их изоляционной, а затем перкалевой лентой и покрывает их лаком, что делает совершенно незаметным обрыв проводки...» ...«Таким образом, если бы в полете оборвался провод, идущий от пускового магнето, то при отключении мотора в воздухе невозможно было бы его включить, а полный разрыв проводов, идущих от динамо и от аккумулятора лишал бы самолет освещения...»</w:t>
      </w:r>
    </w:p>
    <w:p w14:paraId="06C5B3AF"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2. Обвиняемый Пилюгин о своей диверсионной деятельности показывает следующее: ...«Мною создавались условия аварийного состояния военных самолетов Р</w:t>
      </w:r>
      <w:r w:rsidRPr="0044524F">
        <w:rPr>
          <w:color w:val="000000" w:themeColor="text1"/>
          <w:sz w:val="16"/>
          <w:szCs w:val="16"/>
        </w:rPr>
        <w:noBreakHyphen/>
        <w:t>6, электрооборудованием которых я занимался. Вместе со Скоробогатовым я проводил электропроводку на самолетах Р</w:t>
      </w:r>
      <w:r w:rsidRPr="0044524F">
        <w:rPr>
          <w:color w:val="000000" w:themeColor="text1"/>
          <w:sz w:val="16"/>
          <w:szCs w:val="16"/>
        </w:rPr>
        <w:noBreakHyphen/>
        <w:t>6 № 3152 и 3153 и кроме того Скоробогатов самостоятельно производил работы на самолетах Р</w:t>
      </w:r>
      <w:r w:rsidRPr="0044524F">
        <w:rPr>
          <w:color w:val="000000" w:themeColor="text1"/>
          <w:sz w:val="16"/>
          <w:szCs w:val="16"/>
        </w:rPr>
        <w:noBreakHyphen/>
        <w:t>6 № 3154 и 3155. Работа была организована таким образом, что провода приходилось сильно натягивать, чтобы пропустить их через отверстие в нервюрах. При натяжке происходила частичная деформация проводов, которые от сотрясения могли оборваться. Кроме того на всех указанных самолетах часть проводки была установлена недоброкачественная, в частности, в хвостовых частях...»</w:t>
      </w:r>
    </w:p>
    <w:p w14:paraId="698AEEF4"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3. По показаниям обвиняемого Данилова: ...«Шубин, Ермолов и Гладуненко совершенно сознательно неправильно укрепили корытце маслостекателей, затянув болты и не поставив шайб “Гравера”. В результате этого во время нахождения самолета в воздухе болты неизбежно должны открутиться, нарушив деятельность самолета...» ...«На этом же самолете (Р</w:t>
      </w:r>
      <w:r w:rsidRPr="0044524F">
        <w:rPr>
          <w:color w:val="000000" w:themeColor="text1"/>
          <w:sz w:val="16"/>
          <w:szCs w:val="16"/>
        </w:rPr>
        <w:noBreakHyphen/>
        <w:t>6 № 3157) Шубин, Ермолов и Гладуненко явно неправильно произвели работу по калибровке деталей “АМ” благодаря чему в полете мог соскочить хомутик, произведя разрыв в маслопроводе, вызвав в лучшем случае вынужденную посадку, а в худшем — аварию самолета...».</w:t>
      </w:r>
    </w:p>
    <w:p w14:paraId="11FDF131"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4. Обвиняемый Гладуненко, подтверждая в своих показаниях проведенные диверсионные акты по маслопроводам, говорит следующее:... «На машине Р</w:t>
      </w:r>
      <w:r w:rsidRPr="0044524F">
        <w:rPr>
          <w:color w:val="000000" w:themeColor="text1"/>
          <w:sz w:val="16"/>
          <w:szCs w:val="16"/>
        </w:rPr>
        <w:noBreakHyphen/>
        <w:t>6 № 3157 мною были сделаны следующие дефекты: 1. Неправильно поставлен хомутик крепления маслостекательных трубок. 2. Неправильно поставлена контровка детали “АМ” маслопровода. Несмотря на то, что мне были известны все дефекты и могущие быть последствия от них, я, со своей стороны, не принял надлежащих мер к устранению таковых...».</w:t>
      </w:r>
    </w:p>
    <w:p w14:paraId="561AA384"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5. Обвиняемый Кириченко, говоря о диверсионной деятельности группы, указывает на приведение в негодность радиаторов:... «В первой половине сентября, работая на самолете Р</w:t>
      </w:r>
      <w:r w:rsidRPr="0044524F">
        <w:rPr>
          <w:color w:val="000000" w:themeColor="text1"/>
          <w:sz w:val="16"/>
          <w:szCs w:val="16"/>
        </w:rPr>
        <w:noBreakHyphen/>
        <w:t>6, Гладуненко и Ермолов подпилили подкосы радиаторов, но чтобы скрыть свои преступления, эти подкосы подложили другим ребятам, работающим на другой машине...».</w:t>
      </w:r>
    </w:p>
    <w:p w14:paraId="56FFDA11"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Характеризуя спаянность группы Кириченко показывает:... «Среди нас, шахтинцев, с первых дней работы на заводе № 31 образовалось очень тесная группа людей, всегда и во всем друг друга поддерживающих... Близкая связь между собой этих лиц еще началась на шахтинских авиакурсах...».</w:t>
      </w:r>
    </w:p>
    <w:p w14:paraId="305D9338"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Обвиняемый Пилюгин об этом дает следующие показания:... «О том, что мы занимались систематическим разрушением самолетов и хищением приборов и материалов с самолетов, знала группа следующих лиц: Ушаков, Ермолов, Шубин, Пономарев, Скоробогатовы и Гладуненко, т. к. и они этим занимались, об этом мне хорошо известно...»</w:t>
      </w:r>
    </w:p>
    <w:p w14:paraId="10E5AB68"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О порче приборов и хищениях на самолетах Пилюгин говорит следующее: ...«В августе месяце с. г., по договоренности со Скоробогатовым, в течение 5 дней мы произвели хищения с самолетов АНТ</w:t>
      </w:r>
      <w:r w:rsidRPr="0044524F">
        <w:rPr>
          <w:color w:val="000000" w:themeColor="text1"/>
          <w:sz w:val="16"/>
          <w:szCs w:val="16"/>
        </w:rPr>
        <w:noBreakHyphen/>
        <w:t>9 двух магнето, трех наволочек, вольтметра, двух ремней, четырех реостатов и различных инструментов и материалов. В это же время на 2</w:t>
      </w:r>
      <w:r w:rsidRPr="0044524F">
        <w:rPr>
          <w:color w:val="000000" w:themeColor="text1"/>
          <w:sz w:val="16"/>
          <w:szCs w:val="16"/>
        </w:rPr>
        <w:noBreakHyphen/>
        <w:t>х самолетах АНТ</w:t>
      </w:r>
      <w:r w:rsidRPr="0044524F">
        <w:rPr>
          <w:color w:val="000000" w:themeColor="text1"/>
          <w:sz w:val="16"/>
          <w:szCs w:val="16"/>
        </w:rPr>
        <w:noBreakHyphen/>
        <w:t>9 мы испортили 2 компаса, вылив из них спирт...»</w:t>
      </w:r>
    </w:p>
    <w:p w14:paraId="55ED6303"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По заключению ст[аршего] военного представителя УВВС РККА т. Багрова, в течение 1933 г. военной приемкой было обнаружено в самолетах Р</w:t>
      </w:r>
      <w:r w:rsidRPr="0044524F">
        <w:rPr>
          <w:color w:val="000000" w:themeColor="text1"/>
          <w:sz w:val="16"/>
          <w:szCs w:val="16"/>
        </w:rPr>
        <w:noBreakHyphen/>
        <w:t>6 огромное количество производственных дефектов, кои могли повлечь за собой аварии самолетов: а) Самолет Р</w:t>
      </w:r>
      <w:r w:rsidRPr="0044524F">
        <w:rPr>
          <w:color w:val="000000" w:themeColor="text1"/>
          <w:sz w:val="16"/>
          <w:szCs w:val="16"/>
        </w:rPr>
        <w:noBreakHyphen/>
        <w:t>6 № 3145 имел 176 производственных дефектов, б) Самолет № 3147 имел 272 дефекта, в) Самолет № 3149 имел 275 дефектов. По документальным данным военпреда, 9 выпущенных самолетов имели в общей сложности 1621 дефект.</w:t>
      </w:r>
    </w:p>
    <w:p w14:paraId="0EFC46B4"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14 октября в 9 час. 30 мин. утра на машине Р</w:t>
      </w:r>
      <w:r w:rsidRPr="0044524F">
        <w:rPr>
          <w:color w:val="000000" w:themeColor="text1"/>
          <w:sz w:val="16"/>
          <w:szCs w:val="16"/>
        </w:rPr>
        <w:noBreakHyphen/>
        <w:t>6 № 3153 обнаружено повреждение проводов центроплана, умышленно перекушенных в нескольких местах. По подозрению в совершении этого диверсионного акта арестован электрик Полонский, который, не имея никакого отношения к этому самолету, был замечен до повреждения в башне этого самолета.</w:t>
      </w:r>
    </w:p>
    <w:p w14:paraId="7F312E58"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На всех самолетах Р</w:t>
      </w:r>
      <w:r w:rsidRPr="0044524F">
        <w:rPr>
          <w:color w:val="000000" w:themeColor="text1"/>
          <w:sz w:val="16"/>
          <w:szCs w:val="16"/>
        </w:rPr>
        <w:noBreakHyphen/>
        <w:t>6, находящихся в данное время на заводе № 31, производится тщательная техническая проверка состояния всей электропроводки и особенно тех самолетов, к монтажу которых имели отношение члены контрреволюционной группировки. Производится уточнение пунктов назначения отправленных самолетов и сообщается по месту нахождения для принятия соответствующих мер. Следствие продолжается.</w:t>
      </w:r>
    </w:p>
    <w:p w14:paraId="1CCBE6B3"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Прилагаются протоколы: Скоробогатова, Пилюгина, Кириченко, Данилова, Ушакова и заключение ст[аршего] военного представителя УВВС РККА т. Багрова³*.</w:t>
      </w:r>
    </w:p>
    <w:p w14:paraId="555E16E6" w14:textId="77777777" w:rsidR="00F46121" w:rsidRPr="0044524F" w:rsidRDefault="00F46121" w:rsidP="009654CF">
      <w:pPr>
        <w:pStyle w:val="ae"/>
        <w:spacing w:before="0" w:after="0"/>
        <w:jc w:val="both"/>
        <w:rPr>
          <w:color w:val="000000" w:themeColor="text1"/>
          <w:sz w:val="16"/>
          <w:szCs w:val="16"/>
        </w:rPr>
      </w:pPr>
      <w:r w:rsidRPr="0044524F">
        <w:rPr>
          <w:rStyle w:val="af0"/>
          <w:i w:val="0"/>
          <w:color w:val="000000" w:themeColor="text1"/>
          <w:sz w:val="16"/>
          <w:szCs w:val="16"/>
        </w:rPr>
        <w:t>ПП ОГПУ СКК и ДССР Евдокимов</w:t>
      </w:r>
    </w:p>
    <w:p w14:paraId="15A16666" w14:textId="77777777" w:rsidR="00F46121" w:rsidRPr="0044524F" w:rsidRDefault="00F46121"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6BE21FA8"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¹* Помета: «Для т. Сталина».</w:t>
      </w:r>
    </w:p>
    <w:p w14:paraId="5CE5709B"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²* Здесь и далее: отточия документа.</w:t>
      </w:r>
    </w:p>
    <w:p w14:paraId="691DDED2" w14:textId="77777777" w:rsidR="00F46121" w:rsidRPr="0044524F" w:rsidRDefault="00F46121" w:rsidP="009654CF">
      <w:pPr>
        <w:pStyle w:val="rtejustify"/>
        <w:spacing w:before="0" w:after="0"/>
        <w:rPr>
          <w:color w:val="000000" w:themeColor="text1"/>
          <w:sz w:val="16"/>
          <w:szCs w:val="16"/>
        </w:rPr>
      </w:pPr>
      <w:r w:rsidRPr="0044524F">
        <w:rPr>
          <w:color w:val="000000" w:themeColor="text1"/>
          <w:sz w:val="16"/>
          <w:szCs w:val="16"/>
        </w:rPr>
        <w:t>³* Приложения не публикуются (см. там же, л. 35</w:t>
      </w:r>
      <w:r w:rsidRPr="0044524F">
        <w:rPr>
          <w:color w:val="000000" w:themeColor="text1"/>
          <w:sz w:val="16"/>
          <w:szCs w:val="16"/>
        </w:rPr>
        <w:noBreakHyphen/>
        <w:t>62).</w:t>
      </w:r>
    </w:p>
    <w:p w14:paraId="39FA0970" w14:textId="77777777" w:rsidR="00F46121" w:rsidRPr="0044524F" w:rsidRDefault="00F46121" w:rsidP="009654CF">
      <w:pPr>
        <w:pStyle w:val="ae"/>
        <w:spacing w:before="0" w:after="0"/>
        <w:jc w:val="both"/>
        <w:rPr>
          <w:color w:val="000000" w:themeColor="text1"/>
          <w:sz w:val="16"/>
          <w:szCs w:val="16"/>
        </w:rPr>
      </w:pPr>
      <w:r w:rsidRPr="0044524F">
        <w:rPr>
          <w:color w:val="000000" w:themeColor="text1"/>
          <w:sz w:val="16"/>
          <w:szCs w:val="16"/>
        </w:rPr>
        <w:t>АП РФ. Ф. 3. Оп. 58. Д. 348. Л. 29-34. Подлинник (15285).</w:t>
      </w:r>
    </w:p>
    <w:p w14:paraId="4848DDC9"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33CD676D" w14:textId="77777777" w:rsidR="006C50AE" w:rsidRPr="0044524F" w:rsidRDefault="006C50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31 октября 1933 Евдокимов прислал в ЦК ВКП(б) для Сталина подробный отчет о ходе следствия по заводу № 31 в Таганроге. Из него следовало, что на заводе N 31 орудует уже не вредительская организация, а "диверсионная группировка".</w:t>
      </w:r>
    </w:p>
    <w:p w14:paraId="6A059590" w14:textId="77777777" w:rsidR="006C50AE" w:rsidRPr="0044524F" w:rsidRDefault="006C50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"Диверсионная группа" почти поголовно состояла из 19-летних юношей, только что, в мае 1933 г., выпущенных из школы авиамотористов Шахтинского осоавиахима и направленных на завод в Таганрог. Ребята между собой были дружны. 23 октября один из них, Григорий Кириченко, показал, что "среди нас, шахтинцев, с первых дней работы на заводе N 31 образовалась очень тесная группа людей, всегда и во всем друг друга поддерживающих ... Близкая связь между собой этих лиц еще началась на шахтинских авиакурсах". Сблизило молодых людей то, что "еще с гор. Шахты они сторонились других товарищей, часто выпивая вместе". Причем пить предпочитали не за свои деньги. Их товарищ Дмитрий Ушаков рассказал следствию, что в Шахтах "выпивки производили они по поддельным чекам, изготовленным Губиным, впоследствии исключенным из школы. Однажды во время выпивки фальшивки-чеки были расшифрованы, и их милиция арестовала, просидели они в заключении дней 5, все были выпущены, за исключением Губина, оказавшегося социально чуждым (отец - бывший белый офицер), впоследствии осужденного".</w:t>
      </w:r>
    </w:p>
    <w:p w14:paraId="7347B4C3" w14:textId="77777777" w:rsidR="006C50AE" w:rsidRPr="0044524F" w:rsidRDefault="006C50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Приехав в Таганрог, приятели сначала заскучали, а потом обнаружили на заводе N 31 неплохую возможность для продолжения банкета. Арестованный чекистами 19-летний Федор Пилюгин в своих показаниях 22 октября 1933 г. сначала честно признался, что еще в Шахтах "был в тяжелом материальном положении, выхода из которого я не видел". В Таганроге выход нашелся: "В августе месяце с.г. по договоренности со Скоробогатовым в течение 5 дней мы произвели хищения с самолетов АНТ-9: двух магнето, трех наволочек, вольтметра, двух ремней, четырех реостатов и разных инструментов и материалов. В это же время на двух самолетах АНТ-9 мы испортили два компаса, вылив из них спирт"16. Похищенное частично уходило на закуску, выливаемое выпивалось. Ушаков в отношении главных "диверсантов" был краток: "О Захаре Скоробогатове и Федоре Пилюгине могу сказать только то, что они вместе возвращались с работы и частенько приходили домой пьяными".</w:t>
      </w:r>
    </w:p>
    <w:p w14:paraId="20EE9BEC" w14:textId="77777777" w:rsidR="006C50AE" w:rsidRPr="0044524F" w:rsidRDefault="006C50A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Спирт из компасов приловчились добывать и другие шахтинцы. Валентин Ермолов, сын заведующей баней и член ВКП(б), "часто был пьяный и, как после установлено, он выпивал из компасов спирт, а компаса бросал в ящик, и их приходилось снова наливать спиртом". Получилось, что грозные с виду члены вредительской группы оказались обычными несунами - мелкими расхитителями социалистической собственности. Несущественность нанесенного ими вреда подтвердил и старший военпред УВВС товарищ Багров, привлеченный чекистами в качестве эксперта. Он скрупулезно подсчитал, что Скоробогатов на самолете Р-6 за N 3158 в 11 местах произвел "внутренний разрыв проводников, идущих внутри центроплана к левым боковым огням"18. Но помимо того в каждом из девяти проверенных Р-6, собранных в Таганроге, обнаружилось от 102 до 275 различных дефектов, десятки из которых, по мнению Бугрова, "по необнаружении их, могли вызвать аварийность при эксплуатации" (21336).</w:t>
      </w:r>
    </w:p>
    <w:p w14:paraId="7CE0629B" w14:textId="77777777" w:rsidR="006C50AE" w:rsidRPr="0044524F" w:rsidRDefault="006C50AE" w:rsidP="009654CF">
      <w:pPr>
        <w:spacing w:after="0" w:line="240" w:lineRule="auto"/>
        <w:jc w:val="both"/>
        <w:rPr>
          <w:rFonts w:ascii="Times New Roman" w:hAnsi="Times New Roman"/>
          <w:color w:val="000000" w:themeColor="text1"/>
          <w:sz w:val="16"/>
          <w:szCs w:val="16"/>
        </w:rPr>
      </w:pPr>
    </w:p>
    <w:p w14:paraId="2E71488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Пом. секр. РВСС Снегов писал письмо N 5397сс в НОТО ГУАП о выполнении постановления РВСС "О развитии авиационной техники на основе виденного на авиационной выставке во Франции и на заводах Германии" от 3 марта (2305,87).</w:t>
      </w:r>
    </w:p>
    <w:p w14:paraId="4AF83B15"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порядке. контроля за выполнением заданий РЗОС, прощу для доклада Народному Комиссару сообщить о хо</w:t>
      </w:r>
      <w:r w:rsidRPr="0044524F">
        <w:rPr>
          <w:rFonts w:ascii="Times New Roman" w:hAnsi="Times New Roman"/>
          <w:color w:val="000000" w:themeColor="text1"/>
          <w:sz w:val="16"/>
          <w:szCs w:val="16"/>
        </w:rPr>
        <w:softHyphen/>
        <w:t>де .выполнения постановления РЗСС от З.Ш-33 г. О развитии авиационной техники на основе виденного на авиационной выставке во Франции и на заводах Герма</w:t>
      </w:r>
      <w:r w:rsidRPr="0044524F">
        <w:rPr>
          <w:rFonts w:ascii="Times New Roman" w:hAnsi="Times New Roman"/>
          <w:color w:val="000000" w:themeColor="text1"/>
          <w:sz w:val="16"/>
          <w:szCs w:val="16"/>
        </w:rPr>
        <w:softHyphen/>
        <w:t>нии в части Вас касающейся,а именно:</w:t>
      </w:r>
    </w:p>
    <w:p w14:paraId="2FFF7EE1"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Просить НКТяжПром:</w:t>
      </w:r>
    </w:p>
    <w:p w14:paraId="77B346F1"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разработать и построить учебный и спортивный самолет и мотор по повшенным требованиям, давая предназначение:</w:t>
      </w:r>
    </w:p>
    <w:p w14:paraId="33B57726"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первоначального обучения;</w:t>
      </w:r>
    </w:p>
    <w:p w14:paraId="53A8C05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для тренировки, как на одноместной ма</w:t>
      </w:r>
      <w:r w:rsidRPr="0044524F">
        <w:rPr>
          <w:rFonts w:ascii="Times New Roman" w:hAnsi="Times New Roman"/>
          <w:color w:val="000000" w:themeColor="text1"/>
          <w:sz w:val="16"/>
          <w:szCs w:val="16"/>
        </w:rPr>
        <w:softHyphen/>
        <w:t>шине;</w:t>
      </w:r>
    </w:p>
    <w:p w14:paraId="0BE8047B"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для слепого полета;</w:t>
      </w:r>
    </w:p>
    <w:p w14:paraId="5F00969B"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для ночного полета и полета в строю. Этот же тип для обучения летчикев-наб-. людат елей; щж</w:t>
      </w:r>
      <w:r w:rsidRPr="0044524F">
        <w:rPr>
          <w:rFonts w:ascii="Times New Roman" w:hAnsi="Times New Roman"/>
          <w:iCs/>
          <w:color w:val="000000" w:themeColor="text1"/>
          <w:sz w:val="16"/>
          <w:szCs w:val="16"/>
        </w:rPr>
        <w:t xml:space="preserve">ей </w:t>
      </w:r>
      <w:r w:rsidRPr="0044524F">
        <w:rPr>
          <w:rFonts w:ascii="Times New Roman" w:hAnsi="Times New Roman"/>
          <w:color w:val="000000" w:themeColor="text1"/>
          <w:sz w:val="16"/>
          <w:szCs w:val="16"/>
        </w:rPr>
        <w:t>ам нави гац</w:t>
      </w:r>
      <w:r w:rsidRPr="0044524F">
        <w:rPr>
          <w:rFonts w:ascii="Times New Roman" w:hAnsi="Times New Roman"/>
          <w:smallCaps/>
          <w:color w:val="000000" w:themeColor="text1"/>
          <w:sz w:val="16"/>
          <w:szCs w:val="16"/>
        </w:rPr>
        <w:t xml:space="preserve">ей </w:t>
      </w:r>
      <w:r w:rsidRPr="0044524F">
        <w:rPr>
          <w:rFonts w:ascii="Times New Roman" w:hAnsi="Times New Roman"/>
          <w:color w:val="000000" w:themeColor="text1"/>
          <w:sz w:val="16"/>
          <w:szCs w:val="16"/>
        </w:rPr>
        <w:t>, фото, бом-бардарованию я стрельбе.</w:t>
      </w:r>
    </w:p>
    <w:p w14:paraId="349EB3CB"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Разработать и построить тип тренировочного самолета под мотор 150-200 НР с назначением:</w:t>
      </w:r>
    </w:p>
    <w:p w14:paraId="4764336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самолет сопровоздения,</w:t>
      </w:r>
    </w:p>
    <w:p w14:paraId="6A15139E"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тренировочный,</w:t>
      </w:r>
    </w:p>
    <w:p w14:paraId="459E7162"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местных сообщений.</w:t>
      </w:r>
    </w:p>
    <w:p w14:paraId="6A70A666"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Провести необходимые исследования и ускорить применение подкрылков, закрылков, двойного крыла, крыла с меняющимся профилем соответственно этому типу самолетов, имея ввиду:</w:t>
      </w:r>
    </w:p>
    <w:p w14:paraId="7EAC832C"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получить наибольший диапазон горизон</w:t>
      </w:r>
      <w:r w:rsidRPr="0044524F">
        <w:rPr>
          <w:rFonts w:ascii="Times New Roman" w:hAnsi="Times New Roman"/>
          <w:color w:val="000000" w:themeColor="text1"/>
          <w:sz w:val="16"/>
          <w:szCs w:val="16"/>
        </w:rPr>
        <w:softHyphen/>
        <w:t>тальных скоростей,</w:t>
      </w:r>
    </w:p>
    <w:p w14:paraId="3B31334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увеличить устойчивость при полете с предельными нагрузками;</w:t>
      </w:r>
    </w:p>
    <w:p w14:paraId="698A2F25"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уменьшить посадочные скорости и</w:t>
      </w:r>
    </w:p>
    <w:p w14:paraId="753F894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увеличить скороподъемность.</w:t>
      </w:r>
    </w:p>
    <w:p w14:paraId="2182B67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Считать одной из важнейших задач ближайшего периода получение легкого 2-х местного самолета, универсального в производстве и специализированного по оборудованию для назначения:</w:t>
      </w:r>
    </w:p>
    <w:p w14:paraId="2E9F0AA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операивный разведчик,</w:t>
      </w:r>
    </w:p>
    <w:p w14:paraId="2668D2E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двухместный истребитель,</w:t>
      </w:r>
    </w:p>
    <w:p w14:paraId="1E6FDC2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легкий бомбардировщик.</w:t>
      </w:r>
    </w:p>
    <w:p w14:paraId="445CD3A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части применения ЛР, как скоростного почтовика отдельно согласовать вопрос тов. П.И.Б. с Голььцманом и Алснисом.</w:t>
      </w:r>
    </w:p>
    <w:p w14:paraId="382F81B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этими требованиями испытать находящийся в постройке ЛР и только в случае получения неудовлетворительных результатов по ЛР приступить к постройке специального универсального с-та.</w:t>
      </w:r>
    </w:p>
    <w:p w14:paraId="118FDBC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 1933 г. разрешить вопрос о предупреждении баков и о недопущении течи горючего при пробитии пулей</w:t>
      </w:r>
    </w:p>
    <w:p w14:paraId="56EEADF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Считать необходимым переход на экранирование моторов в 1933 г. Обязать НКТП в 1933 г. установить производство экранированных моторов в серии.</w:t>
      </w:r>
    </w:p>
    <w:p w14:paraId="1D94CCA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Принять к сведению заявление т. П.И.Б., что ГУАП ведет работу по созданию разрезных коленчптых валов мотора М-17. О результатах испытаний заслушать в 1934 г.</w:t>
      </w:r>
    </w:p>
    <w:p w14:paraId="707CCA8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Исследовать вопрос надежности работы моторов воздушного охлаждения с висящими цилиндрами на нашем горючем и смазочном, для чего закупить один мотор в 200 нр у Аргуса. Просить КО отпустить необходимую валюту.</w:t>
      </w:r>
    </w:p>
    <w:p w14:paraId="7E73B54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Ввести в практику ЦАГИ испытание материалов, узлов, деталей, агрегатов и целых конструкций самолетов методами испытаний ДФЛ</w:t>
      </w:r>
    </w:p>
    <w:p w14:paraId="37FD484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УВВС поручить т. Квитко полностью изучить этот опыт по заданиям ГУАПа.</w:t>
      </w:r>
    </w:p>
    <w:p w14:paraId="0ACA47D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Признавая неполноту технический испытаний с-тов ЦАГИ, просить т. П.И.Б. обратить серьезное внимание на организацию технических испытаний (2305,87).</w:t>
      </w:r>
    </w:p>
    <w:p w14:paraId="0D322B71"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8B953F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Постановлением СТО № 104/0 организован РНИИ (ААН, р. 4, оп. 14, № 238, л. 30) (10676).</w:t>
      </w:r>
    </w:p>
    <w:p w14:paraId="58D6C9E6"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430C6BF9"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E970D1E"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13DF13B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прошли испытания танка БТ-5ПХ, оборудованного в мастерских 5 учебного полка БелВО. Резиновыми уплотнителями обеспечили герметичность, а швы прокрасили суриком. Испытывали на р. Березина и водил ком. 5тп А.Талынь. Танк затонул в 15 м от берега (3880,30).</w:t>
      </w:r>
    </w:p>
    <w:p w14:paraId="70030DF8"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403BC46D" w14:textId="77777777" w:rsidR="00360F52" w:rsidRPr="0044524F" w:rsidRDefault="00360F5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ЗИЛ выпустил первые два советских троллейбусов марки «ЛК» (Лазарь Каганович) (17494).</w:t>
      </w:r>
    </w:p>
    <w:p w14:paraId="4FEB61A3" w14:textId="77777777" w:rsidR="00360F52" w:rsidRPr="0044524F" w:rsidRDefault="00360F52" w:rsidP="009654CF">
      <w:pPr>
        <w:spacing w:after="0" w:line="240" w:lineRule="auto"/>
        <w:jc w:val="both"/>
        <w:rPr>
          <w:rFonts w:ascii="Times New Roman" w:hAnsi="Times New Roman"/>
          <w:color w:val="000000" w:themeColor="text1"/>
          <w:sz w:val="16"/>
          <w:szCs w:val="16"/>
        </w:rPr>
      </w:pPr>
    </w:p>
    <w:p w14:paraId="140D9477"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6805626F"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319E27E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31 октября 1933 советская пресса опубликовала соответствующее коммюнике, и советские журналисты были допущены на судебный процесс в Ляйпциге («Известия», «Правда», 31 октября 1933 г.). В тот же день на прощальном обеде в связи с завершением работы Дирксена послом в Москве и его отъездом в Токио послом Германии в Японии (на обеде были Крестинский, секретарь Президиума ЦИК СССР А. С. Енукидзе, нарком легкой промышленности И. Е. Любимов, нарком снабжения А. И. Микоян, нарком внешней торговли А. П. Розенгольц, нарком финансов Г. Ф. Гринько, начальник Штаба РККА А. И. Егоров, Тухачевский, сам Дирксен и др. ) состоялась беседа зам. председателя РВС СССР и зам. наркома Тухачевского с поверенным в делах Германии в СССР Твардовским. Тухачевский прямо заявил, что советское правительство не считает возможным продолжать сотрудничество с райхсвером из-за антисоветской направленности германской политики. («Ликвидация станций явилась политическим следствием после того, как в Советском Союзе убедились, что курс германского правительства принимает антисоветскую направленность»). Тухачевский высоко оценил результаты военного сотрудничества, указав, что «райхсвер решающим образом поддержал Красную Армию в ходе ее строительства» и что «в тяжелые времена райхсвер был учителем Красной Армии; такое не забывается и не будет забыто» (ADAP, Ser.C, Bd. 11,1. S. 79-82.). Тухачевский возмущенно отверг слова Твардовского о том, что «советское правительство или Красная Армия для укрепления своей новой дружбы с Францией подкинули французам или полякам материал о германо-советском военном сотрудничестве». Информация, уверял Твардовский, была из «надежных источников» (ADAP, Ser.C, Bd. 11,1. S. 79-82.). Этот же тезис на том же обеде в беседе с Крестинским развивал и Дирксен. Крестинский записал в своем дневнике: «Дирксен сказал мне, что французы, как рафинированные политики, создают между СССР и Германией атмосферу недоверия. Нам французы говорят, что Па-пен рассказал им о </w:t>
      </w:r>
      <w:r w:rsidRPr="0044524F">
        <w:rPr>
          <w:rFonts w:ascii="Times New Roman" w:hAnsi="Times New Roman"/>
          <w:color w:val="000000" w:themeColor="text1"/>
          <w:sz w:val="16"/>
          <w:szCs w:val="16"/>
        </w:rPr>
        <w:lastRenderedPageBreak/>
        <w:t>существовавших между Красной Армией и рейхсвером отношениях и предлагал французам военный союз против СССР. Немцам же французы рассказывают, что мы передали им все те сведения о состоянии вооружения рейхсвера, которые у нас имелись. Дирксен предостерег поэтому от полного доверия к делаемым нам французами сообщениям» (АВП РФ, ф. 082, on. 16, п. 71, д. 1, л. 343.). Новый посол Германии в СССР Р. Надольный в одном из своих первых визитов к Ворошилову 10 января 1934 г. в ответ на слова наркома, что он рассчитывает на восстановление связей между райхсвером и Красной Армией, заявил, что после того, как РККА показала райхсверу на дверь, германская сторона ожидает соответствующей инициативы со стороны РККА по восстановлению двусторонних военных отношений (ADAP, Ser. С, Bd. 11,1. S. 330.). Приведенные факты, таким образом, свидетельствуют о том, что инициатива сворачивания военного сотрудничества принадлежала Москве. Возмущенная же реакция Тухачевского в беседе с Твардовским 31 октября 1933 г., равно как и начальника Штаба РККА Егорова в беседе с тем же Твардовским 12 января 1934г. (Твардовский повторил Егорову версию, изложенную им Тухачевскому. (Ibid. S. 344).) являются, пожалуй, лишним свидетельством того, что в советской системе строгой партийно-государственной иерархии каждому «позволялось» знать лишь столько, сколько ему было «положено». Утверждение Твардовского о том, что Москва, идя на форсированное сближение с Францией и Польшей, подробно информировала французский генштаб о райхсвере и своем сотрудничестве с ним, отвергнуть либо подтвердить пока не представляется возможным. Окончательный ответ скрыт в архивах КГБ, КПСС, т. наз. «президентском архиве». Однако, сопоставляя целый ряд фактов, связанных с Женевской конференцией по разоружению, мы можем придти к выводу о том, что германский дипломат имел все основания полагать, что его версия не ложна (11784).</w:t>
      </w:r>
    </w:p>
    <w:p w14:paraId="1B6E5C48"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73D6FDE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г. Возмущенная же реакция Тухачевского в беседе с Твардовским, равно как и начальника Штаба РККА Егорова в беседе с тем же Твардовским 12 января 1934г. (Твардовский повторил Егорову версию, изложенную им Тухачевскому. (Ibid. S. 344).) являются, пожалуй, лишним свидетельством того, что в советской системе строгой партийно-государственной иерархии каждому «позволялось» знать лишь столько, сколько ему было «положено». Утверждение Твардовского о том, что Москва, идя на форсированное сближение с Францией и Польшей, подробно информировала французский генштаб о райхсвере и своем сотрудничестве с ним, отвергнуть либо подтвердить пока не представляется возможным. Окончательный ответ скрыт в архивах КГБ, КПСС, т. наз. «президентском архиве». Однако, сопоставляя целый ряд фактов, связанных с Женевской конференцией по разоружению, мы можем придти к выводу о том, что германский дипломат имел все основания полагать, что его версия не ложна (11784).</w:t>
      </w:r>
    </w:p>
    <w:p w14:paraId="19D8BA7B"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A76AF84"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октября 1933 на прощальном обеде в связи с завершением работы Дирксена послом в Москве и его отъездом в Токио послом Германии в Японии (на обеде были Крестинский, секретарь Президиума ЦИК СССР А. С. Енукидзе, нарком легкой промышленности И. Е. Любимов, нарком снабжения А. И. Микоян, нарком внешней торговли А. П. Розенгольц, нарком финансов Г. Ф. Гринько, начальник Штаба РККА А. И. Егоров, Тухачевский, сам Дирксен и др.) состоялась беседа зам. председателя РВС СССР и зам. наркома Тухачевского с поверенным в делах Германии в СССР Твардовским. Тухачевский прямо заявил, что советское правительство не считает возможным продолжать сотрудничество с райхсвером из-за антисоветской направленности германской политики. («Ликвидация станций явилась политическим следствием после того, как в Советском Союзе убедились, что курс германского правительства принимает антисоветскую направленность»). Тухачевский высоко оценил результаты военного сотрудничества, указав, что «райхсвер решающим образом поддержал Красную Армию в ходе ее строительства» и что</w:t>
      </w:r>
    </w:p>
    <w:p w14:paraId="26382296"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тяжелые времена райхсвер был учителем Красной Армии; такое не забывается и не будет забыто».</w:t>
      </w:r>
    </w:p>
    <w:p w14:paraId="5293A0D8"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Тухачевский возмущенно отверг слова Твардовского о том, что «советское правительство или Красная Армия для укрепления своей новой дружбы с Францией подкинули французам или полякам материал о германо-советском военном сотрудничестве». Информация, уверял Твардовский, была из «надежных источников». Этот же тезис на том же обеде в беседе с Крестинским развивал и Дирксен.</w:t>
      </w:r>
    </w:p>
    <w:p w14:paraId="048E5BD5"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Крестинский записал в своем дневнике:</w:t>
      </w:r>
    </w:p>
    <w:p w14:paraId="6465BA4A"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«Дирксен сказал мне, что французы, как рафинированные политики, создают между СССР и Германией атмосферу недоверия. Нам французы говорят, что Папен рассказал им о существовавших между Красной Армией и рейхсвером отношениях и предлагал французам военный союз против СССР. Немцам же французы рассказывают, что мы передали им все те сведения о состоянии вооружения рейхсвера, которые у нас имелись. Дирксен предостерег поэтому от полного доверия к делаемым нам французами сообщениям» (18265).</w:t>
      </w:r>
    </w:p>
    <w:p w14:paraId="2DA8A6C4" w14:textId="77777777" w:rsidR="00562118" w:rsidRPr="0044524F" w:rsidRDefault="00562118" w:rsidP="009654CF">
      <w:pPr>
        <w:spacing w:after="0" w:line="240" w:lineRule="auto"/>
        <w:jc w:val="both"/>
        <w:rPr>
          <w:rFonts w:ascii="Times New Roman" w:hAnsi="Times New Roman"/>
          <w:color w:val="000000" w:themeColor="text1"/>
          <w:sz w:val="16"/>
          <w:szCs w:val="16"/>
        </w:rPr>
      </w:pPr>
    </w:p>
    <w:p w14:paraId="3A1266AC"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EF9BA89"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7D7602B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октября 1933 начали сборку моторамы дублера И-14, но 13 ноября работу прервали - в производство передали новые чертежи, согласно которым ее удлинили на 75 мм.</w:t>
      </w:r>
    </w:p>
    <w:p w14:paraId="33541F4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D416C3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11E1705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0A09FB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7D1AFF19"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78E57F3" w14:textId="77777777" w:rsidR="00D33B4A" w:rsidRPr="00142305" w:rsidRDefault="00D33B4A" w:rsidP="00D33B4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октября 1933 г. ссылаясь на то, что РД-1 и РД-2 потребовали многочисленных доработок, начальник ГУАП Г.Н. Королев предложил все-таки построить в ЦАГИ опытный экземпляр РД-ВВ Но начальник ЦАГИ Н.М. Хар</w:t>
      </w:r>
      <w:r w:rsidRPr="00142305">
        <w:rPr>
          <w:rFonts w:ascii="Times New Roman" w:hAnsi="Times New Roman"/>
          <w:color w:val="0070C0"/>
          <w:sz w:val="16"/>
          <w:szCs w:val="16"/>
        </w:rPr>
        <w:softHyphen/>
        <w:t>ламов категорически возражал против этого, заявляя, что изменения окажутся минимальными (24946).</w:t>
      </w:r>
    </w:p>
    <w:p w14:paraId="0AD0D920" w14:textId="77777777" w:rsidR="00D33B4A" w:rsidRPr="00142305" w:rsidRDefault="00D33B4A" w:rsidP="00D33B4A">
      <w:pPr>
        <w:spacing w:after="0" w:line="240" w:lineRule="auto"/>
        <w:jc w:val="both"/>
        <w:rPr>
          <w:rFonts w:ascii="Times New Roman" w:hAnsi="Times New Roman"/>
          <w:color w:val="0070C0"/>
          <w:sz w:val="16"/>
          <w:szCs w:val="16"/>
        </w:rPr>
      </w:pPr>
    </w:p>
    <w:p w14:paraId="09265DEC" w14:textId="77777777" w:rsidR="00D33B4A" w:rsidRPr="00142305" w:rsidRDefault="00D33B4A" w:rsidP="00D33B4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октября 1933 г. начальник ГУАП Г.Н. Королев предложил временно воз</w:t>
      </w:r>
      <w:r w:rsidRPr="00142305">
        <w:rPr>
          <w:rFonts w:ascii="Times New Roman" w:hAnsi="Times New Roman"/>
          <w:color w:val="0070C0"/>
          <w:sz w:val="16"/>
          <w:szCs w:val="16"/>
        </w:rPr>
        <w:softHyphen/>
        <w:t>держаться от выпуска РД-ВВ на заводе № 39 до завершения доводки опытных образцов. Кроме того, он полагал, что из-за большой загрузки завода № 39 дру</w:t>
      </w:r>
      <w:r w:rsidRPr="00142305">
        <w:rPr>
          <w:rFonts w:ascii="Times New Roman" w:hAnsi="Times New Roman"/>
          <w:color w:val="0070C0"/>
          <w:sz w:val="16"/>
          <w:szCs w:val="16"/>
        </w:rPr>
        <w:softHyphen/>
        <w:t>гими типами самолетов следует «после определения... физиономии на опытной машине» передать заказ на другое пред</w:t>
      </w:r>
      <w:r w:rsidRPr="00142305">
        <w:rPr>
          <w:rFonts w:ascii="Times New Roman" w:hAnsi="Times New Roman"/>
          <w:color w:val="0070C0"/>
          <w:sz w:val="16"/>
          <w:szCs w:val="16"/>
        </w:rPr>
        <w:softHyphen/>
        <w:t>приятие. Тем не менее, с конца ноября КОСОС начал сдавать докумен</w:t>
      </w:r>
      <w:r w:rsidRPr="00142305">
        <w:rPr>
          <w:rFonts w:ascii="Times New Roman" w:hAnsi="Times New Roman"/>
          <w:color w:val="0070C0"/>
          <w:sz w:val="16"/>
          <w:szCs w:val="16"/>
        </w:rPr>
        <w:softHyphen/>
        <w:t>тацию по ДБ-1 заводу № 39 (24946).</w:t>
      </w:r>
    </w:p>
    <w:p w14:paraId="1FEDCA2E" w14:textId="77777777" w:rsidR="00D33B4A" w:rsidRPr="00142305" w:rsidRDefault="00D33B4A" w:rsidP="00D33B4A">
      <w:pPr>
        <w:spacing w:after="0" w:line="240" w:lineRule="auto"/>
        <w:jc w:val="both"/>
        <w:rPr>
          <w:rFonts w:ascii="Times New Roman" w:hAnsi="Times New Roman"/>
          <w:color w:val="0070C0"/>
          <w:sz w:val="16"/>
          <w:szCs w:val="16"/>
        </w:rPr>
      </w:pPr>
    </w:p>
    <w:p w14:paraId="0071F6F8" w14:textId="77777777" w:rsidR="00D33B4A" w:rsidRPr="00142305" w:rsidRDefault="00D33B4A" w:rsidP="00D33B4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октября – начале ноября 1933 года комиссия рассматривала макет ЦКБ-12 (25519).</w:t>
      </w:r>
    </w:p>
    <w:p w14:paraId="2F1C3AAC" w14:textId="77777777" w:rsidR="00D33B4A" w:rsidRPr="00142305" w:rsidRDefault="00D33B4A" w:rsidP="00D33B4A">
      <w:pPr>
        <w:spacing w:after="0" w:line="240" w:lineRule="auto"/>
        <w:jc w:val="both"/>
        <w:rPr>
          <w:rFonts w:ascii="Times New Roman" w:hAnsi="Times New Roman"/>
          <w:color w:val="0070C0"/>
          <w:sz w:val="16"/>
          <w:szCs w:val="16"/>
        </w:rPr>
      </w:pPr>
    </w:p>
    <w:p w14:paraId="7A050DF9" w14:textId="6B2A52C7" w:rsidR="00C327B3" w:rsidRPr="0044524F" w:rsidRDefault="00C327B3"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Жругие оборонные отрасли:</w:t>
      </w:r>
    </w:p>
    <w:p w14:paraId="30BAC01C" w14:textId="77777777" w:rsidR="00C327B3" w:rsidRPr="0044524F" w:rsidRDefault="00C327B3" w:rsidP="009654CF">
      <w:pPr>
        <w:spacing w:after="0" w:line="240" w:lineRule="auto"/>
        <w:jc w:val="both"/>
        <w:rPr>
          <w:rFonts w:ascii="Times New Roman" w:hAnsi="Times New Roman"/>
          <w:i/>
          <w:iCs/>
          <w:color w:val="000000" w:themeColor="text1"/>
          <w:sz w:val="16"/>
          <w:szCs w:val="16"/>
        </w:rPr>
      </w:pPr>
    </w:p>
    <w:p w14:paraId="0768C126" w14:textId="77777777" w:rsidR="00C327B3" w:rsidRPr="0044524F" w:rsidRDefault="00C327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октября 1933 г. в Дизельном отделе ХПЗ были завершены стендовые испытания дизеля БД-2 № 1, после чего этот двигатель был передан из Дизельного отдела в Танковый отдел Т2 для установки в танк БТ-5 (24586).</w:t>
      </w:r>
    </w:p>
    <w:p w14:paraId="58C69383" w14:textId="77777777" w:rsidR="00C327B3" w:rsidRPr="0044524F" w:rsidRDefault="00C327B3" w:rsidP="009654CF">
      <w:pPr>
        <w:spacing w:after="0" w:line="240" w:lineRule="auto"/>
        <w:jc w:val="both"/>
        <w:rPr>
          <w:rFonts w:ascii="Times New Roman" w:hAnsi="Times New Roman"/>
          <w:color w:val="000000" w:themeColor="text1"/>
          <w:sz w:val="16"/>
          <w:szCs w:val="16"/>
        </w:rPr>
      </w:pPr>
    </w:p>
    <w:p w14:paraId="0FB94BF6" w14:textId="2EF60F6E"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2A3C2CE"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6F7539A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концу октября 1933 г. была достигнута договоренность об урегулировании «журналистского конфликта». 31 октября советская пресса опубликовала соответствующее коммюнике, и советские журналисты были допущены на судебный процесс в Ляйпциге («Известия», «Правда», 31 октября 1933 г.). В тот же день на прощальном обеде в связи с завершением работы Дирксена послом в Москве и его отъездом в Токио послом Германии в Японии (на обеде были Крестинский, секретарь Президиума ЦИК СССР А. С. Енукидзе, нарком легкой промышленности И. Е. Любимов, нарком снабжения А. И. Микоян, нарком внешней торговли А. П. Розенгольц, нарком финансов Г. Ф. Гринько, начальник Штаба РККА А. И. Егоров, Тухачевский, сам Дирксен и др. ) состоялась беседа зам. председателя РВС СССР и зам. наркома Тухачевского с поверенным в делах Германии в СССР Твардовским. Тухачевский прямо заявил, что советское правительство не считает возможным продолжать сотрудничество с райхсвером из-за антисоветской направленности германской политики. («Ликвидация станций явилась политическим следствием после того, как в Советском Союзе убедились, что курс германского правительства принимает антисоветскую направленность»). Тухачевский высоко оценил результаты военного сотрудничества, указав, что «райхсвер решающим образом поддержал Красную Армию в ходе ее строительства» и что «в тяжелые времена райхсвер был учителем Красной Армии; такое не забывается и не будет забыто» (ADAP, Ser.C, Bd. 11,1. S. 79-82.). Тухачевский возмущенно отверг слова Твардовского о том, что «советское правительство или Красная Армия для укрепления своей новой дружбы с Францией подкинули французам или полякам материал о германо-советском военном сотрудничестве». Информация, уверял Твардовский, была из «надежных источников» (ADAP, Ser.C, Bd. 11,1. S. 79-82.). Этот же тезис на том же обеде в беседе с Крестинским развивал и Дирксен. Крестинский записал в своем дневнике: «Дирксен сказал мне, что французы, как рафинированные политики, создают между СССР и Германией атмосферу недоверия. Нам французы говорят, что Па-пен рассказал им о существовавших между Красной Армией и </w:t>
      </w:r>
      <w:r w:rsidRPr="0044524F">
        <w:rPr>
          <w:rFonts w:ascii="Times New Roman" w:hAnsi="Times New Roman"/>
          <w:color w:val="000000" w:themeColor="text1"/>
          <w:sz w:val="16"/>
          <w:szCs w:val="16"/>
        </w:rPr>
        <w:lastRenderedPageBreak/>
        <w:t>рейхсвером отношениях и предлагал французам военный союз против СССР. Немцам же французы рассказывают, что мы передали им все те сведения о состоянии вооружения рейхсвера, которые у нас имелись. Дирксен предостерег поэтому от полного доверия к делаемым нам французами сообщениям» (АВП РФ, ф. 082, on. 16, п. 71, д. 1, л. 343. J{9}ADAP, Ser. С, Bd. 11,1. S. 330.). Новый посол Германии в СССР Р. Надольный в одном из своих первых визитов к Ворошилову 10 января 1934 г. в ответ на слова наркома, что он рассчитывает на восстановление связей между райхсвером и Красной Армией, заявил, что после того, как РККА показала райхсверу на дверь, германская сторона ожидает соответствующей инициативы со стороны РККА по восстановлению двусторонних военных отношений (ADAP, Ser. С, Bd. 11,1. S. 330.). Приведенные факты, таким образом, свидетельствуют о том, что инициатива сворачивания военного сотрудничества принадлежала Москве. Возмущенная же реакция Тухачевского в беседе с Твардовским 31 октября 1933 г., равно как и начальника Штаба РККА Егорова в беседе с тем же Твардовским 12 января 1934г. (Твардовский повторил Егорову версию, изложенную им Тухачевскому. (Ibid. S. 344).) являются, пожалуй, лишним свидетельством того, что в советской системе строгой партийно-государственной иерархии каждому «позволялось» знать лишь столько, сколько ему было «положено». Утверждение Твардовского о том, что Москва, идя на форсированное сближение с Францией и Польшей, подробно информировала французский генштаб о райхсвере и своем сотрудничестве с ним, отвергнуть либо подтвердить пока не представляется возможным. Окончательный ответ скрыт в архивах КГБ, КПСС, т. наз. «президентском архиве». Однако, сопоставляя целый ряд фактов, связанных с Женевской конференцией по разоружению, мы можем придти к выводу о том, что германский дипломат имел все основания полагать, что его версия не ложна (11784).</w:t>
      </w:r>
    </w:p>
    <w:p w14:paraId="7F313C7D"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1EEA879D"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66163C9"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0DEC2E44" w14:textId="77777777" w:rsidR="00555697" w:rsidRPr="0044524F" w:rsidRDefault="00555697" w:rsidP="00555697">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в ГУАП было рассмотрено предложение С.В.И. о скоростном &lt;дальнем&gt; бомбардировщике и принято решение о постройке опытного образца &lt;скорее двух&gt; (3646,5).</w:t>
      </w:r>
    </w:p>
    <w:p w14:paraId="38B7ABDD" w14:textId="77777777" w:rsidR="00555697" w:rsidRPr="0044524F" w:rsidRDefault="00555697" w:rsidP="00555697">
      <w:pPr>
        <w:spacing w:after="0" w:line="240" w:lineRule="auto"/>
        <w:jc w:val="both"/>
        <w:rPr>
          <w:rFonts w:ascii="Times New Roman" w:hAnsi="Times New Roman"/>
          <w:color w:val="000000" w:themeColor="text1"/>
          <w:sz w:val="16"/>
          <w:szCs w:val="16"/>
        </w:rPr>
      </w:pPr>
    </w:p>
    <w:p w14:paraId="794909DC" w14:textId="77777777" w:rsidR="00555697" w:rsidRPr="0044524F" w:rsidRDefault="00555697" w:rsidP="00555697">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ГУАП одобрило идею С.В.И и самолет ЛБ-2 решили сделать альтернативой туполевскому СБ. В документах ВВС машина именовалась ББ-2 или иногда СБ-39 ("скоростной бомбардировщик завода №39”). По заданию самолет имел двойное назначение - ближний бомбардировщик и пассажирский. Последний определялся как “магистральный для ночных линий” и должен был отличаться моторами. Вместо “Гном-Ронов” на нем хотели ставить "Райт-Циклон" (у нас именовавшийся М-25). Срок выхода бомбардировщика на государственные испытания установили в мае 1935 г. (впоследствии его сдвинули на 1 ноября). Группа Ильюшина начала перерабатывать документацию под французские моторы. В результате возник проект ЦКБ-26, уже имевший многие основные черты будущего ДБ-3. Главный упор делался на скорость полета. Крыло получило сравнительно небольшое удлинение (около 7), но со значительной нагрузкой - до 140 кг'м2. Для него выбрали тонкий (по тому времени) двояковыпуклый профиль Кларк Y-15. Такой подход обеспечивал бомбардировщику небольшое аэродинамическое сопротивление и тем самым способствовал получению высоких скоростных характеристик. В тоже время такое крыло ухудшало взлетно-посадочные качества. Это решили парировать щитками типа Цап. Многие другие конструктивные решения также были продиктованы стремлением до предела уменьшить аэродинамическое сопротивление: гладкая обшивка, узкий фюзеляж, развитые зализы на стыке фюзеляжа и крыла, убирающееся шасси. В итоге получился компактный, изящный и прочный самолет. Конструкция его была смешанной. ЦКБ-26 имел деревянные фюзеляж и киль при металлическом крыле и горизонтальном оперении (6474).</w:t>
      </w:r>
    </w:p>
    <w:p w14:paraId="020C2F31" w14:textId="77777777" w:rsidR="00555697" w:rsidRPr="0044524F" w:rsidRDefault="00555697" w:rsidP="00555697">
      <w:pPr>
        <w:tabs>
          <w:tab w:val="left" w:pos="11199"/>
        </w:tabs>
        <w:spacing w:after="0" w:line="240" w:lineRule="auto"/>
        <w:jc w:val="both"/>
        <w:rPr>
          <w:rFonts w:ascii="Times New Roman" w:hAnsi="Times New Roman"/>
          <w:color w:val="000000" w:themeColor="text1"/>
          <w:sz w:val="16"/>
          <w:szCs w:val="16"/>
        </w:rPr>
      </w:pPr>
    </w:p>
    <w:p w14:paraId="3823C0A1"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ГУАП одобрило идею Ильюшин, который внес предложение о постройке бомбардировщика с двигателями «Гном-Рон»14К (у нас его чаще называли К-14). Самолет должен был стать альтернативой туполевскому СБ. В документах ВВС машина именовалась ББ-2 или иногда СБ-39 («скоростной бомбардировщик завода №39»). Интересно, что по заданию самолет имел двойное назначение – ближний бомбардировщик и пассажирский. Последний определялся как «магистральный для ночных линий» и должен был отличаться моторами. Вместо «Гном-Ронов» на нем хотели ставить «Райт-Циклон» (у нас именовавшийся М-25). Срок выхода бомбардировщика на государственные испытания установили в мае 1935 г. (впоследствии его сдвинули на 1 ноября).</w:t>
      </w:r>
    </w:p>
    <w:p w14:paraId="4EA1C44B"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Группа Ильюшина начала перерабатывать документацию под французские моторы. В результате возник проект ЦКБ-26, уже имевший многие основные черты будущего ДБ-3. Главный упор делался на скорость полета. Крыло получило сравнительно небольшое удлинение (около 7), но со значительной нагрузкой – до 140 кг/мг . Для него выбрали тонкий (по тому времени) двояковыпуклый профиль Кларк Y-15. Такой подход обеспечивал бомбардировщику небольшое аэродинамическое сопротивление и тем самым способствовал получению высоких скоростных характеристик. В тоже время такое крыло ухудшало взлетно-посадочные качества. Это решили парировать щитками типа Цап.</w:t>
      </w:r>
    </w:p>
    <w:p w14:paraId="2EF448FD"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Многие другие конструктивные решения также были продиктованы стремлением до предела уменьшить аэродинамическое сопротивление: гладкая обшивка, узкий фюзеляж, развитые зализы на стыке фюзеляжа и крыла, убирающееся шасси. В итоге получился компактный, изящный и прочный самолет. Конструкция его была смешанной. ЦКБ-26 имел деревянные фюзеляж и киль при металлическом крыле и горизонтальном оперении (25043).</w:t>
      </w:r>
    </w:p>
    <w:p w14:paraId="6CA0E048" w14:textId="77777777" w:rsidR="00B64F5D" w:rsidRPr="00142305" w:rsidRDefault="00B64F5D" w:rsidP="00B64F5D">
      <w:pPr>
        <w:spacing w:after="0" w:line="240" w:lineRule="auto"/>
        <w:jc w:val="both"/>
        <w:rPr>
          <w:rFonts w:ascii="Times New Roman" w:hAnsi="Times New Roman"/>
          <w:color w:val="0070C0"/>
          <w:sz w:val="16"/>
          <w:szCs w:val="16"/>
        </w:rPr>
      </w:pPr>
    </w:p>
    <w:p w14:paraId="013DD00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взлет ТБ-1 с ускорителями демонстрировали К.Е.Ворошилову. Было оборудовано три, испытаны в НИИ ВВС и переданы в войска. Был проект и по установке ускорителей на ТБ-3 (АНТ-6), однако не реализовали (449).</w:t>
      </w:r>
    </w:p>
    <w:p w14:paraId="3B61F38F"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37C9811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на ЦА проводились испытания ТБ-1, управляемого по радио при использовании системы Дедал Остехбюро В.И.Бекаури, отработанной на торпедных катерах, и автопилота АВП-2. Все работало. 14 ноября дали ОЛ и ОКЗ сотрудникам Осконбюро ВОТИ. Стали делать эскадрилью (378,103).</w:t>
      </w:r>
    </w:p>
    <w:p w14:paraId="4869B02F"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624DF73E"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года завершились испытания серийного ТБ-1 № 759 с ракетными ускорителями, которые показали, что разбег самолета весом 7000 кг сокращался с 330 до 80 метров, а при весе 8000 кг - с 480 до 110 метров. Летал И.П. Благи</w:t>
      </w:r>
      <w:r w:rsidRPr="00142305">
        <w:rPr>
          <w:rFonts w:ascii="Times New Roman" w:hAnsi="Times New Roman"/>
          <w:color w:val="0070C0"/>
          <w:sz w:val="16"/>
          <w:szCs w:val="16"/>
        </w:rPr>
        <w:softHyphen/>
        <w:t>н (впоследствии погубивший самый большой самолет «Максим Горький). Однако, как и в случае дозаправки самолета топливом в полете, к идее сокращения разбега с помощью стартовых ускорителей вернулись лишь после войны (24991).</w:t>
      </w:r>
    </w:p>
    <w:p w14:paraId="6412E25C" w14:textId="77777777" w:rsidR="00B64F5D" w:rsidRPr="00142305" w:rsidRDefault="00B64F5D" w:rsidP="00B64F5D">
      <w:pPr>
        <w:spacing w:after="0" w:line="240" w:lineRule="auto"/>
        <w:jc w:val="both"/>
        <w:rPr>
          <w:rFonts w:ascii="Times New Roman" w:hAnsi="Times New Roman"/>
          <w:color w:val="0070C0"/>
          <w:sz w:val="16"/>
          <w:szCs w:val="16"/>
        </w:rPr>
      </w:pPr>
    </w:p>
    <w:p w14:paraId="4382BF49"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на тяжелом бомбардировщике ТБ-1 были проведены удачные опыты со стартовыми РДТТ. Шесть ускорителей (по три с каждой стороны) устанавливались на верхней и нижней поверхностях крыла самолета. Результаты были хорошие, при взлете самолета с массой около 7000 кг длина разбега сокращалась с 320 до 80...85 м, но общие тактико-технические данные самолета не оправдывали постановку стартовых ускорителей (25039).</w:t>
      </w:r>
    </w:p>
    <w:p w14:paraId="09F12186" w14:textId="77777777" w:rsidR="00B64F5D" w:rsidRPr="00142305" w:rsidRDefault="00B64F5D" w:rsidP="00B64F5D">
      <w:pPr>
        <w:spacing w:after="0" w:line="240" w:lineRule="auto"/>
        <w:jc w:val="both"/>
        <w:rPr>
          <w:rFonts w:ascii="Times New Roman" w:hAnsi="Times New Roman"/>
          <w:color w:val="0070C0"/>
          <w:sz w:val="16"/>
          <w:szCs w:val="16"/>
        </w:rPr>
      </w:pPr>
    </w:p>
    <w:p w14:paraId="029FC888"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оконча</w:t>
      </w:r>
      <w:r w:rsidRPr="00142305">
        <w:rPr>
          <w:rFonts w:ascii="Times New Roman" w:hAnsi="Times New Roman"/>
          <w:color w:val="0070C0"/>
          <w:sz w:val="16"/>
          <w:szCs w:val="16"/>
        </w:rPr>
        <w:softHyphen/>
        <w:t>тельные испытания показали, что в результате установки шести ракет (по три на каждое крыло сверху или снизу) длина разбе</w:t>
      </w:r>
      <w:r w:rsidRPr="00142305">
        <w:rPr>
          <w:rFonts w:ascii="Times New Roman" w:hAnsi="Times New Roman"/>
          <w:color w:val="0070C0"/>
          <w:sz w:val="16"/>
          <w:szCs w:val="16"/>
        </w:rPr>
        <w:softHyphen/>
        <w:t>га самолета ТБ-1 при массе в 7 т уменьшается с 330 до 80 м, а при массе самолета 8 т— с 480 до 110 м. Разбег самолета ТБ-1 сократился почти в четыре раза. Взлеты осуществлял лет</w:t>
      </w:r>
      <w:r w:rsidRPr="00142305">
        <w:rPr>
          <w:rFonts w:ascii="Times New Roman" w:hAnsi="Times New Roman"/>
          <w:color w:val="0070C0"/>
          <w:sz w:val="16"/>
          <w:szCs w:val="16"/>
        </w:rPr>
        <w:softHyphen/>
        <w:t>чик Н.П. Благин. Такой результат был достигнут при установ</w:t>
      </w:r>
      <w:r w:rsidRPr="00142305">
        <w:rPr>
          <w:rFonts w:ascii="Times New Roman" w:hAnsi="Times New Roman"/>
          <w:color w:val="0070C0"/>
          <w:sz w:val="16"/>
          <w:szCs w:val="16"/>
        </w:rPr>
        <w:softHyphen/>
        <w:t>ке на крыльях шести реактивных камер, соединенных трубопроводом. Общая масса порохового заряда составляла 60 кг. Средняя сила тяги достигала 10 400 кгс в течение 2 с. В после</w:t>
      </w:r>
      <w:r w:rsidRPr="00142305">
        <w:rPr>
          <w:rFonts w:ascii="Times New Roman" w:hAnsi="Times New Roman"/>
          <w:color w:val="0070C0"/>
          <w:sz w:val="16"/>
          <w:szCs w:val="16"/>
        </w:rPr>
        <w:softHyphen/>
        <w:t>дующие годы такими реактивными стартовыми установками был оснащен ряд самолетов других типов. Продолжалась также ра</w:t>
      </w:r>
      <w:r w:rsidRPr="00142305">
        <w:rPr>
          <w:rFonts w:ascii="Times New Roman" w:hAnsi="Times New Roman"/>
          <w:color w:val="0070C0"/>
          <w:sz w:val="16"/>
          <w:szCs w:val="16"/>
        </w:rPr>
        <w:softHyphen/>
        <w:t>бота по усовершенствованию самих стартовых установок и, в частности, по уменьшению их массы. Стартовая установка для самолета ТБ-1, упомянутая выше, была довольно тяжелой. Масса ее составила 470 кг (с учетом массы, необходимой для упрочне</w:t>
      </w:r>
      <w:r w:rsidRPr="00142305">
        <w:rPr>
          <w:rFonts w:ascii="Times New Roman" w:hAnsi="Times New Roman"/>
          <w:color w:val="0070C0"/>
          <w:sz w:val="16"/>
          <w:szCs w:val="16"/>
        </w:rPr>
        <w:softHyphen/>
        <w:t>ния конструкции самолета) [4. С. 191], [5. С. 374] (24920).</w:t>
      </w:r>
    </w:p>
    <w:p w14:paraId="46DCBB62" w14:textId="77777777" w:rsidR="00B64F5D" w:rsidRPr="00142305" w:rsidRDefault="00B64F5D" w:rsidP="00B64F5D">
      <w:pPr>
        <w:spacing w:after="0" w:line="240" w:lineRule="auto"/>
        <w:jc w:val="both"/>
        <w:rPr>
          <w:rFonts w:ascii="Times New Roman" w:hAnsi="Times New Roman"/>
          <w:color w:val="0070C0"/>
          <w:sz w:val="16"/>
          <w:szCs w:val="16"/>
        </w:rPr>
      </w:pPr>
    </w:p>
    <w:p w14:paraId="1998E5B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закончились испытания опытного ТБ-3 (АНТ-6) с М-34, которые проводились с марта 1933 (437,103).</w:t>
      </w:r>
    </w:p>
    <w:p w14:paraId="19B0C9B7"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E37221C"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w:t>
      </w:r>
      <w:r w:rsidRPr="0044524F">
        <w:rPr>
          <w:rFonts w:ascii="Times New Roman" w:hAnsi="Times New Roman"/>
          <w:color w:val="000000" w:themeColor="text1"/>
          <w:sz w:val="16"/>
          <w:szCs w:val="16"/>
        </w:rPr>
        <w:softHyphen/>
        <w:t>бре 1933 г. самолет ТБ-3 с мотором М-34 прошел летные госиспыта</w:t>
      </w:r>
      <w:r w:rsidRPr="0044524F">
        <w:rPr>
          <w:rFonts w:ascii="Times New Roman" w:hAnsi="Times New Roman"/>
          <w:color w:val="000000" w:themeColor="text1"/>
          <w:sz w:val="16"/>
          <w:szCs w:val="16"/>
        </w:rPr>
        <w:softHyphen/>
        <w:t>ния, и двигатель был запущен в серию, но уже на заводе № 24 в Москве (Рыбинские производственные мощности были задейство</w:t>
      </w:r>
      <w:r w:rsidRPr="0044524F">
        <w:rPr>
          <w:rFonts w:ascii="Times New Roman" w:hAnsi="Times New Roman"/>
          <w:color w:val="000000" w:themeColor="text1"/>
          <w:sz w:val="16"/>
          <w:szCs w:val="16"/>
        </w:rPr>
        <w:softHyphen/>
        <w:t>ваны на выпуск моторов М-17). Тогда же, в конце 1931 г., было решено назначить Марьямова ди</w:t>
      </w:r>
      <w:r w:rsidRPr="0044524F">
        <w:rPr>
          <w:rFonts w:ascii="Times New Roman" w:hAnsi="Times New Roman"/>
          <w:color w:val="000000" w:themeColor="text1"/>
          <w:sz w:val="16"/>
          <w:szCs w:val="16"/>
        </w:rPr>
        <w:softHyphen/>
        <w:t>ректором завода имени Фрунзе. Умещался тогда завод на крохотной площадке. Прямо перед входом тянулась дорога. Сзади — кладбище с церковью у входа, поч</w:t>
      </w:r>
      <w:r w:rsidRPr="0044524F">
        <w:rPr>
          <w:rFonts w:ascii="Times New Roman" w:hAnsi="Times New Roman"/>
          <w:color w:val="000000" w:themeColor="text1"/>
          <w:sz w:val="16"/>
          <w:szCs w:val="16"/>
        </w:rPr>
        <w:softHyphen/>
        <w:t>ти напротив — застава с биржей извозчиков. А дальше за заводом тя</w:t>
      </w:r>
      <w:r w:rsidRPr="0044524F">
        <w:rPr>
          <w:rFonts w:ascii="Times New Roman" w:hAnsi="Times New Roman"/>
          <w:color w:val="000000" w:themeColor="text1"/>
          <w:sz w:val="16"/>
          <w:szCs w:val="16"/>
        </w:rPr>
        <w:softHyphen/>
        <w:t>нулись плантации цветов. Территория предприятия была обнесена дощатым забором. Для расширения производства потребовалась ко</w:t>
      </w:r>
      <w:r w:rsidRPr="0044524F">
        <w:rPr>
          <w:rFonts w:ascii="Times New Roman" w:hAnsi="Times New Roman"/>
          <w:color w:val="000000" w:themeColor="text1"/>
          <w:sz w:val="16"/>
          <w:szCs w:val="16"/>
        </w:rPr>
        <w:softHyphen/>
        <w:t>ренная реконструкция. На стройке многие тысячи людей работали в три смены. Одновре</w:t>
      </w:r>
      <w:r w:rsidRPr="0044524F">
        <w:rPr>
          <w:rFonts w:ascii="Times New Roman" w:hAnsi="Times New Roman"/>
          <w:color w:val="000000" w:themeColor="text1"/>
          <w:sz w:val="16"/>
          <w:szCs w:val="16"/>
        </w:rPr>
        <w:softHyphen/>
        <w:t>менно строились три корпуса, в том числе корпус механических це</w:t>
      </w:r>
      <w:r w:rsidRPr="0044524F">
        <w:rPr>
          <w:rFonts w:ascii="Times New Roman" w:hAnsi="Times New Roman"/>
          <w:color w:val="000000" w:themeColor="text1"/>
          <w:sz w:val="16"/>
          <w:szCs w:val="16"/>
        </w:rPr>
        <w:softHyphen/>
        <w:t>хов, который и сегодня самый крупный на заводе. Рядом возводился кузнечно-термический цех, а с другой стороны — инструментальный корпус. Все работы велись исключительно вручную. Лопата, кирка, носилки, конная подвода — вот и вся «механизация». Если до реконструкции завода на обеих территориях от силы ра</w:t>
      </w:r>
      <w:r w:rsidRPr="0044524F">
        <w:rPr>
          <w:rFonts w:ascii="Times New Roman" w:hAnsi="Times New Roman"/>
          <w:color w:val="000000" w:themeColor="text1"/>
          <w:sz w:val="16"/>
          <w:szCs w:val="16"/>
        </w:rPr>
        <w:softHyphen/>
        <w:t>ботало около тысячи человек, то после реконструкции численность предполагалось довести до 10 000 работников. Конечно, освоение серийного выпуска нового мощного советского мотора было задачей очень непростой (10781).</w:t>
      </w:r>
    </w:p>
    <w:p w14:paraId="14246198"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p>
    <w:p w14:paraId="52C0BA6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1933-го ЦАГИ совместно с 22-м заводом, предъявил на государственные испытания бомбардировщик ТБ-3 с двигателями М-34, а девять дней спустя - модернизированный ТБ-3 с М-17 (5740,7).</w:t>
      </w:r>
    </w:p>
    <w:p w14:paraId="46BB74AE"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25B98E1"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года ЦАГИ совместно с заводом № 22 предъявил на государ</w:t>
      </w:r>
      <w:r w:rsidRPr="00142305">
        <w:rPr>
          <w:rFonts w:ascii="Times New Roman" w:hAnsi="Times New Roman"/>
          <w:color w:val="0070C0"/>
          <w:sz w:val="16"/>
          <w:szCs w:val="16"/>
        </w:rPr>
        <w:softHyphen/>
        <w:t>ственные испытания бомбардировщик ТБ-3 с двигателями М-34, а девять дней спустя - модер</w:t>
      </w:r>
      <w:r w:rsidRPr="00142305">
        <w:rPr>
          <w:rFonts w:ascii="Times New Roman" w:hAnsi="Times New Roman"/>
          <w:color w:val="0070C0"/>
          <w:sz w:val="16"/>
          <w:szCs w:val="16"/>
        </w:rPr>
        <w:softHyphen/>
        <w:t>низированный ТБ-3 с М-17 (24991).</w:t>
      </w:r>
    </w:p>
    <w:p w14:paraId="2F04B666" w14:textId="77777777" w:rsidR="00B64F5D" w:rsidRPr="00142305" w:rsidRDefault="00B64F5D" w:rsidP="00B64F5D">
      <w:pPr>
        <w:spacing w:after="0" w:line="240" w:lineRule="auto"/>
        <w:jc w:val="both"/>
        <w:rPr>
          <w:rFonts w:ascii="Times New Roman" w:hAnsi="Times New Roman"/>
          <w:color w:val="0070C0"/>
          <w:sz w:val="16"/>
          <w:szCs w:val="16"/>
        </w:rPr>
      </w:pPr>
    </w:p>
    <w:p w14:paraId="62D6258B"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В октябре 1933 г. самолет ТБ- 3 с двигателем М-34 прошел государственные испытания и двигатель был запущен в серийное производство. Существенным недостатком двигателя М-34 была прямая передача мощности от коленчатого вала на винт без редуктора. Из-за высоких оборотов к.п.д, винта падал (25039).</w:t>
      </w:r>
    </w:p>
    <w:p w14:paraId="4C6B3211" w14:textId="77777777" w:rsidR="00B64F5D" w:rsidRPr="00142305" w:rsidRDefault="00B64F5D" w:rsidP="00B64F5D">
      <w:pPr>
        <w:spacing w:after="0" w:line="240" w:lineRule="auto"/>
        <w:jc w:val="both"/>
        <w:rPr>
          <w:rFonts w:ascii="Times New Roman" w:hAnsi="Times New Roman"/>
          <w:color w:val="0070C0"/>
          <w:sz w:val="16"/>
          <w:szCs w:val="16"/>
        </w:rPr>
      </w:pPr>
    </w:p>
    <w:p w14:paraId="01BE748F" w14:textId="77777777" w:rsidR="00D96FB2" w:rsidRPr="0044524F" w:rsidRDefault="00D96F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в аэродинамическую ла</w:t>
      </w:r>
      <w:r w:rsidRPr="0044524F">
        <w:rPr>
          <w:rFonts w:ascii="Times New Roman" w:hAnsi="Times New Roman"/>
          <w:color w:val="000000" w:themeColor="text1"/>
          <w:sz w:val="16"/>
          <w:szCs w:val="16"/>
        </w:rPr>
        <w:softHyphen/>
        <w:t>бораторию передали чертежи продувочной модели ТБ—6 (АНТ-26), а в мае 1934 г. — чертежи модели, соответствовавшие измененной компоновке машины.</w:t>
      </w:r>
    </w:p>
    <w:p w14:paraId="028A4594" w14:textId="77777777" w:rsidR="00D96FB2" w:rsidRPr="0044524F" w:rsidRDefault="00D96F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плане опытного самолето- и мото</w:t>
      </w:r>
      <w:r w:rsidRPr="0044524F">
        <w:rPr>
          <w:rFonts w:ascii="Times New Roman" w:hAnsi="Times New Roman"/>
          <w:color w:val="000000" w:themeColor="text1"/>
          <w:sz w:val="16"/>
          <w:szCs w:val="16"/>
        </w:rPr>
        <w:softHyphen/>
        <w:t>ростроения ВВС РККА на 1934—1935 гг. в разделе «Экспериментальные бомбарди</w:t>
      </w:r>
      <w:r w:rsidRPr="0044524F">
        <w:rPr>
          <w:rFonts w:ascii="Times New Roman" w:hAnsi="Times New Roman"/>
          <w:color w:val="000000" w:themeColor="text1"/>
          <w:sz w:val="16"/>
          <w:szCs w:val="16"/>
        </w:rPr>
        <w:softHyphen/>
        <w:t>ровщики» приведен ряд характеристик тя</w:t>
      </w:r>
      <w:r w:rsidRPr="0044524F">
        <w:rPr>
          <w:rFonts w:ascii="Times New Roman" w:hAnsi="Times New Roman"/>
          <w:color w:val="000000" w:themeColor="text1"/>
          <w:sz w:val="16"/>
          <w:szCs w:val="16"/>
        </w:rPr>
        <w:softHyphen/>
        <w:t>желого бомбардировщика ТБ—6 6М—44,</w:t>
      </w:r>
    </w:p>
    <w:p w14:paraId="0D9BF804" w14:textId="77777777" w:rsidR="00D96FB2" w:rsidRPr="0044524F" w:rsidRDefault="00D96F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высоте 5000 м 250 км/ч практический потолок</w:t>
      </w:r>
      <w:r w:rsidRPr="0044524F">
        <w:rPr>
          <w:rFonts w:ascii="Times New Roman" w:hAnsi="Times New Roman"/>
          <w:color w:val="000000" w:themeColor="text1"/>
          <w:sz w:val="16"/>
          <w:szCs w:val="16"/>
        </w:rPr>
        <w:tab/>
        <w:t>7000 м</w:t>
      </w:r>
    </w:p>
    <w:p w14:paraId="3386733D" w14:textId="77777777" w:rsidR="00D96FB2" w:rsidRPr="0044524F" w:rsidRDefault="00D96F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при нормальной взлетной массе с 15000 кг бомб</w:t>
      </w:r>
      <w:r w:rsidRPr="0044524F">
        <w:rPr>
          <w:rFonts w:ascii="Times New Roman" w:hAnsi="Times New Roman"/>
          <w:color w:val="000000" w:themeColor="text1"/>
          <w:sz w:val="16"/>
          <w:szCs w:val="16"/>
        </w:rPr>
        <w:tab/>
        <w:t>3300 км</w:t>
      </w:r>
    </w:p>
    <w:p w14:paraId="47FFA972" w14:textId="77777777" w:rsidR="00D96FB2" w:rsidRPr="0044524F" w:rsidRDefault="00D96F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перегрузочной (по топливу) массе с 15000 кг бомб</w:t>
      </w:r>
      <w:r w:rsidRPr="0044524F">
        <w:rPr>
          <w:rFonts w:ascii="Times New Roman" w:hAnsi="Times New Roman"/>
          <w:color w:val="000000" w:themeColor="text1"/>
          <w:sz w:val="16"/>
          <w:szCs w:val="16"/>
        </w:rPr>
        <w:tab/>
        <w:t>4800 км</w:t>
      </w:r>
    </w:p>
    <w:p w14:paraId="36144A37" w14:textId="77777777" w:rsidR="00D96FB2" w:rsidRPr="0044524F" w:rsidRDefault="00D96F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Закончить постройку первого опыт</w:t>
      </w:r>
      <w:r w:rsidRPr="0044524F">
        <w:rPr>
          <w:rFonts w:ascii="Times New Roman" w:hAnsi="Times New Roman"/>
          <w:color w:val="000000" w:themeColor="text1"/>
          <w:sz w:val="16"/>
          <w:szCs w:val="16"/>
        </w:rPr>
        <w:softHyphen/>
        <w:t>ного образна планировали 1 августа 1936 г.</w:t>
      </w:r>
    </w:p>
    <w:p w14:paraId="436FE49D" w14:textId="77777777" w:rsidR="00D96FB2" w:rsidRPr="0044524F" w:rsidRDefault="00D96F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проектирования характе</w:t>
      </w:r>
      <w:r w:rsidRPr="0044524F">
        <w:rPr>
          <w:rFonts w:ascii="Times New Roman" w:hAnsi="Times New Roman"/>
          <w:color w:val="000000" w:themeColor="text1"/>
          <w:sz w:val="16"/>
          <w:szCs w:val="16"/>
        </w:rPr>
        <w:softHyphen/>
        <w:t>ристики самолета несколько изменились. Он должен был поднимать 10000 кг бомб, а его взлетная масса достигла бы 70000 кг. Силовая установка состояла из двенадца</w:t>
      </w:r>
      <w:r w:rsidRPr="0044524F">
        <w:rPr>
          <w:rFonts w:ascii="Times New Roman" w:hAnsi="Times New Roman"/>
          <w:color w:val="000000" w:themeColor="text1"/>
          <w:sz w:val="16"/>
          <w:szCs w:val="16"/>
        </w:rPr>
        <w:softHyphen/>
        <w:t>ти двигателей М—34ФРН. Восемь из них устанавливались в носке крыла, а осталь</w:t>
      </w:r>
      <w:r w:rsidRPr="0044524F">
        <w:rPr>
          <w:rFonts w:ascii="Times New Roman" w:hAnsi="Times New Roman"/>
          <w:color w:val="000000" w:themeColor="text1"/>
          <w:sz w:val="16"/>
          <w:szCs w:val="16"/>
        </w:rPr>
        <w:softHyphen/>
        <w:t>ные — в двух тандемных установках над крылом. Рассматривался также вариант замены двенадцати двигателей М—34 на шесть более мощных моторов М—44 (23474).</w:t>
      </w:r>
    </w:p>
    <w:p w14:paraId="36A24390" w14:textId="77777777" w:rsidR="00D96FB2" w:rsidRPr="0044524F" w:rsidRDefault="00D96FB2" w:rsidP="009654CF">
      <w:pPr>
        <w:spacing w:after="0" w:line="240" w:lineRule="auto"/>
        <w:jc w:val="both"/>
        <w:rPr>
          <w:rFonts w:ascii="Times New Roman" w:hAnsi="Times New Roman"/>
          <w:color w:val="000000" w:themeColor="text1"/>
          <w:sz w:val="16"/>
          <w:szCs w:val="16"/>
        </w:rPr>
      </w:pPr>
    </w:p>
    <w:p w14:paraId="207815B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кончились гос. испытания Z, которые велись с августа 1933. Уже были ДРП АПК-4бис (97,22).</w:t>
      </w:r>
    </w:p>
    <w:p w14:paraId="39E52961"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7712E4E"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года был подготовлен Отчет по гос. испытаниям серийного самолета «ЗЕТ» № 39010 с мотором ЮVI-9 Aq 480/560 НР № 42151 (6783).</w:t>
      </w:r>
    </w:p>
    <w:p w14:paraId="3C0A256D"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6C4A9E30"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И. Холодов</w:t>
      </w:r>
    </w:p>
    <w:p w14:paraId="05A37E3E"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 Сцельников</w:t>
      </w:r>
    </w:p>
    <w:p w14:paraId="6C2ECC17"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5A5877B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 целью определения вопроса о целесообразности постройки самолетов и использования построенной малой серии.</w:t>
      </w:r>
    </w:p>
    <w:p w14:paraId="0EF51D38"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6C6EA53D" w14:textId="77777777" w:rsidR="001E1317" w:rsidRPr="0044524F" w:rsidRDefault="001E1317" w:rsidP="009654CF">
      <w:pPr>
        <w:numPr>
          <w:ilvl w:val="0"/>
          <w:numId w:val="407"/>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Построенные самолеты «ЗЕТ» вооруженные пушами АПК-4 бис и пулеметом ПВ-1 могут быть приняты на вооружение ВВС для получения летным составом тренировки в артиллерийской стрельбе и отработке тактики применения самолета с обязательным устранением на всех построенных самолетах дефектов.</w:t>
      </w:r>
    </w:p>
    <w:p w14:paraId="6BC6025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p w14:paraId="26544362"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года – самолет поступил в бригаду НИИ ВВС для прохождения гос. испытаний.</w:t>
      </w:r>
    </w:p>
    <w:p w14:paraId="09A9CB9D"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сентября 1933 года – фактическое начало испытаний.</w:t>
      </w:r>
    </w:p>
    <w:p w14:paraId="51F504AD"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1933 года – фактическое окончание испытаний.</w:t>
      </w:r>
    </w:p>
    <w:p w14:paraId="3FC134FE"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Фактически затрачено на испытание 17 календарных дней, из них:</w:t>
      </w:r>
    </w:p>
    <w:p w14:paraId="721ACD6F"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было проведено в 7 летных дней.</w:t>
      </w:r>
    </w:p>
    <w:p w14:paraId="09482160"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Налетано 16 час. 20 мин. (6783).</w:t>
      </w:r>
    </w:p>
    <w:p w14:paraId="2F3511B4" w14:textId="77777777" w:rsidR="001E1317" w:rsidRPr="0044524F" w:rsidRDefault="001E1317" w:rsidP="009654CF">
      <w:pPr>
        <w:tabs>
          <w:tab w:val="left" w:pos="11199"/>
        </w:tabs>
        <w:spacing w:after="0" w:line="240" w:lineRule="auto"/>
        <w:jc w:val="both"/>
        <w:rPr>
          <w:rFonts w:ascii="Times New Roman" w:hAnsi="Times New Roman"/>
          <w:color w:val="000000" w:themeColor="text1"/>
          <w:sz w:val="16"/>
          <w:szCs w:val="16"/>
        </w:rPr>
      </w:pPr>
    </w:p>
    <w:p w14:paraId="3EB858AE"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т.к. для получения формального разрешения на прове</w:t>
      </w:r>
      <w:r w:rsidRPr="0044524F">
        <w:rPr>
          <w:rFonts w:ascii="Times New Roman" w:hAnsi="Times New Roman"/>
          <w:color w:val="000000" w:themeColor="text1"/>
          <w:sz w:val="16"/>
          <w:szCs w:val="16"/>
        </w:rPr>
        <w:softHyphen/>
        <w:t>дение испытаний требовался утвержденный эскизный проект, Николай Николаевич направил в НИИ ВВС третий по счету эскизный проект истреби</w:t>
      </w:r>
      <w:r w:rsidRPr="0044524F">
        <w:rPr>
          <w:rFonts w:ascii="Times New Roman" w:hAnsi="Times New Roman"/>
          <w:color w:val="000000" w:themeColor="text1"/>
          <w:sz w:val="16"/>
          <w:szCs w:val="16"/>
        </w:rPr>
        <w:softHyphen/>
        <w:t>теля. В нем он отразил опыт предшествующих разрабо</w:t>
      </w:r>
      <w:r w:rsidRPr="0044524F">
        <w:rPr>
          <w:rFonts w:ascii="Times New Roman" w:hAnsi="Times New Roman"/>
          <w:color w:val="000000" w:themeColor="text1"/>
          <w:sz w:val="16"/>
          <w:szCs w:val="16"/>
        </w:rPr>
        <w:softHyphen/>
        <w:t>ток, более детально поясняя концепцию самолета:</w:t>
      </w:r>
    </w:p>
    <w:p w14:paraId="412ED444"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Схема коробки крыльев была принята полутора-план как обеспечивающая большую несущую поверх</w:t>
      </w:r>
      <w:r w:rsidRPr="0044524F">
        <w:rPr>
          <w:rFonts w:ascii="Times New Roman" w:hAnsi="Times New Roman"/>
          <w:color w:val="000000" w:themeColor="text1"/>
          <w:sz w:val="16"/>
          <w:szCs w:val="16"/>
        </w:rPr>
        <w:softHyphen/>
        <w:t>ность при минимальных внешних габаритах и удовлетворительное удлинение крыльев, эквивалентно моноплану...</w:t>
      </w:r>
    </w:p>
    <w:p w14:paraId="3C92125D"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Нагрузка на 1 м и на 1 НР была подобрана мини</w:t>
      </w:r>
      <w:r w:rsidRPr="0044524F">
        <w:rPr>
          <w:rFonts w:ascii="Times New Roman" w:hAnsi="Times New Roman"/>
          <w:color w:val="000000" w:themeColor="text1"/>
          <w:sz w:val="16"/>
          <w:szCs w:val="16"/>
        </w:rPr>
        <w:softHyphen/>
        <w:t>мально возможной для получения максимальной мане</w:t>
      </w:r>
      <w:r w:rsidRPr="0044524F">
        <w:rPr>
          <w:rFonts w:ascii="Times New Roman" w:hAnsi="Times New Roman"/>
          <w:color w:val="000000" w:themeColor="text1"/>
          <w:sz w:val="16"/>
          <w:szCs w:val="16"/>
        </w:rPr>
        <w:softHyphen/>
        <w:t>вренности...</w:t>
      </w:r>
    </w:p>
    <w:p w14:paraId="4AD75592"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схеме коробки крыльев мы стремились добиться соединения условий наилучшего обзора и высоких аэ</w:t>
      </w:r>
      <w:r w:rsidRPr="0044524F">
        <w:rPr>
          <w:rFonts w:ascii="Times New Roman" w:hAnsi="Times New Roman"/>
          <w:color w:val="000000" w:themeColor="text1"/>
          <w:sz w:val="16"/>
          <w:szCs w:val="16"/>
        </w:rPr>
        <w:softHyphen/>
        <w:t>родинамических качеств путем уменьшения интерфе</w:t>
      </w:r>
      <w:r w:rsidRPr="0044524F">
        <w:rPr>
          <w:rFonts w:ascii="Times New Roman" w:hAnsi="Times New Roman"/>
          <w:color w:val="000000" w:themeColor="text1"/>
          <w:sz w:val="16"/>
          <w:szCs w:val="16"/>
        </w:rPr>
        <w:softHyphen/>
        <w:t>ренции...».</w:t>
      </w:r>
    </w:p>
    <w:p w14:paraId="41FAAF6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Оценки летных характеристик машины были остав</w:t>
      </w:r>
      <w:r w:rsidRPr="0044524F">
        <w:rPr>
          <w:rFonts w:ascii="Times New Roman" w:hAnsi="Times New Roman"/>
          <w:color w:val="000000" w:themeColor="text1"/>
          <w:sz w:val="16"/>
          <w:szCs w:val="16"/>
        </w:rPr>
        <w:softHyphen/>
        <w:t>лены такими же, как и в предыдущем проекте, т.е. зани</w:t>
      </w:r>
      <w:r w:rsidRPr="0044524F">
        <w:rPr>
          <w:rFonts w:ascii="Times New Roman" w:hAnsi="Times New Roman"/>
          <w:color w:val="000000" w:themeColor="text1"/>
          <w:sz w:val="16"/>
          <w:szCs w:val="16"/>
        </w:rPr>
        <w:softHyphen/>
        <w:t>женными, несмотря на то, что продувки уже были завершены.</w:t>
      </w:r>
    </w:p>
    <w:p w14:paraId="492916A8"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Отзыв на проект давал Н.А.Жемчужин, выпускник Военно-воздушной академии им. проф. Н.Е. Жуковско</w:t>
      </w:r>
      <w:r w:rsidRPr="0044524F">
        <w:rPr>
          <w:rFonts w:ascii="Times New Roman" w:hAnsi="Times New Roman"/>
          <w:color w:val="000000" w:themeColor="text1"/>
          <w:sz w:val="16"/>
          <w:szCs w:val="16"/>
        </w:rPr>
        <w:softHyphen/>
        <w:t>го. Итоговый документ гласил:</w:t>
      </w:r>
    </w:p>
    <w:p w14:paraId="485702F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максимальной скорости на высоте 5000 м самолет И-15 не выполняет предъявленных к не</w:t>
      </w:r>
      <w:r w:rsidRPr="0044524F">
        <w:rPr>
          <w:rFonts w:ascii="Times New Roman" w:hAnsi="Times New Roman"/>
          <w:color w:val="000000" w:themeColor="text1"/>
          <w:sz w:val="16"/>
          <w:szCs w:val="16"/>
        </w:rPr>
        <w:softHyphen/>
        <w:t>му технических требований и отстает от современных уже построенных заграничных истребителей. Предъяв</w:t>
      </w:r>
      <w:r w:rsidRPr="0044524F">
        <w:rPr>
          <w:rFonts w:ascii="Times New Roman" w:hAnsi="Times New Roman"/>
          <w:color w:val="000000" w:themeColor="text1"/>
          <w:sz w:val="16"/>
          <w:szCs w:val="16"/>
        </w:rPr>
        <w:softHyphen/>
        <w:t>ленные к нему требования в отношении маневренности и скороподъемности выполняются и перекрывают дан</w:t>
      </w:r>
      <w:r w:rsidRPr="0044524F">
        <w:rPr>
          <w:rFonts w:ascii="Times New Roman" w:hAnsi="Times New Roman"/>
          <w:color w:val="000000" w:themeColor="text1"/>
          <w:sz w:val="16"/>
          <w:szCs w:val="16"/>
        </w:rPr>
        <w:softHyphen/>
        <w:t>ные сравниваемых самолетов. Эксплуатационные каче</w:t>
      </w:r>
      <w:r w:rsidRPr="0044524F">
        <w:rPr>
          <w:rFonts w:ascii="Times New Roman" w:hAnsi="Times New Roman"/>
          <w:color w:val="000000" w:themeColor="text1"/>
          <w:sz w:val="16"/>
          <w:szCs w:val="16"/>
        </w:rPr>
        <w:softHyphen/>
        <w:t>ства (удобство обслуживания и доступность ремонта) заводом № 39 при предъявлении проекта не гарантиру</w:t>
      </w:r>
      <w:r w:rsidRPr="0044524F">
        <w:rPr>
          <w:rFonts w:ascii="Times New Roman" w:hAnsi="Times New Roman"/>
          <w:color w:val="000000" w:themeColor="text1"/>
          <w:sz w:val="16"/>
          <w:szCs w:val="16"/>
        </w:rPr>
        <w:softHyphen/>
        <w:t>ется.</w:t>
      </w:r>
    </w:p>
    <w:p w14:paraId="4D1AD3EB"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940ABB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самолета И-15 может быть допущен к даль</w:t>
      </w:r>
      <w:r w:rsidRPr="0044524F">
        <w:rPr>
          <w:rFonts w:ascii="Times New Roman" w:hAnsi="Times New Roman"/>
          <w:color w:val="000000" w:themeColor="text1"/>
          <w:sz w:val="16"/>
          <w:szCs w:val="16"/>
        </w:rPr>
        <w:softHyphen/>
        <w:t>нейшей разработке и постройке. ЦКБ завода № 39 надлежит добиться выполнения поставленных эксплуа</w:t>
      </w:r>
      <w:r w:rsidRPr="0044524F">
        <w:rPr>
          <w:rFonts w:ascii="Times New Roman" w:hAnsi="Times New Roman"/>
          <w:color w:val="000000" w:themeColor="text1"/>
          <w:sz w:val="16"/>
          <w:szCs w:val="16"/>
        </w:rPr>
        <w:softHyphen/>
        <w:t>тационных требований и приложить усилия к повыше</w:t>
      </w:r>
      <w:r w:rsidRPr="0044524F">
        <w:rPr>
          <w:rFonts w:ascii="Times New Roman" w:hAnsi="Times New Roman"/>
          <w:color w:val="000000" w:themeColor="text1"/>
          <w:sz w:val="16"/>
          <w:szCs w:val="16"/>
        </w:rPr>
        <w:softHyphen/>
        <w:t>нию запроектированной максимальной скорости без снижения других летных данных самолета, особенно маневренности и скороподъемности» (10667).</w:t>
      </w:r>
    </w:p>
    <w:p w14:paraId="6107B6E2"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439DC3A7" w14:textId="77777777" w:rsidR="00B64F5D" w:rsidRPr="0044524F" w:rsidRDefault="00B64F5D" w:rsidP="00B64F5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В.П.Чкалов испытывал И-15 РЦ 630/715 нр Н.Н.П. и получили скорость 368 км/час на 3000 м (2863,37).</w:t>
      </w:r>
    </w:p>
    <w:p w14:paraId="1667B869" w14:textId="77777777" w:rsidR="00B64F5D" w:rsidRPr="0044524F" w:rsidRDefault="00B64F5D" w:rsidP="00B64F5D">
      <w:pPr>
        <w:spacing w:after="0" w:line="240" w:lineRule="auto"/>
        <w:jc w:val="both"/>
        <w:rPr>
          <w:rFonts w:ascii="Times New Roman" w:hAnsi="Times New Roman"/>
          <w:color w:val="000000" w:themeColor="text1"/>
          <w:sz w:val="16"/>
          <w:szCs w:val="16"/>
        </w:rPr>
      </w:pPr>
    </w:p>
    <w:p w14:paraId="241A4659" w14:textId="77777777" w:rsidR="00B64F5D" w:rsidRPr="0044524F" w:rsidRDefault="00B64F5D" w:rsidP="00B64F5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В.П.Чкалов начал испытывать ЦКБ-3 (И-15) (67,10).</w:t>
      </w:r>
    </w:p>
    <w:p w14:paraId="1F0992A2" w14:textId="77777777" w:rsidR="00B64F5D" w:rsidRPr="0044524F" w:rsidRDefault="00B64F5D" w:rsidP="00B64F5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это не странно, но на хвосте первого ЦКБ-3 судя по фото опять знак пресловутой "ВТ".</w:t>
      </w:r>
    </w:p>
    <w:p w14:paraId="4D4B2392" w14:textId="77777777" w:rsidR="00B64F5D" w:rsidRPr="0044524F" w:rsidRDefault="00B64F5D" w:rsidP="00B64F5D">
      <w:pPr>
        <w:spacing w:after="0" w:line="240" w:lineRule="auto"/>
        <w:jc w:val="both"/>
        <w:rPr>
          <w:rFonts w:ascii="Times New Roman" w:hAnsi="Times New Roman"/>
          <w:color w:val="000000" w:themeColor="text1"/>
          <w:sz w:val="16"/>
          <w:szCs w:val="16"/>
        </w:rPr>
      </w:pPr>
    </w:p>
    <w:p w14:paraId="56A08642" w14:textId="77777777" w:rsidR="00B64F5D" w:rsidRPr="0044524F" w:rsidRDefault="00B64F5D" w:rsidP="00B64F5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был построен первый экземпляр И-15 и в октябре-ноябре В.П.Чкалов летал (228,87).</w:t>
      </w:r>
    </w:p>
    <w:p w14:paraId="674B733B" w14:textId="77777777" w:rsidR="00B64F5D" w:rsidRPr="0044524F" w:rsidRDefault="00B64F5D" w:rsidP="00B64F5D">
      <w:pPr>
        <w:spacing w:after="0" w:line="240" w:lineRule="auto"/>
        <w:jc w:val="both"/>
        <w:rPr>
          <w:rFonts w:ascii="Times New Roman" w:hAnsi="Times New Roman"/>
          <w:color w:val="000000" w:themeColor="text1"/>
          <w:sz w:val="16"/>
          <w:szCs w:val="16"/>
        </w:rPr>
      </w:pPr>
    </w:p>
    <w:p w14:paraId="549095CB" w14:textId="77777777" w:rsidR="00B64F5D" w:rsidRPr="0044524F" w:rsidRDefault="00B64F5D" w:rsidP="00B64F5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построили первый экземпляр самолета И-15, оснащенный мотором «Циклон» американской фирмы Райт. Испытания И-15, проведенные в течение последующих двух месяцев показали, что у военных летчиков появилась возможность получить в свои руки выдающийся истребитель. Самолет обладал великолепной скороподъемностью (на высоту 5 километров забирался за 6 минут) и рекордным временем виража (8 секунд). На высоте 3 километра легко разгонялся до скорости 350 км/ч, что, хотя и не являлось рекордным показателем, но по требованиям тех лет было более чем достаточно. Уже в 1934 г. производство И-15 развернули на двух московских авиазаводах - №1 и №39. Для производства двигателей Райт «Циклон» в Америке закупили завод, который разместили в уральском городе Пермь. Это новое предприятие, получившее наименование «авиазавод №19», начиная с 1935 г. начало выпуск «Райтов» под маркой М-25. Значительная часть М-25 поступала для изготавливаемых в Москве И-15. Внедрение истребителя в ВВС, однако, не встретило единодушного одобрения в их руководстве. Основное неудовольствие вызывал центроплан верхнего крыла, выполненный в виде «чайки», который по мнению многих пилотов не обеспечивал достаточной путевой устойчивости, значительно ухудшал обзор, препятствовал строевым полетам и прицельной стрельбе. Кроме того, И-15 имел низкое качество изготовления, которое усугублялось грубой и зачастую неумелой его эксплуатацией в воинских частях. Одновременно, руководители ВВС отдавали предпочтение скоростным истребителям И-16 - сторонники монопланов в данном случае начисто отвергали необходимость истребителей-бипланов (6592).</w:t>
      </w:r>
    </w:p>
    <w:p w14:paraId="49CF7426" w14:textId="77777777" w:rsidR="00B64F5D" w:rsidRPr="0044524F" w:rsidRDefault="00B64F5D" w:rsidP="00B64F5D">
      <w:pPr>
        <w:spacing w:after="0" w:line="240" w:lineRule="auto"/>
        <w:jc w:val="both"/>
        <w:rPr>
          <w:rFonts w:ascii="Times New Roman" w:hAnsi="Times New Roman"/>
          <w:color w:val="000000" w:themeColor="text1"/>
          <w:sz w:val="16"/>
          <w:szCs w:val="16"/>
        </w:rPr>
      </w:pPr>
    </w:p>
    <w:p w14:paraId="36A7A2C2" w14:textId="77777777" w:rsidR="00B64F5D" w:rsidRPr="0044524F" w:rsidRDefault="00B64F5D" w:rsidP="00B64F5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состоялось испытание истребителя И-15 конструкции Н.Н. П. И-15 был спроектирован в ЦКБ и потому известен как ЦКБ-3. Это - одностоечный биплан смешанной конструкции с мотором М-22 мощностью 480 л .с. Максимальная скорость - 370 км/час, вооружение - 4 пулемета. Самолет обладал хорошей маневренностью и принят на вооружение ВВС. Модификации И-15, известные под названием И-15-бис, и И-153 /ичайка/ стояли на уровне лучших истребитедей мира и с успехом применялись в Испании, Монголии, Финляндии.</w:t>
      </w:r>
    </w:p>
    <w:p w14:paraId="581BB4DB" w14:textId="77777777" w:rsidR="00B64F5D" w:rsidRPr="0044524F" w:rsidRDefault="00B64F5D" w:rsidP="00B64F5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материалам В.Б.Шаврова/ (23370).</w:t>
      </w:r>
    </w:p>
    <w:p w14:paraId="39F6213B" w14:textId="77777777" w:rsidR="00B64F5D" w:rsidRPr="0044524F" w:rsidRDefault="00B64F5D" w:rsidP="00B64F5D">
      <w:pPr>
        <w:spacing w:after="0" w:line="240" w:lineRule="auto"/>
        <w:jc w:val="both"/>
        <w:rPr>
          <w:rFonts w:ascii="Times New Roman" w:hAnsi="Times New Roman"/>
          <w:color w:val="000000" w:themeColor="text1"/>
          <w:sz w:val="16"/>
          <w:szCs w:val="16"/>
        </w:rPr>
      </w:pPr>
    </w:p>
    <w:p w14:paraId="3265AEF3" w14:textId="77777777" w:rsidR="00B64F5D" w:rsidRPr="0044524F" w:rsidRDefault="00B64F5D" w:rsidP="00B64F5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начались рулежки, первые подлеты и, естественно, доделки ЦКБ-3 (И-15). Летал испытатель Валерий Чкалов (6593).</w:t>
      </w:r>
    </w:p>
    <w:p w14:paraId="01F563F1" w14:textId="77777777" w:rsidR="00B64F5D" w:rsidRPr="0044524F" w:rsidRDefault="00B64F5D" w:rsidP="00B64F5D">
      <w:pPr>
        <w:spacing w:after="0" w:line="240" w:lineRule="auto"/>
        <w:jc w:val="both"/>
        <w:rPr>
          <w:rFonts w:ascii="Times New Roman" w:hAnsi="Times New Roman"/>
          <w:color w:val="000000" w:themeColor="text1"/>
          <w:sz w:val="16"/>
          <w:szCs w:val="16"/>
        </w:rPr>
      </w:pPr>
    </w:p>
    <w:p w14:paraId="3E07C8DA" w14:textId="77777777" w:rsidR="00B64F5D" w:rsidRPr="0044524F" w:rsidRDefault="00B64F5D" w:rsidP="00B64F5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начались рулежки, первые подлеты и, естественно, доделки первого ЦКБ-3, законченного к осени 1933. Летал испытатель Валерий Чкалов. В ноябре выпал снег, поэтому колеса заменили на лыжи от самолета И-Z. Произошло это 18 ноября, а спустя пять дней случилась первая неприятность (12014).</w:t>
      </w:r>
    </w:p>
    <w:p w14:paraId="4BB124CB" w14:textId="77777777" w:rsidR="00B64F5D" w:rsidRPr="0044524F" w:rsidRDefault="00B64F5D" w:rsidP="00B64F5D">
      <w:pPr>
        <w:spacing w:after="0" w:line="240" w:lineRule="auto"/>
        <w:jc w:val="both"/>
        <w:rPr>
          <w:rFonts w:ascii="Times New Roman" w:hAnsi="Times New Roman"/>
          <w:color w:val="000000" w:themeColor="text1"/>
          <w:sz w:val="16"/>
          <w:szCs w:val="16"/>
        </w:rPr>
      </w:pPr>
    </w:p>
    <w:p w14:paraId="65DD692B" w14:textId="77777777" w:rsidR="00B64F5D" w:rsidRPr="0044524F" w:rsidRDefault="00B64F5D" w:rsidP="00B64F5D">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В октябре 1933 начались рулежки, первые подлеты и, естественно, доделки первого ЦКБ-3. Летал испытатель Валерий Чкалов. В ноябре выпал снег, поэтому колеса заменили на лыжи от самолета И-</w:t>
      </w:r>
      <w:r w:rsidRPr="0044524F">
        <w:rPr>
          <w:rFonts w:ascii="Times New Roman" w:cs="Times New Roman"/>
          <w:color w:val="000000" w:themeColor="text1"/>
          <w:spacing w:val="0"/>
          <w:lang w:val="en-US"/>
        </w:rPr>
        <w:t>Z</w:t>
      </w:r>
      <w:r w:rsidRPr="0044524F">
        <w:rPr>
          <w:rFonts w:ascii="Times New Roman" w:cs="Times New Roman"/>
          <w:color w:val="000000" w:themeColor="text1"/>
          <w:spacing w:val="0"/>
        </w:rPr>
        <w:t>. Произошло это 18 ноября, а спустя пять дней случилась первая неприятность. 23 ноября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в те време</w:t>
      </w:r>
      <w:r w:rsidRPr="0044524F">
        <w:rPr>
          <w:rFonts w:ascii="Times New Roman" w:cs="Times New Roman"/>
          <w:color w:val="000000" w:themeColor="text1"/>
          <w:spacing w:val="0"/>
        </w:rPr>
        <w:softHyphen/>
        <w:t xml:space="preserve">на не </w:t>
      </w:r>
      <w:r w:rsidRPr="0044524F">
        <w:rPr>
          <w:rFonts w:ascii="Times New Roman" w:cs="Times New Roman"/>
          <w:color w:val="000000" w:themeColor="text1"/>
          <w:spacing w:val="0"/>
        </w:rPr>
        <w:lastRenderedPageBreak/>
        <w:t>редкий, но досадный; шансов приземлиться благополучно практически не оставалось, и самолет на посадке перевернул</w:t>
      </w:r>
      <w:r w:rsidRPr="0044524F">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44524F">
        <w:rPr>
          <w:rFonts w:ascii="Times New Roman" w:cs="Times New Roman"/>
          <w:color w:val="000000" w:themeColor="text1"/>
          <w:spacing w:val="0"/>
        </w:rPr>
        <w:softHyphen/>
        <w:t>ния рекорда высоты (19107).</w:t>
      </w:r>
    </w:p>
    <w:p w14:paraId="7A188643" w14:textId="77777777" w:rsidR="00B64F5D" w:rsidRPr="0044524F" w:rsidRDefault="00B64F5D" w:rsidP="00B64F5D">
      <w:pPr>
        <w:spacing w:after="0" w:line="240" w:lineRule="auto"/>
        <w:jc w:val="both"/>
        <w:rPr>
          <w:rFonts w:ascii="Times New Roman" w:hAnsi="Times New Roman"/>
          <w:color w:val="000000" w:themeColor="text1"/>
          <w:sz w:val="16"/>
          <w:szCs w:val="16"/>
        </w:rPr>
      </w:pPr>
    </w:p>
    <w:p w14:paraId="5DAE74DF"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Николай Николаевич направил в НИИ ВВС третий по счету эскизный проект истребителя. В нем он отразил опыт предшествующих разработок, более детально поясняя концепцию самолета:</w:t>
      </w:r>
    </w:p>
    <w:p w14:paraId="08C674FE"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«а) Схема коробки крыльев была принята полутораплан как обеспечивающая большую несущую поверхность при минимальных внешних габаритах и удовлетворительное удлинение крыльев, эквивалентно моноплану… </w:t>
      </w:r>
    </w:p>
    <w:p w14:paraId="4082EFEB"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б) Нагрузка на 1 м и на 1 НР была подобрана минимально возможной для получения максимальной маневренности… </w:t>
      </w:r>
    </w:p>
    <w:p w14:paraId="7A3AD452"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схеме коробки крыльев мы стремились добиться соединения условий наилучшего обзора и высоких аэродинамических качеств путем уменьшения интерференции… »</w:t>
      </w:r>
    </w:p>
    <w:p w14:paraId="3DF058B5"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Оценки летных характеристик машины были оставлены такими же, как и в предыдущем проекте, т. е. заниженными, несмотря на то что продувки уже были завершены.</w:t>
      </w:r>
    </w:p>
    <w:p w14:paraId="4887E89A"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Отзыв на проект давал Н. А. Жемчужин, выпускник Военно-воздушной академии им. проф. Н. Е. Жуковского. Итоговый документ гласил:</w:t>
      </w:r>
    </w:p>
    <w:p w14:paraId="20F33569"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«Общий вывод </w:t>
      </w:r>
    </w:p>
    <w:p w14:paraId="2D54D257"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В отношении максимальной скорости на высоте 5000 м самолет И-15 не выполняет предъявленных к нему технических требований и отстает от современных уже построенных заграничных истребителей. </w:t>
      </w:r>
    </w:p>
    <w:p w14:paraId="2A161B3D"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Предъявленные к нему требования в отношении маневренности и скороподъемности выполняются и перекрывают данные сравниваемых самолетов. </w:t>
      </w:r>
    </w:p>
    <w:p w14:paraId="2D1FBF83"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 Эксплуатационные качества (удобство обслуживания и доступность ремонта) заводом № 39 при предъявлении проекта не гарантируются. </w:t>
      </w:r>
    </w:p>
    <w:p w14:paraId="3602E1F4"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Заключение </w:t>
      </w:r>
    </w:p>
    <w:p w14:paraId="27A30D8E"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Проект самолета И-15 может быть допущен к дальнейшей разработке и постройке. ЦКБ завода 39 надлежит добиться выполнения поставленных эксплуатационных требований и приложить усилия к повышению запроектированной максимальной скорости без снижения других летных данных самолета, особенно маневренности и скороподъемности» (25035). </w:t>
      </w:r>
    </w:p>
    <w:p w14:paraId="354BD81A" w14:textId="77777777" w:rsidR="00B64F5D" w:rsidRPr="00142305" w:rsidRDefault="00B64F5D" w:rsidP="00B64F5D">
      <w:pPr>
        <w:spacing w:after="0" w:line="240" w:lineRule="auto"/>
        <w:jc w:val="both"/>
        <w:rPr>
          <w:rFonts w:ascii="Times New Roman" w:hAnsi="Times New Roman"/>
          <w:color w:val="0070C0"/>
          <w:sz w:val="16"/>
          <w:szCs w:val="16"/>
        </w:rPr>
      </w:pPr>
    </w:p>
    <w:p w14:paraId="7FFFF98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Николай Николаевич ознакомил с результатами работы над И-17 руководство ВВС. Ожидаемые лет</w:t>
      </w:r>
      <w:r w:rsidRPr="0044524F">
        <w:rPr>
          <w:rFonts w:ascii="Times New Roman" w:hAnsi="Times New Roman"/>
          <w:color w:val="000000" w:themeColor="text1"/>
          <w:sz w:val="16"/>
          <w:szCs w:val="16"/>
        </w:rPr>
        <w:softHyphen/>
        <w:t>ные характеристики предварительных вариантов И-17 несущественно превосходили характеристики И-16 с мо</w:t>
      </w:r>
      <w:r w:rsidRPr="0044524F">
        <w:rPr>
          <w:rFonts w:ascii="Times New Roman" w:hAnsi="Times New Roman"/>
          <w:color w:val="000000" w:themeColor="text1"/>
          <w:sz w:val="16"/>
          <w:szCs w:val="16"/>
        </w:rPr>
        <w:softHyphen/>
        <w:t>тором Райт «Циклон» 5СК-1820 Р-3 и Р-5, поэтому в ВВС довольно прохладно встретили инициативные предло</w:t>
      </w:r>
      <w:r w:rsidRPr="0044524F">
        <w:rPr>
          <w:rFonts w:ascii="Times New Roman" w:hAnsi="Times New Roman"/>
          <w:color w:val="000000" w:themeColor="text1"/>
          <w:sz w:val="16"/>
          <w:szCs w:val="16"/>
        </w:rPr>
        <w:softHyphen/>
        <w:t>жения Поликарпова. Однако мотор-пушка тогда явля</w:t>
      </w:r>
      <w:r w:rsidRPr="0044524F">
        <w:rPr>
          <w:rFonts w:ascii="Times New Roman" w:hAnsi="Times New Roman"/>
          <w:color w:val="000000" w:themeColor="text1"/>
          <w:sz w:val="16"/>
          <w:szCs w:val="16"/>
        </w:rPr>
        <w:softHyphen/>
        <w:t>лась технической новинкой (10667).</w:t>
      </w:r>
    </w:p>
    <w:p w14:paraId="1A14B2CC"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p>
    <w:p w14:paraId="26D16C76"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коллектив конструкторов бригады Н. Н. Поликарпова выпустил маневренный истребитель И-15 (ЦКБ-3) с мотором М-22. Самолет делал полный вираж за восемь секунд и развивал скорость 360 км/ч. На высоту 5 000 м И-15 подни</w:t>
      </w:r>
      <w:r w:rsidRPr="00142305">
        <w:rPr>
          <w:rFonts w:ascii="Times New Roman" w:hAnsi="Times New Roman"/>
          <w:color w:val="0070C0"/>
          <w:sz w:val="16"/>
          <w:szCs w:val="16"/>
        </w:rPr>
        <w:softHyphen/>
        <w:t>мался за 6,1 минуты. Вооружение на нем было представлено четырьмя синхрон</w:t>
      </w:r>
      <w:r w:rsidRPr="00142305">
        <w:rPr>
          <w:rFonts w:ascii="Times New Roman" w:hAnsi="Times New Roman"/>
          <w:color w:val="0070C0"/>
          <w:sz w:val="16"/>
          <w:szCs w:val="16"/>
        </w:rPr>
        <w:softHyphen/>
        <w:t>ными пулеметами ПВ-1. Позднее этот самолет хорошо зарекомендовал себя в Испании, особенно в первый год пребывания на испанских фронтах. Всего было произведено 674 самолета И-15.</w:t>
      </w:r>
    </w:p>
    <w:p w14:paraId="4B3ABB6A"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Поликарпов все время старался улучшить И-15. Так, путем установки бо</w:t>
      </w:r>
      <w:r w:rsidRPr="00142305">
        <w:rPr>
          <w:rFonts w:ascii="Times New Roman" w:hAnsi="Times New Roman"/>
          <w:color w:val="0070C0"/>
          <w:sz w:val="16"/>
          <w:szCs w:val="16"/>
        </w:rPr>
        <w:softHyphen/>
        <w:t>лее мощного двигателя - М-25 он был модифицирован в И-15бис. Скорость уве</w:t>
      </w:r>
      <w:r w:rsidRPr="00142305">
        <w:rPr>
          <w:rFonts w:ascii="Times New Roman" w:hAnsi="Times New Roman"/>
          <w:color w:val="0070C0"/>
          <w:sz w:val="16"/>
          <w:szCs w:val="16"/>
        </w:rPr>
        <w:softHyphen/>
        <w:t>личилась незначительно - до 367 км/ч, но высотность этого самолета превзошла все ожидания. Летчик-испытатель В. К. Коккинаки 21 января 1935 г. на серийном И-Ибис установил мировой рекорд высоты полета на самолете - 14 575 м (24968).</w:t>
      </w:r>
    </w:p>
    <w:p w14:paraId="2734B577" w14:textId="77777777" w:rsidR="00B64F5D" w:rsidRPr="00142305" w:rsidRDefault="00B64F5D" w:rsidP="00B64F5D">
      <w:pPr>
        <w:spacing w:after="0" w:line="240" w:lineRule="auto"/>
        <w:jc w:val="both"/>
        <w:rPr>
          <w:rFonts w:ascii="Times New Roman" w:hAnsi="Times New Roman"/>
          <w:color w:val="0070C0"/>
          <w:sz w:val="16"/>
          <w:szCs w:val="16"/>
        </w:rPr>
      </w:pPr>
    </w:p>
    <w:p w14:paraId="271BEE3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состоялись испытания Сталь-6 Р.Л.Бартини. Полетный вес - 1080 кг, скорость - 420 км/час. Летали А.Б.Юмашев и П.М.Стефановский (438,659).</w:t>
      </w:r>
    </w:p>
    <w:p w14:paraId="758F617D"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67127638" w14:textId="77777777" w:rsidR="004C18EC" w:rsidRPr="0044524F" w:rsidRDefault="004C18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проводились испытания опытного самолета Сталь-6 конструкции инженера Роберта Людвиговича Бартини, постройки НИИ ГВФ. Сталь-б одноместный свободнонесущий моноплан с мотором Кертис-Конкверор 660 л.с. Его особенности: одноколесное, убирающееся в полете шасси, испарительное охлаждение мотора /поверхность крыла использовалась в качестве радиатора/, т.н. "бустерное" управление. Все это было выполнено впервые в ношей стране Бартини. Самолет проектировался как истребитель с небывалой для того времени скоростью - 420 км/час. По разным причинам, больше всего из-за боязни новизны конструкции, самолет не получил дальнейшего развития. Испытывали самолет летчики А.Б.Юмашев и П.М.Стефановскмй.</w:t>
      </w:r>
    </w:p>
    <w:p w14:paraId="4A4E3C40" w14:textId="77777777" w:rsidR="004C18EC" w:rsidRPr="0044524F" w:rsidRDefault="004C18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материалам В.Б.Шаврова/ (23370).</w:t>
      </w:r>
    </w:p>
    <w:p w14:paraId="366A5165" w14:textId="77777777" w:rsidR="004C18EC" w:rsidRPr="0044524F" w:rsidRDefault="004C18EC" w:rsidP="009654CF">
      <w:pPr>
        <w:spacing w:after="0" w:line="240" w:lineRule="auto"/>
        <w:jc w:val="both"/>
        <w:rPr>
          <w:rFonts w:ascii="Times New Roman" w:hAnsi="Times New Roman"/>
          <w:color w:val="000000" w:themeColor="text1"/>
          <w:sz w:val="16"/>
          <w:szCs w:val="16"/>
        </w:rPr>
      </w:pPr>
    </w:p>
    <w:p w14:paraId="189BF59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в СНИИ ГВФ закончились гос. испытания АИР-6 на колесах. Зимой 1932/33 - летали на лыжах (3550,9).</w:t>
      </w:r>
    </w:p>
    <w:p w14:paraId="322A75F5"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1FBFD64" w14:textId="77777777" w:rsidR="00562118" w:rsidRPr="0044524F" w:rsidRDefault="0056211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 октябре 1933 г завершили государственные испытания АИР-6 в СНИИ ГВФ. Самолет опять подтвердил заявленные конструктором данные и продемонстрировал хорошую устойчивость и управляемость, а также простоту в эксплуатации. Получили максимальную скорость 169 км/ч. В заключении СНИИ ГВФ говорилось: «Простота конструкции, надежная работа мотора, удобная пассажирская кабина типа «лимузин» и сравнительно малая посадочная скорость создали самолету хорошую репутацию. Имея в закрытой кабине два места для пассажиров, самолет является наиболее удобным типом на местных линиях воздушного сообщения для перевозки почты и пассажиров» (19099).</w:t>
      </w:r>
    </w:p>
    <w:p w14:paraId="5B34A072" w14:textId="77777777" w:rsidR="00562118" w:rsidRPr="0044524F" w:rsidRDefault="00562118" w:rsidP="009654CF">
      <w:pPr>
        <w:pStyle w:val="a8"/>
        <w:jc w:val="both"/>
        <w:rPr>
          <w:rFonts w:ascii="Times New Roman" w:hAnsi="Times New Roman" w:cs="Times New Roman"/>
          <w:color w:val="000000" w:themeColor="text1"/>
        </w:rPr>
      </w:pPr>
    </w:p>
    <w:p w14:paraId="0CFC1B52" w14:textId="77777777" w:rsidR="00562118" w:rsidRPr="0044524F" w:rsidRDefault="0056211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В октябре 1933 АИР-6А прибыл в Школу морских летчиков в Ейске. Первый опытный образец АИР-6 передали авиасекции украинского отделения спортивного общества «Динамо» и перегнали в Харьков (видимо, на колесах). Указывалось, что поплавки к нему приобрели отдельно. На них самолет летал над Днепром.</w:t>
      </w:r>
    </w:p>
    <w:p w14:paraId="3EB0CD77" w14:textId="77777777" w:rsidR="00562118" w:rsidRPr="0044524F" w:rsidRDefault="0056211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Экипаж летчика Я. В. Письменного (между прочим, майора госбезопасности) намеревался установить мировой рекорд дальности для легких гидросамолетов. На АИР-6А установил и опломбированные контрольные приборы. 19 октября перегруженный гидроплан вылетел из Ейска. Вместе с Письменным на борту находился механик В.П. Кузнецов. 250 км машина летела над сушей, а от Запорожья - над Днепром. За Черкассами совершили посадку на реку между селами Свидовок и Секирно. Общая протяженность маршрута составила 568 км. Рекорд зарегистрировали сперва как всесоюзный, а затем и как мировой: Письменный почти в полтора раза превысил достижение американцев Г Борнтрегера и Э. Стаффорда, зарегистрированное в марте 1936 г. (19099).</w:t>
      </w:r>
    </w:p>
    <w:p w14:paraId="1FC71C4F" w14:textId="77777777" w:rsidR="00562118" w:rsidRPr="0044524F" w:rsidRDefault="00562118" w:rsidP="009654CF">
      <w:pPr>
        <w:pStyle w:val="a8"/>
        <w:jc w:val="both"/>
        <w:rPr>
          <w:rFonts w:ascii="Times New Roman" w:hAnsi="Times New Roman" w:cs="Times New Roman"/>
          <w:color w:val="000000" w:themeColor="text1"/>
        </w:rPr>
      </w:pPr>
    </w:p>
    <w:p w14:paraId="3495C084" w14:textId="77777777" w:rsidR="00F46121" w:rsidRPr="0044524F" w:rsidRDefault="00F461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1933-го в СНИИ ГВФ закончились государственные испытания АИР-6 на колесах. Зимой 1932-1933 гг. АИР-6 летал на лыжном шасси. Следующей зимой на лыжи поставили второй самолет (15727).</w:t>
      </w:r>
    </w:p>
    <w:p w14:paraId="70075C2B"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6567E41E" w14:textId="77777777" w:rsidR="00F46121" w:rsidRPr="0044524F" w:rsidRDefault="00F461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октябре-декабре 1933 АИР-7 проходил испытания в НИИ ГВФ. Подробных сведений об этом пока найти не удалось. Есть лишь краткое сообщение об этом в газете «Стальной самолет»: «Проверены все аэронавигационные приборы на АИР-7... Сверх плана произведены испытания» (15447).</w:t>
      </w:r>
    </w:p>
    <w:p w14:paraId="5DA72E89"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581B283C"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первый опытный образец АИР-6 передали авиасекции украинского отделения спортивного общества «Динамо» и перегнали в Харьков (видимо, на колесах). Указывалось, что поплавки к нему приобрели отдельно. На них само</w:t>
      </w:r>
      <w:r w:rsidRPr="00142305">
        <w:rPr>
          <w:rFonts w:ascii="Times New Roman" w:hAnsi="Times New Roman"/>
          <w:color w:val="0070C0"/>
          <w:sz w:val="16"/>
          <w:szCs w:val="16"/>
        </w:rPr>
        <w:softHyphen/>
        <w:t>лет летал над Днепром, а в октябре маши</w:t>
      </w:r>
      <w:r w:rsidRPr="00142305">
        <w:rPr>
          <w:rFonts w:ascii="Times New Roman" w:hAnsi="Times New Roman"/>
          <w:color w:val="0070C0"/>
          <w:sz w:val="16"/>
          <w:szCs w:val="16"/>
        </w:rPr>
        <w:softHyphen/>
        <w:t>на прибыла в Школу морских летчиков в Ейске. Экипаж летчика Я. В. Письменного (между прочим, майора госбезопасности) намеревался установить мировой рекорд дальности для легких гидросамолетов. На АИР-6А установил и опломбированные контрольные приборы. 19 октября пере</w:t>
      </w:r>
      <w:r w:rsidRPr="00142305">
        <w:rPr>
          <w:rFonts w:ascii="Times New Roman" w:hAnsi="Times New Roman"/>
          <w:color w:val="0070C0"/>
          <w:sz w:val="16"/>
          <w:szCs w:val="16"/>
        </w:rPr>
        <w:softHyphen/>
        <w:t>груженный гидроплан вылетел из Ейска. Вместе с Письменным на борту находил</w:t>
      </w:r>
      <w:r w:rsidRPr="00142305">
        <w:rPr>
          <w:rFonts w:ascii="Times New Roman" w:hAnsi="Times New Roman"/>
          <w:color w:val="0070C0"/>
          <w:sz w:val="16"/>
          <w:szCs w:val="16"/>
        </w:rPr>
        <w:softHyphen/>
        <w:t>ся механик В.П. Кузнецов. 250 км машина летела над сушей, а от Запорожья - над Днепром. За Черкассами совершили по</w:t>
      </w:r>
      <w:r w:rsidRPr="00142305">
        <w:rPr>
          <w:rFonts w:ascii="Times New Roman" w:hAnsi="Times New Roman"/>
          <w:color w:val="0070C0"/>
          <w:sz w:val="16"/>
          <w:szCs w:val="16"/>
        </w:rPr>
        <w:softHyphen/>
        <w:t>садку на реку между селами Свидовок и Секирно. Общая протяженность мар</w:t>
      </w:r>
      <w:r w:rsidRPr="00142305">
        <w:rPr>
          <w:rFonts w:ascii="Times New Roman" w:hAnsi="Times New Roman"/>
          <w:color w:val="0070C0"/>
          <w:sz w:val="16"/>
          <w:szCs w:val="16"/>
        </w:rPr>
        <w:softHyphen/>
        <w:t>шрута составила 568 км. Рекорд заре</w:t>
      </w:r>
      <w:r w:rsidRPr="00142305">
        <w:rPr>
          <w:rFonts w:ascii="Times New Roman" w:hAnsi="Times New Roman"/>
          <w:color w:val="0070C0"/>
          <w:sz w:val="16"/>
          <w:szCs w:val="16"/>
        </w:rPr>
        <w:softHyphen/>
        <w:t>гистрировали сперва как всесоюзный, а затем и как мировой: Письменный почти в полтора раза превысил достижение аме</w:t>
      </w:r>
      <w:r w:rsidRPr="00142305">
        <w:rPr>
          <w:rFonts w:ascii="Times New Roman" w:hAnsi="Times New Roman"/>
          <w:color w:val="0070C0"/>
          <w:sz w:val="16"/>
          <w:szCs w:val="16"/>
        </w:rPr>
        <w:softHyphen/>
        <w:t>риканцев Г Борнтрегера и Э. Стаффорда, зарегистрированное в марте 1936 г. (24945).</w:t>
      </w:r>
    </w:p>
    <w:p w14:paraId="24E3645C" w14:textId="77777777" w:rsidR="00B64F5D" w:rsidRPr="00142305" w:rsidRDefault="00B64F5D" w:rsidP="00B64F5D">
      <w:pPr>
        <w:spacing w:after="0" w:line="240" w:lineRule="auto"/>
        <w:jc w:val="both"/>
        <w:rPr>
          <w:rFonts w:ascii="Times New Roman" w:hAnsi="Times New Roman"/>
          <w:color w:val="0070C0"/>
          <w:sz w:val="16"/>
          <w:szCs w:val="16"/>
        </w:rPr>
      </w:pPr>
    </w:p>
    <w:p w14:paraId="428DD9BD"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в СНИИ ГВФ завершились государственные испытания третьего экземпляра АИР-6. Самолет опять подтвердил за</w:t>
      </w:r>
      <w:r w:rsidRPr="00142305">
        <w:rPr>
          <w:rFonts w:ascii="Times New Roman" w:hAnsi="Times New Roman"/>
          <w:color w:val="0070C0"/>
          <w:sz w:val="16"/>
          <w:szCs w:val="16"/>
        </w:rPr>
        <w:softHyphen/>
        <w:t>явленные конструктором данные и про</w:t>
      </w:r>
      <w:r w:rsidRPr="00142305">
        <w:rPr>
          <w:rFonts w:ascii="Times New Roman" w:hAnsi="Times New Roman"/>
          <w:color w:val="0070C0"/>
          <w:sz w:val="16"/>
          <w:szCs w:val="16"/>
        </w:rPr>
        <w:softHyphen/>
        <w:t>демонстрировал хорошую устойчивость и управляемость, а также простоту в эксплуатации. Получили максимальную скорость 169 км/ч. В заключении СНИИ ГВФ говорилось: «Простота конструкции, надежная работа мотора, удобная пасса</w:t>
      </w:r>
      <w:r w:rsidRPr="00142305">
        <w:rPr>
          <w:rFonts w:ascii="Times New Roman" w:hAnsi="Times New Roman"/>
          <w:color w:val="0070C0"/>
          <w:sz w:val="16"/>
          <w:szCs w:val="16"/>
        </w:rPr>
        <w:softHyphen/>
        <w:t>жирская кабина типа «лимузин» и срав</w:t>
      </w:r>
      <w:r w:rsidRPr="00142305">
        <w:rPr>
          <w:rFonts w:ascii="Times New Roman" w:hAnsi="Times New Roman"/>
          <w:color w:val="0070C0"/>
          <w:sz w:val="16"/>
          <w:szCs w:val="16"/>
        </w:rPr>
        <w:softHyphen/>
        <w:t>нительно малая посадочная скорость создали самолету хорошую репутацию. Имея в закрытой кабине два места для пассажиров, самолет является наиболее удобным типом на местных линиях воз</w:t>
      </w:r>
      <w:r w:rsidRPr="00142305">
        <w:rPr>
          <w:rFonts w:ascii="Times New Roman" w:hAnsi="Times New Roman"/>
          <w:color w:val="0070C0"/>
          <w:sz w:val="16"/>
          <w:szCs w:val="16"/>
        </w:rPr>
        <w:softHyphen/>
        <w:t>душного сообщения для перевозки почты и пассажиров».</w:t>
      </w:r>
    </w:p>
    <w:p w14:paraId="56E709F7"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Позднее второй и третий образец АИР-6 передали московскому отделению Осоавиахима (24945).</w:t>
      </w:r>
    </w:p>
    <w:p w14:paraId="78762E8E" w14:textId="77777777" w:rsidR="00B64F5D" w:rsidRPr="00142305" w:rsidRDefault="00B64F5D" w:rsidP="00B64F5D">
      <w:pPr>
        <w:spacing w:after="0" w:line="240" w:lineRule="auto"/>
        <w:jc w:val="both"/>
        <w:rPr>
          <w:rFonts w:ascii="Times New Roman" w:hAnsi="Times New Roman"/>
          <w:color w:val="0070C0"/>
          <w:sz w:val="16"/>
          <w:szCs w:val="16"/>
        </w:rPr>
      </w:pPr>
    </w:p>
    <w:p w14:paraId="71B11D3A" w14:textId="77777777" w:rsidR="00CE35D9" w:rsidRPr="0044524F" w:rsidRDefault="00CE35D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 ноябре 1933 г. самолет Г-10, оснащенный опытным отечественным двигателем М-23 мощностью 65 л.с., успешно прошел государственные испытания на летно-испыта-тельной станции ВВА им. Н.Е.Жуковского. Кроме ведущего летчика-испытателя Т.Т.Алтынова, в облете самолета приняли участие еще семь летчиков из НИИ ВВС, Военно-Воздушной академии им. Жуковского, Осоавиахима и одного из авиазаводов. В отзывах летчиков отмечалось, что Г-10 может быть использован в качестве спортивно-тренировочного для аэроклубов, школ ВВС и ГВФ.</w:t>
      </w:r>
    </w:p>
    <w:p w14:paraId="32BB23A5" w14:textId="77777777" w:rsidR="00CE35D9" w:rsidRPr="0044524F" w:rsidRDefault="00CE35D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Этот небольшой спортивный высокоплан начал проектироваться уже в МКБ, а его изготовление завершилось в 1933 г. В статье, помещенной в журнале «Самолет» №1 за 1934 г., Грибовский так излагал идею самолета Г-10:</w:t>
      </w:r>
    </w:p>
    <w:p w14:paraId="5053483B" w14:textId="77777777" w:rsidR="00CE35D9" w:rsidRPr="0044524F" w:rsidRDefault="00CE35D9" w:rsidP="009654CF">
      <w:pPr>
        <w:shd w:val="clear" w:color="auto" w:fill="FFFFFF"/>
        <w:spacing w:after="0" w:line="240" w:lineRule="auto"/>
        <w:jc w:val="both"/>
        <w:rPr>
          <w:rFonts w:ascii="Times New Roman" w:hAnsi="Times New Roman"/>
          <w:iCs/>
          <w:color w:val="000000" w:themeColor="text1"/>
          <w:sz w:val="16"/>
          <w:szCs w:val="16"/>
        </w:rPr>
      </w:pPr>
      <w:r w:rsidRPr="0044524F">
        <w:rPr>
          <w:rFonts w:ascii="Times New Roman" w:hAnsi="Times New Roman"/>
          <w:iCs/>
          <w:color w:val="000000" w:themeColor="text1"/>
          <w:sz w:val="16"/>
          <w:szCs w:val="16"/>
        </w:rPr>
        <w:t xml:space="preserve"> «Развитие спортивной авиации, развертывание сети аэроклубов, большое количество летного состава, нуждающегося в постоянной тренировке, вызывает колоссальный расход горючего и капитальные затраты на постройку ангарной площади, задерживает темпы развития спортивной авиации.</w:t>
      </w:r>
    </w:p>
    <w:p w14:paraId="2606F0BA" w14:textId="77777777" w:rsidR="00CE35D9" w:rsidRPr="0044524F" w:rsidRDefault="00CE35D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Одним из основных путей сокращения этих расходов является введение в нашу систему дешевого, маломощного, с малыми габаритами самолета, с летной стороны отвечающего всем требованиям тренировщика. Если мы сравним стоимость самолета со 100-сильным мотором и мотором в 65 л.с. мы получим 65% экономии, в то же самое время у нас примерно на 40% сократится расход горючего. Требование на ангарную площадь убавится больше чем на 50%, кроме того, мы получим еще целый ряд эксплуатационных выгод».</w:t>
      </w:r>
    </w:p>
    <w:p w14:paraId="734DDB9F" w14:textId="77777777" w:rsidR="00CE35D9" w:rsidRPr="0044524F" w:rsidRDefault="00CE35D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М-23, однако, разделил судьбу многих опытных изделий и серию не пошел. По этой причине Г-10 длительное время не эксплуатировался и хранился в ангаре.</w:t>
      </w:r>
    </w:p>
    <w:p w14:paraId="0CEF4A9E" w14:textId="77777777" w:rsidR="00CE35D9" w:rsidRPr="0044524F" w:rsidRDefault="00CE35D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1935 г, известный летчик-спортсмен Центрального аэроклуба СССР Н.Д.Федосеев предложил включить самолет в намеченный на сентябрь года круговой перелет спортивных самолетов протяженностью 5500км. (Перелет этот неоднократно будет упоминаться в дальнейшем, в частности, в связи с самолетами Г-15 и Г-20. Поэтому уместно привести его полный маршрут: Москва - Горький - Казань - Сарапул -Пермь - Свердловск - Челябинск -Магнитогорск - Оренбург - Куйбышев - Саратов - Сталинград - Луганск - Сталино - Днепропетровск -Киев - Брянск - Москва).</w:t>
      </w:r>
    </w:p>
    <w:p w14:paraId="530E3995" w14:textId="77777777" w:rsidR="00CE35D9" w:rsidRPr="0044524F" w:rsidRDefault="00CE35D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осуществления своего предложения Федосеев нашел старенький двигатель «Вальтер» мощностью 65л.с, лично перебрал его и установил на самолет.</w:t>
      </w:r>
    </w:p>
    <w:p w14:paraId="63C3ED15" w14:textId="77777777" w:rsidR="00CE35D9" w:rsidRPr="0044524F" w:rsidRDefault="00CE35D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Перелет, как и планировалось, занял 7 дней. Г-10 шел вне конкурса, так как имел мотор меньшей мощности, чем остальные машины, оснащенные серийными М-11. Несмотря на это, Г-10 успешно прошел весь маршрут, практически наравне с другими участниками. Летчик Федосеев за проявленную инициативу и успешный перелет был награжден призом Наркомата обороны СССР - золотыми часами.</w:t>
      </w:r>
    </w:p>
    <w:p w14:paraId="6E6B244E" w14:textId="77777777" w:rsidR="00CE35D9" w:rsidRPr="0044524F" w:rsidRDefault="00CE35D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серийных отечественных моторов мощностью порядка 60 л.с. не позволило внедрить Г-10 в более широкую эксплуатацию, и все ограничилось постройкой единственного экземпляра.</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714"/>
        <w:gridCol w:w="6608"/>
      </w:tblGrid>
      <w:tr w:rsidR="004E10C1" w:rsidRPr="0044524F" w14:paraId="7D63F5FA"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F5CB0D6"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1F8B5D1" w14:textId="78E1FA22"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lang w:val="uk-UA"/>
              </w:rPr>
              <w:t>Г-10</w:t>
            </w:r>
          </w:p>
        </w:tc>
      </w:tr>
      <w:tr w:rsidR="004E10C1" w:rsidRPr="0044524F" w14:paraId="45536450"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EE07CF7"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5270765" w14:textId="652A3C92"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8.40</w:t>
            </w:r>
          </w:p>
        </w:tc>
      </w:tr>
      <w:tr w:rsidR="004E10C1" w:rsidRPr="0044524F" w14:paraId="79ADE1F4"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B3C3ADD"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0AAF60B" w14:textId="00B1C256"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5.60</w:t>
            </w:r>
          </w:p>
        </w:tc>
      </w:tr>
      <w:tr w:rsidR="004E10C1" w:rsidRPr="0044524F" w14:paraId="20ABDBCE"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EC2454E"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самолета,м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DE977F6"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24FB229"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C1C3397"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крыла,м²</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0F42C2D" w14:textId="4283B70C"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11.00</w:t>
            </w:r>
          </w:p>
        </w:tc>
      </w:tr>
      <w:tr w:rsidR="004E10C1" w:rsidRPr="0044524F" w14:paraId="684DF1A4"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6729362"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кг</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48CCAD4"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2B5BBEB8"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13C1D7D" w14:textId="1C627545"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пустого самолета</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A43F005" w14:textId="26BBB65B"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330</w:t>
            </w:r>
          </w:p>
        </w:tc>
      </w:tr>
      <w:tr w:rsidR="004E10C1" w:rsidRPr="0044524F" w14:paraId="1875AE5B"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9B05695" w14:textId="25CBF6B8"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максимальная взлетная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CF685BD" w14:textId="4130D4D2"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505</w:t>
            </w:r>
          </w:p>
        </w:tc>
      </w:tr>
      <w:tr w:rsidR="004E10C1" w:rsidRPr="0044524F" w14:paraId="5FA75D58"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5AE94EC"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двигателя</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59426F5" w14:textId="75630AF8"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1 ПД Walter</w:t>
            </w:r>
          </w:p>
        </w:tc>
      </w:tr>
      <w:tr w:rsidR="004E10C1" w:rsidRPr="0044524F" w14:paraId="009C91C5"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B4D8BA"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л.с.</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EEB36A7" w14:textId="2C1A23B9"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1 × 60</w:t>
            </w:r>
          </w:p>
        </w:tc>
      </w:tr>
      <w:tr w:rsidR="004E10C1" w:rsidRPr="0044524F" w14:paraId="48D3D3C0"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190D1AA"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C828D8" w14:textId="04AD660F"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170</w:t>
            </w:r>
          </w:p>
        </w:tc>
      </w:tr>
      <w:tr w:rsidR="004E10C1" w:rsidRPr="0044524F" w14:paraId="22EFA09A"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16F56ED"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Крейсерская скорость, км/ч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7668456" w14:textId="6F850936"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138</w:t>
            </w:r>
          </w:p>
        </w:tc>
      </w:tr>
      <w:tr w:rsidR="004E10C1" w:rsidRPr="0044524F" w14:paraId="0126AAA9"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DF0EC41"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Практическая дальность, км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EA45390" w14:textId="1145AAE8"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700</w:t>
            </w:r>
          </w:p>
        </w:tc>
      </w:tr>
      <w:tr w:rsidR="004E10C1" w:rsidRPr="0044524F" w14:paraId="52B466CD"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36DC5E0"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 полета, ч</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54CE9DB" w14:textId="5AB9BF7C"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4</w:t>
            </w:r>
          </w:p>
        </w:tc>
      </w:tr>
      <w:tr w:rsidR="004E10C1" w:rsidRPr="0044524F" w14:paraId="38B62A38"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DD8A40E"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м/мин</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2B1AA845" w14:textId="003A9275"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200</w:t>
            </w:r>
          </w:p>
        </w:tc>
      </w:tr>
      <w:tr w:rsidR="004E10C1" w:rsidRPr="0044524F" w14:paraId="0EFC3064"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F7E874D"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 м</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4197075" w14:textId="4C771731"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5200</w:t>
            </w:r>
          </w:p>
        </w:tc>
      </w:tr>
      <w:tr w:rsidR="004E10C1" w:rsidRPr="0044524F" w14:paraId="787FF8C6" w14:textId="77777777" w:rsidTr="00CE35D9">
        <w:trPr>
          <w:trHeight w:val="180"/>
        </w:trPr>
        <w:tc>
          <w:tcPr>
            <w:tcW w:w="3888"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7BD937C7"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чел</w:t>
            </w:r>
          </w:p>
        </w:tc>
        <w:tc>
          <w:tcPr>
            <w:tcW w:w="5451"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73DCA1F" w14:textId="10319643" w:rsidR="00CE35D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CE35D9" w:rsidRPr="0044524F">
              <w:rPr>
                <w:rFonts w:ascii="Times New Roman" w:hAnsi="Times New Roman"/>
                <w:color w:val="000000" w:themeColor="text1"/>
                <w:sz w:val="16"/>
                <w:szCs w:val="16"/>
              </w:rPr>
              <w:t>2</w:t>
            </w:r>
          </w:p>
        </w:tc>
      </w:tr>
    </w:tbl>
    <w:p w14:paraId="6077CB40" w14:textId="77777777" w:rsidR="00CE35D9" w:rsidRPr="0044524F" w:rsidRDefault="00CE35D9" w:rsidP="009654CF">
      <w:pPr>
        <w:pBdr>
          <w:bottom w:val="single" w:sz="6" w:space="2" w:color="EBEBEB"/>
        </w:pBd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(12682).</w:t>
      </w:r>
    </w:p>
    <w:p w14:paraId="6EBD31E3" w14:textId="77777777" w:rsidR="00CE35D9" w:rsidRPr="0044524F" w:rsidRDefault="00CE35D9" w:rsidP="009654CF">
      <w:pPr>
        <w:shd w:val="clear" w:color="auto" w:fill="FFFFFF"/>
        <w:spacing w:after="0" w:line="240" w:lineRule="auto"/>
        <w:jc w:val="both"/>
        <w:rPr>
          <w:rFonts w:ascii="Times New Roman" w:hAnsi="Times New Roman"/>
          <w:color w:val="000000" w:themeColor="text1"/>
          <w:sz w:val="16"/>
          <w:szCs w:val="16"/>
        </w:rPr>
      </w:pPr>
    </w:p>
    <w:p w14:paraId="287ED3F2" w14:textId="77777777" w:rsidR="00D96FB2" w:rsidRPr="0044524F" w:rsidRDefault="00D96F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на завод № 31 была передана необходимая техническая документация и, предприятие преступило к освоению новой летающей лодки. В это же время для оказания технической помощи в освоении МБР-2 из Москвы в Таганрог приехал сам Г.М. Бериев с группой конструкторов.</w:t>
      </w:r>
    </w:p>
    <w:p w14:paraId="2495B59F" w14:textId="77777777" w:rsidR="00D96FB2" w:rsidRPr="0044524F" w:rsidRDefault="00D96F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вспоминал Г.М. Бериев, при переработке чертежей для серии между ним и техническим директором завода № 31 И.М. Косткиным периодически возникали разногласия, поскольку в конструкции самолета было немало деталей и узлов, для изготовления которых заводу нужно было осваивать новые технологические процессы. Поэтому со своей стороны завод требовал полной их переработки в соответствии с существующей технологией. Как правило, споры по этим вопросам заканчивались компромиссом/</w:t>
      </w:r>
    </w:p>
    <w:p w14:paraId="1E654BE9" w14:textId="77777777" w:rsidR="00D96FB2" w:rsidRPr="0044524F" w:rsidRDefault="00D96F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конструкцию серийных машин были внесены изменения. Роговую компенсацию руля поворота заменили на осевую, установили пластину Флетнера, на центроплане сделали узлы для подъема самолета из воды краном. Доработанный таким образом первый прототип (с двигателем BMW) в период с 10 января по 9 февраля 1934 г. прошел государственные испытания в Севастополе на базе отдельного морского отряда НИИ ВВС РККА (23541).</w:t>
      </w:r>
    </w:p>
    <w:p w14:paraId="2F1DF77F" w14:textId="77777777" w:rsidR="00D96FB2" w:rsidRPr="0044524F" w:rsidRDefault="00D96FB2" w:rsidP="009654CF">
      <w:pPr>
        <w:spacing w:after="0" w:line="240" w:lineRule="auto"/>
        <w:jc w:val="both"/>
        <w:rPr>
          <w:rFonts w:ascii="Times New Roman" w:hAnsi="Times New Roman"/>
          <w:color w:val="000000" w:themeColor="text1"/>
          <w:sz w:val="16"/>
          <w:szCs w:val="16"/>
        </w:rPr>
      </w:pPr>
    </w:p>
    <w:p w14:paraId="67618B87" w14:textId="560EB96B" w:rsidR="00B64F5D" w:rsidRPr="00142305" w:rsidRDefault="00555697" w:rsidP="00B64F5D">
      <w:pPr>
        <w:spacing w:after="0" w:line="240" w:lineRule="auto"/>
        <w:jc w:val="both"/>
        <w:rPr>
          <w:rFonts w:ascii="Times New Roman" w:hAnsi="Times New Roman"/>
          <w:color w:val="0070C0"/>
          <w:sz w:val="16"/>
          <w:szCs w:val="16"/>
        </w:rPr>
      </w:pPr>
      <w:r>
        <w:rPr>
          <w:rStyle w:val="aff"/>
          <w:rFonts w:ascii="Times New Roman" w:eastAsiaTheme="minorHAnsi" w:hAnsi="Times New Roman" w:cs="Times New Roman"/>
          <w:color w:val="0070C0"/>
          <w:spacing w:val="0"/>
          <w:sz w:val="16"/>
          <w:szCs w:val="16"/>
        </w:rPr>
        <w:t xml:space="preserve">В </w:t>
      </w:r>
      <w:r w:rsidR="00B64F5D" w:rsidRPr="00142305">
        <w:rPr>
          <w:rStyle w:val="aff"/>
          <w:rFonts w:ascii="Times New Roman" w:eastAsiaTheme="minorHAnsi" w:hAnsi="Times New Roman" w:cs="Times New Roman"/>
          <w:color w:val="0070C0"/>
          <w:spacing w:val="0"/>
          <w:sz w:val="16"/>
          <w:szCs w:val="16"/>
        </w:rPr>
        <w:t>октябре 1933 г. на завод №31 была передана необходимая техническая документация, и предприятие преступило к освое</w:t>
      </w:r>
      <w:r w:rsidR="00B64F5D" w:rsidRPr="00142305">
        <w:rPr>
          <w:rStyle w:val="aff"/>
          <w:rFonts w:ascii="Times New Roman" w:eastAsiaTheme="minorHAnsi" w:hAnsi="Times New Roman" w:cs="Times New Roman"/>
          <w:color w:val="0070C0"/>
          <w:spacing w:val="0"/>
          <w:sz w:val="16"/>
          <w:szCs w:val="16"/>
        </w:rPr>
        <w:softHyphen/>
        <w:t>нию новой летающей лодки. В это же время для оказания техничес</w:t>
      </w:r>
      <w:r w:rsidR="00B64F5D" w:rsidRPr="00142305">
        <w:rPr>
          <w:rStyle w:val="aff"/>
          <w:rFonts w:ascii="Times New Roman" w:eastAsiaTheme="minorHAnsi" w:hAnsi="Times New Roman" w:cs="Times New Roman"/>
          <w:color w:val="0070C0"/>
          <w:spacing w:val="0"/>
          <w:sz w:val="16"/>
          <w:szCs w:val="16"/>
        </w:rPr>
        <w:softHyphen/>
        <w:t>кой помощи в освоении МБР-2 из Москвы в Таганрог приехал сам Г.М. Бериев с группой конструкторов.</w:t>
      </w:r>
    </w:p>
    <w:p w14:paraId="2432BA2C"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lastRenderedPageBreak/>
        <w:t>Как вспоминал Г.М. Бериев, при переработке чертежей для серии, между ним и техническим дирек</w:t>
      </w:r>
      <w:r w:rsidRPr="00142305">
        <w:rPr>
          <w:rStyle w:val="aff"/>
          <w:rFonts w:ascii="Times New Roman" w:eastAsiaTheme="minorHAnsi" w:hAnsi="Times New Roman" w:cs="Times New Roman"/>
          <w:color w:val="0070C0"/>
          <w:spacing w:val="0"/>
          <w:sz w:val="16"/>
          <w:szCs w:val="16"/>
        </w:rPr>
        <w:softHyphen/>
        <w:t>тором завода №31 И.М. Косткиным периодически возникали разно</w:t>
      </w:r>
      <w:r w:rsidRPr="00142305">
        <w:rPr>
          <w:rStyle w:val="aff"/>
          <w:rFonts w:ascii="Times New Roman" w:eastAsiaTheme="minorHAnsi" w:hAnsi="Times New Roman" w:cs="Times New Roman"/>
          <w:color w:val="0070C0"/>
          <w:spacing w:val="0"/>
          <w:sz w:val="16"/>
          <w:szCs w:val="16"/>
        </w:rPr>
        <w:softHyphen/>
        <w:t>гласия, поскольку в конструкции самолета было немало деталей и узлов, для изготовления которых заводу нужно было осваивать но</w:t>
      </w:r>
      <w:r w:rsidRPr="00142305">
        <w:rPr>
          <w:rStyle w:val="aff"/>
          <w:rFonts w:ascii="Times New Roman" w:eastAsiaTheme="minorHAnsi" w:hAnsi="Times New Roman" w:cs="Times New Roman"/>
          <w:color w:val="0070C0"/>
          <w:spacing w:val="0"/>
          <w:sz w:val="16"/>
          <w:szCs w:val="16"/>
        </w:rPr>
        <w:softHyphen/>
        <w:t>вые технологические процессы. Поэтому со своей стороны завод требовал полной их переработки в соответствии с существующей технологией. Как правило, споры по этим вопросам заканчивались компромиссом.</w:t>
      </w:r>
    </w:p>
    <w:p w14:paraId="491CF4B0" w14:textId="77777777" w:rsidR="00B64F5D" w:rsidRPr="00142305" w:rsidRDefault="00B64F5D" w:rsidP="00B64F5D">
      <w:pPr>
        <w:spacing w:after="0" w:line="240" w:lineRule="auto"/>
        <w:jc w:val="both"/>
        <w:rPr>
          <w:rFonts w:ascii="Times New Roman" w:hAnsi="Times New Roman"/>
          <w:color w:val="0070C0"/>
          <w:sz w:val="16"/>
          <w:szCs w:val="16"/>
        </w:rPr>
      </w:pPr>
      <w:r w:rsidRPr="00142305">
        <w:rPr>
          <w:rStyle w:val="aff"/>
          <w:rFonts w:ascii="Times New Roman" w:eastAsiaTheme="minorHAnsi" w:hAnsi="Times New Roman" w:cs="Times New Roman"/>
          <w:color w:val="0070C0"/>
          <w:spacing w:val="0"/>
          <w:sz w:val="16"/>
          <w:szCs w:val="16"/>
        </w:rPr>
        <w:t>В конструкцию серийных ма</w:t>
      </w:r>
      <w:r w:rsidRPr="00142305">
        <w:rPr>
          <w:rStyle w:val="aff"/>
          <w:rFonts w:ascii="Times New Roman" w:eastAsiaTheme="minorHAnsi" w:hAnsi="Times New Roman" w:cs="Times New Roman"/>
          <w:color w:val="0070C0"/>
          <w:spacing w:val="0"/>
          <w:sz w:val="16"/>
          <w:szCs w:val="16"/>
        </w:rPr>
        <w:softHyphen/>
        <w:t>шин были внесены изменения. Ро</w:t>
      </w:r>
      <w:r w:rsidRPr="00142305">
        <w:rPr>
          <w:rStyle w:val="aff"/>
          <w:rFonts w:ascii="Times New Roman" w:eastAsiaTheme="minorHAnsi" w:hAnsi="Times New Roman" w:cs="Times New Roman"/>
          <w:color w:val="0070C0"/>
          <w:spacing w:val="0"/>
          <w:sz w:val="16"/>
          <w:szCs w:val="16"/>
        </w:rPr>
        <w:softHyphen/>
        <w:t>говую компенсацию руля поворота заменили на осевую, установили пластину Флетнера, на центропла</w:t>
      </w:r>
      <w:r w:rsidRPr="00142305">
        <w:rPr>
          <w:rStyle w:val="aff"/>
          <w:rFonts w:ascii="Times New Roman" w:eastAsiaTheme="minorHAnsi" w:hAnsi="Times New Roman" w:cs="Times New Roman"/>
          <w:color w:val="0070C0"/>
          <w:spacing w:val="0"/>
          <w:sz w:val="16"/>
          <w:szCs w:val="16"/>
        </w:rPr>
        <w:softHyphen/>
        <w:t>не сделали узлы для подъема само</w:t>
      </w:r>
      <w:r w:rsidRPr="00142305">
        <w:rPr>
          <w:rStyle w:val="aff"/>
          <w:rFonts w:ascii="Times New Roman" w:eastAsiaTheme="minorHAnsi" w:hAnsi="Times New Roman" w:cs="Times New Roman"/>
          <w:color w:val="0070C0"/>
          <w:spacing w:val="0"/>
          <w:sz w:val="16"/>
          <w:szCs w:val="16"/>
        </w:rPr>
        <w:softHyphen/>
        <w:t>лета из воды краном. Доработан</w:t>
      </w:r>
      <w:r w:rsidRPr="00142305">
        <w:rPr>
          <w:rStyle w:val="aff"/>
          <w:rFonts w:ascii="Times New Roman" w:eastAsiaTheme="minorHAnsi" w:hAnsi="Times New Roman" w:cs="Times New Roman"/>
          <w:color w:val="0070C0"/>
          <w:spacing w:val="0"/>
          <w:sz w:val="16"/>
          <w:szCs w:val="16"/>
        </w:rPr>
        <w:softHyphen/>
        <w:t>ный таким образом первый прото</w:t>
      </w:r>
      <w:r w:rsidRPr="00142305">
        <w:rPr>
          <w:rStyle w:val="aff"/>
          <w:rFonts w:ascii="Times New Roman" w:eastAsiaTheme="minorHAnsi" w:hAnsi="Times New Roman" w:cs="Times New Roman"/>
          <w:color w:val="0070C0"/>
          <w:spacing w:val="0"/>
          <w:sz w:val="16"/>
          <w:szCs w:val="16"/>
        </w:rPr>
        <w:softHyphen/>
        <w:t xml:space="preserve">тип (с двигателем </w:t>
      </w:r>
      <w:r w:rsidRPr="00142305">
        <w:rPr>
          <w:rStyle w:val="aff"/>
          <w:rFonts w:ascii="Times New Roman" w:eastAsiaTheme="minorHAnsi" w:hAnsi="Times New Roman" w:cs="Times New Roman"/>
          <w:color w:val="0070C0"/>
          <w:spacing w:val="0"/>
          <w:sz w:val="16"/>
          <w:szCs w:val="16"/>
          <w:lang w:val="en-US"/>
        </w:rPr>
        <w:t>BMW</w:t>
      </w:r>
      <w:r w:rsidRPr="00142305">
        <w:rPr>
          <w:rStyle w:val="aff"/>
          <w:rFonts w:ascii="Times New Roman" w:eastAsiaTheme="minorHAnsi" w:hAnsi="Times New Roman" w:cs="Times New Roman"/>
          <w:color w:val="0070C0"/>
          <w:spacing w:val="0"/>
          <w:sz w:val="16"/>
          <w:szCs w:val="16"/>
        </w:rPr>
        <w:t>) в период с 10 января по 9 февраля 1934 г., про</w:t>
      </w:r>
      <w:r w:rsidRPr="00142305">
        <w:rPr>
          <w:rStyle w:val="aff"/>
          <w:rFonts w:ascii="Times New Roman" w:eastAsiaTheme="minorHAnsi" w:hAnsi="Times New Roman" w:cs="Times New Roman"/>
          <w:color w:val="0070C0"/>
          <w:spacing w:val="0"/>
          <w:sz w:val="16"/>
          <w:szCs w:val="16"/>
        </w:rPr>
        <w:softHyphen/>
        <w:t>шел государственные испытания в Севастополе на базе отдельного морского отряда НИИ ВВС РККА (25061).</w:t>
      </w:r>
    </w:p>
    <w:p w14:paraId="76E3E172" w14:textId="77777777" w:rsidR="00B64F5D" w:rsidRPr="00142305" w:rsidRDefault="00B64F5D" w:rsidP="00B64F5D">
      <w:pPr>
        <w:spacing w:after="0" w:line="240" w:lineRule="auto"/>
        <w:jc w:val="both"/>
        <w:rPr>
          <w:rFonts w:ascii="Times New Roman" w:hAnsi="Times New Roman"/>
          <w:color w:val="0070C0"/>
          <w:sz w:val="16"/>
          <w:szCs w:val="16"/>
        </w:rPr>
      </w:pPr>
    </w:p>
    <w:p w14:paraId="26CF371F" w14:textId="77777777" w:rsidR="0044563D" w:rsidRPr="00142305" w:rsidRDefault="0044563D" w:rsidP="004456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завод № 31 приступил к освоению серийного произ</w:t>
      </w:r>
      <w:r w:rsidRPr="00142305">
        <w:rPr>
          <w:rFonts w:ascii="Times New Roman" w:hAnsi="Times New Roman"/>
          <w:color w:val="0070C0"/>
          <w:sz w:val="16"/>
          <w:szCs w:val="16"/>
        </w:rPr>
        <w:softHyphen/>
        <w:t>водства летающих лодок МБР-2 конструк</w:t>
      </w:r>
      <w:r w:rsidRPr="00142305">
        <w:rPr>
          <w:rFonts w:ascii="Times New Roman" w:hAnsi="Times New Roman"/>
          <w:color w:val="0070C0"/>
          <w:sz w:val="16"/>
          <w:szCs w:val="16"/>
        </w:rPr>
        <w:softHyphen/>
        <w:t>ции ГМ. Бериева. Бериевская машина, выполненная по схеме моноплана, не</w:t>
      </w:r>
      <w:r w:rsidRPr="00142305">
        <w:rPr>
          <w:rFonts w:ascii="Times New Roman" w:hAnsi="Times New Roman"/>
          <w:color w:val="0070C0"/>
          <w:sz w:val="16"/>
          <w:szCs w:val="16"/>
        </w:rPr>
        <w:softHyphen/>
        <w:t>сколько уступала «савойе» по скорости (не в последнюю очередь из-за менее мощного мотора М-17), но превосходила по мореходности (из-за килеватого дни</w:t>
      </w:r>
      <w:r w:rsidRPr="00142305">
        <w:rPr>
          <w:rFonts w:ascii="Times New Roman" w:hAnsi="Times New Roman"/>
          <w:color w:val="0070C0"/>
          <w:sz w:val="16"/>
          <w:szCs w:val="16"/>
        </w:rPr>
        <w:softHyphen/>
        <w:t>ща) и взлетно-посадочным качествам. А главное, она полностью была своей - не нужны лицензии, не надо покупать за границей двигатели. Курс резко изменил</w:t>
      </w:r>
      <w:r w:rsidRPr="00142305">
        <w:rPr>
          <w:rFonts w:ascii="Times New Roman" w:hAnsi="Times New Roman"/>
          <w:color w:val="0070C0"/>
          <w:sz w:val="16"/>
          <w:szCs w:val="16"/>
        </w:rPr>
        <w:softHyphen/>
        <w:t>ся - МБР-4 вычеркнули из всех планов, заменив МБР-2.19 ноября 1933 г. работу по варианту «савойи» с М-34 предложили закрыть.</w:t>
      </w:r>
    </w:p>
    <w:p w14:paraId="76825E00" w14:textId="77777777" w:rsidR="0044563D" w:rsidRPr="00142305" w:rsidRDefault="0044563D" w:rsidP="0044563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Основную же модификацию продолжа</w:t>
      </w:r>
      <w:r w:rsidRPr="00142305">
        <w:rPr>
          <w:rFonts w:ascii="Times New Roman" w:hAnsi="Times New Roman"/>
          <w:color w:val="0070C0"/>
          <w:sz w:val="16"/>
          <w:szCs w:val="16"/>
        </w:rPr>
        <w:softHyphen/>
        <w:t>ли собирать, используя заготовленный запас узлов и агрегатов. Производство «савой» в Таганроге окончательно пре</w:t>
      </w:r>
      <w:r w:rsidRPr="00142305">
        <w:rPr>
          <w:rFonts w:ascii="Times New Roman" w:hAnsi="Times New Roman"/>
          <w:color w:val="0070C0"/>
          <w:sz w:val="16"/>
          <w:szCs w:val="16"/>
        </w:rPr>
        <w:softHyphen/>
        <w:t>кратили весной 1934 г. Всего построили 51 машину; все с двигателями Ассо 750 (24948).</w:t>
      </w:r>
    </w:p>
    <w:p w14:paraId="025D199E" w14:textId="77777777" w:rsidR="0044563D" w:rsidRPr="00142305" w:rsidRDefault="0044563D" w:rsidP="0044563D">
      <w:pPr>
        <w:spacing w:after="0" w:line="240" w:lineRule="auto"/>
        <w:jc w:val="both"/>
        <w:rPr>
          <w:rFonts w:ascii="Times New Roman" w:hAnsi="Times New Roman"/>
          <w:color w:val="0070C0"/>
          <w:sz w:val="16"/>
          <w:szCs w:val="16"/>
        </w:rPr>
      </w:pPr>
    </w:p>
    <w:p w14:paraId="6B2FB0E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было закончено проектирование МК-1 (2287,52).</w:t>
      </w:r>
    </w:p>
    <w:p w14:paraId="1FA33776"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39368B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техническая документация по МБР-2 была передана на завод №31 По сравнению с опытным образцом "четвертака", в конструкцию серийных машин внесли некоторые изменения. Роговую компенсацию руля поворота заменили на осевую, установили на нём флеттнер, на центроплане сделали узлы для подъёма самолёта из воды краном. Оборонительное стрелковое вооружение состояло из двух спаренных пулемётов ДА-2 калибра 7,62 мм на турелях Тур-6. На шести наружных бомбодержателях самолёт мог нести бомбы общим весом до 500 кг, а также химические выливные приборы ВАП-5 и дымовые ДАП-100. На машине устанавливалась радиостанция 13-СК.</w:t>
      </w:r>
    </w:p>
    <w:p w14:paraId="5925B6F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Доработанный таким образом опытный образец (с двигателем BMW VI) с 10 января по 9 февраля 1934 г. прошёл государственные испытания в Севастополе на базе отдельного морского отряда (ОМО) НИИ ВВС (12003).</w:t>
      </w:r>
    </w:p>
    <w:p w14:paraId="16E9AE5A"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701BDAD1"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октябре 1933 г. завод № 31 приступил к освоению серийного производства летающих лодок МБР-2, став</w:t>
      </w:r>
      <w:r w:rsidRPr="0044524F">
        <w:rPr>
          <w:rFonts w:ascii="Times New Roman" w:hAnsi="Times New Roman"/>
          <w:color w:val="000000" w:themeColor="text1"/>
          <w:sz w:val="16"/>
          <w:szCs w:val="16"/>
          <w:lang w:eastAsia="ru-RU" w:bidi="ru-RU"/>
        </w:rPr>
        <w:softHyphen/>
        <w:t>ших этапным самолетом для завода, поэтому в начале 1934 г. строительство МБР-4 было прекращено. Всего в Та</w:t>
      </w:r>
      <w:r w:rsidRPr="0044524F">
        <w:rPr>
          <w:rFonts w:ascii="Times New Roman" w:hAnsi="Times New Roman"/>
          <w:color w:val="000000" w:themeColor="text1"/>
          <w:sz w:val="16"/>
          <w:szCs w:val="16"/>
          <w:lang w:eastAsia="ru-RU" w:bidi="ru-RU"/>
        </w:rPr>
        <w:softHyphen/>
        <w:t>ганроге построили 51 машину. В ходе серийного производства в МБР-4 вносились не</w:t>
      </w:r>
      <w:r w:rsidRPr="0044524F">
        <w:rPr>
          <w:rFonts w:ascii="Times New Roman" w:hAnsi="Times New Roman"/>
          <w:color w:val="000000" w:themeColor="text1"/>
          <w:sz w:val="16"/>
          <w:szCs w:val="16"/>
          <w:lang w:eastAsia="ru-RU" w:bidi="ru-RU"/>
        </w:rPr>
        <w:softHyphen/>
        <w:t>большие изменения. На первых десяти лодках стояли тя</w:t>
      </w:r>
      <w:r w:rsidRPr="0044524F">
        <w:rPr>
          <w:rFonts w:ascii="Times New Roman" w:hAnsi="Times New Roman"/>
          <w:color w:val="000000" w:themeColor="text1"/>
          <w:sz w:val="16"/>
          <w:szCs w:val="16"/>
          <w:lang w:eastAsia="ru-RU" w:bidi="ru-RU"/>
        </w:rPr>
        <w:softHyphen/>
        <w:t>желые аккумуляторы 6АТ5, затем их сменили 6АТ3. С 21-го самолета вместо бензинового насоса «Альвеер» внедрили отечественную помпу Агеева и изменили конст</w:t>
      </w:r>
      <w:r w:rsidRPr="0044524F">
        <w:rPr>
          <w:rFonts w:ascii="Times New Roman" w:hAnsi="Times New Roman"/>
          <w:color w:val="000000" w:themeColor="text1"/>
          <w:sz w:val="16"/>
          <w:szCs w:val="16"/>
          <w:lang w:eastAsia="ru-RU" w:bidi="ru-RU"/>
        </w:rPr>
        <w:softHyphen/>
        <w:t>рукцию нервюр — в средней части цельное ребро замени</w:t>
      </w:r>
      <w:r w:rsidRPr="0044524F">
        <w:rPr>
          <w:rFonts w:ascii="Times New Roman" w:hAnsi="Times New Roman"/>
          <w:color w:val="000000" w:themeColor="text1"/>
          <w:sz w:val="16"/>
          <w:szCs w:val="16"/>
          <w:lang w:eastAsia="ru-RU" w:bidi="ru-RU"/>
        </w:rPr>
        <w:softHyphen/>
        <w:t>ли фермой. С 25-й машины (ОЕ-99) стали ставить так на</w:t>
      </w:r>
      <w:r w:rsidRPr="0044524F">
        <w:rPr>
          <w:rFonts w:ascii="Times New Roman" w:hAnsi="Times New Roman"/>
          <w:color w:val="000000" w:themeColor="text1"/>
          <w:sz w:val="16"/>
          <w:szCs w:val="16"/>
          <w:lang w:eastAsia="ru-RU" w:bidi="ru-RU"/>
        </w:rPr>
        <w:softHyphen/>
        <w:t>зываемые факелы Хольта — посадочные ракеты, крепив</w:t>
      </w:r>
      <w:r w:rsidRPr="0044524F">
        <w:rPr>
          <w:rFonts w:ascii="Times New Roman" w:hAnsi="Times New Roman"/>
          <w:color w:val="000000" w:themeColor="text1"/>
          <w:sz w:val="16"/>
          <w:szCs w:val="16"/>
          <w:lang w:eastAsia="ru-RU" w:bidi="ru-RU"/>
        </w:rPr>
        <w:softHyphen/>
        <w:t>шиеся в специальных гнездах крыла (в дополнение к фаре), с 26-й механический бомбосбрасыватель Сбр-9 уступил место электрическому СР-ЦАГИ (20325).</w:t>
      </w:r>
    </w:p>
    <w:p w14:paraId="77A68207" w14:textId="77777777" w:rsidR="00CA3C9F" w:rsidRPr="0044524F" w:rsidRDefault="00CA3C9F" w:rsidP="009654CF">
      <w:pPr>
        <w:spacing w:after="0" w:line="240" w:lineRule="auto"/>
        <w:jc w:val="both"/>
        <w:rPr>
          <w:rFonts w:ascii="Times New Roman" w:hAnsi="Times New Roman"/>
          <w:color w:val="000000" w:themeColor="text1"/>
          <w:sz w:val="16"/>
          <w:szCs w:val="16"/>
          <w:lang w:eastAsia="ru-RU" w:bidi="ru-RU"/>
        </w:rPr>
      </w:pPr>
    </w:p>
    <w:p w14:paraId="1DD26D2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завод №31 приступает к освоению серийного производства летающих лодок МБР-2. По 1933 гг. с 1928 производственные площади предприятия выросли с 14 тысяч до 42 тысяч м и практически полностью были обновлены производственные мощности завода (12044).</w:t>
      </w:r>
    </w:p>
    <w:p w14:paraId="2CB1CBA1"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152BE63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началась подготовка производства КАИ-1. Прототип решено было строить на базе завода № 124 и в КАИ, что и зафиксировал приказ начальника Авиастроя об учреждении ОКБ для опытного самолетостроения. 15 октября стал днем официального начала работ, в ноябре приступили к строительству самолета.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502BC849"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6B22DB41" w14:textId="77777777" w:rsidR="00555697" w:rsidRPr="0044524F" w:rsidRDefault="00555697" w:rsidP="00555697">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когда переговоры еще шли, ГУАП НКТП уже приняло ре</w:t>
      </w:r>
      <w:r w:rsidRPr="0044524F">
        <w:rPr>
          <w:rFonts w:ascii="Times New Roman" w:hAnsi="Times New Roman"/>
          <w:color w:val="000000" w:themeColor="text1"/>
          <w:sz w:val="16"/>
          <w:szCs w:val="16"/>
        </w:rPr>
        <w:softHyphen/>
        <w:t>шение о проектировании под француз</w:t>
      </w:r>
      <w:r w:rsidRPr="0044524F">
        <w:rPr>
          <w:rFonts w:ascii="Times New Roman" w:hAnsi="Times New Roman"/>
          <w:color w:val="000000" w:themeColor="text1"/>
          <w:sz w:val="16"/>
          <w:szCs w:val="16"/>
        </w:rPr>
        <w:softHyphen/>
        <w:t>ские двигатели новых самолетов. В 1934 г. началась приемка во Франции технической документации и двигате</w:t>
      </w:r>
      <w:r w:rsidRPr="0044524F">
        <w:rPr>
          <w:rFonts w:ascii="Times New Roman" w:hAnsi="Times New Roman"/>
          <w:color w:val="000000" w:themeColor="text1"/>
          <w:sz w:val="16"/>
          <w:szCs w:val="16"/>
        </w:rPr>
        <w:softHyphen/>
        <w:t>лей-образцов. Руководил ею А.В. Ка-ширин. В частности, в марте в Москву доставили мотор типа 14Kdsr. Уже в ап</w:t>
      </w:r>
      <w:r w:rsidRPr="0044524F">
        <w:rPr>
          <w:rFonts w:ascii="Times New Roman" w:hAnsi="Times New Roman"/>
          <w:color w:val="000000" w:themeColor="text1"/>
          <w:sz w:val="16"/>
          <w:szCs w:val="16"/>
        </w:rPr>
        <w:softHyphen/>
        <w:t>реле он прошел 100-часовые стендовые испытания в ЦИАМ (10734,3).</w:t>
      </w:r>
    </w:p>
    <w:p w14:paraId="334232F7" w14:textId="77777777" w:rsidR="00555697" w:rsidRPr="0044524F" w:rsidRDefault="00555697" w:rsidP="00555697">
      <w:pPr>
        <w:shd w:val="clear" w:color="auto" w:fill="FFFFFF"/>
        <w:spacing w:after="0" w:line="240" w:lineRule="auto"/>
        <w:jc w:val="both"/>
        <w:rPr>
          <w:rFonts w:ascii="Times New Roman" w:hAnsi="Times New Roman"/>
          <w:color w:val="000000" w:themeColor="text1"/>
          <w:sz w:val="16"/>
          <w:szCs w:val="16"/>
        </w:rPr>
      </w:pPr>
    </w:p>
    <w:p w14:paraId="0DAA0C5E" w14:textId="77777777" w:rsidR="00555697" w:rsidRPr="0044524F" w:rsidRDefault="00555697" w:rsidP="00555697">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когда переговоры еще шли, ГУАП НКТП уже приняло решение о проектировании под французские двигатели новых самолетов. В 1934 г. началась приемка во Франции технической документации и двигателей-образцов. Руководил ей А. В. Каширин. В частности, в марте в Москву доставили мотор типа 14Kdrs, в апреле прошедший 100-часовые стендовые испытания в ЦИАМ.</w:t>
      </w:r>
    </w:p>
    <w:p w14:paraId="4FA9356F" w14:textId="77777777" w:rsidR="00555697" w:rsidRPr="0044524F" w:rsidRDefault="00555697" w:rsidP="00555697">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Освоение производства "Гном-Ронов", как и следовало ожидать, поручили заводу №29 в Запорожье. Пока там готовились строить новые моторы, самолетостроители уже проектировали под них самолеты. 14-цилиндровая двухрядная звезда воздушного охлаждения отличалась компактностью, малым весом и экономичностью на крейсерском режиме. Такие моторы могли существенно улучшить показатели проектируемого бомбардировщика, особенно в отношении радиуса действия, и Ильюшин решил их использовать (12021).</w:t>
      </w:r>
    </w:p>
    <w:p w14:paraId="2973C183" w14:textId="77777777" w:rsidR="00555697" w:rsidRPr="0044524F" w:rsidRDefault="00555697" w:rsidP="00555697">
      <w:pPr>
        <w:spacing w:after="0" w:line="240" w:lineRule="auto"/>
        <w:jc w:val="both"/>
        <w:rPr>
          <w:rFonts w:ascii="Times New Roman" w:hAnsi="Times New Roman"/>
          <w:color w:val="000000" w:themeColor="text1"/>
          <w:sz w:val="16"/>
          <w:szCs w:val="16"/>
        </w:rPr>
      </w:pPr>
    </w:p>
    <w:p w14:paraId="58D37E6D" w14:textId="77777777" w:rsidR="00555697" w:rsidRPr="00142305" w:rsidRDefault="00555697" w:rsidP="00555697">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октябре 1933 г. советская комиссия начала переговоры с представителями фирмы «Испано-Сюиза». 28 ноября из Москвы поступило уточняющее распоряжение: приобрести 30 готовых моторов, 50 в виде комплектов деталей и наиболее сложные и трудоемкие детали еще на 50 двигателей. На все это выделялось 1,65 млн рублей в твердой валюте. В соответствии с рекламным буклетом фирмы, максимальная мощность двигателя была определена равной 860 л.с.</w:t>
      </w:r>
    </w:p>
    <w:p w14:paraId="44A61282" w14:textId="77777777" w:rsidR="00555697" w:rsidRPr="00142305" w:rsidRDefault="00555697" w:rsidP="00555697">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Переговоры проходили непросто. Советская делегация потребовала проведения предварительных 100-часовых испытаний по весьма жесткой программе.</w:t>
      </w:r>
    </w:p>
    <w:p w14:paraId="3220E92F" w14:textId="77777777" w:rsidR="00555697" w:rsidRPr="00142305" w:rsidRDefault="00555697" w:rsidP="00555697">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Представители фирмы заявили, что серийный мотор испытаний в назначенных условиях не выдержит, и предложили поставить на стенд усовершенство</w:t>
      </w:r>
      <w:r w:rsidRPr="00142305">
        <w:rPr>
          <w:rStyle w:val="aff"/>
          <w:rFonts w:ascii="Times New Roman" w:hAnsi="Times New Roman" w:cs="Times New Roman"/>
          <w:color w:val="0070C0"/>
          <w:spacing w:val="0"/>
          <w:sz w:val="16"/>
          <w:szCs w:val="16"/>
        </w:rPr>
        <w:softHyphen/>
        <w:t>ванную опытную модель. Советская комиссия согла</w:t>
      </w:r>
      <w:r w:rsidRPr="00142305">
        <w:rPr>
          <w:rStyle w:val="aff"/>
          <w:rFonts w:ascii="Times New Roman" w:hAnsi="Times New Roman" w:cs="Times New Roman"/>
          <w:color w:val="0070C0"/>
          <w:spacing w:val="0"/>
          <w:sz w:val="16"/>
          <w:szCs w:val="16"/>
        </w:rPr>
        <w:softHyphen/>
        <w:t>силась. Планировалось завершить испытания к 29 января 1934 г., однако постоянные поломки мотора заставили сомневаться в целесообразности заклю</w:t>
      </w:r>
      <w:r w:rsidRPr="00142305">
        <w:rPr>
          <w:rStyle w:val="aff"/>
          <w:rFonts w:ascii="Times New Roman" w:hAnsi="Times New Roman" w:cs="Times New Roman"/>
          <w:color w:val="0070C0"/>
          <w:spacing w:val="0"/>
          <w:sz w:val="16"/>
          <w:szCs w:val="16"/>
        </w:rPr>
        <w:softHyphen/>
        <w:t>чения договора (25145).</w:t>
      </w:r>
    </w:p>
    <w:p w14:paraId="339E6F64" w14:textId="77777777" w:rsidR="00555697" w:rsidRPr="00142305" w:rsidRDefault="00555697" w:rsidP="00555697">
      <w:pPr>
        <w:spacing w:after="0" w:line="240" w:lineRule="auto"/>
        <w:jc w:val="both"/>
        <w:rPr>
          <w:rFonts w:ascii="Times New Roman" w:hAnsi="Times New Roman"/>
          <w:color w:val="0070C0"/>
          <w:sz w:val="16"/>
          <w:szCs w:val="16"/>
        </w:rPr>
      </w:pPr>
    </w:p>
    <w:p w14:paraId="3AAF7F7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года М-34 проходил государственные летные испытания на бомбардировщике ТБ-3. В 1932 г. начали серийный выпуск нового двигателя на заводе № 24 (Москва), к концу года ВВС получили 64 мотора 2-й серии, признанной годной для опытной эксплуатации. За следующий, 1933 г., выпущено было уже 790 экз. В 1934 г. М-34 демонстрировался в Париже как одно из достижений советской авиации. М-34 выпускался на заводе № 24 в большом количестве модификаций. Авиационные моторы закончили вы</w:t>
      </w:r>
      <w:r w:rsidRPr="0044524F">
        <w:rPr>
          <w:rFonts w:ascii="Times New Roman" w:hAnsi="Times New Roman"/>
          <w:color w:val="000000" w:themeColor="text1"/>
          <w:sz w:val="16"/>
          <w:szCs w:val="16"/>
        </w:rPr>
        <w:softHyphen/>
        <w:t>пускать в 1940 г., далее в небольших количествах делали катерные до конца 1942 г. Производство двигателей для торпедных катеров неодно</w:t>
      </w:r>
      <w:r w:rsidRPr="0044524F">
        <w:rPr>
          <w:rFonts w:ascii="Times New Roman" w:hAnsi="Times New Roman"/>
          <w:color w:val="000000" w:themeColor="text1"/>
          <w:sz w:val="16"/>
          <w:szCs w:val="16"/>
        </w:rPr>
        <w:softHyphen/>
        <w:t>кратно пытались восстановить вплоть до 1946 г., но этому мешала боль</w:t>
      </w:r>
      <w:r w:rsidRPr="0044524F">
        <w:rPr>
          <w:rFonts w:ascii="Times New Roman" w:hAnsi="Times New Roman"/>
          <w:color w:val="000000" w:themeColor="text1"/>
          <w:sz w:val="16"/>
          <w:szCs w:val="16"/>
        </w:rPr>
        <w:softHyphen/>
        <w:t>шая загрузка заводов заказами ВВС. Всего было изготовлено 10 538 экз. Позднее различными мастерскими производилась сборка двигателей из комплектов запасных частей и восстановленных деталей. С 9 августа 1936 г. в ознаменование заслуг Микулина двигатель был переименован в АМ-34. Однако на практике и далее пользовались как старым, так и новым обозначением. Специальные модификации двигателя М-34 применялись на танках, са</w:t>
      </w:r>
      <w:r w:rsidRPr="0044524F">
        <w:rPr>
          <w:rFonts w:ascii="Times New Roman" w:hAnsi="Times New Roman"/>
          <w:color w:val="000000" w:themeColor="text1"/>
          <w:sz w:val="16"/>
          <w:szCs w:val="16"/>
        </w:rPr>
        <w:softHyphen/>
        <w:t>моходных артиллерийских установках, торпедных катерах и речных броне</w:t>
      </w:r>
      <w:r w:rsidRPr="0044524F">
        <w:rPr>
          <w:rFonts w:ascii="Times New Roman" w:hAnsi="Times New Roman"/>
          <w:color w:val="000000" w:themeColor="text1"/>
          <w:sz w:val="16"/>
          <w:szCs w:val="16"/>
        </w:rPr>
        <w:softHyphen/>
        <w:t>катерах.</w:t>
      </w:r>
    </w:p>
    <w:p w14:paraId="79BA0E75"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71C9A5F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12-цилиндровый, рядный У-образный, четырехтактный, водяного охлаждения;</w:t>
      </w:r>
    </w:p>
    <w:p w14:paraId="5FF12AE1"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и вес в зависимости от модификации;</w:t>
      </w:r>
    </w:p>
    <w:p w14:paraId="4206E975"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6,0 (у всех массовых модификаций);</w:t>
      </w:r>
    </w:p>
    <w:p w14:paraId="1E3700AD"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160/190 (у модификации ФРН и более поздних в цилиндрах с прицепными шатунами — 196,7 мм);</w:t>
      </w:r>
    </w:p>
    <w:p w14:paraId="3F21B82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полный рабочий объем у ранних модификаций 45,82 л, начиная с</w:t>
      </w:r>
    </w:p>
    <w:p w14:paraId="0BA278B4"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ФРН — 46,66 л. М-34 выпускался в следующих модификациях:</w:t>
      </w:r>
    </w:p>
    <w:p w14:paraId="72FD3E45"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 первая серийная модификация двигателя, безредукторная, 750/800 л.с., 608 кг. Первые серии комплектовались импортными карбюраторами «Зенит 90Р», далее отечественными К-34. Эта моди</w:t>
      </w:r>
      <w:r w:rsidRPr="0044524F">
        <w:rPr>
          <w:rFonts w:ascii="Times New Roman" w:hAnsi="Times New Roman"/>
          <w:color w:val="000000" w:themeColor="text1"/>
          <w:sz w:val="16"/>
          <w:szCs w:val="16"/>
        </w:rPr>
        <w:softHyphen/>
        <w:t>фикация выпускалась до конца 1939 г.</w:t>
      </w:r>
    </w:p>
    <w:p w14:paraId="784AD5B3"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Спаренная установка из двух М-34 с работой на один винт, проект для самолета К-7.</w:t>
      </w:r>
    </w:p>
    <w:p w14:paraId="69F51EF3"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М-34Ф, малая серия М-34 с форсированием по оборотам без вне</w:t>
      </w:r>
      <w:r w:rsidRPr="0044524F">
        <w:rPr>
          <w:rFonts w:ascii="Times New Roman" w:hAnsi="Times New Roman"/>
          <w:color w:val="000000" w:themeColor="text1"/>
          <w:sz w:val="16"/>
          <w:szCs w:val="16"/>
        </w:rPr>
        <w:softHyphen/>
        <w:t>сения конструктивных изменений, только за счет регулировки, июнь 1933 г., 750/830 л.с.</w:t>
      </w:r>
    </w:p>
    <w:p w14:paraId="7BB131E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М-34Р. редукторный вариант, вес 677 кг, 750/800 л.с. Опытный об</w:t>
      </w:r>
      <w:r w:rsidRPr="0044524F">
        <w:rPr>
          <w:rFonts w:ascii="Times New Roman" w:hAnsi="Times New Roman"/>
          <w:color w:val="000000" w:themeColor="text1"/>
          <w:sz w:val="16"/>
          <w:szCs w:val="16"/>
        </w:rPr>
        <w:softHyphen/>
        <w:t>разец сделали в ноябре 1932 г. Государственные испытания успешно</w:t>
      </w:r>
    </w:p>
    <w:p w14:paraId="57D4851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прошли в марте — мае 1933 г., серийный выпуск начали с конца того же года. 23 мая 1934 г. на повторных стендовых испытаниях получен ресурс в 500 ч. М-34Р в больших количествах выпускался до конца 1939 г.</w:t>
      </w:r>
    </w:p>
    <w:p w14:paraId="0F03C93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М-34РД (он же М-34РСп), двигатель типа М-34Р специального за</w:t>
      </w:r>
      <w:r w:rsidRPr="0044524F">
        <w:rPr>
          <w:rFonts w:ascii="Times New Roman" w:hAnsi="Times New Roman"/>
          <w:color w:val="000000" w:themeColor="text1"/>
          <w:sz w:val="16"/>
          <w:szCs w:val="16"/>
        </w:rPr>
        <w:softHyphen/>
        <w:t>каза для рекордных самолетов АНТ-25 (РД), выпущенный в 1934 г. Сделали 20 комплектов деталей, из которых собрали 15 моторов, а сдали 10. Они отличались новыми всасывающими патрубками, мас</w:t>
      </w:r>
      <w:r w:rsidRPr="0044524F">
        <w:rPr>
          <w:rFonts w:ascii="Times New Roman" w:hAnsi="Times New Roman"/>
          <w:color w:val="000000" w:themeColor="text1"/>
          <w:sz w:val="16"/>
          <w:szCs w:val="16"/>
        </w:rPr>
        <w:softHyphen/>
        <w:t>ляными и водяными насосами, распредвалами, конструкцией хво</w:t>
      </w:r>
      <w:r w:rsidRPr="0044524F">
        <w:rPr>
          <w:rFonts w:ascii="Times New Roman" w:hAnsi="Times New Roman"/>
          <w:color w:val="000000" w:themeColor="text1"/>
          <w:sz w:val="16"/>
          <w:szCs w:val="16"/>
        </w:rPr>
        <w:softHyphen/>
        <w:t>стовика коленвала, наличием второго бензонасоса, а также более качественным изготовлением деталей (по другой технологии), мень</w:t>
      </w:r>
      <w:r w:rsidRPr="0044524F">
        <w:rPr>
          <w:rFonts w:ascii="Times New Roman" w:hAnsi="Times New Roman"/>
          <w:color w:val="000000" w:themeColor="text1"/>
          <w:sz w:val="16"/>
          <w:szCs w:val="16"/>
        </w:rPr>
        <w:softHyphen/>
        <w:t xml:space="preserve">шими допусками, </w:t>
      </w:r>
      <w:r w:rsidRPr="0044524F">
        <w:rPr>
          <w:rFonts w:ascii="Times New Roman" w:hAnsi="Times New Roman"/>
          <w:color w:val="000000" w:themeColor="text1"/>
          <w:sz w:val="16"/>
          <w:szCs w:val="16"/>
        </w:rPr>
        <w:lastRenderedPageBreak/>
        <w:t>применением для уплотнений высококачественной резины, тщательной регулировкой и карбюраторами К-34РД. За счет небольшого форсирования по оборотам максимальную мощность по</w:t>
      </w:r>
      <w:r w:rsidRPr="0044524F">
        <w:rPr>
          <w:rFonts w:ascii="Times New Roman" w:hAnsi="Times New Roman"/>
          <w:color w:val="000000" w:themeColor="text1"/>
          <w:sz w:val="16"/>
          <w:szCs w:val="16"/>
        </w:rPr>
        <w:softHyphen/>
        <w:t>высили до 830 л.с. Делались два варианта: со степенями сжатия 6,0 и 6,7. Первоначально для большей надежности их хотели укомплек</w:t>
      </w:r>
      <w:r w:rsidRPr="0044524F">
        <w:rPr>
          <w:rFonts w:ascii="Times New Roman" w:hAnsi="Times New Roman"/>
          <w:color w:val="000000" w:themeColor="text1"/>
          <w:sz w:val="16"/>
          <w:szCs w:val="16"/>
        </w:rPr>
        <w:softHyphen/>
        <w:t>товать импортными агрегатами, но получили запрет ГУАП. Позднее выпустили еще около 50 таких моторов для «представительских» ТБ-3, на которых наносились визиты в столицы европейских госу</w:t>
      </w:r>
      <w:r w:rsidRPr="0044524F">
        <w:rPr>
          <w:rFonts w:ascii="Times New Roman" w:hAnsi="Times New Roman"/>
          <w:color w:val="000000" w:themeColor="text1"/>
          <w:sz w:val="16"/>
          <w:szCs w:val="16"/>
        </w:rPr>
        <w:softHyphen/>
        <w:t>дарств.</w:t>
      </w:r>
    </w:p>
    <w:p w14:paraId="1F4AD304"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М-34Н, безредукторный с ПЦН, проектировался с 1931 г., 750/820 л.с. Первоначально планировали, что мотор пройдет госиспытания к 15 июня 1932 г. Но первый, двухскоростной, нагнетатель, спроекти</w:t>
      </w:r>
      <w:r w:rsidRPr="0044524F">
        <w:rPr>
          <w:rFonts w:ascii="Times New Roman" w:hAnsi="Times New Roman"/>
          <w:color w:val="000000" w:themeColor="text1"/>
          <w:sz w:val="16"/>
          <w:szCs w:val="16"/>
        </w:rPr>
        <w:softHyphen/>
        <w:t>рованный П.И. Орловым, А.А. Микулиным и А.Н. Данилевским, ока</w:t>
      </w:r>
      <w:r w:rsidRPr="0044524F">
        <w:rPr>
          <w:rFonts w:ascii="Times New Roman" w:hAnsi="Times New Roman"/>
          <w:color w:val="000000" w:themeColor="text1"/>
          <w:sz w:val="16"/>
          <w:szCs w:val="16"/>
        </w:rPr>
        <w:softHyphen/>
        <w:t>зался недостаточно надежным. Второй вариант ПЦН, односкоростной, создал Данилевский в ЦИАМ. Государственные испытания на двух опытных экземплярах провели в ноябре 1933 г., серия с сентября 1934 г. Нагнетатель выполнялся в виде отдельного съемного узла и мог монтироваться на моторы других модификаций. Введен карбю</w:t>
      </w:r>
      <w:r w:rsidRPr="0044524F">
        <w:rPr>
          <w:rFonts w:ascii="Times New Roman" w:hAnsi="Times New Roman"/>
          <w:color w:val="000000" w:themeColor="text1"/>
          <w:sz w:val="16"/>
          <w:szCs w:val="16"/>
        </w:rPr>
        <w:softHyphen/>
        <w:t>ратор К-34Б, устанавливавшийся впоследствии на все модификации с ПЦН. Проектировался облегченный вариант (560 кг) с картером из магниевого сплава. В дальнейшем ПЦН хотели сделать отключаемым. В 1934 г. вели переговоры с французскими фирмами «Испано-Сюиза» и «Фарман» о проектировании нового ПЦН для М-34Н. Пытались также приобрести нагнетатели «Рато» (М-34РАТО).</w:t>
      </w:r>
    </w:p>
    <w:p w14:paraId="148E155A"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М-34Н с паротурбинным нагнетателем ПТК; нагнетатель ПТК спро</w:t>
      </w:r>
      <w:r w:rsidRPr="0044524F">
        <w:rPr>
          <w:rFonts w:ascii="Times New Roman" w:hAnsi="Times New Roman"/>
          <w:color w:val="000000" w:themeColor="text1"/>
          <w:sz w:val="16"/>
          <w:szCs w:val="16"/>
        </w:rPr>
        <w:softHyphen/>
        <w:t>ектирован в ХАЙ в 1938 г., доводился в Центральном котлотурбин-ном институте с 1939 г., в 1940 г. двигатель проходил стендовые и летные испытания; серийно не выпускался.</w:t>
      </w:r>
    </w:p>
    <w:p w14:paraId="29D5C975"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М-34Н с нагнетателем</w:t>
      </w:r>
    </w:p>
    <w:p w14:paraId="099E43FB"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М-34РН, редукторный с ПЦН, малая серия, 750/820 л.с., вес 737,5 кг. По плану предполагалось представить опытный образец на госиспытания к 1 декабря 1932 г. Фактически же первый М-34РН начал заводские ис</w:t>
      </w:r>
      <w:r w:rsidRPr="0044524F">
        <w:rPr>
          <w:rFonts w:ascii="Times New Roman" w:hAnsi="Times New Roman"/>
          <w:color w:val="000000" w:themeColor="text1"/>
          <w:sz w:val="16"/>
          <w:szCs w:val="16"/>
        </w:rPr>
        <w:softHyphen/>
        <w:t>пытания 1 мая 1934 г. Его усовершенствованный вариант предъявили на госиспытания в сентябре, но они закончились неудачно — прогорели поршни. Нагнетатель идентичен использовавшемуся в М-34Н. М-34НА, усовершенствованный вариант М-34Н; мелкие изменения отдельных деталей для увеличения ресурса; 750/820 л.с. М-34РА, аналогичный предыдущей модификации вариант М-34Р с редуктором; 750/820 л.с.</w:t>
      </w:r>
    </w:p>
    <w:p w14:paraId="17A2A9A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М-34РНА, редукторный с ПЦН, включал все мелкие усовер</w:t>
      </w:r>
      <w:r w:rsidRPr="0044524F">
        <w:rPr>
          <w:rFonts w:ascii="Times New Roman" w:hAnsi="Times New Roman"/>
          <w:color w:val="000000" w:themeColor="text1"/>
          <w:sz w:val="16"/>
          <w:szCs w:val="16"/>
        </w:rPr>
        <w:softHyphen/>
        <w:t>шенствования, введенные на типах НА и РА, 750/820 л.с., вес 748 кг. Испытывался на ТБ-3 в мае 1935 г., серия с конца 1935 г. У ранних серий М-34РНА клапаны имели масляное охлаждение.</w:t>
      </w:r>
    </w:p>
    <w:p w14:paraId="56546C93"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М-34НБ, усовершенствованный вариант типа НА с ужесточенным картером, облегченным коленвалом с измененным носком, дорабо</w:t>
      </w:r>
      <w:r w:rsidRPr="0044524F">
        <w:rPr>
          <w:rFonts w:ascii="Times New Roman" w:hAnsi="Times New Roman"/>
          <w:color w:val="000000" w:themeColor="text1"/>
          <w:sz w:val="16"/>
          <w:szCs w:val="16"/>
        </w:rPr>
        <w:softHyphen/>
        <w:t>танным ПЦН, 750/820 л.с., вес 638 кг.</w:t>
      </w:r>
    </w:p>
    <w:p w14:paraId="7FD6209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М-34Н2Б с двумя турбонагнетателями ТК-1 и ПЦН от серийного М-34РН. Новые кованые поршни, четыре карбюратора К-4. Степень сжатия 7,0, мощность по документации 760/950 л.с. (реально полу</w:t>
      </w:r>
      <w:r w:rsidRPr="0044524F">
        <w:rPr>
          <w:rFonts w:ascii="Times New Roman" w:hAnsi="Times New Roman"/>
          <w:color w:val="000000" w:themeColor="text1"/>
          <w:sz w:val="16"/>
          <w:szCs w:val="16"/>
        </w:rPr>
        <w:softHyphen/>
        <w:t>чили 789/1033 л.с.), вес сухой без генератора 689 кг. Испытывался в июле — сентябре 1938 г. на опытном самолете РШ; испытания пре</w:t>
      </w:r>
      <w:r w:rsidRPr="0044524F">
        <w:rPr>
          <w:rFonts w:ascii="Times New Roman" w:hAnsi="Times New Roman"/>
          <w:color w:val="000000" w:themeColor="text1"/>
          <w:sz w:val="16"/>
          <w:szCs w:val="16"/>
        </w:rPr>
        <w:softHyphen/>
        <w:t>кращены из-за неоднократного обрыва лопаток турбины. М-34РНБ, аналогичный типу НБ редукторный вариант с облегченным по сравнению с РНА редуктором, 750/820 л.с., вес 725 кг. Существовал также его опытный вариант с двумя турбонагнетателя</w:t>
      </w:r>
      <w:r w:rsidRPr="0044524F">
        <w:rPr>
          <w:rFonts w:ascii="Times New Roman" w:hAnsi="Times New Roman"/>
          <w:color w:val="000000" w:themeColor="text1"/>
          <w:sz w:val="16"/>
          <w:szCs w:val="16"/>
        </w:rPr>
        <w:softHyphen/>
        <w:t>ми ТК-1, спроектированный В.И. Дмитриевским. М-34РНБ серийно выпускался с октября 1935 г. до конца 1939 г. В ноябре 1939 г. ис</w:t>
      </w:r>
      <w:r w:rsidRPr="0044524F">
        <w:rPr>
          <w:rFonts w:ascii="Times New Roman" w:hAnsi="Times New Roman"/>
          <w:color w:val="000000" w:themeColor="text1"/>
          <w:sz w:val="16"/>
          <w:szCs w:val="16"/>
        </w:rPr>
        <w:softHyphen/>
        <w:t>пытывался вариант этого мотора, форсированный до 900/1000 л.с. М-34П, вариант М-34РН с установкой пушки в развале цилиндров со стрельбой через полый вал редуктора. Задание было выдано в августе 1934 г. Информации о постройке опытных образцов нет. Установка из двух М-34, из которых один работал на винт, а вто</w:t>
      </w:r>
      <w:r w:rsidRPr="0044524F">
        <w:rPr>
          <w:rFonts w:ascii="Times New Roman" w:hAnsi="Times New Roman"/>
          <w:color w:val="000000" w:themeColor="text1"/>
          <w:sz w:val="16"/>
          <w:szCs w:val="16"/>
        </w:rPr>
        <w:softHyphen/>
        <w:t>рой вращал мощный нагнетатель. Проектировалась в марте 1934 г. в Военно-воздушной академии для стратосферного самолета. М-34, работавший на топливе с добавкой газообразного водорода, ис</w:t>
      </w:r>
      <w:r w:rsidRPr="0044524F">
        <w:rPr>
          <w:rFonts w:ascii="Times New Roman" w:hAnsi="Times New Roman"/>
          <w:color w:val="000000" w:themeColor="text1"/>
          <w:sz w:val="16"/>
          <w:szCs w:val="16"/>
        </w:rPr>
        <w:softHyphen/>
        <w:t>пытывался в ЦИАМ во второй половине 30-х годов. М-34СО, опытный образец, испытывавшийся в марте 1936 г. со сме</w:t>
      </w:r>
      <w:r w:rsidRPr="0044524F">
        <w:rPr>
          <w:rFonts w:ascii="Times New Roman" w:hAnsi="Times New Roman"/>
          <w:color w:val="000000" w:themeColor="text1"/>
          <w:sz w:val="16"/>
          <w:szCs w:val="16"/>
        </w:rPr>
        <w:softHyphen/>
        <w:t>шанным охлаждением: гильзы — воздухом, головки — этиленглико-лем. На испытаниях получена мощность 1050 л.с. М-34РСО, проект 1937 г., развитие преды</w:t>
      </w:r>
      <w:r w:rsidRPr="0044524F">
        <w:rPr>
          <w:rFonts w:ascii="Times New Roman" w:hAnsi="Times New Roman"/>
          <w:color w:val="000000" w:themeColor="text1"/>
          <w:sz w:val="16"/>
          <w:szCs w:val="16"/>
        </w:rPr>
        <w:softHyphen/>
        <w:t>дущего типа с редуктором, 1050/1200 л.с. М-34НВ, опытный, с непосредственным впрыском топлива, 985 л.с. Система впры</w:t>
      </w:r>
      <w:r w:rsidRPr="0044524F">
        <w:rPr>
          <w:rFonts w:ascii="Times New Roman" w:hAnsi="Times New Roman"/>
          <w:color w:val="000000" w:themeColor="text1"/>
          <w:sz w:val="16"/>
          <w:szCs w:val="16"/>
        </w:rPr>
        <w:softHyphen/>
        <w:t>ска создана С.А. Косбергом и Н.П. Сер-дюковым в ЦИАМ в 1934 г. Двигатель прошел 60-часовые стендовые испытания в 1935 г. и летные испытания на Р-Зет и ТБ-3 в 1937 г. Серийно не выпускался. М-34РНВ, опытный образец, аналогичен предыдущему типу, но оснащался пони</w:t>
      </w:r>
      <w:r w:rsidRPr="0044524F">
        <w:rPr>
          <w:rFonts w:ascii="Times New Roman" w:hAnsi="Times New Roman"/>
          <w:color w:val="000000" w:themeColor="text1"/>
          <w:sz w:val="16"/>
          <w:szCs w:val="16"/>
        </w:rPr>
        <w:softHyphen/>
        <w:t>жающим редуктором. М-34РНВ-ТК (он же М-34НРВ-ТК), опытный, отличался от предыдущего типа установкой турбонагнетателей ТК-1, 700/850 л.с., вес проектный 810 кг, конец 1938 г.</w:t>
      </w:r>
    </w:p>
    <w:p w14:paraId="54ADFF60"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 для привода агрегата центрального наддува АЦН-1, сконструи</w:t>
      </w:r>
      <w:r w:rsidRPr="0044524F">
        <w:rPr>
          <w:rFonts w:ascii="Times New Roman" w:hAnsi="Times New Roman"/>
          <w:color w:val="000000" w:themeColor="text1"/>
          <w:sz w:val="16"/>
          <w:szCs w:val="16"/>
        </w:rPr>
        <w:softHyphen/>
        <w:t>рованного под руководством С.А. Трескина в 1935 г. Проходил лет</w:t>
      </w:r>
      <w:r w:rsidRPr="0044524F">
        <w:rPr>
          <w:rFonts w:ascii="Times New Roman" w:hAnsi="Times New Roman"/>
          <w:color w:val="000000" w:themeColor="text1"/>
          <w:sz w:val="16"/>
          <w:szCs w:val="16"/>
        </w:rPr>
        <w:softHyphen/>
        <w:t>ные испытания на ТБ-3.</w:t>
      </w:r>
    </w:p>
    <w:p w14:paraId="322AE5B6"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М-34ФРН (он же М-34РФН и М-34РНФ), форсированный вариант М-34РН. В январе 1935 г. проходил госиспытания, но был снят из-за неполадок. Выпущена малая серия в 1935 г., доводился до весны 1938 г. По проекту мощность 1050/1200 л.с., фактически 900/1200 л.с. Усилены коленвал, редуктор, картер, введено боковое сочленение ша</w:t>
      </w:r>
      <w:r w:rsidRPr="0044524F">
        <w:rPr>
          <w:rFonts w:ascii="Times New Roman" w:hAnsi="Times New Roman"/>
          <w:color w:val="000000" w:themeColor="text1"/>
          <w:sz w:val="16"/>
          <w:szCs w:val="16"/>
        </w:rPr>
        <w:softHyphen/>
        <w:t>тунов, измененная система смазки, усовершенствованный ПЦН, новый механизм газораспределения, карбюраторы установлены после ПЦН (ранее стоял один карбюратор до ПЦН); рабочий объем 46,66 л, вес 735 кг. В 1937 г. опытный образец М-34ФРН выставлялся на авиаса</w:t>
      </w:r>
      <w:r w:rsidRPr="0044524F">
        <w:rPr>
          <w:rFonts w:ascii="Times New Roman" w:hAnsi="Times New Roman"/>
          <w:color w:val="000000" w:themeColor="text1"/>
          <w:sz w:val="16"/>
          <w:szCs w:val="16"/>
        </w:rPr>
        <w:softHyphen/>
        <w:t>лоне в Париже. В 1938 г. была выпущена небольшая серия М-34ФРН с турбонаддувом (М-34РНФТ, с двумя ТК-1), 1017 л.с./'1200 л.с. (по другим данным — 750/1200 л.с.), вес (проектный) 690 кг (по другим данным — 810 кг). Такие моторы проходили летные испытания на самолете ДБ-А.</w:t>
      </w:r>
    </w:p>
    <w:p w14:paraId="32BB36C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М-34ФРНУ, проект форсированного до 900 л.с. М-34РН с удлинен</w:t>
      </w:r>
      <w:r w:rsidRPr="0044524F">
        <w:rPr>
          <w:rFonts w:ascii="Times New Roman" w:hAnsi="Times New Roman"/>
          <w:color w:val="000000" w:themeColor="text1"/>
          <w:sz w:val="16"/>
          <w:szCs w:val="16"/>
        </w:rPr>
        <w:softHyphen/>
        <w:t>ным валом, 1933 г.</w:t>
      </w:r>
    </w:p>
    <w:p w14:paraId="533265C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М-34ФРНА, массовая серия на базе типа ФРН с четырьмя карбюра</w:t>
      </w:r>
      <w:r w:rsidRPr="0044524F">
        <w:rPr>
          <w:rFonts w:ascii="Times New Roman" w:hAnsi="Times New Roman"/>
          <w:color w:val="000000" w:themeColor="text1"/>
          <w:sz w:val="16"/>
          <w:szCs w:val="16"/>
        </w:rPr>
        <w:softHyphen/>
        <w:t>торами.</w:t>
      </w:r>
    </w:p>
    <w:p w14:paraId="4F78A26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М-34ФРНБ, массовая серия на базе типа ФРН с шестью карбюрато</w:t>
      </w:r>
      <w:r w:rsidRPr="0044524F">
        <w:rPr>
          <w:rFonts w:ascii="Times New Roman" w:hAnsi="Times New Roman"/>
          <w:color w:val="000000" w:themeColor="text1"/>
          <w:sz w:val="16"/>
          <w:szCs w:val="16"/>
        </w:rPr>
        <w:softHyphen/>
        <w:t>рами. В феврале 1937 г. проходил госиспытания вариант М-34ФРНБ (РФНБ) с карбюратором К-85, усиленным картером и облегченным редуктором, мощностью 1000/1050 л.с. Малой серией также был вы</w:t>
      </w:r>
      <w:r w:rsidRPr="0044524F">
        <w:rPr>
          <w:rFonts w:ascii="Times New Roman" w:hAnsi="Times New Roman"/>
          <w:color w:val="000000" w:themeColor="text1"/>
          <w:sz w:val="16"/>
          <w:szCs w:val="16"/>
        </w:rPr>
        <w:softHyphen/>
        <w:t>пущен вариант, рассчитанный на применение агрегата центрального наддува АЦН-2, созданного в ЦИАМ под руководством К.В. Минк-нера. АЦН-2 приводился в действие дополнительным мотором М-100 и обеспечивал наддув одновременно четырех М-34ФРНБ; мотоуста</w:t>
      </w:r>
      <w:r w:rsidRPr="0044524F">
        <w:rPr>
          <w:rFonts w:ascii="Times New Roman" w:hAnsi="Times New Roman"/>
          <w:color w:val="000000" w:themeColor="text1"/>
          <w:sz w:val="16"/>
          <w:szCs w:val="16"/>
        </w:rPr>
        <w:softHyphen/>
        <w:t>новка из четырех М-34ФРНБ и АЦН-2 испытывалась на опытном образце бомбардировщика ТБ-7 зимой и весной 1938 г. М-34ФРН с испарительным охлаждением; разрабатывался с начала 1935 г. в ЦИАМ Р.И. Бартошем, в 1936 г. изготовлена небольшая серия для опытного истребителя И-21. Двигатель имел повышающий редуктор и нестандартный нижний картер с герметическим сквозным каналом для прохода трубы лонжерона центроплана. В начале 1937 г. совершено несколько полетов на опытном образце И-21. М-34ФРНВ, дальнейшее развитие М-34ФРНБ, 1050/1200 л.с. Спроек</w:t>
      </w:r>
      <w:r w:rsidRPr="0044524F">
        <w:rPr>
          <w:rFonts w:ascii="Times New Roman" w:hAnsi="Times New Roman"/>
          <w:color w:val="000000" w:themeColor="text1"/>
          <w:sz w:val="16"/>
          <w:szCs w:val="16"/>
        </w:rPr>
        <w:softHyphen/>
        <w:t>тирован с тремя вариантами редуктора и двумя типами ПЦН. Впер</w:t>
      </w:r>
      <w:r w:rsidRPr="0044524F">
        <w:rPr>
          <w:rFonts w:ascii="Times New Roman" w:hAnsi="Times New Roman"/>
          <w:color w:val="000000" w:themeColor="text1"/>
          <w:sz w:val="16"/>
          <w:szCs w:val="16"/>
        </w:rPr>
        <w:softHyphen/>
        <w:t>вые выставлен на госиспытания в декабре 1937 г. (с весом 749 кг), но на испытаниях разрушился. По сравнению с М-34ФРНБ имел</w:t>
      </w:r>
    </w:p>
    <w:p w14:paraId="61FAE19E"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измененный картер, бронзовые (с покрытием свинцовистой бронзой, а не баббитом) вкладыши коренных опор с гиперболической расточкой, кожуха над клапанным механизмом из магниевого сплава, иной комплект агрега</w:t>
      </w:r>
      <w:r w:rsidRPr="0044524F">
        <w:rPr>
          <w:rFonts w:ascii="Times New Roman" w:hAnsi="Times New Roman"/>
          <w:color w:val="000000" w:themeColor="text1"/>
          <w:sz w:val="16"/>
          <w:szCs w:val="16"/>
        </w:rPr>
        <w:softHyphen/>
        <w:t>тов, удлиненный носок редуктора, усиленный коленвал с измененной схе</w:t>
      </w:r>
      <w:r w:rsidRPr="0044524F">
        <w:rPr>
          <w:rFonts w:ascii="Times New Roman" w:hAnsi="Times New Roman"/>
          <w:color w:val="000000" w:themeColor="text1"/>
          <w:sz w:val="16"/>
          <w:szCs w:val="16"/>
        </w:rPr>
        <w:softHyphen/>
        <w:t>мой смазки и четыре карбюратора К-4. В апреле 1938 г. был выставлен повторно с усилением ряда деталей (вес поднялся до 763,5 кг при 740 кг по заданию) и удовлетворительно отработал 100 ч. После этого заказали опытную серию из 50 двигателей. Серийное производство М-34ФРНВ велось в 1939-1940 гг. В мае — июне 1938 г. испытывался вариант М-34ФРНВ с непосредственным впрыском топлива (1050/1200 л.с., вес 810 кг). Последняя крупносерийная модификация М-34.</w:t>
      </w:r>
    </w:p>
    <w:p w14:paraId="70AE5DE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М-34НФ, опытный вариант с блоками от модификации ФРНВ, допол</w:t>
      </w:r>
      <w:r w:rsidRPr="0044524F">
        <w:rPr>
          <w:rFonts w:ascii="Times New Roman" w:hAnsi="Times New Roman"/>
          <w:color w:val="000000" w:themeColor="text1"/>
          <w:sz w:val="16"/>
          <w:szCs w:val="16"/>
        </w:rPr>
        <w:softHyphen/>
        <w:t>нительными масло- и бензонасосом, форсирован по "оборотам, имел ПЦН и два турбонагнетателя ТК-1. Карбюраторы К-4 установлены после ПЦН. Мощность 787/985 л.с., степень сжатия 7,0, испытывался в 1938-1939 гг. на самолетах Р-Зет и ТБ-3.</w:t>
      </w:r>
    </w:p>
    <w:p w14:paraId="6C569D7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М-34ФРНВ-ТК, вариант предыдущего типа. Имел два турбонагнетате</w:t>
      </w:r>
      <w:r w:rsidRPr="0044524F">
        <w:rPr>
          <w:rFonts w:ascii="Times New Roman" w:hAnsi="Times New Roman"/>
          <w:color w:val="000000" w:themeColor="text1"/>
          <w:sz w:val="16"/>
          <w:szCs w:val="16"/>
        </w:rPr>
        <w:softHyphen/>
        <w:t>ля ТК-1. Вес по проекту (с турбонагнетателями) 850 кг, 950/1200 л.с. Испытывался в сентябре 1939 г.</w:t>
      </w:r>
    </w:p>
    <w:p w14:paraId="51E40A5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М-34ФРГН, подробности неизвестны.</w:t>
      </w:r>
    </w:p>
    <w:p w14:paraId="346D8E4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М-34РБ, в 1938-1939 гг. переделывались из М-34РНБ путем демон</w:t>
      </w:r>
      <w:r w:rsidRPr="0044524F">
        <w:rPr>
          <w:rFonts w:ascii="Times New Roman" w:hAnsi="Times New Roman"/>
          <w:color w:val="000000" w:themeColor="text1"/>
          <w:sz w:val="16"/>
          <w:szCs w:val="16"/>
        </w:rPr>
        <w:softHyphen/>
        <w:t>тажа ПЦН для повышения надежности и увеличения реечрса.</w:t>
      </w:r>
    </w:p>
    <w:p w14:paraId="69F868D3"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М-34РБ</w:t>
      </w:r>
    </w:p>
    <w:p w14:paraId="79DA4C7A"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Катерный мотор ГМ-34 (ГАМ-34)</w:t>
      </w:r>
    </w:p>
    <w:p w14:paraId="46B4DEC1"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ГМ-34, двигатель для торпедных катеров с реверс-редуктором, муф</w:t>
      </w:r>
      <w:r w:rsidRPr="0044524F">
        <w:rPr>
          <w:rFonts w:ascii="Times New Roman" w:hAnsi="Times New Roman"/>
          <w:color w:val="000000" w:themeColor="text1"/>
          <w:sz w:val="16"/>
          <w:szCs w:val="16"/>
        </w:rPr>
        <w:softHyphen/>
        <w:t>той свободного хода, измененными системами охлаждения (забортной водой) и выхлопной. Разрабатывался В.М. Яковлевым с 1932 г. По плану планировалось представить на госиспытания к 1 октября 1932 г.]</w:t>
      </w:r>
    </w:p>
    <w:p w14:paraId="23D26476"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1932 г. пару опытных двигателей установили на торпед</w:t>
      </w:r>
      <w:r w:rsidRPr="0044524F">
        <w:rPr>
          <w:rFonts w:ascii="Times New Roman" w:hAnsi="Times New Roman"/>
          <w:color w:val="000000" w:themeColor="text1"/>
          <w:sz w:val="16"/>
          <w:szCs w:val="16"/>
        </w:rPr>
        <w:softHyphen/>
        <w:t>ный катер. Государственные испытания на нем завершились в августе 1934 г. С того же года мотор выпускался серийно, 750/800 л.с., вес 864 кг (с реверс-муфтой и коллекторами 1000 кг).</w:t>
      </w:r>
    </w:p>
    <w:p w14:paraId="5964CE3E"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ГМ-34Ф, усовершенствованный вариант предыдущего типа. Имел коренные вкладыши из бронзы, коленвал, головки блоков и часть агрегатов от М-34ФРНВ. Степень сжатия 7,3. Строился серийно, 800/1000 л.с., вес 1080 кг. Работал на бензин-спиртовой .смеси.</w:t>
      </w:r>
    </w:p>
    <w:p w14:paraId="0B491664"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ГМ-34ФН, вариант ГМ-34Ф с ПЦН ФН-25 и одним карбюратором К-4. Маслосистема по типу ГАМ-34БС. Степень сжатия 6,0, мощ</w:t>
      </w:r>
      <w:r w:rsidRPr="0044524F">
        <w:rPr>
          <w:rFonts w:ascii="Times New Roman" w:hAnsi="Times New Roman"/>
          <w:color w:val="000000" w:themeColor="text1"/>
          <w:sz w:val="16"/>
          <w:szCs w:val="16"/>
        </w:rPr>
        <w:softHyphen/>
        <w:t>ность 1200 л.с., вес 1110 кг. Работал на бензин-спиртовой смеси. Се</w:t>
      </w:r>
      <w:r w:rsidRPr="0044524F">
        <w:rPr>
          <w:rFonts w:ascii="Times New Roman" w:hAnsi="Times New Roman"/>
          <w:color w:val="000000" w:themeColor="text1"/>
          <w:sz w:val="16"/>
          <w:szCs w:val="16"/>
        </w:rPr>
        <w:softHyphen/>
        <w:t>рийно выпускался с августа 1939 г.</w:t>
      </w:r>
    </w:p>
    <w:p w14:paraId="0DECA318"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ГМ-34БП, вариант для речных бронекатеров с реверс-редуктором, 800 л.с., выпускался серийно.</w:t>
      </w:r>
    </w:p>
    <w:p w14:paraId="4A397C00"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ГМ-34БС, усовершенствованный вариант предыдущего типа, 850 л.с., выпускался серийно до 1943 г. Работал на бензин-спиртовой смеси. Вес 1045 кг.</w:t>
      </w:r>
    </w:p>
    <w:p w14:paraId="1A56F341"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ГМ-34БТ. вариант для танков на базе катерного с измененной си</w:t>
      </w:r>
      <w:r w:rsidRPr="0044524F">
        <w:rPr>
          <w:rFonts w:ascii="Times New Roman" w:hAnsi="Times New Roman"/>
          <w:color w:val="000000" w:themeColor="text1"/>
          <w:sz w:val="16"/>
          <w:szCs w:val="16"/>
        </w:rPr>
        <w:softHyphen/>
        <w:t>стемой охлаждения, вентилятором принудительного обдува, новым редуктором; мощность 850 л.с. Имел электростартер вместо пневмо-пуска. Выпускался малой серией в 1939 г.</w:t>
      </w:r>
    </w:p>
    <w:p w14:paraId="14BEC3A2"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семейства М-34 (АМ-34) устанавливались на серийных самолетах ТБ-3, КР-6, Р-Зет, АНТ-25 (РД, ДБ-1), МБР-2, МТБ-1, ТБ-7 (Пе-8, первая малая серия), ДБ-А, опытных ЛР, ТШ-3, МИ-ЗД, Т-1 (АНТ-41), ТБ-4, К-7, МГ (АНТ-20), ПС-124, И-21 (ЦКБ-32, с паровым охлаждением), ПИ (не до</w:t>
      </w:r>
      <w:r w:rsidRPr="0044524F">
        <w:rPr>
          <w:rFonts w:ascii="Times New Roman" w:hAnsi="Times New Roman"/>
          <w:color w:val="000000" w:themeColor="text1"/>
          <w:sz w:val="16"/>
          <w:szCs w:val="16"/>
        </w:rPr>
        <w:softHyphen/>
        <w:t>строен), К-13, МК-1, «Сталь-МАИ», МИ-3. Их применение также предусма</w:t>
      </w:r>
      <w:r w:rsidRPr="0044524F">
        <w:rPr>
          <w:rFonts w:ascii="Times New Roman" w:hAnsi="Times New Roman"/>
          <w:color w:val="000000" w:themeColor="text1"/>
          <w:sz w:val="16"/>
          <w:szCs w:val="16"/>
        </w:rPr>
        <w:softHyphen/>
        <w:t>тривалось в проектах ТБ-6, «Сталь-5», АНТ-15, ТШ-Б (АНТ-17 и АНТ-18), ВИТ-2, АНТ-51 (СЗ), бронированного штурмовика Самсонова и Доброволь</w:t>
      </w:r>
      <w:r w:rsidRPr="0044524F">
        <w:rPr>
          <w:rFonts w:ascii="Times New Roman" w:hAnsi="Times New Roman"/>
          <w:color w:val="000000" w:themeColor="text1"/>
          <w:sz w:val="16"/>
          <w:szCs w:val="16"/>
        </w:rPr>
        <w:softHyphen/>
        <w:t>ского на гусеничном ходу (на базе ТШ-2), танка-вертолета Камова.</w:t>
      </w:r>
    </w:p>
    <w:p w14:paraId="7563C81C"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типа ГМ-34 (ГАМ-34) монтировались на торпедных катерах Г-5 (серийно строились до 1943 г.), Г-6, Г-8, СМ-4 (построено по одному катеру), закладывались в проекты катеров Г-9 и Г-10, а также на речных бронекатерах проектов 1124 и 1125 (массово строились до 1944 г.).</w:t>
      </w:r>
    </w:p>
    <w:p w14:paraId="1000C51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Танковые моторы ГМ-34БТ (ГАМ-34БТ) устанавливались на опытных танках Т-100 и СМК, проходивших войсковые испытания на фронте во время войны с Финляндией зимой 1940 г., а также опытном самоходном орудии СУ-100у («Игрек», 1940 г.), применявшемся в боях под Москвой зимой 1941 г. (11952)</w:t>
      </w:r>
    </w:p>
    <w:p w14:paraId="08960B5B"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p>
    <w:p w14:paraId="7F3E492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когда переговоры еще шли, ГУАП НКТП уже при</w:t>
      </w:r>
      <w:r w:rsidRPr="0044524F">
        <w:rPr>
          <w:rFonts w:ascii="Times New Roman" w:hAnsi="Times New Roman"/>
          <w:color w:val="000000" w:themeColor="text1"/>
          <w:sz w:val="16"/>
          <w:szCs w:val="16"/>
        </w:rPr>
        <w:softHyphen/>
        <w:t>няло решение о проектировании под французские двигатели новых само</w:t>
      </w:r>
      <w:r w:rsidRPr="0044524F">
        <w:rPr>
          <w:rFonts w:ascii="Times New Roman" w:hAnsi="Times New Roman"/>
          <w:color w:val="000000" w:themeColor="text1"/>
          <w:sz w:val="16"/>
          <w:szCs w:val="16"/>
        </w:rPr>
        <w:softHyphen/>
        <w:t>летов. В 1934 г. началась приемка во Франции технической документации и двигателей-образцов. Руководил ей А.В. Каширин. В частности, в марте в Москву доставили мотор типа 14Кс1г8, в апреле прошедший 100-часовые стендовые испытания в ЦИАМ. Освоение производства «Гном-Ронов», как и следовало ожидать, пору</w:t>
      </w:r>
      <w:r w:rsidRPr="0044524F">
        <w:rPr>
          <w:rFonts w:ascii="Times New Roman" w:hAnsi="Times New Roman"/>
          <w:color w:val="000000" w:themeColor="text1"/>
          <w:sz w:val="16"/>
          <w:szCs w:val="16"/>
        </w:rPr>
        <w:softHyphen/>
        <w:t>чили заводу № 29 в Запорожье. М-75 и М-85 первоначально осваива</w:t>
      </w:r>
      <w:r w:rsidRPr="0044524F">
        <w:rPr>
          <w:rFonts w:ascii="Times New Roman" w:hAnsi="Times New Roman"/>
          <w:color w:val="000000" w:themeColor="text1"/>
          <w:sz w:val="16"/>
          <w:szCs w:val="16"/>
        </w:rPr>
        <w:softHyphen/>
        <w:t>лись параллельно, но довольно быстро второй получил безоговорочный приоритет. Дело в том, что М-75 конкурировал с М-25 (американским «Циклоном»). Они обладали примерно равной мощностью, но М-25 имел преимущество на высоте, а М-75 — у земли. «Циклон» начали осваи</w:t>
      </w:r>
      <w:r w:rsidRPr="0044524F">
        <w:rPr>
          <w:rFonts w:ascii="Times New Roman" w:hAnsi="Times New Roman"/>
          <w:color w:val="000000" w:themeColor="text1"/>
          <w:sz w:val="16"/>
          <w:szCs w:val="16"/>
        </w:rPr>
        <w:softHyphen/>
        <w:t>вать в СССР раньше. Первоначально предполагалось, что выпуск М-75 поможет преодолеть нехватку М-25 в период развертывания массового производства. Их предполагали ставить на часть серийных истребителей И-16. Но выпуск «Циклонов» в Перми быстро нарастал, и необходимость затрачивать силы и средства на освоение производства М-75 довольно быстро отпала (11852).</w:t>
      </w:r>
    </w:p>
    <w:p w14:paraId="1389EFC8"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DC09A8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на гос. испытания был предъявлен упрощенный нагнетатель на 3500 м для М-34Н (2281,66).</w:t>
      </w:r>
    </w:p>
    <w:p w14:paraId="50F61DB0"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0CDDDC8E"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на первой Всесоюзной дизельной конференции, состоявшейся молодой конструктор А. Д. Чаромский сделал доклад о перспективах авиационного дизелестроения. В нем он отметил, что «при одинаковой степени надежности расчетные сечения нагруженных деталей (картер, вал, головка блока цилиндров, поршень, шатун и др.) у двигателя с воспламенением от сжатия выше, чем у бензинового. При мощности 1 000 л.с. и четырехтактном цикле вес дизеля составляет 1 000 кг, а бензинового двигателя – 700 кг. Однако по расходу топлива бензиновый двигатель никогда не сможет конкурировать с нефтяным (в то время дизели часто работали на сырой нефти и поэтому назывались нефтяными моторами). В связи с этим дизельный двигатель выгоден только при дальних перелетах продолжительностью свыше пяти часов». В своем докладе Алексей Дмитриевич наметил и пути совершенствования рабочего процесса авиадизеля: наддув и применение двухтактного цикла (19149).</w:t>
      </w:r>
    </w:p>
    <w:p w14:paraId="3662F17A" w14:textId="77777777" w:rsidR="00562118" w:rsidRPr="0044524F" w:rsidRDefault="00562118" w:rsidP="009654CF">
      <w:pPr>
        <w:spacing w:after="0" w:line="240" w:lineRule="auto"/>
        <w:jc w:val="both"/>
        <w:rPr>
          <w:rFonts w:ascii="Times New Roman" w:hAnsi="Times New Roman"/>
          <w:color w:val="000000" w:themeColor="text1"/>
          <w:sz w:val="16"/>
          <w:szCs w:val="16"/>
        </w:rPr>
      </w:pPr>
    </w:p>
    <w:p w14:paraId="0CD6B083" w14:textId="77777777" w:rsidR="00F46121" w:rsidRPr="0044524F" w:rsidRDefault="00F461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Николай Ильич Камов лично передал предложение по «Высотной Торпеде Камова (ВТК) с чертежами заместителю начальника ВВС Меженинову. И дело сдвинулось: по приказу Меженинова начальник НИИ ВВС все же заключил с Камовым договор на разработку его проектов. В результате появились проекты 20-килограммовой модели и 700-килограммового натурного образца. Но, вместо одной модели, Камов умудрился построить пять! (15598).</w:t>
      </w:r>
    </w:p>
    <w:p w14:paraId="233E473E"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273FCB1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постановлением СТО и по настоянию М.Н.Тухачевского был создан РНИИ (207,28).</w:t>
      </w:r>
    </w:p>
    <w:p w14:paraId="555F530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это было в сентябре.</w:t>
      </w:r>
    </w:p>
    <w:p w14:paraId="4501F2D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УВМС приняло предложение И.В.Четверикова по СПЛ и стали строить в НИИ ГВФ в двух экземплярах в ОСГА - отделе глиссеров НИИ ГВФ (92,500). 7 ноября 1933 ОСГА-101 И.В.Четверикова была выставлена на Красной площади рядом с моделью аэростата СССР (122,27).</w:t>
      </w:r>
    </w:p>
    <w:p w14:paraId="76CCEE4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ОСГА-101 был построен только весной 1934</w:t>
      </w:r>
    </w:p>
    <w:p w14:paraId="2EDDF60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 как главный инженер - постоянно гадил, К.А.К. т.к. нарушалась его теория предельных размеров. В ГУАП с ним солидаризировались Машкевич, Алмазов нач. НТО, Лобанов. + ХАИ (70,245).</w:t>
      </w:r>
    </w:p>
    <w:p w14:paraId="14345B7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самом деле, это чепуха, так как А.Н.Т. стал ГУ НКАП только в январе 1936 - хотя, может быть, именно в это время.</w:t>
      </w:r>
    </w:p>
    <w:p w14:paraId="37A58D71"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652FFE24" w14:textId="77777777" w:rsidR="001E1317" w:rsidRPr="0044524F" w:rsidRDefault="001E1317" w:rsidP="009654CF">
      <w:pPr>
        <w:pStyle w:val="a8"/>
        <w:widowControl/>
        <w:jc w:val="both"/>
        <w:rPr>
          <w:rFonts w:ascii="Times New Roman" w:hAnsi="Times New Roman" w:cs="Times New Roman"/>
          <w:color w:val="000000" w:themeColor="text1"/>
        </w:rPr>
      </w:pPr>
      <w:r w:rsidRPr="0044524F">
        <w:rPr>
          <w:rFonts w:ascii="Times New Roman" w:hAnsi="Times New Roman" w:cs="Times New Roman"/>
          <w:color w:val="000000" w:themeColor="text1"/>
        </w:rPr>
        <w:t>В октябре 1933 г. на станции Трикотажная пробовались испытывать без двигателя три деревянные модели крылатой ракеты С.П.К. С помощью амортизатора было проведено три пуска макетов КР 06/1. Поскольку автоматов для управления полетом в то время не существовало, то первые опытные пуски ракет 06/1 производились с закрепленными рулями и без автопилотов. Первой советской КР стала «геометрически подобная модель» ракетоплана РП1, получившая название 0694. Крылатая ракета 06 была реализована в двух модификациях: 06/1 и 06/2. Крылатые ракеты 06/3 и 06/4 остались на стадии проектов, так как представляли собой соответственно первоначальные варианты крылатых ракет 216 и 212. В ГИРДе уже был создан спирто-кислородный двигатель 02 для ракетоплана. Этот же двигатель был рекомендован и для ракеты 06. Однако в связи с тем, что разработчики двигателя еще экспериментально не проверили целесообразность выбора именно этого типа двигателя для КР 06, первые испытания были проведены с двигателем 09. Весь 8-й сектор помещался в одной большой комнате главного корпуса РНИИ, на втором этаже. В одном углу комнаты сделали фанерную выгородку для двух письменных столов – Е.С. Щетникова и С.П. Королева. Остальное пространство заполняли два ряда одинаковых столов, за которыми сидели сотрудники: Палло, Засько, Смир нов, Дедов, Косятов, Дрязгов, Кулешов, Матысик, позднее – Раушенбах, всего 14 человек вместе с девушками-чертежницами (11686).</w:t>
      </w:r>
    </w:p>
    <w:p w14:paraId="7D359FF6" w14:textId="77777777" w:rsidR="001E1317" w:rsidRPr="0044524F" w:rsidRDefault="001E1317" w:rsidP="009654CF">
      <w:pPr>
        <w:pStyle w:val="a8"/>
        <w:widowControl/>
        <w:jc w:val="both"/>
        <w:rPr>
          <w:rFonts w:ascii="Times New Roman" w:hAnsi="Times New Roman" w:cs="Times New Roman"/>
          <w:color w:val="000000" w:themeColor="text1"/>
        </w:rPr>
      </w:pPr>
    </w:p>
    <w:p w14:paraId="0D46AE5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завершились гос. испытания ТБ-1 с пороховыми стартовыми ускорителями, сократившими разбег машины массой 7 т с 330 до 80 м (237,168).</w:t>
      </w:r>
    </w:p>
    <w:p w14:paraId="6B9BBAFD"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0616542" w14:textId="77777777" w:rsidR="00562118" w:rsidRPr="0044524F" w:rsidRDefault="005621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октябре 1933 г. оконча тельные испытания показали, что в результате установки шести ракет (по три на каждое крыло сверху или снизу) длина разбе га самолета ТБ-1 при массе в 7 т уменьшается с 330 до 80 м, а при массе самолета 8 т— с 480 до 110 м. Разбег самолета ТБ-1 сократился почти в четыре раза. Взлеты осуществлял лет чик Н.П. Благин. Такой результат был достигнут при установ ке на крыльях шести реактивных камер, соединенных трубопроводом. Общая масса порохового заряда составляла 60 кг.</w:t>
      </w:r>
    </w:p>
    <w:p w14:paraId="43767DCD" w14:textId="77777777" w:rsidR="00562118" w:rsidRPr="0044524F" w:rsidRDefault="005621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Средняя сила тяги достигала 10 400 кгс в течение 2 с. В после дующие годы такими реактивными стартовыми установками был оснащен ряд самолетов других типов. Продолжалась также ра бота по усовершенствованию самих стартовых установок и, в частности, по уменьшению их массы. Стартовая установка для самолета ТБ-1, упомянутая выше, была довольно тяжелой. Масса ее составила 470 кг (с учетом массы, необходимой для упрочне ния конструкции самолета) (19586).</w:t>
      </w:r>
    </w:p>
    <w:p w14:paraId="33C4FFBC" w14:textId="77777777" w:rsidR="00562118" w:rsidRPr="0044524F" w:rsidRDefault="00562118"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0D1C0636"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летчик Благин (в 1935 погубивший МГ) впервые в мире испытывал самолет с ускорителями взле</w:t>
      </w:r>
      <w:r w:rsidRPr="0044524F">
        <w:rPr>
          <w:rFonts w:ascii="Times New Roman" w:hAnsi="Times New Roman"/>
          <w:color w:val="000000" w:themeColor="text1"/>
          <w:sz w:val="16"/>
          <w:szCs w:val="16"/>
        </w:rPr>
        <w:softHyphen/>
        <w:t>та конструкции инженера В.И. Дудакова. На самолете ТБ-1 в месте разъема консо</w:t>
      </w:r>
      <w:r w:rsidRPr="0044524F">
        <w:rPr>
          <w:rFonts w:ascii="Times New Roman" w:hAnsi="Times New Roman"/>
          <w:color w:val="000000" w:themeColor="text1"/>
          <w:sz w:val="16"/>
          <w:szCs w:val="16"/>
        </w:rPr>
        <w:softHyphen/>
        <w:t>лей установили потри стартовых порохо</w:t>
      </w:r>
      <w:r w:rsidRPr="0044524F">
        <w:rPr>
          <w:rFonts w:ascii="Times New Roman" w:hAnsi="Times New Roman"/>
          <w:color w:val="000000" w:themeColor="text1"/>
          <w:sz w:val="16"/>
          <w:szCs w:val="16"/>
        </w:rPr>
        <w:softHyphen/>
        <w:t>вых ракеты с каждой стороны. Результаты испытаний были признаны весьма удач</w:t>
      </w:r>
      <w:r w:rsidRPr="0044524F">
        <w:rPr>
          <w:rFonts w:ascii="Times New Roman" w:hAnsi="Times New Roman"/>
          <w:color w:val="000000" w:themeColor="text1"/>
          <w:sz w:val="16"/>
          <w:szCs w:val="16"/>
        </w:rPr>
        <w:softHyphen/>
        <w:t>ными. Возможно, что именно эта работа познакомила, а затем и подружила Н.П. Благина и С.П. Королева(21240).</w:t>
      </w:r>
    </w:p>
    <w:p w14:paraId="072704A3" w14:textId="77777777" w:rsidR="00CA3C9F" w:rsidRPr="0044524F" w:rsidRDefault="00CA3C9F" w:rsidP="009654CF">
      <w:pPr>
        <w:spacing w:after="0" w:line="240" w:lineRule="auto"/>
        <w:jc w:val="both"/>
        <w:rPr>
          <w:rFonts w:ascii="Times New Roman" w:hAnsi="Times New Roman"/>
          <w:color w:val="000000" w:themeColor="text1"/>
          <w:sz w:val="16"/>
          <w:szCs w:val="16"/>
        </w:rPr>
      </w:pPr>
    </w:p>
    <w:p w14:paraId="7EE98B79"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в НИИ ВВС эксперименты с ТБ-1 (летчик- испытатель Н.Н. Благин, ведущий инженер В.М. Дудаков) наглядно показали значительное сокращение длины разбега. При взлетном весе 6 500 кг разбег сократился почти на 80% и составил всего 55 м вместо 280-ти. Это привело к мысли использовать ускори</w:t>
      </w:r>
      <w:r w:rsidRPr="0044524F">
        <w:rPr>
          <w:rFonts w:ascii="Times New Roman" w:hAnsi="Times New Roman"/>
          <w:color w:val="000000" w:themeColor="text1"/>
          <w:sz w:val="16"/>
          <w:szCs w:val="16"/>
        </w:rPr>
        <w:softHyphen/>
        <w:t>тели не только для взлета с аэродромов ограниченных размеров, но и для обеспечения взлета в перегрузочном варианте с уве</w:t>
      </w:r>
      <w:r w:rsidRPr="0044524F">
        <w:rPr>
          <w:rFonts w:ascii="Times New Roman" w:hAnsi="Times New Roman"/>
          <w:color w:val="000000" w:themeColor="text1"/>
          <w:sz w:val="16"/>
          <w:szCs w:val="16"/>
        </w:rPr>
        <w:softHyphen/>
        <w:t>личенной боевой или коммерческой загрузкой в повышении обороноспособности, так и в решении народно-хозяйственных задач.. Кроме того пред</w:t>
      </w:r>
      <w:r w:rsidRPr="0044524F">
        <w:rPr>
          <w:rFonts w:ascii="Times New Roman" w:hAnsi="Times New Roman"/>
          <w:color w:val="000000" w:themeColor="text1"/>
          <w:sz w:val="16"/>
          <w:szCs w:val="16"/>
        </w:rPr>
        <w:softHyphen/>
        <w:t>полагалось, что ускорители смогут обеспечить взлет сухопутных самолетов на лыжном шасси с раскисших в межсезонье аэродро</w:t>
      </w:r>
      <w:r w:rsidRPr="0044524F">
        <w:rPr>
          <w:rFonts w:ascii="Times New Roman" w:hAnsi="Times New Roman"/>
          <w:color w:val="000000" w:themeColor="text1"/>
          <w:sz w:val="16"/>
          <w:szCs w:val="16"/>
        </w:rPr>
        <w:softHyphen/>
        <w:t>мов, а летающих лодок - со льда и снега. Тем самым будет достиг</w:t>
      </w:r>
      <w:r w:rsidRPr="0044524F">
        <w:rPr>
          <w:rFonts w:ascii="Times New Roman" w:hAnsi="Times New Roman"/>
          <w:color w:val="000000" w:themeColor="text1"/>
          <w:sz w:val="16"/>
          <w:szCs w:val="16"/>
        </w:rPr>
        <w:softHyphen/>
        <w:t>нуто круглогодичное использование авиации, что немаловажно как быстро, то нагрузка, воспринимаемая узлами крепления, является практически ударной. Крыло в этих местах необходимо усиливать, что не всегда представляется возможным.</w:t>
      </w:r>
    </w:p>
    <w:p w14:paraId="60988BE1"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Вместе с тем, на основании своей пя</w:t>
      </w:r>
      <w:r w:rsidRPr="0044524F">
        <w:rPr>
          <w:rFonts w:ascii="Times New Roman" w:hAnsi="Times New Roman"/>
          <w:color w:val="000000" w:themeColor="text1"/>
          <w:sz w:val="16"/>
          <w:szCs w:val="16"/>
        </w:rPr>
        <w:softHyphen/>
        <w:t>тилетней работы РНИИ считал, что уста</w:t>
      </w:r>
      <w:r w:rsidRPr="0044524F">
        <w:rPr>
          <w:rFonts w:ascii="Times New Roman" w:hAnsi="Times New Roman"/>
          <w:color w:val="000000" w:themeColor="text1"/>
          <w:sz w:val="16"/>
          <w:szCs w:val="16"/>
        </w:rPr>
        <w:softHyphen/>
        <w:t>новка стартовых ракет на готовый самолет сопряжена с рядом трудностей. Согласно расчетам, существенно улучшить взлетные характеристики можно было лишь при ис</w:t>
      </w:r>
      <w:r w:rsidRPr="0044524F">
        <w:rPr>
          <w:rFonts w:ascii="Times New Roman" w:hAnsi="Times New Roman"/>
          <w:color w:val="000000" w:themeColor="text1"/>
          <w:sz w:val="16"/>
          <w:szCs w:val="16"/>
        </w:rPr>
        <w:softHyphen/>
        <w:t>пользовании мощных ракет, суммарная сила тяги которых составляет величину, соответ</w:t>
      </w:r>
      <w:r w:rsidRPr="0044524F">
        <w:rPr>
          <w:rFonts w:ascii="Times New Roman" w:hAnsi="Times New Roman"/>
          <w:color w:val="000000" w:themeColor="text1"/>
          <w:sz w:val="16"/>
          <w:szCs w:val="16"/>
        </w:rPr>
        <w:softHyphen/>
        <w:t>ствующую примерно полуторному весу са</w:t>
      </w:r>
      <w:r w:rsidRPr="0044524F">
        <w:rPr>
          <w:rFonts w:ascii="Times New Roman" w:hAnsi="Times New Roman"/>
          <w:color w:val="000000" w:themeColor="text1"/>
          <w:sz w:val="16"/>
          <w:szCs w:val="16"/>
        </w:rPr>
        <w:softHyphen/>
        <w:t>молета. Но при наличии такой большой тяги весьма существенным становится вопрос о выборе места установки ракет и способа их крепления. Поскольку тяга нарастает очень быстро, то нагрузка, воспринимаемая узлами крепления, становится практически ударной. Крыло в этих местах необходимо усиливать.</w:t>
      </w:r>
    </w:p>
    <w:p w14:paraId="573B185E"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этого, газовые струи ракет, увлекая спутные массы воз</w:t>
      </w:r>
      <w:r w:rsidRPr="0044524F">
        <w:rPr>
          <w:rFonts w:ascii="Times New Roman" w:hAnsi="Times New Roman"/>
          <w:color w:val="000000" w:themeColor="text1"/>
          <w:sz w:val="16"/>
          <w:szCs w:val="16"/>
        </w:rPr>
        <w:softHyphen/>
        <w:t>духа, могут оказывать на фюзеляж и оперение воздействие в виде неравномерных давлений, которое может вызвать бафтинг опере</w:t>
      </w:r>
      <w:r w:rsidRPr="0044524F">
        <w:rPr>
          <w:rFonts w:ascii="Times New Roman" w:hAnsi="Times New Roman"/>
          <w:color w:val="000000" w:themeColor="text1"/>
          <w:sz w:val="16"/>
          <w:szCs w:val="16"/>
        </w:rPr>
        <w:softHyphen/>
        <w:t>ния.</w:t>
      </w:r>
    </w:p>
    <w:p w14:paraId="1122C1FE"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Поэтому в III-м отделе (прежней ГДЛ) РНИИ, полагая за луч</w:t>
      </w:r>
      <w:r w:rsidRPr="0044524F">
        <w:rPr>
          <w:rFonts w:ascii="Times New Roman" w:hAnsi="Times New Roman"/>
          <w:color w:val="000000" w:themeColor="text1"/>
          <w:sz w:val="16"/>
          <w:szCs w:val="16"/>
        </w:rPr>
        <w:softHyphen/>
        <w:t>шее учитывать возможность установки стартовых ускорите</w:t>
      </w:r>
      <w:r w:rsidRPr="0044524F">
        <w:rPr>
          <w:rFonts w:ascii="Times New Roman" w:hAnsi="Times New Roman"/>
          <w:color w:val="000000" w:themeColor="text1"/>
          <w:sz w:val="16"/>
          <w:szCs w:val="16"/>
        </w:rPr>
        <w:softHyphen/>
        <w:t>лей заранее, разработали предварительные проекты «дальностного» (Д-1) и «вездеходного» (Д-2) самолетов, поскольку достичь объеди</w:t>
      </w:r>
      <w:r w:rsidRPr="0044524F">
        <w:rPr>
          <w:rFonts w:ascii="Times New Roman" w:hAnsi="Times New Roman"/>
          <w:color w:val="000000" w:themeColor="text1"/>
          <w:sz w:val="16"/>
          <w:szCs w:val="16"/>
        </w:rPr>
        <w:softHyphen/>
        <w:t>нения этих двух свойств в одном и том же проекте оказалось невоз</w:t>
      </w:r>
      <w:r w:rsidRPr="0044524F">
        <w:rPr>
          <w:rFonts w:ascii="Times New Roman" w:hAnsi="Times New Roman"/>
          <w:color w:val="000000" w:themeColor="text1"/>
          <w:sz w:val="16"/>
          <w:szCs w:val="16"/>
        </w:rPr>
        <w:softHyphen/>
        <w:t>можным.</w:t>
      </w:r>
    </w:p>
    <w:p w14:paraId="7D78D9B4"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из названия, Д-1 был задуман самолетом большой даль</w:t>
      </w:r>
      <w:r w:rsidRPr="0044524F">
        <w:rPr>
          <w:rFonts w:ascii="Times New Roman" w:hAnsi="Times New Roman"/>
          <w:color w:val="000000" w:themeColor="text1"/>
          <w:sz w:val="16"/>
          <w:szCs w:val="16"/>
        </w:rPr>
        <w:softHyphen/>
        <w:t>ности, которая обеспечивалась запасом топлива, составлявшего большую часть полной нагрузки самолета. Он представлял собой моноплан с сигарообразным фюзеляжем, в хвостовой части кото</w:t>
      </w:r>
      <w:r w:rsidRPr="0044524F">
        <w:rPr>
          <w:rFonts w:ascii="Times New Roman" w:hAnsi="Times New Roman"/>
          <w:color w:val="000000" w:themeColor="text1"/>
          <w:sz w:val="16"/>
          <w:szCs w:val="16"/>
        </w:rPr>
        <w:softHyphen/>
        <w:t>рого, по образцу американских скоростных машин, разместили двух членов экипажа. Всю его среднюю часть занимали баки с топливом, которое размещалось и в трубчатом лонжероне крыла.</w:t>
      </w:r>
    </w:p>
    <w:p w14:paraId="2044C395"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Однолонжеронное крыло с толстым профилем ЦАГИ-890, имев</w:t>
      </w:r>
      <w:r w:rsidRPr="0044524F">
        <w:rPr>
          <w:rFonts w:ascii="Times New Roman" w:hAnsi="Times New Roman"/>
          <w:color w:val="000000" w:themeColor="text1"/>
          <w:sz w:val="16"/>
          <w:szCs w:val="16"/>
        </w:rPr>
        <w:softHyphen/>
        <w:t>шим малое перемещение центра давления, состояло из центропла</w:t>
      </w:r>
      <w:r w:rsidRPr="0044524F">
        <w:rPr>
          <w:rFonts w:ascii="Times New Roman" w:hAnsi="Times New Roman"/>
          <w:color w:val="000000" w:themeColor="text1"/>
          <w:sz w:val="16"/>
          <w:szCs w:val="16"/>
        </w:rPr>
        <w:softHyphen/>
        <w:t>на и отъемных консолей, поверх задней кромки которых шли закрыл</w:t>
      </w:r>
      <w:r w:rsidRPr="0044524F">
        <w:rPr>
          <w:rFonts w:ascii="Times New Roman" w:hAnsi="Times New Roman"/>
          <w:color w:val="000000" w:themeColor="text1"/>
          <w:sz w:val="16"/>
          <w:szCs w:val="16"/>
        </w:rPr>
        <w:softHyphen/>
        <w:t>ки и элероны. Внутри консолей разместили ускорители с четырьмя ракетами и дополнительные баки на 75 кг бензина, расходуемого на запуск, руление и взлет.</w:t>
      </w:r>
    </w:p>
    <w:p w14:paraId="090FE1E8"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было применено одностоечное, неубирающееся, как на машинах Брегэ.</w:t>
      </w:r>
    </w:p>
    <w:p w14:paraId="415A2C4A"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качестве силовой установки был выбран отечественный зве</w:t>
      </w:r>
      <w:r w:rsidRPr="0044524F">
        <w:rPr>
          <w:rFonts w:ascii="Times New Roman" w:hAnsi="Times New Roman"/>
          <w:color w:val="000000" w:themeColor="text1"/>
          <w:sz w:val="16"/>
          <w:szCs w:val="16"/>
        </w:rPr>
        <w:softHyphen/>
        <w:t>здообразный двигатель воздушного охлаждения М-48 мощностью 250 л.с., закрытый капотом типа NACA. Винт был деревянный, по</w:t>
      </w:r>
      <w:r w:rsidRPr="0044524F">
        <w:rPr>
          <w:rFonts w:ascii="Times New Roman" w:hAnsi="Times New Roman"/>
          <w:color w:val="000000" w:themeColor="text1"/>
          <w:sz w:val="16"/>
          <w:szCs w:val="16"/>
        </w:rPr>
        <w:softHyphen/>
        <w:t>стоянного шага, рассчитанный из условия получения максимальной скорости полета. На случай, если в процессе испытаний М-48 выя</w:t>
      </w:r>
      <w:r w:rsidRPr="0044524F">
        <w:rPr>
          <w:rFonts w:ascii="Times New Roman" w:hAnsi="Times New Roman"/>
          <w:color w:val="000000" w:themeColor="text1"/>
          <w:sz w:val="16"/>
          <w:szCs w:val="16"/>
        </w:rPr>
        <w:softHyphen/>
        <w:t>снится невозможность его продолжительной работы на максималь</w:t>
      </w:r>
      <w:r w:rsidRPr="0044524F">
        <w:rPr>
          <w:rFonts w:ascii="Times New Roman" w:hAnsi="Times New Roman"/>
          <w:color w:val="000000" w:themeColor="text1"/>
          <w:sz w:val="16"/>
          <w:szCs w:val="16"/>
        </w:rPr>
        <w:softHyphen/>
        <w:t>ной мощности, предусматривалась его замена проектируемым М-51 или одним из уже существующих иностранных двигателей мощно</w:t>
      </w:r>
      <w:r w:rsidRPr="0044524F">
        <w:rPr>
          <w:rFonts w:ascii="Times New Roman" w:hAnsi="Times New Roman"/>
          <w:color w:val="000000" w:themeColor="text1"/>
          <w:sz w:val="16"/>
          <w:szCs w:val="16"/>
        </w:rPr>
        <w:softHyphen/>
        <w:t>стью 250-300 л.с.1</w:t>
      </w:r>
    </w:p>
    <w:p w14:paraId="3B61F6C3"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основной конструктивной особенностью Д-1 являлось умень</w:t>
      </w:r>
      <w:r w:rsidRPr="0044524F">
        <w:rPr>
          <w:rFonts w:ascii="Times New Roman" w:hAnsi="Times New Roman"/>
          <w:color w:val="000000" w:themeColor="text1"/>
          <w:sz w:val="16"/>
          <w:szCs w:val="16"/>
        </w:rPr>
        <w:softHyphen/>
        <w:t>шение в полете площади крыла посредством отстрела консолей. Этот (ранее никем не применяемый) способ был выбран потому, что существовавшие в то время типы крыльев изменяемой геометрии Бакшеева, Махонина, Перенна, Шмейдера) и др. не удовлетворяли проектировщиков сравнительно малой (3-15%) величиной сокращения площади. Отстрел же консолей «...обеспечивает сколь угодно большое сокращение несущей поверхности и кроме того способст</w:t>
      </w:r>
      <w:r w:rsidRPr="0044524F">
        <w:rPr>
          <w:rFonts w:ascii="Times New Roman" w:hAnsi="Times New Roman"/>
          <w:color w:val="000000" w:themeColor="text1"/>
          <w:sz w:val="16"/>
          <w:szCs w:val="16"/>
        </w:rPr>
        <w:softHyphen/>
        <w:t>вует уменьшению полетного веса самолета и конструктивно несрав</w:t>
      </w:r>
      <w:r w:rsidRPr="0044524F">
        <w:rPr>
          <w:rFonts w:ascii="Times New Roman" w:hAnsi="Times New Roman"/>
          <w:color w:val="000000" w:themeColor="text1"/>
          <w:sz w:val="16"/>
          <w:szCs w:val="16"/>
        </w:rPr>
        <w:softHyphen/>
        <w:t>ненно более проще вышеуказанных предложений других авторов».</w:t>
      </w:r>
    </w:p>
    <w:p w14:paraId="3844758D"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Осуществляться он должен над своим аэродромом после набора высоты.</w:t>
      </w:r>
    </w:p>
    <w:p w14:paraId="355E6C7A" w14:textId="77777777" w:rsidR="00CA3C9F" w:rsidRPr="0044524F" w:rsidRDefault="00CA3C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Ракетный агрегат (так в то время именовали стартовый ускори</w:t>
      </w:r>
      <w:r w:rsidRPr="0044524F">
        <w:rPr>
          <w:rFonts w:ascii="Times New Roman" w:hAnsi="Times New Roman"/>
          <w:color w:val="000000" w:themeColor="text1"/>
          <w:sz w:val="16"/>
          <w:szCs w:val="16"/>
        </w:rPr>
        <w:softHyphen/>
        <w:t>тель), для лучшего размещения внутри консоли, спроектировали в виде «лежачих камер», снаряжаемых двумя ракетами, включавши</w:t>
      </w:r>
      <w:r w:rsidRPr="0044524F">
        <w:rPr>
          <w:rFonts w:ascii="Times New Roman" w:hAnsi="Times New Roman"/>
          <w:color w:val="000000" w:themeColor="text1"/>
          <w:sz w:val="16"/>
          <w:szCs w:val="16"/>
        </w:rPr>
        <w:softHyphen/>
        <w:t>мися последовательно. Поскольку время его работы должно со</w:t>
      </w:r>
      <w:r w:rsidRPr="0044524F">
        <w:rPr>
          <w:rFonts w:ascii="Times New Roman" w:hAnsi="Times New Roman"/>
          <w:color w:val="000000" w:themeColor="text1"/>
          <w:sz w:val="16"/>
          <w:szCs w:val="16"/>
        </w:rPr>
        <w:softHyphen/>
        <w:t>ставлять порядка 1-2 сек, то в качестве заряда выбрали пороховые ракеты, значительно более дешевые и простые, нежели жидкостные. При работе их газовые струи должны проходить вдали от хвосто</w:t>
      </w:r>
      <w:r w:rsidRPr="0044524F">
        <w:rPr>
          <w:rFonts w:ascii="Times New Roman" w:hAnsi="Times New Roman"/>
          <w:color w:val="000000" w:themeColor="text1"/>
          <w:sz w:val="16"/>
          <w:szCs w:val="16"/>
        </w:rPr>
        <w:softHyphen/>
        <w:t>вого оперения, исключая его повреждение. Системы зажигания, синхронизации работы правой и левой групп, а также амортизации первоначального толчка, были аналогичны примененным ранее на переоборудованных самолетах У-1 и ТБ-1 (23028).</w:t>
      </w:r>
    </w:p>
    <w:p w14:paraId="02745E63" w14:textId="77777777" w:rsidR="00CA3C9F" w:rsidRPr="0044524F" w:rsidRDefault="00CA3C9F" w:rsidP="009654CF">
      <w:pPr>
        <w:spacing w:after="0" w:line="240" w:lineRule="auto"/>
        <w:jc w:val="both"/>
        <w:rPr>
          <w:rFonts w:ascii="Times New Roman" w:hAnsi="Times New Roman"/>
          <w:color w:val="000000" w:themeColor="text1"/>
          <w:sz w:val="16"/>
          <w:szCs w:val="16"/>
          <w:lang w:eastAsia="ru-RU" w:bidi="ru-RU"/>
        </w:rPr>
      </w:pPr>
    </w:p>
    <w:p w14:paraId="2793961B"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октябре 1933 прошли государственные испытания ТБ-1 с ускорителями. Ведущим лётчиком был испытатель НИИ ВВС К.П. Миндер. На одном из полётов по приглашению Алксниса присутствовал нарком по военным и морским делам К.Е. Ворошилов. Результаты увиденного впечатляли — 6-тонная машина отрывалась от земли через 4 секунды после старта. Время работы ускорителей составляло всего 2 секунды, но создаваемая при этом тяга разгоняла машину с ускорением до 15 м/с. Грохоча на всю округу и изрыгая длинные языки пламени, тяжёлые бомбардировщики взлетали легко, как истребители.</w:t>
      </w:r>
    </w:p>
    <w:p w14:paraId="63F2563C"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Результаты государственных испытаний стартовых ускорителей на ТБ-1. </w:t>
      </w:r>
    </w:p>
    <w:p w14:paraId="62E32020"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Выводы по испытаниям гласили:</w:t>
      </w:r>
    </w:p>
    <w:p w14:paraId="3E544DC8"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 Ускорение взлёта самолёта ТБ-1-2М17 с помощью стартовых ракет полностью решено.</w:t>
      </w:r>
    </w:p>
    <w:p w14:paraId="4338C98C"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 Взлёт самолёта никаких ненормальностей не представляет и для его освоения не требуется длительной тренировки.</w:t>
      </w:r>
    </w:p>
    <w:p w14:paraId="7498DC2B"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3. Действие газов ракет на самолёт требует проверки путём войсковых испытаний с многочисленными взлётами. В период государственных испытаний после взлётов нарушения конструкции самолёта обнаружено не было.</w:t>
      </w:r>
    </w:p>
    <w:p w14:paraId="2743556F"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4. Установка стартовых ракет является чрезмерно тяжёлой, её вес без заряда 409 кг, а с зарядом — 469 кг» </w:t>
      </w:r>
      <w:hyperlink r:id="rId350" w:history="1">
        <w:r w:rsidRPr="0044524F">
          <w:rPr>
            <w:rFonts w:ascii="Times New Roman" w:eastAsia="Times New Roman" w:hAnsi="Times New Roman"/>
            <w:color w:val="000000" w:themeColor="text1"/>
            <w:sz w:val="16"/>
            <w:szCs w:val="16"/>
            <w:lang w:eastAsia="ru-RU"/>
          </w:rPr>
          <w:t>[67]</w:t>
        </w:r>
      </w:hyperlink>
      <w:r w:rsidRPr="0044524F">
        <w:rPr>
          <w:rFonts w:ascii="Times New Roman" w:eastAsia="Times New Roman" w:hAnsi="Times New Roman"/>
          <w:color w:val="000000" w:themeColor="text1"/>
          <w:sz w:val="16"/>
          <w:szCs w:val="16"/>
          <w:lang w:eastAsia="ru-RU"/>
        </w:rPr>
        <w:t xml:space="preserve"> .</w:t>
      </w:r>
    </w:p>
    <w:p w14:paraId="5D3147E2"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Расчёты показывали, что из-за дополнительного сопротивления и веса максимальная скорость машины снизится на 2 %, дальность — на 7 %, потолок — на 550–600 м. Зато тяжёлый самолёт с укорителями был способен взлетать даже с небольшого аэродрома.</w:t>
      </w:r>
    </w:p>
    <w:p w14:paraId="469F8AA8"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Устранить потери в лётных характеристиках можно было с помощью приспособления, сбрасывающего ускорители после взлёта, как это и предлагалось в проекте Дудакова и Константинова. Но прежде решили провести войсковые испытания. Для этого Алкснис поручил заключить с Реактивным научно-исследовательским институтом (РНИИ) в Москве, в который влилась газодинамическая лаборатория, договор на оборудование стартовыми ракетами трёх ТБ-1 и на изготовление 50 стартовых ускорителей. Войсковые испытания наметили провести в 1934 г. во 2-й авиабригаде Балтийского флота, на каждом самолёте предполагалось сделать 50 укороченных взлётов. В том же году должны были начаться опыты по использованию стартовых ракет на 20-тонном четырёхмоторном бомбардировщике ТБ-3 (17489).</w:t>
      </w:r>
    </w:p>
    <w:p w14:paraId="71973BE6" w14:textId="77777777" w:rsidR="002217A6" w:rsidRPr="0044524F" w:rsidRDefault="002217A6" w:rsidP="009654CF">
      <w:pPr>
        <w:spacing w:after="0" w:line="240" w:lineRule="auto"/>
        <w:jc w:val="both"/>
        <w:rPr>
          <w:rFonts w:ascii="Times New Roman" w:eastAsia="Times New Roman" w:hAnsi="Times New Roman"/>
          <w:color w:val="000000" w:themeColor="text1"/>
          <w:sz w:val="16"/>
          <w:szCs w:val="16"/>
          <w:lang w:eastAsia="ru-RU"/>
        </w:rPr>
      </w:pPr>
    </w:p>
    <w:p w14:paraId="37B40011" w14:textId="77777777" w:rsidR="00CA3C9F" w:rsidRPr="0044524F" w:rsidRDefault="00CA3C9F"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В октябре 1933 года начались испытания опытного образца ТМС (ТБ-1 № 750) с автопилотом АВП-2, сопряженным с приборами управления по радио. Сначала опробовали только автопилот, автоматику подстраховывал сидевший в кабине летчик. На этом самолете совершили перелеты Москва – Клин-Москва и Москва – Одоев – Москва– Загорск– Москва. Заданный курс во время перелетов автопилот выдерживал удовлетворительно, но скорость машины сильно колебалась, а несколько раз пилоту пришлось браться за штурвал и вмешиваться в работу автоматики.</w:t>
      </w:r>
    </w:p>
    <w:p w14:paraId="0F736605" w14:textId="77777777" w:rsidR="00CA3C9F" w:rsidRPr="0044524F" w:rsidRDefault="00CA3C9F"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shd w:val="clear" w:color="auto" w:fill="FFFFFF"/>
        </w:rPr>
        <w:t>В 1933 году для телемеханического самолета ТБ-1 была создана система «Дедал». Она позволяла после взлета ТМС в ручном режиме с помощью экипажа и последующего переключения на систему осуществлять управление самолетом-снарядом по радио с самолета сопровождения ТБ-1, экипаж же после этого выбрасывался из ТМС с парашютом. Далее самолет-снаряд управлялся по радио с управляющего ТБ-1, и, когда ТМС приближался на определенное расстояние к цели, с управляющей машины выдавался сигнал на его пикирование (22290).</w:t>
      </w:r>
    </w:p>
    <w:p w14:paraId="591D7920" w14:textId="77777777" w:rsidR="00CA3C9F" w:rsidRPr="0044524F" w:rsidRDefault="00CA3C9F" w:rsidP="009654CF">
      <w:pPr>
        <w:spacing w:after="0" w:line="240" w:lineRule="auto"/>
        <w:jc w:val="both"/>
        <w:rPr>
          <w:rFonts w:ascii="Times New Roman" w:hAnsi="Times New Roman"/>
          <w:color w:val="000000" w:themeColor="text1"/>
          <w:sz w:val="16"/>
          <w:szCs w:val="16"/>
          <w:lang w:eastAsia="ru-RU" w:bidi="ru-RU"/>
        </w:rPr>
      </w:pPr>
    </w:p>
    <w:p w14:paraId="51E1E3D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из Ленинграда ДВ СССР-Н10 вылетел в устье Енисея для выполнения транспортных полетов только Экипаж летающей лодки состоял из командира летчика Рябенко, второго пилота Жихарева, бортмехаников Орлова и Ивашины. Кроме экипажа, на борту находились два пассажира. В районе Матюйсале (у входа в Гыданскую губу) летчики заблудились в тумане, выработали почти все горючее и приводнились вблизи от зимовки Грудицкого. На зимовке бензина не было, имелся только керосин, которым полярники поделились с авиаторами. По воде уже плавали льдины, и тянуть с отлетом было нельзя.</w:t>
      </w:r>
    </w:p>
    <w:p w14:paraId="61EE573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Взлетев на остатках бензина, пилоты переключили питание моторов на керосин. Моторы сильно задымили, но продолжали тянуть самолет. Курс взяли на Гыдо-Ямо, где рассчитывали заправить машину.</w:t>
      </w:r>
    </w:p>
    <w:p w14:paraId="0F93D37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Налетевшая пурга снова сбила пилотов с курса. Когда, минут через 50 видимость улучшилась, под гидропланом расстилался сплошной лед. Почти одновременно моторы начали "чихать" - керосин был на исходе. Заметив небольшую полынью, Рябенко немедленно пошел на посадку. Сели в Гыдоямском заливе, однако точное место посадки было не известно.</w:t>
      </w:r>
    </w:p>
    <w:p w14:paraId="3524157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Две недели экипаж и пассажиры провели на самолете. Погода не улучшалась, стоял густой туман. На 14-й день Жихареву, Ивашине и одному из пассажиров удалось на клиппер- боте добраться до края полыньи. Лед оказался слабым и с трудом выдерживал стоящего человека. Несколько километров (!) Ивашина с товарищами ползком тащил лодку с припасами до твердого льда. Здесь авиаторы разделились: Ивашина отправился обратно на гидроплан; двое других пошли за помощью.</w:t>
      </w:r>
    </w:p>
    <w:p w14:paraId="4458F1B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 временем площадь открытой воды все время уменьшалась, самолет обледеневал, осадка его увеличивалась, кончалось продовольствие. Законсервировав подручными средствами оборудование, экипаж высадился на берег.</w:t>
      </w:r>
    </w:p>
    <w:p w14:paraId="233CDD4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Вскоре вернулся 2-й пилот Жихарев с известием, что им удалось найти рыбаков, с помощью которых добрались до Гыдо-Ямо. Здесь был бензин, и на нартах его привезли к месту посадки. Погрузив два бидона на клиппер-бот, Рябенко и Ивашина отправились на самолет. При причаливании острой сосулькой, свисавшей с борта, пробило резиновую лодку. Залив в бак первый бидон, Ивашина неожиданно обнаружил течь из поврежденного бензопровода - первый бидон потратили впустую. Заделав трещину и, взявшись за второй бидон, бортмеханик с удивлением обнаружил в нем вместо бензина масло.</w:t>
      </w:r>
    </w:p>
    <w:p w14:paraId="7100EB2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Переночевав, Рябенко и Ивашина заклеили пробоину на клиппер-боте и вернулись на берег. Обратный путь занял почти весь день.</w:t>
      </w:r>
    </w:p>
    <w:p w14:paraId="4B4AA15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следующий день с четырьмя бидонами авиаторы вернулись к машине. Залили горючее и попробовали запустить моторы, но не удачно. Бензин оказался по качеству хуже керосина, не помог даже прогрев моторов кипятком.</w:t>
      </w:r>
    </w:p>
    <w:p w14:paraId="091B926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Убедившись, что силами экипажа самолет освободить из ледового плена невозможно, отправились за помощью. В начале ноября удалось собрать бригаду из 16 человек, достали инструмент и материалы. С немалыми трудностями удалось вырубить СССР-НЮ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01CBEAB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06F8F11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Решили подвести к лодке воду протекавшей неподалеку речки. Две недели ушло на рытье канала. Еще трое суток Жихарев и Ивашина "по бурлацки"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Гыдо-Ямо на моторах. 23 августа экипаж Махоткина доставил сюда дополнительный бензин, после чего самолет перелетел для проведения ремонта в Красноярск (11970).</w:t>
      </w:r>
    </w:p>
    <w:p w14:paraId="1744A039"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3EC3780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на маневрах Балтийского флота испытывались мины МАВ-1 и опробовали идею "динамического бомбометания" перед кораблем, но на практике - оказалось, что спуск на парашюте был таким медленным, что даже линкор успевал отвернуть (561,14).</w:t>
      </w:r>
    </w:p>
    <w:p w14:paraId="6BE05A27"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18EF75C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Рябенко на Дорнье Валь израсходовав бензин сел на N 10 в Гыдаямском заливе. Машина вмерзла в лед, ее вырубили, вытащили на берег, пролежала до августа 1934, а потом завелась и вернулась на базу. Потом в 1937 машина обгорела и ее отремонтировали в Красноярске (2543,14).</w:t>
      </w:r>
    </w:p>
    <w:p w14:paraId="3585B3C0"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654D9488" w14:textId="77777777" w:rsidR="00F46121" w:rsidRPr="0044524F" w:rsidRDefault="00F461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для вывоза людей с зазимовавших пароходов на Чукотку начали перебра</w:t>
      </w:r>
      <w:r w:rsidRPr="0044524F">
        <w:rPr>
          <w:rFonts w:ascii="Times New Roman" w:hAnsi="Times New Roman"/>
          <w:color w:val="000000" w:themeColor="text1"/>
          <w:sz w:val="16"/>
          <w:szCs w:val="16"/>
        </w:rPr>
        <w:softHyphen/>
        <w:t xml:space="preserve">сывать небольшую авиагруппу. По рекомендации лётчика Куканова, впоследствии на У-2 вывезшего часть людей с парохода «Север», в нее попал А.В. Ляпидевский. На свое письмо он получил радиограмму от начальника летного </w:t>
      </w:r>
      <w:r w:rsidRPr="0044524F">
        <w:rPr>
          <w:rFonts w:ascii="Times New Roman" w:hAnsi="Times New Roman"/>
          <w:color w:val="000000" w:themeColor="text1"/>
          <w:sz w:val="16"/>
          <w:szCs w:val="16"/>
        </w:rPr>
        <w:lastRenderedPageBreak/>
        <w:t>сектора Северного мор</w:t>
      </w:r>
      <w:r w:rsidRPr="0044524F">
        <w:rPr>
          <w:rFonts w:ascii="Times New Roman" w:hAnsi="Times New Roman"/>
          <w:color w:val="000000" w:themeColor="text1"/>
          <w:sz w:val="16"/>
          <w:szCs w:val="16"/>
        </w:rPr>
        <w:softHyphen/>
        <w:t>ского пути М.И. Шевелёва: «Ходатайствую перед Уншлихтом, свое соглавие даю». В ок</w:t>
      </w:r>
      <w:r w:rsidRPr="0044524F">
        <w:rPr>
          <w:rFonts w:ascii="Times New Roman" w:hAnsi="Times New Roman"/>
          <w:color w:val="000000" w:themeColor="text1"/>
          <w:sz w:val="16"/>
          <w:szCs w:val="16"/>
        </w:rPr>
        <w:softHyphen/>
        <w:t>тябре 1933 г. Ляпидевский получил от Шевелёва другую радиограмму: «Уншлихт молнирует приказ выехать во Владивосток в распоряжение особого представителя на Дальнем Востоке Пожидаева для выполнения правительственного задания». Речь шла о вывозе людей с трёх пароходв, зазимовавших во льдах (15822).</w:t>
      </w:r>
    </w:p>
    <w:p w14:paraId="6C47FFB1"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033D1277" w14:textId="77777777" w:rsidR="00D51966" w:rsidRPr="00142305" w:rsidRDefault="00D51966" w:rsidP="00D5196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октябре 1933 г. настала очередь других зазимовавших судов. На «ЮГ-1» «Н-4» Ф.К. Куканов сумел выполнить 13 рей</w:t>
      </w:r>
      <w:r w:rsidRPr="00142305">
        <w:rPr>
          <w:rStyle w:val="aff"/>
          <w:rFonts w:ascii="Times New Roman" w:hAnsi="Times New Roman" w:cs="Times New Roman"/>
          <w:color w:val="0070C0"/>
          <w:spacing w:val="0"/>
          <w:sz w:val="16"/>
          <w:szCs w:val="16"/>
        </w:rPr>
        <w:softHyphen/>
        <w:t>сов к «Хабаровску», «Анадырю» и «Северу» и в результате вывез на материк - на мыс Северный и в Уэлен 93 челове</w:t>
      </w:r>
      <w:r w:rsidRPr="00142305">
        <w:rPr>
          <w:rStyle w:val="aff"/>
          <w:rFonts w:ascii="Times New Roman" w:hAnsi="Times New Roman" w:cs="Times New Roman"/>
          <w:color w:val="0070C0"/>
          <w:spacing w:val="0"/>
          <w:sz w:val="16"/>
          <w:szCs w:val="16"/>
        </w:rPr>
        <w:softHyphen/>
        <w:t>ка (из них 62 - с «Хабаровска»), Большего, к сожалению, мужественный лётчик сделать не смог. 22 ноября при по</w:t>
      </w:r>
      <w:r w:rsidRPr="00142305">
        <w:rPr>
          <w:rStyle w:val="aff"/>
          <w:rFonts w:ascii="Times New Roman" w:hAnsi="Times New Roman" w:cs="Times New Roman"/>
          <w:color w:val="0070C0"/>
          <w:spacing w:val="0"/>
          <w:sz w:val="16"/>
          <w:szCs w:val="16"/>
        </w:rPr>
        <w:softHyphen/>
        <w:t>пытке вылететь на спасение «челюскинцев» Ф.К. Куканов попал в снежный заряд и разбил свой самолёт, снеся шасси. Обидная авария не позволила пилоту стать главным героем последующих поистине драматических событий с Челюскиным. 15 июня 1934 г. без излишней шумихи постановлением ЦИК «за выдающееся участие в организации и проведении спасения челюскинцев и сохранении научных материалов экспедиции» Ф.К. Куканов был награжден орденом Красной Звезды, как и все участники челюскинской эпопеи (25653).</w:t>
      </w:r>
    </w:p>
    <w:p w14:paraId="58FA21B1" w14:textId="77777777" w:rsidR="00D51966" w:rsidRPr="00142305" w:rsidRDefault="00D51966" w:rsidP="00D51966">
      <w:pPr>
        <w:spacing w:after="0" w:line="240" w:lineRule="auto"/>
        <w:jc w:val="both"/>
        <w:rPr>
          <w:rFonts w:ascii="Times New Roman" w:hAnsi="Times New Roman"/>
          <w:color w:val="0070C0"/>
          <w:sz w:val="16"/>
          <w:szCs w:val="16"/>
        </w:rPr>
      </w:pPr>
    </w:p>
    <w:p w14:paraId="48CB1C54" w14:textId="77777777" w:rsidR="00CA3C9F" w:rsidRPr="0044524F" w:rsidRDefault="00CA3C9F"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В октябре 1933 года, пытаясь заручиться поддержкой военного ведомства, Уншлихт предлагал своему бывшему начальнику – Ворошилову совместно внести проект соответствующей программы (новый шеф советских дирижаблестроителей считал нужным резко активизировать работу: выделить в ближайшие три года 50 млн рублей дополнительных капиталовложений на постройку большой базы, привлечь мощную интехпомощь и обеспечить выпуск не одних лишь опытных образцов, а серий по три - пять аппаратов в каждой) на рассмотрение высшего руководства. Однако Ворошилов, судя по всему, от выступлений воздержался, что лишний раз косвенно подтверждает: считать его горячим сторонником военного применения дирижаблей нет оснований (23192).</w:t>
      </w:r>
    </w:p>
    <w:p w14:paraId="330AA067" w14:textId="77777777" w:rsidR="00CA3C9F" w:rsidRPr="0044524F" w:rsidRDefault="00CA3C9F" w:rsidP="009654CF">
      <w:pPr>
        <w:spacing w:after="0" w:line="240" w:lineRule="auto"/>
        <w:jc w:val="both"/>
        <w:rPr>
          <w:rFonts w:ascii="Times New Roman" w:hAnsi="Times New Roman"/>
          <w:color w:val="000000" w:themeColor="text1"/>
          <w:sz w:val="16"/>
          <w:szCs w:val="16"/>
          <w:lang w:eastAsia="ru-RU" w:bidi="ru-RU"/>
        </w:rPr>
      </w:pPr>
    </w:p>
    <w:p w14:paraId="212924C9" w14:textId="77777777" w:rsidR="001E1317"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274F3AF" w14:textId="77777777" w:rsidR="001E1317" w:rsidRPr="0044524F" w:rsidRDefault="001E1317" w:rsidP="009654CF">
      <w:pPr>
        <w:spacing w:after="0" w:line="240" w:lineRule="auto"/>
        <w:jc w:val="both"/>
        <w:rPr>
          <w:rFonts w:ascii="Times New Roman" w:hAnsi="Times New Roman"/>
          <w:iCs/>
          <w:color w:val="000000" w:themeColor="text1"/>
          <w:sz w:val="16"/>
          <w:szCs w:val="16"/>
        </w:rPr>
      </w:pPr>
    </w:p>
    <w:p w14:paraId="1BB5510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года 37-мм РК БМ (большой мощности) Курчевского прошло войсковые испытания в Московской Пролетарской стрелковой дивизии. Неудобство при стрельбе и транспортировке РК, малая скорострельность (5-6 выстр/мин. вместо требуемых 10-12), частые отказы и, наконец, неудовлетворительная бронепробиваемость привели к тому, что уже в 1935-1936 гг. РК БМ были сняты с вооружения Красной армии (3861).</w:t>
      </w:r>
    </w:p>
    <w:p w14:paraId="15F31659"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9AD17C5" w14:textId="77777777" w:rsidR="00F46121" w:rsidRPr="0044524F" w:rsidRDefault="00F461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РК БМ прошло войсковые испытания в Московской Пролетарской стрелковой дивизии. 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 В 1934 г. ленинградский завод № 7 (ныне ПО «Арсенал», бывший завод им. Фрунзе) получил заказ на 500 РК, а произвел только 70. В 1935 г. заводу № 7 заказали 250 РК, а сдано 17. Хроническое невыполнение заказов было связано с огромным процентом брака и постоянными изменениями, вносимыми Курчевским в конструкцию орудий (15117).</w:t>
      </w:r>
    </w:p>
    <w:p w14:paraId="7075A652"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6C7A9C1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РК БМ прошло войсковые испытания в московской Пролетарской стрелковой дивизии.</w:t>
      </w:r>
    </w:p>
    <w:p w14:paraId="36C3D5F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Курчевским были созданы и запущены в производство два 37-мм противотанковых орудия: 37-мм РК малой мощности (ММ) и 37-мм РК большой мощности (БМ). Основное их различие было в весе — 28 кг и 32 кг соответственно, длине ствола — 1220 мм и 1250 мм и лучшей баллистике у 37-мм РК БМ. Устройство же обеих систем одинаково.</w:t>
      </w:r>
    </w:p>
    <w:p w14:paraId="11F4E91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Оба орудия в штатном положении стреляли с треноги. Причем стрелок сидел рядом на земле. В принципе можно стрелять и с плеча, но это было неудобно. Лежа стрелять было нельзя. Система неразборная. На поле боя переносилась вручную.</w:t>
      </w:r>
    </w:p>
    <w:p w14:paraId="7B9F925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производилась унитарными патронами с бронебойными снарядами, оснащенными взрывателями МД-4. Гильза была из сгорающей ткани, весом 20,4 г. В основании патрона находилось деревянное донышко весом 8 г. При выстреле донышко раскалывалось, и осколки вылетали через сопло. Пять патронов располагались в надствольном цилиндрическом магазине, еще один — в стволе. Заряжание производилось с дула. Патрон при помощи хитрой механической системы, приводимой в действие рукой стрелка, передвигался вперед по магазину, потом падал в лоток перед стволом и затем механическим досылателем досылался в канал ствола.</w:t>
      </w:r>
    </w:p>
    <w:p w14:paraId="33BEE6A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Такая система заряжания имела ряд принципиальных неустранимых недостатков. Например, полного сгорания гильзы достигнуть не удалось, что приводило в лучшем случае к заклиниванию досылаемого снаряда, а в худшем — к разрыву ствола. Матерчатая гильза рвалась и деформировалась, досылатель ломался и т. д.</w:t>
      </w:r>
    </w:p>
    <w:p w14:paraId="3DA3920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1932–1933 гг. было изготовлено около тридцати РК ММ, которые использовались в войсках для учебных целей (12091).</w:t>
      </w:r>
    </w:p>
    <w:p w14:paraId="4725C59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w:t>
      </w:r>
    </w:p>
    <w:p w14:paraId="0F1A5B1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 г. ленинградский завод № 7 (ныне ПО «Арсенал», бывший завод им. Фрунзе) получил заказ на 500 РК, а произвел только 70. В 1935 г. заводу № 7 заказали 250 РК, а сдано 17.</w:t>
      </w:r>
    </w:p>
    <w:p w14:paraId="0126744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Хроническое невыполнение заказов было связано с огромным процентом брака и постоянными изменениями, вносимыми Курчевским в конструкцию орудий.</w:t>
      </w:r>
    </w:p>
    <w:p w14:paraId="3B4699B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Противотанковое орудие РК ММ при попадании снаряда под углом 90° на дистанции 50 м пробивало броню толщиной 20 мм, а на дистанции 300 м — толщиной 16 мм. Для РК БМ толщина пробиваемой брони составляла 25 мм и 20 мм соответственно. Причем на дистанции 200–300 м снаряд из РК ММ не пробивал броню насквозь, а выбивал пробку, застревая в броне.</w:t>
      </w:r>
    </w:p>
    <w:p w14:paraId="1E849D0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Неудобство при стрельбе и транспортировке РК, малая скорострельность (5–6 выстрелов в минуту вместо требуемых 10–12), частые отказы и, наконец, неудовлетворительная бронепробиваемость привели к тому, что уже в 1935–1936 гг. РК БМ были сняты с вооружения Красной Армии (12091).</w:t>
      </w:r>
    </w:p>
    <w:p w14:paraId="6088479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1935 г. в КБ завода № 8 была произведена первая модернизация 37-мм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w:t>
      </w:r>
    </w:p>
    <w:p w14:paraId="673055D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w:t>
      </w:r>
    </w:p>
    <w:p w14:paraId="4459B9A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Забавно, что щит был введен по инерции, так как наводчик стоит на коленях, а другой номер может лежать, но перпендикулярно орудию, то есть от щита проку мало.</w:t>
      </w:r>
    </w:p>
    <w:p w14:paraId="4133028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Данные 37-мм РК на пулеметном станке </w:t>
      </w:r>
    </w:p>
    <w:p w14:paraId="5CF4888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 мм — 37</w:t>
      </w:r>
    </w:p>
    <w:p w14:paraId="2C265F3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ствола без лотка и воронки, мм — 1250</w:t>
      </w:r>
    </w:p>
    <w:p w14:paraId="571F6EFC"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лотка, мм — 320</w:t>
      </w:r>
    </w:p>
    <w:p w14:paraId="6BF1A79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воронки, мм — 400</w:t>
      </w:r>
    </w:p>
    <w:p w14:paraId="30B82BB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ВН, град — ?25°40?; +18°40?</w:t>
      </w:r>
    </w:p>
    <w:p w14:paraId="24720B1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ГН, град — 69</w:t>
      </w:r>
    </w:p>
    <w:p w14:paraId="46200B4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системы, мм — 2030</w:t>
      </w:r>
    </w:p>
    <w:p w14:paraId="565D9D2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системы, мм — 615</w:t>
      </w:r>
    </w:p>
    <w:p w14:paraId="6062AC6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системы при угле 0°, мм — 732</w:t>
      </w:r>
    </w:p>
    <w:p w14:paraId="447C869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хода, мм — 504</w:t>
      </w:r>
    </w:p>
    <w:p w14:paraId="784532C3"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линии огня, мм — 450</w:t>
      </w:r>
    </w:p>
    <w:p w14:paraId="11B95B1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Диаметр колес, мм — 305</w:t>
      </w:r>
    </w:p>
    <w:p w14:paraId="0EE8BC7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качающейся части, кг — 31,5</w:t>
      </w:r>
    </w:p>
    <w:p w14:paraId="119276F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системы в боевом положении, кг — 78,2</w:t>
      </w:r>
    </w:p>
    <w:p w14:paraId="3AEAF73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системы в походном положении с чехлом, кг — 80,0</w:t>
      </w:r>
    </w:p>
    <w:p w14:paraId="631ABAC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Темп стрельбы, выстр/мин: без исправления наводки — 18–26</w:t>
      </w:r>
    </w:p>
    <w:p w14:paraId="137BDD7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исправлением наводки — 11–15 (12091).</w:t>
      </w:r>
    </w:p>
    <w:p w14:paraId="11EC56DB"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9E039D3"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октябре 1933 г. противотанковое ружье РК БМ прошло войсковые испытания в Московской Пролетарской стрелковой дивизии.</w:t>
      </w:r>
    </w:p>
    <w:p w14:paraId="0A173836"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Было два вида 37-мм противотанковых орудия: 37-мм РК малой мощности (ММ) и 37-мм РК большой мощности (БМ). Основное их различие было в весе — 28 кг и 32 кг соответственно, длине ствола — 1220 мм и 1250 мм, и лучшей баллистике у 37-мм РК БМ. Устройство же обеих систем одинаково.</w:t>
      </w:r>
    </w:p>
    <w:p w14:paraId="37D419F4"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Оба орудия в штатном положении стреляли с треноги. Причем стрелок сидел рядом на земле. В принципе, можно стрелять и с плеча, но это было неудобно. Лежа стрелять было нельзя. Система неразборная. На поле боя переносилась вручную.</w:t>
      </w:r>
    </w:p>
    <w:p w14:paraId="5EF4712B"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Стрельба производилась унитарными патронами с бронебойными снарядами, оснащенными взрывателями МД-4. Гильза была из сгорающей ткани, весом 20,4 г. В основании патрона находилось деревянное донышко весом 8 г. При выстреле донышко раскалывалось, и осколки вылетали через сопло. Пять патронов располагались </w:t>
      </w:r>
      <w:r w:rsidRPr="00142305">
        <w:rPr>
          <w:rStyle w:val="aff"/>
          <w:rFonts w:ascii="Times New Roman" w:hAnsi="Times New Roman" w:cs="Times New Roman"/>
          <w:color w:val="0070C0"/>
          <w:spacing w:val="0"/>
          <w:sz w:val="16"/>
          <w:szCs w:val="16"/>
        </w:rPr>
        <w:lastRenderedPageBreak/>
        <w:t>в надствольном цилиндрическом магазине, еще один — в стволе. Заряжание производилось с дула. Патрон при помощи хитрой механической системы, приводимой в действие рукой стрелка, передвигался вперед по магазину, потом падал в лоток перед стволом и затем механическим досылателем досылался в канал ствола.</w:t>
      </w:r>
    </w:p>
    <w:p w14:paraId="62A65C0E" w14:textId="77777777" w:rsidR="00BD185B" w:rsidRPr="00142305" w:rsidRDefault="00BD185B" w:rsidP="00BD185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Такая система заряжания имела ряд принципиальных неустранимых недостатков. Например, полного сгорания гильзы достигнуть не удалось, что приводило в лучшем случае к заклиниванию досылаемого снаряда, а в худшем — к разрыву ствола. Матерчатая гильза рвалась и деформировалась, досылатель ломался и т. д.</w:t>
      </w:r>
    </w:p>
    <w:p w14:paraId="23267255" w14:textId="77777777" w:rsidR="00BD185B" w:rsidRPr="00142305" w:rsidRDefault="00BD185B" w:rsidP="00BD185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Противотанковое орудие РК ММ при попадании снаряда под углом 90° на дистанции 50 м пробивало броню толщиной 20 мм, а на дистанции 300 м — толщиной 16 мм. Для РК БМ толщина пробиваемой брони составляла 25 мм и 20 мм соответственно. Причем на дистанции 200-300 м снаряд из РК ММ не пробивал броню насквозь, а выбивал пробку, застревая в броне.</w:t>
      </w:r>
    </w:p>
    <w:p w14:paraId="14FCFA47"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1935 г. в КБ завода № 8 была произведена первая модернизация 37</w:t>
      </w:r>
      <w:r w:rsidRPr="00142305">
        <w:rPr>
          <w:rStyle w:val="aff"/>
          <w:rFonts w:ascii="Times New Roman" w:hAnsi="Times New Roman" w:cs="Times New Roman"/>
          <w:color w:val="0070C0"/>
          <w:spacing w:val="0"/>
          <w:sz w:val="16"/>
          <w:szCs w:val="16"/>
        </w:rPr>
        <w:softHyphen/>
        <w:t>мм РК БМ. Само ружье претерпело лишь незначительные изменения, но зато тренога была заменена на колесный лафет Соколова от 7,62-мм пулемета Максима. Причем ствол РК крепился так же, как и пулемет. Патроны и система заряжания остались без изменений.</w:t>
      </w:r>
    </w:p>
    <w:p w14:paraId="481A2FA3"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полевых условиях система разбиралась на ствол с магазином, станок и щит, и могла переноситься вручную. Другой вопрос, что ствол носить было неудобно. Один или два номера расчета могли перевозить систему на колесах.</w:t>
      </w:r>
    </w:p>
    <w:p w14:paraId="2FA262BF"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Щит был введен по инерции, так как наводчик стоит на коленях, а другой номер может лежать, но перпендикулярно орудию, то есть от щита проку мало.</w:t>
      </w:r>
    </w:p>
    <w:p w14:paraId="03B30DC3"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Данные 37-мм РК на пулеметном станке</w:t>
      </w:r>
    </w:p>
    <w:p w14:paraId="07239330"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Калибр, мм 37</w:t>
      </w:r>
    </w:p>
    <w:p w14:paraId="7AD24564"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Длина ствола без лотка и воронки, мм 1250</w:t>
      </w:r>
    </w:p>
    <w:p w14:paraId="6FBD0CEE"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Длина лотка, мм 320</w:t>
      </w:r>
    </w:p>
    <w:p w14:paraId="42A5ED30"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Длина воронки, мм 400</w:t>
      </w:r>
    </w:p>
    <w:p w14:paraId="72892579"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Угол ВН, град. -25°40′; +18°40′</w:t>
      </w:r>
    </w:p>
    <w:p w14:paraId="126F8766"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Угол ГН, град. 69°</w:t>
      </w:r>
    </w:p>
    <w:p w14:paraId="5BAA1205"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Длина системы, мм 2030</w:t>
      </w:r>
    </w:p>
    <w:p w14:paraId="26822BF9"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Ширина системы, мм 615</w:t>
      </w:r>
    </w:p>
    <w:p w14:paraId="6ADDC758"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Высота системы при угле 0°, мм 732</w:t>
      </w:r>
    </w:p>
    <w:p w14:paraId="59357DA4"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Ширина хода, мм 504</w:t>
      </w:r>
    </w:p>
    <w:p w14:paraId="7421F463"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Высота линии огня, мм 450</w:t>
      </w:r>
    </w:p>
    <w:p w14:paraId="55A964D0"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Диаметр колес, мм 305</w:t>
      </w:r>
    </w:p>
    <w:p w14:paraId="5E8D5A4D"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качающейся части, кг 31,5</w:t>
      </w:r>
    </w:p>
    <w:p w14:paraId="6FCE1489"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системы в боевом положении, кг 78,2</w:t>
      </w:r>
    </w:p>
    <w:p w14:paraId="4FF6C06F"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Вес системы в походном положении с чехлом, кг 80,0</w:t>
      </w:r>
    </w:p>
    <w:p w14:paraId="4841351F"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Темп стрельбы, выстр/мин.: без исправления наводки 18—26</w:t>
      </w:r>
    </w:p>
    <w:p w14:paraId="089FB517"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исправлением наводки 11—15</w:t>
      </w:r>
    </w:p>
    <w:p w14:paraId="71F2EA20" w14:textId="77777777" w:rsidR="00BD185B" w:rsidRPr="00142305" w:rsidRDefault="00BD185B" w:rsidP="00BD185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Неудобство при стрельбе и транспортировке РК, малая скорострельность (5–6 выстрелов в минуту вместо требуемых 10–12), частые отказы и, наконец, неудовлетворительная бронепробиваемость привели к тому, что уже в 1935–1936 гг. РК БМ были сняты с вооружения Красной армии.</w:t>
      </w:r>
    </w:p>
    <w:p w14:paraId="0F0CC55D"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1932–1933 гг. было изготовлено около тридцати РК ММ, которые использовались в войсках для учебных целей.</w:t>
      </w:r>
    </w:p>
    <w:p w14:paraId="77FC3E73"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Валовое производство РК было начато в 1932 г. на заводе № 8, где оно получило заводской индекс 14К. В 1932 г. заводу № 8 заказали 325 РК, а завод сдал 44. В 1933 г. заводу № 8 заказали 360 РК, а произведено 48.</w:t>
      </w:r>
    </w:p>
    <w:p w14:paraId="22F4AE6D"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1934 г. ленинградский завод № 7 (ныне ПО «Арсенал», бывший завод им. Фрунзе) получил заказ на 500 РК, а произвел только 70. В 1935 г. заводу № 7 заказали 250 РК, а сдано 17.</w:t>
      </w:r>
    </w:p>
    <w:p w14:paraId="1FD44DC3"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Хроническое невыполнение заказов было связано с огромным процентом брака и постоянными изменениями, вносимыми Курчевским в конструкцию орудий (25213).</w:t>
      </w:r>
    </w:p>
    <w:p w14:paraId="2EB7F43A" w14:textId="77777777" w:rsidR="00BD185B" w:rsidRPr="00142305" w:rsidRDefault="00BD185B" w:rsidP="00BD185B">
      <w:pPr>
        <w:spacing w:after="0" w:line="240" w:lineRule="auto"/>
        <w:jc w:val="both"/>
        <w:rPr>
          <w:rFonts w:ascii="Times New Roman" w:hAnsi="Times New Roman"/>
          <w:color w:val="0070C0"/>
          <w:sz w:val="16"/>
          <w:szCs w:val="16"/>
        </w:rPr>
      </w:pPr>
    </w:p>
    <w:p w14:paraId="32CCD89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9 ЛМК, изготовленных заводом № 8, проходили войсковые испытания в московской Пролетарской стрелковой дивизии. Дивизия проводила учения с ЛМК (по две мортиры на роту). Результаты испытаний: система неустойчива; скорострельность — 8 выстр/мин вместо предполагаемых 10–12; при дальности 1400 м рассеивание 150 м.</w:t>
      </w:r>
    </w:p>
    <w:p w14:paraId="779EDCB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вооружение ЛМК принята не была и больше не заказывалась.</w:t>
      </w:r>
    </w:p>
    <w:p w14:paraId="2485747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1931 г. Курчевским была спроектирована 76,2-мм легкая мортира (ЛМК). Мортира предназначалась для вооружения стрелковой роты. Ствол мортиры ребристый. Заряжание с дула. Затвора не было. Подъемный и поворотный механизмы винтовые. Колеса сплошные дисковые.</w:t>
      </w:r>
    </w:p>
    <w:p w14:paraId="2ED14D4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Данные легкой мортиры Курчевского </w:t>
      </w:r>
    </w:p>
    <w:p w14:paraId="2E8D523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 мм — 76,2</w:t>
      </w:r>
    </w:p>
    <w:p w14:paraId="7E96CF4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ствола без воронки, мм/клб — 605/8</w:t>
      </w:r>
    </w:p>
    <w:p w14:paraId="7A9AE0C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воронки (сопла), мм — 550</w:t>
      </w:r>
    </w:p>
    <w:p w14:paraId="22AF558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ВН, град — ?10°; +60°</w:t>
      </w:r>
    </w:p>
    <w:p w14:paraId="3B708D9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ГН, град — 4°30?</w:t>
      </w:r>
    </w:p>
    <w:p w14:paraId="67F464C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системы в боевом и походном (на руках) положении, мм — 750</w:t>
      </w:r>
    </w:p>
    <w:p w14:paraId="25CBAD8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станин (длина станка от оси до края), мм — 900</w:t>
      </w:r>
    </w:p>
    <w:p w14:paraId="11CC7EC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хода, мм — 510</w:t>
      </w:r>
    </w:p>
    <w:p w14:paraId="6D27E89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Диаметр колеса, мм — 300</w:t>
      </w:r>
    </w:p>
    <w:p w14:paraId="2F11C17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системы в сложенном положении, мм — 490</w:t>
      </w:r>
    </w:p>
    <w:p w14:paraId="5737D47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ствола с воронкой, кг — 21,2</w:t>
      </w:r>
    </w:p>
    <w:p w14:paraId="13DE91B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воронки (сопло), кг — 4,20</w:t>
      </w:r>
    </w:p>
    <w:p w14:paraId="5C8964C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прицела, кг — 1,5</w:t>
      </w:r>
    </w:p>
    <w:p w14:paraId="1DEB5EA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станка, кг — 14,15</w:t>
      </w:r>
    </w:p>
    <w:p w14:paraId="699B60B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системы, кг — 38</w:t>
      </w:r>
    </w:p>
    <w:p w14:paraId="08DA5F32"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Скорострельность, выстр/мин: расчетная — 10–12</w:t>
      </w:r>
    </w:p>
    <w:p w14:paraId="3C82A74E"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практическая — 8</w:t>
      </w:r>
    </w:p>
    <w:p w14:paraId="7B59204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перехода из боевого положения в походное, с — 20–30</w:t>
      </w:r>
    </w:p>
    <w:p w14:paraId="2537D51A"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Собственно, ЛМК и мортирой назвать нельзя. Видимо, Курчевский не знал, что мортира — это орудие, основной задачей которого является стрельба под углом свыше 45°. А ЛМК только по тактико-техническим характеристикам, поданным Курчевским в Артуправление РККА, могла вести стрельбу под углом 60°. Конструктивно ствол опытного образца мог быть опущен до 57°, но действие газовой струи физически не позволяло стрелять под углом больше 43°. Да и тогда действие раскаленных газов было опасно для расчета.</w:t>
      </w:r>
    </w:p>
    <w:p w14:paraId="69F71EC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стрельбе из мортиры использовались опытные легкие снаряды весом от 3,2 до 4 кг. Выстрел унитарный. Заряд 320 г пороха ВЛ помещался в сгорающую гильзу из нитроткани с деревянным поддоном. Длина гильзы 112 мм.</w:t>
      </w:r>
    </w:p>
    <w:p w14:paraId="4864E4C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Максимальное давление в канале составляло 1800 кг/см2.</w:t>
      </w:r>
    </w:p>
    <w:p w14:paraId="61A9856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образец 76-мм легкой мортиры Курчевского был изготовлен на заводе № 8. После заводских испытаний в объеме 100 выстрелов его отправили на полигонные испытания. На НИАП мортира прибыла 12 августа 1931 г. (12091).</w:t>
      </w:r>
    </w:p>
    <w:p w14:paraId="3F6EA0F9"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D0E8126"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октябре 1933 г. в Московской Пролетарской стрелковой дивизии в рамках войсковых испытаний проводили учения с ЛМК завода № 8 (по две мортиры на роту). Результаты испытаний: система неустойчива; скорострельность 8 выстр./ мин. вместо предполагаемых 10-12; при дальности 1400 м рассеивание 150 м. На вооружение ЛМК принята не была и больше не заказывалась (25213).</w:t>
      </w:r>
    </w:p>
    <w:p w14:paraId="207D6739" w14:textId="77777777" w:rsidR="00BD185B" w:rsidRPr="00142305" w:rsidRDefault="00BD185B" w:rsidP="00BD185B">
      <w:pPr>
        <w:spacing w:after="0" w:line="240" w:lineRule="auto"/>
        <w:jc w:val="both"/>
        <w:rPr>
          <w:rFonts w:ascii="Times New Roman" w:hAnsi="Times New Roman"/>
          <w:color w:val="0070C0"/>
          <w:sz w:val="16"/>
          <w:szCs w:val="16"/>
        </w:rPr>
      </w:pPr>
    </w:p>
    <w:p w14:paraId="5DF747ED"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года в ГАУ рас</w:t>
      </w:r>
      <w:r w:rsidRPr="00142305">
        <w:rPr>
          <w:rFonts w:ascii="Times New Roman" w:hAnsi="Times New Roman"/>
          <w:color w:val="0070C0"/>
          <w:sz w:val="16"/>
          <w:szCs w:val="16"/>
        </w:rPr>
        <w:softHyphen/>
        <w:t>сматривался проект комбинированной самоходной системы «Большой трип</w:t>
      </w:r>
      <w:r w:rsidRPr="00142305">
        <w:rPr>
          <w:rFonts w:ascii="Times New Roman" w:hAnsi="Times New Roman"/>
          <w:color w:val="0070C0"/>
          <w:sz w:val="16"/>
          <w:szCs w:val="16"/>
        </w:rPr>
        <w:softHyphen/>
        <w:t>лекс», представлявшей собой самоходный лафет для 254/220-мм пушки, 305-мм гау</w:t>
      </w:r>
      <w:r w:rsidRPr="00142305">
        <w:rPr>
          <w:rFonts w:ascii="Times New Roman" w:hAnsi="Times New Roman"/>
          <w:color w:val="0070C0"/>
          <w:sz w:val="16"/>
          <w:szCs w:val="16"/>
        </w:rPr>
        <w:softHyphen/>
        <w:t>бицы и 400-мм мортиры. Проект являлся результатом совместных усилий завода «Большевик» и Опытного завода Спецма</w:t>
      </w:r>
      <w:r w:rsidRPr="00142305">
        <w:rPr>
          <w:rFonts w:ascii="Times New Roman" w:hAnsi="Times New Roman"/>
          <w:color w:val="0070C0"/>
          <w:sz w:val="16"/>
          <w:szCs w:val="16"/>
        </w:rPr>
        <w:softHyphen/>
        <w:t>штреста.</w:t>
      </w:r>
    </w:p>
    <w:p w14:paraId="728F3B5E"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заданию, САУ должна была иметь массу 56 — 60 т, но в ходе проекти</w:t>
      </w:r>
      <w:r w:rsidRPr="00142305">
        <w:rPr>
          <w:rFonts w:ascii="Times New Roman" w:hAnsi="Times New Roman"/>
          <w:color w:val="0070C0"/>
          <w:sz w:val="16"/>
          <w:szCs w:val="16"/>
        </w:rPr>
        <w:softHyphen/>
        <w:t>рования эта величина достигла 66 — 76 т. На машинах предполагалось установить 12-цилиндровый карбюраторный двига</w:t>
      </w:r>
      <w:r w:rsidRPr="00142305">
        <w:rPr>
          <w:rFonts w:ascii="Times New Roman" w:hAnsi="Times New Roman"/>
          <w:color w:val="0070C0"/>
          <w:sz w:val="16"/>
          <w:szCs w:val="16"/>
        </w:rPr>
        <w:softHyphen/>
        <w:t>тель М-17 мощностью 500 л.с., агрегаты трансмиссии (главный фрикцион и ко</w:t>
      </w:r>
      <w:r w:rsidRPr="00142305">
        <w:rPr>
          <w:rFonts w:ascii="Times New Roman" w:hAnsi="Times New Roman"/>
          <w:color w:val="0070C0"/>
          <w:sz w:val="16"/>
          <w:szCs w:val="16"/>
        </w:rPr>
        <w:softHyphen/>
        <w:t>робка передач), заимствованные у опыт</w:t>
      </w:r>
      <w:r w:rsidRPr="00142305">
        <w:rPr>
          <w:rFonts w:ascii="Times New Roman" w:hAnsi="Times New Roman"/>
          <w:color w:val="0070C0"/>
          <w:sz w:val="16"/>
          <w:szCs w:val="16"/>
        </w:rPr>
        <w:softHyphen/>
        <w:t>ного тяжелого танка Т-35А, и отдельные элементы ходовой части (гусеницы и под</w:t>
      </w:r>
      <w:r w:rsidRPr="00142305">
        <w:rPr>
          <w:rFonts w:ascii="Times New Roman" w:hAnsi="Times New Roman"/>
          <w:color w:val="0070C0"/>
          <w:sz w:val="16"/>
          <w:szCs w:val="16"/>
        </w:rPr>
        <w:softHyphen/>
        <w:t>держивающие катки) от тяжелого танка Т-35. Дополнительно требовалось изгото</w:t>
      </w:r>
      <w:r w:rsidRPr="00142305">
        <w:rPr>
          <w:rFonts w:ascii="Times New Roman" w:hAnsi="Times New Roman"/>
          <w:color w:val="0070C0"/>
          <w:sz w:val="16"/>
          <w:szCs w:val="16"/>
        </w:rPr>
        <w:softHyphen/>
        <w:t>вить подвеску и опорные катки. Работы над самоходной установкой, получившей марку СУ-7, затянулись до 1937 года, а за</w:t>
      </w:r>
      <w:r w:rsidRPr="00142305">
        <w:rPr>
          <w:rFonts w:ascii="Times New Roman" w:hAnsi="Times New Roman"/>
          <w:color w:val="0070C0"/>
          <w:sz w:val="16"/>
          <w:szCs w:val="16"/>
        </w:rPr>
        <w:softHyphen/>
        <w:t>тем в ноябре того же года были прекраще</w:t>
      </w:r>
      <w:r w:rsidRPr="00142305">
        <w:rPr>
          <w:rFonts w:ascii="Times New Roman" w:hAnsi="Times New Roman"/>
          <w:color w:val="0070C0"/>
          <w:sz w:val="16"/>
          <w:szCs w:val="16"/>
        </w:rPr>
        <w:softHyphen/>
        <w:t xml:space="preserve">ны, </w:t>
      </w:r>
      <w:r w:rsidRPr="00142305">
        <w:rPr>
          <w:rFonts w:ascii="Times New Roman" w:hAnsi="Times New Roman"/>
          <w:color w:val="0070C0"/>
          <w:sz w:val="16"/>
          <w:szCs w:val="16"/>
        </w:rPr>
        <w:lastRenderedPageBreak/>
        <w:t>поскольку машина перестала отвечать требованиям войск к самоходной артил</w:t>
      </w:r>
      <w:r w:rsidRPr="00142305">
        <w:rPr>
          <w:rFonts w:ascii="Times New Roman" w:hAnsi="Times New Roman"/>
          <w:color w:val="0070C0"/>
          <w:sz w:val="16"/>
          <w:szCs w:val="16"/>
        </w:rPr>
        <w:softHyphen/>
        <w:t>лерии этого вида. Опытным заводом Спецмаштреста имени С.М.Кирова (завод № 185) был изготовлен деревянный макет установки в натуральную величину.</w:t>
      </w:r>
    </w:p>
    <w:p w14:paraId="7BE5710B" w14:textId="77777777" w:rsidR="00BD185B" w:rsidRPr="00142305" w:rsidRDefault="00BD185B" w:rsidP="00BD185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году на том же заводе под руко</w:t>
      </w:r>
      <w:r w:rsidRPr="00142305">
        <w:rPr>
          <w:rFonts w:ascii="Times New Roman" w:hAnsi="Times New Roman"/>
          <w:color w:val="0070C0"/>
          <w:sz w:val="16"/>
          <w:szCs w:val="16"/>
        </w:rPr>
        <w:softHyphen/>
        <w:t>водством П.И.Сячентова началось проек</w:t>
      </w:r>
      <w:r w:rsidRPr="00142305">
        <w:rPr>
          <w:rFonts w:ascii="Times New Roman" w:hAnsi="Times New Roman"/>
          <w:color w:val="0070C0"/>
          <w:sz w:val="16"/>
          <w:szCs w:val="16"/>
        </w:rPr>
        <w:softHyphen/>
        <w:t>тирование самоходной установки для тя</w:t>
      </w:r>
      <w:r w:rsidRPr="00142305">
        <w:rPr>
          <w:rFonts w:ascii="Times New Roman" w:hAnsi="Times New Roman"/>
          <w:color w:val="0070C0"/>
          <w:sz w:val="16"/>
          <w:szCs w:val="16"/>
        </w:rPr>
        <w:softHyphen/>
        <w:t>желой артиллерии особого назначения (ТАОН). В июле следующего года опыт</w:t>
      </w:r>
      <w:r w:rsidRPr="00142305">
        <w:rPr>
          <w:rFonts w:ascii="Times New Roman" w:hAnsi="Times New Roman"/>
          <w:color w:val="0070C0"/>
          <w:sz w:val="16"/>
          <w:szCs w:val="16"/>
        </w:rPr>
        <w:softHyphen/>
        <w:t>ный образец, получивший индекс СУ-14, был построен (25000).</w:t>
      </w:r>
    </w:p>
    <w:p w14:paraId="2C2EA26A" w14:textId="77777777" w:rsidR="00BD185B" w:rsidRPr="00142305" w:rsidRDefault="00BD185B" w:rsidP="00BD185B">
      <w:pPr>
        <w:spacing w:after="0" w:line="240" w:lineRule="auto"/>
        <w:jc w:val="both"/>
        <w:rPr>
          <w:rFonts w:ascii="Times New Roman" w:hAnsi="Times New Roman"/>
          <w:color w:val="0070C0"/>
          <w:sz w:val="16"/>
          <w:szCs w:val="16"/>
        </w:rPr>
      </w:pPr>
    </w:p>
    <w:p w14:paraId="122235E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в Т-26-4 испытывалась 76 мм пушка ПС-3 П.Сячентова. В конструкции орудийной установки П.Сячинтов предложил технические новшества для отечественного танкостроения: ножной спуск, крепление по походному, «двойная оптика», оригинальный поворотный механизм и т.д., а также предложил разработать для Т-26-4 спаренную установку пулемета и новый широкоугольный оптический прицел. Но УММ отказалось от спарки для орудий калибра выше 45-мм (кстати, этот отказ просуществовал фактически до появления танков СМК, Т-100 и KB), а остальные предложения оставило без внимания. Испытания ПС-3 в танке Т-26-4 привели к многочисленным поломкам танка: деформации погона, посадке рессор, прогибу крыши танка. Танк был выведен из строя и для него требовался заводской ремонт. После исследования повреждений от установки ПС-3 в башне Т-26-4 решили отказаться в пользу «полковушки» обр. 1927/32 гг (6469, 12).</w:t>
      </w:r>
    </w:p>
    <w:p w14:paraId="457B3A75"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37E7C4A"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пушка ПС-3 испытывалась в Т-26-4 В конструкции орудийной установки имелось много техни</w:t>
      </w:r>
      <w:r w:rsidRPr="0044524F">
        <w:rPr>
          <w:rFonts w:ascii="Times New Roman" w:hAnsi="Times New Roman"/>
          <w:color w:val="000000" w:themeColor="text1"/>
          <w:sz w:val="16"/>
          <w:szCs w:val="16"/>
        </w:rPr>
        <w:softHyphen/>
        <w:t>ческих новшеств для отечественного танкостроения: нож</w:t>
      </w:r>
      <w:r w:rsidRPr="0044524F">
        <w:rPr>
          <w:rFonts w:ascii="Times New Roman" w:hAnsi="Times New Roman"/>
          <w:color w:val="000000" w:themeColor="text1"/>
          <w:sz w:val="16"/>
          <w:szCs w:val="16"/>
        </w:rPr>
        <w:softHyphen/>
        <w:t>ной спуск, крепление по-походному, «двойная оптика», подъемный механизм со сдающим звеном и т.д. Кроме то</w:t>
      </w:r>
      <w:r w:rsidRPr="0044524F">
        <w:rPr>
          <w:rFonts w:ascii="Times New Roman" w:hAnsi="Times New Roman"/>
          <w:color w:val="000000" w:themeColor="text1"/>
          <w:sz w:val="16"/>
          <w:szCs w:val="16"/>
        </w:rPr>
        <w:softHyphen/>
        <w:t>го, конструктор орудия П. Сячинтов предложил разрабо</w:t>
      </w:r>
      <w:r w:rsidRPr="0044524F">
        <w:rPr>
          <w:rFonts w:ascii="Times New Roman" w:hAnsi="Times New Roman"/>
          <w:color w:val="000000" w:themeColor="text1"/>
          <w:sz w:val="16"/>
          <w:szCs w:val="16"/>
        </w:rPr>
        <w:softHyphen/>
        <w:t>тать для своей пушки спаренную установку пулемета и но</w:t>
      </w:r>
      <w:r w:rsidRPr="0044524F">
        <w:rPr>
          <w:rFonts w:ascii="Times New Roman" w:hAnsi="Times New Roman"/>
          <w:color w:val="000000" w:themeColor="text1"/>
          <w:sz w:val="16"/>
          <w:szCs w:val="16"/>
        </w:rPr>
        <w:softHyphen/>
        <w:t>вый широкоугольный оптический прицел. Но УММ отка</w:t>
      </w:r>
      <w:r w:rsidRPr="0044524F">
        <w:rPr>
          <w:rFonts w:ascii="Times New Roman" w:hAnsi="Times New Roman"/>
          <w:color w:val="000000" w:themeColor="text1"/>
          <w:sz w:val="16"/>
          <w:szCs w:val="16"/>
        </w:rPr>
        <w:softHyphen/>
        <w:t>залось от спарки для орудий калибра выше 45-мм (кстати, этот отказ просуществовал фактически до появления тан</w:t>
      </w:r>
      <w:r w:rsidRPr="0044524F">
        <w:rPr>
          <w:rFonts w:ascii="Times New Roman" w:hAnsi="Times New Roman"/>
          <w:color w:val="000000" w:themeColor="text1"/>
          <w:sz w:val="16"/>
          <w:szCs w:val="16"/>
        </w:rPr>
        <w:softHyphen/>
        <w:t>ков СМК, Т-100 и КВ), а остальные предложения были оставлены без внимания. Испытания ПС-3 в танке Т-26-4 привели к многочисленным поломкам танка: деформации погона, поломке рессор, прогибу крыши танка. Танк был выведен из строя, и для него требовался большой ремонт. Несмотря на решение о производстве пробной серии танков Т-26-4, долгое время этот заказ не выполнялся, т.к. к изготовленным башням с орудиями УММ в 1933 г. не по</w:t>
      </w:r>
      <w:r w:rsidRPr="0044524F">
        <w:rPr>
          <w:rFonts w:ascii="Times New Roman" w:hAnsi="Times New Roman"/>
          <w:color w:val="000000" w:themeColor="text1"/>
          <w:sz w:val="16"/>
          <w:szCs w:val="16"/>
        </w:rPr>
        <w:softHyphen/>
        <w:t>ставил ходовых частей, а единственный испытанный на НИБТполигоне танк с башней из некондиционной брони простоял сломанным до 1934 г. (10733,336)</w:t>
      </w:r>
    </w:p>
    <w:p w14:paraId="4672D7EF"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p>
    <w:p w14:paraId="3ED2B661"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пушка ПС-3 испытывалась в Т-26-4. В конструкции орудийной установки имелось много технических новшеств для отечественного танкостроения: ножной спуск, крепление по-походному, «двойная оптика», подъемный механизм и т.д. Кроме того, конструктор орудия П.Н. Сячинтов предложил разработать для своей пушки спаренную установку пулемета и новый широкоугольный оптический прицел. Но УММ отказалось от спарки для ору</w:t>
      </w:r>
      <w:r w:rsidRPr="0044524F">
        <w:rPr>
          <w:rFonts w:ascii="Times New Roman" w:hAnsi="Times New Roman"/>
          <w:color w:val="000000" w:themeColor="text1"/>
          <w:sz w:val="16"/>
          <w:szCs w:val="16"/>
        </w:rPr>
        <w:softHyphen/>
        <w:t>дий калибра выше 45 мм, а остальные предложения остави</w:t>
      </w:r>
      <w:r w:rsidRPr="0044524F">
        <w:rPr>
          <w:rFonts w:ascii="Times New Roman" w:hAnsi="Times New Roman"/>
          <w:color w:val="000000" w:themeColor="text1"/>
          <w:sz w:val="16"/>
          <w:szCs w:val="16"/>
        </w:rPr>
        <w:softHyphen/>
        <w:t>ло без внимания. Испытания ПС-3 в танке Т-26-4 привели к многочисленным поломкам танка: деформации погона, по</w:t>
      </w:r>
      <w:r w:rsidRPr="0044524F">
        <w:rPr>
          <w:rFonts w:ascii="Times New Roman" w:hAnsi="Times New Roman"/>
          <w:color w:val="000000" w:themeColor="text1"/>
          <w:sz w:val="16"/>
          <w:szCs w:val="16"/>
        </w:rPr>
        <w:softHyphen/>
        <w:t>садке рессор, прогибу крыши танка. Танк был выведен из строя, и для него требовался большой ремонт. Несмотря на решение о производстве пробной серии танков Т-26-4, долгое время этот заказ не выполнялся, так кай к изготовленным башням с орудиями УММ в 1933 г. не поставил ходовых частей, а единственный танк с башней из некондиционной брони простоял сломанным до 1934 г. (11417).</w:t>
      </w:r>
    </w:p>
    <w:p w14:paraId="34AB76D0"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30F9DFA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прошли повторные испытания телеуправляемых танков ТТ-18 (телеуправляемый танк - индекс, присвоенный в 1934), ТТ-26 и ТТ-27 в специальном отряде N 4 ЛВО. Выбирали для дальнейшего серийного производства. Испытания продолжались 8 дней и были повторены в октябре 1933. ТТ-18, на котором стояла 16 командная аппаратура системы Остехбюро 1932 дальностью до 1.5 км (реально 500-1000 в хорошую погоду), не прошел. Первые проходили с 8 по 19 января 1933 (4243,25).</w:t>
      </w:r>
    </w:p>
    <w:p w14:paraId="7D05FE8D"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6A03753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начались работы по повышению огневой мощи БТ-5. Нач. УИИ РККА к2р И.А.Халепский выдал задание нач. ВАММ би Лебедеву на разработку проекта установки 250 кг танковых торпед (ТК) на БТ-5. Ими планировалось бороться с тяжелыми танками и преодолевать сильно укрепленную оборону, т.к. по мощности они не уступали снаряду калибра 305 мм (3880,14).</w:t>
      </w:r>
    </w:p>
    <w:p w14:paraId="21B47A8D"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36455B1"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года начальник УММ РККА И. Халепский выдал зада</w:t>
      </w:r>
      <w:r w:rsidRPr="00142305">
        <w:rPr>
          <w:rFonts w:ascii="Times New Roman" w:hAnsi="Times New Roman"/>
          <w:color w:val="0070C0"/>
          <w:sz w:val="16"/>
          <w:szCs w:val="16"/>
        </w:rPr>
        <w:softHyphen/>
        <w:t>ние на разработку установки на БТ-5 двух 250-кг реактивных танковых тор</w:t>
      </w:r>
      <w:r w:rsidRPr="00142305">
        <w:rPr>
          <w:rFonts w:ascii="Times New Roman" w:hAnsi="Times New Roman"/>
          <w:color w:val="0070C0"/>
          <w:sz w:val="16"/>
          <w:szCs w:val="16"/>
        </w:rPr>
        <w:softHyphen/>
        <w:t>пед, предназначенных для борьбы с ук</w:t>
      </w:r>
      <w:r w:rsidRPr="00142305">
        <w:rPr>
          <w:rFonts w:ascii="Times New Roman" w:hAnsi="Times New Roman"/>
          <w:color w:val="0070C0"/>
          <w:sz w:val="16"/>
          <w:szCs w:val="16"/>
        </w:rPr>
        <w:softHyphen/>
        <w:t>реплениями и тяжелыми танками про</w:t>
      </w:r>
      <w:r w:rsidRPr="00142305">
        <w:rPr>
          <w:rFonts w:ascii="Times New Roman" w:hAnsi="Times New Roman"/>
          <w:color w:val="0070C0"/>
          <w:sz w:val="16"/>
          <w:szCs w:val="16"/>
        </w:rPr>
        <w:softHyphen/>
        <w:t>тивника. Испытания таких торпед про</w:t>
      </w:r>
      <w:r w:rsidRPr="00142305">
        <w:rPr>
          <w:rFonts w:ascii="Times New Roman" w:hAnsi="Times New Roman"/>
          <w:color w:val="0070C0"/>
          <w:sz w:val="16"/>
          <w:szCs w:val="16"/>
        </w:rPr>
        <w:softHyphen/>
        <w:t>шли еще в 1932 году, причем довольно успешно.</w:t>
      </w:r>
    </w:p>
    <w:p w14:paraId="4B38458F"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Разработка установки таких торпед на БТ-5 велась военным инженером 2-го ранга Тверским в научно-исследователь</w:t>
      </w:r>
      <w:r w:rsidRPr="00142305">
        <w:rPr>
          <w:rFonts w:ascii="Times New Roman" w:hAnsi="Times New Roman"/>
          <w:color w:val="0070C0"/>
          <w:sz w:val="16"/>
          <w:szCs w:val="16"/>
        </w:rPr>
        <w:softHyphen/>
        <w:t>ском отделе Военной академии механи</w:t>
      </w:r>
      <w:r w:rsidRPr="00142305">
        <w:rPr>
          <w:rFonts w:ascii="Times New Roman" w:hAnsi="Times New Roman"/>
          <w:color w:val="0070C0"/>
          <w:sz w:val="16"/>
          <w:szCs w:val="16"/>
        </w:rPr>
        <w:softHyphen/>
        <w:t>зации и моторизации имени Сталина. Опытный образец танка изготовили на московском заводе № 37 в 1934 году, од</w:t>
      </w:r>
      <w:r w:rsidRPr="00142305">
        <w:rPr>
          <w:rFonts w:ascii="Times New Roman" w:hAnsi="Times New Roman"/>
          <w:color w:val="0070C0"/>
          <w:sz w:val="16"/>
          <w:szCs w:val="16"/>
        </w:rPr>
        <w:softHyphen/>
        <w:t>нако проведенные испытания дали не</w:t>
      </w:r>
      <w:r w:rsidRPr="00142305">
        <w:rPr>
          <w:rFonts w:ascii="Times New Roman" w:hAnsi="Times New Roman"/>
          <w:color w:val="0070C0"/>
          <w:sz w:val="16"/>
          <w:szCs w:val="16"/>
        </w:rPr>
        <w:softHyphen/>
        <w:t>удовлетворительные результаты. 250-кг торпеды имели малую дальность стрель</w:t>
      </w:r>
      <w:r w:rsidRPr="00142305">
        <w:rPr>
          <w:rFonts w:ascii="Times New Roman" w:hAnsi="Times New Roman"/>
          <w:color w:val="0070C0"/>
          <w:sz w:val="16"/>
          <w:szCs w:val="16"/>
        </w:rPr>
        <w:softHyphen/>
        <w:t>бы (до 1500 м) и низкую кучность, к тому же сами легко могли быть поражены ос</w:t>
      </w:r>
      <w:r w:rsidRPr="00142305">
        <w:rPr>
          <w:rFonts w:ascii="Times New Roman" w:hAnsi="Times New Roman"/>
          <w:color w:val="0070C0"/>
          <w:sz w:val="16"/>
          <w:szCs w:val="16"/>
        </w:rPr>
        <w:softHyphen/>
        <w:t>колками и пулями (25009).</w:t>
      </w:r>
    </w:p>
    <w:p w14:paraId="48D16C1F" w14:textId="77777777" w:rsidR="00FB3D1E" w:rsidRPr="00142305" w:rsidRDefault="00FB3D1E" w:rsidP="00FB3D1E">
      <w:pPr>
        <w:spacing w:after="0" w:line="240" w:lineRule="auto"/>
        <w:jc w:val="both"/>
        <w:rPr>
          <w:rFonts w:ascii="Times New Roman" w:hAnsi="Times New Roman"/>
          <w:color w:val="0070C0"/>
          <w:sz w:val="16"/>
          <w:szCs w:val="16"/>
        </w:rPr>
      </w:pPr>
    </w:p>
    <w:p w14:paraId="23CE3636" w14:textId="77777777" w:rsidR="00F46121" w:rsidRPr="0044524F" w:rsidRDefault="00F461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октябре 1933 г., после того как начальником УММ РККА командармом 2 ранга И.А. Халепским было выдано задание начальнику ВАММ бригадному инженеру Лебедеву на разработку проекта установки 250-кг </w:t>
      </w:r>
      <w:hyperlink r:id="rId351"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овых торпед (ТТ) на быстроходный </w:t>
      </w:r>
      <w:hyperlink r:id="rId352"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 БТ. За счет установки на </w:t>
      </w:r>
      <w:hyperlink r:id="rId353"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 ракетного вооружения предполагалось решить проблему по борьбе с тяжелыми </w:t>
      </w:r>
      <w:hyperlink r:id="rId354"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ами противника и преодолению сильно укрепленных полос обороны, узлов сопротивления и отдельных ДОТов, начались работы по повышению огневой мощи </w:t>
      </w:r>
      <w:hyperlink r:id="rId355"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БТ-5. Ведь по мощности фугасного действия 250-кг ракеты не уступали снаряду 305-мм орудия (15628).</w:t>
      </w:r>
    </w:p>
    <w:p w14:paraId="390277EE"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5579CA26"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НИИ ВАММ получил задание: создать пуско</w:t>
      </w:r>
      <w:r w:rsidRPr="0044524F">
        <w:rPr>
          <w:rFonts w:ascii="Times New Roman" w:hAnsi="Times New Roman"/>
          <w:color w:val="000000" w:themeColor="text1"/>
          <w:sz w:val="16"/>
          <w:szCs w:val="16"/>
        </w:rPr>
        <w:softHyphen/>
        <w:t>вые установки для размещения на колесно-гусеничном танке БТ-5 двух пусковых установок для реактивных «танковых торпед» (ТТ), сконструированных в Газодинамической лаборатории.</w:t>
      </w:r>
    </w:p>
    <w:p w14:paraId="3C4CFD01"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вела группа сотрудников РНИИ под руководством военинженера 2-го ранга Михаила Тверского (1898-1938), временно переведенного туда из НИИ ВАММ. Опытную установку изгото</w:t>
      </w:r>
      <w:r w:rsidRPr="0044524F">
        <w:rPr>
          <w:rFonts w:ascii="Times New Roman" w:hAnsi="Times New Roman"/>
          <w:color w:val="000000" w:themeColor="text1"/>
          <w:sz w:val="16"/>
          <w:szCs w:val="16"/>
        </w:rPr>
        <w:softHyphen/>
        <w:t>вил московский завод № 37, её монтаж на танк БТ-5 осуществил Харьковский тракторный завод.</w:t>
      </w:r>
    </w:p>
    <w:p w14:paraId="7092EA19"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наружной стороны башни закрепили две пусковые установ</w:t>
      </w:r>
      <w:r w:rsidRPr="0044524F">
        <w:rPr>
          <w:rFonts w:ascii="Times New Roman" w:hAnsi="Times New Roman"/>
          <w:color w:val="000000" w:themeColor="text1"/>
          <w:sz w:val="16"/>
          <w:szCs w:val="16"/>
        </w:rPr>
        <w:softHyphen/>
        <w:t>ки для «торпед» (пушка в башне служила для пристрелки). Кле</w:t>
      </w:r>
      <w:r w:rsidRPr="0044524F">
        <w:rPr>
          <w:rFonts w:ascii="Times New Roman" w:hAnsi="Times New Roman"/>
          <w:color w:val="000000" w:themeColor="text1"/>
          <w:sz w:val="16"/>
          <w:szCs w:val="16"/>
        </w:rPr>
        <w:softHyphen/>
        <w:t>паная конструкция установок типа фермы была собрана из швеллеров. «Торпеды» предназначались для борьбы с «массовым тан</w:t>
      </w:r>
      <w:r w:rsidRPr="0044524F">
        <w:rPr>
          <w:rFonts w:ascii="Times New Roman" w:hAnsi="Times New Roman"/>
          <w:color w:val="000000" w:themeColor="text1"/>
          <w:sz w:val="16"/>
          <w:szCs w:val="16"/>
        </w:rPr>
        <w:softHyphen/>
        <w:t>ковым противником по машинам крупного тоннажа», ДОТами и опорными пунктами, на дальности порядка 1-1,5 км.</w:t>
      </w:r>
    </w:p>
    <w:p w14:paraId="4F2BC003"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«торпеды» — 250 кг, в том числе 130 кг тротила (или аммонала, более стойкого к попаданиям осколков и пуль, чем тротил). Средний диаметр воронки достигал 10 м, глубина — 4 м. Таким образом, мощности заряда ВВ было достаточно для разру</w:t>
      </w:r>
      <w:r w:rsidRPr="0044524F">
        <w:rPr>
          <w:rFonts w:ascii="Times New Roman" w:hAnsi="Times New Roman"/>
          <w:color w:val="000000" w:themeColor="text1"/>
          <w:sz w:val="16"/>
          <w:szCs w:val="16"/>
        </w:rPr>
        <w:softHyphen/>
        <w:t>шения ДОТ.</w:t>
      </w:r>
    </w:p>
    <w:p w14:paraId="5C72018A"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Заряд РД — 13,5 кг пороха ПТП в 95 шашках полного сгора</w:t>
      </w:r>
      <w:r w:rsidRPr="0044524F">
        <w:rPr>
          <w:rFonts w:ascii="Times New Roman" w:hAnsi="Times New Roman"/>
          <w:color w:val="000000" w:themeColor="text1"/>
          <w:sz w:val="16"/>
          <w:szCs w:val="16"/>
        </w:rPr>
        <w:softHyphen/>
        <w:t>ния. Длина «торпеды» 180,5 см, диаметр головной части 42 см. Оперение Х-образное. Она имела два взрывателя — мгновенного срабатывания и авиационный дистанционный (с замедлением от 0,15 до 20 секунд).</w:t>
      </w:r>
    </w:p>
    <w:p w14:paraId="1CB1EBCB"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Проектная дальность полета «торпеды» при запуске под углом 43 градуса — 1280 м. В 1935-36 гг. ракетный танк проходил по</w:t>
      </w:r>
      <w:r w:rsidRPr="0044524F">
        <w:rPr>
          <w:rFonts w:ascii="Times New Roman" w:hAnsi="Times New Roman"/>
          <w:color w:val="000000" w:themeColor="text1"/>
          <w:sz w:val="16"/>
          <w:szCs w:val="16"/>
        </w:rPr>
        <w:softHyphen/>
        <w:t>лигонные испытания. Однажды (19 июля 1936 г.) его «торпеды» при запуске под углом 50 градусов достигли максимальной даль</w:t>
      </w:r>
      <w:r w:rsidRPr="0044524F">
        <w:rPr>
          <w:rFonts w:ascii="Times New Roman" w:hAnsi="Times New Roman"/>
          <w:color w:val="000000" w:themeColor="text1"/>
          <w:sz w:val="16"/>
          <w:szCs w:val="16"/>
        </w:rPr>
        <w:softHyphen/>
        <w:t>ности — 1450 м.</w:t>
      </w:r>
    </w:p>
    <w:p w14:paraId="70AF8A5C"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комиссия экспертов пришла к грустным выводам:</w:t>
      </w:r>
    </w:p>
    <w:p w14:paraId="195BCD6E"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дальность стрельбы «торпедами» недостаточная;</w:t>
      </w:r>
    </w:p>
    <w:p w14:paraId="71E4BEEA"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прямое поражение целей маловероятно ввиду значительно</w:t>
      </w:r>
      <w:r w:rsidRPr="0044524F">
        <w:rPr>
          <w:rFonts w:ascii="Times New Roman" w:hAnsi="Times New Roman"/>
          <w:color w:val="000000" w:themeColor="text1"/>
          <w:sz w:val="16"/>
          <w:szCs w:val="16"/>
        </w:rPr>
        <w:softHyphen/>
        <w:t>го разброса точек падения;</w:t>
      </w:r>
    </w:p>
    <w:p w14:paraId="6F7CFB8F"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находясь в пусковых установках, «торпеды» уязвимы для ружейно-пулеметного огня противника и, тем более, для оскол</w:t>
      </w:r>
      <w:r w:rsidRPr="0044524F">
        <w:rPr>
          <w:rFonts w:ascii="Times New Roman" w:hAnsi="Times New Roman"/>
          <w:color w:val="000000" w:themeColor="text1"/>
          <w:sz w:val="16"/>
          <w:szCs w:val="16"/>
        </w:rPr>
        <w:softHyphen/>
        <w:t>ков снарядов;</w:t>
      </w:r>
    </w:p>
    <w:p w14:paraId="28CB9429"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ручное перезаря</w:t>
      </w:r>
      <w:r w:rsidRPr="0044524F">
        <w:rPr>
          <w:rFonts w:ascii="Times New Roman" w:hAnsi="Times New Roman"/>
          <w:color w:val="000000" w:themeColor="text1"/>
          <w:sz w:val="16"/>
          <w:szCs w:val="16"/>
        </w:rPr>
        <w:softHyphen/>
        <w:t>жание пусковых уста</w:t>
      </w:r>
      <w:r w:rsidRPr="0044524F">
        <w:rPr>
          <w:rFonts w:ascii="Times New Roman" w:hAnsi="Times New Roman"/>
          <w:color w:val="000000" w:themeColor="text1"/>
          <w:sz w:val="16"/>
          <w:szCs w:val="16"/>
        </w:rPr>
        <w:softHyphen/>
        <w:t>новок тяжелыми «тор</w:t>
      </w:r>
      <w:r w:rsidRPr="0044524F">
        <w:rPr>
          <w:rFonts w:ascii="Times New Roman" w:hAnsi="Times New Roman"/>
          <w:color w:val="000000" w:themeColor="text1"/>
          <w:sz w:val="16"/>
          <w:szCs w:val="16"/>
        </w:rPr>
        <w:softHyphen/>
        <w:t>педами» невозможно, требуется ввести меха</w:t>
      </w:r>
      <w:r w:rsidRPr="0044524F">
        <w:rPr>
          <w:rFonts w:ascii="Times New Roman" w:hAnsi="Times New Roman"/>
          <w:color w:val="000000" w:themeColor="text1"/>
          <w:sz w:val="16"/>
          <w:szCs w:val="16"/>
        </w:rPr>
        <w:softHyphen/>
        <w:t>низацию.</w:t>
      </w:r>
    </w:p>
    <w:p w14:paraId="24FFC270"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 г. РНИИ по</w:t>
      </w:r>
      <w:r w:rsidRPr="0044524F">
        <w:rPr>
          <w:rFonts w:ascii="Times New Roman" w:hAnsi="Times New Roman"/>
          <w:color w:val="000000" w:themeColor="text1"/>
          <w:sz w:val="16"/>
          <w:szCs w:val="16"/>
        </w:rPr>
        <w:softHyphen/>
        <w:t>лучил задание на про</w:t>
      </w:r>
      <w:r w:rsidRPr="0044524F">
        <w:rPr>
          <w:rFonts w:ascii="Times New Roman" w:hAnsi="Times New Roman"/>
          <w:color w:val="000000" w:themeColor="text1"/>
          <w:sz w:val="16"/>
          <w:szCs w:val="16"/>
        </w:rPr>
        <w:softHyphen/>
        <w:t>ект вооружения тан</w:t>
      </w:r>
      <w:r w:rsidRPr="0044524F">
        <w:rPr>
          <w:rFonts w:ascii="Times New Roman" w:hAnsi="Times New Roman"/>
          <w:color w:val="000000" w:themeColor="text1"/>
          <w:sz w:val="16"/>
          <w:szCs w:val="16"/>
        </w:rPr>
        <w:softHyphen/>
        <w:t>ка БТ-5 «реактивной пушкой» — одной на</w:t>
      </w:r>
      <w:r w:rsidRPr="0044524F">
        <w:rPr>
          <w:rFonts w:ascii="Times New Roman" w:hAnsi="Times New Roman"/>
          <w:color w:val="000000" w:themeColor="text1"/>
          <w:sz w:val="16"/>
          <w:szCs w:val="16"/>
        </w:rPr>
        <w:softHyphen/>
        <w:t>правляющей для пуска 132-мм «химической ракеты».</w:t>
      </w:r>
    </w:p>
    <w:p w14:paraId="02D2F87D"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Эту простейшую установку проекти</w:t>
      </w:r>
      <w:r w:rsidRPr="0044524F">
        <w:rPr>
          <w:rFonts w:ascii="Times New Roman" w:hAnsi="Times New Roman"/>
          <w:color w:val="000000" w:themeColor="text1"/>
          <w:sz w:val="16"/>
          <w:szCs w:val="16"/>
        </w:rPr>
        <w:softHyphen/>
        <w:t>ровал целый кол</w:t>
      </w:r>
      <w:r w:rsidRPr="0044524F">
        <w:rPr>
          <w:rFonts w:ascii="Times New Roman" w:hAnsi="Times New Roman"/>
          <w:color w:val="000000" w:themeColor="text1"/>
          <w:sz w:val="16"/>
          <w:szCs w:val="16"/>
        </w:rPr>
        <w:softHyphen/>
        <w:t>лектив под руковод</w:t>
      </w:r>
      <w:r w:rsidRPr="0044524F">
        <w:rPr>
          <w:rFonts w:ascii="Times New Roman" w:hAnsi="Times New Roman"/>
          <w:color w:val="000000" w:themeColor="text1"/>
          <w:sz w:val="16"/>
          <w:szCs w:val="16"/>
        </w:rPr>
        <w:softHyphen/>
        <w:t>ством Ю. Победоносце</w:t>
      </w:r>
      <w:r w:rsidRPr="0044524F">
        <w:rPr>
          <w:rFonts w:ascii="Times New Roman" w:hAnsi="Times New Roman"/>
          <w:color w:val="000000" w:themeColor="text1"/>
          <w:sz w:val="16"/>
          <w:szCs w:val="16"/>
        </w:rPr>
        <w:softHyphen/>
        <w:t>ва и В. Александрова! Оснащенный ею танк проходил испытания в апреле — мае 1935 г.</w:t>
      </w:r>
    </w:p>
    <w:p w14:paraId="729396EB" w14:textId="77777777" w:rsidR="0009620A" w:rsidRPr="0044524F" w:rsidRDefault="0009620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значи</w:t>
      </w:r>
      <w:r w:rsidRPr="0044524F">
        <w:rPr>
          <w:rFonts w:ascii="Times New Roman" w:hAnsi="Times New Roman"/>
          <w:color w:val="000000" w:themeColor="text1"/>
          <w:sz w:val="16"/>
          <w:szCs w:val="16"/>
        </w:rPr>
        <w:softHyphen/>
        <w:t>тельно меньшую массу 132-мм ракеты по срав</w:t>
      </w:r>
      <w:r w:rsidRPr="0044524F">
        <w:rPr>
          <w:rFonts w:ascii="Times New Roman" w:hAnsi="Times New Roman"/>
          <w:color w:val="000000" w:themeColor="text1"/>
          <w:sz w:val="16"/>
          <w:szCs w:val="16"/>
        </w:rPr>
        <w:softHyphen/>
        <w:t>нению с 420-мм «торпедой», «реактивной пушке» были присущи те же недостатки, что и ей. В общем, идея ракетного танка себя не оправдала (23550).</w:t>
      </w:r>
    </w:p>
    <w:p w14:paraId="2311A877" w14:textId="77777777" w:rsidR="0009620A" w:rsidRPr="0044524F" w:rsidRDefault="0009620A" w:rsidP="009654CF">
      <w:pPr>
        <w:spacing w:after="0" w:line="240" w:lineRule="auto"/>
        <w:jc w:val="both"/>
        <w:rPr>
          <w:rFonts w:ascii="Times New Roman" w:hAnsi="Times New Roman"/>
          <w:color w:val="000000" w:themeColor="text1"/>
          <w:sz w:val="16"/>
          <w:szCs w:val="16"/>
        </w:rPr>
      </w:pPr>
    </w:p>
    <w:p w14:paraId="2EBFB5C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и ранее в январе-феврале на опытных тактических учениях в ЛВО принимали участие группы телетанков МС-1, Т-27 и Т-26ю Аппаратура Московского отделения Остехбюро оказалась наиболее надежной. В течение полутора часов два танка управлялись с Р-5 без отказов, а машины выполняли сложные маневры по пересеченной местности (9527,199).</w:t>
      </w:r>
    </w:p>
    <w:p w14:paraId="0BADAF13"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122113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заведующим фотокабинетом склада-мастерской № 37 в Москве В.И.Успенским был предложен фото-танк Т-26Ф, опытный образец которого в конце 1937 был изготовлен. В январе-феврале 1938 прошел полигонные испытания На вооружение не принимался и в серии не был (9527,208).</w:t>
      </w:r>
    </w:p>
    <w:p w14:paraId="32FB565B"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6F2C9FB2"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заведующий фотокинокабинетом склада-мастерской № 37 в Москве В.И.Успенским был предложен проект фото-танка. В конце 1937 его построили. Базовой машиной для разработки фото-танка являлся легкий танк Т-26. Опытный образец машины был изготовлен в конце 1937 г. на складе-мастерской № 37. Он предназначался для кино-фотосъемки полосы обороны противника при проведении разведки. Он позволял производить съемку объектов, маршрута движения и панорамы местности как с места, так и с хода. В январе-феврале 1938 г. танк прошел полигонные испытании. На вооружении и в серийном производстве фото-танк не состоял.</w:t>
      </w:r>
    </w:p>
    <w:p w14:paraId="1DF76A2D"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Машина отличаюсь от линейного танка Т-26 отсутствием пушечного вооружения, был оставлен только 7,62-мм пулемет ДТ с боекомплектом 441 патрон (7 дисков). Для маскировки вместо 45-мм пушки был установлен ее деревянный муляж. Танк имел два специальных отделения: отделение съемки - в башне танка и отделение обработки снимков - в средней части корпуса сзади механика-водителя. Экипаж машины состоял из трех человек.</w:t>
      </w:r>
    </w:p>
    <w:p w14:paraId="37B0F33A"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объектива фотоаппаратуры в левой боковой стенке башни были сделаны два отверстия диаметром 80 мм с закрывавшимися броневыми задвижками, замаскированными снаружи. Левый и правый боковые триплексы были смещены назад - ближе к оператору. Нa крыше башни был оставлен одни входной люк, так как на месте левого входного люка размещался перископ наблюдения. Из-за размещения входных отверстий объективов фотоаппаратуры место крепления поручневой антенны было изменено. В отделении съемки размещались кинофотоаппаратура; перископ, связанный синхронно с кинофотоаппаратурой; радиостанция; 7,62-мм пулемет ДТ с боекомплектом; щиток сигнализации и контроля работы аппаратуры; электродвигатели приводов киноаппаратуры и броневых заслонок тяжелого фотоаппарата; сиденье оператора; измененный механизм поворота башни с электродвигателем и контрольным прибором угла поворота.</w:t>
      </w:r>
    </w:p>
    <w:p w14:paraId="1A6FB85D"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фотоаппарат устанавливался в башне слева с направлением объектива пол углом 45° от оси канала ствола пушки и был подвешен в четырех точках, имевших специальную амортизационную подвеску. С помощью специального тросового механизма можно было изменять углы наклона фотоаппарата к горизонту в секторе +15°.</w:t>
      </w:r>
    </w:p>
    <w:p w14:paraId="4B00756B"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Фотоаппарат представлял собой полуавтомат с двумя конусами, рассчитанными на съемку с экспозицией 1/90, 1/180, 1/375, 1/750, с тремя светофильтрами и двумя объективами "Индустар" Ф-300 и Ф-210. Размер фотопластинок 90x150 мм. Фотоаппарат имел специальную кассету, емкостью 20 фотопластинок. При необходимости негативы могли быть обработаны непосредственно в танке.</w:t>
      </w:r>
    </w:p>
    <w:p w14:paraId="6BA55519"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отделении обработки фотоснимков размешались: навигационный прибор с гироскопическим компасом "Аншютц", увеличитель, проявочный стол, бачки, химикаты для обработки, сушильный шкаф, щиток с приборами и сиденье оператора.</w:t>
      </w:r>
    </w:p>
    <w:p w14:paraId="40BE8802"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Навигационный прибор обеспечивал фиксацию положения танка в момент съемки н направление съемки, а также производил прокладку курса танка на карте масштаба 1:50000. Отметка об изменении курса танка производилась вручную по сигналу от механика-водителя (с помощью светосигнального прибора) по углу указателя гироскопа. Характеристики подвижности танка Т-26ФТ были сохранены на уровне базовой машины (19583).</w:t>
      </w:r>
    </w:p>
    <w:p w14:paraId="68748C2A" w14:textId="77777777" w:rsidR="00562118" w:rsidRPr="0044524F" w:rsidRDefault="00562118" w:rsidP="009654CF">
      <w:pPr>
        <w:spacing w:after="0" w:line="240" w:lineRule="auto"/>
        <w:jc w:val="both"/>
        <w:rPr>
          <w:rFonts w:ascii="Times New Roman" w:hAnsi="Times New Roman"/>
          <w:color w:val="000000" w:themeColor="text1"/>
          <w:sz w:val="16"/>
          <w:szCs w:val="16"/>
        </w:rPr>
      </w:pPr>
    </w:p>
    <w:p w14:paraId="5A32267C" w14:textId="77777777" w:rsidR="00562118" w:rsidRPr="0044524F" w:rsidRDefault="00562118" w:rsidP="009654CF">
      <w:pPr>
        <w:pStyle w:val="ae"/>
        <w:spacing w:before="0" w:after="0"/>
        <w:jc w:val="both"/>
        <w:textAlignment w:val="baseline"/>
        <w:rPr>
          <w:color w:val="000000" w:themeColor="text1"/>
          <w:sz w:val="16"/>
          <w:szCs w:val="16"/>
        </w:rPr>
      </w:pPr>
      <w:r w:rsidRPr="0044524F">
        <w:rPr>
          <w:color w:val="000000" w:themeColor="text1"/>
          <w:sz w:val="16"/>
          <w:szCs w:val="16"/>
        </w:rPr>
        <w:t xml:space="preserve">В октябре 1933 стало ясно, что срок октябрь для </w:t>
      </w:r>
      <w:r w:rsidRPr="0044524F">
        <w:rPr>
          <w:iCs/>
          <w:color w:val="000000" w:themeColor="text1"/>
          <w:sz w:val="16"/>
          <w:szCs w:val="16"/>
          <w:bdr w:val="none" w:sz="0" w:space="0" w:color="auto" w:frame="1"/>
        </w:rPr>
        <w:t xml:space="preserve">«колёсно-гусеничном танке на основе Т-26» </w:t>
      </w:r>
      <w:r w:rsidRPr="0044524F">
        <w:rPr>
          <w:color w:val="000000" w:themeColor="text1"/>
          <w:sz w:val="16"/>
          <w:szCs w:val="16"/>
        </w:rPr>
        <w:t>чересчур оптимистичен. Тогда же машина впервые сменила название, получив индекс Т-46. Помимо чрезвычайной сложности задания, против Т-46 играла перегруженность завода №185 разработками. После того как в 1931-1932 годах звезда московского ГКБ, создавшего Т-18, закатилась, именно Ленинград стал центром разработки танков. Сюда из ГКБ перебрался С.А. Гинзбург, один из идеологов освоения Т-26, — это вызвало конфликт с начальником московского ГКБ С.П. Шукаловым, считавшим, что надо развивать свой танк, а не копировать иностранные образцы. Завод №185 стал настоящим мозговым центром: именно здесь разработали Т-28 и Т-35, существенно доработали Т-26, а также занимались рядом других машин. Обратной стороной медали стало слишком большое количество проектов, что влияло на сроки разработки (18689).</w:t>
      </w:r>
    </w:p>
    <w:p w14:paraId="50FB4D38" w14:textId="77777777" w:rsidR="00562118" w:rsidRPr="0044524F" w:rsidRDefault="00562118" w:rsidP="009654CF">
      <w:pPr>
        <w:pStyle w:val="ae"/>
        <w:spacing w:before="0" w:after="0"/>
        <w:jc w:val="both"/>
        <w:textAlignment w:val="baseline"/>
        <w:rPr>
          <w:color w:val="000000" w:themeColor="text1"/>
          <w:sz w:val="16"/>
          <w:szCs w:val="16"/>
        </w:rPr>
      </w:pPr>
    </w:p>
    <w:p w14:paraId="53CE45F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ГАУ РККА рассмотрел проект комбинированной самоходной системы Большой триплекс, имевшей одинаковый самоходный лафет для 254/220 мм пушки, 305 мм гаубицы и 400 мм мортиры, разработанный заводами Большевик, Спецмаштреста им. Кирова (185) по ТТТ НТУ ГАУ и НТК УММ РККА с использованием более ранних проектов и Чернявского с завода Большевик, а также проекта 305 мм гаубицы КБ ВОАО (9527,263).</w:t>
      </w:r>
    </w:p>
    <w:p w14:paraId="2B5E1E45"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54BC103C"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ГАУ РККА рассмотрел вопрос о ходе эскизного проектирова</w:t>
      </w:r>
      <w:r w:rsidRPr="0044524F">
        <w:rPr>
          <w:rFonts w:ascii="Times New Roman" w:hAnsi="Times New Roman"/>
          <w:color w:val="000000" w:themeColor="text1"/>
          <w:sz w:val="16"/>
          <w:szCs w:val="16"/>
        </w:rPr>
        <w:softHyphen/>
        <w:t>ния комбинированной самоходной установки для «боль</w:t>
      </w:r>
      <w:r w:rsidRPr="0044524F">
        <w:rPr>
          <w:rFonts w:ascii="Times New Roman" w:hAnsi="Times New Roman"/>
          <w:color w:val="000000" w:themeColor="text1"/>
          <w:sz w:val="16"/>
          <w:szCs w:val="16"/>
        </w:rPr>
        <w:softHyphen/>
        <w:t>шого триплекса» в составе 254-мм пушки, 305-мм гаубицы и 400-мм мортиры на едином самоходном лафете (11417).</w:t>
      </w:r>
    </w:p>
    <w:p w14:paraId="4DC7BF76"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p>
    <w:p w14:paraId="030900C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октябре 1933 года в ГАУ рассматривался проект комбинированной самоходной системы «Большой триплекс», представлявшей собой самоходный лафет для 254/220-мм пушки, 305-мм гаубицы и 400-мм мортиры. Проект являлся результатом совместных усилий завода «Большевик» и Опытного завода Спец-маштреста. </w:t>
      </w:r>
    </w:p>
    <w:p w14:paraId="0B6F0C1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заданию, САУ должна была иметь массу 56 — 60 т, но в ходе проектирования эта величина достигла 66 — 76 т. На машинах предполагалось установить двенадцатицилиндровый карбюраторный двигатель М-17 мощностью 500 л.с, агрегаты трансмиссии (главный фрикцион и коробка передач), заимствованные у опытного тяжелого танка Т-35А, и отдельные элементы ходовой части (гусеницы и поддерживающие катки) от тяжелого танка Т-35. Дополнительно требовалось изготовить подвеску и опорные катки. Работы над самоходной установкой, получившей марку СУ-7, затянулись до 1937 года, а затем в ноябре того же года были прекращены, поскольку машина перестала отвечать требованиям войск к самоходной артиллерии этого вида. Опытным заводом Спецмаштреста им.С.М.Кирова (завод № 185) был изготовлен деревянный макет установки в натуральную величину.</w:t>
      </w:r>
    </w:p>
    <w:p w14:paraId="3E2F7A44"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1933 году на том же заводе под руководством П.И.Сячентова началось проектирование самоходной установки для тяжелой артиллерии особого назначения (ТАОН). В июле следующего года опытный образец, получивший индекс СУ-14, был построен. </w:t>
      </w:r>
    </w:p>
    <w:p w14:paraId="3E725E1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Корпус машины изготавливался из катаных броневых листов толщиной 10 — 20 мм, соединявшихся между собой сваркой и клепкой. Впереди слева по ходу машины находилось место механика-водителя. Остальные шесть членов экипажа располагались в кормовой части на трех съемных скамьях. </w:t>
      </w:r>
    </w:p>
    <w:p w14:paraId="44911371"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Вооружение СУ-14 состояло из 203-мм гаубицы Б-4 обр.1931 года с верхним станком, подъемным и поворотным механизмами. Вспомогательное вооружение — три 7,62-мм пулемета ДТ, которые могли размещаться в шести бугельных установках (по три на борт). Кроме того, для одного пулемета ДТ был предусмотрен вертлюг для зенитной стрельбы, расположенный справа в передней части палубы САУ. Возимый боекомплект состоял из восьми, выстрелов раздельного заряжания и 2268 патронов к пулеметам ДТ. Для загрузки боеприпасов (масса снаряда составляла около 114 кг) в кормовой части самоходки имелись две лебедки грузоподъемностью 200 кг. При стрельбе машина опиралась на два сошника, имевших ручной и электрический приводы гидроцилиндров. </w:t>
      </w:r>
    </w:p>
    <w:p w14:paraId="0CA3A38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СУ-14 устанавливались двигатель М-17 мощностью 500 л.с. и трансмиссия, представлявшая собой конгломерат агрегатов танков Т-28 и Т-35. Главный и бортовые фрикционы с плавающими ленточными тормозами были заимствованы у танка Т-35, а пятискоростная коробка передач и бортовые передачи — у Т-28. </w:t>
      </w:r>
    </w:p>
    <w:p w14:paraId="7CC544D6"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Ходовая часть (применительно к одному борту) состояла из ведущего колеса переднего расположения, направляющего колеса, шести поддерживающих катков, четырех двухкатковых тележек с неразъемными балансирами и подвеской на вертикальных спиральных пружинах. Подвеска имела механизм выключения для ее разгрузки при стрельбе. Узлы ходовой части заимствованы у тяжелого танка Т-35 (11638).</w:t>
      </w:r>
    </w:p>
    <w:p w14:paraId="36EEBAEE"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7F861998"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три об</w:t>
      </w:r>
      <w:r w:rsidRPr="0044524F">
        <w:rPr>
          <w:rFonts w:ascii="Times New Roman" w:hAnsi="Times New Roman"/>
          <w:color w:val="000000" w:themeColor="text1"/>
          <w:sz w:val="16"/>
          <w:szCs w:val="16"/>
        </w:rPr>
        <w:softHyphen/>
        <w:t>разца ПБ-4, которые Ижорский завод изготовил сентябре 1933 года, прошли испытания пробе</w:t>
      </w:r>
      <w:r w:rsidRPr="0044524F">
        <w:rPr>
          <w:rFonts w:ascii="Times New Roman" w:hAnsi="Times New Roman"/>
          <w:color w:val="000000" w:themeColor="text1"/>
          <w:sz w:val="16"/>
          <w:szCs w:val="16"/>
        </w:rPr>
        <w:softHyphen/>
        <w:t>гом и на плаву.</w:t>
      </w:r>
    </w:p>
    <w:p w14:paraId="5690D3F4" w14:textId="77777777" w:rsidR="001E1317" w:rsidRPr="0044524F" w:rsidRDefault="001E1317"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Получив задание на производство БАД-2, работники Ижорского завода столкнулись с проблемой изготовления бронекорпуса машины, который имел очень сложную фор</w:t>
      </w:r>
      <w:r w:rsidRPr="0044524F">
        <w:rPr>
          <w:i w:val="0"/>
          <w:iCs w:val="0"/>
          <w:color w:val="000000" w:themeColor="text1"/>
          <w:spacing w:val="0"/>
          <w:kern w:val="0"/>
          <w:position w:val="0"/>
          <w:sz w:val="16"/>
          <w:szCs w:val="16"/>
          <w:lang w:val="ru-RU"/>
        </w:rPr>
        <w:softHyphen/>
        <w:t>му. Поэтому инженер-конструктор Эммануилов и замести</w:t>
      </w:r>
      <w:r w:rsidRPr="0044524F">
        <w:rPr>
          <w:i w:val="0"/>
          <w:iCs w:val="0"/>
          <w:color w:val="000000" w:themeColor="text1"/>
          <w:spacing w:val="0"/>
          <w:kern w:val="0"/>
          <w:position w:val="0"/>
          <w:sz w:val="16"/>
          <w:szCs w:val="16"/>
          <w:lang w:val="ru-RU"/>
        </w:rPr>
        <w:softHyphen/>
        <w:t>тель начальника КБС Григорьев при активном участии на</w:t>
      </w:r>
      <w:r w:rsidRPr="0044524F">
        <w:rPr>
          <w:i w:val="0"/>
          <w:iCs w:val="0"/>
          <w:color w:val="000000" w:themeColor="text1"/>
          <w:spacing w:val="0"/>
          <w:kern w:val="0"/>
          <w:position w:val="0"/>
          <w:sz w:val="16"/>
          <w:szCs w:val="16"/>
          <w:lang w:val="ru-RU"/>
        </w:rPr>
        <w:softHyphen/>
        <w:t>чальника КБС Померанцева спроектировали новую боевую плавающую машину, получившую обозначение ПБ-4.</w:t>
      </w:r>
    </w:p>
    <w:p w14:paraId="0D201BAC"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Впервые в нашей стране корпус бронеавтомобиля был безрамным и несущим. По конфигурации он почти не от</w:t>
      </w:r>
      <w:r w:rsidRPr="0044524F">
        <w:rPr>
          <w:rFonts w:ascii="Times New Roman" w:hAnsi="Times New Roman"/>
          <w:color w:val="000000" w:themeColor="text1"/>
          <w:sz w:val="16"/>
          <w:szCs w:val="16"/>
        </w:rPr>
        <w:softHyphen/>
        <w:t>личался от корпуса БА-3, за исключением изменения кон</w:t>
      </w:r>
      <w:r w:rsidRPr="0044524F">
        <w:rPr>
          <w:rFonts w:ascii="Times New Roman" w:hAnsi="Times New Roman"/>
          <w:color w:val="000000" w:themeColor="text1"/>
          <w:sz w:val="16"/>
          <w:szCs w:val="16"/>
        </w:rPr>
        <w:softHyphen/>
        <w:t>струкции кормы. Передний и задние мосты монтировались снаружи и приваривались к специальным кронштейнам, карданный вал выводился наружу через специальный саль</w:t>
      </w:r>
      <w:r w:rsidRPr="0044524F">
        <w:rPr>
          <w:rFonts w:ascii="Times New Roman" w:hAnsi="Times New Roman"/>
          <w:color w:val="000000" w:themeColor="text1"/>
          <w:sz w:val="16"/>
          <w:szCs w:val="16"/>
        </w:rPr>
        <w:softHyphen/>
        <w:t>ник в редане днища корпуса.</w:t>
      </w:r>
    </w:p>
    <w:p w14:paraId="23D25BC5"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Башня цилиндрической формы, аналогичная по конст</w:t>
      </w:r>
      <w:r w:rsidRPr="0044524F">
        <w:rPr>
          <w:rFonts w:ascii="Times New Roman" w:hAnsi="Times New Roman"/>
          <w:color w:val="000000" w:themeColor="text1"/>
          <w:sz w:val="16"/>
          <w:szCs w:val="16"/>
        </w:rPr>
        <w:softHyphen/>
        <w:t>рукции БА-3, но без кормовой ниши, располагалась в задней части машины. Для посадки экипажа из 4 человек, раз</w:t>
      </w:r>
      <w:r w:rsidRPr="0044524F">
        <w:rPr>
          <w:rFonts w:ascii="Times New Roman" w:hAnsi="Times New Roman"/>
          <w:color w:val="000000" w:themeColor="text1"/>
          <w:sz w:val="16"/>
          <w:szCs w:val="16"/>
        </w:rPr>
        <w:softHyphen/>
        <w:t>мещавшихся так же, как на БА-3, служили два люка в кры</w:t>
      </w:r>
      <w:r w:rsidRPr="0044524F">
        <w:rPr>
          <w:rFonts w:ascii="Times New Roman" w:hAnsi="Times New Roman"/>
          <w:color w:val="000000" w:themeColor="text1"/>
          <w:sz w:val="16"/>
          <w:szCs w:val="16"/>
        </w:rPr>
        <w:softHyphen/>
        <w:t>ше над отделением управления и два в башне. Доступ к дви</w:t>
      </w:r>
      <w:r w:rsidRPr="0044524F">
        <w:rPr>
          <w:rFonts w:ascii="Times New Roman" w:hAnsi="Times New Roman"/>
          <w:color w:val="000000" w:themeColor="text1"/>
          <w:sz w:val="16"/>
          <w:szCs w:val="16"/>
        </w:rPr>
        <w:softHyphen/>
        <w:t>гателю осуществлялся через откидывающуюся вперед кры</w:t>
      </w:r>
      <w:r w:rsidRPr="0044524F">
        <w:rPr>
          <w:rFonts w:ascii="Times New Roman" w:hAnsi="Times New Roman"/>
          <w:color w:val="000000" w:themeColor="text1"/>
          <w:sz w:val="16"/>
          <w:szCs w:val="16"/>
        </w:rPr>
        <w:softHyphen/>
        <w:t>шу моторного отделения, запираемую 10 хомутиками. Кроме того, в днище корпуса имелись 4 пробки для стока попавшей внутрь воды и 2 лючка для слива масла из карте</w:t>
      </w:r>
      <w:r w:rsidRPr="0044524F">
        <w:rPr>
          <w:rFonts w:ascii="Times New Roman" w:hAnsi="Times New Roman"/>
          <w:color w:val="000000" w:themeColor="text1"/>
          <w:sz w:val="16"/>
          <w:szCs w:val="16"/>
        </w:rPr>
        <w:softHyphen/>
        <w:t>ров двигателя и демультипликатора.</w:t>
      </w:r>
    </w:p>
    <w:p w14:paraId="58175694"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Наблюдение за дорогой водитель вел через лючок со смотровой щелью в лобовом листе корпуса и две смотровые щели в бортах. В башне наблюдение велось через смотро</w:t>
      </w:r>
      <w:r w:rsidRPr="0044524F">
        <w:rPr>
          <w:rFonts w:ascii="Times New Roman" w:hAnsi="Times New Roman"/>
          <w:color w:val="000000" w:themeColor="text1"/>
          <w:sz w:val="16"/>
          <w:szCs w:val="16"/>
        </w:rPr>
        <w:softHyphen/>
        <w:t>вые приборы «Триплекс» в правом и левом бортах.</w:t>
      </w:r>
    </w:p>
    <w:p w14:paraId="12614695"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броневика состояло из 45-мм танковой пушки 20К и спаренного пулемета ДТ в башне и еще одно</w:t>
      </w:r>
      <w:r w:rsidRPr="0044524F">
        <w:rPr>
          <w:rFonts w:ascii="Times New Roman" w:hAnsi="Times New Roman"/>
          <w:color w:val="000000" w:themeColor="text1"/>
          <w:sz w:val="16"/>
          <w:szCs w:val="16"/>
        </w:rPr>
        <w:softHyphen/>
        <w:t>го ДТ в лобовом листе корпуса. Следует отметить, что из-за отсутствия ниши башня получилась неуравновешенной, поэтому ее поворот на 360 или 180 градусов требовал боль</w:t>
      </w:r>
      <w:r w:rsidRPr="0044524F">
        <w:rPr>
          <w:rFonts w:ascii="Times New Roman" w:hAnsi="Times New Roman"/>
          <w:color w:val="000000" w:themeColor="text1"/>
          <w:sz w:val="16"/>
          <w:szCs w:val="16"/>
        </w:rPr>
        <w:softHyphen/>
        <w:t>шого усилия на маховиках, а при крене 10—11 градусов в сторону приходилось их вращать обеими руками.</w:t>
      </w:r>
    </w:p>
    <w:p w14:paraId="38DD7B4D"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Боекомплект к пушке состоял из 52 снарядов, к пулеме</w:t>
      </w:r>
      <w:r w:rsidRPr="0044524F">
        <w:rPr>
          <w:rFonts w:ascii="Times New Roman" w:hAnsi="Times New Roman"/>
          <w:color w:val="000000" w:themeColor="text1"/>
          <w:sz w:val="16"/>
          <w:szCs w:val="16"/>
        </w:rPr>
        <w:softHyphen/>
        <w:t>там 2268 патронов (36 дисков). Снаряды укладывались по бокам башни (12 штук), справа и слева в корме корпуса (две укладки по 20 штук), пулеметные диски располагались в башне и по бортам боевого отделения.</w:t>
      </w:r>
    </w:p>
    <w:p w14:paraId="23D00327"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ПБ-4 оснащался 40-сильным двигателем ГАЗ-АА, стандартной «газовской» коробкой перемены передач и де</w:t>
      </w:r>
      <w:r w:rsidRPr="0044524F">
        <w:rPr>
          <w:rFonts w:ascii="Times New Roman" w:hAnsi="Times New Roman"/>
          <w:color w:val="000000" w:themeColor="text1"/>
          <w:sz w:val="16"/>
          <w:szCs w:val="16"/>
        </w:rPr>
        <w:softHyphen/>
        <w:t>мультипликатором. Движение на плаву осуществлялось при помощи трехлопастного гребного винта, установлен</w:t>
      </w:r>
      <w:r w:rsidRPr="0044524F">
        <w:rPr>
          <w:rFonts w:ascii="Times New Roman" w:hAnsi="Times New Roman"/>
          <w:color w:val="000000" w:themeColor="text1"/>
          <w:sz w:val="16"/>
          <w:szCs w:val="16"/>
        </w:rPr>
        <w:softHyphen/>
        <w:t>ного на удлиненном червяке дифференциала заднего мос</w:t>
      </w:r>
      <w:r w:rsidRPr="0044524F">
        <w:rPr>
          <w:rFonts w:ascii="Times New Roman" w:hAnsi="Times New Roman"/>
          <w:color w:val="000000" w:themeColor="text1"/>
          <w:sz w:val="16"/>
          <w:szCs w:val="16"/>
        </w:rPr>
        <w:softHyphen/>
        <w:t>та. Как и на БАД-2, винт ПБ-4 был включен постоянно, да</w:t>
      </w:r>
      <w:r w:rsidRPr="0044524F">
        <w:rPr>
          <w:rFonts w:ascii="Times New Roman" w:hAnsi="Times New Roman"/>
          <w:color w:val="000000" w:themeColor="text1"/>
          <w:sz w:val="16"/>
          <w:szCs w:val="16"/>
        </w:rPr>
        <w:softHyphen/>
        <w:t>же на суше. Соответственно в воде вращались колеса зад</w:t>
      </w:r>
      <w:r w:rsidRPr="0044524F">
        <w:rPr>
          <w:rFonts w:ascii="Times New Roman" w:hAnsi="Times New Roman"/>
          <w:color w:val="000000" w:themeColor="text1"/>
          <w:sz w:val="16"/>
          <w:szCs w:val="16"/>
        </w:rPr>
        <w:softHyphen/>
        <w:t>них мостов.</w:t>
      </w:r>
    </w:p>
    <w:p w14:paraId="7E15C243" w14:textId="77777777" w:rsidR="001E1317" w:rsidRPr="0044524F" w:rsidRDefault="001E1317"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Для увеличения водоизмещения по бортам броневика устанавливались деревянные поплавки (а не пробковые, как указывалось в ряде источников), обитые 1 мм железом.</w:t>
      </w:r>
    </w:p>
    <w:p w14:paraId="23CA6F0A"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Бронеавтомобиль комплектовался четырьмя спасательны</w:t>
      </w:r>
      <w:r w:rsidRPr="0044524F">
        <w:rPr>
          <w:rFonts w:ascii="Times New Roman" w:hAnsi="Times New Roman"/>
          <w:color w:val="000000" w:themeColor="text1"/>
          <w:sz w:val="16"/>
          <w:szCs w:val="16"/>
        </w:rPr>
        <w:softHyphen/>
        <w:t>ми пробковыми жилетами, уложенными между снарядны</w:t>
      </w:r>
      <w:r w:rsidRPr="0044524F">
        <w:rPr>
          <w:rFonts w:ascii="Times New Roman" w:hAnsi="Times New Roman"/>
          <w:color w:val="000000" w:themeColor="text1"/>
          <w:sz w:val="16"/>
          <w:szCs w:val="16"/>
        </w:rPr>
        <w:softHyphen/>
        <w:t>ми стеллажами в корме корпуса. Для откачки попавшей внутрь воды справа от водителя крепилась ручная помпа «Альвейер» производительностью 20 литров в минуту.</w:t>
      </w:r>
    </w:p>
    <w:p w14:paraId="28129F49"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и все средние советские броневики, ПБ-4 имел вращающиеся запасные колеса и вездеходные цепи «Ове-ролл», уложенные на корме машины. Боевая масса броне</w:t>
      </w:r>
      <w:r w:rsidRPr="0044524F">
        <w:rPr>
          <w:rFonts w:ascii="Times New Roman" w:hAnsi="Times New Roman"/>
          <w:color w:val="000000" w:themeColor="text1"/>
          <w:sz w:val="16"/>
          <w:szCs w:val="16"/>
        </w:rPr>
        <w:softHyphen/>
        <w:t>автомобиля составляла 5285 кг.Несмотря на удовлетворительные результа</w:t>
      </w:r>
      <w:r w:rsidRPr="0044524F">
        <w:rPr>
          <w:rFonts w:ascii="Times New Roman" w:hAnsi="Times New Roman"/>
          <w:color w:val="000000" w:themeColor="text1"/>
          <w:sz w:val="16"/>
          <w:szCs w:val="16"/>
        </w:rPr>
        <w:softHyphen/>
        <w:t>ты, у них выявили большое количество недостатков и недо</w:t>
      </w:r>
      <w:r w:rsidRPr="0044524F">
        <w:rPr>
          <w:rFonts w:ascii="Times New Roman" w:hAnsi="Times New Roman"/>
          <w:color w:val="000000" w:themeColor="text1"/>
          <w:sz w:val="16"/>
          <w:szCs w:val="16"/>
        </w:rPr>
        <w:softHyphen/>
        <w:t xml:space="preserve">работок, в частности </w:t>
      </w:r>
      <w:r w:rsidRPr="0044524F">
        <w:rPr>
          <w:rFonts w:ascii="Times New Roman" w:hAnsi="Times New Roman"/>
          <w:color w:val="000000" w:themeColor="text1"/>
          <w:sz w:val="16"/>
          <w:szCs w:val="16"/>
        </w:rPr>
        <w:lastRenderedPageBreak/>
        <w:t>большое количество трещин в местах сварных швов бронекорпусов. Из-за этого представитель военной приемки на заводе принял броневики только ус</w:t>
      </w:r>
      <w:r w:rsidRPr="0044524F">
        <w:rPr>
          <w:rFonts w:ascii="Times New Roman" w:hAnsi="Times New Roman"/>
          <w:color w:val="000000" w:themeColor="text1"/>
          <w:sz w:val="16"/>
          <w:szCs w:val="16"/>
        </w:rPr>
        <w:softHyphen/>
        <w:t>ловно, а заказчик - УММ РККА - не оплатило их (11284).</w:t>
      </w:r>
    </w:p>
    <w:p w14:paraId="6D758663"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p>
    <w:p w14:paraId="50B1801F"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октября 1933 года танковым производством занимался непосредственно подчинённый НКТП Спецмаштрест, созданный по предложению В. В. Куйбышева. В составе этого первого специализированного отраслевого органа управления танковой промышленностью вошли ХПЗ, завод имени Ворошилова (ранее «Большевик»), 2-й завод ВАТО (позже переименован в завод № 37), завод «Красный Октябрь», Ижорский завод. Во главе Спецмаштреста был поставлен К. А. Нейман (12290).</w:t>
      </w:r>
    </w:p>
    <w:p w14:paraId="448CFE5A" w14:textId="77777777" w:rsidR="00BA29CE" w:rsidRPr="0044524F" w:rsidRDefault="00BA29CE" w:rsidP="009654CF">
      <w:pPr>
        <w:spacing w:after="0" w:line="240" w:lineRule="auto"/>
        <w:jc w:val="both"/>
        <w:rPr>
          <w:rFonts w:ascii="Times New Roman" w:hAnsi="Times New Roman"/>
          <w:color w:val="000000" w:themeColor="text1"/>
          <w:sz w:val="16"/>
          <w:szCs w:val="16"/>
        </w:rPr>
      </w:pPr>
    </w:p>
    <w:p w14:paraId="70069B68"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w:t>
      </w:r>
      <w:r w:rsidRPr="0044524F">
        <w:rPr>
          <w:rFonts w:ascii="Times New Roman" w:hAnsi="Times New Roman"/>
          <w:color w:val="000000" w:themeColor="text1"/>
          <w:sz w:val="16"/>
          <w:szCs w:val="16"/>
        </w:rPr>
        <w:softHyphen/>
        <w:t>ре 1933 года началось проектирование нового автомобиля ГАЗ М-1 (Моло</w:t>
      </w:r>
      <w:r w:rsidRPr="0044524F">
        <w:rPr>
          <w:rFonts w:ascii="Times New Roman" w:hAnsi="Times New Roman"/>
          <w:color w:val="000000" w:themeColor="text1"/>
          <w:sz w:val="16"/>
          <w:szCs w:val="16"/>
        </w:rPr>
        <w:softHyphen/>
        <w:t>тов-1), созданного на основе американского «Форд-40». До</w:t>
      </w:r>
      <w:r w:rsidRPr="0044524F">
        <w:rPr>
          <w:rFonts w:ascii="Times New Roman" w:hAnsi="Times New Roman"/>
          <w:color w:val="000000" w:themeColor="text1"/>
          <w:sz w:val="16"/>
          <w:szCs w:val="16"/>
        </w:rPr>
        <w:softHyphen/>
        <w:t>кументация по последнему была поставлена в СССР фир</w:t>
      </w:r>
      <w:r w:rsidRPr="0044524F">
        <w:rPr>
          <w:rFonts w:ascii="Times New Roman" w:hAnsi="Times New Roman"/>
          <w:color w:val="000000" w:themeColor="text1"/>
          <w:sz w:val="16"/>
          <w:szCs w:val="16"/>
        </w:rPr>
        <w:softHyphen/>
        <w:t>мой «Форд мотор компани» по договору о технической по</w:t>
      </w:r>
      <w:r w:rsidRPr="0044524F">
        <w:rPr>
          <w:rFonts w:ascii="Times New Roman" w:hAnsi="Times New Roman"/>
          <w:color w:val="000000" w:themeColor="text1"/>
          <w:sz w:val="16"/>
          <w:szCs w:val="16"/>
        </w:rPr>
        <w:softHyphen/>
        <w:t>мощи, заключенному в 1929 году. Новая машина, разработанная под руководством главного конструктора Горьковского автозавода А. Липгарта, значительно отлича</w:t>
      </w:r>
      <w:r w:rsidRPr="0044524F">
        <w:rPr>
          <w:rFonts w:ascii="Times New Roman" w:hAnsi="Times New Roman"/>
          <w:color w:val="000000" w:themeColor="text1"/>
          <w:sz w:val="16"/>
          <w:szCs w:val="16"/>
        </w:rPr>
        <w:softHyphen/>
        <w:t>лась от ГАЗ-А. Она имела более мощный двигатель, новую коробку перемены передач, более жесткую раму и т.д. Первые опытные образцы собрали в январе 1934 года, а серийное производство ГАЗ М-1 началось в фе</w:t>
      </w:r>
      <w:r w:rsidRPr="0044524F">
        <w:rPr>
          <w:rFonts w:ascii="Times New Roman" w:hAnsi="Times New Roman"/>
          <w:color w:val="000000" w:themeColor="text1"/>
          <w:sz w:val="16"/>
          <w:szCs w:val="16"/>
        </w:rPr>
        <w:softHyphen/>
        <w:t>врале 1936 года (11284).</w:t>
      </w:r>
    </w:p>
    <w:p w14:paraId="4884E762" w14:textId="77777777" w:rsidR="001E1317" w:rsidRPr="0044524F" w:rsidRDefault="001E1317" w:rsidP="009654CF">
      <w:pPr>
        <w:shd w:val="clear" w:color="auto" w:fill="FFFFFF"/>
        <w:spacing w:after="0" w:line="240" w:lineRule="auto"/>
        <w:jc w:val="both"/>
        <w:rPr>
          <w:rFonts w:ascii="Times New Roman" w:hAnsi="Times New Roman"/>
          <w:color w:val="000000" w:themeColor="text1"/>
          <w:sz w:val="16"/>
          <w:szCs w:val="16"/>
        </w:rPr>
      </w:pPr>
    </w:p>
    <w:p w14:paraId="2DAD6528" w14:textId="5C3FCFE1" w:rsidR="00F46121" w:rsidRPr="0044524F" w:rsidRDefault="00F461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октябре 1933 года началось проектирование нового автомобиля, первые опытные образцы собрали в январе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1934 г</w:t>
        </w:r>
      </w:smartTag>
      <w:r w:rsidRPr="0044524F">
        <w:rPr>
          <w:rFonts w:ascii="Times New Roman" w:hAnsi="Times New Roman"/>
          <w:color w:val="000000" w:themeColor="text1"/>
          <w:sz w:val="16"/>
          <w:szCs w:val="16"/>
        </w:rPr>
        <w:t>., а серийное производство ГАЗ М-1 началось в феврале 1936 года. Серийное производство БА-20 передали на Выксунский завод ДРО в июле 1936 года, и до конца года здесь сумели изготовить 33 линейных броневика и 2 БА-20 с радиостанцией и поручневой антенной на корпусе. Причем одно время выпуск</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БА-20 шел параллельно с ФАИ (15218).</w:t>
      </w:r>
    </w:p>
    <w:p w14:paraId="700E7F1A"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772F04E6" w14:textId="77777777" w:rsidR="00F46121" w:rsidRPr="0044524F" w:rsidRDefault="00F46121" w:rsidP="009654CF">
      <w:pPr>
        <w:widowControl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октябре 1933 года на ГАЗ начали проектирование нового легкового автомобиля, первые опытные образцы собрали в январе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1934 г</w:t>
        </w:r>
      </w:smartTag>
      <w:r w:rsidRPr="0044524F">
        <w:rPr>
          <w:rFonts w:ascii="Times New Roman" w:hAnsi="Times New Roman"/>
          <w:color w:val="000000" w:themeColor="text1"/>
          <w:sz w:val="16"/>
          <w:szCs w:val="16"/>
        </w:rPr>
        <w:t xml:space="preserve">., а серийное производство ГАЗ М-1 началось в феврале 1936 года. Автомобиль ГАЗ М-1 (Молотов-1) был создан на базе американского «Форд-40». Документация по последнему была поставлена в СССР фирмой «Форд моторс компани» по договору о технической помощи, заключенному в 1929 году. Новая машина, разработанная под руководством главного конструктора Горьковского автозавода А.А. Липгарта, значительно отличалась от ГАЗ-А. Она имела более мощный двигатель, новую коробку перемены передач, более жесткую раму и т.д.В </w:t>
      </w:r>
      <w:smartTag w:uri="urn:schemas-microsoft-com:office:smarttags" w:element="metricconverter">
        <w:smartTagPr>
          <w:attr w:name="ProductID" w:val="1945 г"/>
        </w:smartTagPr>
        <w:r w:rsidRPr="0044524F">
          <w:rPr>
            <w:rFonts w:ascii="Times New Roman" w:hAnsi="Times New Roman"/>
            <w:color w:val="000000" w:themeColor="text1"/>
            <w:sz w:val="16"/>
            <w:szCs w:val="16"/>
          </w:rPr>
          <w:t>1935 г</w:t>
        </w:r>
      </w:smartTag>
      <w:r w:rsidRPr="0044524F">
        <w:rPr>
          <w:rFonts w:ascii="Times New Roman" w:hAnsi="Times New Roman"/>
          <w:color w:val="000000" w:themeColor="text1"/>
          <w:sz w:val="16"/>
          <w:szCs w:val="16"/>
        </w:rPr>
        <w:t xml:space="preserve"> производство автомобиля ГАЗ-А на Горьковском автозаводе было прекращено (15218).</w:t>
      </w:r>
    </w:p>
    <w:p w14:paraId="61DBE084" w14:textId="77777777" w:rsidR="00F46121" w:rsidRPr="0044524F" w:rsidRDefault="00F46121" w:rsidP="009654CF">
      <w:pPr>
        <w:widowControl w:val="0"/>
        <w:spacing w:after="0" w:line="240" w:lineRule="auto"/>
        <w:jc w:val="both"/>
        <w:rPr>
          <w:rFonts w:ascii="Times New Roman" w:hAnsi="Times New Roman"/>
          <w:color w:val="000000" w:themeColor="text1"/>
          <w:sz w:val="16"/>
          <w:szCs w:val="16"/>
        </w:rPr>
      </w:pPr>
    </w:p>
    <w:p w14:paraId="4B41169F"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1933г. завод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(1939г.)/ /150040 г. Ярославль пр. Октября, 75 тел. 27-40-11) изготовил два шасси для первых троллейбусов ЛК (Лазарь Каганович), выпускашихся на ЗиСе. В 1935г. заводу поручено проектирование и освоение производства троллейбусов с выпуском в 1936г. 250 машин. Осенью 1935г.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25.07.1936г. В 01.1937г.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 (11982).</w:t>
      </w:r>
    </w:p>
    <w:p w14:paraId="1B0DB678"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781DD1DD"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между ГАУ и ЦРЛ был заключен договор, явившийся первым в Советском Союзе юридическим документом, положившим начало планомерным научным исследованиям и опытно-конструкторским работам по радиообнаружению, и первым документом систематического финансирования таких работ (ЦГАСА, ф. 20, оп. 41, ед. хр. 70, л. 72 – 146) (11026).</w:t>
      </w:r>
    </w:p>
    <w:p w14:paraId="2B08F4F0"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2947DAF6" w14:textId="77777777" w:rsidR="00995B13" w:rsidRPr="0044524F" w:rsidRDefault="00995B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автозавод им. Сталина изготовил кузова для двух троллейбусов, а завод «Динамо» - электрооборудование и электромоторы. Собирали троллейбусы ЛК-1 на СВАРЗе - Сокольническом вагоно-авторемонтном заводе. Первые рейсы троллейбусы совершили в октябре по Ленинградскому шоссе от Тверской заставы до моста через окружную железную дорогу. Троллейбус ЛК-1 мог развивать скорость до 60 км/ч, вмещать 45 пассажиров, у него было 37 сидячих мест. По этим образцам была построена значительная серия машин на заводе АреМЗ под маркой Л К-2.</w:t>
      </w:r>
    </w:p>
    <w:p w14:paraId="44A7E828" w14:textId="77777777" w:rsidR="00995B13" w:rsidRPr="0044524F" w:rsidRDefault="00995B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НАМИ проработал вопрос о создании конструкции многоместного транспортного средства в помощь трамваю По инициативе Моссовета. В качестве такового конструкторское бюро автоотдела под руководством А.А. Липгарта при участии А.Н. Островцова, П.Ф. Бромлея, Б.М. Фиттермана предложило и разработало троллейбус. По заданию 1-го секретаря МК ВКП (б) Лазаря Кагановича проектируется двухосный троллейбус на базе шасси автобуса Я-6. Машины получили индекс «ЛК» (Лазарь Каганович). На 3-й партийной конференции Октябрьского района г. Москвы делегат конференции, рабочий опытного завода т. Клименко рапортовал: «В подарок XVII съезду ВКП (б) мы выпустили досрочно троллейбус» (22518).</w:t>
      </w:r>
    </w:p>
    <w:p w14:paraId="788229BC" w14:textId="77777777" w:rsidR="00995B13" w:rsidRPr="0044524F" w:rsidRDefault="00995B13" w:rsidP="009654CF">
      <w:pPr>
        <w:spacing w:after="0" w:line="240" w:lineRule="auto"/>
        <w:jc w:val="both"/>
        <w:rPr>
          <w:rFonts w:ascii="Times New Roman" w:hAnsi="Times New Roman"/>
          <w:color w:val="000000" w:themeColor="text1"/>
          <w:sz w:val="16"/>
          <w:szCs w:val="16"/>
        </w:rPr>
      </w:pPr>
    </w:p>
    <w:p w14:paraId="3487FE05" w14:textId="616BBD52" w:rsidR="00995B13" w:rsidRPr="0044524F" w:rsidRDefault="00995B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В октябре 1933 г.</w:t>
      </w:r>
      <w:r w:rsidR="0088747B">
        <w:rPr>
          <w:rFonts w:ascii="Times New Roman" w:hAnsi="Times New Roman"/>
          <w:color w:val="000000" w:themeColor="text1"/>
          <w:sz w:val="16"/>
          <w:szCs w:val="16"/>
          <w:shd w:val="clear" w:color="auto" w:fill="FFFFFF"/>
        </w:rPr>
        <w:t xml:space="preserve"> </w:t>
      </w:r>
      <w:r w:rsidRPr="0044524F">
        <w:rPr>
          <w:rFonts w:ascii="Times New Roman" w:hAnsi="Times New Roman"/>
          <w:color w:val="000000" w:themeColor="text1"/>
          <w:sz w:val="16"/>
          <w:szCs w:val="16"/>
          <w:shd w:val="clear" w:color="auto" w:fill="FFFFFF"/>
        </w:rPr>
        <w:t>связи с организацией троллейбусного движения в Головановском переулке (в районе нынешней станции метро "Сокол") был выстроен гараж для обслуживания 4 машин. Вновь поступавшие машины ЛК стояли ночью на улице. В июне 1934 г. на 10-м километре Ленинградского шоссе началось строительство нового гаража-профилактория на 54 машино-места и стоянкой на 84 ед. 10 января 1935 г. сюда были поставлены первые 24 машины ЛК (на инвентаре тогда было 38 машин). Он был достроен только в конце 1938 г. Официально парк открыт 10 мая 1935 г. (по адресу: Ленинградское шоссе, 236а). В начале 1936 г. в парке был 61 троллейбус ЛК, а в июле этого года с Ярославского завода прибыл первый троллейбус ЯТБ-1 (N 101). На 1 января 1937 г. в парке было 89 машин, в т.ч. 60 ЛК и 29 ЯТБ-1. В 1937 г. в парк поступили два английских троллейбуса, а в 1938-39 гг. 10 двухэтажных машин ЯТБ-3. В начале 1941 г. в нем было 239 троллейбусов (главным образом ЯТБ-1, старые машины ЛК, которые эксплуатировались только этим парком, в 19З9-40 гг. были переделаны в грузовые, а во время войны было переоборудовано и большинство ЯТБ-1, которые стали обслуживать Северный речной порт, куда прибывали топливо, продовольствие и другие грузы. В 1945 г. в парке на ходу было только 73 троллейбуса (21510).</w:t>
      </w:r>
    </w:p>
    <w:p w14:paraId="6028CEDF" w14:textId="77777777" w:rsidR="00995B13" w:rsidRPr="0044524F" w:rsidRDefault="00995B13" w:rsidP="009654CF">
      <w:pPr>
        <w:spacing w:after="0" w:line="240" w:lineRule="auto"/>
        <w:jc w:val="both"/>
        <w:rPr>
          <w:rFonts w:ascii="Times New Roman" w:hAnsi="Times New Roman"/>
          <w:color w:val="000000" w:themeColor="text1"/>
          <w:sz w:val="16"/>
          <w:szCs w:val="16"/>
        </w:rPr>
      </w:pPr>
    </w:p>
    <w:p w14:paraId="215A1F21" w14:textId="77777777" w:rsidR="00995B13" w:rsidRPr="0044524F" w:rsidRDefault="00995B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года в рамках работ по первому направлению (работы в области «противосамолетной» радиолокации развернулись в Советском Союзе по двум магистральным направлениям: – создания радиолокационных средств обнаружения летательных аппаратов противника управления огнем зенитных средств (зенитной артиллерии), что подразумевало тактический характер применения таких радиотехнических средств; – создания радиолокационных средств большой дальности для раннего обнаружения самолетов противника, что представляло собой уже задачу оперативно-тактического, а может быть, и стратегического – по меркам того времени – характера.) между ГАУ и ЦРЛ был заключен договор, явившийся, по оценкам отечественных специалистов, первым в Советском Союзе юридическим документом, положившим начало планомерным научным исследованиям и опытно-конструкторским работам по радиообнаружению, и первым документом систематического финансирования таких работ. Работы по данной теме в Центральной радиолаборатории возглавил руководитель группы дециметровых волн этой организации 26-летний инженер Юрий Константинович Коровин (22709).</w:t>
      </w:r>
    </w:p>
    <w:p w14:paraId="1968F774" w14:textId="77777777" w:rsidR="00995B13" w:rsidRPr="0044524F" w:rsidRDefault="00995B13" w:rsidP="009654CF">
      <w:pPr>
        <w:spacing w:after="0" w:line="240" w:lineRule="auto"/>
        <w:jc w:val="both"/>
        <w:rPr>
          <w:rFonts w:ascii="Times New Roman" w:hAnsi="Times New Roman"/>
          <w:color w:val="000000" w:themeColor="text1"/>
          <w:sz w:val="16"/>
          <w:szCs w:val="16"/>
          <w:lang w:eastAsia="ru-RU" w:bidi="ru-RU"/>
        </w:rPr>
      </w:pPr>
    </w:p>
    <w:p w14:paraId="11A95329"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создано ЦКБТМ (ЦКБ текстильного машиностроения (ЦКБТМ) НКТП, Центральное проектно- экспериментальное бюро легкого машиностроения (ЦПБЛМ) НКМ, ГС НИИ машиностроения для текстильной и легкой промышленности (НИИЛТмаш) НКОМ, НКМВ /г. Москва/). По пр. от 4.09.1937г. переименовано в Центральное проектно-экспериментальное бюро легкого машиностроения. По пр. от 14.05.1939г. реорганизовано в НИИЛТмаш. В 1939-40 г. институт имел статус Государственного Союзного. По пр. от 16.07.1941 г. на базе «Проектобщемаша» и НИИЛТмаша организован НИИ минометного вооружения (НИИ № 1). Предприятие находилось в ведении: НКТП (1933-37г.), НКМ (1937-39г.), НКОМ (1939-41 г.), НКМВ (1941-41 г.).</w:t>
      </w:r>
      <w:r w:rsidRPr="0044524F">
        <w:rPr>
          <w:rFonts w:ascii="Times New Roman" w:hAnsi="Times New Roman"/>
          <w:color w:val="000000" w:themeColor="text1"/>
          <w:sz w:val="16"/>
          <w:szCs w:val="16"/>
          <w:vertAlign w:val="superscript"/>
        </w:rPr>
        <w:t xml:space="preserve">137 </w:t>
      </w:r>
      <w:r w:rsidRPr="0044524F">
        <w:rPr>
          <w:rFonts w:ascii="Times New Roman" w:hAnsi="Times New Roman"/>
          <w:color w:val="000000" w:themeColor="text1"/>
          <w:sz w:val="16"/>
          <w:szCs w:val="16"/>
        </w:rPr>
        <w:t>(11982).</w:t>
      </w:r>
    </w:p>
    <w:p w14:paraId="27E819AC"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0E2DA3CB"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было создано Центральное конструкторское бюро текстильного машиностроения (ЦКБТМ) Приказом Наркомата машиностроения СССР от 4 сентября 1937 г. бюро переименовано в Центральное проектно-экспериментальное бюро легкого машиностроения. Приказом Наркомата общего машиностроения СССР от 14 мая 1939 г. бюро реорганизовано в Научно-исследовательский институт машиностроения для текстильной и легкой промышленности "НИИЛТмаш". В 1939 - 1940 гг. институт назывался Государственный союзный научно-исследовательский институт машиностроения для текстильной и легкой промышленности "НИИЛТмаш". Приказом Наркомата минометного вооружения СССР от 16 июля 1942 г. на базе института и Всесоюзной конторы по проектированию заводов общего машиностроения "Проектобщмаш" создан Научно-исследовательский институт минометного вооружения "НИИ-1". Постановлением Совета Народных Комиссаров СССР от 17 февраля 1946 г. НИИ-1 переименован в Научно-исследовательский институт текстильного и легкого машиностроения "НИИЛтекмаш", а приказом Госкомитета Совета Министров СССР по автоматизации и машиностроению от 4 июня 1959 г. переименован во Всесоюзный научно-исследовательский институт легкого и текстильного машиностроения (ВНИИЛтекмаш) (12102).</w:t>
      </w:r>
    </w:p>
    <w:p w14:paraId="07F16117"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522667A0"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по заданию ГАУ в отделе приемных устройств ЦРЛ начаты исследования по обнаружению самолетов с помощью радиоволн. В состав отдела входила военно-морская лаборатория, группа исследователей техники дециметровых волн. 14.02.1934 г. начаты ОКР по радиообнаружению самолетов для обеспечения стрельбы зенитной артиллерии. В 05.1935 г. изготовлена экспериментальная радиоустановка.</w:t>
      </w:r>
    </w:p>
    <w:p w14:paraId="26624EC7"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1934 г. на базе ЦРЛ организован Радиоэкспериментальный институт. В ~1936 г. на базе ЦРЛ созданы ОРПУ КМРС и ИРПА. В 12.1936 г. ИРПА передан в ведение НКОП (при передаче планировалось переименовать его по аналогии с другими институтами в НИИ-20, но это не было сделано), приказом № 148 от 17.04.1937 г. утвержден Устав института. В 07.1937-12.1938 г. ИРПА - в ведении 5ГУ. По Указу Президиума ВС СССР от 17.04.1940 г. передан из 7ГУ НКАП в НКЭП (11982).</w:t>
      </w:r>
    </w:p>
    <w:p w14:paraId="2474E01E"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7C240B6D" w14:textId="77777777" w:rsidR="00FB3D1E" w:rsidRPr="00142305" w:rsidRDefault="00FB3D1E" w:rsidP="00FB3D1E">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октябре 1933 года заключили договор между Центральной радиолабора</w:t>
      </w:r>
      <w:r w:rsidRPr="00142305">
        <w:rPr>
          <w:rStyle w:val="aff"/>
          <w:rFonts w:ascii="Times New Roman" w:hAnsi="Times New Roman" w:cs="Times New Roman"/>
          <w:color w:val="0070C0"/>
          <w:spacing w:val="0"/>
          <w:sz w:val="16"/>
          <w:szCs w:val="16"/>
        </w:rPr>
        <w:softHyphen/>
        <w:t>тории (ЦРЛ) и ГАУ на работы в области РЛС.</w:t>
      </w:r>
    </w:p>
    <w:p w14:paraId="0DD746F1"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Вторым заказчиком вы</w:t>
      </w:r>
      <w:r w:rsidRPr="00142305">
        <w:rPr>
          <w:rStyle w:val="aff"/>
          <w:rFonts w:ascii="Times New Roman" w:hAnsi="Times New Roman" w:cs="Times New Roman"/>
          <w:color w:val="0070C0"/>
          <w:spacing w:val="0"/>
          <w:sz w:val="16"/>
          <w:szCs w:val="16"/>
        </w:rPr>
        <w:softHyphen/>
        <w:t>ступало управление ПВО РККА, создавшее в Ленинградском физико-техническом институте (ЛФТИ, директор - академик В.Ф. Иоффе) ла</w:t>
      </w:r>
      <w:r w:rsidRPr="00142305">
        <w:rPr>
          <w:rStyle w:val="aff"/>
          <w:rFonts w:ascii="Times New Roman" w:hAnsi="Times New Roman" w:cs="Times New Roman"/>
          <w:color w:val="0070C0"/>
          <w:spacing w:val="0"/>
          <w:sz w:val="16"/>
          <w:szCs w:val="16"/>
        </w:rPr>
        <w:softHyphen/>
        <w:t>бораторию по радиообнаружению самолетов.</w:t>
      </w:r>
    </w:p>
    <w:p w14:paraId="16C94639"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Наибольший успех выпал на долю инже</w:t>
      </w:r>
      <w:r w:rsidRPr="00142305">
        <w:rPr>
          <w:rStyle w:val="aff"/>
          <w:rFonts w:ascii="Times New Roman" w:hAnsi="Times New Roman" w:cs="Times New Roman"/>
          <w:color w:val="0070C0"/>
          <w:spacing w:val="0"/>
          <w:sz w:val="16"/>
          <w:szCs w:val="16"/>
        </w:rPr>
        <w:softHyphen/>
        <w:t>неров, построивших в ЛФТИ действующий макет импульсного радиолокатора. До этого в подобных установках, в том числе в первой советской РЛС РУС-1 «Ревень», принятой на вооружение в 1939 году, использовалось не</w:t>
      </w:r>
      <w:r w:rsidRPr="00142305">
        <w:rPr>
          <w:rStyle w:val="aff"/>
          <w:rFonts w:ascii="Times New Roman" w:hAnsi="Times New Roman" w:cs="Times New Roman"/>
          <w:color w:val="0070C0"/>
          <w:spacing w:val="0"/>
          <w:sz w:val="16"/>
          <w:szCs w:val="16"/>
        </w:rPr>
        <w:softHyphen/>
        <w:t>прерывное излучение. В 1938 году макет ЛФТИ на испытаниях показал дальность действия до 50 км по самолету типа СБ, летевшему на вы</w:t>
      </w:r>
      <w:r w:rsidRPr="00142305">
        <w:rPr>
          <w:rStyle w:val="aff"/>
          <w:rFonts w:ascii="Times New Roman" w:hAnsi="Times New Roman" w:cs="Times New Roman"/>
          <w:color w:val="0070C0"/>
          <w:spacing w:val="0"/>
          <w:sz w:val="16"/>
          <w:szCs w:val="16"/>
        </w:rPr>
        <w:softHyphen/>
        <w:t>соте 1,5 км. На его основе в московском НИИ-20 (в настоящее время - АО «Всероссийский НИИ радиотехники», ВНИИРТ), под руководством А.Б. Слепушкина собрали мобильную станцию дальнего обнаружения самолетов «Редут» (25683).</w:t>
      </w:r>
    </w:p>
    <w:p w14:paraId="4297B4CD" w14:textId="77777777" w:rsidR="00FB3D1E" w:rsidRPr="00142305" w:rsidRDefault="00FB3D1E" w:rsidP="00FB3D1E">
      <w:pPr>
        <w:spacing w:after="0" w:line="240" w:lineRule="auto"/>
        <w:jc w:val="both"/>
        <w:rPr>
          <w:rFonts w:ascii="Times New Roman" w:hAnsi="Times New Roman"/>
          <w:color w:val="0070C0"/>
          <w:sz w:val="16"/>
          <w:szCs w:val="16"/>
        </w:rPr>
      </w:pPr>
    </w:p>
    <w:p w14:paraId="7C95C5CD"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группа Ю. К. Коровина в Ленинграде в Центральной радиолаборатории (ЦРЛ) начала работу в направлении РЛС непрерывного излучения. В экспериментах использовались передатчик с непрерывным излучением в диапазоне 50–60 см, мощностью 0,2 Вт, сверхрегенеративный приёмник с выходом на головные телефоны и параболические зеркальные антенны диаметром 2 метра. Первые опыты были проведены 3 января 1934 г. Самолёт обнаруживался на расстоянии до 700 м. Это было первое в стране успешное применение электромагнитных волн для обнаружения самолётов на основе эффекта Доплера (25184).</w:t>
      </w:r>
    </w:p>
    <w:p w14:paraId="18D25418" w14:textId="77777777" w:rsidR="00FB3D1E" w:rsidRPr="00142305" w:rsidRDefault="00FB3D1E" w:rsidP="00FB3D1E">
      <w:pPr>
        <w:spacing w:after="0" w:line="240" w:lineRule="auto"/>
        <w:jc w:val="both"/>
        <w:rPr>
          <w:rFonts w:ascii="Times New Roman" w:hAnsi="Times New Roman"/>
          <w:color w:val="0070C0"/>
          <w:sz w:val="16"/>
          <w:szCs w:val="16"/>
        </w:rPr>
      </w:pPr>
    </w:p>
    <w:p w14:paraId="3A27D892" w14:textId="77777777" w:rsidR="00995B13" w:rsidRPr="0044524F" w:rsidRDefault="00995B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в Харькове вручную собрали и настроили первые три пленочных фотоаппарата «ФЭД». Планировалось, что завод фотоаппаратов будет независимым предприятием, однако воспитанники коммуны, им. Дзержинского, принимавшие самое деятельное участие в его строительстве, были против и настояли на том, чтобы он оставался в составе коммуны. В этом их самым активным образом поддержал Макаренко. Коммуна продолжала работать, наряду с производством, вполне современным по тем временам, в ее составе действовали школа, рабфак и техникум, которые превращали малолетних бомжей в полноценных членов общества, открывая перед ними настоящую жизнь.</w:t>
      </w:r>
    </w:p>
    <w:p w14:paraId="25AC1CED" w14:textId="77777777" w:rsidR="00995B13" w:rsidRPr="0044524F" w:rsidRDefault="00995B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 фотоаппарата — дело тонкое, сравнимое с работой часовщика, причем к механике подключается и оптика со своими специфическими требованиями. И такое производство удалось поставить на поток, организовать по всем правилам науки планирования. Успешное освоение выпуска пленочных фотоаппаратов означало новый этап развития коммуны.</w:t>
      </w:r>
    </w:p>
    <w:p w14:paraId="56DE794D" w14:textId="77777777" w:rsidR="00995B13" w:rsidRPr="0044524F" w:rsidRDefault="00995B1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1935 г. был изготовлен десятитысячный фотоаппарат ФЭД, эта камера успела завоевать симпатии и любителей, и профессионалов. Она работала на земле, в небесах и на море, и в Сибири, и в Средней Азии, и даже на Северном полюсе в экспедиции Папанина был такой фотоаппарат. Росли объемы производства — так, за 1936 г. фотоаппаратов ФЭД было сделано уже 25000 штук. Но техника техникой, а главной задачей коммуны оставалось перевоспитание трудных подростков, и в силу требований времени руководить этим продолжали чекисты — начальниками коммуны были И.П. Судаков, П.К. Тихонов, а с 1936 г. — В.С. Берман (23014).</w:t>
      </w:r>
    </w:p>
    <w:p w14:paraId="2FE06A92" w14:textId="77777777" w:rsidR="00995B13" w:rsidRPr="0044524F" w:rsidRDefault="00995B13" w:rsidP="009654CF">
      <w:pPr>
        <w:spacing w:after="0" w:line="240" w:lineRule="auto"/>
        <w:jc w:val="both"/>
        <w:rPr>
          <w:rFonts w:ascii="Times New Roman" w:hAnsi="Times New Roman"/>
          <w:color w:val="000000" w:themeColor="text1"/>
          <w:sz w:val="16"/>
          <w:szCs w:val="16"/>
        </w:rPr>
      </w:pPr>
    </w:p>
    <w:p w14:paraId="32C69EBD" w14:textId="77777777" w:rsidR="00F46121" w:rsidRPr="0044524F" w:rsidRDefault="00F4612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октября 1933 года сходненское производство стало филиалом завода «Точизмеритель», снабжающим завод стекольными полуфабрикатами (9353).</w:t>
      </w:r>
    </w:p>
    <w:p w14:paraId="08C48936" w14:textId="77777777" w:rsidR="00F46121" w:rsidRPr="0044524F" w:rsidRDefault="00F46121" w:rsidP="009654CF">
      <w:pPr>
        <w:spacing w:after="0" w:line="240" w:lineRule="auto"/>
        <w:jc w:val="both"/>
        <w:rPr>
          <w:rFonts w:ascii="Times New Roman" w:hAnsi="Times New Roman"/>
          <w:color w:val="000000" w:themeColor="text1"/>
          <w:sz w:val="16"/>
          <w:szCs w:val="16"/>
        </w:rPr>
      </w:pPr>
    </w:p>
    <w:p w14:paraId="76D09A35"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вступила в строй головная лодка "Щука", давшая наименование всей серии и вскоре отнесенная к средним подводным лодкам. Строителем ее бьш инженер М. Л. Ковальский. Почти одновремен</w:t>
      </w:r>
      <w:r w:rsidRPr="0044524F">
        <w:rPr>
          <w:rFonts w:ascii="Times New Roman" w:hAnsi="Times New Roman"/>
          <w:color w:val="000000" w:themeColor="text1"/>
          <w:sz w:val="16"/>
          <w:szCs w:val="16"/>
        </w:rPr>
        <w:softHyphen/>
        <w:t>но были окончены постройкой "Окунь" и "Ерш" (3898).</w:t>
      </w:r>
    </w:p>
    <w:p w14:paraId="3BB8C8EF"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3B013F08" w14:textId="77777777" w:rsidR="001E1317" w:rsidRPr="0044524F" w:rsidRDefault="001E13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 январе 1934 г. на Северной вер</w:t>
      </w:r>
      <w:r w:rsidRPr="0044524F">
        <w:rPr>
          <w:rFonts w:ascii="Times New Roman" w:hAnsi="Times New Roman"/>
          <w:color w:val="000000" w:themeColor="text1"/>
          <w:sz w:val="16"/>
          <w:szCs w:val="16"/>
        </w:rPr>
        <w:softHyphen/>
        <w:t>фи заложили тральщики "Заряд" (Т-201), "Буй" (Т-202), "Патрон" (Т-203) "Фугас" (Т-204), по названию последнего корабля быстроходные тральщики впоследствии стали именовать типом "Фугас". Строите</w:t>
      </w:r>
      <w:r w:rsidRPr="0044524F">
        <w:rPr>
          <w:rFonts w:ascii="Times New Roman" w:hAnsi="Times New Roman"/>
          <w:color w:val="000000" w:themeColor="text1"/>
          <w:sz w:val="16"/>
          <w:szCs w:val="16"/>
        </w:rPr>
        <w:softHyphen/>
        <w:t>лем тральщиков типа "Фугас" на Северной верфи был инженер И. С. Кузовов (3898).</w:t>
      </w:r>
    </w:p>
    <w:p w14:paraId="39DBF750" w14:textId="77777777" w:rsidR="001E1317" w:rsidRPr="0044524F" w:rsidRDefault="001E1317" w:rsidP="009654CF">
      <w:pPr>
        <w:spacing w:after="0" w:line="240" w:lineRule="auto"/>
        <w:jc w:val="both"/>
        <w:rPr>
          <w:rFonts w:ascii="Times New Roman" w:hAnsi="Times New Roman"/>
          <w:color w:val="000000" w:themeColor="text1"/>
          <w:sz w:val="16"/>
          <w:szCs w:val="16"/>
        </w:rPr>
      </w:pPr>
    </w:p>
    <w:p w14:paraId="46AB96FF" w14:textId="77777777" w:rsidR="00570C39" w:rsidRPr="0044524F" w:rsidRDefault="008E43FA"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3FCC93CC"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53340EF9" w14:textId="77777777" w:rsidR="00F04526" w:rsidRPr="0044524F" w:rsidRDefault="00F045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на Дальнем Востоке уже сосредоточили удар</w:t>
      </w:r>
      <w:r w:rsidRPr="0044524F">
        <w:rPr>
          <w:rFonts w:ascii="Times New Roman" w:hAnsi="Times New Roman"/>
          <w:color w:val="000000" w:themeColor="text1"/>
          <w:sz w:val="16"/>
          <w:szCs w:val="16"/>
        </w:rPr>
        <w:softHyphen/>
        <w:t>ный «кулак» из трёх бригад - 26-й, 28-й и 29-й, имевших в общей сложности 134 ТБ-3. Этому способ</w:t>
      </w:r>
      <w:r w:rsidRPr="0044524F">
        <w:rPr>
          <w:rFonts w:ascii="Times New Roman" w:hAnsi="Times New Roman"/>
          <w:color w:val="000000" w:themeColor="text1"/>
          <w:sz w:val="16"/>
          <w:szCs w:val="16"/>
        </w:rPr>
        <w:softHyphen/>
        <w:t>ствовала переброска из Европей</w:t>
      </w:r>
      <w:r w:rsidRPr="0044524F">
        <w:rPr>
          <w:rFonts w:ascii="Times New Roman" w:hAnsi="Times New Roman"/>
          <w:color w:val="000000" w:themeColor="text1"/>
          <w:sz w:val="16"/>
          <w:szCs w:val="16"/>
        </w:rPr>
        <w:softHyphen/>
        <w:t>ской части страны целиком 11-й тбаб из Воронежа (на новом месте, в Нерчинске, она стала 29-й). В Во</w:t>
      </w:r>
      <w:r w:rsidRPr="0044524F">
        <w:rPr>
          <w:rFonts w:ascii="Times New Roman" w:hAnsi="Times New Roman"/>
          <w:color w:val="000000" w:themeColor="text1"/>
          <w:sz w:val="16"/>
          <w:szCs w:val="16"/>
        </w:rPr>
        <w:softHyphen/>
        <w:t>ронеже вместо неё в 1934 г. сфор</w:t>
      </w:r>
      <w:r w:rsidRPr="0044524F">
        <w:rPr>
          <w:rFonts w:ascii="Times New Roman" w:hAnsi="Times New Roman"/>
          <w:color w:val="000000" w:themeColor="text1"/>
          <w:sz w:val="16"/>
          <w:szCs w:val="16"/>
        </w:rPr>
        <w:softHyphen/>
        <w:t>мировали новую бригаду с преж</w:t>
      </w:r>
      <w:r w:rsidRPr="0044524F">
        <w:rPr>
          <w:rFonts w:ascii="Times New Roman" w:hAnsi="Times New Roman"/>
          <w:color w:val="000000" w:themeColor="text1"/>
          <w:sz w:val="16"/>
          <w:szCs w:val="16"/>
        </w:rPr>
        <w:softHyphen/>
        <w:t>ним номером (23469).</w:t>
      </w:r>
    </w:p>
    <w:p w14:paraId="0F2F4F49" w14:textId="77777777" w:rsidR="00F04526" w:rsidRPr="0044524F" w:rsidRDefault="00F04526" w:rsidP="009654CF">
      <w:pPr>
        <w:spacing w:after="0" w:line="240" w:lineRule="auto"/>
        <w:jc w:val="both"/>
        <w:rPr>
          <w:rFonts w:ascii="Times New Roman" w:hAnsi="Times New Roman"/>
          <w:color w:val="000000" w:themeColor="text1"/>
          <w:sz w:val="16"/>
          <w:szCs w:val="16"/>
        </w:rPr>
      </w:pPr>
    </w:p>
    <w:p w14:paraId="264EC6D0"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на первых совместных маневрах минно-торпедной авиации и флота, проводив</w:t>
      </w:r>
      <w:r w:rsidRPr="0044524F">
        <w:rPr>
          <w:rFonts w:ascii="Times New Roman" w:hAnsi="Times New Roman"/>
          <w:color w:val="000000" w:themeColor="text1"/>
          <w:sz w:val="16"/>
          <w:szCs w:val="16"/>
        </w:rPr>
        <w:softHyphen/>
        <w:t>шихся на Балтике, летающие лодки С-62Б прикрыли ды</w:t>
      </w:r>
      <w:r w:rsidRPr="0044524F">
        <w:rPr>
          <w:rFonts w:ascii="Times New Roman" w:hAnsi="Times New Roman"/>
          <w:color w:val="000000" w:themeColor="text1"/>
          <w:sz w:val="16"/>
          <w:szCs w:val="16"/>
        </w:rPr>
        <w:softHyphen/>
        <w:t>мом подход к кораблям-целям тор</w:t>
      </w:r>
      <w:r w:rsidRPr="0044524F">
        <w:rPr>
          <w:rFonts w:ascii="Times New Roman" w:hAnsi="Times New Roman"/>
          <w:color w:val="000000" w:themeColor="text1"/>
          <w:sz w:val="16"/>
          <w:szCs w:val="16"/>
        </w:rPr>
        <w:softHyphen/>
        <w:t>педоносцев ТБ-1 (12269).</w:t>
      </w:r>
    </w:p>
    <w:p w14:paraId="372DDAE7" w14:textId="77777777" w:rsidR="00BA29CE" w:rsidRPr="0044524F" w:rsidRDefault="00BA29CE" w:rsidP="009654CF">
      <w:pPr>
        <w:spacing w:after="0" w:line="240" w:lineRule="auto"/>
        <w:jc w:val="both"/>
        <w:rPr>
          <w:rFonts w:ascii="Times New Roman" w:hAnsi="Times New Roman"/>
          <w:color w:val="000000" w:themeColor="text1"/>
          <w:sz w:val="16"/>
          <w:szCs w:val="16"/>
        </w:rPr>
      </w:pPr>
    </w:p>
    <w:p w14:paraId="7533926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на Дальнем Востоке уже сосредоточили ударный «кулак» из трех бригад - 26-й, 28-й и 29-й, имевших в общей сложности 134 ТБ-3. Этому способствовала переброска из европейской части страны целиком 11 -и ТБАБ из Воронежа (на новом месте, в Нерчинске, она стала 29-й). В Воронеже вместо нее в 1934 г. сформировали новую бригаду с прежним номером. Эти силы являлись серьезным сдерживающим фактором для агрессивных устремлений Японии, чьи военные очень уважительно относились к «длинной руке» РККА. Так, оценивая потенциальные потери от удара советских тяжелых бомбардировщиков по району Токио, майор Катаока пришел к выводу, что ущерб превзойдет тот, что нанесло знаменитое землетрясение 1923 г. Противопоставить ТБ-3 японцам тогда было нечего (7668).</w:t>
      </w:r>
    </w:p>
    <w:p w14:paraId="5683717F"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BA6027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на Дальнем Востоке уже сосредоточили ударный "кулак" из трех бригад - 26-й, 28-й и 29-й, имевших в обшей сложности 134 ТБ-3. Этому способствовала переброска из Европейской части страны целиком 11-й бригады из Воронежа (на новом месте, в Нерчинске, она стала 29-й). В Воронеже вместо нее в 1934 г. сформировали новую бригаду с прежним номером.</w:t>
      </w:r>
    </w:p>
    <w:p w14:paraId="7AB91CD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 силы являлись серьезным сдерживающим фактором для агрессивных устремлений Японии, чьи военные очень уважительно относились к "длинной руке" РККА. Так, оценивая потенциальные потери от удара советских тяжелых бомбардировщиков по району Токио, майор Катаока пришел к выводу, что ущерб превзойдет тот, что нанесло знаменитое землетрясение 1923 г. Противопоставить ТБ-3 японцам тогда было нечего. В августе 1933 г. известный японский военный специалист Хирота даже предложил план нанесения упреждающего удара по аэродромам Приморья силами палубной авиации, не считаясь ни с потерями самолетов, ни с возможной гибелью авианосцев.</w:t>
      </w:r>
    </w:p>
    <w:p w14:paraId="2A954CB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Наши штабисты действительно занимались планированием массированных бомбовых ударов по Токио, Осаке и другим городам Страны восходящего солнца. Но зная реальные возможности имеющейся техники и аэродромной сети, эффективность налетов они оценивали существенно ниже, а потери - выше, чем японские коллеги (12024).</w:t>
      </w:r>
    </w:p>
    <w:p w14:paraId="3CADAB47"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D909A9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на Дальнем Востоке уже сосредоточили ударный "кулак" из трех бригад - 26-й, 28-й и 29-й, имевших в общей сложности 134 ТБ-3. Этому способствовала переброска из Европейской части страны целиком 11-й тбаб из Воронежа (на новом месте, в Нерчинске, она стала 29-й). В Воронеже вместо нее в 1934 г. сформировали новую бригаду с прежним номером.</w:t>
      </w:r>
    </w:p>
    <w:p w14:paraId="5F88280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 силы являлись серьезным сдерживающим фактором для агрессивных устремлений Японии, чьи военные очень уважительно относились к "длинной руке" РККА. Так, оценивая потенциальные потери от удара советских тяжелых бомбардировщиков по району Токио, майор Катаока пришел к выводу, что ущерб превзойдет тот, что нанесло знаменитое землетрясение 1923 г. Противопоставить ТБ-3 японцам тогда было нечего. В августе 1933 г. известный японский военный специалист Хирота даже предложил план нанесения упреждающего удара по аэродромам Приморья силами палубной авиации, не считаясь ни с потерями самолетов, ни с возможной гибелью авианосцев.</w:t>
      </w:r>
    </w:p>
    <w:p w14:paraId="0573F71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за год смогли сформировать 17 тяжелобомбардировочных эскадрилий. При этом доля бомбардировочной авиации в ВВС РККА поднялась с 26% до 35%. Хотели же получить гораздо больше - из-за недовыполнения планов в 1933 г. отказались от создания шести тяжелобомбардировочных бригад. По первоначальным наметкам уже к концу того года хотели иметь 864 тяжелых бомбардировщика в сухопутной авиации и 576 - в морской (12036).</w:t>
      </w:r>
    </w:p>
    <w:p w14:paraId="4CDB4529"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5FB2999C"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на Дальнем Востоке уже сосредоточили ударный «кулак» из трех бригад - 26-й, 28-й и 29-й, имевших в об</w:t>
      </w:r>
      <w:r w:rsidRPr="00142305">
        <w:rPr>
          <w:rFonts w:ascii="Times New Roman" w:hAnsi="Times New Roman"/>
          <w:color w:val="0070C0"/>
          <w:sz w:val="16"/>
          <w:szCs w:val="16"/>
        </w:rPr>
        <w:softHyphen/>
        <w:t>щей сложности 134 ТБ-3. Этому способст</w:t>
      </w:r>
      <w:r w:rsidRPr="00142305">
        <w:rPr>
          <w:rFonts w:ascii="Times New Roman" w:hAnsi="Times New Roman"/>
          <w:color w:val="0070C0"/>
          <w:sz w:val="16"/>
          <w:szCs w:val="16"/>
        </w:rPr>
        <w:softHyphen/>
        <w:t>вовала переброска из европейской части страны целиком 11-й тбаб из Воронежа (на новом месте, в Нерчинске, она стала 29-й). В Воронеже вместо нее в 1934 г. сформировали новую бригаду с прежним номером</w:t>
      </w:r>
    </w:p>
    <w:p w14:paraId="61BBDAC0"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Эти силы являлись серьезным сдер</w:t>
      </w:r>
      <w:r w:rsidRPr="00142305">
        <w:rPr>
          <w:rFonts w:ascii="Times New Roman" w:hAnsi="Times New Roman"/>
          <w:color w:val="0070C0"/>
          <w:sz w:val="16"/>
          <w:szCs w:val="16"/>
        </w:rPr>
        <w:softHyphen/>
        <w:t>живающим фактором для агрессивных устремлений Японии, чьи военные очень уважительно относились к «длинной руке» РККА. Так, оценивая потенциальные поте</w:t>
      </w:r>
      <w:r w:rsidRPr="00142305">
        <w:rPr>
          <w:rFonts w:ascii="Times New Roman" w:hAnsi="Times New Roman"/>
          <w:color w:val="0070C0"/>
          <w:sz w:val="16"/>
          <w:szCs w:val="16"/>
        </w:rPr>
        <w:softHyphen/>
        <w:t>ри от удара советских тяжелых бомбарди</w:t>
      </w:r>
      <w:r w:rsidRPr="00142305">
        <w:rPr>
          <w:rFonts w:ascii="Times New Roman" w:hAnsi="Times New Roman"/>
          <w:color w:val="0070C0"/>
          <w:sz w:val="16"/>
          <w:szCs w:val="16"/>
        </w:rPr>
        <w:softHyphen/>
        <w:t>ровщиков по району Токио, майор Катаока пришел к выводу, что разрушения пре</w:t>
      </w:r>
      <w:r w:rsidRPr="00142305">
        <w:rPr>
          <w:rFonts w:ascii="Times New Roman" w:hAnsi="Times New Roman"/>
          <w:color w:val="0070C0"/>
          <w:sz w:val="16"/>
          <w:szCs w:val="16"/>
        </w:rPr>
        <w:softHyphen/>
        <w:t>взойдут знаменитое землетрясение 1923 г. Противопоставить ТБ-3 японцы тогда ни</w:t>
      </w:r>
      <w:r w:rsidRPr="00142305">
        <w:rPr>
          <w:rFonts w:ascii="Times New Roman" w:hAnsi="Times New Roman"/>
          <w:color w:val="0070C0"/>
          <w:sz w:val="16"/>
          <w:szCs w:val="16"/>
        </w:rPr>
        <w:softHyphen/>
        <w:t>чего не могли (24937).</w:t>
      </w:r>
    </w:p>
    <w:p w14:paraId="7EC3D2DC" w14:textId="77777777" w:rsidR="00FB3D1E" w:rsidRPr="00142305" w:rsidRDefault="00FB3D1E" w:rsidP="00FB3D1E">
      <w:pPr>
        <w:spacing w:after="0" w:line="240" w:lineRule="auto"/>
        <w:jc w:val="both"/>
        <w:rPr>
          <w:rFonts w:ascii="Times New Roman" w:hAnsi="Times New Roman"/>
          <w:color w:val="0070C0"/>
          <w:sz w:val="16"/>
          <w:szCs w:val="16"/>
        </w:rPr>
      </w:pPr>
    </w:p>
    <w:p w14:paraId="397D3D54"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на Дальнем Востоке уже сосредоточили ударный «кулак» из трех бригад — 26-й, 28-й и 29-й, имев</w:t>
      </w:r>
      <w:r w:rsidRPr="00142305">
        <w:rPr>
          <w:rFonts w:ascii="Times New Roman" w:hAnsi="Times New Roman"/>
          <w:color w:val="0070C0"/>
          <w:sz w:val="16"/>
          <w:szCs w:val="16"/>
        </w:rPr>
        <w:softHyphen/>
        <w:t>ших в общей сложности 134 ТБ-3. Этому способствова</w:t>
      </w:r>
      <w:r w:rsidRPr="00142305">
        <w:rPr>
          <w:rFonts w:ascii="Times New Roman" w:hAnsi="Times New Roman"/>
          <w:color w:val="0070C0"/>
          <w:sz w:val="16"/>
          <w:szCs w:val="16"/>
        </w:rPr>
        <w:softHyphen/>
        <w:t>ла переброска из Европейской части страны целиком ll-й тбаб из Воронежа (на новом месте, в Нерчинске, она стала 29-й). В Воронеже вместо нее в 1934 г. сформировали новую бригаду с прежним номером.</w:t>
      </w:r>
    </w:p>
    <w:p w14:paraId="14A69FA7"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Эти силы являлись серьезным сдерживающим фактором для агрессивных устремлений Японии, чьи военные очень уважительно относились к «длинной руке» РККА. Так, оце</w:t>
      </w:r>
      <w:r w:rsidRPr="00142305">
        <w:rPr>
          <w:rFonts w:ascii="Times New Roman" w:hAnsi="Times New Roman"/>
          <w:color w:val="0070C0"/>
          <w:sz w:val="16"/>
          <w:szCs w:val="16"/>
        </w:rPr>
        <w:softHyphen/>
        <w:t>нивая потенциальные потери от удара советских тяжелых бомбардировщиков по району Токио, майор Катаока при</w:t>
      </w:r>
      <w:r w:rsidRPr="00142305">
        <w:rPr>
          <w:rFonts w:ascii="Times New Roman" w:hAnsi="Times New Roman"/>
          <w:color w:val="0070C0"/>
          <w:sz w:val="16"/>
          <w:szCs w:val="16"/>
        </w:rPr>
        <w:softHyphen/>
        <w:t>шел к ВЫВОДУ, что ущерб превзойдет тот, что нанесло знаме</w:t>
      </w:r>
      <w:r w:rsidRPr="00142305">
        <w:rPr>
          <w:rFonts w:ascii="Times New Roman" w:hAnsi="Times New Roman"/>
          <w:color w:val="0070C0"/>
          <w:sz w:val="16"/>
          <w:szCs w:val="16"/>
        </w:rPr>
        <w:softHyphen/>
        <w:t>нитое землетрясение 1923 г. Противопоставить ТБ-3 япон</w:t>
      </w:r>
      <w:r w:rsidRPr="00142305">
        <w:rPr>
          <w:rFonts w:ascii="Times New Roman" w:hAnsi="Times New Roman"/>
          <w:color w:val="0070C0"/>
          <w:sz w:val="16"/>
          <w:szCs w:val="16"/>
        </w:rPr>
        <w:softHyphen/>
        <w:t>цам тогда было нечего. В августе 1933 г. известный японский военный специалист Хирота даже предложил план нанесе</w:t>
      </w:r>
      <w:r w:rsidRPr="00142305">
        <w:rPr>
          <w:rFonts w:ascii="Times New Roman" w:hAnsi="Times New Roman"/>
          <w:color w:val="0070C0"/>
          <w:sz w:val="16"/>
          <w:szCs w:val="16"/>
        </w:rPr>
        <w:softHyphen/>
        <w:t>ния упреждающего удара по аэродромам Приморья силами палубной авиации, не считаясь ни с потерями самолетов, ни с возможной гибелью авианосцев (24977).</w:t>
      </w:r>
    </w:p>
    <w:p w14:paraId="57477EDE" w14:textId="77777777" w:rsidR="00FB3D1E" w:rsidRPr="00142305" w:rsidRDefault="00FB3D1E" w:rsidP="00FB3D1E">
      <w:pPr>
        <w:spacing w:after="0" w:line="240" w:lineRule="auto"/>
        <w:jc w:val="both"/>
        <w:rPr>
          <w:rFonts w:ascii="Times New Roman" w:hAnsi="Times New Roman"/>
          <w:color w:val="0070C0"/>
          <w:sz w:val="16"/>
          <w:szCs w:val="16"/>
        </w:rPr>
      </w:pPr>
    </w:p>
    <w:p w14:paraId="12F90FE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Р-5 морской авиации приняли участие в маневрах Балтийского флота. Они поддерживали атаку ТБ-1 с авиационными минами и торпедами (11936).</w:t>
      </w:r>
    </w:p>
    <w:p w14:paraId="77E330B5"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1D0874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Р-5 морской авиации приняли участие в маневрах Балтийского флота. Они поддерживали атаку ТБ-1 с авиационными минами и торпедами. Самолеты были вооружены практическими бомбами и выливны- ми приборами, заправленными водой. Перед ними ставилась задача подавления зенитных средств кораблей. Действия авиации на этих учениях признали не очень удачными - несогласованность по времени привела к большому интервалу между атакой Р-5 и торпедоносцев, а истребители прикрытия вообще не нашли своих "подопечных" (12034).</w:t>
      </w:r>
    </w:p>
    <w:p w14:paraId="17E20AC1"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58BE714E"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Р-5 морской авиации приняли участие в маневрах Балтийского флота. Они поддерживали ата</w:t>
      </w:r>
      <w:r w:rsidRPr="00142305">
        <w:rPr>
          <w:rFonts w:ascii="Times New Roman" w:hAnsi="Times New Roman"/>
          <w:color w:val="0070C0"/>
          <w:sz w:val="16"/>
          <w:szCs w:val="16"/>
        </w:rPr>
        <w:softHyphen/>
        <w:t>ку ТБ-1 с авиационными минами и торпедами. Самоле</w:t>
      </w:r>
      <w:r w:rsidRPr="00142305">
        <w:rPr>
          <w:rFonts w:ascii="Times New Roman" w:hAnsi="Times New Roman"/>
          <w:color w:val="0070C0"/>
          <w:sz w:val="16"/>
          <w:szCs w:val="16"/>
        </w:rPr>
        <w:softHyphen/>
        <w:t>ты были вооружены практическими бомбами и выливными приборами, заправленными водой. Перед ними стави</w:t>
      </w:r>
      <w:r w:rsidRPr="00142305">
        <w:rPr>
          <w:rFonts w:ascii="Times New Roman" w:hAnsi="Times New Roman"/>
          <w:color w:val="0070C0"/>
          <w:sz w:val="16"/>
          <w:szCs w:val="16"/>
        </w:rPr>
        <w:softHyphen/>
        <w:t>лась задача подавления зенитных средств кораблей. Дейс</w:t>
      </w:r>
      <w:r w:rsidRPr="00142305">
        <w:rPr>
          <w:rFonts w:ascii="Times New Roman" w:hAnsi="Times New Roman"/>
          <w:color w:val="0070C0"/>
          <w:sz w:val="16"/>
          <w:szCs w:val="16"/>
        </w:rPr>
        <w:softHyphen/>
        <w:t>твия авиации на этих учениях признали не очень удачны</w:t>
      </w:r>
      <w:r w:rsidRPr="00142305">
        <w:rPr>
          <w:rFonts w:ascii="Times New Roman" w:hAnsi="Times New Roman"/>
          <w:color w:val="0070C0"/>
          <w:sz w:val="16"/>
          <w:szCs w:val="16"/>
        </w:rPr>
        <w:softHyphen/>
        <w:t>ми - несогласованность по времени привела к большому интервалу между атакой Р-5 и торпедоносцев, а истреби</w:t>
      </w:r>
      <w:r w:rsidRPr="00142305">
        <w:rPr>
          <w:rFonts w:ascii="Times New Roman" w:hAnsi="Times New Roman"/>
          <w:color w:val="0070C0"/>
          <w:sz w:val="16"/>
          <w:szCs w:val="16"/>
        </w:rPr>
        <w:softHyphen/>
        <w:t>тели прикрытия вообще не нашли своих «подопечных» (24990).</w:t>
      </w:r>
    </w:p>
    <w:p w14:paraId="1D0DAE1B" w14:textId="77777777" w:rsidR="00FB3D1E" w:rsidRPr="00142305" w:rsidRDefault="00FB3D1E" w:rsidP="00FB3D1E">
      <w:pPr>
        <w:spacing w:after="0" w:line="240" w:lineRule="auto"/>
        <w:jc w:val="both"/>
        <w:rPr>
          <w:rFonts w:ascii="Times New Roman" w:hAnsi="Times New Roman"/>
          <w:color w:val="0070C0"/>
          <w:sz w:val="16"/>
          <w:szCs w:val="16"/>
        </w:rPr>
      </w:pPr>
    </w:p>
    <w:p w14:paraId="55C359C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на первых учениях отечественной минно-торпедной авиации была опробована ее тактика.</w:t>
      </w:r>
    </w:p>
    <w:p w14:paraId="425885C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Сброс предполагалось осуществлять группой самолетов из строя залпом по команде ведущего. При этом большое значение придавалось выдерживанию дистанции между машинами в строю. Самолеты должны были лететь фронтом или пеленгом. Дистанцию собирались измерять специальным дальномером конструкции А.Э. Столярского. Для прицеливания при сбросе мин и торпед с парашютами создали прицел СП-123 (принятый на вооружение как ПВТБ-1). А в будущем рассчитывали получить от промышленности телемеханическую (радиоуправляемую) систему, при использовании которой бомбардир само- лета-лидера мог одновременно сбросить все мины, которые несли машины группы.</w:t>
      </w:r>
    </w:p>
    <w:p w14:paraId="5910221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при тогдашних средствах аэронавигации определить точное место установки мины было довольно трудно, то заграждения планировалось выставлять в узких проходах, у баз вражеского флота и на коммуникациях в тылу противника. Кроме того, предложена была тактика "динамического вомизомета- ния" - сброса мин на пути движущегося корабля. При этом на поражение его миной не очень рассчитывали. Ставилась задача - сковать маневр корабля, ведущего артиллерийский бой или подвергающегося атаке торпедных катеров. При этом самолету отводилась роль "загонщика". "Маневренное применение ВОМИЗ может совершенно изменить как характер морского боя, так и его исход...", - отмечалось в отчете НИИ ВВС.</w:t>
      </w:r>
    </w:p>
    <w:p w14:paraId="5AF9AD0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Учения (они именовались "опытовыми") проходили на Балтике по специальному постановлению Реввоенсовета, ими лично руководил начальник ВВС РККА Я.И. Алкснис. Самолеты ТБ-1П 121-й эскадрильи применяли торпеды ТАН-12 и мины МАВ-1 (12001).</w:t>
      </w:r>
    </w:p>
    <w:p w14:paraId="37705829"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BF2FC9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состоялись первые учения с применением торпедоносцев Учения проходили на Балтике по специальному постановлению Реввоенсовета под личным руководством заместителя Наркома по военным и морским делам М.Н. Тухачевского. В своем письменном докладе К.Е. Ворошилову он отмечал:</w:t>
      </w:r>
    </w:p>
    <w:p w14:paraId="63D091E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постановления Реввоенсовета СССР от 9 июля 1933 г. мною было проведено 8 октября 1933 г. опытное учение Морских сил Балтийского моря с целью определить возможности дальнейшего развития тактики морского боя и увеличения боевой значимости мелких судов, путем применения высотного бомбо- и минометания. низкого и высотного торпедометания, торпедных катеров, телеуправляемых торпед и дымовых завес...</w:t>
      </w:r>
    </w:p>
    <w:p w14:paraId="537955F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Учение состояло из трех эпизодов.</w:t>
      </w:r>
    </w:p>
    <w:p w14:paraId="70E35D1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эпизод учения имел своей задачей разработку частного случая движения линкора в узкости.</w:t>
      </w:r>
    </w:p>
    <w:p w14:paraId="5D7700F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2-й эпизод имел своей задачей: применением новых технических средств поставить свободно маневрирующий линкор в такое положение, когда он не мог бы использовать всей своей артиллерии и когда он подвергался бы одновременной атаке бомбардировщиков, торпедоносцев, торпедных катеров...</w:t>
      </w:r>
    </w:p>
    <w:p w14:paraId="396CD3D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3-й эпизод состоял из опыта с радиоуправляемой торпедой Бекаури (РУТ). Опыт показал изумительную меткость торпеды.</w:t>
      </w:r>
    </w:p>
    <w:p w14:paraId="1F074C8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учение в совокупности заставляет прийти к следующим выводам:</w:t>
      </w:r>
    </w:p>
    <w:p w14:paraId="760F88B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Применение новых технических средств морского и воздушного боя совершенно по-новому ставит вопрос о борьбе с линейным флотом, особенно в условиях относительной близости берега. Быстроходность линкора и мощь его артиллерийского вооружения могут уменьшиться, иногда почти сводиться на нет применением высотного и низкого торпедометания, высотной постановкой мин заграждения, атаками радиоуправляемыми торпедами и торпедными катерами.</w:t>
      </w:r>
    </w:p>
    <w:p w14:paraId="4CFCE51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Основным выводом из этого является необходимость форсированного создания мощного торпедоносного и мино- заградительного воздушного флота, обратив на это дело в первую очередь все сухопутные ТБ-1.</w:t>
      </w:r>
    </w:p>
    <w:p w14:paraId="1CED931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Охранение линейного флота от атак с воздуха должно быть возложено на специальные суда, несущие на себе:</w:t>
      </w:r>
    </w:p>
    <w:p w14:paraId="6130131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ТБ-1П из состава ВВС Морских сил Балтийского моря</w:t>
      </w:r>
    </w:p>
    <w:p w14:paraId="0C588B3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авиацию, могущую в любой момент подняться в воздух для отражения атак противника;</w:t>
      </w:r>
    </w:p>
    <w:p w14:paraId="3BE138C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зенитные орудия...</w:t>
      </w:r>
    </w:p>
    <w:p w14:paraId="4A4C4A4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отношении материальной части: ...</w:t>
      </w:r>
    </w:p>
    <w:p w14:paraId="6BC9E4F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необходимо сконструировать специальный самолет-торпедоносец..." (12002).</w:t>
      </w:r>
    </w:p>
    <w:p w14:paraId="3B620F3B"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06B94CB"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октябре 1933 г первыми учениями отечес</w:t>
      </w:r>
      <w:r w:rsidRPr="00142305">
        <w:rPr>
          <w:rFonts w:ascii="Times New Roman" w:hAnsi="Times New Roman"/>
          <w:color w:val="0070C0"/>
          <w:sz w:val="16"/>
          <w:szCs w:val="16"/>
        </w:rPr>
        <w:softHyphen/>
        <w:t>твенной минно-торпедной авиации «Опы</w:t>
      </w:r>
      <w:r w:rsidRPr="00142305">
        <w:rPr>
          <w:rFonts w:ascii="Times New Roman" w:hAnsi="Times New Roman"/>
          <w:color w:val="0070C0"/>
          <w:sz w:val="16"/>
          <w:szCs w:val="16"/>
        </w:rPr>
        <w:softHyphen/>
        <w:t>товыми», проходившими на Балтике по специ</w:t>
      </w:r>
      <w:r w:rsidRPr="00142305">
        <w:rPr>
          <w:rFonts w:ascii="Times New Roman" w:hAnsi="Times New Roman"/>
          <w:color w:val="0070C0"/>
          <w:sz w:val="16"/>
          <w:szCs w:val="16"/>
        </w:rPr>
        <w:softHyphen/>
        <w:t>альному постановлению Реввоенсовета, лично руководил начальник УВВС РККА Я.И. Алкснис. Самолеты ТБ-1П 121-й эскадрильи сбрасывали торпеды ТАН-12 и мины МАВ-1. 10 октября четыре машины с торпедами и четыре с минами (естественно, без боевого заряда) атаковали эс</w:t>
      </w:r>
      <w:r w:rsidRPr="00142305">
        <w:rPr>
          <w:rFonts w:ascii="Times New Roman" w:hAnsi="Times New Roman"/>
          <w:color w:val="0070C0"/>
          <w:sz w:val="16"/>
          <w:szCs w:val="16"/>
        </w:rPr>
        <w:softHyphen/>
        <w:t>минец «Карл Маркс», игравший роль финского броненос</w:t>
      </w:r>
      <w:r w:rsidRPr="00142305">
        <w:rPr>
          <w:rFonts w:ascii="Times New Roman" w:hAnsi="Times New Roman"/>
          <w:color w:val="0070C0"/>
          <w:sz w:val="16"/>
          <w:szCs w:val="16"/>
        </w:rPr>
        <w:softHyphen/>
        <w:t>ца «Вайнемяйнен». Удар поддерживали летающие лодки Савойя С-62Б - постановщики дымовой завесы и легкие бомбардировщики Р-5, подавлявшие мелкими бомбами и пулеметным огнем зенитные средства противника. Ста</w:t>
      </w:r>
      <w:r w:rsidRPr="00142305">
        <w:rPr>
          <w:rFonts w:ascii="Times New Roman" w:hAnsi="Times New Roman"/>
          <w:color w:val="0070C0"/>
          <w:sz w:val="16"/>
          <w:szCs w:val="16"/>
        </w:rPr>
        <w:softHyphen/>
        <w:t>вилась задача поставить минную банку по курсу корабля, шедшего через проход в минном поле, сковать его маневр и атаковать торпедами. Но задуманная как согласованная операция сорвалась.</w:t>
      </w:r>
    </w:p>
    <w:p w14:paraId="3A37EB64"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Эсминец вышел с минного поля почти на десять минут раньше, чем появились ТБ-1П. Легкие бомбардировщики запоздали и не смогли сымитировать подавление зенит</w:t>
      </w:r>
      <w:r w:rsidRPr="00142305">
        <w:rPr>
          <w:rFonts w:ascii="Times New Roman" w:hAnsi="Times New Roman"/>
          <w:color w:val="0070C0"/>
          <w:sz w:val="16"/>
          <w:szCs w:val="16"/>
        </w:rPr>
        <w:softHyphen/>
        <w:t>ных средств. Мины поставили не по курсу корабля, а ле</w:t>
      </w:r>
      <w:r w:rsidRPr="00142305">
        <w:rPr>
          <w:rFonts w:ascii="Times New Roman" w:hAnsi="Times New Roman"/>
          <w:color w:val="0070C0"/>
          <w:sz w:val="16"/>
          <w:szCs w:val="16"/>
        </w:rPr>
        <w:softHyphen/>
        <w:t>вее. От момента их падения в воду до постановки на за</w:t>
      </w:r>
      <w:r w:rsidRPr="00142305">
        <w:rPr>
          <w:rFonts w:ascii="Times New Roman" w:hAnsi="Times New Roman"/>
          <w:color w:val="0070C0"/>
          <w:sz w:val="16"/>
          <w:szCs w:val="16"/>
        </w:rPr>
        <w:softHyphen/>
        <w:t>данную глубину прошло 10-15 минут, причем сработала только одна МАВ-1 из трех сброшенных.</w:t>
      </w:r>
    </w:p>
    <w:p w14:paraId="0E4E2549"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Торпедоносцы пошли в атаку двумя парами, с се</w:t>
      </w:r>
      <w:r w:rsidRPr="00142305">
        <w:rPr>
          <w:rFonts w:ascii="Times New Roman" w:hAnsi="Times New Roman"/>
          <w:color w:val="0070C0"/>
          <w:sz w:val="16"/>
          <w:szCs w:val="16"/>
        </w:rPr>
        <w:softHyphen/>
        <w:t>вера и юга, под прикрытием дымовых завес. Северная группа появилась слишком поздно и слишком высоко, дым ее укрыть не мог. Поскольку Р-5 свою задачу не выполнили, зенитчики с эсминца палили вовсю. Тем не менее, одна из торпед северной пары, сброшенная с дистанции 5-6 кабельтовых, попала в правый борт под мостиком. Одна торпеда другой пары прошла немного впереди носа эсминца.</w:t>
      </w:r>
    </w:p>
    <w:p w14:paraId="66F92B2C"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15 октября атаковали более крупную цель - линкор «Марат». Самолеты с минами должны были связать маневрирование корабля перед ударом Р-5. Добавили истребительное прикрытие: ТБ-1П сопровождали че</w:t>
      </w:r>
      <w:r w:rsidRPr="00142305">
        <w:rPr>
          <w:rFonts w:ascii="Times New Roman" w:hAnsi="Times New Roman"/>
          <w:color w:val="0070C0"/>
          <w:sz w:val="16"/>
          <w:szCs w:val="16"/>
        </w:rPr>
        <w:softHyphen/>
        <w:t>тыре И-4. Сбросили пять мин, из них всплыли две. Обе банки поставили левее, чем нужно. Р-5 отбомби</w:t>
      </w:r>
      <w:r w:rsidRPr="00142305">
        <w:rPr>
          <w:rFonts w:ascii="Times New Roman" w:hAnsi="Times New Roman"/>
          <w:color w:val="0070C0"/>
          <w:sz w:val="16"/>
          <w:szCs w:val="16"/>
        </w:rPr>
        <w:softHyphen/>
        <w:t>лись довольно удачно: из 10 практических бомб одна попала прямо в линкор.</w:t>
      </w:r>
    </w:p>
    <w:p w14:paraId="7FFA2606"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 учений показал, что на «динамическое вомизометание» надежды мало - мина спускалась на парашютах так долго, что даже огромный «Марат» успевал отвер</w:t>
      </w:r>
      <w:r w:rsidRPr="00142305">
        <w:rPr>
          <w:rFonts w:ascii="Times New Roman" w:hAnsi="Times New Roman"/>
          <w:color w:val="0070C0"/>
          <w:sz w:val="16"/>
          <w:szCs w:val="16"/>
        </w:rPr>
        <w:softHyphen/>
        <w:t>нуть от нее. В результате сделали вывод: «Использование МАВ-1 как активного средства для связывания маневра морской цели в условиях комбинированного удара нецеле</w:t>
      </w:r>
      <w:r w:rsidRPr="00142305">
        <w:rPr>
          <w:rFonts w:ascii="Times New Roman" w:hAnsi="Times New Roman"/>
          <w:color w:val="0070C0"/>
          <w:sz w:val="16"/>
          <w:szCs w:val="16"/>
        </w:rPr>
        <w:softHyphen/>
        <w:t>сообразно...». Досталось и торпедоносцам: «Самолет ТБ-1 для низкого торпедометания малопригоден». Тоже вполне резонно - велик, тихоходен, недостаточно маневрен.</w:t>
      </w:r>
    </w:p>
    <w:p w14:paraId="3A91BBBA" w14:textId="77777777" w:rsidR="00FB3D1E" w:rsidRPr="00142305" w:rsidRDefault="00FB3D1E" w:rsidP="00FB3D1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в целом применение нового оружия сочли перспек</w:t>
      </w:r>
      <w:r w:rsidRPr="00142305">
        <w:rPr>
          <w:rFonts w:ascii="Times New Roman" w:hAnsi="Times New Roman"/>
          <w:color w:val="0070C0"/>
          <w:sz w:val="16"/>
          <w:szCs w:val="16"/>
        </w:rPr>
        <w:softHyphen/>
        <w:t>тивным. В итоговом отчете записали: «Учение показало, что применение в комбинированном ударе в короткий промежуток времени таких средств, как МАВ-1, ТАН-12, штурмовиков и легких бомбардировщиков, действующих с использованием завес, как средств, маскирующих ата</w:t>
      </w:r>
      <w:r w:rsidRPr="00142305">
        <w:rPr>
          <w:rFonts w:ascii="Times New Roman" w:hAnsi="Times New Roman"/>
          <w:color w:val="0070C0"/>
          <w:sz w:val="16"/>
          <w:szCs w:val="16"/>
        </w:rPr>
        <w:softHyphen/>
        <w:t>кующие силы, авиация способна нанести морским силам большие потери, вплоть до полного уничтожения»(25004).</w:t>
      </w:r>
    </w:p>
    <w:p w14:paraId="03DB98AE" w14:textId="77777777" w:rsidR="00FB3D1E" w:rsidRPr="00142305" w:rsidRDefault="00FB3D1E" w:rsidP="00FB3D1E">
      <w:pPr>
        <w:spacing w:after="0" w:line="240" w:lineRule="auto"/>
        <w:jc w:val="both"/>
        <w:rPr>
          <w:rFonts w:ascii="Times New Roman" w:hAnsi="Times New Roman"/>
          <w:color w:val="0070C0"/>
          <w:sz w:val="16"/>
          <w:szCs w:val="16"/>
        </w:rPr>
      </w:pPr>
    </w:p>
    <w:p w14:paraId="3BEF1E2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была создана Северная военная флотилия, которая стала Северным флотом 11 мая 1937. Стали строить Полярное (359,110).</w:t>
      </w:r>
    </w:p>
    <w:p w14:paraId="5F63ADB4"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E0BCACE"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56FF056"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62641996" w14:textId="77777777" w:rsidR="00562118" w:rsidRPr="0044524F" w:rsidRDefault="0056211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Каганович поручил особой комиссии внимательнее присмотреться к деятельности Метростроя и созвал ряд совещаний с руководством этой организации, накоторых обсуждались накопившиеся проблемы. Его приговор был уничтожающ: «То, что сейчас делается, совершенно не годится: без нормирования, без порядка, без дисциплины, без требования дисциплины, без организации»{505}.Несмотря на слабый прогресс в ходе строительства, Каганович настаивал, чтобы до конца 1934 г. завершить первую очередь. Совместно с инженерами Метростроя он в течение недели разработал в Московском комитете партии постановление, призванное внести решающий перелом. Не посягая на конечную цель, Метрострой должен был, однако, включить в постановление все необходимое с точки зрения предприятия. Каганович оказывал давление на Метрострой, но в то же время всячески его поддерживал{506} (18299).</w:t>
      </w:r>
    </w:p>
    <w:p w14:paraId="3536838F" w14:textId="77777777" w:rsidR="00562118" w:rsidRPr="0044524F" w:rsidRDefault="00562118" w:rsidP="009654CF">
      <w:pPr>
        <w:spacing w:after="0" w:line="240" w:lineRule="auto"/>
        <w:jc w:val="both"/>
        <w:rPr>
          <w:rFonts w:ascii="Times New Roman" w:hAnsi="Times New Roman"/>
          <w:color w:val="000000" w:themeColor="text1"/>
          <w:sz w:val="16"/>
          <w:szCs w:val="16"/>
        </w:rPr>
      </w:pPr>
    </w:p>
    <w:p w14:paraId="0761C64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года циркуляром ОГПУ №109 в ГУЛАГ предписывалось сообщать «обо всех высококвалифицированных специалистах, осужденных как Тройками ОГПУ, так и органами НКЮ... В сведениях надо указывать: фамилию, имя, отчество, когда и кем осужден, статью, срок, специальность, стаж, последнее место работы... По получении сведений ГУЛАГ ОГПУ будет выдавать индивидуальные наряды на направление осужденных специалистов в лагеря.». На каждого специалиста составлялось особое дело, а карточка с его личными данными поступала в специальную картотеку при центральном аппарате ГУЛАГа (9052).</w:t>
      </w:r>
    </w:p>
    <w:p w14:paraId="4D00C758"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13F0E28" w14:textId="77777777" w:rsidR="00D51966" w:rsidRPr="00142305" w:rsidRDefault="00D51966" w:rsidP="00D5196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октябре 1933 г. дрейф Челюскина установился в восточном направлении. С другого судна была получена радиограмма, что пароход «Челюскин» находится у о. Диомида, всего в двух милях от чистой воды. Тяжёлый дрейф близился к концу.</w:t>
      </w:r>
    </w:p>
    <w:p w14:paraId="4B0EEF6B" w14:textId="77777777" w:rsidR="00D51966" w:rsidRPr="00142305" w:rsidRDefault="00D51966" w:rsidP="00D51966">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Однако атому не суждено было случиться. Разыгравшим</w:t>
      </w:r>
      <w:r w:rsidRPr="00142305">
        <w:rPr>
          <w:rStyle w:val="aff"/>
          <w:rFonts w:ascii="Times New Roman" w:hAnsi="Times New Roman" w:cs="Times New Roman"/>
          <w:color w:val="0070C0"/>
          <w:spacing w:val="0"/>
          <w:sz w:val="16"/>
          <w:szCs w:val="16"/>
        </w:rPr>
        <w:softHyphen/>
        <w:t>ся в Беринговом море штормом «Челюскин» был выброшен обратно в Чукотское море п увлечен дрейфом на север. На</w:t>
      </w:r>
      <w:r w:rsidRPr="00142305">
        <w:rPr>
          <w:rStyle w:val="aff"/>
          <w:rFonts w:ascii="Times New Roman" w:hAnsi="Times New Roman" w:cs="Times New Roman"/>
          <w:color w:val="0070C0"/>
          <w:spacing w:val="0"/>
          <w:sz w:val="16"/>
          <w:szCs w:val="16"/>
        </w:rPr>
        <w:softHyphen/>
        <w:t>дежда на то, что до весны удастся выбраться из ледового капкана, была окончательно потеряна. Весь ноябрь, декабрь и январь следующего 1934 г. неуправляемый пароход блуж</w:t>
      </w:r>
      <w:r w:rsidRPr="00142305">
        <w:rPr>
          <w:rStyle w:val="aff"/>
          <w:rFonts w:ascii="Times New Roman" w:hAnsi="Times New Roman" w:cs="Times New Roman"/>
          <w:color w:val="0070C0"/>
          <w:spacing w:val="0"/>
          <w:sz w:val="16"/>
          <w:szCs w:val="16"/>
        </w:rPr>
        <w:softHyphen/>
        <w:t>дал по воле стихии по Чукотскому морю, описывая сложную зигзагообразную линию (25635).</w:t>
      </w:r>
    </w:p>
    <w:p w14:paraId="1703C260" w14:textId="77777777" w:rsidR="00D51966" w:rsidRPr="00142305" w:rsidRDefault="00D51966" w:rsidP="00D51966">
      <w:pPr>
        <w:spacing w:after="0" w:line="240" w:lineRule="auto"/>
        <w:jc w:val="both"/>
        <w:rPr>
          <w:rFonts w:ascii="Times New Roman" w:hAnsi="Times New Roman"/>
          <w:color w:val="0070C0"/>
          <w:sz w:val="16"/>
          <w:szCs w:val="16"/>
        </w:rPr>
      </w:pPr>
    </w:p>
    <w:p w14:paraId="31EC593B"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327F33D"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7B37C1D0"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года в США был объявлен конкурс на патрульную летающую лодку. Дуглас XP3D-1 уступил самолету XP3Y-1 фирмы «Консолидейтед», предшественником которого был довольно посредственный моноплан-парасоль P2Y. Главный конструктор «Консолидейтеда» Мак Лэддон учел старые ошибки и на новой «модели 28» заменил громоздкую ферму, поддерживающую крыло, обтекаемым центральным пилоном и легкими подкосами. Первый полет XP3Y-1 состоялся 28 марта 1935 года, а спустя всего несколько недель прототип был передан на государственные испытания. Хотя список замечаний был внушительным, но дальность и грузоподъемность значительно перекрыли заданные и позволили рассматривать летающую лодку не только как разведчик, но и как тяжелый бомбардировщик (22816).</w:t>
      </w:r>
    </w:p>
    <w:p w14:paraId="25134EC3" w14:textId="77777777" w:rsidR="00071F1F" w:rsidRPr="0044524F" w:rsidRDefault="00071F1F" w:rsidP="009654CF">
      <w:pPr>
        <w:spacing w:after="0" w:line="240" w:lineRule="auto"/>
        <w:jc w:val="both"/>
        <w:rPr>
          <w:rFonts w:ascii="Times New Roman" w:hAnsi="Times New Roman"/>
          <w:color w:val="000000" w:themeColor="text1"/>
          <w:sz w:val="16"/>
          <w:szCs w:val="16"/>
        </w:rPr>
      </w:pPr>
    </w:p>
    <w:p w14:paraId="70C14E9A"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на самолете Farman F.239 французские авиаторы Жан Региненси и Андре Байи установили три мировых рекорда скорости полета на расстояниях 100 километров (62,1 мили), 500 километров (310,5 миль) и 1000 километров (621 миль) (20802).</w:t>
      </w:r>
    </w:p>
    <w:p w14:paraId="42F159E3" w14:textId="77777777" w:rsidR="00071F1F" w:rsidRPr="0044524F" w:rsidRDefault="00071F1F" w:rsidP="009654CF">
      <w:pPr>
        <w:spacing w:after="0" w:line="240" w:lineRule="auto"/>
        <w:jc w:val="both"/>
        <w:rPr>
          <w:rFonts w:ascii="Times New Roman" w:hAnsi="Times New Roman"/>
          <w:color w:val="000000" w:themeColor="text1"/>
          <w:sz w:val="16"/>
          <w:szCs w:val="16"/>
        </w:rPr>
      </w:pPr>
    </w:p>
    <w:p w14:paraId="1600D620"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Вилли Мессершмитт в фирме Байрише Флюгцойгверке начал строительство Bf-108 и машина поднялась в воздух в феврале 1934 (3417, 37).</w:t>
      </w:r>
    </w:p>
    <w:p w14:paraId="3923530E" w14:textId="77777777" w:rsidR="00071F1F" w:rsidRPr="0044524F" w:rsidRDefault="00071F1F" w:rsidP="009654CF">
      <w:pPr>
        <w:spacing w:after="0" w:line="240" w:lineRule="auto"/>
        <w:jc w:val="both"/>
        <w:rPr>
          <w:rFonts w:ascii="Times New Roman" w:hAnsi="Times New Roman"/>
          <w:color w:val="000000" w:themeColor="text1"/>
          <w:sz w:val="16"/>
          <w:szCs w:val="16"/>
        </w:rPr>
      </w:pPr>
    </w:p>
    <w:p w14:paraId="3EAB5DF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года «Мэкон» прилетел в Саннивейл, место своего постоянного базирования, чтобы участвовать в совместных учениях с кораблями в Тихом океане. Во время этого длительного перелета через весь континент, который проходил в тяжелых метеоусловиях, дирижабль продемонстрировал хорошую управляемость и устойчивость. Но маневры показали, что «Мэкон» малопригоден для тактической разведывательной деятельности, так как может быть быстро уничтожен зенитной артиллерией кораблей противника и истребителями с авианосцев. Дирижабельные самолеты имели слабую эффективность, к тому же вследствие оснащения плохо работающей радионавигационной аппаратурой, они не могли удаляться от дирижабля более чем на 40 км из-за опасности потерять с ним визуальный контакт. Успехи и неудачи сменяли друг друга, но постепенно все наладилось. За время пребывания на западе США «Мэкон» получил новый палубный [443] самолет. Двухместный N2Y-1 был признан устаревшим, и его место занял трехместный учебно-спортивный биплан Вако UBF, получивший обозначение XJW-1. В марте 1934 года самолеты прибыли на аэродром Саннивейла и сразу же продемонстрировали свои прекрасные посадочные характеристики. В дальнейшем эти машины использовались в качестве «летающих моторных лодок» для связи дирижабля с землей (11324).</w:t>
      </w:r>
    </w:p>
    <w:p w14:paraId="4F40179B"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4C86C1B5" w14:textId="77777777" w:rsidR="00F04526" w:rsidRPr="0044524F" w:rsidRDefault="00F045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вновь образованный германский Luftfahrrtkomissariat (авиационный комиссариат) сформировал первый Behelfsbombergeschwader (вспомогательный бомбардировочный полк). Ограничения, наложенные Версальским, договором запрещали Германии иметь военную авиацию, тем более — бомбардировочную, поэтому официально Behelfsbombergeschwader назывался Verkehrsinspektion der DLH (грузовой инспекторат Дойче Люфтганзы). «Инспекторат» 1 марта 1934 г. получил на вооружение 2 самолета Ju-52/3m ge и три Дорнье Do-IIС. Самолеты Do-IIC оказались не пригодными для использования в качестве бомбардировщиков и их быстро сняли с вооружения. В 1934 г. фирма Юнкерс предложила улучшенный вариант своего трехмоторного самолета — Ju-52/3m g3e (24200).</w:t>
      </w:r>
    </w:p>
    <w:p w14:paraId="68C21026" w14:textId="77777777" w:rsidR="00F04526" w:rsidRPr="0044524F" w:rsidRDefault="00F04526" w:rsidP="009654CF">
      <w:pPr>
        <w:spacing w:after="0" w:line="240" w:lineRule="auto"/>
        <w:jc w:val="both"/>
        <w:rPr>
          <w:rFonts w:ascii="Times New Roman" w:hAnsi="Times New Roman"/>
          <w:color w:val="000000" w:themeColor="text1"/>
          <w:sz w:val="16"/>
          <w:szCs w:val="16"/>
        </w:rPr>
      </w:pPr>
    </w:p>
    <w:p w14:paraId="7222C992"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B9BDDDA"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7C60DE69" w14:textId="77777777" w:rsidR="00F04526" w:rsidRPr="0044524F" w:rsidRDefault="00F0452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 1933 г. вновь образованный германский Luftfahrrtkomissariat (авиационный комиссариат) сформировал первый Behelfsbombergeschwader (вспомогательный бомбардировочный полк). Ограничения, наложенные Версальским, договором запрещали Германии иметь военную авиацию, тем более — бомбардировочную, поэтому официально Behelfsbombergeschwader назывался Verkehrsinspektion der DLH (грузовой инспекторат Дойче Люфтганзы). «Инспекторат» 1 марта 1934 г. получил на вооружение 2 самолета Ju-52/3m ge и три Дорнье Do-IIС. Самолеты Do-IIC оказались не пригодными для использования в качестве бомбардировщиков и их быстро сняли с вооружения. В 1934 г. фирма Юнкерс предложила улучшенный вариант своего трехмоторного самолета — Ju-52/3m g3e (24200).</w:t>
      </w:r>
    </w:p>
    <w:p w14:paraId="2B415576" w14:textId="77777777" w:rsidR="00F04526" w:rsidRPr="0044524F" w:rsidRDefault="00F04526" w:rsidP="009654CF">
      <w:pPr>
        <w:spacing w:after="0" w:line="240" w:lineRule="auto"/>
        <w:jc w:val="both"/>
        <w:rPr>
          <w:rFonts w:ascii="Times New Roman" w:hAnsi="Times New Roman"/>
          <w:color w:val="000000" w:themeColor="text1"/>
          <w:sz w:val="16"/>
          <w:szCs w:val="16"/>
        </w:rPr>
      </w:pPr>
    </w:p>
    <w:p w14:paraId="659AB8C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октябре-ноябре 1933 самолет В.К.Грибовского Г-10, оснащенный М-23 (65 нр) успешно прошел госиспытания на ЛИС ВВА им. Жуковского. Вли Т.Т.Алтынов. Летало еще 7 л НИИ ВВС, ВВАЮ Осоавиахима (9080).</w:t>
      </w:r>
    </w:p>
    <w:p w14:paraId="7BAEA5AB"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76167DF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октябре-декабре 1933 АИР-7 испытывали в НИИ ВВС (1771,7).</w:t>
      </w:r>
    </w:p>
    <w:p w14:paraId="57EC5044"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1FD01633"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CF05FAC"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7C93055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ноябрю 1933 г. бомбовые кассеты для ТБ4-8М34 были установлены и испытаны на бомбардировщике ТБ-3. На другой такой же машине опробовали элементы стрелкового вооружения (12024).</w:t>
      </w:r>
    </w:p>
    <w:p w14:paraId="2F412C8E"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72571BEC"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2D732DC"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64C6DAC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был закончен проект ДБ-1 М-34 - военного варианта РД - и чертежи были сданы в производство с серией на 39 заводе. Потом хотели передать на 124, но попал на 18 (2287,131).</w:t>
      </w:r>
    </w:p>
    <w:p w14:paraId="3BC4726A"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8B34875" w14:textId="77777777" w:rsidR="00BD3BE7" w:rsidRPr="00142305" w:rsidRDefault="00BD3BE7" w:rsidP="00BD3BE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ноября 1933 г. завершили ра</w:t>
      </w:r>
      <w:r w:rsidRPr="00142305">
        <w:rPr>
          <w:rFonts w:ascii="Times New Roman" w:hAnsi="Times New Roman"/>
          <w:color w:val="0070C0"/>
          <w:sz w:val="16"/>
          <w:szCs w:val="16"/>
        </w:rPr>
        <w:softHyphen/>
        <w:t>бочие чертежи военного варианта АНТ-24 - ДБ (24946).</w:t>
      </w:r>
    </w:p>
    <w:p w14:paraId="40EFAC70" w14:textId="77777777" w:rsidR="00BD3BE7" w:rsidRPr="00142305" w:rsidRDefault="00BD3BE7" w:rsidP="00BD3BE7">
      <w:pPr>
        <w:spacing w:after="0" w:line="240" w:lineRule="auto"/>
        <w:jc w:val="both"/>
        <w:rPr>
          <w:rFonts w:ascii="Times New Roman" w:hAnsi="Times New Roman"/>
          <w:color w:val="0070C0"/>
          <w:sz w:val="16"/>
          <w:szCs w:val="16"/>
        </w:rPr>
      </w:pPr>
    </w:p>
    <w:p w14:paraId="7A66301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состоялся 8-й полет К-7 К.А.К. с целью пробы стабилизатора при переменной центровке и предварительной пробы скорости, а также полета при неполной мощности при нескольких выключенных моторах продолжительностью 1:34. Прекратили из-за течи радиатора заднего и второго-правого моторов, а также деформации капота заднего мотора</w:t>
      </w:r>
    </w:p>
    <w:p w14:paraId="3D4FA53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Сводка о ходе заводских испытаний с-та К-7 за время на 2 ноября 1933 Зам. Директора з-да и Зам. Пред. Комиссии по проведению испытаний Жиронкин, Член комиссии и отв. секретарь Ситников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170DFC65" w14:textId="77777777">
        <w:tc>
          <w:tcPr>
            <w:tcW w:w="1384" w:type="dxa"/>
            <w:tcBorders>
              <w:top w:val="single" w:sz="12" w:space="0" w:color="auto"/>
            </w:tcBorders>
          </w:tcPr>
          <w:p w14:paraId="3381238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7C3D3DB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5474CA5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F82CB5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77BE8AE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63E3039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1A21D57B" w14:textId="77777777">
        <w:tc>
          <w:tcPr>
            <w:tcW w:w="1384" w:type="dxa"/>
            <w:tcBorders>
              <w:bottom w:val="single" w:sz="12" w:space="0" w:color="auto"/>
            </w:tcBorders>
          </w:tcPr>
          <w:p w14:paraId="0E98732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 ноября 1933</w:t>
            </w:r>
          </w:p>
        </w:tc>
        <w:tc>
          <w:tcPr>
            <w:tcW w:w="2410" w:type="dxa"/>
            <w:tcBorders>
              <w:bottom w:val="single" w:sz="12" w:space="0" w:color="auto"/>
            </w:tcBorders>
          </w:tcPr>
          <w:p w14:paraId="09875FF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8-й полет с целью пробы стабилизатора при переменной центровке после увеличения углов отклонения его. Проба скорости с-та (предварительная). Полет на неполной мощности, с выключением нескольких моторов</w:t>
            </w:r>
          </w:p>
        </w:tc>
        <w:tc>
          <w:tcPr>
            <w:tcW w:w="1089" w:type="dxa"/>
            <w:tcBorders>
              <w:bottom w:val="single" w:sz="12" w:space="0" w:color="auto"/>
            </w:tcBorders>
          </w:tcPr>
          <w:p w14:paraId="297844D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1:34</w:t>
            </w:r>
          </w:p>
        </w:tc>
        <w:tc>
          <w:tcPr>
            <w:tcW w:w="3447" w:type="dxa"/>
            <w:tcBorders>
              <w:bottom w:val="single" w:sz="12" w:space="0" w:color="auto"/>
            </w:tcBorders>
          </w:tcPr>
          <w:p w14:paraId="05F4DC7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Разбег -23 сек., пробег - 26 сек., скорость после взлета по Сафу 200 км/час. </w:t>
            </w:r>
          </w:p>
          <w:p w14:paraId="1DBAB99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Изменение центровки в полете производилось путем перемещения грузов от 31,5% до 33%. При этом стабилизатор устанавливался на +4. С-т шел на 4-х моторах по горизонтали, причем на средних скоростях начинал несколько снижаться</w:t>
            </w:r>
          </w:p>
        </w:tc>
        <w:tc>
          <w:tcPr>
            <w:tcW w:w="1776" w:type="dxa"/>
            <w:tcBorders>
              <w:bottom w:val="single" w:sz="12" w:space="0" w:color="auto"/>
            </w:tcBorders>
          </w:tcPr>
          <w:p w14:paraId="1F6DBE9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был прекращен из-за течи водяного радиатора заднего и второго правого мотора, а также из-за деформации отдельных участков капота заднего мотора (устранено)</w:t>
            </w:r>
          </w:p>
        </w:tc>
        <w:tc>
          <w:tcPr>
            <w:tcW w:w="1105" w:type="dxa"/>
            <w:tcBorders>
              <w:bottom w:val="single" w:sz="12" w:space="0" w:color="auto"/>
            </w:tcBorders>
          </w:tcPr>
          <w:p w14:paraId="5034F182"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r>
    </w:tbl>
    <w:p w14:paraId="1F078D9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(2306,98).</w:t>
      </w:r>
    </w:p>
    <w:p w14:paraId="7FCF1B96"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47624BDE" w14:textId="77777777" w:rsidR="00570C39" w:rsidRPr="0044524F" w:rsidRDefault="00570C39" w:rsidP="009654CF">
      <w:pPr>
        <w:tabs>
          <w:tab w:val="left" w:pos="36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ноября 1933 успешно прошел испытания АНТ-9, оборудованный калориферным отоплением салона, разработанным СНИИ ГВФ, и до конца года изготовили 17 комплектов (10542,32).</w:t>
      </w:r>
    </w:p>
    <w:p w14:paraId="21055F96" w14:textId="77777777" w:rsidR="00570C39" w:rsidRPr="0044524F" w:rsidRDefault="00570C39" w:rsidP="009654CF">
      <w:pPr>
        <w:tabs>
          <w:tab w:val="left" w:pos="360"/>
        </w:tabs>
        <w:spacing w:after="0" w:line="240" w:lineRule="auto"/>
        <w:jc w:val="both"/>
        <w:rPr>
          <w:rFonts w:ascii="Times New Roman" w:hAnsi="Times New Roman"/>
          <w:color w:val="000000" w:themeColor="text1"/>
          <w:sz w:val="16"/>
          <w:szCs w:val="16"/>
        </w:rPr>
      </w:pPr>
    </w:p>
    <w:p w14:paraId="6630D27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 на заседании научно-технического совета ГУАП в присутствии представителей ВВС состоялось утверждение боевой схемы истребителя. Там же было рекомендовано строить опытный экземп</w:t>
      </w:r>
      <w:r w:rsidRPr="0044524F">
        <w:rPr>
          <w:rFonts w:ascii="Times New Roman" w:hAnsi="Times New Roman"/>
          <w:color w:val="000000" w:themeColor="text1"/>
          <w:sz w:val="16"/>
          <w:szCs w:val="16"/>
        </w:rPr>
        <w:softHyphen/>
        <w:t>ляр ЦКБ-12 с капотом НАКА, а дублер - с кольцом Тауненда «с целью всестороннего сравнения выгод и недостатков, присущих тому и другому типу» (10667).</w:t>
      </w:r>
    </w:p>
    <w:p w14:paraId="7A06D1F4"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7491A11F" w14:textId="77777777" w:rsidR="00197B29" w:rsidRPr="0044524F" w:rsidRDefault="00197B2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 на заседании научно-технического совета ГУАП в присутствии представителей ВВС состоялось ут</w:t>
      </w:r>
      <w:r w:rsidRPr="0044524F">
        <w:rPr>
          <w:rFonts w:ascii="Times New Roman" w:hAnsi="Times New Roman"/>
          <w:color w:val="000000" w:themeColor="text1"/>
          <w:sz w:val="16"/>
          <w:szCs w:val="16"/>
        </w:rPr>
        <w:softHyphen/>
        <w:t>верждение боевой схемы истребителя ЦКБ-12 М-22. Там же было рекомен</w:t>
      </w:r>
      <w:r w:rsidRPr="0044524F">
        <w:rPr>
          <w:rFonts w:ascii="Times New Roman" w:hAnsi="Times New Roman"/>
          <w:color w:val="000000" w:themeColor="text1"/>
          <w:sz w:val="16"/>
          <w:szCs w:val="16"/>
        </w:rPr>
        <w:softHyphen/>
        <w:t>довано строить опытный экземпляр ЦКБ-12 с капотом НАКА, а дублер - с кольцом Тауненда «с целью всестороннего сравнения выгод и недостатков, присущих тому и другому типу» (23455).</w:t>
      </w:r>
    </w:p>
    <w:p w14:paraId="11DF1DD2" w14:textId="77777777" w:rsidR="00197B29" w:rsidRPr="0044524F" w:rsidRDefault="00197B29" w:rsidP="009654CF">
      <w:pPr>
        <w:spacing w:after="0" w:line="240" w:lineRule="auto"/>
        <w:jc w:val="both"/>
        <w:rPr>
          <w:rFonts w:ascii="Times New Roman" w:hAnsi="Times New Roman"/>
          <w:color w:val="000000" w:themeColor="text1"/>
          <w:sz w:val="16"/>
          <w:szCs w:val="16"/>
        </w:rPr>
      </w:pPr>
    </w:p>
    <w:p w14:paraId="72B17CB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года начальник Отдела опытного строительства НИИ ВВС Примаков писал письмо начальнику 9 сектора</w:t>
      </w:r>
    </w:p>
    <w:p w14:paraId="1E0A7B1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Доношу: прибывшим из ГУАПа со специальным заданием и соответствующими полномочиями зам. начальника ГУАПа Беленковичем отдано было 20 октября категорическое приказание заводу № 29 немедленно приостановить все опытные работы до 1 января 1934 года, включая и госиспытания М-48.</w:t>
      </w:r>
    </w:p>
    <w:p w14:paraId="13209F3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докладе на техсовещании начальников цехов и отделов опытные работы квалифицировались им не как правительственное задание, а «навязчивые идеи», которые сейчас мешают серийной продукции и поэтому он их немедленно прикрывает. Приостановка работ носила чисто погромный характер: сбрасывались неоконченные в обработке детали с настроенных станков, сваливались в общую кучу. С большим трудом удалось доказать необходимость сборки разобранных опытных моторов, так как в противном случае будут приведены в негодность детали. Им же было отдано распоряжение сложить все детали разобранных моторов в ящики, где и хранить до особого распоряжения.</w:t>
      </w:r>
    </w:p>
    <w:p w14:paraId="65879DA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Надо отметить, что характер его доклада носил не руководящий характер, а напоминал расправу: был обруган весь завод в целом и каждый начцеха в отдельности.</w:t>
      </w:r>
    </w:p>
    <w:p w14:paraId="1EB7BF6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уточнения ряда вопросов я был принят Беленковичем, который на мой вопрос, знает ли он, что опытные работы ведутся согласно плана, утвержденного Правительством, заявил, что об утверждении плана опытного строительства Правительством он ничего не знает и что он уверен, что такого плана нет в природе.</w:t>
      </w:r>
    </w:p>
    <w:p w14:paraId="0A367A9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завода Александров тоже заявил, что о плане он слыхал, но не читал его. На мои доводы об устарелости конструкции серийного М-22 и необходимость доводки более совершенного мотора М-58 им было сообщено, что на последнем докладе Правительству, вопрос стоял только о серийной программе, причем Алкснис особенно упирал на М-22, поэтому этот мотор он считает главным и все опытные моторы приостанавливает:</w:t>
      </w:r>
    </w:p>
    <w:p w14:paraId="6709676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Беленковичем был брошен мне упрек, что я с опытными работами бегаю в партийный комитет завода и Горпартком и дан совет, чтобы в будущем я в эти организации не обращался, так как это поможет мне не больше «чем мертвому свечка».</w:t>
      </w:r>
    </w:p>
    <w:p w14:paraId="6ED0492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заключение Беленкович повторил приказание Александрову еще раз о немедленном прекращении опытных работ, запретил ему разговаривать со мной по этому вопросу и в будущем без соответствующего письменного разрешения от ГУАПа не допускать меня ни к каким заводским испытаниям, так как по его мнению я командую заводом.</w:t>
      </w:r>
    </w:p>
    <w:p w14:paraId="4794727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техсовещания, на основе приказа Беленковича, опротестовано ЗПК-том, но принято к исполнению, как не подлежащее обсуждению, по формулировке Беленковича «лучше выполнить плохой приказ, чем обсуждать хороший».</w:t>
      </w:r>
    </w:p>
    <w:p w14:paraId="24F7B90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Мотивировка ЗПК-та, опротестовавшего приказ Беленковича сводится к тому, что опытные работы занимают такой незначительный % оборудования и рабсилы, что ни в какой мере не отражается на серийной продукции, По подсчетам гл. инженера они не превосходят 0,5%.</w:t>
      </w:r>
    </w:p>
    <w:p w14:paraId="4E817F0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Принимая во внимание всю важность опытных работ, ЗПК считает возможным выполнить программу не останавливая опытных работ. Это соображение совершенно правильное, так как опытные моторы уже изготовлены и только иногда потребуется изготовление запчастей, которые могут быть выполнены на трех станках, выделенных для опытных работ. В цехах же ежедневно в каждой смене простаивают не менее 50 станков, так что эти три станка не выводят завод из прорыва.</w:t>
      </w:r>
    </w:p>
    <w:p w14:paraId="58F23E2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данный момент все опытные моторы поставлены на консервацию, работники опытной группы работают по серийной продукции. Работа по опытным моторам резко дискредитирована в глазах работников завода, так как квалифицирована как «Навязчивые идеи» (3530,139).</w:t>
      </w:r>
    </w:p>
    <w:p w14:paraId="6048250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Условия, необходимые для срочного предъявления на госиспытания мотора М-58 на заводе № 29</w:t>
      </w:r>
    </w:p>
    <w:p w14:paraId="4AC07D5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доводки мотора М-58 на заводе № 29 к предъявлению на госиспытания необходимо:</w:t>
      </w:r>
    </w:p>
    <w:p w14:paraId="5595549C" w14:textId="77777777" w:rsidR="00570C39" w:rsidRPr="0044524F" w:rsidRDefault="00570C39" w:rsidP="009654CF">
      <w:pPr>
        <w:numPr>
          <w:ilvl w:val="0"/>
          <w:numId w:val="40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Закрепить всех людей, работавших до закрытия опытных работ в цехе по опытным моторам и Техно-конструкторском отделе на этих работах, для чего всех работников, переключенных с опытных работ на серийные вернуть к опытным работам; находящихся в отпуске или командировках по вопросам серийного производства немедленно возвратить. Всего на опытных работах было около 40 человек (на заводе № 29 около 6000 человек).</w:t>
      </w:r>
    </w:p>
    <w:p w14:paraId="5CDBD4FD" w14:textId="77777777" w:rsidR="00570C39" w:rsidRPr="0044524F" w:rsidRDefault="00570C39" w:rsidP="009654CF">
      <w:pPr>
        <w:numPr>
          <w:ilvl w:val="0"/>
          <w:numId w:val="40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Возвратить Эксплуатационно-опытному бюро все отобранные помещения, приборы и оборудование, немедленно переоборудовав под опытные работы.</w:t>
      </w:r>
    </w:p>
    <w:p w14:paraId="7886D276" w14:textId="77777777" w:rsidR="00570C39" w:rsidRPr="0044524F" w:rsidRDefault="00570C39" w:rsidP="009654CF">
      <w:pPr>
        <w:numPr>
          <w:ilvl w:val="0"/>
          <w:numId w:val="41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Форсировать подачу на завод поковок и материалов необходимых для доводки (поршни, клапаны и др.), поручив под личную ответственность руководителя снабжения завода с доставкой пассажирским поездом.</w:t>
      </w:r>
    </w:p>
    <w:p w14:paraId="6744EFED" w14:textId="77777777" w:rsidR="00570C39" w:rsidRPr="0044524F" w:rsidRDefault="00570C39" w:rsidP="009654CF">
      <w:pPr>
        <w:numPr>
          <w:ilvl w:val="0"/>
          <w:numId w:val="41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Запустить в производство с минимальными сроками выполнения несколько вариантов клапанного механизма клапана, седла клапана, направляющие клапанов, пружины и тарелки клапана, если потребуется, и головки цилиндров.</w:t>
      </w:r>
    </w:p>
    <w:p w14:paraId="5AB5491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Срочно закончить конструктивную разработку нескольких вариантов лопаточного диффузора и подвода смеси нагнетателя, запустив их с укороченными сроками выполнения в производстве.</w:t>
      </w:r>
    </w:p>
    <w:p w14:paraId="77C0CF37" w14:textId="77777777" w:rsidR="00570C39" w:rsidRPr="0044524F" w:rsidRDefault="00570C39" w:rsidP="009654CF">
      <w:pPr>
        <w:numPr>
          <w:ilvl w:val="0"/>
          <w:numId w:val="41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тщательный, средствами техноконтроля задел завода контроль деталей двух изготовленных дополнительно экземпляров мотора, обеспечить пополнение недоделанных и забракованных деталей на этих объектах.</w:t>
      </w:r>
    </w:p>
    <w:p w14:paraId="3ADA5A1B" w14:textId="77777777" w:rsidR="00570C39" w:rsidRPr="0044524F" w:rsidRDefault="00570C39" w:rsidP="009654CF">
      <w:pPr>
        <w:numPr>
          <w:ilvl w:val="0"/>
          <w:numId w:val="41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Прохождение деталей по аварийным заказам обеспечить выполнение в установленные при заказе сроки под личную ответственность начальников цехов, в которых изготовляются эти детали.</w:t>
      </w:r>
    </w:p>
    <w:p w14:paraId="65BF91A7" w14:textId="77777777" w:rsidR="00570C39" w:rsidRPr="0044524F" w:rsidRDefault="00570C39" w:rsidP="009654CF">
      <w:pPr>
        <w:numPr>
          <w:ilvl w:val="0"/>
          <w:numId w:val="41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Руководство производством всех деталей закрепить за начальником Первого механического цеха Сорокиным под его личную ответственность.</w:t>
      </w:r>
    </w:p>
    <w:p w14:paraId="01439754" w14:textId="77777777" w:rsidR="00570C39" w:rsidRPr="0044524F" w:rsidRDefault="00570C39" w:rsidP="009654CF">
      <w:pPr>
        <w:numPr>
          <w:ilvl w:val="0"/>
          <w:numId w:val="41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3-х дневный срок вернуть из Москвы контролера Степанова и дополнительно прислать одного высококвалифицированного по механическому контролю работника из объединения ГУАП.</w:t>
      </w:r>
    </w:p>
    <w:p w14:paraId="191114F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Инженера завода № 24 Луковникова закрепить на работах по мотору М58 до конца доводки. Командировать из ЦИАМа одного опытного инженера и распоряжение завода для испытания М58.</w:t>
      </w:r>
    </w:p>
    <w:p w14:paraId="3F5DD19F" w14:textId="77777777" w:rsidR="00570C39" w:rsidRPr="0044524F" w:rsidRDefault="00570C39" w:rsidP="009654CF">
      <w:pPr>
        <w:numPr>
          <w:ilvl w:val="0"/>
          <w:numId w:val="41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Обеспечить гл. конструктору Назарову единоначалие в проведении испытаний и конструктивных переделок.</w:t>
      </w:r>
    </w:p>
    <w:p w14:paraId="0D3FA535" w14:textId="77777777" w:rsidR="00570C39" w:rsidRPr="0044524F" w:rsidRDefault="00570C39" w:rsidP="009654CF">
      <w:pPr>
        <w:numPr>
          <w:ilvl w:val="0"/>
          <w:numId w:val="41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работы по мотору М58 вести в три смены, обеспечив работников своевременным доброкачественным питанием и необходимым фондом сверхурочных работ.</w:t>
      </w:r>
    </w:p>
    <w:p w14:paraId="5DB1955B" w14:textId="77777777" w:rsidR="00570C39" w:rsidRPr="0044524F" w:rsidRDefault="00570C39" w:rsidP="009654CF">
      <w:pPr>
        <w:numPr>
          <w:ilvl w:val="0"/>
          <w:numId w:val="41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Своевременно обеспечить деньгами опытные заказы и работы.</w:t>
      </w:r>
    </w:p>
    <w:p w14:paraId="00BB9942" w14:textId="77777777" w:rsidR="00570C39" w:rsidRPr="0044524F" w:rsidRDefault="00570C39" w:rsidP="009654CF">
      <w:pPr>
        <w:numPr>
          <w:ilvl w:val="0"/>
          <w:numId w:val="41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двухнедельный срок закончить и переслать на завод № 29 мулинетки мотора М58.</w:t>
      </w:r>
    </w:p>
    <w:p w14:paraId="37F31A3F" w14:textId="77777777" w:rsidR="00570C39" w:rsidRPr="0044524F" w:rsidRDefault="00570C39" w:rsidP="009654CF">
      <w:pPr>
        <w:numPr>
          <w:ilvl w:val="0"/>
          <w:numId w:val="42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Обеспечить внеочередное выполнение внезаводских опытных заказов в предприятиях ГУАПа и НКТяжпрома (3530,140).</w:t>
      </w:r>
    </w:p>
    <w:p w14:paraId="0442AF3E" w14:textId="77777777" w:rsidR="00570C39" w:rsidRPr="0044524F" w:rsidRDefault="00570C39" w:rsidP="009654CF">
      <w:pPr>
        <w:tabs>
          <w:tab w:val="left" w:pos="360"/>
        </w:tabs>
        <w:spacing w:after="0" w:line="240" w:lineRule="auto"/>
        <w:jc w:val="both"/>
        <w:rPr>
          <w:rFonts w:ascii="Times New Roman" w:hAnsi="Times New Roman"/>
          <w:color w:val="000000" w:themeColor="text1"/>
          <w:sz w:val="16"/>
          <w:szCs w:val="16"/>
        </w:rPr>
      </w:pPr>
    </w:p>
    <w:p w14:paraId="2974DFEE"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состоялось заседание ПБ и был оформлен протокол № 148</w:t>
      </w:r>
    </w:p>
    <w:p w14:paraId="03BF6D87"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 О переговорах с поляками об авиалинии.</w:t>
      </w:r>
    </w:p>
    <w:p w14:paraId="61D99321"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(т.Уншлихт).</w:t>
      </w:r>
    </w:p>
    <w:p w14:paraId="72EE56F1"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Подтвердить прежнюю директиву Политбюро о смешан</w:t>
      </w:r>
      <w:r w:rsidRPr="0044524F">
        <w:rPr>
          <w:rFonts w:ascii="Times New Roman" w:hAnsi="Times New Roman"/>
          <w:color w:val="000000" w:themeColor="text1"/>
          <w:sz w:val="16"/>
          <w:szCs w:val="16"/>
        </w:rPr>
        <w:softHyphen/>
        <w:t>ном акционерном обществе.</w:t>
      </w:r>
    </w:p>
    <w:p w14:paraId="3C8A425A"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Уншлихту,Крестинскому.</w:t>
      </w:r>
    </w:p>
    <w:p w14:paraId="1F2058A1"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 заказах на станки. (т .Орджоникидзе)</w:t>
      </w:r>
    </w:p>
    <w:p w14:paraId="36F4DB7A"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Поручить НКВТ перенести заказ на станки для завода № 24 в Англию.</w:t>
      </w:r>
    </w:p>
    <w:p w14:paraId="6A9499A1"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Розенгольцу, Орджоникидзе</w:t>
      </w:r>
    </w:p>
    <w:p w14:paraId="61D6AC2C"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10.- О нефтяном двигателе.</w:t>
      </w:r>
    </w:p>
    <w:p w14:paraId="03980967"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(ПБ от 4.УШ.33г., пр. № 141, п.21/12).</w:t>
      </w:r>
    </w:p>
    <w:p w14:paraId="7AAD59BB"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(т.т.Орджоникидзе,Свистун,Герчиков).</w:t>
      </w:r>
    </w:p>
    <w:p w14:paraId="6758464E"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Принять к сведению сообщение НКТяжпрома о том, что решение ЦК о выпуске к концу года 300 тракторов на нефтя</w:t>
      </w:r>
      <w:r w:rsidRPr="0044524F">
        <w:rPr>
          <w:rFonts w:ascii="Times New Roman" w:hAnsi="Times New Roman"/>
          <w:color w:val="000000" w:themeColor="text1"/>
          <w:sz w:val="16"/>
          <w:szCs w:val="16"/>
        </w:rPr>
        <w:softHyphen/>
        <w:t>ном двигателе будет выполнено.</w:t>
      </w:r>
    </w:p>
    <w:p w14:paraId="408E036A"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Разрешить НКВТ дополнительно импортировать маслен</w:t>
      </w:r>
      <w:r w:rsidRPr="0044524F">
        <w:rPr>
          <w:rFonts w:ascii="Times New Roman" w:hAnsi="Times New Roman"/>
          <w:color w:val="000000" w:themeColor="text1"/>
          <w:sz w:val="16"/>
          <w:szCs w:val="16"/>
        </w:rPr>
        <w:softHyphen/>
        <w:t>ки и подшипники на 30 т.р. Поручить НКТП обеспечить их поста</w:t>
      </w:r>
      <w:r w:rsidRPr="0044524F">
        <w:rPr>
          <w:rFonts w:ascii="Times New Roman" w:hAnsi="Times New Roman"/>
          <w:color w:val="000000" w:themeColor="text1"/>
          <w:sz w:val="16"/>
          <w:szCs w:val="16"/>
        </w:rPr>
        <w:softHyphen/>
        <w:t>новку на нефтяных моторах.</w:t>
      </w:r>
    </w:p>
    <w:p w14:paraId="2325D49F"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т.т.Орджоникидзе-все; Розенгольцу-п.2.</w:t>
      </w:r>
    </w:p>
    <w:p w14:paraId="7D5AACCD"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19.-Об аварии самолета.</w:t>
      </w:r>
    </w:p>
    <w:p w14:paraId="1AA43AE6"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Поручить лично т.Акулову расследовать факт гибели самолета ТБ-3 первого ноября и реэультаты сообщить в ЦК </w:t>
      </w:r>
    </w:p>
    <w:p w14:paraId="297437F0" w14:textId="77777777" w:rsidR="00071F1F" w:rsidRPr="0044524F" w:rsidRDefault="00071F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тов .Акулову (22998).</w:t>
      </w:r>
    </w:p>
    <w:p w14:paraId="6A92B65F" w14:textId="77777777" w:rsidR="00071F1F" w:rsidRPr="0044524F" w:rsidRDefault="00071F1F" w:rsidP="009654CF">
      <w:pPr>
        <w:spacing w:after="0" w:line="240" w:lineRule="auto"/>
        <w:jc w:val="both"/>
        <w:rPr>
          <w:rFonts w:ascii="Times New Roman" w:hAnsi="Times New Roman"/>
          <w:color w:val="000000" w:themeColor="text1"/>
          <w:sz w:val="16"/>
          <w:szCs w:val="16"/>
        </w:rPr>
      </w:pPr>
    </w:p>
    <w:p w14:paraId="0D499FFD"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C8B64CE"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6AA7200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на ХПЗ был выпущен первый серийный Т-35. Выпуск сопровождало специальное бюро, созданное на базе дизельного цеха, под руководством И.С.Бера (9527,156).</w:t>
      </w:r>
    </w:p>
    <w:p w14:paraId="2883B928"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062F17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 была закончена сборка первого серийного танка Т-35А. Спустя 4 дня военпред ХПЗ подписал документы о при</w:t>
      </w:r>
      <w:r w:rsidRPr="0044524F">
        <w:rPr>
          <w:rFonts w:ascii="Times New Roman" w:hAnsi="Times New Roman"/>
          <w:color w:val="000000" w:themeColor="text1"/>
          <w:sz w:val="16"/>
          <w:szCs w:val="16"/>
        </w:rPr>
        <w:softHyphen/>
        <w:t>емке машины, которая 7 ноября должна была принять учасвовать в параде в столице Украины, городе Харькове. Интерес</w:t>
      </w:r>
      <w:r w:rsidRPr="0044524F">
        <w:rPr>
          <w:rFonts w:ascii="Times New Roman" w:hAnsi="Times New Roman"/>
          <w:color w:val="000000" w:themeColor="text1"/>
          <w:sz w:val="16"/>
          <w:szCs w:val="16"/>
        </w:rPr>
        <w:softHyphen/>
        <w:t>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пятибашенная машина, воорурженная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4ED7774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p>
    <w:p w14:paraId="3B085023" w14:textId="77777777" w:rsidR="00E9595B" w:rsidRPr="0044524F" w:rsidRDefault="00E9595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ноября 1933 года на базе ОКМО организовали опытный завод №185 им. Ворошилова, где директором остался Барыков, а главным конструктором Гинзбург. В дальнейшем Гинзбург являлся главным конструктором всего того, что разрабатывалось на опытном заводе. То есть его роль была примерно такой же, как позже на заводе №183 у Кошкина и на Кировском заводе у Котина. Кстати, Кошкин вполне может считаться учеником Гинзбурга. Он работал под его началом, организуя производственные процессы по Т-29. У Гинзбурга же главной задачей являлся Т-46, который должен был сменить Т-26 в серийном производстве. Оба танка приняли на вооружение Красной Армии 29 февраля 1936 года. При этом за Т-46 Гинзбург получил Знак Почета. Впрочем, больше этот танк доставил неприятностей. Как выяснилось, машина была сложная и сырая. Касалось это, впрочем, и Т-29, который также безуспешно пытались поставить на серийное производство. Ну и в целом результаты работы завода №185 оказались крайне сомнительными. Принятая на вооружение Красной Армии самоходная установка АТ-1 стала жертвой "кривого" орудия ПС-3, посему в серии ее не было. Принятая на вооружение Красной Армии легкая САУ СУ-5 оказалась жертвой производственной чехарды на заводе №174. Посему выпущенная в 1936 году опытная серия из 26 машин (изготовитель - завод №185) стала первой и последней. СУ-14 также приняли на вооружение, но машина также оказалась "сырой". То же самое касалось и принятой на вооружение в 1936 году легкой зенитной САУ СУ-6. Несколько опытных машин - вот и вся серия (19634).</w:t>
      </w:r>
    </w:p>
    <w:p w14:paraId="48F72B07" w14:textId="77777777" w:rsidR="00E9595B" w:rsidRPr="0044524F" w:rsidRDefault="00E9595B" w:rsidP="009654CF">
      <w:pPr>
        <w:shd w:val="clear" w:color="auto" w:fill="FFFFFF"/>
        <w:spacing w:after="0" w:line="240" w:lineRule="auto"/>
        <w:jc w:val="both"/>
        <w:rPr>
          <w:rFonts w:ascii="Times New Roman" w:hAnsi="Times New Roman"/>
          <w:color w:val="000000" w:themeColor="text1"/>
          <w:sz w:val="16"/>
          <w:szCs w:val="16"/>
        </w:rPr>
      </w:pPr>
    </w:p>
    <w:p w14:paraId="4D3A7CFD" w14:textId="77777777" w:rsidR="00E9595B" w:rsidRPr="0044524F" w:rsidRDefault="00E9595B"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К 1 ноября 1933 года на базе ОКМО организовали опытный завод №185 им. Ворошилова, директором которого стал Н.В. Барыков, до того находившийся в руководстве ОКМО (19671).</w:t>
      </w:r>
    </w:p>
    <w:p w14:paraId="57D9E0C2" w14:textId="77777777" w:rsidR="00E9595B" w:rsidRPr="0044524F" w:rsidRDefault="00E9595B" w:rsidP="009654CF">
      <w:pPr>
        <w:pStyle w:val="ae"/>
        <w:shd w:val="clear" w:color="auto" w:fill="FFFFFF"/>
        <w:spacing w:before="0" w:after="0"/>
        <w:jc w:val="both"/>
        <w:textAlignment w:val="baseline"/>
        <w:rPr>
          <w:color w:val="000000" w:themeColor="text1"/>
          <w:sz w:val="16"/>
          <w:szCs w:val="16"/>
        </w:rPr>
      </w:pPr>
    </w:p>
    <w:p w14:paraId="5C904D10"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 Научно-техническое управление (НТУ) ГАУ и Научно-технический комитет (НТК) УММ РККА выдвинули уточненные тактико-технические требования к артиллерийской и танковой частям проекта. ТТХ артилле</w:t>
      </w:r>
      <w:r w:rsidRPr="0044524F">
        <w:rPr>
          <w:rFonts w:ascii="Times New Roman" w:hAnsi="Times New Roman"/>
          <w:color w:val="000000" w:themeColor="text1"/>
          <w:sz w:val="16"/>
          <w:szCs w:val="16"/>
        </w:rPr>
        <w:softHyphen/>
        <w:t>рийской части проекта первоначально выглядели так:</w:t>
      </w:r>
    </w:p>
    <w:p w14:paraId="26E94FCE"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«254--мм пушка большой мощности (БМ). Угол верти</w:t>
      </w:r>
      <w:r w:rsidRPr="0044524F">
        <w:rPr>
          <w:rFonts w:ascii="Times New Roman" w:hAnsi="Times New Roman"/>
          <w:iCs/>
          <w:color w:val="000000" w:themeColor="text1"/>
          <w:sz w:val="16"/>
          <w:szCs w:val="16"/>
        </w:rPr>
        <w:softHyphen/>
        <w:t>кального наведения — от 0° до +42°. Вес фугасной бомбы — 225 кг, начальная скорость бомбы — 692 м/с, дальность стрельбы — 23500м. Вес ствола с затвором 24000 кг.</w:t>
      </w:r>
    </w:p>
    <w:p w14:paraId="5FA76860"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305-мм гаубица большой мощности (БМ). Угол вертикаль</w:t>
      </w:r>
      <w:r w:rsidRPr="0044524F">
        <w:rPr>
          <w:rFonts w:ascii="Times New Roman" w:hAnsi="Times New Roman"/>
          <w:iCs/>
          <w:color w:val="000000" w:themeColor="text1"/>
          <w:sz w:val="16"/>
          <w:szCs w:val="16"/>
        </w:rPr>
        <w:softHyphen/>
        <w:t>ного наведения от 0°до +60°, вес фугасной бомбы — 365кг, на</w:t>
      </w:r>
      <w:r w:rsidRPr="0044524F">
        <w:rPr>
          <w:rFonts w:ascii="Times New Roman" w:hAnsi="Times New Roman"/>
          <w:iCs/>
          <w:color w:val="000000" w:themeColor="text1"/>
          <w:sz w:val="16"/>
          <w:szCs w:val="16"/>
        </w:rPr>
        <w:softHyphen/>
        <w:t>чальная скорость бомбы — 360м/с, дальность стрельбы — 12500м, начальная скорость снаряда 600м/с. Полный вес орудия-14100 кг.</w:t>
      </w:r>
    </w:p>
    <w:p w14:paraId="345C2336"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400-мм мортира большой мощности. Угол вертикального наведения от +5° до +70°, вес фугасной бомбы — 860кг, началь</w:t>
      </w:r>
      <w:r w:rsidRPr="0044524F">
        <w:rPr>
          <w:rFonts w:ascii="Times New Roman" w:hAnsi="Times New Roman"/>
          <w:iCs/>
          <w:color w:val="000000" w:themeColor="text1"/>
          <w:sz w:val="16"/>
          <w:szCs w:val="16"/>
        </w:rPr>
        <w:softHyphen/>
        <w:t>ная скорость бомбы - 320м/с, дальность стрельбы 10500м, на</w:t>
      </w:r>
      <w:r w:rsidRPr="0044524F">
        <w:rPr>
          <w:rFonts w:ascii="Times New Roman" w:hAnsi="Times New Roman"/>
          <w:iCs/>
          <w:color w:val="000000" w:themeColor="text1"/>
          <w:sz w:val="16"/>
          <w:szCs w:val="16"/>
        </w:rPr>
        <w:softHyphen/>
        <w:t>чальная скорость снаряда 600м/с. Вес орудия — 10000кг».</w:t>
      </w:r>
    </w:p>
    <w:p w14:paraId="4DBF9D84"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Разработку качающейся части «самохода особого на</w:t>
      </w:r>
      <w:r w:rsidRPr="0044524F">
        <w:rPr>
          <w:rFonts w:ascii="Times New Roman" w:hAnsi="Times New Roman"/>
          <w:color w:val="000000" w:themeColor="text1"/>
          <w:sz w:val="16"/>
          <w:szCs w:val="16"/>
        </w:rPr>
        <w:softHyphen/>
        <w:t>значения» поручили заводу «Большевик», а шасси — опыт</w:t>
      </w:r>
      <w:r w:rsidRPr="0044524F">
        <w:rPr>
          <w:rFonts w:ascii="Times New Roman" w:hAnsi="Times New Roman"/>
          <w:color w:val="000000" w:themeColor="text1"/>
          <w:sz w:val="16"/>
          <w:szCs w:val="16"/>
        </w:rPr>
        <w:softHyphen/>
        <w:t>ному заводу Спецмаштреста № 185.</w:t>
      </w:r>
    </w:p>
    <w:p w14:paraId="4B0AB50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уже в ходе начавшихся проектных работ требова</w:t>
      </w:r>
      <w:r w:rsidRPr="0044524F">
        <w:rPr>
          <w:rFonts w:ascii="Times New Roman" w:hAnsi="Times New Roman"/>
          <w:color w:val="000000" w:themeColor="text1"/>
          <w:sz w:val="16"/>
          <w:szCs w:val="16"/>
        </w:rPr>
        <w:softHyphen/>
        <w:t>ния к артиллерийской части были изменены. В частности, дальность стрельбы следовало увеличить по крайней мере на треть, а это привело к тому, что ресурс 254-мм пушки с увели</w:t>
      </w:r>
      <w:r w:rsidRPr="0044524F">
        <w:rPr>
          <w:rFonts w:ascii="Times New Roman" w:hAnsi="Times New Roman"/>
          <w:color w:val="000000" w:themeColor="text1"/>
          <w:sz w:val="16"/>
          <w:szCs w:val="16"/>
        </w:rPr>
        <w:softHyphen/>
        <w:t>ченной дальнобойностью оказался бы чрезвычайно мал (не более 100 выстрелов), кроме того, качающиеся части орудий значительно потяжелели. Особенно это касалось пушки, и потому решением ГАУ предписали вести проектирование, ориентируясь на калибр 210-220 мм вместо 254 мм.</w:t>
      </w:r>
    </w:p>
    <w:p w14:paraId="74D0CDB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ходе дальнейших обсуждений проекта, ввиду того что дальнобойное орудие калибра 210—220-мм еще не сущест</w:t>
      </w:r>
      <w:r w:rsidRPr="0044524F">
        <w:rPr>
          <w:rFonts w:ascii="Times New Roman" w:hAnsi="Times New Roman"/>
          <w:color w:val="000000" w:themeColor="text1"/>
          <w:sz w:val="16"/>
          <w:szCs w:val="16"/>
        </w:rPr>
        <w:softHyphen/>
        <w:t>вовало даже в расчетах, ГАУ в целях уменьшения веса и уве</w:t>
      </w:r>
      <w:r w:rsidRPr="0044524F">
        <w:rPr>
          <w:rFonts w:ascii="Times New Roman" w:hAnsi="Times New Roman"/>
          <w:color w:val="000000" w:themeColor="text1"/>
          <w:sz w:val="16"/>
          <w:szCs w:val="16"/>
        </w:rPr>
        <w:softHyphen/>
        <w:t>личения живучести стволов предложило заменить само</w:t>
      </w:r>
      <w:r w:rsidRPr="0044524F">
        <w:rPr>
          <w:rFonts w:ascii="Times New Roman" w:hAnsi="Times New Roman"/>
          <w:color w:val="000000" w:themeColor="text1"/>
          <w:sz w:val="16"/>
          <w:szCs w:val="16"/>
        </w:rPr>
        <w:softHyphen/>
        <w:t>ходный триплекс 254/305/400-мм дуплексом 203/305-мм, рассчитанным на применение снарядов с готовыми нареза</w:t>
      </w:r>
      <w:r w:rsidRPr="0044524F">
        <w:rPr>
          <w:rFonts w:ascii="Times New Roman" w:hAnsi="Times New Roman"/>
          <w:color w:val="000000" w:themeColor="text1"/>
          <w:sz w:val="16"/>
          <w:szCs w:val="16"/>
        </w:rPr>
        <w:softHyphen/>
        <w:t>ми. Кроме того, по рекомендации АНИИ было принято ре</w:t>
      </w:r>
      <w:r w:rsidRPr="0044524F">
        <w:rPr>
          <w:rFonts w:ascii="Times New Roman" w:hAnsi="Times New Roman"/>
          <w:color w:val="000000" w:themeColor="text1"/>
          <w:sz w:val="16"/>
          <w:szCs w:val="16"/>
        </w:rPr>
        <w:softHyphen/>
        <w:t>шение для уменьшения массы орудийной части в их конст</w:t>
      </w:r>
      <w:r w:rsidRPr="0044524F">
        <w:rPr>
          <w:rFonts w:ascii="Times New Roman" w:hAnsi="Times New Roman"/>
          <w:color w:val="000000" w:themeColor="text1"/>
          <w:sz w:val="16"/>
          <w:szCs w:val="16"/>
        </w:rPr>
        <w:softHyphen/>
        <w:t>рукции уйти от «двойного отката» (11417).</w:t>
      </w:r>
    </w:p>
    <w:p w14:paraId="09703049"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p>
    <w:p w14:paraId="2FF9157F" w14:textId="77777777" w:rsidR="002C03D8" w:rsidRPr="0044524F" w:rsidRDefault="002C03D8" w:rsidP="009654CF">
      <w:pPr>
        <w:pStyle w:val="rtejustify"/>
        <w:spacing w:before="0" w:after="0"/>
        <w:rPr>
          <w:color w:val="000000" w:themeColor="text1"/>
          <w:sz w:val="16"/>
          <w:szCs w:val="16"/>
        </w:rPr>
      </w:pPr>
      <w:r w:rsidRPr="0044524F">
        <w:rPr>
          <w:rStyle w:val="af0"/>
          <w:bCs/>
          <w:i w:val="0"/>
          <w:color w:val="000000" w:themeColor="text1"/>
          <w:sz w:val="16"/>
          <w:szCs w:val="16"/>
        </w:rPr>
        <w:t>1 ноября</w:t>
      </w:r>
      <w:r w:rsidRPr="0044524F">
        <w:rPr>
          <w:color w:val="000000" w:themeColor="text1"/>
          <w:sz w:val="16"/>
          <w:szCs w:val="16"/>
        </w:rPr>
        <w:t xml:space="preserve"> 1933. Протокол заседания Политбюро ЦК ВКП (б) № 148. </w:t>
      </w:r>
      <w:hyperlink r:id="rId356" w:anchor="showunit&amp;id=88177" w:history="1">
        <w:r w:rsidRPr="0044524F">
          <w:rPr>
            <w:rStyle w:val="a5"/>
            <w:color w:val="000000" w:themeColor="text1"/>
            <w:sz w:val="16"/>
            <w:szCs w:val="16"/>
          </w:rPr>
          <w:t>4. О заказах на станки</w:t>
        </w:r>
      </w:hyperlink>
      <w:r w:rsidRPr="0044524F">
        <w:rPr>
          <w:color w:val="000000" w:themeColor="text1"/>
          <w:sz w:val="16"/>
          <w:szCs w:val="16"/>
        </w:rPr>
        <w:t xml:space="preserve"> (Орджоникидзе) (ПБ от 1 ноября 1933 г.). — ОП. Решено поручить НКВТ перенести заказ на станки для завода № 24 в Англию. </w:t>
      </w:r>
      <w:hyperlink r:id="rId357" w:anchor="showunit&amp;id=88134" w:history="1">
        <w:r w:rsidRPr="0044524F">
          <w:rPr>
            <w:rStyle w:val="a5"/>
            <w:color w:val="000000" w:themeColor="text1"/>
            <w:sz w:val="16"/>
            <w:szCs w:val="16"/>
          </w:rPr>
          <w:t>17. О строительстве Хабаровского нефтеперегонного завода (записка Лаврентьева и Крутова)</w:t>
        </w:r>
      </w:hyperlink>
      <w:r w:rsidRPr="0044524F">
        <w:rPr>
          <w:color w:val="000000" w:themeColor="text1"/>
          <w:sz w:val="16"/>
          <w:szCs w:val="16"/>
        </w:rPr>
        <w:t xml:space="preserve"> (Орджоникидзе, Розенталь, Микоян). — ОП. Решено, для окончательного редактирования постановления создать комиссию в составе Молотова, Кагановича Л. М. и Орджоникидзе. Принять следующие поправки: в) предложить Наркомвнешторгу не позднее 1</w:t>
      </w:r>
      <w:r w:rsidRPr="0044524F">
        <w:rPr>
          <w:color w:val="000000" w:themeColor="text1"/>
          <w:sz w:val="16"/>
          <w:szCs w:val="16"/>
        </w:rPr>
        <w:noBreakHyphen/>
        <w:t>3</w:t>
      </w:r>
      <w:r w:rsidRPr="0044524F">
        <w:rPr>
          <w:color w:val="000000" w:themeColor="text1"/>
          <w:sz w:val="16"/>
          <w:szCs w:val="16"/>
        </w:rPr>
        <w:noBreakHyphen/>
        <w:t>1934 г. купить за границей, за счет неиспользованного кредита на покупку морского флота, три рейдовых буксира по 600</w:t>
      </w:r>
      <w:r w:rsidRPr="0044524F">
        <w:rPr>
          <w:color w:val="000000" w:themeColor="text1"/>
          <w:sz w:val="16"/>
          <w:szCs w:val="16"/>
        </w:rPr>
        <w:noBreakHyphen/>
        <w:t>700 сил каждый, осадкой не более 3,0 м; г) обязать НКТП построить и сдать НКВоду (комплектно) в разобранном виде, не позже 1</w:t>
      </w:r>
      <w:r w:rsidRPr="0044524F">
        <w:rPr>
          <w:color w:val="000000" w:themeColor="text1"/>
          <w:sz w:val="16"/>
          <w:szCs w:val="16"/>
        </w:rPr>
        <w:noBreakHyphen/>
        <w:t>6</w:t>
      </w:r>
      <w:r w:rsidRPr="0044524F">
        <w:rPr>
          <w:color w:val="000000" w:themeColor="text1"/>
          <w:sz w:val="16"/>
          <w:szCs w:val="16"/>
        </w:rPr>
        <w:noBreakHyphen/>
        <w:t xml:space="preserve">1934 г., для переброски на Амур, 5 рейдовых буксиров по 600 сил каждый, и к этому же сроку для обеспечения перевозок нефти в 1935 году забросить в Благовещенск, в разобранном виде, 4 рейдовых баржи по 3500 тонн, 1 речную баржу 4000 тонн и 3 речных баржи по 8000 тонн каждая. </w:t>
      </w:r>
      <w:hyperlink r:id="rId358" w:anchor="showunit&amp;id=88186" w:history="1">
        <w:r w:rsidRPr="0044524F">
          <w:rPr>
            <w:rStyle w:val="a5"/>
            <w:color w:val="000000" w:themeColor="text1"/>
            <w:sz w:val="16"/>
            <w:szCs w:val="16"/>
          </w:rPr>
          <w:t>48/29. Об экспортно-импортном и валютном планах на IV квартал 1933 г.</w:t>
        </w:r>
      </w:hyperlink>
      <w:r w:rsidRPr="0044524F">
        <w:rPr>
          <w:color w:val="000000" w:themeColor="text1"/>
          <w:sz w:val="16"/>
          <w:szCs w:val="16"/>
        </w:rPr>
        <w:t xml:space="preserve"> (ПБ от 20 октября 1933 г.) — ОП. Решено утвердить планы сдачи на экспорт и планы экспорта 4 квартала на Запад, план сдачи для Торгсина, план импорта и валютный план со следующими изменениями: 1) Увеличить сдачу на экспорт апатитовых концентратов в 4 квартале до 38 тысяч тонн; 2) Вопрос о возможности замены экспорта хлопка экспортом в 4 квартале других товаров сверх плана, утвержденного Валютной комиссией, рассмотреть комиссии в следующем составе: Каганович, Микоян, Розенгольц, Беленький, Аркус, Любимов; 3) Увеличить валютный план по пушнине на 4 квартал, сверх утвержденного Валютной комиссией на 1 миллион рублей; 4) Оставить сдачу и экспорт льна в размерах, утвержденных Валютной Комиссией. Комиссии в составе: Беленький, Трояновский, Розенгольц и Любимов проверить правильность заявленных Любимовым расчетов; 5) Установить сдачу на экспорт сахара на страны Востока, включая страны Ближнего Востока, в 25 тысяч тонн и сверх того 5 тысяч тонн на Запад; 6) Уменьшить установленную Валютной комиссией сдачу на экспорт ядра урюкового с 65 тонн до 32 тонн и сдачу на экспорт фисташек со 100 тонн до 50 тонн, обязав Микояна выделить на 24 тысячи рублей товаров сверх плана, утвержденного Валютной комиссией. Возможность дальнейшего уменьшения экспорта ядра урюкового и фисташек установить лишь в случае предварительного согласия Наркомвнешторга на замену товаров; 7) Обязать Микояна выполнить полностью установленные Валютной комиссией планы сдачи на экспорт хмеля в размере 80 тонн и смородины в размере 150 тонн; 8) Внести изменения согласно принятому постановлению Политбюро от 6</w:t>
      </w:r>
      <w:r w:rsidRPr="0044524F">
        <w:rPr>
          <w:color w:val="000000" w:themeColor="text1"/>
          <w:sz w:val="16"/>
          <w:szCs w:val="16"/>
        </w:rPr>
        <w:noBreakHyphen/>
        <w:t>10</w:t>
      </w:r>
      <w:r w:rsidRPr="0044524F">
        <w:rPr>
          <w:color w:val="000000" w:themeColor="text1"/>
          <w:sz w:val="16"/>
          <w:szCs w:val="16"/>
        </w:rPr>
        <w:noBreakHyphen/>
        <w:t>1933 г.: а) обязать НКВнешторг импортировать в 4 квартале для вагоностроительных заводов 4 тысячи тонн швеллеров № 30</w:t>
      </w:r>
      <w:r w:rsidRPr="0044524F">
        <w:rPr>
          <w:color w:val="000000" w:themeColor="text1"/>
          <w:sz w:val="16"/>
          <w:szCs w:val="16"/>
        </w:rPr>
        <w:noBreakHyphen/>
        <w:t>бис и 3000 тонн рессорной стали, сверх годовых контингентов НКТП (потребует 300 тысяч рублей валюты); б) для обеспечения вагоностроения лесоматериалами снять в 4 квартале с экспорта 27 тысяч кубометров хвойных пиломатериалов и 5,5 тысяч кубометров дубовых пиломатериалов (сократить на 484 тысячи рублей поступление валюты). 9) Внести изменения согласно принятому постановлению Политбюро от 9</w:t>
      </w:r>
      <w:r w:rsidRPr="0044524F">
        <w:rPr>
          <w:color w:val="000000" w:themeColor="text1"/>
          <w:sz w:val="16"/>
          <w:szCs w:val="16"/>
        </w:rPr>
        <w:noBreakHyphen/>
        <w:t>10</w:t>
      </w:r>
      <w:r w:rsidRPr="0044524F">
        <w:rPr>
          <w:color w:val="000000" w:themeColor="text1"/>
          <w:sz w:val="16"/>
          <w:szCs w:val="16"/>
        </w:rPr>
        <w:noBreakHyphen/>
        <w:t>1933 г.: а) уменьшить сдачу растительного масла до 10 тысяч тонн; б) уменьшить хлопковые семена в сдаче до 20 тысяч тонн; в) увеличить сдачу жмыхов на 10 тысяч тонн; г) увеличить сдачу зерновых сверх утвержденной Валютной комиссией по плану 4 квартала на 10 миллионов пудов. 10) Комиссии в составе: Беленького, Розенгольца, Пятакова рассмотреть просьбу Наркомтяжпрома об увеличении контингентов по цветным металлам и ферросплавам; 11) Разрешить дополнительную закупку 28 тысяч тонн проката; 12) Разрешить дополнительный импорт качественной стали на 300 тысяч рублей; 13) Разрешить Наркомтяжпрому дополнительный импорт оборудования на 600 тысяч рублей. Комиссии в составе Андреева, Орджоникидзе и Розенгольца определить размеры импорта для Верхнеудинского завода; 14) Разрешить закупку медикаментов для Москвы сверх годового плана на 25 тысяч рублей; 15) Установить, что импорт для «Красного Путиловца» определяется в 600 тысяч рублей в счет имплана 1934 года, включая в это все ранее принятые постановления; 16) Отменить решение Политбюро от 8</w:t>
      </w:r>
      <w:r w:rsidRPr="0044524F">
        <w:rPr>
          <w:color w:val="000000" w:themeColor="text1"/>
          <w:sz w:val="16"/>
          <w:szCs w:val="16"/>
        </w:rPr>
        <w:noBreakHyphen/>
        <w:t>10</w:t>
      </w:r>
      <w:r w:rsidRPr="0044524F">
        <w:rPr>
          <w:color w:val="000000" w:themeColor="text1"/>
          <w:sz w:val="16"/>
          <w:szCs w:val="16"/>
        </w:rPr>
        <w:noBreakHyphen/>
        <w:t xml:space="preserve">1933 г. об увеличении импорта скота из Турции и оставить импорт скота из Турции в прежних размерах, т. е. 100 тысяч голов мелкого и </w:t>
      </w:r>
      <w:r w:rsidRPr="0044524F">
        <w:rPr>
          <w:color w:val="000000" w:themeColor="text1"/>
          <w:sz w:val="16"/>
          <w:szCs w:val="16"/>
        </w:rPr>
        <w:lastRenderedPageBreak/>
        <w:t xml:space="preserve">35 тысяч голов крупного; 17) Разрешить заключение договоров с фирмой «Испано-Сюиза» всего на сумму не свыше 800 тысяч рублей; 18) Наркомвнешторгу внести в валютный план изменения, вытекающие из принятых решений об изменении экспортных и импортных планов. </w:t>
      </w:r>
      <w:hyperlink r:id="rId359" w:anchor="showunit&amp;id=88196" w:history="1">
        <w:r w:rsidRPr="0044524F">
          <w:rPr>
            <w:rStyle w:val="a5"/>
            <w:color w:val="000000" w:themeColor="text1"/>
            <w:sz w:val="16"/>
            <w:szCs w:val="16"/>
          </w:rPr>
          <w:t>57/37. О цветных металлах для НКТП (ПБ от 22 октября 1933 г.).</w:t>
        </w:r>
      </w:hyperlink>
      <w:r w:rsidRPr="0044524F">
        <w:rPr>
          <w:color w:val="000000" w:themeColor="text1"/>
          <w:sz w:val="16"/>
          <w:szCs w:val="16"/>
        </w:rPr>
        <w:t xml:space="preserve"> — ОП. Решено утвердить постановление СТО о разрешении выдачи из Комитета Резервов для НКТяжпрома по обеспечению неотложных нужд танковой программы 4 квартала – олова 70 тонн, алюминия – 100 тонн и авиационной промышленности – олова 58 тонн, алюминия – 300 тонн, магнето ВС12 – 400. </w:t>
      </w:r>
      <w:hyperlink r:id="rId360" w:anchor="showunit&amp;id=88207" w:history="1">
        <w:r w:rsidRPr="0044524F">
          <w:rPr>
            <w:rStyle w:val="a5"/>
            <w:color w:val="000000" w:themeColor="text1"/>
            <w:sz w:val="16"/>
            <w:szCs w:val="16"/>
          </w:rPr>
          <w:t>67/47. О цветных металлах</w:t>
        </w:r>
      </w:hyperlink>
      <w:r w:rsidRPr="0044524F">
        <w:rPr>
          <w:color w:val="000000" w:themeColor="text1"/>
          <w:sz w:val="16"/>
          <w:szCs w:val="16"/>
        </w:rPr>
        <w:t xml:space="preserve"> (ПБ от 22 октября 1933 г.). — ОП. Решено увеличить импорт цветных металлов и ферросплавов, а также магния и криолита, всего на 2 миллиона рублей сверх плана 4 квартала, утвержденного Валютной комиссией, и сверх годового плана. </w:t>
      </w:r>
      <w:hyperlink r:id="rId361" w:anchor="showunit&amp;id=88235" w:history="1">
        <w:r w:rsidRPr="0044524F">
          <w:rPr>
            <w:rStyle w:val="a5"/>
            <w:color w:val="000000" w:themeColor="text1"/>
            <w:sz w:val="16"/>
            <w:szCs w:val="16"/>
          </w:rPr>
          <w:t>92/72. О концессии «Жесть-Вестен»</w:t>
        </w:r>
      </w:hyperlink>
      <w:r w:rsidRPr="0044524F">
        <w:rPr>
          <w:color w:val="000000" w:themeColor="text1"/>
          <w:sz w:val="16"/>
          <w:szCs w:val="16"/>
        </w:rPr>
        <w:t xml:space="preserve"> (ПБ от 23 октября 1933 г.). — ОП. Решено: 1. Разрешить для концессии «Жесть-Вестен» дополнительный импорт на сумму 20 тысяч рублей на приобретение необходимых химикалий по спецификации, согласованной с НКЛП РСФСР. 2. Ввиду отказа концессионера удовлетворить минимальные требования ЦК Cоюза машиностроителей в части повышения зарплаты и некоторого улучшения бытовых условий труда, и, учитывая, что концессионер выдвинул контртребования, направленные к дальнейшему ухудшению положения рабочих на предприятии, разрешить ЦК Союза машиностроителей вторично предъявить концессии свои требования и, в случае отказа, в трехдневный срок разрешить Профсоюзу объявить на предприятии стачку. 3. Разрешить Главконцесскому и НКЛП РСФСР приступить к переговорам с концессией «Жесть-Вестен» о ликвидации концессии на условиях рассрочки на ряд лет выкупной суммы, предусмотрев при этом выплату концессионеру в ближайшие годы не свыше 150 тысяч рублей валюты ежегодно. </w:t>
      </w:r>
      <w:hyperlink r:id="rId362" w:anchor="showunit&amp;id=88063" w:history="1">
        <w:r w:rsidRPr="0044524F">
          <w:rPr>
            <w:rStyle w:val="a5"/>
            <w:color w:val="000000" w:themeColor="text1"/>
            <w:sz w:val="16"/>
            <w:szCs w:val="16"/>
          </w:rPr>
          <w:t>105/85. Об отпуске средств из резервного фонда СНК СССР</w:t>
        </w:r>
      </w:hyperlink>
      <w:r w:rsidRPr="0044524F">
        <w:rPr>
          <w:color w:val="000000" w:themeColor="text1"/>
          <w:sz w:val="16"/>
          <w:szCs w:val="16"/>
        </w:rPr>
        <w:t xml:space="preserve"> (ПБ от 25 октября 1933 г.). — ОП. Решено утвердить постановление СНК об отпуске НКВМору из резервного фонда СНК 1200 тыс. руб. на строительство Мурманской морской базы. </w:t>
      </w:r>
      <w:hyperlink r:id="rId363" w:anchor="showunit&amp;id=88097" w:history="1">
        <w:r w:rsidRPr="0044524F">
          <w:rPr>
            <w:rStyle w:val="a5"/>
            <w:color w:val="000000" w:themeColor="text1"/>
            <w:sz w:val="16"/>
            <w:szCs w:val="16"/>
          </w:rPr>
          <w:t>136/117. О снабжении рабочих азотно-тукового комбината в Горловке</w:t>
        </w:r>
      </w:hyperlink>
      <w:r w:rsidRPr="0044524F">
        <w:rPr>
          <w:color w:val="000000" w:themeColor="text1"/>
          <w:sz w:val="16"/>
          <w:szCs w:val="16"/>
        </w:rPr>
        <w:t xml:space="preserve"> (ПБ от 28 октября 1933 г.). Решено перевести из списка № 1 в особый список снабжения рабочих действующих цехов азотно-тукового комбината в Горловке, начиная с ноября месяца 1933 года. </w:t>
      </w:r>
      <w:hyperlink r:id="rId364" w:anchor="showunit&amp;id=88129" w:history="1">
        <w:r w:rsidRPr="0044524F">
          <w:rPr>
            <w:rStyle w:val="a5"/>
            <w:color w:val="000000" w:themeColor="text1"/>
            <w:sz w:val="16"/>
            <w:szCs w:val="16"/>
          </w:rPr>
          <w:t>165/146. План развертывания работ по Блявинскому комбинату (Средняя Волга)</w:t>
        </w:r>
      </w:hyperlink>
      <w:r w:rsidRPr="0044524F">
        <w:rPr>
          <w:color w:val="000000" w:themeColor="text1"/>
          <w:sz w:val="16"/>
          <w:szCs w:val="16"/>
        </w:rPr>
        <w:t xml:space="preserve"> (ПБ от 31 октября 1933 г.). Решено передать вопрос на разрешение в СТО (15462).</w:t>
      </w:r>
    </w:p>
    <w:p w14:paraId="01BA6CBA" w14:textId="77777777" w:rsidR="002C03D8" w:rsidRPr="0044524F" w:rsidRDefault="002C03D8" w:rsidP="009654CF">
      <w:pPr>
        <w:pStyle w:val="rtejustify"/>
        <w:spacing w:before="0" w:after="0"/>
        <w:rPr>
          <w:color w:val="000000" w:themeColor="text1"/>
          <w:sz w:val="16"/>
          <w:szCs w:val="16"/>
        </w:rPr>
      </w:pPr>
    </w:p>
    <w:p w14:paraId="67E9C8E6"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1 ноября 1933 года Протокол дополнительных показаний Обвиняемого Шеффера Артура Фридриховича </w:t>
      </w:r>
    </w:p>
    <w:p w14:paraId="0ECD1BA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В дополнение к моим предыдущим показаниям о моей шпионской деятельности впользу германской разведки, сообщаю следующее: </w:t>
      </w:r>
    </w:p>
    <w:p w14:paraId="6DAA2543"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Наряду с тем, что мною давались Верману письменные материалы об основных данных производственной программы выпуска продукции по заводу по годам, я также систематически информировал Вермана о ходе выполнения производственной программы по основным объектам производственной деятельности завода, особенно по военному и коммерческому судостроению.</w:t>
      </w:r>
    </w:p>
    <w:p w14:paraId="33646E81"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Эти сведения давались Верману регулярно из квартала в квартал в виде письменных квартальных отчетных данных о выполнении производственной программы по основным объектам поквартально. </w:t>
      </w:r>
    </w:p>
    <w:p w14:paraId="2EF02BBF"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Параллельно с представлением Верману шпионских сведений по заводу А Марти, я также снабжал Вермана аналогичными сведениями и по заводу заводу № 61 в г. Николаеве. </w:t>
      </w:r>
    </w:p>
    <w:p w14:paraId="4ECB12E8"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Конкретно за период моей деловой связи с Верманом я передавал ему письменные материалы по следующим вопросам и объектам: </w:t>
      </w:r>
    </w:p>
    <w:p w14:paraId="5FA123EC"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1)По военному судостроению: Данные об основных размерах, тоннаже скоростях и вооружениях новостроящихся 9 малых подводных лодок типа заказа № 265. </w:t>
      </w:r>
    </w:p>
    <w:p w14:paraId="43EC062D"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2) По коммерческому судостроению: Типы, основные размеры, грузоподъемность строящихся нефтевозов №№ 195, 196, сухогрузов №№ 197, 198, 199, 200 и следующих серий, дальневосточных теплоходов № 207 и 208 и больших лесовозов.</w:t>
      </w:r>
    </w:p>
    <w:p w14:paraId="50B5C656"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3) Подробные письменные данные данные о производственной программе и степени готовности.</w:t>
      </w:r>
    </w:p>
    <w:p w14:paraId="6886B0D9"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Верман не только интересовался вопросами судостроения на ни­колаевских заводах. Он также проявлял большой интерес к общему судостроению, особенно военному, по всему Союзу. В этих целях Вер­ман, наряду с другими источниками, использовал мои служебные командировки по делам завода в Ленинград на совещания в Союзверфи.</w:t>
      </w:r>
    </w:p>
    <w:p w14:paraId="123B6C59"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Первая беседа Вермана со мной по части предоставлений ему све­дений по всесоюзному судостроению относится к сентябрю месяцу 1930 года Я тогда, по вызову правления Союзверфи, должен был выехать вторично в Ленинград для согласования ряда вопросов по конт­рольным цифрам.</w:t>
      </w:r>
    </w:p>
    <w:p w14:paraId="0CB83AF2"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При очередной с Верманом встрече, узнав, что я был в Ленинграде на совещании в Союзверфи по вопросам контрольных цифр завода, где одновременно прорабатывались контрольные цифры других су­достроительных заводов Союза, а также о том, что мне предстоит вто­ричная служебная командировка в Ленинград, Верман просил меня проинформировать его в общих чертах о состоянии судостроения по другим заводам Союза. Я по этому вопросу устно проинформировал Вермана на основании тех отдельных данных, которые сохранились у меняя в памяти при обсуждении контрольных цифр, интересовав­ших Вермана заводов. Верман тогда же предложил мне использовать мои служебные командировки в Ленинград по вопросам планирова­ния, для собирания и представления ему подробных данных о ходе судостроения, главным образом, военного, по другим заводам Союза. Я Верману дал свое согласие.</w:t>
      </w:r>
    </w:p>
    <w:p w14:paraId="12BA1AA0"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Начиная с сентября 1930 г. я, выполняя задания Вермана о предо­ставлении ему шпионских сведений по судостроению Союза, предос­тавлял периодически в распоряжение Вермана письменные материа­лы об основных показателях судостроения на следующих заводах:</w:t>
      </w:r>
    </w:p>
    <w:p w14:paraId="089C3542"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а) "Северная верфь" — им. Марти и Балтийский завод г. Ленинград.</w:t>
      </w:r>
    </w:p>
    <w:p w14:paraId="6BB3E33D"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б) Морской завод — Севастополь.</w:t>
      </w:r>
    </w:p>
    <w:p w14:paraId="6F219930"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Дальзавод — Владивосток.</w:t>
      </w:r>
    </w:p>
    <w:p w14:paraId="76FEB45B"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Предоставляемые мною Верману сведения составлялись из данных производственных программ указанных заводов, характеризующих типы судов, их количество, объекты работы и сроки сдачи.</w:t>
      </w:r>
    </w:p>
    <w:p w14:paraId="2459F2E2"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Я последовательно передавал Верману подробные сведения о про­изводственной программе этих заводов — на 4-й квартал 1930 года, на 1931-й год, поквартально — за все четыре квартала 1931 года и на 1932 год.</w:t>
      </w:r>
    </w:p>
    <w:p w14:paraId="29C78A4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Эти сведения я выбирал из материалов планового отдела Союзверфи во время своих служебных командировок в Ленинград по воп­росам утверждения контрольных цифр по нашему заводу в г. Нико­лаеве.</w:t>
      </w:r>
    </w:p>
    <w:p w14:paraId="67101516"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От Вермана я также получал отдельные поручения при моих слу­жебных командировках в Ленинград. Поручения эти следующего порядка:</w:t>
      </w:r>
    </w:p>
    <w:p w14:paraId="6F05EAA5"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При очередной моей поездке в Ленинград в ноябре 1930 г. Верман вручил мне запечатанный пакет и просил передать таковой секрета­рю германского консульства в Ленинграде. Вручая мне пакет, Вер­ман предупредил меня, чтобы я был с пакетом очень осторожен, и тща­тельно его хранил, так как в нем запечатаны важные информацион­ные материалы.</w:t>
      </w:r>
    </w:p>
    <w:p w14:paraId="5107AD3B"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Я это поручение Вермана выполнил. Будучи в Ленинграде я посе­тил германское консульство и вручил пакет Вермана лицу, назвав­шему себя секретарем. Это был мужчина высокого роста, плотного телосложения, блондин, фамилии его не знаю.</w:t>
      </w:r>
    </w:p>
    <w:p w14:paraId="2E8DA2DA"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течение 1931 г. я, по поручению Вермана, дважды посетил в Ле­нинграде германское консульство, где передавал секретарю консуль­ства пакеты от Вермана. Всего, по поручению Вермана, посетил гер­манское консульство в Ленинграде 3 раза. В первых двух случаях я получил от секретаря консульства обратный пакет для Вермана, кое­му и передавал.</w:t>
      </w:r>
    </w:p>
    <w:p w14:paraId="0AAD46B0"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начале 1931 г., при очередной поездке в Ленинград в служебную командировку, Верман поручил мне передать письмо, работающему в правлении Союзверфи в Ленинграде инженеру Брунсу Эдуарду Эдуардовичу. Это поручение было мною выполнено, обратного до­кумента от Брунса на имя Вермана я не получил. Характер связи Вер­мана с Брунсом мне неизвестен.</w:t>
      </w:r>
    </w:p>
    <w:p w14:paraId="347D77F9"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начале 1932 года, когда я подробно информировал Вермана по вопросам производственной программы завода на 1933 г., Верман обратил свое внимание на резкое повышение программы военного судостроения на заводе. Тут же Верман поинтересовался следующим вопросом: до каких пределов может вырасти программа военного су­достроения в военное время и каковы в этом отношении возможности завода. Я Верману сказал, что я этими данными не располагаю, но на заводе такие данные имеются линии составления мобпланов. Вер­ман тогда поинтересовался лицом, ведающим мобработой и могущим быть им, Верманом, использованным для получения сведений по мобплану. Я назвал Верману, работавшего тогда на заводе моим заместителем по планово-экономическому отделу - инженера экономиста Ходаковского Владимира Саввича.</w:t>
      </w:r>
    </w:p>
    <w:p w14:paraId="4C706179"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мае месяце 1932 г., при одной из моих периодических встреч с Верманом, я поинтересовался результатами принятых Верманом ша­гов для получения сведений по мобплану. Верман мне ответил, что на этот счет у него имеется полная договоренность с Ходаковским, от которого он получает интересующие его сведения.</w:t>
      </w:r>
    </w:p>
    <w:p w14:paraId="0E584CE1"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августе месяце 1933 года, при очередной встрече и беседе с Вер­маном, последний интересовался местонахождением Ходаковского (Ходаковский в 20 числах июня 1933 г., будучи уволенным из заво­да, выехал из Николаева). Я сообщил Верману, то Ходаковский в настоящее время проживает в Ленинграде и работает на заводе № 6. Когда Верман поинтересовался и спросил меня, что из себя представ­ляет завод № 6, я ему сообщил, что завод № 6 работает на минном вооружении для судостроения и других спецзаказах, являясь заво­дом засекреченным.</w:t>
      </w:r>
    </w:p>
    <w:p w14:paraId="6C8A191F"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Верман, зная о моих периодических посещениях Ленинграда, по­учил мне следующее: при очередном посещении Ленинграда — пови­даться с Ходаковским и просить его о представлении ему (Верману), хотя бы изредка, сведений по заводу.</w:t>
      </w:r>
    </w:p>
    <w:p w14:paraId="08F29BBF"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Я согласился это поручение Вермана выполнить, зная Ходаковс­кого хорошо по совместной и близкой работе на заводе, а также о том, что Ходаковский уже давно поддерживает деловую связь с Вер­маном.</w:t>
      </w:r>
    </w:p>
    <w:p w14:paraId="5E4DAE00"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Будучи в очередной служебной командировке в Ленинграде, в октябре 1933 года, я часто встречал Ходаковского в общежитии Союзверфи. При одной из встреч, я Ходаковскому передал просьбу Вер­мана по части представления ему сведений по заводу № 6. Ходаков­ский при этом немного смутился и заявил, что в ближайшие дни он, по семейным делам, собирается в Николаев и тогда же повидается и поговорит с Верманом.</w:t>
      </w:r>
    </w:p>
    <w:p w14:paraId="65191801"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lastRenderedPageBreak/>
        <w:t>Будучи человеком весьма близким к Верману, связанным с ним на протяжении долгих лет по разведывательной работе в пользу Герма­нии, мне из отдельных бесед с Верманом, особенно за последнее время, в период 1932 г., стало известно, что Верман является резидентом гер­манской разведки на юге России. Разведывательная деятельность Вер­мана не ограничивалась только вопросами существования Никола­евских заводов. Верман проводил также работу по организации сбора для него шпионских сведений и в других городах Украины, главным образом в промышленных центрах.</w:t>
      </w:r>
    </w:p>
    <w:p w14:paraId="0EBACEAF"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неоднократных беседах с Верманом, особенно за последние годы — 1930-32 гг., по вопросам о росте промышленности на Украине, Верман проявлял значительную осведомленность о состоянии и деятель­ности ряда крупных предприятий, относящихся, главным образом, к Харькову, Мариуполю, Днепропетровску, Севастополю, а также Одессе.</w:t>
      </w:r>
    </w:p>
    <w:p w14:paraId="2F97CDC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Конкретно Верман проявлял свою осведомленность по служащим промышленным объектам, по Харьковскому паровозостроительному заводу, Харьковскому электромеханическому, заводу им. Петровс­кого в Днепропетровске, а также металлургическому заводу в Мари­уполе. Из ряда бесед с Верманом, в процессе коих затрагивались эти предприятия, было очевидно, что Верман располагает детальными данными о состоянии и мощности этих предприятий, о ходе выполне­ния производственной программы на них, а также об основных ко­личественных и качественных показателях работы. Верману также было известно о строительстве и работе военного цеха - танкетного на ХНЗ.</w:t>
      </w:r>
    </w:p>
    <w:p w14:paraId="6DBDA8E6"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Верман также был в курсе деятельности Морского завода в Севас­тополе и судостроительного завода имени Марти в Одессе.</w:t>
      </w:r>
    </w:p>
    <w:p w14:paraId="20057173"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О лицах, кои проводили разведывательную работу по указанным предприятиям и представляли Верману сведения помнится, что когда в моих беседах с Верманом заходила речь о Харькове, Верман нео­днократно упоминал, что он ведет переписку с Резниковым Гераси­мом Степановичем, каковой до 1926-27 г.г. работал на заводе им А. Марти в Николаеве, а в настоящее время работает, насколько мне известно, в одном из трестов в Харькове.</w:t>
      </w:r>
    </w:p>
    <w:p w14:paraId="0BDDFFDA"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Все записано с моих слов верно, мною прочитано, в чем и подпи­сываюсь</w:t>
      </w:r>
    </w:p>
    <w:p w14:paraId="5EAD1513"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А. Шеффер </w:t>
      </w:r>
    </w:p>
    <w:p w14:paraId="310E73A9"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Допросил: Уполномоченный ОО Облотдела ГПУ Весеньев</w:t>
      </w:r>
    </w:p>
    <w:p w14:paraId="1277FA9B"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АПРФ. Ф. 3, on 58, д. 243, л. 118-124 (11462).</w:t>
      </w:r>
    </w:p>
    <w:p w14:paraId="1FD5C87A" w14:textId="77777777" w:rsidR="00570C39" w:rsidRPr="0044524F" w:rsidRDefault="00570C39" w:rsidP="009654CF">
      <w:pPr>
        <w:pStyle w:val="af2"/>
        <w:jc w:val="both"/>
        <w:rPr>
          <w:i w:val="0"/>
          <w:iCs w:val="0"/>
          <w:color w:val="000000" w:themeColor="text1"/>
          <w:spacing w:val="0"/>
          <w:kern w:val="0"/>
          <w:position w:val="0"/>
          <w:sz w:val="16"/>
          <w:szCs w:val="16"/>
          <w:lang w:val="ru-RU"/>
        </w:rPr>
      </w:pPr>
    </w:p>
    <w:p w14:paraId="6778C4B0" w14:textId="77777777" w:rsidR="002C03D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F1E8202" w14:textId="77777777" w:rsidR="002C03D8" w:rsidRPr="0044524F" w:rsidRDefault="002C03D8" w:rsidP="009654CF">
      <w:pPr>
        <w:spacing w:after="0" w:line="240" w:lineRule="auto"/>
        <w:jc w:val="both"/>
        <w:rPr>
          <w:rFonts w:ascii="Times New Roman" w:hAnsi="Times New Roman"/>
          <w:iCs/>
          <w:color w:val="000000" w:themeColor="text1"/>
          <w:sz w:val="16"/>
          <w:szCs w:val="16"/>
        </w:rPr>
      </w:pPr>
    </w:p>
    <w:p w14:paraId="1605D64C" w14:textId="77777777" w:rsidR="00BD3BE7" w:rsidRPr="00142305" w:rsidRDefault="00BD3BE7" w:rsidP="00BD3BE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ноября 1933 г. первый экспериментальный образец дизеля БД-2 после стендовых испытаний был установлен в танк БТ-5 для проведения заводских испытаний. Хотелось бы отметить, что в проработке вопросов установки дизеля БД-2 в танк БТ И.С. (25046).</w:t>
      </w:r>
    </w:p>
    <w:p w14:paraId="78FADE26" w14:textId="77777777" w:rsidR="00BD3BE7" w:rsidRPr="00142305" w:rsidRDefault="00BD3BE7" w:rsidP="00BD3BE7">
      <w:pPr>
        <w:spacing w:after="0" w:line="240" w:lineRule="auto"/>
        <w:jc w:val="both"/>
        <w:rPr>
          <w:rFonts w:ascii="Times New Roman" w:hAnsi="Times New Roman"/>
          <w:color w:val="0070C0"/>
          <w:sz w:val="16"/>
          <w:szCs w:val="16"/>
        </w:rPr>
      </w:pPr>
    </w:p>
    <w:p w14:paraId="706E5A0B" w14:textId="77777777" w:rsidR="002C03D8" w:rsidRPr="0044524F" w:rsidRDefault="002C03D8" w:rsidP="009654CF">
      <w:pPr>
        <w:pStyle w:val="rtejustify"/>
        <w:spacing w:before="0" w:after="0"/>
        <w:rPr>
          <w:color w:val="000000" w:themeColor="text1"/>
          <w:sz w:val="16"/>
          <w:szCs w:val="16"/>
        </w:rPr>
      </w:pPr>
      <w:r w:rsidRPr="0044524F">
        <w:rPr>
          <w:rStyle w:val="af0"/>
          <w:bCs/>
          <w:i w:val="0"/>
          <w:color w:val="000000" w:themeColor="text1"/>
          <w:sz w:val="16"/>
          <w:szCs w:val="16"/>
        </w:rPr>
        <w:t>2/5 ноября 1933 вышел приказ НКТП № 199с.</w:t>
      </w:r>
      <w:r w:rsidRPr="0044524F">
        <w:rPr>
          <w:color w:val="000000" w:themeColor="text1"/>
          <w:sz w:val="16"/>
          <w:szCs w:val="16"/>
        </w:rPr>
        <w:t xml:space="preserve"> О реконструкции завода «Красный прогресс». (РГАЭ. Ф. 160. Оп. 38. Д. 38. Л. 160) (15246).</w:t>
      </w:r>
    </w:p>
    <w:p w14:paraId="54815799" w14:textId="77777777" w:rsidR="002C03D8" w:rsidRPr="0044524F" w:rsidRDefault="002C03D8" w:rsidP="009654CF">
      <w:pPr>
        <w:pStyle w:val="rtejustify"/>
        <w:spacing w:before="0" w:after="0"/>
        <w:rPr>
          <w:color w:val="000000" w:themeColor="text1"/>
          <w:sz w:val="16"/>
          <w:szCs w:val="16"/>
        </w:rPr>
      </w:pPr>
    </w:p>
    <w:p w14:paraId="010A6F50" w14:textId="77777777" w:rsidR="00C7670E" w:rsidRPr="0044524F" w:rsidRDefault="00C7670E"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085D04AA" w14:textId="77777777" w:rsidR="00C7670E" w:rsidRPr="0044524F" w:rsidRDefault="00C7670E" w:rsidP="009654CF">
      <w:pPr>
        <w:spacing w:after="0" w:line="240" w:lineRule="auto"/>
        <w:jc w:val="both"/>
        <w:rPr>
          <w:rFonts w:ascii="Times New Roman" w:hAnsi="Times New Roman"/>
          <w:iCs/>
          <w:color w:val="000000" w:themeColor="text1"/>
          <w:sz w:val="16"/>
          <w:szCs w:val="16"/>
        </w:rPr>
      </w:pPr>
    </w:p>
    <w:p w14:paraId="7388B4DD" w14:textId="77777777" w:rsidR="00C7670E" w:rsidRPr="0044524F" w:rsidRDefault="00C767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ноября 1933 как только был провозглашен акт признания СССР, нарком внешней торговли А.П. Розенгольц и замнаркома иностранных дел Н.Н. Крестинский телеграфировали наркому М.М. Литвинову в Вашингтон о необходимости немедленного учреждения торгпредства и назначении торгпреда. -Литвинов обратился в госдепартамент, там отнеслись довольно сдержанно к этому предложению, дав понять, что оно требует времени для изучения. 1 декабря заместитель госсекретаря Филлипс уведомил поверенного в делах Б.Е. Сквирского, что по данному вопросу желательно знать мнение казначея Г. Моргентау и самого президента. Спустя двадцать дней, 26 декабря, Филлипс вручил меморандум Сквирскому, в котором говорилось, что госдепартамент не возражает в принципе против торгового атташе при полпредстве; он может изучать американский рынок, но не будет заниматься торговлей или вступать в сделки с фирмами и располагаться должен не в Вашингтоне, а в Нью-Йорке. Такой ответ вызвал недоумение и предвещал большие трудности в налаживании торговых отношений. В это время в американской печати развернулась оживленная дискуссия по поводу перспектив торговли с СССР. Некоторые авторы подчеркивали его неплатежеспособность. Они утверждали, что советское правительство не в состоянии оплачивать кредиты, у него нет валюты.</w:t>
      </w:r>
    </w:p>
    <w:p w14:paraId="5E8F7616" w14:textId="77777777" w:rsidR="00C7670E" w:rsidRPr="0044524F" w:rsidRDefault="00C7670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1934 г., считал он, СССР будет в состоянии ликвидировать свою задолженность, и США могут поставлять ему продукты питания и сырье. С большими надеждами американские хлопководы и текстильные фабриканты смотрели на советский рынок. Нью-йоркская хлопковая биржа опубликовала доклад о текстильной проблеме в России и возможностях увеличения поставок ей хлопка. Журнал "Анналист" отмечал, что СССР нуждается в значительном количестве американского промышленного оборудования, в том числе для всех видов транспорта: железнодорожного, воздушного, морского, гужевого, для постройки шоссейных дорог. Констатировалось, что потенциальная емкость российского рынка огромна. Его можно использовать, но нужны долгосрочные кредиты (19280).</w:t>
      </w:r>
    </w:p>
    <w:p w14:paraId="40B20C86" w14:textId="21855DDE" w:rsidR="00C7670E" w:rsidRPr="0044524F" w:rsidRDefault="00C7670E" w:rsidP="009654CF">
      <w:pPr>
        <w:spacing w:after="0" w:line="240" w:lineRule="auto"/>
        <w:jc w:val="both"/>
        <w:rPr>
          <w:rFonts w:ascii="Times New Roman" w:hAnsi="Times New Roman"/>
          <w:color w:val="000000" w:themeColor="text1"/>
          <w:sz w:val="16"/>
          <w:szCs w:val="16"/>
        </w:rPr>
      </w:pPr>
    </w:p>
    <w:p w14:paraId="146EDD00" w14:textId="0C674F44"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рубежом:</w:t>
      </w:r>
    </w:p>
    <w:p w14:paraId="1A90AE54" w14:textId="77777777" w:rsidR="00622232" w:rsidRPr="0044524F" w:rsidRDefault="00622232" w:rsidP="009654CF">
      <w:pPr>
        <w:spacing w:after="0" w:line="240" w:lineRule="auto"/>
        <w:jc w:val="both"/>
        <w:rPr>
          <w:rFonts w:ascii="Times New Roman" w:hAnsi="Times New Roman"/>
          <w:color w:val="000000" w:themeColor="text1"/>
          <w:sz w:val="16"/>
          <w:szCs w:val="16"/>
        </w:rPr>
      </w:pPr>
    </w:p>
    <w:p w14:paraId="60DE39FB"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ноября 1933 Правительство Колумбии издает указ, возлагающий на Министерство сельского хозяйства и торговли ответственность за регулирование гражданской авиации в Колумбии (20802).</w:t>
      </w:r>
    </w:p>
    <w:p w14:paraId="486338C3" w14:textId="77777777" w:rsidR="00622232" w:rsidRPr="0044524F" w:rsidRDefault="00622232" w:rsidP="009654CF">
      <w:pPr>
        <w:spacing w:after="0" w:line="240" w:lineRule="auto"/>
        <w:jc w:val="both"/>
        <w:rPr>
          <w:rFonts w:ascii="Times New Roman" w:hAnsi="Times New Roman"/>
          <w:color w:val="000000" w:themeColor="text1"/>
          <w:sz w:val="16"/>
          <w:szCs w:val="16"/>
        </w:rPr>
      </w:pPr>
    </w:p>
    <w:p w14:paraId="0997450D"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B40CB6F"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4FC90E4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ноября 1933 года директор завода Марголин писал письмо N 1337с начальнику УВВС и ГУАП.</w:t>
      </w:r>
    </w:p>
    <w:p w14:paraId="6F35B96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27-го апреля 1932 г. по предложению УВВС и приказу ГУАП заводом N 39 был заключен локальный договор с УВВС на постройку 20 самолетов "Z" с установкой специального вооружения, при чем отпускная цена с ориентировочной стоимостью вооружения была установлена в размере 77593,8 руб. за единицу.</w:t>
      </w:r>
    </w:p>
    <w:p w14:paraId="7B163E5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Первые же заводские испытания выявили необходимость весьма сложных конструктивных изменений, связанных со специальным вооружением, что повело к неизбежным и неоднократным переделкам уже изготовленных самолетов.</w:t>
      </w:r>
    </w:p>
    <w:p w14:paraId="1F628A1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Естественно, что эти, непредусмотренные ранее работы, значительно повысили себестоимость самолетов и на 1-е октября затраты по изготовлению всех самолетов и установке вооружения (на 4 самолетах) выразились в сумме 2398909 руб., т.е. 119945 р. 45 к. на 1 машину.</w:t>
      </w:r>
    </w:p>
    <w:p w14:paraId="225953C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Посколько вся работа по "Z" была сугубо опытной и предвидеть точно их стоимость завод не мог - прошу распоряжения произвести расчет за самолеты "Z" по их действительной себестоимости (2303,37).</w:t>
      </w:r>
    </w:p>
    <w:p w14:paraId="57EFB995"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2AF5D20"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C945FDB"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0BD30491"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ноября 1933 г., секретарь Харьковского обкома КП(б)У П.П. Постышев и директор ХПЗ Л.С. Владимиров отправили на имя И.В. Сталина, Г.К. Орджоникидзе и К.Е. Ворошилова следующее письмо:</w:t>
      </w:r>
    </w:p>
    <w:p w14:paraId="3962E7EC"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«Харьковский Паровозостроительный Завод в целях замены на танке карбюраторного двигателя авиационного типа – Либерти, работающего на высококачественном авиационном бензине, разработал конструкцию быстроходного дизеля с 1750 оборотов в 400 лош. сил (те же данные, что и у мотора Либерти) применительно к танку Кристи.</w:t>
      </w:r>
    </w:p>
    <w:p w14:paraId="226819E2"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разработана с таким расчетом, чтобы сам по себе танк не терпит никаких существенных конструктивных изменений.</w:t>
      </w:r>
    </w:p>
    <w:p w14:paraId="0EB5C214"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Один из трех, изготовленных на Харьковском Паровозостроительном Заводе, дизель установлен на танк "Б-Т" и проведенные испытания дали положительные результаты. Дизель-мотор этот может работать на нефти, соляровом масле и газойле. В случае надобности, к этим видам топлива может быть прибавлено примерно 50 % обычного керосина. Причем, если мотор Либерти расходует 225 – 250 грамм авиационного бензина на лошадиную силу-час, то дизель-мотор расходует 180 гр. на лош.сил-час. Это обстоятельство, если учесть еще разность удельных весов топлива, увеличивает радиус действия машины при этих же баках для горючего – примерно на 40 – 50 %.</w:t>
      </w:r>
    </w:p>
    <w:p w14:paraId="6DE33DF9"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первого дизель-мотора, также как и изготовленных уже остальных двух, продолжается, но уже и данная стадия испытаний дает полную уверенность в абсолютной пригодности дизель-мотора для танка и в возможности замены этим дизелем авиационного мотора.</w:t>
      </w:r>
    </w:p>
    <w:p w14:paraId="41CD68F3"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встает вопрос о постройке на ХПЗ цехов для производства дизель-моторов и о переводе танков Кристи на разработанную конструкцию дизеля.</w:t>
      </w:r>
    </w:p>
    <w:p w14:paraId="004016E9"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очевидно, что указанный выше дизель-мотор может быть применен в целом ряде областей, кроме танка "Б-Т"».</w:t>
      </w:r>
    </w:p>
    <w:p w14:paraId="35BB99F3"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[РГВА. Ф. 31811. Оп. 3. Д. 171. Л. 63 с об.] (24856).</w:t>
      </w:r>
    </w:p>
    <w:p w14:paraId="790DC6AF" w14:textId="77777777" w:rsidR="006B711D" w:rsidRPr="0044524F" w:rsidRDefault="006B711D" w:rsidP="009654CF">
      <w:pPr>
        <w:spacing w:after="0" w:line="240" w:lineRule="auto"/>
        <w:jc w:val="both"/>
        <w:rPr>
          <w:rFonts w:ascii="Times New Roman" w:hAnsi="Times New Roman"/>
          <w:color w:val="000000" w:themeColor="text1"/>
          <w:sz w:val="16"/>
          <w:szCs w:val="16"/>
        </w:rPr>
      </w:pPr>
    </w:p>
    <w:p w14:paraId="208C13C6"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ноября 1933 г.</w:t>
      </w:r>
    </w:p>
    <w:p w14:paraId="38DF517F"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РГВА Фонд 31811 Опись 3 Дело 171 лист 63 с об. </w:t>
      </w:r>
    </w:p>
    <w:p w14:paraId="6A464250"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Сов.Секретно </w:t>
      </w:r>
    </w:p>
    <w:p w14:paraId="246AD45A"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Тов. СТАЛИНУ </w:t>
      </w:r>
    </w:p>
    <w:p w14:paraId="316139A4"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Тов. ОРДЖОНИКИДЗЕ </w:t>
      </w:r>
    </w:p>
    <w:p w14:paraId="79ED2436"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ВОРОШИЛОВУ</w:t>
      </w:r>
    </w:p>
    <w:p w14:paraId="19933171"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Харьковский Паровозостроительный Завод в целях замены на танке карбюраторного двигателя авиационного типа – Либерти, работающего на высококачественном авиационном бензине, разработал конструкцию быстроходного дизеля с 1750 оборотов в 400 лош. сил (те же данные, что и у мотора Либерти) применительно к танку Кристи. </w:t>
      </w:r>
    </w:p>
    <w:p w14:paraId="3EDC7F69"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Конструкция разработана с таким расчетом, чтобы сам по себе танк не терпит никаких существенных конструктивных изменений. </w:t>
      </w:r>
    </w:p>
    <w:p w14:paraId="2C10C44D"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Один из трех, изготовленных на Харьковском Паровозостроительном Заводе, дизель установлен на танк «Б-Т» и проведенные испытания дали положительные результаты. Дизель-мотор этот может работать на нефти, соляровом масле и газойле. В случае надобности, к этим видам топлива может быть прибавлено примерно 50 % обычного керосина. Причем, если мотор Либерти расходует 225 – 250 грамм авиационного бензина на лошадиную силу-час, то дизель-мотор расходует 180 гр. на лош. сил-час. Это обстоятельство, если учесть еще разность удельных весов топлива, увеличивает радиус действия машины при этих же баках для горючего – примерно на 40 – 50 %. </w:t>
      </w:r>
    </w:p>
    <w:p w14:paraId="1A4779B1"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Испытания первого дизель-мотора, также как и изготовленных уже остальных двух, продолжается, но уже и данная стадия испытаний дает полную уверенность в абсолютной пригодности дизель-мотора для танка и в возможности замены этим дизелем авиационного мотора. </w:t>
      </w:r>
    </w:p>
    <w:p w14:paraId="43144C39"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Таким образом встает вопрос о постройке на ХПЗ цехов для производства дизель-моторов и о переводе танков Кристи на разработанную конструкцию дизеля. </w:t>
      </w:r>
    </w:p>
    <w:p w14:paraId="7CBD0723"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очевидно, что указанный выше дизель-мотор может быть применен в целом ряде областей, кроме танка «Б-Т».</w:t>
      </w:r>
    </w:p>
    <w:p w14:paraId="7AC7C126"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СЕКРЕТАРЬ ХАРЬКОВСКОГО ОБКОМА КПбУ </w:t>
      </w:r>
    </w:p>
    <w:p w14:paraId="5C49BD53"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подпись (ПОСТЫШЕВ) </w:t>
      </w:r>
    </w:p>
    <w:p w14:paraId="13F0EFFF"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ХПЗ подпись (ВЛАДИМИРОВ)</w:t>
      </w:r>
    </w:p>
    <w:p w14:paraId="1D33D11F" w14:textId="77777777" w:rsidR="006B711D" w:rsidRPr="0044524F" w:rsidRDefault="006B711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3.XI-1933 г. (24885).</w:t>
      </w:r>
    </w:p>
    <w:p w14:paraId="67EA50AD" w14:textId="77777777" w:rsidR="006B711D" w:rsidRPr="0044524F" w:rsidRDefault="006B711D" w:rsidP="009654CF">
      <w:pPr>
        <w:spacing w:after="0" w:line="240" w:lineRule="auto"/>
        <w:jc w:val="both"/>
        <w:rPr>
          <w:rFonts w:ascii="Times New Roman" w:hAnsi="Times New Roman"/>
          <w:color w:val="000000" w:themeColor="text1"/>
          <w:sz w:val="16"/>
          <w:szCs w:val="16"/>
        </w:rPr>
      </w:pPr>
    </w:p>
    <w:p w14:paraId="232E161F"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3 ноября 1933 года железнодорожные установки двинулись в путь через всю страну. За сутки батарея проходила 300—350 километров. Нелегко представить сегодня атмосферу, в которой осуществлялись тогда подобные операции. Завеса секретности, тщательная маскировка, строжайший контроль со стороны НКВД... Со станций следования удалялись посторонние лица, каждый эшелон шел в сопровождении представителей того участка железной дороги, по которому двигался...Уникальная операция по перебазированию первой отечественной батареи железнодорожной артиллерии на побережье Тихого океана была завершена в декабре 1933 года. 17 декабря 6-я железнодорожная батарея в составе трех транспортеров ТМ-1-14 прибыла на дальневосточную станцию Первая Речка (11454).</w:t>
      </w:r>
    </w:p>
    <w:p w14:paraId="3A137AA1" w14:textId="77777777" w:rsidR="00570C39" w:rsidRPr="0044524F" w:rsidRDefault="00570C39" w:rsidP="009654CF">
      <w:pPr>
        <w:pStyle w:val="af2"/>
        <w:jc w:val="both"/>
        <w:rPr>
          <w:i w:val="0"/>
          <w:iCs w:val="0"/>
          <w:color w:val="000000" w:themeColor="text1"/>
          <w:spacing w:val="0"/>
          <w:kern w:val="0"/>
          <w:position w:val="0"/>
          <w:sz w:val="16"/>
          <w:szCs w:val="16"/>
          <w:lang w:val="ru-RU"/>
        </w:rPr>
      </w:pPr>
    </w:p>
    <w:p w14:paraId="18544463" w14:textId="77777777" w:rsidR="002C03D8" w:rsidRPr="0044524F" w:rsidRDefault="002C03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ноября 1933 г. после ремонта ходовой части первый транспортёр ТМ-1-14 6-й батареи отправился в путь из Ленинграда во Владивосток. С интервалом в сутки за ним отправился второй, а затем и третий. Каждый состав состоял из 22 единиц подвижного состава: вагон-штаб, вагон-клуб, вагоны для личного состава и продовольствия, вагоны с оборудованием и т. д. Скорость движения не более 25 км/ч. За сутки проходили 300-350 км. Разницу в сутки между составами использовали для осмотра пути и мостов. Проблемы возникали при преодолении подъёмов, передвижении по мостам и в тоннелях. Иногда за сутки проходили менее 200 км. Через полтора месяца эшелоны прибыли к месту назначения — станцию Первая Речка в пяти километрах от Владивостока (15132).</w:t>
      </w:r>
    </w:p>
    <w:p w14:paraId="73D051E5" w14:textId="77777777" w:rsidR="002C03D8" w:rsidRPr="0044524F" w:rsidRDefault="002C03D8" w:rsidP="009654CF">
      <w:pPr>
        <w:spacing w:after="0" w:line="240" w:lineRule="auto"/>
        <w:jc w:val="both"/>
        <w:rPr>
          <w:rFonts w:ascii="Times New Roman" w:hAnsi="Times New Roman"/>
          <w:color w:val="000000" w:themeColor="text1"/>
          <w:sz w:val="16"/>
          <w:szCs w:val="16"/>
        </w:rPr>
      </w:pPr>
    </w:p>
    <w:p w14:paraId="19E2A66B"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3 ноября 1933 за № 50762 было подготовлено</w:t>
      </w:r>
    </w:p>
    <w:p w14:paraId="271723D3" w14:textId="77777777" w:rsidR="00570C39" w:rsidRPr="0044524F" w:rsidRDefault="00570C39" w:rsidP="009654CF">
      <w:pPr>
        <w:pStyle w:val="af2"/>
        <w:jc w:val="both"/>
        <w:rPr>
          <w:bCs/>
          <w:i w:val="0"/>
          <w:iCs w:val="0"/>
          <w:color w:val="000000" w:themeColor="text1"/>
          <w:spacing w:val="0"/>
          <w:kern w:val="0"/>
          <w:position w:val="0"/>
          <w:sz w:val="16"/>
          <w:szCs w:val="16"/>
          <w:lang w:val="ru-RU"/>
        </w:rPr>
      </w:pPr>
      <w:r w:rsidRPr="0044524F">
        <w:rPr>
          <w:rStyle w:val="12"/>
          <w:b w:val="0"/>
          <w:bCs w:val="0"/>
          <w:i w:val="0"/>
          <w:iCs w:val="0"/>
          <w:color w:val="000000" w:themeColor="text1"/>
          <w:spacing w:val="0"/>
          <w:kern w:val="0"/>
          <w:position w:val="0"/>
          <w:sz w:val="16"/>
          <w:szCs w:val="16"/>
          <w:lang w:val="ru-RU"/>
        </w:rPr>
        <w:t>СПЕЦСООБЩЕНИЕ</w:t>
      </w:r>
    </w:p>
    <w:p w14:paraId="3DC61E09" w14:textId="77777777" w:rsidR="00570C39" w:rsidRPr="0044524F" w:rsidRDefault="00570C39" w:rsidP="009654CF">
      <w:pPr>
        <w:pStyle w:val="af2"/>
        <w:jc w:val="both"/>
        <w:rPr>
          <w:bCs/>
          <w:i w:val="0"/>
          <w:iCs w:val="0"/>
          <w:color w:val="000000" w:themeColor="text1"/>
          <w:spacing w:val="0"/>
          <w:kern w:val="0"/>
          <w:position w:val="0"/>
          <w:sz w:val="16"/>
          <w:szCs w:val="16"/>
          <w:lang w:val="ru-RU"/>
        </w:rPr>
      </w:pPr>
      <w:r w:rsidRPr="0044524F">
        <w:rPr>
          <w:rStyle w:val="12"/>
          <w:b w:val="0"/>
          <w:bCs w:val="0"/>
          <w:i w:val="0"/>
          <w:iCs w:val="0"/>
          <w:color w:val="000000" w:themeColor="text1"/>
          <w:spacing w:val="0"/>
          <w:kern w:val="0"/>
          <w:position w:val="0"/>
          <w:sz w:val="16"/>
          <w:szCs w:val="16"/>
          <w:lang w:val="ru-RU"/>
        </w:rPr>
        <w:t>Сов. Секретно</w:t>
      </w:r>
    </w:p>
    <w:p w14:paraId="747B0493"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результате дальнейшего разворачивания следствия по делу гер­манской диверсионно-повстанческой организации, работавшей под прикрытием фирмы "Контроль К°", выявлен чрезвычайно широкий размах диверсионно-повстанческой работы организации.</w:t>
      </w:r>
    </w:p>
    <w:p w14:paraId="2E6B7C48"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Установлено, что пожар, имевший место в закрытом эллинге под­водных лодок завода им. Марти (Николаев), произведен вскрытой организацией во главе с Вайнцетель (представитель фирмы "Конт­роль К°" на Украине, австрийский подданный). Арестованный ин­женер Гуммерт сознался в том, что поджог эллинга он осуществил по поручению инженера Карлл (инженер з-да им. Марти - германс­кий подданный) через заведывающего планового бюро корпусного цеха завода - Горобенко и мастера того же цеха Плохой.</w:t>
      </w:r>
    </w:p>
    <w:p w14:paraId="6C8B99D0"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Показаниями того же Гуммерта устанавливается, что по задани­ям Карлл в ближайшие дни были намечены следующие диверсион­ные акты:</w:t>
      </w:r>
    </w:p>
    <w:p w14:paraId="4298C197"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а) затопление мощного плавучего крана з-да им. Марти (непос­редственное осуществление поручено сдаточному капитану Кожушенко - арестован),</w:t>
      </w:r>
    </w:p>
    <w:p w14:paraId="79478F99"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б) поджог цистерно-строительного цеха завода им. "Марти" (осу­ществление поручалось инженеру НКПС, члену партии Беляеву).</w:t>
      </w:r>
    </w:p>
    <w:p w14:paraId="495CE74E"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Таким образом, дальнейшим следствием полностью подтвержда­ются первичные материалы о том, что главным организатором ди­версии является инженер Карлл, тесно связанный с австрийским под­данным Кришайт (инженер з-да им. Марти).</w:t>
      </w:r>
    </w:p>
    <w:p w14:paraId="0C226598"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Одновременно показаниями инженеров Беккер и Мещрякова ус­тановлена широкая и планомерная работа германской разведки по подготовке диверсионных актов на Краммашстрое и Краматорской ГЭС, сопровождавшаяся формированием диверсионных ячеек из немецких кулаков осевших на предприятиях.</w:t>
      </w:r>
    </w:p>
    <w:p w14:paraId="1EA02BEC"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Параллельно с существованием диверсионных ячеек показания­ми арестованных в Донбассе, Днепропетровщине и Одессе установ­лено существование разветвленной повстанческой организации, ох­ватившей Днепропетровщину, Одесщину, Донбасс, Киевщину и СКК, и наличие разветвленной шпионской сети в частях Красной Армии на Украине,</w:t>
      </w:r>
    </w:p>
    <w:p w14:paraId="01C1BCF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Приняты меры усиленной охраны завода им. "Мари" и Краммашстроя.</w:t>
      </w:r>
    </w:p>
    <w:p w14:paraId="007A834F"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Установленная широкая диверсионная и шпионская работа на Украине под прикрытием фирмы "Контроль К°" заслуживает особо­го внимания в связи с имеющимися в распоряжении ОГПУ докумен­тальными материалами, разоблачающими "Контроль К°", как при­крытие диверсионной работы германского Генштаба еще во время империалистической войны. Из имеющихся у нас материалов царс­кой контрразведки устанавливается наличие активной шпионской деятельности со стороны тогдашнего представителя "Контроль К°" в Ростове бельгийского подданного Бернгард Сильней (в настоящее время главный представитель "Контроль К°" в Москве), связанного по этой работе с германским подданным Шенк (в настоящее время работает в Московской конторе "Контроль К°").</w:t>
      </w:r>
    </w:p>
    <w:p w14:paraId="770C16AF"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процессе следствия показаниями сознавшихся в диверсион­ной работе инженеров Ставровского (завод им. "Ильича" в Ма­риуполе), Гуммерта (завод им. Марти в Николаеве), Шеффер (за­вод им. Марти) и служащих фирмы "Контроль К°" Штурм А. (Ни­колаев), Гармер (Одесса) и др установлено, что всей диверсион­ной работой, в том числе и поджогом эллинга подлодок в Нико­лаеве, руководили Вайнцетель, австрийский подданный, управ­ляющий конторой "Контроль К°" в Мариуполе, Карлл, германс­кий подданный инженер з-да им. Марти и Кришайт австрийский подданный, инженер того же завода.</w:t>
      </w:r>
    </w:p>
    <w:p w14:paraId="25CF3620"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В целях полного вскрытия и пресечения диверсионной работы счи­таем необходимым арестовать Вайнцетель Иосифа, Карлл Густава и Кришайта Рихарда. </w:t>
      </w:r>
    </w:p>
    <w:p w14:paraId="195C2858"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Зам. председателя ОГПУ Прокофьев</w:t>
      </w:r>
    </w:p>
    <w:p w14:paraId="7F846CB7"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Разослано: Секретарю ЦК ВКП(б) т.Сталину </w:t>
      </w:r>
    </w:p>
    <w:p w14:paraId="164BA3E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Пред. Совнаркома т. Молотову</w:t>
      </w:r>
    </w:p>
    <w:p w14:paraId="6EDB1B98"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Секретарю ЦК ВКП(б) т. Кагановичу</w:t>
      </w:r>
    </w:p>
    <w:p w14:paraId="66BE9824" w14:textId="77777777" w:rsidR="00570C39" w:rsidRPr="0044524F" w:rsidRDefault="00570C39" w:rsidP="009654CF">
      <w:pPr>
        <w:pStyle w:val="af2"/>
        <w:jc w:val="both"/>
        <w:rPr>
          <w:bCs/>
          <w:i w:val="0"/>
          <w:iCs w:val="0"/>
          <w:color w:val="000000" w:themeColor="text1"/>
          <w:spacing w:val="0"/>
          <w:kern w:val="0"/>
          <w:position w:val="0"/>
          <w:sz w:val="16"/>
          <w:szCs w:val="16"/>
          <w:lang w:val="ru-RU"/>
        </w:rPr>
      </w:pPr>
      <w:r w:rsidRPr="0044524F">
        <w:rPr>
          <w:rStyle w:val="12"/>
          <w:b w:val="0"/>
          <w:bCs w:val="0"/>
          <w:i w:val="0"/>
          <w:iCs w:val="0"/>
          <w:color w:val="000000" w:themeColor="text1"/>
          <w:spacing w:val="0"/>
          <w:kern w:val="0"/>
          <w:position w:val="0"/>
          <w:sz w:val="16"/>
          <w:szCs w:val="16"/>
          <w:lang w:val="ru-RU"/>
        </w:rPr>
        <w:t>АП РФ ф 3 оп 58, д. 243, л. 95-97 (11462).</w:t>
      </w:r>
    </w:p>
    <w:p w14:paraId="38DF9C15" w14:textId="77777777" w:rsidR="00570C39" w:rsidRPr="0044524F" w:rsidRDefault="00570C39" w:rsidP="009654CF">
      <w:pPr>
        <w:pStyle w:val="af2"/>
        <w:jc w:val="both"/>
        <w:rPr>
          <w:i w:val="0"/>
          <w:iCs w:val="0"/>
          <w:color w:val="000000" w:themeColor="text1"/>
          <w:spacing w:val="0"/>
          <w:kern w:val="0"/>
          <w:position w:val="0"/>
          <w:sz w:val="16"/>
          <w:szCs w:val="16"/>
          <w:lang w:val="ru-RU"/>
        </w:rPr>
      </w:pPr>
    </w:p>
    <w:p w14:paraId="7573A6E5"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0D69427"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72FE8AD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3 и 15 ноября 1933. Из протокола заседания Политбюро N 149, 1933 г.</w:t>
      </w:r>
    </w:p>
    <w:p w14:paraId="2A21188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мыле </w:t>
      </w:r>
    </w:p>
    <w:p w14:paraId="52B68BF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Прекратить начиная с ноября месяца всякий экспорт мыла, как хозяйственного, так и туалетного. </w:t>
      </w:r>
    </w:p>
    <w:p w14:paraId="40257BC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Всю продукцию мыловаренной промышленности использовать на нужды внутреннего рынка (11652). </w:t>
      </w:r>
    </w:p>
    <w:p w14:paraId="790A0F00"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11EE7C6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3 и 15 ноября 1933. Из протокола заседания Политбюро N 149, 1933 г.</w:t>
      </w:r>
    </w:p>
    <w:p w14:paraId="0527F3C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Из протокола заседания Политбюро N149, 1933 г. </w:t>
      </w:r>
    </w:p>
    <w:p w14:paraId="68C104F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решениях текущих дел по СНК и СТО </w:t>
      </w:r>
    </w:p>
    <w:p w14:paraId="4FE9785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Расширить практику решения текущих дел по Совнаркому и СТО в порядке распоряжений председателя СНК (СТО) или (по его поручению) заместителей председателя СНК (СТО). </w:t>
      </w:r>
    </w:p>
    <w:p w14:paraId="4ABA62F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Распоряжения председателя СНК ежедневно регистрируются Управлением делами СНК (11652).</w:t>
      </w:r>
    </w:p>
    <w:p w14:paraId="6B72A060"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77F6123"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CBE42AC"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0A109AD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3 и 15 ноября 1933. Из протокола заседания Политбюро N 149, 1933 г.</w:t>
      </w:r>
    </w:p>
    <w:p w14:paraId="3A1152E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Об Эрмитаже </w:t>
      </w:r>
    </w:p>
    <w:p w14:paraId="45A6E44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Прекратить экспорт картин из Эрмитажа и других музеев без согласия комиссии в составе тт. Бубнова, Розенгольца, Стецкого и Ворошилова (11652).</w:t>
      </w:r>
    </w:p>
    <w:p w14:paraId="2E9048A4"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703F950A"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2459C30"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5385CB8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ноября 1933 года был утвержден пом. нач. ГУАП как обязательный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tblGrid>
      <w:tr w:rsidR="004E10C1" w:rsidRPr="0044524F" w14:paraId="4F3FA64A" w14:textId="77777777">
        <w:tc>
          <w:tcPr>
            <w:tcW w:w="2254" w:type="dxa"/>
          </w:tcPr>
          <w:p w14:paraId="4EDD0D8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w:t>
            </w:r>
          </w:p>
        </w:tc>
        <w:tc>
          <w:tcPr>
            <w:tcW w:w="2254" w:type="dxa"/>
          </w:tcPr>
          <w:p w14:paraId="115D8D1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Глававиапром</w:t>
            </w:r>
          </w:p>
        </w:tc>
        <w:tc>
          <w:tcPr>
            <w:tcW w:w="2254" w:type="dxa"/>
          </w:tcPr>
          <w:p w14:paraId="4CFADEB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Объединенное бюро стандартизации (ОБСА)</w:t>
            </w:r>
          </w:p>
        </w:tc>
      </w:tr>
      <w:tr w:rsidR="004E10C1" w:rsidRPr="0044524F" w14:paraId="4A704D7D" w14:textId="77777777">
        <w:tc>
          <w:tcPr>
            <w:tcW w:w="2254" w:type="dxa"/>
          </w:tcPr>
          <w:p w14:paraId="57DB567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Ведомственный стандарт</w:t>
            </w:r>
          </w:p>
        </w:tc>
        <w:tc>
          <w:tcPr>
            <w:tcW w:w="2254" w:type="dxa"/>
          </w:tcPr>
          <w:p w14:paraId="149147E3"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2254" w:type="dxa"/>
          </w:tcPr>
          <w:p w14:paraId="247F807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 СТУ</w:t>
            </w:r>
          </w:p>
        </w:tc>
      </w:tr>
      <w:tr w:rsidR="004E10C1" w:rsidRPr="0044524F" w14:paraId="27308A5B" w14:textId="77777777">
        <w:tc>
          <w:tcPr>
            <w:tcW w:w="2254" w:type="dxa"/>
          </w:tcPr>
          <w:p w14:paraId="5159A2B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Р-5 М-17 (штурмовик)</w:t>
            </w:r>
          </w:p>
        </w:tc>
        <w:tc>
          <w:tcPr>
            <w:tcW w:w="2254" w:type="dxa"/>
          </w:tcPr>
          <w:p w14:paraId="76C3BB9D"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2254" w:type="dxa"/>
          </w:tcPr>
          <w:p w14:paraId="4E01694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16А</w:t>
            </w:r>
          </w:p>
        </w:tc>
      </w:tr>
      <w:tr w:rsidR="004E10C1" w:rsidRPr="0044524F" w14:paraId="2227AF67" w14:textId="77777777">
        <w:tc>
          <w:tcPr>
            <w:tcW w:w="2254" w:type="dxa"/>
          </w:tcPr>
          <w:p w14:paraId="0C389C6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w:t>
            </w:r>
          </w:p>
        </w:tc>
        <w:tc>
          <w:tcPr>
            <w:tcW w:w="2254" w:type="dxa"/>
          </w:tcPr>
          <w:p w14:paraId="72D5D37E"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2254" w:type="dxa"/>
          </w:tcPr>
          <w:p w14:paraId="101F771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1-е издание (3100)</w:t>
            </w:r>
          </w:p>
        </w:tc>
      </w:tr>
    </w:tbl>
    <w:p w14:paraId="6780CF4B"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539D5805" w14:textId="77777777" w:rsidR="002C03D8" w:rsidRPr="0044524F" w:rsidRDefault="002C03D8" w:rsidP="009654CF">
      <w:pPr>
        <w:pStyle w:val="rtejustify"/>
        <w:spacing w:before="0" w:after="0"/>
        <w:rPr>
          <w:color w:val="000000" w:themeColor="text1"/>
          <w:sz w:val="16"/>
          <w:szCs w:val="16"/>
        </w:rPr>
      </w:pPr>
      <w:r w:rsidRPr="0044524F">
        <w:rPr>
          <w:rStyle w:val="af0"/>
          <w:bCs/>
          <w:i w:val="0"/>
          <w:color w:val="000000" w:themeColor="text1"/>
          <w:sz w:val="16"/>
          <w:szCs w:val="16"/>
        </w:rPr>
        <w:t>4 ноября 1933 вышел приказ НКТП № 198с.</w:t>
      </w:r>
      <w:r w:rsidRPr="0044524F">
        <w:rPr>
          <w:color w:val="000000" w:themeColor="text1"/>
          <w:sz w:val="16"/>
          <w:szCs w:val="16"/>
        </w:rPr>
        <w:t xml:space="preserve"> Об организации Реактивного института. (РГАЭ. Ф. 7297. Оп. 38. Д. 37. Л. 261) (15246).</w:t>
      </w:r>
    </w:p>
    <w:p w14:paraId="5646A79C" w14:textId="77777777" w:rsidR="002C03D8" w:rsidRPr="0044524F" w:rsidRDefault="002C03D8" w:rsidP="009654CF">
      <w:pPr>
        <w:pStyle w:val="rtejustify"/>
        <w:spacing w:before="0" w:after="0"/>
        <w:rPr>
          <w:color w:val="000000" w:themeColor="text1"/>
          <w:sz w:val="16"/>
          <w:szCs w:val="16"/>
        </w:rPr>
      </w:pPr>
    </w:p>
    <w:p w14:paraId="6F98E5CF" w14:textId="02B632E5" w:rsidR="00C7670E" w:rsidRPr="0044524F" w:rsidRDefault="00C7670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4 ноября 1933 года приказом Наркома Тяжелой Промышленности за № 198 сс во исполнение постановления Совета Труда и обороны (СТО) за № 104 сс от 31 октября 1933 года был организован Научно-Исследовательский Институт № 3 (НИИ № 3) (в действительности Реактивный Научно-исследовательский Институт [Письмо Исх № 552с от 17.08.1935 г. от НАЧАЛЬНИКА РНИИ НАРОДНОМУ КОМИССАРУ ТЯЖЕЛОЙ ПРОМЫШЛЕННОСТИ С С С Р тов. ОРДЖОНИКИДЗЕ. Подлинник. 17.08.1935 г. // Архив ГНЦ ФГУП "Центр Келдыша". Инв. 97. Оп. 1. Ед. хр. по описи 1. Л. 135,139.],[ Письмо Исх. А 705сс от 19.10.1935 г. от ДИРЕКТОРА РНИИ И.КЛЕЙМЕНОВА в Ц К ВКП/б/, ОТДЕЛ Н А У К И тов. Г О Р О Х О В У.</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Подлинник. 17.10.1935 г. // Архив ГНЦ ФГУП "Центр Келдыша". Инв. 97. Оп. 1. Ед. хр. по описи 1. Л. 140,141.]) на базе двух организаций, именуемых ранее Газодинамической лабораторией Управления военных изобретений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44524F">
        <w:rPr>
          <w:rFonts w:ascii="Times New Roman" w:eastAsia="Times New Roman" w:hAnsi="Times New Roman"/>
          <w:color w:val="000000" w:themeColor="text1"/>
          <w:sz w:val="16"/>
          <w:szCs w:val="16"/>
          <w:u w:val="single"/>
          <w:lang w:eastAsia="ru-RU"/>
        </w:rPr>
        <w:t>Тов. МАТВЕЕВУ.</w:t>
      </w:r>
      <w:r w:rsidRPr="0044524F">
        <w:rPr>
          <w:rFonts w:ascii="Times New Roman" w:eastAsia="Times New Roman" w:hAnsi="Times New Roman"/>
          <w:color w:val="000000" w:themeColor="text1"/>
          <w:sz w:val="16"/>
          <w:szCs w:val="16"/>
          <w:lang w:eastAsia="ru-RU"/>
        </w:rPr>
        <w:t> Копия // Архив ГНЦ ФГУП "Центр Келдыша". Инв. 291. Оп. 1. Ед. хр. по описи 14. Л. 53,54,55,64.] (Наркомвоенмор"а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 и Московской группой изучения реактивного движения (ГИРД) при ЦС ОСО (ЦС Осовиахима)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44524F">
        <w:rPr>
          <w:rFonts w:ascii="Times New Roman" w:eastAsia="Times New Roman" w:hAnsi="Times New Roman"/>
          <w:color w:val="000000" w:themeColor="text1"/>
          <w:sz w:val="16"/>
          <w:szCs w:val="16"/>
          <w:u w:val="single"/>
          <w:lang w:eastAsia="ru-RU"/>
        </w:rPr>
        <w:t>Тов. МАТВЕЕВУ.</w:t>
      </w:r>
      <w:r w:rsidRPr="0044524F">
        <w:rPr>
          <w:rFonts w:ascii="Times New Roman" w:eastAsia="Times New Roman" w:hAnsi="Times New Roman"/>
          <w:color w:val="000000" w:themeColor="text1"/>
          <w:sz w:val="16"/>
          <w:szCs w:val="16"/>
          <w:lang w:eastAsia="ru-RU"/>
        </w:rPr>
        <w:t> Копия // Архив ГНЦ ФГУП "Центр Келдыша". Инв. 291. Оп. 1. Ед. хр. по описи 14. Л. 53,54,55,64.],[ ПОЯСНИТЕЛЬНАЯ ЗАПИСКА К итогам деятельности НИИ № 3 НКОП за 1938г. ДИРЕКТОРА НИИ № 3 Н К О П СЛОНИМЕРА И НАЧАЛЬНИКА ПЛАНОВОГО ОТДЕЛА РОДИНА. Неполностью подписанный подлинник (Подписал только Родин). 28.01.1939 г. // Архив ГНЦ ФГУП "Центр Келдыша". Инв. 225. Оп. 1. Ед. хр. по описи 12. Л. 95,104.].</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Первая из этих организаций существовала с 1928 года, а вторая с 1931 года. Причем, газодинамическая лаборатория занималась главным образом разработкой ракет использующих для движущей силы энергию пороха, а группа изучения реактивного движения разрабатывала ракеты, используя для них компоненты жидких топлив (бензин, спирт+жидкий кислород).</w:t>
      </w:r>
    </w:p>
    <w:p w14:paraId="57B523BE" w14:textId="77777777" w:rsidR="00C7670E" w:rsidRPr="0044524F" w:rsidRDefault="00C7670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результате соединения этих двух групп и сформировалась тематика института, направленная на разработку ракетных летательных аппаратов на твёрдом топливе, ввиде ракетных снарядов и авиабомб с дополнительной скоростью, и ракетных летательных аппаратов на жидком топливе в виде стратосферных ракет, воздушных торпед и непосредственно двигателей на жидком топливе и т.п.</w:t>
      </w:r>
    </w:p>
    <w:p w14:paraId="5B291F71" w14:textId="77777777" w:rsidR="00C7670E" w:rsidRPr="0044524F" w:rsidRDefault="00C7670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Отмечалось, что наиболее давнюю историю имеют ракетные снаряды, разработка которых началась с 1928 года. С 1928 года по 1935 год отработка устойчивости полёта ракетных снарядов шла по линии использования жироскопического эффекта, т.к. называемый турбо-реактивный снаряд. Едва ли этот принцип в чистом виде имел техническое обоснование столь длительного экспериментирования. Снаряды в таком виде летали абсолютно не сохраняя какую-либо закономерность (19771).</w:t>
      </w:r>
    </w:p>
    <w:p w14:paraId="53A80FB6" w14:textId="77777777" w:rsidR="00C7670E" w:rsidRPr="0044524F" w:rsidRDefault="00C7670E"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F8EB08B" w14:textId="77777777" w:rsidR="0033159A" w:rsidRPr="0044524F" w:rsidRDefault="003315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ноября 1933 года Орджоникидзе подписал приказ о соз</w:t>
      </w:r>
      <w:r w:rsidRPr="0044524F">
        <w:rPr>
          <w:rFonts w:ascii="Times New Roman" w:hAnsi="Times New Roman"/>
          <w:color w:val="000000" w:themeColor="text1"/>
          <w:sz w:val="16"/>
          <w:szCs w:val="16"/>
        </w:rPr>
        <w:softHyphen/>
        <w:t>дании РНИИ, а 9 ноября утвердил перечень должностных лиц. Не возражая Тухачевскому, которого он считал одаренным полководцем, Орджоникидзе исполняющим обязанности на</w:t>
      </w:r>
      <w:r w:rsidRPr="0044524F">
        <w:rPr>
          <w:rFonts w:ascii="Times New Roman" w:hAnsi="Times New Roman"/>
          <w:color w:val="000000" w:themeColor="text1"/>
          <w:sz w:val="16"/>
          <w:szCs w:val="16"/>
        </w:rPr>
        <w:softHyphen/>
        <w:t>чальника института назначил Клейменова, исполняющим обя</w:t>
      </w:r>
      <w:r w:rsidRPr="0044524F">
        <w:rPr>
          <w:rFonts w:ascii="Times New Roman" w:hAnsi="Times New Roman"/>
          <w:color w:val="000000" w:themeColor="text1"/>
          <w:sz w:val="16"/>
          <w:szCs w:val="16"/>
        </w:rPr>
        <w:softHyphen/>
        <w:t>занности заместителя начальника – Королева (23510).</w:t>
      </w:r>
    </w:p>
    <w:p w14:paraId="101791FA" w14:textId="77777777" w:rsidR="0033159A" w:rsidRPr="0044524F" w:rsidRDefault="0033159A" w:rsidP="009654CF">
      <w:pPr>
        <w:spacing w:after="0" w:line="240" w:lineRule="auto"/>
        <w:jc w:val="both"/>
        <w:rPr>
          <w:rFonts w:ascii="Times New Roman" w:hAnsi="Times New Roman"/>
          <w:color w:val="000000" w:themeColor="text1"/>
          <w:sz w:val="16"/>
          <w:szCs w:val="16"/>
        </w:rPr>
      </w:pPr>
    </w:p>
    <w:p w14:paraId="59084757" w14:textId="77777777" w:rsidR="00BC5A2D" w:rsidRPr="0044524F" w:rsidRDefault="00BC5A2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ноября 1933 г. Польская делегация, возглавляемая полковником Райским, вылетела на пяти самолетах в Москву для участия в Октябрьских тор</w:t>
      </w:r>
      <w:r w:rsidRPr="0044524F">
        <w:rPr>
          <w:rFonts w:ascii="Times New Roman" w:hAnsi="Times New Roman"/>
          <w:color w:val="000000" w:themeColor="text1"/>
          <w:sz w:val="16"/>
          <w:szCs w:val="16"/>
        </w:rPr>
        <w:softHyphen/>
        <w:t>жествах, но долетела только до Минска. Ввиду плохой погоды поляки прервали полет и пересели на поезд. Обратно из Москвы делегация так же выехала поездом, а летчики вылетели обратно только 16-го ноября.</w:t>
      </w:r>
    </w:p>
    <w:p w14:paraId="2DA5C23A" w14:textId="77777777" w:rsidR="00BC5A2D" w:rsidRPr="0044524F" w:rsidRDefault="00BC5A2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/"Известия ЦИК СССР" за 5, 16 и 17 ноября 1933/ (23370).</w:t>
      </w:r>
    </w:p>
    <w:p w14:paraId="4B18FAF2" w14:textId="77777777" w:rsidR="00BC5A2D" w:rsidRPr="0044524F" w:rsidRDefault="00BC5A2D" w:rsidP="009654CF">
      <w:pPr>
        <w:spacing w:after="0" w:line="240" w:lineRule="auto"/>
        <w:jc w:val="both"/>
        <w:rPr>
          <w:rFonts w:ascii="Times New Roman" w:hAnsi="Times New Roman"/>
          <w:color w:val="000000" w:themeColor="text1"/>
          <w:sz w:val="16"/>
          <w:szCs w:val="16"/>
        </w:rPr>
      </w:pPr>
    </w:p>
    <w:p w14:paraId="716F94E7"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0B04F50"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66DF916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ноября 1933 продолжились испытания танка БТ-5ПХ, оборудованного в мастерских 5 учебного полка БелВО. Резиновыми уплотнителями обеспечили герметичность, а швы прокрасили суриком. Испытывали на р. Березина и водил ком. 5тп А.Талынь. На 30 сек. - заглох двигатель, т.к. наткнулись на плот. За 45 мин. - не затонули и потом завелись и вышли сами (3880,30).</w:t>
      </w:r>
    </w:p>
    <w:p w14:paraId="29D9A7A9"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9303B6B" w14:textId="77777777" w:rsidR="00BD3BE7" w:rsidRPr="00142305" w:rsidRDefault="00BD3BE7" w:rsidP="00BD3BE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4 по 12 ноября 1933 г. состоялись пред</w:t>
      </w:r>
      <w:r w:rsidRPr="00142305">
        <w:rPr>
          <w:rFonts w:ascii="Times New Roman" w:hAnsi="Times New Roman"/>
          <w:color w:val="0070C0"/>
          <w:sz w:val="16"/>
          <w:szCs w:val="16"/>
        </w:rPr>
        <w:softHyphen/>
        <w:t>варительные испытания танка БДТ-1 (БТ-5 с дизелем БД-2), выявившие как достоинства новой силовой установки (возросший запас хода, надежность, меньшую пожароопасность), так и суще</w:t>
      </w:r>
      <w:r w:rsidRPr="00142305">
        <w:rPr>
          <w:rFonts w:ascii="Times New Roman" w:hAnsi="Times New Roman"/>
          <w:color w:val="0070C0"/>
          <w:sz w:val="16"/>
          <w:szCs w:val="16"/>
        </w:rPr>
        <w:softHyphen/>
        <w:t>ственные недостатки:</w:t>
      </w:r>
    </w:p>
    <w:p w14:paraId="3A644858" w14:textId="77777777" w:rsidR="00BD3BE7" w:rsidRPr="00142305" w:rsidRDefault="00BD3BE7" w:rsidP="00BD3BE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Тактические свойства БДТ-1 (с мо</w:t>
      </w:r>
      <w:r w:rsidRPr="00142305">
        <w:rPr>
          <w:rFonts w:ascii="Times New Roman" w:hAnsi="Times New Roman"/>
          <w:color w:val="0070C0"/>
          <w:sz w:val="16"/>
          <w:szCs w:val="16"/>
        </w:rPr>
        <w:softHyphen/>
        <w:t>тором БД) несомненно выше БТ-5, осо</w:t>
      </w:r>
      <w:r w:rsidRPr="00142305">
        <w:rPr>
          <w:rFonts w:ascii="Times New Roman" w:hAnsi="Times New Roman"/>
          <w:color w:val="0070C0"/>
          <w:sz w:val="16"/>
          <w:szCs w:val="16"/>
        </w:rPr>
        <w:softHyphen/>
        <w:t>бенно в части надежности, увеличения радиуса действия, меньшей пожароопас</w:t>
      </w:r>
      <w:r w:rsidRPr="00142305">
        <w:rPr>
          <w:rFonts w:ascii="Times New Roman" w:hAnsi="Times New Roman"/>
          <w:color w:val="0070C0"/>
          <w:sz w:val="16"/>
          <w:szCs w:val="16"/>
        </w:rPr>
        <w:softHyphen/>
        <w:t>ности и т.д.</w:t>
      </w:r>
    </w:p>
    <w:p w14:paraId="343834F5" w14:textId="77777777" w:rsidR="00BD3BE7" w:rsidRPr="00142305" w:rsidRDefault="00BD3BE7" w:rsidP="00BD3BE7">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Мотор БД-2 требует конструктивной и производственной доработки ряда мест.</w:t>
      </w:r>
    </w:p>
    <w:p w14:paraId="6B545E70" w14:textId="77777777" w:rsidR="00BD3BE7" w:rsidRPr="00142305" w:rsidRDefault="00BD3BE7" w:rsidP="00BD3BE7">
      <w:pPr>
        <w:widowControl w:val="0"/>
        <w:tabs>
          <w:tab w:val="left" w:pos="44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Установка мотора в машину БТ тре</w:t>
      </w:r>
      <w:r w:rsidRPr="00142305">
        <w:rPr>
          <w:rFonts w:ascii="Times New Roman" w:hAnsi="Times New Roman"/>
          <w:color w:val="0070C0"/>
          <w:sz w:val="16"/>
          <w:szCs w:val="16"/>
        </w:rPr>
        <w:softHyphen/>
        <w:t>бует ряда доработок».</w:t>
      </w:r>
    </w:p>
    <w:p w14:paraId="1EB7DAD0" w14:textId="77777777" w:rsidR="00BD3BE7" w:rsidRPr="00142305" w:rsidRDefault="00BD3BE7" w:rsidP="00BD3BE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1934 году после показа в Москве чле</w:t>
      </w:r>
      <w:r w:rsidRPr="00142305">
        <w:rPr>
          <w:rFonts w:ascii="Times New Roman" w:hAnsi="Times New Roman"/>
          <w:color w:val="0070C0"/>
          <w:sz w:val="16"/>
          <w:szCs w:val="16"/>
        </w:rPr>
        <w:softHyphen/>
        <w:t>нам правительства двух танков БТ-5 с дизелями БД-2 опытной партии было принято решение о создании на ХПЗ имени Коминтерна производственных мощностей по изготовлению дизеля БД-2 (25009).</w:t>
      </w:r>
    </w:p>
    <w:p w14:paraId="0E52153D" w14:textId="77777777" w:rsidR="00BD3BE7" w:rsidRPr="00142305" w:rsidRDefault="00BD3BE7" w:rsidP="00BD3BE7">
      <w:pPr>
        <w:spacing w:after="0" w:line="240" w:lineRule="auto"/>
        <w:jc w:val="both"/>
        <w:rPr>
          <w:rFonts w:ascii="Times New Roman" w:hAnsi="Times New Roman"/>
          <w:color w:val="0070C0"/>
          <w:sz w:val="16"/>
          <w:szCs w:val="16"/>
        </w:rPr>
      </w:pPr>
    </w:p>
    <w:p w14:paraId="1E01BB50" w14:textId="77777777" w:rsidR="002C03D8" w:rsidRPr="0044524F" w:rsidRDefault="002C03D8" w:rsidP="009654CF">
      <w:pPr>
        <w:pStyle w:val="book"/>
        <w:spacing w:before="0" w:beforeAutospacing="0" w:after="0" w:afterAutospacing="0"/>
        <w:jc w:val="both"/>
        <w:rPr>
          <w:color w:val="000000" w:themeColor="text1"/>
          <w:sz w:val="16"/>
          <w:szCs w:val="16"/>
        </w:rPr>
      </w:pPr>
      <w:r w:rsidRPr="0044524F">
        <w:rPr>
          <w:color w:val="000000" w:themeColor="text1"/>
          <w:sz w:val="16"/>
          <w:szCs w:val="16"/>
        </w:rPr>
        <w:t>4 ноября 1933 г. был заложен легкий крейсер «Нюрнберг» и вступил в строй 2 ноября 1935 г. С ноября 1944 г. крейсер находился в Копенгагене, где обеспечивал оборону датских проливов. Там он и капитулировал 9 мая 1945 г. В августе 1945 г. его под контролем союзников перевели в Вильгельмсгафен и поставили в сухой док. В этом доке и произошел прием крейсера советским экипажем. 5 ноября 1945 г. корабль был зачислен в списки ВМФ СССР с назначением в состав Балтийского флота. Немецкий экипаж под командованием капитана 1-го ранга Гельмута Гесслера в Вильгельмсгафене с 16 декабря 1945 г. по 2 января 1946 г. передал крейсер советской комиссии под руководством вице-адмирала Ю.Ф. Ралля и личному составу. В тот же день крейсер вместе с другими пятью немецкими кораблями, переданными СССР (эсминец Z-15, миноносцы, Т-33 и Т-107, посыльное судно «Blitz» и корабль-цель «Hessen»), вышли в море и 5 января прибыли в Лиепаю. Там «Нюрнберга» покинули его немецкий командир и остававшиеся на борту немецкие специалисты. 15 февраля 1946 г. крейсер «Нюрнберг» под названием «Адмирал Макаров» был включен в состав 8-го (Северобалтийского) флота. Прибытие «Макарова» оказалось весьма кстати. 17 октября 1945 г. подорвался на минах у Кронштадта и надолго вышел из строя «Киров» — единственный крейсер 8-го флота. В 1949—1950 гг. по проекту ЦКБ-17 крейсер «Адмирал Макаров» прошел частичную модернизацию и ремонт. В ходе модернизации все немецкие зенитные автоматы, кроме двух счетверенных 2-см автоматов (на базе Flak 38), были заменены десятью спаренными 37-мм автоматами В-11 отечественного производства. В дополнение к германским РЛС Fu Мо-25 и Fu Мо-63 «Макаров» в начале 50-х годов получил РЛС артиллерийской наводки «Редан-2», работавшую в дециметровом диапазоне. Позже германские РЛС были заменены отечественными аналогами «Гюйс-2» и «Риф» (15225).</w:t>
      </w:r>
    </w:p>
    <w:p w14:paraId="437BB963" w14:textId="2FBAF5A9" w:rsidR="002C03D8" w:rsidRPr="0044524F" w:rsidRDefault="002C03D8" w:rsidP="009654CF">
      <w:pPr>
        <w:pStyle w:val="book"/>
        <w:spacing w:before="0" w:beforeAutospacing="0" w:after="0" w:afterAutospacing="0"/>
        <w:jc w:val="both"/>
        <w:rPr>
          <w:color w:val="000000" w:themeColor="text1"/>
          <w:sz w:val="16"/>
          <w:szCs w:val="16"/>
        </w:rPr>
      </w:pPr>
    </w:p>
    <w:p w14:paraId="326F2E76" w14:textId="4E260F49" w:rsidR="00622232" w:rsidRPr="0044524F" w:rsidRDefault="00622232" w:rsidP="009654CF">
      <w:pPr>
        <w:pStyle w:val="book"/>
        <w:spacing w:before="0" w:beforeAutospacing="0" w:after="0" w:afterAutospacing="0"/>
        <w:jc w:val="both"/>
        <w:rPr>
          <w:i/>
          <w:iCs/>
          <w:color w:val="000000" w:themeColor="text1"/>
          <w:sz w:val="16"/>
          <w:szCs w:val="16"/>
        </w:rPr>
      </w:pPr>
      <w:r w:rsidRPr="0044524F">
        <w:rPr>
          <w:i/>
          <w:iCs/>
          <w:color w:val="000000" w:themeColor="text1"/>
          <w:sz w:val="16"/>
          <w:szCs w:val="16"/>
        </w:rPr>
        <w:t>За рубежом:</w:t>
      </w:r>
    </w:p>
    <w:p w14:paraId="79D963A7" w14:textId="77777777" w:rsidR="00622232" w:rsidRPr="0044524F" w:rsidRDefault="00622232" w:rsidP="009654CF">
      <w:pPr>
        <w:pStyle w:val="book"/>
        <w:spacing w:before="0" w:beforeAutospacing="0" w:after="0" w:afterAutospacing="0"/>
        <w:jc w:val="both"/>
        <w:rPr>
          <w:i/>
          <w:iCs/>
          <w:color w:val="000000" w:themeColor="text1"/>
          <w:sz w:val="16"/>
          <w:szCs w:val="16"/>
        </w:rPr>
      </w:pPr>
    </w:p>
    <w:p w14:paraId="575C21FA"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ноября 1933 учреждена бразильская авиакомпания VASP (20802).</w:t>
      </w:r>
    </w:p>
    <w:p w14:paraId="04905289" w14:textId="77777777" w:rsidR="00622232" w:rsidRPr="0044524F" w:rsidRDefault="00622232" w:rsidP="009654CF">
      <w:pPr>
        <w:spacing w:after="0" w:line="240" w:lineRule="auto"/>
        <w:jc w:val="both"/>
        <w:rPr>
          <w:rFonts w:ascii="Times New Roman" w:hAnsi="Times New Roman"/>
          <w:color w:val="000000" w:themeColor="text1"/>
          <w:sz w:val="16"/>
          <w:szCs w:val="16"/>
        </w:rPr>
      </w:pPr>
    </w:p>
    <w:p w14:paraId="63BCA88E"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ноября 1933 г. Дорнье До-17 в пассажирском исполнении с моторами HS 12Ybrs был официально заказан, получив обозначение Do 17d. Прототип гражданс</w:t>
      </w:r>
      <w:r w:rsidRPr="0044524F">
        <w:rPr>
          <w:rFonts w:ascii="Times New Roman" w:hAnsi="Times New Roman"/>
          <w:color w:val="000000" w:themeColor="text1"/>
          <w:sz w:val="16"/>
          <w:szCs w:val="16"/>
        </w:rPr>
        <w:softHyphen/>
        <w:t xml:space="preserve">кого самолета с моторами BMW VI 6,0 (660 л.с.) теперь обозначался Do 17а, а военного с более мощными двигателями BMW IV 7,3 (700 л.с.) — Do 17с. Кроме того, для </w:t>
      </w:r>
      <w:r w:rsidRPr="0044524F">
        <w:rPr>
          <w:rFonts w:ascii="Times New Roman" w:hAnsi="Times New Roman"/>
          <w:color w:val="000000" w:themeColor="text1"/>
          <w:sz w:val="16"/>
          <w:szCs w:val="16"/>
        </w:rPr>
        <w:lastRenderedPageBreak/>
        <w:t>сравне</w:t>
      </w:r>
      <w:r w:rsidRPr="0044524F">
        <w:rPr>
          <w:rFonts w:ascii="Times New Roman" w:hAnsi="Times New Roman"/>
          <w:color w:val="000000" w:themeColor="text1"/>
          <w:sz w:val="16"/>
          <w:szCs w:val="16"/>
        </w:rPr>
        <w:softHyphen/>
        <w:t>ния различных конструкторских решений на Do 17а решили применить двухкилевое оперение, довольно редко встречавшееся в то время, а на Do 17с — однокилевое.</w:t>
      </w:r>
    </w:p>
    <w:p w14:paraId="579B4D17"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трех прототипов велась прак</w:t>
      </w:r>
      <w:r w:rsidRPr="0044524F">
        <w:rPr>
          <w:rFonts w:ascii="Times New Roman" w:hAnsi="Times New Roman"/>
          <w:color w:val="000000" w:themeColor="text1"/>
          <w:sz w:val="16"/>
          <w:szCs w:val="16"/>
        </w:rPr>
        <w:softHyphen/>
        <w:t>тически параллельно. Правда, при этом в переговорах с рейхсминистерством ави</w:t>
      </w:r>
      <w:r w:rsidRPr="0044524F">
        <w:rPr>
          <w:rFonts w:ascii="Times New Roman" w:hAnsi="Times New Roman"/>
          <w:color w:val="000000" w:themeColor="text1"/>
          <w:sz w:val="16"/>
          <w:szCs w:val="16"/>
        </w:rPr>
        <w:softHyphen/>
        <w:t>ации продолжали согласовывать различ</w:t>
      </w:r>
      <w:r w:rsidRPr="0044524F">
        <w:rPr>
          <w:rFonts w:ascii="Times New Roman" w:hAnsi="Times New Roman"/>
          <w:color w:val="000000" w:themeColor="text1"/>
          <w:sz w:val="16"/>
          <w:szCs w:val="16"/>
        </w:rPr>
        <w:softHyphen/>
        <w:t>ные технические детали, так что техничес</w:t>
      </w:r>
      <w:r w:rsidRPr="0044524F">
        <w:rPr>
          <w:rFonts w:ascii="Times New Roman" w:hAnsi="Times New Roman"/>
          <w:color w:val="000000" w:themeColor="text1"/>
          <w:sz w:val="16"/>
          <w:szCs w:val="16"/>
        </w:rPr>
        <w:softHyphen/>
        <w:t>кие требования к Do 17 были окончатель</w:t>
      </w:r>
      <w:r w:rsidRPr="0044524F">
        <w:rPr>
          <w:rFonts w:ascii="Times New Roman" w:hAnsi="Times New Roman"/>
          <w:color w:val="000000" w:themeColor="text1"/>
          <w:sz w:val="16"/>
          <w:szCs w:val="16"/>
        </w:rPr>
        <w:softHyphen/>
        <w:t>но утверждены лишь в июне 1934 г. В соот</w:t>
      </w:r>
      <w:r w:rsidRPr="0044524F">
        <w:rPr>
          <w:rFonts w:ascii="Times New Roman" w:hAnsi="Times New Roman"/>
          <w:color w:val="000000" w:themeColor="text1"/>
          <w:sz w:val="16"/>
          <w:szCs w:val="16"/>
        </w:rPr>
        <w:softHyphen/>
        <w:t>ветствии с ними, военные хотели получить скоростной высотный разведывательный самолет с возможностью применения в ка</w:t>
      </w:r>
      <w:r w:rsidRPr="0044524F">
        <w:rPr>
          <w:rFonts w:ascii="Times New Roman" w:hAnsi="Times New Roman"/>
          <w:color w:val="000000" w:themeColor="text1"/>
          <w:sz w:val="16"/>
          <w:szCs w:val="16"/>
        </w:rPr>
        <w:softHyphen/>
        <w:t>честве бомбардировщика и оборонитель</w:t>
      </w:r>
      <w:r w:rsidRPr="0044524F">
        <w:rPr>
          <w:rFonts w:ascii="Times New Roman" w:hAnsi="Times New Roman"/>
          <w:color w:val="000000" w:themeColor="text1"/>
          <w:sz w:val="16"/>
          <w:szCs w:val="16"/>
        </w:rPr>
        <w:softHyphen/>
        <w:t>ным вооружением, ограниченным одним пулеметом. Создание такой машины, призванной заменить одномоторный дальний разведчик «Хейнкель» Не 70, было призна</w:t>
      </w:r>
      <w:r w:rsidRPr="0044524F">
        <w:rPr>
          <w:rFonts w:ascii="Times New Roman" w:hAnsi="Times New Roman"/>
          <w:color w:val="000000" w:themeColor="text1"/>
          <w:sz w:val="16"/>
          <w:szCs w:val="16"/>
        </w:rPr>
        <w:softHyphen/>
        <w:t>но более целесообразным, чем чистого бом</w:t>
      </w:r>
      <w:r w:rsidRPr="0044524F">
        <w:rPr>
          <w:rFonts w:ascii="Times New Roman" w:hAnsi="Times New Roman"/>
          <w:color w:val="000000" w:themeColor="text1"/>
          <w:sz w:val="16"/>
          <w:szCs w:val="16"/>
        </w:rPr>
        <w:softHyphen/>
        <w:t>бардировщика.</w:t>
      </w:r>
    </w:p>
    <w:p w14:paraId="7BE94EB5"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Согласование облика машины позволи</w:t>
      </w:r>
      <w:r w:rsidRPr="0044524F">
        <w:rPr>
          <w:rFonts w:ascii="Times New Roman" w:hAnsi="Times New Roman"/>
          <w:color w:val="000000" w:themeColor="text1"/>
          <w:sz w:val="16"/>
          <w:szCs w:val="16"/>
        </w:rPr>
        <w:softHyphen/>
        <w:t>ло в быстром темпе завершить построй</w:t>
      </w:r>
      <w:r w:rsidRPr="0044524F">
        <w:rPr>
          <w:rFonts w:ascii="Times New Roman" w:hAnsi="Times New Roman"/>
          <w:color w:val="000000" w:themeColor="text1"/>
          <w:sz w:val="16"/>
          <w:szCs w:val="16"/>
        </w:rPr>
        <w:softHyphen/>
        <w:t>ку прототипа Do 17с (W.Nr. 256, гражданс</w:t>
      </w:r>
      <w:r w:rsidRPr="0044524F">
        <w:rPr>
          <w:rFonts w:ascii="Times New Roman" w:hAnsi="Times New Roman"/>
          <w:color w:val="000000" w:themeColor="text1"/>
          <w:sz w:val="16"/>
          <w:szCs w:val="16"/>
        </w:rPr>
        <w:softHyphen/>
        <w:t>кая регистрация D-AJUN).(24192).</w:t>
      </w:r>
    </w:p>
    <w:p w14:paraId="407D7069" w14:textId="77777777" w:rsidR="00CE09ED" w:rsidRPr="0044524F" w:rsidRDefault="00CE09ED" w:rsidP="009654CF">
      <w:pPr>
        <w:spacing w:after="0" w:line="240" w:lineRule="auto"/>
        <w:jc w:val="both"/>
        <w:rPr>
          <w:rFonts w:ascii="Times New Roman" w:hAnsi="Times New Roman"/>
          <w:color w:val="000000" w:themeColor="text1"/>
          <w:sz w:val="16"/>
          <w:szCs w:val="16"/>
        </w:rPr>
      </w:pPr>
    </w:p>
    <w:p w14:paraId="7C83F62F"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D886680"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24D13F6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началась постройка АНТ-38 (ВСБ), но с первого полугодия 1936 работы А.А.А. не велись (514).</w:t>
      </w:r>
    </w:p>
    <w:p w14:paraId="0A7A127C"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823DE2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на заседании Комиссии с участием Алксниса рассматривался военный вариант ТБ-4 8М-34Р и выводы были положительными (2287,130).</w:t>
      </w:r>
    </w:p>
    <w:p w14:paraId="630DBC4E"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0FDE32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г. авторитетная комиссия во главе с начальником ВВС Я.И. Алкснисом рассмотрела новый проект ТБ и одобрила его. От АНТ-16 военные решили отказаться и сделать ставку на боевой вариант АНТ-20. Эту существовавшую только в проекте машину было предписано считать эталоном будущего серийного ТБ-4. Таким образом, под обозначением ТБ-4 в разное время фактически фигурировали два разных, хотя и схожих, самолета. Предполагалось, что серийное производство гигантских бомбардировщиков АНТ-20 будет развернуто на заводе № 18 в Воронеже, где тогда делали ТБ-3.</w:t>
      </w:r>
    </w:p>
    <w:p w14:paraId="46FF97A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отчете о выполнении плана опытного самолетостроения за первый квартал 1934 г. этот самолет именовался "ТБ4-8М34 (головной серийный), он же "Максим Горький".</w:t>
      </w:r>
    </w:p>
    <w:p w14:paraId="56697E4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Алкснис своей резолюцией требовал от военного АНТ-20 скорости 240 км/ч на высоте 4000 м, практического потолка 6000 м и дальности 1500 км при нормальном взлетном весе и 4000 км с перегрузкой (в обоих случаях при несении 4000 кг бомб). Эти цифры почти совпадали с заданными для агитсамолета, но такие показатели вряд ли можно было получить при сравнительно небольших конструктивных отличиях от АНТ-16, если учесть реальные данные последнего.</w:t>
      </w:r>
    </w:p>
    <w:p w14:paraId="281EC58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Разработанный в ЦАГИ проект бомбардировщика по расчетам должен был дать гораздо более скромные цифры: скорость 215 км/ч, потолок 4180 м, дальность при нормальном весе - 1300 км. Самолет должен был нести оборонительное вооружение из четырех (позднее - двух) пушечных и семи пулеметных установок.</w:t>
      </w:r>
    </w:p>
    <w:p w14:paraId="3F8DCF4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Туполев первоначально предлагал сохранить на АНТ-20 вооружение, разработанное для ТБ-4бис. Оно, в частности, включало электрифицированную носовую башню с 20-мм пушкой "Эрликон", четырех турелей Тур-5 (каждая со спаренным пулеметом ДА- 2), опускающейся вниз башни с ДА-2 и кинжальной установки с одним ДА. Задняя пушечная и передняя пулеметная установки выполнялись перекатными с борта на борт. Часть требований по вооружению действительно сначала были просто переписана, но позже это вызвало недовольство военных, которые уже ориентировались на отечественные 20-мм пушки LUBAK и новые пулеметы Ш К АС. В качестве альтернативы пушкам предлагались крупнокалиберные (12,7- мм) пулеметы ДК и ШВАК (эта пушка сначала создавалась как пулемет, и лишь потом калибр изменили). Требования пришлось доработать.</w:t>
      </w:r>
    </w:p>
    <w:p w14:paraId="3E557F7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Нормальная бомбовая нагрузка определялась в 4000 кг при перегрузочной в 8000 кг за счет уменьшения запаса горючего. По сравнению с АНТ-16 фюзеляж расширили и переделали бомбоотсеки, убрав продольную балку по оси самолета, так что стала возможной внутренняя подвеска бомб калибра 1000 и 2000 кг (последних на вооружении, впрочем, еще не было). Но основными все же считались боеприпасы по 100 кг и 250 кг, размещавшиеся в вертикальных кассетах. Сброс бомб осуществлялся электричеством.</w:t>
      </w:r>
    </w:p>
    <w:p w14:paraId="71085D5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Кассеты были к ноябрю 1933 г. установлены и испытаны на бомбардировщике ТБ-3. На другой такой же машине опробовали элементы стрелкового вооружения (12024).</w:t>
      </w:r>
    </w:p>
    <w:p w14:paraId="68F27DCB"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39D0B9D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г. авторитетная комиссия во главе с Я.И. Алкснисом рассмотрела новый проект и одобрила его. От АНТ-16 военные решили отказаться и сделать ставку на боевой вариант АНТ-20. Эту существовавшую только в проекте машину было предписано считать эталоном будущего серийного ТБ-4. Таким образом, под этим обозначением в разное время фактически фигурировали два разных, хотя и схожих, самолета. Предполагалось, что серийное производство гигантских бомбардировщиков будет развернуто на заводе № 18 в Воронеже, где тогда делали ТБ-3.</w:t>
      </w:r>
    </w:p>
    <w:p w14:paraId="1775AEC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Алкснис своей резолюцией требовал от военного АНТ- 20 скорости 240 км/ч на высоте 4000 м, практического потолка 6000 м и дальности 1500 км при нормальном взлетном весе и 4000 км с перегрузкой (в обоих случаях при несении 4000 кг бомб). Эти цифры почти совпадали с заданными для агитсамолета, но такие показатели вряд ли можно было получить при сравнительно небольших конструктивных отличиях от АНТ-16, если учесть реальные данные последнего.</w:t>
      </w:r>
    </w:p>
    <w:p w14:paraId="18BE6A4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Разработанный в ЦАГИ проект бомбардировщика по расчетам должен был дать гораздо более скромные цифры: скорость 215 км/ч, потолок 4180 м, дальность при нормальном весе - 1300 км. Самолет должен был нести оборонительное вооружение из четырех (позднее - двух) пушечных и семи пулеметных установок. Туполев первоначально предлагал сохранить на АНТ-20 вооружение, разработанное для ТБ-4бис. Оно, в частности, включало электрифицированную носовую башню с 20-мм пушкой "Эрликон", четырех турелей Тур-5 (каждая со спаренным пулеметом ДА-2), опускающейся вниз башни с ДА-2 и кинжальной установки с одним ДА. Задняя пушечная и передняя пулеметная установки выполнялись перекатными с борта на борт. Но это вызвало недовольство военных, которые уже ориентировались на отечественные 20-мм пушки и новые пулеметы ШКАС. В качестве альтернативы пушкам предлагались крупнокалиберные (12,7-мм) пулеметы ДК.</w:t>
      </w:r>
    </w:p>
    <w:p w14:paraId="5BFED2F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технических требованиях к военному варианту МГ, утвержденных 20 декабря 1933 г., учли многие недостатки ТБ-4. Например, большое внимание уделили верхней мотоустановке. Памятуя о мучениях с ее эксплуатацией, военные потребовали ввести на крыле площадки и гнезда для установки подъемного крана и грузовой стрелы, необходимых для монтажа и демонтажа двигателей и радиатора. Стрела должна была быть сконструирована именно к данному типу самолета и поставляться вместе с ним. Также к бомбардировщику должны был придаваться комплект лестниц для осмотра верхней мотоустановки и хвостового оперения. На самой мотоустановке необходимо было сделать откидные площадки обслуживания.</w:t>
      </w:r>
    </w:p>
    <w:p w14:paraId="59EF628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Категорически требовали избавиться от течи водяных радиаторов. Но, видимо, не надеясь, что это реально, заодно и предусмотрели в комплектации переносные бачки- термосы с ручными насосами для пополнения запаса воды в системе в полете. Механик, ходящий по коридору внутри крыла, должен был следить за уровнем в расширительном бачке и при необходимости подливать из термоса теплую воду.</w:t>
      </w:r>
    </w:p>
    <w:p w14:paraId="4FA2F1D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заправки самолета бензином и маслом жестко ограничивалось. "...30 минут и ни одной минутой больше", - так и записано. Это тогда, когда обыкновенный аэродромный бензозаправщик являлся редкостью! В то же время предлагалось уложиться с подвеской бомб. Требовалось наличие для этого электролебедок и дублирующих их ручных.</w:t>
      </w:r>
    </w:p>
    <w:p w14:paraId="39248C1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Туполеву многие требования военных очень не понравились. В частности, "30 минут и ни минуты больше" он счел сроком совершенно нереальным. По его мнению, после внесения ряда усовершенствований можно было прийти к часу, и лишь после получения опыта эксплуатации добиваться дальнейшего сокращения времени (12036).</w:t>
      </w:r>
    </w:p>
    <w:p w14:paraId="4A1E1C2D"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2F133FC"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нояб</w:t>
      </w:r>
      <w:r w:rsidRPr="00142305">
        <w:rPr>
          <w:rFonts w:ascii="Times New Roman" w:hAnsi="Times New Roman"/>
          <w:color w:val="0070C0"/>
          <w:sz w:val="16"/>
          <w:szCs w:val="16"/>
        </w:rPr>
        <w:softHyphen/>
        <w:t>ря 1933 г. авторитетная комиссия во главе с Я.И. Алкснисом рассмотрела новый проект тяжелого бомбардировщика и одобрила его. От АНТ -16 военные решили отказаться и сделать ставку на боевой вариант АНТ-20. Эту существовавшую только в проекте ма</w:t>
      </w:r>
      <w:r w:rsidRPr="00142305">
        <w:rPr>
          <w:rFonts w:ascii="Times New Roman" w:hAnsi="Times New Roman"/>
          <w:color w:val="0070C0"/>
          <w:sz w:val="16"/>
          <w:szCs w:val="16"/>
        </w:rPr>
        <w:softHyphen/>
        <w:t>шину было предписано считать эталоном будущего серий</w:t>
      </w:r>
      <w:r w:rsidRPr="00142305">
        <w:rPr>
          <w:rFonts w:ascii="Times New Roman" w:hAnsi="Times New Roman"/>
          <w:color w:val="0070C0"/>
          <w:sz w:val="16"/>
          <w:szCs w:val="16"/>
        </w:rPr>
        <w:softHyphen/>
        <w:t>ного ТБ-4. Таким образом, под этим обозначением в разное время фактически фигурировали два разных, хотя и схожих, самолета. Предполагалось, что серийное производство ги</w:t>
      </w:r>
      <w:r w:rsidRPr="00142305">
        <w:rPr>
          <w:rFonts w:ascii="Times New Roman" w:hAnsi="Times New Roman"/>
          <w:color w:val="0070C0"/>
          <w:sz w:val="16"/>
          <w:szCs w:val="16"/>
        </w:rPr>
        <w:softHyphen/>
        <w:t>гантских бомбардировщиков будет развернуто на заводе № 18 в Воронеже, где тогда делали ТБ-3.</w:t>
      </w:r>
    </w:p>
    <w:p w14:paraId="1A641028"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Алкснис своей резолюцией требовал от военного АНТ- 20 скорости 240 км/ч на высоте 4000 м, практического по</w:t>
      </w:r>
      <w:r w:rsidRPr="00142305">
        <w:rPr>
          <w:rFonts w:ascii="Times New Roman" w:hAnsi="Times New Roman"/>
          <w:color w:val="0070C0"/>
          <w:sz w:val="16"/>
          <w:szCs w:val="16"/>
        </w:rPr>
        <w:softHyphen/>
        <w:t>толка 6000 м и дальности 1500 км при нормальном полетном весе и 4000 км с перегрузкой (в обоих случаях при несении 4000 кг бомб). Эти цифры почти совпадали с заданными для агитсамолета, но такие показатели вряд ли можно было по</w:t>
      </w:r>
      <w:r w:rsidRPr="00142305">
        <w:rPr>
          <w:rFonts w:ascii="Times New Roman" w:hAnsi="Times New Roman"/>
          <w:color w:val="0070C0"/>
          <w:sz w:val="16"/>
          <w:szCs w:val="16"/>
        </w:rPr>
        <w:softHyphen/>
        <w:t>лучить при сравнительно небольших конструктивных отли</w:t>
      </w:r>
      <w:r w:rsidRPr="00142305">
        <w:rPr>
          <w:rFonts w:ascii="Times New Roman" w:hAnsi="Times New Roman"/>
          <w:color w:val="0070C0"/>
          <w:sz w:val="16"/>
          <w:szCs w:val="16"/>
        </w:rPr>
        <w:softHyphen/>
        <w:t>чиях отАНТ-16, если учесть реальные данные последнего.</w:t>
      </w:r>
    </w:p>
    <w:p w14:paraId="0BCC9E8F"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Разработанный в ЦАГИ проект бомбардировщика по расчетам должен был дать гораздо более скромные цифры: скорость 215 км/ч, потолок 4180 м, дальность при нормаль</w:t>
      </w:r>
      <w:r w:rsidRPr="00142305">
        <w:rPr>
          <w:rFonts w:ascii="Times New Roman" w:hAnsi="Times New Roman"/>
          <w:color w:val="0070C0"/>
          <w:sz w:val="16"/>
          <w:szCs w:val="16"/>
        </w:rPr>
        <w:softHyphen/>
        <w:t>ном весе — 1300 км. Самолет должен был нести оборони</w:t>
      </w:r>
      <w:r w:rsidRPr="00142305">
        <w:rPr>
          <w:rFonts w:ascii="Times New Roman" w:hAnsi="Times New Roman"/>
          <w:color w:val="0070C0"/>
          <w:sz w:val="16"/>
          <w:szCs w:val="16"/>
        </w:rPr>
        <w:softHyphen/>
        <w:t>тельное вооружение из четырех (позднее — двух) пушеч</w:t>
      </w:r>
      <w:r w:rsidRPr="00142305">
        <w:rPr>
          <w:rFonts w:ascii="Times New Roman" w:hAnsi="Times New Roman"/>
          <w:color w:val="0070C0"/>
          <w:sz w:val="16"/>
          <w:szCs w:val="16"/>
        </w:rPr>
        <w:softHyphen/>
        <w:t>ных и семи пулеметных установок. Туполев первоначально предлагал сохранить на АНТ-20 вооружение, разработанное для ТБ-4бис. Оно, в частности, включало электрифициро</w:t>
      </w:r>
      <w:r w:rsidRPr="00142305">
        <w:rPr>
          <w:rFonts w:ascii="Times New Roman" w:hAnsi="Times New Roman"/>
          <w:color w:val="0070C0"/>
          <w:sz w:val="16"/>
          <w:szCs w:val="16"/>
        </w:rPr>
        <w:softHyphen/>
        <w:t>ванную носовую башню с 20-мм пушкой «Эрликон», четы</w:t>
      </w:r>
      <w:r w:rsidRPr="00142305">
        <w:rPr>
          <w:rFonts w:ascii="Times New Roman" w:hAnsi="Times New Roman"/>
          <w:color w:val="0070C0"/>
          <w:sz w:val="16"/>
          <w:szCs w:val="16"/>
        </w:rPr>
        <w:softHyphen/>
        <w:t>рех турелей Тур-5 (каждая со спаренным пулеметом ДА-2), опускающейся вниз башни с ДА-2 и ки^альной установ</w:t>
      </w:r>
      <w:r w:rsidRPr="00142305">
        <w:rPr>
          <w:rFonts w:ascii="Times New Roman" w:hAnsi="Times New Roman"/>
          <w:color w:val="0070C0"/>
          <w:sz w:val="16"/>
          <w:szCs w:val="16"/>
        </w:rPr>
        <w:softHyphen/>
        <w:t>ки с одним ДА. Задняя пушечная и передняя пулеметная установки выполнялись перекатными с борта на борт. Но это вызвало недовольство военных, которые уже ориенти</w:t>
      </w:r>
      <w:r w:rsidRPr="00142305">
        <w:rPr>
          <w:rFonts w:ascii="Times New Roman" w:hAnsi="Times New Roman"/>
          <w:color w:val="0070C0"/>
          <w:sz w:val="16"/>
          <w:szCs w:val="16"/>
        </w:rPr>
        <w:softHyphen/>
        <w:t>ровались на отечественные 20-мм пушки и новые пулеме</w:t>
      </w:r>
      <w:r w:rsidRPr="00142305">
        <w:rPr>
          <w:rFonts w:ascii="Times New Roman" w:hAnsi="Times New Roman"/>
          <w:color w:val="0070C0"/>
          <w:sz w:val="16"/>
          <w:szCs w:val="16"/>
        </w:rPr>
        <w:softHyphen/>
        <w:t>ты ШКАС. В качестве альтернативы пушкам предлагались крупнокалиберные (12,7-мм) пулеметы ДК (24977).</w:t>
      </w:r>
    </w:p>
    <w:p w14:paraId="43EB8720" w14:textId="77777777" w:rsidR="00B74B80" w:rsidRPr="00142305" w:rsidRDefault="00B74B80" w:rsidP="00B74B80">
      <w:pPr>
        <w:spacing w:after="0" w:line="240" w:lineRule="auto"/>
        <w:jc w:val="both"/>
        <w:rPr>
          <w:rFonts w:ascii="Times New Roman" w:hAnsi="Times New Roman"/>
          <w:color w:val="0070C0"/>
          <w:sz w:val="16"/>
          <w:szCs w:val="16"/>
        </w:rPr>
      </w:pPr>
    </w:p>
    <w:p w14:paraId="002BC67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года начальник 7 сектора НИИ ВВС подготовил:</w:t>
      </w:r>
    </w:p>
    <w:p w14:paraId="2A68733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Объяснительная записка к плану опытного строительства сухопутных самолетов ВВС на 1934-35 год</w:t>
      </w:r>
    </w:p>
    <w:p w14:paraId="04196F4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5ECF050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плане опытного строительства помещен один самолет общецелевого назначения (Р8-М34 ФРН).</w:t>
      </w:r>
    </w:p>
    <w:p w14:paraId="46FFEE2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Опытные самолеты</w:t>
      </w:r>
    </w:p>
    <w:p w14:paraId="635F17A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ТБ7-4М34 ФРН - самолет является основным в плане опытного строительства. По своему назначению и основной схеме он должен быть аналогичен ТБ3-4М34, но обладать стальной конструкцией и отражать все современные достижения авиационной техники с тем, чтобы начиная с 1937 года выйти в замену самолета ТБ3-4М34.</w:t>
      </w:r>
    </w:p>
    <w:p w14:paraId="521ADC7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ТБ6-6М34 - самолет старого плана. Несмотря на большой интерес этого самолета он является менее актуальным, чем ТБ7, что должно быть отражено в очередности этих самолетов.</w:t>
      </w:r>
    </w:p>
    <w:p w14:paraId="6B89DFE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Д1-10М34 ФРН – указанный самолет помещен в план условно, так как его реализация допустима лишь после решения ВВА вопроса передачи от моторов. Вопрос передач является крайне актуальным и должен быть решен в обязательном порядке.</w:t>
      </w:r>
    </w:p>
    <w:p w14:paraId="235EC29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ДБ2-2РЦ – самолет является модификацией самолета РД. Установка двух моторов Райт-Циклон почти не увеличит полетный вес самолета, но зато значительно улучшит взлетные свойства, которые являются слабым местом самолета ДБ1 (военного варианта РД-М34).</w:t>
      </w:r>
    </w:p>
    <w:p w14:paraId="055BB41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СБ1-М34 РН – самолет является военным вариантом аппарата проектируемым МАИ. По техническим данным является средним между скоростным и дальним бомбардировщиком.</w:t>
      </w:r>
    </w:p>
    <w:p w14:paraId="2A1951D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СБ2-2РЦ – самолет должен повторить в основном схему скоростных американских бомбардировщиков (Глен-Мартин и др.). В этом типе ввиду основного упора на скорость вооружение ограничивается всего лишь двумя огневыми точками.</w:t>
      </w:r>
    </w:p>
    <w:p w14:paraId="286488E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К1-2 Испано – самолет старого плана с заменой 2-х моторов М32 моторами Испано и соответствующим повышением летных данных.</w:t>
      </w:r>
    </w:p>
    <w:p w14:paraId="33E4044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К2-2М34 ФРН – самолет должен решить вопрос о возможности применения мотора М34 на двухмоторных Крейсерах бомбардировщиках. Мощность винтомоторной группы по-видимому позволит решить вопрос о совмещении этого типа с 15-ти местным пассажирским самолетом. По общему направлению работ ХАЗОС такой тип самолета ему наиболее соответствует.</w:t>
      </w:r>
    </w:p>
    <w:p w14:paraId="4D8581F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КП1-4 Испано – указанный самолет является первым Крейсерским пушечным аппаратом обеспечивающим развитие Крейсерской авиации в направлении указанном зам. наркома Военмора Тухачевским. Две батареи по три пушки АПК в данном случае обеспечивают стрельбу только вперед с основной наводкой самолетом и доводкой механизмами.</w:t>
      </w:r>
    </w:p>
    <w:p w14:paraId="15D6EC7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И16-М22 и И-17 Испано – оба истребителя, являясь типами истребителей скоростных должны решить вопрос повышения скоростей Советской истребительной авиации до современного уровня.</w:t>
      </w:r>
    </w:p>
    <w:p w14:paraId="7139887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И18 Испано или РЦ – указанный самолет должен отразить в себе все достижения и выводы, которые мы получим от самолетов И14, И15, И16, И17.</w:t>
      </w:r>
    </w:p>
    <w:p w14:paraId="4735EA4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ИП2-Испано – указанный самолет являясь развитием ИП1 (модификации И-ЗЕТ) должен дать образец скоростного пушечного истребителя.</w:t>
      </w:r>
    </w:p>
    <w:p w14:paraId="7A6A12C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ИП3-М34 Н – самолет должен решить вопрос возможности применения мотора М34 для тяжелых скоростных истребителей вооруженных пушками и параллельно осветить целесообразность схемы одноместного истребителя с толкающим винтом.</w:t>
      </w:r>
    </w:p>
    <w:p w14:paraId="525FBD8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ДИ6-РЦ – самолет старого плана. Летные данные взяты из утвержденного начальником ВВС эскизного проекта.</w:t>
      </w:r>
    </w:p>
    <w:p w14:paraId="3DF6BE7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ДИ7-Испано – самолет должен решить проблему создания скоростного двухместного истребителя.</w:t>
      </w:r>
    </w:p>
    <w:p w14:paraId="3DF657B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ДИП2-М34 Н – самолет старого плана.</w:t>
      </w:r>
    </w:p>
    <w:p w14:paraId="2E90CC7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МИ4- 2 Испано – самолет является дальнейшим развитием МИ3 с установкой более подходящих для многоместного истребителя моторов. Кроме того на этом самолете ЦАГИ должно освоить применение нержавеющей стали.</w:t>
      </w:r>
    </w:p>
    <w:p w14:paraId="040002A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Р8-М34 ФРН – указанный самолет должен ответить на вопрос возможности создания многоцелевого самолета аналогичного по своему назначению самолету Р5-М17.</w:t>
      </w:r>
    </w:p>
    <w:p w14:paraId="0F71FD2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СР1-РЦ – самолет должен решить проблему создания фоторазведчика не вооруженного, но обладающего скоростями превышающими скорость одноместных истребителей.</w:t>
      </w:r>
    </w:p>
    <w:p w14:paraId="2309CE7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 – самолет старого плана.</w:t>
      </w:r>
    </w:p>
    <w:p w14:paraId="4A43348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ЛШ1-М22, ЛШ2-РЦ – эти самолеты являются модификациями И16 и ДИ6 и преследуют задачу решения вопроса применения и выгод получаемых от маневренных легких штурмовиков.</w:t>
      </w:r>
    </w:p>
    <w:p w14:paraId="0F43E65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Х1-2м34 РН – самолет старого плана. Строится по схеме летающего крыла.</w:t>
      </w:r>
    </w:p>
    <w:p w14:paraId="3AE80DF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ВС2-2М22 – самолет старого плана. Строится по схеме летающего крыла.</w:t>
      </w:r>
    </w:p>
    <w:p w14:paraId="736B9FD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П3-М49 - самолет старого плана с заменой не доведенного мотора М52 более реальным мотором М49.</w:t>
      </w:r>
    </w:p>
    <w:p w14:paraId="02DF7A9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УБП-2М11 – самолет должен решить задачу обеспечения учебно-боевой подготовки в тяжелых бригадах ВВС.</w:t>
      </w:r>
    </w:p>
    <w:p w14:paraId="526E75A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У3-М48 - самолет старого плана.</w:t>
      </w:r>
    </w:p>
    <w:p w14:paraId="72A3709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Т1-М34 Р - самолет должен решить задачу создания специального транспортного самолета аналогичного ряду Западноевропейских (Юнкерс 52 и др.).</w:t>
      </w:r>
    </w:p>
    <w:p w14:paraId="032420B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Доводки</w:t>
      </w:r>
    </w:p>
    <w:p w14:paraId="1C06B7E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указанном разделе стоит:</w:t>
      </w:r>
    </w:p>
    <w:p w14:paraId="48CA336C" w14:textId="77777777" w:rsidR="00570C39" w:rsidRPr="0044524F" w:rsidRDefault="00570C39" w:rsidP="009654CF">
      <w:pPr>
        <w:numPr>
          <w:ilvl w:val="0"/>
          <w:numId w:val="421"/>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 самолетов проходящих в настоящее время заводские испытания.</w:t>
      </w:r>
    </w:p>
    <w:p w14:paraId="1023958C" w14:textId="77777777" w:rsidR="00570C39" w:rsidRPr="0044524F" w:rsidRDefault="00570C39" w:rsidP="009654CF">
      <w:pPr>
        <w:numPr>
          <w:ilvl w:val="0"/>
          <w:numId w:val="422"/>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 самолетов с мотором М34 Н и М34 ФРН. Помещение этих уже построенных самолетов в план объясняется тем, что выпуск моторов М34-Н и М-34 ФРН потребуют ряда изменений винтомоторной группы и специальной доводки самолетов.</w:t>
      </w:r>
    </w:p>
    <w:p w14:paraId="402CD12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Винтовые и аппараты особых форм</w:t>
      </w:r>
    </w:p>
    <w:p w14:paraId="125FE4D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Автожиры С1-М11 и Р1-М22 объекты старого плана.</w:t>
      </w:r>
    </w:p>
    <w:p w14:paraId="03D9C2C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управляемой головкой и М1-Райт-Циклон. Решение вопроса с управляемой головкой ротора позволит отказаться от крыльев и частично от оперения, что с одной стороны обеспечит проходимость Автожира при перевозке его по дорогам, свойства необходимого для Автожира связи, с другой стороны управляемая головка уменьшит длину разбега при взлете. Как показывают предварительные расчеты ЦАГИ переход к двухлопастному ротору сможет сделать реальным выпуск Автожира истребителя обладающего максимальной скоростью 350 км/час при посадочной 60 км/час и хорошей маневренности.</w:t>
      </w:r>
    </w:p>
    <w:p w14:paraId="5411FD2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 с двумя Кертис Конкверрорами. Аппарат является дальнейшим развитием Геликоптеров ЦАГИ. Поскольку Геликоптер является экспериментальной конструкцией для него допустимо установка моторов Кертис Конкверрор имеющихся в Союзе и удобных в силу своего малого веса.</w:t>
      </w:r>
    </w:p>
    <w:p w14:paraId="51295EC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Летательный аппарат Х. Большие работы ведущиеся за границей в области летательных аппаратов с вращающимися крыльями делает необходимым включение аппарата такого типа в план опытного строительства.</w:t>
      </w:r>
    </w:p>
    <w:p w14:paraId="3B25556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Экспериментальный</w:t>
      </w:r>
    </w:p>
    <w:p w14:paraId="22492B5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Стратосферный – ввиду не выхода в 1934 году мотора пригодного для достижения стратосферы (высот порядка 15-20000 м) должен быть специально проработан вопрос об использовании в качестве самолета с герметической кабиной или начатого постройкой стратосферного варианта самолета РД (на 39 заводе) или постройка специального более легкого самолета.</w:t>
      </w:r>
    </w:p>
    <w:p w14:paraId="6C10EF9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разрезными крыльями. Является категорически необходимым провести широкий эксперимент на специальном самолете с мотором М11 различных вариантов разрезных крыльев (закрылков, цапов и проч.) соединенный с различным элеронным управлением для определения дальнейших путей развития опытного самолетостроения.</w:t>
      </w:r>
    </w:p>
    <w:p w14:paraId="60C544A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раздвижными крыльями. Самолет старого плана (УЗБИС).</w:t>
      </w:r>
    </w:p>
    <w:p w14:paraId="0AE7CD2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Летающее крыло 2М11. Переход к многомоторным летающим крыльям.</w:t>
      </w:r>
    </w:p>
    <w:p w14:paraId="79B62F2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Летающее крыло. Освоение ЦАГИ схемы летающего крыла.</w:t>
      </w:r>
    </w:p>
    <w:p w14:paraId="5D3AD64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Пикирующий самолет. Изучение торможения самолета пред отвесном пикировании путем различных приспособлений. Этот тип является переходным к созданию отвесно-пикирующего бомбардировщика.</w:t>
      </w:r>
    </w:p>
    <w:p w14:paraId="353B8B8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Электронный самолет – самолет для освоения в самолетостроении электрона. Относительно небольшое число экспериментальных самолетов объясняется тем, что ряд конструкций носящих по существу экспериментальный характер осуществляются в разделе опытных самолетов (Х1 ВС2) (6791, 29-35).</w:t>
      </w:r>
    </w:p>
    <w:p w14:paraId="4863BDA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p w14:paraId="356FE88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года начальник 7 сектора НИИ ВВС подготовил:</w:t>
      </w:r>
    </w:p>
    <w:p w14:paraId="2137EDE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Замечания к плану опытного строительства сухопутных самолетов РККА на 1934-35 гг.</w:t>
      </w:r>
    </w:p>
    <w:p w14:paraId="79AEFB4D" w14:textId="77777777" w:rsidR="00570C39" w:rsidRPr="0044524F" w:rsidRDefault="00570C39" w:rsidP="009654CF">
      <w:pPr>
        <w:numPr>
          <w:ilvl w:val="0"/>
          <w:numId w:val="423"/>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типажу все самолеты плана предварительно согласованы с промышленностью в лице Марголина, Туполева и Машкевича. Неясным является МИ4, хотя имеются все данные за то, что Туполев примет самолет к постройке.</w:t>
      </w:r>
    </w:p>
    <w:p w14:paraId="48EBBC3F" w14:textId="77777777" w:rsidR="00570C39" w:rsidRPr="0044524F" w:rsidRDefault="00570C39" w:rsidP="009654CF">
      <w:pPr>
        <w:numPr>
          <w:ilvl w:val="0"/>
          <w:numId w:val="424"/>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Сроки по экспериментальным самолетам не проставлены, ввиду того, что их более рационально проставить при согласовании плана с промышленностью</w:t>
      </w:r>
    </w:p>
    <w:p w14:paraId="16A19FB8" w14:textId="77777777" w:rsidR="00570C39" w:rsidRPr="0044524F" w:rsidRDefault="00570C39" w:rsidP="009654CF">
      <w:pPr>
        <w:numPr>
          <w:ilvl w:val="0"/>
          <w:numId w:val="425"/>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Самсонова и Добровольского в план пока не включен ввиду необходимости согласовать этот вопрос с морским сектором и малой вероятности того, что завод № 39 возьмется реализовывать проект.</w:t>
      </w:r>
    </w:p>
    <w:p w14:paraId="51791FB9" w14:textId="77777777" w:rsidR="00570C39" w:rsidRPr="0044524F" w:rsidRDefault="00570C39" w:rsidP="009654CF">
      <w:pPr>
        <w:numPr>
          <w:ilvl w:val="0"/>
          <w:numId w:val="426"/>
        </w:numPr>
        <w:tabs>
          <w:tab w:val="left" w:pos="360"/>
          <w:tab w:val="left" w:pos="11199"/>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переговорах с ГУГВФом о едином плане опытного строительства считал бы необходимым внести в план ГУГВФа следующий самолет: по ХАИ – скоростной пассажирский под мотор РЦ (улучшение и модификация ХАИ-1).</w:t>
      </w:r>
    </w:p>
    <w:p w14:paraId="2EC2D9C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Путилову: скоростной пассажирский под мотор М34 или Испано.</w:t>
      </w:r>
    </w:p>
    <w:p w14:paraId="042A159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ООК ЦАГИ: пассажирский автожир под мотор М22.</w:t>
      </w:r>
    </w:p>
    <w:p w14:paraId="5D8A26D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Кроме того было бы желательно разместить в одной из организаций ГУГВФ самолет с 2-мя моторами М49 с военным применением в его качестве войскового самолета, поскольку экспериментальность самолета ВС2 ставит под сомнение его внедрение в серию не считая того, что для войскового самолета мощность 2-х моторов М22 слишком велика (6791, 36).</w:t>
      </w:r>
    </w:p>
    <w:p w14:paraId="180073F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строительства сухопутных самолетов ВВС на 1934-35 год</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168"/>
        <w:gridCol w:w="958"/>
        <w:gridCol w:w="992"/>
        <w:gridCol w:w="851"/>
        <w:gridCol w:w="1276"/>
        <w:gridCol w:w="1561"/>
      </w:tblGrid>
      <w:tr w:rsidR="004E10C1" w:rsidRPr="0044524F" w14:paraId="0D7BB4FB" w14:textId="77777777">
        <w:tc>
          <w:tcPr>
            <w:tcW w:w="1384" w:type="dxa"/>
          </w:tcPr>
          <w:p w14:paraId="646DF2F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Литерное обозначен.</w:t>
            </w:r>
          </w:p>
        </w:tc>
        <w:tc>
          <w:tcPr>
            <w:tcW w:w="2410" w:type="dxa"/>
          </w:tcPr>
          <w:p w14:paraId="690DFF6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Военное назначен.</w:t>
            </w:r>
          </w:p>
        </w:tc>
        <w:tc>
          <w:tcPr>
            <w:tcW w:w="1168" w:type="dxa"/>
          </w:tcPr>
          <w:p w14:paraId="590D372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Граждан. назначен.</w:t>
            </w:r>
          </w:p>
        </w:tc>
        <w:tc>
          <w:tcPr>
            <w:tcW w:w="958" w:type="dxa"/>
          </w:tcPr>
          <w:p w14:paraId="6B09368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высота</w:t>
            </w:r>
          </w:p>
        </w:tc>
        <w:tc>
          <w:tcPr>
            <w:tcW w:w="992" w:type="dxa"/>
          </w:tcPr>
          <w:p w14:paraId="5B7E63D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w:t>
            </w:r>
          </w:p>
        </w:tc>
        <w:tc>
          <w:tcPr>
            <w:tcW w:w="851" w:type="dxa"/>
          </w:tcPr>
          <w:p w14:paraId="1AC9E86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Материал</w:t>
            </w:r>
          </w:p>
        </w:tc>
        <w:tc>
          <w:tcPr>
            <w:tcW w:w="1276" w:type="dxa"/>
          </w:tcPr>
          <w:p w14:paraId="4EE4BBF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 орг-ция</w:t>
            </w:r>
          </w:p>
        </w:tc>
        <w:tc>
          <w:tcPr>
            <w:tcW w:w="1561" w:type="dxa"/>
          </w:tcPr>
          <w:p w14:paraId="380AB2D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w:t>
            </w:r>
          </w:p>
        </w:tc>
      </w:tr>
    </w:tbl>
    <w:p w14:paraId="5DDAB09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Опытные самолеты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559"/>
        <w:gridCol w:w="851"/>
        <w:gridCol w:w="935"/>
        <w:gridCol w:w="907"/>
        <w:gridCol w:w="1113"/>
        <w:gridCol w:w="1441"/>
      </w:tblGrid>
      <w:tr w:rsidR="004E10C1" w:rsidRPr="0044524F" w14:paraId="435708D2" w14:textId="77777777">
        <w:tc>
          <w:tcPr>
            <w:tcW w:w="1384" w:type="dxa"/>
          </w:tcPr>
          <w:p w14:paraId="29B6500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ТБ7-4М34 ФРН</w:t>
            </w:r>
          </w:p>
        </w:tc>
        <w:tc>
          <w:tcPr>
            <w:tcW w:w="2410" w:type="dxa"/>
          </w:tcPr>
          <w:p w14:paraId="5229D47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бомбардировщик</w:t>
            </w:r>
          </w:p>
        </w:tc>
        <w:tc>
          <w:tcPr>
            <w:tcW w:w="1559" w:type="dxa"/>
          </w:tcPr>
          <w:p w14:paraId="29C8DFF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20-25 местный</w:t>
            </w:r>
          </w:p>
        </w:tc>
        <w:tc>
          <w:tcPr>
            <w:tcW w:w="851" w:type="dxa"/>
          </w:tcPr>
          <w:p w14:paraId="1A445DB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280-300/ 5000</w:t>
            </w:r>
          </w:p>
        </w:tc>
        <w:tc>
          <w:tcPr>
            <w:tcW w:w="935" w:type="dxa"/>
          </w:tcPr>
          <w:p w14:paraId="4BCD3483"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4000 кг бомб</w:t>
            </w:r>
          </w:p>
          <w:p w14:paraId="1A64746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4-5 лег. Пул., 1 пушка или 1 тяж. пул. </w:t>
            </w:r>
          </w:p>
        </w:tc>
        <w:tc>
          <w:tcPr>
            <w:tcW w:w="907" w:type="dxa"/>
          </w:tcPr>
          <w:p w14:paraId="1AD2AC6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1113" w:type="dxa"/>
          </w:tcPr>
          <w:p w14:paraId="1F2D81A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441" w:type="dxa"/>
          </w:tcPr>
          <w:p w14:paraId="2FD2C18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1935 года</w:t>
            </w:r>
          </w:p>
        </w:tc>
      </w:tr>
      <w:tr w:rsidR="004E10C1" w:rsidRPr="0044524F" w14:paraId="53AE0C7E" w14:textId="77777777">
        <w:tc>
          <w:tcPr>
            <w:tcW w:w="1384" w:type="dxa"/>
          </w:tcPr>
          <w:p w14:paraId="7CFA43A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ТБ6-6М44</w:t>
            </w:r>
          </w:p>
        </w:tc>
        <w:tc>
          <w:tcPr>
            <w:tcW w:w="2410" w:type="dxa"/>
          </w:tcPr>
          <w:p w14:paraId="2801E53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бомбардировщик</w:t>
            </w:r>
          </w:p>
        </w:tc>
        <w:tc>
          <w:tcPr>
            <w:tcW w:w="1559" w:type="dxa"/>
          </w:tcPr>
          <w:p w14:paraId="6BC415F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w:t>
            </w:r>
          </w:p>
        </w:tc>
        <w:tc>
          <w:tcPr>
            <w:tcW w:w="851" w:type="dxa"/>
          </w:tcPr>
          <w:p w14:paraId="5C8BCFD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250/5000</w:t>
            </w:r>
          </w:p>
        </w:tc>
        <w:tc>
          <w:tcPr>
            <w:tcW w:w="935" w:type="dxa"/>
          </w:tcPr>
          <w:p w14:paraId="7AB24C64"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22000 кг бомб</w:t>
            </w:r>
          </w:p>
          <w:p w14:paraId="252982E1"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 пушки, 3 тяж. пул., 4-6 лег. пул.</w:t>
            </w:r>
          </w:p>
        </w:tc>
        <w:tc>
          <w:tcPr>
            <w:tcW w:w="907" w:type="dxa"/>
          </w:tcPr>
          <w:p w14:paraId="448EB09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1113" w:type="dxa"/>
          </w:tcPr>
          <w:p w14:paraId="3119ECF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441" w:type="dxa"/>
          </w:tcPr>
          <w:p w14:paraId="4AA5BF7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1935 года</w:t>
            </w:r>
          </w:p>
        </w:tc>
      </w:tr>
      <w:tr w:rsidR="004E10C1" w:rsidRPr="0044524F" w14:paraId="5B40A043" w14:textId="77777777">
        <w:tc>
          <w:tcPr>
            <w:tcW w:w="1384" w:type="dxa"/>
          </w:tcPr>
          <w:p w14:paraId="572231B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Д1-10М34 ФРН</w:t>
            </w:r>
          </w:p>
        </w:tc>
        <w:tc>
          <w:tcPr>
            <w:tcW w:w="2410" w:type="dxa"/>
          </w:tcPr>
          <w:p w14:paraId="55D906B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Десантный и тяжелый бомбардировщик</w:t>
            </w:r>
          </w:p>
        </w:tc>
        <w:tc>
          <w:tcPr>
            <w:tcW w:w="1559" w:type="dxa"/>
          </w:tcPr>
          <w:p w14:paraId="01E2F21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180-200 чел. и грузовой</w:t>
            </w:r>
          </w:p>
        </w:tc>
        <w:tc>
          <w:tcPr>
            <w:tcW w:w="851" w:type="dxa"/>
          </w:tcPr>
          <w:p w14:paraId="7A6E603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210/3000</w:t>
            </w:r>
          </w:p>
        </w:tc>
        <w:tc>
          <w:tcPr>
            <w:tcW w:w="935" w:type="dxa"/>
          </w:tcPr>
          <w:p w14:paraId="776E8549"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25000 кг бомб</w:t>
            </w:r>
          </w:p>
          <w:p w14:paraId="65FC27CB"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3 пушки, 4 тяж. пул., 10 лег. пул.</w:t>
            </w:r>
          </w:p>
        </w:tc>
        <w:tc>
          <w:tcPr>
            <w:tcW w:w="907" w:type="dxa"/>
          </w:tcPr>
          <w:p w14:paraId="158F94B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Сталь </w:t>
            </w:r>
          </w:p>
        </w:tc>
        <w:tc>
          <w:tcPr>
            <w:tcW w:w="1113" w:type="dxa"/>
          </w:tcPr>
          <w:p w14:paraId="40487DD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ВВА</w:t>
            </w:r>
          </w:p>
        </w:tc>
        <w:tc>
          <w:tcPr>
            <w:tcW w:w="1441" w:type="dxa"/>
          </w:tcPr>
          <w:p w14:paraId="38100FF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r>
      <w:tr w:rsidR="004E10C1" w:rsidRPr="0044524F" w14:paraId="14DC82EC" w14:textId="77777777">
        <w:tc>
          <w:tcPr>
            <w:tcW w:w="1384" w:type="dxa"/>
          </w:tcPr>
          <w:p w14:paraId="5951130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ДБ2-2РЦ</w:t>
            </w:r>
          </w:p>
        </w:tc>
        <w:tc>
          <w:tcPr>
            <w:tcW w:w="2410" w:type="dxa"/>
          </w:tcPr>
          <w:p w14:paraId="165350C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Дальний бомбардировщик</w:t>
            </w:r>
          </w:p>
        </w:tc>
        <w:tc>
          <w:tcPr>
            <w:tcW w:w="1559" w:type="dxa"/>
          </w:tcPr>
          <w:p w14:paraId="154EB15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06F648A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280/3000</w:t>
            </w:r>
          </w:p>
        </w:tc>
        <w:tc>
          <w:tcPr>
            <w:tcW w:w="935" w:type="dxa"/>
          </w:tcPr>
          <w:p w14:paraId="314DCD51"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1000-1500 кг бомб</w:t>
            </w:r>
          </w:p>
          <w:p w14:paraId="10CA5B12"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3 лег. пул.</w:t>
            </w:r>
          </w:p>
        </w:tc>
        <w:tc>
          <w:tcPr>
            <w:tcW w:w="907" w:type="dxa"/>
          </w:tcPr>
          <w:p w14:paraId="3E146F5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p w14:paraId="30FF75F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1113" w:type="dxa"/>
          </w:tcPr>
          <w:p w14:paraId="535CF15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441" w:type="dxa"/>
          </w:tcPr>
          <w:p w14:paraId="2FA2D54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1934 года</w:t>
            </w:r>
          </w:p>
        </w:tc>
      </w:tr>
      <w:tr w:rsidR="004E10C1" w:rsidRPr="0044524F" w14:paraId="233CD1EB" w14:textId="77777777">
        <w:tc>
          <w:tcPr>
            <w:tcW w:w="1384" w:type="dxa"/>
          </w:tcPr>
          <w:p w14:paraId="6A975CD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СБ1-М34РН</w:t>
            </w:r>
          </w:p>
        </w:tc>
        <w:tc>
          <w:tcPr>
            <w:tcW w:w="2410" w:type="dxa"/>
          </w:tcPr>
          <w:p w14:paraId="4BD0A9E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Скоростной бомбардировщик</w:t>
            </w:r>
          </w:p>
        </w:tc>
        <w:tc>
          <w:tcPr>
            <w:tcW w:w="1559" w:type="dxa"/>
          </w:tcPr>
          <w:p w14:paraId="1F12AC9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Почтовый</w:t>
            </w:r>
          </w:p>
        </w:tc>
        <w:tc>
          <w:tcPr>
            <w:tcW w:w="851" w:type="dxa"/>
          </w:tcPr>
          <w:p w14:paraId="2A73834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350/4000</w:t>
            </w:r>
          </w:p>
        </w:tc>
        <w:tc>
          <w:tcPr>
            <w:tcW w:w="935" w:type="dxa"/>
          </w:tcPr>
          <w:p w14:paraId="2C812380"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300 кг бомб</w:t>
            </w:r>
          </w:p>
          <w:p w14:paraId="713BA902"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лег. пул.</w:t>
            </w:r>
          </w:p>
        </w:tc>
        <w:tc>
          <w:tcPr>
            <w:tcW w:w="907" w:type="dxa"/>
          </w:tcPr>
          <w:p w14:paraId="18CFA4D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Нержав. сталь </w:t>
            </w:r>
          </w:p>
        </w:tc>
        <w:tc>
          <w:tcPr>
            <w:tcW w:w="1113" w:type="dxa"/>
          </w:tcPr>
          <w:p w14:paraId="70F2BFC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МАИ</w:t>
            </w:r>
          </w:p>
        </w:tc>
        <w:tc>
          <w:tcPr>
            <w:tcW w:w="1441" w:type="dxa"/>
          </w:tcPr>
          <w:p w14:paraId="2BB393E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1935 года</w:t>
            </w:r>
          </w:p>
        </w:tc>
      </w:tr>
      <w:tr w:rsidR="004E10C1" w:rsidRPr="0044524F" w14:paraId="5C0A014B" w14:textId="77777777">
        <w:tc>
          <w:tcPr>
            <w:tcW w:w="1384" w:type="dxa"/>
          </w:tcPr>
          <w:p w14:paraId="6F4DDA2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СБ2-2РЦ</w:t>
            </w:r>
          </w:p>
        </w:tc>
        <w:tc>
          <w:tcPr>
            <w:tcW w:w="2410" w:type="dxa"/>
          </w:tcPr>
          <w:p w14:paraId="18B78D7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Скоростной бомбардировщик</w:t>
            </w:r>
          </w:p>
        </w:tc>
        <w:tc>
          <w:tcPr>
            <w:tcW w:w="1559" w:type="dxa"/>
          </w:tcPr>
          <w:p w14:paraId="54BC0DF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10-12 местный</w:t>
            </w:r>
          </w:p>
        </w:tc>
        <w:tc>
          <w:tcPr>
            <w:tcW w:w="851" w:type="dxa"/>
          </w:tcPr>
          <w:p w14:paraId="4D6F90F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340-350/ 4000</w:t>
            </w:r>
          </w:p>
        </w:tc>
        <w:tc>
          <w:tcPr>
            <w:tcW w:w="935" w:type="dxa"/>
          </w:tcPr>
          <w:p w14:paraId="4C1A5430"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1000 кг бомб</w:t>
            </w:r>
          </w:p>
          <w:p w14:paraId="291C8F34"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 лег. пул.</w:t>
            </w:r>
          </w:p>
        </w:tc>
        <w:tc>
          <w:tcPr>
            <w:tcW w:w="907" w:type="dxa"/>
          </w:tcPr>
          <w:p w14:paraId="47AE889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 или сталь</w:t>
            </w:r>
          </w:p>
        </w:tc>
        <w:tc>
          <w:tcPr>
            <w:tcW w:w="1113" w:type="dxa"/>
          </w:tcPr>
          <w:p w14:paraId="0DBB0CB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441" w:type="dxa"/>
          </w:tcPr>
          <w:p w14:paraId="5BE42FC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1935 года</w:t>
            </w:r>
          </w:p>
        </w:tc>
      </w:tr>
      <w:tr w:rsidR="004E10C1" w:rsidRPr="0044524F" w14:paraId="4A037074" w14:textId="77777777">
        <w:tc>
          <w:tcPr>
            <w:tcW w:w="1384" w:type="dxa"/>
          </w:tcPr>
          <w:p w14:paraId="06E07AD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К1-2Ис. YBRS</w:t>
            </w:r>
          </w:p>
        </w:tc>
        <w:tc>
          <w:tcPr>
            <w:tcW w:w="2410" w:type="dxa"/>
          </w:tcPr>
          <w:p w14:paraId="6CD4F60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 и бомбардировщик</w:t>
            </w:r>
          </w:p>
        </w:tc>
        <w:tc>
          <w:tcPr>
            <w:tcW w:w="1559" w:type="dxa"/>
          </w:tcPr>
          <w:p w14:paraId="40EF2A4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3236E25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320-330/ 5000</w:t>
            </w:r>
          </w:p>
        </w:tc>
        <w:tc>
          <w:tcPr>
            <w:tcW w:w="935" w:type="dxa"/>
          </w:tcPr>
          <w:p w14:paraId="7E9685BC"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1000 кг бомб</w:t>
            </w:r>
          </w:p>
          <w:p w14:paraId="6F9584D7"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3-4 лег. пул., 1 пушка</w:t>
            </w:r>
          </w:p>
        </w:tc>
        <w:tc>
          <w:tcPr>
            <w:tcW w:w="907" w:type="dxa"/>
          </w:tcPr>
          <w:p w14:paraId="56161C9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tc>
        <w:tc>
          <w:tcPr>
            <w:tcW w:w="1113" w:type="dxa"/>
          </w:tcPr>
          <w:p w14:paraId="2952FF9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441" w:type="dxa"/>
          </w:tcPr>
          <w:p w14:paraId="7024ACB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1934 года</w:t>
            </w:r>
          </w:p>
        </w:tc>
      </w:tr>
      <w:tr w:rsidR="004E10C1" w:rsidRPr="0044524F" w14:paraId="0CEB4816" w14:textId="77777777">
        <w:tc>
          <w:tcPr>
            <w:tcW w:w="1384" w:type="dxa"/>
          </w:tcPr>
          <w:p w14:paraId="00FDE8F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К2-2М34 ФРН</w:t>
            </w:r>
          </w:p>
        </w:tc>
        <w:tc>
          <w:tcPr>
            <w:tcW w:w="2410" w:type="dxa"/>
          </w:tcPr>
          <w:p w14:paraId="27DFD30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 и бомбардировщик</w:t>
            </w:r>
          </w:p>
        </w:tc>
        <w:tc>
          <w:tcPr>
            <w:tcW w:w="1559" w:type="dxa"/>
          </w:tcPr>
          <w:p w14:paraId="50AF985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15 местный</w:t>
            </w:r>
          </w:p>
        </w:tc>
        <w:tc>
          <w:tcPr>
            <w:tcW w:w="851" w:type="dxa"/>
          </w:tcPr>
          <w:p w14:paraId="7B7372E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935" w:type="dxa"/>
          </w:tcPr>
          <w:p w14:paraId="170B88F8"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1000 кг бомб</w:t>
            </w:r>
          </w:p>
          <w:p w14:paraId="30925A8D"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4-5 лег. пул., 1 пушка</w:t>
            </w:r>
          </w:p>
        </w:tc>
        <w:tc>
          <w:tcPr>
            <w:tcW w:w="907" w:type="dxa"/>
          </w:tcPr>
          <w:p w14:paraId="79A89F7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1113" w:type="dxa"/>
          </w:tcPr>
          <w:p w14:paraId="54FBC7E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tc>
        <w:tc>
          <w:tcPr>
            <w:tcW w:w="1441" w:type="dxa"/>
          </w:tcPr>
          <w:p w14:paraId="5A30604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1935 года</w:t>
            </w:r>
          </w:p>
        </w:tc>
      </w:tr>
      <w:tr w:rsidR="004E10C1" w:rsidRPr="0044524F" w14:paraId="59E1F61C" w14:textId="77777777">
        <w:tc>
          <w:tcPr>
            <w:tcW w:w="1384" w:type="dxa"/>
          </w:tcPr>
          <w:p w14:paraId="39392CD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КП1-4 Испано YBRS</w:t>
            </w:r>
          </w:p>
        </w:tc>
        <w:tc>
          <w:tcPr>
            <w:tcW w:w="2410" w:type="dxa"/>
          </w:tcPr>
          <w:p w14:paraId="617AEEF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 пушечный</w:t>
            </w:r>
          </w:p>
        </w:tc>
        <w:tc>
          <w:tcPr>
            <w:tcW w:w="1559" w:type="dxa"/>
          </w:tcPr>
          <w:p w14:paraId="442DEA3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307F4F8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300-330/ 5000</w:t>
            </w:r>
          </w:p>
        </w:tc>
        <w:tc>
          <w:tcPr>
            <w:tcW w:w="935" w:type="dxa"/>
          </w:tcPr>
          <w:p w14:paraId="1F1B623D"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6 АПК кал. 65-76</w:t>
            </w:r>
          </w:p>
          <w:p w14:paraId="7894705C"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пушки 20-25 мм</w:t>
            </w:r>
          </w:p>
        </w:tc>
        <w:tc>
          <w:tcPr>
            <w:tcW w:w="907" w:type="dxa"/>
          </w:tcPr>
          <w:p w14:paraId="71A76E1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p w14:paraId="3F3714C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tc>
        <w:tc>
          <w:tcPr>
            <w:tcW w:w="1113" w:type="dxa"/>
          </w:tcPr>
          <w:p w14:paraId="3F25584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16B8A64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41" w:type="dxa"/>
          </w:tcPr>
          <w:p w14:paraId="44CF259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r>
      <w:tr w:rsidR="004E10C1" w:rsidRPr="0044524F" w14:paraId="2FA0ED72" w14:textId="77777777">
        <w:tc>
          <w:tcPr>
            <w:tcW w:w="1384" w:type="dxa"/>
          </w:tcPr>
          <w:p w14:paraId="4CAB6B5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И16-М22 Второй вариант самолета строится под Райт-Циклон</w:t>
            </w:r>
          </w:p>
        </w:tc>
        <w:tc>
          <w:tcPr>
            <w:tcW w:w="2410" w:type="dxa"/>
          </w:tcPr>
          <w:p w14:paraId="6742846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w:t>
            </w:r>
          </w:p>
        </w:tc>
        <w:tc>
          <w:tcPr>
            <w:tcW w:w="1559" w:type="dxa"/>
          </w:tcPr>
          <w:p w14:paraId="7DDF724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002F495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935" w:type="dxa"/>
          </w:tcPr>
          <w:p w14:paraId="311C34F1"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лег. пул.</w:t>
            </w:r>
          </w:p>
        </w:tc>
        <w:tc>
          <w:tcPr>
            <w:tcW w:w="907" w:type="dxa"/>
          </w:tcPr>
          <w:p w14:paraId="2227C1D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Дерево Сталь</w:t>
            </w:r>
          </w:p>
        </w:tc>
        <w:tc>
          <w:tcPr>
            <w:tcW w:w="1113" w:type="dxa"/>
          </w:tcPr>
          <w:p w14:paraId="6A44377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56117CD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41" w:type="dxa"/>
          </w:tcPr>
          <w:p w14:paraId="77EF3A6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 года</w:t>
            </w:r>
          </w:p>
        </w:tc>
      </w:tr>
      <w:tr w:rsidR="004E10C1" w:rsidRPr="0044524F" w14:paraId="0D9AF5E5" w14:textId="77777777">
        <w:tc>
          <w:tcPr>
            <w:tcW w:w="1384" w:type="dxa"/>
          </w:tcPr>
          <w:p w14:paraId="4BC1E87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И-17 Испано YBRS</w:t>
            </w:r>
          </w:p>
          <w:p w14:paraId="6900AE1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вариант самолета строится под М17</w:t>
            </w:r>
          </w:p>
        </w:tc>
        <w:tc>
          <w:tcPr>
            <w:tcW w:w="2410" w:type="dxa"/>
          </w:tcPr>
          <w:p w14:paraId="5A24A34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w:t>
            </w:r>
          </w:p>
        </w:tc>
        <w:tc>
          <w:tcPr>
            <w:tcW w:w="1559" w:type="dxa"/>
          </w:tcPr>
          <w:p w14:paraId="4A9856E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514A7E4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425/5000</w:t>
            </w:r>
          </w:p>
        </w:tc>
        <w:tc>
          <w:tcPr>
            <w:tcW w:w="935" w:type="dxa"/>
          </w:tcPr>
          <w:p w14:paraId="31DC84DA"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лег. пул.</w:t>
            </w:r>
          </w:p>
        </w:tc>
        <w:tc>
          <w:tcPr>
            <w:tcW w:w="907" w:type="dxa"/>
          </w:tcPr>
          <w:p w14:paraId="73E1651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Дерево Сталь</w:t>
            </w:r>
          </w:p>
        </w:tc>
        <w:tc>
          <w:tcPr>
            <w:tcW w:w="1113" w:type="dxa"/>
          </w:tcPr>
          <w:p w14:paraId="28F0825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2DC5330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41" w:type="dxa"/>
          </w:tcPr>
          <w:p w14:paraId="01434AD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 года</w:t>
            </w:r>
          </w:p>
        </w:tc>
      </w:tr>
      <w:tr w:rsidR="004E10C1" w:rsidRPr="0044524F" w14:paraId="35D08325" w14:textId="77777777">
        <w:tc>
          <w:tcPr>
            <w:tcW w:w="1384" w:type="dxa"/>
          </w:tcPr>
          <w:p w14:paraId="0CD8193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И18 Испано YBRS или Р.Ц.</w:t>
            </w:r>
          </w:p>
        </w:tc>
        <w:tc>
          <w:tcPr>
            <w:tcW w:w="2410" w:type="dxa"/>
          </w:tcPr>
          <w:p w14:paraId="594C8C8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w:t>
            </w:r>
          </w:p>
        </w:tc>
        <w:tc>
          <w:tcPr>
            <w:tcW w:w="1559" w:type="dxa"/>
          </w:tcPr>
          <w:p w14:paraId="68B870B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данные устанавливаются после испытаний самолетов И14, И15, И16, И17</w:t>
            </w:r>
          </w:p>
        </w:tc>
        <w:tc>
          <w:tcPr>
            <w:tcW w:w="851" w:type="dxa"/>
          </w:tcPr>
          <w:p w14:paraId="06CA330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935" w:type="dxa"/>
          </w:tcPr>
          <w:p w14:paraId="1614F6CE" w14:textId="77777777" w:rsidR="00570C39" w:rsidRPr="0044524F" w:rsidRDefault="00570C39" w:rsidP="009654CF">
            <w:pPr>
              <w:pStyle w:val="31"/>
              <w:widowControl/>
              <w:tabs>
                <w:tab w:val="left" w:pos="11199"/>
              </w:tabs>
              <w:jc w:val="both"/>
              <w:rPr>
                <w:color w:val="000000" w:themeColor="text1"/>
              </w:rPr>
            </w:pPr>
          </w:p>
        </w:tc>
        <w:tc>
          <w:tcPr>
            <w:tcW w:w="907" w:type="dxa"/>
          </w:tcPr>
          <w:p w14:paraId="3D4CED1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113" w:type="dxa"/>
          </w:tcPr>
          <w:p w14:paraId="4B30644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1A84826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41" w:type="dxa"/>
          </w:tcPr>
          <w:p w14:paraId="688AF47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1935 года</w:t>
            </w:r>
          </w:p>
        </w:tc>
      </w:tr>
      <w:tr w:rsidR="004E10C1" w:rsidRPr="0044524F" w14:paraId="646EA32D" w14:textId="77777777">
        <w:tc>
          <w:tcPr>
            <w:tcW w:w="1384" w:type="dxa"/>
          </w:tcPr>
          <w:p w14:paraId="1B43F21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ИП2 Испано YBRS</w:t>
            </w:r>
          </w:p>
        </w:tc>
        <w:tc>
          <w:tcPr>
            <w:tcW w:w="2410" w:type="dxa"/>
          </w:tcPr>
          <w:p w14:paraId="18AB396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пушечный истребитель</w:t>
            </w:r>
          </w:p>
        </w:tc>
        <w:tc>
          <w:tcPr>
            <w:tcW w:w="1559" w:type="dxa"/>
          </w:tcPr>
          <w:p w14:paraId="7BC6884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0A66CD6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350-370/ 5000</w:t>
            </w:r>
          </w:p>
        </w:tc>
        <w:tc>
          <w:tcPr>
            <w:tcW w:w="935" w:type="dxa"/>
          </w:tcPr>
          <w:p w14:paraId="24E3D34C"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пушки АПК</w:t>
            </w:r>
          </w:p>
        </w:tc>
        <w:tc>
          <w:tcPr>
            <w:tcW w:w="907" w:type="dxa"/>
          </w:tcPr>
          <w:p w14:paraId="532DD86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Смешан.</w:t>
            </w:r>
          </w:p>
        </w:tc>
        <w:tc>
          <w:tcPr>
            <w:tcW w:w="1113" w:type="dxa"/>
          </w:tcPr>
          <w:p w14:paraId="20D3164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5D0A39C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41" w:type="dxa"/>
          </w:tcPr>
          <w:p w14:paraId="6C57193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1934 года</w:t>
            </w:r>
          </w:p>
        </w:tc>
      </w:tr>
      <w:tr w:rsidR="004E10C1" w:rsidRPr="0044524F" w14:paraId="2A575BAE" w14:textId="77777777">
        <w:tc>
          <w:tcPr>
            <w:tcW w:w="1384" w:type="dxa"/>
          </w:tcPr>
          <w:p w14:paraId="0376D3B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ИП3-М34Н</w:t>
            </w:r>
          </w:p>
        </w:tc>
        <w:tc>
          <w:tcPr>
            <w:tcW w:w="2410" w:type="dxa"/>
          </w:tcPr>
          <w:p w14:paraId="00A3AE5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пушечный истребитель</w:t>
            </w:r>
          </w:p>
        </w:tc>
        <w:tc>
          <w:tcPr>
            <w:tcW w:w="1559" w:type="dxa"/>
          </w:tcPr>
          <w:p w14:paraId="22647B0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на Ленинградских заводах</w:t>
            </w:r>
          </w:p>
        </w:tc>
        <w:tc>
          <w:tcPr>
            <w:tcW w:w="851" w:type="dxa"/>
          </w:tcPr>
          <w:p w14:paraId="03CF93B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400/4000</w:t>
            </w:r>
          </w:p>
        </w:tc>
        <w:tc>
          <w:tcPr>
            <w:tcW w:w="935" w:type="dxa"/>
          </w:tcPr>
          <w:p w14:paraId="4D624A87"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ракет. пушки, 1 лег. пул.</w:t>
            </w:r>
          </w:p>
        </w:tc>
        <w:tc>
          <w:tcPr>
            <w:tcW w:w="907" w:type="dxa"/>
          </w:tcPr>
          <w:p w14:paraId="4ED1EEF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1113" w:type="dxa"/>
          </w:tcPr>
          <w:p w14:paraId="66C9CB6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КБ11 У.В.И.</w:t>
            </w:r>
          </w:p>
        </w:tc>
        <w:tc>
          <w:tcPr>
            <w:tcW w:w="1441" w:type="dxa"/>
          </w:tcPr>
          <w:p w14:paraId="668C2AE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1934 года</w:t>
            </w:r>
          </w:p>
        </w:tc>
      </w:tr>
      <w:tr w:rsidR="004E10C1" w:rsidRPr="0044524F" w14:paraId="284FECEA" w14:textId="77777777">
        <w:tc>
          <w:tcPr>
            <w:tcW w:w="1384" w:type="dxa"/>
          </w:tcPr>
          <w:p w14:paraId="7464E1A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 РЦ</w:t>
            </w:r>
          </w:p>
        </w:tc>
        <w:tc>
          <w:tcPr>
            <w:tcW w:w="2410" w:type="dxa"/>
          </w:tcPr>
          <w:p w14:paraId="5D327DE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Двухместный истребитель</w:t>
            </w:r>
          </w:p>
        </w:tc>
        <w:tc>
          <w:tcPr>
            <w:tcW w:w="1559" w:type="dxa"/>
          </w:tcPr>
          <w:p w14:paraId="751572B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52DEC83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315/5000</w:t>
            </w:r>
          </w:p>
        </w:tc>
        <w:tc>
          <w:tcPr>
            <w:tcW w:w="935" w:type="dxa"/>
          </w:tcPr>
          <w:p w14:paraId="47B4025B"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40 кг бомб</w:t>
            </w:r>
          </w:p>
          <w:p w14:paraId="5FCB3A1E"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3 лег. пул.</w:t>
            </w:r>
          </w:p>
        </w:tc>
        <w:tc>
          <w:tcPr>
            <w:tcW w:w="907" w:type="dxa"/>
          </w:tcPr>
          <w:p w14:paraId="128181A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 и дерево</w:t>
            </w:r>
          </w:p>
        </w:tc>
        <w:tc>
          <w:tcPr>
            <w:tcW w:w="1113" w:type="dxa"/>
          </w:tcPr>
          <w:p w14:paraId="0D583EC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0D6C76D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41" w:type="dxa"/>
          </w:tcPr>
          <w:p w14:paraId="1516D75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1934 года</w:t>
            </w:r>
          </w:p>
        </w:tc>
      </w:tr>
      <w:tr w:rsidR="004E10C1" w:rsidRPr="0044524F" w14:paraId="37C31B96" w14:textId="77777777">
        <w:tc>
          <w:tcPr>
            <w:tcW w:w="1384" w:type="dxa"/>
          </w:tcPr>
          <w:p w14:paraId="1D408B5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ДИ-7 Испано YBRS</w:t>
            </w:r>
          </w:p>
        </w:tc>
        <w:tc>
          <w:tcPr>
            <w:tcW w:w="2410" w:type="dxa"/>
          </w:tcPr>
          <w:p w14:paraId="502EB3F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Двухместный истребитель</w:t>
            </w:r>
          </w:p>
        </w:tc>
        <w:tc>
          <w:tcPr>
            <w:tcW w:w="1559" w:type="dxa"/>
          </w:tcPr>
          <w:p w14:paraId="2ABAF46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613E0B6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375-400/ 5000</w:t>
            </w:r>
          </w:p>
        </w:tc>
        <w:tc>
          <w:tcPr>
            <w:tcW w:w="935" w:type="dxa"/>
          </w:tcPr>
          <w:p w14:paraId="24491470"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40 кг бомб</w:t>
            </w:r>
          </w:p>
          <w:p w14:paraId="22A1DD3D"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3 лег. пул.</w:t>
            </w:r>
          </w:p>
        </w:tc>
        <w:tc>
          <w:tcPr>
            <w:tcW w:w="907" w:type="dxa"/>
          </w:tcPr>
          <w:p w14:paraId="36B12AC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Смешан.</w:t>
            </w:r>
          </w:p>
        </w:tc>
        <w:tc>
          <w:tcPr>
            <w:tcW w:w="1113" w:type="dxa"/>
          </w:tcPr>
          <w:p w14:paraId="45C1ED6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3BBE5B1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41" w:type="dxa"/>
          </w:tcPr>
          <w:p w14:paraId="10B9822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1934 года</w:t>
            </w:r>
          </w:p>
        </w:tc>
      </w:tr>
      <w:tr w:rsidR="004E10C1" w:rsidRPr="0044524F" w14:paraId="26D2E290" w14:textId="77777777">
        <w:tc>
          <w:tcPr>
            <w:tcW w:w="1384" w:type="dxa"/>
          </w:tcPr>
          <w:p w14:paraId="5306284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ДИП-2М34Н</w:t>
            </w:r>
          </w:p>
        </w:tc>
        <w:tc>
          <w:tcPr>
            <w:tcW w:w="2410" w:type="dxa"/>
          </w:tcPr>
          <w:p w14:paraId="2E43FD0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Двухместный истребитель пушечный</w:t>
            </w:r>
          </w:p>
        </w:tc>
        <w:tc>
          <w:tcPr>
            <w:tcW w:w="1559" w:type="dxa"/>
          </w:tcPr>
          <w:p w14:paraId="014E586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35A201A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325/5000</w:t>
            </w:r>
          </w:p>
        </w:tc>
        <w:tc>
          <w:tcPr>
            <w:tcW w:w="935" w:type="dxa"/>
          </w:tcPr>
          <w:p w14:paraId="2325E073"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лег. пул., 1 пушка АПК</w:t>
            </w:r>
          </w:p>
        </w:tc>
        <w:tc>
          <w:tcPr>
            <w:tcW w:w="907" w:type="dxa"/>
          </w:tcPr>
          <w:p w14:paraId="7F2061F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tc>
        <w:tc>
          <w:tcPr>
            <w:tcW w:w="1113" w:type="dxa"/>
          </w:tcPr>
          <w:p w14:paraId="185BE1F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441" w:type="dxa"/>
          </w:tcPr>
          <w:p w14:paraId="17F82C9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 года</w:t>
            </w:r>
          </w:p>
        </w:tc>
      </w:tr>
      <w:tr w:rsidR="004E10C1" w:rsidRPr="0044524F" w14:paraId="3DD027F2" w14:textId="77777777">
        <w:tc>
          <w:tcPr>
            <w:tcW w:w="1384" w:type="dxa"/>
          </w:tcPr>
          <w:p w14:paraId="034A7C0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Р8-М34 ФРН</w:t>
            </w:r>
          </w:p>
        </w:tc>
        <w:tc>
          <w:tcPr>
            <w:tcW w:w="2410" w:type="dxa"/>
          </w:tcPr>
          <w:p w14:paraId="5B8466C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 он же легкий бомбардировщик</w:t>
            </w:r>
          </w:p>
        </w:tc>
        <w:tc>
          <w:tcPr>
            <w:tcW w:w="1559" w:type="dxa"/>
          </w:tcPr>
          <w:p w14:paraId="01683C3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Почтовый</w:t>
            </w:r>
          </w:p>
        </w:tc>
        <w:tc>
          <w:tcPr>
            <w:tcW w:w="851" w:type="dxa"/>
          </w:tcPr>
          <w:p w14:paraId="16DAB28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935" w:type="dxa"/>
          </w:tcPr>
          <w:p w14:paraId="5EFF560F"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800 кг бомб</w:t>
            </w:r>
          </w:p>
          <w:p w14:paraId="04955635"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лег. пул.</w:t>
            </w:r>
          </w:p>
        </w:tc>
        <w:tc>
          <w:tcPr>
            <w:tcW w:w="907" w:type="dxa"/>
          </w:tcPr>
          <w:p w14:paraId="7018D57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Смешан.</w:t>
            </w:r>
          </w:p>
        </w:tc>
        <w:tc>
          <w:tcPr>
            <w:tcW w:w="1113" w:type="dxa"/>
          </w:tcPr>
          <w:p w14:paraId="03C2288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4A986A2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41" w:type="dxa"/>
          </w:tcPr>
          <w:p w14:paraId="542C2D3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1935 года</w:t>
            </w:r>
          </w:p>
        </w:tc>
      </w:tr>
      <w:tr w:rsidR="004E10C1" w:rsidRPr="0044524F" w14:paraId="42C54EE7" w14:textId="77777777">
        <w:tc>
          <w:tcPr>
            <w:tcW w:w="1384" w:type="dxa"/>
          </w:tcPr>
          <w:p w14:paraId="75993DE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МИ4-2 Испано YBRS </w:t>
            </w:r>
          </w:p>
        </w:tc>
        <w:tc>
          <w:tcPr>
            <w:tcW w:w="2410" w:type="dxa"/>
          </w:tcPr>
          <w:p w14:paraId="12E8188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Многоместный истребитель</w:t>
            </w:r>
          </w:p>
        </w:tc>
        <w:tc>
          <w:tcPr>
            <w:tcW w:w="1559" w:type="dxa"/>
          </w:tcPr>
          <w:p w14:paraId="6D022F5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07DEE1D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350-360/ 5000</w:t>
            </w:r>
          </w:p>
        </w:tc>
        <w:tc>
          <w:tcPr>
            <w:tcW w:w="935" w:type="dxa"/>
          </w:tcPr>
          <w:p w14:paraId="0C8AC8A7"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100 кг бомб</w:t>
            </w:r>
          </w:p>
          <w:p w14:paraId="43407673"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lastRenderedPageBreak/>
              <w:t>2 пушки, 2 лег. пул.</w:t>
            </w:r>
          </w:p>
        </w:tc>
        <w:tc>
          <w:tcPr>
            <w:tcW w:w="907" w:type="dxa"/>
          </w:tcPr>
          <w:p w14:paraId="1B0CF41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Нержав. сталь</w:t>
            </w:r>
          </w:p>
        </w:tc>
        <w:tc>
          <w:tcPr>
            <w:tcW w:w="1113" w:type="dxa"/>
          </w:tcPr>
          <w:p w14:paraId="5AFC054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441" w:type="dxa"/>
          </w:tcPr>
          <w:p w14:paraId="1163F54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1935 года</w:t>
            </w:r>
          </w:p>
        </w:tc>
      </w:tr>
      <w:tr w:rsidR="004E10C1" w:rsidRPr="0044524F" w14:paraId="30E45FBE" w14:textId="77777777">
        <w:tc>
          <w:tcPr>
            <w:tcW w:w="1384" w:type="dxa"/>
          </w:tcPr>
          <w:p w14:paraId="2670D0E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СР-РЦ</w:t>
            </w:r>
          </w:p>
        </w:tc>
        <w:tc>
          <w:tcPr>
            <w:tcW w:w="2410" w:type="dxa"/>
          </w:tcPr>
          <w:p w14:paraId="510B17B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Скоростной фоторазведчик</w:t>
            </w:r>
          </w:p>
        </w:tc>
        <w:tc>
          <w:tcPr>
            <w:tcW w:w="1559" w:type="dxa"/>
          </w:tcPr>
          <w:p w14:paraId="3199B39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Экспресс курьер</w:t>
            </w:r>
          </w:p>
        </w:tc>
        <w:tc>
          <w:tcPr>
            <w:tcW w:w="851" w:type="dxa"/>
          </w:tcPr>
          <w:p w14:paraId="708BF8E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450/4000</w:t>
            </w:r>
          </w:p>
        </w:tc>
        <w:tc>
          <w:tcPr>
            <w:tcW w:w="935" w:type="dxa"/>
          </w:tcPr>
          <w:p w14:paraId="44D8AD94"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 xml:space="preserve">Вооружен. нет </w:t>
            </w:r>
          </w:p>
        </w:tc>
        <w:tc>
          <w:tcPr>
            <w:tcW w:w="907" w:type="dxa"/>
          </w:tcPr>
          <w:p w14:paraId="4787E3C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Дерево</w:t>
            </w:r>
          </w:p>
          <w:p w14:paraId="4339268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113" w:type="dxa"/>
          </w:tcPr>
          <w:p w14:paraId="0288B4F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w:t>
            </w:r>
          </w:p>
        </w:tc>
        <w:tc>
          <w:tcPr>
            <w:tcW w:w="1441" w:type="dxa"/>
          </w:tcPr>
          <w:p w14:paraId="5193DF2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 года</w:t>
            </w:r>
          </w:p>
        </w:tc>
      </w:tr>
      <w:tr w:rsidR="004E10C1" w:rsidRPr="0044524F" w14:paraId="3B3D795C" w14:textId="77777777">
        <w:tc>
          <w:tcPr>
            <w:tcW w:w="1384" w:type="dxa"/>
          </w:tcPr>
          <w:p w14:paraId="4439C99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ТШ3-М34</w:t>
            </w:r>
          </w:p>
        </w:tc>
        <w:tc>
          <w:tcPr>
            <w:tcW w:w="2410" w:type="dxa"/>
          </w:tcPr>
          <w:p w14:paraId="77F6E62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бронированный штурмовик</w:t>
            </w:r>
          </w:p>
        </w:tc>
        <w:tc>
          <w:tcPr>
            <w:tcW w:w="1559" w:type="dxa"/>
          </w:tcPr>
          <w:p w14:paraId="55E8CA5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w:t>
            </w:r>
          </w:p>
          <w:p w14:paraId="5EA6AFB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(требует замены фюзеляжа)</w:t>
            </w:r>
          </w:p>
        </w:tc>
        <w:tc>
          <w:tcPr>
            <w:tcW w:w="851" w:type="dxa"/>
          </w:tcPr>
          <w:p w14:paraId="3BB0BA7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935" w:type="dxa"/>
          </w:tcPr>
          <w:p w14:paraId="05EECBD7"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400 кг бомб</w:t>
            </w:r>
          </w:p>
          <w:p w14:paraId="350EB1B3"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11 лег. пул.</w:t>
            </w:r>
          </w:p>
        </w:tc>
        <w:tc>
          <w:tcPr>
            <w:tcW w:w="907" w:type="dxa"/>
          </w:tcPr>
          <w:p w14:paraId="0FC3FB8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p w14:paraId="6C94C87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tc>
        <w:tc>
          <w:tcPr>
            <w:tcW w:w="1113" w:type="dxa"/>
          </w:tcPr>
          <w:p w14:paraId="22DBBBC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62BF717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41" w:type="dxa"/>
          </w:tcPr>
          <w:p w14:paraId="657100E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 года</w:t>
            </w:r>
          </w:p>
        </w:tc>
      </w:tr>
      <w:tr w:rsidR="004E10C1" w:rsidRPr="0044524F" w14:paraId="7D18F928" w14:textId="77777777">
        <w:tc>
          <w:tcPr>
            <w:tcW w:w="1384" w:type="dxa"/>
          </w:tcPr>
          <w:p w14:paraId="4065A28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ЛШ1-М22</w:t>
            </w:r>
          </w:p>
        </w:tc>
        <w:tc>
          <w:tcPr>
            <w:tcW w:w="2410" w:type="dxa"/>
          </w:tcPr>
          <w:p w14:paraId="1618E24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штурмовик (вариант с самолета И16)</w:t>
            </w:r>
          </w:p>
        </w:tc>
        <w:tc>
          <w:tcPr>
            <w:tcW w:w="1559" w:type="dxa"/>
          </w:tcPr>
          <w:p w14:paraId="53AE3B8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5E2D78B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330/0</w:t>
            </w:r>
          </w:p>
        </w:tc>
        <w:tc>
          <w:tcPr>
            <w:tcW w:w="935" w:type="dxa"/>
          </w:tcPr>
          <w:p w14:paraId="117BD3F4"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 лег. пул.</w:t>
            </w:r>
          </w:p>
        </w:tc>
        <w:tc>
          <w:tcPr>
            <w:tcW w:w="907" w:type="dxa"/>
          </w:tcPr>
          <w:p w14:paraId="567EED3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p w14:paraId="5E5F2BF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Дерево</w:t>
            </w:r>
          </w:p>
        </w:tc>
        <w:tc>
          <w:tcPr>
            <w:tcW w:w="1113" w:type="dxa"/>
          </w:tcPr>
          <w:p w14:paraId="0425E25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3C6A08D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41" w:type="dxa"/>
          </w:tcPr>
          <w:p w14:paraId="4AE2E28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1934 года</w:t>
            </w:r>
          </w:p>
        </w:tc>
      </w:tr>
      <w:tr w:rsidR="004E10C1" w:rsidRPr="0044524F" w14:paraId="2BCD81C1" w14:textId="77777777">
        <w:tc>
          <w:tcPr>
            <w:tcW w:w="1384" w:type="dxa"/>
          </w:tcPr>
          <w:p w14:paraId="421B628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ЛШ2-РЦ</w:t>
            </w:r>
          </w:p>
        </w:tc>
        <w:tc>
          <w:tcPr>
            <w:tcW w:w="2410" w:type="dxa"/>
          </w:tcPr>
          <w:p w14:paraId="2F9EA2C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штурмовик (вариант с самолета ДИ6)</w:t>
            </w:r>
          </w:p>
        </w:tc>
        <w:tc>
          <w:tcPr>
            <w:tcW w:w="1559" w:type="dxa"/>
          </w:tcPr>
          <w:p w14:paraId="73D7F48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51" w:type="dxa"/>
          </w:tcPr>
          <w:p w14:paraId="3ECBB98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290/0</w:t>
            </w:r>
          </w:p>
        </w:tc>
        <w:tc>
          <w:tcPr>
            <w:tcW w:w="935" w:type="dxa"/>
          </w:tcPr>
          <w:p w14:paraId="28994098"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80 кг бомб</w:t>
            </w:r>
          </w:p>
          <w:p w14:paraId="1A4FC4D0"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5 лег. пул.</w:t>
            </w:r>
          </w:p>
        </w:tc>
        <w:tc>
          <w:tcPr>
            <w:tcW w:w="907" w:type="dxa"/>
          </w:tcPr>
          <w:p w14:paraId="013E1EE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p w14:paraId="473363D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Дерево</w:t>
            </w:r>
          </w:p>
        </w:tc>
        <w:tc>
          <w:tcPr>
            <w:tcW w:w="1113" w:type="dxa"/>
          </w:tcPr>
          <w:p w14:paraId="198B3C7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0D9AF64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41" w:type="dxa"/>
          </w:tcPr>
          <w:p w14:paraId="0CE7986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 года</w:t>
            </w:r>
          </w:p>
        </w:tc>
      </w:tr>
      <w:tr w:rsidR="004E10C1" w:rsidRPr="0044524F" w14:paraId="3A3F0041" w14:textId="77777777">
        <w:tc>
          <w:tcPr>
            <w:tcW w:w="1384" w:type="dxa"/>
          </w:tcPr>
          <w:p w14:paraId="05F78BA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Х1-2М34РН</w:t>
            </w:r>
          </w:p>
        </w:tc>
        <w:tc>
          <w:tcPr>
            <w:tcW w:w="2410" w:type="dxa"/>
          </w:tcPr>
          <w:p w14:paraId="04B5448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Химический боевик</w:t>
            </w:r>
          </w:p>
        </w:tc>
        <w:tc>
          <w:tcPr>
            <w:tcW w:w="1559" w:type="dxa"/>
          </w:tcPr>
          <w:p w14:paraId="3912FE7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12-14 чел., грузовой</w:t>
            </w:r>
          </w:p>
        </w:tc>
        <w:tc>
          <w:tcPr>
            <w:tcW w:w="851" w:type="dxa"/>
          </w:tcPr>
          <w:p w14:paraId="28B89B4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250/3000</w:t>
            </w:r>
          </w:p>
        </w:tc>
        <w:tc>
          <w:tcPr>
            <w:tcW w:w="935" w:type="dxa"/>
          </w:tcPr>
          <w:p w14:paraId="4D2AE025"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Химгруз 2500 кг, 3 лег. пул.</w:t>
            </w:r>
          </w:p>
        </w:tc>
        <w:tc>
          <w:tcPr>
            <w:tcW w:w="907" w:type="dxa"/>
          </w:tcPr>
          <w:p w14:paraId="00E5B8F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1113" w:type="dxa"/>
          </w:tcPr>
          <w:p w14:paraId="07F6C20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81 ГУГВФ</w:t>
            </w:r>
          </w:p>
        </w:tc>
        <w:tc>
          <w:tcPr>
            <w:tcW w:w="1441" w:type="dxa"/>
          </w:tcPr>
          <w:p w14:paraId="207EC45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1934 года</w:t>
            </w:r>
          </w:p>
        </w:tc>
      </w:tr>
      <w:tr w:rsidR="004E10C1" w:rsidRPr="0044524F" w14:paraId="598A98A9" w14:textId="77777777">
        <w:tc>
          <w:tcPr>
            <w:tcW w:w="1384" w:type="dxa"/>
          </w:tcPr>
          <w:p w14:paraId="1DF99A1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ВС2-2М22</w:t>
            </w:r>
          </w:p>
        </w:tc>
        <w:tc>
          <w:tcPr>
            <w:tcW w:w="2410" w:type="dxa"/>
          </w:tcPr>
          <w:p w14:paraId="0B9A1A4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Войсковой самолет</w:t>
            </w:r>
          </w:p>
        </w:tc>
        <w:tc>
          <w:tcPr>
            <w:tcW w:w="1559" w:type="dxa"/>
          </w:tcPr>
          <w:p w14:paraId="31EE3A0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11 местный</w:t>
            </w:r>
          </w:p>
        </w:tc>
        <w:tc>
          <w:tcPr>
            <w:tcW w:w="851" w:type="dxa"/>
          </w:tcPr>
          <w:p w14:paraId="1B34250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290/3000</w:t>
            </w:r>
          </w:p>
        </w:tc>
        <w:tc>
          <w:tcPr>
            <w:tcW w:w="935" w:type="dxa"/>
          </w:tcPr>
          <w:p w14:paraId="3A7CA61A"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500 кг бомб, 4 лег. пул.</w:t>
            </w:r>
          </w:p>
        </w:tc>
        <w:tc>
          <w:tcPr>
            <w:tcW w:w="907" w:type="dxa"/>
          </w:tcPr>
          <w:p w14:paraId="5AFD0E4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1113" w:type="dxa"/>
          </w:tcPr>
          <w:p w14:paraId="3918D98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tc>
        <w:tc>
          <w:tcPr>
            <w:tcW w:w="1441" w:type="dxa"/>
          </w:tcPr>
          <w:p w14:paraId="095D40C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 года</w:t>
            </w:r>
          </w:p>
        </w:tc>
      </w:tr>
      <w:tr w:rsidR="004E10C1" w:rsidRPr="0044524F" w14:paraId="182DC6BD" w14:textId="77777777">
        <w:tc>
          <w:tcPr>
            <w:tcW w:w="1384" w:type="dxa"/>
          </w:tcPr>
          <w:p w14:paraId="350F761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П3-М49</w:t>
            </w:r>
          </w:p>
        </w:tc>
        <w:tc>
          <w:tcPr>
            <w:tcW w:w="2410" w:type="dxa"/>
          </w:tcPr>
          <w:p w14:paraId="2D32435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Переходный самолет</w:t>
            </w:r>
          </w:p>
        </w:tc>
        <w:tc>
          <w:tcPr>
            <w:tcW w:w="1559" w:type="dxa"/>
          </w:tcPr>
          <w:p w14:paraId="7C4F666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для школ ГВФ и ОСО</w:t>
            </w:r>
          </w:p>
        </w:tc>
        <w:tc>
          <w:tcPr>
            <w:tcW w:w="851" w:type="dxa"/>
          </w:tcPr>
          <w:p w14:paraId="0D17936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250/3000</w:t>
            </w:r>
          </w:p>
        </w:tc>
        <w:tc>
          <w:tcPr>
            <w:tcW w:w="935" w:type="dxa"/>
          </w:tcPr>
          <w:p w14:paraId="5C7E62C8"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120-150 кг бомб</w:t>
            </w:r>
          </w:p>
          <w:p w14:paraId="77A06B5E"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лег. пул.</w:t>
            </w:r>
          </w:p>
        </w:tc>
        <w:tc>
          <w:tcPr>
            <w:tcW w:w="907" w:type="dxa"/>
          </w:tcPr>
          <w:p w14:paraId="6043F7B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Дерево</w:t>
            </w:r>
          </w:p>
        </w:tc>
        <w:tc>
          <w:tcPr>
            <w:tcW w:w="1113" w:type="dxa"/>
          </w:tcPr>
          <w:p w14:paraId="2A844B4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ГУГВФ</w:t>
            </w:r>
          </w:p>
        </w:tc>
        <w:tc>
          <w:tcPr>
            <w:tcW w:w="1441" w:type="dxa"/>
          </w:tcPr>
          <w:p w14:paraId="3049BEE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1934 года</w:t>
            </w:r>
          </w:p>
        </w:tc>
      </w:tr>
      <w:tr w:rsidR="004E10C1" w:rsidRPr="0044524F" w14:paraId="7437A963" w14:textId="77777777">
        <w:tc>
          <w:tcPr>
            <w:tcW w:w="1384" w:type="dxa"/>
          </w:tcPr>
          <w:p w14:paraId="2F2E0F3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Убп-2м11</w:t>
            </w:r>
          </w:p>
        </w:tc>
        <w:tc>
          <w:tcPr>
            <w:tcW w:w="2410" w:type="dxa"/>
          </w:tcPr>
          <w:p w14:paraId="150965B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для боевой подготовки в тяжелых бригадах</w:t>
            </w:r>
          </w:p>
        </w:tc>
        <w:tc>
          <w:tcPr>
            <w:tcW w:w="1559" w:type="dxa"/>
          </w:tcPr>
          <w:p w14:paraId="248F65E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на 3-х пассажиров</w:t>
            </w:r>
          </w:p>
        </w:tc>
        <w:tc>
          <w:tcPr>
            <w:tcW w:w="851" w:type="dxa"/>
          </w:tcPr>
          <w:p w14:paraId="2C44717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210-230/ 0</w:t>
            </w:r>
          </w:p>
        </w:tc>
        <w:tc>
          <w:tcPr>
            <w:tcW w:w="935" w:type="dxa"/>
          </w:tcPr>
          <w:p w14:paraId="58C2687A"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100 кг бомб</w:t>
            </w:r>
          </w:p>
          <w:p w14:paraId="352F06A2"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1-2 лег. пул.</w:t>
            </w:r>
          </w:p>
        </w:tc>
        <w:tc>
          <w:tcPr>
            <w:tcW w:w="907" w:type="dxa"/>
          </w:tcPr>
          <w:p w14:paraId="681E476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Дерево</w:t>
            </w:r>
          </w:p>
        </w:tc>
        <w:tc>
          <w:tcPr>
            <w:tcW w:w="1113" w:type="dxa"/>
          </w:tcPr>
          <w:p w14:paraId="6CA6DA8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КАИ</w:t>
            </w:r>
          </w:p>
        </w:tc>
        <w:tc>
          <w:tcPr>
            <w:tcW w:w="1441" w:type="dxa"/>
          </w:tcPr>
          <w:p w14:paraId="5819E37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1934 года</w:t>
            </w:r>
          </w:p>
        </w:tc>
      </w:tr>
      <w:tr w:rsidR="004E10C1" w:rsidRPr="0044524F" w14:paraId="59F80263" w14:textId="77777777">
        <w:tc>
          <w:tcPr>
            <w:tcW w:w="1384" w:type="dxa"/>
          </w:tcPr>
          <w:p w14:paraId="166A296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У3-М48</w:t>
            </w:r>
          </w:p>
        </w:tc>
        <w:tc>
          <w:tcPr>
            <w:tcW w:w="2410" w:type="dxa"/>
          </w:tcPr>
          <w:p w14:paraId="01C3711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для боевой подготовки, для связи</w:t>
            </w:r>
          </w:p>
        </w:tc>
        <w:tc>
          <w:tcPr>
            <w:tcW w:w="1559" w:type="dxa"/>
          </w:tcPr>
          <w:p w14:paraId="41D6784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для школ. Санитарный для 2 раненых. Спортивный. Исполкомовский для 2-х пассажиров.</w:t>
            </w:r>
          </w:p>
        </w:tc>
        <w:tc>
          <w:tcPr>
            <w:tcW w:w="851" w:type="dxa"/>
          </w:tcPr>
          <w:p w14:paraId="5BD18F2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935" w:type="dxa"/>
          </w:tcPr>
          <w:p w14:paraId="116E3EC3"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45 кг</w:t>
            </w:r>
          </w:p>
          <w:p w14:paraId="4D6A8605"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лег. пул.</w:t>
            </w:r>
          </w:p>
        </w:tc>
        <w:tc>
          <w:tcPr>
            <w:tcW w:w="907" w:type="dxa"/>
          </w:tcPr>
          <w:p w14:paraId="0AA45D1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Дерево </w:t>
            </w:r>
          </w:p>
        </w:tc>
        <w:tc>
          <w:tcPr>
            <w:tcW w:w="1113" w:type="dxa"/>
          </w:tcPr>
          <w:p w14:paraId="5E93E4B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6ABA248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23</w:t>
            </w:r>
          </w:p>
        </w:tc>
        <w:tc>
          <w:tcPr>
            <w:tcW w:w="1441" w:type="dxa"/>
          </w:tcPr>
          <w:p w14:paraId="02177BE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 года</w:t>
            </w:r>
          </w:p>
        </w:tc>
      </w:tr>
    </w:tbl>
    <w:p w14:paraId="1A806AC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Доводки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417"/>
        <w:gridCol w:w="807"/>
        <w:gridCol w:w="894"/>
        <w:gridCol w:w="984"/>
        <w:gridCol w:w="1207"/>
        <w:gridCol w:w="1496"/>
      </w:tblGrid>
      <w:tr w:rsidR="004E10C1" w:rsidRPr="0044524F" w14:paraId="7AA53856" w14:textId="77777777">
        <w:tc>
          <w:tcPr>
            <w:tcW w:w="1384" w:type="dxa"/>
          </w:tcPr>
          <w:p w14:paraId="4B8D4AD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 ФРН</w:t>
            </w:r>
          </w:p>
        </w:tc>
        <w:tc>
          <w:tcPr>
            <w:tcW w:w="2410" w:type="dxa"/>
          </w:tcPr>
          <w:p w14:paraId="067C8E7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бомбардировщик</w:t>
            </w:r>
          </w:p>
        </w:tc>
        <w:tc>
          <w:tcPr>
            <w:tcW w:w="1417" w:type="dxa"/>
          </w:tcPr>
          <w:p w14:paraId="73734BB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07" w:type="dxa"/>
          </w:tcPr>
          <w:p w14:paraId="292BAFE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260/4000</w:t>
            </w:r>
          </w:p>
        </w:tc>
        <w:tc>
          <w:tcPr>
            <w:tcW w:w="894" w:type="dxa"/>
          </w:tcPr>
          <w:p w14:paraId="0C08DCDC"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41 кг</w:t>
            </w:r>
          </w:p>
          <w:p w14:paraId="4B0D9B85"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5 лег. пул.</w:t>
            </w:r>
          </w:p>
        </w:tc>
        <w:tc>
          <w:tcPr>
            <w:tcW w:w="984" w:type="dxa"/>
          </w:tcPr>
          <w:p w14:paraId="64140E9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tc>
        <w:tc>
          <w:tcPr>
            <w:tcW w:w="1207" w:type="dxa"/>
          </w:tcPr>
          <w:p w14:paraId="708179F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и завод № 22</w:t>
            </w:r>
          </w:p>
        </w:tc>
        <w:tc>
          <w:tcPr>
            <w:tcW w:w="1496" w:type="dxa"/>
          </w:tcPr>
          <w:p w14:paraId="32301BB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июля 1934 года</w:t>
            </w:r>
          </w:p>
        </w:tc>
      </w:tr>
      <w:tr w:rsidR="004E10C1" w:rsidRPr="0044524F" w14:paraId="20A10EEC" w14:textId="77777777">
        <w:tc>
          <w:tcPr>
            <w:tcW w:w="1384" w:type="dxa"/>
          </w:tcPr>
          <w:p w14:paraId="2F6F462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ТБ4-6М34 РН</w:t>
            </w:r>
          </w:p>
        </w:tc>
        <w:tc>
          <w:tcPr>
            <w:tcW w:w="2410" w:type="dxa"/>
          </w:tcPr>
          <w:p w14:paraId="5AE363B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бомбардировщик</w:t>
            </w:r>
          </w:p>
        </w:tc>
        <w:tc>
          <w:tcPr>
            <w:tcW w:w="1417" w:type="dxa"/>
          </w:tcPr>
          <w:p w14:paraId="6076497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w:t>
            </w:r>
          </w:p>
        </w:tc>
        <w:tc>
          <w:tcPr>
            <w:tcW w:w="807" w:type="dxa"/>
          </w:tcPr>
          <w:p w14:paraId="34EE159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240/4000</w:t>
            </w:r>
          </w:p>
        </w:tc>
        <w:tc>
          <w:tcPr>
            <w:tcW w:w="894" w:type="dxa"/>
          </w:tcPr>
          <w:p w14:paraId="2CBFA2F1"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10000 кг</w:t>
            </w:r>
          </w:p>
          <w:p w14:paraId="4EDAC3E7"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11 лег. пул., 2 пушки</w:t>
            </w:r>
          </w:p>
        </w:tc>
        <w:tc>
          <w:tcPr>
            <w:tcW w:w="984" w:type="dxa"/>
          </w:tcPr>
          <w:p w14:paraId="399A524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tc>
        <w:tc>
          <w:tcPr>
            <w:tcW w:w="1207" w:type="dxa"/>
          </w:tcPr>
          <w:p w14:paraId="7053541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и завод № 22</w:t>
            </w:r>
          </w:p>
        </w:tc>
        <w:tc>
          <w:tcPr>
            <w:tcW w:w="1496" w:type="dxa"/>
          </w:tcPr>
          <w:p w14:paraId="47CD0E0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1934 года</w:t>
            </w:r>
          </w:p>
        </w:tc>
      </w:tr>
      <w:tr w:rsidR="004E10C1" w:rsidRPr="0044524F" w14:paraId="1F2E6A46" w14:textId="77777777">
        <w:tc>
          <w:tcPr>
            <w:tcW w:w="1384" w:type="dxa"/>
          </w:tcPr>
          <w:p w14:paraId="5DC6336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К7-7М34 РН</w:t>
            </w:r>
          </w:p>
        </w:tc>
        <w:tc>
          <w:tcPr>
            <w:tcW w:w="2410" w:type="dxa"/>
          </w:tcPr>
          <w:p w14:paraId="17AF9F3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бомбардировщик</w:t>
            </w:r>
          </w:p>
        </w:tc>
        <w:tc>
          <w:tcPr>
            <w:tcW w:w="1417" w:type="dxa"/>
          </w:tcPr>
          <w:p w14:paraId="477BA07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w:t>
            </w:r>
          </w:p>
        </w:tc>
        <w:tc>
          <w:tcPr>
            <w:tcW w:w="807" w:type="dxa"/>
          </w:tcPr>
          <w:p w14:paraId="6CC740B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215/3000</w:t>
            </w:r>
          </w:p>
        </w:tc>
        <w:tc>
          <w:tcPr>
            <w:tcW w:w="894" w:type="dxa"/>
          </w:tcPr>
          <w:p w14:paraId="330A2CEE"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13000 кг</w:t>
            </w:r>
          </w:p>
          <w:p w14:paraId="286A83E6"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3 пушки, 13 лег. пул.</w:t>
            </w:r>
          </w:p>
        </w:tc>
        <w:tc>
          <w:tcPr>
            <w:tcW w:w="984" w:type="dxa"/>
          </w:tcPr>
          <w:p w14:paraId="1952D57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1207" w:type="dxa"/>
          </w:tcPr>
          <w:p w14:paraId="19D2FD1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tc>
        <w:tc>
          <w:tcPr>
            <w:tcW w:w="1496" w:type="dxa"/>
          </w:tcPr>
          <w:p w14:paraId="4E43EED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октября 1934 года</w:t>
            </w:r>
          </w:p>
        </w:tc>
      </w:tr>
      <w:tr w:rsidR="004E10C1" w:rsidRPr="0044524F" w14:paraId="3F741994" w14:textId="77777777">
        <w:tc>
          <w:tcPr>
            <w:tcW w:w="1384" w:type="dxa"/>
          </w:tcPr>
          <w:p w14:paraId="52AFD3C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ДБ1-М34Р</w:t>
            </w:r>
          </w:p>
        </w:tc>
        <w:tc>
          <w:tcPr>
            <w:tcW w:w="2410" w:type="dxa"/>
          </w:tcPr>
          <w:p w14:paraId="3E5D272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Дальний бомбардировщик (военный вариант самолета РД)</w:t>
            </w:r>
          </w:p>
        </w:tc>
        <w:tc>
          <w:tcPr>
            <w:tcW w:w="1417" w:type="dxa"/>
          </w:tcPr>
          <w:p w14:paraId="16B4E30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07" w:type="dxa"/>
          </w:tcPr>
          <w:p w14:paraId="3476832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200/3000</w:t>
            </w:r>
          </w:p>
        </w:tc>
        <w:tc>
          <w:tcPr>
            <w:tcW w:w="894" w:type="dxa"/>
          </w:tcPr>
          <w:p w14:paraId="41920918"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 xml:space="preserve">2 лег. пул. </w:t>
            </w:r>
          </w:p>
        </w:tc>
        <w:tc>
          <w:tcPr>
            <w:tcW w:w="984" w:type="dxa"/>
          </w:tcPr>
          <w:p w14:paraId="1A73B1B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tc>
        <w:tc>
          <w:tcPr>
            <w:tcW w:w="1207" w:type="dxa"/>
          </w:tcPr>
          <w:p w14:paraId="637584B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496" w:type="dxa"/>
          </w:tcPr>
          <w:p w14:paraId="2E70FBA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1934 года</w:t>
            </w:r>
          </w:p>
        </w:tc>
      </w:tr>
      <w:tr w:rsidR="004E10C1" w:rsidRPr="0044524F" w14:paraId="1E716356" w14:textId="77777777">
        <w:tc>
          <w:tcPr>
            <w:tcW w:w="1384" w:type="dxa"/>
          </w:tcPr>
          <w:p w14:paraId="640614A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Бристоль Меркур</w:t>
            </w:r>
          </w:p>
        </w:tc>
        <w:tc>
          <w:tcPr>
            <w:tcW w:w="2410" w:type="dxa"/>
          </w:tcPr>
          <w:p w14:paraId="585385B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w:t>
            </w:r>
          </w:p>
        </w:tc>
        <w:tc>
          <w:tcPr>
            <w:tcW w:w="1417" w:type="dxa"/>
          </w:tcPr>
          <w:p w14:paraId="173C992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Дублер строится под мотор РЦ</w:t>
            </w:r>
          </w:p>
        </w:tc>
        <w:tc>
          <w:tcPr>
            <w:tcW w:w="807" w:type="dxa"/>
          </w:tcPr>
          <w:p w14:paraId="0ACCAD2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375/5000</w:t>
            </w:r>
          </w:p>
        </w:tc>
        <w:tc>
          <w:tcPr>
            <w:tcW w:w="894" w:type="dxa"/>
          </w:tcPr>
          <w:p w14:paraId="691AD920"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пушки АПК</w:t>
            </w:r>
          </w:p>
        </w:tc>
        <w:tc>
          <w:tcPr>
            <w:tcW w:w="984" w:type="dxa"/>
          </w:tcPr>
          <w:p w14:paraId="4608906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tc>
        <w:tc>
          <w:tcPr>
            <w:tcW w:w="1207" w:type="dxa"/>
          </w:tcPr>
          <w:p w14:paraId="5199330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496" w:type="dxa"/>
          </w:tcPr>
          <w:p w14:paraId="7D46C14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r>
      <w:tr w:rsidR="004E10C1" w:rsidRPr="0044524F" w14:paraId="0436C29D" w14:textId="77777777">
        <w:tc>
          <w:tcPr>
            <w:tcW w:w="1384" w:type="dxa"/>
          </w:tcPr>
          <w:p w14:paraId="7EFCAA0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И15-РЦ</w:t>
            </w:r>
          </w:p>
        </w:tc>
        <w:tc>
          <w:tcPr>
            <w:tcW w:w="2410" w:type="dxa"/>
          </w:tcPr>
          <w:p w14:paraId="3E142CA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истребитель</w:t>
            </w:r>
          </w:p>
        </w:tc>
        <w:tc>
          <w:tcPr>
            <w:tcW w:w="1417" w:type="dxa"/>
          </w:tcPr>
          <w:p w14:paraId="2701050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07" w:type="dxa"/>
          </w:tcPr>
          <w:p w14:paraId="6D2A2CD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340/5000</w:t>
            </w:r>
          </w:p>
        </w:tc>
        <w:tc>
          <w:tcPr>
            <w:tcW w:w="894" w:type="dxa"/>
          </w:tcPr>
          <w:p w14:paraId="06070B67"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 лег. пул.</w:t>
            </w:r>
          </w:p>
        </w:tc>
        <w:tc>
          <w:tcPr>
            <w:tcW w:w="984" w:type="dxa"/>
          </w:tcPr>
          <w:p w14:paraId="574D130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p w14:paraId="42E0F97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Дерево</w:t>
            </w:r>
          </w:p>
        </w:tc>
        <w:tc>
          <w:tcPr>
            <w:tcW w:w="1207" w:type="dxa"/>
          </w:tcPr>
          <w:p w14:paraId="4BCF545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6BE2C4E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96" w:type="dxa"/>
          </w:tcPr>
          <w:p w14:paraId="75A98A9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года</w:t>
            </w:r>
          </w:p>
        </w:tc>
      </w:tr>
      <w:tr w:rsidR="004E10C1" w:rsidRPr="0044524F" w14:paraId="541E229F" w14:textId="77777777">
        <w:tc>
          <w:tcPr>
            <w:tcW w:w="1384" w:type="dxa"/>
          </w:tcPr>
          <w:p w14:paraId="43D4A8F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ИП1-М22</w:t>
            </w:r>
          </w:p>
        </w:tc>
        <w:tc>
          <w:tcPr>
            <w:tcW w:w="2410" w:type="dxa"/>
          </w:tcPr>
          <w:p w14:paraId="50632B2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Одноместный пушечный истребитель</w:t>
            </w:r>
          </w:p>
        </w:tc>
        <w:tc>
          <w:tcPr>
            <w:tcW w:w="1417" w:type="dxa"/>
          </w:tcPr>
          <w:p w14:paraId="077C4B9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07" w:type="dxa"/>
          </w:tcPr>
          <w:p w14:paraId="466BDAE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894" w:type="dxa"/>
          </w:tcPr>
          <w:p w14:paraId="32BAD3D3"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пушки АПК</w:t>
            </w:r>
          </w:p>
        </w:tc>
        <w:tc>
          <w:tcPr>
            <w:tcW w:w="984" w:type="dxa"/>
          </w:tcPr>
          <w:p w14:paraId="445D06B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p w14:paraId="3FD6814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tc>
        <w:tc>
          <w:tcPr>
            <w:tcW w:w="1207" w:type="dxa"/>
          </w:tcPr>
          <w:p w14:paraId="232962F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05C795F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96" w:type="dxa"/>
          </w:tcPr>
          <w:p w14:paraId="54D03F6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 года</w:t>
            </w:r>
          </w:p>
        </w:tc>
      </w:tr>
      <w:tr w:rsidR="004E10C1" w:rsidRPr="0044524F" w14:paraId="6C045C0D" w14:textId="77777777">
        <w:tc>
          <w:tcPr>
            <w:tcW w:w="1384" w:type="dxa"/>
          </w:tcPr>
          <w:p w14:paraId="2323086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МИ3-2М34Н</w:t>
            </w:r>
          </w:p>
        </w:tc>
        <w:tc>
          <w:tcPr>
            <w:tcW w:w="2410" w:type="dxa"/>
          </w:tcPr>
          <w:p w14:paraId="12070F3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Многоместный истребитель</w:t>
            </w:r>
          </w:p>
        </w:tc>
        <w:tc>
          <w:tcPr>
            <w:tcW w:w="1417" w:type="dxa"/>
          </w:tcPr>
          <w:p w14:paraId="33DEC39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МИ3-2М34 представл. на гос. испытания к 1 января 1934 года</w:t>
            </w:r>
          </w:p>
        </w:tc>
        <w:tc>
          <w:tcPr>
            <w:tcW w:w="807" w:type="dxa"/>
          </w:tcPr>
          <w:p w14:paraId="040223D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300/5000</w:t>
            </w:r>
          </w:p>
        </w:tc>
        <w:tc>
          <w:tcPr>
            <w:tcW w:w="894" w:type="dxa"/>
          </w:tcPr>
          <w:p w14:paraId="6125BA7B"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Лег. и тяж. пул.</w:t>
            </w:r>
          </w:p>
        </w:tc>
        <w:tc>
          <w:tcPr>
            <w:tcW w:w="984" w:type="dxa"/>
          </w:tcPr>
          <w:p w14:paraId="7F6FF68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Дюраль</w:t>
            </w:r>
          </w:p>
        </w:tc>
        <w:tc>
          <w:tcPr>
            <w:tcW w:w="1207" w:type="dxa"/>
          </w:tcPr>
          <w:p w14:paraId="055227F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496" w:type="dxa"/>
          </w:tcPr>
          <w:p w14:paraId="3BD4C13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 года</w:t>
            </w:r>
          </w:p>
        </w:tc>
      </w:tr>
      <w:tr w:rsidR="004E10C1" w:rsidRPr="0044524F" w14:paraId="5A364AFD" w14:textId="77777777">
        <w:tc>
          <w:tcPr>
            <w:tcW w:w="1384" w:type="dxa"/>
          </w:tcPr>
          <w:p w14:paraId="7E4C441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ЛР-М34 Н</w:t>
            </w:r>
          </w:p>
        </w:tc>
        <w:tc>
          <w:tcPr>
            <w:tcW w:w="2410" w:type="dxa"/>
          </w:tcPr>
          <w:p w14:paraId="4EDD6A2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разведчик</w:t>
            </w:r>
          </w:p>
        </w:tc>
        <w:tc>
          <w:tcPr>
            <w:tcW w:w="1417" w:type="dxa"/>
          </w:tcPr>
          <w:p w14:paraId="1F3DD90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ЛР-М34 представляется на госисп. 15 декабря 1933 года.</w:t>
            </w:r>
          </w:p>
        </w:tc>
        <w:tc>
          <w:tcPr>
            <w:tcW w:w="807" w:type="dxa"/>
          </w:tcPr>
          <w:p w14:paraId="22BC5F6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300/4000</w:t>
            </w:r>
          </w:p>
        </w:tc>
        <w:tc>
          <w:tcPr>
            <w:tcW w:w="894" w:type="dxa"/>
          </w:tcPr>
          <w:p w14:paraId="2FA4B52E"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лег. пул.</w:t>
            </w:r>
          </w:p>
        </w:tc>
        <w:tc>
          <w:tcPr>
            <w:tcW w:w="984" w:type="dxa"/>
          </w:tcPr>
          <w:p w14:paraId="5CC7797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Сталь</w:t>
            </w:r>
          </w:p>
          <w:p w14:paraId="6B8C405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Дерево</w:t>
            </w:r>
          </w:p>
        </w:tc>
        <w:tc>
          <w:tcPr>
            <w:tcW w:w="1207" w:type="dxa"/>
          </w:tcPr>
          <w:p w14:paraId="7E8E4A6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33CA80E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496" w:type="dxa"/>
          </w:tcPr>
          <w:p w14:paraId="7AC106F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 года</w:t>
            </w:r>
          </w:p>
        </w:tc>
      </w:tr>
      <w:tr w:rsidR="004E10C1" w:rsidRPr="0044524F" w14:paraId="1F979312" w14:textId="77777777">
        <w:tc>
          <w:tcPr>
            <w:tcW w:w="1384" w:type="dxa"/>
          </w:tcPr>
          <w:p w14:paraId="6FE7AA8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ЛБ-М22</w:t>
            </w:r>
          </w:p>
        </w:tc>
        <w:tc>
          <w:tcPr>
            <w:tcW w:w="2410" w:type="dxa"/>
          </w:tcPr>
          <w:p w14:paraId="2586802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бомбардировщик (военный вариант ХАИ)</w:t>
            </w:r>
          </w:p>
        </w:tc>
        <w:tc>
          <w:tcPr>
            <w:tcW w:w="1417" w:type="dxa"/>
          </w:tcPr>
          <w:p w14:paraId="33EEE9C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07" w:type="dxa"/>
          </w:tcPr>
          <w:p w14:paraId="6F8B451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c>
          <w:tcPr>
            <w:tcW w:w="894" w:type="dxa"/>
          </w:tcPr>
          <w:p w14:paraId="4CE58BD8"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400 кг</w:t>
            </w:r>
          </w:p>
          <w:p w14:paraId="1D32C240"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лег. пул.</w:t>
            </w:r>
          </w:p>
        </w:tc>
        <w:tc>
          <w:tcPr>
            <w:tcW w:w="984" w:type="dxa"/>
          </w:tcPr>
          <w:p w14:paraId="3F52D07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Дерево</w:t>
            </w:r>
          </w:p>
        </w:tc>
        <w:tc>
          <w:tcPr>
            <w:tcW w:w="1207" w:type="dxa"/>
          </w:tcPr>
          <w:p w14:paraId="671530F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w:t>
            </w:r>
          </w:p>
        </w:tc>
        <w:tc>
          <w:tcPr>
            <w:tcW w:w="1496" w:type="dxa"/>
          </w:tcPr>
          <w:p w14:paraId="330345C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марта 1934 года</w:t>
            </w:r>
          </w:p>
        </w:tc>
      </w:tr>
    </w:tbl>
    <w:p w14:paraId="14F1D57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Винтовые аппараты</w:t>
      </w:r>
    </w:p>
    <w:p w14:paraId="1C97B58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Особых форм</w:t>
      </w:r>
    </w:p>
    <w:p w14:paraId="031B36A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168"/>
        <w:gridCol w:w="798"/>
        <w:gridCol w:w="798"/>
        <w:gridCol w:w="798"/>
        <w:gridCol w:w="1541"/>
        <w:gridCol w:w="1701"/>
      </w:tblGrid>
      <w:tr w:rsidR="004E10C1" w:rsidRPr="0044524F" w14:paraId="29189B03" w14:textId="77777777">
        <w:tc>
          <w:tcPr>
            <w:tcW w:w="1384" w:type="dxa"/>
          </w:tcPr>
          <w:p w14:paraId="460CC39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С1-М11</w:t>
            </w:r>
          </w:p>
        </w:tc>
        <w:tc>
          <w:tcPr>
            <w:tcW w:w="2410" w:type="dxa"/>
          </w:tcPr>
          <w:p w14:paraId="72B85BA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связи сопровождения</w:t>
            </w:r>
          </w:p>
        </w:tc>
        <w:tc>
          <w:tcPr>
            <w:tcW w:w="1168" w:type="dxa"/>
          </w:tcPr>
          <w:p w14:paraId="25A1512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туризма. Исполкомовский.</w:t>
            </w:r>
          </w:p>
        </w:tc>
        <w:tc>
          <w:tcPr>
            <w:tcW w:w="798" w:type="dxa"/>
          </w:tcPr>
          <w:p w14:paraId="38B2978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w:t>
            </w:r>
          </w:p>
        </w:tc>
        <w:tc>
          <w:tcPr>
            <w:tcW w:w="798" w:type="dxa"/>
          </w:tcPr>
          <w:p w14:paraId="366C4B38"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1 лег. пул.</w:t>
            </w:r>
          </w:p>
        </w:tc>
        <w:tc>
          <w:tcPr>
            <w:tcW w:w="798" w:type="dxa"/>
          </w:tcPr>
          <w:p w14:paraId="738E851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Смешан.</w:t>
            </w:r>
          </w:p>
        </w:tc>
        <w:tc>
          <w:tcPr>
            <w:tcW w:w="1541" w:type="dxa"/>
          </w:tcPr>
          <w:p w14:paraId="3D95F80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ООК ЦАГИ</w:t>
            </w:r>
          </w:p>
        </w:tc>
        <w:tc>
          <w:tcPr>
            <w:tcW w:w="1701" w:type="dxa"/>
          </w:tcPr>
          <w:p w14:paraId="3D59623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января 1934 года</w:t>
            </w:r>
          </w:p>
        </w:tc>
      </w:tr>
      <w:tr w:rsidR="004E10C1" w:rsidRPr="0044524F" w14:paraId="0C2B7121" w14:textId="77777777">
        <w:tc>
          <w:tcPr>
            <w:tcW w:w="1384" w:type="dxa"/>
          </w:tcPr>
          <w:p w14:paraId="2FFF982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Р1-М22</w:t>
            </w:r>
          </w:p>
        </w:tc>
        <w:tc>
          <w:tcPr>
            <w:tcW w:w="2410" w:type="dxa"/>
          </w:tcPr>
          <w:p w14:paraId="7B7E119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w:t>
            </w:r>
          </w:p>
        </w:tc>
        <w:tc>
          <w:tcPr>
            <w:tcW w:w="1168" w:type="dxa"/>
          </w:tcPr>
          <w:p w14:paraId="2E76023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798" w:type="dxa"/>
          </w:tcPr>
          <w:p w14:paraId="003F8D3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215/0</w:t>
            </w:r>
          </w:p>
        </w:tc>
        <w:tc>
          <w:tcPr>
            <w:tcW w:w="798" w:type="dxa"/>
          </w:tcPr>
          <w:p w14:paraId="21182D6D"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лег. пул.</w:t>
            </w:r>
          </w:p>
        </w:tc>
        <w:tc>
          <w:tcPr>
            <w:tcW w:w="798" w:type="dxa"/>
          </w:tcPr>
          <w:p w14:paraId="379370E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Смешан.</w:t>
            </w:r>
          </w:p>
        </w:tc>
        <w:tc>
          <w:tcPr>
            <w:tcW w:w="1541" w:type="dxa"/>
          </w:tcPr>
          <w:p w14:paraId="2E5F795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ООК ЦАГИ</w:t>
            </w:r>
          </w:p>
        </w:tc>
        <w:tc>
          <w:tcPr>
            <w:tcW w:w="1701" w:type="dxa"/>
          </w:tcPr>
          <w:p w14:paraId="1FBF625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февраля 1934 года</w:t>
            </w:r>
          </w:p>
        </w:tc>
      </w:tr>
    </w:tbl>
    <w:p w14:paraId="799FBF3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224"/>
        <w:gridCol w:w="836"/>
        <w:gridCol w:w="836"/>
        <w:gridCol w:w="836"/>
        <w:gridCol w:w="1513"/>
        <w:gridCol w:w="1558"/>
      </w:tblGrid>
      <w:tr w:rsidR="004E10C1" w:rsidRPr="0044524F" w14:paraId="43E62931" w14:textId="77777777">
        <w:tc>
          <w:tcPr>
            <w:tcW w:w="1384" w:type="dxa"/>
          </w:tcPr>
          <w:p w14:paraId="0076FAE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с управляемой головкой ротора</w:t>
            </w:r>
          </w:p>
        </w:tc>
        <w:tc>
          <w:tcPr>
            <w:tcW w:w="2410" w:type="dxa"/>
          </w:tcPr>
          <w:p w14:paraId="6F84D8B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эксперимента – для выяснения возможности отказа от крыльев и оперения</w:t>
            </w:r>
          </w:p>
        </w:tc>
        <w:tc>
          <w:tcPr>
            <w:tcW w:w="1224" w:type="dxa"/>
          </w:tcPr>
          <w:p w14:paraId="567AF26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6" w:type="dxa"/>
          </w:tcPr>
          <w:p w14:paraId="45B1F31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6" w:type="dxa"/>
          </w:tcPr>
          <w:p w14:paraId="56C8AB5A" w14:textId="77777777" w:rsidR="00570C39" w:rsidRPr="0044524F" w:rsidRDefault="00570C39" w:rsidP="009654CF">
            <w:pPr>
              <w:pStyle w:val="31"/>
              <w:widowControl/>
              <w:tabs>
                <w:tab w:val="left" w:pos="11199"/>
              </w:tabs>
              <w:jc w:val="both"/>
              <w:rPr>
                <w:color w:val="000000" w:themeColor="text1"/>
              </w:rPr>
            </w:pPr>
          </w:p>
        </w:tc>
        <w:tc>
          <w:tcPr>
            <w:tcW w:w="836" w:type="dxa"/>
          </w:tcPr>
          <w:p w14:paraId="6B62734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513" w:type="dxa"/>
          </w:tcPr>
          <w:p w14:paraId="3AED9E5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ООК ЦАГИ</w:t>
            </w:r>
          </w:p>
        </w:tc>
        <w:tc>
          <w:tcPr>
            <w:tcW w:w="1558" w:type="dxa"/>
          </w:tcPr>
          <w:p w14:paraId="48DF91B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июня 1934 года</w:t>
            </w:r>
          </w:p>
        </w:tc>
      </w:tr>
      <w:tr w:rsidR="004E10C1" w:rsidRPr="0044524F" w14:paraId="58C61C79" w14:textId="77777777">
        <w:tc>
          <w:tcPr>
            <w:tcW w:w="1384" w:type="dxa"/>
          </w:tcPr>
          <w:p w14:paraId="6FC7257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 И1-РЦ</w:t>
            </w:r>
          </w:p>
        </w:tc>
        <w:tc>
          <w:tcPr>
            <w:tcW w:w="2410" w:type="dxa"/>
          </w:tcPr>
          <w:p w14:paraId="45F589A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 Одноместный истребитель с 2-х лопастным ротором и управляемой головкой ротора</w:t>
            </w:r>
          </w:p>
        </w:tc>
        <w:tc>
          <w:tcPr>
            <w:tcW w:w="1224" w:type="dxa"/>
          </w:tcPr>
          <w:p w14:paraId="77AE4DF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6" w:type="dxa"/>
          </w:tcPr>
          <w:p w14:paraId="74F2D4F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350/3000</w:t>
            </w:r>
          </w:p>
        </w:tc>
        <w:tc>
          <w:tcPr>
            <w:tcW w:w="836" w:type="dxa"/>
          </w:tcPr>
          <w:p w14:paraId="22E059CD" w14:textId="77777777" w:rsidR="00570C39" w:rsidRPr="0044524F" w:rsidRDefault="00570C39" w:rsidP="009654CF">
            <w:pPr>
              <w:pStyle w:val="31"/>
              <w:widowControl/>
              <w:tabs>
                <w:tab w:val="left" w:pos="11199"/>
              </w:tabs>
              <w:jc w:val="both"/>
              <w:rPr>
                <w:color w:val="000000" w:themeColor="text1"/>
              </w:rPr>
            </w:pPr>
            <w:r w:rsidRPr="0044524F">
              <w:rPr>
                <w:color w:val="000000" w:themeColor="text1"/>
              </w:rPr>
              <w:t>2 пул.</w:t>
            </w:r>
          </w:p>
        </w:tc>
        <w:tc>
          <w:tcPr>
            <w:tcW w:w="836" w:type="dxa"/>
          </w:tcPr>
          <w:p w14:paraId="13E1DA2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513" w:type="dxa"/>
          </w:tcPr>
          <w:p w14:paraId="5A79D07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ООК ЦАГИ</w:t>
            </w:r>
          </w:p>
        </w:tc>
        <w:tc>
          <w:tcPr>
            <w:tcW w:w="1558" w:type="dxa"/>
          </w:tcPr>
          <w:p w14:paraId="0E406DE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мая 1935 года</w:t>
            </w:r>
          </w:p>
        </w:tc>
      </w:tr>
      <w:tr w:rsidR="004E10C1" w:rsidRPr="0044524F" w14:paraId="4DE4AC78" w14:textId="77777777">
        <w:tc>
          <w:tcPr>
            <w:tcW w:w="1384" w:type="dxa"/>
          </w:tcPr>
          <w:p w14:paraId="433F461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Геликоптер с Кертис Конкверор.</w:t>
            </w:r>
          </w:p>
        </w:tc>
        <w:tc>
          <w:tcPr>
            <w:tcW w:w="2410" w:type="dxa"/>
          </w:tcPr>
          <w:p w14:paraId="6D6FDA8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Переход к более мощному и совершенному геликоптеру</w:t>
            </w:r>
          </w:p>
        </w:tc>
        <w:tc>
          <w:tcPr>
            <w:tcW w:w="1224" w:type="dxa"/>
          </w:tcPr>
          <w:p w14:paraId="771F83D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6" w:type="dxa"/>
          </w:tcPr>
          <w:p w14:paraId="0F12F49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6" w:type="dxa"/>
          </w:tcPr>
          <w:p w14:paraId="653DA143" w14:textId="77777777" w:rsidR="00570C39" w:rsidRPr="0044524F" w:rsidRDefault="00570C39" w:rsidP="009654CF">
            <w:pPr>
              <w:pStyle w:val="31"/>
              <w:widowControl/>
              <w:tabs>
                <w:tab w:val="left" w:pos="11199"/>
              </w:tabs>
              <w:jc w:val="both"/>
              <w:rPr>
                <w:color w:val="000000" w:themeColor="text1"/>
              </w:rPr>
            </w:pPr>
          </w:p>
        </w:tc>
        <w:tc>
          <w:tcPr>
            <w:tcW w:w="836" w:type="dxa"/>
          </w:tcPr>
          <w:p w14:paraId="08607CD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513" w:type="dxa"/>
          </w:tcPr>
          <w:p w14:paraId="78A1A3A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ООК ЦАГИ</w:t>
            </w:r>
          </w:p>
        </w:tc>
        <w:tc>
          <w:tcPr>
            <w:tcW w:w="1558" w:type="dxa"/>
          </w:tcPr>
          <w:p w14:paraId="6C1071A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апреля 1935 года</w:t>
            </w:r>
          </w:p>
        </w:tc>
      </w:tr>
      <w:tr w:rsidR="004E10C1" w:rsidRPr="0044524F" w14:paraId="5090D58B" w14:textId="77777777">
        <w:tc>
          <w:tcPr>
            <w:tcW w:w="1384" w:type="dxa"/>
          </w:tcPr>
          <w:p w14:paraId="58B9563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Летательный аппарат Х</w:t>
            </w:r>
          </w:p>
        </w:tc>
        <w:tc>
          <w:tcPr>
            <w:tcW w:w="2410" w:type="dxa"/>
          </w:tcPr>
          <w:p w14:paraId="592DD8B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Создание летательного аппарата с вращающимися крыльями</w:t>
            </w:r>
          </w:p>
        </w:tc>
        <w:tc>
          <w:tcPr>
            <w:tcW w:w="1224" w:type="dxa"/>
          </w:tcPr>
          <w:p w14:paraId="4EDFE90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6" w:type="dxa"/>
          </w:tcPr>
          <w:p w14:paraId="7EFB97B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6" w:type="dxa"/>
          </w:tcPr>
          <w:p w14:paraId="14F94AF0" w14:textId="77777777" w:rsidR="00570C39" w:rsidRPr="0044524F" w:rsidRDefault="00570C39" w:rsidP="009654CF">
            <w:pPr>
              <w:pStyle w:val="31"/>
              <w:widowControl/>
              <w:tabs>
                <w:tab w:val="left" w:pos="11199"/>
              </w:tabs>
              <w:jc w:val="both"/>
              <w:rPr>
                <w:color w:val="000000" w:themeColor="text1"/>
              </w:rPr>
            </w:pPr>
          </w:p>
        </w:tc>
        <w:tc>
          <w:tcPr>
            <w:tcW w:w="836" w:type="dxa"/>
          </w:tcPr>
          <w:p w14:paraId="3ABC96D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513" w:type="dxa"/>
          </w:tcPr>
          <w:p w14:paraId="6FF415D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01F6C17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558" w:type="dxa"/>
          </w:tcPr>
          <w:p w14:paraId="7269669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сентября 1934 года</w:t>
            </w:r>
          </w:p>
        </w:tc>
      </w:tr>
    </w:tbl>
    <w:p w14:paraId="5F5D12A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Экспериментальные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384"/>
        <w:gridCol w:w="2439"/>
        <w:gridCol w:w="1218"/>
        <w:gridCol w:w="833"/>
        <w:gridCol w:w="833"/>
        <w:gridCol w:w="833"/>
        <w:gridCol w:w="1499"/>
        <w:gridCol w:w="1560"/>
      </w:tblGrid>
      <w:tr w:rsidR="004E10C1" w:rsidRPr="0044524F" w14:paraId="21408362" w14:textId="77777777">
        <w:tc>
          <w:tcPr>
            <w:tcW w:w="1384" w:type="dxa"/>
          </w:tcPr>
          <w:p w14:paraId="10A0A23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Стратосферн.</w:t>
            </w:r>
          </w:p>
        </w:tc>
        <w:tc>
          <w:tcPr>
            <w:tcW w:w="2439" w:type="dxa"/>
          </w:tcPr>
          <w:p w14:paraId="7D7C489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Установление мирового рекорда высоты. Изучение стратосферы.</w:t>
            </w:r>
          </w:p>
        </w:tc>
        <w:tc>
          <w:tcPr>
            <w:tcW w:w="1218" w:type="dxa"/>
          </w:tcPr>
          <w:p w14:paraId="23F9813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35DE722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31CDCF82" w14:textId="77777777" w:rsidR="00570C39" w:rsidRPr="0044524F" w:rsidRDefault="00570C39" w:rsidP="009654CF">
            <w:pPr>
              <w:pStyle w:val="31"/>
              <w:widowControl/>
              <w:tabs>
                <w:tab w:val="left" w:pos="11199"/>
              </w:tabs>
              <w:jc w:val="both"/>
              <w:rPr>
                <w:color w:val="000000" w:themeColor="text1"/>
              </w:rPr>
            </w:pPr>
          </w:p>
        </w:tc>
        <w:tc>
          <w:tcPr>
            <w:tcW w:w="833" w:type="dxa"/>
          </w:tcPr>
          <w:p w14:paraId="3F9E6E7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499" w:type="dxa"/>
          </w:tcPr>
          <w:p w14:paraId="3BFFB214"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5B5F789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560" w:type="dxa"/>
          </w:tcPr>
          <w:p w14:paraId="78A3069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r>
      <w:tr w:rsidR="004E10C1" w:rsidRPr="0044524F" w14:paraId="2506D96B" w14:textId="77777777">
        <w:tc>
          <w:tcPr>
            <w:tcW w:w="1384" w:type="dxa"/>
          </w:tcPr>
          <w:p w14:paraId="42FD06D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разрезными крыльями</w:t>
            </w:r>
          </w:p>
        </w:tc>
        <w:tc>
          <w:tcPr>
            <w:tcW w:w="2439" w:type="dxa"/>
          </w:tcPr>
          <w:p w14:paraId="7FFB4CF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Методическое изучение разрезных крыльев и различных типов управления самолетом на 2-х самолетах с мотором М11, снабженных несколькими вариантами крыльев</w:t>
            </w:r>
          </w:p>
        </w:tc>
        <w:tc>
          <w:tcPr>
            <w:tcW w:w="1218" w:type="dxa"/>
          </w:tcPr>
          <w:p w14:paraId="66C3FBF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07A7008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2CCC69A1" w14:textId="77777777" w:rsidR="00570C39" w:rsidRPr="0044524F" w:rsidRDefault="00570C39" w:rsidP="009654CF">
            <w:pPr>
              <w:pStyle w:val="31"/>
              <w:widowControl/>
              <w:tabs>
                <w:tab w:val="left" w:pos="11199"/>
              </w:tabs>
              <w:jc w:val="both"/>
              <w:rPr>
                <w:color w:val="000000" w:themeColor="text1"/>
              </w:rPr>
            </w:pPr>
          </w:p>
        </w:tc>
        <w:tc>
          <w:tcPr>
            <w:tcW w:w="833" w:type="dxa"/>
          </w:tcPr>
          <w:p w14:paraId="38FD018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499" w:type="dxa"/>
          </w:tcPr>
          <w:p w14:paraId="5D2F9EA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06E6895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560" w:type="dxa"/>
          </w:tcPr>
          <w:p w14:paraId="552FC78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r>
      <w:tr w:rsidR="004E10C1" w:rsidRPr="0044524F" w14:paraId="1800E125" w14:textId="77777777">
        <w:tc>
          <w:tcPr>
            <w:tcW w:w="1384" w:type="dxa"/>
          </w:tcPr>
          <w:p w14:paraId="12CFA10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раздвижными крыльями</w:t>
            </w:r>
          </w:p>
        </w:tc>
        <w:tc>
          <w:tcPr>
            <w:tcW w:w="2439" w:type="dxa"/>
          </w:tcPr>
          <w:p w14:paraId="426099F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Изучение уменьшения посадочной скорости путем увеличения площади крыла</w:t>
            </w:r>
          </w:p>
        </w:tc>
        <w:tc>
          <w:tcPr>
            <w:tcW w:w="1218" w:type="dxa"/>
          </w:tcPr>
          <w:p w14:paraId="0EFFD3E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077114B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18349B7B" w14:textId="77777777" w:rsidR="00570C39" w:rsidRPr="0044524F" w:rsidRDefault="00570C39" w:rsidP="009654CF">
            <w:pPr>
              <w:pStyle w:val="31"/>
              <w:widowControl/>
              <w:tabs>
                <w:tab w:val="left" w:pos="11199"/>
              </w:tabs>
              <w:jc w:val="both"/>
              <w:rPr>
                <w:color w:val="000000" w:themeColor="text1"/>
              </w:rPr>
            </w:pPr>
          </w:p>
        </w:tc>
        <w:tc>
          <w:tcPr>
            <w:tcW w:w="833" w:type="dxa"/>
          </w:tcPr>
          <w:p w14:paraId="353D7FD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499" w:type="dxa"/>
          </w:tcPr>
          <w:p w14:paraId="135E6A3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НИАИ ГУГВФ</w:t>
            </w:r>
          </w:p>
        </w:tc>
        <w:tc>
          <w:tcPr>
            <w:tcW w:w="1560" w:type="dxa"/>
          </w:tcPr>
          <w:p w14:paraId="281DBDA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r>
      <w:tr w:rsidR="004E10C1" w:rsidRPr="0044524F" w14:paraId="3F7E03C7" w14:textId="77777777">
        <w:tc>
          <w:tcPr>
            <w:tcW w:w="1384" w:type="dxa"/>
          </w:tcPr>
          <w:p w14:paraId="74CA147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Летающее крыло – 2М11</w:t>
            </w:r>
          </w:p>
        </w:tc>
        <w:tc>
          <w:tcPr>
            <w:tcW w:w="2439" w:type="dxa"/>
          </w:tcPr>
          <w:p w14:paraId="07810DA1"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Переход к многоместным летающим крыльям</w:t>
            </w:r>
          </w:p>
        </w:tc>
        <w:tc>
          <w:tcPr>
            <w:tcW w:w="1218" w:type="dxa"/>
          </w:tcPr>
          <w:p w14:paraId="7CF483A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4B6C417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13174B85" w14:textId="77777777" w:rsidR="00570C39" w:rsidRPr="0044524F" w:rsidRDefault="00570C39" w:rsidP="009654CF">
            <w:pPr>
              <w:pStyle w:val="31"/>
              <w:widowControl/>
              <w:tabs>
                <w:tab w:val="left" w:pos="11199"/>
              </w:tabs>
              <w:jc w:val="both"/>
              <w:rPr>
                <w:color w:val="000000" w:themeColor="text1"/>
              </w:rPr>
            </w:pPr>
          </w:p>
        </w:tc>
        <w:tc>
          <w:tcPr>
            <w:tcW w:w="833" w:type="dxa"/>
          </w:tcPr>
          <w:p w14:paraId="7FB8DB0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499" w:type="dxa"/>
          </w:tcPr>
          <w:p w14:paraId="71B7476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p w14:paraId="1F3A11C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39</w:t>
            </w:r>
          </w:p>
        </w:tc>
        <w:tc>
          <w:tcPr>
            <w:tcW w:w="1560" w:type="dxa"/>
          </w:tcPr>
          <w:p w14:paraId="11C7F7E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r>
      <w:tr w:rsidR="004E10C1" w:rsidRPr="0044524F" w14:paraId="03C6C23B" w14:textId="77777777">
        <w:tc>
          <w:tcPr>
            <w:tcW w:w="1384" w:type="dxa"/>
          </w:tcPr>
          <w:p w14:paraId="6063BF3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Летающее крыло</w:t>
            </w:r>
          </w:p>
        </w:tc>
        <w:tc>
          <w:tcPr>
            <w:tcW w:w="2439" w:type="dxa"/>
          </w:tcPr>
          <w:p w14:paraId="6DAC47B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Освоение ЦАГИ схемы летающего крыла</w:t>
            </w:r>
          </w:p>
        </w:tc>
        <w:tc>
          <w:tcPr>
            <w:tcW w:w="1218" w:type="dxa"/>
          </w:tcPr>
          <w:p w14:paraId="05495A42"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6A1850C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41E06C24" w14:textId="77777777" w:rsidR="00570C39" w:rsidRPr="0044524F" w:rsidRDefault="00570C39" w:rsidP="009654CF">
            <w:pPr>
              <w:pStyle w:val="31"/>
              <w:widowControl/>
              <w:tabs>
                <w:tab w:val="left" w:pos="11199"/>
              </w:tabs>
              <w:jc w:val="both"/>
              <w:rPr>
                <w:color w:val="000000" w:themeColor="text1"/>
              </w:rPr>
            </w:pPr>
          </w:p>
        </w:tc>
        <w:tc>
          <w:tcPr>
            <w:tcW w:w="833" w:type="dxa"/>
          </w:tcPr>
          <w:p w14:paraId="59A1663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499" w:type="dxa"/>
          </w:tcPr>
          <w:p w14:paraId="1FDBFEBD"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560" w:type="dxa"/>
          </w:tcPr>
          <w:p w14:paraId="55C86490"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r>
      <w:tr w:rsidR="004E10C1" w:rsidRPr="0044524F" w14:paraId="47677660" w14:textId="77777777">
        <w:tc>
          <w:tcPr>
            <w:tcW w:w="1384" w:type="dxa"/>
          </w:tcPr>
          <w:p w14:paraId="7B1603B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Пикирующ. самолет</w:t>
            </w:r>
          </w:p>
        </w:tc>
        <w:tc>
          <w:tcPr>
            <w:tcW w:w="2439" w:type="dxa"/>
          </w:tcPr>
          <w:p w14:paraId="1699326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мотором М11. Изучение торможения самолета при отвесном пикировании</w:t>
            </w:r>
          </w:p>
        </w:tc>
        <w:tc>
          <w:tcPr>
            <w:tcW w:w="1218" w:type="dxa"/>
          </w:tcPr>
          <w:p w14:paraId="0E2ECEB8"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34BD18A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55676DCC" w14:textId="77777777" w:rsidR="00570C39" w:rsidRPr="0044524F" w:rsidRDefault="00570C39" w:rsidP="009654CF">
            <w:pPr>
              <w:pStyle w:val="31"/>
              <w:widowControl/>
              <w:tabs>
                <w:tab w:val="left" w:pos="11199"/>
              </w:tabs>
              <w:jc w:val="both"/>
              <w:rPr>
                <w:color w:val="000000" w:themeColor="text1"/>
              </w:rPr>
            </w:pPr>
          </w:p>
        </w:tc>
        <w:tc>
          <w:tcPr>
            <w:tcW w:w="833" w:type="dxa"/>
          </w:tcPr>
          <w:p w14:paraId="7BEC0E9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499" w:type="dxa"/>
          </w:tcPr>
          <w:p w14:paraId="29F97F4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ВВА</w:t>
            </w:r>
          </w:p>
        </w:tc>
        <w:tc>
          <w:tcPr>
            <w:tcW w:w="1560" w:type="dxa"/>
          </w:tcPr>
          <w:p w14:paraId="639432A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r>
      <w:tr w:rsidR="004E10C1" w:rsidRPr="0044524F" w14:paraId="7536D12B" w14:textId="77777777">
        <w:tc>
          <w:tcPr>
            <w:tcW w:w="1384" w:type="dxa"/>
          </w:tcPr>
          <w:p w14:paraId="67350E9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Электронный самолет</w:t>
            </w:r>
          </w:p>
        </w:tc>
        <w:tc>
          <w:tcPr>
            <w:tcW w:w="2439" w:type="dxa"/>
          </w:tcPr>
          <w:p w14:paraId="797D051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Освоение электрона как материала в самолетостроен.</w:t>
            </w:r>
          </w:p>
        </w:tc>
        <w:tc>
          <w:tcPr>
            <w:tcW w:w="1218" w:type="dxa"/>
          </w:tcPr>
          <w:p w14:paraId="4C399F45"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599FF86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833" w:type="dxa"/>
          </w:tcPr>
          <w:p w14:paraId="69095531" w14:textId="77777777" w:rsidR="00570C39" w:rsidRPr="0044524F" w:rsidRDefault="00570C39" w:rsidP="009654CF">
            <w:pPr>
              <w:pStyle w:val="31"/>
              <w:widowControl/>
              <w:tabs>
                <w:tab w:val="left" w:pos="11199"/>
              </w:tabs>
              <w:jc w:val="both"/>
              <w:rPr>
                <w:color w:val="000000" w:themeColor="text1"/>
              </w:rPr>
            </w:pPr>
          </w:p>
        </w:tc>
        <w:tc>
          <w:tcPr>
            <w:tcW w:w="833" w:type="dxa"/>
          </w:tcPr>
          <w:p w14:paraId="26162779"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c>
          <w:tcPr>
            <w:tcW w:w="1499" w:type="dxa"/>
          </w:tcPr>
          <w:p w14:paraId="3AF50B4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МАИ</w:t>
            </w:r>
          </w:p>
        </w:tc>
        <w:tc>
          <w:tcPr>
            <w:tcW w:w="1560" w:type="dxa"/>
          </w:tcPr>
          <w:p w14:paraId="65BF413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tc>
      </w:tr>
    </w:tbl>
    <w:p w14:paraId="5303632B"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(6791).</w:t>
      </w:r>
    </w:p>
    <w:p w14:paraId="44004EE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p w14:paraId="5ADFA51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т. Федосеенко, который проявил особую заботу о сохранении оболочки стратостата Осоавиахим-1, донес т. Эйдеману, в каком виде и где хранится оболочка, и еще раз подчеркивал, что газонепроницаемость ее может быть нарушена. Приводя данные о погоде в декабре, он просил назначить полет на потолок 20.000 м, просил также собрать совещание специалистов для установления наиболее благоприятного времени и мест полета (11611).</w:t>
      </w:r>
    </w:p>
    <w:p w14:paraId="50CC835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p>
    <w:p w14:paraId="50D8B990" w14:textId="77777777" w:rsidR="002C03D8" w:rsidRPr="0044524F" w:rsidRDefault="002C03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после первого полета дирижабля В-6 КБ в декабре внесло изменения в чертежи, были составлены фактические весовые данные корабля, оформлен материал для Госкомиссии, и готовность работ на 1 января 1935 г. определена в 100%. Выяснилась необходимость внесения изменений в бензо-магистрали и постановка винтов непосредственно на вал мотора без дополнительного вала. По дирижаблю В-10 в конце 3-го квартала на совещании у заместителя начальника Дирижаблестроя Флаксермана было вынесено решение - работы приостановить. Если до 1934 г. в течение 3-х лет проблеме жесткого дирижаблестроения почти не уделялось внимания, то за 1934 г. силами молодых советских специалистов - инженерами выпуска 19321933 гг. проделана глубокая серьезная работа по жесткому дирижаблю ДЖ-1 объемом 100 000 м 3. Группа в составе 20 человек изучила весь имеющийся материал, разработала техническое задание и технические условия, сделала около 40 основных расчетов и выполнила 4 комплекта рабочих чертежей по опытным конструкциям (около 108 чертежей) [14, л. 41]. С 1 сентября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Храбковского − по модернизации В-7 было спущено около 2000 чертежей [14, л. 40-42 об] (15797).</w:t>
      </w:r>
    </w:p>
    <w:p w14:paraId="2553B24A" w14:textId="77777777" w:rsidR="002C03D8" w:rsidRPr="0044524F" w:rsidRDefault="002C03D8" w:rsidP="009654CF">
      <w:pPr>
        <w:spacing w:after="0" w:line="240" w:lineRule="auto"/>
        <w:jc w:val="both"/>
        <w:rPr>
          <w:rFonts w:ascii="Times New Roman" w:hAnsi="Times New Roman"/>
          <w:color w:val="000000" w:themeColor="text1"/>
          <w:sz w:val="16"/>
          <w:szCs w:val="16"/>
        </w:rPr>
      </w:pPr>
    </w:p>
    <w:p w14:paraId="16EB86B8" w14:textId="77777777" w:rsidR="00896E83" w:rsidRPr="0044524F" w:rsidRDefault="00896E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г. испытание мины «Вомиза-250» при сбрасывании с высоты 10-20 метров (18667).</w:t>
      </w:r>
    </w:p>
    <w:p w14:paraId="649BFF68" w14:textId="77777777" w:rsidR="00896E83" w:rsidRPr="0044524F" w:rsidRDefault="00896E83" w:rsidP="009654CF">
      <w:pPr>
        <w:spacing w:after="0" w:line="240" w:lineRule="auto"/>
        <w:jc w:val="both"/>
        <w:rPr>
          <w:rFonts w:ascii="Times New Roman" w:hAnsi="Times New Roman"/>
          <w:color w:val="000000" w:themeColor="text1"/>
          <w:sz w:val="16"/>
          <w:szCs w:val="16"/>
        </w:rPr>
      </w:pPr>
    </w:p>
    <w:p w14:paraId="4FA22C52"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г. состоялась стрельбами на НИАП АНИИ с позиции 5600 м сна</w:t>
      </w:r>
      <w:r w:rsidRPr="0044524F">
        <w:rPr>
          <w:rFonts w:ascii="Times New Roman" w:hAnsi="Times New Roman"/>
          <w:color w:val="000000" w:themeColor="text1"/>
          <w:sz w:val="16"/>
          <w:szCs w:val="16"/>
        </w:rPr>
        <w:softHyphen/>
        <w:t>рядами РС-132 модели 1401 с оперением из четырех стальных крыльев размахом 400 мм при углах возвышения 15° руководил начальник 1 отде</w:t>
      </w:r>
      <w:r w:rsidRPr="0044524F">
        <w:rPr>
          <w:rFonts w:ascii="Times New Roman" w:hAnsi="Times New Roman"/>
          <w:color w:val="000000" w:themeColor="text1"/>
          <w:sz w:val="16"/>
          <w:szCs w:val="16"/>
        </w:rPr>
        <w:softHyphen/>
        <w:t>ла ЛО РНИИ Л.Э.Шварц. К этим опытам в мастерских ЛО РНИИ изго</w:t>
      </w:r>
      <w:r w:rsidRPr="0044524F">
        <w:rPr>
          <w:rFonts w:ascii="Times New Roman" w:hAnsi="Times New Roman"/>
          <w:color w:val="000000" w:themeColor="text1"/>
          <w:sz w:val="16"/>
          <w:szCs w:val="16"/>
        </w:rPr>
        <w:softHyphen/>
        <w:t>товили 15 снарядов. От РС-132 моделей 1273 и 1374 они отличались уве</w:t>
      </w:r>
      <w:r w:rsidRPr="0044524F">
        <w:rPr>
          <w:rFonts w:ascii="Times New Roman" w:hAnsi="Times New Roman"/>
          <w:color w:val="000000" w:themeColor="text1"/>
          <w:sz w:val="16"/>
          <w:szCs w:val="16"/>
        </w:rPr>
        <w:softHyphen/>
        <w:t>личенной на 60 мм длиной ракетного двигателя. Цель стрельбы - опреде</w:t>
      </w:r>
      <w:r w:rsidRPr="0044524F">
        <w:rPr>
          <w:rFonts w:ascii="Times New Roman" w:hAnsi="Times New Roman"/>
          <w:color w:val="000000" w:themeColor="text1"/>
          <w:sz w:val="16"/>
          <w:szCs w:val="16"/>
        </w:rPr>
        <w:softHyphen/>
        <w:t>лить степень возрастания скорости и влияние длины боеприпаса на его устойчивость на траектории и точность стрельбы. Оперение — идентич</w:t>
      </w:r>
      <w:r w:rsidRPr="0044524F">
        <w:rPr>
          <w:rFonts w:ascii="Times New Roman" w:hAnsi="Times New Roman"/>
          <w:color w:val="000000" w:themeColor="text1"/>
          <w:sz w:val="16"/>
          <w:szCs w:val="16"/>
        </w:rPr>
        <w:softHyphen/>
        <w:t>но снарядам модели 1273, однако качество изготовления РС-132 модели 1401 было выше, чем у прототипов. РЗ состоял из 35 шашек габаритами 40/8-57,5 мм. По торцам его были расположены воспламенители из 12 г ДРП каждый. Диаметр критического сечения сопла - 29,3 мм, диаметр выходного сечения - 75,0 мм. Величины рассеивания РС-132 модели 1401 оказались сопостави</w:t>
      </w:r>
      <w:r w:rsidRPr="0044524F">
        <w:rPr>
          <w:rFonts w:ascii="Times New Roman" w:hAnsi="Times New Roman"/>
          <w:color w:val="000000" w:themeColor="text1"/>
          <w:sz w:val="16"/>
          <w:szCs w:val="16"/>
        </w:rPr>
        <w:softHyphen/>
        <w:t>мыми с боеприпасами меньших габаритов и менее скоростных. Поэто</w:t>
      </w:r>
      <w:r w:rsidRPr="0044524F">
        <w:rPr>
          <w:rFonts w:ascii="Times New Roman" w:hAnsi="Times New Roman"/>
          <w:color w:val="000000" w:themeColor="text1"/>
          <w:sz w:val="16"/>
          <w:szCs w:val="16"/>
        </w:rPr>
        <w:softHyphen/>
        <w:t>му в дальнейших опытах предпочтение отдали снарядам этой модели, обладавшими скоростью, на 25% большей, чем предыдущие образцы. Неудовлетворительную величину рассеивания по боковому направле</w:t>
      </w:r>
      <w:r w:rsidRPr="0044524F">
        <w:rPr>
          <w:rFonts w:ascii="Times New Roman" w:hAnsi="Times New Roman"/>
          <w:color w:val="000000" w:themeColor="text1"/>
          <w:sz w:val="16"/>
          <w:szCs w:val="16"/>
        </w:rPr>
        <w:softHyphen/>
        <w:t>нию испытатели объяснили «неточностью центровки снаряда в напра</w:t>
      </w:r>
      <w:r w:rsidRPr="0044524F">
        <w:rPr>
          <w:rFonts w:ascii="Times New Roman" w:hAnsi="Times New Roman"/>
          <w:color w:val="000000" w:themeColor="text1"/>
          <w:sz w:val="16"/>
          <w:szCs w:val="16"/>
        </w:rPr>
        <w:softHyphen/>
        <w:t>вляющих» (11402).</w:t>
      </w:r>
    </w:p>
    <w:p w14:paraId="1B8B2314"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p>
    <w:p w14:paraId="19F65BB2" w14:textId="77777777" w:rsidR="00685DD7" w:rsidRPr="0044524F" w:rsidRDefault="00685D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г. испытание мины «Вомиза-250» при сбрасывании с высоты 10-20 метров (22288).</w:t>
      </w:r>
    </w:p>
    <w:p w14:paraId="1B287FC7" w14:textId="77777777" w:rsidR="00685DD7" w:rsidRPr="0044524F" w:rsidRDefault="00685DD7" w:rsidP="009654CF">
      <w:pPr>
        <w:spacing w:after="0" w:line="240" w:lineRule="auto"/>
        <w:jc w:val="both"/>
        <w:rPr>
          <w:rFonts w:ascii="Times New Roman" w:hAnsi="Times New Roman"/>
          <w:color w:val="000000" w:themeColor="text1"/>
          <w:sz w:val="16"/>
          <w:szCs w:val="16"/>
        </w:rPr>
      </w:pPr>
    </w:p>
    <w:p w14:paraId="43CD6F36"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B304641"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46040B12" w14:textId="77777777" w:rsidR="002C03D8" w:rsidRPr="0044524F" w:rsidRDefault="002C03D8" w:rsidP="009654CF">
      <w:pPr>
        <w:pStyle w:val="rtejustify"/>
        <w:spacing w:before="0" w:after="0"/>
        <w:rPr>
          <w:color w:val="000000" w:themeColor="text1"/>
          <w:sz w:val="16"/>
          <w:szCs w:val="16"/>
        </w:rPr>
      </w:pPr>
      <w:r w:rsidRPr="0044524F">
        <w:rPr>
          <w:rStyle w:val="af0"/>
          <w:bCs/>
          <w:i w:val="0"/>
          <w:color w:val="000000" w:themeColor="text1"/>
          <w:sz w:val="16"/>
          <w:szCs w:val="16"/>
        </w:rPr>
        <w:t>5 ноября</w:t>
      </w:r>
      <w:r w:rsidRPr="0044524F">
        <w:rPr>
          <w:color w:val="000000" w:themeColor="text1"/>
          <w:sz w:val="16"/>
          <w:szCs w:val="16"/>
        </w:rPr>
        <w:t xml:space="preserve"> 1933. Постановление СТО СССР № 105сс/о «О производстве крупнокалиберных морских снарядов». (ГА РФ. Ф. Р</w:t>
      </w:r>
      <w:r w:rsidRPr="0044524F">
        <w:rPr>
          <w:color w:val="000000" w:themeColor="text1"/>
          <w:sz w:val="16"/>
          <w:szCs w:val="16"/>
        </w:rPr>
        <w:noBreakHyphen/>
        <w:t>8418. Оп. 28. Д. 3. Л. 19</w:t>
      </w:r>
      <w:r w:rsidRPr="0044524F">
        <w:rPr>
          <w:color w:val="000000" w:themeColor="text1"/>
          <w:sz w:val="16"/>
          <w:szCs w:val="16"/>
        </w:rPr>
        <w:noBreakHyphen/>
        <w:t>21) (15460).</w:t>
      </w:r>
    </w:p>
    <w:p w14:paraId="24299B1D" w14:textId="77777777" w:rsidR="002C03D8" w:rsidRPr="0044524F" w:rsidRDefault="002C03D8" w:rsidP="009654CF">
      <w:pPr>
        <w:pStyle w:val="rtejustify"/>
        <w:spacing w:before="0" w:after="0"/>
        <w:rPr>
          <w:color w:val="000000" w:themeColor="text1"/>
          <w:sz w:val="16"/>
          <w:szCs w:val="16"/>
        </w:rPr>
      </w:pPr>
    </w:p>
    <w:p w14:paraId="6B307EC0"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военпред ХПЗ подписал документы о при</w:t>
      </w:r>
      <w:r w:rsidRPr="0044524F">
        <w:rPr>
          <w:rFonts w:ascii="Times New Roman" w:hAnsi="Times New Roman"/>
          <w:color w:val="000000" w:themeColor="text1"/>
          <w:sz w:val="16"/>
          <w:szCs w:val="16"/>
        </w:rPr>
        <w:softHyphen/>
        <w:t>емке танка Т-35А, которая 7 ноября должна была принять учасвовать в параде в столице Украины, городе Харькове. Интерес</w:t>
      </w:r>
      <w:r w:rsidRPr="0044524F">
        <w:rPr>
          <w:rFonts w:ascii="Times New Roman" w:hAnsi="Times New Roman"/>
          <w:color w:val="000000" w:themeColor="text1"/>
          <w:sz w:val="16"/>
          <w:szCs w:val="16"/>
        </w:rPr>
        <w:softHyphen/>
        <w:t>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пятибашенная машина, воорурженная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3E7B761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p>
    <w:p w14:paraId="3F2149A1"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ноября 1933 года уже начальник УММ РККА И. Халепский сообщал ди</w:t>
      </w:r>
      <w:r w:rsidRPr="00142305">
        <w:rPr>
          <w:rFonts w:ascii="Times New Roman" w:hAnsi="Times New Roman"/>
          <w:color w:val="0070C0"/>
          <w:sz w:val="16"/>
          <w:szCs w:val="16"/>
        </w:rPr>
        <w:softHyphen/>
        <w:t>ректору ХПЗ:</w:t>
      </w:r>
    </w:p>
    <w:p w14:paraId="7B1268EC"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договору на серийную продукцию ГХПЗ принял на себя обязательства раз</w:t>
      </w:r>
      <w:r w:rsidRPr="00142305">
        <w:rPr>
          <w:rFonts w:ascii="Times New Roman" w:hAnsi="Times New Roman"/>
          <w:color w:val="0070C0"/>
          <w:sz w:val="16"/>
          <w:szCs w:val="16"/>
        </w:rPr>
        <w:softHyphen/>
        <w:t>работать и изготовить в 1933 году уста</w:t>
      </w:r>
      <w:r w:rsidRPr="00142305">
        <w:rPr>
          <w:rFonts w:ascii="Times New Roman" w:hAnsi="Times New Roman"/>
          <w:color w:val="0070C0"/>
          <w:sz w:val="16"/>
          <w:szCs w:val="16"/>
        </w:rPr>
        <w:softHyphen/>
        <w:t>новку 76-мм пушки на БТ.</w:t>
      </w:r>
    </w:p>
    <w:p w14:paraId="0C5011DC"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до настоящего времени эта ра</w:t>
      </w:r>
      <w:r w:rsidRPr="00142305">
        <w:rPr>
          <w:rFonts w:ascii="Times New Roman" w:hAnsi="Times New Roman"/>
          <w:color w:val="0070C0"/>
          <w:sz w:val="16"/>
          <w:szCs w:val="16"/>
        </w:rPr>
        <w:softHyphen/>
        <w:t>бота идет недопустимо медленными тем</w:t>
      </w:r>
      <w:r w:rsidRPr="00142305">
        <w:rPr>
          <w:rFonts w:ascii="Times New Roman" w:hAnsi="Times New Roman"/>
          <w:color w:val="0070C0"/>
          <w:sz w:val="16"/>
          <w:szCs w:val="16"/>
        </w:rPr>
        <w:softHyphen/>
        <w:t>пами. Что ставит под угрозу срыва внед</w:t>
      </w:r>
      <w:r w:rsidRPr="00142305">
        <w:rPr>
          <w:rFonts w:ascii="Times New Roman" w:hAnsi="Times New Roman"/>
          <w:color w:val="0070C0"/>
          <w:sz w:val="16"/>
          <w:szCs w:val="16"/>
        </w:rPr>
        <w:softHyphen/>
        <w:t>рение установки 76-мм пушки на БТ в 1934 году.</w:t>
      </w:r>
    </w:p>
    <w:p w14:paraId="76C9DC97"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ускорения выпуска образца уста</w:t>
      </w:r>
      <w:r w:rsidRPr="00142305">
        <w:rPr>
          <w:rFonts w:ascii="Times New Roman" w:hAnsi="Times New Roman"/>
          <w:color w:val="0070C0"/>
          <w:sz w:val="16"/>
          <w:szCs w:val="16"/>
        </w:rPr>
        <w:softHyphen/>
        <w:t>новки 76-ммпушки на БТ, УММ соглас</w:t>
      </w:r>
      <w:r w:rsidRPr="00142305">
        <w:rPr>
          <w:rFonts w:ascii="Times New Roman" w:hAnsi="Times New Roman"/>
          <w:color w:val="0070C0"/>
          <w:sz w:val="16"/>
          <w:szCs w:val="16"/>
        </w:rPr>
        <w:softHyphen/>
        <w:t>но на изготовление первых двух образ</w:t>
      </w:r>
      <w:r w:rsidRPr="00142305">
        <w:rPr>
          <w:rFonts w:ascii="Times New Roman" w:hAnsi="Times New Roman"/>
          <w:color w:val="0070C0"/>
          <w:sz w:val="16"/>
          <w:szCs w:val="16"/>
        </w:rPr>
        <w:softHyphen/>
        <w:t>цов с корпусами из сырой брони».</w:t>
      </w:r>
    </w:p>
    <w:p w14:paraId="39208B7C"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Машина с 76-мм пушкой была изго</w:t>
      </w:r>
      <w:r w:rsidRPr="00142305">
        <w:rPr>
          <w:rFonts w:ascii="Times New Roman" w:hAnsi="Times New Roman"/>
          <w:color w:val="0070C0"/>
          <w:sz w:val="16"/>
          <w:szCs w:val="16"/>
        </w:rPr>
        <w:softHyphen/>
        <w:t>товлена в 1934 году, но это был уже сов</w:t>
      </w:r>
      <w:r w:rsidRPr="00142305">
        <w:rPr>
          <w:rFonts w:ascii="Times New Roman" w:hAnsi="Times New Roman"/>
          <w:color w:val="0070C0"/>
          <w:sz w:val="16"/>
          <w:szCs w:val="16"/>
        </w:rPr>
        <w:softHyphen/>
        <w:t>сем другой танк (25009).</w:t>
      </w:r>
    </w:p>
    <w:p w14:paraId="3093ECFD" w14:textId="77777777" w:rsidR="00B74B80" w:rsidRPr="00142305" w:rsidRDefault="00B74B80" w:rsidP="00B74B80">
      <w:pPr>
        <w:spacing w:after="0" w:line="240" w:lineRule="auto"/>
        <w:jc w:val="both"/>
        <w:rPr>
          <w:rFonts w:ascii="Times New Roman" w:hAnsi="Times New Roman"/>
          <w:color w:val="0070C0"/>
          <w:sz w:val="16"/>
          <w:szCs w:val="16"/>
        </w:rPr>
      </w:pPr>
    </w:p>
    <w:p w14:paraId="216D8727" w14:textId="77777777" w:rsidR="00896E83" w:rsidRPr="0044524F" w:rsidRDefault="00896E8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Испытание первого отечественного троллейбуса ЛК-1 ("Лазарь Каганович"). Он был построен на базе грузового автомобиля, двери открывал кондуктор вручную (18722).</w:t>
      </w:r>
    </w:p>
    <w:p w14:paraId="01E6AB41" w14:textId="77777777" w:rsidR="00896E83" w:rsidRPr="0044524F" w:rsidRDefault="00896E83" w:rsidP="009654CF">
      <w:pPr>
        <w:spacing w:after="0" w:line="240" w:lineRule="auto"/>
        <w:jc w:val="both"/>
        <w:rPr>
          <w:rFonts w:ascii="Times New Roman" w:hAnsi="Times New Roman"/>
          <w:color w:val="000000" w:themeColor="text1"/>
          <w:sz w:val="16"/>
          <w:szCs w:val="16"/>
        </w:rPr>
      </w:pPr>
    </w:p>
    <w:p w14:paraId="1BA51465" w14:textId="77777777" w:rsidR="00685DD7" w:rsidRPr="0044524F" w:rsidRDefault="00685D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года состоялся испытательный рейс первого советского троллейбуса ЛК-1 («Лазарь Каганович»), созданного на заводе «Динамо». С этого дня в Москве началось регулярное движение троллейбусов (21177).</w:t>
      </w:r>
    </w:p>
    <w:p w14:paraId="270C2AE1" w14:textId="77777777" w:rsidR="00685DD7" w:rsidRPr="0044524F" w:rsidRDefault="00685DD7" w:rsidP="009654CF">
      <w:pPr>
        <w:spacing w:after="0" w:line="240" w:lineRule="auto"/>
        <w:jc w:val="both"/>
        <w:rPr>
          <w:rFonts w:ascii="Times New Roman" w:hAnsi="Times New Roman"/>
          <w:color w:val="000000" w:themeColor="text1"/>
          <w:sz w:val="16"/>
          <w:szCs w:val="16"/>
        </w:rPr>
      </w:pPr>
    </w:p>
    <w:p w14:paraId="0944860D" w14:textId="77777777" w:rsidR="00FE71E3" w:rsidRPr="0044524F" w:rsidRDefault="00FE71E3"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5 ноября 1933 г. Политбюро утвердило разработанный комиссией под руководством Я.Б.Гамарника график постройки и сдачи 20 подлодок типа «М» в 1933 г., после исправления на них «выявленных на испытаниях конструктивных дефектов» (Там же. Ф. 17. On. 162. Д. 15. Л. 130). См. также: Дмитриев В.И. Советское подводное кораблестроение. М., 1990 (17281).</w:t>
      </w:r>
    </w:p>
    <w:p w14:paraId="24D7655C" w14:textId="77777777" w:rsidR="00FE71E3" w:rsidRPr="0044524F" w:rsidRDefault="00FE71E3" w:rsidP="009654CF">
      <w:pPr>
        <w:shd w:val="clear" w:color="auto" w:fill="FFFFFF"/>
        <w:spacing w:after="0" w:line="240" w:lineRule="auto"/>
        <w:jc w:val="both"/>
        <w:rPr>
          <w:rFonts w:ascii="Times New Roman" w:hAnsi="Times New Roman"/>
          <w:color w:val="000000" w:themeColor="text1"/>
          <w:sz w:val="16"/>
          <w:szCs w:val="16"/>
        </w:rPr>
      </w:pPr>
    </w:p>
    <w:p w14:paraId="5CFFC5B2"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опросом членов ПБ</w:t>
      </w:r>
    </w:p>
    <w:p w14:paraId="5B501986"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36/22.- Доклад т. Гамарника о постройке подлодок типа "Малютка",</w:t>
      </w:r>
    </w:p>
    <w:p w14:paraId="2AF01E0C"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Утвердить разработанный комиссией т. Гамарника совместно с директорами заводов им.Марти и им.*61" график постройки и сдачи 20 подлодок типа "М" в 1933г.</w:t>
      </w:r>
    </w:p>
    <w:p w14:paraId="58BD6935"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Произвести на всех подлодках типа "М" до их сдачи НКВМору намеченные комиссией т. Гамарника исправ</w:t>
      </w:r>
      <w:r w:rsidRPr="0044524F">
        <w:rPr>
          <w:rFonts w:ascii="Times New Roman" w:hAnsi="Times New Roman"/>
          <w:color w:val="000000" w:themeColor="text1"/>
          <w:sz w:val="16"/>
          <w:szCs w:val="16"/>
        </w:rPr>
        <w:softHyphen/>
        <w:t>ления, выявленных на испытаниях конструктивных дефек</w:t>
      </w:r>
      <w:r w:rsidRPr="0044524F">
        <w:rPr>
          <w:rFonts w:ascii="Times New Roman" w:hAnsi="Times New Roman"/>
          <w:color w:val="000000" w:themeColor="text1"/>
          <w:sz w:val="16"/>
          <w:szCs w:val="16"/>
        </w:rPr>
        <w:softHyphen/>
        <w:t>тов, безусловно добившись полного обеспечения подлодок от всплытия при двухторпедном залпе.а также увеличе</w:t>
      </w:r>
      <w:r w:rsidRPr="0044524F">
        <w:rPr>
          <w:rFonts w:ascii="Times New Roman" w:hAnsi="Times New Roman"/>
          <w:color w:val="000000" w:themeColor="text1"/>
          <w:sz w:val="16"/>
          <w:szCs w:val="16"/>
        </w:rPr>
        <w:softHyphen/>
        <w:t>ния подводной скорости хода до 6-6,5 узлов.</w:t>
      </w:r>
    </w:p>
    <w:p w14:paraId="7579EE97"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Отправить на Д.В. первые три подлодки 1-го де</w:t>
      </w:r>
      <w:r w:rsidRPr="0044524F">
        <w:rPr>
          <w:rFonts w:ascii="Times New Roman" w:hAnsi="Times New Roman"/>
          <w:color w:val="000000" w:themeColor="text1"/>
          <w:sz w:val="16"/>
          <w:szCs w:val="16"/>
        </w:rPr>
        <w:softHyphen/>
        <w:t>кабря 1933 г. и следующие три подлодки 15-го декабря 1933 г. с установкой на них, в виде исключения, аппара</w:t>
      </w:r>
      <w:r w:rsidRPr="0044524F">
        <w:rPr>
          <w:rFonts w:ascii="Times New Roman" w:hAnsi="Times New Roman"/>
          <w:color w:val="000000" w:themeColor="text1"/>
          <w:sz w:val="16"/>
          <w:szCs w:val="16"/>
        </w:rPr>
        <w:softHyphen/>
        <w:t>туры .гарантирующей подлодку от всплытия при выстреле одной торпедой. Оборудование этих шести подлодок ап</w:t>
      </w:r>
      <w:r w:rsidRPr="0044524F">
        <w:rPr>
          <w:rFonts w:ascii="Times New Roman" w:hAnsi="Times New Roman"/>
          <w:color w:val="000000" w:themeColor="text1"/>
          <w:sz w:val="16"/>
          <w:szCs w:val="16"/>
        </w:rPr>
        <w:softHyphen/>
        <w:t>паратурой .обеспечивающей подлодку от всплытия при двухторпедном залпе.произвести на Д.В.</w:t>
      </w:r>
    </w:p>
    <w:p w14:paraId="61C31CFA"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Принимая во внимание неудовлетворительное со</w:t>
      </w:r>
      <w:r w:rsidRPr="0044524F">
        <w:rPr>
          <w:rFonts w:ascii="Times New Roman" w:hAnsi="Times New Roman"/>
          <w:color w:val="000000" w:themeColor="text1"/>
          <w:sz w:val="16"/>
          <w:szCs w:val="16"/>
        </w:rPr>
        <w:softHyphen/>
        <w:t>стояние зав. им. Марти и зав. им."61".предложить т. Орд</w:t>
      </w:r>
      <w:r w:rsidRPr="0044524F">
        <w:rPr>
          <w:rFonts w:ascii="Times New Roman" w:hAnsi="Times New Roman"/>
          <w:color w:val="000000" w:themeColor="text1"/>
          <w:sz w:val="16"/>
          <w:szCs w:val="16"/>
        </w:rPr>
        <w:softHyphen/>
        <w:t>жоникидзе в двухдекадный срок разработать и доложить ЦК ВКП(б) мероприятия.обеспечивающие выполнение про</w:t>
      </w:r>
      <w:r w:rsidRPr="0044524F">
        <w:rPr>
          <w:rFonts w:ascii="Times New Roman" w:hAnsi="Times New Roman"/>
          <w:color w:val="000000" w:themeColor="text1"/>
          <w:sz w:val="16"/>
          <w:szCs w:val="16"/>
        </w:rPr>
        <w:softHyphen/>
        <w:t>граммы военно-морского судостроения в 1934 г. на этих заводах.</w:t>
      </w:r>
    </w:p>
    <w:p w14:paraId="153B820F"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5.Назначить на завод им. Марти ответственного сек</w:t>
      </w:r>
      <w:r w:rsidRPr="0044524F">
        <w:rPr>
          <w:rFonts w:ascii="Times New Roman" w:hAnsi="Times New Roman"/>
          <w:color w:val="000000" w:themeColor="text1"/>
          <w:sz w:val="16"/>
          <w:szCs w:val="16"/>
        </w:rPr>
        <w:softHyphen/>
        <w:t>ретаря парторга ЦК; тов. Ежову представить кандидата на эту должность.</w:t>
      </w:r>
    </w:p>
    <w:p w14:paraId="26F927C2"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Молотову, Гамарнику, Орджоникидзе</w:t>
      </w:r>
    </w:p>
    <w:p w14:paraId="3F76FAB1"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40/26.- Вопросы Комиссии Обороны.</w:t>
      </w:r>
    </w:p>
    <w:p w14:paraId="527C4180"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СТО:</w:t>
      </w:r>
    </w:p>
    <w:p w14:paraId="03E9A63E"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 выдаче из Комитета Резервов промышленности для производства тяжелых бронебойных снарядов Ютонн импортного ферро-марганца и 20 тонн огневого ни келя</w:t>
      </w:r>
    </w:p>
    <w:p w14:paraId="359B4ABA"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 импорте для НКТП в 1933 г. за счет контин</w:t>
      </w:r>
      <w:r w:rsidRPr="0044524F">
        <w:rPr>
          <w:rFonts w:ascii="Times New Roman" w:hAnsi="Times New Roman"/>
          <w:color w:val="000000" w:themeColor="text1"/>
          <w:sz w:val="16"/>
          <w:szCs w:val="16"/>
        </w:rPr>
        <w:softHyphen/>
        <w:t>гентов НКТП в размере 2 т.р. для закупки огнеупор</w:t>
      </w:r>
      <w:r w:rsidRPr="0044524F">
        <w:rPr>
          <w:rFonts w:ascii="Times New Roman" w:hAnsi="Times New Roman"/>
          <w:color w:val="000000" w:themeColor="text1"/>
          <w:sz w:val="16"/>
          <w:szCs w:val="16"/>
        </w:rPr>
        <w:softHyphen/>
        <w:t>ных стаканов и пробок для ковшей кислых мартеновские печей для разливки снарядной стали.</w:t>
      </w:r>
    </w:p>
    <w:p w14:paraId="218E8FDF"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Орджоникидзе-все;</w:t>
      </w:r>
    </w:p>
    <w:p w14:paraId="753230BB"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Розенгольцу-п.2.</w:t>
      </w:r>
    </w:p>
    <w:p w14:paraId="21846428" w14:textId="77777777" w:rsidR="00622232" w:rsidRPr="0044524F" w:rsidRDefault="0062223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состоялось заседание ПБ и был оформлен протокол № 149 (22999).</w:t>
      </w:r>
    </w:p>
    <w:p w14:paraId="6F030D7F" w14:textId="77777777" w:rsidR="00622232" w:rsidRPr="0044524F" w:rsidRDefault="00622232" w:rsidP="009654CF">
      <w:pPr>
        <w:spacing w:after="0" w:line="240" w:lineRule="auto"/>
        <w:jc w:val="both"/>
        <w:rPr>
          <w:rFonts w:ascii="Times New Roman" w:hAnsi="Times New Roman"/>
          <w:color w:val="000000" w:themeColor="text1"/>
          <w:sz w:val="16"/>
          <w:szCs w:val="16"/>
        </w:rPr>
      </w:pPr>
    </w:p>
    <w:p w14:paraId="76585393" w14:textId="77777777" w:rsidR="002C03D8" w:rsidRPr="0044524F" w:rsidRDefault="002C03D8" w:rsidP="009654CF">
      <w:pPr>
        <w:pStyle w:val="rtejustify"/>
        <w:spacing w:before="0" w:after="0"/>
        <w:rPr>
          <w:color w:val="000000" w:themeColor="text1"/>
          <w:sz w:val="16"/>
          <w:szCs w:val="16"/>
        </w:rPr>
      </w:pPr>
      <w:r w:rsidRPr="0044524F">
        <w:rPr>
          <w:rStyle w:val="af0"/>
          <w:bCs/>
          <w:i w:val="0"/>
          <w:color w:val="000000" w:themeColor="text1"/>
          <w:sz w:val="16"/>
          <w:szCs w:val="16"/>
        </w:rPr>
        <w:t>5 ноября 1933 вышел приказ НКТП № 202сс.</w:t>
      </w:r>
      <w:r w:rsidRPr="0044524F">
        <w:rPr>
          <w:color w:val="000000" w:themeColor="text1"/>
          <w:sz w:val="16"/>
          <w:szCs w:val="16"/>
        </w:rPr>
        <w:t xml:space="preserve"> О строительстве на заводе им. Марти 100 торпедных катеров типа “5Г”. (РГАЭ. Ф. 2097. Оп. 38. Д. 38. Л. 172</w:t>
      </w:r>
      <w:r w:rsidRPr="0044524F">
        <w:rPr>
          <w:color w:val="000000" w:themeColor="text1"/>
          <w:sz w:val="16"/>
          <w:szCs w:val="16"/>
        </w:rPr>
        <w:noBreakHyphen/>
        <w:t>171 об.) (15246).</w:t>
      </w:r>
    </w:p>
    <w:p w14:paraId="358B2534" w14:textId="77777777" w:rsidR="002C03D8" w:rsidRPr="0044524F" w:rsidRDefault="002C03D8" w:rsidP="009654CF">
      <w:pPr>
        <w:pStyle w:val="rtejustify"/>
        <w:spacing w:before="0" w:after="0"/>
        <w:rPr>
          <w:color w:val="000000" w:themeColor="text1"/>
          <w:sz w:val="16"/>
          <w:szCs w:val="16"/>
        </w:rPr>
      </w:pPr>
    </w:p>
    <w:p w14:paraId="361F0240" w14:textId="77777777" w:rsidR="002C03D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EA61A3B" w14:textId="77777777" w:rsidR="002C03D8" w:rsidRPr="0044524F" w:rsidRDefault="002C03D8" w:rsidP="009654CF">
      <w:pPr>
        <w:spacing w:after="0" w:line="240" w:lineRule="auto"/>
        <w:jc w:val="both"/>
        <w:rPr>
          <w:rFonts w:ascii="Times New Roman" w:hAnsi="Times New Roman"/>
          <w:color w:val="000000" w:themeColor="text1"/>
          <w:sz w:val="16"/>
          <w:szCs w:val="16"/>
        </w:rPr>
      </w:pPr>
    </w:p>
    <w:p w14:paraId="25492021" w14:textId="77777777" w:rsidR="002C03D8" w:rsidRPr="0044524F" w:rsidRDefault="002C03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5 ноября</w:t>
      </w:r>
      <w:r w:rsidRPr="0044524F">
        <w:rPr>
          <w:rFonts w:ascii="Times New Roman" w:hAnsi="Times New Roman"/>
          <w:color w:val="000000" w:themeColor="text1"/>
          <w:sz w:val="16"/>
          <w:szCs w:val="16"/>
        </w:rPr>
        <w:t xml:space="preserve"> в 1933 году испытательный рейс совершает первый советский троллейбус «ЛК-1» ("Лазарь Каганович"), созданный на заводе "Динамо". С этого дня в Москве начинается регулярное движение троллейбусов (14821).</w:t>
      </w:r>
    </w:p>
    <w:p w14:paraId="01624B8A" w14:textId="77777777" w:rsidR="002C03D8" w:rsidRPr="0044524F" w:rsidRDefault="002C03D8" w:rsidP="009654CF">
      <w:pPr>
        <w:spacing w:after="0" w:line="240" w:lineRule="auto"/>
        <w:jc w:val="both"/>
        <w:rPr>
          <w:rFonts w:ascii="Times New Roman" w:hAnsi="Times New Roman"/>
          <w:color w:val="000000" w:themeColor="text1"/>
          <w:sz w:val="16"/>
          <w:szCs w:val="16"/>
        </w:rPr>
      </w:pPr>
    </w:p>
    <w:p w14:paraId="32F88D6E" w14:textId="77777777" w:rsidR="002C03D8" w:rsidRPr="0044524F" w:rsidRDefault="002C03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5 ноября</w:t>
      </w:r>
      <w:r w:rsidRPr="0044524F">
        <w:rPr>
          <w:rFonts w:ascii="Times New Roman" w:hAnsi="Times New Roman"/>
          <w:color w:val="000000" w:themeColor="text1"/>
          <w:sz w:val="16"/>
          <w:szCs w:val="16"/>
        </w:rPr>
        <w:t xml:space="preserve"> в 1933 году пароход «Челюскин», заканчивая свой переход по Северному морскому пути, был затерт льдами в Беринговом проливе у острова Диомид и отброшен на север в Чукотское море. Начался его беспримерный ледовый дрейф. Ледорез «Литке», который вышел на помощь, не смог подойти ближе 20 миль и 17 ноября повернул назад (14821).</w:t>
      </w:r>
    </w:p>
    <w:p w14:paraId="04567375" w14:textId="77777777" w:rsidR="002C03D8" w:rsidRPr="0044524F" w:rsidRDefault="002C03D8" w:rsidP="009654CF">
      <w:pPr>
        <w:spacing w:after="0" w:line="240" w:lineRule="auto"/>
        <w:jc w:val="both"/>
        <w:rPr>
          <w:rFonts w:ascii="Times New Roman" w:hAnsi="Times New Roman"/>
          <w:color w:val="000000" w:themeColor="text1"/>
          <w:sz w:val="16"/>
          <w:szCs w:val="16"/>
        </w:rPr>
      </w:pPr>
    </w:p>
    <w:p w14:paraId="0397FADB"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87F46E2"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45CF51D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ноября 1933 года начальник ГУАП Алмазов писал письмо директору N 27/680с директору завода N 39 Марголину.</w:t>
      </w:r>
    </w:p>
    <w:p w14:paraId="3D82649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акте утверждения гос. испытаний сам. И-ЗЕТ N 39010 нач. ВВС Алкснис считает основной задачей завода передачу на гос. испытания к 1/III-34 г. модифицированного экземпляра.</w:t>
      </w:r>
    </w:p>
    <w:p w14:paraId="4E5AC2E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Модифицированным самолетом считается образец, удовлетворяющий п.п. 4, 5, 6, 7 и 8 заключения НИИ ВВС (стр. 2 отчета).</w:t>
      </w:r>
    </w:p>
    <w:p w14:paraId="0AF34ED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не позднее 10/XI с.г. сообщить в какой мере возможно удовлетворение требований ВВС к 1/III-34 г. как со стороны изменения конструкции (облегчение на 92 кг, новое шасси, спрятать пушки в крыло и пр.), так и в отношении устранения дефектов и изготовлении нового образца (2303,28).</w:t>
      </w:r>
    </w:p>
    <w:p w14:paraId="33254A4E"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38A059E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ноября 1933 состоялся первый старт ракеты РНИИ-Объект 13 М.К.Тихонравова. Достигли высоты 150 м (1136,57).</w:t>
      </w:r>
    </w:p>
    <w:p w14:paraId="7AA56B92"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371CC7E3"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62D0F14"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69A8544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ноября 1933 г. на Бал</w:t>
      </w:r>
      <w:r w:rsidRPr="0044524F">
        <w:rPr>
          <w:rFonts w:ascii="Times New Roman" w:hAnsi="Times New Roman"/>
          <w:color w:val="000000" w:themeColor="text1"/>
          <w:sz w:val="16"/>
          <w:szCs w:val="16"/>
        </w:rPr>
        <w:softHyphen/>
        <w:t>тийском заводе бьша заложена Головная лодка — "Треска" (Щ-307), спущена на воду 1 августа 1934 г. и в августе следующего года вступила в состав Балтийского флота. Для этого же флота Балтийский завод построил лодку "Пикша" (Щ-306), а завод "Красное Сормово" — лодки "Дельфин" (Щ-309), "Белуха" (Щ-310) и "Кумжа" (Щ-311). Пять лодок - "Зубатка" (Щ-121), "Сайда" (Щ-122), "Угорь" (Щ-123), "Палтус" (Щ-124), и "Максун" (Щ-125), заложенные в декабре 1933 г.,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44524F">
        <w:rPr>
          <w:rFonts w:ascii="Times New Roman" w:hAnsi="Times New Roman"/>
          <w:color w:val="000000" w:themeColor="text1"/>
          <w:sz w:val="16"/>
          <w:szCs w:val="16"/>
        </w:rPr>
        <w:softHyphen/>
        <w:t>стоке. Для Черноморского флота завод им. 61 Коммунара в Николае</w:t>
      </w:r>
      <w:r w:rsidRPr="0044524F">
        <w:rPr>
          <w:rFonts w:ascii="Times New Roman" w:hAnsi="Times New Roman"/>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44524F">
        <w:rPr>
          <w:rFonts w:ascii="Times New Roman" w:hAnsi="Times New Roman"/>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44524F">
        <w:rPr>
          <w:rFonts w:ascii="Times New Roman" w:hAnsi="Times New Roman"/>
          <w:color w:val="000000" w:themeColor="text1"/>
          <w:sz w:val="16"/>
          <w:szCs w:val="16"/>
        </w:rPr>
        <w:softHyphen/>
        <w:t>ных достижениях в организации серийной постройки лодок, вто</w:t>
      </w:r>
      <w:r w:rsidRPr="0044524F">
        <w:rPr>
          <w:rFonts w:ascii="Times New Roman" w:hAnsi="Times New Roman"/>
          <w:color w:val="000000" w:themeColor="text1"/>
          <w:sz w:val="16"/>
          <w:szCs w:val="16"/>
        </w:rPr>
        <w:softHyphen/>
        <w:t>рая — о трудностях в новом деле на николаевском заводе им. 61 Коммунара.</w:t>
      </w:r>
    </w:p>
    <w:p w14:paraId="79B5CB6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головной лодки показали, что для улучшения надводной маневренности необходимы новые более мощные двигатели. Скорость "Трески" в подводном положении составила 12,3 уз. В то же время смещением в корму верхней части перебор</w:t>
      </w:r>
      <w:r w:rsidRPr="0044524F">
        <w:rPr>
          <w:rFonts w:ascii="Times New Roman" w:hAnsi="Times New Roman"/>
          <w:color w:val="000000" w:themeColor="text1"/>
          <w:sz w:val="16"/>
          <w:szCs w:val="16"/>
        </w:rPr>
        <w:softHyphen/>
        <w:t>ки между II и III отсеками удалось обеспечить лучшие условия хранения запасных торпед во II отсеке (на V и Убис сериях они хранились без боевь1х зарядных отделений). Прочность переборки на 37 и 45 щпангоутах, ограничивавших центральный пост, довели до 6 кгс/см (на предыдущих лодках 2 кгс/см ). ЦГБ № 3 и № 4 были приспособлены для хранения топлива, зубчатую передачу на валы от электродвигателей экономического хода заменили на ре</w:t>
      </w:r>
      <w:r w:rsidRPr="0044524F">
        <w:rPr>
          <w:rFonts w:ascii="Times New Roman" w:hAnsi="Times New Roman"/>
          <w:color w:val="000000" w:themeColor="text1"/>
          <w:sz w:val="16"/>
          <w:szCs w:val="16"/>
        </w:rPr>
        <w:softHyphen/>
        <w:t>менную, торпедопогрузочное устройство было переделано, что обеспечило сокращение времени погрузки торпед с 30 до 12 ч, а вместо турбовоздуходувок "Броун—Бовери" для продувания ЦГБ были впервые приспособлены дизели (в режиме компрессора). Все указанные улучшения позднее были внедрены при капитальном ремонте и на лодках III, V и Убис серий (3898).</w:t>
      </w:r>
    </w:p>
    <w:p w14:paraId="4E485328"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47AAF661" w14:textId="77777777" w:rsidR="002C03D8" w:rsidRPr="0044524F" w:rsidRDefault="002C03D8" w:rsidP="009654CF">
      <w:pPr>
        <w:pStyle w:val="rtejustify"/>
        <w:spacing w:before="0" w:after="0"/>
        <w:rPr>
          <w:color w:val="000000" w:themeColor="text1"/>
          <w:sz w:val="16"/>
          <w:szCs w:val="16"/>
        </w:rPr>
      </w:pPr>
      <w:r w:rsidRPr="0044524F">
        <w:rPr>
          <w:color w:val="000000" w:themeColor="text1"/>
          <w:sz w:val="16"/>
          <w:szCs w:val="16"/>
        </w:rPr>
        <w:t>6 ноября 1933 г. головная лодка серии средней лодки VIII серии (позже V</w:t>
      </w:r>
      <w:r w:rsidRPr="0044524F">
        <w:rPr>
          <w:color w:val="000000" w:themeColor="text1"/>
          <w:sz w:val="16"/>
          <w:szCs w:val="16"/>
        </w:rPr>
        <w:noBreakHyphen/>
        <w:t>бис II серии) «Треска» была заложена на Балтийском заводе, спущена на воду 1 августа 1934 г. Строительство велось также на заводе «Красное Сормово». Последняя лодка, предназначенная для тихоокеанского флота, вступила в строй в ноябре 1935 г., а последняя черноморская — в декабре 1936 г. В ходе эксплуатации подводные лодки типа «Щука» всех серий (43 лодки) показали себя достаточно надежными кораблями (15280).</w:t>
      </w:r>
    </w:p>
    <w:p w14:paraId="04BAC0B5" w14:textId="77777777" w:rsidR="002C03D8" w:rsidRPr="0044524F" w:rsidRDefault="002C03D8" w:rsidP="009654CF">
      <w:pPr>
        <w:pStyle w:val="rtejustify"/>
        <w:spacing w:before="0" w:after="0"/>
        <w:rPr>
          <w:color w:val="000000" w:themeColor="text1"/>
          <w:sz w:val="16"/>
          <w:szCs w:val="16"/>
        </w:rPr>
      </w:pPr>
    </w:p>
    <w:p w14:paraId="0B7F8E96" w14:textId="77777777" w:rsidR="00BA29CE" w:rsidRPr="0044524F" w:rsidRDefault="00BA29CE" w:rsidP="009654CF">
      <w:pPr>
        <w:pStyle w:val="ae"/>
        <w:shd w:val="clear" w:color="auto" w:fill="FFFFFF"/>
        <w:spacing w:before="0" w:after="0"/>
        <w:jc w:val="both"/>
        <w:rPr>
          <w:color w:val="000000" w:themeColor="text1"/>
          <w:sz w:val="16"/>
          <w:szCs w:val="16"/>
        </w:rPr>
      </w:pPr>
      <w:r w:rsidRPr="0044524F">
        <w:rPr>
          <w:color w:val="000000" w:themeColor="text1"/>
          <w:sz w:val="16"/>
          <w:szCs w:val="16"/>
        </w:rPr>
        <w:t>6 ноября 1933 года, накануне ноябрьских праздников (прежде их называли «октябрьскими»), заложили три новых лодки V-бис 2 серии «Дельфин» («Щ-309»), «Белуха» («Щ-310») и «Кумжа» («Щ-311»). Строителями их были назначены И. И. Федоров, А. В. Кукин (М. И. Лернер) и И. Г. Губенко.</w:t>
      </w:r>
    </w:p>
    <w:p w14:paraId="378DD820" w14:textId="77777777" w:rsidR="00BA29CE" w:rsidRPr="0044524F" w:rsidRDefault="00BA29C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К 1934 году заметно изменились в лучшую сторону условия работы на стапелях. Заботами нового директора завода М. А. Суркова в судояме была построена металлическая эстакада, оснащенная двумя башенными кранами грузоподъемностью по 10 тонн, увеличилось число железнодорожных кранов. Произошло воссоединение судоверфи с заводом. Производственные мастерские судоверфи были реорганизованы в цехи. Организован судомонтажный цех.</w:t>
      </w:r>
    </w:p>
    <w:p w14:paraId="57A90FFA" w14:textId="77777777" w:rsidR="00BA29CE" w:rsidRPr="0044524F" w:rsidRDefault="00BA29C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К руководству цехами пришли инженеры. Был создан институт инженеров — строителей судов и кораблей, которым на время сдаточных испытаний давались права уполномоченных директора завода. Сменились и другие руководители завода. По воспоминаниям М. И. Лернера, перешагнувшего Дарьинскую проходную завода в августе 1928 года, «… прибывший из Луганска Михаил Архипович Сурков — человек исключительных организаторских способностей, пригласил из Таганрога инженера Василия Трофимовича Садченко и из Киева — главного инженера судоверфи Г. В. Широкорада».</w:t>
      </w:r>
    </w:p>
    <w:p w14:paraId="0BD6C72F" w14:textId="77777777" w:rsidR="00BA29CE" w:rsidRPr="0044524F" w:rsidRDefault="00BA29C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Называть подводные лодки «рыбьими» именами было не ново. Первые два названия («Дельфин» и «Белуха») были понятны всем. А вот «Кумжа» — это слово даже для того времени не всем было известно. Кумжа — лосось-таймень, рыба из семейства лососевых. В «Красной книге» по Нижегородской области она отнесена к категории «ноль» как исчезнувшая в водоемах Волжского бассейна. И описывается так: «Имеет вальковатое тело, покрытое мелкой чешуей, длина тела — до 1 метра, вес — до 50 килограммов, окраска серебристая, спина темная, на боках многочисленные Х-образные черные метки… ».</w:t>
      </w:r>
    </w:p>
    <w:p w14:paraId="49A415FD" w14:textId="77777777" w:rsidR="00BA29CE" w:rsidRPr="0044524F" w:rsidRDefault="00BA29CE" w:rsidP="009654CF">
      <w:pPr>
        <w:pStyle w:val="ae"/>
        <w:shd w:val="clear" w:color="auto" w:fill="FFFFFF"/>
        <w:spacing w:before="0" w:after="0"/>
        <w:jc w:val="both"/>
        <w:rPr>
          <w:color w:val="000000" w:themeColor="text1"/>
          <w:sz w:val="16"/>
          <w:szCs w:val="16"/>
        </w:rPr>
      </w:pPr>
      <w:r w:rsidRPr="0044524F">
        <w:rPr>
          <w:color w:val="000000" w:themeColor="text1"/>
          <w:sz w:val="16"/>
          <w:szCs w:val="16"/>
        </w:rPr>
        <w:t>Судьбы трех подлодок, заложенных в 1933 году, были различными. Если первая ПЛ «Щ-309» «Дельфин» строилась быстрее двух других и всплыла весной 1934 года во время паводка, а через полтора года — 14 ноября 1935 года — была сдана заказчику, то две другие достраивались еще год на стапелях и только в весенний паводок — 10 апреля 1935 года — всплыли, и то не сразу.</w:t>
      </w:r>
    </w:p>
    <w:p w14:paraId="36EC626D" w14:textId="77777777" w:rsidR="00BA29CE" w:rsidRPr="0044524F" w:rsidRDefault="00BA29CE" w:rsidP="009654CF">
      <w:pPr>
        <w:pStyle w:val="ae"/>
        <w:shd w:val="clear" w:color="auto" w:fill="FFFFFF"/>
        <w:spacing w:before="0" w:after="0"/>
        <w:jc w:val="both"/>
        <w:rPr>
          <w:color w:val="000000" w:themeColor="text1"/>
          <w:sz w:val="16"/>
          <w:szCs w:val="16"/>
        </w:rPr>
      </w:pPr>
      <w:r w:rsidRPr="0044524F">
        <w:rPr>
          <w:color w:val="000000" w:themeColor="text1"/>
          <w:sz w:val="16"/>
          <w:szCs w:val="16"/>
        </w:rPr>
        <w:lastRenderedPageBreak/>
        <w:t>Вот как об этом рассказывает М. И. Лернер в своих воспоминаниях: «… паводок оказался низким. При его уровне суда с кильблоков всплыть не могли». Были рассмотрены три варианта их снятия с кильблоков: подъем с помощью дополнительной плавучести эпроновских понтонов; с помощью конструктивных приспособлений в виде консолей укрепленных к плавучему доку (В. М. Коричев, С. Н. Якимовский и А. П. Овчинников); или за счет подъема уровня воды в судояме с помощью накачки ее из Волги насосами. Но ничего этого не потребовалось. На рассвете одного из дней вода прибыла, и лодки всплыли».</w:t>
      </w:r>
    </w:p>
    <w:p w14:paraId="2588CF6F" w14:textId="77777777" w:rsidR="00BA29CE" w:rsidRPr="0044524F" w:rsidRDefault="00BA29CE"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затоне завода лодки продолжали достраиваться еще целый год. Весной 1936 года они были отправлены в доках в Кронштадт, где и были сданы флоту в августе 1936 года. Командирами этих лодок на момент сдачи были Д. Ф. Блок («Щ-310») и А. Г. Лопухин («Щ-311») (12191).</w:t>
      </w:r>
    </w:p>
    <w:p w14:paraId="0C8A9504" w14:textId="77777777" w:rsidR="00BA29CE" w:rsidRPr="0044524F" w:rsidRDefault="00BA29CE" w:rsidP="009654CF">
      <w:pPr>
        <w:pStyle w:val="ae"/>
        <w:shd w:val="clear" w:color="auto" w:fill="FFFFFF"/>
        <w:spacing w:before="0" w:after="0"/>
        <w:jc w:val="both"/>
        <w:rPr>
          <w:color w:val="000000" w:themeColor="text1"/>
          <w:sz w:val="16"/>
          <w:szCs w:val="16"/>
        </w:rPr>
      </w:pPr>
    </w:p>
    <w:p w14:paraId="3B837D11"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E61BB02"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361A3A9C"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ноября 1933 года коллектив второй бригады до</w:t>
      </w:r>
      <w:r w:rsidRPr="0044524F">
        <w:rPr>
          <w:rFonts w:ascii="Times New Roman" w:hAnsi="Times New Roman"/>
          <w:color w:val="000000" w:themeColor="text1"/>
          <w:sz w:val="16"/>
          <w:szCs w:val="16"/>
        </w:rPr>
        <w:softHyphen/>
        <w:t>срочно завершил разработку конструкторско-технологической документации истребителя ЦКБ-12.</w:t>
      </w:r>
    </w:p>
    <w:p w14:paraId="2747526F"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обстановке в коллективе, о том, как проходила работа, ведущий инженер по самолету В.К. Таиров написал в заводской многотиражной газете «Менжинец» следующие строки: «Се</w:t>
      </w:r>
      <w:r w:rsidRPr="0044524F">
        <w:rPr>
          <w:rFonts w:ascii="Times New Roman" w:hAnsi="Times New Roman"/>
          <w:color w:val="000000" w:themeColor="text1"/>
          <w:sz w:val="16"/>
          <w:szCs w:val="16"/>
        </w:rPr>
        <w:softHyphen/>
        <w:t>годня мы празднуем победу. Сегодня мы с гордостью рапортуем о своих достижениях.</w:t>
      </w:r>
    </w:p>
    <w:p w14:paraId="7632250B"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 рады в великий день 16 летия Октября преподнести наш про</w:t>
      </w:r>
      <w:r w:rsidRPr="0044524F">
        <w:rPr>
          <w:rFonts w:ascii="Times New Roman" w:hAnsi="Times New Roman"/>
          <w:color w:val="000000" w:themeColor="text1"/>
          <w:sz w:val="16"/>
          <w:szCs w:val="16"/>
        </w:rPr>
        <w:softHyphen/>
        <w:t>изводственный подарок - досрочное проектирование машины ЦКБ-12, и вместе с нами радуются все лучшие ударники, все, кому дороги интересы завода, интересы страны, потому что наши победы - это победы всего Краснознаменного коллектива менжинцев...</w:t>
      </w:r>
    </w:p>
    <w:p w14:paraId="7CC40417"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 прекрасно понимали, что бригада держит экзамен на аттестат политической, классовой и технической зрелости. Жесткие сроки, высокие технические требования и крайне моло</w:t>
      </w:r>
      <w:r w:rsidRPr="0044524F">
        <w:rPr>
          <w:rFonts w:ascii="Times New Roman" w:hAnsi="Times New Roman"/>
          <w:color w:val="000000" w:themeColor="text1"/>
          <w:sz w:val="16"/>
          <w:szCs w:val="16"/>
        </w:rPr>
        <w:softHyphen/>
        <w:t>дой, не в обиду будь сказано, «безусый» состав бригады, создавали особую напряженность обстановки.</w:t>
      </w:r>
    </w:p>
    <w:p w14:paraId="06DDD22E"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чем секрет наших успехов?</w:t>
      </w:r>
    </w:p>
    <w:p w14:paraId="06D4F0E0"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ЭНТУЗИАЗМ ПЛЮС ПЛАН!</w:t>
      </w:r>
    </w:p>
    <w:p w14:paraId="322983C3"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Основной задачей треугольника бригады было сколотить во</w:t>
      </w:r>
      <w:r w:rsidRPr="0044524F">
        <w:rPr>
          <w:rFonts w:ascii="Times New Roman" w:hAnsi="Times New Roman"/>
          <w:color w:val="000000" w:themeColor="text1"/>
          <w:sz w:val="16"/>
          <w:szCs w:val="16"/>
        </w:rPr>
        <w:softHyphen/>
        <w:t>круг поставленной задачи всю бригаду в единый, дружный коллек</w:t>
      </w:r>
      <w:r w:rsidRPr="0044524F">
        <w:rPr>
          <w:rFonts w:ascii="Times New Roman" w:hAnsi="Times New Roman"/>
          <w:color w:val="000000" w:themeColor="text1"/>
          <w:sz w:val="16"/>
          <w:szCs w:val="16"/>
        </w:rPr>
        <w:softHyphen/>
        <w:t>тив, воодушевленный одной мыслью, одним желанием - «Дать ЦКБ-12 в срок и высокого качества!».</w:t>
      </w:r>
    </w:p>
    <w:p w14:paraId="7DB0A721"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организованы посты по контролю за сроками и качест</w:t>
      </w:r>
      <w:r w:rsidRPr="0044524F">
        <w:rPr>
          <w:rFonts w:ascii="Times New Roman" w:hAnsi="Times New Roman"/>
          <w:color w:val="000000" w:themeColor="text1"/>
          <w:sz w:val="16"/>
          <w:szCs w:val="16"/>
        </w:rPr>
        <w:softHyphen/>
        <w:t>вом, развернуто соцсоревнование и ударничество, проведен ряд бесед, коротких митингов, налажена систематическая связь с цехами, организовано сквозное шефство (во всех сменных брига</w:t>
      </w:r>
      <w:r w:rsidRPr="0044524F">
        <w:rPr>
          <w:rFonts w:ascii="Times New Roman" w:hAnsi="Times New Roman"/>
          <w:color w:val="000000" w:themeColor="text1"/>
          <w:sz w:val="16"/>
          <w:szCs w:val="16"/>
        </w:rPr>
        <w:softHyphen/>
        <w:t>дах и цехах).</w:t>
      </w:r>
    </w:p>
    <w:p w14:paraId="7D088E47"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заботой треугольника было правильно расставить силы, целесообразно направить энергию и энтузиазм работни</w:t>
      </w:r>
      <w:r w:rsidRPr="0044524F">
        <w:rPr>
          <w:rFonts w:ascii="Times New Roman" w:hAnsi="Times New Roman"/>
          <w:color w:val="000000" w:themeColor="text1"/>
          <w:sz w:val="16"/>
          <w:szCs w:val="16"/>
        </w:rPr>
        <w:softHyphen/>
        <w:t>ков, иметь ясную перспективу на каждый день.</w:t>
      </w:r>
    </w:p>
    <w:p w14:paraId="4C472C35"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работы групп (кроме эскизного проекта) были переве</w:t>
      </w:r>
      <w:r w:rsidRPr="0044524F">
        <w:rPr>
          <w:rFonts w:ascii="Times New Roman" w:hAnsi="Times New Roman"/>
          <w:color w:val="000000" w:themeColor="text1"/>
          <w:sz w:val="16"/>
          <w:szCs w:val="16"/>
        </w:rPr>
        <w:softHyphen/>
        <w:t>дены на хозрасчет. Внимательно и серьезно, взвешивая каждое слово, каждое свое обязательство и требования к администра</w:t>
      </w:r>
      <w:r w:rsidRPr="0044524F">
        <w:rPr>
          <w:rFonts w:ascii="Times New Roman" w:hAnsi="Times New Roman"/>
          <w:color w:val="000000" w:themeColor="text1"/>
          <w:sz w:val="16"/>
          <w:szCs w:val="16"/>
        </w:rPr>
        <w:softHyphen/>
        <w:t>ции обсуждали группы хозрасчетный договор и в результате - 13 проц. экономии в часах и 27,6 проц. экономии в стоимости.</w:t>
      </w:r>
    </w:p>
    <w:p w14:paraId="6177D52D"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стало возможно потому, что в процессе проектирова</w:t>
      </w:r>
      <w:r w:rsidRPr="0044524F">
        <w:rPr>
          <w:rFonts w:ascii="Times New Roman" w:hAnsi="Times New Roman"/>
          <w:color w:val="000000" w:themeColor="text1"/>
          <w:sz w:val="16"/>
          <w:szCs w:val="16"/>
        </w:rPr>
        <w:softHyphen/>
        <w:t>ния люди научились серьезно и с уважением относиться к приня</w:t>
      </w:r>
      <w:r w:rsidRPr="0044524F">
        <w:rPr>
          <w:rFonts w:ascii="Times New Roman" w:hAnsi="Times New Roman"/>
          <w:color w:val="000000" w:themeColor="text1"/>
          <w:sz w:val="16"/>
          <w:szCs w:val="16"/>
        </w:rPr>
        <w:softHyphen/>
        <w:t>тым на себя обязательствам, научились бороться за дни, часы и минуты. Контроль сроков, систематическая проверка выпол</w:t>
      </w:r>
      <w:r w:rsidRPr="0044524F">
        <w:rPr>
          <w:rFonts w:ascii="Times New Roman" w:hAnsi="Times New Roman"/>
          <w:color w:val="000000" w:themeColor="text1"/>
          <w:sz w:val="16"/>
          <w:szCs w:val="16"/>
        </w:rPr>
        <w:softHyphen/>
        <w:t>нения планировок за день, за пятидневку, за декаду, оперативное руководство, быстрое расшивание узких мест, перестановка лю</w:t>
      </w:r>
      <w:r w:rsidRPr="0044524F">
        <w:rPr>
          <w:rFonts w:ascii="Times New Roman" w:hAnsi="Times New Roman"/>
          <w:color w:val="000000" w:themeColor="text1"/>
          <w:sz w:val="16"/>
          <w:szCs w:val="16"/>
        </w:rPr>
        <w:softHyphen/>
        <w:t>дей и заданий на ходу, буксировка отстающих - вот что обеспе</w:t>
      </w:r>
      <w:r w:rsidRPr="0044524F">
        <w:rPr>
          <w:rFonts w:ascii="Times New Roman" w:hAnsi="Times New Roman"/>
          <w:color w:val="000000" w:themeColor="text1"/>
          <w:sz w:val="16"/>
          <w:szCs w:val="16"/>
        </w:rPr>
        <w:softHyphen/>
        <w:t>чило нам высокие темпы работы.</w:t>
      </w:r>
    </w:p>
    <w:p w14:paraId="4D3A1D14"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 следует отметить работу тт. Тарасова, Кос</w:t>
      </w:r>
      <w:r w:rsidRPr="0044524F">
        <w:rPr>
          <w:rFonts w:ascii="Times New Roman" w:hAnsi="Times New Roman"/>
          <w:color w:val="000000" w:themeColor="text1"/>
          <w:sz w:val="16"/>
          <w:szCs w:val="16"/>
        </w:rPr>
        <w:softHyphen/>
        <w:t>тенко, Томашевича.</w:t>
      </w:r>
    </w:p>
    <w:p w14:paraId="497A5A29"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«.РЕАЛЬНОСТЬ НАШЕЙ ПРОГРАММЫ - ЭТО ЖИВЫЕ ЛЮДИ, ЭТО - МЫ С ВАМИ» (Сталин).</w:t>
      </w:r>
    </w:p>
    <w:p w14:paraId="75E1C530"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Вот имена лучших рядовых работников бригады: Алимоч- кин, Барсуков, Мусящиков, Лещинер Д., Погибенко, Карпухин, Морозов, Лещинер Б., Бобов, Державина, Котовкин, Узлов, Добродумов, Сейнова. Надо по совести сказать, что для тре</w:t>
      </w:r>
      <w:r w:rsidRPr="0044524F">
        <w:rPr>
          <w:rFonts w:ascii="Times New Roman" w:hAnsi="Times New Roman"/>
          <w:color w:val="000000" w:themeColor="text1"/>
          <w:sz w:val="16"/>
          <w:szCs w:val="16"/>
        </w:rPr>
        <w:softHyphen/>
        <w:t>угольника бригады отобрать из состава бригады эти имена было едва ли не самым трудным этапом во всем проектиро</w:t>
      </w:r>
      <w:r w:rsidRPr="0044524F">
        <w:rPr>
          <w:rFonts w:ascii="Times New Roman" w:hAnsi="Times New Roman"/>
          <w:color w:val="000000" w:themeColor="text1"/>
          <w:sz w:val="16"/>
          <w:szCs w:val="16"/>
        </w:rPr>
        <w:softHyphen/>
        <w:t>вании, потому что, в частности, одним из «секретов» успеха бригады является высокая сработанность всего коллектива бригады, дружная, интенсивная работа его. Победа молодого коллектива бригады стала возможна только в сочетании его энтузиазма, я бы сказал, технического задора молодежи, с опытным высококвалифицированным руководством началь</w:t>
      </w:r>
      <w:r w:rsidRPr="0044524F">
        <w:rPr>
          <w:rFonts w:ascii="Times New Roman" w:hAnsi="Times New Roman"/>
          <w:color w:val="000000" w:themeColor="text1"/>
          <w:sz w:val="16"/>
          <w:szCs w:val="16"/>
        </w:rPr>
        <w:softHyphen/>
        <w:t>ника бригады - Н.Н. Поликарпова.</w:t>
      </w:r>
    </w:p>
    <w:p w14:paraId="7156AAA9"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готовностью оснащая молодежь бригады своим богатым техническим опытом, он сам показывал прекрасные образцы работы по-новому, образцы живого, оперативного высококва</w:t>
      </w:r>
      <w:r w:rsidRPr="0044524F">
        <w:rPr>
          <w:rFonts w:ascii="Times New Roman" w:hAnsi="Times New Roman"/>
          <w:color w:val="000000" w:themeColor="text1"/>
          <w:sz w:val="16"/>
          <w:szCs w:val="16"/>
        </w:rPr>
        <w:softHyphen/>
        <w:t>лифицированного технического руководства. Николай Никола</w:t>
      </w:r>
      <w:r w:rsidRPr="0044524F">
        <w:rPr>
          <w:rFonts w:ascii="Times New Roman" w:hAnsi="Times New Roman"/>
          <w:color w:val="000000" w:themeColor="text1"/>
          <w:sz w:val="16"/>
          <w:szCs w:val="16"/>
        </w:rPr>
        <w:softHyphen/>
        <w:t>евич показывает пример тех богатых возможностей, которые заложены в совместной дружной работе специалистов старой школы с новыми техническими кадрами...</w:t>
      </w:r>
    </w:p>
    <w:p w14:paraId="24DE08B6"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НОВОЙ ЭНЕРГИЕЙ ЗА РАБОТУ В ЦЕХАХ!</w:t>
      </w:r>
    </w:p>
    <w:p w14:paraId="7500F692"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Сдав чертежи, мы не считаем свою работу законченной.</w:t>
      </w:r>
    </w:p>
    <w:p w14:paraId="410031AE"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Мы будем с новой энергией бороться за качество и темпы по</w:t>
      </w:r>
      <w:r w:rsidRPr="0044524F">
        <w:rPr>
          <w:rFonts w:ascii="Times New Roman" w:hAnsi="Times New Roman"/>
          <w:color w:val="000000" w:themeColor="text1"/>
          <w:sz w:val="16"/>
          <w:szCs w:val="16"/>
        </w:rPr>
        <w:softHyphen/>
        <w:t>стройки, за выпуск ЦКБ-12 в срок.</w:t>
      </w:r>
    </w:p>
    <w:p w14:paraId="3F7EB6C1" w14:textId="77777777" w:rsidR="00CE09ED" w:rsidRPr="0044524F" w:rsidRDefault="00CE09E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нашими достижениями у нас в бригаде еще много недостатков, над ликвидацией которых мы будем упорно ра</w:t>
      </w:r>
      <w:r w:rsidRPr="0044524F">
        <w:rPr>
          <w:rFonts w:ascii="Times New Roman" w:hAnsi="Times New Roman"/>
          <w:color w:val="000000" w:themeColor="text1"/>
          <w:sz w:val="16"/>
          <w:szCs w:val="16"/>
        </w:rPr>
        <w:softHyphen/>
        <w:t>ботать. Но самой главной задачей, которую мы перед собой поставили, является создание обстановки дружной, энергичной, коллективной работы бригады с производством, обеспечение совместными силами высокого качества машины» (23455).</w:t>
      </w:r>
    </w:p>
    <w:p w14:paraId="7B35DC15" w14:textId="77777777" w:rsidR="00CE09ED" w:rsidRPr="0044524F" w:rsidRDefault="00CE09ED" w:rsidP="009654CF">
      <w:pPr>
        <w:spacing w:after="0" w:line="240" w:lineRule="auto"/>
        <w:jc w:val="both"/>
        <w:rPr>
          <w:rFonts w:ascii="Times New Roman" w:hAnsi="Times New Roman"/>
          <w:color w:val="000000" w:themeColor="text1"/>
          <w:sz w:val="16"/>
          <w:szCs w:val="16"/>
        </w:rPr>
      </w:pPr>
    </w:p>
    <w:p w14:paraId="289B561C" w14:textId="77777777" w:rsidR="00685DD7" w:rsidRPr="0044524F" w:rsidRDefault="00685D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ноября 1933 г. НИИ ВВС РККА направил в КОСОС и ЗОК письмо: «НИИ ВВС РККА командирует инженера т. Ильинского для ознакомления с самоле</w:t>
      </w:r>
      <w:r w:rsidRPr="0044524F">
        <w:rPr>
          <w:rFonts w:ascii="Times New Roman" w:hAnsi="Times New Roman"/>
          <w:color w:val="000000" w:themeColor="text1"/>
          <w:sz w:val="16"/>
          <w:szCs w:val="16"/>
        </w:rPr>
        <w:softHyphen/>
        <w:t>том «Максим Горький» в разрезе примене</w:t>
      </w:r>
      <w:r w:rsidRPr="0044524F">
        <w:rPr>
          <w:rFonts w:ascii="Times New Roman" w:hAnsi="Times New Roman"/>
          <w:color w:val="000000" w:themeColor="text1"/>
          <w:sz w:val="16"/>
          <w:szCs w:val="16"/>
        </w:rPr>
        <w:softHyphen/>
        <w:t>ния его для военно-десантных операций. НИИ ВВС просит дать необходимые сведе</w:t>
      </w:r>
      <w:r w:rsidRPr="0044524F">
        <w:rPr>
          <w:rFonts w:ascii="Times New Roman" w:hAnsi="Times New Roman"/>
          <w:color w:val="000000" w:themeColor="text1"/>
          <w:sz w:val="16"/>
          <w:szCs w:val="16"/>
        </w:rPr>
        <w:softHyphen/>
        <w:t>ния по центровке, весу, грузоподъемности, а также дать общие виды, аэродинамические расчеты и расчеты на прочность по указа</w:t>
      </w:r>
      <w:r w:rsidRPr="0044524F">
        <w:rPr>
          <w:rFonts w:ascii="Times New Roman" w:hAnsi="Times New Roman"/>
          <w:color w:val="000000" w:themeColor="text1"/>
          <w:sz w:val="16"/>
          <w:szCs w:val="16"/>
        </w:rPr>
        <w:softHyphen/>
        <w:t>нию данного товарища.</w:t>
      </w:r>
    </w:p>
    <w:p w14:paraId="6A433999" w14:textId="77777777" w:rsidR="00685DD7" w:rsidRPr="0044524F" w:rsidRDefault="00685D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материалы необходимы для вы</w:t>
      </w:r>
      <w:r w:rsidRPr="0044524F">
        <w:rPr>
          <w:rFonts w:ascii="Times New Roman" w:hAnsi="Times New Roman"/>
          <w:color w:val="000000" w:themeColor="text1"/>
          <w:sz w:val="16"/>
          <w:szCs w:val="16"/>
        </w:rPr>
        <w:softHyphen/>
        <w:t>полнения срочных заданий. Тов. Ильинский к секретной работе допущен.</w:t>
      </w:r>
    </w:p>
    <w:p w14:paraId="3005A316" w14:textId="77777777" w:rsidR="00685DD7" w:rsidRPr="0044524F" w:rsidRDefault="00685D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НИИ ВВС РККА</w:t>
      </w:r>
      <w:r w:rsidRPr="0044524F">
        <w:rPr>
          <w:rFonts w:ascii="Times New Roman" w:hAnsi="Times New Roman"/>
          <w:color w:val="000000" w:themeColor="text1"/>
          <w:sz w:val="16"/>
          <w:szCs w:val="16"/>
        </w:rPr>
        <w:tab/>
        <w:t>Зильберт</w:t>
      </w:r>
    </w:p>
    <w:p w14:paraId="634E4A2C" w14:textId="77777777" w:rsidR="00685DD7" w:rsidRPr="0044524F" w:rsidRDefault="00685D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Штаба НИИ ВВС РККА</w:t>
      </w:r>
      <w:r w:rsidRPr="0044524F">
        <w:rPr>
          <w:rFonts w:ascii="Times New Roman" w:hAnsi="Times New Roman"/>
          <w:color w:val="000000" w:themeColor="text1"/>
          <w:sz w:val="16"/>
          <w:szCs w:val="16"/>
        </w:rPr>
        <w:tab/>
        <w:t>Трунов».</w:t>
      </w:r>
    </w:p>
    <w:p w14:paraId="4D806941" w14:textId="77777777" w:rsidR="00685DD7" w:rsidRPr="0044524F" w:rsidRDefault="00685D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ЦАГИ Харламов нало</w:t>
      </w:r>
      <w:r w:rsidRPr="0044524F">
        <w:rPr>
          <w:rFonts w:ascii="Times New Roman" w:hAnsi="Times New Roman"/>
          <w:color w:val="000000" w:themeColor="text1"/>
          <w:sz w:val="16"/>
          <w:szCs w:val="16"/>
        </w:rPr>
        <w:softHyphen/>
        <w:t>жил на письмо резолюцию: «Архангель</w:t>
      </w:r>
      <w:r w:rsidRPr="0044524F">
        <w:rPr>
          <w:rFonts w:ascii="Times New Roman" w:hAnsi="Times New Roman"/>
          <w:color w:val="000000" w:themeColor="text1"/>
          <w:sz w:val="16"/>
          <w:szCs w:val="16"/>
        </w:rPr>
        <w:softHyphen/>
        <w:t>скому. Выдать необходимые материалы. 1/ХП-ЗЗ г.» (21240).</w:t>
      </w:r>
    </w:p>
    <w:p w14:paraId="5252B256" w14:textId="77777777" w:rsidR="00685DD7" w:rsidRPr="0044524F" w:rsidRDefault="00685DD7" w:rsidP="009654CF">
      <w:pPr>
        <w:spacing w:after="0" w:line="240" w:lineRule="auto"/>
        <w:jc w:val="both"/>
        <w:rPr>
          <w:rFonts w:ascii="Times New Roman" w:hAnsi="Times New Roman"/>
          <w:color w:val="000000" w:themeColor="text1"/>
          <w:sz w:val="16"/>
          <w:szCs w:val="16"/>
        </w:rPr>
      </w:pPr>
    </w:p>
    <w:p w14:paraId="465020A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ноября 1933 удалось собрать бригаду из 16 человек, достали инструмент и материалы. С немалыми трудностями удалось вырубить СССР-Н10 изо льда и за 10 суток вытащить его на берег. После этого летчики отправились на рыбацкую зимовку. Регулярно, три раза в месяц Ивашина ходил за 80 км. для осмотра гидроплана.</w:t>
      </w:r>
    </w:p>
    <w:p w14:paraId="0B019A3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мая 1934 г. снег, лежавший на крыльях "Валя" начал подтаивать и пропитываться водой. Вес его увеличился, и появилась опасность деформации плоскостей. Новый спасательный отряд освободил самолет от снега, а Ивашина начал ремонт повреждений, полученных машиной за зиму. Когда залив освободился ото льда, оказалось, что самолет лежит в 1,5 км от берега - зимой спасатели явно перестарались.</w:t>
      </w:r>
    </w:p>
    <w:p w14:paraId="5785C08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Решили подвести к лодке воду протекавшей неподалеку речки. Две недели ушло на рытье канала. Еще трое суток Жихарев и Ивашина "по бурлацки" вели самолет по заливу, обходя подводные льдины, и два дня двигались по протоке к реке Юрибей. Здесь низкопробный бензин неожиданно дал вспышку, и летчики смогли дойти до Гыдо-Ямо на моторах. 23 августа экипаж Махоткина доставил сюда дополнительный бензин, после чего самолет перелетел для проведения ремонта в Красноярск (11970).</w:t>
      </w:r>
    </w:p>
    <w:p w14:paraId="41384D71"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7FFC3B1"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ноября 1933 прошли государственные испытания М-52, которые первоначально планировались на ок</w:t>
      </w:r>
      <w:r w:rsidRPr="0044524F">
        <w:rPr>
          <w:rFonts w:ascii="Times New Roman" w:hAnsi="Times New Roman"/>
          <w:color w:val="000000" w:themeColor="text1"/>
          <w:sz w:val="16"/>
          <w:szCs w:val="16"/>
        </w:rPr>
        <w:softHyphen/>
        <w:t>тябрь 1932 г., но в срок не уложи</w:t>
      </w:r>
      <w:r w:rsidRPr="0044524F">
        <w:rPr>
          <w:rFonts w:ascii="Times New Roman" w:hAnsi="Times New Roman"/>
          <w:color w:val="000000" w:themeColor="text1"/>
          <w:sz w:val="16"/>
          <w:szCs w:val="16"/>
        </w:rPr>
        <w:softHyphen/>
        <w:t>лись - первый опытный образец по</w:t>
      </w:r>
      <w:r w:rsidRPr="0044524F">
        <w:rPr>
          <w:rFonts w:ascii="Times New Roman" w:hAnsi="Times New Roman"/>
          <w:color w:val="000000" w:themeColor="text1"/>
          <w:sz w:val="16"/>
          <w:szCs w:val="16"/>
        </w:rPr>
        <w:softHyphen/>
        <w:t>ставили на станок, получив 480 л.с. Но проработал мотор недолго. После разрушения нижнего картера спроектировали новый его вариант, менее унифици</w:t>
      </w:r>
      <w:r w:rsidRPr="0044524F">
        <w:rPr>
          <w:rFonts w:ascii="Times New Roman" w:hAnsi="Times New Roman"/>
          <w:color w:val="000000" w:themeColor="text1"/>
          <w:sz w:val="16"/>
          <w:szCs w:val="16"/>
        </w:rPr>
        <w:softHyphen/>
        <w:t>рованный с М-34, облегченный и с отъемным носком. Изменения внесли также в коленчатый вал. Блок М-52 полностью взя</w:t>
      </w:r>
      <w:r w:rsidRPr="0044524F">
        <w:rPr>
          <w:rFonts w:ascii="Times New Roman" w:hAnsi="Times New Roman"/>
          <w:color w:val="000000" w:themeColor="text1"/>
          <w:sz w:val="16"/>
          <w:szCs w:val="16"/>
        </w:rPr>
        <w:softHyphen/>
        <w:t>ли от М-34, остальные детали и узлы постарались максимально с ним уни</w:t>
      </w:r>
      <w:r w:rsidRPr="0044524F">
        <w:rPr>
          <w:rFonts w:ascii="Times New Roman" w:hAnsi="Times New Roman"/>
          <w:color w:val="000000" w:themeColor="text1"/>
          <w:sz w:val="16"/>
          <w:szCs w:val="16"/>
        </w:rPr>
        <w:softHyphen/>
        <w:t>фицировать. Эскизно прорабатывался высотный вариант М-52 с дополнительным кислородным питанием. Тем временем испытания продолжили, но вскоре УВВС поте</w:t>
      </w:r>
      <w:r w:rsidRPr="0044524F">
        <w:rPr>
          <w:rFonts w:ascii="Times New Roman" w:hAnsi="Times New Roman"/>
          <w:color w:val="000000" w:themeColor="text1"/>
          <w:sz w:val="16"/>
          <w:szCs w:val="16"/>
        </w:rPr>
        <w:softHyphen/>
        <w:t>ряло интерес к М-52 и тему закрыли. Блоки от М-34 использовали так</w:t>
      </w:r>
      <w:r w:rsidRPr="0044524F">
        <w:rPr>
          <w:rFonts w:ascii="Times New Roman" w:hAnsi="Times New Roman"/>
          <w:color w:val="000000" w:themeColor="text1"/>
          <w:sz w:val="16"/>
          <w:szCs w:val="16"/>
        </w:rPr>
        <w:softHyphen/>
        <w:t>же в двух из трех спроектированных вариантов мощного двигателя М-35. Один был 18-цилиндровым УУ-образ-ным (три блока, стоящие через 80° друг от друга), другой - 24-цилиндровым Х-образным (четыре блока). М-55 представлял собой перевер</w:t>
      </w:r>
      <w:r w:rsidRPr="0044524F">
        <w:rPr>
          <w:rFonts w:ascii="Times New Roman" w:hAnsi="Times New Roman"/>
          <w:color w:val="000000" w:themeColor="text1"/>
          <w:sz w:val="16"/>
          <w:szCs w:val="16"/>
        </w:rPr>
        <w:softHyphen/>
        <w:t>нутый (головками вниз) вариант М-34. Проведение его заводских испыта</w:t>
      </w:r>
      <w:r w:rsidRPr="0044524F">
        <w:rPr>
          <w:rFonts w:ascii="Times New Roman" w:hAnsi="Times New Roman"/>
          <w:color w:val="000000" w:themeColor="text1"/>
          <w:sz w:val="16"/>
          <w:szCs w:val="16"/>
        </w:rPr>
        <w:softHyphen/>
        <w:t>ний планировалось на август-октябрь 1933 г. Но работу по нему прекра</w:t>
      </w:r>
      <w:r w:rsidRPr="0044524F">
        <w:rPr>
          <w:rFonts w:ascii="Times New Roman" w:hAnsi="Times New Roman"/>
          <w:color w:val="000000" w:themeColor="text1"/>
          <w:sz w:val="16"/>
          <w:szCs w:val="16"/>
        </w:rPr>
        <w:softHyphen/>
        <w:t>тили в 1932 г., поскольку сочли, что эта схема не даст существенных пре</w:t>
      </w:r>
      <w:r w:rsidRPr="0044524F">
        <w:rPr>
          <w:rFonts w:ascii="Times New Roman" w:hAnsi="Times New Roman"/>
          <w:color w:val="000000" w:themeColor="text1"/>
          <w:sz w:val="16"/>
          <w:szCs w:val="16"/>
        </w:rPr>
        <w:softHyphen/>
        <w:t>имуществ. Опытные образцы М-55 не изготовлялись. Все эти боковые ответвления эво</w:t>
      </w:r>
      <w:r w:rsidRPr="0044524F">
        <w:rPr>
          <w:rFonts w:ascii="Times New Roman" w:hAnsi="Times New Roman"/>
          <w:color w:val="000000" w:themeColor="text1"/>
          <w:sz w:val="16"/>
          <w:szCs w:val="16"/>
        </w:rPr>
        <w:softHyphen/>
        <w:t>люции двигателя оказались бесплод</w:t>
      </w:r>
      <w:r w:rsidRPr="0044524F">
        <w:rPr>
          <w:rFonts w:ascii="Times New Roman" w:hAnsi="Times New Roman"/>
          <w:color w:val="000000" w:themeColor="text1"/>
          <w:sz w:val="16"/>
          <w:szCs w:val="16"/>
        </w:rPr>
        <w:softHyphen/>
        <w:t>ными. Зато сам М-34 постоянно со</w:t>
      </w:r>
      <w:r w:rsidRPr="0044524F">
        <w:rPr>
          <w:rFonts w:ascii="Times New Roman" w:hAnsi="Times New Roman"/>
          <w:color w:val="000000" w:themeColor="text1"/>
          <w:sz w:val="16"/>
          <w:szCs w:val="16"/>
        </w:rPr>
        <w:softHyphen/>
        <w:t>вершенствовался. Первым его вари</w:t>
      </w:r>
      <w:r w:rsidRPr="0044524F">
        <w:rPr>
          <w:rFonts w:ascii="Times New Roman" w:hAnsi="Times New Roman"/>
          <w:color w:val="000000" w:themeColor="text1"/>
          <w:sz w:val="16"/>
          <w:szCs w:val="16"/>
        </w:rPr>
        <w:softHyphen/>
        <w:t>антом стал М-34Ф, выпущенный ма</w:t>
      </w:r>
      <w:r w:rsidRPr="0044524F">
        <w:rPr>
          <w:rFonts w:ascii="Times New Roman" w:hAnsi="Times New Roman"/>
          <w:color w:val="000000" w:themeColor="text1"/>
          <w:sz w:val="16"/>
          <w:szCs w:val="16"/>
        </w:rPr>
        <w:softHyphen/>
        <w:t>лой серией в июне 1933 г. Мотор форсировали по оборотам без вне</w:t>
      </w:r>
      <w:r w:rsidRPr="0044524F">
        <w:rPr>
          <w:rFonts w:ascii="Times New Roman" w:hAnsi="Times New Roman"/>
          <w:color w:val="000000" w:themeColor="text1"/>
          <w:sz w:val="16"/>
          <w:szCs w:val="16"/>
        </w:rPr>
        <w:softHyphen/>
        <w:t>сения существенных конструктивных изменений только за счет регулиров</w:t>
      </w:r>
      <w:r w:rsidRPr="0044524F">
        <w:rPr>
          <w:rFonts w:ascii="Times New Roman" w:hAnsi="Times New Roman"/>
          <w:color w:val="000000" w:themeColor="text1"/>
          <w:sz w:val="16"/>
          <w:szCs w:val="16"/>
        </w:rPr>
        <w:softHyphen/>
        <w:t>ки, получив на максимальных обо</w:t>
      </w:r>
      <w:r w:rsidRPr="0044524F">
        <w:rPr>
          <w:rFonts w:ascii="Times New Roman" w:hAnsi="Times New Roman"/>
          <w:color w:val="000000" w:themeColor="text1"/>
          <w:sz w:val="16"/>
          <w:szCs w:val="16"/>
        </w:rPr>
        <w:softHyphen/>
        <w:t>ротах 830 л.с. В плане УВВС стоял и форсированный до 900 л.с. вариант М-34, именовавшийся М-54. Но он существовал, только в строчках до</w:t>
      </w:r>
      <w:r w:rsidRPr="0044524F">
        <w:rPr>
          <w:rFonts w:ascii="Times New Roman" w:hAnsi="Times New Roman"/>
          <w:color w:val="000000" w:themeColor="text1"/>
          <w:sz w:val="16"/>
          <w:szCs w:val="16"/>
        </w:rPr>
        <w:softHyphen/>
        <w:t>кументов, также как имевший такую же мощность М-34ФРНУ. К более позднему типу ФРН он никакого от</w:t>
      </w:r>
      <w:r w:rsidRPr="0044524F">
        <w:rPr>
          <w:rFonts w:ascii="Times New Roman" w:hAnsi="Times New Roman"/>
          <w:color w:val="000000" w:themeColor="text1"/>
          <w:sz w:val="16"/>
          <w:szCs w:val="16"/>
        </w:rPr>
        <w:softHyphen/>
        <w:t>ношения не имел - предусматрива</w:t>
      </w:r>
      <w:r w:rsidRPr="0044524F">
        <w:rPr>
          <w:rFonts w:ascii="Times New Roman" w:hAnsi="Times New Roman"/>
          <w:color w:val="000000" w:themeColor="text1"/>
          <w:sz w:val="16"/>
          <w:szCs w:val="16"/>
        </w:rPr>
        <w:softHyphen/>
        <w:t>лось, что это будет развитие М-34Ф с редуктором, выключаемым нагне</w:t>
      </w:r>
      <w:r w:rsidRPr="0044524F">
        <w:rPr>
          <w:rFonts w:ascii="Times New Roman" w:hAnsi="Times New Roman"/>
          <w:color w:val="000000" w:themeColor="text1"/>
          <w:sz w:val="16"/>
          <w:szCs w:val="16"/>
        </w:rPr>
        <w:softHyphen/>
        <w:t>тателем и удлиненным валом. Фактически только один серийный самолет оснащался М-34 - тяжелый бомбардировщик ТБ-3. Хлопот с этим было много: пришлось менять мото</w:t>
      </w:r>
      <w:r w:rsidRPr="0044524F">
        <w:rPr>
          <w:rFonts w:ascii="Times New Roman" w:hAnsi="Times New Roman"/>
          <w:color w:val="000000" w:themeColor="text1"/>
          <w:sz w:val="16"/>
          <w:szCs w:val="16"/>
        </w:rPr>
        <w:softHyphen/>
        <w:t>рамы, радиаторы и многое другое. А результат оказался почти нулевым. Практически весь прирост мощнос</w:t>
      </w:r>
      <w:r w:rsidRPr="0044524F">
        <w:rPr>
          <w:rFonts w:ascii="Times New Roman" w:hAnsi="Times New Roman"/>
          <w:color w:val="000000" w:themeColor="text1"/>
          <w:sz w:val="16"/>
          <w:szCs w:val="16"/>
        </w:rPr>
        <w:softHyphen/>
        <w:t>ти «съел» увеличившийся вес мото</w:t>
      </w:r>
      <w:r w:rsidRPr="0044524F">
        <w:rPr>
          <w:rFonts w:ascii="Times New Roman" w:hAnsi="Times New Roman"/>
          <w:color w:val="000000" w:themeColor="text1"/>
          <w:sz w:val="16"/>
          <w:szCs w:val="16"/>
        </w:rPr>
        <w:softHyphen/>
        <w:t>установки. УВВС потребовало установить на М-34 редуктор. Он должен был по</w:t>
      </w:r>
      <w:r w:rsidRPr="0044524F">
        <w:rPr>
          <w:rFonts w:ascii="Times New Roman" w:hAnsi="Times New Roman"/>
          <w:color w:val="000000" w:themeColor="text1"/>
          <w:sz w:val="16"/>
          <w:szCs w:val="16"/>
        </w:rPr>
        <w:softHyphen/>
        <w:t>высить эффективность работы про</w:t>
      </w:r>
      <w:r w:rsidRPr="0044524F">
        <w:rPr>
          <w:rFonts w:ascii="Times New Roman" w:hAnsi="Times New Roman"/>
          <w:color w:val="000000" w:themeColor="text1"/>
          <w:sz w:val="16"/>
          <w:szCs w:val="16"/>
        </w:rPr>
        <w:softHyphen/>
        <w:t>пеллера на тихоходном самолете. В результате появился М-34Р. Носок картера стал отъемным, в нем разместили простенький редуктор-«гитару» из двух шестерен. Он под</w:t>
      </w:r>
      <w:r w:rsidRPr="0044524F">
        <w:rPr>
          <w:rFonts w:ascii="Times New Roman" w:hAnsi="Times New Roman"/>
          <w:color w:val="000000" w:themeColor="text1"/>
          <w:sz w:val="16"/>
          <w:szCs w:val="16"/>
        </w:rPr>
        <w:softHyphen/>
        <w:t>нял вес двигателя примерно на 70 кг. Как отметили специалисты НИИ ВВС, это было примерно в полтора раза больше, чем у иностранных конст</w:t>
      </w:r>
      <w:r w:rsidRPr="0044524F">
        <w:rPr>
          <w:rFonts w:ascii="Times New Roman" w:hAnsi="Times New Roman"/>
          <w:color w:val="000000" w:themeColor="text1"/>
          <w:sz w:val="16"/>
          <w:szCs w:val="16"/>
        </w:rPr>
        <w:softHyphen/>
        <w:t>рукций с той же мощностью. Первый опытный образец М-34Р завершили 6 ноября 1932 г.; всего их сделали семь. Полгода продолжались завод</w:t>
      </w:r>
      <w:r w:rsidRPr="0044524F">
        <w:rPr>
          <w:rFonts w:ascii="Times New Roman" w:hAnsi="Times New Roman"/>
          <w:color w:val="000000" w:themeColor="text1"/>
          <w:sz w:val="16"/>
          <w:szCs w:val="16"/>
        </w:rPr>
        <w:softHyphen/>
        <w:t>ские испытания и доводка, а в апре</w:t>
      </w:r>
      <w:r w:rsidRPr="0044524F">
        <w:rPr>
          <w:rFonts w:ascii="Times New Roman" w:hAnsi="Times New Roman"/>
          <w:color w:val="000000" w:themeColor="text1"/>
          <w:sz w:val="16"/>
          <w:szCs w:val="16"/>
        </w:rPr>
        <w:softHyphen/>
        <w:t>ле-мае 1933 г. прошли государствен</w:t>
      </w:r>
      <w:r w:rsidRPr="0044524F">
        <w:rPr>
          <w:rFonts w:ascii="Times New Roman" w:hAnsi="Times New Roman"/>
          <w:color w:val="000000" w:themeColor="text1"/>
          <w:sz w:val="16"/>
          <w:szCs w:val="16"/>
        </w:rPr>
        <w:softHyphen/>
        <w:t>ные испытания на стенде. Один из двух участвовавших в них двигателей сломался (полетела вертикальная передача к распределительному валу). Но правила испытаний разре</w:t>
      </w:r>
      <w:r w:rsidRPr="0044524F">
        <w:rPr>
          <w:rFonts w:ascii="Times New Roman" w:hAnsi="Times New Roman"/>
          <w:color w:val="000000" w:themeColor="text1"/>
          <w:sz w:val="16"/>
          <w:szCs w:val="16"/>
        </w:rPr>
        <w:softHyphen/>
        <w:t>шали замену и вторую попытку. В итоге — «удовлетворительно» (11848).</w:t>
      </w:r>
    </w:p>
    <w:p w14:paraId="1A031666"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p>
    <w:p w14:paraId="037F0A45" w14:textId="3F8349E5"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BB9A9EC"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5CB886B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7 ноября 1933 в прессе была большая шумиха по поводу К-7 (70,233).</w:t>
      </w:r>
    </w:p>
    <w:p w14:paraId="2E142AD7"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56BC3B3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ноября 1933 ОСГА-101 И.В.Четверикова была выставлена на Красной площади рядом с моделью аэростата СССР (122,27).</w:t>
      </w:r>
    </w:p>
    <w:p w14:paraId="0E38A74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самолет был выпущен весной 1934 (1076,901).</w:t>
      </w:r>
    </w:p>
    <w:p w14:paraId="2E759FF7"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70E30614" w14:textId="77777777" w:rsidR="00D8045E" w:rsidRPr="0044524F" w:rsidRDefault="00D8045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ноября 1933 первый в Советском Союзе аэровокзальный комплекс, который однажды станет Беларусью, открывается в Минске в Белорусской Советской Социалистической Республике (20802).</w:t>
      </w:r>
    </w:p>
    <w:p w14:paraId="506D1AF6" w14:textId="77777777" w:rsidR="00D8045E" w:rsidRPr="0044524F" w:rsidRDefault="00D8045E" w:rsidP="009654CF">
      <w:pPr>
        <w:spacing w:after="0" w:line="240" w:lineRule="auto"/>
        <w:jc w:val="both"/>
        <w:rPr>
          <w:rFonts w:ascii="Times New Roman" w:hAnsi="Times New Roman"/>
          <w:color w:val="000000" w:themeColor="text1"/>
          <w:sz w:val="16"/>
          <w:szCs w:val="16"/>
        </w:rPr>
      </w:pPr>
    </w:p>
    <w:p w14:paraId="71868C69"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1C59580"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240524F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ноября 1933 первый танк Т-35, собранный в Харькове, после предварительной обкатки принял участие в праздничном параде в Харькове (в то время столица Украины). В этот же день оба прототипа - Т-35-1 и Т-35-2 были показаны на параде в Москве (3862).</w:t>
      </w:r>
    </w:p>
    <w:p w14:paraId="746907C6"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7C5C3F85"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ноября 1935 Т-35А принял учасвовать в параде в столице Украины, городе Харькове. Интерес</w:t>
      </w:r>
      <w:r w:rsidRPr="0044524F">
        <w:rPr>
          <w:rFonts w:ascii="Times New Roman" w:hAnsi="Times New Roman"/>
          <w:color w:val="000000" w:themeColor="text1"/>
          <w:sz w:val="16"/>
          <w:szCs w:val="16"/>
        </w:rPr>
        <w:softHyphen/>
        <w:t>но отметить то, что, возвращаясь после парада, танк вышел из строя. Однако он был замечен представителями СМИ. “Сегодня столица Украины приветствовала новый советский тяжелый танк... Эта мощная пятибашенная машина, воорурженная пулеметами и пушками, станет грозой всем недругам, которые мечтают о нападении на нашу миролюбивую Советскую Родину», - писала в те дни пресса (газета «Ленинское знамя», 7-8 ноября 1933 г.). Тогда же при рассмотрении вопроса отражения возможной агрессии на Украину со стороны Польши в расчетах командования Киевского Военного округа уже фигурировал батальон танков Т-35А. Но испытания первого танка на местности были не столь радужными. Новый танк был недостаточно подвижен и больше находился в ремонте, нежели служил (10733,264).</w:t>
      </w:r>
    </w:p>
    <w:p w14:paraId="79FDD69C"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p>
    <w:p w14:paraId="6F3343F5"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ноября 1933 года - оба прототипа Т-35-1 и Т-35-2 были показаны и на пара</w:t>
      </w:r>
      <w:r w:rsidRPr="00142305">
        <w:rPr>
          <w:rFonts w:ascii="Times New Roman" w:hAnsi="Times New Roman"/>
          <w:color w:val="0070C0"/>
          <w:sz w:val="16"/>
          <w:szCs w:val="16"/>
        </w:rPr>
        <w:softHyphen/>
        <w:t>де в Москве (25014).</w:t>
      </w:r>
    </w:p>
    <w:p w14:paraId="1CC30E49" w14:textId="77777777" w:rsidR="00B74B80" w:rsidRPr="00142305" w:rsidRDefault="00B74B80" w:rsidP="00B74B80">
      <w:pPr>
        <w:spacing w:after="0" w:line="240" w:lineRule="auto"/>
        <w:jc w:val="both"/>
        <w:rPr>
          <w:rFonts w:ascii="Times New Roman" w:hAnsi="Times New Roman"/>
          <w:color w:val="0070C0"/>
          <w:sz w:val="16"/>
          <w:szCs w:val="16"/>
        </w:rPr>
      </w:pPr>
    </w:p>
    <w:p w14:paraId="0207B8CD"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ноября 1933 г. первый серийный Т-35, после предва</w:t>
      </w:r>
      <w:r w:rsidRPr="00142305">
        <w:rPr>
          <w:rFonts w:ascii="Times New Roman" w:hAnsi="Times New Roman"/>
          <w:color w:val="0070C0"/>
          <w:sz w:val="16"/>
          <w:szCs w:val="16"/>
        </w:rPr>
        <w:softHyphen/>
        <w:t>рительной обкатки, в окружении танкеток Т-27 принял участие в праздничном параде в Харькове (в то время столица Украины). Но оконча</w:t>
      </w:r>
      <w:r w:rsidRPr="00142305">
        <w:rPr>
          <w:rFonts w:ascii="Times New Roman" w:hAnsi="Times New Roman"/>
          <w:color w:val="0070C0"/>
          <w:sz w:val="16"/>
          <w:szCs w:val="16"/>
        </w:rPr>
        <w:softHyphen/>
        <w:t>тельно военная приемка приняла этот танк лишь в начале следующего года (25014).</w:t>
      </w:r>
    </w:p>
    <w:p w14:paraId="7D493F60" w14:textId="77777777" w:rsidR="00B74B80" w:rsidRPr="00142305" w:rsidRDefault="00B74B80" w:rsidP="00B74B80">
      <w:pPr>
        <w:spacing w:after="0" w:line="240" w:lineRule="auto"/>
        <w:jc w:val="both"/>
        <w:rPr>
          <w:rFonts w:ascii="Times New Roman" w:hAnsi="Times New Roman"/>
          <w:color w:val="0070C0"/>
          <w:sz w:val="16"/>
          <w:szCs w:val="16"/>
        </w:rPr>
      </w:pPr>
    </w:p>
    <w:p w14:paraId="1A1F244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ноября 1933 на параде в Харькове продемонстрировали БТ-32 - танк Кристи М.1932 и эти 15 км зачли в испытания (3879,37).</w:t>
      </w:r>
    </w:p>
    <w:p w14:paraId="37BF3FD0"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3EFFD2B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ноября 1933 г. первые серийные танки Т-37А вместе с Т-41 были показаны во время парада на Красной площади (10733,155).</w:t>
      </w:r>
    </w:p>
    <w:p w14:paraId="7744CE76"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p>
    <w:p w14:paraId="3DEFCD5F"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ноября 1933 года первые серийные танки Т-37А вместе с Т-41 были продемонстрированы во время парада на Красной площади (25019).</w:t>
      </w:r>
    </w:p>
    <w:p w14:paraId="33A67FC4" w14:textId="77777777" w:rsidR="00B74B80" w:rsidRPr="00142305" w:rsidRDefault="00B74B80" w:rsidP="00B74B80">
      <w:pPr>
        <w:spacing w:after="0" w:line="240" w:lineRule="auto"/>
        <w:jc w:val="both"/>
        <w:rPr>
          <w:rFonts w:ascii="Times New Roman" w:hAnsi="Times New Roman"/>
          <w:color w:val="0070C0"/>
          <w:sz w:val="16"/>
          <w:szCs w:val="16"/>
        </w:rPr>
      </w:pPr>
    </w:p>
    <w:p w14:paraId="25B18658"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7 ноября 1933 г. на ЧТЗ выпустили тысячный трактор С-60. Всего за 1933 г. изготовили 1650 машин, за 1934 г. — 10100, за 1935 г. - 20450, за 1936 г. - 29059, до 31 марта 1937 г. - 8002 (в марте - 2810) (12258).</w:t>
      </w:r>
    </w:p>
    <w:p w14:paraId="267BB304" w14:textId="77777777" w:rsidR="00BA29CE" w:rsidRPr="0044524F" w:rsidRDefault="00BA29CE" w:rsidP="009654CF">
      <w:pPr>
        <w:spacing w:after="0" w:line="240" w:lineRule="auto"/>
        <w:jc w:val="both"/>
        <w:rPr>
          <w:rFonts w:ascii="Times New Roman" w:hAnsi="Times New Roman"/>
          <w:color w:val="000000" w:themeColor="text1"/>
          <w:sz w:val="16"/>
          <w:szCs w:val="16"/>
        </w:rPr>
      </w:pPr>
    </w:p>
    <w:p w14:paraId="728F5A25"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7 ноября 1933 г. была подготовлена </w:t>
      </w:r>
      <w:r w:rsidRPr="0044524F">
        <w:rPr>
          <w:rStyle w:val="12"/>
          <w:b w:val="0"/>
          <w:bCs w:val="0"/>
          <w:i w:val="0"/>
          <w:iCs w:val="0"/>
          <w:color w:val="000000" w:themeColor="text1"/>
          <w:spacing w:val="0"/>
          <w:kern w:val="0"/>
          <w:position w:val="0"/>
          <w:sz w:val="16"/>
          <w:szCs w:val="16"/>
          <w:lang w:val="ru-RU"/>
        </w:rPr>
        <w:t xml:space="preserve">ДОКЛАДНАЯ ЗАПИСКА </w:t>
      </w:r>
      <w:r w:rsidRPr="0044524F">
        <w:rPr>
          <w:i w:val="0"/>
          <w:iCs w:val="0"/>
          <w:color w:val="000000" w:themeColor="text1"/>
          <w:spacing w:val="0"/>
          <w:kern w:val="0"/>
          <w:position w:val="0"/>
          <w:sz w:val="16"/>
          <w:szCs w:val="16"/>
          <w:lang w:val="ru-RU"/>
        </w:rPr>
        <w:t>№ 50798</w:t>
      </w:r>
    </w:p>
    <w:p w14:paraId="00823867"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Секретарю ЦК ВКП(б) </w:t>
      </w:r>
    </w:p>
    <w:p w14:paraId="1EBA7DBE"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Тов. Сталину</w:t>
      </w:r>
    </w:p>
    <w:p w14:paraId="7376AFF2"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rStyle w:val="12"/>
          <w:b w:val="0"/>
          <w:bCs w:val="0"/>
          <w:i w:val="0"/>
          <w:iCs w:val="0"/>
          <w:color w:val="000000" w:themeColor="text1"/>
          <w:spacing w:val="0"/>
          <w:kern w:val="0"/>
          <w:position w:val="0"/>
          <w:sz w:val="16"/>
          <w:szCs w:val="16"/>
          <w:lang w:val="ru-RU"/>
        </w:rPr>
        <w:t>Совершенно секретно</w:t>
      </w:r>
    </w:p>
    <w:p w14:paraId="2B48DF06"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Общество с ограниченной ответственностью под названием "Контроль К°" ведет на территории СССР работу по контролю веса, фрах­та и качества экспортируемых нами заграницу товаров (хлеб, уголь, нефть и т д.). В соответствии с характером операции "Контроль-К°" организовало свои конторы во всех портах Черного, Азовского и Балтийского морей (Одесса, Херсон, Николаев, Мариуполь, Бердянск, Новороссийск, Ленинград).</w:t>
      </w:r>
    </w:p>
    <w:p w14:paraId="25A0AE0A"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Документами царской контрразведки устанавливалось, что ряд служащих фирмы "Гольдштик, Гейнце и К</w:t>
      </w:r>
      <w:r w:rsidRPr="0044524F">
        <w:rPr>
          <w:i w:val="0"/>
          <w:iCs w:val="0"/>
          <w:color w:val="000000" w:themeColor="text1"/>
          <w:spacing w:val="0"/>
          <w:kern w:val="0"/>
          <w:position w:val="0"/>
          <w:sz w:val="16"/>
          <w:szCs w:val="16"/>
          <w:vertAlign w:val="superscript"/>
          <w:lang w:val="ru-RU"/>
        </w:rPr>
        <w:t>с</w:t>
      </w:r>
      <w:r w:rsidRPr="0044524F">
        <w:rPr>
          <w:i w:val="0"/>
          <w:iCs w:val="0"/>
          <w:color w:val="000000" w:themeColor="text1"/>
          <w:spacing w:val="0"/>
          <w:kern w:val="0"/>
          <w:position w:val="0"/>
          <w:sz w:val="16"/>
          <w:szCs w:val="16"/>
          <w:lang w:val="ru-RU"/>
        </w:rPr>
        <w:t>", функции и значитель­ная часть личного состава, которой после революции перешли в "Контроль К°", использовались германским генеральным штабом для ак­тивной разведывательной работы.</w:t>
      </w:r>
    </w:p>
    <w:p w14:paraId="20418CB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порядке агентурной проверки деятельности и связей управляю­щего конторой "Контроль К°" в гор Мариуполе австрийского под­данного доктора химии Вайнтцетеля И М. было установлено, что на заводах "Марти" и № 61, минных погребах и огнескладах в ropoде Николаеве, на заводах "Ильича" и "Азовстали" в городе Мариуполе создана широкая разведывательная сеть.</w:t>
      </w:r>
    </w:p>
    <w:p w14:paraId="0DBF8B6B"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22-го октября был подожжен эллинг судостроительного завода им. "Марти" в Николаеве и происшедшим поджогом выведены из строя две подводные лодки, предназначенные для отправки на Дальний Восток.</w:t>
      </w:r>
    </w:p>
    <w:p w14:paraId="085439ED"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Арестованный по подозрению в совершении поджога начальник производственного отдела завода инженер Гуммерт Ю А. (советский гражданин) показал, что поджог эллинга произведен им по зада­нию немецких инженеров Карлла Г.В. и Кришайта Рихарда (герман­ский подданный), завербовавших его для разведывательной и ди­версионной работы.</w:t>
      </w:r>
    </w:p>
    <w:p w14:paraId="223EF977"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Непосредственными выполнителями акта являлись инженер Горовенко и мастера Плохим и Ивановский (оба ранее исключены из ря­дов ВКП(б) Поджог был произведен путем короткого замыкания тока под полом эллинга, который предварительно в соответствующем мес­те мастером Плохим был облит воспламеняющимся веществом ("Кузбаслак") Предполагалось, что огонь охватит площадь, где находится большой бак с "Кузбаслаком" и вызовет взрыв, в результате которо­го будут приведены в негодность остальные подводные лодки, нахо­дящиеся в эллинге. Дувший с моря ветер способствовал быстрому распространению огня и гибели двух подводных лодок.</w:t>
      </w:r>
    </w:p>
    <w:p w14:paraId="64F4FED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После осуществления поджога намечалось выполнение еще ряда диверсионных актов - подорвать главный плавучий кран, разрушить энергетическое хозяйство завода - вывести, таким образом, на дли­тельный срок завод "Марти". Одновременно должны были быть взор­ваны минный погреб и огнесклады в гор Николаеве</w:t>
      </w:r>
    </w:p>
    <w:p w14:paraId="25E0F87D"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Группа диверсантов, на коих было возложено выполнение дивер­сии, арестованы и сознались.</w:t>
      </w:r>
    </w:p>
    <w:p w14:paraId="42A99559"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Следствием установлено, что организаторы диверсионной рабо­ты германские инженеры Карлл и Кришайт были связаны с указан­ным выше Вайнцетелем И.М., управляющим конторой "Контроль К°" в Мариуполе.</w:t>
      </w:r>
    </w:p>
    <w:p w14:paraId="7ED34B2C"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Дальнейшие аресты служащих завода им. Марти, связанных по делу "Контроль К°" с немецкими специалистами Карлл и Кришайтом, - начальника отдела технико-экономического планирования Шеффера Артура (гр, СССР), консультанта по котлостроению Фоге­ля Отто (гр. СССР) и начальника отдела калькуляции, инженера Коз­ловского вскрыли широкую диверсионно-разведывательную работу, ведущуюся представителем фирмы "Контроль К°" Вайнцетелем (ав­стрийский подданный, арестован) через немецких специалистов Верман (германский подданный, арестован), сознался в диверсионно-раз­ведывательной работе), Кришайт (австрийский подданный, аресто­ван, сознался в диверсионно-разведывательной работе) и Карлл (гер­манский подданный, арестован).</w:t>
      </w:r>
    </w:p>
    <w:p w14:paraId="0AF7E102"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Произведенная ликвидация остальных связей Вайнцетеля по су­достроительному заводу им. Марти и по заводу им. Ильича полностью подтвердила как разведывательную деятельность последнего, так и подготовку им диверсионных кадров.</w:t>
      </w:r>
    </w:p>
    <w:p w14:paraId="627FAD51"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Арестованный начальник парового хозяйства завода "Ильича" румынский подданный Танку Э.Г. показал, что в круг его обязанно­стей входило не только собирание данных об оборонной продукции завода, но и осуществление диверсионных актов. По заданиям Вай­нцетеля, он должен был вывести из строя паровое хозяйство завода, обслуживающее все агрегаты и состоящие из 5-ти котельных установок и разрушить новую электростанцию, оснащенную 6-ю котель­ными установками с 3-мя турбинами, каждая мощностью в 6200 квт.</w:t>
      </w:r>
    </w:p>
    <w:p w14:paraId="5728E0FA"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Арестованный инженер-химик того же завода Ставровский (советский гражданин) показал, что он разновременно передал Вайнцетелю самые подробные сведения о производительной мощности за­вода, о выработке новой специальной броневой стали, так называе­мой двухслойной марки "МИ", способом получения которой особен­но интересовалась германская разведка</w:t>
      </w:r>
    </w:p>
    <w:p w14:paraId="564BCDE1"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Всей суммой полученных материалов устанавливается, что Вайнцетель распространил свою разведывательную деятельность на все Черноморское побережье, организовав сеть ячеек, выявленных к на­стоящему времени, и во главе которых стояли в г Одессе - предста­витель п/х К° "Дейтш-Левант Линие" - Мевес (германский поддан­ный) и его помощник, представитель ''Контроль К°" Герме (сов граж­данин, арестован, сознался в диверсионно-разведывательной рабо­те), в Севастополе на морском]заводе, вНовороссийске - Вайнцетель Карл (австрийский подданный) и его ближайший помощник Щеглов (гр. СССР).</w:t>
      </w:r>
    </w:p>
    <w:p w14:paraId="352622A1"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Агентурой Вайнцетеля являлись работающие на заводах немец­кие специалисты, старослужащие различных немецких фирм, в част­ности фирмы 'Тольдштик, Гейнце и К°", имевшей до войны отделе­ния почти во всех портовых городах Черного и Азовского морей, лю­теранское духовенство и выходцы из немецких колоний, бежавших от раскулачивания, и устроившиеся в качестве рабочих на различ­ных промышленных предприятиях, фабриках и новостройках.</w:t>
      </w:r>
    </w:p>
    <w:p w14:paraId="130B57ED"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Центр диверсионно-разведывательной работы, как установлено материалами следствия и агентуры, возглавлялся представителем фирмы "Контроль К°" в СССР бельгийским подданным Бернард С.К.</w:t>
      </w:r>
    </w:p>
    <w:p w14:paraId="3538E5FB"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lastRenderedPageBreak/>
        <w:t>Арестованный сотрудник московской конторы "Контроль К°", бывший белый офицер и германский шпион со времен мировой вой­ны Гаман Г.А. (сов гражданин), подтвердил, что под прикрытием фирмы осуществляется активная диверсионная деятельность герман­ской разведки, начало которой положено германским генштабом еще во время империалистической войны.</w:t>
      </w:r>
    </w:p>
    <w:p w14:paraId="62DBA19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Для характеристики активности вскрытой диверсионно-шпионской организации заслуживает внимания имевший место 28-го октяб­ря 1933 г. случай расправы с сотрудницей германской разведки Михельсон Г К , работавшей в качестве машинистки в "Контроль К°".</w:t>
      </w:r>
    </w:p>
    <w:p w14:paraId="1ED28AFA"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Гаман показал, что, будучи связан с ней непосредственно по раз­ведывательной линии, он заметил, что после арестов, произведенных нашими органами среди сотрудников "Контроль К°" на Украине, Михельсон начала нервничать и проявлять тенденции к тому, чтобы разоблачить перед ОГПУ известные ей факты диверсионно-разведы­вательной работы Для предотвращения этого Гаман выбросил Ми­хельсон под встречный поезд между станциями Плющево и Вишняки, Казанской ж д (Михельсон погибла).</w:t>
      </w:r>
    </w:p>
    <w:p w14:paraId="0E2A54FE"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 целях развертывания следствия и проверки первичных показа­ний мою были командированы на Украину начальник Особого от­дела тов. Гай" и зам начальника ЭКУ тон Шанин. Проведенная ими агентурно-следственная работа полностью подтвердила имею­щиеся данные о диверсионной деятельности '' К°".</w:t>
      </w:r>
    </w:p>
    <w:p w14:paraId="090B4248"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Для ликвидации диверсионной работы немецкой разведки считал бы необходимым произвести арест представителя фирмы "Контроль К°" Бернард С К , бельгийского подданного, Вайнцетеля Карла, ав­стрийского подданного, управляющего отделением той-же фирмы в гор. Новороссийске и представителя п/х К "Дейтш-Левант Линие" Мевеса (германский подданный) в Одессе. </w:t>
      </w:r>
    </w:p>
    <w:p w14:paraId="0FFA8BDE"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Зам. пред. ОГПУ Ягода</w:t>
      </w:r>
    </w:p>
    <w:p w14:paraId="19D4709C" w14:textId="77777777" w:rsidR="00570C39" w:rsidRPr="0044524F" w:rsidRDefault="00570C39" w:rsidP="009654CF">
      <w:pPr>
        <w:pStyle w:val="af2"/>
        <w:jc w:val="both"/>
        <w:rPr>
          <w:bCs/>
          <w:i w:val="0"/>
          <w:iCs w:val="0"/>
          <w:color w:val="000000" w:themeColor="text1"/>
          <w:spacing w:val="0"/>
          <w:kern w:val="0"/>
          <w:position w:val="0"/>
          <w:sz w:val="16"/>
          <w:szCs w:val="16"/>
          <w:lang w:val="ru-RU"/>
        </w:rPr>
      </w:pPr>
      <w:r w:rsidRPr="0044524F">
        <w:rPr>
          <w:rStyle w:val="12"/>
          <w:b w:val="0"/>
          <w:bCs w:val="0"/>
          <w:i w:val="0"/>
          <w:iCs w:val="0"/>
          <w:color w:val="000000" w:themeColor="text1"/>
          <w:spacing w:val="0"/>
          <w:kern w:val="0"/>
          <w:position w:val="0"/>
          <w:sz w:val="16"/>
          <w:szCs w:val="16"/>
          <w:lang w:val="ru-RU"/>
        </w:rPr>
        <w:t>АП РФ, ф. 3, оп. 58, д. 243, л. 196-200 (11462).</w:t>
      </w:r>
    </w:p>
    <w:p w14:paraId="05F0C38D" w14:textId="77777777" w:rsidR="00570C39" w:rsidRPr="0044524F" w:rsidRDefault="00570C39" w:rsidP="009654CF">
      <w:pPr>
        <w:pStyle w:val="af2"/>
        <w:jc w:val="both"/>
        <w:rPr>
          <w:i w:val="0"/>
          <w:iCs w:val="0"/>
          <w:color w:val="000000" w:themeColor="text1"/>
          <w:spacing w:val="0"/>
          <w:kern w:val="0"/>
          <w:position w:val="0"/>
          <w:sz w:val="16"/>
          <w:szCs w:val="16"/>
          <w:lang w:val="ru-RU"/>
        </w:rPr>
      </w:pPr>
    </w:p>
    <w:p w14:paraId="008AB884" w14:textId="77777777" w:rsidR="002C03D8"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4D54D95" w14:textId="77777777" w:rsidR="002C03D8" w:rsidRPr="0044524F" w:rsidRDefault="002C03D8" w:rsidP="009654CF">
      <w:pPr>
        <w:spacing w:after="0" w:line="240" w:lineRule="auto"/>
        <w:jc w:val="both"/>
        <w:rPr>
          <w:rFonts w:ascii="Times New Roman" w:hAnsi="Times New Roman"/>
          <w:color w:val="000000" w:themeColor="text1"/>
          <w:sz w:val="16"/>
          <w:szCs w:val="16"/>
        </w:rPr>
      </w:pPr>
    </w:p>
    <w:p w14:paraId="660E3EB8" w14:textId="77777777" w:rsidR="002C03D8" w:rsidRPr="0044524F" w:rsidRDefault="002C03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ноября 1933 г. начальник научной экспедиции на парохо</w:t>
      </w:r>
      <w:r w:rsidRPr="0044524F">
        <w:rPr>
          <w:rFonts w:ascii="Times New Roman" w:hAnsi="Times New Roman"/>
          <w:color w:val="000000" w:themeColor="text1"/>
          <w:sz w:val="16"/>
          <w:szCs w:val="16"/>
        </w:rPr>
        <w:softHyphen/>
        <w:t>де «Челюскин» О.Ю. Шмидт радировал в Москву, что они находятся в Беринговом про</w:t>
      </w:r>
      <w:r w:rsidRPr="0044524F">
        <w:rPr>
          <w:rFonts w:ascii="Times New Roman" w:hAnsi="Times New Roman"/>
          <w:color w:val="000000" w:themeColor="text1"/>
          <w:sz w:val="16"/>
          <w:szCs w:val="16"/>
        </w:rPr>
        <w:softHyphen/>
        <w:t>ливе у острова Диомида, всего лишь в двух милях от чистой воды. Прошло несколько дней напряженного ожидания, но надеждам не суждено было оправ</w:t>
      </w:r>
      <w:r w:rsidRPr="0044524F">
        <w:rPr>
          <w:rFonts w:ascii="Times New Roman" w:hAnsi="Times New Roman"/>
          <w:color w:val="000000" w:themeColor="text1"/>
          <w:sz w:val="16"/>
          <w:szCs w:val="16"/>
        </w:rPr>
        <w:softHyphen/>
        <w:t>даться. Начавшимся штормом льды понесло в обратном направлении.</w:t>
      </w:r>
    </w:p>
    <w:p w14:paraId="4B890C3C" w14:textId="77777777" w:rsidR="002C03D8" w:rsidRPr="0044524F" w:rsidRDefault="002C03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Чукчи снова видели «Челюскин» в районе мыса Сердце-Камень, милях в 10—15 от берега. Он был беспомощен, льды тащили судно на восток. Охотники тогда говорили, что, если бы пароход мог проломить кромку и приблизиться к берегу, дальше свобод</w:t>
      </w:r>
      <w:r w:rsidRPr="0044524F">
        <w:rPr>
          <w:rFonts w:ascii="Times New Roman" w:hAnsi="Times New Roman"/>
          <w:color w:val="000000" w:themeColor="text1"/>
          <w:sz w:val="16"/>
          <w:szCs w:val="16"/>
        </w:rPr>
        <w:softHyphen/>
        <w:t>ный путь был бы ему обеспечен. На помощь зазимовавшим пароходам из бухты Про</w:t>
      </w:r>
      <w:r w:rsidRPr="0044524F">
        <w:rPr>
          <w:rFonts w:ascii="Times New Roman" w:hAnsi="Times New Roman"/>
          <w:color w:val="000000" w:themeColor="text1"/>
          <w:sz w:val="16"/>
          <w:szCs w:val="16"/>
        </w:rPr>
        <w:softHyphen/>
        <w:t>видения вышел ледорез «Литке», но пробиться к «Челюскину» он не смог.</w:t>
      </w:r>
    </w:p>
    <w:p w14:paraId="63A72925" w14:textId="77777777" w:rsidR="002C03D8" w:rsidRPr="0044524F" w:rsidRDefault="002C03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1928 г. для решения задачи освоение бескрайних просторов Севера и Чукотки под руководством бывшего главкома ВС РККА С.С. Каменева создали Арктическую правительственную комиссию. Построенный в 1933 г. в Дании по заказу СССР «Челюскин» предназначал</w:t>
      </w:r>
      <w:r w:rsidRPr="0044524F">
        <w:rPr>
          <w:rFonts w:ascii="Times New Roman" w:hAnsi="Times New Roman"/>
          <w:color w:val="000000" w:themeColor="text1"/>
          <w:sz w:val="16"/>
          <w:szCs w:val="16"/>
        </w:rPr>
        <w:softHyphen/>
        <w:t>ся для коммерческих плаваний в Арктике, хотя и не был ледоколом.</w:t>
      </w:r>
    </w:p>
    <w:p w14:paraId="1EE257FF" w14:textId="77777777" w:rsidR="002C03D8" w:rsidRPr="0044524F" w:rsidRDefault="002C03D8" w:rsidP="009654CF">
      <w:pPr>
        <w:pStyle w:val="45"/>
        <w:framePr w:h="196" w:vSpace="134" w:wrap="around" w:vAnchor="text" w:hAnchor="margin" w:x="7893" w:y="1695"/>
        <w:shd w:val="clear" w:color="auto" w:fill="auto"/>
        <w:spacing w:before="0" w:line="240" w:lineRule="auto"/>
        <w:jc w:val="both"/>
        <w:rPr>
          <w:rFonts w:ascii="Times New Roman" w:cs="Times New Roman"/>
          <w:color w:val="000000" w:themeColor="text1"/>
          <w:sz w:val="16"/>
          <w:szCs w:val="16"/>
        </w:rPr>
      </w:pPr>
      <w:r w:rsidRPr="0044524F">
        <w:rPr>
          <w:rFonts w:ascii="Times New Roman" w:cs="Times New Roman"/>
          <w:color w:val="000000" w:themeColor="text1"/>
          <w:sz w:val="16"/>
          <w:szCs w:val="16"/>
        </w:rPr>
        <w:t>93</w:t>
      </w:r>
    </w:p>
    <w:p w14:paraId="6C568629" w14:textId="77777777" w:rsidR="002C03D8" w:rsidRPr="0044524F" w:rsidRDefault="002C03D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Судоходство в районе побережья Чукотки год от года становилось все оживлённей. Если в 1920-х годах туда лишь изредка заходили американские шхуны и пароходы «Ставрополь» и «Колыма» из Владивостока, то в 1931 г. на Чукотку пришло 6 парохо</w:t>
      </w:r>
      <w:r w:rsidRPr="0044524F">
        <w:rPr>
          <w:rFonts w:ascii="Times New Roman" w:hAnsi="Times New Roman"/>
          <w:color w:val="000000" w:themeColor="text1"/>
          <w:sz w:val="16"/>
          <w:szCs w:val="16"/>
        </w:rPr>
        <w:softHyphen/>
        <w:t>дов, в 1932 г. — 12, а в 1933 — не менее 20. В том году там сложилась особенно тя</w:t>
      </w:r>
      <w:r w:rsidRPr="0044524F">
        <w:rPr>
          <w:rFonts w:ascii="Times New Roman" w:hAnsi="Times New Roman"/>
          <w:color w:val="000000" w:themeColor="text1"/>
          <w:sz w:val="16"/>
          <w:szCs w:val="16"/>
        </w:rPr>
        <w:softHyphen/>
        <w:t>желая ледовая обстановка. Из ледового плена не смогли выбраться и зазимовали три парохода, среди них «Челюскин». Жители посёлка Уэллен видели, как вмерзший во льды «Челюскин» дрейфовал в Берингов пролив (15822).</w:t>
      </w:r>
    </w:p>
    <w:p w14:paraId="4E65B965" w14:textId="77777777" w:rsidR="002C03D8" w:rsidRPr="0044524F" w:rsidRDefault="002C03D8" w:rsidP="009654CF">
      <w:pPr>
        <w:spacing w:after="0" w:line="240" w:lineRule="auto"/>
        <w:jc w:val="both"/>
        <w:rPr>
          <w:rFonts w:ascii="Times New Roman" w:hAnsi="Times New Roman"/>
          <w:color w:val="000000" w:themeColor="text1"/>
          <w:sz w:val="16"/>
          <w:szCs w:val="16"/>
        </w:rPr>
      </w:pPr>
    </w:p>
    <w:p w14:paraId="2F86441D"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CEFE001"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29716D8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ноября 1933 нач. РАУ РККА Н.А.Ефимов писал И.В.С. претензии к мобилизационной работе в промышленности. В 1931 было три плана: С-30, скорректированный С-30 и МВ-10. Была только малая база, основывающаяся на кадровых заводах, а большой базы - не было и в случае войны мобилизация сорвется. В ноябре 1933 начали разработку нового плана МП-33, по которому в случае войны в 1933 д. б. б. произведены 15800 танков, 15000 танкеток и бронемашин, 2650 разведчиков, 2020 бомбардировщиков, 2460 истребителей, 8730 учебных машин (1566,117).</w:t>
      </w:r>
    </w:p>
    <w:p w14:paraId="7F84258A"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0BA11A3E"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E7880C9"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2FF164B4"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ноября 1933 начальцик РАУ РККА Н.А.ЕФИМОВ в записке к И.В.Сталину о отметив при этом крайнюю узость подготавливаемой к мобилизационному развертыванию военно-промышленной базы: «Несколько месяцев назад руководители мобилизации промышленности представили в Комиссию Обороны свой доклад, который говорит не о мобилизации, а о существующих и проверенных заказами мирного времени мощностях заводов. Это неверно. Успех мобилизации промышленности зависит не только от подготовленной в мирное время «малой базы», куда входят «кадровые» военные заводы, но и от технической эдготовки «большой базы». Сегодняшнее состояние мобилизационной работы в тяжелой промышленности сорвет нам промышленную мобилизацию в случае войны» (ГАРФ 8418, оп. 8, д. 157, л. 30) (1566,117).</w:t>
      </w:r>
    </w:p>
    <w:p w14:paraId="5AB12462"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p>
    <w:p w14:paraId="58CD9905"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274315A"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1E96300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ноября 1933 в Афганистане после убийства Мухаммеда Надир-шаха падишахом стал Мухаммед Захир-шах (2443,408).</w:t>
      </w:r>
    </w:p>
    <w:p w14:paraId="02BE1AD9"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5218AC2E"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7924725"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61C0062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ноября 1933 Дир. КАИ С.Гудзик и Нач. КБ и Ицкович писали письмо N 90 в НТОС ГУАП Алмазову на вх. 00280/638с от 19 октября 1933:</w:t>
      </w:r>
    </w:p>
    <w:p w14:paraId="1EB9948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"Ваше указание о необходимости представить на рассмотрение НИИ ВВС конструктивной схемы КАИ-1 в варианте учебного бомбардировщика принимаем к исполнению. Задержка в представлении этой схемы происходит из-за отсутствия у нас габаритных размеров требуемого оборудования.</w:t>
      </w:r>
    </w:p>
    <w:p w14:paraId="508326D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расположения л в пассажирском варианте, так же как и в варианте уч. бомбардировщика нами по получению Вашего отношения проработан также и этот вопрос. При чем оказалось, что никаких осложнений в конструкцию это требование не вносит и потому м.б. удовлетоворено.</w:t>
      </w:r>
    </w:p>
    <w:p w14:paraId="52765B0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мы считали бы целесообразным в пассажирском варианте сохранить первоначальную схему с устройством легко переносимого управления впереди для переднего расположения л. Нами такая возможность предусмотрена, полагая, что окончательное решение по этому вопросу примет макетная комиссия.</w:t>
      </w:r>
    </w:p>
    <w:p w14:paraId="218FE41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отношении распоряжения о представлении НИИ ВВС конструктивной схемы мы полагаем, что если до 10 ноября нам не удастся получить точных габаритов оборудования, мы примем их ориентировочно и в таком виде представим схему." (2305,83).</w:t>
      </w:r>
    </w:p>
    <w:p w14:paraId="282EA63E"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0AC6879"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130BC88"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3BE8C1C0"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ноября 1933 первый автомобиль Я-5, оснащенный дизелем «Коджу» вышел из ворот завода. На нем были две дополнительные фары на кабине и светящаяся надпись – «ЯГАЗ-дизель». В середине ноября из Ярославля в Москву отправилась колонна грузовиков – участников первого «дизельного» пробега по маршруту Ярославль–Москва–Ярославль. Впереди шли два грузовика с дизелями «Коджу», изготовленные к ноябрьским праздникам. Их испытывали вместе с дизелями MAN, MVM, AEC и Deutz, и «Коджу» выдержали первое серьезное испытание. Участники пробега докладывали: «Всю дорогу не было аварий. А из четырех иностранных дизелей три выбыли из строя» (21328).</w:t>
      </w:r>
    </w:p>
    <w:p w14:paraId="6B5DB8B1" w14:textId="77777777" w:rsidR="001B7C90" w:rsidRPr="0044524F" w:rsidRDefault="001B7C90" w:rsidP="009654CF">
      <w:pPr>
        <w:spacing w:after="0" w:line="240" w:lineRule="auto"/>
        <w:jc w:val="both"/>
        <w:rPr>
          <w:rFonts w:ascii="Times New Roman" w:hAnsi="Times New Roman"/>
          <w:color w:val="000000" w:themeColor="text1"/>
          <w:sz w:val="16"/>
          <w:szCs w:val="16"/>
        </w:rPr>
      </w:pPr>
    </w:p>
    <w:p w14:paraId="05834542"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ноября 1933 первый автомобиль Я-5 с двигателем Коджу вышел из ворот завода. Он имел две до</w:t>
      </w:r>
      <w:r w:rsidRPr="0044524F">
        <w:rPr>
          <w:rFonts w:ascii="Times New Roman" w:hAnsi="Times New Roman"/>
          <w:color w:val="000000" w:themeColor="text1"/>
          <w:sz w:val="16"/>
          <w:szCs w:val="16"/>
        </w:rPr>
        <w:softHyphen/>
        <w:t>полнительные фары на кабине и светящуюся над</w:t>
      </w:r>
      <w:r w:rsidRPr="0044524F">
        <w:rPr>
          <w:rFonts w:ascii="Times New Roman" w:hAnsi="Times New Roman"/>
          <w:color w:val="000000" w:themeColor="text1"/>
          <w:sz w:val="16"/>
          <w:szCs w:val="16"/>
        </w:rPr>
        <w:softHyphen/>
        <w:t>пись «ЯГАЗ-дизель» (22518).</w:t>
      </w:r>
    </w:p>
    <w:p w14:paraId="18049845" w14:textId="77777777" w:rsidR="001B7C90" w:rsidRPr="0044524F" w:rsidRDefault="001B7C90" w:rsidP="009654CF">
      <w:pPr>
        <w:spacing w:after="0" w:line="240" w:lineRule="auto"/>
        <w:jc w:val="both"/>
        <w:rPr>
          <w:rFonts w:ascii="Times New Roman" w:hAnsi="Times New Roman"/>
          <w:color w:val="000000" w:themeColor="text1"/>
          <w:sz w:val="16"/>
          <w:szCs w:val="16"/>
        </w:rPr>
      </w:pPr>
    </w:p>
    <w:p w14:paraId="15BD675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9 ноября 1933 было подготовлено донесение № 5с</w:t>
      </w:r>
    </w:p>
    <w:p w14:paraId="1E31C4A7"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Тов. Сталину </w:t>
      </w:r>
    </w:p>
    <w:p w14:paraId="76520AEA"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Тов. Молотову </w:t>
      </w:r>
    </w:p>
    <w:p w14:paraId="4479A17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По материалам ОГПУ, служащие фирмы "Контроль-К°" (по техническому обслуживанию нашего хлебного экспорта) являлись агентурой германской разведки, причем в эту работу были втянуты по­чти все служащие фирмы советские граждане.</w:t>
      </w:r>
    </w:p>
    <w:p w14:paraId="0933AF18"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Пока арестовано 10 человек советских граждан - служащих этой фирмы в портах.</w:t>
      </w:r>
    </w:p>
    <w:p w14:paraId="1ED0D7EE"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После арестов генеральный представитель фирмы в Москве Бернгард обратился к Председателю Экспортхлеба т. Киссину с запросом о причинах ареста их служащих, указывая, что эти аресты дезорга­низовали работу фирмы в портах и она лишена будет возможности выполнять свои функции ("Контроль К°") удостоверяет количество погруженного товара на пароходы, гарантирует выгрузку этого же количества в портах назначения, по поручению инофирм принимает в наших портах </w:t>
      </w:r>
      <w:r w:rsidRPr="0044524F">
        <w:rPr>
          <w:i w:val="0"/>
          <w:iCs w:val="0"/>
          <w:color w:val="000000" w:themeColor="text1"/>
          <w:spacing w:val="0"/>
          <w:kern w:val="0"/>
          <w:position w:val="0"/>
          <w:sz w:val="16"/>
          <w:szCs w:val="16"/>
          <w:lang w:val="ru-RU"/>
        </w:rPr>
        <w:lastRenderedPageBreak/>
        <w:t>нефть, пек и другие товары, а также гарантирует сохранность товара в СССР по вариантным операциям с инофирма­ми - против этих гарантий инобанки авансом выплачивают нам сто­имость товара).</w:t>
      </w:r>
    </w:p>
    <w:p w14:paraId="4CF87F61"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Тов. Киссин заявил, что обратился с запросом в Прокуратуру и только после этого сумеет информировать Бернгарда об этом деле.</w:t>
      </w:r>
    </w:p>
    <w:p w14:paraId="743B95BC"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Бернгард сносится по этому делу со своим генеральным правлени­ем в Женеве, и не исключена возможность дальнейшего нажима фир­мы посредством затягивания выдачи гарантийных свидетельств, что может создать нам некоторые трудности.</w:t>
      </w:r>
    </w:p>
    <w:p w14:paraId="2CEC43E9"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По согласованию с ОГПУ (т Прокофьевым) считаю целесообразным поручить Киссину вызвать Бернгарда и заявить ему, что по по­лученным им от прокуратуры сведениям установлено, что некоторые служащие фирмы занимались антигосударственной деятельностью. Это доказано их собственным показанием и признанием Следствие показывает, что к этому делу имеют отношение также отдельные слу­жащие - иноподданные Прокуратура не выдвигает обвинения про­тив фирмы, как таковой, но считает, что имеет место использование имени и аппарата фирмы. Бернгард должен сделать из этого нужные выводы в отношении комплектования аппарата.</w:t>
      </w:r>
    </w:p>
    <w:p w14:paraId="7EF609CC"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Далее Киссин должен будет рекомендовать Бернгарду немедленно восстановить аппарат и не прерывать оперативных функций.</w:t>
      </w:r>
    </w:p>
    <w:p w14:paraId="3FE2D43D"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Прошу Вашего согласия А Розенгольц</w:t>
      </w:r>
    </w:p>
    <w:p w14:paraId="7BF50F2F" w14:textId="77777777" w:rsidR="00570C39" w:rsidRPr="0044524F" w:rsidRDefault="00570C39" w:rsidP="009654CF">
      <w:pPr>
        <w:pStyle w:val="af2"/>
        <w:jc w:val="both"/>
        <w:rPr>
          <w:rStyle w:val="12"/>
          <w:b w:val="0"/>
          <w:bCs w:val="0"/>
          <w:i w:val="0"/>
          <w:iCs w:val="0"/>
          <w:color w:val="000000" w:themeColor="text1"/>
          <w:spacing w:val="0"/>
          <w:kern w:val="0"/>
          <w:position w:val="0"/>
          <w:sz w:val="16"/>
          <w:szCs w:val="16"/>
          <w:lang w:val="ru-RU"/>
        </w:rPr>
      </w:pPr>
      <w:r w:rsidRPr="0044524F">
        <w:rPr>
          <w:rStyle w:val="12"/>
          <w:b w:val="0"/>
          <w:bCs w:val="0"/>
          <w:i w:val="0"/>
          <w:iCs w:val="0"/>
          <w:color w:val="000000" w:themeColor="text1"/>
          <w:spacing w:val="0"/>
          <w:kern w:val="0"/>
          <w:position w:val="0"/>
          <w:sz w:val="16"/>
          <w:szCs w:val="16"/>
          <w:lang w:val="ru-RU"/>
        </w:rPr>
        <w:t>АП РФ ф. 3 оп 58, д. 243, л. 98-99 (11462).</w:t>
      </w:r>
    </w:p>
    <w:p w14:paraId="035474EA" w14:textId="77777777" w:rsidR="00570C39" w:rsidRPr="0044524F" w:rsidRDefault="00570C39" w:rsidP="009654CF">
      <w:pPr>
        <w:pStyle w:val="af2"/>
        <w:jc w:val="both"/>
        <w:rPr>
          <w:bCs/>
          <w:i w:val="0"/>
          <w:iCs w:val="0"/>
          <w:color w:val="000000" w:themeColor="text1"/>
          <w:spacing w:val="0"/>
          <w:kern w:val="0"/>
          <w:position w:val="0"/>
          <w:sz w:val="16"/>
          <w:szCs w:val="16"/>
          <w:lang w:val="ru-RU"/>
        </w:rPr>
      </w:pPr>
    </w:p>
    <w:p w14:paraId="5A15EBC7" w14:textId="77777777" w:rsidR="002C03D8" w:rsidRPr="0044524F" w:rsidRDefault="002C03D8" w:rsidP="009654CF">
      <w:pPr>
        <w:pStyle w:val="rtejustify"/>
        <w:spacing w:before="0" w:after="0"/>
        <w:rPr>
          <w:color w:val="000000" w:themeColor="text1"/>
          <w:sz w:val="16"/>
          <w:szCs w:val="16"/>
        </w:rPr>
      </w:pPr>
      <w:r w:rsidRPr="0044524F">
        <w:rPr>
          <w:rStyle w:val="af0"/>
          <w:bCs/>
          <w:i w:val="0"/>
          <w:color w:val="000000" w:themeColor="text1"/>
          <w:sz w:val="16"/>
          <w:szCs w:val="16"/>
        </w:rPr>
        <w:t>9 ноября 1933 вышел приказ НКТП № 205с.</w:t>
      </w:r>
      <w:r w:rsidRPr="0044524F">
        <w:rPr>
          <w:color w:val="000000" w:themeColor="text1"/>
          <w:sz w:val="16"/>
          <w:szCs w:val="16"/>
        </w:rPr>
        <w:t xml:space="preserve"> О порядке сношений с германским посольством и другими организациями по экономическим вопросам всех предприятий НКТП СССР. (РГАЭ. Ф. 7297. Оп. 38. Д. 38. Л. 168) (15246).</w:t>
      </w:r>
    </w:p>
    <w:p w14:paraId="16032909" w14:textId="77777777" w:rsidR="002C03D8" w:rsidRPr="0044524F" w:rsidRDefault="002C03D8" w:rsidP="009654CF">
      <w:pPr>
        <w:pStyle w:val="rtejustify"/>
        <w:spacing w:before="0" w:after="0"/>
        <w:rPr>
          <w:color w:val="000000" w:themeColor="text1"/>
          <w:sz w:val="16"/>
          <w:szCs w:val="16"/>
        </w:rPr>
      </w:pPr>
    </w:p>
    <w:p w14:paraId="4219C2D1"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ноября 1933 опросом членов ПБ</w:t>
      </w:r>
    </w:p>
    <w:p w14:paraId="7153B20D"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51/37.- О постройке 100 торпедных катеров для ДВ,</w:t>
      </w:r>
    </w:p>
    <w:p w14:paraId="32E28CAB"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НКТП СССР, под личную ответственность т.Орджоникидзе.построить и перебросить на ДВ к 1.У.34Г. 100 торпедных катеров типа Г-5.</w:t>
      </w:r>
    </w:p>
    <w:p w14:paraId="383B3DFC"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Установить следующий календарный план сдачи торпедных катеров заводом им.Марти (ГУСП):</w:t>
      </w:r>
    </w:p>
    <w:p w14:paraId="53C5B96C"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w:t>
      </w:r>
      <w:r w:rsidRPr="0044524F">
        <w:rPr>
          <w:rFonts w:ascii="Times New Roman" w:hAnsi="Times New Roman"/>
          <w:color w:val="000000" w:themeColor="text1"/>
          <w:sz w:val="16"/>
          <w:szCs w:val="16"/>
        </w:rPr>
        <w:tab/>
        <w:t>1</w:t>
      </w:r>
      <w:r w:rsidRPr="0044524F">
        <w:rPr>
          <w:rFonts w:ascii="Times New Roman" w:hAnsi="Times New Roman"/>
          <w:color w:val="000000" w:themeColor="text1"/>
          <w:sz w:val="16"/>
          <w:szCs w:val="16"/>
        </w:rPr>
        <w:tab/>
        <w:t>катер.</w:t>
      </w:r>
    </w:p>
    <w:p w14:paraId="63674C02"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TOC \o "1-5" \h \z </w:instrText>
      </w:r>
      <w:r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rPr>
        <w:t>" декабре "</w:t>
      </w:r>
      <w:r w:rsidRPr="0044524F">
        <w:rPr>
          <w:rFonts w:ascii="Times New Roman" w:hAnsi="Times New Roman"/>
          <w:color w:val="000000" w:themeColor="text1"/>
          <w:sz w:val="16"/>
          <w:szCs w:val="16"/>
        </w:rPr>
        <w:tab/>
        <w:t>7</w:t>
      </w:r>
    </w:p>
    <w:p w14:paraId="0CDBD886"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январе 1934 г.</w:t>
      </w:r>
      <w:r w:rsidRPr="0044524F">
        <w:rPr>
          <w:rFonts w:ascii="Times New Roman" w:hAnsi="Times New Roman"/>
          <w:color w:val="000000" w:themeColor="text1"/>
          <w:sz w:val="16"/>
          <w:szCs w:val="16"/>
        </w:rPr>
        <w:tab/>
        <w:t>18</w:t>
      </w:r>
      <w:r w:rsidRPr="0044524F">
        <w:rPr>
          <w:rFonts w:ascii="Times New Roman" w:hAnsi="Times New Roman"/>
          <w:color w:val="000000" w:themeColor="text1"/>
          <w:sz w:val="16"/>
          <w:szCs w:val="16"/>
        </w:rPr>
        <w:tab/>
        <w:t>"</w:t>
      </w:r>
    </w:p>
    <w:p w14:paraId="690E4074"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феврале "</w:t>
      </w:r>
      <w:r w:rsidRPr="0044524F">
        <w:rPr>
          <w:rFonts w:ascii="Times New Roman" w:hAnsi="Times New Roman"/>
          <w:color w:val="000000" w:themeColor="text1"/>
          <w:sz w:val="16"/>
          <w:szCs w:val="16"/>
        </w:rPr>
        <w:tab/>
        <w:t>25</w:t>
      </w:r>
      <w:r w:rsidRPr="0044524F">
        <w:rPr>
          <w:rFonts w:ascii="Times New Roman" w:hAnsi="Times New Roman"/>
          <w:color w:val="000000" w:themeColor="text1"/>
          <w:sz w:val="16"/>
          <w:szCs w:val="16"/>
        </w:rPr>
        <w:tab/>
        <w:t>"</w:t>
      </w:r>
    </w:p>
    <w:p w14:paraId="62CB8FAF"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марте "</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30</w:t>
      </w:r>
      <w:r w:rsidRPr="0044524F">
        <w:rPr>
          <w:rFonts w:ascii="Times New Roman" w:hAnsi="Times New Roman"/>
          <w:color w:val="000000" w:themeColor="text1"/>
          <w:sz w:val="16"/>
          <w:szCs w:val="16"/>
        </w:rPr>
        <w:tab/>
        <w:t>"</w:t>
      </w:r>
    </w:p>
    <w:p w14:paraId="36541BD8"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20 апреля"</w:t>
      </w:r>
      <w:r w:rsidRPr="0044524F">
        <w:rPr>
          <w:rFonts w:ascii="Times New Roman" w:hAnsi="Times New Roman"/>
          <w:color w:val="000000" w:themeColor="text1"/>
          <w:sz w:val="16"/>
          <w:szCs w:val="16"/>
        </w:rPr>
        <w:tab/>
        <w:t>19</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fldChar w:fldCharType="end"/>
      </w:r>
    </w:p>
    <w:p w14:paraId="53BCFD31"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Исходя из срока сдачи торпедных катеров, обя</w:t>
      </w:r>
      <w:r w:rsidRPr="0044524F">
        <w:rPr>
          <w:rFonts w:ascii="Times New Roman" w:hAnsi="Times New Roman"/>
          <w:color w:val="000000" w:themeColor="text1"/>
          <w:sz w:val="16"/>
          <w:szCs w:val="16"/>
        </w:rPr>
        <w:softHyphen/>
        <w:t>зать ГУАП.под личную ответственность тов. Королева И Директора Завола 24 т. Марьямова подать на завод им. Марти 200 моторов в следующие сроки:</w:t>
      </w:r>
    </w:p>
    <w:p w14:paraId="144A24D5"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мотора М-34</w:t>
      </w:r>
      <w:r w:rsidRPr="0044524F">
        <w:rPr>
          <w:rFonts w:ascii="Times New Roman" w:hAnsi="Times New Roman"/>
          <w:color w:val="000000" w:themeColor="text1"/>
          <w:sz w:val="16"/>
          <w:szCs w:val="16"/>
        </w:rPr>
        <w:tab/>
        <w:t>- 18 ноября 1933 г.</w:t>
      </w:r>
    </w:p>
    <w:p w14:paraId="7B73C5A9"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t>- к 1 декабря 1933 г.</w:t>
      </w:r>
    </w:p>
    <w:p w14:paraId="2372CCC6"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t>- в декабре 1933 г. по 10 шт.в декаду.</w:t>
      </w:r>
    </w:p>
    <w:p w14:paraId="06267C75"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ГМ-34</w:t>
      </w:r>
      <w:r w:rsidRPr="0044524F">
        <w:rPr>
          <w:rFonts w:ascii="Times New Roman" w:hAnsi="Times New Roman"/>
          <w:color w:val="000000" w:themeColor="text1"/>
          <w:sz w:val="16"/>
          <w:szCs w:val="16"/>
        </w:rPr>
        <w:tab/>
        <w:t>без реверса</w:t>
      </w:r>
      <w:r w:rsidRPr="0044524F">
        <w:rPr>
          <w:rFonts w:ascii="Times New Roman" w:hAnsi="Times New Roman"/>
          <w:color w:val="000000" w:themeColor="text1"/>
          <w:sz w:val="16"/>
          <w:szCs w:val="16"/>
        </w:rPr>
        <w:tab/>
        <w:t>к 1 декабря 1933 г.</w:t>
      </w:r>
    </w:p>
    <w:p w14:paraId="0D8154A5"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в декабре 1933 г.</w:t>
      </w:r>
    </w:p>
    <w:p w14:paraId="35990400"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в январе 1934 г. по 20</w:t>
      </w:r>
      <w:r w:rsidRPr="0044524F">
        <w:rPr>
          <w:rFonts w:ascii="Times New Roman" w:hAnsi="Times New Roman"/>
          <w:color w:val="000000" w:themeColor="text1"/>
          <w:sz w:val="16"/>
          <w:szCs w:val="16"/>
        </w:rPr>
        <w:tab/>
        <w:t>шт. в декаду</w:t>
      </w:r>
    </w:p>
    <w:p w14:paraId="4A3B4778"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в феврале 1934 г.по 20шт. в декаду.</w:t>
      </w:r>
    </w:p>
    <w:p w14:paraId="5F31ADC5"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к 15 марта 1934 года.</w:t>
      </w:r>
    </w:p>
    <w:p w14:paraId="0FE43CFB"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виде временной меры, для ускорения введения ка</w:t>
      </w:r>
      <w:r w:rsidRPr="0044524F">
        <w:rPr>
          <w:rFonts w:ascii="Times New Roman" w:hAnsi="Times New Roman"/>
          <w:color w:val="000000" w:themeColor="text1"/>
          <w:sz w:val="16"/>
          <w:szCs w:val="16"/>
        </w:rPr>
        <w:softHyphen/>
        <w:t>теров в строй, поставить на 20 катеров авиационные мо</w:t>
      </w:r>
      <w:r w:rsidRPr="0044524F">
        <w:rPr>
          <w:rFonts w:ascii="Times New Roman" w:hAnsi="Times New Roman"/>
          <w:color w:val="000000" w:themeColor="text1"/>
          <w:sz w:val="16"/>
          <w:szCs w:val="16"/>
        </w:rPr>
        <w:softHyphen/>
        <w:t>торы М-34, а на все остальные торпедные катера - мото</w:t>
      </w:r>
      <w:r w:rsidRPr="0044524F">
        <w:rPr>
          <w:rFonts w:ascii="Times New Roman" w:hAnsi="Times New Roman"/>
          <w:color w:val="000000" w:themeColor="text1"/>
          <w:sz w:val="16"/>
          <w:szCs w:val="16"/>
        </w:rPr>
        <w:softHyphen/>
        <w:t>ры ГМ-34 без реверсов с тем, чтобы после изготовления моторов ГМ-34 с реверсами заменить ими 40 моторов без реверсов поставленные на первых 20-ти катерах и уста</w:t>
      </w:r>
      <w:r w:rsidRPr="0044524F">
        <w:rPr>
          <w:rFonts w:ascii="Times New Roman" w:hAnsi="Times New Roman"/>
          <w:color w:val="000000" w:themeColor="text1"/>
          <w:sz w:val="16"/>
          <w:szCs w:val="16"/>
        </w:rPr>
        <w:softHyphen/>
        <w:t>новить реверсы на остальных 160 моторах ГМ-34.</w:t>
      </w:r>
    </w:p>
    <w:p w14:paraId="42041790"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ГУСП (т.Кондратьева) и НКВМор (т.Орлова):</w:t>
      </w:r>
    </w:p>
    <w:p w14:paraId="3208D9DD"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закончить испытания катера с мотором ГМ-34 с реверсом к 15 ноября 1933 года;</w:t>
      </w:r>
    </w:p>
    <w:p w14:paraId="189AB201"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установить 2 мотора М-34 на торпедном катере к 1 декабря 1933 г. и закончить его испытание к 15 декабря;</w:t>
      </w:r>
    </w:p>
    <w:p w14:paraId="01AB851E"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смонтировать к 10 декабря на одном катере 2 мо</w:t>
      </w:r>
      <w:r w:rsidRPr="0044524F">
        <w:rPr>
          <w:rFonts w:ascii="Times New Roman" w:hAnsi="Times New Roman"/>
          <w:color w:val="000000" w:themeColor="text1"/>
          <w:sz w:val="16"/>
          <w:szCs w:val="16"/>
        </w:rPr>
        <w:softHyphen/>
        <w:t>тора ГМ-34 без реверса и испытать его не позднее 20 декабря.</w:t>
      </w:r>
    </w:p>
    <w:p w14:paraId="2C1E7E95"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Начальнику ГУАП тов. Королеву в кратчайший срок поставить серийное производство реверсивных муфт для моторов ГМ-34 на заводе "Спартак* с началом выпуска не позднее 1 апреля 1934 года.</w:t>
      </w:r>
    </w:p>
    <w:p w14:paraId="28EAD3D4"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Возложить на ГУАП (т.т.Макаровского и Колосова) ответственность за переделку и приспособление моторов М-34 для надежной работы в условиях торпедного катера.</w:t>
      </w:r>
    </w:p>
    <w:p w14:paraId="53CD3140"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НКВМору организовать приемный аппарат на заводе М 24 для приемки моторов, предназначенных для кате</w:t>
      </w:r>
      <w:r w:rsidRPr="0044524F">
        <w:rPr>
          <w:rFonts w:ascii="Times New Roman" w:hAnsi="Times New Roman"/>
          <w:color w:val="000000" w:themeColor="text1"/>
          <w:sz w:val="16"/>
          <w:szCs w:val="16"/>
        </w:rPr>
        <w:softHyphen/>
        <w:t>ров, а также усилить приемный аппарат на заводе им.Мар</w:t>
      </w:r>
      <w:r w:rsidRPr="0044524F">
        <w:rPr>
          <w:rFonts w:ascii="Times New Roman" w:hAnsi="Times New Roman"/>
          <w:color w:val="000000" w:themeColor="text1"/>
          <w:sz w:val="16"/>
          <w:szCs w:val="16"/>
        </w:rPr>
        <w:softHyphen/>
        <w:t>ти в Ленинграде.</w:t>
      </w:r>
    </w:p>
    <w:p w14:paraId="01E737CD"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Определить всю программу выпуска моторов ГМ-34 для Военно-Морских Сил РККА на 1934 год в 350 моторов.</w:t>
      </w:r>
    </w:p>
    <w:p w14:paraId="1E5454E5"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 СССР совместно с НКВМором в декадный срок установить план выпуска всех моторов, в соответствии с программой строительства кораблей.</w:t>
      </w:r>
    </w:p>
    <w:p w14:paraId="2449891F"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Молотову (К.О.), Орджоникидзе, Гамарнику.</w:t>
      </w:r>
    </w:p>
    <w:p w14:paraId="341E3005"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состоялось заседание ПБ и был оформлен протокол № 149 (22999).</w:t>
      </w:r>
    </w:p>
    <w:p w14:paraId="05250DC8" w14:textId="77777777" w:rsidR="001B7C90" w:rsidRPr="0044524F" w:rsidRDefault="001B7C90" w:rsidP="009654CF">
      <w:pPr>
        <w:spacing w:after="0" w:line="240" w:lineRule="auto"/>
        <w:jc w:val="both"/>
        <w:rPr>
          <w:rFonts w:ascii="Times New Roman" w:hAnsi="Times New Roman"/>
          <w:color w:val="000000" w:themeColor="text1"/>
          <w:sz w:val="16"/>
          <w:szCs w:val="16"/>
        </w:rPr>
      </w:pPr>
    </w:p>
    <w:p w14:paraId="1249EC6E"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8FFE73E"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4C57009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состоялось совещание техкомиссии по РД и решили РД-1 переделать под редукторный мотор (1102).</w:t>
      </w:r>
    </w:p>
    <w:p w14:paraId="40BEEDEF"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77BAC96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года начальник 7 сектора Жемчужин писал письмо N 2/01461 начальнику штаба ВВС в сопровождение Отчета о гос. испытаниях самолета ТБ3-4М34</w:t>
      </w:r>
    </w:p>
    <w:p w14:paraId="53CE787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32F0890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испытание самолетов ТБ3-4М34 без редукторов (NN 22203 и 22204).</w:t>
      </w:r>
    </w:p>
    <w:p w14:paraId="50C4DD6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Выбор наилучшего винта из трех представленных ЦАГИ.</w:t>
      </w:r>
    </w:p>
    <w:p w14:paraId="2B6EA3C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Изыскание путей облегчений винтомоторной группы.</w:t>
      </w:r>
    </w:p>
    <w:p w14:paraId="4E8E616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473AE71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значительно лучших летных данных самолета ТБ3-4М34 без редуктора с винтами Д=3,18 Н=1,88 (С Тб4-6М34) считать необходимым все самолеты ТБ3-4М34 выпускать с этим типом винтов.</w:t>
      </w:r>
    </w:p>
    <w:p w14:paraId="39C0F65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начаты 28 сентября 1933 года.</w:t>
      </w:r>
    </w:p>
    <w:p w14:paraId="3AB720E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проведены за 13 дней (3903,147-200).</w:t>
      </w:r>
    </w:p>
    <w:p w14:paraId="1E76FC37"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55B694D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 по 15 ноября 1933 в Харькове был туман, аварийная посадка К-7 при падении с высоты 8 м была где-то между 8 и 9 ноября 1933. Якобы в цепи управления углом установки стабилизатора нашли забитый болт (70,236).</w:t>
      </w:r>
    </w:p>
    <w:p w14:paraId="58789AD3"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5D87CA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состоялся 9-й полет К-7 К.А.К. с увеличенной нагрузкой (30.5 т) с экипажем 20 чел продолжительностью 30 мин. Прекратили из-за течи радиатора заднего мотора</w:t>
      </w:r>
    </w:p>
    <w:p w14:paraId="7D31D62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Сводка о ходе заводских испытаний с-та К-7 за время с 2-го по 12 ноября 1933 Зам. Пред. Комиссии по проведению испытаний, Член комиссии и отв. секретарь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384"/>
        <w:gridCol w:w="2410"/>
        <w:gridCol w:w="1089"/>
        <w:gridCol w:w="3447"/>
        <w:gridCol w:w="1776"/>
        <w:gridCol w:w="1105"/>
      </w:tblGrid>
      <w:tr w:rsidR="004E10C1" w:rsidRPr="0044524F" w14:paraId="76F2B337" w14:textId="77777777">
        <w:tc>
          <w:tcPr>
            <w:tcW w:w="1384" w:type="dxa"/>
            <w:tcBorders>
              <w:top w:val="single" w:sz="12" w:space="0" w:color="auto"/>
            </w:tcBorders>
          </w:tcPr>
          <w:p w14:paraId="7BF1495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 испытания</w:t>
            </w:r>
          </w:p>
        </w:tc>
        <w:tc>
          <w:tcPr>
            <w:tcW w:w="2410" w:type="dxa"/>
            <w:tcBorders>
              <w:top w:val="single" w:sz="12" w:space="0" w:color="auto"/>
            </w:tcBorders>
          </w:tcPr>
          <w:p w14:paraId="7297913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полета</w:t>
            </w:r>
          </w:p>
        </w:tc>
        <w:tc>
          <w:tcPr>
            <w:tcW w:w="1089" w:type="dxa"/>
            <w:tcBorders>
              <w:top w:val="single" w:sz="12" w:space="0" w:color="auto"/>
            </w:tcBorders>
          </w:tcPr>
          <w:p w14:paraId="3BAA68C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Продолжительность</w:t>
            </w:r>
          </w:p>
        </w:tc>
        <w:tc>
          <w:tcPr>
            <w:tcW w:w="3447" w:type="dxa"/>
            <w:tcBorders>
              <w:top w:val="single" w:sz="12" w:space="0" w:color="auto"/>
            </w:tcBorders>
          </w:tcPr>
          <w:p w14:paraId="13839CD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испытания</w:t>
            </w:r>
          </w:p>
        </w:tc>
        <w:tc>
          <w:tcPr>
            <w:tcW w:w="1776" w:type="dxa"/>
            <w:tcBorders>
              <w:top w:val="single" w:sz="12" w:space="0" w:color="auto"/>
            </w:tcBorders>
          </w:tcPr>
          <w:p w14:paraId="3B250DE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Выявленные и устраненные в процессе испытаний дефекты</w:t>
            </w:r>
          </w:p>
        </w:tc>
        <w:tc>
          <w:tcPr>
            <w:tcW w:w="1105" w:type="dxa"/>
            <w:tcBorders>
              <w:top w:val="single" w:sz="12" w:space="0" w:color="auto"/>
            </w:tcBorders>
          </w:tcPr>
          <w:p w14:paraId="1792D49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5F75A38A" w14:textId="77777777">
        <w:tc>
          <w:tcPr>
            <w:tcW w:w="1384" w:type="dxa"/>
            <w:tcBorders>
              <w:bottom w:val="single" w:sz="12" w:space="0" w:color="auto"/>
            </w:tcBorders>
          </w:tcPr>
          <w:p w14:paraId="57D249A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w:t>
            </w:r>
          </w:p>
        </w:tc>
        <w:tc>
          <w:tcPr>
            <w:tcW w:w="2410" w:type="dxa"/>
            <w:tcBorders>
              <w:bottom w:val="single" w:sz="12" w:space="0" w:color="auto"/>
            </w:tcBorders>
          </w:tcPr>
          <w:p w14:paraId="3961661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с увеличенной нагрузкой до 30,5 т при начальной центровке 32,5%</w:t>
            </w:r>
          </w:p>
          <w:p w14:paraId="6895431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по отчету - девятый</w:t>
            </w:r>
          </w:p>
          <w:p w14:paraId="413B839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Экипаж с-та - 20 чел.</w:t>
            </w:r>
          </w:p>
        </w:tc>
        <w:tc>
          <w:tcPr>
            <w:tcW w:w="1089" w:type="dxa"/>
            <w:tcBorders>
              <w:bottom w:val="single" w:sz="12" w:space="0" w:color="auto"/>
            </w:tcBorders>
          </w:tcPr>
          <w:p w14:paraId="23337D6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30 мин.</w:t>
            </w:r>
          </w:p>
        </w:tc>
        <w:tc>
          <w:tcPr>
            <w:tcW w:w="3447" w:type="dxa"/>
            <w:tcBorders>
              <w:bottom w:val="single" w:sz="12" w:space="0" w:color="auto"/>
            </w:tcBorders>
          </w:tcPr>
          <w:p w14:paraId="095F0B4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 -22 сек., 352 м</w:t>
            </w:r>
          </w:p>
          <w:p w14:paraId="1E40460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Пробег без тормозов - 49 сек.,07 м</w:t>
            </w:r>
          </w:p>
          <w:p w14:paraId="22CAA2C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по альтиметру 1200 м, по барографу - 1500 м, при центровке 32,5%</w:t>
            </w:r>
          </w:p>
          <w:p w14:paraId="52D477C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Угол стабилизатора в полете +3,5</w:t>
            </w:r>
          </w:p>
          <w:p w14:paraId="3C03D6F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приземления - 80 км/час</w:t>
            </w:r>
          </w:p>
        </w:tc>
        <w:tc>
          <w:tcPr>
            <w:tcW w:w="1776" w:type="dxa"/>
            <w:tcBorders>
              <w:bottom w:val="single" w:sz="12" w:space="0" w:color="auto"/>
            </w:tcBorders>
          </w:tcPr>
          <w:p w14:paraId="7A59F0F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Полет прекращен из-за течи водяного радиатора заднего мотора</w:t>
            </w:r>
          </w:p>
        </w:tc>
        <w:tc>
          <w:tcPr>
            <w:tcW w:w="1105" w:type="dxa"/>
            <w:tcBorders>
              <w:bottom w:val="single" w:sz="12" w:space="0" w:color="auto"/>
            </w:tcBorders>
          </w:tcPr>
          <w:p w14:paraId="677DC82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следующему полету </w:t>
            </w:r>
            <w:r w:rsidRPr="0044524F">
              <w:rPr>
                <w:rFonts w:ascii="Times New Roman" w:hAnsi="Times New Roman"/>
                <w:color w:val="000000" w:themeColor="text1"/>
                <w:sz w:val="16"/>
                <w:szCs w:val="16"/>
              </w:rPr>
              <w:lastRenderedPageBreak/>
              <w:t>радиатор исправлен</w:t>
            </w:r>
          </w:p>
        </w:tc>
      </w:tr>
    </w:tbl>
    <w:p w14:paraId="3F0FD7A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(2306,109).</w:t>
      </w:r>
    </w:p>
    <w:p w14:paraId="5DCFDD94"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A74696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10 по 15 ноября 1933 в Севастополе проходили заводские испытаниям гидросамолета Р-5а N 6763 с М-17 серии ВВ Е=6.0 N 65454 - головного самолета серийного выпуска 1933 (2264,185).</w:t>
      </w:r>
    </w:p>
    <w:p w14:paraId="2EFC912D"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A5A2F6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года вышел приказ начальника ВВС за N 0011с о проведении испытаний на Люберецком аэродроме и хим. полигоне в Кузьминках 14-ти систем АПК-4бис и 7-ми самолетов ЗЕТ, вооруженных авиационными пушками инженера Курчевского "АПК-4бис" калибра 76,2 мм (3538).</w:t>
      </w:r>
    </w:p>
    <w:p w14:paraId="60D899BE"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708EF16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Нач. ВВС Алкснис писал письмо N 001346сс Нач. ГУАП, Нач. ГУГВФ (копия нач. НИИ ВВС):</w:t>
      </w:r>
    </w:p>
    <w:p w14:paraId="36CEEA8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14 и 15 ноября для Пленума РВС СССР проводится демонстрация новых объектов авиатехники.</w:t>
      </w:r>
    </w:p>
    <w:p w14:paraId="3B084A9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плану, рассмотренному тов. Тухачевским, в число объектов включены самолеты РД, И-14, И-15 и Сталь 6.</w:t>
      </w:r>
    </w:p>
    <w:p w14:paraId="4822148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Ваших указаний ЦАГИ и Самолетному НИИ ГУГВФ о подготовке указанных объектов к демонстрации в ближайший срок, который намечен на 15 ноября.</w:t>
      </w:r>
    </w:p>
    <w:p w14:paraId="5E7AC6E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Сосредоточение на аэродроме Люберцы ориентировочно намечено на 14 ноября." (2306,86).</w:t>
      </w:r>
    </w:p>
    <w:p w14:paraId="272C69ED"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DE867C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года N 35/001875 были направлены Тактические требования на объекты плана работ 1934 года парашютно-десантного отдела НИИ ВВС</w:t>
      </w:r>
    </w:p>
    <w:p w14:paraId="07E371A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w:t>
      </w:r>
    </w:p>
    <w:p w14:paraId="3B8CCEE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Усовершенствованный парашют людской.</w:t>
      </w:r>
    </w:p>
    <w:p w14:paraId="23E9E0E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15 мая 1934 года</w:t>
      </w:r>
    </w:p>
    <w:p w14:paraId="5E65390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Боевой парашют не должен стеснять боевую деятельность членов экипажа самолета. Он должен быть дешев при массовом производстве (на 30% дешевле состоящего на снаряжении). В уложенном состоянии занимать на 20% меньше объема, чем парашют Ирвина. Должен быть по возможности универсален, т.е. годиться для всех лиц экипажа, иметь стандартные детали.</w:t>
      </w:r>
    </w:p>
    <w:p w14:paraId="6C4AD10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D4319C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Управляемый парашют.</w:t>
      </w:r>
    </w:p>
    <w:p w14:paraId="6240750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июня 1934 года</w:t>
      </w:r>
    </w:p>
    <w:p w14:paraId="5DD58A6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Объект может быть совмещен с объектом N 1.</w:t>
      </w:r>
    </w:p>
    <w:p w14:paraId="642C09A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Высотный парашют.</w:t>
      </w:r>
    </w:p>
    <w:p w14:paraId="087B434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15 июня 1934 года</w:t>
      </w:r>
    </w:p>
    <w:p w14:paraId="7BCFEA8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Объект может быть совмещен с объектами N 2 и N 1.</w:t>
      </w:r>
    </w:p>
    <w:p w14:paraId="7266308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Быстрая отцепка парашюта после приземления.</w:t>
      </w:r>
    </w:p>
    <w:p w14:paraId="5560E7C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15 мая 1934 года</w:t>
      </w:r>
    </w:p>
    <w:p w14:paraId="01A8F92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Торможение при приземлении в сильный ветер (деталь дес. парашюта объект N 9).</w:t>
      </w:r>
    </w:p>
    <w:p w14:paraId="4A6A9BD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июля 1934 года</w:t>
      </w:r>
    </w:p>
    <w:p w14:paraId="76EA598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высоты над землей (деталь дес. парашюта объект N 9).</w:t>
      </w:r>
    </w:p>
    <w:p w14:paraId="177A93F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июля 1934 года</w:t>
      </w:r>
    </w:p>
    <w:p w14:paraId="548A926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 для прыжков ночью, в туман, дым. Желательно совмещение с объектом N 5.</w:t>
      </w:r>
    </w:p>
    <w:p w14:paraId="631EDA3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 для скоростных самолетов.</w:t>
      </w:r>
    </w:p>
    <w:p w14:paraId="31A78D8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декабря 1934 года</w:t>
      </w:r>
    </w:p>
    <w:p w14:paraId="03ECA04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 должен удовлетворять всем условиям к объекту N 1, кроме веса и скорости в момент раскрытия.</w:t>
      </w:r>
    </w:p>
    <w:p w14:paraId="27CD746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Метод срыва человека на малой высоте.</w:t>
      </w:r>
    </w:p>
    <w:p w14:paraId="0FF828A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августа 1933 года</w:t>
      </w:r>
    </w:p>
    <w:p w14:paraId="3E3C6B3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Десантный парашют людской</w:t>
      </w:r>
    </w:p>
    <w:p w14:paraId="2EE9903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мая 1933 года</w:t>
      </w:r>
    </w:p>
    <w:p w14:paraId="514F790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Способ быстрой порчи парашютов</w:t>
      </w:r>
    </w:p>
    <w:p w14:paraId="70E21D7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апреля 1934 года</w:t>
      </w:r>
    </w:p>
    <w:p w14:paraId="2D90381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Полное уничтожение парашюта и ранца с применением огня в течение 5 мин.</w:t>
      </w:r>
    </w:p>
    <w:p w14:paraId="10C5961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Порча материала купола, не прибегая к огню, до степени невозможности использования его противником.</w:t>
      </w:r>
    </w:p>
    <w:p w14:paraId="071AC26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Оба способа должны быть безопасны для парашютиста, весить не более 200 кг.</w:t>
      </w:r>
    </w:p>
    <w:p w14:paraId="289F993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Усовершенствование бензобака (1932 год).</w:t>
      </w:r>
    </w:p>
    <w:p w14:paraId="0DC4CF1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апреля 1934 года</w:t>
      </w:r>
    </w:p>
    <w:p w14:paraId="524A24A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Бензобак должен быть приспособлен как для сбрасывания на парашюте, так и для перевозки без сбрасывания. Емкость бензобака должна быть рассчитана как на емкости самолетных баков, так и баков автомобилей, танков и танкеток, состоящих на вооружении РККА. В то же время эти емкости, веса и габариты должны быть увязаны с десантными возможностями самолетов, состоящих на вооружении.</w:t>
      </w:r>
    </w:p>
    <w:p w14:paraId="016C554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Баки при подвеске снаружи должны иметь обтекатели.</w:t>
      </w:r>
    </w:p>
    <w:p w14:paraId="3410A3B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Термос. Требования как к бензобаку _</w:t>
      </w:r>
    </w:p>
    <w:p w14:paraId="7D65874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Стандартная емкость - из расчета на подразделения частей ОН по раскладке. Термос должен быть приспособлен для доставки супов, щей, каши, кипятка (чая), молока.</w:t>
      </w:r>
    </w:p>
    <w:p w14:paraId="3B03DEC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Мягкая тара. Мягкий мешок (круглый цилиндр, овальный цилиндр).</w:t>
      </w:r>
    </w:p>
    <w:p w14:paraId="1E85BBF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апреля 1934 года</w:t>
      </w:r>
    </w:p>
    <w:p w14:paraId="0B89373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Унифицировать и стандартизовать эти объекты. Стандартизация мягкой тары производится в зависимости от вооружения и снаряжения подразделений ОН.</w:t>
      </w:r>
    </w:p>
    <w:p w14:paraId="2A1736A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Улучшить обтекаемость настолько, чтобы самолет Р-5 с подвешенными подцепками теряли не более 10% скорости и 5% потолка.</w:t>
      </w:r>
    </w:p>
    <w:p w14:paraId="57998FE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Упаковка тары силами 2-3 человек должна требовать не более 10 мин. Любым предусмотренным грузом.</w:t>
      </w:r>
    </w:p>
    <w:p w14:paraId="39331AF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Подцепка (укладка) и отцепка 2 чел. должна продолжаться не более 2 мин.</w:t>
      </w:r>
    </w:p>
    <w:p w14:paraId="789F35F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Тара для предметов, не терпящих резких ударов (картонажный и пневматический мешок).</w:t>
      </w:r>
    </w:p>
    <w:p w14:paraId="0EE6780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Унифицировать тару. Те же требования как к объекту N 12 _</w:t>
      </w:r>
    </w:p>
    <w:p w14:paraId="3A97BE5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Подвеска мотоцикла б.к.</w:t>
      </w:r>
    </w:p>
    <w:p w14:paraId="6A6F18D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апреля 1934 года</w:t>
      </w:r>
    </w:p>
    <w:p w14:paraId="4318607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Устройство должно быть пригодно для парашютного и посадочного десанта.</w:t>
      </w:r>
    </w:p>
    <w:p w14:paraId="1938D0A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должна годиться для всех типов самолетов от Р-5 и более мощных.</w:t>
      </w:r>
    </w:p>
    <w:p w14:paraId="33AA5FD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подцепки и отцепки (если установка без парашюта) не более 2 мин.</w:t>
      </w:r>
    </w:p>
    <w:p w14:paraId="2A2B1FD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Автоматическая отцепка парашюта.</w:t>
      </w:r>
    </w:p>
    <w:p w14:paraId="537103B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Подвеска мотоцикла с коляской.</w:t>
      </w:r>
    </w:p>
    <w:p w14:paraId="31A8A5C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апреля 1934 года</w:t>
      </w:r>
    </w:p>
    <w:p w14:paraId="2DEC876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 же требования, что к объекту N 15 _</w:t>
      </w:r>
    </w:p>
    <w:p w14:paraId="6613588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Подвеска Форда под ТБ1, ТБ3, Р-6</w:t>
      </w:r>
    </w:p>
    <w:p w14:paraId="0F38124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мая 1934 года</w:t>
      </w:r>
    </w:p>
    <w:p w14:paraId="7522027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Обтекатели согласно общих технических условий.</w:t>
      </w:r>
    </w:p>
    <w:p w14:paraId="34C54C7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подвески Форда с парашютом при 4 чел. команды - не более 8 мин.</w:t>
      </w:r>
    </w:p>
    <w:p w14:paraId="10129AB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подвески Форда без парашютом при 4 чел. команды - не более 4 мин.</w:t>
      </w:r>
    </w:p>
    <w:p w14:paraId="34C533A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отцепки не более 2 мин.</w:t>
      </w:r>
    </w:p>
    <w:p w14:paraId="0C5B156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Усиление амортизации Форда должно позволять снижение на 2 колеса. Установка должна исключать приземление на одно колесо. Автоматическая отцепка парашюта.</w:t>
      </w:r>
    </w:p>
    <w:p w14:paraId="1D5045A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Подвеска орудия.</w:t>
      </w:r>
    </w:p>
    <w:p w14:paraId="2B8C73C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 же требования, что и к объекту N 17. Кроме того требуется унификация подвески автомобиля и орудия.</w:t>
      </w:r>
    </w:p>
    <w:p w14:paraId="464272E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Подвеска танкетки.</w:t>
      </w:r>
    </w:p>
    <w:p w14:paraId="7E3F116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Унифицирование подвески с подвесками N 17 и N 18. Остальные требования те же, за исключением вопроса о колесах.</w:t>
      </w:r>
    </w:p>
    <w:p w14:paraId="548BCEE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Жесткая подвесная тара под Р-5, Р-6, ТБ-1, ТБ-3.</w:t>
      </w:r>
    </w:p>
    <w:p w14:paraId="128D1AC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Требования как к объектам N 13. Под ТБ-3 тара должна вмещать снаряжение, продовольствие и т.п. везомого ТБ-3 подразделения ОН.</w:t>
      </w:r>
    </w:p>
    <w:p w14:paraId="4A4A351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Приспособления на самолетах, состоящих на вооружении, а также на опытных самолетах для быстрого оставления их в случае аварии всеми лицами экипажа.</w:t>
      </w:r>
    </w:p>
    <w:p w14:paraId="1BE38E8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Приспособление на тех же самолетах для возможности небольших исправлений механизма сбрасывания бомб (грузов), шасси, хвостового рулевого оперения, элеронов.</w:t>
      </w:r>
    </w:p>
    <w:p w14:paraId="03E0468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Планеры</w:t>
      </w:r>
    </w:p>
    <w:p w14:paraId="4DFDC52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Учебный планер (2-х местный) для буксировки самолетом.</w:t>
      </w:r>
    </w:p>
    <w:p w14:paraId="1B81B13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окончания 1 мая 1934 года</w:t>
      </w:r>
    </w:p>
    <w:p w14:paraId="5978D72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Планер должен быть сконструирован с соблюдением всех существующих требований к планерам, допускать буксировку за У-2 и Р-5 на высоту до 1200 м (У-2) и 2500 м (Р-5).</w:t>
      </w:r>
    </w:p>
    <w:p w14:paraId="0BE3189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Оба члена экипажа должны быть снабжены парашютами. Подцепка планера должна требовать не более 3 мин.</w:t>
      </w:r>
    </w:p>
    <w:p w14:paraId="2233F4E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Прочность планера должна быть достаточна для буксировочного полета и также для свободного полета с выполнением высшего пилотажа (обязательные фигуры: пикирование, штопор, петля, боевой разворот). Буксирное приспособление не должно портить аэродинамические качества У-2 и Р-5. Легка отцепка в воздухе без потери буксирного троса.</w:t>
      </w:r>
    </w:p>
    <w:p w14:paraId="3E47592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материалы должны быть отечественного производства. Конструкция планера и буксир. Приспособления должны быть легки для массового производства и дешевы. Отцепка производится и планером и буксировщиком.</w:t>
      </w:r>
    </w:p>
    <w:p w14:paraId="5232E93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должно быть колесное, хорошо обтекаемое.</w:t>
      </w:r>
    </w:p>
    <w:p w14:paraId="062A56A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Буксировка нескольких планеров (от 2 до 4 вкл.) одним самолетом.</w:t>
      </w:r>
    </w:p>
    <w:p w14:paraId="214AEC7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августа 1934 года</w:t>
      </w:r>
    </w:p>
    <w:p w14:paraId="525E094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Планеры 2-х местные (объект N 23) для буксировочного самолета Р-5. Планеры одноместные (2 планера) - У-2 и планеры многоместные - буксировочный самолет Р-6 (2 планера 18 м).</w:t>
      </w:r>
    </w:p>
    <w:p w14:paraId="7C972BF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Буксировка должна происходить на высотах для У-2 до 1200 м (при 2-х планерах), для Р-5 - 2000 м (для 4-х планеров), для Р-6 не ниже 1500 м (для 2-хпланеров на 18 человек).</w:t>
      </w:r>
    </w:p>
    <w:p w14:paraId="4E7F1CB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Отцепка должна позволять отцепление одного, двух, трех и всех четырех планеров.</w:t>
      </w:r>
    </w:p>
    <w:p w14:paraId="7D7C8A5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Подцепка всех 4-х планеров должна брать не более 8 минут.</w:t>
      </w:r>
    </w:p>
    <w:p w14:paraId="2DD415D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Буксировочный трос при отцепке не должен теряться.</w:t>
      </w:r>
    </w:p>
    <w:p w14:paraId="3C573BE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Остальные требования как к объекту N 23 _</w:t>
      </w:r>
    </w:p>
    <w:p w14:paraId="79A2532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буксируемого планера с земли самолетом-буксиром в полете.</w:t>
      </w:r>
    </w:p>
    <w:p w14:paraId="635DD70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октября 1934 года</w:t>
      </w:r>
    </w:p>
    <w:p w14:paraId="220E7D1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Приспособление должно быть одинаково по конструктивной идее как для подхватывания 1, 2-х, 6-ти, так и 18-ти местных и др. многоместных планеров.</w:t>
      </w:r>
    </w:p>
    <w:p w14:paraId="20E082A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1934 год отработать автоматическую сцепку для У-2 и Р-5.</w:t>
      </w:r>
    </w:p>
    <w:p w14:paraId="600181E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Способ сцепки не должен требовать значительных переделок букс. планеров или самолетов буксиров. Удар при сцепке не должен требовать особой конструкции планеров.</w:t>
      </w:r>
    </w:p>
    <w:p w14:paraId="34E18C6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Стандартные крепления (подцепки) для основных средств передвижения, вооружения и снаряжения частей ОН.</w:t>
      </w:r>
    </w:p>
    <w:p w14:paraId="4BD5280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июня 1934 года</w:t>
      </w:r>
    </w:p>
    <w:p w14:paraId="4B6EA7F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Радиостанция 6 ПК</w:t>
      </w:r>
    </w:p>
    <w:p w14:paraId="6F2E3A0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Орудия ДРП</w:t>
      </w:r>
    </w:p>
    <w:p w14:paraId="5B75A23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Орудия пех. 76 мм 1927 г.</w:t>
      </w:r>
    </w:p>
    <w:p w14:paraId="4ADE143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Станковые пулеметы</w:t>
      </w:r>
    </w:p>
    <w:p w14:paraId="44BB61B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Снарядные ящики</w:t>
      </w:r>
    </w:p>
    <w:p w14:paraId="639FB4F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Патронные ящики</w:t>
      </w:r>
    </w:p>
    <w:p w14:paraId="00EE56A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Автомат. ружья</w:t>
      </w:r>
    </w:p>
    <w:p w14:paraId="527E0B5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Противотанковые ружья</w:t>
      </w:r>
    </w:p>
    <w:p w14:paraId="48870DC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 подрывное и др. имущество</w:t>
      </w:r>
    </w:p>
    <w:p w14:paraId="0028A7E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Химвещества</w:t>
      </w:r>
    </w:p>
    <w:p w14:paraId="32BDC7C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Мотоциклы без коляски</w:t>
      </w:r>
    </w:p>
    <w:p w14:paraId="35A69B2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Мотоциклы с коляской</w:t>
      </w:r>
    </w:p>
    <w:p w14:paraId="539AF85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Грузовики 1,5 т</w:t>
      </w:r>
    </w:p>
    <w:p w14:paraId="7B350A6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Легковые автомобили Форд</w:t>
      </w:r>
    </w:p>
    <w:p w14:paraId="3CDCD62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Бензо и маслобидоны</w:t>
      </w:r>
    </w:p>
    <w:p w14:paraId="7F0F793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Предметы продовольствия и вещ. снабжения</w:t>
      </w:r>
    </w:p>
    <w:p w14:paraId="0FA9386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Лодки моторные</w:t>
      </w:r>
    </w:p>
    <w:p w14:paraId="69E5749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Танкетка Т-27</w:t>
      </w:r>
    </w:p>
    <w:p w14:paraId="22B6FFB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 37 А</w:t>
      </w:r>
    </w:p>
    <w:p w14:paraId="617D5CD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Броневик Д12 и Д13</w:t>
      </w:r>
    </w:p>
    <w:p w14:paraId="2160390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БХМ-1</w:t>
      </w:r>
    </w:p>
    <w:p w14:paraId="03791BA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и запчасти к автотранспорту</w:t>
      </w:r>
    </w:p>
    <w:p w14:paraId="5826F2D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Разработать единую систему креплений (подцепок), укладок перечисленной матчасти, стандартизованную в отношении материалов, размеров, веса и габаритов.</w:t>
      </w:r>
    </w:p>
    <w:p w14:paraId="69400BA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Крепления (подцепки) для размещения внутри самолета и вне его для беспосадочного и посадочного десанта.</w:t>
      </w:r>
    </w:p>
    <w:p w14:paraId="590B2FA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Выработать требования к спец. транспортно-десантному самолету на основании разработанной системы креплений.</w:t>
      </w:r>
    </w:p>
    <w:p w14:paraId="1D2FDF6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прикрепления (подвеска, подцепка) не должно превышать при данном составе команды укладчиков подцепщиков 5 мин. Для малых грузов (до 100 кг) и 10 мин. Для грузов тяжелых.</w:t>
      </w:r>
    </w:p>
    <w:p w14:paraId="509B368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системе погрузки и крепления ВД грузов должны быть разработаны и механические средства погрузки, выделенные в настоящих техтребованиях как объекты N 27 и N 28.</w:t>
      </w:r>
    </w:p>
    <w:p w14:paraId="6D88DD3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Система креплений должна исходить из существующих самолетов (включая ТБ-4) и для них разработать комплекты грузов и креплений их по подразделениям частей ОН (взвод, рота, батальон, полк) со спецификацией боевого и не боевого груза, согласованной с УБП РККА и начальником ВДС ВВС.</w:t>
      </w:r>
    </w:p>
    <w:p w14:paraId="369C96C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объекты, подвешиваемые снаружи самолета должны иметь обтекатели или иметь хорошо обтекаемые формы. Модели самолетов с такими наружными подцепками должны продуваться в аэродинамической трубе. Подцепки не должны ухудшать летных качеств самолетов.</w:t>
      </w:r>
    </w:p>
    <w:p w14:paraId="3051F2F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Оборонительное вооружение самолета должно сохраняться полностью..</w:t>
      </w:r>
    </w:p>
    <w:p w14:paraId="52E1D16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прочности объекты и их подцепки должны отвечать общим требованиям на самолетные конструкции, однако перегрузки берутся минимальные для данного типа самолета, считая, что самолет подвергается лишь перегрузкам, возникающим в нормальном полете и при посадке.</w:t>
      </w:r>
    </w:p>
    <w:p w14:paraId="3C2C468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Средства механизации ВДС.</w:t>
      </w:r>
    </w:p>
    <w:p w14:paraId="099B3DA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Погрузочная аэродромная автоплатформа.</w:t>
      </w:r>
    </w:p>
    <w:p w14:paraId="239A075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выполнения 1 октября 1934 года</w:t>
      </w:r>
    </w:p>
    <w:p w14:paraId="67195BB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Универсальная автоплатформа, пригодная для подвоза к самолету всех тяжелых грузов ВД весом до 4 тонн включительно.</w:t>
      </w:r>
    </w:p>
    <w:p w14:paraId="52E1638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движения по аэродрому - не менее 25 км/час.</w:t>
      </w:r>
    </w:p>
    <w:p w14:paraId="2BB36A1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подъема груза - до 3 м/сек.</w:t>
      </w:r>
    </w:p>
    <w:p w14:paraId="1CFAA5F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Автоплатформа должна иметь складную грузовую стрелку для поднятия грузов весом до 2 т.</w:t>
      </w:r>
    </w:p>
    <w:p w14:paraId="56BEB16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Погрузочно-разгрузочные устройства на самолете</w:t>
      </w:r>
    </w:p>
    <w:p w14:paraId="6CA7A13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Устройство должно быть в 2-х вариантах:</w:t>
      </w:r>
    </w:p>
    <w:p w14:paraId="75E19A8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спец. десантного (и транспортного) самолета и</w:t>
      </w:r>
    </w:p>
    <w:p w14:paraId="6AF2AA3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тяжелых самолетов, приспособленных для ВД целей (ТБ3, ТБ4, К-7, АНТ-14).</w:t>
      </w:r>
    </w:p>
    <w:p w14:paraId="7A7943E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Устройство не должно портить аэродинамических и боевых качеств самолета. Должно позволять выгрузку из самолета матчасти с единичным весом до 2-х т и погрузку в него таких грузов.</w:t>
      </w:r>
    </w:p>
    <w:p w14:paraId="192F67E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Скорость подъема груза до 2 м/сек. Подъемный механизм должен представлять собой также лебедку, поднимающую и опускающую внешне подцепляемые грузы весом до 4-х тонн включ (3853,143-153).</w:t>
      </w:r>
    </w:p>
    <w:p w14:paraId="4AB231E2"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3130759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года тактические требования на объекты плана работ 1934 года Парашютно-десантного отдела НИИ были рассмотрены на тактическом совещании в НИИ. Совещание полностью согласилось с представленным Нач. НИИ ВВС Татарченко проектом, внеся в него лишь совершенно незначительные изменения (3853).</w:t>
      </w:r>
    </w:p>
    <w:p w14:paraId="2B1B9DBC"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5D7F0F8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была направлена выписка из протокола КО СССР:</w:t>
      </w:r>
    </w:p>
    <w:p w14:paraId="6E82E2B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потсройке 100 торпедных катеров для ДВ</w:t>
      </w:r>
    </w:p>
    <w:p w14:paraId="2E4157C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Обязать ГУАП под личную ответственность т. Королева и директора завода № 24 Марьямова подать на завод им. Марти 200 моторов в следующие сроки:</w:t>
      </w:r>
    </w:p>
    <w:p w14:paraId="1BD2707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М-34</w:t>
      </w:r>
      <w:r w:rsidRPr="0044524F">
        <w:rPr>
          <w:rFonts w:ascii="Times New Roman" w:hAnsi="Times New Roman"/>
          <w:color w:val="000000" w:themeColor="text1"/>
          <w:sz w:val="16"/>
          <w:szCs w:val="16"/>
        </w:rPr>
        <w:tab/>
        <w:t>18 ноября 1933</w:t>
      </w:r>
    </w:p>
    <w:p w14:paraId="7330B3D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r w:rsidRPr="0044524F">
        <w:rPr>
          <w:rFonts w:ascii="Times New Roman" w:hAnsi="Times New Roman"/>
          <w:color w:val="000000" w:themeColor="text1"/>
          <w:sz w:val="16"/>
          <w:szCs w:val="16"/>
        </w:rPr>
        <w:tab/>
        <w:t>к 1 декабря 1933</w:t>
      </w:r>
    </w:p>
    <w:p w14:paraId="2E70CEB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r w:rsidRPr="0044524F">
        <w:rPr>
          <w:rFonts w:ascii="Times New Roman" w:hAnsi="Times New Roman"/>
          <w:color w:val="000000" w:themeColor="text1"/>
          <w:sz w:val="16"/>
          <w:szCs w:val="16"/>
        </w:rPr>
        <w:tab/>
        <w:t>в декабре 1933 по 10 шт. в декады</w:t>
      </w:r>
    </w:p>
    <w:p w14:paraId="38B753E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ГМ-34 без реверса</w:t>
      </w:r>
      <w:r w:rsidRPr="0044524F">
        <w:rPr>
          <w:rFonts w:ascii="Times New Roman" w:hAnsi="Times New Roman"/>
          <w:color w:val="000000" w:themeColor="text1"/>
          <w:sz w:val="16"/>
          <w:szCs w:val="16"/>
        </w:rPr>
        <w:tab/>
        <w:t>к 1 декабря 1933</w:t>
      </w:r>
    </w:p>
    <w:p w14:paraId="6C1B278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r w:rsidRPr="0044524F">
        <w:rPr>
          <w:rFonts w:ascii="Times New Roman" w:hAnsi="Times New Roman"/>
          <w:color w:val="000000" w:themeColor="text1"/>
          <w:sz w:val="16"/>
          <w:szCs w:val="16"/>
        </w:rPr>
        <w:tab/>
        <w:t>в декабре</w:t>
      </w:r>
    </w:p>
    <w:p w14:paraId="68C73E2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r w:rsidRPr="0044524F">
        <w:rPr>
          <w:rFonts w:ascii="Times New Roman" w:hAnsi="Times New Roman"/>
          <w:color w:val="000000" w:themeColor="text1"/>
          <w:sz w:val="16"/>
          <w:szCs w:val="16"/>
        </w:rPr>
        <w:tab/>
        <w:t>в январе по 20 шт. в декаду</w:t>
      </w:r>
    </w:p>
    <w:p w14:paraId="3EA74FB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r w:rsidRPr="0044524F">
        <w:rPr>
          <w:rFonts w:ascii="Times New Roman" w:hAnsi="Times New Roman"/>
          <w:color w:val="000000" w:themeColor="text1"/>
          <w:sz w:val="16"/>
          <w:szCs w:val="16"/>
        </w:rPr>
        <w:tab/>
        <w:t>в феврале по 20 шт. в декаду</w:t>
      </w:r>
    </w:p>
    <w:p w14:paraId="33AA874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r w:rsidRPr="0044524F">
        <w:rPr>
          <w:rFonts w:ascii="Times New Roman" w:hAnsi="Times New Roman"/>
          <w:color w:val="000000" w:themeColor="text1"/>
          <w:sz w:val="16"/>
          <w:szCs w:val="16"/>
        </w:rPr>
        <w:tab/>
        <w:t>к 15 марта</w:t>
      </w:r>
    </w:p>
    <w:p w14:paraId="3015BB6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виде временной мере для ускорения введения катеров в строй, поставить на 20 катеров авиационные моторы М-34, а на все остальные ГМ-34 без реверса с тем, чтобы после изготовления катеров ГМ-34 с реверсами заменить ими40 моторов без реверсов, поставленных на первых 20 катеров, и установить реверсы на остальных 160 моторов ГМ-34...</w:t>
      </w:r>
    </w:p>
    <w:p w14:paraId="4CC2AF1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Определить всю программу выпуска моторов ГМ-34 вля ВМС РККА на 1934 - 350 моторов.</w:t>
      </w:r>
    </w:p>
    <w:p w14:paraId="63C2DA7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 СССР совместно с НКВВМором в декадный срок установить план выпуска всех моторов в соответствиит с программой строительства кораблей (2228).</w:t>
      </w:r>
    </w:p>
    <w:p w14:paraId="454314E4"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398541A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года начальник ВВС Алкснис писал письмо № 3992/с в СТО Базилевичу</w:t>
      </w:r>
    </w:p>
    <w:p w14:paraId="483365F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сем препровождаю докладную записку начальнику Отдела опытного строительства НИИ ВВС Примакова о незаконных распоряжениях зам. начальника ГУАпа Беленковича, снявшего мотор М58 с опытного строительства и докладную записку гл. инженера-механика ВВС Аузана и гл. конструктора мотора М58 Назарова о тех мероприятиях, которые могли бы обеспечить выпуск мотора М-58 на госиспытания примерно через месяц.</w:t>
      </w:r>
    </w:p>
    <w:p w14:paraId="76DAF86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сообщаю, что одновременно с этим мною копия этой же докладной записки с соответствующим ходатайством об отмене распоряжения Беленковича направлена Наркомтяжпрому Орджониикдзе и Наркомвоенмору Ворошилову.</w:t>
      </w:r>
    </w:p>
    <w:p w14:paraId="4978CBE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Вашего соответствующего вмешательства в это дело в порядке контроля за исполнением постановления Правительства о плане опытного строительства.</w:t>
      </w:r>
    </w:p>
    <w:p w14:paraId="3A325AC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упомянутое (3530,138).</w:t>
      </w:r>
    </w:p>
    <w:p w14:paraId="38D0FDD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1933 года начальник Отдела опытного строительства НИИ ВВС Примаков писал письмо начальнику 9 сектора</w:t>
      </w:r>
    </w:p>
    <w:p w14:paraId="44A7563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Доношу: прибывшим из ГУАПа со специальным заданием и соответствующими полномочиями зам. начальника ГУАПа Беленковичем отдано было 20 октября категорическое приказание заводу № 29 немедленно приостановить все опытные работы до 1 января 1934 года, включая и госиспытания М-48.</w:t>
      </w:r>
    </w:p>
    <w:p w14:paraId="62A30A1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докладе на техсовещании начальников цехов и отделов опытные работы квалифицировались им не как правительственное задание, а «навязчивые идеи», которые сейчас мешают серийной продукции и поэтому он их немедленно прикрывает. Приостановка работ носила чисто погромный характер: сбрасывались неоконченные в обработке детали с настроенных станков, сваливались в общую кучу. С большим трудом удалось доказать необходимость сборки разобранных опытных моторов, так как в противном случае будут приведены в негодность детали. Им же было отдано распоряжение сложить все детали разобранных моторов в ящики, где и хранить до особого распоряжения.</w:t>
      </w:r>
    </w:p>
    <w:p w14:paraId="23C60DB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Надо отметить, что характер его доклада носил не руководящий характер, а напоминал расправу: был обруган весь завод в целом и каждый начцеха в отдельности.</w:t>
      </w:r>
    </w:p>
    <w:p w14:paraId="0008C94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уточнения ряда вопросов я был принят Беленковичем, который на мой вопрос, знает ли он, что опытные работы ведутся согласно плана, утвержденного Правительством, заявил, что об утверждении плана опытного строительства Правительством он ничего не знает и что он уверен, что такого плана нет в природе.</w:t>
      </w:r>
    </w:p>
    <w:p w14:paraId="6C1F3BB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завода Александров тоже заявил, что о плане он слыхал, но не читал его. На мои доводы об устарелости конструкции серийного М-22 и необходимость доводки более совершенного мотора М-58 им было сообщено, что на последнем докладе Правительству, вопрос стоял только о серийной программе, причем Алкснис особенно упирал на М-22, поэтому этот мотор он считает главным и все опытные моторы приостанавливает:</w:t>
      </w:r>
    </w:p>
    <w:p w14:paraId="0542531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Беленковичем был брошен мне упрек, что я с опытными работами бегаю в партийный комитет завода и Горпартком и дан совет, чтобы в будущем я в эти организации не обращался, так как это поможет мне не больше «чем мертвому свечка».</w:t>
      </w:r>
    </w:p>
    <w:p w14:paraId="5C7A73C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заключение Беленкович повторил приказание Александрову еще раз о немедленном прекращении опытных работ, запретил ему разговаривать со мной по этому вопросу и в будущем без соответствующего письменного разрешения от ГУАПа не допускать меня ни к каким заводским испытаниям, так как по его мнению я командую заводом.</w:t>
      </w:r>
    </w:p>
    <w:p w14:paraId="60B915C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техсовещания, на основе приказа Беленковича, опротестовано ЗПК-том, но принято к исполнению, как не подлежащее обсуждению, по формулировке Беленковича «лучше выполнить плохой приказ, чем обсуждать хороший».</w:t>
      </w:r>
    </w:p>
    <w:p w14:paraId="3786384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Мотивировка ЗПК-та, опротестовавшего приказ Беленковича сводится к тому, что опытные работы занимают такой незначительный % оборудования и рабсилы, что ни в какой мере не отражается на серийной продукции, По подсчетам гл. инженера они не превосходят 0,5%.</w:t>
      </w:r>
    </w:p>
    <w:p w14:paraId="33290D3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Принимая во внимание всю важность опытных работ, ЗПК считает возможным выполнить программу не останавливая опытных работ. Это соображение совершенно правильное, так как опытные моторы уже изготовлены и только иногда потребуется изготовление запчастей, которые могут быть выполнены на трех станках, выделенных для опытных работ. В цехах же ежедневно в каждой смене простаивают не менее 50 станков, так что эти три станка не выводят завод из прорыва.</w:t>
      </w:r>
    </w:p>
    <w:p w14:paraId="48EC337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данный момент все опытные моторы поставлены на консервацию, работники опытной группы работают по серийной продукции. Работа по опытным моторам резко дискредитирована в глазах работников завода, так как квалифицирована как «Навязчивые идеи» (3530,139).</w:t>
      </w:r>
    </w:p>
    <w:p w14:paraId="287F698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Условия, необходимые для срочного предъявления на госиспытания мотора М-58 на заводе № 29</w:t>
      </w:r>
    </w:p>
    <w:p w14:paraId="3B00E95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доводки мотора М-58 на заводе № 29 к предъявлению на госиспытания необходимо:</w:t>
      </w:r>
    </w:p>
    <w:p w14:paraId="2D0575E5" w14:textId="77777777" w:rsidR="00570C39" w:rsidRPr="0044524F" w:rsidRDefault="00570C39" w:rsidP="009654CF">
      <w:pPr>
        <w:numPr>
          <w:ilvl w:val="0"/>
          <w:numId w:val="42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Закрепить всех людей, работавших до закрытия опытных работ в цехе по опытным моторам и Техно-конструкторском отделе на этих работах, для чего всех работников, переключенных с опытных работ на серийные вернуть к опытным работам; находящихся в отпуске или командировках по вопросам серийного производства немедленно возвратить. Всего на опытных работах было около 40 человек (на заводе № 29 около 6000 человек).</w:t>
      </w:r>
    </w:p>
    <w:p w14:paraId="45889541" w14:textId="77777777" w:rsidR="00570C39" w:rsidRPr="0044524F" w:rsidRDefault="00570C39" w:rsidP="009654CF">
      <w:pPr>
        <w:numPr>
          <w:ilvl w:val="0"/>
          <w:numId w:val="42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Возвратить Эксплуатационно-опытному бюро все отобранные помещения, приборы и оборудование, немедленно переоборудовав под опытные работы.</w:t>
      </w:r>
    </w:p>
    <w:p w14:paraId="23D2A7E5" w14:textId="77777777" w:rsidR="00570C39" w:rsidRPr="0044524F" w:rsidRDefault="00570C39" w:rsidP="009654CF">
      <w:pPr>
        <w:numPr>
          <w:ilvl w:val="0"/>
          <w:numId w:val="42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Форсировать подачу на завод поковок и материалов необходимых для доводки (поршни, клапаны и др.), поручив под личную ответственность руководителя снабжения завода с доставкой пассажирским поездом.</w:t>
      </w:r>
    </w:p>
    <w:p w14:paraId="637FC864" w14:textId="77777777" w:rsidR="00570C39" w:rsidRPr="0044524F" w:rsidRDefault="00570C39" w:rsidP="009654CF">
      <w:pPr>
        <w:numPr>
          <w:ilvl w:val="0"/>
          <w:numId w:val="430"/>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Запустить в производство с минимальными сроками выполнения несколько вариантов клапанного механизма клапана, седла клапана, направляющие клапанов, пружины и тарелки клапана, если потребуется, и головки цилиндров.</w:t>
      </w:r>
    </w:p>
    <w:p w14:paraId="38379A1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Срочно закончить конструктивную разработку нескольких вариантов лопаточного диффузора и подвода смеси нагнетателя, запустив их с укороченными сроками выполнения в производстве.</w:t>
      </w:r>
    </w:p>
    <w:p w14:paraId="4820390E" w14:textId="77777777" w:rsidR="00570C39" w:rsidRPr="0044524F" w:rsidRDefault="00570C39" w:rsidP="009654CF">
      <w:pPr>
        <w:numPr>
          <w:ilvl w:val="0"/>
          <w:numId w:val="431"/>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Провести тщательный, средствами техноконтроля задел завода контроль деталей двух изготовленных дополнительно экземпляров мотора, обеспечить пополнение недоделанных и забракованных деталей на этих объектах.</w:t>
      </w:r>
    </w:p>
    <w:p w14:paraId="1739A4DB" w14:textId="77777777" w:rsidR="00570C39" w:rsidRPr="0044524F" w:rsidRDefault="00570C39" w:rsidP="009654CF">
      <w:pPr>
        <w:numPr>
          <w:ilvl w:val="0"/>
          <w:numId w:val="432"/>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Прохождение деталей по аварийным заказам обеспечить выполнение в установленные при заказе сроки под личную ответственность начальников цехов, в которых изготовляются эти детали.</w:t>
      </w:r>
    </w:p>
    <w:p w14:paraId="19762613" w14:textId="77777777" w:rsidR="00570C39" w:rsidRPr="0044524F" w:rsidRDefault="00570C39" w:rsidP="009654CF">
      <w:pPr>
        <w:numPr>
          <w:ilvl w:val="0"/>
          <w:numId w:val="433"/>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Руководство производством всех деталей закрепить за начальником Первого механического цеха Сорокиным под его личную ответственность.</w:t>
      </w:r>
    </w:p>
    <w:p w14:paraId="649F6970" w14:textId="77777777" w:rsidR="00570C39" w:rsidRPr="0044524F" w:rsidRDefault="00570C39" w:rsidP="009654CF">
      <w:pPr>
        <w:numPr>
          <w:ilvl w:val="0"/>
          <w:numId w:val="434"/>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3-х дневный срок вернуть из Москвы контролера Степанова и дополнительно прислать одного высококвалифицированного по механическому контролю работника из объединения ГУАП.</w:t>
      </w:r>
    </w:p>
    <w:p w14:paraId="529CD2E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Инженера завода № 24 Луковникова закрепить на работах по мотору М58 до конца доводки. Командировать из ЦИАМа одного опытного инженера и распоряжение завода для испытания М58.</w:t>
      </w:r>
    </w:p>
    <w:p w14:paraId="6554440E" w14:textId="77777777" w:rsidR="00570C39" w:rsidRPr="0044524F" w:rsidRDefault="00570C39" w:rsidP="009654CF">
      <w:pPr>
        <w:numPr>
          <w:ilvl w:val="0"/>
          <w:numId w:val="435"/>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Обеспечить гл. конструктору Назарову единоначалие в проведении испытаний и конструктивных переделок.</w:t>
      </w:r>
    </w:p>
    <w:p w14:paraId="6CC3C040" w14:textId="77777777" w:rsidR="00570C39" w:rsidRPr="0044524F" w:rsidRDefault="00570C39" w:rsidP="009654CF">
      <w:pPr>
        <w:numPr>
          <w:ilvl w:val="0"/>
          <w:numId w:val="436"/>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работы по мотору М58 вести в три смены, обеспечив работников своевременным доброкачественным питанием и необходимым фондом сверхурочных работ.</w:t>
      </w:r>
    </w:p>
    <w:p w14:paraId="2CB3380F" w14:textId="77777777" w:rsidR="00570C39" w:rsidRPr="0044524F" w:rsidRDefault="00570C39" w:rsidP="009654CF">
      <w:pPr>
        <w:numPr>
          <w:ilvl w:val="0"/>
          <w:numId w:val="437"/>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Своевременно обеспечить деньгами опытные заказы и работы.</w:t>
      </w:r>
    </w:p>
    <w:p w14:paraId="727A64FF" w14:textId="77777777" w:rsidR="00570C39" w:rsidRPr="0044524F" w:rsidRDefault="00570C39" w:rsidP="009654CF">
      <w:pPr>
        <w:numPr>
          <w:ilvl w:val="0"/>
          <w:numId w:val="438"/>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двухнедельный срок закончить и переслать на завод № 29 мулинетки мотора М58.</w:t>
      </w:r>
    </w:p>
    <w:p w14:paraId="5C818AC3" w14:textId="77777777" w:rsidR="00570C39" w:rsidRPr="0044524F" w:rsidRDefault="00570C39" w:rsidP="009654CF">
      <w:pPr>
        <w:numPr>
          <w:ilvl w:val="0"/>
          <w:numId w:val="439"/>
        </w:numPr>
        <w:tabs>
          <w:tab w:val="left" w:pos="360"/>
        </w:tabs>
        <w:spacing w:after="0" w:line="240" w:lineRule="auto"/>
        <w:ind w:left="0" w:firstLine="0"/>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Обеспечить внеочередное выполнение внезаводских опытных заказов в предприятиях ГУАПа и НКТяжпрома (3530,140).</w:t>
      </w:r>
    </w:p>
    <w:p w14:paraId="70B54C0E" w14:textId="77777777" w:rsidR="00570C39" w:rsidRPr="0044524F" w:rsidRDefault="00570C39" w:rsidP="009654CF">
      <w:pPr>
        <w:tabs>
          <w:tab w:val="left" w:pos="360"/>
        </w:tabs>
        <w:spacing w:after="0" w:line="240" w:lineRule="auto"/>
        <w:jc w:val="both"/>
        <w:rPr>
          <w:rFonts w:ascii="Times New Roman" w:hAnsi="Times New Roman"/>
          <w:color w:val="000000" w:themeColor="text1"/>
          <w:sz w:val="16"/>
          <w:szCs w:val="16"/>
        </w:rPr>
      </w:pPr>
    </w:p>
    <w:p w14:paraId="7633A088"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5A26D87"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3350B21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10 ноября 1933 г. было утверждено положении о народном комиссариате тяжелой промышленности (НКТП) СССР, в котором отмечалось, что НКТП руководит исполнением утвержденных правительством планов -производственных, финансовых, капитального строительства и т.д. А в положении о Главном управлении металлургической промышленности (ГУМП) от 28.06.1933 г. было записано, что он "является составной частью НКТП и сосредотачивает в себе выполнение функции последнего по планированию и техническому руководству в отраслях промышленности черной металлургии, железно-рудной, коксохимической и огнеупоров"; "все относящиеся к перечисленным выше отраслям промышленности, вопросы получают окончательное разрешение и оформление в ГУМП". </w:t>
      </w:r>
    </w:p>
    <w:p w14:paraId="39CC8188"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При этом предполагалось, что руководство наркоматов и главков честно проводит политику, определенную для него высшими органами. Цели, которые оно преследует, не отличаются принципиально от целей правительства, а между ними не могут возникнуть серьезные конфликты. Таким образом, теоретически советская система должна была работать подобно часовому механизму, где все части подогнаны друг к другу, что обеспечивает точность работы. Однако на практике происходили серьезные сбои: сроки составления планов часто срывались, отдельные части планов оказывались не согласованными между собой, наконец, зачастую планы просто не выполнялись. Наркоматы и главки нередко противодействовали и тормозили выполнение решений центра, своего начальства. </w:t>
      </w:r>
    </w:p>
    <w:p w14:paraId="75921731"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 xml:space="preserve">Причина неавтоматического исполнения приказов и распоряжений вышестоящих органов заключалась в том, что реальные интересы центра и руководства хозяйственных наркоматов и главков часто не совпадали. Асимметрия информации о реальном положении дел позволяла руководству наркоматов и главков находить модели поведения, формально соблюдающие интересы центра, но в тоже время обеспечивающие выполнение их собственных интересов. </w:t>
      </w:r>
    </w:p>
    <w:p w14:paraId="0090BC60"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Реальные интересы руководителей наркоматов и главков заключались не в слепом следовании приказам начальства, а в стремлении обеспечить надежность своего положения, понизить неопределенность своего будущего. Этого можно было достичь несколькими путями: за счет усиления влияния своего ведомства, увеличения его независимости от вышестоящих организаций, демонстрацией эффективности своей работы (хотя бы и формальной) и т.д. (11592).</w:t>
      </w:r>
    </w:p>
    <w:p w14:paraId="4B974EDE" w14:textId="77777777" w:rsidR="00570C39" w:rsidRPr="0044524F" w:rsidRDefault="00570C39" w:rsidP="009654CF">
      <w:pPr>
        <w:pStyle w:val="af2"/>
        <w:jc w:val="both"/>
        <w:rPr>
          <w:i w:val="0"/>
          <w:iCs w:val="0"/>
          <w:color w:val="000000" w:themeColor="text1"/>
          <w:spacing w:val="0"/>
          <w:kern w:val="0"/>
          <w:position w:val="0"/>
          <w:sz w:val="16"/>
          <w:szCs w:val="16"/>
          <w:lang w:val="ru-RU"/>
        </w:rPr>
      </w:pPr>
    </w:p>
    <w:p w14:paraId="06B989FF" w14:textId="77777777" w:rsidR="00CE750F" w:rsidRPr="0044524F" w:rsidRDefault="00CE750F"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hAnsi="Times New Roman"/>
          <w:bCs/>
          <w:color w:val="000000" w:themeColor="text1"/>
          <w:sz w:val="16"/>
          <w:szCs w:val="16"/>
        </w:rPr>
        <w:t xml:space="preserve">10 ноября </w:t>
      </w:r>
      <w:r w:rsidRPr="0044524F">
        <w:rPr>
          <w:rFonts w:ascii="Times New Roman" w:hAnsi="Times New Roman"/>
          <w:color w:val="000000" w:themeColor="text1"/>
          <w:sz w:val="16"/>
          <w:szCs w:val="16"/>
        </w:rPr>
        <w:t>в 1933 году образовано ФГУП "Государственный научно-исследовательский институт приборостроения" (14826).</w:t>
      </w:r>
    </w:p>
    <w:p w14:paraId="16EFB76F" w14:textId="77777777" w:rsidR="00CE750F" w:rsidRPr="0044524F" w:rsidRDefault="00CE750F" w:rsidP="009654CF">
      <w:pPr>
        <w:spacing w:after="0" w:line="240" w:lineRule="auto"/>
        <w:jc w:val="both"/>
        <w:rPr>
          <w:rFonts w:ascii="Times New Roman" w:hAnsi="Times New Roman"/>
          <w:color w:val="000000" w:themeColor="text1"/>
          <w:sz w:val="16"/>
          <w:szCs w:val="16"/>
        </w:rPr>
      </w:pPr>
    </w:p>
    <w:p w14:paraId="055CCEDB" w14:textId="77777777" w:rsidR="00CE750F" w:rsidRPr="0044524F" w:rsidRDefault="00CE750F" w:rsidP="009654CF">
      <w:pPr>
        <w:pStyle w:val="rtejustify"/>
        <w:spacing w:before="0" w:after="0"/>
        <w:rPr>
          <w:color w:val="000000" w:themeColor="text1"/>
          <w:sz w:val="16"/>
          <w:szCs w:val="16"/>
        </w:rPr>
      </w:pPr>
      <w:r w:rsidRPr="0044524F">
        <w:rPr>
          <w:rStyle w:val="af0"/>
          <w:bCs/>
          <w:i w:val="0"/>
          <w:color w:val="000000" w:themeColor="text1"/>
          <w:sz w:val="16"/>
          <w:szCs w:val="16"/>
        </w:rPr>
        <w:t>10 ноября</w:t>
      </w:r>
      <w:r w:rsidRPr="0044524F">
        <w:rPr>
          <w:color w:val="000000" w:themeColor="text1"/>
          <w:sz w:val="16"/>
          <w:szCs w:val="16"/>
        </w:rPr>
        <w:t xml:space="preserve"> 1933. Постановление СНК СССР № 30сс/о «О капитальных затратах на узкооборонное строительство НКТП на IV кв. 1933 г.». (ГА РФ. Ф. Р</w:t>
      </w:r>
      <w:r w:rsidRPr="0044524F">
        <w:rPr>
          <w:color w:val="000000" w:themeColor="text1"/>
          <w:sz w:val="16"/>
          <w:szCs w:val="16"/>
        </w:rPr>
        <w:noBreakHyphen/>
        <w:t>8418. Оп. 28. Д. 15. Л. 71) (15460).</w:t>
      </w:r>
    </w:p>
    <w:p w14:paraId="54785D82" w14:textId="77777777" w:rsidR="00CE750F" w:rsidRPr="0044524F" w:rsidRDefault="00CE750F" w:rsidP="009654CF">
      <w:pPr>
        <w:pStyle w:val="rtejustify"/>
        <w:spacing w:before="0" w:after="0"/>
        <w:rPr>
          <w:color w:val="000000" w:themeColor="text1"/>
          <w:sz w:val="16"/>
          <w:szCs w:val="16"/>
        </w:rPr>
      </w:pPr>
    </w:p>
    <w:p w14:paraId="28A815AD" w14:textId="77777777" w:rsidR="00CE750F" w:rsidRPr="0044524F" w:rsidRDefault="00CE750F" w:rsidP="009654CF">
      <w:pPr>
        <w:pStyle w:val="rtejustify"/>
        <w:spacing w:before="0" w:after="0"/>
        <w:rPr>
          <w:color w:val="000000" w:themeColor="text1"/>
          <w:sz w:val="16"/>
          <w:szCs w:val="16"/>
        </w:rPr>
      </w:pPr>
      <w:r w:rsidRPr="0044524F">
        <w:rPr>
          <w:rStyle w:val="af0"/>
          <w:bCs/>
          <w:i w:val="0"/>
          <w:color w:val="000000" w:themeColor="text1"/>
          <w:sz w:val="16"/>
          <w:szCs w:val="16"/>
        </w:rPr>
        <w:t>10 ноября</w:t>
      </w:r>
      <w:r w:rsidRPr="0044524F">
        <w:rPr>
          <w:color w:val="000000" w:themeColor="text1"/>
          <w:sz w:val="16"/>
          <w:szCs w:val="16"/>
        </w:rPr>
        <w:t xml:space="preserve"> 1933. Постановление СТО СССР № 106сс/о «О сроках сдачи и отправки на ДВ подлодок типа “Малютка”».(ГА РФ. Ф. Р</w:t>
      </w:r>
      <w:r w:rsidRPr="0044524F">
        <w:rPr>
          <w:color w:val="000000" w:themeColor="text1"/>
          <w:sz w:val="16"/>
          <w:szCs w:val="16"/>
        </w:rPr>
        <w:noBreakHyphen/>
        <w:t>8418. Оп. 28. Д. 3. Л. 22</w:t>
      </w:r>
      <w:r w:rsidRPr="0044524F">
        <w:rPr>
          <w:color w:val="000000" w:themeColor="text1"/>
          <w:sz w:val="16"/>
          <w:szCs w:val="16"/>
        </w:rPr>
        <w:noBreakHyphen/>
        <w:t>24) (15460).</w:t>
      </w:r>
    </w:p>
    <w:p w14:paraId="53545255" w14:textId="77777777" w:rsidR="00CE750F" w:rsidRPr="0044524F" w:rsidRDefault="00CE750F" w:rsidP="009654CF">
      <w:pPr>
        <w:pStyle w:val="rtejustify"/>
        <w:spacing w:before="0" w:after="0"/>
        <w:rPr>
          <w:color w:val="000000" w:themeColor="text1"/>
          <w:sz w:val="16"/>
          <w:szCs w:val="16"/>
        </w:rPr>
      </w:pPr>
    </w:p>
    <w:p w14:paraId="64E76177" w14:textId="77777777" w:rsidR="00CE750F" w:rsidRPr="0044524F" w:rsidRDefault="00CE750F" w:rsidP="009654CF">
      <w:pPr>
        <w:pStyle w:val="rtejustify"/>
        <w:spacing w:before="0" w:after="0"/>
        <w:rPr>
          <w:color w:val="000000" w:themeColor="text1"/>
          <w:sz w:val="16"/>
          <w:szCs w:val="16"/>
        </w:rPr>
      </w:pPr>
      <w:r w:rsidRPr="0044524F">
        <w:rPr>
          <w:rStyle w:val="af0"/>
          <w:bCs/>
          <w:i w:val="0"/>
          <w:color w:val="000000" w:themeColor="text1"/>
          <w:sz w:val="16"/>
          <w:szCs w:val="16"/>
        </w:rPr>
        <w:t>10 ноября</w:t>
      </w:r>
      <w:r w:rsidRPr="0044524F">
        <w:rPr>
          <w:color w:val="000000" w:themeColor="text1"/>
          <w:sz w:val="16"/>
          <w:szCs w:val="16"/>
        </w:rPr>
        <w:t xml:space="preserve"> 1933. Постановление СТО СССР № 107сс/о «О постройке 100 торпедных катеров для Дальнего Востока». (ГА РФ. Ф. Р</w:t>
      </w:r>
      <w:r w:rsidRPr="0044524F">
        <w:rPr>
          <w:color w:val="000000" w:themeColor="text1"/>
          <w:sz w:val="16"/>
          <w:szCs w:val="16"/>
        </w:rPr>
        <w:noBreakHyphen/>
        <w:t>8418. Оп. 28. Д. 3. Л. 25</w:t>
      </w:r>
      <w:r w:rsidRPr="0044524F">
        <w:rPr>
          <w:color w:val="000000" w:themeColor="text1"/>
          <w:sz w:val="16"/>
          <w:szCs w:val="16"/>
        </w:rPr>
        <w:noBreakHyphen/>
        <w:t>26) (15460).</w:t>
      </w:r>
    </w:p>
    <w:p w14:paraId="1B93033A" w14:textId="77777777" w:rsidR="00CE750F" w:rsidRPr="0044524F" w:rsidRDefault="00CE750F" w:rsidP="009654CF">
      <w:pPr>
        <w:pStyle w:val="rtejustify"/>
        <w:spacing w:before="0" w:after="0"/>
        <w:rPr>
          <w:color w:val="000000" w:themeColor="text1"/>
          <w:sz w:val="16"/>
          <w:szCs w:val="16"/>
        </w:rPr>
      </w:pPr>
    </w:p>
    <w:p w14:paraId="71EF783F" w14:textId="77777777" w:rsidR="00CE750F" w:rsidRPr="0044524F" w:rsidRDefault="00CE750F" w:rsidP="009654CF">
      <w:pPr>
        <w:pStyle w:val="rtejustify"/>
        <w:spacing w:before="0" w:after="0"/>
        <w:rPr>
          <w:color w:val="000000" w:themeColor="text1"/>
          <w:sz w:val="16"/>
          <w:szCs w:val="16"/>
        </w:rPr>
      </w:pPr>
      <w:r w:rsidRPr="0044524F">
        <w:rPr>
          <w:rStyle w:val="af0"/>
          <w:bCs/>
          <w:i w:val="0"/>
          <w:color w:val="000000" w:themeColor="text1"/>
          <w:sz w:val="16"/>
          <w:szCs w:val="16"/>
        </w:rPr>
        <w:t>10 ноября</w:t>
      </w:r>
      <w:r w:rsidRPr="0044524F">
        <w:rPr>
          <w:color w:val="000000" w:themeColor="text1"/>
          <w:sz w:val="16"/>
          <w:szCs w:val="16"/>
        </w:rPr>
        <w:t xml:space="preserve"> 1933. Постановление СТО СССР № 109сс/о «О форсировании строительства сторожевых судов на Дальнем Востоке». (ГА РФ. Ф. Р</w:t>
      </w:r>
      <w:r w:rsidRPr="0044524F">
        <w:rPr>
          <w:color w:val="000000" w:themeColor="text1"/>
          <w:sz w:val="16"/>
          <w:szCs w:val="16"/>
        </w:rPr>
        <w:noBreakHyphen/>
        <w:t>8418. Оп. 28. Д. 3. Л. 28</w:t>
      </w:r>
      <w:r w:rsidRPr="0044524F">
        <w:rPr>
          <w:color w:val="000000" w:themeColor="text1"/>
          <w:sz w:val="16"/>
          <w:szCs w:val="16"/>
        </w:rPr>
        <w:noBreakHyphen/>
        <w:t>29) (15460).</w:t>
      </w:r>
    </w:p>
    <w:p w14:paraId="0AE5013A" w14:textId="77777777" w:rsidR="00CE750F" w:rsidRPr="0044524F" w:rsidRDefault="00CE750F" w:rsidP="009654CF">
      <w:pPr>
        <w:pStyle w:val="rtejustify"/>
        <w:spacing w:before="0" w:after="0"/>
        <w:rPr>
          <w:color w:val="000000" w:themeColor="text1"/>
          <w:sz w:val="16"/>
          <w:szCs w:val="16"/>
        </w:rPr>
      </w:pPr>
    </w:p>
    <w:p w14:paraId="0E6CB6C2"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BABFC27"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FF54F8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1933-го приказом ОГПУ № 00361 были объявлены «Типовые штаты для исправительно-трудовых лагерей ОГПУ», вводимые в действие задним числом с 1 ноября с отменой всех прежних штатов ИТЛ; для Управлений Дмитлага, Белбалтлага, Бамлага и Ухтпечлага, Вайгачской экспедиции и Саровского особого карантинного лагеря теперь устанавливались свои особые штаты, отделения же и лагпунты этих лагерей реорганизовались в общем порядке. Из объяснительной записки, приложенной к этому приказу, видно, сколь разветвленной и плохо управляемой стала система лагерей:</w:t>
      </w:r>
    </w:p>
    <w:p w14:paraId="50F9463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«Вследствие увеличения или уменьшения контингента заключенных, а также и переброски из одного лагеря в другой, в системе исправительно-трудовых лагерей ОГПУ происходят частые дислокационные изменения, связанные с ликвидацией существующих или организацией новых лагерных единиц.</w:t>
      </w:r>
    </w:p>
    <w:p w14:paraId="060760B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штатная потребность аппаратов лагерей, за исключением некоторых должностей, находится в прямой зависимости от численности заключенных, то при разработке проекта штатов тех или иных лагерей в основу, как правило, обычно кладется контингент заключенных, числящихся в этих лагерях на день проработки штатов или запроектированный на ближайший отрезок времени.</w:t>
      </w:r>
    </w:p>
    <w:p w14:paraId="6416BAF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Практика показывает, что нередко, только что утвержденный штат уже не соответствует действительному положению вещей, т. к. на время проработки этого штата и прохождения его по инстанциям, контингент заключенных данных лагерей уже успел измениться или произошли те или иные дислокационные изменения. Это несоответствие между утвержденными штатами лагерей и их дислокацией и контингентами заключенных крайне нежелательно отражается, как на финансовой стороне дела, вызывая излишние расходы по содержанию вовремя не сокращенного аппарата, так и на самой работе лагерей из-за невозможности свое-временного пополнения аппарата при увеличении работ. Вышеуказанное обстоятельство вызывает необходимость уточнения существующей структуры аппарата лагерей и установления такой системы, чтобы, при организации новых или при переформировании существующих лагерных единиц, была возможность заранее преподать по какому основному штату следует организоваться или переформироваться. Для установления такой системы необходим переход к типовым штатам.</w:t>
      </w:r>
    </w:p>
    <w:p w14:paraId="570FE8E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разработке типовых штатов в основу положен нижеследующий расчет:</w:t>
      </w:r>
    </w:p>
    <w:p w14:paraId="1865D45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управления, объединяющие лагеря с общим количеством з/к:</w:t>
      </w:r>
    </w:p>
    <w:p w14:paraId="158F9D7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от 50.000 и выше организуются по штату 1-й категории</w:t>
      </w:r>
    </w:p>
    <w:p w14:paraId="4199B1B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от 30.000 до 50.000 организуются по штату 2-й категории</w:t>
      </w:r>
    </w:p>
    <w:p w14:paraId="40442D4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от 15.000 до 30.000 организуются по штату 3-й категории</w:t>
      </w:r>
    </w:p>
    <w:p w14:paraId="128A98B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отделения (лагеря) с количеством з/к:</w:t>
      </w:r>
    </w:p>
    <w:p w14:paraId="6A10C79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от 10.000 до 15.000 организуются по штату 1-й категории</w:t>
      </w:r>
    </w:p>
    <w:p w14:paraId="20C4FCE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от 5.000 до 10.000 организуются по штату 2-й категории</w:t>
      </w:r>
    </w:p>
    <w:p w14:paraId="402669E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от 3.000 до 5.000 организуются по штату 3-й категории</w:t>
      </w:r>
    </w:p>
    <w:p w14:paraId="1CBAA4A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лагерные пункты с количеством з/к:</w:t>
      </w:r>
    </w:p>
    <w:p w14:paraId="3F4B88A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от 1.500 до 2.000 организуются по штату 1-й категории</w:t>
      </w:r>
    </w:p>
    <w:p w14:paraId="4FC6AE1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от 650 до 1.500 организуются по штату 2-й категории</w:t>
      </w:r>
    </w:p>
    <w:p w14:paraId="1412458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от 250 до 650 организуются по штату 3-й категории</w:t>
      </w:r>
    </w:p>
    <w:p w14:paraId="1C0258B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внесения ясности в организационную структуру лагерей и установления единообразия в ее наименованиях, необходимо, чтобы все исправительно-трудовые лагеря строились по нижеследующему принципу:</w:t>
      </w:r>
    </w:p>
    <w:p w14:paraId="2111091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Как правило, низовой административно-производственной лагерной единицей должен быть лагпункт. Под наименованием лагпункта следует понимать стационарное лагерное размещение заключенных, сконцентрированных на небольшой территории, для выполнения определенной производственной задачи, рассчитанной на длительный период времени.</w:t>
      </w:r>
    </w:p>
    <w:p w14:paraId="2596973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Количество заключенных в лагпункте может быть различно, но не менее 250 и не превышать 1.500-2.000 чел.</w:t>
      </w:r>
    </w:p>
    <w:p w14:paraId="1D32F27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зависимости от расположения и производственных задач лагпункты могут подразделяться на подлагпункты.</w:t>
      </w:r>
    </w:p>
    <w:p w14:paraId="468D8E6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тех случаях, когда лагпункты организуются для временных, преимущественно, сезонных работ, они носят название временных лагпунктов (взамен наименования, так называемых командировок).</w:t>
      </w:r>
    </w:p>
    <w:p w14:paraId="3F9C31C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правило, лагерные пункты должны входить в состав того или иного отделения (лагеря). В зависимости от расположения и производственной деятельности, некоторые лагпункты могут быть организованы на правах отдельной лагерной единицы с непосредственным подчинением Управлению местными лагерями ОГПУ. Эти отдельные лагпункты организуются в том случае, когда заключенные по производственным или иным соображениям концентрируются в таких пунктах, расположение или производственное назначение которых исключает возможность подчинения их отделению (лагерю).</w:t>
      </w:r>
    </w:p>
    <w:p w14:paraId="662F440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Из совокупности нескольких лагпунктов, но не менее как из трех, организуется отделение (лагерь), количество заключенных в отделении ориентировочно, должно быть не менее 3.000 человек и не превышать 10.000-15.000 человек.</w:t>
      </w:r>
    </w:p>
    <w:p w14:paraId="3E5200C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Отделения (лагерь) также, как и лагпункт, могут быть отдельные. Отдельный лагерь организуется для выполнения определенной, преимущественно, ударной производственной задачи и подчиняется непосредственно Главному управлению лагерей ОГПУ (Прорвинский, Балахнинский и Вайгачский лагерь).</w:t>
      </w:r>
    </w:p>
    <w:p w14:paraId="6AF5E27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Структура аппарата Управлений лагерей должна состоять из следующих основных отделов:</w:t>
      </w:r>
    </w:p>
    <w:p w14:paraId="75FE8E5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общеадминистративного</w:t>
      </w:r>
    </w:p>
    <w:p w14:paraId="41A814B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учетно-распределительного</w:t>
      </w:r>
    </w:p>
    <w:p w14:paraId="682ED03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третьего отдела</w:t>
      </w:r>
    </w:p>
    <w:p w14:paraId="66F5FEB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культурно-воспитательного</w:t>
      </w:r>
    </w:p>
    <w:p w14:paraId="063938D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5) снабжения</w:t>
      </w:r>
    </w:p>
    <w:p w14:paraId="5C46C78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санитарного</w:t>
      </w:r>
    </w:p>
    <w:p w14:paraId="2261790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финансового</w:t>
      </w:r>
    </w:p>
    <w:p w14:paraId="106E075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контрольно-планового</w:t>
      </w:r>
    </w:p>
    <w:p w14:paraId="681BAA9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производственно-технического</w:t>
      </w:r>
    </w:p>
    <w:p w14:paraId="086BEF2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этим в отделениях (лагерях) должны быть части с аналогичными наименованиями» (7560).</w:t>
      </w:r>
    </w:p>
    <w:p w14:paraId="2FC23031"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47BF81C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года приказом ОГПУ №00361 объявлены «Типовые штаты для исправительно-трудовых лагерей ОГПУ», вводимые в действие задним числом с 1 ноября с отменой всех прежних штатов ИТЛ (8983).</w:t>
      </w:r>
    </w:p>
    <w:p w14:paraId="18E33937"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016BF1B"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3AE5DA0"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2BFC8719" w14:textId="77777777" w:rsidR="0094728C" w:rsidRPr="0044524F" w:rsidRDefault="009472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16 и 26 ноября 1933 г. под председательством начальника УМТС Жарова были проведены совещания Управления материально-технического снабжения ВВС и ГУАП по поводу необходимости постройки нового эталонного образца И-7 к 15 марта 1934 г., однако ГУАП при поддержке Правительства настоял на своем решении считать уже испытанный самолет №4449 (эталон на 1933 год) с мотором М-17ф №262646 эталоном для серийного производства (24331).</w:t>
      </w:r>
    </w:p>
    <w:p w14:paraId="11D78C19" w14:textId="77777777" w:rsidR="0094728C" w:rsidRPr="0044524F" w:rsidRDefault="0094728C" w:rsidP="009654CF">
      <w:pPr>
        <w:spacing w:after="0" w:line="240" w:lineRule="auto"/>
        <w:jc w:val="both"/>
        <w:rPr>
          <w:rFonts w:ascii="Times New Roman" w:hAnsi="Times New Roman"/>
          <w:color w:val="000000" w:themeColor="text1"/>
          <w:sz w:val="16"/>
          <w:szCs w:val="16"/>
        </w:rPr>
      </w:pPr>
    </w:p>
    <w:p w14:paraId="334AB5C4" w14:textId="77777777" w:rsidR="00CE750F" w:rsidRPr="0044524F" w:rsidRDefault="00CE750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ноября 1933 руководство СНИИ ГВФ рапортовало правительству:</w:t>
      </w:r>
    </w:p>
    <w:p w14:paraId="542BF698" w14:textId="77777777" w:rsidR="00CE750F" w:rsidRPr="0044524F" w:rsidRDefault="00CE750F" w:rsidP="009654CF">
      <w:pPr>
        <w:pStyle w:val="45"/>
        <w:shd w:val="clear" w:color="auto" w:fill="auto"/>
        <w:spacing w:before="0" w:line="240" w:lineRule="auto"/>
        <w:jc w:val="both"/>
        <w:rPr>
          <w:rFonts w:ascii="Times New Roman" w:cs="Times New Roman"/>
          <w:color w:val="000000" w:themeColor="text1"/>
          <w:sz w:val="16"/>
          <w:szCs w:val="16"/>
        </w:rPr>
      </w:pPr>
      <w:r w:rsidRPr="0044524F">
        <w:rPr>
          <w:rFonts w:ascii="Times New Roman" w:cs="Times New Roman"/>
          <w:color w:val="000000" w:themeColor="text1"/>
          <w:sz w:val="16"/>
          <w:szCs w:val="16"/>
        </w:rPr>
        <w:t>«В разрешении задачи, поставленной партией и правительством, в совершенстве ов</w:t>
      </w:r>
      <w:r w:rsidRPr="0044524F">
        <w:rPr>
          <w:rFonts w:ascii="Times New Roman" w:cs="Times New Roman"/>
          <w:color w:val="000000" w:themeColor="text1"/>
          <w:sz w:val="16"/>
          <w:szCs w:val="16"/>
        </w:rPr>
        <w:softHyphen/>
        <w:t>ладеть высокой техникой самолётостроения, чтобы в кратчайший срок догнать и перегнать передовые в техническом отношении капиталистические страны, Самолётостроительным научно-исследовательским институтом Гражданского воздушного флота сделан новый шаг. К 16-й годовщине Великой Пролетарской Революции, на основе осуществления 6-ти исто</w:t>
      </w:r>
      <w:r w:rsidRPr="0044524F">
        <w:rPr>
          <w:rFonts w:ascii="Times New Roman" w:cs="Times New Roman"/>
          <w:color w:val="000000" w:themeColor="text1"/>
          <w:sz w:val="16"/>
          <w:szCs w:val="16"/>
        </w:rPr>
        <w:softHyphen/>
        <w:t>рических условий тов. Сталина, в беспощадной борьбе под руководством парторганизации с оппортунизмом и техническим консерватизмом, выпущен цельностальной самолёт «Сталь-6» с рядом смелых технических нововведений конструкции инженера-коммуниста т. Бартини.</w:t>
      </w:r>
    </w:p>
    <w:p w14:paraId="35A00F9E" w14:textId="77777777" w:rsidR="00CE750F" w:rsidRPr="0044524F" w:rsidRDefault="00CE750F" w:rsidP="009654CF">
      <w:pPr>
        <w:pStyle w:val="45"/>
        <w:shd w:val="clear" w:color="auto" w:fill="auto"/>
        <w:spacing w:before="0" w:line="240" w:lineRule="auto"/>
        <w:jc w:val="both"/>
        <w:rPr>
          <w:rFonts w:ascii="Times New Roman" w:cs="Times New Roman"/>
          <w:color w:val="000000" w:themeColor="text1"/>
          <w:sz w:val="16"/>
          <w:szCs w:val="16"/>
        </w:rPr>
      </w:pPr>
      <w:r w:rsidRPr="0044524F">
        <w:rPr>
          <w:rFonts w:ascii="Times New Roman" w:cs="Times New Roman"/>
          <w:color w:val="000000" w:themeColor="text1"/>
          <w:sz w:val="16"/>
          <w:szCs w:val="16"/>
        </w:rPr>
        <w:t xml:space="preserve">...В процессе заводских испытаний, проводившихся краснознамённым лётчиком </w:t>
      </w:r>
      <w:r w:rsidRPr="0044524F">
        <w:rPr>
          <w:rStyle w:val="40pt"/>
          <w:rFonts w:ascii="Times New Roman" w:hAnsi="Times New Roman" w:cs="Times New Roman"/>
          <w:b w:val="0"/>
          <w:color w:val="000000" w:themeColor="text1"/>
          <w:spacing w:val="0"/>
          <w:sz w:val="16"/>
          <w:szCs w:val="16"/>
        </w:rPr>
        <w:t>т.</w:t>
      </w:r>
      <w:r w:rsidRPr="0044524F">
        <w:rPr>
          <w:rFonts w:ascii="Times New Roman" w:cs="Times New Roman"/>
          <w:color w:val="000000" w:themeColor="text1"/>
          <w:sz w:val="16"/>
          <w:szCs w:val="16"/>
        </w:rPr>
        <w:t xml:space="preserve"> Юмашевым «Сталь-6» совершил 16 полётов, целиком оправдавших применение тех</w:t>
      </w:r>
      <w:r w:rsidRPr="0044524F">
        <w:rPr>
          <w:rFonts w:ascii="Times New Roman" w:cs="Times New Roman"/>
          <w:color w:val="000000" w:themeColor="text1"/>
          <w:sz w:val="16"/>
          <w:szCs w:val="16"/>
        </w:rPr>
        <w:softHyphen/>
        <w:t>нических нововведений и показавших высокие лётные качества самолёта. Достигнутая скорость 400 клм. в час, не являясь максимальной для этого самолёта, ставит всесоюзный рекорд» (15844).</w:t>
      </w:r>
    </w:p>
    <w:p w14:paraId="5883F78A" w14:textId="77777777" w:rsidR="00CE750F" w:rsidRPr="0044524F" w:rsidRDefault="00CE750F" w:rsidP="009654CF">
      <w:pPr>
        <w:pStyle w:val="45"/>
        <w:shd w:val="clear" w:color="auto" w:fill="auto"/>
        <w:spacing w:before="0" w:line="240" w:lineRule="auto"/>
        <w:jc w:val="both"/>
        <w:rPr>
          <w:rFonts w:ascii="Times New Roman" w:cs="Times New Roman"/>
          <w:color w:val="000000" w:themeColor="text1"/>
          <w:sz w:val="16"/>
          <w:szCs w:val="16"/>
        </w:rPr>
      </w:pPr>
    </w:p>
    <w:p w14:paraId="59BC4C7D" w14:textId="77777777" w:rsidR="00902BA3" w:rsidRPr="0044524F" w:rsidRDefault="00902BA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11 ноября 1933 руководство СНИИ ГВФ рапортовало правительству:</w:t>
      </w:r>
    </w:p>
    <w:p w14:paraId="27CF2BB5" w14:textId="77777777" w:rsidR="00902BA3" w:rsidRPr="0044524F" w:rsidRDefault="00902BA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разрешении задачи, поставленной партией и правительством, в совершенстве овладеть высокой техникой самолётостроения, чтобы в кратчайший срок догнать и перегнать передовые в техническом отношении капиталистические страны, Самолётостроительным научно-исследовательским институтом Гражданского воздушного флота сделан новый шаг. К 16-й годовщине Великой Пролетарской Революции, на основе осуществления 6-ти исторических условий тов. Сталина, в беспощадной борьбе под руководством парторганизации с оппортунизмом и техническим консерватизмом, выпущен цельностальной самолёт „Сталь-6“ с рядом смелых технических нововведений конструкции инженера-коммуниста т. Бартини.</w:t>
      </w:r>
    </w:p>
    <w:p w14:paraId="51CC7F7E" w14:textId="77777777" w:rsidR="00902BA3" w:rsidRPr="0044524F" w:rsidRDefault="00902BA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процессе заводских испытаний, проводившихся краснознамённым лётчиком т. Юмашевым, „Сталь-6“ совершил 16 полётов, целиком оправдавших применение технических нововведений и показавших высокие лётные качества самолёта. Достигнутая скорость 400 клм. в час, не являясь максимальной для этого самолёта, ставит всесоюзный рекорд» </w:t>
      </w:r>
      <w:hyperlink r:id="rId365" w:history="1">
        <w:r w:rsidRPr="0044524F">
          <w:rPr>
            <w:rFonts w:ascii="Times New Roman" w:eastAsia="Times New Roman" w:hAnsi="Times New Roman"/>
            <w:color w:val="000000" w:themeColor="text1"/>
            <w:sz w:val="16"/>
            <w:szCs w:val="16"/>
            <w:lang w:eastAsia="ru-RU"/>
          </w:rPr>
          <w:t>[117]</w:t>
        </w:r>
      </w:hyperlink>
      <w:r w:rsidRPr="0044524F">
        <w:rPr>
          <w:rFonts w:ascii="Times New Roman" w:eastAsia="Times New Roman" w:hAnsi="Times New Roman"/>
          <w:color w:val="000000" w:themeColor="text1"/>
          <w:sz w:val="16"/>
          <w:szCs w:val="16"/>
          <w:lang w:eastAsia="ru-RU"/>
        </w:rPr>
        <w:t xml:space="preserve"> .</w:t>
      </w:r>
    </w:p>
    <w:p w14:paraId="2D43DC37" w14:textId="77777777" w:rsidR="00902BA3" w:rsidRPr="0044524F" w:rsidRDefault="00902BA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этом отчёте в ряде случаев желаемое выдается за действительное. Во-первых, самолёт не являлся цельностальным, так как фюзеляж имел фанерную обшивку. Во-вторых, ничего не сказано о негерметичности системы парового охлаждения, проявившейся уже в первом полёте: «самолёт сделал круг над аэродромом и, окутанный облаком пара, поспешно приземлился», — вспоминал лётчик-испытатель НИИ ВВС П.М. Стефановский </w:t>
      </w:r>
      <w:hyperlink r:id="rId366" w:history="1">
        <w:r w:rsidRPr="0044524F">
          <w:rPr>
            <w:rFonts w:ascii="Times New Roman" w:eastAsia="Times New Roman" w:hAnsi="Times New Roman"/>
            <w:color w:val="000000" w:themeColor="text1"/>
            <w:sz w:val="16"/>
            <w:szCs w:val="16"/>
            <w:lang w:eastAsia="ru-RU"/>
          </w:rPr>
          <w:t>[118]</w:t>
        </w:r>
      </w:hyperlink>
      <w:r w:rsidRPr="0044524F">
        <w:rPr>
          <w:rFonts w:ascii="Times New Roman" w:eastAsia="Times New Roman" w:hAnsi="Times New Roman"/>
          <w:color w:val="000000" w:themeColor="text1"/>
          <w:sz w:val="16"/>
          <w:szCs w:val="16"/>
          <w:lang w:eastAsia="ru-RU"/>
        </w:rPr>
        <w:t xml:space="preserve"> . Но писать о недостатках в парадных рапортах не полагалось (17489).</w:t>
      </w:r>
    </w:p>
    <w:p w14:paraId="1F6402D9" w14:textId="77777777" w:rsidR="00902BA3" w:rsidRPr="0044524F" w:rsidRDefault="00902BA3" w:rsidP="009654CF">
      <w:pPr>
        <w:spacing w:after="0" w:line="240" w:lineRule="auto"/>
        <w:jc w:val="both"/>
        <w:rPr>
          <w:rFonts w:ascii="Times New Roman" w:eastAsia="Times New Roman" w:hAnsi="Times New Roman"/>
          <w:color w:val="000000" w:themeColor="text1"/>
          <w:sz w:val="16"/>
          <w:szCs w:val="16"/>
          <w:lang w:eastAsia="ru-RU"/>
        </w:rPr>
      </w:pPr>
    </w:p>
    <w:p w14:paraId="5ACE02A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11-16-26 ноября 1933 г. на совещаниях у нач. УМТС и В ВВС Жарова, происходившем по уточнению технических требований к эталонам самолетов на 1934 г., возникли разногласия как по срокам выпуска самолетов, так и отдельных технических требований к ним (2264,51).</w:t>
      </w:r>
    </w:p>
    <w:p w14:paraId="2C48362E"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9534C1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ноября 1933 года начальник штаба НИИ ВВС Трунов писал письмо N 001351сс.</w:t>
      </w:r>
    </w:p>
    <w:p w14:paraId="3B99FB5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постройке самолета К7-7М34</w:t>
      </w:r>
    </w:p>
    <w:p w14:paraId="1D4C50A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был начат проектированием с 1930 года.</w:t>
      </w:r>
    </w:p>
    <w:p w14:paraId="13BE45C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раз тактико-технические требования к самолету были предъявлены в феврале 1932 года. Ввиду ряда изменений в конструкции вторичные тактико-технические требования с некоторыми изменениями были даны в декабре 1932 года.</w:t>
      </w:r>
    </w:p>
    <w:p w14:paraId="058683A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началу 1932 года проект был 80% переделан, так что проектирование с первого квартала 1932 года началось почти заново. Завод первоначальный проект забраковал.</w:t>
      </w:r>
    </w:p>
    <w:p w14:paraId="1474B02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 сих пор на гос. испытания не предъявлен. Первые полеты сделаны в августе 1933 года. Сейчас производится доводка самолета и заводские испытания.</w:t>
      </w:r>
    </w:p>
    <w:p w14:paraId="5B95800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РВС первоначальный срок готовности самолета был установлен III-IV квартал 1932 года. На совещании в НТС ВАО (протокол от 12 марта 1931 года NN 163/2098) Калинин заявил, что срок готовности даже 1 января 1932 года является для него приемлемым.</w:t>
      </w:r>
    </w:p>
    <w:p w14:paraId="115DACE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плану опытного строительства, утвержденному СТО от 4 июля 1932 года был установлен 1 мая 1933 года (выход на аэродром).</w:t>
      </w:r>
    </w:p>
    <w:p w14:paraId="51BE759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по постановлению РВС от 17 июня 1933 года N 3022сс 1 августа 1933 года (3903,129).</w:t>
      </w:r>
    </w:p>
    <w:p w14:paraId="12B184F0"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3F459A5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ноября 1933 года начальник ВДС ВВС Татарченко писал письмо начальнику управления боевой подготовки ВВС.</w:t>
      </w:r>
    </w:p>
    <w:p w14:paraId="6C3DF8E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Вчера 10 ноября 1933 года тактические требования на объекты плана работ 1934 года Парашютно-десантного отдела НИИ были рассмотрены на тактическом совещании в НИИ.</w:t>
      </w:r>
    </w:p>
    <w:p w14:paraId="2083A4B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Совещание полностью согласилось с представленным мною проектом, внеся в него лишь совершенно незначительные изменения.</w:t>
      </w:r>
    </w:p>
    <w:p w14:paraId="7551F93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Гроховский не выдвинул пока ни одного объекта. Обещает это сделать к 15 декабря 1933 года. Тактические (и технические) требования под эти объекты, естественно, можно составить лишь после того, как будут сформулированы основные существенные признаки объектов никому сейчас не известных.</w:t>
      </w:r>
    </w:p>
    <w:p w14:paraId="64D351F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Перечисленные объекты составляют лишь часть ВД объектов, которые необходимо создать для развития преимущественно парашютных десантов.</w:t>
      </w:r>
    </w:p>
    <w:p w14:paraId="19FBF1D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развития посадочного и планерного десанта необходимо работать над транспортными самолетами и буксируемыми планерами с привлечением более квалифицированного коллектива, чем имеется у Гроховского.</w:t>
      </w:r>
    </w:p>
    <w:p w14:paraId="717A2DD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Имеются сведения о буксируемом планере ЦАГИ, о работе НИИ ГВФ, в Осоавиахиме, группы Можаева. Никакого организованного согласования этих конструкторских работ с требованиями воздушно-десантного дела нет (3853,155-156).</w:t>
      </w:r>
    </w:p>
    <w:p w14:paraId="773D24F5"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7FBFD073" w14:textId="6A3CCB9A"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ноября 1933 г. испытание мины «Вомиза-100»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при сбрасывании с высоты 15-20 метров (18667).</w:t>
      </w:r>
    </w:p>
    <w:p w14:paraId="7CACB8F2" w14:textId="77777777" w:rsidR="00B81B17" w:rsidRPr="0044524F" w:rsidRDefault="00B81B17" w:rsidP="009654CF">
      <w:pPr>
        <w:spacing w:after="0" w:line="240" w:lineRule="auto"/>
        <w:jc w:val="both"/>
        <w:rPr>
          <w:rFonts w:ascii="Times New Roman" w:hAnsi="Times New Roman"/>
          <w:color w:val="000000" w:themeColor="text1"/>
          <w:sz w:val="16"/>
          <w:szCs w:val="16"/>
        </w:rPr>
      </w:pPr>
    </w:p>
    <w:p w14:paraId="09400EC8"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983D3A9"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515C05C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ноября 1933 в окрестностях Харькова закончились испытания БТ-32 - такое название получил танк Кристи М.1932, которые проходили с 4 сентября. Опять было множество проблем с ходовой при движении на гусеницах, в частности не прошли катки с пневматиками (3879,37).</w:t>
      </w:r>
    </w:p>
    <w:p w14:paraId="5255DDF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сентября во время первого выезда и 30-км пробега ХПЗ-Безлюдовка-ХПЗ гребни траков нашли на пневматические покрышки катков и повредили их</w:t>
      </w:r>
    </w:p>
    <w:p w14:paraId="4331E5B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сентября во время второго выезда в р-не Липцы на 35-м км движения повторился дефект 4 сентября, а также вышла из строя полуось бортовой полуоси</w:t>
      </w:r>
    </w:p>
    <w:p w14:paraId="6C4656C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третьем пробеге на 18 км вновь произошло повреждение покрышек</w:t>
      </w:r>
    </w:p>
    <w:p w14:paraId="617CCE9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удовлетворительно прошел 75-км пробег. Из-за отсутствия пневматиков пришлось поставить катки от БТ-5 и оригинала Кристи</w:t>
      </w:r>
    </w:p>
    <w:p w14:paraId="0C0E41B6"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19FBA83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ноября 1933 был последний шестой выезд и сломалось ведущее колесо гусеничного хода (3879,38).</w:t>
      </w:r>
    </w:p>
    <w:p w14:paraId="6670987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Пришли к выводу, что взять - нечего (3879,38).</w:t>
      </w:r>
    </w:p>
    <w:p w14:paraId="08973687"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FC2AC11" w14:textId="77777777" w:rsidR="001B7C90" w:rsidRPr="0044524F" w:rsidRDefault="001B7C9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11 по 18 ноября 1933 состоялся первый полет Couzinet 101 (20802).</w:t>
      </w:r>
    </w:p>
    <w:p w14:paraId="3A4FC11F" w14:textId="77777777" w:rsidR="001B7C90" w:rsidRPr="0044524F" w:rsidRDefault="001B7C90" w:rsidP="009654CF">
      <w:pPr>
        <w:spacing w:after="0" w:line="240" w:lineRule="auto"/>
        <w:jc w:val="both"/>
        <w:rPr>
          <w:rFonts w:ascii="Times New Roman" w:hAnsi="Times New Roman"/>
          <w:color w:val="000000" w:themeColor="text1"/>
          <w:sz w:val="16"/>
          <w:szCs w:val="16"/>
        </w:rPr>
      </w:pPr>
    </w:p>
    <w:p w14:paraId="2C138C38" w14:textId="77777777" w:rsidR="00CE750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4F71C82" w14:textId="77777777" w:rsidR="00CE750F" w:rsidRPr="0044524F" w:rsidRDefault="00CE750F" w:rsidP="009654CF">
      <w:pPr>
        <w:spacing w:after="0" w:line="240" w:lineRule="auto"/>
        <w:jc w:val="both"/>
        <w:rPr>
          <w:rFonts w:ascii="Times New Roman" w:hAnsi="Times New Roman"/>
          <w:iCs/>
          <w:color w:val="000000" w:themeColor="text1"/>
          <w:sz w:val="16"/>
          <w:szCs w:val="16"/>
        </w:rPr>
      </w:pPr>
    </w:p>
    <w:p w14:paraId="170D6ABD" w14:textId="77777777" w:rsidR="00CE750F" w:rsidRPr="0044524F" w:rsidRDefault="00CE750F" w:rsidP="009654CF">
      <w:pPr>
        <w:pStyle w:val="rtejustify"/>
        <w:spacing w:before="0" w:after="0"/>
        <w:rPr>
          <w:color w:val="000000" w:themeColor="text1"/>
          <w:sz w:val="16"/>
          <w:szCs w:val="16"/>
        </w:rPr>
      </w:pPr>
      <w:r w:rsidRPr="0044524F">
        <w:rPr>
          <w:rStyle w:val="af0"/>
          <w:bCs/>
          <w:i w:val="0"/>
          <w:color w:val="000000" w:themeColor="text1"/>
          <w:sz w:val="16"/>
          <w:szCs w:val="16"/>
        </w:rPr>
        <w:lastRenderedPageBreak/>
        <w:t>12 ноября</w:t>
      </w:r>
      <w:r w:rsidRPr="0044524F">
        <w:rPr>
          <w:color w:val="000000" w:themeColor="text1"/>
          <w:sz w:val="16"/>
          <w:szCs w:val="16"/>
        </w:rPr>
        <w:t xml:space="preserve"> 1933. Постановление СТО СССР № 110сс/о «О постройке и поставке цистерн, насосов и шлангов для оперативных аэродромов». (ГА РФ. Ф. Р</w:t>
      </w:r>
      <w:r w:rsidRPr="0044524F">
        <w:rPr>
          <w:color w:val="000000" w:themeColor="text1"/>
          <w:sz w:val="16"/>
          <w:szCs w:val="16"/>
        </w:rPr>
        <w:noBreakHyphen/>
        <w:t>8418. Оп. 28. Д. 3. Л. 30) (15460).</w:t>
      </w:r>
    </w:p>
    <w:p w14:paraId="78C4A162" w14:textId="77777777" w:rsidR="00CE750F" w:rsidRPr="0044524F" w:rsidRDefault="00CE750F" w:rsidP="009654CF">
      <w:pPr>
        <w:pStyle w:val="rtejustify"/>
        <w:spacing w:before="0" w:after="0"/>
        <w:rPr>
          <w:color w:val="000000" w:themeColor="text1"/>
          <w:sz w:val="16"/>
          <w:szCs w:val="16"/>
        </w:rPr>
      </w:pPr>
    </w:p>
    <w:p w14:paraId="2A702CCE" w14:textId="77777777" w:rsidR="00CE750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C73AC96" w14:textId="77777777" w:rsidR="00CE750F" w:rsidRPr="0044524F" w:rsidRDefault="00CE750F" w:rsidP="009654CF">
      <w:pPr>
        <w:spacing w:after="0" w:line="240" w:lineRule="auto"/>
        <w:jc w:val="both"/>
        <w:rPr>
          <w:rFonts w:ascii="Times New Roman" w:hAnsi="Times New Roman"/>
          <w:iCs/>
          <w:color w:val="000000" w:themeColor="text1"/>
          <w:sz w:val="16"/>
          <w:szCs w:val="16"/>
        </w:rPr>
      </w:pPr>
    </w:p>
    <w:p w14:paraId="6CB0B07C" w14:textId="77777777" w:rsidR="00CE750F" w:rsidRPr="0044524F" w:rsidRDefault="00CE750F" w:rsidP="009654CF">
      <w:pPr>
        <w:pStyle w:val="rtejustify"/>
        <w:spacing w:before="0" w:after="0"/>
        <w:rPr>
          <w:color w:val="000000" w:themeColor="text1"/>
          <w:sz w:val="16"/>
          <w:szCs w:val="16"/>
        </w:rPr>
      </w:pPr>
      <w:r w:rsidRPr="0044524F">
        <w:rPr>
          <w:rStyle w:val="af0"/>
          <w:bCs/>
          <w:i w:val="0"/>
          <w:color w:val="000000" w:themeColor="text1"/>
          <w:sz w:val="16"/>
          <w:szCs w:val="16"/>
        </w:rPr>
        <w:t>12/13 ноября 1933 вышел приказ НКТП № 209с.</w:t>
      </w:r>
      <w:r w:rsidRPr="0044524F">
        <w:rPr>
          <w:color w:val="000000" w:themeColor="text1"/>
          <w:sz w:val="16"/>
          <w:szCs w:val="16"/>
        </w:rPr>
        <w:t xml:space="preserve"> О мероприятиях по обеспечению выполнения оборонной программы 1933 г. заводом «Двигатель». (РГАЭ. Ф. 7297. Оп. 38. Д. 37. Л. 254</w:t>
      </w:r>
      <w:r w:rsidRPr="0044524F">
        <w:rPr>
          <w:color w:val="000000" w:themeColor="text1"/>
          <w:sz w:val="16"/>
          <w:szCs w:val="16"/>
        </w:rPr>
        <w:noBreakHyphen/>
        <w:t>252) (15246).</w:t>
      </w:r>
    </w:p>
    <w:p w14:paraId="516F7583" w14:textId="77777777" w:rsidR="00CE750F" w:rsidRPr="0044524F" w:rsidRDefault="00CE750F" w:rsidP="009654CF">
      <w:pPr>
        <w:pStyle w:val="rtejustify"/>
        <w:spacing w:before="0" w:after="0"/>
        <w:rPr>
          <w:color w:val="000000" w:themeColor="text1"/>
          <w:sz w:val="16"/>
          <w:szCs w:val="16"/>
        </w:rPr>
      </w:pPr>
    </w:p>
    <w:p w14:paraId="3BFC1528" w14:textId="77777777" w:rsidR="00CE750F" w:rsidRPr="0044524F" w:rsidRDefault="00CE750F" w:rsidP="009654CF">
      <w:pPr>
        <w:pStyle w:val="rtejustify"/>
        <w:spacing w:before="0" w:after="0"/>
        <w:rPr>
          <w:color w:val="000000" w:themeColor="text1"/>
          <w:sz w:val="16"/>
          <w:szCs w:val="16"/>
        </w:rPr>
      </w:pPr>
      <w:r w:rsidRPr="0044524F">
        <w:rPr>
          <w:rStyle w:val="af0"/>
          <w:bCs/>
          <w:i w:val="0"/>
          <w:color w:val="000000" w:themeColor="text1"/>
          <w:sz w:val="16"/>
          <w:szCs w:val="16"/>
        </w:rPr>
        <w:t>12 ноября</w:t>
      </w:r>
      <w:r w:rsidRPr="0044524F">
        <w:rPr>
          <w:color w:val="000000" w:themeColor="text1"/>
          <w:sz w:val="16"/>
          <w:szCs w:val="16"/>
        </w:rPr>
        <w:t xml:space="preserve"> 1933. Постановление СТО СССР № 111сс/о «О строительстве бензоемкостей на Дальнем Востоке и Восточной Сибири». (ГА РФ. Ф. Р</w:t>
      </w:r>
      <w:r w:rsidRPr="0044524F">
        <w:rPr>
          <w:color w:val="000000" w:themeColor="text1"/>
          <w:sz w:val="16"/>
          <w:szCs w:val="16"/>
        </w:rPr>
        <w:noBreakHyphen/>
        <w:t>8418. Оп. 28. Д. 3. Л. 31</w:t>
      </w:r>
      <w:r w:rsidRPr="0044524F">
        <w:rPr>
          <w:color w:val="000000" w:themeColor="text1"/>
          <w:sz w:val="16"/>
          <w:szCs w:val="16"/>
        </w:rPr>
        <w:noBreakHyphen/>
        <w:t>36) (15460).</w:t>
      </w:r>
    </w:p>
    <w:p w14:paraId="50C46EF4" w14:textId="77777777" w:rsidR="00CE750F" w:rsidRPr="0044524F" w:rsidRDefault="00CE750F" w:rsidP="009654CF">
      <w:pPr>
        <w:pStyle w:val="rtejustify"/>
        <w:spacing w:before="0" w:after="0"/>
        <w:rPr>
          <w:color w:val="000000" w:themeColor="text1"/>
          <w:sz w:val="16"/>
          <w:szCs w:val="16"/>
        </w:rPr>
      </w:pPr>
    </w:p>
    <w:p w14:paraId="18BE9532"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ноября 1933 опросом членов ПБ</w:t>
      </w:r>
    </w:p>
    <w:p w14:paraId="626E4CF2"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30/12.- О покупке в Америке сторожевых судов</w:t>
      </w:r>
    </w:p>
    <w:p w14:paraId="3C8AB914"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Поручить т. Литвинову выяснить у министра финан</w:t>
      </w:r>
      <w:r w:rsidRPr="0044524F">
        <w:rPr>
          <w:rFonts w:ascii="Times New Roman" w:hAnsi="Times New Roman"/>
          <w:color w:val="000000" w:themeColor="text1"/>
          <w:sz w:val="16"/>
          <w:szCs w:val="16"/>
        </w:rPr>
        <w:softHyphen/>
        <w:t>сов Моргентау количество сторожевых судов, тоннаж каждого из них, скорость и вооруженность ,а также, на каких условиях правительство САСШ согласилось бы продать нам все эти суда или часть их.</w:t>
      </w:r>
    </w:p>
    <w:p w14:paraId="30EB13F3"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послана:тов.Крестинскому.</w:t>
      </w:r>
    </w:p>
    <w:p w14:paraId="45692965"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47/29.- Вопрос т.Гамарника..</w:t>
      </w:r>
    </w:p>
    <w:p w14:paraId="6E65D28B"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необходимым закупить за границей 50 штук наиболее современных морских моторов авиа</w:t>
      </w:r>
      <w:r w:rsidRPr="0044524F">
        <w:rPr>
          <w:rFonts w:ascii="Times New Roman" w:hAnsi="Times New Roman"/>
          <w:color w:val="000000" w:themeColor="text1"/>
          <w:sz w:val="16"/>
          <w:szCs w:val="16"/>
        </w:rPr>
        <w:softHyphen/>
        <w:t>ционного типа (с реверсивными установками) для торпедных катеров.</w:t>
      </w:r>
    </w:p>
    <w:p w14:paraId="534B09F1"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 совместно с НКВМ и НКВТ выяснить и доло</w:t>
      </w:r>
      <w:r w:rsidRPr="0044524F">
        <w:rPr>
          <w:rFonts w:ascii="Times New Roman" w:hAnsi="Times New Roman"/>
          <w:color w:val="000000" w:themeColor="text1"/>
          <w:sz w:val="16"/>
          <w:szCs w:val="16"/>
        </w:rPr>
        <w:softHyphen/>
        <w:t>жить Политбюро не позднее 1.XII.33г. у каких фирм можно реализовать указанный заказ,стоимость,крат</w:t>
      </w:r>
      <w:r w:rsidRPr="0044524F">
        <w:rPr>
          <w:rFonts w:ascii="Times New Roman" w:hAnsi="Times New Roman"/>
          <w:color w:val="000000" w:themeColor="text1"/>
          <w:sz w:val="16"/>
          <w:szCs w:val="16"/>
        </w:rPr>
        <w:softHyphen/>
        <w:t>чайшие сроки получения и основные технические дан</w:t>
      </w:r>
      <w:r w:rsidRPr="0044524F">
        <w:rPr>
          <w:rFonts w:ascii="Times New Roman" w:hAnsi="Times New Roman"/>
          <w:color w:val="000000" w:themeColor="text1"/>
          <w:sz w:val="16"/>
          <w:szCs w:val="16"/>
        </w:rPr>
        <w:softHyphen/>
        <w:t>ные моторов.</w:t>
      </w:r>
    </w:p>
    <w:p w14:paraId="00C94EAD"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Молотову (К.О.), Ворошилову, Орджоникидзе. Розенгольцу.</w:t>
      </w:r>
    </w:p>
    <w:p w14:paraId="45DBFA72"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состоялось заседание ПБ и был оформлен протокол № 150 (23000).</w:t>
      </w:r>
    </w:p>
    <w:p w14:paraId="2323B8B7" w14:textId="77777777" w:rsidR="00D91041" w:rsidRPr="0044524F" w:rsidRDefault="00D91041" w:rsidP="009654CF">
      <w:pPr>
        <w:spacing w:after="0" w:line="240" w:lineRule="auto"/>
        <w:jc w:val="both"/>
        <w:rPr>
          <w:rFonts w:ascii="Times New Roman" w:hAnsi="Times New Roman"/>
          <w:color w:val="000000" w:themeColor="text1"/>
          <w:sz w:val="16"/>
          <w:szCs w:val="16"/>
        </w:rPr>
      </w:pPr>
    </w:p>
    <w:p w14:paraId="1AE1752A"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6587CA9"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1BB3464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ноября 1933 на парламентских выборах в Германии фашисты получили 92% мест (3481).</w:t>
      </w:r>
    </w:p>
    <w:p w14:paraId="479BADF7"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3A6DC1F6"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ноября 1933 на референдуме в Германии 95% населения одобрило политику Гитлера (4962).</w:t>
      </w:r>
    </w:p>
    <w:p w14:paraId="1FB6BD0E"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p w14:paraId="407F8EE3" w14:textId="77777777" w:rsidR="00CE750F" w:rsidRPr="0044524F" w:rsidRDefault="00CE750F"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hAnsi="Times New Roman"/>
          <w:bCs/>
          <w:color w:val="000000" w:themeColor="text1"/>
          <w:sz w:val="16"/>
          <w:szCs w:val="16"/>
        </w:rPr>
        <w:t xml:space="preserve">12 ноября </w:t>
      </w:r>
      <w:r w:rsidRPr="0044524F">
        <w:rPr>
          <w:rFonts w:ascii="Times New Roman" w:hAnsi="Times New Roman"/>
          <w:color w:val="000000" w:themeColor="text1"/>
          <w:sz w:val="16"/>
          <w:szCs w:val="16"/>
        </w:rPr>
        <w:t>в 1933 году на парламенских выборах в Германии 92 процента голосов отдано за список кандидатов от нацистской партии (96 процентов мест в парламенте) (14828).</w:t>
      </w:r>
    </w:p>
    <w:p w14:paraId="78997B45" w14:textId="77777777" w:rsidR="00CE750F" w:rsidRPr="0044524F" w:rsidRDefault="00CE750F" w:rsidP="009654CF">
      <w:pPr>
        <w:spacing w:after="0" w:line="240" w:lineRule="auto"/>
        <w:jc w:val="both"/>
        <w:rPr>
          <w:rFonts w:ascii="Times New Roman" w:hAnsi="Times New Roman"/>
          <w:color w:val="000000" w:themeColor="text1"/>
          <w:sz w:val="16"/>
          <w:szCs w:val="16"/>
        </w:rPr>
      </w:pPr>
    </w:p>
    <w:p w14:paraId="331AF9FB" w14:textId="77777777" w:rsidR="00362C4F" w:rsidRPr="0044524F" w:rsidRDefault="00362C4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12 ноября 1933 года в референдуме участвовали 96 процентов зарегистрированных избирателей; 95 процентов этого числа одобрили решение об уходе из Женевы. На выборах в рейхстаг за список нацистской партии (в него вошли также Гинденбург и шестеро ненацистов) отдали свои голоса 92 процента избирателей. Даже в концлагере Дахау 2154 заключенных из 2242 проголосовали за правительство, по вине которого они там оказались! Правда, во многих населенных пунктах раздавались угрозы в адрес тех, кто уклонялся от голосования или кто голосовал "неправильно"; были случаи, когда избиратели боялись, что власти узнают, кто из них голосовал против режима, и подвергнут их наказаниям. Но даже с этой оговоркой итоги голосования (а их-то, во всяком случае, подводили честно) свидетельствовали о потрясающем успехе Адольфа Гитлера. Не оставалось сомнений, что вызов, брошенный им внешнему миру, поддержало подавляющее большинство немецкого народа (17283).</w:t>
      </w:r>
    </w:p>
    <w:p w14:paraId="2CF4EC06" w14:textId="77777777" w:rsidR="00362C4F" w:rsidRPr="0044524F" w:rsidRDefault="00362C4F" w:rsidP="009654CF">
      <w:pPr>
        <w:spacing w:after="0" w:line="240" w:lineRule="auto"/>
        <w:jc w:val="both"/>
        <w:rPr>
          <w:rFonts w:ascii="Times New Roman" w:hAnsi="Times New Roman"/>
          <w:color w:val="000000" w:themeColor="text1"/>
          <w:sz w:val="16"/>
          <w:szCs w:val="16"/>
        </w:rPr>
      </w:pPr>
    </w:p>
    <w:p w14:paraId="4B0F73DA" w14:textId="77777777" w:rsidR="00CE750F" w:rsidRPr="0044524F" w:rsidRDefault="00CE750F"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hAnsi="Times New Roman"/>
          <w:bCs/>
          <w:color w:val="000000" w:themeColor="text1"/>
          <w:sz w:val="16"/>
          <w:szCs w:val="16"/>
        </w:rPr>
        <w:t xml:space="preserve">12 ноября </w:t>
      </w:r>
      <w:r w:rsidRPr="0044524F">
        <w:rPr>
          <w:rFonts w:ascii="Times New Roman" w:hAnsi="Times New Roman"/>
          <w:color w:val="000000" w:themeColor="text1"/>
          <w:sz w:val="16"/>
          <w:szCs w:val="16"/>
        </w:rPr>
        <w:t>в 1933 году доктор Роберт Кеннет Вильсон представил сегодня общественности фотографию предполагаемого лох-несского чудовища, нечто вроде морского змея с маленькой головой на длинной шее, напоминающее известные изображения древнего динозавра плезиозавра. Исследования показали, что фото подлинное, и мир поверил в то, что загадочный зверь из шотландского озера вполне реален. В 1994 году все встало на свои места. Перед смертью Мармадьюк Ветерелл, прославившийся в том же 1933 году находкой якобы следов Несси, оказавшихся позднее следами бегемота, сделал сенсационное признание. Он рассказал, что после провала затеи со следами у него появилась идея сотворить новую мистификацию. Помогали ему пасынок Кристиан Спелинг, сын Ян и два друга, Роберт Кеннет Вильсон и Морис Чемберс. "Подлинные" голова и шея чудовища были смастерены из подручных средств и укреплены на миниатюрной подводной лодке, управлявшейся с берега (14828).</w:t>
      </w:r>
    </w:p>
    <w:p w14:paraId="2ADC4B96" w14:textId="77777777" w:rsidR="00CE750F" w:rsidRPr="0044524F" w:rsidRDefault="00CE750F" w:rsidP="009654CF">
      <w:pPr>
        <w:spacing w:after="0" w:line="240" w:lineRule="auto"/>
        <w:jc w:val="both"/>
        <w:rPr>
          <w:rFonts w:ascii="Times New Roman" w:hAnsi="Times New Roman"/>
          <w:color w:val="000000" w:themeColor="text1"/>
          <w:sz w:val="16"/>
          <w:szCs w:val="16"/>
        </w:rPr>
      </w:pPr>
    </w:p>
    <w:p w14:paraId="604C87B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ноября 1933 была сделана первая фотография Лох-Несского чудовища (3481).</w:t>
      </w:r>
    </w:p>
    <w:p w14:paraId="72FF6998"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4B82DE8F"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6A0F4FA"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17E323A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1933 прервали сборку моторамы дублера И-14 - в производство передали новые чертежи, согласно которым ее удлинили на 75 мм.</w:t>
      </w:r>
    </w:p>
    <w:p w14:paraId="7FDB182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которую собирали с конца октября 1933,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33983C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20804DF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53BE82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1646F252"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3ACB03E3"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1933 года был заключен договор на строительство гидросамолета СПЛ-М11 между НИИ Аэрофлота и УВС (6813).</w:t>
      </w:r>
    </w:p>
    <w:p w14:paraId="1960FBF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p w14:paraId="38AF578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1933 вышел приказ ГУАП N 22/431:</w:t>
      </w:r>
    </w:p>
    <w:p w14:paraId="39BC8D6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133 со всем его имуществом и личным составом с сего числа влить в завод 39". Нач. ГУАП Королев (2289,42).</w:t>
      </w:r>
    </w:p>
    <w:p w14:paraId="1188D82C"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49D9D538" w14:textId="77777777" w:rsidR="00CE750F" w:rsidRPr="0044524F" w:rsidRDefault="00CE750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13-го ноября 1933 года за подписью Г.Н. Королева выходит приказ по ГУАП за № 22/431, согласно которому завод № 133 со всем имуществом и личным составом вливается в завод № 39. При этом на директора завода № 39 Марголина возлагается исполнение всех обязательств, исполняемых заводом № 133, а бывший его директор Фрадкин назначается заместителем директора по заводу № 39 (15223).</w:t>
      </w:r>
    </w:p>
    <w:p w14:paraId="44D598E4" w14:textId="77777777" w:rsidR="00CE750F" w:rsidRPr="0044524F" w:rsidRDefault="00CE750F" w:rsidP="009654CF">
      <w:pPr>
        <w:shd w:val="clear" w:color="auto" w:fill="FFFFFF"/>
        <w:spacing w:after="0" w:line="240" w:lineRule="auto"/>
        <w:jc w:val="both"/>
        <w:rPr>
          <w:rFonts w:ascii="Times New Roman" w:hAnsi="Times New Roman"/>
          <w:color w:val="000000" w:themeColor="text1"/>
          <w:sz w:val="16"/>
          <w:szCs w:val="16"/>
        </w:rPr>
      </w:pPr>
    </w:p>
    <w:p w14:paraId="51572A9C"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13-го ноября 1933 года за подписью Г.Н. Королева выходит приказ по ГУАП за № 22/431, согласно которому завод № 133 со всем имуществом и личным составом вливается в завод № 39. При этом на директора завода № 39 Марголина возлагается исполнение всех обязательств, исполняемых заводом № 133, а бывший его директор Фрадкин назначается за-местителем директора по заводу № 39 (18293).</w:t>
      </w:r>
    </w:p>
    <w:p w14:paraId="180A7CF7" w14:textId="77777777" w:rsidR="00B81B17" w:rsidRPr="0044524F" w:rsidRDefault="00B81B17" w:rsidP="009654CF">
      <w:pPr>
        <w:spacing w:after="0" w:line="240" w:lineRule="auto"/>
        <w:jc w:val="both"/>
        <w:rPr>
          <w:rFonts w:ascii="Times New Roman" w:hAnsi="Times New Roman"/>
          <w:color w:val="000000" w:themeColor="text1"/>
          <w:sz w:val="16"/>
          <w:szCs w:val="16"/>
        </w:rPr>
      </w:pPr>
    </w:p>
    <w:p w14:paraId="6568BE7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1933 Нач. ЦОУ завода 132 (завода 1 ВВС) Вирджили писал письмо N 161с в НТОС ГУАП Алмазову:</w:t>
      </w:r>
    </w:p>
    <w:p w14:paraId="7E60821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дополнение к нашему письму N 155с от 4 ноября 1933 сообщаем, что ОКБ завода 132 разрабатывает следующие объекты:</w:t>
      </w:r>
    </w:p>
    <w:p w14:paraId="576AE36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3AA1B70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Геликоптер-амфибия, который по своей конструкции является пассажирской сухопутно-морской машиной, снабженный 3 моторами нашей конструкции. имеет в основе вертикальный подъем и спуск (и сохраняет подъем и спуск аналогично самолету при этом подъемная сила его увеличивается). Может висеть в воздухе на одной точке не передвигаясь.</w:t>
      </w:r>
    </w:p>
    <w:p w14:paraId="68F6BF7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порчи моторов парашютировать на землю избегая при этом аварии. Благодаря особой компоновке шасси и поплавков он имеет полную возможность подъема как с земли, так и с воды и свободный выход на берег. вес пустой машины - 3500 кг, полетный вес - 5500 кг.</w:t>
      </w:r>
    </w:p>
    <w:p w14:paraId="5D1BF5B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Второй вариант Геликоптера-амфибии сохраняет все свойства первого варианта, с уменьшением веса и увеличением грузоподъемности</w:t>
      </w:r>
    </w:p>
    <w:p w14:paraId="14AF7F1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w:t>
      </w:r>
    </w:p>
    <w:p w14:paraId="2BABAC56"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Механический регулятор: для поддержания постоянного числа оборотов динамо-машины /4500 обор. в минуту/ при работе мотора внутреннего сгорания от 920 до 1850 оборотов в минуту. Мощ</w:t>
      </w:r>
      <w:r w:rsidRPr="0044524F">
        <w:rPr>
          <w:rFonts w:ascii="Times New Roman" w:hAnsi="Times New Roman"/>
          <w:color w:val="000000" w:themeColor="text1"/>
          <w:sz w:val="16"/>
          <w:szCs w:val="16"/>
        </w:rPr>
        <w:softHyphen/>
        <w:t>ность механического регулятора расчитана на 1 киловат. Механический регулятор в основном приспо сабливается нами для радио установок и получении электросвета на самолетах, а также может быть использован для таких же целей на танках, катерах и других машинах.</w:t>
      </w:r>
    </w:p>
    <w:p w14:paraId="73FF394E"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Механический регулятор соединяется с авиационное мотором /М-17/ через фрикционную муфту включения, жестко установленную непосредст</w:t>
      </w:r>
      <w:r w:rsidRPr="0044524F">
        <w:rPr>
          <w:rFonts w:ascii="Times New Roman" w:hAnsi="Times New Roman"/>
          <w:color w:val="000000" w:themeColor="text1"/>
          <w:sz w:val="16"/>
          <w:szCs w:val="16"/>
        </w:rPr>
        <w:softHyphen/>
        <w:t>венно на моторе. Фрикционная муфта обеспечивает плавность включения механического регулятора и позволяет включать и выключать механический регулятор по мере надобности. Вращение на механи</w:t>
      </w:r>
      <w:r w:rsidRPr="0044524F">
        <w:rPr>
          <w:rFonts w:ascii="Times New Roman" w:hAnsi="Times New Roman"/>
          <w:color w:val="000000" w:themeColor="text1"/>
          <w:sz w:val="16"/>
          <w:szCs w:val="16"/>
        </w:rPr>
        <w:softHyphen/>
        <w:t>ческий регулятор передается гибким валом или непосредстве иным жестким соединением.</w:t>
      </w:r>
    </w:p>
    <w:p w14:paraId="21464BE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Весь механический регулятор заключен в литой корпус, что предохраняет его от загрязнений и порчи. Механический регулятор смонтирован на общей подставке с динамо-машиной, соединение с последней осуществлено через эластичную муфту, которая позволяет иметь небольшой перекос или несовпадение центров динамо-машины и механически го регулятора.</w:t>
      </w:r>
    </w:p>
    <w:p w14:paraId="20DB1D1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Авиационный мотор: предназначается для установки на разрабатываемый геликоптер-амфибию. По условиям работы это будет звездный мотор с водяным охлаждением (2305,71).</w:t>
      </w:r>
    </w:p>
    <w:p w14:paraId="10F8917E"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AF24BD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1933 проходили полигонные (государственные) испытания торпеды высокого торпедометания образца 1912 года (ТАВ-12), которые проходили с 24 июня 1933. Краткий результат испытаний: Гос. испытания ТАВ-12 выдержала. Наименование образца - ТАВ-12 (торпеда авиационная высотная образца 1912 года) (3053).</w:t>
      </w:r>
    </w:p>
    <w:p w14:paraId="2C54525F"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39E8C321"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192A0CE"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612FD42D"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Не позднее 13 ноября 1933 г. Из доклада представителя фирмы "Дженерал Моторс Корпорэйшн" Е.М. Ван Воорхиса директорам фирмы о возможностях предоставления кредитов и технической помощи СССР </w:t>
      </w:r>
    </w:p>
    <w:p w14:paraId="02EBBE48"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пытался отнестись к России без всяких предубеждений. Я наблюдаю там много вещей, заслуживающих восхищения, много неудач и некоторые вещи, о которых всякий здравомыслящий человек не может не сожалеть. С другой стороны, я убежден и (если у меня будет время и место, которые я не буду занимать здесь этим), думается, я смогу убедить почти всякого, что советское правительство является устойчивым и остается таковым, независимо от эволюции к более либеральной политике и организации, которая, возможно, постепенно будет совершаться (и действительно совершается все это время). </w:t>
      </w:r>
    </w:p>
    <w:p w14:paraId="28EF9445"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также убежден, что в своей финансовой политике советское правительство достигло величайших успехов, и рассматриваю соглашение с Германией об отсрочке части платежей, которое было заключено в этом году — очень ловкой коммерческой сделкой - хотя не особенно этичной и не вызванной недостатком средств. Наконец, я убежден, что Советский Союз, как только мир несколько оправится от теперешней экономической депрессии, будет одним из крупнейших мировых автомобильных рынков. Это свое убеждение я основываю на колоссальной потребности в автотранспорте, которая уже в настоящее время существует, а также и на том, что, по моему мнению, советская промышленность явно неспособна расти с такой быстротой, чтобы не отставать от спроса. </w:t>
      </w:r>
    </w:p>
    <w:p w14:paraId="0A17D2D2"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прошлых моих письмах я указал на причины, почему, по моему мнению, советское правительство откладывало утверждение второй пятилетки в течение почти всего 1933 г. Чтобы восполнить этот мой доклад, я вкратце суммирую эти причины следующим образом: </w:t>
      </w:r>
    </w:p>
    <w:p w14:paraId="4EFF6BCC"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Недостаток продовольствия последних нескольких лет достиг своего апогея к концу 1932 г. В начале настоящего года советское правительство было принуждено сконцентрировать все свои усилия на разрешении этой жизненной проблемы2. Промышленность была поневоле отодвинута на второй план, а утверждение второй пятилетки было отложено в то время, как правительство посвятило свое время и мысли на то, чтобы добиться успеха весеннего сева в зерновых областях. Недостаток пищи был самой настоятельной проблемой, отодвинувшей на задний план все остальные. </w:t>
      </w:r>
    </w:p>
    <w:p w14:paraId="37D76313"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Советский Союз подверг сильному испытанию свой кредит в течение 1932 г., вследствие необходимости закончить первую пятилетку с максимальным успехом; и это несмотря на быстро падающий экспорт и падение мировых цен на товары. Советская структура кредитов была, кроме того, подвергнута испытанию натянутыми отношениями с Японией на Дальнем Востоке, где наблюдался недостаток в достаточном количестве военных припасов. Значительная часть необходимых военных припасов должна была быть закуплена за границей и вследствие этой крайней необходимости, значительная часть денег была истрачена, которая не была предусмотрена в прошлогоднем бюджете . Более того, производство разных советских фабрик, которые уже находились в действии, было переключено на производство военного снаряжения, и в результате много предметов, не предусмотренных в бюджете, должны были быть закуплены за границей. </w:t>
      </w:r>
    </w:p>
    <w:p w14:paraId="5D00B44E"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Затруднительное положение с кредитом делало необходимым перед тем, как принять решение относительно нового претенциозного плана второй пятилетки3, тщательное изучение возможных доходов и минимальных расходов. </w:t>
      </w:r>
    </w:p>
    <w:p w14:paraId="7F11FD75"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Денонсирование со стороны Великобритании англо-советского торгового соглашения и затем эмбарго и контрэмбарго4 между этими двумя странами. Ввиду того, что Великобритания была одним из крупнейших покупателей советских экспортных товаров, такое положение дела затрудняло советскому правительству заранее определить свои доходы от экспорта, что в значительной мере предопределило бы, какое новое строительство могло или не могло быть включено во вторую пятилетку. </w:t>
      </w:r>
    </w:p>
    <w:p w14:paraId="70356BA2"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 Лондонская экономическая конференция5. Хотя и не ожидая многого от конференции в виде прямых результатов, советское правительство ожидало и действительно провело и завершило в Лондоне некоторые переговоры на стороне, результаты коих, разумеется, имели прямое отношение к экспорту. И опять в связи с этим возникает неуверенность в отношении доходов. </w:t>
      </w:r>
    </w:p>
    <w:p w14:paraId="4C6F290D"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 Торговые соглашения с Италией6 и Францией и имеющее меньшее значение соглашение с Балтийскими государствами7, которые возникли в результате Лондонской конференции. В то время, как соглашения были подписаны, вопрос о квотах, по-видимому, еще не получил своего окончательного разрешения и очень мало товара было фактически обменено. Опять возникает неуверенность в отношении доходов. </w:t>
      </w:r>
    </w:p>
    <w:p w14:paraId="5F86B3A8"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е) Возможность признания со стороны Америки и займа со стороны американского правительства. Опять вопрос о доходах. </w:t>
      </w:r>
    </w:p>
    <w:p w14:paraId="4DA72F5D"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ж) Ввиду того, что первая пятилетка закончилась со значительным успехом, не было непосредственной необходимости для советского правительства развивать исключительную энергию в течение первого года второй пятилетки. Другими словами, правительство могло позволить себе роскошь отдохнуть на время, пока оно будет в состоянии более точно определить доходы по смете. </w:t>
      </w:r>
    </w:p>
    <w:p w14:paraId="21D0DBE1"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полагаю, что пройдет по крайней мере два года, пока мы, или кто-нибудь другой, будем продавать значительное количество автомобильной продукции в Советской России. Советское правительство, как и все другие страны, сильно пострадало от мировой депрессии, с последующим уменьшением международной торговли и падением мировых цен. Хотя советское правительство до сих пор прекрасно успевало в отношении финансов, оно несомненно нуждается в деньгах и должно будет проявлять чрезвычайную осторожность в течение ближайшего года или около года, пока общее количество его экспортов будет восстановлено по более высоким ценам на товары. Тот факт, что данные, полученные от советской таможни, показывают, что в течение первых восьми месяцев настоящего года всего лишь 456 автомобилей и грузовиков были ввезены в Советский Союз из всех стран всего мира, производящих автомобили и грузовики, а также тот факт, что та предполагаемая цифра, которая, по моим сведениям, определена для ввоза будущего года, значительно ниже тысячи единиц, как будто подтверждают мое убеждение относительно ограниченных возможностей в смысле размера ввоза на ближайшее будущее. </w:t>
      </w:r>
    </w:p>
    <w:p w14:paraId="648FF917"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Ограничение размера импорта из Америки </w:t>
      </w:r>
    </w:p>
    <w:p w14:paraId="0253C399"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считаю установленным, что и Советский Союз и Соединенные Штаты заинтересованы в развитии такого торгового соглашения, которое могло бы иметь ценность на длительный срок. Всякое соглашение, основанное исключительно на временных выгодах, несомненно нежелательно и, возможно, повлечет за собой в будущем дурные последствия. Для тех немногих американцев, которые довольно близко знакомы с русским экономическим положением, наиболее заслуживающим уважение явлением в современной советской системе является управление советским правительством своими внешними финансовыми делами. В этом мире мировых банковых банкротств, чрезвычайно распространенных нарушений договоров и отказов от платежей, инфляции и чрезмерных правительственных расходов советский лозунг "Мы не будем покупать, если мы не уверены в том, что сможем уплатить за то, что мы покупаем" - является, во всяком случае, отрадным явлением. Вступить в какие-либо договорные отношения с Соединенными Штатами, отношения, которые нарушали бы этот основной принцип, было бы, безусловно, пагубно, поскольку это касается доверия к желанию и возможности для Советов платить свои долги. </w:t>
      </w:r>
    </w:p>
    <w:p w14:paraId="628368B2"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По-моему, за дипломатическим признанием Соединенными Штатами Советского Союза, вероятно, последуют предложения значительных кредитов советскому правительству со стороны крупных промышленных организаций в Соединенных Штатах. </w:t>
      </w:r>
    </w:p>
    <w:p w14:paraId="665463A2"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Принять эти кредиты при теперешнем положении дел было бы пагубно для советского правительства, и будет нарушен принцип, который я упомянул. Как мы все знаем, торговый баланс между Соединенными Штатами и Советским </w:t>
      </w:r>
    </w:p>
    <w:p w14:paraId="4E7F2F11"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Союзом, несмотря на то, что советское правительство закупает в Америке только самые что ни на есть необходимые для него товары, все лее является неблагоприятным для СССР. Это, разумеется, означает, что американцы не покупают советского сырья и что поэтому СССР не может вывести такой кредитный баланс в Америке, который дал бы возможность заплатить за такие частные кредиты, которые, возможно, будут даны в результате дипломатического признания. Лично я не верю, что за признанием последует значительное увеличение американских закупок в Советском Союзе. </w:t>
      </w:r>
    </w:p>
    <w:p w14:paraId="003D8AA1"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Американская промышленность потратила много лет на развитие надежных источников сырья, и я не верю, что одно лишь дипломатическое признание без дальнейших действий побудило бы американские промышленные организации переменить источники, откуда они получают сырье в настоящее время и обратиться взамен к Советскому Союзу. Задача, кроме того, осложняется тем, что большая часть сырья, производимая в Советском Союзе, также производится в Америке. Имея </w:t>
      </w:r>
      <w:r w:rsidRPr="0044524F">
        <w:rPr>
          <w:rFonts w:ascii="Times New Roman" w:hAnsi="Times New Roman"/>
          <w:color w:val="000000" w:themeColor="text1"/>
          <w:sz w:val="16"/>
          <w:szCs w:val="16"/>
        </w:rPr>
        <w:lastRenderedPageBreak/>
        <w:t xml:space="preserve">в виду непосредственные выгоды, Советский Союз, может быть, согласится на крупные частные американские кредиты согласно предложениям, которые ему сделают, но, как я уже сказал, отсутствие обеспечения средств для уплаты, т.е. отсутствие более крупных американских закупок в СССР, повлечет потерю доверия к Советскому Союзу со стороны американских деловых людей, имеющих действительное значение и знакомых с положением. Можно аргументировать, что торговые балансы Советского Союза в других странах могут быть использованы на предмет удовлетворения американских частных кредитов, когда наступит срок платежа, но по-моему, разрыв международных кредитных отношений вместе с ограничениями обмена и условия взаимности, содержащиеся в советских торговых договорах с другими странами, сделают невозможным отвлечение из этих других стран более чем ничтожной суммы, которая могла бы пойти в уплату американских частных кредитов. </w:t>
      </w:r>
    </w:p>
    <w:p w14:paraId="53FBE1BC"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Как альтернатива, можно сказать, невозможного положения, которое я только что обрисовал, существует, разумеется, возможность займов Советскому Союзу со стороны Реконструктивной финансовой корпорации или какой-либо иной формы государственной гарантии, данной американским правительством в отношении частных кредитов. </w:t>
      </w:r>
    </w:p>
    <w:p w14:paraId="010FB953"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Любая из этих альтернатив представляется мне лишь как отсрочка злосчастного дня. Хотя вполне возможно, что советское правительство в состоянии выплатить эти правительственные или квазиправительственные кредиты, когда настанет срок платежа, что, возможно, не случится с частными кредитами, которые я только что обсуждал, все же наступит день - если советско-американские отношения будут продолжаться на солидной основе, - когда за эти кредиты должна будет быть произведена оплата. Если не было сделано никакого обеспечения в отношении увеличенных закупок советского сырья Америкой, я не вижу, в каком отношении советское правительство будет в лучшем положении материально - разве только в отношении времени, - чем имея частные кредиты. Третьей и единственно дельной альтернативой, по-моему, является двойная система, согласно которой американское правительство гарантирует известный процент американских частных кредитов, данных Советскому Союзу и, кроме того, устанавливает какое-либо учреждение, которое даст возможность Советскому Союзу выполнить свои обязательства в отношении Америки единственным осуществимым путем, т.е. при помощи большого потребления советского сырья Америкой. Будет ли такое учреждение в виде правительственного департамента, или же оно будет организовано частным банком в Америке, субсидированным правительством, не имеет большого значения. Важно, чтобы это учреждение, какова бы ни была его форма, изучило бы тщательно американскую промышленность с целью удостовериться, где именно может быть использовано советское сырье. Пользуясь своим стратегическим положением как инстанция, гарантирующая американские частные кредиты Советской России, американское правительство через это учреждение могло бы действовать как получатель советского сырья, доставленного в уплату гарантированных кредитов, и наблюдать за тем, чтобы это сырье было использовано разными американскими отраслями промышленности, которые используют соответствующий тип сырья. Будет ли такое учреждение физически принимать сырье и действовать как распределитель или же оно только будет направлять и указывать, где такое сырье может быть использовано, опять-та- ки не имеет большого значения. </w:t>
      </w:r>
    </w:p>
    <w:p w14:paraId="534566B7"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желал бы повторить одно обстоятельство, о котором я упоминал в предыдущих отчетах, а именно, что советская индустриализация сделала большие успехи. В то время как в прошлом году советская автопромышленность закупала все свое электрическое оборудование и большую часть подшипников, измерителей скоростей, колес и прочее в Германии, она теперь почти все сама производит. Ее единственные закупки за границей обусловлены лишь срочными заказами, которые не могут быть выполнены в срок в СССР, и эти закупки сведены до минимума. Продажа Америкой автомобилей и грузовиков в СССР имеет главным образом следующие возможности (после того как улучшится мировая экономическая конъюнктура) - вполне оборудованные единицы, которые займут место прорыва между максимальной продукцией советской автопромышленности, с одной стороны, и минимальными нуждами развивающейся страны - с другой. </w:t>
      </w:r>
    </w:p>
    <w:p w14:paraId="288251DA"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 это является очень важным обстоятельством. Развитие советской автопромышленности намного опередило ее соседнюю транспортную промышленность, именно - железные дороги. В этом году были неполадки на железных дорогах, аварии и недостаточная производительность замечались всюду. При увеличении числа фабрик и увеличении выпуска промышленной продукции (не говоря уже о земледелии) железные дороги становятся все менее и менее удовлетворительными, и теперь, когда сельскохозяйственная проблема протекает довольно успешно, правительство прилагает все усилия к тому, чтобы наладить железнодорожное строитель-ство. По мнению высококомпетентных лиц, неизбежным результатом этого будет то, что, принимая во внимание ограниченность средств, суммы, ассигнованные на автопромышленность, в течение примерно ближайшего года на новые заводы и машины не будут столь велики, как было бы при обычных условиях, так как должны будут пойти на железнодорожный транспорт. </w:t>
      </w:r>
    </w:p>
    <w:p w14:paraId="2A8ACF32"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означает, что темпы развития автопромышленности будут несколько задержаны и что, когда нормальные условия восстановятся — в результате мирового улучшения, — разница между тем, что советская автопромышленность в состоянии произвести, и минимальной потребностью будет ощущаться более остро.</w:t>
      </w:r>
    </w:p>
    <w:p w14:paraId="2A3B7114"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Как я уже упомянул в этом отчете, я доверяю руководству советского правительства своими внешними финансовыми делами . Может быть желательным здесь дать несколько оснований, почему я пришел к такому выводу. Первая пятилетка, которая потребовала введения совершенно новой промышленной программы, привела к тому, что размер закупок за границей намного превысил советский экспорт. И германские и неофициальные русские авторитеты сообщают, что излишек в значительной мере покрывается резервами, накопившимися вследствие конфискации всего правительственного имущества и почти всего частного имущества старого режима. После окончания пятилетнего плана, который включал открытие фабрик и предприятий всевозможного рода, советское правительство было принуждено снизить темпы. Необходимость в этом была подчеркнута фактом, что мировая депрессия становилась все острее, а в результате ее общее количество советского экспорта угрожающе снизилось и, как сопутствующее явление, произошло резкое снижение мировых цен на все товары, включая те, которые экспортировал Советский Союз. </w:t>
      </w:r>
    </w:p>
    <w:p w14:paraId="456DE3C8"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Способ, при помощи которого советское правительство реагировало на эти предостерегающие сигналы, особенно если сравнить их с тем, как правительства других великих наций отказались или оказались неспособными снизить расходы и все более и более погружаются в долги, заставляет меня чувствовать искреннее уважение к советскому управлению финансами. Ввиду того, что этот вопрос советского финансового управления имеет ближайшее касательство к американскому отношению к кредитам, я полагаю желательным привести здесь статистические данные (в золотых рублях. Золотой рубль стоил до настоящего года примерно 52 ц. Соединенных Штатов. Ныне он стоит 80 ц.).Год </w:t>
      </w:r>
    </w:p>
    <w:p w14:paraId="23C84F7E"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Экспорт Импорт1929 1930 </w:t>
      </w:r>
    </w:p>
    <w:p w14:paraId="569E5476"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1931 </w:t>
      </w:r>
    </w:p>
    <w:p w14:paraId="131B1BD8"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1932 </w:t>
      </w:r>
    </w:p>
    <w:p w14:paraId="1207F34E"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1933 (первые 8 месяцев) </w:t>
      </w:r>
    </w:p>
    <w:p w14:paraId="560DB5E6"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923 701 ООО 830 632 ООО </w:t>
      </w:r>
    </w:p>
    <w:p w14:paraId="67082C18"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1 036 371 000 1 058 825 000 </w:t>
      </w:r>
    </w:p>
    <w:p w14:paraId="3F907201"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811 210 000 1 105 034 000 </w:t>
      </w:r>
    </w:p>
    <w:p w14:paraId="23726FAD"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563 884 000 698 693 000 </w:t>
      </w:r>
    </w:p>
    <w:p w14:paraId="7832F51E"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315 846 000 246 754 000 </w:t>
      </w:r>
    </w:p>
    <w:p w14:paraId="55F285B8"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Из вышеизложенного резюме можно усмотреть, что неблагоприятные торговые балансы, которые существовали в течение трех последних лет, были обращены в благоприятный торговый баланс первых 8 месяцев 1933 г. </w:t>
      </w:r>
    </w:p>
    <w:p w14:paraId="5400CD91"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моим наблюдениям разных заводов — по крайней мере, поскольку это касается автопромышленности и тракторной промышленности, — это сокращение не повлекло за собой какого-либо уменьшения текущего производства. Наоборот, улучшения в способах и технике повлекли за собой постепенно увеличивающийся темп производства в течение 1933 г. Таким образом, очевидно, что сокращение это идет за счет новых планов. Мне сообщали, что вторая пятилетка учитывает эту необходимость сокращения нового строительства и в особенности той части плана, которая относится к автопромышленности и тракторной промышленности. Другими словами, сокращение всякого рода импорта в 1933 г. не является нечто* случайным или преходящим, а частью определенно установленной политики, полностью в соответствии с политикой финансового контроля, который привел к тому, что в течение 13 лет Советский Союз точно и пунктуально выполнял все свои обязательства, за исключением платежей Германии в 1933 г., которые были частично отсрочены.</w:t>
      </w:r>
    </w:p>
    <w:p w14:paraId="3DDB18D4"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Поверхностный обзор этого отчета мог бы навести на мысль, что, по моему представлению, мы ("Дженерал Моторс Корпорэйшн") не должны были бы вступать ни в какие-либо сделки с Советским Союзом, предусматривающие кредиты. Но это безусловно не так. Хотя вопрос о возможностях для СССР установить достаточный торговый баланс в Америке, чтобы произвести уплату за американские кредиты, действительно трудно будет разрешить, все же я уверен, что найдутся какие-либо пути, которые дадут возможность обмена товаров, что, в свою очередь, даст возможность уплатить за американские кредиты. </w:t>
      </w:r>
    </w:p>
    <w:p w14:paraId="19545F19"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 таких условиях, а также если советское правительство в состоянии гарантировать уплату из других источников, "Дженерал Моторс Корпорэйшн", как одна из крупнейших единиц американской промышленной системы и одна из лучше всех осведомленных, поскольку касается русского положения дел, будет первой из тех, которые выступят с предложением своих услуг и своей продукции. Я сообщил ответственным лицам советского правительства, что "Дженерал Моторс Корпорэйшн" согласна дать кредиты, что мы также можем оказать техническую помощь и что вследствие широких разветвлений наших производственных организаций мы находимся в таком положении, что можем снабжать лучшей и более разнообразной продукцией, подходящей к советским условиям, чем какая-либо иная [фирма] из существующих промышленных предприятий. </w:t>
      </w:r>
    </w:p>
    <w:p w14:paraId="54D11301"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РГАЭ. Ф. 7733. On. 1. Д. 8845. Л. 15-20. Копия (12152)).</w:t>
      </w:r>
    </w:p>
    <w:p w14:paraId="73D2EDCB" w14:textId="77777777" w:rsidR="00BA29CE" w:rsidRPr="0044524F" w:rsidRDefault="00BA29CE" w:rsidP="009654CF">
      <w:pPr>
        <w:spacing w:after="0" w:line="240" w:lineRule="auto"/>
        <w:jc w:val="both"/>
        <w:rPr>
          <w:rFonts w:ascii="Times New Roman" w:hAnsi="Times New Roman"/>
          <w:color w:val="000000" w:themeColor="text1"/>
          <w:sz w:val="16"/>
          <w:szCs w:val="16"/>
        </w:rPr>
      </w:pPr>
    </w:p>
    <w:p w14:paraId="7DF97C2E"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13 ноября 1933 нарком внешней торговли А.П. Розенгольц получил от "Картер Продактс Инкорпорейшн" письмо о желании компании установить торговые отношения между двумя странами; Россия могла бы поставлять лес, а Чикаго и Детройт сталь. Было предложено, чтобы фирма представляла интересы России в штате Мичиган. 27 ноября эта компания вновь обратилась с письмом к Розенгольцу о налаживании торговых отношений. По словам бывшего сенатора С. Брукхардта, советское </w:t>
      </w:r>
      <w:r w:rsidRPr="0044524F">
        <w:rPr>
          <w:rFonts w:ascii="Times New Roman" w:hAnsi="Times New Roman"/>
          <w:color w:val="000000" w:themeColor="text1"/>
          <w:sz w:val="16"/>
          <w:szCs w:val="16"/>
        </w:rPr>
        <w:lastRenderedPageBreak/>
        <w:t>руководство аккуратно выплачивало Америке задолженность по заказам. За все годы они составили 590 млн долл. Не оплачен был всего 21 млн долл. Задолженность СССР всем странам составляла 370 млн долл. Безусловно, он был кредитоспособен. Ежегодная добыча золота в СССР, по имеющимся у сенатора сведениям, оценивалась в 60 млн долл. Характерно заявление сотрудников министерства торговли США от 18 ноября 1933 г. о том, что Россия может со временем явиться серьезным конкурентом в области торговли нефтью, пшеницей, лесом и пушниной. В будущем она может стать крупным конкурентом по хлопку, меди, стали, а также промышленным изделиям. Это было явным преувеличением. В действительности у Советского Союза были ограниченные возможности для торговли с США (см. табл. 1). В довоенные годы русский экспорт в США был невелик. На две трети он складывался из кожевенного сырья, шерсти и лекарственных трав. Причем такая крупная статья экспорта, как пушнина, попадала в США после обработки, окраски и выделки на европейских предприятиях. В советское же время положение существенно изменилось. Индустриализация страны, создание новых производств, строительство крупных промышленных предприятий потребовало широкого ввоза оборудования из США, закупок машин, станков, СССР являлся одним из важных рынков сбыта как европейских, так и американских промышленных товаров (18280).</w:t>
      </w:r>
    </w:p>
    <w:p w14:paraId="671DDF3A" w14:textId="77777777" w:rsidR="00B81B17" w:rsidRPr="0044524F" w:rsidRDefault="00B81B17" w:rsidP="009654CF">
      <w:pPr>
        <w:spacing w:after="0" w:line="240" w:lineRule="auto"/>
        <w:jc w:val="both"/>
        <w:rPr>
          <w:rFonts w:ascii="Times New Roman" w:hAnsi="Times New Roman"/>
          <w:color w:val="000000" w:themeColor="text1"/>
          <w:sz w:val="16"/>
          <w:szCs w:val="16"/>
        </w:rPr>
      </w:pPr>
    </w:p>
    <w:p w14:paraId="0009B148"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1933 г. "Дженерал Моторс Корпорейшн"Е.М. Ван Воорхис составил доклад на имя руководства компании, который начинался словами: "Я пытался отнестись к России без всяких предубеждений". Он встречался со многими официальными и неофициальными лицами, руководителями предприятий. В целом у него сложилось благоприятное впечатление о стране. Ван Воорхис отмечал устойчивое положение правительства, в финансовой политике оно достигло серьезных успехов. Советский Союз явится "одним из крупнейших мировых автомобильных рынков". Он подчеркивал, что СССР и США были заинтересованы в налаживании торговли, расширение которой возможно при предоставлении американцами кредита. "Лично я не верю, — отмечал он, — что за признанием последует значительное увеличение американских закупок в Советском Союзе". Предприятия США не очень нуждаются в сырье, производимом в России. Рассчитывать на получение займа и кредитов трудно. "Дженерал Моторс Корпорейшн" готово было предоставить СССР кредиты и оказать техническую помощь (18280).</w:t>
      </w:r>
    </w:p>
    <w:p w14:paraId="0EE2B847" w14:textId="77777777" w:rsidR="00B81B17" w:rsidRPr="0044524F" w:rsidRDefault="00B81B17" w:rsidP="009654CF">
      <w:pPr>
        <w:spacing w:after="0" w:line="240" w:lineRule="auto"/>
        <w:jc w:val="both"/>
        <w:rPr>
          <w:rFonts w:ascii="Times New Roman" w:hAnsi="Times New Roman"/>
          <w:color w:val="000000" w:themeColor="text1"/>
          <w:sz w:val="16"/>
          <w:szCs w:val="16"/>
        </w:rPr>
      </w:pPr>
    </w:p>
    <w:p w14:paraId="2AC43A36"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13 ноября 1933 г. Письмо бывшего директора Особенной канцелярии по кредитной части Приморского правительства10 профессора С.А. Андреева наркому финансов СССР Г.Ф. Гринько о расходовании американских кредитов представителями Временного правительства в США 21 ноября 1933 г. </w:t>
      </w:r>
    </w:p>
    <w:p w14:paraId="44F9F683"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Америке находится немало лиц, бывших официальными представителями царской России, Временного правительства, Колчака, на руках у которых остались значительные суммы инвалюты. </w:t>
      </w:r>
    </w:p>
    <w:p w14:paraId="4472DF80"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связи с установлением нормальных дипломатических отношений с Америкой наступила реальная возможность потребовать от всех упо- мянутых представителей отчетов и передачу оставшихся сумм нашим консульствам или финансовым представителям. </w:t>
      </w:r>
    </w:p>
    <w:p w14:paraId="05F4F829"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качестве бывшего директора Особенной канцелярии по кредитной части (во Владивостоке в 1920 г.), где сосредоточивались расчеты с заграничными финансовыми агентами различных правительств, начиная с царского времени, считаю своей обязанностью оказать посильную помощь в выявлении упомянутых выше представителей и оставшихся у них сумм. </w:t>
      </w:r>
    </w:p>
    <w:p w14:paraId="21E0FB63"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Насколько я помню, за финансовым представителем Временного правительства, Колчака гр-ном Угетом11, фамилия коего на днях промелькнула в газетах, числилась громадная задолженность в инвалюте, исчисляемая десятками миллионов золотых рублей. Не только, однако, об Угете, но и о ряде еще лиц можно установить точную сумму задолженности по архиву Особенной канцелярии по кредитной части. Этот архив в 1925 г., насколько я знаю, оставался во Владивостоке в отделении "Дальбанка". С того времени судьба его и местонахождение мне неизвестны. В настоящее время архив Особенной канцелярии по кредитной части необходимо разыскать и распорядиться о доставке его в Москву с тем, чтобы в срочном порядке выявить задолженность бывших представителей царской России, Временного правительства, Колчака. </w:t>
      </w:r>
    </w:p>
    <w:p w14:paraId="4F18CB2C"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Как в розыске архива Особенной канцелярии по кредитной части, так и в разборе его дел я могу быть полезным, поэтому в настоящее время выражаю готовность оказать Вам всяческую помощь в этом деле. Впрочем, весьма возможно, что Вы уже располагаете всеми сведениями о задолженности упомянутых различных представителей, в таком случае прошу извинить меня за отвлечение Вас от В[аших] дел, сделанное, как Вы видите, из лучших побуждений. </w:t>
      </w:r>
    </w:p>
    <w:p w14:paraId="05373865"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Уважающий Вас профессор С.А. Андреев, бывший директор Особенной канцелярии по кредитной части и управляющий финансами Приморского правительства. </w:t>
      </w:r>
    </w:p>
    <w:p w14:paraId="327B3343"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[P.S.] Председателем Совета управляющих этого правительства был т. Никифоров, ныне заместитель наркома снабжения РСФСР. </w:t>
      </w:r>
    </w:p>
    <w:p w14:paraId="3B6A7080"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РГАЭ. Ф. 7733. On. 37. Д. 2410. Л. 31-31об. Подлинник (13152).</w:t>
      </w:r>
    </w:p>
    <w:p w14:paraId="7D6AAC32" w14:textId="77777777" w:rsidR="00BA29CE" w:rsidRPr="0044524F" w:rsidRDefault="00BA29CE" w:rsidP="009654CF">
      <w:pPr>
        <w:spacing w:after="0" w:line="240" w:lineRule="auto"/>
        <w:jc w:val="both"/>
        <w:rPr>
          <w:rFonts w:ascii="Times New Roman" w:hAnsi="Times New Roman"/>
          <w:color w:val="000000" w:themeColor="text1"/>
          <w:sz w:val="16"/>
          <w:szCs w:val="16"/>
        </w:rPr>
      </w:pPr>
    </w:p>
    <w:p w14:paraId="005D083B"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13-27 ноября 1933 г. Письма фирмы "Картер Продактс Инкорпорэйшн" наркому внешней торговли СССР А.П. Розенгольцу о предоставлении фирме статуса торгового представителя СССР* </w:t>
      </w:r>
    </w:p>
    <w:p w14:paraId="0C1181E6"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Милостивый государь, я беру на себя смелость адресовать это письмо лично Вам, потому что я считаю, что это дело весьма важно и вполне оправдывает такой поступок. Я надеюсь, что Вы сочтете мой поступок правильным и примете во внимание это письмо. </w:t>
      </w:r>
    </w:p>
    <w:p w14:paraId="16B10C75"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обменялся письмами с Амторгом9 в Нью-Йорке относительно нижеизложенного дела, но по каким-то причинам результаты были неудовлетворительные. Может быть, мои предложения не входили в их планы, или они задерживали дело до окончательного признания США Вашей страны. </w:t>
      </w:r>
    </w:p>
    <w:p w14:paraId="21379354"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хочу быть представителем Вашей страны в округе Мичиган и был бы рад рассмотреть любое предложение, которое Вы сделаете в отношении назначения нас такими представителями. Наша компания имеет организацию для продаж в этом штате и на прилегающей территории в течение нескольких лет. Автор сего и другие в нашей организации основательно знакомы с писчебумажными , мебельными заводами, автомобильными заводами и другими производственными предприятиями. У нас прекрасные связи вследствие личных знакомств. </w:t>
      </w:r>
    </w:p>
    <w:p w14:paraId="6C1BB5E6"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Писчебумажные фабрики в одном только этом штате ввозят на несколько миллионов долларов балансов из Скандинавских стран и Канады. Я не вижу никаких причин, почему Ваша страна не может поставлять этот продукт и при нашем содействии получить значительную часть этой торговли. Я уверен, что мы могли бы заручиться этим делом на несколько миллионов долларов только по этому продукту, при условии, конечно, что все остальные условия - качество, сорт, цена и т.д. - будут одинаковы. Нет никаких причин, почему мы не могли бы взять большую часть всего этого дела на этом базисе, без каких-либо жертв в отношении цен. Таким образом, мы избежали бы всяких подозрений в отношении снижения цен и демпинга . </w:t>
      </w:r>
    </w:p>
    <w:p w14:paraId="7E1E1979"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Мои личные связи в течение прошлых десяти лет в лесной и мебельной промышленности дают мне уверенность, что мы могли бы достичь удовлетворительных результатов в продаже бревен и невыделанного леса. Мы не знаем, будете ли Вы в состоянии поставлять отделанный лес, определенные размеры или фанеру, но если это так, то в на- шем штате имеется для него огромный рынок, а также и на прилегающей территории. </w:t>
      </w:r>
    </w:p>
    <w:p w14:paraId="63C4222D"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Что касается железной и стальной промышленности, то в Чикаго и в районе Детройта находится достаточно домен и возможно, что мы могли бы получить там заказы на специальные руды, которые ввозятся регулярно. </w:t>
      </w:r>
    </w:p>
    <w:p w14:paraId="766015D9"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Несколько месяцев тому назад у Вас был представитель в Чикаго, который, наверное, имел исключительное право продажи всех русских продуктов на весь наш средний Запад. Однако что-то случилось, и договоренность с этим человеком была порвана. Насколько мне известно, у Вас нет активного представительства в этой части страны, и я думаю, что Вы теряете большие возможности в отношении торговли и создания кредита в долларах в этой стране. </w:t>
      </w:r>
    </w:p>
    <w:p w14:paraId="5F332F8C"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хотел бы также еще указать на то, что наш средний Запад вообще слишком большая территория для того, чтобы обрабатывать его одному человеку или организации. Я уверен, что моя собственная организация - одна из самых способных, которые Вы можете только найти для соответствующего представительства, но я не хотел бы взять такую огромную территорию. Я предпочел бы меньшую территорию, как штат Мичиган и, возможно, окружающий район, потому что мы сделаем больше, как для Вас, так и для самих себя, посредством основательного и соответствующего охвата такой территории. Мы готовы это сделать и уверяем Вас в нашей активной и искренней помощи Вам во всех отношениях. Мы уверены, что мы можем далее заверить Вас, что мы достигнем удовлетворительного оборота в указанных выше продуктах. </w:t>
      </w:r>
    </w:p>
    <w:p w14:paraId="49B408AB"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Вам также следует иметь в виду, что эти продукты фактически все не подлежат пошлине, за исключением отделанного леса, и они не конкурируют серьезно с американскими и поэтому они не возбудят сопротивления и антагонизма, которые, возможно, возникли бы при попытке импортировать другие конкурирующие русские продукты. </w:t>
      </w:r>
    </w:p>
    <w:p w14:paraId="1ABD56CC"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заключение должны сказать, что мы не хотим действовать через голову Амторга, который, как мы понимаем, является Вашим агентом в Америке. Однако мы уверены, что это дело настолько важное, что мы берем на себя смелость обратить на него Ваше личное внимание. Конечно, мы действуем также в личных интересах, так как мы думаем, что совместная работа выгодна как нам, так и Вашей стране. Я охотно сообщу Вам всякие добавочные сведения или статистические данные, которые могут Вам понадобиться. Я с удовольствием встречусь с любым Вашим представителем для личной беседы в любое удобное время. </w:t>
      </w:r>
    </w:p>
    <w:p w14:paraId="6CB79F4E"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Теперь, когда определенные дипломатические сношения будут возобновлены, мы считаем, что это самое благоприятное время для назначения активных представителей для продажи в этой стране, [таких] как мы. </w:t>
      </w:r>
    </w:p>
    <w:p w14:paraId="5B677350"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прошлом Вы теряли много выгодных дел, но мы не видим причин, почему Вам продолжать это в дальнейшем. </w:t>
      </w:r>
    </w:p>
    <w:p w14:paraId="2ABFA732"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совершенным почтением "Картер Продактс К°" РГАЭ. Ф. 413. On. 13. Д. 546. Л. 1-2. Копия (12152).</w:t>
      </w:r>
    </w:p>
    <w:p w14:paraId="157DE88E" w14:textId="77777777" w:rsidR="00BA29CE" w:rsidRPr="0044524F" w:rsidRDefault="00BA29CE" w:rsidP="009654CF">
      <w:pPr>
        <w:spacing w:after="0" w:line="240" w:lineRule="auto"/>
        <w:jc w:val="both"/>
        <w:rPr>
          <w:rFonts w:ascii="Times New Roman" w:hAnsi="Times New Roman"/>
          <w:color w:val="000000" w:themeColor="text1"/>
          <w:sz w:val="16"/>
          <w:szCs w:val="16"/>
        </w:rPr>
      </w:pPr>
    </w:p>
    <w:p w14:paraId="0A8CB325"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1933 опросом членов ПБ</w:t>
      </w:r>
    </w:p>
    <w:p w14:paraId="52C150EE"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76/61.- О строительствe Хабаровского нефтеперегонного завода (ПБ от 1.Х1.33г., пр.№ 148,п. 17).</w:t>
      </w:r>
    </w:p>
    <w:p w14:paraId="5D4AA708"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Принять к сведению, заявление НКТП т. Орджоникид</w:t>
      </w:r>
      <w:r w:rsidRPr="0044524F">
        <w:rPr>
          <w:rFonts w:ascii="Times New Roman" w:hAnsi="Times New Roman"/>
          <w:color w:val="000000" w:themeColor="text1"/>
          <w:sz w:val="16"/>
          <w:szCs w:val="16"/>
        </w:rPr>
        <w:softHyphen/>
        <w:t>зе, что:</w:t>
      </w:r>
    </w:p>
    <w:p w14:paraId="13F6BF51"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Работы по расширению нефтепровода Оха-Москальво на о. Сахалине выполнены и перекачка 160 т.т. нефти в навигацию 1934 г. обеспечена.</w:t>
      </w:r>
    </w:p>
    <w:p w14:paraId="7C163EFE"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промфинплан Сахалиннефти на 1934 г. включены средства с расчетом дальнейшего расширения нефтепро</w:t>
      </w:r>
      <w:r w:rsidRPr="0044524F">
        <w:rPr>
          <w:rFonts w:ascii="Times New Roman" w:hAnsi="Times New Roman"/>
          <w:color w:val="000000" w:themeColor="text1"/>
          <w:sz w:val="16"/>
          <w:szCs w:val="16"/>
        </w:rPr>
        <w:softHyphen/>
        <w:t>вода для перекачки 400 т.т. в 1935 г.</w:t>
      </w:r>
    </w:p>
    <w:p w14:paraId="7C7B9BCB"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Фонд на металл для 12-ти резервуаров емкостью по 10.000 тонн выделен полностью в 1У-м квартале с.г. К заготовке резервуаров приступлено.</w:t>
      </w:r>
    </w:p>
    <w:p w14:paraId="2D14AEF6"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Расширение хабаровского нефтеперегонного за</w:t>
      </w:r>
      <w:r w:rsidRPr="0044524F">
        <w:rPr>
          <w:rFonts w:ascii="Times New Roman" w:hAnsi="Times New Roman"/>
          <w:color w:val="000000" w:themeColor="text1"/>
          <w:sz w:val="16"/>
          <w:szCs w:val="16"/>
        </w:rPr>
        <w:softHyphen/>
        <w:t>вода до 400.000 тонн включено в план капитального строительства треста "Нефтезаводы" со сроком окон</w:t>
      </w:r>
      <w:r w:rsidRPr="0044524F">
        <w:rPr>
          <w:rFonts w:ascii="Times New Roman" w:hAnsi="Times New Roman"/>
          <w:color w:val="000000" w:themeColor="text1"/>
          <w:sz w:val="16"/>
          <w:szCs w:val="16"/>
        </w:rPr>
        <w:softHyphen/>
        <w:t>чания строительства к началу навигации 1935 г.</w:t>
      </w:r>
    </w:p>
    <w:p w14:paraId="0D88E2B8"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Наркомвод (т.Янсон):</w:t>
      </w:r>
    </w:p>
    <w:p w14:paraId="576E6E08"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 началу навигации 1934 г. построить нефтяную пристань в Хабаровске и причалы в Москальво и в Нико</w:t>
      </w:r>
      <w:r w:rsidRPr="0044524F">
        <w:rPr>
          <w:rFonts w:ascii="Times New Roman" w:hAnsi="Times New Roman"/>
          <w:color w:val="000000" w:themeColor="text1"/>
          <w:sz w:val="16"/>
          <w:szCs w:val="16"/>
        </w:rPr>
        <w:softHyphen/>
        <w:t>лаевске на Амуре, обеспечивающие налив и слив нефти 160 т.т. в 1934 г. и 400 т.т. в 1935 г.</w:t>
      </w:r>
    </w:p>
    <w:p w14:paraId="428003CB"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Обеспечить окончание сборки в Благовещенске к 1.У1.34 г. двух рейдовых барж № 2 и 3 по 3.500 тонн и 4-х речных барж по 4.000 тонн каждая.</w:t>
      </w:r>
    </w:p>
    <w:p w14:paraId="441E6940"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Провести организованную посылку на Благове</w:t>
      </w:r>
      <w:r w:rsidRPr="0044524F">
        <w:rPr>
          <w:rFonts w:ascii="Times New Roman" w:hAnsi="Times New Roman"/>
          <w:color w:val="000000" w:themeColor="text1"/>
          <w:sz w:val="16"/>
          <w:szCs w:val="16"/>
        </w:rPr>
        <w:softHyphen/>
        <w:t>щенскую судоверфь 350 котельщиков немедленно и 250 ко</w:t>
      </w:r>
      <w:r w:rsidRPr="0044524F">
        <w:rPr>
          <w:rFonts w:ascii="Times New Roman" w:hAnsi="Times New Roman"/>
          <w:color w:val="000000" w:themeColor="text1"/>
          <w:sz w:val="16"/>
          <w:szCs w:val="16"/>
        </w:rPr>
        <w:softHyphen/>
        <w:t>тельщиков к 1.1.1934 года.</w:t>
      </w:r>
    </w:p>
    <w:p w14:paraId="5DB8824E"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Изыскать и направить в ДВК морским путем 5 мощ</w:t>
      </w:r>
      <w:r w:rsidRPr="0044524F">
        <w:rPr>
          <w:rFonts w:ascii="Times New Roman" w:hAnsi="Times New Roman"/>
          <w:color w:val="000000" w:themeColor="text1"/>
          <w:sz w:val="16"/>
          <w:szCs w:val="16"/>
        </w:rPr>
        <w:softHyphen/>
        <w:t>ных рейдовых буксиров с осадкой не больше 3-х метров для перевозки в навигацию 1934 года 160 тыс.тонн нефти.</w:t>
      </w:r>
    </w:p>
    <w:p w14:paraId="0A6BE42C"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.Обеспечить поступление в Благовещенск не поз</w:t>
      </w:r>
      <w:r w:rsidRPr="0044524F">
        <w:rPr>
          <w:rFonts w:ascii="Times New Roman" w:hAnsi="Times New Roman"/>
          <w:color w:val="000000" w:themeColor="text1"/>
          <w:sz w:val="16"/>
          <w:szCs w:val="16"/>
        </w:rPr>
        <w:softHyphen/>
        <w:t>же начала июня 1934 года в разобранном виде 5-ти рейдовых буксиров по 600 сил каждый и к этому сроку для обеспечения перевозок нефти в 1935 г. забросить в Благовещенск в разобранном видне 4 рейдоынх баржи</w:t>
      </w:r>
    </w:p>
    <w:p w14:paraId="681D2CCC"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3500 тонн. 1 речную баржу 4000 тонн и 3 речных баржи по 8000 т.каждая.</w:t>
      </w:r>
    </w:p>
    <w:p w14:paraId="424C6C85"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Обеспечить перевозку разобранных в Батуме 4-х резервуаров в Николаевск на Амуре к маю мес. 1934 г.</w:t>
      </w:r>
    </w:p>
    <w:p w14:paraId="08EBFF10"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Обязать Наркомснаб СССР (т.Микояна) включить на 1У-й квартал 1933 г. и на 1934 г. Хабаровское строи</w:t>
      </w:r>
      <w:r w:rsidRPr="0044524F">
        <w:rPr>
          <w:rFonts w:ascii="Times New Roman" w:hAnsi="Times New Roman"/>
          <w:color w:val="000000" w:themeColor="text1"/>
          <w:sz w:val="16"/>
          <w:szCs w:val="16"/>
        </w:rPr>
        <w:softHyphen/>
        <w:t>тельство на снабжение в список предприятий, получаю</w:t>
      </w:r>
      <w:r w:rsidRPr="0044524F">
        <w:rPr>
          <w:rFonts w:ascii="Times New Roman" w:hAnsi="Times New Roman"/>
          <w:color w:val="000000" w:themeColor="text1"/>
          <w:sz w:val="16"/>
          <w:szCs w:val="16"/>
        </w:rPr>
        <w:softHyphen/>
        <w:t>щих мясо и жиры для индивидуального и общественного питания.</w:t>
      </w:r>
    </w:p>
    <w:p w14:paraId="60A4CCFF"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Обязать НКПС до конца строительства Хабаров</w:t>
      </w:r>
      <w:r w:rsidRPr="0044524F">
        <w:rPr>
          <w:rFonts w:ascii="Times New Roman" w:hAnsi="Times New Roman"/>
          <w:color w:val="000000" w:themeColor="text1"/>
          <w:sz w:val="16"/>
          <w:szCs w:val="16"/>
        </w:rPr>
        <w:softHyphen/>
        <w:t>ского завода обеспечить подвижным составом переброску всех необходимых строительству грузов и взять под особое наблюдение продвижение этих грузов по желез</w:t>
      </w:r>
      <w:r w:rsidRPr="0044524F">
        <w:rPr>
          <w:rFonts w:ascii="Times New Roman" w:hAnsi="Times New Roman"/>
          <w:color w:val="000000" w:themeColor="text1"/>
          <w:sz w:val="16"/>
          <w:szCs w:val="16"/>
        </w:rPr>
        <w:softHyphen/>
        <w:t>ным дорогам.</w:t>
      </w:r>
    </w:p>
    <w:p w14:paraId="2D5937B7" w14:textId="0DFA8172"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т.т. Орджоникидзе, Гамарнику, Мирошни</w:t>
      </w:r>
      <w:r w:rsidRPr="0044524F">
        <w:rPr>
          <w:rFonts w:ascii="Times New Roman" w:hAnsi="Times New Roman"/>
          <w:color w:val="000000" w:themeColor="text1"/>
          <w:sz w:val="16"/>
          <w:szCs w:val="16"/>
        </w:rPr>
        <w:softHyphen/>
        <w:t>кову, Далькрайкому-шифром-все; Янсону- п.6, Микояну-п.в, Андре еву-п.г.</w:t>
      </w:r>
    </w:p>
    <w:p w14:paraId="52BB4298"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77/62.- Вопросы Комиссии Обороны.</w:t>
      </w:r>
    </w:p>
    <w:p w14:paraId="74F69642"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СТО о выделении НКТПрому в ноябре мес.1933 г. из резервного фонда СНК - 3.000.000 р. для проведения подготовительных работ по строительству бензоемкостей на Д.Востоке и В.Си</w:t>
      </w:r>
      <w:r w:rsidRPr="0044524F">
        <w:rPr>
          <w:rFonts w:ascii="Times New Roman" w:hAnsi="Times New Roman"/>
          <w:color w:val="000000" w:themeColor="text1"/>
          <w:sz w:val="16"/>
          <w:szCs w:val="16"/>
        </w:rPr>
        <w:softHyphen/>
        <w:t>бири.</w:t>
      </w:r>
    </w:p>
    <w:p w14:paraId="32EF6866"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т.т.Базилевичу,Мирошникову.</w:t>
      </w:r>
    </w:p>
    <w:p w14:paraId="2584E5CD" w14:textId="77777777" w:rsidR="00D91041" w:rsidRPr="0044524F" w:rsidRDefault="00D9104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состоялось заседание ПБ и был оформлен протокол № 149 (22999).</w:t>
      </w:r>
    </w:p>
    <w:p w14:paraId="7670ADA8" w14:textId="77777777" w:rsidR="00D91041" w:rsidRPr="0044524F" w:rsidRDefault="00D91041" w:rsidP="009654CF">
      <w:pPr>
        <w:spacing w:after="0" w:line="240" w:lineRule="auto"/>
        <w:jc w:val="both"/>
        <w:rPr>
          <w:rFonts w:ascii="Times New Roman" w:hAnsi="Times New Roman"/>
          <w:color w:val="000000" w:themeColor="text1"/>
          <w:sz w:val="16"/>
          <w:szCs w:val="16"/>
        </w:rPr>
      </w:pPr>
    </w:p>
    <w:p w14:paraId="1A4F5CB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1933 г. приказом НКТП было создано специальное управление строительством опытовых бассейнов при НИСС (с 1936 г. — НИИ-4), получившее на</w:t>
      </w:r>
      <w:r w:rsidRPr="0044524F">
        <w:rPr>
          <w:rFonts w:ascii="Times New Roman" w:hAnsi="Times New Roman"/>
          <w:color w:val="000000" w:themeColor="text1"/>
          <w:sz w:val="16"/>
          <w:szCs w:val="16"/>
        </w:rPr>
        <w:softHyphen/>
        <w:t>звание "Судбасстрой". С 1935 г. к проектированию новых бассейнов и сопутствующих объектов приступил ГСПИ-2. Проектирование было сложной инженерной задачей, поскольку длина основного (глубоководного) бассейна вдвое превышала длину самого большо</w:t>
      </w:r>
      <w:r w:rsidRPr="0044524F">
        <w:rPr>
          <w:rFonts w:ascii="Times New Roman" w:hAnsi="Times New Roman"/>
          <w:color w:val="000000" w:themeColor="text1"/>
          <w:sz w:val="16"/>
          <w:szCs w:val="16"/>
        </w:rPr>
        <w:softHyphen/>
        <w:t>го опытового бассейна аналогичного назначения, имевшегося в те годы за рубежом, а требования режимов испытаний обуславливали необходимость обеспечения высокой точности профиля путей для буксировочного устройства (3898).</w:t>
      </w:r>
    </w:p>
    <w:p w14:paraId="71A3A241"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D947B0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1933 г. по приказу НКТП при НИСС создано специальное управление строительством опытовых бассейнов «Судбасстрой»</w:t>
      </w:r>
      <w:r w:rsidRPr="0044524F">
        <w:rPr>
          <w:rFonts w:ascii="Times New Roman" w:hAnsi="Times New Roman"/>
          <w:color w:val="000000" w:themeColor="text1"/>
          <w:sz w:val="16"/>
          <w:szCs w:val="16"/>
          <w:vertAlign w:val="superscript"/>
        </w:rPr>
        <w:t>115</w:t>
      </w:r>
      <w:r w:rsidRPr="0044524F">
        <w:rPr>
          <w:rFonts w:ascii="Times New Roman" w:hAnsi="Times New Roman"/>
          <w:color w:val="000000" w:themeColor="text1"/>
          <w:sz w:val="16"/>
          <w:szCs w:val="16"/>
        </w:rPr>
        <w:t xml:space="preserve"> для проектирования и строительства комплекса опытовых бассейнов и экспериментальных установок для НИВК на Средней Рогатке. Далее оно преобразовано в самостоятельный НИИС. По пр. НКОП № Обсс от 30.12.1936г. НИИС переименован в НИИ № 4.</w:t>
      </w:r>
    </w:p>
    <w:p w14:paraId="34413056" w14:textId="77777777" w:rsidR="00570C39" w:rsidRPr="0044524F" w:rsidRDefault="00570C39" w:rsidP="009654CF">
      <w:pPr>
        <w:spacing w:after="0" w:line="240" w:lineRule="auto"/>
        <w:jc w:val="both"/>
        <w:rPr>
          <w:rFonts w:ascii="Times New Roman" w:hAnsi="Times New Roman"/>
          <w:color w:val="000000" w:themeColor="text1"/>
          <w:sz w:val="16"/>
          <w:szCs w:val="16"/>
          <w:vertAlign w:val="superscript"/>
        </w:rPr>
      </w:pPr>
      <w:r w:rsidRPr="0044524F">
        <w:rPr>
          <w:rFonts w:ascii="Times New Roman" w:hAnsi="Times New Roman"/>
          <w:color w:val="000000" w:themeColor="text1"/>
          <w:sz w:val="16"/>
          <w:szCs w:val="16"/>
        </w:rPr>
        <w:t>Приказом НКОП № 0014 от 1.02.1937г. на 1937г. запланировано начало строительства «Судбасстроя». В 12.1938г. строительство «Судбасстроя» - в ведении 2ГУ НКОП, в 02.1939г. передано из 2ГУ в ведение 1ГУ НКСП.</w:t>
      </w:r>
      <w:r w:rsidRPr="0044524F">
        <w:rPr>
          <w:rFonts w:ascii="Times New Roman" w:hAnsi="Times New Roman"/>
          <w:color w:val="000000" w:themeColor="text1"/>
          <w:sz w:val="16"/>
          <w:szCs w:val="16"/>
          <w:vertAlign w:val="superscript"/>
        </w:rPr>
        <w:t>139</w:t>
      </w:r>
    </w:p>
    <w:p w14:paraId="43E816D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 196сс от 4.06.1938г. НИИ-4 вошел в состав вновь созданного ЦНИИ-45 НКОП.</w:t>
      </w:r>
    </w:p>
    <w:p w14:paraId="39C096B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(06.1938г.)- Шатель (11982).</w:t>
      </w:r>
    </w:p>
    <w:p w14:paraId="2C6299D6"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5DB478CA"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F8AB340"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370B7E3C"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1933 американский летчик Дж. Эйнджел открыл водопад Сальто-Анхель (Венесуэла) - самый высокий водопад в мире (4962).</w:t>
      </w:r>
    </w:p>
    <w:p w14:paraId="4EF6917F"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p w14:paraId="64389CD6"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AE5A691"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0733E6F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ноября 1933 закончились доработки И-14 БМ в ЦАГИ, где он находился с 25 октября и 16 ноября машина была вновь отправлена в ОЭЛИД ЦАГИ (2869,23). Переставили с колес на лыжи, которые не убирались и ниши закрыли листами дюраля (4020,11). Испытания первой машины окончились 13 декабря 1933 (4020,11).</w:t>
      </w:r>
    </w:p>
    <w:p w14:paraId="6D2F4C24"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4A8901C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ноября 1933 старания производственников увенчались успехом и шасси И-14 стало работать без замечаний. В ходе летного эксперимента это подтвердили испытатели, и 16 ноября 1933 г. самолет передали в ОЭЛИД по акту №32. Эту дату следует считать началом полномасштабных испытаний И -14 (12037).</w:t>
      </w:r>
    </w:p>
    <w:p w14:paraId="05171814"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2035B6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ноября 1933 был подписан договор со строившимся в Иркутске 125 заводом о производстве установочной партии в 5 И-14 (4020,14).</w:t>
      </w:r>
    </w:p>
    <w:p w14:paraId="35D58735"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5BB0D677" w14:textId="77777777" w:rsidR="00CE750F" w:rsidRPr="0044524F" w:rsidRDefault="00CE750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14-15 ноября 1933 для пленума РВС на аэродроме Люберцы состоялась демонстрация новых объектов авиатехники и демонстрировали РД, И-14, И-15 и Сталь-6 (2305,80).</w:t>
      </w:r>
    </w:p>
    <w:p w14:paraId="2A2087BF" w14:textId="77777777" w:rsidR="00CE750F" w:rsidRPr="0044524F" w:rsidRDefault="00CE750F" w:rsidP="009654CF">
      <w:pPr>
        <w:spacing w:after="0" w:line="240" w:lineRule="auto"/>
        <w:jc w:val="both"/>
        <w:rPr>
          <w:rFonts w:ascii="Times New Roman" w:hAnsi="Times New Roman"/>
          <w:color w:val="000000" w:themeColor="text1"/>
          <w:sz w:val="16"/>
          <w:szCs w:val="16"/>
        </w:rPr>
      </w:pPr>
    </w:p>
    <w:p w14:paraId="3D046F2C" w14:textId="77777777" w:rsidR="00CE750F" w:rsidRPr="0044524F" w:rsidRDefault="00CE750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14-15 ноября 1933 «Сталь-6» показали на аэродроме в Люберцах участникам пленума Революционно</w:t>
      </w:r>
      <w:r w:rsidRPr="0044524F">
        <w:rPr>
          <w:rFonts w:ascii="Times New Roman" w:hAnsi="Times New Roman"/>
          <w:color w:val="000000" w:themeColor="text1"/>
          <w:sz w:val="16"/>
          <w:szCs w:val="16"/>
        </w:rPr>
        <w:softHyphen/>
        <w:t>го военного совета. Рядом с необычной машиной стояли другие новинки авиапрома - истребители И-14, И-15, самолёт «Рекорд дальности» (АНТ-25) (15844).</w:t>
      </w:r>
    </w:p>
    <w:p w14:paraId="6E29BB15" w14:textId="77777777" w:rsidR="00CE750F" w:rsidRPr="0044524F" w:rsidRDefault="00CE750F" w:rsidP="009654CF">
      <w:pPr>
        <w:spacing w:after="0" w:line="240" w:lineRule="auto"/>
        <w:jc w:val="both"/>
        <w:rPr>
          <w:rFonts w:ascii="Times New Roman" w:hAnsi="Times New Roman"/>
          <w:color w:val="000000" w:themeColor="text1"/>
          <w:sz w:val="16"/>
          <w:szCs w:val="16"/>
        </w:rPr>
      </w:pPr>
    </w:p>
    <w:p w14:paraId="51FAF523" w14:textId="77777777" w:rsidR="009F4E71" w:rsidRPr="0044524F" w:rsidRDefault="009F4E71"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14-15 ноября 1933 «Сталь-6» показали на аэродроме в Люберцах участникам пленума Революционного военного совета. Рядом с необычной машиной стояли другие новинки — истребители И-14, И-15, самолёт «Рекорд дальности» (АНТ-25) (17489).</w:t>
      </w:r>
    </w:p>
    <w:p w14:paraId="239B17C2" w14:textId="77777777" w:rsidR="009F4E71" w:rsidRPr="0044524F" w:rsidRDefault="009F4E71" w:rsidP="009654CF">
      <w:pPr>
        <w:spacing w:after="0" w:line="240" w:lineRule="auto"/>
        <w:jc w:val="both"/>
        <w:rPr>
          <w:rFonts w:ascii="Times New Roman" w:eastAsia="Times New Roman" w:hAnsi="Times New Roman"/>
          <w:color w:val="000000" w:themeColor="text1"/>
          <w:sz w:val="16"/>
          <w:szCs w:val="16"/>
          <w:lang w:eastAsia="ru-RU"/>
        </w:rPr>
      </w:pPr>
    </w:p>
    <w:p w14:paraId="0FEB315D" w14:textId="77777777" w:rsidR="00CE750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CD185FD" w14:textId="77777777" w:rsidR="00CE750F" w:rsidRPr="0044524F" w:rsidRDefault="00CE750F" w:rsidP="009654CF">
      <w:pPr>
        <w:spacing w:after="0" w:line="240" w:lineRule="auto"/>
        <w:jc w:val="both"/>
        <w:rPr>
          <w:rFonts w:ascii="Times New Roman" w:hAnsi="Times New Roman"/>
          <w:iCs/>
          <w:color w:val="000000" w:themeColor="text1"/>
          <w:sz w:val="16"/>
          <w:szCs w:val="16"/>
        </w:rPr>
      </w:pPr>
    </w:p>
    <w:p w14:paraId="1D0E2682" w14:textId="77777777" w:rsidR="00CE750F" w:rsidRPr="0044524F" w:rsidRDefault="00CE750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14 ноября</w:t>
      </w:r>
      <w:r w:rsidRPr="0044524F">
        <w:rPr>
          <w:rFonts w:ascii="Times New Roman" w:hAnsi="Times New Roman"/>
          <w:color w:val="000000" w:themeColor="text1"/>
          <w:sz w:val="16"/>
          <w:szCs w:val="16"/>
        </w:rPr>
        <w:t xml:space="preserve"> в 1933 году состоялся первый полет опытного самолета «Potez 54» (Франция) (14830).</w:t>
      </w:r>
    </w:p>
    <w:p w14:paraId="42E81CC6" w14:textId="77777777" w:rsidR="00CE750F" w:rsidRPr="0044524F" w:rsidRDefault="00CE750F" w:rsidP="009654CF">
      <w:pPr>
        <w:spacing w:after="0" w:line="240" w:lineRule="auto"/>
        <w:jc w:val="both"/>
        <w:rPr>
          <w:rFonts w:ascii="Times New Roman" w:hAnsi="Times New Roman"/>
          <w:color w:val="000000" w:themeColor="text1"/>
          <w:sz w:val="16"/>
          <w:szCs w:val="16"/>
        </w:rPr>
      </w:pPr>
    </w:p>
    <w:p w14:paraId="25151344"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ноября 1933 состоялся первый полет Potez 54, прототипа Potez 540 (20802).</w:t>
      </w:r>
    </w:p>
    <w:p w14:paraId="3490ED33" w14:textId="77777777" w:rsidR="00C335AB" w:rsidRPr="0044524F" w:rsidRDefault="00C335AB" w:rsidP="009654CF">
      <w:pPr>
        <w:spacing w:after="0" w:line="240" w:lineRule="auto"/>
        <w:jc w:val="both"/>
        <w:rPr>
          <w:rFonts w:ascii="Times New Roman" w:hAnsi="Times New Roman"/>
          <w:color w:val="000000" w:themeColor="text1"/>
          <w:sz w:val="16"/>
          <w:szCs w:val="16"/>
        </w:rPr>
      </w:pPr>
    </w:p>
    <w:p w14:paraId="36E87AAB"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ноября 1933 года опытный Потез 540.01 был обле</w:t>
      </w:r>
      <w:r w:rsidRPr="0044524F">
        <w:rPr>
          <w:rFonts w:ascii="Times New Roman" w:hAnsi="Times New Roman"/>
          <w:color w:val="000000" w:themeColor="text1"/>
          <w:sz w:val="16"/>
          <w:szCs w:val="16"/>
        </w:rPr>
        <w:softHyphen/>
        <w:t>тан. Первый этап испытаний, проводившихся пилота</w:t>
      </w:r>
      <w:r w:rsidRPr="0044524F">
        <w:rPr>
          <w:rFonts w:ascii="Times New Roman" w:hAnsi="Times New Roman"/>
          <w:color w:val="000000" w:themeColor="text1"/>
          <w:sz w:val="16"/>
          <w:szCs w:val="16"/>
        </w:rPr>
        <w:softHyphen/>
        <w:t>ми фирмы, прошел успешно, и маши</w:t>
      </w:r>
      <w:r w:rsidRPr="0044524F">
        <w:rPr>
          <w:rFonts w:ascii="Times New Roman" w:hAnsi="Times New Roman"/>
          <w:color w:val="000000" w:themeColor="text1"/>
          <w:sz w:val="16"/>
          <w:szCs w:val="16"/>
        </w:rPr>
        <w:softHyphen/>
        <w:t>на была включена в список №1 при</w:t>
      </w:r>
      <w:r w:rsidRPr="0044524F">
        <w:rPr>
          <w:rFonts w:ascii="Times New Roman" w:hAnsi="Times New Roman"/>
          <w:color w:val="000000" w:themeColor="text1"/>
          <w:sz w:val="16"/>
          <w:szCs w:val="16"/>
        </w:rPr>
        <w:softHyphen/>
        <w:t>оритетных боевых самолетов. Военное министерство оплатило постройку первого прототипа, а также выдало фирме заказ на два дополнительных опытных экземпляра и 40 серийных, с перспективой постройки еще 200 бом</w:t>
      </w:r>
      <w:r w:rsidRPr="0044524F">
        <w:rPr>
          <w:rFonts w:ascii="Times New Roman" w:hAnsi="Times New Roman"/>
          <w:color w:val="000000" w:themeColor="text1"/>
          <w:sz w:val="16"/>
          <w:szCs w:val="16"/>
        </w:rPr>
        <w:softHyphen/>
        <w:t>бардировщиков этого типа.</w:t>
      </w:r>
    </w:p>
    <w:p w14:paraId="0FB6D45B"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в это время правительство ушло в отставку, а новый министр авиа</w:t>
      </w:r>
      <w:r w:rsidRPr="0044524F">
        <w:rPr>
          <w:rFonts w:ascii="Times New Roman" w:hAnsi="Times New Roman"/>
          <w:color w:val="000000" w:themeColor="text1"/>
          <w:sz w:val="16"/>
          <w:szCs w:val="16"/>
        </w:rPr>
        <w:softHyphen/>
        <w:t>ции, социалист Пьер Кот (Pierre Cot), имел свои взгляды на развитие ВВС. Военная авиация получала больше самостоятельности, а акценты в ее де</w:t>
      </w:r>
      <w:r w:rsidRPr="0044524F">
        <w:rPr>
          <w:rFonts w:ascii="Times New Roman" w:hAnsi="Times New Roman"/>
          <w:color w:val="000000" w:themeColor="text1"/>
          <w:sz w:val="16"/>
          <w:szCs w:val="16"/>
        </w:rPr>
        <w:softHyphen/>
        <w:t>ятельности смещались в сторону более активных наступательных стратегий, предусматривающих не только удары по позициям войск противника, но и налеты на его тыловые объекты. В ре</w:t>
      </w:r>
      <w:r w:rsidRPr="0044524F">
        <w:rPr>
          <w:rFonts w:ascii="Times New Roman" w:hAnsi="Times New Roman"/>
          <w:color w:val="000000" w:themeColor="text1"/>
          <w:sz w:val="16"/>
          <w:szCs w:val="16"/>
        </w:rPr>
        <w:softHyphen/>
        <w:t>зультате появился новый класс боевых самолетов - Multiplace de Combat или многоместный боевой самолет.</w:t>
      </w:r>
    </w:p>
    <w:p w14:paraId="73FD5F8D"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фирмы «Потез» потребовали увеличить дальность без бомб до 1200 км. Такое расстояние самолет преодо</w:t>
      </w:r>
      <w:r w:rsidRPr="0044524F">
        <w:rPr>
          <w:rFonts w:ascii="Times New Roman" w:hAnsi="Times New Roman"/>
          <w:color w:val="000000" w:themeColor="text1"/>
          <w:sz w:val="16"/>
          <w:szCs w:val="16"/>
        </w:rPr>
        <w:softHyphen/>
        <w:t>левал более шести часов, и военные захотели ввести в экипаж второго пилота. Вместо обычных двухлопас</w:t>
      </w:r>
      <w:r w:rsidRPr="0044524F">
        <w:rPr>
          <w:rFonts w:ascii="Times New Roman" w:hAnsi="Times New Roman"/>
          <w:color w:val="000000" w:themeColor="text1"/>
          <w:sz w:val="16"/>
          <w:szCs w:val="16"/>
        </w:rPr>
        <w:softHyphen/>
        <w:t>тных деревянных воздушных винтов установили новинку - металлические трехлопастные винты изменяемого шага, которые работали с максималь</w:t>
      </w:r>
      <w:r w:rsidRPr="0044524F">
        <w:rPr>
          <w:rFonts w:ascii="Times New Roman" w:hAnsi="Times New Roman"/>
          <w:color w:val="000000" w:themeColor="text1"/>
          <w:sz w:val="16"/>
          <w:szCs w:val="16"/>
        </w:rPr>
        <w:softHyphen/>
        <w:t>ным КПД и на взлете, и на большой скорости.</w:t>
      </w:r>
    </w:p>
    <w:p w14:paraId="5A47A2C6"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устранения дефектов и замены оригинального двухкилево</w:t>
      </w:r>
      <w:r w:rsidRPr="0044524F">
        <w:rPr>
          <w:rFonts w:ascii="Times New Roman" w:hAnsi="Times New Roman"/>
          <w:color w:val="000000" w:themeColor="text1"/>
          <w:sz w:val="16"/>
          <w:szCs w:val="16"/>
        </w:rPr>
        <w:softHyphen/>
        <w:t>го оперения обычным, а также пере</w:t>
      </w:r>
      <w:r w:rsidRPr="0044524F">
        <w:rPr>
          <w:rFonts w:ascii="Times New Roman" w:hAnsi="Times New Roman"/>
          <w:color w:val="000000" w:themeColor="text1"/>
          <w:sz w:val="16"/>
          <w:szCs w:val="16"/>
        </w:rPr>
        <w:softHyphen/>
        <w:t>делки стрелковых точек под новые 7,5 мм пулеметы «Дарн» машина пошла в серийное производство под названием Потез 540М5. Всего для ВВС и Авиа</w:t>
      </w:r>
      <w:r w:rsidRPr="0044524F">
        <w:rPr>
          <w:rFonts w:ascii="Times New Roman" w:hAnsi="Times New Roman"/>
          <w:color w:val="000000" w:themeColor="text1"/>
          <w:sz w:val="16"/>
          <w:szCs w:val="16"/>
        </w:rPr>
        <w:softHyphen/>
        <w:t>ции ВМС Франции в 1935, 1936 и 1937 годах было построено соответственно 64, 116 и 40 самолетов этой модифика</w:t>
      </w:r>
      <w:r w:rsidRPr="0044524F">
        <w:rPr>
          <w:rFonts w:ascii="Times New Roman" w:hAnsi="Times New Roman"/>
          <w:color w:val="000000" w:themeColor="text1"/>
          <w:sz w:val="16"/>
          <w:szCs w:val="16"/>
        </w:rPr>
        <w:softHyphen/>
        <w:t>ции.</w:t>
      </w:r>
    </w:p>
    <w:p w14:paraId="093C7E31"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1934 году были построены две опытных модификации Потеза 54, отличающиеся силовой установкой. На «модель 541» поставили звездооб</w:t>
      </w:r>
      <w:r w:rsidRPr="0044524F">
        <w:rPr>
          <w:rFonts w:ascii="Times New Roman" w:hAnsi="Times New Roman"/>
          <w:color w:val="000000" w:themeColor="text1"/>
          <w:sz w:val="16"/>
          <w:szCs w:val="16"/>
          <w:lang w:eastAsia="ru-RU" w:bidi="ru-RU"/>
        </w:rPr>
        <w:softHyphen/>
        <w:t xml:space="preserve">разные «Гном-Рон» </w:t>
      </w:r>
      <w:r w:rsidRPr="0044524F">
        <w:rPr>
          <w:rFonts w:ascii="Times New Roman" w:hAnsi="Times New Roman"/>
          <w:color w:val="000000" w:themeColor="text1"/>
          <w:sz w:val="16"/>
          <w:szCs w:val="16"/>
          <w:lang w:val="en-US" w:bidi="en-US"/>
        </w:rPr>
        <w:t>GR</w:t>
      </w:r>
      <w:r w:rsidRPr="0044524F">
        <w:rPr>
          <w:rFonts w:ascii="Times New Roman" w:hAnsi="Times New Roman"/>
          <w:color w:val="000000" w:themeColor="text1"/>
          <w:sz w:val="16"/>
          <w:szCs w:val="16"/>
          <w:lang w:bidi="en-US"/>
        </w:rPr>
        <w:t>14</w:t>
      </w:r>
      <w:r w:rsidRPr="0044524F">
        <w:rPr>
          <w:rFonts w:ascii="Times New Roman" w:hAnsi="Times New Roman"/>
          <w:color w:val="000000" w:themeColor="text1"/>
          <w:sz w:val="16"/>
          <w:szCs w:val="16"/>
          <w:lang w:val="en-US" w:bidi="en-US"/>
        </w:rPr>
        <w:t>Kdrs</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lang w:eastAsia="ru-RU" w:bidi="ru-RU"/>
        </w:rPr>
        <w:t>по 860 л.с., а на «модель 542» - рядные Лорэн «Петрель» по 720 л.с. Второй вариант оказался лучше, и в 1936 году по зака</w:t>
      </w:r>
      <w:r w:rsidRPr="0044524F">
        <w:rPr>
          <w:rFonts w:ascii="Times New Roman" w:hAnsi="Times New Roman"/>
          <w:color w:val="000000" w:themeColor="text1"/>
          <w:sz w:val="16"/>
          <w:szCs w:val="16"/>
          <w:lang w:eastAsia="ru-RU" w:bidi="ru-RU"/>
        </w:rPr>
        <w:softHyphen/>
        <w:t>зу ВВС Франции было построено 39 таких машин и еще 24 - в следующем году. Для действий в колониях было построено 36 самолетов Потез 542ТОЕ с упрощенным оборудованием и воо</w:t>
      </w:r>
      <w:r w:rsidRPr="0044524F">
        <w:rPr>
          <w:rFonts w:ascii="Times New Roman" w:hAnsi="Times New Roman"/>
          <w:color w:val="000000" w:themeColor="text1"/>
          <w:sz w:val="16"/>
          <w:szCs w:val="16"/>
          <w:lang w:eastAsia="ru-RU" w:bidi="ru-RU"/>
        </w:rPr>
        <w:softHyphen/>
        <w:t>ружением. А «541-й» приглянулся Ру</w:t>
      </w:r>
      <w:r w:rsidRPr="0044524F">
        <w:rPr>
          <w:rFonts w:ascii="Times New Roman" w:hAnsi="Times New Roman"/>
          <w:color w:val="000000" w:themeColor="text1"/>
          <w:sz w:val="16"/>
          <w:szCs w:val="16"/>
          <w:lang w:eastAsia="ru-RU" w:bidi="ru-RU"/>
        </w:rPr>
        <w:softHyphen/>
        <w:t>мынии, которая заказала 10 самолетов этого типа, правда, реально получила лишь восемь</w:t>
      </w:r>
      <w:r w:rsidRPr="0044524F">
        <w:rPr>
          <w:rFonts w:ascii="Times New Roman" w:hAnsi="Times New Roman"/>
          <w:color w:val="000000" w:themeColor="text1"/>
          <w:sz w:val="16"/>
          <w:szCs w:val="16"/>
        </w:rPr>
        <w:t xml:space="preserve"> (22797).</w:t>
      </w:r>
    </w:p>
    <w:p w14:paraId="70C1E5BB" w14:textId="77777777" w:rsidR="00C335AB" w:rsidRPr="0044524F" w:rsidRDefault="00C335AB" w:rsidP="009654CF">
      <w:pPr>
        <w:spacing w:after="0" w:line="240" w:lineRule="auto"/>
        <w:jc w:val="both"/>
        <w:rPr>
          <w:rFonts w:ascii="Times New Roman" w:hAnsi="Times New Roman"/>
          <w:color w:val="000000" w:themeColor="text1"/>
          <w:sz w:val="16"/>
          <w:szCs w:val="16"/>
        </w:rPr>
      </w:pPr>
    </w:p>
    <w:p w14:paraId="5DA49FB6"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F8FE369"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1E13E1E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закончилось проектирование МДР-4 3М-34РН, которое началось в мае 1933 (2287,128).</w:t>
      </w:r>
    </w:p>
    <w:p w14:paraId="7BCE1B94"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D04F39A" w14:textId="77777777" w:rsidR="00CE750F" w:rsidRPr="0044524F" w:rsidRDefault="00CE750F" w:rsidP="009654CF">
      <w:pPr>
        <w:pStyle w:val="rtejustify"/>
        <w:spacing w:before="0" w:after="0"/>
        <w:rPr>
          <w:color w:val="000000" w:themeColor="text1"/>
          <w:sz w:val="16"/>
          <w:szCs w:val="16"/>
        </w:rPr>
      </w:pPr>
      <w:r w:rsidRPr="0044524F">
        <w:rPr>
          <w:rStyle w:val="af0"/>
          <w:bCs/>
          <w:i w:val="0"/>
          <w:color w:val="000000" w:themeColor="text1"/>
          <w:sz w:val="16"/>
          <w:szCs w:val="16"/>
        </w:rPr>
        <w:t>15 ноября</w:t>
      </w:r>
      <w:r w:rsidRPr="0044524F">
        <w:rPr>
          <w:color w:val="000000" w:themeColor="text1"/>
          <w:sz w:val="16"/>
          <w:szCs w:val="16"/>
        </w:rPr>
        <w:t xml:space="preserve"> 1933. Постановление СНК СССР № 2484/583с «О постройке морского гидросамолета». (РГАЭ. Ф. 8328. Оп. 1. Д. 687. Л. 18) (15460).</w:t>
      </w:r>
    </w:p>
    <w:p w14:paraId="32023815" w14:textId="77777777" w:rsidR="00CE750F" w:rsidRPr="0044524F" w:rsidRDefault="00CE750F" w:rsidP="009654CF">
      <w:pPr>
        <w:pStyle w:val="rtejustify"/>
        <w:spacing w:before="0" w:after="0"/>
        <w:rPr>
          <w:color w:val="000000" w:themeColor="text1"/>
          <w:sz w:val="16"/>
          <w:szCs w:val="16"/>
        </w:rPr>
      </w:pPr>
    </w:p>
    <w:p w14:paraId="1A2E4F0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года МК ВКП(б ) был рассмотрен вопрос о постройке плотины на Москва реке в районе с. Михайловского для развития гидросамолетостроения, проект был готов, но недостаточность финансирования задерживало строительство плотины (4188,57-58).</w:t>
      </w:r>
    </w:p>
    <w:p w14:paraId="7D9996E0"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83E147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РНИИ был передан в систему НКТП (377,100).</w:t>
      </w:r>
    </w:p>
    <w:p w14:paraId="50A34A08"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35BEEF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15 ноября 1933 т. Эйдеманом и Ильиным были разрешены работы по усовершенствованию и оборудованию стратостата: в том числе предусматривалась постановка новых строп, облегчения сети для гондолы, оснастка оболочки новым такелажем, монтаж гондолы. На заседании консультационного совета в Ленинграде т. Федосеенко доложил о всех работах и просил установить место старта, т. к. Эйдеман не возражал, если будет вылет не из Москвы. Т. Дмитриеву было предложено детально проработать старт зимой, д-ру Бресткину все вопросы об обеспеченности полета продолжительностью на 6 часов. Главная Геофизическая обсерватория 17 ноября сообщила, что благоприятные условия для полета в стратосферу можно ожидать в период 20-24 декабря и около 20-21 января, а также конец января. </w:t>
      </w:r>
    </w:p>
    <w:p w14:paraId="18EB86A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Усыскин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Гесслера.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(11611).</w:t>
      </w:r>
    </w:p>
    <w:p w14:paraId="1E9A4183"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1DEFD04B"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г. предста</w:t>
      </w:r>
      <w:r w:rsidRPr="0044524F">
        <w:rPr>
          <w:rFonts w:ascii="Times New Roman" w:hAnsi="Times New Roman"/>
          <w:color w:val="000000" w:themeColor="text1"/>
          <w:sz w:val="16"/>
          <w:szCs w:val="16"/>
        </w:rPr>
        <w:softHyphen/>
        <w:t>вители «Дирижаблестроя», НИИ ВВС и УВВС рассмотрели и утвердили эскизный проект мо</w:t>
      </w:r>
      <w:r w:rsidRPr="0044524F">
        <w:rPr>
          <w:rFonts w:ascii="Times New Roman" w:hAnsi="Times New Roman"/>
          <w:color w:val="000000" w:themeColor="text1"/>
          <w:sz w:val="16"/>
          <w:szCs w:val="16"/>
        </w:rPr>
        <w:softHyphen/>
        <w:t>торизованного аэростата «С-1-С» («С-2»). Обо</w:t>
      </w:r>
      <w:r w:rsidRPr="0044524F">
        <w:rPr>
          <w:rFonts w:ascii="Times New Roman" w:hAnsi="Times New Roman"/>
          <w:color w:val="000000" w:themeColor="text1"/>
          <w:sz w:val="16"/>
          <w:szCs w:val="16"/>
        </w:rPr>
        <w:softHyphen/>
        <w:t>лочка выполнялась по образцу оболочки «С-1». Гондола — цельносварная, обтекаемая, длиной 3,3 м, высотой 1,4 м и шириной 0,8 м. Исходя из опыта испытаний «С-1» прочность оперения увеличили вдвое. По сравнению с «С-1» общий вес аэростата уменьшился приблизительно на 100 кг. Предполагалось доработать шахту для пу</w:t>
      </w:r>
      <w:r w:rsidRPr="0044524F">
        <w:rPr>
          <w:rFonts w:ascii="Times New Roman" w:hAnsi="Times New Roman"/>
          <w:color w:val="000000" w:themeColor="text1"/>
          <w:sz w:val="16"/>
          <w:szCs w:val="16"/>
        </w:rPr>
        <w:softHyphen/>
        <w:t>лемётного гнезда. На этом же совещании приня</w:t>
      </w:r>
      <w:r w:rsidRPr="0044524F">
        <w:rPr>
          <w:rFonts w:ascii="Times New Roman" w:hAnsi="Times New Roman"/>
          <w:color w:val="000000" w:themeColor="text1"/>
          <w:sz w:val="16"/>
          <w:szCs w:val="16"/>
        </w:rPr>
        <w:softHyphen/>
        <w:t>ли решение запустить моторизованный аэростат в серию. В ЦАГИ построили гондолу и оперение нового моторизованного аэростата.</w:t>
      </w:r>
    </w:p>
    <w:p w14:paraId="14168166"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Данных по дальнейшей работе над аэростатом «С-2» в архивах обнаружить не удалось. Извест</w:t>
      </w:r>
      <w:r w:rsidRPr="0044524F">
        <w:rPr>
          <w:rFonts w:ascii="Times New Roman" w:hAnsi="Times New Roman"/>
          <w:color w:val="000000" w:themeColor="text1"/>
          <w:sz w:val="16"/>
          <w:szCs w:val="16"/>
        </w:rPr>
        <w:softHyphen/>
        <w:t>но только, что работы над моторизованными аэростатами в СССР продолжались. В 1938 г. ди</w:t>
      </w:r>
      <w:r w:rsidRPr="0044524F">
        <w:rPr>
          <w:rFonts w:ascii="Times New Roman" w:hAnsi="Times New Roman"/>
          <w:color w:val="000000" w:themeColor="text1"/>
          <w:sz w:val="16"/>
          <w:szCs w:val="16"/>
        </w:rPr>
        <w:softHyphen/>
        <w:t>ректор завода № 207 НКАП Шитенев запросил в Управлении 31 октября 1933 г. в Большом конференц-зале АН СССР состоялось организованное Всесоюзной конферен</w:t>
      </w:r>
      <w:r w:rsidRPr="0044524F">
        <w:rPr>
          <w:rFonts w:ascii="Times New Roman" w:hAnsi="Times New Roman"/>
          <w:color w:val="000000" w:themeColor="text1"/>
          <w:sz w:val="16"/>
          <w:szCs w:val="16"/>
        </w:rPr>
        <w:softHyphen/>
        <w:t>ции по изучению стратосферы совместно с Ле</w:t>
      </w:r>
      <w:r w:rsidRPr="0044524F">
        <w:rPr>
          <w:rFonts w:ascii="Times New Roman" w:hAnsi="Times New Roman"/>
          <w:color w:val="000000" w:themeColor="text1"/>
          <w:sz w:val="16"/>
          <w:szCs w:val="16"/>
        </w:rPr>
        <w:softHyphen/>
        <w:t>нинградским областным советом Осоавиахима общегородское научное собрание, посвящённое итогам первого советского полёта в стратосферу. На совещании выяснилось отсутствие в стране «объёдиненного авторитетного советского науч</w:t>
      </w:r>
      <w:r w:rsidRPr="0044524F">
        <w:rPr>
          <w:rFonts w:ascii="Times New Roman" w:hAnsi="Times New Roman"/>
          <w:color w:val="000000" w:themeColor="text1"/>
          <w:sz w:val="16"/>
          <w:szCs w:val="16"/>
        </w:rPr>
        <w:softHyphen/>
        <w:t>ного центра, который в плановом порядке и ком</w:t>
      </w:r>
      <w:r w:rsidRPr="0044524F">
        <w:rPr>
          <w:rFonts w:ascii="Times New Roman" w:hAnsi="Times New Roman"/>
          <w:color w:val="000000" w:themeColor="text1"/>
          <w:sz w:val="16"/>
          <w:szCs w:val="16"/>
        </w:rPr>
        <w:softHyphen/>
        <w:t>плексным методом мог бы ставить и разрешать актуальные специальные научные, технические, народнохозяйственные и оборонные проблемы изучения и овладения стратосферой». Учёные обратилась в Президиум АН СССР с докладной запиской о созыве весной 1934 г. Всесоюзной конференции по изучению стратосферы (20120).</w:t>
      </w:r>
    </w:p>
    <w:p w14:paraId="3E6EE9B7" w14:textId="77777777" w:rsidR="00C335AB" w:rsidRPr="0044524F" w:rsidRDefault="00C335AB" w:rsidP="009654CF">
      <w:pPr>
        <w:spacing w:after="0" w:line="240" w:lineRule="auto"/>
        <w:jc w:val="both"/>
        <w:rPr>
          <w:rFonts w:ascii="Times New Roman" w:hAnsi="Times New Roman"/>
          <w:color w:val="000000" w:themeColor="text1"/>
          <w:sz w:val="16"/>
          <w:szCs w:val="16"/>
        </w:rPr>
      </w:pPr>
    </w:p>
    <w:p w14:paraId="1ED00DF1" w14:textId="77777777" w:rsidR="00CE750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EB397BD" w14:textId="77777777" w:rsidR="00CE750F" w:rsidRPr="0044524F" w:rsidRDefault="00CE750F" w:rsidP="009654CF">
      <w:pPr>
        <w:spacing w:after="0" w:line="240" w:lineRule="auto"/>
        <w:jc w:val="both"/>
        <w:rPr>
          <w:rFonts w:ascii="Times New Roman" w:hAnsi="Times New Roman"/>
          <w:iCs/>
          <w:color w:val="000000" w:themeColor="text1"/>
          <w:sz w:val="16"/>
          <w:szCs w:val="16"/>
        </w:rPr>
      </w:pPr>
    </w:p>
    <w:p w14:paraId="3AD1088C" w14:textId="77777777" w:rsidR="00CE750F" w:rsidRPr="0044524F" w:rsidRDefault="00CE750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была пущена первая домна на Запорожстали (1348,200).</w:t>
      </w:r>
    </w:p>
    <w:p w14:paraId="0041C95E" w14:textId="77777777" w:rsidR="00CE750F" w:rsidRPr="0044524F" w:rsidRDefault="00CE750F" w:rsidP="009654CF">
      <w:pPr>
        <w:spacing w:after="0" w:line="240" w:lineRule="auto"/>
        <w:jc w:val="both"/>
        <w:rPr>
          <w:rFonts w:ascii="Times New Roman" w:hAnsi="Times New Roman"/>
          <w:color w:val="000000" w:themeColor="text1"/>
          <w:sz w:val="16"/>
          <w:szCs w:val="16"/>
        </w:rPr>
      </w:pPr>
    </w:p>
    <w:p w14:paraId="76D6BAD7" w14:textId="77777777" w:rsidR="00CE750F" w:rsidRPr="0044524F" w:rsidRDefault="00CE750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15 ноября </w:t>
      </w:r>
      <w:r w:rsidRPr="0044524F">
        <w:rPr>
          <w:rFonts w:ascii="Times New Roman" w:hAnsi="Times New Roman"/>
          <w:color w:val="000000" w:themeColor="text1"/>
          <w:sz w:val="16"/>
          <w:szCs w:val="16"/>
        </w:rPr>
        <w:t>в 1933 году состоялся пуск первой очереди Запорожского металлургического завода (ныне — ОАО "Запорожский металлургический комбинат "Запорожсталь", Украина) (14831).</w:t>
      </w:r>
    </w:p>
    <w:p w14:paraId="26CAC3F1" w14:textId="77777777" w:rsidR="00CE750F" w:rsidRPr="0044524F" w:rsidRDefault="00CE750F" w:rsidP="009654CF">
      <w:pPr>
        <w:spacing w:after="0" w:line="240" w:lineRule="auto"/>
        <w:jc w:val="both"/>
        <w:rPr>
          <w:rFonts w:ascii="Times New Roman" w:hAnsi="Times New Roman"/>
          <w:color w:val="000000" w:themeColor="text1"/>
          <w:sz w:val="16"/>
          <w:szCs w:val="16"/>
        </w:rPr>
      </w:pPr>
    </w:p>
    <w:p w14:paraId="2510F1DD"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в 5 часов утра из Ярославля в Мос</w:t>
      </w:r>
      <w:r w:rsidRPr="0044524F">
        <w:rPr>
          <w:rFonts w:ascii="Times New Roman" w:hAnsi="Times New Roman"/>
          <w:color w:val="000000" w:themeColor="text1"/>
          <w:sz w:val="16"/>
          <w:szCs w:val="16"/>
        </w:rPr>
        <w:softHyphen/>
        <w:t>кву отправилась колонна грузовиков - участников первого дизельного пробега по маршруту Ярос</w:t>
      </w:r>
      <w:r w:rsidRPr="0044524F">
        <w:rPr>
          <w:rFonts w:ascii="Times New Roman" w:hAnsi="Times New Roman"/>
          <w:color w:val="000000" w:themeColor="text1"/>
          <w:sz w:val="16"/>
          <w:szCs w:val="16"/>
        </w:rPr>
        <w:softHyphen/>
        <w:t>лавль - Москва - Ярославль. Впереди шли два гру</w:t>
      </w:r>
      <w:r w:rsidRPr="0044524F">
        <w:rPr>
          <w:rFonts w:ascii="Times New Roman" w:hAnsi="Times New Roman"/>
          <w:color w:val="000000" w:themeColor="text1"/>
          <w:sz w:val="16"/>
          <w:szCs w:val="16"/>
        </w:rPr>
        <w:softHyphen/>
        <w:t>зовика с дизелями Коджу, изготовленные к но</w:t>
      </w:r>
      <w:r w:rsidRPr="0044524F">
        <w:rPr>
          <w:rFonts w:ascii="Times New Roman" w:hAnsi="Times New Roman"/>
          <w:color w:val="000000" w:themeColor="text1"/>
          <w:sz w:val="16"/>
          <w:szCs w:val="16"/>
        </w:rPr>
        <w:softHyphen/>
        <w:t>ябрьским праздникам. Двигатели Коджу испытыва</w:t>
      </w:r>
      <w:r w:rsidRPr="0044524F">
        <w:rPr>
          <w:rFonts w:ascii="Times New Roman" w:hAnsi="Times New Roman"/>
          <w:color w:val="000000" w:themeColor="text1"/>
          <w:sz w:val="16"/>
          <w:szCs w:val="16"/>
        </w:rPr>
        <w:softHyphen/>
        <w:t>лись вместе с дизелями MAH, МВМ, АЕС и Дейтц. Дизели Коджу первое серьезное испытание выдер</w:t>
      </w:r>
      <w:r w:rsidRPr="0044524F">
        <w:rPr>
          <w:rFonts w:ascii="Times New Roman" w:hAnsi="Times New Roman"/>
          <w:color w:val="000000" w:themeColor="text1"/>
          <w:sz w:val="16"/>
          <w:szCs w:val="16"/>
        </w:rPr>
        <w:softHyphen/>
        <w:t>жали. Участники пробега докладывали: «Всю дорогу не было аварий. А из четырех иностранных дизелей три выбыли из строя» (22518).</w:t>
      </w:r>
    </w:p>
    <w:p w14:paraId="161B6AFA" w14:textId="77777777" w:rsidR="00C335AB" w:rsidRPr="0044524F" w:rsidRDefault="00C335AB" w:rsidP="009654CF">
      <w:pPr>
        <w:spacing w:after="0" w:line="240" w:lineRule="auto"/>
        <w:jc w:val="both"/>
        <w:rPr>
          <w:rFonts w:ascii="Times New Roman" w:hAnsi="Times New Roman"/>
          <w:color w:val="000000" w:themeColor="text1"/>
          <w:sz w:val="16"/>
          <w:szCs w:val="16"/>
        </w:rPr>
      </w:pPr>
    </w:p>
    <w:p w14:paraId="7BEF81FE"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в Москве начали возить пассажиров троллейбусы, которые получили название «Лазарь Каганович» (ЛК), в честь секретаря московского ЦК ВКП(б) Л. Кагановича. Курировал троллейбусную тему заместитель секретаря Никита Сергеевич Хрущев, который и предложил название.</w:t>
      </w:r>
    </w:p>
    <w:p w14:paraId="2E5AEC5A"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Кузов троллейбуса, разработанный известным инженером И. Германом, представлял собой деревянный каркас из дубовых стоек и брусков, скрепленных между собой металлическими уголками. Снаружи троллейбус обшивался листовым металлом, а внутри — фанерой, которая обклеивалась дерматином. Кузов устанавливался на раму сварной и клепанной конструкции из прокатных швеллеров. Кабина водителя имела отдельные двери с левой стороны и была отделена от салона перегородкой. Пассажирских дверей, которые открывались механически, было двое: передними одностворчатыми дверьми управлял водитель, а задними двухстворчатыми — кондуктор или пассажиры. В салоне троллейбуса могло разместиться 36 пассажиров на мягких сиденьях и 10 могло ехать стоя. Освещение и отопление салона питалось от 550 В. В холодное время года салон отапливался четырьмя 500-ваттными электропечами, установленными под пассажирскими сидениями. В целом уровень комфорта для пассажиров был куда более высоким, чем в автобусах, а тем более трамваях, того времени (22735).</w:t>
      </w:r>
    </w:p>
    <w:p w14:paraId="712A14EE" w14:textId="77777777" w:rsidR="00C335AB" w:rsidRPr="0044524F" w:rsidRDefault="00C335AB" w:rsidP="009654CF">
      <w:pPr>
        <w:spacing w:after="0" w:line="240" w:lineRule="auto"/>
        <w:jc w:val="both"/>
        <w:rPr>
          <w:rFonts w:ascii="Times New Roman" w:hAnsi="Times New Roman"/>
          <w:color w:val="000000" w:themeColor="text1"/>
          <w:sz w:val="16"/>
          <w:szCs w:val="16"/>
        </w:rPr>
      </w:pPr>
    </w:p>
    <w:p w14:paraId="34E3BB6F"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состоялось заседание ПБ и был оформлен протокол № 149</w:t>
      </w:r>
    </w:p>
    <w:p w14:paraId="1F9A5729"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немцах (т. Акулов)</w:t>
      </w:r>
    </w:p>
    <w:p w14:paraId="7F0E7E75"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Выслать арестованных немецких шпионов за пре</w:t>
      </w:r>
      <w:r w:rsidRPr="0044524F">
        <w:rPr>
          <w:rFonts w:ascii="Times New Roman" w:hAnsi="Times New Roman"/>
          <w:color w:val="000000" w:themeColor="text1"/>
          <w:sz w:val="16"/>
          <w:szCs w:val="16"/>
        </w:rPr>
        <w:softHyphen/>
        <w:t>делы СССР.</w:t>
      </w:r>
    </w:p>
    <w:p w14:paraId="6A16420B"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Акулову, Менжинскому.</w:t>
      </w:r>
    </w:p>
    <w:p w14:paraId="72F07D6E"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ноября 1933 опросом членов ПБ</w:t>
      </w:r>
    </w:p>
    <w:p w14:paraId="0F08D236"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36/22.- Доклад т. Гамарника о постройке подлодок типа "Малютка",</w:t>
      </w:r>
    </w:p>
    <w:p w14:paraId="60750ECC"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Утвердить разработанный комиссией т. Гамарника совместно с директорами заводов им.Марти и им.*61" график постройки и сдачи 20 подлодок типа "М" в 1933г.</w:t>
      </w:r>
    </w:p>
    <w:p w14:paraId="05C59642"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Произвести на всех подлодках типа "М" до их сдачи НКВМору намеченные комиссией т. Гамарника исправ</w:t>
      </w:r>
      <w:r w:rsidRPr="0044524F">
        <w:rPr>
          <w:rFonts w:ascii="Times New Roman" w:hAnsi="Times New Roman"/>
          <w:color w:val="000000" w:themeColor="text1"/>
          <w:sz w:val="16"/>
          <w:szCs w:val="16"/>
        </w:rPr>
        <w:softHyphen/>
        <w:t>ления, выявленных на испытаниях конструктивных дефек</w:t>
      </w:r>
      <w:r w:rsidRPr="0044524F">
        <w:rPr>
          <w:rFonts w:ascii="Times New Roman" w:hAnsi="Times New Roman"/>
          <w:color w:val="000000" w:themeColor="text1"/>
          <w:sz w:val="16"/>
          <w:szCs w:val="16"/>
        </w:rPr>
        <w:softHyphen/>
        <w:t>тов, безусловно добившись полного обеспечения подлодок от всплытия при двухторпедном залпе.а также увеличе</w:t>
      </w:r>
      <w:r w:rsidRPr="0044524F">
        <w:rPr>
          <w:rFonts w:ascii="Times New Roman" w:hAnsi="Times New Roman"/>
          <w:color w:val="000000" w:themeColor="text1"/>
          <w:sz w:val="16"/>
          <w:szCs w:val="16"/>
        </w:rPr>
        <w:softHyphen/>
        <w:t>ния подводной скорости хода до 6-6,5 узлов.</w:t>
      </w:r>
    </w:p>
    <w:p w14:paraId="082215E8"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Отправить на Д.В. первые три подлодки 1-го де</w:t>
      </w:r>
      <w:r w:rsidRPr="0044524F">
        <w:rPr>
          <w:rFonts w:ascii="Times New Roman" w:hAnsi="Times New Roman"/>
          <w:color w:val="000000" w:themeColor="text1"/>
          <w:sz w:val="16"/>
          <w:szCs w:val="16"/>
        </w:rPr>
        <w:softHyphen/>
        <w:t>кабря 1933 г. и следующие три подлодки 15-го декабря 1933 г. с установкой на них, в виде исключения, аппара</w:t>
      </w:r>
      <w:r w:rsidRPr="0044524F">
        <w:rPr>
          <w:rFonts w:ascii="Times New Roman" w:hAnsi="Times New Roman"/>
          <w:color w:val="000000" w:themeColor="text1"/>
          <w:sz w:val="16"/>
          <w:szCs w:val="16"/>
        </w:rPr>
        <w:softHyphen/>
        <w:t>туры .гарантирующей подлодку от всплытия при выстреле одной торпедой. Оборудование этих шести подлодок ап</w:t>
      </w:r>
      <w:r w:rsidRPr="0044524F">
        <w:rPr>
          <w:rFonts w:ascii="Times New Roman" w:hAnsi="Times New Roman"/>
          <w:color w:val="000000" w:themeColor="text1"/>
          <w:sz w:val="16"/>
          <w:szCs w:val="16"/>
        </w:rPr>
        <w:softHyphen/>
        <w:t>паратурой .обеспечивающей подлодку от всплытия при двухторпедном залпе.произвести на Д.В.</w:t>
      </w:r>
    </w:p>
    <w:p w14:paraId="1EAF140A"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Принимая во внимание неудовлетворительное со</w:t>
      </w:r>
      <w:r w:rsidRPr="0044524F">
        <w:rPr>
          <w:rFonts w:ascii="Times New Roman" w:hAnsi="Times New Roman"/>
          <w:color w:val="000000" w:themeColor="text1"/>
          <w:sz w:val="16"/>
          <w:szCs w:val="16"/>
        </w:rPr>
        <w:softHyphen/>
        <w:t>стояние зав. им. Марти и зав. им."61".предложить т. Орд</w:t>
      </w:r>
      <w:r w:rsidRPr="0044524F">
        <w:rPr>
          <w:rFonts w:ascii="Times New Roman" w:hAnsi="Times New Roman"/>
          <w:color w:val="000000" w:themeColor="text1"/>
          <w:sz w:val="16"/>
          <w:szCs w:val="16"/>
        </w:rPr>
        <w:softHyphen/>
        <w:t>жоникидзе в двухдекадный срок разработать и доложить ЦК ВКП(б) мероприятия.обеспечивающие выполнение про</w:t>
      </w:r>
      <w:r w:rsidRPr="0044524F">
        <w:rPr>
          <w:rFonts w:ascii="Times New Roman" w:hAnsi="Times New Roman"/>
          <w:color w:val="000000" w:themeColor="text1"/>
          <w:sz w:val="16"/>
          <w:szCs w:val="16"/>
        </w:rPr>
        <w:softHyphen/>
        <w:t>граммы военно-морского судостроения в 1934 г. на этих заводах.</w:t>
      </w:r>
    </w:p>
    <w:p w14:paraId="3DA0844C"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5.Назначить на завод им. Марти ответственного сек</w:t>
      </w:r>
      <w:r w:rsidRPr="0044524F">
        <w:rPr>
          <w:rFonts w:ascii="Times New Roman" w:hAnsi="Times New Roman"/>
          <w:color w:val="000000" w:themeColor="text1"/>
          <w:sz w:val="16"/>
          <w:szCs w:val="16"/>
        </w:rPr>
        <w:softHyphen/>
        <w:t>ретаря парторга ЦК; тов. Ежову представить кандидата на эту должность.</w:t>
      </w:r>
    </w:p>
    <w:p w14:paraId="52002815"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Молотову, Гамарнику, Орджоникидзе</w:t>
      </w:r>
    </w:p>
    <w:p w14:paraId="6B0E8A9D"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40/26.- Вопросы Комиссии Обороны.</w:t>
      </w:r>
    </w:p>
    <w:p w14:paraId="27E892D6"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СТО:</w:t>
      </w:r>
    </w:p>
    <w:p w14:paraId="2055E181"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 выдаче из Комитета Резервов промышленности для производства тяжелых бронебойных снарядов Ютонн импортного ферро-марганца и 20 тонн огневого ни келя</w:t>
      </w:r>
    </w:p>
    <w:p w14:paraId="19B8C976"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 импорте для НКТП в 1933 г. за счет контин</w:t>
      </w:r>
      <w:r w:rsidRPr="0044524F">
        <w:rPr>
          <w:rFonts w:ascii="Times New Roman" w:hAnsi="Times New Roman"/>
          <w:color w:val="000000" w:themeColor="text1"/>
          <w:sz w:val="16"/>
          <w:szCs w:val="16"/>
        </w:rPr>
        <w:softHyphen/>
        <w:t>гентов НКТП в размере 2 т.р. для закупки огнеупор</w:t>
      </w:r>
      <w:r w:rsidRPr="0044524F">
        <w:rPr>
          <w:rFonts w:ascii="Times New Roman" w:hAnsi="Times New Roman"/>
          <w:color w:val="000000" w:themeColor="text1"/>
          <w:sz w:val="16"/>
          <w:szCs w:val="16"/>
        </w:rPr>
        <w:softHyphen/>
        <w:t>ных стаканов и пробок для ковшей кислых мартеновские печей для разливки снарядной стали.</w:t>
      </w:r>
    </w:p>
    <w:p w14:paraId="6115852A"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Орджоникидзе-все;</w:t>
      </w:r>
    </w:p>
    <w:p w14:paraId="11A2792C"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Розенгольцу-п.2.</w:t>
      </w:r>
    </w:p>
    <w:p w14:paraId="210F4974"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ноября 1933 опросом членов ПБ</w:t>
      </w:r>
    </w:p>
    <w:p w14:paraId="6281B105"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51/37.- О постройке 100 торпедных катеров для ДВ,</w:t>
      </w:r>
    </w:p>
    <w:p w14:paraId="2470EA67"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НКТП СССР, под личную ответственность т.Орджоникидзе.построить и перебросить на ДВ к 1.У.34Г. 100 торпедных катеров типа Г-5.</w:t>
      </w:r>
    </w:p>
    <w:p w14:paraId="1ADD463D"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Установить следующий календарный план сдачи торпедных катеров заводом им.Марти (ГУСП):</w:t>
      </w:r>
    </w:p>
    <w:p w14:paraId="35DC5D50"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w:t>
      </w:r>
      <w:r w:rsidRPr="0044524F">
        <w:rPr>
          <w:rFonts w:ascii="Times New Roman" w:hAnsi="Times New Roman"/>
          <w:color w:val="000000" w:themeColor="text1"/>
          <w:sz w:val="16"/>
          <w:szCs w:val="16"/>
        </w:rPr>
        <w:tab/>
        <w:t>1</w:t>
      </w:r>
      <w:r w:rsidRPr="0044524F">
        <w:rPr>
          <w:rFonts w:ascii="Times New Roman" w:hAnsi="Times New Roman"/>
          <w:color w:val="000000" w:themeColor="text1"/>
          <w:sz w:val="16"/>
          <w:szCs w:val="16"/>
        </w:rPr>
        <w:tab/>
        <w:t>катер.</w:t>
      </w:r>
    </w:p>
    <w:p w14:paraId="61F4A705"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TOC \o "1-5" \h \z </w:instrText>
      </w:r>
      <w:r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rPr>
        <w:t>" декабре "</w:t>
      </w:r>
      <w:r w:rsidRPr="0044524F">
        <w:rPr>
          <w:rFonts w:ascii="Times New Roman" w:hAnsi="Times New Roman"/>
          <w:color w:val="000000" w:themeColor="text1"/>
          <w:sz w:val="16"/>
          <w:szCs w:val="16"/>
        </w:rPr>
        <w:tab/>
        <w:t>7</w:t>
      </w:r>
    </w:p>
    <w:p w14:paraId="01B8464F"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январе 1934 г.</w:t>
      </w:r>
      <w:r w:rsidRPr="0044524F">
        <w:rPr>
          <w:rFonts w:ascii="Times New Roman" w:hAnsi="Times New Roman"/>
          <w:color w:val="000000" w:themeColor="text1"/>
          <w:sz w:val="16"/>
          <w:szCs w:val="16"/>
        </w:rPr>
        <w:tab/>
        <w:t>18</w:t>
      </w:r>
      <w:r w:rsidRPr="0044524F">
        <w:rPr>
          <w:rFonts w:ascii="Times New Roman" w:hAnsi="Times New Roman"/>
          <w:color w:val="000000" w:themeColor="text1"/>
          <w:sz w:val="16"/>
          <w:szCs w:val="16"/>
        </w:rPr>
        <w:tab/>
        <w:t>"</w:t>
      </w:r>
    </w:p>
    <w:p w14:paraId="156DEFDC"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феврале "</w:t>
      </w:r>
      <w:r w:rsidRPr="0044524F">
        <w:rPr>
          <w:rFonts w:ascii="Times New Roman" w:hAnsi="Times New Roman"/>
          <w:color w:val="000000" w:themeColor="text1"/>
          <w:sz w:val="16"/>
          <w:szCs w:val="16"/>
        </w:rPr>
        <w:tab/>
        <w:t>25</w:t>
      </w:r>
      <w:r w:rsidRPr="0044524F">
        <w:rPr>
          <w:rFonts w:ascii="Times New Roman" w:hAnsi="Times New Roman"/>
          <w:color w:val="000000" w:themeColor="text1"/>
          <w:sz w:val="16"/>
          <w:szCs w:val="16"/>
        </w:rPr>
        <w:tab/>
        <w:t>"</w:t>
      </w:r>
    </w:p>
    <w:p w14:paraId="35979661"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марте "</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30</w:t>
      </w:r>
      <w:r w:rsidRPr="0044524F">
        <w:rPr>
          <w:rFonts w:ascii="Times New Roman" w:hAnsi="Times New Roman"/>
          <w:color w:val="000000" w:themeColor="text1"/>
          <w:sz w:val="16"/>
          <w:szCs w:val="16"/>
        </w:rPr>
        <w:tab/>
        <w:t>"</w:t>
      </w:r>
    </w:p>
    <w:p w14:paraId="1370CE59"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20 апреля"</w:t>
      </w:r>
      <w:r w:rsidRPr="0044524F">
        <w:rPr>
          <w:rFonts w:ascii="Times New Roman" w:hAnsi="Times New Roman"/>
          <w:color w:val="000000" w:themeColor="text1"/>
          <w:sz w:val="16"/>
          <w:szCs w:val="16"/>
        </w:rPr>
        <w:tab/>
        <w:t>19</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fldChar w:fldCharType="end"/>
      </w:r>
    </w:p>
    <w:p w14:paraId="69A8EE44"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Исходя из срока сдачи торпедных катеров, обя</w:t>
      </w:r>
      <w:r w:rsidRPr="0044524F">
        <w:rPr>
          <w:rFonts w:ascii="Times New Roman" w:hAnsi="Times New Roman"/>
          <w:color w:val="000000" w:themeColor="text1"/>
          <w:sz w:val="16"/>
          <w:szCs w:val="16"/>
        </w:rPr>
        <w:softHyphen/>
        <w:t>зать ГУАП.под личную ответственность тов. Королева И Директора Завола 24 т. Марьямова подать на завод им. Марти 200 моторов в следующие сроки:</w:t>
      </w:r>
    </w:p>
    <w:p w14:paraId="10C9A0EA"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мотора М-34</w:t>
      </w:r>
      <w:r w:rsidRPr="0044524F">
        <w:rPr>
          <w:rFonts w:ascii="Times New Roman" w:hAnsi="Times New Roman"/>
          <w:color w:val="000000" w:themeColor="text1"/>
          <w:sz w:val="16"/>
          <w:szCs w:val="16"/>
        </w:rPr>
        <w:tab/>
        <w:t>- 18 ноября 1933 г.</w:t>
      </w:r>
    </w:p>
    <w:p w14:paraId="222EEE4D"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t>- к 1 декабря 1933 г.</w:t>
      </w:r>
    </w:p>
    <w:p w14:paraId="7D78C9C6"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t>- в декабре 1933 г. по 10 шт.в декаду.</w:t>
      </w:r>
    </w:p>
    <w:p w14:paraId="1DE1ADEA"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ГМ-34</w:t>
      </w:r>
      <w:r w:rsidRPr="0044524F">
        <w:rPr>
          <w:rFonts w:ascii="Times New Roman" w:hAnsi="Times New Roman"/>
          <w:color w:val="000000" w:themeColor="text1"/>
          <w:sz w:val="16"/>
          <w:szCs w:val="16"/>
        </w:rPr>
        <w:tab/>
        <w:t>без реверса</w:t>
      </w:r>
      <w:r w:rsidRPr="0044524F">
        <w:rPr>
          <w:rFonts w:ascii="Times New Roman" w:hAnsi="Times New Roman"/>
          <w:color w:val="000000" w:themeColor="text1"/>
          <w:sz w:val="16"/>
          <w:szCs w:val="16"/>
        </w:rPr>
        <w:tab/>
        <w:t>к 1 декабря 1933 г.</w:t>
      </w:r>
    </w:p>
    <w:p w14:paraId="75D99C95"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в декабре 1933 г.</w:t>
      </w:r>
    </w:p>
    <w:p w14:paraId="3858F145"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в январе 1934 г. по 20</w:t>
      </w:r>
      <w:r w:rsidRPr="0044524F">
        <w:rPr>
          <w:rFonts w:ascii="Times New Roman" w:hAnsi="Times New Roman"/>
          <w:color w:val="000000" w:themeColor="text1"/>
          <w:sz w:val="16"/>
          <w:szCs w:val="16"/>
        </w:rPr>
        <w:tab/>
        <w:t>шт. в декаду</w:t>
      </w:r>
    </w:p>
    <w:p w14:paraId="472CC8B2"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в феврале 1934 г.по 20шт. в декаду.</w:t>
      </w:r>
    </w:p>
    <w:p w14:paraId="1C1C2C55"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r w:rsidRPr="0044524F">
        <w:rPr>
          <w:rFonts w:ascii="Times New Roman" w:hAnsi="Times New Roman"/>
          <w:color w:val="000000" w:themeColor="text1"/>
          <w:sz w:val="16"/>
          <w:szCs w:val="16"/>
        </w:rPr>
        <w:tab/>
        <w:t>"</w:t>
      </w:r>
      <w:r w:rsidRPr="0044524F">
        <w:rPr>
          <w:rFonts w:ascii="Times New Roman" w:hAnsi="Times New Roman"/>
          <w:color w:val="000000" w:themeColor="text1"/>
          <w:sz w:val="16"/>
          <w:szCs w:val="16"/>
        </w:rPr>
        <w:tab/>
      </w:r>
      <w:r w:rsidRPr="0044524F">
        <w:rPr>
          <w:rFonts w:ascii="Times New Roman" w:hAnsi="Times New Roman"/>
          <w:color w:val="000000" w:themeColor="text1"/>
          <w:sz w:val="16"/>
          <w:szCs w:val="16"/>
        </w:rPr>
        <w:tab/>
        <w:t>к 15 марта 1934 года.</w:t>
      </w:r>
    </w:p>
    <w:p w14:paraId="7FDD8048"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виде временной меры, для ускорения введения ка</w:t>
      </w:r>
      <w:r w:rsidRPr="0044524F">
        <w:rPr>
          <w:rFonts w:ascii="Times New Roman" w:hAnsi="Times New Roman"/>
          <w:color w:val="000000" w:themeColor="text1"/>
          <w:sz w:val="16"/>
          <w:szCs w:val="16"/>
        </w:rPr>
        <w:softHyphen/>
        <w:t>теров в строй, поставить на 20 катеров авиационные мо</w:t>
      </w:r>
      <w:r w:rsidRPr="0044524F">
        <w:rPr>
          <w:rFonts w:ascii="Times New Roman" w:hAnsi="Times New Roman"/>
          <w:color w:val="000000" w:themeColor="text1"/>
          <w:sz w:val="16"/>
          <w:szCs w:val="16"/>
        </w:rPr>
        <w:softHyphen/>
        <w:t>торы М-34, а на все остальные торпедные катера - мото</w:t>
      </w:r>
      <w:r w:rsidRPr="0044524F">
        <w:rPr>
          <w:rFonts w:ascii="Times New Roman" w:hAnsi="Times New Roman"/>
          <w:color w:val="000000" w:themeColor="text1"/>
          <w:sz w:val="16"/>
          <w:szCs w:val="16"/>
        </w:rPr>
        <w:softHyphen/>
        <w:t>ры ГМ-34 без реверсов с тем, чтобы после изготовления моторов ГМ-34 с реверсами заменить ими 40 моторов без реверсов поставленные на первых 20-ти катерах и уста</w:t>
      </w:r>
      <w:r w:rsidRPr="0044524F">
        <w:rPr>
          <w:rFonts w:ascii="Times New Roman" w:hAnsi="Times New Roman"/>
          <w:color w:val="000000" w:themeColor="text1"/>
          <w:sz w:val="16"/>
          <w:szCs w:val="16"/>
        </w:rPr>
        <w:softHyphen/>
        <w:t>новить реверсы на остальных 160 моторах ГМ-34.</w:t>
      </w:r>
    </w:p>
    <w:p w14:paraId="6F8F4E54"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ГУСП (т.Кондратьева) и НКВМор (т.Орлова):</w:t>
      </w:r>
    </w:p>
    <w:p w14:paraId="67BCD63D"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закончить испытания катера с мотором ГМ-34 с реверсом к 15 ноября 1933 года;</w:t>
      </w:r>
    </w:p>
    <w:p w14:paraId="5273C763"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установить 2 мотора М-34 на торпедном катере к 1 декабря 1933 г. и закончить его испытание к 15 декабря;</w:t>
      </w:r>
    </w:p>
    <w:p w14:paraId="3EB50A04"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смонтировать к 10 декабря на одном катере 2 мо</w:t>
      </w:r>
      <w:r w:rsidRPr="0044524F">
        <w:rPr>
          <w:rFonts w:ascii="Times New Roman" w:hAnsi="Times New Roman"/>
          <w:color w:val="000000" w:themeColor="text1"/>
          <w:sz w:val="16"/>
          <w:szCs w:val="16"/>
        </w:rPr>
        <w:softHyphen/>
        <w:t>тора ГМ-34 без реверса и испытать его не позднее 20 декабря.</w:t>
      </w:r>
    </w:p>
    <w:p w14:paraId="424E0841"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Начальнику ГУАП тов. Королеву в кратчайший срок поставить серийное производство реверсивных муфт для моторов ГМ-34 на заводе "Спартак* с началом выпуска не позднее 1 апреля 1934 года.</w:t>
      </w:r>
    </w:p>
    <w:p w14:paraId="469F866C"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Возложить на ГУАП (т.т.Макаровского и Колосова) ответственность за переделку и приспособление моторов М-34 для надежной работы в условиях торпедного катера.</w:t>
      </w:r>
    </w:p>
    <w:p w14:paraId="70F4AAC8"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НКВМору организовать приемный аппарат на заводе М 24 для приемки моторов, предназначенных для кате</w:t>
      </w:r>
      <w:r w:rsidRPr="0044524F">
        <w:rPr>
          <w:rFonts w:ascii="Times New Roman" w:hAnsi="Times New Roman"/>
          <w:color w:val="000000" w:themeColor="text1"/>
          <w:sz w:val="16"/>
          <w:szCs w:val="16"/>
        </w:rPr>
        <w:softHyphen/>
        <w:t>ров, а также усилить приемный аппарат на заводе им.Мар</w:t>
      </w:r>
      <w:r w:rsidRPr="0044524F">
        <w:rPr>
          <w:rFonts w:ascii="Times New Roman" w:hAnsi="Times New Roman"/>
          <w:color w:val="000000" w:themeColor="text1"/>
          <w:sz w:val="16"/>
          <w:szCs w:val="16"/>
        </w:rPr>
        <w:softHyphen/>
        <w:t>ти в Ленинграде.</w:t>
      </w:r>
    </w:p>
    <w:p w14:paraId="7548BAC8"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Определить всю программу выпуска моторов ГМ-34 для Военно-Морских Сил РККА на 1934 год в 350 моторов.</w:t>
      </w:r>
    </w:p>
    <w:p w14:paraId="02327BE1"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 СССР совместно с НКВМором в декадный срок установить план выпуска всех моторов, в соответствии с программой строительства кораблей.</w:t>
      </w:r>
    </w:p>
    <w:p w14:paraId="65C70588"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Молотову (К.О.), Орджоникидзе, Гамарнику.</w:t>
      </w:r>
    </w:p>
    <w:p w14:paraId="1F2C255A"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ноября 1933 опросом членов ПБ</w:t>
      </w:r>
    </w:p>
    <w:p w14:paraId="7BA1AA3C"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76/61.- О строительствe Хабаровского нефтеперегонного завода (ПБ от 1.Х1.33г., пр.№ 148,п. 17).</w:t>
      </w:r>
    </w:p>
    <w:p w14:paraId="040CB703"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Принять к сведению, заявление НКТП т. Орджоникид</w:t>
      </w:r>
      <w:r w:rsidRPr="0044524F">
        <w:rPr>
          <w:rFonts w:ascii="Times New Roman" w:hAnsi="Times New Roman"/>
          <w:color w:val="000000" w:themeColor="text1"/>
          <w:sz w:val="16"/>
          <w:szCs w:val="16"/>
        </w:rPr>
        <w:softHyphen/>
        <w:t>зе, что:</w:t>
      </w:r>
    </w:p>
    <w:p w14:paraId="76D5A143"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Работы по расширению нефтепровода Оха-Москальво на о. Сахалине выполнены и перекачка 160 т.т. нефти в навигацию 1934 г. обеспечена.</w:t>
      </w:r>
    </w:p>
    <w:p w14:paraId="7C9889DD"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промфинплан Сахалиннефти на 1934 г. включены средства с расчетом дальнейшего расширения нефтепро</w:t>
      </w:r>
      <w:r w:rsidRPr="0044524F">
        <w:rPr>
          <w:rFonts w:ascii="Times New Roman" w:hAnsi="Times New Roman"/>
          <w:color w:val="000000" w:themeColor="text1"/>
          <w:sz w:val="16"/>
          <w:szCs w:val="16"/>
        </w:rPr>
        <w:softHyphen/>
        <w:t>вода для перекачки 400 т.т. в 1935 г.</w:t>
      </w:r>
    </w:p>
    <w:p w14:paraId="02EDCD50"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Фонд на металл для 12-ти резервуаров емкостью по 10.000 тонн выделен полностью в 1У-м квартале с.г. К заготовке резервуаров приступлено.</w:t>
      </w:r>
    </w:p>
    <w:p w14:paraId="77EA2A6F"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Расширение хабаровского нефтеперегонного за</w:t>
      </w:r>
      <w:r w:rsidRPr="0044524F">
        <w:rPr>
          <w:rFonts w:ascii="Times New Roman" w:hAnsi="Times New Roman"/>
          <w:color w:val="000000" w:themeColor="text1"/>
          <w:sz w:val="16"/>
          <w:szCs w:val="16"/>
        </w:rPr>
        <w:softHyphen/>
        <w:t>вода до 400.000 тонн включено в план капитального строительства треста "Нефтезаводы" со сроком окон</w:t>
      </w:r>
      <w:r w:rsidRPr="0044524F">
        <w:rPr>
          <w:rFonts w:ascii="Times New Roman" w:hAnsi="Times New Roman"/>
          <w:color w:val="000000" w:themeColor="text1"/>
          <w:sz w:val="16"/>
          <w:szCs w:val="16"/>
        </w:rPr>
        <w:softHyphen/>
        <w:t>чания строительства к началу навигации 1935 г.</w:t>
      </w:r>
    </w:p>
    <w:p w14:paraId="6D6AE341"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Обязать Наркомвод (т.Янсон):</w:t>
      </w:r>
    </w:p>
    <w:p w14:paraId="389D19FE"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 началу навигации 1934 г. построить нефтяную пристань в Хабаровске и причалы в Москальво и в Нико</w:t>
      </w:r>
      <w:r w:rsidRPr="0044524F">
        <w:rPr>
          <w:rFonts w:ascii="Times New Roman" w:hAnsi="Times New Roman"/>
          <w:color w:val="000000" w:themeColor="text1"/>
          <w:sz w:val="16"/>
          <w:szCs w:val="16"/>
        </w:rPr>
        <w:softHyphen/>
        <w:t>лаевске на Амуре, обеспечивающие налив и слив нефти 160 т.т. в 1934 г. и 400 т.т. в 1935 г.</w:t>
      </w:r>
    </w:p>
    <w:p w14:paraId="7DFAF5F8"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Обеспечить окончание сборки в Благовещенске к 1.У1.34 г. двух рейдовых барж № 2 и 3 по 3.500 тонн и 4-х речных барж по 4.000 тонн каждая.</w:t>
      </w:r>
    </w:p>
    <w:p w14:paraId="1FBB1CFD"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Провести организованную посылку на Благове</w:t>
      </w:r>
      <w:r w:rsidRPr="0044524F">
        <w:rPr>
          <w:rFonts w:ascii="Times New Roman" w:hAnsi="Times New Roman"/>
          <w:color w:val="000000" w:themeColor="text1"/>
          <w:sz w:val="16"/>
          <w:szCs w:val="16"/>
        </w:rPr>
        <w:softHyphen/>
        <w:t>щенскую судоверфь 350 котельщиков немедленно и 250 ко</w:t>
      </w:r>
      <w:r w:rsidRPr="0044524F">
        <w:rPr>
          <w:rFonts w:ascii="Times New Roman" w:hAnsi="Times New Roman"/>
          <w:color w:val="000000" w:themeColor="text1"/>
          <w:sz w:val="16"/>
          <w:szCs w:val="16"/>
        </w:rPr>
        <w:softHyphen/>
        <w:t>тельщиков к 1.1.1934 года.</w:t>
      </w:r>
    </w:p>
    <w:p w14:paraId="6853CCFB"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Изыскать и направить в ДВК морским путем 5 мощ</w:t>
      </w:r>
      <w:r w:rsidRPr="0044524F">
        <w:rPr>
          <w:rFonts w:ascii="Times New Roman" w:hAnsi="Times New Roman"/>
          <w:color w:val="000000" w:themeColor="text1"/>
          <w:sz w:val="16"/>
          <w:szCs w:val="16"/>
        </w:rPr>
        <w:softHyphen/>
        <w:t>ных рейдовых буксиров с осадкой не больше 3-х метров для перевозки в навигацию 1934 года 160 тыс.тонн нефти.</w:t>
      </w:r>
    </w:p>
    <w:p w14:paraId="71EBA66D"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.Обеспечить поступление в Благовещенск не поз</w:t>
      </w:r>
      <w:r w:rsidRPr="0044524F">
        <w:rPr>
          <w:rFonts w:ascii="Times New Roman" w:hAnsi="Times New Roman"/>
          <w:color w:val="000000" w:themeColor="text1"/>
          <w:sz w:val="16"/>
          <w:szCs w:val="16"/>
        </w:rPr>
        <w:softHyphen/>
        <w:t>же начала июня 1934 года в разобранном виде 5-ти рейдовых буксиров по 600 сил каждый и к этому сроку для обеспечения перевозок нефти в 1935 г. забросить в Благовещенск в разобранном видне 4 рейдоынх баржи</w:t>
      </w:r>
    </w:p>
    <w:p w14:paraId="785C9D5A"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3500 тонн. 1 речную баржу 4000 тонн и 3 речных баржи по 8000 т.каждая.</w:t>
      </w:r>
    </w:p>
    <w:p w14:paraId="140D8C58"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Обеспечить перевозку разобранных в Батуме 4-х резервуаров в Николаевск на Амуре к маю мес. 1934 г.</w:t>
      </w:r>
    </w:p>
    <w:p w14:paraId="66CDCF2D"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0бязать Наркомснаб СССР (т.Микояна) включить на 1У-й квартал 1933 г. и на 1934 г. Хабаровское строи</w:t>
      </w:r>
      <w:r w:rsidRPr="0044524F">
        <w:rPr>
          <w:rFonts w:ascii="Times New Roman" w:hAnsi="Times New Roman"/>
          <w:color w:val="000000" w:themeColor="text1"/>
          <w:sz w:val="16"/>
          <w:szCs w:val="16"/>
        </w:rPr>
        <w:softHyphen/>
        <w:t>тельство на снабжение в список предприятий, получаю</w:t>
      </w:r>
      <w:r w:rsidRPr="0044524F">
        <w:rPr>
          <w:rFonts w:ascii="Times New Roman" w:hAnsi="Times New Roman"/>
          <w:color w:val="000000" w:themeColor="text1"/>
          <w:sz w:val="16"/>
          <w:szCs w:val="16"/>
        </w:rPr>
        <w:softHyphen/>
        <w:t>щих мясо и жиры для индивидуального и общественного питания.</w:t>
      </w:r>
    </w:p>
    <w:p w14:paraId="0091EEEF"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0бязать НКПС до конца строительства Хабаров</w:t>
      </w:r>
      <w:r w:rsidRPr="0044524F">
        <w:rPr>
          <w:rFonts w:ascii="Times New Roman" w:hAnsi="Times New Roman"/>
          <w:color w:val="000000" w:themeColor="text1"/>
          <w:sz w:val="16"/>
          <w:szCs w:val="16"/>
        </w:rPr>
        <w:softHyphen/>
        <w:t>ского завода обеспечить подвижным составом переброску всех необходимых строительству грузов и взять под особое наблюдение продвижение этих грузов по желез</w:t>
      </w:r>
      <w:r w:rsidRPr="0044524F">
        <w:rPr>
          <w:rFonts w:ascii="Times New Roman" w:hAnsi="Times New Roman"/>
          <w:color w:val="000000" w:themeColor="text1"/>
          <w:sz w:val="16"/>
          <w:szCs w:val="16"/>
        </w:rPr>
        <w:softHyphen/>
        <w:t>ным дорогам.</w:t>
      </w:r>
    </w:p>
    <w:p w14:paraId="7987E46B" w14:textId="088EE52C"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т.т. Орджоникидзе, Гамарнику, Мирошни</w:t>
      </w:r>
      <w:r w:rsidRPr="0044524F">
        <w:rPr>
          <w:rFonts w:ascii="Times New Roman" w:hAnsi="Times New Roman"/>
          <w:color w:val="000000" w:themeColor="text1"/>
          <w:sz w:val="16"/>
          <w:szCs w:val="16"/>
        </w:rPr>
        <w:softHyphen/>
        <w:t>кову, Далькрайкому-шифром-все; Янсону- п.6, Микояну-п.в, Андре еву-п.г.</w:t>
      </w:r>
    </w:p>
    <w:p w14:paraId="6D52D368"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77/62.- Вопросы Комиссии Обороны.</w:t>
      </w:r>
    </w:p>
    <w:p w14:paraId="1D852FCC"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СТО о выделении НКТПрому в ноябре мес.1933 г. из резервного фонда СНК - 3.000.000 р. для проведения подготовительных работ по строительству бензоемкостей на Д.Востоке и В.Си</w:t>
      </w:r>
      <w:r w:rsidRPr="0044524F">
        <w:rPr>
          <w:rFonts w:ascii="Times New Roman" w:hAnsi="Times New Roman"/>
          <w:color w:val="000000" w:themeColor="text1"/>
          <w:sz w:val="16"/>
          <w:szCs w:val="16"/>
        </w:rPr>
        <w:softHyphen/>
        <w:t>бири.</w:t>
      </w:r>
    </w:p>
    <w:p w14:paraId="1987780F"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т.т.Базилевичу,Мирошникову.</w:t>
      </w:r>
    </w:p>
    <w:p w14:paraId="7D158DD8"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опросом членов ПБ</w:t>
      </w:r>
    </w:p>
    <w:p w14:paraId="3EEF92BA"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100/86.- О воздушной линии Краков-Харьков.</w:t>
      </w:r>
    </w:p>
    <w:p w14:paraId="07DCBBC5"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Предложение поляков об организации воздушной линии Краков-Харьков отклонить.</w:t>
      </w:r>
    </w:p>
    <w:p w14:paraId="3A1C3202"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Уншлихту, Крестинскому.</w:t>
      </w:r>
    </w:p>
    <w:p w14:paraId="66B74E77"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опросом членов ПБ</w:t>
      </w:r>
    </w:p>
    <w:p w14:paraId="214A1FF9"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106/120.- Предложения т.т. Сталина и Гамарника,</w:t>
      </w:r>
    </w:p>
    <w:p w14:paraId="33B946C9"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следующее предложение т.т.Сталина и Гамарника:</w:t>
      </w:r>
    </w:p>
    <w:p w14:paraId="65DD50C1"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усиления обороны нашего морского побережья на Дальнем Востоке считать необходимым провести сле</w:t>
      </w:r>
      <w:r w:rsidRPr="0044524F">
        <w:rPr>
          <w:rFonts w:ascii="Times New Roman" w:hAnsi="Times New Roman"/>
          <w:color w:val="000000" w:themeColor="text1"/>
          <w:sz w:val="16"/>
          <w:szCs w:val="16"/>
        </w:rPr>
        <w:softHyphen/>
        <w:t>дующие меры:</w:t>
      </w:r>
    </w:p>
    <w:p w14:paraId="766FDDBE"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К 1-му мая 1934 года построить и перебросить на Дальний Восток 100 торпедных катеров. Если для этого необходимо импортировать моторы, то пойти на это. При постройке торпедных катеров обязательно до</w:t>
      </w:r>
      <w:r w:rsidRPr="0044524F">
        <w:rPr>
          <w:rFonts w:ascii="Times New Roman" w:hAnsi="Times New Roman"/>
          <w:color w:val="000000" w:themeColor="text1"/>
          <w:sz w:val="16"/>
          <w:szCs w:val="16"/>
        </w:rPr>
        <w:softHyphen/>
        <w:t>биваться их высокой мореходности-желательно 7-8 бал</w:t>
      </w:r>
      <w:r w:rsidRPr="0044524F">
        <w:rPr>
          <w:rFonts w:ascii="Times New Roman" w:hAnsi="Times New Roman"/>
          <w:color w:val="000000" w:themeColor="text1"/>
          <w:sz w:val="16"/>
          <w:szCs w:val="16"/>
        </w:rPr>
        <w:softHyphen/>
        <w:t>лов. Если нужна иностранная техпомощь, то пойти на это.</w:t>
      </w:r>
    </w:p>
    <w:p w14:paraId="3C9AB5DD"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Отправить в Николаев комиссию в составе т.т.Га</w:t>
      </w:r>
      <w:r w:rsidRPr="0044524F">
        <w:rPr>
          <w:rFonts w:ascii="Times New Roman" w:hAnsi="Times New Roman"/>
          <w:color w:val="000000" w:themeColor="text1"/>
          <w:sz w:val="16"/>
          <w:szCs w:val="16"/>
        </w:rPr>
        <w:softHyphen/>
        <w:t>марника, Орлова, Муклевича и Павлуновского, которая во что бы то ни стало добилась бы ликвидации недостат</w:t>
      </w:r>
      <w:r w:rsidRPr="0044524F">
        <w:rPr>
          <w:rFonts w:ascii="Times New Roman" w:hAnsi="Times New Roman"/>
          <w:color w:val="000000" w:themeColor="text1"/>
          <w:sz w:val="16"/>
          <w:szCs w:val="16"/>
        </w:rPr>
        <w:softHyphen/>
        <w:t>ков в "Малютке" и обеспечила сдачу заводом еще в те</w:t>
      </w:r>
      <w:r w:rsidRPr="0044524F">
        <w:rPr>
          <w:rFonts w:ascii="Times New Roman" w:hAnsi="Times New Roman"/>
          <w:color w:val="000000" w:themeColor="text1"/>
          <w:sz w:val="16"/>
          <w:szCs w:val="16"/>
        </w:rPr>
        <w:softHyphen/>
        <w:t>кущем году 20 подлодок типа "Малютка".</w:t>
      </w:r>
    </w:p>
    <w:p w14:paraId="163FB23C"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Поручить т.т.Орджоникидзе и Гамарнику в 2-днев</w:t>
      </w:r>
      <w:r w:rsidRPr="0044524F">
        <w:rPr>
          <w:rFonts w:ascii="Times New Roman" w:hAnsi="Times New Roman"/>
          <w:color w:val="000000" w:themeColor="text1"/>
          <w:sz w:val="16"/>
          <w:szCs w:val="16"/>
        </w:rPr>
        <w:softHyphen/>
        <w:t>ный срок представить проект конкретных мероприятий по осуществлению пункта 1-го.</w:t>
      </w:r>
    </w:p>
    <w:p w14:paraId="24A55E32"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Орджоникидзе, Гамарнику-все;</w:t>
      </w:r>
    </w:p>
    <w:p w14:paraId="771B790E" w14:textId="77777777" w:rsidR="00C335AB" w:rsidRPr="0044524F" w:rsidRDefault="00C335A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Орлову, Муклевичу, Павлуновскому-п.2. (22999).</w:t>
      </w:r>
    </w:p>
    <w:p w14:paraId="74000691" w14:textId="77777777" w:rsidR="00C335AB" w:rsidRPr="0044524F" w:rsidRDefault="00C335AB" w:rsidP="009654CF">
      <w:pPr>
        <w:spacing w:after="0" w:line="240" w:lineRule="auto"/>
        <w:jc w:val="both"/>
        <w:rPr>
          <w:rFonts w:ascii="Times New Roman" w:hAnsi="Times New Roman"/>
          <w:color w:val="000000" w:themeColor="text1"/>
          <w:sz w:val="16"/>
          <w:szCs w:val="16"/>
        </w:rPr>
      </w:pPr>
    </w:p>
    <w:p w14:paraId="4BCBC3C0" w14:textId="77777777" w:rsidR="00CE750F" w:rsidRPr="0044524F" w:rsidRDefault="00CE750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15 ноября 1933 г. Протокол ПБ № 149 п.51/37: Вопрос НКТП и НКВМ. О постройке 100 торпедных катеров для ДВ – ОП. Решено: 1. Обязать НКТП СССР, под личную ответственность Орджоникидзе, построить и перебросить на Дальний Восток к 1-5-1934 100 торпедных катеров типа Г-5. 2. Установить календарный план сдачи торпедных катеров заводом имени Марти (ГУСП) на ноябрь-декабрь 1933 г. и январь-апрель 1934 г. 3.Обязать ГУАП, исходя из срока сдачи торпедных катеров, под личную ответственность Королева и директора завода № 24 Марьямова, подать на завод имени Марти 200 моторов в соответствии с установленными датами. 4. Поставить на 20 катеров (в виде временной меры для ускорения введения катеров в строй) авиационные моторы М-34, на все остальные торпедные катера - моторы ГМ-34 без реверсов; заменить после изготовления моторов ГМ-34 с реверсами 40 моторов без реверсов, поставленные на первых 20 катерах; установить реверсы на остальных 160 моторах ГМ-34. 5. Обязать ГУСП (Кондратьева) и НКВМор (Орлова): а) закончить испытания катера с мотором ГМ-34 с реверсом к 15-11-1933; б) установить 2 мотора М-34 на торпедном катере к 1-12-1933 и закончить его испытание к 15-12-1933; в) смонтировать к 10-12-1933 на одном катере 2 мотора ГМ-34 </w:t>
      </w:r>
      <w:r w:rsidRPr="0044524F">
        <w:rPr>
          <w:rFonts w:ascii="Times New Roman" w:hAnsi="Times New Roman"/>
          <w:color w:val="000000" w:themeColor="text1"/>
          <w:sz w:val="16"/>
          <w:szCs w:val="16"/>
        </w:rPr>
        <w:lastRenderedPageBreak/>
        <w:t>без реверса и испытать его не позднее 20-12-1933. 6. Обязать начальника ГУАП Королева начать в кратчайший срок серийное производство реверсивных муфт для моторов ГМ-34 на заводе "Спартак" с началом выпуска не позднее 1-4-1934. 7. Возложить на ГУАП (Макаровского и Колосова) ответственность за переделку и приспособление моторов М-34 для надежной работы в условиях торпедного катера. 8. Обязать НКВМ, организовать приемный аппарат на заводе № 24 для приемки моторов, предназначенных для катеров, а также усилить приемный аппарат на заводе имени Марти в Ленинграде. 9. Определить всю программу выпуска моторов ГМ-34 для военно-морских сил РККА на 1934 год в 350 моторов. НКТП СССР совместно с НКВМ установить в декадный срок план выпуска всех моторов, в соответствии с программой строительства кораблей (15950).</w:t>
      </w:r>
    </w:p>
    <w:p w14:paraId="6321765D" w14:textId="77777777" w:rsidR="00CE750F" w:rsidRPr="0044524F" w:rsidRDefault="00CE750F" w:rsidP="009654CF">
      <w:pPr>
        <w:spacing w:after="0" w:line="240" w:lineRule="auto"/>
        <w:jc w:val="both"/>
        <w:rPr>
          <w:rFonts w:ascii="Times New Roman" w:hAnsi="Times New Roman"/>
          <w:color w:val="000000" w:themeColor="text1"/>
          <w:sz w:val="16"/>
          <w:szCs w:val="16"/>
        </w:rPr>
      </w:pPr>
    </w:p>
    <w:p w14:paraId="15C6B0EB" w14:textId="5E7D43F2" w:rsidR="00CE750F" w:rsidRPr="0044524F" w:rsidRDefault="00CE750F" w:rsidP="009654CF">
      <w:pPr>
        <w:pStyle w:val="rtejustify"/>
        <w:spacing w:before="0" w:after="0"/>
        <w:rPr>
          <w:color w:val="000000" w:themeColor="text1"/>
          <w:sz w:val="16"/>
          <w:szCs w:val="16"/>
        </w:rPr>
      </w:pPr>
      <w:r w:rsidRPr="0044524F">
        <w:rPr>
          <w:rStyle w:val="af0"/>
          <w:bCs/>
          <w:i w:val="0"/>
          <w:color w:val="000000" w:themeColor="text1"/>
          <w:sz w:val="16"/>
          <w:szCs w:val="16"/>
        </w:rPr>
        <w:t>15 ноября</w:t>
      </w:r>
      <w:r w:rsidRPr="0044524F">
        <w:rPr>
          <w:color w:val="000000" w:themeColor="text1"/>
          <w:sz w:val="16"/>
          <w:szCs w:val="16"/>
        </w:rPr>
        <w:t xml:space="preserve"> 1933. Протокол заседания Политбюро ЦК ВКП (б) № 149. </w:t>
      </w:r>
      <w:hyperlink r:id="rId367" w:anchor="showunit&amp;id=88295" w:history="1">
        <w:r w:rsidRPr="0044524F">
          <w:rPr>
            <w:rStyle w:val="a5"/>
            <w:color w:val="000000" w:themeColor="text1"/>
            <w:sz w:val="16"/>
            <w:szCs w:val="16"/>
          </w:rPr>
          <w:t>5. О Магнитогорском заводе</w:t>
        </w:r>
      </w:hyperlink>
      <w:r w:rsidRPr="0044524F">
        <w:rPr>
          <w:color w:val="000000" w:themeColor="text1"/>
          <w:sz w:val="16"/>
          <w:szCs w:val="16"/>
        </w:rPr>
        <w:t xml:space="preserve"> (Звенягин, Орджоникидзе, Гуревич) (ПБ от 15 ноября 1933 г.). Решено: Передать проект постановления о Магнитогорском металлургическом комбинате на окончательное редактирование комиссии в составе Рудзутака, Завенягина, Межлаука В., Гуревича, Комарова и Постникова. Созыв комиссии поручен Рудзутаку. </w:t>
      </w:r>
      <w:hyperlink r:id="rId368" w:anchor="showunit&amp;id=88280" w:history="1">
        <w:r w:rsidRPr="0044524F">
          <w:rPr>
            <w:rStyle w:val="a5"/>
            <w:color w:val="000000" w:themeColor="text1"/>
            <w:sz w:val="16"/>
            <w:szCs w:val="16"/>
          </w:rPr>
          <w:t>36/22. Доклад Гамарника (о постройке подлодок типа «Малютка»)</w:t>
        </w:r>
      </w:hyperlink>
      <w:r w:rsidRPr="0044524F">
        <w:rPr>
          <w:color w:val="000000" w:themeColor="text1"/>
          <w:sz w:val="16"/>
          <w:szCs w:val="16"/>
        </w:rPr>
        <w:t xml:space="preserve"> (ПБ от 5 ноября 1933 г.). — ОП. Решено: 1. Утвердить разработанный комиссией Гамарника совместно с директорами заводов имени Марти и имени "61" график постройки и сдачи 20 подлодок типа “М” в 1933 году. 2. Произвести на всех подлодках типа “М” исправления конструктивных дефектов, выявленные на испытаниях. 3. Отправить 1</w:t>
      </w:r>
      <w:r w:rsidRPr="0044524F">
        <w:rPr>
          <w:color w:val="000000" w:themeColor="text1"/>
          <w:sz w:val="16"/>
          <w:szCs w:val="16"/>
        </w:rPr>
        <w:noBreakHyphen/>
        <w:t>12</w:t>
      </w:r>
      <w:r w:rsidRPr="0044524F">
        <w:rPr>
          <w:color w:val="000000" w:themeColor="text1"/>
          <w:sz w:val="16"/>
          <w:szCs w:val="16"/>
        </w:rPr>
        <w:noBreakHyphen/>
        <w:t>1933 на Дальний Восток первые три подлодки, 15</w:t>
      </w:r>
      <w:r w:rsidRPr="0044524F">
        <w:rPr>
          <w:color w:val="000000" w:themeColor="text1"/>
          <w:sz w:val="16"/>
          <w:szCs w:val="16"/>
        </w:rPr>
        <w:noBreakHyphen/>
        <w:t>12</w:t>
      </w:r>
      <w:r w:rsidRPr="0044524F">
        <w:rPr>
          <w:color w:val="000000" w:themeColor="text1"/>
          <w:sz w:val="16"/>
          <w:szCs w:val="16"/>
        </w:rPr>
        <w:noBreakHyphen/>
        <w:t>1933 — следующие три подлодки, с установкой на них аппаратуры, гарантирующей подлодку от всплытия при выстреле одной торпеды. Произвести оборудование этих шести подлодок аппаратурой, обеспечивающей подлодку от всплытия при двухторпедном залпе, на Дальнем Востоке. 4. Предложить Орджоникидзе, в виду неудовлетворительного состояния заводов имени Марти и имени “61”, в 2</w:t>
      </w:r>
      <w:r w:rsidRPr="0044524F">
        <w:rPr>
          <w:color w:val="000000" w:themeColor="text1"/>
          <w:sz w:val="16"/>
          <w:szCs w:val="16"/>
        </w:rPr>
        <w:noBreakHyphen/>
        <w:t xml:space="preserve">недельный срок разработать и доложить ЦК ВКП(б) мероприятия, обеспечивающие выполнение программы военно-морского судостроения в 1934 году на этих заводах. 5. Назначить на завод имени Марти ответственного секретаря парторга ЦК; предложить Ежову, представить кандидата на эту должность. </w:t>
      </w:r>
      <w:hyperlink r:id="rId369" w:anchor="showunit&amp;id=88285" w:history="1">
        <w:r w:rsidRPr="0044524F">
          <w:rPr>
            <w:rStyle w:val="a5"/>
            <w:color w:val="000000" w:themeColor="text1"/>
            <w:sz w:val="16"/>
            <w:szCs w:val="16"/>
          </w:rPr>
          <w:t>40/26. Вопросы КО</w:t>
        </w:r>
      </w:hyperlink>
      <w:r w:rsidRPr="0044524F">
        <w:rPr>
          <w:color w:val="000000" w:themeColor="text1"/>
          <w:sz w:val="16"/>
          <w:szCs w:val="16"/>
        </w:rPr>
        <w:t xml:space="preserve"> (ПБ от 5 ноября 1933 г.). — ОП. Решено: Утвердить постановление СТО: 1) о выдаче из Комитета резервов промышленности для производства тяжелых бронебойных снарядов 10 тонн импортного ферромарганца и 20 тонн огневого никеля. 2) об импорте для НКТП в 1933 году, за счет контингентов НКТП, для закупки огнеупорных стаканов и пробок для ковшей кислых мартеновских печей для разливки снарядной стали. </w:t>
      </w:r>
      <w:hyperlink r:id="rId370" w:anchor="showunit&amp;id=88287" w:history="1">
        <w:r w:rsidRPr="0044524F">
          <w:rPr>
            <w:rStyle w:val="a5"/>
            <w:color w:val="000000" w:themeColor="text1"/>
            <w:sz w:val="16"/>
            <w:szCs w:val="16"/>
          </w:rPr>
          <w:t>42/28. О награждении работников авиационной промышленности НКТП</w:t>
        </w:r>
      </w:hyperlink>
      <w:r w:rsidRPr="0044524F">
        <w:rPr>
          <w:color w:val="000000" w:themeColor="text1"/>
          <w:sz w:val="16"/>
          <w:szCs w:val="16"/>
        </w:rPr>
        <w:t xml:space="preserve"> (ПБ от 6 ноября 1933 г.). Решено: Утвердить список работников системы НКТП к наградам за выдающуюся работу по конструированию и выпуску автоматов для авиационной промышленности. </w:t>
      </w:r>
      <w:hyperlink r:id="rId371" w:anchor="showunit&amp;id=88297" w:history="1">
        <w:r w:rsidRPr="0044524F">
          <w:rPr>
            <w:rStyle w:val="a5"/>
            <w:color w:val="000000" w:themeColor="text1"/>
            <w:sz w:val="16"/>
            <w:szCs w:val="16"/>
          </w:rPr>
          <w:t>51/37. Вопрос НКТП и НКВМ (о постройке торпедных катеров для ДВ)</w:t>
        </w:r>
      </w:hyperlink>
      <w:r w:rsidRPr="0044524F">
        <w:rPr>
          <w:color w:val="000000" w:themeColor="text1"/>
          <w:sz w:val="16"/>
          <w:szCs w:val="16"/>
        </w:rPr>
        <w:t xml:space="preserve"> (ПБ от 9 ноября 1933 г.). — ОП. Решено: 1. Обязать НКТП СССР, под личную ответственность Орджоникидзе, построить и перебросить на Дальний Восток к 1</w:t>
      </w:r>
      <w:r w:rsidRPr="0044524F">
        <w:rPr>
          <w:color w:val="000000" w:themeColor="text1"/>
          <w:sz w:val="16"/>
          <w:szCs w:val="16"/>
        </w:rPr>
        <w:noBreakHyphen/>
        <w:t>5</w:t>
      </w:r>
      <w:r w:rsidRPr="0044524F">
        <w:rPr>
          <w:color w:val="000000" w:themeColor="text1"/>
          <w:sz w:val="16"/>
          <w:szCs w:val="16"/>
        </w:rPr>
        <w:noBreakHyphen/>
        <w:t>1934 100 торпедных катеров типа Г</w:t>
      </w:r>
      <w:r w:rsidRPr="0044524F">
        <w:rPr>
          <w:color w:val="000000" w:themeColor="text1"/>
          <w:sz w:val="16"/>
          <w:szCs w:val="16"/>
        </w:rPr>
        <w:noBreakHyphen/>
        <w:t>5. 2. Установить календарный план сдачи торпедных катеров заводом имени Марти (ГУСП) на ноябрь-декабрь 1933 г. и январь-апрель 1934 г. 3. Обязать ГУАП, исходя из срока сдачи торпедных катеров, под личную ответственность Королева и директора завода № 24 Марьямова, подать на завод имени Марти 200 моторов в соответствии с установленными датами. 4. Поставить на 20 катеров (в виде временной меры для ускорения введения катеров в строй) авиационные моторы М</w:t>
      </w:r>
      <w:r w:rsidRPr="0044524F">
        <w:rPr>
          <w:color w:val="000000" w:themeColor="text1"/>
          <w:sz w:val="16"/>
          <w:szCs w:val="16"/>
        </w:rPr>
        <w:noBreakHyphen/>
        <w:t>34, на все остальные торпедные катера — моторы ГМ</w:t>
      </w:r>
      <w:r w:rsidRPr="0044524F">
        <w:rPr>
          <w:color w:val="000000" w:themeColor="text1"/>
          <w:sz w:val="16"/>
          <w:szCs w:val="16"/>
        </w:rPr>
        <w:noBreakHyphen/>
        <w:t>34 без реверсов; заменить после изготовления моторов ГМ</w:t>
      </w:r>
      <w:r w:rsidRPr="0044524F">
        <w:rPr>
          <w:color w:val="000000" w:themeColor="text1"/>
          <w:sz w:val="16"/>
          <w:szCs w:val="16"/>
        </w:rPr>
        <w:noBreakHyphen/>
        <w:t>34 с реверсами 40 моторов без реверсов, поставленные на первых 20 катерах; установить реверсы на остальных 160 моторах ГМ</w:t>
      </w:r>
      <w:r w:rsidRPr="0044524F">
        <w:rPr>
          <w:color w:val="000000" w:themeColor="text1"/>
          <w:sz w:val="16"/>
          <w:szCs w:val="16"/>
        </w:rPr>
        <w:noBreakHyphen/>
        <w:t>34. 5. Обязать ГУСП (Кондратьева) и НКВМор (Орлова): а) закончить испытания катера с мотором ГМ</w:t>
      </w:r>
      <w:r w:rsidRPr="0044524F">
        <w:rPr>
          <w:color w:val="000000" w:themeColor="text1"/>
          <w:sz w:val="16"/>
          <w:szCs w:val="16"/>
        </w:rPr>
        <w:noBreakHyphen/>
        <w:t>34 с реверсом к 15</w:t>
      </w:r>
      <w:r w:rsidRPr="0044524F">
        <w:rPr>
          <w:color w:val="000000" w:themeColor="text1"/>
          <w:sz w:val="16"/>
          <w:szCs w:val="16"/>
        </w:rPr>
        <w:noBreakHyphen/>
        <w:t>11</w:t>
      </w:r>
      <w:r w:rsidRPr="0044524F">
        <w:rPr>
          <w:color w:val="000000" w:themeColor="text1"/>
          <w:sz w:val="16"/>
          <w:szCs w:val="16"/>
        </w:rPr>
        <w:noBreakHyphen/>
        <w:t>1933; б) установить 2 мотора М</w:t>
      </w:r>
      <w:r w:rsidRPr="0044524F">
        <w:rPr>
          <w:color w:val="000000" w:themeColor="text1"/>
          <w:sz w:val="16"/>
          <w:szCs w:val="16"/>
        </w:rPr>
        <w:noBreakHyphen/>
        <w:t>34 на торпедном катере к 1</w:t>
      </w:r>
      <w:r w:rsidRPr="0044524F">
        <w:rPr>
          <w:color w:val="000000" w:themeColor="text1"/>
          <w:sz w:val="16"/>
          <w:szCs w:val="16"/>
        </w:rPr>
        <w:noBreakHyphen/>
        <w:t>12</w:t>
      </w:r>
      <w:r w:rsidRPr="0044524F">
        <w:rPr>
          <w:color w:val="000000" w:themeColor="text1"/>
          <w:sz w:val="16"/>
          <w:szCs w:val="16"/>
        </w:rPr>
        <w:noBreakHyphen/>
        <w:t>1933 и закончить его испытание к 15</w:t>
      </w:r>
      <w:r w:rsidRPr="0044524F">
        <w:rPr>
          <w:color w:val="000000" w:themeColor="text1"/>
          <w:sz w:val="16"/>
          <w:szCs w:val="16"/>
        </w:rPr>
        <w:noBreakHyphen/>
        <w:t>12</w:t>
      </w:r>
      <w:r w:rsidRPr="0044524F">
        <w:rPr>
          <w:color w:val="000000" w:themeColor="text1"/>
          <w:sz w:val="16"/>
          <w:szCs w:val="16"/>
        </w:rPr>
        <w:noBreakHyphen/>
        <w:t>1933; в) смонтировать к 10</w:t>
      </w:r>
      <w:r w:rsidRPr="0044524F">
        <w:rPr>
          <w:color w:val="000000" w:themeColor="text1"/>
          <w:sz w:val="16"/>
          <w:szCs w:val="16"/>
        </w:rPr>
        <w:noBreakHyphen/>
        <w:t>12</w:t>
      </w:r>
      <w:r w:rsidRPr="0044524F">
        <w:rPr>
          <w:color w:val="000000" w:themeColor="text1"/>
          <w:sz w:val="16"/>
          <w:szCs w:val="16"/>
        </w:rPr>
        <w:noBreakHyphen/>
        <w:t>1933 на одном катере 2 мотора ГМ</w:t>
      </w:r>
      <w:r w:rsidRPr="0044524F">
        <w:rPr>
          <w:color w:val="000000" w:themeColor="text1"/>
          <w:sz w:val="16"/>
          <w:szCs w:val="16"/>
        </w:rPr>
        <w:noBreakHyphen/>
        <w:t>34 без реверса и испытать его не позднее 20</w:t>
      </w:r>
      <w:r w:rsidRPr="0044524F">
        <w:rPr>
          <w:color w:val="000000" w:themeColor="text1"/>
          <w:sz w:val="16"/>
          <w:szCs w:val="16"/>
        </w:rPr>
        <w:noBreakHyphen/>
        <w:t>12</w:t>
      </w:r>
      <w:r w:rsidRPr="0044524F">
        <w:rPr>
          <w:color w:val="000000" w:themeColor="text1"/>
          <w:sz w:val="16"/>
          <w:szCs w:val="16"/>
        </w:rPr>
        <w:noBreakHyphen/>
        <w:t>1933. 6. Обязать начальника ГУАП Королева начать в кратчайший срок серийное производство реверсивных муфт для моторов ГМ</w:t>
      </w:r>
      <w:r w:rsidRPr="0044524F">
        <w:rPr>
          <w:color w:val="000000" w:themeColor="text1"/>
          <w:sz w:val="16"/>
          <w:szCs w:val="16"/>
        </w:rPr>
        <w:noBreakHyphen/>
        <w:t>34 на заводе “Спартак” с началом выпуска не позднее 1</w:t>
      </w:r>
      <w:r w:rsidRPr="0044524F">
        <w:rPr>
          <w:color w:val="000000" w:themeColor="text1"/>
          <w:sz w:val="16"/>
          <w:szCs w:val="16"/>
        </w:rPr>
        <w:noBreakHyphen/>
        <w:t>4</w:t>
      </w:r>
      <w:r w:rsidRPr="0044524F">
        <w:rPr>
          <w:color w:val="000000" w:themeColor="text1"/>
          <w:sz w:val="16"/>
          <w:szCs w:val="16"/>
        </w:rPr>
        <w:noBreakHyphen/>
        <w:t>1934. 7. Возложить на ГУАП (Макаровского и Колосова) ответственность за переделку и приспособление моторов М</w:t>
      </w:r>
      <w:r w:rsidRPr="0044524F">
        <w:rPr>
          <w:color w:val="000000" w:themeColor="text1"/>
          <w:sz w:val="16"/>
          <w:szCs w:val="16"/>
        </w:rPr>
        <w:noBreakHyphen/>
        <w:t>34 для надежной работы в условиях торпедного катера. 8. Обязать НКВМ, организовать приемный аппарат на заводе № 24 для приемки моторов, предназначенных для катеров, а также усилить приемный аппарат на заводе имени Марти в Ленинграде. 9. Определить всю программу выпуска моторов ГМ</w:t>
      </w:r>
      <w:r w:rsidRPr="0044524F">
        <w:rPr>
          <w:color w:val="000000" w:themeColor="text1"/>
          <w:sz w:val="16"/>
          <w:szCs w:val="16"/>
        </w:rPr>
        <w:noBreakHyphen/>
        <w:t xml:space="preserve">34 для военно-морских сил РККА на 1934 год в 350 моторов. НКТП СССР совместно с НКВМ установить в декадный срок план выпуска всех моторов, в соответствии с программой строительства кораблей. </w:t>
      </w:r>
      <w:hyperlink r:id="rId372" w:anchor="showunit&amp;id=88309" w:history="1">
        <w:r w:rsidRPr="0044524F">
          <w:rPr>
            <w:rStyle w:val="a5"/>
            <w:color w:val="000000" w:themeColor="text1"/>
            <w:sz w:val="16"/>
            <w:szCs w:val="16"/>
          </w:rPr>
          <w:t>62/47. О морском сотрудничестве с Францией</w:t>
        </w:r>
      </w:hyperlink>
      <w:r w:rsidRPr="0044524F">
        <w:rPr>
          <w:color w:val="000000" w:themeColor="text1"/>
          <w:sz w:val="16"/>
          <w:szCs w:val="16"/>
        </w:rPr>
        <w:t xml:space="preserve"> (ПБ от 11 ноября 1933 г.). — ОП. Решено: Сообщить французскому послу о нашем согласии принять у себя на предложенных им условиях французского морского офицера и сопровождающего его инженера-кораблестроителя. Информировать французского посла о нашей готовности к переговорам с французским правительством о сроке и порядке поездки во Францию советской морской комиссии. </w:t>
      </w:r>
      <w:hyperlink r:id="rId373" w:anchor="showunit&amp;id=88324" w:history="1">
        <w:r w:rsidRPr="0044524F">
          <w:rPr>
            <w:rStyle w:val="a5"/>
            <w:color w:val="000000" w:themeColor="text1"/>
            <w:sz w:val="16"/>
            <w:szCs w:val="16"/>
          </w:rPr>
          <w:t>76/61. О строительстве Хабаровского нефтеперегонного завода</w:t>
        </w:r>
      </w:hyperlink>
      <w:r w:rsidRPr="0044524F">
        <w:rPr>
          <w:color w:val="000000" w:themeColor="text1"/>
          <w:sz w:val="16"/>
          <w:szCs w:val="16"/>
        </w:rPr>
        <w:t xml:space="preserve"> (ПБ от 1 ноября 1933 г., пр. № 148, п. 17), (ПБ от 13</w:t>
      </w:r>
      <w:r w:rsidR="0088747B">
        <w:rPr>
          <w:color w:val="000000" w:themeColor="text1"/>
          <w:sz w:val="16"/>
          <w:szCs w:val="16"/>
        </w:rPr>
        <w:t xml:space="preserve"> </w:t>
      </w:r>
      <w:r w:rsidRPr="0044524F">
        <w:rPr>
          <w:color w:val="000000" w:themeColor="text1"/>
          <w:sz w:val="16"/>
          <w:szCs w:val="16"/>
        </w:rPr>
        <w:t>ноября 1933 г.). — ОП. Решено: а) Принять к сведению заявление НКТП Орджоникидзе: 1. О выполнении работы по расширению нефтепровода Оха — Москальво на острове Сахалин и об обеспечении перекачки 160 тысячи тонн нефти в навигацию 1934 года. О включении в промфинплан Сахалиннефти средств с расчетом дальнейшего расширения нефтепровода для перекачки 400 тысяч тонн нефти в 1935 году. 2. О полном выделении в 4 квартале 1933 года фонда на металл для 12 резервуаров емкостью 10 тысяч тонн. О приступлении к заготовке резервуаров. 3. О включении в план капитального строительства треста “Нефтезаводы” расширение Хабаровского нефтеперегонного завода до 400 тысяч тонн со сроком окончания строительства к началу навигации 1935 года. б) Обязать Наркомвод (Янсона): 1. Построить к началу навигации 1934 года нефтяную пристань в Хабаровске и причалы в Москальво и в Николаевске-на-Амуре, обеспечивающие налив и слив нефти в 160 тысяч тонн в 1934 году и 400 тысяч тонн в 1935 году. 2. Обеспечить окончание сборки в Благовещенске к 1</w:t>
      </w:r>
      <w:r w:rsidRPr="0044524F">
        <w:rPr>
          <w:color w:val="000000" w:themeColor="text1"/>
          <w:sz w:val="16"/>
          <w:szCs w:val="16"/>
        </w:rPr>
        <w:noBreakHyphen/>
        <w:t>4</w:t>
      </w:r>
      <w:r w:rsidRPr="0044524F">
        <w:rPr>
          <w:color w:val="000000" w:themeColor="text1"/>
          <w:sz w:val="16"/>
          <w:szCs w:val="16"/>
        </w:rPr>
        <w:noBreakHyphen/>
        <w:t>1934 двух рейдовых барж №№ 2 и 3 по 3500 тонн и четырех речных барж по 4000 тонн каждая. 3. Провести организованную посылку на Благовещенскую судоверфь 350 котельщиков немедленно и 250 котельщиков к 1</w:t>
      </w:r>
      <w:r w:rsidRPr="0044524F">
        <w:rPr>
          <w:color w:val="000000" w:themeColor="text1"/>
          <w:sz w:val="16"/>
          <w:szCs w:val="16"/>
        </w:rPr>
        <w:noBreakHyphen/>
        <w:t>1</w:t>
      </w:r>
      <w:r w:rsidRPr="0044524F">
        <w:rPr>
          <w:color w:val="000000" w:themeColor="text1"/>
          <w:sz w:val="16"/>
          <w:szCs w:val="16"/>
        </w:rPr>
        <w:noBreakHyphen/>
        <w:t xml:space="preserve">1934. 4. Изыскать и направить в ДВК морским путем 5 мощных рейдовых буксиров с осадкой не больше 3 метров для перевозки в навигацию 1934 года 160 тысячи тонн нефти. 5. Обеспечить поступление в Благовещенск на позднее июня 1934 года в разобранном виде 5 рейдовых буксиров по 600 сил каждый, а также 4 рейдовых барж по 3500 тонн, 1 речной баржи в 4000 тонн и 3 речных барж по 8000 тонн каждая для обеспечений перевозок нефти в 1935 году. 6. Обеспечить перевозку разобранных в Батуме четырех резервуаров в Николаевск-на-Амуре к маю 1934 года. в) Обязать Наркомснаб (Микояна) включить на 4 квартал 1933 года и на 1934 год Хабаровское строительство на снабжение в список предприятий, получающих мясо и жиры для индивидуального и общественного питания. г) Обязать НКПС до конца строительства Хабаровского завода обеспечить подвижным составом переброску всех необходимых строительству грузов по железным дорогам. </w:t>
      </w:r>
      <w:hyperlink r:id="rId374" w:anchor="showunit&amp;id=88325" w:history="1">
        <w:r w:rsidRPr="0044524F">
          <w:rPr>
            <w:rStyle w:val="a5"/>
            <w:color w:val="000000" w:themeColor="text1"/>
            <w:sz w:val="16"/>
            <w:szCs w:val="16"/>
          </w:rPr>
          <w:t>77/62. Вопрос КО</w:t>
        </w:r>
      </w:hyperlink>
      <w:r w:rsidRPr="0044524F">
        <w:rPr>
          <w:color w:val="000000" w:themeColor="text1"/>
          <w:sz w:val="16"/>
          <w:szCs w:val="16"/>
        </w:rPr>
        <w:t xml:space="preserve"> (ПБ от 13 ноября 1933 г.). — ОП. Решено: Утвердить постановление СТО о выделении НКТП в ноябре 1933 года из резервного фонда СНК трех миллионов рублей для проведения подготовительных работ по строительству бензоемкостей на Дальнем Востоке и в Восточной Сибири. </w:t>
      </w:r>
      <w:hyperlink r:id="rId375" w:anchor="showunit&amp;id=88326" w:history="1">
        <w:r w:rsidRPr="0044524F">
          <w:rPr>
            <w:rStyle w:val="a5"/>
            <w:color w:val="000000" w:themeColor="text1"/>
            <w:sz w:val="16"/>
            <w:szCs w:val="16"/>
          </w:rPr>
          <w:t>78/63. Об оборудовании для Верхнеудинского завода</w:t>
        </w:r>
      </w:hyperlink>
      <w:r w:rsidRPr="0044524F">
        <w:rPr>
          <w:color w:val="000000" w:themeColor="text1"/>
          <w:sz w:val="16"/>
          <w:szCs w:val="16"/>
        </w:rPr>
        <w:t xml:space="preserve"> (ПБ от 13 ноября 1933 г.). — ОП. Решено: Поручить Наркомвнешторгу закупить в 4 квартале 1933 года оборудование для Верхнеудинского паровозовагоноремонтного завода на сумму 480 тысяч рублей с отнесением этой суммы за счет импортных контингентов НКПС в 1934 году. </w:t>
      </w:r>
      <w:hyperlink r:id="rId376" w:anchor="showunit&amp;id=88338" w:history="1">
        <w:r w:rsidRPr="0044524F">
          <w:rPr>
            <w:rStyle w:val="a5"/>
            <w:color w:val="000000" w:themeColor="text1"/>
            <w:sz w:val="16"/>
            <w:szCs w:val="16"/>
          </w:rPr>
          <w:t>89/75. О развитии радиопромышленности и радиофикации во II пятилетке</w:t>
        </w:r>
      </w:hyperlink>
      <w:r w:rsidRPr="0044524F">
        <w:rPr>
          <w:color w:val="000000" w:themeColor="text1"/>
          <w:sz w:val="16"/>
          <w:szCs w:val="16"/>
        </w:rPr>
        <w:t xml:space="preserve"> (ПБ от 14 ноября 1933 г.). Решено: Рассмотреть вопрос при обсуждении 2 пятилетнего плана. </w:t>
      </w:r>
      <w:hyperlink r:id="rId377" w:anchor="showunit&amp;id=88247" w:history="1">
        <w:r w:rsidRPr="0044524F">
          <w:rPr>
            <w:rStyle w:val="a5"/>
            <w:color w:val="000000" w:themeColor="text1"/>
            <w:sz w:val="16"/>
            <w:szCs w:val="16"/>
          </w:rPr>
          <w:t>102/88. О награждении организаторов и строителей завода «Шарикоподшипник», группы азотных заводов и Хибинских апатитов.</w:t>
        </w:r>
      </w:hyperlink>
      <w:r w:rsidRPr="0044524F">
        <w:rPr>
          <w:color w:val="000000" w:themeColor="text1"/>
          <w:sz w:val="16"/>
          <w:szCs w:val="16"/>
        </w:rPr>
        <w:t xml:space="preserve"> — ОП. Решено: Поручить комиссии по наградам рассмотреть предложения о награждении орденами организаторов и строителей заводов: 1) “Шарикоподшипник”, 2) Березняки, 3) Чернореченский, 4) Бобрики, 5) Горловский, 6) Хибинские апатиты. Включить в список награждаемых по всем указанным заводам не более 60 человек. </w:t>
      </w:r>
      <w:hyperlink r:id="rId378" w:anchor="showunit&amp;id=88251" w:history="1">
        <w:r w:rsidRPr="0044524F">
          <w:rPr>
            <w:rStyle w:val="a5"/>
            <w:color w:val="000000" w:themeColor="text1"/>
            <w:sz w:val="16"/>
            <w:szCs w:val="16"/>
          </w:rPr>
          <w:t>106/120. Предложения Сталина и Гамарника (об усилении обороны морского побережья на Дальнем Востоке)</w:t>
        </w:r>
      </w:hyperlink>
      <w:r w:rsidRPr="0044524F">
        <w:rPr>
          <w:color w:val="000000" w:themeColor="text1"/>
          <w:sz w:val="16"/>
          <w:szCs w:val="16"/>
        </w:rPr>
        <w:t xml:space="preserve"> (ПБ от 28 октября 1933 г., пр. № 149, п. 120). — ОП. Решено: Принять предложения Сталина и Гамарника: а) Считать необходимым провести для усиления обороны нашего морского побережья следующие меры: 1) Построить и перебросить к 1</w:t>
      </w:r>
      <w:r w:rsidRPr="0044524F">
        <w:rPr>
          <w:color w:val="000000" w:themeColor="text1"/>
          <w:sz w:val="16"/>
          <w:szCs w:val="16"/>
        </w:rPr>
        <w:noBreakHyphen/>
        <w:t>5</w:t>
      </w:r>
      <w:r w:rsidRPr="0044524F">
        <w:rPr>
          <w:color w:val="000000" w:themeColor="text1"/>
          <w:sz w:val="16"/>
          <w:szCs w:val="16"/>
        </w:rPr>
        <w:noBreakHyphen/>
        <w:t>1934 на Дальний Восток 100 торпедных катеров. Импортировать при необходимости моторы для этих катеров. Добиваться при постройке торпедных катеров их высокой мореходности, желательно 7</w:t>
      </w:r>
      <w:r w:rsidRPr="0044524F">
        <w:rPr>
          <w:color w:val="000000" w:themeColor="text1"/>
          <w:sz w:val="16"/>
          <w:szCs w:val="16"/>
        </w:rPr>
        <w:noBreakHyphen/>
        <w:t>8 баллов. Привлечь в случае необходимости иностранную техпомощь. 2) Отправить в Николаев комиссию в составе Гамарника, Орлова, Муклевича и Павлуновского. Рекомендовать комиссии добиваться ликвидации недостатков в “Малютке” и обеспечения сдачи заводом в текущем году еще 20 подлодок типа “Малютка”. б) Поручить Орджоникидзе и Гамарнику в 2</w:t>
      </w:r>
      <w:r w:rsidRPr="0044524F">
        <w:rPr>
          <w:color w:val="000000" w:themeColor="text1"/>
          <w:sz w:val="16"/>
          <w:szCs w:val="16"/>
        </w:rPr>
        <w:noBreakHyphen/>
        <w:t>дневный срок представить проект конкретных мероприятий по осуществлению пункта 1 (15462).</w:t>
      </w:r>
    </w:p>
    <w:p w14:paraId="027DE6C4" w14:textId="77777777" w:rsidR="00CE750F" w:rsidRPr="0044524F" w:rsidRDefault="00CE750F" w:rsidP="009654CF">
      <w:pPr>
        <w:pStyle w:val="rtejustify"/>
        <w:spacing w:before="0" w:after="0"/>
        <w:rPr>
          <w:color w:val="000000" w:themeColor="text1"/>
          <w:sz w:val="16"/>
          <w:szCs w:val="16"/>
        </w:rPr>
      </w:pPr>
    </w:p>
    <w:p w14:paraId="330A93F1" w14:textId="77777777" w:rsidR="00CE750F" w:rsidRPr="0044524F" w:rsidRDefault="00CE750F"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15 ноября 1933 г. Протокол ПБ № 149 п.36/22: Доклад Гамарника о постройке подлодок типа "Малютка" – ОП. Решено: 1. Утвердить разработанный комиссией Гамарника совместно с директорами заводов имени Марти и имени "61" график постройки и сдачи 20 подлодок типа "М" в 1933 году. 2. Произвести на всех подлодках типа "М" исправления конструктивных дефектов, выявленные на испытаниях. 3. Отправить 1-12-1933 на Дальний Восток первые три подлодки, 15-12-1933 - следующие три подлодки, с установкой на них аппаратуры, гарантирующей подлодку от всплытия при выстреле одной торпеды. Произвести оборудование этих шести подлодок аппаратурой, обеспечивающей подлодку от всплытия при двухторпедном залпе, на Дальнем Востоке. 4. Предложить Орджоникидзе, в виду неудовлетворительного состояния заводов имени Марти и имени "61", в 2-недельный срок разработать и доложить ЦК ВКП(б) мероприятия, обеспечивающие выполнение программы военно-морского судостроения в 1934 году на этих заводах. 5. Назначить на завод имени Марти ответственного секретаря парторга ЦК; предложить Ежову, представить кандидата на эту должность (15884).</w:t>
      </w:r>
    </w:p>
    <w:p w14:paraId="37DA5ADF" w14:textId="77777777" w:rsidR="00CE750F" w:rsidRPr="0044524F" w:rsidRDefault="00CE750F" w:rsidP="009654CF">
      <w:pPr>
        <w:spacing w:after="0" w:line="240" w:lineRule="auto"/>
        <w:jc w:val="both"/>
        <w:rPr>
          <w:rFonts w:ascii="Times New Roman" w:hAnsi="Times New Roman"/>
          <w:iCs/>
          <w:color w:val="000000" w:themeColor="text1"/>
          <w:sz w:val="16"/>
          <w:szCs w:val="16"/>
        </w:rPr>
      </w:pPr>
    </w:p>
    <w:p w14:paraId="4EDCF115" w14:textId="77777777" w:rsidR="00CE750F" w:rsidRPr="0044524F" w:rsidRDefault="00CE750F"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15 ноября 1933 г. Протокол ПБ № 149 п.106/120: Предложения Сталина и Гамарника – ОП. Решено: Принять предложения Сталина и Гамарника: а) Считать необходимым провести для усиления обороны нашего морского побережья следующие меры: 1) Построить и перебросить к 1-5-1934 на Дальний Восток 100 торпедных катеров. Импортировать при необходимости моторы для этих катеров. Добиваться при постройке торпедных катеров их высокой мореходности, желательно 7-8 баллов. Привлечь в случае необходимости иностранную техпомощь. 2) Отправить в Николаев комиссию в составе Гамарника, Орлова, Муклевича и Павлуновского. Рекомендовать комиссии добиваться ликвидации недостатков в "Малютке" и обеспечения сдачи заводом в текущем году еще 20 подлодок типа "Малютка". б) Поручить Орджоникидзе и Гамарнику в 2-дневный срок представить проект конкретных мероприятий по осуществлению пункта 1 (15885).</w:t>
      </w:r>
    </w:p>
    <w:p w14:paraId="0D1984D4" w14:textId="77777777" w:rsidR="00CE750F" w:rsidRPr="0044524F" w:rsidRDefault="00CE750F" w:rsidP="009654CF">
      <w:pPr>
        <w:spacing w:after="0" w:line="240" w:lineRule="auto"/>
        <w:jc w:val="both"/>
        <w:rPr>
          <w:rFonts w:ascii="Times New Roman" w:hAnsi="Times New Roman"/>
          <w:iCs/>
          <w:color w:val="000000" w:themeColor="text1"/>
          <w:sz w:val="16"/>
          <w:szCs w:val="16"/>
        </w:rPr>
      </w:pPr>
    </w:p>
    <w:p w14:paraId="27097675"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w:t>
      </w:r>
    </w:p>
    <w:p w14:paraId="31123E3F"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Протокол № 149 заседания Политбюро ЦК ВКП(б) от 15 ноября 1933 года</w:t>
      </w:r>
    </w:p>
    <w:p w14:paraId="23EAC544"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15</w:t>
      </w:r>
      <w:r w:rsidRPr="0044524F">
        <w:rPr>
          <w:rFonts w:ascii="Times New Roman" w:hAnsi="Times New Roman"/>
          <w:color w:val="000000" w:themeColor="text1"/>
          <w:sz w:val="16"/>
          <w:szCs w:val="16"/>
        </w:rPr>
        <w:noBreakHyphen/>
        <w:t>го ноября 1933 года.</w:t>
      </w:r>
    </w:p>
    <w:p w14:paraId="009E7509"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51/37: О постройке 100 торпедных катеров для Дальнего Востока</w:t>
      </w:r>
    </w:p>
    <w:p w14:paraId="59FC77A4"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4586B036"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НКТП СССР, под личную ответственность т. Орджоникидзе, построить и перебросить на Дальний Восток к 1.V.1934 г. 100 торпедных катеров типа Г</w:t>
      </w:r>
      <w:r w:rsidRPr="0044524F">
        <w:rPr>
          <w:rFonts w:ascii="Times New Roman" w:hAnsi="Times New Roman"/>
          <w:color w:val="000000" w:themeColor="text1"/>
          <w:sz w:val="16"/>
          <w:szCs w:val="16"/>
        </w:rPr>
        <w:noBreakHyphen/>
        <w:t>5.</w:t>
      </w:r>
    </w:p>
    <w:p w14:paraId="5B22E08E"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Установить следующий календарный план сдачи торпедных катеров заводом им. Марти (ГУСП):</w:t>
      </w:r>
    </w:p>
    <w:p w14:paraId="640D98BA" w14:textId="15DAD876"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 катер.</w:t>
      </w:r>
    </w:p>
    <w:p w14:paraId="78A8FC0C" w14:textId="107A6CBE"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7 катер.</w:t>
      </w:r>
    </w:p>
    <w:p w14:paraId="05DA4875" w14:textId="62608D79"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январе 1934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18 катер.</w:t>
      </w:r>
    </w:p>
    <w:p w14:paraId="221A59CB" w14:textId="4A84860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1934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25 катер.</w:t>
      </w:r>
    </w:p>
    <w:p w14:paraId="67F37771" w14:textId="49DCDC72"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1934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30 катер.</w:t>
      </w:r>
    </w:p>
    <w:p w14:paraId="023A1AD2"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20 апреля 1934 г. 19 катер.</w:t>
      </w:r>
    </w:p>
    <w:p w14:paraId="0A23ABEE"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Исходя из срока сдачи торпедных катеров, обязать ГУАП, под личную ответственность тов. Королева и директора завода № 24 т. Марьямова, подать на завод им. Марти 200 моторов в следующие сроки:</w:t>
      </w:r>
    </w:p>
    <w:p w14:paraId="15878170"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мотора М-34 — 18 ноября 1933 г.</w:t>
      </w:r>
    </w:p>
    <w:p w14:paraId="0A7D6419"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моторов М-34 — к 1 декабря 1933 г.</w:t>
      </w:r>
    </w:p>
    <w:p w14:paraId="0775C314"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моторов М-34 — в декабре 1933 г. по 10 шт. в декаду.</w:t>
      </w:r>
    </w:p>
    <w:p w14:paraId="4BC983A2"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мотора ГМ-34 без реверса — к 1 декабря 1933 г.</w:t>
      </w:r>
    </w:p>
    <w:p w14:paraId="0CCBCA3D"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моторов ГМ-34 без реверса — в декабре 1933 г.</w:t>
      </w:r>
    </w:p>
    <w:p w14:paraId="011A4302"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моторов ГМ-34 без реверса — в январе 1934 г. по 20 шт. в декаду.</w:t>
      </w:r>
    </w:p>
    <w:p w14:paraId="678943B8"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моторов ГМ-34 без реверса — в феврале 1934 г. по 20 шт. в декаду.</w:t>
      </w:r>
    </w:p>
    <w:p w14:paraId="17F7D931"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моторов ГМ-34 без реверса — к 15 марта 1934 года.</w:t>
      </w:r>
    </w:p>
    <w:p w14:paraId="1A53E899"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виде временной меры, для ускорения введения катеров в строй, поставить на 20 катеров авиационные моторы М</w:t>
      </w:r>
      <w:r w:rsidRPr="0044524F">
        <w:rPr>
          <w:rFonts w:ascii="Times New Roman" w:hAnsi="Times New Roman"/>
          <w:color w:val="000000" w:themeColor="text1"/>
          <w:sz w:val="16"/>
          <w:szCs w:val="16"/>
        </w:rPr>
        <w:noBreakHyphen/>
        <w:t>34, а на все остальные торпедные катера — моторы ГМ</w:t>
      </w:r>
      <w:r w:rsidRPr="0044524F">
        <w:rPr>
          <w:rFonts w:ascii="Times New Roman" w:hAnsi="Times New Roman"/>
          <w:color w:val="000000" w:themeColor="text1"/>
          <w:sz w:val="16"/>
          <w:szCs w:val="16"/>
        </w:rPr>
        <w:noBreakHyphen/>
        <w:t>34 без реверсов с тем, чтобы после изготовления моторов ГМ</w:t>
      </w:r>
      <w:r w:rsidRPr="0044524F">
        <w:rPr>
          <w:rFonts w:ascii="Times New Roman" w:hAnsi="Times New Roman"/>
          <w:color w:val="000000" w:themeColor="text1"/>
          <w:sz w:val="16"/>
          <w:szCs w:val="16"/>
        </w:rPr>
        <w:noBreakHyphen/>
        <w:t>34 с реверсами заменить ими 40 моторов без реверсов поставленные на первых 20</w:t>
      </w:r>
      <w:r w:rsidRPr="0044524F">
        <w:rPr>
          <w:rFonts w:ascii="Times New Roman" w:hAnsi="Times New Roman"/>
          <w:color w:val="000000" w:themeColor="text1"/>
          <w:sz w:val="16"/>
          <w:szCs w:val="16"/>
        </w:rPr>
        <w:noBreakHyphen/>
        <w:t>ти катерах и установить реверсы на остальных 160 моторах ГМ</w:t>
      </w:r>
      <w:r w:rsidRPr="0044524F">
        <w:rPr>
          <w:rFonts w:ascii="Times New Roman" w:hAnsi="Times New Roman"/>
          <w:color w:val="000000" w:themeColor="text1"/>
          <w:sz w:val="16"/>
          <w:szCs w:val="16"/>
        </w:rPr>
        <w:noBreakHyphen/>
        <w:t>34.</w:t>
      </w:r>
    </w:p>
    <w:p w14:paraId="200EE71D"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ГУСП (т. Кондратьева) и НКВМор (т. Орлова):</w:t>
      </w:r>
    </w:p>
    <w:p w14:paraId="76C4F97B"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закончить испытания катера с мотором ГМ</w:t>
      </w:r>
      <w:r w:rsidRPr="0044524F">
        <w:rPr>
          <w:rFonts w:ascii="Times New Roman" w:hAnsi="Times New Roman"/>
          <w:color w:val="000000" w:themeColor="text1"/>
          <w:sz w:val="16"/>
          <w:szCs w:val="16"/>
        </w:rPr>
        <w:noBreakHyphen/>
        <w:t>34 с реверсом к 15 ноября 1933 года;</w:t>
      </w:r>
    </w:p>
    <w:p w14:paraId="7DA3DB7E"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установить 2 мотора М</w:t>
      </w:r>
      <w:r w:rsidRPr="0044524F">
        <w:rPr>
          <w:rFonts w:ascii="Times New Roman" w:hAnsi="Times New Roman"/>
          <w:color w:val="000000" w:themeColor="text1"/>
          <w:sz w:val="16"/>
          <w:szCs w:val="16"/>
        </w:rPr>
        <w:noBreakHyphen/>
        <w:t>34 на торпедном катере к 1 декабря 1933 г. и закончить его испытание к 15 декабря;</w:t>
      </w:r>
    </w:p>
    <w:p w14:paraId="12285BB3"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смонтировать к 10 декабря на одном катере 2 мотора ГМ</w:t>
      </w:r>
      <w:r w:rsidRPr="0044524F">
        <w:rPr>
          <w:rFonts w:ascii="Times New Roman" w:hAnsi="Times New Roman"/>
          <w:color w:val="000000" w:themeColor="text1"/>
          <w:sz w:val="16"/>
          <w:szCs w:val="16"/>
        </w:rPr>
        <w:noBreakHyphen/>
        <w:t>34 без реверса и испытать его не позднее 20 декабря.</w:t>
      </w:r>
    </w:p>
    <w:p w14:paraId="31529D4C"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Начальнику ГУАП тов. Королеву в кратчайший срок поставить серийное производство реверсивных муфт для моторов ГМ</w:t>
      </w:r>
      <w:r w:rsidRPr="0044524F">
        <w:rPr>
          <w:rFonts w:ascii="Times New Roman" w:hAnsi="Times New Roman"/>
          <w:color w:val="000000" w:themeColor="text1"/>
          <w:sz w:val="16"/>
          <w:szCs w:val="16"/>
        </w:rPr>
        <w:noBreakHyphen/>
        <w:t>34 на заводе “Спартак” с началом выпуска не позднее 1 апреля 1934 года.</w:t>
      </w:r>
    </w:p>
    <w:p w14:paraId="49693A16"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Возложить на ГУАП (т.т. Макаровского и Колосова) ответственность за переделку и приспособление моторов М</w:t>
      </w:r>
      <w:r w:rsidRPr="0044524F">
        <w:rPr>
          <w:rFonts w:ascii="Times New Roman" w:hAnsi="Times New Roman"/>
          <w:color w:val="000000" w:themeColor="text1"/>
          <w:sz w:val="16"/>
          <w:szCs w:val="16"/>
        </w:rPr>
        <w:noBreakHyphen/>
        <w:t>34 для надежной работы в условиях торпедного катера.</w:t>
      </w:r>
    </w:p>
    <w:p w14:paraId="64E630C9"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НКВМору организовать приемный аппарат на заводе № 24 для приемки моторов, предназначенных для катеров, а также усилить приемный аппарат на заводе им. Марти в Ленинграде.</w:t>
      </w:r>
    </w:p>
    <w:p w14:paraId="6DEA8434"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Определить всю программу выпуска моторов ГМ</w:t>
      </w:r>
      <w:r w:rsidRPr="0044524F">
        <w:rPr>
          <w:rFonts w:ascii="Times New Roman" w:hAnsi="Times New Roman"/>
          <w:color w:val="000000" w:themeColor="text1"/>
          <w:sz w:val="16"/>
          <w:szCs w:val="16"/>
        </w:rPr>
        <w:noBreakHyphen/>
        <w:t>34 для Военно-Морских Сил РККА на 1934 год в 350 моторов.</w:t>
      </w:r>
    </w:p>
    <w:p w14:paraId="58DEC263"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 СССР совместно с НКВМором в декадный срок установить план выпуска всех моторов, в соответствии с программой строительства кораблей.</w:t>
      </w:r>
    </w:p>
    <w:p w14:paraId="74D447C6"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0ED261C8"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Молотову (К. О.), Орджоникидзе, Гамарнику.</w:t>
      </w:r>
    </w:p>
    <w:p w14:paraId="37FDEA08"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(18146).</w:t>
      </w:r>
    </w:p>
    <w:p w14:paraId="23080D79" w14:textId="77777777" w:rsidR="00B81B17" w:rsidRPr="0044524F" w:rsidRDefault="00B81B17" w:rsidP="009654CF">
      <w:pPr>
        <w:spacing w:after="0" w:line="240" w:lineRule="auto"/>
        <w:jc w:val="both"/>
        <w:rPr>
          <w:rFonts w:ascii="Times New Roman" w:hAnsi="Times New Roman"/>
          <w:color w:val="000000" w:themeColor="text1"/>
          <w:sz w:val="16"/>
          <w:szCs w:val="16"/>
        </w:rPr>
      </w:pPr>
    </w:p>
    <w:p w14:paraId="06F9A943"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2DF1BB3"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343669E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в Москве была открыта первая троллейбусная линия (3481).</w:t>
      </w:r>
    </w:p>
    <w:p w14:paraId="2688E45C"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CAD6E6B" w14:textId="77777777" w:rsidR="00CE750F" w:rsidRPr="0044524F" w:rsidRDefault="00CE750F"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15 ноября </w:t>
      </w:r>
      <w:r w:rsidRPr="0044524F">
        <w:rPr>
          <w:rFonts w:ascii="Times New Roman" w:hAnsi="Times New Roman"/>
          <w:color w:val="000000" w:themeColor="text1"/>
          <w:sz w:val="16"/>
          <w:szCs w:val="16"/>
        </w:rPr>
        <w:t>в 1933 году в Москве началось регулярное движение троллейбусов. В 11 утра из гаража в селе Всехсвятском (впоследствии 1-й Троллейбусный парк в Головановском переулке) вышел в рейс один из двух изготовленных к тому времени троллейбусов марки ЛК-1 (ЛК — инициалы тогдашнего «хозяина» Москвы, первого секретаря Московского комитета партии Лазаря Кагановича). Он поехал по первой линии — от Белорусско-Балтийского вокзала по Ленинградскому и Волоколамскому шоссе до моста Окружной железной дороги.Все они были отечественного производства, именовались в честь инициатора создания троллейбуса 1-го секретаря московского комитета партии Лазаря Кагановича "ЛК" и выпускались кооперативно. У этих троллейбусов были ясене-дубовые корпуса, обшитые снаружи металлическими листами и внутри - фанерой, с двумя входами, узенькими и крутыми подножками. Из 55-ти пассажиров 37 могли путешествовать на сиденьях, покрытых кожзаменителем. Окна были с зеркальными стеклами, 9 из которых можно было поднимать. 3 электрических калорифера обогревали салон (по проекту, на самом деле устанавливались они крайне редко), 4 вентилятора освежали в жаркую погоду, по вечерам освещали 10 лампочек. Заднюю двустворчатую входную дверь открывали сами пассажиры, переднюю одностворчатую выходную - водитель или кондуктор. Шарниры на штангах позволяли троллейбусу отклоняться на 2 метра в любую сторону от проводов. Один из первых водителей московского троллейбуса вспоминал: "...трудно было на них работать. Тормоза ненадежные, двери открывались вручную, рулевое колесо целую смену могли крутить только физически сильные люди. Ветровые стекла крепились на барашках, салон зимой не отапливался". Управлять троллейбусом было тяжело, водителю позволялось делать не более 3-х - 4-х рейсов в смену (14831).</w:t>
      </w:r>
    </w:p>
    <w:p w14:paraId="5471E645" w14:textId="77777777" w:rsidR="00CE750F" w:rsidRPr="0044524F" w:rsidRDefault="00CE750F" w:rsidP="009654CF">
      <w:pPr>
        <w:spacing w:after="0" w:line="240" w:lineRule="auto"/>
        <w:jc w:val="both"/>
        <w:rPr>
          <w:rFonts w:ascii="Times New Roman" w:hAnsi="Times New Roman"/>
          <w:color w:val="000000" w:themeColor="text1"/>
          <w:sz w:val="16"/>
          <w:szCs w:val="16"/>
        </w:rPr>
      </w:pPr>
    </w:p>
    <w:p w14:paraId="309BD862"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в Москве в 11 утра из гаража в селе Всехсвятском (впоследствии 1-й Троллейбусный парк в Головановском переулке) вышел в рейс один из двух изготовленных к тому времени троллейбусов, на которых красовался индекс ЛК-1 (ЛК - инициалы тогдашнего "хозяина" Москвы, первого секретаря Московского комитета партии Лазаря Кагановича). Он поехал по первой линии - от Белорусско-Балтийского вокзала по Ленинградскому и Волоколамскому шоссе до моста Окружной железной дороги. К концу 1934 года по столице курсировали уже 11 троллейбусов, и к маршруту № 1 добавился маршрут № 2: Площадь Революции - Дорогомиловская застава. У этих троллейбусов были ясене-дубовые корпуса, обшитые снаружи металлическими листами и внутри - фанерой, с двумя входами, узенькими и крутыми подножками. Из 55-ти пассажиров 37 могли путешествовать на сиденьях, покрытых кожзаменителем. Окна были с зеркальными стеклами, 9 из которых можно было поднимать. 3 электрических калорифера обогревали салон (по проекту, на самом деле устанавливались они крайне редко), 4 вентилятора освежали в жаркую погоду, по вечерам освещали 10 лампочек. Заднюю двустворчатую входную дверь открывали сами пассажиры, переднюю одностворчатую выходную - водитель или кондуктор. Шарниры на штангах позволяли троллейбусу отклоняться на 2 метра в любую сторону от проводов. Один из первых водителей московского троллейбуса вспоминал: "...трудно было на них работать. Тормоза ненадежные, двери открывались вручную, рулевое колесо целую смену могли крутить только физически сильные люди. Ветровые стекла крепились на барашках, салон зимой не отапливался..." Управлять троллейбусом было тяжело, водителю позволялось делать не более 3-х - 4-х рейсов в смену. Троллейбусы были синего цвета с кремово-желтой полосой сверху и ярко-желтой внизу. К началу XXI столетия московская троллейбусная сеть стала самой протяженной в мире. В Ленинграде троллейбусы начали обслуживать пассажиров на регулярной основе 21 октября 1936 года (19622).</w:t>
      </w:r>
    </w:p>
    <w:p w14:paraId="65C8EFFB" w14:textId="77777777" w:rsidR="00B81B17" w:rsidRPr="0044524F" w:rsidRDefault="00B81B17" w:rsidP="009654CF">
      <w:pPr>
        <w:spacing w:after="0" w:line="240" w:lineRule="auto"/>
        <w:jc w:val="both"/>
        <w:rPr>
          <w:rFonts w:ascii="Times New Roman" w:hAnsi="Times New Roman"/>
          <w:color w:val="000000" w:themeColor="text1"/>
          <w:sz w:val="16"/>
          <w:szCs w:val="16"/>
        </w:rPr>
      </w:pPr>
    </w:p>
    <w:p w14:paraId="29992E2F" w14:textId="77777777" w:rsidR="00B74B80" w:rsidRPr="00142305" w:rsidRDefault="00B74B80" w:rsidP="00B74B80">
      <w:pPr>
        <w:spacing w:after="0" w:line="240" w:lineRule="auto"/>
        <w:jc w:val="both"/>
        <w:rPr>
          <w:rFonts w:ascii="Times New Roman" w:hAnsi="Times New Roman"/>
          <w:color w:val="0070C0"/>
          <w:sz w:val="16"/>
          <w:szCs w:val="16"/>
        </w:rPr>
      </w:pPr>
      <w:bookmarkStart w:id="51" w:name="3"/>
      <w:r w:rsidRPr="00142305">
        <w:rPr>
          <w:rFonts w:ascii="Times New Roman" w:hAnsi="Times New Roman"/>
          <w:color w:val="0070C0"/>
          <w:sz w:val="16"/>
          <w:szCs w:val="16"/>
        </w:rPr>
        <w:t>15 ноября 1933 года открылось троллейбусное сообщение в Москве. Троллейбусный транспорт понравился москвичам и стал модным (25094).</w:t>
      </w:r>
    </w:p>
    <w:bookmarkEnd w:id="51"/>
    <w:p w14:paraId="748D906C" w14:textId="77777777" w:rsidR="00B74B80" w:rsidRPr="00142305" w:rsidRDefault="00B74B80" w:rsidP="00B74B80">
      <w:pPr>
        <w:spacing w:after="0" w:line="240" w:lineRule="auto"/>
        <w:jc w:val="both"/>
        <w:rPr>
          <w:rFonts w:ascii="Times New Roman" w:hAnsi="Times New Roman"/>
          <w:color w:val="0070C0"/>
          <w:sz w:val="16"/>
          <w:szCs w:val="16"/>
        </w:rPr>
      </w:pPr>
    </w:p>
    <w:p w14:paraId="68AB5BDA" w14:textId="77777777" w:rsidR="00CE750F" w:rsidRPr="0044524F" w:rsidRDefault="00CE750F"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bCs/>
          <w:color w:val="000000" w:themeColor="text1"/>
          <w:sz w:val="16"/>
          <w:szCs w:val="16"/>
        </w:rPr>
        <w:t xml:space="preserve">15 ноября </w:t>
      </w:r>
      <w:r w:rsidRPr="0044524F">
        <w:rPr>
          <w:rFonts w:ascii="Times New Roman" w:hAnsi="Times New Roman"/>
          <w:color w:val="000000" w:themeColor="text1"/>
          <w:sz w:val="16"/>
          <w:szCs w:val="16"/>
        </w:rPr>
        <w:t>в 1933 году Политбюро ЦК ВКП(б) принимает постановление о порядке продажи художественных ценностей за границу. Оно требует "прекратить экспорт картин из Эрмитажа и других музеев без согласия комиссии в составе тт. Бубнова, Розенгольца, Стецкого и Ворошилова"</w:t>
      </w:r>
    </w:p>
    <w:p w14:paraId="10EFBB13" w14:textId="77777777" w:rsidR="00CE750F" w:rsidRPr="0044524F" w:rsidRDefault="00CE750F" w:rsidP="009654CF">
      <w:pPr>
        <w:spacing w:after="0" w:line="240" w:lineRule="auto"/>
        <w:jc w:val="both"/>
        <w:rPr>
          <w:rFonts w:ascii="Times New Roman" w:hAnsi="Times New Roman"/>
          <w:color w:val="000000" w:themeColor="text1"/>
          <w:sz w:val="16"/>
          <w:szCs w:val="16"/>
        </w:rPr>
      </w:pPr>
    </w:p>
    <w:p w14:paraId="57E88B90"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15 ноября 1933 была подготовлена записка ЦК ВКП (б) № П 149/3с</w:t>
      </w:r>
    </w:p>
    <w:p w14:paraId="0F3EEDFB"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Т.т. Акулову, Менжинскому</w:t>
      </w:r>
    </w:p>
    <w:p w14:paraId="7C3C616A"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rStyle w:val="12"/>
          <w:b w:val="0"/>
          <w:bCs w:val="0"/>
          <w:i w:val="0"/>
          <w:iCs w:val="0"/>
          <w:color w:val="000000" w:themeColor="text1"/>
          <w:spacing w:val="0"/>
          <w:kern w:val="0"/>
          <w:position w:val="0"/>
          <w:sz w:val="16"/>
          <w:szCs w:val="16"/>
          <w:lang w:val="ru-RU"/>
        </w:rPr>
        <w:t>Строго секретно</w:t>
      </w:r>
    </w:p>
    <w:p w14:paraId="3372184B"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Выписка из протокола №149 заседания Политбюро ЦК от 15 X1 1933 г.</w:t>
      </w:r>
    </w:p>
    <w:p w14:paraId="3B1AC798"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3 - О немцах (т. Акулов)</w:t>
      </w:r>
    </w:p>
    <w:p w14:paraId="0D67DD9A"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Выслать арестованных немецких шпионов за пределы СССР.</w:t>
      </w:r>
    </w:p>
    <w:p w14:paraId="64AD0614" w14:textId="77777777" w:rsidR="00570C39" w:rsidRPr="0044524F" w:rsidRDefault="00570C39" w:rsidP="009654CF">
      <w:pPr>
        <w:pStyle w:val="af2"/>
        <w:jc w:val="both"/>
        <w:rPr>
          <w:i w:val="0"/>
          <w:iCs w:val="0"/>
          <w:color w:val="000000" w:themeColor="text1"/>
          <w:spacing w:val="0"/>
          <w:kern w:val="0"/>
          <w:position w:val="0"/>
          <w:sz w:val="16"/>
          <w:szCs w:val="16"/>
          <w:lang w:val="ru-RU"/>
        </w:rPr>
      </w:pPr>
      <w:r w:rsidRPr="0044524F">
        <w:rPr>
          <w:i w:val="0"/>
          <w:iCs w:val="0"/>
          <w:color w:val="000000" w:themeColor="text1"/>
          <w:spacing w:val="0"/>
          <w:kern w:val="0"/>
          <w:position w:val="0"/>
          <w:sz w:val="16"/>
          <w:szCs w:val="16"/>
          <w:lang w:val="ru-RU"/>
        </w:rPr>
        <w:t>Секретарь ЦК.</w:t>
      </w:r>
    </w:p>
    <w:p w14:paraId="5CCF22C0" w14:textId="77777777" w:rsidR="00570C39" w:rsidRPr="0044524F" w:rsidRDefault="00570C39" w:rsidP="009654CF">
      <w:pPr>
        <w:pStyle w:val="af2"/>
        <w:jc w:val="both"/>
        <w:rPr>
          <w:rStyle w:val="12"/>
          <w:b w:val="0"/>
          <w:bCs w:val="0"/>
          <w:i w:val="0"/>
          <w:iCs w:val="0"/>
          <w:color w:val="000000" w:themeColor="text1"/>
          <w:spacing w:val="0"/>
          <w:kern w:val="0"/>
          <w:position w:val="0"/>
          <w:sz w:val="16"/>
          <w:szCs w:val="16"/>
          <w:lang w:val="ru-RU"/>
        </w:rPr>
      </w:pPr>
      <w:r w:rsidRPr="0044524F">
        <w:rPr>
          <w:rStyle w:val="12"/>
          <w:b w:val="0"/>
          <w:bCs w:val="0"/>
          <w:i w:val="0"/>
          <w:iCs w:val="0"/>
          <w:color w:val="000000" w:themeColor="text1"/>
          <w:spacing w:val="0"/>
          <w:kern w:val="0"/>
          <w:position w:val="0"/>
          <w:sz w:val="16"/>
          <w:szCs w:val="16"/>
          <w:lang w:val="ru-RU"/>
        </w:rPr>
        <w:lastRenderedPageBreak/>
        <w:t>АП РФ ф. 3, оп 58, д. 243, л.195 (11462).</w:t>
      </w:r>
    </w:p>
    <w:p w14:paraId="117518C3" w14:textId="77777777" w:rsidR="00570C39" w:rsidRPr="0044524F" w:rsidRDefault="00570C39" w:rsidP="009654CF">
      <w:pPr>
        <w:pStyle w:val="af2"/>
        <w:jc w:val="both"/>
        <w:rPr>
          <w:i w:val="0"/>
          <w:iCs w:val="0"/>
          <w:color w:val="000000" w:themeColor="text1"/>
          <w:spacing w:val="0"/>
          <w:kern w:val="0"/>
          <w:position w:val="0"/>
          <w:sz w:val="16"/>
          <w:szCs w:val="16"/>
          <w:lang w:val="ru-RU"/>
        </w:rPr>
      </w:pPr>
    </w:p>
    <w:p w14:paraId="4DD2A4EC" w14:textId="77777777" w:rsidR="00F50F6D" w:rsidRPr="0044524F" w:rsidRDefault="00F50F6D"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50DDA43" w14:textId="77777777" w:rsidR="00F50F6D" w:rsidRPr="0044524F" w:rsidRDefault="00F50F6D" w:rsidP="009654CF">
      <w:pPr>
        <w:spacing w:after="0" w:line="240" w:lineRule="auto"/>
        <w:jc w:val="both"/>
        <w:rPr>
          <w:rFonts w:ascii="Times New Roman" w:hAnsi="Times New Roman"/>
          <w:iCs/>
          <w:color w:val="000000" w:themeColor="text1"/>
          <w:sz w:val="16"/>
          <w:szCs w:val="16"/>
        </w:rPr>
      </w:pPr>
    </w:p>
    <w:p w14:paraId="4CFEF45D" w14:textId="77777777" w:rsidR="00F50F6D" w:rsidRPr="0044524F" w:rsidRDefault="00F50F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ноября 1933 из Ярославля в Москву отправилась колонна грузовиков – участников первого «дизельного» пробега по маршруту Ярославль–Москва–Ярославль. Впереди шли два грузовика с дизелями «Коджу», изготовленные к ноябрьским праздникам. Их испытывали вместе с дизелями MAN, MVM, AEC и Deutz, и «Коджу» выдержали первое серьезное испытание. Участники пробега докладывали: «Всю дорогу не было аварий. А из четырех иностранных дизелей три выбыли из строя» (21328).</w:t>
      </w:r>
    </w:p>
    <w:p w14:paraId="6BF18154" w14:textId="77777777" w:rsidR="00F50F6D" w:rsidRPr="0044524F" w:rsidRDefault="00F50F6D" w:rsidP="009654CF">
      <w:pPr>
        <w:spacing w:after="0" w:line="240" w:lineRule="auto"/>
        <w:jc w:val="both"/>
        <w:rPr>
          <w:rFonts w:ascii="Times New Roman" w:hAnsi="Times New Roman"/>
          <w:color w:val="000000" w:themeColor="text1"/>
          <w:sz w:val="16"/>
          <w:szCs w:val="16"/>
        </w:rPr>
      </w:pPr>
    </w:p>
    <w:p w14:paraId="5443B1BA"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40611F3"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37EB67E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ноября 1933 И-14 БМ вновь поступил в ОЭЛИД ЦАГИ (2869,23).</w:t>
      </w:r>
    </w:p>
    <w:p w14:paraId="5CFDCD7A"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FC0A2E1"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ноября 1933 г. начался новый, более удачный этап заводских испытаний И-14. Завершалось строительство истребителей И-15 и И-16. Несмотря на то, что ни один из упомянутых типов самолетов государственных ис</w:t>
      </w:r>
      <w:r w:rsidRPr="0044524F">
        <w:rPr>
          <w:rFonts w:ascii="Times New Roman" w:hAnsi="Times New Roman"/>
          <w:color w:val="000000" w:themeColor="text1"/>
          <w:sz w:val="16"/>
          <w:szCs w:val="16"/>
        </w:rPr>
        <w:softHyphen/>
        <w:t>пытаний еще не проходил, 25 ноября 1933 г. состоялось специальное заседание по вопросу внедрения в серий</w:t>
      </w:r>
      <w:r w:rsidRPr="0044524F">
        <w:rPr>
          <w:rFonts w:ascii="Times New Roman" w:hAnsi="Times New Roman"/>
          <w:color w:val="000000" w:themeColor="text1"/>
          <w:sz w:val="16"/>
          <w:szCs w:val="16"/>
        </w:rPr>
        <w:softHyphen/>
        <w:t>ное производство этих истребителей:</w:t>
      </w:r>
    </w:p>
    <w:p w14:paraId="6C35583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Внедрение в производство И-14, И-15, И-16 при</w:t>
      </w:r>
      <w:r w:rsidRPr="0044524F">
        <w:rPr>
          <w:rFonts w:ascii="Times New Roman" w:hAnsi="Times New Roman"/>
          <w:color w:val="000000" w:themeColor="text1"/>
          <w:sz w:val="16"/>
          <w:szCs w:val="16"/>
        </w:rPr>
        <w:softHyphen/>
        <w:t>знать возможным (10667).</w:t>
      </w:r>
    </w:p>
    <w:p w14:paraId="55873FCD"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Производство И-16 в 1934 г. поставить на заводе № 39 с тем, что первая партия в первом полугодии 1934 г. строится на заводе № 39, а во втором полугодии на заво</w:t>
      </w:r>
      <w:r w:rsidRPr="0044524F">
        <w:rPr>
          <w:rFonts w:ascii="Times New Roman" w:hAnsi="Times New Roman"/>
          <w:color w:val="000000" w:themeColor="text1"/>
          <w:sz w:val="16"/>
          <w:szCs w:val="16"/>
        </w:rPr>
        <w:softHyphen/>
        <w:t>де № 1 с соответствующим снятием с этого завода произ</w:t>
      </w:r>
      <w:r w:rsidRPr="0044524F">
        <w:rPr>
          <w:rFonts w:ascii="Times New Roman" w:hAnsi="Times New Roman"/>
          <w:color w:val="000000" w:themeColor="text1"/>
          <w:sz w:val="16"/>
          <w:szCs w:val="16"/>
        </w:rPr>
        <w:softHyphen/>
        <w:t>водства И-7...</w:t>
      </w:r>
    </w:p>
    <w:p w14:paraId="40A79049"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Подготовку И-14 вести на заводе № 21 и по полу</w:t>
      </w:r>
      <w:r w:rsidRPr="0044524F">
        <w:rPr>
          <w:rFonts w:ascii="Times New Roman" w:hAnsi="Times New Roman"/>
          <w:color w:val="000000" w:themeColor="text1"/>
          <w:sz w:val="16"/>
          <w:szCs w:val="16"/>
        </w:rPr>
        <w:softHyphen/>
        <w:t>чении эталона ставить на производство в 1934 г. со сня</w:t>
      </w:r>
      <w:r w:rsidRPr="0044524F">
        <w:rPr>
          <w:rFonts w:ascii="Times New Roman" w:hAnsi="Times New Roman"/>
          <w:color w:val="000000" w:themeColor="text1"/>
          <w:sz w:val="16"/>
          <w:szCs w:val="16"/>
        </w:rPr>
        <w:softHyphen/>
        <w:t>тием с производства соответствующего количества И-5.</w:t>
      </w:r>
    </w:p>
    <w:p w14:paraId="7757212D"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При осуществлении указанной наметки считать возможным изготовить в 1934 г. ориентировочно 100 самолетов И-16 с мотором М-22, 25 самолетов И-15 и 50 -И-14.</w:t>
      </w:r>
    </w:p>
    <w:p w14:paraId="64A0A15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Отметить, что И-14 и И-15 моторами своего про</w:t>
      </w:r>
      <w:r w:rsidRPr="0044524F">
        <w:rPr>
          <w:rFonts w:ascii="Times New Roman" w:hAnsi="Times New Roman"/>
          <w:color w:val="000000" w:themeColor="text1"/>
          <w:sz w:val="16"/>
          <w:szCs w:val="16"/>
        </w:rPr>
        <w:softHyphen/>
        <w:t>изводства в 1934 г. обеспечены не будут.</w:t>
      </w:r>
    </w:p>
    <w:p w14:paraId="0159CF3D"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Поручить тт. Ермолаеву, Туполеву, Марголину и Дубенскому в течение 26/Х1 разработать проект поста</w:t>
      </w:r>
      <w:r w:rsidRPr="0044524F">
        <w:rPr>
          <w:rFonts w:ascii="Times New Roman" w:hAnsi="Times New Roman"/>
          <w:color w:val="000000" w:themeColor="text1"/>
          <w:sz w:val="16"/>
          <w:szCs w:val="16"/>
        </w:rPr>
        <w:softHyphen/>
        <w:t>новления СТО по этому типу производства».</w:t>
      </w:r>
    </w:p>
    <w:p w14:paraId="6D7001B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принятые резолюции, 5 декабря 1933 г. по указанию главка на завод № 21 были отправлены чер</w:t>
      </w:r>
      <w:r w:rsidRPr="0044524F">
        <w:rPr>
          <w:rFonts w:ascii="Times New Roman" w:hAnsi="Times New Roman"/>
          <w:color w:val="000000" w:themeColor="text1"/>
          <w:sz w:val="16"/>
          <w:szCs w:val="16"/>
        </w:rPr>
        <w:softHyphen/>
        <w:t>тежи И-16 с М-22 «только для ознакомления, но не для серийной продукции - 55 штук» (10667).</w:t>
      </w:r>
    </w:p>
    <w:p w14:paraId="7CFED046"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5689107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ноября 1933 г. самолет И-14 передали в ОЭЛИД по акту №32. Эту дату следует считать началом полномасштабных испытаний И -14 (12037).</w:t>
      </w:r>
    </w:p>
    <w:p w14:paraId="634A0CAF"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383D986A" w14:textId="77777777" w:rsidR="0094728C" w:rsidRPr="0044524F" w:rsidRDefault="009472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ноября 1933 г. начался новый (и более удачный) этап завод</w:t>
      </w:r>
      <w:r w:rsidRPr="0044524F">
        <w:rPr>
          <w:rFonts w:ascii="Times New Roman" w:hAnsi="Times New Roman"/>
          <w:color w:val="000000" w:themeColor="text1"/>
          <w:sz w:val="16"/>
          <w:szCs w:val="16"/>
        </w:rPr>
        <w:softHyphen/>
        <w:t>ских испытаний И-14. Завершалось строительство И-15 и И-16.</w:t>
      </w:r>
    </w:p>
    <w:p w14:paraId="2E0CEB0F" w14:textId="77777777" w:rsidR="0094728C" w:rsidRPr="0044524F" w:rsidRDefault="0094728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Западе уже появились серийные истребители, разви</w:t>
      </w:r>
      <w:r w:rsidRPr="0044524F">
        <w:rPr>
          <w:rFonts w:ascii="Times New Roman" w:hAnsi="Times New Roman"/>
          <w:color w:val="000000" w:themeColor="text1"/>
          <w:sz w:val="16"/>
          <w:szCs w:val="16"/>
        </w:rPr>
        <w:softHyphen/>
        <w:t>вавшие скорость свыше 300 километров в час. Максимальные скорости наших истребителей, составлявших основу ВВС (И-3, И-4, И-5 и И-7), не достигали этой отметки. Вот почему про</w:t>
      </w:r>
      <w:r w:rsidRPr="0044524F">
        <w:rPr>
          <w:rFonts w:ascii="Times New Roman" w:hAnsi="Times New Roman"/>
          <w:color w:val="000000" w:themeColor="text1"/>
          <w:sz w:val="16"/>
          <w:szCs w:val="16"/>
        </w:rPr>
        <w:softHyphen/>
        <w:t>блемы повышения летных характеристик новой авиационной техники неоднократно обсуждались на заседаниях Правитель</w:t>
      </w:r>
      <w:r w:rsidRPr="0044524F">
        <w:rPr>
          <w:rFonts w:ascii="Times New Roman" w:hAnsi="Times New Roman"/>
          <w:color w:val="000000" w:themeColor="text1"/>
          <w:sz w:val="16"/>
          <w:szCs w:val="16"/>
        </w:rPr>
        <w:softHyphen/>
        <w:t>ства. В ноябре 1933 года состоялось заседание Совета Труда и Обороны СССР, специально посвященное новым истребителям. Приведем полный текст постановления, принятого по результа</w:t>
      </w:r>
      <w:r w:rsidRPr="0044524F">
        <w:rPr>
          <w:rFonts w:ascii="Times New Roman" w:hAnsi="Times New Roman"/>
          <w:color w:val="000000" w:themeColor="text1"/>
          <w:sz w:val="16"/>
          <w:szCs w:val="16"/>
        </w:rPr>
        <w:softHyphen/>
        <w:t>там всестороннего обсуждения проблемы, так как оно оказало большое влияние на последующую судьбу И-16 (23455).</w:t>
      </w:r>
    </w:p>
    <w:p w14:paraId="40A25C0A" w14:textId="77777777" w:rsidR="0094728C" w:rsidRPr="0044524F" w:rsidRDefault="0094728C" w:rsidP="009654CF">
      <w:pPr>
        <w:spacing w:after="0" w:line="240" w:lineRule="auto"/>
        <w:jc w:val="both"/>
        <w:rPr>
          <w:rFonts w:ascii="Times New Roman" w:hAnsi="Times New Roman"/>
          <w:color w:val="000000" w:themeColor="text1"/>
          <w:sz w:val="16"/>
          <w:szCs w:val="16"/>
        </w:rPr>
      </w:pPr>
    </w:p>
    <w:p w14:paraId="2AD572C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11-16-26 ноября 1933 г. на совещаниях у нач. УМТС и В ВВС Жарова, происходившем по уточнению технических требований к эталонам самолетов на 1934 г., возникли разногласия как по срокам выпуска самолетов, так и отдельных технических требований к ним (2264,51).</w:t>
      </w:r>
    </w:p>
    <w:p w14:paraId="59A1615C"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1F20E62F" w14:textId="77777777" w:rsidR="00CE750F" w:rsidRPr="0044524F" w:rsidRDefault="00CE750F" w:rsidP="009654CF">
      <w:pPr>
        <w:pStyle w:val="rtejustify"/>
        <w:spacing w:before="0" w:after="0"/>
        <w:rPr>
          <w:color w:val="000000" w:themeColor="text1"/>
          <w:sz w:val="16"/>
          <w:szCs w:val="16"/>
        </w:rPr>
      </w:pPr>
      <w:r w:rsidRPr="0044524F">
        <w:rPr>
          <w:rStyle w:val="af0"/>
          <w:bCs/>
          <w:i w:val="0"/>
          <w:color w:val="000000" w:themeColor="text1"/>
          <w:sz w:val="16"/>
          <w:szCs w:val="16"/>
        </w:rPr>
        <w:t>16</w:t>
      </w:r>
      <w:r w:rsidRPr="0044524F">
        <w:rPr>
          <w:rStyle w:val="af0"/>
          <w:bCs/>
          <w:i w:val="0"/>
          <w:color w:val="000000" w:themeColor="text1"/>
          <w:sz w:val="16"/>
          <w:szCs w:val="16"/>
        </w:rPr>
        <w:noBreakHyphen/>
        <w:t>18 ноября</w:t>
      </w:r>
      <w:r w:rsidRPr="0044524F">
        <w:rPr>
          <w:color w:val="000000" w:themeColor="text1"/>
          <w:sz w:val="16"/>
          <w:szCs w:val="16"/>
        </w:rPr>
        <w:t xml:space="preserve"> 1933 вышел приказ РВСС №°15. 2. — 4) Сообщение о подписании председателем РВСС постановлений РВСС «О минно-торпедном вооружении ВВС РККА» от 9 июля 1933 г.; 9) «Об исполнительной смете НКВМ на 1933 г.» от 15 июля 1933 г.; 10) «О ходе выполнения плана опытного самолето- и моторостроения и вооружения авиации от 17 июля 1933 г.; 11) О системе артиллерийского вооружения РККА на II пятилетку» от 5 августа 1933 г.; 15) «О принятии на вооружение ВМС РККА аппаратуры ВУ сист[емы] Остехбюро для управления торпедными катерами» от 17 июля 1933 г. (РГВА. Ф. 4. Оп. 18. Д. 23. Л. 231</w:t>
      </w:r>
      <w:r w:rsidRPr="0044524F">
        <w:rPr>
          <w:color w:val="000000" w:themeColor="text1"/>
          <w:sz w:val="16"/>
          <w:szCs w:val="16"/>
        </w:rPr>
        <w:noBreakHyphen/>
        <w:t>232) (15461).</w:t>
      </w:r>
    </w:p>
    <w:p w14:paraId="4C2B51CB" w14:textId="77777777" w:rsidR="00CE750F" w:rsidRPr="0044524F" w:rsidRDefault="00CE750F" w:rsidP="009654CF">
      <w:pPr>
        <w:pStyle w:val="rtejustify"/>
        <w:spacing w:before="0" w:after="0"/>
        <w:rPr>
          <w:color w:val="000000" w:themeColor="text1"/>
          <w:sz w:val="16"/>
          <w:szCs w:val="16"/>
        </w:rPr>
      </w:pPr>
    </w:p>
    <w:p w14:paraId="34EDC5D8" w14:textId="77777777" w:rsidR="00CE750F"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0CBB4EE" w14:textId="77777777" w:rsidR="00CE750F" w:rsidRPr="0044524F" w:rsidRDefault="00CE750F" w:rsidP="009654CF">
      <w:pPr>
        <w:spacing w:after="0" w:line="240" w:lineRule="auto"/>
        <w:jc w:val="both"/>
        <w:rPr>
          <w:rFonts w:ascii="Times New Roman" w:hAnsi="Times New Roman"/>
          <w:iCs/>
          <w:color w:val="000000" w:themeColor="text1"/>
          <w:sz w:val="16"/>
          <w:szCs w:val="16"/>
        </w:rPr>
      </w:pPr>
    </w:p>
    <w:p w14:paraId="41E8D08C" w14:textId="77777777" w:rsidR="00366092" w:rsidRPr="0044524F" w:rsidRDefault="00366092"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ноября 1933 произведена первая плавка чугуна на «Запорожстали» (4962).</w:t>
      </w:r>
    </w:p>
    <w:p w14:paraId="1B956CA5" w14:textId="77777777" w:rsidR="00366092" w:rsidRPr="0044524F" w:rsidRDefault="00366092" w:rsidP="009654CF">
      <w:pPr>
        <w:tabs>
          <w:tab w:val="left" w:pos="11199"/>
        </w:tabs>
        <w:spacing w:after="0" w:line="240" w:lineRule="auto"/>
        <w:jc w:val="both"/>
        <w:rPr>
          <w:rFonts w:ascii="Times New Roman" w:hAnsi="Times New Roman"/>
          <w:color w:val="000000" w:themeColor="text1"/>
          <w:sz w:val="16"/>
          <w:szCs w:val="16"/>
        </w:rPr>
      </w:pPr>
    </w:p>
    <w:p w14:paraId="61D3C734" w14:textId="77777777" w:rsidR="00130484" w:rsidRPr="0044524F" w:rsidRDefault="001304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ноября 1933 - ввод в действие металлургического завода "Запорожсталь" им. С. Орджоникидзе (21177).</w:t>
      </w:r>
    </w:p>
    <w:p w14:paraId="148DF2B8" w14:textId="77777777" w:rsidR="00130484" w:rsidRPr="0044524F" w:rsidRDefault="00130484" w:rsidP="009654CF">
      <w:pPr>
        <w:spacing w:after="0" w:line="240" w:lineRule="auto"/>
        <w:jc w:val="both"/>
        <w:rPr>
          <w:rFonts w:ascii="Times New Roman" w:hAnsi="Times New Roman"/>
          <w:color w:val="000000" w:themeColor="text1"/>
          <w:sz w:val="16"/>
          <w:szCs w:val="16"/>
        </w:rPr>
      </w:pPr>
    </w:p>
    <w:p w14:paraId="4E75AAFD" w14:textId="77777777" w:rsidR="00CE750F" w:rsidRPr="0044524F" w:rsidRDefault="00CE750F" w:rsidP="009654CF">
      <w:pPr>
        <w:pStyle w:val="rtejustify"/>
        <w:spacing w:before="0" w:after="0"/>
        <w:rPr>
          <w:color w:val="000000" w:themeColor="text1"/>
          <w:sz w:val="16"/>
          <w:szCs w:val="16"/>
        </w:rPr>
      </w:pPr>
      <w:r w:rsidRPr="0044524F">
        <w:rPr>
          <w:rStyle w:val="af0"/>
          <w:bCs/>
          <w:i w:val="0"/>
          <w:color w:val="000000" w:themeColor="text1"/>
          <w:sz w:val="16"/>
          <w:szCs w:val="16"/>
        </w:rPr>
        <w:t>16/27 ноября 1933 вышел приказ НКТП № 222с.</w:t>
      </w:r>
      <w:r w:rsidRPr="0044524F">
        <w:rPr>
          <w:color w:val="000000" w:themeColor="text1"/>
          <w:sz w:val="16"/>
          <w:szCs w:val="16"/>
        </w:rPr>
        <w:t xml:space="preserve"> О мерах по обеспечению бесперебойного хода строительства подводных лодок V серии на Дальнем Востоке. (РГАЭ. Ф. 7297. Оп. 38. Д. 38. Л. 197) (15246).</w:t>
      </w:r>
    </w:p>
    <w:p w14:paraId="132D9CD5" w14:textId="77777777" w:rsidR="00CE750F" w:rsidRPr="0044524F" w:rsidRDefault="00CE750F" w:rsidP="009654CF">
      <w:pPr>
        <w:pStyle w:val="rtejustify"/>
        <w:spacing w:before="0" w:after="0"/>
        <w:rPr>
          <w:color w:val="000000" w:themeColor="text1"/>
          <w:sz w:val="16"/>
          <w:szCs w:val="16"/>
        </w:rPr>
      </w:pPr>
    </w:p>
    <w:p w14:paraId="57E64097"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748B6F3"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7B9F56C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ноября 1933 приказом ОГПУ № 0123 контингент заключенных по Севвостлагу (Дальстрой) на 1934-1935 годы устанавливался в 50 000 человек (7560).</w:t>
      </w:r>
    </w:p>
    <w:p w14:paraId="2AD1DE1A"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50424703"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9AB2771"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5614DC5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ноября 1933 были установлены дипотношения СССР с США (1348,242), а по другим данным - восстановлены (3908,340).</w:t>
      </w:r>
    </w:p>
    <w:p w14:paraId="7956AC1B"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D157D3A"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ноября 1933 были восстановлены дипломатические отношения с Соединенными Штатами Америки. 17 ноября США заявляют о признании СССР и восстанавливают с ним торговые отношения (4962).</w:t>
      </w:r>
    </w:p>
    <w:p w14:paraId="0C71BF77" w14:textId="77777777" w:rsidR="00570C39" w:rsidRPr="0044524F" w:rsidRDefault="00570C39" w:rsidP="009654CF">
      <w:pPr>
        <w:tabs>
          <w:tab w:val="left" w:pos="11199"/>
        </w:tabs>
        <w:spacing w:after="0" w:line="240" w:lineRule="auto"/>
        <w:jc w:val="both"/>
        <w:rPr>
          <w:rFonts w:ascii="Times New Roman" w:hAnsi="Times New Roman"/>
          <w:color w:val="000000" w:themeColor="text1"/>
          <w:sz w:val="16"/>
          <w:szCs w:val="16"/>
        </w:rPr>
      </w:pPr>
    </w:p>
    <w:p w14:paraId="02CADDD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16 ноября </w:t>
      </w:r>
      <w:r w:rsidRPr="0044524F">
        <w:rPr>
          <w:rFonts w:ascii="Times New Roman" w:hAnsi="Times New Roman"/>
          <w:color w:val="000000" w:themeColor="text1"/>
          <w:sz w:val="16"/>
          <w:szCs w:val="16"/>
        </w:rPr>
        <w:t>в 1933 году установлены дипломатические отношения между СССР и США. В декабре 1991 г. Российская Федерация была признана правопреемницей СССР. По этому случаю в Овальном кабинете Белого дома крупнейший американский магнат-миллиардер Арманд Хаммер в присутствии наркома иностранных дел СССР Максима Литвинова преподнес президенту США Франклину Рузвельту «модель» великой русской реки Волги. Этот сувенир из платины, золота, серебра и бриллиантов был изготовлен в 1913 году в мастерской Карла Фаберже (14832).</w:t>
      </w:r>
    </w:p>
    <w:p w14:paraId="3BAD885A" w14:textId="77777777" w:rsidR="00366092" w:rsidRPr="0044524F" w:rsidRDefault="00366092" w:rsidP="009654CF">
      <w:pPr>
        <w:spacing w:after="0" w:line="240" w:lineRule="auto"/>
        <w:jc w:val="both"/>
        <w:rPr>
          <w:rFonts w:ascii="Times New Roman" w:hAnsi="Times New Roman"/>
          <w:color w:val="000000" w:themeColor="text1"/>
          <w:sz w:val="16"/>
          <w:szCs w:val="16"/>
        </w:rPr>
      </w:pPr>
    </w:p>
    <w:p w14:paraId="0B54B938"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16 ноября 1933 г. Ноты президента США Ф. Рузвельта и наркома иностранных дел СССР М.М. Литвинова об установлении дипломатических отношений между СССР и США </w:t>
      </w:r>
    </w:p>
    <w:p w14:paraId="4C525FA0"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Нота президента США Ф. Рузвельта </w:t>
      </w:r>
    </w:p>
    <w:p w14:paraId="0F2B6581"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Белый дом, Вашингтон </w:t>
      </w:r>
    </w:p>
    <w:p w14:paraId="0EE1BA51"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Уважаемый господин Литвинов, я крайне счастлив уведомить Вас, что в качестве результата наших переговоров правительство Соединенных Штатов решило установить нормальные дипломатические отношения с правительством Союза Советских Социалистических Республик и обменяться послами. </w:t>
      </w:r>
    </w:p>
    <w:p w14:paraId="04B56E9A"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верю, что установленным ныне между нашими народами отношениям удастся навсегда остаться нормальными и дружественными и что нашим нациям отныне удастся сотрудничать для своей взаимной пользы и для ограждения всеобщего мира. </w:t>
      </w:r>
    </w:p>
    <w:p w14:paraId="3F60ADC3"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остаюсь, уважаемый господин Литвинов, весьма искренне Ваш </w:t>
      </w:r>
    </w:p>
    <w:p w14:paraId="7AF6E4EF"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Франклин Д. Рузвельт </w:t>
      </w:r>
    </w:p>
    <w:p w14:paraId="6CB98F85"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Документы внешней политики СССР. М., 1970. Т. XVI. С. 641. </w:t>
      </w:r>
    </w:p>
    <w:p w14:paraId="25C3D455"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Нота наркома иностранных дел СССР М.М. Литвинова </w:t>
      </w:r>
    </w:p>
    <w:p w14:paraId="64B593D3"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Вашингтон </w:t>
      </w:r>
    </w:p>
    <w:p w14:paraId="24F4E26A"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Уважаемый господин президент, я крайне счастлив уведомить Вас, что правительство Союза Советских Социалистических Республик радо установить нормальные дипломатические отношения с правительством Соединенных Штатов и обменяться послами. </w:t>
      </w:r>
    </w:p>
    <w:p w14:paraId="619ED166"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Я также разделяю надежду, что установленным ныне между нашими народами отношениям удастся навсегда остаться нормальными и дружественными и что нашим нациям отныне удастся сотрудничать для своей взаимной пользы и для ограждения всеобщего мира. </w:t>
      </w:r>
    </w:p>
    <w:p w14:paraId="24D42E8B"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остаюсь, уважаемый господин президент, весьма искренне Ваш Максим Литвинов, народный комиссар по иностранным делам Союза Советских Социалистических Республик </w:t>
      </w:r>
    </w:p>
    <w:p w14:paraId="7B0A40F7"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Документы внешней политики СССР. М. 1970. Т. XVI. С. 641 (12152).</w:t>
      </w:r>
    </w:p>
    <w:p w14:paraId="536B45F4" w14:textId="77777777" w:rsidR="00BA29CE" w:rsidRPr="0044524F" w:rsidRDefault="00BA29CE" w:rsidP="009654CF">
      <w:pPr>
        <w:spacing w:after="0" w:line="240" w:lineRule="auto"/>
        <w:jc w:val="both"/>
        <w:rPr>
          <w:rFonts w:ascii="Times New Roman" w:hAnsi="Times New Roman"/>
          <w:color w:val="000000" w:themeColor="text1"/>
          <w:sz w:val="16"/>
          <w:szCs w:val="16"/>
        </w:rPr>
      </w:pPr>
    </w:p>
    <w:p w14:paraId="55679627"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1F84152"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2BEE908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ноября 1933 Президент Бразилии получил диктаторские полномочия (3481).</w:t>
      </w:r>
    </w:p>
    <w:p w14:paraId="7A2B4530"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690A317B" w14:textId="77777777" w:rsidR="00570C39" w:rsidRPr="0044524F" w:rsidRDefault="001A42D5" w:rsidP="009654CF">
      <w:pPr>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7191D04"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297AFA6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Нач. ЦАГИ Харламов направил Нач. ГУАП Королеву докладную записку о направлении работ ЦАГИ (2281,81).</w:t>
      </w:r>
    </w:p>
    <w:p w14:paraId="6DE5BE26"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21BCAB7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ЦИАМ направил в ГУАП Краткую докладную записку о деятельности Института Авиационного Моторостроения за период ноябрь 1930 - ноябрь 1933 (2281,68).</w:t>
      </w:r>
    </w:p>
    <w:p w14:paraId="5E0BEBF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Направления работ ЦАГИ</w:t>
      </w:r>
    </w:p>
    <w:p w14:paraId="0A696CB5"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Пути развития ЦАГИ и результаты его ра</w:t>
      </w:r>
      <w:r w:rsidRPr="0044524F">
        <w:rPr>
          <w:rFonts w:ascii="Times New Roman" w:hAnsi="Times New Roman"/>
          <w:color w:val="000000" w:themeColor="text1"/>
          <w:sz w:val="16"/>
          <w:szCs w:val="16"/>
        </w:rPr>
        <w:softHyphen/>
        <w:t>бот существенно выделяют его среди других Ин</w:t>
      </w:r>
      <w:r w:rsidRPr="0044524F">
        <w:rPr>
          <w:rFonts w:ascii="Times New Roman" w:hAnsi="Times New Roman"/>
          <w:color w:val="000000" w:themeColor="text1"/>
          <w:sz w:val="16"/>
          <w:szCs w:val="16"/>
        </w:rPr>
        <w:softHyphen/>
        <w:t>ститутов Советского Союза. ЦАГИ начал свою работу при полном отсутствии авиационной промышленности в стране; сверх того, в отличие от других видов нашей промышленности, авиацион</w:t>
      </w:r>
      <w:r w:rsidRPr="0044524F">
        <w:rPr>
          <w:rFonts w:ascii="Times New Roman" w:hAnsi="Times New Roman"/>
          <w:color w:val="000000" w:themeColor="text1"/>
          <w:sz w:val="16"/>
          <w:szCs w:val="16"/>
        </w:rPr>
        <w:softHyphen/>
        <w:t>ная промышленность при своем развертывании никогда не прибегала к широкой иностранной технической помощи.Таким образом, в своем развитии ЦАГИ не мог ни воспользоваться опы</w:t>
      </w:r>
      <w:r w:rsidRPr="0044524F">
        <w:rPr>
          <w:rFonts w:ascii="Times New Roman" w:hAnsi="Times New Roman"/>
          <w:color w:val="000000" w:themeColor="text1"/>
          <w:sz w:val="16"/>
          <w:szCs w:val="16"/>
        </w:rPr>
        <w:softHyphen/>
        <w:t>том, накапливаемом в промышленности, ни ис</w:t>
      </w:r>
      <w:r w:rsidRPr="0044524F">
        <w:rPr>
          <w:rFonts w:ascii="Times New Roman" w:hAnsi="Times New Roman"/>
          <w:color w:val="000000" w:themeColor="text1"/>
          <w:sz w:val="16"/>
          <w:szCs w:val="16"/>
        </w:rPr>
        <w:softHyphen/>
        <w:t>пользовать иностранную техническую помощь. Несмотря на это, работа ЦАГИ привела к созданию машин, на выполнении которых росла придеятельном участии Института, авиационная промышленнссть Советского Союза, и по насто</w:t>
      </w:r>
      <w:r w:rsidRPr="0044524F">
        <w:rPr>
          <w:rFonts w:ascii="Times New Roman" w:hAnsi="Times New Roman"/>
          <w:color w:val="000000" w:themeColor="text1"/>
          <w:sz w:val="16"/>
          <w:szCs w:val="16"/>
        </w:rPr>
        <w:softHyphen/>
        <w:t>ящее время питающаяся, главным образом, об</w:t>
      </w:r>
      <w:r w:rsidRPr="0044524F">
        <w:rPr>
          <w:rFonts w:ascii="Times New Roman" w:hAnsi="Times New Roman"/>
          <w:color w:val="000000" w:themeColor="text1"/>
          <w:sz w:val="16"/>
          <w:szCs w:val="16"/>
        </w:rPr>
        <w:softHyphen/>
        <w:t>разцами, создаваемыми ЦАГИ.Таким образом, путь развития авиационной промышленности и путь развития ЦАГИ оказались тесно связанными друг с другом, и в истории развития авиационной промышленности Советского Союза работы ЦАГИ, как один из важнейших факторов роста нашей авиационной промышленности, не могут не быть отмеченными.</w:t>
      </w:r>
    </w:p>
    <w:p w14:paraId="097C11C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Такое -большое значение работы Института в деле развития авиационной промылленности Советского Союза не было случайным.Оно явилось результатом верной организации работ Института, обеспечившей как возможность успеха, так и быстроту темпов. Самым сущест</w:t>
      </w:r>
      <w:r w:rsidRPr="0044524F">
        <w:rPr>
          <w:rFonts w:ascii="Times New Roman" w:hAnsi="Times New Roman"/>
          <w:color w:val="000000" w:themeColor="text1"/>
          <w:sz w:val="16"/>
          <w:szCs w:val="16"/>
        </w:rPr>
        <w:softHyphen/>
        <w:t>венным в организации Института было то, что ЦАГИ все время рос, как комплексный Инсти</w:t>
      </w:r>
      <w:r w:rsidRPr="0044524F">
        <w:rPr>
          <w:rFonts w:ascii="Times New Roman" w:hAnsi="Times New Roman"/>
          <w:color w:val="000000" w:themeColor="text1"/>
          <w:sz w:val="16"/>
          <w:szCs w:val="16"/>
        </w:rPr>
        <w:softHyphen/>
        <w:t>тут, в котором научно-исследовательская ра</w:t>
      </w:r>
      <w:r w:rsidRPr="0044524F">
        <w:rPr>
          <w:rFonts w:ascii="Times New Roman" w:hAnsi="Times New Roman"/>
          <w:color w:val="000000" w:themeColor="text1"/>
          <w:sz w:val="16"/>
          <w:szCs w:val="16"/>
        </w:rPr>
        <w:softHyphen/>
        <w:t>бота не была отделена от опытного строитель</w:t>
      </w:r>
      <w:r w:rsidRPr="0044524F">
        <w:rPr>
          <w:rFonts w:ascii="Times New Roman" w:hAnsi="Times New Roman"/>
          <w:color w:val="000000" w:themeColor="text1"/>
          <w:sz w:val="16"/>
          <w:szCs w:val="16"/>
        </w:rPr>
        <w:softHyphen/>
        <w:t>ства.Таким образом, с одной стороны научно-исследовательская работа не вырождалась в отвлеченно-академическую работу, а всегда имела цель и возможность непосредственного применения ее к реальным объектам;с другой стороны опытное строительство всегда имело возможность опираться и влиять на научно-исследовательскую работу. В этой связи и взаимном оплодотворении опытного строитель</w:t>
      </w:r>
      <w:r w:rsidRPr="0044524F">
        <w:rPr>
          <w:rFonts w:ascii="Times New Roman" w:hAnsi="Times New Roman"/>
          <w:color w:val="000000" w:themeColor="text1"/>
          <w:sz w:val="16"/>
          <w:szCs w:val="16"/>
        </w:rPr>
        <w:softHyphen/>
        <w:t>ства и научно-исследовательской работы и лежит вся сила ЦАГИ.Такая комплексность на</w:t>
      </w:r>
      <w:r w:rsidRPr="0044524F">
        <w:rPr>
          <w:rFonts w:ascii="Times New Roman" w:hAnsi="Times New Roman"/>
          <w:color w:val="000000" w:themeColor="text1"/>
          <w:sz w:val="16"/>
          <w:szCs w:val="16"/>
        </w:rPr>
        <w:softHyphen/>
        <w:t>иболее отвечает существу авиационной промышленности, опирающейся на сложнейшие научно-технические проблемы, и прогрессирующей бысрее всех других видов промышленности, так что каждый новый тип машины является в то-же время и решением новых научно-технических задач. Если заграницей нет такой мощной комплексной организации, как ЦАГИ, несмотря на ее целесообразность, то это об"ясняется капиталистическимстроем с его распыленным хозяйством и конкуренцией частных фирм; на это обстоятельстве обращали внимание и многочис</w:t>
      </w:r>
      <w:r w:rsidRPr="0044524F">
        <w:rPr>
          <w:rFonts w:ascii="Times New Roman" w:hAnsi="Times New Roman"/>
          <w:color w:val="000000" w:themeColor="text1"/>
          <w:sz w:val="16"/>
          <w:szCs w:val="16"/>
        </w:rPr>
        <w:softHyphen/>
        <w:t>ленные иностранные представители, посещавшие ЦАГИ.</w:t>
      </w:r>
    </w:p>
    <w:p w14:paraId="77C2D7B5"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время своего существования Институтом был поставлен и разрешен целый ряд важнейших задач, имеющих большое значение для развития авиационной промышленности и дела укрепления воздушной и морской обороны нашей страны. Все металлическое самолетостроение в Советской Союзе обязано своим возникновением ЦАГИ, ко</w:t>
      </w:r>
      <w:r w:rsidRPr="0044524F">
        <w:rPr>
          <w:rFonts w:ascii="Times New Roman" w:hAnsi="Times New Roman"/>
          <w:color w:val="000000" w:themeColor="text1"/>
          <w:sz w:val="16"/>
          <w:szCs w:val="16"/>
        </w:rPr>
        <w:softHyphen/>
        <w:t>торой разрешил эту задачу не только с конс</w:t>
      </w:r>
      <w:r w:rsidRPr="0044524F">
        <w:rPr>
          <w:rFonts w:ascii="Times New Roman" w:hAnsi="Times New Roman"/>
          <w:color w:val="000000" w:themeColor="text1"/>
          <w:sz w:val="16"/>
          <w:szCs w:val="16"/>
        </w:rPr>
        <w:softHyphen/>
        <w:t>труктивной точки зрения, но и оказал решаю</w:t>
      </w:r>
      <w:r w:rsidRPr="0044524F">
        <w:rPr>
          <w:rFonts w:ascii="Times New Roman" w:hAnsi="Times New Roman"/>
          <w:color w:val="000000" w:themeColor="text1"/>
          <w:sz w:val="16"/>
          <w:szCs w:val="16"/>
        </w:rPr>
        <w:softHyphen/>
        <w:t>щее влияние на подготовку соответствующей металлургической базы. Внедрение глиссеров в морскую оборону Советского Союза также исхо</w:t>
      </w:r>
      <w:r w:rsidRPr="0044524F">
        <w:rPr>
          <w:rFonts w:ascii="Times New Roman" w:hAnsi="Times New Roman"/>
          <w:color w:val="000000" w:themeColor="text1"/>
          <w:sz w:val="16"/>
          <w:szCs w:val="16"/>
        </w:rPr>
        <w:softHyphen/>
        <w:t xml:space="preserve">дит из ЦАГИ. </w:t>
      </w:r>
      <w:r w:rsidRPr="0044524F">
        <w:rPr>
          <w:rFonts w:ascii="Times New Roman" w:hAnsi="Times New Roman"/>
          <w:smallCaps/>
          <w:color w:val="000000" w:themeColor="text1"/>
          <w:sz w:val="16"/>
          <w:szCs w:val="16"/>
        </w:rPr>
        <w:t xml:space="preserve">большинство </w:t>
      </w:r>
      <w:r w:rsidRPr="0044524F">
        <w:rPr>
          <w:rFonts w:ascii="Times New Roman" w:hAnsi="Times New Roman"/>
          <w:color w:val="000000" w:themeColor="text1"/>
          <w:sz w:val="16"/>
          <w:szCs w:val="16"/>
        </w:rPr>
        <w:t>машин, находящихся в настоящее время на снабжении военно-воздуш</w:t>
      </w:r>
      <w:r w:rsidRPr="0044524F">
        <w:rPr>
          <w:rFonts w:ascii="Times New Roman" w:hAnsi="Times New Roman"/>
          <w:color w:val="000000" w:themeColor="text1"/>
          <w:sz w:val="16"/>
          <w:szCs w:val="16"/>
        </w:rPr>
        <w:softHyphen/>
        <w:t>ного флота, являются конструкциями ЦАГИ. Г В результате работ Института в ЦАГИ создались модные кадры квалифицированных работников как по научно-исследовательскому сектору, так и по сектору опытного строительству, способные разрешать ставимые перед ними задачи. По мощности своих квалифицированных кадров ЦАГИ стоит на первом месте среди других Институтов Советского Союза. ЦАГИ имеет даже большее, чем созданные им квалифицированные кадры: ЦА.ГИ имеет созданные им школы. Школы аэродинамиков и школы конструкторов пред</w:t>
      </w:r>
      <w:r w:rsidRPr="0044524F">
        <w:rPr>
          <w:rFonts w:ascii="Times New Roman" w:hAnsi="Times New Roman"/>
          <w:color w:val="000000" w:themeColor="text1"/>
          <w:sz w:val="16"/>
          <w:szCs w:val="16"/>
        </w:rPr>
        <w:softHyphen/>
        <w:t>ставляют одно из существеннейших достижений ЦАГИ в деле развития авиации в Советском Союзе.</w:t>
      </w:r>
    </w:p>
    <w:p w14:paraId="08DA217C"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 отметить также и созданное ЦАГИ оборудование, которое до последних лет было самым мощным в мире и лишь за послед</w:t>
      </w:r>
      <w:r w:rsidRPr="0044524F">
        <w:rPr>
          <w:rFonts w:ascii="Times New Roman" w:hAnsi="Times New Roman"/>
          <w:color w:val="000000" w:themeColor="text1"/>
          <w:sz w:val="16"/>
          <w:szCs w:val="16"/>
        </w:rPr>
        <w:softHyphen/>
        <w:t>ние годы потеряло первое место, уступив его Америке и Англии. Завоевание вновь первого места является существенно необходимым для выполнения директивы "догнать и перегнать в технико-экономическом отношении передовые капиталистические страны". С окончанием стро</w:t>
      </w:r>
      <w:r w:rsidRPr="0044524F">
        <w:rPr>
          <w:rFonts w:ascii="Times New Roman" w:hAnsi="Times New Roman"/>
          <w:color w:val="000000" w:themeColor="text1"/>
          <w:sz w:val="16"/>
          <w:szCs w:val="16"/>
        </w:rPr>
        <w:softHyphen/>
        <w:t>ительства на Раменскон участке это первое место в мире, несомненно, будет вновь заво</w:t>
      </w:r>
      <w:r w:rsidRPr="0044524F">
        <w:rPr>
          <w:rFonts w:ascii="Times New Roman" w:hAnsi="Times New Roman"/>
          <w:color w:val="000000" w:themeColor="text1"/>
          <w:sz w:val="16"/>
          <w:szCs w:val="16"/>
        </w:rPr>
        <w:softHyphen/>
        <w:t>евано Институтом.</w:t>
      </w:r>
    </w:p>
    <w:p w14:paraId="334346B9"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опыт протекшей работы ЦАГИ подтверждает правильность организацион</w:t>
      </w:r>
      <w:r w:rsidRPr="0044524F">
        <w:rPr>
          <w:rFonts w:ascii="Times New Roman" w:hAnsi="Times New Roman"/>
          <w:color w:val="000000" w:themeColor="text1"/>
          <w:sz w:val="16"/>
          <w:szCs w:val="16"/>
        </w:rPr>
        <w:softHyphen/>
        <w:t>ных форм института, при которых научно-ис</w:t>
      </w:r>
      <w:r w:rsidRPr="0044524F">
        <w:rPr>
          <w:rFonts w:ascii="Times New Roman" w:hAnsi="Times New Roman"/>
          <w:color w:val="000000" w:themeColor="text1"/>
          <w:sz w:val="16"/>
          <w:szCs w:val="16"/>
        </w:rPr>
        <w:softHyphen/>
        <w:t>следовательская работа и опытное строительс</w:t>
      </w:r>
      <w:r w:rsidRPr="0044524F">
        <w:rPr>
          <w:rFonts w:ascii="Times New Roman" w:hAnsi="Times New Roman"/>
          <w:color w:val="000000" w:themeColor="text1"/>
          <w:sz w:val="16"/>
          <w:szCs w:val="16"/>
        </w:rPr>
        <w:softHyphen/>
        <w:t>тво составляли единое целое. Эта организацион</w:t>
      </w:r>
      <w:r w:rsidRPr="0044524F">
        <w:rPr>
          <w:rFonts w:ascii="Times New Roman" w:hAnsi="Times New Roman"/>
          <w:color w:val="000000" w:themeColor="text1"/>
          <w:sz w:val="16"/>
          <w:szCs w:val="16"/>
        </w:rPr>
        <w:softHyphen/>
        <w:t>ная форма Института должна сохраниться и впредь.Требования Советского Союза к авиации таковы, что заводам авиапромышленности при</w:t>
      </w:r>
      <w:r w:rsidRPr="0044524F">
        <w:rPr>
          <w:rFonts w:ascii="Times New Roman" w:hAnsi="Times New Roman"/>
          <w:color w:val="000000" w:themeColor="text1"/>
          <w:sz w:val="16"/>
          <w:szCs w:val="16"/>
        </w:rPr>
        <w:softHyphen/>
        <w:t>ходится иметь дело даже не с серийной, а ско</w:t>
      </w:r>
      <w:r w:rsidRPr="0044524F">
        <w:rPr>
          <w:rFonts w:ascii="Times New Roman" w:hAnsi="Times New Roman"/>
          <w:color w:val="000000" w:themeColor="text1"/>
          <w:sz w:val="16"/>
          <w:szCs w:val="16"/>
        </w:rPr>
        <w:softHyphen/>
        <w:t>рее с массовой продукцией. Это является их ос</w:t>
      </w:r>
      <w:r w:rsidRPr="0044524F">
        <w:rPr>
          <w:rFonts w:ascii="Times New Roman" w:hAnsi="Times New Roman"/>
          <w:color w:val="000000" w:themeColor="text1"/>
          <w:sz w:val="16"/>
          <w:szCs w:val="16"/>
        </w:rPr>
        <w:softHyphen/>
        <w:t>новной задачей и налагает особый отпечаток на их Работу. Задачи опытного строительства, т.е. задачи создания новых в научно-техническом отношении экземпляров, хотя и опирающихся весь опыт предыдущей работы, непрерывное усовершенствование каждого типа находящейся в серийном производстве машины должно быть вменено в обязанность серийных заводов.Отсюда следует, что опытное и эксперименталь</w:t>
      </w:r>
      <w:r w:rsidRPr="0044524F">
        <w:rPr>
          <w:rFonts w:ascii="Times New Roman" w:hAnsi="Times New Roman"/>
          <w:color w:val="000000" w:themeColor="text1"/>
          <w:sz w:val="16"/>
          <w:szCs w:val="16"/>
        </w:rPr>
        <w:softHyphen/>
        <w:t>ное строительство есть дело Института, серийное же производствои планомерная модернизация находящихся в серийном производстве машин есть задача серийных заводов.</w:t>
      </w:r>
    </w:p>
    <w:p w14:paraId="36FCF548"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из опыта всей предыдущей работы -ЦАГИ, учитывая ее положительные стороны и недостатки , можно наметить следующие пути дальнейшей работы ЦАГИ.</w:t>
      </w:r>
    </w:p>
    <w:p w14:paraId="215AAF5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I. ЦАГИ продолжает работать как комплексный Институт, занимающийся научно-исследовательскими проблемами и опытным и экспериментальным строительством, внедряя свои опытные машины в серийное производство и доводя их до эталонов. Внедрение опытной машины в серию можно проводить следующим образом. После постройки опытной машины на заводе она </w:t>
      </w:r>
      <w:r w:rsidRPr="0044524F">
        <w:rPr>
          <w:rFonts w:ascii="Times New Roman" w:hAnsi="Times New Roman"/>
          <w:smallCaps/>
          <w:color w:val="000000" w:themeColor="text1"/>
          <w:sz w:val="16"/>
          <w:szCs w:val="16"/>
        </w:rPr>
        <w:t xml:space="preserve">проходит </w:t>
      </w:r>
      <w:r w:rsidRPr="0044524F">
        <w:rPr>
          <w:rFonts w:ascii="Times New Roman" w:hAnsi="Times New Roman"/>
          <w:color w:val="000000" w:themeColor="text1"/>
          <w:sz w:val="16"/>
          <w:szCs w:val="16"/>
        </w:rPr>
        <w:t>заводские испытания, на основе которых проводятся доводки машины. Затем машина проходит государственные испытания и вновь подвергается доводкам. Наконец, после контрольных окончательных испытаний машина, как эталон, передается серийному заводу с чертежами, соответствующими это</w:t>
      </w:r>
      <w:r w:rsidRPr="0044524F">
        <w:rPr>
          <w:rFonts w:ascii="Times New Roman" w:hAnsi="Times New Roman"/>
          <w:color w:val="000000" w:themeColor="text1"/>
          <w:sz w:val="16"/>
          <w:szCs w:val="16"/>
        </w:rPr>
        <w:softHyphen/>
        <w:t>му эталону.Такой путь наиболее приятен для завода, так как он не влечет за собой никаких существенных изменений в передан</w:t>
      </w:r>
      <w:r w:rsidRPr="0044524F">
        <w:rPr>
          <w:rFonts w:ascii="Times New Roman" w:hAnsi="Times New Roman"/>
          <w:color w:val="000000" w:themeColor="text1"/>
          <w:sz w:val="16"/>
          <w:szCs w:val="16"/>
        </w:rPr>
        <w:softHyphen/>
        <w:t>ном заводу материале, и заводу остается лишь копировать переданный эталон, по крайней мере, в первой серии выпускаемых заво</w:t>
      </w:r>
      <w:r w:rsidRPr="0044524F">
        <w:rPr>
          <w:rFonts w:ascii="Times New Roman" w:hAnsi="Times New Roman"/>
          <w:color w:val="000000" w:themeColor="text1"/>
          <w:sz w:val="16"/>
          <w:szCs w:val="16"/>
        </w:rPr>
        <w:softHyphen/>
        <w:t>дом машин .Однако, этот путь очень долог, особенно в применении к большим машинам. По отношению к ряду машин ЦАГИ Правительство приняло другой более короткий путь. Серий</w:t>
      </w:r>
      <w:r w:rsidRPr="0044524F">
        <w:rPr>
          <w:rFonts w:ascii="Times New Roman" w:hAnsi="Times New Roman"/>
          <w:color w:val="000000" w:themeColor="text1"/>
          <w:sz w:val="16"/>
          <w:szCs w:val="16"/>
        </w:rPr>
        <w:softHyphen/>
        <w:t>ный завод получает чертежи машины и подго</w:t>
      </w:r>
      <w:r w:rsidRPr="0044524F">
        <w:rPr>
          <w:rFonts w:ascii="Times New Roman" w:hAnsi="Times New Roman"/>
          <w:color w:val="000000" w:themeColor="text1"/>
          <w:sz w:val="16"/>
          <w:szCs w:val="16"/>
        </w:rPr>
        <w:softHyphen/>
        <w:t>тавливает производство еще в то время, когда машина строится на опытном заводе ЦАГИ. В этом случае доведение опытной машины до эталона проходит после передачи серийному заводу чертежей, и потому серийному заводу приходитоя вносить некоторые изменения в конструкцию машины и в подготовку процес</w:t>
      </w:r>
      <w:r w:rsidRPr="0044524F">
        <w:rPr>
          <w:rFonts w:ascii="Times New Roman" w:hAnsi="Times New Roman"/>
          <w:color w:val="000000" w:themeColor="text1"/>
          <w:sz w:val="16"/>
          <w:szCs w:val="16"/>
        </w:rPr>
        <w:softHyphen/>
        <w:t>са производства. Заводы должны ясно это понимать и быть готовыми достаточно четко проводить эту работу. Затруднения, возни</w:t>
      </w:r>
      <w:r w:rsidRPr="0044524F">
        <w:rPr>
          <w:rFonts w:ascii="Times New Roman" w:hAnsi="Times New Roman"/>
          <w:color w:val="000000" w:themeColor="text1"/>
          <w:sz w:val="16"/>
          <w:szCs w:val="16"/>
        </w:rPr>
        <w:softHyphen/>
        <w:t>кающие при этом для серийных заводов, с лихвой окупаются более быстрыми теппани внедрения опытных машин в серию. Очевидно, что последний порядок внедрения опытннх ма</w:t>
      </w:r>
      <w:r w:rsidRPr="0044524F">
        <w:rPr>
          <w:rFonts w:ascii="Times New Roman" w:hAnsi="Times New Roman"/>
          <w:color w:val="000000" w:themeColor="text1"/>
          <w:sz w:val="16"/>
          <w:szCs w:val="16"/>
        </w:rPr>
        <w:softHyphen/>
        <w:t>шин в серию требует наличия на серийных за</w:t>
      </w:r>
      <w:r w:rsidRPr="0044524F">
        <w:rPr>
          <w:rFonts w:ascii="Times New Roman" w:hAnsi="Times New Roman"/>
          <w:color w:val="000000" w:themeColor="text1"/>
          <w:sz w:val="16"/>
          <w:szCs w:val="16"/>
        </w:rPr>
        <w:softHyphen/>
        <w:t>водах конструкторских бюро. Необходимость организации конструкторских бюро на серийных заводах вытекает еще в большей степени из следующего, уже упомянутого выше, положения.</w:t>
      </w:r>
    </w:p>
    <w:p w14:paraId="2F054A77"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Совершенно ненормально, что каждая серийная машина не подвергается у нас плано</w:t>
      </w:r>
      <w:r w:rsidRPr="0044524F">
        <w:rPr>
          <w:rFonts w:ascii="Times New Roman" w:hAnsi="Times New Roman"/>
          <w:color w:val="000000" w:themeColor="text1"/>
          <w:sz w:val="16"/>
          <w:szCs w:val="16"/>
        </w:rPr>
        <w:softHyphen/>
        <w:t>мерным и непрерывным дальнейшим улучшениям как на основе эксплотационного опыта, так и развития авиационной науки и техники. Такая планомерная модернизация серийной маанны может надолго сохранить в производстве тип машины и довести этот тип до большого совер</w:t>
      </w:r>
      <w:r w:rsidRPr="0044524F">
        <w:rPr>
          <w:rFonts w:ascii="Times New Roman" w:hAnsi="Times New Roman"/>
          <w:color w:val="000000" w:themeColor="text1"/>
          <w:sz w:val="16"/>
          <w:szCs w:val="16"/>
        </w:rPr>
        <w:softHyphen/>
        <w:t>шенства. Опыт работы ЦАГИ над машиною И-5 подтверждает правильность такого пути. Эта задача должна быть поставлена, как основная, перед конструкторскими бюро серийных, заводов. Конечно, подобного рода работа или участие в такой работе, проводимой на серийных заводах, не может быть снята полностью с ЦАГИ, так как в неко</w:t>
      </w:r>
      <w:r w:rsidRPr="0044524F">
        <w:rPr>
          <w:rFonts w:ascii="Times New Roman" w:hAnsi="Times New Roman"/>
          <w:color w:val="000000" w:themeColor="text1"/>
          <w:sz w:val="16"/>
          <w:szCs w:val="16"/>
        </w:rPr>
        <w:softHyphen/>
        <w:t xml:space="preserve">торых случаях решение </w:t>
      </w:r>
      <w:r w:rsidRPr="0044524F">
        <w:rPr>
          <w:rFonts w:ascii="Times New Roman" w:hAnsi="Times New Roman"/>
          <w:smallCaps/>
          <w:color w:val="000000" w:themeColor="text1"/>
          <w:sz w:val="16"/>
          <w:szCs w:val="16"/>
        </w:rPr>
        <w:t xml:space="preserve">вопросов </w:t>
      </w:r>
      <w:r w:rsidRPr="0044524F">
        <w:rPr>
          <w:rFonts w:ascii="Times New Roman" w:hAnsi="Times New Roman"/>
          <w:color w:val="000000" w:themeColor="text1"/>
          <w:sz w:val="16"/>
          <w:szCs w:val="16"/>
        </w:rPr>
        <w:t>будет требо</w:t>
      </w:r>
      <w:r w:rsidRPr="0044524F">
        <w:rPr>
          <w:rFonts w:ascii="Times New Roman" w:hAnsi="Times New Roman"/>
          <w:color w:val="000000" w:themeColor="text1"/>
          <w:sz w:val="16"/>
          <w:szCs w:val="16"/>
        </w:rPr>
        <w:softHyphen/>
        <w:t>вать особых знаний и опыта, который по нас</w:t>
      </w:r>
      <w:r w:rsidRPr="0044524F">
        <w:rPr>
          <w:rFonts w:ascii="Times New Roman" w:hAnsi="Times New Roman"/>
          <w:color w:val="000000" w:themeColor="text1"/>
          <w:sz w:val="16"/>
          <w:szCs w:val="16"/>
        </w:rPr>
        <w:softHyphen/>
        <w:t>тоящее время имеется лишь у ЦАГИ.</w:t>
      </w:r>
    </w:p>
    <w:p w14:paraId="790670F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Работа конструкторских бюро на се</w:t>
      </w:r>
      <w:r w:rsidRPr="0044524F">
        <w:rPr>
          <w:rFonts w:ascii="Times New Roman" w:hAnsi="Times New Roman"/>
          <w:color w:val="000000" w:themeColor="text1"/>
          <w:sz w:val="16"/>
          <w:szCs w:val="16"/>
        </w:rPr>
        <w:softHyphen/>
        <w:t>рийных заводах по модернизации и улучшению находящихся на снабжении машин будет обяза</w:t>
      </w:r>
      <w:r w:rsidRPr="0044524F">
        <w:rPr>
          <w:rFonts w:ascii="Times New Roman" w:hAnsi="Times New Roman"/>
          <w:color w:val="000000" w:themeColor="text1"/>
          <w:sz w:val="16"/>
          <w:szCs w:val="16"/>
        </w:rPr>
        <w:softHyphen/>
        <w:t>тельно требовать выполнения контрольных экспериментов по вопросам прочности, механи</w:t>
      </w:r>
      <w:r w:rsidRPr="0044524F">
        <w:rPr>
          <w:rFonts w:ascii="Times New Roman" w:hAnsi="Times New Roman"/>
          <w:color w:val="000000" w:themeColor="text1"/>
          <w:sz w:val="16"/>
          <w:szCs w:val="16"/>
        </w:rPr>
        <w:softHyphen/>
        <w:t>ческих свойств материалов, а также, в более углубленных случаях, и по аэродинамике.Поэтому, на серийных заводах должны быть развер</w:t>
      </w:r>
      <w:r w:rsidRPr="0044524F">
        <w:rPr>
          <w:rFonts w:ascii="Times New Roman" w:hAnsi="Times New Roman"/>
          <w:color w:val="000000" w:themeColor="text1"/>
          <w:sz w:val="16"/>
          <w:szCs w:val="16"/>
        </w:rPr>
        <w:softHyphen/>
        <w:t>нуты соответствующие лаборатории. Особое вни</w:t>
      </w:r>
      <w:r w:rsidRPr="0044524F">
        <w:rPr>
          <w:rFonts w:ascii="Times New Roman" w:hAnsi="Times New Roman"/>
          <w:color w:val="000000" w:themeColor="text1"/>
          <w:sz w:val="16"/>
          <w:szCs w:val="16"/>
        </w:rPr>
        <w:softHyphen/>
        <w:t>мание долкно быть проявлено при организации аэродинамических лабораторий. Так как иссле</w:t>
      </w:r>
      <w:r w:rsidRPr="0044524F">
        <w:rPr>
          <w:rFonts w:ascii="Times New Roman" w:hAnsi="Times New Roman"/>
          <w:color w:val="000000" w:themeColor="text1"/>
          <w:sz w:val="16"/>
          <w:szCs w:val="16"/>
        </w:rPr>
        <w:softHyphen/>
        <w:t>дования ЦАГИ показали, что результаты испы</w:t>
      </w:r>
      <w:r w:rsidRPr="0044524F">
        <w:rPr>
          <w:rFonts w:ascii="Times New Roman" w:hAnsi="Times New Roman"/>
          <w:color w:val="000000" w:themeColor="text1"/>
          <w:sz w:val="16"/>
          <w:szCs w:val="16"/>
        </w:rPr>
        <w:softHyphen/>
        <w:t>таний в разных аэро-динамических трубах сильно меиду собой разнятся, то аэродинами</w:t>
      </w:r>
      <w:r w:rsidRPr="0044524F">
        <w:rPr>
          <w:rFonts w:ascii="Times New Roman" w:hAnsi="Times New Roman"/>
          <w:color w:val="000000" w:themeColor="text1"/>
          <w:sz w:val="16"/>
          <w:szCs w:val="16"/>
        </w:rPr>
        <w:softHyphen/>
        <w:t>ческие лаборатории серийных заводов долины быть снабжены стандартными трубами со стан</w:t>
      </w:r>
      <w:r w:rsidRPr="0044524F">
        <w:rPr>
          <w:rFonts w:ascii="Times New Roman" w:hAnsi="Times New Roman"/>
          <w:color w:val="000000" w:themeColor="text1"/>
          <w:sz w:val="16"/>
          <w:szCs w:val="16"/>
        </w:rPr>
        <w:softHyphen/>
        <w:t>дартным оборудованием. Необходимо здесь отме</w:t>
      </w:r>
      <w:r w:rsidRPr="0044524F">
        <w:rPr>
          <w:rFonts w:ascii="Times New Roman" w:hAnsi="Times New Roman"/>
          <w:color w:val="000000" w:themeColor="text1"/>
          <w:sz w:val="16"/>
          <w:szCs w:val="16"/>
        </w:rPr>
        <w:softHyphen/>
        <w:t>тить, что развертывание лабораторий на серий</w:t>
      </w:r>
      <w:r w:rsidRPr="0044524F">
        <w:rPr>
          <w:rFonts w:ascii="Times New Roman" w:hAnsi="Times New Roman"/>
          <w:color w:val="000000" w:themeColor="text1"/>
          <w:sz w:val="16"/>
          <w:szCs w:val="16"/>
        </w:rPr>
        <w:softHyphen/>
        <w:t>ных заводах будет иметь и большое значение в мобилизационном отношении.На ЦАГИ должна быть возложена обязанность дать спесификации оборудования таких лабораторий, чертежи стандартных аэродинамических труб и соответствующую аппаратуру, а также оказать содей</w:t>
      </w:r>
      <w:r w:rsidRPr="0044524F">
        <w:rPr>
          <w:rFonts w:ascii="Times New Roman" w:hAnsi="Times New Roman"/>
          <w:color w:val="000000" w:themeColor="text1"/>
          <w:sz w:val="16"/>
          <w:szCs w:val="16"/>
        </w:rPr>
        <w:softHyphen/>
        <w:t>ствие в подготовке кадров и дальнейшей рабо</w:t>
      </w:r>
      <w:r w:rsidRPr="0044524F">
        <w:rPr>
          <w:rFonts w:ascii="Times New Roman" w:hAnsi="Times New Roman"/>
          <w:color w:val="000000" w:themeColor="text1"/>
          <w:sz w:val="16"/>
          <w:szCs w:val="16"/>
        </w:rPr>
        <w:softHyphen/>
        <w:t>те этих лабораторий. Организация таких лабо</w:t>
      </w:r>
      <w:r w:rsidRPr="0044524F">
        <w:rPr>
          <w:rFonts w:ascii="Times New Roman" w:hAnsi="Times New Roman"/>
          <w:color w:val="000000" w:themeColor="text1"/>
          <w:sz w:val="16"/>
          <w:szCs w:val="16"/>
        </w:rPr>
        <w:softHyphen/>
        <w:t>раторий будет иметь существенное значение и для ЦАГИ, так как освободит ЦАГИ от боль</w:t>
      </w:r>
      <w:r w:rsidRPr="0044524F">
        <w:rPr>
          <w:rFonts w:ascii="Times New Roman" w:hAnsi="Times New Roman"/>
          <w:color w:val="000000" w:themeColor="text1"/>
          <w:sz w:val="16"/>
          <w:szCs w:val="16"/>
        </w:rPr>
        <w:softHyphen/>
        <w:t>шого количества мелких контрольных испытаний и даст большее время для разрешения принципи</w:t>
      </w:r>
      <w:r w:rsidRPr="0044524F">
        <w:rPr>
          <w:rFonts w:ascii="Times New Roman" w:hAnsi="Times New Roman"/>
          <w:color w:val="000000" w:themeColor="text1"/>
          <w:sz w:val="16"/>
          <w:szCs w:val="16"/>
        </w:rPr>
        <w:softHyphen/>
        <w:t xml:space="preserve">альных </w:t>
      </w:r>
      <w:r w:rsidRPr="0044524F">
        <w:rPr>
          <w:rFonts w:ascii="Times New Roman" w:hAnsi="Times New Roman"/>
          <w:smallCaps/>
          <w:color w:val="000000" w:themeColor="text1"/>
          <w:sz w:val="16"/>
          <w:szCs w:val="16"/>
        </w:rPr>
        <w:t xml:space="preserve">вопросОВ. </w:t>
      </w:r>
      <w:r w:rsidRPr="0044524F">
        <w:rPr>
          <w:rFonts w:ascii="Times New Roman" w:hAnsi="Times New Roman"/>
          <w:color w:val="000000" w:themeColor="text1"/>
          <w:sz w:val="16"/>
          <w:szCs w:val="16"/>
        </w:rPr>
        <w:t>Конечно, если конструкторские бюро серийных заводов в своих рабо</w:t>
      </w:r>
      <w:r w:rsidRPr="0044524F">
        <w:rPr>
          <w:rFonts w:ascii="Times New Roman" w:hAnsi="Times New Roman"/>
          <w:color w:val="000000" w:themeColor="text1"/>
          <w:sz w:val="16"/>
          <w:szCs w:val="16"/>
        </w:rPr>
        <w:softHyphen/>
        <w:t>тах встретятся с необходимостью экспериментального разрешения более глубоких задач, то, по прежнему, к этому делу должны быть прив</w:t>
      </w:r>
      <w:r w:rsidRPr="0044524F">
        <w:rPr>
          <w:rFonts w:ascii="Times New Roman" w:hAnsi="Times New Roman"/>
          <w:color w:val="000000" w:themeColor="text1"/>
          <w:sz w:val="16"/>
          <w:szCs w:val="16"/>
        </w:rPr>
        <w:softHyphen/>
        <w:t xml:space="preserve">ечены </w:t>
      </w:r>
      <w:r w:rsidRPr="0044524F">
        <w:rPr>
          <w:rFonts w:ascii="Times New Roman" w:hAnsi="Times New Roman"/>
          <w:color w:val="000000" w:themeColor="text1"/>
          <w:sz w:val="16"/>
          <w:szCs w:val="16"/>
        </w:rPr>
        <w:lastRenderedPageBreak/>
        <w:t xml:space="preserve">лаборатории ЦАГИ. Стандартные аэродинамические лаборатории в первую очередь уже с 1934 года надо организовать на заводе № 39 и Харьковском авиационном заводе. </w:t>
      </w:r>
      <w:r w:rsidRPr="0044524F">
        <w:rPr>
          <w:rFonts w:ascii="Times New Roman" w:hAnsi="Times New Roman"/>
          <w:smallCaps/>
          <w:color w:val="000000" w:themeColor="text1"/>
          <w:sz w:val="16"/>
          <w:szCs w:val="16"/>
        </w:rPr>
        <w:t xml:space="preserve">при </w:t>
      </w:r>
      <w:r w:rsidRPr="0044524F">
        <w:rPr>
          <w:rFonts w:ascii="Times New Roman" w:hAnsi="Times New Roman"/>
          <w:color w:val="000000" w:themeColor="text1"/>
          <w:sz w:val="16"/>
          <w:szCs w:val="16"/>
        </w:rPr>
        <w:t>проводимой модификации машин необходимо обращать внимание на самое тщательное выполнение требований стандартизации их деталей и частей.</w:t>
      </w:r>
    </w:p>
    <w:p w14:paraId="0729E891"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Хотя ЦАГИ и получил указание о наблюдении за качеством самолетов ЦАГИ в их эксплоатации, однако это дело до сих пор в ЦАГИ не организовано. Необходима немедленная организация этого дела в ЦАГИ с тем, чтобы эксплоатационный опыт учитывался при проекти</w:t>
      </w:r>
      <w:r w:rsidRPr="0044524F">
        <w:rPr>
          <w:rFonts w:ascii="Times New Roman" w:hAnsi="Times New Roman"/>
          <w:color w:val="000000" w:themeColor="text1"/>
          <w:sz w:val="16"/>
          <w:szCs w:val="16"/>
        </w:rPr>
        <w:softHyphen/>
        <w:t>ровании в ЦАГИ новых опытных машин, а также передавался серийным заводам, строящим маши-ЦАГИ, в целях использования его при моди</w:t>
      </w:r>
      <w:r w:rsidRPr="0044524F">
        <w:rPr>
          <w:rFonts w:ascii="Times New Roman" w:hAnsi="Times New Roman"/>
          <w:color w:val="000000" w:themeColor="text1"/>
          <w:sz w:val="16"/>
          <w:szCs w:val="16"/>
        </w:rPr>
        <w:softHyphen/>
        <w:t>фикациях машин.</w:t>
      </w:r>
    </w:p>
    <w:p w14:paraId="6DCBB4F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На основе изложенного, а также приказа по Главному Управлению Авиационной Промышленности за № 20/366 от 13 июля 1932 г., можно следующим образом определить функции ЦАГИ и серийных заводов.</w:t>
      </w:r>
    </w:p>
    <w:p w14:paraId="3AE9C9E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ЦАГИ следует возложить:</w:t>
      </w:r>
    </w:p>
    <w:p w14:paraId="35F3BE65"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разработку новьх типов самолетов, оборудования и вооружения по утвержденному плану;</w:t>
      </w:r>
    </w:p>
    <w:p w14:paraId="62DBFED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испьггание, полное согласование и утверждение новьх типов самолетов, доводку их до эталлона для первой серии;</w:t>
      </w:r>
    </w:p>
    <w:p w14:paraId="2CCD136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передачу серийным заводам конструктивных чертежей новых самолетов;</w:t>
      </w:r>
    </w:p>
    <w:p w14:paraId="526EAD0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передачу серийньм заводам эталонов новвы типов самолетов.</w:t>
      </w:r>
    </w:p>
    <w:p w14:paraId="7AF02E51"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передачу измененных чертежей и эталонов серийной машины, если модификации маиины бьли выполнены ЦАГИ;</w:t>
      </w:r>
    </w:p>
    <w:p w14:paraId="6B2DDEA5"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испытание и полное согласование эталонов серийных машин на каждый новый опарационный период их серийной построойки, если изменения в машины бьли внесено ЦАГИ;</w:t>
      </w:r>
    </w:p>
    <w:p w14:paraId="59C35EA5"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 техническое наблюдение и консультацию по вновь внедряемым в производство машинам и равно и по изменениям, предложенным серийными заводами в конструкцию серийных самолетов;</w:t>
      </w:r>
    </w:p>
    <w:p w14:paraId="3712BFC7"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 техническую помоць и консультацию по лабораторным работам серийных заводов в областях, касающихся компетенции ЦАГИ;</w:t>
      </w:r>
    </w:p>
    <w:p w14:paraId="6553F4F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постоянное наблюдение за качеством самолетов ЦАГИ в эксплоатации их дальнейшей модификации и стандартизацией деталей в процессе дальнейшей серийной постройки.</w:t>
      </w:r>
    </w:p>
    <w:p w14:paraId="60EA2A2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Задачу серийных заводов следует поставить:</w:t>
      </w:r>
    </w:p>
    <w:p w14:paraId="12602CB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подготовку производства к внедрению в серию новых видов самолетов ЦАГИ по утвержденным эталонам под техническим 'наблюдением ЦАГИ;</w:t>
      </w:r>
    </w:p>
    <w:p w14:paraId="0EA0C08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разработку изменений в чертежах под наблюдением ЦАГИ первой серии, если они переданы в производство еще до утверждения эталона;</w:t>
      </w:r>
    </w:p>
    <w:p w14:paraId="4805BBAD"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систематическое удешевление, улучшение и модернизацию на основе эксплотационного опыта, а также новых тактико-техничеоких данных, с учетом требований стандартизации;</w:t>
      </w:r>
    </w:p>
    <w:p w14:paraId="1EFDB92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испытание и полное согласование эталонов серийных машин, если модификации их проводились серийным заводом.</w:t>
      </w:r>
    </w:p>
    <w:p w14:paraId="06B42CAA"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производство соответствующих контрольных испытаний в своих лабораториях, связанных о задачами улучшения качества машин.</w:t>
      </w:r>
    </w:p>
    <w:p w14:paraId="49222B08"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ЦАГИ в области построения экспериментальных машин не могут быть признаны достаточными. Соответствующая бригада ЦАГИ, которая начала заниматься этими вопросами и во главе которой стоял инж.ЧИЖЕВСКИЙ, перешла на завод № 39. Необходимо усилить эту работу в ЦАГИ, освободив Конструкторский Отдел и опытный завод от большинства работ, связанных о модификациями серийных машин; эти последние работы, как было указано выше, могут быть вменены в обязанность серийных заводов.</w:t>
      </w:r>
    </w:p>
    <w:p w14:paraId="3ED9B15E"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Наибольшие задержки в работе ЦАГИ, как особенно работа по ТБ3-М34, зависят от винтомоторной труппы. Причина этого лежит в том, что с выделением работы по моторам в специальный Институт, ЦИАМ, из ЦАГИ оказались вырванными работы по винтомоторной группе .Необходимо восстановление этих работ в системе ЦАГИ (2281,80).</w:t>
      </w:r>
    </w:p>
    <w:p w14:paraId="4076265C"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FAA6EA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ВИАМ направил в ГУАП Доклад о современном состоянии и перспективах развития ВИАМа (2281,52).</w:t>
      </w:r>
    </w:p>
    <w:p w14:paraId="18634D8A"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о к л а д</w:t>
      </w:r>
    </w:p>
    <w:p w14:paraId="34A2774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современном состоянии и перспективах развития ВИАМа</w:t>
      </w:r>
    </w:p>
    <w:p w14:paraId="57C7D2D0"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Современное состояние ВИАМ"а.</w:t>
      </w:r>
    </w:p>
    <w:p w14:paraId="27EF497C"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ВИАМ имеет три научно-технических Отдела, а именно:</w:t>
      </w:r>
    </w:p>
    <w:p w14:paraId="21E2DE4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отдел по изучению металлов,</w:t>
      </w:r>
    </w:p>
    <w:p w14:paraId="1777426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отдел по изучению авиалеса,</w:t>
      </w:r>
    </w:p>
    <w:p w14:paraId="553A8098"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отдел по изучению химических матерлалов.</w:t>
      </w:r>
    </w:p>
    <w:p w14:paraId="40641CA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 отделы разделяются на лаборатирии и оперативные группы.Так в составе отдела металлов ииеется 8 лабораторий и 6 оперативных групп; в составе отдела авиалеса - 4 лаборатории и 4 группыб а составе химико-технологического отдела - 7 лабораторий.</w:t>
      </w:r>
    </w:p>
    <w:p w14:paraId="5BAB75C0"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 институте имеется: отдел научной информации, включающий в себя библиотеку и издательство, отдел главного механика с маастерскими для изготовления образцов и мелких приборов, отдел снабжения, плановый отдел и отдел учета и отчетности.</w:t>
      </w:r>
    </w:p>
    <w:p w14:paraId="5BD12D1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в институте состоит:</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26"/>
        <w:gridCol w:w="1559"/>
      </w:tblGrid>
      <w:tr w:rsidR="004E10C1" w:rsidRPr="0044524F" w14:paraId="19F6286B" w14:textId="77777777">
        <w:tc>
          <w:tcPr>
            <w:tcW w:w="1526" w:type="dxa"/>
            <w:tcBorders>
              <w:top w:val="single" w:sz="12" w:space="0" w:color="auto"/>
            </w:tcBorders>
          </w:tcPr>
          <w:p w14:paraId="02BC1CE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инженеров</w:t>
            </w:r>
          </w:p>
        </w:tc>
        <w:tc>
          <w:tcPr>
            <w:tcW w:w="1559" w:type="dxa"/>
            <w:tcBorders>
              <w:top w:val="single" w:sz="12" w:space="0" w:color="auto"/>
            </w:tcBorders>
          </w:tcPr>
          <w:p w14:paraId="05AEB22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w:t>
            </w:r>
          </w:p>
        </w:tc>
      </w:tr>
      <w:tr w:rsidR="004E10C1" w:rsidRPr="0044524F" w14:paraId="4B5ECBF7" w14:textId="77777777">
        <w:tc>
          <w:tcPr>
            <w:tcW w:w="1526" w:type="dxa"/>
          </w:tcPr>
          <w:p w14:paraId="1379409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техников</w:t>
            </w:r>
          </w:p>
        </w:tc>
        <w:tc>
          <w:tcPr>
            <w:tcW w:w="1559" w:type="dxa"/>
          </w:tcPr>
          <w:p w14:paraId="2DAFC67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r>
      <w:tr w:rsidR="004E10C1" w:rsidRPr="0044524F" w14:paraId="141F4893" w14:textId="77777777">
        <w:tc>
          <w:tcPr>
            <w:tcW w:w="1526" w:type="dxa"/>
          </w:tcPr>
          <w:p w14:paraId="0EC3B26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лаборантов</w:t>
            </w:r>
          </w:p>
        </w:tc>
        <w:tc>
          <w:tcPr>
            <w:tcW w:w="1559" w:type="dxa"/>
          </w:tcPr>
          <w:p w14:paraId="04A0490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r>
      <w:tr w:rsidR="004E10C1" w:rsidRPr="0044524F" w14:paraId="206CBB15" w14:textId="77777777">
        <w:tc>
          <w:tcPr>
            <w:tcW w:w="1526" w:type="dxa"/>
          </w:tcPr>
          <w:p w14:paraId="0F2FE28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препараторов</w:t>
            </w:r>
          </w:p>
        </w:tc>
        <w:tc>
          <w:tcPr>
            <w:tcW w:w="1559" w:type="dxa"/>
          </w:tcPr>
          <w:p w14:paraId="3B11440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r>
      <w:tr w:rsidR="004E10C1" w:rsidRPr="0044524F" w14:paraId="033CECC7" w14:textId="77777777">
        <w:tc>
          <w:tcPr>
            <w:tcW w:w="1526" w:type="dxa"/>
          </w:tcPr>
          <w:p w14:paraId="0651E0F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экономистов</w:t>
            </w:r>
          </w:p>
        </w:tc>
        <w:tc>
          <w:tcPr>
            <w:tcW w:w="1559" w:type="dxa"/>
          </w:tcPr>
          <w:p w14:paraId="0E30DA8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07FEE5F2" w14:textId="77777777">
        <w:tc>
          <w:tcPr>
            <w:tcW w:w="1526" w:type="dxa"/>
          </w:tcPr>
          <w:p w14:paraId="53543F7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чертежников</w:t>
            </w:r>
          </w:p>
        </w:tc>
        <w:tc>
          <w:tcPr>
            <w:tcW w:w="1559" w:type="dxa"/>
          </w:tcPr>
          <w:p w14:paraId="6212D83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r>
      <w:tr w:rsidR="004E10C1" w:rsidRPr="0044524F" w14:paraId="4BB19888" w14:textId="77777777">
        <w:tc>
          <w:tcPr>
            <w:tcW w:w="1526" w:type="dxa"/>
          </w:tcPr>
          <w:p w14:paraId="58C82E7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прочих ИТР</w:t>
            </w:r>
          </w:p>
        </w:tc>
        <w:tc>
          <w:tcPr>
            <w:tcW w:w="1559" w:type="dxa"/>
          </w:tcPr>
          <w:p w14:paraId="12AB2B8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r>
      <w:tr w:rsidR="004E10C1" w:rsidRPr="0044524F" w14:paraId="4CA5F501" w14:textId="77777777">
        <w:tc>
          <w:tcPr>
            <w:tcW w:w="1526" w:type="dxa"/>
          </w:tcPr>
          <w:p w14:paraId="773585F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КСК</w:t>
            </w:r>
          </w:p>
        </w:tc>
        <w:tc>
          <w:tcPr>
            <w:tcW w:w="1559" w:type="dxa"/>
          </w:tcPr>
          <w:p w14:paraId="5B61A93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w:t>
            </w:r>
          </w:p>
        </w:tc>
      </w:tr>
      <w:tr w:rsidR="004E10C1" w:rsidRPr="0044524F" w14:paraId="022940F1" w14:textId="77777777">
        <w:tc>
          <w:tcPr>
            <w:tcW w:w="1526" w:type="dxa"/>
          </w:tcPr>
          <w:p w14:paraId="15B5068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МСП</w:t>
            </w:r>
          </w:p>
        </w:tc>
        <w:tc>
          <w:tcPr>
            <w:tcW w:w="1559" w:type="dxa"/>
          </w:tcPr>
          <w:p w14:paraId="5CC8106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r>
      <w:tr w:rsidR="004E10C1" w:rsidRPr="0044524F" w14:paraId="7C84E77E" w14:textId="77777777">
        <w:tc>
          <w:tcPr>
            <w:tcW w:w="1526" w:type="dxa"/>
            <w:tcBorders>
              <w:bottom w:val="single" w:sz="12" w:space="0" w:color="auto"/>
            </w:tcBorders>
          </w:tcPr>
          <w:p w14:paraId="03AD200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рабочих</w:t>
            </w:r>
          </w:p>
        </w:tc>
        <w:tc>
          <w:tcPr>
            <w:tcW w:w="1559" w:type="dxa"/>
            <w:tcBorders>
              <w:bottom w:val="single" w:sz="12" w:space="0" w:color="auto"/>
            </w:tcBorders>
          </w:tcPr>
          <w:p w14:paraId="23B1F15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137</w:t>
            </w:r>
          </w:p>
        </w:tc>
      </w:tr>
    </w:tbl>
    <w:p w14:paraId="11B1CD9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числу руководящего состава надо отнести ? человек инженеров высокой квалификации, имеющих большой опыт и достаточно известных в авиационной промышленности. Остальные инженеры д.б. отнесены к категории молодых специалистов... (2281).</w:t>
      </w:r>
    </w:p>
    <w:p w14:paraId="6D29D36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касается оборудования вышеупомянутых лабораторий, то за небольшими исключениями оно должно быть признано недостаточным. Нет оборудования для лабораторий пласт-масс, нет оборудования для мастерских, недостает отдельных приборов для других лабораторийМеры к приобретению всего оборудования как со стороны ВИАМа, так и со стороны ГУАП, приняты. Одним из главных препятствий к развитию института является отсутствие собственного опытного завода. Вследствии этого институт вынужден производить свои опытные работы на заводах серийного и массового производства, что отнимает чрезвычайно много времени на организацию этих работ и не дает нужного эффекта.</w:t>
      </w:r>
    </w:p>
    <w:p w14:paraId="78A1032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Нконец, фактором, лимитирующим работу института, выступает недостаток помещений. Институт располагает всего ? мт2 помещений, которые к тому же располагаются на трех территориях (ЦАГИ, ЦИАМ, и Маросейка, 12). Ввиду этого, институт не может ни развернуть новых лабораторий, ни надлежащих мастерских, ни создать более или менее культурные условия работы для научных сотрудников.</w:t>
      </w:r>
    </w:p>
    <w:p w14:paraId="54036B2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П.Характер работы ВИАМ</w:t>
      </w:r>
    </w:p>
    <w:p w14:paraId="22328B9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ВИАМа разделяется на две части: научно-исследовательскую и практическую. Научно-исследовательская работа заключалась в лабораторных исследованиях, имеющих своей целью: 1/ изыскание новых авиационных материалов; 2/ улучшение существующих материалов; 3/ выработку рациональных методов применения и использования материалов в самолето- и моторостроении.</w:t>
      </w:r>
    </w:p>
    <w:p w14:paraId="0822D4B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Практическая деятельность института заключается в обслуживании промышленности и делится на две категории работ. Из них первая заключается в организации производства новых авиационных материалов на заводах-поставщиках, а вторая - в в организации новых технологических процессов на заводах авиационной промышленности.</w:t>
      </w:r>
    </w:p>
    <w:p w14:paraId="3B47195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Институт ведет обширную консультационную работу, котрая выражается в повседневных контрольных исследованиях самых разнообразных материалов и даче заключений по всем вопросам, которые ставиятся заводами и ГУАПом.</w:t>
      </w:r>
    </w:p>
    <w:p w14:paraId="31A3120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Научно-исследовательские работы печатаются в трудах института в виде монографий и сборников. Работы по обслуживанию промышленности оформляются в виде докладов, ТУ и производственных инструкций.</w:t>
      </w:r>
    </w:p>
    <w:p w14:paraId="57F7ECC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 Результаты работы ВИАМ</w:t>
      </w:r>
    </w:p>
    <w:p w14:paraId="5D42DA9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ВИАМ существует полтора года. Часть этого времени была затрачена Институтом на организацию работы; довольно много времени ушло на обучение моложых специалистов. Тем не менее Институтом выполнены и переданы промышленности следующие работы:</w:t>
      </w:r>
    </w:p>
    <w:p w14:paraId="68C8C65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Организовано производство листовой хромо-молибденовой стали на заводе Серп и молот в Москве. Эта сталиь ранее ввозилась из-за границы, на что тратились большие суммы валюты;</w:t>
      </w:r>
    </w:p>
    <w:p w14:paraId="796D0E1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Организовано производство листовой кремне-хромо-марганцевой стали (хромансиль) на заводе Серп и молот в Москве. Эта сталь не содержит в себе импортных присадок, имеет хорошие механические свойства, хорошо сваривается и будет основным материалом самолетостроения.</w:t>
      </w:r>
    </w:p>
    <w:p w14:paraId="67C3053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Организовано совместно с заволорм им. Ворошилова производство супералькледа с титаном, который должен будет заменить старый альклед. Новый матиериал дает возможность снизить собственный вес самолета на 15%.</w:t>
      </w:r>
    </w:p>
    <w:p w14:paraId="3FACD08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Организован процесс азотизации моторных деталей на заводе № 26 в Рыбинске.</w:t>
      </w:r>
    </w:p>
    <w:p w14:paraId="63C7821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Организовано производство моторных деталей из хромистых сталей взамен хромоникилевой (заводы 24, 26, 29, ЦИАМ и ЦАГИ)</w:t>
      </w:r>
    </w:p>
    <w:p w14:paraId="77D659A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Организовано производство штампованых поршнейиз алюминиевых сплавов на заводе № 26 в Рыбинске</w:t>
      </w:r>
    </w:p>
    <w:p w14:paraId="753B8AA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Изготовлен и испытан в полете литой полый винт из аллюминиевого сплава, вполне заменяющий кованные металлические винты и не требущий для производства ни штампов ни молотов.</w:t>
      </w:r>
    </w:p>
    <w:p w14:paraId="0843211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Оказана помощь в организации производства штампованных алюминиевых пропеллеров на заводах НКТП</w:t>
      </w:r>
    </w:p>
    <w:p w14:paraId="1258D23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Организовано производство гофрированной фанеры на Парф... фанерном заводе. Изготовлены пробные партии материалакоторые поставлены на опытные самолеты ЦАГИ, НИИ ГВФ и завода № 81</w:t>
      </w:r>
    </w:p>
    <w:p w14:paraId="7485223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Разработана и испытана в эксплоатации краска для электрона.</w:t>
      </w:r>
    </w:p>
    <w:p w14:paraId="327E14C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Выработан метод производства фибры больших толщин для специальных целей военного ведомства.</w:t>
      </w:r>
    </w:p>
    <w:p w14:paraId="29EF37A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Разработаны порошкообразные водоупорные клеи из казеина.</w:t>
      </w:r>
    </w:p>
    <w:p w14:paraId="5937186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Заменено импортное красное дерево лиственицей в подводной обшивке гидросамолетов (завода № 23 и 21).</w:t>
      </w:r>
    </w:p>
    <w:p w14:paraId="31B0D2C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Установлен стандартный тип камер для сушки авиадревесины.</w:t>
      </w:r>
    </w:p>
    <w:p w14:paraId="6792290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Произведено обследование лесов Дальневосточного края и подробно изучены физико-механические свойства древесных пород этого края.</w:t>
      </w:r>
    </w:p>
    <w:p w14:paraId="6D3DC9F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Разработан ряд новых методов изготовления деревянных пропеллеров, которные в водятся на производстве завода № 28.</w:t>
      </w:r>
    </w:p>
    <w:p w14:paraId="767AC8D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выполнено большое количество лабораторных исследований по всем вопросам авиационного материаловедения, произведены многочисленные контрольные испытания, экспертизы и проч.</w:t>
      </w:r>
    </w:p>
    <w:p w14:paraId="5F771F4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1У. Недостатки в работе ВИАМ</w:t>
      </w:r>
    </w:p>
    <w:p w14:paraId="77F8559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ВИАМ имеет два органических недостатка, которые являются следствием существующего положения: во-первых - ВИАМ слишком мал по сравнению с задачами, которые выдвигает АП. Поэтому ВИАМ не успевает обслуживать АЗ. Например, располагая сравнительно малой сварочной лабораторией, ВИАМ мог переводить с газовой сварки на электрическую только один завод. Другие заводы должны были дожидаться своей очереди. Тоже было с организацией хромирования инструмента, с введением рациональных методов склеивания самолетных деталей и т.д. Это положение, несмотря на все старания ВИАМ добросовестно обслуживать заводы, давало повод к обвинению института в отрыве от промышленности. Устранить этот недостаток чрезвычайно трудно, т.к. рост запросов АЗ опережает рост института, а сильно развивающаяся техника выдвигает все новые требования.</w:t>
      </w:r>
    </w:p>
    <w:p w14:paraId="0CF8576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Вторым недостатком выступает лабораторный характер всех его работ. Отсутствие собственного опытного завода лишает Институт возможности доводить свои работы до создания заводской технологии (2281).</w:t>
      </w:r>
    </w:p>
    <w:p w14:paraId="2E3EB4DC"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36AD219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Нач. НИИ ВВС Зильберту было направлено письмо N 282/704с:</w:t>
      </w:r>
    </w:p>
    <w:p w14:paraId="2AEF0E4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заводе 1 ВВС РККА тов. Вирджили разрабатываются следующие объекты:</w:t>
      </w:r>
    </w:p>
    <w:p w14:paraId="3004756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Геликоптер-амфибия</w:t>
      </w:r>
    </w:p>
    <w:p w14:paraId="361859D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Механический регулятор для поддержания постоянного числа оборотов динамо-машины (4500 об./мин.).</w:t>
      </w:r>
    </w:p>
    <w:p w14:paraId="5F3C59A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Механический винт с изменяющимся углом атаки в воздухе</w:t>
      </w:r>
    </w:p>
    <w:p w14:paraId="2947A0B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Авиамотор для Геликоптера-амфибии...(2305,85).</w:t>
      </w:r>
    </w:p>
    <w:p w14:paraId="3BECCEBD"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06C40F1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была подготовлена справка Состояние опытного моторостроения на 15 ноября 1933 года.</w:t>
      </w:r>
    </w:p>
    <w:p w14:paraId="2A83A47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М-34Н (нагнетат.).</w:t>
      </w:r>
    </w:p>
    <w:p w14:paraId="1748810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Прошел удовлетворительно повторные гос. испытания. Предложено усилить крышку улитки, которая будет испытываться отдельно на М-34Н.</w:t>
      </w:r>
    </w:p>
    <w:p w14:paraId="5389EA2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РН.</w:t>
      </w:r>
    </w:p>
    <w:p w14:paraId="6CE92F3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был своевременно подготовлен к гос. испыт., но не был предъявлен, вследствие дефектов нагнетателя, выявившихся на зав. испытаниях последнего. Запущены 2 варианта усиленного нагнетателя со сроком выхода в конце ноября с.г. К 1/I-34 г. мотор М-34РН будет предъявлен на гос. испыт. с усиленным нагнет.</w:t>
      </w:r>
    </w:p>
    <w:p w14:paraId="48C42DC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 (форсиров.).</w:t>
      </w:r>
    </w:p>
    <w:p w14:paraId="291D60D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Проведена экспериментальная работа по форсированию серийного мотора М-34 на основании которой выявлена необходимость усиления ряда деталей (картер, передачи и т.п.). Усиленные детали запущены в производство. Вероятный срок предъявления на гос. испытания 1/V-34 г.</w:t>
      </w:r>
    </w:p>
    <w:p w14:paraId="67191CB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ФРН (Н=3500).</w:t>
      </w:r>
    </w:p>
    <w:p w14:paraId="496FF8B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полностью связаны с М-34 ФР. Ожидаемый срок выхода на гос. испытания - 1/VII-34 г.</w:t>
      </w:r>
    </w:p>
    <w:p w14:paraId="67A65D7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ФРН (Н=5000 и винтом перемен. шага).</w:t>
      </w:r>
    </w:p>
    <w:p w14:paraId="745BE91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Заканчиваются конструкторские работы по нагнетателю. Винт переменного шага запущен в производство. Мотор будет предъявлен на гос. испытания 1/XI-34 г.</w:t>
      </w:r>
    </w:p>
    <w:p w14:paraId="050A92F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М-34ФРН (Н=5000, винтом перем. шага и удлин. вал.).</w:t>
      </w:r>
    </w:p>
    <w:p w14:paraId="01B4E5C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Ведутся конструкторские работы по компоновке мотора и разрабатываются рабочие чертежи удлиненного вала; поковки удлинен. вала заказаны. Ход работ зависит от результатов испытания М-34 РФН. Ожидаемый срок выхода на гос7 испытания 1/XI-34 г.</w:t>
      </w:r>
    </w:p>
    <w:p w14:paraId="13DFA0D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Э (электр. картер).</w:t>
      </w:r>
    </w:p>
    <w:p w14:paraId="05293B2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97-м часу гос. испытаний произошла авария картера - лопнула перегородка. Производится подготовка к повторным гос. испытаниям с усиленным картером.</w:t>
      </w:r>
    </w:p>
    <w:p w14:paraId="19CE639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однорядный.</w:t>
      </w:r>
    </w:p>
    <w:p w14:paraId="1DCF625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вышел из сборки 27/IX, прошел обкатку и встал на заводские испытания. В производстве находится новый вариант с усиленным картером, облегченными деталями и новыми агрегатами. Вероятный срок предъявления на гос. испытания - 1/VIII-34 г. (2287,140).</w:t>
      </w:r>
    </w:p>
    <w:p w14:paraId="37FC45D9"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КРАТКАЯ ДОКЛАДНАЯ ЗАПИСКА</w:t>
      </w:r>
    </w:p>
    <w:p w14:paraId="6410700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деятельности института Авиационного Моторостроения за период ноябрь 1930 г. - по ноябрь 1933 года.</w:t>
      </w:r>
    </w:p>
    <w:p w14:paraId="65A74A82"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Центральной институт Авиационного моторостроения был создан в ноябре 1930 года. Вся организация института была проведена за отчетный период времени. Ниже приведенные таблицы дают представление о ходе развитая института.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242"/>
        <w:gridCol w:w="2242"/>
        <w:gridCol w:w="2242"/>
        <w:gridCol w:w="2242"/>
        <w:gridCol w:w="2242"/>
      </w:tblGrid>
      <w:tr w:rsidR="004E10C1" w:rsidRPr="0044524F" w14:paraId="7B10AB00" w14:textId="77777777">
        <w:tc>
          <w:tcPr>
            <w:tcW w:w="2242" w:type="dxa"/>
            <w:tcBorders>
              <w:top w:val="single" w:sz="12" w:space="0" w:color="auto"/>
            </w:tcBorders>
            <w:shd w:val="clear" w:color="auto" w:fill="FFFFFF"/>
          </w:tcPr>
          <w:p w14:paraId="5DE2485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Прирост оборудовакия Опытного завода ЦИАМ</w:t>
            </w:r>
          </w:p>
        </w:tc>
        <w:tc>
          <w:tcPr>
            <w:tcW w:w="2242" w:type="dxa"/>
            <w:tcBorders>
              <w:top w:val="single" w:sz="12" w:space="0" w:color="auto"/>
            </w:tcBorders>
            <w:shd w:val="clear" w:color="auto" w:fill="FFFFFF"/>
          </w:tcPr>
          <w:p w14:paraId="4CFF5AF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1/1-31 г.</w:t>
            </w:r>
          </w:p>
        </w:tc>
        <w:tc>
          <w:tcPr>
            <w:tcW w:w="2242" w:type="dxa"/>
            <w:tcBorders>
              <w:top w:val="single" w:sz="12" w:space="0" w:color="auto"/>
            </w:tcBorders>
            <w:shd w:val="clear" w:color="auto" w:fill="FFFFFF"/>
          </w:tcPr>
          <w:p w14:paraId="7B51E2F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1/I 1932 </w:t>
            </w:r>
          </w:p>
        </w:tc>
        <w:tc>
          <w:tcPr>
            <w:tcW w:w="2242" w:type="dxa"/>
            <w:tcBorders>
              <w:top w:val="single" w:sz="12" w:space="0" w:color="auto"/>
            </w:tcBorders>
            <w:shd w:val="clear" w:color="auto" w:fill="FFFFFF"/>
          </w:tcPr>
          <w:p w14:paraId="0F7CF5C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1/Х-ЗЗг.</w:t>
            </w:r>
          </w:p>
        </w:tc>
        <w:tc>
          <w:tcPr>
            <w:tcW w:w="2242" w:type="dxa"/>
            <w:tcBorders>
              <w:top w:val="single" w:sz="12" w:space="0" w:color="auto"/>
            </w:tcBorders>
            <w:shd w:val="clear" w:color="auto" w:fill="FFFFFF"/>
          </w:tcPr>
          <w:p w14:paraId="47ED70E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8/Х-33 г.</w:t>
            </w:r>
          </w:p>
        </w:tc>
      </w:tr>
      <w:tr w:rsidR="004E10C1" w:rsidRPr="0044524F" w14:paraId="6542A063" w14:textId="77777777">
        <w:tc>
          <w:tcPr>
            <w:tcW w:w="2242" w:type="dxa"/>
            <w:shd w:val="clear" w:color="auto" w:fill="FFFFFF"/>
          </w:tcPr>
          <w:p w14:paraId="497D067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Станочного оборудования</w:t>
            </w:r>
          </w:p>
        </w:tc>
        <w:tc>
          <w:tcPr>
            <w:tcW w:w="2242" w:type="dxa"/>
            <w:shd w:val="clear" w:color="auto" w:fill="FFFFFF"/>
          </w:tcPr>
          <w:p w14:paraId="5C6E4A5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2242" w:type="dxa"/>
            <w:shd w:val="clear" w:color="auto" w:fill="FFFFFF"/>
          </w:tcPr>
          <w:p w14:paraId="0E25D0A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158</w:t>
            </w:r>
          </w:p>
        </w:tc>
        <w:tc>
          <w:tcPr>
            <w:tcW w:w="2242" w:type="dxa"/>
            <w:shd w:val="clear" w:color="auto" w:fill="FFFFFF"/>
          </w:tcPr>
          <w:p w14:paraId="5BC27E9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244</w:t>
            </w:r>
          </w:p>
        </w:tc>
        <w:tc>
          <w:tcPr>
            <w:tcW w:w="2242" w:type="dxa"/>
            <w:shd w:val="clear" w:color="auto" w:fill="FFFFFF"/>
          </w:tcPr>
          <w:p w14:paraId="4F7F649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w:t>
            </w:r>
          </w:p>
        </w:tc>
      </w:tr>
      <w:tr w:rsidR="004E10C1" w:rsidRPr="0044524F" w14:paraId="71ABF82C" w14:textId="77777777">
        <w:tc>
          <w:tcPr>
            <w:tcW w:w="2242" w:type="dxa"/>
            <w:shd w:val="clear" w:color="auto" w:fill="FFFFFF"/>
          </w:tcPr>
          <w:p w14:paraId="480FE44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Рост зданий ЦИАМ</w:t>
            </w:r>
          </w:p>
        </w:tc>
        <w:tc>
          <w:tcPr>
            <w:tcW w:w="2242" w:type="dxa"/>
            <w:shd w:val="clear" w:color="auto" w:fill="FFFFFF"/>
          </w:tcPr>
          <w:p w14:paraId="24B4A034"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2242" w:type="dxa"/>
            <w:shd w:val="clear" w:color="auto" w:fill="FFFFFF"/>
          </w:tcPr>
          <w:p w14:paraId="4072B7C4"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2242" w:type="dxa"/>
            <w:shd w:val="clear" w:color="auto" w:fill="FFFFFF"/>
          </w:tcPr>
          <w:p w14:paraId="0C00C1FB"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2242" w:type="dxa"/>
            <w:shd w:val="clear" w:color="auto" w:fill="FFFFFF"/>
          </w:tcPr>
          <w:p w14:paraId="141E839E"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r>
      <w:tr w:rsidR="004E10C1" w:rsidRPr="0044524F" w14:paraId="43453CAE" w14:textId="77777777">
        <w:tc>
          <w:tcPr>
            <w:tcW w:w="2242" w:type="dxa"/>
            <w:shd w:val="clear" w:color="auto" w:fill="FFFFFF"/>
          </w:tcPr>
          <w:p w14:paraId="6D5C9D8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мтр</w:t>
            </w:r>
          </w:p>
        </w:tc>
        <w:tc>
          <w:tcPr>
            <w:tcW w:w="2242" w:type="dxa"/>
            <w:shd w:val="clear" w:color="auto" w:fill="FFFFFF"/>
          </w:tcPr>
          <w:p w14:paraId="15143377"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2242" w:type="dxa"/>
            <w:shd w:val="clear" w:color="auto" w:fill="FFFFFF"/>
          </w:tcPr>
          <w:p w14:paraId="4307139A"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2242" w:type="dxa"/>
            <w:shd w:val="clear" w:color="auto" w:fill="FFFFFF"/>
          </w:tcPr>
          <w:p w14:paraId="0187DDB4"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2242" w:type="dxa"/>
            <w:shd w:val="clear" w:color="auto" w:fill="FFFFFF"/>
          </w:tcPr>
          <w:p w14:paraId="5451054D"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r>
      <w:tr w:rsidR="004E10C1" w:rsidRPr="0044524F" w14:paraId="45BBD13E" w14:textId="77777777">
        <w:tc>
          <w:tcPr>
            <w:tcW w:w="2242" w:type="dxa"/>
            <w:shd w:val="clear" w:color="auto" w:fill="FFFFFF"/>
          </w:tcPr>
          <w:p w14:paraId="5235BF1E"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2242" w:type="dxa"/>
            <w:shd w:val="clear" w:color="auto" w:fill="FFFFFF"/>
          </w:tcPr>
          <w:p w14:paraId="72F1CEE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мтр3.</w:t>
            </w:r>
          </w:p>
        </w:tc>
        <w:tc>
          <w:tcPr>
            <w:tcW w:w="2242" w:type="dxa"/>
            <w:shd w:val="clear" w:color="auto" w:fill="FFFFFF"/>
          </w:tcPr>
          <w:p w14:paraId="419BF23A" w14:textId="77777777" w:rsidR="00570C39" w:rsidRPr="0044524F" w:rsidRDefault="00570C39" w:rsidP="009654CF">
            <w:pPr>
              <w:spacing w:after="0" w:line="240" w:lineRule="auto"/>
              <w:jc w:val="both"/>
              <w:rPr>
                <w:rFonts w:ascii="Times New Roman" w:hAnsi="Times New Roman"/>
                <w:color w:val="000000" w:themeColor="text1"/>
                <w:sz w:val="16"/>
                <w:szCs w:val="16"/>
                <w:vertAlign w:val="superscript"/>
              </w:rPr>
            </w:pPr>
            <w:r w:rsidRPr="0044524F">
              <w:rPr>
                <w:rFonts w:ascii="Times New Roman" w:hAnsi="Times New Roman"/>
                <w:color w:val="000000" w:themeColor="text1"/>
                <w:sz w:val="16"/>
                <w:szCs w:val="16"/>
              </w:rPr>
              <w:t>1932 г. мтр</w:t>
            </w:r>
            <w:r w:rsidRPr="0044524F">
              <w:rPr>
                <w:rFonts w:ascii="Times New Roman" w:hAnsi="Times New Roman"/>
                <w:color w:val="000000" w:themeColor="text1"/>
                <w:sz w:val="16"/>
                <w:szCs w:val="16"/>
                <w:vertAlign w:val="superscript"/>
              </w:rPr>
              <w:t>3</w:t>
            </w:r>
          </w:p>
        </w:tc>
        <w:tc>
          <w:tcPr>
            <w:tcW w:w="2242" w:type="dxa"/>
            <w:shd w:val="clear" w:color="auto" w:fill="FFFFFF"/>
          </w:tcPr>
          <w:p w14:paraId="16A8616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год мтр</w:t>
            </w:r>
            <w:r w:rsidRPr="0044524F">
              <w:rPr>
                <w:rFonts w:ascii="Times New Roman" w:hAnsi="Times New Roman"/>
                <w:color w:val="000000" w:themeColor="text1"/>
                <w:sz w:val="16"/>
                <w:szCs w:val="16"/>
                <w:vertAlign w:val="superscript"/>
              </w:rPr>
              <w:t>3</w:t>
            </w:r>
          </w:p>
        </w:tc>
        <w:tc>
          <w:tcPr>
            <w:tcW w:w="2242" w:type="dxa"/>
            <w:shd w:val="clear" w:color="auto" w:fill="FFFFFF"/>
          </w:tcPr>
          <w:p w14:paraId="54AE81F1"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r>
      <w:tr w:rsidR="004E10C1" w:rsidRPr="0044524F" w14:paraId="6E487F86" w14:textId="77777777">
        <w:tc>
          <w:tcPr>
            <w:tcW w:w="2242" w:type="dxa"/>
            <w:shd w:val="clear" w:color="auto" w:fill="FFFFFF"/>
          </w:tcPr>
          <w:p w14:paraId="5157176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завод</w:t>
            </w:r>
          </w:p>
        </w:tc>
        <w:tc>
          <w:tcPr>
            <w:tcW w:w="2242" w:type="dxa"/>
            <w:shd w:val="clear" w:color="auto" w:fill="FFFFFF"/>
          </w:tcPr>
          <w:p w14:paraId="152AC3F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29450</w:t>
            </w:r>
          </w:p>
        </w:tc>
        <w:tc>
          <w:tcPr>
            <w:tcW w:w="2242" w:type="dxa"/>
            <w:shd w:val="clear" w:color="auto" w:fill="FFFFFF"/>
          </w:tcPr>
          <w:p w14:paraId="24AD590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75100</w:t>
            </w:r>
          </w:p>
        </w:tc>
        <w:tc>
          <w:tcPr>
            <w:tcW w:w="2242" w:type="dxa"/>
            <w:shd w:val="clear" w:color="auto" w:fill="FFFFFF"/>
          </w:tcPr>
          <w:p w14:paraId="293D9AD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75100</w:t>
            </w:r>
          </w:p>
        </w:tc>
        <w:tc>
          <w:tcPr>
            <w:tcW w:w="2242" w:type="dxa"/>
            <w:shd w:val="clear" w:color="auto" w:fill="FFFFFF"/>
          </w:tcPr>
          <w:p w14:paraId="3B6A0B83"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r>
      <w:tr w:rsidR="004E10C1" w:rsidRPr="0044524F" w14:paraId="5997666E" w14:textId="77777777">
        <w:tc>
          <w:tcPr>
            <w:tcW w:w="2242" w:type="dxa"/>
            <w:shd w:val="clear" w:color="auto" w:fill="FFFFFF"/>
          </w:tcPr>
          <w:p w14:paraId="6E5116D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испытательная станция</w:t>
            </w:r>
          </w:p>
        </w:tc>
        <w:tc>
          <w:tcPr>
            <w:tcW w:w="2242" w:type="dxa"/>
            <w:shd w:val="clear" w:color="auto" w:fill="FFFFFF"/>
          </w:tcPr>
          <w:p w14:paraId="37E603F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14300</w:t>
            </w:r>
          </w:p>
        </w:tc>
        <w:tc>
          <w:tcPr>
            <w:tcW w:w="2242" w:type="dxa"/>
            <w:shd w:val="clear" w:color="auto" w:fill="FFFFFF"/>
          </w:tcPr>
          <w:p w14:paraId="0E329D5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29400</w:t>
            </w:r>
          </w:p>
        </w:tc>
        <w:tc>
          <w:tcPr>
            <w:tcW w:w="2242" w:type="dxa"/>
            <w:shd w:val="clear" w:color="auto" w:fill="FFFFFF"/>
          </w:tcPr>
          <w:p w14:paraId="46CB6D3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29400</w:t>
            </w:r>
          </w:p>
        </w:tc>
        <w:tc>
          <w:tcPr>
            <w:tcW w:w="2242" w:type="dxa"/>
            <w:shd w:val="clear" w:color="auto" w:fill="FFFFFF"/>
          </w:tcPr>
          <w:p w14:paraId="052AE4C7"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r>
      <w:tr w:rsidR="004E10C1" w:rsidRPr="0044524F" w14:paraId="4496B696" w14:textId="77777777">
        <w:tc>
          <w:tcPr>
            <w:tcW w:w="2242" w:type="dxa"/>
            <w:shd w:val="clear" w:color="auto" w:fill="FFFFFF"/>
          </w:tcPr>
          <w:p w14:paraId="2041766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опытная площадь</w:t>
            </w:r>
          </w:p>
        </w:tc>
        <w:tc>
          <w:tcPr>
            <w:tcW w:w="2242" w:type="dxa"/>
            <w:shd w:val="clear" w:color="auto" w:fill="FFFFFF"/>
          </w:tcPr>
          <w:p w14:paraId="0A67611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242" w:type="dxa"/>
            <w:shd w:val="clear" w:color="auto" w:fill="FFFFFF"/>
          </w:tcPr>
          <w:p w14:paraId="3B03D6B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29300</w:t>
            </w:r>
          </w:p>
        </w:tc>
        <w:tc>
          <w:tcPr>
            <w:tcW w:w="2242" w:type="dxa"/>
            <w:shd w:val="clear" w:color="auto" w:fill="FFFFFF"/>
          </w:tcPr>
          <w:p w14:paraId="1D5108E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60585</w:t>
            </w:r>
          </w:p>
        </w:tc>
        <w:tc>
          <w:tcPr>
            <w:tcW w:w="2242" w:type="dxa"/>
            <w:shd w:val="clear" w:color="auto" w:fill="FFFFFF"/>
          </w:tcPr>
          <w:p w14:paraId="48CEE792"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r>
      <w:tr w:rsidR="004E10C1" w:rsidRPr="0044524F" w14:paraId="764884AA" w14:textId="77777777">
        <w:tc>
          <w:tcPr>
            <w:tcW w:w="2242" w:type="dxa"/>
            <w:shd w:val="clear" w:color="auto" w:fill="FFFFFF"/>
          </w:tcPr>
          <w:p w14:paraId="64E77D9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Рост кадров ЦИАМ</w:t>
            </w:r>
          </w:p>
        </w:tc>
        <w:tc>
          <w:tcPr>
            <w:tcW w:w="2242" w:type="dxa"/>
            <w:shd w:val="clear" w:color="auto" w:fill="FFFFFF"/>
          </w:tcPr>
          <w:p w14:paraId="1FC9252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1/1-31</w:t>
            </w:r>
          </w:p>
        </w:tc>
        <w:tc>
          <w:tcPr>
            <w:tcW w:w="2242" w:type="dxa"/>
            <w:shd w:val="clear" w:color="auto" w:fill="FFFFFF"/>
          </w:tcPr>
          <w:p w14:paraId="02A31E3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 32</w:t>
            </w:r>
          </w:p>
        </w:tc>
        <w:tc>
          <w:tcPr>
            <w:tcW w:w="2242" w:type="dxa"/>
            <w:shd w:val="clear" w:color="auto" w:fill="FFFFFF"/>
          </w:tcPr>
          <w:p w14:paraId="46CADDA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1.1.-33</w:t>
            </w:r>
          </w:p>
        </w:tc>
        <w:tc>
          <w:tcPr>
            <w:tcW w:w="2242" w:type="dxa"/>
            <w:shd w:val="clear" w:color="auto" w:fill="FFFFFF"/>
          </w:tcPr>
          <w:p w14:paraId="6FA70A7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1/9-33</w:t>
            </w:r>
          </w:p>
        </w:tc>
      </w:tr>
      <w:tr w:rsidR="004E10C1" w:rsidRPr="0044524F" w14:paraId="7B1C07EB" w14:textId="77777777">
        <w:tc>
          <w:tcPr>
            <w:tcW w:w="2242" w:type="dxa"/>
            <w:shd w:val="clear" w:color="auto" w:fill="FFFFFF"/>
          </w:tcPr>
          <w:p w14:paraId="5716521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2242" w:type="dxa"/>
            <w:shd w:val="clear" w:color="auto" w:fill="FFFFFF"/>
          </w:tcPr>
          <w:p w14:paraId="0E57F83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231</w:t>
            </w:r>
          </w:p>
        </w:tc>
        <w:tc>
          <w:tcPr>
            <w:tcW w:w="2242" w:type="dxa"/>
            <w:shd w:val="clear" w:color="auto" w:fill="FFFFFF"/>
          </w:tcPr>
          <w:p w14:paraId="5FDA819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2019</w:t>
            </w:r>
          </w:p>
        </w:tc>
        <w:tc>
          <w:tcPr>
            <w:tcW w:w="2242" w:type="dxa"/>
            <w:shd w:val="clear" w:color="auto" w:fill="FFFFFF"/>
          </w:tcPr>
          <w:p w14:paraId="5CA96FD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3759</w:t>
            </w:r>
          </w:p>
        </w:tc>
        <w:tc>
          <w:tcPr>
            <w:tcW w:w="2242" w:type="dxa"/>
            <w:shd w:val="clear" w:color="auto" w:fill="FFFFFF"/>
          </w:tcPr>
          <w:p w14:paraId="6B35697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3384</w:t>
            </w:r>
          </w:p>
        </w:tc>
      </w:tr>
      <w:tr w:rsidR="004E10C1" w:rsidRPr="0044524F" w14:paraId="59A3F32E" w14:textId="77777777">
        <w:tc>
          <w:tcPr>
            <w:tcW w:w="2242" w:type="dxa"/>
            <w:shd w:val="clear" w:color="auto" w:fill="FFFFFF"/>
          </w:tcPr>
          <w:p w14:paraId="7D68AEC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т.ч. рабочих</w:t>
            </w:r>
          </w:p>
        </w:tc>
        <w:tc>
          <w:tcPr>
            <w:tcW w:w="2242" w:type="dxa"/>
            <w:shd w:val="clear" w:color="auto" w:fill="FFFFFF"/>
          </w:tcPr>
          <w:p w14:paraId="3406754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2242" w:type="dxa"/>
            <w:shd w:val="clear" w:color="auto" w:fill="FFFFFF"/>
          </w:tcPr>
          <w:p w14:paraId="76CE8619"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903</w:t>
            </w:r>
          </w:p>
        </w:tc>
        <w:tc>
          <w:tcPr>
            <w:tcW w:w="2242" w:type="dxa"/>
            <w:shd w:val="clear" w:color="auto" w:fill="FFFFFF"/>
          </w:tcPr>
          <w:p w14:paraId="6BFB74B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1608</w:t>
            </w:r>
          </w:p>
        </w:tc>
        <w:tc>
          <w:tcPr>
            <w:tcW w:w="2242" w:type="dxa"/>
            <w:shd w:val="clear" w:color="auto" w:fill="FFFFFF"/>
          </w:tcPr>
          <w:p w14:paraId="28B8EE8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1685</w:t>
            </w:r>
          </w:p>
        </w:tc>
      </w:tr>
      <w:tr w:rsidR="004E10C1" w:rsidRPr="0044524F" w14:paraId="0C530BC2" w14:textId="77777777">
        <w:tc>
          <w:tcPr>
            <w:tcW w:w="2242" w:type="dxa"/>
            <w:shd w:val="clear" w:color="auto" w:fill="FFFFFF"/>
          </w:tcPr>
          <w:p w14:paraId="01B51DC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квалифи.</w:t>
            </w:r>
          </w:p>
        </w:tc>
        <w:tc>
          <w:tcPr>
            <w:tcW w:w="2242" w:type="dxa"/>
            <w:shd w:val="clear" w:color="auto" w:fill="FFFFFF"/>
          </w:tcPr>
          <w:p w14:paraId="1C433A2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242" w:type="dxa"/>
            <w:shd w:val="clear" w:color="auto" w:fill="FFFFFF"/>
          </w:tcPr>
          <w:p w14:paraId="5A199C44"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493</w:t>
            </w:r>
          </w:p>
        </w:tc>
        <w:tc>
          <w:tcPr>
            <w:tcW w:w="2242" w:type="dxa"/>
            <w:shd w:val="clear" w:color="auto" w:fill="FFFFFF"/>
          </w:tcPr>
          <w:p w14:paraId="238CC7D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918</w:t>
            </w:r>
          </w:p>
        </w:tc>
        <w:tc>
          <w:tcPr>
            <w:tcW w:w="2242" w:type="dxa"/>
            <w:shd w:val="clear" w:color="auto" w:fill="FFFFFF"/>
          </w:tcPr>
          <w:p w14:paraId="6ADBC64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1312</w:t>
            </w:r>
          </w:p>
        </w:tc>
      </w:tr>
      <w:tr w:rsidR="004E10C1" w:rsidRPr="0044524F" w14:paraId="4AB53524" w14:textId="77777777">
        <w:tc>
          <w:tcPr>
            <w:tcW w:w="2242" w:type="dxa"/>
            <w:shd w:val="clear" w:color="auto" w:fill="FFFFFF"/>
          </w:tcPr>
          <w:p w14:paraId="68F6C32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ИТР</w:t>
            </w:r>
          </w:p>
        </w:tc>
        <w:tc>
          <w:tcPr>
            <w:tcW w:w="2242" w:type="dxa"/>
            <w:shd w:val="clear" w:color="auto" w:fill="FFFFFF"/>
          </w:tcPr>
          <w:p w14:paraId="5DA9996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w:t>
            </w:r>
          </w:p>
        </w:tc>
        <w:tc>
          <w:tcPr>
            <w:tcW w:w="2242" w:type="dxa"/>
            <w:shd w:val="clear" w:color="auto" w:fill="FFFFFF"/>
          </w:tcPr>
          <w:p w14:paraId="4E6F671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492</w:t>
            </w:r>
          </w:p>
        </w:tc>
        <w:tc>
          <w:tcPr>
            <w:tcW w:w="2242" w:type="dxa"/>
            <w:shd w:val="clear" w:color="auto" w:fill="FFFFFF"/>
          </w:tcPr>
          <w:p w14:paraId="22D22F8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1125</w:t>
            </w:r>
          </w:p>
        </w:tc>
        <w:tc>
          <w:tcPr>
            <w:tcW w:w="2242" w:type="dxa"/>
            <w:shd w:val="clear" w:color="auto" w:fill="FFFFFF"/>
          </w:tcPr>
          <w:p w14:paraId="7475150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971</w:t>
            </w:r>
          </w:p>
        </w:tc>
      </w:tr>
      <w:tr w:rsidR="004E10C1" w:rsidRPr="0044524F" w14:paraId="15230CD1" w14:textId="77777777">
        <w:tc>
          <w:tcPr>
            <w:tcW w:w="2242" w:type="dxa"/>
            <w:tcBorders>
              <w:bottom w:val="single" w:sz="12" w:space="0" w:color="auto"/>
            </w:tcBorders>
            <w:shd w:val="clear" w:color="auto" w:fill="FFFFFF"/>
          </w:tcPr>
          <w:p w14:paraId="24C48085"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т.ч. инж.</w:t>
            </w:r>
          </w:p>
        </w:tc>
        <w:tc>
          <w:tcPr>
            <w:tcW w:w="2242" w:type="dxa"/>
            <w:tcBorders>
              <w:bottom w:val="single" w:sz="12" w:space="0" w:color="auto"/>
            </w:tcBorders>
            <w:shd w:val="clear" w:color="auto" w:fill="FFFFFF"/>
          </w:tcPr>
          <w:p w14:paraId="21832B0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2242" w:type="dxa"/>
            <w:tcBorders>
              <w:bottom w:val="single" w:sz="12" w:space="0" w:color="auto"/>
            </w:tcBorders>
            <w:shd w:val="clear" w:color="auto" w:fill="FFFFFF"/>
          </w:tcPr>
          <w:p w14:paraId="4015CA8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246</w:t>
            </w:r>
          </w:p>
        </w:tc>
        <w:tc>
          <w:tcPr>
            <w:tcW w:w="2242" w:type="dxa"/>
            <w:tcBorders>
              <w:bottom w:val="single" w:sz="12" w:space="0" w:color="auto"/>
            </w:tcBorders>
            <w:shd w:val="clear" w:color="auto" w:fill="FFFFFF"/>
          </w:tcPr>
          <w:p w14:paraId="1F06D4D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367</w:t>
            </w:r>
          </w:p>
        </w:tc>
        <w:tc>
          <w:tcPr>
            <w:tcW w:w="2242" w:type="dxa"/>
            <w:tcBorders>
              <w:bottom w:val="single" w:sz="12" w:space="0" w:color="auto"/>
            </w:tcBorders>
            <w:shd w:val="clear" w:color="auto" w:fill="FFFFFF"/>
          </w:tcPr>
          <w:p w14:paraId="641F058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383</w:t>
            </w:r>
          </w:p>
        </w:tc>
      </w:tr>
    </w:tbl>
    <w:p w14:paraId="7CAF776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Учитывая условия раооты института в настоящий момент необходимо отметить, что опытный завод Института является в данное время организацией, которая имеет в основном все необходимое и достаточное для организации производства сложных образцов авиамоторов.В отношении кадров нститут располагает большим количеством инженерно-технических работниковно имеет в их числе сравнительно небольшое...</w:t>
      </w:r>
    </w:p>
    <w:p w14:paraId="72859811"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Основные его исследовательские и конструкторские кадры выросли уже на работе в самом Институте. Неосходимо отметить, что технический рост кадров за последние годы весьма заметен. Однако, уровень этих молодых кадров значительно отстает от конструкторских кадров самолетостроения. Все же давая общую оценку </w:t>
      </w:r>
      <w:r w:rsidRPr="0044524F">
        <w:rPr>
          <w:rFonts w:ascii="Times New Roman" w:hAnsi="Times New Roman"/>
          <w:color w:val="000000" w:themeColor="text1"/>
          <w:sz w:val="16"/>
          <w:szCs w:val="16"/>
        </w:rPr>
        <w:lastRenderedPageBreak/>
        <w:t>конструкторских организаций института необходимо сказать, что они несомненно способны решать сложные задачи, которые выдвигаются в области моторостроения в нашей авиации.</w:t>
      </w:r>
    </w:p>
    <w:p w14:paraId="0A27AD9A"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Основной задачей, поставленной перед институтом правительством, является создание новых типов авиационных моторов, предусмотренных правительственным планом опытного строительства.</w:t>
      </w:r>
    </w:p>
    <w:p w14:paraId="2F3BB64D"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Весь план опытного строительства по авиационним моторам, разработанннй в 1930 году, утвержденный правительством и дополненный в последующие годы с 1931 года был возложен на Институт Авиационного Моторостроения.</w:t>
      </w:r>
    </w:p>
    <w:p w14:paraId="20CD7B25"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Выполняя этот план институт сделал следующее:</w:t>
      </w:r>
    </w:p>
    <w:p w14:paraId="05FA05C0"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М-34 - мотор в 750 л. с. для тяжелых самолетов. Первый мотор был закончен производством и поставлен на станок 1/У-31 г.</w:t>
      </w:r>
    </w:p>
    <w:p w14:paraId="63BB38EA"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гос. испытания мотор был пред'явлен 2/УШ-31 г. и прошел их удовлетворительно, после чего проведена передача мотора в серийное производство и связанная с этим работа по переделкам чертежей мотора, которая была закончена полностью в феврале 1932 года.</w:t>
      </w:r>
    </w:p>
    <w:p w14:paraId="2083629E"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года работа по внедрению, в которой институт принимал непосредственное участие, закончилась сдачей первой серии военному ведомству.</w:t>
      </w:r>
    </w:p>
    <w:p w14:paraId="6B6B19A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начала 1933 года мотор выпускается с серийного завода нормальным порядком.</w:t>
      </w:r>
    </w:p>
    <w:p w14:paraId="06C49FE6"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М-34Р - /Мотор К-34 с редуктором/.</w:t>
      </w:r>
    </w:p>
    <w:p w14:paraId="4036E7E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Закончив проектирование в августе 1931 года Институт построил на своем опытномзаводе, провел заводские испктания и необходимые переделки и пред'явил в апреле 1933 года мотор на гос. испытания, закончившиеся 2-го мая, после чего мотор был передан в серийное производство. К настоящему моменту эакончены предварительные испытания моторов М-34 и М-34Р на самолете ТБ-3, дающие следующие результаты по сравнению с мотором М=17 на том же самолете: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36"/>
        <w:gridCol w:w="3736"/>
        <w:gridCol w:w="3736"/>
      </w:tblGrid>
      <w:tr w:rsidR="004E10C1" w:rsidRPr="0044524F" w14:paraId="0C6CDEFA" w14:textId="77777777">
        <w:tc>
          <w:tcPr>
            <w:tcW w:w="3736" w:type="dxa"/>
            <w:tcBorders>
              <w:top w:val="single" w:sz="12" w:space="0" w:color="auto"/>
            </w:tcBorders>
            <w:shd w:val="clear" w:color="auto" w:fill="FFFFFF"/>
          </w:tcPr>
          <w:p w14:paraId="156AC53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Скосость/земли</w:t>
            </w:r>
          </w:p>
        </w:tc>
        <w:tc>
          <w:tcPr>
            <w:tcW w:w="3736" w:type="dxa"/>
            <w:tcBorders>
              <w:top w:val="single" w:sz="12" w:space="0" w:color="auto"/>
            </w:tcBorders>
            <w:shd w:val="clear" w:color="auto" w:fill="FFFFFF"/>
          </w:tcPr>
          <w:p w14:paraId="3C1B6E1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3736" w:type="dxa"/>
            <w:tcBorders>
              <w:top w:val="single" w:sz="12" w:space="0" w:color="auto"/>
            </w:tcBorders>
            <w:shd w:val="clear" w:color="auto" w:fill="FFFFFF"/>
          </w:tcPr>
          <w:p w14:paraId="035C7122"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 клм/час</w:t>
            </w:r>
          </w:p>
        </w:tc>
      </w:tr>
      <w:tr w:rsidR="004E10C1" w:rsidRPr="0044524F" w14:paraId="14739C09" w14:textId="77777777">
        <w:tc>
          <w:tcPr>
            <w:tcW w:w="3736" w:type="dxa"/>
            <w:shd w:val="clear" w:color="auto" w:fill="FFFFFF"/>
          </w:tcPr>
          <w:p w14:paraId="47B2C415" w14:textId="77777777" w:rsidR="00570C39" w:rsidRPr="0044524F" w:rsidRDefault="00570C39" w:rsidP="009654CF">
            <w:pPr>
              <w:spacing w:after="0" w:line="240" w:lineRule="auto"/>
              <w:jc w:val="both"/>
              <w:rPr>
                <w:rFonts w:ascii="Times New Roman" w:hAnsi="Times New Roman"/>
                <w:smallCaps/>
                <w:color w:val="000000" w:themeColor="text1"/>
                <w:sz w:val="16"/>
                <w:szCs w:val="16"/>
              </w:rPr>
            </w:pPr>
          </w:p>
        </w:tc>
        <w:tc>
          <w:tcPr>
            <w:tcW w:w="3736" w:type="dxa"/>
            <w:shd w:val="clear" w:color="auto" w:fill="FFFFFF"/>
          </w:tcPr>
          <w:p w14:paraId="30193A5D" w14:textId="77777777" w:rsidR="00570C39" w:rsidRPr="0044524F" w:rsidRDefault="00570C39" w:rsidP="009654CF">
            <w:pPr>
              <w:spacing w:after="0" w:line="240" w:lineRule="auto"/>
              <w:jc w:val="both"/>
              <w:rPr>
                <w:rFonts w:ascii="Times New Roman" w:hAnsi="Times New Roman"/>
                <w:smallCaps/>
                <w:color w:val="000000" w:themeColor="text1"/>
                <w:sz w:val="16"/>
                <w:szCs w:val="16"/>
              </w:rPr>
            </w:pPr>
            <w:r w:rsidRPr="0044524F">
              <w:rPr>
                <w:rFonts w:ascii="Times New Roman" w:hAnsi="Times New Roman"/>
                <w:smallCaps/>
                <w:color w:val="000000" w:themeColor="text1"/>
                <w:sz w:val="16"/>
                <w:szCs w:val="16"/>
              </w:rPr>
              <w:t>М-34</w:t>
            </w:r>
          </w:p>
        </w:tc>
        <w:tc>
          <w:tcPr>
            <w:tcW w:w="3736" w:type="dxa"/>
            <w:shd w:val="clear" w:color="auto" w:fill="FFFFFF"/>
          </w:tcPr>
          <w:p w14:paraId="52E0C85E" w14:textId="77777777" w:rsidR="00570C39" w:rsidRPr="0044524F" w:rsidRDefault="00570C39" w:rsidP="009654CF">
            <w:pPr>
              <w:spacing w:after="0" w:line="240" w:lineRule="auto"/>
              <w:jc w:val="both"/>
              <w:rPr>
                <w:rFonts w:ascii="Times New Roman" w:hAnsi="Times New Roman"/>
                <w:smallCaps/>
                <w:color w:val="000000" w:themeColor="text1"/>
                <w:sz w:val="16"/>
                <w:szCs w:val="16"/>
              </w:rPr>
            </w:pPr>
            <w:r w:rsidRPr="0044524F">
              <w:rPr>
                <w:rFonts w:ascii="Times New Roman" w:hAnsi="Times New Roman"/>
                <w:smallCaps/>
                <w:color w:val="000000" w:themeColor="text1"/>
                <w:sz w:val="16"/>
                <w:szCs w:val="16"/>
              </w:rPr>
              <w:t>207</w:t>
            </w:r>
          </w:p>
        </w:tc>
      </w:tr>
      <w:tr w:rsidR="004E10C1" w:rsidRPr="0044524F" w14:paraId="70E79D2C" w14:textId="77777777">
        <w:tc>
          <w:tcPr>
            <w:tcW w:w="3736" w:type="dxa"/>
            <w:shd w:val="clear" w:color="auto" w:fill="FFFFFF"/>
          </w:tcPr>
          <w:p w14:paraId="3235CF99" w14:textId="77777777" w:rsidR="00570C39" w:rsidRPr="0044524F" w:rsidRDefault="00570C39" w:rsidP="009654CF">
            <w:pPr>
              <w:spacing w:after="0" w:line="240" w:lineRule="auto"/>
              <w:jc w:val="both"/>
              <w:rPr>
                <w:rFonts w:ascii="Times New Roman" w:hAnsi="Times New Roman"/>
                <w:smallCaps/>
                <w:color w:val="000000" w:themeColor="text1"/>
                <w:sz w:val="16"/>
                <w:szCs w:val="16"/>
              </w:rPr>
            </w:pPr>
          </w:p>
        </w:tc>
        <w:tc>
          <w:tcPr>
            <w:tcW w:w="3736" w:type="dxa"/>
            <w:shd w:val="clear" w:color="auto" w:fill="FFFFFF"/>
          </w:tcPr>
          <w:p w14:paraId="556A019D" w14:textId="77777777" w:rsidR="00570C39" w:rsidRPr="0044524F" w:rsidRDefault="00570C39" w:rsidP="009654CF">
            <w:pPr>
              <w:spacing w:after="0" w:line="240" w:lineRule="auto"/>
              <w:jc w:val="both"/>
              <w:rPr>
                <w:rFonts w:ascii="Times New Roman" w:hAnsi="Times New Roman"/>
                <w:smallCaps/>
                <w:color w:val="000000" w:themeColor="text1"/>
                <w:sz w:val="16"/>
                <w:szCs w:val="16"/>
              </w:rPr>
            </w:pPr>
            <w:r w:rsidRPr="0044524F">
              <w:rPr>
                <w:rFonts w:ascii="Times New Roman" w:hAnsi="Times New Roman"/>
                <w:smallCaps/>
                <w:color w:val="000000" w:themeColor="text1"/>
                <w:sz w:val="16"/>
                <w:szCs w:val="16"/>
              </w:rPr>
              <w:t>М-34Р</w:t>
            </w:r>
          </w:p>
        </w:tc>
        <w:tc>
          <w:tcPr>
            <w:tcW w:w="3736" w:type="dxa"/>
            <w:shd w:val="clear" w:color="auto" w:fill="FFFFFF"/>
          </w:tcPr>
          <w:p w14:paraId="5ECCC67D" w14:textId="77777777" w:rsidR="00570C39" w:rsidRPr="0044524F" w:rsidRDefault="00570C39" w:rsidP="009654CF">
            <w:pPr>
              <w:spacing w:after="0" w:line="240" w:lineRule="auto"/>
              <w:jc w:val="both"/>
              <w:rPr>
                <w:rFonts w:ascii="Times New Roman" w:hAnsi="Times New Roman"/>
                <w:smallCaps/>
                <w:color w:val="000000" w:themeColor="text1"/>
                <w:sz w:val="16"/>
                <w:szCs w:val="16"/>
              </w:rPr>
            </w:pPr>
            <w:r w:rsidRPr="0044524F">
              <w:rPr>
                <w:rFonts w:ascii="Times New Roman" w:hAnsi="Times New Roman"/>
                <w:smallCaps/>
                <w:color w:val="000000" w:themeColor="text1"/>
                <w:sz w:val="16"/>
                <w:szCs w:val="16"/>
              </w:rPr>
              <w:t>231</w:t>
            </w:r>
          </w:p>
        </w:tc>
      </w:tr>
      <w:tr w:rsidR="004E10C1" w:rsidRPr="0044524F" w14:paraId="7088571F" w14:textId="77777777">
        <w:tc>
          <w:tcPr>
            <w:tcW w:w="3736" w:type="dxa"/>
            <w:shd w:val="clear" w:color="auto" w:fill="FFFFFF"/>
          </w:tcPr>
          <w:p w14:paraId="0085932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высоте 3000 м</w:t>
            </w:r>
          </w:p>
        </w:tc>
        <w:tc>
          <w:tcPr>
            <w:tcW w:w="3736" w:type="dxa"/>
            <w:shd w:val="clear" w:color="auto" w:fill="FFFFFF"/>
          </w:tcPr>
          <w:p w14:paraId="1F6BF84C"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3736" w:type="dxa"/>
            <w:shd w:val="clear" w:color="auto" w:fill="FFFFFF"/>
          </w:tcPr>
          <w:p w14:paraId="0C213203"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177</w:t>
            </w:r>
          </w:p>
        </w:tc>
      </w:tr>
      <w:tr w:rsidR="004E10C1" w:rsidRPr="0044524F" w14:paraId="45C53DCF" w14:textId="77777777">
        <w:tc>
          <w:tcPr>
            <w:tcW w:w="3736" w:type="dxa"/>
            <w:shd w:val="clear" w:color="auto" w:fill="FFFFFF"/>
          </w:tcPr>
          <w:p w14:paraId="39832108"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3736" w:type="dxa"/>
            <w:shd w:val="clear" w:color="auto" w:fill="FFFFFF"/>
          </w:tcPr>
          <w:p w14:paraId="76970D3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3736" w:type="dxa"/>
            <w:shd w:val="clear" w:color="auto" w:fill="FFFFFF"/>
          </w:tcPr>
          <w:p w14:paraId="1BE1F01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w:t>
            </w:r>
          </w:p>
        </w:tc>
      </w:tr>
      <w:tr w:rsidR="004E10C1" w:rsidRPr="0044524F" w14:paraId="5A73B300" w14:textId="77777777">
        <w:tc>
          <w:tcPr>
            <w:tcW w:w="3736" w:type="dxa"/>
            <w:shd w:val="clear" w:color="auto" w:fill="FFFFFF"/>
          </w:tcPr>
          <w:p w14:paraId="3AE10DA9"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3736" w:type="dxa"/>
            <w:shd w:val="clear" w:color="auto" w:fill="FFFFFF"/>
          </w:tcPr>
          <w:p w14:paraId="66D5CF9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w:t>
            </w:r>
          </w:p>
        </w:tc>
        <w:tc>
          <w:tcPr>
            <w:tcW w:w="3736" w:type="dxa"/>
            <w:shd w:val="clear" w:color="auto" w:fill="FFFFFF"/>
          </w:tcPr>
          <w:p w14:paraId="338A4487"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213</w:t>
            </w:r>
          </w:p>
        </w:tc>
      </w:tr>
      <w:tr w:rsidR="004E10C1" w:rsidRPr="0044524F" w14:paraId="3C789576" w14:textId="77777777">
        <w:tc>
          <w:tcPr>
            <w:tcW w:w="3736" w:type="dxa"/>
            <w:shd w:val="clear" w:color="auto" w:fill="FFFFFF"/>
          </w:tcPr>
          <w:p w14:paraId="23A6FD8A"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3000 м</w:t>
            </w:r>
          </w:p>
        </w:tc>
        <w:tc>
          <w:tcPr>
            <w:tcW w:w="3736" w:type="dxa"/>
            <w:shd w:val="clear" w:color="auto" w:fill="FFFFFF"/>
          </w:tcPr>
          <w:p w14:paraId="5859583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3736" w:type="dxa"/>
            <w:shd w:val="clear" w:color="auto" w:fill="FFFFFF"/>
          </w:tcPr>
          <w:p w14:paraId="769B3CC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w:t>
            </w:r>
          </w:p>
        </w:tc>
      </w:tr>
      <w:tr w:rsidR="004E10C1" w:rsidRPr="0044524F" w14:paraId="7048BD88" w14:textId="77777777">
        <w:tc>
          <w:tcPr>
            <w:tcW w:w="3736" w:type="dxa"/>
            <w:shd w:val="clear" w:color="auto" w:fill="FFFFFF"/>
          </w:tcPr>
          <w:p w14:paraId="790A959F"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3736" w:type="dxa"/>
            <w:shd w:val="clear" w:color="auto" w:fill="FFFFFF"/>
          </w:tcPr>
          <w:p w14:paraId="261AF916"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3736" w:type="dxa"/>
            <w:shd w:val="clear" w:color="auto" w:fill="FFFFFF"/>
          </w:tcPr>
          <w:p w14:paraId="73D29270"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32,8</w:t>
            </w:r>
          </w:p>
        </w:tc>
      </w:tr>
      <w:tr w:rsidR="004E10C1" w:rsidRPr="0044524F" w14:paraId="5AF17CF8" w14:textId="77777777">
        <w:tc>
          <w:tcPr>
            <w:tcW w:w="3736" w:type="dxa"/>
            <w:shd w:val="clear" w:color="auto" w:fill="FFFFFF"/>
          </w:tcPr>
          <w:p w14:paraId="319C0B82"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3736" w:type="dxa"/>
            <w:shd w:val="clear" w:color="auto" w:fill="FFFFFF"/>
          </w:tcPr>
          <w:p w14:paraId="4A7252D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w:t>
            </w:r>
          </w:p>
        </w:tc>
        <w:tc>
          <w:tcPr>
            <w:tcW w:w="3736" w:type="dxa"/>
            <w:shd w:val="clear" w:color="auto" w:fill="FFFFFF"/>
          </w:tcPr>
          <w:p w14:paraId="1EE1E3EB"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18,81</w:t>
            </w:r>
          </w:p>
        </w:tc>
      </w:tr>
      <w:tr w:rsidR="004E10C1" w:rsidRPr="0044524F" w14:paraId="5CD6EB4E" w14:textId="77777777">
        <w:tc>
          <w:tcPr>
            <w:tcW w:w="3736" w:type="dxa"/>
            <w:shd w:val="clear" w:color="auto" w:fill="FFFFFF"/>
          </w:tcPr>
          <w:p w14:paraId="7D5424AF"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3736" w:type="dxa"/>
            <w:shd w:val="clear" w:color="auto" w:fill="FFFFFF"/>
          </w:tcPr>
          <w:p w14:paraId="201051A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3736" w:type="dxa"/>
            <w:shd w:val="clear" w:color="auto" w:fill="FFFFFF"/>
          </w:tcPr>
          <w:p w14:paraId="2D1A165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3800</w:t>
            </w:r>
          </w:p>
        </w:tc>
      </w:tr>
      <w:tr w:rsidR="004E10C1" w:rsidRPr="0044524F" w14:paraId="519C9BB1" w14:textId="77777777">
        <w:tc>
          <w:tcPr>
            <w:tcW w:w="3736" w:type="dxa"/>
            <w:shd w:val="clear" w:color="auto" w:fill="FFFFFF"/>
          </w:tcPr>
          <w:p w14:paraId="3C0DECEC"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3736" w:type="dxa"/>
            <w:shd w:val="clear" w:color="auto" w:fill="FFFFFF"/>
          </w:tcPr>
          <w:p w14:paraId="7D46EE8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3736" w:type="dxa"/>
            <w:shd w:val="clear" w:color="auto" w:fill="FFFFFF"/>
          </w:tcPr>
          <w:p w14:paraId="253A88BE"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3900</w:t>
            </w:r>
          </w:p>
        </w:tc>
      </w:tr>
      <w:tr w:rsidR="004E10C1" w:rsidRPr="0044524F" w14:paraId="0D39DC43" w14:textId="77777777">
        <w:tc>
          <w:tcPr>
            <w:tcW w:w="3736" w:type="dxa"/>
            <w:tcBorders>
              <w:bottom w:val="single" w:sz="12" w:space="0" w:color="auto"/>
            </w:tcBorders>
            <w:shd w:val="clear" w:color="auto" w:fill="FFFFFF"/>
          </w:tcPr>
          <w:p w14:paraId="000DB7C3" w14:textId="77777777" w:rsidR="00570C39" w:rsidRPr="0044524F" w:rsidRDefault="00570C39" w:rsidP="009654CF">
            <w:pPr>
              <w:spacing w:after="0" w:line="240" w:lineRule="auto"/>
              <w:jc w:val="both"/>
              <w:rPr>
                <w:rFonts w:ascii="Times New Roman" w:hAnsi="Times New Roman"/>
                <w:color w:val="000000" w:themeColor="text1"/>
                <w:sz w:val="16"/>
                <w:szCs w:val="16"/>
              </w:rPr>
            </w:pPr>
          </w:p>
        </w:tc>
        <w:tc>
          <w:tcPr>
            <w:tcW w:w="3736" w:type="dxa"/>
            <w:tcBorders>
              <w:bottom w:val="single" w:sz="12" w:space="0" w:color="auto"/>
            </w:tcBorders>
            <w:shd w:val="clear" w:color="auto" w:fill="FFFFFF"/>
          </w:tcPr>
          <w:p w14:paraId="294F5AE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w:t>
            </w:r>
          </w:p>
        </w:tc>
        <w:tc>
          <w:tcPr>
            <w:tcW w:w="3736" w:type="dxa"/>
            <w:tcBorders>
              <w:bottom w:val="single" w:sz="12" w:space="0" w:color="auto"/>
            </w:tcBorders>
            <w:shd w:val="clear" w:color="auto" w:fill="FFFFFF"/>
          </w:tcPr>
          <w:p w14:paraId="645E359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4600</w:t>
            </w:r>
          </w:p>
        </w:tc>
      </w:tr>
    </w:tbl>
    <w:p w14:paraId="7FC3AEF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мотора на самолете РД показывают, что с упомянутым мотором при общем весе 10 тн самолет имеет дальность 10600 км..СекретяыД Отд. Ц. п. д. В 1933 году институт в виду запоздания с развертыванием серийного производства на заводе №24 в целях обеспетения испытания опытных самолетов и самолета на рекордный полет изготовил и сдал на самолеты 9 моторов.</w:t>
      </w:r>
    </w:p>
    <w:p w14:paraId="111CDFAD"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ГМ-34 - /мотор в 750 л. с. для глиссеров/. Чертежи этого мотора были изготовлены в декабре 1930 г.</w:t>
      </w:r>
    </w:p>
    <w:p w14:paraId="1BBDB981"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первую очередь изготовлены 2 реверсивных муфты, которые в августе 1932 пошли на заводские испытания и были переданы в эксплоатацию на катере Г-5 с мотомом АССО, где и работают по настоящее время.</w:t>
      </w:r>
    </w:p>
    <w:p w14:paraId="5882528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ГМ-34 в первом экземпляре был изготовлен в ноябре 1932 г. и в настоящее время следующие два мотора провохят госиспытания на катерах.</w:t>
      </w:r>
    </w:p>
    <w:p w14:paraId="1AA57FAE"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на основании заводских испытаний, сдан в серийное производство.</w:t>
      </w:r>
    </w:p>
    <w:p w14:paraId="5A20003D"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М-34Н - /мотор м-34 с нагнетателем/.</w:t>
      </w:r>
    </w:p>
    <w:p w14:paraId="18B60FA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Требования планом высотности 5.000 мтр. заставили институт взяться в 1930 г. за сложного нагнетателя с двумя ступенями скоростей.</w:t>
      </w:r>
    </w:p>
    <w:p w14:paraId="1B847927"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Нагнетатель был закончен проектированием в апреле 1931 года и построен в феврале 1932.</w:t>
      </w:r>
    </w:p>
    <w:p w14:paraId="44289912"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выявившимися большими техническими сложностями, грозившими затяжкой доводки на неопределенный срок, Институтом с ведома и разрешания РВС, был запроектирован в январе 1933 нагнетатель невыключающийся с высотностью 3500 мтр, который и был построен и поставлен на заводские испытания в мае 1933 года.</w:t>
      </w:r>
    </w:p>
    <w:p w14:paraId="6485217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 этим нагнетателем был предъявлен на гос.испытания в октябре 1933.</w:t>
      </w:r>
    </w:p>
    <w:p w14:paraId="626137C7"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Встретившиеся в процессе доводки этого мотора большие технические трудности в основном преодлоленв и мотор подготовлен к серийному производству.</w:t>
      </w:r>
    </w:p>
    <w:p w14:paraId="46A5C8ED"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КАРБЮРАТОР 92 КДЗ /карбюратор для мотора М-34 взамен импортного 90Р/.</w:t>
      </w:r>
    </w:p>
    <w:p w14:paraId="6119FAB2"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карбюратора Институт закончил в марте 1932 года.</w:t>
      </w:r>
    </w:p>
    <w:p w14:paraId="3CB36D42"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изготовлению на заводе № 33 опытных образцов и необходимой доводки, карбюратор успешно прошел гносиспытания и внедрен при непосредственном участии Института в июне 1933 в серийное производство на заводе № 33. Он представляет собой отвечающий всем современным требованиям агрегат по качеству работы, не уступающий заграничным.</w:t>
      </w:r>
    </w:p>
    <w:p w14:paraId="4A735AB6"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моторы М-34 выпускаются ныне с этими карпбюраторами.</w:t>
      </w:r>
    </w:p>
    <w:p w14:paraId="466BDAD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М-52 /однорядный мотор в 400 нр для гражданской авиации/</w:t>
      </w:r>
    </w:p>
    <w:p w14:paraId="32B88649"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 спроектирован в марте 1932 года и с января 1933 находится в процессе доводки. В связи с неудовлетворительной конструкцией картера и вытекающими их этого крупными переделками выпуск его переносится на 1934 г.</w:t>
      </w:r>
    </w:p>
    <w:p w14:paraId="6C048039"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М-32 /мотор в 600 л.с. и высотностью в 4000 мтр. для истребителя/.</w:t>
      </w:r>
    </w:p>
    <w:p w14:paraId="03B80585"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 проектированием в марте 1932, сделан на опытном заводе института и поступил на испытания в октябре 1932 г....</w:t>
      </w:r>
    </w:p>
    <w:p w14:paraId="45B867B4"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М-48 /мотро в 600 л.с. воздузного охлаждения с высотноностью 4000 мтр. для истребителя/.</w:t>
      </w:r>
    </w:p>
    <w:p w14:paraId="4E6F3A8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был передан институту в 1931 году от авода №24 в виде эскихной компановки. В институте он был разработан в рабочих чертежах. В марте м-це 1931 года изготовлен в первом образце, к 1932 года прошел ряд испытаний.</w:t>
      </w:r>
    </w:p>
    <w:p w14:paraId="1C265572"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неудовлетворительной работой головки в настоящее время работа перешла в стадию изысканий конструкции головки цилиндра и работы в целом по мотору в целом приостановлены.</w:t>
      </w:r>
    </w:p>
    <w:p w14:paraId="05A8B38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М-44 и АН-1 - /первый мощностыо в 2000 нр и второй - нефтя</w:t>
      </w:r>
      <w:r w:rsidRPr="0044524F">
        <w:rPr>
          <w:rFonts w:ascii="Times New Roman" w:hAnsi="Times New Roman"/>
          <w:color w:val="000000" w:themeColor="text1"/>
          <w:sz w:val="16"/>
          <w:szCs w:val="16"/>
        </w:rPr>
        <w:softHyphen/>
        <w:t>ной мотор в 750 нр/.</w:t>
      </w:r>
    </w:p>
    <w:p w14:paraId="33FD30D1"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Поектированию обоих этих моторов предшествовала длительная экспериментальная работа на одноцилиндровых установках с целью термодинамических исследований работы этих моторов. На основе результатов в конце испытаний, оба эти мотора запроектированы и к 1 октября закончены постройкой.</w:t>
      </w:r>
    </w:p>
    <w:p w14:paraId="1346A0CA"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РД-8 и СП-2 - /мощные нефтяные моторы/.</w:t>
      </w:r>
    </w:p>
    <w:p w14:paraId="17931737"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Сверх плана по заданию правительства институтом {оперативно с заводами № 24 и № 2б изготовлены два новых мощных мотора на тяжелом топливе, которые предстоит доводить в институте.</w:t>
      </w:r>
    </w:p>
    <w:p w14:paraId="00EE4471"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М-23 /мотор в 75 л.с. для авиаеток/</w:t>
      </w:r>
    </w:p>
    <w:p w14:paraId="4FC4640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спроектирован в НАМИ, ЦИАМом доведен, модифицирован и внедрен на серийное производство в ФЗУ завода № 24.</w:t>
      </w:r>
    </w:p>
    <w:p w14:paraId="3C3DB370"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перечисленннх основных работ института проделан ряд других работ, как-то:</w:t>
      </w:r>
    </w:p>
    <w:p w14:paraId="2619A7A8"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Освоено электронное литье картеров мотора М-34, что дает облегчение на 40 кг.</w:t>
      </w:r>
    </w:p>
    <w:p w14:paraId="414194F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Изготовлены подшиники из свинцовистой бронзы для мотора М-11.</w:t>
      </w:r>
    </w:p>
    <w:p w14:paraId="0BFBFB9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конструкции и производстве освоены топливные насосы для быстроходных дизелей, являвшиеся предметом монополии заграничных фирм последнего времени и ряд других менее существенных .работ.</w:t>
      </w:r>
    </w:p>
    <w:p w14:paraId="5CF02E2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с 1931 года по ноябрь 1933 года институтом:</w:t>
      </w:r>
    </w:p>
    <w:p w14:paraId="0527FEB1"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Спроектировано, построено и сдано всерийное производство 5 новых об"ектов, включая М-34, ГМ-34, М-34Р, карбюратор 92 КДЗ, М-23.</w:t>
      </w:r>
    </w:p>
    <w:p w14:paraId="6A628252"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Находятся в стади подготовки к передаче в серийное производстве 2 об"екта М-34Н и подшипник свинц. бронзы для М-11.</w:t>
      </w:r>
    </w:p>
    <w:p w14:paraId="602E8291"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в периоде заводских испытаний /доводка/ М-32,М-38 и М-52.</w:t>
      </w:r>
    </w:p>
    <w:p w14:paraId="7353DB66"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Закончены производством первые экземпляры и поступили на заводские испытания 4 объекта: М-44, АН-1, ФеД-8, СП-2.</w:t>
      </w:r>
    </w:p>
    <w:p w14:paraId="7314D961"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всех этих мочоров освоены на самолете и катере 5 об"ктов: М-34, М-34Р, М-23 карб. .92 КДЗ и отд. реверс.</w:t>
      </w:r>
    </w:p>
    <w:p w14:paraId="01E44BDD"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Находятся в стадии освоения ГМ-34.</w:t>
      </w:r>
    </w:p>
    <w:p w14:paraId="2E3F06D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Подготовляется к полетному испытанию М-34Н - 1</w:t>
      </w:r>
    </w:p>
    <w:p w14:paraId="42F76B96"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 РАБОТЫ</w:t>
      </w:r>
    </w:p>
    <w:p w14:paraId="28E72A6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вспериментально теоретические работы, проводимые в институте связаны с работами по моторам плана и имели в основном подчиненное текущим планам значение.</w:t>
      </w:r>
    </w:p>
    <w:p w14:paraId="475304F1"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Экспериментальных работ по заданиям ГУАП, серийных заводов, ЦАГИ, выполнено за 1932 год 14.</w:t>
      </w:r>
    </w:p>
    <w:p w14:paraId="56F1629F"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 ноябрь 1933 года 18.</w:t>
      </w:r>
    </w:p>
    <w:p w14:paraId="05615C23"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число этих работ входят специальные испытания М-17 с целью устранения дефектов. Испытания М-34 с целью специальной регулировки на рекордный полет, испытания по изысканию масляных радиаторов для ТБ-3, испытание топлив и масел, испытание продукции заводов ГУАП и т.д.</w:t>
      </w:r>
    </w:p>
    <w:p w14:paraId="03184D30"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СВЯЗЬ С СЕРИЙНЫМИ ЗАВОДАМИ.</w:t>
      </w:r>
    </w:p>
    <w:p w14:paraId="5655CCD4"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Посколько основным содержанием работы Института за период 1931-33 гг являлось выполнение плана по опытному моторостроению, естественно, что в основном связь с серийным производством выливалась в совместную работу по внедрению в серийное производство дальнейшую совместную работу над совершенствованием мотора.</w:t>
      </w:r>
    </w:p>
    <w:p w14:paraId="349FC92B"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своих взаимоотношениях с серийными заводами Институт проводил, следующие принципы:</w:t>
      </w:r>
    </w:p>
    <w:p w14:paraId="70F55388"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 внедрении в серийное производство опытныхобъектов Институт непосредственной органичесвой связи с заводом непосредственно учавуя в его раооте помогает заводу освоить новый об'ект, представляя заводу как неооходимне для этой цели кадры, так и экспериментальные производственные ресурсы до момента готовности серийного эталона.</w:t>
      </w:r>
    </w:p>
    <w:p w14:paraId="0E926B3D"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 процессе серийного производства работа по усовершенствованию мотора, его модификациям не требующим коренных переделок, облегчение мотора, повышение его наденности, подготовка текуших эталонов является правом и обязанностью опытно-конструкторсних отделов заводов.</w:t>
      </w:r>
    </w:p>
    <w:p w14:paraId="2228CD1E"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этой части институт на основе изучения мотора лишь ставит перед заводом задачи по совершенствованию моторов, подготовляя их надлежащим образом у себя, а также помогая заводу своей нонсультацией, участвуя в обсуждении встающих в процессе работы вопросов и дополняя своими рессурсами задания завода.</w:t>
      </w:r>
    </w:p>
    <w:p w14:paraId="1251B618"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обязанности института лежит работа по тем модификациям моторов, которые треоуют коренных изменений и проработки принцитпиально важных конструкций или технологических процессов в качестве новых вв производства для завода.</w:t>
      </w:r>
    </w:p>
    <w:p w14:paraId="63C3610D" w14:textId="77777777" w:rsidR="00570C39" w:rsidRPr="0044524F" w:rsidRDefault="00570C3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мотору М-34 сложилась из следующих этапов:</w:t>
      </w:r>
    </w:p>
    <w:p w14:paraId="596F219D"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Доработка чертежей опытного мотора применительно к условиям а завода №24. Работа была проведена в основном в Институте с участием работников завода (2281,68).</w:t>
      </w:r>
    </w:p>
    <w:p w14:paraId="17696179" w14:textId="77777777" w:rsidR="00570C39" w:rsidRPr="0044524F" w:rsidRDefault="00570C39" w:rsidP="009654CF">
      <w:pPr>
        <w:spacing w:after="0" w:line="240" w:lineRule="auto"/>
        <w:jc w:val="both"/>
        <w:rPr>
          <w:rFonts w:ascii="Times New Roman" w:hAnsi="Times New Roman"/>
          <w:color w:val="000000" w:themeColor="text1"/>
          <w:sz w:val="16"/>
          <w:szCs w:val="16"/>
        </w:rPr>
      </w:pPr>
    </w:p>
    <w:p w14:paraId="40CD25D7" w14:textId="77777777" w:rsidR="00366092" w:rsidRPr="0044524F" w:rsidRDefault="00366092"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17 ноября 1933 г. </w:t>
      </w:r>
      <w:r w:rsidRPr="0044524F">
        <w:rPr>
          <w:rFonts w:ascii="Times New Roman" w:hAnsi="Times New Roman"/>
          <w:color w:val="000000" w:themeColor="text1"/>
          <w:sz w:val="16"/>
          <w:szCs w:val="16"/>
        </w:rPr>
        <w:t>Доклад Центрального института авиационного моторостроения во Всесоюзное объединение авиационной промышленности о деятельности института с ноября 1930 г. по ноябрь 1933 г.</w:t>
      </w:r>
    </w:p>
    <w:p w14:paraId="19317C81"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Секретно.</w:t>
      </w:r>
    </w:p>
    <w:p w14:paraId="1A821AB6"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Центральный институт авиационного моторостроения был создан в ноябре 1930 г. Вся организация института была проведена за отчетный период времени. Нижеприведенные таблицы дают представление о ходе развития института.</w:t>
      </w:r>
    </w:p>
    <w:p w14:paraId="0C47744A" w14:textId="77777777" w:rsidR="00366092" w:rsidRPr="0044524F" w:rsidRDefault="00366092" w:rsidP="009654CF">
      <w:pPr>
        <w:pStyle w:val="ae"/>
        <w:spacing w:before="0" w:after="0"/>
        <w:jc w:val="both"/>
        <w:rPr>
          <w:color w:val="000000" w:themeColor="text1"/>
          <w:sz w:val="16"/>
          <w:szCs w:val="16"/>
        </w:rPr>
      </w:pPr>
      <w:r w:rsidRPr="0044524F">
        <w:rPr>
          <w:rStyle w:val="a7"/>
          <w:rFonts w:eastAsiaTheme="majorEastAsia"/>
          <w:b w:val="0"/>
          <w:color w:val="000000" w:themeColor="text1"/>
          <w:sz w:val="16"/>
          <w:szCs w:val="16"/>
        </w:rPr>
        <w:t>Рост оборудования Опытного завода ЦИАМ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874"/>
        <w:gridCol w:w="2082"/>
        <w:gridCol w:w="2082"/>
        <w:gridCol w:w="2082"/>
        <w:gridCol w:w="2202"/>
      </w:tblGrid>
      <w:tr w:rsidR="004E10C1" w:rsidRPr="0044524F" w14:paraId="31971C02"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2C44E8E4"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AA73A88"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2C7D6D17"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2CEE498"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362481DF"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8 октября 1933 г.</w:t>
            </w:r>
          </w:p>
        </w:tc>
      </w:tr>
      <w:tr w:rsidR="004E10C1" w:rsidRPr="0044524F" w14:paraId="1D08CA6F"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D1A43F5"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по опытному заводу</w:t>
            </w:r>
          </w:p>
        </w:tc>
        <w:tc>
          <w:tcPr>
            <w:tcW w:w="0" w:type="auto"/>
            <w:tcBorders>
              <w:top w:val="outset" w:sz="6" w:space="0" w:color="auto"/>
              <w:left w:val="outset" w:sz="6" w:space="0" w:color="auto"/>
              <w:bottom w:val="outset" w:sz="6" w:space="0" w:color="auto"/>
              <w:right w:val="outset" w:sz="6" w:space="0" w:color="auto"/>
            </w:tcBorders>
            <w:vAlign w:val="center"/>
            <w:hideMark/>
          </w:tcPr>
          <w:p w14:paraId="43ADCF91"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0" w:type="auto"/>
            <w:tcBorders>
              <w:top w:val="outset" w:sz="6" w:space="0" w:color="auto"/>
              <w:left w:val="outset" w:sz="6" w:space="0" w:color="auto"/>
              <w:bottom w:val="outset" w:sz="6" w:space="0" w:color="auto"/>
              <w:right w:val="outset" w:sz="6" w:space="0" w:color="auto"/>
            </w:tcBorders>
            <w:vAlign w:val="center"/>
            <w:hideMark/>
          </w:tcPr>
          <w:p w14:paraId="7E00C50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158</w:t>
            </w:r>
          </w:p>
        </w:tc>
        <w:tc>
          <w:tcPr>
            <w:tcW w:w="0" w:type="auto"/>
            <w:tcBorders>
              <w:top w:val="outset" w:sz="6" w:space="0" w:color="auto"/>
              <w:left w:val="outset" w:sz="6" w:space="0" w:color="auto"/>
              <w:bottom w:val="outset" w:sz="6" w:space="0" w:color="auto"/>
              <w:right w:val="outset" w:sz="6" w:space="0" w:color="auto"/>
            </w:tcBorders>
            <w:vAlign w:val="center"/>
            <w:hideMark/>
          </w:tcPr>
          <w:p w14:paraId="7E9408E4"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244</w:t>
            </w:r>
          </w:p>
        </w:tc>
        <w:tc>
          <w:tcPr>
            <w:tcW w:w="0" w:type="auto"/>
            <w:tcBorders>
              <w:top w:val="outset" w:sz="6" w:space="0" w:color="auto"/>
              <w:left w:val="outset" w:sz="6" w:space="0" w:color="auto"/>
              <w:bottom w:val="outset" w:sz="6" w:space="0" w:color="auto"/>
              <w:right w:val="outset" w:sz="6" w:space="0" w:color="auto"/>
            </w:tcBorders>
            <w:vAlign w:val="center"/>
            <w:hideMark/>
          </w:tcPr>
          <w:p w14:paraId="10260133"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w:t>
            </w:r>
          </w:p>
        </w:tc>
      </w:tr>
    </w:tbl>
    <w:p w14:paraId="754AD40C" w14:textId="77777777" w:rsidR="00366092" w:rsidRPr="0044524F" w:rsidRDefault="00366092" w:rsidP="009654CF">
      <w:pPr>
        <w:pStyle w:val="ae"/>
        <w:spacing w:before="0" w:after="0"/>
        <w:jc w:val="both"/>
        <w:rPr>
          <w:color w:val="000000" w:themeColor="text1"/>
          <w:sz w:val="16"/>
          <w:szCs w:val="16"/>
        </w:rPr>
      </w:pPr>
      <w:r w:rsidRPr="0044524F">
        <w:rPr>
          <w:rStyle w:val="a7"/>
          <w:rFonts w:eastAsiaTheme="majorEastAsia"/>
          <w:b w:val="0"/>
          <w:color w:val="000000" w:themeColor="text1"/>
          <w:sz w:val="16"/>
          <w:szCs w:val="16"/>
        </w:rPr>
        <w:t>Рост зданий ЦИАМ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653"/>
        <w:gridCol w:w="2223"/>
        <w:gridCol w:w="2223"/>
        <w:gridCol w:w="2223"/>
      </w:tblGrid>
      <w:tr w:rsidR="004E10C1" w:rsidRPr="0044524F" w14:paraId="6EBD81CB"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2B5B463"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FD626B0"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 (м³)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7596F6E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 (м³)</w:t>
            </w:r>
          </w:p>
        </w:tc>
        <w:tc>
          <w:tcPr>
            <w:tcW w:w="0" w:type="auto"/>
            <w:tcBorders>
              <w:top w:val="outset" w:sz="6" w:space="0" w:color="auto"/>
              <w:left w:val="outset" w:sz="6" w:space="0" w:color="auto"/>
              <w:bottom w:val="outset" w:sz="6" w:space="0" w:color="auto"/>
              <w:right w:val="outset" w:sz="6" w:space="0" w:color="auto"/>
            </w:tcBorders>
            <w:vAlign w:val="center"/>
            <w:hideMark/>
          </w:tcPr>
          <w:p w14:paraId="3B8B6C10"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 (м³)</w:t>
            </w:r>
          </w:p>
        </w:tc>
      </w:tr>
      <w:tr w:rsidR="004E10C1" w:rsidRPr="0044524F" w14:paraId="1B1FEAD5"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7293CBB"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завод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40BD90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29 450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91CE90"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75 100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55AE4F2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75 100</w:t>
            </w:r>
          </w:p>
        </w:tc>
      </w:tr>
      <w:tr w:rsidR="004E10C1" w:rsidRPr="0044524F" w14:paraId="4A64B6C2"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280A86C"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Испытательная станция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0CCA162C"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C14EC8"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F81C5B"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29 400</w:t>
            </w:r>
          </w:p>
        </w:tc>
      </w:tr>
      <w:tr w:rsidR="004E10C1" w:rsidRPr="0044524F" w14:paraId="2CCF93A1"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4C4194E"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Жилплощадь</w:t>
            </w:r>
          </w:p>
        </w:tc>
        <w:tc>
          <w:tcPr>
            <w:tcW w:w="0" w:type="auto"/>
            <w:tcBorders>
              <w:top w:val="outset" w:sz="6" w:space="0" w:color="auto"/>
              <w:left w:val="outset" w:sz="6" w:space="0" w:color="auto"/>
              <w:bottom w:val="outset" w:sz="6" w:space="0" w:color="auto"/>
              <w:right w:val="outset" w:sz="6" w:space="0" w:color="auto"/>
            </w:tcBorders>
            <w:vAlign w:val="center"/>
            <w:hideMark/>
          </w:tcPr>
          <w:p w14:paraId="420B7D3C"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4DD02D9B"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29 300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6725FBC"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60 585</w:t>
            </w:r>
          </w:p>
        </w:tc>
      </w:tr>
    </w:tbl>
    <w:p w14:paraId="325F4348" w14:textId="77777777" w:rsidR="00366092" w:rsidRPr="0044524F" w:rsidRDefault="00366092" w:rsidP="009654CF">
      <w:pPr>
        <w:pStyle w:val="ae"/>
        <w:spacing w:before="0" w:after="0"/>
        <w:jc w:val="both"/>
        <w:rPr>
          <w:color w:val="000000" w:themeColor="text1"/>
          <w:sz w:val="16"/>
          <w:szCs w:val="16"/>
        </w:rPr>
      </w:pPr>
      <w:r w:rsidRPr="0044524F">
        <w:rPr>
          <w:rStyle w:val="a7"/>
          <w:rFonts w:eastAsiaTheme="majorEastAsia"/>
          <w:b w:val="0"/>
          <w:color w:val="000000" w:themeColor="text1"/>
          <w:sz w:val="16"/>
          <w:szCs w:val="16"/>
        </w:rPr>
        <w:t>Рост кадров ЦИАМ</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69"/>
        <w:gridCol w:w="1982"/>
        <w:gridCol w:w="1983"/>
        <w:gridCol w:w="1983"/>
        <w:gridCol w:w="2005"/>
      </w:tblGrid>
      <w:tr w:rsidR="004E10C1" w:rsidRPr="0044524F" w14:paraId="4B5ACB96"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A4F90D"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52F31DAC"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1931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53C620EE"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1932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2EA354E"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января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1E0BF24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ноября 1933 г.</w:t>
            </w:r>
          </w:p>
        </w:tc>
      </w:tr>
      <w:tr w:rsidR="004E10C1" w:rsidRPr="0044524F" w14:paraId="4C726550"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75411700"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5D1C4F36"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231</w:t>
            </w:r>
          </w:p>
        </w:tc>
        <w:tc>
          <w:tcPr>
            <w:tcW w:w="0" w:type="auto"/>
            <w:tcBorders>
              <w:top w:val="outset" w:sz="6" w:space="0" w:color="auto"/>
              <w:left w:val="outset" w:sz="6" w:space="0" w:color="auto"/>
              <w:bottom w:val="outset" w:sz="6" w:space="0" w:color="auto"/>
              <w:right w:val="outset" w:sz="6" w:space="0" w:color="auto"/>
            </w:tcBorders>
            <w:vAlign w:val="center"/>
            <w:hideMark/>
          </w:tcPr>
          <w:p w14:paraId="2217C055"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2019</w:t>
            </w:r>
          </w:p>
        </w:tc>
        <w:tc>
          <w:tcPr>
            <w:tcW w:w="0" w:type="auto"/>
            <w:tcBorders>
              <w:top w:val="outset" w:sz="6" w:space="0" w:color="auto"/>
              <w:left w:val="outset" w:sz="6" w:space="0" w:color="auto"/>
              <w:bottom w:val="outset" w:sz="6" w:space="0" w:color="auto"/>
              <w:right w:val="outset" w:sz="6" w:space="0" w:color="auto"/>
            </w:tcBorders>
            <w:vAlign w:val="center"/>
            <w:hideMark/>
          </w:tcPr>
          <w:p w14:paraId="043A3E12"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3759</w:t>
            </w:r>
          </w:p>
        </w:tc>
        <w:tc>
          <w:tcPr>
            <w:tcW w:w="0" w:type="auto"/>
            <w:tcBorders>
              <w:top w:val="outset" w:sz="6" w:space="0" w:color="auto"/>
              <w:left w:val="outset" w:sz="6" w:space="0" w:color="auto"/>
              <w:bottom w:val="outset" w:sz="6" w:space="0" w:color="auto"/>
              <w:right w:val="outset" w:sz="6" w:space="0" w:color="auto"/>
            </w:tcBorders>
            <w:vAlign w:val="center"/>
            <w:hideMark/>
          </w:tcPr>
          <w:p w14:paraId="496BED10"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3384</w:t>
            </w:r>
          </w:p>
        </w:tc>
      </w:tr>
      <w:tr w:rsidR="004E10C1" w:rsidRPr="0044524F" w14:paraId="5CC1A48C"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BA59A7B"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числе</w:t>
            </w:r>
          </w:p>
        </w:tc>
        <w:tc>
          <w:tcPr>
            <w:tcW w:w="0" w:type="auto"/>
            <w:tcBorders>
              <w:top w:val="outset" w:sz="6" w:space="0" w:color="auto"/>
              <w:left w:val="outset" w:sz="6" w:space="0" w:color="auto"/>
              <w:bottom w:val="outset" w:sz="6" w:space="0" w:color="auto"/>
              <w:right w:val="outset" w:sz="6" w:space="0" w:color="auto"/>
            </w:tcBorders>
            <w:vAlign w:val="center"/>
            <w:hideMark/>
          </w:tcPr>
          <w:p w14:paraId="7B245A84"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CB16121"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7BE80D78"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1059B6AC"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4AB10935"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D27451"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рабочих,</w:t>
            </w:r>
          </w:p>
          <w:p w14:paraId="23C4F8A8"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числе квалифицированных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56840578"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p w14:paraId="21D2AE87"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E3408"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903</w:t>
            </w:r>
          </w:p>
          <w:p w14:paraId="469ED938"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493</w:t>
            </w:r>
          </w:p>
        </w:tc>
        <w:tc>
          <w:tcPr>
            <w:tcW w:w="0" w:type="auto"/>
            <w:tcBorders>
              <w:top w:val="outset" w:sz="6" w:space="0" w:color="auto"/>
              <w:left w:val="outset" w:sz="6" w:space="0" w:color="auto"/>
              <w:bottom w:val="outset" w:sz="6" w:space="0" w:color="auto"/>
              <w:right w:val="outset" w:sz="6" w:space="0" w:color="auto"/>
            </w:tcBorders>
            <w:vAlign w:val="center"/>
            <w:hideMark/>
          </w:tcPr>
          <w:p w14:paraId="570009A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1608</w:t>
            </w:r>
          </w:p>
          <w:p w14:paraId="377FB42C"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918</w:t>
            </w:r>
          </w:p>
        </w:tc>
        <w:tc>
          <w:tcPr>
            <w:tcW w:w="0" w:type="auto"/>
            <w:tcBorders>
              <w:top w:val="outset" w:sz="6" w:space="0" w:color="auto"/>
              <w:left w:val="outset" w:sz="6" w:space="0" w:color="auto"/>
              <w:bottom w:val="outset" w:sz="6" w:space="0" w:color="auto"/>
              <w:right w:val="outset" w:sz="6" w:space="0" w:color="auto"/>
            </w:tcBorders>
            <w:vAlign w:val="center"/>
            <w:hideMark/>
          </w:tcPr>
          <w:p w14:paraId="392FC7A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1685</w:t>
            </w:r>
          </w:p>
          <w:p w14:paraId="790B89C3"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1312</w:t>
            </w:r>
          </w:p>
        </w:tc>
      </w:tr>
      <w:tr w:rsidR="004E10C1" w:rsidRPr="0044524F" w14:paraId="390B8E9E"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4BB0A67"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ИТР,</w:t>
            </w:r>
          </w:p>
          <w:p w14:paraId="168AC43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числе инженеры</w:t>
            </w:r>
          </w:p>
        </w:tc>
        <w:tc>
          <w:tcPr>
            <w:tcW w:w="0" w:type="auto"/>
            <w:tcBorders>
              <w:top w:val="outset" w:sz="6" w:space="0" w:color="auto"/>
              <w:left w:val="outset" w:sz="6" w:space="0" w:color="auto"/>
              <w:bottom w:val="outset" w:sz="6" w:space="0" w:color="auto"/>
              <w:right w:val="outset" w:sz="6" w:space="0" w:color="auto"/>
            </w:tcBorders>
            <w:vAlign w:val="center"/>
            <w:hideMark/>
          </w:tcPr>
          <w:p w14:paraId="64967806"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w:t>
            </w:r>
          </w:p>
          <w:p w14:paraId="7B877CA8"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62A40"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492</w:t>
            </w:r>
          </w:p>
          <w:p w14:paraId="284F9E6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246</w:t>
            </w:r>
          </w:p>
        </w:tc>
        <w:tc>
          <w:tcPr>
            <w:tcW w:w="0" w:type="auto"/>
            <w:tcBorders>
              <w:top w:val="outset" w:sz="6" w:space="0" w:color="auto"/>
              <w:left w:val="outset" w:sz="6" w:space="0" w:color="auto"/>
              <w:bottom w:val="outset" w:sz="6" w:space="0" w:color="auto"/>
              <w:right w:val="outset" w:sz="6" w:space="0" w:color="auto"/>
            </w:tcBorders>
            <w:vAlign w:val="center"/>
            <w:hideMark/>
          </w:tcPr>
          <w:p w14:paraId="117CEEB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1125</w:t>
            </w:r>
          </w:p>
          <w:p w14:paraId="00DEFB1D"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14:paraId="05543B17"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971</w:t>
            </w:r>
          </w:p>
          <w:p w14:paraId="0B6B93A3"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383</w:t>
            </w:r>
          </w:p>
        </w:tc>
      </w:tr>
      <w:tr w:rsidR="004E10C1" w:rsidRPr="0044524F" w14:paraId="0EA4D4D6"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B6B1907"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КСХ</w:t>
            </w:r>
          </w:p>
        </w:tc>
        <w:tc>
          <w:tcPr>
            <w:tcW w:w="0" w:type="auto"/>
            <w:tcBorders>
              <w:top w:val="outset" w:sz="6" w:space="0" w:color="auto"/>
              <w:left w:val="outset" w:sz="6" w:space="0" w:color="auto"/>
              <w:bottom w:val="outset" w:sz="6" w:space="0" w:color="auto"/>
              <w:right w:val="outset" w:sz="6" w:space="0" w:color="auto"/>
            </w:tcBorders>
            <w:vAlign w:val="center"/>
            <w:hideMark/>
          </w:tcPr>
          <w:p w14:paraId="26ABCE21"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w:t>
            </w:r>
          </w:p>
        </w:tc>
        <w:tc>
          <w:tcPr>
            <w:tcW w:w="0" w:type="auto"/>
            <w:tcBorders>
              <w:top w:val="outset" w:sz="6" w:space="0" w:color="auto"/>
              <w:left w:val="outset" w:sz="6" w:space="0" w:color="auto"/>
              <w:bottom w:val="outset" w:sz="6" w:space="0" w:color="auto"/>
              <w:right w:val="outset" w:sz="6" w:space="0" w:color="auto"/>
            </w:tcBorders>
            <w:vAlign w:val="center"/>
            <w:hideMark/>
          </w:tcPr>
          <w:p w14:paraId="280F7E63"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7070DB"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798</w:t>
            </w:r>
          </w:p>
        </w:tc>
        <w:tc>
          <w:tcPr>
            <w:tcW w:w="0" w:type="auto"/>
            <w:tcBorders>
              <w:top w:val="outset" w:sz="6" w:space="0" w:color="auto"/>
              <w:left w:val="outset" w:sz="6" w:space="0" w:color="auto"/>
              <w:bottom w:val="outset" w:sz="6" w:space="0" w:color="auto"/>
              <w:right w:val="outset" w:sz="6" w:space="0" w:color="auto"/>
            </w:tcBorders>
            <w:vAlign w:val="center"/>
            <w:hideMark/>
          </w:tcPr>
          <w:p w14:paraId="75A67A0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556</w:t>
            </w:r>
          </w:p>
        </w:tc>
      </w:tr>
      <w:tr w:rsidR="004E10C1" w:rsidRPr="0044524F" w14:paraId="02821920"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485CB50"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МОП</w:t>
            </w:r>
          </w:p>
        </w:tc>
        <w:tc>
          <w:tcPr>
            <w:tcW w:w="0" w:type="auto"/>
            <w:tcBorders>
              <w:top w:val="outset" w:sz="6" w:space="0" w:color="auto"/>
              <w:left w:val="outset" w:sz="6" w:space="0" w:color="auto"/>
              <w:bottom w:val="outset" w:sz="6" w:space="0" w:color="auto"/>
              <w:right w:val="outset" w:sz="6" w:space="0" w:color="auto"/>
            </w:tcBorders>
            <w:vAlign w:val="center"/>
            <w:hideMark/>
          </w:tcPr>
          <w:p w14:paraId="7BD5B764"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0" w:type="auto"/>
            <w:tcBorders>
              <w:top w:val="outset" w:sz="6" w:space="0" w:color="auto"/>
              <w:left w:val="outset" w:sz="6" w:space="0" w:color="auto"/>
              <w:bottom w:val="outset" w:sz="6" w:space="0" w:color="auto"/>
              <w:right w:val="outset" w:sz="6" w:space="0" w:color="auto"/>
            </w:tcBorders>
            <w:vAlign w:val="center"/>
            <w:hideMark/>
          </w:tcPr>
          <w:p w14:paraId="50E976C8"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144</w:t>
            </w:r>
          </w:p>
        </w:tc>
        <w:tc>
          <w:tcPr>
            <w:tcW w:w="0" w:type="auto"/>
            <w:tcBorders>
              <w:top w:val="outset" w:sz="6" w:space="0" w:color="auto"/>
              <w:left w:val="outset" w:sz="6" w:space="0" w:color="auto"/>
              <w:bottom w:val="outset" w:sz="6" w:space="0" w:color="auto"/>
              <w:right w:val="outset" w:sz="6" w:space="0" w:color="auto"/>
            </w:tcBorders>
            <w:vAlign w:val="center"/>
            <w:hideMark/>
          </w:tcPr>
          <w:p w14:paraId="277EAF73"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w:t>
            </w:r>
          </w:p>
        </w:tc>
        <w:tc>
          <w:tcPr>
            <w:tcW w:w="0" w:type="auto"/>
            <w:tcBorders>
              <w:top w:val="outset" w:sz="6" w:space="0" w:color="auto"/>
              <w:left w:val="outset" w:sz="6" w:space="0" w:color="auto"/>
              <w:bottom w:val="outset" w:sz="6" w:space="0" w:color="auto"/>
              <w:right w:val="outset" w:sz="6" w:space="0" w:color="auto"/>
            </w:tcBorders>
            <w:vAlign w:val="center"/>
            <w:hideMark/>
          </w:tcPr>
          <w:p w14:paraId="421D8B9F"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w:t>
            </w:r>
          </w:p>
        </w:tc>
      </w:tr>
    </w:tbl>
    <w:p w14:paraId="540A833E"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Оценивая условия работы института в настоящий момент, необходимо сказать, что Опытный завод института является в настоящее время организацией, которая имеет в основном все необходимое и достаточное для выполнения в производстве сложных образцов авиамотора. В отношении кадров институт располагает большим количеством инженерно-технических работников, но имеет в их числе сравнительно небольшое количество старых опытных инженеров. Основные его исследовательские и конструкторские кадры выросли уже на работе в самом институте. Необходимо отметить, что технический рост кадров за последние годы весьма заметен. Однако уровень опыта этих молодых кадров значительно отстает от конструкторских кадров самолетостроения. Все же, давая общую оценку конструкторских организаций института, необходимо сказать, что они несомненно способны решать сложные задачи, которые выдвигаются в области моторостроения в нашей авиации.</w:t>
      </w:r>
    </w:p>
    <w:p w14:paraId="3259B838"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Основной задачей, поставленной перед институтом правительством, является создание новых типов авиационных моторов, предусмотренных правительственным планом опытного строительства. Весь план опытного строительства по авиационным моторам, разработанный в 1930 г., утвержденный правительством и дополненный в последующие годы, с 1931 г. был возложен на Институт авиационного моторостроения. Выполняя этот план, институт сделал следующее:</w:t>
      </w:r>
    </w:p>
    <w:p w14:paraId="36FD0CE4"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Мотор М</w:t>
      </w:r>
      <w:r w:rsidRPr="0044524F">
        <w:rPr>
          <w:rStyle w:val="af0"/>
          <w:bCs/>
          <w:i w:val="0"/>
          <w:color w:val="000000" w:themeColor="text1"/>
          <w:sz w:val="16"/>
          <w:szCs w:val="16"/>
        </w:rPr>
        <w:noBreakHyphen/>
        <w:t>34</w:t>
      </w:r>
      <w:r w:rsidRPr="0044524F">
        <w:rPr>
          <w:color w:val="000000" w:themeColor="text1"/>
          <w:sz w:val="16"/>
          <w:szCs w:val="16"/>
        </w:rPr>
        <w:t> — мотор в 750 л. с. для тяжелых самолетов. Первый мотор был закончен производством и поставлен на станок 1 мая 1931 г. На гос. испытания мотор был предъявлен 2 августа 1931 г. и прошел их удовлетворительно, после чего проведена передача мотора в серийное производство и связанная с этим работа по переделке чертежей мотора, которая была закончена полностью в феврале 1932 г. В ноябре 1933 г. работа по внедрению, в которой институт принимал непосредственное участие, закончилась сдачей первой серии военному ведомству. С начала 1933 г. мотор выпускается с серийного завода нормальным порядком.</w:t>
      </w:r>
    </w:p>
    <w:p w14:paraId="24E46AC9"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Мотор М</w:t>
      </w:r>
      <w:r w:rsidRPr="0044524F">
        <w:rPr>
          <w:rStyle w:val="af0"/>
          <w:bCs/>
          <w:i w:val="0"/>
          <w:color w:val="000000" w:themeColor="text1"/>
          <w:sz w:val="16"/>
          <w:szCs w:val="16"/>
        </w:rPr>
        <w:noBreakHyphen/>
        <w:t>34Р</w:t>
      </w:r>
      <w:r w:rsidRPr="0044524F">
        <w:rPr>
          <w:color w:val="000000" w:themeColor="text1"/>
          <w:sz w:val="16"/>
          <w:szCs w:val="16"/>
        </w:rPr>
        <w:t xml:space="preserve"> (Мотор М</w:t>
      </w:r>
      <w:r w:rsidRPr="0044524F">
        <w:rPr>
          <w:color w:val="000000" w:themeColor="text1"/>
          <w:sz w:val="16"/>
          <w:szCs w:val="16"/>
        </w:rPr>
        <w:noBreakHyphen/>
        <w:t>34 с редуктором). Закончив проектирование в августе 1931 г., институт построил на своем Опытном заводе, провел заводские испытания и необходимые переделки и предъявил в апреле 1933 г. мотор на гос. испытания, закончившиеся 2 мая, после чего мотор был передан в серийное производство. К настоящему моменту закончены предварительные испытания мотора М</w:t>
      </w:r>
      <w:r w:rsidRPr="0044524F">
        <w:rPr>
          <w:color w:val="000000" w:themeColor="text1"/>
          <w:sz w:val="16"/>
          <w:szCs w:val="16"/>
        </w:rPr>
        <w:noBreakHyphen/>
        <w:t>34 и М</w:t>
      </w:r>
      <w:r w:rsidRPr="0044524F">
        <w:rPr>
          <w:color w:val="000000" w:themeColor="text1"/>
          <w:sz w:val="16"/>
          <w:szCs w:val="16"/>
        </w:rPr>
        <w:noBreakHyphen/>
        <w:t>34Р на самолете ТБ</w:t>
      </w:r>
      <w:r w:rsidRPr="0044524F">
        <w:rPr>
          <w:color w:val="000000" w:themeColor="text1"/>
          <w:sz w:val="16"/>
          <w:szCs w:val="16"/>
        </w:rPr>
        <w:noBreakHyphen/>
        <w:t>3, дающие следующие результаты по сравнению с мотором М</w:t>
      </w:r>
      <w:r w:rsidRPr="0044524F">
        <w:rPr>
          <w:color w:val="000000" w:themeColor="text1"/>
          <w:sz w:val="16"/>
          <w:szCs w:val="16"/>
        </w:rPr>
        <w:noBreakHyphen/>
        <w:t>17 на том же самолете (по данным ЦАГИ):</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93"/>
        <w:gridCol w:w="1425"/>
        <w:gridCol w:w="2604"/>
      </w:tblGrid>
      <w:tr w:rsidR="004E10C1" w:rsidRPr="0044524F" w14:paraId="135D9A1F"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9E16055"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у земли:</w:t>
            </w:r>
          </w:p>
        </w:tc>
        <w:tc>
          <w:tcPr>
            <w:tcW w:w="0" w:type="auto"/>
            <w:tcBorders>
              <w:top w:val="outset" w:sz="6" w:space="0" w:color="auto"/>
              <w:left w:val="outset" w:sz="6" w:space="0" w:color="auto"/>
              <w:bottom w:val="outset" w:sz="6" w:space="0" w:color="auto"/>
              <w:right w:val="outset" w:sz="6" w:space="0" w:color="auto"/>
            </w:tcBorders>
            <w:vAlign w:val="center"/>
            <w:hideMark/>
          </w:tcPr>
          <w:p w14:paraId="06398961"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8580250"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 км в час</w:t>
            </w:r>
          </w:p>
        </w:tc>
      </w:tr>
      <w:tr w:rsidR="004E10C1" w:rsidRPr="0044524F" w14:paraId="7CAC06AC"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08EE4FB0" w14:textId="77777777" w:rsidR="00366092" w:rsidRPr="0044524F" w:rsidRDefault="00366092"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973BDCC"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5110E"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207 км в час</w:t>
            </w:r>
          </w:p>
        </w:tc>
      </w:tr>
      <w:tr w:rsidR="004E10C1" w:rsidRPr="0044524F" w14:paraId="0A608099"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E88E45A" w14:textId="77777777" w:rsidR="00366092" w:rsidRPr="0044524F" w:rsidRDefault="00366092"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14AD31E1"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535F4ED7"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231 км в час</w:t>
            </w:r>
          </w:p>
        </w:tc>
      </w:tr>
      <w:tr w:rsidR="004E10C1" w:rsidRPr="0044524F" w14:paraId="0ED051AC"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3332360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высоте 3 тыс.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84FE9E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0" w:type="auto"/>
            <w:tcBorders>
              <w:top w:val="outset" w:sz="6" w:space="0" w:color="auto"/>
              <w:left w:val="outset" w:sz="6" w:space="0" w:color="auto"/>
              <w:bottom w:val="outset" w:sz="6" w:space="0" w:color="auto"/>
              <w:right w:val="outset" w:sz="6" w:space="0" w:color="auto"/>
            </w:tcBorders>
            <w:vAlign w:val="center"/>
            <w:hideMark/>
          </w:tcPr>
          <w:p w14:paraId="1CCD660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177 км в час</w:t>
            </w:r>
          </w:p>
        </w:tc>
      </w:tr>
      <w:tr w:rsidR="004E10C1" w:rsidRPr="0044524F" w14:paraId="0CE5A71C"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8D9E443" w14:textId="77777777" w:rsidR="00366092" w:rsidRPr="0044524F" w:rsidRDefault="00366092"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16C1B3"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0" w:type="auto"/>
            <w:tcBorders>
              <w:top w:val="outset" w:sz="6" w:space="0" w:color="auto"/>
              <w:left w:val="outset" w:sz="6" w:space="0" w:color="auto"/>
              <w:bottom w:val="outset" w:sz="6" w:space="0" w:color="auto"/>
              <w:right w:val="outset" w:sz="6" w:space="0" w:color="auto"/>
            </w:tcBorders>
            <w:vAlign w:val="center"/>
            <w:hideMark/>
          </w:tcPr>
          <w:p w14:paraId="26119DF6"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 км в час</w:t>
            </w:r>
          </w:p>
        </w:tc>
      </w:tr>
      <w:tr w:rsidR="004E10C1" w:rsidRPr="0044524F" w14:paraId="04E1B85C"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61488E40" w14:textId="77777777" w:rsidR="00366092" w:rsidRPr="0044524F" w:rsidRDefault="00366092"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3786061E"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2BA570B6"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213 км в час</w:t>
            </w:r>
          </w:p>
        </w:tc>
      </w:tr>
      <w:tr w:rsidR="004E10C1" w:rsidRPr="0044524F" w14:paraId="4091A77C"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626A446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высоту 3 тыс. м:</w:t>
            </w:r>
          </w:p>
        </w:tc>
        <w:tc>
          <w:tcPr>
            <w:tcW w:w="0" w:type="auto"/>
            <w:tcBorders>
              <w:top w:val="outset" w:sz="6" w:space="0" w:color="auto"/>
              <w:left w:val="outset" w:sz="6" w:space="0" w:color="auto"/>
              <w:bottom w:val="outset" w:sz="6" w:space="0" w:color="auto"/>
              <w:right w:val="outset" w:sz="6" w:space="0" w:color="auto"/>
            </w:tcBorders>
            <w:vAlign w:val="center"/>
            <w:hideMark/>
          </w:tcPr>
          <w:p w14:paraId="21CF69AE"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2D160384"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 мин.</w:t>
            </w:r>
          </w:p>
        </w:tc>
      </w:tr>
      <w:tr w:rsidR="004E10C1" w:rsidRPr="0044524F" w14:paraId="04638345"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ED3134B" w14:textId="77777777" w:rsidR="00366092" w:rsidRPr="0044524F" w:rsidRDefault="00366092"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7297F684"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4AD910B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32,8 мин.</w:t>
            </w:r>
          </w:p>
        </w:tc>
      </w:tr>
      <w:tr w:rsidR="004E10C1" w:rsidRPr="0044524F" w14:paraId="5BFEA008"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78AF9D6B" w14:textId="77777777" w:rsidR="00366092" w:rsidRPr="0044524F" w:rsidRDefault="00366092"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4370A4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4E92421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18,81 мин.</w:t>
            </w:r>
          </w:p>
        </w:tc>
      </w:tr>
      <w:tr w:rsidR="004E10C1" w:rsidRPr="0044524F" w14:paraId="23BA6EF2" w14:textId="77777777" w:rsidTr="007C00E8">
        <w:trPr>
          <w:tblCellSpacing w:w="0"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14:paraId="524E42C6"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F64870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17</w:t>
            </w:r>
          </w:p>
        </w:tc>
        <w:tc>
          <w:tcPr>
            <w:tcW w:w="0" w:type="auto"/>
            <w:tcBorders>
              <w:top w:val="outset" w:sz="6" w:space="0" w:color="auto"/>
              <w:left w:val="outset" w:sz="6" w:space="0" w:color="auto"/>
              <w:bottom w:val="outset" w:sz="6" w:space="0" w:color="auto"/>
              <w:right w:val="outset" w:sz="6" w:space="0" w:color="auto"/>
            </w:tcBorders>
            <w:vAlign w:val="center"/>
            <w:hideMark/>
          </w:tcPr>
          <w:p w14:paraId="6E9D4DB1"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3800 м</w:t>
            </w:r>
          </w:p>
        </w:tc>
      </w:tr>
      <w:tr w:rsidR="004E10C1" w:rsidRPr="0044524F" w14:paraId="6B4201DF"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423F0644" w14:textId="77777777" w:rsidR="00366092" w:rsidRPr="0044524F" w:rsidRDefault="00366092"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6E03C11"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34</w:t>
            </w:r>
          </w:p>
        </w:tc>
        <w:tc>
          <w:tcPr>
            <w:tcW w:w="0" w:type="auto"/>
            <w:tcBorders>
              <w:top w:val="outset" w:sz="6" w:space="0" w:color="auto"/>
              <w:left w:val="outset" w:sz="6" w:space="0" w:color="auto"/>
              <w:bottom w:val="outset" w:sz="6" w:space="0" w:color="auto"/>
              <w:right w:val="outset" w:sz="6" w:space="0" w:color="auto"/>
            </w:tcBorders>
            <w:vAlign w:val="center"/>
            <w:hideMark/>
          </w:tcPr>
          <w:p w14:paraId="636D1816"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3900 м</w:t>
            </w:r>
          </w:p>
        </w:tc>
      </w:tr>
      <w:tr w:rsidR="004E10C1" w:rsidRPr="0044524F" w14:paraId="30F62EF9" w14:textId="77777777" w:rsidTr="007C00E8">
        <w:trPr>
          <w:tblCellSpacing w:w="0"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14:paraId="5E4EA7D8" w14:textId="77777777" w:rsidR="00366092" w:rsidRPr="0044524F" w:rsidRDefault="00366092" w:rsidP="009654CF">
            <w:pPr>
              <w:spacing w:after="0" w:line="240" w:lineRule="auto"/>
              <w:jc w:val="both"/>
              <w:rPr>
                <w:rFonts w:ascii="Times New Roman" w:hAnsi="Times New Roman"/>
                <w:color w:val="000000" w:themeColor="text1"/>
                <w:sz w:val="16"/>
                <w:szCs w:val="16"/>
              </w:rPr>
            </w:pPr>
          </w:p>
        </w:tc>
        <w:tc>
          <w:tcPr>
            <w:tcW w:w="0" w:type="auto"/>
            <w:tcBorders>
              <w:top w:val="outset" w:sz="6" w:space="0" w:color="auto"/>
              <w:left w:val="outset" w:sz="6" w:space="0" w:color="auto"/>
              <w:bottom w:val="outset" w:sz="6" w:space="0" w:color="auto"/>
              <w:right w:val="outset" w:sz="6" w:space="0" w:color="auto"/>
            </w:tcBorders>
            <w:vAlign w:val="center"/>
            <w:hideMark/>
          </w:tcPr>
          <w:p w14:paraId="0A89EF9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w:t>
            </w:r>
            <w:r w:rsidRPr="0044524F">
              <w:rPr>
                <w:rFonts w:ascii="Times New Roman" w:hAnsi="Times New Roman"/>
                <w:color w:val="000000" w:themeColor="text1"/>
                <w:sz w:val="16"/>
                <w:szCs w:val="16"/>
              </w:rPr>
              <w:noBreakHyphen/>
              <w:t>34Р</w:t>
            </w:r>
          </w:p>
        </w:tc>
        <w:tc>
          <w:tcPr>
            <w:tcW w:w="0" w:type="auto"/>
            <w:tcBorders>
              <w:top w:val="outset" w:sz="6" w:space="0" w:color="auto"/>
              <w:left w:val="outset" w:sz="6" w:space="0" w:color="auto"/>
              <w:bottom w:val="outset" w:sz="6" w:space="0" w:color="auto"/>
              <w:right w:val="outset" w:sz="6" w:space="0" w:color="auto"/>
            </w:tcBorders>
            <w:vAlign w:val="center"/>
            <w:hideMark/>
          </w:tcPr>
          <w:p w14:paraId="68B98A2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4600 м</w:t>
            </w:r>
          </w:p>
        </w:tc>
      </w:tr>
    </w:tbl>
    <w:p w14:paraId="6F74C565"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Испытания мотора на самолете РД показывают, что самолет с этим мотором при общем весе в 10 т имеет дальность 10 600 км. В 1933 г. институт ввиду запоздания с развертыванием серийного производства на заводе № 24 в целях обеспечения испытания опытных самолетов и самолета на рекордный полет изготовил и сдал на самолеты 9 моторов.</w:t>
      </w:r>
    </w:p>
    <w:p w14:paraId="6DC5A3B5"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Мотор ГМ</w:t>
      </w:r>
      <w:r w:rsidRPr="0044524F">
        <w:rPr>
          <w:rStyle w:val="af0"/>
          <w:bCs/>
          <w:i w:val="0"/>
          <w:color w:val="000000" w:themeColor="text1"/>
          <w:sz w:val="16"/>
          <w:szCs w:val="16"/>
        </w:rPr>
        <w:noBreakHyphen/>
        <w:t>34</w:t>
      </w:r>
      <w:r w:rsidRPr="0044524F">
        <w:rPr>
          <w:color w:val="000000" w:themeColor="text1"/>
          <w:sz w:val="16"/>
          <w:szCs w:val="16"/>
        </w:rPr>
        <w:t xml:space="preserve"> (мотор в 750 л. с. для глиссеров). Чертежи этого мотора были изготовлены в декабре 1930 г. В первую очередь изготовлены две реверсивных муфты, которые в августе 1932 г. прошли заводские испытания и были переданы в эксплуатацию на катере Г</w:t>
      </w:r>
      <w:r w:rsidRPr="0044524F">
        <w:rPr>
          <w:color w:val="000000" w:themeColor="text1"/>
          <w:sz w:val="16"/>
          <w:szCs w:val="16"/>
        </w:rPr>
        <w:noBreakHyphen/>
        <w:t xml:space="preserve">5 с мотором АССО, где и работают по настоящее время. Мотор </w:t>
      </w:r>
      <w:r w:rsidRPr="0044524F">
        <w:rPr>
          <w:color w:val="000000" w:themeColor="text1"/>
          <w:sz w:val="16"/>
          <w:szCs w:val="16"/>
        </w:rPr>
        <w:lastRenderedPageBreak/>
        <w:t>ГМ</w:t>
      </w:r>
      <w:r w:rsidRPr="0044524F">
        <w:rPr>
          <w:color w:val="000000" w:themeColor="text1"/>
          <w:sz w:val="16"/>
          <w:szCs w:val="16"/>
        </w:rPr>
        <w:noBreakHyphen/>
        <w:t>34 в первом экземпляре был изготовлен в ноябре 1932 г., и в настоящее время следующие два мотора проходят гос. испытания на катерах. Мотор на основании результатов заводских испытаний сдан в серийное производство.</w:t>
      </w:r>
    </w:p>
    <w:p w14:paraId="522645DF"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Мотор М</w:t>
      </w:r>
      <w:r w:rsidRPr="0044524F">
        <w:rPr>
          <w:rStyle w:val="af0"/>
          <w:bCs/>
          <w:i w:val="0"/>
          <w:color w:val="000000" w:themeColor="text1"/>
          <w:sz w:val="16"/>
          <w:szCs w:val="16"/>
        </w:rPr>
        <w:noBreakHyphen/>
        <w:t>34Н</w:t>
      </w:r>
      <w:r w:rsidRPr="0044524F">
        <w:rPr>
          <w:color w:val="000000" w:themeColor="text1"/>
          <w:sz w:val="16"/>
          <w:szCs w:val="16"/>
        </w:rPr>
        <w:t xml:space="preserve"> (мотор М</w:t>
      </w:r>
      <w:r w:rsidRPr="0044524F">
        <w:rPr>
          <w:color w:val="000000" w:themeColor="text1"/>
          <w:sz w:val="16"/>
          <w:szCs w:val="16"/>
        </w:rPr>
        <w:noBreakHyphen/>
        <w:t>34 с нагнетателем). Требования плана высотности в 5 тыс. м заставили институт взяться в 1930 г. за проектирование сложного нагнетателя с двумя ступенями скоростей. Нагнетатель был окончен запроектированием в апреле 1931 г., построен в феврале 1932 г. В связи с выявившимися большими техническими трудностями, грозившими затяжкой доводки на неопределенный срок, институтом с ведома и разрешения РВС был запроектирован к январю 1933 г. нагнетатель невыключающийся с высотностью 3500 м, который и был построен и поставлен на заводские испытания в мае 1933 г. Мотор с этим нагнетателем был предъявлен на гос. испытания в октябре 1933 г. Встретившиеся в процессе доводки этого мотора большие технические затруднения в основном преодолены, и мотор подготовляется к серийному производству.</w:t>
      </w:r>
    </w:p>
    <w:p w14:paraId="2153643D"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Карбюратор 92 КДЗ</w:t>
      </w:r>
      <w:r w:rsidRPr="0044524F">
        <w:rPr>
          <w:color w:val="000000" w:themeColor="text1"/>
          <w:sz w:val="16"/>
          <w:szCs w:val="16"/>
        </w:rPr>
        <w:t xml:space="preserve"> (карбюратор для мотора М</w:t>
      </w:r>
      <w:r w:rsidRPr="0044524F">
        <w:rPr>
          <w:color w:val="000000" w:themeColor="text1"/>
          <w:sz w:val="16"/>
          <w:szCs w:val="16"/>
        </w:rPr>
        <w:noBreakHyphen/>
        <w:t>34 взамен импортного 90Р). Проектирование карбюратора институт закончил в марте 1933 г. По изготовлении на заводе № 33 опытных образцов и необходимой доводки, карбюратор успешно прошел гос. испытания и внедрен при непосредственном участии института в июне 1933 г. в серийное производство на заводе № 33. Он представляет из себя отвечающий всем современным требованиям агрегат, по качеству работы не уступающий заграничным. Все моторы М</w:t>
      </w:r>
      <w:r w:rsidRPr="0044524F">
        <w:rPr>
          <w:color w:val="000000" w:themeColor="text1"/>
          <w:sz w:val="16"/>
          <w:szCs w:val="16"/>
        </w:rPr>
        <w:noBreakHyphen/>
        <w:t>34 ныне выпускаются с этими карбюраторами.</w:t>
      </w:r>
    </w:p>
    <w:p w14:paraId="1739450A"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Мотор М</w:t>
      </w:r>
      <w:r w:rsidRPr="0044524F">
        <w:rPr>
          <w:rStyle w:val="af0"/>
          <w:bCs/>
          <w:i w:val="0"/>
          <w:color w:val="000000" w:themeColor="text1"/>
          <w:sz w:val="16"/>
          <w:szCs w:val="16"/>
        </w:rPr>
        <w:noBreakHyphen/>
        <w:t>52</w:t>
      </w:r>
      <w:r w:rsidRPr="0044524F">
        <w:rPr>
          <w:color w:val="000000" w:themeColor="text1"/>
          <w:sz w:val="16"/>
          <w:szCs w:val="16"/>
        </w:rPr>
        <w:t xml:space="preserve"> (однорядный мотор в 400 л. с. для гражданской авиации). Запроектирован в марте 1932 г. и с января 1933 г. находится в процессе доводки. В связи с неудачной конструкцией картера и вытекающими отсюда крупными переделками выпуск его переносится на 1934 г.</w:t>
      </w:r>
    </w:p>
    <w:p w14:paraId="0B1A520C"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Мотор М</w:t>
      </w:r>
      <w:r w:rsidRPr="0044524F">
        <w:rPr>
          <w:rStyle w:val="af0"/>
          <w:bCs/>
          <w:i w:val="0"/>
          <w:color w:val="000000" w:themeColor="text1"/>
          <w:sz w:val="16"/>
          <w:szCs w:val="16"/>
        </w:rPr>
        <w:noBreakHyphen/>
        <w:t>32</w:t>
      </w:r>
      <w:r w:rsidRPr="0044524F">
        <w:rPr>
          <w:color w:val="000000" w:themeColor="text1"/>
          <w:sz w:val="16"/>
          <w:szCs w:val="16"/>
        </w:rPr>
        <w:t xml:space="preserve"> (мотор в 600 л. с. и высотностью в 4 тыс. м для истребителя). Окончен проектированием в марте 1932 г., сделан на Опытном заводе института и поступил на испытания в октябре 1932 г. Проходит стадию доводки и конструктивных переделок.</w:t>
      </w:r>
    </w:p>
    <w:p w14:paraId="0BCA5FCB"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Мотор М</w:t>
      </w:r>
      <w:r w:rsidRPr="0044524F">
        <w:rPr>
          <w:rStyle w:val="af0"/>
          <w:bCs/>
          <w:i w:val="0"/>
          <w:color w:val="000000" w:themeColor="text1"/>
          <w:sz w:val="16"/>
          <w:szCs w:val="16"/>
        </w:rPr>
        <w:noBreakHyphen/>
        <w:t>38</w:t>
      </w:r>
      <w:r w:rsidRPr="0044524F">
        <w:rPr>
          <w:color w:val="000000" w:themeColor="text1"/>
          <w:sz w:val="16"/>
          <w:szCs w:val="16"/>
        </w:rPr>
        <w:t xml:space="preserve"> (мотор в 600 л. с. воздушного охлаждения с высотностью в 4 тыс. м для истребителя). Мотор был передан институту в 1931 г. от завода № 24 в виде эскизной компоновки. В институте он был разработан в рабочих чертежах. В марте месяце 1931 г. изготовлен в первом образце, к маю 1932 г. прошел ряд испытаний. В связи с неудовлетворительной работой головки в настоящее время работа перешла в стадию изысканий конструкции головки цилиндра и работы по мотору в целом приостановлены.</w:t>
      </w:r>
    </w:p>
    <w:p w14:paraId="6DC9A285"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Мотор М</w:t>
      </w:r>
      <w:r w:rsidRPr="0044524F">
        <w:rPr>
          <w:rStyle w:val="af0"/>
          <w:bCs/>
          <w:i w:val="0"/>
          <w:color w:val="000000" w:themeColor="text1"/>
          <w:sz w:val="16"/>
          <w:szCs w:val="16"/>
        </w:rPr>
        <w:noBreakHyphen/>
        <w:t>44 и АН</w:t>
      </w:r>
      <w:r w:rsidRPr="0044524F">
        <w:rPr>
          <w:rStyle w:val="af0"/>
          <w:bCs/>
          <w:i w:val="0"/>
          <w:color w:val="000000" w:themeColor="text1"/>
          <w:sz w:val="16"/>
          <w:szCs w:val="16"/>
        </w:rPr>
        <w:noBreakHyphen/>
      </w:r>
      <w:r w:rsidRPr="0044524F">
        <w:rPr>
          <w:color w:val="000000" w:themeColor="text1"/>
          <w:sz w:val="16"/>
          <w:szCs w:val="16"/>
        </w:rPr>
        <w:t>1 (первый мощностью в 2 тыс. НР и второй — нефтяной мотор в 750 НР). Проектированию обоих этих моторов предшествовала длительная экспериментальная работа на одноцилиндровых установках с целью термодинамических исследований работы этих моторов. На основе результатов в конце испытаний оба этих мотора запроектированы и к 1 октября закончены постройкой.</w:t>
      </w:r>
    </w:p>
    <w:p w14:paraId="6B6CB5DC"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ФЭД</w:t>
      </w:r>
      <w:r w:rsidRPr="0044524F">
        <w:rPr>
          <w:rStyle w:val="af0"/>
          <w:bCs/>
          <w:i w:val="0"/>
          <w:color w:val="000000" w:themeColor="text1"/>
          <w:sz w:val="16"/>
          <w:szCs w:val="16"/>
        </w:rPr>
        <w:noBreakHyphen/>
        <w:t>8 и СП</w:t>
      </w:r>
      <w:r w:rsidRPr="0044524F">
        <w:rPr>
          <w:rStyle w:val="af0"/>
          <w:bCs/>
          <w:i w:val="0"/>
          <w:color w:val="000000" w:themeColor="text1"/>
          <w:sz w:val="16"/>
          <w:szCs w:val="16"/>
        </w:rPr>
        <w:noBreakHyphen/>
        <w:t>2</w:t>
      </w:r>
      <w:r w:rsidRPr="0044524F">
        <w:rPr>
          <w:color w:val="000000" w:themeColor="text1"/>
          <w:sz w:val="16"/>
          <w:szCs w:val="16"/>
        </w:rPr>
        <w:t xml:space="preserve"> (мощные нефтяные моторы). Сверх плана по заданию правительства институтом кооперативно с заводами № 24 и № 26 изготовлены два новых мощных мотора на тяжелом топливе, которые предстоит доводить в институте.</w:t>
      </w:r>
    </w:p>
    <w:p w14:paraId="4489A857"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Мотор М</w:t>
      </w:r>
      <w:r w:rsidRPr="0044524F">
        <w:rPr>
          <w:rStyle w:val="af0"/>
          <w:bCs/>
          <w:i w:val="0"/>
          <w:color w:val="000000" w:themeColor="text1"/>
          <w:sz w:val="16"/>
          <w:szCs w:val="16"/>
        </w:rPr>
        <w:noBreakHyphen/>
        <w:t xml:space="preserve">23 </w:t>
      </w:r>
      <w:r w:rsidRPr="0044524F">
        <w:rPr>
          <w:color w:val="000000" w:themeColor="text1"/>
          <w:sz w:val="16"/>
          <w:szCs w:val="16"/>
        </w:rPr>
        <w:t>(мотор в 75 л. с. для авиеток). Мотор спроектирован в НАМИ¹*, ЦИАМом доведен, модифицирован и внедрен на серийное производство в ФЗУ завода № 24.</w:t>
      </w:r>
    </w:p>
    <w:p w14:paraId="700BEF57"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Кроме перечисленных основных работ института проделан ряд других работ, как то: 1) освоено электронное литье картеров мотора М</w:t>
      </w:r>
      <w:r w:rsidRPr="0044524F">
        <w:rPr>
          <w:color w:val="000000" w:themeColor="text1"/>
          <w:sz w:val="16"/>
          <w:szCs w:val="16"/>
        </w:rPr>
        <w:noBreakHyphen/>
        <w:t>34, что дает облегчение мотора на 40 кг; 2) изготовлены подшипники из свинцовистой бронзы для мотора М</w:t>
      </w:r>
      <w:r w:rsidRPr="0044524F">
        <w:rPr>
          <w:color w:val="000000" w:themeColor="text1"/>
          <w:sz w:val="16"/>
          <w:szCs w:val="16"/>
        </w:rPr>
        <w:noBreakHyphen/>
        <w:t>11; 3) в конструкции и производстве освоены топливные насосы для быстроходных дизелей, являвшиеся предметом монополии заграничных фирм до последнего времени, и ряд других менее существенных работ.</w:t>
      </w:r>
    </w:p>
    <w:p w14:paraId="14E9BF5D"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Таким образом с 1931 г. по ноябрь 1933 г. институтом: 1) спроектировано, построено и сдано в серийное производство 5 новых объектов М</w:t>
      </w:r>
      <w:r w:rsidRPr="0044524F">
        <w:rPr>
          <w:color w:val="000000" w:themeColor="text1"/>
          <w:sz w:val="16"/>
          <w:szCs w:val="16"/>
        </w:rPr>
        <w:noBreakHyphen/>
        <w:t>34, ГМ</w:t>
      </w:r>
      <w:r w:rsidRPr="0044524F">
        <w:rPr>
          <w:color w:val="000000" w:themeColor="text1"/>
          <w:sz w:val="16"/>
          <w:szCs w:val="16"/>
        </w:rPr>
        <w:noBreakHyphen/>
        <w:t>34, М</w:t>
      </w:r>
      <w:r w:rsidRPr="0044524F">
        <w:rPr>
          <w:color w:val="000000" w:themeColor="text1"/>
          <w:sz w:val="16"/>
          <w:szCs w:val="16"/>
        </w:rPr>
        <w:noBreakHyphen/>
        <w:t>34Р, карбюратор 92 КДЗ, М</w:t>
      </w:r>
      <w:r w:rsidRPr="0044524F">
        <w:rPr>
          <w:color w:val="000000" w:themeColor="text1"/>
          <w:sz w:val="16"/>
          <w:szCs w:val="16"/>
        </w:rPr>
        <w:noBreakHyphen/>
        <w:t>23; 2) находятся в стадии подготовки к передаче в серийное производство 2 объекта М</w:t>
      </w:r>
      <w:r w:rsidRPr="0044524F">
        <w:rPr>
          <w:color w:val="000000" w:themeColor="text1"/>
          <w:sz w:val="16"/>
          <w:szCs w:val="16"/>
        </w:rPr>
        <w:noBreakHyphen/>
        <w:t>34Н и подшипник свинц[овистой] бронзы для М</w:t>
      </w:r>
      <w:r w:rsidRPr="0044524F">
        <w:rPr>
          <w:color w:val="000000" w:themeColor="text1"/>
          <w:sz w:val="16"/>
          <w:szCs w:val="16"/>
        </w:rPr>
        <w:noBreakHyphen/>
        <w:t>11; 3) находится в периоде заводских испытаний (доводка) М</w:t>
      </w:r>
      <w:r w:rsidRPr="0044524F">
        <w:rPr>
          <w:color w:val="000000" w:themeColor="text1"/>
          <w:sz w:val="16"/>
          <w:szCs w:val="16"/>
        </w:rPr>
        <w:noBreakHyphen/>
        <w:t>32, М</w:t>
      </w:r>
      <w:r w:rsidRPr="0044524F">
        <w:rPr>
          <w:color w:val="000000" w:themeColor="text1"/>
          <w:sz w:val="16"/>
          <w:szCs w:val="16"/>
        </w:rPr>
        <w:noBreakHyphen/>
        <w:t>38 и М</w:t>
      </w:r>
      <w:r w:rsidRPr="0044524F">
        <w:rPr>
          <w:color w:val="000000" w:themeColor="text1"/>
          <w:sz w:val="16"/>
          <w:szCs w:val="16"/>
        </w:rPr>
        <w:noBreakHyphen/>
        <w:t>52; 4) закончены производством первые экземпляры и поступили на заводские испытания 4 объекта: М</w:t>
      </w:r>
      <w:r w:rsidRPr="0044524F">
        <w:rPr>
          <w:color w:val="000000" w:themeColor="text1"/>
          <w:sz w:val="16"/>
          <w:szCs w:val="16"/>
        </w:rPr>
        <w:noBreakHyphen/>
        <w:t>44, АН</w:t>
      </w:r>
      <w:r w:rsidRPr="0044524F">
        <w:rPr>
          <w:color w:val="000000" w:themeColor="text1"/>
          <w:sz w:val="16"/>
          <w:szCs w:val="16"/>
        </w:rPr>
        <w:noBreakHyphen/>
        <w:t>1, ФЭД</w:t>
      </w:r>
      <w:r w:rsidRPr="0044524F">
        <w:rPr>
          <w:color w:val="000000" w:themeColor="text1"/>
          <w:sz w:val="16"/>
          <w:szCs w:val="16"/>
        </w:rPr>
        <w:noBreakHyphen/>
        <w:t>8, СП</w:t>
      </w:r>
      <w:r w:rsidRPr="0044524F">
        <w:rPr>
          <w:color w:val="000000" w:themeColor="text1"/>
          <w:sz w:val="16"/>
          <w:szCs w:val="16"/>
        </w:rPr>
        <w:noBreakHyphen/>
        <w:t>2.</w:t>
      </w:r>
    </w:p>
    <w:p w14:paraId="665F15D8"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Из всех этих моторов освоены на самолете и катере 5 объектов М</w:t>
      </w:r>
      <w:r w:rsidRPr="0044524F">
        <w:rPr>
          <w:color w:val="000000" w:themeColor="text1"/>
          <w:sz w:val="16"/>
          <w:szCs w:val="16"/>
        </w:rPr>
        <w:noBreakHyphen/>
        <w:t>34, М</w:t>
      </w:r>
      <w:r w:rsidRPr="0044524F">
        <w:rPr>
          <w:color w:val="000000" w:themeColor="text1"/>
          <w:sz w:val="16"/>
          <w:szCs w:val="16"/>
        </w:rPr>
        <w:noBreakHyphen/>
        <w:t>34Р, М</w:t>
      </w:r>
      <w:r w:rsidRPr="0044524F">
        <w:rPr>
          <w:color w:val="000000" w:themeColor="text1"/>
          <w:sz w:val="16"/>
          <w:szCs w:val="16"/>
        </w:rPr>
        <w:noBreakHyphen/>
        <w:t>23, карбюратор 92 КДЗ и отд[ельный] реверс. Находятся в стадии освоения ГМ</w:t>
      </w:r>
      <w:r w:rsidRPr="0044524F">
        <w:rPr>
          <w:color w:val="000000" w:themeColor="text1"/>
          <w:sz w:val="16"/>
          <w:szCs w:val="16"/>
        </w:rPr>
        <w:noBreakHyphen/>
        <w:t>34. Подготовляется к полетному испытанию М</w:t>
      </w:r>
      <w:r w:rsidRPr="0044524F">
        <w:rPr>
          <w:color w:val="000000" w:themeColor="text1"/>
          <w:sz w:val="16"/>
          <w:szCs w:val="16"/>
        </w:rPr>
        <w:noBreakHyphen/>
        <w:t>34Н</w:t>
      </w:r>
      <w:r w:rsidRPr="0044524F">
        <w:rPr>
          <w:color w:val="000000" w:themeColor="text1"/>
          <w:sz w:val="16"/>
          <w:szCs w:val="16"/>
        </w:rPr>
        <w:noBreakHyphen/>
        <w:t>1.</w:t>
      </w:r>
    </w:p>
    <w:p w14:paraId="68D5EF1C"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Экспериментальные работы</w:t>
      </w:r>
    </w:p>
    <w:p w14:paraId="7242F7BC"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Экспериментально-теоретические работы, проводимые в институте, были связаны с работами по моторам плана и имели в основном подчиненное текущим работам значение. Экспериментальных работ по заданиям ГУ АП, серийных заводов, ЦАГИ выполнено за 1932 г. — 14, по ноябрь 1933 г. — 18. В число этих работ входят специальные испытания М</w:t>
      </w:r>
      <w:r w:rsidRPr="0044524F">
        <w:rPr>
          <w:color w:val="000000" w:themeColor="text1"/>
          <w:sz w:val="16"/>
          <w:szCs w:val="16"/>
        </w:rPr>
        <w:noBreakHyphen/>
        <w:t>17 с целью устранения дефектов. Испытания М</w:t>
      </w:r>
      <w:r w:rsidRPr="0044524F">
        <w:rPr>
          <w:color w:val="000000" w:themeColor="text1"/>
          <w:sz w:val="16"/>
          <w:szCs w:val="16"/>
        </w:rPr>
        <w:noBreakHyphen/>
        <w:t>34 с целью специальной регулировки на рекордный полет, испытания по изысканию масляных радиаторов для ТБ</w:t>
      </w:r>
      <w:r w:rsidRPr="0044524F">
        <w:rPr>
          <w:color w:val="000000" w:themeColor="text1"/>
          <w:sz w:val="16"/>
          <w:szCs w:val="16"/>
        </w:rPr>
        <w:noBreakHyphen/>
        <w:t>3, испытание топлив и масел, испытание продукции ГУ АП и т. д.</w:t>
      </w:r>
    </w:p>
    <w:p w14:paraId="0E26DD16"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Связь с серийными заводами</w:t>
      </w:r>
    </w:p>
    <w:p w14:paraId="03FC5D27"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Поскольку основным содержанием работы института за период 1931</w:t>
      </w:r>
      <w:r w:rsidRPr="0044524F">
        <w:rPr>
          <w:color w:val="000000" w:themeColor="text1"/>
          <w:sz w:val="16"/>
          <w:szCs w:val="16"/>
        </w:rPr>
        <w:noBreakHyphen/>
        <w:t>1933 гг. являлось выполнение плана по опытному моторостроению, то естественно, что в основном связь с серийным производством вылилась в совместную работу по внедрению в серийное производство и дальнейшую совместную работу над совершенствованием мотора. В своих взаимоотношениях с серийными заводами институт проводил следующие принципы:</w:t>
      </w:r>
    </w:p>
    <w:p w14:paraId="038E5193"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1) При внедрении в серийное производство опытных объектов институт путем непосредственной органической связи с заводом, непосредственно участвуя в его работе, помогает заводу освоить новый объект, представляя заводу как необходимые для этой цели кадры, так и экспериментальные и производственные ресурсы до момента готовности серийного эталона.</w:t>
      </w:r>
    </w:p>
    <w:p w14:paraId="05DC34EB"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2) В процессе серийного производства работа по усовершенствованию мотора, его модификациям, не требующим коренных переделок, облегчение веса мотора, повышение его надежности, подготовка текущих эталонов является правом и обязанностью опытно-конструкторских отделов заводов. В этой части институт на основе изучения мотора лишь ставит перед заводом задачи по совершенствованию моторов, подготовляя их надлежащим образом у себя, а также помогая заводу своей консультацией, участвуя в обсуждении встающих в процессе работы вопросов и выполняя своими ресурсами задания завода.</w:t>
      </w:r>
    </w:p>
    <w:p w14:paraId="6BE6DDE8"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3) На обязанности института лежит работа по тем модификациям мотора, которые требуют коренных изменений и проработки принципиально новых конструкций или технологических процессов в качестве новых объектов производства для завода.</w:t>
      </w:r>
    </w:p>
    <w:p w14:paraId="12DBF283"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Завод № 24</w:t>
      </w:r>
      <w:r w:rsidRPr="0044524F">
        <w:rPr>
          <w:color w:val="000000" w:themeColor="text1"/>
          <w:sz w:val="16"/>
          <w:szCs w:val="16"/>
        </w:rPr>
        <w:t>. Работа по мотору М</w:t>
      </w:r>
      <w:r w:rsidRPr="0044524F">
        <w:rPr>
          <w:color w:val="000000" w:themeColor="text1"/>
          <w:sz w:val="16"/>
          <w:szCs w:val="16"/>
        </w:rPr>
        <w:noBreakHyphen/>
        <w:t>34 сложилась из следующих этапов:</w:t>
      </w:r>
    </w:p>
    <w:p w14:paraId="1AF34E5B"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1) Проработка чертежей опытного мотора применительно к условиям производства завода № 24. Работа была проведена в основном в институте с участием работников завода.</w:t>
      </w:r>
    </w:p>
    <w:p w14:paraId="0311A678"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2) Работа по выпуску первых серийных образцов на заводе. От института на завод были командированы конструкторы института, обеспечившие необходимые конструктивные переделки и инструктаж.</w:t>
      </w:r>
    </w:p>
    <w:p w14:paraId="572BFFEA"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3) Период доводки мотора и устранения дефектов на заводе. Командирована специальная бригада во главе с главным инженером института и конструктором мотора, которые на заводе были назначены: первый — заместителем технического директора по доводке мотора с подчинением конструк[торов] опытного отдела и второй — главным конструктором завода, что дало возможность в процессе доводки мотора наиболее гибко координировать как конструкторские, так и экспериментальные работы завода и института. Такого рода совместная работа и организация дала возможность справиться с серьезнейшими затруднениями путем устранения дефектов и, с другой стороны, позволила институту настолько глубоко ознакомиться с производственными особенностями завода и установить необходимую связь для дальнейшей работы, что при передаче в серийное производство моторов М</w:t>
      </w:r>
      <w:r w:rsidRPr="0044524F">
        <w:rPr>
          <w:color w:val="000000" w:themeColor="text1"/>
          <w:sz w:val="16"/>
          <w:szCs w:val="16"/>
        </w:rPr>
        <w:noBreakHyphen/>
        <w:t>34Р и ГМ</w:t>
      </w:r>
      <w:r w:rsidRPr="0044524F">
        <w:rPr>
          <w:color w:val="000000" w:themeColor="text1"/>
          <w:sz w:val="16"/>
          <w:szCs w:val="16"/>
        </w:rPr>
        <w:noBreakHyphen/>
        <w:t>34 никаких сколь-либо серьезных препятствий со стороны завода в отношении чертежей, технических условий не было, и передача потребовала минимальных сроков.</w:t>
      </w:r>
    </w:p>
    <w:p w14:paraId="4E05A84C"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Работа по совершенствованию мотора в 1933 г. проходила в тесном контакте завода и института при использовании заводом конструкторских и экспериментальных возможностей института, и наоборот, институт при своей дальнейшей проектной работе пользовался широко консультацией завода и свои экспериментальные работы связывал с работами опытного отдела завода.</w:t>
      </w:r>
    </w:p>
    <w:p w14:paraId="4A1658DB"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Завод № 26</w:t>
      </w:r>
      <w:r w:rsidRPr="0044524F">
        <w:rPr>
          <w:color w:val="000000" w:themeColor="text1"/>
          <w:sz w:val="16"/>
          <w:szCs w:val="16"/>
        </w:rPr>
        <w:t>. Связь института с заводами, изготовляющими объекты по иностранным лицензиям, была меньшей. По заводу № 26 в течение 1932 г. была проведена работа по изучению причин дефектов мотора М</w:t>
      </w:r>
      <w:r w:rsidRPr="0044524F">
        <w:rPr>
          <w:color w:val="000000" w:themeColor="text1"/>
          <w:sz w:val="16"/>
          <w:szCs w:val="16"/>
        </w:rPr>
        <w:noBreakHyphen/>
        <w:t>17, сделаны переделки конструкции. Испытание и проверка как в институте, так и на заводе показали, что они дали значительное увеличение надежности мотора. Но отсутствие тесной связи с заводом, что объясняется главным образом отсутствием на заводе сколь-либо серьезной конструкторской организации, могущей непосредственно на заводе влиять на внедрение изменений в серию, привела к тому, что до сего времени вся сумма усовершенствования в жизнь не проведена. Видя в слабости опытной конструкторской организации завода главную причину трудности совместной работы, институт помогает заводу за счет своих кадров укреплять эту организацию.</w:t>
      </w:r>
    </w:p>
    <w:p w14:paraId="565B9CF4"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Завод № 29</w:t>
      </w:r>
      <w:r w:rsidRPr="0044524F">
        <w:rPr>
          <w:color w:val="000000" w:themeColor="text1"/>
          <w:sz w:val="16"/>
          <w:szCs w:val="16"/>
        </w:rPr>
        <w:t>. Связь с этим заводом нужно считать эпизодической. За последние месяцы институт обслуживает завод и его опытные работы своей экспериментальной и производственной базой в части нагнетателей и редуктора и подготавливает к мотору М</w:t>
      </w:r>
      <w:r w:rsidRPr="0044524F">
        <w:rPr>
          <w:color w:val="000000" w:themeColor="text1"/>
          <w:sz w:val="16"/>
          <w:szCs w:val="16"/>
        </w:rPr>
        <w:noBreakHyphen/>
        <w:t>11 на свинцовистую бронзу²*.</w:t>
      </w:r>
    </w:p>
    <w:p w14:paraId="13A11CDA"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Основной своей задачей на будущее институт считает выполнение плана правительства по опытному строительству и работу над дальнейшим совершенствованием сданных в производство и эксплуатацию моторов. Из этих задач первоочередными институт считает работу: 1) над моторами семьи М</w:t>
      </w:r>
      <w:r w:rsidRPr="0044524F">
        <w:rPr>
          <w:color w:val="000000" w:themeColor="text1"/>
          <w:sz w:val="16"/>
          <w:szCs w:val="16"/>
        </w:rPr>
        <w:noBreakHyphen/>
        <w:t>34, обеспечивающими тяжелое самолетостроение, а также очень обширный класс и других воздушных и морских судов; 2) работа над истребительным мотором; 3) работа над мотором тяжелого топлива.</w:t>
      </w:r>
    </w:p>
    <w:p w14:paraId="26DC935D"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 xml:space="preserve">Учитывая недостаточно удовлетворительную работу в прошлом по повышению надежности мотора и по общему его облагораживанию институт ставит своей задачей: 1) добиться комплектного выпуска моторов, т. е. предъявления на гос. испытание мотора, снабженного всеми необходимыми надежно действующими, удобными в эксплуатации вспомогательными агрегатами и устройствами вплоть до подогревателей воздуха, пылеочистителей, глушителей и т. д.; 2) добиться сдачи на серийное </w:t>
      </w:r>
      <w:r w:rsidRPr="0044524F">
        <w:rPr>
          <w:color w:val="000000" w:themeColor="text1"/>
          <w:sz w:val="16"/>
          <w:szCs w:val="16"/>
        </w:rPr>
        <w:lastRenderedPageBreak/>
        <w:t>производство моторов без каких бы то ни было дефектов на государственных испытаниях; 3) довести надежность выпускаемых моторов до уровня заграничных моторов.</w:t>
      </w:r>
    </w:p>
    <w:p w14:paraId="770E2B27"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Для обеспечения этой задачи институт: 1. Создал спецбригаду агрегатов, которая должна заниматься изучением и разработкой агрегатов мотора (самопуски глушит[елей] и т. д.). 2. Усилил карбюраторную группу, которая занимается изучением и созданием карбюраторов и бензиновых помп. 3. Принимает меры по усилению отдела заводских лабораторий, ослабленного выделением работников и оборудования в ВИАМ³*, и ставит перед ним задачи повышения качества изделий за счет улучшения материалов, улучшения методов технологической обработки и внешней отделки. 4. Принимает меры к усилению лаборатории специальных приборов с тем, чтобы сосредоточить в ней работы по электрическому оборудованию мотора, которые до настоящего времени были безнадзорными, и установить самую тесную связь с АТЭ электрозавода. Привлечь необходимых для этой цели специалистов.</w:t>
      </w:r>
    </w:p>
    <w:p w14:paraId="759A653C"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Опыт работы по установке мотора М</w:t>
      </w:r>
      <w:r w:rsidRPr="0044524F">
        <w:rPr>
          <w:color w:val="000000" w:themeColor="text1"/>
          <w:sz w:val="16"/>
          <w:szCs w:val="16"/>
        </w:rPr>
        <w:noBreakHyphen/>
        <w:t>34 на самолет показал, что ни ЦИАМ, ни ЦАГИ не были подготовлены в достаточной степени к разрешению сложных задач, встающих при оборудовании мощной винтомоторной установки на самолете. В настоящее время институт организовал специальную группу по винтомоторным установкам при исп[ытательном] отделе, обеспечив ее квалифицированными работниками. Но учитывая, что эта область работы, являясь чрезвычайно тесно переплетенной с работой по самолету и считая, что большая часть затруднений в прошлой работе проистекала от неудовлетворительной организации совместной работы ЦАГИ, ЦИАМ, заводов 22, 24 и от отсутствия должного руководства, планирования и контроля выполнения, институт считает совершенно необходимым в будущем обеспечить со стороны НТО ГУАП руководство и обеспечение точного выполнения инструкции о распределении обязанностей между институтами, изложенной в свое время НТО ГУАП при его письме за № ОП/96/301 от 1 июня всем организациям, но к сожалению не выполняющееся надлежащим образом.</w:t>
      </w:r>
    </w:p>
    <w:p w14:paraId="3F2AA88E"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В прошлой работе институт уделял недостаточное внимание вопросам эксплуатации моторов. В связи с тем, что в ближайший период времени моторы института входят в эксплуатацию, институт ставит своей задачей организацию изучения эксплуатации и с этой целью организует в соответствующих конструкторских группах эксплуатационные бригады, которые должны обеспечивать изучение поведения моторов в разнообразных условиях эксплуатации, изучать их дефекты, собирать и систематизировать требования эксплуатационников и на основе этого разрабатывать мероприятия по улучшению эксплуатационных качеств мотора, а также инструктировать на месте работников эксплуатации по вопросам правильного обращения с моторами.</w:t>
      </w:r>
    </w:p>
    <w:p w14:paraId="62912FDE"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В части совместной работы института с заводами институт намечает на основе изложенных выше положений, подтвержденных успешной практикой работ с заводом № 24 и № 33, вести дальнейшую работу совместно с опытно-конструкторским отделом завода по совершенствованию мотора, подготовлять, планомерно внедрять в производство мотор М</w:t>
      </w:r>
      <w:r w:rsidRPr="0044524F">
        <w:rPr>
          <w:color w:val="000000" w:themeColor="text1"/>
          <w:sz w:val="16"/>
          <w:szCs w:val="16"/>
        </w:rPr>
        <w:noBreakHyphen/>
        <w:t>34Ф в его модификациях, разрабатываемых институтом на основе правительственного плана опытного строительства.</w:t>
      </w:r>
    </w:p>
    <w:p w14:paraId="76E64125"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В отношении остальных заводов институт ставит своей задачей всемерное содействие в организации и укреплении опытных конструкторских отделов и на базе их совместную работу над совершенствованием объектов производства, используя для этой цели институтскую экспериментальную базу. В этих целях институт выделил уже для завода № 26 одного старшего конструктора для руководства конструкторским отделом и ведет работу на своих установках по испытанию агрегатов для завода № 29.</w:t>
      </w:r>
    </w:p>
    <w:p w14:paraId="7A5E1F0D" w14:textId="77777777" w:rsidR="00366092" w:rsidRPr="0044524F" w:rsidRDefault="00366092" w:rsidP="009654CF">
      <w:pPr>
        <w:pStyle w:val="ae"/>
        <w:spacing w:before="0" w:after="0"/>
        <w:jc w:val="both"/>
        <w:rPr>
          <w:color w:val="000000" w:themeColor="text1"/>
          <w:sz w:val="16"/>
          <w:szCs w:val="16"/>
        </w:rPr>
      </w:pPr>
      <w:r w:rsidRPr="0044524F">
        <w:rPr>
          <w:rStyle w:val="af0"/>
          <w:i w:val="0"/>
          <w:color w:val="000000" w:themeColor="text1"/>
          <w:sz w:val="16"/>
          <w:szCs w:val="16"/>
        </w:rPr>
        <w:t>Начальник института Е. Петровский</w:t>
      </w:r>
    </w:p>
    <w:p w14:paraId="07DA243F" w14:textId="77777777" w:rsidR="00366092" w:rsidRPr="0044524F" w:rsidRDefault="00366092"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56AD355D"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¹* </w:t>
      </w:r>
      <w:r w:rsidRPr="0044524F">
        <w:rPr>
          <w:rStyle w:val="af0"/>
          <w:bCs/>
          <w:i w:val="0"/>
          <w:color w:val="000000" w:themeColor="text1"/>
          <w:sz w:val="16"/>
          <w:szCs w:val="16"/>
        </w:rPr>
        <w:t>Научный автомоторный институт (НАМИ)</w:t>
      </w:r>
      <w:r w:rsidRPr="0044524F">
        <w:rPr>
          <w:color w:val="000000" w:themeColor="text1"/>
          <w:sz w:val="16"/>
          <w:szCs w:val="16"/>
        </w:rPr>
        <w:t xml:space="preserve"> был организован в Москве в 1918 г., первоначально как Научная автомобильная лаборатория при ВСНХ. Решением коллегии ВСНХ от 14 марта 1921 г. лаборатория преобразована в Научный автомоторный институт. НАМИ разрабатывал вопросы конструирования автомобилей и осуществлял их испытания. В нем разрабатывались вопросы теории, расчета и конструкции автомобилей и их агрегатов, осуществлялись расчетно-исследовательские работы по автомобильным двигателям, испытания автомобильной техники, создание типов двигателей для автомобилей повышенной проходимости, исследования новых конструкционных материалов, создание испытательного оборудования и приборов для исследовательских работ в автомобилестроении. В 1930 г. часть института, связанная с дизелестроением, выделилась в Научно-исследовательский дизельный институт, а часть, связанная с авиамоторостроением — в Центральный институт авиационного моторостроения (ЦИАМ). Постановлением ВСНХ СССР от 7 февраля 1931 г. НАМИ преобразован в Научный автотракторный институт (HATH). После ряда реорганизаций и смены подведомственности в феврале 1946 г. HATH преобразован в Государственный научно-исследовательский автомобильный и автомоторный институт (НАМИ). (Филиал РГАНТД. Ф. Р</w:t>
      </w:r>
      <w:r w:rsidRPr="0044524F">
        <w:rPr>
          <w:color w:val="000000" w:themeColor="text1"/>
          <w:sz w:val="16"/>
          <w:szCs w:val="16"/>
        </w:rPr>
        <w:noBreakHyphen/>
        <w:t>351).</w:t>
      </w:r>
    </w:p>
    <w:p w14:paraId="4DE51EA1"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²* Так в тексте.</w:t>
      </w:r>
    </w:p>
    <w:p w14:paraId="69D4EB44" w14:textId="77777777" w:rsidR="00366092" w:rsidRPr="0044524F" w:rsidRDefault="00366092" w:rsidP="009654CF">
      <w:pPr>
        <w:pStyle w:val="rtejustify"/>
        <w:spacing w:before="0" w:after="0"/>
        <w:rPr>
          <w:color w:val="000000" w:themeColor="text1"/>
          <w:sz w:val="16"/>
          <w:szCs w:val="16"/>
        </w:rPr>
      </w:pPr>
      <w:r w:rsidRPr="0044524F">
        <w:rPr>
          <w:color w:val="000000" w:themeColor="text1"/>
          <w:sz w:val="16"/>
          <w:szCs w:val="16"/>
        </w:rPr>
        <w:t>³* </w:t>
      </w:r>
      <w:r w:rsidRPr="0044524F">
        <w:rPr>
          <w:rStyle w:val="af0"/>
          <w:bCs/>
          <w:i w:val="0"/>
          <w:color w:val="000000" w:themeColor="text1"/>
          <w:sz w:val="16"/>
          <w:szCs w:val="16"/>
        </w:rPr>
        <w:t>Всесоюзный научно-исследовательский институт авиационных материалов (ВИАМ)</w:t>
      </w:r>
      <w:r w:rsidRPr="0044524F">
        <w:rPr>
          <w:color w:val="000000" w:themeColor="text1"/>
          <w:sz w:val="16"/>
          <w:szCs w:val="16"/>
        </w:rPr>
        <w:t xml:space="preserve"> был создан приказом Наркомата тяжелой промышленности СССР от 28 июня 1932 г. на базе Отдела авиационных материалов Центрального аэрогидродинамического института им. Жуковского. ВИАМ находился в ведении Наркомата тяжелой промышленности до 1936 г., с 1936 по 1939 гг. — в ведении Наркомата оборонной промышленности СССР. Институт занимался разработкой, изысканиями и изучением авиационных материалов и внедрением их в производство, разработкой технологических процессов производства. (Филиал РГАНТД. Ф. Р</w:t>
      </w:r>
      <w:r w:rsidRPr="0044524F">
        <w:rPr>
          <w:color w:val="000000" w:themeColor="text1"/>
          <w:sz w:val="16"/>
          <w:szCs w:val="16"/>
        </w:rPr>
        <w:noBreakHyphen/>
        <w:t>124.)</w:t>
      </w:r>
    </w:p>
    <w:p w14:paraId="2852754F" w14:textId="77777777" w:rsidR="00366092" w:rsidRPr="0044524F" w:rsidRDefault="00366092" w:rsidP="009654CF">
      <w:pPr>
        <w:pStyle w:val="ae"/>
        <w:spacing w:before="0" w:after="0"/>
        <w:jc w:val="both"/>
        <w:rPr>
          <w:color w:val="000000" w:themeColor="text1"/>
          <w:sz w:val="16"/>
          <w:szCs w:val="16"/>
        </w:rPr>
      </w:pPr>
      <w:r w:rsidRPr="0044524F">
        <w:rPr>
          <w:color w:val="000000" w:themeColor="text1"/>
          <w:sz w:val="16"/>
          <w:szCs w:val="16"/>
        </w:rPr>
        <w:t>РГАЭ. Ф. 8328. Оп. 1. Д. 670. Л. 68-61. Заверенная копия (15286).</w:t>
      </w:r>
    </w:p>
    <w:p w14:paraId="7E6B16DC" w14:textId="77777777" w:rsidR="00366092" w:rsidRPr="0044524F" w:rsidRDefault="00366092" w:rsidP="009654CF">
      <w:pPr>
        <w:spacing w:after="0" w:line="240" w:lineRule="auto"/>
        <w:jc w:val="both"/>
        <w:rPr>
          <w:rFonts w:ascii="Times New Roman" w:hAnsi="Times New Roman"/>
          <w:color w:val="000000" w:themeColor="text1"/>
          <w:sz w:val="16"/>
          <w:szCs w:val="16"/>
        </w:rPr>
      </w:pPr>
    </w:p>
    <w:p w14:paraId="65696EEF"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17 ноября 1933 был назначен старт ракеты ГИРД с индексом 07, выполненной по схеме «летающее крыло». Однако тяги двигателя ОРМ-50 Глушко оказалось недостаточно, и испытание не удалось. Че</w:t>
      </w:r>
      <w:r w:rsidRPr="0044524F">
        <w:rPr>
          <w:rFonts w:ascii="Times New Roman" w:hAnsi="Times New Roman"/>
          <w:color w:val="000000" w:themeColor="text1"/>
          <w:sz w:val="16"/>
          <w:szCs w:val="16"/>
        </w:rPr>
        <w:softHyphen/>
        <w:t>рез несколько месяцев уже в РНИИ был разработан новый дви</w:t>
      </w:r>
      <w:r w:rsidRPr="0044524F">
        <w:rPr>
          <w:rFonts w:ascii="Times New Roman" w:hAnsi="Times New Roman"/>
          <w:color w:val="000000" w:themeColor="text1"/>
          <w:sz w:val="16"/>
          <w:szCs w:val="16"/>
        </w:rPr>
        <w:softHyphen/>
        <w:t>гатель. Его установили на ракету, однако при первом же испытании, едва оторвавшись от пускового станка, ракета врезалась в землю. Успешный пуск 07 был проведен лишь после новой доработки летом 1935 года (23510).</w:t>
      </w:r>
    </w:p>
    <w:p w14:paraId="18D1C1DC" w14:textId="77777777" w:rsidR="00823BD7" w:rsidRPr="0044524F" w:rsidRDefault="00823BD7" w:rsidP="009654CF">
      <w:pPr>
        <w:spacing w:after="0" w:line="240" w:lineRule="auto"/>
        <w:jc w:val="both"/>
        <w:rPr>
          <w:rFonts w:ascii="Times New Roman" w:hAnsi="Times New Roman"/>
          <w:color w:val="000000" w:themeColor="text1"/>
          <w:sz w:val="16"/>
          <w:szCs w:val="16"/>
        </w:rPr>
      </w:pPr>
    </w:p>
    <w:p w14:paraId="6D58FAD8" w14:textId="77777777" w:rsidR="00570C39" w:rsidRPr="0044524F" w:rsidRDefault="00570C3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Геофизическая обсерватория сообщила, что благоприятные условия для полета в стратосферу можно ожидать в период 20-24 декабря и около 20-21 января, а также конец января. Полет в декабре не состоялся вследствие неполного оборудования приборами и неготовности всех деталей к окончательному монтажу стратостата к полету. За этот период т. Федосеенко и Васенко освоились с органами управления и закончили основные работы по подготовке к монтажу. Тов. Усыскин в меньшей степени готовился к полету и считал свой полет излишним, т. к. выяснилось, что камера Вильсона для наблюдения за космическими лучами в зимних условиях не будет пригодна и заменялась приборами Гесслера. Все инструкции по обращению с приборами были переданы составу экипажа. Практическое их освоение проводилось распоряжением и под наблюдением т. Федосеенко, контроль подготовки осуществлялся спорадически по инициативе отдельных специалистов (11611).</w:t>
      </w:r>
    </w:p>
    <w:p w14:paraId="099C134E" w14:textId="77777777" w:rsidR="00570C39" w:rsidRPr="0044524F" w:rsidRDefault="00570C39" w:rsidP="009654CF">
      <w:pPr>
        <w:spacing w:after="0" w:line="240" w:lineRule="auto"/>
        <w:jc w:val="both"/>
        <w:rPr>
          <w:rFonts w:ascii="Times New Roman" w:hAnsi="Times New Roman"/>
          <w:iCs/>
          <w:color w:val="000000" w:themeColor="text1"/>
          <w:sz w:val="16"/>
          <w:szCs w:val="16"/>
        </w:rPr>
      </w:pPr>
    </w:p>
    <w:p w14:paraId="439D3AED"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1EA7AA8"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B7029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17 ноября 1933 года первым был спущен на воду лидер «Ленинград», который долгое время достраивался на плаву. Со­шедший на воду корабль представлял собой лишь корпус, в котором только в 1935 го­ду погрузили и смонтировали главную энергетическую установку, отдельные системы и вспомогательные механизмы. Вооружение, системы управления артил­лерийской и торпедной стрельбой для нового лидера еще только разрабатывались или проходили испытания. Осенью 1936 года после завершения монтажа вооружения, оборудования и си­стем у достроечной стенки завода и прове­дения швартовных (сентябрь 1934—август 1935 года) и заводских ходовых (сентябрь 1935—октябрь 1 936 года) испытаний лидер «Ленинград» в октябре 1936 года предъ­явили Постоянной государственной комис­сии по приему построенных и капитально от­ремонтированных кораблей под председа­тельством флагмана 1 ранга А.К.Векмана. На заводских ходовых испытаниях 25 авгу­ста 1 936 года при водоизмещении 241 1 т и мощности ГЭУ 61 500 л.с. корабль легко развил скорость хода, превысившую про­ектную, а при спецификационной мощнос­ти 66 000 л.с. достиг 41 уз; однако при та­кой скорости возник дифферент на корму до 1,5 м. При форсировании котлов и даль­нейшем повышении мощности ГЭУ скорость лидера достигла 42 уз, однако дифферент возрос до 2 м. Для его уменьшения приняли решение набрать в носовую цистерну око­ло 35 т забортной воды. После этого диф­ферент уменьшился, а скорость возросла еще на 0,5 уз. Это был значительный успех молодой советской промышленности. На официальных приемо-сдаточных (то есть государственных) испытаниях 5 нояб­ря 1936 года «Ленинград» при водоизме­щении 2225 т и мощности 67 250 л.с. на мерной линии Гогланд—Родшер (длиной 9,65 мили) при глубине 55—67 м и волне­нии моря 1 —2 балла к общей радости за­водских инженеров, рабочих и экипажа до­стиг рекордной по тем временам скорос­ти — 43 уз, что на 3 уз превышало спецификационную. При дальнейшем форсировании котлов мощность ГЭУ могла увеличиться еще на 4—5 тыс. л.с. В период испытаний командиром лиде­ра был капитан 2 ранга Ф.Т.Тарасов. Минером на лидере в то время служил Н.И.Иль­ин, в 1939 году ставший заместителем на­чальника НИМТИ РККФ. Однако, при испытаниях первенца оте­чественного крупного кораблестроения вы­явились и дефекты, вызванные отсутствием опыта. Прежде всего, выяснилось, что на режиме полного хода верхняя палуба в кор­мовой оконечности корабля погружалась в воду (при дифференте на корму до 2,8м), а носовая оконечность опасно выходила из воды, что создавало аварийную ситуацию и не позволяло эффективно действовать си­стемам вооружения. На режиме крейсерс­кого (до 30 уз) хода лидера его поворотли­вость была хуже, чем на старых минонос­цах, на полном ходу — такая же, как у них на малых ходах; на среднем ходу корабль управлялся с большим трудом. С целью уменьшения массы ГТЗА попы­тались применить сварные редукторы. Од­нако такая облегченная конструкция оказа­лась ненадежной, и, когда при ходовых ис­пытаниях в 1 936 году сварная конструкция редуктора разрушилась, ее заменили литой, большей массы. И все же, несмотря на недоработки, на ходовых испытаниях лидера «Ленинград» энергетическая установка сравнительно лег­ко развила мощность 67 250 л.с. даже при умеренной форсировке главных котлов и ненапряженной работе вспомогательных механизмов. Как показала впоследствии эксплуата­ция ГЭУ лидера, применение перегретого пара давлением 27 кгс/см2 привело к рез­кому усилению кислородной коррозии кот­лов и лопаток турбин, обострило проблему эксплуатации котлов (особенно пароперег­ревателей) при длительном бездействии. Вместе с тем, из-за незавершенности отработки конструкции и процесса горения пришлось ввести ограничения нагрузки кот­лов по топливу. Это было вызвано неустой­чивой циркуляцией воды при полной форсировке котлов с включением всех 28 форсу­нок для быстрого развития полной скорости, что приводило к пережогу и выходу из строя трубок котла. Следует отметить, что освое­ние паросиловой энергетической </w:t>
      </w:r>
      <w:r w:rsidRPr="0044524F">
        <w:rPr>
          <w:rFonts w:ascii="Times New Roman" w:hAnsi="Times New Roman"/>
          <w:color w:val="000000" w:themeColor="text1"/>
          <w:sz w:val="16"/>
          <w:szCs w:val="16"/>
        </w:rPr>
        <w:lastRenderedPageBreak/>
        <w:t>установки при эксплуатации первых сторожевых ко­раблей, вошедших в состав ВМФ в 1930— 1931 годах, явилось хорошей школой и для личного состава лидеров: машинисты-турбинисты и котельные машинисты стороже­виков впоследствии быстро освоили новые турбины и котлы на кораблях проекта 1.</w:t>
      </w:r>
    </w:p>
    <w:p w14:paraId="38EFC6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установки на корабль артилле­рии главного калибра, проводились ее кон­трольные отстрелы на один борт. Испыта­ния показали, что конструкция корпуса ко­рабля настолько слаба, что стрелять всей артиллерией одновременно невозможно. Выяснилось, что опасные напряжения в рай­оне стыковки носовой оконечности со сред­ней частью корпуса создавали риск его пе­релома в случае динамического роста этих напряжений, вызванных, например, подры­вом на мине, попаданием снаряда или даже сильным штормом. Возникла необходимость в подкреплении корпуса. Артиллерийского вооружения калибром 76,2 мм, 45 мм и пулеметов к моменту сдачи корабля флоту, на нем еще не было. Остойчивость корабля оказалась лишь чуть выше минимальной, а запас плавучести настолько мал, что лю­бое повреждение подводной части могло закончиться катастрофой. Дальность плава­ния полным ходом превышала проектную, но экономическим ходом оказалась ниже.</w:t>
      </w:r>
    </w:p>
    <w:p w14:paraId="61A5CF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Высокая скорость преподнесла и свои сюрпризы. Когда после первого этапа хо­довых испытаний лидер поставили в док, обнаружилось, что все три гребных винта опасно деформировались. Края лопастей были изъедены кавернами шириной до 15 мм и глубиной до 20—25 мм. Так, советские су­достроители и моряки впервые столкнулись с явлением кавитации. Лабораторные иссле­дования, проводившиеся параллельно с улучшением конструкции, показали, что при превышении барьера 36-узловой скорости гребные винты конструкции, разработанной специалистами НИИВК, разрушаются. При анализе этого явления ученые-гидромеханики, в первую очередь Э.Э.Пампель, глубоко изучивший его в работе «Выявление кавита­ции гребных винтов по данным испытаний плавающих кораблей» (1932 год), пришли к заключению, что избежать разрушения винтов возможно за счет изменения профи­ля лопастей и конструкции выхода валов из корпуса, а также обводов кормовой око­нечности.</w:t>
      </w:r>
    </w:p>
    <w:p w14:paraId="310E07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Вторым неприятным сюрпризом оказа­лась повышенная вибрация кормовой око­нечности и средней части корпуса на ходах выше 35 уз, что ограничивало применение вооружения и особенно — оптики. Устране­ние кавитации и повышенной вибрации по­требовало многих лет дополнительных ис­следований ученых.</w:t>
      </w:r>
    </w:p>
    <w:p w14:paraId="024A32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государственной прием­ной комиссии флагман 1 ранга А.К.Векман в заключительном протоколе и докладе при представлении приемного акта на утверж­дение начальнику МС РККА флагману фло­та 1 ранга В.М.Орлову отметил высокие бо­евые и эксплуатационные качества лидера «Ленинград»: «корабль этот получился впол­не современным с хорошими ходовыми и мореходными качествами... Особо надо отметить получение 43-х узловой скорости вместо 40 уз по спецификации, причем ее надо признать не предельной, так как воз­можна еще форсировка котлов и увеличе­ние числа оборотов...». Вместе с тем, ко­миссия указала и на некоторые конструк­тивные недостатки корабля, выявленные при испытаниях: в частности, отмечались отсут­ствие броневых укрытий мостика от атак штурмовой авиации, недостаточная мощ­ность огня зенитных орудий и невозможность стрельбы обоих зенитных орудий 34-К на один борт, что существенно снижало про­тивовоздушную оборону лидера при нале­тах авиации противника на малых высотах. Кроме того, «наряду с высокой техникой приборов управления артиллерийским ог­нем для главного калибра, отмечается от­сутствие сколь-нибудь удовлетворительных приборов управления зенитным огнем».</w:t>
      </w:r>
    </w:p>
    <w:p w14:paraId="73767B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официальной сдачи лидера «Ле­нинград» флоту 5 декабря 1936 года — в день принятия Сталинской конституции, ко­рабль до июля 1938 года (!) простоял у до­строечной стенки завода № 190 — по гаран­тийным обязательствам устранялось значи­тельное количество дефектов, обнаружен­ных при первых выходах в море.</w:t>
      </w:r>
    </w:p>
    <w:p w14:paraId="235A4A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Когда «Ленинград» находился в доке Кронштадтского морского завода, группа сотрудников Ленинградского физико-техни­ческого института (ЛФТИ) в августе 1937 го­да провела ряд опытов по измерению маг­нитного поля такого крупного корабля, как лидер. С помощью изготовленной к тому времени аппаратуры, на основе разрабо­танных ЛФТИ принципов размагничивания, были измерены магнитные поля под днищем, на разном расстоянии от него, в большом количестве точек вдоль корабля и в шпангоутных плоскостях. Одновременно на корабль были наложены витки кабеля и из них осуще­ствлены различного вида обмотки на раз­ных уровнях по высоте борта.</w:t>
      </w:r>
    </w:p>
    <w:p w14:paraId="59E45A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Результаты этих экспериментов, прово­дившихся впервые в мировой практике, ока­зались обнадеживающими и, с учетом развития зарубежных индукционных и магнит­ных противокорабельных средств, очень актуальными. 1 7 февраля 1938 года при­казом наркома ВМФ была создана комис­сия по проведению испытаний специального устройства для борьбы с неконтактными минами и торпедами, разработанного ЛФТИ.</w:t>
      </w:r>
    </w:p>
    <w:p w14:paraId="287C7C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того же года руководству ВМФ было доложено об успешных экспериментах с размагничиванием, проведенных на лидере «Ленинград».</w:t>
      </w:r>
    </w:p>
    <w:p w14:paraId="4ABE81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материалам этих измерений был разработан проект системы ЛФТИ для ли­деров. В целом система выполняла задачу размагничивания корабля. В качестве недо­статков проекта НТК ВМФ отметил то, что системой не предусматривалась возмож­ность компенсации курсовых изменений магнитных полей кораблей, а обмотки, защи­щенные металлическими кожухами, про­кладывались снаружи корпусов. Однако исправление отмеченных недостатков производилось уже позже, в 1940-х годах, ког­да системы размагничивания срочно уста­навливались на других кораблях (11866).</w:t>
      </w:r>
    </w:p>
    <w:p w14:paraId="09890F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A2FB908"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17 ноября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«1. Принять на вооружение ВМС РККА аппаратуры ВУ системы Остехбюро для управления торпедными катерами; 2) предложить начальнику Остехбюро Бекаури внести вытекающие из предложений комиссии исправления в аппаратуру и в чертежах; 3) войти в правительство с ходатайством о немедленной постановке производства аппаратуры системы ОТВ». (РГВА. Ф. 4. Оп. 18. Д. 23. Л. 337) (15461).</w:t>
      </w:r>
    </w:p>
    <w:p w14:paraId="43DA6363" w14:textId="77777777" w:rsidR="00366092" w:rsidRPr="0044524F" w:rsidRDefault="00366092" w:rsidP="009654CF">
      <w:pPr>
        <w:pStyle w:val="rtejustify"/>
        <w:spacing w:before="0" w:after="0"/>
        <w:rPr>
          <w:color w:val="000000" w:themeColor="text1"/>
          <w:sz w:val="16"/>
          <w:szCs w:val="16"/>
        </w:rPr>
      </w:pPr>
    </w:p>
    <w:p w14:paraId="2C23B3FE"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17/19 ноября 1933 вышел приказ НКТП №217сс.</w:t>
      </w:r>
      <w:r w:rsidRPr="0044524F">
        <w:rPr>
          <w:color w:val="000000" w:themeColor="text1"/>
          <w:sz w:val="16"/>
          <w:szCs w:val="16"/>
        </w:rPr>
        <w:t xml:space="preserve"> О строительстве нефтебензохранилищ в Дальневосточном и в Восточносибирском краях. (РГАЭ. Ф. 7297. Оп. 38. Д. 38. Л. 188</w:t>
      </w:r>
      <w:r w:rsidRPr="0044524F">
        <w:rPr>
          <w:color w:val="000000" w:themeColor="text1"/>
          <w:sz w:val="16"/>
          <w:szCs w:val="16"/>
        </w:rPr>
        <w:noBreakHyphen/>
        <w:t>184) (15246).</w:t>
      </w:r>
    </w:p>
    <w:p w14:paraId="70BCE7BE" w14:textId="77777777" w:rsidR="00366092" w:rsidRPr="0044524F" w:rsidRDefault="00366092" w:rsidP="009654CF">
      <w:pPr>
        <w:pStyle w:val="rtejustify"/>
        <w:spacing w:before="0" w:after="0"/>
        <w:rPr>
          <w:color w:val="000000" w:themeColor="text1"/>
          <w:sz w:val="16"/>
          <w:szCs w:val="16"/>
        </w:rPr>
      </w:pPr>
    </w:p>
    <w:p w14:paraId="1A13676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5719162"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0E34FB2" w14:textId="77777777" w:rsidR="00B81B17" w:rsidRPr="0044524F" w:rsidRDefault="00B81B1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Газета "Вечерняя Москва" сообщала: "По распоряжению наркома снабжения тов. Микояна в Москве организован трест "Гастроном", в который вошли все коммерческие магазины Мостропа... "Гастроному" передается магазин Инснаба на улице Горького" (18722).</w:t>
      </w:r>
    </w:p>
    <w:p w14:paraId="4B751324" w14:textId="77777777" w:rsidR="00B81B17" w:rsidRPr="0044524F" w:rsidRDefault="00B81B17" w:rsidP="009654CF">
      <w:pPr>
        <w:spacing w:after="0" w:line="240" w:lineRule="auto"/>
        <w:jc w:val="both"/>
        <w:rPr>
          <w:rFonts w:ascii="Times New Roman" w:hAnsi="Times New Roman"/>
          <w:color w:val="000000" w:themeColor="text1"/>
          <w:sz w:val="16"/>
          <w:szCs w:val="16"/>
        </w:rPr>
      </w:pPr>
    </w:p>
    <w:p w14:paraId="656C1DB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основан Харьковский русский драматический театр имени Пушкина (4962).</w:t>
      </w:r>
    </w:p>
    <w:p w14:paraId="7FBE282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D16BB4E"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C1C6B1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9451D5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США заявляют о признании СССР и восстанавливают с ним торговые отношения (4962).</w:t>
      </w:r>
    </w:p>
    <w:p w14:paraId="4B8326C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172DB5D"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hAnsi="Times New Roman"/>
          <w:bCs/>
          <w:color w:val="000000" w:themeColor="text1"/>
          <w:sz w:val="16"/>
          <w:szCs w:val="16"/>
        </w:rPr>
        <w:t xml:space="preserve">17 ноября </w:t>
      </w:r>
      <w:r w:rsidRPr="0044524F">
        <w:rPr>
          <w:rFonts w:ascii="Times New Roman" w:hAnsi="Times New Roman"/>
          <w:color w:val="000000" w:themeColor="text1"/>
          <w:sz w:val="16"/>
          <w:szCs w:val="16"/>
        </w:rPr>
        <w:t>в 1933 году состоялся первый радиоразговор между Москвой и Вашингтоном. В телеграмме из столицы США сообщалось: «Только что закончился первый разговор по радио между СССР и США. Литвинов говорил из Белого дома со своей женой в Москве. Трансляция была безупречна. Литвинов передал приветствие президента и миссис Рузвельт». Разговор между двумя городами транслировался всеми радиостанциями СССР (14833).</w:t>
      </w:r>
    </w:p>
    <w:p w14:paraId="2E562E11" w14:textId="77777777" w:rsidR="00366092" w:rsidRPr="0044524F" w:rsidRDefault="00366092" w:rsidP="009654CF">
      <w:pPr>
        <w:spacing w:after="0" w:line="240" w:lineRule="auto"/>
        <w:jc w:val="both"/>
        <w:rPr>
          <w:rFonts w:ascii="Times New Roman" w:hAnsi="Times New Roman"/>
          <w:color w:val="000000" w:themeColor="text1"/>
          <w:sz w:val="16"/>
          <w:szCs w:val="16"/>
        </w:rPr>
      </w:pPr>
    </w:p>
    <w:p w14:paraId="3B320D41"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A335C1B"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F613F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hAnsi="Times New Roman"/>
          <w:color w:val="000000" w:themeColor="text1"/>
          <w:sz w:val="16"/>
          <w:szCs w:val="16"/>
          <w:lang w:val="en-US"/>
        </w:rPr>
        <w:t>November 17, 1933 The sum of $7,500,000 was allotted to the Navy from funds provided under the National Industrial Recovery Act of 16 June 1933, for the procurement of new aircraft and equipment, thereby permitting the Bureau of Aeronautics to maintain its 1,000-plane program, to equip operating aircraft with modern navigation instruments and radios, and to make other improvements in naval aircraft and their accessories which were not possible under the annual appropriation (1090).</w:t>
      </w:r>
    </w:p>
    <w:p w14:paraId="00D71D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lang w:val="en-US"/>
        </w:rPr>
      </w:pPr>
    </w:p>
    <w:p w14:paraId="57A25A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ВМФ США получил 7.5 млн. долл. в рамках программы восстановления промышленности на закупку новых самолетов и оборудования, позволив сохранить программу по производству 1000 самолетов (1090).</w:t>
      </w:r>
    </w:p>
    <w:p w14:paraId="0A7383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C7F2564"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4CA197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83F9D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ноября 1933 выпал снег и на ЦКБ-3 (И-15) колеса заменили на лыжи от самолета И-Z (6593).</w:t>
      </w:r>
    </w:p>
    <w:p w14:paraId="1B7DDB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6541BC1" w14:textId="77777777" w:rsidR="00B81B17" w:rsidRPr="0044524F" w:rsidRDefault="00B81B17"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18 ноября 1933 колеса на первом ЦКБ-3 заменили на лыжи от самолета И-</w:t>
      </w:r>
      <w:r w:rsidRPr="0044524F">
        <w:rPr>
          <w:rFonts w:ascii="Times New Roman" w:cs="Times New Roman"/>
          <w:color w:val="000000" w:themeColor="text1"/>
          <w:spacing w:val="0"/>
          <w:lang w:val="en-US"/>
        </w:rPr>
        <w:t>Z</w:t>
      </w:r>
      <w:r w:rsidRPr="0044524F">
        <w:rPr>
          <w:rFonts w:ascii="Times New Roman" w:cs="Times New Roman"/>
          <w:color w:val="000000" w:themeColor="text1"/>
          <w:spacing w:val="0"/>
        </w:rPr>
        <w:t>, а спустя пять дней случилась первая неприятность. 23 ноября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в те време</w:t>
      </w:r>
      <w:r w:rsidRPr="0044524F">
        <w:rPr>
          <w:rFonts w:ascii="Times New Roman" w:cs="Times New Roman"/>
          <w:color w:val="000000" w:themeColor="text1"/>
          <w:spacing w:val="0"/>
        </w:rPr>
        <w:softHyphen/>
        <w:t>на не редкий, но досадный; шансов приземлиться благополучно практически не оставалось, и самолет на посадке перевернул</w:t>
      </w:r>
      <w:r w:rsidRPr="0044524F">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44524F">
        <w:rPr>
          <w:rFonts w:ascii="Times New Roman" w:cs="Times New Roman"/>
          <w:color w:val="000000" w:themeColor="text1"/>
          <w:spacing w:val="0"/>
        </w:rPr>
        <w:softHyphen/>
        <w:t>ния рекорда высоты (19107).</w:t>
      </w:r>
    </w:p>
    <w:p w14:paraId="23B986B8" w14:textId="77777777" w:rsidR="00B81B17" w:rsidRPr="0044524F" w:rsidRDefault="00B81B17" w:rsidP="009654CF">
      <w:pPr>
        <w:spacing w:after="0" w:line="240" w:lineRule="auto"/>
        <w:jc w:val="both"/>
        <w:rPr>
          <w:rFonts w:ascii="Times New Roman" w:hAnsi="Times New Roman"/>
          <w:color w:val="000000" w:themeColor="text1"/>
          <w:sz w:val="16"/>
          <w:szCs w:val="16"/>
        </w:rPr>
      </w:pPr>
    </w:p>
    <w:p w14:paraId="1F71FE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ноября 1933, т.к</w:t>
      </w:r>
      <w:r w:rsidR="00B81B17"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 xml:space="preserve"> выпал снег, на ЦКБ-3 колеса заменили на лыжи от самолета И-Z, а спустя пять дней случилась первая неприятность (12014).</w:t>
      </w:r>
    </w:p>
    <w:p w14:paraId="734C0D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977F568"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18 ноября 1933 г. колеса на опытном истребителе ЦКБ-3 заменили лыжами от самолета И</w:t>
      </w:r>
      <w:r w:rsidRPr="00142305">
        <w:rPr>
          <w:rFonts w:ascii="Times New Roman" w:hAnsi="Times New Roman"/>
          <w:color w:val="0070C0"/>
          <w:sz w:val="16"/>
          <w:szCs w:val="16"/>
        </w:rPr>
        <w:noBreakHyphen/>
        <w:t>Z, а спустя пять дней произошла авария. 23 ноября 1933 года перед участниками Пленума Реввоенсовета проводили показательные полеты. В тот день на ярко</w:t>
      </w:r>
      <w:r w:rsidRPr="00142305">
        <w:rPr>
          <w:rFonts w:ascii="Times New Roman" w:hAnsi="Times New Roman"/>
          <w:color w:val="0070C0"/>
          <w:sz w:val="16"/>
          <w:szCs w:val="16"/>
        </w:rPr>
        <w:noBreakHyphen/>
        <w:t>красном истребителе ЦКБ</w:t>
      </w:r>
      <w:r w:rsidRPr="00142305">
        <w:rPr>
          <w:rFonts w:ascii="Times New Roman" w:hAnsi="Times New Roman"/>
          <w:color w:val="0070C0"/>
          <w:sz w:val="16"/>
          <w:szCs w:val="16"/>
        </w:rPr>
        <w:noBreakHyphen/>
        <w:t xml:space="preserve">3 в воздух поднялся Валерий Чкалов. Во время </w:t>
      </w:r>
      <w:r w:rsidRPr="00142305">
        <w:rPr>
          <w:rFonts w:ascii="Times New Roman" w:hAnsi="Times New Roman"/>
          <w:color w:val="0070C0"/>
          <w:sz w:val="16"/>
          <w:szCs w:val="16"/>
        </w:rPr>
        <w:lastRenderedPageBreak/>
        <w:t>длительного пикирования со скоростью около 400 км/ч сорвалось ушко крепления растяжки левой лыжи, из</w:t>
      </w:r>
      <w:r w:rsidRPr="00142305">
        <w:rPr>
          <w:rFonts w:ascii="Times New Roman" w:hAnsi="Times New Roman"/>
          <w:color w:val="0070C0"/>
          <w:sz w:val="16"/>
          <w:szCs w:val="16"/>
        </w:rPr>
        <w:noBreakHyphen/>
        <w:t>за чего лыжу развернуло поперек набегающего потока. Случай в те времена не редкий. Шансов на благополучное приземление не было. Самолет на посадке перевернулся, Чкалов не пострадал, но машина оказалась разбита (25069_.</w:t>
      </w:r>
    </w:p>
    <w:p w14:paraId="3A0E7664" w14:textId="77777777" w:rsidR="00B74B80" w:rsidRPr="00142305" w:rsidRDefault="00B74B80" w:rsidP="00B74B80">
      <w:pPr>
        <w:spacing w:after="0" w:line="240" w:lineRule="auto"/>
        <w:jc w:val="both"/>
        <w:rPr>
          <w:rFonts w:ascii="Times New Roman" w:hAnsi="Times New Roman"/>
          <w:color w:val="0070C0"/>
          <w:sz w:val="16"/>
          <w:szCs w:val="16"/>
        </w:rPr>
      </w:pPr>
    </w:p>
    <w:p w14:paraId="47A43D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ноября 1933 была создана МосГИРД (2528).</w:t>
      </w:r>
    </w:p>
    <w:p w14:paraId="02E53D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F86226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18 ноября</w:t>
      </w:r>
      <w:r w:rsidRPr="0044524F">
        <w:rPr>
          <w:rFonts w:ascii="Times New Roman" w:hAnsi="Times New Roman"/>
          <w:color w:val="000000" w:themeColor="text1"/>
          <w:sz w:val="16"/>
          <w:szCs w:val="16"/>
        </w:rPr>
        <w:t xml:space="preserve"> в 1933 году при ЦС Осоавиахима создана МосГИРД (группа изучения реактивного движения) (14834).</w:t>
      </w:r>
    </w:p>
    <w:p w14:paraId="47E30A83" w14:textId="77777777" w:rsidR="00366092" w:rsidRPr="0044524F" w:rsidRDefault="00366092" w:rsidP="009654CF">
      <w:pPr>
        <w:spacing w:after="0" w:line="240" w:lineRule="auto"/>
        <w:jc w:val="both"/>
        <w:rPr>
          <w:rFonts w:ascii="Times New Roman" w:hAnsi="Times New Roman"/>
          <w:color w:val="000000" w:themeColor="text1"/>
          <w:sz w:val="16"/>
          <w:szCs w:val="16"/>
        </w:rPr>
      </w:pPr>
    </w:p>
    <w:p w14:paraId="6C17117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C04EB53"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3C4AF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ноября 1933 г. строившийся на открытом наклонном стапеле головной лидер Ленинград был спущен на воду, однако изготовление и уста</w:t>
      </w:r>
      <w:r w:rsidRPr="0044524F">
        <w:rPr>
          <w:rFonts w:ascii="Times New Roman" w:hAnsi="Times New Roman"/>
          <w:color w:val="000000" w:themeColor="text1"/>
          <w:sz w:val="16"/>
          <w:szCs w:val="16"/>
        </w:rPr>
        <w:softHyphen/>
        <w:t>новка главных механизмов и вооружения затянулись еще на два года. На заводских испытаниях в 1935 г. "Ленинград" показал ско</w:t>
      </w:r>
      <w:r w:rsidRPr="0044524F">
        <w:rPr>
          <w:rFonts w:ascii="Times New Roman" w:hAnsi="Times New Roman"/>
          <w:color w:val="000000" w:themeColor="text1"/>
          <w:sz w:val="16"/>
          <w:szCs w:val="16"/>
        </w:rPr>
        <w:softHyphen/>
        <w:t>рость около 41,3 уз., которая руководством Главморпрома спра</w:t>
      </w:r>
      <w:r w:rsidRPr="0044524F">
        <w:rPr>
          <w:rFonts w:ascii="Times New Roman" w:hAnsi="Times New Roman"/>
          <w:color w:val="000000" w:themeColor="text1"/>
          <w:sz w:val="16"/>
          <w:szCs w:val="16"/>
        </w:rPr>
        <w:softHyphen/>
        <w:t>ведливо оценивалась как большое достижение проектировщиков и Северной верфи, построившей сам корабль и изготовившей турби</w:t>
      </w:r>
      <w:r w:rsidRPr="0044524F">
        <w:rPr>
          <w:rFonts w:ascii="Times New Roman" w:hAnsi="Times New Roman"/>
          <w:color w:val="000000" w:themeColor="text1"/>
          <w:sz w:val="16"/>
          <w:szCs w:val="16"/>
        </w:rPr>
        <w:softHyphen/>
        <w:t>ны и котлы для него. В следующем году на одном из пробегов на мерной миле "Ленинград" при водоизмещении 2225 т (нормальное по проекту) и мощности турбин 67 250 л. с. развил скорость 43 уз. После продолжительных испытаний он был принят госкомиссией под председательством А. К. Векмана и вступил в состав Бал</w:t>
      </w:r>
      <w:r w:rsidRPr="0044524F">
        <w:rPr>
          <w:rFonts w:ascii="Times New Roman" w:hAnsi="Times New Roman"/>
          <w:color w:val="000000" w:themeColor="text1"/>
          <w:sz w:val="16"/>
          <w:szCs w:val="16"/>
        </w:rPr>
        <w:softHyphen/>
        <w:t>тийского флота 5 декабря 1936 г. Стоимость постройки лидера пр. 1 составила 12 млн руб. (3898)</w:t>
      </w:r>
    </w:p>
    <w:p w14:paraId="5B9C5E0C"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D0D066" w14:textId="16DAC313" w:rsidR="009F4E71" w:rsidRPr="0044524F" w:rsidRDefault="009F4E7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ноября 1933 г. на заводе № 190 (им. А. А. Жданова) в Ленинграде Лидер “Ленинград”спущен на воду и 5 декабря 1936 г. вступил в строй в составе Балтийского флота. До июля</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1938 г. он фактически достраивался на плаву. 31 июля 1939 г. “Ленинград” поставили на капитальный ремонт, так как во время похода на скорости 18 узлов у котла № 2 стали лопаться трубки. В ходе ремонта на лидере сменили 732 трубки — старые оказались дефектными и недобросовестно смонтированными. В ноябре 1939 г. “Ленинград” был включен в состав группы кораблей эскадры Балтийского флота. Всего со времени окончания Финской войны и до 22 июня 1941 г. лидер 9 раз вставал в док из-за различных дефектов: для клепки расползавшихся листов подводной части корпуса, смены котлов и изъеденных кавитацией гребных винтов. Накануне Великой Отечественной войны лидер “Ленинград” дислоцировался в Таллине (17786).</w:t>
      </w:r>
    </w:p>
    <w:p w14:paraId="1DD78AF6" w14:textId="77777777" w:rsidR="009F4E71" w:rsidRPr="0044524F" w:rsidRDefault="009F4E71" w:rsidP="009654CF">
      <w:pPr>
        <w:spacing w:after="0" w:line="240" w:lineRule="auto"/>
        <w:jc w:val="both"/>
        <w:rPr>
          <w:rFonts w:ascii="Times New Roman" w:eastAsia="Times New Roman" w:hAnsi="Times New Roman"/>
          <w:color w:val="000000" w:themeColor="text1"/>
          <w:sz w:val="16"/>
          <w:szCs w:val="16"/>
          <w:lang w:eastAsia="ru-RU"/>
        </w:rPr>
      </w:pPr>
    </w:p>
    <w:p w14:paraId="70FAB1CB"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C839BF3"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002A60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ноября 1933 пленум ЦК КП(б)У постановил, что главной опасностью является украинский национализм (4962).</w:t>
      </w:r>
    </w:p>
    <w:p w14:paraId="40A716F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52971E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2027E4A"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4B37D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ноября 1933 г. ВВС запросили дополнительные материалы по самолету И-15, включая реальные оценки мак</w:t>
      </w:r>
      <w:r w:rsidRPr="0044524F">
        <w:rPr>
          <w:rFonts w:ascii="Times New Roman" w:hAnsi="Times New Roman"/>
          <w:color w:val="000000" w:themeColor="text1"/>
          <w:sz w:val="16"/>
          <w:szCs w:val="16"/>
        </w:rPr>
        <w:softHyphen/>
        <w:t>симальных скоростей с различными вариантами мотора Райт «Циклон». По указанию Поликарпова оперативно выполнили необходимые расчеты под двигатели Райт «Циклон» SGR-1820 различных модификаций, в том числе самолета с исходным Р-3, с высотным Р-5 без ре</w:t>
      </w:r>
      <w:r w:rsidRPr="0044524F">
        <w:rPr>
          <w:rFonts w:ascii="Times New Roman" w:hAnsi="Times New Roman"/>
          <w:color w:val="000000" w:themeColor="text1"/>
          <w:sz w:val="16"/>
          <w:szCs w:val="16"/>
        </w:rPr>
        <w:softHyphen/>
        <w:t>дуктора и с редуктором, и результаты исследований бы</w:t>
      </w:r>
      <w:r w:rsidRPr="0044524F">
        <w:rPr>
          <w:rFonts w:ascii="Times New Roman" w:hAnsi="Times New Roman"/>
          <w:color w:val="000000" w:themeColor="text1"/>
          <w:sz w:val="16"/>
          <w:szCs w:val="16"/>
        </w:rPr>
        <w:softHyphen/>
        <w:t>ли оперативно высланы в НИИ ВВС. Они убедили руководство ВВС в соответствии характеристик ЦКБ-3 техническим требованиям (10667).</w:t>
      </w:r>
    </w:p>
    <w:p w14:paraId="64D60C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0187286"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ноября 1933 г. ВВС запросили дополнительные материалы по самолету И-15 (ЦКБ-3), включая реальные оценки максимальных скоростей с различными вариантами мотора Райт «Циклон». По указанию Поликарпова были оперативно выполнены необходимые расчеты под двигатели Райт «Циклон» SGR-1820 различных модификаций, в том числе с исходным F-3 (348 км/ч на высоте 3000 м и 342 км/ч — на 5000 м), высотным F-5 без редуктора и с редуктором (349 км/ч на высоте 3000 м и 356 км/ч — на 5000 м), и результаты исследований были оперативно высланы в НИИ ВВС. Они убедили руководство ВВС в соответствии характеристик ЦКБ-3 техническим требованиям (25035).</w:t>
      </w:r>
    </w:p>
    <w:p w14:paraId="24EE700C" w14:textId="77777777" w:rsidR="00B74B80" w:rsidRPr="00142305" w:rsidRDefault="00B74B80" w:rsidP="00B74B80">
      <w:pPr>
        <w:spacing w:after="0" w:line="240" w:lineRule="auto"/>
        <w:jc w:val="both"/>
        <w:rPr>
          <w:rFonts w:ascii="Times New Roman" w:hAnsi="Times New Roman"/>
          <w:color w:val="0070C0"/>
          <w:sz w:val="16"/>
          <w:szCs w:val="16"/>
        </w:rPr>
      </w:pPr>
    </w:p>
    <w:p w14:paraId="029F04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ноября 1933 к вход. N 48/ок прилагалась программа выпуска самолетов и авиамоторов на военное время в 1934, 1935, 1936:</w:t>
      </w:r>
    </w:p>
    <w:p w14:paraId="296D31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Авиация</w:t>
      </w:r>
    </w:p>
    <w:p w14:paraId="5D1BCB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Утвердить объем выпуска продукции в военное время на 1934, 1935, 1936 в следующих количествах: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gridCol w:w="1878"/>
        <w:gridCol w:w="1878"/>
      </w:tblGrid>
      <w:tr w:rsidR="004E10C1" w:rsidRPr="0044524F" w14:paraId="3DA1AEB6" w14:textId="77777777">
        <w:tc>
          <w:tcPr>
            <w:tcW w:w="1878" w:type="dxa"/>
          </w:tcPr>
          <w:p w14:paraId="0E6587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tc>
        <w:tc>
          <w:tcPr>
            <w:tcW w:w="1878" w:type="dxa"/>
          </w:tcPr>
          <w:p w14:paraId="680778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w:t>
            </w:r>
          </w:p>
        </w:tc>
        <w:tc>
          <w:tcPr>
            <w:tcW w:w="1878" w:type="dxa"/>
          </w:tcPr>
          <w:p w14:paraId="019DB5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w:t>
            </w:r>
          </w:p>
        </w:tc>
        <w:tc>
          <w:tcPr>
            <w:tcW w:w="1878" w:type="dxa"/>
          </w:tcPr>
          <w:p w14:paraId="1A42FF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w:t>
            </w:r>
          </w:p>
        </w:tc>
        <w:tc>
          <w:tcPr>
            <w:tcW w:w="1878" w:type="dxa"/>
          </w:tcPr>
          <w:p w14:paraId="17589D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w:t>
            </w:r>
          </w:p>
        </w:tc>
      </w:tr>
      <w:tr w:rsidR="004E10C1" w:rsidRPr="0044524F" w14:paraId="62463076" w14:textId="77777777">
        <w:tc>
          <w:tcPr>
            <w:tcW w:w="1878" w:type="dxa"/>
          </w:tcPr>
          <w:p w14:paraId="7EB854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09F9B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w:t>
            </w:r>
          </w:p>
        </w:tc>
        <w:tc>
          <w:tcPr>
            <w:tcW w:w="1878" w:type="dxa"/>
          </w:tcPr>
          <w:p w14:paraId="0618E5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439A1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1F36A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3A57A7F" w14:textId="77777777">
        <w:tc>
          <w:tcPr>
            <w:tcW w:w="1878" w:type="dxa"/>
          </w:tcPr>
          <w:p w14:paraId="39BDFF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878" w:type="dxa"/>
          </w:tcPr>
          <w:p w14:paraId="4911DC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878" w:type="dxa"/>
          </w:tcPr>
          <w:p w14:paraId="4D5393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2350</w:t>
            </w:r>
          </w:p>
        </w:tc>
        <w:tc>
          <w:tcPr>
            <w:tcW w:w="1878" w:type="dxa"/>
          </w:tcPr>
          <w:p w14:paraId="1A49E2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1878" w:type="dxa"/>
          </w:tcPr>
          <w:p w14:paraId="1F8EC8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3200</w:t>
            </w:r>
          </w:p>
        </w:tc>
      </w:tr>
      <w:tr w:rsidR="004E10C1" w:rsidRPr="0044524F" w14:paraId="4DA7F449" w14:textId="77777777">
        <w:tc>
          <w:tcPr>
            <w:tcW w:w="1878" w:type="dxa"/>
          </w:tcPr>
          <w:p w14:paraId="3E5930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1878" w:type="dxa"/>
          </w:tcPr>
          <w:p w14:paraId="7EB5F4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878" w:type="dxa"/>
          </w:tcPr>
          <w:p w14:paraId="257CF8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878" w:type="dxa"/>
          </w:tcPr>
          <w:p w14:paraId="465BB7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1878" w:type="dxa"/>
          </w:tcPr>
          <w:p w14:paraId="478ED5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4ADFD242" w14:textId="77777777">
        <w:tc>
          <w:tcPr>
            <w:tcW w:w="1878" w:type="dxa"/>
          </w:tcPr>
          <w:p w14:paraId="3F5375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878" w:type="dxa"/>
          </w:tcPr>
          <w:p w14:paraId="7FC8E5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w:t>
            </w:r>
          </w:p>
        </w:tc>
        <w:tc>
          <w:tcPr>
            <w:tcW w:w="1878" w:type="dxa"/>
          </w:tcPr>
          <w:p w14:paraId="590896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w:t>
            </w:r>
          </w:p>
        </w:tc>
        <w:tc>
          <w:tcPr>
            <w:tcW w:w="1878" w:type="dxa"/>
          </w:tcPr>
          <w:p w14:paraId="399366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878" w:type="dxa"/>
          </w:tcPr>
          <w:p w14:paraId="66CC68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720470BF" w14:textId="77777777">
        <w:tc>
          <w:tcPr>
            <w:tcW w:w="1878" w:type="dxa"/>
          </w:tcPr>
          <w:p w14:paraId="0791FE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6CA1F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328CD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2650</w:t>
            </w:r>
          </w:p>
        </w:tc>
        <w:tc>
          <w:tcPr>
            <w:tcW w:w="1878" w:type="dxa"/>
          </w:tcPr>
          <w:p w14:paraId="1F58A0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1878" w:type="dxa"/>
          </w:tcPr>
          <w:p w14:paraId="260391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r>
      <w:tr w:rsidR="004E10C1" w:rsidRPr="0044524F" w14:paraId="0E523209" w14:textId="77777777">
        <w:tc>
          <w:tcPr>
            <w:tcW w:w="1878" w:type="dxa"/>
          </w:tcPr>
          <w:p w14:paraId="2F6647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1CED3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Бомбардировщики</w:t>
            </w:r>
          </w:p>
        </w:tc>
        <w:tc>
          <w:tcPr>
            <w:tcW w:w="1878" w:type="dxa"/>
          </w:tcPr>
          <w:p w14:paraId="769F2F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3DE6F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175E0E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37E476F" w14:textId="77777777">
        <w:tc>
          <w:tcPr>
            <w:tcW w:w="1878" w:type="dxa"/>
          </w:tcPr>
          <w:p w14:paraId="02562F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878" w:type="dxa"/>
          </w:tcPr>
          <w:p w14:paraId="3F655B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878" w:type="dxa"/>
          </w:tcPr>
          <w:p w14:paraId="2E7D02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1878" w:type="dxa"/>
          </w:tcPr>
          <w:p w14:paraId="0CD7E8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tc>
        <w:tc>
          <w:tcPr>
            <w:tcW w:w="1878" w:type="dxa"/>
          </w:tcPr>
          <w:p w14:paraId="51FDDF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1800</w:t>
            </w:r>
          </w:p>
        </w:tc>
      </w:tr>
      <w:tr w:rsidR="004E10C1" w:rsidRPr="0044524F" w14:paraId="31453D00" w14:textId="77777777">
        <w:tc>
          <w:tcPr>
            <w:tcW w:w="1878" w:type="dxa"/>
          </w:tcPr>
          <w:p w14:paraId="6E8730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878" w:type="dxa"/>
          </w:tcPr>
          <w:p w14:paraId="5349AF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878" w:type="dxa"/>
          </w:tcPr>
          <w:p w14:paraId="4CED9E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1878" w:type="dxa"/>
          </w:tcPr>
          <w:p w14:paraId="52EE80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22C9C2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282BF9A" w14:textId="77777777">
        <w:tc>
          <w:tcPr>
            <w:tcW w:w="1878" w:type="dxa"/>
          </w:tcPr>
          <w:p w14:paraId="484202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878" w:type="dxa"/>
          </w:tcPr>
          <w:p w14:paraId="277983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w:t>
            </w:r>
          </w:p>
        </w:tc>
        <w:tc>
          <w:tcPr>
            <w:tcW w:w="1878" w:type="dxa"/>
          </w:tcPr>
          <w:p w14:paraId="7BB756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878" w:type="dxa"/>
          </w:tcPr>
          <w:p w14:paraId="437CE2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878" w:type="dxa"/>
          </w:tcPr>
          <w:p w14:paraId="28FED0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r>
      <w:tr w:rsidR="004E10C1" w:rsidRPr="0044524F" w14:paraId="2A663DE8" w14:textId="77777777">
        <w:tc>
          <w:tcPr>
            <w:tcW w:w="1878" w:type="dxa"/>
          </w:tcPr>
          <w:p w14:paraId="7CFD53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1878" w:type="dxa"/>
          </w:tcPr>
          <w:p w14:paraId="1D72BC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878" w:type="dxa"/>
          </w:tcPr>
          <w:p w14:paraId="55AE6F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1878" w:type="dxa"/>
          </w:tcPr>
          <w:p w14:paraId="200A7E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878" w:type="dxa"/>
          </w:tcPr>
          <w:p w14:paraId="4DA0BC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1400</w:t>
            </w:r>
          </w:p>
        </w:tc>
      </w:tr>
      <w:tr w:rsidR="004E10C1" w:rsidRPr="0044524F" w14:paraId="1F392831" w14:textId="77777777">
        <w:tc>
          <w:tcPr>
            <w:tcW w:w="1878" w:type="dxa"/>
          </w:tcPr>
          <w:p w14:paraId="2F61C1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1878" w:type="dxa"/>
          </w:tcPr>
          <w:p w14:paraId="543ACC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878" w:type="dxa"/>
          </w:tcPr>
          <w:p w14:paraId="6EBBAF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878" w:type="dxa"/>
          </w:tcPr>
          <w:p w14:paraId="315A46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1878" w:type="dxa"/>
          </w:tcPr>
          <w:p w14:paraId="6F620A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r>
      <w:tr w:rsidR="004E10C1" w:rsidRPr="0044524F" w14:paraId="4BF0FE81" w14:textId="77777777">
        <w:tc>
          <w:tcPr>
            <w:tcW w:w="1878" w:type="dxa"/>
          </w:tcPr>
          <w:p w14:paraId="6EC79E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w:t>
            </w:r>
          </w:p>
        </w:tc>
        <w:tc>
          <w:tcPr>
            <w:tcW w:w="1878" w:type="dxa"/>
          </w:tcPr>
          <w:p w14:paraId="7B07C9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878" w:type="dxa"/>
          </w:tcPr>
          <w:p w14:paraId="74D72B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7D9A71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1878" w:type="dxa"/>
          </w:tcPr>
          <w:p w14:paraId="28EDF5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r>
      <w:tr w:rsidR="004E10C1" w:rsidRPr="0044524F" w14:paraId="7091EB53" w14:textId="77777777">
        <w:tc>
          <w:tcPr>
            <w:tcW w:w="1878" w:type="dxa"/>
          </w:tcPr>
          <w:p w14:paraId="776079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w:t>
            </w:r>
          </w:p>
        </w:tc>
        <w:tc>
          <w:tcPr>
            <w:tcW w:w="1878" w:type="dxa"/>
          </w:tcPr>
          <w:p w14:paraId="4B1387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878" w:type="dxa"/>
          </w:tcPr>
          <w:p w14:paraId="473F79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69317E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878" w:type="dxa"/>
          </w:tcPr>
          <w:p w14:paraId="2AE00E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r>
      <w:tr w:rsidR="004E10C1" w:rsidRPr="0044524F" w14:paraId="507EEEEE" w14:textId="77777777">
        <w:tc>
          <w:tcPr>
            <w:tcW w:w="1878" w:type="dxa"/>
          </w:tcPr>
          <w:p w14:paraId="28FDCE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BE069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5B409F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1020</w:t>
            </w:r>
          </w:p>
        </w:tc>
        <w:tc>
          <w:tcPr>
            <w:tcW w:w="1878" w:type="dxa"/>
          </w:tcPr>
          <w:p w14:paraId="593C67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c>
          <w:tcPr>
            <w:tcW w:w="1878" w:type="dxa"/>
          </w:tcPr>
          <w:p w14:paraId="7D58BE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3720</w:t>
            </w:r>
          </w:p>
        </w:tc>
      </w:tr>
      <w:tr w:rsidR="004E10C1" w:rsidRPr="0044524F" w14:paraId="305985FA" w14:textId="77777777">
        <w:tc>
          <w:tcPr>
            <w:tcW w:w="1878" w:type="dxa"/>
          </w:tcPr>
          <w:p w14:paraId="30A0F8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A7B6F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Истребители</w:t>
            </w:r>
          </w:p>
        </w:tc>
        <w:tc>
          <w:tcPr>
            <w:tcW w:w="1878" w:type="dxa"/>
          </w:tcPr>
          <w:p w14:paraId="5C837A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AF7A3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9467D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0420FEB" w14:textId="77777777">
        <w:tc>
          <w:tcPr>
            <w:tcW w:w="1878" w:type="dxa"/>
          </w:tcPr>
          <w:p w14:paraId="757586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1878" w:type="dxa"/>
          </w:tcPr>
          <w:p w14:paraId="38C850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w:t>
            </w:r>
          </w:p>
        </w:tc>
        <w:tc>
          <w:tcPr>
            <w:tcW w:w="1878" w:type="dxa"/>
          </w:tcPr>
          <w:p w14:paraId="77B5FE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1878" w:type="dxa"/>
          </w:tcPr>
          <w:p w14:paraId="1BF6A3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1878" w:type="dxa"/>
          </w:tcPr>
          <w:p w14:paraId="5FE99D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r w:rsidR="004E10C1" w:rsidRPr="0044524F" w14:paraId="519B09B3" w14:textId="77777777">
        <w:tc>
          <w:tcPr>
            <w:tcW w:w="1878" w:type="dxa"/>
          </w:tcPr>
          <w:p w14:paraId="21696D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1878" w:type="dxa"/>
          </w:tcPr>
          <w:p w14:paraId="649244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1878" w:type="dxa"/>
          </w:tcPr>
          <w:p w14:paraId="5A68A6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310</w:t>
            </w:r>
          </w:p>
        </w:tc>
        <w:tc>
          <w:tcPr>
            <w:tcW w:w="1878" w:type="dxa"/>
          </w:tcPr>
          <w:p w14:paraId="7BD122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878" w:type="dxa"/>
          </w:tcPr>
          <w:p w14:paraId="212989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7C109E39" w14:textId="77777777">
        <w:tc>
          <w:tcPr>
            <w:tcW w:w="1878" w:type="dxa"/>
          </w:tcPr>
          <w:p w14:paraId="43D002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878" w:type="dxa"/>
          </w:tcPr>
          <w:p w14:paraId="1DEE67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1878" w:type="dxa"/>
          </w:tcPr>
          <w:p w14:paraId="5DFC1C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1878" w:type="dxa"/>
          </w:tcPr>
          <w:p w14:paraId="2BDC60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2900</w:t>
            </w:r>
          </w:p>
        </w:tc>
        <w:tc>
          <w:tcPr>
            <w:tcW w:w="1878" w:type="dxa"/>
          </w:tcPr>
          <w:p w14:paraId="407FA6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3600</w:t>
            </w:r>
          </w:p>
        </w:tc>
      </w:tr>
      <w:tr w:rsidR="004E10C1" w:rsidRPr="0044524F" w14:paraId="21CC3F06" w14:textId="77777777">
        <w:tc>
          <w:tcPr>
            <w:tcW w:w="1878" w:type="dxa"/>
          </w:tcPr>
          <w:p w14:paraId="2492E8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2EC1B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6D7BA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2460</w:t>
            </w:r>
          </w:p>
        </w:tc>
        <w:tc>
          <w:tcPr>
            <w:tcW w:w="1878" w:type="dxa"/>
          </w:tcPr>
          <w:p w14:paraId="3D2A65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4300</w:t>
            </w:r>
          </w:p>
        </w:tc>
        <w:tc>
          <w:tcPr>
            <w:tcW w:w="1878" w:type="dxa"/>
          </w:tcPr>
          <w:p w14:paraId="1E724B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r>
      <w:tr w:rsidR="004E10C1" w:rsidRPr="0044524F" w14:paraId="2A25ED30" w14:textId="77777777">
        <w:tc>
          <w:tcPr>
            <w:tcW w:w="1878" w:type="dxa"/>
          </w:tcPr>
          <w:p w14:paraId="339A93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C1403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Учебные</w:t>
            </w:r>
          </w:p>
        </w:tc>
        <w:tc>
          <w:tcPr>
            <w:tcW w:w="1878" w:type="dxa"/>
          </w:tcPr>
          <w:p w14:paraId="36D7C9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F5FD8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AFA94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3BA11AC" w14:textId="77777777">
        <w:tc>
          <w:tcPr>
            <w:tcW w:w="1878" w:type="dxa"/>
          </w:tcPr>
          <w:p w14:paraId="0C0923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1878" w:type="dxa"/>
          </w:tcPr>
          <w:p w14:paraId="55A4CA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w:t>
            </w:r>
          </w:p>
        </w:tc>
        <w:tc>
          <w:tcPr>
            <w:tcW w:w="1878" w:type="dxa"/>
          </w:tcPr>
          <w:p w14:paraId="2E0350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1878" w:type="dxa"/>
          </w:tcPr>
          <w:p w14:paraId="503C46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1878" w:type="dxa"/>
          </w:tcPr>
          <w:p w14:paraId="337B13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r>
      <w:tr w:rsidR="004E10C1" w:rsidRPr="0044524F" w14:paraId="3AF03971" w14:textId="77777777">
        <w:tc>
          <w:tcPr>
            <w:tcW w:w="1878" w:type="dxa"/>
          </w:tcPr>
          <w:p w14:paraId="6444C1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3CC54F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878" w:type="dxa"/>
          </w:tcPr>
          <w:p w14:paraId="787483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8730</w:t>
            </w:r>
          </w:p>
        </w:tc>
        <w:tc>
          <w:tcPr>
            <w:tcW w:w="1878" w:type="dxa"/>
          </w:tcPr>
          <w:p w14:paraId="28D636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11700</w:t>
            </w:r>
          </w:p>
        </w:tc>
        <w:tc>
          <w:tcPr>
            <w:tcW w:w="1878" w:type="dxa"/>
          </w:tcPr>
          <w:p w14:paraId="3CF916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14330</w:t>
            </w:r>
          </w:p>
        </w:tc>
      </w:tr>
      <w:tr w:rsidR="004E10C1" w:rsidRPr="0044524F" w14:paraId="0A85EBEE" w14:textId="77777777">
        <w:tc>
          <w:tcPr>
            <w:tcW w:w="1878" w:type="dxa"/>
          </w:tcPr>
          <w:p w14:paraId="2CD86D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05E442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1878" w:type="dxa"/>
          </w:tcPr>
          <w:p w14:paraId="20CCE5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F8044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6BF0D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7B76D06" w14:textId="77777777">
        <w:tc>
          <w:tcPr>
            <w:tcW w:w="1878" w:type="dxa"/>
          </w:tcPr>
          <w:p w14:paraId="4EB8D1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1878" w:type="dxa"/>
          </w:tcPr>
          <w:p w14:paraId="233A52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878" w:type="dxa"/>
          </w:tcPr>
          <w:p w14:paraId="0F6B59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7500</w:t>
            </w:r>
          </w:p>
        </w:tc>
        <w:tc>
          <w:tcPr>
            <w:tcW w:w="1878" w:type="dxa"/>
          </w:tcPr>
          <w:p w14:paraId="2464B2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9450</w:t>
            </w:r>
          </w:p>
        </w:tc>
        <w:tc>
          <w:tcPr>
            <w:tcW w:w="1878" w:type="dxa"/>
          </w:tcPr>
          <w:p w14:paraId="462D6C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w:t>
            </w:r>
          </w:p>
        </w:tc>
      </w:tr>
      <w:tr w:rsidR="004E10C1" w:rsidRPr="0044524F" w14:paraId="1E16A463" w14:textId="77777777">
        <w:tc>
          <w:tcPr>
            <w:tcW w:w="1878" w:type="dxa"/>
          </w:tcPr>
          <w:p w14:paraId="32DE65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1878" w:type="dxa"/>
          </w:tcPr>
          <w:p w14:paraId="18DE71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878" w:type="dxa"/>
          </w:tcPr>
          <w:p w14:paraId="28B18E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3700</w:t>
            </w:r>
          </w:p>
        </w:tc>
        <w:tc>
          <w:tcPr>
            <w:tcW w:w="1878" w:type="dxa"/>
          </w:tcPr>
          <w:p w14:paraId="3EC6F1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6500</w:t>
            </w:r>
          </w:p>
        </w:tc>
        <w:tc>
          <w:tcPr>
            <w:tcW w:w="1878" w:type="dxa"/>
          </w:tcPr>
          <w:p w14:paraId="71351F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11200</w:t>
            </w:r>
          </w:p>
        </w:tc>
      </w:tr>
      <w:tr w:rsidR="004E10C1" w:rsidRPr="0044524F" w14:paraId="419C89B2" w14:textId="77777777">
        <w:tc>
          <w:tcPr>
            <w:tcW w:w="1878" w:type="dxa"/>
          </w:tcPr>
          <w:p w14:paraId="65AD22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1878" w:type="dxa"/>
          </w:tcPr>
          <w:p w14:paraId="3E2400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878" w:type="dxa"/>
          </w:tcPr>
          <w:p w14:paraId="0626B3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tc>
        <w:tc>
          <w:tcPr>
            <w:tcW w:w="1878" w:type="dxa"/>
          </w:tcPr>
          <w:p w14:paraId="15C145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c>
          <w:tcPr>
            <w:tcW w:w="1878" w:type="dxa"/>
          </w:tcPr>
          <w:p w14:paraId="32A010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4400</w:t>
            </w:r>
          </w:p>
        </w:tc>
      </w:tr>
      <w:tr w:rsidR="004E10C1" w:rsidRPr="0044524F" w14:paraId="0F76693D" w14:textId="77777777">
        <w:tc>
          <w:tcPr>
            <w:tcW w:w="1878" w:type="dxa"/>
          </w:tcPr>
          <w:p w14:paraId="2D5B43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878" w:type="dxa"/>
          </w:tcPr>
          <w:p w14:paraId="214172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878" w:type="dxa"/>
          </w:tcPr>
          <w:p w14:paraId="66E50D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878" w:type="dxa"/>
          </w:tcPr>
          <w:p w14:paraId="7C44E8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1878" w:type="dxa"/>
          </w:tcPr>
          <w:p w14:paraId="7A865B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r>
      <w:tr w:rsidR="004E10C1" w:rsidRPr="0044524F" w14:paraId="0EB93A10" w14:textId="77777777">
        <w:tc>
          <w:tcPr>
            <w:tcW w:w="1878" w:type="dxa"/>
          </w:tcPr>
          <w:p w14:paraId="4CB007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1878" w:type="dxa"/>
          </w:tcPr>
          <w:p w14:paraId="182537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878" w:type="dxa"/>
          </w:tcPr>
          <w:p w14:paraId="66D877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c>
          <w:tcPr>
            <w:tcW w:w="1878" w:type="dxa"/>
          </w:tcPr>
          <w:p w14:paraId="1973E0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1878" w:type="dxa"/>
          </w:tcPr>
          <w:p w14:paraId="0D83A7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r>
      <w:tr w:rsidR="004E10C1" w:rsidRPr="0044524F" w14:paraId="704E42F0" w14:textId="77777777">
        <w:tc>
          <w:tcPr>
            <w:tcW w:w="1878" w:type="dxa"/>
          </w:tcPr>
          <w:p w14:paraId="72F53B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4E62C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878" w:type="dxa"/>
          </w:tcPr>
          <w:p w14:paraId="4D4209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15150</w:t>
            </w:r>
          </w:p>
        </w:tc>
        <w:tc>
          <w:tcPr>
            <w:tcW w:w="1878" w:type="dxa"/>
          </w:tcPr>
          <w:p w14:paraId="7960AE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22350</w:t>
            </w:r>
          </w:p>
        </w:tc>
        <w:tc>
          <w:tcPr>
            <w:tcW w:w="1878" w:type="dxa"/>
          </w:tcPr>
          <w:p w14:paraId="0D1817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29200</w:t>
            </w:r>
          </w:p>
        </w:tc>
      </w:tr>
    </w:tbl>
    <w:p w14:paraId="056AE2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намеченных к выпуску в 1934 моторов М-34 700 шт. идут на неавиационные цели - танки, гидролодки и т.п. (2282,55).</w:t>
      </w:r>
    </w:p>
    <w:p w14:paraId="708AD4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8FC3FB6" w14:textId="77777777" w:rsidR="00335E69" w:rsidRPr="0044524F" w:rsidRDefault="00335E6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ноября 1933</w:t>
      </w:r>
    </w:p>
    <w:p w14:paraId="2024FB2A" w14:textId="77777777" w:rsidR="00335E69" w:rsidRPr="0044524F" w:rsidRDefault="00335E6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Записка ЦКК-НКРКИ на имя председателя СНК и СТО В.М. Молотова «О поставке заводом № 26 Глававиапрома военведу некондиционных авиамоторов» от 19.11.1933 (18627).</w:t>
      </w:r>
    </w:p>
    <w:p w14:paraId="45C45020" w14:textId="77777777" w:rsidR="00335E69" w:rsidRPr="0044524F" w:rsidRDefault="00335E69" w:rsidP="009654CF">
      <w:pPr>
        <w:spacing w:after="0" w:line="240" w:lineRule="auto"/>
        <w:jc w:val="both"/>
        <w:rPr>
          <w:rFonts w:ascii="Times New Roman" w:hAnsi="Times New Roman"/>
          <w:color w:val="000000" w:themeColor="text1"/>
          <w:sz w:val="16"/>
          <w:szCs w:val="16"/>
        </w:rPr>
      </w:pPr>
    </w:p>
    <w:p w14:paraId="1742BB9C" w14:textId="77777777" w:rsidR="0036609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6241D4B" w14:textId="77777777" w:rsidR="00366092" w:rsidRPr="0044524F" w:rsidRDefault="0036609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284CD57"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lastRenderedPageBreak/>
        <w:t>19 ноября</w:t>
      </w:r>
      <w:r w:rsidRPr="0044524F">
        <w:rPr>
          <w:color w:val="000000" w:themeColor="text1"/>
          <w:sz w:val="16"/>
          <w:szCs w:val="16"/>
        </w:rPr>
        <w:t xml:space="preserve"> 1933. Постановление СТО СССР № 113сс/о «О выполнении заказов НКВМ на боеприпасы». (ГА РФ. Ф. Р</w:t>
      </w:r>
      <w:r w:rsidRPr="0044524F">
        <w:rPr>
          <w:color w:val="000000" w:themeColor="text1"/>
          <w:sz w:val="16"/>
          <w:szCs w:val="16"/>
        </w:rPr>
        <w:noBreakHyphen/>
        <w:t>8418. Оп. 28. Д. 3. Л. 38</w:t>
      </w:r>
      <w:r w:rsidRPr="0044524F">
        <w:rPr>
          <w:color w:val="000000" w:themeColor="text1"/>
          <w:sz w:val="16"/>
          <w:szCs w:val="16"/>
        </w:rPr>
        <w:noBreakHyphen/>
        <w:t>56) (15460).</w:t>
      </w:r>
    </w:p>
    <w:p w14:paraId="1BC66FA1" w14:textId="77777777" w:rsidR="00366092" w:rsidRPr="0044524F" w:rsidRDefault="00366092" w:rsidP="009654CF">
      <w:pPr>
        <w:pStyle w:val="rtejustify"/>
        <w:spacing w:before="0" w:after="0"/>
        <w:rPr>
          <w:color w:val="000000" w:themeColor="text1"/>
          <w:sz w:val="16"/>
          <w:szCs w:val="16"/>
        </w:rPr>
      </w:pPr>
    </w:p>
    <w:p w14:paraId="26B531FB" w14:textId="77777777" w:rsidR="000723F3" w:rsidRPr="0044524F" w:rsidRDefault="000723F3" w:rsidP="009654CF">
      <w:pPr>
        <w:pStyle w:val="ae"/>
        <w:shd w:val="clear" w:color="auto" w:fill="FFFFFF"/>
        <w:spacing w:before="0" w:after="0"/>
        <w:jc w:val="both"/>
        <w:rPr>
          <w:color w:val="000000" w:themeColor="text1"/>
          <w:sz w:val="16"/>
          <w:szCs w:val="16"/>
        </w:rPr>
      </w:pPr>
      <w:r w:rsidRPr="0044524F">
        <w:rPr>
          <w:color w:val="000000" w:themeColor="text1"/>
          <w:sz w:val="16"/>
          <w:szCs w:val="16"/>
        </w:rPr>
        <w:t>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44524F">
        <w:rPr>
          <w:iCs/>
          <w:color w:val="000000" w:themeColor="text1"/>
          <w:sz w:val="16"/>
          <w:szCs w:val="16"/>
        </w:rPr>
        <w:t xml:space="preserve"> (17708).</w:t>
      </w:r>
    </w:p>
    <w:p w14:paraId="104B3065"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p>
    <w:p w14:paraId="01975780"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ноября 1933 года на опытный завод, который сформировался на ОКМО, возложили изготовление для Т-29 коробки передач, бортовые передачи и другие элементы трансмиссии. Также широкий ассортимент деталей изготавливался на заводе "Красный Путиловец", в 1934 году ставший Кировским Заводом. Здесь же выпускался и Т-28 (25089).</w:t>
      </w:r>
    </w:p>
    <w:p w14:paraId="26047436" w14:textId="77777777" w:rsidR="00B74B80" w:rsidRPr="00142305" w:rsidRDefault="00B74B80" w:rsidP="00B74B80">
      <w:pPr>
        <w:spacing w:after="0" w:line="240" w:lineRule="auto"/>
        <w:jc w:val="both"/>
        <w:rPr>
          <w:rFonts w:ascii="Times New Roman" w:hAnsi="Times New Roman"/>
          <w:color w:val="0070C0"/>
          <w:sz w:val="16"/>
          <w:szCs w:val="16"/>
        </w:rPr>
      </w:pPr>
    </w:p>
    <w:p w14:paraId="2A9911E8" w14:textId="77777777" w:rsidR="00311F12" w:rsidRPr="00951B40" w:rsidRDefault="00311F12" w:rsidP="00311F12">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19 ноября 1933 г. намор</w:t>
      </w:r>
      <w:r w:rsidRPr="00951B40">
        <w:rPr>
          <w:rStyle w:val="aff"/>
          <w:rFonts w:ascii="Times New Roman" w:hAnsi="Times New Roman" w:cs="Times New Roman"/>
          <w:color w:val="0070C0"/>
          <w:spacing w:val="0"/>
          <w:sz w:val="16"/>
          <w:szCs w:val="16"/>
        </w:rPr>
        <w:softHyphen/>
        <w:t>си В.М. Орловым в задании</w:t>
      </w:r>
      <w:r w:rsidRPr="00951B40">
        <w:rPr>
          <w:rStyle w:val="article-statdate"/>
          <w:rFonts w:ascii="Times New Roman" w:hAnsi="Times New Roman"/>
          <w:color w:val="0070C0"/>
          <w:sz w:val="16"/>
          <w:szCs w:val="16"/>
        </w:rPr>
        <w:t xml:space="preserve"> </w:t>
      </w:r>
      <w:r w:rsidRPr="00951B40">
        <w:rPr>
          <w:rStyle w:val="aff"/>
          <w:rFonts w:ascii="Times New Roman" w:hAnsi="Times New Roman" w:cs="Times New Roman"/>
          <w:color w:val="0070C0"/>
          <w:spacing w:val="0"/>
          <w:sz w:val="16"/>
          <w:szCs w:val="16"/>
        </w:rPr>
        <w:t>на новый катер, который должен был прийти на смену «пятерке» Туполева предусматрива</w:t>
      </w:r>
      <w:r w:rsidRPr="00951B40">
        <w:rPr>
          <w:rStyle w:val="aff"/>
          <w:rFonts w:ascii="Times New Roman" w:hAnsi="Times New Roman" w:cs="Times New Roman"/>
          <w:color w:val="0070C0"/>
          <w:spacing w:val="0"/>
          <w:sz w:val="16"/>
          <w:szCs w:val="16"/>
        </w:rPr>
        <w:softHyphen/>
        <w:t>ло следующее:</w:t>
      </w:r>
    </w:p>
    <w:p w14:paraId="4D50C92C" w14:textId="77777777" w:rsidR="00311F12" w:rsidRPr="00951B40" w:rsidRDefault="00311F12" w:rsidP="00311F12">
      <w:pPr>
        <w:widowControl w:val="0"/>
        <w:tabs>
          <w:tab w:val="left" w:pos="356"/>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возможность производить торпедные атаки при ветре до 6 баллов и волнении до 5 баллов;</w:t>
      </w:r>
    </w:p>
    <w:p w14:paraId="2F42794C" w14:textId="77777777" w:rsidR="00311F12" w:rsidRPr="00951B40" w:rsidRDefault="00311F12" w:rsidP="00311F12">
      <w:pPr>
        <w:widowControl w:val="0"/>
        <w:tabs>
          <w:tab w:val="left" w:pos="363"/>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торпедное вооружение - два 533-мм торпедных аппарата, «сбрасывающих торпеды с бортов катера (по образцу итальянских катеров)»;</w:t>
      </w:r>
    </w:p>
    <w:p w14:paraId="24342A0F" w14:textId="77777777" w:rsidR="00311F12" w:rsidRPr="00951B40" w:rsidRDefault="00311F12" w:rsidP="00311F12">
      <w:pPr>
        <w:widowControl w:val="0"/>
        <w:tabs>
          <w:tab w:val="left" w:pos="363"/>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артвооружение - 20-мм пушка ШВАК и 7,62-мм спаренный пулемет ШКАС на турели. «Пулемет установить в носу в специальном кокпите». Проработать вариант установки 45-мм пушки вместо ШВАК;</w:t>
      </w:r>
    </w:p>
    <w:p w14:paraId="003E45F0" w14:textId="77777777" w:rsidR="00311F12" w:rsidRPr="00951B40" w:rsidRDefault="00311F12" w:rsidP="00311F12">
      <w:pPr>
        <w:widowControl w:val="0"/>
        <w:tabs>
          <w:tab w:val="left" w:pos="363"/>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скорость катера при 6-балльном ветре и 5-балльном волнении не должна падать ниже 40 узлов. Водоизмещение должно быть увеличено, но ширина не превышать 3,6 м для обеспечения железнодорожной транспортабельности. Обводы должны обеспечить незаливаемость катера в ука</w:t>
      </w:r>
      <w:r w:rsidRPr="00951B40">
        <w:rPr>
          <w:rStyle w:val="aff"/>
          <w:rFonts w:ascii="Times New Roman" w:hAnsi="Times New Roman" w:cs="Times New Roman"/>
          <w:color w:val="0070C0"/>
          <w:spacing w:val="0"/>
          <w:sz w:val="16"/>
          <w:szCs w:val="16"/>
        </w:rPr>
        <w:softHyphen/>
        <w:t>занную погоду при движении экономиче</w:t>
      </w:r>
      <w:r w:rsidRPr="00951B40">
        <w:rPr>
          <w:rStyle w:val="aff"/>
          <w:rFonts w:ascii="Times New Roman" w:hAnsi="Times New Roman" w:cs="Times New Roman"/>
          <w:color w:val="0070C0"/>
          <w:spacing w:val="0"/>
          <w:sz w:val="16"/>
          <w:szCs w:val="16"/>
        </w:rPr>
        <w:softHyphen/>
        <w:t>ским ходом;</w:t>
      </w:r>
    </w:p>
    <w:p w14:paraId="700DBC69" w14:textId="77777777" w:rsidR="00311F12" w:rsidRPr="00951B40" w:rsidRDefault="00311F12" w:rsidP="00311F12">
      <w:pPr>
        <w:widowControl w:val="0"/>
        <w:tabs>
          <w:tab w:val="left" w:pos="356"/>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скорость при спокойном море и боевой нагрузке не менее 50 узлов, дальность плавания - 175 миль (3,5 ч движения пол</w:t>
      </w:r>
      <w:r w:rsidRPr="00951B40">
        <w:rPr>
          <w:rStyle w:val="aff"/>
          <w:rFonts w:ascii="Times New Roman" w:hAnsi="Times New Roman" w:cs="Times New Roman"/>
          <w:color w:val="0070C0"/>
          <w:spacing w:val="0"/>
          <w:sz w:val="16"/>
          <w:szCs w:val="16"/>
        </w:rPr>
        <w:softHyphen/>
        <w:t>ным ходом) и возможность для приема</w:t>
      </w:r>
    </w:p>
    <w:p w14:paraId="5A01F923" w14:textId="77777777" w:rsidR="00311F12" w:rsidRPr="00951B40" w:rsidRDefault="00311F12" w:rsidP="00311F12">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топлива в перегруз, которого хватило бы еще на 3,5 ч движения;</w:t>
      </w:r>
    </w:p>
    <w:p w14:paraId="18BF98A5" w14:textId="77777777" w:rsidR="00311F12" w:rsidRPr="00951B40" w:rsidRDefault="00311F12" w:rsidP="00311F12">
      <w:pPr>
        <w:widowControl w:val="0"/>
        <w:tabs>
          <w:tab w:val="left" w:pos="363"/>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в качестве главных двигателей исполь</w:t>
      </w:r>
      <w:r w:rsidRPr="00951B40">
        <w:rPr>
          <w:rStyle w:val="aff"/>
          <w:rFonts w:ascii="Times New Roman" w:hAnsi="Times New Roman" w:cs="Times New Roman"/>
          <w:color w:val="0070C0"/>
          <w:spacing w:val="0"/>
          <w:sz w:val="16"/>
          <w:szCs w:val="16"/>
        </w:rPr>
        <w:softHyphen/>
        <w:t>зовать ГМ-34. Двигатели можно ставить без реверсивных муфт, если проектиров</w:t>
      </w:r>
      <w:r w:rsidRPr="00951B40">
        <w:rPr>
          <w:rStyle w:val="aff"/>
          <w:rFonts w:ascii="Times New Roman" w:hAnsi="Times New Roman" w:cs="Times New Roman"/>
          <w:color w:val="0070C0"/>
          <w:spacing w:val="0"/>
          <w:sz w:val="16"/>
          <w:szCs w:val="16"/>
        </w:rPr>
        <w:softHyphen/>
        <w:t>щики предусмотрят отдельный малый двигатель для маневрирования и экономи</w:t>
      </w:r>
      <w:r w:rsidRPr="00951B40">
        <w:rPr>
          <w:rStyle w:val="aff"/>
          <w:rFonts w:ascii="Times New Roman" w:hAnsi="Times New Roman" w:cs="Times New Roman"/>
          <w:color w:val="0070C0"/>
          <w:spacing w:val="0"/>
          <w:sz w:val="16"/>
          <w:szCs w:val="16"/>
        </w:rPr>
        <w:softHyphen/>
        <w:t>ческого хода.</w:t>
      </w:r>
    </w:p>
    <w:p w14:paraId="094FBF1F" w14:textId="77777777" w:rsidR="00311F12" w:rsidRPr="00951B40" w:rsidRDefault="00311F12" w:rsidP="00311F12">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Что касается материала корпуса, то конструкторам предлагалось проработать четыре варианта:</w:t>
      </w:r>
    </w:p>
    <w:p w14:paraId="5363BF2F" w14:textId="77777777" w:rsidR="00311F12" w:rsidRPr="00951B40" w:rsidRDefault="00311F12" w:rsidP="00311F12">
      <w:pPr>
        <w:widowControl w:val="0"/>
        <w:tabs>
          <w:tab w:val="left" w:pos="542"/>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алюминий;</w:t>
      </w:r>
    </w:p>
    <w:p w14:paraId="34AA4D62" w14:textId="77777777" w:rsidR="00311F12" w:rsidRPr="00951B40" w:rsidRDefault="00311F12" w:rsidP="00311F12">
      <w:pPr>
        <w:widowControl w:val="0"/>
        <w:tabs>
          <w:tab w:val="left" w:pos="360"/>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«магналиевый» (очевидно, магниевый) сплав;</w:t>
      </w:r>
    </w:p>
    <w:p w14:paraId="0467843E" w14:textId="77777777" w:rsidR="00311F12" w:rsidRPr="00951B40" w:rsidRDefault="00311F12" w:rsidP="00311F12">
      <w:pPr>
        <w:widowControl w:val="0"/>
        <w:tabs>
          <w:tab w:val="left" w:pos="360"/>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дерево с незначительным применени</w:t>
      </w:r>
      <w:r w:rsidRPr="00951B40">
        <w:rPr>
          <w:rStyle w:val="aff"/>
          <w:rFonts w:ascii="Times New Roman" w:hAnsi="Times New Roman" w:cs="Times New Roman"/>
          <w:color w:val="0070C0"/>
          <w:spacing w:val="0"/>
          <w:sz w:val="16"/>
          <w:szCs w:val="16"/>
        </w:rPr>
        <w:softHyphen/>
        <w:t>ем металла;</w:t>
      </w:r>
    </w:p>
    <w:p w14:paraId="1248F79F" w14:textId="77777777" w:rsidR="00311F12" w:rsidRPr="00951B40" w:rsidRDefault="00311F12" w:rsidP="00311F12">
      <w:pPr>
        <w:widowControl w:val="0"/>
        <w:tabs>
          <w:tab w:val="left" w:pos="352"/>
        </w:tabs>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смешанный: алюминий и сталь в под</w:t>
      </w:r>
      <w:r w:rsidRPr="00951B40">
        <w:rPr>
          <w:rStyle w:val="aff"/>
          <w:rFonts w:ascii="Times New Roman" w:hAnsi="Times New Roman" w:cs="Times New Roman"/>
          <w:color w:val="0070C0"/>
          <w:spacing w:val="0"/>
          <w:sz w:val="16"/>
          <w:szCs w:val="16"/>
        </w:rPr>
        <w:softHyphen/>
        <w:t>водной части.</w:t>
      </w:r>
    </w:p>
    <w:p w14:paraId="145051FA" w14:textId="77777777" w:rsidR="00311F12" w:rsidRPr="00951B40" w:rsidRDefault="00311F12" w:rsidP="00311F12">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Отмечалось, что в последнем случае скорость могла быть несколько ниже из-за роста водоизмещения.</w:t>
      </w:r>
    </w:p>
    <w:p w14:paraId="686594AC" w14:textId="77777777" w:rsidR="00311F12" w:rsidRPr="00951B40" w:rsidRDefault="00311F12" w:rsidP="00311F12">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За проектирование традиционно взя</w:t>
      </w:r>
      <w:r w:rsidRPr="00951B40">
        <w:rPr>
          <w:rStyle w:val="aff"/>
          <w:rFonts w:ascii="Times New Roman" w:hAnsi="Times New Roman" w:cs="Times New Roman"/>
          <w:color w:val="0070C0"/>
          <w:spacing w:val="0"/>
          <w:sz w:val="16"/>
          <w:szCs w:val="16"/>
        </w:rPr>
        <w:softHyphen/>
        <w:t>лось ЦАГИ. По данным М.Б. Саукке, эскиз</w:t>
      </w:r>
      <w:r w:rsidRPr="00951B40">
        <w:rPr>
          <w:rStyle w:val="aff"/>
          <w:rFonts w:ascii="Times New Roman" w:hAnsi="Times New Roman" w:cs="Times New Roman"/>
          <w:color w:val="0070C0"/>
          <w:spacing w:val="0"/>
          <w:sz w:val="16"/>
          <w:szCs w:val="16"/>
        </w:rPr>
        <w:softHyphen/>
        <w:t>ный проект был представлен на рассмо</w:t>
      </w:r>
      <w:r w:rsidRPr="00951B40">
        <w:rPr>
          <w:rStyle w:val="aff"/>
          <w:rFonts w:ascii="Times New Roman" w:hAnsi="Times New Roman" w:cs="Times New Roman"/>
          <w:color w:val="0070C0"/>
          <w:spacing w:val="0"/>
          <w:sz w:val="16"/>
          <w:szCs w:val="16"/>
        </w:rPr>
        <w:softHyphen/>
        <w:t>трение заказчика в начале августа 1934 г.  (25781).</w:t>
      </w:r>
    </w:p>
    <w:p w14:paraId="1C0574CF" w14:textId="77777777" w:rsidR="00311F12" w:rsidRPr="00951B40" w:rsidRDefault="00311F12" w:rsidP="00311F12">
      <w:pPr>
        <w:spacing w:after="0" w:line="240" w:lineRule="auto"/>
        <w:jc w:val="both"/>
        <w:rPr>
          <w:rFonts w:ascii="Times New Roman" w:hAnsi="Times New Roman"/>
          <w:color w:val="0070C0"/>
          <w:sz w:val="16"/>
          <w:szCs w:val="16"/>
        </w:rPr>
      </w:pPr>
    </w:p>
    <w:p w14:paraId="2F8C4DBC" w14:textId="77777777" w:rsidR="00335E69" w:rsidRPr="0044524F" w:rsidRDefault="00335E69"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48F043B" w14:textId="77777777" w:rsidR="00335E69" w:rsidRPr="0044524F" w:rsidRDefault="00335E6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DA22A97" w14:textId="77777777" w:rsidR="00335E69" w:rsidRPr="0044524F" w:rsidRDefault="00335E6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ноября 1933 г. в газете "Нью-Йорк Тайме" была опубликована большая статья о перспективах торговли с Советским Союзом и о валютной проблеме в отношениях двух государств. Автор статьи Эдвин Джеймс отмечал, что в 1930 г. США экспортировали в СССР товаров на сумму 111 млн долл. И это при отсутствии дипломатических отношений. Теперь наступили более обнадеживающие условия. Однако США, не заинтересованные в импорте советских товаров, не собирались закупать у России пшеницу, нефть, марганец, икру, водку. В то же время автор констатировал, что Германия, Англия и Италия пытаются сбалансировать торговлю с ней и нужно это учитывать. 25 ноября автор передовицы газеты "Джорналоф Коммерс" писал, что контингент и количество товаров, которые США получат из СССР, довольно ограничены, в то время как имелись большие возможности для американского экспорта в СССР (18280).</w:t>
      </w:r>
    </w:p>
    <w:p w14:paraId="0148D6EC" w14:textId="77777777" w:rsidR="00335E69" w:rsidRPr="0044524F" w:rsidRDefault="00335E69" w:rsidP="009654CF">
      <w:pPr>
        <w:spacing w:after="0" w:line="240" w:lineRule="auto"/>
        <w:jc w:val="both"/>
        <w:rPr>
          <w:rFonts w:ascii="Times New Roman" w:hAnsi="Times New Roman"/>
          <w:color w:val="000000" w:themeColor="text1"/>
          <w:sz w:val="16"/>
          <w:szCs w:val="16"/>
        </w:rPr>
      </w:pPr>
    </w:p>
    <w:p w14:paraId="6269DD25"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255C43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F5617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ноября 1933 на парламентских выборах в Испании наибольшее число мест получили правые (СЭДА) (3481).</w:t>
      </w:r>
    </w:p>
    <w:p w14:paraId="24CC89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5C6F7C3"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D1BDD7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0CE29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в НИИ ВВС закончились гос. испытания модифицированного самолета ТБ3-4М17 № 22243, которые проходили с 25 октября по (6636).</w:t>
      </w:r>
    </w:p>
    <w:p w14:paraId="265DC76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76B84AC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Куликов</w:t>
      </w:r>
    </w:p>
    <w:p w14:paraId="1719BE9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Кастанаев</w:t>
      </w:r>
    </w:p>
    <w:p w14:paraId="51B24C8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402D9E9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влияние на летные данные самолета ТБ-3 - увеличения площади крыльев, увеличение размаха, установки обтекателей на стыках крыльев, хвостового оперения и тележках шасси и улучшения обтекания других деталей.</w:t>
      </w:r>
    </w:p>
    <w:p w14:paraId="3129193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0B9F69B"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совершенно необходимым внедрить в серийное производство самолетов ТБ3 улучшение конструкции и обтекаемости, выполненные на самолете ТБ3 № 22243.</w:t>
      </w:r>
    </w:p>
    <w:p w14:paraId="493649B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35C3F8D9" w14:textId="77777777">
        <w:tc>
          <w:tcPr>
            <w:tcW w:w="5636" w:type="dxa"/>
          </w:tcPr>
          <w:p w14:paraId="42B5B35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октября 1933 года</w:t>
            </w:r>
          </w:p>
        </w:tc>
        <w:tc>
          <w:tcPr>
            <w:tcW w:w="5636" w:type="dxa"/>
          </w:tcPr>
          <w:p w14:paraId="4FACDDC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ЦАГИ на испытания.</w:t>
            </w:r>
          </w:p>
        </w:tc>
      </w:tr>
      <w:tr w:rsidR="004E10C1" w:rsidRPr="0044524F" w14:paraId="04DBBA8E" w14:textId="77777777">
        <w:tc>
          <w:tcPr>
            <w:tcW w:w="5636" w:type="dxa"/>
          </w:tcPr>
          <w:p w14:paraId="3A2E7E7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октября 1933 года</w:t>
            </w:r>
          </w:p>
        </w:tc>
        <w:tc>
          <w:tcPr>
            <w:tcW w:w="5636" w:type="dxa"/>
          </w:tcPr>
          <w:p w14:paraId="24B668B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горизонтальных скоростей по мерному километру.</w:t>
            </w:r>
          </w:p>
        </w:tc>
      </w:tr>
      <w:tr w:rsidR="004E10C1" w:rsidRPr="0044524F" w14:paraId="17F95096" w14:textId="77777777">
        <w:tc>
          <w:tcPr>
            <w:tcW w:w="5636" w:type="dxa"/>
          </w:tcPr>
          <w:p w14:paraId="7C90820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года</w:t>
            </w:r>
          </w:p>
        </w:tc>
        <w:tc>
          <w:tcPr>
            <w:tcW w:w="5636" w:type="dxa"/>
          </w:tcPr>
          <w:p w14:paraId="4ED9E37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скороподъемности, потолка, горизонтальных скоростей по высотам, полет на зубцы.</w:t>
            </w:r>
          </w:p>
        </w:tc>
      </w:tr>
    </w:tbl>
    <w:p w14:paraId="52954EF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испытания выполнены за 28 календарных дней, из них полетных дней – 2.</w:t>
      </w:r>
    </w:p>
    <w:p w14:paraId="4503A76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Особенности конструкции самолета, отличающие его от серийных самолетов</w:t>
      </w:r>
    </w:p>
    <w:p w14:paraId="383A31C6"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Увеличена площадь крыльев.</w:t>
      </w:r>
    </w:p>
    <w:p w14:paraId="2B944F79"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 размах крыльев.</w:t>
      </w:r>
    </w:p>
    <w:p w14:paraId="73B9A6ED"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руле направления монтирован управляемый компенсатор типа «Флейтнера».</w:t>
      </w:r>
    </w:p>
    <w:p w14:paraId="3445C75D"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Закрыты обтекателями стыки крыла и фюзеляжа.</w:t>
      </w:r>
    </w:p>
    <w:p w14:paraId="73FDF899"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подножки на правом крыле.</w:t>
      </w:r>
    </w:p>
    <w:p w14:paraId="71370029"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Закрыты обтекателями стыки киля и стабилизатора с фюзеляжем.</w:t>
      </w:r>
    </w:p>
    <w:p w14:paraId="660E2B64"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Закрыты обтекателями стыки капотов моторов с крылом.</w:t>
      </w:r>
    </w:p>
    <w:p w14:paraId="48A376F7"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Переделаны капоты радиаторов – улучшено обтекание их.</w:t>
      </w:r>
    </w:p>
    <w:p w14:paraId="4217C130"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Поставлены обтекатели на тележки колес шасси.</w:t>
      </w:r>
    </w:p>
    <w:p w14:paraId="245B3803"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Поставлены обтекатели на полуоси шасси.</w:t>
      </w:r>
    </w:p>
    <w:p w14:paraId="5A80A24E"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Улучшена обтекаемость носовой турели: обрезы сглажены фанерным покрытием.</w:t>
      </w:r>
    </w:p>
    <w:p w14:paraId="13DF74AA"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Передняя кормовая кабина закрыта наглухо.</w:t>
      </w:r>
    </w:p>
    <w:p w14:paraId="7E8B4790"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каркасы фар и динамо-машины в носке крыла, отверстия заглажены ровными щитками.</w:t>
      </w:r>
    </w:p>
    <w:p w14:paraId="40456D27"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дверцы бомболюков и заменены гладкими щитками.</w:t>
      </w:r>
    </w:p>
    <w:p w14:paraId="4279452A"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Клапан тяги руля высоты в задней части фюзеляжа переставлен вовнутрь.</w:t>
      </w:r>
    </w:p>
    <w:p w14:paraId="415F277C"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Поставлены новые винты конструкции ЦАГИ.</w:t>
      </w:r>
    </w:p>
    <w:p w14:paraId="7A7AA7F8"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подкрыльевые башни (6636).</w:t>
      </w:r>
    </w:p>
    <w:p w14:paraId="4E8AD2D3"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EC6BAB3"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20 ноября</w:t>
      </w:r>
      <w:r w:rsidRPr="0044524F">
        <w:rPr>
          <w:rFonts w:ascii="Times New Roman" w:hAnsi="Times New Roman"/>
          <w:color w:val="000000" w:themeColor="text1"/>
          <w:sz w:val="16"/>
          <w:szCs w:val="16"/>
        </w:rPr>
        <w:t xml:space="preserve"> в 1933 году около Харькова, Украина, СССР, из-за структурного повреждения разбивается «Калинин К-7». Из 20 человек на борту погибает 15 (14836).</w:t>
      </w:r>
    </w:p>
    <w:p w14:paraId="68F53AE5" w14:textId="77777777" w:rsidR="00366092" w:rsidRPr="0044524F" w:rsidRDefault="00366092" w:rsidP="009654CF">
      <w:pPr>
        <w:spacing w:after="0" w:line="240" w:lineRule="auto"/>
        <w:jc w:val="both"/>
        <w:rPr>
          <w:rFonts w:ascii="Times New Roman" w:hAnsi="Times New Roman"/>
          <w:color w:val="000000" w:themeColor="text1"/>
          <w:sz w:val="16"/>
          <w:szCs w:val="16"/>
        </w:rPr>
      </w:pPr>
    </w:p>
    <w:p w14:paraId="22E143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после гос. испытаний, которые проходили в сентябре-ноябре 1933, экипаж л Иванова впервые успешно дозаправил ТБ-3 в воздухе от другого ТБ-3 (1854,11).</w:t>
      </w:r>
    </w:p>
    <w:p w14:paraId="36DAE2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6424B31" w14:textId="77777777" w:rsidR="009F4E71" w:rsidRPr="0044524F" w:rsidRDefault="009F4E71"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20 ноября 1933 удалось провести две успешные дозаправки в воздухе ТБ-3. При этом самолёты выполняли одновременный разворот на 180 градусов, не прекращая перелива топлива </w:t>
      </w:r>
      <w:hyperlink r:id="rId379" w:history="1">
        <w:r w:rsidRPr="0044524F">
          <w:rPr>
            <w:rFonts w:ascii="Times New Roman" w:eastAsia="Times New Roman" w:hAnsi="Times New Roman"/>
            <w:color w:val="000000" w:themeColor="text1"/>
            <w:sz w:val="16"/>
            <w:szCs w:val="16"/>
            <w:lang w:eastAsia="ru-RU"/>
          </w:rPr>
          <w:t>[57]</w:t>
        </w:r>
      </w:hyperlink>
      <w:r w:rsidRPr="0044524F">
        <w:rPr>
          <w:rFonts w:ascii="Times New Roman" w:eastAsia="Times New Roman" w:hAnsi="Times New Roman"/>
          <w:color w:val="000000" w:themeColor="text1"/>
          <w:sz w:val="16"/>
          <w:szCs w:val="16"/>
          <w:lang w:eastAsia="ru-RU"/>
        </w:rPr>
        <w:t xml:space="preserve"> .</w:t>
      </w:r>
    </w:p>
    <w:p w14:paraId="384B5D62" w14:textId="77777777" w:rsidR="009F4E71" w:rsidRPr="0044524F" w:rsidRDefault="009F4E71"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следующий год были намечены войсковые испытания. С этой целью планировалось подготовить двенадцать Р-5 с добавочными баками в фюзеляже и усовершенствованной аппаратурой для дозаправки (необходимо было уменьшить усилия при наматывании шланга на барабан самолёта-заправщика).</w:t>
      </w:r>
    </w:p>
    <w:p w14:paraId="3E4A567D" w14:textId="77777777" w:rsidR="009F4E71" w:rsidRPr="0044524F" w:rsidRDefault="009F4E71"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Но вскоре стало понятно, что использование одномоторного самолёта для дозаправки четырёхмоторного бомбардировщика лишено практического смысла: даже с дополнительным баком Р-5 мог передать не больше 1000 л бензина, что составляло всего около 15 % ёмкости топливных баков ТБ-3. Другое дело, если использовать тяжёлый бомбардировщик не в качестве заправляемого, а как заправщик. Этим и занялась группа Запанованного, работающая теперь в составе военного КБ-1.</w:t>
      </w:r>
    </w:p>
    <w:p w14:paraId="44E4C3BD" w14:textId="77777777" w:rsidR="009F4E71" w:rsidRPr="0044524F" w:rsidRDefault="009F4E71"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Год ушел на проект переделки бомбардировщика в топливозаправщик. В 1935 г. в НИИ ВВС начали работы по установке топливного оборудования на ТБ-3. Внутри фюзеляжа разместили барабан с намотанным на него шлангом.</w:t>
      </w:r>
    </w:p>
    <w:p w14:paraId="17360AB2" w14:textId="77777777" w:rsidR="009F4E71" w:rsidRPr="0044524F" w:rsidRDefault="009F4E71"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Шланг выпускался и втягивался ручной лебедкой через люк в полу, бензин к нему поступал от баков в крыле. Снаружи шланг подкрепили стальными тросами, служащими также для предотвращения опасности возникновения искры из-за разности электрических потенциалов самолётов в момент заправки. В магистраль слива был вмонтирован полуавтоматический клапан, открывавший и закрывавший перетекание топлива. Насоса не было, как и в прежних экспериментах топливо должно выливаться за счёт большей высоты полёта заправщика. Вес заправочного агрегата АЗ-21 равнялся 59 кг.</w:t>
      </w:r>
    </w:p>
    <w:p w14:paraId="0F450AC3" w14:textId="77777777" w:rsidR="009F4E71" w:rsidRPr="0044524F" w:rsidRDefault="009F4E71"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 этот раз планировалось заправлять истребители, чтобы уравнять их дальность с дальностью бомбардировщика, который им предстояло охранять. Для опытов один биплан И-5 и один моноплан И-16 оснастили заливными горловинами с устройствами АЗ-22, выталкивающими шланг после заправки и перекрывающими бензопровод к топливному баку истребителя.</w:t>
      </w:r>
    </w:p>
    <w:p w14:paraId="66BA81E0" w14:textId="77777777" w:rsidR="009F4E71" w:rsidRPr="0044524F" w:rsidRDefault="009F4E71"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«Сначала надо было проверить, — пишет Котельников, — сможет ли пилот истребителя поймать наконечник шланга. Ведь в полёте у него будут заняты обе руки: одной надо держать ручку управления, выдерживая положение под заправщиком, другой — сектор газа, выравнивая скорости. Оставалось только рискнуть, на время отпустив одну из ручек. В первых полётах в январе 1936 г. И-5 пилотировал капитан Соколов. Он тренировался, ловя фал, выпускавшийся из люка в днище фюзеляжа бомбардировщика. Последним управляли капитан Курбан и старший лейтенант Брагин. Задача оказалась нелёгкой, надолго бросить сектор газа не удавалось. Отпустить же ручку на не очень устойчивом И-5 и вовсе было невозможно. Тем не менее пять раз Соколов успешно ловил „грузовую грушу“ на фале. С 11 февраля на И-5 стал летать испытатель С.П. Супрун. Однако старый биплан использовали только для тренировки, хотя он и имел оборудование для перелива (17489).</w:t>
      </w:r>
    </w:p>
    <w:p w14:paraId="1C156091" w14:textId="77777777" w:rsidR="009F4E71" w:rsidRPr="0044524F" w:rsidRDefault="009F4E71" w:rsidP="009654CF">
      <w:pPr>
        <w:spacing w:after="0" w:line="240" w:lineRule="auto"/>
        <w:jc w:val="both"/>
        <w:rPr>
          <w:rFonts w:ascii="Times New Roman" w:eastAsia="Times New Roman" w:hAnsi="Times New Roman"/>
          <w:color w:val="000000" w:themeColor="text1"/>
          <w:sz w:val="16"/>
          <w:szCs w:val="16"/>
          <w:lang w:eastAsia="ru-RU"/>
        </w:rPr>
      </w:pPr>
    </w:p>
    <w:p w14:paraId="179A3122" w14:textId="77777777" w:rsidR="00130484" w:rsidRPr="0044524F" w:rsidRDefault="001304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была проведена первая успешная дозаправка в воздухе ТБ-3 с горловиной для дозаправки перед верхними фюзеляжными турелями, и. В качестве танкера использовался Р-5 первой серии, на котором были установлены лебедки с бронированным (т.е. имеющим защитную металлическую оплетку) шлангом, который стабилизировался тяжелой «грузовой грушей» на конце Затем в дополнение к одномоторным Р-5 были сделаны и самолеты-заправщики на базе ТБ-1 и ТБ-3.</w:t>
      </w:r>
    </w:p>
    <w:p w14:paraId="115B9443" w14:textId="77777777" w:rsidR="00130484" w:rsidRPr="0044524F" w:rsidRDefault="0013048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Опыты продолжались до 1936 г., главной причиной их прекращения было появление в СССР нового класса стратегических самолетов — скоростных и высотных дальних бомбардировщиков. Двухмоторный самолет ДБ-3 с дальностью полета 4000 км мог бомбить основные цели в Германии и Японии и без дозаправки в воздухе. Но в годы Отечественной войны о ней пришлось вспомнить (23013).</w:t>
      </w:r>
    </w:p>
    <w:p w14:paraId="01537695" w14:textId="77777777" w:rsidR="00130484" w:rsidRPr="0044524F" w:rsidRDefault="00130484" w:rsidP="009654CF">
      <w:pPr>
        <w:spacing w:after="0" w:line="240" w:lineRule="auto"/>
        <w:jc w:val="both"/>
        <w:rPr>
          <w:rFonts w:ascii="Times New Roman" w:hAnsi="Times New Roman"/>
          <w:color w:val="000000" w:themeColor="text1"/>
          <w:sz w:val="16"/>
          <w:szCs w:val="16"/>
        </w:rPr>
      </w:pPr>
    </w:p>
    <w:p w14:paraId="7B266D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экипаж летчика Иванова впервые успешно дозаправил свой ТБ-3 с Р-5, который выступал в качестве танкера. С Р-5 ручной лебедкой выпускался бронированный шланг, на конце которого висела -грузовая груша» - попросту увесистая гиря. Дозаправлялся ТБ-3 с моторами М-17. Приемная горловина на бомбардировщике размещалась на фюзеляже перед турелями Тур-5, от нее шла разводка к крыльевым бакам. Бензин с танкера поступал самотеком - заправщик просто шел несколько выше заправляемого самолета. Доработку Р-5 и ТБ-3 осуществлял завод №39. «Грузовую грушу» ловили сразу два стрелка - один не мог удержать бьющийся на ветру шланг. Впоследствии бомбардировщик Туполева сам стал танкером. С него заправлялись в полете истребители И-5, а затем и куда более скоростные И-16. На ТБ-3Р монтировался комплект АЗ-21 весом 59,3 кг, на истребителе - АЗ-22 (примная горловина и автоматический отсекающий клапан). Всего переоборудовали два ТБ-3Р (9807).</w:t>
      </w:r>
    </w:p>
    <w:p w14:paraId="0C4849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C396E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экипаж летчика Иванова впервые успешно дозаправил свой ТБ-3. Дозаправлялся самолет одной из ранних серий с моторами М-17. Приемная горловина на бомбардировщике размещалась на фюзеляже перед турелями Тур-5, от нее шла разводка к крыльевым бакам. Доработку ТБ-3 осуществлял завод № 39. Но для него бензин, сливавшийся с переоборудованного разведчика, был "каплей в море". Альтернативно рассматривали другие типы самолетов. На роль "бензиноносца" примеряли ТБ-1, пассажирские трехмоторный АНТ-9 и пятимоторный АНТ-14. Проект переделки АНТ-9 в танкер разрабатывался в Осконбюро ВВС, руководимом П.И. Гроховским. В эту организацию влилась группа Запанованного, которая фактически и вела конструирование. Параллельно там же делали проект доработки ТБ-1. По АНТ-14 сделали только самые прикидочные расчеты; эта машина предназначалась для снабжения горючим в воздухе шестимоторного бомбардировщика ТБ-4. В проекте самолета Г-1 (Д-1) предусматривался вариант "танкера сопровождения". Последний должен был лететь в составе соединения, подпитывая бензином тяжелые бомбовозы и сопровождающие их "крейсера". Г-1 мог дозаправить в одном вылете, например, две с половиной эскадрильи "крейсеров" Р-6 - три десятка машин. По-видимому, на "танкере" предусматривалась не одна, а две линии заправки с одинаковым оборудованием. Но все это остаюсь лишь в проектах. Вариант заправщика предлагал и B.C. Вахмистров для своей "авиаматки" - огромного "летающего крыла", прорисованного автором в эскизах.</w:t>
      </w:r>
    </w:p>
    <w:p w14:paraId="52598F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Несколько дальше ушли с превращением в танкер бомбардировщика ТБ-3. Его грузоподъемность и габариты позволяли взять немало дополнительного горючего. Группа Запанованного, которая при передаче Осконбюро Нарком- тяжпрому перешла в состав военного КБ-1, выполнила один за другим несколько подобных проектов. С каждым разом оборудование становилось легче и надежнее. Но в связи с крайней дефицитностью ТБ-3 до реализации дело дошло лишь в 1935 г. В НИИ ВВС переоборудовали два самолета - № 22610 и № 22464, оба с моторами М-34Р. Шланг-дюрит был намотан на барабан, располагавшийся в хвостовой части фюзеляжа. Он выпускался и втягивался ручной лебедкой через люк в полу за кабиной радиста. Шланг снаружи армировался стальными тросами - как для повышения прочности, так и для выравнивания потенциалов. Бензин для перелива браш из средних центропланных баков. Между 3-м и 4-м шпангоутами Ф-3 бомбардировщика находился полуавтомат перелива, открывавший и закрывавший магистраль. Насоса не было; топливо, как и ранее, переливалось под воздействием собственного веса. Общий вес комплекта АЗ-21 на ТБ-3 равнялся 59,32 кг.</w:t>
      </w:r>
    </w:p>
    <w:p w14:paraId="50D9F8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Конструкцию КБ-1 одобрили. Отчет НИИ ВВС рекомендовал изготовить серию комплектов для дозаправки. Ознакомившийся с отчетом начальник ВВС РККА Я.И. Алк- снис наложил резолюцию: "Провести войсковые испытания на трех ТБ-3". Но никаких следов дальнейших работ по дозаправке в довоенный период мне найти не удалось. Что было этому причиной? Возможно, быстрый рост скоростей самолетов. Все эксперименты с системами Запано- ванного велись на скоростях не более 200 км/ч, шланг ловили руками из открытых кабин. При больших скоростях это стало невозможно, кроме того, кабины закрыли фонарями, стрелковые установки - экранами (12036).</w:t>
      </w:r>
    </w:p>
    <w:p w14:paraId="551758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366A454"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ноября 1933 г. экипаж летчика Иванова впер</w:t>
      </w:r>
      <w:r w:rsidRPr="00142305">
        <w:rPr>
          <w:rFonts w:ascii="Times New Roman" w:hAnsi="Times New Roman"/>
          <w:color w:val="0070C0"/>
          <w:sz w:val="16"/>
          <w:szCs w:val="16"/>
        </w:rPr>
        <w:softHyphen/>
        <w:t>вые успешно дозаправил свой ТБ-3 в воздухе от Р-5 (24937).</w:t>
      </w:r>
    </w:p>
    <w:p w14:paraId="33BB004F" w14:textId="77777777" w:rsidR="00B74B80" w:rsidRPr="00142305" w:rsidRDefault="00B74B80" w:rsidP="00B74B80">
      <w:pPr>
        <w:spacing w:after="0" w:line="240" w:lineRule="auto"/>
        <w:jc w:val="both"/>
        <w:rPr>
          <w:rFonts w:ascii="Times New Roman" w:hAnsi="Times New Roman"/>
          <w:color w:val="0070C0"/>
          <w:sz w:val="16"/>
          <w:szCs w:val="16"/>
        </w:rPr>
      </w:pPr>
    </w:p>
    <w:p w14:paraId="7BA049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4524F" w14:paraId="613503CA" w14:textId="77777777">
        <w:tc>
          <w:tcPr>
            <w:tcW w:w="3757" w:type="dxa"/>
          </w:tcPr>
          <w:p w14:paraId="4F36D9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w:t>
            </w:r>
          </w:p>
        </w:tc>
        <w:tc>
          <w:tcPr>
            <w:tcW w:w="3757" w:type="dxa"/>
          </w:tcPr>
          <w:p w14:paraId="063456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Глававиапром</w:t>
            </w:r>
          </w:p>
        </w:tc>
        <w:tc>
          <w:tcPr>
            <w:tcW w:w="3757" w:type="dxa"/>
          </w:tcPr>
          <w:p w14:paraId="20E736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Объединенное бюро стандартизации (ОБСА)</w:t>
            </w:r>
          </w:p>
        </w:tc>
      </w:tr>
      <w:tr w:rsidR="004E10C1" w:rsidRPr="0044524F" w14:paraId="175E63BB" w14:textId="77777777">
        <w:tc>
          <w:tcPr>
            <w:tcW w:w="3757" w:type="dxa"/>
          </w:tcPr>
          <w:p w14:paraId="49DF36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Авиационный стандарт</w:t>
            </w:r>
          </w:p>
        </w:tc>
        <w:tc>
          <w:tcPr>
            <w:tcW w:w="3757" w:type="dxa"/>
          </w:tcPr>
          <w:p w14:paraId="133E59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СТУ</w:t>
            </w:r>
          </w:p>
        </w:tc>
        <w:tc>
          <w:tcPr>
            <w:tcW w:w="3757" w:type="dxa"/>
          </w:tcPr>
          <w:p w14:paraId="5A0546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FC997B2" w14:textId="77777777">
        <w:tc>
          <w:tcPr>
            <w:tcW w:w="3757" w:type="dxa"/>
          </w:tcPr>
          <w:p w14:paraId="1B24B7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ХАИ 1М-22</w:t>
            </w:r>
          </w:p>
        </w:tc>
        <w:tc>
          <w:tcPr>
            <w:tcW w:w="3757" w:type="dxa"/>
          </w:tcPr>
          <w:p w14:paraId="6A9052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w:t>
            </w:r>
          </w:p>
        </w:tc>
        <w:tc>
          <w:tcPr>
            <w:tcW w:w="3757" w:type="dxa"/>
          </w:tcPr>
          <w:p w14:paraId="3DB264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4590B0D" w14:textId="77777777">
        <w:tc>
          <w:tcPr>
            <w:tcW w:w="3757" w:type="dxa"/>
          </w:tcPr>
          <w:p w14:paraId="73CD73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w:t>
            </w:r>
          </w:p>
        </w:tc>
        <w:tc>
          <w:tcPr>
            <w:tcW w:w="3757" w:type="dxa"/>
          </w:tcPr>
          <w:p w14:paraId="2BCBA4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E8160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1-е издание (3100)</w:t>
            </w:r>
          </w:p>
        </w:tc>
      </w:tr>
    </w:tbl>
    <w:p w14:paraId="67099C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года был подготовлен Отчет по гос. испытаниям ж/д торпед ЖДТ-1 и ЖДТ-3 системы Бродского, изготовленных КБ N 5 УВИ НВ РККА, предназначаемые для поражения ж/д составов, бронепоездов и мостов при воздушно-десантных операциях</w:t>
      </w:r>
    </w:p>
    <w:p w14:paraId="76C036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Земные испытания начались - 2 октября 1933 года</w:t>
      </w:r>
    </w:p>
    <w:p w14:paraId="46F619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Земные испытания закончились - 15 октября 1933 года</w:t>
      </w:r>
    </w:p>
    <w:p w14:paraId="6A4955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Подготовка к воздушным испытаниям велась непрерывно до 15 ноября</w:t>
      </w:r>
    </w:p>
    <w:p w14:paraId="1A6B4C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 испытаний - предварительных земных и воздушных в Москве</w:t>
      </w:r>
    </w:p>
    <w:p w14:paraId="2168EC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Земных испытаний - в Ильино на научно-испытательном ж/д полигоне</w:t>
      </w:r>
    </w:p>
    <w:p w14:paraId="513858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799C9A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возможность применения указанных торпед ЖДТ-1 (ЖДТ-3) при десантных операциях для разрушения ж/д составов, бронепоездов, путей и мостов, в частности:</w:t>
      </w:r>
    </w:p>
    <w:p w14:paraId="07CE08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Удобство подвески торпед под самолетом (с использованием существующих держателей на самолете).</w:t>
      </w:r>
    </w:p>
    <w:p w14:paraId="061FC6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Установку на ж/д полотно после падения и потребное число обслуживающего персонала.</w:t>
      </w:r>
    </w:p>
    <w:p w14:paraId="0C19DB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Техническое устройство торпед (действие механизмов).</w:t>
      </w:r>
    </w:p>
    <w:p w14:paraId="570E0A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 Устойчивость торпед в пути (при разных закруглениях профиля пути).</w:t>
      </w:r>
    </w:p>
    <w:p w14:paraId="50C399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Среднюю скорость передвижения торпеды по ж/д полотну и ее максимальный радиус действия.</w:t>
      </w:r>
    </w:p>
    <w:p w14:paraId="7AF3EF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Характер разрушительного действия торпеды (ЖДТ-3).</w:t>
      </w:r>
    </w:p>
    <w:p w14:paraId="7B3EF2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Полученные результаты должны дать возможность судить о целесообразности производства войсковых испытаний и дать конструктивные изменения, которые должны быть внесены в этом случае.</w:t>
      </w:r>
    </w:p>
    <w:p w14:paraId="38E34D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032B3C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ЖДТ-1 и ЖДТ-3 испытания выдержали. Необходимо произвести войсковые испытания (3853).</w:t>
      </w:r>
    </w:p>
    <w:p w14:paraId="2CBE0F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267DF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года врио начальника СНИИ Рафаэлянц писал письмо № 61021 начальнику ГУГУВФ Уншлихту (через начальника НТУ Грозу)</w:t>
      </w:r>
    </w:p>
    <w:p w14:paraId="35EAC1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Докладная записка</w:t>
      </w:r>
    </w:p>
    <w:p w14:paraId="0A02D6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СНИИ организован осенью 1930 года, направление и характер своей деятельности получил на 1-й Всесоюзной конференции работников ГВФ в феврале 1931 года.</w:t>
      </w:r>
    </w:p>
    <w:p w14:paraId="29F0F0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B481F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СНИИ состоит из отделов:</w:t>
      </w:r>
    </w:p>
    <w:p w14:paraId="38E184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Эксплуатационно-технического</w:t>
      </w:r>
    </w:p>
    <w:p w14:paraId="3EB16D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Опытного самолетостроения</w:t>
      </w:r>
    </w:p>
    <w:p w14:paraId="37BB8E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Строительства глиссеров и аэросаней</w:t>
      </w:r>
    </w:p>
    <w:p w14:paraId="31444E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Вспомогательные</w:t>
      </w:r>
    </w:p>
    <w:p w14:paraId="24883C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работы выполненные уже и ведущиеся СНИИ:</w:t>
      </w:r>
    </w:p>
    <w:p w14:paraId="197DD4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Произведены испытания и дана оценка и конструктивный материал по самолетам К-4, К-5, К-8, К-10, АНТ-9 с 3-мя М-26, АНТ-9 с 2-мя М-17, С-2, С-3, АИР-4, АИР-6, НИАИ-1, НИАИ-4, АНТ-14 и др. Переоборудован самолет АНТ-9 под 2 М-17 и введен в серию в связи со снятием мотора М-26 со снабжения.</w:t>
      </w:r>
    </w:p>
    <w:p w14:paraId="0B52CD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Сконструированы и изготовлены и пущены в воздух самолеты: С-2, С-6, ОСГА-101, сконструировано механизированное крыло на АИР-4, построен ИТ-9. Выполняется ДАР, Щ-5, Геликожир и проектируются С-7 и Гидро № 1.</w:t>
      </w:r>
    </w:p>
    <w:p w14:paraId="02A742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65A563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Предложения:</w:t>
      </w:r>
    </w:p>
    <w:p w14:paraId="14F62F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создать единый эксплуатационный институт ГВФ наподобие НИИ ВВС в составе отделов самолетного, моторного, спецслужб, аэродромного и наземного оборудования.</w:t>
      </w:r>
    </w:p>
    <w:p w14:paraId="4386FE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НИИ должен быть единый летный отряд ……………………</w:t>
      </w:r>
    </w:p>
    <w:p w14:paraId="2CDBAF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Опытное строительство самолетов и моторов должно быть выведено отдельно и связано с производственной базой (например завод № 81 или № 82) (7738, 119-117).</w:t>
      </w:r>
    </w:p>
    <w:p w14:paraId="02F736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0F21487"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20 ноября</w:t>
      </w:r>
      <w:r w:rsidRPr="0044524F">
        <w:rPr>
          <w:color w:val="000000" w:themeColor="text1"/>
          <w:sz w:val="16"/>
          <w:szCs w:val="16"/>
        </w:rPr>
        <w:t xml:space="preserve"> 1933. Постановление СТО СССР № 114сс/о «О закупке морских моторов авиационного типа». (ГА РФ. Ф. Р</w:t>
      </w:r>
      <w:r w:rsidRPr="0044524F">
        <w:rPr>
          <w:color w:val="000000" w:themeColor="text1"/>
          <w:sz w:val="16"/>
          <w:szCs w:val="16"/>
        </w:rPr>
        <w:noBreakHyphen/>
        <w:t>8418. Оп. 28. Д. 3. Л. 57) (15460).</w:t>
      </w:r>
    </w:p>
    <w:p w14:paraId="420A64F3" w14:textId="77777777" w:rsidR="00366092" w:rsidRPr="0044524F" w:rsidRDefault="00366092" w:rsidP="009654CF">
      <w:pPr>
        <w:pStyle w:val="rtejustify"/>
        <w:spacing w:before="0" w:after="0"/>
        <w:rPr>
          <w:color w:val="000000" w:themeColor="text1"/>
          <w:sz w:val="16"/>
          <w:szCs w:val="16"/>
        </w:rPr>
      </w:pPr>
    </w:p>
    <w:p w14:paraId="23CF89F5"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20 ноября 1933 вышел приказ НКТП № 219с.</w:t>
      </w:r>
      <w:r w:rsidRPr="0044524F">
        <w:rPr>
          <w:color w:val="000000" w:themeColor="text1"/>
          <w:sz w:val="16"/>
          <w:szCs w:val="16"/>
        </w:rPr>
        <w:t xml:space="preserve"> О мерах по обеспечению основных договоров на 1934 г. с НКВМ СССР по снарядам и авиабомбам чертежами и техническими условиями. (РГАЭ. Ф. 7297. Оп. 38. Д. 38. Л. 192</w:t>
      </w:r>
      <w:r w:rsidRPr="0044524F">
        <w:rPr>
          <w:color w:val="000000" w:themeColor="text1"/>
          <w:sz w:val="16"/>
          <w:szCs w:val="16"/>
        </w:rPr>
        <w:noBreakHyphen/>
        <w:t>191) (15246).</w:t>
      </w:r>
    </w:p>
    <w:p w14:paraId="6BEC4103" w14:textId="77777777" w:rsidR="00366092" w:rsidRPr="0044524F" w:rsidRDefault="00366092" w:rsidP="009654CF">
      <w:pPr>
        <w:pStyle w:val="rtejustify"/>
        <w:spacing w:before="0" w:after="0"/>
        <w:rPr>
          <w:color w:val="000000" w:themeColor="text1"/>
          <w:sz w:val="16"/>
          <w:szCs w:val="16"/>
        </w:rPr>
      </w:pPr>
    </w:p>
    <w:p w14:paraId="6186F5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г. приказом Наркомата тяжелой промышленности СССР был создан Всесоюзный научно-исследовательский институт газа и искусственного жидкого топлива (ВНИГИ) Министерства нефтяной промышленности СССР, г. Москва, 1933 - 1954. Всесоюзный научно-исследовательский институт газа и искусственного жидкого топлива (ВНИГИ). Приказом Министерства нефтяной промышленности СССР от 15 ноября 1954 г. ВНИГИ был объединен с ВНИИТнефть и ЦИАТИМ (12102).</w:t>
      </w:r>
    </w:p>
    <w:p w14:paraId="11756DDE" w14:textId="77777777" w:rsidR="00366092" w:rsidRPr="0044524F" w:rsidRDefault="0036609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1049073"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7266B7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7F565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20 ноября по 15 декабря 1933 года в ходе испытаний на НИАП из 100-мм зенитной пушки было сделано 13 выстрелов (всего с начала испытаний 25) лафето-пробным снарядом чертежа 4472 весом 15,6 кг. Заряд нормальный 5,№ кг 23/1 НГВ + 80 гр. воспламенителя. При этом были получены: начальная скорость 875882 м/с и длина отката 570-620 мм. На испытаниях подъемный механизм сдавал при угле возвышения 0 на 13-16 и при угле +45 +60 на 57. Отмечена плохая работа полуавтоматики и противооткатных устройств. Досылатель переделывали два раза, но удовлетворительной работы его достигнуть не удалось. После этих испытаний Б-14 была отправлена на завод "Большевик" для исправления полуавтоматики и противооткатных устройств (3861).</w:t>
      </w:r>
    </w:p>
    <w:p w14:paraId="4C563F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3CB1781" w14:textId="77777777" w:rsidR="0036609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41517579" w14:textId="77777777" w:rsidR="00366092" w:rsidRPr="0044524F" w:rsidRDefault="0036609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D1472F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20 ноября</w:t>
      </w:r>
      <w:r w:rsidRPr="0044524F">
        <w:rPr>
          <w:rFonts w:ascii="Times New Roman" w:hAnsi="Times New Roman"/>
          <w:color w:val="000000" w:themeColor="text1"/>
          <w:sz w:val="16"/>
          <w:szCs w:val="16"/>
        </w:rPr>
        <w:t xml:space="preserve"> в 1933 году председатель ЦИК СССР М.И.Калинин в связи с установлением дипломатических отношений между СССР и США обратился по радио к американскому народу (14836).</w:t>
      </w:r>
    </w:p>
    <w:p w14:paraId="448BE0B9" w14:textId="77777777" w:rsidR="00366092" w:rsidRPr="0044524F" w:rsidRDefault="00366092" w:rsidP="009654CF">
      <w:pPr>
        <w:spacing w:after="0" w:line="240" w:lineRule="auto"/>
        <w:jc w:val="both"/>
        <w:rPr>
          <w:rFonts w:ascii="Times New Roman" w:hAnsi="Times New Roman"/>
          <w:color w:val="000000" w:themeColor="text1"/>
          <w:sz w:val="16"/>
          <w:szCs w:val="16"/>
        </w:rPr>
      </w:pPr>
    </w:p>
    <w:p w14:paraId="4538F572"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52CE0E5"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48C6648" w14:textId="77777777" w:rsidR="00C50515" w:rsidRPr="0044524F" w:rsidRDefault="00C5051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поднявшись из Akron муниципального аэропорта в городе Акрон, штат Огайо , США ВМС капитан - лейтенант Томас GW Settle и Корпус морской пехоты США майор Честер Л. Fordney установил новый официальный мировой рекорд высоты для полета человека в шаре "Век прогресса», достигнув 61 237 футов (18 665 метров) перед приземлением возле Бриджитона, штат Нью-Джерси. Высота на 993 фута (303 метра) ниже, чем у советского аэростата СССР-1 в сентябре, но Международная авиационная федерация (FAI) не признала советский рекорд, потому что Советский Союз не является страной-членом FAI (20802).</w:t>
      </w:r>
    </w:p>
    <w:p w14:paraId="393C9DB1" w14:textId="77777777" w:rsidR="00C50515" w:rsidRPr="0044524F" w:rsidRDefault="00C50515" w:rsidP="009654CF">
      <w:pPr>
        <w:spacing w:after="0" w:line="240" w:lineRule="auto"/>
        <w:jc w:val="both"/>
        <w:rPr>
          <w:rFonts w:ascii="Times New Roman" w:hAnsi="Times New Roman"/>
          <w:color w:val="000000" w:themeColor="text1"/>
          <w:sz w:val="16"/>
          <w:szCs w:val="16"/>
        </w:rPr>
      </w:pPr>
    </w:p>
    <w:p w14:paraId="15BC79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20 ноября 1933 по 6 января 1934 было восстание 19 Гоминдановской армии в провинции Фунцзянь (2443,408).</w:t>
      </w:r>
    </w:p>
    <w:p w14:paraId="7A9961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9377B4D"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0822433"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BB369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ноября 1933 был назначен 10 полет К-7 и хотели измерить скорость. Была суббота и К.А.К. поехал с О.Вишней на охоту, а руководил зам. - А.Я.Щербаков. Якобы К.А.К. запретил полеты, но без него приехал представитель Главка и потребовал повторного полета на мерный километр, так как по скорости и скороподъемности не дотягивали. С воздуха все снимал К-5 и был еще один К-5, пилотируемый В.О.Борисовым с А.Я.Щербаковым на борту. Взлетели в 14:35. На третьем проходе, когда дали пол газам, клюнул носом и под углом 30-40 гр. на максимальной скорости врезался в землю, так как из-за разрыва нижнего лонжерона левой хвостовой фермы заклинило управление. При ударе подпрыгнул и проскочив 50 м загорелся (70,237).</w:t>
      </w:r>
    </w:p>
    <w:p w14:paraId="5CD8D8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602C8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ноября 1933 состоялся полет К-7 над мерной базой, который несколько раз переносили из-за плохой погоды. На борту гиганта находились 20 человек. На полном газу машина прошла первый створ. При высоких оборотах моторов и ранее наблюдался бафтинг хвостовых балок. По показаниям очевидцев, было слышно, как лопнула труба лонжерона левой балки. Ее разошедшиеся концы зажали управление рулем высоты. В 5 км от аэродрома К-7 клюнул носом и пошел к земле под углом около 40 градусов. При ударе сначала разлетелось шасси, затем машина ударилась носом фюзеляжа о землю. Шасси и переднюю гондолу подмяло под крыло. Начался пожар, взорвались бензобаки. Вся полотняная обшивка крыла быстро сгорела. Через несколько минут рядом совершили посадку два самолета сопровождения, подъехали автомобили. Три члена экипажа смогли вылезти сами, еще четверых живых вытащили спасатели, но двое умерли по дороге в больницу. В общей сложности пятнадцать человек, включая командира самолета, погибли.</w:t>
      </w:r>
    </w:p>
    <w:p w14:paraId="33DD67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Расследовавшая катастрофу комиссия под председательством заместителя начальника штаба ВВС В.К. Лаврова пришла к выводу, что основной причиной явилась ранее не запланированная установка седьмого мотора, которая создавала сильное вихреобразование на хвостовом оперении, усугубляемое воздействием вынесенных на длинных балках серворулей и недостаточной жесткостью ферм. В акте записано: "Катастрофа самолета К-7 произошла из-за потери управляемости самолета в продольном направлении, что было вызвано деформацией хвостовой части самолета". Сам же Калинин говорил о диверсии, приведшей к гибели гиганта (12036).</w:t>
      </w:r>
    </w:p>
    <w:p w14:paraId="4FEB2B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59AC5DD"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ноября 1933 г. состоялся полет К-7 над мерной базой, который несколько раз переносили из-за плохой погоды. На борту гиганта находились 20 че</w:t>
      </w:r>
      <w:r w:rsidRPr="00142305">
        <w:rPr>
          <w:rFonts w:ascii="Times New Roman" w:hAnsi="Times New Roman"/>
          <w:color w:val="0070C0"/>
          <w:sz w:val="16"/>
          <w:szCs w:val="16"/>
        </w:rPr>
        <w:softHyphen/>
        <w:t>ловек. На полном газу машина прошла первый створ. При высоких оборотах моторов и ранее наблюдался бафтинг хвостовых балок. По показаниям очевидцев, было слышно, как лопнула труба лонжерона левой балки. Ее разошедши</w:t>
      </w:r>
      <w:r w:rsidRPr="00142305">
        <w:rPr>
          <w:rFonts w:ascii="Times New Roman" w:hAnsi="Times New Roman"/>
          <w:color w:val="0070C0"/>
          <w:sz w:val="16"/>
          <w:szCs w:val="16"/>
        </w:rPr>
        <w:softHyphen/>
        <w:t>еся концы зажали управление рулем высоты. В 5 км от аэ</w:t>
      </w:r>
      <w:r w:rsidRPr="00142305">
        <w:rPr>
          <w:rFonts w:ascii="Times New Roman" w:hAnsi="Times New Roman"/>
          <w:color w:val="0070C0"/>
          <w:sz w:val="16"/>
          <w:szCs w:val="16"/>
        </w:rPr>
        <w:softHyphen/>
        <w:t>родрома К-7 клюнул носом и пошел к земле под углом око</w:t>
      </w:r>
      <w:r w:rsidRPr="00142305">
        <w:rPr>
          <w:rFonts w:ascii="Times New Roman" w:hAnsi="Times New Roman"/>
          <w:color w:val="0070C0"/>
          <w:sz w:val="16"/>
          <w:szCs w:val="16"/>
        </w:rPr>
        <w:softHyphen/>
        <w:t>ло 40 градусов. При ударе сначала разлетелось шасси, затем машина ударилась носом фюзеляжа о землю. Шасси и пе</w:t>
      </w:r>
      <w:r w:rsidRPr="00142305">
        <w:rPr>
          <w:rFonts w:ascii="Times New Roman" w:hAnsi="Times New Roman"/>
          <w:color w:val="0070C0"/>
          <w:sz w:val="16"/>
          <w:szCs w:val="16"/>
        </w:rPr>
        <w:softHyphen/>
        <w:t xml:space="preserve">реднюю гондолу подмяло под крыло. Начался </w:t>
      </w:r>
      <w:r w:rsidRPr="00142305">
        <w:rPr>
          <w:rFonts w:ascii="Times New Roman" w:hAnsi="Times New Roman"/>
          <w:color w:val="0070C0"/>
          <w:sz w:val="16"/>
          <w:szCs w:val="16"/>
        </w:rPr>
        <w:lastRenderedPageBreak/>
        <w:t>пожар, взо</w:t>
      </w:r>
      <w:r w:rsidRPr="00142305">
        <w:rPr>
          <w:rFonts w:ascii="Times New Roman" w:hAnsi="Times New Roman"/>
          <w:color w:val="0070C0"/>
          <w:sz w:val="16"/>
          <w:szCs w:val="16"/>
        </w:rPr>
        <w:softHyphen/>
        <w:t>рвались бензобаки. Вся полотняная обшивка крыла быстро сгорела. Через несколько минут рядом совершили посадку два самолета сопровождения, подъехали автомобили. Три члена экипажа смогли вылезти сами, еще четверых живых вытащили спасатели, но двое умерли по дороге в больницу. В общей сложности пятнадцать человек, включая команди</w:t>
      </w:r>
      <w:r w:rsidRPr="00142305">
        <w:rPr>
          <w:rFonts w:ascii="Times New Roman" w:hAnsi="Times New Roman"/>
          <w:color w:val="0070C0"/>
          <w:sz w:val="16"/>
          <w:szCs w:val="16"/>
        </w:rPr>
        <w:softHyphen/>
        <w:t>ра самолета, погибли.</w:t>
      </w:r>
    </w:p>
    <w:p w14:paraId="5DA58A9F" w14:textId="77777777" w:rsidR="00B74B80" w:rsidRPr="00142305" w:rsidRDefault="00B74B80" w:rsidP="00B74B8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Расследовавшая катастрофу комиссия под председа</w:t>
      </w:r>
      <w:r w:rsidRPr="00142305">
        <w:rPr>
          <w:rFonts w:ascii="Times New Roman" w:hAnsi="Times New Roman"/>
          <w:color w:val="0070C0"/>
          <w:sz w:val="16"/>
          <w:szCs w:val="16"/>
        </w:rPr>
        <w:softHyphen/>
        <w:t>тельством заместителя начальника щтаба ВВС В.К. Лаврова пришла к выводу, что основной причиной явилась ранее не запланированная установка седьмого мотора, которая со</w:t>
      </w:r>
      <w:r w:rsidRPr="00142305">
        <w:rPr>
          <w:rFonts w:ascii="Times New Roman" w:hAnsi="Times New Roman"/>
          <w:color w:val="0070C0"/>
          <w:sz w:val="16"/>
          <w:szCs w:val="16"/>
        </w:rPr>
        <w:softHyphen/>
        <w:t>здавала сильное вихреобразование на хвостовом оперении, усугубляемое воздействием вынесенных на длинных бал</w:t>
      </w:r>
      <w:r w:rsidRPr="00142305">
        <w:rPr>
          <w:rFonts w:ascii="Times New Roman" w:hAnsi="Times New Roman"/>
          <w:color w:val="0070C0"/>
          <w:sz w:val="16"/>
          <w:szCs w:val="16"/>
        </w:rPr>
        <w:softHyphen/>
        <w:t>ках серворулей и недостаточной жесткостью ферм. В акте записано: «Катастрофа самолета К-7 произошла из-за по</w:t>
      </w:r>
      <w:r w:rsidRPr="00142305">
        <w:rPr>
          <w:rFonts w:ascii="Times New Roman" w:hAnsi="Times New Roman"/>
          <w:color w:val="0070C0"/>
          <w:sz w:val="16"/>
          <w:szCs w:val="16"/>
        </w:rPr>
        <w:softHyphen/>
        <w:t>тери управляемости самолета в продольном направлении, что было вызвано деформацией хвостовой части самолета». Сам же Калинин говорил о диверсии, приведшей к гибели гиганта (24977).</w:t>
      </w:r>
    </w:p>
    <w:p w14:paraId="32C3DFB6" w14:textId="77777777" w:rsidR="00B74B80" w:rsidRPr="00142305" w:rsidRDefault="00B74B80" w:rsidP="00B74B80">
      <w:pPr>
        <w:spacing w:after="0" w:line="240" w:lineRule="auto"/>
        <w:jc w:val="both"/>
        <w:rPr>
          <w:rFonts w:ascii="Times New Roman" w:hAnsi="Times New Roman"/>
          <w:color w:val="0070C0"/>
          <w:sz w:val="16"/>
          <w:szCs w:val="16"/>
        </w:rPr>
      </w:pPr>
    </w:p>
    <w:p w14:paraId="0BFA529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21 ноября </w:t>
      </w:r>
      <w:r w:rsidRPr="0044524F">
        <w:rPr>
          <w:rFonts w:ascii="Times New Roman" w:hAnsi="Times New Roman"/>
          <w:color w:val="000000" w:themeColor="text1"/>
          <w:sz w:val="16"/>
          <w:szCs w:val="16"/>
        </w:rPr>
        <w:t>в 1933 году около Харькова из-за структурного повреждения разбивается «Калинин К-7». Из 20 человек на борту погибает 15 (14836).</w:t>
      </w:r>
    </w:p>
    <w:p w14:paraId="1D3F7600" w14:textId="77777777" w:rsidR="00366092" w:rsidRPr="0044524F" w:rsidRDefault="00366092" w:rsidP="009654CF">
      <w:pPr>
        <w:spacing w:after="0" w:line="240" w:lineRule="auto"/>
        <w:jc w:val="both"/>
        <w:rPr>
          <w:rFonts w:ascii="Times New Roman" w:hAnsi="Times New Roman"/>
          <w:color w:val="000000" w:themeColor="text1"/>
          <w:sz w:val="16"/>
          <w:szCs w:val="16"/>
        </w:rPr>
      </w:pPr>
    </w:p>
    <w:p w14:paraId="16BB8F75"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ноября 1933 г. (в выходной день) назначили замер скорости К-7, т.к. для передачи самолета на ГИ требовалось снять характеристики скорости на мерном километре и скороподъемности. Результаты этого полета намеревались зачитать как испытание на прочность.</w:t>
      </w:r>
    </w:p>
    <w:p w14:paraId="347B26D0"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полете на максимальном режиме работы двигателей (при этом центральный двигатель №7 выводился на максимальный режим только второй раз с начала испытаний) возник бафтинг хвостовых балок и оперения, вызвавший разрушение лонжерона левой хвостовой фермы, который защемил управление РВ. Самолет перешел в пикирование под углом 30-40° и врезался в землю.</w:t>
      </w:r>
    </w:p>
    <w:p w14:paraId="738CD2F3"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катастрофе погибли 15 человек (в т.ч. двое – по дороге в больницу и в ней):</w:t>
      </w:r>
    </w:p>
    <w:p w14:paraId="7C85A8DD"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Барышников А.В. – бортмеханик;</w:t>
      </w:r>
    </w:p>
    <w:p w14:paraId="2EAC1867"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Бабчинский Л.Ф. (по надписи на первом памятнике – Бобчинский) – начальник ОТК завода;</w:t>
      </w:r>
    </w:p>
    <w:p w14:paraId="1B30F379"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Власов П.Н. – инженер-механик;</w:t>
      </w:r>
    </w:p>
    <w:p w14:paraId="3FF92A72"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Жиронкин О.Г. (по др. данным – А.Г.) – начальник цеха М-2, в котором велась стапельная сборка самолета;</w:t>
      </w:r>
    </w:p>
    <w:p w14:paraId="54DE27D0"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Жданов – техник, умер от полученных ран в больнице и был похоронен позже;</w:t>
      </w:r>
    </w:p>
    <w:p w14:paraId="69AA2C94"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Зарецкий Г.М. – начальник группы шасси ГРОСС;</w:t>
      </w:r>
    </w:p>
    <w:p w14:paraId="407D17B0"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Зайцев П.И. – слесарь (техник) деревообделочного цеха;</w:t>
      </w:r>
    </w:p>
    <w:p w14:paraId="1A028053"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Кононенко П.Д. – бортмеханик;</w:t>
      </w:r>
    </w:p>
    <w:p w14:paraId="6D01AB45"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Лиманский В.С. – техник-планировщик, секретарь заводского комитета комсомола;</w:t>
      </w:r>
    </w:p>
    <w:p w14:paraId="74145BF7"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Липа – представитель заказчика (ГУ ГВФ);</w:t>
      </w:r>
    </w:p>
    <w:p w14:paraId="4C191422"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Плетинский О.А. (по др. данным А.А.) – мастер и нормировщик дюралевого цеха;</w:t>
      </w:r>
    </w:p>
    <w:p w14:paraId="79262A80"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Пилаш Ф.И. – слесарь по холодной обработке деталей;</w:t>
      </w:r>
    </w:p>
    <w:p w14:paraId="48395BA6"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Снегирев М.А. – командир экипажа;</w:t>
      </w:r>
    </w:p>
    <w:p w14:paraId="5B7DBF8D"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Сахно П.К. – техник;</w:t>
      </w:r>
    </w:p>
    <w:p w14:paraId="022A72AC"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Шкловский Л.М. (по др. данным – А.М.) – начальник группы крыла ГРОСС.</w:t>
      </w:r>
    </w:p>
    <w:p w14:paraId="317DD9EC"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Шесть человек из находившихся на борту были ранены или контужены, один из них остался инвалидом. После катастрофы у Главного конструктора К.А. Калинина случился сердечный приступ, и он был госпитализирован на 2 месяца.</w:t>
      </w:r>
    </w:p>
    <w:p w14:paraId="441DF75F"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Аварийную комиссию возглавил опытнейший летчик-испытатель Ремезюк, летавший на многих типах тяжелых самолетов, начиная с «Ильи Муромца» еще в Империалистическую и в гражданскую войны, затем одним из первых в СССР освоивший зарубежные тяжелые самолеты Фарман «Голиаф» и Юнкерс ЮГ-1, а также отечественный ТБ-3.</w:t>
      </w:r>
    </w:p>
    <w:p w14:paraId="4CA7D0AD"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свидетельству выживших на борту самолета, падению самолета предшествовал резкий хлопок, который был слышен четко на фоне звука работы всех моторов на полной мощности на борту. После этого самолет перешел в падение и загорелся при столкновении с землей. Однако находившиеся на земле свидетели слышали только один взрыв – при падении самолета.</w:t>
      </w:r>
    </w:p>
    <w:p w14:paraId="5CFD5C88"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Главный конструктор самолета К.А. Калинин ухватился за эти свидетельства и выдвинул версию, что первый хлопок – это был взрыв заложенной саботажником бомбы, который и привел к гибели самолета.</w:t>
      </w:r>
    </w:p>
    <w:p w14:paraId="7ED3A585"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Председатель аварийной комиссии Ремезюк снова поднял «дело восемнадцати» (имеется в виду письмо специалистов ОКБ о недостаточной прочности и жесткости самолета), начав проверку конструкции К-7. Он со ссылкой на ЦАГИ утверждал, что резкий хлопок, который предшествовал переходу машины в пике, это звук вошедшей в резонанс и ломающейся от бафтинга хвостовой балки. Осмотр обломков действительно не выявил следов взрывчатки, а подобные разрушения часто сопровождаются таким звуком, что было подтверждено актами многих других аварий от аэроупругих колебаний.</w:t>
      </w:r>
    </w:p>
    <w:p w14:paraId="1881D089"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Причинами катастрофы были признаны следующие факторы:</w:t>
      </w:r>
    </w:p>
    <w:p w14:paraId="4729DCEE"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при центровке 32,5% устойчивость самолета по тангажу становится неудовлетворительной, самолет теряет управляемость;</w:t>
      </w:r>
    </w:p>
    <w:p w14:paraId="2C0D630A"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неуравновешенность рулей по массе привела к нарастанию колебаний;</w:t>
      </w:r>
    </w:p>
    <w:p w14:paraId="189D428A"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возникновение вихревых течений в местах стыковки трехгранных балок с крылом («карманы») вело к бафтингу, что проявилось при установке двигателя № 7 (центрального);</w:t>
      </w:r>
    </w:p>
    <w:p w14:paraId="640E5BAE"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недостаточная жесткость управления предположительно привела к колебаниям серворулей, которые передались на основные рули, все оперение и балки, что и привело к катастрофе.</w:t>
      </w:r>
    </w:p>
    <w:p w14:paraId="15E02138"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Окончательно Актом аварийной комиссии, утвержденный 17.01.34 г., назвал причины катастрофы:</w:t>
      </w:r>
    </w:p>
    <w:p w14:paraId="52671040"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недостаточную жесткость хвостовых ферм, которые при работе двигателя № 7 начинали вибрировать;</w:t>
      </w:r>
    </w:p>
    <w:p w14:paraId="56E735D9" w14:textId="77777777" w:rsidR="00823BD7" w:rsidRPr="0044524F" w:rsidRDefault="00823B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форсированное проведение испытаний на скорость, когда следующий пролет делался без анализа данных предыдущего (23561).</w:t>
      </w:r>
    </w:p>
    <w:p w14:paraId="7F09B46C" w14:textId="77777777" w:rsidR="00823BD7" w:rsidRPr="0044524F" w:rsidRDefault="00823BD7" w:rsidP="009654CF">
      <w:pPr>
        <w:spacing w:after="0" w:line="240" w:lineRule="auto"/>
        <w:jc w:val="both"/>
        <w:rPr>
          <w:rFonts w:ascii="Times New Roman" w:hAnsi="Times New Roman"/>
          <w:color w:val="000000" w:themeColor="text1"/>
          <w:sz w:val="16"/>
          <w:szCs w:val="16"/>
        </w:rPr>
      </w:pPr>
    </w:p>
    <w:p w14:paraId="269E9D3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ноября 1933 г., через месяц после окончания заводских Г-5, УВМС передало ЦАГИ тактико-технические требование и заказ на разработку эскизного проекта нового катера. По водоизмещению он должен был занять промежуточное место между Г-5 и Г-6. Моряки же требовали от Туполева в первую очередь улучшить мореходнбсть катера и усилить артиллерийское вооружение. Новый катер получи индекс Г-8 (10675).</w:t>
      </w:r>
    </w:p>
    <w:p w14:paraId="2E0312B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F0C87F"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ноября 1933 г., через месяц после окончания заводских испытаний Г-5, УВМС передало ЦАГИ тактико-технические требования и заказ на разработку эскизного проекта нового катера. По водоизмещению он должен был занять промежуточное место между Г-5 и Г-6. Моряки же требовали от Туполева в первую очередь улучшить мореходность катера и усилить его артиллерийское вооружение. Новый катер получил индекс Г-8.</w:t>
      </w:r>
    </w:p>
    <w:p w14:paraId="1E4892D2"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Туполев и Некрасов решили повысить мореходные качества катера не за счет увеличения его линейных размеров, а за счет изменения обводов корпуса и увеличения удельной нагрузки на редан. Повышение мореходности осуществлялось путем увеличения килеватости днища ходовой части до 13°, что должно было обеспечить работоспособность катера при более высоких баллах состояния моря и более спокойный ход. Большую устойчивость на ходу катера должно было дать увеличение отношения длины к ширине катера. Повышение килеватости снизило гидродинамическое качество катера, что потребовало увеличения мощности моторов для получения необходимых скоростей. На катере установили 4 мотора ГАМ-34, по два мотора на вал.</w:t>
      </w:r>
    </w:p>
    <w:p w14:paraId="61353E3B"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ПВО катера должна была состоять из двух 12,7-мм пулеметов ШВАК, размещенных: один в носовой части катера впереди моторного отсека, а второй в средней части рубки. Кроме того, в хвостовой части рубки устанавливался пулемет ШКАС.</w:t>
      </w:r>
    </w:p>
    <w:p w14:paraId="52A14343"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Позже решили 12,7-мм пулеметы заменить на 20-мм автоматические пушки ТТТВАК. Сделать это было легко, поскольку основное различие их заключалось в калибре трубы. Торпедное вооружение по сравнению с Г-5 не изменялось — те же две 533-мм торпеды в желобковых торпедных аппаратах.</w:t>
      </w:r>
    </w:p>
    <w:p w14:paraId="0F9E356A"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Нормальное водоизмещение катера составляло 23,5 т.</w:t>
      </w:r>
    </w:p>
    <w:p w14:paraId="4373CF57"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Строительство катера Г-8 началось в ЦАГИ 25 марта 1936 г., а 1 сентября 1937 г. его по железной дороге отправили в Севастополь. С 14 января 1938 г. по 14 августа 1939 г: катер прошел заводские испытания, а с 20 августа 1939 г. по 23 августа 1940 г. — государственные испытания.</w:t>
      </w:r>
    </w:p>
    <w:p w14:paraId="4CE62069"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Приемная комиссия в заключительном приемо-сдаточном акте от 23 августа 1940 г. указала, что мореходность катера Г-8 при состоянии моря до 5 баллов включительно и при скорости до 48 узлов вполне удовлетворительная; прочность катера удовлетворительная; скорость катера — при водоизмещении 29 т 48 узлов, а при водоизмещении 25,7 т 52 узла — является удовлетворительной.</w:t>
      </w:r>
    </w:p>
    <w:p w14:paraId="337633E3" w14:textId="77777777" w:rsidR="00366092" w:rsidRPr="0044524F" w:rsidRDefault="0036609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октября 1940 г. торпедный катер Г-8 был включен в состав Черноморского флота. В 1942—1943 гг. он активно участвовал в боевых действиях. Вместо 20-мм пушек ШВАК катер в 1943 г. вооружили тремя 12,7-мм пулеметами ДШК. В 1942 г. он участвовал не менее чем в трех операциях по поиску вражеских кораблей, но все они закончились безрезультатно. А в ночь на 21 мая 1943 г. при попытке доставить боеприпасы на Малую землю Г-8 был атакован тремя германскими торпедными катерами, но его спасли сторожевые катера № 0016, 032 и 0141 (15117).</w:t>
      </w:r>
    </w:p>
    <w:p w14:paraId="58B159D7" w14:textId="77777777" w:rsidR="00366092" w:rsidRPr="0044524F" w:rsidRDefault="00366092" w:rsidP="009654CF">
      <w:pPr>
        <w:spacing w:after="0" w:line="240" w:lineRule="auto"/>
        <w:jc w:val="both"/>
        <w:rPr>
          <w:rFonts w:ascii="Times New Roman" w:hAnsi="Times New Roman"/>
          <w:color w:val="000000" w:themeColor="text1"/>
          <w:sz w:val="16"/>
          <w:szCs w:val="16"/>
        </w:rPr>
      </w:pPr>
    </w:p>
    <w:p w14:paraId="2736E0ED" w14:textId="77777777" w:rsidR="003C418A" w:rsidRPr="00142305" w:rsidRDefault="003C418A" w:rsidP="003C418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lastRenderedPageBreak/>
        <w:t>21 ноября 1933 г., через месяц после окончания заводских испытаний Г-5, УВМС передало ЦАГИ тактико-технические требования и заказ на разработку эскизного проекта нового катера. По водоизмещению он должен был занять промежуточное место между Г-5 и Г-6. Моряки же требовали от Туполева в первую очередь улучшить мореходность катера и усилить его артиллерийское вооружение. Новый катер получил индекс Г-8.</w:t>
      </w:r>
    </w:p>
    <w:p w14:paraId="7F5FA1C3" w14:textId="77777777" w:rsidR="003C418A" w:rsidRPr="00142305" w:rsidRDefault="003C418A" w:rsidP="003C418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Туполев и Некрасов решили повысить мореходные качества катера не за счет увеличения его линейных размеров, а за счет изменения обводов корпуса и увеличения удельной нагрузки на редан. Повышение мореходности осуществлялось путем увеличения килеватости днища ходовой части до 13°, что должно было обеспечить работоспособность катера при более высоких баллах состояния моря и более спокойный ход. Большую устойчивость на ходу катера должно было дать увеличение отношения длины к ширине катера. Повышение килеватости снизило гидродинамическое качество катера, что потребовало увеличения мощности моторов для получения необходимых скоростей. На катере установили 4 мотора ГАМ-34, по два мотора на вал.</w:t>
      </w:r>
    </w:p>
    <w:p w14:paraId="12CDA27D" w14:textId="77777777" w:rsidR="003C418A" w:rsidRPr="00142305" w:rsidRDefault="003C418A" w:rsidP="003C418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ПВО катера должна была состоять из двух 12,7-мм пулеметов ШВАК, размещенных: один в носовой части катера впереди моторного отсека, а второй в средней части рубки. Кроме того, в хвостовой части рубки устанавливался пулемет ШКАС.</w:t>
      </w:r>
    </w:p>
    <w:p w14:paraId="75DF5792" w14:textId="77777777" w:rsidR="003C418A" w:rsidRPr="00142305" w:rsidRDefault="003C418A" w:rsidP="003C418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Позже решили 12,7-мм пулеметы заменить на 20-мм автоматические пушки ШВАК. Сделать это было легко, поскольку основное различие их заключалось в калибре трубы. Торпедное вооружение по сравнению с Г-5 не изменялось — те же две 533-мм торпеды в желобковых торпедных аппаратах.</w:t>
      </w:r>
    </w:p>
    <w:p w14:paraId="142F64CB" w14:textId="77777777" w:rsidR="003C418A" w:rsidRPr="00142305" w:rsidRDefault="003C418A" w:rsidP="003C418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Нормальное водоизмещение катера составляло 23,5 т (25213).</w:t>
      </w:r>
    </w:p>
    <w:p w14:paraId="793A70D2" w14:textId="77777777" w:rsidR="003C418A" w:rsidRPr="00142305" w:rsidRDefault="003C418A" w:rsidP="003C418A">
      <w:pPr>
        <w:spacing w:after="0" w:line="240" w:lineRule="auto"/>
        <w:jc w:val="both"/>
        <w:rPr>
          <w:rFonts w:ascii="Times New Roman" w:hAnsi="Times New Roman"/>
          <w:color w:val="0070C0"/>
          <w:sz w:val="16"/>
          <w:szCs w:val="16"/>
        </w:rPr>
      </w:pPr>
    </w:p>
    <w:p w14:paraId="26D066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ноября 1933 Нач. НОТО ГУАП Алмазов писал Пом. секр. РВСС Снегову письмо N 282/712с на вх. N 5397сс от 31 октября 1933 о выполнении постановления РВСС "О развитии авиационной техники на основе виденного на авиационной выставке во Франции и на заводах Германии" от 3 марта (2305,87):</w:t>
      </w:r>
    </w:p>
    <w:p w14:paraId="240463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нем была информация о выполнении заданий, поставленных в постановлении:</w:t>
      </w:r>
    </w:p>
    <w:p w14:paraId="577737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Просить НКТП</w:t>
      </w:r>
    </w:p>
    <w:p w14:paraId="1389AD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разработать и построить учебный и спортивный самолет и мотор по повышенным требованиям</w:t>
      </w:r>
    </w:p>
    <w:p w14:paraId="23E209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а) для первоначального обучения</w:t>
      </w:r>
    </w:p>
    <w:p w14:paraId="319475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б) для тренировки как на одноместной машине</w:t>
      </w:r>
    </w:p>
    <w:p w14:paraId="276235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в) для слепого полета</w:t>
      </w:r>
    </w:p>
    <w:p w14:paraId="7DADF3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г) для ночного полета и полета в строю (для обучения л-наблюдателей, приемам навигации, фото, бомбометанию, стрельбе</w:t>
      </w:r>
    </w:p>
    <w:p w14:paraId="155FE7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разработать и построить тип тренировочного истребителя под мощность 150-200 нр</w:t>
      </w:r>
    </w:p>
    <w:p w14:paraId="1B2EAF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а) самолет сопровождения</w:t>
      </w:r>
    </w:p>
    <w:p w14:paraId="692167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б) тренировочный</w:t>
      </w:r>
    </w:p>
    <w:p w14:paraId="419DD1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в) местных линий</w:t>
      </w:r>
    </w:p>
    <w:p w14:paraId="5E7E28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Сообщаю, что по п. 2 а и б:</w:t>
      </w:r>
    </w:p>
    <w:p w14:paraId="28D477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заводом 23 проектируется самолет У-3 М-48. Эскизный проект рассматривается НИИ ВВС. Срок выхода самолета на заводские испытания по плану - 1 июня 1934</w:t>
      </w:r>
    </w:p>
    <w:p w14:paraId="79EB34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ЦКБ завода 39 проектирует самолет ЦКБ-9 под М-48</w:t>
      </w:r>
    </w:p>
    <w:p w14:paraId="4F4855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КАИ проектируется двухмоторный пассажирский под 2хМ-11, в военном варианте предназначенный для тренировки на многомоторных самолетах.</w:t>
      </w:r>
    </w:p>
    <w:p w14:paraId="251554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провести необходимые исследования и ускорить применение: подкрылков, закрылков, двойного крыла, крыла с меняющимся профилем..., имея в виду:</w:t>
      </w:r>
    </w:p>
    <w:p w14:paraId="3E63A9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а) получить наибольший диапазон гор. скоростей</w:t>
      </w:r>
    </w:p>
    <w:p w14:paraId="105AEF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б) увеличить устойчивость при полете с предельными нагрузками</w:t>
      </w:r>
    </w:p>
    <w:p w14:paraId="0B9E71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в) уменьшить посадочные скорости</w:t>
      </w:r>
    </w:p>
    <w:p w14:paraId="5874E8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г) увеличить скороподъемность</w:t>
      </w:r>
    </w:p>
    <w:p w14:paraId="1803C9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3</w:t>
      </w:r>
    </w:p>
    <w:p w14:paraId="64645A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проводятся исследовательские работы в ЭАО ЦАГИ</w:t>
      </w:r>
    </w:p>
    <w:p w14:paraId="78FBA4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ЦАГИ ставятся на МИ-3 щитки типа Нортроп</w:t>
      </w:r>
    </w:p>
    <w:p w14:paraId="68E7F6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Заводом 23 на учебной машине проектируется установка щитков Нортроп</w:t>
      </w:r>
    </w:p>
    <w:p w14:paraId="25E1CA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То же самое на ХАИ-1 в ХАИ</w:t>
      </w:r>
    </w:p>
    <w:p w14:paraId="622C50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Считать одной из важнейших задач ближайшего периода получение легкого двухместного самолета, универсального в производстве и специализированного по оборудованию для назначения:</w:t>
      </w:r>
    </w:p>
    <w:p w14:paraId="5929E6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а) оперативный разведчик</w:t>
      </w:r>
    </w:p>
    <w:p w14:paraId="377F51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б) двухместный истребитель</w:t>
      </w:r>
    </w:p>
    <w:p w14:paraId="2A6C02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в) ЛБ</w:t>
      </w:r>
    </w:p>
    <w:p w14:paraId="0CA047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ab/>
        <w:t>г) в части применения ЛР, как скоростного почтовика отдельно согласовать вопрос П.И.Б. с Гольцманом и Алкснисом</w:t>
      </w:r>
    </w:p>
    <w:p w14:paraId="7BED17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этими требованиями испытать находящийся в постройке ЛР и только в случае получения неудовлетворительного результата по ЛР приступить к постройке специального универсального самолета.</w:t>
      </w:r>
    </w:p>
    <w:p w14:paraId="51B3C3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4 в</w:t>
      </w:r>
    </w:p>
    <w:p w14:paraId="78623D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ЛР как скоростной почтовый не соответствует требованиям ГУ ГВФ, поэтому предполагается ХАИ унифицировать СР М-34 в скоростной почтовик</w:t>
      </w:r>
    </w:p>
    <w:p w14:paraId="6BD8C8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 1933 разрешить вопрос о предупреждении баков от пожаров и недопуска течи горючего при пробитии пулей.</w:t>
      </w:r>
    </w:p>
    <w:p w14:paraId="76889F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5</w:t>
      </w:r>
    </w:p>
    <w:p w14:paraId="724938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ЦАГИ заключил договор с МТУ на эту работу. К настоящему моменту изготовлен образец с различными вариантами стенок и 10 ноября начаты испытания</w:t>
      </w:r>
    </w:p>
    <w:p w14:paraId="7DF9A9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Считать необходимым переход на экранирование моторов в 1933. Обязать НКТП в 1933 установить производство экранированных моторов в серии (2305,87).</w:t>
      </w:r>
    </w:p>
    <w:p w14:paraId="6DF75A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6</w:t>
      </w:r>
    </w:p>
    <w:p w14:paraId="4547B1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1933 проведено испытание на заводе 26 экранированной системы зажигания М-17, выполненной заводом АТЭ.</w:t>
      </w:r>
    </w:p>
    <w:p w14:paraId="6A7B99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проведены с участием представителей УВВС и УММ РККА и АТЭ</w:t>
      </w:r>
    </w:p>
    <w:p w14:paraId="22C903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августе-сентябре испытание экранированной системы зажигания проведено в НИИ ВВС на самолете.</w:t>
      </w:r>
    </w:p>
    <w:p w14:paraId="14991D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УВВС на моторы М-17 и М-34 экранированная система будет ставится с середины 1934.</w:t>
      </w:r>
    </w:p>
    <w:p w14:paraId="511327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мотору М-22 проводится конструктивная разработка экранированной системы электрозаводом, но ввиду затруднений, вызываемых конструкцией самого мотора, испытания не закончены.</w:t>
      </w:r>
    </w:p>
    <w:p w14:paraId="66D944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экранированию проводятся заводом АТЭ электрокомбината при непосредственном участи ЦИАМ и НИИ ВВС (2305,90).</w:t>
      </w:r>
    </w:p>
    <w:p w14:paraId="381620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7</w:t>
      </w:r>
    </w:p>
    <w:p w14:paraId="43E938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разрезного вала Хирта дали отрицательные результаты. Помимо этого ЦИАМом дано заключение о производственной невыгодности и чрезвычайной трудности надежной подгонки чертежей вала в серийном изготовлении.</w:t>
      </w:r>
    </w:p>
    <w:p w14:paraId="6519E5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8</w:t>
      </w:r>
    </w:p>
    <w:p w14:paraId="2D7353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покупки и испытания мотора Аргус в 200 нр находится в ведении ВВС РККА</w:t>
      </w:r>
    </w:p>
    <w:p w14:paraId="3C692D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9</w:t>
      </w:r>
    </w:p>
    <w:p w14:paraId="2A057F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 ЦАГИ ведутся подготовительные работы. Задание т. Квитко дано, но от него до сих пор никакого ответа нет.</w:t>
      </w:r>
    </w:p>
    <w:p w14:paraId="300B2F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Заявка на покупку некоторых заграничных париборов снята ГУАПом из-за нехватки валюты</w:t>
      </w:r>
    </w:p>
    <w:p w14:paraId="3831C1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Технические испытания в ЦАГИ углубляются и организация их видоизменяется (2305,87).</w:t>
      </w:r>
    </w:p>
    <w:p w14:paraId="67D3F6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9AD5DFE" w14:textId="77777777" w:rsidR="00335E69" w:rsidRPr="0044524F" w:rsidRDefault="00335E69"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AFBAEFE" w14:textId="77777777" w:rsidR="00335E69" w:rsidRPr="0044524F" w:rsidRDefault="00335E69" w:rsidP="009654CF">
      <w:pPr>
        <w:autoSpaceDE w:val="0"/>
        <w:autoSpaceDN w:val="0"/>
        <w:adjustRightInd w:val="0"/>
        <w:spacing w:after="0" w:line="240" w:lineRule="auto"/>
        <w:jc w:val="both"/>
        <w:rPr>
          <w:rFonts w:ascii="Times New Roman" w:hAnsi="Times New Roman"/>
          <w:color w:val="000000" w:themeColor="text1"/>
          <w:sz w:val="16"/>
          <w:szCs w:val="16"/>
        </w:rPr>
      </w:pPr>
    </w:p>
    <w:p w14:paraId="44751852" w14:textId="77777777" w:rsidR="00335E69" w:rsidRPr="0044524F" w:rsidRDefault="00335E6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ноября 1933. Газета "Вечерняя Москва" сообщала: "Вчера на площади Ногина началась разборка части Китайгородской стены... Несмотря на то, что Китайгородская стена существует несколько столетий, она оказалась очень крепкой и с трудом поддается разборке" (18722).</w:t>
      </w:r>
    </w:p>
    <w:p w14:paraId="5B32D7A8" w14:textId="77777777" w:rsidR="00335E69" w:rsidRPr="0044524F" w:rsidRDefault="00335E69" w:rsidP="009654CF">
      <w:pPr>
        <w:spacing w:after="0" w:line="240" w:lineRule="auto"/>
        <w:jc w:val="both"/>
        <w:rPr>
          <w:rFonts w:ascii="Times New Roman" w:hAnsi="Times New Roman"/>
          <w:color w:val="000000" w:themeColor="text1"/>
          <w:sz w:val="16"/>
          <w:szCs w:val="16"/>
        </w:rPr>
      </w:pPr>
    </w:p>
    <w:p w14:paraId="48882804" w14:textId="77777777" w:rsidR="00335E69" w:rsidRPr="0044524F" w:rsidRDefault="00335E69"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A73EF15" w14:textId="77777777" w:rsidR="00335E69" w:rsidRPr="0044524F" w:rsidRDefault="00335E6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CA7B300" w14:textId="77777777" w:rsidR="00335E69" w:rsidRPr="0044524F" w:rsidRDefault="00335E6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21 ноября 1933 г. для поощрения развития торговли с Соединенными Штатами советское правительство установило льготный корабельный сбор для американских судов и отменило повышенные пошлины на изделия, продукцию и товары, ввозимые в порты СССР. В ответ администрация США в январе 1934 г. упразднила сбор с советских судов, в 16 раз превышавший обычный. Был снят запрет на ввоз из северных районов СССР леса, золота, апатитов, асбеста и других товаров. Американские власти отказались от антидемпинговых пошлин на советские спички. Предпринятые меры благоприятствовали деловым контактам между двумя странами. У ряда американских компаний появились надежды на расширение торговли с СССР. Они помнили официальное заявление Литвинова на международной экономической </w:t>
      </w:r>
      <w:r w:rsidRPr="0044524F">
        <w:rPr>
          <w:rFonts w:ascii="Times New Roman" w:hAnsi="Times New Roman"/>
          <w:color w:val="000000" w:themeColor="text1"/>
          <w:sz w:val="16"/>
          <w:szCs w:val="16"/>
        </w:rPr>
        <w:lastRenderedPageBreak/>
        <w:t>конференции о готовности советского правительства сделать заказ на 500 млн долл. Это было в определенной мере пропагандистское заявление. Большинство участников конференции так и восприняли его. Но представители некоторых фирм США отнеслись к нему серьезно, учитывая огромную емкость российского рынка (18280).</w:t>
      </w:r>
    </w:p>
    <w:p w14:paraId="088ACD96" w14:textId="77777777" w:rsidR="00335E69" w:rsidRPr="0044524F" w:rsidRDefault="00335E69" w:rsidP="009654CF">
      <w:pPr>
        <w:spacing w:after="0" w:line="240" w:lineRule="auto"/>
        <w:jc w:val="both"/>
        <w:rPr>
          <w:rFonts w:ascii="Times New Roman" w:hAnsi="Times New Roman"/>
          <w:color w:val="000000" w:themeColor="text1"/>
          <w:sz w:val="16"/>
          <w:szCs w:val="16"/>
        </w:rPr>
      </w:pPr>
    </w:p>
    <w:p w14:paraId="4FFDAB03"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19682C8"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62413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хоронили 15 из 20, которые были в К-7 К.А.К. (70,240).</w:t>
      </w:r>
    </w:p>
    <w:p w14:paraId="011429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D84D5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и 22 ноября 1933 в ходе гос. испытаний ТБ-3 (АНТ-6) 22 завода N 22202 с 4М-34Р в качестве эталона на 34 год, которые проходили с 18 октября по 5 декабря 1933, были выполнены полеты на потолок, зубцы и скорости по высотам (2264,117).</w:t>
      </w:r>
    </w:p>
    <w:p w14:paraId="6BEFC5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87A6A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СТО принял решение о запуске в серию И-16. В это время Н.Н.П. добился одного двигателя РЦ Ф-2 (невысотный вариант) и принимает решение строить опытный экземпляр с этим двигателем (1808,4).</w:t>
      </w:r>
    </w:p>
    <w:p w14:paraId="3B4E8D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FA112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г. Совет Труда и Обороны СССР (СТО) принимает решение о запуске нового истребителя в серийное производство иод обозначением И -16.</w:t>
      </w:r>
    </w:p>
    <w:p w14:paraId="714FE6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описываемому периоду переговоры о приобретении первой партии двигателей Райт "Циклон" в основном завершились, поступление их предполагалось в ближайшие месяцы. Поэтому и надежда обеспечить опытный ЦКБ-12 американским двигателем оставалась (12015).</w:t>
      </w:r>
    </w:p>
    <w:p w14:paraId="214CD3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10F3332"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22 ноября 1933 г. Со</w:t>
      </w:r>
      <w:r w:rsidRPr="00142305">
        <w:rPr>
          <w:rStyle w:val="aff"/>
          <w:rFonts w:ascii="Times New Roman" w:hAnsi="Times New Roman" w:cs="Times New Roman"/>
          <w:color w:val="0070C0"/>
          <w:spacing w:val="0"/>
          <w:sz w:val="16"/>
          <w:szCs w:val="16"/>
        </w:rPr>
        <w:softHyphen/>
        <w:t>вет труда и обороны принял решение о запуске самолета ЦКБ-12 в серийное производ</w:t>
      </w:r>
      <w:r w:rsidRPr="00142305">
        <w:rPr>
          <w:rStyle w:val="aff"/>
          <w:rFonts w:ascii="Times New Roman" w:hAnsi="Times New Roman" w:cs="Times New Roman"/>
          <w:color w:val="0070C0"/>
          <w:spacing w:val="0"/>
          <w:sz w:val="16"/>
          <w:szCs w:val="16"/>
        </w:rPr>
        <w:softHyphen/>
        <w:t>ство под обозначением И-16.</w:t>
      </w:r>
    </w:p>
    <w:p w14:paraId="7F2BE299"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Между тем было принято решение о закупке в США двигателей Райт «Циклон </w:t>
      </w:r>
      <w:r w:rsidRPr="00142305">
        <w:rPr>
          <w:rStyle w:val="aff"/>
          <w:rFonts w:ascii="Times New Roman" w:hAnsi="Times New Roman" w:cs="Times New Roman"/>
          <w:color w:val="0070C0"/>
          <w:spacing w:val="0"/>
          <w:sz w:val="16"/>
          <w:szCs w:val="16"/>
          <w:lang w:val="en-US"/>
        </w:rPr>
        <w:t>F</w:t>
      </w:r>
      <w:r w:rsidRPr="00142305">
        <w:rPr>
          <w:rStyle w:val="aff"/>
          <w:rFonts w:ascii="Times New Roman" w:hAnsi="Times New Roman" w:cs="Times New Roman"/>
          <w:color w:val="0070C0"/>
          <w:spacing w:val="0"/>
          <w:sz w:val="16"/>
          <w:szCs w:val="16"/>
        </w:rPr>
        <w:t>2» в маловысотном вариан</w:t>
      </w:r>
      <w:r w:rsidRPr="00142305">
        <w:rPr>
          <w:rStyle w:val="aff"/>
          <w:rFonts w:ascii="Times New Roman" w:hAnsi="Times New Roman" w:cs="Times New Roman"/>
          <w:color w:val="0070C0"/>
          <w:spacing w:val="0"/>
          <w:sz w:val="16"/>
          <w:szCs w:val="16"/>
        </w:rPr>
        <w:softHyphen/>
        <w:t>те. Второй прототип И-16 предстояло оснастить именно таким мотором и трехлопастным воздушным винтом фирмы Гамильтон Стандарт. По</w:t>
      </w:r>
      <w:r w:rsidRPr="00142305">
        <w:rPr>
          <w:rStyle w:val="aff"/>
          <w:rFonts w:ascii="Times New Roman" w:hAnsi="Times New Roman" w:cs="Times New Roman"/>
          <w:color w:val="0070C0"/>
          <w:spacing w:val="0"/>
          <w:sz w:val="16"/>
          <w:szCs w:val="16"/>
        </w:rPr>
        <w:softHyphen/>
        <w:t>скольку основной объем испытаний приходился на зимнее время, оба про</w:t>
      </w:r>
      <w:r w:rsidRPr="00142305">
        <w:rPr>
          <w:rStyle w:val="aff"/>
          <w:rFonts w:ascii="Times New Roman" w:hAnsi="Times New Roman" w:cs="Times New Roman"/>
          <w:color w:val="0070C0"/>
          <w:spacing w:val="0"/>
          <w:sz w:val="16"/>
          <w:szCs w:val="16"/>
        </w:rPr>
        <w:softHyphen/>
        <w:t>тотипа оснастили лыжным шасси. Из- за повышенного аэродинамического сопротивления такого шасси снять лет</w:t>
      </w:r>
      <w:r w:rsidRPr="00142305">
        <w:rPr>
          <w:rStyle w:val="aff"/>
          <w:rFonts w:ascii="Times New Roman" w:hAnsi="Times New Roman" w:cs="Times New Roman"/>
          <w:color w:val="0070C0"/>
          <w:spacing w:val="0"/>
          <w:sz w:val="16"/>
          <w:szCs w:val="16"/>
        </w:rPr>
        <w:softHyphen/>
        <w:t>ные характеристики самолетов в пол</w:t>
      </w:r>
      <w:r w:rsidRPr="00142305">
        <w:rPr>
          <w:rStyle w:val="aff"/>
          <w:rFonts w:ascii="Times New Roman" w:hAnsi="Times New Roman" w:cs="Times New Roman"/>
          <w:color w:val="0070C0"/>
          <w:spacing w:val="0"/>
          <w:sz w:val="16"/>
          <w:szCs w:val="16"/>
        </w:rPr>
        <w:softHyphen/>
        <w:t>ном объеме не представлялось возмож</w:t>
      </w:r>
      <w:r w:rsidRPr="00142305">
        <w:rPr>
          <w:rStyle w:val="aff"/>
          <w:rFonts w:ascii="Times New Roman" w:hAnsi="Times New Roman" w:cs="Times New Roman"/>
          <w:color w:val="0070C0"/>
          <w:spacing w:val="0"/>
          <w:sz w:val="16"/>
          <w:szCs w:val="16"/>
        </w:rPr>
        <w:softHyphen/>
        <w:t>ным, зато летные испытания начались непосредственно после изготовления опытных машин (25062).</w:t>
      </w:r>
    </w:p>
    <w:p w14:paraId="51A10BD4" w14:textId="77777777" w:rsidR="00264C23" w:rsidRPr="00142305" w:rsidRDefault="00264C23" w:rsidP="00264C23">
      <w:pPr>
        <w:spacing w:after="0" w:line="240" w:lineRule="auto"/>
        <w:jc w:val="both"/>
        <w:rPr>
          <w:rFonts w:ascii="Times New Roman" w:hAnsi="Times New Roman"/>
          <w:color w:val="0070C0"/>
          <w:sz w:val="16"/>
          <w:szCs w:val="16"/>
        </w:rPr>
      </w:pPr>
    </w:p>
    <w:p w14:paraId="2A4FB4C9"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22 ноября 1933 г. Совет Труда и Обороны СССР принимает решение о за</w:t>
      </w:r>
      <w:r w:rsidRPr="00142305">
        <w:rPr>
          <w:rStyle w:val="aff"/>
          <w:rFonts w:ascii="Times New Roman" w:hAnsi="Times New Roman" w:cs="Times New Roman"/>
          <w:color w:val="0070C0"/>
          <w:spacing w:val="0"/>
          <w:sz w:val="16"/>
          <w:szCs w:val="16"/>
        </w:rPr>
        <w:softHyphen/>
        <w:t>пуске нового истребителя в серийное про</w:t>
      </w:r>
      <w:r w:rsidRPr="00142305">
        <w:rPr>
          <w:rStyle w:val="aff"/>
          <w:rFonts w:ascii="Times New Roman" w:hAnsi="Times New Roman" w:cs="Times New Roman"/>
          <w:color w:val="0070C0"/>
          <w:spacing w:val="0"/>
          <w:sz w:val="16"/>
          <w:szCs w:val="16"/>
        </w:rPr>
        <w:softHyphen/>
        <w:t>изводство под обозначением И-16.</w:t>
      </w:r>
    </w:p>
    <w:p w14:paraId="4ED744A8"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 описываемому периоду переговоры о приобретении первой партии двигателей Райт «Циклон» в основном завершились, поступление их предполагалось в ближай</w:t>
      </w:r>
      <w:r w:rsidRPr="00142305">
        <w:rPr>
          <w:rStyle w:val="aff"/>
          <w:rFonts w:ascii="Times New Roman" w:hAnsi="Times New Roman" w:cs="Times New Roman"/>
          <w:color w:val="0070C0"/>
          <w:spacing w:val="0"/>
          <w:sz w:val="16"/>
          <w:szCs w:val="16"/>
        </w:rPr>
        <w:softHyphen/>
        <w:t>шие месяцы. Поэтому и надежда обеспе</w:t>
      </w:r>
      <w:r w:rsidRPr="00142305">
        <w:rPr>
          <w:rStyle w:val="aff"/>
          <w:rFonts w:ascii="Times New Roman" w:hAnsi="Times New Roman" w:cs="Times New Roman"/>
          <w:color w:val="0070C0"/>
          <w:spacing w:val="0"/>
          <w:sz w:val="16"/>
          <w:szCs w:val="16"/>
        </w:rPr>
        <w:softHyphen/>
        <w:t>чить опытный ЦКБ-12 американским дви</w:t>
      </w:r>
      <w:r w:rsidRPr="00142305">
        <w:rPr>
          <w:rStyle w:val="aff"/>
          <w:rFonts w:ascii="Times New Roman" w:hAnsi="Times New Roman" w:cs="Times New Roman"/>
          <w:color w:val="0070C0"/>
          <w:spacing w:val="0"/>
          <w:sz w:val="16"/>
          <w:szCs w:val="16"/>
        </w:rPr>
        <w:softHyphen/>
        <w:t>гателем оставалась (25415).</w:t>
      </w:r>
    </w:p>
    <w:p w14:paraId="3371BF5E" w14:textId="77777777" w:rsidR="00264C23" w:rsidRPr="00142305" w:rsidRDefault="00264C23" w:rsidP="00264C23">
      <w:pPr>
        <w:spacing w:after="0" w:line="240" w:lineRule="auto"/>
        <w:jc w:val="both"/>
        <w:rPr>
          <w:rFonts w:ascii="Times New Roman" w:hAnsi="Times New Roman"/>
          <w:color w:val="0070C0"/>
          <w:sz w:val="16"/>
          <w:szCs w:val="16"/>
        </w:rPr>
      </w:pPr>
    </w:p>
    <w:p w14:paraId="1B6A9B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года. Предъявление N 2807с был предъявлен для серийного испытания самолета Р-6 2-М17 за N 3161 постройки завода 31. Испытание в воздухе производил летчик-сдатчик завода Номан. Серия состоит из 35 самолетов с N 3161 по 3195 включительно (3313,1-18).</w:t>
      </w:r>
    </w:p>
    <w:p w14:paraId="63D9F2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B4A3742"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г. начальник УВВС Я.И. Алкснис потребовал от промышленности выпустить малую серию из дюжи-ны таких бомбардировщиков-торпедо- носцев. Для переделки в его опытный образец он был готов отдать с Чёрного моря Р-ба № 2202.</w:t>
      </w:r>
    </w:p>
    <w:p w14:paraId="2936B6CB"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Проведя предварительные расчёты, конструкторы убедились, что за счёт сня-тия части оборудования самолет, уста-новленный на поплавки, сможет (хотя и в перегрузку) поднять торпеду весом 850 кг. Решили пожертвовать фотоаппа-ратом, радиостанцией с генератором и кое-чем из электрооборудования. Бал-ки бомбодержателей тоже снимались. Дальность при этом получалась почти вдвое большая, чем у одномоторного Р-5Т (830 км против 430 км). Предложе-ния были доложены Управлению ВВС. Ответ последовал с телеграфной крат-костью: «Начальник ВВС РККА приказал переделать самолёт Р-6 в торпедоносец и произвести испытания. О результатах донести».</w:t>
      </w:r>
    </w:p>
    <w:p w14:paraId="330F5F17"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Самолёт № 2202 подвергся переделке в опытный образец модернизированного поплавкового торпедоносца. Из ЦАГИ пожаловались, что машину сдали в нелётном состоянии, требующую капи-тального ремонта. На испытания дора-ботанный гидроплан, именовавшийся КР-ба или КР-6П, вывели в апреле 1934 г. Первоначально торпедного моста («пло-щадки») на самолёте не было. Его уста-новили в июле, после чего машина стала именоваться КР-ба-Т. Торпеда ТАН-12 висела под фюзеляжем на держателях конструкции ленинградского Остехбюро; замки открывались механическим сбра-сывателем с помощью тросиков (12264).</w:t>
      </w:r>
    </w:p>
    <w:p w14:paraId="6FBFCAEC" w14:textId="77777777" w:rsidR="00BA29CE" w:rsidRPr="0044524F" w:rsidRDefault="00BA29CE" w:rsidP="009654CF">
      <w:pPr>
        <w:spacing w:after="0" w:line="240" w:lineRule="auto"/>
        <w:jc w:val="both"/>
        <w:rPr>
          <w:rFonts w:ascii="Times New Roman" w:hAnsi="Times New Roman"/>
          <w:color w:val="000000" w:themeColor="text1"/>
          <w:sz w:val="16"/>
          <w:szCs w:val="16"/>
        </w:rPr>
      </w:pPr>
    </w:p>
    <w:p w14:paraId="2BD8AA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г. заместитель начальника ГУАП направил письмо уже директору завода № 39, где в то время находилась бригада Поликарпова, в котором предписывалось договорится с заводом № 1 о совмест</w:t>
      </w:r>
      <w:r w:rsidRPr="0044524F">
        <w:rPr>
          <w:rFonts w:ascii="Times New Roman" w:hAnsi="Times New Roman"/>
          <w:color w:val="000000" w:themeColor="text1"/>
          <w:sz w:val="16"/>
          <w:szCs w:val="16"/>
        </w:rPr>
        <w:softHyphen/>
        <w:t>ной разработке подфюзеляжных баков для Р-5. В 1933 г. завод № 1 само</w:t>
      </w:r>
      <w:r w:rsidRPr="0044524F">
        <w:rPr>
          <w:rFonts w:ascii="Times New Roman" w:hAnsi="Times New Roman"/>
          <w:color w:val="000000" w:themeColor="text1"/>
          <w:sz w:val="16"/>
          <w:szCs w:val="16"/>
        </w:rPr>
        <w:softHyphen/>
        <w:t>стоятельно разработал и поставил в центроплане бак увеличенного объема. Его размеры не были согласова</w:t>
      </w:r>
      <w:r w:rsidRPr="0044524F">
        <w:rPr>
          <w:rFonts w:ascii="Times New Roman" w:hAnsi="Times New Roman"/>
          <w:color w:val="000000" w:themeColor="text1"/>
          <w:sz w:val="16"/>
          <w:szCs w:val="16"/>
        </w:rPr>
        <w:softHyphen/>
        <w:t>ны с аэродинамикой самолета, так как выбирались по наитию, без проведения необходимых аэродинамичес</w:t>
      </w:r>
      <w:r w:rsidRPr="0044524F">
        <w:rPr>
          <w:rFonts w:ascii="Times New Roman" w:hAnsi="Times New Roman"/>
          <w:color w:val="000000" w:themeColor="text1"/>
          <w:sz w:val="16"/>
          <w:szCs w:val="16"/>
        </w:rPr>
        <w:softHyphen/>
        <w:t>ких исследований. В итоге сопротивление возросло, уве</w:t>
      </w:r>
      <w:r w:rsidRPr="0044524F">
        <w:rPr>
          <w:rFonts w:ascii="Times New Roman" w:hAnsi="Times New Roman"/>
          <w:color w:val="000000" w:themeColor="text1"/>
          <w:sz w:val="16"/>
          <w:szCs w:val="16"/>
        </w:rPr>
        <w:softHyphen/>
        <w:t>личился расход топлива на километр пути. Однако вместо критического анализа полученного результата в НИИ ВВС решили отказаться от увеличенного центро-планного бака и использовать подвесной бак под фюзе</w:t>
      </w:r>
      <w:r w:rsidRPr="0044524F">
        <w:rPr>
          <w:rFonts w:ascii="Times New Roman" w:hAnsi="Times New Roman"/>
          <w:color w:val="000000" w:themeColor="text1"/>
          <w:sz w:val="16"/>
          <w:szCs w:val="16"/>
        </w:rPr>
        <w:softHyphen/>
        <w:t>ляжем (10667).</w:t>
      </w:r>
    </w:p>
    <w:p w14:paraId="320691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CB2DFAA" w14:textId="77777777" w:rsidR="003C418A" w:rsidRPr="00142305" w:rsidRDefault="003C418A" w:rsidP="003C418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22 ноября 1933 г. заместитель начальника ГУАП направил письмо уже директору завода № 39, где в то время находилась бригада Поликарпова, в котором предписывалось договориться с заводом № 1 о совместной разработке подвесных баков для Р-5 (25035).</w:t>
      </w:r>
    </w:p>
    <w:p w14:paraId="153B376E" w14:textId="77777777" w:rsidR="003C418A" w:rsidRPr="00142305" w:rsidRDefault="003C418A" w:rsidP="003C418A">
      <w:pPr>
        <w:spacing w:after="0" w:line="240" w:lineRule="auto"/>
        <w:jc w:val="both"/>
        <w:rPr>
          <w:rFonts w:ascii="Times New Roman" w:hAnsi="Times New Roman"/>
          <w:color w:val="0070C0"/>
          <w:sz w:val="16"/>
          <w:szCs w:val="16"/>
        </w:rPr>
      </w:pPr>
    </w:p>
    <w:p w14:paraId="41065B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года гл. инженер механик ВВС РККА Аузан писал письмо № сс001420 в СНК Галактионову</w:t>
      </w:r>
    </w:p>
    <w:p w14:paraId="2C000A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настоящему времени, согласно постановления СТО о постройке паровой турбины для авиации в ХАИ заканчивается рабочий проект установки на 6000 л.с., отдельные детали установки размещены для изготовления по заводам, имеется обеспеченность со стороны НКТП в отношение размещения на изготовления и остальных деталей установки, а так же разрешен вопрос об отпуске средств на приобретение необходимой импортной аппаратуры.</w:t>
      </w:r>
    </w:p>
    <w:p w14:paraId="189AE8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срок предъявления установки на испытание к 1 января 1934 года выдержан не будет.</w:t>
      </w:r>
    </w:p>
    <w:p w14:paraId="09E2F2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проектированию установки в 15000 л.с. приступлено частично и срок предъявления последней на испытание к 1 апреля 1934 года тем более выдержан не будет (3530,137).</w:t>
      </w:r>
    </w:p>
    <w:p w14:paraId="62855C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145D8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вышло постановление СТО N 188сс "НКТП закупить аппаратуру и в частности 150 металлических винтов с переменным в полете шагом к моторам для самолетов истребителей (3120).</w:t>
      </w:r>
    </w:p>
    <w:p w14:paraId="5F9155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599D0C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22 ноября по декабрь 1933 состоялись государственные испытания. Испытания АНТ-5 привели начальство буквально в восторг — катер с торпедами развивал скорость 58 узлов, а без торпед — 65, 3 узла. Завод им. Марти, начиная с V серии (первые четыре серии — это катера Ш-4) перешел на производство Г-5 (так назывались серийные катера АНТ-5). Позже Г-5 стали делать и на заводе № 532 в Керчи, а с началом войны завод № 532 эвакуировали в Тюмень, и там на заводе № 639 также приступили к строительству катеров типа Г-5. Всего был по 321 серийный катер Г-5 девяти серий (с VI по ХП, включая 11бис) (10675).</w:t>
      </w:r>
    </w:p>
    <w:p w14:paraId="58EBCCF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DEA9697"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22 ноября по декабрь 1933 г. катер АНТ-5 прошел государственные испытания. Испытания АНТ-5 привели начальство буквально в восторг – катер с торпедами развивал скорость 58 узлов (107,3 км/ч), а без торпед – 65,3 узла (120,3 км/ч). О таких скоростях не могли и мечтать катера других стран.</w:t>
      </w:r>
    </w:p>
    <w:p w14:paraId="1B9FE417"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Завод им. Марти,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XI-бис).</w:t>
      </w:r>
    </w:p>
    <w:p w14:paraId="5FFE19E6"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 С 1941 года катера стали оснащать одним-двумя 12,7-мм пулеметами ДШК (25287).</w:t>
      </w:r>
    </w:p>
    <w:p w14:paraId="32347AB3" w14:textId="77777777" w:rsidR="00264C23" w:rsidRPr="00142305" w:rsidRDefault="00264C23" w:rsidP="00264C23">
      <w:pPr>
        <w:spacing w:after="0" w:line="240" w:lineRule="auto"/>
        <w:jc w:val="both"/>
        <w:rPr>
          <w:rFonts w:ascii="Times New Roman" w:hAnsi="Times New Roman"/>
          <w:color w:val="0070C0"/>
          <w:sz w:val="16"/>
          <w:szCs w:val="16"/>
        </w:rPr>
      </w:pPr>
    </w:p>
    <w:p w14:paraId="69231C09" w14:textId="77777777" w:rsidR="0036609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2F76C3A" w14:textId="77777777" w:rsidR="00366092" w:rsidRPr="0044524F" w:rsidRDefault="0036609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8FF9036" w14:textId="77777777" w:rsidR="00366092" w:rsidRPr="0044524F" w:rsidRDefault="00366092" w:rsidP="009654CF">
      <w:pPr>
        <w:pStyle w:val="rtejustify"/>
        <w:spacing w:before="0" w:after="0"/>
        <w:rPr>
          <w:color w:val="000000" w:themeColor="text1"/>
          <w:sz w:val="16"/>
          <w:szCs w:val="16"/>
        </w:rPr>
      </w:pPr>
      <w:r w:rsidRPr="0044524F">
        <w:rPr>
          <w:rStyle w:val="af0"/>
          <w:bCs/>
          <w:i w:val="0"/>
          <w:color w:val="000000" w:themeColor="text1"/>
          <w:sz w:val="16"/>
          <w:szCs w:val="16"/>
        </w:rPr>
        <w:t>22 ноября 1933 вышел приказ НКТП № 221сс.</w:t>
      </w:r>
      <w:r w:rsidRPr="0044524F">
        <w:rPr>
          <w:color w:val="000000" w:themeColor="text1"/>
          <w:sz w:val="16"/>
          <w:szCs w:val="16"/>
        </w:rPr>
        <w:t xml:space="preserve"> О прекращении строительства Кемеровского комбината и передаче дальнейшего строительства «Сибметаллстрою» с приданием статуса предприятия оборонного значения. (РГАЭ. Ф. 7297. Оп. 38. Д. 37. Л. 341</w:t>
      </w:r>
      <w:r w:rsidRPr="0044524F">
        <w:rPr>
          <w:color w:val="000000" w:themeColor="text1"/>
          <w:sz w:val="16"/>
          <w:szCs w:val="16"/>
        </w:rPr>
        <w:noBreakHyphen/>
        <w:t>340) (15246).</w:t>
      </w:r>
    </w:p>
    <w:p w14:paraId="2F4C48BA" w14:textId="77777777" w:rsidR="00366092" w:rsidRPr="0044524F" w:rsidRDefault="00366092" w:rsidP="009654CF">
      <w:pPr>
        <w:pStyle w:val="rtejustify"/>
        <w:spacing w:before="0" w:after="0"/>
        <w:rPr>
          <w:color w:val="000000" w:themeColor="text1"/>
          <w:sz w:val="16"/>
          <w:szCs w:val="16"/>
        </w:rPr>
      </w:pPr>
    </w:p>
    <w:p w14:paraId="1C8EE1A3"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072EA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3984A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22 ноября 1933 вышла Резолюция Объединенного Пленума ЦК и ЦКК КП(б)У о культурной работе на селе (10687). В результате голода 1932-1933 гг в СССР погибло 6 млн.человек, в т.ч. на Украине 4 млн, в Казахстане - 1 млн, в Центрально-Черноземной области и на Северном Кавказе - 1 млн.человек. Харьков за год потерял 120 тыс.своих жителей, Краснодар - 40 тыс., Ставрополь - 20 тыс (10687).</w:t>
      </w:r>
    </w:p>
    <w:p w14:paraId="44819B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B2E1A87"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2BC87EE"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5B79B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К.Шате стал Премьер-министром Франции (3481).</w:t>
      </w:r>
    </w:p>
    <w:p w14:paraId="2FE718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FAED0DA"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08F2260"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2674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Заводские испытания И-15 начались проводились в ноябре 1933 (222,25). 23 ноября 1933 при длительном пикировании под углом 75 гр. оторвалось крепление лыжи и при посадке машина перевернулась (228,88).</w:t>
      </w:r>
    </w:p>
    <w:p w14:paraId="746056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EE27C5F"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г. во время длительного пикирования ЦКБ-3 со скоростью около 400 км/ч сорвалось ушко крепления растяжки левой лыжи на мотораме. Носок лыжи опустился, и её развернуло поперёк потока. Случай в те времена нередкий, но досадный; шансов приземлиться благополучно практически не было, и самолёт на посадке перевернулся. Чкалов не пострадал, но первый опытный экземпляр оказался разбит. Позднее его восстановили для достижения рекорда высоты (12261).</w:t>
      </w:r>
    </w:p>
    <w:p w14:paraId="41CA15EA" w14:textId="77777777" w:rsidR="00BA29CE" w:rsidRPr="0044524F" w:rsidRDefault="00BA29CE" w:rsidP="009654CF">
      <w:pPr>
        <w:spacing w:after="0" w:line="240" w:lineRule="auto"/>
        <w:jc w:val="both"/>
        <w:rPr>
          <w:rFonts w:ascii="Times New Roman" w:hAnsi="Times New Roman"/>
          <w:color w:val="000000" w:themeColor="text1"/>
          <w:sz w:val="16"/>
          <w:szCs w:val="16"/>
        </w:rPr>
      </w:pPr>
    </w:p>
    <w:p w14:paraId="00B77DD7" w14:textId="77777777" w:rsidR="00335E69" w:rsidRPr="0044524F" w:rsidRDefault="00335E69"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23 ноября 1933 во время длительного пикирования ЦКБ-3 со скоростью около 400 км/ч сорвалось ушко крепления растяжки левой лыжи. Носок лыжи опустился, и ее развернуло поперек потока. Случай в те време</w:t>
      </w:r>
      <w:r w:rsidRPr="0044524F">
        <w:rPr>
          <w:rFonts w:ascii="Times New Roman" w:cs="Times New Roman"/>
          <w:color w:val="000000" w:themeColor="text1"/>
          <w:spacing w:val="0"/>
        </w:rPr>
        <w:softHyphen/>
        <w:t>на не редкий, но досадный; шансов приземлиться благополучно практически не оставалось, и самолет на посадке перевернул</w:t>
      </w:r>
      <w:r w:rsidRPr="0044524F">
        <w:rPr>
          <w:rFonts w:ascii="Times New Roman" w:cs="Times New Roman"/>
          <w:color w:val="000000" w:themeColor="text1"/>
          <w:spacing w:val="0"/>
        </w:rPr>
        <w:softHyphen/>
        <w:t>ся. Чкалов не пострадал, но первый опытный экземпляр вышел из строя. Позднее его восстановили как самолет для достиже</w:t>
      </w:r>
      <w:r w:rsidRPr="0044524F">
        <w:rPr>
          <w:rFonts w:ascii="Times New Roman" w:cs="Times New Roman"/>
          <w:color w:val="000000" w:themeColor="text1"/>
          <w:spacing w:val="0"/>
        </w:rPr>
        <w:softHyphen/>
        <w:t>ния рекорда высоты (19107).</w:t>
      </w:r>
    </w:p>
    <w:p w14:paraId="1A634DB1" w14:textId="77777777" w:rsidR="00335E69" w:rsidRPr="0044524F" w:rsidRDefault="00335E69" w:rsidP="009654CF">
      <w:pPr>
        <w:spacing w:after="0" w:line="240" w:lineRule="auto"/>
        <w:jc w:val="both"/>
        <w:rPr>
          <w:rFonts w:ascii="Times New Roman" w:hAnsi="Times New Roman"/>
          <w:color w:val="000000" w:themeColor="text1"/>
          <w:sz w:val="16"/>
          <w:szCs w:val="16"/>
        </w:rPr>
      </w:pPr>
    </w:p>
    <w:p w14:paraId="6EA835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23 ноября 1933 г. были назначены демонстрационные полеты. Участники проходившего в те дни Пленума Реввоенсовета республики и партийные руководители пожелали ознакомиться с достижениями родной авиационной промышленности. В тот день первым в полет ушел легкий разведчик ЛР конструкции С.А.Кочеригина. Следующим в воздух на ЦКБ-3 поднялся Валерий Чкалов.</w:t>
      </w:r>
    </w:p>
    <w:p w14:paraId="4620F4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длительного пикирования со скоростью около 400 км/ч сорвалось ушко крепления растяжки левой лыжи на мотораме. Носок лыжи опустился и ее развернуло поперек потока. Случай в те времена не редкий, но досадный, шансов благополучно приземлиться практически не имелось. Самолет на посадке перевернулся, Чкалов не пострадал, но машина была разбита (6593).</w:t>
      </w:r>
    </w:p>
    <w:p w14:paraId="794DB4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503B76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г. после завершения заводских испытаний первого экземпляра И-15 самолет решили проде</w:t>
      </w:r>
      <w:r w:rsidRPr="0044524F">
        <w:rPr>
          <w:rFonts w:ascii="Times New Roman" w:hAnsi="Times New Roman"/>
          <w:color w:val="000000" w:themeColor="text1"/>
          <w:sz w:val="16"/>
          <w:szCs w:val="16"/>
        </w:rPr>
        <w:softHyphen/>
        <w:t>монстрировать руководителям Вооруженных Сил, собравшимся на заседание Пленума Реввоенсовета. Сре</w:t>
      </w:r>
      <w:r w:rsidRPr="0044524F">
        <w:rPr>
          <w:rFonts w:ascii="Times New Roman" w:hAnsi="Times New Roman"/>
          <w:color w:val="000000" w:themeColor="text1"/>
          <w:sz w:val="16"/>
          <w:szCs w:val="16"/>
        </w:rPr>
        <w:softHyphen/>
        <w:t>ди них присутствовал и начальник ВВС Я.И.Алкснис. После осмотра машины на земле В.П.Чкалов поднял ЦКБ-3 в воздух. Выполнив каскад фигур высшего пило</w:t>
      </w:r>
      <w:r w:rsidRPr="0044524F">
        <w:rPr>
          <w:rFonts w:ascii="Times New Roman" w:hAnsi="Times New Roman"/>
          <w:color w:val="000000" w:themeColor="text1"/>
          <w:sz w:val="16"/>
          <w:szCs w:val="16"/>
        </w:rPr>
        <w:softHyphen/>
        <w:t>тажа на высоте 1300 метров, летчик перевел самолет в крутое пикирование (угол пикирования достигал 75°). На скорости свыше 400 км/ч, не выдержав нагрузки, оборвались ушки переднего крепления левой лыжи на мотораме. Чкалов, сразу определив характер поврежде</w:t>
      </w:r>
      <w:r w:rsidRPr="0044524F">
        <w:rPr>
          <w:rFonts w:ascii="Times New Roman" w:hAnsi="Times New Roman"/>
          <w:color w:val="000000" w:themeColor="text1"/>
          <w:sz w:val="16"/>
          <w:szCs w:val="16"/>
        </w:rPr>
        <w:softHyphen/>
        <w:t>ния, на высоте 400 м вывел машину из пикирования, круто набрал высоту, перекрыл подачу топлива из бака, выработал остаток бензина из системы питания, выклю</w:t>
      </w:r>
      <w:r w:rsidRPr="0044524F">
        <w:rPr>
          <w:rFonts w:ascii="Times New Roman" w:hAnsi="Times New Roman"/>
          <w:color w:val="000000" w:themeColor="text1"/>
          <w:sz w:val="16"/>
          <w:szCs w:val="16"/>
        </w:rPr>
        <w:softHyphen/>
        <w:t>чил мотор и пошел на посадку. После выравнивания у самой земли на скорости 65-75 км/ч машина спарашютировала, завалившись на левое крыло. ЦКБ-3 коснулся земли носком левой лыжи (при этом сломалась полуось шасси), и самолет перевернулся. Машина получила сильные повреждения, летчик же остался невредим. Авария не повлияла на общую положительную оценку самолета и, несмотря на то, что государственные испытания еще не проводили, руководство авиапромы</w:t>
      </w:r>
      <w:r w:rsidRPr="0044524F">
        <w:rPr>
          <w:rFonts w:ascii="Times New Roman" w:hAnsi="Times New Roman"/>
          <w:color w:val="000000" w:themeColor="text1"/>
          <w:sz w:val="16"/>
          <w:szCs w:val="16"/>
        </w:rPr>
        <w:softHyphen/>
        <w:t>шленности приняло решение о развертывании работ по организации серийной постройки И-15 на заводе № 1. В протоколе заседания под председательством начальника Глававиапрома Королева от 25 ноября 1933 г. написано: «...3) Первую партию И-15 в 1934 г. построить на заводе № 39 с тем, что в 1935 г. производство этой машины пе</w:t>
      </w:r>
      <w:r w:rsidRPr="0044524F">
        <w:rPr>
          <w:rFonts w:ascii="Times New Roman" w:hAnsi="Times New Roman"/>
          <w:color w:val="000000" w:themeColor="text1"/>
          <w:sz w:val="16"/>
          <w:szCs w:val="16"/>
        </w:rPr>
        <w:softHyphen/>
        <w:t>редать на завод № 1.... 5) При осуществлении указанной наметки считать возможным изготовить в 1934 г. ори</w:t>
      </w:r>
      <w:r w:rsidRPr="0044524F">
        <w:rPr>
          <w:rFonts w:ascii="Times New Roman" w:hAnsi="Times New Roman"/>
          <w:color w:val="000000" w:themeColor="text1"/>
          <w:sz w:val="16"/>
          <w:szCs w:val="16"/>
        </w:rPr>
        <w:softHyphen/>
        <w:t>ентировочно... 25 самолетов И-15... 6) Отметить, что... И-15 моторами своего производства в 1934 г. обеспече</w:t>
      </w:r>
      <w:r w:rsidRPr="0044524F">
        <w:rPr>
          <w:rFonts w:ascii="Times New Roman" w:hAnsi="Times New Roman"/>
          <w:color w:val="000000" w:themeColor="text1"/>
          <w:sz w:val="16"/>
          <w:szCs w:val="16"/>
        </w:rPr>
        <w:softHyphen/>
        <w:t>ны не будут». 10 декабря 1933 г. началась пересылка чер</w:t>
      </w:r>
      <w:r w:rsidRPr="0044524F">
        <w:rPr>
          <w:rFonts w:ascii="Times New Roman" w:hAnsi="Times New Roman"/>
          <w:color w:val="000000" w:themeColor="text1"/>
          <w:sz w:val="16"/>
          <w:szCs w:val="16"/>
        </w:rPr>
        <w:softHyphen/>
        <w:t>тежей и другой документации с завода № 39 на завод № 1 для ознакомления и изготовления оснастки и приспо</w:t>
      </w:r>
      <w:r w:rsidRPr="0044524F">
        <w:rPr>
          <w:rFonts w:ascii="Times New Roman" w:hAnsi="Times New Roman"/>
          <w:color w:val="000000" w:themeColor="text1"/>
          <w:sz w:val="16"/>
          <w:szCs w:val="16"/>
        </w:rPr>
        <w:softHyphen/>
        <w:t>соблений (10667).</w:t>
      </w:r>
    </w:p>
    <w:p w14:paraId="6AA0598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96E8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г. во время длительного пикирования ЦКБ-3 со скоростью около 400 км/ч сорвалось ушко крепления растяжки левой лыжи на мотораме. Носок лыжи опустился, и ее развернуло поперек потока. Случай в те времена не редкий, но досадный; шансов приземлиться благополучно практически не имелось, и самолет на посадке перевернулся. Чкалов не пострадал, но первый опытный экземпляр оказался разбит. Позднее его восстановили как самолет для достижения рекорда высоты (12014).</w:t>
      </w:r>
    </w:p>
    <w:p w14:paraId="4C5054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2B2888A"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ноября 1933 г. самолет И-15 (ЦКБ-3) решили продемонстрировать руководителям Вооруженных сил, собравшимся на заседание Пленума Реввоенсовета. Среди них присутствовал и начальник ВВС Я. И. Алкснис. После осмотра машины на земле В. П. Чкалов поднял ЦКБ-3 в воздух. Выполнив каскад фигур высшего пилотажа на высоте 1300 метров, летчик перевел самолет в крутое пикирование (угол пикирования достигал 75»). На скорости свыше 400 км/ч, не выдержав нагрузки, оборвались ушки переднего крепления левой лыжи на мотораме. Чкалов, сразу определив характер повреждения, на высоте 400 м вывел машину из пикирования, круто набрал высоту, закрыл пожарный кран, выработал остаток бензина из системы питания, выключил мотор и пошел на посадку.</w:t>
      </w:r>
    </w:p>
    <w:p w14:paraId="462CFC09"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После выравнивания самолета у самой земли на скорости 65–75 км/ч машина спарашютировала, завалившись на левое крыло. ЦКБ-3 коснулся земли носком левой лыжи (при этом сломалась полуось шасси), и самолет перевернулся. Машина получила сильные повреждения, летчик остался невредим.</w:t>
      </w:r>
    </w:p>
    <w:p w14:paraId="46CDC04F"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Авария не повлияла на общую положительную оценку самолета, и несмотря на то что государственные испытания еще не были проведены, руководство авиапромышленности приняло решение о развертывании работ по организации серийной постройки И-15 на заводе № 1 (25035).</w:t>
      </w:r>
    </w:p>
    <w:p w14:paraId="5E5764C6" w14:textId="77777777" w:rsidR="00264C23" w:rsidRPr="00142305" w:rsidRDefault="00264C23" w:rsidP="00264C23">
      <w:pPr>
        <w:spacing w:after="0" w:line="240" w:lineRule="auto"/>
        <w:jc w:val="both"/>
        <w:rPr>
          <w:rFonts w:ascii="Times New Roman" w:hAnsi="Times New Roman"/>
          <w:color w:val="0070C0"/>
          <w:sz w:val="16"/>
          <w:szCs w:val="16"/>
        </w:rPr>
      </w:pPr>
    </w:p>
    <w:p w14:paraId="59C1E41C"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23 ноября 1933 года перед участниками Пленума Реввоенсовета проводили показательные полеты. В тот день на ярко</w:t>
      </w:r>
      <w:r w:rsidRPr="00142305">
        <w:rPr>
          <w:rFonts w:ascii="Times New Roman" w:hAnsi="Times New Roman"/>
          <w:color w:val="0070C0"/>
          <w:sz w:val="16"/>
          <w:szCs w:val="16"/>
        </w:rPr>
        <w:noBreakHyphen/>
        <w:t>красном истребителе ЦКБ</w:t>
      </w:r>
      <w:r w:rsidRPr="00142305">
        <w:rPr>
          <w:rFonts w:ascii="Times New Roman" w:hAnsi="Times New Roman"/>
          <w:color w:val="0070C0"/>
          <w:sz w:val="16"/>
          <w:szCs w:val="16"/>
        </w:rPr>
        <w:noBreakHyphen/>
        <w:t>3 в воздух поднялся Валерий Чкалов. Во время длительного пикирования со скоростью около 400 км/ч сорвалось ушко крепления растяжки левой лыжи, из</w:t>
      </w:r>
      <w:r w:rsidRPr="00142305">
        <w:rPr>
          <w:rFonts w:ascii="Times New Roman" w:hAnsi="Times New Roman"/>
          <w:color w:val="0070C0"/>
          <w:sz w:val="16"/>
          <w:szCs w:val="16"/>
        </w:rPr>
        <w:noBreakHyphen/>
        <w:t>за чего лыжу развернуло поперек набегающего потока. Случай в те времена не редкий. Шансов на благополучное приземление не было. Самолет на посадке перевернулся, Чкалов не пострадал, но машина оказалась разбита (25069).</w:t>
      </w:r>
    </w:p>
    <w:p w14:paraId="7E58DA63" w14:textId="77777777" w:rsidR="00264C23" w:rsidRPr="00142305" w:rsidRDefault="00264C23" w:rsidP="00264C23">
      <w:pPr>
        <w:spacing w:after="0" w:line="240" w:lineRule="auto"/>
        <w:jc w:val="both"/>
        <w:rPr>
          <w:rFonts w:ascii="Times New Roman" w:hAnsi="Times New Roman"/>
          <w:color w:val="0070C0"/>
          <w:sz w:val="16"/>
          <w:szCs w:val="16"/>
        </w:rPr>
      </w:pPr>
    </w:p>
    <w:p w14:paraId="27C06A2B" w14:textId="117E00A5" w:rsidR="00CF699A" w:rsidRPr="0044524F" w:rsidRDefault="00CF699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г. по инициативе ГУ ВВС самолет ВС-2 К-12 был включен в Постановление СТО № 119сс, которое предусматривало строительство его головной (т.е. установочной) серии из трех экз. на ХАЗОС со сроком передачи на ГИ, сдвинутым на 01.09.34 г. Однако ГУАП настоял на исключении самолета из его серийной программы на том основании, что самолет можно считать только экспериментальным и вопрос о его серийном производстве можно рассматривать только после завершения испытаний. Кроме того, в начале 1934 г. строительство самолета было передано опытному производству завода № 18 (г. Воронеж).</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Постановлением СТО №№ С-39сс «О плане опытного строительства самолетов и моторов на 1936-1936 гг.» от 16.04.35 г. был введен в действие новый) «План опытного моторо- и самолетостроения ВВС РККА на 1935-36 гг.», которым срок сдачи самолета на 01.10.35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В начале 1935 г. был забракован натурный макет самолета (см. ниже). В это же время Калинин ходатайствовал о выделении двух импортных моторов Гном-Рон 14К «Мистраль-Мажор», которыми можно было бы заменить недостаточно мощные М-22 (23157).</w:t>
      </w:r>
    </w:p>
    <w:p w14:paraId="1BB5B197" w14:textId="77777777" w:rsidR="00CF699A" w:rsidRPr="0044524F" w:rsidRDefault="00CF699A" w:rsidP="009654CF">
      <w:pPr>
        <w:spacing w:after="0" w:line="240" w:lineRule="auto"/>
        <w:jc w:val="both"/>
        <w:rPr>
          <w:rFonts w:ascii="Times New Roman" w:hAnsi="Times New Roman"/>
          <w:color w:val="000000" w:themeColor="text1"/>
          <w:sz w:val="16"/>
          <w:szCs w:val="16"/>
        </w:rPr>
      </w:pPr>
    </w:p>
    <w:p w14:paraId="40D5B4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г. в НИИ ВВС закончились государственные испытания системы дозаправки в полете с Р-5, которые проходили с 14 сентября 1933 г. Всего было выполнено 24 полета с общим налетом 17 часов 13 минут. Летали Иващенко, Шавкин, Никитин. В Акте по госиспытаниям указывалось, что «приспо</w:t>
      </w:r>
      <w:r w:rsidRPr="0044524F">
        <w:rPr>
          <w:rFonts w:ascii="Times New Roman" w:hAnsi="Times New Roman"/>
          <w:color w:val="000000" w:themeColor="text1"/>
          <w:sz w:val="16"/>
          <w:szCs w:val="16"/>
        </w:rPr>
        <w:softHyphen/>
        <w:t>собление для переливки горючего из самолета Р-5 в са</w:t>
      </w:r>
      <w:r w:rsidRPr="0044524F">
        <w:rPr>
          <w:rFonts w:ascii="Times New Roman" w:hAnsi="Times New Roman"/>
          <w:color w:val="000000" w:themeColor="text1"/>
          <w:sz w:val="16"/>
          <w:szCs w:val="16"/>
        </w:rPr>
        <w:softHyphen/>
        <w:t>молет ТБ-3 государственные испытания выдержало», что для дозаправки не имеют значения направление вет</w:t>
      </w:r>
      <w:r w:rsidRPr="0044524F">
        <w:rPr>
          <w:rFonts w:ascii="Times New Roman" w:hAnsi="Times New Roman"/>
          <w:color w:val="000000" w:themeColor="text1"/>
          <w:sz w:val="16"/>
          <w:szCs w:val="16"/>
        </w:rPr>
        <w:softHyphen/>
        <w:t>ра и высота полета, что конструкция аппаратуры позво</w:t>
      </w:r>
      <w:r w:rsidRPr="0044524F">
        <w:rPr>
          <w:rFonts w:ascii="Times New Roman" w:hAnsi="Times New Roman"/>
          <w:color w:val="000000" w:themeColor="text1"/>
          <w:sz w:val="16"/>
          <w:szCs w:val="16"/>
        </w:rPr>
        <w:softHyphen/>
        <w:t>ляет производить дозаправку ТБ-3 в воздухе. Благодаря этому можно увеличить дальность полета с заданной бомбовой нагрузкой, либо увеличить бомбовую нагруз</w:t>
      </w:r>
      <w:r w:rsidRPr="0044524F">
        <w:rPr>
          <w:rFonts w:ascii="Times New Roman" w:hAnsi="Times New Roman"/>
          <w:color w:val="000000" w:themeColor="text1"/>
          <w:sz w:val="16"/>
          <w:szCs w:val="16"/>
        </w:rPr>
        <w:softHyphen/>
        <w:t>ку при заданной дальности. В качестве основного недо</w:t>
      </w:r>
      <w:r w:rsidRPr="0044524F">
        <w:rPr>
          <w:rFonts w:ascii="Times New Roman" w:hAnsi="Times New Roman"/>
          <w:color w:val="000000" w:themeColor="text1"/>
          <w:sz w:val="16"/>
          <w:szCs w:val="16"/>
        </w:rPr>
        <w:softHyphen/>
        <w:t>статка отмечалось, что сматывание шланга вручную после заливки на самолете Р-5 затруднено, в особеннос</w:t>
      </w:r>
      <w:r w:rsidRPr="0044524F">
        <w:rPr>
          <w:rFonts w:ascii="Times New Roman" w:hAnsi="Times New Roman"/>
          <w:color w:val="000000" w:themeColor="text1"/>
          <w:sz w:val="16"/>
          <w:szCs w:val="16"/>
        </w:rPr>
        <w:softHyphen/>
        <w:t>ти в зимних условиях. Доработка системы позволяла ус</w:t>
      </w:r>
      <w:r w:rsidRPr="0044524F">
        <w:rPr>
          <w:rFonts w:ascii="Times New Roman" w:hAnsi="Times New Roman"/>
          <w:color w:val="000000" w:themeColor="text1"/>
          <w:sz w:val="16"/>
          <w:szCs w:val="16"/>
        </w:rPr>
        <w:softHyphen/>
        <w:t>транить этот дефект. Однако в дальнейшем к идее дозаправки самолетов в воздухе командование ВВС ста</w:t>
      </w:r>
      <w:r w:rsidRPr="0044524F">
        <w:rPr>
          <w:rFonts w:ascii="Times New Roman" w:hAnsi="Times New Roman"/>
          <w:color w:val="000000" w:themeColor="text1"/>
          <w:sz w:val="16"/>
          <w:szCs w:val="16"/>
        </w:rPr>
        <w:softHyphen/>
        <w:t>ло относиться более сдержанно, практического исполь</w:t>
      </w:r>
      <w:r w:rsidRPr="0044524F">
        <w:rPr>
          <w:rFonts w:ascii="Times New Roman" w:hAnsi="Times New Roman"/>
          <w:color w:val="000000" w:themeColor="text1"/>
          <w:sz w:val="16"/>
          <w:szCs w:val="16"/>
        </w:rPr>
        <w:softHyphen/>
        <w:t>зования в те годы она не получила (10667).</w:t>
      </w:r>
    </w:p>
    <w:p w14:paraId="6185ED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9F9BB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закончились гос. испытания опытной переливки горючего в воздухе из самолета Р-5 М-17 в самолет ТБ-3-4М17, которые проходили с 14 сентября 1933.</w:t>
      </w:r>
    </w:p>
    <w:p w14:paraId="2CA406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2B9533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инженер-летчик Белозеров</w:t>
      </w:r>
    </w:p>
    <w:p w14:paraId="15EAFF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 Миндер, Каверин</w:t>
      </w:r>
    </w:p>
    <w:p w14:paraId="734D6B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7C3204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проверить возможность переливки горючего в воздухе во время полета из самолета Р-5 М-17 в самолет ТБ-3 4М-17.</w:t>
      </w:r>
    </w:p>
    <w:p w14:paraId="25D5B6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практическую целесообразность внедрения таковой в строевые части.</w:t>
      </w:r>
    </w:p>
    <w:p w14:paraId="12D8EC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6E7BC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приспособление для переливки горючего из самолета Р-5 М-17 в самолет ТБ-3 4М-17 гос. испытания выдержало.</w:t>
      </w:r>
    </w:p>
    <w:p w14:paraId="2331A7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проведения гос. испытаний по переливке в воздухе горючего из самолета Р5-М17 в самолет ТБ-3 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060"/>
      </w:tblGrid>
      <w:tr w:rsidR="004E10C1" w:rsidRPr="0044524F" w14:paraId="75EE3C70" w14:textId="77777777">
        <w:tc>
          <w:tcPr>
            <w:tcW w:w="2254" w:type="dxa"/>
          </w:tcPr>
          <w:p w14:paraId="42E1AB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года</w:t>
            </w:r>
          </w:p>
        </w:tc>
        <w:tc>
          <w:tcPr>
            <w:tcW w:w="8060" w:type="dxa"/>
          </w:tcPr>
          <w:p w14:paraId="668420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Перегонка самолета ТБ-3 завода N 39 в Щелково - 50 мин.</w:t>
            </w:r>
          </w:p>
        </w:tc>
      </w:tr>
      <w:tr w:rsidR="004E10C1" w:rsidRPr="0044524F" w14:paraId="65C820C3" w14:textId="77777777">
        <w:tc>
          <w:tcPr>
            <w:tcW w:w="2254" w:type="dxa"/>
          </w:tcPr>
          <w:p w14:paraId="4F9199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года</w:t>
            </w:r>
          </w:p>
        </w:tc>
        <w:tc>
          <w:tcPr>
            <w:tcW w:w="8060" w:type="dxa"/>
          </w:tcPr>
          <w:p w14:paraId="1FC1B8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Вывозные полеты командира эскадрильи Иванова</w:t>
            </w:r>
          </w:p>
        </w:tc>
      </w:tr>
      <w:tr w:rsidR="004E10C1" w:rsidRPr="0044524F" w14:paraId="27A3CD77" w14:textId="77777777">
        <w:tc>
          <w:tcPr>
            <w:tcW w:w="2254" w:type="dxa"/>
          </w:tcPr>
          <w:p w14:paraId="499DBA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4318C0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28 мин.</w:t>
            </w:r>
          </w:p>
        </w:tc>
      </w:tr>
      <w:tr w:rsidR="004E10C1" w:rsidRPr="0044524F" w14:paraId="0FC6E7CD" w14:textId="77777777">
        <w:tc>
          <w:tcPr>
            <w:tcW w:w="2254" w:type="dxa"/>
          </w:tcPr>
          <w:p w14:paraId="520E1F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года</w:t>
            </w:r>
          </w:p>
        </w:tc>
        <w:tc>
          <w:tcPr>
            <w:tcW w:w="8060" w:type="dxa"/>
          </w:tcPr>
          <w:p w14:paraId="02D3BB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Вывозные полеты командира эскадрильи Иванова</w:t>
            </w:r>
          </w:p>
        </w:tc>
      </w:tr>
      <w:tr w:rsidR="004E10C1" w:rsidRPr="0044524F" w14:paraId="74D629E9" w14:textId="77777777">
        <w:tc>
          <w:tcPr>
            <w:tcW w:w="2254" w:type="dxa"/>
          </w:tcPr>
          <w:p w14:paraId="5CB76C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03BFEC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25 мин.</w:t>
            </w:r>
          </w:p>
        </w:tc>
      </w:tr>
      <w:tr w:rsidR="004E10C1" w:rsidRPr="0044524F" w14:paraId="6773478D" w14:textId="77777777">
        <w:tc>
          <w:tcPr>
            <w:tcW w:w="2254" w:type="dxa"/>
          </w:tcPr>
          <w:p w14:paraId="5712BC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04D12B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Самостоятельная тренировка Иванова - 34 мин.</w:t>
            </w:r>
          </w:p>
        </w:tc>
      </w:tr>
      <w:tr w:rsidR="004E10C1" w:rsidRPr="0044524F" w14:paraId="27ACA098" w14:textId="77777777">
        <w:tc>
          <w:tcPr>
            <w:tcW w:w="2254" w:type="dxa"/>
          </w:tcPr>
          <w:p w14:paraId="4C8CC8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w:t>
            </w:r>
          </w:p>
        </w:tc>
        <w:tc>
          <w:tcPr>
            <w:tcW w:w="8060" w:type="dxa"/>
          </w:tcPr>
          <w:p w14:paraId="4FE1E2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шлангов - не выполнено - 2 часа.</w:t>
            </w:r>
          </w:p>
        </w:tc>
      </w:tr>
      <w:tr w:rsidR="004E10C1" w:rsidRPr="0044524F" w14:paraId="2665DD63" w14:textId="77777777">
        <w:tc>
          <w:tcPr>
            <w:tcW w:w="2254" w:type="dxa"/>
          </w:tcPr>
          <w:p w14:paraId="2499BF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года</w:t>
            </w:r>
          </w:p>
        </w:tc>
        <w:tc>
          <w:tcPr>
            <w:tcW w:w="8060" w:type="dxa"/>
          </w:tcPr>
          <w:p w14:paraId="394851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шлангов - не выполнено - 1 час. 8 мин.</w:t>
            </w:r>
          </w:p>
        </w:tc>
      </w:tr>
      <w:tr w:rsidR="004E10C1" w:rsidRPr="0044524F" w14:paraId="1EB02B3C" w14:textId="77777777">
        <w:tc>
          <w:tcPr>
            <w:tcW w:w="2254" w:type="dxa"/>
          </w:tcPr>
          <w:p w14:paraId="2CEAE3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года</w:t>
            </w:r>
          </w:p>
        </w:tc>
        <w:tc>
          <w:tcPr>
            <w:tcW w:w="8060" w:type="dxa"/>
          </w:tcPr>
          <w:p w14:paraId="4A32EC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шлангов - не выполнено - 58 мин.</w:t>
            </w:r>
          </w:p>
        </w:tc>
      </w:tr>
      <w:tr w:rsidR="004E10C1" w:rsidRPr="0044524F" w14:paraId="3BC665EA" w14:textId="77777777">
        <w:tc>
          <w:tcPr>
            <w:tcW w:w="2254" w:type="dxa"/>
          </w:tcPr>
          <w:p w14:paraId="67774E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года</w:t>
            </w:r>
          </w:p>
        </w:tc>
        <w:tc>
          <w:tcPr>
            <w:tcW w:w="8060" w:type="dxa"/>
          </w:tcPr>
          <w:p w14:paraId="6718C1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веревки длиной 60 м - не выполнено</w:t>
            </w:r>
          </w:p>
        </w:tc>
      </w:tr>
      <w:tr w:rsidR="004E10C1" w:rsidRPr="0044524F" w14:paraId="3BC1B696" w14:textId="77777777">
        <w:tc>
          <w:tcPr>
            <w:tcW w:w="2254" w:type="dxa"/>
          </w:tcPr>
          <w:p w14:paraId="454089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57D905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17 мин.</w:t>
            </w:r>
          </w:p>
        </w:tc>
      </w:tr>
      <w:tr w:rsidR="004E10C1" w:rsidRPr="0044524F" w14:paraId="3F40424A" w14:textId="77777777">
        <w:tc>
          <w:tcPr>
            <w:tcW w:w="2254" w:type="dxa"/>
          </w:tcPr>
          <w:p w14:paraId="11867C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года</w:t>
            </w:r>
          </w:p>
        </w:tc>
        <w:tc>
          <w:tcPr>
            <w:tcW w:w="8060" w:type="dxa"/>
          </w:tcPr>
          <w:p w14:paraId="6F5587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веревки длиной 60 м - выполнено.</w:t>
            </w:r>
          </w:p>
        </w:tc>
      </w:tr>
      <w:tr w:rsidR="004E10C1" w:rsidRPr="0044524F" w14:paraId="29E47671" w14:textId="77777777">
        <w:tc>
          <w:tcPr>
            <w:tcW w:w="2254" w:type="dxa"/>
          </w:tcPr>
          <w:p w14:paraId="1F3BE9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58860E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28 мин.</w:t>
            </w:r>
          </w:p>
        </w:tc>
      </w:tr>
      <w:tr w:rsidR="004E10C1" w:rsidRPr="0044524F" w14:paraId="6626FB65" w14:textId="77777777">
        <w:tc>
          <w:tcPr>
            <w:tcW w:w="2254" w:type="dxa"/>
          </w:tcPr>
          <w:p w14:paraId="3CA096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октября 1933 года</w:t>
            </w:r>
          </w:p>
        </w:tc>
        <w:tc>
          <w:tcPr>
            <w:tcW w:w="8060" w:type="dxa"/>
          </w:tcPr>
          <w:p w14:paraId="77C546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шланга длиной 50 м. Не выполнено из-за</w:t>
            </w:r>
          </w:p>
        </w:tc>
      </w:tr>
      <w:tr w:rsidR="004E10C1" w:rsidRPr="0044524F" w14:paraId="5A4888FB" w14:textId="77777777">
        <w:tc>
          <w:tcPr>
            <w:tcW w:w="2254" w:type="dxa"/>
          </w:tcPr>
          <w:p w14:paraId="008742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0132A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того, что конец шланга болтался. - 1 час. 30 мин.</w:t>
            </w:r>
          </w:p>
        </w:tc>
      </w:tr>
      <w:tr w:rsidR="004E10C1" w:rsidRPr="0044524F" w14:paraId="4004EA5E" w14:textId="77777777">
        <w:tc>
          <w:tcPr>
            <w:tcW w:w="2254" w:type="dxa"/>
          </w:tcPr>
          <w:p w14:paraId="2BBBDF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8060" w:type="dxa"/>
          </w:tcPr>
          <w:p w14:paraId="616D7A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час. 38 мин.</w:t>
            </w:r>
          </w:p>
        </w:tc>
      </w:tr>
    </w:tbl>
    <w:p w14:paraId="179FE7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состав экипажа (ведущий летчик Миндер)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8060"/>
      </w:tblGrid>
      <w:tr w:rsidR="004E10C1" w:rsidRPr="0044524F" w14:paraId="32A83024" w14:textId="77777777">
        <w:tc>
          <w:tcPr>
            <w:tcW w:w="2254" w:type="dxa"/>
          </w:tcPr>
          <w:p w14:paraId="6C727B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года</w:t>
            </w:r>
          </w:p>
        </w:tc>
        <w:tc>
          <w:tcPr>
            <w:tcW w:w="8060" w:type="dxa"/>
          </w:tcPr>
          <w:p w14:paraId="7EF25B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Тренировочный полет, хождение парой в строю</w:t>
            </w:r>
          </w:p>
        </w:tc>
      </w:tr>
      <w:tr w:rsidR="004E10C1" w:rsidRPr="0044524F" w14:paraId="7B05CD98" w14:textId="77777777">
        <w:tc>
          <w:tcPr>
            <w:tcW w:w="2254" w:type="dxa"/>
          </w:tcPr>
          <w:p w14:paraId="794BAC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731C2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кильватора с принижением второго самолета и подхватывание</w:t>
            </w:r>
          </w:p>
        </w:tc>
      </w:tr>
      <w:tr w:rsidR="004E10C1" w:rsidRPr="0044524F" w14:paraId="670A8754" w14:textId="77777777">
        <w:tc>
          <w:tcPr>
            <w:tcW w:w="2254" w:type="dxa"/>
          </w:tcPr>
          <w:p w14:paraId="28AD38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1853EF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летнабами самолета ТБ-3 веревки длиной 35 м, вместо</w:t>
            </w:r>
          </w:p>
        </w:tc>
      </w:tr>
      <w:tr w:rsidR="004E10C1" w:rsidRPr="0044524F" w14:paraId="302F1AED" w14:textId="77777777">
        <w:tc>
          <w:tcPr>
            <w:tcW w:w="2254" w:type="dxa"/>
          </w:tcPr>
          <w:p w14:paraId="19F68B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224E48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шланга - 55 мин.</w:t>
            </w:r>
          </w:p>
        </w:tc>
      </w:tr>
      <w:tr w:rsidR="004E10C1" w:rsidRPr="0044524F" w14:paraId="6178EA3A" w14:textId="77777777">
        <w:tc>
          <w:tcPr>
            <w:tcW w:w="2254" w:type="dxa"/>
          </w:tcPr>
          <w:p w14:paraId="1A28C7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ноября 1933 года</w:t>
            </w:r>
          </w:p>
        </w:tc>
        <w:tc>
          <w:tcPr>
            <w:tcW w:w="8060" w:type="dxa"/>
          </w:tcPr>
          <w:p w14:paraId="2984A9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Тренировочный полет, хождение парой в строю</w:t>
            </w:r>
          </w:p>
        </w:tc>
      </w:tr>
      <w:tr w:rsidR="004E10C1" w:rsidRPr="0044524F" w14:paraId="7F6E3989" w14:textId="77777777">
        <w:tc>
          <w:tcPr>
            <w:tcW w:w="2254" w:type="dxa"/>
          </w:tcPr>
          <w:p w14:paraId="76BEA5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0AD3EE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кильватора с принижением второго самолета и подхватывание</w:t>
            </w:r>
          </w:p>
        </w:tc>
      </w:tr>
      <w:tr w:rsidR="004E10C1" w:rsidRPr="0044524F" w14:paraId="52A8928B" w14:textId="77777777">
        <w:tc>
          <w:tcPr>
            <w:tcW w:w="2254" w:type="dxa"/>
          </w:tcPr>
          <w:p w14:paraId="42A245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6547F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летнабами самолета ТБ-3 шланга длиной 35 м, вместо</w:t>
            </w:r>
          </w:p>
        </w:tc>
      </w:tr>
      <w:tr w:rsidR="004E10C1" w:rsidRPr="0044524F" w14:paraId="6FC50080" w14:textId="77777777">
        <w:tc>
          <w:tcPr>
            <w:tcW w:w="2254" w:type="dxa"/>
          </w:tcPr>
          <w:p w14:paraId="280ACF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41C9A4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шланга - 55 мин. В первый полет шланг болтался и из-за</w:t>
            </w:r>
          </w:p>
        </w:tc>
      </w:tr>
      <w:tr w:rsidR="004E10C1" w:rsidRPr="0044524F" w14:paraId="1AF68970" w14:textId="77777777">
        <w:tc>
          <w:tcPr>
            <w:tcW w:w="2254" w:type="dxa"/>
          </w:tcPr>
          <w:p w14:paraId="73B124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DC433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этого задание не было выполнено. Во второй полет</w:t>
            </w:r>
          </w:p>
        </w:tc>
      </w:tr>
      <w:tr w:rsidR="004E10C1" w:rsidRPr="0044524F" w14:paraId="2789F0D2" w14:textId="77777777">
        <w:tc>
          <w:tcPr>
            <w:tcW w:w="2254" w:type="dxa"/>
          </w:tcPr>
          <w:p w14:paraId="7F034C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3C9126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утяжеления груза задание выполнено. - 1 час. 15 мин.</w:t>
            </w:r>
          </w:p>
        </w:tc>
      </w:tr>
      <w:tr w:rsidR="004E10C1" w:rsidRPr="0044524F" w14:paraId="2D7D6F86" w14:textId="77777777">
        <w:tc>
          <w:tcPr>
            <w:tcW w:w="2254" w:type="dxa"/>
          </w:tcPr>
          <w:p w14:paraId="71E86F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года</w:t>
            </w:r>
          </w:p>
        </w:tc>
        <w:tc>
          <w:tcPr>
            <w:tcW w:w="8060" w:type="dxa"/>
          </w:tcPr>
          <w:p w14:paraId="7CFDBE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для переливки горючего в воздухе. Из-за низкой</w:t>
            </w:r>
          </w:p>
        </w:tc>
      </w:tr>
      <w:tr w:rsidR="004E10C1" w:rsidRPr="0044524F" w14:paraId="491D4452" w14:textId="77777777">
        <w:tc>
          <w:tcPr>
            <w:tcW w:w="2254" w:type="dxa"/>
          </w:tcPr>
          <w:p w14:paraId="402C2A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797644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облачности и нового состава экипажа самолета Р-5</w:t>
            </w:r>
          </w:p>
        </w:tc>
      </w:tr>
      <w:tr w:rsidR="004E10C1" w:rsidRPr="0044524F" w14:paraId="197BC549" w14:textId="77777777">
        <w:tc>
          <w:tcPr>
            <w:tcW w:w="2254" w:type="dxa"/>
          </w:tcPr>
          <w:p w14:paraId="02D2CE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6C371D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переливка отставлена - 55 мин.</w:t>
            </w:r>
          </w:p>
        </w:tc>
      </w:tr>
      <w:tr w:rsidR="004E10C1" w:rsidRPr="0044524F" w14:paraId="4CA55977" w14:textId="77777777">
        <w:tc>
          <w:tcPr>
            <w:tcW w:w="2254" w:type="dxa"/>
          </w:tcPr>
          <w:p w14:paraId="3C4C36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года</w:t>
            </w:r>
          </w:p>
        </w:tc>
        <w:tc>
          <w:tcPr>
            <w:tcW w:w="8060" w:type="dxa"/>
          </w:tcPr>
          <w:p w14:paraId="52DEE9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для переливки горючего в воздухе. Первый раз</w:t>
            </w:r>
          </w:p>
        </w:tc>
      </w:tr>
      <w:tr w:rsidR="004E10C1" w:rsidRPr="0044524F" w14:paraId="34BC8EE9" w14:textId="77777777">
        <w:tc>
          <w:tcPr>
            <w:tcW w:w="2254" w:type="dxa"/>
          </w:tcPr>
          <w:p w14:paraId="7E6601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2A525C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переливка одного нижнего бака. Второй - переливка</w:t>
            </w:r>
          </w:p>
        </w:tc>
      </w:tr>
      <w:tr w:rsidR="004E10C1" w:rsidRPr="0044524F" w14:paraId="40581C25" w14:textId="77777777">
        <w:tc>
          <w:tcPr>
            <w:tcW w:w="2254" w:type="dxa"/>
          </w:tcPr>
          <w:p w14:paraId="40C348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1EC9D7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нижнего подфюзеляжного бака и заднего фюзеляжного</w:t>
            </w:r>
          </w:p>
        </w:tc>
      </w:tr>
      <w:tr w:rsidR="004E10C1" w:rsidRPr="0044524F" w14:paraId="3E45D8FA" w14:textId="77777777">
        <w:tc>
          <w:tcPr>
            <w:tcW w:w="2254" w:type="dxa"/>
          </w:tcPr>
          <w:p w14:paraId="0F3C9F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8060" w:type="dxa"/>
          </w:tcPr>
          <w:p w14:paraId="23D1AF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(главного) - 1 час. 30 мин.</w:t>
            </w:r>
          </w:p>
        </w:tc>
      </w:tr>
      <w:tr w:rsidR="004E10C1" w:rsidRPr="0044524F" w14:paraId="685A8E52" w14:textId="77777777">
        <w:tc>
          <w:tcPr>
            <w:tcW w:w="2254" w:type="dxa"/>
          </w:tcPr>
          <w:p w14:paraId="18A1B9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8060" w:type="dxa"/>
          </w:tcPr>
          <w:p w14:paraId="0F5FC6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7512D6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Проведено всего 24 полета общей продолжительностью - 17 час. 13 мин. (3916).</w:t>
      </w:r>
    </w:p>
    <w:p w14:paraId="6EBDB5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EDED3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вышло Постановление СТО N 119сс о программе авиапромышленности на 1934 (2266,164).</w:t>
      </w:r>
    </w:p>
    <w:p w14:paraId="455492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8753E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года начальник НИИ авиадвигателей Ангелов писал:</w:t>
      </w:r>
    </w:p>
    <w:p w14:paraId="24EC36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авиадвигателей существует с августа 1932 года.</w:t>
      </w:r>
    </w:p>
    <w:p w14:paraId="14FB6E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CD1FA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Отдел особых двигателей</w:t>
      </w:r>
    </w:p>
    <w:p w14:paraId="6E83F2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Отдел работает над созданием паровой турбины мощностью 3000 л.с. Эта проблема должна решить развитие тяжелой и сверхтяжелой авиации. Турбина находится в стадии изготовления в основном на Ленинградских заводах.</w:t>
      </w:r>
    </w:p>
    <w:p w14:paraId="570AE2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…………………….(7738, 137-134).</w:t>
      </w:r>
    </w:p>
    <w:p w14:paraId="57ADE2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4D5F9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состоялось совещание у зам. нач. ГУАП Макаровского по производственной программе завода 19 и по подготовке внедрения мотора Циклон (2292,307).</w:t>
      </w:r>
    </w:p>
    <w:p w14:paraId="5FD355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98555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вышло постановление СТО по НИИ и опытным работам в АП (2281,92).</w:t>
      </w:r>
    </w:p>
    <w:p w14:paraId="1B24EC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28404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был подготовлен проект Постановления СТО по НИ и ОР в АП (2281,92).</w:t>
      </w:r>
    </w:p>
    <w:p w14:paraId="4D9F6B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по НИР и ОР в Авиапромышленности (проект)</w:t>
      </w:r>
    </w:p>
    <w:p w14:paraId="77DDEF0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улучшения постановки дела опытного и эксперимен</w:t>
      </w:r>
      <w:r w:rsidRPr="0044524F">
        <w:rPr>
          <w:rFonts w:ascii="Times New Roman" w:hAnsi="Times New Roman"/>
          <w:color w:val="000000" w:themeColor="text1"/>
          <w:sz w:val="16"/>
          <w:szCs w:val="16"/>
        </w:rPr>
        <w:softHyphen/>
        <w:t>тального строительсгва, ускорения темпо в внедрения опытных машин в серию, обеспечения усовершенствования находящихся в серийном производстве машин и укрепления взаимной связи научно-всследовательсках, опытных организаций и промьшленности, - СТО ПОСТАНОВЛЯЕТ:</w:t>
      </w:r>
    </w:p>
    <w:p w14:paraId="1827230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Считать институты авиационной промышленности самостоятельными комплексными организациями, ведущими опытное и экспериментальное строительство и занимающмися связанными о ними научно-исследовательскими проблемами.</w:t>
      </w:r>
    </w:p>
    <w:p w14:paraId="307699D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ГУАП обеспечить дальнейшее укрепление и развитие указанные организаций.</w:t>
      </w:r>
    </w:p>
    <w:p w14:paraId="50F84A4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Вовложить на научно-исследовательские и опытные органи</w:t>
      </w:r>
      <w:r w:rsidRPr="0044524F">
        <w:rPr>
          <w:rFonts w:ascii="Times New Roman" w:hAnsi="Times New Roman"/>
          <w:color w:val="000000" w:themeColor="text1"/>
          <w:sz w:val="16"/>
          <w:szCs w:val="16"/>
        </w:rPr>
        <w:softHyphen/>
        <w:t>зации разработку ноыых опытных и экспериментальных моторов и самолетов, их агрегатов, оборудования и вооружения по плану, утвержденному Правительством.</w:t>
      </w:r>
    </w:p>
    <w:p w14:paraId="6045A38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Централизовать в ВИАМ'е все вопросы авиационного материаловедения, для чего передать под его руководство соответ</w:t>
      </w:r>
      <w:r w:rsidRPr="0044524F">
        <w:rPr>
          <w:rFonts w:ascii="Times New Roman" w:hAnsi="Times New Roman"/>
          <w:color w:val="000000" w:themeColor="text1"/>
          <w:sz w:val="16"/>
          <w:szCs w:val="16"/>
        </w:rPr>
        <w:softHyphen/>
        <w:t>ствующие лаборатории заводов ГУАП'а.</w:t>
      </w:r>
    </w:p>
    <w:p w14:paraId="6AA0A02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ВИАМ возложить:</w:t>
      </w:r>
    </w:p>
    <w:p w14:paraId="2F2C038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изыскание новых авиационных материалов;</w:t>
      </w:r>
    </w:p>
    <w:p w14:paraId="468F4CD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улучшение соответствующих материалов;</w:t>
      </w:r>
    </w:p>
    <w:p w14:paraId="0282EFC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выработку рациональных методов применения в исполь</w:t>
      </w:r>
      <w:r w:rsidRPr="0044524F">
        <w:rPr>
          <w:rFonts w:ascii="Times New Roman" w:hAnsi="Times New Roman"/>
          <w:color w:val="000000" w:themeColor="text1"/>
          <w:sz w:val="16"/>
          <w:szCs w:val="16"/>
        </w:rPr>
        <w:softHyphen/>
        <w:t>зования материалов в самолето и моторостроении;</w:t>
      </w:r>
    </w:p>
    <w:p w14:paraId="743576D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организацию производства новых авиацввнных материалов на заводах-поставщиках;</w:t>
      </w:r>
    </w:p>
    <w:p w14:paraId="421BFB6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организацию новых технологических процессов как отечественных, так и лацензионных материалов на заводах авиапромышленности.</w:t>
      </w:r>
    </w:p>
    <w:p w14:paraId="4687A5B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Расшярить работу в ВИАМ"е по созданию новых материалов для самолетов и моторов из отечественного сырья, а также по созданию и укрепления баз по авиационным материалам и полуфабрикатам, для чего организовать при ВИАМ"е собствен</w:t>
      </w:r>
      <w:r w:rsidRPr="0044524F">
        <w:rPr>
          <w:rFonts w:ascii="Times New Roman" w:hAnsi="Times New Roman"/>
          <w:color w:val="000000" w:themeColor="text1"/>
          <w:sz w:val="16"/>
          <w:szCs w:val="16"/>
        </w:rPr>
        <w:softHyphen/>
        <w:t>ный опытньй завод.</w:t>
      </w:r>
    </w:p>
    <w:p w14:paraId="5CECF9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Предоставить ВИАМ'у право иметь на заводах авиапромы</w:t>
      </w:r>
      <w:r w:rsidRPr="0044524F">
        <w:rPr>
          <w:rFonts w:ascii="Times New Roman" w:hAnsi="Times New Roman"/>
          <w:color w:val="000000" w:themeColor="text1"/>
          <w:sz w:val="16"/>
          <w:szCs w:val="16"/>
        </w:rPr>
        <w:softHyphen/>
        <w:t>шленности и на заводах "Электросталь", им. ЛЕНИНА /в Днепропетровске/, им. ВОРОШИЛОВА /в Ленинграде/, и "Серп м молот" /в Москве/ свои бригады, при помощи которых Инсти</w:t>
      </w:r>
      <w:r w:rsidRPr="0044524F">
        <w:rPr>
          <w:rFonts w:ascii="Times New Roman" w:hAnsi="Times New Roman"/>
          <w:color w:val="000000" w:themeColor="text1"/>
          <w:sz w:val="16"/>
          <w:szCs w:val="16"/>
        </w:rPr>
        <w:softHyphen/>
        <w:t>тут должен наблюдать за технологическими процессами заво</w:t>
      </w:r>
      <w:r w:rsidRPr="0044524F">
        <w:rPr>
          <w:rFonts w:ascii="Times New Roman" w:hAnsi="Times New Roman"/>
          <w:color w:val="000000" w:themeColor="text1"/>
          <w:sz w:val="16"/>
          <w:szCs w:val="16"/>
        </w:rPr>
        <w:softHyphen/>
        <w:t>дов по линии работ ВИАМ'а , и в случае надобности - оказы</w:t>
      </w:r>
      <w:r w:rsidRPr="0044524F">
        <w:rPr>
          <w:rFonts w:ascii="Times New Roman" w:hAnsi="Times New Roman"/>
          <w:color w:val="000000" w:themeColor="text1"/>
          <w:sz w:val="16"/>
          <w:szCs w:val="16"/>
        </w:rPr>
        <w:softHyphen/>
        <w:t>вать заводам техническую помощь.</w:t>
      </w:r>
    </w:p>
    <w:p w14:paraId="0A1B61E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Укрепить и раавернутъ на самолетных и моторных заводах конотрукторские бюро, в обязанности которых ыходит:</w:t>
      </w:r>
    </w:p>
    <w:p w14:paraId="5788CB1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улучшение находящихся в серийном производстве и, по согласованию с опыгными организациями, модерннизацию</w:t>
      </w:r>
    </w:p>
    <w:p w14:paraId="35E507B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пред"явление текущих эталлонов этих машин;</w:t>
      </w:r>
    </w:p>
    <w:p w14:paraId="2E655B0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внедрение в серию совместно с опытным органи новых типов машин.</w:t>
      </w:r>
    </w:p>
    <w:p w14:paraId="016134A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Организовать при серийных заводах отдельные производственные цеха для выполнения работ конструкторских бюро заводов и в соответствии с задачами, поставленными перед конструкторокаыа бюро, расширить лаборатории, заводов</w:t>
      </w:r>
    </w:p>
    <w:p w14:paraId="092E4EE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Усилить институтам и серийным заводам наблюдение за качеством малин и материалов, находящихся в эксплоатации, создав для этого специальные эксалоатационные группы.</w:t>
      </w:r>
    </w:p>
    <w:p w14:paraId="5095B2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Раширить об'ем работ опытных организаций в области построения экспериментальных машин и их агрегатов дляускорения темпов перспективного развития советской авиации</w:t>
      </w:r>
    </w:p>
    <w:p w14:paraId="19DBD8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Обязать Наркомтяжпром на заводах-поставщиках выполнять заказы институтов, в первую очередь и оказывать, по мере надобности, немедленную техническую помощь.</w:t>
      </w:r>
    </w:p>
    <w:p w14:paraId="220D84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Для лучшей организации внедрения в серийное строительство опьггных самолетов и моторов выделять опытным организациям на серийные заводы отдельного ответственного руководителя по каждой машине на время с момента передачи опытных организаций заводам до выпуска первой серии.</w:t>
      </w:r>
    </w:p>
    <w:p w14:paraId="7BAAF3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Для ускорения темпов внедрения работ научно-исследовательских и опытных организаций в серийное производство организовать временную посылку заводских работников в эти организации.</w:t>
      </w:r>
    </w:p>
    <w:p w14:paraId="6851F3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В целях укрепления взаимной связи между опытными и научно-исследовательскими организациями авиапромышленности, вменить им в обязанность создание единых оперативных планов работ по каждой машине.</w:t>
      </w:r>
    </w:p>
    <w:p w14:paraId="2B0031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Обратить особое внимание НИИ и опытных организаций на укрепление и усиление работ по винто-моторной группе.</w:t>
      </w:r>
    </w:p>
    <w:p w14:paraId="416EB9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Усилить оперативное руководство ГУАПа по координации работ НИ и ОО промышленности (2181,92).</w:t>
      </w:r>
    </w:p>
    <w:p w14:paraId="4FCF15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66689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Нач. ВВС писал письмо в СТО (копия нач. ГУАП Королеву):</w:t>
      </w:r>
    </w:p>
    <w:p w14:paraId="36C368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представленному проекту постановления СТО о производстве гидросамолетов я имею нижеследующие дополнения и изменения:</w:t>
      </w:r>
    </w:p>
    <w:p w14:paraId="0179D9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1 - Настаиваю на сдаче в 1934 по крайней мере 12 МДР-4 на вооружение хотя бы одной эскадрильи и никак не могу согласиться на доведение только 6 самолетов этого типа до состояния техготовности, т.е. до состояния задела, без всякой сдачи и даже предъявления их НКВМ, как это предполагает проект.</w:t>
      </w:r>
    </w:p>
    <w:p w14:paraId="3A8EC7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2 - Настаиваю на сдаче заводом 22 по 1934 хотя бы 6 самолетов типа Морской Крейсер для освоения их в зимних условиях 1934-35 и своевременной отработки эталона 9образца) на 1935 и возражаю против предложения Королева о доведении этих самолетов только до техготовности.</w:t>
      </w:r>
    </w:p>
    <w:p w14:paraId="127D06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 4 - исключительное значение постановки производства гидросамолетов на заводе 125 в Иркутске заставляет меня настаивать на выпуске и сдаче НКВМ в 1934 на этом заводе не менее 10-12 машин для вооружения хотя бы одной эскадрильи.</w:t>
      </w:r>
    </w:p>
    <w:p w14:paraId="617DEE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Соответственно с этим необходимо уже сейчас принять меры к завершению строительства и оборудованию завода и подготовки...</w:t>
      </w:r>
    </w:p>
    <w:p w14:paraId="372472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...теперь и в возрастающий в будущем году между мощностями самолетных и моторных заводов, считаю необходимым пункт этот дополнить:</w:t>
      </w:r>
    </w:p>
    <w:p w14:paraId="0C3B1A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НКТП не позже 15 января 1934 представить в СНК план наращивания производственных мощностей моторостроительных заводов до полной ликвидации разрыва между самолетными и моторными заводами с перечнем необходимых конкретных мероприятий для этой цели.”</w:t>
      </w:r>
    </w:p>
    <w:p w14:paraId="526827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остальном проект постановления с моей стороны возражений не встречает (2266,233).</w:t>
      </w:r>
    </w:p>
    <w:p w14:paraId="00BCB2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(проект)</w:t>
      </w:r>
    </w:p>
    <w:p w14:paraId="621F4D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развертывании производства гидросамолетов</w:t>
      </w:r>
    </w:p>
    <w:p w14:paraId="65FD1D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развитие постановления от 13 августа 1933 г. о форсировании морского гидросамолетостроения СТО ПОСТАНОВЛЯЕТ:</w:t>
      </w:r>
    </w:p>
    <w:p w14:paraId="3A6615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НКТП и персонально Нач. ГУАП т. Королева Г.К. поставить на заводе № 31 в г. Таганроге производство гидросамолетов типа МБР-2 и МДР-4 и выполнить в 1934 г. и сдать 250 шт. первых и довести в том же году до состояния технической готовности 6 шт. вторых.</w:t>
      </w:r>
    </w:p>
    <w:p w14:paraId="794A5D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1935 г. ориентировочно назначить сдачу МДР-2 300 шт. и сдачу МДР-4 50 шт. и на 1936 г. назначить сдачу МБР-2 400 шт. и МДР-4 - 100 шт.</w:t>
      </w:r>
    </w:p>
    <w:p w14:paraId="34E50C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Обязать НКТП и персонально Нач. ГУАП т. Королева организовать в дополнение к производству завода № 31 временную внутренюю базу по тяжелым гидросамолетам типа МК на заводе № 22 в Москве с тем, чтобы сборка этих самолетов могла быть произведена в Таганроге на заводе № 31, в Севастополе на заводе № 45 или смежных площадках и на одной из гидробаз на ДВ, по согласованию с НКВМ.</w:t>
      </w:r>
    </w:p>
    <w:p w14:paraId="521B32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Ориентировочную программу заводу № 22 по тяжелым гидросамолетам типа МК услановить следующую: на 1934 г. 5 самолетов по технической готовности, на 1935 - 50 самолетов по сдаче и на 1936 г. - до 100.</w:t>
      </w:r>
    </w:p>
    <w:p w14:paraId="786879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Нехависимо от развития названных баз морского самолетостроения, обязать Нач. ГУАП т. Королева организовать вторую внутреннюю базу тяжелого гидросамолетостроения на заводе № 124 в г. Казань, обеспечивая дальнейшее строительство названного завода таким образом, чтобы уже в 1934 г. на отстроенных площадях началось бы постройка гидросамолетов, однако, с таким расчетом, что в дальнейшем завод № 124 является в основном базой по тяжелым сухопутным и морским самолетам.</w:t>
      </w:r>
    </w:p>
    <w:p w14:paraId="5AFF4C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соответствии с постановлением СТО от 13 августа 1933 г. обязать Нач. ГУАП т. Королева организовать с 1 кв. 1934 г. на заводе № 125 в г. Иркутске производство гидросамолетов типа МДР-4 и выполнить в 1934 по технической готовности 3 машины.</w:t>
      </w:r>
    </w:p>
    <w:p w14:paraId="0F1B78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Обязать Нач. ГУАП т. Королева вести развитие на заводе № 126, находящемся ныне в начальной стадии чистого строительства, таким образом, чтобы постановка производства иорских гидросамолетов на названном заводе началась не позднее 1936 г.</w:t>
      </w:r>
    </w:p>
    <w:p w14:paraId="2BEF77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Обязать НКВМ немедленно приступить к постройке морских аэродромов и береговых сооружений для хранения тяжелых морских самолетов (МДР-4 и МК).</w:t>
      </w:r>
    </w:p>
    <w:p w14:paraId="1CBA01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 своевременно обеспечить по заказам НКВМора эти сооружения соответствующим оборудованием.</w:t>
      </w:r>
    </w:p>
    <w:p w14:paraId="26CA4E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Ввиду имеющегосы уже разрыва между самолетостроительными и моторостроительными заводами...(2266,232).</w:t>
      </w:r>
    </w:p>
    <w:p w14:paraId="3A32FD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1392E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года был подготовлен краткий отчет о работе московских НИИ за первое полугодие 1933 года</w:t>
      </w:r>
    </w:p>
    <w:p w14:paraId="19B33D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0C541A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СНИИ</w:t>
      </w:r>
    </w:p>
    <w:p w14:paraId="1184E737"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произведены испытания самолета АНТ-9 с моторами М-17 (работа закончена 10 февраля 1933 года).</w:t>
      </w:r>
    </w:p>
    <w:p w14:paraId="32A6D2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тип переконструированного самолета дал хорошие результаты, принят в эксплуатацию и внедрен в серийное производство.</w:t>
      </w:r>
    </w:p>
    <w:p w14:paraId="44EBB71E"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Закончены испытания самолета АИР-4 – в марте 1933 года, которые дали положительные результаты.</w:t>
      </w:r>
    </w:p>
    <w:p w14:paraId="21DCD610"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Произведены и закончены эксплуатационные испытания самолета Сталь-2, все выявленные недостатки были указаны заводу № 82 с целью их устранения.</w:t>
      </w:r>
    </w:p>
    <w:p w14:paraId="300CE753"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Была произведена подготовка самолета П-5 для перелета Водопьянова, в связи с чем были переделаны баки, устроена кабина и отопление. Самолет пошел в перелет.</w:t>
      </w:r>
    </w:p>
    <w:p w14:paraId="7A1327E0"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Институт принимал участие в производстве и испытании самолета Сталь-3. Кроме того принималось участие в испытаниях скоростного почтово-пассажирского самолета ХАИ-1.</w:t>
      </w:r>
    </w:p>
    <w:p w14:paraId="4BEDBC94"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Сталь-6 велись конструктивные переработки и доработки отдельных деталей.</w:t>
      </w:r>
    </w:p>
    <w:p w14:paraId="7A684B82"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Разработана конструкция механизированного крыла для самолета АИР-6. Испытания дали настолько хорошие результаты, что механизированные крылья вводятся и на другие типы самолетов (7738, 133-128).</w:t>
      </w:r>
    </w:p>
    <w:p w14:paraId="0E25C0F3"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5967F48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г. десятью снаря</w:t>
      </w:r>
      <w:r w:rsidRPr="0044524F">
        <w:rPr>
          <w:rFonts w:ascii="Times New Roman" w:hAnsi="Times New Roman"/>
          <w:color w:val="000000" w:themeColor="text1"/>
          <w:sz w:val="16"/>
          <w:szCs w:val="16"/>
        </w:rPr>
        <w:softHyphen/>
        <w:t>дами той же модели 1374, изго</w:t>
      </w:r>
      <w:r w:rsidRPr="0044524F">
        <w:rPr>
          <w:rFonts w:ascii="Times New Roman" w:hAnsi="Times New Roman"/>
          <w:color w:val="000000" w:themeColor="text1"/>
          <w:sz w:val="16"/>
          <w:szCs w:val="16"/>
        </w:rPr>
        <w:softHyphen/>
        <w:t>товленными тщательнее снарядов модели 561/1273 подтвердили, что качество изготовления снарядов при повышении давления в камере двигателя оказывает влияние на меткость. Для нее в опытной механической мастерской АНИИ изготовили 20 боеприпасов. Качество их признали неудовлетво</w:t>
      </w:r>
      <w:r w:rsidRPr="0044524F">
        <w:rPr>
          <w:rFonts w:ascii="Times New Roman" w:hAnsi="Times New Roman"/>
          <w:color w:val="000000" w:themeColor="text1"/>
          <w:sz w:val="16"/>
          <w:szCs w:val="16"/>
        </w:rPr>
        <w:softHyphen/>
        <w:t>рительным. В частности, «БЧ и сопла располагались эксцентрично отно</w:t>
      </w:r>
      <w:r w:rsidRPr="0044524F">
        <w:rPr>
          <w:rFonts w:ascii="Times New Roman" w:hAnsi="Times New Roman"/>
          <w:color w:val="000000" w:themeColor="text1"/>
          <w:sz w:val="16"/>
          <w:szCs w:val="16"/>
        </w:rPr>
        <w:softHyphen/>
        <w:t>сительно двигателя. У некоторых боеприпасов эксцентриситет сопла до</w:t>
      </w:r>
      <w:r w:rsidRPr="0044524F">
        <w:rPr>
          <w:rFonts w:ascii="Times New Roman" w:hAnsi="Times New Roman"/>
          <w:color w:val="000000" w:themeColor="text1"/>
          <w:sz w:val="16"/>
          <w:szCs w:val="16"/>
        </w:rPr>
        <w:softHyphen/>
        <w:t>ходил до 6 мм». Несмотря на невозможность устранения этих дефектов, снаряды все же допустили к стрельбе «для накопления опытного матери</w:t>
      </w:r>
      <w:r w:rsidRPr="0044524F">
        <w:rPr>
          <w:rFonts w:ascii="Times New Roman" w:hAnsi="Times New Roman"/>
          <w:color w:val="000000" w:themeColor="text1"/>
          <w:sz w:val="16"/>
          <w:szCs w:val="16"/>
        </w:rPr>
        <w:softHyphen/>
        <w:t>ала, чтобы проверить, насколько влияет качество изготовления узлов РС на результат стрельбы». БЧ инертных снарядов были залиты серой. РЗ состоял из 28 шашек пороха рецептуры ПТП габаритами 40/8-57,5 мм. Одна из шашек — раз</w:t>
      </w:r>
      <w:r w:rsidRPr="0044524F">
        <w:rPr>
          <w:rFonts w:ascii="Times New Roman" w:hAnsi="Times New Roman"/>
          <w:color w:val="000000" w:themeColor="text1"/>
          <w:sz w:val="16"/>
          <w:szCs w:val="16"/>
        </w:rPr>
        <w:softHyphen/>
        <w:t>резная. По торцам РЗ располагались два воспламенителя из 12 г ДРП ка</w:t>
      </w:r>
      <w:r w:rsidRPr="0044524F">
        <w:rPr>
          <w:rFonts w:ascii="Times New Roman" w:hAnsi="Times New Roman"/>
          <w:color w:val="000000" w:themeColor="text1"/>
          <w:sz w:val="16"/>
          <w:szCs w:val="16"/>
        </w:rPr>
        <w:softHyphen/>
        <w:t>ждый. Диаметр критического сечения сопла - 26,0 мм. Стрельбу на НИ</w:t>
      </w:r>
      <w:r w:rsidRPr="0044524F">
        <w:rPr>
          <w:rFonts w:ascii="Times New Roman" w:hAnsi="Times New Roman"/>
          <w:color w:val="000000" w:themeColor="text1"/>
          <w:sz w:val="16"/>
          <w:szCs w:val="16"/>
        </w:rPr>
        <w:softHyphen/>
        <w:t>АП вели с углами возвышения 21°. Руководил опытами Ф.Н.Пойда в присутствии ВРИД начальника 1 отдела Л.Э.Шварца. Протяженность директрисы составляла 5600 м.</w:t>
      </w:r>
    </w:p>
    <w:p w14:paraId="041CDF7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 «ухудшение характеристик точности, по сравнению с бое-припасом с шестью крыльями оперения того же размаха, особенно за</w:t>
      </w:r>
      <w:r w:rsidRPr="0044524F">
        <w:rPr>
          <w:rFonts w:ascii="Times New Roman" w:hAnsi="Times New Roman"/>
          <w:color w:val="000000" w:themeColor="text1"/>
          <w:sz w:val="16"/>
          <w:szCs w:val="16"/>
        </w:rPr>
        <w:softHyphen/>
        <w:t>метно в отклонениях по дальности. Отмеченное неудовлетворительное качество боеприпасов не позволило связать повышенное рассеивание РС с уменьшением площади оперения».</w:t>
      </w:r>
    </w:p>
    <w:p w14:paraId="62B5E52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аналогичной схеме дорабатывали и РС-82. Боеприпасы модели 546/1276 изготавливали на заводе №67, но вместо стабилизатора из 16 лопастей установили оперение из четырех крыльев. Стрельба ими на меткость состоялась на НИАП 31 августа 1933 г. при углах возвышения пусковой 17° (11402).</w:t>
      </w:r>
    </w:p>
    <w:p w14:paraId="7725960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F8C070" w14:textId="77777777" w:rsidR="002E2083" w:rsidRPr="0044524F" w:rsidRDefault="001A42D5"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CFB705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75108E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г. было подготовлено донесение № 50822</w:t>
      </w:r>
    </w:p>
    <w:p w14:paraId="174A8F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СЕКРЕТАРЮ ЦК ВКП (Б)</w:t>
      </w:r>
    </w:p>
    <w:p w14:paraId="2274AF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тов. Сталину</w:t>
      </w:r>
    </w:p>
    <w:p w14:paraId="7180EB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Резолюция Сталина: Результаты сообщить</w:t>
      </w:r>
    </w:p>
    <w:p w14:paraId="79E111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октября с. г. на заводе “Электроприбор” в г. Ленинграде была обнаружена пропажа секретного чертежа – схемы управления артиллерийским огнем береговой обороны.</w:t>
      </w:r>
    </w:p>
    <w:p w14:paraId="4A7957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Негласным исследованием этого факта, ОГПУ было установлено, что чертеж присвоен заводским инженером Зильберберг Лев Яковлевичем.</w:t>
      </w:r>
    </w:p>
    <w:p w14:paraId="2C1484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ноября последний был арестован и на квартире у него обнаружены 3 секретных чертежа, военных заказов, находящихся в производстве на заводе “Электроприбор”.</w:t>
      </w:r>
    </w:p>
    <w:p w14:paraId="2A1F4A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Следствием установлено; инж. Зильберберг проживая в 1921-23 гг. в г. Аккермане (Бессарабия) был завербован Румынской разведкой (сигуранцей) в лице сотрудника разведки Керлера, при содействии некоего гр. Капелюшника, также тайного агента разведки.</w:t>
      </w:r>
    </w:p>
    <w:p w14:paraId="0D7EB0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1923 г. Зильберберг был нелегально переброшен на территорию СССР для ведения, по заданию разведки шпионской работы, где выдал себя за политэмигранта.</w:t>
      </w:r>
    </w:p>
    <w:p w14:paraId="503D20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того же года Зильберберг, по заданию разведки вступил добровольно в РККА и был зачислен в 6-й полк связи в г. Киеве. Затем, будучи демобилизованным, пробрался во СТУЗ и по окончании его в 1931 г. переехал в г. Ленинград, где и поступил на завод “Электроприбор” в качестве инженера.</w:t>
      </w:r>
    </w:p>
    <w:p w14:paraId="540A57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1931 г. Зильберберг установил связь с упомянутым тайным агентом Румынской разведки Капелюшником, также перебравшимся в СССР и устроившимся инженером на военный радиозавод им. “Коминтерн” в Ленинграде.</w:t>
      </w:r>
    </w:p>
    <w:p w14:paraId="2BBCF2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проведения разведывательной работы по военным заказам на заводе “Электроприбор” Зильбербергом был завербован инж. Военно-морской части завода Дмитриев В.М., который в течение свыше года снабжал Зильберберга секретными чертежами, схемами и подробными сведениями о количестве и назначении заказов военно-морской части завода “Электроприбор”.</w:t>
      </w:r>
    </w:p>
    <w:p w14:paraId="0A9D4E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Шпионские сведения и материалы Зильбербергом передавались Капелюшнику, который за это платил деньги.</w:t>
      </w:r>
    </w:p>
    <w:p w14:paraId="4FD1F1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 Капелюшник Ю.И. – Зав. Спец. Конструкторск. Бюро Радиозавод им. “Коминтерн” и инж. Дмитриев Б.М – сотрудник Военно-морской части завода “Электроприбор” – арестованы.</w:t>
      </w:r>
    </w:p>
    <w:p w14:paraId="443571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Следствие по делу продолжается.</w:t>
      </w:r>
    </w:p>
    <w:p w14:paraId="5154FD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Председателя ОГПУ Ягода</w:t>
      </w:r>
    </w:p>
    <w:p w14:paraId="448E64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 ЭКУ ОГПУ Миронов</w:t>
      </w:r>
    </w:p>
    <w:p w14:paraId="25A42227" w14:textId="77777777" w:rsidR="002E2083" w:rsidRPr="0044524F" w:rsidRDefault="002E2083" w:rsidP="009654CF">
      <w:pPr>
        <w:autoSpaceDE w:val="0"/>
        <w:autoSpaceDN w:val="0"/>
        <w:adjustRightInd w:val="0"/>
        <w:spacing w:after="0" w:line="240" w:lineRule="auto"/>
        <w:jc w:val="both"/>
        <w:rPr>
          <w:rFonts w:ascii="Times New Roman" w:hAnsi="Times New Roman"/>
          <w:bCs/>
          <w:color w:val="000000" w:themeColor="text1"/>
          <w:sz w:val="16"/>
          <w:szCs w:val="16"/>
        </w:rPr>
      </w:pPr>
      <w:r w:rsidRPr="0044524F">
        <w:rPr>
          <w:rFonts w:ascii="Times New Roman" w:hAnsi="Times New Roman"/>
          <w:color w:val="000000" w:themeColor="text1"/>
          <w:sz w:val="16"/>
          <w:szCs w:val="16"/>
        </w:rPr>
        <w:t>АП РФ, ф.3, оп.58, д.243, л.201-202 (11462).</w:t>
      </w:r>
    </w:p>
    <w:p w14:paraId="24BEF5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CE6466E" w14:textId="77777777" w:rsidR="00AD36C0" w:rsidRPr="0044524F" w:rsidRDefault="00AD36C0"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928A72E" w14:textId="77777777" w:rsidR="00AD36C0" w:rsidRPr="0044524F" w:rsidRDefault="00AD36C0"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516AECA" w14:textId="77777777" w:rsidR="00AD36C0" w:rsidRPr="0044524F" w:rsidRDefault="00AD36C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ноября 1933 г. в Англии было утверждено тактико-техническое задание R.2/33. Согласно ему, предусматривалось создание четырехмоторного многоцелевого гидроплана с дальностью полета 2 593 км (1 400 морских миль) и рабочим потолком 4 572 м (15 000 футов). Вооружение должно состоять из бомб, а также четырех оборонительных установок с 7,69-мм пулеметами (требовалось также предусмотреть возможность замены пулеметов в носовой установке 37-мм пушкой).</w:t>
      </w:r>
    </w:p>
    <w:p w14:paraId="223C4198" w14:textId="77777777" w:rsidR="00AD36C0" w:rsidRPr="0044524F" w:rsidRDefault="00AD36C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Свои предложения по спецификации R.2/33 представили пять фирм. Наибольшую активность проявила «Супермарин», предложившая сразу три проекта — монопланы «модель 232» и «модель 239» с двигателями «Роллс-Ройс» «Госхоук» и «Мерлин», соответственно, а также биплан «модель 238» с моторами «Бристоль» «Персеус». Но все эти проекты, равно как и предложения фирм «Блэкборн» и «Фэйри», были отклонены. Успех сопутствовал «Сандерс-Ро» и «Шорт Бразерс». Эти фирмы получили контракты на строительство прототипов своих самолетов А.33 и S.25, получивших регистрационные номера К4773 и К4774, соответственно. В ноябре 1936 г., еще до начала испытаний, фирмы получили следующие заказы на первые серийные партии самолетов (по 11 машин). Тогда же S.25 официально получил наименование «Сандерленд» (22736).</w:t>
      </w:r>
    </w:p>
    <w:p w14:paraId="7CAD1F42" w14:textId="77777777" w:rsidR="00AD36C0" w:rsidRPr="0044524F" w:rsidRDefault="00AD36C0" w:rsidP="009654CF">
      <w:pPr>
        <w:spacing w:after="0" w:line="240" w:lineRule="auto"/>
        <w:jc w:val="both"/>
        <w:rPr>
          <w:rFonts w:ascii="Times New Roman" w:hAnsi="Times New Roman"/>
          <w:color w:val="000000" w:themeColor="text1"/>
          <w:sz w:val="16"/>
          <w:szCs w:val="16"/>
        </w:rPr>
      </w:pPr>
    </w:p>
    <w:p w14:paraId="4CE3E0F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D393106"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61AAB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ноября 1933 года Алкснис писал письмо N35/001911 начальнику НИИ ВВС Зильберту.</w:t>
      </w:r>
    </w:p>
    <w:p w14:paraId="782736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возможности перевозить на самолете ТБ3 до 35-40 чел. с парашютами и более 50 чел. без парашютов исключить из плана работ Отдела ОН кабины под самолет ТБ3 (3853,158).</w:t>
      </w:r>
    </w:p>
    <w:p w14:paraId="135DA8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8D07799" w14:textId="77777777" w:rsidR="00AD36C0" w:rsidRPr="0044524F" w:rsidRDefault="00AD36C0"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088F995" w14:textId="77777777" w:rsidR="00AD36C0" w:rsidRPr="0044524F" w:rsidRDefault="00AD36C0"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F088926" w14:textId="77777777" w:rsidR="00AD36C0" w:rsidRPr="0044524F" w:rsidRDefault="00AD36C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ноября 1932 - Совершил первый полёт авиалайнер De Havilland DH-84 Dragon. Хотя его схема - деревянный биплан, в те годы уже считалась устаревшей, самолёт оказался удачным. Он эксплуатировался на линиях до середины 1950-х. Несколько экземпляров сохранились до сих пор (22482).</w:t>
      </w:r>
    </w:p>
    <w:p w14:paraId="4582451B" w14:textId="77777777" w:rsidR="00AD36C0" w:rsidRPr="0044524F" w:rsidRDefault="00AD36C0" w:rsidP="009654CF">
      <w:pPr>
        <w:spacing w:after="0" w:line="240" w:lineRule="auto"/>
        <w:jc w:val="both"/>
        <w:rPr>
          <w:rFonts w:ascii="Times New Roman" w:hAnsi="Times New Roman"/>
          <w:color w:val="000000" w:themeColor="text1"/>
          <w:sz w:val="16"/>
          <w:szCs w:val="16"/>
        </w:rPr>
      </w:pPr>
    </w:p>
    <w:p w14:paraId="5C95AFC8" w14:textId="77777777" w:rsidR="00AD36C0" w:rsidRPr="0044524F" w:rsidRDefault="00AD36C0"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ноября 1933 нациcты приняли закон, позволяющий помещать в концлагеря нищих, бездомных, алкоголиков и безработных (1798).</w:t>
      </w:r>
    </w:p>
    <w:p w14:paraId="75857753" w14:textId="77777777" w:rsidR="00AD36C0" w:rsidRPr="0044524F" w:rsidRDefault="00AD36C0" w:rsidP="009654CF">
      <w:pPr>
        <w:autoSpaceDE w:val="0"/>
        <w:autoSpaceDN w:val="0"/>
        <w:adjustRightInd w:val="0"/>
        <w:spacing w:after="0" w:line="240" w:lineRule="auto"/>
        <w:jc w:val="both"/>
        <w:rPr>
          <w:rFonts w:ascii="Times New Roman" w:hAnsi="Times New Roman"/>
          <w:color w:val="000000" w:themeColor="text1"/>
          <w:sz w:val="16"/>
          <w:szCs w:val="16"/>
        </w:rPr>
      </w:pPr>
    </w:p>
    <w:p w14:paraId="03D69C1B"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B2F702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5EE78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состоялось заседание у нач. ГУАП Королева (протокол 159) - был направлен с письмом N Н-34о/с 26 ноября 1936:</w:t>
      </w:r>
    </w:p>
    <w:p w14:paraId="689C91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w:t>
      </w:r>
    </w:p>
    <w:p w14:paraId="5976B9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Внедрение в производстве И-14, 15 и 16 признать возможным.</w:t>
      </w:r>
    </w:p>
    <w:p w14:paraId="3AABF3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Производство И-16 в 1934 поставить на заводе 39 с тем, чтобы первая партия в первом полугодии 1934 строится на заводе 39, а во втором полугодии на заводе 1 с соответствующим снятием с этого завода И-7.</w:t>
      </w:r>
    </w:p>
    <w:p w14:paraId="71A0E0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Первую партию И-15 в 1934 построить на заводе 39 с тем, что в 1935 производство этой машины передать на завод 21.</w:t>
      </w:r>
    </w:p>
    <w:p w14:paraId="43D19C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Подготовить И-14 вести на заводе 21 и по получении эталона ставить на производство в 1934 со снятием с производства соответствующего количества И-15.</w:t>
      </w:r>
    </w:p>
    <w:p w14:paraId="5B6A69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При осуществлении указанной наметки - считать возможным изготовить в 1934 ориентировочно 100 И-16 с М-22, 25 И-15 и 50 И-14.</w:t>
      </w:r>
    </w:p>
    <w:p w14:paraId="1C5FED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Отметить, что И-14 и 15 моторами своего производства в 1934 обеспечены не будут.</w:t>
      </w:r>
    </w:p>
    <w:p w14:paraId="2737CE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Поручить ии. Ермолаеву, А.Н.Т., Марголину и Дубинскому в течение 26 ноября разработать проект постановления СТО по этому типу производства." (2303,38).</w:t>
      </w:r>
    </w:p>
    <w:p w14:paraId="22E6D0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BDCC4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г. начальник Глававиапрома Королев собрал совещание по поводу внедрения самолетов И-14, И-15 и И-16 в серийное производство. Три постановляющих пункта относились к И-14. "Подготовку И-14 вести на заводе №21 (в Нижнем Новгороде. - Прим. авт.) и по получении эталона ставить на производство в 1934 г. со снятием с производства соответствующего количества И-5.... При осуществлении указанной наметки считать возможным изготовить в 1934 г. ... 50 И-14. Отметить, что И-14... в 1934 г. моторами своего производства обеспечены не будут".</w:t>
      </w:r>
    </w:p>
    <w:p w14:paraId="2F6219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Своим заместителям Ермолаеву, Туполеву, Марголину и Дубинскому начальник главка поручал к 26 ноября 1933 г. разработать проект постановления Совета Труда и Обороны поданному вопросу (12037).</w:t>
      </w:r>
    </w:p>
    <w:p w14:paraId="61888B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E5902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вышло постановление Правительства по И-14, И-15 и И-16 (2292,316).</w:t>
      </w:r>
    </w:p>
    <w:p w14:paraId="47C0D9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7627770"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ноября 1933 г. в протоколе заседания под председательством начальника Глававиапрома Королева от написано:</w:t>
      </w:r>
    </w:p>
    <w:p w14:paraId="778CE17F"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Первую партию И-15 в 1934 г. построить на заводе 39 с тем, чтобы в 1935 г. производство этой машины передать на завод 1.</w:t>
      </w:r>
    </w:p>
    <w:p w14:paraId="72B3AEDC"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5) При осуществлении указанной наметки считать возможным изготовить в 1934 г. ориентировочно… 25 самолетов И-15.</w:t>
      </w:r>
    </w:p>
    <w:p w14:paraId="72481326"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6) Отметить, что… И-15 моторами своего производства в 1934 г. обеспечены не будут» (25035).</w:t>
      </w:r>
    </w:p>
    <w:p w14:paraId="521381EE" w14:textId="77777777" w:rsidR="00264C23" w:rsidRPr="00142305" w:rsidRDefault="00264C23" w:rsidP="00264C23">
      <w:pPr>
        <w:spacing w:after="0" w:line="240" w:lineRule="auto"/>
        <w:jc w:val="both"/>
        <w:rPr>
          <w:rFonts w:ascii="Times New Roman" w:hAnsi="Times New Roman"/>
          <w:color w:val="0070C0"/>
          <w:sz w:val="16"/>
          <w:szCs w:val="16"/>
        </w:rPr>
      </w:pPr>
    </w:p>
    <w:p w14:paraId="4C57E7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на ЗОК завершили сборку лонжеронов дублера И-14, нервюры собрали лишь 11 декабря 1933 г.,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636222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46D008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Консоли крыла были собраны 13 января 1934 г. </w:t>
      </w:r>
    </w:p>
    <w:p w14:paraId="35DAE4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29796E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3298D2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2BBFDE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7AD4EA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552D39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430A9A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8D82B5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г. в протоколе заседания под председательством начальника Глававиапрома Королева написано: «...3) Первую партию И-15 в 1934 г. построить на заводе № 39 с тем, что в 1935 г. производство этой машины пе</w:t>
      </w:r>
      <w:r w:rsidRPr="0044524F">
        <w:rPr>
          <w:rFonts w:ascii="Times New Roman" w:hAnsi="Times New Roman"/>
          <w:color w:val="000000" w:themeColor="text1"/>
          <w:sz w:val="16"/>
          <w:szCs w:val="16"/>
        </w:rPr>
        <w:softHyphen/>
        <w:t>редать на завод № 1.... 5) При осуществлении указанной наметки считать возможным изготовить в 1934 г. ори</w:t>
      </w:r>
      <w:r w:rsidRPr="0044524F">
        <w:rPr>
          <w:rFonts w:ascii="Times New Roman" w:hAnsi="Times New Roman"/>
          <w:color w:val="000000" w:themeColor="text1"/>
          <w:sz w:val="16"/>
          <w:szCs w:val="16"/>
        </w:rPr>
        <w:softHyphen/>
        <w:t>ентировочно... 25 самолетов И-15... 6) Отметить, что... И-15 моторами своего производства в 1934 г. обеспече</w:t>
      </w:r>
      <w:r w:rsidRPr="0044524F">
        <w:rPr>
          <w:rFonts w:ascii="Times New Roman" w:hAnsi="Times New Roman"/>
          <w:color w:val="000000" w:themeColor="text1"/>
          <w:sz w:val="16"/>
          <w:szCs w:val="16"/>
        </w:rPr>
        <w:softHyphen/>
        <w:t>ны не будут». 10 декабря 1933 г. началась пересылка чер</w:t>
      </w:r>
      <w:r w:rsidRPr="0044524F">
        <w:rPr>
          <w:rFonts w:ascii="Times New Roman" w:hAnsi="Times New Roman"/>
          <w:color w:val="000000" w:themeColor="text1"/>
          <w:sz w:val="16"/>
          <w:szCs w:val="16"/>
        </w:rPr>
        <w:softHyphen/>
        <w:t>тежей и другой документации с завода № 39 на завод № 1 для ознакомления и изготовления оснастки и приспо</w:t>
      </w:r>
      <w:r w:rsidRPr="0044524F">
        <w:rPr>
          <w:rFonts w:ascii="Times New Roman" w:hAnsi="Times New Roman"/>
          <w:color w:val="000000" w:themeColor="text1"/>
          <w:sz w:val="16"/>
          <w:szCs w:val="16"/>
        </w:rPr>
        <w:softHyphen/>
        <w:t>соблений (10667).</w:t>
      </w:r>
    </w:p>
    <w:p w14:paraId="6803050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6E4399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г. состоялось специальное заседание по вопросу внедрения в серий</w:t>
      </w:r>
      <w:r w:rsidRPr="0044524F">
        <w:rPr>
          <w:rFonts w:ascii="Times New Roman" w:hAnsi="Times New Roman"/>
          <w:color w:val="000000" w:themeColor="text1"/>
          <w:sz w:val="16"/>
          <w:szCs w:val="16"/>
        </w:rPr>
        <w:softHyphen/>
        <w:t>ное производство этих истребителей:</w:t>
      </w:r>
    </w:p>
    <w:p w14:paraId="0C81B5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Внедрение в производство И-14, И-15, И-16 при</w:t>
      </w:r>
      <w:r w:rsidRPr="0044524F">
        <w:rPr>
          <w:rFonts w:ascii="Times New Roman" w:hAnsi="Times New Roman"/>
          <w:color w:val="000000" w:themeColor="text1"/>
          <w:sz w:val="16"/>
          <w:szCs w:val="16"/>
        </w:rPr>
        <w:softHyphen/>
        <w:t>знать возможным (10667).</w:t>
      </w:r>
    </w:p>
    <w:p w14:paraId="6719646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Производство И-16 в 1934 г. поставить на заводе № 39 с тем, что первая партия в первом полугодии 1934 г. строится на заводе № 39, а во втором полугодии на заво</w:t>
      </w:r>
      <w:r w:rsidRPr="0044524F">
        <w:rPr>
          <w:rFonts w:ascii="Times New Roman" w:hAnsi="Times New Roman"/>
          <w:color w:val="000000" w:themeColor="text1"/>
          <w:sz w:val="16"/>
          <w:szCs w:val="16"/>
        </w:rPr>
        <w:softHyphen/>
        <w:t>де № 1 с соответствующим снятием с этого завода произ</w:t>
      </w:r>
      <w:r w:rsidRPr="0044524F">
        <w:rPr>
          <w:rFonts w:ascii="Times New Roman" w:hAnsi="Times New Roman"/>
          <w:color w:val="000000" w:themeColor="text1"/>
          <w:sz w:val="16"/>
          <w:szCs w:val="16"/>
        </w:rPr>
        <w:softHyphen/>
        <w:t>водства И-7...</w:t>
      </w:r>
    </w:p>
    <w:p w14:paraId="542D5C1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Подготовку И-14 вести на заводе № 21 и по полу</w:t>
      </w:r>
      <w:r w:rsidRPr="0044524F">
        <w:rPr>
          <w:rFonts w:ascii="Times New Roman" w:hAnsi="Times New Roman"/>
          <w:color w:val="000000" w:themeColor="text1"/>
          <w:sz w:val="16"/>
          <w:szCs w:val="16"/>
        </w:rPr>
        <w:softHyphen/>
        <w:t>чении эталона ставить на производство в 1934 г. со сня</w:t>
      </w:r>
      <w:r w:rsidRPr="0044524F">
        <w:rPr>
          <w:rFonts w:ascii="Times New Roman" w:hAnsi="Times New Roman"/>
          <w:color w:val="000000" w:themeColor="text1"/>
          <w:sz w:val="16"/>
          <w:szCs w:val="16"/>
        </w:rPr>
        <w:softHyphen/>
        <w:t>тием с производства соответствующего количества И-5.</w:t>
      </w:r>
    </w:p>
    <w:p w14:paraId="6B31EF2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При осуществлении указанной наметки считать возможным изготовить в 1934 г. ориентировочно 100 самолетов И-16 с мотором М-22, 25 самолетов И-15 и 50 -И-14.</w:t>
      </w:r>
    </w:p>
    <w:p w14:paraId="75B0E2D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Отметить, что И-14 и И-15 моторами своего про</w:t>
      </w:r>
      <w:r w:rsidRPr="0044524F">
        <w:rPr>
          <w:rFonts w:ascii="Times New Roman" w:hAnsi="Times New Roman"/>
          <w:color w:val="000000" w:themeColor="text1"/>
          <w:sz w:val="16"/>
          <w:szCs w:val="16"/>
        </w:rPr>
        <w:softHyphen/>
        <w:t>изводства в 1934 г. обеспечены не будут.</w:t>
      </w:r>
    </w:p>
    <w:p w14:paraId="1DFA4D8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Поручить тт. Ермолаеву, Туполеву, Марголину и Дубенскому в течение 26/Х1 разработать проект поста</w:t>
      </w:r>
      <w:r w:rsidRPr="0044524F">
        <w:rPr>
          <w:rFonts w:ascii="Times New Roman" w:hAnsi="Times New Roman"/>
          <w:color w:val="000000" w:themeColor="text1"/>
          <w:sz w:val="16"/>
          <w:szCs w:val="16"/>
        </w:rPr>
        <w:softHyphen/>
        <w:t>новления СТО по этому типу производства».</w:t>
      </w:r>
    </w:p>
    <w:p w14:paraId="267E34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принятые резолюции, 5 декабря 1933 г. по указанию главка на завод № 21 были отправлены чер</w:t>
      </w:r>
      <w:r w:rsidRPr="0044524F">
        <w:rPr>
          <w:rFonts w:ascii="Times New Roman" w:hAnsi="Times New Roman"/>
          <w:color w:val="000000" w:themeColor="text1"/>
          <w:sz w:val="16"/>
          <w:szCs w:val="16"/>
        </w:rPr>
        <w:softHyphen/>
        <w:t>тежи И-16 с М-22 «только для ознакомления, но не для серийной продукции - 55 штук» (10667).</w:t>
      </w:r>
    </w:p>
    <w:p w14:paraId="52B0EC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A06ED54"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г. в ГУАПе под председательством начальника главка Г.Н. Королева состоялось специальное заседание по вопросу внедрения в се</w:t>
      </w:r>
      <w:r w:rsidRPr="0044524F">
        <w:rPr>
          <w:rFonts w:ascii="Times New Roman" w:hAnsi="Times New Roman"/>
          <w:color w:val="000000" w:themeColor="text1"/>
          <w:sz w:val="16"/>
          <w:szCs w:val="16"/>
        </w:rPr>
        <w:softHyphen/>
        <w:t>рийное производство истребителей И-14, И-15, И-16 (протокол №159). В постановлении говорилось:</w:t>
      </w:r>
    </w:p>
    <w:p w14:paraId="36CB8B61"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Внедрение в производство И-14, И-15, И-16 признать возможным. 2. Производство И-16 в 1934 г. поставить на заводе №39 с тем, что первая партия в первом полугодии 1934 г. строится на заводе №39, а во втором полугодии на заводе №1 с соответствующим снятием с этого завода производства И-7...</w:t>
      </w:r>
    </w:p>
    <w:p w14:paraId="39AED63D"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Подготовку И-14 вести на заводе №21 и по получении эталона ставить на производство в 1934 г. со снятием с производства со</w:t>
      </w:r>
      <w:r w:rsidRPr="0044524F">
        <w:rPr>
          <w:rFonts w:ascii="Times New Roman" w:hAnsi="Times New Roman"/>
          <w:color w:val="000000" w:themeColor="text1"/>
          <w:sz w:val="16"/>
          <w:szCs w:val="16"/>
        </w:rPr>
        <w:softHyphen/>
        <w:t>ответствующего количества И-5.</w:t>
      </w:r>
    </w:p>
    <w:p w14:paraId="035DBF60"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осуществлении указанной наметки считать возможным из</w:t>
      </w:r>
      <w:r w:rsidRPr="0044524F">
        <w:rPr>
          <w:rFonts w:ascii="Times New Roman" w:hAnsi="Times New Roman"/>
          <w:color w:val="000000" w:themeColor="text1"/>
          <w:sz w:val="16"/>
          <w:szCs w:val="16"/>
        </w:rPr>
        <w:softHyphen/>
        <w:t>готовить в 1934 г. ориентировочно 100 самолетов И-16 с мотором М-22, 25 самолетов И-15 и 50 - И-14.</w:t>
      </w:r>
    </w:p>
    <w:p w14:paraId="3E8377DA"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Отметить, что И-14 И-15 моторами своего производства в 1934 г. обеспечены не будут.</w:t>
      </w:r>
    </w:p>
    <w:p w14:paraId="5499C5F4"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Поручить тт. ЕРМОЛАЕВУ, ТУПОЛЕВУ, МАРГОЛИНУ и ДУБЕНСКОМУ в течение 26/XI разработать проект постановления СТО по этому типу производства».</w:t>
      </w:r>
    </w:p>
    <w:p w14:paraId="2A4C00BA"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Направленные в Правительство материалы главка и ВВС по оснащению Вооруженных Сил СССР перспективной боевой авиационной техникой всесторонне обсуждались руководством страны. По представлению ВВС Совет Труда и Обороны (СТО) СССР принял решение рекомендовать И-16 к запуску в серийное производство с мотором М-22 до завер</w:t>
      </w:r>
      <w:r w:rsidRPr="0044524F">
        <w:rPr>
          <w:rFonts w:ascii="Times New Roman" w:hAnsi="Times New Roman"/>
          <w:color w:val="000000" w:themeColor="text1"/>
          <w:sz w:val="16"/>
          <w:szCs w:val="16"/>
        </w:rPr>
        <w:softHyphen/>
        <w:t>шения испытаний.</w:t>
      </w:r>
    </w:p>
    <w:p w14:paraId="40C4A64E"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Несмотря на принятые резолюции, 5 декабря 1933 г. по указанию главка, на завод №21 были отправлены чертежи И-16 с М-22 «только для ознакомления, но не для серийной продукции - 55 штук» (23455).</w:t>
      </w:r>
    </w:p>
    <w:p w14:paraId="532CC3CB" w14:textId="77777777" w:rsidR="005D0E3B" w:rsidRPr="0044524F" w:rsidRDefault="005D0E3B" w:rsidP="009654CF">
      <w:pPr>
        <w:spacing w:after="0" w:line="240" w:lineRule="auto"/>
        <w:jc w:val="both"/>
        <w:rPr>
          <w:rFonts w:ascii="Times New Roman" w:hAnsi="Times New Roman"/>
          <w:color w:val="000000" w:themeColor="text1"/>
          <w:sz w:val="16"/>
          <w:szCs w:val="16"/>
        </w:rPr>
      </w:pPr>
    </w:p>
    <w:p w14:paraId="6864B768" w14:textId="77777777" w:rsidR="004345CC" w:rsidRPr="0044524F" w:rsidRDefault="004345CC" w:rsidP="009654CF">
      <w:pPr>
        <w:pStyle w:val="rtejustify"/>
        <w:spacing w:before="0" w:after="0"/>
        <w:rPr>
          <w:color w:val="000000" w:themeColor="text1"/>
          <w:sz w:val="16"/>
          <w:szCs w:val="16"/>
        </w:rPr>
      </w:pPr>
      <w:r w:rsidRPr="0044524F">
        <w:rPr>
          <w:rStyle w:val="af0"/>
          <w:bCs/>
          <w:i w:val="0"/>
          <w:color w:val="000000" w:themeColor="text1"/>
          <w:sz w:val="16"/>
          <w:szCs w:val="16"/>
        </w:rPr>
        <w:t>25 ноября</w:t>
      </w:r>
      <w:r w:rsidRPr="0044524F">
        <w:rPr>
          <w:color w:val="000000" w:themeColor="text1"/>
          <w:sz w:val="16"/>
          <w:szCs w:val="16"/>
        </w:rPr>
        <w:t xml:space="preserve"> 1933. Постановление СТО СССР № 118сс/о «О производстве новых типов самолетов-истребителей». (ГА РФ. Ф. Р</w:t>
      </w:r>
      <w:r w:rsidRPr="0044524F">
        <w:rPr>
          <w:color w:val="000000" w:themeColor="text1"/>
          <w:sz w:val="16"/>
          <w:szCs w:val="16"/>
        </w:rPr>
        <w:noBreakHyphen/>
        <w:t>8418. Оп. 28. Д. 3. Л. 65</w:t>
      </w:r>
      <w:r w:rsidRPr="0044524F">
        <w:rPr>
          <w:color w:val="000000" w:themeColor="text1"/>
          <w:sz w:val="16"/>
          <w:szCs w:val="16"/>
        </w:rPr>
        <w:noBreakHyphen/>
        <w:t>67) (15460).</w:t>
      </w:r>
    </w:p>
    <w:p w14:paraId="7ADCEE4A" w14:textId="77777777" w:rsidR="004345CC" w:rsidRPr="0044524F" w:rsidRDefault="004345CC" w:rsidP="009654CF">
      <w:pPr>
        <w:pStyle w:val="rtejustify"/>
        <w:spacing w:before="0" w:after="0"/>
        <w:rPr>
          <w:color w:val="000000" w:themeColor="text1"/>
          <w:sz w:val="16"/>
          <w:szCs w:val="16"/>
        </w:rPr>
      </w:pPr>
    </w:p>
    <w:p w14:paraId="08AE81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были готовы чертежи Параболы Черановского с М-11 и переданы в производство (2287,17).</w:t>
      </w:r>
    </w:p>
    <w:p w14:paraId="299B6B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A75428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года начальник секретного отдела ГУГВФ Кузьмин писал письмо № 575/328с в СТО</w:t>
      </w:r>
    </w:p>
    <w:p w14:paraId="0F85767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поручению начальника ГУГВФ Уншлихта секретный отдел просит Вас в срочном порядке выслать решение СТО от 25 октября 1933 года по вопросу передачи задела производства самолетов АНТ-9 с 31 завода Аэрофлоту (4191, 161).</w:t>
      </w:r>
    </w:p>
    <w:p w14:paraId="0E1F0CD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3BC0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года начальник НТУ Гроза писал начальнику Аэрофлота Уншлихту</w:t>
      </w:r>
    </w:p>
    <w:p w14:paraId="075CD9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Вашему приказанию представляю докладную записку – соображения и мероприятия по НИИ, входящим в систему НТУ Аэрофлота.</w:t>
      </w:r>
    </w:p>
    <w:p w14:paraId="101436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1930 года в ГВФ (Добролет, Упрвоздухпуть) совершенно отсутствовали научно-технические, научно-исследовательские и эксплуатационно-технические организации.</w:t>
      </w:r>
    </w:p>
    <w:p w14:paraId="72821C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конца 1930 года (ноябрь) мною было приступлено к организации НИИ ГВФ на базе маленькой ячейки – группы инженера Путилова по стальному самолетостроению.</w:t>
      </w:r>
    </w:p>
    <w:p w14:paraId="048D62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мысли командования НИИ ГВФ должен был составлять комплексный институт опытного, экспериментального строительства самолетов, исключительно из нержавеющей стали и одновременно иметь ряд отделов (самолетный, моторный, радио, электро и др.) по эксплуатации.</w:t>
      </w:r>
    </w:p>
    <w:p w14:paraId="3EFB36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к концу 1931 года такой институт был сформирован, причем в этом же году был выпущен первый цельно-стальной самолет электросварной конструкции Сталь-2 ………………………..</w:t>
      </w:r>
    </w:p>
    <w:p w14:paraId="4663DF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Отраслевые институты: самолетный, авиадвигателей и специальных служб – под руководством НТУ при Гл. управлении ГВФ. Кроме этих трех институтов в системе Аэрофлота существуют:</w:t>
      </w:r>
    </w:p>
    <w:p w14:paraId="008793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сельхозавиации</w:t>
      </w:r>
    </w:p>
    <w:p w14:paraId="6C430D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при Ленинградском учебном комбинате (на базе постоянных и переменных кадров учебного комбината), решающий в основном задачи земного оборудования</w:t>
      </w:r>
    </w:p>
    <w:p w14:paraId="635FE0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Украинский научно-исследовательский дизельный институт (как филиал моторного института), ведущий работы по двигателям на тяжелом топливе</w:t>
      </w:r>
    </w:p>
    <w:p w14:paraId="702391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Киевский НИИ по двигателям внутреннего сгорания (как филиал моторного института), решающий в основном задачи по двигателям на тяжелом топливе малых мощностей и двигателей для глиссеров и аэросаней.</w:t>
      </w:r>
    </w:p>
    <w:p w14:paraId="1F8E73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37019A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w:t>
      </w:r>
    </w:p>
    <w:p w14:paraId="539B4B56"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Сохранить систему основных отраслевых (по материальной части – самолеты, моторы и сп. сл.) институтов ГВФ.</w:t>
      </w:r>
    </w:p>
    <w:p w14:paraId="07A5FEEF"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Предрешить слияние и унификацию деятельности трех институтов – Московского, Харьковского и Киевского в едином институте авиадвигателей.</w:t>
      </w:r>
    </w:p>
    <w:p w14:paraId="0631BE64"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Реорганизовать НИАИ при Ленинградском учебном комбинате в НИИ аэродромных сооружений и земного оборудования.</w:t>
      </w:r>
    </w:p>
    <w:p w14:paraId="3D61B235"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Сохранить и развить НИИ с/х авиации.</w:t>
      </w:r>
    </w:p>
    <w:p w14:paraId="67FE77B7"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Создать НИИ по воздухоплаванию (на базе ячейки НИ в Гражданстрое).</w:t>
      </w:r>
    </w:p>
    <w:p w14:paraId="284386DE"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Вывести из самолетного НИИ работы по ОСГА или создать самолетный институт по агрегатам – глиссерам и аэросаням, которые крайне нужны Аэрофлоту.</w:t>
      </w:r>
    </w:p>
    <w:p w14:paraId="4199AE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3FD73C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заключение необходимо сказать, что опыт последнего года работы НИИ подтверждает целесообразность разделения НИИ ГВФ на отраслевые институты.</w:t>
      </w:r>
    </w:p>
    <w:p w14:paraId="3F2C01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………………….(7738, 144-139).</w:t>
      </w:r>
    </w:p>
    <w:p w14:paraId="163721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C1E3CF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был произведен запуск первой советской ракеты с жидкостно-реактивным двигателем "ЖРД-Х".</w:t>
      </w:r>
    </w:p>
    <w:p w14:paraId="0F16D4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9EA13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был осуществлен пуск жидкостной ракеты ГИРД-Х, которую начал разрабатывать еще Ф.А.Цандер в январе 1933 (388,67).</w:t>
      </w:r>
    </w:p>
    <w:p w14:paraId="23F8B6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34B64FC" w14:textId="77777777" w:rsidR="006A5853" w:rsidRPr="0044524F" w:rsidRDefault="006A58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25 ноября 1933 г. состоялся запуск второй жидкостной ракеты ГИРД-Х, построенной под руководством инженера С.П.Королева по идее ф. А. Цандера. Стартовый вес ракеты - 29,5 кг; вес топлива /жидкий кислород и этиловый спирт/ - 8,3 кг; длина ракеты - 2,2 М.ГИРД-Х послужила основой для постройки более совершенных ракет в 1935-37 гг.</w:t>
      </w:r>
    </w:p>
    <w:p w14:paraId="6E6DDE5A" w14:textId="77777777" w:rsidR="006A5853" w:rsidRPr="0044524F" w:rsidRDefault="006A585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/"Знание - сила", 1962 № 9, ст. И.А.Меркулова/ (23370).</w:t>
      </w:r>
    </w:p>
    <w:p w14:paraId="07F8157D" w14:textId="77777777" w:rsidR="006A5853" w:rsidRPr="0044524F" w:rsidRDefault="006A5853" w:rsidP="009654CF">
      <w:pPr>
        <w:spacing w:after="0" w:line="240" w:lineRule="auto"/>
        <w:jc w:val="both"/>
        <w:rPr>
          <w:rFonts w:ascii="Times New Roman" w:hAnsi="Times New Roman"/>
          <w:color w:val="000000" w:themeColor="text1"/>
          <w:sz w:val="16"/>
          <w:szCs w:val="16"/>
        </w:rPr>
      </w:pPr>
    </w:p>
    <w:p w14:paraId="176C44F9" w14:textId="77777777" w:rsidR="004345CC" w:rsidRPr="0044524F" w:rsidRDefault="004345CC"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hAnsi="Times New Roman"/>
          <w:bCs/>
          <w:color w:val="000000" w:themeColor="text1"/>
          <w:sz w:val="16"/>
          <w:szCs w:val="16"/>
        </w:rPr>
        <w:t xml:space="preserve">25 ноября </w:t>
      </w:r>
      <w:r w:rsidRPr="0044524F">
        <w:rPr>
          <w:rFonts w:ascii="Times New Roman" w:hAnsi="Times New Roman"/>
          <w:color w:val="000000" w:themeColor="text1"/>
          <w:sz w:val="16"/>
          <w:szCs w:val="16"/>
        </w:rPr>
        <w:t>в 1933 году запуск под Москвой на полигоне Нахабино первой советской экспериментальной ракеты с жидкостнореактивным двигателем "ЖРДХ" конструкции Фридриха Артуровича Цандера. Ракета создана в Группе изучения реактивного движения под руководством С.П.Королева (14840).</w:t>
      </w:r>
    </w:p>
    <w:p w14:paraId="2F9EC5CC" w14:textId="77777777" w:rsidR="004345CC" w:rsidRPr="0044524F" w:rsidRDefault="004345CC" w:rsidP="009654CF">
      <w:pPr>
        <w:spacing w:after="0" w:line="240" w:lineRule="auto"/>
        <w:jc w:val="both"/>
        <w:rPr>
          <w:rFonts w:ascii="Times New Roman" w:hAnsi="Times New Roman"/>
          <w:color w:val="000000" w:themeColor="text1"/>
          <w:sz w:val="16"/>
          <w:szCs w:val="16"/>
        </w:rPr>
      </w:pPr>
    </w:p>
    <w:p w14:paraId="108CE32C"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года был осуществлен пер</w:t>
      </w:r>
      <w:r w:rsidRPr="0044524F">
        <w:rPr>
          <w:rFonts w:ascii="Times New Roman" w:hAnsi="Times New Roman"/>
          <w:color w:val="000000" w:themeColor="text1"/>
          <w:sz w:val="16"/>
          <w:szCs w:val="16"/>
        </w:rPr>
        <w:softHyphen/>
        <w:t>вый пуск первой советской бал</w:t>
      </w:r>
      <w:r w:rsidRPr="0044524F">
        <w:rPr>
          <w:rFonts w:ascii="Times New Roman" w:hAnsi="Times New Roman"/>
          <w:color w:val="000000" w:themeColor="text1"/>
          <w:sz w:val="16"/>
          <w:szCs w:val="16"/>
        </w:rPr>
        <w:softHyphen/>
        <w:t>листической ра</w:t>
      </w:r>
      <w:r w:rsidRPr="0044524F">
        <w:rPr>
          <w:rFonts w:ascii="Times New Roman" w:hAnsi="Times New Roman"/>
          <w:color w:val="000000" w:themeColor="text1"/>
          <w:sz w:val="16"/>
          <w:szCs w:val="16"/>
        </w:rPr>
        <w:softHyphen/>
        <w:t>кеты на жидком топливе ГИРД-Х. В состав группы пуска входили Л.И.Корнеев, Л.С.Душкин, А.И.Полярный, Б.В.Фролов. Достиг</w:t>
      </w:r>
      <w:r w:rsidRPr="0044524F">
        <w:rPr>
          <w:rFonts w:ascii="Times New Roman" w:hAnsi="Times New Roman"/>
          <w:color w:val="000000" w:themeColor="text1"/>
          <w:sz w:val="16"/>
          <w:szCs w:val="16"/>
        </w:rPr>
        <w:softHyphen/>
        <w:t>нув высоты 80 метров, ракета стала снижаться и упала на рас</w:t>
      </w:r>
      <w:r w:rsidRPr="0044524F">
        <w:rPr>
          <w:rFonts w:ascii="Times New Roman" w:hAnsi="Times New Roman"/>
          <w:color w:val="000000" w:themeColor="text1"/>
          <w:sz w:val="16"/>
          <w:szCs w:val="16"/>
        </w:rPr>
        <w:softHyphen/>
        <w:t>стоянии примерно 150 метров от старта. Позже выяснилось, что недопустимые вибрации привели к разрушению крепления двигателя к корпусу (23510).</w:t>
      </w:r>
    </w:p>
    <w:p w14:paraId="07F3CAEE" w14:textId="77777777" w:rsidR="005D0E3B" w:rsidRPr="0044524F" w:rsidRDefault="005D0E3B" w:rsidP="009654CF">
      <w:pPr>
        <w:spacing w:after="0" w:line="240" w:lineRule="auto"/>
        <w:jc w:val="both"/>
        <w:rPr>
          <w:rFonts w:ascii="Times New Roman" w:hAnsi="Times New Roman"/>
          <w:color w:val="000000" w:themeColor="text1"/>
          <w:sz w:val="16"/>
          <w:szCs w:val="16"/>
        </w:rPr>
      </w:pPr>
    </w:p>
    <w:p w14:paraId="2EBCCBED"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w:t>
      </w:r>
      <w:r w:rsidRPr="0044524F">
        <w:rPr>
          <w:rFonts w:ascii="Times New Roman" w:hAnsi="Times New Roman"/>
          <w:color w:val="000000" w:themeColor="text1"/>
          <w:sz w:val="16"/>
          <w:szCs w:val="16"/>
        </w:rPr>
        <w:softHyphen/>
        <w:t>бря 1933 г. ракета Х взлетела вертикально на высоту 75-80 м, затем из-за разру</w:t>
      </w:r>
      <w:r w:rsidRPr="0044524F">
        <w:rPr>
          <w:rFonts w:ascii="Times New Roman" w:hAnsi="Times New Roman"/>
          <w:color w:val="000000" w:themeColor="text1"/>
          <w:sz w:val="16"/>
          <w:szCs w:val="16"/>
        </w:rPr>
        <w:softHyphen/>
        <w:t>шения крепления двигателя и труб</w:t>
      </w:r>
      <w:r w:rsidRPr="0044524F">
        <w:rPr>
          <w:rFonts w:ascii="Times New Roman" w:hAnsi="Times New Roman"/>
          <w:color w:val="000000" w:themeColor="text1"/>
          <w:sz w:val="16"/>
          <w:szCs w:val="16"/>
        </w:rPr>
        <w:softHyphen/>
        <w:t>ки подачи горючего круто отклони</w:t>
      </w:r>
      <w:r w:rsidRPr="0044524F">
        <w:rPr>
          <w:rFonts w:ascii="Times New Roman" w:hAnsi="Times New Roman"/>
          <w:color w:val="000000" w:themeColor="text1"/>
          <w:sz w:val="16"/>
          <w:szCs w:val="16"/>
        </w:rPr>
        <w:softHyphen/>
        <w:t>лась от вертикали, упала и разбилась в 150 метрах от места старта.</w:t>
      </w:r>
    </w:p>
    <w:p w14:paraId="1BE8172B"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Ракету ГИРД-10 и двига</w:t>
      </w:r>
      <w:r w:rsidRPr="0044524F">
        <w:rPr>
          <w:rFonts w:ascii="Times New Roman" w:hAnsi="Times New Roman"/>
          <w:color w:val="000000" w:themeColor="text1"/>
          <w:sz w:val="16"/>
          <w:szCs w:val="16"/>
        </w:rPr>
        <w:softHyphen/>
        <w:t>тель ОР-10 к ней бригада М. Тихоми</w:t>
      </w:r>
      <w:r w:rsidRPr="0044524F">
        <w:rPr>
          <w:rFonts w:ascii="Times New Roman" w:hAnsi="Times New Roman"/>
          <w:color w:val="000000" w:themeColor="text1"/>
          <w:sz w:val="16"/>
          <w:szCs w:val="16"/>
        </w:rPr>
        <w:softHyphen/>
        <w:t>рова построила по проекту Ф. Цанде</w:t>
      </w:r>
      <w:r w:rsidRPr="0044524F">
        <w:rPr>
          <w:rFonts w:ascii="Times New Roman" w:hAnsi="Times New Roman"/>
          <w:color w:val="000000" w:themeColor="text1"/>
          <w:sz w:val="16"/>
          <w:szCs w:val="16"/>
        </w:rPr>
        <w:softHyphen/>
        <w:t>ра (двигатель доработал Л. Душкин), а не С. Королева — вопреки лживым заявлениям многочисленных нынеш</w:t>
      </w:r>
      <w:r w:rsidRPr="0044524F">
        <w:rPr>
          <w:rFonts w:ascii="Times New Roman" w:hAnsi="Times New Roman"/>
          <w:color w:val="000000" w:themeColor="text1"/>
          <w:sz w:val="16"/>
          <w:szCs w:val="16"/>
        </w:rPr>
        <w:softHyphen/>
        <w:t>них пропагандистов культа личности «генерального конструктора» (23550).</w:t>
      </w:r>
    </w:p>
    <w:p w14:paraId="31CD9ED2" w14:textId="77777777" w:rsidR="005D0E3B" w:rsidRPr="0044524F" w:rsidRDefault="005D0E3B" w:rsidP="009654CF">
      <w:pPr>
        <w:spacing w:after="0" w:line="240" w:lineRule="auto"/>
        <w:jc w:val="both"/>
        <w:rPr>
          <w:rFonts w:ascii="Times New Roman" w:hAnsi="Times New Roman"/>
          <w:color w:val="000000" w:themeColor="text1"/>
          <w:sz w:val="16"/>
          <w:szCs w:val="16"/>
        </w:rPr>
      </w:pPr>
    </w:p>
    <w:p w14:paraId="7916E5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года начальник ВНИИСХА Ушаков писал</w:t>
      </w:r>
    </w:p>
    <w:p w14:paraId="7E71F0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Институт перешел в систему Аэрофлота в середине 1933 года ……………….(7738, 138).</w:t>
      </w:r>
    </w:p>
    <w:p w14:paraId="741C80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48B04E7" w14:textId="77777777" w:rsidR="004345C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447CEAF" w14:textId="77777777" w:rsidR="004345CC" w:rsidRPr="0044524F" w:rsidRDefault="004345C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1D0F554" w14:textId="77777777" w:rsidR="004345CC" w:rsidRPr="0044524F" w:rsidRDefault="004345CC" w:rsidP="009654CF">
      <w:pPr>
        <w:pStyle w:val="rtejustify"/>
        <w:spacing w:before="0" w:after="0"/>
        <w:rPr>
          <w:color w:val="000000" w:themeColor="text1"/>
          <w:sz w:val="16"/>
          <w:szCs w:val="16"/>
        </w:rPr>
      </w:pPr>
      <w:r w:rsidRPr="0044524F">
        <w:rPr>
          <w:rStyle w:val="af0"/>
          <w:bCs/>
          <w:i w:val="0"/>
          <w:color w:val="000000" w:themeColor="text1"/>
          <w:sz w:val="16"/>
          <w:szCs w:val="16"/>
        </w:rPr>
        <w:t>25 ноября</w:t>
      </w:r>
      <w:r w:rsidRPr="0044524F">
        <w:rPr>
          <w:color w:val="000000" w:themeColor="text1"/>
          <w:sz w:val="16"/>
          <w:szCs w:val="16"/>
        </w:rPr>
        <w:t xml:space="preserve"> 1933. Постановление СТО СССР № 115сс/о «Об обеспечении оборудованием в ОКДВА мастерских по ремонту транспортных и боевых машин». (ГА РФ. Ф. Р</w:t>
      </w:r>
      <w:r w:rsidRPr="0044524F">
        <w:rPr>
          <w:color w:val="000000" w:themeColor="text1"/>
          <w:sz w:val="16"/>
          <w:szCs w:val="16"/>
        </w:rPr>
        <w:noBreakHyphen/>
        <w:t>8418. Оп. 28. Д. 3. Л. 58</w:t>
      </w:r>
      <w:r w:rsidRPr="0044524F">
        <w:rPr>
          <w:color w:val="000000" w:themeColor="text1"/>
          <w:sz w:val="16"/>
          <w:szCs w:val="16"/>
        </w:rPr>
        <w:noBreakHyphen/>
        <w:t>59) (15460).</w:t>
      </w:r>
    </w:p>
    <w:p w14:paraId="3860649E" w14:textId="77777777" w:rsidR="004345CC" w:rsidRPr="0044524F" w:rsidRDefault="004345CC" w:rsidP="009654CF">
      <w:pPr>
        <w:pStyle w:val="rtejustify"/>
        <w:spacing w:before="0" w:after="0"/>
        <w:rPr>
          <w:color w:val="000000" w:themeColor="text1"/>
          <w:sz w:val="16"/>
          <w:szCs w:val="16"/>
        </w:rPr>
      </w:pPr>
    </w:p>
    <w:p w14:paraId="6500D7B7" w14:textId="77777777" w:rsidR="004345CC" w:rsidRPr="0044524F" w:rsidRDefault="004345CC" w:rsidP="009654CF">
      <w:pPr>
        <w:pStyle w:val="rtejustify"/>
        <w:spacing w:before="0" w:after="0"/>
        <w:rPr>
          <w:color w:val="000000" w:themeColor="text1"/>
          <w:sz w:val="16"/>
          <w:szCs w:val="16"/>
        </w:rPr>
      </w:pPr>
      <w:r w:rsidRPr="0044524F">
        <w:rPr>
          <w:rStyle w:val="af0"/>
          <w:bCs/>
          <w:i w:val="0"/>
          <w:color w:val="000000" w:themeColor="text1"/>
          <w:sz w:val="16"/>
          <w:szCs w:val="16"/>
        </w:rPr>
        <w:t>25 ноября</w:t>
      </w:r>
      <w:r w:rsidRPr="0044524F">
        <w:rPr>
          <w:color w:val="000000" w:themeColor="text1"/>
          <w:sz w:val="16"/>
          <w:szCs w:val="16"/>
        </w:rPr>
        <w:t xml:space="preserve"> 1933. Постановление СТО СССР № 117сс/о «Об организации приемки военной продукции». (ГА РФ. Ф. Р</w:t>
      </w:r>
      <w:r w:rsidRPr="0044524F">
        <w:rPr>
          <w:color w:val="000000" w:themeColor="text1"/>
          <w:sz w:val="16"/>
          <w:szCs w:val="16"/>
        </w:rPr>
        <w:noBreakHyphen/>
        <w:t>8418. Оп. 28. Д. 3. Л. 61</w:t>
      </w:r>
      <w:r w:rsidRPr="0044524F">
        <w:rPr>
          <w:color w:val="000000" w:themeColor="text1"/>
          <w:sz w:val="16"/>
          <w:szCs w:val="16"/>
        </w:rPr>
        <w:noBreakHyphen/>
        <w:t>64) (15460).</w:t>
      </w:r>
    </w:p>
    <w:p w14:paraId="6C606AE8" w14:textId="77777777" w:rsidR="004345CC" w:rsidRPr="0044524F" w:rsidRDefault="004345CC" w:rsidP="009654CF">
      <w:pPr>
        <w:pStyle w:val="rtejustify"/>
        <w:spacing w:before="0" w:after="0"/>
        <w:rPr>
          <w:color w:val="000000" w:themeColor="text1"/>
          <w:sz w:val="16"/>
          <w:szCs w:val="16"/>
        </w:rPr>
      </w:pPr>
    </w:p>
    <w:p w14:paraId="49F247E8" w14:textId="77777777" w:rsidR="004345CC" w:rsidRPr="0044524F" w:rsidRDefault="004345CC" w:rsidP="009654CF">
      <w:pPr>
        <w:pStyle w:val="rtejustify"/>
        <w:spacing w:before="0" w:after="0"/>
        <w:rPr>
          <w:color w:val="000000" w:themeColor="text1"/>
          <w:sz w:val="16"/>
          <w:szCs w:val="16"/>
        </w:rPr>
      </w:pPr>
      <w:r w:rsidRPr="0044524F">
        <w:rPr>
          <w:rStyle w:val="af0"/>
          <w:bCs/>
          <w:i w:val="0"/>
          <w:color w:val="000000" w:themeColor="text1"/>
          <w:sz w:val="16"/>
          <w:szCs w:val="16"/>
        </w:rPr>
        <w:t>25 ноября</w:t>
      </w:r>
      <w:r w:rsidRPr="0044524F">
        <w:rPr>
          <w:color w:val="000000" w:themeColor="text1"/>
          <w:sz w:val="16"/>
          <w:szCs w:val="16"/>
        </w:rPr>
        <w:t xml:space="preserve"> 1933. Постановление СТО СССР № 119сс/о «О плане заказов НКВМора на 1934 г. по вооружению и боевой технике». (ГА РФ. Ф. Р</w:t>
      </w:r>
      <w:r w:rsidRPr="0044524F">
        <w:rPr>
          <w:color w:val="000000" w:themeColor="text1"/>
          <w:sz w:val="16"/>
          <w:szCs w:val="16"/>
        </w:rPr>
        <w:noBreakHyphen/>
        <w:t>8418. Оп. 28. Д. 3. Л. 71</w:t>
      </w:r>
      <w:r w:rsidRPr="0044524F">
        <w:rPr>
          <w:color w:val="000000" w:themeColor="text1"/>
          <w:sz w:val="16"/>
          <w:szCs w:val="16"/>
        </w:rPr>
        <w:noBreakHyphen/>
        <w:t>82) (15460).</w:t>
      </w:r>
    </w:p>
    <w:p w14:paraId="6EBD7269" w14:textId="77777777" w:rsidR="004345CC" w:rsidRPr="0044524F" w:rsidRDefault="004345CC" w:rsidP="009654CF">
      <w:pPr>
        <w:pStyle w:val="rtejustify"/>
        <w:spacing w:before="0" w:after="0"/>
        <w:rPr>
          <w:color w:val="000000" w:themeColor="text1"/>
          <w:sz w:val="16"/>
          <w:szCs w:val="16"/>
        </w:rPr>
      </w:pPr>
    </w:p>
    <w:p w14:paraId="74DB0BE5"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26443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B8A1A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ноября 1933 приказом ГУЛАГа № 190 «О прекращении передачи по радио впереди текста наименования лагерей ОГПУ» предписывалось: «При передаче радиограмм, в целях конспирации принадлежности к лагерям ОГПУ,...прекратить впереди текста передавать наименование и адрес лагеря, пользуясь только установленными позывными» (7560).</w:t>
      </w:r>
    </w:p>
    <w:p w14:paraId="6C1A9F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4627D66"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1718E71"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C725D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ноября 1933 состоялось совещание у начальника ВВС Я.И.Алксниса по вопросу обсуждения гос. испытаний ТБ-3 (АНТ-6) 6хМ-36 (1077,179).</w:t>
      </w:r>
    </w:p>
    <w:p w14:paraId="2A7884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C9185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ноября ЗОК приступил к сборке фюзеляжа дублера И-14.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25CD42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4E7186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745126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6847B3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21BCCC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30B7A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11-16-26 ноября 1933 г. на совещаниях у нач. УМТС и В ВВС Жарова, происходившем по уточнению технических требований к эталонам самолетов на 1934 г., возникли разногласия как по срокам выпуска самолетов, так и отдельных технических требований к ним (2264,51).</w:t>
      </w:r>
    </w:p>
    <w:p w14:paraId="4A7689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Разногласия по эталонам самолетов на 1934 год между ГУАП"ом и УВВС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68"/>
        <w:gridCol w:w="1417"/>
        <w:gridCol w:w="1378"/>
        <w:gridCol w:w="1882"/>
        <w:gridCol w:w="1985"/>
        <w:gridCol w:w="2268"/>
      </w:tblGrid>
      <w:tr w:rsidR="004E10C1" w:rsidRPr="0044524F" w14:paraId="1F85C64A" w14:textId="77777777">
        <w:tc>
          <w:tcPr>
            <w:tcW w:w="1668" w:type="dxa"/>
          </w:tcPr>
          <w:p w14:paraId="409017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самолета</w:t>
            </w:r>
          </w:p>
        </w:tc>
        <w:tc>
          <w:tcPr>
            <w:tcW w:w="1417" w:type="dxa"/>
          </w:tcPr>
          <w:p w14:paraId="72E5F1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Сроки выпуска эталонов</w:t>
            </w:r>
          </w:p>
        </w:tc>
        <w:tc>
          <w:tcPr>
            <w:tcW w:w="1378" w:type="dxa"/>
          </w:tcPr>
          <w:p w14:paraId="7A712F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32D9F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Вопросы</w:t>
            </w:r>
          </w:p>
        </w:tc>
        <w:tc>
          <w:tcPr>
            <w:tcW w:w="1985" w:type="dxa"/>
          </w:tcPr>
          <w:p w14:paraId="683DC3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Требования УВВС</w:t>
            </w:r>
          </w:p>
        </w:tc>
        <w:tc>
          <w:tcPr>
            <w:tcW w:w="2268" w:type="dxa"/>
          </w:tcPr>
          <w:p w14:paraId="247B0B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Предложение ГУАП"а</w:t>
            </w:r>
          </w:p>
        </w:tc>
      </w:tr>
      <w:tr w:rsidR="004E10C1" w:rsidRPr="0044524F" w14:paraId="3FA6ADFB" w14:textId="77777777">
        <w:tc>
          <w:tcPr>
            <w:tcW w:w="1668" w:type="dxa"/>
          </w:tcPr>
          <w:p w14:paraId="6A14BF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8F147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самолета на 1934 год</w:t>
            </w:r>
          </w:p>
        </w:tc>
        <w:tc>
          <w:tcPr>
            <w:tcW w:w="1378" w:type="dxa"/>
          </w:tcPr>
          <w:p w14:paraId="1B5409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1F897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8D6B5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00374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6F13E70" w14:textId="77777777">
        <w:tc>
          <w:tcPr>
            <w:tcW w:w="1668" w:type="dxa"/>
          </w:tcPr>
          <w:p w14:paraId="786D47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35936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полугод.</w:t>
            </w:r>
          </w:p>
        </w:tc>
        <w:tc>
          <w:tcPr>
            <w:tcW w:w="1378" w:type="dxa"/>
          </w:tcPr>
          <w:p w14:paraId="60953E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полугод.</w:t>
            </w:r>
          </w:p>
        </w:tc>
        <w:tc>
          <w:tcPr>
            <w:tcW w:w="1882" w:type="dxa"/>
          </w:tcPr>
          <w:p w14:paraId="588154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48AB8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8C3B4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9371D7E" w14:textId="77777777">
        <w:tc>
          <w:tcPr>
            <w:tcW w:w="1668" w:type="dxa"/>
          </w:tcPr>
          <w:p w14:paraId="7FF52C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 разведчик</w:t>
            </w:r>
          </w:p>
        </w:tc>
        <w:tc>
          <w:tcPr>
            <w:tcW w:w="1417" w:type="dxa"/>
          </w:tcPr>
          <w:p w14:paraId="7BBEAD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остается</w:t>
            </w:r>
          </w:p>
        </w:tc>
        <w:tc>
          <w:tcPr>
            <w:tcW w:w="1378" w:type="dxa"/>
          </w:tcPr>
          <w:p w14:paraId="5D16C9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w:t>
            </w:r>
          </w:p>
        </w:tc>
        <w:tc>
          <w:tcPr>
            <w:tcW w:w="1882" w:type="dxa"/>
          </w:tcPr>
          <w:p w14:paraId="4E4D99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20044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Р5-М17</w:t>
            </w:r>
          </w:p>
        </w:tc>
        <w:tc>
          <w:tcPr>
            <w:tcW w:w="2268" w:type="dxa"/>
          </w:tcPr>
          <w:p w14:paraId="2F62B7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1CF5CA4" w14:textId="77777777">
        <w:tc>
          <w:tcPr>
            <w:tcW w:w="1668" w:type="dxa"/>
          </w:tcPr>
          <w:p w14:paraId="52736A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лег. бомбард.</w:t>
            </w:r>
          </w:p>
        </w:tc>
        <w:tc>
          <w:tcPr>
            <w:tcW w:w="1417" w:type="dxa"/>
          </w:tcPr>
          <w:p w14:paraId="30CA8B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Доведен.</w:t>
            </w:r>
          </w:p>
        </w:tc>
        <w:tc>
          <w:tcPr>
            <w:tcW w:w="1378" w:type="dxa"/>
          </w:tcPr>
          <w:p w14:paraId="655081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 На</w:t>
            </w:r>
          </w:p>
        </w:tc>
        <w:tc>
          <w:tcPr>
            <w:tcW w:w="1882" w:type="dxa"/>
          </w:tcPr>
          <w:p w14:paraId="5C8C2B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Увеличение скорост.</w:t>
            </w:r>
          </w:p>
        </w:tc>
        <w:tc>
          <w:tcPr>
            <w:tcW w:w="1985" w:type="dxa"/>
          </w:tcPr>
          <w:p w14:paraId="08607E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Увеличить максим. скор.</w:t>
            </w:r>
          </w:p>
        </w:tc>
        <w:tc>
          <w:tcPr>
            <w:tcW w:w="2268" w:type="dxa"/>
          </w:tcPr>
          <w:p w14:paraId="78ECDC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Требование увеличения</w:t>
            </w:r>
          </w:p>
        </w:tc>
      </w:tr>
      <w:tr w:rsidR="004E10C1" w:rsidRPr="0044524F" w14:paraId="46AFC7DE" w14:textId="77777777">
        <w:tc>
          <w:tcPr>
            <w:tcW w:w="1668" w:type="dxa"/>
          </w:tcPr>
          <w:p w14:paraId="7B21CC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штурмовик</w:t>
            </w:r>
          </w:p>
        </w:tc>
        <w:tc>
          <w:tcPr>
            <w:tcW w:w="1417" w:type="dxa"/>
          </w:tcPr>
          <w:p w14:paraId="5AB045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w:t>
            </w:r>
          </w:p>
        </w:tc>
        <w:tc>
          <w:tcPr>
            <w:tcW w:w="1378" w:type="dxa"/>
          </w:tcPr>
          <w:p w14:paraId="37721B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госиспытан.</w:t>
            </w:r>
          </w:p>
        </w:tc>
        <w:tc>
          <w:tcPr>
            <w:tcW w:w="1882" w:type="dxa"/>
          </w:tcPr>
          <w:p w14:paraId="2FA2EF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8CCFC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самолета на 15 км</w:t>
            </w:r>
          </w:p>
        </w:tc>
        <w:tc>
          <w:tcPr>
            <w:tcW w:w="2268" w:type="dxa"/>
          </w:tcPr>
          <w:p w14:paraId="0AFA7D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скорости счит. </w:t>
            </w:r>
          </w:p>
        </w:tc>
      </w:tr>
      <w:tr w:rsidR="004E10C1" w:rsidRPr="0044524F" w14:paraId="6BC9D008" w14:textId="77777777">
        <w:tc>
          <w:tcPr>
            <w:tcW w:w="1668" w:type="dxa"/>
          </w:tcPr>
          <w:p w14:paraId="60935F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оп. об. штур.</w:t>
            </w:r>
          </w:p>
        </w:tc>
        <w:tc>
          <w:tcPr>
            <w:tcW w:w="1417" w:type="dxa"/>
          </w:tcPr>
          <w:p w14:paraId="10B8E3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1378" w:type="dxa"/>
          </w:tcPr>
          <w:p w14:paraId="2007FE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1.02</w:t>
            </w:r>
          </w:p>
        </w:tc>
        <w:tc>
          <w:tcPr>
            <w:tcW w:w="1882" w:type="dxa"/>
          </w:tcPr>
          <w:p w14:paraId="6DA807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22B77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8889B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ориентиров. Эффект по</w:t>
            </w:r>
          </w:p>
        </w:tc>
      </w:tr>
      <w:tr w:rsidR="004E10C1" w:rsidRPr="0044524F" w14:paraId="44CF7382" w14:textId="77777777">
        <w:tc>
          <w:tcPr>
            <w:tcW w:w="1668" w:type="dxa"/>
          </w:tcPr>
          <w:p w14:paraId="383EB0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8183A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47E30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80B83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D295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5BCBD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увеличению скорости от</w:t>
            </w:r>
          </w:p>
        </w:tc>
      </w:tr>
      <w:tr w:rsidR="004E10C1" w:rsidRPr="0044524F" w14:paraId="25CC748B" w14:textId="77777777">
        <w:tc>
          <w:tcPr>
            <w:tcW w:w="1668" w:type="dxa"/>
          </w:tcPr>
          <w:p w14:paraId="658F1B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E1D8A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65D4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3868E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C0E54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CD155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установки обтекател. зал.</w:t>
            </w:r>
          </w:p>
        </w:tc>
      </w:tr>
      <w:tr w:rsidR="004E10C1" w:rsidRPr="0044524F" w14:paraId="222DC53C" w14:textId="77777777">
        <w:tc>
          <w:tcPr>
            <w:tcW w:w="1668" w:type="dxa"/>
          </w:tcPr>
          <w:p w14:paraId="2F9FBC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07E4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FE694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BDD6B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8784A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9CC00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пр. выявиться после</w:t>
            </w:r>
          </w:p>
        </w:tc>
      </w:tr>
      <w:tr w:rsidR="004E10C1" w:rsidRPr="0044524F" w14:paraId="554C8096" w14:textId="77777777">
        <w:tc>
          <w:tcPr>
            <w:tcW w:w="1668" w:type="dxa"/>
          </w:tcPr>
          <w:p w14:paraId="50F461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A3F93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416AE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53C4A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5032F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65065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эталонов с-тов.</w:t>
            </w:r>
          </w:p>
        </w:tc>
      </w:tr>
      <w:tr w:rsidR="004E10C1" w:rsidRPr="0044524F" w14:paraId="42CD8823" w14:textId="77777777">
        <w:tc>
          <w:tcPr>
            <w:tcW w:w="1668" w:type="dxa"/>
          </w:tcPr>
          <w:p w14:paraId="72EDED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CB7A7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C9C2C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E546C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Снижение веса с-та.</w:t>
            </w:r>
          </w:p>
        </w:tc>
        <w:tc>
          <w:tcPr>
            <w:tcW w:w="1985" w:type="dxa"/>
          </w:tcPr>
          <w:p w14:paraId="77E5D8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Снизить вес конструкции</w:t>
            </w:r>
          </w:p>
        </w:tc>
        <w:tc>
          <w:tcPr>
            <w:tcW w:w="2268" w:type="dxa"/>
          </w:tcPr>
          <w:p w14:paraId="47A93E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1 дает ориентиров.</w:t>
            </w:r>
          </w:p>
        </w:tc>
      </w:tr>
      <w:tr w:rsidR="004E10C1" w:rsidRPr="0044524F" w14:paraId="28E8135D" w14:textId="77777777">
        <w:tc>
          <w:tcPr>
            <w:tcW w:w="1668" w:type="dxa"/>
          </w:tcPr>
          <w:p w14:paraId="61EC6F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685D6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77D40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B3230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F851A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 на 200 кг за счет</w:t>
            </w:r>
          </w:p>
        </w:tc>
        <w:tc>
          <w:tcPr>
            <w:tcW w:w="2268" w:type="dxa"/>
          </w:tcPr>
          <w:p w14:paraId="005A72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снижение веса сам. на</w:t>
            </w:r>
          </w:p>
        </w:tc>
      </w:tr>
      <w:tr w:rsidR="004E10C1" w:rsidRPr="0044524F" w14:paraId="22FE3155" w14:textId="77777777">
        <w:tc>
          <w:tcPr>
            <w:tcW w:w="1668" w:type="dxa"/>
          </w:tcPr>
          <w:p w14:paraId="6A3B8F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9F783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7809A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BA8FF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D6680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применен. новых матер.</w:t>
            </w:r>
          </w:p>
        </w:tc>
        <w:tc>
          <w:tcPr>
            <w:tcW w:w="2268" w:type="dxa"/>
          </w:tcPr>
          <w:p w14:paraId="205975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80-85 кг частично за счет</w:t>
            </w:r>
          </w:p>
        </w:tc>
      </w:tr>
      <w:tr w:rsidR="004E10C1" w:rsidRPr="0044524F" w14:paraId="767F589E" w14:textId="77777777">
        <w:tc>
          <w:tcPr>
            <w:tcW w:w="1668" w:type="dxa"/>
          </w:tcPr>
          <w:p w14:paraId="0CB73E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CDEFC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7848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E9199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ADB2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изменен. конструкции и</w:t>
            </w:r>
          </w:p>
        </w:tc>
        <w:tc>
          <w:tcPr>
            <w:tcW w:w="2268" w:type="dxa"/>
          </w:tcPr>
          <w:p w14:paraId="0CA6CF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замены материалов и</w:t>
            </w:r>
          </w:p>
        </w:tc>
      </w:tr>
      <w:tr w:rsidR="004E10C1" w:rsidRPr="0044524F" w14:paraId="1B9C0BCB" w14:textId="77777777">
        <w:tc>
          <w:tcPr>
            <w:tcW w:w="1668" w:type="dxa"/>
          </w:tcPr>
          <w:p w14:paraId="0E77A1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7ABD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5CD84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86C8C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75532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w:t>
            </w:r>
          </w:p>
        </w:tc>
        <w:tc>
          <w:tcPr>
            <w:tcW w:w="2268" w:type="dxa"/>
          </w:tcPr>
          <w:p w14:paraId="3A70FC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пересмотра конструкции.</w:t>
            </w:r>
          </w:p>
        </w:tc>
      </w:tr>
      <w:tr w:rsidR="004E10C1" w:rsidRPr="0044524F" w14:paraId="65E3245A" w14:textId="77777777">
        <w:tc>
          <w:tcPr>
            <w:tcW w:w="1668" w:type="dxa"/>
          </w:tcPr>
          <w:p w14:paraId="4C7D22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7987B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FC2B2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B4F45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Изготовить капоты из</w:t>
            </w:r>
          </w:p>
        </w:tc>
        <w:tc>
          <w:tcPr>
            <w:tcW w:w="1985" w:type="dxa"/>
          </w:tcPr>
          <w:p w14:paraId="0B3338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Изготовить капоты из</w:t>
            </w:r>
          </w:p>
        </w:tc>
        <w:tc>
          <w:tcPr>
            <w:tcW w:w="2268" w:type="dxa"/>
          </w:tcPr>
          <w:p w14:paraId="46F952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отсутствия пр-ва</w:t>
            </w:r>
          </w:p>
        </w:tc>
      </w:tr>
      <w:tr w:rsidR="004E10C1" w:rsidRPr="0044524F" w14:paraId="20C65DC0" w14:textId="77777777">
        <w:tc>
          <w:tcPr>
            <w:tcW w:w="1668" w:type="dxa"/>
          </w:tcPr>
          <w:p w14:paraId="55F690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F0A9A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4CCD0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0613E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электрона.</w:t>
            </w:r>
          </w:p>
        </w:tc>
        <w:tc>
          <w:tcPr>
            <w:tcW w:w="1985" w:type="dxa"/>
          </w:tcPr>
          <w:p w14:paraId="6DA949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электрона снижение веса</w:t>
            </w:r>
          </w:p>
        </w:tc>
        <w:tc>
          <w:tcPr>
            <w:tcW w:w="2268" w:type="dxa"/>
          </w:tcPr>
          <w:p w14:paraId="127154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электрона в Союзе капоты</w:t>
            </w:r>
          </w:p>
        </w:tc>
      </w:tr>
      <w:tr w:rsidR="004E10C1" w:rsidRPr="0044524F" w14:paraId="04F5E88E" w14:textId="77777777">
        <w:tc>
          <w:tcPr>
            <w:tcW w:w="1668" w:type="dxa"/>
          </w:tcPr>
          <w:p w14:paraId="75075A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61973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97051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4F7A7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BD97E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15-20 кг.</w:t>
            </w:r>
          </w:p>
        </w:tc>
        <w:tc>
          <w:tcPr>
            <w:tcW w:w="2268" w:type="dxa"/>
          </w:tcPr>
          <w:p w14:paraId="01DC8C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будут изготовлять по</w:t>
            </w:r>
          </w:p>
        </w:tc>
      </w:tr>
      <w:tr w:rsidR="004E10C1" w:rsidRPr="0044524F" w14:paraId="567F70D9" w14:textId="77777777">
        <w:tc>
          <w:tcPr>
            <w:tcW w:w="1668" w:type="dxa"/>
          </w:tcPr>
          <w:p w14:paraId="68E73F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A7D8B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D5FAF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AEA6C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E5630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BA00F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прежнему (из алюминия).</w:t>
            </w:r>
          </w:p>
        </w:tc>
      </w:tr>
      <w:tr w:rsidR="004E10C1" w:rsidRPr="0044524F" w14:paraId="5E036AAD" w14:textId="77777777">
        <w:tc>
          <w:tcPr>
            <w:tcW w:w="1668" w:type="dxa"/>
          </w:tcPr>
          <w:p w14:paraId="72191C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серийн.</w:t>
            </w:r>
          </w:p>
        </w:tc>
        <w:tc>
          <w:tcPr>
            <w:tcW w:w="1417" w:type="dxa"/>
          </w:tcPr>
          <w:p w14:paraId="4862B6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DFFBF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77519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270DB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A2FE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2BFB89" w14:textId="77777777">
        <w:tc>
          <w:tcPr>
            <w:tcW w:w="1668" w:type="dxa"/>
          </w:tcPr>
          <w:p w14:paraId="442055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Р5а-М17 сам. 1934 г.</w:t>
            </w:r>
          </w:p>
        </w:tc>
        <w:tc>
          <w:tcPr>
            <w:tcW w:w="1417" w:type="dxa"/>
          </w:tcPr>
          <w:p w14:paraId="277723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0A376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A0919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 же требования, что</w:t>
            </w:r>
          </w:p>
        </w:tc>
        <w:tc>
          <w:tcPr>
            <w:tcW w:w="1985" w:type="dxa"/>
          </w:tcPr>
          <w:p w14:paraId="0A1CA3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Производить</w:t>
            </w:r>
          </w:p>
        </w:tc>
        <w:tc>
          <w:tcPr>
            <w:tcW w:w="2268" w:type="dxa"/>
          </w:tcPr>
          <w:p w14:paraId="07C2AB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Специального эталона не</w:t>
            </w:r>
          </w:p>
        </w:tc>
      </w:tr>
      <w:tr w:rsidR="004E10C1" w:rsidRPr="0044524F" w14:paraId="65A97EA6" w14:textId="77777777">
        <w:tc>
          <w:tcPr>
            <w:tcW w:w="1668" w:type="dxa"/>
          </w:tcPr>
          <w:p w14:paraId="7C5D9B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поплавках</w:t>
            </w:r>
          </w:p>
        </w:tc>
        <w:tc>
          <w:tcPr>
            <w:tcW w:w="1417" w:type="dxa"/>
          </w:tcPr>
          <w:p w14:paraId="2E30AE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CB44E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C45ED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к сам. Р5-М7.</w:t>
            </w:r>
          </w:p>
        </w:tc>
        <w:tc>
          <w:tcPr>
            <w:tcW w:w="1985" w:type="dxa"/>
          </w:tcPr>
          <w:p w14:paraId="31A453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шаопирование стальных</w:t>
            </w:r>
          </w:p>
        </w:tc>
        <w:tc>
          <w:tcPr>
            <w:tcW w:w="2268" w:type="dxa"/>
          </w:tcPr>
          <w:p w14:paraId="082099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строить, таковым принят</w:t>
            </w:r>
          </w:p>
        </w:tc>
      </w:tr>
      <w:tr w:rsidR="004E10C1" w:rsidRPr="0044524F" w14:paraId="2D53DCF1" w14:textId="77777777">
        <w:tc>
          <w:tcPr>
            <w:tcW w:w="1668" w:type="dxa"/>
          </w:tcPr>
          <w:p w14:paraId="326C80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790FC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02860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7FDD5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FFDB3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узлов с 1-го серийного</w:t>
            </w:r>
          </w:p>
        </w:tc>
        <w:tc>
          <w:tcPr>
            <w:tcW w:w="2268" w:type="dxa"/>
          </w:tcPr>
          <w:p w14:paraId="32DB97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серийный самол.</w:t>
            </w:r>
          </w:p>
        </w:tc>
      </w:tr>
      <w:tr w:rsidR="004E10C1" w:rsidRPr="0044524F" w14:paraId="61BE615B" w14:textId="77777777">
        <w:tc>
          <w:tcPr>
            <w:tcW w:w="1668" w:type="dxa"/>
          </w:tcPr>
          <w:p w14:paraId="054FD5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CDDC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8876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42668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072C0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самолета (предохранение</w:t>
            </w:r>
          </w:p>
        </w:tc>
        <w:tc>
          <w:tcPr>
            <w:tcW w:w="2268" w:type="dxa"/>
          </w:tcPr>
          <w:p w14:paraId="7D5FDD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продукции 1934 г., на</w:t>
            </w:r>
          </w:p>
        </w:tc>
      </w:tr>
      <w:tr w:rsidR="004E10C1" w:rsidRPr="0044524F" w14:paraId="79F35294" w14:textId="77777777">
        <w:tc>
          <w:tcPr>
            <w:tcW w:w="1668" w:type="dxa"/>
          </w:tcPr>
          <w:p w14:paraId="5FA9DA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22746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7C301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F12E4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DC0C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коррозии).</w:t>
            </w:r>
          </w:p>
        </w:tc>
        <w:tc>
          <w:tcPr>
            <w:tcW w:w="2268" w:type="dxa"/>
          </w:tcPr>
          <w:p w14:paraId="7EE6DE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котором осуществить</w:t>
            </w:r>
          </w:p>
        </w:tc>
      </w:tr>
      <w:tr w:rsidR="004E10C1" w:rsidRPr="0044524F" w14:paraId="52D8FE0C" w14:textId="77777777">
        <w:tc>
          <w:tcPr>
            <w:tcW w:w="1668" w:type="dxa"/>
          </w:tcPr>
          <w:p w14:paraId="06B3F5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0EC3A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8BA1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4C077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6BB4A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A142B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техтребования НИИ,</w:t>
            </w:r>
          </w:p>
        </w:tc>
      </w:tr>
      <w:tr w:rsidR="004E10C1" w:rsidRPr="0044524F" w14:paraId="4E14F662" w14:textId="77777777">
        <w:tc>
          <w:tcPr>
            <w:tcW w:w="1668" w:type="dxa"/>
          </w:tcPr>
          <w:p w14:paraId="6996E3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C9181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53431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E5277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CCD06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07831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протокола от</w:t>
            </w:r>
          </w:p>
        </w:tc>
      </w:tr>
      <w:tr w:rsidR="004E10C1" w:rsidRPr="0044524F" w14:paraId="66B34707" w14:textId="77777777">
        <w:tc>
          <w:tcPr>
            <w:tcW w:w="1668" w:type="dxa"/>
          </w:tcPr>
          <w:p w14:paraId="153CE2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BB8B5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805E9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5DA7A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98F26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3C063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26.11.33 г. у Жарова.</w:t>
            </w:r>
          </w:p>
        </w:tc>
      </w:tr>
      <w:tr w:rsidR="004E10C1" w:rsidRPr="0044524F" w14:paraId="466E0A59" w14:textId="77777777">
        <w:tc>
          <w:tcPr>
            <w:tcW w:w="1668" w:type="dxa"/>
          </w:tcPr>
          <w:p w14:paraId="06B8D0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B1459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6B0C3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65BB5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7575A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45B6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Зав. предлагает</w:t>
            </w:r>
          </w:p>
        </w:tc>
      </w:tr>
      <w:tr w:rsidR="004E10C1" w:rsidRPr="0044524F" w14:paraId="7E4F2DCB" w14:textId="77777777">
        <w:tc>
          <w:tcPr>
            <w:tcW w:w="1668" w:type="dxa"/>
          </w:tcPr>
          <w:p w14:paraId="068FC2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1D4F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36F5C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2404B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9C3E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0126F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шаопирование узлов</w:t>
            </w:r>
          </w:p>
        </w:tc>
      </w:tr>
      <w:tr w:rsidR="004E10C1" w:rsidRPr="0044524F" w14:paraId="7D4A811A" w14:textId="77777777">
        <w:tc>
          <w:tcPr>
            <w:tcW w:w="1668" w:type="dxa"/>
          </w:tcPr>
          <w:p w14:paraId="3E9CCB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030C4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A00BF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9BA8D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4D660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F3EF5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начать с 51 серийного сам.,</w:t>
            </w:r>
          </w:p>
        </w:tc>
      </w:tr>
      <w:tr w:rsidR="004E10C1" w:rsidRPr="0044524F" w14:paraId="2F536122" w14:textId="77777777">
        <w:tc>
          <w:tcPr>
            <w:tcW w:w="1668" w:type="dxa"/>
          </w:tcPr>
          <w:p w14:paraId="2E47BC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122F6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5498B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17DB2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E45B3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30985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неподготовленности</w:t>
            </w:r>
          </w:p>
        </w:tc>
      </w:tr>
      <w:tr w:rsidR="004E10C1" w:rsidRPr="0044524F" w14:paraId="7B7FE44E" w14:textId="77777777">
        <w:tc>
          <w:tcPr>
            <w:tcW w:w="1668" w:type="dxa"/>
          </w:tcPr>
          <w:p w14:paraId="2CC222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EBEF1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E4F87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C09BE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CEBC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23161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производства.</w:t>
            </w:r>
          </w:p>
        </w:tc>
      </w:tr>
      <w:tr w:rsidR="004E10C1" w:rsidRPr="0044524F" w14:paraId="6D558C4C" w14:textId="77777777">
        <w:tc>
          <w:tcPr>
            <w:tcW w:w="1668" w:type="dxa"/>
          </w:tcPr>
          <w:p w14:paraId="746671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1417" w:type="dxa"/>
          </w:tcPr>
          <w:p w14:paraId="1911D5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C2EA7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15.03</w:t>
            </w:r>
          </w:p>
        </w:tc>
        <w:tc>
          <w:tcPr>
            <w:tcW w:w="1882" w:type="dxa"/>
          </w:tcPr>
          <w:p w14:paraId="04D817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эталона на</w:t>
            </w:r>
          </w:p>
        </w:tc>
        <w:tc>
          <w:tcPr>
            <w:tcW w:w="1985" w:type="dxa"/>
          </w:tcPr>
          <w:p w14:paraId="7113B6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Построить новый эталон</w:t>
            </w:r>
          </w:p>
        </w:tc>
        <w:tc>
          <w:tcPr>
            <w:tcW w:w="2268" w:type="dxa"/>
          </w:tcPr>
          <w:p w14:paraId="1C43BA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 на 1934 г. не</w:t>
            </w:r>
          </w:p>
        </w:tc>
      </w:tr>
      <w:tr w:rsidR="004E10C1" w:rsidRPr="0044524F" w14:paraId="42EBE3B2" w14:textId="77777777">
        <w:tc>
          <w:tcPr>
            <w:tcW w:w="1668" w:type="dxa"/>
          </w:tcPr>
          <w:p w14:paraId="05F41F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16438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CD3DC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w:t>
            </w:r>
          </w:p>
        </w:tc>
        <w:tc>
          <w:tcPr>
            <w:tcW w:w="1882" w:type="dxa"/>
          </w:tcPr>
          <w:p w14:paraId="66B626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4F57C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 с выполнением всех</w:t>
            </w:r>
          </w:p>
        </w:tc>
        <w:tc>
          <w:tcPr>
            <w:tcW w:w="2268" w:type="dxa"/>
          </w:tcPr>
          <w:p w14:paraId="08BFD8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строить, закончить</w:t>
            </w:r>
          </w:p>
        </w:tc>
      </w:tr>
      <w:tr w:rsidR="004E10C1" w:rsidRPr="0044524F" w14:paraId="176D8FB3" w14:textId="77777777">
        <w:tc>
          <w:tcPr>
            <w:tcW w:w="1668" w:type="dxa"/>
          </w:tcPr>
          <w:p w14:paraId="6E8AED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BC4B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CAD11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696DA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45C06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техтребований и</w:t>
            </w:r>
          </w:p>
        </w:tc>
        <w:tc>
          <w:tcPr>
            <w:tcW w:w="2268" w:type="dxa"/>
          </w:tcPr>
          <w:p w14:paraId="797EFA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 сам. по</w:t>
            </w:r>
          </w:p>
        </w:tc>
      </w:tr>
      <w:tr w:rsidR="004E10C1" w:rsidRPr="0044524F" w14:paraId="13062FFA" w14:textId="77777777">
        <w:tc>
          <w:tcPr>
            <w:tcW w:w="1668" w:type="dxa"/>
          </w:tcPr>
          <w:p w14:paraId="612E76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E8AE0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D178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F017B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6E86F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по нем серийн.</w:t>
            </w:r>
          </w:p>
        </w:tc>
        <w:tc>
          <w:tcPr>
            <w:tcW w:w="2268" w:type="dxa"/>
          </w:tcPr>
          <w:p w14:paraId="0E1D3E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эталону 1933 г. с дюралев.</w:t>
            </w:r>
          </w:p>
        </w:tc>
      </w:tr>
      <w:tr w:rsidR="004E10C1" w:rsidRPr="0044524F" w14:paraId="507E5A4D" w14:textId="77777777">
        <w:tc>
          <w:tcPr>
            <w:tcW w:w="1668" w:type="dxa"/>
          </w:tcPr>
          <w:p w14:paraId="6F6B48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1D8EA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99EE6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0043D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DB3D4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самолетов.</w:t>
            </w:r>
          </w:p>
        </w:tc>
        <w:tc>
          <w:tcPr>
            <w:tcW w:w="2268" w:type="dxa"/>
          </w:tcPr>
          <w:p w14:paraId="16FBAF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оперением.</w:t>
            </w:r>
          </w:p>
        </w:tc>
      </w:tr>
      <w:tr w:rsidR="004E10C1" w:rsidRPr="0044524F" w14:paraId="785DF89D" w14:textId="77777777">
        <w:tc>
          <w:tcPr>
            <w:tcW w:w="1668" w:type="dxa"/>
          </w:tcPr>
          <w:p w14:paraId="1A5B1D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47771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5515C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D598C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F6968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И5-М22</w:t>
            </w:r>
          </w:p>
        </w:tc>
        <w:tc>
          <w:tcPr>
            <w:tcW w:w="2268" w:type="dxa"/>
          </w:tcPr>
          <w:p w14:paraId="39D340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424DC2E" w14:textId="77777777">
        <w:tc>
          <w:tcPr>
            <w:tcW w:w="1668" w:type="dxa"/>
          </w:tcPr>
          <w:p w14:paraId="48178C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И5-М22</w:t>
            </w:r>
          </w:p>
        </w:tc>
        <w:tc>
          <w:tcPr>
            <w:tcW w:w="1417" w:type="dxa"/>
          </w:tcPr>
          <w:p w14:paraId="4A8478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эталону</w:t>
            </w:r>
          </w:p>
        </w:tc>
        <w:tc>
          <w:tcPr>
            <w:tcW w:w="1378" w:type="dxa"/>
          </w:tcPr>
          <w:p w14:paraId="571605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15.03</w:t>
            </w:r>
          </w:p>
        </w:tc>
        <w:tc>
          <w:tcPr>
            <w:tcW w:w="1882" w:type="dxa"/>
          </w:tcPr>
          <w:p w14:paraId="02D611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Снижение веса.</w:t>
            </w:r>
          </w:p>
        </w:tc>
        <w:tc>
          <w:tcPr>
            <w:tcW w:w="1985" w:type="dxa"/>
          </w:tcPr>
          <w:p w14:paraId="69795D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Устранить дефект.</w:t>
            </w:r>
          </w:p>
        </w:tc>
        <w:tc>
          <w:tcPr>
            <w:tcW w:w="2268" w:type="dxa"/>
          </w:tcPr>
          <w:p w14:paraId="7004D3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дефекты по акту</w:t>
            </w:r>
          </w:p>
        </w:tc>
      </w:tr>
      <w:tr w:rsidR="004E10C1" w:rsidRPr="0044524F" w14:paraId="0CD5CF1E" w14:textId="77777777">
        <w:tc>
          <w:tcPr>
            <w:tcW w:w="1668" w:type="dxa"/>
          </w:tcPr>
          <w:p w14:paraId="151F8A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621AB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4BC00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1033</w:t>
            </w:r>
          </w:p>
        </w:tc>
        <w:tc>
          <w:tcPr>
            <w:tcW w:w="1882" w:type="dxa"/>
          </w:tcPr>
          <w:p w14:paraId="3B7482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FCD20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Снизить вес конструкц.</w:t>
            </w:r>
          </w:p>
        </w:tc>
        <w:tc>
          <w:tcPr>
            <w:tcW w:w="2268" w:type="dxa"/>
          </w:tcPr>
          <w:p w14:paraId="7B7684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НИИ будут</w:t>
            </w:r>
          </w:p>
        </w:tc>
      </w:tr>
      <w:tr w:rsidR="004E10C1" w:rsidRPr="0044524F" w14:paraId="75954188" w14:textId="77777777">
        <w:tc>
          <w:tcPr>
            <w:tcW w:w="1668" w:type="dxa"/>
          </w:tcPr>
          <w:p w14:paraId="017757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6DBD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EFBBD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30.12.33</w:t>
            </w:r>
          </w:p>
        </w:tc>
        <w:tc>
          <w:tcPr>
            <w:tcW w:w="1882" w:type="dxa"/>
          </w:tcPr>
          <w:p w14:paraId="5A943D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3F661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 на 105 кг.</w:t>
            </w:r>
          </w:p>
        </w:tc>
        <w:tc>
          <w:tcPr>
            <w:tcW w:w="2268" w:type="dxa"/>
          </w:tcPr>
          <w:p w14:paraId="1DF907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устранены.</w:t>
            </w:r>
          </w:p>
        </w:tc>
      </w:tr>
      <w:tr w:rsidR="004E10C1" w:rsidRPr="0044524F" w14:paraId="5BDB8C79" w14:textId="77777777">
        <w:tc>
          <w:tcPr>
            <w:tcW w:w="1668" w:type="dxa"/>
          </w:tcPr>
          <w:p w14:paraId="79FFE5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91D23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DE22D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N 21310</w:t>
            </w:r>
          </w:p>
        </w:tc>
        <w:tc>
          <w:tcPr>
            <w:tcW w:w="1882" w:type="dxa"/>
          </w:tcPr>
          <w:p w14:paraId="08FC5B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43F5B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DAB9E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принимает как</w:t>
            </w:r>
          </w:p>
        </w:tc>
      </w:tr>
      <w:tr w:rsidR="004E10C1" w:rsidRPr="0044524F" w14:paraId="390616AF" w14:textId="77777777">
        <w:tc>
          <w:tcPr>
            <w:tcW w:w="1668" w:type="dxa"/>
          </w:tcPr>
          <w:p w14:paraId="10A8F4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C3EC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35DAB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B9211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DA524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364B1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обязательство снижение</w:t>
            </w:r>
          </w:p>
        </w:tc>
      </w:tr>
      <w:tr w:rsidR="004E10C1" w:rsidRPr="0044524F" w14:paraId="00E1AD59" w14:textId="77777777">
        <w:tc>
          <w:tcPr>
            <w:tcW w:w="1668" w:type="dxa"/>
          </w:tcPr>
          <w:p w14:paraId="39A112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3429F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DFC9E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F4684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F6075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293F3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веса, на 50 кг по отношен.</w:t>
            </w:r>
          </w:p>
        </w:tc>
      </w:tr>
      <w:tr w:rsidR="004E10C1" w:rsidRPr="0044524F" w14:paraId="6EF964ED" w14:textId="77777777">
        <w:tc>
          <w:tcPr>
            <w:tcW w:w="1668" w:type="dxa"/>
          </w:tcPr>
          <w:p w14:paraId="6CC3E9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2E97B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245C1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91073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3C14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6F4F8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эталону 1932 г.</w:t>
            </w:r>
          </w:p>
        </w:tc>
      </w:tr>
      <w:tr w:rsidR="004E10C1" w:rsidRPr="0044524F" w14:paraId="7BE72E8A" w14:textId="77777777">
        <w:tc>
          <w:tcPr>
            <w:tcW w:w="1668" w:type="dxa"/>
          </w:tcPr>
          <w:p w14:paraId="70A1C8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9954E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01F3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5E662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251C7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662EB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У2-М11</w:t>
            </w:r>
          </w:p>
        </w:tc>
      </w:tr>
      <w:tr w:rsidR="004E10C1" w:rsidRPr="0044524F" w14:paraId="37145F44" w14:textId="77777777">
        <w:tc>
          <w:tcPr>
            <w:tcW w:w="1668" w:type="dxa"/>
          </w:tcPr>
          <w:p w14:paraId="6EF16A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tc>
        <w:tc>
          <w:tcPr>
            <w:tcW w:w="1417" w:type="dxa"/>
          </w:tcPr>
          <w:p w14:paraId="3E9D1D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C8D8E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10.01.34</w:t>
            </w:r>
          </w:p>
        </w:tc>
        <w:tc>
          <w:tcPr>
            <w:tcW w:w="1882" w:type="dxa"/>
          </w:tcPr>
          <w:p w14:paraId="4DA856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E0E0E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Разногласий нет.</w:t>
            </w:r>
          </w:p>
        </w:tc>
        <w:tc>
          <w:tcPr>
            <w:tcW w:w="2268" w:type="dxa"/>
          </w:tcPr>
          <w:p w14:paraId="0C47BC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9AFE282" w14:textId="77777777">
        <w:tc>
          <w:tcPr>
            <w:tcW w:w="1668" w:type="dxa"/>
          </w:tcPr>
          <w:p w14:paraId="239779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АП-М11</w:t>
            </w:r>
          </w:p>
        </w:tc>
        <w:tc>
          <w:tcPr>
            <w:tcW w:w="1417" w:type="dxa"/>
          </w:tcPr>
          <w:p w14:paraId="052FA0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эталону</w:t>
            </w:r>
          </w:p>
        </w:tc>
        <w:tc>
          <w:tcPr>
            <w:tcW w:w="1378" w:type="dxa"/>
          </w:tcPr>
          <w:p w14:paraId="0F3D58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F7AD2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5E636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268" w:type="dxa"/>
          </w:tcPr>
          <w:p w14:paraId="4BD3DC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8D595B9" w14:textId="77777777">
        <w:tc>
          <w:tcPr>
            <w:tcW w:w="1668" w:type="dxa"/>
          </w:tcPr>
          <w:p w14:paraId="0B9161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364C7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1378" w:type="dxa"/>
          </w:tcPr>
          <w:p w14:paraId="2C4A81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1558B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9CBC1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8D044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62A0127" w14:textId="77777777">
        <w:tc>
          <w:tcPr>
            <w:tcW w:w="1668" w:type="dxa"/>
          </w:tcPr>
          <w:p w14:paraId="54DDA6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К5-М22</w:t>
            </w:r>
          </w:p>
        </w:tc>
        <w:tc>
          <w:tcPr>
            <w:tcW w:w="1417" w:type="dxa"/>
          </w:tcPr>
          <w:p w14:paraId="5642F9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27214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D81CA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74B2B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9E2A0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B5FE449" w14:textId="77777777">
        <w:tc>
          <w:tcPr>
            <w:tcW w:w="1668" w:type="dxa"/>
          </w:tcPr>
          <w:p w14:paraId="047B09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К5-М22</w:t>
            </w:r>
          </w:p>
        </w:tc>
        <w:tc>
          <w:tcPr>
            <w:tcW w:w="1417" w:type="dxa"/>
          </w:tcPr>
          <w:p w14:paraId="7F26DA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эталону</w:t>
            </w:r>
          </w:p>
        </w:tc>
        <w:tc>
          <w:tcPr>
            <w:tcW w:w="1378" w:type="dxa"/>
          </w:tcPr>
          <w:p w14:paraId="10AB33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2E4E7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99FB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Разногласий с ГУГВФ нет.</w:t>
            </w:r>
          </w:p>
        </w:tc>
        <w:tc>
          <w:tcPr>
            <w:tcW w:w="2268" w:type="dxa"/>
          </w:tcPr>
          <w:p w14:paraId="186164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A9A47AB" w14:textId="77777777">
        <w:tc>
          <w:tcPr>
            <w:tcW w:w="1668" w:type="dxa"/>
          </w:tcPr>
          <w:p w14:paraId="58C5C1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59D24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1378" w:type="dxa"/>
          </w:tcPr>
          <w:p w14:paraId="688BCD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66422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A8C2B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E7BB3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C3F9671" w14:textId="77777777">
        <w:tc>
          <w:tcPr>
            <w:tcW w:w="1668" w:type="dxa"/>
          </w:tcPr>
          <w:p w14:paraId="0BBC5B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1DFB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доведен</w:t>
            </w:r>
          </w:p>
        </w:tc>
        <w:tc>
          <w:tcPr>
            <w:tcW w:w="1378" w:type="dxa"/>
          </w:tcPr>
          <w:p w14:paraId="1D47C2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4FB0C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E1554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35D45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ECCB89F" w14:textId="77777777">
        <w:tc>
          <w:tcPr>
            <w:tcW w:w="1668" w:type="dxa"/>
          </w:tcPr>
          <w:p w14:paraId="7E7B32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ТБ3-4М34Р</w:t>
            </w:r>
          </w:p>
        </w:tc>
        <w:tc>
          <w:tcPr>
            <w:tcW w:w="1417" w:type="dxa"/>
          </w:tcPr>
          <w:p w14:paraId="57420E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C2760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УВВС 1.03</w:t>
            </w:r>
          </w:p>
        </w:tc>
        <w:tc>
          <w:tcPr>
            <w:tcW w:w="1882" w:type="dxa"/>
          </w:tcPr>
          <w:p w14:paraId="2DA305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Расширение фюзеляжа.</w:t>
            </w:r>
          </w:p>
        </w:tc>
        <w:tc>
          <w:tcPr>
            <w:tcW w:w="1985" w:type="dxa"/>
          </w:tcPr>
          <w:p w14:paraId="62238C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замене Ф.З. новой</w:t>
            </w:r>
          </w:p>
        </w:tc>
        <w:tc>
          <w:tcPr>
            <w:tcW w:w="2268" w:type="dxa"/>
          </w:tcPr>
          <w:p w14:paraId="08DC84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Особое мнение зав. N 22</w:t>
            </w:r>
          </w:p>
        </w:tc>
      </w:tr>
      <w:tr w:rsidR="004E10C1" w:rsidRPr="0044524F" w14:paraId="2AE94A1F" w14:textId="77777777">
        <w:tc>
          <w:tcPr>
            <w:tcW w:w="1668" w:type="dxa"/>
          </w:tcPr>
          <w:p w14:paraId="5ED371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0A879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A5A38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23BA0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47FAB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уширенной конструкции с</w:t>
            </w:r>
          </w:p>
        </w:tc>
        <w:tc>
          <w:tcPr>
            <w:tcW w:w="2268" w:type="dxa"/>
          </w:tcPr>
          <w:p w14:paraId="30EA63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требования отказаться</w:t>
            </w:r>
          </w:p>
        </w:tc>
      </w:tr>
      <w:tr w:rsidR="004E10C1" w:rsidRPr="0044524F" w14:paraId="049761AE" w14:textId="77777777">
        <w:tc>
          <w:tcPr>
            <w:tcW w:w="1668" w:type="dxa"/>
          </w:tcPr>
          <w:p w14:paraId="52CD41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744AB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072F3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4E45A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769F8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новым размещением</w:t>
            </w:r>
          </w:p>
        </w:tc>
        <w:tc>
          <w:tcPr>
            <w:tcW w:w="2268" w:type="dxa"/>
          </w:tcPr>
          <w:p w14:paraId="678216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Ф.З. старой конструкции</w:t>
            </w:r>
          </w:p>
        </w:tc>
      </w:tr>
      <w:tr w:rsidR="004E10C1" w:rsidRPr="0044524F" w14:paraId="672D9CE7" w14:textId="77777777">
        <w:tc>
          <w:tcPr>
            <w:tcW w:w="1668" w:type="dxa"/>
          </w:tcPr>
          <w:p w14:paraId="3E8B0F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7DC94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43252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9A2FE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CF7F6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огневых точек.</w:t>
            </w:r>
          </w:p>
        </w:tc>
        <w:tc>
          <w:tcPr>
            <w:tcW w:w="2268" w:type="dxa"/>
          </w:tcPr>
          <w:p w14:paraId="4FA77B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введение нового Ф.З.</w:t>
            </w:r>
          </w:p>
        </w:tc>
      </w:tr>
      <w:tr w:rsidR="004E10C1" w:rsidRPr="0044524F" w14:paraId="7FAB945F" w14:textId="77777777">
        <w:tc>
          <w:tcPr>
            <w:tcW w:w="1668" w:type="dxa"/>
          </w:tcPr>
          <w:p w14:paraId="5BE93A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D6914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34387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ГУАП 1.07</w:t>
            </w:r>
          </w:p>
        </w:tc>
        <w:tc>
          <w:tcPr>
            <w:tcW w:w="1882" w:type="dxa"/>
          </w:tcPr>
          <w:p w14:paraId="30B22B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E2919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9C0AC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связано с большим объем.</w:t>
            </w:r>
          </w:p>
        </w:tc>
      </w:tr>
      <w:tr w:rsidR="004E10C1" w:rsidRPr="0044524F" w14:paraId="3D1CA69C" w14:textId="77777777">
        <w:tc>
          <w:tcPr>
            <w:tcW w:w="1668" w:type="dxa"/>
          </w:tcPr>
          <w:p w14:paraId="7467F2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2C857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AC0AC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CA65A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4D7B8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2C7FC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 уч. наличия только</w:t>
            </w:r>
          </w:p>
        </w:tc>
      </w:tr>
      <w:tr w:rsidR="004E10C1" w:rsidRPr="0044524F" w14:paraId="653F9CD9" w14:textId="77777777">
        <w:tc>
          <w:tcPr>
            <w:tcW w:w="1668" w:type="dxa"/>
          </w:tcPr>
          <w:p w14:paraId="0F3071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07103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AA464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FBD7E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3B9FB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0F2FF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 при отсутствии</w:t>
            </w:r>
          </w:p>
        </w:tc>
      </w:tr>
      <w:tr w:rsidR="004E10C1" w:rsidRPr="0044524F" w14:paraId="3C919824" w14:textId="77777777">
        <w:tc>
          <w:tcPr>
            <w:tcW w:w="1668" w:type="dxa"/>
          </w:tcPr>
          <w:p w14:paraId="54710D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01215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0DE90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55327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224FC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FEFC6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 на приспособления,</w:t>
            </w:r>
          </w:p>
        </w:tc>
      </w:tr>
      <w:tr w:rsidR="004E10C1" w:rsidRPr="0044524F" w14:paraId="4BD4FEA5" w14:textId="77777777">
        <w:tc>
          <w:tcPr>
            <w:tcW w:w="1668" w:type="dxa"/>
          </w:tcPr>
          <w:p w14:paraId="38866B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7E939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96006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3E068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3191D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59478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также самих приспособл.</w:t>
            </w:r>
          </w:p>
        </w:tc>
      </w:tr>
      <w:tr w:rsidR="004E10C1" w:rsidRPr="0044524F" w14:paraId="3414C27B" w14:textId="77777777">
        <w:tc>
          <w:tcPr>
            <w:tcW w:w="1668" w:type="dxa"/>
          </w:tcPr>
          <w:p w14:paraId="4539D4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6A9C7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A6050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BEA5F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 замене костыля на</w:t>
            </w:r>
          </w:p>
        </w:tc>
        <w:tc>
          <w:tcPr>
            <w:tcW w:w="1985" w:type="dxa"/>
          </w:tcPr>
          <w:p w14:paraId="1957E3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взамен</w:t>
            </w:r>
          </w:p>
        </w:tc>
        <w:tc>
          <w:tcPr>
            <w:tcW w:w="2268" w:type="dxa"/>
          </w:tcPr>
          <w:p w14:paraId="5BD276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требований отказаться</w:t>
            </w:r>
          </w:p>
        </w:tc>
      </w:tr>
      <w:tr w:rsidR="004E10C1" w:rsidRPr="0044524F" w14:paraId="7E277A64" w14:textId="77777777">
        <w:tc>
          <w:tcPr>
            <w:tcW w:w="1668" w:type="dxa"/>
          </w:tcPr>
          <w:p w14:paraId="1B75AE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B7C2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0B72F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E9962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колесо.</w:t>
            </w:r>
          </w:p>
        </w:tc>
        <w:tc>
          <w:tcPr>
            <w:tcW w:w="1985" w:type="dxa"/>
          </w:tcPr>
          <w:p w14:paraId="2D5C3F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костыля колесо улуч.</w:t>
            </w:r>
          </w:p>
        </w:tc>
        <w:tc>
          <w:tcPr>
            <w:tcW w:w="2268" w:type="dxa"/>
          </w:tcPr>
          <w:p w14:paraId="470DF9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 принятия такового</w:t>
            </w:r>
          </w:p>
        </w:tc>
      </w:tr>
      <w:tr w:rsidR="004E10C1" w:rsidRPr="0044524F" w14:paraId="06BDF099" w14:textId="77777777">
        <w:tc>
          <w:tcPr>
            <w:tcW w:w="1668" w:type="dxa"/>
          </w:tcPr>
          <w:p w14:paraId="4B8F4D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38DEB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691C1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0C210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FFC27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эксплоатации сам.</w:t>
            </w:r>
          </w:p>
        </w:tc>
        <w:tc>
          <w:tcPr>
            <w:tcW w:w="2268" w:type="dxa"/>
          </w:tcPr>
          <w:p w14:paraId="178C91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влечет за собой большой</w:t>
            </w:r>
          </w:p>
        </w:tc>
      </w:tr>
      <w:tr w:rsidR="004E10C1" w:rsidRPr="0044524F" w14:paraId="2D4101A8" w14:textId="77777777">
        <w:tc>
          <w:tcPr>
            <w:tcW w:w="1668" w:type="dxa"/>
          </w:tcPr>
          <w:p w14:paraId="3FC3C1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3D0D9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4040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1E5FD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F3AFB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4E195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объем работ по переделке</w:t>
            </w:r>
          </w:p>
        </w:tc>
      </w:tr>
      <w:tr w:rsidR="004E10C1" w:rsidRPr="0044524F" w14:paraId="701FFF67" w14:textId="77777777">
        <w:tc>
          <w:tcPr>
            <w:tcW w:w="1668" w:type="dxa"/>
          </w:tcPr>
          <w:p w14:paraId="31E967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224CE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90463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860DF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771BD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1846B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хвостовой части.</w:t>
            </w:r>
          </w:p>
        </w:tc>
      </w:tr>
      <w:tr w:rsidR="004E10C1" w:rsidRPr="0044524F" w14:paraId="5AE2C593" w14:textId="77777777">
        <w:tc>
          <w:tcPr>
            <w:tcW w:w="1668" w:type="dxa"/>
          </w:tcPr>
          <w:p w14:paraId="16960F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5D0F5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C6567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944D1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О сроках выхода </w:t>
            </w:r>
          </w:p>
        </w:tc>
        <w:tc>
          <w:tcPr>
            <w:tcW w:w="1985" w:type="dxa"/>
          </w:tcPr>
          <w:p w14:paraId="501D18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Представить на госисп.</w:t>
            </w:r>
          </w:p>
        </w:tc>
        <w:tc>
          <w:tcPr>
            <w:tcW w:w="2268" w:type="dxa"/>
          </w:tcPr>
          <w:p w14:paraId="074AC7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 с расширенным</w:t>
            </w:r>
          </w:p>
        </w:tc>
      </w:tr>
      <w:tr w:rsidR="004E10C1" w:rsidRPr="0044524F" w14:paraId="4AD19227" w14:textId="77777777">
        <w:tc>
          <w:tcPr>
            <w:tcW w:w="1668" w:type="dxa"/>
          </w:tcPr>
          <w:p w14:paraId="48C273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6C804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266FC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3E7A9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эталона.</w:t>
            </w:r>
          </w:p>
        </w:tc>
        <w:tc>
          <w:tcPr>
            <w:tcW w:w="1985" w:type="dxa"/>
          </w:tcPr>
          <w:p w14:paraId="49549D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 с новым</w:t>
            </w:r>
          </w:p>
        </w:tc>
        <w:tc>
          <w:tcPr>
            <w:tcW w:w="2268" w:type="dxa"/>
          </w:tcPr>
          <w:p w14:paraId="4E3463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фюзеляжем строить.</w:t>
            </w:r>
          </w:p>
        </w:tc>
      </w:tr>
      <w:tr w:rsidR="004E10C1" w:rsidRPr="0044524F" w14:paraId="693CE065" w14:textId="77777777">
        <w:tc>
          <w:tcPr>
            <w:tcW w:w="1668" w:type="dxa"/>
          </w:tcPr>
          <w:p w14:paraId="64E0C9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A1B2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C5C82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40D2C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86AE0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фюзеляжем к 1.05.</w:t>
            </w:r>
          </w:p>
        </w:tc>
        <w:tc>
          <w:tcPr>
            <w:tcW w:w="2268" w:type="dxa"/>
          </w:tcPr>
          <w:p w14:paraId="4724C8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старым фюзеляжем к</w:t>
            </w:r>
          </w:p>
        </w:tc>
      </w:tr>
      <w:tr w:rsidR="004E10C1" w:rsidRPr="0044524F" w14:paraId="53194F9E" w14:textId="77777777">
        <w:tc>
          <w:tcPr>
            <w:tcW w:w="1668" w:type="dxa"/>
          </w:tcPr>
          <w:p w14:paraId="5F797A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2632B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78E3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5C43B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435C4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старым фюзеляжем</w:t>
            </w:r>
          </w:p>
        </w:tc>
        <w:tc>
          <w:tcPr>
            <w:tcW w:w="2268" w:type="dxa"/>
          </w:tcPr>
          <w:p w14:paraId="7DAF8F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w:t>
            </w:r>
          </w:p>
        </w:tc>
      </w:tr>
      <w:tr w:rsidR="004E10C1" w:rsidRPr="0044524F" w14:paraId="0A0543E1" w14:textId="77777777">
        <w:tc>
          <w:tcPr>
            <w:tcW w:w="1668" w:type="dxa"/>
          </w:tcPr>
          <w:p w14:paraId="0D1047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49C70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96C4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2ED6B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939D3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w:t>
            </w:r>
          </w:p>
        </w:tc>
        <w:tc>
          <w:tcPr>
            <w:tcW w:w="2268" w:type="dxa"/>
          </w:tcPr>
          <w:p w14:paraId="5A83B6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BD33A6E" w14:textId="77777777">
        <w:tc>
          <w:tcPr>
            <w:tcW w:w="1668" w:type="dxa"/>
          </w:tcPr>
          <w:p w14:paraId="0709C7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417" w:type="dxa"/>
          </w:tcPr>
          <w:p w14:paraId="1D35C0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эталону</w:t>
            </w:r>
          </w:p>
        </w:tc>
        <w:tc>
          <w:tcPr>
            <w:tcW w:w="1378" w:type="dxa"/>
          </w:tcPr>
          <w:p w14:paraId="322A99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1882" w:type="dxa"/>
          </w:tcPr>
          <w:p w14:paraId="274BEC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6CAE2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Разногласий нет.</w:t>
            </w:r>
          </w:p>
        </w:tc>
        <w:tc>
          <w:tcPr>
            <w:tcW w:w="2268" w:type="dxa"/>
          </w:tcPr>
          <w:p w14:paraId="505D71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Устраняются дефекты</w:t>
            </w:r>
          </w:p>
        </w:tc>
      </w:tr>
      <w:tr w:rsidR="004E10C1" w:rsidRPr="0044524F" w14:paraId="6E4D5024" w14:textId="77777777">
        <w:tc>
          <w:tcPr>
            <w:tcW w:w="1668" w:type="dxa"/>
          </w:tcPr>
          <w:p w14:paraId="61755D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E9226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7E9BA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CB07E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9FE46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AE6AB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обнар. на эталоне.</w:t>
            </w:r>
          </w:p>
        </w:tc>
      </w:tr>
      <w:tr w:rsidR="004E10C1" w:rsidRPr="0044524F" w14:paraId="17EDCB35" w14:textId="77777777">
        <w:tc>
          <w:tcPr>
            <w:tcW w:w="1668" w:type="dxa"/>
          </w:tcPr>
          <w:p w14:paraId="270879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B31B5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D06F1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E7315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01649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721482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Улучш.: обтекаемость с-та</w:t>
            </w:r>
          </w:p>
        </w:tc>
      </w:tr>
      <w:tr w:rsidR="004E10C1" w:rsidRPr="0044524F" w14:paraId="3352C0B9" w14:textId="77777777">
        <w:tc>
          <w:tcPr>
            <w:tcW w:w="1668" w:type="dxa"/>
          </w:tcPr>
          <w:p w14:paraId="18996C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Р6-2М17</w:t>
            </w:r>
          </w:p>
        </w:tc>
        <w:tc>
          <w:tcPr>
            <w:tcW w:w="1417" w:type="dxa"/>
          </w:tcPr>
          <w:p w14:paraId="50F27E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1F860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0957E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2359A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0D7096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64E990" w14:textId="77777777">
        <w:tc>
          <w:tcPr>
            <w:tcW w:w="1668" w:type="dxa"/>
          </w:tcPr>
          <w:p w14:paraId="08B855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tc>
        <w:tc>
          <w:tcPr>
            <w:tcW w:w="1417" w:type="dxa"/>
          </w:tcPr>
          <w:p w14:paraId="22BB60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эталону</w:t>
            </w:r>
          </w:p>
        </w:tc>
        <w:tc>
          <w:tcPr>
            <w:tcW w:w="1378" w:type="dxa"/>
          </w:tcPr>
          <w:p w14:paraId="097217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1882" w:type="dxa"/>
          </w:tcPr>
          <w:p w14:paraId="78FB31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Увеличение скорости</w:t>
            </w:r>
          </w:p>
        </w:tc>
        <w:tc>
          <w:tcPr>
            <w:tcW w:w="1985" w:type="dxa"/>
          </w:tcPr>
          <w:p w14:paraId="57B761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 целью доведения</w:t>
            </w:r>
          </w:p>
        </w:tc>
        <w:tc>
          <w:tcPr>
            <w:tcW w:w="2268" w:type="dxa"/>
          </w:tcPr>
          <w:p w14:paraId="3120CC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Цифру 260 км/час</w:t>
            </w:r>
          </w:p>
        </w:tc>
      </w:tr>
      <w:tr w:rsidR="004E10C1" w:rsidRPr="0044524F" w14:paraId="46484515" w14:textId="77777777">
        <w:tc>
          <w:tcPr>
            <w:tcW w:w="1668" w:type="dxa"/>
          </w:tcPr>
          <w:p w14:paraId="046129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812A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1378" w:type="dxa"/>
          </w:tcPr>
          <w:p w14:paraId="5C40A4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7036F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9E456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 скорости</w:t>
            </w:r>
          </w:p>
        </w:tc>
        <w:tc>
          <w:tcPr>
            <w:tcW w:w="2268" w:type="dxa"/>
          </w:tcPr>
          <w:p w14:paraId="67D736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ориентировочной.</w:t>
            </w:r>
          </w:p>
        </w:tc>
      </w:tr>
      <w:tr w:rsidR="004E10C1" w:rsidRPr="0044524F" w14:paraId="67016A9B" w14:textId="77777777">
        <w:tc>
          <w:tcPr>
            <w:tcW w:w="1668" w:type="dxa"/>
          </w:tcPr>
          <w:p w14:paraId="5D8F13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F337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1ACDC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F8FC6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9C535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260 км/час.</w:t>
            </w:r>
          </w:p>
        </w:tc>
        <w:tc>
          <w:tcPr>
            <w:tcW w:w="2268" w:type="dxa"/>
          </w:tcPr>
          <w:p w14:paraId="5DA391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A799BD8" w14:textId="77777777">
        <w:tc>
          <w:tcPr>
            <w:tcW w:w="1668" w:type="dxa"/>
          </w:tcPr>
          <w:p w14:paraId="3C639A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3BF9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BD3F7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DD2E7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Снижение веса</w:t>
            </w:r>
          </w:p>
        </w:tc>
        <w:tc>
          <w:tcPr>
            <w:tcW w:w="1985" w:type="dxa"/>
          </w:tcPr>
          <w:p w14:paraId="0F0105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Снизить вес самолета</w:t>
            </w:r>
          </w:p>
        </w:tc>
        <w:tc>
          <w:tcPr>
            <w:tcW w:w="2268" w:type="dxa"/>
          </w:tcPr>
          <w:p w14:paraId="353698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Снижение веса на 170 кг</w:t>
            </w:r>
          </w:p>
        </w:tc>
      </w:tr>
      <w:tr w:rsidR="004E10C1" w:rsidRPr="0044524F" w14:paraId="3D26DDB5" w14:textId="77777777">
        <w:tc>
          <w:tcPr>
            <w:tcW w:w="1668" w:type="dxa"/>
          </w:tcPr>
          <w:p w14:paraId="765C73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3CBB5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8FA53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66B12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4B8B7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170 кг за счет</w:t>
            </w:r>
          </w:p>
        </w:tc>
        <w:tc>
          <w:tcPr>
            <w:tcW w:w="2268" w:type="dxa"/>
          </w:tcPr>
          <w:p w14:paraId="0D52D0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считать ориентировочной, </w:t>
            </w:r>
          </w:p>
        </w:tc>
      </w:tr>
      <w:tr w:rsidR="004E10C1" w:rsidRPr="0044524F" w14:paraId="3E6B4C19" w14:textId="77777777">
        <w:tc>
          <w:tcPr>
            <w:tcW w:w="1668" w:type="dxa"/>
          </w:tcPr>
          <w:p w14:paraId="171444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F8230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088EA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F8B3C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B99D0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применения хромомолиб.</w:t>
            </w:r>
          </w:p>
        </w:tc>
        <w:tc>
          <w:tcPr>
            <w:tcW w:w="2268" w:type="dxa"/>
          </w:tcPr>
          <w:p w14:paraId="56EC32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отсутств. возможности</w:t>
            </w:r>
          </w:p>
        </w:tc>
      </w:tr>
      <w:tr w:rsidR="004E10C1" w:rsidRPr="0044524F" w14:paraId="5EEECCC7" w14:textId="77777777">
        <w:tc>
          <w:tcPr>
            <w:tcW w:w="1668" w:type="dxa"/>
          </w:tcPr>
          <w:p w14:paraId="355341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5FC5E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DB196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0D955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B847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 электрона и</w:t>
            </w:r>
          </w:p>
        </w:tc>
        <w:tc>
          <w:tcPr>
            <w:tcW w:w="2268" w:type="dxa"/>
          </w:tcPr>
          <w:p w14:paraId="649263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получения: хромолибден.</w:t>
            </w:r>
          </w:p>
        </w:tc>
      </w:tr>
      <w:tr w:rsidR="004E10C1" w:rsidRPr="0044524F" w14:paraId="3A67BDC3" w14:textId="77777777">
        <w:tc>
          <w:tcPr>
            <w:tcW w:w="1668" w:type="dxa"/>
          </w:tcPr>
          <w:p w14:paraId="0A32CD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9F249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EFA16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B3861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D06E6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изменения конструкции</w:t>
            </w:r>
          </w:p>
        </w:tc>
        <w:tc>
          <w:tcPr>
            <w:tcW w:w="2268" w:type="dxa"/>
          </w:tcPr>
          <w:p w14:paraId="6CD174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 электрона и пр.</w:t>
            </w:r>
          </w:p>
        </w:tc>
      </w:tr>
      <w:tr w:rsidR="004E10C1" w:rsidRPr="0044524F" w14:paraId="6682A8A4" w14:textId="77777777">
        <w:tc>
          <w:tcPr>
            <w:tcW w:w="1668" w:type="dxa"/>
          </w:tcPr>
          <w:p w14:paraId="38E7AB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A9F70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1A55E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028E9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C8E74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деталей.</w:t>
            </w:r>
          </w:p>
        </w:tc>
        <w:tc>
          <w:tcPr>
            <w:tcW w:w="2268" w:type="dxa"/>
          </w:tcPr>
          <w:p w14:paraId="401AFD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F1E6813" w14:textId="77777777">
        <w:tc>
          <w:tcPr>
            <w:tcW w:w="1668" w:type="dxa"/>
          </w:tcPr>
          <w:p w14:paraId="3D8C90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49A8C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806B6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4A678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Выполнение на эталоне</w:t>
            </w:r>
          </w:p>
        </w:tc>
        <w:tc>
          <w:tcPr>
            <w:tcW w:w="1985" w:type="dxa"/>
          </w:tcPr>
          <w:p w14:paraId="417149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Выполнить на эталоне</w:t>
            </w:r>
          </w:p>
        </w:tc>
        <w:tc>
          <w:tcPr>
            <w:tcW w:w="2268" w:type="dxa"/>
          </w:tcPr>
          <w:p w14:paraId="3226A1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Цифру 260 км/час</w:t>
            </w:r>
          </w:p>
        </w:tc>
      </w:tr>
      <w:tr w:rsidR="004E10C1" w:rsidRPr="0044524F" w14:paraId="0829AFFB" w14:textId="77777777">
        <w:tc>
          <w:tcPr>
            <w:tcW w:w="1668" w:type="dxa"/>
          </w:tcPr>
          <w:p w14:paraId="1C8B61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2A1988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30A6BB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771EB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всех техтребований.</w:t>
            </w:r>
          </w:p>
        </w:tc>
        <w:tc>
          <w:tcPr>
            <w:tcW w:w="1985" w:type="dxa"/>
          </w:tcPr>
          <w:p w14:paraId="38763D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 все техтребования</w:t>
            </w:r>
          </w:p>
        </w:tc>
        <w:tc>
          <w:tcPr>
            <w:tcW w:w="2268" w:type="dxa"/>
          </w:tcPr>
          <w:p w14:paraId="2B26BC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считает ориентировочной.</w:t>
            </w:r>
          </w:p>
        </w:tc>
      </w:tr>
      <w:tr w:rsidR="004E10C1" w:rsidRPr="0044524F" w14:paraId="739BC69E" w14:textId="77777777">
        <w:tc>
          <w:tcPr>
            <w:tcW w:w="1668" w:type="dxa"/>
          </w:tcPr>
          <w:p w14:paraId="4250DD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34647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A20E8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B9214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E2FA8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в прежнем своем</w:t>
            </w:r>
          </w:p>
        </w:tc>
        <w:tc>
          <w:tcPr>
            <w:tcW w:w="2268" w:type="dxa"/>
          </w:tcPr>
          <w:p w14:paraId="45589D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Снижение веса на 170 кг</w:t>
            </w:r>
          </w:p>
        </w:tc>
      </w:tr>
      <w:tr w:rsidR="004E10C1" w:rsidRPr="0044524F" w14:paraId="198E934F" w14:textId="77777777">
        <w:tc>
          <w:tcPr>
            <w:tcW w:w="1668" w:type="dxa"/>
          </w:tcPr>
          <w:p w14:paraId="3A1F96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8E93C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56D4D1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D7BF2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13C6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виде сам. Р6 не имеет</w:t>
            </w:r>
          </w:p>
        </w:tc>
        <w:tc>
          <w:tcPr>
            <w:tcW w:w="2268" w:type="dxa"/>
          </w:tcPr>
          <w:p w14:paraId="2CA037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ориентировочной, за</w:t>
            </w:r>
          </w:p>
        </w:tc>
      </w:tr>
      <w:tr w:rsidR="004E10C1" w:rsidRPr="0044524F" w14:paraId="30C2BC31" w14:textId="77777777">
        <w:tc>
          <w:tcPr>
            <w:tcW w:w="1668" w:type="dxa"/>
          </w:tcPr>
          <w:p w14:paraId="0DB5FC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995CA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27886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4C2D7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1C223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тактического лица, из них</w:t>
            </w:r>
          </w:p>
        </w:tc>
        <w:tc>
          <w:tcPr>
            <w:tcW w:w="2268" w:type="dxa"/>
          </w:tcPr>
          <w:p w14:paraId="4FD170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 возможности</w:t>
            </w:r>
          </w:p>
        </w:tc>
      </w:tr>
      <w:tr w:rsidR="004E10C1" w:rsidRPr="0044524F" w14:paraId="4614C15E" w14:textId="77777777">
        <w:tc>
          <w:tcPr>
            <w:tcW w:w="1668" w:type="dxa"/>
          </w:tcPr>
          <w:p w14:paraId="39BA77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9578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E316D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931B0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24116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w:t>
            </w:r>
          </w:p>
        </w:tc>
        <w:tc>
          <w:tcPr>
            <w:tcW w:w="2268" w:type="dxa"/>
          </w:tcPr>
          <w:p w14:paraId="05FC96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получения: хромомолибд.</w:t>
            </w:r>
          </w:p>
        </w:tc>
      </w:tr>
      <w:tr w:rsidR="004E10C1" w:rsidRPr="0044524F" w14:paraId="2693ED05" w14:textId="77777777">
        <w:tc>
          <w:tcPr>
            <w:tcW w:w="1668" w:type="dxa"/>
          </w:tcPr>
          <w:p w14:paraId="254B14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C690A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4B68D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A51B9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C4B32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установить вместо</w:t>
            </w:r>
          </w:p>
        </w:tc>
        <w:tc>
          <w:tcPr>
            <w:tcW w:w="2268" w:type="dxa"/>
          </w:tcPr>
          <w:p w14:paraId="7BE1F5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труб, электрона и пр.</w:t>
            </w:r>
          </w:p>
        </w:tc>
      </w:tr>
      <w:tr w:rsidR="004E10C1" w:rsidRPr="0044524F" w14:paraId="736635C3" w14:textId="77777777">
        <w:tc>
          <w:tcPr>
            <w:tcW w:w="1668" w:type="dxa"/>
          </w:tcPr>
          <w:p w14:paraId="13F891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1E8A2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4AA5F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7203E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B088B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закрылков клапана </w:t>
            </w:r>
          </w:p>
        </w:tc>
        <w:tc>
          <w:tcPr>
            <w:tcW w:w="2268" w:type="dxa"/>
          </w:tcPr>
          <w:p w14:paraId="71D42A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эталону 2-й пол. 34 г.</w:t>
            </w:r>
          </w:p>
        </w:tc>
      </w:tr>
      <w:tr w:rsidR="004E10C1" w:rsidRPr="0044524F" w14:paraId="0C510440" w14:textId="77777777">
        <w:tc>
          <w:tcPr>
            <w:tcW w:w="1668" w:type="dxa"/>
          </w:tcPr>
          <w:p w14:paraId="332969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6C366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1345E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117B3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53E99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"НОРТРОП";</w:t>
            </w:r>
          </w:p>
        </w:tc>
        <w:tc>
          <w:tcPr>
            <w:tcW w:w="2268" w:type="dxa"/>
          </w:tcPr>
          <w:p w14:paraId="3D9B5D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 Р6 по котор.будут...</w:t>
            </w:r>
          </w:p>
        </w:tc>
      </w:tr>
      <w:tr w:rsidR="004E10C1" w:rsidRPr="0044524F" w14:paraId="188A1F66" w14:textId="77777777">
        <w:tc>
          <w:tcPr>
            <w:tcW w:w="1668" w:type="dxa"/>
          </w:tcPr>
          <w:p w14:paraId="1B1CBA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826FE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B07A1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EC219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7580F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поставить металлич.</w:t>
            </w:r>
          </w:p>
        </w:tc>
        <w:tc>
          <w:tcPr>
            <w:tcW w:w="2268" w:type="dxa"/>
          </w:tcPr>
          <w:p w14:paraId="0849F6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техтребования....</w:t>
            </w:r>
          </w:p>
        </w:tc>
      </w:tr>
      <w:tr w:rsidR="004E10C1" w:rsidRPr="0044524F" w14:paraId="50FD48F4" w14:textId="77777777">
        <w:tc>
          <w:tcPr>
            <w:tcW w:w="1668" w:type="dxa"/>
          </w:tcPr>
          <w:p w14:paraId="05E354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D3C51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E04B9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64D03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338068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винты;</w:t>
            </w:r>
          </w:p>
        </w:tc>
        <w:tc>
          <w:tcPr>
            <w:tcW w:w="2268" w:type="dxa"/>
          </w:tcPr>
          <w:p w14:paraId="603AF6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C8D3BE7" w14:textId="77777777">
        <w:tc>
          <w:tcPr>
            <w:tcW w:w="1668" w:type="dxa"/>
          </w:tcPr>
          <w:p w14:paraId="1FE48D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E10D3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6813D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72FE2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3062D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установить шасси с</w:t>
            </w:r>
          </w:p>
        </w:tc>
        <w:tc>
          <w:tcPr>
            <w:tcW w:w="2268" w:type="dxa"/>
          </w:tcPr>
          <w:p w14:paraId="4EFA1F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6EB38EF" w14:textId="77777777">
        <w:tc>
          <w:tcPr>
            <w:tcW w:w="1668" w:type="dxa"/>
          </w:tcPr>
          <w:p w14:paraId="013FF7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E0575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277F2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EA109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30538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масляной пневматической</w:t>
            </w:r>
          </w:p>
        </w:tc>
        <w:tc>
          <w:tcPr>
            <w:tcW w:w="2268" w:type="dxa"/>
          </w:tcPr>
          <w:p w14:paraId="4A659A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5DDF1F4" w14:textId="77777777">
        <w:tc>
          <w:tcPr>
            <w:tcW w:w="1668" w:type="dxa"/>
          </w:tcPr>
          <w:p w14:paraId="78F406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49B3F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2DF2D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6DA82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7C394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аммортизац.;</w:t>
            </w:r>
          </w:p>
        </w:tc>
        <w:tc>
          <w:tcPr>
            <w:tcW w:w="2268" w:type="dxa"/>
          </w:tcPr>
          <w:p w14:paraId="05234A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3304F55" w14:textId="77777777">
        <w:tc>
          <w:tcPr>
            <w:tcW w:w="1668" w:type="dxa"/>
          </w:tcPr>
          <w:p w14:paraId="1E97ED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58B2C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7254F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D69BE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CCB50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элероны делать разрезн.;</w:t>
            </w:r>
          </w:p>
        </w:tc>
        <w:tc>
          <w:tcPr>
            <w:tcW w:w="2268" w:type="dxa"/>
          </w:tcPr>
          <w:p w14:paraId="3EDCAE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3A2C0EC" w14:textId="77777777">
        <w:tc>
          <w:tcPr>
            <w:tcW w:w="1668" w:type="dxa"/>
          </w:tcPr>
          <w:p w14:paraId="5F604C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C6064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90A2A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609B3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D37CF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установить тормозные</w:t>
            </w:r>
          </w:p>
        </w:tc>
        <w:tc>
          <w:tcPr>
            <w:tcW w:w="2268" w:type="dxa"/>
          </w:tcPr>
          <w:p w14:paraId="6114BC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48EA2DD" w14:textId="77777777">
        <w:tc>
          <w:tcPr>
            <w:tcW w:w="1668" w:type="dxa"/>
          </w:tcPr>
          <w:p w14:paraId="45D012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5A6185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A56B4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B6236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1C038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колеса;</w:t>
            </w:r>
          </w:p>
        </w:tc>
        <w:tc>
          <w:tcPr>
            <w:tcW w:w="2268" w:type="dxa"/>
          </w:tcPr>
          <w:p w14:paraId="66479E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E266C18" w14:textId="77777777">
        <w:tc>
          <w:tcPr>
            <w:tcW w:w="1668" w:type="dxa"/>
          </w:tcPr>
          <w:p w14:paraId="4F0AD9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E3A1B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463009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BF1C9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5C6AF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 установить на руле</w:t>
            </w:r>
          </w:p>
        </w:tc>
        <w:tc>
          <w:tcPr>
            <w:tcW w:w="2268" w:type="dxa"/>
          </w:tcPr>
          <w:p w14:paraId="7242F7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B462591" w14:textId="77777777">
        <w:tc>
          <w:tcPr>
            <w:tcW w:w="1668" w:type="dxa"/>
          </w:tcPr>
          <w:p w14:paraId="730DA0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CC68E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853C3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077F5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50987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направления компенсаторы</w:t>
            </w:r>
          </w:p>
        </w:tc>
        <w:tc>
          <w:tcPr>
            <w:tcW w:w="2268" w:type="dxa"/>
          </w:tcPr>
          <w:p w14:paraId="09966F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D618C86" w14:textId="77777777">
        <w:tc>
          <w:tcPr>
            <w:tcW w:w="1668" w:type="dxa"/>
          </w:tcPr>
          <w:p w14:paraId="7D1C2B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CCF08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D7D87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3C40F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1382E9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типа "Флейтнер".</w:t>
            </w:r>
          </w:p>
        </w:tc>
        <w:tc>
          <w:tcPr>
            <w:tcW w:w="2268" w:type="dxa"/>
          </w:tcPr>
          <w:p w14:paraId="205023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ECC928D" w14:textId="77777777">
        <w:tc>
          <w:tcPr>
            <w:tcW w:w="1668" w:type="dxa"/>
          </w:tcPr>
          <w:p w14:paraId="6258C6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Р6-2М17</w:t>
            </w:r>
          </w:p>
        </w:tc>
        <w:tc>
          <w:tcPr>
            <w:tcW w:w="1417" w:type="dxa"/>
          </w:tcPr>
          <w:p w14:paraId="02B489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31058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5299C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85B9C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5D902A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744911A" w14:textId="77777777">
        <w:tc>
          <w:tcPr>
            <w:tcW w:w="1668" w:type="dxa"/>
          </w:tcPr>
          <w:p w14:paraId="091F29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Р6а-2М17</w:t>
            </w:r>
          </w:p>
        </w:tc>
        <w:tc>
          <w:tcPr>
            <w:tcW w:w="1417" w:type="dxa"/>
          </w:tcPr>
          <w:p w14:paraId="0B78AA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эталону</w:t>
            </w:r>
          </w:p>
        </w:tc>
        <w:tc>
          <w:tcPr>
            <w:tcW w:w="1378" w:type="dxa"/>
          </w:tcPr>
          <w:p w14:paraId="2F294B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1.04</w:t>
            </w:r>
          </w:p>
        </w:tc>
        <w:tc>
          <w:tcPr>
            <w:tcW w:w="1882" w:type="dxa"/>
          </w:tcPr>
          <w:p w14:paraId="5E4F86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 на поплавках 1.01.34 г.</w:t>
            </w:r>
          </w:p>
        </w:tc>
        <w:tc>
          <w:tcPr>
            <w:tcW w:w="1985" w:type="dxa"/>
          </w:tcPr>
          <w:p w14:paraId="2BE589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1FCF1A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9A0AEA1" w14:textId="77777777">
        <w:tc>
          <w:tcPr>
            <w:tcW w:w="1668" w:type="dxa"/>
          </w:tcPr>
          <w:p w14:paraId="4C7F6F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4FEE38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1378" w:type="dxa"/>
          </w:tcPr>
          <w:p w14:paraId="00F07E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2524CA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F73C8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7D6E1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6A61757" w14:textId="77777777">
        <w:tc>
          <w:tcPr>
            <w:tcW w:w="1668" w:type="dxa"/>
          </w:tcPr>
          <w:p w14:paraId="645827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МБР2-М17</w:t>
            </w:r>
          </w:p>
        </w:tc>
        <w:tc>
          <w:tcPr>
            <w:tcW w:w="1417" w:type="dxa"/>
          </w:tcPr>
          <w:p w14:paraId="24E148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197A2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13944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6CFE14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A771D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46FA0FD" w14:textId="77777777">
        <w:tc>
          <w:tcPr>
            <w:tcW w:w="1668" w:type="dxa"/>
          </w:tcPr>
          <w:p w14:paraId="5CDA4A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МБР2-М17</w:t>
            </w:r>
          </w:p>
        </w:tc>
        <w:tc>
          <w:tcPr>
            <w:tcW w:w="1417" w:type="dxa"/>
          </w:tcPr>
          <w:p w14:paraId="3D7A77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E4C91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1.01.34 г.</w:t>
            </w:r>
          </w:p>
        </w:tc>
        <w:tc>
          <w:tcPr>
            <w:tcW w:w="1882" w:type="dxa"/>
          </w:tcPr>
          <w:p w14:paraId="7A84A9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эталона на</w:t>
            </w:r>
          </w:p>
        </w:tc>
        <w:tc>
          <w:tcPr>
            <w:tcW w:w="1985" w:type="dxa"/>
          </w:tcPr>
          <w:p w14:paraId="4E6646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Построить на 2-ую полов.</w:t>
            </w:r>
          </w:p>
        </w:tc>
        <w:tc>
          <w:tcPr>
            <w:tcW w:w="2268" w:type="dxa"/>
          </w:tcPr>
          <w:p w14:paraId="44B6D0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сам. МБР2-М17 в 19...</w:t>
            </w:r>
          </w:p>
        </w:tc>
      </w:tr>
      <w:tr w:rsidR="004E10C1" w:rsidRPr="0044524F" w14:paraId="55B6DF85" w14:textId="77777777">
        <w:tc>
          <w:tcPr>
            <w:tcW w:w="1668" w:type="dxa"/>
          </w:tcPr>
          <w:p w14:paraId="397FC9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76577C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544B1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753C6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2-ую половину 1934 г.</w:t>
            </w:r>
          </w:p>
        </w:tc>
        <w:tc>
          <w:tcPr>
            <w:tcW w:w="1985" w:type="dxa"/>
          </w:tcPr>
          <w:p w14:paraId="33F88D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 новый эталон и по</w:t>
            </w:r>
          </w:p>
        </w:tc>
        <w:tc>
          <w:tcPr>
            <w:tcW w:w="2268" w:type="dxa"/>
          </w:tcPr>
          <w:p w14:paraId="6160B2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строить по образцу....</w:t>
            </w:r>
          </w:p>
        </w:tc>
      </w:tr>
      <w:tr w:rsidR="004E10C1" w:rsidRPr="0044524F" w14:paraId="52A072EC" w14:textId="77777777">
        <w:tc>
          <w:tcPr>
            <w:tcW w:w="1668" w:type="dxa"/>
          </w:tcPr>
          <w:p w14:paraId="63A9D4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5537E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F2E89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67558D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581BF1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нем у выпуск серийных </w:t>
            </w:r>
          </w:p>
        </w:tc>
        <w:tc>
          <w:tcPr>
            <w:tcW w:w="2268" w:type="dxa"/>
          </w:tcPr>
          <w:p w14:paraId="430FDD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устранением дефектов и</w:t>
            </w:r>
          </w:p>
        </w:tc>
      </w:tr>
      <w:tr w:rsidR="004E10C1" w:rsidRPr="0044524F" w14:paraId="3CA5DFC6" w14:textId="77777777">
        <w:tc>
          <w:tcPr>
            <w:tcW w:w="1668" w:type="dxa"/>
          </w:tcPr>
          <w:p w14:paraId="7065A5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06982E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174484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3A8DF6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7345BA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w:t>
            </w:r>
          </w:p>
        </w:tc>
        <w:tc>
          <w:tcPr>
            <w:tcW w:w="2268" w:type="dxa"/>
          </w:tcPr>
          <w:p w14:paraId="5515B3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построить эталон на 1935 г.</w:t>
            </w:r>
          </w:p>
        </w:tc>
      </w:tr>
      <w:tr w:rsidR="004E10C1" w:rsidRPr="0044524F" w14:paraId="6C29C04D" w14:textId="77777777">
        <w:tc>
          <w:tcPr>
            <w:tcW w:w="1668" w:type="dxa"/>
          </w:tcPr>
          <w:p w14:paraId="42868E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АШ-М11</w:t>
            </w:r>
          </w:p>
        </w:tc>
        <w:tc>
          <w:tcPr>
            <w:tcW w:w="1417" w:type="dxa"/>
          </w:tcPr>
          <w:p w14:paraId="3F2854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093EB5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45C4D0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A770E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3466F0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D7D70E7" w14:textId="77777777">
        <w:tc>
          <w:tcPr>
            <w:tcW w:w="1668" w:type="dxa"/>
          </w:tcPr>
          <w:p w14:paraId="18C341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АШ-М11</w:t>
            </w:r>
          </w:p>
        </w:tc>
        <w:tc>
          <w:tcPr>
            <w:tcW w:w="1417" w:type="dxa"/>
          </w:tcPr>
          <w:p w14:paraId="15A881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C8140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0588A8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Разногласий нет.</w:t>
            </w:r>
          </w:p>
        </w:tc>
        <w:tc>
          <w:tcPr>
            <w:tcW w:w="1985" w:type="dxa"/>
          </w:tcPr>
          <w:p w14:paraId="66A354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2EB07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 не строить за</w:t>
            </w:r>
          </w:p>
        </w:tc>
      </w:tr>
      <w:tr w:rsidR="004E10C1" w:rsidRPr="0044524F" w14:paraId="2A52CA0A" w14:textId="77777777">
        <w:tc>
          <w:tcPr>
            <w:tcW w:w="1668" w:type="dxa"/>
          </w:tcPr>
          <w:p w14:paraId="406127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6A3C2F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21EE94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58BC42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4943FA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4FF5F8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таковой принять 1-й</w:t>
            </w:r>
          </w:p>
        </w:tc>
      </w:tr>
      <w:tr w:rsidR="004E10C1" w:rsidRPr="0044524F" w14:paraId="15B47150" w14:textId="77777777">
        <w:tc>
          <w:tcPr>
            <w:tcW w:w="1668" w:type="dxa"/>
          </w:tcPr>
          <w:p w14:paraId="451DA1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1CC58F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622421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1F3666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050347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69CA6C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серийный самолет выпуска</w:t>
            </w:r>
          </w:p>
        </w:tc>
      </w:tr>
      <w:tr w:rsidR="004E10C1" w:rsidRPr="0044524F" w14:paraId="2CB9E2FA" w14:textId="77777777">
        <w:tc>
          <w:tcPr>
            <w:tcW w:w="1668" w:type="dxa"/>
          </w:tcPr>
          <w:p w14:paraId="466BD4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17" w:type="dxa"/>
          </w:tcPr>
          <w:p w14:paraId="31B461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8" w:type="dxa"/>
          </w:tcPr>
          <w:p w14:paraId="701BC1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82" w:type="dxa"/>
          </w:tcPr>
          <w:p w14:paraId="73D40C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85" w:type="dxa"/>
          </w:tcPr>
          <w:p w14:paraId="28E9CC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268" w:type="dxa"/>
          </w:tcPr>
          <w:p w14:paraId="2C5750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 (2264)</w:t>
            </w:r>
          </w:p>
        </w:tc>
      </w:tr>
    </w:tbl>
    <w:p w14:paraId="72455B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9DAC0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ноября 1933 Нач. ГУАП Королев сделал представление N 15оп в КО по вопросам предложений о постановке морского самолетостроения (2266,228).</w:t>
      </w:r>
    </w:p>
    <w:p w14:paraId="082856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E8E70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ноября 1933 года были представлены предложения по постановке производства гидросамолетов МК и о развертывании производства всех гидросамолетов, были включены в повестку КО и решением КО от 28 ноября 1933 года рассмотрение их отложено (4188).</w:t>
      </w:r>
    </w:p>
    <w:p w14:paraId="096EF3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0862A95"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61C5299"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79981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ноября 1933 г. пушка ПС-3 была установлена в башне танка Т-26-4, имеющей рамку от Т-28, путем наделок. Испытания велись главным образом на прочность и выявили небольшой погиб броневых листов крыши, при ведении огня Но после усиления конструкции башни испытания завершились успешно. Всего в башнях танка Т-26-4 было установлено 2 пушки ПС-3, но ввиду прекращения выпуска танков Т-26-4, дальнейшие опыты были направлены на установку ПС-3 в безбашенные САУ (6208, 42).</w:t>
      </w:r>
    </w:p>
    <w:p w14:paraId="570874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A7A28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ноября 1933 зам. пред. Леноблисполкома П.М.Зернов писал В.М.М. "С момента возникновения в СССР мобилизационной работы и по сей день промышленность ни разу не имела реального мобплана, по которому предприятия могли бы развернуть работу в случае объявления войны. В прошлом мы имели бумажные мобпланы (П, С, С-30), не основывающиеся на реальных мощностях и освоении производства..." (1566,117).</w:t>
      </w:r>
    </w:p>
    <w:p w14:paraId="3B69C0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30C0D3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ноября 1933 г. в записке заместителя председателя Ленинградского облис</w:t>
      </w:r>
      <w:r w:rsidRPr="0044524F">
        <w:rPr>
          <w:rFonts w:ascii="Times New Roman" w:hAnsi="Times New Roman"/>
          <w:color w:val="000000" w:themeColor="text1"/>
          <w:sz w:val="16"/>
          <w:szCs w:val="16"/>
        </w:rPr>
        <w:softHyphen/>
        <w:t>полкома П.М.Зернова В.В.Молотову от по по</w:t>
      </w:r>
      <w:r w:rsidRPr="0044524F">
        <w:rPr>
          <w:rFonts w:ascii="Times New Roman" w:hAnsi="Times New Roman"/>
          <w:color w:val="000000" w:themeColor="text1"/>
          <w:sz w:val="16"/>
          <w:szCs w:val="16"/>
        </w:rPr>
        <w:softHyphen/>
        <w:t>воду выполнимости мобпланов, например, говорится следующее:</w:t>
      </w:r>
    </w:p>
    <w:p w14:paraId="6064528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момента возникновения в СССР мобилизационной работы и по сей день промышленность ни разу не имела реального мо</w:t>
      </w:r>
      <w:r w:rsidRPr="0044524F">
        <w:rPr>
          <w:rFonts w:ascii="Times New Roman" w:hAnsi="Times New Roman"/>
          <w:color w:val="000000" w:themeColor="text1"/>
          <w:sz w:val="16"/>
          <w:szCs w:val="16"/>
        </w:rPr>
        <w:softHyphen/>
        <w:t>билизационного плана, по которому предприятия могли бы раз</w:t>
      </w:r>
      <w:r w:rsidRPr="0044524F">
        <w:rPr>
          <w:rFonts w:ascii="Times New Roman" w:hAnsi="Times New Roman"/>
          <w:color w:val="000000" w:themeColor="text1"/>
          <w:sz w:val="16"/>
          <w:szCs w:val="16"/>
        </w:rPr>
        <w:softHyphen/>
        <w:t>вернуть работу в случае объявления войны. В прошлом мы имели бумажные мобилизационные планы («П», «С», «С-30»), не осно</w:t>
      </w:r>
      <w:r w:rsidRPr="0044524F">
        <w:rPr>
          <w:rFonts w:ascii="Times New Roman" w:hAnsi="Times New Roman"/>
          <w:color w:val="000000" w:themeColor="text1"/>
          <w:sz w:val="16"/>
          <w:szCs w:val="16"/>
        </w:rPr>
        <w:softHyphen/>
        <w:t>вывающиеся на реальных мощностях и освоении производства. Значительный объем текущих военных заказов в 1931-1933 гг. позволил промышленности освоить производство большинства изделий, входящих в мобилизационное задание. Однако органи</w:t>
      </w:r>
      <w:r w:rsidRPr="0044524F">
        <w:rPr>
          <w:rFonts w:ascii="Times New Roman" w:hAnsi="Times New Roman"/>
          <w:color w:val="000000" w:themeColor="text1"/>
          <w:sz w:val="16"/>
          <w:szCs w:val="16"/>
        </w:rPr>
        <w:softHyphen/>
        <w:t>зация мобилизационной работы была поставлена так, что несмотря на наличие текущих военных заказов промышленность до сих вор не смогла создать реального мобилизационного плана и фак</w:t>
      </w:r>
      <w:r w:rsidRPr="0044524F">
        <w:rPr>
          <w:rFonts w:ascii="Times New Roman" w:hAnsi="Times New Roman"/>
          <w:color w:val="000000" w:themeColor="text1"/>
          <w:sz w:val="16"/>
          <w:szCs w:val="16"/>
        </w:rPr>
        <w:softHyphen/>
        <w:t>тически его не имеет.</w:t>
      </w:r>
    </w:p>
    <w:p w14:paraId="03BE9A1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 в промышленности одновременно действовали три 'мобилизационных плана: «С-30», скорректированный «С-30» и г «МВ-10». В 1932 г. в тяжелой промышленности действовал моб-план «МВ-10». Система выдачи мобилизационных заданий и не</w:t>
      </w:r>
      <w:r w:rsidRPr="0044524F">
        <w:rPr>
          <w:rFonts w:ascii="Times New Roman" w:hAnsi="Times New Roman"/>
          <w:color w:val="000000" w:themeColor="text1"/>
          <w:sz w:val="16"/>
          <w:szCs w:val="16"/>
        </w:rPr>
        <w:softHyphen/>
        <w:t>достатки методологии привели к тому, что по «МВ-10» система снабжения оказалась нереальной» (ГАРФ ф. 8418, оп. 8, д. 147, л. 37) (1566,117).</w:t>
      </w:r>
    </w:p>
    <w:p w14:paraId="422A8C7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55CAEB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7FA68B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350E6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ноября 1933 приказом № 433 Санотделу Дмитлага предписывалось немедленно приступить к организации специальных сангородков «в целях скорейшего восстановления сил и здоровья тех групп лагерников, которые по каким-либо причинам представляют собою неполноценную рабсилу». В IV отделении Дмитлага на Оревском пункте создавался сангородок на 1500 человек («с дальнейшим развитием до 2500 чел.») во главе с начальником санчасти V отделения А. Я. Долгобородовым, в VIII отделении на 4 (Рахмановском) лагпункте - на 600 человек (врио начальника - врач Рахмановского лазарета С. Я. Колядко), в XII отделении на Андреевском лагпункте - на 500 человек во главе с начальником санчасти этого отделения Добронравовым. Указывалось, что «сангородки VIII и XII отделений обслуживают только эти отделения. Оревский городок считать городком управления ДМИТЛАГа ОГПУ» (7560).</w:t>
      </w:r>
    </w:p>
    <w:p w14:paraId="41AC17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21F122E" w14:textId="77777777" w:rsidR="004345CC"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D0926D4" w14:textId="77777777" w:rsidR="004345CC" w:rsidRPr="0044524F" w:rsidRDefault="004345C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3239517" w14:textId="77777777" w:rsidR="004345CC" w:rsidRPr="0044524F" w:rsidRDefault="004345CC" w:rsidP="009654CF">
      <w:pPr>
        <w:pStyle w:val="rtejustify"/>
        <w:spacing w:before="0" w:after="0"/>
        <w:rPr>
          <w:color w:val="000000" w:themeColor="text1"/>
          <w:sz w:val="16"/>
          <w:szCs w:val="16"/>
        </w:rPr>
      </w:pPr>
      <w:r w:rsidRPr="0044524F">
        <w:rPr>
          <w:rStyle w:val="af0"/>
          <w:bCs/>
          <w:i w:val="0"/>
          <w:color w:val="000000" w:themeColor="text1"/>
          <w:sz w:val="16"/>
          <w:szCs w:val="16"/>
        </w:rPr>
        <w:t>27 ноября 1933 вышел приказ НКТП № 223с.</w:t>
      </w:r>
      <w:r w:rsidRPr="0044524F">
        <w:rPr>
          <w:color w:val="000000" w:themeColor="text1"/>
          <w:sz w:val="16"/>
          <w:szCs w:val="16"/>
        </w:rPr>
        <w:t xml:space="preserve"> О снабжении заводов ГУАП черными металлами. (РГАЭ. Ф. 7297. Оп. 38. Д. 38. Л. 212</w:t>
      </w:r>
      <w:r w:rsidRPr="0044524F">
        <w:rPr>
          <w:color w:val="000000" w:themeColor="text1"/>
          <w:sz w:val="16"/>
          <w:szCs w:val="16"/>
        </w:rPr>
        <w:noBreakHyphen/>
        <w:t>206) (15246).</w:t>
      </w:r>
    </w:p>
    <w:p w14:paraId="671B90DC" w14:textId="77777777" w:rsidR="004345CC" w:rsidRPr="0044524F" w:rsidRDefault="004345CC" w:rsidP="009654CF">
      <w:pPr>
        <w:pStyle w:val="rtejustify"/>
        <w:spacing w:before="0" w:after="0"/>
        <w:rPr>
          <w:color w:val="000000" w:themeColor="text1"/>
          <w:sz w:val="16"/>
          <w:szCs w:val="16"/>
        </w:rPr>
      </w:pPr>
    </w:p>
    <w:p w14:paraId="27912B47"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736171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208E18" w14:textId="77777777" w:rsidR="004345CC" w:rsidRPr="0044524F" w:rsidRDefault="004345CC" w:rsidP="009654CF">
      <w:pPr>
        <w:pStyle w:val="rtejustify"/>
        <w:spacing w:before="0" w:after="0"/>
        <w:rPr>
          <w:color w:val="000000" w:themeColor="text1"/>
          <w:sz w:val="16"/>
          <w:szCs w:val="16"/>
        </w:rPr>
      </w:pPr>
      <w:r w:rsidRPr="0044524F">
        <w:rPr>
          <w:rStyle w:val="af0"/>
          <w:bCs/>
          <w:i w:val="0"/>
          <w:color w:val="000000" w:themeColor="text1"/>
          <w:sz w:val="16"/>
          <w:szCs w:val="16"/>
        </w:rPr>
        <w:t>27/28 ноября 1933 вышел приказ НКТП № 225сс.</w:t>
      </w:r>
      <w:r w:rsidRPr="0044524F">
        <w:rPr>
          <w:color w:val="000000" w:themeColor="text1"/>
          <w:sz w:val="16"/>
          <w:szCs w:val="16"/>
        </w:rPr>
        <w:t xml:space="preserve"> О развертывании производства компрессоров к торпедным аппаратам для военного судостроения в 1933</w:t>
      </w:r>
      <w:r w:rsidRPr="0044524F">
        <w:rPr>
          <w:color w:val="000000" w:themeColor="text1"/>
          <w:sz w:val="16"/>
          <w:szCs w:val="16"/>
        </w:rPr>
        <w:noBreakHyphen/>
        <w:t>1934 гг. (РГАЭ. Ф. 7297. Оп. 38. Д. 38. Л. 204) (15246).</w:t>
      </w:r>
    </w:p>
    <w:p w14:paraId="18F8062A" w14:textId="77777777" w:rsidR="004345CC" w:rsidRPr="0044524F" w:rsidRDefault="004345CC" w:rsidP="009654CF">
      <w:pPr>
        <w:pStyle w:val="rtejustify"/>
        <w:spacing w:before="0" w:after="0"/>
        <w:rPr>
          <w:color w:val="000000" w:themeColor="text1"/>
          <w:sz w:val="16"/>
          <w:szCs w:val="16"/>
        </w:rPr>
      </w:pPr>
    </w:p>
    <w:p w14:paraId="7E112BC2"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ноября 1933 г. Письма фирмы "Картер Продактс Инкорпорэйшн" наркому внешней торговли СССР А.П. Розенгольцу о предоставлении фирме статуса торгового представителя СССР*</w:t>
      </w:r>
    </w:p>
    <w:p w14:paraId="73C89BA6"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Милостивый государь, со времени нашего письма от 13 ноября взаимное признание США и Советской России благополучно счастливо завершилось. Разрешите нам высказать наши поздравления. </w:t>
      </w:r>
    </w:p>
    <w:p w14:paraId="720817FA"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Признание заставляет нас еще больше желать договориться с Вами о представительстве Вашей страны в штате Мичиган. Для Вашего сведения сообщаем, что сейчас находится в пути из Скандинавских стран в Америку древесная масса (для выделки бумаги) стоимостью не свыше 1,5 млн долл., которая представляет собою только часть ежегодного импорта только в наш штат. Мы вполне уверены, что при передаче нам древесной массы, балансов, строевого леса, лесных продуктов и т.п. мы сможем развить дело до вполне удовлетворительных размеров - нескольких миллионов долларов в год. </w:t>
      </w:r>
    </w:p>
    <w:p w14:paraId="3B8CC895"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Мы просим немедленного и серьезного рассмотрения Вами этого дела. Наша организация занимается продажей в этот штат в течение последних 10 лет, имея дела с такими крупными компаниями, как "Дженерал Моторс", "Форд", "Крайслер", со всеми мебельными фабриками, писчебумажными фабриками и т.д. </w:t>
      </w:r>
    </w:p>
    <w:p w14:paraId="22F7D239"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Теперь, после признания, мы уверены на основании нашего знакомства с ведением дела крупными американскими фирмами и на основании нашего опыта, что для Вас будет более выгодно выбрать живых активных представителей, как мы, для определенных районов или штатов. Мы уверены, что это даст Вам большой торговый оборот, чем какой-либо другой способ ведения дела. </w:t>
      </w:r>
    </w:p>
    <w:p w14:paraId="1848A33C"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Мы готовы работать с Вами и приложить все старания к тому, чтобы достичь крупного оборота продаж русских продуктов. </w:t>
      </w:r>
    </w:p>
    <w:p w14:paraId="35AAF60F"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надежде получить от Вас ответ, остаемся с совершенным почтением </w:t>
      </w:r>
    </w:p>
    <w:p w14:paraId="7AAE7F4D"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"Картер Продакшен К°" </w:t>
      </w:r>
    </w:p>
    <w:p w14:paraId="1356B5B8"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РГАЭ. Ф. 413. On. 13. Д. 546. Л. 4. Копия (12152). </w:t>
      </w:r>
    </w:p>
    <w:p w14:paraId="00861A5B" w14:textId="77777777" w:rsidR="00BA29CE" w:rsidRPr="0044524F" w:rsidRDefault="00BA29CE" w:rsidP="009654CF">
      <w:pPr>
        <w:spacing w:after="0" w:line="240" w:lineRule="auto"/>
        <w:jc w:val="both"/>
        <w:rPr>
          <w:rFonts w:ascii="Times New Roman" w:hAnsi="Times New Roman"/>
          <w:color w:val="000000" w:themeColor="text1"/>
          <w:sz w:val="16"/>
          <w:szCs w:val="16"/>
        </w:rPr>
      </w:pPr>
    </w:p>
    <w:p w14:paraId="33ADC59D" w14:textId="6B14AB42" w:rsidR="00BA29CE" w:rsidRPr="00264C23" w:rsidRDefault="00BA29CE" w:rsidP="009654CF">
      <w:pPr>
        <w:autoSpaceDE w:val="0"/>
        <w:autoSpaceDN w:val="0"/>
        <w:adjustRightInd w:val="0"/>
        <w:spacing w:after="0" w:line="240" w:lineRule="auto"/>
        <w:jc w:val="both"/>
        <w:rPr>
          <w:rFonts w:ascii="Times New Roman" w:hAnsi="Times New Roman"/>
          <w:i/>
          <w:color w:val="000000" w:themeColor="text1"/>
          <w:sz w:val="16"/>
          <w:szCs w:val="16"/>
        </w:rPr>
      </w:pPr>
      <w:r w:rsidRPr="00264C23">
        <w:rPr>
          <w:rFonts w:ascii="Times New Roman" w:hAnsi="Times New Roman"/>
          <w:i/>
          <w:color w:val="000000" w:themeColor="text1"/>
          <w:sz w:val="16"/>
          <w:szCs w:val="16"/>
        </w:rPr>
        <w:t>Жизнь и внутрен</w:t>
      </w:r>
      <w:r w:rsidR="00264C23">
        <w:rPr>
          <w:rFonts w:ascii="Times New Roman" w:hAnsi="Times New Roman"/>
          <w:i/>
          <w:color w:val="000000" w:themeColor="text1"/>
          <w:sz w:val="16"/>
          <w:szCs w:val="16"/>
        </w:rPr>
        <w:t>н</w:t>
      </w:r>
      <w:r w:rsidRPr="00264C23">
        <w:rPr>
          <w:rFonts w:ascii="Times New Roman" w:hAnsi="Times New Roman"/>
          <w:i/>
          <w:color w:val="000000" w:themeColor="text1"/>
          <w:sz w:val="16"/>
          <w:szCs w:val="16"/>
        </w:rPr>
        <w:t>яя политика:</w:t>
      </w:r>
    </w:p>
    <w:p w14:paraId="2C82E67D" w14:textId="77777777" w:rsidR="00BA29CE" w:rsidRPr="00264C23" w:rsidRDefault="00BA29CE" w:rsidP="009654CF">
      <w:pPr>
        <w:autoSpaceDE w:val="0"/>
        <w:autoSpaceDN w:val="0"/>
        <w:adjustRightInd w:val="0"/>
        <w:spacing w:after="0" w:line="240" w:lineRule="auto"/>
        <w:jc w:val="both"/>
        <w:rPr>
          <w:rFonts w:ascii="Times New Roman" w:hAnsi="Times New Roman"/>
          <w:i/>
          <w:color w:val="000000" w:themeColor="text1"/>
          <w:sz w:val="16"/>
          <w:szCs w:val="16"/>
        </w:rPr>
      </w:pPr>
    </w:p>
    <w:p w14:paraId="34D10F35" w14:textId="77777777" w:rsidR="00BA29CE" w:rsidRPr="0044524F" w:rsidRDefault="00BA29CE"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ноября 1933 приказом № 434 начальникам отделов управления лагеря и начальникам его отделений и отдельных лагпунктов вменялось в обязанность лично следить за помещаемыми в лагерной газете «Перековка» заметками, вскрывающими «всякого рода отрицательные явления», и в трехдневный срок сообщать Фирину «о принятых по существу заметки мерах». Приказ доводился до сведения всех лагерников (7560).</w:t>
      </w:r>
    </w:p>
    <w:p w14:paraId="53413284" w14:textId="77777777" w:rsidR="00BA29CE" w:rsidRPr="0044524F" w:rsidRDefault="00BA29CE" w:rsidP="009654CF">
      <w:pPr>
        <w:autoSpaceDE w:val="0"/>
        <w:autoSpaceDN w:val="0"/>
        <w:adjustRightInd w:val="0"/>
        <w:spacing w:after="0" w:line="240" w:lineRule="auto"/>
        <w:jc w:val="both"/>
        <w:rPr>
          <w:rFonts w:ascii="Times New Roman" w:hAnsi="Times New Roman"/>
          <w:color w:val="000000" w:themeColor="text1"/>
          <w:sz w:val="16"/>
          <w:szCs w:val="16"/>
        </w:rPr>
      </w:pPr>
    </w:p>
    <w:p w14:paraId="276297BC" w14:textId="213C9876" w:rsidR="00264C23" w:rsidRPr="0044524F" w:rsidRDefault="00264C23" w:rsidP="00264C23">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За рубежом</w:t>
      </w:r>
      <w:r w:rsidRPr="0044524F">
        <w:rPr>
          <w:rFonts w:ascii="Times New Roman" w:hAnsi="Times New Roman"/>
          <w:i/>
          <w:iCs/>
          <w:color w:val="000000" w:themeColor="text1"/>
          <w:sz w:val="16"/>
          <w:szCs w:val="16"/>
        </w:rPr>
        <w:t>:</w:t>
      </w:r>
    </w:p>
    <w:p w14:paraId="0C63BE56" w14:textId="77777777" w:rsidR="00264C23" w:rsidRPr="0044524F" w:rsidRDefault="00264C23" w:rsidP="00264C23">
      <w:pPr>
        <w:autoSpaceDE w:val="0"/>
        <w:autoSpaceDN w:val="0"/>
        <w:adjustRightInd w:val="0"/>
        <w:spacing w:after="0" w:line="240" w:lineRule="auto"/>
        <w:jc w:val="both"/>
        <w:rPr>
          <w:rFonts w:ascii="Times New Roman" w:hAnsi="Times New Roman"/>
          <w:iCs/>
          <w:color w:val="000000" w:themeColor="text1"/>
          <w:sz w:val="16"/>
          <w:szCs w:val="16"/>
        </w:rPr>
      </w:pPr>
    </w:p>
    <w:p w14:paraId="12FAFF5C"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27 ноября 1933 г. в Германии в рамках ДАФ создана организация, имевшая название "Сила через радость" (КДФ) и занимавшаяся вопросами планирования и организации отдыха рабочих. Она, например, предлагала немцам ранее для них непривычные поездки в отпуск (Гитлер требовал "достаточного" отпуска для немецких рабочих). На учредительном собрании Лей заявил, что в связи с растущим напряжением на производстве в выходные дни рабочие должны полноценно отдыхать; что только насыщенный впечатлениями и активной разнообразной деятельностью и развлечениями отпуск в состоянии дать полноценный отдых, и только он готовит человека к активному труду и самоотдаче. Безделье же порождает преступные намерения, ощущение пустоты и никчёмности, а "это очень опасно для государства". Для того чтобы пробудить у рабочих чувство счастья и благодарности и ликвидировать у них комплекс неполноценности, нужно обеспечить им доступ к культурным ценностям, доступным ранее только буржуазии. Для содействия физическому и духовному здоровью нужно расширять возможности для массового спорта, организовывать для рабочих туристические поездки; туризм должен способствовать усилению любви к Родине, к её природе и ландшафтам. В конечном счёте Лей ожидал от КДФ помощи в создании "новой общности, нового общества национал-социалистического государства". Благодаря членским взносам и дотациям ежегодные расходы КДФ в 1933-1942 гг. составляли в среднем 26,7 млн марок.</w:t>
      </w:r>
    </w:p>
    <w:p w14:paraId="422333FB"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Как партийная организация, КДФ ("Сила через радость") имела несколько уровней: имперский, гау (областной), окружной и местный. В составе КДФ находилось ведомство туризма, путешествий и отпуска под руководством доктора Бодо Ляферентца. Под лозунгом "немецкий рабочий путешествует" была инициирована туристическая кампания для простых немцев — это носило беспрецедентный характер. Организацией такого туризма занималось ведомство туризма, путешествий и отпуска. Пресс-секретарь ДАФ сказал о работе этого ведомства: "лучшим доказательством народного характера новой власти и лучшей пропагандой за неё является то, что тысячи людей с мозолистыми руками стали счастливыми отпускниками". В самом деле, КДФ и её программа для отпускников была одним из самых популярных начинаний нацистского режима. Более того, вследствие популярности этой программы КДФ стала одним из самых ярких символов нацистского режима и предметом зависти иностранцев. Большой интерес у иностранных гостей вызывала работа ведомства спорта во главе с имперским спортивным руководителем Гансом фон Чамером и Остеном, а также ведомство "Красота труда" во главе с архитектором Альбертом Шпеером.</w:t>
      </w:r>
    </w:p>
    <w:p w14:paraId="5B8DE991"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Ведомство спорта занималось не только производственной гимнастикой и спортивным досугом, но и организацией больших спортивных соревнований и спортом для отпускников. С 1936 г. оно проводило закрытые спортивные циклы для СС, отвечало за состояние спортивной работы в лагерях трудовой повинности и на строящихся автобанах. В распоряжении этого ведомства были собственные спортивные базы и дома отдыха (включая лыжные базы) в Гарце, Баварии, Тироле, а также базы и инвентарь для занятий парусным спортом и греблей. Считавшийся буржуазным парусный спорт стал доступен многим: недельный курс стоил 5-60 марок, включая услуги инструктора. На Химзее был открыт парусный клуб для девушек. Однонедельные курсы горных лыж на горных курортах, включая инструктора, проживание, питание, инвентарь и дорогу, стоили 23 марки. Чтобы представить масштаб цен: средняя зарплата в Германии составляла около 170 рейхсмарок.</w:t>
      </w:r>
    </w:p>
    <w:p w14:paraId="6E464128"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Ведомство туризма, путешествий и отпуска охватывало почти все возможные современные направления туризма. Организовывались однодневные туристические поездки по стране, в уик-энд проводились вылазки на природу на велосипедах, пешком или в комбинации с автобусной экскурсией. Часто практиковались туристические поездки всем коллективом предприятия или семейные путешествия по вполне доступным ценам. Существовали двухнедельные просветительские поездки — по Рейну, в "присоединённую" Австрию или в Шварцвальд. На доступном уровне цены удерживались за счёт многочисленных социальных скидок. Например, билет в поезде в третьем классе стоил для отпускника на 5-75 % меньше. Столь же серьёзные скидки были на гостиницу. А ведь до прихода к власти нацистов иностранный туризм считался привилегией верхушки общества. А теперь он стал доступен даже для рабочих. ДАФ распространила свою активность на считавшиеся "буржуазными" горные лыжи, теннис, верховую езду, театр и танцевальные клубы, спорт, вечеринки рабочих коллективов. Неделю отпуска можно было провести и в баварских Альпах за 11 долларов, включая прокат лыж и инструктаж. 14-дневный летний отпуск на Тегернзее стоил 54 рейхсмарки. В 1936 г. на острове Рюген был построен морской курорт — первый из запланированных пяти климатических курортов, принимавших в год 350 тыс. гостей. Недельный курс на таком курорте стоил всего 20 рейхсмарок (25312).</w:t>
      </w:r>
    </w:p>
    <w:p w14:paraId="183E8170" w14:textId="77777777" w:rsidR="00264C23" w:rsidRPr="00142305" w:rsidRDefault="00264C23" w:rsidP="00264C23">
      <w:pPr>
        <w:spacing w:after="0" w:line="240" w:lineRule="auto"/>
        <w:jc w:val="both"/>
        <w:rPr>
          <w:rFonts w:ascii="Times New Roman" w:hAnsi="Times New Roman"/>
          <w:color w:val="0070C0"/>
          <w:sz w:val="16"/>
          <w:szCs w:val="16"/>
        </w:rPr>
      </w:pPr>
    </w:p>
    <w:p w14:paraId="073BD46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D4F1D93"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BA379C0"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ноября 1933 г. постановлением СТО промышленность обязывалась изготовить в 1934 г. 40 бомбардировщиков ДБ. Однако по настоянию ГУАП вскоре годовой план уменьшили до 25 машин (24946).</w:t>
      </w:r>
    </w:p>
    <w:p w14:paraId="7982B9AD" w14:textId="77777777" w:rsidR="00264C23" w:rsidRPr="00142305" w:rsidRDefault="00264C23" w:rsidP="00264C23">
      <w:pPr>
        <w:spacing w:after="0" w:line="240" w:lineRule="auto"/>
        <w:jc w:val="both"/>
        <w:rPr>
          <w:rFonts w:ascii="Times New Roman" w:hAnsi="Times New Roman"/>
          <w:color w:val="0070C0"/>
          <w:sz w:val="16"/>
          <w:szCs w:val="16"/>
        </w:rPr>
      </w:pPr>
    </w:p>
    <w:p w14:paraId="7F2E5A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вышло постановление СТО N 118сс/о "О производстве новых типов самолетов-истребителей":</w:t>
      </w:r>
    </w:p>
    <w:p w14:paraId="305E78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изжития отставания истребительной авиации, СТО постановляет:</w:t>
      </w:r>
    </w:p>
    <w:p w14:paraId="334E88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НКТП, под персональную ответственность Нач. ГУАП т. Королева -</w:t>
      </w:r>
    </w:p>
    <w:p w14:paraId="66C735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сдать на гос. испытания НКВМ:</w:t>
      </w:r>
    </w:p>
    <w:p w14:paraId="034AAF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опытный образец И-15 под РЦ с вооружением 4 пулеметами ПВ-1 не позже 15 декабря 1933. По предъявлении на гос. испытания НКВМ обязан в 5 дневный срок дать окончательное техзаключение для пуска самолета в серийное производство.</w:t>
      </w:r>
    </w:p>
    <w:p w14:paraId="633401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опытный образец И-14 под РЦ с вооружением пулеметами, с последующим переводом на вооружение 2 АПК 37 мм и 1 пулеметом - сдать на гос. испытания не позже 5 февраля 1934.</w:t>
      </w:r>
    </w:p>
    <w:p w14:paraId="5D3128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НКВМ совместно с ГУАП закончить испытания в 20 дневный срок.эв) опытный образец И-16 под М-22 с вооружением 2 пулеметами ШКАС сдать на гос. сипытания не позже 15 февраля 1934. Техническое заключение НКВМ дать в 10 дневный срок.</w:t>
      </w:r>
    </w:p>
    <w:p w14:paraId="41EAF7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Поставить производство И-15 под РЦ на заводе 1 с расчетом выпуска и сдачи НКВМ не менее 150 шт. в 1934, из них 15 в мае, 15 в июне и по 30 ежемесячно до конца года.</w:t>
      </w:r>
    </w:p>
    <w:p w14:paraId="6E1F73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Поставить производство И-14 под РЦ на заводе 21 со сдачей не менее 20 шт. в 1934, из них первые 10 не позже августа.</w:t>
      </w:r>
    </w:p>
    <w:p w14:paraId="479977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случае удовлетворительных результатов гос. испытаний, внедрить И-16 в серийное производство на заводе 21, в 1934 сдать НКВМ не менее 130 шт, из них на позже 1 июня 10, а остальные - начиная с июня по 20 шт. ежемесячно.</w:t>
      </w:r>
    </w:p>
    <w:p w14:paraId="658847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Немедленно приступить к проектированию и постройке опытных образцов одноместного и двухместного и под ИС по ТУ НКВМ с расчетом выпустить опытные образцы этих самолетов не позже 1 июля 1934 на заводские испытания.</w:t>
      </w:r>
    </w:p>
    <w:p w14:paraId="38251F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1. Для обеспечения указанных истребителей моторами разрешить НКТП произвести закупку моторов РЦ и ИС согласно прилагаемой ведомости.</w:t>
      </w:r>
    </w:p>
    <w:p w14:paraId="032734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Отпустить для этой цели НКТП в 1934 валюту в размере 1025 тыс. согласно смете, представленной НКТП (см. приложение).</w:t>
      </w:r>
    </w:p>
    <w:p w14:paraId="121565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 счет той же суммы НКТП закупить аппаратуру и, в частности, 450 металлических винтов с переменным шагом к моторам для самолетов-истребителей.</w:t>
      </w:r>
    </w:p>
    <w:p w14:paraId="59E55F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Обязать НКТП изготовать в 1934 100 шт. авиапушек Курчевского (АПК-37) для установки их на истребителях И-14 со сроком поставки первых 30 шт. не позже августа 1934." (2282,70).</w:t>
      </w:r>
    </w:p>
    <w:p w14:paraId="4F9E4D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71EAC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года вышло постановление № 118сс/о СТО</w:t>
      </w:r>
    </w:p>
    <w:p w14:paraId="3ED8C6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производстве новых типов самолетов-истребителей</w:t>
      </w:r>
    </w:p>
    <w:p w14:paraId="1D3DA7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изжития отставания истребительной авиации, СТО постановляет:</w:t>
      </w:r>
    </w:p>
    <w:p w14:paraId="6140BD27"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НКТПром, под персональную ответственность начальника ГУАП Королева:</w:t>
      </w:r>
    </w:p>
    <w:p w14:paraId="0BA57529"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Сдать на госиспытание НКВМору:</w:t>
      </w:r>
    </w:p>
    <w:p w14:paraId="658C60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 Опытный образец самолета И-15 под мотор Райт-Циклон с вооружением 4 пулеметами ПВ-1 не позже 15 декабря 1933 года. По предъявлении на госиспытания НКВМ обязан в 5-ти дневный срок дать окончательное техническое заключение для пуска самолета в серийное производство.</w:t>
      </w:r>
    </w:p>
    <w:p w14:paraId="5555D7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Опытный образец И-14 под мотор Райт-Циклон с вооружением пулеметами, с последующим переводом на вооружение 2 пушками АПК 37 мм и 1 пулеметом, сдать на госиспытания не позже 5 февраля 1934 года.</w:t>
      </w:r>
    </w:p>
    <w:p w14:paraId="5930E9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НКВМору совместно с ГУАПом закончить испытания в 20-ти дневный срок.</w:t>
      </w:r>
    </w:p>
    <w:p w14:paraId="447705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Опытный образец И-16 под мотор М-22 с вооружением 2 пулеметами ШКАС сдать на госиспытания не позже 15 января 1934 года; техническое заключение НКВМ дать в 10-ти дневный срок.</w:t>
      </w:r>
    </w:p>
    <w:p w14:paraId="250BE4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Дублер того же самолета И-16 под мотор Райт-Циклон с вооружением 2 пулеметами ШКАС сдать на госиспытания не позже 15 февраля 1934 года; техническое заключение НКВМору дать в 10-ти дневный срок.</w:t>
      </w:r>
    </w:p>
    <w:p w14:paraId="543E8158"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Поставить производство самолета И-15 под мотор Райт-Циклон на заводе № 1 с расчетом выпуска и сдачи НКВМору не менее 150 штук в 1934 году, из них – 15 в мае, 15 – в июне и далее по 20 штук ежемесячно с конца года.</w:t>
      </w:r>
    </w:p>
    <w:p w14:paraId="7CF500BB"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Поставить производство самолета И-14 под мотор Райт-Циклон на заводе № 21 со сдачей не менее 20 штук в 1934 году, из них – первые 10 дать не позже августа 1934 года.</w:t>
      </w:r>
    </w:p>
    <w:p w14:paraId="5E29F81F"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удовлетворительных результатов госиспытаний, внедрить самолет И-16 в серийное производство на заводе № 21; в 1934 году сдать НКВМору не менее 130 штук, из них – не позже 1 июня 1934 года – 10 штук, а остальные – начиная с июня по 20 штук ежемесячно.</w:t>
      </w:r>
    </w:p>
    <w:p w14:paraId="0B20B693"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Немедленно приступить к проектированию и постройке опытных образцов одноместного и двухместного истребителей под мотор Испано-Сюиза по техническим условиям НКВМора с расчетом выпустить опытные образцы этих самолетов не позже 1 июля 1934 года на заводские испытания.</w:t>
      </w:r>
    </w:p>
    <w:p w14:paraId="0108DB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1. Для обеспечения указанных истребителей моторами разрешить НКТяжпрому произвести закупку моторов Райт-Циклон и Испано-Сюиза согласно прилагаемой ведомости.</w:t>
      </w:r>
    </w:p>
    <w:p w14:paraId="4BE51C5E"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Отпустить для этой цели НКТПрому в 1934 году валюту в размере 6028 25 тысяч рублей согласно сметы, представленной НКТПромом (см. приложение).</w:t>
      </w:r>
    </w:p>
    <w:p w14:paraId="2F7E1446"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счет той же суммы НКТПрому закупить аппаратуру и, в частности, 150 металлических винтов с переменным шагом к мотору для самолетов-истребителей.</w:t>
      </w:r>
    </w:p>
    <w:p w14:paraId="12DC83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Обязать НКТПром изготовить в 1934 году 100 штук автоматических авиационных пушек Курчевского (АПК 37 мм) для установки их на истребителях И-14, со сроком поставки первых 30 штук не позже августа 1934 года (4170, 14-15).</w:t>
      </w:r>
    </w:p>
    <w:p w14:paraId="30A880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B6973ED" w14:textId="77777777" w:rsidR="004345CC" w:rsidRPr="0044524F" w:rsidRDefault="004345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 ещё до завершения заводских испытаний первого экземпляра И-14 Совет Труда и Обороны своим постановлением «О производстве новых типов са</w:t>
      </w:r>
      <w:r w:rsidRPr="0044524F">
        <w:rPr>
          <w:rFonts w:ascii="Times New Roman" w:hAnsi="Times New Roman"/>
          <w:color w:val="000000" w:themeColor="text1"/>
          <w:sz w:val="16"/>
          <w:szCs w:val="16"/>
        </w:rPr>
        <w:softHyphen/>
        <w:t>молётов-истребителей», обязал НКТП и персонально начальника ГУАП Г.Н. Королева:</w:t>
      </w:r>
    </w:p>
    <w:p w14:paraId="27913B44" w14:textId="77777777" w:rsidR="004345CC" w:rsidRPr="0044524F" w:rsidRDefault="004345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Сдать на госиспытания НКВМору:</w:t>
      </w:r>
    </w:p>
    <w:p w14:paraId="099B7653" w14:textId="77777777" w:rsidR="004345CC" w:rsidRPr="0044524F" w:rsidRDefault="004345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опытный образец И-14 под мотор РЦ с вооружением пулемётами, с последующим переводом на вооружение 2 пушками АПК 37 мм и 1 пулемётом, — сдать на госиспыта</w:t>
      </w:r>
      <w:r w:rsidRPr="0044524F">
        <w:rPr>
          <w:rFonts w:ascii="Times New Roman" w:hAnsi="Times New Roman"/>
          <w:color w:val="000000" w:themeColor="text1"/>
          <w:sz w:val="16"/>
          <w:szCs w:val="16"/>
        </w:rPr>
        <w:softHyphen/>
        <w:t>ния не позже 3 февраля 1934 года.</w:t>
      </w:r>
    </w:p>
    <w:p w14:paraId="2C1700BB" w14:textId="77777777" w:rsidR="004345CC" w:rsidRPr="0044524F" w:rsidRDefault="004345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НКВМору совместно с ГУАПом закончить испытания в 20-ти дневный срок;</w:t>
      </w:r>
    </w:p>
    <w:p w14:paraId="0983D0B7" w14:textId="77777777" w:rsidR="004345CC" w:rsidRPr="0044524F" w:rsidRDefault="004345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Поставить производство самолёта И-14 под мотор РЦ на заводе № 21 со сдачей не менее 20 штук в 1934 году, из них — первые 10 сдать не позже августа 1934 года.</w:t>
      </w:r>
    </w:p>
    <w:p w14:paraId="20EABA99" w14:textId="77777777" w:rsidR="004345CC" w:rsidRPr="0044524F" w:rsidRDefault="004345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Ill</w:t>
      </w:r>
      <w:r w:rsidRPr="0044524F">
        <w:rPr>
          <w:rFonts w:ascii="Times New Roman" w:hAnsi="Times New Roman"/>
          <w:color w:val="000000" w:themeColor="text1"/>
          <w:sz w:val="16"/>
          <w:szCs w:val="16"/>
        </w:rPr>
        <w:t xml:space="preserve"> Обязать НКТПром изготовить в 1934 году 100 штук автоматических авиационных пушек Курчевского (АПК 37мм) для установки их на истребители И-14, со сроком по</w:t>
      </w:r>
      <w:r w:rsidRPr="0044524F">
        <w:rPr>
          <w:rFonts w:ascii="Times New Roman" w:hAnsi="Times New Roman"/>
          <w:color w:val="000000" w:themeColor="text1"/>
          <w:sz w:val="16"/>
          <w:szCs w:val="16"/>
        </w:rPr>
        <w:softHyphen/>
        <w:t>ставки первых 30 штук не позже августа 1934 года» (15823).</w:t>
      </w:r>
    </w:p>
    <w:p w14:paraId="6805494F" w14:textId="77777777" w:rsidR="004345CC" w:rsidRPr="0044524F" w:rsidRDefault="004345CC" w:rsidP="009654CF">
      <w:pPr>
        <w:spacing w:after="0" w:line="240" w:lineRule="auto"/>
        <w:jc w:val="both"/>
        <w:rPr>
          <w:rFonts w:ascii="Times New Roman" w:hAnsi="Times New Roman"/>
          <w:color w:val="000000" w:themeColor="text1"/>
          <w:sz w:val="16"/>
          <w:szCs w:val="16"/>
        </w:rPr>
      </w:pPr>
    </w:p>
    <w:p w14:paraId="2DDA51B6" w14:textId="77777777" w:rsidR="0015074C" w:rsidRPr="0044524F" w:rsidRDefault="0015074C"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28 ноября 1933 года еще до завершения заводских испытаний первого экземпляра самолета И-14 Совет Труда и Обороны своим постановлением «О производстве новых типов самолетов-истребителей» обязал НКТП и персонально начальника ГУАП Г. Н. Королева:</w:t>
      </w:r>
    </w:p>
    <w:p w14:paraId="2B7D902E" w14:textId="77777777" w:rsidR="0015074C" w:rsidRPr="0044524F" w:rsidRDefault="0015074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«…1. Сдать на госиспытания НКВМору:</w:t>
      </w:r>
    </w:p>
    <w:p w14:paraId="0B10FF1E" w14:textId="77777777" w:rsidR="0015074C" w:rsidRPr="0044524F" w:rsidRDefault="0015074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…б) опытный образец И-14 под мотор РЦ с вооружением пулеметами, с последующим переводом на вооружение 2 пушками АПК 37мм и 1 пулеметом, – сдать на госиспытания не позже 3 февраля 1934 года.</w:t>
      </w:r>
    </w:p>
    <w:p w14:paraId="2617E38A" w14:textId="77777777" w:rsidR="0015074C" w:rsidRPr="0044524F" w:rsidRDefault="0015074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НКВМору совместно с ГУАПом закончить испытания в 20-ти дневный срок;</w:t>
      </w:r>
    </w:p>
    <w:p w14:paraId="7D80DD1A" w14:textId="77777777" w:rsidR="0015074C" w:rsidRPr="0044524F" w:rsidRDefault="0015074C"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 3. Поставить производство самолета И-14 под мотор РЦ на заводе №21 со сдачей не менее 20 штук в 1934 году, из них – первые 10 сдать не позже августа 1934 года.</w:t>
      </w:r>
    </w:p>
    <w:p w14:paraId="53AF2295" w14:textId="77777777" w:rsidR="0015074C" w:rsidRPr="0044524F" w:rsidRDefault="0015074C" w:rsidP="009654CF">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44524F">
        <w:rPr>
          <w:rStyle w:val="af0"/>
          <w:i w:val="0"/>
          <w:color w:val="000000" w:themeColor="text1"/>
          <w:sz w:val="16"/>
          <w:szCs w:val="16"/>
          <w:bdr w:val="none" w:sz="0" w:space="0" w:color="auto" w:frame="1"/>
        </w:rPr>
        <w:t>… III Обязать НКТПром изготовить в 1934 году 100 штук автоматических авиационных пушек Курчевского (АПК 37мм) для установки их на истребители И-14, со сроком поставки первых 30 штук не позже августа 1934 года» (19177).</w:t>
      </w:r>
    </w:p>
    <w:p w14:paraId="00CE9CF4" w14:textId="77777777" w:rsidR="0015074C" w:rsidRPr="0044524F" w:rsidRDefault="0015074C" w:rsidP="009654CF">
      <w:pPr>
        <w:pStyle w:val="ae"/>
        <w:shd w:val="clear" w:color="auto" w:fill="FFFFFF"/>
        <w:spacing w:before="0" w:after="0"/>
        <w:jc w:val="both"/>
        <w:textAlignment w:val="baseline"/>
        <w:rPr>
          <w:color w:val="000000" w:themeColor="text1"/>
          <w:sz w:val="16"/>
          <w:szCs w:val="16"/>
        </w:rPr>
      </w:pPr>
    </w:p>
    <w:p w14:paraId="1167E28F" w14:textId="49FC3A95"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с.г. постановлением Совета Груда и Обороны (СТО)</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о производстве морской и истребительной авиации на заводе №125</w:t>
      </w:r>
    </w:p>
    <w:p w14:paraId="596B37FA" w14:textId="44FB6DD3"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декабря 1933 г. начальник ГУАП Королев издает приказ: "В соответствии 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приказываю:</w:t>
      </w:r>
    </w:p>
    <w:p w14:paraId="014F67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Директору завода 125 тов. Ирьянову немедленно приступить к подготовке производства самолета И-14, определив производственную программу на 1934 г. ... в 17 штук и одновременно вести работу по постановке производства самолета МДР-4, ориентируясь на выпуск в 1935 г.</w:t>
      </w:r>
    </w:p>
    <w:p w14:paraId="5E4AE3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Разработку чертежей и технологических процессов, чертежей приспособлений по обоим самолетам вести в Москве. Заводу №31 (в Таганроге.- прим. авт.) немедленно включиться в работу по МДР-4, для чего выслать соответствующих работников в технический отдел завода 125.</w:t>
      </w:r>
    </w:p>
    <w:p w14:paraId="7A0A31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Заводу №21 вести подготовку производства по И -14 с включением своих работников в технический отдел завода 125 с тем, чтобы чертежи,... были использованы для обоих заводов</w:t>
      </w:r>
    </w:p>
    <w:p w14:paraId="7420E8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Директору ЦАГИ тов. Харламову в 15-дневный срок передать на завод полный комплект чертежей И-14 и выделить для постоянного и непосредственного руководства по увязке чертежей ответственного работника ЦАГИ.</w:t>
      </w:r>
    </w:p>
    <w:p w14:paraId="2D7EC6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Техническому директору завода 125 т. Хомскому, директору завода 21 т. Мирошниченко и директору ЦАГИ т. Харламову заключить соглашение на сдачу чертежей и организацию технической помощи со стороны ЦАГИ обоим заводам но внедрению машины.</w:t>
      </w:r>
    </w:p>
    <w:p w14:paraId="7393BA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Для укомплектования руководящим персоналом производственной части завода... директору завода №22 тов. Миткевич (директором 22-го завода парторг ЦК BK1I6 Ольга Миткевич стала после гибели С.П.Горбунова в авиационной катастрофе в сентябре 1933 г.) откомандировать техника Васильева (пом. нач. КОСТР) для занятия должности начальника конструкторского отдела завода № 125, директору завода №31 - откомандировать инженера Безухова и техника Потапова. Откомандирование произвести в 2-х дневный срок. Об исполнении доложить лично мне (формулировка для наших дней просто потрясающая, тем более, что она касалась одного инженера и двух техников)</w:t>
      </w:r>
    </w:p>
    <w:p w14:paraId="0564EC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Отделу кадров ГУАПа форсировать комплектование техническим персоналом, согласно плана подготовки производства... ускорить разверстку по действующим заводам авиапромышленности таблицы перебрасываемых на завод № 125 рабочих...</w:t>
      </w:r>
    </w:p>
    <w:p w14:paraId="0BE212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...ускорить достройку дома...переданного распоряжением моего заместителя тов. Кацва 125 заводу. В указанном доме разместить рабочих завода 125, прибывающих для повышения квалификации из Иркутска...</w:t>
      </w:r>
    </w:p>
    <w:p w14:paraId="7AEA6A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...урегулировать вопрос с помещением, занимаемым Конструкторским Отделом завода 125, обеспечив его нормальными условиями для работ, для чего пересмотреть потребность в площадях всех учреждений ГУАПа, помещающихся на Маросейке, 12" (12037).</w:t>
      </w:r>
    </w:p>
    <w:p w14:paraId="0E0FBD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CDBE9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года - выписка из протокола № 15 КО</w:t>
      </w:r>
    </w:p>
    <w:p w14:paraId="6B89CA9B"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самолетах-истребителях.</w:t>
      </w:r>
    </w:p>
    <w:p w14:paraId="202E7F71"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НКТП (Королева) в декадный срок представить на утверждение КО предложения о типе, количестве и сроках производства самолетов-истребителей на Иркутском заводе № 125 в 1934 году (4170, 19).</w:t>
      </w:r>
    </w:p>
    <w:p w14:paraId="32DBD184"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60189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года - выписка из протокола № 15 КО</w:t>
      </w:r>
    </w:p>
    <w:p w14:paraId="73F27D60"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самолетах-истребителях.</w:t>
      </w:r>
    </w:p>
    <w:p w14:paraId="38C0AFAE"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представленный НКВМ проект постановления о постройке опытных образцов новых типов самолетов-истребителей (см. приложение № 1 – пост. СТО № 118сс/о).</w:t>
      </w:r>
    </w:p>
    <w:p w14:paraId="53207DF3"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НКТП (Королева) в декадный срок представить на утверждение КО предложения о типе, количестве и сроках производства самолетов-истребителей на Иркутском заводе № 125 в 1934 году.</w:t>
      </w:r>
    </w:p>
    <w:p w14:paraId="208CC805"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заказов НКВМора на 1934 год.</w:t>
      </w:r>
    </w:p>
    <w:p w14:paraId="53E21B24"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представленный НКВМором план заказов по боевой технике и вооружению на 1934 год на общую сумму 2160 млн. рублей (см. приложение № 2 – пост. СТО № 119 сс/о).</w:t>
      </w:r>
    </w:p>
    <w:p w14:paraId="24381E2E"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Принять к сведению, что программа заказов НКВМора будет разбита НКТПромом поквартально.</w:t>
      </w:r>
    </w:p>
    <w:p w14:paraId="17EA85FB"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Обязать Комитет резервов при СТО за счет своих средств дополнительно вложить в мобзапас 5 тысяч тонн порохов и 3 тысячи тонн тротила.</w:t>
      </w:r>
    </w:p>
    <w:p w14:paraId="1B22BBA9"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системе артиллерийского вооружения и постановке на производство нового образца 76 мм пушки (с наложением на лафет 122 мм гаубицы).</w:t>
      </w:r>
    </w:p>
    <w:p w14:paraId="1E861531"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поручить Ворошилову и Орджоникидзе рассмотреть представленную НКВМором систему артвооружения и в 2-х декадный срок дать КО свои предложения.</w:t>
      </w:r>
    </w:p>
    <w:p w14:paraId="18E7C7A1"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 же разработать предложения по 76 мм пушке с наложением на лафет 122 мм гаубицы.</w:t>
      </w:r>
    </w:p>
    <w:p w14:paraId="0EE22244"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интехпомощи по постройке подлодки типа Е1.</w:t>
      </w:r>
    </w:p>
    <w:p w14:paraId="144935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НКТП (Орджоникидзе) продолжить выполнение договора на техпомощь по постройке подлодки типа Е1 с фирмой "Дэшимаг", уплатив очередной денежный взнос по договору в размере 20 тысяч долларов.</w:t>
      </w:r>
    </w:p>
    <w:p w14:paraId="579E6A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представления фирмой общего проекта подлодки в январе 1934 года рассмотреть вопрос вновь.</w:t>
      </w:r>
    </w:p>
    <w:p w14:paraId="737B9758"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приобретении интехпомощи по постройке крейсеров.</w:t>
      </w:r>
    </w:p>
    <w:p w14:paraId="6769FB95"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НКТП (Орджоникидзе) немедленно вызвать в СССР представителей итальянской фирмы Ансальдо для переговоров о заключении договора на техпомощь по постройке крейсеров и покупке мехустановок для одного крейсера.</w:t>
      </w:r>
    </w:p>
    <w:p w14:paraId="67E583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Окончательные результаты переговоров доложить КО.2. первый крейсер строить в Ленинграде; место постройки второго крейсера установить особо (4170, 20).</w:t>
      </w:r>
    </w:p>
    <w:p w14:paraId="6AF7A5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98313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года постановление СТО</w:t>
      </w:r>
    </w:p>
    <w:p w14:paraId="748375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производстве новых типов одноместных истребителей</w:t>
      </w:r>
    </w:p>
    <w:p w14:paraId="7231F7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изжития отставания нашей истребительной авиации СТО постановляет:</w:t>
      </w:r>
    </w:p>
    <w:p w14:paraId="01EE6C37"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НКТяжпром, под персональную ответственность начальника ГУАП Королева:</w:t>
      </w:r>
    </w:p>
    <w:p w14:paraId="32BA3C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Сдать на госиспытание НКВМору опытный образец самолета И-15 под мотор Райт-Циклон с вооружением 4 пулемета ПВ-1 – не позже 15 декабря 1933 года;</w:t>
      </w:r>
    </w:p>
    <w:p w14:paraId="2DAD99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образец И-14 под мотор Райт-Циклон с вооружением 2 пушки АПК 37 мм и 1 пулемет – не позже 1 февраля 1934 года;</w:t>
      </w:r>
    </w:p>
    <w:p w14:paraId="77DF6F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образец И-16 под мотор М-22 с вооружением 2 пулемета ШКАС – не позже 15 января 1934 года и</w:t>
      </w:r>
    </w:p>
    <w:p w14:paraId="51D3A7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дублер этого же самолета И-16 под мотор Райт-Циклон с вооружением 2 пулемета ШКАС – не позже 15 февраля 1934 года.</w:t>
      </w:r>
    </w:p>
    <w:p w14:paraId="3FD6BC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Поставить производство самолета И-15 под мотор Райт-Циклон на заводе № 1 с расчетом выпуска и сдачи НКВМору не менее 150 штук в 1934 году, причем 15 в мае, 15 в июне и далее по 20 штук ежемесячно до конца года.</w:t>
      </w:r>
    </w:p>
    <w:p w14:paraId="2C0B49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Поставить производство самолета И-14 под мотор Райт-Циклон на заводе № 21 со сдачей не менее 20 штук в 1934 году, из коих первые 10 не позднее августа.</w:t>
      </w:r>
    </w:p>
    <w:p w14:paraId="481857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В случае удовлетворительных результатов госиспытаний, внедрить самолет И-16 в серийное производство на заводе № 21; в 1934 году сдать НКВМору не менее 130 штук, из коих не позже 1 июня – 10 штук, а остальные – начиная с июля по 20 штук ежемесячно.</w:t>
      </w:r>
    </w:p>
    <w:p w14:paraId="68EAA8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Немедленно приступить к проектированию и постройке опытного образца одноместного и двухместного истребителя под мотор Испано-Сюиза по техусловиям НКВМора с расчетом выпустить опытные образцы этих машин не позже августа на госиспытания.</w:t>
      </w:r>
    </w:p>
    <w:p w14:paraId="0D3FE1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Обязать НКТяжпром закупить:</w:t>
      </w:r>
    </w:p>
    <w:p w14:paraId="66B560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 САСШ 150 готовых высотных моторов Райт-Циклон мощностью 625-650 л.с., на 100 моторов полный комплект запчастей для сборки в СССР и на 100 моторов наиболее трудно производимых деталей.</w:t>
      </w:r>
    </w:p>
    <w:p w14:paraId="5737DC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этим же моторам закупить 150 металлических винтов с переменным шагом для истребительных самолетов.</w:t>
      </w:r>
    </w:p>
    <w:p w14:paraId="15052E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Во Франции 30 готовых высотных моторов Испано-Сюиза 750-850 л.с., на 50 моторов полный комплект запчастей для сборки в СССР и на 50 моторов наиболее трудно производимых деталей.</w:t>
      </w:r>
    </w:p>
    <w:p w14:paraId="02D924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НКТяжпрому предусмотреть в своей смете для указанных целей 6 млн. рублей (4350 тысяч в САСШ и 1650 тысяч во Франции).</w:t>
      </w:r>
    </w:p>
    <w:p w14:paraId="5F6203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Обязать НКТяжпром изготовить в 1934 году 100 штук автоматических авиапушек Курчевского (АПК 37 мм) для установки их на истребителях И-14, со сроком поставки первых 30 штук не позже августа 1934 года.</w:t>
      </w:r>
    </w:p>
    <w:p w14:paraId="4E1B04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IV. Обязать НКТяжпром создать в 1934 году прочную базу для производства в Союзе металлических винтов (обычных и с переменным шагом) до размеров, удовлетворяющих полностью потребность воздушного флота в металлических винтах, организовать производство хромомолибденовых труб и других высокосортных сталей для самолето- и моторостроения.</w:t>
      </w:r>
    </w:p>
    <w:p w14:paraId="7D7A35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Конкретные предложения для осуществления этого представить СТО в месячный срок (7439, 39-40).</w:t>
      </w:r>
    </w:p>
    <w:p w14:paraId="54688B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9B3ED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года постановление № 118сс/о СТО</w:t>
      </w:r>
    </w:p>
    <w:p w14:paraId="16A53E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производстве новых типов самолетов-истребителей</w:t>
      </w:r>
    </w:p>
    <w:p w14:paraId="5C6B20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изжития отставания истребительной авиации СТО постановляет:</w:t>
      </w:r>
    </w:p>
    <w:p w14:paraId="14C5D167"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НКТПром, под персональную ответственность начальника ГУАП Королева:</w:t>
      </w:r>
    </w:p>
    <w:p w14:paraId="03FF1DAF"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Сдать на госиспытания НКВМору:</w:t>
      </w:r>
    </w:p>
    <w:p w14:paraId="6D227E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Опытный образец самолета И-15 под мотор Райт-Циклон с вооружением 4 пулеметами ПВ-1 не позже 15 декабря 1933 года. По предъявлении на госиспытания НКВМ обязан в 5-ти дневный срок дать окончательное техзаключение для пуска самолета в серийное производство.</w:t>
      </w:r>
    </w:p>
    <w:p w14:paraId="5F4B34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Опытный образец самолета И-14 под мотор Райт-Циклон с вооружением пулеметами, с последующимпереводом на вооружение 2 пушками АПК 37 мм и 1 пулеметом – сдать на госиспытания не позже 5 февраля 1934 года.</w:t>
      </w:r>
    </w:p>
    <w:p w14:paraId="632C18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НКВМору совместно с ГУАПом закончить испытания в 20-ти дневный срок.</w:t>
      </w:r>
    </w:p>
    <w:p w14:paraId="2DB317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Опытный образец самолета И-16 под мотор М-22 с вооружением 2 пулеметами ШКАС сдать на госиспытания не позже 15 января 1934 года; техзаключение НКВМ дать в 10-ти дневный срок и</w:t>
      </w:r>
    </w:p>
    <w:p w14:paraId="4A9658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Дублер того же самолета И-16 под мотор Райт-Циклон с вооружением 2 пулеметами ШКАС сдать на госиспытания не позже 15 февраля 1934 года; техзаключение НКВМ дать в 10-ти дневный срок.</w:t>
      </w:r>
    </w:p>
    <w:p w14:paraId="04D5123C"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Поставить производство самолета И-15 под мотор Райт-Циклон на заводе № 1 с расчетом выпуска и сдачи НКВМору не менее 150 штук в 1934 году, из них – 15 в мае, 15 – в июне и далее по 20 штук ежемесячно до конца года.</w:t>
      </w:r>
    </w:p>
    <w:p w14:paraId="7D294768"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Поставить производство самолета И-14 под мотор Райт-Циклон на заводе № 21 со сдачей не менее 20 штук в 1934 году, из них первые 10 сдать не позже августа 1934 года.</w:t>
      </w:r>
    </w:p>
    <w:p w14:paraId="33A56927"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удовлетворительных результатов госиспытаний внедрить самолет И-16 в серийное производство на заводе № 21; в 1934 году сдать НКВМору не менее 130 штук, из них не позже 1 июня 1934 года – 10 штук, а остальные – начиная с июня по 20 штук ежемесячно.</w:t>
      </w:r>
    </w:p>
    <w:p w14:paraId="6BBFC71F"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Немедленно приступить к проектированию и постройке опытных образцов одноместного и двухместного истребителей под мотор Испано-Сюиза по техусловиям НКВМора с расчетом выпустить опытные образцы этих самолетов не позже 1 июля 1934 года на заводские испытания.</w:t>
      </w:r>
    </w:p>
    <w:p w14:paraId="3746D4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1. Для обеспечения указанных истребителей моторами разрешить НКТяжпрому произвести закупку моторов Райт-Циклон и Испано-Сюиза …………………</w:t>
      </w:r>
    </w:p>
    <w:p w14:paraId="335F26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Обязать НКТПром изготовить в 1934 году 100 шт. автоматических авиапушек Курчевского (АПК 37 мм) для установки их на истребителях И-14, со сроком поставки первых 30 штук не позже августа 1934 года (7503, 89-90).</w:t>
      </w:r>
    </w:p>
    <w:p w14:paraId="645F53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A7C811A"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w:t>
      </w:r>
    </w:p>
    <w:p w14:paraId="2571AE6B"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 118СС СОВЕТА ТРУДА И ОБОРОНЫ</w:t>
      </w:r>
    </w:p>
    <w:p w14:paraId="153D0EE6"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w:t>
      </w:r>
      <w:r w:rsidRPr="0044524F">
        <w:rPr>
          <w:rFonts w:ascii="Times New Roman" w:hAnsi="Times New Roman"/>
          <w:color w:val="000000" w:themeColor="text1"/>
          <w:sz w:val="16"/>
          <w:szCs w:val="16"/>
        </w:rPr>
        <w:tab/>
        <w:t>Москва, Кремль</w:t>
      </w:r>
    </w:p>
    <w:p w14:paraId="627140BB"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изжития отставания истребительной авиации СОВЕТ ТРУДА И ОБОРОНЫ постановляет:</w:t>
      </w:r>
    </w:p>
    <w:p w14:paraId="2DCD2219"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Обязать НКТПром под персональную ответственность начальника ГУ АП т. КОРОЛЕВА.</w:t>
      </w:r>
    </w:p>
    <w:p w14:paraId="31A1DC98"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Сдать на госиспытания НКВМору:</w:t>
      </w:r>
    </w:p>
    <w:p w14:paraId="29987FF2"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опытный образец самолета И-15 под мотор «Райт-Циклон» с вооружением 4 пулемета ПВ-1 не позже 15.12.33 г. По предъявлении на госиспытания НКВМ обязан в 5-дневный срок дать окончательное техническое заключение для пуска самолета в серийное производство;</w:t>
      </w:r>
    </w:p>
    <w:p w14:paraId="5A7140C0"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опытный образец И-14 под мотор «Райт-Циклон» с вооружением пулеметами с последующим переводом на вооружение 2 пушками АПК 37 мм и 1 пулеметом - сдать на госиспытание не позже 5 февраля 34 г.</w:t>
      </w:r>
    </w:p>
    <w:p w14:paraId="45CDFDC9"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НКВМору совместно с ГУАП'ом закончить испытания в 20-ти дневный срок.</w:t>
      </w:r>
    </w:p>
    <w:p w14:paraId="0A8DE16A"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опытный образец И-16 под мотор М-22 с вооружением 2 пулеметами ШКАС сдать на госиспытания не позже 15 января 34 г.; техническое заключение НКВМору дать в 10-ти дневный срок.</w:t>
      </w:r>
    </w:p>
    <w:p w14:paraId="000D4760"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дублер того же самолета И-16 под мотор «Райт-Циклон» с вооружением 2 пулемета ШКАС сдать на госиспытания не позже 15 февраля 34 г; техническое заключение НКВМору дать в 10-ти дневный срок.</w:t>
      </w:r>
    </w:p>
    <w:p w14:paraId="1877D344"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Поставить производство самолета И-15 под мотор «Райт-Циклон» на заводе №1 с расчетом выпуска и сдачи НКВМору не менее 150 шт. в 1934 г., из них 15 в мае, 15 в июне и далее по 20 шт. ежемесячно до конца года.</w:t>
      </w:r>
    </w:p>
    <w:p w14:paraId="47F0A3AF"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 Поставить производство И-14 под мотор «Райт-Циклон» на заводе №21 со сдачей не менее 20 шт[ук] в 1934 г, из них первые 10 сдать не позже августа 1934 г.</w:t>
      </w:r>
    </w:p>
    <w:p w14:paraId="75C438BF"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 случае удовлетворительных результатов госиспытаний внедрить самолет И-16 в серийное производство на заводе № 21; в 1934 г. сдать НКВМору не менее 130 шт[ук], из них не позже 1.6.34 г. - 10 шт[ук], остальные, начиная с июня, по 20 шт. ежемесячно.</w:t>
      </w:r>
    </w:p>
    <w:p w14:paraId="03C1ECA7"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Немедленно приступить к проектированию и постройке опытных образцов одноместного и двухместного истребителей под мотор ИспаноСюиза по техническим условиям НКВМора с расчетом выпустить опытные образцы этих самолетов не позже 1.7.34 г. на заводские испытания.</w:t>
      </w:r>
    </w:p>
    <w:p w14:paraId="41A0807C"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w:t>
      </w:r>
    </w:p>
    <w:p w14:paraId="456DE944"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Для обеспечения указанных истребителей моторами разрешить НКТяжпрому произвести закупку моторов Райт-Циклон и Испано-Сюиза согласно прилагаемой ведомости.</w:t>
      </w:r>
    </w:p>
    <w:p w14:paraId="249AB5D7"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Отпустить для этой цели НКТПрому в 1934 г. валюту в размере 6025 тыс. руб...</w:t>
      </w:r>
    </w:p>
    <w:p w14:paraId="5E3EAE4E"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 счет той же суммы НКТПрому закупить аппаратуру и, в частности, 150 металлических винтов с переменным шагом к моторам для самолетов -истребителей.</w:t>
      </w:r>
    </w:p>
    <w:p w14:paraId="25B1BED4"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Обязать НКТПром изготовить в 1934 г. 100 шт[ук] автоматических авиационных пушек Курчевского (АПК 37 мм) для установки их на истребителях И-14 со сроками поставки первых 30 штук не позже августа 1934 г.</w:t>
      </w:r>
    </w:p>
    <w:p w14:paraId="2EF29259"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w:t>
      </w:r>
    </w:p>
    <w:p w14:paraId="2AE5372D"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Совета Труда и Обороны</w:t>
      </w:r>
      <w:r w:rsidRPr="0044524F">
        <w:rPr>
          <w:rFonts w:ascii="Times New Roman" w:hAnsi="Times New Roman"/>
          <w:color w:val="000000" w:themeColor="text1"/>
          <w:sz w:val="16"/>
          <w:szCs w:val="16"/>
        </w:rPr>
        <w:tab/>
        <w:t>(В. Молотов/Скрябин)</w:t>
      </w:r>
    </w:p>
    <w:p w14:paraId="368280D5"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секретаря</w:t>
      </w:r>
    </w:p>
    <w:p w14:paraId="479529CB"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Совета Труда и Обороны</w:t>
      </w:r>
      <w:r w:rsidRPr="0044524F">
        <w:rPr>
          <w:rFonts w:ascii="Times New Roman" w:hAnsi="Times New Roman"/>
          <w:color w:val="000000" w:themeColor="text1"/>
          <w:sz w:val="16"/>
          <w:szCs w:val="16"/>
        </w:rPr>
        <w:tab/>
        <w:t>(Базилевич)</w:t>
      </w:r>
    </w:p>
    <w:p w14:paraId="40713659"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Российский государственный архив экономики</w:t>
      </w:r>
    </w:p>
    <w:p w14:paraId="523ED9DC"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(РГАЭ). Ф. 8328. Оп. 2. Д. 669. ЛЛ. 69-70. Предоставлено</w:t>
      </w:r>
    </w:p>
    <w:p w14:paraId="5038AB7B"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 Ивановым.</w:t>
      </w:r>
    </w:p>
    <w:p w14:paraId="2917705E"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1999 году журнал «Исторический архив» поместил подборку документов </w:t>
      </w:r>
    </w:p>
    <w:p w14:paraId="033E8218"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истории отечественной авиации из Центрального архива</w:t>
      </w:r>
    </w:p>
    <w:p w14:paraId="10119230"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Нижегородской области, подготовленную нижегородским архивистом</w:t>
      </w:r>
    </w:p>
    <w:p w14:paraId="0D21E926" w14:textId="77777777" w:rsidR="00CE54DF" w:rsidRPr="0044524F" w:rsidRDefault="00CE54D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В.Ю. Альбовым. Она публикуется ниже с незначительными сокращениями (20968).</w:t>
      </w:r>
    </w:p>
    <w:p w14:paraId="68FA19A3" w14:textId="77777777" w:rsidR="00CE54DF" w:rsidRPr="0044524F" w:rsidRDefault="00CE54DF" w:rsidP="009654CF">
      <w:pPr>
        <w:spacing w:after="0" w:line="240" w:lineRule="auto"/>
        <w:jc w:val="both"/>
        <w:rPr>
          <w:rFonts w:ascii="Times New Roman" w:hAnsi="Times New Roman"/>
          <w:color w:val="000000" w:themeColor="text1"/>
          <w:sz w:val="16"/>
          <w:szCs w:val="16"/>
        </w:rPr>
      </w:pPr>
    </w:p>
    <w:p w14:paraId="089DA1CC"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 вышло:</w:t>
      </w:r>
    </w:p>
    <w:p w14:paraId="2254D552"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№118сс</w:t>
      </w:r>
    </w:p>
    <w:p w14:paraId="2B887156"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Совета Труда и Обороны</w:t>
      </w:r>
    </w:p>
    <w:p w14:paraId="2C70B777"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w:t>
      </w:r>
      <w:r w:rsidRPr="0044524F">
        <w:rPr>
          <w:rFonts w:ascii="Times New Roman" w:hAnsi="Times New Roman"/>
          <w:color w:val="000000" w:themeColor="text1"/>
          <w:sz w:val="16"/>
          <w:szCs w:val="16"/>
        </w:rPr>
        <w:tab/>
        <w:t>Москва, Кремль</w:t>
      </w:r>
    </w:p>
    <w:p w14:paraId="7B3B096F"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изжития отставания истребительной авиации СОВЕТ ТРУДА И ОБОРОНЫ постановляет:</w:t>
      </w:r>
    </w:p>
    <w:p w14:paraId="22E5EE89"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НКТПром под персональную ответственность Начальника ГУАП т. КОРОЛЕВА:</w:t>
      </w:r>
    </w:p>
    <w:p w14:paraId="69FCBBBC"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Сдать на госиспытания НКВМору:</w:t>
      </w:r>
    </w:p>
    <w:p w14:paraId="1FBAFD75"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образец самолета И-15 под мотор Райт-Циклон с вооружением 4 пулемета ПВ 1 не позже 15.12.33 г. По предъяв</w:t>
      </w:r>
      <w:r w:rsidRPr="0044524F">
        <w:rPr>
          <w:rFonts w:ascii="Times New Roman" w:hAnsi="Times New Roman"/>
          <w:color w:val="000000" w:themeColor="text1"/>
          <w:sz w:val="16"/>
          <w:szCs w:val="16"/>
        </w:rPr>
        <w:softHyphen/>
        <w:t>лении на госиспытания НКВМ обязан в 5-ти дневный срок дать окончательное техническое заключение для пуска самолета в серийное производство;</w:t>
      </w:r>
    </w:p>
    <w:p w14:paraId="639A2308"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образец И-14 под мотор Райт-Циклон с вооруже</w:t>
      </w:r>
      <w:r w:rsidRPr="0044524F">
        <w:rPr>
          <w:rFonts w:ascii="Times New Roman" w:hAnsi="Times New Roman"/>
          <w:color w:val="000000" w:themeColor="text1"/>
          <w:sz w:val="16"/>
          <w:szCs w:val="16"/>
        </w:rPr>
        <w:softHyphen/>
        <w:t>нием пулеметами с последующим переводом на вооружение 2 пушками АПК 37 мм и 1 пулеметом - сдать на госиспытание не позже 5 февраля 34 г. НКВМору совместно с ГУАП’ом закончить испытания в 20-ти дневный срок.</w:t>
      </w:r>
    </w:p>
    <w:p w14:paraId="2B3EC638"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образец И-16 под мотор М-22 с вооружением 2 пуле</w:t>
      </w:r>
      <w:r w:rsidRPr="0044524F">
        <w:rPr>
          <w:rFonts w:ascii="Times New Roman" w:hAnsi="Times New Roman"/>
          <w:color w:val="000000" w:themeColor="text1"/>
          <w:sz w:val="16"/>
          <w:szCs w:val="16"/>
        </w:rPr>
        <w:softHyphen/>
        <w:t>метами ШКАС сдать на госиспытания не позже 15 января 34 г.; техническое заключение НКВМору дать в 10-ти дневный срок.</w:t>
      </w:r>
    </w:p>
    <w:p w14:paraId="224723CB"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дублер того же самолета И-16 под мотор Райт-Циклон с вооружением 2 пулемета ШКАС сдать на госиспытания не по</w:t>
      </w:r>
      <w:r w:rsidRPr="0044524F">
        <w:rPr>
          <w:rFonts w:ascii="Times New Roman" w:hAnsi="Times New Roman"/>
          <w:color w:val="000000" w:themeColor="text1"/>
          <w:sz w:val="16"/>
          <w:szCs w:val="16"/>
        </w:rPr>
        <w:softHyphen/>
        <w:t>зже 15 февраля 34 г; техническое заключение НКВМору дать в 10-ти дневный срок.</w:t>
      </w:r>
    </w:p>
    <w:p w14:paraId="1E34E73C"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Поставить производство самолета И-15 под мотор Райт- Циклон на заводе №1 с расчетом выпуска и сдачи НКВМору не менее 150 шт. в 1934 г., из них 15 в мае, 15 в июне и далее по 20 шт. ежемесячно до конца года.</w:t>
      </w:r>
    </w:p>
    <w:p w14:paraId="6E979D05"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Поставить производство И-14 под мотор Райт-Циклон на заводе №21 со сдачей не менее 20 шт в 1934 г, из них первые 10 сдать не позже августа 1934 г.</w:t>
      </w:r>
    </w:p>
    <w:p w14:paraId="496FB9CF"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случае удовлетворительных результатов госиспытаний внедрить самолет И-16 в серийное производство на заводе №21; в 1934 г. сдать НКВМору не менее 130 шт, из них не позже 1.6.34 г. - 10 шт, остальные, начиная с июня, по 20 шт. ежемесячно.</w:t>
      </w:r>
    </w:p>
    <w:p w14:paraId="5E3810BD"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Немедленно приступить к проектированию и постройке опытных образцов одноместного и двухместного истребите</w:t>
      </w:r>
      <w:r w:rsidRPr="0044524F">
        <w:rPr>
          <w:rFonts w:ascii="Times New Roman" w:hAnsi="Times New Roman"/>
          <w:color w:val="000000" w:themeColor="text1"/>
          <w:sz w:val="16"/>
          <w:szCs w:val="16"/>
        </w:rPr>
        <w:softHyphen/>
        <w:t>лей под мотор Испано-Сюиза по техническим условиям НКВ- Мора с расчетом выпустить опытные образцы этих самоле</w:t>
      </w:r>
      <w:r w:rsidRPr="0044524F">
        <w:rPr>
          <w:rFonts w:ascii="Times New Roman" w:hAnsi="Times New Roman"/>
          <w:color w:val="000000" w:themeColor="text1"/>
          <w:sz w:val="16"/>
          <w:szCs w:val="16"/>
        </w:rPr>
        <w:softHyphen/>
        <w:t>тов не позже 1.7.34 г. на заводские испытания.</w:t>
      </w:r>
    </w:p>
    <w:p w14:paraId="27E71AFF"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для обеспечения указанных истребителей моторами разрешить НКТяжпрому произвести закупку моторов Райт-Ци</w:t>
      </w:r>
      <w:r w:rsidRPr="0044524F">
        <w:rPr>
          <w:rFonts w:ascii="Times New Roman" w:hAnsi="Times New Roman"/>
          <w:color w:val="000000" w:themeColor="text1"/>
          <w:sz w:val="16"/>
          <w:szCs w:val="16"/>
        </w:rPr>
        <w:softHyphen/>
        <w:t>клон и Испано-Сюиза согласно прилагаемой ведомости.</w:t>
      </w:r>
    </w:p>
    <w:p w14:paraId="68037789"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Отпустить для этой цели НКТПрому в 1934 г. валюту в размере 6025 тыс.руб...</w:t>
      </w:r>
    </w:p>
    <w:p w14:paraId="680DA6DF"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счет той же суммы НКТПрому закупить аппаратуру и, в частности, 150 металлических винтов с переменным шагом к моторам для самолетов-истребителей.</w:t>
      </w:r>
    </w:p>
    <w:p w14:paraId="6EC7ACA0"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Обязать НКТПром изготовить в 1934 г. 100 шт авто</w:t>
      </w:r>
      <w:r w:rsidRPr="0044524F">
        <w:rPr>
          <w:rFonts w:ascii="Times New Roman" w:hAnsi="Times New Roman"/>
          <w:color w:val="000000" w:themeColor="text1"/>
          <w:sz w:val="16"/>
          <w:szCs w:val="16"/>
        </w:rPr>
        <w:softHyphen/>
        <w:t>матических авиа-ционных пушек Курчевского (АПК 37 мм) для установки их на истребителях И-14 со сроками поставки пер</w:t>
      </w:r>
      <w:r w:rsidRPr="0044524F">
        <w:rPr>
          <w:rFonts w:ascii="Times New Roman" w:hAnsi="Times New Roman"/>
          <w:color w:val="000000" w:themeColor="text1"/>
          <w:sz w:val="16"/>
          <w:szCs w:val="16"/>
        </w:rPr>
        <w:softHyphen/>
        <w:t>вых 30 шт не позже августа 1934 г.</w:t>
      </w:r>
    </w:p>
    <w:p w14:paraId="7D365A60"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Председатель Совета Труда и Обороны</w:t>
      </w:r>
      <w:r w:rsidRPr="0044524F">
        <w:rPr>
          <w:rFonts w:ascii="Times New Roman" w:hAnsi="Times New Roman"/>
          <w:color w:val="000000" w:themeColor="text1"/>
          <w:sz w:val="16"/>
          <w:szCs w:val="16"/>
        </w:rPr>
        <w:tab/>
        <w:t>(В.Молотов Скрябин)</w:t>
      </w:r>
    </w:p>
    <w:p w14:paraId="29361694" w14:textId="77777777" w:rsidR="005D0E3B" w:rsidRPr="0044524F" w:rsidRDefault="005D0E3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секретаря Совета Труда и Обороны</w:t>
      </w:r>
      <w:r w:rsidRPr="0044524F">
        <w:rPr>
          <w:rFonts w:ascii="Times New Roman" w:hAnsi="Times New Roman"/>
          <w:color w:val="000000" w:themeColor="text1"/>
          <w:sz w:val="16"/>
          <w:szCs w:val="16"/>
        </w:rPr>
        <w:tab/>
        <w:t>(Базилевич) (23455).</w:t>
      </w:r>
    </w:p>
    <w:p w14:paraId="1B0CEF6E" w14:textId="77777777" w:rsidR="005D0E3B" w:rsidRPr="0044524F" w:rsidRDefault="005D0E3B" w:rsidP="009654CF">
      <w:pPr>
        <w:spacing w:after="0" w:line="240" w:lineRule="auto"/>
        <w:jc w:val="both"/>
        <w:rPr>
          <w:rFonts w:ascii="Times New Roman" w:hAnsi="Times New Roman"/>
          <w:color w:val="000000" w:themeColor="text1"/>
          <w:sz w:val="16"/>
          <w:szCs w:val="16"/>
        </w:rPr>
      </w:pPr>
    </w:p>
    <w:p w14:paraId="5E3D0B5C" w14:textId="77777777" w:rsidR="00264C23" w:rsidRPr="00142305" w:rsidRDefault="00264C23" w:rsidP="00264C23">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28 ноября 1933 г. вышло Постановление Совета Труда и Обороны СССР № 118сс/о «О производстве новых типов самолетов-истре</w:t>
      </w:r>
      <w:r w:rsidRPr="00142305">
        <w:rPr>
          <w:rStyle w:val="aff"/>
          <w:rFonts w:ascii="Times New Roman" w:hAnsi="Times New Roman" w:cs="Times New Roman"/>
          <w:color w:val="0070C0"/>
          <w:spacing w:val="0"/>
          <w:sz w:val="16"/>
          <w:szCs w:val="16"/>
        </w:rPr>
        <w:softHyphen/>
        <w:t>бителей». Оно буквально переломило разме</w:t>
      </w:r>
      <w:r w:rsidRPr="00142305">
        <w:rPr>
          <w:rStyle w:val="aff"/>
          <w:rFonts w:ascii="Times New Roman" w:hAnsi="Times New Roman" w:cs="Times New Roman"/>
          <w:color w:val="0070C0"/>
          <w:spacing w:val="0"/>
          <w:sz w:val="16"/>
          <w:szCs w:val="16"/>
        </w:rPr>
        <w:softHyphen/>
        <w:t>ренный ход событий. В нем говорилось: «В целях изжития отставания истребитель</w:t>
      </w:r>
      <w:r w:rsidRPr="00142305">
        <w:rPr>
          <w:rStyle w:val="aff"/>
          <w:rFonts w:ascii="Times New Roman" w:hAnsi="Times New Roman" w:cs="Times New Roman"/>
          <w:color w:val="0070C0"/>
          <w:spacing w:val="0"/>
          <w:sz w:val="16"/>
          <w:szCs w:val="16"/>
        </w:rPr>
        <w:softHyphen/>
        <w:t>ной авиации, СТО постановляет:</w:t>
      </w:r>
    </w:p>
    <w:p w14:paraId="66E9C074"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lang w:val="en-US"/>
        </w:rPr>
        <w:t>I</w:t>
      </w:r>
      <w:r w:rsidRPr="00142305">
        <w:rPr>
          <w:rStyle w:val="aff"/>
          <w:rFonts w:ascii="Times New Roman" w:hAnsi="Times New Roman" w:cs="Times New Roman"/>
          <w:color w:val="0070C0"/>
          <w:spacing w:val="0"/>
          <w:sz w:val="16"/>
          <w:szCs w:val="16"/>
        </w:rPr>
        <w:t>. Обязать НКТПром, под персональную ответственность начальника ГУАП Королева. Сдать на госиспытание НКВМору:</w:t>
      </w:r>
    </w:p>
    <w:p w14:paraId="308921E5" w14:textId="77777777" w:rsidR="00264C23" w:rsidRPr="00142305" w:rsidRDefault="00264C23" w:rsidP="00264C23">
      <w:pPr>
        <w:widowControl w:val="0"/>
        <w:tabs>
          <w:tab w:val="left" w:pos="500"/>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а) Опытный образец самолета И-15 под мотор Райт-Циклон с вооружением 4 пулеме</w:t>
      </w:r>
      <w:r w:rsidRPr="00142305">
        <w:rPr>
          <w:rStyle w:val="aff"/>
          <w:rFonts w:ascii="Times New Roman" w:hAnsi="Times New Roman" w:cs="Times New Roman"/>
          <w:color w:val="0070C0"/>
          <w:spacing w:val="0"/>
          <w:sz w:val="16"/>
          <w:szCs w:val="16"/>
        </w:rPr>
        <w:softHyphen/>
        <w:t>тами ПВ-1 не позже 15 декабря 1933 года. По предъявлении на госиспытания НКВМ обязан в 5-ти дневный срок дать окончательное техническое заключение для пуска самолета в серийное производство.</w:t>
      </w:r>
    </w:p>
    <w:p w14:paraId="17E61C6B"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Опытный образец И-14 под мотор Райт-Циклон с вооружением пулеметами, с последующим переводом на вооружение 2 пушками АПК 37 мм и 1 пулеметом, сдать на госиспытания не позже 5 февраля 1934 года. НКВМору совместно с ГУАПом закончить ис</w:t>
      </w:r>
      <w:r w:rsidRPr="00142305">
        <w:rPr>
          <w:rStyle w:val="aff"/>
          <w:rFonts w:ascii="Times New Roman" w:hAnsi="Times New Roman" w:cs="Times New Roman"/>
          <w:color w:val="0070C0"/>
          <w:spacing w:val="0"/>
          <w:sz w:val="16"/>
          <w:szCs w:val="16"/>
        </w:rPr>
        <w:softHyphen/>
        <w:t>пытания в 20-ти дневный срок.</w:t>
      </w:r>
    </w:p>
    <w:p w14:paraId="71DD009F" w14:textId="77777777" w:rsidR="00264C23" w:rsidRPr="00142305" w:rsidRDefault="00264C23" w:rsidP="00264C23">
      <w:pPr>
        <w:widowControl w:val="0"/>
        <w:tabs>
          <w:tab w:val="left" w:pos="500"/>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б) Опытный образец И-16 под мотор М-22 с вооружением 2 пулеметами ШКАС сдать на госиспытания не позже 15 января 1934 года; техническое заключение НКВМ дать в 10-ти дневный срок.</w:t>
      </w:r>
    </w:p>
    <w:p w14:paraId="466DC61A" w14:textId="77777777" w:rsidR="00264C23" w:rsidRPr="00142305" w:rsidRDefault="00264C23" w:rsidP="00264C23">
      <w:pPr>
        <w:widowControl w:val="0"/>
        <w:tabs>
          <w:tab w:val="left" w:pos="490"/>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Дублер того же самолета И-16 под мотор Райт-Циклон с вооружением 2 пулеме</w:t>
      </w:r>
      <w:r w:rsidRPr="00142305">
        <w:rPr>
          <w:rStyle w:val="aff"/>
          <w:rFonts w:ascii="Times New Roman" w:hAnsi="Times New Roman" w:cs="Times New Roman"/>
          <w:color w:val="0070C0"/>
          <w:spacing w:val="0"/>
          <w:sz w:val="16"/>
          <w:szCs w:val="16"/>
        </w:rPr>
        <w:softHyphen/>
        <w:t>тами ШКАС сдать на госиспытания не позже 15 февраля 1934 года; техническое заключе</w:t>
      </w:r>
      <w:r w:rsidRPr="00142305">
        <w:rPr>
          <w:rStyle w:val="aff"/>
          <w:rFonts w:ascii="Times New Roman" w:hAnsi="Times New Roman" w:cs="Times New Roman"/>
          <w:color w:val="0070C0"/>
          <w:spacing w:val="0"/>
          <w:sz w:val="16"/>
          <w:szCs w:val="16"/>
        </w:rPr>
        <w:softHyphen/>
        <w:t>ние НКВМору дать в 10-ти дневный срок.</w:t>
      </w:r>
    </w:p>
    <w:p w14:paraId="7C55B479"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Поставить производство самолета И-15 под мотор Райт-Циклон на заводе № 1 с рас</w:t>
      </w:r>
      <w:r w:rsidRPr="00142305">
        <w:rPr>
          <w:rStyle w:val="aff"/>
          <w:rFonts w:ascii="Times New Roman" w:hAnsi="Times New Roman" w:cs="Times New Roman"/>
          <w:color w:val="0070C0"/>
          <w:spacing w:val="0"/>
          <w:sz w:val="16"/>
          <w:szCs w:val="16"/>
        </w:rPr>
        <w:softHyphen/>
        <w:t>четом выпуска и сдачи НКВМору не менее 150 штук в 1934 году, из них – 15 в мае, 15 – в июне и далее по 20 штук ежемесячно с конца года.</w:t>
      </w:r>
    </w:p>
    <w:p w14:paraId="7EF98EC6"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Поставить производство самолета И-14 под мотор Райт-Циклон на заводе № 21 со сдачей не менее 20 штук в 1934 году, из них – первые 10 дать не позже августа 1934 года.</w:t>
      </w:r>
    </w:p>
    <w:p w14:paraId="46E735D8"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случае удовлетворительных результа</w:t>
      </w:r>
      <w:r w:rsidRPr="00142305">
        <w:rPr>
          <w:rStyle w:val="aff"/>
          <w:rFonts w:ascii="Times New Roman" w:hAnsi="Times New Roman" w:cs="Times New Roman"/>
          <w:color w:val="0070C0"/>
          <w:spacing w:val="0"/>
          <w:sz w:val="16"/>
          <w:szCs w:val="16"/>
        </w:rPr>
        <w:softHyphen/>
        <w:t>тов госиспытаний, внедрить самолет И-16 в серийное производство на заводе № 21; в 1934 году сдать НКВМору не менее 130 штук, из них – не позже 1 июня 1934 года – 10 штук, а остальные – начиная с июня по 20 штук ежемесячно…</w:t>
      </w:r>
    </w:p>
    <w:p w14:paraId="2F09794F" w14:textId="77777777" w:rsidR="00264C23" w:rsidRPr="00142305" w:rsidRDefault="00264C23" w:rsidP="00264C23">
      <w:pPr>
        <w:widowControl w:val="0"/>
        <w:tabs>
          <w:tab w:val="left" w:pos="514"/>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 1. Для обеспечения указанных истре</w:t>
      </w:r>
      <w:r w:rsidRPr="00142305">
        <w:rPr>
          <w:rStyle w:val="aff"/>
          <w:rFonts w:ascii="Times New Roman" w:hAnsi="Times New Roman" w:cs="Times New Roman"/>
          <w:color w:val="0070C0"/>
          <w:spacing w:val="0"/>
          <w:sz w:val="16"/>
          <w:szCs w:val="16"/>
        </w:rPr>
        <w:softHyphen/>
        <w:t>бителей моторами разрешить НКТяжпрому произвести закупку моторов Райт-Циклон … согласно прилагаемой ведомости.</w:t>
      </w:r>
    </w:p>
    <w:p w14:paraId="197F9D60"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Отпустить для этой цели НКТПрому в 1934 году валюту в размере 6028 25 тысяч рублей согласно сметы, представленной НКТПромом (см. приложение).В счет той же суммы НКТПрому закупить аппаратуру и, в частности, 150 металлических винтов с пе</w:t>
      </w:r>
      <w:r w:rsidRPr="00142305">
        <w:rPr>
          <w:rStyle w:val="aff"/>
          <w:rFonts w:ascii="Times New Roman" w:hAnsi="Times New Roman" w:cs="Times New Roman"/>
          <w:color w:val="0070C0"/>
          <w:spacing w:val="0"/>
          <w:sz w:val="16"/>
          <w:szCs w:val="16"/>
        </w:rPr>
        <w:softHyphen/>
        <w:t>ременным шагом к мотору для самолетов- истребителей.</w:t>
      </w:r>
    </w:p>
    <w:p w14:paraId="4FC51EE7"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Обязать НКТПром изготовить в 1934 году 100 штук автоматических авиацион</w:t>
      </w:r>
      <w:r w:rsidRPr="00142305">
        <w:rPr>
          <w:rStyle w:val="aff"/>
          <w:rFonts w:ascii="Times New Roman" w:hAnsi="Times New Roman" w:cs="Times New Roman"/>
          <w:color w:val="0070C0"/>
          <w:spacing w:val="0"/>
          <w:sz w:val="16"/>
          <w:szCs w:val="16"/>
        </w:rPr>
        <w:softHyphen/>
        <w:t>ных пушек Курчевского (АПК 37 мм) для установки их на истребителях И-14, со сро</w:t>
      </w:r>
      <w:r w:rsidRPr="00142305">
        <w:rPr>
          <w:rStyle w:val="aff"/>
          <w:rFonts w:ascii="Times New Roman" w:hAnsi="Times New Roman" w:cs="Times New Roman"/>
          <w:color w:val="0070C0"/>
          <w:spacing w:val="0"/>
          <w:sz w:val="16"/>
          <w:szCs w:val="16"/>
        </w:rPr>
        <w:softHyphen/>
        <w:t>ком поставки первых 30 штук не позже авгу</w:t>
      </w:r>
      <w:r w:rsidRPr="00142305">
        <w:rPr>
          <w:rStyle w:val="aff"/>
          <w:rFonts w:ascii="Times New Roman" w:hAnsi="Times New Roman" w:cs="Times New Roman"/>
          <w:color w:val="0070C0"/>
          <w:spacing w:val="0"/>
          <w:sz w:val="16"/>
          <w:szCs w:val="16"/>
        </w:rPr>
        <w:softHyphen/>
        <w:t>ста 1934 года» (25519),</w:t>
      </w:r>
    </w:p>
    <w:p w14:paraId="583F5224" w14:textId="77777777" w:rsidR="00264C23" w:rsidRPr="00142305" w:rsidRDefault="00264C23" w:rsidP="00264C23">
      <w:pPr>
        <w:spacing w:after="0" w:line="240" w:lineRule="auto"/>
        <w:jc w:val="both"/>
        <w:rPr>
          <w:rFonts w:ascii="Times New Roman" w:hAnsi="Times New Roman"/>
          <w:color w:val="0070C0"/>
          <w:sz w:val="16"/>
          <w:szCs w:val="16"/>
        </w:rPr>
      </w:pPr>
    </w:p>
    <w:p w14:paraId="103F2132" w14:textId="77777777" w:rsidR="00264C23" w:rsidRPr="00142305" w:rsidRDefault="00264C23" w:rsidP="00264C2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28 но</w:t>
      </w:r>
      <w:r w:rsidRPr="00142305">
        <w:rPr>
          <w:rStyle w:val="aff"/>
          <w:rFonts w:ascii="Times New Roman" w:hAnsi="Times New Roman" w:cs="Times New Roman"/>
          <w:color w:val="0070C0"/>
          <w:spacing w:val="0"/>
          <w:sz w:val="16"/>
          <w:szCs w:val="16"/>
        </w:rPr>
        <w:softHyphen/>
        <w:t>ября 1933 года постановлением № 118сс/о «О производстве новых типов самолетов- истребителей» СТО принял решение о запус</w:t>
      </w:r>
      <w:r w:rsidRPr="00142305">
        <w:rPr>
          <w:rStyle w:val="aff"/>
          <w:rFonts w:ascii="Times New Roman" w:hAnsi="Times New Roman" w:cs="Times New Roman"/>
          <w:color w:val="0070C0"/>
          <w:spacing w:val="0"/>
          <w:sz w:val="16"/>
          <w:szCs w:val="16"/>
        </w:rPr>
        <w:softHyphen/>
        <w:t>ке серийного производства трех типов новых истребителей – И-14, И-15 и И-16. Первые два планировали оснастить лицензионной копией мотора «Райт-Циклон», еще не освоенной в производстве, а И-16 намерева</w:t>
      </w:r>
      <w:r w:rsidRPr="00142305">
        <w:rPr>
          <w:rStyle w:val="aff"/>
          <w:rFonts w:ascii="Times New Roman" w:hAnsi="Times New Roman" w:cs="Times New Roman"/>
          <w:color w:val="0070C0"/>
          <w:spacing w:val="0"/>
          <w:sz w:val="16"/>
          <w:szCs w:val="16"/>
        </w:rPr>
        <w:softHyphen/>
        <w:t>лись поначалу строить с можно сказать оте</w:t>
      </w:r>
      <w:r w:rsidRPr="00142305">
        <w:rPr>
          <w:rStyle w:val="aff"/>
          <w:rFonts w:ascii="Times New Roman" w:hAnsi="Times New Roman" w:cs="Times New Roman"/>
          <w:color w:val="0070C0"/>
          <w:spacing w:val="0"/>
          <w:sz w:val="16"/>
          <w:szCs w:val="16"/>
        </w:rPr>
        <w:softHyphen/>
        <w:t>чественным М-22. На следующий день на со</w:t>
      </w:r>
      <w:r w:rsidRPr="00142305">
        <w:rPr>
          <w:rStyle w:val="aff"/>
          <w:rFonts w:ascii="Times New Roman" w:hAnsi="Times New Roman" w:cs="Times New Roman"/>
          <w:color w:val="0070C0"/>
          <w:spacing w:val="0"/>
          <w:sz w:val="16"/>
          <w:szCs w:val="16"/>
        </w:rPr>
        <w:softHyphen/>
        <w:t>вещании у начальника ГУАП Г.Н. Королева заказ на 130 И-16М-22 поделили между заво</w:t>
      </w:r>
      <w:r w:rsidRPr="00142305">
        <w:rPr>
          <w:rStyle w:val="aff"/>
          <w:rFonts w:ascii="Times New Roman" w:hAnsi="Times New Roman" w:cs="Times New Roman"/>
          <w:color w:val="0070C0"/>
          <w:spacing w:val="0"/>
          <w:sz w:val="16"/>
          <w:szCs w:val="16"/>
        </w:rPr>
        <w:softHyphen/>
        <w:t>дами 39 и 21. Горьковчанам требовалось в 1934 году сдать 80 машин (25614).</w:t>
      </w:r>
    </w:p>
    <w:p w14:paraId="60E94724" w14:textId="77777777" w:rsidR="00264C23" w:rsidRPr="00142305" w:rsidRDefault="00264C23" w:rsidP="00264C23">
      <w:pPr>
        <w:spacing w:after="0" w:line="240" w:lineRule="auto"/>
        <w:jc w:val="both"/>
        <w:rPr>
          <w:rFonts w:ascii="Times New Roman" w:hAnsi="Times New Roman"/>
          <w:color w:val="0070C0"/>
          <w:sz w:val="16"/>
          <w:szCs w:val="16"/>
        </w:rPr>
      </w:pPr>
    </w:p>
    <w:p w14:paraId="6D3BD0C5" w14:textId="77777777" w:rsidR="00125FE3" w:rsidRPr="00142305" w:rsidRDefault="00125FE3" w:rsidP="00125FE3">
      <w:pPr>
        <w:widowControl w:val="0"/>
        <w:tabs>
          <w:tab w:val="left" w:pos="486"/>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28 ноября 1933 года) специальное решение КО (постановление № 118сс) обязало НКТПром, под персональ</w:t>
      </w:r>
      <w:r w:rsidRPr="00142305">
        <w:rPr>
          <w:rStyle w:val="aff"/>
          <w:rFonts w:ascii="Times New Roman" w:hAnsi="Times New Roman" w:cs="Times New Roman"/>
          <w:color w:val="0070C0"/>
          <w:spacing w:val="0"/>
          <w:sz w:val="16"/>
          <w:szCs w:val="16"/>
        </w:rPr>
        <w:softHyphen/>
        <w:t>ную ответственность начальника ГУАП Ко</w:t>
      </w:r>
      <w:r w:rsidRPr="00142305">
        <w:rPr>
          <w:rStyle w:val="aff"/>
          <w:rFonts w:ascii="Times New Roman" w:hAnsi="Times New Roman" w:cs="Times New Roman"/>
          <w:color w:val="0070C0"/>
          <w:spacing w:val="0"/>
          <w:sz w:val="16"/>
          <w:szCs w:val="16"/>
        </w:rPr>
        <w:softHyphen/>
        <w:t>ролева, обязало изготовить 300 новых современных истребителей И-14, И-15, И-16, определив за</w:t>
      </w:r>
      <w:r w:rsidRPr="00142305">
        <w:rPr>
          <w:rStyle w:val="aff"/>
          <w:rFonts w:ascii="Times New Roman" w:hAnsi="Times New Roman" w:cs="Times New Roman"/>
          <w:color w:val="0070C0"/>
          <w:spacing w:val="0"/>
          <w:sz w:val="16"/>
          <w:szCs w:val="16"/>
        </w:rPr>
        <w:softHyphen/>
        <w:t>воды и помесячные выпуски этих самолетов с производства.</w:t>
      </w:r>
    </w:p>
    <w:p w14:paraId="2AC50E34" w14:textId="77777777" w:rsidR="00125FE3" w:rsidRPr="00142305" w:rsidRDefault="00125FE3" w:rsidP="00125FE3">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lastRenderedPageBreak/>
        <w:t>В виду того, что внутри страны нет про</w:t>
      </w:r>
      <w:r w:rsidRPr="00142305">
        <w:rPr>
          <w:rStyle w:val="aff"/>
          <w:rFonts w:ascii="Times New Roman" w:hAnsi="Times New Roman" w:cs="Times New Roman"/>
          <w:color w:val="0070C0"/>
          <w:spacing w:val="0"/>
          <w:sz w:val="16"/>
          <w:szCs w:val="16"/>
        </w:rPr>
        <w:softHyphen/>
        <w:t>изводства истребительных моторов, Прави</w:t>
      </w:r>
      <w:r w:rsidRPr="00142305">
        <w:rPr>
          <w:rStyle w:val="aff"/>
          <w:rFonts w:ascii="Times New Roman" w:hAnsi="Times New Roman" w:cs="Times New Roman"/>
          <w:color w:val="0070C0"/>
          <w:spacing w:val="0"/>
          <w:sz w:val="16"/>
          <w:szCs w:val="16"/>
        </w:rPr>
        <w:softHyphen/>
        <w:t>тельство одновременно с этим отпустило 6 млн. рублей специально на закупку истреби</w:t>
      </w:r>
      <w:r w:rsidRPr="00142305">
        <w:rPr>
          <w:rStyle w:val="aff"/>
          <w:rFonts w:ascii="Times New Roman" w:hAnsi="Times New Roman" w:cs="Times New Roman"/>
          <w:color w:val="0070C0"/>
          <w:spacing w:val="0"/>
          <w:sz w:val="16"/>
          <w:szCs w:val="16"/>
        </w:rPr>
        <w:softHyphen/>
        <w:t>тельных моторов Райт-Циклон воздушного охлаждения и Испано-Сюиза водяного охлаж</w:t>
      </w:r>
      <w:r w:rsidRPr="00142305">
        <w:rPr>
          <w:rStyle w:val="aff"/>
          <w:rFonts w:ascii="Times New Roman" w:hAnsi="Times New Roman" w:cs="Times New Roman"/>
          <w:color w:val="0070C0"/>
          <w:spacing w:val="0"/>
          <w:sz w:val="16"/>
          <w:szCs w:val="16"/>
        </w:rPr>
        <w:softHyphen/>
        <w:t>дения (51519).</w:t>
      </w:r>
    </w:p>
    <w:p w14:paraId="64BEA573" w14:textId="77777777" w:rsidR="00125FE3" w:rsidRPr="00142305" w:rsidRDefault="00125FE3" w:rsidP="00125FE3">
      <w:pPr>
        <w:spacing w:after="0" w:line="240" w:lineRule="auto"/>
        <w:jc w:val="both"/>
        <w:rPr>
          <w:rFonts w:ascii="Times New Roman" w:hAnsi="Times New Roman"/>
          <w:color w:val="0070C0"/>
          <w:sz w:val="16"/>
          <w:szCs w:val="16"/>
        </w:rPr>
      </w:pPr>
    </w:p>
    <w:p w14:paraId="380F1E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вышло постановление СТО N 119сс/о "О плане заказов НКВМ на 1934 по вооружению и боевой технике":</w:t>
      </w:r>
    </w:p>
    <w:p w14:paraId="3720B2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"Ведомость заказа боевой техники на 1934 по основной номенклатуре: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78"/>
        <w:gridCol w:w="1878"/>
        <w:gridCol w:w="1878"/>
      </w:tblGrid>
      <w:tr w:rsidR="004E10C1" w:rsidRPr="0044524F" w14:paraId="07294575" w14:textId="77777777">
        <w:tc>
          <w:tcPr>
            <w:tcW w:w="1878" w:type="dxa"/>
          </w:tcPr>
          <w:p w14:paraId="7C5D35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1878" w:type="dxa"/>
          </w:tcPr>
          <w:p w14:paraId="1ED7C0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Заказ 1933</w:t>
            </w:r>
          </w:p>
        </w:tc>
        <w:tc>
          <w:tcPr>
            <w:tcW w:w="1878" w:type="dxa"/>
          </w:tcPr>
          <w:p w14:paraId="5607E0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Заказ 1934</w:t>
            </w:r>
          </w:p>
        </w:tc>
      </w:tr>
      <w:tr w:rsidR="004E10C1" w:rsidRPr="0044524F" w14:paraId="61046E6B" w14:textId="77777777">
        <w:tc>
          <w:tcPr>
            <w:tcW w:w="1878" w:type="dxa"/>
          </w:tcPr>
          <w:p w14:paraId="555A4A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По авиации</w:t>
            </w:r>
          </w:p>
        </w:tc>
        <w:tc>
          <w:tcPr>
            <w:tcW w:w="1878" w:type="dxa"/>
          </w:tcPr>
          <w:p w14:paraId="03F1CE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6E94E4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35C66B7" w14:textId="77777777">
        <w:tc>
          <w:tcPr>
            <w:tcW w:w="1878" w:type="dxa"/>
          </w:tcPr>
          <w:p w14:paraId="020CE7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4М-34Р</w:t>
            </w:r>
          </w:p>
        </w:tc>
        <w:tc>
          <w:tcPr>
            <w:tcW w:w="1878" w:type="dxa"/>
          </w:tcPr>
          <w:p w14:paraId="442175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1878" w:type="dxa"/>
          </w:tcPr>
          <w:p w14:paraId="52B5CB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w:t>
            </w:r>
          </w:p>
        </w:tc>
      </w:tr>
      <w:tr w:rsidR="004E10C1" w:rsidRPr="0044524F" w14:paraId="13FF7D3E" w14:textId="77777777">
        <w:tc>
          <w:tcPr>
            <w:tcW w:w="1878" w:type="dxa"/>
          </w:tcPr>
          <w:p w14:paraId="2ADD2F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4М-34РН</w:t>
            </w:r>
          </w:p>
        </w:tc>
        <w:tc>
          <w:tcPr>
            <w:tcW w:w="1878" w:type="dxa"/>
          </w:tcPr>
          <w:p w14:paraId="026F7F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0A705F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1AD24471" w14:textId="77777777">
        <w:tc>
          <w:tcPr>
            <w:tcW w:w="1878" w:type="dxa"/>
          </w:tcPr>
          <w:p w14:paraId="4B7479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ЛБ и Р Р-5 М-17</w:t>
            </w:r>
          </w:p>
        </w:tc>
        <w:tc>
          <w:tcPr>
            <w:tcW w:w="1878" w:type="dxa"/>
          </w:tcPr>
          <w:p w14:paraId="4E6E80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1878" w:type="dxa"/>
          </w:tcPr>
          <w:p w14:paraId="003F63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r>
      <w:tr w:rsidR="004E10C1" w:rsidRPr="0044524F" w14:paraId="7297AE0B" w14:textId="77777777">
        <w:tc>
          <w:tcPr>
            <w:tcW w:w="1878" w:type="dxa"/>
          </w:tcPr>
          <w:p w14:paraId="0F985C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 Р-5 М-17</w:t>
            </w:r>
          </w:p>
        </w:tc>
        <w:tc>
          <w:tcPr>
            <w:tcW w:w="1878" w:type="dxa"/>
          </w:tcPr>
          <w:p w14:paraId="630E2F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324741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3DAB5C86" w14:textId="77777777">
        <w:tc>
          <w:tcPr>
            <w:tcW w:w="1878" w:type="dxa"/>
          </w:tcPr>
          <w:p w14:paraId="3FFCD4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М-22</w:t>
            </w:r>
          </w:p>
        </w:tc>
        <w:tc>
          <w:tcPr>
            <w:tcW w:w="1878" w:type="dxa"/>
          </w:tcPr>
          <w:p w14:paraId="617BCF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1878" w:type="dxa"/>
          </w:tcPr>
          <w:p w14:paraId="65C124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r>
      <w:tr w:rsidR="004E10C1" w:rsidRPr="0044524F" w14:paraId="5F14FB12" w14:textId="77777777">
        <w:tc>
          <w:tcPr>
            <w:tcW w:w="1878" w:type="dxa"/>
          </w:tcPr>
          <w:p w14:paraId="72094F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 М-17</w:t>
            </w:r>
          </w:p>
        </w:tc>
        <w:tc>
          <w:tcPr>
            <w:tcW w:w="1878" w:type="dxa"/>
          </w:tcPr>
          <w:p w14:paraId="6A4764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FE6AA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r>
      <w:tr w:rsidR="004E10C1" w:rsidRPr="0044524F" w14:paraId="01C85039" w14:textId="77777777">
        <w:tc>
          <w:tcPr>
            <w:tcW w:w="1878" w:type="dxa"/>
          </w:tcPr>
          <w:p w14:paraId="42F0D4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 2М-17</w:t>
            </w:r>
          </w:p>
        </w:tc>
        <w:tc>
          <w:tcPr>
            <w:tcW w:w="1878" w:type="dxa"/>
          </w:tcPr>
          <w:p w14:paraId="2C115E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1878" w:type="dxa"/>
          </w:tcPr>
          <w:p w14:paraId="316B70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r>
      <w:tr w:rsidR="004E10C1" w:rsidRPr="0044524F" w14:paraId="4CEB6FD9" w14:textId="77777777">
        <w:tc>
          <w:tcPr>
            <w:tcW w:w="1878" w:type="dxa"/>
          </w:tcPr>
          <w:p w14:paraId="7CBA4D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 М-17</w:t>
            </w:r>
          </w:p>
        </w:tc>
        <w:tc>
          <w:tcPr>
            <w:tcW w:w="1878" w:type="dxa"/>
          </w:tcPr>
          <w:p w14:paraId="122DF4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080BEF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32062286" w14:textId="77777777">
        <w:tc>
          <w:tcPr>
            <w:tcW w:w="1878" w:type="dxa"/>
          </w:tcPr>
          <w:p w14:paraId="7F2EAB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Р-5а (морской)</w:t>
            </w:r>
          </w:p>
        </w:tc>
        <w:tc>
          <w:tcPr>
            <w:tcW w:w="1878" w:type="dxa"/>
          </w:tcPr>
          <w:p w14:paraId="3C6BB0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878" w:type="dxa"/>
          </w:tcPr>
          <w:p w14:paraId="0A5676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5C54BD21" w14:textId="77777777">
        <w:tc>
          <w:tcPr>
            <w:tcW w:w="1878" w:type="dxa"/>
          </w:tcPr>
          <w:p w14:paraId="306736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МБР-4</w:t>
            </w:r>
          </w:p>
        </w:tc>
        <w:tc>
          <w:tcPr>
            <w:tcW w:w="1878" w:type="dxa"/>
          </w:tcPr>
          <w:p w14:paraId="029E47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w:t>
            </w:r>
          </w:p>
        </w:tc>
        <w:tc>
          <w:tcPr>
            <w:tcW w:w="1878" w:type="dxa"/>
          </w:tcPr>
          <w:p w14:paraId="0D2194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738F071" w14:textId="77777777">
        <w:tc>
          <w:tcPr>
            <w:tcW w:w="1878" w:type="dxa"/>
          </w:tcPr>
          <w:p w14:paraId="39E885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Р-6а 2М-17</w:t>
            </w:r>
          </w:p>
        </w:tc>
        <w:tc>
          <w:tcPr>
            <w:tcW w:w="1878" w:type="dxa"/>
          </w:tcPr>
          <w:p w14:paraId="2868A1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50F7A3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r>
      <w:tr w:rsidR="004E10C1" w:rsidRPr="0044524F" w14:paraId="718E0062" w14:textId="77777777">
        <w:tc>
          <w:tcPr>
            <w:tcW w:w="1878" w:type="dxa"/>
          </w:tcPr>
          <w:p w14:paraId="6E6CEA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 М-22</w:t>
            </w:r>
          </w:p>
        </w:tc>
        <w:tc>
          <w:tcPr>
            <w:tcW w:w="1878" w:type="dxa"/>
          </w:tcPr>
          <w:p w14:paraId="63648D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239DA3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096DC8C6" w14:textId="77777777">
        <w:tc>
          <w:tcPr>
            <w:tcW w:w="1878" w:type="dxa"/>
          </w:tcPr>
          <w:p w14:paraId="6FB199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 М-11</w:t>
            </w:r>
          </w:p>
        </w:tc>
        <w:tc>
          <w:tcPr>
            <w:tcW w:w="1878" w:type="dxa"/>
          </w:tcPr>
          <w:p w14:paraId="0B6529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1878" w:type="dxa"/>
          </w:tcPr>
          <w:p w14:paraId="42F9EF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r>
      <w:tr w:rsidR="004E10C1" w:rsidRPr="0044524F" w14:paraId="4D3E970C" w14:textId="77777777">
        <w:tc>
          <w:tcPr>
            <w:tcW w:w="1878" w:type="dxa"/>
          </w:tcPr>
          <w:p w14:paraId="53BC1B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 М-11</w:t>
            </w:r>
          </w:p>
        </w:tc>
        <w:tc>
          <w:tcPr>
            <w:tcW w:w="1878" w:type="dxa"/>
          </w:tcPr>
          <w:p w14:paraId="72774F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878" w:type="dxa"/>
          </w:tcPr>
          <w:p w14:paraId="663D00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r>
      <w:tr w:rsidR="004E10C1" w:rsidRPr="0044524F" w14:paraId="35B29F92" w14:textId="77777777">
        <w:tc>
          <w:tcPr>
            <w:tcW w:w="1878" w:type="dxa"/>
          </w:tcPr>
          <w:p w14:paraId="753589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878" w:type="dxa"/>
          </w:tcPr>
          <w:p w14:paraId="21E3A5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3580</w:t>
            </w:r>
          </w:p>
        </w:tc>
        <w:tc>
          <w:tcPr>
            <w:tcW w:w="1878" w:type="dxa"/>
          </w:tcPr>
          <w:p w14:paraId="3541BB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3125</w:t>
            </w:r>
          </w:p>
        </w:tc>
      </w:tr>
      <w:tr w:rsidR="004E10C1" w:rsidRPr="0044524F" w14:paraId="7CC5671C" w14:textId="77777777">
        <w:tc>
          <w:tcPr>
            <w:tcW w:w="1878" w:type="dxa"/>
          </w:tcPr>
          <w:p w14:paraId="20A06B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Головные серии</w:t>
            </w:r>
          </w:p>
        </w:tc>
        <w:tc>
          <w:tcPr>
            <w:tcW w:w="1878" w:type="dxa"/>
          </w:tcPr>
          <w:p w14:paraId="4546D2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48FBBE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4A92EAB" w14:textId="77777777">
        <w:tc>
          <w:tcPr>
            <w:tcW w:w="1878" w:type="dxa"/>
          </w:tcPr>
          <w:p w14:paraId="3C11A5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8М-34РН</w:t>
            </w:r>
          </w:p>
        </w:tc>
        <w:tc>
          <w:tcPr>
            <w:tcW w:w="1878" w:type="dxa"/>
          </w:tcPr>
          <w:p w14:paraId="0C0B6F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878" w:type="dxa"/>
          </w:tcPr>
          <w:p w14:paraId="2DBD5D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02C6A3DA" w14:textId="77777777">
        <w:tc>
          <w:tcPr>
            <w:tcW w:w="1878" w:type="dxa"/>
          </w:tcPr>
          <w:p w14:paraId="797044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 М-34</w:t>
            </w:r>
          </w:p>
        </w:tc>
        <w:tc>
          <w:tcPr>
            <w:tcW w:w="1878" w:type="dxa"/>
          </w:tcPr>
          <w:p w14:paraId="630EBD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479A3A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69DF3755" w14:textId="77777777">
        <w:tc>
          <w:tcPr>
            <w:tcW w:w="1878" w:type="dxa"/>
          </w:tcPr>
          <w:p w14:paraId="198892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СКР М-22</w:t>
            </w:r>
          </w:p>
        </w:tc>
        <w:tc>
          <w:tcPr>
            <w:tcW w:w="1878" w:type="dxa"/>
          </w:tcPr>
          <w:p w14:paraId="27643E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4BCBF0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66450C2D" w14:textId="77777777">
        <w:tc>
          <w:tcPr>
            <w:tcW w:w="1878" w:type="dxa"/>
          </w:tcPr>
          <w:p w14:paraId="335AAC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 2М-22</w:t>
            </w:r>
          </w:p>
        </w:tc>
        <w:tc>
          <w:tcPr>
            <w:tcW w:w="1878" w:type="dxa"/>
          </w:tcPr>
          <w:p w14:paraId="389183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4172A5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6E12CC34" w14:textId="77777777">
        <w:tc>
          <w:tcPr>
            <w:tcW w:w="1878" w:type="dxa"/>
          </w:tcPr>
          <w:p w14:paraId="01F0F5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М-34</w:t>
            </w:r>
          </w:p>
        </w:tc>
        <w:tc>
          <w:tcPr>
            <w:tcW w:w="1878" w:type="dxa"/>
          </w:tcPr>
          <w:p w14:paraId="1416C4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486F3A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r>
      <w:tr w:rsidR="004E10C1" w:rsidRPr="0044524F" w14:paraId="45A03EBF" w14:textId="77777777">
        <w:tc>
          <w:tcPr>
            <w:tcW w:w="1878" w:type="dxa"/>
          </w:tcPr>
          <w:p w14:paraId="6230CB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 М-34</w:t>
            </w:r>
          </w:p>
        </w:tc>
        <w:tc>
          <w:tcPr>
            <w:tcW w:w="1878" w:type="dxa"/>
          </w:tcPr>
          <w:p w14:paraId="050244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431632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0DEF10AD" w14:textId="77777777">
        <w:tc>
          <w:tcPr>
            <w:tcW w:w="1878" w:type="dxa"/>
          </w:tcPr>
          <w:p w14:paraId="2F9408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 РЦ</w:t>
            </w:r>
          </w:p>
        </w:tc>
        <w:tc>
          <w:tcPr>
            <w:tcW w:w="1878" w:type="dxa"/>
          </w:tcPr>
          <w:p w14:paraId="5D14B5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7E90A3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r>
      <w:tr w:rsidR="004E10C1" w:rsidRPr="0044524F" w14:paraId="67AB68E8" w14:textId="77777777">
        <w:tc>
          <w:tcPr>
            <w:tcW w:w="1878" w:type="dxa"/>
          </w:tcPr>
          <w:p w14:paraId="275F7D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И-16 М-22</w:t>
            </w:r>
          </w:p>
        </w:tc>
        <w:tc>
          <w:tcPr>
            <w:tcW w:w="1878" w:type="dxa"/>
          </w:tcPr>
          <w:p w14:paraId="155EDB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7306D1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r>
      <w:tr w:rsidR="004E10C1" w:rsidRPr="0044524F" w14:paraId="17B4E3AF" w14:textId="77777777">
        <w:tc>
          <w:tcPr>
            <w:tcW w:w="1878" w:type="dxa"/>
          </w:tcPr>
          <w:p w14:paraId="35E478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РЦ</w:t>
            </w:r>
          </w:p>
        </w:tc>
        <w:tc>
          <w:tcPr>
            <w:tcW w:w="1878" w:type="dxa"/>
          </w:tcPr>
          <w:p w14:paraId="18EBE5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2CCB8B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r>
      <w:tr w:rsidR="004E10C1" w:rsidRPr="0044524F" w14:paraId="52A0F02F" w14:textId="77777777">
        <w:tc>
          <w:tcPr>
            <w:tcW w:w="1878" w:type="dxa"/>
          </w:tcPr>
          <w:p w14:paraId="118F6D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Изет М-22</w:t>
            </w:r>
          </w:p>
        </w:tc>
        <w:tc>
          <w:tcPr>
            <w:tcW w:w="1878" w:type="dxa"/>
          </w:tcPr>
          <w:p w14:paraId="465708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13FC56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556C8B3F" w14:textId="77777777">
        <w:tc>
          <w:tcPr>
            <w:tcW w:w="1878" w:type="dxa"/>
          </w:tcPr>
          <w:p w14:paraId="032B2C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2М-34</w:t>
            </w:r>
          </w:p>
        </w:tc>
        <w:tc>
          <w:tcPr>
            <w:tcW w:w="1878" w:type="dxa"/>
          </w:tcPr>
          <w:p w14:paraId="2A5A7D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1878" w:type="dxa"/>
          </w:tcPr>
          <w:p w14:paraId="6C9970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747524C9" w14:textId="77777777">
        <w:tc>
          <w:tcPr>
            <w:tcW w:w="1878" w:type="dxa"/>
          </w:tcPr>
          <w:p w14:paraId="4026D8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 3М-34</w:t>
            </w:r>
          </w:p>
        </w:tc>
        <w:tc>
          <w:tcPr>
            <w:tcW w:w="1878" w:type="dxa"/>
          </w:tcPr>
          <w:p w14:paraId="2D549C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78" w:type="dxa"/>
          </w:tcPr>
          <w:p w14:paraId="21FFFC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4EE4A22D" w14:textId="77777777">
        <w:tc>
          <w:tcPr>
            <w:tcW w:w="1878" w:type="dxa"/>
          </w:tcPr>
          <w:p w14:paraId="4D1117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 6М-34</w:t>
            </w:r>
          </w:p>
        </w:tc>
        <w:tc>
          <w:tcPr>
            <w:tcW w:w="1878" w:type="dxa"/>
          </w:tcPr>
          <w:p w14:paraId="23B993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78" w:type="dxa"/>
          </w:tcPr>
          <w:p w14:paraId="215EDA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20F570FE" w14:textId="77777777">
        <w:tc>
          <w:tcPr>
            <w:tcW w:w="1878" w:type="dxa"/>
          </w:tcPr>
          <w:p w14:paraId="342E6A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878" w:type="dxa"/>
          </w:tcPr>
          <w:p w14:paraId="73ABDA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1878" w:type="dxa"/>
          </w:tcPr>
          <w:p w14:paraId="22FB62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420</w:t>
            </w:r>
          </w:p>
        </w:tc>
      </w:tr>
      <w:tr w:rsidR="004E10C1" w:rsidRPr="0044524F" w14:paraId="6CB0DA4F" w14:textId="77777777">
        <w:tc>
          <w:tcPr>
            <w:tcW w:w="1878" w:type="dxa"/>
          </w:tcPr>
          <w:p w14:paraId="02FC93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878" w:type="dxa"/>
          </w:tcPr>
          <w:p w14:paraId="2EA5C8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3615</w:t>
            </w:r>
          </w:p>
        </w:tc>
        <w:tc>
          <w:tcPr>
            <w:tcW w:w="1878" w:type="dxa"/>
          </w:tcPr>
          <w:p w14:paraId="28FF7E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3545</w:t>
            </w:r>
          </w:p>
        </w:tc>
      </w:tr>
      <w:tr w:rsidR="004E10C1" w:rsidRPr="0044524F" w14:paraId="5C2EA31B" w14:textId="77777777">
        <w:tc>
          <w:tcPr>
            <w:tcW w:w="1878" w:type="dxa"/>
          </w:tcPr>
          <w:p w14:paraId="57B406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878" w:type="dxa"/>
          </w:tcPr>
          <w:p w14:paraId="30649C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3300</w:t>
            </w:r>
          </w:p>
        </w:tc>
        <w:tc>
          <w:tcPr>
            <w:tcW w:w="1878" w:type="dxa"/>
          </w:tcPr>
          <w:p w14:paraId="1EC3E4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r>
      <w:tr w:rsidR="004E10C1" w:rsidRPr="0044524F" w14:paraId="0FF3FA21" w14:textId="77777777">
        <w:tc>
          <w:tcPr>
            <w:tcW w:w="1878" w:type="dxa"/>
          </w:tcPr>
          <w:p w14:paraId="043439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1878" w:type="dxa"/>
          </w:tcPr>
          <w:p w14:paraId="629FCB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770</w:t>
            </w:r>
          </w:p>
        </w:tc>
        <w:tc>
          <w:tcPr>
            <w:tcW w:w="1878" w:type="dxa"/>
          </w:tcPr>
          <w:p w14:paraId="274B54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1114</w:t>
            </w:r>
          </w:p>
        </w:tc>
      </w:tr>
      <w:tr w:rsidR="004E10C1" w:rsidRPr="0044524F" w14:paraId="54FEDDF5" w14:textId="77777777">
        <w:tc>
          <w:tcPr>
            <w:tcW w:w="1878" w:type="dxa"/>
          </w:tcPr>
          <w:p w14:paraId="1DCF6D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М-22</w:t>
            </w:r>
          </w:p>
        </w:tc>
        <w:tc>
          <w:tcPr>
            <w:tcW w:w="1878" w:type="dxa"/>
          </w:tcPr>
          <w:p w14:paraId="39A893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w:t>
            </w:r>
          </w:p>
        </w:tc>
        <w:tc>
          <w:tcPr>
            <w:tcW w:w="1878" w:type="dxa"/>
          </w:tcPr>
          <w:p w14:paraId="132030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961</w:t>
            </w:r>
          </w:p>
        </w:tc>
      </w:tr>
      <w:tr w:rsidR="004E10C1" w:rsidRPr="0044524F" w14:paraId="1D2DDC66" w14:textId="77777777">
        <w:tc>
          <w:tcPr>
            <w:tcW w:w="1878" w:type="dxa"/>
          </w:tcPr>
          <w:p w14:paraId="5095D3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М-11</w:t>
            </w:r>
          </w:p>
        </w:tc>
        <w:tc>
          <w:tcPr>
            <w:tcW w:w="1878" w:type="dxa"/>
          </w:tcPr>
          <w:p w14:paraId="1EEA2F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1190</w:t>
            </w:r>
          </w:p>
        </w:tc>
        <w:tc>
          <w:tcPr>
            <w:tcW w:w="1878" w:type="dxa"/>
          </w:tcPr>
          <w:p w14:paraId="19318E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1525</w:t>
            </w:r>
          </w:p>
        </w:tc>
      </w:tr>
      <w:tr w:rsidR="004E10C1" w:rsidRPr="0044524F" w14:paraId="787EFD5A" w14:textId="77777777">
        <w:tc>
          <w:tcPr>
            <w:tcW w:w="1878" w:type="dxa"/>
          </w:tcPr>
          <w:p w14:paraId="036CEB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878" w:type="dxa"/>
          </w:tcPr>
          <w:p w14:paraId="048616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5710</w:t>
            </w:r>
          </w:p>
        </w:tc>
        <w:tc>
          <w:tcPr>
            <w:tcW w:w="1878" w:type="dxa"/>
          </w:tcPr>
          <w:p w14:paraId="271C01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7600</w:t>
            </w:r>
          </w:p>
        </w:tc>
      </w:tr>
    </w:tbl>
    <w:p w14:paraId="3ACA4F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(2282,72).</w:t>
      </w:r>
    </w:p>
    <w:p w14:paraId="7E5E40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7A8E929" w14:textId="77777777" w:rsidR="007C27C6" w:rsidRPr="0044524F" w:rsidRDefault="007C2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 вышло постановление СТО №119сс/о «О плане заказов НКВМ на 1934 г. по вооружению и боевой технике», которым среди прочего определен заказ на этот год 250 самолетов И-7 (24331).</w:t>
      </w:r>
    </w:p>
    <w:p w14:paraId="2605D018" w14:textId="77777777" w:rsidR="007C27C6" w:rsidRPr="0044524F" w:rsidRDefault="007C27C6" w:rsidP="009654CF">
      <w:pPr>
        <w:spacing w:after="0" w:line="240" w:lineRule="auto"/>
        <w:jc w:val="both"/>
        <w:rPr>
          <w:rFonts w:ascii="Times New Roman" w:hAnsi="Times New Roman"/>
          <w:color w:val="000000" w:themeColor="text1"/>
          <w:sz w:val="16"/>
          <w:szCs w:val="16"/>
        </w:rPr>
      </w:pPr>
    </w:p>
    <w:p w14:paraId="00E842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вышло постановление СТО "О производстве морской и истребительной авиации на заводе 125" (2290,64).</w:t>
      </w:r>
    </w:p>
    <w:p w14:paraId="6952B0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4558D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года решением КО рассмотрение предложений по гидроавиации (предложения по постановке производства гидросамолетов МК и о развертывании производства всех гидросамолетов, были включены в повестку КО), было отложено и (4188).</w:t>
      </w:r>
    </w:p>
    <w:p w14:paraId="011021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2E9E0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года КО своим постановлением № 119/сс обязывает НКТяжпром в 1934 году поставить НКВМору 195 ТБ-3, из коих 95 под М-34 с редуктором (до постановки производства нагнетателей), а остальные 100 ТБ-3 и с редуктором и с нагнетателем (4267,15-17).</w:t>
      </w:r>
    </w:p>
    <w:p w14:paraId="414D5D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0062A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 вышло постановление Совета труда и обороны, в котором говорилось о 150 готовых моторах, 100 комплектах деталей и приобретении наиболее сложных в изготовлении деталей еще на 100 двигателей — все на общую сумму 4 350 000 рублей. В конце декабря 1933 г. первый «Циклон» отправили в СССР. Примерно в это же время конструкторы фирмы «Райт» подготовили чертежи метрического варианта мотора, построили опытный образец и в январе 1934 г. поставили его на стенд. В апреле он завершил 100-часовые испытания в США. Для освоения производства американских моторов выделили новый за</w:t>
      </w:r>
      <w:r w:rsidRPr="0044524F">
        <w:rPr>
          <w:rFonts w:ascii="Times New Roman" w:hAnsi="Times New Roman"/>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17903C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3685E1B" w14:textId="77777777" w:rsidR="0015074C" w:rsidRPr="0044524F" w:rsidRDefault="0015074C"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rPr>
        <w:t>28 ноября 1933 г. в постановлении Совета труда и обороны от говорилось о закупке в США 150 готовых моторов, 100 комплектов деталей (метрических) и о приобретении наиболее сложных в изготовлении деталей еще на 100 двигателей всё на общую сумму 4350000 рублей. В конце декабря 1933 г. первый "Циклон" отправили в СССР. В январе 1934 г. фирма построила первый метрический мотор и установила его на стенд. В апреле он завершил 100-часовые испытания в США. По указанию Правительства в двух километрах от южной окраины г. Перми было начато строительство одного из самых мощных в те годы авиамоторных заводов №19. Завод получил самое совершенное и высокопроизводительное оборудование. Постановление Совета труда и обороны от 15 декабря 1933 г. предписывало предприятию к концу 1934 г. собрать первые 50 моторов из закупленных деталей. В марте 1934 г. на заводе был образован конструкторский отдел. Главным конструктором назначили А.Д. Швецова.</w:t>
      </w:r>
    </w:p>
    <w:p w14:paraId="25EEECA1" w14:textId="77777777" w:rsidR="0015074C" w:rsidRPr="0044524F" w:rsidRDefault="001507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Директором предприятия стал И.И. Побережский (19534).</w:t>
      </w:r>
    </w:p>
    <w:p w14:paraId="59F8A684" w14:textId="77777777" w:rsidR="0015074C" w:rsidRPr="0044524F" w:rsidRDefault="0015074C" w:rsidP="009654CF">
      <w:pPr>
        <w:spacing w:after="0" w:line="240" w:lineRule="auto"/>
        <w:jc w:val="both"/>
        <w:rPr>
          <w:rFonts w:ascii="Times New Roman" w:hAnsi="Times New Roman"/>
          <w:color w:val="000000" w:themeColor="text1"/>
          <w:sz w:val="16"/>
          <w:szCs w:val="16"/>
        </w:rPr>
      </w:pPr>
    </w:p>
    <w:p w14:paraId="0A7A40DB" w14:textId="77777777" w:rsidR="007C27C6" w:rsidRPr="0044524F" w:rsidRDefault="007C2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 в поста</w:t>
      </w:r>
      <w:r w:rsidRPr="0044524F">
        <w:rPr>
          <w:rFonts w:ascii="Times New Roman" w:hAnsi="Times New Roman"/>
          <w:color w:val="000000" w:themeColor="text1"/>
          <w:sz w:val="16"/>
          <w:szCs w:val="16"/>
        </w:rPr>
        <w:softHyphen/>
        <w:t>новлении Совета Труда и Обороны №118сс говорилось о закупке 150 готовых моторов Райт, 100 комплектов деталей (метрических) для запуска производства и о приобретении наиболее сложных в изготовлении деталей еще на 100 двигателей - всего на общую сумму 4350000 рублей. В январе 1934 г. фирма построила первый метрический мотор и установила его на стенд. В апреле он завершил 100-часовые испытания в США.</w:t>
      </w:r>
    </w:p>
    <w:p w14:paraId="0F16C4AA" w14:textId="77777777" w:rsidR="007C27C6" w:rsidRPr="0044524F" w:rsidRDefault="007C2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Фирма по соглашению поставляла в СССР документацию, все необходи</w:t>
      </w:r>
      <w:r w:rsidRPr="0044524F">
        <w:rPr>
          <w:rFonts w:ascii="Times New Roman" w:hAnsi="Times New Roman"/>
          <w:color w:val="000000" w:themeColor="text1"/>
          <w:sz w:val="16"/>
          <w:szCs w:val="16"/>
        </w:rPr>
        <w:softHyphen/>
        <w:t>мое станочное оборудование, приспо</w:t>
      </w:r>
      <w:r w:rsidRPr="0044524F">
        <w:rPr>
          <w:rFonts w:ascii="Times New Roman" w:hAnsi="Times New Roman"/>
          <w:color w:val="000000" w:themeColor="text1"/>
          <w:sz w:val="16"/>
          <w:szCs w:val="16"/>
        </w:rPr>
        <w:softHyphen/>
        <w:t>собления и технологии, необходимые для оснащения авиамоторного завода. По указанию Правительства в двух ки</w:t>
      </w:r>
      <w:r w:rsidRPr="0044524F">
        <w:rPr>
          <w:rFonts w:ascii="Times New Roman" w:hAnsi="Times New Roman"/>
          <w:color w:val="000000" w:themeColor="text1"/>
          <w:sz w:val="16"/>
          <w:szCs w:val="16"/>
        </w:rPr>
        <w:softHyphen/>
        <w:t>лометрах от южной окраины г. Перми было начато строительство одного из самых мощных в те годы авиационных предприятий - завода №19.</w:t>
      </w:r>
    </w:p>
    <w:p w14:paraId="77835C96" w14:textId="77777777" w:rsidR="007C27C6" w:rsidRPr="0044524F" w:rsidRDefault="007C2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Райт «Циклон» SGR-1820 F-3 в СССР получил новое обозна</w:t>
      </w:r>
      <w:r w:rsidRPr="0044524F">
        <w:rPr>
          <w:rFonts w:ascii="Times New Roman" w:hAnsi="Times New Roman"/>
          <w:color w:val="000000" w:themeColor="text1"/>
          <w:sz w:val="16"/>
          <w:szCs w:val="16"/>
        </w:rPr>
        <w:softHyphen/>
        <w:t>чение - М-25 (23455).</w:t>
      </w:r>
    </w:p>
    <w:p w14:paraId="0583D47E" w14:textId="77777777" w:rsidR="007C27C6" w:rsidRPr="0044524F" w:rsidRDefault="007C27C6" w:rsidP="009654CF">
      <w:pPr>
        <w:spacing w:after="0" w:line="240" w:lineRule="auto"/>
        <w:jc w:val="both"/>
        <w:rPr>
          <w:rFonts w:ascii="Times New Roman" w:hAnsi="Times New Roman"/>
          <w:color w:val="000000" w:themeColor="text1"/>
          <w:sz w:val="16"/>
          <w:szCs w:val="16"/>
        </w:rPr>
      </w:pPr>
    </w:p>
    <w:p w14:paraId="67584F72" w14:textId="77777777" w:rsidR="0077410B" w:rsidRPr="0044524F" w:rsidRDefault="0077410B" w:rsidP="0077410B">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28 ноября 1933 г. в постановлении СТО от говорится о 150 двигателях, 100 полных комплектах и деталях ещё на 100 моторов Райт Р-1820 «Циклон» (12261).</w:t>
      </w:r>
    </w:p>
    <w:p w14:paraId="41ECC5FE" w14:textId="77777777" w:rsidR="0077410B" w:rsidRPr="0044524F" w:rsidRDefault="0077410B" w:rsidP="0077410B">
      <w:pPr>
        <w:spacing w:after="0" w:line="240" w:lineRule="auto"/>
        <w:jc w:val="both"/>
        <w:rPr>
          <w:rFonts w:ascii="Times New Roman" w:hAnsi="Times New Roman"/>
          <w:color w:val="000000" w:themeColor="text1"/>
          <w:sz w:val="16"/>
          <w:szCs w:val="16"/>
        </w:rPr>
      </w:pPr>
    </w:p>
    <w:p w14:paraId="33748B99" w14:textId="77777777" w:rsidR="0077410B" w:rsidRPr="00142305" w:rsidRDefault="0077410B" w:rsidP="0077410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28 ноября 1933 г. постановлением СТО от предусматривалась закупка 150 готовых моторов</w:t>
      </w:r>
      <w:r w:rsidRPr="00142305">
        <w:rPr>
          <w:rStyle w:val="30"/>
          <w:rFonts w:ascii="Times New Roman" w:eastAsia="Calibri" w:hAnsi="Times New Roman"/>
          <w:color w:val="0070C0"/>
          <w:sz w:val="16"/>
          <w:szCs w:val="16"/>
        </w:rPr>
        <w:t xml:space="preserve"> </w:t>
      </w:r>
      <w:r w:rsidRPr="00142305">
        <w:rPr>
          <w:rStyle w:val="aff"/>
          <w:rFonts w:ascii="Times New Roman" w:hAnsi="Times New Roman" w:cs="Times New Roman"/>
          <w:color w:val="0070C0"/>
          <w:spacing w:val="0"/>
          <w:sz w:val="16"/>
          <w:szCs w:val="16"/>
          <w:lang w:val="en-US"/>
        </w:rPr>
        <w:t>Wright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Cyclone</w:t>
      </w:r>
      <w:r w:rsidRPr="00142305">
        <w:rPr>
          <w:rStyle w:val="aff"/>
          <w:rFonts w:ascii="Times New Roman" w:hAnsi="Times New Roman" w:cs="Times New Roman"/>
          <w:color w:val="0070C0"/>
          <w:spacing w:val="0"/>
          <w:sz w:val="16"/>
          <w:szCs w:val="16"/>
        </w:rPr>
        <w:t>-9 R-1820-F3, 100 комплектов деталей и приобретение наиболее сложных в изготовлении деталей еще на 100 двигателей – все на общую сумму 4 350 000 рублей (25145).</w:t>
      </w:r>
    </w:p>
    <w:p w14:paraId="191C3CC2" w14:textId="77777777" w:rsidR="0077410B" w:rsidRPr="00142305" w:rsidRDefault="0077410B" w:rsidP="0077410B">
      <w:pPr>
        <w:spacing w:after="0" w:line="240" w:lineRule="auto"/>
        <w:jc w:val="both"/>
        <w:rPr>
          <w:rFonts w:ascii="Times New Roman" w:hAnsi="Times New Roman"/>
          <w:color w:val="0070C0"/>
          <w:sz w:val="16"/>
          <w:szCs w:val="16"/>
        </w:rPr>
      </w:pPr>
    </w:p>
    <w:p w14:paraId="3319017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Совет труда и обороны предписал купить 30 готовых двигателей Испано, 50 в виде комплектов деталей и агрегатов и еще на 50 моторов приобрести наиболее сложные в произ</w:t>
      </w:r>
      <w:r w:rsidRPr="0044524F">
        <w:rPr>
          <w:rFonts w:ascii="Times New Roman" w:hAnsi="Times New Roman"/>
          <w:color w:val="000000" w:themeColor="text1"/>
          <w:sz w:val="16"/>
          <w:szCs w:val="16"/>
        </w:rPr>
        <w:softHyphen/>
        <w:t>водстве части. На все это выделили 1 млн 650 тыс. рублей. 15 декабря Комитет обороны потребовал ускорить переговоры, ссылаясь на срочную нужду в современных двигателях, особенно для истребителей. Во Францию командировали комиссию, председателем которой назначили В.Я. Климова. Члены комиссии изучили двигатель и потребовали от фирмы подтвердить заявленные характеристики длительными 100-часовыми испыта</w:t>
      </w:r>
      <w:r w:rsidRPr="0044524F">
        <w:rPr>
          <w:rFonts w:ascii="Times New Roman" w:hAnsi="Times New Roman"/>
          <w:color w:val="000000" w:themeColor="text1"/>
          <w:sz w:val="16"/>
          <w:szCs w:val="16"/>
        </w:rPr>
        <w:softHyphen/>
        <w:t>ниями. Представители «Испано-Сюизы» согласились на это неохотно. Они вы</w:t>
      </w:r>
      <w:r w:rsidRPr="0044524F">
        <w:rPr>
          <w:rFonts w:ascii="Times New Roman" w:hAnsi="Times New Roman"/>
          <w:color w:val="000000" w:themeColor="text1"/>
          <w:sz w:val="16"/>
          <w:szCs w:val="16"/>
        </w:rPr>
        <w:softHyphen/>
        <w:t>брали один двигатель типа 12УЬгз из партии в 20 моторов, изготовленных в соответствии с требованиями французских ВВС. Испытания начались в январе 1934 г.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44524F">
        <w:rPr>
          <w:rFonts w:ascii="Times New Roman" w:hAnsi="Times New Roman"/>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44524F">
        <w:rPr>
          <w:rFonts w:ascii="Times New Roman" w:hAnsi="Times New Roman"/>
          <w:color w:val="000000" w:themeColor="text1"/>
          <w:sz w:val="16"/>
          <w:szCs w:val="16"/>
        </w:rPr>
        <w:softHyphen/>
        <w:t>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44524F">
        <w:rPr>
          <w:rFonts w:ascii="Times New Roman" w:hAnsi="Times New Roman"/>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44524F">
        <w:rPr>
          <w:rFonts w:ascii="Times New Roman" w:hAnsi="Times New Roman"/>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44524F">
        <w:rPr>
          <w:rFonts w:ascii="Times New Roman" w:hAnsi="Times New Roman"/>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44524F">
        <w:rPr>
          <w:rFonts w:ascii="Times New Roman" w:hAnsi="Times New Roman"/>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44524F">
        <w:rPr>
          <w:rFonts w:ascii="Times New Roman" w:hAnsi="Times New Roman"/>
          <w:color w:val="000000" w:themeColor="text1"/>
          <w:sz w:val="16"/>
          <w:szCs w:val="16"/>
        </w:rPr>
        <w:softHyphen/>
        <w:t>гатели М-17. По первоначальным планам завод № 26 должен был перей</w:t>
      </w:r>
      <w:r w:rsidRPr="0044524F">
        <w:rPr>
          <w:rFonts w:ascii="Times New Roman" w:hAnsi="Times New Roman"/>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44524F">
        <w:rPr>
          <w:rFonts w:ascii="Times New Roman" w:hAnsi="Times New Roman"/>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44524F">
        <w:rPr>
          <w:rFonts w:ascii="Times New Roman" w:hAnsi="Times New Roman"/>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44524F">
        <w:rPr>
          <w:rFonts w:ascii="Times New Roman" w:hAnsi="Times New Roman"/>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44524F">
        <w:rPr>
          <w:rFonts w:ascii="Times New Roman" w:hAnsi="Times New Roman"/>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44524F">
        <w:rPr>
          <w:rFonts w:ascii="Times New Roman" w:hAnsi="Times New Roman"/>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44524F">
        <w:rPr>
          <w:rFonts w:ascii="Times New Roman" w:hAnsi="Times New Roman"/>
          <w:color w:val="000000" w:themeColor="text1"/>
          <w:sz w:val="16"/>
          <w:szCs w:val="16"/>
        </w:rPr>
        <w:softHyphen/>
        <w:t>мов лишь незначительно усовершенство</w:t>
      </w:r>
      <w:r w:rsidRPr="0044524F">
        <w:rPr>
          <w:rFonts w:ascii="Times New Roman" w:hAnsi="Times New Roman"/>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44524F">
        <w:rPr>
          <w:rFonts w:ascii="Times New Roman" w:hAnsi="Times New Roman"/>
          <w:color w:val="000000" w:themeColor="text1"/>
          <w:sz w:val="16"/>
          <w:szCs w:val="16"/>
        </w:rPr>
        <w:softHyphen/>
        <w:t>ной. В ней появлялись и тупиковые вет</w:t>
      </w:r>
      <w:r w:rsidRPr="0044524F">
        <w:rPr>
          <w:rFonts w:ascii="Times New Roman" w:hAnsi="Times New Roman"/>
          <w:color w:val="000000" w:themeColor="text1"/>
          <w:sz w:val="16"/>
          <w:szCs w:val="16"/>
        </w:rPr>
        <w:softHyphen/>
        <w:t>ви, не приведшие к внедрению отдель</w:t>
      </w:r>
      <w:r w:rsidRPr="0044524F">
        <w:rPr>
          <w:rFonts w:ascii="Times New Roman" w:hAnsi="Times New Roman"/>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44524F">
        <w:rPr>
          <w:rFonts w:ascii="Times New Roman" w:hAnsi="Times New Roman"/>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44524F">
        <w:rPr>
          <w:rFonts w:ascii="Times New Roman" w:hAnsi="Times New Roman"/>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44524F">
        <w:rPr>
          <w:rFonts w:ascii="Times New Roman" w:hAnsi="Times New Roman"/>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44524F">
        <w:rPr>
          <w:rFonts w:ascii="Times New Roman" w:hAnsi="Times New Roman"/>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44524F">
        <w:rPr>
          <w:rFonts w:ascii="Times New Roman" w:hAnsi="Times New Roman"/>
          <w:color w:val="000000" w:themeColor="text1"/>
          <w:sz w:val="16"/>
          <w:szCs w:val="16"/>
        </w:rPr>
        <w:softHyphen/>
        <w:t>рения личными инициалами. Теперь наименования моторов этого кон</w:t>
      </w:r>
      <w:r w:rsidRPr="0044524F">
        <w:rPr>
          <w:rFonts w:ascii="Times New Roman" w:hAnsi="Times New Roman"/>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44524F">
        <w:rPr>
          <w:rFonts w:ascii="Times New Roman" w:hAnsi="Times New Roman"/>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44524F">
        <w:rPr>
          <w:rFonts w:ascii="Times New Roman" w:hAnsi="Times New Roman"/>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44524F">
        <w:rPr>
          <w:rFonts w:ascii="Times New Roman" w:hAnsi="Times New Roman"/>
          <w:color w:val="000000" w:themeColor="text1"/>
          <w:sz w:val="16"/>
          <w:szCs w:val="16"/>
        </w:rPr>
        <w:softHyphen/>
        <w:t>вольно больших количествах и устанавливался 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615A71E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B14EF2" w14:textId="77777777" w:rsidR="0077410B" w:rsidRPr="00142305" w:rsidRDefault="0077410B" w:rsidP="0077410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28 ноября 1933 из Москвы поступило уточняющее распоряжение: приобрести 30 готовых моторов «Испано-Сюиза», 50 в виде комплектов деталей и наиболее сложные и трудоемкие детали еще на 50 двигателей. На все это выделялось 1,65 млн рублей в твердой валюте. В соответствии с рекламным буклетом фирмы, максимальная мощность двигателя была определена равной 860 л.с.</w:t>
      </w:r>
    </w:p>
    <w:p w14:paraId="432E62D2" w14:textId="77777777" w:rsidR="0077410B" w:rsidRPr="00142305" w:rsidRDefault="0077410B" w:rsidP="0077410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Переговоры проходили непросто. Советская делегация потребовала проведения предварительных 100-часовых испытаний по весьма жесткой программе.</w:t>
      </w:r>
    </w:p>
    <w:p w14:paraId="6591E203" w14:textId="77777777" w:rsidR="0077410B" w:rsidRPr="00142305" w:rsidRDefault="0077410B" w:rsidP="0077410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Представители фирмы заявили, что серийный мотор испытаний в назначенных условиях не выдержит, и предложили поставить на стенд усовершенство</w:t>
      </w:r>
      <w:r w:rsidRPr="00142305">
        <w:rPr>
          <w:rStyle w:val="aff"/>
          <w:rFonts w:ascii="Times New Roman" w:hAnsi="Times New Roman" w:cs="Times New Roman"/>
          <w:color w:val="0070C0"/>
          <w:spacing w:val="0"/>
          <w:sz w:val="16"/>
          <w:szCs w:val="16"/>
        </w:rPr>
        <w:softHyphen/>
        <w:t>ванную опытную модель. Советская комиссия согла</w:t>
      </w:r>
      <w:r w:rsidRPr="00142305">
        <w:rPr>
          <w:rStyle w:val="aff"/>
          <w:rFonts w:ascii="Times New Roman" w:hAnsi="Times New Roman" w:cs="Times New Roman"/>
          <w:color w:val="0070C0"/>
          <w:spacing w:val="0"/>
          <w:sz w:val="16"/>
          <w:szCs w:val="16"/>
        </w:rPr>
        <w:softHyphen/>
        <w:t>силась. Планировалось завершить испытания к 29 января 1934 г., однако постоянные поломки мотора заставили сомневаться в целесообразности заклю</w:t>
      </w:r>
      <w:r w:rsidRPr="00142305">
        <w:rPr>
          <w:rStyle w:val="aff"/>
          <w:rFonts w:ascii="Times New Roman" w:hAnsi="Times New Roman" w:cs="Times New Roman"/>
          <w:color w:val="0070C0"/>
          <w:spacing w:val="0"/>
          <w:sz w:val="16"/>
          <w:szCs w:val="16"/>
        </w:rPr>
        <w:softHyphen/>
        <w:t>чения договора.</w:t>
      </w:r>
    </w:p>
    <w:p w14:paraId="2898711F" w14:textId="77777777" w:rsidR="0077410B" w:rsidRPr="00142305" w:rsidRDefault="0077410B" w:rsidP="0077410B">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 все же руководство советских ВВС во главе с Я.И. Алкснисом было убеждено в преимуществах мотора «Испано-Сюиза» и потребовало подписания лицензионного соглашения еще до завершения испытаний. Военинженер М.И. Левин, входивший в состав делегации, предложил компромиссное решение, устроившее всех. Советская сторона согла</w:t>
      </w:r>
      <w:r w:rsidRPr="00142305">
        <w:rPr>
          <w:rFonts w:ascii="Times New Roman" w:hAnsi="Times New Roman"/>
          <w:color w:val="0070C0"/>
          <w:sz w:val="16"/>
          <w:szCs w:val="16"/>
        </w:rPr>
        <w:softHyphen/>
        <w:t>шалась временно принять документацию на серийный мотор типа 12Ybrs, который на испытаниях удовлетво</w:t>
      </w:r>
      <w:r w:rsidRPr="00142305">
        <w:rPr>
          <w:rFonts w:ascii="Times New Roman" w:hAnsi="Times New Roman"/>
          <w:color w:val="0070C0"/>
          <w:sz w:val="16"/>
          <w:szCs w:val="16"/>
        </w:rPr>
        <w:softHyphen/>
        <w:t xml:space="preserve">рительно поддерживал мощность 750 л.с. На базе этой документации развертывалось производство в СССР. В дальнейшем «Испано-Сюиза» обязывалась довести </w:t>
      </w:r>
      <w:r w:rsidRPr="00142305">
        <w:rPr>
          <w:rStyle w:val="aff"/>
          <w:rFonts w:ascii="Times New Roman" w:hAnsi="Times New Roman" w:cs="Times New Roman"/>
          <w:color w:val="0070C0"/>
          <w:spacing w:val="0"/>
          <w:sz w:val="16"/>
          <w:szCs w:val="16"/>
        </w:rPr>
        <w:t>усовершенствованную модель мощностью 860 л.с., испытать ее в присутствии комиссии заказчика и отправить в Москву дополнительные чертежи для внедрения в серию (25145).</w:t>
      </w:r>
    </w:p>
    <w:p w14:paraId="7B38788B" w14:textId="77777777" w:rsidR="0077410B" w:rsidRPr="00142305" w:rsidRDefault="0077410B" w:rsidP="0077410B">
      <w:pPr>
        <w:spacing w:after="0" w:line="240" w:lineRule="auto"/>
        <w:jc w:val="both"/>
        <w:rPr>
          <w:rFonts w:ascii="Times New Roman" w:hAnsi="Times New Roman"/>
          <w:color w:val="0070C0"/>
          <w:sz w:val="16"/>
          <w:szCs w:val="16"/>
        </w:rPr>
      </w:pPr>
    </w:p>
    <w:p w14:paraId="63514B82" w14:textId="77777777" w:rsidR="004345CC" w:rsidRPr="0044524F" w:rsidRDefault="004345C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28 ноября 1933 г. </w:t>
      </w:r>
      <w:r w:rsidRPr="0044524F">
        <w:rPr>
          <w:rStyle w:val="a7"/>
          <w:rFonts w:ascii="Times New Roman" w:hAnsi="Times New Roman"/>
          <w:b w:val="0"/>
          <w:bCs w:val="0"/>
          <w:color w:val="000000" w:themeColor="text1"/>
          <w:sz w:val="16"/>
          <w:szCs w:val="16"/>
        </w:rPr>
        <w:t>Приказ Наркомтяжпрома № 1011 об освоении производства полуосей и осевых труб для авиационной промышленности из мартеновской хромомолибденосой стали</w:t>
      </w:r>
    </w:p>
    <w:p w14:paraId="40CAB5DC"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Осевые трубы к легким самолетам и гнутые полуоси к тяжелым изготовлялись из хромоникелевой стали исключительно в Швеции, которая по очень высокой цене поставляла их нам.</w:t>
      </w:r>
    </w:p>
    <w:p w14:paraId="3BAF8786"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настоянию авиационной промышленности завод им. Ленина совместно с заводом им. К. Либкнехта в 1932 г. приступили к освоению производства полуосей и осевых труб из мартеновской хромомолибденовой стали.</w:t>
      </w:r>
    </w:p>
    <w:p w14:paraId="57EEE7E9"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Особую сложность и трудность освоения представляло производство полуосей для тяжелых самолетов. В связи с использованием к концу первого полугодия 1933 г. запаса импортных полуосей коллегией НКТП было твердо предложено тресту «Трубосталь» и заводам им. Ленина и им. К. Либкнехта начать поставку ГУАПу полуосей с июля с.г.</w:t>
      </w:r>
    </w:p>
    <w:p w14:paraId="0343B362"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непосредственным руководством треста «Трубосталь» (тов. Рогачевского) и завода им. Ленина (тов. Майстренко), большевистской настойчивостью заводских парторганизаций и усилиями инженерно-технических работников завода им. Ленина и Глававиапрома с привлечением работников завода им. К. Либкнехта трудности освоения производства полуосей были преодолены, и заводом им. Ленина два месяца производится регулярная поставка их авиапромышленности.</w:t>
      </w:r>
    </w:p>
    <w:p w14:paraId="574572FE"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Также обеспечена дальнейшая поставка ежемесячно по 120 штук полуосей.</w:t>
      </w:r>
    </w:p>
    <w:p w14:paraId="1E59638D"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Отмечая достигнутые успехи в деле освобождения от импорта (в абсолютной сумме за 1933 и 1934 гг. на 1 млн. руб.) и поднятия обороноспособности нашей страны, объявляю благодарность и приказываю премировать нижеследующих работников:</w:t>
      </w:r>
    </w:p>
    <w:p w14:paraId="664CEA91"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управляющего трестом «Трубосталь» тов. Рогачевского</w:t>
      </w:r>
    </w:p>
    <w:p w14:paraId="2FCFAE6B"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директора завода им. Ленина тов. Майстренко</w:t>
      </w:r>
    </w:p>
    <w:p w14:paraId="4D630E5F"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инженера завода им. Ленина тов. Кожевникова</w:t>
      </w:r>
    </w:p>
    <w:p w14:paraId="6C2B21A2"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инженера завода им. Ленина тов. Колповского</w:t>
      </w:r>
    </w:p>
    <w:p w14:paraId="4DB63CDC"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инженера завода им. Ленина тов. Курицкого</w:t>
      </w:r>
    </w:p>
    <w:p w14:paraId="6349AB3F"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6) инженера завода им. Ленина тов. Трубченко</w:t>
      </w:r>
    </w:p>
    <w:p w14:paraId="1C3B7C3C"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инженера завода им. К. Либкнехта тов. Киреева</w:t>
      </w:r>
    </w:p>
    <w:p w14:paraId="3119D64D"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начальника группы черных металлов ГУАП тов. Ивахненко</w:t>
      </w:r>
    </w:p>
    <w:p w14:paraId="473F0CE8"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инспектора военной инспекции обл. НК РКИ тов. Васивелицкого</w:t>
      </w:r>
    </w:p>
    <w:p w14:paraId="58DEFE51"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инспектора Южного района техприемки тов. Шпинева</w:t>
      </w:r>
    </w:p>
    <w:p w14:paraId="7DCF41B0"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Также премировать остальных работников, принимающих участие в изготовлении полуосей по заводам и ГУАП.</w:t>
      </w:r>
    </w:p>
    <w:p w14:paraId="1317FC18"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Народный комиссар тяжелой промышленности</w:t>
      </w:r>
    </w:p>
    <w:p w14:paraId="1A2EE1A3"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Орджоникидзе</w:t>
      </w:r>
    </w:p>
    <w:p w14:paraId="1392F78B" w14:textId="77777777" w:rsidR="00BA29CE" w:rsidRPr="0044524F" w:rsidRDefault="00BA29C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ЦГАНХ СССР, ф. 7297, on. 1, д. 23, лл. 34-35. Ротат. экз. (12356).</w:t>
      </w:r>
    </w:p>
    <w:p w14:paraId="082F545C"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p>
    <w:p w14:paraId="1AC3FE21"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 вышел Приказ Наркомтяжпрома № 1011 об освоении производства полуосей и осевых труб для авиационной промышленности из мартеновской хромомолибденосой стали.</w:t>
      </w:r>
    </w:p>
    <w:p w14:paraId="6BF8EE02"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Осевые трубы к легким самолетам и гнутые полуоси к тяжелым изготовлялись из хромоникелевой стали исключительно в Швеции, которая по очень высокой цене поставляла их нам. </w:t>
      </w:r>
    </w:p>
    <w:p w14:paraId="47CFC181"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настоянию авиационной промышленности завод им. Ленина совместно с заводом им. К. Либкнехта в 1932 г. приступили к освоению производства полуосей и осевых труб из мартеновской хромомолибденовой стали. </w:t>
      </w:r>
    </w:p>
    <w:p w14:paraId="083F5898"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Особую сложность и трудность освоения представляло производство полуосей для тяжелых самолетов. В связи с использованием к концу первого полугодия 1933 г. запаса импортных полуосей коллегией НКТП было твердо предложено тресту «Трубосталь» и заводам им. Ленина и им. К. Либкнехта начать поставку ГУАПу полуосей с июля с.г. </w:t>
      </w:r>
    </w:p>
    <w:p w14:paraId="013673D3"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Под непосредственным руководством треста «Трубосталь» (тов. Рогачевского) и завода им. Ленина (тов. Майстренко), большевистской настойчивостью заводских парторганизаций и усилиями инженерно-технических работников завода им. Ленина и Глававиапрома с привлечением работников завода им. К. Либкнехта трудности освоения производства полуосей были преодолены, и заводом им. Ленина два месяца производится регулярная поставка их авиапромышленности. </w:t>
      </w:r>
    </w:p>
    <w:p w14:paraId="21060666"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Также обеспечена дальнейшая поставка ежемесячно по 120 штук полуосей. </w:t>
      </w:r>
    </w:p>
    <w:p w14:paraId="7F3038FD"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Отмечая достигнутые успехи в деле освобождения от импорта (в абсолютной сумме за 1933 и 1934 гг. на 1 млн. руб.) и поднятия обороноспособности нашей страны, объявляю благодарность и приказываю премировать нижеследующих работников: </w:t>
      </w:r>
    </w:p>
    <w:p w14:paraId="7807479E"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управляющего трестом «Трубосталь» тов. Рогачевского </w:t>
      </w:r>
    </w:p>
    <w:p w14:paraId="4A536AD0"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директора завода им. Ленина тов. Майстренко </w:t>
      </w:r>
    </w:p>
    <w:p w14:paraId="7D35957C"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инженера завода им. Ленина тов. Кожевникова </w:t>
      </w:r>
    </w:p>
    <w:p w14:paraId="0BB4B3C8"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инженера завода им. Ленина тов. Колповского </w:t>
      </w:r>
    </w:p>
    <w:p w14:paraId="2E61AB57"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инженера завода им. Ленина тов. Курицкого </w:t>
      </w:r>
    </w:p>
    <w:p w14:paraId="73F6FE78"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 инженера завода им. Ленина тов. Трубченко </w:t>
      </w:r>
    </w:p>
    <w:p w14:paraId="658D47F0"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7) инженера завода им. К. Либкнехта тов. Киреева </w:t>
      </w:r>
    </w:p>
    <w:p w14:paraId="780DB640"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начальника группы черных металлов ГУАП тов. Ивахненко </w:t>
      </w:r>
    </w:p>
    <w:p w14:paraId="41159CF3"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инспектора военной инспекции обл. НК РКИ тов. Васивелицкого </w:t>
      </w:r>
    </w:p>
    <w:p w14:paraId="7532FF19"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10) инспектора Южного района техприемки тов. Шпинева </w:t>
      </w:r>
    </w:p>
    <w:p w14:paraId="407166B5"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Также премировать остальных работников, принимающих участие в изготовлении полуосей по заводам и ГУАП. </w:t>
      </w:r>
    </w:p>
    <w:p w14:paraId="597DF4B6"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Народный комиссар тяжелой промышленности </w:t>
      </w:r>
    </w:p>
    <w:p w14:paraId="5021C47B"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Орджоникидзе </w:t>
      </w:r>
    </w:p>
    <w:p w14:paraId="3A7B7EC5"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ЦГАНХ СССР, ф. 7297, on. 1, д. 23, лл. 34—35. Ротат. экз. (12053).</w:t>
      </w:r>
    </w:p>
    <w:p w14:paraId="2EBB2E79" w14:textId="77777777" w:rsidR="004345CC" w:rsidRPr="0044524F" w:rsidRDefault="004345CC" w:rsidP="009654CF">
      <w:pPr>
        <w:autoSpaceDE w:val="0"/>
        <w:autoSpaceDN w:val="0"/>
        <w:adjustRightInd w:val="0"/>
        <w:spacing w:after="0" w:line="240" w:lineRule="auto"/>
        <w:jc w:val="both"/>
        <w:rPr>
          <w:rFonts w:ascii="Times New Roman" w:hAnsi="Times New Roman"/>
          <w:color w:val="000000" w:themeColor="text1"/>
          <w:sz w:val="16"/>
          <w:szCs w:val="16"/>
        </w:rPr>
      </w:pPr>
    </w:p>
    <w:p w14:paraId="5DF2A8CE" w14:textId="77777777" w:rsidR="0015074C" w:rsidRPr="0044524F" w:rsidRDefault="001507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 вышел Приказ Наркомтяжпрома № 1011 об освоении производства полуосей и осевых труб для авиационной промышленности из мартеновской хромомолибденосой стали Осевые трубы к легким самолетам и гнутые полуоси к тяжелым изготовлялись из хромоникелевой стали исключительно в Швеции, которая по очень высокой цене поставляла их нам. По настоянию авиационной промышленности завод им. Ленина совместно с заводом им. К. Либкнехта в 1932 г. приступили к освоению производства полуосей и осевых труб из мартеновской хромомолибденовой стали. Особую сложность и трудность освоения представляло производство полуосей для тяжелых самолетов. В связи с использованием к концу первого полугодия 1933 г. запаса импортных полуосей коллегией НКТП было твердо предложено тресту «Трубосталь» и заводам им. Ленина и им. К. Либкнехта начать поставку ГУАПу полуосей с июля с.г. Под непосредственным руководством треста «Трубосталь» (тов. Рогачевского) и завода им. Ленина (тов. Майстренко), большевистской настойчивостью заводских парторганизаций и усилиями инженерно-технических работников завода им. Ленина и Глававиапрома с привлечением работников завода им. К. Либкнехта трудности освоения производства полуосей были преодолены, и заводом им. Ленина два месяца производится регулярная поставка их авиапромышленности. Также обеспечена дальнейшая поставка ежемесячно по 120 штук полуосей.</w:t>
      </w:r>
    </w:p>
    <w:p w14:paraId="4142C04D" w14:textId="2F8025E1" w:rsidR="0015074C"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5074C" w:rsidRPr="0044524F">
        <w:rPr>
          <w:rFonts w:ascii="Times New Roman" w:hAnsi="Times New Roman"/>
          <w:color w:val="000000" w:themeColor="text1"/>
          <w:sz w:val="16"/>
          <w:szCs w:val="16"/>
        </w:rPr>
        <w:t xml:space="preserve"> </w:t>
      </w:r>
    </w:p>
    <w:p w14:paraId="38D81F2B" w14:textId="77777777" w:rsidR="0015074C" w:rsidRPr="0044524F" w:rsidRDefault="001507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Отмечая достигнутые успехи в деле освобождения от импорта (в абсолютной сумме за 1933 и 1934 гг. на 1 млн. руб.) и поднятия обороноспособности нашей страны, объявляю благодарность и приказываю премировать нижеследующих работников: 1) управляющего трестом «Трубосталь» тов. Рогачевского 2) директора завода им. Ленина тов. Майстренко 3) инженера завода им. Ленина тов. Кожевникова 4) инженера завода им. Ленина тов. Колповского 5) инженера завода им. Ленина тов. Курицкого 6) инженера завода им. Ленина тов. Трубченко 7) инженера завода им. К. Либкнехта тов. Киреева 8) начальника группы черных металлов ГУАП тов. Ивахненко 9) инспектора военной инспекции обл. НК РКИ тов. Васивелицкого 10) инспектора Южного района техприемки тов. Шпинева Также премировать остальных работников, принимающих участие в изготовлении полуосей по заводам и ГУАП. Народный комиссар тяжелой промышленности С. Орджоникидзе ЦГАНХ СССР, ф. 7297, on. 1, д. 23, лл. 34—35. Ротат. экз. (18300).</w:t>
      </w:r>
    </w:p>
    <w:p w14:paraId="56307C40" w14:textId="77777777" w:rsidR="0015074C" w:rsidRPr="0044524F" w:rsidRDefault="0015074C" w:rsidP="009654CF">
      <w:pPr>
        <w:spacing w:after="0" w:line="240" w:lineRule="auto"/>
        <w:jc w:val="both"/>
        <w:rPr>
          <w:rFonts w:ascii="Times New Roman" w:hAnsi="Times New Roman"/>
          <w:color w:val="000000" w:themeColor="text1"/>
          <w:sz w:val="16"/>
          <w:szCs w:val="16"/>
        </w:rPr>
      </w:pPr>
    </w:p>
    <w:p w14:paraId="1D1B95F8"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655021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63E12A2" w14:textId="77777777" w:rsidR="0015074C" w:rsidRPr="0044524F" w:rsidRDefault="001507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w:t>
      </w:r>
    </w:p>
    <w:p w14:paraId="565DA85E" w14:textId="77777777" w:rsidR="0015074C" w:rsidRPr="0044524F" w:rsidRDefault="0015074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 СТО № 117сс «Об организации приемки военной продукции» от 28.11.1933 (18627).</w:t>
      </w:r>
    </w:p>
    <w:p w14:paraId="6210FDFB" w14:textId="77777777" w:rsidR="0015074C" w:rsidRPr="0044524F" w:rsidRDefault="0015074C" w:rsidP="009654CF">
      <w:pPr>
        <w:spacing w:after="0" w:line="240" w:lineRule="auto"/>
        <w:jc w:val="both"/>
        <w:rPr>
          <w:rFonts w:ascii="Times New Roman" w:hAnsi="Times New Roman"/>
          <w:color w:val="000000" w:themeColor="text1"/>
          <w:sz w:val="16"/>
          <w:szCs w:val="16"/>
        </w:rPr>
      </w:pPr>
    </w:p>
    <w:p w14:paraId="40EC6C3C" w14:textId="77777777" w:rsidR="004345CC" w:rsidRPr="0044524F" w:rsidRDefault="004345CC" w:rsidP="009654CF">
      <w:pPr>
        <w:pStyle w:val="rtejustify"/>
        <w:spacing w:before="0" w:after="0"/>
        <w:rPr>
          <w:color w:val="000000" w:themeColor="text1"/>
          <w:sz w:val="16"/>
          <w:szCs w:val="16"/>
        </w:rPr>
      </w:pPr>
      <w:r w:rsidRPr="0044524F">
        <w:rPr>
          <w:rStyle w:val="af0"/>
          <w:bCs/>
          <w:i w:val="0"/>
          <w:color w:val="000000" w:themeColor="text1"/>
          <w:sz w:val="16"/>
          <w:szCs w:val="16"/>
        </w:rPr>
        <w:t>28 ноября</w:t>
      </w:r>
      <w:r w:rsidRPr="0044524F">
        <w:rPr>
          <w:color w:val="000000" w:themeColor="text1"/>
          <w:sz w:val="16"/>
          <w:szCs w:val="16"/>
        </w:rPr>
        <w:t xml:space="preserve"> 1933. Постановление СТО СССР № 120сс/о «О строительстве новых пороховых заводов». (ГА РФ. Ф. Р</w:t>
      </w:r>
      <w:r w:rsidRPr="0044524F">
        <w:rPr>
          <w:color w:val="000000" w:themeColor="text1"/>
          <w:sz w:val="16"/>
          <w:szCs w:val="16"/>
        </w:rPr>
        <w:noBreakHyphen/>
        <w:t>8418. Оп. 28. Д. 3. Л. 83</w:t>
      </w:r>
      <w:r w:rsidRPr="0044524F">
        <w:rPr>
          <w:color w:val="000000" w:themeColor="text1"/>
          <w:sz w:val="16"/>
          <w:szCs w:val="16"/>
        </w:rPr>
        <w:noBreakHyphen/>
        <w:t>84) (15460).</w:t>
      </w:r>
    </w:p>
    <w:p w14:paraId="490122C5" w14:textId="77777777" w:rsidR="004345CC" w:rsidRPr="0044524F" w:rsidRDefault="004345CC" w:rsidP="009654CF">
      <w:pPr>
        <w:pStyle w:val="rtejustify"/>
        <w:spacing w:before="0" w:after="0"/>
        <w:rPr>
          <w:color w:val="000000" w:themeColor="text1"/>
          <w:sz w:val="16"/>
          <w:szCs w:val="16"/>
        </w:rPr>
      </w:pPr>
    </w:p>
    <w:p w14:paraId="4B9FCBC3" w14:textId="77777777" w:rsidR="004345CC" w:rsidRPr="0044524F" w:rsidRDefault="004345CC"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hAnsi="Times New Roman"/>
          <w:bCs/>
          <w:color w:val="000000" w:themeColor="text1"/>
          <w:sz w:val="16"/>
          <w:szCs w:val="16"/>
        </w:rPr>
        <w:t xml:space="preserve">28 ноября </w:t>
      </w:r>
      <w:r w:rsidRPr="0044524F">
        <w:rPr>
          <w:rFonts w:ascii="Times New Roman" w:hAnsi="Times New Roman"/>
          <w:color w:val="000000" w:themeColor="text1"/>
          <w:sz w:val="16"/>
          <w:szCs w:val="16"/>
        </w:rPr>
        <w:t>в 1933 году образовано ФГУП "Каменский химический комбинат" - крупнейшее предприятие на юге России по выпуску химической продукции, товаров бытовой химии, плёночных поливинилхлоридных покрытий. Первую продукцию комбинат выпустил в 1936 году и сегодня она широко известна в России и за её пределами. В те трудные, напряжённые годы первых пятилеток комбинат стал в строй действующих предприятий химической отрасли для решения задач общесоюзного значения (14843).</w:t>
      </w:r>
    </w:p>
    <w:p w14:paraId="4C58DCC5" w14:textId="77777777" w:rsidR="004345CC" w:rsidRPr="0044524F" w:rsidRDefault="004345CC" w:rsidP="009654CF">
      <w:pPr>
        <w:spacing w:after="0" w:line="240" w:lineRule="auto"/>
        <w:jc w:val="both"/>
        <w:rPr>
          <w:rFonts w:ascii="Times New Roman" w:hAnsi="Times New Roman"/>
          <w:color w:val="000000" w:themeColor="text1"/>
          <w:sz w:val="16"/>
          <w:szCs w:val="16"/>
        </w:rPr>
      </w:pPr>
    </w:p>
    <w:p w14:paraId="081A3E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вышло постановление СТО и приняли решение о строительстве комбинатов № 100 и № 101 (5485,346).</w:t>
      </w:r>
    </w:p>
    <w:p w14:paraId="71E5DC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A41A203" w14:textId="63A1DA8B"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 Пост. СТО № 120 было утверждено строительство комбината (Комбинат № 101 НКТП, НКОП, НКБ, Каменский химкомбинат «Россия», ФГУП «Каменский химический комбинат» Росбоеприпаса, ФКП «Комбинат «Каменский» /347801</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Каменск-Шахтинский Ростовской обл. ул. Сапрыкина, 8 тел. 20-148/), которое начато в 1934 г. В этом году построены кирпичный и известковый заводы, столярный цех, слесарные мастерские, участок связи, электростанция. В 03.1935 г. сданы водное хозяйство, транспортный и электроцех. В 07.1936 г. сдан в эксплуатацию ремонтно-механический завод (РМЗ), освоен выпуск первичных редукторов, шахтных аппаратов, разгружателей, промышленных вентиляторов, сферических днищ. Приказом № 0021 от 3.02.1937 г. заводу предписано к 1.01.1938 г. ввести в эксплуатацию 1-ю линию комбината, создать мощности по выпуску пироксилинового пороха - 12,5 тыс. т в год. «В связи с неудовлетворительными темпами работ» 13/20.01.1938 г. вышел приказ № 10с провести обследование строительства комбината. В 1938 г. введены в строй эфирное производство, ТЭЦ, теплосеть, 3-е производство; в 1939 г.- цех денитрации кислот, 5-е производство. Всего за 5 лет введено в строй 11 цехов. Затем пущено пироксилиновое производство. Проектная мощность на 1.07.1941 г.- 15500 т пороха в год, перед эвакуацией: пороха-16 тыс. т, пироксилина- 24 тыс. т.</w:t>
      </w:r>
    </w:p>
    <w:p w14:paraId="62F102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соответствии с пост. СТО № 2139-425сс от 21.12.1936 г. и пр. НКОП № 05с от 29.12.1936 г. строительство комбината № 101 передано из Порохового треста Главазота НКТП в ведение ГУ военно-химической промышленности НКОП, в 02.1937 г. - в ведении 6ГУ. В соответствии с пост. СНК № 1960-390сс от 5.11.1936 г. и пр. № 068 </w:t>
      </w:r>
      <w:r w:rsidRPr="0044524F">
        <w:rPr>
          <w:rFonts w:ascii="Times New Roman" w:hAnsi="Times New Roman"/>
          <w:color w:val="000000" w:themeColor="text1"/>
          <w:sz w:val="16"/>
          <w:szCs w:val="16"/>
        </w:rPr>
        <w:lastRenderedPageBreak/>
        <w:t>от 2.04.1937 г. завод переведен в группу особо режимных предприятий. По пр. № 0089 от 20.04.1937 г. передан из 6ГУ в новое 11ГУ. В 02.1939 г. комбинат № 101 11ГУ НКОП передан в ведение 11ГУ НКБ.</w:t>
      </w:r>
      <w:r w:rsidRPr="0044524F">
        <w:rPr>
          <w:rFonts w:ascii="Times New Roman" w:hAnsi="Times New Roman"/>
          <w:color w:val="000000" w:themeColor="text1"/>
          <w:sz w:val="16"/>
          <w:szCs w:val="16"/>
          <w:vertAlign w:val="superscript"/>
        </w:rPr>
        <w:t>Ш</w:t>
      </w:r>
    </w:p>
    <w:p w14:paraId="52F489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ГКО № 777 от 13.10.1941 г. основная часть комбината № 101 ЗГУ (11 эшелонов, 610 вагонов, 1717 ед. оборудования) 10-14.10.1941 г. была эвакуирована: производство пироксилинового пороха и эфира (377 ед. оборудования, 101 чел.) - в Кемерово на комбинат № 392; часть производства пироксилина - в Соликамск на завод № 577; вторая часть производства пироксилина и РМЗ (382 ед. оборудования, 47 чел.) - в Молотов на завод № 98; производство олеума (138 ед. оборудования, 41 чел.) - в Реж на завод № 576; 802 ед. различного оборудования (в т.ч. кислородный завод) - в Красноярск на завод № 580. На оставшемся оборудовании в 12.1941 г. организовано производство суррогатных ВВ и противотанковых мин в деревянных корпусах, действовавшее до середины июля 1942 г. В 04-07.1942 г. прошла вторая эвакуация в Казань, Пермь, Стерлитамак, Краснокамск.</w:t>
      </w:r>
    </w:p>
    <w:p w14:paraId="0A41F9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02.1943 г. после освобождения Каменска от противника началось восстановление комбината. В 08.1943- 09.1944 г. комбинат № 101 - в ведении 9ГУ НКБ. Сначала были введены в строй цеха водо-, электро- и теплоснабжения, железнодорожное хозяйство. В 1944 г. химкомбинат выпустил первую продукцию- мины и заряды из импортного пороха ОД, пороха для авиаснарядов. В 03.1946 г. начат выпуск сельскохозяйственного оборудования, ТНП. В этом же году восстановлены цеха серной кислоты, тары, телефонная станция, ЦЗЛ. В 1948-49г, вступило в строй 10 цехов, начато строительство комплекса по производству нитроглицериновых порохов. В 1954 г. вступило встрой спиртоэфирное производство. В 1957 г. освоено производство карбоксиметилцеллюлозы (КМЦ), нитролаков и эмалей, люминесцентных светильников, бризольного полотна, эфира канифоли, спирта высшей очистки, молочных цистерн. Изготовлены первые круговые аппараты для непрерывной нитрации целлюлозы. В 1960 г. освоен выпуск мипоры; начато строительство цеха по переработке золы для извлечения германия, введен в строй цех глинозема. В 1965 г. вступило в строй производство полимеров. В 1974 г. создана служба АСУ, организован ИВЦ, участок производства масляной клеенки. Организован строительный цех. В 1975 г. организован участок по выпуску клея «Бустилат». В 1982 г. освоен выпуск клеенки ПВХ, в 1990-93г,- шпатлевки «Шпакрил», вспененного линолеума, цветных эмалей, зарядов для горнодобывающей промышленности, мастики, электроплит, шлангов высокого давления, тормозной жидкости, фенолспирта, одеколонов, шампуней, моющих средств.</w:t>
      </w:r>
    </w:p>
    <w:p w14:paraId="1FFE0B4D" w14:textId="56FEB495"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второй половине 1970-х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начато освоение производства крубногабаритных зарядов для МБР «Тополь», для этого созданы специализированные комплексы.</w:t>
      </w:r>
    </w:p>
    <w:p w14:paraId="70044C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2004 г. химкомбинат входил в состав Росбоеприпаса, по Указу Президента РФ № 1009 от 4.08.2004 г. вошел в число стратегических оборонных предприятий. По Указу Президента РФ в 02.2006 г. на базе ФГУП «Каменский химкомбинат» создано два предприятия: ФКП «Комбинат «Каменский» и ФГУП «Химкомбинат «Каменский».</w:t>
      </w:r>
    </w:p>
    <w:p w14:paraId="70083C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(1939 г.)- 1294 чел. (рабочих), (1940 г.)- 2916 чел. (рабочих), (09.1941 г.)- 3663 чел., (11.1943 г.)-522 чел.</w:t>
      </w:r>
    </w:p>
    <w:p w14:paraId="0718EA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(7.06.1937 г.-)- И.А. Баварский, (07.1939-ВОВ)- В.Л. Ивченков, (1945-55 г.)- А.А. Кириллович, (1955 г.-)- Б.Д. Сапрыгин.</w:t>
      </w:r>
      <w:r w:rsidRPr="0044524F">
        <w:rPr>
          <w:rFonts w:ascii="Times New Roman" w:hAnsi="Times New Roman"/>
          <w:color w:val="000000" w:themeColor="text1"/>
          <w:sz w:val="16"/>
          <w:szCs w:val="16"/>
          <w:vertAlign w:val="superscript"/>
        </w:rPr>
        <w:t>101</w:t>
      </w:r>
      <w:r w:rsidRPr="0044524F">
        <w:rPr>
          <w:rFonts w:ascii="Times New Roman" w:hAnsi="Times New Roman"/>
          <w:color w:val="000000" w:themeColor="text1"/>
          <w:sz w:val="16"/>
          <w:szCs w:val="16"/>
        </w:rPr>
        <w:t xml:space="preserve"> Гендиректор (-2007 г.)- С.А. Поваров.</w:t>
      </w:r>
    </w:p>
    <w:p w14:paraId="61DFEE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строительства (01.1934 г.-)- С.П. Ананьев, начальник строительства (11.03.1937 г.-)- Л.О. Мицмахер. Зам. директора (8.05-11.07.1937 г.)- М.М. Чернулич. Помощник директора по найму и увольнению (14.08.1938 г.-)- А.П. Новожилов.</w:t>
      </w:r>
    </w:p>
    <w:p w14:paraId="66C4B6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строительства (-10.06.1937 г.)- Ф.А. Сулим-Грандовский (снят).</w:t>
      </w:r>
    </w:p>
    <w:p w14:paraId="2396E92F" w14:textId="554A1FF8"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(9.08.1938 г.-)- Н.С. Навальнев, (2006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Мельник.</w:t>
      </w:r>
    </w:p>
    <w:p w14:paraId="6F7C8065" w14:textId="3DD1233C"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строительства (-10.06.1937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Г.Д. Саломонович (снят) (11982).</w:t>
      </w:r>
    </w:p>
    <w:p w14:paraId="165698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3160F90" w14:textId="77777777" w:rsidR="004345CC" w:rsidRPr="0044524F" w:rsidRDefault="004345CC" w:rsidP="009654CF">
      <w:pPr>
        <w:pStyle w:val="rtejustify"/>
        <w:spacing w:before="0" w:after="0"/>
        <w:rPr>
          <w:color w:val="000000" w:themeColor="text1"/>
          <w:sz w:val="16"/>
          <w:szCs w:val="16"/>
        </w:rPr>
      </w:pPr>
      <w:r w:rsidRPr="0044524F">
        <w:rPr>
          <w:rStyle w:val="af0"/>
          <w:bCs/>
          <w:i w:val="0"/>
          <w:color w:val="000000" w:themeColor="text1"/>
          <w:sz w:val="16"/>
          <w:szCs w:val="16"/>
        </w:rPr>
        <w:t>28 ноября 1933 вышел приказ НКТП № 224с.</w:t>
      </w:r>
      <w:r w:rsidRPr="0044524F">
        <w:rPr>
          <w:color w:val="000000" w:themeColor="text1"/>
          <w:sz w:val="16"/>
          <w:szCs w:val="16"/>
        </w:rPr>
        <w:t xml:space="preserve"> О видах работ на электромеханических заводах по программе военного судостроения. (РГАЭ. Ф. 7297. Оп. 38. Д. 38. Л. 203) (15246).</w:t>
      </w:r>
    </w:p>
    <w:p w14:paraId="505FD34A" w14:textId="77777777" w:rsidR="004345CC" w:rsidRPr="0044524F" w:rsidRDefault="004345CC" w:rsidP="009654CF">
      <w:pPr>
        <w:pStyle w:val="rtejustify"/>
        <w:spacing w:before="0" w:after="0"/>
        <w:rPr>
          <w:color w:val="000000" w:themeColor="text1"/>
          <w:sz w:val="16"/>
          <w:szCs w:val="16"/>
        </w:rPr>
      </w:pPr>
    </w:p>
    <w:p w14:paraId="07399EC5" w14:textId="77777777" w:rsidR="00335E69" w:rsidRPr="0044524F" w:rsidRDefault="00335E6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года вышло Постановление Комитета обороны (КО) Совета народных комиссаров (СНК) СССР «Об иностранной технической помощи по постройке подводной лодки типа ―Е-1‖». Данным постановлением указывалось НКТП С. Г. Орджоникидзе продолжить выполнение договора на техническую помощь по постройке подводной лодки типа «Е-1» с фирмой «Дешимаг», уплатив очередной денежный взнос по договору в размере 20 тысяч долларов США [Там же, д. 498, л. 202].</w:t>
      </w:r>
    </w:p>
    <w:p w14:paraId="488C99B9" w14:textId="77777777" w:rsidR="00335E69" w:rsidRPr="0044524F" w:rsidRDefault="00335E6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Помимо технической помощи по постройке подводной лодки типа «Е-1», фирма «Дешимаг» предложила проект и помощь в строительстве подводной лодки типа «Н». Вместе с тем, разработка чертежей проекта «E-2», обозначенного теперь как тип «Н» (немецкая), или серия IX, была закончена специалистами СКБ к началу</w:t>
      </w:r>
      <w:hyperlink r:id="rId380" w:history="1">
        <w:r w:rsidRPr="0044524F">
          <w:rPr>
            <w:rStyle w:val="a5"/>
            <w:rFonts w:ascii="Times New Roman" w:hAnsi="Times New Roman"/>
            <w:color w:val="000000" w:themeColor="text1"/>
            <w:sz w:val="16"/>
            <w:szCs w:val="16"/>
          </w:rPr>
          <w:t> 1935 года </w:t>
        </w:r>
      </w:hyperlink>
      <w:hyperlink r:id="rId381" w:history="1">
        <w:r w:rsidRPr="0044524F">
          <w:rPr>
            <w:rStyle w:val="a5"/>
            <w:rFonts w:ascii="Times New Roman" w:hAnsi="Times New Roman"/>
            <w:color w:val="000000" w:themeColor="text1"/>
            <w:sz w:val="16"/>
            <w:szCs w:val="16"/>
          </w:rPr>
          <w:t>(20 октября </w:t>
        </w:r>
      </w:hyperlink>
      <w:hyperlink r:id="rId382" w:history="1">
        <w:r w:rsidRPr="0044524F">
          <w:rPr>
            <w:rStyle w:val="a5"/>
            <w:rFonts w:ascii="Times New Roman" w:hAnsi="Times New Roman"/>
            <w:color w:val="000000" w:themeColor="text1"/>
            <w:sz w:val="16"/>
            <w:szCs w:val="16"/>
          </w:rPr>
          <w:t>1937 года </w:t>
        </w:r>
      </w:hyperlink>
      <w:r w:rsidRPr="0044524F">
        <w:rPr>
          <w:rFonts w:ascii="Times New Roman" w:hAnsi="Times New Roman"/>
          <w:color w:val="000000" w:themeColor="text1"/>
          <w:sz w:val="16"/>
          <w:szCs w:val="16"/>
        </w:rPr>
        <w:t>тип «Н» переименовали в тип «С» – средняя) [1, с. 5].</w:t>
      </w:r>
      <w:hyperlink r:id="rId383" w:history="1">
        <w:r w:rsidRPr="0044524F">
          <w:rPr>
            <w:rStyle w:val="a5"/>
            <w:rFonts w:ascii="Times New Roman" w:hAnsi="Times New Roman"/>
            <w:color w:val="000000" w:themeColor="text1"/>
            <w:sz w:val="16"/>
            <w:szCs w:val="16"/>
          </w:rPr>
          <w:t> 4 август</w:t>
        </w:r>
      </w:hyperlink>
      <w:hyperlink r:id="rId384" w:history="1">
        <w:r w:rsidRPr="0044524F">
          <w:rPr>
            <w:rStyle w:val="a5"/>
            <w:rFonts w:ascii="Times New Roman" w:hAnsi="Times New Roman"/>
            <w:color w:val="000000" w:themeColor="text1"/>
            <w:sz w:val="16"/>
            <w:szCs w:val="16"/>
          </w:rPr>
          <w:t>а 1934 го</w:t>
        </w:r>
      </w:hyperlink>
      <w:hyperlink r:id="rId385" w:history="1">
        <w:r w:rsidRPr="0044524F">
          <w:rPr>
            <w:rStyle w:val="a5"/>
            <w:rFonts w:ascii="Times New Roman" w:hAnsi="Times New Roman"/>
            <w:color w:val="000000" w:themeColor="text1"/>
            <w:sz w:val="16"/>
            <w:szCs w:val="16"/>
          </w:rPr>
          <w:t>да </w:t>
        </w:r>
      </w:hyperlink>
      <w:r w:rsidRPr="0044524F">
        <w:rPr>
          <w:rFonts w:ascii="Times New Roman" w:hAnsi="Times New Roman"/>
          <w:color w:val="000000" w:themeColor="text1"/>
          <w:sz w:val="16"/>
          <w:szCs w:val="16"/>
        </w:rPr>
        <w:t>члены</w:t>
      </w:r>
      <w:hyperlink r:id="rId386" w:history="1">
        <w:r w:rsidRPr="0044524F">
          <w:rPr>
            <w:rStyle w:val="a5"/>
            <w:rFonts w:ascii="Times New Roman" w:hAnsi="Times New Roman"/>
            <w:color w:val="000000" w:themeColor="text1"/>
            <w:sz w:val="16"/>
            <w:szCs w:val="16"/>
          </w:rPr>
          <w:t>Политбюро </w:t>
        </w:r>
      </w:hyperlink>
      <w:r w:rsidRPr="0044524F">
        <w:rPr>
          <w:rFonts w:ascii="Times New Roman" w:hAnsi="Times New Roman"/>
          <w:color w:val="000000" w:themeColor="text1"/>
          <w:sz w:val="16"/>
          <w:szCs w:val="16"/>
        </w:rPr>
        <w:t>ЦК ВКП(б) приняли решение о серийной постройке средних подводных лодок серии IX и постепенной замены ими подводных лодок</w:t>
      </w:r>
      <w:hyperlink r:id="rId387" w:history="1">
        <w:r w:rsidRPr="0044524F">
          <w:rPr>
            <w:rStyle w:val="a5"/>
            <w:rFonts w:ascii="Times New Roman" w:hAnsi="Times New Roman"/>
            <w:color w:val="000000" w:themeColor="text1"/>
            <w:sz w:val="16"/>
            <w:szCs w:val="16"/>
          </w:rPr>
          <w:t> типа «Щука».</w:t>
        </w:r>
      </w:hyperlink>
      <w:r w:rsidRPr="0044524F">
        <w:rPr>
          <w:rFonts w:ascii="Times New Roman" w:hAnsi="Times New Roman"/>
          <w:color w:val="000000" w:themeColor="text1"/>
          <w:sz w:val="16"/>
          <w:szCs w:val="16"/>
        </w:rPr>
        <w:t> Субмарины серии IX строились на</w:t>
      </w:r>
      <w:hyperlink r:id="rId388" w:history="1">
        <w:r w:rsidRPr="0044524F">
          <w:rPr>
            <w:rStyle w:val="a5"/>
            <w:rFonts w:ascii="Times New Roman" w:hAnsi="Times New Roman"/>
            <w:color w:val="000000" w:themeColor="text1"/>
            <w:sz w:val="16"/>
            <w:szCs w:val="16"/>
          </w:rPr>
          <w:t> Балтийском </w:t>
        </w:r>
      </w:hyperlink>
      <w:hyperlink r:id="rId389" w:history="1">
        <w:r w:rsidRPr="0044524F">
          <w:rPr>
            <w:rStyle w:val="a5"/>
            <w:rFonts w:ascii="Times New Roman" w:hAnsi="Times New Roman"/>
            <w:color w:val="000000" w:themeColor="text1"/>
            <w:sz w:val="16"/>
            <w:szCs w:val="16"/>
          </w:rPr>
          <w:t>заводе.</w:t>
        </w:r>
      </w:hyperlink>
      <w:r w:rsidRPr="0044524F">
        <w:rPr>
          <w:rFonts w:ascii="Times New Roman" w:hAnsi="Times New Roman"/>
          <w:color w:val="000000" w:themeColor="text1"/>
          <w:sz w:val="16"/>
          <w:szCs w:val="16"/>
        </w:rPr>
        <w:t> Первая партия состояла из трѐх лодок: «Н-1», «Н-2» и «Н-3». При их постройке использовалось большое количество импортного оборудования, а по результатам испытаний предполагалось принять решение о дальнейшем строительстве. После начала серийного строительства серии IX проект был полностью переработан с целью полного перехода на советское оборудование и с учѐтом замечаний к головным лодкам [Там же, с. 11]. Доработанный проект получил обозначение IX-бис (18262).</w:t>
      </w:r>
    </w:p>
    <w:p w14:paraId="54F223D9" w14:textId="77777777" w:rsidR="00335E69" w:rsidRPr="0044524F" w:rsidRDefault="00335E69" w:rsidP="009654CF">
      <w:pPr>
        <w:spacing w:after="0" w:line="240" w:lineRule="auto"/>
        <w:jc w:val="both"/>
        <w:rPr>
          <w:rFonts w:ascii="Times New Roman" w:hAnsi="Times New Roman"/>
          <w:color w:val="000000" w:themeColor="text1"/>
          <w:sz w:val="16"/>
          <w:szCs w:val="16"/>
        </w:rPr>
      </w:pPr>
    </w:p>
    <w:p w14:paraId="68562D45"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D13B06B"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763D8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ноября 1933 состоялось заседание у нач. ГУАП Королева (протокол 162):</w:t>
      </w:r>
    </w:p>
    <w:p w14:paraId="1C74B7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Слушали: О реализации постановления Правительства по И-14, И-15 и И-16 от 25 ноября 1933.</w:t>
      </w:r>
    </w:p>
    <w:p w14:paraId="44BD35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Постановили:</w:t>
      </w:r>
    </w:p>
    <w:p w14:paraId="29B4A8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И-15 - завод 39 изготовляет в 1934 25 самолетов И-15, причем 10 из них к 1 мая 1934.</w:t>
      </w:r>
    </w:p>
    <w:p w14:paraId="12BB56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1 изготовляет в 1934 125 И-15 с выпуском первой головной серии в количестве 5 шт. в мае с последующим увеличением до конца года.</w:t>
      </w:r>
    </w:p>
    <w:p w14:paraId="37F9CF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И-16 - завод 39 изготовляет в 1934 - 50 самолетов.</w:t>
      </w:r>
    </w:p>
    <w:p w14:paraId="059247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21 изготовляет в 1934 - 80 самолетов, причем по заводу 21 10 самолетов должно быть изготовлено к 1 мая с последующим увеличением выпуска этих машин до конца года.</w:t>
      </w:r>
    </w:p>
    <w:p w14:paraId="57DDA3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И-14. Сдать И-14 на гос. испытания 5 февраля и через 20 дней оформить через гос. испытания по ТУ.</w:t>
      </w:r>
    </w:p>
    <w:p w14:paraId="6CD2F7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этого типа в количестве 20 шт. в 1934 поставить на заводе 21, с выпуском первой партии в августе 1934. Королев (2292,316).</w:t>
      </w:r>
    </w:p>
    <w:p w14:paraId="7466C8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6193F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ноября 1933 закончились гос. испытания АПК-4 с перезаряжанием системы Легчакова, установленных парой на самолете "Z" N 39004, которые шли с 19 января 1933.</w:t>
      </w:r>
    </w:p>
    <w:p w14:paraId="3193FF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 испытаний - Щелковский аэродром и Ногинский полигон (стрельба). В ходе испытаний представилась возможность производить стрельбу над Щелковским аэродромом.</w:t>
      </w:r>
    </w:p>
    <w:p w14:paraId="15ABA9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Лагутин.</w:t>
      </w:r>
    </w:p>
    <w:p w14:paraId="75992E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109B0B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Выявить эксплуатационные особенности АПК-4 с перезаряжанием сист. Легчакова при стрельбе в воздухе.</w:t>
      </w:r>
    </w:p>
    <w:p w14:paraId="271C81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Установить работу автоматики системы при различных эволюциях самолета.</w:t>
      </w:r>
    </w:p>
    <w:p w14:paraId="0BB07D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Определить влияние стрельбы на мат. часть самолета.</w:t>
      </w:r>
    </w:p>
    <w:p w14:paraId="0CD4C1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Выявить преимущества в системе перезаряжания Легчакова перед другими самолетами.</w:t>
      </w:r>
    </w:p>
    <w:p w14:paraId="590C95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Испытания проводились в основном по той же программе, что и система Курчевского в целях сравнения этих систем.</w:t>
      </w:r>
    </w:p>
    <w:p w14:paraId="52CBD2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04FBD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отработки система может быть передана на войсковые испытания (3083).</w:t>
      </w:r>
    </w:p>
    <w:p w14:paraId="3E35DA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30983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ноября 1933 года. Гл. конструктор Д.П.Григорович подготовил Объяснительную записку по рекордному самолету "Э-МАИ-2" с мотором М34-750/830 л.с.</w:t>
      </w:r>
    </w:p>
    <w:p w14:paraId="0F105C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Рекордный самолет Э-МАИ-2-М34 представляет собою одномоторный двухместный моноплан с низкорасположенным свободнонесущим крылом металлической конструкции из нержавеющей стали "Энерж 6". Самолет снабжен мотором советской конструкции "М34" мощностью 750/830 л.с.</w:t>
      </w:r>
    </w:p>
    <w:p w14:paraId="01AB2F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самолета:</w:t>
      </w:r>
    </w:p>
    <w:p w14:paraId="1F531F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Установление рекорда дальности полета самолета советской конструкции с советским мотором на основе покрытия большой дальности полета при минимальном времени пребывания в воздухе с одновременным освоением в производстве и испытании новых элементов конструкции из нержавеющей стали по принципу применения электросварки.</w:t>
      </w:r>
    </w:p>
    <w:p w14:paraId="52F23A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Общий вид самолета представлен в трех проекциях на рис. 1 (см. альбом).</w:t>
      </w:r>
    </w:p>
    <w:p w14:paraId="31AD33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Крыло</w:t>
      </w:r>
    </w:p>
    <w:p w14:paraId="5CAACB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самолета однолонжеронной конструкции, трапецеидальной формы в плане. Оно состоит из двух разъемных по ширине частей - носка вместе с лонжероном и хвостовика вместе с стрингерами, нервюрами и баками в количестве 5, из них два с каждой стороны бака помещаются по бокам фюзеляжа, средний в части крыла находящийся в фюзеляже. Общий вид крыла см. рис. 2.</w:t>
      </w:r>
    </w:p>
    <w:p w14:paraId="1F4316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Элероны крыла дюралевой конструкции с полотняной обшивкой неглубокие большого размера, состоящие каждый из 2-х половинок и имеют внутреннюю компенсацию.</w:t>
      </w:r>
    </w:p>
    <w:p w14:paraId="6BCED9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носка крыла являясь основной силовой единицей крыла состоит кроме основного лонжерона крыла из дополнительных стрингеров и нервюр различной длины, весь этот остов обшивается листовой сталью толщиной 0,2 м на сварке (см. рис. 3,4 и 5).</w:t>
      </w:r>
    </w:p>
    <w:p w14:paraId="797B80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Набор хвостовиков составляют один усиленный стрингер-лонжерон, средний стрингер и задний ободок и 18 нервюр по 9 с каждой стороны (силовые схемы нервюр см. рис. 6). Весь остов хвостовиков обшивается полотном.</w:t>
      </w:r>
    </w:p>
    <w:p w14:paraId="11F90A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размаху крыло составляется из центральной части и двух консолей (см. общую схему крыла).</w:t>
      </w:r>
    </w:p>
    <w:p w14:paraId="1A2583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w:t>
      </w:r>
    </w:p>
    <w:p w14:paraId="2C2789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овального сечения типа полумонокок, состоит из четырех основных профилированных стрингеров-лонжеронов. 10 нормальных стрингеров и набора поперечных шпангоутов (остов фюзеляжа см. рис. 7 и 8).</w:t>
      </w:r>
    </w:p>
    <w:p w14:paraId="03CA60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 целиком стальной конструкции из нержавеющей стали и с таковым же покрытием из различных листов толщиной 0,20-0,30 мм.</w:t>
      </w:r>
    </w:p>
    <w:p w14:paraId="05EE9E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своей длине он состоит из двух частей, отъемных одна от другой - передней и задней.</w:t>
      </w:r>
    </w:p>
    <w:p w14:paraId="2E44C0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передней части фюзеляжа расположены две оборудованные должным образом для дальних перелетов кабины, причем в случае надобности за счет перегрузки может быть дооборудована кабина для третьего лица.</w:t>
      </w:r>
    </w:p>
    <w:p w14:paraId="1E8B0A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Вверху над кабинами пилотов помещается общий застекленный фонарь с откидными дверками для влезания экипажа. В месте помещенья третьего места в боковых стенках, фюзеляжа вделаны иллюминаторы....</w:t>
      </w:r>
    </w:p>
    <w:p w14:paraId="571615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Сиденья-кресла имеют откидные спинки и оборудованы таким образом, чтобы предоставить возможность экипажу отдыхать в полете общий боковой вид фюзеляжа с возмещением фюзеляжа (см. рис. 9).</w:t>
      </w:r>
    </w:p>
    <w:p w14:paraId="053BAD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w:t>
      </w:r>
    </w:p>
    <w:p w14:paraId="5D76E8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ручное штурвальное двойное с приспособлением для включения для отдыха и ножное с откидными регулирующимися ножными педалями.</w:t>
      </w:r>
    </w:p>
    <w:p w14:paraId="35B52D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к рулю высоты и элеронами жесткого типа к рулю направления и стабилизатора смешанного типа.</w:t>
      </w:r>
    </w:p>
    <w:p w14:paraId="02AA37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Схемы управления самолетом представлены на рис. 10 и 11.</w:t>
      </w:r>
    </w:p>
    <w:p w14:paraId="570E24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w:t>
      </w:r>
    </w:p>
    <w:p w14:paraId="54AA29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типа убирающегося во внутрь крыла самолета во время полета полностью, помощью механических приводов и тяг из кабины пилота (положение шасси в крыле см. рис. N 2).</w:t>
      </w:r>
    </w:p>
    <w:p w14:paraId="1F10A3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шасси состоит из полуоси, амортизационной ноги с каждой стороны и наклонной трубы служащей осью вращения шасси при убирании его в крыло.</w:t>
      </w:r>
    </w:p>
    <w:p w14:paraId="5C55F1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Костыль ориентирующийся из стальных труб с олео-пневматической амортизацией.</w:t>
      </w:r>
    </w:p>
    <w:p w14:paraId="681EB9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Хвостовое оперение</w:t>
      </w:r>
    </w:p>
    <w:p w14:paraId="7DC33D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дюралевой конструкции с полотняной обшивкой. Рули высоты и поворотов с внутренней компенсацией. Стабилизатор управляемый в полете, осуществляемый штурвалом, расположенный в передней пилотской кабине непосредственно сбоку у сидения первого пилота.</w:t>
      </w:r>
    </w:p>
    <w:p w14:paraId="46223C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Винтомоторная группа</w:t>
      </w:r>
    </w:p>
    <w:p w14:paraId="2A6EC0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самолете как было указано выше устанавливается мотор с водяным охлаждением V образного типа М34-750/830 л.с. с тянущим винтом и редуктором.</w:t>
      </w:r>
    </w:p>
    <w:p w14:paraId="75DC4A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Моторная установка съемная, выполнена из стальных сварных хромомолибденовых труб. Радиатор для воды сотового типа и вписывается своей овальной формой по габариту в мидель фюзеляжа, устанавливается жестко к мотоустановке.</w:t>
      </w:r>
    </w:p>
    <w:p w14:paraId="1F1703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Охлаждение воды в радиаторе регулируется жалюзи, управляемыми из кабины пилота.</w:t>
      </w:r>
    </w:p>
    <w:p w14:paraId="50E0E8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оборудование, приборы и управление мотором сосредоточены в кабинах обоих пилотов.</w:t>
      </w:r>
    </w:p>
    <w:p w14:paraId="5F4EEC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Бензиновые баки, как было указано выше, помещаются в крыле, кроме того имеется в фюзеляже у огнеупорной перегородки расходный бензиновый бак емкостью 100 литров. Схема питания горючим такова, что обеспечивает подачу горючего при различных комбинациях открытия баков - как порознь, так и всех баков одновременно. Схема питания горючим см. рис. 12.</w:t>
      </w:r>
    </w:p>
    <w:p w14:paraId="71D63B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Масляных баков один. Для охлаждения масла циркулирующего в системе смазки имеется водомасляный радиатор (он же бачок), помещаемый в носке центральной части крыла.</w:t>
      </w:r>
    </w:p>
    <w:p w14:paraId="42A58E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 деревянный, двухлопастной, диаметром 4,2 м.</w:t>
      </w:r>
    </w:p>
    <w:p w14:paraId="645CEB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самолете установлен самопуск-баллон со сжатым воздухом, под сидением первого пилота. Кроме того на втулке винта монтируется..... для запуска мотора автостартером.</w:t>
      </w:r>
    </w:p>
    <w:p w14:paraId="5BCE54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 капотируется удобообтекаемым капотом из листового дюраля, монтируемом на особом дюралевом каркасе. Капоты имеют откидывающиеся части для необходимости осмотра мотора и его агрегатов.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6E9178F5" w14:textId="77777777">
        <w:tc>
          <w:tcPr>
            <w:tcW w:w="5636" w:type="dxa"/>
          </w:tcPr>
          <w:p w14:paraId="15808A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Размеры самолета</w:t>
            </w:r>
          </w:p>
        </w:tc>
        <w:tc>
          <w:tcPr>
            <w:tcW w:w="5636" w:type="dxa"/>
          </w:tcPr>
          <w:p w14:paraId="7F5EAF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EF8DEED" w14:textId="77777777">
        <w:tc>
          <w:tcPr>
            <w:tcW w:w="5636" w:type="dxa"/>
          </w:tcPr>
          <w:p w14:paraId="5DDA54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w:t>
            </w:r>
          </w:p>
        </w:tc>
        <w:tc>
          <w:tcPr>
            <w:tcW w:w="5636" w:type="dxa"/>
          </w:tcPr>
          <w:p w14:paraId="1BE0ED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м</w:t>
            </w:r>
          </w:p>
        </w:tc>
      </w:tr>
      <w:tr w:rsidR="004E10C1" w:rsidRPr="0044524F" w14:paraId="1F72D215" w14:textId="77777777">
        <w:tc>
          <w:tcPr>
            <w:tcW w:w="5636" w:type="dxa"/>
          </w:tcPr>
          <w:p w14:paraId="4C8CE7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крыла max</w:t>
            </w:r>
          </w:p>
        </w:tc>
        <w:tc>
          <w:tcPr>
            <w:tcW w:w="5636" w:type="dxa"/>
          </w:tcPr>
          <w:p w14:paraId="5492D1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 м</w:t>
            </w:r>
          </w:p>
        </w:tc>
      </w:tr>
      <w:tr w:rsidR="004E10C1" w:rsidRPr="0044524F" w14:paraId="5F5503EE" w14:textId="77777777">
        <w:tc>
          <w:tcPr>
            <w:tcW w:w="5636" w:type="dxa"/>
          </w:tcPr>
          <w:p w14:paraId="12F221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крыльев</w:t>
            </w:r>
          </w:p>
        </w:tc>
        <w:tc>
          <w:tcPr>
            <w:tcW w:w="5636" w:type="dxa"/>
          </w:tcPr>
          <w:p w14:paraId="6E08B6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40,5 м кв.</w:t>
            </w:r>
          </w:p>
        </w:tc>
      </w:tr>
      <w:tr w:rsidR="004E10C1" w:rsidRPr="0044524F" w14:paraId="21DDD798" w14:textId="77777777">
        <w:tc>
          <w:tcPr>
            <w:tcW w:w="5636" w:type="dxa"/>
          </w:tcPr>
          <w:p w14:paraId="5B84AF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Общая длина самолета</w:t>
            </w:r>
          </w:p>
        </w:tc>
        <w:tc>
          <w:tcPr>
            <w:tcW w:w="5636" w:type="dxa"/>
          </w:tcPr>
          <w:p w14:paraId="0C5487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11,3 м</w:t>
            </w:r>
          </w:p>
        </w:tc>
      </w:tr>
      <w:tr w:rsidR="004E10C1" w:rsidRPr="0044524F" w14:paraId="01295DD9" w14:textId="77777777">
        <w:tc>
          <w:tcPr>
            <w:tcW w:w="5636" w:type="dxa"/>
          </w:tcPr>
          <w:p w14:paraId="56A4A3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самолета</w:t>
            </w:r>
          </w:p>
        </w:tc>
        <w:tc>
          <w:tcPr>
            <w:tcW w:w="5636" w:type="dxa"/>
          </w:tcPr>
          <w:p w14:paraId="0517E7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4,03 м</w:t>
            </w:r>
          </w:p>
        </w:tc>
      </w:tr>
      <w:tr w:rsidR="004E10C1" w:rsidRPr="0044524F" w14:paraId="12F29C5D" w14:textId="77777777">
        <w:tc>
          <w:tcPr>
            <w:tcW w:w="5636" w:type="dxa"/>
          </w:tcPr>
          <w:p w14:paraId="2B01EC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элеронов</w:t>
            </w:r>
          </w:p>
        </w:tc>
        <w:tc>
          <w:tcPr>
            <w:tcW w:w="5636" w:type="dxa"/>
          </w:tcPr>
          <w:p w14:paraId="03E568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3,04 м кв.</w:t>
            </w:r>
          </w:p>
        </w:tc>
      </w:tr>
      <w:tr w:rsidR="004E10C1" w:rsidRPr="0044524F" w14:paraId="56ADA9E7" w14:textId="77777777">
        <w:tc>
          <w:tcPr>
            <w:tcW w:w="5636" w:type="dxa"/>
          </w:tcPr>
          <w:p w14:paraId="00655E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стабилизатора</w:t>
            </w:r>
          </w:p>
        </w:tc>
        <w:tc>
          <w:tcPr>
            <w:tcW w:w="5636" w:type="dxa"/>
          </w:tcPr>
          <w:p w14:paraId="4BF024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3,15 м кв.</w:t>
            </w:r>
          </w:p>
        </w:tc>
      </w:tr>
      <w:tr w:rsidR="004E10C1" w:rsidRPr="0044524F" w14:paraId="680EB846" w14:textId="77777777">
        <w:tc>
          <w:tcPr>
            <w:tcW w:w="5636" w:type="dxa"/>
          </w:tcPr>
          <w:p w14:paraId="5F5BE0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рулей высоты</w:t>
            </w:r>
          </w:p>
        </w:tc>
        <w:tc>
          <w:tcPr>
            <w:tcW w:w="5636" w:type="dxa"/>
          </w:tcPr>
          <w:p w14:paraId="62B22A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 м кв.</w:t>
            </w:r>
          </w:p>
        </w:tc>
      </w:tr>
      <w:tr w:rsidR="004E10C1" w:rsidRPr="0044524F" w14:paraId="235B8F66" w14:textId="77777777">
        <w:tc>
          <w:tcPr>
            <w:tcW w:w="5636" w:type="dxa"/>
          </w:tcPr>
          <w:p w14:paraId="17C034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киля + руля управл.</w:t>
            </w:r>
          </w:p>
        </w:tc>
        <w:tc>
          <w:tcPr>
            <w:tcW w:w="5636" w:type="dxa"/>
          </w:tcPr>
          <w:p w14:paraId="43AB72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2,88 м кв.</w:t>
            </w:r>
          </w:p>
        </w:tc>
      </w:tr>
      <w:tr w:rsidR="004E10C1" w:rsidRPr="0044524F" w14:paraId="6EDAAF55" w14:textId="77777777">
        <w:tc>
          <w:tcPr>
            <w:tcW w:w="5636" w:type="dxa"/>
          </w:tcPr>
          <w:p w14:paraId="0A98FE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хода колес</w:t>
            </w:r>
          </w:p>
        </w:tc>
        <w:tc>
          <w:tcPr>
            <w:tcW w:w="5636" w:type="dxa"/>
          </w:tcPr>
          <w:p w14:paraId="2A5A8C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w:t>
            </w:r>
          </w:p>
        </w:tc>
      </w:tr>
      <w:tr w:rsidR="004E10C1" w:rsidRPr="0044524F" w14:paraId="79316C89" w14:textId="77777777">
        <w:tc>
          <w:tcPr>
            <w:tcW w:w="5636" w:type="dxa"/>
          </w:tcPr>
          <w:p w14:paraId="568540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Весовые данные</w:t>
            </w:r>
          </w:p>
        </w:tc>
        <w:tc>
          <w:tcPr>
            <w:tcW w:w="5636" w:type="dxa"/>
          </w:tcPr>
          <w:p w14:paraId="5113A1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602EAD8" w14:textId="77777777">
        <w:tc>
          <w:tcPr>
            <w:tcW w:w="5636" w:type="dxa"/>
          </w:tcPr>
          <w:p w14:paraId="781DB4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самолета</w:t>
            </w:r>
          </w:p>
        </w:tc>
        <w:tc>
          <w:tcPr>
            <w:tcW w:w="5636" w:type="dxa"/>
          </w:tcPr>
          <w:p w14:paraId="26A3D3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2410 кг</w:t>
            </w:r>
          </w:p>
        </w:tc>
      </w:tr>
      <w:tr w:rsidR="004E10C1" w:rsidRPr="0044524F" w14:paraId="20B68F5F" w14:textId="77777777">
        <w:tc>
          <w:tcPr>
            <w:tcW w:w="5636" w:type="dxa"/>
          </w:tcPr>
          <w:p w14:paraId="68F857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Полная нагрузка</w:t>
            </w:r>
          </w:p>
        </w:tc>
        <w:tc>
          <w:tcPr>
            <w:tcW w:w="5636" w:type="dxa"/>
          </w:tcPr>
          <w:p w14:paraId="1A3FE8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1485 кг</w:t>
            </w:r>
          </w:p>
        </w:tc>
      </w:tr>
      <w:tr w:rsidR="004E10C1" w:rsidRPr="0044524F" w14:paraId="0A119EC0" w14:textId="77777777">
        <w:tc>
          <w:tcPr>
            <w:tcW w:w="5636" w:type="dxa"/>
          </w:tcPr>
          <w:p w14:paraId="16A6F6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с парашютом 2 чел.</w:t>
            </w:r>
          </w:p>
        </w:tc>
        <w:tc>
          <w:tcPr>
            <w:tcW w:w="5636" w:type="dxa"/>
          </w:tcPr>
          <w:p w14:paraId="1E38F4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176 кг</w:t>
            </w:r>
          </w:p>
        </w:tc>
      </w:tr>
      <w:tr w:rsidR="004E10C1" w:rsidRPr="0044524F" w14:paraId="3EFA4777" w14:textId="77777777">
        <w:tc>
          <w:tcPr>
            <w:tcW w:w="5636" w:type="dxa"/>
          </w:tcPr>
          <w:p w14:paraId="6103E6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Аэронавигац. Оборудование</w:t>
            </w:r>
          </w:p>
        </w:tc>
        <w:tc>
          <w:tcPr>
            <w:tcW w:w="5636" w:type="dxa"/>
          </w:tcPr>
          <w:p w14:paraId="6D9D19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кг</w:t>
            </w:r>
          </w:p>
        </w:tc>
      </w:tr>
      <w:tr w:rsidR="004E10C1" w:rsidRPr="0044524F" w14:paraId="35A5FE30" w14:textId="77777777">
        <w:tc>
          <w:tcPr>
            <w:tcW w:w="5636" w:type="dxa"/>
          </w:tcPr>
          <w:p w14:paraId="22946A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Вспомогательное оборудование</w:t>
            </w:r>
          </w:p>
        </w:tc>
        <w:tc>
          <w:tcPr>
            <w:tcW w:w="5636" w:type="dxa"/>
          </w:tcPr>
          <w:p w14:paraId="32BA71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002C782" w14:textId="77777777">
        <w:tc>
          <w:tcPr>
            <w:tcW w:w="5636" w:type="dxa"/>
          </w:tcPr>
          <w:p w14:paraId="3C1542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продовольствие</w:t>
            </w:r>
          </w:p>
        </w:tc>
        <w:tc>
          <w:tcPr>
            <w:tcW w:w="5636" w:type="dxa"/>
          </w:tcPr>
          <w:p w14:paraId="16B6DB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 кг</w:t>
            </w:r>
          </w:p>
        </w:tc>
      </w:tr>
      <w:tr w:rsidR="004E10C1" w:rsidRPr="0044524F" w14:paraId="65BE7A70" w14:textId="77777777">
        <w:tc>
          <w:tcPr>
            <w:tcW w:w="5636" w:type="dxa"/>
          </w:tcPr>
          <w:p w14:paraId="05AC73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Электрооборудование дневное и</w:t>
            </w:r>
          </w:p>
        </w:tc>
        <w:tc>
          <w:tcPr>
            <w:tcW w:w="5636" w:type="dxa"/>
          </w:tcPr>
          <w:p w14:paraId="43CE8B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486E0E4" w14:textId="77777777">
        <w:tc>
          <w:tcPr>
            <w:tcW w:w="5636" w:type="dxa"/>
          </w:tcPr>
          <w:p w14:paraId="576BFE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ночное</w:t>
            </w:r>
          </w:p>
        </w:tc>
        <w:tc>
          <w:tcPr>
            <w:tcW w:w="5636" w:type="dxa"/>
          </w:tcPr>
          <w:p w14:paraId="651A7E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кг</w:t>
            </w:r>
          </w:p>
        </w:tc>
      </w:tr>
      <w:tr w:rsidR="004E10C1" w:rsidRPr="0044524F" w14:paraId="4D5C482B" w14:textId="77777777">
        <w:tc>
          <w:tcPr>
            <w:tcW w:w="5636" w:type="dxa"/>
          </w:tcPr>
          <w:p w14:paraId="056E66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Радиооборудование</w:t>
            </w:r>
          </w:p>
        </w:tc>
        <w:tc>
          <w:tcPr>
            <w:tcW w:w="5636" w:type="dxa"/>
          </w:tcPr>
          <w:p w14:paraId="774C83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 кг</w:t>
            </w:r>
          </w:p>
        </w:tc>
      </w:tr>
      <w:tr w:rsidR="004E10C1" w:rsidRPr="0044524F" w14:paraId="532DD985" w14:textId="77777777">
        <w:tc>
          <w:tcPr>
            <w:tcW w:w="5636" w:type="dxa"/>
          </w:tcPr>
          <w:p w14:paraId="68496E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Багаж</w:t>
            </w:r>
          </w:p>
        </w:tc>
        <w:tc>
          <w:tcPr>
            <w:tcW w:w="5636" w:type="dxa"/>
          </w:tcPr>
          <w:p w14:paraId="64274F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кг</w:t>
            </w:r>
          </w:p>
        </w:tc>
      </w:tr>
      <w:tr w:rsidR="004E10C1" w:rsidRPr="0044524F" w14:paraId="30C9C73C" w14:textId="77777777">
        <w:tc>
          <w:tcPr>
            <w:tcW w:w="5636" w:type="dxa"/>
          </w:tcPr>
          <w:p w14:paraId="20FE9F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5636" w:type="dxa"/>
          </w:tcPr>
          <w:p w14:paraId="634A34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385 кг</w:t>
            </w:r>
          </w:p>
        </w:tc>
      </w:tr>
      <w:tr w:rsidR="004E10C1" w:rsidRPr="0044524F" w14:paraId="54747E93" w14:textId="77777777">
        <w:tc>
          <w:tcPr>
            <w:tcW w:w="5636" w:type="dxa"/>
          </w:tcPr>
          <w:p w14:paraId="47ED24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Горючее нормальный запас</w:t>
            </w:r>
          </w:p>
        </w:tc>
        <w:tc>
          <w:tcPr>
            <w:tcW w:w="5636" w:type="dxa"/>
          </w:tcPr>
          <w:p w14:paraId="6FACD5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 кг</w:t>
            </w:r>
          </w:p>
        </w:tc>
      </w:tr>
      <w:tr w:rsidR="004E10C1" w:rsidRPr="0044524F" w14:paraId="7160FAFD" w14:textId="77777777">
        <w:tc>
          <w:tcPr>
            <w:tcW w:w="5636" w:type="dxa"/>
          </w:tcPr>
          <w:p w14:paraId="1428A6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Масло</w:t>
            </w:r>
          </w:p>
        </w:tc>
        <w:tc>
          <w:tcPr>
            <w:tcW w:w="5636" w:type="dxa"/>
          </w:tcPr>
          <w:p w14:paraId="769947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 кг</w:t>
            </w:r>
          </w:p>
        </w:tc>
      </w:tr>
      <w:tr w:rsidR="004E10C1" w:rsidRPr="0044524F" w14:paraId="18A48F8B" w14:textId="77777777">
        <w:tc>
          <w:tcPr>
            <w:tcW w:w="5636" w:type="dxa"/>
          </w:tcPr>
          <w:p w14:paraId="3089AF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5636" w:type="dxa"/>
          </w:tcPr>
          <w:p w14:paraId="2D0E4C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1100 кг</w:t>
            </w:r>
          </w:p>
        </w:tc>
      </w:tr>
      <w:tr w:rsidR="004E10C1" w:rsidRPr="0044524F" w14:paraId="7CD9C5A6" w14:textId="77777777">
        <w:tc>
          <w:tcPr>
            <w:tcW w:w="5636" w:type="dxa"/>
          </w:tcPr>
          <w:p w14:paraId="7C2376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нормальный</w:t>
            </w:r>
          </w:p>
        </w:tc>
        <w:tc>
          <w:tcPr>
            <w:tcW w:w="5636" w:type="dxa"/>
          </w:tcPr>
          <w:p w14:paraId="77907B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3895 кг</w:t>
            </w:r>
          </w:p>
        </w:tc>
      </w:tr>
      <w:tr w:rsidR="004E10C1" w:rsidRPr="0044524F" w14:paraId="4544F0EE" w14:textId="77777777">
        <w:tc>
          <w:tcPr>
            <w:tcW w:w="5636" w:type="dxa"/>
          </w:tcPr>
          <w:p w14:paraId="49805E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с перегрузкой</w:t>
            </w:r>
          </w:p>
        </w:tc>
        <w:tc>
          <w:tcPr>
            <w:tcW w:w="5636" w:type="dxa"/>
          </w:tcPr>
          <w:p w14:paraId="5CC67A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4600 кг</w:t>
            </w:r>
          </w:p>
        </w:tc>
      </w:tr>
      <w:tr w:rsidR="004E10C1" w:rsidRPr="0044524F" w14:paraId="488C88EE" w14:textId="77777777">
        <w:tc>
          <w:tcPr>
            <w:tcW w:w="5636" w:type="dxa"/>
          </w:tcPr>
          <w:p w14:paraId="00DBBA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м кв. Норм.</w:t>
            </w:r>
          </w:p>
        </w:tc>
        <w:tc>
          <w:tcPr>
            <w:tcW w:w="5636" w:type="dxa"/>
          </w:tcPr>
          <w:p w14:paraId="0897F4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 кг</w:t>
            </w:r>
          </w:p>
        </w:tc>
      </w:tr>
      <w:tr w:rsidR="004E10C1" w:rsidRPr="0044524F" w14:paraId="0C11F487" w14:textId="77777777">
        <w:tc>
          <w:tcPr>
            <w:tcW w:w="5636" w:type="dxa"/>
          </w:tcPr>
          <w:p w14:paraId="526DE6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м кв. с перегр.</w:t>
            </w:r>
          </w:p>
        </w:tc>
        <w:tc>
          <w:tcPr>
            <w:tcW w:w="5636" w:type="dxa"/>
          </w:tcPr>
          <w:p w14:paraId="5D1F12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 кг</w:t>
            </w:r>
          </w:p>
        </w:tc>
      </w:tr>
      <w:tr w:rsidR="004E10C1" w:rsidRPr="0044524F" w14:paraId="6F5305EA" w14:textId="77777777">
        <w:tc>
          <w:tcPr>
            <w:tcW w:w="5636" w:type="dxa"/>
          </w:tcPr>
          <w:p w14:paraId="27DEA3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данные самолета.</w:t>
            </w:r>
          </w:p>
        </w:tc>
        <w:tc>
          <w:tcPr>
            <w:tcW w:w="5636" w:type="dxa"/>
          </w:tcPr>
          <w:p w14:paraId="2328CD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6806E24" w14:textId="77777777">
        <w:tc>
          <w:tcPr>
            <w:tcW w:w="5636" w:type="dxa"/>
          </w:tcPr>
          <w:p w14:paraId="5F16DD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Максимальная </w:t>
            </w:r>
          </w:p>
        </w:tc>
        <w:tc>
          <w:tcPr>
            <w:tcW w:w="5636" w:type="dxa"/>
          </w:tcPr>
          <w:p w14:paraId="0B390B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76F265B" w14:textId="77777777">
        <w:tc>
          <w:tcPr>
            <w:tcW w:w="5636" w:type="dxa"/>
          </w:tcPr>
          <w:p w14:paraId="280E33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горизонтальная скорость </w:t>
            </w:r>
          </w:p>
        </w:tc>
        <w:tc>
          <w:tcPr>
            <w:tcW w:w="5636" w:type="dxa"/>
          </w:tcPr>
          <w:p w14:paraId="43DD2F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330-350 км/час </w:t>
            </w:r>
          </w:p>
        </w:tc>
      </w:tr>
      <w:tr w:rsidR="004E10C1" w:rsidRPr="0044524F" w14:paraId="6CE8D23F" w14:textId="77777777">
        <w:tc>
          <w:tcPr>
            <w:tcW w:w="5636" w:type="dxa"/>
          </w:tcPr>
          <w:p w14:paraId="1E1F38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убранным шасси)*</w:t>
            </w:r>
          </w:p>
        </w:tc>
        <w:tc>
          <w:tcPr>
            <w:tcW w:w="5636" w:type="dxa"/>
          </w:tcPr>
          <w:p w14:paraId="2EC8EA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FCE0BBA" w14:textId="77777777">
        <w:tc>
          <w:tcPr>
            <w:tcW w:w="5636" w:type="dxa"/>
          </w:tcPr>
          <w:p w14:paraId="3AD6A0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Крейсерская скорость</w:t>
            </w:r>
          </w:p>
        </w:tc>
        <w:tc>
          <w:tcPr>
            <w:tcW w:w="5636" w:type="dxa"/>
          </w:tcPr>
          <w:p w14:paraId="56D4E1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290-300 км/час</w:t>
            </w:r>
          </w:p>
        </w:tc>
      </w:tr>
      <w:tr w:rsidR="004E10C1" w:rsidRPr="0044524F" w14:paraId="6099D9F9" w14:textId="77777777">
        <w:tc>
          <w:tcPr>
            <w:tcW w:w="5636" w:type="dxa"/>
          </w:tcPr>
          <w:p w14:paraId="5EA4BC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w:t>
            </w:r>
          </w:p>
        </w:tc>
        <w:tc>
          <w:tcPr>
            <w:tcW w:w="5636" w:type="dxa"/>
          </w:tcPr>
          <w:p w14:paraId="70EA1E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 км/час</w:t>
            </w:r>
          </w:p>
        </w:tc>
      </w:tr>
      <w:tr w:rsidR="004E10C1" w:rsidRPr="0044524F" w14:paraId="49175CAD" w14:textId="77777777">
        <w:tc>
          <w:tcPr>
            <w:tcW w:w="5636" w:type="dxa"/>
          </w:tcPr>
          <w:p w14:paraId="094C09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3000 м</w:t>
            </w:r>
          </w:p>
        </w:tc>
        <w:tc>
          <w:tcPr>
            <w:tcW w:w="5636" w:type="dxa"/>
          </w:tcPr>
          <w:p w14:paraId="4514C6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мин.</w:t>
            </w:r>
          </w:p>
        </w:tc>
      </w:tr>
      <w:tr w:rsidR="004E10C1" w:rsidRPr="0044524F" w14:paraId="102EA9A5" w14:textId="77777777">
        <w:tc>
          <w:tcPr>
            <w:tcW w:w="5636" w:type="dxa"/>
          </w:tcPr>
          <w:p w14:paraId="204B33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5000 м</w:t>
            </w:r>
          </w:p>
        </w:tc>
        <w:tc>
          <w:tcPr>
            <w:tcW w:w="5636" w:type="dxa"/>
          </w:tcPr>
          <w:p w14:paraId="0009B9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мин.</w:t>
            </w:r>
          </w:p>
        </w:tc>
      </w:tr>
      <w:tr w:rsidR="004E10C1" w:rsidRPr="0044524F" w14:paraId="4F106823" w14:textId="77777777">
        <w:tc>
          <w:tcPr>
            <w:tcW w:w="5636" w:type="dxa"/>
          </w:tcPr>
          <w:p w14:paraId="692ECB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636" w:type="dxa"/>
          </w:tcPr>
          <w:p w14:paraId="43487D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 м</w:t>
            </w:r>
          </w:p>
        </w:tc>
      </w:tr>
      <w:tr w:rsidR="004E10C1" w:rsidRPr="0044524F" w14:paraId="33300F6F" w14:textId="77777777">
        <w:tc>
          <w:tcPr>
            <w:tcW w:w="5636" w:type="dxa"/>
          </w:tcPr>
          <w:p w14:paraId="4377E8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нормальная</w:t>
            </w:r>
          </w:p>
        </w:tc>
        <w:tc>
          <w:tcPr>
            <w:tcW w:w="5636" w:type="dxa"/>
          </w:tcPr>
          <w:p w14:paraId="6A0DEC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3250 км</w:t>
            </w:r>
          </w:p>
        </w:tc>
      </w:tr>
      <w:tr w:rsidR="004E10C1" w:rsidRPr="0044524F" w14:paraId="52B5431C" w14:textId="77777777">
        <w:tc>
          <w:tcPr>
            <w:tcW w:w="5636" w:type="dxa"/>
          </w:tcPr>
          <w:p w14:paraId="55CCE2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с перегруз.</w:t>
            </w:r>
          </w:p>
        </w:tc>
        <w:tc>
          <w:tcPr>
            <w:tcW w:w="5636" w:type="dxa"/>
          </w:tcPr>
          <w:p w14:paraId="301FE5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 км</w:t>
            </w:r>
          </w:p>
        </w:tc>
      </w:tr>
    </w:tbl>
    <w:p w14:paraId="0EDC65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Приложение: аэродинамический расчет, определение положения центра тяжести самолета, альбом деталей и чертежи NN 2-12, итого 11 шт.</w:t>
      </w:r>
    </w:p>
    <w:p w14:paraId="3830F7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Объяснительная записка к военному варианту самолета "Э-МАИ-2-М34".</w:t>
      </w:r>
    </w:p>
    <w:p w14:paraId="498E91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Военный вариант самолета Э-МАИ-2 рассматривается как вариант переделки рекордного гражданского самолета для военных целей, применительно к техническим требованиям НИИ ВВС от июля 1933 г.</w:t>
      </w:r>
    </w:p>
    <w:p w14:paraId="7D7129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основном этот военный вариант имеет целью выполнение нижеследующих заданий:</w:t>
      </w:r>
    </w:p>
    <w:p w14:paraId="7953F3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разрушение укреплений полевого типа и поражение мото-мехбрончастей, артиллерии и живых сил противника;</w:t>
      </w:r>
    </w:p>
    <w:p w14:paraId="24B8B5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разрушение объектов в тылу противника: база, аэродромы, артсклады и парки, легкие ж/д сооружения;</w:t>
      </w:r>
    </w:p>
    <w:p w14:paraId="5D1E88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разрушение речных переправ.</w:t>
      </w:r>
    </w:p>
    <w:p w14:paraId="77707A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Общий вид военных вариантов представлен на рис. 13 и 14.</w:t>
      </w:r>
    </w:p>
    <w:p w14:paraId="3123D0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конструктивном отношении и схемы последние сохраняются нетронутыми во всех своих силовых и прочих элементах конструкции.</w:t>
      </w:r>
    </w:p>
    <w:p w14:paraId="4603C4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самолете предусматривается возможность и конструктивно могут быть разрешены:</w:t>
      </w:r>
    </w:p>
    <w:p w14:paraId="19A78C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установки одного пулемета Шкас для стрельбы через винт;</w:t>
      </w:r>
    </w:p>
    <w:p w14:paraId="4BC2E5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установки и размещение для него прицелов, проводов управления огнем и ящиков с 1000 патронами;</w:t>
      </w:r>
    </w:p>
    <w:p w14:paraId="0EEC1A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приспособление в верхней части фонаря фюзеляжа турель с пулеметом Шкас для стрельбы назад;</w:t>
      </w:r>
    </w:p>
    <w:p w14:paraId="12CCEB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обеспечение питания этого пулемета патронами в звеньях 1500 шт.;</w:t>
      </w:r>
    </w:p>
    <w:p w14:paraId="5A656E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возможность подвески в крыльях бомб калибра 50, 82, 100 м до 500 кг с соответствующей установкой держателей, замков и сбрасывателей;</w:t>
      </w:r>
    </w:p>
    <w:p w14:paraId="004104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возможность установки дымовых приборов ДАП;</w:t>
      </w:r>
    </w:p>
    <w:p w14:paraId="59538D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возможность установки прицелов Герц и обеспечение подхода к нему.</w:t>
      </w:r>
    </w:p>
    <w:p w14:paraId="755658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Размеры самолета:</w:t>
      </w:r>
    </w:p>
    <w:p w14:paraId="0C7BF0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же, что и у гражданского варианта.</w:t>
      </w:r>
    </w:p>
    <w:p w14:paraId="09D527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Весовые данные: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40F6B741" w14:textId="77777777">
        <w:tc>
          <w:tcPr>
            <w:tcW w:w="5636" w:type="dxa"/>
          </w:tcPr>
          <w:p w14:paraId="51586C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самолета</w:t>
            </w:r>
          </w:p>
        </w:tc>
        <w:tc>
          <w:tcPr>
            <w:tcW w:w="5636" w:type="dxa"/>
          </w:tcPr>
          <w:p w14:paraId="484959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2344</w:t>
            </w:r>
          </w:p>
        </w:tc>
      </w:tr>
      <w:tr w:rsidR="004E10C1" w:rsidRPr="0044524F" w14:paraId="5F0301C2" w14:textId="77777777">
        <w:tc>
          <w:tcPr>
            <w:tcW w:w="5636" w:type="dxa"/>
          </w:tcPr>
          <w:p w14:paraId="53E10A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Полная нормальная нагрузка</w:t>
            </w:r>
          </w:p>
        </w:tc>
        <w:tc>
          <w:tcPr>
            <w:tcW w:w="5636" w:type="dxa"/>
          </w:tcPr>
          <w:p w14:paraId="7B574B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1482</w:t>
            </w:r>
          </w:p>
        </w:tc>
      </w:tr>
      <w:tr w:rsidR="004E10C1" w:rsidRPr="0044524F" w14:paraId="30416A64" w14:textId="77777777">
        <w:tc>
          <w:tcPr>
            <w:tcW w:w="5636" w:type="dxa"/>
          </w:tcPr>
          <w:p w14:paraId="116762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состоит из:</w:t>
            </w:r>
          </w:p>
        </w:tc>
        <w:tc>
          <w:tcPr>
            <w:tcW w:w="5636" w:type="dxa"/>
          </w:tcPr>
          <w:p w14:paraId="46290F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DB2901F" w14:textId="77777777">
        <w:tc>
          <w:tcPr>
            <w:tcW w:w="5636" w:type="dxa"/>
          </w:tcPr>
          <w:p w14:paraId="589B55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Экипажа 2 чел.</w:t>
            </w:r>
          </w:p>
        </w:tc>
        <w:tc>
          <w:tcPr>
            <w:tcW w:w="5636" w:type="dxa"/>
          </w:tcPr>
          <w:p w14:paraId="5A1C60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 кг</w:t>
            </w:r>
          </w:p>
        </w:tc>
      </w:tr>
      <w:tr w:rsidR="004E10C1" w:rsidRPr="0044524F" w14:paraId="39C571A6" w14:textId="77777777">
        <w:tc>
          <w:tcPr>
            <w:tcW w:w="5636" w:type="dxa"/>
          </w:tcPr>
          <w:p w14:paraId="164FB4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Стрелковое вооружение</w:t>
            </w:r>
          </w:p>
        </w:tc>
        <w:tc>
          <w:tcPr>
            <w:tcW w:w="5636" w:type="dxa"/>
          </w:tcPr>
          <w:p w14:paraId="0ABE18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 кг</w:t>
            </w:r>
          </w:p>
        </w:tc>
      </w:tr>
      <w:tr w:rsidR="004E10C1" w:rsidRPr="0044524F" w14:paraId="2F33B1C2" w14:textId="77777777">
        <w:tc>
          <w:tcPr>
            <w:tcW w:w="5636" w:type="dxa"/>
          </w:tcPr>
          <w:p w14:paraId="66A5CE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Бомбардировочное вооружение</w:t>
            </w:r>
          </w:p>
        </w:tc>
        <w:tc>
          <w:tcPr>
            <w:tcW w:w="5636" w:type="dxa"/>
          </w:tcPr>
          <w:p w14:paraId="01E0FC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 кг</w:t>
            </w:r>
          </w:p>
        </w:tc>
      </w:tr>
      <w:tr w:rsidR="004E10C1" w:rsidRPr="0044524F" w14:paraId="33D344EE" w14:textId="77777777">
        <w:tc>
          <w:tcPr>
            <w:tcW w:w="5636" w:type="dxa"/>
          </w:tcPr>
          <w:p w14:paraId="6D372A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Электрооборудование</w:t>
            </w:r>
          </w:p>
        </w:tc>
        <w:tc>
          <w:tcPr>
            <w:tcW w:w="5636" w:type="dxa"/>
          </w:tcPr>
          <w:p w14:paraId="785A1B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кг</w:t>
            </w:r>
          </w:p>
        </w:tc>
      </w:tr>
      <w:tr w:rsidR="004E10C1" w:rsidRPr="0044524F" w14:paraId="5165B644" w14:textId="77777777">
        <w:tc>
          <w:tcPr>
            <w:tcW w:w="5636" w:type="dxa"/>
          </w:tcPr>
          <w:p w14:paraId="4B0835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Аэронавигационное оборуд.</w:t>
            </w:r>
          </w:p>
        </w:tc>
        <w:tc>
          <w:tcPr>
            <w:tcW w:w="5636" w:type="dxa"/>
          </w:tcPr>
          <w:p w14:paraId="14FD38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кг</w:t>
            </w:r>
          </w:p>
        </w:tc>
      </w:tr>
      <w:tr w:rsidR="004E10C1" w:rsidRPr="0044524F" w14:paraId="004537AA" w14:textId="77777777">
        <w:tc>
          <w:tcPr>
            <w:tcW w:w="5636" w:type="dxa"/>
          </w:tcPr>
          <w:p w14:paraId="460E35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Радиооборудование</w:t>
            </w:r>
          </w:p>
        </w:tc>
        <w:tc>
          <w:tcPr>
            <w:tcW w:w="5636" w:type="dxa"/>
          </w:tcPr>
          <w:p w14:paraId="2A32F7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кг</w:t>
            </w:r>
          </w:p>
        </w:tc>
      </w:tr>
      <w:tr w:rsidR="004E10C1" w:rsidRPr="0044524F" w14:paraId="066BE285" w14:textId="77777777">
        <w:tc>
          <w:tcPr>
            <w:tcW w:w="5636" w:type="dxa"/>
          </w:tcPr>
          <w:p w14:paraId="7A7512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Вспомогательное оборудов.</w:t>
            </w:r>
          </w:p>
        </w:tc>
        <w:tc>
          <w:tcPr>
            <w:tcW w:w="5636" w:type="dxa"/>
          </w:tcPr>
          <w:p w14:paraId="78483D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 кг</w:t>
            </w:r>
          </w:p>
        </w:tc>
      </w:tr>
      <w:tr w:rsidR="004E10C1" w:rsidRPr="0044524F" w14:paraId="1C37FF08" w14:textId="77777777">
        <w:tc>
          <w:tcPr>
            <w:tcW w:w="5636" w:type="dxa"/>
          </w:tcPr>
          <w:p w14:paraId="73DDB0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5636" w:type="dxa"/>
          </w:tcPr>
          <w:p w14:paraId="1AC540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712 кг</w:t>
            </w:r>
          </w:p>
        </w:tc>
      </w:tr>
      <w:tr w:rsidR="004E10C1" w:rsidRPr="0044524F" w14:paraId="3066CA91" w14:textId="77777777">
        <w:tc>
          <w:tcPr>
            <w:tcW w:w="5636" w:type="dxa"/>
          </w:tcPr>
          <w:p w14:paraId="2B3F9F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Горючее</w:t>
            </w:r>
          </w:p>
        </w:tc>
        <w:tc>
          <w:tcPr>
            <w:tcW w:w="5636" w:type="dxa"/>
          </w:tcPr>
          <w:p w14:paraId="42D640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 кг</w:t>
            </w:r>
          </w:p>
        </w:tc>
      </w:tr>
      <w:tr w:rsidR="004E10C1" w:rsidRPr="0044524F" w14:paraId="40853648" w14:textId="77777777">
        <w:tc>
          <w:tcPr>
            <w:tcW w:w="5636" w:type="dxa"/>
          </w:tcPr>
          <w:p w14:paraId="7275E6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Масло</w:t>
            </w:r>
          </w:p>
        </w:tc>
        <w:tc>
          <w:tcPr>
            <w:tcW w:w="5636" w:type="dxa"/>
          </w:tcPr>
          <w:p w14:paraId="301213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 кг</w:t>
            </w:r>
          </w:p>
        </w:tc>
      </w:tr>
      <w:tr w:rsidR="004E10C1" w:rsidRPr="0044524F" w14:paraId="77A249D2" w14:textId="77777777">
        <w:tc>
          <w:tcPr>
            <w:tcW w:w="5636" w:type="dxa"/>
          </w:tcPr>
          <w:p w14:paraId="518040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w:t>
            </w:r>
          </w:p>
        </w:tc>
        <w:tc>
          <w:tcPr>
            <w:tcW w:w="5636" w:type="dxa"/>
          </w:tcPr>
          <w:p w14:paraId="4028C8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3826 кг</w:t>
            </w:r>
          </w:p>
        </w:tc>
      </w:tr>
    </w:tbl>
    <w:p w14:paraId="27F6E8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Летные данные самолета</w:t>
      </w:r>
    </w:p>
    <w:p w14:paraId="4642C0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весе 4018 кг с бомбами)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2317B573" w14:textId="77777777">
        <w:tc>
          <w:tcPr>
            <w:tcW w:w="5636" w:type="dxa"/>
          </w:tcPr>
          <w:p w14:paraId="09E8A9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горизонтальная</w:t>
            </w:r>
          </w:p>
        </w:tc>
        <w:tc>
          <w:tcPr>
            <w:tcW w:w="5636" w:type="dxa"/>
          </w:tcPr>
          <w:p w14:paraId="3DB350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85C786E" w14:textId="77777777">
        <w:tc>
          <w:tcPr>
            <w:tcW w:w="5636" w:type="dxa"/>
          </w:tcPr>
          <w:p w14:paraId="5F98D4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у земли</w:t>
            </w:r>
          </w:p>
        </w:tc>
        <w:tc>
          <w:tcPr>
            <w:tcW w:w="5636" w:type="dxa"/>
          </w:tcPr>
          <w:p w14:paraId="051241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270-290 км/час*</w:t>
            </w:r>
          </w:p>
        </w:tc>
      </w:tr>
      <w:tr w:rsidR="004E10C1" w:rsidRPr="0044524F" w14:paraId="0C12505A" w14:textId="77777777">
        <w:tc>
          <w:tcPr>
            <w:tcW w:w="5636" w:type="dxa"/>
          </w:tcPr>
          <w:p w14:paraId="7E84D6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Крейсерская скорость</w:t>
            </w:r>
          </w:p>
        </w:tc>
        <w:tc>
          <w:tcPr>
            <w:tcW w:w="5636" w:type="dxa"/>
          </w:tcPr>
          <w:p w14:paraId="491A2B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240-250 км/час</w:t>
            </w:r>
          </w:p>
        </w:tc>
      </w:tr>
      <w:tr w:rsidR="004E10C1" w:rsidRPr="0044524F" w14:paraId="38DCA477" w14:textId="77777777">
        <w:tc>
          <w:tcPr>
            <w:tcW w:w="5636" w:type="dxa"/>
          </w:tcPr>
          <w:p w14:paraId="35A138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3000 м</w:t>
            </w:r>
          </w:p>
        </w:tc>
        <w:tc>
          <w:tcPr>
            <w:tcW w:w="5636" w:type="dxa"/>
          </w:tcPr>
          <w:p w14:paraId="050556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245-255 км/час</w:t>
            </w:r>
          </w:p>
        </w:tc>
      </w:tr>
      <w:tr w:rsidR="004E10C1" w:rsidRPr="0044524F" w14:paraId="28544831" w14:textId="77777777">
        <w:tc>
          <w:tcPr>
            <w:tcW w:w="5636" w:type="dxa"/>
          </w:tcPr>
          <w:p w14:paraId="039E37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на 5000 м</w:t>
            </w:r>
          </w:p>
        </w:tc>
        <w:tc>
          <w:tcPr>
            <w:tcW w:w="5636" w:type="dxa"/>
          </w:tcPr>
          <w:p w14:paraId="67D66E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235-245 км/час</w:t>
            </w:r>
          </w:p>
        </w:tc>
      </w:tr>
      <w:tr w:rsidR="004E10C1" w:rsidRPr="0044524F" w14:paraId="3D3E9684" w14:textId="77777777">
        <w:tc>
          <w:tcPr>
            <w:tcW w:w="5636" w:type="dxa"/>
          </w:tcPr>
          <w:p w14:paraId="44623C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w:t>
            </w:r>
          </w:p>
        </w:tc>
        <w:tc>
          <w:tcPr>
            <w:tcW w:w="5636" w:type="dxa"/>
          </w:tcPr>
          <w:p w14:paraId="07C8CB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 км/час</w:t>
            </w:r>
          </w:p>
        </w:tc>
      </w:tr>
      <w:tr w:rsidR="004E10C1" w:rsidRPr="0044524F" w14:paraId="26B748AB" w14:textId="77777777">
        <w:tc>
          <w:tcPr>
            <w:tcW w:w="5636" w:type="dxa"/>
          </w:tcPr>
          <w:p w14:paraId="25211E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w:t>
            </w:r>
          </w:p>
        </w:tc>
        <w:tc>
          <w:tcPr>
            <w:tcW w:w="5636" w:type="dxa"/>
          </w:tcPr>
          <w:p w14:paraId="028E43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6000-6200 м</w:t>
            </w:r>
          </w:p>
        </w:tc>
      </w:tr>
      <w:tr w:rsidR="004E10C1" w:rsidRPr="0044524F" w14:paraId="0202304C" w14:textId="77777777">
        <w:tc>
          <w:tcPr>
            <w:tcW w:w="5636" w:type="dxa"/>
          </w:tcPr>
          <w:p w14:paraId="606B8E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3000 м</w:t>
            </w:r>
          </w:p>
        </w:tc>
        <w:tc>
          <w:tcPr>
            <w:tcW w:w="5636" w:type="dxa"/>
          </w:tcPr>
          <w:p w14:paraId="193785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10-12 мин.</w:t>
            </w:r>
          </w:p>
        </w:tc>
      </w:tr>
      <w:tr w:rsidR="004E10C1" w:rsidRPr="0044524F" w14:paraId="382CA8D3" w14:textId="77777777">
        <w:tc>
          <w:tcPr>
            <w:tcW w:w="5636" w:type="dxa"/>
          </w:tcPr>
          <w:p w14:paraId="29038C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5000 м</w:t>
            </w:r>
          </w:p>
        </w:tc>
        <w:tc>
          <w:tcPr>
            <w:tcW w:w="5636" w:type="dxa"/>
          </w:tcPr>
          <w:p w14:paraId="0822C0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25-27 мин.</w:t>
            </w:r>
          </w:p>
        </w:tc>
      </w:tr>
      <w:tr w:rsidR="004E10C1" w:rsidRPr="0044524F" w14:paraId="3B0FDD5A" w14:textId="77777777">
        <w:tc>
          <w:tcPr>
            <w:tcW w:w="5636" w:type="dxa"/>
          </w:tcPr>
          <w:p w14:paraId="245584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w:t>
            </w:r>
          </w:p>
        </w:tc>
        <w:tc>
          <w:tcPr>
            <w:tcW w:w="5636" w:type="dxa"/>
          </w:tcPr>
          <w:p w14:paraId="7FD8CB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1500-1800</w:t>
            </w:r>
          </w:p>
        </w:tc>
      </w:tr>
    </w:tbl>
    <w:p w14:paraId="6AABAA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Приложения: Аэродинамический расчет, определение положения центра тяжести самолета, 2 схемы самолета NN 13 и 14 (2226,41).</w:t>
      </w:r>
    </w:p>
    <w:p w14:paraId="56A68A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E15DD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ноября 1933 года начальник Глававиапрома Королев подписал:</w:t>
      </w:r>
    </w:p>
    <w:p w14:paraId="37D13D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w:t>
      </w:r>
    </w:p>
    <w:p w14:paraId="713774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расчетах стоимости моторов, приобретаемых в САСШ у фирмы "Кертис-Райт" доллар принят округленно в 2 рубля золотом, исходя из тех соображений, что курсовая цена доллара при покупке в кредит Наркомфином принята в 1 рубль 94 копейки. Сверх того добавлены 3% в обеспечение накладных расходов, поскольку цены на моторы фирма назвала ориентировочно (4170, 26).</w:t>
      </w:r>
    </w:p>
    <w:p w14:paraId="7771D9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42819D9" w14:textId="77777777" w:rsidR="00790393" w:rsidRPr="00142305" w:rsidRDefault="00790393" w:rsidP="0079039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29 ноября 1933 года состоялось совещание у начальника ГУАП Г.Н. Королева. На нем было решено, что в 1934 году завод 39 должен изготовить 25 са</w:t>
      </w:r>
      <w:r w:rsidRPr="00142305">
        <w:rPr>
          <w:rStyle w:val="aff"/>
          <w:rFonts w:ascii="Times New Roman" w:hAnsi="Times New Roman" w:cs="Times New Roman"/>
          <w:color w:val="0070C0"/>
          <w:spacing w:val="0"/>
          <w:sz w:val="16"/>
          <w:szCs w:val="16"/>
        </w:rPr>
        <w:softHyphen/>
        <w:t>молетов И-15, причем, 10 из них уже к 1 мая и «в нагрузку» еще 50 И-16М-22. Программу заводу № 1 на 1934 год решили установить в размере 125 И-15 с выпуском первой голов</w:t>
      </w:r>
      <w:r w:rsidRPr="00142305">
        <w:rPr>
          <w:rStyle w:val="aff"/>
          <w:rFonts w:ascii="Times New Roman" w:hAnsi="Times New Roman" w:cs="Times New Roman"/>
          <w:color w:val="0070C0"/>
          <w:spacing w:val="0"/>
          <w:sz w:val="16"/>
          <w:szCs w:val="16"/>
        </w:rPr>
        <w:softHyphen/>
        <w:t>ной серии в количестве пяти машин в мае с последующим увеличением до конца года. Заводу № 21 поручили изготовить в 1934 году 80 самолетов И-16, причем, 10 штук требова</w:t>
      </w:r>
      <w:r w:rsidRPr="00142305">
        <w:rPr>
          <w:rStyle w:val="aff"/>
          <w:rFonts w:ascii="Times New Roman" w:hAnsi="Times New Roman" w:cs="Times New Roman"/>
          <w:color w:val="0070C0"/>
          <w:spacing w:val="0"/>
          <w:sz w:val="16"/>
          <w:szCs w:val="16"/>
        </w:rPr>
        <w:softHyphen/>
        <w:t>лось построить к 1 мая с нарастающим тем</w:t>
      </w:r>
      <w:r w:rsidRPr="00142305">
        <w:rPr>
          <w:rStyle w:val="aff"/>
          <w:rFonts w:ascii="Times New Roman" w:hAnsi="Times New Roman" w:cs="Times New Roman"/>
          <w:color w:val="0070C0"/>
          <w:spacing w:val="0"/>
          <w:sz w:val="16"/>
          <w:szCs w:val="16"/>
        </w:rPr>
        <w:softHyphen/>
        <w:t>пом выпуска этих машин до конца года.</w:t>
      </w:r>
    </w:p>
    <w:p w14:paraId="01745F72" w14:textId="77777777" w:rsidR="00790393" w:rsidRPr="00142305" w:rsidRDefault="00790393" w:rsidP="0079039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На совещании было решено сдать И-14 на госиспытания 5 февраля и провести их за 20 дней. Производство этого типа в количестве 20 штук в 1934 году организовать на заводе № 21 с выпуском первой партии в августе 1934 года. Других серьезных кандидатов на серию пока не было, впрочем, как не было и моторов Райт-Циклон для установки на новые самолеты (25519).</w:t>
      </w:r>
    </w:p>
    <w:p w14:paraId="687E4212" w14:textId="77777777" w:rsidR="00790393" w:rsidRPr="00142305" w:rsidRDefault="00790393" w:rsidP="00790393">
      <w:pPr>
        <w:spacing w:after="0" w:line="240" w:lineRule="auto"/>
        <w:jc w:val="both"/>
        <w:rPr>
          <w:rFonts w:ascii="Times New Roman" w:hAnsi="Times New Roman"/>
          <w:color w:val="0070C0"/>
          <w:sz w:val="16"/>
          <w:szCs w:val="16"/>
        </w:rPr>
      </w:pPr>
    </w:p>
    <w:p w14:paraId="4EB9AC71" w14:textId="77777777" w:rsidR="00790393" w:rsidRPr="00142305" w:rsidRDefault="00790393" w:rsidP="00790393">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29 ноября 1933 года начальник ГУАП Г.Н. Королев провел совещание по вопросу реализации постановления № 118сс/о от 28 ноября. Заказ на 130 И-16М-22 поделили между заводами №39 и №21 в пропорции 50 на 80 (25593).</w:t>
      </w:r>
    </w:p>
    <w:p w14:paraId="441952AD" w14:textId="77777777" w:rsidR="00790393" w:rsidRPr="00142305" w:rsidRDefault="00790393" w:rsidP="00790393">
      <w:pPr>
        <w:spacing w:after="0" w:line="240" w:lineRule="auto"/>
        <w:jc w:val="both"/>
        <w:rPr>
          <w:rFonts w:ascii="Times New Roman" w:hAnsi="Times New Roman"/>
          <w:color w:val="0070C0"/>
          <w:sz w:val="16"/>
          <w:szCs w:val="16"/>
        </w:rPr>
      </w:pPr>
    </w:p>
    <w:p w14:paraId="65BB0265"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ноября 1933 Ляпидев</w:t>
      </w:r>
      <w:r w:rsidRPr="0044524F">
        <w:rPr>
          <w:rFonts w:ascii="Times New Roman" w:hAnsi="Times New Roman"/>
          <w:color w:val="000000" w:themeColor="text1"/>
          <w:sz w:val="16"/>
          <w:szCs w:val="16"/>
        </w:rPr>
        <w:softHyphen/>
        <w:t>ский опробовал в воздухе первый самолёт АНТ-4, сел на лед вблизи парохода. Выявились не</w:t>
      </w:r>
      <w:r w:rsidRPr="0044524F">
        <w:rPr>
          <w:rFonts w:ascii="Times New Roman" w:hAnsi="Times New Roman"/>
          <w:color w:val="000000" w:themeColor="text1"/>
          <w:sz w:val="16"/>
          <w:szCs w:val="16"/>
        </w:rPr>
        <w:softHyphen/>
        <w:t>которые дефекты, механики принялись их устранять. Ляпидевский был самым опытным лётчиком, в 1932 г. он стажировался на АНТ-4 в НИИ ВВС. Конкин на АНТ-4 не летал, на ходу обучаясь во время опробования второго самолёта. Всего сделали семь посадок.</w:t>
      </w:r>
    </w:p>
    <w:p w14:paraId="5257DBB2"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прибытии начальником экспедиции назначили Г.Д. Красинского, опытного поляр</w:t>
      </w:r>
      <w:r w:rsidRPr="0044524F">
        <w:rPr>
          <w:rFonts w:ascii="Times New Roman" w:hAnsi="Times New Roman"/>
          <w:color w:val="000000" w:themeColor="text1"/>
          <w:sz w:val="16"/>
          <w:szCs w:val="16"/>
        </w:rPr>
        <w:softHyphen/>
        <w:t>ника, прекрасно знавшего ледовую обстановку. В 1927-1929 гг. он участвовал в трёх дальних перелетах по Восточной Сибири и Чукотке. Ляпидевский вспоминал, что имен</w:t>
      </w:r>
      <w:r w:rsidRPr="0044524F">
        <w:rPr>
          <w:rFonts w:ascii="Times New Roman" w:hAnsi="Times New Roman"/>
          <w:color w:val="000000" w:themeColor="text1"/>
          <w:sz w:val="16"/>
          <w:szCs w:val="16"/>
        </w:rPr>
        <w:softHyphen/>
        <w:t>но Красинский первый сказал ему, «что «Челюскин», пожалуй, из льдов не выберется — потонет» и предложил снимать людей с «Челюскина» в первую очередь.</w:t>
      </w:r>
    </w:p>
    <w:p w14:paraId="0F9410F0"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Сложность обстановки усугублялась полярной ночью. До судна в один конец требо</w:t>
      </w:r>
      <w:r w:rsidRPr="0044524F">
        <w:rPr>
          <w:rFonts w:ascii="Times New Roman" w:hAnsi="Times New Roman"/>
          <w:color w:val="000000" w:themeColor="text1"/>
          <w:sz w:val="16"/>
          <w:szCs w:val="16"/>
        </w:rPr>
        <w:softHyphen/>
        <w:t>валось около семи лётных часов, а бывали дни, когда солнце вообще не всходило. Получив разрешение Шмидта, попытались лететь к «Челюскину», несмотря на то, что там была площадка всего 600</w:t>
      </w:r>
      <w:r w:rsidRPr="0044524F">
        <w:rPr>
          <w:rFonts w:ascii="Times New Roman" w:hAnsi="Times New Roman"/>
          <w:color w:val="000000" w:themeColor="text1"/>
          <w:sz w:val="16"/>
          <w:szCs w:val="16"/>
          <w:vertAlign w:val="superscript"/>
        </w:rPr>
        <w:t>х</w:t>
      </w:r>
      <w:r w:rsidRPr="0044524F">
        <w:rPr>
          <w:rFonts w:ascii="Times New Roman" w:hAnsi="Times New Roman"/>
          <w:color w:val="000000" w:themeColor="text1"/>
          <w:sz w:val="16"/>
          <w:szCs w:val="16"/>
        </w:rPr>
        <w:t xml:space="preserve">50 м, а для АНТ-4 требовалась как минимум в </w:t>
      </w:r>
      <w:r w:rsidRPr="0044524F">
        <w:rPr>
          <w:rFonts w:ascii="Times New Roman" w:hAnsi="Times New Roman"/>
          <w:color w:val="000000" w:themeColor="text1"/>
          <w:sz w:val="16"/>
          <w:szCs w:val="16"/>
        </w:rPr>
        <w:lastRenderedPageBreak/>
        <w:t>три раза шире. Промежуточной базой должно было стать селение Уэллен на мысе Дежнева. Перелететь туда смогли только 20 декабря, хотя неоднократно вылетали, но возвра</w:t>
      </w:r>
      <w:r w:rsidRPr="0044524F">
        <w:rPr>
          <w:rFonts w:ascii="Times New Roman" w:hAnsi="Times New Roman"/>
          <w:color w:val="000000" w:themeColor="text1"/>
          <w:sz w:val="16"/>
          <w:szCs w:val="16"/>
        </w:rPr>
        <w:softHyphen/>
        <w:t>щались из-за ненадежной работы моторов. Несколько раз полярного дня не хватало, чтобы успеть запустить и прогреть оба мотора (15822).</w:t>
      </w:r>
    </w:p>
    <w:p w14:paraId="3E5A6F6D" w14:textId="77777777" w:rsidR="00170D88" w:rsidRPr="0044524F" w:rsidRDefault="00170D88" w:rsidP="009654CF">
      <w:pPr>
        <w:spacing w:after="0" w:line="240" w:lineRule="auto"/>
        <w:jc w:val="both"/>
        <w:rPr>
          <w:rFonts w:ascii="Times New Roman" w:hAnsi="Times New Roman"/>
          <w:color w:val="000000" w:themeColor="text1"/>
          <w:sz w:val="16"/>
          <w:szCs w:val="16"/>
        </w:rPr>
      </w:pPr>
    </w:p>
    <w:p w14:paraId="2E7170D4"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10252C0"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12D7281" w14:textId="77777777" w:rsidR="00170D88" w:rsidRPr="0044524F" w:rsidRDefault="00170D88" w:rsidP="009654CF">
      <w:pPr>
        <w:pStyle w:val="rtejustify"/>
        <w:spacing w:before="0" w:after="0"/>
        <w:rPr>
          <w:color w:val="000000" w:themeColor="text1"/>
          <w:sz w:val="16"/>
          <w:szCs w:val="16"/>
        </w:rPr>
      </w:pPr>
      <w:r w:rsidRPr="0044524F">
        <w:rPr>
          <w:rStyle w:val="af0"/>
          <w:bCs/>
          <w:i w:val="0"/>
          <w:color w:val="000000" w:themeColor="text1"/>
          <w:sz w:val="16"/>
          <w:szCs w:val="16"/>
        </w:rPr>
        <w:t>29 ноября — 3 декабря 1933 вышел приказ НКТП № 226сс.</w:t>
      </w:r>
      <w:r w:rsidRPr="0044524F">
        <w:rPr>
          <w:color w:val="000000" w:themeColor="text1"/>
          <w:sz w:val="16"/>
          <w:szCs w:val="16"/>
        </w:rPr>
        <w:t xml:space="preserve"> Об организации Броневого совета в составе НКТП СССР. (РГАЭ. Ф. 7297. Оп. 38. Д. 38. Л. 213) (15246).</w:t>
      </w:r>
    </w:p>
    <w:p w14:paraId="278EA824" w14:textId="77777777" w:rsidR="00170D88" w:rsidRPr="0044524F" w:rsidRDefault="00170D88" w:rsidP="009654CF">
      <w:pPr>
        <w:pStyle w:val="rtejustify"/>
        <w:spacing w:before="0" w:after="0"/>
        <w:rPr>
          <w:color w:val="000000" w:themeColor="text1"/>
          <w:sz w:val="16"/>
          <w:szCs w:val="16"/>
        </w:rPr>
      </w:pPr>
    </w:p>
    <w:p w14:paraId="26D528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ноября 1933 г. была ТЕЛЕГРАММА № 888 СПЕЦСООБЩЕНИЕ № 237 из Ленинграда</w:t>
      </w:r>
    </w:p>
    <w:p w14:paraId="5A7C8BAD" w14:textId="77777777" w:rsidR="002E2083" w:rsidRPr="0044524F" w:rsidRDefault="002E2083" w:rsidP="009654CF">
      <w:pPr>
        <w:autoSpaceDE w:val="0"/>
        <w:autoSpaceDN w:val="0"/>
        <w:adjustRightInd w:val="0"/>
        <w:spacing w:after="0" w:line="240" w:lineRule="auto"/>
        <w:jc w:val="both"/>
        <w:rPr>
          <w:rFonts w:ascii="Times New Roman" w:hAnsi="Times New Roman"/>
          <w:bCs/>
          <w:color w:val="000000" w:themeColor="text1"/>
          <w:sz w:val="16"/>
          <w:szCs w:val="16"/>
        </w:rPr>
      </w:pPr>
      <w:r w:rsidRPr="0044524F">
        <w:rPr>
          <w:rFonts w:ascii="Times New Roman" w:hAnsi="Times New Roman"/>
          <w:color w:val="000000" w:themeColor="text1"/>
          <w:sz w:val="16"/>
          <w:szCs w:val="16"/>
        </w:rPr>
        <w:t>Москва – Зам. Пред. Ягода; Нач. ЭКУ ОГПУ Миронов</w:t>
      </w:r>
    </w:p>
    <w:p w14:paraId="770760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(Доложено Сталину) </w:t>
      </w:r>
    </w:p>
    <w:p w14:paraId="711CB3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следствия по делу ликвидированный Экономическим Отделом ПП ОГПУ в ЛВО польско-румынской шпионской агентуры на Ленинградских военных заводах, в дополнение к ранее посланным в ЭКУ ОГПУ показаниям инженера Зильберберга, переброшенного для разведывательных целей румынской и действовавшего в Ленинграде по указаниям инженера Особого Конструкторского Бюро завода им. “Коминтерна” – Капелюшкника, на 27 ноября с. г. добыто ряд новых показаний, устанавливающих, что шпионской сеткой, кроме Военно-Морской Части завода “Электроприбор”, были охвачены: совершенно секретное производство завода им. “Коминтерна” и “Электроморстрой” (производящий монтаж подводных лодок).</w:t>
      </w:r>
    </w:p>
    <w:p w14:paraId="75255A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Зильбербергом, для разведывательной работы в пользу Поьши был завербован инженер-практик Военно-Морской Части завода “Электроприбор” – Дмитриев, который показал, что он в свою очередь извлек для разведывательной работы Зав. архивом Военно-Морской Части Аксенова.</w:t>
      </w:r>
    </w:p>
    <w:p w14:paraId="350BB1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Дмитриев показал:</w:t>
      </w:r>
    </w:p>
    <w:p w14:paraId="1CA8B0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...”Начиная с октября 1932 г. до последнего времени, я систематически получал от Аксенова И.И. материалы по военным заказам Военно-Морской Части и передавал их Зельбербергу Л.Я.</w:t>
      </w:r>
    </w:p>
    <w:p w14:paraId="0E7B31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за этот период я передал Л.Я. Зильбербергу сведения и чертями (синьки) по следующим объектами:</w:t>
      </w:r>
    </w:p>
    <w:p w14:paraId="2737DF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Приборы управления огнем зенитной артиллерии, 2) Гиропилот, 3) Гирокомпас, 4) Горигоризонт, 5) Прибор управления артиллерийским огнем береговой обороны, с указанием назначения их по отдельным заказам и 6) комплект чертежей по заказу “Вышка”.</w:t>
      </w:r>
    </w:p>
    <w:p w14:paraId="2597D2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все эти материалы я получил от Зильберберга 6000 рублей в разное время, из которых 3000 рублей передал Аксенову И.И., а остальные оставил для себя”.</w:t>
      </w:r>
    </w:p>
    <w:p w14:paraId="4C6FCB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Дмитриевым, кроме Аксенова, для сбора сведений о военных заказах, были завербованы: механик 2-го сборочного цеха – Бодний, исключенный из партии за принадлежность к троцкистской оппозиции, давший сведения о состоянии и количестве заказа особо секретного прибора и техник Планово-распределительного отдела Военно-Морской Части – Константинов, по освещению особо секретных заказов “Вышка”.</w:t>
      </w:r>
    </w:p>
    <w:p w14:paraId="77D17C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на Военно-Морской Части завода “Электроприбор” имелась шпионская сетка, в количестве 4-х человек, располагавшая сведениями о состоянии всех военных заказов, возглавляемая и оплачиваемая Зильбербергом.</w:t>
      </w:r>
    </w:p>
    <w:p w14:paraId="3A9578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Показаниями Дмитриева устанавливается, что в июле месяце 1933 г. к нему обратился инженер “Электроморстроя” Тимофеев с просьбой дать ему сведения о количестве и состоянии заказов Военно-Морской Части “Электроприбор”.</w:t>
      </w:r>
    </w:p>
    <w:p w14:paraId="132E63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этому вопросу Дмитриев в своих показаниях пишет:</w:t>
      </w:r>
    </w:p>
    <w:p w14:paraId="75A18E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 конце июля начале августа, приготовив в письменном виде сведения о состоянии заказов по Военно-Морской Части и их количестве, я свез их на службу к Тимофееву Е.С. (пр. 25 октября – недалеко от улицы Герцена), где и передал ему. Здесь получил от него 2500 рублей”.</w:t>
      </w:r>
    </w:p>
    <w:p w14:paraId="51ED23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производстве обыска на квартире Капеоюшника был обнаружен ряд чертежей, в том числе детали заказов “Электроморстоя”.</w:t>
      </w:r>
    </w:p>
    <w:p w14:paraId="116C4D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в день ареста Зильберберга у него обнаружены три чертежа приборов электрического управления артиллерийским огнем.</w:t>
      </w:r>
    </w:p>
    <w:p w14:paraId="02DA3F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Обнаруженные при обыске чертежи приобщены к делу, как вещественное доказательство.</w:t>
      </w:r>
    </w:p>
    <w:p w14:paraId="09CA62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делу арестовано 4 человека.</w:t>
      </w:r>
    </w:p>
    <w:p w14:paraId="344156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Намечены дальнейшие аресты.</w:t>
      </w:r>
    </w:p>
    <w:p w14:paraId="49B050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ПП ОГПУ в ЛВО Медведь</w:t>
      </w:r>
    </w:p>
    <w:p w14:paraId="0C179D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 ЭКО ПП Зверев</w:t>
      </w:r>
    </w:p>
    <w:p w14:paraId="0105DA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ф.3, оп.58, д.243, лл.204-206 (11462).</w:t>
      </w:r>
    </w:p>
    <w:p w14:paraId="58A35F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E8798B2" w14:textId="77777777" w:rsidR="00054834" w:rsidRPr="0044524F" w:rsidRDefault="00054834"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2F9A4F5" w14:textId="77777777" w:rsidR="00054834" w:rsidRPr="0044524F" w:rsidRDefault="0005483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E39F8A3" w14:textId="77777777" w:rsidR="00054834" w:rsidRPr="0044524F" w:rsidRDefault="00054834" w:rsidP="009654CF">
      <w:pPr>
        <w:pStyle w:val="ae"/>
        <w:spacing w:before="0" w:after="0"/>
        <w:jc w:val="both"/>
        <w:textAlignment w:val="baseline"/>
        <w:rPr>
          <w:color w:val="000000" w:themeColor="text1"/>
          <w:sz w:val="16"/>
          <w:szCs w:val="16"/>
        </w:rPr>
      </w:pPr>
      <w:r w:rsidRPr="0044524F">
        <w:rPr>
          <w:color w:val="000000" w:themeColor="text1"/>
          <w:sz w:val="16"/>
          <w:szCs w:val="16"/>
        </w:rPr>
        <w:t>К 30 ноября 1933 года был готов Эскизный проект Т-46, причём машина отличалась от изначального техзадания.</w:t>
      </w:r>
    </w:p>
    <w:p w14:paraId="51045072" w14:textId="77777777" w:rsidR="00054834" w:rsidRPr="0044524F" w:rsidRDefault="00054834" w:rsidP="009654CF">
      <w:pPr>
        <w:pStyle w:val="ae"/>
        <w:spacing w:before="0" w:after="0"/>
        <w:jc w:val="both"/>
        <w:textAlignment w:val="baseline"/>
        <w:rPr>
          <w:color w:val="000000" w:themeColor="text1"/>
          <w:sz w:val="16"/>
          <w:szCs w:val="16"/>
        </w:rPr>
      </w:pPr>
      <w:r w:rsidRPr="0044524F">
        <w:rPr>
          <w:color w:val="000000" w:themeColor="text1"/>
          <w:sz w:val="16"/>
          <w:szCs w:val="16"/>
        </w:rPr>
        <w:t>Ведущим инженером новой машины стал М.В. Симский, также очень большой вклад в работу над ней внёс М.П. Зигель. Руководство осуществляли заместитель главного конструктора завода №185 О.М. Иванов и главный конструктор С.А. Гинзбург.</w:t>
      </w:r>
    </w:p>
    <w:p w14:paraId="2D8EFDFB" w14:textId="77777777" w:rsidR="00054834" w:rsidRPr="0044524F" w:rsidRDefault="00054834" w:rsidP="009654CF">
      <w:pPr>
        <w:pStyle w:val="ae"/>
        <w:spacing w:before="0" w:after="0"/>
        <w:jc w:val="both"/>
        <w:textAlignment w:val="baseline"/>
        <w:rPr>
          <w:color w:val="000000" w:themeColor="text1"/>
          <w:sz w:val="16"/>
          <w:szCs w:val="16"/>
        </w:rPr>
      </w:pPr>
      <w:r w:rsidRPr="0044524F">
        <w:rPr>
          <w:color w:val="000000" w:themeColor="text1"/>
          <w:sz w:val="16"/>
          <w:szCs w:val="16"/>
        </w:rPr>
        <w:t>Ещё на стадии эскизного проектирования от Т-26 почти ничего не осталось, лишь форма корпуса и башни отдалённо напоминали изначальную машину. Согласно расчётам, боевая масса составляла 11 т, при этом машина по габаритам и массе получилась равнозначной БТ-5. Фактически завод №185 создавал танк, который теоретически мог заменить не только Т-26, но и БТ-5 (впрочем, реально Т-46 планировался только как замена Т-26).</w:t>
      </w:r>
    </w:p>
    <w:p w14:paraId="61B2547B" w14:textId="77777777" w:rsidR="00054834" w:rsidRPr="0044524F" w:rsidRDefault="00054834" w:rsidP="009654CF">
      <w:pPr>
        <w:pStyle w:val="ae"/>
        <w:spacing w:before="0" w:after="0"/>
        <w:jc w:val="both"/>
        <w:textAlignment w:val="baseline"/>
        <w:rPr>
          <w:color w:val="000000" w:themeColor="text1"/>
          <w:sz w:val="16"/>
          <w:szCs w:val="16"/>
        </w:rPr>
      </w:pPr>
      <w:r w:rsidRPr="0044524F">
        <w:rPr>
          <w:color w:val="000000" w:themeColor="text1"/>
          <w:sz w:val="16"/>
          <w:szCs w:val="16"/>
        </w:rPr>
        <w:t>В качестве силовой установки предполагался 300-сильный двигатель воздушного охлаждения МТ-5, также разрабатывавшийся силами КБ завода №185. Ожидалось, что на гусеницах максимальная скорость составит 50 км/ч, а на колёсном ходу — 75 км/ч, что даже больше, чем у БТ-5. В связи с переходом на колёсно-гусеничный ход полностью переделали ходовую часть. Танк получал блокированную пружинную подвеску, при этом пружины размещались внутри корпуса. Опорные катки напоминали БТ, но несколько отличались по конструкции. Существенная разница заключалась в том, что у Т-46 ведущими являлись две пары катков, а привод шёл через систему карданов, а не через гитару, как на БТ. Кроме того, управляемыми на колёсном ходу были первые две пары опорных катков. Крайне необычным оказалось и вооружение. Основным вооружением стала 45-мм танковая пушка, но оговаривалось, что танк может получить 76-мм полковую пушку (КТ-28) либо 76-мм танковую пушку ПС-3. С правой стороны ставился огнемёт КС-2, а с пушкой был спарен пулемёт ДТ. По этой причине башню Т-46 по сравнению с Т-26 увеличили в размерах.</w:t>
      </w:r>
    </w:p>
    <w:p w14:paraId="115FEBC5" w14:textId="77777777" w:rsidR="00054834" w:rsidRPr="0044524F" w:rsidRDefault="00054834" w:rsidP="009654CF">
      <w:pPr>
        <w:pStyle w:val="ae"/>
        <w:spacing w:before="0" w:after="0"/>
        <w:jc w:val="both"/>
        <w:textAlignment w:val="baseline"/>
        <w:rPr>
          <w:color w:val="000000" w:themeColor="text1"/>
          <w:sz w:val="16"/>
          <w:szCs w:val="16"/>
        </w:rPr>
      </w:pPr>
      <w:r w:rsidRPr="0044524F">
        <w:rPr>
          <w:color w:val="000000" w:themeColor="text1"/>
          <w:sz w:val="16"/>
          <w:szCs w:val="16"/>
        </w:rPr>
        <w:t>На бумаге получался крайне интересный танк, аналогов которому в мире на тот момент не существовало. Другое дело, что для начала требовалось этот танк не только построить, но и утвердить эскизный проект. 6 декабря 1933 года на заводе №185 прошло совещание, на котором присутствовали Гинзбург, Симский и районный инженер УММ РККА по опытным работам К.К. Сиркен, имевший большой опыт по проектированию танков и САУ. В ходе совещания был составлен список из 30 пунктов доработки проекта Т-46. Также отдельно рассматривалась коробка передач, отличавшаяся весьма непростой конструкцией. Бурная переписка возникла по поводу опорных катков. Дело в том, что трак шириной 280 мм оказался слишком узким для обеспечения нормальной работы резиновых бандажей опорных катков. Имелись проблемы и по изготовлению опытного образца двигателя МТ-5. 23 июля 1934 года пришло письмо от начальника 2-го отдела 3-го управления УММ РККА Павловского, где имелось ещё больше замечаний — 115 (первоначально 119). Всё это, разумеется, отнюдь не ускоряло работу. Ко всему прочему массу проблем создавали заводы-смежники, которые систематически затягивали сроки изготовления отдельных узлов и агрегатов машины.</w:t>
      </w:r>
    </w:p>
    <w:p w14:paraId="27E4AC6D" w14:textId="77777777" w:rsidR="00054834" w:rsidRPr="0044524F" w:rsidRDefault="00054834" w:rsidP="009654CF">
      <w:pPr>
        <w:pStyle w:val="ae"/>
        <w:spacing w:before="0" w:after="0"/>
        <w:jc w:val="both"/>
        <w:textAlignment w:val="baseline"/>
        <w:rPr>
          <w:color w:val="000000" w:themeColor="text1"/>
          <w:sz w:val="16"/>
          <w:szCs w:val="16"/>
        </w:rPr>
      </w:pPr>
      <w:r w:rsidRPr="0044524F">
        <w:rPr>
          <w:color w:val="000000" w:themeColor="text1"/>
          <w:sz w:val="16"/>
          <w:szCs w:val="16"/>
        </w:rPr>
        <w:t>Параллельно с исправлением вносимых замечаний менялся и внешний облик машины. Первоначально Т-46 имел башню с крышей выпуклой формы, как на опытных Т-35. В начале сентября 1934 года Ижорский завод предложил заменить её на плоскую крышу, что упрощало изготовление. Ещё одной интересной разработкой стало создание специального обтекаемого «обвеса», который продувался в аэродинамической трубе. Данная работа проводилась в рамках создания версии Т-46, способного развивать максимальную скорость 100 км/ч. Продувку проводили в Военно-воздушной академии имени Жуковского. Дальше продувок модели дело не продвинулось, тем не менее сам по себе опыт создания обтекателей для танка выглядит крайне интересно (18689).</w:t>
      </w:r>
    </w:p>
    <w:p w14:paraId="0AB78C7F" w14:textId="77777777" w:rsidR="00054834" w:rsidRPr="0044524F" w:rsidRDefault="00054834" w:rsidP="009654CF">
      <w:pPr>
        <w:pStyle w:val="ae"/>
        <w:spacing w:before="0" w:after="0"/>
        <w:jc w:val="both"/>
        <w:textAlignment w:val="baseline"/>
        <w:rPr>
          <w:color w:val="000000" w:themeColor="text1"/>
          <w:sz w:val="16"/>
          <w:szCs w:val="16"/>
        </w:rPr>
      </w:pPr>
    </w:p>
    <w:p w14:paraId="3E958EC5" w14:textId="77777777" w:rsidR="00054834" w:rsidRPr="0044524F" w:rsidRDefault="00054834"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0A9302F9" w14:textId="77777777" w:rsidR="00054834" w:rsidRPr="0044524F" w:rsidRDefault="0005483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4E5B10C" w14:textId="77777777" w:rsidR="0018342B" w:rsidRPr="0044524F" w:rsidRDefault="0018342B" w:rsidP="009654CF">
      <w:pPr>
        <w:pStyle w:val="rtejustify"/>
        <w:spacing w:before="0" w:after="0"/>
        <w:rPr>
          <w:color w:val="000000" w:themeColor="text1"/>
          <w:sz w:val="16"/>
          <w:szCs w:val="16"/>
        </w:rPr>
      </w:pPr>
      <w:r w:rsidRPr="0044524F">
        <w:rPr>
          <w:color w:val="000000" w:themeColor="text1"/>
          <w:sz w:val="16"/>
          <w:szCs w:val="16"/>
        </w:rPr>
        <w:t>30 ноября 1933 г. советник посольства Франции передал члену коллегии НКИД Б.С.Стомонякову памятную записку французского посольства, в которой подтверждалось приглашение Тухачевскому и советским летчикам прибыть во Францию с визитом в ответ на визит Кота (ДВП. Т. XVI. С. 555, 859–860). 10 декабря 1933 г. ПБ приняло предложение Кота о посылке советских командиров в школы французской авиации для совершенствования и наметило состав командируемых. Послу во Франции В.СДовгалевскому было поручено сообщить французской стороне о намерении послать весной 1934 г. эскадрилью самолетов в Париж в ответ на визит Кота (РГАСПИ. Ф. 17. Оп. 162. Д. 15. Л. 152). Визит советской авиационной делегации во главе с начальником Главного управления гражданского/Воздушного флота Уншлихтом состоялся в августе 1934 г. (ДВП. Т. XVII. М. 1971. С. 811).</w:t>
      </w:r>
    </w:p>
    <w:p w14:paraId="3AC5E1B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Архив: РГАСПИ Ф. 558. Оп. 11. Д. 81. Л. 24. Заверенная машинописная копия; Ф. 81. Оп. 3. Д. 101. Л. 26. Машинописный текст с пометами Кагановича. </w:t>
      </w:r>
    </w:p>
    <w:p w14:paraId="5471FB5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Сталин и Каганович. Переписка. 1931–1936 гг. Москва: (РОССПЭН), 2001 Стр. 351-352 (12310).</w:t>
      </w:r>
    </w:p>
    <w:p w14:paraId="33C3C665" w14:textId="2E5761C5" w:rsidR="0018342B" w:rsidRPr="0044524F" w:rsidRDefault="0018342B" w:rsidP="009654CF">
      <w:pPr>
        <w:spacing w:after="0" w:line="240" w:lineRule="auto"/>
        <w:jc w:val="both"/>
        <w:rPr>
          <w:rFonts w:ascii="Times New Roman" w:hAnsi="Times New Roman"/>
          <w:color w:val="000000" w:themeColor="text1"/>
          <w:sz w:val="16"/>
          <w:szCs w:val="16"/>
          <w:u w:color="002060"/>
        </w:rPr>
      </w:pPr>
    </w:p>
    <w:p w14:paraId="694E815B" w14:textId="79AD00EF" w:rsidR="008B6A65" w:rsidRPr="0044524F" w:rsidRDefault="008B6A65" w:rsidP="009654CF">
      <w:pPr>
        <w:spacing w:after="0" w:line="240" w:lineRule="auto"/>
        <w:jc w:val="both"/>
        <w:rPr>
          <w:rFonts w:ascii="Times New Roman" w:hAnsi="Times New Roman"/>
          <w:i/>
          <w:iCs/>
          <w:color w:val="000000" w:themeColor="text1"/>
          <w:sz w:val="16"/>
          <w:szCs w:val="16"/>
          <w:u w:color="002060"/>
        </w:rPr>
      </w:pPr>
      <w:r w:rsidRPr="0044524F">
        <w:rPr>
          <w:rFonts w:ascii="Times New Roman" w:hAnsi="Times New Roman"/>
          <w:i/>
          <w:iCs/>
          <w:color w:val="000000" w:themeColor="text1"/>
          <w:sz w:val="16"/>
          <w:szCs w:val="16"/>
          <w:u w:color="002060"/>
        </w:rPr>
        <w:t>За рубежом:</w:t>
      </w:r>
    </w:p>
    <w:p w14:paraId="4652D000" w14:textId="77777777" w:rsidR="008B6A65" w:rsidRPr="0044524F" w:rsidRDefault="008B6A65" w:rsidP="009654CF">
      <w:pPr>
        <w:spacing w:after="0" w:line="240" w:lineRule="auto"/>
        <w:jc w:val="both"/>
        <w:rPr>
          <w:rFonts w:ascii="Times New Roman" w:hAnsi="Times New Roman"/>
          <w:i/>
          <w:iCs/>
          <w:color w:val="000000" w:themeColor="text1"/>
          <w:sz w:val="16"/>
          <w:szCs w:val="16"/>
          <w:u w:color="002060"/>
        </w:rPr>
      </w:pPr>
    </w:p>
    <w:p w14:paraId="406AC108"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ноября 1933 года — первый полёт многоцелевой летающей лодки Short S.18 Knuckleduster (она же Short R.24/31). /Англия/</w:t>
      </w:r>
    </w:p>
    <w:p w14:paraId="5A7C3489"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году британское авиационное министерство в рамках спецификации R.24/31 на патрульную летающую лодку открытого моря заказало постройку прототипов трём компаниям, в том числе и Short Brothers. Под управлением конструктора Артура Гужа (Arthur Gouge) началась работа над проектом S.18 Knuckleduster.</w:t>
      </w:r>
    </w:p>
    <w:p w14:paraId="69F8436F"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была цельнометаллическая летающая лодка-высокоплан с крылом типа «чайка». Оснащалась 2 × двигателями Rolls-Royce Goshawk VIII (578 км/ч) Крейсерская скорость — 206 км/ч, дальность полёта — 1670 км. Вооружение — 3 × 7,7-мм пулемётами Lewis + до 230 кг бомб.</w:t>
      </w:r>
    </w:p>
    <w:p w14:paraId="743FE717"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время испытаний обнаружилась проблемы с двигателями. Также самолёт признали не соответствующим спецификации по максимальной скорости и дальности полета. Проект был закрыт. Единственный построенный S.18 Knuckleduster летал как учебный самолёт до 1938 года, после чего стал учебным пособием (22300).</w:t>
      </w:r>
    </w:p>
    <w:p w14:paraId="52916187" w14:textId="77777777" w:rsidR="008B6A65" w:rsidRPr="0044524F" w:rsidRDefault="008B6A65" w:rsidP="009654CF">
      <w:pPr>
        <w:spacing w:after="0" w:line="240" w:lineRule="auto"/>
        <w:jc w:val="both"/>
        <w:rPr>
          <w:rFonts w:ascii="Times New Roman" w:hAnsi="Times New Roman"/>
          <w:color w:val="000000" w:themeColor="text1"/>
          <w:sz w:val="16"/>
          <w:szCs w:val="16"/>
        </w:rPr>
      </w:pPr>
    </w:p>
    <w:p w14:paraId="789ED459"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0455B5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9868DD9" w14:textId="77777777" w:rsidR="00A021CE" w:rsidRPr="00142305" w:rsidRDefault="00A021CE" w:rsidP="00A021C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ноября 1933 г. КОСОС начал сдавать докумен</w:t>
      </w:r>
      <w:r w:rsidRPr="00142305">
        <w:rPr>
          <w:rFonts w:ascii="Times New Roman" w:hAnsi="Times New Roman"/>
          <w:color w:val="0070C0"/>
          <w:sz w:val="16"/>
          <w:szCs w:val="16"/>
        </w:rPr>
        <w:softHyphen/>
        <w:t>тацию по ДБ-1 заводу № 39 (24946).</w:t>
      </w:r>
    </w:p>
    <w:p w14:paraId="49FCA71B" w14:textId="77777777" w:rsidR="00A021CE" w:rsidRPr="00142305" w:rsidRDefault="00A021CE" w:rsidP="00A021CE">
      <w:pPr>
        <w:spacing w:after="0" w:line="240" w:lineRule="auto"/>
        <w:jc w:val="both"/>
        <w:rPr>
          <w:rFonts w:ascii="Times New Roman" w:hAnsi="Times New Roman"/>
          <w:color w:val="0070C0"/>
          <w:sz w:val="16"/>
          <w:szCs w:val="16"/>
        </w:rPr>
      </w:pPr>
    </w:p>
    <w:p w14:paraId="7CA39883" w14:textId="77777777" w:rsidR="00A021CE" w:rsidRPr="00142305" w:rsidRDefault="00A021CE" w:rsidP="00A021CE">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ноября 1933 г. Совет Труда и Обороны (СТО) утвердил план заказов НКВМ по вооружению и боевой технике на 1934 г. План предусматривал выпуск 20 самолетов И-14 на заводе № 21 (г. Горький) и 25 самолетов РД ВВ на заводе № 39 им. В.Р. Менжинского (25667).</w:t>
      </w:r>
    </w:p>
    <w:p w14:paraId="2B1ED466" w14:textId="77777777" w:rsidR="00A021CE" w:rsidRPr="00142305" w:rsidRDefault="00A021CE" w:rsidP="00A021CE">
      <w:pPr>
        <w:spacing w:after="0" w:line="240" w:lineRule="auto"/>
        <w:jc w:val="both"/>
        <w:rPr>
          <w:rFonts w:ascii="Times New Roman" w:hAnsi="Times New Roman"/>
          <w:color w:val="0070C0"/>
          <w:sz w:val="16"/>
          <w:szCs w:val="16"/>
        </w:rPr>
      </w:pPr>
    </w:p>
    <w:p w14:paraId="58C71BCE" w14:textId="77777777" w:rsidR="00A021CE" w:rsidRPr="00142305" w:rsidRDefault="00A021CE" w:rsidP="00A021C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ноября 1933 года, был построен полномасштабный макет истребителя ЦКБ-12. Расчетные характеристики были настолько многообещающие, что, даже до завершения первого опытного образца был поднят вопрос о запуске истребителя в серийное производство (25070).</w:t>
      </w:r>
    </w:p>
    <w:p w14:paraId="69828400" w14:textId="77777777" w:rsidR="00A021CE" w:rsidRPr="00142305" w:rsidRDefault="00A021CE" w:rsidP="00A021CE">
      <w:pPr>
        <w:spacing w:after="0" w:line="240" w:lineRule="auto"/>
        <w:jc w:val="both"/>
        <w:rPr>
          <w:rFonts w:ascii="Times New Roman" w:hAnsi="Times New Roman"/>
          <w:color w:val="0070C0"/>
          <w:sz w:val="16"/>
          <w:szCs w:val="16"/>
        </w:rPr>
      </w:pPr>
    </w:p>
    <w:p w14:paraId="7FCEAA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ноября 1933 Р.Л.Бартини получил задание на новый истребитель - персонально от Г.К.Орджоникидзе - Сталь-8. Строился на 240 в отгороженном цехе (174,3).</w:t>
      </w:r>
    </w:p>
    <w:p w14:paraId="366313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2025CAD"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ноября 1933 года Бартини, персонально от наркома тяжелой промышленности получил задание на истребитель. Истребитель, называвшийся «Сталь-8» (шифр ВВС — И-240), строился особняком в отгороженном цехе завода № 240. По аэродинамической компоновке он был почти идентичен «Стали-6», отличаясь более крупными размерами в связи с использованием нового французского мотора «Испано-Сюиза» 12 мощностью 860 л. с. и цельнометаллической конструкцией. Технология производства во многом была отработана на предыдущем типе. Разумеется, по требованию военных на «Стали-8» появился фонарь для головы летчика, выступающий над фюзеляжем. При неподвижном двугранном козырьке крышка фонаря могла быть сдвинута вперед и за счет сквозного потока воздуха под ней не имела тенденции к самопроизвольному «захлопыванию» в полете (чем отличались все фонари, сдвигаемые вперед). Только летчик мог задвинуть прозрачный колпак назад при закрытии кабины. «Хитрый» фонарь отработали на полноразмерном макете, а масштабная модель (1:5) проходила продувки в аэродинамической трубе Академии воздушного флота им. Н. Е. Жуковского.</w:t>
      </w:r>
    </w:p>
    <w:p w14:paraId="7FAA202D"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Истребитель был вооружен двумя синхронными пулеметами ШКАС, установленными на моторе с патронными ящиками над нишей колеса. Водяной радиатор — в крыле, как у прототипа, а масляный радиатор был устроен в корневой зоне крыла под правым зализом стыка с фюзеляжем. Внешними формами истребитель Бартини создает впечатление, что он был разработан не в 1934 году, а лет пять-десять спустя. Настолько совершенной была его аэродинамика. «Сталь-8» и по расчетным данным вполне соответствовал периоду второй мировой войны. На высоте 3000 м его максимальная скорость должна была составлять 630 км/ч, практический потолок — 9000 м при взлетном весе в полторы тонны.</w:t>
      </w:r>
    </w:p>
    <w:p w14:paraId="3CA15B8E"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 цифры вполне оправданы, если учесть, что самолет был выполнен очень чисто, с минимальными отклонениями от теоретических контуров, значительно меньшими, чем в серийном производстве. «Сталь-8» был первым в СССР цельнометаллическим самолетом на роликовой и точечной сварке. Фюзеляж — монокок с пустотелыми листовыми профилями П-образного сечения. Крыло двухлонжеронное с задней стенкой. Лонжероны и нервюры — сварные трубчатые фермы. Обшивка крыла — альтмаг, внутренняя — толщиной 0,8 мм, наружная — 0,5 мм. По всему размаху конденсатора к задней стенке крыла навешивались четыре секции элеронов, которые на взлете, посадке и при виражах выполняли бы функцию закрылков. Управление элеронами и рулями поворота — тросовое. Руль высоты отклонялся в ответ на движения ручки пилота посредством жестких трубчатых тяг. В цепи продольного канала управления был устроен механизм изменения угла отклонения руля высоты в зависимости от скорости полета.</w:t>
      </w:r>
    </w:p>
    <w:p w14:paraId="15421E25"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бензобака емкостью 175 л, сваренные из электрона, были размещены в корневых зонах консолей крыла. Чечевицеобразный маслобак, также сварной конструкции, своей верхней стороной вписывался в наружный контур фюзеляжа перед кабиной. В полете, особенно на больших скоростях, маслобак также охлаждается потоком.</w:t>
      </w:r>
    </w:p>
    <w:p w14:paraId="248B36D4"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Бартини не пользовался распространенными профилями для крыльев и хвостового оперения. Его высоконесущие профили были в полтора-два раза более эффективными по аэродинамическому качеству и значительно устойчивее по срывным характеристикам при больших значениях углов атаки. В совершенстве владея математическим аппаратом, Роберт Людвигович применял его для аналитического определения дужек профилей! Если многие специалисты составляли очертания крыльевого профиля графическими сопряжениями отрезков кривых (как правило, эллипсов или парабол), то Бартини находил линии, соответствующие таким зависимостям, что на стыке двух сопряженных кривых их функции не терпели бы разрыва вплоть до производных второго порядка.</w:t>
      </w:r>
    </w:p>
    <w:p w14:paraId="0BC31E23"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И-240 закончен не был, и его постройка прекратилась в конце 1934 года примерно на 60% стадии готовности (15555).</w:t>
      </w:r>
    </w:p>
    <w:p w14:paraId="5767E441" w14:textId="77777777" w:rsidR="00170D88" w:rsidRPr="0044524F" w:rsidRDefault="00170D88" w:rsidP="009654CF">
      <w:pPr>
        <w:spacing w:after="0" w:line="240" w:lineRule="auto"/>
        <w:jc w:val="both"/>
        <w:rPr>
          <w:rFonts w:ascii="Times New Roman" w:hAnsi="Times New Roman"/>
          <w:color w:val="000000" w:themeColor="text1"/>
          <w:sz w:val="16"/>
          <w:szCs w:val="16"/>
        </w:rPr>
      </w:pPr>
    </w:p>
    <w:p w14:paraId="47AC6CA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ноября 1933 ТБ-1 выгрузи</w:t>
      </w:r>
      <w:r w:rsidRPr="0044524F">
        <w:rPr>
          <w:rFonts w:ascii="Times New Roman" w:hAnsi="Times New Roman"/>
          <w:color w:val="000000" w:themeColor="text1"/>
          <w:sz w:val="16"/>
          <w:szCs w:val="16"/>
        </w:rPr>
        <w:softHyphen/>
        <w:t>ли на лед, собрали и облетали. Наиболее опытным пилотом в составе этой авиагруп</w:t>
      </w:r>
      <w:r w:rsidRPr="0044524F">
        <w:rPr>
          <w:rFonts w:ascii="Times New Roman" w:hAnsi="Times New Roman"/>
          <w:color w:val="000000" w:themeColor="text1"/>
          <w:sz w:val="16"/>
          <w:szCs w:val="16"/>
        </w:rPr>
        <w:softHyphen/>
        <w:t>пы оказался военный летчик А.В. Ляпидев</w:t>
      </w:r>
      <w:r w:rsidRPr="0044524F">
        <w:rPr>
          <w:rFonts w:ascii="Times New Roman" w:hAnsi="Times New Roman"/>
          <w:color w:val="000000" w:themeColor="text1"/>
          <w:sz w:val="16"/>
          <w:szCs w:val="16"/>
        </w:rPr>
        <w:softHyphen/>
        <w:t>ский, который годом ранее прошел обуче</w:t>
      </w:r>
      <w:r w:rsidRPr="0044524F">
        <w:rPr>
          <w:rFonts w:ascii="Times New Roman" w:hAnsi="Times New Roman"/>
          <w:color w:val="000000" w:themeColor="text1"/>
          <w:sz w:val="16"/>
          <w:szCs w:val="16"/>
        </w:rPr>
        <w:softHyphen/>
        <w:t>ние полетам на ТБ-1 в НИИ ВВС, а затем много летал на этом типе в строевых частях. В декабре начальником спасательной экспедиции назначили опытного полярника Г.Д. Красинского, по мнению которого, по</w:t>
      </w:r>
      <w:r w:rsidRPr="0044524F">
        <w:rPr>
          <w:rFonts w:ascii="Times New Roman" w:hAnsi="Times New Roman"/>
          <w:color w:val="000000" w:themeColor="text1"/>
          <w:sz w:val="16"/>
          <w:szCs w:val="16"/>
        </w:rPr>
        <w:softHyphen/>
        <w:t>ложение «Челюскина» становилось безвы</w:t>
      </w:r>
      <w:r w:rsidRPr="0044524F">
        <w:rPr>
          <w:rFonts w:ascii="Times New Roman" w:hAnsi="Times New Roman"/>
          <w:color w:val="000000" w:themeColor="text1"/>
          <w:sz w:val="16"/>
          <w:szCs w:val="16"/>
        </w:rPr>
        <w:softHyphen/>
        <w:t>ходным, и снимать людей с него следовало в первую очередь. После этого 20 декабря один ТБ-1 перелетел на промежуточную ба</w:t>
      </w:r>
      <w:r w:rsidRPr="0044524F">
        <w:rPr>
          <w:rFonts w:ascii="Times New Roman" w:hAnsi="Times New Roman"/>
          <w:color w:val="000000" w:themeColor="text1"/>
          <w:sz w:val="16"/>
          <w:szCs w:val="16"/>
        </w:rPr>
        <w:softHyphen/>
        <w:t>зу Уэллен на мысе Дежнева. Оттуда в конце декабря Ляпидевский дважды пытался вы</w:t>
      </w:r>
      <w:r w:rsidRPr="0044524F">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44524F">
        <w:rPr>
          <w:rFonts w:ascii="Times New Roman" w:hAnsi="Times New Roman"/>
          <w:color w:val="000000" w:themeColor="text1"/>
          <w:sz w:val="16"/>
          <w:szCs w:val="16"/>
        </w:rPr>
        <w:softHyphen/>
        <w:t>вращался. Затем на самолете иссяк запас сжатого воздуха, и Ляпидевскому пришлось вернуться в бухту Провидения за второй машиной. Она числилась за летчиком Чер</w:t>
      </w:r>
      <w:r w:rsidRPr="0044524F">
        <w:rPr>
          <w:rFonts w:ascii="Times New Roman" w:hAnsi="Times New Roman"/>
          <w:color w:val="000000" w:themeColor="text1"/>
          <w:sz w:val="16"/>
          <w:szCs w:val="16"/>
        </w:rPr>
        <w:softHyphen/>
        <w:t>нявским, однако решили, что полеты про</w:t>
      </w:r>
      <w:r w:rsidRPr="0044524F">
        <w:rPr>
          <w:rFonts w:ascii="Times New Roman" w:hAnsi="Times New Roman"/>
          <w:color w:val="000000" w:themeColor="text1"/>
          <w:sz w:val="16"/>
          <w:szCs w:val="16"/>
        </w:rPr>
        <w:softHyphen/>
        <w:t>должит именно Ляпидевский. Двухнедель</w:t>
      </w:r>
      <w:r w:rsidRPr="0044524F">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44524F">
        <w:rPr>
          <w:rFonts w:ascii="Times New Roman" w:hAnsi="Times New Roman"/>
          <w:color w:val="000000" w:themeColor="text1"/>
          <w:sz w:val="16"/>
          <w:szCs w:val="16"/>
        </w:rPr>
        <w:softHyphen/>
        <w:t>жали начало спасения людей (11286).</w:t>
      </w:r>
    </w:p>
    <w:p w14:paraId="3CD110B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7C2D34"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ноября 1933 самолёты АНТ-4 выгрузили на лед, собрали и облетали. 29 числа Ляпидев</w:t>
      </w:r>
      <w:r w:rsidRPr="0044524F">
        <w:rPr>
          <w:rFonts w:ascii="Times New Roman" w:hAnsi="Times New Roman"/>
          <w:color w:val="000000" w:themeColor="text1"/>
          <w:sz w:val="16"/>
          <w:szCs w:val="16"/>
        </w:rPr>
        <w:softHyphen/>
        <w:t>ский опробовал в воздухе первый самолёт, сел на лед вблизи парохода. Выявились не</w:t>
      </w:r>
      <w:r w:rsidRPr="0044524F">
        <w:rPr>
          <w:rFonts w:ascii="Times New Roman" w:hAnsi="Times New Roman"/>
          <w:color w:val="000000" w:themeColor="text1"/>
          <w:sz w:val="16"/>
          <w:szCs w:val="16"/>
        </w:rPr>
        <w:softHyphen/>
        <w:t>которые дефекты, механики принялись их устранять. Ляпидевский был самым опытным лётчиком, в 1932 г. он стажировался на АНТ-4 в НИИ ВВС. Конкин на АНТ-4 не летал, на ходу обучаясь во время опробования второго самолёта. Всего сделали семь посадок.</w:t>
      </w:r>
    </w:p>
    <w:p w14:paraId="25DEF81D"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прибытии начальником экспедиции назначили Г.Д. Красинского, опытного поляр</w:t>
      </w:r>
      <w:r w:rsidRPr="0044524F">
        <w:rPr>
          <w:rFonts w:ascii="Times New Roman" w:hAnsi="Times New Roman"/>
          <w:color w:val="000000" w:themeColor="text1"/>
          <w:sz w:val="16"/>
          <w:szCs w:val="16"/>
        </w:rPr>
        <w:softHyphen/>
        <w:t>ника, прекрасно знавшего ледовую обстановку. В 1927-1929 гг. он участвовал в трёх дальних перелетах по Восточной Сибири и Чукотке. Ляпидевский вспоминал, что имен</w:t>
      </w:r>
      <w:r w:rsidRPr="0044524F">
        <w:rPr>
          <w:rFonts w:ascii="Times New Roman" w:hAnsi="Times New Roman"/>
          <w:color w:val="000000" w:themeColor="text1"/>
          <w:sz w:val="16"/>
          <w:szCs w:val="16"/>
        </w:rPr>
        <w:softHyphen/>
        <w:t>но Красинский первый сказал ему, «что «Челюскин», пожалуй, из льдов не выберется — потонет» и предложил снимать людей с «Челюскина» в первую очередь.</w:t>
      </w:r>
    </w:p>
    <w:p w14:paraId="75E12A4D" w14:textId="77777777" w:rsidR="00170D88" w:rsidRPr="0044524F" w:rsidRDefault="00170D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Сложность обстановки усугублялась полярной ночью. До судна в один конец требо</w:t>
      </w:r>
      <w:r w:rsidRPr="0044524F">
        <w:rPr>
          <w:rFonts w:ascii="Times New Roman" w:hAnsi="Times New Roman"/>
          <w:color w:val="000000" w:themeColor="text1"/>
          <w:sz w:val="16"/>
          <w:szCs w:val="16"/>
        </w:rPr>
        <w:softHyphen/>
        <w:t>валось около семи лётных часов, а бывали дни, когда солнце вообще не всходило. Получив разрешение Шмидта, попытались лететь к «Челюскину», несмотря на то, что там была площадка всего 600</w:t>
      </w:r>
      <w:r w:rsidRPr="0044524F">
        <w:rPr>
          <w:rFonts w:ascii="Times New Roman" w:hAnsi="Times New Roman"/>
          <w:color w:val="000000" w:themeColor="text1"/>
          <w:sz w:val="16"/>
          <w:szCs w:val="16"/>
          <w:vertAlign w:val="superscript"/>
        </w:rPr>
        <w:t>х</w:t>
      </w:r>
      <w:r w:rsidRPr="0044524F">
        <w:rPr>
          <w:rFonts w:ascii="Times New Roman" w:hAnsi="Times New Roman"/>
          <w:color w:val="000000" w:themeColor="text1"/>
          <w:sz w:val="16"/>
          <w:szCs w:val="16"/>
        </w:rPr>
        <w:t>50 м, а для АНТ-4 требовалась как минимум в три раза шире. Промежуточной базой должно было стать селение Уэллен на мысе Дежнева. Перелететь туда смогли только 20 декабря, хотя неоднократно вылетали, но возвра</w:t>
      </w:r>
      <w:r w:rsidRPr="0044524F">
        <w:rPr>
          <w:rFonts w:ascii="Times New Roman" w:hAnsi="Times New Roman"/>
          <w:color w:val="000000" w:themeColor="text1"/>
          <w:sz w:val="16"/>
          <w:szCs w:val="16"/>
        </w:rPr>
        <w:softHyphen/>
        <w:t>щались из-за ненадежной работы моторов. Несколько раз полярного дня не хватало, чтобы успеть запустить и прогреть оба мотора (15822).</w:t>
      </w:r>
    </w:p>
    <w:p w14:paraId="5A20CDE6" w14:textId="77777777" w:rsidR="00170D88" w:rsidRPr="0044524F" w:rsidRDefault="00170D88" w:rsidP="009654CF">
      <w:pPr>
        <w:spacing w:after="0" w:line="240" w:lineRule="auto"/>
        <w:jc w:val="both"/>
        <w:rPr>
          <w:rFonts w:ascii="Times New Roman" w:hAnsi="Times New Roman"/>
          <w:color w:val="000000" w:themeColor="text1"/>
          <w:sz w:val="16"/>
          <w:szCs w:val="16"/>
        </w:rPr>
      </w:pPr>
    </w:p>
    <w:p w14:paraId="3787C932"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F3E586E"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5B498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в НИИ ВВС, при участии ведущего инженера Куликова и ведущего летчика-испытателя Н.Кастанаева завершились испытания модифицированного ТБ-3-4М-17. На машине с крылом увеличенного размаха до 41,85 м и площадью 235,1 м2 поставили зализы крыльев и хвостового оперения в местах их стыка с фюзеляжем и обтекатели на шасси. Сняли выдвижные крыльевые пулеметные установки. В результате возросли максимальная скорость у земли на 20 км/ч, а на высоте 3000 м - на 10 км/ч, практический потолок - на 800 м. Но для конца 1933-го этого было уже недостаточно (5740,7).</w:t>
      </w:r>
    </w:p>
    <w:p w14:paraId="1C3CBB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CA03DA5" w14:textId="77777777" w:rsidR="001122C0" w:rsidRPr="00142305" w:rsidRDefault="001122C0" w:rsidP="001122C0">
      <w:pPr>
        <w:spacing w:after="0" w:line="240" w:lineRule="auto"/>
        <w:jc w:val="both"/>
        <w:rPr>
          <w:rFonts w:ascii="Times New Roman" w:hAnsi="Times New Roman"/>
          <w:color w:val="0070C0"/>
          <w:sz w:val="16"/>
          <w:szCs w:val="16"/>
        </w:rPr>
      </w:pPr>
      <w:bookmarkStart w:id="52" w:name="_Hlk179380529"/>
      <w:r w:rsidRPr="00142305">
        <w:rPr>
          <w:rFonts w:ascii="Times New Roman" w:hAnsi="Times New Roman"/>
          <w:color w:val="0070C0"/>
          <w:sz w:val="16"/>
          <w:szCs w:val="16"/>
        </w:rPr>
        <w:t>В ноябре 1933 г. в НИИ ВВС при участии ведущих инженера Куликова и летчика-испытателя Н И. Кастанаева завершились испытания модифицированного ТБ-3-4М-17. На машине с крылом увеличенного до 41,85 метра размаха и площадью 235,1 м~ поставили зализы крыла и хвостового оперения в местах их сопряжения с фюзеляжем и обтекатели на шасси. Сняли крыльевые пулеметные установки. В результате максимальная скорость у земли возросла на 20 км/ч, а на высоте 3000 метров - на 10 км/ч, потолок же поднялся на 800 метров Но для конца 1933 года этого было уже не достаточно (24991).</w:t>
      </w:r>
    </w:p>
    <w:p w14:paraId="6A69B2AA" w14:textId="77777777" w:rsidR="001122C0" w:rsidRPr="00142305" w:rsidRDefault="001122C0" w:rsidP="001122C0">
      <w:pPr>
        <w:spacing w:after="0" w:line="240" w:lineRule="auto"/>
        <w:jc w:val="both"/>
        <w:rPr>
          <w:rFonts w:ascii="Times New Roman" w:hAnsi="Times New Roman"/>
          <w:color w:val="0070C0"/>
          <w:sz w:val="16"/>
          <w:szCs w:val="16"/>
        </w:rPr>
      </w:pPr>
    </w:p>
    <w:bookmarkEnd w:id="52"/>
    <w:p w14:paraId="200276E2" w14:textId="77777777" w:rsidR="007C27C6" w:rsidRPr="0044524F" w:rsidRDefault="007C2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КБ А.Н.Т. и НИИ ВВС об</w:t>
      </w:r>
      <w:r w:rsidRPr="0044524F">
        <w:rPr>
          <w:rFonts w:ascii="Times New Roman" w:hAnsi="Times New Roman"/>
          <w:color w:val="000000" w:themeColor="text1"/>
          <w:sz w:val="16"/>
          <w:szCs w:val="16"/>
        </w:rPr>
        <w:softHyphen/>
        <w:t>суждали вопрос о возможности исполь</w:t>
      </w:r>
      <w:r w:rsidRPr="0044524F">
        <w:rPr>
          <w:rFonts w:ascii="Times New Roman" w:hAnsi="Times New Roman"/>
          <w:color w:val="000000" w:themeColor="text1"/>
          <w:sz w:val="16"/>
          <w:szCs w:val="16"/>
        </w:rPr>
        <w:softHyphen/>
        <w:t>зования АНТ—20 для военных целей. В декабре 1933 г. появились технические требования к самолету «Максим Горький» в военном варианте с восьмью моторами М-34Р. Их составил главный инженер- механик ВВС РККА Аузан на основе опыта государственных испытаний бом</w:t>
      </w:r>
      <w:r w:rsidRPr="0044524F">
        <w:rPr>
          <w:rFonts w:ascii="Times New Roman" w:hAnsi="Times New Roman"/>
          <w:color w:val="000000" w:themeColor="text1"/>
          <w:sz w:val="16"/>
          <w:szCs w:val="16"/>
        </w:rPr>
        <w:softHyphen/>
        <w:t>бардировщика ТБ—4. В разделе летной эксплуатации говорилось, что самолет должен «допускать горизонтальный полет на боевой высоте с одним выключен</w:t>
      </w:r>
      <w:r w:rsidRPr="0044524F">
        <w:rPr>
          <w:rFonts w:ascii="Times New Roman" w:hAnsi="Times New Roman"/>
          <w:color w:val="000000" w:themeColor="text1"/>
          <w:sz w:val="16"/>
          <w:szCs w:val="16"/>
        </w:rPr>
        <w:softHyphen/>
        <w:t xml:space="preserve">ным мотором и на высоте 2000 м с двумя выключенными моторами». Посадочная скорость не должна превышать 100 км/ч, длина разбега </w:t>
      </w:r>
      <w:r w:rsidRPr="0044524F">
        <w:rPr>
          <w:rFonts w:ascii="Times New Roman" w:hAnsi="Times New Roman"/>
          <w:color w:val="000000" w:themeColor="text1"/>
          <w:sz w:val="16"/>
          <w:szCs w:val="16"/>
        </w:rPr>
        <w:lastRenderedPageBreak/>
        <w:t>— не более 400 м, длина пробега с тормозами — не более 300 м, без тормозов — 400 м. Емкость бензо- и маслобаков должна была обеспечить техническую дальность полета не менее 3000 км. Флетнер или серворуль должен был обеспечивать возможность полета при остановленных с одной стороны моторах. Требовалось также сделать так, чтобы штурман-бомбардир имел воз</w:t>
      </w:r>
      <w:r w:rsidRPr="0044524F">
        <w:rPr>
          <w:rFonts w:ascii="Times New Roman" w:hAnsi="Times New Roman"/>
          <w:color w:val="000000" w:themeColor="text1"/>
          <w:sz w:val="16"/>
          <w:szCs w:val="16"/>
        </w:rPr>
        <w:softHyphen/>
        <w:t>можность самостоятельно доводить са</w:t>
      </w:r>
      <w:r w:rsidRPr="0044524F">
        <w:rPr>
          <w:rFonts w:ascii="Times New Roman" w:hAnsi="Times New Roman"/>
          <w:color w:val="000000" w:themeColor="text1"/>
          <w:sz w:val="16"/>
          <w:szCs w:val="16"/>
        </w:rPr>
        <w:softHyphen/>
        <w:t>молет по курсу в пределах двух-трех градусов. В крыле и фюзеляже «должны быть предусмотрены крепления для под</w:t>
      </w:r>
      <w:r w:rsidRPr="0044524F">
        <w:rPr>
          <w:rFonts w:ascii="Times New Roman" w:hAnsi="Times New Roman"/>
          <w:color w:val="000000" w:themeColor="text1"/>
          <w:sz w:val="16"/>
          <w:szCs w:val="16"/>
        </w:rPr>
        <w:softHyphen/>
        <w:t>вески гамаков и разработана конструкция самого гамака» (23474).</w:t>
      </w:r>
    </w:p>
    <w:p w14:paraId="199791D2" w14:textId="77777777" w:rsidR="007C27C6" w:rsidRPr="0044524F" w:rsidRDefault="007C27C6" w:rsidP="009654CF">
      <w:pPr>
        <w:spacing w:after="0" w:line="240" w:lineRule="auto"/>
        <w:jc w:val="both"/>
        <w:rPr>
          <w:rFonts w:ascii="Times New Roman" w:hAnsi="Times New Roman"/>
          <w:color w:val="000000" w:themeColor="text1"/>
          <w:sz w:val="16"/>
          <w:szCs w:val="16"/>
        </w:rPr>
      </w:pPr>
    </w:p>
    <w:p w14:paraId="3F454A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руководство ВВС, заинтересованное в новом военном самолете, через НИИ ВВС командировало в ЦАГИ инженера для выяснения возможностей использования МГ для военно-транспортных и бомбардировочных операций. Предполагали ставить шаровую башню с пушкой Эрликон, ТУР-5 под спарку ДА, перекатную турель под Эрликон, кинжальную установку ДА и хвостовую турель ТУР-6 под спарку ДА и по две предкрыльевые и закрыльевые башни под спарки ШКАС. Бомб - 20 т на внутренней и наружной подвесках (7425, 18).</w:t>
      </w:r>
    </w:p>
    <w:p w14:paraId="603813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25773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у начальника УВВС Алксниса состоялось совещание по результатам испытаний ТБ-4 (АНТ-16). В протоколе говорилось:</w:t>
      </w:r>
    </w:p>
    <w:p w14:paraId="4FFB4E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самолет в серию не запускать, в виду неудовлетворения ТТТ, в качестве эталона принять военный вариант с-та МГ с восемью моторами М-34. Опытный самолет АНТ-16 передать ЦАГИ для совместных с НИИ испытаний, для выяснения вопросов, связанных с постройкой МГ...” (7388, 9).</w:t>
      </w:r>
    </w:p>
    <w:p w14:paraId="770C4A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0A58BC3" w14:textId="77777777" w:rsidR="006321CD" w:rsidRPr="00142305" w:rsidRDefault="006321CD" w:rsidP="006321C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1933 г. один из полетов К-7 чуть не закончился авари</w:t>
      </w:r>
      <w:r w:rsidRPr="00142305">
        <w:rPr>
          <w:rFonts w:ascii="Times New Roman" w:hAnsi="Times New Roman"/>
          <w:color w:val="0070C0"/>
          <w:sz w:val="16"/>
          <w:szCs w:val="16"/>
        </w:rPr>
        <w:softHyphen/>
        <w:t>ей. Отказал механизм поворота стабилизатора. На третьем заходе на посадку огромный самолет рухнул на землю с вы</w:t>
      </w:r>
      <w:r w:rsidRPr="00142305">
        <w:rPr>
          <w:rFonts w:ascii="Times New Roman" w:hAnsi="Times New Roman"/>
          <w:color w:val="0070C0"/>
          <w:sz w:val="16"/>
          <w:szCs w:val="16"/>
        </w:rPr>
        <w:softHyphen/>
        <w:t>соты около 9 м, но не разрушился, а подпрыгнул несколько раз и остановился. Машину спасли большие колеса низко</w:t>
      </w:r>
      <w:r w:rsidRPr="00142305">
        <w:rPr>
          <w:rFonts w:ascii="Times New Roman" w:hAnsi="Times New Roman"/>
          <w:color w:val="0070C0"/>
          <w:sz w:val="16"/>
          <w:szCs w:val="16"/>
        </w:rPr>
        <w:softHyphen/>
        <w:t>го давления, погасившие удар. При осмотре в цепи привода стабилизатора нашли болт, мешавший ее перемещению. Но ОГПУ сочло это слчайностью, а не диверсией. Существен</w:t>
      </w:r>
      <w:r w:rsidRPr="00142305">
        <w:rPr>
          <w:rFonts w:ascii="Times New Roman" w:hAnsi="Times New Roman"/>
          <w:color w:val="0070C0"/>
          <w:sz w:val="16"/>
          <w:szCs w:val="16"/>
        </w:rPr>
        <w:softHyphen/>
        <w:t>ных повреждений после падения К-7 не получил; ограничи</w:t>
      </w:r>
      <w:r w:rsidRPr="00142305">
        <w:rPr>
          <w:rFonts w:ascii="Times New Roman" w:hAnsi="Times New Roman"/>
          <w:color w:val="0070C0"/>
          <w:sz w:val="16"/>
          <w:szCs w:val="16"/>
        </w:rPr>
        <w:softHyphen/>
        <w:t>лись заменой некоторых приборов и отдельных деталей (24977).</w:t>
      </w:r>
    </w:p>
    <w:p w14:paraId="49EFAA7B" w14:textId="77777777" w:rsidR="006321CD" w:rsidRPr="00142305" w:rsidRDefault="006321CD" w:rsidP="006321CD">
      <w:pPr>
        <w:spacing w:after="0" w:line="240" w:lineRule="auto"/>
        <w:jc w:val="both"/>
        <w:rPr>
          <w:rFonts w:ascii="Times New Roman" w:hAnsi="Times New Roman"/>
          <w:color w:val="0070C0"/>
          <w:sz w:val="16"/>
          <w:szCs w:val="16"/>
        </w:rPr>
      </w:pPr>
    </w:p>
    <w:p w14:paraId="43473D32" w14:textId="77777777" w:rsidR="007C27C6" w:rsidRPr="0044524F" w:rsidRDefault="007C2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года состоялось заседание Совета Труда и Обороны СССР, специально посвященное новым истребителям. Приведем полный текст постановления, принятого по результа</w:t>
      </w:r>
      <w:r w:rsidRPr="0044524F">
        <w:rPr>
          <w:rFonts w:ascii="Times New Roman" w:hAnsi="Times New Roman"/>
          <w:color w:val="000000" w:themeColor="text1"/>
          <w:sz w:val="16"/>
          <w:szCs w:val="16"/>
        </w:rPr>
        <w:softHyphen/>
        <w:t>там всестороннего обсуждения проблемы, так как оно оказало большое влияние на последующую судьбу И-16 (23455).</w:t>
      </w:r>
    </w:p>
    <w:p w14:paraId="1F03825B" w14:textId="77777777" w:rsidR="007C27C6" w:rsidRPr="0044524F" w:rsidRDefault="007C27C6" w:rsidP="009654CF">
      <w:pPr>
        <w:spacing w:after="0" w:line="240" w:lineRule="auto"/>
        <w:jc w:val="both"/>
        <w:rPr>
          <w:rFonts w:ascii="Times New Roman" w:hAnsi="Times New Roman"/>
          <w:color w:val="000000" w:themeColor="text1"/>
          <w:sz w:val="16"/>
          <w:szCs w:val="16"/>
        </w:rPr>
      </w:pPr>
    </w:p>
    <w:p w14:paraId="2D9E52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во время демонстрационных полетов И-15 РЦ 1-й экз. оборвалось ушко лыжного предохранителя и при посадке машина потерпела аварию (капот) (2287,131).</w:t>
      </w:r>
    </w:p>
    <w:p w14:paraId="2DDEEC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C2354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решался вопрос о серийном выпуске И-14 на 21 заводе с 1934 (3110,20).</w:t>
      </w:r>
    </w:p>
    <w:p w14:paraId="5266B0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7D7D939"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года планировалась подготовка к запуску на 21 заводе самолета И-14 конструкции П.О. Сухого со снятием с производства И-5. Но, несмотря на принятые резолюции, по указанию главка на завод были отправлены чертежи скоростного истребителя И-16 конструкторского бюро Поликарпова. Производство самолета разворачивалось на заводах № 39 в Москве и № 21 в Н. Новгороде. Первым к работе приступил московский завод, откуда в Н. Новгород были переданы чертежи. К этому времени завод №21 одновременно занимался отработкой ХАИ-1, завершал производство истребителя И-5 и занимался спаркой УТ типа 6. На заводе № 39 серия истребителей И-16 была небольшой, и нижегородский завод в дальнейшем стал ведущим по этой машине. Завод начал осваивать самолет в 1934 году (21100).</w:t>
      </w:r>
    </w:p>
    <w:p w14:paraId="1EB5349A" w14:textId="77777777" w:rsidR="008B6A65" w:rsidRPr="0044524F" w:rsidRDefault="008B6A65" w:rsidP="009654CF">
      <w:pPr>
        <w:spacing w:after="0" w:line="240" w:lineRule="auto"/>
        <w:jc w:val="both"/>
        <w:rPr>
          <w:rFonts w:ascii="Times New Roman" w:hAnsi="Times New Roman"/>
          <w:color w:val="000000" w:themeColor="text1"/>
          <w:sz w:val="16"/>
          <w:szCs w:val="16"/>
        </w:rPr>
      </w:pPr>
    </w:p>
    <w:p w14:paraId="48928D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приняли решение о запуске в серию И-14 (АНТ-31 П.О.С.) на 21 заводе (1454,26) и даже заключили договор на 50 машин. Позже в план 1934 зажили 30, но не стали ломать производство И-5 (4020,14).</w:t>
      </w:r>
    </w:p>
    <w:p w14:paraId="3950AA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69CE21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решался вопрос о запуске в серию за заводе № 21 истребителя И-14, позднее последовало решение о строитель-стве ХАИ-1. Однако оба самолета стали для Горького лишь частным эпизодом. В соот</w:t>
      </w:r>
      <w:r w:rsidRPr="0044524F">
        <w:rPr>
          <w:rFonts w:ascii="Times New Roman" w:hAnsi="Times New Roman"/>
          <w:color w:val="000000" w:themeColor="text1"/>
          <w:sz w:val="16"/>
          <w:szCs w:val="16"/>
        </w:rPr>
        <w:softHyphen/>
        <w:t>ветствии с приказом ГУАП за № 1106-со от 11 июня 1934 г. завод №21 получил новое зада</w:t>
      </w:r>
      <w:r w:rsidRPr="0044524F">
        <w:rPr>
          <w:rFonts w:ascii="Times New Roman" w:hAnsi="Times New Roman"/>
          <w:color w:val="000000" w:themeColor="text1"/>
          <w:sz w:val="16"/>
          <w:szCs w:val="16"/>
        </w:rPr>
        <w:softHyphen/>
        <w:t>ние — внедрить в крупносерийное производ</w:t>
      </w:r>
      <w:r w:rsidRPr="0044524F">
        <w:rPr>
          <w:rFonts w:ascii="Times New Roman" w:hAnsi="Times New Roman"/>
          <w:color w:val="000000" w:themeColor="text1"/>
          <w:sz w:val="16"/>
          <w:szCs w:val="16"/>
        </w:rPr>
        <w:softHyphen/>
        <w:t>ство истребитель-моноплан И-16 конструк</w:t>
      </w:r>
      <w:r w:rsidRPr="0044524F">
        <w:rPr>
          <w:rFonts w:ascii="Times New Roman" w:hAnsi="Times New Roman"/>
          <w:color w:val="000000" w:themeColor="text1"/>
          <w:sz w:val="16"/>
          <w:szCs w:val="16"/>
        </w:rPr>
        <w:softHyphen/>
        <w:t>ции Поликарпова. Выпуск ХАИ-1 после из</w:t>
      </w:r>
      <w:r w:rsidRPr="0044524F">
        <w:rPr>
          <w:rFonts w:ascii="Times New Roman" w:hAnsi="Times New Roman"/>
          <w:color w:val="000000" w:themeColor="text1"/>
          <w:sz w:val="16"/>
          <w:szCs w:val="16"/>
        </w:rPr>
        <w:softHyphen/>
        <w:t>готовления трех экземпляров перенесли на завод №43 в Киеве, а задание на изготовление И-14 передали иркутскому заводу №125. С появлением И-16 на 21-м заводе ввели нуме</w:t>
      </w:r>
      <w:r w:rsidRPr="0044524F">
        <w:rPr>
          <w:rFonts w:ascii="Times New Roman" w:hAnsi="Times New Roman"/>
          <w:color w:val="000000" w:themeColor="text1"/>
          <w:sz w:val="16"/>
          <w:szCs w:val="16"/>
        </w:rPr>
        <w:softHyphen/>
        <w:t>рацию строящихся самолетов по типам. Так И-5 стал типом №1, И-14 типом №2, ХАИ-1 типом №3, а И-16 типом №4. Впрочем, ука</w:t>
      </w:r>
      <w:r w:rsidRPr="0044524F">
        <w:rPr>
          <w:rFonts w:ascii="Times New Roman" w:hAnsi="Times New Roman"/>
          <w:color w:val="000000" w:themeColor="text1"/>
          <w:sz w:val="16"/>
          <w:szCs w:val="16"/>
        </w:rPr>
        <w:softHyphen/>
        <w:t>зывать тип самолета поначалу забывал и. На</w:t>
      </w:r>
      <w:r w:rsidRPr="0044524F">
        <w:rPr>
          <w:rFonts w:ascii="Times New Roman" w:hAnsi="Times New Roman"/>
          <w:color w:val="000000" w:themeColor="text1"/>
          <w:sz w:val="16"/>
          <w:szCs w:val="16"/>
        </w:rPr>
        <w:softHyphen/>
        <w:t>пример, в сводной ведомости упоминается И-5 №121633 - головной самолет 19-й серии (12295).</w:t>
      </w:r>
    </w:p>
    <w:p w14:paraId="2B99E46C" w14:textId="77777777" w:rsidR="0018342B" w:rsidRPr="0044524F" w:rsidRDefault="0018342B" w:rsidP="009654CF">
      <w:pPr>
        <w:spacing w:after="0" w:line="240" w:lineRule="auto"/>
        <w:jc w:val="both"/>
        <w:rPr>
          <w:rFonts w:ascii="Times New Roman" w:hAnsi="Times New Roman"/>
          <w:color w:val="000000" w:themeColor="text1"/>
          <w:sz w:val="16"/>
          <w:szCs w:val="16"/>
        </w:rPr>
      </w:pPr>
    </w:p>
    <w:p w14:paraId="49DCBD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военные осмотрели деревянный макет самолета (будущего И-16) (1808,4).</w:t>
      </w:r>
    </w:p>
    <w:p w14:paraId="346B49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2EFAB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состоялся осмотр деревянного макета ЦКБ-12. Военные сделали вывод, что проектируемый истребитель полностью соответствует предъявленным к нему требованиям - особенно по части максимальной скорости (12015).</w:t>
      </w:r>
    </w:p>
    <w:p w14:paraId="0F8EC0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667BCA1" w14:textId="77777777" w:rsidR="003956C5" w:rsidRPr="00142305" w:rsidRDefault="003956C5" w:rsidP="003956C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ноябре 1933 г. ос</w:t>
      </w:r>
      <w:r w:rsidRPr="00142305">
        <w:rPr>
          <w:rStyle w:val="aff"/>
          <w:rFonts w:ascii="Times New Roman" w:hAnsi="Times New Roman" w:cs="Times New Roman"/>
          <w:color w:val="0070C0"/>
          <w:spacing w:val="0"/>
          <w:sz w:val="16"/>
          <w:szCs w:val="16"/>
        </w:rPr>
        <w:softHyphen/>
        <w:t>мотр деревянного макета ЦКБ-12 окончательно убеждает военных в правильности выбора. Делается вывод, что проектируе</w:t>
      </w:r>
      <w:r w:rsidRPr="00142305">
        <w:rPr>
          <w:rStyle w:val="aff"/>
          <w:rFonts w:ascii="Times New Roman" w:hAnsi="Times New Roman" w:cs="Times New Roman"/>
          <w:color w:val="0070C0"/>
          <w:spacing w:val="0"/>
          <w:sz w:val="16"/>
          <w:szCs w:val="16"/>
        </w:rPr>
        <w:softHyphen/>
        <w:t>мый истребитель полностью соответствует предъявленным к нему требованиям — особенно по части максимальной скоро</w:t>
      </w:r>
      <w:r w:rsidRPr="00142305">
        <w:rPr>
          <w:rStyle w:val="aff"/>
          <w:rFonts w:ascii="Times New Roman" w:hAnsi="Times New Roman" w:cs="Times New Roman"/>
          <w:color w:val="0070C0"/>
          <w:spacing w:val="0"/>
          <w:sz w:val="16"/>
          <w:szCs w:val="16"/>
        </w:rPr>
        <w:softHyphen/>
        <w:t>сти. Уже 22 ноября 1933 г. Совет Труда и Обороны СССР принимает решение о за</w:t>
      </w:r>
      <w:r w:rsidRPr="00142305">
        <w:rPr>
          <w:rStyle w:val="aff"/>
          <w:rFonts w:ascii="Times New Roman" w:hAnsi="Times New Roman" w:cs="Times New Roman"/>
          <w:color w:val="0070C0"/>
          <w:spacing w:val="0"/>
          <w:sz w:val="16"/>
          <w:szCs w:val="16"/>
        </w:rPr>
        <w:softHyphen/>
        <w:t>пуске нового истребителя в серийное про</w:t>
      </w:r>
      <w:r w:rsidRPr="00142305">
        <w:rPr>
          <w:rStyle w:val="aff"/>
          <w:rFonts w:ascii="Times New Roman" w:hAnsi="Times New Roman" w:cs="Times New Roman"/>
          <w:color w:val="0070C0"/>
          <w:spacing w:val="0"/>
          <w:sz w:val="16"/>
          <w:szCs w:val="16"/>
        </w:rPr>
        <w:softHyphen/>
        <w:t>изводство под обозначением И-16.</w:t>
      </w:r>
    </w:p>
    <w:p w14:paraId="14BC37CB" w14:textId="77777777" w:rsidR="003956C5" w:rsidRPr="00142305" w:rsidRDefault="003956C5" w:rsidP="003956C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 описываемому периоду переговоры о приобретении первой партии двигателей Райт «Циклон» в основном завершились, поступление их предполагалось в ближай</w:t>
      </w:r>
      <w:r w:rsidRPr="00142305">
        <w:rPr>
          <w:rStyle w:val="aff"/>
          <w:rFonts w:ascii="Times New Roman" w:hAnsi="Times New Roman" w:cs="Times New Roman"/>
          <w:color w:val="0070C0"/>
          <w:spacing w:val="0"/>
          <w:sz w:val="16"/>
          <w:szCs w:val="16"/>
        </w:rPr>
        <w:softHyphen/>
        <w:t>шие месяцы. Поэтому и надежда обеспе</w:t>
      </w:r>
      <w:r w:rsidRPr="00142305">
        <w:rPr>
          <w:rStyle w:val="aff"/>
          <w:rFonts w:ascii="Times New Roman" w:hAnsi="Times New Roman" w:cs="Times New Roman"/>
          <w:color w:val="0070C0"/>
          <w:spacing w:val="0"/>
          <w:sz w:val="16"/>
          <w:szCs w:val="16"/>
        </w:rPr>
        <w:softHyphen/>
        <w:t>чить опытный ЦКБ-12 американским дви</w:t>
      </w:r>
      <w:r w:rsidRPr="00142305">
        <w:rPr>
          <w:rStyle w:val="aff"/>
          <w:rFonts w:ascii="Times New Roman" w:hAnsi="Times New Roman" w:cs="Times New Roman"/>
          <w:color w:val="0070C0"/>
          <w:spacing w:val="0"/>
          <w:sz w:val="16"/>
          <w:szCs w:val="16"/>
        </w:rPr>
        <w:softHyphen/>
        <w:t>гателем оставалась (25415).</w:t>
      </w:r>
    </w:p>
    <w:p w14:paraId="13B52F48" w14:textId="77777777" w:rsidR="003956C5" w:rsidRPr="00142305" w:rsidRDefault="003956C5" w:rsidP="003956C5">
      <w:pPr>
        <w:spacing w:after="0" w:line="240" w:lineRule="auto"/>
        <w:jc w:val="both"/>
        <w:rPr>
          <w:rFonts w:ascii="Times New Roman" w:hAnsi="Times New Roman"/>
          <w:color w:val="0070C0"/>
          <w:sz w:val="16"/>
          <w:szCs w:val="16"/>
        </w:rPr>
      </w:pPr>
    </w:p>
    <w:p w14:paraId="72789F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еще до завершения постройки опытных экземпляров на совещании у начальника Глававиапрома Г.Н.Королькова обсуждался вопрос о внедрении И-16 в серию и хотели в 1934 сделать по 100 на 1 и 39 (228,98).</w:t>
      </w:r>
    </w:p>
    <w:p w14:paraId="188597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8160EC4"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на Люберецком аэродроме и химполигоне в Кузьминках испытывали семь И-ЗЕТ с 14 АПК-14бис. Эскадрилья Новока - л Климов, Губанов, Бурылин, Катичев, Родин. Отмечали, что можно стрелять тоько с горизонтального полета и при пикировании до 30 гр., кабрировании и крене до 25-30 гр. Начали стрельбу стержневой шрапнелью черт. 2-633, а затем - осколочной гранатой. Темп - 21 выстрел/минуту.</w:t>
      </w:r>
    </w:p>
    <w:p w14:paraId="61415FE6"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Комиссия решила, что И-ЗЕТ испытания выдержал и после устранеия недостатков м.б. допущена на войсковые испытания (3996, 93).</w:t>
      </w:r>
    </w:p>
    <w:p w14:paraId="2408ED92"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58ECC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на Люберецком аэродроме и химическом полигоне в Кузьминках испытывалось семь самолетов И-7 с 14 пушками АПК-4бис. Их испытывала эскадрилья Новака — летчики Климов, Губанов, Бурылин, Катичев и Родин. Отмечалось, что при данной установке АПК стрелять возможно только в горизонтальной плоскости, при пикировании до угла 30°, при кабрировании в крене 25–30°. Первоначально стрельбы велись стержневой шрапнелью чертежа 2–633, а затем — осколочной гранатой. Темп стрельбы без задержек составил 21 выстр/мин. Комиссия сочла, что система АПК-4бис на самолете И-7 испытания выдержала и что при устранении прилагаемого перечня недостатков может быть допущена на войсковые испытания.</w:t>
      </w:r>
    </w:p>
    <w:p w14:paraId="5257DC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к 1934 г. авиазавод № 39 выпустил вместе с опытным самолетом 22 И-7. С начала года проведение стрельб и испытаний было продолжено в Переславле-Залесском. Возглавил испытания Томас Павлович Сузи. Командиром отряда И-7 был летчик Кузьма Александрович Катичев. Летать начали зимой 1934 г. Стреляли по конусам, которые таскали разведчики Р-5. Все затянулось более чем на год. По сути, это были уже не войсковые испытания, а строевая служба, в ходе которой отрабатывались способы применения, ведения огня по воздушным и наземным целям.</w:t>
      </w:r>
    </w:p>
    <w:p w14:paraId="0FB08D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1934–1935 гг. харьковский завод № 135 и московский завод № 39 выпустили 72 истребителя И-7 (12091).</w:t>
      </w:r>
    </w:p>
    <w:p w14:paraId="033904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65AC928" w14:textId="77777777" w:rsidR="003956C5" w:rsidRPr="00142305" w:rsidRDefault="003956C5" w:rsidP="003956C5">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ноябре 1933 г. на Люберецком аэродроме и химическом полигоне в Кузьминках испытывалось семь самолетов И-7 с 14 пушками АПК-4бис. Их испытывала эскадрилья Новака — летчики Климов, Губанов, Бурылин, Катичев и Родин. Отмечалось, что при данной установке АПК стрелять возможно только в горизонтальной плоскости, при пикировании до угла 30°, при кабрировании в крене 25–30°. Первоначально стрельбы велись стержневой шрапнелью чертежа 2—633, а затем — осколочной гранатой. Темп стрельбы без задержек составил 21 выстр./мин. Комиссия сочла, что система АПК-4бис на самолете И-7 испытания выдержала, и что при устранении прилагаемого перечня недостатков может быть допущена на войсковые испытания.</w:t>
      </w:r>
    </w:p>
    <w:p w14:paraId="73E3D7F9" w14:textId="77777777" w:rsidR="003956C5" w:rsidRPr="00142305" w:rsidRDefault="003956C5" w:rsidP="003956C5">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Всего к 1934 г. авиазавод № 39 выпустил вместе с опытным самолетом 22 И-7 (25213).</w:t>
      </w:r>
    </w:p>
    <w:p w14:paraId="06E16080" w14:textId="77777777" w:rsidR="003956C5" w:rsidRPr="00142305" w:rsidRDefault="003956C5" w:rsidP="003956C5">
      <w:pPr>
        <w:spacing w:after="0" w:line="240" w:lineRule="auto"/>
        <w:jc w:val="both"/>
        <w:rPr>
          <w:rFonts w:ascii="Times New Roman" w:hAnsi="Times New Roman"/>
          <w:color w:val="0070C0"/>
          <w:sz w:val="16"/>
          <w:szCs w:val="16"/>
        </w:rPr>
      </w:pPr>
    </w:p>
    <w:p w14:paraId="3D6093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при составлении плана работ на 1934 год Плановым отделом завода по указанию директора Марголина, самолет ЦКБ-9 был отнесен на 1935 год из-за отсутствия мотора М-48, а самолет ЦКБ-2 на декабрь 1934 года, как не дающий при тех высотных моторах, которые мы имеем на сегодня, рекордной высоты. Я в это время возвратился из отпуска и стоило больших трудов отстоять сроки, указанные в вышеприведенной таблице, так как у Чижевского имелись сведения, что мотор М-48 будет дан в марте 1934 года (что и подтвердилось), а в июле 1934 года должен быть получен мотор М-34 с турбокомпрессором РАТО, дающим высотность 7-</w:t>
      </w:r>
      <w:r w:rsidRPr="0044524F">
        <w:rPr>
          <w:rFonts w:ascii="Times New Roman" w:hAnsi="Times New Roman"/>
          <w:color w:val="000000" w:themeColor="text1"/>
          <w:sz w:val="16"/>
          <w:szCs w:val="16"/>
        </w:rPr>
        <w:lastRenderedPageBreak/>
        <w:t>8000 м. Кроме того, в отношении ЦКБ-2 можно сказать, что даже при постановке простого мотора М-34, при котором потолок самолета будет около 7000 м и этой высоты достаточно для того, чтобы изучать работу летчика в герметически закрытой кабине, а следовательно подготовить самолет для полета в стратосферу (7508, 54-58).</w:t>
      </w:r>
    </w:p>
    <w:p w14:paraId="3CF70A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C47D1DB" w14:textId="3988FD3D"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ноябре 1933 г. в НИИ ВВС утвердили проект ВС-2 Калинина, но в варианте без расположенных над крылом рулей высоты и элеронов. Окончательный облик проект ВС-2 приобрел в конце 1933 г.</w:t>
      </w:r>
      <w:r w:rsidR="0088747B">
        <w:rPr>
          <w:rFonts w:ascii="Times New Roman" w:eastAsia="Times New Roman" w:hAnsi="Times New Roman"/>
          <w:color w:val="000000" w:themeColor="text1"/>
          <w:sz w:val="16"/>
          <w:szCs w:val="16"/>
          <w:lang w:eastAsia="ru-RU"/>
        </w:rPr>
        <w:t xml:space="preserve"> </w:t>
      </w:r>
      <w:r w:rsidRPr="0044524F">
        <w:rPr>
          <w:rFonts w:ascii="Times New Roman" w:eastAsia="Times New Roman" w:hAnsi="Times New Roman"/>
          <w:color w:val="000000" w:themeColor="text1"/>
          <w:sz w:val="16"/>
          <w:szCs w:val="16"/>
          <w:lang w:eastAsia="ru-RU"/>
        </w:rPr>
        <w:t>(17489).</w:t>
      </w:r>
    </w:p>
    <w:p w14:paraId="1A4AA450"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p>
    <w:p w14:paraId="3C8E5E50"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ВВС снова был поставлен вопрос в Правительстве о неудовлетворительных темпах подготовки производства новых современных типов самолетов истребителей, в результате чего специальное решение КО (см. постановление № 118сс от 28 ноября 1933 года) обязало НКТПром, под персональную ответственность начальника ГУАП Королева, изготовить 300 новых современных истребителей И-14, И-15, И-16, определив заводы и помесячные выпуски этих самолетов с производства. В виду того, что внутри страны производства истребительных моторов не было, Правительство одновременно с этим отпустило 6 млн. рублей специально на закупку истребительных моторов Райт-Циклон воздушного охлаждения и Испано-Сюиза водяного охлаждения (7439, 14).</w:t>
      </w:r>
    </w:p>
    <w:p w14:paraId="3CC50751"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46CCAB0A" w14:textId="77777777" w:rsidR="00125FE3" w:rsidRPr="00142305" w:rsidRDefault="00125FE3" w:rsidP="00125FE3">
      <w:pPr>
        <w:widowControl w:val="0"/>
        <w:tabs>
          <w:tab w:val="left" w:pos="486"/>
        </w:tabs>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ноябре 1933 г. ВВС снова был поставлен во</w:t>
      </w:r>
      <w:r w:rsidRPr="00142305">
        <w:rPr>
          <w:rStyle w:val="aff"/>
          <w:rFonts w:ascii="Times New Roman" w:hAnsi="Times New Roman" w:cs="Times New Roman"/>
          <w:color w:val="0070C0"/>
          <w:spacing w:val="0"/>
          <w:sz w:val="16"/>
          <w:szCs w:val="16"/>
        </w:rPr>
        <w:softHyphen/>
        <w:t>прос в Правительстве о неудовлетворитель</w:t>
      </w:r>
      <w:r w:rsidRPr="00142305">
        <w:rPr>
          <w:rStyle w:val="aff"/>
          <w:rFonts w:ascii="Times New Roman" w:hAnsi="Times New Roman" w:cs="Times New Roman"/>
          <w:color w:val="0070C0"/>
          <w:spacing w:val="0"/>
          <w:sz w:val="16"/>
          <w:szCs w:val="16"/>
        </w:rPr>
        <w:softHyphen/>
        <w:t>ных темпах подготовки производства новых современных типов самолетов истребите</w:t>
      </w:r>
      <w:r w:rsidRPr="00142305">
        <w:rPr>
          <w:rStyle w:val="aff"/>
          <w:rFonts w:ascii="Times New Roman" w:hAnsi="Times New Roman" w:cs="Times New Roman"/>
          <w:color w:val="0070C0"/>
          <w:spacing w:val="0"/>
          <w:sz w:val="16"/>
          <w:szCs w:val="16"/>
        </w:rPr>
        <w:softHyphen/>
        <w:t>лей, в результате чего специальное решение КО (см. постановление № 118сс от 28 ноября 1933 года) обязало НКТПром, под персональ</w:t>
      </w:r>
      <w:r w:rsidRPr="00142305">
        <w:rPr>
          <w:rStyle w:val="aff"/>
          <w:rFonts w:ascii="Times New Roman" w:hAnsi="Times New Roman" w:cs="Times New Roman"/>
          <w:color w:val="0070C0"/>
          <w:spacing w:val="0"/>
          <w:sz w:val="16"/>
          <w:szCs w:val="16"/>
        </w:rPr>
        <w:softHyphen/>
        <w:t>ную ответственность начальника ГУАП Ко</w:t>
      </w:r>
      <w:r w:rsidRPr="00142305">
        <w:rPr>
          <w:rStyle w:val="aff"/>
          <w:rFonts w:ascii="Times New Roman" w:hAnsi="Times New Roman" w:cs="Times New Roman"/>
          <w:color w:val="0070C0"/>
          <w:spacing w:val="0"/>
          <w:sz w:val="16"/>
          <w:szCs w:val="16"/>
        </w:rPr>
        <w:softHyphen/>
        <w:t>ролева, изготовить 300 новых современных истребителей И-14, И-15, И-16, определив за</w:t>
      </w:r>
      <w:r w:rsidRPr="00142305">
        <w:rPr>
          <w:rStyle w:val="aff"/>
          <w:rFonts w:ascii="Times New Roman" w:hAnsi="Times New Roman" w:cs="Times New Roman"/>
          <w:color w:val="0070C0"/>
          <w:spacing w:val="0"/>
          <w:sz w:val="16"/>
          <w:szCs w:val="16"/>
        </w:rPr>
        <w:softHyphen/>
        <w:t>воды и помесячные выпуски этих самолетов с производства.</w:t>
      </w:r>
    </w:p>
    <w:p w14:paraId="34CA6F08" w14:textId="77777777" w:rsidR="00125FE3" w:rsidRPr="00142305" w:rsidRDefault="00125FE3" w:rsidP="00125FE3">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виду того, что внутри страны нет про</w:t>
      </w:r>
      <w:r w:rsidRPr="00142305">
        <w:rPr>
          <w:rStyle w:val="aff"/>
          <w:rFonts w:ascii="Times New Roman" w:hAnsi="Times New Roman" w:cs="Times New Roman"/>
          <w:color w:val="0070C0"/>
          <w:spacing w:val="0"/>
          <w:sz w:val="16"/>
          <w:szCs w:val="16"/>
        </w:rPr>
        <w:softHyphen/>
        <w:t>изводства истребительных моторов, Прави</w:t>
      </w:r>
      <w:r w:rsidRPr="00142305">
        <w:rPr>
          <w:rStyle w:val="aff"/>
          <w:rFonts w:ascii="Times New Roman" w:hAnsi="Times New Roman" w:cs="Times New Roman"/>
          <w:color w:val="0070C0"/>
          <w:spacing w:val="0"/>
          <w:sz w:val="16"/>
          <w:szCs w:val="16"/>
        </w:rPr>
        <w:softHyphen/>
        <w:t>тельство одновременно с этим отпустило 6 млн. рублей специально на закупку истреби</w:t>
      </w:r>
      <w:r w:rsidRPr="00142305">
        <w:rPr>
          <w:rStyle w:val="aff"/>
          <w:rFonts w:ascii="Times New Roman" w:hAnsi="Times New Roman" w:cs="Times New Roman"/>
          <w:color w:val="0070C0"/>
          <w:spacing w:val="0"/>
          <w:sz w:val="16"/>
          <w:szCs w:val="16"/>
        </w:rPr>
        <w:softHyphen/>
        <w:t>тельных моторов Райт-Циклон воздушного охлаждения и Испано-Сюиза водяного охлаж</w:t>
      </w:r>
      <w:r w:rsidRPr="00142305">
        <w:rPr>
          <w:rStyle w:val="aff"/>
          <w:rFonts w:ascii="Times New Roman" w:hAnsi="Times New Roman" w:cs="Times New Roman"/>
          <w:color w:val="0070C0"/>
          <w:spacing w:val="0"/>
          <w:sz w:val="16"/>
          <w:szCs w:val="16"/>
        </w:rPr>
        <w:softHyphen/>
        <w:t>дения (51519).</w:t>
      </w:r>
    </w:p>
    <w:p w14:paraId="55125BEC" w14:textId="77777777" w:rsidR="00125FE3" w:rsidRPr="00142305" w:rsidRDefault="00125FE3" w:rsidP="00125FE3">
      <w:pPr>
        <w:spacing w:after="0" w:line="240" w:lineRule="auto"/>
        <w:jc w:val="both"/>
        <w:rPr>
          <w:rFonts w:ascii="Times New Roman" w:hAnsi="Times New Roman"/>
          <w:color w:val="0070C0"/>
          <w:sz w:val="16"/>
          <w:szCs w:val="16"/>
        </w:rPr>
      </w:pPr>
    </w:p>
    <w:p w14:paraId="6DB689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в Москве закончили гос. испытания САМ-5 цельнометаллического А.С.Москалева, первые облеты которого начались 12 августа 1933 начались на Воронежском аэродроме (2889,154).</w:t>
      </w:r>
    </w:p>
    <w:p w14:paraId="0ECA28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C6F30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приступили к строительству самолета КАИ-1. Зимой проводились статические испытания, а с февраля по апрель уже шла сборка машины. 30 апреля 1934 г. КАИ-1 был закончен и 1 мая осуществлен первый полет. Летные испытания закончились 18 августа. Есть информация, что поднимал первую машину начальник авиаотряда КАИ летчик Николаев А.Д. (12049).</w:t>
      </w:r>
    </w:p>
    <w:p w14:paraId="509CA8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D850860" w14:textId="77777777" w:rsidR="008B6A65" w:rsidRPr="0044524F" w:rsidRDefault="008B6A65"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В ноябре 1933 г. из ГУАП поступило указание «ввиду значительного снижения данных самолета МБР-4-М-34 по сравнению с мотором АССО (результаты заводских испытаний) и отсутствия перспектив на использование этого самолета... все опыт</w:t>
      </w:r>
      <w:r w:rsidRPr="0044524F">
        <w:rPr>
          <w:rFonts w:ascii="Times New Roman" w:hAnsi="Times New Roman"/>
          <w:color w:val="000000" w:themeColor="text1"/>
          <w:sz w:val="16"/>
          <w:szCs w:val="16"/>
          <w:lang w:eastAsia="ru-RU" w:bidi="ru-RU"/>
        </w:rPr>
        <w:softHyphen/>
        <w:t>ные работы по самолету МБР-4-М-34 прекратить» (20335).</w:t>
      </w:r>
    </w:p>
    <w:p w14:paraId="239F4203" w14:textId="77777777" w:rsidR="008B6A65" w:rsidRPr="0044524F" w:rsidRDefault="008B6A65" w:rsidP="009654CF">
      <w:pPr>
        <w:spacing w:after="0" w:line="240" w:lineRule="auto"/>
        <w:jc w:val="both"/>
        <w:rPr>
          <w:rFonts w:ascii="Times New Roman" w:hAnsi="Times New Roman"/>
          <w:color w:val="000000" w:themeColor="text1"/>
          <w:sz w:val="16"/>
          <w:szCs w:val="16"/>
        </w:rPr>
      </w:pPr>
    </w:p>
    <w:p w14:paraId="24FC0F02"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ноябре 1933 г. на ТБ-1 с автопилотом АВП-2 испытали прибор «Дедал». </w:t>
      </w:r>
    </w:p>
    <w:p w14:paraId="74D88003"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Прибор «Дедал», который позволял по радио управлять с земли или с самолёта другим самолётом, оборудованным приёмником сигналов и автопилотом. «Дедал» мог передавать 16 команд, по которым изменялись курс, крен, тангаж, скорость и высота полёта, осуществлялись несложные манёвры. Сигналы были тональными, для чего передатчик имел тональный шифратор, а приёмник — тональный дешифратор. Приёмник и передатчик очень точно настраивались в резонанс, и работа их отличалась высокой стабильностью </w:t>
      </w:r>
      <w:hyperlink r:id="rId390" w:history="1">
        <w:r w:rsidRPr="0044524F">
          <w:rPr>
            <w:rFonts w:ascii="Times New Roman" w:eastAsia="Times New Roman" w:hAnsi="Times New Roman"/>
            <w:color w:val="000000" w:themeColor="text1"/>
            <w:sz w:val="16"/>
            <w:szCs w:val="16"/>
            <w:lang w:eastAsia="ru-RU"/>
          </w:rPr>
          <w:t>[218]</w:t>
        </w:r>
      </w:hyperlink>
      <w:r w:rsidRPr="0044524F">
        <w:rPr>
          <w:rFonts w:ascii="Times New Roman" w:eastAsia="Times New Roman" w:hAnsi="Times New Roman"/>
          <w:color w:val="000000" w:themeColor="text1"/>
          <w:sz w:val="16"/>
          <w:szCs w:val="16"/>
          <w:lang w:eastAsia="ru-RU"/>
        </w:rPr>
        <w:t>. Дальность передачи сигнала составляла около 25 км, максимальная задержка реакции срабатывания — 4 секунды. При проектировании «Дедала» в Остехбюро опирались на опыт постройки управляемых по радио торпедных катеров.</w:t>
      </w:r>
    </w:p>
    <w:p w14:paraId="30B3ED73"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При нажатии кнопок на установленном на борту аппарате «Дедал» самолёт чётко выполнял команды. После полёта находившийся на бомбардировщике контролёр доложил, что во время исполнения команд никто к рулям не прикасался и что работа автоматики с точки зрения пилотов была нормальная. После испытаний была заказана опытная партия АВП-2 и «Дедалов» для последующих экспериментов, а разработчики аппаратуры (7 человек) награждены орденами Ленина и «Красная Звезда» </w:t>
      </w:r>
      <w:hyperlink r:id="rId391" w:history="1">
        <w:r w:rsidRPr="0044524F">
          <w:rPr>
            <w:rFonts w:ascii="Times New Roman" w:eastAsia="Times New Roman" w:hAnsi="Times New Roman"/>
            <w:color w:val="000000" w:themeColor="text1"/>
            <w:sz w:val="16"/>
            <w:szCs w:val="16"/>
            <w:lang w:eastAsia="ru-RU"/>
          </w:rPr>
          <w:t>[219]</w:t>
        </w:r>
      </w:hyperlink>
      <w:r w:rsidRPr="0044524F">
        <w:rPr>
          <w:rFonts w:ascii="Times New Roman" w:hAnsi="Times New Roman"/>
          <w:color w:val="000000" w:themeColor="text1"/>
          <w:sz w:val="16"/>
          <w:szCs w:val="16"/>
        </w:rPr>
        <w:t xml:space="preserve"> (17489)</w:t>
      </w:r>
      <w:r w:rsidRPr="0044524F">
        <w:rPr>
          <w:rFonts w:ascii="Times New Roman" w:eastAsia="Times New Roman" w:hAnsi="Times New Roman"/>
          <w:color w:val="000000" w:themeColor="text1"/>
          <w:sz w:val="16"/>
          <w:szCs w:val="16"/>
          <w:lang w:eastAsia="ru-RU"/>
        </w:rPr>
        <w:t>.</w:t>
      </w:r>
    </w:p>
    <w:p w14:paraId="01A92016"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p>
    <w:p w14:paraId="7E7817CA"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в Москве на ТБ-1 с автопилотом АВП-2 прошёл государственные испытания прибор Дедал. При нажатии кнопок на установленном на борту «Дедале» самолёт чётко выполнял команды. После полёта находившийся на бомбардировщике контролёр доложил, что во время исполнения команд никто к рулям не прикасался и что работа автоматики с точки зрения пилотов была нормальная. После испытаний была заказана опытная партия АВП-2 и «Дедалов» для последующих экспериментов, а разработчики аппаратуры награждены орденами Ленина и «Красная Звезда».</w:t>
      </w:r>
    </w:p>
    <w:p w14:paraId="60358B87"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Прибор «Дедал» был разработан в Особом техническом бюро под руководством академика В.Ф. Миткевича и позволял по радио управлять с земли или с самолёта другим самолётом, оборудованным приёмником сигналов и автопилотом. «Дедал» мог передавать 16 команд, по которым изменялись курс, крен, тангаж, скорость и высота полёта, осуществлялись несложные манёвры. Сигналы была тональными, для чего передатчик имел тональный шифратор, а приёмник – тональный дешифратор. Приёмник и передатчик очень точно настраивались в резонанс, и работа их отличалась высокой стабильностью. Дальность передачи сигнала составляла около 25 км, максимальная задержка реакции срабатывания – 4 секунды. При проектировании «Дедала» в Остехбюро опирались на опыт постройки управляемых по радио торпедных катеров (22673).</w:t>
      </w:r>
    </w:p>
    <w:p w14:paraId="0136B0A9" w14:textId="77777777" w:rsidR="008B6A65" w:rsidRPr="0044524F" w:rsidRDefault="008B6A65" w:rsidP="009654CF">
      <w:pPr>
        <w:spacing w:after="0" w:line="240" w:lineRule="auto"/>
        <w:jc w:val="both"/>
        <w:rPr>
          <w:rFonts w:ascii="Times New Roman" w:hAnsi="Times New Roman"/>
          <w:color w:val="000000" w:themeColor="text1"/>
          <w:sz w:val="16"/>
          <w:szCs w:val="16"/>
        </w:rPr>
      </w:pPr>
    </w:p>
    <w:p w14:paraId="50408E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один из оставшихся 4-х Фарман-Голиафов 62 (ФГ-62) входил в 6 разведывательную эскадрилью в Гатчине и машина эксплуатировалась по крайней мере до начала 1934 (3200,19).</w:t>
      </w:r>
    </w:p>
    <w:p w14:paraId="579A8E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F4BD8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w:t>
      </w:r>
      <w:r w:rsidRPr="0044524F">
        <w:rPr>
          <w:rFonts w:ascii="Times New Roman" w:hAnsi="Times New Roman"/>
          <w:color w:val="000000" w:themeColor="text1"/>
          <w:sz w:val="16"/>
          <w:szCs w:val="16"/>
        </w:rPr>
        <w:softHyphen/>
        <w:t>бре 1933 г. в ВВС было уже 1036. По состоянию на 22 июня 1941 г. только в авиации флота находилось 390 У-2 (10667).</w:t>
      </w:r>
    </w:p>
    <w:p w14:paraId="7BC986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D32BA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года существовавшая с 1927 года мебельная фабрика № 1 Треста «Союзмебель» НК леса в Москве на основании Постановления Экономсовета была переименована в завод № 161. В июне 1940 года, на основании Постановления Правительства от 5 июля 1940 года № 1169-456с, завод № 161 из системы НК леса был передан в систему НКАП для производства авиасвечей и магнето.</w:t>
      </w:r>
    </w:p>
    <w:p w14:paraId="1E3146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ОКБ-161 было организовано в 1940 году при заводе № 161 НКАП в Москве. В октябре 1941 года завод № 161 эвакуировался из Москвы в Уфу и разместился на территории бывш. авторемонтного завода, расположенного на ул. Аксакова, 95.</w:t>
      </w:r>
    </w:p>
    <w:p w14:paraId="63764E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период работы ОКБ-161 с 1940 по 1949 гг. разработаны изделия системы зажигания для поршневых авиамоторов отечественного производства – слюдяные свечи, экранирующие угольники и контактные устройства. В 1943 году, в I квартале ОКБ освоило керамическую изоляцию. С 1943 по 1945 гг. проделана работа по увеличению сроков службы находящихся в эксплуатации авиасвечей. С 1945 г. ОКБ обеспечивало выпуск свечей, контактных устройств и угольников для реактивных двигателей. В 1947 и 1948 гг. освоило керамические свечи для авиадвигателей и пусковой подогреватель ПП-20 для облегчения запуска реактивных двигателей в зимних условиях. С 1950/51 гг. работа ОКБ проводится в двух направлениях:</w:t>
      </w:r>
    </w:p>
    <w:p w14:paraId="4CB58776"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новых конструкций систем зажигания (пусковые катушки, свечи, угольники, контактные устройства и др.).</w:t>
      </w:r>
    </w:p>
    <w:p w14:paraId="6B1A8551"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агрегатов автоматического запуска для реактивных двигателей типа АП-2, АП-12, АП-12М, АП-2С и др. В 1952 году, согласно приказа МАП № 322 от 25 марта 1952 года, на ОКБ возложено руководство тремя заводами по электроагрегатам: завод № 85, завод № 132, завод № 161.</w:t>
      </w:r>
    </w:p>
    <w:p w14:paraId="737971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Работой ОКБ руководили гл. конструкторы:</w:t>
      </w:r>
    </w:p>
    <w:p w14:paraId="14FABC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Воронков – с 1940 по 1943 гг.</w:t>
      </w:r>
    </w:p>
    <w:p w14:paraId="72101F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Чекунов – с 1943 по 1951 гг.</w:t>
      </w:r>
    </w:p>
    <w:p w14:paraId="6F82E5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Дмитриев – с 1951 по 1956 гг.</w:t>
      </w:r>
    </w:p>
    <w:p w14:paraId="0BA27B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Богомолов – с 1956 г. (9387).</w:t>
      </w:r>
    </w:p>
    <w:p w14:paraId="737B26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66E85DA"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катер АНТ-5 прошел заводские испытания в Севастополе, которые начались в апреле, а с 22 ноября по декабрь — государственные испытания.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6911D5BC"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6C416975"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24779761"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1AF7310B"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«Изотто-Фраскини»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18212D71"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4BD9159A"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621E8EB5"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4955A6D2" w14:textId="77777777" w:rsidR="00206636" w:rsidRPr="0044524F" w:rsidRDefault="00206636" w:rsidP="009654CF">
      <w:pPr>
        <w:spacing w:after="0" w:line="240" w:lineRule="auto"/>
        <w:jc w:val="both"/>
        <w:rPr>
          <w:rFonts w:ascii="Times New Roman" w:hAnsi="Times New Roman"/>
          <w:color w:val="000000" w:themeColor="text1"/>
          <w:sz w:val="16"/>
          <w:szCs w:val="16"/>
        </w:rPr>
      </w:pPr>
    </w:p>
    <w:p w14:paraId="75EDA3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Ноябрь 1933г Проведены первые официальные стендовые испытания двигателя ОРМ-50 тягой 150кг с химическим зажиганием для ракеты 05 конструкции МосГИРД. Двигатель затем прошел стендовые испытания в составе ракеты и работал при пуске ракеты 05 с полигона ГИРД в Нахабино под Москвой (11330).</w:t>
      </w:r>
    </w:p>
    <w:p w14:paraId="38B1BD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5B8E88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ДАП-100 пытались сделать уни</w:t>
      </w:r>
      <w:r w:rsidRPr="0044524F">
        <w:rPr>
          <w:rFonts w:ascii="Times New Roman" w:hAnsi="Times New Roman"/>
          <w:color w:val="000000" w:themeColor="text1"/>
          <w:sz w:val="16"/>
          <w:szCs w:val="16"/>
        </w:rPr>
        <w:softHyphen/>
        <w:t>версальным прибором - заправить его горючей жидкостью и попробовать поливать ей мишени с Р-5. Неизве</w:t>
      </w:r>
      <w:r w:rsidRPr="0044524F">
        <w:rPr>
          <w:rFonts w:ascii="Times New Roman" w:hAnsi="Times New Roman"/>
          <w:color w:val="000000" w:themeColor="text1"/>
          <w:sz w:val="16"/>
          <w:szCs w:val="16"/>
        </w:rPr>
        <w:softHyphen/>
        <w:t>стно, было ли это сделано в дей</w:t>
      </w:r>
      <w:r w:rsidRPr="0044524F">
        <w:rPr>
          <w:rFonts w:ascii="Times New Roman" w:hAnsi="Times New Roman"/>
          <w:color w:val="000000" w:themeColor="text1"/>
          <w:sz w:val="16"/>
          <w:szCs w:val="16"/>
        </w:rPr>
        <w:softHyphen/>
        <w:t>ствительности (12269).</w:t>
      </w:r>
    </w:p>
    <w:p w14:paraId="71BC5E0C" w14:textId="77777777" w:rsidR="0018342B" w:rsidRPr="0044524F" w:rsidRDefault="0018342B" w:rsidP="009654CF">
      <w:pPr>
        <w:spacing w:after="0" w:line="240" w:lineRule="auto"/>
        <w:jc w:val="both"/>
        <w:rPr>
          <w:rFonts w:ascii="Times New Roman" w:hAnsi="Times New Roman"/>
          <w:color w:val="000000" w:themeColor="text1"/>
          <w:sz w:val="16"/>
          <w:szCs w:val="16"/>
        </w:rPr>
      </w:pPr>
    </w:p>
    <w:p w14:paraId="6270F3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неудачно закончились испытания по сбрасыванию мин ВОМИЗ-100 и ВОМИЗ-250 с малой высоты без парашютов. Испытания закончились неудачей, но е том же году на вооружение была принята мина ВОМИЗ-250 (МАВ-2) для постановки с самолета ТБ-3 с большой высоты (12002).</w:t>
      </w:r>
    </w:p>
    <w:p w14:paraId="223E8E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B20D26E" w14:textId="77777777" w:rsidR="007C27C6" w:rsidRPr="0044524F" w:rsidRDefault="007C27C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года прошли испытания по сбрасыванию мин ВОМИЗ-100 и ВОМИЗ-250 с малой высоты без парашютов. Испытания закончились неудачей, но в том же году на вооружение была принята мина ВОМИЗ-250 (МАВ-2) для постановки с самолета ТБ-3 с большой высоты (23464).</w:t>
      </w:r>
    </w:p>
    <w:p w14:paraId="753589EB" w14:textId="77777777" w:rsidR="007C27C6" w:rsidRPr="0044524F" w:rsidRDefault="007C27C6" w:rsidP="009654CF">
      <w:pPr>
        <w:spacing w:after="0" w:line="240" w:lineRule="auto"/>
        <w:jc w:val="both"/>
        <w:rPr>
          <w:rFonts w:ascii="Times New Roman" w:hAnsi="Times New Roman"/>
          <w:color w:val="000000" w:themeColor="text1"/>
          <w:sz w:val="16"/>
          <w:szCs w:val="16"/>
        </w:rPr>
      </w:pPr>
    </w:p>
    <w:p w14:paraId="48A0B01E" w14:textId="77777777" w:rsidR="001122C0" w:rsidRPr="0044524F" w:rsidRDefault="001122C0" w:rsidP="001122C0">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года одна из первых групп советских летчиков в составе трех экипажей самолетов Р-5 направилась в Китай На маленькой приграничной станции Аягуз экипажам пришлось самим откапывать из снега занесенные непрекращающейся метелью ящики с упакованными самолетами, а затем и собирать их. Когда летчики были готовы к перелету в столицу провинции город Урумчи, там начался мятеж. Стало известно, что войска генерала Ма Чжуина окружили Урумчи и штурмуют городские крепостные стены, за которыми укрылся дружественный нам дубань (правитель) Синьцзяна Шэн Шицай. Другу следовало помочь (5016).</w:t>
      </w:r>
    </w:p>
    <w:p w14:paraId="57914584" w14:textId="77777777" w:rsidR="001122C0" w:rsidRPr="0044524F" w:rsidRDefault="001122C0" w:rsidP="001122C0">
      <w:pPr>
        <w:autoSpaceDE w:val="0"/>
        <w:autoSpaceDN w:val="0"/>
        <w:adjustRightInd w:val="0"/>
        <w:spacing w:after="0" w:line="240" w:lineRule="auto"/>
        <w:jc w:val="both"/>
        <w:rPr>
          <w:rFonts w:ascii="Times New Roman" w:hAnsi="Times New Roman"/>
          <w:color w:val="000000" w:themeColor="text1"/>
          <w:sz w:val="16"/>
          <w:szCs w:val="16"/>
        </w:rPr>
      </w:pPr>
    </w:p>
    <w:p w14:paraId="437B3594"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ноябре 1933 новый начальник Аэрофлота Уншлихт вновь воззвал к Совнаркому, прося выделить недостающие для стройки эллинга транспорт, механизмы, стройматериалы и вагоны, помочь рабсилой, привлечь к работам другие ведомства, и лишь при этом условии обещал сдать объект к 1 июня 1934 года. Госплан возражал против такой чрезвычайщины, резонно замечая, что дирижабельная база ничем не отличается от других крупных московских строек. В результате Совнарком от новых решений воздержался, предоставив Уншлихту разбираться с проблемой самостоятельно.</w:t>
      </w:r>
    </w:p>
    <w:p w14:paraId="68C35065"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Эллинг к началу 1934 года довели до 68 %-й готовности, а в августе сдали, хотя и не без недоделок, - весь процесс его переезда на Долгопрудную занял около трёх лет.</w:t>
      </w:r>
    </w:p>
    <w:p w14:paraId="27F02688" w14:textId="77777777" w:rsidR="008B6A65" w:rsidRPr="0044524F" w:rsidRDefault="008B6A65"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Первый металлический дом для дирижаблей оказался прочным и простоял десятилетия. Он остался в одиночестве в 1970-е годы, когда все его более поздние собратья были разобраны. Прошёл через запустение 1990-х, чуть было не рухнул, но устоял (23192).</w:t>
      </w:r>
    </w:p>
    <w:p w14:paraId="43030234" w14:textId="77777777" w:rsidR="008B6A65" w:rsidRPr="0044524F" w:rsidRDefault="008B6A65" w:rsidP="009654CF">
      <w:pPr>
        <w:spacing w:after="0" w:line="240" w:lineRule="auto"/>
        <w:jc w:val="both"/>
        <w:rPr>
          <w:rFonts w:ascii="Times New Roman" w:hAnsi="Times New Roman"/>
          <w:color w:val="000000" w:themeColor="text1"/>
          <w:sz w:val="16"/>
          <w:szCs w:val="16"/>
          <w:lang w:eastAsia="ru-RU" w:bidi="ru-RU"/>
        </w:rPr>
      </w:pPr>
    </w:p>
    <w:p w14:paraId="54E3FA46"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9054524"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A3A5DA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Наркомтяжпром приступил к разработке нового плана — «МП-33», ко-должен был обеспечить в случае войны указанные ниже таблице, размеры подачи военной продукции.</w:t>
      </w:r>
    </w:p>
    <w:p w14:paraId="5C26C46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Мобилизационная заявка НКО СССР на 1933 г.</w:t>
      </w:r>
    </w:p>
    <w:tbl>
      <w:tblPr>
        <w:tblW w:w="0" w:type="auto"/>
        <w:tblLayout w:type="fixed"/>
        <w:tblLook w:val="0000" w:firstRow="0" w:lastRow="0" w:firstColumn="0" w:lastColumn="0" w:noHBand="0" w:noVBand="0"/>
      </w:tblPr>
      <w:tblGrid>
        <w:gridCol w:w="3168"/>
        <w:gridCol w:w="3168"/>
      </w:tblGrid>
      <w:tr w:rsidR="004E10C1" w:rsidRPr="0044524F" w14:paraId="07F10F15" w14:textId="77777777">
        <w:tc>
          <w:tcPr>
            <w:tcW w:w="3168" w:type="dxa"/>
            <w:tcBorders>
              <w:top w:val="single" w:sz="12" w:space="0" w:color="auto"/>
              <w:left w:val="single" w:sz="12" w:space="0" w:color="auto"/>
              <w:bottom w:val="single" w:sz="6" w:space="0" w:color="auto"/>
              <w:right w:val="single" w:sz="6" w:space="0" w:color="auto"/>
            </w:tcBorders>
          </w:tcPr>
          <w:p w14:paraId="56487D6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Винтовки обр. 1891 г.</w:t>
            </w:r>
          </w:p>
        </w:tc>
        <w:tc>
          <w:tcPr>
            <w:tcW w:w="3168" w:type="dxa"/>
            <w:tcBorders>
              <w:top w:val="single" w:sz="12" w:space="0" w:color="auto"/>
              <w:left w:val="single" w:sz="6" w:space="0" w:color="auto"/>
              <w:bottom w:val="single" w:sz="6" w:space="0" w:color="auto"/>
              <w:right w:val="single" w:sz="12" w:space="0" w:color="auto"/>
            </w:tcBorders>
          </w:tcPr>
          <w:p w14:paraId="35FEB84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2 000 000 шт.</w:t>
            </w:r>
          </w:p>
        </w:tc>
      </w:tr>
      <w:tr w:rsidR="004E10C1" w:rsidRPr="0044524F" w14:paraId="5016DD9C" w14:textId="77777777">
        <w:tc>
          <w:tcPr>
            <w:tcW w:w="3168" w:type="dxa"/>
            <w:tcBorders>
              <w:top w:val="single" w:sz="6" w:space="0" w:color="auto"/>
              <w:left w:val="single" w:sz="12" w:space="0" w:color="auto"/>
              <w:bottom w:val="single" w:sz="6" w:space="0" w:color="auto"/>
              <w:right w:val="single" w:sz="6" w:space="0" w:color="auto"/>
            </w:tcBorders>
          </w:tcPr>
          <w:p w14:paraId="45DC597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Пулеметы всех систем</w:t>
            </w:r>
          </w:p>
        </w:tc>
        <w:tc>
          <w:tcPr>
            <w:tcW w:w="3168" w:type="dxa"/>
            <w:tcBorders>
              <w:top w:val="single" w:sz="6" w:space="0" w:color="auto"/>
              <w:left w:val="single" w:sz="6" w:space="0" w:color="auto"/>
              <w:bottom w:val="single" w:sz="6" w:space="0" w:color="auto"/>
              <w:right w:val="single" w:sz="12" w:space="0" w:color="auto"/>
            </w:tcBorders>
          </w:tcPr>
          <w:p w14:paraId="3160227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120 000 шт.</w:t>
            </w:r>
          </w:p>
        </w:tc>
      </w:tr>
      <w:tr w:rsidR="004E10C1" w:rsidRPr="0044524F" w14:paraId="3EA6C359" w14:textId="77777777">
        <w:tc>
          <w:tcPr>
            <w:tcW w:w="3168" w:type="dxa"/>
            <w:tcBorders>
              <w:top w:val="single" w:sz="6" w:space="0" w:color="auto"/>
              <w:left w:val="single" w:sz="12" w:space="0" w:color="auto"/>
              <w:bottom w:val="single" w:sz="6" w:space="0" w:color="auto"/>
              <w:right w:val="single" w:sz="6" w:space="0" w:color="auto"/>
            </w:tcBorders>
          </w:tcPr>
          <w:p w14:paraId="1840943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Винтовочные патроны</w:t>
            </w:r>
          </w:p>
        </w:tc>
        <w:tc>
          <w:tcPr>
            <w:tcW w:w="3168" w:type="dxa"/>
            <w:tcBorders>
              <w:top w:val="single" w:sz="6" w:space="0" w:color="auto"/>
              <w:left w:val="single" w:sz="6" w:space="0" w:color="auto"/>
              <w:bottom w:val="single" w:sz="6" w:space="0" w:color="auto"/>
              <w:right w:val="single" w:sz="12" w:space="0" w:color="auto"/>
            </w:tcBorders>
          </w:tcPr>
          <w:p w14:paraId="00830D6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3 000 000 000 шт.</w:t>
            </w:r>
          </w:p>
        </w:tc>
      </w:tr>
      <w:tr w:rsidR="004E10C1" w:rsidRPr="0044524F" w14:paraId="6A7FFDA1" w14:textId="77777777">
        <w:tc>
          <w:tcPr>
            <w:tcW w:w="3168" w:type="dxa"/>
            <w:tcBorders>
              <w:top w:val="single" w:sz="6" w:space="0" w:color="auto"/>
              <w:left w:val="single" w:sz="12" w:space="0" w:color="auto"/>
              <w:bottom w:val="single" w:sz="6" w:space="0" w:color="auto"/>
              <w:right w:val="single" w:sz="6" w:space="0" w:color="auto"/>
            </w:tcBorders>
          </w:tcPr>
          <w:p w14:paraId="1EA1026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Артвыстрел ^</w:t>
            </w:r>
          </w:p>
        </w:tc>
        <w:tc>
          <w:tcPr>
            <w:tcW w:w="3168" w:type="dxa"/>
            <w:tcBorders>
              <w:top w:val="single" w:sz="6" w:space="0" w:color="auto"/>
              <w:left w:val="single" w:sz="6" w:space="0" w:color="auto"/>
              <w:bottom w:val="single" w:sz="6" w:space="0" w:color="auto"/>
              <w:right w:val="single" w:sz="12" w:space="0" w:color="auto"/>
            </w:tcBorders>
          </w:tcPr>
          <w:p w14:paraId="21E5086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60 000 000 шт.</w:t>
            </w:r>
          </w:p>
        </w:tc>
      </w:tr>
      <w:tr w:rsidR="004E10C1" w:rsidRPr="0044524F" w14:paraId="622BE62E" w14:textId="77777777">
        <w:tc>
          <w:tcPr>
            <w:tcW w:w="3168" w:type="dxa"/>
            <w:tcBorders>
              <w:top w:val="single" w:sz="6" w:space="0" w:color="auto"/>
              <w:left w:val="single" w:sz="12" w:space="0" w:color="auto"/>
              <w:bottom w:val="single" w:sz="6" w:space="0" w:color="auto"/>
              <w:right w:val="single" w:sz="6" w:space="0" w:color="auto"/>
            </w:tcBorders>
          </w:tcPr>
          <w:p w14:paraId="4B31FBC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Авиационные бомбы</w:t>
            </w:r>
          </w:p>
        </w:tc>
        <w:tc>
          <w:tcPr>
            <w:tcW w:w="3168" w:type="dxa"/>
            <w:tcBorders>
              <w:top w:val="single" w:sz="6" w:space="0" w:color="auto"/>
              <w:left w:val="single" w:sz="6" w:space="0" w:color="auto"/>
              <w:bottom w:val="single" w:sz="6" w:space="0" w:color="auto"/>
              <w:right w:val="single" w:sz="12" w:space="0" w:color="auto"/>
            </w:tcBorders>
          </w:tcPr>
          <w:p w14:paraId="5793F50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150 000 шт.</w:t>
            </w:r>
          </w:p>
        </w:tc>
      </w:tr>
      <w:tr w:rsidR="004E10C1" w:rsidRPr="0044524F" w14:paraId="26CE4D46" w14:textId="77777777">
        <w:tc>
          <w:tcPr>
            <w:tcW w:w="3168" w:type="dxa"/>
            <w:tcBorders>
              <w:top w:val="single" w:sz="6" w:space="0" w:color="auto"/>
              <w:left w:val="single" w:sz="12" w:space="0" w:color="auto"/>
              <w:bottom w:val="single" w:sz="6" w:space="0" w:color="auto"/>
              <w:right w:val="single" w:sz="6" w:space="0" w:color="auto"/>
            </w:tcBorders>
          </w:tcPr>
          <w:p w14:paraId="492A6E5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Торпеды *</w:t>
            </w:r>
          </w:p>
        </w:tc>
        <w:tc>
          <w:tcPr>
            <w:tcW w:w="3168" w:type="dxa"/>
            <w:tcBorders>
              <w:top w:val="single" w:sz="6" w:space="0" w:color="auto"/>
              <w:left w:val="single" w:sz="6" w:space="0" w:color="auto"/>
              <w:bottom w:val="single" w:sz="6" w:space="0" w:color="auto"/>
              <w:right w:val="single" w:sz="12" w:space="0" w:color="auto"/>
            </w:tcBorders>
          </w:tcPr>
          <w:p w14:paraId="7BD7F49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2 500 шт.</w:t>
            </w:r>
          </w:p>
        </w:tc>
      </w:tr>
      <w:tr w:rsidR="004E10C1" w:rsidRPr="0044524F" w14:paraId="0ABA3E59" w14:textId="77777777">
        <w:tc>
          <w:tcPr>
            <w:tcW w:w="3168" w:type="dxa"/>
            <w:tcBorders>
              <w:top w:val="single" w:sz="6" w:space="0" w:color="auto"/>
              <w:left w:val="single" w:sz="12" w:space="0" w:color="auto"/>
              <w:bottom w:val="single" w:sz="6" w:space="0" w:color="auto"/>
              <w:right w:val="single" w:sz="6" w:space="0" w:color="auto"/>
            </w:tcBorders>
          </w:tcPr>
          <w:p w14:paraId="53772DC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Мины</w:t>
            </w:r>
          </w:p>
        </w:tc>
        <w:tc>
          <w:tcPr>
            <w:tcW w:w="3168" w:type="dxa"/>
            <w:tcBorders>
              <w:top w:val="single" w:sz="6" w:space="0" w:color="auto"/>
              <w:left w:val="single" w:sz="6" w:space="0" w:color="auto"/>
              <w:bottom w:val="single" w:sz="6" w:space="0" w:color="auto"/>
              <w:right w:val="single" w:sz="12" w:space="0" w:color="auto"/>
            </w:tcBorders>
          </w:tcPr>
          <w:p w14:paraId="1E24F43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25 000 шт.</w:t>
            </w:r>
          </w:p>
        </w:tc>
      </w:tr>
      <w:tr w:rsidR="004E10C1" w:rsidRPr="0044524F" w14:paraId="3DE9B7EC" w14:textId="77777777">
        <w:tc>
          <w:tcPr>
            <w:tcW w:w="3168" w:type="dxa"/>
            <w:tcBorders>
              <w:top w:val="single" w:sz="6" w:space="0" w:color="auto"/>
              <w:left w:val="single" w:sz="12" w:space="0" w:color="auto"/>
              <w:bottom w:val="single" w:sz="6" w:space="0" w:color="auto"/>
              <w:right w:val="single" w:sz="6" w:space="0" w:color="auto"/>
            </w:tcBorders>
          </w:tcPr>
          <w:p w14:paraId="25F697A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Артиллерийские системы В том числе:</w:t>
            </w:r>
          </w:p>
        </w:tc>
        <w:tc>
          <w:tcPr>
            <w:tcW w:w="3168" w:type="dxa"/>
            <w:tcBorders>
              <w:top w:val="single" w:sz="6" w:space="0" w:color="auto"/>
              <w:left w:val="single" w:sz="6" w:space="0" w:color="auto"/>
              <w:bottom w:val="single" w:sz="6" w:space="0" w:color="auto"/>
              <w:right w:val="single" w:sz="12" w:space="0" w:color="auto"/>
            </w:tcBorders>
          </w:tcPr>
          <w:p w14:paraId="00259C4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24 410 шт.</w:t>
            </w:r>
          </w:p>
        </w:tc>
      </w:tr>
      <w:tr w:rsidR="004E10C1" w:rsidRPr="0044524F" w14:paraId="160673FD" w14:textId="77777777">
        <w:tc>
          <w:tcPr>
            <w:tcW w:w="3168" w:type="dxa"/>
            <w:tcBorders>
              <w:top w:val="single" w:sz="6" w:space="0" w:color="auto"/>
              <w:left w:val="single" w:sz="12" w:space="0" w:color="auto"/>
              <w:bottom w:val="single" w:sz="6" w:space="0" w:color="auto"/>
              <w:right w:val="single" w:sz="6" w:space="0" w:color="auto"/>
            </w:tcBorders>
          </w:tcPr>
          <w:p w14:paraId="4A41A7E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мелкокалиберные </w:t>
            </w:r>
          </w:p>
        </w:tc>
        <w:tc>
          <w:tcPr>
            <w:tcW w:w="3168" w:type="dxa"/>
            <w:tcBorders>
              <w:top w:val="single" w:sz="6" w:space="0" w:color="auto"/>
              <w:left w:val="single" w:sz="6" w:space="0" w:color="auto"/>
              <w:bottom w:val="single" w:sz="6" w:space="0" w:color="auto"/>
              <w:right w:val="single" w:sz="12" w:space="0" w:color="auto"/>
            </w:tcBorders>
          </w:tcPr>
          <w:p w14:paraId="53D463D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15 180 шт.</w:t>
            </w:r>
          </w:p>
        </w:tc>
      </w:tr>
      <w:tr w:rsidR="004E10C1" w:rsidRPr="0044524F" w14:paraId="5E24A53A" w14:textId="77777777">
        <w:tc>
          <w:tcPr>
            <w:tcW w:w="3168" w:type="dxa"/>
            <w:tcBorders>
              <w:top w:val="single" w:sz="6" w:space="0" w:color="auto"/>
              <w:left w:val="single" w:sz="12" w:space="0" w:color="auto"/>
              <w:bottom w:val="single" w:sz="6" w:space="0" w:color="auto"/>
              <w:right w:val="single" w:sz="6" w:space="0" w:color="auto"/>
            </w:tcBorders>
          </w:tcPr>
          <w:p w14:paraId="109C7EB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среднекалиберные</w:t>
            </w:r>
          </w:p>
        </w:tc>
        <w:tc>
          <w:tcPr>
            <w:tcW w:w="3168" w:type="dxa"/>
            <w:tcBorders>
              <w:top w:val="single" w:sz="6" w:space="0" w:color="auto"/>
              <w:left w:val="single" w:sz="6" w:space="0" w:color="auto"/>
              <w:bottom w:val="single" w:sz="6" w:space="0" w:color="auto"/>
              <w:right w:val="single" w:sz="12" w:space="0" w:color="auto"/>
            </w:tcBorders>
          </w:tcPr>
          <w:p w14:paraId="5EB4EE3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6 220 шт.</w:t>
            </w:r>
          </w:p>
        </w:tc>
      </w:tr>
      <w:tr w:rsidR="004E10C1" w:rsidRPr="0044524F" w14:paraId="3A5D54D1" w14:textId="77777777">
        <w:tc>
          <w:tcPr>
            <w:tcW w:w="3168" w:type="dxa"/>
            <w:tcBorders>
              <w:top w:val="single" w:sz="6" w:space="0" w:color="auto"/>
              <w:left w:val="single" w:sz="12" w:space="0" w:color="auto"/>
              <w:bottom w:val="single" w:sz="6" w:space="0" w:color="auto"/>
              <w:right w:val="single" w:sz="6" w:space="0" w:color="auto"/>
            </w:tcBorders>
          </w:tcPr>
          <w:p w14:paraId="3EE380B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крупнокалиберные</w:t>
            </w:r>
          </w:p>
        </w:tc>
        <w:tc>
          <w:tcPr>
            <w:tcW w:w="3168" w:type="dxa"/>
            <w:tcBorders>
              <w:top w:val="single" w:sz="6" w:space="0" w:color="auto"/>
              <w:left w:val="single" w:sz="6" w:space="0" w:color="auto"/>
              <w:bottom w:val="single" w:sz="6" w:space="0" w:color="auto"/>
              <w:right w:val="single" w:sz="12" w:space="0" w:color="auto"/>
            </w:tcBorders>
          </w:tcPr>
          <w:p w14:paraId="38CD630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1 940 шт.</w:t>
            </w:r>
          </w:p>
        </w:tc>
      </w:tr>
      <w:tr w:rsidR="004E10C1" w:rsidRPr="0044524F" w14:paraId="1FE381BA" w14:textId="77777777">
        <w:tc>
          <w:tcPr>
            <w:tcW w:w="3168" w:type="dxa"/>
            <w:tcBorders>
              <w:top w:val="single" w:sz="6" w:space="0" w:color="auto"/>
              <w:left w:val="single" w:sz="12" w:space="0" w:color="auto"/>
              <w:bottom w:val="single" w:sz="6" w:space="0" w:color="auto"/>
              <w:right w:val="single" w:sz="6" w:space="0" w:color="auto"/>
            </w:tcBorders>
          </w:tcPr>
          <w:p w14:paraId="298BBC2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зенитные</w:t>
            </w:r>
          </w:p>
        </w:tc>
        <w:tc>
          <w:tcPr>
            <w:tcW w:w="3168" w:type="dxa"/>
            <w:tcBorders>
              <w:top w:val="single" w:sz="6" w:space="0" w:color="auto"/>
              <w:left w:val="single" w:sz="6" w:space="0" w:color="auto"/>
              <w:bottom w:val="single" w:sz="6" w:space="0" w:color="auto"/>
              <w:right w:val="single" w:sz="12" w:space="0" w:color="auto"/>
            </w:tcBorders>
          </w:tcPr>
          <w:p w14:paraId="70BD0E8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1 070 шт.</w:t>
            </w:r>
          </w:p>
        </w:tc>
      </w:tr>
      <w:tr w:rsidR="004E10C1" w:rsidRPr="0044524F" w14:paraId="2A6F90F4" w14:textId="77777777">
        <w:tc>
          <w:tcPr>
            <w:tcW w:w="3168" w:type="dxa"/>
            <w:tcBorders>
              <w:top w:val="single" w:sz="6" w:space="0" w:color="auto"/>
              <w:left w:val="single" w:sz="12" w:space="0" w:color="auto"/>
              <w:bottom w:val="single" w:sz="6" w:space="0" w:color="auto"/>
              <w:right w:val="single" w:sz="6" w:space="0" w:color="auto"/>
            </w:tcBorders>
          </w:tcPr>
          <w:p w14:paraId="75F47C0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Танки</w:t>
            </w:r>
          </w:p>
        </w:tc>
        <w:tc>
          <w:tcPr>
            <w:tcW w:w="3168" w:type="dxa"/>
            <w:tcBorders>
              <w:top w:val="single" w:sz="6" w:space="0" w:color="auto"/>
              <w:left w:val="single" w:sz="6" w:space="0" w:color="auto"/>
              <w:bottom w:val="single" w:sz="6" w:space="0" w:color="auto"/>
              <w:right w:val="single" w:sz="12" w:space="0" w:color="auto"/>
            </w:tcBorders>
          </w:tcPr>
          <w:p w14:paraId="3F47395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15 800 шт.</w:t>
            </w:r>
          </w:p>
        </w:tc>
      </w:tr>
      <w:tr w:rsidR="004E10C1" w:rsidRPr="0044524F" w14:paraId="0D9AF18E" w14:textId="77777777">
        <w:tc>
          <w:tcPr>
            <w:tcW w:w="3168" w:type="dxa"/>
            <w:tcBorders>
              <w:top w:val="single" w:sz="6" w:space="0" w:color="auto"/>
              <w:left w:val="single" w:sz="12" w:space="0" w:color="auto"/>
              <w:bottom w:val="single" w:sz="6" w:space="0" w:color="auto"/>
              <w:right w:val="single" w:sz="6" w:space="0" w:color="auto"/>
            </w:tcBorders>
          </w:tcPr>
          <w:p w14:paraId="1518AC0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Танкетки и бронемашины</w:t>
            </w:r>
          </w:p>
        </w:tc>
        <w:tc>
          <w:tcPr>
            <w:tcW w:w="3168" w:type="dxa"/>
            <w:tcBorders>
              <w:top w:val="single" w:sz="6" w:space="0" w:color="auto"/>
              <w:left w:val="single" w:sz="6" w:space="0" w:color="auto"/>
              <w:bottom w:val="single" w:sz="6" w:space="0" w:color="auto"/>
              <w:right w:val="single" w:sz="12" w:space="0" w:color="auto"/>
            </w:tcBorders>
          </w:tcPr>
          <w:p w14:paraId="6E8C0B5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15 000 шт.</w:t>
            </w:r>
          </w:p>
        </w:tc>
      </w:tr>
      <w:tr w:rsidR="004E10C1" w:rsidRPr="0044524F" w14:paraId="73B47BEE" w14:textId="77777777">
        <w:tc>
          <w:tcPr>
            <w:tcW w:w="3168" w:type="dxa"/>
            <w:tcBorders>
              <w:top w:val="single" w:sz="6" w:space="0" w:color="auto"/>
              <w:left w:val="single" w:sz="12" w:space="0" w:color="auto"/>
              <w:bottom w:val="single" w:sz="6" w:space="0" w:color="auto"/>
              <w:right w:val="single" w:sz="6" w:space="0" w:color="auto"/>
            </w:tcBorders>
          </w:tcPr>
          <w:p w14:paraId="0C3180D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Самолеты разведчики</w:t>
            </w:r>
          </w:p>
        </w:tc>
        <w:tc>
          <w:tcPr>
            <w:tcW w:w="3168" w:type="dxa"/>
            <w:tcBorders>
              <w:top w:val="single" w:sz="6" w:space="0" w:color="auto"/>
              <w:left w:val="single" w:sz="6" w:space="0" w:color="auto"/>
              <w:bottom w:val="single" w:sz="6" w:space="0" w:color="auto"/>
              <w:right w:val="single" w:sz="12" w:space="0" w:color="auto"/>
            </w:tcBorders>
          </w:tcPr>
          <w:p w14:paraId="6229ABE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2 650 шт.</w:t>
            </w:r>
          </w:p>
        </w:tc>
      </w:tr>
      <w:tr w:rsidR="004E10C1" w:rsidRPr="0044524F" w14:paraId="6BA994DF" w14:textId="77777777">
        <w:tc>
          <w:tcPr>
            <w:tcW w:w="3168" w:type="dxa"/>
            <w:tcBorders>
              <w:top w:val="single" w:sz="6" w:space="0" w:color="auto"/>
              <w:left w:val="single" w:sz="12" w:space="0" w:color="auto"/>
              <w:bottom w:val="single" w:sz="6" w:space="0" w:color="auto"/>
              <w:right w:val="single" w:sz="6" w:space="0" w:color="auto"/>
            </w:tcBorders>
          </w:tcPr>
          <w:p w14:paraId="6E03507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Самолеты бомбардировщики</w:t>
            </w:r>
          </w:p>
        </w:tc>
        <w:tc>
          <w:tcPr>
            <w:tcW w:w="3168" w:type="dxa"/>
            <w:tcBorders>
              <w:top w:val="single" w:sz="6" w:space="0" w:color="auto"/>
              <w:left w:val="single" w:sz="6" w:space="0" w:color="auto"/>
              <w:bottom w:val="single" w:sz="6" w:space="0" w:color="auto"/>
              <w:right w:val="single" w:sz="12" w:space="0" w:color="auto"/>
            </w:tcBorders>
          </w:tcPr>
          <w:p w14:paraId="1032105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2 020 шт.</w:t>
            </w:r>
          </w:p>
        </w:tc>
      </w:tr>
      <w:tr w:rsidR="004E10C1" w:rsidRPr="0044524F" w14:paraId="020AB9D8" w14:textId="77777777">
        <w:tc>
          <w:tcPr>
            <w:tcW w:w="3168" w:type="dxa"/>
            <w:tcBorders>
              <w:top w:val="single" w:sz="6" w:space="0" w:color="auto"/>
              <w:left w:val="single" w:sz="12" w:space="0" w:color="auto"/>
              <w:bottom w:val="single" w:sz="6" w:space="0" w:color="auto"/>
              <w:right w:val="single" w:sz="6" w:space="0" w:color="auto"/>
            </w:tcBorders>
          </w:tcPr>
          <w:p w14:paraId="63C122D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Самолеты истребители</w:t>
            </w:r>
          </w:p>
        </w:tc>
        <w:tc>
          <w:tcPr>
            <w:tcW w:w="3168" w:type="dxa"/>
            <w:tcBorders>
              <w:top w:val="single" w:sz="6" w:space="0" w:color="auto"/>
              <w:left w:val="single" w:sz="6" w:space="0" w:color="auto"/>
              <w:bottom w:val="single" w:sz="6" w:space="0" w:color="auto"/>
              <w:right w:val="single" w:sz="12" w:space="0" w:color="auto"/>
            </w:tcBorders>
          </w:tcPr>
          <w:p w14:paraId="0362D82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2 460 шт.</w:t>
            </w:r>
          </w:p>
        </w:tc>
      </w:tr>
      <w:tr w:rsidR="004E10C1" w:rsidRPr="0044524F" w14:paraId="079BB52E" w14:textId="77777777">
        <w:tc>
          <w:tcPr>
            <w:tcW w:w="3168" w:type="dxa"/>
            <w:tcBorders>
              <w:top w:val="single" w:sz="6" w:space="0" w:color="auto"/>
              <w:left w:val="single" w:sz="12" w:space="0" w:color="auto"/>
              <w:bottom w:val="single" w:sz="6" w:space="0" w:color="auto"/>
              <w:right w:val="single" w:sz="6" w:space="0" w:color="auto"/>
            </w:tcBorders>
          </w:tcPr>
          <w:p w14:paraId="708841F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Учебные самолеты</w:t>
            </w:r>
          </w:p>
        </w:tc>
        <w:tc>
          <w:tcPr>
            <w:tcW w:w="3168" w:type="dxa"/>
            <w:tcBorders>
              <w:top w:val="single" w:sz="6" w:space="0" w:color="auto"/>
              <w:left w:val="single" w:sz="6" w:space="0" w:color="auto"/>
              <w:bottom w:val="single" w:sz="6" w:space="0" w:color="auto"/>
              <w:right w:val="single" w:sz="12" w:space="0" w:color="auto"/>
            </w:tcBorders>
          </w:tcPr>
          <w:p w14:paraId="3658CC2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8 730 шт.</w:t>
            </w:r>
          </w:p>
        </w:tc>
      </w:tr>
      <w:tr w:rsidR="004E10C1" w:rsidRPr="0044524F" w14:paraId="178E99C0" w14:textId="77777777">
        <w:tc>
          <w:tcPr>
            <w:tcW w:w="3168" w:type="dxa"/>
            <w:tcBorders>
              <w:top w:val="single" w:sz="6" w:space="0" w:color="auto"/>
              <w:left w:val="single" w:sz="12" w:space="0" w:color="auto"/>
              <w:bottom w:val="single" w:sz="12" w:space="0" w:color="auto"/>
              <w:right w:val="single" w:sz="6" w:space="0" w:color="auto"/>
            </w:tcBorders>
          </w:tcPr>
          <w:p w14:paraId="7B82591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Авиамоторы____________</w:t>
            </w:r>
          </w:p>
        </w:tc>
        <w:tc>
          <w:tcPr>
            <w:tcW w:w="3168" w:type="dxa"/>
            <w:tcBorders>
              <w:top w:val="single" w:sz="6" w:space="0" w:color="auto"/>
              <w:left w:val="single" w:sz="6" w:space="0" w:color="auto"/>
              <w:bottom w:val="single" w:sz="12" w:space="0" w:color="auto"/>
              <w:right w:val="single" w:sz="12" w:space="0" w:color="auto"/>
            </w:tcBorders>
          </w:tcPr>
          <w:p w14:paraId="52A1783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15 150 шт.</w:t>
            </w:r>
          </w:p>
        </w:tc>
      </w:tr>
    </w:tbl>
    <w:p w14:paraId="54AD093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Источник: РГАЭ ф.7297, оп.38, д.1, л.88-102 (1566,117).</w:t>
      </w:r>
    </w:p>
    <w:p w14:paraId="0D47016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80DD3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вышло решение СТО о строительстве Комбината № 100 и Главхимпром НКТП выдал соответствующее задание Гипроспецхиму (5484,346).</w:t>
      </w:r>
    </w:p>
    <w:p w14:paraId="4580D5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A7DE4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В.М.М. как пред. КО ответил отказом на предложение НКО К.Е.В. о закупке сверхлегкого быстроходного колесно-гусеничного танка Кристи М.1932 (из-за неудовлетворительных результатов испытаний) (3879,38).</w:t>
      </w:r>
    </w:p>
    <w:p w14:paraId="4AB015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042AB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в опытный танк БТ-2 вместо Либерти поставили дизель БД-2 ХПЗ и начались заводские испытания. Работал устойчиво, но сильно дымил, танк трясло из-за неуравновешенности двигателя (3879,40).</w:t>
      </w:r>
    </w:p>
    <w:p w14:paraId="78B84C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15C59D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дизель БД-1 был установлен вместо авиамотора «Либерти» в танк БТ-2. В ходе испытаний было обнаружено большое число недоработок как в конструкции двигателя, так и в системах его питания и охлаждения. Но поскольку по основным размерам дизель БД хорошо вписывался в МТО танков БТ, ПТ-1 и Т-28, было принято решение о продолжении работ над указанным дизе</w:t>
      </w:r>
      <w:r w:rsidRPr="0044524F">
        <w:rPr>
          <w:rFonts w:ascii="Times New Roman" w:hAnsi="Times New Roman"/>
          <w:color w:val="000000" w:themeColor="text1"/>
          <w:sz w:val="16"/>
          <w:szCs w:val="16"/>
        </w:rPr>
        <w:softHyphen/>
        <w:t>лем для доведения его до требований УММ с целью исполь</w:t>
      </w:r>
      <w:r w:rsidRPr="0044524F">
        <w:rPr>
          <w:rFonts w:ascii="Times New Roman" w:hAnsi="Times New Roman"/>
          <w:color w:val="000000" w:themeColor="text1"/>
          <w:sz w:val="16"/>
          <w:szCs w:val="16"/>
        </w:rPr>
        <w:softHyphen/>
        <w:t>зования в указанных танках. Никаких «белых пятен» в конструкции дизель-мотора обнаружено не было, и потому все считали, что через два-три года новые серийные «пламенные сердца» найдут свое место в новых боевых машинах. По принятии системы танкостроения на 2-ю пятилетку наряду с ХПЗ разработкой дизельных двигателей занялся также ОКМО завода им. Ворошилова, а позднее — Опытного завода Спецмаштреста им. С.М. Кирова. Здесь превалировало здравое решение о разработке «линейки» — семейства из четырех двигателей для всех тре</w:t>
      </w:r>
      <w:r w:rsidRPr="0044524F">
        <w:rPr>
          <w:rFonts w:ascii="Times New Roman" w:hAnsi="Times New Roman"/>
          <w:color w:val="000000" w:themeColor="text1"/>
          <w:sz w:val="16"/>
          <w:szCs w:val="16"/>
        </w:rPr>
        <w:softHyphen/>
        <w:t>буемых танков массой от 10 до 50 т и в перспективе до 75 т. По опыту эксплуатации имевшихся танков это должны бы</w:t>
      </w:r>
      <w:r w:rsidRPr="0044524F">
        <w:rPr>
          <w:rFonts w:ascii="Times New Roman" w:hAnsi="Times New Roman"/>
          <w:color w:val="000000" w:themeColor="text1"/>
          <w:sz w:val="16"/>
          <w:szCs w:val="16"/>
        </w:rPr>
        <w:softHyphen/>
        <w:t>ли быть четырехтактные дизель-моторы воздушного охлаждения мощностью от 150 до 800 л.с. Но главной проблемой дизельного двигателя был топ</w:t>
      </w:r>
      <w:r w:rsidRPr="0044524F">
        <w:rPr>
          <w:rFonts w:ascii="Times New Roman" w:hAnsi="Times New Roman"/>
          <w:color w:val="000000" w:themeColor="text1"/>
          <w:sz w:val="16"/>
          <w:szCs w:val="16"/>
        </w:rPr>
        <w:softHyphen/>
        <w:t>ливный насос, а поскольку основные конструкционные уз</w:t>
      </w:r>
      <w:r w:rsidRPr="0044524F">
        <w:rPr>
          <w:rFonts w:ascii="Times New Roman" w:hAnsi="Times New Roman"/>
          <w:color w:val="000000" w:themeColor="text1"/>
          <w:sz w:val="16"/>
          <w:szCs w:val="16"/>
        </w:rPr>
        <w:softHyphen/>
        <w:t xml:space="preserve">лы дизеля и бензомотора были подобны, то было принято решение о разработке в едином конструктиве как дизельного, так и </w:t>
      </w:r>
      <w:r w:rsidRPr="0044524F">
        <w:rPr>
          <w:rFonts w:ascii="Times New Roman" w:hAnsi="Times New Roman"/>
          <w:color w:val="000000" w:themeColor="text1"/>
          <w:sz w:val="16"/>
          <w:szCs w:val="16"/>
        </w:rPr>
        <w:lastRenderedPageBreak/>
        <w:t>бензинового двигателя. Предполагалось, что ра</w:t>
      </w:r>
      <w:r w:rsidRPr="0044524F">
        <w:rPr>
          <w:rFonts w:ascii="Times New Roman" w:hAnsi="Times New Roman"/>
          <w:color w:val="000000" w:themeColor="text1"/>
          <w:sz w:val="16"/>
          <w:szCs w:val="16"/>
        </w:rPr>
        <w:softHyphen/>
        <w:t>боты над дизелем продлятся несколько лет, в течение кото</w:t>
      </w:r>
      <w:r w:rsidRPr="0044524F">
        <w:rPr>
          <w:rFonts w:ascii="Times New Roman" w:hAnsi="Times New Roman"/>
          <w:color w:val="000000" w:themeColor="text1"/>
          <w:sz w:val="16"/>
          <w:szCs w:val="16"/>
        </w:rPr>
        <w:softHyphen/>
        <w:t>рых конструкцию танка можно будет отрабатывать на спе</w:t>
      </w:r>
      <w:r w:rsidRPr="0044524F">
        <w:rPr>
          <w:rFonts w:ascii="Times New Roman" w:hAnsi="Times New Roman"/>
          <w:color w:val="000000" w:themeColor="text1"/>
          <w:sz w:val="16"/>
          <w:szCs w:val="16"/>
        </w:rPr>
        <w:softHyphen/>
        <w:t>циальном бензомоторе, в создании которых у двигателис-тов уже был определенный опыт. Таким образом, в 1933 г. для будущего Т-26А началась разработка дизельного ДМТ-4 (ДТ-4) и карбюраторного МТ-4 мощностью 200 л.с. (180-210 л.с.), а для Т-28А -дизельного ДМТ-1 и карбюраторного МТ-1 мощностью 500 л.с. (480-520 л.с.). Однако дизельмотор стал для СССР того времени хай-теком такого порядка, что казался не под силу нашей про</w:t>
      </w:r>
      <w:r w:rsidRPr="0044524F">
        <w:rPr>
          <w:rFonts w:ascii="Times New Roman" w:hAnsi="Times New Roman"/>
          <w:color w:val="000000" w:themeColor="text1"/>
          <w:sz w:val="16"/>
          <w:szCs w:val="16"/>
        </w:rPr>
        <w:softHyphen/>
        <w:t>мышленности. Практически ни один дизельный двигатель, отработанный в одном экземпляре, в течение 1933-1938 гг. так и не был освоен даже в самой малой серии (10733,289).</w:t>
      </w:r>
    </w:p>
    <w:p w14:paraId="5EEE762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3683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начались пробные пробеги первого советского танка с дизель-мотором - БТ-5 с БД-2. Они проводились на заводском дворе: "сырой" двигатель не позволял вывезти машину на полигон, и каждый пробег оканчивался возвращением в заводской цех. Дизель в танке работал устойчиво, но сильно дымил и вибрировал по причине неуравновешенности, что вызывало у танкистов, помимо неприятных ощущений, трудности с управлением. По результатам стендовых испытаний и обкатки начали разработку улучшенной конструкции, которая должна была пойти в серию в качестве установочной. Для повышения коэффициента наполнения цилиндров и достижения заданной мощности перешли на четырехклапанную систему, установив по два впускных и выпускных клапана на каждом цилиндре. Всего с апреля 1933 г. по октябрь 1934 г. в конструкцию дизеля внесли 1150 изменений. На этом этапе к работе над БД-2 подключился молодой конструктор Иван Яковлевич Трашутин (будущий главный конструктор Кировского завода). Он вернулся из учебной командировки в США, куда был направлен для освоения "современных методов расчета узлов и деталей ДВС". За время пребывания в Массачусетском технологическом институте он защитил диссертацию, получив ученую степень магистра (9021).</w:t>
      </w:r>
    </w:p>
    <w:p w14:paraId="2F559E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2A662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ноябре 1933 г. вместо авиационного мотора «Либерти» в опытный танк БТ-2 был установлен быстроходный дизель БД-2 № 1 (этот опытный танк еще назывался БДТ-1). Ведущим инженером машины был Н.А. Кучеренко. Эксплуатационная мощность БД-2, установленного в танке БТ-2, составляла 360 л.с. (265 кВт). Пробные пробеговые испытания танка с новым двигателем по территории завода были «первыми шагами» нового типа танкового двигателя - дизель-мотора. Дизель в танке работал устойчиво, но сильно дымил. Танк трясло, сказывалась неуравновешенность двигателя. Вибрация вызывала неприятные ощущения у танкистов. На этих и последующих испытаниях было выявлено много недостатков. Ряд конструктивных решений необходимо было пересмотреть, отдельные детали и узлы требовали доработки. В 1934 г. в доводку дизеля активно включился И.Я. Трашутин, возвратившийся из США после стажировки. После испытаний на стенде и в танке опытного образца дизеля БД-2, конструкторы приступили к разработке улучшенной конструкции двигателя первой серии. КБ дизельного отдела завода, в целом, довольно малочисленное, в период 1932 - 1937 гг. вело большой объем работ по созданию одновременно нескольких модификаций быстроходного дизеля, имея в виду обеспечение различных транспортных машин дизелями одного семейства типа БД-2. Кроме того, весной 1933 г. в НАТИ под руководством и.о. директора инженера Зелинского велись проектные работы по установке в танк БТ-2 опытного быстроходного бескомпрессорного дизеля Д-300 конструкции ОКМО. В 1934 г. в КБ по быстроходным дизелям прибыло новое пополнение специалистов. В дизельном отделе завода было организовано три КБ, разрабатывающих до десятка модификаций дизеля БД-2 (танковых, судовых, тракторных, авиационных). Для разработки серийной технологии изготовления и оснастки в ноябре 1935 г. было создано технологическое бюро по БД-2, в котором, правда, уже на БТ-5, были продолжены объектовые испытания двигателей первой серии. По результатам испытаний первой серии и замечаниям специалистов ЦИАМ конструкторы выпустили техническую документацию дизеля БД-2 второй серии. Для повышения надежности и технологичности предусматривалось изготовление коленчатых валов, шатунов, поршней из штампованных заготовок. Однако очередные стендовые испытания, проведенные в январе - марте 1937 г., снова выявили дефекты.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В январе 1939 г. из состава завода № 183 (бывший ХПЗ) был образован новый дизельный завод, который позже был переименован в Государственный союзный завод № 75. В 1939 г. решением ГКО дизель В-2 был принят на вооружение РККА.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 </w:t>
      </w:r>
    </w:p>
    <w:p w14:paraId="4425B4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57E67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ноябре 1933 г. вместо авиационного мотора «Либерти» в опытный танк БТ-2 был установлен быстроходный дизель БД-2 № 1. Пробные пробеговые испытания танка с новым двигателем по территории завода были «первыми шагами» нового типа танкового двигателя - дизель-мотора. </w:t>
      </w:r>
    </w:p>
    <w:p w14:paraId="0D5AAC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Дизель в танке работал устойчиво, но сильно дымил. На этих и последующих испытаниях было выявлено много недостатков. После проведения большого объема конструкторских работ большую часть из них удалось устранить. С середины 1937 г. усовершенствованный дизель получил наименование В-2. Первые Государственные испытания В-2 состоялись в апреле - мае 1938 г. К концу 1938 г. заводом были изготовлены первые 50 дизелей. Создание первого в мире серийного быстроходного танкового дизельного двигателя В-2 явилось огромным достижением отечественного танкостроения, которое трудно переоценить. С его появлением начался процесс оснащения отечественных танков дизельными двигателями (11715).</w:t>
      </w:r>
    </w:p>
    <w:p w14:paraId="6A9E9E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225C7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в Спецотделе НАТИ на базе двухбашенного Т-26 был разработан новый проект танка подводного хождения. В июне 1934 опытный образец прошел испытания и был отправлен на доработку на склад № 37 (9527,230).</w:t>
      </w:r>
    </w:p>
    <w:p w14:paraId="5E6781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3D30BC3" w14:textId="77777777" w:rsidR="000723F3" w:rsidRPr="0044524F" w:rsidRDefault="000723F3" w:rsidP="009654CF">
      <w:pPr>
        <w:pStyle w:val="ae"/>
        <w:shd w:val="clear" w:color="auto" w:fill="FFFFFF"/>
        <w:spacing w:before="0" w:after="0"/>
        <w:jc w:val="both"/>
        <w:rPr>
          <w:color w:val="000000" w:themeColor="text1"/>
          <w:sz w:val="16"/>
          <w:szCs w:val="16"/>
        </w:rPr>
      </w:pPr>
      <w:r w:rsidRPr="0044524F">
        <w:rPr>
          <w:color w:val="000000" w:themeColor="text1"/>
          <w:sz w:val="16"/>
          <w:szCs w:val="16"/>
        </w:rPr>
        <w:t>С ноября 1933 года к работе по теме Т-29 начинает привлекаться ОКМО. 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44524F">
        <w:rPr>
          <w:iCs/>
          <w:color w:val="000000" w:themeColor="text1"/>
          <w:sz w:val="16"/>
          <w:szCs w:val="16"/>
        </w:rPr>
        <w:t xml:space="preserve"> (17708).</w:t>
      </w:r>
    </w:p>
    <w:p w14:paraId="12771A13"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p>
    <w:p w14:paraId="7E300365" w14:textId="453B9D85"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на заводе № 183 (Ордена Ленина завод № 183 им. Коминтерна НКОП, НКСМ, НКТП, Харьковский паровозостроительный завод (ХПЗ) им. Коминтерна НКТП, Государственный ХПЗ (ГХПЗ), Уральский танковый завод (УТЗ) № 183 им. Коминтерна НКТП, УТЗ им. Сталина НКТП, «Уралвагонзавод» (УВЗ) НКТП, Минтрансмаша, ПО «УВЗ» им. Ф.Э. Дзержинского», ФГУП «ПО «УВЗ им. Ф.Э. Дзержинского» ФАП, ОАО «Научно-производственная корпорация (НПК) «УВЗ» / г. Харьков п/я 61 «Коминтернзавод» (1938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Нижний Тагил/ /622007(51) был собран первый Т-35А. Пост. Главного Военного Совета СССР о 8.06.1939 г. производство Т-35 было прекращено (11982).</w:t>
      </w:r>
    </w:p>
    <w:p w14:paraId="12FF38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41D9AC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задание на проектирование зенитной САУ на шасси танка Т-26 получил конструкторский отдел самоходной артиллерии завода № 185. Даже предваритель</w:t>
      </w:r>
      <w:r w:rsidRPr="0044524F">
        <w:rPr>
          <w:rFonts w:ascii="Times New Roman" w:hAnsi="Times New Roman"/>
          <w:color w:val="000000" w:themeColor="text1"/>
          <w:sz w:val="16"/>
          <w:szCs w:val="16"/>
        </w:rPr>
        <w:softHyphen/>
        <w:t>ные прикидки показали, что шасси необходимо удлинять. Но тем не менее до февраля 1934 г. ГАУ и УММ не соглаша</w:t>
      </w:r>
      <w:r w:rsidRPr="0044524F">
        <w:rPr>
          <w:rFonts w:ascii="Times New Roman" w:hAnsi="Times New Roman"/>
          <w:color w:val="000000" w:themeColor="text1"/>
          <w:sz w:val="16"/>
          <w:szCs w:val="16"/>
        </w:rPr>
        <w:softHyphen/>
        <w:t>лись с проведением переделок ходовой части танка Т-26.</w:t>
      </w:r>
    </w:p>
    <w:p w14:paraId="5EC7D8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1934 г. проект был в целом одобрен, но задание скорректировано для применения орудия в боевых порядках войск против вражеских танков. В июне 1934 г. в танковом КБ завода начались работы по проектированию и изготовле</w:t>
      </w:r>
      <w:r w:rsidRPr="0044524F">
        <w:rPr>
          <w:rFonts w:ascii="Times New Roman" w:hAnsi="Times New Roman"/>
          <w:color w:val="000000" w:themeColor="text1"/>
          <w:sz w:val="16"/>
          <w:szCs w:val="16"/>
        </w:rPr>
        <w:softHyphen/>
        <w:t>нию удлиненного шасси Т-26 для самоходной артиллерии.</w:t>
      </w:r>
    </w:p>
    <w:p w14:paraId="33DACA8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Руководитель проекта шасси С.А. Гинзбург предложил рас</w:t>
      </w:r>
      <w:r w:rsidRPr="0044524F">
        <w:rPr>
          <w:rFonts w:ascii="Times New Roman" w:hAnsi="Times New Roman"/>
          <w:color w:val="000000" w:themeColor="text1"/>
          <w:sz w:val="16"/>
          <w:szCs w:val="16"/>
        </w:rPr>
        <w:softHyphen/>
        <w:t>смотреть данное шасси не только как носитель 76,2-мм зе</w:t>
      </w:r>
      <w:r w:rsidRPr="0044524F">
        <w:rPr>
          <w:rFonts w:ascii="Times New Roman" w:hAnsi="Times New Roman"/>
          <w:color w:val="000000" w:themeColor="text1"/>
          <w:sz w:val="16"/>
          <w:szCs w:val="16"/>
        </w:rPr>
        <w:softHyphen/>
        <w:t>нитной пушки ЗК, но также 106,7-мм тяжелой дивизионной пушки обр. 1910/30 гг., 152-мм гаубицы обр. 1909/30, а также для создания забронированного транспортера пехоты. Но эти предложения были оставлены без внимания.</w:t>
      </w:r>
    </w:p>
    <w:p w14:paraId="6B9783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Компоновкой зенитной САУ занимался Л. Троянов под общим руководством П.Н. Сячинтова. Машина представля</w:t>
      </w:r>
      <w:r w:rsidRPr="0044524F">
        <w:rPr>
          <w:rFonts w:ascii="Times New Roman" w:hAnsi="Times New Roman"/>
          <w:color w:val="000000" w:themeColor="text1"/>
          <w:sz w:val="16"/>
          <w:szCs w:val="16"/>
        </w:rPr>
        <w:softHyphen/>
        <w:t>ла собой открытую самоходную установку, построенную с широким использованием узлов и агрегатов танка Т-26, от которого были заимствованы двигатель, главный фрикцион, сочленения карданного вала, коробка перемены передач, бортовые фрикционы, тормоза и бортовые передачи. Кор</w:t>
      </w:r>
      <w:r w:rsidRPr="0044524F">
        <w:rPr>
          <w:rFonts w:ascii="Times New Roman" w:hAnsi="Times New Roman"/>
          <w:color w:val="000000" w:themeColor="text1"/>
          <w:sz w:val="16"/>
          <w:szCs w:val="16"/>
        </w:rPr>
        <w:softHyphen/>
        <w:t>пус склепывался из 6—8-мм листов броневой стали. Он был шире и длиннее по сравнению с Т-26. Для необходимой же</w:t>
      </w:r>
      <w:r w:rsidRPr="0044524F">
        <w:rPr>
          <w:rFonts w:ascii="Times New Roman" w:hAnsi="Times New Roman"/>
          <w:color w:val="000000" w:themeColor="text1"/>
          <w:sz w:val="16"/>
          <w:szCs w:val="16"/>
        </w:rPr>
        <w:softHyphen/>
        <w:t>сткости его усиливали тремя поперечными перегородками, между которыми находились складные сиденья расчета. На крыше корпуса, дополнительно укрепленной угольниками, на болтах крепилась тумба 76-мм зенитной пушки ЗК.</w:t>
      </w:r>
    </w:p>
    <w:p w14:paraId="2EA5D17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ходовую часть Т-26 было добавлено по одному опор</w:t>
      </w:r>
      <w:r w:rsidRPr="0044524F">
        <w:rPr>
          <w:rFonts w:ascii="Times New Roman" w:hAnsi="Times New Roman"/>
          <w:color w:val="000000" w:themeColor="text1"/>
          <w:sz w:val="16"/>
          <w:szCs w:val="16"/>
        </w:rPr>
        <w:softHyphen/>
        <w:t>ному катку (на каждый борт), подрессоренному спиральной пружиной. Для уменьшения нагрузок на подвеску при стрельбе на каждом борту был установлен специальный ги</w:t>
      </w:r>
      <w:r w:rsidRPr="0044524F">
        <w:rPr>
          <w:rFonts w:ascii="Times New Roman" w:hAnsi="Times New Roman"/>
          <w:color w:val="000000" w:themeColor="text1"/>
          <w:sz w:val="16"/>
          <w:szCs w:val="16"/>
        </w:rPr>
        <w:softHyphen/>
        <w:t>дравлический выключатель, разгружавший рессоры и пере</w:t>
      </w:r>
      <w:r w:rsidRPr="0044524F">
        <w:rPr>
          <w:rFonts w:ascii="Times New Roman" w:hAnsi="Times New Roman"/>
          <w:color w:val="000000" w:themeColor="text1"/>
          <w:sz w:val="16"/>
          <w:szCs w:val="16"/>
        </w:rPr>
        <w:softHyphen/>
        <w:t>дававший нагрузку непосредственно на опорные катки.</w:t>
      </w:r>
    </w:p>
    <w:p w14:paraId="2A607F3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боков машины на петлях крепились откидные борта из 6-мм брони, защищавшие экипаж от обстрела во время мар</w:t>
      </w:r>
      <w:r w:rsidRPr="0044524F">
        <w:rPr>
          <w:rFonts w:ascii="Times New Roman" w:hAnsi="Times New Roman"/>
          <w:color w:val="000000" w:themeColor="text1"/>
          <w:sz w:val="16"/>
          <w:szCs w:val="16"/>
        </w:rPr>
        <w:softHyphen/>
        <w:t>ша. Перед стрельбой борта откидывались и удерживались специальными упорами. Лобовой и кормовой листы тоже от</w:t>
      </w:r>
      <w:r w:rsidRPr="0044524F">
        <w:rPr>
          <w:rFonts w:ascii="Times New Roman" w:hAnsi="Times New Roman"/>
          <w:color w:val="000000" w:themeColor="text1"/>
          <w:sz w:val="16"/>
          <w:szCs w:val="16"/>
        </w:rPr>
        <w:softHyphen/>
        <w:t>кидывались, причем передний опускался внутрь и закрывал собой люки сидений командира и механика-водителя. Люки сидений расчета закрывались крышками на петлях. Таким образом, в боевом положении, при откидывании всех бортов и крышек, получалась довольно большая площадка, которая позволяла работать расчету 76,2-мм орудия.</w:t>
      </w:r>
    </w:p>
    <w:p w14:paraId="52FC5BE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самоходной установки, получившей индекс СУ-6, в боевом положении составляла 11,1 т, максимальная ско</w:t>
      </w:r>
      <w:r w:rsidRPr="0044524F">
        <w:rPr>
          <w:rFonts w:ascii="Times New Roman" w:hAnsi="Times New Roman"/>
          <w:color w:val="000000" w:themeColor="text1"/>
          <w:sz w:val="16"/>
          <w:szCs w:val="16"/>
        </w:rPr>
        <w:softHyphen/>
        <w:t>рость по шоссе достигала 28 км/ч, запас хода — 130 км. Помимо 76,2-мм зенитной пушки вооружение машины было до</w:t>
      </w:r>
      <w:r w:rsidRPr="0044524F">
        <w:rPr>
          <w:rFonts w:ascii="Times New Roman" w:hAnsi="Times New Roman"/>
          <w:color w:val="000000" w:themeColor="text1"/>
          <w:sz w:val="16"/>
          <w:szCs w:val="16"/>
        </w:rPr>
        <w:softHyphen/>
        <w:t>полнено двумя 7,62-мм пулеметами ДТ, установленными в переднем и заднем бортах в шаровых установках (11417).</w:t>
      </w:r>
    </w:p>
    <w:p w14:paraId="365EBCB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D0EF6D0" w14:textId="77777777" w:rsidR="00F7716D" w:rsidRPr="00142305" w:rsidRDefault="00F7716D" w:rsidP="00F7716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ноябре 1933 года на Красном Путиловце под руководством инженеров И.Орленко и Э. Майдельмана была начата реконструкция цеха МХ-2. На его базе предполагалось создать специальный танковый цех с возможностью производства до 150 Т-28 в год. Для этого было создано восемь специальных монтажных мест для сборки танков, заказаны за границей необходимые станки и оборудование, из тракторного цеха переведен ряд квалифицированных инженеров и мастеров (24998).</w:t>
      </w:r>
    </w:p>
    <w:p w14:paraId="221F7AEE" w14:textId="77777777" w:rsidR="00F7716D" w:rsidRPr="00142305" w:rsidRDefault="00F7716D" w:rsidP="00F7716D">
      <w:pPr>
        <w:spacing w:after="0" w:line="240" w:lineRule="auto"/>
        <w:jc w:val="both"/>
        <w:rPr>
          <w:rFonts w:ascii="Times New Roman" w:hAnsi="Times New Roman"/>
          <w:color w:val="0070C0"/>
          <w:sz w:val="16"/>
          <w:szCs w:val="16"/>
        </w:rPr>
      </w:pPr>
    </w:p>
    <w:p w14:paraId="61F0C41D" w14:textId="77777777" w:rsidR="00D06664" w:rsidRPr="00142305" w:rsidRDefault="00D06664" w:rsidP="00D0666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ноября 1933 года в связи с тем, что у АТБ ЭКУ ОГПУ, находившегося в Москве, не было достаточных мощностей для постройки ни Т-29, ни ПТ-1А, к данной теме стали привлекать ОКМО (Опытный конструкторско-машиностроительный отдел) завода №174, которым руководил Н.В. Барыков. Здесь же, к тому времени, работал и Гинзбург. 19 ноября 1933 года на опытный завод, который сформировался на ОКМО, возложили изготовление для перечисленных танков коробки передач, бортовые передачи и другие элементы трансмиссии. Также широкий ассортимент деталей изготавливался на заводе "Красный Путиловец", в 1934 году ставший Кировским Заводом. Здесь же выпускался и Т-28 (25089).</w:t>
      </w:r>
    </w:p>
    <w:p w14:paraId="6CA06A7E" w14:textId="77777777" w:rsidR="00D06664" w:rsidRPr="00142305" w:rsidRDefault="00D06664" w:rsidP="00D06664">
      <w:pPr>
        <w:spacing w:after="0" w:line="240" w:lineRule="auto"/>
        <w:jc w:val="both"/>
        <w:rPr>
          <w:rFonts w:ascii="Times New Roman" w:hAnsi="Times New Roman"/>
          <w:color w:val="0070C0"/>
          <w:sz w:val="16"/>
          <w:szCs w:val="16"/>
        </w:rPr>
      </w:pPr>
    </w:p>
    <w:p w14:paraId="6B7A3508" w14:textId="77777777" w:rsidR="001C5008" w:rsidRPr="0044524F" w:rsidRDefault="001C50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Проведенные в ноябре 1933 года испытания бронедрезины, которой к этому времени присвоили новый индекс ДТ-45 (дрезина тяжелая с 45-мм пушкой, хотя иногда в документах встречается и старое обозначение Д-37), показали хорошие результаты. Правда, отмечалась теснота корпуса, затруднявшая работу экипажа, плохая вентиляция, особенно при стрельбе из орудия, а также частый перегрев двигателя из-за недостаточного охлаждения. Несмотря на недостатки, в конце 1933 года УММ РККА рассматривало вопрос об организации серийного производства ДТ-45, но вскоре от этой идеи отказались, и она осталась в единственном экземпляре. Она использовалась в отдельном полку бронепоездов для учебных целей до середины 1938 года (18626).</w:t>
      </w:r>
    </w:p>
    <w:p w14:paraId="4A516679" w14:textId="77777777" w:rsidR="001C5008" w:rsidRPr="0044524F" w:rsidRDefault="001C5008" w:rsidP="009654CF">
      <w:pPr>
        <w:spacing w:after="0" w:line="240" w:lineRule="auto"/>
        <w:jc w:val="both"/>
        <w:rPr>
          <w:rFonts w:ascii="Times New Roman" w:hAnsi="Times New Roman"/>
          <w:color w:val="000000" w:themeColor="text1"/>
          <w:sz w:val="16"/>
          <w:szCs w:val="16"/>
        </w:rPr>
      </w:pPr>
    </w:p>
    <w:p w14:paraId="7848ED57"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года прошли испытания бронедрезины ДТ-45 (дрезина тяжелая с 45-мм пушкой), которые дали неплохие результаты, хотя и не обошлось без замечаний — плохая вентиляция, особенно во время стрельбы из орудия, частый перегрев двигателя. Рассматривался вопрос об организации серийного производства Д-45, но в результате от этого отказались. Дело в том, что к этому времени в СССР было налажено производство железнодорожных моторных дрезин серии «У», а также мотовозов серии «М» (в СССР «слабосильные и легкие локомотивы» с двигателем внутреннего сгорания мощностью менее 300 л. с. называли мотовозами). Естественно, что бронедрезины на уже освоенной промышленностью базе выпускать было гораздо дешевле и проще (22743).</w:t>
      </w:r>
    </w:p>
    <w:p w14:paraId="20C62489" w14:textId="77777777" w:rsidR="008B6A65" w:rsidRPr="0044524F" w:rsidRDefault="008B6A65" w:rsidP="009654CF">
      <w:pPr>
        <w:spacing w:after="0" w:line="240" w:lineRule="auto"/>
        <w:jc w:val="both"/>
        <w:rPr>
          <w:rFonts w:ascii="Times New Roman" w:hAnsi="Times New Roman"/>
          <w:color w:val="000000" w:themeColor="text1"/>
          <w:sz w:val="16"/>
          <w:szCs w:val="16"/>
        </w:rPr>
      </w:pPr>
    </w:p>
    <w:p w14:paraId="2FD4FF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на ЯГАЗ изготовлены, собраны и испытаны два образца опытного дизельного двигателя с непосредственным впрыском топлива "Коджу" мощностью 87 л.с. Изготовлены шасси для троллейбусов ЛК-1, выпускаемых в г. Москве. ЯГАЗ №3 входит в подчинение Главного управления тракторной и автомобильной промышленности (ГУТАП) Народного комиссариата тяжелой промышленности (11246).</w:t>
      </w:r>
    </w:p>
    <w:p w14:paraId="1958FA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EBE90E0"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на Ярославском автозаводе изготовили первые два опытных двигателя «Коджу». Это были шестицилиндровые четырехтактные дизели рабочим объемом 9,96 л, развивающие мощность 90 л.с. при 1600 мин-1. Они имели алюминиевые блоки с вставными стальными гильзами и чугунные головки, алюминиевые крышки головок и масляные магистрали в виде подвешенных внутри картера труб (21328).</w:t>
      </w:r>
    </w:p>
    <w:p w14:paraId="6FC8E1CD" w14:textId="77777777" w:rsidR="008B6A65" w:rsidRPr="0044524F" w:rsidRDefault="008B6A65" w:rsidP="009654CF">
      <w:pPr>
        <w:spacing w:after="0" w:line="240" w:lineRule="auto"/>
        <w:jc w:val="both"/>
        <w:rPr>
          <w:rFonts w:ascii="Times New Roman" w:hAnsi="Times New Roman"/>
          <w:color w:val="000000" w:themeColor="text1"/>
          <w:sz w:val="16"/>
          <w:szCs w:val="16"/>
        </w:rPr>
      </w:pPr>
    </w:p>
    <w:p w14:paraId="088B5C34" w14:textId="77777777"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на Ярославском автозаводе изго</w:t>
      </w:r>
      <w:r w:rsidRPr="0044524F">
        <w:rPr>
          <w:rFonts w:ascii="Times New Roman" w:hAnsi="Times New Roman"/>
          <w:color w:val="000000" w:themeColor="text1"/>
          <w:sz w:val="16"/>
          <w:szCs w:val="16"/>
        </w:rPr>
        <w:softHyphen/>
        <w:t>товлены два опытных двигателя Коджу конструк</w:t>
      </w:r>
      <w:r w:rsidRPr="0044524F">
        <w:rPr>
          <w:rFonts w:ascii="Times New Roman" w:hAnsi="Times New Roman"/>
          <w:color w:val="000000" w:themeColor="text1"/>
          <w:sz w:val="16"/>
          <w:szCs w:val="16"/>
        </w:rPr>
        <w:softHyphen/>
        <w:t>ции Н.Р. Брилинга. Это были шестицилиндровые 4-тактные дизели литражом 9,96 л, развивающие 90 л.с. при 1600 об./мин. Они имели алюминиевые блоки со вставными стальными гильзами и чугун</w:t>
      </w:r>
      <w:r w:rsidRPr="0044524F">
        <w:rPr>
          <w:rFonts w:ascii="Times New Roman" w:hAnsi="Times New Roman"/>
          <w:color w:val="000000" w:themeColor="text1"/>
          <w:sz w:val="16"/>
          <w:szCs w:val="16"/>
        </w:rPr>
        <w:softHyphen/>
        <w:t>ные головки, алюминиевые крышки головок и масля</w:t>
      </w:r>
      <w:r w:rsidRPr="0044524F">
        <w:rPr>
          <w:rFonts w:ascii="Times New Roman" w:hAnsi="Times New Roman"/>
          <w:color w:val="000000" w:themeColor="text1"/>
          <w:sz w:val="16"/>
          <w:szCs w:val="16"/>
        </w:rPr>
        <w:softHyphen/>
        <w:t>ные магистрали в виде подвешенных внутри карте</w:t>
      </w:r>
      <w:r w:rsidRPr="0044524F">
        <w:rPr>
          <w:rFonts w:ascii="Times New Roman" w:hAnsi="Times New Roman"/>
          <w:color w:val="000000" w:themeColor="text1"/>
          <w:sz w:val="16"/>
          <w:szCs w:val="16"/>
        </w:rPr>
        <w:softHyphen/>
        <w:t>ра труб.</w:t>
      </w:r>
    </w:p>
    <w:p w14:paraId="655CEB90" w14:textId="56F52B19" w:rsidR="008B6A65" w:rsidRPr="0044524F" w:rsidRDefault="008B6A6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первых собранных дизеля Коджу устано</w:t>
      </w:r>
      <w:r w:rsidRPr="0044524F">
        <w:rPr>
          <w:rFonts w:ascii="Times New Roman" w:hAnsi="Times New Roman"/>
          <w:color w:val="000000" w:themeColor="text1"/>
          <w:sz w:val="16"/>
          <w:szCs w:val="16"/>
        </w:rPr>
        <w:softHyphen/>
        <w:t>вили на грузовые автомобили Я-5. 9 ноября первый автомобиль вышел из ворот завода. Он имел две до</w:t>
      </w:r>
      <w:r w:rsidRPr="0044524F">
        <w:rPr>
          <w:rFonts w:ascii="Times New Roman" w:hAnsi="Times New Roman"/>
          <w:color w:val="000000" w:themeColor="text1"/>
          <w:sz w:val="16"/>
          <w:szCs w:val="16"/>
        </w:rPr>
        <w:softHyphen/>
        <w:t>полнительные фары на кабине и светящуюся над</w:t>
      </w:r>
      <w:r w:rsidRPr="0044524F">
        <w:rPr>
          <w:rFonts w:ascii="Times New Roman" w:hAnsi="Times New Roman"/>
          <w:color w:val="000000" w:themeColor="text1"/>
          <w:sz w:val="16"/>
          <w:szCs w:val="16"/>
        </w:rPr>
        <w:softHyphen/>
        <w:t>пись «ЯГАЗ-дизель»</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(22518).</w:t>
      </w:r>
    </w:p>
    <w:p w14:paraId="38C5E7C0" w14:textId="77777777" w:rsidR="008B6A65" w:rsidRPr="0044524F" w:rsidRDefault="008B6A65" w:rsidP="009654CF">
      <w:pPr>
        <w:spacing w:after="0" w:line="240" w:lineRule="auto"/>
        <w:jc w:val="both"/>
        <w:rPr>
          <w:rFonts w:ascii="Times New Roman" w:hAnsi="Times New Roman"/>
          <w:color w:val="000000" w:themeColor="text1"/>
          <w:sz w:val="16"/>
          <w:szCs w:val="16"/>
        </w:rPr>
      </w:pPr>
    </w:p>
    <w:p w14:paraId="0593C52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на за</w:t>
      </w:r>
      <w:r w:rsidRPr="0044524F">
        <w:rPr>
          <w:rFonts w:ascii="Times New Roman" w:hAnsi="Times New Roman"/>
          <w:color w:val="000000" w:themeColor="text1"/>
          <w:sz w:val="16"/>
          <w:szCs w:val="16"/>
        </w:rPr>
        <w:softHyphen/>
        <w:t>воде им. Марти в Ленинграде пару опытных двигателей ГМ-34 уста</w:t>
      </w:r>
      <w:r w:rsidRPr="0044524F">
        <w:rPr>
          <w:rFonts w:ascii="Times New Roman" w:hAnsi="Times New Roman"/>
          <w:color w:val="000000" w:themeColor="text1"/>
          <w:sz w:val="16"/>
          <w:szCs w:val="16"/>
        </w:rPr>
        <w:softHyphen/>
        <w:t>новили на головной торпедный катер типа Г-5. Один ГМ-34 был левого исполнения, другой - правого. 5 декабря катер при</w:t>
      </w:r>
      <w:r w:rsidRPr="0044524F">
        <w:rPr>
          <w:rFonts w:ascii="Times New Roman" w:hAnsi="Times New Roman"/>
          <w:color w:val="000000" w:themeColor="text1"/>
          <w:sz w:val="16"/>
          <w:szCs w:val="16"/>
        </w:rPr>
        <w:softHyphen/>
        <w:t>был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44524F">
        <w:rPr>
          <w:rFonts w:ascii="Times New Roman" w:hAnsi="Times New Roman"/>
          <w:color w:val="000000" w:themeColor="text1"/>
          <w:sz w:val="16"/>
          <w:szCs w:val="16"/>
        </w:rPr>
        <w:softHyphen/>
        <w:t>рийно, к 1 июля изготовили 21 ка</w:t>
      </w:r>
      <w:r w:rsidRPr="0044524F">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44524F">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44524F">
        <w:rPr>
          <w:rFonts w:ascii="Times New Roman" w:hAnsi="Times New Roman"/>
          <w:color w:val="000000" w:themeColor="text1"/>
          <w:sz w:val="16"/>
          <w:szCs w:val="16"/>
        </w:rPr>
        <w:softHyphen/>
        <w:t>вался параллельно с авиационным. Так, ГМ-34Ф имел коренные вклады</w:t>
      </w:r>
      <w:r w:rsidRPr="0044524F">
        <w:rPr>
          <w:rFonts w:ascii="Times New Roman" w:hAnsi="Times New Roman"/>
          <w:color w:val="000000" w:themeColor="text1"/>
          <w:sz w:val="16"/>
          <w:szCs w:val="16"/>
        </w:rPr>
        <w:softHyphen/>
        <w:t>ши из бронзы, коленчатый вал, го</w:t>
      </w:r>
      <w:r w:rsidRPr="0044524F">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44524F">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44524F">
        <w:rPr>
          <w:rFonts w:ascii="Times New Roman" w:hAnsi="Times New Roman"/>
          <w:color w:val="000000" w:themeColor="text1"/>
          <w:sz w:val="16"/>
          <w:szCs w:val="16"/>
        </w:rPr>
        <w:softHyphen/>
        <w:t>тельно, чтобы эта смесь использова</w:t>
      </w:r>
      <w:r w:rsidRPr="0044524F">
        <w:rPr>
          <w:rFonts w:ascii="Times New Roman" w:hAnsi="Times New Roman"/>
          <w:color w:val="000000" w:themeColor="text1"/>
          <w:sz w:val="16"/>
          <w:szCs w:val="16"/>
        </w:rPr>
        <w:softHyphen/>
        <w:t>лась для серий-ных двигателей на флотах. Первые два ГМ-34Ф выпус</w:t>
      </w:r>
      <w:r w:rsidRPr="0044524F">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44524F">
        <w:rPr>
          <w:rFonts w:ascii="Times New Roman" w:hAnsi="Times New Roman"/>
          <w:color w:val="000000" w:themeColor="text1"/>
          <w:sz w:val="16"/>
          <w:szCs w:val="16"/>
        </w:rPr>
        <w:softHyphen/>
        <w:t>вершенствованной маслосистемой. Степень сжатия у него опять понизи</w:t>
      </w:r>
      <w:r w:rsidRPr="0044524F">
        <w:rPr>
          <w:rFonts w:ascii="Times New Roman" w:hAnsi="Times New Roman"/>
          <w:color w:val="000000" w:themeColor="text1"/>
          <w:sz w:val="16"/>
          <w:szCs w:val="16"/>
        </w:rPr>
        <w:softHyphen/>
        <w:t>ли до 6,0, чтобы использовать низ</w:t>
      </w:r>
      <w:r w:rsidRPr="0044524F">
        <w:rPr>
          <w:rFonts w:ascii="Times New Roman" w:hAnsi="Times New Roman"/>
          <w:color w:val="000000" w:themeColor="text1"/>
          <w:sz w:val="16"/>
          <w:szCs w:val="16"/>
        </w:rPr>
        <w:softHyphen/>
        <w:t>кокачественное топливо, но мощ</w:t>
      </w:r>
      <w:r w:rsidRPr="0044524F">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44524F">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44524F">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44524F">
        <w:rPr>
          <w:rFonts w:ascii="Times New Roman" w:hAnsi="Times New Roman"/>
          <w:color w:val="000000" w:themeColor="text1"/>
          <w:sz w:val="16"/>
          <w:szCs w:val="16"/>
        </w:rPr>
        <w:softHyphen/>
        <w:t>тью 850 л.с. для танков с изменен</w:t>
      </w:r>
      <w:r w:rsidRPr="0044524F">
        <w:rPr>
          <w:rFonts w:ascii="Times New Roman" w:hAnsi="Times New Roman"/>
          <w:color w:val="000000" w:themeColor="text1"/>
          <w:sz w:val="16"/>
          <w:szCs w:val="16"/>
        </w:rPr>
        <w:softHyphen/>
        <w:t>ной системой охлаждения, вентиля</w:t>
      </w:r>
      <w:r w:rsidRPr="0044524F">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44524F">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44524F">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44524F">
        <w:rPr>
          <w:rFonts w:ascii="Times New Roman" w:hAnsi="Times New Roman"/>
          <w:color w:val="000000" w:themeColor="text1"/>
          <w:sz w:val="16"/>
          <w:szCs w:val="16"/>
        </w:rPr>
        <w:softHyphen/>
        <w:t>моходном орудии СУ-100у («Игрек», 1940 г.), применяв</w:t>
      </w:r>
      <w:r w:rsidRPr="0044524F">
        <w:rPr>
          <w:rFonts w:ascii="Times New Roman" w:hAnsi="Times New Roman"/>
          <w:color w:val="000000" w:themeColor="text1"/>
          <w:sz w:val="16"/>
          <w:szCs w:val="16"/>
        </w:rPr>
        <w:softHyphen/>
        <w:t>шемся в боях под Москвой зимой 1941 г. (11848).</w:t>
      </w:r>
    </w:p>
    <w:p w14:paraId="10FE909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FE495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года на заводе им. Серго Орджоникидзе была закончена разработка и начались испытания радиостанции. Таким образом, к 1935 году были созданы все необходимые условия для крупносерийного выпуска первого в стране современного, массового и недорого радиоприемника "СИ-235". Этот приемник без преувеличения можно назвать назвать одной из главных вех на пути массовой радиофикации нашей страны. Собранный по схеме прямого усиления на очень современных по тем временам экранированных радиолампах, он имел целый ряд совершенно оригинальных технических, схемных и конструктивных особенностей: встроенный электродинамический громкоговоритель мощностью 2 ватта, регулируемую положительную обратную связь по высокой частоте, нониусную шкалу и другие. И за два года было выпущено 172 тыс. штук (12239).</w:t>
      </w:r>
    </w:p>
    <w:p w14:paraId="064FC5C7" w14:textId="77777777" w:rsidR="0018342B" w:rsidRPr="0044524F" w:rsidRDefault="0018342B" w:rsidP="009654CF">
      <w:pPr>
        <w:spacing w:after="0" w:line="240" w:lineRule="auto"/>
        <w:jc w:val="both"/>
        <w:rPr>
          <w:rFonts w:ascii="Times New Roman" w:hAnsi="Times New Roman"/>
          <w:color w:val="000000" w:themeColor="text1"/>
          <w:sz w:val="16"/>
          <w:szCs w:val="16"/>
        </w:rPr>
      </w:pPr>
    </w:p>
    <w:p w14:paraId="3D6327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в программу судостроения были внесены некоторые изме</w:t>
      </w:r>
      <w:r w:rsidRPr="0044524F">
        <w:rPr>
          <w:rFonts w:ascii="Times New Roman" w:hAnsi="Times New Roman"/>
          <w:color w:val="000000" w:themeColor="text1"/>
          <w:sz w:val="16"/>
          <w:szCs w:val="16"/>
        </w:rPr>
        <w:softHyphen/>
        <w:t>нения, связанные с уточнением количества подводных лодок и над</w:t>
      </w:r>
      <w:r w:rsidRPr="0044524F">
        <w:rPr>
          <w:rFonts w:ascii="Times New Roman" w:hAnsi="Times New Roman"/>
          <w:color w:val="000000" w:themeColor="text1"/>
          <w:sz w:val="16"/>
          <w:szCs w:val="16"/>
        </w:rPr>
        <w:softHyphen/>
        <w:t>водных кораблей, вступающих в строй в 1933—1937 гг. (т. е. в тече</w:t>
      </w:r>
      <w:r w:rsidRPr="0044524F">
        <w:rPr>
          <w:rFonts w:ascii="Times New Roman" w:hAnsi="Times New Roman"/>
          <w:color w:val="000000" w:themeColor="text1"/>
          <w:sz w:val="16"/>
          <w:szCs w:val="16"/>
        </w:rPr>
        <w:softHyphen/>
        <w:t>ние пяти лет). В процессе согласования программы с промышленностью Главное управление морского судостроения (Гламорпром) сокра</w:t>
      </w:r>
      <w:r w:rsidRPr="0044524F">
        <w:rPr>
          <w:rFonts w:ascii="Times New Roman" w:hAnsi="Times New Roman"/>
          <w:color w:val="000000" w:themeColor="text1"/>
          <w:sz w:val="16"/>
          <w:szCs w:val="16"/>
        </w:rPr>
        <w:softHyphen/>
        <w:t>тило количество сдаваемых в 1933—1937 гг. подводных лодок до 246 и не приняло к постройке речные мониторы и бронекатера. Поэтому к реализации программы было решено привлечь заводы Главречпрома "Красное Сормово" и Коломенский, на которых раз</w:t>
      </w:r>
      <w:r w:rsidRPr="0044524F">
        <w:rPr>
          <w:rFonts w:ascii="Times New Roman" w:hAnsi="Times New Roman"/>
          <w:color w:val="000000" w:themeColor="text1"/>
          <w:sz w:val="16"/>
          <w:szCs w:val="16"/>
        </w:rPr>
        <w:softHyphen/>
        <w:t>местили постройку 33 средних подводных лодок, а на заводах "Ле</w:t>
      </w:r>
      <w:r w:rsidRPr="0044524F">
        <w:rPr>
          <w:rFonts w:ascii="Times New Roman" w:hAnsi="Times New Roman"/>
          <w:color w:val="000000" w:themeColor="text1"/>
          <w:sz w:val="16"/>
          <w:szCs w:val="16"/>
        </w:rPr>
        <w:softHyphen/>
        <w:t>нинская кузница" в Киеве и им. А. М. Горького в Зеленодольске бьыа намечена постройка мониторов и бронекатеров.</w:t>
      </w:r>
    </w:p>
    <w:p w14:paraId="1FFCB7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Главморпром смог также отстоять сокращение количества сда-ваемьгх кораблей некоторых других классов, однако взамен предло</w:t>
      </w:r>
      <w:r w:rsidRPr="0044524F">
        <w:rPr>
          <w:rFonts w:ascii="Times New Roman" w:hAnsi="Times New Roman"/>
          <w:color w:val="000000" w:themeColor="text1"/>
          <w:sz w:val="16"/>
          <w:szCs w:val="16"/>
        </w:rPr>
        <w:softHyphen/>
        <w:t>жил построить за пять лет 450 торпедных катеров, что доводило общее количество включенных в программу боевьгх единиц до 837. Удельный вес подводного судостроения по программе составлял почти 60% (в денежном выражении, в ценах 1927/28 г.). Общий объем производства судостроительных заводов Главморпрома в 1937 г. предполагалось довести до 983,2 млн руб., в 3,3 раза боль</w:t>
      </w:r>
      <w:r w:rsidRPr="0044524F">
        <w:rPr>
          <w:rFonts w:ascii="Times New Roman" w:hAnsi="Times New Roman"/>
          <w:color w:val="000000" w:themeColor="text1"/>
          <w:sz w:val="16"/>
          <w:szCs w:val="16"/>
        </w:rPr>
        <w:softHyphen/>
        <w:t>ше, чем в 1933 г. Доля военного судостроения в общем объеме про</w:t>
      </w:r>
      <w:r w:rsidRPr="0044524F">
        <w:rPr>
          <w:rFonts w:ascii="Times New Roman" w:hAnsi="Times New Roman"/>
          <w:color w:val="000000" w:themeColor="text1"/>
          <w:sz w:val="16"/>
          <w:szCs w:val="16"/>
        </w:rPr>
        <w:softHyphen/>
        <w:t>изводства морского судостроения предполагалась свыше 60%. Приемность стапельных кранов, а для погрузки на спущенные на воду суда у достроенных набережных надпалубных конструкций, меха</w:t>
      </w:r>
      <w:r w:rsidRPr="0044524F">
        <w:rPr>
          <w:rFonts w:ascii="Times New Roman" w:hAnsi="Times New Roman"/>
          <w:color w:val="000000" w:themeColor="text1"/>
          <w:sz w:val="16"/>
          <w:szCs w:val="16"/>
        </w:rPr>
        <w:softHyphen/>
        <w:t>низмов и оборудования на заводах использовались плавучие кра</w:t>
      </w:r>
      <w:r w:rsidRPr="0044524F">
        <w:rPr>
          <w:rFonts w:ascii="Times New Roman" w:hAnsi="Times New Roman"/>
          <w:color w:val="000000" w:themeColor="text1"/>
          <w:sz w:val="16"/>
          <w:szCs w:val="16"/>
        </w:rPr>
        <w:softHyphen/>
        <w:t>ны. Хаотичность застройки территории заводов затрудняла орга</w:t>
      </w:r>
      <w:r w:rsidRPr="0044524F">
        <w:rPr>
          <w:rFonts w:ascii="Times New Roman" w:hAnsi="Times New Roman"/>
          <w:color w:val="000000" w:themeColor="text1"/>
          <w:sz w:val="16"/>
          <w:szCs w:val="16"/>
        </w:rPr>
        <w:softHyphen/>
        <w:t>низацию технологических потоков (3898).</w:t>
      </w:r>
    </w:p>
    <w:p w14:paraId="3D222D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разработке первого пятилетнего плана на техническое пе</w:t>
      </w:r>
      <w:r w:rsidRPr="0044524F">
        <w:rPr>
          <w:rFonts w:ascii="Times New Roman" w:hAnsi="Times New Roman"/>
          <w:color w:val="000000" w:themeColor="text1"/>
          <w:sz w:val="16"/>
          <w:szCs w:val="16"/>
        </w:rPr>
        <w:softHyphen/>
        <w:t>ревооружение и реконструкцию судостроительных заводов предус</w:t>
      </w:r>
      <w:r w:rsidRPr="0044524F">
        <w:rPr>
          <w:rFonts w:ascii="Times New Roman" w:hAnsi="Times New Roman"/>
          <w:color w:val="000000" w:themeColor="text1"/>
          <w:sz w:val="16"/>
          <w:szCs w:val="16"/>
        </w:rPr>
        <w:softHyphen/>
        <w:t>матривалось выделение средств в размере около 100 млн руб. (в це</w:t>
      </w:r>
      <w:r w:rsidRPr="0044524F">
        <w:rPr>
          <w:rFonts w:ascii="Times New Roman" w:hAnsi="Times New Roman"/>
          <w:color w:val="000000" w:themeColor="text1"/>
          <w:sz w:val="16"/>
          <w:szCs w:val="16"/>
        </w:rPr>
        <w:softHyphen/>
        <w:t>нах, принятых при разработке плана), что было недостаточно для реализации всех мероприятий, намечаемых проектами реконструк</w:t>
      </w:r>
      <w:r w:rsidRPr="0044524F">
        <w:rPr>
          <w:rFonts w:ascii="Times New Roman" w:hAnsi="Times New Roman"/>
          <w:color w:val="000000" w:themeColor="text1"/>
          <w:sz w:val="16"/>
          <w:szCs w:val="16"/>
        </w:rPr>
        <w:softHyphen/>
        <w:t>ции. А эти мероприятия предусматривали:</w:t>
      </w:r>
    </w:p>
    <w:p w14:paraId="633D03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полный ремонт и реконструкцию стапелей с одновремен</w:t>
      </w:r>
      <w:r w:rsidRPr="0044524F">
        <w:rPr>
          <w:rFonts w:ascii="Times New Roman" w:hAnsi="Times New Roman"/>
          <w:color w:val="000000" w:themeColor="text1"/>
          <w:sz w:val="16"/>
          <w:szCs w:val="16"/>
        </w:rPr>
        <w:softHyphen/>
        <w:t>ным обновлением кранового оборудования;</w:t>
      </w:r>
    </w:p>
    <w:p w14:paraId="36C2F8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восстановление и удлинение достроечных набережных с ус</w:t>
      </w:r>
      <w:r w:rsidRPr="0044524F">
        <w:rPr>
          <w:rFonts w:ascii="Times New Roman" w:hAnsi="Times New Roman"/>
          <w:color w:val="000000" w:themeColor="text1"/>
          <w:sz w:val="16"/>
          <w:szCs w:val="16"/>
        </w:rPr>
        <w:softHyphen/>
        <w:t>тановкой на них новых портальных кранов;</w:t>
      </w:r>
    </w:p>
    <w:p w14:paraId="70CA4C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замену устаревшего оборудования корпуснь1х цехов новым, более производительным электрифицированным оборудованием;</w:t>
      </w:r>
    </w:p>
    <w:p w14:paraId="1BD474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развитие механообрабатывающих и заготовительных (ли-тейньхх, кузнечных, штамповочных) производств и энергетических хозяйств;</w:t>
      </w:r>
    </w:p>
    <w:p w14:paraId="408DD9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улучшение условий труда рабочих и служащих. Но даже эти ограниченные капиталовложения начали выде</w:t>
      </w:r>
      <w:r w:rsidRPr="0044524F">
        <w:rPr>
          <w:rFonts w:ascii="Times New Roman" w:hAnsi="Times New Roman"/>
          <w:color w:val="000000" w:themeColor="text1"/>
          <w:sz w:val="16"/>
          <w:szCs w:val="16"/>
        </w:rPr>
        <w:softHyphen/>
        <w:t>ляться только в 30-х гг., а за первые три года пятилетки (до 1 янва</w:t>
      </w:r>
      <w:r w:rsidRPr="0044524F">
        <w:rPr>
          <w:rFonts w:ascii="Times New Roman" w:hAnsi="Times New Roman"/>
          <w:color w:val="000000" w:themeColor="text1"/>
          <w:sz w:val="16"/>
          <w:szCs w:val="16"/>
        </w:rPr>
        <w:softHyphen/>
        <w:t>ря 1931 г.) на реконструкцию заводов было израсходовано немно</w:t>
      </w:r>
      <w:r w:rsidRPr="0044524F">
        <w:rPr>
          <w:rFonts w:ascii="Times New Roman" w:hAnsi="Times New Roman"/>
          <w:color w:val="000000" w:themeColor="text1"/>
          <w:sz w:val="16"/>
          <w:szCs w:val="16"/>
        </w:rPr>
        <w:softHyphen/>
        <w:t>гим более 14% намеченной на пятилетку суммы (3898).</w:t>
      </w:r>
    </w:p>
    <w:p w14:paraId="1CCED819" w14:textId="590AB802"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B42083C" w14:textId="185B875A" w:rsidR="008B6A65" w:rsidRPr="0044524F" w:rsidRDefault="008B6A65"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3A40D59E" w14:textId="77777777" w:rsidR="008B6A65" w:rsidRPr="0044524F" w:rsidRDefault="008B6A65"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5242AA3D" w14:textId="77777777" w:rsidR="008B6A65" w:rsidRPr="0044524F" w:rsidRDefault="008B6A65"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ноябре 1933 г. Советский Союз перебросил на территорию Синьцзяна, так называемую «Алтайскую добровольческую армию», сформированную из командиров и красноармейцев 13-го Алма-атинского и 10-го Ташкентского полков ОГПУ, усиленных несколькими бронемашинами.2 В армии имелись так же самолеты Р - 5 (4 штуки), У-2 с авиабомбами, авиабензином, маслами и запчастями. К тому же армия была оснащена артиллерией, ручными и станковыми пулеметами, винтовками, имела большое количество патронов и гранат3 . Личный состав был строго проинструктирован относительно сохранения тайны своего пребывания в провинции. Офицеры и солдаты в нестандартных ситуациях были обязаны отрицать свою принадлежность к СССР, и давали подписку на 50 лет о неразглашении деталей действий в Синьцзяне. Содержание армии, прибывшей для оказания помощи Шен Шицаю, полностью ложилось на советское правительство, однако с последующей </w:t>
      </w:r>
      <w:r w:rsidRPr="0044524F">
        <w:rPr>
          <w:rFonts w:ascii="Times New Roman" w:hAnsi="Times New Roman"/>
          <w:color w:val="000000" w:themeColor="text1"/>
          <w:sz w:val="16"/>
          <w:szCs w:val="16"/>
        </w:rPr>
        <w:lastRenderedPageBreak/>
        <w:t>компенсацией всех затрат китайской стороной. Следует отметить, что вопросы, связанные с переброской «Алтайской добровольческой армии» на территорию Синьцзяна, а также ее дальнейшие действия были согласованы не только с провинциальным, но и с центральным правительством Китая (20122).</w:t>
      </w:r>
    </w:p>
    <w:p w14:paraId="6289BC53" w14:textId="77777777" w:rsidR="008B6A65" w:rsidRPr="0044524F" w:rsidRDefault="008B6A65" w:rsidP="009654CF">
      <w:pPr>
        <w:shd w:val="clear" w:color="auto" w:fill="FFFFFF"/>
        <w:spacing w:after="0" w:line="240" w:lineRule="auto"/>
        <w:jc w:val="both"/>
        <w:rPr>
          <w:rFonts w:ascii="Times New Roman" w:hAnsi="Times New Roman"/>
          <w:color w:val="000000" w:themeColor="text1"/>
          <w:sz w:val="16"/>
          <w:szCs w:val="16"/>
        </w:rPr>
      </w:pPr>
    </w:p>
    <w:p w14:paraId="4996CA7B" w14:textId="77777777" w:rsidR="007C27C6" w:rsidRPr="0044524F" w:rsidRDefault="007C27C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(м.б. 1936?) на ДВ было 86 ТБ-3 после того, как из европейской части перебросили 41, 42 и 43 ТБАЭ (1854,14).</w:t>
      </w:r>
    </w:p>
    <w:p w14:paraId="38E2A7D3" w14:textId="77777777" w:rsidR="007C27C6" w:rsidRPr="0044524F" w:rsidRDefault="007C27C6" w:rsidP="009654CF">
      <w:pPr>
        <w:autoSpaceDE w:val="0"/>
        <w:autoSpaceDN w:val="0"/>
        <w:adjustRightInd w:val="0"/>
        <w:spacing w:after="0" w:line="240" w:lineRule="auto"/>
        <w:jc w:val="both"/>
        <w:rPr>
          <w:rFonts w:ascii="Times New Roman" w:hAnsi="Times New Roman"/>
          <w:color w:val="000000" w:themeColor="text1"/>
          <w:sz w:val="16"/>
          <w:szCs w:val="16"/>
        </w:rPr>
      </w:pPr>
    </w:p>
    <w:p w14:paraId="6A4D2D01" w14:textId="77777777" w:rsidR="007C27C6" w:rsidRPr="0044524F" w:rsidRDefault="007C27C6"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первые три экипажа на Р-5 попали в Китай (1366,15).</w:t>
      </w:r>
    </w:p>
    <w:p w14:paraId="2DC47A06" w14:textId="77777777" w:rsidR="007C27C6" w:rsidRPr="0044524F" w:rsidRDefault="007C27C6" w:rsidP="009654CF">
      <w:pPr>
        <w:autoSpaceDE w:val="0"/>
        <w:autoSpaceDN w:val="0"/>
        <w:adjustRightInd w:val="0"/>
        <w:spacing w:after="0" w:line="240" w:lineRule="auto"/>
        <w:jc w:val="both"/>
        <w:rPr>
          <w:rFonts w:ascii="Times New Roman" w:hAnsi="Times New Roman"/>
          <w:color w:val="000000" w:themeColor="text1"/>
          <w:sz w:val="16"/>
          <w:szCs w:val="16"/>
        </w:rPr>
      </w:pPr>
    </w:p>
    <w:p w14:paraId="4644F127"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DE4363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701B0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года Постановлением СНК СССР утверждено "Положение об уполномоченном СНК СССР по охране военных тайн в печати и об отделах военной цензуры", согласно которому руководство делом охраны военных тайн в печати на территории всей страны осуществлял уполномоченный СНК СССР по охране военных тайн в печати, который одновременно являлся начальником Главлита (8983).</w:t>
      </w:r>
    </w:p>
    <w:p w14:paraId="36DE1A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1A15EEB" w14:textId="77777777" w:rsidR="0020663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6C31F29" w14:textId="77777777" w:rsidR="00206636" w:rsidRPr="0044524F" w:rsidRDefault="0020663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A268320" w14:textId="77777777" w:rsidR="00D06664" w:rsidRPr="00142305" w:rsidRDefault="00D06664" w:rsidP="00D0666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ноября 1933 года, после установления между Советским Союзом и Соединенными Штатами дипломатических отношений, между обеими странами вскоре возникли и разнообразные коммерческие связи. Советский Союз получил возможность закупить самые современные американские авиационные двигатели, а также другое авиационное оборудование.</w:t>
      </w:r>
    </w:p>
    <w:p w14:paraId="128137F9" w14:textId="77777777" w:rsidR="00D06664" w:rsidRPr="00142305" w:rsidRDefault="00D06664" w:rsidP="00D0666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Двигатели Wright Cyclone были поставлены в Советский Союз непосредственно фирмой Wright Aeronautical Corporation, расположенной в Паттерсон (Paterson), штат Нью</w:t>
      </w:r>
      <w:r w:rsidRPr="00142305">
        <w:rPr>
          <w:rFonts w:ascii="Times New Roman" w:hAnsi="Times New Roman"/>
          <w:color w:val="0070C0"/>
          <w:sz w:val="16"/>
          <w:szCs w:val="16"/>
        </w:rPr>
        <w:noBreakHyphen/>
        <w:t>Джерси. Двигатель Wright Cyclone, развивающий мощность 630 л.с., был в полтора раза мощнее, чем стандартный радиальный советский двигатель воздушного охлаждения того времени – М</w:t>
      </w:r>
      <w:r w:rsidRPr="00142305">
        <w:rPr>
          <w:rFonts w:ascii="Times New Roman" w:hAnsi="Times New Roman"/>
          <w:color w:val="0070C0"/>
          <w:sz w:val="16"/>
          <w:szCs w:val="16"/>
        </w:rPr>
        <w:noBreakHyphen/>
        <w:t>22 (480 л.с.). Несмотря на то, что двигатель SGR</w:t>
      </w:r>
      <w:r w:rsidRPr="00142305">
        <w:rPr>
          <w:rFonts w:ascii="Times New Roman" w:hAnsi="Times New Roman"/>
          <w:color w:val="0070C0"/>
          <w:sz w:val="16"/>
          <w:szCs w:val="16"/>
        </w:rPr>
        <w:noBreakHyphen/>
        <w:t xml:space="preserve"> 1820</w:t>
      </w:r>
      <w:r w:rsidRPr="00142305">
        <w:rPr>
          <w:rFonts w:ascii="Times New Roman" w:hAnsi="Times New Roman"/>
          <w:color w:val="0070C0"/>
          <w:sz w:val="16"/>
          <w:szCs w:val="16"/>
        </w:rPr>
        <w:noBreakHyphen/>
        <w:t>F</w:t>
      </w:r>
      <w:r w:rsidRPr="00142305">
        <w:rPr>
          <w:rFonts w:ascii="Times New Roman" w:hAnsi="Times New Roman"/>
          <w:color w:val="0070C0"/>
          <w:sz w:val="16"/>
          <w:szCs w:val="16"/>
        </w:rPr>
        <w:noBreakHyphen/>
        <w:t>3 был гораздо мощнее, чем М</w:t>
      </w:r>
      <w:r w:rsidRPr="00142305">
        <w:rPr>
          <w:rFonts w:ascii="Times New Roman" w:hAnsi="Times New Roman"/>
          <w:color w:val="0070C0"/>
          <w:sz w:val="16"/>
          <w:szCs w:val="16"/>
        </w:rPr>
        <w:noBreakHyphen/>
        <w:t>22, он был только на 72 кг тяжелее и имел меньший диаметр.</w:t>
      </w:r>
    </w:p>
    <w:p w14:paraId="024CFAAA" w14:textId="77777777" w:rsidR="00D06664" w:rsidRPr="00142305" w:rsidRDefault="00D06664" w:rsidP="00D0666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рамках подготовки производства лицензионного SGR</w:t>
      </w:r>
      <w:r w:rsidRPr="00142305">
        <w:rPr>
          <w:rFonts w:ascii="Times New Roman" w:hAnsi="Times New Roman"/>
          <w:color w:val="0070C0"/>
          <w:sz w:val="16"/>
          <w:szCs w:val="16"/>
        </w:rPr>
        <w:noBreakHyphen/>
        <w:t>1820</w:t>
      </w:r>
      <w:r w:rsidRPr="00142305">
        <w:rPr>
          <w:rFonts w:ascii="Times New Roman" w:hAnsi="Times New Roman"/>
          <w:color w:val="0070C0"/>
          <w:sz w:val="16"/>
          <w:szCs w:val="16"/>
        </w:rPr>
        <w:noBreakHyphen/>
        <w:t>F</w:t>
      </w:r>
      <w:r w:rsidRPr="00142305">
        <w:rPr>
          <w:rFonts w:ascii="Times New Roman" w:hAnsi="Times New Roman"/>
          <w:color w:val="0070C0"/>
          <w:sz w:val="16"/>
          <w:szCs w:val="16"/>
        </w:rPr>
        <w:noBreakHyphen/>
        <w:t>3 первые образцы, двигателей Wright были доставлены на новый моторостроительный завод №19 в Перми. Однако, новый двигатель, обозначенный как М</w:t>
      </w:r>
      <w:r w:rsidRPr="00142305">
        <w:rPr>
          <w:rFonts w:ascii="Times New Roman" w:hAnsi="Times New Roman"/>
          <w:color w:val="0070C0"/>
          <w:sz w:val="16"/>
          <w:szCs w:val="16"/>
        </w:rPr>
        <w:noBreakHyphen/>
        <w:t>25, удалось запустить в производство только в октябре 1936 года (25070).</w:t>
      </w:r>
    </w:p>
    <w:p w14:paraId="5E390FDE" w14:textId="77777777" w:rsidR="00D06664" w:rsidRPr="00142305" w:rsidRDefault="00D06664" w:rsidP="00D06664">
      <w:pPr>
        <w:spacing w:after="0" w:line="240" w:lineRule="auto"/>
        <w:jc w:val="both"/>
        <w:rPr>
          <w:rFonts w:ascii="Times New Roman" w:hAnsi="Times New Roman"/>
          <w:color w:val="0070C0"/>
          <w:sz w:val="16"/>
          <w:szCs w:val="16"/>
        </w:rPr>
      </w:pPr>
    </w:p>
    <w:p w14:paraId="268F2DCE"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на территорию Синьцзяна вошли советские войска, их действия считались Особой операцией Главного Управления пограничной охраны ОГПУ, Опера- цей руководил сначала начальник погранвойск М.П. Фриновский, затем его сменил И.К. Кручинкин. СССР также финансировал участие в боях на стороне местной власти белогвардейских воинских частей. В этой операции принимала участие авиация — три самолта Р-5 с советскими эки</w:t>
      </w:r>
      <w:r w:rsidRPr="0044524F">
        <w:rPr>
          <w:rFonts w:ascii="Times New Roman" w:hAnsi="Times New Roman"/>
          <w:color w:val="000000" w:themeColor="text1"/>
          <w:sz w:val="16"/>
          <w:szCs w:val="16"/>
        </w:rPr>
        <w:softHyphen/>
        <w:t>пажами из группы Ф.П. Полынина, бомбившими повстанцев. Дипломатия закончилась, но это уже другая история... (15802).</w:t>
      </w:r>
    </w:p>
    <w:p w14:paraId="5DDD08DF" w14:textId="77777777" w:rsidR="00206636" w:rsidRPr="0044524F" w:rsidRDefault="00206636" w:rsidP="009654CF">
      <w:pPr>
        <w:spacing w:after="0" w:line="240" w:lineRule="auto"/>
        <w:jc w:val="both"/>
        <w:rPr>
          <w:rFonts w:ascii="Times New Roman" w:hAnsi="Times New Roman"/>
          <w:color w:val="000000" w:themeColor="text1"/>
          <w:sz w:val="16"/>
          <w:szCs w:val="16"/>
        </w:rPr>
      </w:pPr>
    </w:p>
    <w:p w14:paraId="03AA2AB8"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2358C9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D05D749" w14:textId="77777777" w:rsidR="00E23E3F" w:rsidRPr="0044524F" w:rsidRDefault="00E23E3F"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ноябре 1933 года сразу после сдачи в эксплуатацию гидросамолета-биплана «Сарафанд» Министерство авиации издало спецификацию R.2/33 на летающую лодку с такой же дальностью и грузоподъемностью, но с приемлемой ценой и четырьмя моторами вместо шести у «Сарафанда». «Саро» представил свой А. 33 в 1938 году, но испытания «не задались», и он в следующем году разбился. Но даже если бы этого не случилось, у А. 33 шансов все равно было мало — его опередил </w:t>
      </w:r>
      <w:bookmarkStart w:id="53" w:name="_Hlk92543636"/>
      <w:r w:rsidRPr="0044524F">
        <w:rPr>
          <w:rFonts w:ascii="Times New Roman" w:hAnsi="Times New Roman"/>
          <w:color w:val="000000" w:themeColor="text1"/>
          <w:sz w:val="16"/>
          <w:szCs w:val="16"/>
        </w:rPr>
        <w:t>Шорт S. 25, совершивший первый полет 16 октября 1937 года (22816).</w:t>
      </w:r>
      <w:bookmarkEnd w:id="53"/>
    </w:p>
    <w:p w14:paraId="0420D507" w14:textId="77777777" w:rsidR="00E23E3F" w:rsidRPr="0044524F" w:rsidRDefault="00E23E3F" w:rsidP="009654CF">
      <w:pPr>
        <w:shd w:val="clear" w:color="auto" w:fill="FFFFFF"/>
        <w:spacing w:after="0" w:line="240" w:lineRule="auto"/>
        <w:jc w:val="both"/>
        <w:rPr>
          <w:rFonts w:ascii="Times New Roman" w:hAnsi="Times New Roman"/>
          <w:color w:val="000000" w:themeColor="text1"/>
          <w:sz w:val="16"/>
          <w:szCs w:val="16"/>
        </w:rPr>
      </w:pPr>
    </w:p>
    <w:p w14:paraId="4B5F5C1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года была завершена постройка вертолета “Жироплан”. Создание и испытания вертолета субсидировались в соответствии с условиями контракта, согласно которым вертолет должен был обладать маневренностью в полете по квадрату со стороной 500 м, дости</w:t>
      </w:r>
      <w:r w:rsidRPr="0044524F">
        <w:rPr>
          <w:rFonts w:ascii="Times New Roman" w:hAnsi="Times New Roman"/>
          <w:color w:val="000000" w:themeColor="text1"/>
          <w:sz w:val="16"/>
          <w:szCs w:val="16"/>
        </w:rPr>
        <w:softHyphen/>
        <w:t>гать высоты 100 м, скорости 100 км/ч и продолжительности полета на режи</w:t>
      </w:r>
      <w:r w:rsidRPr="0044524F">
        <w:rPr>
          <w:rFonts w:ascii="Times New Roman" w:hAnsi="Times New Roman"/>
          <w:color w:val="000000" w:themeColor="text1"/>
          <w:sz w:val="16"/>
          <w:szCs w:val="16"/>
        </w:rPr>
        <w:softHyphen/>
        <w:t>ме висения 1 0 мин. Его раз</w:t>
      </w:r>
      <w:r w:rsidRPr="0044524F">
        <w:rPr>
          <w:rFonts w:ascii="Times New Roman" w:hAnsi="Times New Roman"/>
          <w:color w:val="000000" w:themeColor="text1"/>
          <w:sz w:val="16"/>
          <w:szCs w:val="16"/>
        </w:rPr>
        <w:softHyphen/>
        <w:t>работал и построил известный авиа</w:t>
      </w:r>
      <w:r w:rsidRPr="0044524F">
        <w:rPr>
          <w:rFonts w:ascii="Times New Roman" w:hAnsi="Times New Roman"/>
          <w:color w:val="000000" w:themeColor="text1"/>
          <w:sz w:val="16"/>
          <w:szCs w:val="16"/>
        </w:rPr>
        <w:softHyphen/>
        <w:t>конструктор Луи Бреге совместно с молодым инженером фирмы «Бреге» Рене Дораном и при участии выпуск</w:t>
      </w:r>
      <w:r w:rsidRPr="0044524F">
        <w:rPr>
          <w:rFonts w:ascii="Times New Roman" w:hAnsi="Times New Roman"/>
          <w:color w:val="000000" w:themeColor="text1"/>
          <w:sz w:val="16"/>
          <w:szCs w:val="16"/>
        </w:rPr>
        <w:softHyphen/>
        <w:t>ника авиационной школы Мориса Клайсса. Подобно своим французским собратьям, вертолет получил название «Жироплан». Он имел фюзеляж фер-менной конструкции, двухлопастные не</w:t>
      </w:r>
      <w:r w:rsidRPr="0044524F">
        <w:rPr>
          <w:rFonts w:ascii="Times New Roman" w:hAnsi="Times New Roman"/>
          <w:color w:val="000000" w:themeColor="text1"/>
          <w:sz w:val="16"/>
          <w:szCs w:val="16"/>
        </w:rPr>
        <w:softHyphen/>
        <w:t>сущие винты диаметром 15,87 м, че-тырехопорное шасси с широко раз</w:t>
      </w:r>
      <w:r w:rsidRPr="0044524F">
        <w:rPr>
          <w:rFonts w:ascii="Times New Roman" w:hAnsi="Times New Roman"/>
          <w:color w:val="000000" w:themeColor="text1"/>
          <w:sz w:val="16"/>
          <w:szCs w:val="16"/>
        </w:rPr>
        <w:softHyphen/>
        <w:t>несенными ферменными главными опо</w:t>
      </w:r>
      <w:r w:rsidRPr="0044524F">
        <w:rPr>
          <w:rFonts w:ascii="Times New Roman" w:hAnsi="Times New Roman"/>
          <w:color w:val="000000" w:themeColor="text1"/>
          <w:sz w:val="16"/>
          <w:szCs w:val="16"/>
        </w:rPr>
        <w:softHyphen/>
        <w:t>рами, хвостовое и предохранительное носовое колеса. В носовой части вертолета был установлен авиационный ПД «Испано-Сюиза» мощностью 300 л.с. Вертолет оснащался горизонтальным и вертикальным оперением. Регулято</w:t>
      </w:r>
      <w:r w:rsidRPr="0044524F">
        <w:rPr>
          <w:rFonts w:ascii="Times New Roman" w:hAnsi="Times New Roman"/>
          <w:color w:val="000000" w:themeColor="text1"/>
          <w:sz w:val="16"/>
          <w:szCs w:val="16"/>
        </w:rPr>
        <w:softHyphen/>
        <w:t>ры шага уменьшали угол установки цельнометаллических лопастей при взмахе (11401).</w:t>
      </w:r>
    </w:p>
    <w:p w14:paraId="245CB30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479AEFA" w14:textId="77777777" w:rsidR="00D06664" w:rsidRPr="00142305" w:rsidRDefault="00D06664" w:rsidP="00D06664">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ноябре 1933 г. главный конструктор фирмы Бристоль Френк Бернвейл доложил о готовности проекта специального высотного самолета, названного «Бристоль-138». Это был низкоплан с убирающимися шасси и модернизированным двигателем «Пегас». В то время в мире разразился экономический кризис, ко</w:t>
      </w:r>
      <w:r w:rsidRPr="00142305">
        <w:rPr>
          <w:rStyle w:val="aff"/>
          <w:rFonts w:ascii="Times New Roman" w:hAnsi="Times New Roman" w:cs="Times New Roman"/>
          <w:color w:val="0070C0"/>
          <w:spacing w:val="0"/>
          <w:sz w:val="16"/>
          <w:szCs w:val="16"/>
        </w:rPr>
        <w:softHyphen/>
        <w:t>торый задерживал осуществление проекта (25675).</w:t>
      </w:r>
    </w:p>
    <w:p w14:paraId="2B3A981F" w14:textId="77777777" w:rsidR="00D06664" w:rsidRPr="00142305" w:rsidRDefault="00D06664" w:rsidP="00D06664">
      <w:pPr>
        <w:spacing w:after="0" w:line="240" w:lineRule="auto"/>
        <w:jc w:val="both"/>
        <w:rPr>
          <w:rStyle w:val="aff"/>
          <w:rFonts w:ascii="Times New Roman" w:hAnsi="Times New Roman" w:cs="Times New Roman"/>
          <w:color w:val="0070C0"/>
          <w:spacing w:val="0"/>
          <w:sz w:val="16"/>
          <w:szCs w:val="16"/>
        </w:rPr>
      </w:pPr>
    </w:p>
    <w:p w14:paraId="134CD0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ноябре 1933 г. в Сирии ранее избранный парламент распускается, а конституция отменяется. Вновь вводится колониальная форма правления. Однако это лишь способствовало усилению национально-освободительной борьбы. Вооруженные выступления в сельской местности сочетаются с массовыми демонстрациями и забастовками в городах (3871).</w:t>
      </w:r>
    </w:p>
    <w:p w14:paraId="04F18B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DC40028" w14:textId="58D0F351" w:rsidR="00D06664" w:rsidRPr="0044524F" w:rsidRDefault="00D06664" w:rsidP="00D06664">
      <w:pPr>
        <w:autoSpaceDE w:val="0"/>
        <w:autoSpaceDN w:val="0"/>
        <w:adjustRightInd w:val="0"/>
        <w:spacing w:after="0" w:line="240" w:lineRule="auto"/>
        <w:jc w:val="both"/>
        <w:rPr>
          <w:rFonts w:ascii="Times New Roman" w:hAnsi="Times New Roman"/>
          <w:iCs/>
          <w:color w:val="000000" w:themeColor="text1"/>
          <w:sz w:val="16"/>
          <w:szCs w:val="16"/>
        </w:rPr>
      </w:pPr>
      <w:r>
        <w:rPr>
          <w:rFonts w:ascii="Times New Roman" w:hAnsi="Times New Roman"/>
          <w:i/>
          <w:iCs/>
          <w:color w:val="000000" w:themeColor="text1"/>
          <w:sz w:val="16"/>
          <w:szCs w:val="16"/>
        </w:rPr>
        <w:t>Другие оборонные отрасли</w:t>
      </w:r>
      <w:r w:rsidRPr="0044524F">
        <w:rPr>
          <w:rFonts w:ascii="Times New Roman" w:hAnsi="Times New Roman"/>
          <w:i/>
          <w:iCs/>
          <w:color w:val="000000" w:themeColor="text1"/>
          <w:sz w:val="16"/>
          <w:szCs w:val="16"/>
        </w:rPr>
        <w:t>:</w:t>
      </w:r>
    </w:p>
    <w:p w14:paraId="2346DEF7" w14:textId="77777777" w:rsidR="00D06664" w:rsidRPr="0044524F" w:rsidRDefault="00D06664" w:rsidP="00D06664">
      <w:pPr>
        <w:autoSpaceDE w:val="0"/>
        <w:autoSpaceDN w:val="0"/>
        <w:adjustRightInd w:val="0"/>
        <w:spacing w:after="0" w:line="240" w:lineRule="auto"/>
        <w:jc w:val="both"/>
        <w:rPr>
          <w:rFonts w:ascii="Times New Roman" w:hAnsi="Times New Roman"/>
          <w:iCs/>
          <w:color w:val="000000" w:themeColor="text1"/>
          <w:sz w:val="16"/>
          <w:szCs w:val="16"/>
        </w:rPr>
      </w:pPr>
    </w:p>
    <w:p w14:paraId="3C2AF145" w14:textId="77777777" w:rsidR="00D06664" w:rsidRPr="00142305" w:rsidRDefault="00D06664" w:rsidP="00D0666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зиме 1933/34 года газогенераторная тракторная установка системы Введенского на тракторе 3-90 была в це</w:t>
      </w:r>
      <w:r w:rsidRPr="00142305">
        <w:rPr>
          <w:rFonts w:ascii="Times New Roman" w:hAnsi="Times New Roman"/>
          <w:color w:val="0070C0"/>
          <w:sz w:val="16"/>
          <w:szCs w:val="16"/>
        </w:rPr>
        <w:softHyphen/>
        <w:t>лом доведена и под обозначением В-3 представлена на госиспытания на пред</w:t>
      </w:r>
      <w:r w:rsidRPr="00142305">
        <w:rPr>
          <w:rFonts w:ascii="Times New Roman" w:hAnsi="Times New Roman"/>
          <w:color w:val="0070C0"/>
          <w:sz w:val="16"/>
          <w:szCs w:val="16"/>
        </w:rPr>
        <w:softHyphen/>
        <w:t>мет определения пригодности ее к ис</w:t>
      </w:r>
      <w:r w:rsidRPr="00142305">
        <w:rPr>
          <w:rFonts w:ascii="Times New Roman" w:hAnsi="Times New Roman"/>
          <w:color w:val="0070C0"/>
          <w:sz w:val="16"/>
          <w:szCs w:val="16"/>
        </w:rPr>
        <w:softHyphen/>
        <w:t>пользованию в военных целях.</w:t>
      </w:r>
    </w:p>
    <w:p w14:paraId="5676C865" w14:textId="77777777" w:rsidR="00D06664" w:rsidRPr="00142305" w:rsidRDefault="00D06664" w:rsidP="00D0666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Закончившиеся в апреле 1934 года государственные испытания показали, что тяговое усилие на крюке на 1-й ско</w:t>
      </w:r>
      <w:r w:rsidRPr="00142305">
        <w:rPr>
          <w:rFonts w:ascii="Times New Roman" w:hAnsi="Times New Roman"/>
          <w:color w:val="0070C0"/>
          <w:sz w:val="16"/>
          <w:szCs w:val="16"/>
        </w:rPr>
        <w:softHyphen/>
        <w:t>рости составляет 2200 кг, на 2-й скоро</w:t>
      </w:r>
      <w:r w:rsidRPr="00142305">
        <w:rPr>
          <w:rFonts w:ascii="Times New Roman" w:hAnsi="Times New Roman"/>
          <w:color w:val="0070C0"/>
          <w:sz w:val="16"/>
          <w:szCs w:val="16"/>
        </w:rPr>
        <w:softHyphen/>
        <w:t>сти — 1000 кг и на 3-й скорости — 400 кг. На розжиг газогенератора в зависимости от сорта и влажности дров (свежеспиленные или подсушенные до влажности 16</w:t>
      </w:r>
      <w:r w:rsidRPr="00142305">
        <w:rPr>
          <w:rFonts w:ascii="Times New Roman" w:hAnsi="Times New Roman"/>
          <w:color w:val="0070C0"/>
          <w:sz w:val="16"/>
          <w:szCs w:val="16"/>
        </w:rPr>
        <w:softHyphen/>
        <w:t>17%) уходило от 1,5 до 5 ч. На 30 км пути с трехтонным колесным прицепом на бук</w:t>
      </w:r>
      <w:r w:rsidRPr="00142305">
        <w:rPr>
          <w:rFonts w:ascii="Times New Roman" w:hAnsi="Times New Roman"/>
          <w:color w:val="0070C0"/>
          <w:sz w:val="16"/>
          <w:szCs w:val="16"/>
        </w:rPr>
        <w:softHyphen/>
        <w:t>сире ушло 350 кг дров. По итогам гос- испытаний были зафиксированы в целом удовлетворительные параметры надеж</w:t>
      </w:r>
      <w:r w:rsidRPr="00142305">
        <w:rPr>
          <w:rFonts w:ascii="Times New Roman" w:hAnsi="Times New Roman"/>
          <w:color w:val="0070C0"/>
          <w:sz w:val="16"/>
          <w:szCs w:val="16"/>
        </w:rPr>
        <w:softHyphen/>
        <w:t>ности, удобства обслуживания и др. Однако потери мощности оказались слишком велики, и установка В-3 не была рекомендована к принятию на вооруже</w:t>
      </w:r>
      <w:r w:rsidRPr="00142305">
        <w:rPr>
          <w:rFonts w:ascii="Times New Roman" w:hAnsi="Times New Roman"/>
          <w:color w:val="0070C0"/>
          <w:sz w:val="16"/>
          <w:szCs w:val="16"/>
        </w:rPr>
        <w:softHyphen/>
        <w:t>ние (25003).</w:t>
      </w:r>
    </w:p>
    <w:p w14:paraId="25F2ACD9" w14:textId="77777777" w:rsidR="00D06664" w:rsidRPr="00142305" w:rsidRDefault="00D06664" w:rsidP="00D06664">
      <w:pPr>
        <w:spacing w:after="0" w:line="240" w:lineRule="auto"/>
        <w:jc w:val="both"/>
        <w:rPr>
          <w:rFonts w:ascii="Times New Roman" w:hAnsi="Times New Roman"/>
          <w:color w:val="0070C0"/>
          <w:sz w:val="16"/>
          <w:szCs w:val="16"/>
        </w:rPr>
      </w:pPr>
    </w:p>
    <w:p w14:paraId="41884696"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408C10F"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E32A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1 декабря 1933 была следующая численность истребителей по типам, состоявшим на вооружении: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24"/>
        <w:gridCol w:w="1024"/>
        <w:gridCol w:w="1024"/>
        <w:gridCol w:w="1024"/>
        <w:gridCol w:w="1024"/>
        <w:gridCol w:w="1024"/>
        <w:gridCol w:w="1024"/>
        <w:gridCol w:w="1024"/>
        <w:gridCol w:w="1024"/>
      </w:tblGrid>
      <w:tr w:rsidR="004E10C1" w:rsidRPr="0044524F" w14:paraId="6C78EF2A" w14:textId="77777777">
        <w:tc>
          <w:tcPr>
            <w:tcW w:w="1024" w:type="dxa"/>
          </w:tcPr>
          <w:p w14:paraId="6BEBDA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Дата</w:t>
            </w:r>
          </w:p>
        </w:tc>
        <w:tc>
          <w:tcPr>
            <w:tcW w:w="1024" w:type="dxa"/>
          </w:tcPr>
          <w:p w14:paraId="52291B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И-2/2бис</w:t>
            </w:r>
          </w:p>
        </w:tc>
        <w:tc>
          <w:tcPr>
            <w:tcW w:w="1024" w:type="dxa"/>
          </w:tcPr>
          <w:p w14:paraId="0E1CDB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И-3</w:t>
            </w:r>
          </w:p>
        </w:tc>
        <w:tc>
          <w:tcPr>
            <w:tcW w:w="1024" w:type="dxa"/>
          </w:tcPr>
          <w:p w14:paraId="042CB8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И-4</w:t>
            </w:r>
          </w:p>
        </w:tc>
        <w:tc>
          <w:tcPr>
            <w:tcW w:w="1024" w:type="dxa"/>
          </w:tcPr>
          <w:p w14:paraId="42A1B9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w:t>
            </w:r>
          </w:p>
        </w:tc>
        <w:tc>
          <w:tcPr>
            <w:tcW w:w="1024" w:type="dxa"/>
          </w:tcPr>
          <w:p w14:paraId="51622D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И-6</w:t>
            </w:r>
          </w:p>
        </w:tc>
        <w:tc>
          <w:tcPr>
            <w:tcW w:w="1024" w:type="dxa"/>
          </w:tcPr>
          <w:p w14:paraId="3E8748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w:t>
            </w:r>
          </w:p>
        </w:tc>
        <w:tc>
          <w:tcPr>
            <w:tcW w:w="1024" w:type="dxa"/>
          </w:tcPr>
          <w:p w14:paraId="66FC5F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Фоккер DVII</w:t>
            </w:r>
          </w:p>
        </w:tc>
        <w:tc>
          <w:tcPr>
            <w:tcW w:w="1024" w:type="dxa"/>
          </w:tcPr>
          <w:p w14:paraId="7AD585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Фоккер DXI</w:t>
            </w:r>
          </w:p>
        </w:tc>
      </w:tr>
      <w:tr w:rsidR="004E10C1" w:rsidRPr="0044524F" w14:paraId="6BE2455F" w14:textId="77777777">
        <w:tc>
          <w:tcPr>
            <w:tcW w:w="1024" w:type="dxa"/>
          </w:tcPr>
          <w:p w14:paraId="767C04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011030</w:t>
            </w:r>
          </w:p>
        </w:tc>
        <w:tc>
          <w:tcPr>
            <w:tcW w:w="1024" w:type="dxa"/>
          </w:tcPr>
          <w:p w14:paraId="0ED812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w:t>
            </w:r>
          </w:p>
        </w:tc>
        <w:tc>
          <w:tcPr>
            <w:tcW w:w="1024" w:type="dxa"/>
          </w:tcPr>
          <w:p w14:paraId="124DD2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252</w:t>
            </w:r>
          </w:p>
        </w:tc>
        <w:tc>
          <w:tcPr>
            <w:tcW w:w="1024" w:type="dxa"/>
          </w:tcPr>
          <w:p w14:paraId="4E96C8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159</w:t>
            </w:r>
          </w:p>
        </w:tc>
        <w:tc>
          <w:tcPr>
            <w:tcW w:w="1024" w:type="dxa"/>
          </w:tcPr>
          <w:p w14:paraId="099F57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024" w:type="dxa"/>
          </w:tcPr>
          <w:p w14:paraId="40F31B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24" w:type="dxa"/>
          </w:tcPr>
          <w:p w14:paraId="4977C7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24" w:type="dxa"/>
          </w:tcPr>
          <w:p w14:paraId="132E70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w:t>
            </w:r>
          </w:p>
        </w:tc>
        <w:tc>
          <w:tcPr>
            <w:tcW w:w="1024" w:type="dxa"/>
          </w:tcPr>
          <w:p w14:paraId="7796B6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E1FBCE5" w14:textId="77777777">
        <w:tc>
          <w:tcPr>
            <w:tcW w:w="1024" w:type="dxa"/>
          </w:tcPr>
          <w:p w14:paraId="628C47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011031</w:t>
            </w:r>
          </w:p>
        </w:tc>
        <w:tc>
          <w:tcPr>
            <w:tcW w:w="1024" w:type="dxa"/>
          </w:tcPr>
          <w:p w14:paraId="3A9CC2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w:t>
            </w:r>
          </w:p>
        </w:tc>
        <w:tc>
          <w:tcPr>
            <w:tcW w:w="1024" w:type="dxa"/>
          </w:tcPr>
          <w:p w14:paraId="2ACECD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282</w:t>
            </w:r>
          </w:p>
        </w:tc>
        <w:tc>
          <w:tcPr>
            <w:tcW w:w="1024" w:type="dxa"/>
          </w:tcPr>
          <w:p w14:paraId="5AB2D1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159</w:t>
            </w:r>
          </w:p>
        </w:tc>
        <w:tc>
          <w:tcPr>
            <w:tcW w:w="1024" w:type="dxa"/>
          </w:tcPr>
          <w:p w14:paraId="190A07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w:t>
            </w:r>
          </w:p>
        </w:tc>
        <w:tc>
          <w:tcPr>
            <w:tcW w:w="1024" w:type="dxa"/>
          </w:tcPr>
          <w:p w14:paraId="30C72E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24" w:type="dxa"/>
          </w:tcPr>
          <w:p w14:paraId="645585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24" w:type="dxa"/>
          </w:tcPr>
          <w:p w14:paraId="3FDE09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w:t>
            </w:r>
          </w:p>
        </w:tc>
        <w:tc>
          <w:tcPr>
            <w:tcW w:w="1024" w:type="dxa"/>
          </w:tcPr>
          <w:p w14:paraId="440D52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1F4FCF6" w14:textId="77777777">
        <w:tc>
          <w:tcPr>
            <w:tcW w:w="1024" w:type="dxa"/>
          </w:tcPr>
          <w:p w14:paraId="329E77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010132</w:t>
            </w:r>
          </w:p>
        </w:tc>
        <w:tc>
          <w:tcPr>
            <w:tcW w:w="1024" w:type="dxa"/>
          </w:tcPr>
          <w:p w14:paraId="0468DE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w:t>
            </w:r>
          </w:p>
        </w:tc>
        <w:tc>
          <w:tcPr>
            <w:tcW w:w="1024" w:type="dxa"/>
          </w:tcPr>
          <w:p w14:paraId="461F76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297</w:t>
            </w:r>
          </w:p>
        </w:tc>
        <w:tc>
          <w:tcPr>
            <w:tcW w:w="1024" w:type="dxa"/>
          </w:tcPr>
          <w:p w14:paraId="402340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w:t>
            </w:r>
          </w:p>
        </w:tc>
        <w:tc>
          <w:tcPr>
            <w:tcW w:w="1024" w:type="dxa"/>
          </w:tcPr>
          <w:p w14:paraId="2380F5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1024" w:type="dxa"/>
          </w:tcPr>
          <w:p w14:paraId="254EE7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024" w:type="dxa"/>
          </w:tcPr>
          <w:p w14:paraId="5F0F69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024" w:type="dxa"/>
          </w:tcPr>
          <w:p w14:paraId="6D57D7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1024" w:type="dxa"/>
          </w:tcPr>
          <w:p w14:paraId="5DE840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r>
      <w:tr w:rsidR="004E10C1" w:rsidRPr="0044524F" w14:paraId="09F9EF82" w14:textId="77777777">
        <w:tc>
          <w:tcPr>
            <w:tcW w:w="1024" w:type="dxa"/>
          </w:tcPr>
          <w:p w14:paraId="1E9947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010133</w:t>
            </w:r>
          </w:p>
        </w:tc>
        <w:tc>
          <w:tcPr>
            <w:tcW w:w="1024" w:type="dxa"/>
          </w:tcPr>
          <w:p w14:paraId="796931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tc>
        <w:tc>
          <w:tcPr>
            <w:tcW w:w="1024" w:type="dxa"/>
          </w:tcPr>
          <w:p w14:paraId="53A781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249</w:t>
            </w:r>
          </w:p>
        </w:tc>
        <w:tc>
          <w:tcPr>
            <w:tcW w:w="1024" w:type="dxa"/>
          </w:tcPr>
          <w:p w14:paraId="5C23B0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w:t>
            </w:r>
          </w:p>
        </w:tc>
        <w:tc>
          <w:tcPr>
            <w:tcW w:w="1024" w:type="dxa"/>
          </w:tcPr>
          <w:p w14:paraId="603380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143</w:t>
            </w:r>
          </w:p>
        </w:tc>
        <w:tc>
          <w:tcPr>
            <w:tcW w:w="1024" w:type="dxa"/>
          </w:tcPr>
          <w:p w14:paraId="32CA90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024" w:type="dxa"/>
          </w:tcPr>
          <w:p w14:paraId="2009F2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024" w:type="dxa"/>
          </w:tcPr>
          <w:p w14:paraId="389B99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w:t>
            </w:r>
          </w:p>
        </w:tc>
        <w:tc>
          <w:tcPr>
            <w:tcW w:w="1024" w:type="dxa"/>
          </w:tcPr>
          <w:p w14:paraId="446C4E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r>
      <w:tr w:rsidR="004E10C1" w:rsidRPr="0044524F" w14:paraId="3FE368FF" w14:textId="77777777">
        <w:tc>
          <w:tcPr>
            <w:tcW w:w="1024" w:type="dxa"/>
          </w:tcPr>
          <w:p w14:paraId="546611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011233</w:t>
            </w:r>
          </w:p>
        </w:tc>
        <w:tc>
          <w:tcPr>
            <w:tcW w:w="1024" w:type="dxa"/>
          </w:tcPr>
          <w:p w14:paraId="6ACBEB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1024" w:type="dxa"/>
          </w:tcPr>
          <w:p w14:paraId="2C2989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239</w:t>
            </w:r>
          </w:p>
        </w:tc>
        <w:tc>
          <w:tcPr>
            <w:tcW w:w="1024" w:type="dxa"/>
          </w:tcPr>
          <w:p w14:paraId="508BE0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156</w:t>
            </w:r>
          </w:p>
        </w:tc>
        <w:tc>
          <w:tcPr>
            <w:tcW w:w="1024" w:type="dxa"/>
          </w:tcPr>
          <w:p w14:paraId="21276D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343</w:t>
            </w:r>
          </w:p>
        </w:tc>
        <w:tc>
          <w:tcPr>
            <w:tcW w:w="1024" w:type="dxa"/>
          </w:tcPr>
          <w:p w14:paraId="009F43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024" w:type="dxa"/>
          </w:tcPr>
          <w:p w14:paraId="78DEF4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w:t>
            </w:r>
          </w:p>
        </w:tc>
        <w:tc>
          <w:tcPr>
            <w:tcW w:w="1024" w:type="dxa"/>
          </w:tcPr>
          <w:p w14:paraId="1C6020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1024" w:type="dxa"/>
          </w:tcPr>
          <w:p w14:paraId="2EC112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(3410,18)</w:t>
            </w:r>
          </w:p>
        </w:tc>
      </w:tr>
    </w:tbl>
    <w:p w14:paraId="123FC2E6"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2728FB5" w14:textId="77777777" w:rsidR="00C921FE" w:rsidRPr="0044524F" w:rsidRDefault="00C921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опросом членов ПБ</w:t>
      </w:r>
    </w:p>
    <w:p w14:paraId="7FFFC986" w14:textId="77777777" w:rsidR="00C921FE" w:rsidRPr="0044524F" w:rsidRDefault="00C921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107/88.- Вопрос К.О.</w:t>
      </w:r>
    </w:p>
    <w:p w14:paraId="12E3116C" w14:textId="77777777" w:rsidR="00C921FE" w:rsidRPr="0044524F" w:rsidRDefault="00C921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СТО об отпуске НКТП в 1934 году валюты в размере 6.025 тыс. руб. для закуп</w:t>
      </w:r>
      <w:r w:rsidRPr="0044524F">
        <w:rPr>
          <w:rFonts w:ascii="Times New Roman" w:hAnsi="Times New Roman"/>
          <w:color w:val="000000" w:themeColor="text1"/>
          <w:sz w:val="16"/>
          <w:szCs w:val="16"/>
        </w:rPr>
        <w:softHyphen/>
        <w:t>ки моторов Райт-Циклон и Испано-Сюизо.</w:t>
      </w:r>
    </w:p>
    <w:p w14:paraId="2C200A77" w14:textId="77777777" w:rsidR="00C921FE" w:rsidRPr="0044524F" w:rsidRDefault="00C921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Розонгольцу, Ворошилову, Орджоникидзе.</w:t>
      </w:r>
    </w:p>
    <w:p w14:paraId="643E53D7" w14:textId="77777777" w:rsidR="00C921FE" w:rsidRPr="0044524F" w:rsidRDefault="00C921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состоялось заседание ПБ и был оформлен протокол № 150 (23000).</w:t>
      </w:r>
    </w:p>
    <w:p w14:paraId="46234C6D" w14:textId="77777777" w:rsidR="00C921FE" w:rsidRPr="0044524F" w:rsidRDefault="00C921FE" w:rsidP="009654CF">
      <w:pPr>
        <w:spacing w:after="0" w:line="240" w:lineRule="auto"/>
        <w:jc w:val="both"/>
        <w:rPr>
          <w:rFonts w:ascii="Times New Roman" w:hAnsi="Times New Roman"/>
          <w:color w:val="000000" w:themeColor="text1"/>
          <w:sz w:val="16"/>
          <w:szCs w:val="16"/>
        </w:rPr>
      </w:pPr>
    </w:p>
    <w:p w14:paraId="3324B73D" w14:textId="77777777" w:rsidR="0018342B"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2967627" w14:textId="77777777" w:rsidR="0018342B" w:rsidRPr="0044524F" w:rsidRDefault="0018342B"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13F8B9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ранее 1 декабря 1933 г. Справка ИНО НКТП о привлечении иностранной технической помощи в тяжелую промышленность СССР</w:t>
      </w:r>
    </w:p>
    <w:p w14:paraId="7DDAD60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Секретно. </w:t>
      </w:r>
    </w:p>
    <w:p w14:paraId="4F51B0E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Привлечение иностранной технической помощи и освоение иностранной техники шло одновременно различными методами, из которых основными являются: договора техпомощи с инофирмами, привлечение иноспециалистов на индивидуальных условиях и командировка наших кадров заграницу на техучебу.</w:t>
      </w:r>
    </w:p>
    <w:p w14:paraId="0BFC2B3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Договора техпомощи с инофирмами</w:t>
      </w:r>
    </w:p>
    <w:p w14:paraId="6412B7A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за время с 1923 года по 1.XII.1933 г. заключено договоров на техническую помощь с инофирмами — 170, из них прекратило свое действие — 130 и осталось в действии на 1.XII.1933 г. — 40.</w:t>
      </w:r>
    </w:p>
    <w:p w14:paraId="3D1C068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отдельным годам количество заключенных договоров распределяется следующим образом:</w:t>
      </w:r>
    </w:p>
    <w:p w14:paraId="7733AE8D" w14:textId="42BA6DC5"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1923 г. заключено .....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 договор</w:t>
      </w:r>
    </w:p>
    <w:p w14:paraId="14BC4FEF" w14:textId="1C318DF1"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1925 г. заключено .....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6 договоров</w:t>
      </w:r>
    </w:p>
    <w:p w14:paraId="17534F48" w14:textId="25ED3EEC"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1926 г. заключено .....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5 договоров</w:t>
      </w:r>
    </w:p>
    <w:p w14:paraId="72152D4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1927 г. заключено ..... — 17 договоров</w:t>
      </w:r>
    </w:p>
    <w:p w14:paraId="31762E5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1928 г. заключено ..... — 15 договоров</w:t>
      </w:r>
    </w:p>
    <w:p w14:paraId="1DDCB91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1929 г. заключено ..... — 48 договоров</w:t>
      </w:r>
    </w:p>
    <w:p w14:paraId="37B4858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1930 г. заключено ..... — 59 договоров</w:t>
      </w:r>
    </w:p>
    <w:p w14:paraId="2372BF3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 заключено ..... — 10 договоров</w:t>
      </w:r>
    </w:p>
    <w:p w14:paraId="041F8066" w14:textId="535E07C3"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 заключено .....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5 договоров</w:t>
      </w:r>
    </w:p>
    <w:p w14:paraId="478D787C" w14:textId="5535FE8C"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заключено .....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4 договора</w:t>
      </w:r>
    </w:p>
    <w:p w14:paraId="1954061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отраслям промышленности эти договора распределяются следующим образом:</w:t>
      </w:r>
    </w:p>
    <w:p w14:paraId="4779658F" w14:textId="785D5ED8"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пп</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Наименование промышленности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Количество</w:t>
      </w:r>
    </w:p>
    <w:p w14:paraId="1739FF4F" w14:textId="1284021A"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 xml:space="preserve"> договоров</w:t>
      </w:r>
    </w:p>
    <w:p w14:paraId="270443CE" w14:textId="77777777" w:rsidR="0018342B" w:rsidRPr="0044524F" w:rsidRDefault="0018342B" w:rsidP="009654CF">
      <w:pPr>
        <w:spacing w:after="0" w:line="240" w:lineRule="auto"/>
        <w:jc w:val="both"/>
        <w:rPr>
          <w:rFonts w:ascii="Times New Roman" w:hAnsi="Times New Roman"/>
          <w:color w:val="000000" w:themeColor="text1"/>
          <w:sz w:val="16"/>
          <w:szCs w:val="16"/>
        </w:rPr>
      </w:pPr>
    </w:p>
    <w:p w14:paraId="69AA01F6" w14:textId="42823785"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1.</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Машиностроение ................... 42</w:t>
      </w:r>
    </w:p>
    <w:p w14:paraId="3A1A2930" w14:textId="38433980"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2.</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Черная металлургия ............... 17</w:t>
      </w:r>
    </w:p>
    <w:p w14:paraId="18AAE2B8" w14:textId="5DA15C9A"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3.</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Цветная металлургия .............. 10</w:t>
      </w:r>
    </w:p>
    <w:p w14:paraId="6EC85CDF" w14:textId="3CBEDC16"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4.</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Электропромышленность ............ 12</w:t>
      </w:r>
    </w:p>
    <w:p w14:paraId="179FC16A" w14:textId="45394C3C"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5.</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Энергетика .......................</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6</w:t>
      </w:r>
    </w:p>
    <w:p w14:paraId="66CBB049" w14:textId="4C3C6462"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6.</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Горно-топливная промышленность ... 21</w:t>
      </w:r>
    </w:p>
    <w:p w14:paraId="2F36C3E0" w14:textId="2657993E"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7.</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Химическая промышленность ........ 28</w:t>
      </w:r>
    </w:p>
    <w:p w14:paraId="63053CAB" w14:textId="0FC5228F"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8.</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Резиновая промышленность .........</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3</w:t>
      </w:r>
    </w:p>
    <w:p w14:paraId="5AF55339" w14:textId="208978A6"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9.</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Строительная промышленность ......</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6</w:t>
      </w:r>
    </w:p>
    <w:p w14:paraId="10868927" w14:textId="15896A0D"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Искусственного волокна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4</w:t>
      </w:r>
    </w:p>
    <w:p w14:paraId="14484FAC" w14:textId="0D1D0A9E"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11.</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Военная промышленность ........... 12</w:t>
      </w:r>
    </w:p>
    <w:p w14:paraId="35253D4C" w14:textId="118EC922"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Разные ........................... 10</w:t>
      </w:r>
    </w:p>
    <w:p w14:paraId="70AD4ED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___________________________________________</w:t>
      </w:r>
    </w:p>
    <w:p w14:paraId="43B6A430" w14:textId="7EF28FEF"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ВСЕГО ............................170</w:t>
      </w:r>
    </w:p>
    <w:p w14:paraId="50C598A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странам эти договора распределяются так:</w:t>
      </w:r>
    </w:p>
    <w:p w14:paraId="477F43D8" w14:textId="590AA191"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Наименование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Количество</w:t>
      </w:r>
    </w:p>
    <w:p w14:paraId="785AA03D" w14:textId="234CAC6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пп</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страны</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договоров</w:t>
      </w:r>
    </w:p>
    <w:p w14:paraId="47C23E25" w14:textId="77777777" w:rsidR="0018342B" w:rsidRPr="0044524F" w:rsidRDefault="0018342B" w:rsidP="009654CF">
      <w:pPr>
        <w:spacing w:after="0" w:line="240" w:lineRule="auto"/>
        <w:jc w:val="both"/>
        <w:rPr>
          <w:rFonts w:ascii="Times New Roman" w:hAnsi="Times New Roman"/>
          <w:color w:val="000000" w:themeColor="text1"/>
          <w:sz w:val="16"/>
          <w:szCs w:val="16"/>
        </w:rPr>
      </w:pPr>
    </w:p>
    <w:p w14:paraId="01D6E032" w14:textId="4B965B5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 Германия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73</w:t>
      </w:r>
    </w:p>
    <w:p w14:paraId="2B638DF8" w14:textId="0B768573"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2. САСШ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59</w:t>
      </w:r>
    </w:p>
    <w:p w14:paraId="254A3897" w14:textId="23873A14"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3. Франция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11</w:t>
      </w:r>
    </w:p>
    <w:p w14:paraId="2B69CD00" w14:textId="781A09D5"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4. Швеция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9</w:t>
      </w:r>
    </w:p>
    <w:p w14:paraId="14EA522B" w14:textId="7646B445"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5. Италия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7</w:t>
      </w:r>
    </w:p>
    <w:p w14:paraId="7C5EF4F0" w14:textId="4D6BEB0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6. Англия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5</w:t>
      </w:r>
    </w:p>
    <w:p w14:paraId="61E799AA" w14:textId="78B4124A"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7. Другие страны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6</w:t>
      </w:r>
    </w:p>
    <w:p w14:paraId="0CFEFFF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_________________________</w:t>
      </w:r>
    </w:p>
    <w:p w14:paraId="2DAEDEE8" w14:textId="105CD2A9"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ВСЕГО .........</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 xml:space="preserve"> 170</w:t>
      </w:r>
    </w:p>
    <w:p w14:paraId="28AA2FE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Количество действующих договоров по годам:</w:t>
      </w:r>
    </w:p>
    <w:p w14:paraId="23FC0DDB" w14:textId="19E03635"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1.I.1924 г. действовал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w:t>
      </w:r>
    </w:p>
    <w:p w14:paraId="17AC3DBD" w14:textId="180A0018"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1.I.1925 г. действовал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w:t>
      </w:r>
    </w:p>
    <w:p w14:paraId="45C93175" w14:textId="36AE64FC"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1.I.1926 г. действовали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5</w:t>
      </w:r>
    </w:p>
    <w:p w14:paraId="527B3F60" w14:textId="47D873CE"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1.I.1927 г. действовали .... 10</w:t>
      </w:r>
    </w:p>
    <w:p w14:paraId="5D3B38F7" w14:textId="797CC9AA"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1.I.1928 г. действовали .... 25</w:t>
      </w:r>
    </w:p>
    <w:p w14:paraId="44053592" w14:textId="2719255B"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1.I.1929 г. действовали .... 42</w:t>
      </w:r>
    </w:p>
    <w:p w14:paraId="16E4F3B7" w14:textId="3F0090D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1.I.1930 г. действовали .... 75</w:t>
      </w:r>
    </w:p>
    <w:p w14:paraId="68666681" w14:textId="7D922A2D"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1.I.1931 г. действовали ....124</w:t>
      </w:r>
    </w:p>
    <w:p w14:paraId="3B775774" w14:textId="364F92A8"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1.I.1932 г. действовали .... 74</w:t>
      </w:r>
    </w:p>
    <w:p w14:paraId="6C62C8E4" w14:textId="6E540A9D"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1.I.1933 г. действовали .... 48</w:t>
      </w:r>
    </w:p>
    <w:p w14:paraId="24C1C52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Нa 1.XII.1933 г. действовали .... 40</w:t>
      </w:r>
    </w:p>
    <w:p w14:paraId="38B5E3A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приведенных данных видно, что наибольшее количество договоров было заключено и действовало в 1929 г., в 1930 г. и в 1931 г., после чего наступило значительное сокращение, которое продолжается и на 1.XII.1933 г.</w:t>
      </w:r>
    </w:p>
    <w:p w14:paraId="34EB602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взять динамику количество договоров и их стоимость за последние 4 года, то получим следующую таблицу:</w:t>
      </w:r>
    </w:p>
    <w:tbl>
      <w:tblPr>
        <w:tblW w:w="0" w:type="auto"/>
        <w:tblLayout w:type="fixed"/>
        <w:tblCellMar>
          <w:left w:w="0" w:type="dxa"/>
          <w:right w:w="0" w:type="dxa"/>
        </w:tblCellMar>
        <w:tblLook w:val="0000" w:firstRow="0" w:lastRow="0" w:firstColumn="0" w:lastColumn="0" w:noHBand="0" w:noVBand="0"/>
      </w:tblPr>
      <w:tblGrid>
        <w:gridCol w:w="2129"/>
        <w:gridCol w:w="887"/>
        <w:gridCol w:w="887"/>
        <w:gridCol w:w="887"/>
        <w:gridCol w:w="887"/>
        <w:gridCol w:w="887"/>
        <w:gridCol w:w="887"/>
        <w:gridCol w:w="953"/>
        <w:gridCol w:w="953"/>
      </w:tblGrid>
      <w:tr w:rsidR="004E10C1" w:rsidRPr="0044524F" w14:paraId="550DCF77" w14:textId="77777777" w:rsidTr="00CE35D9">
        <w:tc>
          <w:tcPr>
            <w:tcW w:w="2129" w:type="dxa"/>
            <w:tcBorders>
              <w:top w:val="none" w:sz="6" w:space="0" w:color="auto"/>
              <w:left w:val="none" w:sz="6" w:space="0" w:color="auto"/>
              <w:bottom w:val="none" w:sz="6" w:space="0" w:color="auto"/>
              <w:right w:val="none" w:sz="6" w:space="0" w:color="auto"/>
            </w:tcBorders>
          </w:tcPr>
          <w:p w14:paraId="44D3790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Отрасли промышленности</w:t>
            </w:r>
          </w:p>
        </w:tc>
        <w:tc>
          <w:tcPr>
            <w:tcW w:w="887" w:type="dxa"/>
            <w:gridSpan w:val="2"/>
            <w:tcBorders>
              <w:top w:val="none" w:sz="6" w:space="0" w:color="auto"/>
              <w:left w:val="none" w:sz="6" w:space="0" w:color="auto"/>
              <w:bottom w:val="none" w:sz="6" w:space="0" w:color="auto"/>
              <w:right w:val="none" w:sz="6" w:space="0" w:color="auto"/>
            </w:tcBorders>
          </w:tcPr>
          <w:p w14:paraId="7FD6CD5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1.I.1931 г.</w:t>
            </w:r>
          </w:p>
        </w:tc>
        <w:tc>
          <w:tcPr>
            <w:tcW w:w="887" w:type="dxa"/>
            <w:gridSpan w:val="2"/>
            <w:tcBorders>
              <w:top w:val="none" w:sz="6" w:space="0" w:color="auto"/>
              <w:left w:val="none" w:sz="6" w:space="0" w:color="auto"/>
              <w:bottom w:val="none" w:sz="6" w:space="0" w:color="auto"/>
              <w:right w:val="none" w:sz="6" w:space="0" w:color="auto"/>
            </w:tcBorders>
          </w:tcPr>
          <w:p w14:paraId="6E91887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1.I.1932 г.</w:t>
            </w:r>
          </w:p>
        </w:tc>
        <w:tc>
          <w:tcPr>
            <w:tcW w:w="887" w:type="dxa"/>
            <w:gridSpan w:val="2"/>
            <w:tcBorders>
              <w:top w:val="none" w:sz="6" w:space="0" w:color="auto"/>
              <w:left w:val="none" w:sz="6" w:space="0" w:color="auto"/>
              <w:bottom w:val="none" w:sz="6" w:space="0" w:color="auto"/>
              <w:right w:val="none" w:sz="6" w:space="0" w:color="auto"/>
            </w:tcBorders>
          </w:tcPr>
          <w:p w14:paraId="602CCD5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1.I.1933 г.</w:t>
            </w:r>
          </w:p>
        </w:tc>
        <w:tc>
          <w:tcPr>
            <w:tcW w:w="953" w:type="dxa"/>
            <w:gridSpan w:val="2"/>
            <w:tcBorders>
              <w:top w:val="none" w:sz="6" w:space="0" w:color="auto"/>
              <w:left w:val="none" w:sz="6" w:space="0" w:color="auto"/>
              <w:bottom w:val="none" w:sz="6" w:space="0" w:color="auto"/>
              <w:right w:val="none" w:sz="6" w:space="0" w:color="auto"/>
            </w:tcBorders>
          </w:tcPr>
          <w:p w14:paraId="31CE5E8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состоянию на 1.XII.1933 г.</w:t>
            </w:r>
          </w:p>
        </w:tc>
      </w:tr>
      <w:tr w:rsidR="004E10C1" w:rsidRPr="0044524F" w14:paraId="00BFED12" w14:textId="77777777" w:rsidTr="00CE35D9">
        <w:tc>
          <w:tcPr>
            <w:tcW w:w="2129" w:type="dxa"/>
            <w:tcBorders>
              <w:top w:val="none" w:sz="6" w:space="0" w:color="auto"/>
              <w:left w:val="none" w:sz="6" w:space="0" w:color="auto"/>
              <w:bottom w:val="none" w:sz="6" w:space="0" w:color="auto"/>
              <w:right w:val="none" w:sz="6" w:space="0" w:color="auto"/>
            </w:tcBorders>
          </w:tcPr>
          <w:p w14:paraId="0DDCE153"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887" w:type="dxa"/>
            <w:tcBorders>
              <w:top w:val="none" w:sz="6" w:space="0" w:color="auto"/>
              <w:left w:val="none" w:sz="6" w:space="0" w:color="auto"/>
              <w:bottom w:val="none" w:sz="6" w:space="0" w:color="auto"/>
              <w:right w:val="none" w:sz="6" w:space="0" w:color="auto"/>
            </w:tcBorders>
          </w:tcPr>
          <w:p w14:paraId="6DBCDF8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Кол?во</w:t>
            </w:r>
          </w:p>
        </w:tc>
        <w:tc>
          <w:tcPr>
            <w:tcW w:w="887" w:type="dxa"/>
            <w:tcBorders>
              <w:top w:val="none" w:sz="6" w:space="0" w:color="auto"/>
              <w:left w:val="none" w:sz="6" w:space="0" w:color="auto"/>
              <w:bottom w:val="none" w:sz="6" w:space="0" w:color="auto"/>
              <w:right w:val="none" w:sz="6" w:space="0" w:color="auto"/>
            </w:tcBorders>
          </w:tcPr>
          <w:p w14:paraId="01D7341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Стоим. </w:t>
            </w:r>
          </w:p>
          <w:p w14:paraId="37F6940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руб.</w:t>
            </w:r>
          </w:p>
        </w:tc>
        <w:tc>
          <w:tcPr>
            <w:tcW w:w="887" w:type="dxa"/>
            <w:tcBorders>
              <w:top w:val="none" w:sz="6" w:space="0" w:color="auto"/>
              <w:left w:val="none" w:sz="6" w:space="0" w:color="auto"/>
              <w:bottom w:val="none" w:sz="6" w:space="0" w:color="auto"/>
              <w:right w:val="none" w:sz="6" w:space="0" w:color="auto"/>
            </w:tcBorders>
          </w:tcPr>
          <w:p w14:paraId="0998939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Кол?во</w:t>
            </w:r>
          </w:p>
        </w:tc>
        <w:tc>
          <w:tcPr>
            <w:tcW w:w="887" w:type="dxa"/>
            <w:tcBorders>
              <w:top w:val="none" w:sz="6" w:space="0" w:color="auto"/>
              <w:left w:val="none" w:sz="6" w:space="0" w:color="auto"/>
              <w:bottom w:val="none" w:sz="6" w:space="0" w:color="auto"/>
              <w:right w:val="none" w:sz="6" w:space="0" w:color="auto"/>
            </w:tcBorders>
          </w:tcPr>
          <w:p w14:paraId="3D625B8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Стоим. </w:t>
            </w:r>
          </w:p>
          <w:p w14:paraId="015D02F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руб.</w:t>
            </w:r>
          </w:p>
        </w:tc>
        <w:tc>
          <w:tcPr>
            <w:tcW w:w="887" w:type="dxa"/>
            <w:tcBorders>
              <w:top w:val="none" w:sz="6" w:space="0" w:color="auto"/>
              <w:left w:val="none" w:sz="6" w:space="0" w:color="auto"/>
              <w:bottom w:val="none" w:sz="6" w:space="0" w:color="auto"/>
              <w:right w:val="none" w:sz="6" w:space="0" w:color="auto"/>
            </w:tcBorders>
          </w:tcPr>
          <w:p w14:paraId="6847597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Кол?во</w:t>
            </w:r>
          </w:p>
        </w:tc>
        <w:tc>
          <w:tcPr>
            <w:tcW w:w="887" w:type="dxa"/>
            <w:tcBorders>
              <w:top w:val="none" w:sz="6" w:space="0" w:color="auto"/>
              <w:left w:val="none" w:sz="6" w:space="0" w:color="auto"/>
              <w:bottom w:val="none" w:sz="6" w:space="0" w:color="auto"/>
              <w:right w:val="none" w:sz="6" w:space="0" w:color="auto"/>
            </w:tcBorders>
          </w:tcPr>
          <w:p w14:paraId="143F98E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Стоим. </w:t>
            </w:r>
          </w:p>
          <w:p w14:paraId="66DA7C9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руб.</w:t>
            </w:r>
          </w:p>
        </w:tc>
        <w:tc>
          <w:tcPr>
            <w:tcW w:w="953" w:type="dxa"/>
            <w:tcBorders>
              <w:top w:val="none" w:sz="6" w:space="0" w:color="auto"/>
              <w:left w:val="none" w:sz="6" w:space="0" w:color="auto"/>
              <w:bottom w:val="none" w:sz="6" w:space="0" w:color="auto"/>
              <w:right w:val="none" w:sz="6" w:space="0" w:color="auto"/>
            </w:tcBorders>
          </w:tcPr>
          <w:p w14:paraId="66EB559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Кол?во</w:t>
            </w:r>
          </w:p>
        </w:tc>
        <w:tc>
          <w:tcPr>
            <w:tcW w:w="953" w:type="dxa"/>
            <w:tcBorders>
              <w:top w:val="none" w:sz="6" w:space="0" w:color="auto"/>
              <w:left w:val="none" w:sz="6" w:space="0" w:color="auto"/>
              <w:bottom w:val="none" w:sz="6" w:space="0" w:color="auto"/>
              <w:right w:val="none" w:sz="6" w:space="0" w:color="auto"/>
            </w:tcBorders>
          </w:tcPr>
          <w:p w14:paraId="6D3EA74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Стоим. </w:t>
            </w:r>
          </w:p>
          <w:p w14:paraId="17A3C4C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тыс. руб.</w:t>
            </w:r>
          </w:p>
        </w:tc>
      </w:tr>
      <w:tr w:rsidR="004E10C1" w:rsidRPr="0044524F" w14:paraId="4061F818" w14:textId="77777777" w:rsidTr="00CE35D9">
        <w:tc>
          <w:tcPr>
            <w:tcW w:w="2129" w:type="dxa"/>
            <w:tcBorders>
              <w:top w:val="none" w:sz="6" w:space="0" w:color="auto"/>
              <w:left w:val="none" w:sz="6" w:space="0" w:color="auto"/>
              <w:bottom w:val="none" w:sz="6" w:space="0" w:color="auto"/>
              <w:right w:val="none" w:sz="6" w:space="0" w:color="auto"/>
            </w:tcBorders>
          </w:tcPr>
          <w:p w14:paraId="5DF66D8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Машиностроение</w:t>
            </w:r>
          </w:p>
        </w:tc>
        <w:tc>
          <w:tcPr>
            <w:tcW w:w="887" w:type="dxa"/>
            <w:tcBorders>
              <w:top w:val="none" w:sz="6" w:space="0" w:color="auto"/>
              <w:left w:val="none" w:sz="6" w:space="0" w:color="auto"/>
              <w:bottom w:val="none" w:sz="6" w:space="0" w:color="auto"/>
              <w:right w:val="none" w:sz="6" w:space="0" w:color="auto"/>
            </w:tcBorders>
          </w:tcPr>
          <w:p w14:paraId="51D5CC4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887" w:type="dxa"/>
            <w:tcBorders>
              <w:top w:val="none" w:sz="6" w:space="0" w:color="auto"/>
              <w:left w:val="none" w:sz="6" w:space="0" w:color="auto"/>
              <w:bottom w:val="none" w:sz="6" w:space="0" w:color="auto"/>
              <w:right w:val="none" w:sz="6" w:space="0" w:color="auto"/>
            </w:tcBorders>
          </w:tcPr>
          <w:p w14:paraId="1209E5F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19250</w:t>
            </w:r>
          </w:p>
        </w:tc>
        <w:tc>
          <w:tcPr>
            <w:tcW w:w="887" w:type="dxa"/>
            <w:tcBorders>
              <w:top w:val="none" w:sz="6" w:space="0" w:color="auto"/>
              <w:left w:val="none" w:sz="6" w:space="0" w:color="auto"/>
              <w:bottom w:val="none" w:sz="6" w:space="0" w:color="auto"/>
              <w:right w:val="none" w:sz="6" w:space="0" w:color="auto"/>
            </w:tcBorders>
          </w:tcPr>
          <w:p w14:paraId="20C7A3A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887" w:type="dxa"/>
            <w:tcBorders>
              <w:top w:val="none" w:sz="6" w:space="0" w:color="auto"/>
              <w:left w:val="none" w:sz="6" w:space="0" w:color="auto"/>
              <w:bottom w:val="none" w:sz="6" w:space="0" w:color="auto"/>
              <w:right w:val="none" w:sz="6" w:space="0" w:color="auto"/>
            </w:tcBorders>
          </w:tcPr>
          <w:p w14:paraId="25DDE14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13500</w:t>
            </w:r>
          </w:p>
        </w:tc>
        <w:tc>
          <w:tcPr>
            <w:tcW w:w="887" w:type="dxa"/>
            <w:tcBorders>
              <w:top w:val="none" w:sz="6" w:space="0" w:color="auto"/>
              <w:left w:val="none" w:sz="6" w:space="0" w:color="auto"/>
              <w:bottom w:val="none" w:sz="6" w:space="0" w:color="auto"/>
              <w:right w:val="none" w:sz="6" w:space="0" w:color="auto"/>
            </w:tcBorders>
          </w:tcPr>
          <w:p w14:paraId="4C17858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887" w:type="dxa"/>
            <w:tcBorders>
              <w:top w:val="none" w:sz="6" w:space="0" w:color="auto"/>
              <w:left w:val="none" w:sz="6" w:space="0" w:color="auto"/>
              <w:bottom w:val="none" w:sz="6" w:space="0" w:color="auto"/>
              <w:right w:val="none" w:sz="6" w:space="0" w:color="auto"/>
            </w:tcBorders>
          </w:tcPr>
          <w:p w14:paraId="3D6A831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8710</w:t>
            </w:r>
          </w:p>
        </w:tc>
        <w:tc>
          <w:tcPr>
            <w:tcW w:w="953" w:type="dxa"/>
            <w:tcBorders>
              <w:top w:val="none" w:sz="6" w:space="0" w:color="auto"/>
              <w:left w:val="none" w:sz="6" w:space="0" w:color="auto"/>
              <w:bottom w:val="none" w:sz="6" w:space="0" w:color="auto"/>
              <w:right w:val="none" w:sz="6" w:space="0" w:color="auto"/>
            </w:tcBorders>
          </w:tcPr>
          <w:p w14:paraId="3A346E5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953" w:type="dxa"/>
            <w:tcBorders>
              <w:top w:val="none" w:sz="6" w:space="0" w:color="auto"/>
              <w:left w:val="none" w:sz="6" w:space="0" w:color="auto"/>
              <w:bottom w:val="none" w:sz="6" w:space="0" w:color="auto"/>
              <w:right w:val="none" w:sz="6" w:space="0" w:color="auto"/>
            </w:tcBorders>
          </w:tcPr>
          <w:p w14:paraId="0879B6A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7190</w:t>
            </w:r>
          </w:p>
        </w:tc>
      </w:tr>
      <w:tr w:rsidR="004E10C1" w:rsidRPr="0044524F" w14:paraId="725033B0" w14:textId="77777777" w:rsidTr="00CE35D9">
        <w:tc>
          <w:tcPr>
            <w:tcW w:w="2129" w:type="dxa"/>
            <w:tcBorders>
              <w:top w:val="none" w:sz="6" w:space="0" w:color="auto"/>
              <w:left w:val="none" w:sz="6" w:space="0" w:color="auto"/>
              <w:bottom w:val="none" w:sz="6" w:space="0" w:color="auto"/>
              <w:right w:val="none" w:sz="6" w:space="0" w:color="auto"/>
            </w:tcBorders>
          </w:tcPr>
          <w:p w14:paraId="0977841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Черная металлургия</w:t>
            </w:r>
          </w:p>
        </w:tc>
        <w:tc>
          <w:tcPr>
            <w:tcW w:w="887" w:type="dxa"/>
            <w:tcBorders>
              <w:top w:val="none" w:sz="6" w:space="0" w:color="auto"/>
              <w:left w:val="none" w:sz="6" w:space="0" w:color="auto"/>
              <w:bottom w:val="none" w:sz="6" w:space="0" w:color="auto"/>
              <w:right w:val="none" w:sz="6" w:space="0" w:color="auto"/>
            </w:tcBorders>
          </w:tcPr>
          <w:p w14:paraId="49142CB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887" w:type="dxa"/>
            <w:tcBorders>
              <w:top w:val="none" w:sz="6" w:space="0" w:color="auto"/>
              <w:left w:val="none" w:sz="6" w:space="0" w:color="auto"/>
              <w:bottom w:val="none" w:sz="6" w:space="0" w:color="auto"/>
              <w:right w:val="none" w:sz="6" w:space="0" w:color="auto"/>
            </w:tcBorders>
          </w:tcPr>
          <w:p w14:paraId="2605578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11200</w:t>
            </w:r>
          </w:p>
        </w:tc>
        <w:tc>
          <w:tcPr>
            <w:tcW w:w="887" w:type="dxa"/>
            <w:tcBorders>
              <w:top w:val="none" w:sz="6" w:space="0" w:color="auto"/>
              <w:left w:val="none" w:sz="6" w:space="0" w:color="auto"/>
              <w:bottom w:val="none" w:sz="6" w:space="0" w:color="auto"/>
              <w:right w:val="none" w:sz="6" w:space="0" w:color="auto"/>
            </w:tcBorders>
          </w:tcPr>
          <w:p w14:paraId="35FCB6F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887" w:type="dxa"/>
            <w:tcBorders>
              <w:top w:val="none" w:sz="6" w:space="0" w:color="auto"/>
              <w:left w:val="none" w:sz="6" w:space="0" w:color="auto"/>
              <w:bottom w:val="none" w:sz="6" w:space="0" w:color="auto"/>
              <w:right w:val="none" w:sz="6" w:space="0" w:color="auto"/>
            </w:tcBorders>
          </w:tcPr>
          <w:p w14:paraId="3B039CB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8100</w:t>
            </w:r>
          </w:p>
        </w:tc>
        <w:tc>
          <w:tcPr>
            <w:tcW w:w="887" w:type="dxa"/>
            <w:tcBorders>
              <w:top w:val="none" w:sz="6" w:space="0" w:color="auto"/>
              <w:left w:val="none" w:sz="6" w:space="0" w:color="auto"/>
              <w:bottom w:val="none" w:sz="6" w:space="0" w:color="auto"/>
              <w:right w:val="none" w:sz="6" w:space="0" w:color="auto"/>
            </w:tcBorders>
          </w:tcPr>
          <w:p w14:paraId="149FC57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506632E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4950</w:t>
            </w:r>
          </w:p>
        </w:tc>
        <w:tc>
          <w:tcPr>
            <w:tcW w:w="953" w:type="dxa"/>
            <w:tcBorders>
              <w:top w:val="none" w:sz="6" w:space="0" w:color="auto"/>
              <w:left w:val="none" w:sz="6" w:space="0" w:color="auto"/>
              <w:bottom w:val="none" w:sz="6" w:space="0" w:color="auto"/>
              <w:right w:val="none" w:sz="6" w:space="0" w:color="auto"/>
            </w:tcBorders>
          </w:tcPr>
          <w:p w14:paraId="7BBC94B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953" w:type="dxa"/>
            <w:tcBorders>
              <w:top w:val="none" w:sz="6" w:space="0" w:color="auto"/>
              <w:left w:val="none" w:sz="6" w:space="0" w:color="auto"/>
              <w:bottom w:val="none" w:sz="6" w:space="0" w:color="auto"/>
              <w:right w:val="none" w:sz="6" w:space="0" w:color="auto"/>
            </w:tcBorders>
          </w:tcPr>
          <w:p w14:paraId="0CA35DC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3800</w:t>
            </w:r>
          </w:p>
        </w:tc>
      </w:tr>
      <w:tr w:rsidR="004E10C1" w:rsidRPr="0044524F" w14:paraId="40630BDE" w14:textId="77777777" w:rsidTr="00CE35D9">
        <w:tc>
          <w:tcPr>
            <w:tcW w:w="2129" w:type="dxa"/>
            <w:tcBorders>
              <w:top w:val="none" w:sz="6" w:space="0" w:color="auto"/>
              <w:left w:val="none" w:sz="6" w:space="0" w:color="auto"/>
              <w:bottom w:val="none" w:sz="6" w:space="0" w:color="auto"/>
              <w:right w:val="none" w:sz="6" w:space="0" w:color="auto"/>
            </w:tcBorders>
          </w:tcPr>
          <w:p w14:paraId="09DBD5D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Цветная металлургия</w:t>
            </w:r>
          </w:p>
        </w:tc>
        <w:tc>
          <w:tcPr>
            <w:tcW w:w="887" w:type="dxa"/>
            <w:tcBorders>
              <w:top w:val="none" w:sz="6" w:space="0" w:color="auto"/>
              <w:left w:val="none" w:sz="6" w:space="0" w:color="auto"/>
              <w:bottom w:val="none" w:sz="6" w:space="0" w:color="auto"/>
              <w:right w:val="none" w:sz="6" w:space="0" w:color="auto"/>
            </w:tcBorders>
          </w:tcPr>
          <w:p w14:paraId="51A71FA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887" w:type="dxa"/>
            <w:tcBorders>
              <w:top w:val="none" w:sz="6" w:space="0" w:color="auto"/>
              <w:left w:val="none" w:sz="6" w:space="0" w:color="auto"/>
              <w:bottom w:val="none" w:sz="6" w:space="0" w:color="auto"/>
              <w:right w:val="none" w:sz="6" w:space="0" w:color="auto"/>
            </w:tcBorders>
          </w:tcPr>
          <w:p w14:paraId="13750F6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3150</w:t>
            </w:r>
          </w:p>
        </w:tc>
        <w:tc>
          <w:tcPr>
            <w:tcW w:w="887" w:type="dxa"/>
            <w:tcBorders>
              <w:top w:val="none" w:sz="6" w:space="0" w:color="auto"/>
              <w:left w:val="none" w:sz="6" w:space="0" w:color="auto"/>
              <w:bottom w:val="none" w:sz="6" w:space="0" w:color="auto"/>
              <w:right w:val="none" w:sz="6" w:space="0" w:color="auto"/>
            </w:tcBorders>
          </w:tcPr>
          <w:p w14:paraId="0CDC807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023928D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tc>
        <w:tc>
          <w:tcPr>
            <w:tcW w:w="887" w:type="dxa"/>
            <w:tcBorders>
              <w:top w:val="none" w:sz="6" w:space="0" w:color="auto"/>
              <w:left w:val="none" w:sz="6" w:space="0" w:color="auto"/>
              <w:bottom w:val="none" w:sz="6" w:space="0" w:color="auto"/>
              <w:right w:val="none" w:sz="6" w:space="0" w:color="auto"/>
            </w:tcBorders>
          </w:tcPr>
          <w:p w14:paraId="65E101F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0414771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c>
          <w:tcPr>
            <w:tcW w:w="953" w:type="dxa"/>
            <w:tcBorders>
              <w:top w:val="none" w:sz="6" w:space="0" w:color="auto"/>
              <w:left w:val="none" w:sz="6" w:space="0" w:color="auto"/>
              <w:bottom w:val="none" w:sz="6" w:space="0" w:color="auto"/>
              <w:right w:val="none" w:sz="6" w:space="0" w:color="auto"/>
            </w:tcBorders>
          </w:tcPr>
          <w:p w14:paraId="20294D2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953" w:type="dxa"/>
            <w:tcBorders>
              <w:top w:val="none" w:sz="6" w:space="0" w:color="auto"/>
              <w:left w:val="none" w:sz="6" w:space="0" w:color="auto"/>
              <w:bottom w:val="none" w:sz="6" w:space="0" w:color="auto"/>
              <w:right w:val="none" w:sz="6" w:space="0" w:color="auto"/>
            </w:tcBorders>
          </w:tcPr>
          <w:p w14:paraId="6B809F1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2800</w:t>
            </w:r>
          </w:p>
        </w:tc>
      </w:tr>
      <w:tr w:rsidR="004E10C1" w:rsidRPr="0044524F" w14:paraId="524F430A" w14:textId="77777777" w:rsidTr="00CE35D9">
        <w:tc>
          <w:tcPr>
            <w:tcW w:w="2129" w:type="dxa"/>
            <w:tcBorders>
              <w:top w:val="none" w:sz="6" w:space="0" w:color="auto"/>
              <w:left w:val="none" w:sz="6" w:space="0" w:color="auto"/>
              <w:bottom w:val="none" w:sz="6" w:space="0" w:color="auto"/>
              <w:right w:val="none" w:sz="6" w:space="0" w:color="auto"/>
            </w:tcBorders>
          </w:tcPr>
          <w:p w14:paraId="32CB229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Горно-топливная</w:t>
            </w:r>
          </w:p>
        </w:tc>
        <w:tc>
          <w:tcPr>
            <w:tcW w:w="887" w:type="dxa"/>
            <w:tcBorders>
              <w:top w:val="none" w:sz="6" w:space="0" w:color="auto"/>
              <w:left w:val="none" w:sz="6" w:space="0" w:color="auto"/>
              <w:bottom w:val="none" w:sz="6" w:space="0" w:color="auto"/>
              <w:right w:val="none" w:sz="6" w:space="0" w:color="auto"/>
            </w:tcBorders>
          </w:tcPr>
          <w:p w14:paraId="35FA8D4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887" w:type="dxa"/>
            <w:tcBorders>
              <w:top w:val="none" w:sz="6" w:space="0" w:color="auto"/>
              <w:left w:val="none" w:sz="6" w:space="0" w:color="auto"/>
              <w:bottom w:val="none" w:sz="6" w:space="0" w:color="auto"/>
              <w:right w:val="none" w:sz="6" w:space="0" w:color="auto"/>
            </w:tcBorders>
          </w:tcPr>
          <w:p w14:paraId="680B1D9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7200</w:t>
            </w:r>
          </w:p>
        </w:tc>
        <w:tc>
          <w:tcPr>
            <w:tcW w:w="887" w:type="dxa"/>
            <w:tcBorders>
              <w:top w:val="none" w:sz="6" w:space="0" w:color="auto"/>
              <w:left w:val="none" w:sz="6" w:space="0" w:color="auto"/>
              <w:bottom w:val="none" w:sz="6" w:space="0" w:color="auto"/>
              <w:right w:val="none" w:sz="6" w:space="0" w:color="auto"/>
            </w:tcBorders>
          </w:tcPr>
          <w:p w14:paraId="0D7AC4D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39DDE1D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c>
          <w:tcPr>
            <w:tcW w:w="887" w:type="dxa"/>
            <w:tcBorders>
              <w:top w:val="none" w:sz="6" w:space="0" w:color="auto"/>
              <w:left w:val="none" w:sz="6" w:space="0" w:color="auto"/>
              <w:bottom w:val="none" w:sz="6" w:space="0" w:color="auto"/>
              <w:right w:val="none" w:sz="6" w:space="0" w:color="auto"/>
            </w:tcBorders>
          </w:tcPr>
          <w:p w14:paraId="102DD35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491283F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953" w:type="dxa"/>
            <w:tcBorders>
              <w:top w:val="none" w:sz="6" w:space="0" w:color="auto"/>
              <w:left w:val="none" w:sz="6" w:space="0" w:color="auto"/>
              <w:bottom w:val="none" w:sz="6" w:space="0" w:color="auto"/>
              <w:right w:val="none" w:sz="6" w:space="0" w:color="auto"/>
            </w:tcBorders>
          </w:tcPr>
          <w:p w14:paraId="665D1A6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953" w:type="dxa"/>
            <w:tcBorders>
              <w:top w:val="none" w:sz="6" w:space="0" w:color="auto"/>
              <w:left w:val="none" w:sz="6" w:space="0" w:color="auto"/>
              <w:bottom w:val="none" w:sz="6" w:space="0" w:color="auto"/>
              <w:right w:val="none" w:sz="6" w:space="0" w:color="auto"/>
            </w:tcBorders>
          </w:tcPr>
          <w:p w14:paraId="1CCBD24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r>
      <w:tr w:rsidR="004E10C1" w:rsidRPr="0044524F" w14:paraId="6FFB9378" w14:textId="77777777" w:rsidTr="00CE35D9">
        <w:tc>
          <w:tcPr>
            <w:tcW w:w="2129" w:type="dxa"/>
            <w:tcBorders>
              <w:top w:val="none" w:sz="6" w:space="0" w:color="auto"/>
              <w:left w:val="none" w:sz="6" w:space="0" w:color="auto"/>
              <w:bottom w:val="none" w:sz="6" w:space="0" w:color="auto"/>
              <w:right w:val="none" w:sz="6" w:space="0" w:color="auto"/>
            </w:tcBorders>
          </w:tcPr>
          <w:p w14:paraId="45CBAE8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Электропромышленность</w:t>
            </w:r>
          </w:p>
        </w:tc>
        <w:tc>
          <w:tcPr>
            <w:tcW w:w="887" w:type="dxa"/>
            <w:tcBorders>
              <w:top w:val="none" w:sz="6" w:space="0" w:color="auto"/>
              <w:left w:val="none" w:sz="6" w:space="0" w:color="auto"/>
              <w:bottom w:val="none" w:sz="6" w:space="0" w:color="auto"/>
              <w:right w:val="none" w:sz="6" w:space="0" w:color="auto"/>
            </w:tcBorders>
          </w:tcPr>
          <w:p w14:paraId="31F326F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887" w:type="dxa"/>
            <w:tcBorders>
              <w:top w:val="none" w:sz="6" w:space="0" w:color="auto"/>
              <w:left w:val="none" w:sz="6" w:space="0" w:color="auto"/>
              <w:bottom w:val="none" w:sz="6" w:space="0" w:color="auto"/>
              <w:right w:val="none" w:sz="6" w:space="0" w:color="auto"/>
            </w:tcBorders>
          </w:tcPr>
          <w:p w14:paraId="582BAFB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16150</w:t>
            </w:r>
          </w:p>
        </w:tc>
        <w:tc>
          <w:tcPr>
            <w:tcW w:w="887" w:type="dxa"/>
            <w:tcBorders>
              <w:top w:val="none" w:sz="6" w:space="0" w:color="auto"/>
              <w:left w:val="none" w:sz="6" w:space="0" w:color="auto"/>
              <w:bottom w:val="none" w:sz="6" w:space="0" w:color="auto"/>
              <w:right w:val="none" w:sz="6" w:space="0" w:color="auto"/>
            </w:tcBorders>
          </w:tcPr>
          <w:p w14:paraId="1F0110B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887" w:type="dxa"/>
            <w:tcBorders>
              <w:top w:val="none" w:sz="6" w:space="0" w:color="auto"/>
              <w:left w:val="none" w:sz="6" w:space="0" w:color="auto"/>
              <w:bottom w:val="none" w:sz="6" w:space="0" w:color="auto"/>
              <w:right w:val="none" w:sz="6" w:space="0" w:color="auto"/>
            </w:tcBorders>
          </w:tcPr>
          <w:p w14:paraId="06EA30E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12030</w:t>
            </w:r>
          </w:p>
        </w:tc>
        <w:tc>
          <w:tcPr>
            <w:tcW w:w="887" w:type="dxa"/>
            <w:tcBorders>
              <w:top w:val="none" w:sz="6" w:space="0" w:color="auto"/>
              <w:left w:val="none" w:sz="6" w:space="0" w:color="auto"/>
              <w:bottom w:val="none" w:sz="6" w:space="0" w:color="auto"/>
              <w:right w:val="none" w:sz="6" w:space="0" w:color="auto"/>
            </w:tcBorders>
          </w:tcPr>
          <w:p w14:paraId="6162657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887" w:type="dxa"/>
            <w:tcBorders>
              <w:top w:val="none" w:sz="6" w:space="0" w:color="auto"/>
              <w:left w:val="none" w:sz="6" w:space="0" w:color="auto"/>
              <w:bottom w:val="none" w:sz="6" w:space="0" w:color="auto"/>
              <w:right w:val="none" w:sz="6" w:space="0" w:color="auto"/>
            </w:tcBorders>
          </w:tcPr>
          <w:p w14:paraId="16DB100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4450</w:t>
            </w:r>
          </w:p>
        </w:tc>
        <w:tc>
          <w:tcPr>
            <w:tcW w:w="953" w:type="dxa"/>
            <w:tcBorders>
              <w:top w:val="none" w:sz="6" w:space="0" w:color="auto"/>
              <w:left w:val="none" w:sz="6" w:space="0" w:color="auto"/>
              <w:bottom w:val="none" w:sz="6" w:space="0" w:color="auto"/>
              <w:right w:val="none" w:sz="6" w:space="0" w:color="auto"/>
            </w:tcBorders>
          </w:tcPr>
          <w:p w14:paraId="6D036E5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953" w:type="dxa"/>
            <w:tcBorders>
              <w:top w:val="none" w:sz="6" w:space="0" w:color="auto"/>
              <w:left w:val="none" w:sz="6" w:space="0" w:color="auto"/>
              <w:bottom w:val="none" w:sz="6" w:space="0" w:color="auto"/>
              <w:right w:val="none" w:sz="6" w:space="0" w:color="auto"/>
            </w:tcBorders>
          </w:tcPr>
          <w:p w14:paraId="37AC81C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3700</w:t>
            </w:r>
          </w:p>
        </w:tc>
      </w:tr>
      <w:tr w:rsidR="004E10C1" w:rsidRPr="0044524F" w14:paraId="323E0D89" w14:textId="77777777" w:rsidTr="00CE35D9">
        <w:tc>
          <w:tcPr>
            <w:tcW w:w="2129" w:type="dxa"/>
            <w:tcBorders>
              <w:top w:val="none" w:sz="6" w:space="0" w:color="auto"/>
              <w:left w:val="none" w:sz="6" w:space="0" w:color="auto"/>
              <w:bottom w:val="none" w:sz="6" w:space="0" w:color="auto"/>
              <w:right w:val="none" w:sz="6" w:space="0" w:color="auto"/>
            </w:tcBorders>
          </w:tcPr>
          <w:p w14:paraId="21555D2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Энергетика</w:t>
            </w:r>
          </w:p>
        </w:tc>
        <w:tc>
          <w:tcPr>
            <w:tcW w:w="887" w:type="dxa"/>
            <w:tcBorders>
              <w:top w:val="none" w:sz="6" w:space="0" w:color="auto"/>
              <w:left w:val="none" w:sz="6" w:space="0" w:color="auto"/>
              <w:bottom w:val="none" w:sz="6" w:space="0" w:color="auto"/>
              <w:right w:val="none" w:sz="6" w:space="0" w:color="auto"/>
            </w:tcBorders>
          </w:tcPr>
          <w:p w14:paraId="62E4677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6F62B53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5750</w:t>
            </w:r>
          </w:p>
        </w:tc>
        <w:tc>
          <w:tcPr>
            <w:tcW w:w="887" w:type="dxa"/>
            <w:tcBorders>
              <w:top w:val="none" w:sz="6" w:space="0" w:color="auto"/>
              <w:left w:val="none" w:sz="6" w:space="0" w:color="auto"/>
              <w:bottom w:val="none" w:sz="6" w:space="0" w:color="auto"/>
              <w:right w:val="none" w:sz="6" w:space="0" w:color="auto"/>
            </w:tcBorders>
          </w:tcPr>
          <w:p w14:paraId="38D00A6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202AF2A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tc>
        <w:tc>
          <w:tcPr>
            <w:tcW w:w="887" w:type="dxa"/>
            <w:tcBorders>
              <w:top w:val="none" w:sz="6" w:space="0" w:color="auto"/>
              <w:left w:val="none" w:sz="6" w:space="0" w:color="auto"/>
              <w:bottom w:val="none" w:sz="6" w:space="0" w:color="auto"/>
              <w:right w:val="none" w:sz="6" w:space="0" w:color="auto"/>
            </w:tcBorders>
          </w:tcPr>
          <w:p w14:paraId="2AAB81C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109D8C7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953" w:type="dxa"/>
            <w:tcBorders>
              <w:top w:val="none" w:sz="6" w:space="0" w:color="auto"/>
              <w:left w:val="none" w:sz="6" w:space="0" w:color="auto"/>
              <w:bottom w:val="none" w:sz="6" w:space="0" w:color="auto"/>
              <w:right w:val="none" w:sz="6" w:space="0" w:color="auto"/>
            </w:tcBorders>
          </w:tcPr>
          <w:p w14:paraId="0722E31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953" w:type="dxa"/>
            <w:tcBorders>
              <w:top w:val="none" w:sz="6" w:space="0" w:color="auto"/>
              <w:left w:val="none" w:sz="6" w:space="0" w:color="auto"/>
              <w:bottom w:val="none" w:sz="6" w:space="0" w:color="auto"/>
              <w:right w:val="none" w:sz="6" w:space="0" w:color="auto"/>
            </w:tcBorders>
          </w:tcPr>
          <w:p w14:paraId="606F8B4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r>
      <w:tr w:rsidR="004E10C1" w:rsidRPr="0044524F" w14:paraId="760D140D" w14:textId="77777777" w:rsidTr="00CE35D9">
        <w:tc>
          <w:tcPr>
            <w:tcW w:w="2129" w:type="dxa"/>
            <w:tcBorders>
              <w:top w:val="none" w:sz="6" w:space="0" w:color="auto"/>
              <w:left w:val="none" w:sz="6" w:space="0" w:color="auto"/>
              <w:bottom w:val="none" w:sz="6" w:space="0" w:color="auto"/>
              <w:right w:val="none" w:sz="6" w:space="0" w:color="auto"/>
            </w:tcBorders>
          </w:tcPr>
          <w:p w14:paraId="119A213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Химическая промышленность</w:t>
            </w:r>
          </w:p>
        </w:tc>
        <w:tc>
          <w:tcPr>
            <w:tcW w:w="887" w:type="dxa"/>
            <w:tcBorders>
              <w:top w:val="none" w:sz="6" w:space="0" w:color="auto"/>
              <w:left w:val="none" w:sz="6" w:space="0" w:color="auto"/>
              <w:bottom w:val="none" w:sz="6" w:space="0" w:color="auto"/>
              <w:right w:val="none" w:sz="6" w:space="0" w:color="auto"/>
            </w:tcBorders>
          </w:tcPr>
          <w:p w14:paraId="60F898F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887" w:type="dxa"/>
            <w:tcBorders>
              <w:top w:val="none" w:sz="6" w:space="0" w:color="auto"/>
              <w:left w:val="none" w:sz="6" w:space="0" w:color="auto"/>
              <w:bottom w:val="none" w:sz="6" w:space="0" w:color="auto"/>
              <w:right w:val="none" w:sz="6" w:space="0" w:color="auto"/>
            </w:tcBorders>
          </w:tcPr>
          <w:p w14:paraId="3C1103B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2560</w:t>
            </w:r>
          </w:p>
        </w:tc>
        <w:tc>
          <w:tcPr>
            <w:tcW w:w="887" w:type="dxa"/>
            <w:tcBorders>
              <w:top w:val="none" w:sz="6" w:space="0" w:color="auto"/>
              <w:left w:val="none" w:sz="6" w:space="0" w:color="auto"/>
              <w:bottom w:val="none" w:sz="6" w:space="0" w:color="auto"/>
              <w:right w:val="none" w:sz="6" w:space="0" w:color="auto"/>
            </w:tcBorders>
          </w:tcPr>
          <w:p w14:paraId="73C9327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w:t>
            </w:r>
          </w:p>
        </w:tc>
        <w:tc>
          <w:tcPr>
            <w:tcW w:w="887" w:type="dxa"/>
            <w:tcBorders>
              <w:top w:val="none" w:sz="6" w:space="0" w:color="auto"/>
              <w:left w:val="none" w:sz="6" w:space="0" w:color="auto"/>
              <w:bottom w:val="none" w:sz="6" w:space="0" w:color="auto"/>
              <w:right w:val="none" w:sz="6" w:space="0" w:color="auto"/>
            </w:tcBorders>
          </w:tcPr>
          <w:p w14:paraId="08A2D48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2400</w:t>
            </w:r>
          </w:p>
        </w:tc>
        <w:tc>
          <w:tcPr>
            <w:tcW w:w="887" w:type="dxa"/>
            <w:tcBorders>
              <w:top w:val="none" w:sz="6" w:space="0" w:color="auto"/>
              <w:left w:val="none" w:sz="6" w:space="0" w:color="auto"/>
              <w:bottom w:val="none" w:sz="6" w:space="0" w:color="auto"/>
              <w:right w:val="none" w:sz="6" w:space="0" w:color="auto"/>
            </w:tcBorders>
          </w:tcPr>
          <w:p w14:paraId="69C0274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887" w:type="dxa"/>
            <w:tcBorders>
              <w:top w:val="none" w:sz="6" w:space="0" w:color="auto"/>
              <w:left w:val="none" w:sz="6" w:space="0" w:color="auto"/>
              <w:bottom w:val="none" w:sz="6" w:space="0" w:color="auto"/>
              <w:right w:val="none" w:sz="6" w:space="0" w:color="auto"/>
            </w:tcBorders>
          </w:tcPr>
          <w:p w14:paraId="0BAF4EF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2500</w:t>
            </w:r>
          </w:p>
        </w:tc>
        <w:tc>
          <w:tcPr>
            <w:tcW w:w="953" w:type="dxa"/>
            <w:tcBorders>
              <w:top w:val="none" w:sz="6" w:space="0" w:color="auto"/>
              <w:left w:val="none" w:sz="6" w:space="0" w:color="auto"/>
              <w:bottom w:val="none" w:sz="6" w:space="0" w:color="auto"/>
              <w:right w:val="none" w:sz="6" w:space="0" w:color="auto"/>
            </w:tcBorders>
          </w:tcPr>
          <w:p w14:paraId="5F745B5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953" w:type="dxa"/>
            <w:tcBorders>
              <w:top w:val="none" w:sz="6" w:space="0" w:color="auto"/>
              <w:left w:val="none" w:sz="6" w:space="0" w:color="auto"/>
              <w:bottom w:val="none" w:sz="6" w:space="0" w:color="auto"/>
              <w:right w:val="none" w:sz="6" w:space="0" w:color="auto"/>
            </w:tcBorders>
          </w:tcPr>
          <w:p w14:paraId="0DE06EF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tc>
      </w:tr>
      <w:tr w:rsidR="004E10C1" w:rsidRPr="0044524F" w14:paraId="7BEF7489" w14:textId="77777777" w:rsidTr="00CE35D9">
        <w:tc>
          <w:tcPr>
            <w:tcW w:w="2129" w:type="dxa"/>
            <w:tcBorders>
              <w:top w:val="none" w:sz="6" w:space="0" w:color="auto"/>
              <w:left w:val="none" w:sz="6" w:space="0" w:color="auto"/>
              <w:bottom w:val="none" w:sz="6" w:space="0" w:color="auto"/>
              <w:right w:val="none" w:sz="6" w:space="0" w:color="auto"/>
            </w:tcBorders>
          </w:tcPr>
          <w:p w14:paraId="6EC7244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Резиновая промышленность</w:t>
            </w:r>
          </w:p>
        </w:tc>
        <w:tc>
          <w:tcPr>
            <w:tcW w:w="887" w:type="dxa"/>
            <w:tcBorders>
              <w:top w:val="none" w:sz="6" w:space="0" w:color="auto"/>
              <w:left w:val="none" w:sz="6" w:space="0" w:color="auto"/>
              <w:bottom w:val="none" w:sz="6" w:space="0" w:color="auto"/>
              <w:right w:val="none" w:sz="6" w:space="0" w:color="auto"/>
            </w:tcBorders>
          </w:tcPr>
          <w:p w14:paraId="68C7341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3D2766F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887" w:type="dxa"/>
            <w:tcBorders>
              <w:top w:val="none" w:sz="6" w:space="0" w:color="auto"/>
              <w:left w:val="none" w:sz="6" w:space="0" w:color="auto"/>
              <w:bottom w:val="none" w:sz="6" w:space="0" w:color="auto"/>
              <w:right w:val="none" w:sz="6" w:space="0" w:color="auto"/>
            </w:tcBorders>
          </w:tcPr>
          <w:p w14:paraId="2BA7276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469F109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887" w:type="dxa"/>
            <w:tcBorders>
              <w:top w:val="none" w:sz="6" w:space="0" w:color="auto"/>
              <w:left w:val="none" w:sz="6" w:space="0" w:color="auto"/>
              <w:bottom w:val="none" w:sz="6" w:space="0" w:color="auto"/>
              <w:right w:val="none" w:sz="6" w:space="0" w:color="auto"/>
            </w:tcBorders>
          </w:tcPr>
          <w:p w14:paraId="5F4CC5A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1F476C1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953" w:type="dxa"/>
            <w:tcBorders>
              <w:top w:val="none" w:sz="6" w:space="0" w:color="auto"/>
              <w:left w:val="none" w:sz="6" w:space="0" w:color="auto"/>
              <w:bottom w:val="none" w:sz="6" w:space="0" w:color="auto"/>
              <w:right w:val="none" w:sz="6" w:space="0" w:color="auto"/>
            </w:tcBorders>
          </w:tcPr>
          <w:p w14:paraId="120B633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59E9DDD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0D31603" w14:textId="77777777" w:rsidTr="00CE35D9">
        <w:tc>
          <w:tcPr>
            <w:tcW w:w="2129" w:type="dxa"/>
            <w:tcBorders>
              <w:top w:val="none" w:sz="6" w:space="0" w:color="auto"/>
              <w:left w:val="none" w:sz="6" w:space="0" w:color="auto"/>
              <w:bottom w:val="none" w:sz="6" w:space="0" w:color="auto"/>
              <w:right w:val="none" w:sz="6" w:space="0" w:color="auto"/>
            </w:tcBorders>
          </w:tcPr>
          <w:p w14:paraId="2C56B54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Искусственное волокно</w:t>
            </w:r>
          </w:p>
        </w:tc>
        <w:tc>
          <w:tcPr>
            <w:tcW w:w="887" w:type="dxa"/>
            <w:tcBorders>
              <w:top w:val="none" w:sz="6" w:space="0" w:color="auto"/>
              <w:left w:val="none" w:sz="6" w:space="0" w:color="auto"/>
              <w:bottom w:val="none" w:sz="6" w:space="0" w:color="auto"/>
              <w:right w:val="none" w:sz="6" w:space="0" w:color="auto"/>
            </w:tcBorders>
          </w:tcPr>
          <w:p w14:paraId="1574B12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38BD92B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887" w:type="dxa"/>
            <w:tcBorders>
              <w:top w:val="none" w:sz="6" w:space="0" w:color="auto"/>
              <w:left w:val="none" w:sz="6" w:space="0" w:color="auto"/>
              <w:bottom w:val="none" w:sz="6" w:space="0" w:color="auto"/>
              <w:right w:val="none" w:sz="6" w:space="0" w:color="auto"/>
            </w:tcBorders>
          </w:tcPr>
          <w:p w14:paraId="5BB1627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3F1C85F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w:t>
            </w:r>
          </w:p>
        </w:tc>
        <w:tc>
          <w:tcPr>
            <w:tcW w:w="887" w:type="dxa"/>
            <w:tcBorders>
              <w:top w:val="none" w:sz="6" w:space="0" w:color="auto"/>
              <w:left w:val="none" w:sz="6" w:space="0" w:color="auto"/>
              <w:bottom w:val="none" w:sz="6" w:space="0" w:color="auto"/>
              <w:right w:val="none" w:sz="6" w:space="0" w:color="auto"/>
            </w:tcBorders>
          </w:tcPr>
          <w:p w14:paraId="444B464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16D479A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704AA27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7A46FFD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2AAE9E9" w14:textId="77777777" w:rsidTr="00CE35D9">
        <w:tc>
          <w:tcPr>
            <w:tcW w:w="2129" w:type="dxa"/>
            <w:tcBorders>
              <w:top w:val="none" w:sz="6" w:space="0" w:color="auto"/>
              <w:left w:val="none" w:sz="6" w:space="0" w:color="auto"/>
              <w:bottom w:val="none" w:sz="6" w:space="0" w:color="auto"/>
              <w:right w:val="none" w:sz="6" w:space="0" w:color="auto"/>
            </w:tcBorders>
          </w:tcPr>
          <w:p w14:paraId="0D00184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Военная промышленность</w:t>
            </w:r>
          </w:p>
        </w:tc>
        <w:tc>
          <w:tcPr>
            <w:tcW w:w="887" w:type="dxa"/>
            <w:tcBorders>
              <w:top w:val="none" w:sz="6" w:space="0" w:color="auto"/>
              <w:left w:val="none" w:sz="6" w:space="0" w:color="auto"/>
              <w:bottom w:val="none" w:sz="6" w:space="0" w:color="auto"/>
              <w:right w:val="none" w:sz="6" w:space="0" w:color="auto"/>
            </w:tcBorders>
          </w:tcPr>
          <w:p w14:paraId="57B0358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887" w:type="dxa"/>
            <w:tcBorders>
              <w:top w:val="none" w:sz="6" w:space="0" w:color="auto"/>
              <w:left w:val="none" w:sz="6" w:space="0" w:color="auto"/>
              <w:bottom w:val="none" w:sz="6" w:space="0" w:color="auto"/>
              <w:right w:val="none" w:sz="6" w:space="0" w:color="auto"/>
            </w:tcBorders>
          </w:tcPr>
          <w:p w14:paraId="1E0379A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4440</w:t>
            </w:r>
          </w:p>
        </w:tc>
        <w:tc>
          <w:tcPr>
            <w:tcW w:w="887" w:type="dxa"/>
            <w:tcBorders>
              <w:top w:val="none" w:sz="6" w:space="0" w:color="auto"/>
              <w:left w:val="none" w:sz="6" w:space="0" w:color="auto"/>
              <w:bottom w:val="none" w:sz="6" w:space="0" w:color="auto"/>
              <w:right w:val="none" w:sz="6" w:space="0" w:color="auto"/>
            </w:tcBorders>
          </w:tcPr>
          <w:p w14:paraId="065ED92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887" w:type="dxa"/>
            <w:tcBorders>
              <w:top w:val="none" w:sz="6" w:space="0" w:color="auto"/>
              <w:left w:val="none" w:sz="6" w:space="0" w:color="auto"/>
              <w:bottom w:val="none" w:sz="6" w:space="0" w:color="auto"/>
              <w:right w:val="none" w:sz="6" w:space="0" w:color="auto"/>
            </w:tcBorders>
          </w:tcPr>
          <w:p w14:paraId="7FBE878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3500</w:t>
            </w:r>
          </w:p>
        </w:tc>
        <w:tc>
          <w:tcPr>
            <w:tcW w:w="887" w:type="dxa"/>
            <w:tcBorders>
              <w:top w:val="none" w:sz="6" w:space="0" w:color="auto"/>
              <w:left w:val="none" w:sz="6" w:space="0" w:color="auto"/>
              <w:bottom w:val="none" w:sz="6" w:space="0" w:color="auto"/>
              <w:right w:val="none" w:sz="6" w:space="0" w:color="auto"/>
            </w:tcBorders>
          </w:tcPr>
          <w:p w14:paraId="4B636E9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887" w:type="dxa"/>
            <w:tcBorders>
              <w:top w:val="none" w:sz="6" w:space="0" w:color="auto"/>
              <w:left w:val="none" w:sz="6" w:space="0" w:color="auto"/>
              <w:bottom w:val="none" w:sz="6" w:space="0" w:color="auto"/>
              <w:right w:val="none" w:sz="6" w:space="0" w:color="auto"/>
            </w:tcBorders>
          </w:tcPr>
          <w:p w14:paraId="4096513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2150</w:t>
            </w:r>
          </w:p>
        </w:tc>
        <w:tc>
          <w:tcPr>
            <w:tcW w:w="953" w:type="dxa"/>
            <w:tcBorders>
              <w:top w:val="none" w:sz="6" w:space="0" w:color="auto"/>
              <w:left w:val="none" w:sz="6" w:space="0" w:color="auto"/>
              <w:bottom w:val="none" w:sz="6" w:space="0" w:color="auto"/>
              <w:right w:val="none" w:sz="6" w:space="0" w:color="auto"/>
            </w:tcBorders>
          </w:tcPr>
          <w:p w14:paraId="61B6E4A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953" w:type="dxa"/>
            <w:tcBorders>
              <w:top w:val="none" w:sz="6" w:space="0" w:color="auto"/>
              <w:left w:val="none" w:sz="6" w:space="0" w:color="auto"/>
              <w:bottom w:val="none" w:sz="6" w:space="0" w:color="auto"/>
              <w:right w:val="none" w:sz="6" w:space="0" w:color="auto"/>
            </w:tcBorders>
          </w:tcPr>
          <w:p w14:paraId="406EB88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3700</w:t>
            </w:r>
          </w:p>
        </w:tc>
      </w:tr>
      <w:tr w:rsidR="004E10C1" w:rsidRPr="0044524F" w14:paraId="1915FD13" w14:textId="77777777" w:rsidTr="00CE35D9">
        <w:tc>
          <w:tcPr>
            <w:tcW w:w="2129" w:type="dxa"/>
            <w:tcBorders>
              <w:top w:val="none" w:sz="6" w:space="0" w:color="auto"/>
              <w:left w:val="none" w:sz="6" w:space="0" w:color="auto"/>
              <w:bottom w:val="none" w:sz="6" w:space="0" w:color="auto"/>
              <w:right w:val="none" w:sz="6" w:space="0" w:color="auto"/>
            </w:tcBorders>
          </w:tcPr>
          <w:p w14:paraId="21DC970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Строительная промышленность</w:t>
            </w:r>
          </w:p>
        </w:tc>
        <w:tc>
          <w:tcPr>
            <w:tcW w:w="887" w:type="dxa"/>
            <w:tcBorders>
              <w:top w:val="none" w:sz="6" w:space="0" w:color="auto"/>
              <w:left w:val="none" w:sz="6" w:space="0" w:color="auto"/>
              <w:bottom w:val="none" w:sz="6" w:space="0" w:color="auto"/>
              <w:right w:val="none" w:sz="6" w:space="0" w:color="auto"/>
            </w:tcBorders>
          </w:tcPr>
          <w:p w14:paraId="269B3D2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887" w:type="dxa"/>
            <w:tcBorders>
              <w:top w:val="none" w:sz="6" w:space="0" w:color="auto"/>
              <w:left w:val="none" w:sz="6" w:space="0" w:color="auto"/>
              <w:bottom w:val="none" w:sz="6" w:space="0" w:color="auto"/>
              <w:right w:val="none" w:sz="6" w:space="0" w:color="auto"/>
            </w:tcBorders>
          </w:tcPr>
          <w:p w14:paraId="2C8648A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4940</w:t>
            </w:r>
          </w:p>
        </w:tc>
        <w:tc>
          <w:tcPr>
            <w:tcW w:w="887" w:type="dxa"/>
            <w:tcBorders>
              <w:top w:val="none" w:sz="6" w:space="0" w:color="auto"/>
              <w:left w:val="none" w:sz="6" w:space="0" w:color="auto"/>
              <w:bottom w:val="none" w:sz="6" w:space="0" w:color="auto"/>
              <w:right w:val="none" w:sz="6" w:space="0" w:color="auto"/>
            </w:tcBorders>
          </w:tcPr>
          <w:p w14:paraId="369D103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887" w:type="dxa"/>
            <w:tcBorders>
              <w:top w:val="none" w:sz="6" w:space="0" w:color="auto"/>
              <w:left w:val="none" w:sz="6" w:space="0" w:color="auto"/>
              <w:bottom w:val="none" w:sz="6" w:space="0" w:color="auto"/>
              <w:right w:val="none" w:sz="6" w:space="0" w:color="auto"/>
            </w:tcBorders>
          </w:tcPr>
          <w:p w14:paraId="4283217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887" w:type="dxa"/>
            <w:tcBorders>
              <w:top w:val="none" w:sz="6" w:space="0" w:color="auto"/>
              <w:left w:val="none" w:sz="6" w:space="0" w:color="auto"/>
              <w:bottom w:val="none" w:sz="6" w:space="0" w:color="auto"/>
              <w:right w:val="none" w:sz="6" w:space="0" w:color="auto"/>
            </w:tcBorders>
          </w:tcPr>
          <w:p w14:paraId="3BA86B4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4728B62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395</w:t>
            </w:r>
          </w:p>
        </w:tc>
        <w:tc>
          <w:tcPr>
            <w:tcW w:w="953" w:type="dxa"/>
            <w:tcBorders>
              <w:top w:val="none" w:sz="6" w:space="0" w:color="auto"/>
              <w:left w:val="none" w:sz="6" w:space="0" w:color="auto"/>
              <w:bottom w:val="none" w:sz="6" w:space="0" w:color="auto"/>
              <w:right w:val="none" w:sz="6" w:space="0" w:color="auto"/>
            </w:tcBorders>
          </w:tcPr>
          <w:p w14:paraId="7FE189F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953" w:type="dxa"/>
            <w:tcBorders>
              <w:top w:val="none" w:sz="6" w:space="0" w:color="auto"/>
              <w:left w:val="none" w:sz="6" w:space="0" w:color="auto"/>
              <w:bottom w:val="none" w:sz="6" w:space="0" w:color="auto"/>
              <w:right w:val="none" w:sz="6" w:space="0" w:color="auto"/>
            </w:tcBorders>
          </w:tcPr>
          <w:p w14:paraId="0A772D6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225</w:t>
            </w:r>
          </w:p>
        </w:tc>
      </w:tr>
      <w:tr w:rsidR="004E10C1" w:rsidRPr="0044524F" w14:paraId="11F54E6E" w14:textId="77777777" w:rsidTr="00CE35D9">
        <w:tc>
          <w:tcPr>
            <w:tcW w:w="2129" w:type="dxa"/>
            <w:tcBorders>
              <w:top w:val="none" w:sz="6" w:space="0" w:color="auto"/>
              <w:left w:val="none" w:sz="6" w:space="0" w:color="auto"/>
              <w:bottom w:val="none" w:sz="6" w:space="0" w:color="auto"/>
              <w:right w:val="none" w:sz="6" w:space="0" w:color="auto"/>
            </w:tcBorders>
          </w:tcPr>
          <w:p w14:paraId="7B9A72E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Текстильная</w:t>
            </w:r>
          </w:p>
        </w:tc>
        <w:tc>
          <w:tcPr>
            <w:tcW w:w="887" w:type="dxa"/>
            <w:tcBorders>
              <w:top w:val="none" w:sz="6" w:space="0" w:color="auto"/>
              <w:left w:val="none" w:sz="6" w:space="0" w:color="auto"/>
              <w:bottom w:val="none" w:sz="6" w:space="0" w:color="auto"/>
              <w:right w:val="none" w:sz="6" w:space="0" w:color="auto"/>
            </w:tcBorders>
          </w:tcPr>
          <w:p w14:paraId="6F37002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2C0EACB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887" w:type="dxa"/>
            <w:tcBorders>
              <w:top w:val="none" w:sz="6" w:space="0" w:color="auto"/>
              <w:left w:val="none" w:sz="6" w:space="0" w:color="auto"/>
              <w:bottom w:val="none" w:sz="6" w:space="0" w:color="auto"/>
              <w:right w:val="none" w:sz="6" w:space="0" w:color="auto"/>
            </w:tcBorders>
          </w:tcPr>
          <w:p w14:paraId="4A04D7C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36D5B07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3EDFF5F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30ECB13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03568D2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2A72D22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5270090" w14:textId="77777777" w:rsidTr="00CE35D9">
        <w:tc>
          <w:tcPr>
            <w:tcW w:w="2129" w:type="dxa"/>
            <w:tcBorders>
              <w:top w:val="none" w:sz="6" w:space="0" w:color="auto"/>
              <w:left w:val="none" w:sz="6" w:space="0" w:color="auto"/>
              <w:bottom w:val="none" w:sz="6" w:space="0" w:color="auto"/>
              <w:right w:val="none" w:sz="6" w:space="0" w:color="auto"/>
            </w:tcBorders>
          </w:tcPr>
          <w:p w14:paraId="0ACE9C2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Кинопромышленность</w:t>
            </w:r>
          </w:p>
        </w:tc>
        <w:tc>
          <w:tcPr>
            <w:tcW w:w="887" w:type="dxa"/>
            <w:tcBorders>
              <w:top w:val="none" w:sz="6" w:space="0" w:color="auto"/>
              <w:left w:val="none" w:sz="6" w:space="0" w:color="auto"/>
              <w:bottom w:val="none" w:sz="6" w:space="0" w:color="auto"/>
              <w:right w:val="none" w:sz="6" w:space="0" w:color="auto"/>
            </w:tcBorders>
          </w:tcPr>
          <w:p w14:paraId="3348E42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887" w:type="dxa"/>
            <w:tcBorders>
              <w:top w:val="none" w:sz="6" w:space="0" w:color="auto"/>
              <w:left w:val="none" w:sz="6" w:space="0" w:color="auto"/>
              <w:bottom w:val="none" w:sz="6" w:space="0" w:color="auto"/>
              <w:right w:val="none" w:sz="6" w:space="0" w:color="auto"/>
            </w:tcBorders>
          </w:tcPr>
          <w:p w14:paraId="0E6656B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940</w:t>
            </w:r>
          </w:p>
        </w:tc>
        <w:tc>
          <w:tcPr>
            <w:tcW w:w="887" w:type="dxa"/>
            <w:tcBorders>
              <w:top w:val="none" w:sz="6" w:space="0" w:color="auto"/>
              <w:left w:val="none" w:sz="6" w:space="0" w:color="auto"/>
              <w:bottom w:val="none" w:sz="6" w:space="0" w:color="auto"/>
              <w:right w:val="none" w:sz="6" w:space="0" w:color="auto"/>
            </w:tcBorders>
          </w:tcPr>
          <w:p w14:paraId="0718443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48FE37F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5BB4EE5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47287EF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779C5B4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44672C9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4D4AB25" w14:textId="77777777" w:rsidTr="00CE35D9">
        <w:tc>
          <w:tcPr>
            <w:tcW w:w="2129" w:type="dxa"/>
            <w:tcBorders>
              <w:top w:val="none" w:sz="6" w:space="0" w:color="auto"/>
              <w:left w:val="none" w:sz="6" w:space="0" w:color="auto"/>
              <w:bottom w:val="none" w:sz="6" w:space="0" w:color="auto"/>
              <w:right w:val="none" w:sz="6" w:space="0" w:color="auto"/>
            </w:tcBorders>
          </w:tcPr>
          <w:p w14:paraId="044D6E6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Разные</w:t>
            </w:r>
          </w:p>
        </w:tc>
        <w:tc>
          <w:tcPr>
            <w:tcW w:w="887" w:type="dxa"/>
            <w:tcBorders>
              <w:top w:val="none" w:sz="6" w:space="0" w:color="auto"/>
              <w:left w:val="none" w:sz="6" w:space="0" w:color="auto"/>
              <w:bottom w:val="none" w:sz="6" w:space="0" w:color="auto"/>
              <w:right w:val="none" w:sz="6" w:space="0" w:color="auto"/>
            </w:tcBorders>
          </w:tcPr>
          <w:p w14:paraId="29903F7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887" w:type="dxa"/>
            <w:tcBorders>
              <w:top w:val="none" w:sz="6" w:space="0" w:color="auto"/>
              <w:left w:val="none" w:sz="6" w:space="0" w:color="auto"/>
              <w:bottom w:val="none" w:sz="6" w:space="0" w:color="auto"/>
              <w:right w:val="none" w:sz="6" w:space="0" w:color="auto"/>
            </w:tcBorders>
          </w:tcPr>
          <w:p w14:paraId="1DDF122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887" w:type="dxa"/>
            <w:tcBorders>
              <w:top w:val="none" w:sz="6" w:space="0" w:color="auto"/>
              <w:left w:val="none" w:sz="6" w:space="0" w:color="auto"/>
              <w:bottom w:val="none" w:sz="6" w:space="0" w:color="auto"/>
              <w:right w:val="none" w:sz="6" w:space="0" w:color="auto"/>
            </w:tcBorders>
          </w:tcPr>
          <w:p w14:paraId="11C8CAF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5F1F73A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54A45BD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887" w:type="dxa"/>
            <w:tcBorders>
              <w:top w:val="none" w:sz="6" w:space="0" w:color="auto"/>
              <w:left w:val="none" w:sz="6" w:space="0" w:color="auto"/>
              <w:bottom w:val="none" w:sz="6" w:space="0" w:color="auto"/>
              <w:right w:val="none" w:sz="6" w:space="0" w:color="auto"/>
            </w:tcBorders>
          </w:tcPr>
          <w:p w14:paraId="4063BA8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4CF7466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953" w:type="dxa"/>
            <w:tcBorders>
              <w:top w:val="none" w:sz="6" w:space="0" w:color="auto"/>
              <w:left w:val="none" w:sz="6" w:space="0" w:color="auto"/>
              <w:bottom w:val="none" w:sz="6" w:space="0" w:color="auto"/>
              <w:right w:val="none" w:sz="6" w:space="0" w:color="auto"/>
            </w:tcBorders>
          </w:tcPr>
          <w:p w14:paraId="4553A45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73F64D5" w14:textId="77777777" w:rsidTr="00CE35D9">
        <w:tc>
          <w:tcPr>
            <w:tcW w:w="2129" w:type="dxa"/>
            <w:tcBorders>
              <w:top w:val="none" w:sz="6" w:space="0" w:color="auto"/>
              <w:left w:val="none" w:sz="6" w:space="0" w:color="auto"/>
              <w:bottom w:val="none" w:sz="6" w:space="0" w:color="auto"/>
              <w:right w:val="none" w:sz="6" w:space="0" w:color="auto"/>
            </w:tcBorders>
          </w:tcPr>
          <w:p w14:paraId="5DB688D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887" w:type="dxa"/>
            <w:tcBorders>
              <w:top w:val="none" w:sz="6" w:space="0" w:color="auto"/>
              <w:left w:val="none" w:sz="6" w:space="0" w:color="auto"/>
              <w:bottom w:val="none" w:sz="6" w:space="0" w:color="auto"/>
              <w:right w:val="none" w:sz="6" w:space="0" w:color="auto"/>
            </w:tcBorders>
          </w:tcPr>
          <w:p w14:paraId="3EACE7F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w:t>
            </w:r>
          </w:p>
        </w:tc>
        <w:tc>
          <w:tcPr>
            <w:tcW w:w="887" w:type="dxa"/>
            <w:tcBorders>
              <w:top w:val="none" w:sz="6" w:space="0" w:color="auto"/>
              <w:left w:val="none" w:sz="6" w:space="0" w:color="auto"/>
              <w:bottom w:val="none" w:sz="6" w:space="0" w:color="auto"/>
              <w:right w:val="none" w:sz="6" w:space="0" w:color="auto"/>
            </w:tcBorders>
          </w:tcPr>
          <w:p w14:paraId="0A4ACCB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77330</w:t>
            </w:r>
          </w:p>
        </w:tc>
        <w:tc>
          <w:tcPr>
            <w:tcW w:w="887" w:type="dxa"/>
            <w:tcBorders>
              <w:top w:val="none" w:sz="6" w:space="0" w:color="auto"/>
              <w:left w:val="none" w:sz="6" w:space="0" w:color="auto"/>
              <w:bottom w:val="none" w:sz="6" w:space="0" w:color="auto"/>
              <w:right w:val="none" w:sz="6" w:space="0" w:color="auto"/>
            </w:tcBorders>
          </w:tcPr>
          <w:p w14:paraId="729D2D5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887" w:type="dxa"/>
            <w:tcBorders>
              <w:top w:val="none" w:sz="6" w:space="0" w:color="auto"/>
              <w:left w:val="none" w:sz="6" w:space="0" w:color="auto"/>
              <w:bottom w:val="none" w:sz="6" w:space="0" w:color="auto"/>
              <w:right w:val="none" w:sz="6" w:space="0" w:color="auto"/>
            </w:tcBorders>
          </w:tcPr>
          <w:p w14:paraId="12E296F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49500</w:t>
            </w:r>
          </w:p>
        </w:tc>
        <w:tc>
          <w:tcPr>
            <w:tcW w:w="887" w:type="dxa"/>
            <w:tcBorders>
              <w:top w:val="none" w:sz="6" w:space="0" w:color="auto"/>
              <w:left w:val="none" w:sz="6" w:space="0" w:color="auto"/>
              <w:bottom w:val="none" w:sz="6" w:space="0" w:color="auto"/>
              <w:right w:val="none" w:sz="6" w:space="0" w:color="auto"/>
            </w:tcBorders>
          </w:tcPr>
          <w:p w14:paraId="19C73CF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887" w:type="dxa"/>
            <w:tcBorders>
              <w:top w:val="none" w:sz="6" w:space="0" w:color="auto"/>
              <w:left w:val="none" w:sz="6" w:space="0" w:color="auto"/>
              <w:bottom w:val="none" w:sz="6" w:space="0" w:color="auto"/>
              <w:right w:val="none" w:sz="6" w:space="0" w:color="auto"/>
            </w:tcBorders>
          </w:tcPr>
          <w:p w14:paraId="0B7A3CB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26855</w:t>
            </w:r>
          </w:p>
        </w:tc>
        <w:tc>
          <w:tcPr>
            <w:tcW w:w="953" w:type="dxa"/>
            <w:tcBorders>
              <w:top w:val="none" w:sz="6" w:space="0" w:color="auto"/>
              <w:left w:val="none" w:sz="6" w:space="0" w:color="auto"/>
              <w:bottom w:val="none" w:sz="6" w:space="0" w:color="auto"/>
              <w:right w:val="none" w:sz="6" w:space="0" w:color="auto"/>
            </w:tcBorders>
          </w:tcPr>
          <w:p w14:paraId="6B77739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953" w:type="dxa"/>
            <w:tcBorders>
              <w:top w:val="none" w:sz="6" w:space="0" w:color="auto"/>
              <w:left w:val="none" w:sz="6" w:space="0" w:color="auto"/>
              <w:bottom w:val="none" w:sz="6" w:space="0" w:color="auto"/>
              <w:right w:val="none" w:sz="6" w:space="0" w:color="auto"/>
            </w:tcBorders>
          </w:tcPr>
          <w:p w14:paraId="609B775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24190</w:t>
            </w:r>
          </w:p>
        </w:tc>
      </w:tr>
    </w:tbl>
    <w:p w14:paraId="660C19B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Таким образом, из этой таблицы видно, что наряду с сокращением количества действующих договоров снижается и их стоимость: с 77330 тыс. руб. на 1.I.1931 г. до 26855 тыс. на 1.I.1933 г. и 24190 тыс. на 1.XII.1933 г.</w:t>
      </w:r>
    </w:p>
    <w:p w14:paraId="79446A1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своему внутреннему содержанию привлечение иностранного опыта может быть разбито на следующие 4 основных этапа: 1?й этап — проектирование отдельных предприятий, 2?й этап — строительство этих предприятий и организация производства, 3?й этап — интенсивное изучение методов производства и технологических процессов и, наконец, 4?й этап, переходящий на 2-ю пятилетку, — наладка и освоение новых производств на наших предприятиях.</w:t>
      </w:r>
    </w:p>
    <w:p w14:paraId="50A7971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Резкое снижение количества действующих договоров за последние 3 года объясняется следующими причинами:</w:t>
      </w:r>
    </w:p>
    <w:p w14:paraId="485BAB1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Ростом отечественной техники и созданием собственных квалифицированных кадров, что дало нам возможность не продлевать на дальнейшие сроки те договора, которые в течение отчетного периода заканчивали нормальные сроки своего действия.</w:t>
      </w:r>
    </w:p>
    <w:p w14:paraId="7FC050F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Тщательное практическое обследование в 1932 и 33 гг. на предприятиях состояния использования действовавших договоров установило необходимость досрочного расторжения значительного количества дорогостоящих в валюте договоров, заключенных до 1931 г. вследствие или малой их эффективности (Гумбольдт, Ман-Ридингер, Кебер, Саутвестерн, Келлен, Штраубэ, Пасбург и Блок и др.), или заведомо недобросовестного отношения к выполнению договоров со стороны самих фирм (Бьютаст, Фрейлих и Клюпфель, Карборундум, Дейтц, Гибс и др.).</w:t>
      </w:r>
    </w:p>
    <w:p w14:paraId="0FF0423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Ряд дорогостоящих договоров, также заключенных до 1931 г., срок действия коих заканчивался во 2?й пятилетке, подлежали досрочному расторжению в силу того, что сроки действия договоров не были в достаточной степени увязаны со сроками и планами строительства новых заводов и предприятий (Стюарт, Робертс и Шеффер, С.К.Ф., Аллен-Гарсиа и др.).</w:t>
      </w:r>
    </w:p>
    <w:p w14:paraId="0F283FE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Ряд договоров был досрочно прекращен также вследствие несоответствия фирм и невозможности выполнения ими нужного нам объема техсодействия (Макки, Нитрит, Когорн и т. д.). Ряд фирм оказались авантюристическими, что вызвало также досрочное расторжение договоров (Стик-Обур, Макдональд, Брандт, Рюккайзер и др.).</w:t>
      </w:r>
    </w:p>
    <w:p w14:paraId="1627215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 ряде случаев пришлось досрочно отказаться от дорогостоящих услуг инофирм вследствие невозможности целесообразно и своевременно использовать их технический опыт и данные ввиду ограниченности наших производственных возможностей (Дженераль-Электрик, Дейч-Верфь).</w:t>
      </w:r>
    </w:p>
    <w:p w14:paraId="7636931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Некоторые договора были досрочно расторгнуты вследствие их относительно быстрого полного освоения и наших собственных достижений, которые перекрывали опыт и возможности инофирм (Казале, Борзиг, Крупп-Грузонверк, Ирвинг, Фольмар, Любек, Эрхард-Земмер, Суари-де-Страсбург Тесафи).</w:t>
      </w:r>
    </w:p>
    <w:p w14:paraId="26B6CC8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Нижепомещаемая таблица дает сводку досрочно расторгнутых за отчетный период договоров, причем видно, что это расторжение дало нам возможность реально сэкономить (уменьшить наши валютные обязательства, которые мы должны были выполнить по договорам техпомощи) свыше 16000000 золотых рублей. Нужно также отметить, что эту работу, благодаря тщательной подготовке, удалось проделать без единого крупного процесса заграницей, во враждебных к нам, как правило, третейских судах.</w:t>
      </w:r>
    </w:p>
    <w:p w14:paraId="4DD2115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Проделанная работа по сокращению договоров техпомощи имела громадное значение также в том смысле, что прекратив связь с перечисленными фирмами, она заставила работников тяжелой промышленности самостоятельно и успешно изыскивать разрешение технических проблем и создавать свои конструкторские кадры, в особенности по новым производствам. Это имеет особое значение для тех отраслей промышленности, предприятия которых были построены в американских масштабах, а техсодействие и оборудование мы получили от европейских фирм, которые сами не имели опыта постройки и наладки производства в предприятиях такого масштаба.</w:t>
      </w:r>
    </w:p>
    <w:tbl>
      <w:tblPr>
        <w:tblW w:w="0" w:type="auto"/>
        <w:tblLayout w:type="fixed"/>
        <w:tblCellMar>
          <w:left w:w="0" w:type="dxa"/>
          <w:right w:w="0" w:type="dxa"/>
        </w:tblCellMar>
        <w:tblLook w:val="0000" w:firstRow="0" w:lastRow="0" w:firstColumn="0" w:lastColumn="0" w:noHBand="0" w:noVBand="0"/>
      </w:tblPr>
      <w:tblGrid>
        <w:gridCol w:w="1007"/>
        <w:gridCol w:w="1502"/>
        <w:gridCol w:w="1078"/>
        <w:gridCol w:w="1219"/>
        <w:gridCol w:w="989"/>
        <w:gridCol w:w="636"/>
        <w:gridCol w:w="636"/>
        <w:gridCol w:w="353"/>
      </w:tblGrid>
      <w:tr w:rsidR="004E10C1" w:rsidRPr="0044524F" w14:paraId="293B3D12" w14:textId="77777777" w:rsidTr="003628CD">
        <w:tc>
          <w:tcPr>
            <w:tcW w:w="1007" w:type="dxa"/>
            <w:tcBorders>
              <w:top w:val="single" w:sz="4" w:space="0" w:color="auto"/>
              <w:left w:val="single" w:sz="4" w:space="0" w:color="auto"/>
              <w:bottom w:val="single" w:sz="4" w:space="0" w:color="auto"/>
              <w:right w:val="single" w:sz="4" w:space="0" w:color="auto"/>
            </w:tcBorders>
          </w:tcPr>
          <w:p w14:paraId="0EF11C5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Организация</w:t>
            </w:r>
          </w:p>
        </w:tc>
        <w:tc>
          <w:tcPr>
            <w:tcW w:w="1502" w:type="dxa"/>
            <w:tcBorders>
              <w:top w:val="single" w:sz="4" w:space="0" w:color="auto"/>
              <w:left w:val="single" w:sz="4" w:space="0" w:color="auto"/>
              <w:bottom w:val="single" w:sz="4" w:space="0" w:color="auto"/>
              <w:right w:val="single" w:sz="4" w:space="0" w:color="auto"/>
            </w:tcBorders>
          </w:tcPr>
          <w:p w14:paraId="52D808B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Фирма</w:t>
            </w:r>
          </w:p>
        </w:tc>
        <w:tc>
          <w:tcPr>
            <w:tcW w:w="1078" w:type="dxa"/>
            <w:tcBorders>
              <w:top w:val="single" w:sz="4" w:space="0" w:color="auto"/>
              <w:left w:val="single" w:sz="4" w:space="0" w:color="auto"/>
              <w:bottom w:val="single" w:sz="4" w:space="0" w:color="auto"/>
              <w:right w:val="single" w:sz="4" w:space="0" w:color="auto"/>
            </w:tcBorders>
          </w:tcPr>
          <w:p w14:paraId="44D45F8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Когда заключен</w:t>
            </w:r>
          </w:p>
        </w:tc>
        <w:tc>
          <w:tcPr>
            <w:tcW w:w="1219" w:type="dxa"/>
            <w:tcBorders>
              <w:top w:val="single" w:sz="4" w:space="0" w:color="auto"/>
              <w:left w:val="single" w:sz="4" w:space="0" w:color="auto"/>
              <w:bottom w:val="single" w:sz="4" w:space="0" w:color="auto"/>
              <w:right w:val="single" w:sz="4" w:space="0" w:color="auto"/>
            </w:tcBorders>
          </w:tcPr>
          <w:p w14:paraId="2260A2B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Когда расторгнут</w:t>
            </w:r>
          </w:p>
        </w:tc>
        <w:tc>
          <w:tcPr>
            <w:tcW w:w="989" w:type="dxa"/>
            <w:gridSpan w:val="4"/>
            <w:tcBorders>
              <w:top w:val="single" w:sz="4" w:space="0" w:color="auto"/>
              <w:left w:val="single" w:sz="4" w:space="0" w:color="auto"/>
              <w:bottom w:val="single" w:sz="4" w:space="0" w:color="auto"/>
              <w:right w:val="single" w:sz="4" w:space="0" w:color="auto"/>
            </w:tcBorders>
          </w:tcPr>
          <w:p w14:paraId="704F31E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Экономия в тыс. руб.</w:t>
            </w:r>
          </w:p>
        </w:tc>
      </w:tr>
      <w:tr w:rsidR="004E10C1" w:rsidRPr="0044524F" w14:paraId="6BF7DC94" w14:textId="77777777" w:rsidTr="003628CD">
        <w:tc>
          <w:tcPr>
            <w:tcW w:w="1007" w:type="dxa"/>
            <w:tcBorders>
              <w:top w:val="single" w:sz="4" w:space="0" w:color="auto"/>
              <w:left w:val="single" w:sz="4" w:space="0" w:color="auto"/>
              <w:bottom w:val="single" w:sz="4" w:space="0" w:color="auto"/>
              <w:right w:val="single" w:sz="4" w:space="0" w:color="auto"/>
            </w:tcBorders>
          </w:tcPr>
          <w:p w14:paraId="60A2ABA3"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1502" w:type="dxa"/>
            <w:tcBorders>
              <w:top w:val="single" w:sz="4" w:space="0" w:color="auto"/>
              <w:left w:val="single" w:sz="4" w:space="0" w:color="auto"/>
              <w:bottom w:val="single" w:sz="4" w:space="0" w:color="auto"/>
              <w:right w:val="single" w:sz="4" w:space="0" w:color="auto"/>
            </w:tcBorders>
          </w:tcPr>
          <w:p w14:paraId="5B9F6CB9"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1078" w:type="dxa"/>
            <w:tcBorders>
              <w:top w:val="single" w:sz="4" w:space="0" w:color="auto"/>
              <w:left w:val="single" w:sz="4" w:space="0" w:color="auto"/>
              <w:bottom w:val="single" w:sz="4" w:space="0" w:color="auto"/>
              <w:right w:val="single" w:sz="4" w:space="0" w:color="auto"/>
            </w:tcBorders>
          </w:tcPr>
          <w:p w14:paraId="0E1ACD40"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1219" w:type="dxa"/>
            <w:tcBorders>
              <w:top w:val="single" w:sz="4" w:space="0" w:color="auto"/>
              <w:left w:val="single" w:sz="4" w:space="0" w:color="auto"/>
              <w:bottom w:val="single" w:sz="4" w:space="0" w:color="auto"/>
              <w:right w:val="single" w:sz="4" w:space="0" w:color="auto"/>
            </w:tcBorders>
          </w:tcPr>
          <w:p w14:paraId="3540D423"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989" w:type="dxa"/>
            <w:tcBorders>
              <w:top w:val="single" w:sz="4" w:space="0" w:color="auto"/>
              <w:left w:val="single" w:sz="4" w:space="0" w:color="auto"/>
              <w:bottom w:val="single" w:sz="4" w:space="0" w:color="auto"/>
              <w:right w:val="single" w:sz="4" w:space="0" w:color="auto"/>
            </w:tcBorders>
          </w:tcPr>
          <w:p w14:paraId="13170BE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1.I.1932 г.</w:t>
            </w:r>
          </w:p>
        </w:tc>
        <w:tc>
          <w:tcPr>
            <w:tcW w:w="636" w:type="dxa"/>
            <w:tcBorders>
              <w:top w:val="single" w:sz="4" w:space="0" w:color="auto"/>
              <w:left w:val="single" w:sz="4" w:space="0" w:color="auto"/>
              <w:bottom w:val="single" w:sz="4" w:space="0" w:color="auto"/>
              <w:right w:val="single" w:sz="4" w:space="0" w:color="auto"/>
            </w:tcBorders>
          </w:tcPr>
          <w:p w14:paraId="763121F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w:t>
            </w:r>
          </w:p>
        </w:tc>
        <w:tc>
          <w:tcPr>
            <w:tcW w:w="636" w:type="dxa"/>
            <w:tcBorders>
              <w:top w:val="single" w:sz="4" w:space="0" w:color="auto"/>
              <w:left w:val="single" w:sz="4" w:space="0" w:color="auto"/>
              <w:bottom w:val="single" w:sz="4" w:space="0" w:color="auto"/>
              <w:right w:val="single" w:sz="4" w:space="0" w:color="auto"/>
            </w:tcBorders>
          </w:tcPr>
          <w:p w14:paraId="55F0FAA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w:t>
            </w:r>
          </w:p>
        </w:tc>
        <w:tc>
          <w:tcPr>
            <w:tcW w:w="353" w:type="dxa"/>
            <w:tcBorders>
              <w:top w:val="single" w:sz="4" w:space="0" w:color="auto"/>
              <w:left w:val="single" w:sz="4" w:space="0" w:color="auto"/>
              <w:bottom w:val="single" w:sz="4" w:space="0" w:color="auto"/>
              <w:right w:val="single" w:sz="4" w:space="0" w:color="auto"/>
            </w:tcBorders>
          </w:tcPr>
          <w:p w14:paraId="18CC2D7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r>
      <w:tr w:rsidR="004E10C1" w:rsidRPr="0044524F" w14:paraId="0975663F" w14:textId="77777777" w:rsidTr="003628CD">
        <w:tc>
          <w:tcPr>
            <w:tcW w:w="1007" w:type="dxa"/>
            <w:tcBorders>
              <w:top w:val="single" w:sz="4" w:space="0" w:color="auto"/>
              <w:left w:val="single" w:sz="4" w:space="0" w:color="auto"/>
              <w:bottom w:val="single" w:sz="4" w:space="0" w:color="auto"/>
              <w:right w:val="single" w:sz="4" w:space="0" w:color="auto"/>
            </w:tcBorders>
          </w:tcPr>
          <w:p w14:paraId="1ED6112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502" w:type="dxa"/>
            <w:tcBorders>
              <w:top w:val="single" w:sz="4" w:space="0" w:color="auto"/>
              <w:left w:val="single" w:sz="4" w:space="0" w:color="auto"/>
              <w:bottom w:val="single" w:sz="4" w:space="0" w:color="auto"/>
              <w:right w:val="single" w:sz="4" w:space="0" w:color="auto"/>
            </w:tcBorders>
          </w:tcPr>
          <w:p w14:paraId="155BE01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078" w:type="dxa"/>
            <w:tcBorders>
              <w:top w:val="single" w:sz="4" w:space="0" w:color="auto"/>
              <w:left w:val="single" w:sz="4" w:space="0" w:color="auto"/>
              <w:bottom w:val="single" w:sz="4" w:space="0" w:color="auto"/>
              <w:right w:val="single" w:sz="4" w:space="0" w:color="auto"/>
            </w:tcBorders>
          </w:tcPr>
          <w:p w14:paraId="00B1195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219" w:type="dxa"/>
            <w:tcBorders>
              <w:top w:val="single" w:sz="4" w:space="0" w:color="auto"/>
              <w:left w:val="single" w:sz="4" w:space="0" w:color="auto"/>
              <w:bottom w:val="single" w:sz="4" w:space="0" w:color="auto"/>
              <w:right w:val="single" w:sz="4" w:space="0" w:color="auto"/>
            </w:tcBorders>
          </w:tcPr>
          <w:p w14:paraId="2526EF6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989" w:type="dxa"/>
            <w:tcBorders>
              <w:top w:val="single" w:sz="4" w:space="0" w:color="auto"/>
              <w:left w:val="single" w:sz="4" w:space="0" w:color="auto"/>
              <w:bottom w:val="single" w:sz="4" w:space="0" w:color="auto"/>
              <w:right w:val="single" w:sz="4" w:space="0" w:color="auto"/>
            </w:tcBorders>
          </w:tcPr>
          <w:p w14:paraId="61BB54D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636" w:type="dxa"/>
            <w:tcBorders>
              <w:top w:val="single" w:sz="4" w:space="0" w:color="auto"/>
              <w:left w:val="single" w:sz="4" w:space="0" w:color="auto"/>
              <w:bottom w:val="single" w:sz="4" w:space="0" w:color="auto"/>
              <w:right w:val="single" w:sz="4" w:space="0" w:color="auto"/>
            </w:tcBorders>
          </w:tcPr>
          <w:p w14:paraId="6AB22B8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636" w:type="dxa"/>
            <w:tcBorders>
              <w:top w:val="single" w:sz="4" w:space="0" w:color="auto"/>
              <w:left w:val="single" w:sz="4" w:space="0" w:color="auto"/>
              <w:bottom w:val="single" w:sz="4" w:space="0" w:color="auto"/>
              <w:right w:val="single" w:sz="4" w:space="0" w:color="auto"/>
            </w:tcBorders>
          </w:tcPr>
          <w:p w14:paraId="503BFE5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353" w:type="dxa"/>
            <w:tcBorders>
              <w:top w:val="single" w:sz="4" w:space="0" w:color="auto"/>
              <w:left w:val="single" w:sz="4" w:space="0" w:color="auto"/>
              <w:bottom w:val="single" w:sz="4" w:space="0" w:color="auto"/>
              <w:right w:val="single" w:sz="4" w:space="0" w:color="auto"/>
            </w:tcBorders>
          </w:tcPr>
          <w:p w14:paraId="2898D02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r>
      <w:tr w:rsidR="004E10C1" w:rsidRPr="0044524F" w14:paraId="4764F4A9" w14:textId="77777777" w:rsidTr="003628CD">
        <w:tc>
          <w:tcPr>
            <w:tcW w:w="1007" w:type="dxa"/>
            <w:tcBorders>
              <w:top w:val="single" w:sz="4" w:space="0" w:color="auto"/>
              <w:left w:val="single" w:sz="4" w:space="0" w:color="auto"/>
              <w:bottom w:val="single" w:sz="4" w:space="0" w:color="auto"/>
              <w:right w:val="single" w:sz="4" w:space="0" w:color="auto"/>
            </w:tcBorders>
          </w:tcPr>
          <w:p w14:paraId="77E033B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6F2CA92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Гумбольд</w:t>
            </w:r>
          </w:p>
        </w:tc>
        <w:tc>
          <w:tcPr>
            <w:tcW w:w="1078" w:type="dxa"/>
            <w:tcBorders>
              <w:top w:val="single" w:sz="4" w:space="0" w:color="auto"/>
              <w:left w:val="single" w:sz="4" w:space="0" w:color="auto"/>
              <w:bottom w:val="single" w:sz="4" w:space="0" w:color="auto"/>
              <w:right w:val="single" w:sz="4" w:space="0" w:color="auto"/>
            </w:tcBorders>
          </w:tcPr>
          <w:p w14:paraId="1F6132E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6EEB832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C12DC2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A93FF7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w:t>
            </w:r>
          </w:p>
        </w:tc>
        <w:tc>
          <w:tcPr>
            <w:tcW w:w="636" w:type="dxa"/>
            <w:tcBorders>
              <w:top w:val="single" w:sz="4" w:space="0" w:color="auto"/>
              <w:left w:val="single" w:sz="4" w:space="0" w:color="auto"/>
              <w:bottom w:val="single" w:sz="4" w:space="0" w:color="auto"/>
              <w:right w:val="single" w:sz="4" w:space="0" w:color="auto"/>
            </w:tcBorders>
          </w:tcPr>
          <w:p w14:paraId="7ABC160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CA6D5C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w:t>
            </w:r>
          </w:p>
        </w:tc>
      </w:tr>
      <w:tr w:rsidR="004E10C1" w:rsidRPr="0044524F" w14:paraId="40CAC30A" w14:textId="77777777" w:rsidTr="003628CD">
        <w:tc>
          <w:tcPr>
            <w:tcW w:w="1007" w:type="dxa"/>
            <w:tcBorders>
              <w:top w:val="single" w:sz="4" w:space="0" w:color="auto"/>
              <w:left w:val="single" w:sz="4" w:space="0" w:color="auto"/>
              <w:bottom w:val="single" w:sz="4" w:space="0" w:color="auto"/>
              <w:right w:val="single" w:sz="4" w:space="0" w:color="auto"/>
            </w:tcBorders>
          </w:tcPr>
          <w:p w14:paraId="070AD36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ВАТО</w:t>
            </w:r>
          </w:p>
        </w:tc>
        <w:tc>
          <w:tcPr>
            <w:tcW w:w="1502" w:type="dxa"/>
            <w:tcBorders>
              <w:top w:val="single" w:sz="4" w:space="0" w:color="auto"/>
              <w:left w:val="single" w:sz="4" w:space="0" w:color="auto"/>
              <w:bottom w:val="single" w:sz="4" w:space="0" w:color="auto"/>
              <w:right w:val="single" w:sz="4" w:space="0" w:color="auto"/>
            </w:tcBorders>
          </w:tcPr>
          <w:p w14:paraId="455D18B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С.К.Ф.</w:t>
            </w:r>
          </w:p>
        </w:tc>
        <w:tc>
          <w:tcPr>
            <w:tcW w:w="1078" w:type="dxa"/>
            <w:tcBorders>
              <w:top w:val="single" w:sz="4" w:space="0" w:color="auto"/>
              <w:left w:val="single" w:sz="4" w:space="0" w:color="auto"/>
              <w:bottom w:val="single" w:sz="4" w:space="0" w:color="auto"/>
              <w:right w:val="single" w:sz="4" w:space="0" w:color="auto"/>
            </w:tcBorders>
          </w:tcPr>
          <w:p w14:paraId="1F8A1FD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10F347A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6010AA6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A654DD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w:t>
            </w:r>
          </w:p>
        </w:tc>
        <w:tc>
          <w:tcPr>
            <w:tcW w:w="636" w:type="dxa"/>
            <w:tcBorders>
              <w:top w:val="single" w:sz="4" w:space="0" w:color="auto"/>
              <w:left w:val="single" w:sz="4" w:space="0" w:color="auto"/>
              <w:bottom w:val="single" w:sz="4" w:space="0" w:color="auto"/>
              <w:right w:val="single" w:sz="4" w:space="0" w:color="auto"/>
            </w:tcBorders>
          </w:tcPr>
          <w:p w14:paraId="1B67FB9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F2B723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540</w:t>
            </w:r>
          </w:p>
        </w:tc>
      </w:tr>
      <w:tr w:rsidR="004E10C1" w:rsidRPr="0044524F" w14:paraId="5AE8AE19" w14:textId="77777777" w:rsidTr="003628CD">
        <w:tc>
          <w:tcPr>
            <w:tcW w:w="1007" w:type="dxa"/>
            <w:tcBorders>
              <w:top w:val="single" w:sz="4" w:space="0" w:color="auto"/>
              <w:left w:val="single" w:sz="4" w:space="0" w:color="auto"/>
              <w:bottom w:val="single" w:sz="4" w:space="0" w:color="auto"/>
              <w:right w:val="single" w:sz="4" w:space="0" w:color="auto"/>
            </w:tcBorders>
          </w:tcPr>
          <w:p w14:paraId="3DA91CB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1BBE85C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Фрейлих</w:t>
            </w:r>
          </w:p>
        </w:tc>
        <w:tc>
          <w:tcPr>
            <w:tcW w:w="1078" w:type="dxa"/>
            <w:tcBorders>
              <w:top w:val="single" w:sz="4" w:space="0" w:color="auto"/>
              <w:left w:val="single" w:sz="4" w:space="0" w:color="auto"/>
              <w:bottom w:val="single" w:sz="4" w:space="0" w:color="auto"/>
              <w:right w:val="single" w:sz="4" w:space="0" w:color="auto"/>
            </w:tcBorders>
          </w:tcPr>
          <w:p w14:paraId="771EBDB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7162006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57B7771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636" w:type="dxa"/>
            <w:tcBorders>
              <w:top w:val="single" w:sz="4" w:space="0" w:color="auto"/>
              <w:left w:val="single" w:sz="4" w:space="0" w:color="auto"/>
              <w:bottom w:val="single" w:sz="4" w:space="0" w:color="auto"/>
              <w:right w:val="single" w:sz="4" w:space="0" w:color="auto"/>
            </w:tcBorders>
          </w:tcPr>
          <w:p w14:paraId="345FB1C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634CB2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4262948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r>
      <w:tr w:rsidR="004E10C1" w:rsidRPr="0044524F" w14:paraId="27DD6784" w14:textId="77777777" w:rsidTr="003628CD">
        <w:tc>
          <w:tcPr>
            <w:tcW w:w="1007" w:type="dxa"/>
            <w:tcBorders>
              <w:top w:val="single" w:sz="4" w:space="0" w:color="auto"/>
              <w:left w:val="single" w:sz="4" w:space="0" w:color="auto"/>
              <w:bottom w:val="single" w:sz="4" w:space="0" w:color="auto"/>
              <w:right w:val="single" w:sz="4" w:space="0" w:color="auto"/>
            </w:tcBorders>
          </w:tcPr>
          <w:p w14:paraId="2B6BD19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Цветметзол</w:t>
            </w:r>
          </w:p>
        </w:tc>
        <w:tc>
          <w:tcPr>
            <w:tcW w:w="1502" w:type="dxa"/>
            <w:tcBorders>
              <w:top w:val="single" w:sz="4" w:space="0" w:color="auto"/>
              <w:left w:val="single" w:sz="4" w:space="0" w:color="auto"/>
              <w:bottom w:val="single" w:sz="4" w:space="0" w:color="auto"/>
              <w:right w:val="single" w:sz="4" w:space="0" w:color="auto"/>
            </w:tcBorders>
          </w:tcPr>
          <w:p w14:paraId="625580C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Саутвестерн</w:t>
            </w:r>
          </w:p>
        </w:tc>
        <w:tc>
          <w:tcPr>
            <w:tcW w:w="1078" w:type="dxa"/>
            <w:tcBorders>
              <w:top w:val="single" w:sz="4" w:space="0" w:color="auto"/>
              <w:left w:val="single" w:sz="4" w:space="0" w:color="auto"/>
              <w:bottom w:val="single" w:sz="4" w:space="0" w:color="auto"/>
              <w:right w:val="single" w:sz="4" w:space="0" w:color="auto"/>
            </w:tcBorders>
          </w:tcPr>
          <w:p w14:paraId="0539243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7C2FED8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5B77AA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AE93E3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636" w:type="dxa"/>
            <w:tcBorders>
              <w:top w:val="single" w:sz="4" w:space="0" w:color="auto"/>
              <w:left w:val="single" w:sz="4" w:space="0" w:color="auto"/>
              <w:bottom w:val="single" w:sz="4" w:space="0" w:color="auto"/>
              <w:right w:val="single" w:sz="4" w:space="0" w:color="auto"/>
            </w:tcBorders>
          </w:tcPr>
          <w:p w14:paraId="6103E2B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D1DB60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r w:rsidR="004E10C1" w:rsidRPr="0044524F" w14:paraId="269925B3" w14:textId="77777777" w:rsidTr="003628CD">
        <w:tc>
          <w:tcPr>
            <w:tcW w:w="1007" w:type="dxa"/>
            <w:tcBorders>
              <w:top w:val="single" w:sz="4" w:space="0" w:color="auto"/>
              <w:left w:val="single" w:sz="4" w:space="0" w:color="auto"/>
              <w:bottom w:val="single" w:sz="4" w:space="0" w:color="auto"/>
              <w:right w:val="single" w:sz="4" w:space="0" w:color="auto"/>
            </w:tcBorders>
          </w:tcPr>
          <w:p w14:paraId="73D8EA5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ВЭСО</w:t>
            </w:r>
          </w:p>
        </w:tc>
        <w:tc>
          <w:tcPr>
            <w:tcW w:w="1502" w:type="dxa"/>
            <w:tcBorders>
              <w:top w:val="single" w:sz="4" w:space="0" w:color="auto"/>
              <w:left w:val="single" w:sz="4" w:space="0" w:color="auto"/>
              <w:bottom w:val="single" w:sz="4" w:space="0" w:color="auto"/>
              <w:right w:val="single" w:sz="4" w:space="0" w:color="auto"/>
            </w:tcBorders>
          </w:tcPr>
          <w:p w14:paraId="63A254E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Телефункен</w:t>
            </w:r>
          </w:p>
        </w:tc>
        <w:tc>
          <w:tcPr>
            <w:tcW w:w="1078" w:type="dxa"/>
            <w:tcBorders>
              <w:top w:val="single" w:sz="4" w:space="0" w:color="auto"/>
              <w:left w:val="single" w:sz="4" w:space="0" w:color="auto"/>
              <w:bottom w:val="single" w:sz="4" w:space="0" w:color="auto"/>
              <w:right w:val="single" w:sz="4" w:space="0" w:color="auto"/>
            </w:tcBorders>
          </w:tcPr>
          <w:p w14:paraId="65A031B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4D9FB60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0317437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636" w:type="dxa"/>
            <w:tcBorders>
              <w:top w:val="single" w:sz="4" w:space="0" w:color="auto"/>
              <w:left w:val="single" w:sz="4" w:space="0" w:color="auto"/>
              <w:bottom w:val="single" w:sz="4" w:space="0" w:color="auto"/>
              <w:right w:val="single" w:sz="4" w:space="0" w:color="auto"/>
            </w:tcBorders>
          </w:tcPr>
          <w:p w14:paraId="2E84486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3D99FC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ED2C33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07E991B2" w14:textId="77777777" w:rsidTr="003628CD">
        <w:tc>
          <w:tcPr>
            <w:tcW w:w="1007" w:type="dxa"/>
            <w:tcBorders>
              <w:top w:val="single" w:sz="4" w:space="0" w:color="auto"/>
              <w:left w:val="single" w:sz="4" w:space="0" w:color="auto"/>
              <w:bottom w:val="single" w:sz="4" w:space="0" w:color="auto"/>
              <w:right w:val="single" w:sz="4" w:space="0" w:color="auto"/>
            </w:tcBorders>
          </w:tcPr>
          <w:p w14:paraId="5C48076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Локомотив</w:t>
            </w:r>
          </w:p>
        </w:tc>
        <w:tc>
          <w:tcPr>
            <w:tcW w:w="1502" w:type="dxa"/>
            <w:tcBorders>
              <w:top w:val="single" w:sz="4" w:space="0" w:color="auto"/>
              <w:left w:val="single" w:sz="4" w:space="0" w:color="auto"/>
              <w:bottom w:val="single" w:sz="4" w:space="0" w:color="auto"/>
              <w:right w:val="single" w:sz="4" w:space="0" w:color="auto"/>
            </w:tcBorders>
          </w:tcPr>
          <w:p w14:paraId="5250461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ДАЦ</w:t>
            </w:r>
          </w:p>
        </w:tc>
        <w:tc>
          <w:tcPr>
            <w:tcW w:w="1078" w:type="dxa"/>
            <w:tcBorders>
              <w:top w:val="single" w:sz="4" w:space="0" w:color="auto"/>
              <w:left w:val="single" w:sz="4" w:space="0" w:color="auto"/>
              <w:bottom w:val="single" w:sz="4" w:space="0" w:color="auto"/>
              <w:right w:val="single" w:sz="4" w:space="0" w:color="auto"/>
            </w:tcBorders>
          </w:tcPr>
          <w:p w14:paraId="6C9ECEF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2377441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317CA03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151C3B9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w:t>
            </w:r>
          </w:p>
        </w:tc>
        <w:tc>
          <w:tcPr>
            <w:tcW w:w="636" w:type="dxa"/>
            <w:tcBorders>
              <w:top w:val="single" w:sz="4" w:space="0" w:color="auto"/>
              <w:left w:val="single" w:sz="4" w:space="0" w:color="auto"/>
              <w:bottom w:val="single" w:sz="4" w:space="0" w:color="auto"/>
              <w:right w:val="single" w:sz="4" w:space="0" w:color="auto"/>
            </w:tcBorders>
          </w:tcPr>
          <w:p w14:paraId="7727249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3B37DB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w:t>
            </w:r>
          </w:p>
        </w:tc>
      </w:tr>
      <w:tr w:rsidR="004E10C1" w:rsidRPr="0044524F" w14:paraId="252A4558" w14:textId="77777777" w:rsidTr="003628CD">
        <w:tc>
          <w:tcPr>
            <w:tcW w:w="1007" w:type="dxa"/>
            <w:tcBorders>
              <w:top w:val="single" w:sz="4" w:space="0" w:color="auto"/>
              <w:left w:val="single" w:sz="4" w:space="0" w:color="auto"/>
              <w:bottom w:val="single" w:sz="4" w:space="0" w:color="auto"/>
              <w:right w:val="single" w:sz="4" w:space="0" w:color="auto"/>
            </w:tcBorders>
          </w:tcPr>
          <w:p w14:paraId="26871B7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2834F70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Аллен-Гарсиа</w:t>
            </w:r>
          </w:p>
        </w:tc>
        <w:tc>
          <w:tcPr>
            <w:tcW w:w="1078" w:type="dxa"/>
            <w:tcBorders>
              <w:top w:val="single" w:sz="4" w:space="0" w:color="auto"/>
              <w:left w:val="single" w:sz="4" w:space="0" w:color="auto"/>
              <w:bottom w:val="single" w:sz="4" w:space="0" w:color="auto"/>
              <w:right w:val="single" w:sz="4" w:space="0" w:color="auto"/>
            </w:tcBorders>
          </w:tcPr>
          <w:p w14:paraId="12F6734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13B0740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7360349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535</w:t>
            </w:r>
          </w:p>
        </w:tc>
        <w:tc>
          <w:tcPr>
            <w:tcW w:w="636" w:type="dxa"/>
            <w:tcBorders>
              <w:top w:val="single" w:sz="4" w:space="0" w:color="auto"/>
              <w:left w:val="single" w:sz="4" w:space="0" w:color="auto"/>
              <w:bottom w:val="single" w:sz="4" w:space="0" w:color="auto"/>
              <w:right w:val="single" w:sz="4" w:space="0" w:color="auto"/>
            </w:tcBorders>
          </w:tcPr>
          <w:p w14:paraId="4CCD7A7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01DFEE5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06C7418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535</w:t>
            </w:r>
          </w:p>
        </w:tc>
      </w:tr>
      <w:tr w:rsidR="004E10C1" w:rsidRPr="0044524F" w14:paraId="6A4A9489" w14:textId="77777777" w:rsidTr="003628CD">
        <w:tc>
          <w:tcPr>
            <w:tcW w:w="1007" w:type="dxa"/>
            <w:tcBorders>
              <w:top w:val="single" w:sz="4" w:space="0" w:color="auto"/>
              <w:left w:val="single" w:sz="4" w:space="0" w:color="auto"/>
              <w:bottom w:val="single" w:sz="4" w:space="0" w:color="auto"/>
              <w:right w:val="single" w:sz="4" w:space="0" w:color="auto"/>
            </w:tcBorders>
          </w:tcPr>
          <w:p w14:paraId="61B3154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2E43367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Стюарт (Зд.)</w:t>
            </w:r>
          </w:p>
        </w:tc>
        <w:tc>
          <w:tcPr>
            <w:tcW w:w="1078" w:type="dxa"/>
            <w:tcBorders>
              <w:top w:val="single" w:sz="4" w:space="0" w:color="auto"/>
              <w:left w:val="single" w:sz="4" w:space="0" w:color="auto"/>
              <w:bottom w:val="single" w:sz="4" w:space="0" w:color="auto"/>
              <w:right w:val="single" w:sz="4" w:space="0" w:color="auto"/>
            </w:tcBorders>
          </w:tcPr>
          <w:p w14:paraId="638D5F4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1219" w:type="dxa"/>
            <w:tcBorders>
              <w:top w:val="single" w:sz="4" w:space="0" w:color="auto"/>
              <w:left w:val="single" w:sz="4" w:space="0" w:color="auto"/>
              <w:bottom w:val="single" w:sz="4" w:space="0" w:color="auto"/>
              <w:right w:val="single" w:sz="4" w:space="0" w:color="auto"/>
            </w:tcBorders>
          </w:tcPr>
          <w:p w14:paraId="418CFDC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8F0DD7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B6BEE3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c>
          <w:tcPr>
            <w:tcW w:w="636" w:type="dxa"/>
            <w:tcBorders>
              <w:top w:val="single" w:sz="4" w:space="0" w:color="auto"/>
              <w:left w:val="single" w:sz="4" w:space="0" w:color="auto"/>
              <w:bottom w:val="single" w:sz="4" w:space="0" w:color="auto"/>
              <w:right w:val="single" w:sz="4" w:space="0" w:color="auto"/>
            </w:tcBorders>
          </w:tcPr>
          <w:p w14:paraId="669EE70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91308E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r>
      <w:tr w:rsidR="004E10C1" w:rsidRPr="0044524F" w14:paraId="5F6EAD80" w14:textId="77777777" w:rsidTr="003628CD">
        <w:tc>
          <w:tcPr>
            <w:tcW w:w="1007" w:type="dxa"/>
            <w:tcBorders>
              <w:top w:val="single" w:sz="4" w:space="0" w:color="auto"/>
              <w:left w:val="single" w:sz="4" w:space="0" w:color="auto"/>
              <w:bottom w:val="single" w:sz="4" w:space="0" w:color="auto"/>
              <w:right w:val="single" w:sz="4" w:space="0" w:color="auto"/>
            </w:tcBorders>
          </w:tcPr>
          <w:p w14:paraId="4A31323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ВЭО</w:t>
            </w:r>
          </w:p>
        </w:tc>
        <w:tc>
          <w:tcPr>
            <w:tcW w:w="1502" w:type="dxa"/>
            <w:tcBorders>
              <w:top w:val="single" w:sz="4" w:space="0" w:color="auto"/>
              <w:left w:val="single" w:sz="4" w:space="0" w:color="auto"/>
              <w:bottom w:val="single" w:sz="4" w:space="0" w:color="auto"/>
              <w:right w:val="single" w:sz="4" w:space="0" w:color="auto"/>
            </w:tcBorders>
          </w:tcPr>
          <w:p w14:paraId="5C5F8D9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Дженераль-Эл[ектрик]</w:t>
            </w:r>
          </w:p>
        </w:tc>
        <w:tc>
          <w:tcPr>
            <w:tcW w:w="1078" w:type="dxa"/>
            <w:tcBorders>
              <w:top w:val="single" w:sz="4" w:space="0" w:color="auto"/>
              <w:left w:val="single" w:sz="4" w:space="0" w:color="auto"/>
              <w:bottom w:val="single" w:sz="4" w:space="0" w:color="auto"/>
              <w:right w:val="single" w:sz="4" w:space="0" w:color="auto"/>
            </w:tcBorders>
          </w:tcPr>
          <w:p w14:paraId="58C8BDF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282D79B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73A31D0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39E3EB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8400</w:t>
            </w:r>
          </w:p>
        </w:tc>
        <w:tc>
          <w:tcPr>
            <w:tcW w:w="636" w:type="dxa"/>
            <w:tcBorders>
              <w:top w:val="single" w:sz="4" w:space="0" w:color="auto"/>
              <w:left w:val="single" w:sz="4" w:space="0" w:color="auto"/>
              <w:bottom w:val="single" w:sz="4" w:space="0" w:color="auto"/>
              <w:right w:val="single" w:sz="4" w:space="0" w:color="auto"/>
            </w:tcBorders>
          </w:tcPr>
          <w:p w14:paraId="78D88E9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6E2A20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8400</w:t>
            </w:r>
          </w:p>
        </w:tc>
      </w:tr>
      <w:tr w:rsidR="004E10C1" w:rsidRPr="0044524F" w14:paraId="711ADEB6" w14:textId="77777777" w:rsidTr="003628CD">
        <w:tc>
          <w:tcPr>
            <w:tcW w:w="1007" w:type="dxa"/>
            <w:tcBorders>
              <w:top w:val="single" w:sz="4" w:space="0" w:color="auto"/>
              <w:left w:val="single" w:sz="4" w:space="0" w:color="auto"/>
              <w:bottom w:val="single" w:sz="4" w:space="0" w:color="auto"/>
              <w:right w:val="single" w:sz="4" w:space="0" w:color="auto"/>
            </w:tcBorders>
          </w:tcPr>
          <w:p w14:paraId="3402E1D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Стромстрой</w:t>
            </w:r>
          </w:p>
        </w:tc>
        <w:tc>
          <w:tcPr>
            <w:tcW w:w="1502" w:type="dxa"/>
            <w:tcBorders>
              <w:top w:val="single" w:sz="4" w:space="0" w:color="auto"/>
              <w:left w:val="single" w:sz="4" w:space="0" w:color="auto"/>
              <w:bottom w:val="single" w:sz="4" w:space="0" w:color="auto"/>
              <w:right w:val="single" w:sz="4" w:space="0" w:color="auto"/>
            </w:tcBorders>
          </w:tcPr>
          <w:p w14:paraId="6D9FB75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Макдональд</w:t>
            </w:r>
          </w:p>
        </w:tc>
        <w:tc>
          <w:tcPr>
            <w:tcW w:w="1078" w:type="dxa"/>
            <w:tcBorders>
              <w:top w:val="single" w:sz="4" w:space="0" w:color="auto"/>
              <w:left w:val="single" w:sz="4" w:space="0" w:color="auto"/>
              <w:bottom w:val="single" w:sz="4" w:space="0" w:color="auto"/>
              <w:right w:val="single" w:sz="4" w:space="0" w:color="auto"/>
            </w:tcBorders>
          </w:tcPr>
          <w:p w14:paraId="234A9A6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0012CBB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6C1E2B4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c>
          <w:tcPr>
            <w:tcW w:w="636" w:type="dxa"/>
            <w:tcBorders>
              <w:top w:val="single" w:sz="4" w:space="0" w:color="auto"/>
              <w:left w:val="single" w:sz="4" w:space="0" w:color="auto"/>
              <w:bottom w:val="single" w:sz="4" w:space="0" w:color="auto"/>
              <w:right w:val="single" w:sz="4" w:space="0" w:color="auto"/>
            </w:tcBorders>
          </w:tcPr>
          <w:p w14:paraId="5C704AE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AF6088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BB2455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r>
      <w:tr w:rsidR="004E10C1" w:rsidRPr="0044524F" w14:paraId="711A285C" w14:textId="77777777" w:rsidTr="003628CD">
        <w:tc>
          <w:tcPr>
            <w:tcW w:w="1007" w:type="dxa"/>
            <w:tcBorders>
              <w:top w:val="single" w:sz="4" w:space="0" w:color="auto"/>
              <w:left w:val="single" w:sz="4" w:space="0" w:color="auto"/>
              <w:bottom w:val="single" w:sz="4" w:space="0" w:color="auto"/>
              <w:right w:val="single" w:sz="4" w:space="0" w:color="auto"/>
            </w:tcBorders>
          </w:tcPr>
          <w:p w14:paraId="2EDEF09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ВАТО</w:t>
            </w:r>
          </w:p>
        </w:tc>
        <w:tc>
          <w:tcPr>
            <w:tcW w:w="1502" w:type="dxa"/>
            <w:tcBorders>
              <w:top w:val="single" w:sz="4" w:space="0" w:color="auto"/>
              <w:left w:val="single" w:sz="4" w:space="0" w:color="auto"/>
              <w:bottom w:val="single" w:sz="4" w:space="0" w:color="auto"/>
              <w:right w:val="single" w:sz="4" w:space="0" w:color="auto"/>
            </w:tcBorders>
          </w:tcPr>
          <w:p w14:paraId="39C0B01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Брандт</w:t>
            </w:r>
          </w:p>
        </w:tc>
        <w:tc>
          <w:tcPr>
            <w:tcW w:w="1078" w:type="dxa"/>
            <w:tcBorders>
              <w:top w:val="single" w:sz="4" w:space="0" w:color="auto"/>
              <w:left w:val="single" w:sz="4" w:space="0" w:color="auto"/>
              <w:bottom w:val="single" w:sz="4" w:space="0" w:color="auto"/>
              <w:right w:val="single" w:sz="4" w:space="0" w:color="auto"/>
            </w:tcBorders>
          </w:tcPr>
          <w:p w14:paraId="3030370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44BBC4C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72782FA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w:t>
            </w:r>
          </w:p>
        </w:tc>
        <w:tc>
          <w:tcPr>
            <w:tcW w:w="636" w:type="dxa"/>
            <w:tcBorders>
              <w:top w:val="single" w:sz="4" w:space="0" w:color="auto"/>
              <w:left w:val="single" w:sz="4" w:space="0" w:color="auto"/>
              <w:bottom w:val="single" w:sz="4" w:space="0" w:color="auto"/>
              <w:right w:val="single" w:sz="4" w:space="0" w:color="auto"/>
            </w:tcBorders>
          </w:tcPr>
          <w:p w14:paraId="07C9DA9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5D3852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EA73E9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145</w:t>
            </w:r>
          </w:p>
        </w:tc>
      </w:tr>
      <w:tr w:rsidR="004E10C1" w:rsidRPr="0044524F" w14:paraId="0C4DBA5C" w14:textId="77777777" w:rsidTr="003628CD">
        <w:tc>
          <w:tcPr>
            <w:tcW w:w="1007" w:type="dxa"/>
            <w:tcBorders>
              <w:top w:val="single" w:sz="4" w:space="0" w:color="auto"/>
              <w:left w:val="single" w:sz="4" w:space="0" w:color="auto"/>
              <w:bottom w:val="single" w:sz="4" w:space="0" w:color="auto"/>
              <w:right w:val="single" w:sz="4" w:space="0" w:color="auto"/>
            </w:tcBorders>
          </w:tcPr>
          <w:p w14:paraId="138B401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6026972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Пасбург и Блок</w:t>
            </w:r>
          </w:p>
        </w:tc>
        <w:tc>
          <w:tcPr>
            <w:tcW w:w="1078" w:type="dxa"/>
            <w:tcBorders>
              <w:top w:val="single" w:sz="4" w:space="0" w:color="auto"/>
              <w:left w:val="single" w:sz="4" w:space="0" w:color="auto"/>
              <w:bottom w:val="single" w:sz="4" w:space="0" w:color="auto"/>
              <w:right w:val="single" w:sz="4" w:space="0" w:color="auto"/>
            </w:tcBorders>
          </w:tcPr>
          <w:p w14:paraId="4380D8F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10FEE2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1B30C62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636" w:type="dxa"/>
            <w:tcBorders>
              <w:top w:val="single" w:sz="4" w:space="0" w:color="auto"/>
              <w:left w:val="single" w:sz="4" w:space="0" w:color="auto"/>
              <w:bottom w:val="single" w:sz="4" w:space="0" w:color="auto"/>
              <w:right w:val="single" w:sz="4" w:space="0" w:color="auto"/>
            </w:tcBorders>
          </w:tcPr>
          <w:p w14:paraId="392FB56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64E9FA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414EEFA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r>
      <w:tr w:rsidR="004E10C1" w:rsidRPr="0044524F" w14:paraId="642B1EE4" w14:textId="77777777" w:rsidTr="003628CD">
        <w:tc>
          <w:tcPr>
            <w:tcW w:w="1007" w:type="dxa"/>
            <w:tcBorders>
              <w:top w:val="single" w:sz="4" w:space="0" w:color="auto"/>
              <w:left w:val="single" w:sz="4" w:space="0" w:color="auto"/>
              <w:bottom w:val="single" w:sz="4" w:space="0" w:color="auto"/>
              <w:right w:val="single" w:sz="4" w:space="0" w:color="auto"/>
            </w:tcBorders>
          </w:tcPr>
          <w:p w14:paraId="1CF30E3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Цветметзолото</w:t>
            </w:r>
          </w:p>
        </w:tc>
        <w:tc>
          <w:tcPr>
            <w:tcW w:w="1502" w:type="dxa"/>
            <w:tcBorders>
              <w:top w:val="single" w:sz="4" w:space="0" w:color="auto"/>
              <w:left w:val="single" w:sz="4" w:space="0" w:color="auto"/>
              <w:bottom w:val="single" w:sz="4" w:space="0" w:color="auto"/>
              <w:right w:val="single" w:sz="4" w:space="0" w:color="auto"/>
            </w:tcBorders>
          </w:tcPr>
          <w:p w14:paraId="3375806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Штраубэ</w:t>
            </w:r>
          </w:p>
        </w:tc>
        <w:tc>
          <w:tcPr>
            <w:tcW w:w="1078" w:type="dxa"/>
            <w:tcBorders>
              <w:top w:val="single" w:sz="4" w:space="0" w:color="auto"/>
              <w:left w:val="single" w:sz="4" w:space="0" w:color="auto"/>
              <w:bottom w:val="single" w:sz="4" w:space="0" w:color="auto"/>
              <w:right w:val="single" w:sz="4" w:space="0" w:color="auto"/>
            </w:tcBorders>
          </w:tcPr>
          <w:p w14:paraId="3DCB547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3C73644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989" w:type="dxa"/>
            <w:tcBorders>
              <w:top w:val="single" w:sz="4" w:space="0" w:color="auto"/>
              <w:left w:val="single" w:sz="4" w:space="0" w:color="auto"/>
              <w:bottom w:val="single" w:sz="4" w:space="0" w:color="auto"/>
              <w:right w:val="single" w:sz="4" w:space="0" w:color="auto"/>
            </w:tcBorders>
          </w:tcPr>
          <w:p w14:paraId="31DA702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636" w:type="dxa"/>
            <w:tcBorders>
              <w:top w:val="single" w:sz="4" w:space="0" w:color="auto"/>
              <w:left w:val="single" w:sz="4" w:space="0" w:color="auto"/>
              <w:bottom w:val="single" w:sz="4" w:space="0" w:color="auto"/>
              <w:right w:val="single" w:sz="4" w:space="0" w:color="auto"/>
            </w:tcBorders>
          </w:tcPr>
          <w:p w14:paraId="240D4DC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D6D9B5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0EC4BF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r>
      <w:tr w:rsidR="004E10C1" w:rsidRPr="0044524F" w14:paraId="3185BAB4" w14:textId="77777777" w:rsidTr="003628CD">
        <w:tc>
          <w:tcPr>
            <w:tcW w:w="1007" w:type="dxa"/>
            <w:tcBorders>
              <w:top w:val="single" w:sz="4" w:space="0" w:color="auto"/>
              <w:left w:val="single" w:sz="4" w:space="0" w:color="auto"/>
              <w:bottom w:val="single" w:sz="4" w:space="0" w:color="auto"/>
              <w:right w:val="single" w:sz="4" w:space="0" w:color="auto"/>
            </w:tcBorders>
          </w:tcPr>
          <w:p w14:paraId="654CFAB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Союзстрой</w:t>
            </w:r>
          </w:p>
        </w:tc>
        <w:tc>
          <w:tcPr>
            <w:tcW w:w="1502" w:type="dxa"/>
            <w:tcBorders>
              <w:top w:val="single" w:sz="4" w:space="0" w:color="auto"/>
              <w:left w:val="single" w:sz="4" w:space="0" w:color="auto"/>
              <w:bottom w:val="single" w:sz="4" w:space="0" w:color="auto"/>
              <w:right w:val="single" w:sz="4" w:space="0" w:color="auto"/>
            </w:tcBorders>
          </w:tcPr>
          <w:p w14:paraId="553A981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Келлен</w:t>
            </w:r>
          </w:p>
        </w:tc>
        <w:tc>
          <w:tcPr>
            <w:tcW w:w="1078" w:type="dxa"/>
            <w:tcBorders>
              <w:top w:val="single" w:sz="4" w:space="0" w:color="auto"/>
              <w:left w:val="single" w:sz="4" w:space="0" w:color="auto"/>
              <w:bottom w:val="single" w:sz="4" w:space="0" w:color="auto"/>
              <w:right w:val="single" w:sz="4" w:space="0" w:color="auto"/>
            </w:tcBorders>
          </w:tcPr>
          <w:p w14:paraId="43EA90B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18BF745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03DEBA4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636" w:type="dxa"/>
            <w:tcBorders>
              <w:top w:val="single" w:sz="4" w:space="0" w:color="auto"/>
              <w:left w:val="single" w:sz="4" w:space="0" w:color="auto"/>
              <w:bottom w:val="single" w:sz="4" w:space="0" w:color="auto"/>
              <w:right w:val="single" w:sz="4" w:space="0" w:color="auto"/>
            </w:tcBorders>
          </w:tcPr>
          <w:p w14:paraId="129CB74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130840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5D44BFF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r>
      <w:tr w:rsidR="004E10C1" w:rsidRPr="0044524F" w14:paraId="66AEBD8E" w14:textId="77777777" w:rsidTr="003628CD">
        <w:tc>
          <w:tcPr>
            <w:tcW w:w="1007" w:type="dxa"/>
            <w:tcBorders>
              <w:top w:val="single" w:sz="4" w:space="0" w:color="auto"/>
              <w:left w:val="single" w:sz="4" w:space="0" w:color="auto"/>
              <w:bottom w:val="single" w:sz="4" w:space="0" w:color="auto"/>
              <w:right w:val="single" w:sz="4" w:space="0" w:color="auto"/>
            </w:tcBorders>
          </w:tcPr>
          <w:p w14:paraId="72585FE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Уголь</w:t>
            </w:r>
          </w:p>
        </w:tc>
        <w:tc>
          <w:tcPr>
            <w:tcW w:w="1502" w:type="dxa"/>
            <w:tcBorders>
              <w:top w:val="single" w:sz="4" w:space="0" w:color="auto"/>
              <w:left w:val="single" w:sz="4" w:space="0" w:color="auto"/>
              <w:bottom w:val="single" w:sz="4" w:space="0" w:color="auto"/>
              <w:right w:val="single" w:sz="4" w:space="0" w:color="auto"/>
            </w:tcBorders>
          </w:tcPr>
          <w:p w14:paraId="4364434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Робертс и Шеффер</w:t>
            </w:r>
          </w:p>
        </w:tc>
        <w:tc>
          <w:tcPr>
            <w:tcW w:w="1078" w:type="dxa"/>
            <w:tcBorders>
              <w:top w:val="single" w:sz="4" w:space="0" w:color="auto"/>
              <w:left w:val="single" w:sz="4" w:space="0" w:color="auto"/>
              <w:bottom w:val="single" w:sz="4" w:space="0" w:color="auto"/>
              <w:right w:val="single" w:sz="4" w:space="0" w:color="auto"/>
            </w:tcBorders>
          </w:tcPr>
          <w:p w14:paraId="7876390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6A76EF3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6FC45FB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B98823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w:t>
            </w:r>
          </w:p>
        </w:tc>
        <w:tc>
          <w:tcPr>
            <w:tcW w:w="636" w:type="dxa"/>
            <w:tcBorders>
              <w:top w:val="single" w:sz="4" w:space="0" w:color="auto"/>
              <w:left w:val="single" w:sz="4" w:space="0" w:color="auto"/>
              <w:bottom w:val="single" w:sz="4" w:space="0" w:color="auto"/>
              <w:right w:val="single" w:sz="4" w:space="0" w:color="auto"/>
            </w:tcBorders>
          </w:tcPr>
          <w:p w14:paraId="04C83B5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0995DC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138</w:t>
            </w:r>
          </w:p>
        </w:tc>
      </w:tr>
      <w:tr w:rsidR="004E10C1" w:rsidRPr="0044524F" w14:paraId="4C62A8E4" w14:textId="77777777" w:rsidTr="003628CD">
        <w:tc>
          <w:tcPr>
            <w:tcW w:w="1007" w:type="dxa"/>
            <w:tcBorders>
              <w:top w:val="single" w:sz="4" w:space="0" w:color="auto"/>
              <w:left w:val="single" w:sz="4" w:space="0" w:color="auto"/>
              <w:bottom w:val="single" w:sz="4" w:space="0" w:color="auto"/>
              <w:right w:val="single" w:sz="4" w:space="0" w:color="auto"/>
            </w:tcBorders>
          </w:tcPr>
          <w:p w14:paraId="58AAE7D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Магнитострой</w:t>
            </w:r>
          </w:p>
        </w:tc>
        <w:tc>
          <w:tcPr>
            <w:tcW w:w="1502" w:type="dxa"/>
            <w:tcBorders>
              <w:top w:val="single" w:sz="4" w:space="0" w:color="auto"/>
              <w:left w:val="single" w:sz="4" w:space="0" w:color="auto"/>
              <w:bottom w:val="single" w:sz="4" w:space="0" w:color="auto"/>
              <w:right w:val="single" w:sz="4" w:space="0" w:color="auto"/>
            </w:tcBorders>
          </w:tcPr>
          <w:p w14:paraId="2F8E367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Макки</w:t>
            </w:r>
          </w:p>
        </w:tc>
        <w:tc>
          <w:tcPr>
            <w:tcW w:w="1078" w:type="dxa"/>
            <w:tcBorders>
              <w:top w:val="single" w:sz="4" w:space="0" w:color="auto"/>
              <w:left w:val="single" w:sz="4" w:space="0" w:color="auto"/>
              <w:bottom w:val="single" w:sz="4" w:space="0" w:color="auto"/>
              <w:right w:val="single" w:sz="4" w:space="0" w:color="auto"/>
            </w:tcBorders>
          </w:tcPr>
          <w:p w14:paraId="7DCB847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03A6776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4400CC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836FE0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730</w:t>
            </w:r>
          </w:p>
        </w:tc>
        <w:tc>
          <w:tcPr>
            <w:tcW w:w="636" w:type="dxa"/>
            <w:tcBorders>
              <w:top w:val="single" w:sz="4" w:space="0" w:color="auto"/>
              <w:left w:val="single" w:sz="4" w:space="0" w:color="auto"/>
              <w:bottom w:val="single" w:sz="4" w:space="0" w:color="auto"/>
              <w:right w:val="single" w:sz="4" w:space="0" w:color="auto"/>
            </w:tcBorders>
          </w:tcPr>
          <w:p w14:paraId="00BBC37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E47325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730</w:t>
            </w:r>
          </w:p>
        </w:tc>
      </w:tr>
      <w:tr w:rsidR="004E10C1" w:rsidRPr="0044524F" w14:paraId="6B2BE646" w14:textId="77777777" w:rsidTr="003628CD">
        <w:tc>
          <w:tcPr>
            <w:tcW w:w="1007" w:type="dxa"/>
            <w:tcBorders>
              <w:top w:val="single" w:sz="4" w:space="0" w:color="auto"/>
              <w:left w:val="single" w:sz="4" w:space="0" w:color="auto"/>
              <w:bottom w:val="single" w:sz="4" w:space="0" w:color="auto"/>
              <w:right w:val="single" w:sz="4" w:space="0" w:color="auto"/>
            </w:tcBorders>
          </w:tcPr>
          <w:p w14:paraId="7FF6191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Оргаметалл</w:t>
            </w:r>
          </w:p>
        </w:tc>
        <w:tc>
          <w:tcPr>
            <w:tcW w:w="1502" w:type="dxa"/>
            <w:tcBorders>
              <w:top w:val="single" w:sz="4" w:space="0" w:color="auto"/>
              <w:left w:val="single" w:sz="4" w:space="0" w:color="auto"/>
              <w:bottom w:val="single" w:sz="4" w:space="0" w:color="auto"/>
              <w:right w:val="single" w:sz="4" w:space="0" w:color="auto"/>
            </w:tcBorders>
          </w:tcPr>
          <w:p w14:paraId="1F2DF85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Дейч-Верфь</w:t>
            </w:r>
          </w:p>
        </w:tc>
        <w:tc>
          <w:tcPr>
            <w:tcW w:w="1078" w:type="dxa"/>
            <w:tcBorders>
              <w:top w:val="single" w:sz="4" w:space="0" w:color="auto"/>
              <w:left w:val="single" w:sz="4" w:space="0" w:color="auto"/>
              <w:bottom w:val="single" w:sz="4" w:space="0" w:color="auto"/>
              <w:right w:val="single" w:sz="4" w:space="0" w:color="auto"/>
            </w:tcBorders>
          </w:tcPr>
          <w:p w14:paraId="419C67F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1219" w:type="dxa"/>
            <w:tcBorders>
              <w:top w:val="single" w:sz="4" w:space="0" w:color="auto"/>
              <w:left w:val="single" w:sz="4" w:space="0" w:color="auto"/>
              <w:bottom w:val="single" w:sz="4" w:space="0" w:color="auto"/>
              <w:right w:val="single" w:sz="4" w:space="0" w:color="auto"/>
            </w:tcBorders>
          </w:tcPr>
          <w:p w14:paraId="284E149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6791A8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EFCA5C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636" w:type="dxa"/>
            <w:tcBorders>
              <w:top w:val="single" w:sz="4" w:space="0" w:color="auto"/>
              <w:left w:val="single" w:sz="4" w:space="0" w:color="auto"/>
              <w:bottom w:val="single" w:sz="4" w:space="0" w:color="auto"/>
              <w:right w:val="single" w:sz="4" w:space="0" w:color="auto"/>
            </w:tcBorders>
          </w:tcPr>
          <w:p w14:paraId="3D70CE9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BB21DB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6458FABC" w14:textId="77777777" w:rsidTr="003628CD">
        <w:tc>
          <w:tcPr>
            <w:tcW w:w="1007" w:type="dxa"/>
            <w:tcBorders>
              <w:top w:val="single" w:sz="4" w:space="0" w:color="auto"/>
              <w:left w:val="single" w:sz="4" w:space="0" w:color="auto"/>
              <w:bottom w:val="single" w:sz="4" w:space="0" w:color="auto"/>
              <w:right w:val="single" w:sz="4" w:space="0" w:color="auto"/>
            </w:tcBorders>
          </w:tcPr>
          <w:p w14:paraId="0E2E0CF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Инструмобъед.</w:t>
            </w:r>
          </w:p>
        </w:tc>
        <w:tc>
          <w:tcPr>
            <w:tcW w:w="1502" w:type="dxa"/>
            <w:tcBorders>
              <w:top w:val="single" w:sz="4" w:space="0" w:color="auto"/>
              <w:left w:val="single" w:sz="4" w:space="0" w:color="auto"/>
              <w:bottom w:val="single" w:sz="4" w:space="0" w:color="auto"/>
              <w:right w:val="single" w:sz="4" w:space="0" w:color="auto"/>
            </w:tcBorders>
          </w:tcPr>
          <w:p w14:paraId="17B4D54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Карборундум</w:t>
            </w:r>
          </w:p>
        </w:tc>
        <w:tc>
          <w:tcPr>
            <w:tcW w:w="1078" w:type="dxa"/>
            <w:tcBorders>
              <w:top w:val="single" w:sz="4" w:space="0" w:color="auto"/>
              <w:left w:val="single" w:sz="4" w:space="0" w:color="auto"/>
              <w:bottom w:val="single" w:sz="4" w:space="0" w:color="auto"/>
              <w:right w:val="single" w:sz="4" w:space="0" w:color="auto"/>
            </w:tcBorders>
          </w:tcPr>
          <w:p w14:paraId="0F669AF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1928</w:t>
            </w:r>
          </w:p>
        </w:tc>
        <w:tc>
          <w:tcPr>
            <w:tcW w:w="1219" w:type="dxa"/>
            <w:tcBorders>
              <w:top w:val="single" w:sz="4" w:space="0" w:color="auto"/>
              <w:left w:val="single" w:sz="4" w:space="0" w:color="auto"/>
              <w:bottom w:val="single" w:sz="4" w:space="0" w:color="auto"/>
              <w:right w:val="single" w:sz="4" w:space="0" w:color="auto"/>
            </w:tcBorders>
          </w:tcPr>
          <w:p w14:paraId="6E54134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A7570C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6753DD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636" w:type="dxa"/>
            <w:tcBorders>
              <w:top w:val="single" w:sz="4" w:space="0" w:color="auto"/>
              <w:left w:val="single" w:sz="4" w:space="0" w:color="auto"/>
              <w:bottom w:val="single" w:sz="4" w:space="0" w:color="auto"/>
              <w:right w:val="single" w:sz="4" w:space="0" w:color="auto"/>
            </w:tcBorders>
          </w:tcPr>
          <w:p w14:paraId="0AD1507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B09DC6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r>
      <w:tr w:rsidR="004E10C1" w:rsidRPr="0044524F" w14:paraId="3A556558" w14:textId="77777777" w:rsidTr="003628CD">
        <w:tc>
          <w:tcPr>
            <w:tcW w:w="1007" w:type="dxa"/>
            <w:tcBorders>
              <w:top w:val="single" w:sz="4" w:space="0" w:color="auto"/>
              <w:left w:val="single" w:sz="4" w:space="0" w:color="auto"/>
              <w:bottom w:val="single" w:sz="4" w:space="0" w:color="auto"/>
              <w:right w:val="single" w:sz="4" w:space="0" w:color="auto"/>
            </w:tcBorders>
          </w:tcPr>
          <w:p w14:paraId="4497FBA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Насоскомпр.</w:t>
            </w:r>
          </w:p>
        </w:tc>
        <w:tc>
          <w:tcPr>
            <w:tcW w:w="1502" w:type="dxa"/>
            <w:tcBorders>
              <w:top w:val="single" w:sz="4" w:space="0" w:color="auto"/>
              <w:left w:val="single" w:sz="4" w:space="0" w:color="auto"/>
              <w:bottom w:val="single" w:sz="4" w:space="0" w:color="auto"/>
              <w:right w:val="single" w:sz="4" w:space="0" w:color="auto"/>
            </w:tcBorders>
          </w:tcPr>
          <w:p w14:paraId="159E0B1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Ман-Ридингер</w:t>
            </w:r>
          </w:p>
        </w:tc>
        <w:tc>
          <w:tcPr>
            <w:tcW w:w="1078" w:type="dxa"/>
            <w:tcBorders>
              <w:top w:val="single" w:sz="4" w:space="0" w:color="auto"/>
              <w:left w:val="single" w:sz="4" w:space="0" w:color="auto"/>
              <w:bottom w:val="single" w:sz="4" w:space="0" w:color="auto"/>
              <w:right w:val="single" w:sz="4" w:space="0" w:color="auto"/>
            </w:tcBorders>
          </w:tcPr>
          <w:p w14:paraId="6B1C278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32254C6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5BF09D5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8D062C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263</w:t>
            </w:r>
          </w:p>
        </w:tc>
        <w:tc>
          <w:tcPr>
            <w:tcW w:w="636" w:type="dxa"/>
            <w:tcBorders>
              <w:top w:val="single" w:sz="4" w:space="0" w:color="auto"/>
              <w:left w:val="single" w:sz="4" w:space="0" w:color="auto"/>
              <w:bottom w:val="single" w:sz="4" w:space="0" w:color="auto"/>
              <w:right w:val="single" w:sz="4" w:space="0" w:color="auto"/>
            </w:tcBorders>
          </w:tcPr>
          <w:p w14:paraId="2D6B30A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0436833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263</w:t>
            </w:r>
          </w:p>
        </w:tc>
      </w:tr>
      <w:tr w:rsidR="004E10C1" w:rsidRPr="0044524F" w14:paraId="0664D779" w14:textId="77777777" w:rsidTr="003628CD">
        <w:tc>
          <w:tcPr>
            <w:tcW w:w="1007" w:type="dxa"/>
            <w:tcBorders>
              <w:top w:val="single" w:sz="4" w:space="0" w:color="auto"/>
              <w:left w:val="single" w:sz="4" w:space="0" w:color="auto"/>
              <w:bottom w:val="single" w:sz="4" w:space="0" w:color="auto"/>
              <w:right w:val="single" w:sz="4" w:space="0" w:color="auto"/>
            </w:tcBorders>
          </w:tcPr>
          <w:p w14:paraId="791DC4E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Союзсредмаш</w:t>
            </w:r>
          </w:p>
        </w:tc>
        <w:tc>
          <w:tcPr>
            <w:tcW w:w="1502" w:type="dxa"/>
            <w:tcBorders>
              <w:top w:val="single" w:sz="4" w:space="0" w:color="auto"/>
              <w:left w:val="single" w:sz="4" w:space="0" w:color="auto"/>
              <w:bottom w:val="single" w:sz="4" w:space="0" w:color="auto"/>
              <w:right w:val="single" w:sz="4" w:space="0" w:color="auto"/>
            </w:tcBorders>
          </w:tcPr>
          <w:p w14:paraId="0618776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Кеббер</w:t>
            </w:r>
          </w:p>
        </w:tc>
        <w:tc>
          <w:tcPr>
            <w:tcW w:w="1078" w:type="dxa"/>
            <w:tcBorders>
              <w:top w:val="single" w:sz="4" w:space="0" w:color="auto"/>
              <w:left w:val="single" w:sz="4" w:space="0" w:color="auto"/>
              <w:bottom w:val="single" w:sz="4" w:space="0" w:color="auto"/>
              <w:right w:val="single" w:sz="4" w:space="0" w:color="auto"/>
            </w:tcBorders>
          </w:tcPr>
          <w:p w14:paraId="73A9E3B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5791C4E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0E3B176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0BFD833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636" w:type="dxa"/>
            <w:tcBorders>
              <w:top w:val="single" w:sz="4" w:space="0" w:color="auto"/>
              <w:left w:val="single" w:sz="4" w:space="0" w:color="auto"/>
              <w:bottom w:val="single" w:sz="4" w:space="0" w:color="auto"/>
              <w:right w:val="single" w:sz="4" w:space="0" w:color="auto"/>
            </w:tcBorders>
          </w:tcPr>
          <w:p w14:paraId="179FA2A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230D4E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5DA0A696" w14:textId="77777777" w:rsidTr="003628CD">
        <w:tc>
          <w:tcPr>
            <w:tcW w:w="1007" w:type="dxa"/>
            <w:tcBorders>
              <w:top w:val="single" w:sz="4" w:space="0" w:color="auto"/>
              <w:left w:val="single" w:sz="4" w:space="0" w:color="auto"/>
              <w:bottom w:val="single" w:sz="4" w:space="0" w:color="auto"/>
              <w:right w:val="single" w:sz="4" w:space="0" w:color="auto"/>
            </w:tcBorders>
          </w:tcPr>
          <w:p w14:paraId="65AAF4D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Всехимпром</w:t>
            </w:r>
          </w:p>
        </w:tc>
        <w:tc>
          <w:tcPr>
            <w:tcW w:w="1502" w:type="dxa"/>
            <w:tcBorders>
              <w:top w:val="single" w:sz="4" w:space="0" w:color="auto"/>
              <w:left w:val="single" w:sz="4" w:space="0" w:color="auto"/>
              <w:bottom w:val="single" w:sz="4" w:space="0" w:color="auto"/>
              <w:right w:val="single" w:sz="4" w:space="0" w:color="auto"/>
            </w:tcBorders>
          </w:tcPr>
          <w:p w14:paraId="6A803C5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Казале</w:t>
            </w:r>
          </w:p>
        </w:tc>
        <w:tc>
          <w:tcPr>
            <w:tcW w:w="1078" w:type="dxa"/>
            <w:tcBorders>
              <w:top w:val="single" w:sz="4" w:space="0" w:color="auto"/>
              <w:left w:val="single" w:sz="4" w:space="0" w:color="auto"/>
              <w:bottom w:val="single" w:sz="4" w:space="0" w:color="auto"/>
              <w:right w:val="single" w:sz="4" w:space="0" w:color="auto"/>
            </w:tcBorders>
          </w:tcPr>
          <w:p w14:paraId="5498AE9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1925</w:t>
            </w:r>
          </w:p>
        </w:tc>
        <w:tc>
          <w:tcPr>
            <w:tcW w:w="1219" w:type="dxa"/>
            <w:tcBorders>
              <w:top w:val="single" w:sz="4" w:space="0" w:color="auto"/>
              <w:left w:val="single" w:sz="4" w:space="0" w:color="auto"/>
              <w:bottom w:val="single" w:sz="4" w:space="0" w:color="auto"/>
              <w:right w:val="single" w:sz="4" w:space="0" w:color="auto"/>
            </w:tcBorders>
          </w:tcPr>
          <w:p w14:paraId="006E21B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1C10E51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F317B3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c>
          <w:tcPr>
            <w:tcW w:w="636" w:type="dxa"/>
            <w:tcBorders>
              <w:top w:val="single" w:sz="4" w:space="0" w:color="auto"/>
              <w:left w:val="single" w:sz="4" w:space="0" w:color="auto"/>
              <w:bottom w:val="single" w:sz="4" w:space="0" w:color="auto"/>
              <w:right w:val="single" w:sz="4" w:space="0" w:color="auto"/>
            </w:tcBorders>
          </w:tcPr>
          <w:p w14:paraId="385207B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DFE3E1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w:t>
            </w:r>
          </w:p>
        </w:tc>
      </w:tr>
      <w:tr w:rsidR="004E10C1" w:rsidRPr="0044524F" w14:paraId="277A8A8F" w14:textId="77777777" w:rsidTr="003628CD">
        <w:tc>
          <w:tcPr>
            <w:tcW w:w="1007" w:type="dxa"/>
            <w:tcBorders>
              <w:top w:val="single" w:sz="4" w:space="0" w:color="auto"/>
              <w:left w:val="single" w:sz="4" w:space="0" w:color="auto"/>
              <w:bottom w:val="single" w:sz="4" w:space="0" w:color="auto"/>
              <w:right w:val="single" w:sz="4" w:space="0" w:color="auto"/>
            </w:tcBorders>
          </w:tcPr>
          <w:p w14:paraId="7723A51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Оруд. объед.</w:t>
            </w:r>
          </w:p>
        </w:tc>
        <w:tc>
          <w:tcPr>
            <w:tcW w:w="1502" w:type="dxa"/>
            <w:tcBorders>
              <w:top w:val="single" w:sz="4" w:space="0" w:color="auto"/>
              <w:left w:val="single" w:sz="4" w:space="0" w:color="auto"/>
              <w:bottom w:val="single" w:sz="4" w:space="0" w:color="auto"/>
              <w:right w:val="single" w:sz="4" w:space="0" w:color="auto"/>
            </w:tcBorders>
          </w:tcPr>
          <w:p w14:paraId="2D81C3C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Бьютаст</w:t>
            </w:r>
          </w:p>
        </w:tc>
        <w:tc>
          <w:tcPr>
            <w:tcW w:w="1078" w:type="dxa"/>
            <w:tcBorders>
              <w:top w:val="single" w:sz="4" w:space="0" w:color="auto"/>
              <w:left w:val="single" w:sz="4" w:space="0" w:color="auto"/>
              <w:bottom w:val="single" w:sz="4" w:space="0" w:color="auto"/>
              <w:right w:val="single" w:sz="4" w:space="0" w:color="auto"/>
            </w:tcBorders>
          </w:tcPr>
          <w:p w14:paraId="664010A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42CB46A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0B6193A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969A57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c>
          <w:tcPr>
            <w:tcW w:w="636" w:type="dxa"/>
            <w:tcBorders>
              <w:top w:val="single" w:sz="4" w:space="0" w:color="auto"/>
              <w:left w:val="single" w:sz="4" w:space="0" w:color="auto"/>
              <w:bottom w:val="single" w:sz="4" w:space="0" w:color="auto"/>
              <w:right w:val="single" w:sz="4" w:space="0" w:color="auto"/>
            </w:tcBorders>
          </w:tcPr>
          <w:p w14:paraId="24FC8FA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081EFA7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r>
      <w:tr w:rsidR="004E10C1" w:rsidRPr="0044524F" w14:paraId="428D677A" w14:textId="77777777" w:rsidTr="003628CD">
        <w:tc>
          <w:tcPr>
            <w:tcW w:w="1007" w:type="dxa"/>
            <w:tcBorders>
              <w:top w:val="single" w:sz="4" w:space="0" w:color="auto"/>
              <w:left w:val="single" w:sz="4" w:space="0" w:color="auto"/>
              <w:bottom w:val="single" w:sz="4" w:space="0" w:color="auto"/>
              <w:right w:val="single" w:sz="4" w:space="0" w:color="auto"/>
            </w:tcBorders>
          </w:tcPr>
          <w:p w14:paraId="23224AB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ВОИВ</w:t>
            </w:r>
          </w:p>
        </w:tc>
        <w:tc>
          <w:tcPr>
            <w:tcW w:w="1502" w:type="dxa"/>
            <w:tcBorders>
              <w:top w:val="single" w:sz="4" w:space="0" w:color="auto"/>
              <w:left w:val="single" w:sz="4" w:space="0" w:color="auto"/>
              <w:bottom w:val="single" w:sz="4" w:space="0" w:color="auto"/>
              <w:right w:val="single" w:sz="4" w:space="0" w:color="auto"/>
            </w:tcBorders>
          </w:tcPr>
          <w:p w14:paraId="759851B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Когорн</w:t>
            </w:r>
          </w:p>
        </w:tc>
        <w:tc>
          <w:tcPr>
            <w:tcW w:w="1078" w:type="dxa"/>
            <w:tcBorders>
              <w:top w:val="single" w:sz="4" w:space="0" w:color="auto"/>
              <w:left w:val="single" w:sz="4" w:space="0" w:color="auto"/>
              <w:bottom w:val="single" w:sz="4" w:space="0" w:color="auto"/>
              <w:right w:val="single" w:sz="4" w:space="0" w:color="auto"/>
            </w:tcBorders>
          </w:tcPr>
          <w:p w14:paraId="6F8415D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3947188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7785904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59FD7A7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c>
          <w:tcPr>
            <w:tcW w:w="636" w:type="dxa"/>
            <w:tcBorders>
              <w:top w:val="single" w:sz="4" w:space="0" w:color="auto"/>
              <w:left w:val="single" w:sz="4" w:space="0" w:color="auto"/>
              <w:bottom w:val="single" w:sz="4" w:space="0" w:color="auto"/>
              <w:right w:val="single" w:sz="4" w:space="0" w:color="auto"/>
            </w:tcBorders>
          </w:tcPr>
          <w:p w14:paraId="6C51075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B929C9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r w:rsidR="004E10C1" w:rsidRPr="0044524F" w14:paraId="0A378217" w14:textId="77777777" w:rsidTr="003628CD">
        <w:tc>
          <w:tcPr>
            <w:tcW w:w="1007" w:type="dxa"/>
            <w:tcBorders>
              <w:top w:val="single" w:sz="4" w:space="0" w:color="auto"/>
              <w:left w:val="single" w:sz="4" w:space="0" w:color="auto"/>
              <w:bottom w:val="single" w:sz="4" w:space="0" w:color="auto"/>
              <w:right w:val="single" w:sz="4" w:space="0" w:color="auto"/>
            </w:tcBorders>
          </w:tcPr>
          <w:p w14:paraId="45C7967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Локомотив</w:t>
            </w:r>
          </w:p>
        </w:tc>
        <w:tc>
          <w:tcPr>
            <w:tcW w:w="1502" w:type="dxa"/>
            <w:tcBorders>
              <w:top w:val="single" w:sz="4" w:space="0" w:color="auto"/>
              <w:left w:val="single" w:sz="4" w:space="0" w:color="auto"/>
              <w:bottom w:val="single" w:sz="4" w:space="0" w:color="auto"/>
              <w:right w:val="single" w:sz="4" w:space="0" w:color="auto"/>
            </w:tcBorders>
          </w:tcPr>
          <w:p w14:paraId="14E39F8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Борзиг</w:t>
            </w:r>
          </w:p>
        </w:tc>
        <w:tc>
          <w:tcPr>
            <w:tcW w:w="1078" w:type="dxa"/>
            <w:tcBorders>
              <w:top w:val="single" w:sz="4" w:space="0" w:color="auto"/>
              <w:left w:val="single" w:sz="4" w:space="0" w:color="auto"/>
              <w:bottom w:val="single" w:sz="4" w:space="0" w:color="auto"/>
              <w:right w:val="single" w:sz="4" w:space="0" w:color="auto"/>
            </w:tcBorders>
          </w:tcPr>
          <w:p w14:paraId="7B6BF18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1926</w:t>
            </w:r>
          </w:p>
        </w:tc>
        <w:tc>
          <w:tcPr>
            <w:tcW w:w="1219" w:type="dxa"/>
            <w:tcBorders>
              <w:top w:val="single" w:sz="4" w:space="0" w:color="auto"/>
              <w:left w:val="single" w:sz="4" w:space="0" w:color="auto"/>
              <w:bottom w:val="single" w:sz="4" w:space="0" w:color="auto"/>
              <w:right w:val="single" w:sz="4" w:space="0" w:color="auto"/>
            </w:tcBorders>
          </w:tcPr>
          <w:p w14:paraId="771CDE8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9925DE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F2A286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c>
          <w:tcPr>
            <w:tcW w:w="636" w:type="dxa"/>
            <w:tcBorders>
              <w:top w:val="single" w:sz="4" w:space="0" w:color="auto"/>
              <w:left w:val="single" w:sz="4" w:space="0" w:color="auto"/>
              <w:bottom w:val="single" w:sz="4" w:space="0" w:color="auto"/>
              <w:right w:val="single" w:sz="4" w:space="0" w:color="auto"/>
            </w:tcBorders>
          </w:tcPr>
          <w:p w14:paraId="3F5E144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173C954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w:t>
            </w:r>
          </w:p>
        </w:tc>
      </w:tr>
      <w:tr w:rsidR="004E10C1" w:rsidRPr="0044524F" w14:paraId="3D0F5762" w14:textId="77777777" w:rsidTr="003628CD">
        <w:tc>
          <w:tcPr>
            <w:tcW w:w="1007" w:type="dxa"/>
            <w:tcBorders>
              <w:top w:val="single" w:sz="4" w:space="0" w:color="auto"/>
              <w:left w:val="single" w:sz="4" w:space="0" w:color="auto"/>
              <w:bottom w:val="single" w:sz="4" w:space="0" w:color="auto"/>
              <w:right w:val="single" w:sz="4" w:space="0" w:color="auto"/>
            </w:tcBorders>
          </w:tcPr>
          <w:p w14:paraId="0E864FC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Кузнецкстрой</w:t>
            </w:r>
          </w:p>
        </w:tc>
        <w:tc>
          <w:tcPr>
            <w:tcW w:w="1502" w:type="dxa"/>
            <w:tcBorders>
              <w:top w:val="single" w:sz="4" w:space="0" w:color="auto"/>
              <w:left w:val="single" w:sz="4" w:space="0" w:color="auto"/>
              <w:bottom w:val="single" w:sz="4" w:space="0" w:color="auto"/>
              <w:right w:val="single" w:sz="4" w:space="0" w:color="auto"/>
            </w:tcBorders>
          </w:tcPr>
          <w:p w14:paraId="51B01BB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ФРЕЙН</w:t>
            </w:r>
          </w:p>
        </w:tc>
        <w:tc>
          <w:tcPr>
            <w:tcW w:w="1078" w:type="dxa"/>
            <w:tcBorders>
              <w:top w:val="single" w:sz="4" w:space="0" w:color="auto"/>
              <w:left w:val="single" w:sz="4" w:space="0" w:color="auto"/>
              <w:bottom w:val="single" w:sz="4" w:space="0" w:color="auto"/>
              <w:right w:val="single" w:sz="4" w:space="0" w:color="auto"/>
            </w:tcBorders>
          </w:tcPr>
          <w:p w14:paraId="6C24878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506F775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5F4335C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072EAF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3ACA6C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275</w:t>
            </w:r>
          </w:p>
        </w:tc>
        <w:tc>
          <w:tcPr>
            <w:tcW w:w="353" w:type="dxa"/>
            <w:tcBorders>
              <w:top w:val="single" w:sz="4" w:space="0" w:color="auto"/>
              <w:left w:val="single" w:sz="4" w:space="0" w:color="auto"/>
              <w:bottom w:val="single" w:sz="4" w:space="0" w:color="auto"/>
              <w:right w:val="single" w:sz="4" w:space="0" w:color="auto"/>
            </w:tcBorders>
          </w:tcPr>
          <w:p w14:paraId="5186D7B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275</w:t>
            </w:r>
          </w:p>
        </w:tc>
      </w:tr>
      <w:tr w:rsidR="004E10C1" w:rsidRPr="0044524F" w14:paraId="758D9309" w14:textId="77777777" w:rsidTr="003628CD">
        <w:tc>
          <w:tcPr>
            <w:tcW w:w="1007" w:type="dxa"/>
            <w:tcBorders>
              <w:top w:val="single" w:sz="4" w:space="0" w:color="auto"/>
              <w:left w:val="single" w:sz="4" w:space="0" w:color="auto"/>
              <w:bottom w:val="single" w:sz="4" w:space="0" w:color="auto"/>
              <w:right w:val="single" w:sz="4" w:space="0" w:color="auto"/>
            </w:tcBorders>
          </w:tcPr>
          <w:p w14:paraId="10982FC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Всехимпром</w:t>
            </w:r>
          </w:p>
        </w:tc>
        <w:tc>
          <w:tcPr>
            <w:tcW w:w="1502" w:type="dxa"/>
            <w:tcBorders>
              <w:top w:val="single" w:sz="4" w:space="0" w:color="auto"/>
              <w:left w:val="single" w:sz="4" w:space="0" w:color="auto"/>
              <w:bottom w:val="single" w:sz="4" w:space="0" w:color="auto"/>
              <w:right w:val="single" w:sz="4" w:space="0" w:color="auto"/>
            </w:tcBorders>
          </w:tcPr>
          <w:p w14:paraId="396CE13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ГИББС</w:t>
            </w:r>
          </w:p>
        </w:tc>
        <w:tc>
          <w:tcPr>
            <w:tcW w:w="1078" w:type="dxa"/>
            <w:tcBorders>
              <w:top w:val="single" w:sz="4" w:space="0" w:color="auto"/>
              <w:left w:val="single" w:sz="4" w:space="0" w:color="auto"/>
              <w:bottom w:val="single" w:sz="4" w:space="0" w:color="auto"/>
              <w:right w:val="single" w:sz="4" w:space="0" w:color="auto"/>
            </w:tcBorders>
          </w:tcPr>
          <w:p w14:paraId="21080C1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1928</w:t>
            </w:r>
          </w:p>
        </w:tc>
        <w:tc>
          <w:tcPr>
            <w:tcW w:w="1219" w:type="dxa"/>
            <w:tcBorders>
              <w:top w:val="single" w:sz="4" w:space="0" w:color="auto"/>
              <w:left w:val="single" w:sz="4" w:space="0" w:color="auto"/>
              <w:bottom w:val="single" w:sz="4" w:space="0" w:color="auto"/>
              <w:right w:val="single" w:sz="4" w:space="0" w:color="auto"/>
            </w:tcBorders>
          </w:tcPr>
          <w:p w14:paraId="4CC4886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AB28EA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636" w:type="dxa"/>
            <w:tcBorders>
              <w:top w:val="single" w:sz="4" w:space="0" w:color="auto"/>
              <w:left w:val="single" w:sz="4" w:space="0" w:color="auto"/>
              <w:bottom w:val="single" w:sz="4" w:space="0" w:color="auto"/>
              <w:right w:val="single" w:sz="4" w:space="0" w:color="auto"/>
            </w:tcBorders>
          </w:tcPr>
          <w:p w14:paraId="1F18247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C3CBE9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4169091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78D64F82" w14:textId="77777777" w:rsidTr="003628CD">
        <w:tc>
          <w:tcPr>
            <w:tcW w:w="1007" w:type="dxa"/>
            <w:tcBorders>
              <w:top w:val="single" w:sz="4" w:space="0" w:color="auto"/>
              <w:left w:val="single" w:sz="4" w:space="0" w:color="auto"/>
              <w:bottom w:val="single" w:sz="4" w:space="0" w:color="auto"/>
              <w:right w:val="single" w:sz="4" w:space="0" w:color="auto"/>
            </w:tcBorders>
          </w:tcPr>
          <w:p w14:paraId="534EB38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Всехимпром</w:t>
            </w:r>
          </w:p>
        </w:tc>
        <w:tc>
          <w:tcPr>
            <w:tcW w:w="1502" w:type="dxa"/>
            <w:tcBorders>
              <w:top w:val="single" w:sz="4" w:space="0" w:color="auto"/>
              <w:left w:val="single" w:sz="4" w:space="0" w:color="auto"/>
              <w:bottom w:val="single" w:sz="4" w:space="0" w:color="auto"/>
              <w:right w:val="single" w:sz="4" w:space="0" w:color="auto"/>
            </w:tcBorders>
          </w:tcPr>
          <w:p w14:paraId="0D496A2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Нитрит</w:t>
            </w:r>
          </w:p>
        </w:tc>
        <w:tc>
          <w:tcPr>
            <w:tcW w:w="1078" w:type="dxa"/>
            <w:tcBorders>
              <w:top w:val="single" w:sz="4" w:space="0" w:color="auto"/>
              <w:left w:val="single" w:sz="4" w:space="0" w:color="auto"/>
              <w:bottom w:val="single" w:sz="4" w:space="0" w:color="auto"/>
              <w:right w:val="single" w:sz="4" w:space="0" w:color="auto"/>
            </w:tcBorders>
          </w:tcPr>
          <w:p w14:paraId="547A318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1927</w:t>
            </w:r>
          </w:p>
        </w:tc>
        <w:tc>
          <w:tcPr>
            <w:tcW w:w="1219" w:type="dxa"/>
            <w:tcBorders>
              <w:top w:val="single" w:sz="4" w:space="0" w:color="auto"/>
              <w:left w:val="single" w:sz="4" w:space="0" w:color="auto"/>
              <w:bottom w:val="single" w:sz="4" w:space="0" w:color="auto"/>
              <w:right w:val="single" w:sz="4" w:space="0" w:color="auto"/>
            </w:tcBorders>
          </w:tcPr>
          <w:p w14:paraId="6ECB26A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0297360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636" w:type="dxa"/>
            <w:tcBorders>
              <w:top w:val="single" w:sz="4" w:space="0" w:color="auto"/>
              <w:left w:val="single" w:sz="4" w:space="0" w:color="auto"/>
              <w:bottom w:val="single" w:sz="4" w:space="0" w:color="auto"/>
              <w:right w:val="single" w:sz="4" w:space="0" w:color="auto"/>
            </w:tcBorders>
          </w:tcPr>
          <w:p w14:paraId="7E0178F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1989CF2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56DD0A0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r>
      <w:tr w:rsidR="004E10C1" w:rsidRPr="0044524F" w14:paraId="01F38C9E" w14:textId="77777777" w:rsidTr="003628CD">
        <w:tc>
          <w:tcPr>
            <w:tcW w:w="1007" w:type="dxa"/>
            <w:tcBorders>
              <w:top w:val="single" w:sz="4" w:space="0" w:color="auto"/>
              <w:left w:val="single" w:sz="4" w:space="0" w:color="auto"/>
              <w:bottom w:val="single" w:sz="4" w:space="0" w:color="auto"/>
              <w:right w:val="single" w:sz="4" w:space="0" w:color="auto"/>
            </w:tcBorders>
          </w:tcPr>
          <w:p w14:paraId="50B52B6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Цветметзолото</w:t>
            </w:r>
          </w:p>
        </w:tc>
        <w:tc>
          <w:tcPr>
            <w:tcW w:w="1502" w:type="dxa"/>
            <w:tcBorders>
              <w:top w:val="single" w:sz="4" w:space="0" w:color="auto"/>
              <w:left w:val="single" w:sz="4" w:space="0" w:color="auto"/>
              <w:bottom w:val="single" w:sz="4" w:space="0" w:color="auto"/>
              <w:right w:val="single" w:sz="4" w:space="0" w:color="auto"/>
            </w:tcBorders>
          </w:tcPr>
          <w:p w14:paraId="515008E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Сименс-Гальске</w:t>
            </w:r>
          </w:p>
        </w:tc>
        <w:tc>
          <w:tcPr>
            <w:tcW w:w="1078" w:type="dxa"/>
            <w:tcBorders>
              <w:top w:val="single" w:sz="4" w:space="0" w:color="auto"/>
              <w:left w:val="single" w:sz="4" w:space="0" w:color="auto"/>
              <w:bottom w:val="single" w:sz="4" w:space="0" w:color="auto"/>
              <w:right w:val="single" w:sz="4" w:space="0" w:color="auto"/>
            </w:tcBorders>
          </w:tcPr>
          <w:p w14:paraId="06718B7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D00F58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38D821F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636" w:type="dxa"/>
            <w:tcBorders>
              <w:top w:val="single" w:sz="4" w:space="0" w:color="auto"/>
              <w:left w:val="single" w:sz="4" w:space="0" w:color="auto"/>
              <w:bottom w:val="single" w:sz="4" w:space="0" w:color="auto"/>
              <w:right w:val="single" w:sz="4" w:space="0" w:color="auto"/>
            </w:tcBorders>
          </w:tcPr>
          <w:p w14:paraId="569B1BF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178C2DB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7C2A9A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r>
      <w:tr w:rsidR="004E10C1" w:rsidRPr="0044524F" w14:paraId="260983C3" w14:textId="77777777" w:rsidTr="003628CD">
        <w:tc>
          <w:tcPr>
            <w:tcW w:w="1007" w:type="dxa"/>
            <w:tcBorders>
              <w:top w:val="single" w:sz="4" w:space="0" w:color="auto"/>
              <w:left w:val="single" w:sz="4" w:space="0" w:color="auto"/>
              <w:bottom w:val="single" w:sz="4" w:space="0" w:color="auto"/>
              <w:right w:val="single" w:sz="4" w:space="0" w:color="auto"/>
            </w:tcBorders>
          </w:tcPr>
          <w:p w14:paraId="7766432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 Текстиль</w:t>
            </w:r>
          </w:p>
        </w:tc>
        <w:tc>
          <w:tcPr>
            <w:tcW w:w="1502" w:type="dxa"/>
            <w:tcBorders>
              <w:top w:val="single" w:sz="4" w:space="0" w:color="auto"/>
              <w:left w:val="single" w:sz="4" w:space="0" w:color="auto"/>
              <w:bottom w:val="single" w:sz="4" w:space="0" w:color="auto"/>
              <w:right w:val="single" w:sz="4" w:space="0" w:color="auto"/>
            </w:tcBorders>
          </w:tcPr>
          <w:p w14:paraId="292BA43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Суари</w:t>
            </w:r>
          </w:p>
        </w:tc>
        <w:tc>
          <w:tcPr>
            <w:tcW w:w="1078" w:type="dxa"/>
            <w:tcBorders>
              <w:top w:val="single" w:sz="4" w:space="0" w:color="auto"/>
              <w:left w:val="single" w:sz="4" w:space="0" w:color="auto"/>
              <w:bottom w:val="single" w:sz="4" w:space="0" w:color="auto"/>
              <w:right w:val="single" w:sz="4" w:space="0" w:color="auto"/>
            </w:tcBorders>
          </w:tcPr>
          <w:p w14:paraId="0A468EA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FDB152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22C832E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c>
          <w:tcPr>
            <w:tcW w:w="636" w:type="dxa"/>
            <w:tcBorders>
              <w:top w:val="single" w:sz="4" w:space="0" w:color="auto"/>
              <w:left w:val="single" w:sz="4" w:space="0" w:color="auto"/>
              <w:bottom w:val="single" w:sz="4" w:space="0" w:color="auto"/>
              <w:right w:val="single" w:sz="4" w:space="0" w:color="auto"/>
            </w:tcBorders>
          </w:tcPr>
          <w:p w14:paraId="755542F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2F724B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3E49889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w:t>
            </w:r>
          </w:p>
        </w:tc>
      </w:tr>
      <w:tr w:rsidR="004E10C1" w:rsidRPr="0044524F" w14:paraId="0BDCB740" w14:textId="77777777" w:rsidTr="003628CD">
        <w:tc>
          <w:tcPr>
            <w:tcW w:w="1007" w:type="dxa"/>
            <w:tcBorders>
              <w:top w:val="single" w:sz="4" w:space="0" w:color="auto"/>
              <w:left w:val="single" w:sz="4" w:space="0" w:color="auto"/>
              <w:bottom w:val="single" w:sz="4" w:space="0" w:color="auto"/>
              <w:right w:val="single" w:sz="4" w:space="0" w:color="auto"/>
            </w:tcBorders>
          </w:tcPr>
          <w:p w14:paraId="56109C3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Союзасбест</w:t>
            </w:r>
          </w:p>
        </w:tc>
        <w:tc>
          <w:tcPr>
            <w:tcW w:w="1502" w:type="dxa"/>
            <w:tcBorders>
              <w:top w:val="single" w:sz="4" w:space="0" w:color="auto"/>
              <w:left w:val="single" w:sz="4" w:space="0" w:color="auto"/>
              <w:bottom w:val="single" w:sz="4" w:space="0" w:color="auto"/>
              <w:right w:val="single" w:sz="4" w:space="0" w:color="auto"/>
            </w:tcBorders>
          </w:tcPr>
          <w:p w14:paraId="5644E12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Рюккайзер</w:t>
            </w:r>
          </w:p>
        </w:tc>
        <w:tc>
          <w:tcPr>
            <w:tcW w:w="1078" w:type="dxa"/>
            <w:tcBorders>
              <w:top w:val="single" w:sz="4" w:space="0" w:color="auto"/>
              <w:left w:val="single" w:sz="4" w:space="0" w:color="auto"/>
              <w:bottom w:val="single" w:sz="4" w:space="0" w:color="auto"/>
              <w:right w:val="single" w:sz="4" w:space="0" w:color="auto"/>
            </w:tcBorders>
          </w:tcPr>
          <w:p w14:paraId="2B7EC82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39D2178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4BDC695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c>
          <w:tcPr>
            <w:tcW w:w="636" w:type="dxa"/>
            <w:tcBorders>
              <w:top w:val="single" w:sz="4" w:space="0" w:color="auto"/>
              <w:left w:val="single" w:sz="4" w:space="0" w:color="auto"/>
              <w:bottom w:val="single" w:sz="4" w:space="0" w:color="auto"/>
              <w:right w:val="single" w:sz="4" w:space="0" w:color="auto"/>
            </w:tcBorders>
          </w:tcPr>
          <w:p w14:paraId="61C1C7E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21FDE6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7BA5348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w:t>
            </w:r>
          </w:p>
        </w:tc>
      </w:tr>
      <w:tr w:rsidR="004E10C1" w:rsidRPr="0044524F" w14:paraId="1ACA1426" w14:textId="77777777" w:rsidTr="003628CD">
        <w:tc>
          <w:tcPr>
            <w:tcW w:w="1007" w:type="dxa"/>
            <w:tcBorders>
              <w:top w:val="single" w:sz="4" w:space="0" w:color="auto"/>
              <w:left w:val="single" w:sz="4" w:space="0" w:color="auto"/>
              <w:bottom w:val="single" w:sz="4" w:space="0" w:color="auto"/>
              <w:right w:val="single" w:sz="4" w:space="0" w:color="auto"/>
            </w:tcBorders>
          </w:tcPr>
          <w:p w14:paraId="2D6EB92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Швейпром</w:t>
            </w:r>
          </w:p>
        </w:tc>
        <w:tc>
          <w:tcPr>
            <w:tcW w:w="1502" w:type="dxa"/>
            <w:tcBorders>
              <w:top w:val="single" w:sz="4" w:space="0" w:color="auto"/>
              <w:left w:val="single" w:sz="4" w:space="0" w:color="auto"/>
              <w:bottom w:val="single" w:sz="4" w:space="0" w:color="auto"/>
              <w:right w:val="single" w:sz="4" w:space="0" w:color="auto"/>
            </w:tcBorders>
          </w:tcPr>
          <w:p w14:paraId="0BC157F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Ирвинг</w:t>
            </w:r>
          </w:p>
        </w:tc>
        <w:tc>
          <w:tcPr>
            <w:tcW w:w="1078" w:type="dxa"/>
            <w:tcBorders>
              <w:top w:val="single" w:sz="4" w:space="0" w:color="auto"/>
              <w:left w:val="single" w:sz="4" w:space="0" w:color="auto"/>
              <w:bottom w:val="single" w:sz="4" w:space="0" w:color="auto"/>
              <w:right w:val="single" w:sz="4" w:space="0" w:color="auto"/>
            </w:tcBorders>
          </w:tcPr>
          <w:p w14:paraId="1358A04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4A09C62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989" w:type="dxa"/>
            <w:tcBorders>
              <w:top w:val="single" w:sz="4" w:space="0" w:color="auto"/>
              <w:left w:val="single" w:sz="4" w:space="0" w:color="auto"/>
              <w:bottom w:val="single" w:sz="4" w:space="0" w:color="auto"/>
              <w:right w:val="single" w:sz="4" w:space="0" w:color="auto"/>
            </w:tcBorders>
          </w:tcPr>
          <w:p w14:paraId="74043B8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636" w:type="dxa"/>
            <w:tcBorders>
              <w:top w:val="single" w:sz="4" w:space="0" w:color="auto"/>
              <w:left w:val="single" w:sz="4" w:space="0" w:color="auto"/>
              <w:bottom w:val="single" w:sz="4" w:space="0" w:color="auto"/>
              <w:right w:val="single" w:sz="4" w:space="0" w:color="auto"/>
            </w:tcBorders>
          </w:tcPr>
          <w:p w14:paraId="616DB1E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484F5D9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7C7105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r>
      <w:tr w:rsidR="004E10C1" w:rsidRPr="0044524F" w14:paraId="7FAD889D" w14:textId="77777777" w:rsidTr="003628CD">
        <w:tc>
          <w:tcPr>
            <w:tcW w:w="1007" w:type="dxa"/>
            <w:tcBorders>
              <w:top w:val="single" w:sz="4" w:space="0" w:color="auto"/>
              <w:left w:val="single" w:sz="4" w:space="0" w:color="auto"/>
              <w:bottom w:val="single" w:sz="4" w:space="0" w:color="auto"/>
              <w:right w:val="single" w:sz="4" w:space="0" w:color="auto"/>
            </w:tcBorders>
          </w:tcPr>
          <w:p w14:paraId="5573C10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Вохимтрест</w:t>
            </w:r>
          </w:p>
        </w:tc>
        <w:tc>
          <w:tcPr>
            <w:tcW w:w="1502" w:type="dxa"/>
            <w:tcBorders>
              <w:top w:val="single" w:sz="4" w:space="0" w:color="auto"/>
              <w:left w:val="single" w:sz="4" w:space="0" w:color="auto"/>
              <w:bottom w:val="single" w:sz="4" w:space="0" w:color="auto"/>
              <w:right w:val="single" w:sz="4" w:space="0" w:color="auto"/>
            </w:tcBorders>
          </w:tcPr>
          <w:p w14:paraId="54C137D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Стик-Обур</w:t>
            </w:r>
          </w:p>
        </w:tc>
        <w:tc>
          <w:tcPr>
            <w:tcW w:w="1078" w:type="dxa"/>
            <w:tcBorders>
              <w:top w:val="single" w:sz="4" w:space="0" w:color="auto"/>
              <w:left w:val="single" w:sz="4" w:space="0" w:color="auto"/>
              <w:bottom w:val="single" w:sz="4" w:space="0" w:color="auto"/>
              <w:right w:val="single" w:sz="4" w:space="0" w:color="auto"/>
            </w:tcBorders>
          </w:tcPr>
          <w:p w14:paraId="1387BDC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59871A4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2F082A7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751660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c>
          <w:tcPr>
            <w:tcW w:w="636" w:type="dxa"/>
            <w:tcBorders>
              <w:top w:val="single" w:sz="4" w:space="0" w:color="auto"/>
              <w:left w:val="single" w:sz="4" w:space="0" w:color="auto"/>
              <w:bottom w:val="single" w:sz="4" w:space="0" w:color="auto"/>
              <w:right w:val="single" w:sz="4" w:space="0" w:color="auto"/>
            </w:tcBorders>
          </w:tcPr>
          <w:p w14:paraId="38C3013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2C1368F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r>
      <w:tr w:rsidR="004E10C1" w:rsidRPr="0044524F" w14:paraId="0C996B4C" w14:textId="77777777" w:rsidTr="003628CD">
        <w:tc>
          <w:tcPr>
            <w:tcW w:w="1007" w:type="dxa"/>
            <w:tcBorders>
              <w:top w:val="single" w:sz="4" w:space="0" w:color="auto"/>
              <w:left w:val="single" w:sz="4" w:space="0" w:color="auto"/>
              <w:bottom w:val="single" w:sz="4" w:space="0" w:color="auto"/>
              <w:right w:val="single" w:sz="4" w:space="0" w:color="auto"/>
            </w:tcBorders>
          </w:tcPr>
          <w:p w14:paraId="3F5EEF8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Оруд. объед.</w:t>
            </w:r>
          </w:p>
        </w:tc>
        <w:tc>
          <w:tcPr>
            <w:tcW w:w="1502" w:type="dxa"/>
            <w:tcBorders>
              <w:top w:val="single" w:sz="4" w:space="0" w:color="auto"/>
              <w:left w:val="single" w:sz="4" w:space="0" w:color="auto"/>
              <w:bottom w:val="single" w:sz="4" w:space="0" w:color="auto"/>
              <w:right w:val="single" w:sz="4" w:space="0" w:color="auto"/>
            </w:tcBorders>
          </w:tcPr>
          <w:p w14:paraId="3818486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Фольмар</w:t>
            </w:r>
          </w:p>
        </w:tc>
        <w:tc>
          <w:tcPr>
            <w:tcW w:w="1078" w:type="dxa"/>
            <w:tcBorders>
              <w:top w:val="single" w:sz="4" w:space="0" w:color="auto"/>
              <w:left w:val="single" w:sz="4" w:space="0" w:color="auto"/>
              <w:bottom w:val="single" w:sz="4" w:space="0" w:color="auto"/>
              <w:right w:val="single" w:sz="4" w:space="0" w:color="auto"/>
            </w:tcBorders>
          </w:tcPr>
          <w:p w14:paraId="169DF43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44AE3A7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989" w:type="dxa"/>
            <w:tcBorders>
              <w:top w:val="single" w:sz="4" w:space="0" w:color="auto"/>
              <w:left w:val="single" w:sz="4" w:space="0" w:color="auto"/>
              <w:bottom w:val="single" w:sz="4" w:space="0" w:color="auto"/>
              <w:right w:val="single" w:sz="4" w:space="0" w:color="auto"/>
            </w:tcBorders>
          </w:tcPr>
          <w:p w14:paraId="6B06D82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00A01F7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636" w:type="dxa"/>
            <w:tcBorders>
              <w:top w:val="single" w:sz="4" w:space="0" w:color="auto"/>
              <w:left w:val="single" w:sz="4" w:space="0" w:color="auto"/>
              <w:bottom w:val="single" w:sz="4" w:space="0" w:color="auto"/>
              <w:right w:val="single" w:sz="4" w:space="0" w:color="auto"/>
            </w:tcBorders>
          </w:tcPr>
          <w:p w14:paraId="19E438C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53" w:type="dxa"/>
            <w:tcBorders>
              <w:top w:val="single" w:sz="4" w:space="0" w:color="auto"/>
              <w:left w:val="single" w:sz="4" w:space="0" w:color="auto"/>
              <w:bottom w:val="single" w:sz="4" w:space="0" w:color="auto"/>
              <w:right w:val="single" w:sz="4" w:space="0" w:color="auto"/>
            </w:tcBorders>
          </w:tcPr>
          <w:p w14:paraId="6363F42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1E5D2F7C" w14:textId="77777777" w:rsidTr="003628CD">
        <w:tc>
          <w:tcPr>
            <w:tcW w:w="1007" w:type="dxa"/>
            <w:tcBorders>
              <w:top w:val="single" w:sz="4" w:space="0" w:color="auto"/>
              <w:left w:val="single" w:sz="4" w:space="0" w:color="auto"/>
              <w:bottom w:val="single" w:sz="4" w:space="0" w:color="auto"/>
              <w:right w:val="single" w:sz="4" w:space="0" w:color="auto"/>
            </w:tcBorders>
          </w:tcPr>
          <w:p w14:paraId="74B6018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ВЭСО</w:t>
            </w:r>
          </w:p>
        </w:tc>
        <w:tc>
          <w:tcPr>
            <w:tcW w:w="1502" w:type="dxa"/>
            <w:tcBorders>
              <w:top w:val="single" w:sz="4" w:space="0" w:color="auto"/>
              <w:left w:val="single" w:sz="4" w:space="0" w:color="auto"/>
              <w:bottom w:val="single" w:sz="4" w:space="0" w:color="auto"/>
              <w:right w:val="single" w:sz="4" w:space="0" w:color="auto"/>
            </w:tcBorders>
          </w:tcPr>
          <w:p w14:paraId="056647E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Тесафи</w:t>
            </w:r>
          </w:p>
        </w:tc>
        <w:tc>
          <w:tcPr>
            <w:tcW w:w="1078" w:type="dxa"/>
            <w:tcBorders>
              <w:top w:val="single" w:sz="4" w:space="0" w:color="auto"/>
              <w:left w:val="single" w:sz="4" w:space="0" w:color="auto"/>
              <w:bottom w:val="single" w:sz="4" w:space="0" w:color="auto"/>
              <w:right w:val="single" w:sz="4" w:space="0" w:color="auto"/>
            </w:tcBorders>
          </w:tcPr>
          <w:p w14:paraId="3FE04B7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1ABD08E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610C320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BE73C4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0FF9F6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353" w:type="dxa"/>
            <w:tcBorders>
              <w:top w:val="single" w:sz="4" w:space="0" w:color="auto"/>
              <w:left w:val="single" w:sz="4" w:space="0" w:color="auto"/>
              <w:bottom w:val="single" w:sz="4" w:space="0" w:color="auto"/>
              <w:right w:val="single" w:sz="4" w:space="0" w:color="auto"/>
            </w:tcBorders>
          </w:tcPr>
          <w:p w14:paraId="4992C35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r>
      <w:tr w:rsidR="004E10C1" w:rsidRPr="0044524F" w14:paraId="737C055F" w14:textId="77777777" w:rsidTr="003628CD">
        <w:tc>
          <w:tcPr>
            <w:tcW w:w="1007" w:type="dxa"/>
            <w:tcBorders>
              <w:top w:val="single" w:sz="4" w:space="0" w:color="auto"/>
              <w:left w:val="single" w:sz="4" w:space="0" w:color="auto"/>
              <w:bottom w:val="single" w:sz="4" w:space="0" w:color="auto"/>
              <w:right w:val="single" w:sz="4" w:space="0" w:color="auto"/>
            </w:tcBorders>
          </w:tcPr>
          <w:p w14:paraId="77F36F1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ВЭО</w:t>
            </w:r>
          </w:p>
        </w:tc>
        <w:tc>
          <w:tcPr>
            <w:tcW w:w="1502" w:type="dxa"/>
            <w:tcBorders>
              <w:top w:val="single" w:sz="4" w:space="0" w:color="auto"/>
              <w:left w:val="single" w:sz="4" w:space="0" w:color="auto"/>
              <w:bottom w:val="single" w:sz="4" w:space="0" w:color="auto"/>
              <w:right w:val="single" w:sz="4" w:space="0" w:color="auto"/>
            </w:tcBorders>
          </w:tcPr>
          <w:p w14:paraId="50F9339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Любек</w:t>
            </w:r>
          </w:p>
        </w:tc>
        <w:tc>
          <w:tcPr>
            <w:tcW w:w="1078" w:type="dxa"/>
            <w:tcBorders>
              <w:top w:val="single" w:sz="4" w:space="0" w:color="auto"/>
              <w:left w:val="single" w:sz="4" w:space="0" w:color="auto"/>
              <w:bottom w:val="single" w:sz="4" w:space="0" w:color="auto"/>
              <w:right w:val="single" w:sz="4" w:space="0" w:color="auto"/>
            </w:tcBorders>
          </w:tcPr>
          <w:p w14:paraId="033D4CA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219" w:type="dxa"/>
            <w:tcBorders>
              <w:top w:val="single" w:sz="4" w:space="0" w:color="auto"/>
              <w:left w:val="single" w:sz="4" w:space="0" w:color="auto"/>
              <w:bottom w:val="single" w:sz="4" w:space="0" w:color="auto"/>
              <w:right w:val="single" w:sz="4" w:space="0" w:color="auto"/>
            </w:tcBorders>
          </w:tcPr>
          <w:p w14:paraId="61B15A0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6BD6EE4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2F80B5D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7CD106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353" w:type="dxa"/>
            <w:tcBorders>
              <w:top w:val="single" w:sz="4" w:space="0" w:color="auto"/>
              <w:left w:val="single" w:sz="4" w:space="0" w:color="auto"/>
              <w:bottom w:val="single" w:sz="4" w:space="0" w:color="auto"/>
              <w:right w:val="single" w:sz="4" w:space="0" w:color="auto"/>
            </w:tcBorders>
          </w:tcPr>
          <w:p w14:paraId="10FA758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r>
      <w:tr w:rsidR="004E10C1" w:rsidRPr="0044524F" w14:paraId="6C7A6BB6" w14:textId="77777777" w:rsidTr="003628CD">
        <w:tc>
          <w:tcPr>
            <w:tcW w:w="1007" w:type="dxa"/>
            <w:tcBorders>
              <w:top w:val="single" w:sz="4" w:space="0" w:color="auto"/>
              <w:left w:val="single" w:sz="4" w:space="0" w:color="auto"/>
              <w:bottom w:val="single" w:sz="4" w:space="0" w:color="auto"/>
              <w:right w:val="single" w:sz="4" w:space="0" w:color="auto"/>
            </w:tcBorders>
          </w:tcPr>
          <w:p w14:paraId="77E7105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766A92C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Эрхардт</w:t>
            </w:r>
          </w:p>
        </w:tc>
        <w:tc>
          <w:tcPr>
            <w:tcW w:w="1078" w:type="dxa"/>
            <w:tcBorders>
              <w:top w:val="single" w:sz="4" w:space="0" w:color="auto"/>
              <w:left w:val="single" w:sz="4" w:space="0" w:color="auto"/>
              <w:bottom w:val="single" w:sz="4" w:space="0" w:color="auto"/>
              <w:right w:val="single" w:sz="4" w:space="0" w:color="auto"/>
            </w:tcBorders>
          </w:tcPr>
          <w:p w14:paraId="718DA68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623B22F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11BA7E4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A8A79D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6D716BC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353" w:type="dxa"/>
            <w:tcBorders>
              <w:top w:val="single" w:sz="4" w:space="0" w:color="auto"/>
              <w:left w:val="single" w:sz="4" w:space="0" w:color="auto"/>
              <w:bottom w:val="single" w:sz="4" w:space="0" w:color="auto"/>
              <w:right w:val="single" w:sz="4" w:space="0" w:color="auto"/>
            </w:tcBorders>
          </w:tcPr>
          <w:p w14:paraId="3341558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r>
      <w:tr w:rsidR="004E10C1" w:rsidRPr="0044524F" w14:paraId="3F44D0F5" w14:textId="77777777" w:rsidTr="003628CD">
        <w:tc>
          <w:tcPr>
            <w:tcW w:w="1007" w:type="dxa"/>
            <w:tcBorders>
              <w:top w:val="single" w:sz="4" w:space="0" w:color="auto"/>
              <w:left w:val="single" w:sz="4" w:space="0" w:color="auto"/>
              <w:bottom w:val="single" w:sz="4" w:space="0" w:color="auto"/>
              <w:right w:val="single" w:sz="4" w:space="0" w:color="auto"/>
            </w:tcBorders>
          </w:tcPr>
          <w:p w14:paraId="2F831F4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ВОМТ</w:t>
            </w:r>
          </w:p>
        </w:tc>
        <w:tc>
          <w:tcPr>
            <w:tcW w:w="1502" w:type="dxa"/>
            <w:tcBorders>
              <w:top w:val="single" w:sz="4" w:space="0" w:color="auto"/>
              <w:left w:val="single" w:sz="4" w:space="0" w:color="auto"/>
              <w:bottom w:val="single" w:sz="4" w:space="0" w:color="auto"/>
              <w:right w:val="single" w:sz="4" w:space="0" w:color="auto"/>
            </w:tcBorders>
          </w:tcPr>
          <w:p w14:paraId="5452B71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Крупп-Груз.</w:t>
            </w:r>
          </w:p>
        </w:tc>
        <w:tc>
          <w:tcPr>
            <w:tcW w:w="1078" w:type="dxa"/>
            <w:tcBorders>
              <w:top w:val="single" w:sz="4" w:space="0" w:color="auto"/>
              <w:left w:val="single" w:sz="4" w:space="0" w:color="auto"/>
              <w:bottom w:val="single" w:sz="4" w:space="0" w:color="auto"/>
              <w:right w:val="single" w:sz="4" w:space="0" w:color="auto"/>
            </w:tcBorders>
          </w:tcPr>
          <w:p w14:paraId="0446A2D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1929</w:t>
            </w:r>
          </w:p>
        </w:tc>
        <w:tc>
          <w:tcPr>
            <w:tcW w:w="1219" w:type="dxa"/>
            <w:tcBorders>
              <w:top w:val="single" w:sz="4" w:space="0" w:color="auto"/>
              <w:left w:val="single" w:sz="4" w:space="0" w:color="auto"/>
              <w:bottom w:val="single" w:sz="4" w:space="0" w:color="auto"/>
              <w:right w:val="single" w:sz="4" w:space="0" w:color="auto"/>
            </w:tcBorders>
          </w:tcPr>
          <w:p w14:paraId="24E2799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w:t>
            </w:r>
          </w:p>
        </w:tc>
        <w:tc>
          <w:tcPr>
            <w:tcW w:w="989" w:type="dxa"/>
            <w:tcBorders>
              <w:top w:val="single" w:sz="4" w:space="0" w:color="auto"/>
              <w:left w:val="single" w:sz="4" w:space="0" w:color="auto"/>
              <w:bottom w:val="single" w:sz="4" w:space="0" w:color="auto"/>
              <w:right w:val="single" w:sz="4" w:space="0" w:color="auto"/>
            </w:tcBorders>
          </w:tcPr>
          <w:p w14:paraId="1F5E402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7DD03D3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636" w:type="dxa"/>
            <w:tcBorders>
              <w:top w:val="single" w:sz="4" w:space="0" w:color="auto"/>
              <w:left w:val="single" w:sz="4" w:space="0" w:color="auto"/>
              <w:bottom w:val="single" w:sz="4" w:space="0" w:color="auto"/>
              <w:right w:val="single" w:sz="4" w:space="0" w:color="auto"/>
            </w:tcBorders>
          </w:tcPr>
          <w:p w14:paraId="38CA068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c>
          <w:tcPr>
            <w:tcW w:w="353" w:type="dxa"/>
            <w:tcBorders>
              <w:top w:val="single" w:sz="4" w:space="0" w:color="auto"/>
              <w:left w:val="single" w:sz="4" w:space="0" w:color="auto"/>
              <w:bottom w:val="single" w:sz="4" w:space="0" w:color="auto"/>
              <w:right w:val="single" w:sz="4" w:space="0" w:color="auto"/>
            </w:tcBorders>
          </w:tcPr>
          <w:p w14:paraId="396A54D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w:t>
            </w:r>
          </w:p>
        </w:tc>
      </w:tr>
      <w:tr w:rsidR="004E10C1" w:rsidRPr="0044524F" w14:paraId="2619B68E" w14:textId="77777777" w:rsidTr="003628CD">
        <w:tc>
          <w:tcPr>
            <w:tcW w:w="1007" w:type="dxa"/>
            <w:gridSpan w:val="4"/>
            <w:tcBorders>
              <w:top w:val="single" w:sz="4" w:space="0" w:color="auto"/>
              <w:left w:val="single" w:sz="4" w:space="0" w:color="auto"/>
              <w:bottom w:val="single" w:sz="4" w:space="0" w:color="auto"/>
              <w:right w:val="single" w:sz="4" w:space="0" w:color="auto"/>
            </w:tcBorders>
          </w:tcPr>
          <w:p w14:paraId="4E112A9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РАСТОРГНУТО 37 ДОГОВОРОВ</w:t>
            </w:r>
          </w:p>
        </w:tc>
        <w:tc>
          <w:tcPr>
            <w:tcW w:w="989" w:type="dxa"/>
            <w:tcBorders>
              <w:top w:val="single" w:sz="4" w:space="0" w:color="auto"/>
              <w:left w:val="single" w:sz="4" w:space="0" w:color="auto"/>
              <w:bottom w:val="single" w:sz="4" w:space="0" w:color="auto"/>
              <w:right w:val="single" w:sz="4" w:space="0" w:color="auto"/>
            </w:tcBorders>
          </w:tcPr>
          <w:p w14:paraId="039B7F5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3494</w:t>
            </w:r>
          </w:p>
        </w:tc>
        <w:tc>
          <w:tcPr>
            <w:tcW w:w="636" w:type="dxa"/>
            <w:tcBorders>
              <w:top w:val="single" w:sz="4" w:space="0" w:color="auto"/>
              <w:left w:val="single" w:sz="4" w:space="0" w:color="auto"/>
              <w:bottom w:val="single" w:sz="4" w:space="0" w:color="auto"/>
              <w:right w:val="single" w:sz="4" w:space="0" w:color="auto"/>
            </w:tcBorders>
          </w:tcPr>
          <w:p w14:paraId="7F70944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12090</w:t>
            </w:r>
          </w:p>
        </w:tc>
        <w:tc>
          <w:tcPr>
            <w:tcW w:w="636" w:type="dxa"/>
            <w:tcBorders>
              <w:top w:val="single" w:sz="4" w:space="0" w:color="auto"/>
              <w:left w:val="single" w:sz="4" w:space="0" w:color="auto"/>
              <w:bottom w:val="single" w:sz="4" w:space="0" w:color="auto"/>
              <w:right w:val="single" w:sz="4" w:space="0" w:color="auto"/>
            </w:tcBorders>
          </w:tcPr>
          <w:p w14:paraId="1CF45A2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528</w:t>
            </w:r>
          </w:p>
        </w:tc>
        <w:tc>
          <w:tcPr>
            <w:tcW w:w="353" w:type="dxa"/>
            <w:tcBorders>
              <w:top w:val="single" w:sz="4" w:space="0" w:color="auto"/>
              <w:left w:val="single" w:sz="4" w:space="0" w:color="auto"/>
              <w:bottom w:val="single" w:sz="4" w:space="0" w:color="auto"/>
              <w:right w:val="single" w:sz="4" w:space="0" w:color="auto"/>
            </w:tcBorders>
          </w:tcPr>
          <w:p w14:paraId="6534652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16112</w:t>
            </w:r>
          </w:p>
        </w:tc>
      </w:tr>
    </w:tbl>
    <w:p w14:paraId="437D253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Договора, отмеченные (*) расторгнуты односторонне, т. е. фирмам заявлено о прекращении договоров и все платежи задержаны. По этим договорам валютная экономия взята в размере 50% задержанных сумм, учитывая возможность выплаты некоторых компенсационных сумм.</w:t>
      </w:r>
    </w:p>
    <w:p w14:paraId="3308F78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Следующие цифры дают представление об общих валютных затратах на договора технической помощи:</w:t>
      </w:r>
    </w:p>
    <w:p w14:paraId="7A0D0CB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стоимость всех заключенных 170 договоров около 93 миллионов руб., из этой суммы на 1.XII.1933 г. уплачено около 65 млн. руб., достигнута экономия благодаря досрочному прекращению договоров около 16 млн. руб. и предстоит, следовательно, уплатить в 1934 г. и последующих около 12 млн. руб.</w:t>
      </w:r>
    </w:p>
    <w:p w14:paraId="61ADF9C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 Командировки заграницу на техучебу</w:t>
      </w:r>
    </w:p>
    <w:p w14:paraId="6A537EA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Практика последних лет показала, что для быстрой и полной наладки и освоения новых для нас производств наиболее эффективное использование технического опыта иностранных фирм происходит главным образом путем посылки на заграничные предприятия наших инженеров, мастеров и высококвалифицированных рабочих для практической работы на длительный срок (3?4 месяца) непосредственно в цехах, лабораториях и научно-исследовательских учреждениях инофирм. Наши работники, повышая свою квалификацию, в то же время «получают» на месте те важные для нас материалы и данные, которые инофирмы сознательно от нас скрывают.</w:t>
      </w:r>
    </w:p>
    <w:p w14:paraId="202FFF6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 работая на налаженных заграничных предприятиях и в лабораториях, наши работники гораздо быстрее осваивают технологические процессы и методы работы, что не удается обычно быстро и полно получить от инструкторов и специалистов фирм во время их работы на наших предприятиях.</w:t>
      </w:r>
    </w:p>
    <w:p w14:paraId="6C65E79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сожалению, тяжелая промышленность по независящим от нее причинам этот «канал» использовала в недостаточной степени, так как соответствующие инстанции при рассмотрении наших годовых планов резко урезывали количество командируемых на техучебу, так например: в 1932 г. мы имели право послать 1325 человек, разрешено было 309 человек. В 1933 г. мы имели право послать 1127 чел. разрешено также только 309 чел.</w:t>
      </w:r>
    </w:p>
    <w:p w14:paraId="1C7339A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Характерно то обстоятельство, что высшая директивная инстанция утвердила нам такие годовые валютные лимиты по инотехпомощи, которые давали возможность в достаточной степени использовать наше право на посылку заграницу для практической техучебы, не испрашивая при этом дополнительных ассигнований. Естественно, что такая искусственная урезка годовых планов загранкомандировок на техучебу, при условии валютных затрат на многие десятки миллионов зол. рублей по договорам техсодействия и на сотни миллионов рублей на заграничное оборудование, наносит государству большой материальный вред и тормозит своевременную и полную наладку и освоение ряда новых, важных отраслей промышленности в особенности военного и оборонного значения.</w:t>
      </w:r>
    </w:p>
    <w:p w14:paraId="0B78217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Разбивка командировок по отраслям промышленности</w:t>
      </w:r>
    </w:p>
    <w:p w14:paraId="1AA8FC5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Черная и цветная металлургия ................................457 (17,7%)</w:t>
      </w:r>
    </w:p>
    <w:p w14:paraId="5FE495B4" w14:textId="008FCB4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Машиностроение:а) электро б) авто в) общее машиностроение ..1129 (43,0%)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w:t>
      </w:r>
    </w:p>
    <w:p w14:paraId="5F4FF1E8" w14:textId="7A3DEFD8"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Химическая промышленность ...................................206</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(8,4%)</w:t>
      </w:r>
    </w:p>
    <w:p w14:paraId="1900311E" w14:textId="3D3D4306"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Военная промышленность ......................................191</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(8,1%)</w:t>
      </w:r>
    </w:p>
    <w:p w14:paraId="37690B9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Прочие (уголь, нефть, точная индустрия, слабый ток и т. д.) .589 (22,8%)</w:t>
      </w:r>
    </w:p>
    <w:p w14:paraId="53EE627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_______________________________________________________________________</w:t>
      </w:r>
    </w:p>
    <w:p w14:paraId="7B445B6C" w14:textId="4608CD65"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.....................................................2572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(100%)</w:t>
      </w:r>
    </w:p>
    <w:p w14:paraId="0874498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Допущенные вышеуказанные ошибки по линии загранкомандировок в предыдущие годы должны быть немедленно исправлены. Необходимо указать, что даже утвержденные и резко сокращенные валютные ассигнования по инотехпомощи в 1934 году дают возможность послать заграницу на техучебу до 900 человек.</w:t>
      </w:r>
    </w:p>
    <w:p w14:paraId="70358D4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Сведения о заграничных командировках по линии Наркомтяжпрома за время с 29/30 г. по 30.XI.33 г.</w:t>
      </w:r>
    </w:p>
    <w:tbl>
      <w:tblPr>
        <w:tblW w:w="0" w:type="auto"/>
        <w:tblLayout w:type="fixed"/>
        <w:tblCellMar>
          <w:left w:w="0" w:type="dxa"/>
          <w:right w:w="0" w:type="dxa"/>
        </w:tblCellMar>
        <w:tblLook w:val="0000" w:firstRow="0" w:lastRow="0" w:firstColumn="0" w:lastColumn="0" w:noHBand="0" w:noVBand="0"/>
      </w:tblPr>
      <w:tblGrid>
        <w:gridCol w:w="1367"/>
        <w:gridCol w:w="1797"/>
        <w:gridCol w:w="516"/>
        <w:gridCol w:w="344"/>
        <w:gridCol w:w="602"/>
        <w:gridCol w:w="688"/>
        <w:gridCol w:w="688"/>
        <w:gridCol w:w="688"/>
        <w:gridCol w:w="731"/>
        <w:gridCol w:w="731"/>
        <w:gridCol w:w="516"/>
        <w:gridCol w:w="688"/>
      </w:tblGrid>
      <w:tr w:rsidR="004E10C1" w:rsidRPr="0044524F" w14:paraId="0024441C" w14:textId="77777777" w:rsidTr="00CE35D9">
        <w:tc>
          <w:tcPr>
            <w:tcW w:w="1367" w:type="dxa"/>
            <w:tcBorders>
              <w:top w:val="none" w:sz="6" w:space="0" w:color="auto"/>
              <w:left w:val="none" w:sz="6" w:space="0" w:color="auto"/>
              <w:bottom w:val="none" w:sz="6" w:space="0" w:color="auto"/>
              <w:right w:val="none" w:sz="6" w:space="0" w:color="auto"/>
            </w:tcBorders>
          </w:tcPr>
          <w:p w14:paraId="517A5A8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какие годы</w:t>
            </w:r>
          </w:p>
        </w:tc>
        <w:tc>
          <w:tcPr>
            <w:tcW w:w="1797" w:type="dxa"/>
            <w:tcBorders>
              <w:top w:val="none" w:sz="6" w:space="0" w:color="auto"/>
              <w:left w:val="none" w:sz="6" w:space="0" w:color="auto"/>
              <w:bottom w:val="none" w:sz="6" w:space="0" w:color="auto"/>
              <w:right w:val="none" w:sz="6" w:space="0" w:color="auto"/>
            </w:tcBorders>
          </w:tcPr>
          <w:p w14:paraId="5DEEBBD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команди­ровано</w:t>
            </w:r>
          </w:p>
        </w:tc>
        <w:tc>
          <w:tcPr>
            <w:tcW w:w="516" w:type="dxa"/>
            <w:gridSpan w:val="2"/>
            <w:tcBorders>
              <w:top w:val="none" w:sz="6" w:space="0" w:color="auto"/>
              <w:left w:val="none" w:sz="6" w:space="0" w:color="auto"/>
              <w:bottom w:val="none" w:sz="6" w:space="0" w:color="auto"/>
              <w:right w:val="none" w:sz="6" w:space="0" w:color="auto"/>
            </w:tcBorders>
          </w:tcPr>
          <w:p w14:paraId="2AA8EAB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Страны</w:t>
            </w:r>
          </w:p>
        </w:tc>
        <w:tc>
          <w:tcPr>
            <w:tcW w:w="602" w:type="dxa"/>
            <w:gridSpan w:val="6"/>
            <w:tcBorders>
              <w:top w:val="none" w:sz="6" w:space="0" w:color="auto"/>
              <w:left w:val="none" w:sz="6" w:space="0" w:color="auto"/>
              <w:bottom w:val="none" w:sz="6" w:space="0" w:color="auto"/>
              <w:right w:val="none" w:sz="6" w:space="0" w:color="auto"/>
            </w:tcBorders>
          </w:tcPr>
          <w:p w14:paraId="2D405BF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Состав командированных</w:t>
            </w:r>
          </w:p>
        </w:tc>
        <w:tc>
          <w:tcPr>
            <w:tcW w:w="516" w:type="dxa"/>
            <w:gridSpan w:val="2"/>
            <w:tcBorders>
              <w:top w:val="none" w:sz="6" w:space="0" w:color="auto"/>
              <w:left w:val="none" w:sz="6" w:space="0" w:color="auto"/>
              <w:bottom w:val="none" w:sz="6" w:space="0" w:color="auto"/>
              <w:right w:val="none" w:sz="6" w:space="0" w:color="auto"/>
            </w:tcBorders>
          </w:tcPr>
          <w:p w14:paraId="19161B5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r>
      <w:tr w:rsidR="004E10C1" w:rsidRPr="0044524F" w14:paraId="4D61C113" w14:textId="77777777" w:rsidTr="00CE35D9">
        <w:tc>
          <w:tcPr>
            <w:tcW w:w="1367" w:type="dxa"/>
            <w:tcBorders>
              <w:top w:val="none" w:sz="6" w:space="0" w:color="auto"/>
              <w:left w:val="none" w:sz="6" w:space="0" w:color="auto"/>
              <w:bottom w:val="none" w:sz="6" w:space="0" w:color="auto"/>
              <w:right w:val="none" w:sz="6" w:space="0" w:color="auto"/>
            </w:tcBorders>
          </w:tcPr>
          <w:p w14:paraId="0A5595AE"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105BEDD6"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31BFE06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Европы</w:t>
            </w:r>
          </w:p>
        </w:tc>
        <w:tc>
          <w:tcPr>
            <w:tcW w:w="344" w:type="dxa"/>
            <w:tcBorders>
              <w:top w:val="none" w:sz="6" w:space="0" w:color="auto"/>
              <w:left w:val="none" w:sz="6" w:space="0" w:color="auto"/>
              <w:bottom w:val="none" w:sz="6" w:space="0" w:color="auto"/>
              <w:right w:val="none" w:sz="6" w:space="0" w:color="auto"/>
            </w:tcBorders>
          </w:tcPr>
          <w:p w14:paraId="290FDC4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САСШ</w:t>
            </w:r>
          </w:p>
        </w:tc>
        <w:tc>
          <w:tcPr>
            <w:tcW w:w="602" w:type="dxa"/>
            <w:gridSpan w:val="2"/>
            <w:tcBorders>
              <w:top w:val="none" w:sz="6" w:space="0" w:color="auto"/>
              <w:left w:val="none" w:sz="6" w:space="0" w:color="auto"/>
              <w:bottom w:val="none" w:sz="6" w:space="0" w:color="auto"/>
              <w:right w:val="none" w:sz="6" w:space="0" w:color="auto"/>
            </w:tcBorders>
          </w:tcPr>
          <w:p w14:paraId="6082EC6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 и техники</w:t>
            </w:r>
          </w:p>
        </w:tc>
        <w:tc>
          <w:tcPr>
            <w:tcW w:w="688" w:type="dxa"/>
            <w:gridSpan w:val="2"/>
            <w:tcBorders>
              <w:top w:val="none" w:sz="6" w:space="0" w:color="auto"/>
              <w:left w:val="none" w:sz="6" w:space="0" w:color="auto"/>
              <w:bottom w:val="none" w:sz="6" w:space="0" w:color="auto"/>
              <w:right w:val="none" w:sz="6" w:space="0" w:color="auto"/>
            </w:tcBorders>
          </w:tcPr>
          <w:p w14:paraId="19B4ABC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мастера, рабочие</w:t>
            </w:r>
          </w:p>
        </w:tc>
        <w:tc>
          <w:tcPr>
            <w:tcW w:w="731" w:type="dxa"/>
            <w:gridSpan w:val="2"/>
            <w:tcBorders>
              <w:top w:val="none" w:sz="6" w:space="0" w:color="auto"/>
              <w:left w:val="none" w:sz="6" w:space="0" w:color="auto"/>
              <w:bottom w:val="none" w:sz="6" w:space="0" w:color="auto"/>
              <w:right w:val="none" w:sz="6" w:space="0" w:color="auto"/>
            </w:tcBorders>
          </w:tcPr>
          <w:p w14:paraId="432F172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хозяйств­[енники]</w:t>
            </w:r>
          </w:p>
        </w:tc>
        <w:tc>
          <w:tcPr>
            <w:tcW w:w="516" w:type="dxa"/>
            <w:tcBorders>
              <w:top w:val="none" w:sz="6" w:space="0" w:color="auto"/>
              <w:left w:val="none" w:sz="6" w:space="0" w:color="auto"/>
              <w:bottom w:val="none" w:sz="6" w:space="0" w:color="auto"/>
              <w:right w:val="none" w:sz="6" w:space="0" w:color="auto"/>
            </w:tcBorders>
          </w:tcPr>
          <w:p w14:paraId="009945C3"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1315FB98"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r>
      <w:tr w:rsidR="004E10C1" w:rsidRPr="0044524F" w14:paraId="5452F723" w14:textId="77777777" w:rsidTr="00CE35D9">
        <w:tc>
          <w:tcPr>
            <w:tcW w:w="1367" w:type="dxa"/>
            <w:tcBorders>
              <w:top w:val="none" w:sz="6" w:space="0" w:color="auto"/>
              <w:left w:val="none" w:sz="6" w:space="0" w:color="auto"/>
              <w:bottom w:val="none" w:sz="6" w:space="0" w:color="auto"/>
              <w:right w:val="none" w:sz="6" w:space="0" w:color="auto"/>
            </w:tcBorders>
          </w:tcPr>
          <w:p w14:paraId="3A38C67D"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2F237DA2"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7F97699E"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6EBBD452"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02" w:type="dxa"/>
            <w:tcBorders>
              <w:top w:val="none" w:sz="6" w:space="0" w:color="auto"/>
              <w:left w:val="none" w:sz="6" w:space="0" w:color="auto"/>
              <w:bottom w:val="none" w:sz="6" w:space="0" w:color="auto"/>
              <w:right w:val="none" w:sz="6" w:space="0" w:color="auto"/>
            </w:tcBorders>
          </w:tcPr>
          <w:p w14:paraId="36CD4CC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ВКП(б)</w:t>
            </w:r>
          </w:p>
        </w:tc>
        <w:tc>
          <w:tcPr>
            <w:tcW w:w="688" w:type="dxa"/>
            <w:tcBorders>
              <w:top w:val="none" w:sz="6" w:space="0" w:color="auto"/>
              <w:left w:val="none" w:sz="6" w:space="0" w:color="auto"/>
              <w:bottom w:val="none" w:sz="6" w:space="0" w:color="auto"/>
              <w:right w:val="none" w:sz="6" w:space="0" w:color="auto"/>
            </w:tcBorders>
          </w:tcPr>
          <w:p w14:paraId="7D07DD1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беспарт.</w:t>
            </w:r>
          </w:p>
        </w:tc>
        <w:tc>
          <w:tcPr>
            <w:tcW w:w="688" w:type="dxa"/>
            <w:tcBorders>
              <w:top w:val="none" w:sz="6" w:space="0" w:color="auto"/>
              <w:left w:val="none" w:sz="6" w:space="0" w:color="auto"/>
              <w:bottom w:val="none" w:sz="6" w:space="0" w:color="auto"/>
              <w:right w:val="none" w:sz="6" w:space="0" w:color="auto"/>
            </w:tcBorders>
          </w:tcPr>
          <w:p w14:paraId="31B990E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ВКП(б)</w:t>
            </w:r>
          </w:p>
        </w:tc>
        <w:tc>
          <w:tcPr>
            <w:tcW w:w="688" w:type="dxa"/>
            <w:tcBorders>
              <w:top w:val="none" w:sz="6" w:space="0" w:color="auto"/>
              <w:left w:val="none" w:sz="6" w:space="0" w:color="auto"/>
              <w:bottom w:val="none" w:sz="6" w:space="0" w:color="auto"/>
              <w:right w:val="none" w:sz="6" w:space="0" w:color="auto"/>
            </w:tcBorders>
          </w:tcPr>
          <w:p w14:paraId="36F9985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беспарт.</w:t>
            </w:r>
          </w:p>
        </w:tc>
        <w:tc>
          <w:tcPr>
            <w:tcW w:w="731" w:type="dxa"/>
            <w:tcBorders>
              <w:top w:val="none" w:sz="6" w:space="0" w:color="auto"/>
              <w:left w:val="none" w:sz="6" w:space="0" w:color="auto"/>
              <w:bottom w:val="none" w:sz="6" w:space="0" w:color="auto"/>
              <w:right w:val="none" w:sz="6" w:space="0" w:color="auto"/>
            </w:tcBorders>
          </w:tcPr>
          <w:p w14:paraId="2056C71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ВКП(б)</w:t>
            </w:r>
          </w:p>
        </w:tc>
        <w:tc>
          <w:tcPr>
            <w:tcW w:w="731" w:type="dxa"/>
            <w:tcBorders>
              <w:top w:val="none" w:sz="6" w:space="0" w:color="auto"/>
              <w:left w:val="none" w:sz="6" w:space="0" w:color="auto"/>
              <w:bottom w:val="none" w:sz="6" w:space="0" w:color="auto"/>
              <w:right w:val="none" w:sz="6" w:space="0" w:color="auto"/>
            </w:tcBorders>
          </w:tcPr>
          <w:p w14:paraId="3C212DC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беспарт.</w:t>
            </w:r>
          </w:p>
        </w:tc>
        <w:tc>
          <w:tcPr>
            <w:tcW w:w="516" w:type="dxa"/>
            <w:tcBorders>
              <w:top w:val="none" w:sz="6" w:space="0" w:color="auto"/>
              <w:left w:val="none" w:sz="6" w:space="0" w:color="auto"/>
              <w:bottom w:val="none" w:sz="6" w:space="0" w:color="auto"/>
              <w:right w:val="none" w:sz="6" w:space="0" w:color="auto"/>
            </w:tcBorders>
          </w:tcPr>
          <w:p w14:paraId="5FE6E6E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ВКП(б)</w:t>
            </w:r>
          </w:p>
        </w:tc>
        <w:tc>
          <w:tcPr>
            <w:tcW w:w="688" w:type="dxa"/>
            <w:tcBorders>
              <w:top w:val="none" w:sz="6" w:space="0" w:color="auto"/>
              <w:left w:val="none" w:sz="6" w:space="0" w:color="auto"/>
              <w:bottom w:val="none" w:sz="6" w:space="0" w:color="auto"/>
              <w:right w:val="none" w:sz="6" w:space="0" w:color="auto"/>
            </w:tcBorders>
          </w:tcPr>
          <w:p w14:paraId="3834955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беспарт.</w:t>
            </w:r>
          </w:p>
        </w:tc>
      </w:tr>
      <w:tr w:rsidR="004E10C1" w:rsidRPr="0044524F" w14:paraId="48CFFCC6" w14:textId="77777777" w:rsidTr="00CE35D9">
        <w:tc>
          <w:tcPr>
            <w:tcW w:w="1367" w:type="dxa"/>
            <w:tcBorders>
              <w:top w:val="none" w:sz="6" w:space="0" w:color="auto"/>
              <w:left w:val="none" w:sz="6" w:space="0" w:color="auto"/>
              <w:bottom w:val="none" w:sz="6" w:space="0" w:color="auto"/>
              <w:right w:val="none" w:sz="6" w:space="0" w:color="auto"/>
            </w:tcBorders>
          </w:tcPr>
          <w:p w14:paraId="0DDFD83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797" w:type="dxa"/>
            <w:tcBorders>
              <w:top w:val="none" w:sz="6" w:space="0" w:color="auto"/>
              <w:left w:val="none" w:sz="6" w:space="0" w:color="auto"/>
              <w:bottom w:val="none" w:sz="6" w:space="0" w:color="auto"/>
              <w:right w:val="none" w:sz="6" w:space="0" w:color="auto"/>
            </w:tcBorders>
          </w:tcPr>
          <w:p w14:paraId="5F75F83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516" w:type="dxa"/>
            <w:tcBorders>
              <w:top w:val="none" w:sz="6" w:space="0" w:color="auto"/>
              <w:left w:val="none" w:sz="6" w:space="0" w:color="auto"/>
              <w:bottom w:val="none" w:sz="6" w:space="0" w:color="auto"/>
              <w:right w:val="none" w:sz="6" w:space="0" w:color="auto"/>
            </w:tcBorders>
          </w:tcPr>
          <w:p w14:paraId="4BC1229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344" w:type="dxa"/>
            <w:tcBorders>
              <w:top w:val="none" w:sz="6" w:space="0" w:color="auto"/>
              <w:left w:val="none" w:sz="6" w:space="0" w:color="auto"/>
              <w:bottom w:val="none" w:sz="6" w:space="0" w:color="auto"/>
              <w:right w:val="none" w:sz="6" w:space="0" w:color="auto"/>
            </w:tcBorders>
          </w:tcPr>
          <w:p w14:paraId="4B58B9F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602" w:type="dxa"/>
            <w:tcBorders>
              <w:top w:val="none" w:sz="6" w:space="0" w:color="auto"/>
              <w:left w:val="none" w:sz="6" w:space="0" w:color="auto"/>
              <w:bottom w:val="none" w:sz="6" w:space="0" w:color="auto"/>
              <w:right w:val="none" w:sz="6" w:space="0" w:color="auto"/>
            </w:tcBorders>
          </w:tcPr>
          <w:p w14:paraId="25E2508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688" w:type="dxa"/>
            <w:tcBorders>
              <w:top w:val="none" w:sz="6" w:space="0" w:color="auto"/>
              <w:left w:val="none" w:sz="6" w:space="0" w:color="auto"/>
              <w:bottom w:val="none" w:sz="6" w:space="0" w:color="auto"/>
              <w:right w:val="none" w:sz="6" w:space="0" w:color="auto"/>
            </w:tcBorders>
          </w:tcPr>
          <w:p w14:paraId="76374BA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688" w:type="dxa"/>
            <w:tcBorders>
              <w:top w:val="none" w:sz="6" w:space="0" w:color="auto"/>
              <w:left w:val="none" w:sz="6" w:space="0" w:color="auto"/>
              <w:bottom w:val="none" w:sz="6" w:space="0" w:color="auto"/>
              <w:right w:val="none" w:sz="6" w:space="0" w:color="auto"/>
            </w:tcBorders>
          </w:tcPr>
          <w:p w14:paraId="425E9AB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688" w:type="dxa"/>
            <w:tcBorders>
              <w:top w:val="none" w:sz="6" w:space="0" w:color="auto"/>
              <w:left w:val="none" w:sz="6" w:space="0" w:color="auto"/>
              <w:bottom w:val="none" w:sz="6" w:space="0" w:color="auto"/>
              <w:right w:val="none" w:sz="6" w:space="0" w:color="auto"/>
            </w:tcBorders>
          </w:tcPr>
          <w:p w14:paraId="42613B5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731" w:type="dxa"/>
            <w:tcBorders>
              <w:top w:val="none" w:sz="6" w:space="0" w:color="auto"/>
              <w:left w:val="none" w:sz="6" w:space="0" w:color="auto"/>
              <w:bottom w:val="none" w:sz="6" w:space="0" w:color="auto"/>
              <w:right w:val="none" w:sz="6" w:space="0" w:color="auto"/>
            </w:tcBorders>
          </w:tcPr>
          <w:p w14:paraId="272F281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tc>
        <w:tc>
          <w:tcPr>
            <w:tcW w:w="731" w:type="dxa"/>
            <w:tcBorders>
              <w:top w:val="none" w:sz="6" w:space="0" w:color="auto"/>
              <w:left w:val="none" w:sz="6" w:space="0" w:color="auto"/>
              <w:bottom w:val="none" w:sz="6" w:space="0" w:color="auto"/>
              <w:right w:val="none" w:sz="6" w:space="0" w:color="auto"/>
            </w:tcBorders>
          </w:tcPr>
          <w:p w14:paraId="5720E06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516" w:type="dxa"/>
            <w:tcBorders>
              <w:top w:val="none" w:sz="6" w:space="0" w:color="auto"/>
              <w:left w:val="none" w:sz="6" w:space="0" w:color="auto"/>
              <w:bottom w:val="none" w:sz="6" w:space="0" w:color="auto"/>
              <w:right w:val="none" w:sz="6" w:space="0" w:color="auto"/>
            </w:tcBorders>
          </w:tcPr>
          <w:p w14:paraId="234CB8A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w:t>
            </w:r>
          </w:p>
        </w:tc>
        <w:tc>
          <w:tcPr>
            <w:tcW w:w="688" w:type="dxa"/>
            <w:tcBorders>
              <w:top w:val="none" w:sz="6" w:space="0" w:color="auto"/>
              <w:left w:val="none" w:sz="6" w:space="0" w:color="auto"/>
              <w:bottom w:val="none" w:sz="6" w:space="0" w:color="auto"/>
              <w:right w:val="none" w:sz="6" w:space="0" w:color="auto"/>
            </w:tcBorders>
          </w:tcPr>
          <w:p w14:paraId="515519E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745A1C3C" w14:textId="77777777" w:rsidTr="00CE35D9">
        <w:tc>
          <w:tcPr>
            <w:tcW w:w="1367" w:type="dxa"/>
            <w:tcBorders>
              <w:top w:val="none" w:sz="6" w:space="0" w:color="auto"/>
              <w:left w:val="none" w:sz="6" w:space="0" w:color="auto"/>
              <w:bottom w:val="none" w:sz="6" w:space="0" w:color="auto"/>
              <w:right w:val="none" w:sz="6" w:space="0" w:color="auto"/>
            </w:tcBorders>
          </w:tcPr>
          <w:p w14:paraId="6E211ECE"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07A7ADBD"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46C0EA86"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71F1FFBA"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6BEC75B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923</w:t>
            </w:r>
          </w:p>
        </w:tc>
        <w:tc>
          <w:tcPr>
            <w:tcW w:w="688" w:type="dxa"/>
            <w:gridSpan w:val="2"/>
            <w:tcBorders>
              <w:top w:val="none" w:sz="6" w:space="0" w:color="auto"/>
              <w:left w:val="none" w:sz="6" w:space="0" w:color="auto"/>
              <w:bottom w:val="none" w:sz="6" w:space="0" w:color="auto"/>
              <w:right w:val="none" w:sz="6" w:space="0" w:color="auto"/>
            </w:tcBorders>
          </w:tcPr>
          <w:p w14:paraId="696D8E2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344</w:t>
            </w:r>
          </w:p>
        </w:tc>
        <w:tc>
          <w:tcPr>
            <w:tcW w:w="731" w:type="dxa"/>
            <w:gridSpan w:val="2"/>
            <w:tcBorders>
              <w:top w:val="none" w:sz="6" w:space="0" w:color="auto"/>
              <w:left w:val="none" w:sz="6" w:space="0" w:color="auto"/>
              <w:bottom w:val="none" w:sz="6" w:space="0" w:color="auto"/>
              <w:right w:val="none" w:sz="6" w:space="0" w:color="auto"/>
            </w:tcBorders>
          </w:tcPr>
          <w:p w14:paraId="2AF44F4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123</w:t>
            </w:r>
          </w:p>
        </w:tc>
        <w:tc>
          <w:tcPr>
            <w:tcW w:w="516" w:type="dxa"/>
            <w:tcBorders>
              <w:top w:val="none" w:sz="6" w:space="0" w:color="auto"/>
              <w:left w:val="none" w:sz="6" w:space="0" w:color="auto"/>
              <w:bottom w:val="none" w:sz="6" w:space="0" w:color="auto"/>
              <w:right w:val="none" w:sz="6" w:space="0" w:color="auto"/>
            </w:tcBorders>
          </w:tcPr>
          <w:p w14:paraId="79933FF2"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2109143D"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r>
      <w:tr w:rsidR="004E10C1" w:rsidRPr="0044524F" w14:paraId="27B0E832" w14:textId="77777777" w:rsidTr="00CE35D9">
        <w:tc>
          <w:tcPr>
            <w:tcW w:w="1367" w:type="dxa"/>
            <w:tcBorders>
              <w:top w:val="none" w:sz="6" w:space="0" w:color="auto"/>
              <w:left w:val="none" w:sz="6" w:space="0" w:color="auto"/>
              <w:bottom w:val="none" w:sz="6" w:space="0" w:color="auto"/>
              <w:right w:val="none" w:sz="6" w:space="0" w:color="auto"/>
            </w:tcBorders>
          </w:tcPr>
          <w:p w14:paraId="3FFA0CD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797" w:type="dxa"/>
            <w:tcBorders>
              <w:top w:val="none" w:sz="6" w:space="0" w:color="auto"/>
              <w:left w:val="none" w:sz="6" w:space="0" w:color="auto"/>
              <w:bottom w:val="none" w:sz="6" w:space="0" w:color="auto"/>
              <w:right w:val="none" w:sz="6" w:space="0" w:color="auto"/>
            </w:tcBorders>
          </w:tcPr>
          <w:p w14:paraId="76CBE62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1390</w:t>
            </w:r>
          </w:p>
        </w:tc>
        <w:tc>
          <w:tcPr>
            <w:tcW w:w="516" w:type="dxa"/>
            <w:tcBorders>
              <w:top w:val="none" w:sz="6" w:space="0" w:color="auto"/>
              <w:left w:val="none" w:sz="6" w:space="0" w:color="auto"/>
              <w:bottom w:val="none" w:sz="6" w:space="0" w:color="auto"/>
              <w:right w:val="none" w:sz="6" w:space="0" w:color="auto"/>
            </w:tcBorders>
          </w:tcPr>
          <w:p w14:paraId="07485F2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752</w:t>
            </w:r>
          </w:p>
        </w:tc>
        <w:tc>
          <w:tcPr>
            <w:tcW w:w="344" w:type="dxa"/>
            <w:tcBorders>
              <w:top w:val="none" w:sz="6" w:space="0" w:color="auto"/>
              <w:left w:val="none" w:sz="6" w:space="0" w:color="auto"/>
              <w:bottom w:val="none" w:sz="6" w:space="0" w:color="auto"/>
              <w:right w:val="none" w:sz="6" w:space="0" w:color="auto"/>
            </w:tcBorders>
          </w:tcPr>
          <w:p w14:paraId="7E7702A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638</w:t>
            </w:r>
          </w:p>
        </w:tc>
        <w:tc>
          <w:tcPr>
            <w:tcW w:w="602" w:type="dxa"/>
            <w:tcBorders>
              <w:top w:val="none" w:sz="6" w:space="0" w:color="auto"/>
              <w:left w:val="none" w:sz="6" w:space="0" w:color="auto"/>
              <w:bottom w:val="none" w:sz="6" w:space="0" w:color="auto"/>
              <w:right w:val="none" w:sz="6" w:space="0" w:color="auto"/>
            </w:tcBorders>
          </w:tcPr>
          <w:p w14:paraId="36ADB64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289</w:t>
            </w:r>
          </w:p>
        </w:tc>
        <w:tc>
          <w:tcPr>
            <w:tcW w:w="688" w:type="dxa"/>
            <w:tcBorders>
              <w:top w:val="none" w:sz="6" w:space="0" w:color="auto"/>
              <w:left w:val="none" w:sz="6" w:space="0" w:color="auto"/>
              <w:bottom w:val="none" w:sz="6" w:space="0" w:color="auto"/>
              <w:right w:val="none" w:sz="6" w:space="0" w:color="auto"/>
            </w:tcBorders>
          </w:tcPr>
          <w:p w14:paraId="4137AF1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634</w:t>
            </w:r>
          </w:p>
        </w:tc>
        <w:tc>
          <w:tcPr>
            <w:tcW w:w="688" w:type="dxa"/>
            <w:tcBorders>
              <w:top w:val="none" w:sz="6" w:space="0" w:color="auto"/>
              <w:left w:val="none" w:sz="6" w:space="0" w:color="auto"/>
              <w:bottom w:val="none" w:sz="6" w:space="0" w:color="auto"/>
              <w:right w:val="none" w:sz="6" w:space="0" w:color="auto"/>
            </w:tcBorders>
          </w:tcPr>
          <w:p w14:paraId="10440C2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261</w:t>
            </w:r>
          </w:p>
        </w:tc>
        <w:tc>
          <w:tcPr>
            <w:tcW w:w="688" w:type="dxa"/>
            <w:tcBorders>
              <w:top w:val="none" w:sz="6" w:space="0" w:color="auto"/>
              <w:left w:val="none" w:sz="6" w:space="0" w:color="auto"/>
              <w:bottom w:val="none" w:sz="6" w:space="0" w:color="auto"/>
              <w:right w:val="none" w:sz="6" w:space="0" w:color="auto"/>
            </w:tcBorders>
          </w:tcPr>
          <w:p w14:paraId="1D91DF2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w:t>
            </w:r>
          </w:p>
        </w:tc>
        <w:tc>
          <w:tcPr>
            <w:tcW w:w="731" w:type="dxa"/>
            <w:tcBorders>
              <w:top w:val="none" w:sz="6" w:space="0" w:color="auto"/>
              <w:left w:val="none" w:sz="6" w:space="0" w:color="auto"/>
              <w:bottom w:val="none" w:sz="6" w:space="0" w:color="auto"/>
              <w:right w:val="none" w:sz="6" w:space="0" w:color="auto"/>
            </w:tcBorders>
          </w:tcPr>
          <w:p w14:paraId="002A7F2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w:t>
            </w:r>
          </w:p>
        </w:tc>
        <w:tc>
          <w:tcPr>
            <w:tcW w:w="731" w:type="dxa"/>
            <w:tcBorders>
              <w:top w:val="none" w:sz="6" w:space="0" w:color="auto"/>
              <w:left w:val="none" w:sz="6" w:space="0" w:color="auto"/>
              <w:bottom w:val="none" w:sz="6" w:space="0" w:color="auto"/>
              <w:right w:val="none" w:sz="6" w:space="0" w:color="auto"/>
            </w:tcBorders>
          </w:tcPr>
          <w:p w14:paraId="795C1C6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516" w:type="dxa"/>
            <w:tcBorders>
              <w:top w:val="none" w:sz="6" w:space="0" w:color="auto"/>
              <w:left w:val="none" w:sz="6" w:space="0" w:color="auto"/>
              <w:bottom w:val="none" w:sz="6" w:space="0" w:color="auto"/>
              <w:right w:val="none" w:sz="6" w:space="0" w:color="auto"/>
            </w:tcBorders>
          </w:tcPr>
          <w:p w14:paraId="5DB9BE0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660</w:t>
            </w:r>
          </w:p>
        </w:tc>
        <w:tc>
          <w:tcPr>
            <w:tcW w:w="688" w:type="dxa"/>
            <w:tcBorders>
              <w:top w:val="none" w:sz="6" w:space="0" w:color="auto"/>
              <w:left w:val="none" w:sz="6" w:space="0" w:color="auto"/>
              <w:bottom w:val="none" w:sz="6" w:space="0" w:color="auto"/>
              <w:right w:val="none" w:sz="6" w:space="0" w:color="auto"/>
            </w:tcBorders>
          </w:tcPr>
          <w:p w14:paraId="39BD213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730</w:t>
            </w:r>
          </w:p>
        </w:tc>
      </w:tr>
      <w:tr w:rsidR="004E10C1" w:rsidRPr="0044524F" w14:paraId="1D7B2781" w14:textId="77777777" w:rsidTr="00CE35D9">
        <w:tc>
          <w:tcPr>
            <w:tcW w:w="1367" w:type="dxa"/>
            <w:tcBorders>
              <w:top w:val="none" w:sz="6" w:space="0" w:color="auto"/>
              <w:left w:val="none" w:sz="6" w:space="0" w:color="auto"/>
              <w:bottom w:val="none" w:sz="6" w:space="0" w:color="auto"/>
              <w:right w:val="none" w:sz="6" w:space="0" w:color="auto"/>
            </w:tcBorders>
          </w:tcPr>
          <w:p w14:paraId="48C8812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4F0ECD5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05E77FB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w:t>
            </w:r>
          </w:p>
        </w:tc>
        <w:tc>
          <w:tcPr>
            <w:tcW w:w="344" w:type="dxa"/>
            <w:tcBorders>
              <w:top w:val="none" w:sz="6" w:space="0" w:color="auto"/>
              <w:left w:val="none" w:sz="6" w:space="0" w:color="auto"/>
              <w:bottom w:val="none" w:sz="6" w:space="0" w:color="auto"/>
              <w:right w:val="none" w:sz="6" w:space="0" w:color="auto"/>
            </w:tcBorders>
          </w:tcPr>
          <w:p w14:paraId="1D1B101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w:t>
            </w:r>
          </w:p>
        </w:tc>
        <w:tc>
          <w:tcPr>
            <w:tcW w:w="602" w:type="dxa"/>
            <w:tcBorders>
              <w:top w:val="none" w:sz="6" w:space="0" w:color="auto"/>
              <w:left w:val="none" w:sz="6" w:space="0" w:color="auto"/>
              <w:bottom w:val="none" w:sz="6" w:space="0" w:color="auto"/>
              <w:right w:val="none" w:sz="6" w:space="0" w:color="auto"/>
            </w:tcBorders>
          </w:tcPr>
          <w:p w14:paraId="3244BA7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31,3</w:t>
            </w:r>
          </w:p>
        </w:tc>
        <w:tc>
          <w:tcPr>
            <w:tcW w:w="688" w:type="dxa"/>
            <w:tcBorders>
              <w:top w:val="none" w:sz="6" w:space="0" w:color="auto"/>
              <w:left w:val="none" w:sz="6" w:space="0" w:color="auto"/>
              <w:bottom w:val="none" w:sz="6" w:space="0" w:color="auto"/>
              <w:right w:val="none" w:sz="6" w:space="0" w:color="auto"/>
            </w:tcBorders>
          </w:tcPr>
          <w:p w14:paraId="11B3247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68,7</w:t>
            </w:r>
          </w:p>
        </w:tc>
        <w:tc>
          <w:tcPr>
            <w:tcW w:w="688" w:type="dxa"/>
            <w:tcBorders>
              <w:top w:val="none" w:sz="6" w:space="0" w:color="auto"/>
              <w:left w:val="none" w:sz="6" w:space="0" w:color="auto"/>
              <w:bottom w:val="none" w:sz="6" w:space="0" w:color="auto"/>
              <w:right w:val="none" w:sz="6" w:space="0" w:color="auto"/>
            </w:tcBorders>
          </w:tcPr>
          <w:p w14:paraId="208B38B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688" w:type="dxa"/>
            <w:tcBorders>
              <w:top w:val="none" w:sz="6" w:space="0" w:color="auto"/>
              <w:left w:val="none" w:sz="6" w:space="0" w:color="auto"/>
              <w:bottom w:val="none" w:sz="6" w:space="0" w:color="auto"/>
              <w:right w:val="none" w:sz="6" w:space="0" w:color="auto"/>
            </w:tcBorders>
          </w:tcPr>
          <w:p w14:paraId="180B502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731" w:type="dxa"/>
            <w:tcBorders>
              <w:top w:val="none" w:sz="6" w:space="0" w:color="auto"/>
              <w:left w:val="none" w:sz="6" w:space="0" w:color="auto"/>
              <w:bottom w:val="none" w:sz="6" w:space="0" w:color="auto"/>
              <w:right w:val="none" w:sz="6" w:space="0" w:color="auto"/>
            </w:tcBorders>
          </w:tcPr>
          <w:p w14:paraId="050F685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89,5</w:t>
            </w:r>
          </w:p>
        </w:tc>
        <w:tc>
          <w:tcPr>
            <w:tcW w:w="731" w:type="dxa"/>
            <w:tcBorders>
              <w:top w:val="none" w:sz="6" w:space="0" w:color="auto"/>
              <w:left w:val="none" w:sz="6" w:space="0" w:color="auto"/>
              <w:bottom w:val="none" w:sz="6" w:space="0" w:color="auto"/>
              <w:right w:val="none" w:sz="6" w:space="0" w:color="auto"/>
            </w:tcBorders>
          </w:tcPr>
          <w:p w14:paraId="3B22F94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c>
          <w:tcPr>
            <w:tcW w:w="516" w:type="dxa"/>
            <w:tcBorders>
              <w:top w:val="none" w:sz="6" w:space="0" w:color="auto"/>
              <w:left w:val="none" w:sz="6" w:space="0" w:color="auto"/>
              <w:bottom w:val="none" w:sz="6" w:space="0" w:color="auto"/>
              <w:right w:val="none" w:sz="6" w:space="0" w:color="auto"/>
            </w:tcBorders>
          </w:tcPr>
          <w:p w14:paraId="47C29FB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688" w:type="dxa"/>
            <w:tcBorders>
              <w:top w:val="none" w:sz="6" w:space="0" w:color="auto"/>
              <w:left w:val="none" w:sz="6" w:space="0" w:color="auto"/>
              <w:bottom w:val="none" w:sz="6" w:space="0" w:color="auto"/>
              <w:right w:val="none" w:sz="6" w:space="0" w:color="auto"/>
            </w:tcBorders>
          </w:tcPr>
          <w:p w14:paraId="107617C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w:t>
            </w:r>
          </w:p>
        </w:tc>
      </w:tr>
      <w:tr w:rsidR="004E10C1" w:rsidRPr="0044524F" w14:paraId="702728CE" w14:textId="77777777" w:rsidTr="00CE35D9">
        <w:tc>
          <w:tcPr>
            <w:tcW w:w="1367" w:type="dxa"/>
            <w:tcBorders>
              <w:top w:val="none" w:sz="6" w:space="0" w:color="auto"/>
              <w:left w:val="none" w:sz="6" w:space="0" w:color="auto"/>
              <w:bottom w:val="none" w:sz="6" w:space="0" w:color="auto"/>
              <w:right w:val="none" w:sz="6" w:space="0" w:color="auto"/>
            </w:tcBorders>
          </w:tcPr>
          <w:p w14:paraId="18A73D28"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62E1F155"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10F446DD"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064F3EDE"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292B6F1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235</w:t>
            </w:r>
          </w:p>
        </w:tc>
        <w:tc>
          <w:tcPr>
            <w:tcW w:w="688" w:type="dxa"/>
            <w:gridSpan w:val="2"/>
            <w:tcBorders>
              <w:top w:val="none" w:sz="6" w:space="0" w:color="auto"/>
              <w:left w:val="none" w:sz="6" w:space="0" w:color="auto"/>
              <w:bottom w:val="none" w:sz="6" w:space="0" w:color="auto"/>
              <w:right w:val="none" w:sz="6" w:space="0" w:color="auto"/>
            </w:tcBorders>
          </w:tcPr>
          <w:p w14:paraId="02509D4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195</w:t>
            </w:r>
          </w:p>
        </w:tc>
        <w:tc>
          <w:tcPr>
            <w:tcW w:w="731" w:type="dxa"/>
            <w:gridSpan w:val="2"/>
            <w:tcBorders>
              <w:top w:val="none" w:sz="6" w:space="0" w:color="auto"/>
              <w:left w:val="none" w:sz="6" w:space="0" w:color="auto"/>
              <w:bottom w:val="none" w:sz="6" w:space="0" w:color="auto"/>
              <w:right w:val="none" w:sz="6" w:space="0" w:color="auto"/>
            </w:tcBorders>
          </w:tcPr>
          <w:p w14:paraId="69AF0FF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w:t>
            </w:r>
          </w:p>
        </w:tc>
        <w:tc>
          <w:tcPr>
            <w:tcW w:w="516" w:type="dxa"/>
            <w:tcBorders>
              <w:top w:val="none" w:sz="6" w:space="0" w:color="auto"/>
              <w:left w:val="none" w:sz="6" w:space="0" w:color="auto"/>
              <w:bottom w:val="none" w:sz="6" w:space="0" w:color="auto"/>
              <w:right w:val="none" w:sz="6" w:space="0" w:color="auto"/>
            </w:tcBorders>
          </w:tcPr>
          <w:p w14:paraId="7C04B978"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5C4C24A8"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r>
      <w:tr w:rsidR="004E10C1" w:rsidRPr="0044524F" w14:paraId="2FBC3CCB" w14:textId="77777777" w:rsidTr="00CE35D9">
        <w:tc>
          <w:tcPr>
            <w:tcW w:w="1367" w:type="dxa"/>
            <w:tcBorders>
              <w:top w:val="none" w:sz="6" w:space="0" w:color="auto"/>
              <w:left w:val="none" w:sz="6" w:space="0" w:color="auto"/>
              <w:bottom w:val="none" w:sz="6" w:space="0" w:color="auto"/>
              <w:right w:val="none" w:sz="6" w:space="0" w:color="auto"/>
            </w:tcBorders>
          </w:tcPr>
          <w:p w14:paraId="295556A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1797" w:type="dxa"/>
            <w:tcBorders>
              <w:top w:val="none" w:sz="6" w:space="0" w:color="auto"/>
              <w:left w:val="none" w:sz="6" w:space="0" w:color="auto"/>
              <w:bottom w:val="none" w:sz="6" w:space="0" w:color="auto"/>
              <w:right w:val="none" w:sz="6" w:space="0" w:color="auto"/>
            </w:tcBorders>
          </w:tcPr>
          <w:p w14:paraId="49E938A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485</w:t>
            </w:r>
          </w:p>
        </w:tc>
        <w:tc>
          <w:tcPr>
            <w:tcW w:w="516" w:type="dxa"/>
            <w:tcBorders>
              <w:top w:val="none" w:sz="6" w:space="0" w:color="auto"/>
              <w:left w:val="none" w:sz="6" w:space="0" w:color="auto"/>
              <w:bottom w:val="none" w:sz="6" w:space="0" w:color="auto"/>
              <w:right w:val="none" w:sz="6" w:space="0" w:color="auto"/>
            </w:tcBorders>
          </w:tcPr>
          <w:p w14:paraId="132E3FA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327</w:t>
            </w:r>
          </w:p>
        </w:tc>
        <w:tc>
          <w:tcPr>
            <w:tcW w:w="344" w:type="dxa"/>
            <w:tcBorders>
              <w:top w:val="none" w:sz="6" w:space="0" w:color="auto"/>
              <w:left w:val="none" w:sz="6" w:space="0" w:color="auto"/>
              <w:bottom w:val="none" w:sz="6" w:space="0" w:color="auto"/>
              <w:right w:val="none" w:sz="6" w:space="0" w:color="auto"/>
            </w:tcBorders>
          </w:tcPr>
          <w:p w14:paraId="704D726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158</w:t>
            </w:r>
          </w:p>
        </w:tc>
        <w:tc>
          <w:tcPr>
            <w:tcW w:w="602" w:type="dxa"/>
            <w:tcBorders>
              <w:top w:val="none" w:sz="6" w:space="0" w:color="auto"/>
              <w:left w:val="none" w:sz="6" w:space="0" w:color="auto"/>
              <w:bottom w:val="none" w:sz="6" w:space="0" w:color="auto"/>
              <w:right w:val="none" w:sz="6" w:space="0" w:color="auto"/>
            </w:tcBorders>
          </w:tcPr>
          <w:p w14:paraId="662A360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171</w:t>
            </w:r>
          </w:p>
        </w:tc>
        <w:tc>
          <w:tcPr>
            <w:tcW w:w="688" w:type="dxa"/>
            <w:tcBorders>
              <w:top w:val="none" w:sz="6" w:space="0" w:color="auto"/>
              <w:left w:val="none" w:sz="6" w:space="0" w:color="auto"/>
              <w:bottom w:val="none" w:sz="6" w:space="0" w:color="auto"/>
              <w:right w:val="none" w:sz="6" w:space="0" w:color="auto"/>
            </w:tcBorders>
          </w:tcPr>
          <w:p w14:paraId="7C6874C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w:t>
            </w:r>
          </w:p>
        </w:tc>
        <w:tc>
          <w:tcPr>
            <w:tcW w:w="688" w:type="dxa"/>
            <w:tcBorders>
              <w:top w:val="none" w:sz="6" w:space="0" w:color="auto"/>
              <w:left w:val="none" w:sz="6" w:space="0" w:color="auto"/>
              <w:bottom w:val="none" w:sz="6" w:space="0" w:color="auto"/>
              <w:right w:val="none" w:sz="6" w:space="0" w:color="auto"/>
            </w:tcBorders>
          </w:tcPr>
          <w:p w14:paraId="4E53D66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180</w:t>
            </w:r>
          </w:p>
        </w:tc>
        <w:tc>
          <w:tcPr>
            <w:tcW w:w="688" w:type="dxa"/>
            <w:tcBorders>
              <w:top w:val="none" w:sz="6" w:space="0" w:color="auto"/>
              <w:left w:val="none" w:sz="6" w:space="0" w:color="auto"/>
              <w:bottom w:val="none" w:sz="6" w:space="0" w:color="auto"/>
              <w:right w:val="none" w:sz="6" w:space="0" w:color="auto"/>
            </w:tcBorders>
          </w:tcPr>
          <w:p w14:paraId="0154C93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731" w:type="dxa"/>
            <w:tcBorders>
              <w:top w:val="none" w:sz="6" w:space="0" w:color="auto"/>
              <w:left w:val="none" w:sz="6" w:space="0" w:color="auto"/>
              <w:bottom w:val="none" w:sz="6" w:space="0" w:color="auto"/>
              <w:right w:val="none" w:sz="6" w:space="0" w:color="auto"/>
            </w:tcBorders>
          </w:tcPr>
          <w:p w14:paraId="2CB82BB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51</w:t>
            </w:r>
          </w:p>
        </w:tc>
        <w:tc>
          <w:tcPr>
            <w:tcW w:w="731" w:type="dxa"/>
            <w:tcBorders>
              <w:top w:val="none" w:sz="6" w:space="0" w:color="auto"/>
              <w:left w:val="none" w:sz="6" w:space="0" w:color="auto"/>
              <w:bottom w:val="none" w:sz="6" w:space="0" w:color="auto"/>
              <w:right w:val="none" w:sz="6" w:space="0" w:color="auto"/>
            </w:tcBorders>
          </w:tcPr>
          <w:p w14:paraId="30727C3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516" w:type="dxa"/>
            <w:tcBorders>
              <w:top w:val="none" w:sz="6" w:space="0" w:color="auto"/>
              <w:left w:val="none" w:sz="6" w:space="0" w:color="auto"/>
              <w:bottom w:val="none" w:sz="6" w:space="0" w:color="auto"/>
              <w:right w:val="none" w:sz="6" w:space="0" w:color="auto"/>
            </w:tcBorders>
          </w:tcPr>
          <w:p w14:paraId="3314938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402</w:t>
            </w:r>
          </w:p>
        </w:tc>
        <w:tc>
          <w:tcPr>
            <w:tcW w:w="688" w:type="dxa"/>
            <w:tcBorders>
              <w:top w:val="none" w:sz="6" w:space="0" w:color="auto"/>
              <w:left w:val="none" w:sz="6" w:space="0" w:color="auto"/>
              <w:bottom w:val="none" w:sz="6" w:space="0" w:color="auto"/>
              <w:right w:val="none" w:sz="6" w:space="0" w:color="auto"/>
            </w:tcBorders>
          </w:tcPr>
          <w:p w14:paraId="376B703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w:t>
            </w:r>
          </w:p>
        </w:tc>
      </w:tr>
      <w:tr w:rsidR="004E10C1" w:rsidRPr="0044524F" w14:paraId="37ADBAB2" w14:textId="77777777" w:rsidTr="00CE35D9">
        <w:tc>
          <w:tcPr>
            <w:tcW w:w="1367" w:type="dxa"/>
            <w:tcBorders>
              <w:top w:val="none" w:sz="6" w:space="0" w:color="auto"/>
              <w:left w:val="none" w:sz="6" w:space="0" w:color="auto"/>
              <w:bottom w:val="none" w:sz="6" w:space="0" w:color="auto"/>
              <w:right w:val="none" w:sz="6" w:space="0" w:color="auto"/>
            </w:tcBorders>
          </w:tcPr>
          <w:p w14:paraId="6374F4E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18E38AB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6C4CAD8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w:t>
            </w:r>
          </w:p>
        </w:tc>
        <w:tc>
          <w:tcPr>
            <w:tcW w:w="344" w:type="dxa"/>
            <w:tcBorders>
              <w:top w:val="none" w:sz="6" w:space="0" w:color="auto"/>
              <w:left w:val="none" w:sz="6" w:space="0" w:color="auto"/>
              <w:bottom w:val="none" w:sz="6" w:space="0" w:color="auto"/>
              <w:right w:val="none" w:sz="6" w:space="0" w:color="auto"/>
            </w:tcBorders>
          </w:tcPr>
          <w:p w14:paraId="54A9C5D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w:t>
            </w:r>
          </w:p>
        </w:tc>
        <w:tc>
          <w:tcPr>
            <w:tcW w:w="602" w:type="dxa"/>
            <w:tcBorders>
              <w:top w:val="none" w:sz="6" w:space="0" w:color="auto"/>
              <w:left w:val="none" w:sz="6" w:space="0" w:color="auto"/>
              <w:bottom w:val="none" w:sz="6" w:space="0" w:color="auto"/>
              <w:right w:val="none" w:sz="6" w:space="0" w:color="auto"/>
            </w:tcBorders>
          </w:tcPr>
          <w:p w14:paraId="1018CDE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73,3</w:t>
            </w:r>
          </w:p>
        </w:tc>
        <w:tc>
          <w:tcPr>
            <w:tcW w:w="688" w:type="dxa"/>
            <w:tcBorders>
              <w:top w:val="none" w:sz="6" w:space="0" w:color="auto"/>
              <w:left w:val="none" w:sz="6" w:space="0" w:color="auto"/>
              <w:bottom w:val="none" w:sz="6" w:space="0" w:color="auto"/>
              <w:right w:val="none" w:sz="6" w:space="0" w:color="auto"/>
            </w:tcBorders>
          </w:tcPr>
          <w:p w14:paraId="22A02B9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26,7</w:t>
            </w:r>
          </w:p>
        </w:tc>
        <w:tc>
          <w:tcPr>
            <w:tcW w:w="688" w:type="dxa"/>
            <w:tcBorders>
              <w:top w:val="none" w:sz="6" w:space="0" w:color="auto"/>
              <w:left w:val="none" w:sz="6" w:space="0" w:color="auto"/>
              <w:bottom w:val="none" w:sz="6" w:space="0" w:color="auto"/>
              <w:right w:val="none" w:sz="6" w:space="0" w:color="auto"/>
            </w:tcBorders>
          </w:tcPr>
          <w:p w14:paraId="75B48EA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92,3</w:t>
            </w:r>
          </w:p>
        </w:tc>
        <w:tc>
          <w:tcPr>
            <w:tcW w:w="688" w:type="dxa"/>
            <w:tcBorders>
              <w:top w:val="none" w:sz="6" w:space="0" w:color="auto"/>
              <w:left w:val="none" w:sz="6" w:space="0" w:color="auto"/>
              <w:bottom w:val="none" w:sz="6" w:space="0" w:color="auto"/>
              <w:right w:val="none" w:sz="6" w:space="0" w:color="auto"/>
            </w:tcBorders>
          </w:tcPr>
          <w:p w14:paraId="2AD0835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w:t>
            </w:r>
          </w:p>
        </w:tc>
        <w:tc>
          <w:tcPr>
            <w:tcW w:w="731" w:type="dxa"/>
            <w:tcBorders>
              <w:top w:val="none" w:sz="6" w:space="0" w:color="auto"/>
              <w:left w:val="none" w:sz="6" w:space="0" w:color="auto"/>
              <w:bottom w:val="none" w:sz="6" w:space="0" w:color="auto"/>
              <w:right w:val="none" w:sz="6" w:space="0" w:color="auto"/>
            </w:tcBorders>
          </w:tcPr>
          <w:p w14:paraId="1C4C6EB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92,7</w:t>
            </w:r>
          </w:p>
        </w:tc>
        <w:tc>
          <w:tcPr>
            <w:tcW w:w="731" w:type="dxa"/>
            <w:tcBorders>
              <w:top w:val="none" w:sz="6" w:space="0" w:color="auto"/>
              <w:left w:val="none" w:sz="6" w:space="0" w:color="auto"/>
              <w:bottom w:val="none" w:sz="6" w:space="0" w:color="auto"/>
              <w:right w:val="none" w:sz="6" w:space="0" w:color="auto"/>
            </w:tcBorders>
          </w:tcPr>
          <w:p w14:paraId="3B40137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w:t>
            </w:r>
          </w:p>
        </w:tc>
        <w:tc>
          <w:tcPr>
            <w:tcW w:w="516" w:type="dxa"/>
            <w:tcBorders>
              <w:top w:val="none" w:sz="6" w:space="0" w:color="auto"/>
              <w:left w:val="none" w:sz="6" w:space="0" w:color="auto"/>
              <w:bottom w:val="none" w:sz="6" w:space="0" w:color="auto"/>
              <w:right w:val="none" w:sz="6" w:space="0" w:color="auto"/>
            </w:tcBorders>
          </w:tcPr>
          <w:p w14:paraId="24384DF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w:t>
            </w:r>
          </w:p>
        </w:tc>
        <w:tc>
          <w:tcPr>
            <w:tcW w:w="688" w:type="dxa"/>
            <w:tcBorders>
              <w:top w:val="none" w:sz="6" w:space="0" w:color="auto"/>
              <w:left w:val="none" w:sz="6" w:space="0" w:color="auto"/>
              <w:bottom w:val="none" w:sz="6" w:space="0" w:color="auto"/>
              <w:right w:val="none" w:sz="6" w:space="0" w:color="auto"/>
            </w:tcBorders>
          </w:tcPr>
          <w:p w14:paraId="1F1304D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r>
      <w:tr w:rsidR="004E10C1" w:rsidRPr="0044524F" w14:paraId="414CECCA" w14:textId="77777777" w:rsidTr="00CE35D9">
        <w:tc>
          <w:tcPr>
            <w:tcW w:w="1367" w:type="dxa"/>
            <w:tcBorders>
              <w:top w:val="none" w:sz="6" w:space="0" w:color="auto"/>
              <w:left w:val="none" w:sz="6" w:space="0" w:color="auto"/>
              <w:bottom w:val="none" w:sz="6" w:space="0" w:color="auto"/>
              <w:right w:val="none" w:sz="6" w:space="0" w:color="auto"/>
            </w:tcBorders>
          </w:tcPr>
          <w:p w14:paraId="1EE00B8B"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142794E9"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4D887813"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07734B0B"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6D12AC2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w:t>
            </w:r>
          </w:p>
        </w:tc>
        <w:tc>
          <w:tcPr>
            <w:tcW w:w="688" w:type="dxa"/>
            <w:gridSpan w:val="2"/>
            <w:tcBorders>
              <w:top w:val="none" w:sz="6" w:space="0" w:color="auto"/>
              <w:left w:val="none" w:sz="6" w:space="0" w:color="auto"/>
              <w:bottom w:val="none" w:sz="6" w:space="0" w:color="auto"/>
              <w:right w:val="none" w:sz="6" w:space="0" w:color="auto"/>
            </w:tcBorders>
          </w:tcPr>
          <w:p w14:paraId="0064299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w:t>
            </w:r>
          </w:p>
        </w:tc>
        <w:tc>
          <w:tcPr>
            <w:tcW w:w="731" w:type="dxa"/>
            <w:gridSpan w:val="2"/>
            <w:tcBorders>
              <w:top w:val="none" w:sz="6" w:space="0" w:color="auto"/>
              <w:left w:val="none" w:sz="6" w:space="0" w:color="auto"/>
              <w:bottom w:val="none" w:sz="6" w:space="0" w:color="auto"/>
              <w:right w:val="none" w:sz="6" w:space="0" w:color="auto"/>
            </w:tcBorders>
          </w:tcPr>
          <w:p w14:paraId="1D9D623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516" w:type="dxa"/>
            <w:tcBorders>
              <w:top w:val="none" w:sz="6" w:space="0" w:color="auto"/>
              <w:left w:val="none" w:sz="6" w:space="0" w:color="auto"/>
              <w:bottom w:val="none" w:sz="6" w:space="0" w:color="auto"/>
              <w:right w:val="none" w:sz="6" w:space="0" w:color="auto"/>
            </w:tcBorders>
          </w:tcPr>
          <w:p w14:paraId="39CD032A"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08FF32CF"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r>
      <w:tr w:rsidR="004E10C1" w:rsidRPr="0044524F" w14:paraId="65AFF83F" w14:textId="77777777" w:rsidTr="00CE35D9">
        <w:tc>
          <w:tcPr>
            <w:tcW w:w="1367" w:type="dxa"/>
            <w:tcBorders>
              <w:top w:val="none" w:sz="6" w:space="0" w:color="auto"/>
              <w:left w:val="none" w:sz="6" w:space="0" w:color="auto"/>
              <w:bottom w:val="none" w:sz="6" w:space="0" w:color="auto"/>
              <w:right w:val="none" w:sz="6" w:space="0" w:color="auto"/>
            </w:tcBorders>
          </w:tcPr>
          <w:p w14:paraId="3F24E71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1797" w:type="dxa"/>
            <w:tcBorders>
              <w:top w:val="none" w:sz="6" w:space="0" w:color="auto"/>
              <w:left w:val="none" w:sz="6" w:space="0" w:color="auto"/>
              <w:bottom w:val="none" w:sz="6" w:space="0" w:color="auto"/>
              <w:right w:val="none" w:sz="6" w:space="0" w:color="auto"/>
            </w:tcBorders>
          </w:tcPr>
          <w:p w14:paraId="05C116F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312</w:t>
            </w:r>
          </w:p>
        </w:tc>
        <w:tc>
          <w:tcPr>
            <w:tcW w:w="516" w:type="dxa"/>
            <w:tcBorders>
              <w:top w:val="none" w:sz="6" w:space="0" w:color="auto"/>
              <w:left w:val="none" w:sz="6" w:space="0" w:color="auto"/>
              <w:bottom w:val="none" w:sz="6" w:space="0" w:color="auto"/>
              <w:right w:val="none" w:sz="6" w:space="0" w:color="auto"/>
            </w:tcBorders>
          </w:tcPr>
          <w:p w14:paraId="5B9A1C5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291</w:t>
            </w:r>
          </w:p>
        </w:tc>
        <w:tc>
          <w:tcPr>
            <w:tcW w:w="344" w:type="dxa"/>
            <w:tcBorders>
              <w:top w:val="none" w:sz="6" w:space="0" w:color="auto"/>
              <w:left w:val="none" w:sz="6" w:space="0" w:color="auto"/>
              <w:bottom w:val="none" w:sz="6" w:space="0" w:color="auto"/>
              <w:right w:val="none" w:sz="6" w:space="0" w:color="auto"/>
            </w:tcBorders>
          </w:tcPr>
          <w:p w14:paraId="423E8BC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602" w:type="dxa"/>
            <w:tcBorders>
              <w:top w:val="none" w:sz="6" w:space="0" w:color="auto"/>
              <w:left w:val="none" w:sz="6" w:space="0" w:color="auto"/>
              <w:bottom w:val="none" w:sz="6" w:space="0" w:color="auto"/>
              <w:right w:val="none" w:sz="6" w:space="0" w:color="auto"/>
            </w:tcBorders>
          </w:tcPr>
          <w:p w14:paraId="7484238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132</w:t>
            </w:r>
          </w:p>
        </w:tc>
        <w:tc>
          <w:tcPr>
            <w:tcW w:w="688" w:type="dxa"/>
            <w:tcBorders>
              <w:top w:val="none" w:sz="6" w:space="0" w:color="auto"/>
              <w:left w:val="none" w:sz="6" w:space="0" w:color="auto"/>
              <w:bottom w:val="none" w:sz="6" w:space="0" w:color="auto"/>
              <w:right w:val="none" w:sz="6" w:space="0" w:color="auto"/>
            </w:tcBorders>
          </w:tcPr>
          <w:p w14:paraId="0C540FF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w:t>
            </w:r>
          </w:p>
        </w:tc>
        <w:tc>
          <w:tcPr>
            <w:tcW w:w="688" w:type="dxa"/>
            <w:tcBorders>
              <w:top w:val="none" w:sz="6" w:space="0" w:color="auto"/>
              <w:left w:val="none" w:sz="6" w:space="0" w:color="auto"/>
              <w:bottom w:val="none" w:sz="6" w:space="0" w:color="auto"/>
              <w:right w:val="none" w:sz="6" w:space="0" w:color="auto"/>
            </w:tcBorders>
          </w:tcPr>
          <w:p w14:paraId="0FF6593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w:t>
            </w:r>
          </w:p>
        </w:tc>
        <w:tc>
          <w:tcPr>
            <w:tcW w:w="688" w:type="dxa"/>
            <w:tcBorders>
              <w:top w:val="none" w:sz="6" w:space="0" w:color="auto"/>
              <w:left w:val="none" w:sz="6" w:space="0" w:color="auto"/>
              <w:bottom w:val="none" w:sz="6" w:space="0" w:color="auto"/>
              <w:right w:val="none" w:sz="6" w:space="0" w:color="auto"/>
            </w:tcBorders>
          </w:tcPr>
          <w:p w14:paraId="78C979E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c>
          <w:tcPr>
            <w:tcW w:w="731" w:type="dxa"/>
            <w:tcBorders>
              <w:top w:val="none" w:sz="6" w:space="0" w:color="auto"/>
              <w:left w:val="none" w:sz="6" w:space="0" w:color="auto"/>
              <w:bottom w:val="none" w:sz="6" w:space="0" w:color="auto"/>
              <w:right w:val="none" w:sz="6" w:space="0" w:color="auto"/>
            </w:tcBorders>
          </w:tcPr>
          <w:p w14:paraId="64578F5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731" w:type="dxa"/>
            <w:tcBorders>
              <w:top w:val="none" w:sz="6" w:space="0" w:color="auto"/>
              <w:left w:val="none" w:sz="6" w:space="0" w:color="auto"/>
              <w:bottom w:val="none" w:sz="6" w:space="0" w:color="auto"/>
              <w:right w:val="none" w:sz="6" w:space="0" w:color="auto"/>
            </w:tcBorders>
          </w:tcPr>
          <w:p w14:paraId="0E226AB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516" w:type="dxa"/>
            <w:tcBorders>
              <w:top w:val="none" w:sz="6" w:space="0" w:color="auto"/>
              <w:left w:val="none" w:sz="6" w:space="0" w:color="auto"/>
              <w:bottom w:val="none" w:sz="6" w:space="0" w:color="auto"/>
              <w:right w:val="none" w:sz="6" w:space="0" w:color="auto"/>
            </w:tcBorders>
          </w:tcPr>
          <w:p w14:paraId="59641F0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222</w:t>
            </w:r>
          </w:p>
        </w:tc>
        <w:tc>
          <w:tcPr>
            <w:tcW w:w="688" w:type="dxa"/>
            <w:tcBorders>
              <w:top w:val="none" w:sz="6" w:space="0" w:color="auto"/>
              <w:left w:val="none" w:sz="6" w:space="0" w:color="auto"/>
              <w:bottom w:val="none" w:sz="6" w:space="0" w:color="auto"/>
              <w:right w:val="none" w:sz="6" w:space="0" w:color="auto"/>
            </w:tcBorders>
          </w:tcPr>
          <w:p w14:paraId="7108479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r>
      <w:tr w:rsidR="004E10C1" w:rsidRPr="0044524F" w14:paraId="642171F1" w14:textId="77777777" w:rsidTr="00CE35D9">
        <w:tc>
          <w:tcPr>
            <w:tcW w:w="1367" w:type="dxa"/>
            <w:tcBorders>
              <w:top w:val="none" w:sz="6" w:space="0" w:color="auto"/>
              <w:left w:val="none" w:sz="6" w:space="0" w:color="auto"/>
              <w:bottom w:val="none" w:sz="6" w:space="0" w:color="auto"/>
              <w:right w:val="none" w:sz="6" w:space="0" w:color="auto"/>
            </w:tcBorders>
          </w:tcPr>
          <w:p w14:paraId="2AD37B4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0E2E20D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1AAE0F0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w:t>
            </w:r>
          </w:p>
        </w:tc>
        <w:tc>
          <w:tcPr>
            <w:tcW w:w="344" w:type="dxa"/>
            <w:tcBorders>
              <w:top w:val="none" w:sz="6" w:space="0" w:color="auto"/>
              <w:left w:val="none" w:sz="6" w:space="0" w:color="auto"/>
              <w:bottom w:val="none" w:sz="6" w:space="0" w:color="auto"/>
              <w:right w:val="none" w:sz="6" w:space="0" w:color="auto"/>
            </w:tcBorders>
          </w:tcPr>
          <w:p w14:paraId="22843BB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c>
          <w:tcPr>
            <w:tcW w:w="602" w:type="dxa"/>
            <w:tcBorders>
              <w:top w:val="none" w:sz="6" w:space="0" w:color="auto"/>
              <w:left w:val="none" w:sz="6" w:space="0" w:color="auto"/>
              <w:bottom w:val="none" w:sz="6" w:space="0" w:color="auto"/>
              <w:right w:val="none" w:sz="6" w:space="0" w:color="auto"/>
            </w:tcBorders>
          </w:tcPr>
          <w:p w14:paraId="45F4AF9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61,4</w:t>
            </w:r>
          </w:p>
        </w:tc>
        <w:tc>
          <w:tcPr>
            <w:tcW w:w="688" w:type="dxa"/>
            <w:tcBorders>
              <w:top w:val="none" w:sz="6" w:space="0" w:color="auto"/>
              <w:left w:val="none" w:sz="6" w:space="0" w:color="auto"/>
              <w:bottom w:val="none" w:sz="6" w:space="0" w:color="auto"/>
              <w:right w:val="none" w:sz="6" w:space="0" w:color="auto"/>
            </w:tcBorders>
          </w:tcPr>
          <w:p w14:paraId="5700AC8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38,6</w:t>
            </w:r>
          </w:p>
        </w:tc>
        <w:tc>
          <w:tcPr>
            <w:tcW w:w="688" w:type="dxa"/>
            <w:tcBorders>
              <w:top w:val="none" w:sz="6" w:space="0" w:color="auto"/>
              <w:left w:val="none" w:sz="6" w:space="0" w:color="auto"/>
              <w:bottom w:val="none" w:sz="6" w:space="0" w:color="auto"/>
              <w:right w:val="none" w:sz="6" w:space="0" w:color="auto"/>
            </w:tcBorders>
          </w:tcPr>
          <w:p w14:paraId="4FE6FF1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91,8</w:t>
            </w:r>
          </w:p>
        </w:tc>
        <w:tc>
          <w:tcPr>
            <w:tcW w:w="688" w:type="dxa"/>
            <w:tcBorders>
              <w:top w:val="none" w:sz="6" w:space="0" w:color="auto"/>
              <w:left w:val="none" w:sz="6" w:space="0" w:color="auto"/>
              <w:bottom w:val="none" w:sz="6" w:space="0" w:color="auto"/>
              <w:right w:val="none" w:sz="6" w:space="0" w:color="auto"/>
            </w:tcBorders>
          </w:tcPr>
          <w:p w14:paraId="6BD43B7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w:t>
            </w:r>
          </w:p>
        </w:tc>
        <w:tc>
          <w:tcPr>
            <w:tcW w:w="731" w:type="dxa"/>
            <w:tcBorders>
              <w:top w:val="none" w:sz="6" w:space="0" w:color="auto"/>
              <w:left w:val="none" w:sz="6" w:space="0" w:color="auto"/>
              <w:bottom w:val="none" w:sz="6" w:space="0" w:color="auto"/>
              <w:right w:val="none" w:sz="6" w:space="0" w:color="auto"/>
            </w:tcBorders>
          </w:tcPr>
          <w:p w14:paraId="47F9391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31" w:type="dxa"/>
            <w:tcBorders>
              <w:top w:val="none" w:sz="6" w:space="0" w:color="auto"/>
              <w:left w:val="none" w:sz="6" w:space="0" w:color="auto"/>
              <w:bottom w:val="none" w:sz="6" w:space="0" w:color="auto"/>
              <w:right w:val="none" w:sz="6" w:space="0" w:color="auto"/>
            </w:tcBorders>
          </w:tcPr>
          <w:p w14:paraId="3F0FF58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16" w:type="dxa"/>
            <w:tcBorders>
              <w:top w:val="none" w:sz="6" w:space="0" w:color="auto"/>
              <w:left w:val="none" w:sz="6" w:space="0" w:color="auto"/>
              <w:bottom w:val="none" w:sz="6" w:space="0" w:color="auto"/>
              <w:right w:val="none" w:sz="6" w:space="0" w:color="auto"/>
            </w:tcBorders>
          </w:tcPr>
          <w:p w14:paraId="624A410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71</w:t>
            </w:r>
          </w:p>
        </w:tc>
        <w:tc>
          <w:tcPr>
            <w:tcW w:w="688" w:type="dxa"/>
            <w:tcBorders>
              <w:top w:val="none" w:sz="6" w:space="0" w:color="auto"/>
              <w:left w:val="none" w:sz="6" w:space="0" w:color="auto"/>
              <w:bottom w:val="none" w:sz="6" w:space="0" w:color="auto"/>
              <w:right w:val="none" w:sz="6" w:space="0" w:color="auto"/>
            </w:tcBorders>
          </w:tcPr>
          <w:p w14:paraId="55ACE03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r>
      <w:tr w:rsidR="004E10C1" w:rsidRPr="0044524F" w14:paraId="514DFB5A" w14:textId="77777777" w:rsidTr="00CE35D9">
        <w:tc>
          <w:tcPr>
            <w:tcW w:w="1367" w:type="dxa"/>
            <w:tcBorders>
              <w:top w:val="none" w:sz="6" w:space="0" w:color="auto"/>
              <w:left w:val="none" w:sz="6" w:space="0" w:color="auto"/>
              <w:bottom w:val="none" w:sz="6" w:space="0" w:color="auto"/>
              <w:right w:val="none" w:sz="6" w:space="0" w:color="auto"/>
            </w:tcBorders>
          </w:tcPr>
          <w:p w14:paraId="721D28F4"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63B902E3"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4BB0AE2F"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5417143E"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1470803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272</w:t>
            </w:r>
          </w:p>
        </w:tc>
        <w:tc>
          <w:tcPr>
            <w:tcW w:w="688" w:type="dxa"/>
            <w:gridSpan w:val="2"/>
            <w:tcBorders>
              <w:top w:val="none" w:sz="6" w:space="0" w:color="auto"/>
              <w:left w:val="none" w:sz="6" w:space="0" w:color="auto"/>
              <w:bottom w:val="none" w:sz="6" w:space="0" w:color="auto"/>
              <w:right w:val="none" w:sz="6" w:space="0" w:color="auto"/>
            </w:tcBorders>
          </w:tcPr>
          <w:p w14:paraId="3AF2A05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93</w:t>
            </w:r>
          </w:p>
        </w:tc>
        <w:tc>
          <w:tcPr>
            <w:tcW w:w="731" w:type="dxa"/>
            <w:gridSpan w:val="2"/>
            <w:tcBorders>
              <w:top w:val="none" w:sz="6" w:space="0" w:color="auto"/>
              <w:left w:val="none" w:sz="6" w:space="0" w:color="auto"/>
              <w:bottom w:val="none" w:sz="6" w:space="0" w:color="auto"/>
              <w:right w:val="none" w:sz="6" w:space="0" w:color="auto"/>
            </w:tcBorders>
          </w:tcPr>
          <w:p w14:paraId="08FDB02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516" w:type="dxa"/>
            <w:tcBorders>
              <w:top w:val="none" w:sz="6" w:space="0" w:color="auto"/>
              <w:left w:val="none" w:sz="6" w:space="0" w:color="auto"/>
              <w:bottom w:val="none" w:sz="6" w:space="0" w:color="auto"/>
              <w:right w:val="none" w:sz="6" w:space="0" w:color="auto"/>
            </w:tcBorders>
          </w:tcPr>
          <w:p w14:paraId="075A8DE6"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380274F7"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r>
      <w:tr w:rsidR="004E10C1" w:rsidRPr="0044524F" w14:paraId="357F3433" w14:textId="77777777" w:rsidTr="00CE35D9">
        <w:tc>
          <w:tcPr>
            <w:tcW w:w="1367" w:type="dxa"/>
            <w:tcBorders>
              <w:top w:val="none" w:sz="6" w:space="0" w:color="auto"/>
              <w:left w:val="none" w:sz="6" w:space="0" w:color="auto"/>
              <w:bottom w:val="none" w:sz="6" w:space="0" w:color="auto"/>
              <w:right w:val="none" w:sz="6" w:space="0" w:color="auto"/>
            </w:tcBorders>
          </w:tcPr>
          <w:p w14:paraId="37B07A7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11 мес. 1933</w:t>
            </w:r>
          </w:p>
        </w:tc>
        <w:tc>
          <w:tcPr>
            <w:tcW w:w="1797" w:type="dxa"/>
            <w:tcBorders>
              <w:top w:val="none" w:sz="6" w:space="0" w:color="auto"/>
              <w:left w:val="none" w:sz="6" w:space="0" w:color="auto"/>
              <w:bottom w:val="none" w:sz="6" w:space="0" w:color="auto"/>
              <w:right w:val="none" w:sz="6" w:space="0" w:color="auto"/>
            </w:tcBorders>
          </w:tcPr>
          <w:p w14:paraId="08563D9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385</w:t>
            </w:r>
          </w:p>
        </w:tc>
        <w:tc>
          <w:tcPr>
            <w:tcW w:w="516" w:type="dxa"/>
            <w:tcBorders>
              <w:top w:val="none" w:sz="6" w:space="0" w:color="auto"/>
              <w:left w:val="none" w:sz="6" w:space="0" w:color="auto"/>
              <w:bottom w:val="none" w:sz="6" w:space="0" w:color="auto"/>
              <w:right w:val="none" w:sz="6" w:space="0" w:color="auto"/>
            </w:tcBorders>
          </w:tcPr>
          <w:p w14:paraId="6F85529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282</w:t>
            </w:r>
          </w:p>
        </w:tc>
        <w:tc>
          <w:tcPr>
            <w:tcW w:w="344" w:type="dxa"/>
            <w:tcBorders>
              <w:top w:val="none" w:sz="6" w:space="0" w:color="auto"/>
              <w:left w:val="none" w:sz="6" w:space="0" w:color="auto"/>
              <w:bottom w:val="none" w:sz="6" w:space="0" w:color="auto"/>
              <w:right w:val="none" w:sz="6" w:space="0" w:color="auto"/>
            </w:tcBorders>
          </w:tcPr>
          <w:p w14:paraId="68BF814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w:t>
            </w:r>
          </w:p>
        </w:tc>
        <w:tc>
          <w:tcPr>
            <w:tcW w:w="602" w:type="dxa"/>
            <w:tcBorders>
              <w:top w:val="none" w:sz="6" w:space="0" w:color="auto"/>
              <w:left w:val="none" w:sz="6" w:space="0" w:color="auto"/>
              <w:bottom w:val="none" w:sz="6" w:space="0" w:color="auto"/>
              <w:right w:val="none" w:sz="6" w:space="0" w:color="auto"/>
            </w:tcBorders>
          </w:tcPr>
          <w:p w14:paraId="15CEEFF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c>
          <w:tcPr>
            <w:tcW w:w="688" w:type="dxa"/>
            <w:tcBorders>
              <w:top w:val="none" w:sz="6" w:space="0" w:color="auto"/>
              <w:left w:val="none" w:sz="6" w:space="0" w:color="auto"/>
              <w:bottom w:val="none" w:sz="6" w:space="0" w:color="auto"/>
              <w:right w:val="none" w:sz="6" w:space="0" w:color="auto"/>
            </w:tcBorders>
          </w:tcPr>
          <w:p w14:paraId="3ED782A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w:t>
            </w:r>
          </w:p>
        </w:tc>
        <w:tc>
          <w:tcPr>
            <w:tcW w:w="688" w:type="dxa"/>
            <w:tcBorders>
              <w:top w:val="none" w:sz="6" w:space="0" w:color="auto"/>
              <w:left w:val="none" w:sz="6" w:space="0" w:color="auto"/>
              <w:bottom w:val="none" w:sz="6" w:space="0" w:color="auto"/>
              <w:right w:val="none" w:sz="6" w:space="0" w:color="auto"/>
            </w:tcBorders>
          </w:tcPr>
          <w:p w14:paraId="6CBD4BC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c>
          <w:tcPr>
            <w:tcW w:w="688" w:type="dxa"/>
            <w:tcBorders>
              <w:top w:val="none" w:sz="6" w:space="0" w:color="auto"/>
              <w:left w:val="none" w:sz="6" w:space="0" w:color="auto"/>
              <w:bottom w:val="none" w:sz="6" w:space="0" w:color="auto"/>
              <w:right w:val="none" w:sz="6" w:space="0" w:color="auto"/>
            </w:tcBorders>
          </w:tcPr>
          <w:p w14:paraId="3510700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731" w:type="dxa"/>
            <w:tcBorders>
              <w:top w:val="none" w:sz="6" w:space="0" w:color="auto"/>
              <w:left w:val="none" w:sz="6" w:space="0" w:color="auto"/>
              <w:bottom w:val="none" w:sz="6" w:space="0" w:color="auto"/>
              <w:right w:val="none" w:sz="6" w:space="0" w:color="auto"/>
            </w:tcBorders>
          </w:tcPr>
          <w:p w14:paraId="52A67D8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731" w:type="dxa"/>
            <w:tcBorders>
              <w:top w:val="none" w:sz="6" w:space="0" w:color="auto"/>
              <w:left w:val="none" w:sz="6" w:space="0" w:color="auto"/>
              <w:bottom w:val="none" w:sz="6" w:space="0" w:color="auto"/>
              <w:right w:val="none" w:sz="6" w:space="0" w:color="auto"/>
            </w:tcBorders>
          </w:tcPr>
          <w:p w14:paraId="5829AA3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16" w:type="dxa"/>
            <w:tcBorders>
              <w:top w:val="none" w:sz="6" w:space="0" w:color="auto"/>
              <w:left w:val="none" w:sz="6" w:space="0" w:color="auto"/>
              <w:bottom w:val="none" w:sz="6" w:space="0" w:color="auto"/>
              <w:right w:val="none" w:sz="6" w:space="0" w:color="auto"/>
            </w:tcBorders>
          </w:tcPr>
          <w:p w14:paraId="5173A61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688" w:type="dxa"/>
            <w:tcBorders>
              <w:top w:val="none" w:sz="6" w:space="0" w:color="auto"/>
              <w:left w:val="none" w:sz="6" w:space="0" w:color="auto"/>
              <w:bottom w:val="none" w:sz="6" w:space="0" w:color="auto"/>
              <w:right w:val="none" w:sz="6" w:space="0" w:color="auto"/>
            </w:tcBorders>
          </w:tcPr>
          <w:p w14:paraId="5CB8B83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105</w:t>
            </w:r>
          </w:p>
        </w:tc>
      </w:tr>
      <w:tr w:rsidR="004E10C1" w:rsidRPr="0044524F" w14:paraId="0BE3EB0F" w14:textId="77777777" w:rsidTr="00CE35D9">
        <w:tc>
          <w:tcPr>
            <w:tcW w:w="1367" w:type="dxa"/>
            <w:tcBorders>
              <w:top w:val="none" w:sz="6" w:space="0" w:color="auto"/>
              <w:left w:val="none" w:sz="6" w:space="0" w:color="auto"/>
              <w:bottom w:val="none" w:sz="6" w:space="0" w:color="auto"/>
              <w:right w:val="none" w:sz="6" w:space="0" w:color="auto"/>
            </w:tcBorders>
          </w:tcPr>
          <w:p w14:paraId="6C0260C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3248248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14AE7F0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w:t>
            </w:r>
          </w:p>
        </w:tc>
        <w:tc>
          <w:tcPr>
            <w:tcW w:w="344" w:type="dxa"/>
            <w:tcBorders>
              <w:top w:val="none" w:sz="6" w:space="0" w:color="auto"/>
              <w:left w:val="none" w:sz="6" w:space="0" w:color="auto"/>
              <w:bottom w:val="none" w:sz="6" w:space="0" w:color="auto"/>
              <w:right w:val="none" w:sz="6" w:space="0" w:color="auto"/>
            </w:tcBorders>
          </w:tcPr>
          <w:p w14:paraId="054CE30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c>
          <w:tcPr>
            <w:tcW w:w="602" w:type="dxa"/>
            <w:tcBorders>
              <w:top w:val="none" w:sz="6" w:space="0" w:color="auto"/>
              <w:left w:val="none" w:sz="6" w:space="0" w:color="auto"/>
              <w:bottom w:val="none" w:sz="6" w:space="0" w:color="auto"/>
              <w:right w:val="none" w:sz="6" w:space="0" w:color="auto"/>
            </w:tcBorders>
          </w:tcPr>
          <w:p w14:paraId="71AF2E9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64,3</w:t>
            </w:r>
          </w:p>
        </w:tc>
        <w:tc>
          <w:tcPr>
            <w:tcW w:w="688" w:type="dxa"/>
            <w:tcBorders>
              <w:top w:val="none" w:sz="6" w:space="0" w:color="auto"/>
              <w:left w:val="none" w:sz="6" w:space="0" w:color="auto"/>
              <w:bottom w:val="none" w:sz="6" w:space="0" w:color="auto"/>
              <w:right w:val="none" w:sz="6" w:space="0" w:color="auto"/>
            </w:tcBorders>
          </w:tcPr>
          <w:p w14:paraId="689AE13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35,7</w:t>
            </w:r>
          </w:p>
        </w:tc>
        <w:tc>
          <w:tcPr>
            <w:tcW w:w="688" w:type="dxa"/>
            <w:tcBorders>
              <w:top w:val="none" w:sz="6" w:space="0" w:color="auto"/>
              <w:left w:val="none" w:sz="6" w:space="0" w:color="auto"/>
              <w:bottom w:val="none" w:sz="6" w:space="0" w:color="auto"/>
              <w:right w:val="none" w:sz="6" w:space="0" w:color="auto"/>
            </w:tcBorders>
          </w:tcPr>
          <w:p w14:paraId="18BE17B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91,4</w:t>
            </w:r>
          </w:p>
        </w:tc>
        <w:tc>
          <w:tcPr>
            <w:tcW w:w="688" w:type="dxa"/>
            <w:tcBorders>
              <w:top w:val="none" w:sz="6" w:space="0" w:color="auto"/>
              <w:left w:val="none" w:sz="6" w:space="0" w:color="auto"/>
              <w:bottom w:val="none" w:sz="6" w:space="0" w:color="auto"/>
              <w:right w:val="none" w:sz="6" w:space="0" w:color="auto"/>
            </w:tcBorders>
          </w:tcPr>
          <w:p w14:paraId="4FA0146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731" w:type="dxa"/>
            <w:tcBorders>
              <w:top w:val="none" w:sz="6" w:space="0" w:color="auto"/>
              <w:left w:val="none" w:sz="6" w:space="0" w:color="auto"/>
              <w:bottom w:val="none" w:sz="6" w:space="0" w:color="auto"/>
              <w:right w:val="none" w:sz="6" w:space="0" w:color="auto"/>
            </w:tcBorders>
          </w:tcPr>
          <w:p w14:paraId="4B3AABB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731" w:type="dxa"/>
            <w:tcBorders>
              <w:top w:val="none" w:sz="6" w:space="0" w:color="auto"/>
              <w:left w:val="none" w:sz="6" w:space="0" w:color="auto"/>
              <w:bottom w:val="none" w:sz="6" w:space="0" w:color="auto"/>
              <w:right w:val="none" w:sz="6" w:space="0" w:color="auto"/>
            </w:tcBorders>
          </w:tcPr>
          <w:p w14:paraId="24DAB3E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516" w:type="dxa"/>
            <w:tcBorders>
              <w:top w:val="none" w:sz="6" w:space="0" w:color="auto"/>
              <w:left w:val="none" w:sz="6" w:space="0" w:color="auto"/>
              <w:bottom w:val="none" w:sz="6" w:space="0" w:color="auto"/>
              <w:right w:val="none" w:sz="6" w:space="0" w:color="auto"/>
            </w:tcBorders>
          </w:tcPr>
          <w:p w14:paraId="753524C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w:t>
            </w:r>
          </w:p>
        </w:tc>
        <w:tc>
          <w:tcPr>
            <w:tcW w:w="688" w:type="dxa"/>
            <w:tcBorders>
              <w:top w:val="none" w:sz="6" w:space="0" w:color="auto"/>
              <w:left w:val="none" w:sz="6" w:space="0" w:color="auto"/>
              <w:bottom w:val="none" w:sz="6" w:space="0" w:color="auto"/>
              <w:right w:val="none" w:sz="6" w:space="0" w:color="auto"/>
            </w:tcBorders>
          </w:tcPr>
          <w:p w14:paraId="12D18B9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r>
      <w:tr w:rsidR="004E10C1" w:rsidRPr="0044524F" w14:paraId="011228DE" w14:textId="77777777" w:rsidTr="00CE35D9">
        <w:tc>
          <w:tcPr>
            <w:tcW w:w="1367" w:type="dxa"/>
            <w:tcBorders>
              <w:top w:val="none" w:sz="6" w:space="0" w:color="auto"/>
              <w:left w:val="none" w:sz="6" w:space="0" w:color="auto"/>
              <w:bottom w:val="none" w:sz="6" w:space="0" w:color="auto"/>
              <w:right w:val="none" w:sz="6" w:space="0" w:color="auto"/>
            </w:tcBorders>
          </w:tcPr>
          <w:p w14:paraId="41BD4676"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1797" w:type="dxa"/>
            <w:tcBorders>
              <w:top w:val="none" w:sz="6" w:space="0" w:color="auto"/>
              <w:left w:val="none" w:sz="6" w:space="0" w:color="auto"/>
              <w:bottom w:val="none" w:sz="6" w:space="0" w:color="auto"/>
              <w:right w:val="none" w:sz="6" w:space="0" w:color="auto"/>
            </w:tcBorders>
          </w:tcPr>
          <w:p w14:paraId="1544F68F"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516" w:type="dxa"/>
            <w:tcBorders>
              <w:top w:val="none" w:sz="6" w:space="0" w:color="auto"/>
              <w:left w:val="none" w:sz="6" w:space="0" w:color="auto"/>
              <w:bottom w:val="none" w:sz="6" w:space="0" w:color="auto"/>
              <w:right w:val="none" w:sz="6" w:space="0" w:color="auto"/>
            </w:tcBorders>
          </w:tcPr>
          <w:p w14:paraId="11B38FB0"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344" w:type="dxa"/>
            <w:tcBorders>
              <w:top w:val="none" w:sz="6" w:space="0" w:color="auto"/>
              <w:left w:val="none" w:sz="6" w:space="0" w:color="auto"/>
              <w:bottom w:val="none" w:sz="6" w:space="0" w:color="auto"/>
              <w:right w:val="none" w:sz="6" w:space="0" w:color="auto"/>
            </w:tcBorders>
          </w:tcPr>
          <w:p w14:paraId="309C0E35"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02" w:type="dxa"/>
            <w:gridSpan w:val="2"/>
            <w:tcBorders>
              <w:top w:val="none" w:sz="6" w:space="0" w:color="auto"/>
              <w:left w:val="none" w:sz="6" w:space="0" w:color="auto"/>
              <w:bottom w:val="none" w:sz="6" w:space="0" w:color="auto"/>
              <w:right w:val="none" w:sz="6" w:space="0" w:color="auto"/>
            </w:tcBorders>
          </w:tcPr>
          <w:p w14:paraId="6DD9D4B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1645</w:t>
            </w:r>
          </w:p>
        </w:tc>
        <w:tc>
          <w:tcPr>
            <w:tcW w:w="688" w:type="dxa"/>
            <w:gridSpan w:val="2"/>
            <w:tcBorders>
              <w:top w:val="none" w:sz="6" w:space="0" w:color="auto"/>
              <w:left w:val="none" w:sz="6" w:space="0" w:color="auto"/>
              <w:bottom w:val="none" w:sz="6" w:space="0" w:color="auto"/>
              <w:right w:val="none" w:sz="6" w:space="0" w:color="auto"/>
            </w:tcBorders>
          </w:tcPr>
          <w:p w14:paraId="58C2DCB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706</w:t>
            </w:r>
          </w:p>
        </w:tc>
        <w:tc>
          <w:tcPr>
            <w:tcW w:w="731" w:type="dxa"/>
            <w:gridSpan w:val="2"/>
            <w:tcBorders>
              <w:top w:val="none" w:sz="6" w:space="0" w:color="auto"/>
              <w:left w:val="none" w:sz="6" w:space="0" w:color="auto"/>
              <w:bottom w:val="none" w:sz="6" w:space="0" w:color="auto"/>
              <w:right w:val="none" w:sz="6" w:space="0" w:color="auto"/>
            </w:tcBorders>
          </w:tcPr>
          <w:p w14:paraId="469AC0D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221</w:t>
            </w:r>
          </w:p>
        </w:tc>
        <w:tc>
          <w:tcPr>
            <w:tcW w:w="516" w:type="dxa"/>
            <w:tcBorders>
              <w:top w:val="none" w:sz="6" w:space="0" w:color="auto"/>
              <w:left w:val="none" w:sz="6" w:space="0" w:color="auto"/>
              <w:bottom w:val="none" w:sz="6" w:space="0" w:color="auto"/>
              <w:right w:val="none" w:sz="6" w:space="0" w:color="auto"/>
            </w:tcBorders>
          </w:tcPr>
          <w:p w14:paraId="39E48F7C"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c>
          <w:tcPr>
            <w:tcW w:w="688" w:type="dxa"/>
            <w:tcBorders>
              <w:top w:val="none" w:sz="6" w:space="0" w:color="auto"/>
              <w:left w:val="none" w:sz="6" w:space="0" w:color="auto"/>
              <w:bottom w:val="none" w:sz="6" w:space="0" w:color="auto"/>
              <w:right w:val="none" w:sz="6" w:space="0" w:color="auto"/>
            </w:tcBorders>
          </w:tcPr>
          <w:p w14:paraId="1061554D" w14:textId="77777777" w:rsidR="0018342B" w:rsidRPr="0044524F" w:rsidRDefault="0018342B" w:rsidP="009654CF">
            <w:pPr>
              <w:spacing w:after="0" w:line="240" w:lineRule="auto"/>
              <w:jc w:val="both"/>
              <w:rPr>
                <w:rFonts w:ascii="Times New Roman" w:hAnsi="Times New Roman"/>
                <w:color w:val="000000" w:themeColor="text1"/>
                <w:sz w:val="16"/>
                <w:szCs w:val="16"/>
              </w:rPr>
            </w:pPr>
          </w:p>
        </w:tc>
      </w:tr>
      <w:tr w:rsidR="004E10C1" w:rsidRPr="0044524F" w14:paraId="1C42C7B8" w14:textId="77777777" w:rsidTr="00CE35D9">
        <w:tc>
          <w:tcPr>
            <w:tcW w:w="1367" w:type="dxa"/>
            <w:tcBorders>
              <w:top w:val="none" w:sz="6" w:space="0" w:color="auto"/>
              <w:left w:val="none" w:sz="6" w:space="0" w:color="auto"/>
              <w:bottom w:val="none" w:sz="6" w:space="0" w:color="auto"/>
              <w:right w:val="none" w:sz="6" w:space="0" w:color="auto"/>
            </w:tcBorders>
          </w:tcPr>
          <w:p w14:paraId="30B6817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1797" w:type="dxa"/>
            <w:tcBorders>
              <w:top w:val="none" w:sz="6" w:space="0" w:color="auto"/>
              <w:left w:val="none" w:sz="6" w:space="0" w:color="auto"/>
              <w:bottom w:val="none" w:sz="6" w:space="0" w:color="auto"/>
              <w:right w:val="none" w:sz="6" w:space="0" w:color="auto"/>
            </w:tcBorders>
          </w:tcPr>
          <w:p w14:paraId="6491DAF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2572</w:t>
            </w:r>
          </w:p>
        </w:tc>
        <w:tc>
          <w:tcPr>
            <w:tcW w:w="516" w:type="dxa"/>
            <w:tcBorders>
              <w:top w:val="none" w:sz="6" w:space="0" w:color="auto"/>
              <w:left w:val="none" w:sz="6" w:space="0" w:color="auto"/>
              <w:bottom w:val="none" w:sz="6" w:space="0" w:color="auto"/>
              <w:right w:val="none" w:sz="6" w:space="0" w:color="auto"/>
            </w:tcBorders>
          </w:tcPr>
          <w:p w14:paraId="4A8A438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1652</w:t>
            </w:r>
          </w:p>
        </w:tc>
        <w:tc>
          <w:tcPr>
            <w:tcW w:w="344" w:type="dxa"/>
            <w:tcBorders>
              <w:top w:val="none" w:sz="6" w:space="0" w:color="auto"/>
              <w:left w:val="none" w:sz="6" w:space="0" w:color="auto"/>
              <w:bottom w:val="none" w:sz="6" w:space="0" w:color="auto"/>
              <w:right w:val="none" w:sz="6" w:space="0" w:color="auto"/>
            </w:tcBorders>
          </w:tcPr>
          <w:p w14:paraId="354D9C1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920</w:t>
            </w:r>
          </w:p>
        </w:tc>
        <w:tc>
          <w:tcPr>
            <w:tcW w:w="602" w:type="dxa"/>
            <w:tcBorders>
              <w:top w:val="none" w:sz="6" w:space="0" w:color="auto"/>
              <w:left w:val="none" w:sz="6" w:space="0" w:color="auto"/>
              <w:bottom w:val="none" w:sz="6" w:space="0" w:color="auto"/>
              <w:right w:val="none" w:sz="6" w:space="0" w:color="auto"/>
            </w:tcBorders>
          </w:tcPr>
          <w:p w14:paraId="7D68DB9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767</w:t>
            </w:r>
          </w:p>
        </w:tc>
        <w:tc>
          <w:tcPr>
            <w:tcW w:w="688" w:type="dxa"/>
            <w:tcBorders>
              <w:top w:val="none" w:sz="6" w:space="0" w:color="auto"/>
              <w:left w:val="none" w:sz="6" w:space="0" w:color="auto"/>
              <w:bottom w:val="none" w:sz="6" w:space="0" w:color="auto"/>
              <w:right w:val="none" w:sz="6" w:space="0" w:color="auto"/>
            </w:tcBorders>
          </w:tcPr>
          <w:p w14:paraId="3ABE130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878</w:t>
            </w:r>
          </w:p>
        </w:tc>
        <w:tc>
          <w:tcPr>
            <w:tcW w:w="688" w:type="dxa"/>
            <w:tcBorders>
              <w:top w:val="none" w:sz="6" w:space="0" w:color="auto"/>
              <w:left w:val="none" w:sz="6" w:space="0" w:color="auto"/>
              <w:bottom w:val="none" w:sz="6" w:space="0" w:color="auto"/>
              <w:right w:val="none" w:sz="6" w:space="0" w:color="auto"/>
            </w:tcBorders>
          </w:tcPr>
          <w:p w14:paraId="28EC596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594</w:t>
            </w:r>
          </w:p>
        </w:tc>
        <w:tc>
          <w:tcPr>
            <w:tcW w:w="688" w:type="dxa"/>
            <w:tcBorders>
              <w:top w:val="none" w:sz="6" w:space="0" w:color="auto"/>
              <w:left w:val="none" w:sz="6" w:space="0" w:color="auto"/>
              <w:bottom w:val="none" w:sz="6" w:space="0" w:color="auto"/>
              <w:right w:val="none" w:sz="6" w:space="0" w:color="auto"/>
            </w:tcBorders>
          </w:tcPr>
          <w:p w14:paraId="0E2E427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112</w:t>
            </w:r>
          </w:p>
        </w:tc>
        <w:tc>
          <w:tcPr>
            <w:tcW w:w="731" w:type="dxa"/>
            <w:tcBorders>
              <w:top w:val="none" w:sz="6" w:space="0" w:color="auto"/>
              <w:left w:val="none" w:sz="6" w:space="0" w:color="auto"/>
              <w:bottom w:val="none" w:sz="6" w:space="0" w:color="auto"/>
              <w:right w:val="none" w:sz="6" w:space="0" w:color="auto"/>
            </w:tcBorders>
          </w:tcPr>
          <w:p w14:paraId="1FB8DA1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w:t>
            </w:r>
          </w:p>
        </w:tc>
        <w:tc>
          <w:tcPr>
            <w:tcW w:w="731" w:type="dxa"/>
            <w:tcBorders>
              <w:top w:val="none" w:sz="6" w:space="0" w:color="auto"/>
              <w:left w:val="none" w:sz="6" w:space="0" w:color="auto"/>
              <w:bottom w:val="none" w:sz="6" w:space="0" w:color="auto"/>
              <w:right w:val="none" w:sz="6" w:space="0" w:color="auto"/>
            </w:tcBorders>
          </w:tcPr>
          <w:p w14:paraId="1192D4A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516" w:type="dxa"/>
            <w:tcBorders>
              <w:top w:val="none" w:sz="6" w:space="0" w:color="auto"/>
              <w:left w:val="none" w:sz="6" w:space="0" w:color="auto"/>
              <w:bottom w:val="none" w:sz="6" w:space="0" w:color="auto"/>
              <w:right w:val="none" w:sz="6" w:space="0" w:color="auto"/>
            </w:tcBorders>
          </w:tcPr>
          <w:p w14:paraId="48F41A8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1564</w:t>
            </w:r>
          </w:p>
        </w:tc>
        <w:tc>
          <w:tcPr>
            <w:tcW w:w="688" w:type="dxa"/>
            <w:tcBorders>
              <w:top w:val="none" w:sz="6" w:space="0" w:color="auto"/>
              <w:left w:val="none" w:sz="6" w:space="0" w:color="auto"/>
              <w:bottom w:val="none" w:sz="6" w:space="0" w:color="auto"/>
              <w:right w:val="none" w:sz="6" w:space="0" w:color="auto"/>
            </w:tcBorders>
          </w:tcPr>
          <w:p w14:paraId="57A97D8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1008</w:t>
            </w:r>
          </w:p>
        </w:tc>
      </w:tr>
      <w:tr w:rsidR="004E10C1" w:rsidRPr="0044524F" w14:paraId="3F5B57BB" w14:textId="77777777" w:rsidTr="00CE35D9">
        <w:tc>
          <w:tcPr>
            <w:tcW w:w="1367" w:type="dxa"/>
            <w:tcBorders>
              <w:top w:val="none" w:sz="6" w:space="0" w:color="auto"/>
              <w:left w:val="none" w:sz="6" w:space="0" w:color="auto"/>
              <w:bottom w:val="none" w:sz="6" w:space="0" w:color="auto"/>
              <w:right w:val="none" w:sz="6" w:space="0" w:color="auto"/>
            </w:tcBorders>
          </w:tcPr>
          <w:p w14:paraId="48F49F7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w:t>
            </w:r>
          </w:p>
        </w:tc>
        <w:tc>
          <w:tcPr>
            <w:tcW w:w="1797" w:type="dxa"/>
            <w:tcBorders>
              <w:top w:val="none" w:sz="6" w:space="0" w:color="auto"/>
              <w:left w:val="none" w:sz="6" w:space="0" w:color="auto"/>
              <w:bottom w:val="none" w:sz="6" w:space="0" w:color="auto"/>
              <w:right w:val="none" w:sz="6" w:space="0" w:color="auto"/>
            </w:tcBorders>
          </w:tcPr>
          <w:p w14:paraId="6B97100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516" w:type="dxa"/>
            <w:tcBorders>
              <w:top w:val="none" w:sz="6" w:space="0" w:color="auto"/>
              <w:left w:val="none" w:sz="6" w:space="0" w:color="auto"/>
              <w:bottom w:val="none" w:sz="6" w:space="0" w:color="auto"/>
              <w:right w:val="none" w:sz="6" w:space="0" w:color="auto"/>
            </w:tcBorders>
          </w:tcPr>
          <w:p w14:paraId="1D4E5D9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64,2</w:t>
            </w:r>
          </w:p>
        </w:tc>
        <w:tc>
          <w:tcPr>
            <w:tcW w:w="344" w:type="dxa"/>
            <w:tcBorders>
              <w:top w:val="none" w:sz="6" w:space="0" w:color="auto"/>
              <w:left w:val="none" w:sz="6" w:space="0" w:color="auto"/>
              <w:bottom w:val="none" w:sz="6" w:space="0" w:color="auto"/>
              <w:right w:val="none" w:sz="6" w:space="0" w:color="auto"/>
            </w:tcBorders>
          </w:tcPr>
          <w:p w14:paraId="626958A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35,8</w:t>
            </w:r>
          </w:p>
        </w:tc>
        <w:tc>
          <w:tcPr>
            <w:tcW w:w="602" w:type="dxa"/>
            <w:tcBorders>
              <w:top w:val="none" w:sz="6" w:space="0" w:color="auto"/>
              <w:left w:val="none" w:sz="6" w:space="0" w:color="auto"/>
              <w:bottom w:val="none" w:sz="6" w:space="0" w:color="auto"/>
              <w:right w:val="none" w:sz="6" w:space="0" w:color="auto"/>
            </w:tcBorders>
          </w:tcPr>
          <w:p w14:paraId="7E7BB11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46,6</w:t>
            </w:r>
          </w:p>
        </w:tc>
        <w:tc>
          <w:tcPr>
            <w:tcW w:w="688" w:type="dxa"/>
            <w:tcBorders>
              <w:top w:val="none" w:sz="6" w:space="0" w:color="auto"/>
              <w:left w:val="none" w:sz="6" w:space="0" w:color="auto"/>
              <w:bottom w:val="none" w:sz="6" w:space="0" w:color="auto"/>
              <w:right w:val="none" w:sz="6" w:space="0" w:color="auto"/>
            </w:tcBorders>
          </w:tcPr>
          <w:p w14:paraId="6A46EF0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53,4</w:t>
            </w:r>
          </w:p>
        </w:tc>
        <w:tc>
          <w:tcPr>
            <w:tcW w:w="688" w:type="dxa"/>
            <w:tcBorders>
              <w:top w:val="none" w:sz="6" w:space="0" w:color="auto"/>
              <w:left w:val="none" w:sz="6" w:space="0" w:color="auto"/>
              <w:bottom w:val="none" w:sz="6" w:space="0" w:color="auto"/>
              <w:right w:val="none" w:sz="6" w:space="0" w:color="auto"/>
            </w:tcBorders>
          </w:tcPr>
          <w:p w14:paraId="3E4C56E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84,1</w:t>
            </w:r>
          </w:p>
        </w:tc>
        <w:tc>
          <w:tcPr>
            <w:tcW w:w="688" w:type="dxa"/>
            <w:tcBorders>
              <w:top w:val="none" w:sz="6" w:space="0" w:color="auto"/>
              <w:left w:val="none" w:sz="6" w:space="0" w:color="auto"/>
              <w:bottom w:val="none" w:sz="6" w:space="0" w:color="auto"/>
              <w:right w:val="none" w:sz="6" w:space="0" w:color="auto"/>
            </w:tcBorders>
          </w:tcPr>
          <w:p w14:paraId="11AFA03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15,9</w:t>
            </w:r>
          </w:p>
        </w:tc>
        <w:tc>
          <w:tcPr>
            <w:tcW w:w="731" w:type="dxa"/>
            <w:tcBorders>
              <w:top w:val="none" w:sz="6" w:space="0" w:color="auto"/>
              <w:left w:val="none" w:sz="6" w:space="0" w:color="auto"/>
              <w:bottom w:val="none" w:sz="6" w:space="0" w:color="auto"/>
              <w:right w:val="none" w:sz="6" w:space="0" w:color="auto"/>
            </w:tcBorders>
          </w:tcPr>
          <w:p w14:paraId="19A1F07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91,8</w:t>
            </w:r>
          </w:p>
        </w:tc>
        <w:tc>
          <w:tcPr>
            <w:tcW w:w="731" w:type="dxa"/>
            <w:tcBorders>
              <w:top w:val="none" w:sz="6" w:space="0" w:color="auto"/>
              <w:left w:val="none" w:sz="6" w:space="0" w:color="auto"/>
              <w:bottom w:val="none" w:sz="6" w:space="0" w:color="auto"/>
              <w:right w:val="none" w:sz="6" w:space="0" w:color="auto"/>
            </w:tcBorders>
          </w:tcPr>
          <w:p w14:paraId="7493C01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w:t>
            </w:r>
          </w:p>
        </w:tc>
        <w:tc>
          <w:tcPr>
            <w:tcW w:w="516" w:type="dxa"/>
            <w:tcBorders>
              <w:top w:val="none" w:sz="6" w:space="0" w:color="auto"/>
              <w:left w:val="none" w:sz="6" w:space="0" w:color="auto"/>
              <w:bottom w:val="none" w:sz="6" w:space="0" w:color="auto"/>
              <w:right w:val="none" w:sz="6" w:space="0" w:color="auto"/>
            </w:tcBorders>
          </w:tcPr>
          <w:p w14:paraId="633CA2D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60,5</w:t>
            </w:r>
          </w:p>
        </w:tc>
        <w:tc>
          <w:tcPr>
            <w:tcW w:w="688" w:type="dxa"/>
            <w:tcBorders>
              <w:top w:val="none" w:sz="6" w:space="0" w:color="auto"/>
              <w:left w:val="none" w:sz="6" w:space="0" w:color="auto"/>
              <w:bottom w:val="none" w:sz="6" w:space="0" w:color="auto"/>
              <w:right w:val="none" w:sz="6" w:space="0" w:color="auto"/>
            </w:tcBorders>
          </w:tcPr>
          <w:p w14:paraId="284021B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39,5</w:t>
            </w:r>
          </w:p>
        </w:tc>
      </w:tr>
    </w:tbl>
    <w:p w14:paraId="2E41756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Наиболее эффективные результаты загранкомандировок на практике сказались в черной металлургии (в особенности по наладке и освоению высококачественных сталей), военной промышленности, электротехнической, тяжелого и общего машиностроения, в частности автомобильной и тракторной (последняя не имела формальных договоров техсодействия с инофирмами), шарикоподшипниковой, отчасти в химической и топливной.</w:t>
      </w:r>
    </w:p>
    <w:p w14:paraId="2040D8E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Иностранные кадры, работающие в тяжелой промышленности на индивидуальных условиях</w:t>
      </w:r>
    </w:p>
    <w:p w14:paraId="72CE583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Динамика и распределение</w:t>
      </w:r>
    </w:p>
    <w:p w14:paraId="711AC2D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привлечением техсодействия через иностранные фирмы по дорогостоящим договорам, тяжелая промышленность привлекла из-за границы иностранных инженеров, техников, мастеров и квалифицированных рабочих на индивидуальных условиях оплаты.</w:t>
      </w:r>
    </w:p>
    <w:p w14:paraId="2AB2A1C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Широкое развитие реконструктивных работ и строительства мощных предприятий сопровождалось в течение I?й пятилетки ростом количества иностранных рабочих и специалистов:</w:t>
      </w:r>
    </w:p>
    <w:p w14:paraId="21F5351F" w14:textId="097A452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[По состоянию на] Иноработников Инженеров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Рабочих</w:t>
      </w:r>
    </w:p>
    <w:p w14:paraId="5703BA55" w14:textId="085E9EE2"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 xml:space="preserve"> и техников</w:t>
      </w:r>
    </w:p>
    <w:p w14:paraId="45102113" w14:textId="0E3B1C19"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1.I.1929 г.</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400</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 xml:space="preserve">400 </w:t>
      </w:r>
    </w:p>
    <w:p w14:paraId="16D1B9B6" w14:textId="1BAE09EB" w:rsidR="0018342B" w:rsidRPr="0044524F" w:rsidRDefault="0088747B" w:rsidP="009654CF">
      <w:pPr>
        <w:spacing w:after="0" w:line="240" w:lineRule="auto"/>
        <w:jc w:val="both"/>
        <w:rPr>
          <w:rFonts w:ascii="Times New Roman" w:hAnsi="Times New Roman"/>
          <w:color w:val="000000" w:themeColor="text1"/>
          <w:sz w:val="16"/>
          <w:szCs w:val="16"/>
          <w:lang w:val="pl-PL"/>
        </w:rPr>
      </w:pP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1.I.1930 г.</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lang w:val="pl-PL"/>
        </w:rPr>
        <w:t>1112</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600</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 512</w:t>
      </w:r>
    </w:p>
    <w:p w14:paraId="06CE2C80" w14:textId="2030F415" w:rsidR="0018342B" w:rsidRPr="0044524F" w:rsidRDefault="0088747B" w:rsidP="009654CF">
      <w:pPr>
        <w:spacing w:after="0" w:line="240" w:lineRule="auto"/>
        <w:jc w:val="both"/>
        <w:rPr>
          <w:rFonts w:ascii="Times New Roman" w:hAnsi="Times New Roman"/>
          <w:color w:val="000000" w:themeColor="text1"/>
          <w:sz w:val="16"/>
          <w:szCs w:val="16"/>
          <w:lang w:val="pl-PL"/>
        </w:rPr>
      </w:pP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1.I.1931 </w:t>
      </w:r>
      <w:r w:rsidR="0018342B" w:rsidRPr="0044524F">
        <w:rPr>
          <w:rFonts w:ascii="Times New Roman" w:hAnsi="Times New Roman"/>
          <w:color w:val="000000" w:themeColor="text1"/>
          <w:sz w:val="16"/>
          <w:szCs w:val="16"/>
        </w:rPr>
        <w:t>г</w:t>
      </w:r>
      <w:r w:rsidR="0018342B" w:rsidRPr="0044524F">
        <w:rPr>
          <w:rFonts w:ascii="Times New Roman" w:hAnsi="Times New Roman"/>
          <w:color w:val="000000" w:themeColor="text1"/>
          <w:sz w:val="16"/>
          <w:szCs w:val="16"/>
          <w:lang w:val="pl-PL"/>
        </w:rPr>
        <w:t>.</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 2898</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 1631</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1267</w:t>
      </w:r>
    </w:p>
    <w:p w14:paraId="2E8DD283" w14:textId="7BD173B1" w:rsidR="0018342B" w:rsidRPr="0044524F" w:rsidRDefault="0088747B" w:rsidP="009654CF">
      <w:pPr>
        <w:spacing w:after="0" w:line="240" w:lineRule="auto"/>
        <w:jc w:val="both"/>
        <w:rPr>
          <w:rFonts w:ascii="Times New Roman" w:hAnsi="Times New Roman"/>
          <w:color w:val="000000" w:themeColor="text1"/>
          <w:sz w:val="16"/>
          <w:szCs w:val="16"/>
          <w:lang w:val="pl-PL"/>
        </w:rPr>
      </w:pP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1.I.1932 </w:t>
      </w:r>
      <w:r w:rsidR="0018342B" w:rsidRPr="0044524F">
        <w:rPr>
          <w:rFonts w:ascii="Times New Roman" w:hAnsi="Times New Roman"/>
          <w:color w:val="000000" w:themeColor="text1"/>
          <w:sz w:val="16"/>
          <w:szCs w:val="16"/>
        </w:rPr>
        <w:t>г</w:t>
      </w:r>
      <w:r w:rsidR="0018342B" w:rsidRPr="0044524F">
        <w:rPr>
          <w:rFonts w:ascii="Times New Roman" w:hAnsi="Times New Roman"/>
          <w:color w:val="000000" w:themeColor="text1"/>
          <w:sz w:val="16"/>
          <w:szCs w:val="16"/>
          <w:lang w:val="pl-PL"/>
        </w:rPr>
        <w:t>.</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 6058</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 2050</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4008</w:t>
      </w:r>
    </w:p>
    <w:p w14:paraId="11D1C548" w14:textId="3CBEA5AE" w:rsidR="0018342B" w:rsidRPr="0044524F" w:rsidRDefault="0088747B" w:rsidP="009654CF">
      <w:pPr>
        <w:spacing w:after="0" w:line="240" w:lineRule="auto"/>
        <w:jc w:val="both"/>
        <w:rPr>
          <w:rFonts w:ascii="Times New Roman" w:hAnsi="Times New Roman"/>
          <w:color w:val="000000" w:themeColor="text1"/>
          <w:sz w:val="16"/>
          <w:szCs w:val="16"/>
          <w:lang w:val="pl-PL"/>
        </w:rPr>
      </w:pP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1.I.1933 </w:t>
      </w:r>
      <w:r w:rsidR="0018342B" w:rsidRPr="0044524F">
        <w:rPr>
          <w:rFonts w:ascii="Times New Roman" w:hAnsi="Times New Roman"/>
          <w:color w:val="000000" w:themeColor="text1"/>
          <w:sz w:val="16"/>
          <w:szCs w:val="16"/>
        </w:rPr>
        <w:t>г</w:t>
      </w:r>
      <w:r w:rsidR="0018342B" w:rsidRPr="0044524F">
        <w:rPr>
          <w:rFonts w:ascii="Times New Roman" w:hAnsi="Times New Roman"/>
          <w:color w:val="000000" w:themeColor="text1"/>
          <w:sz w:val="16"/>
          <w:szCs w:val="16"/>
          <w:lang w:val="pl-PL"/>
        </w:rPr>
        <w:t>.</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 6550</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 2429</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4131</w:t>
      </w:r>
    </w:p>
    <w:p w14:paraId="378A1EE4" w14:textId="7128BAF7"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1.VII.1933 </w:t>
      </w:r>
      <w:r w:rsidR="0018342B" w:rsidRPr="0044524F">
        <w:rPr>
          <w:rFonts w:ascii="Times New Roman" w:hAnsi="Times New Roman"/>
          <w:color w:val="000000" w:themeColor="text1"/>
          <w:sz w:val="16"/>
          <w:szCs w:val="16"/>
        </w:rPr>
        <w:t>г</w:t>
      </w:r>
      <w:r w:rsidR="0018342B" w:rsidRPr="0044524F">
        <w:rPr>
          <w:rFonts w:ascii="Times New Roman" w:hAnsi="Times New Roman"/>
          <w:color w:val="000000" w:themeColor="text1"/>
          <w:sz w:val="16"/>
          <w:szCs w:val="16"/>
          <w:lang w:val="pl-PL"/>
        </w:rPr>
        <w:t>.</w:t>
      </w:r>
      <w:r>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lang w:val="pl-PL"/>
        </w:rPr>
        <w:t xml:space="preserve"> </w:t>
      </w:r>
      <w:r w:rsidR="0018342B" w:rsidRPr="0044524F">
        <w:rPr>
          <w:rFonts w:ascii="Times New Roman" w:hAnsi="Times New Roman"/>
          <w:color w:val="000000" w:themeColor="text1"/>
          <w:sz w:val="16"/>
          <w:szCs w:val="16"/>
        </w:rPr>
        <w:t>5601</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 xml:space="preserve"> 1989</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3612</w:t>
      </w:r>
    </w:p>
    <w:p w14:paraId="48CFF27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Основная масса иноработников направлена в ведущие отрасли тяжелой промышленности:</w:t>
      </w:r>
    </w:p>
    <w:p w14:paraId="6C95665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все машиностроение насчитывает ... — 2888 чел.</w:t>
      </w:r>
    </w:p>
    <w:p w14:paraId="3A8410C4" w14:textId="15A74B34"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черная и цветная металлургия .....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675 чел.</w:t>
      </w:r>
    </w:p>
    <w:p w14:paraId="7783FE1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угольная промышленность .......... — 1291 чел.</w:t>
      </w:r>
    </w:p>
    <w:p w14:paraId="1DB80F8D" w14:textId="73C8B304"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химическая (включая Коксохим) ....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233 чел.</w:t>
      </w:r>
    </w:p>
    <w:p w14:paraId="39396179" w14:textId="14770AFE"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 строительная промышленность ......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357 чел.</w:t>
      </w:r>
    </w:p>
    <w:p w14:paraId="695D433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Значительное количество иноработников сконцентрировано на сравнительно небольшом количестве предприятий. Только на 16 предприятиях работают 2500 иноработников (40%).</w:t>
      </w:r>
    </w:p>
    <w:p w14:paraId="39E849C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1929 года иноработники использовались главным образом в качестве консультантов по вопросам, связанным с восстановлением старых фабрик и заводов.</w:t>
      </w:r>
    </w:p>
    <w:p w14:paraId="1F643FD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1930 года иноспециалисты и квалифицированные рабочие начали привлекаться для руководства и участия в проектировании, а также для осуществления строительных работ, с применением в них достижений передовой иностранной техники, а с пуском новых и капитально реконструируемых предприятий (1931-1932 гг.), освоение которых тормозилось из-за отсутствия достаточных квалифицированных кадров, потребовалось усиление, и иноработники стали привлекаться в подавляющей массе для непосредственной работы на производстве в качестве технических руководителей, начальников цехов, сменных инженеров, мастеров, инструкторов-бригадиров и наладчиков.</w:t>
      </w:r>
    </w:p>
    <w:p w14:paraId="63F243C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всего наличного количества иноработников по состоянию на 1.VII.1933 г. занято:</w:t>
      </w:r>
    </w:p>
    <w:p w14:paraId="601EB18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на действующих заводах и новостройках — 1627 чел.(81,7%)</w:t>
      </w:r>
    </w:p>
    <w:p w14:paraId="148DADDD" w14:textId="0407ADE8"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в проектирующих организациях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136 чел. (7,0%)</w:t>
      </w:r>
    </w:p>
    <w:p w14:paraId="1A53A9A4"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 производственных отделах управлений,</w:t>
      </w:r>
    </w:p>
    <w:p w14:paraId="169FAE74" w14:textId="788AE39A" w:rsidR="0018342B"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lastRenderedPageBreak/>
        <w:t xml:space="preserve"> </w:t>
      </w:r>
      <w:r w:rsidR="0018342B" w:rsidRPr="0044524F">
        <w:rPr>
          <w:rFonts w:ascii="Times New Roman" w:hAnsi="Times New Roman"/>
          <w:color w:val="000000" w:themeColor="text1"/>
          <w:sz w:val="16"/>
          <w:szCs w:val="16"/>
        </w:rPr>
        <w:t xml:space="preserve"> объединений и трестов</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 xml:space="preserve"> —</w:t>
      </w:r>
      <w:r>
        <w:rPr>
          <w:rFonts w:ascii="Times New Roman" w:hAnsi="Times New Roman"/>
          <w:color w:val="000000" w:themeColor="text1"/>
          <w:sz w:val="16"/>
          <w:szCs w:val="16"/>
        </w:rPr>
        <w:t xml:space="preserve"> </w:t>
      </w:r>
      <w:r w:rsidR="0018342B" w:rsidRPr="0044524F">
        <w:rPr>
          <w:rFonts w:ascii="Times New Roman" w:hAnsi="Times New Roman"/>
          <w:color w:val="000000" w:themeColor="text1"/>
          <w:sz w:val="16"/>
          <w:szCs w:val="16"/>
        </w:rPr>
        <w:t>122 чел. (6,0%)</w:t>
      </w:r>
    </w:p>
    <w:p w14:paraId="06F462A0" w14:textId="5D44C880"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в научно-исследовательских институтах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104 чел. (5,3%)</w:t>
      </w:r>
    </w:p>
    <w:p w14:paraId="6878365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Производственное лицо иноспециалистов</w:t>
      </w:r>
    </w:p>
    <w:p w14:paraId="66CA8E5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Разработав учетные данные на 1574 иностранных специалиста, мы установили, что 35% имеют практический стаж от 10 до 20 лет, 25% имеют стаж свыше 20 лет, 27% со стажем от 5 до 10 лет и только 13% имеют стаж до 5 лет, что относится к молодым специалистам, работающим на условиях н/общего?* колдоговора.</w:t>
      </w:r>
    </w:p>
    <w:p w14:paraId="03C453F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образованию 41% с высшим техническим образованием, 44% со средним техническим образованием и 15% с низшим, что относится к мастерам-практикам.</w:t>
      </w:r>
    </w:p>
    <w:p w14:paraId="1DD4E2F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Валютные затраты на оплату иноработников и мероприятия по их снижению</w:t>
      </w:r>
    </w:p>
    <w:p w14:paraId="0B143A8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Динамика валютных расходов на оплату иноработников характеризуется следующими данными:</w:t>
      </w:r>
    </w:p>
    <w:p w14:paraId="22173A1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1928/29 гг. израсходовано .......... 1040000 руб.</w:t>
      </w:r>
    </w:p>
    <w:p w14:paraId="701C82C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1930 г. (5 кварт.) израсходовано ... 7000000 руб.</w:t>
      </w:r>
    </w:p>
    <w:p w14:paraId="10D136BA"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г. израсходовано .............. 6530000 руб.</w:t>
      </w:r>
    </w:p>
    <w:p w14:paraId="452D46E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 израсходовано .............. 2830000 руб.</w:t>
      </w:r>
    </w:p>
    <w:p w14:paraId="7506C544" w14:textId="7239BAE8"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будет израсходовано ........</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860000 руб.</w:t>
      </w:r>
    </w:p>
    <w:p w14:paraId="1FCAB35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Резкое падение валютных затрат на оплату иноработников в 32 и 33 гг. при одновременном росте самого количества, а — главное — качества иноработников объясняется оперативными мероприятиями ИНО НКТП как по досрочному переводу части инвалютных специалистов на безвалютную оплату, так и резкому досрочному снижению предусмотренной в договорах инвалютной оплаты. В значительной части это также относится за счет досрочного освобождения дорогостоящих специалистов, эффективность работы коих была недостаточна.</w:t>
      </w:r>
    </w:p>
    <w:p w14:paraId="3E500C1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Высокая оплата значительной части иноспециалистов обуславливалась тем, что они были приглашены на длительные сроки в период капиталистического подъема или в самом начале экономического кризиса, а также неорганизованностью самого набора иноработников, который производился хозяйственниками непосредственно заграницей. Оплата эта ни в какой мере не соответствовала конъюнктуре рынков труда к началу 1932 г.</w:t>
      </w:r>
    </w:p>
    <w:p w14:paraId="1FEDB51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этого крупные суммы в инвалюте (миллионы рублей) тратились непроизводительно.</w:t>
      </w:r>
    </w:p>
    <w:p w14:paraId="7D49E7A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устранения этого вредного явления с конца 1931 г. нами был предпринят досрочный пересмотр договоров со всеми инвалютными специалистами, который позволил:</w:t>
      </w:r>
    </w:p>
    <w:p w14:paraId="174A0FB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Ликвидировать ряд кабальных дорогостоящих для нас договоров с иноспециалистами и перезаключить их на резко сниженные условия оплаты.</w:t>
      </w:r>
    </w:p>
    <w:p w14:paraId="0F49FC7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Значительное количество высокооплачиваемых в валюте иноспециалистов перевести на условия полной безвалютной их оплаты.</w:t>
      </w:r>
    </w:p>
    <w:p w14:paraId="2466DC9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Очистить промышленность от лжеспециалистов и авантюристического элемента, высокооплачиваемых в инвалюте.</w:t>
      </w:r>
    </w:p>
    <w:p w14:paraId="1929364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Эти мероприятия привели к нижеследующим результатам:</w:t>
      </w:r>
    </w:p>
    <w:p w14:paraId="5D149FE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в 1931 г. валютные расходы по иноспециалистам составляли 6530000 руб.; в 1932 г. эти расходы были снижены до 2830 тыс. руб., т. е. в 2,3 раза; в 1933 г. валютные расходы имели дальнейшее снижение до 860000 руб., т. е. по сравнению с 1932 г. они сокращены в 3,3 раза, а по сравнению с 1931 г. в 7,6 раза.</w:t>
      </w:r>
    </w:p>
    <w:p w14:paraId="7B46634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Количество инвалютных специалистов к 1.I.34 г. составляет 325 человек вместо 1450 чел. на 1.I.32 г. и 395 — на 1.I.33 г.</w:t>
      </w:r>
    </w:p>
    <w:p w14:paraId="565AEA1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Инвалютные расходы с 450 тыс. руб. в январе 1932 г. снизились до 100 тыс. руб. в январе 1933 г., т. е. больше чем в 4 раза, а к концу 1933 г. они составляют 45 тыс. руб. в месяц, т. е. уменьшились по сравнению с началом 32 г. в 10 раз.</w:t>
      </w:r>
    </w:p>
    <w:p w14:paraId="78D34BC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Средняя инвалютная оплата одного специалиста к концу 1933 г. уменьшилась больше чем на 90% по сравнению с началом 32 г. (январь 1932 г. — 219 руб., январь 1933 г. — 41 руб., конец 1933 г. — до 23 руб.).</w:t>
      </w:r>
    </w:p>
    <w:p w14:paraId="5D0FA9F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со снижением инвалютных расходов по индивидуальным договорам с иноспециалистами мы достигли большой валютной экономии за счет использования индивидуальных иноработников на ряде участков, где оказывали техническую помощь досрочно расторгнутые, дорогостоящие договора с инофирмами.</w:t>
      </w:r>
    </w:p>
    <w:p w14:paraId="3CF89FC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Эффективность работы инокадров</w:t>
      </w:r>
    </w:p>
    <w:p w14:paraId="29168BD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течение 1932 и 1933 гг. нашими силами и участием в бригадах ЦКК-НК РКИ было практически обследовано свыше 120 предприятий, новостроек, проектирующих и хозяйственных организаций на предмет выявления делового и политического лица инокадров, состояние их использования, жилья и культурно-бытовых условий и на предмет исправления на месте обнаруженных недочетов.</w:t>
      </w:r>
    </w:p>
    <w:p w14:paraId="60FF2B7D"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полученные в результате произведенных обследований, нижеследующие:</w:t>
      </w:r>
    </w:p>
    <w:p w14:paraId="383454B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при активном участии значительного количества ценных иностранных специалистов и высококвалифицированных рабочих были построены и пущены в ход крупнейшие предприятия (Сталинградский и Харьковский тракторные заводы, Горьковский и Московский автозаводы, Кузнецкстрой, Магнитострой, Краммашкомбинат, Уралмашзавод, Запорожсталь и т. д., и т. д.).</w:t>
      </w:r>
    </w:p>
    <w:p w14:paraId="4AA1F4E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Поставлено новое производство на ряде предприятий (электроламповое производство, высокомощных и высоковольтных трансформаторов, высококачественных сталей, ряда видов химической аппаратуры, шахтных механизмов, электросчетчиков, медицинских и прочих термометров и т. д. и т. д.).</w:t>
      </w:r>
    </w:p>
    <w:p w14:paraId="423DEDC8"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Чрезвычайно трудно представить эффективность работы инокадров на наших предприятиях в суммарном денежном выражении, так как не во всех случаях она поддается точному учету и оценке в рублях. До настоящего времени отсутствует кем-либо разработанная методология такого учета. Однако, даже краткий прилагаемый перечень примеров эффективности работы иностранных инженеров и рабочих дают право сделать вывод о том, что при правильном использовании инокадров (не говоря уж о тех случаях, когда иноработники работают на безвалютных условиях), даже производимые на них затраты в инвалюте с избытком себя оправдывают и дают возможность сберечь значительные суммы, как в соввалюте (улучшение методов работы, удешевление и ускорение производственных и строительных процессов, повышение производительности труда и качества продукции, экономия материала и, главное, сохранение жизни оборудования и т. д.), так и в инвалюте (сокращение импорта и освобождение от иностранной зависимости).</w:t>
      </w:r>
    </w:p>
    <w:p w14:paraId="5CD7E8A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Основная масса инорабочих сконцентрирована сравнительно на небольшом количестве предприятий (ЧТЗ, ХТЗ, СТЗ, ГАЗ, Электрозавод, Электроаппарат, Ростовсельмаш, Сарсельмаш, Краммашзавод, нескольких механизированных шахтах Кузбасса и Донбасса), т. е. на предприятиях, оборудованных новейшими станками и установками, в большинстве случаев неизвестными нашим рабочим.</w:t>
      </w:r>
    </w:p>
    <w:p w14:paraId="6204FDB9"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Правильное использование иноработников на этих предприятиях обеспечивает нормальную работу дорогих агрегатов и дает возможность обучить и подготовить наших рабочих уменью работать на новых для них сложных импортных механизмах.</w:t>
      </w:r>
    </w:p>
    <w:p w14:paraId="74867EB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этих случаях, в особенности это относится к металлообработке, где требуется исключительная точность в обработке деталей, производительность труда инорабочих значительно выше достижений наших рабочих, давая несравнимо более высокие образцы по качеству и обработке деталей (точность до 1000 долей мм). Инорабочие в ряде случаев и в количественном выполнении норм дают более высокие показатели, чем наши рабочие, о чем свидетельствуют прилагаемые к настоящей справке ряд примеров.</w:t>
      </w:r>
    </w:p>
    <w:p w14:paraId="66B9256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Прилагаемый краткий перечень примеров и результаты работы инофирм на наших предприятиях по договорам техсодействия в свою очередь показывают эффективность затрат в этой области.</w:t>
      </w:r>
    </w:p>
    <w:p w14:paraId="67DBB28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Приложения: Краткий перечень примеров эффективности работы интехпомощи и отрицательных явлений в этой области?*.</w:t>
      </w:r>
    </w:p>
    <w:p w14:paraId="725C0ED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Член коллегии НКТП Сушков </w:t>
      </w:r>
    </w:p>
    <w:p w14:paraId="50B3858F"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Зам. нач. ИНО НКТП Владимиров </w:t>
      </w:r>
    </w:p>
    <w:p w14:paraId="1217A53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Примечания:</w:t>
      </w:r>
    </w:p>
    <w:p w14:paraId="302A799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Датируется по содержанию.</w:t>
      </w:r>
    </w:p>
    <w:p w14:paraId="68874F5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Так в документе.</w:t>
      </w:r>
    </w:p>
    <w:p w14:paraId="29FB093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Приложения не публикуются. См. РГАЭ. Ф. 7297. Оп.38. Д. 289. Л. 75-93.</w:t>
      </w:r>
    </w:p>
    <w:p w14:paraId="1E9CF8DE"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РГАЭ. Ф. 7297. Оп. 38. Д. 289. Л. 65-74. Подлинник. Подписи — автографы (12175).</w:t>
      </w:r>
    </w:p>
    <w:p w14:paraId="0704227C" w14:textId="77777777" w:rsidR="0018342B" w:rsidRPr="0044524F" w:rsidRDefault="0018342B" w:rsidP="009654CF">
      <w:pPr>
        <w:spacing w:after="0" w:line="240" w:lineRule="auto"/>
        <w:jc w:val="both"/>
        <w:rPr>
          <w:rFonts w:ascii="Times New Roman" w:hAnsi="Times New Roman"/>
          <w:color w:val="000000" w:themeColor="text1"/>
          <w:sz w:val="16"/>
          <w:szCs w:val="16"/>
        </w:rPr>
      </w:pPr>
    </w:p>
    <w:p w14:paraId="44ABAD9D" w14:textId="77777777" w:rsidR="002E2083"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09302D3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8434D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декабря 1933 строевые части ВВС располагали 55 Р-6. За 1933 г. завод № 31 выпустил уже 50 самолетов, частично использовав задел, привезенный из Москвы (в частности, центропланы). Наиболее мощная группировка их образовалась на Дальнем Востоке. Двумя полнокровными эскадрильями обладали ВВС ОКДВА и еще одна принадлежала Морским силам Дальнего Востока (МСДВ), предшествовавшим Тихоокеанскому флоту.</w:t>
      </w:r>
    </w:p>
    <w:p w14:paraId="691076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Авиация бурно развивалась, и Р-6, задуманный в 1926 г., все больше отставал от требований времени. Существовали два пути решения проблемы: создать новый самолет подобного назначения или модернизировать старый. В ЦАГИ шли в обоих направлениях.</w:t>
      </w:r>
    </w:p>
    <w:p w14:paraId="37946A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Р-6 в качестве многоместного истребителя оказался явно неподходящим, эту функцию попытались вычленить отдельно, создавая специализированные машины. Первой из них стал МИ-3, разрабатывавшийся в АГОС с марта 1932 г. (12036).</w:t>
      </w:r>
    </w:p>
    <w:p w14:paraId="53CE81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0F0C268" w14:textId="77777777" w:rsidR="00371531" w:rsidRPr="00142305" w:rsidRDefault="00371531" w:rsidP="0037153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 декабря 1933 г. строевые части ВВС располага</w:t>
      </w:r>
      <w:r w:rsidRPr="00142305">
        <w:rPr>
          <w:rFonts w:ascii="Times New Roman" w:hAnsi="Times New Roman"/>
          <w:color w:val="0070C0"/>
          <w:sz w:val="16"/>
          <w:szCs w:val="16"/>
        </w:rPr>
        <w:softHyphen/>
        <w:t>ли 55 Р-6. Наиболее мощная группировка их образовалась на Дальнем Востоке. Двумя полнокровными эскадрильями обладали ВВС ОКДВА и еше одна прин^щежала Морским силам Дальнего Востока (МСДВ), предшествовавшим Ти</w:t>
      </w:r>
      <w:r w:rsidRPr="00142305">
        <w:rPr>
          <w:rFonts w:ascii="Times New Roman" w:hAnsi="Times New Roman"/>
          <w:color w:val="0070C0"/>
          <w:sz w:val="16"/>
          <w:szCs w:val="16"/>
        </w:rPr>
        <w:softHyphen/>
        <w:t>хоокеанскому флоту.</w:t>
      </w:r>
    </w:p>
    <w:p w14:paraId="4F5ED7C9" w14:textId="77777777" w:rsidR="00371531" w:rsidRPr="00142305" w:rsidRDefault="00371531" w:rsidP="0037153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Авиация бурно развивалась, и Р-6, задуманный в 1926 г., все больше отставал от требований времени. Существова</w:t>
      </w:r>
      <w:r w:rsidRPr="00142305">
        <w:rPr>
          <w:rFonts w:ascii="Times New Roman" w:hAnsi="Times New Roman"/>
          <w:color w:val="0070C0"/>
          <w:sz w:val="16"/>
          <w:szCs w:val="16"/>
        </w:rPr>
        <w:softHyphen/>
        <w:t>ли два п^и решения проблемы: создать новый самолет по</w:t>
      </w:r>
      <w:r w:rsidRPr="00142305">
        <w:rPr>
          <w:rFonts w:ascii="Times New Roman" w:hAnsi="Times New Roman"/>
          <w:color w:val="0070C0"/>
          <w:sz w:val="16"/>
          <w:szCs w:val="16"/>
        </w:rPr>
        <w:softHyphen/>
        <w:t>добного назначения или модернизировать старый. В ЦАГИ шли в обоих направлениях (24977).</w:t>
      </w:r>
    </w:p>
    <w:p w14:paraId="04892938" w14:textId="77777777" w:rsidR="00371531" w:rsidRPr="00142305" w:rsidRDefault="00371531" w:rsidP="00371531">
      <w:pPr>
        <w:spacing w:after="0" w:line="240" w:lineRule="auto"/>
        <w:jc w:val="both"/>
        <w:rPr>
          <w:rFonts w:ascii="Times New Roman" w:hAnsi="Times New Roman"/>
          <w:color w:val="0070C0"/>
          <w:sz w:val="16"/>
          <w:szCs w:val="16"/>
        </w:rPr>
      </w:pPr>
    </w:p>
    <w:p w14:paraId="1CFEEBBD" w14:textId="77777777" w:rsidR="00371531" w:rsidRPr="00142305" w:rsidRDefault="00371531" w:rsidP="0037153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1 дека</w:t>
      </w:r>
      <w:r w:rsidRPr="00142305">
        <w:rPr>
          <w:rFonts w:ascii="Times New Roman" w:hAnsi="Times New Roman"/>
          <w:color w:val="0070C0"/>
          <w:sz w:val="16"/>
          <w:szCs w:val="16"/>
        </w:rPr>
        <w:softHyphen/>
        <w:t>бря 1933 г. в ВВС насчитывалось уже 1898 Р-5 (24990).</w:t>
      </w:r>
    </w:p>
    <w:p w14:paraId="7AA67372" w14:textId="77777777" w:rsidR="00371531" w:rsidRPr="00142305" w:rsidRDefault="00371531" w:rsidP="00371531">
      <w:pPr>
        <w:spacing w:after="0" w:line="240" w:lineRule="auto"/>
        <w:jc w:val="both"/>
        <w:rPr>
          <w:rFonts w:ascii="Times New Roman" w:hAnsi="Times New Roman"/>
          <w:color w:val="0070C0"/>
          <w:sz w:val="16"/>
          <w:szCs w:val="16"/>
        </w:rPr>
      </w:pPr>
    </w:p>
    <w:p w14:paraId="343FDE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декабря в ВВС насчитывалось уже 1898 Р-5 (12034).</w:t>
      </w:r>
    </w:p>
    <w:p w14:paraId="113BD5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901D918" w14:textId="77777777" w:rsidR="00CD5E36" w:rsidRPr="0044524F" w:rsidRDefault="00CD5E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декабря 1933 г. в ВВС РККА числилось 53 истребителя И-7 – меньше было только снимаемых с вооружения самолетов И-2 и И-2бис (24331).</w:t>
      </w:r>
    </w:p>
    <w:p w14:paraId="16F24696" w14:textId="77777777" w:rsidR="00CD5E36" w:rsidRPr="0044524F" w:rsidRDefault="00CD5E36" w:rsidP="009654CF">
      <w:pPr>
        <w:spacing w:after="0" w:line="240" w:lineRule="auto"/>
        <w:jc w:val="both"/>
        <w:rPr>
          <w:rFonts w:ascii="Times New Roman" w:hAnsi="Times New Roman"/>
          <w:color w:val="000000" w:themeColor="text1"/>
          <w:sz w:val="16"/>
          <w:szCs w:val="16"/>
        </w:rPr>
      </w:pPr>
    </w:p>
    <w:p w14:paraId="678AAC4D" w14:textId="77777777" w:rsidR="00CD5E36" w:rsidRPr="0044524F" w:rsidRDefault="00CD5E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декабря 1933 г. в частях ВВС РККА и Морской Авиации РКК ВМФ было 239 самолетов И-3 (а также 12 Фоккер Д-7, 1 Фоккер Д-11, 45 И-2 и И-2бис, 156 И-4, 343 И-5 и 53 И-7). Самолет Поликарпов И-3 перестал быть самым многочисленным типом истребителя в ВВС РККА.</w:t>
      </w:r>
    </w:p>
    <w:p w14:paraId="4E00EE92" w14:textId="77777777" w:rsidR="00CD5E36" w:rsidRPr="0044524F" w:rsidRDefault="00CD5E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1934 г. началось снятие самолета И-3 с вооружения ВВС РККА – таким образом, они состояли на вооружении строевых частей ВВС РККА всего около шести лет. После этого еще около двух лет время они использовались в учебных частях и в летных школах (чему способствовала их простота в пилотировании, достаточная прочность, возможность получения выпускаемых серийно двигателей М-17 на замену изношенным). Однако с появлением новых истребителей И-5, а затем И-15 и И-16 с двигателями воздушного охлаждения и значительно отличающимися летными свойствами (в т.ч. устойчивость и управляемость, реакция на дачу рулей) самолеты И-3 были списаны до исчерпания ресурса уже в середине 1930-х гг. После этого некоторое время самолеты этого типа использовались в качестве нелетных учебных пособий (24887).</w:t>
      </w:r>
    </w:p>
    <w:p w14:paraId="14CD46C3" w14:textId="77777777" w:rsidR="00CD5E36" w:rsidRPr="0044524F" w:rsidRDefault="00CD5E36" w:rsidP="009654CF">
      <w:pPr>
        <w:spacing w:after="0" w:line="240" w:lineRule="auto"/>
        <w:jc w:val="both"/>
        <w:rPr>
          <w:rFonts w:ascii="Times New Roman" w:hAnsi="Times New Roman"/>
          <w:color w:val="000000" w:themeColor="text1"/>
          <w:sz w:val="16"/>
          <w:szCs w:val="16"/>
        </w:rPr>
      </w:pPr>
    </w:p>
    <w:p w14:paraId="3F67E4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декабря 1933 насчитывалось 343 И-5, то есть около 40% всего тогдашнего парка истребительной авиации. Они заменили в строю большую часть И-3. Основными районами дислокации И-5 оставались Ленинградский и Украинский военные округа и Забайкалье. В 1933 г. к ним добавился Дальний Восток (28-я эскадрилья в Воздвиженке и 32-я в Хабаровске). В составе ВВС ОКДВА в Забайкалье и на Дальнем Востоке в конце года находилось 137 И-5. Машины последних серий с кольцевыми капотами оказались более уязвимы для холода, чем старые с отдельными обтекателями цилиндров. Начали И-5 появляться также в Белоруссии и Подмосковье.</w:t>
      </w:r>
    </w:p>
    <w:p w14:paraId="0FC076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Массовая эксплуатация вызвала увеличение числа различных аварий и катастроф. При этом сказывались как недостатки самой машины, так и ошибки лётного состава. Встречались случаи пожаров в воздухе из-за обрыва бензопроводов. В 1-й эскадрилье у пилота Скоро- богатова отлетела часть полотна с крыла, машина сорвалась в штопор. Лётчик выпрыгнул, но парашют не раскрылся... В 26-й эскадрилье у лётчика Андреева на пикировании оборвались амортизаторы лыж. Лыжи встали торчком. Но мастерство помогло Андрееву сесть без больших повреждений. Пилот Власов из 117-й эскадрильи на рулении, несмотря на сопровождение техником, ухитрился врезаться в стоявшую на поле бочку с бензином. Металлический винт высек искру, начался пожар. Пламя перекинулось на самолёт, руливший сзади. Истребитель Власова пришлось списать, на второй машине сгорело полотно на оперении и фюзеляже. Итог - 10 суток ареста Власову, получившему небольшие ожоги, и 20 суток - технику Кабакову, руководившему рулением.</w:t>
      </w:r>
    </w:p>
    <w:p w14:paraId="658D9A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Качество истребителей оставалось невысоким, что вызывало определённые опасения у лётного состава. В сводке ОГПУ о настроениях военнослужащих мне встретилась фраза, подслушанная осведомителем в 251-й бригаде: "...мат- часть сыплется - эти новые машины плохо сделаны" (11997).</w:t>
      </w:r>
    </w:p>
    <w:p w14:paraId="0474E5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39BE21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декабря 1933 г. строевые части располагали 55 Р-6. Наиболее мощная группировка их образовалась на Дальнем Востоке. Двумя полнокровными эскад-рильями располагали ВВС ОКДВА, ещё одна принадлежала Морским силам Даль-него Востока (МСДВ), предшествовавшим Тихоокеанскому флоту (12264).</w:t>
      </w:r>
    </w:p>
    <w:p w14:paraId="5E3E11DB" w14:textId="77777777" w:rsidR="0018342B" w:rsidRPr="0044524F" w:rsidRDefault="0018342B" w:rsidP="009654CF">
      <w:pPr>
        <w:spacing w:after="0" w:line="240" w:lineRule="auto"/>
        <w:jc w:val="both"/>
        <w:rPr>
          <w:rFonts w:ascii="Times New Roman" w:hAnsi="Times New Roman"/>
          <w:color w:val="000000" w:themeColor="text1"/>
          <w:sz w:val="16"/>
          <w:szCs w:val="16"/>
        </w:rPr>
      </w:pPr>
    </w:p>
    <w:p w14:paraId="03270458" w14:textId="6775351C" w:rsidR="00DF6036" w:rsidRPr="0044524F" w:rsidRDefault="00DF6036"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E26C998" w14:textId="77777777" w:rsidR="00DF6036" w:rsidRPr="0044524F" w:rsidRDefault="00DF6036"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011078B9"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 декабря 1933 г. В оперативной сводке № 0185 о состоянии опытных работ на ХПЗ, график работ по установке дизеля БД-2 в танк БТ-5 был выполнен в срок:</w:t>
      </w:r>
    </w:p>
    <w:p w14:paraId="6FF3F163"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«28/Х с.г. БД-2 № 1 был подан Дизельным Отделом цеху Т2О для установки на БТ. До передачи в Т2О двигатель БД-2 № 1 подвергался следующим испытаниям:</w:t>
      </w:r>
    </w:p>
    <w:p w14:paraId="7C80508C"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Обкатка – 21 час 2 мин.</w:t>
      </w:r>
    </w:p>
    <w:p w14:paraId="619EF5EE"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Холостой ход – 31 час 47 мин.</w:t>
      </w:r>
    </w:p>
    <w:p w14:paraId="2A4D9B08"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Нагрузка 25 % – 4 часа 03 мин.</w:t>
      </w:r>
    </w:p>
    <w:p w14:paraId="7E414723"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Нагрузка 50 % – 29 час 08 мин.</w:t>
      </w:r>
    </w:p>
    <w:p w14:paraId="295303A0"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Нагрузка 75 % – 12 час 10 мин.</w:t>
      </w:r>
    </w:p>
    <w:p w14:paraId="70BED8FB"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Нагрузка 90 % – 2 час. 35 мин.</w:t>
      </w:r>
    </w:p>
    <w:p w14:paraId="6496F670"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Нагрузка 100 % – 1 час 00 мин</w:t>
      </w:r>
    </w:p>
    <w:p w14:paraId="0E791E34"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 101 ч. 45 мин.</w:t>
      </w:r>
    </w:p>
    <w:p w14:paraId="57885980"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2/XI с.г. БД-2 № 1 был установлен на машине БТ. С 2/XI по 12/XI – Т2О проведены испытания пробегом машины БТ с установленным дизель-мотором».</w:t>
      </w:r>
    </w:p>
    <w:p w14:paraId="24DE6E93"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[РГВА. Ф. 31811. Оп. 3. Д. 186. Л. 203]</w:t>
      </w:r>
    </w:p>
    <w:p w14:paraId="0444C689"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и изготовление дизеля БД-2, а затем его успешная установка в танк БТ-5 несомненно являлось большим достижением для коллективов Дизельного и Танкового отделов ХПЗ. О достигнутых результатах руководители ХПЗ и Харьковского обкома КП(б)У поспешили доложить высшему руководству страны. На следующий день после установки дизеля БД-2 № 1 в танк БТ-5 и начала его ходовых испытаний, 3 ноября 1933 г., секретарь Харьковского обкома КП(б)У П.П. Постышев и директор ХПЗ Л.С. Владимиров отправили на имя И.В. Сталина, Г.К. Орджоникидзе и К.Е. Ворошилова письмо (24856).</w:t>
      </w:r>
    </w:p>
    <w:p w14:paraId="5D813409" w14:textId="77777777" w:rsidR="00DF6036" w:rsidRPr="0044524F" w:rsidRDefault="00DF6036" w:rsidP="009654CF">
      <w:pPr>
        <w:spacing w:after="0" w:line="240" w:lineRule="auto"/>
        <w:jc w:val="both"/>
        <w:rPr>
          <w:rFonts w:ascii="Times New Roman" w:hAnsi="Times New Roman"/>
          <w:color w:val="000000" w:themeColor="text1"/>
          <w:sz w:val="16"/>
          <w:szCs w:val="16"/>
        </w:rPr>
      </w:pPr>
    </w:p>
    <w:p w14:paraId="0E3FD58E" w14:textId="0ADE531A"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41F057A4"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C5F0B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 и 7 декабря 1933. Из протокола заседания Политбюро N 150, особая папка, 1933 г.</w:t>
      </w:r>
    </w:p>
    <w:p w14:paraId="253A3D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т. Розенгольца </w:t>
      </w:r>
    </w:p>
    <w:p w14:paraId="46650B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т. Бубнова выдать Наркомвнешторгу рукопись библии "Синайский кодекс" и разрешить НКВТ продать ее (11652).</w:t>
      </w:r>
    </w:p>
    <w:p w14:paraId="2D8844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FCB8456"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г. Телеграмма временного поверенного в делах СССР в США Б. Е. Сквирского в Наркомат иностранных дел СССР о создании советского торгпредства в Вашингтоне.</w:t>
      </w:r>
    </w:p>
    <w:p w14:paraId="1DA0BCB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 вопросу о назначении торгпреда Филлипс заявил, что целый ряд стран просили дипломатического статуса для их торговых представителей в Нью-Йорке, но американское правительство им в этом всегда отказывало. Поэтому необходимо подробно ознакомиться с поставленным мною вопросом. На мое указание, что СССР нельзя сравнивать с другими странами ввиду наличия монополии внешней торговли и что у нас имеются торгпреды и торгпредства во всех странах, с которыми состоим в нормальных отношениях, Филлипс ответил, что, конечно, это верно и нам, вероятно, дадут это право и в CACШ, но что окончательный ответ он сможет дать мне лишь через несколько дней. Я хотел переговорить по тому же вопросу с Моргентау Младшим, чтобы тот снесся с президентом, но его нет в Вашингтоне, и он вернется лишь через 2-3 дня. </w:t>
      </w:r>
    </w:p>
    <w:p w14:paraId="3A73D042"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Сквирский </w:t>
      </w:r>
    </w:p>
    <w:p w14:paraId="0809346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Документы внешней политики СССР. М., 1970. Т. XVI. С. 699 (12152). </w:t>
      </w:r>
    </w:p>
    <w:p w14:paraId="642CA870" w14:textId="77777777" w:rsidR="0018342B" w:rsidRPr="0044524F" w:rsidRDefault="0018342B" w:rsidP="009654CF">
      <w:pPr>
        <w:spacing w:after="0" w:line="240" w:lineRule="auto"/>
        <w:jc w:val="both"/>
        <w:rPr>
          <w:rFonts w:ascii="Times New Roman" w:hAnsi="Times New Roman"/>
          <w:color w:val="000000" w:themeColor="text1"/>
          <w:sz w:val="16"/>
          <w:szCs w:val="16"/>
        </w:rPr>
      </w:pPr>
    </w:p>
    <w:p w14:paraId="2046BA0A"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545BD3F2"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0522743"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Indian National Airways открывает первое ежедневное сообщение в Индии между Калькуттой и Даккой (20802).</w:t>
      </w:r>
    </w:p>
    <w:p w14:paraId="1AB9280F" w14:textId="77777777" w:rsidR="00201255" w:rsidRPr="0044524F" w:rsidRDefault="00201255" w:rsidP="009654CF">
      <w:pPr>
        <w:spacing w:after="0" w:line="240" w:lineRule="auto"/>
        <w:jc w:val="both"/>
        <w:rPr>
          <w:rFonts w:ascii="Times New Roman" w:hAnsi="Times New Roman"/>
          <w:color w:val="000000" w:themeColor="text1"/>
          <w:sz w:val="16"/>
          <w:szCs w:val="16"/>
        </w:rPr>
      </w:pPr>
    </w:p>
    <w:p w14:paraId="61DEBB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нацистские штурмовые отряды были легализованы (2100).</w:t>
      </w:r>
    </w:p>
    <w:p w14:paraId="38C1E2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10FFD4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декабря 1933 в Германии принят закон, объявивший нацистскую партию частью государства (4962).</w:t>
      </w:r>
    </w:p>
    <w:p w14:paraId="5D75119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F31BF66"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288B206"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12287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декабря 1933 года гл. инженер-механик ВВС Аузан, командир бригады НИИ ВВС Залевский, начальник 7 сектора НИИ ВВС Жемчужин.</w:t>
      </w:r>
    </w:p>
    <w:p w14:paraId="14BC60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9C648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 Считать невозможным допустить испытанный самолет (ТБ-3 4М-34Р) в качестве эталона первой половины 1934 г. с устранением на нем всех выявленных дефектов и выполнением требований, утвержденных начальником ВВС.</w:t>
      </w:r>
    </w:p>
    <w:p w14:paraId="66D845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Считать необходимым ЦАГИ теперь же приступить к подбору винта, обеспечивающего в горизонтальном полете у земли не более 1900 об/мин.</w:t>
      </w:r>
    </w:p>
    <w:p w14:paraId="120205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При наличии задела винтов Д=4,4; Н=3,225 считать возможным их использование на с-тах с установкой защелки, обеспечивающей в горизонтальном полете у земле не более 1900 об/мин.</w:t>
      </w:r>
    </w:p>
    <w:p w14:paraId="72A946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Считать необходимым усиление конструкции самолета, позволяющее увеличение перегрузок до 22-23 тн. (2264,120).</w:t>
      </w:r>
    </w:p>
    <w:p w14:paraId="6305AF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C39E8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декабря 1933 года Гл. инженер вооруж. ВВС Коннэрт утвердил Сводный отчет об испытаниях 14-ти систем АПК-4бис и 7-ми самолетов ЗЕТ, вооруженных авиационными пушками инженера Курчевского "АПК-4бис" калибра 76,2 мм</w:t>
      </w:r>
    </w:p>
    <w:p w14:paraId="049701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производились на основании приказа начальника ВВС от 10 ноября 1933 года за N 0011с на Люберецком аэродроме и хим. полигоне в Кузьминках.</w:t>
      </w:r>
    </w:p>
    <w:p w14:paraId="301CC7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5B1584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Определить влияния стрельбы на данный самолет и его жизнеспособность.</w:t>
      </w:r>
    </w:p>
    <w:p w14:paraId="6389D6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Проверка работы автоматики систем на самолете в условиях полета.</w:t>
      </w:r>
    </w:p>
    <w:p w14:paraId="39E6AF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Установить безотказность работы систем АПК-4 бис при стрельбе в воздухе.</w:t>
      </w:r>
    </w:p>
    <w:p w14:paraId="61E5EE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4CF98E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Несмотря на имеющиеся дефекты, считать, что системы испытания прошли и могут быть допущены на войсковые испытания (3541,1-25).</w:t>
      </w:r>
    </w:p>
    <w:p w14:paraId="1CDE19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F72F3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декабря 1933 года Начальник и военком НИИ ВВС Зильберт утвердил Отчет</w:t>
      </w:r>
    </w:p>
    <w:p w14:paraId="47FA9D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гос. испытаниям опытной переливки горючего в воздухе из самолета Р-5 М-17 в самолет ТБ-3-4М17</w:t>
      </w:r>
    </w:p>
    <w:p w14:paraId="747CAC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Начато 14 сентября 1933 года</w:t>
      </w:r>
    </w:p>
    <w:p w14:paraId="6DE26F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Окончено 23 ноября 1933 года</w:t>
      </w:r>
    </w:p>
    <w:p w14:paraId="22E150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38E49B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инженер-летчик Белозеров</w:t>
      </w:r>
    </w:p>
    <w:p w14:paraId="35272E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 Миндер, Каверин</w:t>
      </w:r>
    </w:p>
    <w:p w14:paraId="3B3631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29143F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проверить возможность переливки горючего в воздухе во время полета из самолета Р-5 М-17 в самолет ТБ-3 4М-17.</w:t>
      </w:r>
    </w:p>
    <w:p w14:paraId="08D318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Установить практическую целесообразность внедрения таковой в строевые части.</w:t>
      </w:r>
    </w:p>
    <w:p w14:paraId="256C9F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32E43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приспособление для переливки горючего из самолета Р-5 М-17 в самолет ТБ-3 4М-17 гос. испытания выдержало.</w:t>
      </w:r>
    </w:p>
    <w:p w14:paraId="30F03D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проведения гос. испытаний по переливке в воздухе горючего из самолета Р5-М17 в самолет ТБ-3 4М-17</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5225"/>
      </w:tblGrid>
      <w:tr w:rsidR="004E10C1" w:rsidRPr="0044524F" w14:paraId="415E7218" w14:textId="77777777">
        <w:tc>
          <w:tcPr>
            <w:tcW w:w="2254" w:type="dxa"/>
          </w:tcPr>
          <w:p w14:paraId="0B829A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сентября 1933 года</w:t>
            </w:r>
          </w:p>
        </w:tc>
        <w:tc>
          <w:tcPr>
            <w:tcW w:w="5225" w:type="dxa"/>
          </w:tcPr>
          <w:p w14:paraId="2C6889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Перегонка самолета ТБ-3 завода N 39 в Щелково - 50 мин.</w:t>
            </w:r>
          </w:p>
        </w:tc>
      </w:tr>
      <w:tr w:rsidR="004E10C1" w:rsidRPr="0044524F" w14:paraId="4F3AFE40" w14:textId="77777777">
        <w:tc>
          <w:tcPr>
            <w:tcW w:w="2254" w:type="dxa"/>
          </w:tcPr>
          <w:p w14:paraId="5F4BC9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сентября 1933 года</w:t>
            </w:r>
          </w:p>
        </w:tc>
        <w:tc>
          <w:tcPr>
            <w:tcW w:w="5225" w:type="dxa"/>
          </w:tcPr>
          <w:p w14:paraId="79766C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Вывозные полеты командира эскадрильи Иванова</w:t>
            </w:r>
          </w:p>
        </w:tc>
      </w:tr>
      <w:tr w:rsidR="004E10C1" w:rsidRPr="0044524F" w14:paraId="5618FE6F" w14:textId="77777777">
        <w:tc>
          <w:tcPr>
            <w:tcW w:w="2254" w:type="dxa"/>
          </w:tcPr>
          <w:p w14:paraId="2538BE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CE8B2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28 мин.</w:t>
            </w:r>
          </w:p>
        </w:tc>
      </w:tr>
      <w:tr w:rsidR="004E10C1" w:rsidRPr="0044524F" w14:paraId="684D7050" w14:textId="77777777">
        <w:tc>
          <w:tcPr>
            <w:tcW w:w="2254" w:type="dxa"/>
          </w:tcPr>
          <w:p w14:paraId="17E5DA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сентября 1933 года</w:t>
            </w:r>
          </w:p>
        </w:tc>
        <w:tc>
          <w:tcPr>
            <w:tcW w:w="5225" w:type="dxa"/>
          </w:tcPr>
          <w:p w14:paraId="67FCCC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Вывозные полеты командира эскадрильи Иванова</w:t>
            </w:r>
          </w:p>
        </w:tc>
      </w:tr>
      <w:tr w:rsidR="004E10C1" w:rsidRPr="0044524F" w14:paraId="44067E7B" w14:textId="77777777">
        <w:tc>
          <w:tcPr>
            <w:tcW w:w="2254" w:type="dxa"/>
          </w:tcPr>
          <w:p w14:paraId="7DDAA8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487823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25 мин.</w:t>
            </w:r>
          </w:p>
        </w:tc>
      </w:tr>
      <w:tr w:rsidR="004E10C1" w:rsidRPr="0044524F" w14:paraId="55E70D22" w14:textId="77777777">
        <w:tc>
          <w:tcPr>
            <w:tcW w:w="2254" w:type="dxa"/>
          </w:tcPr>
          <w:p w14:paraId="482F10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509A98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Самостоятельная тренировка Иванова - 34 мин.</w:t>
            </w:r>
          </w:p>
        </w:tc>
      </w:tr>
      <w:tr w:rsidR="004E10C1" w:rsidRPr="0044524F" w14:paraId="4773DD88" w14:textId="77777777">
        <w:tc>
          <w:tcPr>
            <w:tcW w:w="2254" w:type="dxa"/>
          </w:tcPr>
          <w:p w14:paraId="1BEFA9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сентября 1933 года</w:t>
            </w:r>
          </w:p>
        </w:tc>
        <w:tc>
          <w:tcPr>
            <w:tcW w:w="5225" w:type="dxa"/>
          </w:tcPr>
          <w:p w14:paraId="544DCB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шлангов - не выполнено - 2 часа.</w:t>
            </w:r>
          </w:p>
        </w:tc>
      </w:tr>
      <w:tr w:rsidR="004E10C1" w:rsidRPr="0044524F" w14:paraId="6046333D" w14:textId="77777777">
        <w:tc>
          <w:tcPr>
            <w:tcW w:w="2254" w:type="dxa"/>
          </w:tcPr>
          <w:p w14:paraId="430697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октября 1933 года</w:t>
            </w:r>
          </w:p>
        </w:tc>
        <w:tc>
          <w:tcPr>
            <w:tcW w:w="5225" w:type="dxa"/>
          </w:tcPr>
          <w:p w14:paraId="6EEEF5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шлангов - не выполнено - 1 час. 8 мин.</w:t>
            </w:r>
          </w:p>
        </w:tc>
      </w:tr>
      <w:tr w:rsidR="004E10C1" w:rsidRPr="0044524F" w14:paraId="208AA612" w14:textId="77777777">
        <w:tc>
          <w:tcPr>
            <w:tcW w:w="2254" w:type="dxa"/>
          </w:tcPr>
          <w:p w14:paraId="00288D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октября 1933 года</w:t>
            </w:r>
          </w:p>
        </w:tc>
        <w:tc>
          <w:tcPr>
            <w:tcW w:w="5225" w:type="dxa"/>
          </w:tcPr>
          <w:p w14:paraId="2EB994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шлангов - не выполнено - 58 мин.</w:t>
            </w:r>
          </w:p>
        </w:tc>
      </w:tr>
      <w:tr w:rsidR="004E10C1" w:rsidRPr="0044524F" w14:paraId="6A7EBAE8" w14:textId="77777777">
        <w:tc>
          <w:tcPr>
            <w:tcW w:w="2254" w:type="dxa"/>
          </w:tcPr>
          <w:p w14:paraId="0211B8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октября 1933 года</w:t>
            </w:r>
          </w:p>
        </w:tc>
        <w:tc>
          <w:tcPr>
            <w:tcW w:w="5225" w:type="dxa"/>
          </w:tcPr>
          <w:p w14:paraId="7CEEA6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веревки длиной 60 м - не выполнено</w:t>
            </w:r>
          </w:p>
        </w:tc>
      </w:tr>
      <w:tr w:rsidR="004E10C1" w:rsidRPr="0044524F" w14:paraId="3558EFF4" w14:textId="77777777">
        <w:tc>
          <w:tcPr>
            <w:tcW w:w="2254" w:type="dxa"/>
          </w:tcPr>
          <w:p w14:paraId="1AD553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501E9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17 мин.</w:t>
            </w:r>
          </w:p>
        </w:tc>
      </w:tr>
      <w:tr w:rsidR="004E10C1" w:rsidRPr="0044524F" w14:paraId="071332FC" w14:textId="77777777">
        <w:tc>
          <w:tcPr>
            <w:tcW w:w="2254" w:type="dxa"/>
          </w:tcPr>
          <w:p w14:paraId="2FFA25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года</w:t>
            </w:r>
          </w:p>
        </w:tc>
        <w:tc>
          <w:tcPr>
            <w:tcW w:w="5225" w:type="dxa"/>
          </w:tcPr>
          <w:p w14:paraId="2A6F33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веревки длиной 60 м - выполнено.</w:t>
            </w:r>
          </w:p>
        </w:tc>
      </w:tr>
      <w:tr w:rsidR="004E10C1" w:rsidRPr="0044524F" w14:paraId="27F44349" w14:textId="77777777">
        <w:tc>
          <w:tcPr>
            <w:tcW w:w="2254" w:type="dxa"/>
          </w:tcPr>
          <w:p w14:paraId="0697B5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50B92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час. 28 мин.</w:t>
            </w:r>
          </w:p>
        </w:tc>
      </w:tr>
      <w:tr w:rsidR="004E10C1" w:rsidRPr="0044524F" w14:paraId="151E7A7D" w14:textId="77777777">
        <w:tc>
          <w:tcPr>
            <w:tcW w:w="2254" w:type="dxa"/>
          </w:tcPr>
          <w:p w14:paraId="60C607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октября 1933 года</w:t>
            </w:r>
          </w:p>
        </w:tc>
        <w:tc>
          <w:tcPr>
            <w:tcW w:w="5225" w:type="dxa"/>
          </w:tcPr>
          <w:p w14:paraId="2809A5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Подхватывание шланга длиной 50 м. Не выполнено из-за</w:t>
            </w:r>
          </w:p>
        </w:tc>
      </w:tr>
      <w:tr w:rsidR="004E10C1" w:rsidRPr="0044524F" w14:paraId="399AAB04" w14:textId="77777777">
        <w:tc>
          <w:tcPr>
            <w:tcW w:w="2254" w:type="dxa"/>
          </w:tcPr>
          <w:p w14:paraId="4D4DCB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3C7A44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того, что конец шланга болтался. - 1 час. 30 мин.</w:t>
            </w:r>
          </w:p>
        </w:tc>
      </w:tr>
      <w:tr w:rsidR="004E10C1" w:rsidRPr="0044524F" w14:paraId="4C684C52" w14:textId="77777777">
        <w:tc>
          <w:tcPr>
            <w:tcW w:w="2254" w:type="dxa"/>
          </w:tcPr>
          <w:p w14:paraId="7D9F94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5225" w:type="dxa"/>
          </w:tcPr>
          <w:p w14:paraId="6DFE35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час. 38 мин.</w:t>
            </w:r>
          </w:p>
        </w:tc>
      </w:tr>
    </w:tbl>
    <w:p w14:paraId="5844C3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состав экипажа (ведущий летчик Миндер)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5225"/>
      </w:tblGrid>
      <w:tr w:rsidR="004E10C1" w:rsidRPr="0044524F" w14:paraId="7506ACB1" w14:textId="77777777">
        <w:tc>
          <w:tcPr>
            <w:tcW w:w="2254" w:type="dxa"/>
          </w:tcPr>
          <w:p w14:paraId="61138E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ноября 1933 года</w:t>
            </w:r>
          </w:p>
        </w:tc>
        <w:tc>
          <w:tcPr>
            <w:tcW w:w="5225" w:type="dxa"/>
          </w:tcPr>
          <w:p w14:paraId="464235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Тренировочный полет, хождение парой в строю</w:t>
            </w:r>
          </w:p>
        </w:tc>
      </w:tr>
      <w:tr w:rsidR="004E10C1" w:rsidRPr="0044524F" w14:paraId="7744F72D" w14:textId="77777777">
        <w:tc>
          <w:tcPr>
            <w:tcW w:w="2254" w:type="dxa"/>
          </w:tcPr>
          <w:p w14:paraId="1C1BF6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77BBB6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кильватера с принижением второго самолета и подхватывание</w:t>
            </w:r>
          </w:p>
        </w:tc>
      </w:tr>
      <w:tr w:rsidR="004E10C1" w:rsidRPr="0044524F" w14:paraId="7E235733" w14:textId="77777777">
        <w:tc>
          <w:tcPr>
            <w:tcW w:w="2254" w:type="dxa"/>
          </w:tcPr>
          <w:p w14:paraId="2BCB78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37D4EA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летнабами самолета ТБ-3 веревки длиной 35 м, вместо</w:t>
            </w:r>
          </w:p>
        </w:tc>
      </w:tr>
      <w:tr w:rsidR="004E10C1" w:rsidRPr="0044524F" w14:paraId="41149147" w14:textId="77777777">
        <w:tc>
          <w:tcPr>
            <w:tcW w:w="2254" w:type="dxa"/>
          </w:tcPr>
          <w:p w14:paraId="2CD52A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8B920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шланга - 55 мин.</w:t>
            </w:r>
          </w:p>
        </w:tc>
      </w:tr>
      <w:tr w:rsidR="004E10C1" w:rsidRPr="0044524F" w14:paraId="487855A0" w14:textId="77777777">
        <w:tc>
          <w:tcPr>
            <w:tcW w:w="2254" w:type="dxa"/>
          </w:tcPr>
          <w:p w14:paraId="4D1621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ноября 1933 года</w:t>
            </w:r>
          </w:p>
        </w:tc>
        <w:tc>
          <w:tcPr>
            <w:tcW w:w="5225" w:type="dxa"/>
          </w:tcPr>
          <w:p w14:paraId="6509EA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Тренировочный полет, хождение парой в строю</w:t>
            </w:r>
          </w:p>
        </w:tc>
      </w:tr>
      <w:tr w:rsidR="004E10C1" w:rsidRPr="0044524F" w14:paraId="0CC3FC96" w14:textId="77777777">
        <w:tc>
          <w:tcPr>
            <w:tcW w:w="2254" w:type="dxa"/>
          </w:tcPr>
          <w:p w14:paraId="4B79C7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19EBF9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кильватера с принижением второго самолета и подхватывание</w:t>
            </w:r>
          </w:p>
        </w:tc>
      </w:tr>
      <w:tr w:rsidR="004E10C1" w:rsidRPr="0044524F" w14:paraId="4046F560" w14:textId="77777777">
        <w:tc>
          <w:tcPr>
            <w:tcW w:w="2254" w:type="dxa"/>
          </w:tcPr>
          <w:p w14:paraId="55BDBE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6B51E8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летнабами самолета ТБ-3 шланга длиной 35 м, вместо</w:t>
            </w:r>
          </w:p>
        </w:tc>
      </w:tr>
      <w:tr w:rsidR="004E10C1" w:rsidRPr="0044524F" w14:paraId="09C6E978" w14:textId="77777777">
        <w:tc>
          <w:tcPr>
            <w:tcW w:w="2254" w:type="dxa"/>
          </w:tcPr>
          <w:p w14:paraId="7D404A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268650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шланга - 55 мин. В первый полет шланг болтался и из-за</w:t>
            </w:r>
          </w:p>
        </w:tc>
      </w:tr>
      <w:tr w:rsidR="004E10C1" w:rsidRPr="0044524F" w14:paraId="35701B5D" w14:textId="77777777">
        <w:tc>
          <w:tcPr>
            <w:tcW w:w="2254" w:type="dxa"/>
          </w:tcPr>
          <w:p w14:paraId="2EF74B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601C36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этого задание не было выполнено. Во второй полет</w:t>
            </w:r>
          </w:p>
        </w:tc>
      </w:tr>
      <w:tr w:rsidR="004E10C1" w:rsidRPr="0044524F" w14:paraId="3B2A793E" w14:textId="77777777">
        <w:tc>
          <w:tcPr>
            <w:tcW w:w="2254" w:type="dxa"/>
          </w:tcPr>
          <w:p w14:paraId="28D689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49541E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утяжеления груза задание выполнено. - 1 час. 15 мин.</w:t>
            </w:r>
          </w:p>
        </w:tc>
      </w:tr>
      <w:tr w:rsidR="004E10C1" w:rsidRPr="0044524F" w14:paraId="4DC66497" w14:textId="77777777">
        <w:tc>
          <w:tcPr>
            <w:tcW w:w="2254" w:type="dxa"/>
          </w:tcPr>
          <w:p w14:paraId="677A0C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ноября 1933 года</w:t>
            </w:r>
          </w:p>
        </w:tc>
        <w:tc>
          <w:tcPr>
            <w:tcW w:w="5225" w:type="dxa"/>
          </w:tcPr>
          <w:p w14:paraId="50404C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для переливки горючего в воздухе. Из-за низкой</w:t>
            </w:r>
          </w:p>
        </w:tc>
      </w:tr>
      <w:tr w:rsidR="004E10C1" w:rsidRPr="0044524F" w14:paraId="51ED0B1A" w14:textId="77777777">
        <w:tc>
          <w:tcPr>
            <w:tcW w:w="2254" w:type="dxa"/>
          </w:tcPr>
          <w:p w14:paraId="4F0DCF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5FE792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облачности и нового состава экипажа самолета Р-5</w:t>
            </w:r>
          </w:p>
        </w:tc>
      </w:tr>
      <w:tr w:rsidR="004E10C1" w:rsidRPr="0044524F" w14:paraId="5582B07C" w14:textId="77777777">
        <w:tc>
          <w:tcPr>
            <w:tcW w:w="2254" w:type="dxa"/>
          </w:tcPr>
          <w:p w14:paraId="0DCFB7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74CF73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переливка отставлена - 55 мин.</w:t>
            </w:r>
          </w:p>
        </w:tc>
      </w:tr>
      <w:tr w:rsidR="004E10C1" w:rsidRPr="0044524F" w14:paraId="0B16838B" w14:textId="77777777">
        <w:tc>
          <w:tcPr>
            <w:tcW w:w="2254" w:type="dxa"/>
          </w:tcPr>
          <w:p w14:paraId="11B959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года</w:t>
            </w:r>
          </w:p>
        </w:tc>
        <w:tc>
          <w:tcPr>
            <w:tcW w:w="5225" w:type="dxa"/>
          </w:tcPr>
          <w:p w14:paraId="0EB684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для переливки горючего в воздухе. Первый раз</w:t>
            </w:r>
          </w:p>
        </w:tc>
      </w:tr>
      <w:tr w:rsidR="004E10C1" w:rsidRPr="0044524F" w14:paraId="4DC7BB98" w14:textId="77777777">
        <w:tc>
          <w:tcPr>
            <w:tcW w:w="2254" w:type="dxa"/>
          </w:tcPr>
          <w:p w14:paraId="79C120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0FEE5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переливка одного нижнего бака. Второй - переливка</w:t>
            </w:r>
          </w:p>
        </w:tc>
      </w:tr>
      <w:tr w:rsidR="004E10C1" w:rsidRPr="0044524F" w14:paraId="01F10B5B" w14:textId="77777777">
        <w:tc>
          <w:tcPr>
            <w:tcW w:w="2254" w:type="dxa"/>
          </w:tcPr>
          <w:p w14:paraId="027491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4D0989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нижнего подфюзеляжного бака и заднего фюзеляжного</w:t>
            </w:r>
          </w:p>
        </w:tc>
      </w:tr>
      <w:tr w:rsidR="004E10C1" w:rsidRPr="0044524F" w14:paraId="2C0424A2" w14:textId="77777777">
        <w:tc>
          <w:tcPr>
            <w:tcW w:w="2254" w:type="dxa"/>
          </w:tcPr>
          <w:p w14:paraId="174D58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5225" w:type="dxa"/>
          </w:tcPr>
          <w:p w14:paraId="0D55B4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(главного) - 1 час. 30 мин.</w:t>
            </w:r>
          </w:p>
        </w:tc>
      </w:tr>
      <w:tr w:rsidR="004E10C1" w:rsidRPr="0044524F" w14:paraId="0CFA6EF9" w14:textId="77777777">
        <w:tc>
          <w:tcPr>
            <w:tcW w:w="2254" w:type="dxa"/>
          </w:tcPr>
          <w:p w14:paraId="35FE30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5225" w:type="dxa"/>
          </w:tcPr>
          <w:p w14:paraId="739743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7E7FFF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Проведено всего 24 полета общей продолжительностью - 17 час. 13 мин. (3916).</w:t>
      </w:r>
    </w:p>
    <w:p w14:paraId="0F844D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19A7FFF"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декабря 1933 г. </w:t>
      </w:r>
      <w:r w:rsidRPr="0044524F">
        <w:rPr>
          <w:rStyle w:val="a7"/>
          <w:rFonts w:ascii="Times New Roman" w:hAnsi="Times New Roman"/>
          <w:b w:val="0"/>
          <w:bCs w:val="0"/>
          <w:color w:val="000000" w:themeColor="text1"/>
          <w:sz w:val="16"/>
          <w:szCs w:val="16"/>
        </w:rPr>
        <w:t>Приказ Наркомтяжпрома № 1022 об освоении производства из пластической массы деталей приборов зажигания для авиационной и автотракторной промышленности</w:t>
      </w:r>
    </w:p>
    <w:p w14:paraId="7F2D4515"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«Карболит» объединения «Союзхимпластмасс» за период май - октябрь освоил производство всех деталей приборов зажигания и магнето не только качественно, но и количественно, проделав большую работу по внедрению в производство новых образцов изделий для авиационной и автотракторной промышленности, ввозимых ранее из-за границы, что дало возможность освободиться полностью по деталям приборов зажигания от импорта и ликвидировать прорыв, лимитировавший работу авиационной и автотракторной промышленности.</w:t>
      </w:r>
    </w:p>
    <w:p w14:paraId="06C0229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 следует отметить постановку производства клемм зажигания, до самого последнего времени ввозившихся из-за границы, и деталей шаровых наконечников, кои напряженными усилиями работников объединения «Союзхимпластмасс» и завода «Карболит» в течение минимального срока были освоены производством и сданы промышленности.</w:t>
      </w:r>
    </w:p>
    <w:p w14:paraId="13FC3E0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Отмечая достижения завода «Карболит», объявляю благодарность ИТР и рабочим завода «Карболит» и объединения «Союзхимпластмасс» и особую благодарность:</w:t>
      </w:r>
    </w:p>
    <w:p w14:paraId="4EE50C81"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Акиту Р.П.- управляющему объединения «Союзхимпластмасс»</w:t>
      </w:r>
    </w:p>
    <w:p w14:paraId="441D88E7"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Артабатскому П.Н.- заместителю управляющего</w:t>
      </w:r>
    </w:p>
    <w:p w14:paraId="3C19F02B"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Левину Г.Я.- директору завода «Карболит»</w:t>
      </w:r>
    </w:p>
    <w:p w14:paraId="4A1F6AD3"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тов. Петрову А. К- - техническому директору и приказываю премировать завод «Карболит» одной легковой и одной грузовой автомашиной, а также выделить в распоряжение управляющего объединением «Союзхимпластмасс» тов. Акита спецфонд в 25 тыс. руб. для премирования ИТР и рабочих завода и работников объединения, проявивших себя на этой работе.</w:t>
      </w:r>
    </w:p>
    <w:p w14:paraId="32520C40"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Нарком тяжелой промышленности С. Орджоникидзе</w:t>
      </w:r>
    </w:p>
    <w:p w14:paraId="10ACC6CC" w14:textId="77777777" w:rsidR="0018342B" w:rsidRPr="0044524F" w:rsidRDefault="0018342B"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ЦГАНХ СССР, ф. 7297, on. 1, д. 23, л. 64. Заверенная копия (12356).</w:t>
      </w:r>
    </w:p>
    <w:p w14:paraId="4F5347E4" w14:textId="77777777" w:rsidR="00206636" w:rsidRPr="0044524F" w:rsidRDefault="00206636" w:rsidP="009654CF">
      <w:pPr>
        <w:autoSpaceDE w:val="0"/>
        <w:autoSpaceDN w:val="0"/>
        <w:adjustRightInd w:val="0"/>
        <w:spacing w:after="0" w:line="240" w:lineRule="auto"/>
        <w:jc w:val="both"/>
        <w:rPr>
          <w:rFonts w:ascii="Times New Roman" w:hAnsi="Times New Roman"/>
          <w:color w:val="000000" w:themeColor="text1"/>
          <w:sz w:val="16"/>
          <w:szCs w:val="16"/>
        </w:rPr>
      </w:pPr>
    </w:p>
    <w:p w14:paraId="48F9D0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декабря 1933 года гл. инженер вооружения ВВС Коннэрт писал письмо N 1/002693с начальнику УМТС и В. ВВС.</w:t>
      </w:r>
    </w:p>
    <w:p w14:paraId="32B1E4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сем препровождаю копию отчета по дополнительным испытаниям МАВ-1 (ВОМИЗЫ-100), утвержденный начальником ВВС Алкснис, как эталон 1934 г.</w:t>
      </w:r>
    </w:p>
    <w:p w14:paraId="6D8554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Утверждаю:</w:t>
      </w:r>
    </w:p>
    <w:p w14:paraId="2F06C3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НИИ ВВС Зильберт 25.10.1933 г.</w:t>
      </w:r>
    </w:p>
    <w:p w14:paraId="3179B2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Отчет по дополнительным испытаниям МАВ-1 (ВОМИЗЫ-100).</w:t>
      </w:r>
    </w:p>
    <w:p w14:paraId="24C81B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были проведены в период с 24 июля по 9 октября с.г.</w:t>
      </w:r>
    </w:p>
    <w:p w14:paraId="2BD394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Морские испытания с корабля произведены в ладожском озере на глубинах от 5 до 43 морских саженей.</w:t>
      </w:r>
    </w:p>
    <w:p w14:paraId="6EFAA9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Воздушные испытания - в Финском заливе в створе Петергоф-лисий нос на глубинах 3 м. саж. и к северу от Толбухина маяка на глубинах 11-12 м. саж. самолетами ТБ-1 и ТБ-3 с сухопутного аэродрома (Комендантского), с высот от 600 до 1000 м.</w:t>
      </w:r>
    </w:p>
    <w:p w14:paraId="2140B8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Сброшено с самолета 2 раза с бикфордовым шнуром и 7 раз с гидростатической отдачей (3052).</w:t>
      </w:r>
    </w:p>
    <w:p w14:paraId="4AF293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7213F3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18203B5"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01E6E90"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декабря 1933 г.</w:t>
      </w:r>
    </w:p>
    <w:p w14:paraId="1A845ACA"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РГВА Фонд 31811 Опись 3 Дело 186 лист 203 – 205 </w:t>
      </w:r>
    </w:p>
    <w:p w14:paraId="629BAE01"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СЕКРЕТНО </w:t>
      </w:r>
    </w:p>
    <w:p w14:paraId="096F462A"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Экз. № 1</w:t>
      </w:r>
    </w:p>
    <w:p w14:paraId="0CE37F05"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0185 </w:t>
      </w:r>
    </w:p>
    <w:p w14:paraId="0E8C9A6B"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2/XII-1933 г.</w:t>
      </w:r>
    </w:p>
    <w:p w14:paraId="430CA5CE"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ОПЕРАТИВНАЯ СВОДКА </w:t>
      </w:r>
    </w:p>
    <w:p w14:paraId="5741ACBF"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СОСТОЯНИИ ВЫПОЛНЕНИЯ ЗАКАЗОВ УММ РККА НА ОПЫТНЫЕ РАБОТЫ НА ЗАВОДЕ ХПЗ им. Коминтерна на 1/XII-1933 года </w:t>
      </w:r>
    </w:p>
    <w:p w14:paraId="0D8CFE38"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БД-2.</w:t>
      </w:r>
    </w:p>
    <w:p w14:paraId="75017438"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Договор № 157484 от 10/II-1933 года. Срок предъявления технической приемки УММ – октябрь 1933 г. </w:t>
      </w:r>
    </w:p>
    <w:p w14:paraId="53D48C4B"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ВЫПОЛНЕНИЕ. </w:t>
      </w:r>
    </w:p>
    <w:p w14:paraId="1C16EE24"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28/Х с.г. БД-2 № 1 был подан Дизельным Отделом цеху Т2О для установки на БТ. До передачи в Т2О двигатель БД-2 № 1 подвергался следующим испытаниям: </w:t>
      </w:r>
    </w:p>
    <w:p w14:paraId="36BAAD33"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Обкатка – 21 час 2 мин. </w:t>
      </w:r>
    </w:p>
    <w:p w14:paraId="32935A5D"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Холостой ход – 31 час 47 мин. </w:t>
      </w:r>
    </w:p>
    <w:p w14:paraId="59FE7DA5"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Нагрузка 25 % – 4 часа 03 мин. </w:t>
      </w:r>
    </w:p>
    <w:p w14:paraId="1327174F"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Нагрузка 50 % – 29 час 08 мин. </w:t>
      </w:r>
    </w:p>
    <w:p w14:paraId="5DB5E88C"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Нагрузка 75 % – 12 час 10 мин. </w:t>
      </w:r>
    </w:p>
    <w:p w14:paraId="26A71B34"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 Нагрузка 90 % – 2 час. 35 мин. </w:t>
      </w:r>
    </w:p>
    <w:p w14:paraId="73CB5348"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7. Нагрузка 100 % – 1 час 00 мин </w:t>
      </w:r>
    </w:p>
    <w:p w14:paraId="5A46F69A"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Всего – 101 ч. 45 мин. </w:t>
      </w:r>
    </w:p>
    <w:p w14:paraId="6F6F5F1D"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2/XI с.г. БД-2 № 1 был установлен на машине БТ. С 2/XI по 12/XI – Т2О проведены испытания пробегом машины БТ с установленным дизель-мотором. Проработал БД-2 на машине БТ – 10 часов, в течении которых совершен пробег 144 клм., после чего БД-2 потерпел аварию. При разборке БД-2 № 1 обнаружены следующие важнейшие дефекты: </w:t>
      </w:r>
    </w:p>
    <w:p w14:paraId="1EA0CE54"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В 4-м цилиндре правой группы сломан поршневой палец. Обнаружены задиры направляющей части поршня. Обнаружена трещина поршня по образующей. Стерт замок поршневого пальца. Излом с обоих сторон втулок пальца поршня. </w:t>
      </w:r>
    </w:p>
    <w:p w14:paraId="1A182A7C"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В шести нижних головках вильчатых шатунов в верхних и нижних половинах выкрошен бабит от 2 до 20 % всей площади. </w:t>
      </w:r>
    </w:p>
    <w:p w14:paraId="2C2292D7"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Оторван фланец масло-подводящей трубки 4-й подвески. </w:t>
      </w:r>
    </w:p>
    <w:p w14:paraId="456819FF"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Прорвало прокладку под цилиндрической крышкой с четвертого левого цилиндра. </w:t>
      </w:r>
    </w:p>
    <w:p w14:paraId="45BA27F3"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Наблюдается следы пропуска газов обратными воздушными клапанами. </w:t>
      </w:r>
    </w:p>
    <w:p w14:paraId="119B66BA"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Причины аварий БД-2 № 1 выясняются. Поломанные детали направлены в лабораторию на испытание. </w:t>
      </w:r>
    </w:p>
    <w:p w14:paraId="11C0B20F"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настоящее время дизельным отделом проводятся испытания на станде БД-2 № 2 и параллельно ремонтируется БД-2 № 1. </w:t>
      </w:r>
    </w:p>
    <w:p w14:paraId="287B9DAD"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случае удовлетворительного испытания, мотор БД-2 № 2 будет установлен на БТ к середине декабря м-ца с.г. </w:t>
      </w:r>
    </w:p>
    <w:p w14:paraId="295CC07A"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72ТК.</w:t>
      </w:r>
    </w:p>
    <w:p w14:paraId="6650DEDC"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ВЫПОЛНЕНИЕ. </w:t>
      </w:r>
    </w:p>
    <w:p w14:paraId="47829642"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 2-му Ноября с.г. были установлены рации 72ТК на 3-х машинах БТ. На испытаниях 2-х раций 72ТК, произведенных 3/XI с.г. с представителями НИИСЭМ, УММ и УНС РККА и ХПЗ была установлена неудовлетворительная работа испытуемых станций 72ТК, причем испытуемые рации были лучшие из 10-ти, имеющихся на ХПЗ. Работа раций 72ТК была проверена на стоянке при расстоянии 22 клм со штыревой антенной и 16 клм с поручневой антенной. Связь была односторонней ввиду неисправности одной их 2-х раций 72ТК. Обнаружено, что при расстоянии сверх 12 клм наблюдается сильное снижение слышимости. Связь на ходу не проверялась ввиду наличия помех от системы зажигания на машине. </w:t>
      </w:r>
    </w:p>
    <w:p w14:paraId="77CB30DF"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Причины неисправности рации 72ТК в настоящее время выясняются приехавшим представителем завода № 3, г. Москва, поставляющего радиоаппаратуру 72ТК. О причинах неисправности и о дальнейших испытаниях раций 72ТК донесу в следующей оперативной сводке 12/XII-с.г. </w:t>
      </w:r>
    </w:p>
    <w:p w14:paraId="491EE57B"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М-17.</w:t>
      </w:r>
    </w:p>
    <w:p w14:paraId="41566CEF"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Договор № 157249 от 28/I-33 года, срок изготовления – Июнь месяц 33 г. </w:t>
      </w:r>
    </w:p>
    <w:p w14:paraId="2B9DF114"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ВЫПОЛНЕНИЕ. </w:t>
      </w:r>
    </w:p>
    <w:p w14:paraId="65366774"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Необходимые чертежи разработаны Конструкторским Отделом Т2 за исключением сборочного чертежа главного фрикциона, который в первых числах Декабря будет закончен. Заказы на детали главного фрикциона размещены со сроком изготовления 5 – 8/XII-с.г. </w:t>
      </w:r>
    </w:p>
    <w:p w14:paraId="732BA926"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Моторы М-17 с укороченным валом на 160,9 мм прибыл с завода № 26 г. Рыбинск 27/XI-с.г. В настоящее время цех Т2О развертывает работу по сборке мотора. Корпус под мотор М-17 изготовлен 26/XI-с.г. и передан на сборку для установки ходовой части. По графику, составленному цехом Т2О, срок установки мотора М-17 на БТ намечен к 20/XII-с.г. </w:t>
      </w:r>
    </w:p>
    <w:p w14:paraId="6D05191A"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БТ-7.</w:t>
      </w:r>
    </w:p>
    <w:p w14:paraId="77A0F5D9"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ВЫПОЛНЕНИЕ. </w:t>
      </w:r>
    </w:p>
    <w:p w14:paraId="75048C53"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 настоящего момента чертежи Конструкторским Отделом Т2 по БТ7 разработаны частично. На 1/XII с.г. полностью законченных чертежей из необходимых 90 позиций только 11 позиций. Остальные находятся в стадии разработки при разной степени их готовности. Конструкторский Отдел Т2 дает ориентировочные сроки полного изготовления чертежей БТ7 к середине марта 34 года. По заявлению начальника Т2К задержка происходит главным образом из-за отсутствия конструкторов. </w:t>
      </w:r>
    </w:p>
    <w:p w14:paraId="4A884E27"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МЕЛКОЗВЕНЧАТОЙ ГУСЕНИЦЕ.</w:t>
      </w:r>
    </w:p>
    <w:p w14:paraId="6A2B0DB3"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Договор № 157248 от 28/I-33 г., срок изготовления – Сентябрь 33 г. </w:t>
      </w:r>
    </w:p>
    <w:p w14:paraId="10B97C93"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ВЫПОЛНЕНИЕ. </w:t>
      </w:r>
    </w:p>
    <w:p w14:paraId="36ECC023"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Работу по изготовлению мелкозвенчатой гусеницы в настоящее время задерживает Сталелитейный цех завода ХПЗ, по причине отсутствия опок нужных размеров, к изготовлению которых цех приступил. </w:t>
      </w:r>
    </w:p>
    <w:p w14:paraId="3393C30D"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Принимаем меры к ускорению изготовления мелкозвенчатой гусеницы.</w:t>
      </w:r>
    </w:p>
    <w:p w14:paraId="46AE9660"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СТАРШИЙ ВОЕНПРЕД УММ РККА по БТ подпись (КИНСБУРГСКИЙ) </w:t>
      </w:r>
    </w:p>
    <w:p w14:paraId="32CBB3BF"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ВОЕНПРЕД УММ РККА по Оп.-кон. раб. БТ подпись (СЕМЕНКОВ)</w:t>
      </w:r>
    </w:p>
    <w:p w14:paraId="4BBB7C2E"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Отпечатано 3 экз. </w:t>
      </w:r>
    </w:p>
    <w:p w14:paraId="7297C9B9"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1 – Нач. НТУ РККА </w:t>
      </w:r>
    </w:p>
    <w:p w14:paraId="4422B651"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2 – Нач. 2 отд. УММ </w:t>
      </w:r>
    </w:p>
    <w:p w14:paraId="02B921DD"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3 – в дело </w:t>
      </w:r>
    </w:p>
    <w:p w14:paraId="1354C5FF" w14:textId="77777777" w:rsidR="00DF6036" w:rsidRPr="0044524F" w:rsidRDefault="00DF60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С.Г. (24886).</w:t>
      </w:r>
    </w:p>
    <w:p w14:paraId="363C8FA5" w14:textId="77777777" w:rsidR="00DF6036" w:rsidRPr="0044524F" w:rsidRDefault="00DF6036" w:rsidP="009654CF">
      <w:pPr>
        <w:spacing w:after="0" w:line="240" w:lineRule="auto"/>
        <w:jc w:val="both"/>
        <w:rPr>
          <w:rFonts w:ascii="Times New Roman" w:hAnsi="Times New Roman"/>
          <w:color w:val="000000" w:themeColor="text1"/>
          <w:sz w:val="16"/>
          <w:szCs w:val="16"/>
        </w:rPr>
      </w:pPr>
    </w:p>
    <w:p w14:paraId="63D506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декабря 1933 г. вышел Приказ Наркомтяжпрома № 1022 об освоении производства из пластической массы деталей приборов зажигания для авиационной и автотракторной промышленности </w:t>
      </w:r>
    </w:p>
    <w:p w14:paraId="7E665A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Завод «Карболит» объединения «Союзхимпластмасс» за период май — октябрь освоил производство всех деталей приборов зажигания и магнето не только качественно, но и количественно, проделав большую работу по внедрению в производство новых образцов изделий для авиационной и автотракторной промышленности, ввозимых ранее из-за границы, что дало возможность освободиться полностью по деталям приборов зажигания от импорта и ликвидировать прорыв, лимитировавший работу авиационной и автотракторной промышленности. </w:t>
      </w:r>
    </w:p>
    <w:p w14:paraId="37A4F4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Особо следует отметить постановку производства клемм зажигания, до самого последнего времени ввозившихся из-за границы, и деталей шаровых наконечников, кои напряженными усилиями работников объединения «Союзхимпластмасс» и завода «Карболит» в течение минимального срока были освоены производством и сданы промышленности. </w:t>
      </w:r>
    </w:p>
    <w:p w14:paraId="4E5703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Отмечая достижения завода «Карболит», объявляю благодарность ИТР и рабочим завода «Карболит» и объединения «Союзхимпластмасс» и особую благодарность: </w:t>
      </w:r>
    </w:p>
    <w:p w14:paraId="7B282F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тов. Акиту Р.П.— управляющему объединения «Союзхимпластмасс» </w:t>
      </w:r>
    </w:p>
    <w:p w14:paraId="4FBB7D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тов. Артабатскому П.Н.— заместителю управляющего </w:t>
      </w:r>
    </w:p>
    <w:p w14:paraId="66BC72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тов. Левину Г.Я.— директору завода «Карболит» </w:t>
      </w:r>
    </w:p>
    <w:p w14:paraId="6689CF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тов. Петрову А. К- — техническому директору и приказываю премировать завод «Карболит» одной легковой и одной грузовой автомашиной, а также выделить в распоряжение управляющего объединением «Союзхимпластмасс» тов. Акита спецфонд в 25 тыс. руб. для премирования ИТР и рабочих завода и работников объединения, проявивших себя на этой работе. </w:t>
      </w:r>
    </w:p>
    <w:p w14:paraId="4FF835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Нарком тяжелой промышленности С. Орджоникидзе </w:t>
      </w:r>
    </w:p>
    <w:p w14:paraId="0016AB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ЦГАНХ СССР, ф. 7297, on. 1, д. 23, л. 64. Заверенная копия (12053).</w:t>
      </w:r>
    </w:p>
    <w:p w14:paraId="00B3A2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6706DFF" w14:textId="77777777" w:rsidR="001C5008" w:rsidRPr="0044524F" w:rsidRDefault="001C50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декабря 1933 г. вышел Приказ Наркомтяжпрома № 1022 об освоении производства из пластической массы деталей приборов зажигания для авиационной и автотракторной промышленности 2 декабря 1933 г. Завод «Карболит» объединения «Союзхимпластмасс» за период май — октябрь освоил производство всех деталей приборов зажигания и магнето не только качественно, но и количественно, проделав большую работу по внедрению в производство новых образцов изделий для авиационной и автотракторной промышленности, ввозимых ранее из-за границы, что дало возможность освободиться полностью по деталям приборов зажигания от импорта и ликвидировать прорыв, лимитировавший работу авиационной и автотракторной промышленности. Особо следует отметить постановку производства клемм зажигания, до самого последнего времени ввозившихся из-за границы, и деталей шаровых наконечников, кои напряженными усилиями работников объединения «Союзхимпластмасс» и завода «Карболит» в течение минимального срока были освоены производством и сданы промышленности.</w:t>
      </w:r>
    </w:p>
    <w:p w14:paraId="22387E30" w14:textId="77777777" w:rsidR="001C5008" w:rsidRPr="0044524F" w:rsidRDefault="001C500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Отмечая достижения завода «Карболит», объявляю благодарность ИТР и рабочим завода «Карболит» и объединения «Союзхимпластмасс» и особую благодарность: тов. Акиту Р.П.— управляющему объединения «Союзхимпластмасс» тов. Артабатскому П.Н.— заместителю управляющего тов. Левину Г.Я.— директору завода «Карболит» тов. Петрову А. К- — техническому директору и приказываю премировать завод «Карболит» одной легковой и одной грузовой автомашиной, а также выделить в распоряжение управляющего объединением «Союзхимпластмасс» тов. Акита спецфонд в 25 тыс. руб. для премирования ИТР и рабочих завода и работников объединения, проявивших себя на этой работе. Нарком тяжелой промышленности С. Орджоникидзе ЦГАНХ СССР, ф. 7297, on. 1, д. 23, л. 64. Заверенная копия (18300).</w:t>
      </w:r>
    </w:p>
    <w:p w14:paraId="6C4DBBF5" w14:textId="77777777" w:rsidR="001C5008" w:rsidRPr="0044524F" w:rsidRDefault="001C5008" w:rsidP="009654CF">
      <w:pPr>
        <w:spacing w:after="0" w:line="240" w:lineRule="auto"/>
        <w:jc w:val="both"/>
        <w:rPr>
          <w:rFonts w:ascii="Times New Roman" w:hAnsi="Times New Roman"/>
          <w:color w:val="000000" w:themeColor="text1"/>
          <w:sz w:val="16"/>
          <w:szCs w:val="16"/>
        </w:rPr>
      </w:pPr>
    </w:p>
    <w:p w14:paraId="7D309741"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C279A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66918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декабря 1933 «на почве невыхода лагерников вследствие морозов на работу» телефонограммой Фирина устанавливался «временный порядок, при котором работы могут быть прекращены только при морозе в 30 градусов Цельсия для всей лагерной массы и 25 градусов для нацменов. Даже и в случае таких морозов работы можно приостанавливать только с разрешения Начальника Строительства и моего... Еще раз Начальникам Отделений и Начальникам лагпунктов лично проверить наличие жировых и прочих средств против обмораживания, установив в первую очередь снабжение этими средства лагерников, работающих на трассе» (7560).</w:t>
      </w:r>
    </w:p>
    <w:p w14:paraId="28D677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6A00ED8"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5665821"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24F8D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декабря 1933 в ходе гос. испытаний ТБ-3 (АНТ-6) 22 завода N 22202 с 4М-34Р в качестве эталона на 34 год, которые проходили с 18 октября по 5 декабря 1933, был выполнен полет по обстрелу задней турели (2264,117).</w:t>
      </w:r>
    </w:p>
    <w:p w14:paraId="00F18B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D8485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декабря 1933 года был утвержден пом. нач. ГУАП как обязательный со дня опубликования.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4524F" w14:paraId="7D1F80D2" w14:textId="77777777">
        <w:tc>
          <w:tcPr>
            <w:tcW w:w="3757" w:type="dxa"/>
          </w:tcPr>
          <w:p w14:paraId="700A3B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w:t>
            </w:r>
          </w:p>
        </w:tc>
        <w:tc>
          <w:tcPr>
            <w:tcW w:w="3757" w:type="dxa"/>
          </w:tcPr>
          <w:p w14:paraId="539AC0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Глававиапром</w:t>
            </w:r>
          </w:p>
        </w:tc>
        <w:tc>
          <w:tcPr>
            <w:tcW w:w="3757" w:type="dxa"/>
          </w:tcPr>
          <w:p w14:paraId="72D1FE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Объединенное бюро стандартизации (ОБСА)</w:t>
            </w:r>
          </w:p>
        </w:tc>
      </w:tr>
      <w:tr w:rsidR="004E10C1" w:rsidRPr="0044524F" w14:paraId="0190D613" w14:textId="77777777">
        <w:tc>
          <w:tcPr>
            <w:tcW w:w="3757" w:type="dxa"/>
          </w:tcPr>
          <w:p w14:paraId="3C9E06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Авиационный стандарт</w:t>
            </w:r>
          </w:p>
        </w:tc>
        <w:tc>
          <w:tcPr>
            <w:tcW w:w="3757" w:type="dxa"/>
          </w:tcPr>
          <w:p w14:paraId="156F33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660C51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 СТУ</w:t>
            </w:r>
          </w:p>
        </w:tc>
      </w:tr>
      <w:tr w:rsidR="004E10C1" w:rsidRPr="0044524F" w14:paraId="1BE56B97" w14:textId="77777777">
        <w:tc>
          <w:tcPr>
            <w:tcW w:w="3757" w:type="dxa"/>
          </w:tcPr>
          <w:p w14:paraId="2C7159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Р-6 2М-17</w:t>
            </w:r>
          </w:p>
        </w:tc>
        <w:tc>
          <w:tcPr>
            <w:tcW w:w="3757" w:type="dxa"/>
          </w:tcPr>
          <w:p w14:paraId="137583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E4018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w:t>
            </w:r>
          </w:p>
        </w:tc>
      </w:tr>
      <w:tr w:rsidR="004E10C1" w:rsidRPr="0044524F" w14:paraId="5B11D649" w14:textId="77777777">
        <w:tc>
          <w:tcPr>
            <w:tcW w:w="3757" w:type="dxa"/>
          </w:tcPr>
          <w:p w14:paraId="4B5D48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w:t>
            </w:r>
          </w:p>
        </w:tc>
        <w:tc>
          <w:tcPr>
            <w:tcW w:w="3757" w:type="dxa"/>
          </w:tcPr>
          <w:p w14:paraId="54BEA0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0201D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1-е издание (3100)</w:t>
            </w:r>
          </w:p>
        </w:tc>
      </w:tr>
    </w:tbl>
    <w:p w14:paraId="5656A6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534EF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декабря 1933 состоялось совещание у А.Н.Т. об испытании М-34 для установки на ТБ-3 (АНТ-6) (1077,129).</w:t>
      </w:r>
    </w:p>
    <w:p w14:paraId="6AD493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82AC64C"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C06521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988E9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декабря 1933 г. на НИАП с завода № 92 прибыла подрессоренная 76-мм система обр. 1930 г., разработанная на Мотовихихинском заводе под руководством Сидоренко (3861).</w:t>
      </w:r>
    </w:p>
    <w:p w14:paraId="547DE0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C1EFF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декабря 1933 г. на НИАП с завода № 92 прибыла подрессоренная система обр. 1930 г. модернизации 76-мм пушки обр. 1902/30 г. длиной в 40 калибров. Пушка имела подрессоривание в виде одной поперечной пластинчатой рессоры. Люлька укорочена, введен дульный тормоз. Вес системы в боевом положении немного увеличился - до 1306кг (5746, 44).</w:t>
      </w:r>
    </w:p>
    <w:p w14:paraId="4C3777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6E45591" w14:textId="77777777" w:rsidR="00206636" w:rsidRPr="0044524F" w:rsidRDefault="00206636" w:rsidP="009654CF">
      <w:pPr>
        <w:pStyle w:val="rtejustify"/>
        <w:spacing w:before="0" w:after="0"/>
        <w:rPr>
          <w:color w:val="000000" w:themeColor="text1"/>
          <w:sz w:val="16"/>
          <w:szCs w:val="16"/>
        </w:rPr>
      </w:pPr>
      <w:r w:rsidRPr="0044524F">
        <w:rPr>
          <w:rStyle w:val="af0"/>
          <w:bCs/>
          <w:i w:val="0"/>
          <w:color w:val="000000" w:themeColor="text1"/>
          <w:sz w:val="16"/>
          <w:szCs w:val="16"/>
        </w:rPr>
        <w:t>3 декабря</w:t>
      </w:r>
      <w:r w:rsidRPr="0044524F">
        <w:rPr>
          <w:color w:val="000000" w:themeColor="text1"/>
          <w:sz w:val="16"/>
          <w:szCs w:val="16"/>
        </w:rPr>
        <w:t xml:space="preserve"> 1933. Постановление СТО СССР № 123сс/о «Об обеспечении программы IV квартала 1933 г. по порохам и взрыввеществам». (ГА РФ. Ф. Р</w:t>
      </w:r>
      <w:r w:rsidRPr="0044524F">
        <w:rPr>
          <w:color w:val="000000" w:themeColor="text1"/>
          <w:sz w:val="16"/>
          <w:szCs w:val="16"/>
        </w:rPr>
        <w:noBreakHyphen/>
        <w:t>8418. Оп. 28. Д. 3. Л. 87) (15460).</w:t>
      </w:r>
    </w:p>
    <w:p w14:paraId="00B34916" w14:textId="77777777" w:rsidR="00206636" w:rsidRPr="0044524F" w:rsidRDefault="00206636" w:rsidP="009654CF">
      <w:pPr>
        <w:pStyle w:val="rtejustify"/>
        <w:spacing w:before="0" w:after="0"/>
        <w:rPr>
          <w:color w:val="000000" w:themeColor="text1"/>
          <w:sz w:val="16"/>
          <w:szCs w:val="16"/>
        </w:rPr>
      </w:pPr>
    </w:p>
    <w:p w14:paraId="79078750"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hAnsi="Times New Roman"/>
          <w:bCs/>
          <w:color w:val="000000" w:themeColor="text1"/>
          <w:sz w:val="16"/>
          <w:szCs w:val="16"/>
        </w:rPr>
        <w:t xml:space="preserve">3 декабря </w:t>
      </w:r>
      <w:r w:rsidRPr="0044524F">
        <w:rPr>
          <w:rFonts w:ascii="Times New Roman" w:hAnsi="Times New Roman"/>
          <w:color w:val="000000" w:themeColor="text1"/>
          <w:sz w:val="16"/>
          <w:szCs w:val="16"/>
        </w:rPr>
        <w:t>в 1933 году основано ФГУП "Чапаевский опытный завод измерительных приборов" ("ЧОЗИП") - оборонное предприятие по сборке и испытаниям артиллерийских боеприпасов (14849).</w:t>
      </w:r>
    </w:p>
    <w:p w14:paraId="30DEFC5B" w14:textId="77777777" w:rsidR="00206636" w:rsidRPr="0044524F" w:rsidRDefault="00206636" w:rsidP="009654CF">
      <w:pPr>
        <w:spacing w:after="0" w:line="240" w:lineRule="auto"/>
        <w:jc w:val="both"/>
        <w:rPr>
          <w:rFonts w:ascii="Times New Roman" w:hAnsi="Times New Roman"/>
          <w:color w:val="000000" w:themeColor="text1"/>
          <w:sz w:val="16"/>
          <w:szCs w:val="16"/>
        </w:rPr>
      </w:pPr>
    </w:p>
    <w:p w14:paraId="7583EA79"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60C725BB"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2FF67D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декабря 1933 русский пароход «Челюскин», скованный льдами начал дрейф (4962).</w:t>
      </w:r>
    </w:p>
    <w:p w14:paraId="2B3FE5C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5E8CA9"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F46FDEB"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18808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3-26 декабря 1933 года в Монтевидео, незадолго до седьмой Панамериканской конференции Аргентина выступила с предложением о подписании Южноамериканского военного договора. В случае возникновения регионального конфликта аргентинский проект предусматривал сотрудничество стран-участниц в интересах мира и предупреждения военной или дипломатической интервенции. К моменту открытия седьмой Панамериканской конференции (в Монтевидео, 1933 г.) договор был уже подписан Аргентиной, Бразилией, Чили, Мексикой, Парагваем и Уругваем. США также присоединились к договору. Однако этого могло оказаться недостаточно, поскольку США стремились удержать инициативу в своих руках. В дальнейшем этот договор постигла судьба многих латиноамериканских инициатив - он был забыт.</w:t>
      </w:r>
    </w:p>
    <w:p w14:paraId="7AA7A3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конференции в Монтевидео глава американской делегации К.Хэлл заявил об отказе США от одностороннего вмешательства в латиноамериканские дела, выдвинув взамен идею "коллективной охраны" порядка и безопасности.</w:t>
      </w:r>
    </w:p>
    <w:p w14:paraId="0C37FB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рамках "политики добрососедства" Вашингтон вывел свои войска из Никарагуа (1933) и Гаити (1934), отменил поправку Платта в отношении Кубы (1934). По новому договору с Панамой (1936) Соединенные Штаты отказались от "права на поддержание порядка" и передали право на сбор таможенных пошлин в зоне канала правительству Панамской республики, сохранив за собой общий контроль над каналом, каким он был с 1903 г (3871).</w:t>
      </w:r>
    </w:p>
    <w:p w14:paraId="5AAAF4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B60FA8C"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278C1A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CC215B8"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К 4 декабря 1933 из 271 запланированного на 1932 год самолета заводом № 21 У ВВС РККА было сдано всего 3. Удостоверения на них были выданы военпредами соответственно:</w:t>
      </w:r>
    </w:p>
    <w:p w14:paraId="7CC7FC25" w14:textId="77777777" w:rsidR="00201255" w:rsidRPr="0044524F" w:rsidRDefault="00201255" w:rsidP="009654CF">
      <w:pPr>
        <w:widowControl w:val="0"/>
        <w:tabs>
          <w:tab w:val="left" w:pos="149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на самолет 2101</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lang w:eastAsia="ru-RU" w:bidi="ru-RU"/>
        </w:rPr>
        <w:t xml:space="preserve">- </w:t>
      </w:r>
      <w:r w:rsidRPr="0044524F">
        <w:rPr>
          <w:rFonts w:ascii="Times New Roman" w:hAnsi="Times New Roman"/>
          <w:color w:val="000000" w:themeColor="text1"/>
          <w:sz w:val="16"/>
          <w:szCs w:val="16"/>
          <w:lang w:bidi="en-US"/>
        </w:rPr>
        <w:t xml:space="preserve">15.10.1932 </w:t>
      </w:r>
      <w:r w:rsidRPr="0044524F">
        <w:rPr>
          <w:rFonts w:ascii="Times New Roman" w:hAnsi="Times New Roman"/>
          <w:color w:val="000000" w:themeColor="text1"/>
          <w:sz w:val="16"/>
          <w:szCs w:val="16"/>
          <w:lang w:eastAsia="ru-RU" w:bidi="ru-RU"/>
        </w:rPr>
        <w:t>г.;</w:t>
      </w:r>
    </w:p>
    <w:p w14:paraId="1F212283" w14:textId="77777777" w:rsidR="00201255" w:rsidRPr="0044524F" w:rsidRDefault="00201255"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noProof/>
          <w:color w:val="000000" w:themeColor="text1"/>
          <w:sz w:val="16"/>
          <w:szCs w:val="16"/>
        </w:rPr>
        <w:drawing>
          <wp:anchor distT="0" distB="965200" distL="1708150" distR="114300" simplePos="0" relativeHeight="251659264" behindDoc="0" locked="0" layoutInCell="1" allowOverlap="1" wp14:anchorId="6153FAF0" wp14:editId="6DCEC39E">
            <wp:simplePos x="0" y="0"/>
            <wp:positionH relativeFrom="page">
              <wp:posOffset>16313785</wp:posOffset>
            </wp:positionH>
            <wp:positionV relativeFrom="margin">
              <wp:posOffset>19259550</wp:posOffset>
            </wp:positionV>
            <wp:extent cx="6165850" cy="8350250"/>
            <wp:effectExtent l="0" t="0" r="0" b="0"/>
            <wp:wrapSquare wrapText="bothSides"/>
            <wp:docPr id="150" name="Shape 150"/>
            <wp:cNvGraphicFramePr/>
            <a:graphic xmlns:a="http://schemas.openxmlformats.org/drawingml/2006/main">
              <a:graphicData uri="http://schemas.openxmlformats.org/drawingml/2006/picture">
                <pic:pic xmlns:pic="http://schemas.openxmlformats.org/drawingml/2006/picture">
                  <pic:nvPicPr>
                    <pic:cNvPr id="151" name="Picture box 151"/>
                    <pic:cNvPicPr/>
                  </pic:nvPicPr>
                  <pic:blipFill>
                    <a:blip r:embed="rId392"/>
                    <a:stretch/>
                  </pic:blipFill>
                  <pic:spPr>
                    <a:xfrm>
                      <a:off x="0" y="0"/>
                      <a:ext cx="6165850" cy="8350250"/>
                    </a:xfrm>
                    <a:prstGeom prst="rect">
                      <a:avLst/>
                    </a:prstGeom>
                  </pic:spPr>
                </pic:pic>
              </a:graphicData>
            </a:graphic>
          </wp:anchor>
        </w:drawing>
      </w:r>
      <w:r w:rsidRPr="0044524F">
        <w:rPr>
          <w:rFonts w:ascii="Times New Roman" w:hAnsi="Times New Roman"/>
          <w:noProof/>
          <w:color w:val="000000" w:themeColor="text1"/>
          <w:sz w:val="16"/>
          <w:szCs w:val="16"/>
        </w:rPr>
        <mc:AlternateContent>
          <mc:Choice Requires="wps">
            <w:drawing>
              <wp:anchor distT="0" distB="0" distL="0" distR="0" simplePos="0" relativeHeight="251660288" behindDoc="0" locked="0" layoutInCell="1" allowOverlap="1" wp14:anchorId="30337CF6" wp14:editId="424DA6E2">
                <wp:simplePos x="0" y="0"/>
                <wp:positionH relativeFrom="page">
                  <wp:posOffset>14719935</wp:posOffset>
                </wp:positionH>
                <wp:positionV relativeFrom="margin">
                  <wp:posOffset>27622500</wp:posOffset>
                </wp:positionV>
                <wp:extent cx="7378700" cy="952500"/>
                <wp:effectExtent l="0" t="0" r="0" b="0"/>
                <wp:wrapNone/>
                <wp:docPr id="152" name="Shape 152"/>
                <wp:cNvGraphicFramePr/>
                <a:graphic xmlns:a="http://schemas.openxmlformats.org/drawingml/2006/main">
                  <a:graphicData uri="http://schemas.microsoft.com/office/word/2010/wordprocessingShape">
                    <wps:wsp>
                      <wps:cNvSpPr txBox="1"/>
                      <wps:spPr>
                        <a:xfrm>
                          <a:off x="0" y="0"/>
                          <a:ext cx="7378700" cy="952500"/>
                        </a:xfrm>
                        <a:prstGeom prst="rect">
                          <a:avLst/>
                        </a:prstGeom>
                        <a:noFill/>
                      </wps:spPr>
                      <wps:txbx>
                        <w:txbxContent>
                          <w:p w14:paraId="67A4269B" w14:textId="77777777" w:rsidR="00201255" w:rsidRDefault="00201255" w:rsidP="00201255">
                            <w:pPr>
                              <w:pStyle w:val="aff9"/>
                              <w:spacing w:line="259" w:lineRule="auto"/>
                              <w:jc w:val="center"/>
                            </w:pPr>
                            <w:r>
                              <w:rPr>
                                <w:color w:val="000000"/>
                                <w:lang w:eastAsia="ru-RU" w:bidi="ru-RU"/>
                              </w:rPr>
                              <w:t>Старший военпред Гэвриил Васильевич! Жуков</w:t>
                            </w:r>
                          </w:p>
                        </w:txbxContent>
                      </wps:txbx>
                      <wps:bodyPr lIns="0" tIns="0" rIns="0" bIns="0"/>
                    </wps:wsp>
                  </a:graphicData>
                </a:graphic>
              </wp:anchor>
            </w:drawing>
          </mc:Choice>
          <mc:Fallback>
            <w:pict>
              <v:shapetype w14:anchorId="30337CF6" id="_x0000_t202" coordsize="21600,21600" o:spt="202" path="m,l,21600r21600,l21600,xe">
                <v:stroke joinstyle="miter"/>
                <v:path gradientshapeok="t" o:connecttype="rect"/>
              </v:shapetype>
              <v:shape id="Shape 152" o:spid="_x0000_s1026" type="#_x0000_t202" style="position:absolute;left:0;text-align:left;margin-left:1159.05pt;margin-top:2175pt;width:581pt;height:75pt;z-index:251660288;visibility:visible;mso-wrap-style:square;mso-wrap-distance-left:0;mso-wrap-distance-top:0;mso-wrap-distance-right:0;mso-wrap-distance-bottom:0;mso-position-horizontal:absolute;mso-position-horizontal-relative:page;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" filled="f" stroked="f">
                <v:textbox inset="0,0,0,0">
                  <w:txbxContent>
                    <w:p w14:paraId="67A4269B" w14:textId="77777777" w:rsidR="00201255" w:rsidRDefault="00201255" w:rsidP="00201255">
                      <w:pPr>
                        <w:pStyle w:val="aff9"/>
                        <w:spacing w:line="259" w:lineRule="auto"/>
                        <w:jc w:val="center"/>
                      </w:pPr>
                      <w:r>
                        <w:rPr>
                          <w:color w:val="000000"/>
                          <w:lang w:eastAsia="ru-RU" w:bidi="ru-RU"/>
                        </w:rPr>
                        <w:t>Старший военпред Гэвриил Васильевич! Жуков</w:t>
                      </w:r>
                    </w:p>
                  </w:txbxContent>
                </v:textbox>
                <w10:wrap anchorx="page" anchory="margin"/>
              </v:shape>
            </w:pict>
          </mc:Fallback>
        </mc:AlternateContent>
      </w:r>
      <w:r w:rsidRPr="0044524F">
        <w:rPr>
          <w:rFonts w:ascii="Times New Roman" w:hAnsi="Times New Roman"/>
          <w:color w:val="000000" w:themeColor="text1"/>
          <w:sz w:val="16"/>
          <w:szCs w:val="16"/>
          <w:lang w:eastAsia="ru-RU" w:bidi="ru-RU"/>
        </w:rPr>
        <w:t>на самолет 2102 - 5.</w:t>
      </w:r>
      <w:r w:rsidRPr="0044524F">
        <w:rPr>
          <w:rFonts w:ascii="Times New Roman" w:hAnsi="Times New Roman"/>
          <w:color w:val="000000" w:themeColor="text1"/>
          <w:sz w:val="16"/>
          <w:szCs w:val="16"/>
          <w:lang w:bidi="en-US"/>
        </w:rPr>
        <w:t>11.1</w:t>
      </w:r>
      <w:r w:rsidRPr="0044524F">
        <w:rPr>
          <w:rFonts w:ascii="Times New Roman" w:hAnsi="Times New Roman"/>
          <w:color w:val="000000" w:themeColor="text1"/>
          <w:sz w:val="16"/>
          <w:szCs w:val="16"/>
          <w:lang w:eastAsia="ru-RU" w:bidi="ru-RU"/>
        </w:rPr>
        <w:t>932 г.;</w:t>
      </w:r>
    </w:p>
    <w:p w14:paraId="5535B3DC" w14:textId="77777777" w:rsidR="00201255" w:rsidRPr="0044524F" w:rsidRDefault="00201255"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на самолет 2103 - 4.1.1933</w:t>
      </w:r>
    </w:p>
    <w:p w14:paraId="0841E893"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Ряд источников говорит о 10 самолетах И-5, выпущенных заводом №21 в 1932 году. Но скорее всего это количество самолетов, выведенных из сборки на аэродром. А военпредами было принято и У ВВС оплачено всего три самолета, что подтверждается архивными документами</w:t>
      </w:r>
    </w:p>
    <w:p w14:paraId="63840739"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Военное представительство на заводе почти весь 1932 год существовало только в одном лице - старшем военпреде Гаврииле Васильевиче Жукове.</w:t>
      </w:r>
    </w:p>
    <w:p w14:paraId="5B15FBE8" w14:textId="77777777" w:rsidR="00201255" w:rsidRPr="0044524F" w:rsidRDefault="00201255"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 xml:space="preserve">В конце </w:t>
      </w:r>
      <w:r w:rsidRPr="0044524F">
        <w:rPr>
          <w:rFonts w:ascii="Times New Roman" w:hAnsi="Times New Roman"/>
          <w:color w:val="000000" w:themeColor="text1"/>
          <w:sz w:val="16"/>
          <w:szCs w:val="16"/>
          <w:lang w:val="en-US" w:bidi="en-US"/>
        </w:rPr>
        <w:t>I</w:t>
      </w:r>
      <w:r w:rsidRPr="0044524F">
        <w:rPr>
          <w:rFonts w:ascii="Times New Roman" w:hAnsi="Times New Roman"/>
          <w:color w:val="000000" w:themeColor="text1"/>
          <w:sz w:val="16"/>
          <w:szCs w:val="16"/>
          <w:lang w:bidi="en-US"/>
        </w:rPr>
        <w:t xml:space="preserve">932 </w:t>
      </w:r>
      <w:r w:rsidRPr="0044524F">
        <w:rPr>
          <w:rFonts w:ascii="Times New Roman" w:hAnsi="Times New Roman"/>
          <w:color w:val="000000" w:themeColor="text1"/>
          <w:sz w:val="16"/>
          <w:szCs w:val="16"/>
          <w:lang w:eastAsia="ru-RU" w:bidi="ru-RU"/>
        </w:rPr>
        <w:t xml:space="preserve">года штаты военной приемки были увеличены и военпреды стали контролировать все цеха, в том числе и сборочный вместе с аэродромом. Старшим группы военпредов в сборке был назначен Иван Адамович Кабане. </w:t>
      </w:r>
    </w:p>
    <w:p w14:paraId="756DEA31"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 xml:space="preserve">В конце </w:t>
      </w:r>
      <w:r w:rsidRPr="0044524F">
        <w:rPr>
          <w:rFonts w:ascii="Times New Roman" w:hAnsi="Times New Roman"/>
          <w:color w:val="000000" w:themeColor="text1"/>
          <w:sz w:val="16"/>
          <w:szCs w:val="16"/>
          <w:lang w:val="en-US" w:bidi="en-US"/>
        </w:rPr>
        <w:t>I</w:t>
      </w:r>
      <w:r w:rsidRPr="0044524F">
        <w:rPr>
          <w:rFonts w:ascii="Times New Roman" w:hAnsi="Times New Roman"/>
          <w:color w:val="000000" w:themeColor="text1"/>
          <w:sz w:val="16"/>
          <w:szCs w:val="16"/>
          <w:lang w:bidi="en-US"/>
        </w:rPr>
        <w:t xml:space="preserve">932 </w:t>
      </w:r>
      <w:r w:rsidRPr="0044524F">
        <w:rPr>
          <w:rFonts w:ascii="Times New Roman" w:hAnsi="Times New Roman"/>
          <w:color w:val="000000" w:themeColor="text1"/>
          <w:sz w:val="16"/>
          <w:szCs w:val="16"/>
          <w:lang w:eastAsia="ru-RU" w:bidi="ru-RU"/>
        </w:rPr>
        <w:t>года после провала заводом годового плана по выпуску самолетов начальник сборочного цеха Н.В. Красненьков как не справившийся со своей работой был снят с должности, и цех возглавил начальник аэродромной мастерской А.П. Ефремов (21100).</w:t>
      </w:r>
    </w:p>
    <w:p w14:paraId="14BE3DC2" w14:textId="77777777" w:rsidR="00201255" w:rsidRPr="0044524F" w:rsidRDefault="00201255" w:rsidP="009654CF">
      <w:pPr>
        <w:spacing w:after="0" w:line="240" w:lineRule="auto"/>
        <w:jc w:val="both"/>
        <w:rPr>
          <w:rFonts w:ascii="Times New Roman" w:hAnsi="Times New Roman"/>
          <w:color w:val="000000" w:themeColor="text1"/>
          <w:sz w:val="16"/>
          <w:szCs w:val="16"/>
        </w:rPr>
      </w:pPr>
    </w:p>
    <w:p w14:paraId="6DAAC4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декабря 1933 года начальник и военком НИИ ВВС Зильберт писал письмо N 001493 начальнику ВВС Алкснис.</w:t>
      </w:r>
    </w:p>
    <w:p w14:paraId="4B365E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Возложенное на НИИ Вашим приказанием от 27.11.с.г. за N 41/00123 окончание испытаний РРАБ"ов к 5.12.33 г. к установленному сроку выполнено не будет, т.к. неблагоприятные метеорологические условия в ноябре не позволили форсировать испытания.</w:t>
      </w:r>
    </w:p>
    <w:p w14:paraId="7FE49F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будет закончена 13.12.с.г. (3048,23).</w:t>
      </w:r>
    </w:p>
    <w:p w14:paraId="00B6F1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0143A38" w14:textId="77777777" w:rsidR="002E3209" w:rsidRPr="0044524F" w:rsidRDefault="002E3209" w:rsidP="002E3209">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30A4218" w14:textId="77777777" w:rsidR="002E3209" w:rsidRPr="0044524F" w:rsidRDefault="002E3209" w:rsidP="002E3209">
      <w:pPr>
        <w:autoSpaceDE w:val="0"/>
        <w:autoSpaceDN w:val="0"/>
        <w:adjustRightInd w:val="0"/>
        <w:spacing w:after="0" w:line="240" w:lineRule="auto"/>
        <w:jc w:val="both"/>
        <w:rPr>
          <w:rFonts w:ascii="Times New Roman" w:hAnsi="Times New Roman"/>
          <w:iCs/>
          <w:color w:val="000000" w:themeColor="text1"/>
          <w:sz w:val="16"/>
          <w:szCs w:val="16"/>
        </w:rPr>
      </w:pPr>
    </w:p>
    <w:p w14:paraId="07DB67BE" w14:textId="77777777" w:rsidR="002E3209" w:rsidRPr="00142305" w:rsidRDefault="002E3209" w:rsidP="002E32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4 декабря 1933 г. директор завода № 8 Мирзоханов направил в наркомат тяжелой промышленности «Заключение о работе Спецбюро», в котором сообщал: «Основные задачи, поставленные пе</w:t>
      </w:r>
      <w:r w:rsidRPr="00142305">
        <w:rPr>
          <w:rFonts w:ascii="Times New Roman" w:hAnsi="Times New Roman"/>
          <w:color w:val="0070C0"/>
          <w:sz w:val="16"/>
          <w:szCs w:val="16"/>
        </w:rPr>
        <w:softHyphen/>
        <w:t>ред Спецбюро вытекали из совершенно неудовлетворительного состояния про</w:t>
      </w:r>
      <w:r w:rsidRPr="00142305">
        <w:rPr>
          <w:rFonts w:ascii="Times New Roman" w:hAnsi="Times New Roman"/>
          <w:color w:val="0070C0"/>
          <w:sz w:val="16"/>
          <w:szCs w:val="16"/>
        </w:rPr>
        <w:softHyphen/>
        <w:t>изводства на заводе к моменту начала работы Спецбюро. Отрицательными мо</w:t>
      </w:r>
      <w:r w:rsidRPr="00142305">
        <w:rPr>
          <w:rFonts w:ascii="Times New Roman" w:hAnsi="Times New Roman"/>
          <w:color w:val="0070C0"/>
          <w:sz w:val="16"/>
          <w:szCs w:val="16"/>
        </w:rPr>
        <w:softHyphen/>
        <w:t>ментами являлись недоработанность конструкции изготовляемых объектов, неудовлетворительное состояние чер</w:t>
      </w:r>
      <w:r w:rsidRPr="00142305">
        <w:rPr>
          <w:rFonts w:ascii="Times New Roman" w:hAnsi="Times New Roman"/>
          <w:color w:val="0070C0"/>
          <w:sz w:val="16"/>
          <w:szCs w:val="16"/>
        </w:rPr>
        <w:softHyphen/>
        <w:t>тежного хозяйства и несовершенный техпроцесс.</w:t>
      </w:r>
    </w:p>
    <w:p w14:paraId="0727958E" w14:textId="77777777" w:rsidR="002E3209" w:rsidRPr="00142305" w:rsidRDefault="002E3209" w:rsidP="002E32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 система 20К имела следующие не</w:t>
      </w:r>
      <w:r w:rsidRPr="00142305">
        <w:rPr>
          <w:rFonts w:ascii="Times New Roman" w:hAnsi="Times New Roman"/>
          <w:color w:val="0070C0"/>
          <w:sz w:val="16"/>
          <w:szCs w:val="16"/>
        </w:rPr>
        <w:softHyphen/>
        <w:t>достатки: полуавтоматика работала пло</w:t>
      </w:r>
      <w:r w:rsidRPr="00142305">
        <w:rPr>
          <w:rFonts w:ascii="Times New Roman" w:hAnsi="Times New Roman"/>
          <w:color w:val="0070C0"/>
          <w:sz w:val="16"/>
          <w:szCs w:val="16"/>
        </w:rPr>
        <w:softHyphen/>
        <w:t>хо, отказов до 30%, а в зимнее время сплошные отказы, противооткатные приспособления работали плохо, осо</w:t>
      </w:r>
      <w:r w:rsidRPr="00142305">
        <w:rPr>
          <w:rFonts w:ascii="Times New Roman" w:hAnsi="Times New Roman"/>
          <w:color w:val="0070C0"/>
          <w:sz w:val="16"/>
          <w:szCs w:val="16"/>
        </w:rPr>
        <w:softHyphen/>
        <w:t>бенно на морозе. Выверенных чертежей не было, технические условия вырабаты</w:t>
      </w:r>
      <w:r w:rsidRPr="00142305">
        <w:rPr>
          <w:rFonts w:ascii="Times New Roman" w:hAnsi="Times New Roman"/>
          <w:color w:val="0070C0"/>
          <w:sz w:val="16"/>
          <w:szCs w:val="16"/>
        </w:rPr>
        <w:softHyphen/>
        <w:t>вались и согласовывались с ГАУ, описа</w:t>
      </w:r>
      <w:r w:rsidRPr="00142305">
        <w:rPr>
          <w:rFonts w:ascii="Times New Roman" w:hAnsi="Times New Roman"/>
          <w:color w:val="0070C0"/>
          <w:sz w:val="16"/>
          <w:szCs w:val="16"/>
        </w:rPr>
        <w:softHyphen/>
        <w:t>ния не было, расчеты систематизирова</w:t>
      </w:r>
      <w:r w:rsidRPr="00142305">
        <w:rPr>
          <w:rFonts w:ascii="Times New Roman" w:hAnsi="Times New Roman"/>
          <w:color w:val="0070C0"/>
          <w:sz w:val="16"/>
          <w:szCs w:val="16"/>
        </w:rPr>
        <w:softHyphen/>
        <w:t>ны не были...</w:t>
      </w:r>
    </w:p>
    <w:p w14:paraId="14A11E8A" w14:textId="77777777" w:rsidR="002E3209" w:rsidRPr="00142305" w:rsidRDefault="002E3209" w:rsidP="002E32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Исходя из вышеизложенного, Спец бюро и получило задание на выполнение следующих работ:</w:t>
      </w:r>
    </w:p>
    <w:p w14:paraId="041D3F38" w14:textId="77777777" w:rsidR="002E3209" w:rsidRPr="00142305" w:rsidRDefault="002E3209" w:rsidP="002E3209">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Переделать конструкцию 20К, изго</w:t>
      </w:r>
      <w:r w:rsidRPr="00142305">
        <w:rPr>
          <w:rFonts w:ascii="Times New Roman" w:hAnsi="Times New Roman"/>
          <w:color w:val="0070C0"/>
          <w:sz w:val="16"/>
          <w:szCs w:val="16"/>
        </w:rPr>
        <w:softHyphen/>
        <w:t>товить опытные образцы, на которых проверить переделанную конструкцию. Дать проверенный атлас чертежей.</w:t>
      </w:r>
    </w:p>
    <w:p w14:paraId="710F0BD3" w14:textId="77777777" w:rsidR="002E3209" w:rsidRPr="00142305" w:rsidRDefault="002E3209" w:rsidP="002E3209">
      <w:pPr>
        <w:widowControl w:val="0"/>
        <w:tabs>
          <w:tab w:val="left" w:pos="452"/>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Переделать конструкцию 19К, изго</w:t>
      </w:r>
      <w:r w:rsidRPr="00142305">
        <w:rPr>
          <w:rFonts w:ascii="Times New Roman" w:hAnsi="Times New Roman"/>
          <w:color w:val="0070C0"/>
          <w:sz w:val="16"/>
          <w:szCs w:val="16"/>
        </w:rPr>
        <w:softHyphen/>
        <w:t>товить опытные образцы, на которых проверить переделанную конструкцию. Дать проверенный атлас чертежей.</w:t>
      </w:r>
    </w:p>
    <w:p w14:paraId="69459E9A" w14:textId="77777777" w:rsidR="002E3209" w:rsidRPr="00142305" w:rsidRDefault="002E3209" w:rsidP="002E3209">
      <w:pPr>
        <w:widowControl w:val="0"/>
        <w:tabs>
          <w:tab w:val="left" w:pos="457"/>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Переделать конструкцию 3К, изго</w:t>
      </w:r>
      <w:r w:rsidRPr="00142305">
        <w:rPr>
          <w:rFonts w:ascii="Times New Roman" w:hAnsi="Times New Roman"/>
          <w:color w:val="0070C0"/>
          <w:sz w:val="16"/>
          <w:szCs w:val="16"/>
        </w:rPr>
        <w:softHyphen/>
        <w:t>товить опытные образцы, на которых проверить переделанную конструкцию. Дать проверенный атлас чертежей...</w:t>
      </w:r>
    </w:p>
    <w:p w14:paraId="2EE26B03" w14:textId="77777777" w:rsidR="002E3209" w:rsidRPr="00142305" w:rsidRDefault="002E3209" w:rsidP="002E32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ноября Спецбюро начало сда</w:t>
      </w:r>
      <w:r w:rsidRPr="00142305">
        <w:rPr>
          <w:rFonts w:ascii="Times New Roman" w:hAnsi="Times New Roman"/>
          <w:color w:val="0070C0"/>
          <w:sz w:val="16"/>
          <w:szCs w:val="16"/>
        </w:rPr>
        <w:softHyphen/>
        <w:t>вать законченные работы, которые, со</w:t>
      </w:r>
      <w:r w:rsidRPr="00142305">
        <w:rPr>
          <w:rFonts w:ascii="Times New Roman" w:hAnsi="Times New Roman"/>
          <w:color w:val="0070C0"/>
          <w:sz w:val="16"/>
          <w:szCs w:val="16"/>
        </w:rPr>
        <w:softHyphen/>
        <w:t>гласно приказа тов. Павлуновского, бы</w:t>
      </w:r>
      <w:r w:rsidRPr="00142305">
        <w:rPr>
          <w:rFonts w:ascii="Times New Roman" w:hAnsi="Times New Roman"/>
          <w:color w:val="0070C0"/>
          <w:sz w:val="16"/>
          <w:szCs w:val="16"/>
        </w:rPr>
        <w:softHyphen/>
        <w:t>ли приняты приемочными комиссиями работников завода...</w:t>
      </w:r>
    </w:p>
    <w:p w14:paraId="3F302F9A" w14:textId="77777777" w:rsidR="002E3209" w:rsidRPr="00142305" w:rsidRDefault="002E3209" w:rsidP="002E32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настоящее время комиссии эти при</w:t>
      </w:r>
      <w:r w:rsidRPr="00142305">
        <w:rPr>
          <w:rFonts w:ascii="Times New Roman" w:hAnsi="Times New Roman"/>
          <w:color w:val="0070C0"/>
          <w:sz w:val="16"/>
          <w:szCs w:val="16"/>
        </w:rPr>
        <w:softHyphen/>
        <w:t>емку закончили и представили приемоч</w:t>
      </w:r>
      <w:r w:rsidRPr="00142305">
        <w:rPr>
          <w:rFonts w:ascii="Times New Roman" w:hAnsi="Times New Roman"/>
          <w:color w:val="0070C0"/>
          <w:sz w:val="16"/>
          <w:szCs w:val="16"/>
        </w:rPr>
        <w:softHyphen/>
        <w:t>ные акты. На основании их Заводо</w:t>
      </w:r>
      <w:r w:rsidRPr="00142305">
        <w:rPr>
          <w:rFonts w:ascii="Times New Roman" w:hAnsi="Times New Roman"/>
          <w:color w:val="0070C0"/>
          <w:sz w:val="16"/>
          <w:szCs w:val="16"/>
        </w:rPr>
        <w:softHyphen/>
        <w:t>управление дало следующее заключение по работам Спецбюро за период 10 сен</w:t>
      </w:r>
      <w:r w:rsidRPr="00142305">
        <w:rPr>
          <w:rFonts w:ascii="Times New Roman" w:hAnsi="Times New Roman"/>
          <w:color w:val="0070C0"/>
          <w:sz w:val="16"/>
          <w:szCs w:val="16"/>
        </w:rPr>
        <w:softHyphen/>
        <w:t>тября — 1 декабря.</w:t>
      </w:r>
    </w:p>
    <w:p w14:paraId="369EF4CC" w14:textId="77777777" w:rsidR="002E3209" w:rsidRPr="00142305" w:rsidRDefault="002E3209" w:rsidP="002E32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По системе 20К — Спецбюро скон</w:t>
      </w:r>
      <w:r w:rsidRPr="00142305">
        <w:rPr>
          <w:rFonts w:ascii="Times New Roman" w:hAnsi="Times New Roman"/>
          <w:color w:val="0070C0"/>
          <w:sz w:val="16"/>
          <w:szCs w:val="16"/>
        </w:rPr>
        <w:softHyphen/>
        <w:t>струировало и по его чертежам изготови</w:t>
      </w:r>
      <w:r w:rsidRPr="00142305">
        <w:rPr>
          <w:rFonts w:ascii="Times New Roman" w:hAnsi="Times New Roman"/>
          <w:color w:val="0070C0"/>
          <w:sz w:val="16"/>
          <w:szCs w:val="16"/>
        </w:rPr>
        <w:softHyphen/>
        <w:t>ли 3 системы, испытанные стрельбой: № 1 — 1404 выстрела, № 2 — 25 выстре</w:t>
      </w:r>
      <w:r w:rsidRPr="00142305">
        <w:rPr>
          <w:rFonts w:ascii="Times New Roman" w:hAnsi="Times New Roman"/>
          <w:color w:val="0070C0"/>
          <w:sz w:val="16"/>
          <w:szCs w:val="16"/>
        </w:rPr>
        <w:softHyphen/>
        <w:t>лов, № 3 — 480 выстрелов. Одна система лекальная.</w:t>
      </w:r>
    </w:p>
    <w:p w14:paraId="0B220563" w14:textId="77777777" w:rsidR="002E3209" w:rsidRPr="00142305" w:rsidRDefault="002E3209" w:rsidP="002E32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Основные изменения:</w:t>
      </w:r>
    </w:p>
    <w:p w14:paraId="3335612F" w14:textId="77777777" w:rsidR="002E3209" w:rsidRPr="00142305" w:rsidRDefault="002E3209" w:rsidP="002E3209">
      <w:pPr>
        <w:widowControl w:val="0"/>
        <w:tabs>
          <w:tab w:val="left" w:pos="459"/>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Новая полуавтоматика;</w:t>
      </w:r>
    </w:p>
    <w:p w14:paraId="21DE2716" w14:textId="77777777" w:rsidR="002E3209" w:rsidRPr="00142305" w:rsidRDefault="002E3209" w:rsidP="002E3209">
      <w:pPr>
        <w:widowControl w:val="0"/>
        <w:tabs>
          <w:tab w:val="left" w:pos="47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 Новые противооткатные приспо</w:t>
      </w:r>
      <w:r w:rsidRPr="00142305">
        <w:rPr>
          <w:rFonts w:ascii="Times New Roman" w:hAnsi="Times New Roman"/>
          <w:color w:val="0070C0"/>
          <w:sz w:val="16"/>
          <w:szCs w:val="16"/>
        </w:rPr>
        <w:softHyphen/>
        <w:t>собления и ряд других усовершенствова</w:t>
      </w:r>
      <w:r w:rsidRPr="00142305">
        <w:rPr>
          <w:rFonts w:ascii="Times New Roman" w:hAnsi="Times New Roman"/>
          <w:color w:val="0070C0"/>
          <w:sz w:val="16"/>
          <w:szCs w:val="16"/>
        </w:rPr>
        <w:softHyphen/>
        <w:t>ний, делающих пушку более конструк</w:t>
      </w:r>
      <w:r w:rsidRPr="00142305">
        <w:rPr>
          <w:rFonts w:ascii="Times New Roman" w:hAnsi="Times New Roman"/>
          <w:color w:val="0070C0"/>
          <w:sz w:val="16"/>
          <w:szCs w:val="16"/>
        </w:rPr>
        <w:softHyphen/>
        <w:t>тивной.</w:t>
      </w:r>
    </w:p>
    <w:p w14:paraId="628E36C1" w14:textId="77777777" w:rsidR="002E3209" w:rsidRPr="00142305" w:rsidRDefault="002E3209" w:rsidP="002E32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результате получена значительно бо</w:t>
      </w:r>
      <w:r w:rsidRPr="00142305">
        <w:rPr>
          <w:rFonts w:ascii="Times New Roman" w:hAnsi="Times New Roman"/>
          <w:color w:val="0070C0"/>
          <w:sz w:val="16"/>
          <w:szCs w:val="16"/>
        </w:rPr>
        <w:softHyphen/>
        <w:t>лее совершенная система, в которой уст</w:t>
      </w:r>
      <w:r w:rsidRPr="00142305">
        <w:rPr>
          <w:rFonts w:ascii="Times New Roman" w:hAnsi="Times New Roman"/>
          <w:color w:val="0070C0"/>
          <w:sz w:val="16"/>
          <w:szCs w:val="16"/>
        </w:rPr>
        <w:softHyphen/>
        <w:t>ранены все дефекты существующего об</w:t>
      </w:r>
      <w:r w:rsidRPr="00142305">
        <w:rPr>
          <w:rFonts w:ascii="Times New Roman" w:hAnsi="Times New Roman"/>
          <w:color w:val="0070C0"/>
          <w:sz w:val="16"/>
          <w:szCs w:val="16"/>
        </w:rPr>
        <w:softHyphen/>
        <w:t>разца. В общем из 6 пушек с полуавтома</w:t>
      </w:r>
      <w:r w:rsidRPr="00142305">
        <w:rPr>
          <w:rFonts w:ascii="Times New Roman" w:hAnsi="Times New Roman"/>
          <w:color w:val="0070C0"/>
          <w:sz w:val="16"/>
          <w:szCs w:val="16"/>
        </w:rPr>
        <w:softHyphen/>
        <w:t>тикой Спецбюро на 5000 выстрелов было получено только 98 задержек, то есть около 2%, в то время как валовые пушки имеют до 30% отказов, а локаль</w:t>
      </w:r>
      <w:r w:rsidRPr="00142305">
        <w:rPr>
          <w:rFonts w:ascii="Times New Roman" w:hAnsi="Times New Roman"/>
          <w:color w:val="0070C0"/>
          <w:sz w:val="16"/>
          <w:szCs w:val="16"/>
        </w:rPr>
        <w:softHyphen/>
        <w:t>ные по чертежам комиссии Каюкова (Каюков, Беринг и Каневский работали над усовершенствованием 45-мм танко</w:t>
      </w:r>
      <w:r w:rsidRPr="00142305">
        <w:rPr>
          <w:rFonts w:ascii="Times New Roman" w:hAnsi="Times New Roman"/>
          <w:color w:val="0070C0"/>
          <w:sz w:val="16"/>
          <w:szCs w:val="16"/>
        </w:rPr>
        <w:softHyphen/>
        <w:t>вой пушки по линии ГАУ) при 363 выстрелах дали 184 отказа, или 50,7%...» (25009).</w:t>
      </w:r>
    </w:p>
    <w:p w14:paraId="04D77A0F" w14:textId="77777777" w:rsidR="002E3209" w:rsidRPr="00142305" w:rsidRDefault="002E3209" w:rsidP="002E3209">
      <w:pPr>
        <w:spacing w:after="0" w:line="240" w:lineRule="auto"/>
        <w:jc w:val="both"/>
        <w:rPr>
          <w:rFonts w:ascii="Times New Roman" w:hAnsi="Times New Roman"/>
          <w:color w:val="0070C0"/>
          <w:sz w:val="16"/>
          <w:szCs w:val="16"/>
        </w:rPr>
      </w:pPr>
    </w:p>
    <w:p w14:paraId="054A10BC"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570B8B2"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06A2C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декабря 1933 появился приказ ОГПУ № 00381 «О расформировании Соловецких исправительно-трудовых лагерей ОГПУ», предписавший:</w:t>
      </w:r>
    </w:p>
    <w:p w14:paraId="144204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 Соловецкие исправительно-трудовые лагеря с 01.11.33 считать расформированными с передачей всего личного состава заключенных, аппарата и имущества этих лагерей Белбалткомбинату ОГПУ.</w:t>
      </w:r>
    </w:p>
    <w:p w14:paraId="43B2BA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2. Начальнику Белбалтлага организовать на островах «Соловки» специальное отделение (лагерь) с содержанием в последнем контингентов по особой инструкции» (спустя три года это специальное отделение будет преобразовано в Соловецкую тюрьму особого назначения ГУГБ НКВД СССР, начальником которой будет назначен старший майор госбезопасности И. А. Апетер) (7560).</w:t>
      </w:r>
    </w:p>
    <w:p w14:paraId="3A9E16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DCCAD79" w14:textId="77777777" w:rsidR="0020663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1027E3EF" w14:textId="77777777" w:rsidR="00206636" w:rsidRPr="0044524F" w:rsidRDefault="0020663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14A791"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декабря 1933 года — первый полёт лёгкого многоцелевого самолёта RWD-9. /Польша/</w:t>
      </w:r>
    </w:p>
    <w:p w14:paraId="496D23DE"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году авиационные соревнования Challenge International de Tourisme выиграл польский самолёт RWD-6. Желая развить успех, команда RWD приступила к новому проекту. Для Challenge International de Tourisme 1934 года конструкторы Станислав Рогальский (Stanislaw Rogalski), Станислав Вигура (Stanislaw Wigura) и Ежи Джевецкий (Jerzy Drzewiecki) разработали самолёт RWD-9.</w:t>
      </w:r>
    </w:p>
    <w:p w14:paraId="7B05CC58"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RWD-9 представлял собой высокоплан с возможностью короткого взлёта и посадки. В отличие от RWD-6, был четырёхместным, а не двухместным. Оснащался двигателями Polish-Skoda Works GR.760 или Walter Bora. Максимальная скорость — до 281 км/ч, дальность полёта — 800 км.</w:t>
      </w:r>
    </w:p>
    <w:p w14:paraId="287D3DDD"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построили 9 самолётов RWD-9. 6 из них использовались польской командой во время Challenge International de Tourisme 1934. В итоге, именно RWD-9 заняли первые 2 места, обогнав немецкие Messerschmitt Bf 108 и Fieseler Fi 97 (22300).</w:t>
      </w:r>
    </w:p>
    <w:p w14:paraId="67BAFE5B" w14:textId="77777777" w:rsidR="00201255" w:rsidRPr="0044524F" w:rsidRDefault="00201255" w:rsidP="009654CF">
      <w:pPr>
        <w:spacing w:after="0" w:line="240" w:lineRule="auto"/>
        <w:jc w:val="both"/>
        <w:rPr>
          <w:rFonts w:ascii="Times New Roman" w:hAnsi="Times New Roman"/>
          <w:color w:val="000000" w:themeColor="text1"/>
          <w:sz w:val="16"/>
          <w:szCs w:val="16"/>
        </w:rPr>
      </w:pPr>
    </w:p>
    <w:p w14:paraId="65600DA8"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hAnsi="Times New Roman"/>
          <w:bCs/>
          <w:color w:val="000000" w:themeColor="text1"/>
          <w:sz w:val="16"/>
          <w:szCs w:val="16"/>
        </w:rPr>
        <w:t xml:space="preserve">4 декабря </w:t>
      </w:r>
      <w:r w:rsidRPr="0044524F">
        <w:rPr>
          <w:rFonts w:ascii="Times New Roman" w:hAnsi="Times New Roman"/>
          <w:color w:val="000000" w:themeColor="text1"/>
          <w:sz w:val="16"/>
          <w:szCs w:val="16"/>
        </w:rPr>
        <w:t>в 1933 году упал в воду и разрушился американский дирижабль "Акрон" (самая страшная катастрофа дирижабля, 73 человека погибли) (14850).</w:t>
      </w:r>
    </w:p>
    <w:p w14:paraId="30F8CAF6" w14:textId="77777777" w:rsidR="00206636" w:rsidRPr="0044524F" w:rsidRDefault="00206636" w:rsidP="009654CF">
      <w:pPr>
        <w:spacing w:after="0" w:line="240" w:lineRule="auto"/>
        <w:jc w:val="both"/>
        <w:rPr>
          <w:rFonts w:ascii="Times New Roman" w:hAnsi="Times New Roman"/>
          <w:color w:val="000000" w:themeColor="text1"/>
          <w:sz w:val="16"/>
          <w:szCs w:val="16"/>
        </w:rPr>
      </w:pPr>
    </w:p>
    <w:p w14:paraId="538F0C8B"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1E10DC8"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1DA90F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года закончились гос. испытания эталона самолета ТБ3-4М34Р (редукторного), которые проходили с 22 октября 1933 (6663).</w:t>
      </w:r>
    </w:p>
    <w:p w14:paraId="58F82F5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443E089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инженеры Лосюков, Кудрявцев</w:t>
      </w:r>
    </w:p>
    <w:p w14:paraId="1ADD0BE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Байдуков</w:t>
      </w:r>
    </w:p>
    <w:p w14:paraId="2D1DB45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679B71B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самолета с целью выявления преимуществ, которые дает установка на самолете моторов М34Р (редукторных).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354"/>
        <w:gridCol w:w="1626"/>
        <w:gridCol w:w="1567"/>
        <w:gridCol w:w="1547"/>
      </w:tblGrid>
      <w:tr w:rsidR="004E10C1" w:rsidRPr="0044524F" w14:paraId="0732C9BE" w14:textId="77777777">
        <w:tc>
          <w:tcPr>
            <w:tcW w:w="3652" w:type="dxa"/>
          </w:tcPr>
          <w:p w14:paraId="5167A2E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Pr>
          <w:p w14:paraId="0FE21F3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ТБ3-4М34Р</w:t>
            </w:r>
          </w:p>
        </w:tc>
        <w:tc>
          <w:tcPr>
            <w:tcW w:w="1626" w:type="dxa"/>
          </w:tcPr>
          <w:p w14:paraId="70D42E8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567" w:type="dxa"/>
          </w:tcPr>
          <w:p w14:paraId="170A286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547" w:type="dxa"/>
          </w:tcPr>
          <w:p w14:paraId="7BBC707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r>
      <w:tr w:rsidR="004E10C1" w:rsidRPr="0044524F" w14:paraId="35B082FC" w14:textId="77777777">
        <w:tc>
          <w:tcPr>
            <w:tcW w:w="3652" w:type="dxa"/>
          </w:tcPr>
          <w:p w14:paraId="4272291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Pr>
          <w:p w14:paraId="309FDBA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26" w:type="dxa"/>
          </w:tcPr>
          <w:p w14:paraId="7FBA969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567" w:type="dxa"/>
          </w:tcPr>
          <w:p w14:paraId="34311C6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модифицир.</w:t>
            </w:r>
          </w:p>
        </w:tc>
        <w:tc>
          <w:tcPr>
            <w:tcW w:w="1547" w:type="dxa"/>
          </w:tcPr>
          <w:p w14:paraId="5B1AFED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8E7515C" w14:textId="77777777">
        <w:tc>
          <w:tcPr>
            <w:tcW w:w="3652" w:type="dxa"/>
          </w:tcPr>
          <w:p w14:paraId="4F9DCC7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самолета</w:t>
            </w:r>
          </w:p>
        </w:tc>
        <w:tc>
          <w:tcPr>
            <w:tcW w:w="1354" w:type="dxa"/>
          </w:tcPr>
          <w:p w14:paraId="73B9158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18600</w:t>
            </w:r>
          </w:p>
        </w:tc>
        <w:tc>
          <w:tcPr>
            <w:tcW w:w="1626" w:type="dxa"/>
          </w:tcPr>
          <w:p w14:paraId="1E7B5C9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18100</w:t>
            </w:r>
          </w:p>
        </w:tc>
        <w:tc>
          <w:tcPr>
            <w:tcW w:w="1567" w:type="dxa"/>
          </w:tcPr>
          <w:p w14:paraId="7D9B0B0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17200</w:t>
            </w:r>
          </w:p>
        </w:tc>
        <w:tc>
          <w:tcPr>
            <w:tcW w:w="1547" w:type="dxa"/>
          </w:tcPr>
          <w:p w14:paraId="4002078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17200</w:t>
            </w:r>
          </w:p>
        </w:tc>
      </w:tr>
      <w:tr w:rsidR="004E10C1" w:rsidRPr="0044524F" w14:paraId="27D38351" w14:textId="77777777">
        <w:tc>
          <w:tcPr>
            <w:tcW w:w="3652" w:type="dxa"/>
          </w:tcPr>
          <w:p w14:paraId="4D28FA4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Максимальная скорость у земли</w:t>
            </w:r>
          </w:p>
        </w:tc>
        <w:tc>
          <w:tcPr>
            <w:tcW w:w="1354" w:type="dxa"/>
          </w:tcPr>
          <w:p w14:paraId="381771E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229,0</w:t>
            </w:r>
          </w:p>
        </w:tc>
        <w:tc>
          <w:tcPr>
            <w:tcW w:w="1626" w:type="dxa"/>
          </w:tcPr>
          <w:p w14:paraId="7679968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207,5</w:t>
            </w:r>
          </w:p>
        </w:tc>
        <w:tc>
          <w:tcPr>
            <w:tcW w:w="1567" w:type="dxa"/>
          </w:tcPr>
          <w:p w14:paraId="3190198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215(4)/</w:t>
            </w:r>
          </w:p>
        </w:tc>
        <w:tc>
          <w:tcPr>
            <w:tcW w:w="1547" w:type="dxa"/>
          </w:tcPr>
          <w:p w14:paraId="002F0B5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184(1)</w:t>
            </w:r>
          </w:p>
        </w:tc>
      </w:tr>
      <w:tr w:rsidR="004E10C1" w:rsidRPr="0044524F" w14:paraId="1C4AD7EC" w14:textId="77777777">
        <w:tc>
          <w:tcPr>
            <w:tcW w:w="3652" w:type="dxa"/>
          </w:tcPr>
          <w:p w14:paraId="78618B6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54" w:type="dxa"/>
          </w:tcPr>
          <w:p w14:paraId="512EA40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626" w:type="dxa"/>
          </w:tcPr>
          <w:p w14:paraId="0557425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567" w:type="dxa"/>
          </w:tcPr>
          <w:p w14:paraId="7F98B40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187(1)</w:t>
            </w:r>
          </w:p>
        </w:tc>
        <w:tc>
          <w:tcPr>
            <w:tcW w:w="1547" w:type="dxa"/>
          </w:tcPr>
          <w:p w14:paraId="203E979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14AF7D" w14:textId="77777777">
        <w:tc>
          <w:tcPr>
            <w:tcW w:w="3652" w:type="dxa"/>
          </w:tcPr>
          <w:p w14:paraId="7E4A3E9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на 3000 м</w:t>
            </w:r>
          </w:p>
        </w:tc>
        <w:tc>
          <w:tcPr>
            <w:tcW w:w="1354" w:type="dxa"/>
          </w:tcPr>
          <w:p w14:paraId="014F259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211,0</w:t>
            </w:r>
          </w:p>
        </w:tc>
        <w:tc>
          <w:tcPr>
            <w:tcW w:w="1626" w:type="dxa"/>
          </w:tcPr>
          <w:p w14:paraId="5462788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w:t>
            </w:r>
          </w:p>
        </w:tc>
        <w:tc>
          <w:tcPr>
            <w:tcW w:w="1567" w:type="dxa"/>
          </w:tcPr>
          <w:p w14:paraId="60B7EA3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w:t>
            </w:r>
          </w:p>
        </w:tc>
        <w:tc>
          <w:tcPr>
            <w:tcW w:w="1547" w:type="dxa"/>
          </w:tcPr>
          <w:p w14:paraId="0AA0B38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177</w:t>
            </w:r>
          </w:p>
        </w:tc>
      </w:tr>
      <w:tr w:rsidR="004E10C1" w:rsidRPr="0044524F" w14:paraId="321CCBB1" w14:textId="77777777">
        <w:tc>
          <w:tcPr>
            <w:tcW w:w="3652" w:type="dxa"/>
          </w:tcPr>
          <w:p w14:paraId="7E9D3FF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1000 м</w:t>
            </w:r>
          </w:p>
        </w:tc>
        <w:tc>
          <w:tcPr>
            <w:tcW w:w="1354" w:type="dxa"/>
          </w:tcPr>
          <w:p w14:paraId="71AD27E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4,1 </w:t>
            </w:r>
          </w:p>
        </w:tc>
        <w:tc>
          <w:tcPr>
            <w:tcW w:w="1626" w:type="dxa"/>
          </w:tcPr>
          <w:p w14:paraId="1AE1868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567" w:type="dxa"/>
          </w:tcPr>
          <w:p w14:paraId="58F3351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547" w:type="dxa"/>
          </w:tcPr>
          <w:p w14:paraId="0547E4A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w:t>
            </w:r>
          </w:p>
        </w:tc>
      </w:tr>
      <w:tr w:rsidR="004E10C1" w:rsidRPr="0044524F" w14:paraId="5AC00872" w14:textId="77777777">
        <w:tc>
          <w:tcPr>
            <w:tcW w:w="3652" w:type="dxa"/>
          </w:tcPr>
          <w:p w14:paraId="15BF0F0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3000 м</w:t>
            </w:r>
          </w:p>
        </w:tc>
        <w:tc>
          <w:tcPr>
            <w:tcW w:w="1354" w:type="dxa"/>
          </w:tcPr>
          <w:p w14:paraId="5DB0758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17,6</w:t>
            </w:r>
          </w:p>
        </w:tc>
        <w:tc>
          <w:tcPr>
            <w:tcW w:w="1626" w:type="dxa"/>
          </w:tcPr>
          <w:p w14:paraId="559AA5A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32,8</w:t>
            </w:r>
          </w:p>
        </w:tc>
        <w:tc>
          <w:tcPr>
            <w:tcW w:w="1567" w:type="dxa"/>
          </w:tcPr>
          <w:p w14:paraId="28D19BB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29,5</w:t>
            </w:r>
          </w:p>
        </w:tc>
        <w:tc>
          <w:tcPr>
            <w:tcW w:w="1547" w:type="dxa"/>
          </w:tcPr>
          <w:p w14:paraId="0C4F56C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w:t>
            </w:r>
          </w:p>
        </w:tc>
      </w:tr>
      <w:tr w:rsidR="004E10C1" w:rsidRPr="0044524F" w14:paraId="626AB457" w14:textId="77777777">
        <w:tc>
          <w:tcPr>
            <w:tcW w:w="3652" w:type="dxa"/>
          </w:tcPr>
          <w:p w14:paraId="1410F18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w:t>
            </w:r>
          </w:p>
        </w:tc>
        <w:tc>
          <w:tcPr>
            <w:tcW w:w="1354" w:type="dxa"/>
          </w:tcPr>
          <w:p w14:paraId="690F9CE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4500</w:t>
            </w:r>
          </w:p>
        </w:tc>
        <w:tc>
          <w:tcPr>
            <w:tcW w:w="1626" w:type="dxa"/>
          </w:tcPr>
          <w:p w14:paraId="1702BB8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3900</w:t>
            </w:r>
          </w:p>
        </w:tc>
        <w:tc>
          <w:tcPr>
            <w:tcW w:w="1567" w:type="dxa"/>
          </w:tcPr>
          <w:p w14:paraId="5EE12F0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4800</w:t>
            </w:r>
          </w:p>
        </w:tc>
        <w:tc>
          <w:tcPr>
            <w:tcW w:w="1547" w:type="dxa"/>
          </w:tcPr>
          <w:p w14:paraId="7FD67C4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3800</w:t>
            </w:r>
          </w:p>
        </w:tc>
      </w:tr>
      <w:tr w:rsidR="004E10C1" w:rsidRPr="0044524F" w14:paraId="45D23403" w14:textId="77777777">
        <w:tc>
          <w:tcPr>
            <w:tcW w:w="3652" w:type="dxa"/>
          </w:tcPr>
          <w:p w14:paraId="329553E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практический потолок</w:t>
            </w:r>
          </w:p>
        </w:tc>
        <w:tc>
          <w:tcPr>
            <w:tcW w:w="1354" w:type="dxa"/>
          </w:tcPr>
          <w:p w14:paraId="25BFDC9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50,6</w:t>
            </w:r>
          </w:p>
        </w:tc>
        <w:tc>
          <w:tcPr>
            <w:tcW w:w="1626" w:type="dxa"/>
          </w:tcPr>
          <w:p w14:paraId="4C7F793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73,4</w:t>
            </w:r>
          </w:p>
        </w:tc>
        <w:tc>
          <w:tcPr>
            <w:tcW w:w="1567" w:type="dxa"/>
          </w:tcPr>
          <w:p w14:paraId="515AB27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82,1</w:t>
            </w:r>
          </w:p>
        </w:tc>
        <w:tc>
          <w:tcPr>
            <w:tcW w:w="1547" w:type="dxa"/>
          </w:tcPr>
          <w:p w14:paraId="1F7E280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85,5</w:t>
            </w:r>
          </w:p>
        </w:tc>
      </w:tr>
      <w:tr w:rsidR="004E10C1" w:rsidRPr="0044524F" w14:paraId="5FD4B77E" w14:textId="77777777">
        <w:tc>
          <w:tcPr>
            <w:tcW w:w="3652" w:type="dxa"/>
          </w:tcPr>
          <w:p w14:paraId="2C223C0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Разбег</w:t>
            </w:r>
          </w:p>
        </w:tc>
        <w:tc>
          <w:tcPr>
            <w:tcW w:w="1354" w:type="dxa"/>
          </w:tcPr>
          <w:p w14:paraId="386558F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150-200</w:t>
            </w:r>
          </w:p>
        </w:tc>
        <w:tc>
          <w:tcPr>
            <w:tcW w:w="1626" w:type="dxa"/>
          </w:tcPr>
          <w:p w14:paraId="2313E59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300-490</w:t>
            </w:r>
          </w:p>
        </w:tc>
        <w:tc>
          <w:tcPr>
            <w:tcW w:w="1567" w:type="dxa"/>
          </w:tcPr>
          <w:p w14:paraId="4D5A7E4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47" w:type="dxa"/>
          </w:tcPr>
          <w:p w14:paraId="23AA859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300-450</w:t>
            </w:r>
          </w:p>
        </w:tc>
      </w:tr>
    </w:tbl>
    <w:p w14:paraId="7E90465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7FE79B8C"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нормальный газ</w:t>
      </w:r>
    </w:p>
    <w:p w14:paraId="7347342E"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чистый бакинский</w:t>
      </w:r>
    </w:p>
    <w:p w14:paraId="0DA9BF53"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бензольная смесь</w:t>
      </w:r>
    </w:p>
    <w:p w14:paraId="441D9B4F"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форсированный газ</w:t>
      </w:r>
    </w:p>
    <w:p w14:paraId="3EDBFC7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7FA230FA" w14:textId="77777777">
        <w:tc>
          <w:tcPr>
            <w:tcW w:w="5636" w:type="dxa"/>
          </w:tcPr>
          <w:p w14:paraId="1871481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года</w:t>
            </w:r>
          </w:p>
        </w:tc>
        <w:tc>
          <w:tcPr>
            <w:tcW w:w="5636" w:type="dxa"/>
          </w:tcPr>
          <w:p w14:paraId="4CE81CB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ОЭЛИД ЦАГИ, перегнан в Щелково и облетан ведущим летчиком.</w:t>
            </w:r>
          </w:p>
        </w:tc>
      </w:tr>
      <w:tr w:rsidR="004E10C1" w:rsidRPr="0044524F" w14:paraId="13541622" w14:textId="77777777">
        <w:tc>
          <w:tcPr>
            <w:tcW w:w="5636" w:type="dxa"/>
          </w:tcPr>
          <w:p w14:paraId="0C3DF63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октября 1933 года</w:t>
            </w:r>
          </w:p>
        </w:tc>
        <w:tc>
          <w:tcPr>
            <w:tcW w:w="5636" w:type="dxa"/>
          </w:tcPr>
          <w:p w14:paraId="401C28C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на устойчивость и управляемость.</w:t>
            </w:r>
          </w:p>
        </w:tc>
      </w:tr>
      <w:tr w:rsidR="004E10C1" w:rsidRPr="0044524F" w14:paraId="2ABFFA4E" w14:textId="77777777">
        <w:tc>
          <w:tcPr>
            <w:tcW w:w="5636" w:type="dxa"/>
          </w:tcPr>
          <w:p w14:paraId="1BE1DBA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октября 1933 года</w:t>
            </w:r>
          </w:p>
        </w:tc>
        <w:tc>
          <w:tcPr>
            <w:tcW w:w="5636" w:type="dxa"/>
          </w:tcPr>
          <w:p w14:paraId="42B4BCE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на километраж.</w:t>
            </w:r>
          </w:p>
        </w:tc>
      </w:tr>
      <w:tr w:rsidR="004E10C1" w:rsidRPr="0044524F" w14:paraId="4EC5B201" w14:textId="77777777">
        <w:tc>
          <w:tcPr>
            <w:tcW w:w="5636" w:type="dxa"/>
          </w:tcPr>
          <w:p w14:paraId="21F25D0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ноября 1933 года</w:t>
            </w:r>
          </w:p>
        </w:tc>
        <w:tc>
          <w:tcPr>
            <w:tcW w:w="5636" w:type="dxa"/>
          </w:tcPr>
          <w:p w14:paraId="69E69A9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летчиком Кастанаевым на потолок и зубцы.</w:t>
            </w:r>
          </w:p>
        </w:tc>
      </w:tr>
      <w:tr w:rsidR="004E10C1" w:rsidRPr="0044524F" w14:paraId="766736A2" w14:textId="77777777">
        <w:tc>
          <w:tcPr>
            <w:tcW w:w="5636" w:type="dxa"/>
          </w:tcPr>
          <w:p w14:paraId="114AA2B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года</w:t>
            </w:r>
          </w:p>
        </w:tc>
        <w:tc>
          <w:tcPr>
            <w:tcW w:w="5636" w:type="dxa"/>
          </w:tcPr>
          <w:p w14:paraId="7750EB7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на зубцы у земли (500 м) и устранение девиации.</w:t>
            </w:r>
          </w:p>
        </w:tc>
      </w:tr>
      <w:tr w:rsidR="004E10C1" w:rsidRPr="0044524F" w14:paraId="3E28DE57" w14:textId="77777777">
        <w:tc>
          <w:tcPr>
            <w:tcW w:w="5636" w:type="dxa"/>
          </w:tcPr>
          <w:p w14:paraId="70A7DA6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декабря 1933 года</w:t>
            </w:r>
          </w:p>
        </w:tc>
        <w:tc>
          <w:tcPr>
            <w:tcW w:w="5636" w:type="dxa"/>
          </w:tcPr>
          <w:p w14:paraId="7272EE3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летит на боевую стрельбу с задней точки.</w:t>
            </w:r>
          </w:p>
        </w:tc>
      </w:tr>
      <w:tr w:rsidR="004E10C1" w:rsidRPr="0044524F" w14:paraId="01FFBFB8" w14:textId="77777777">
        <w:tc>
          <w:tcPr>
            <w:tcW w:w="5636" w:type="dxa"/>
          </w:tcPr>
          <w:p w14:paraId="40E671E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года</w:t>
            </w:r>
          </w:p>
        </w:tc>
        <w:tc>
          <w:tcPr>
            <w:tcW w:w="5636" w:type="dxa"/>
          </w:tcPr>
          <w:p w14:paraId="63AD14B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Работа тормозными колесами.</w:t>
            </w:r>
          </w:p>
        </w:tc>
      </w:tr>
    </w:tbl>
    <w:p w14:paraId="4B6A9B2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3CF38E8"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возможным допустить испытанный самолет в качестве эталона первой половины 1934 года с устранением на нем всех выявленных дефектов и выполнением требований, утвержденных начальником ВВС (6663).</w:t>
      </w:r>
    </w:p>
    <w:p w14:paraId="4FC6F1EC"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1E3BDC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в ходе гос. испытаний ТБ-3 (АНТ-6) 22 завода N 22202 с 4М-34Р в качестве эталона на 34 год, которые проходили с 18 октября по 5 декабря 1933, были выполнены облеты другими пилотами (2264,117).</w:t>
      </w:r>
    </w:p>
    <w:p w14:paraId="797A84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C33B6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закончились гос. испытания ТБ-3 (АНТ-6) с М-34 22 завода N 22202 - эталона на 1934, которые начались 19 октября 1933 (1017,169).</w:t>
      </w:r>
    </w:p>
    <w:p w14:paraId="16FA9A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2B79E66" w14:textId="77777777" w:rsidR="002E3209" w:rsidRPr="00142305" w:rsidRDefault="002E3209" w:rsidP="002E32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декабря 1933 г. опыт</w:t>
      </w:r>
      <w:r w:rsidRPr="00142305">
        <w:rPr>
          <w:rFonts w:ascii="Times New Roman" w:hAnsi="Times New Roman"/>
          <w:color w:val="0070C0"/>
          <w:sz w:val="16"/>
          <w:szCs w:val="16"/>
        </w:rPr>
        <w:softHyphen/>
        <w:t>ный самолет ТБ-3 № 22202 с М-34Р вернули на завод № 22. На серийных самолетах УВВС требовало поставить входную дверь, открывающуюся внутрь, а не наружу (так удобнее прыгать с парашютом), ввести люковую пулеметную установку взамен подкрыльных башен, смонтировать новые бомбодержатели. Кроме того, опытный самолет не имел «бороды» под носовой частью (24937).</w:t>
      </w:r>
    </w:p>
    <w:p w14:paraId="494484B3" w14:textId="77777777" w:rsidR="002E3209" w:rsidRPr="00142305" w:rsidRDefault="002E3209" w:rsidP="002E3209">
      <w:pPr>
        <w:spacing w:after="0" w:line="240" w:lineRule="auto"/>
        <w:jc w:val="both"/>
        <w:rPr>
          <w:rFonts w:ascii="Times New Roman" w:hAnsi="Times New Roman"/>
          <w:color w:val="0070C0"/>
          <w:sz w:val="16"/>
          <w:szCs w:val="16"/>
        </w:rPr>
      </w:pPr>
    </w:p>
    <w:p w14:paraId="26FFF105" w14:textId="77777777" w:rsidR="00206636" w:rsidRPr="0044524F" w:rsidRDefault="002066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г. Протокол ПБ № 150 п.47/29: Вопрос Гамарника - ОП. Решено: Считать необходимым закупить за границей 50 штук наиболее современных морских моторов авиационного типа (с реверсивными установками) для торпедных катеров. НКТП совместно с НКВМ и НКВТ выяснить и доложить Политбюро не позднее 1-12-1933, у каких фирм можно реализовать указанный заказ, стоимость, кратчайшие сроки получения и основные технические данные моторов (15949).</w:t>
      </w:r>
    </w:p>
    <w:p w14:paraId="43CE187E" w14:textId="77777777" w:rsidR="00206636" w:rsidRPr="0044524F" w:rsidRDefault="00206636" w:rsidP="009654CF">
      <w:pPr>
        <w:spacing w:after="0" w:line="240" w:lineRule="auto"/>
        <w:jc w:val="both"/>
        <w:rPr>
          <w:rFonts w:ascii="Times New Roman" w:hAnsi="Times New Roman"/>
          <w:color w:val="000000" w:themeColor="text1"/>
          <w:sz w:val="16"/>
          <w:szCs w:val="16"/>
        </w:rPr>
      </w:pPr>
    </w:p>
    <w:p w14:paraId="548E8525" w14:textId="77777777" w:rsidR="00206636" w:rsidRPr="0044524F" w:rsidRDefault="0020663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головной торпедный катер типа Г-5 с 2хГМ-34 (один ГМ-34 левого исполнения, другой - правого) при</w:t>
      </w:r>
      <w:r w:rsidRPr="0044524F">
        <w:rPr>
          <w:rFonts w:ascii="Times New Roman" w:hAnsi="Times New Roman"/>
          <w:color w:val="000000" w:themeColor="text1"/>
          <w:sz w:val="16"/>
          <w:szCs w:val="16"/>
        </w:rPr>
        <w:softHyphen/>
        <w:t>был с завода им. Марти на Черное море, а 12 декабря уже вышел в море. Государственные испытания на нем завершились в августе 1934 г. Параллельно весь 1933 г. мотор работал на стенде в ЦИАМ. С 1934 г. он выпускался се</w:t>
      </w:r>
      <w:r w:rsidRPr="0044524F">
        <w:rPr>
          <w:rFonts w:ascii="Times New Roman" w:hAnsi="Times New Roman"/>
          <w:color w:val="000000" w:themeColor="text1"/>
          <w:sz w:val="16"/>
          <w:szCs w:val="16"/>
        </w:rPr>
        <w:softHyphen/>
        <w:t>рийно, к 1 июля изготовили 21 ка</w:t>
      </w:r>
      <w:r w:rsidRPr="0044524F">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44524F">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44524F">
        <w:rPr>
          <w:rFonts w:ascii="Times New Roman" w:hAnsi="Times New Roman"/>
          <w:color w:val="000000" w:themeColor="text1"/>
          <w:sz w:val="16"/>
          <w:szCs w:val="16"/>
        </w:rPr>
        <w:softHyphen/>
        <w:t>вался параллельно с авиационным. Так, ГМ-34Ф имел коренные вклады</w:t>
      </w:r>
      <w:r w:rsidRPr="0044524F">
        <w:rPr>
          <w:rFonts w:ascii="Times New Roman" w:hAnsi="Times New Roman"/>
          <w:color w:val="000000" w:themeColor="text1"/>
          <w:sz w:val="16"/>
          <w:szCs w:val="16"/>
        </w:rPr>
        <w:softHyphen/>
        <w:t>ши из бронзы, коленчатый вал, го</w:t>
      </w:r>
      <w:r w:rsidRPr="0044524F">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44524F">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44524F">
        <w:rPr>
          <w:rFonts w:ascii="Times New Roman" w:hAnsi="Times New Roman"/>
          <w:color w:val="000000" w:themeColor="text1"/>
          <w:sz w:val="16"/>
          <w:szCs w:val="16"/>
        </w:rPr>
        <w:softHyphen/>
        <w:t>тельно, чтобы эта смесь использова</w:t>
      </w:r>
      <w:r w:rsidRPr="0044524F">
        <w:rPr>
          <w:rFonts w:ascii="Times New Roman" w:hAnsi="Times New Roman"/>
          <w:color w:val="000000" w:themeColor="text1"/>
          <w:sz w:val="16"/>
          <w:szCs w:val="16"/>
        </w:rPr>
        <w:softHyphen/>
        <w:t>лась для серий-ных двигателей на флотах. Первые два ГМ-34Ф выпус</w:t>
      </w:r>
      <w:r w:rsidRPr="0044524F">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44524F">
        <w:rPr>
          <w:rFonts w:ascii="Times New Roman" w:hAnsi="Times New Roman"/>
          <w:color w:val="000000" w:themeColor="text1"/>
          <w:sz w:val="16"/>
          <w:szCs w:val="16"/>
        </w:rPr>
        <w:softHyphen/>
        <w:t>вершенствованной маслосистемой. Степень сжатия у него опять понизи</w:t>
      </w:r>
      <w:r w:rsidRPr="0044524F">
        <w:rPr>
          <w:rFonts w:ascii="Times New Roman" w:hAnsi="Times New Roman"/>
          <w:color w:val="000000" w:themeColor="text1"/>
          <w:sz w:val="16"/>
          <w:szCs w:val="16"/>
        </w:rPr>
        <w:softHyphen/>
        <w:t>ли до 6,0, чтобы использовать низ</w:t>
      </w:r>
      <w:r w:rsidRPr="0044524F">
        <w:rPr>
          <w:rFonts w:ascii="Times New Roman" w:hAnsi="Times New Roman"/>
          <w:color w:val="000000" w:themeColor="text1"/>
          <w:sz w:val="16"/>
          <w:szCs w:val="16"/>
        </w:rPr>
        <w:softHyphen/>
        <w:t>кокачественное топливо, но мощ</w:t>
      </w:r>
      <w:r w:rsidRPr="0044524F">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44524F">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44524F">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44524F">
        <w:rPr>
          <w:rFonts w:ascii="Times New Roman" w:hAnsi="Times New Roman"/>
          <w:color w:val="000000" w:themeColor="text1"/>
          <w:sz w:val="16"/>
          <w:szCs w:val="16"/>
        </w:rPr>
        <w:softHyphen/>
        <w:t>тью 850 л.с. для танков с изменен</w:t>
      </w:r>
      <w:r w:rsidRPr="0044524F">
        <w:rPr>
          <w:rFonts w:ascii="Times New Roman" w:hAnsi="Times New Roman"/>
          <w:color w:val="000000" w:themeColor="text1"/>
          <w:sz w:val="16"/>
          <w:szCs w:val="16"/>
        </w:rPr>
        <w:softHyphen/>
        <w:t>ной системой охлаждения, вентиля</w:t>
      </w:r>
      <w:r w:rsidRPr="0044524F">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44524F">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44524F">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44524F">
        <w:rPr>
          <w:rFonts w:ascii="Times New Roman" w:hAnsi="Times New Roman"/>
          <w:color w:val="000000" w:themeColor="text1"/>
          <w:sz w:val="16"/>
          <w:szCs w:val="16"/>
        </w:rPr>
        <w:softHyphen/>
        <w:t>моходном орудии СУ-100у («Игрек», 1940 г.), применяв</w:t>
      </w:r>
      <w:r w:rsidRPr="0044524F">
        <w:rPr>
          <w:rFonts w:ascii="Times New Roman" w:hAnsi="Times New Roman"/>
          <w:color w:val="000000" w:themeColor="text1"/>
          <w:sz w:val="16"/>
          <w:szCs w:val="16"/>
        </w:rPr>
        <w:softHyphen/>
        <w:t>шемся в боях под Москвой зимой 1941 г. (11848).</w:t>
      </w:r>
    </w:p>
    <w:p w14:paraId="7A96C171" w14:textId="77777777" w:rsidR="00206636" w:rsidRPr="0044524F" w:rsidRDefault="0020663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8F821F2" w14:textId="77777777" w:rsidR="002E3209" w:rsidRPr="00142305" w:rsidRDefault="002E3209" w:rsidP="002E32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5 декабря 1933 г. была подготовлена сводка агентурно-оперативных данных ОО ОГПУ по РККА, отправленная командованию РККА 11 декабря 1933 г. В ней были отражены различные случаи — от шпионажа до массовых хищений на авиационном строительстве. В частности, сообщалось, что в процессе следствия по делу вскрытой и ликвидируемой польской военной организации было установлено, что руководитель Гомельского филиала этой организации «ПОВ» ксендз Андрекус проводил контрреволюционную шпионскую работу в частях РККА. С этой целью Андрекус через делопроизводителя 16-го авиаотряда Яна Шамборского вовлек в шпионскую работу нескольких военнослужащих, в том числе и лиц среднего начсостава. Указывалось, что арестованные по делу Шамборский, чертежники Поляков и Селиважин, летчик-наблюдатель Гумбин и бывший летчик Соловьев в своей шпионской деятельности сознались. Последние двое также показали, что они были обработаны Шамборским для перелета в Польшу. Также сообщалось, что в Москве была ликвидирована шпионско-террористическая группа, созданная Харбинским филиалом белогвардейской организации «Братство Русской Правды» и японскими разведывательными органами. Отмечалось, что участники группы, работавшие на заводах авиационной промышленности, «передали за границу сведения о продукции 22, 39 и 18 авиазаводов». В этой же сводке, в разделе III «Разные данные», указывалось, что на Бочкаревском авиастроительстве отмечалось разбазаривание остродефицитных товаров и продуктов, идущих для рабочего снабжения, и преступное расходование средств. Произведенное следствие это положение подтвердило и вскрыло ряд других преступных действий, вплоть до массового хищения чужих грузов.</w:t>
      </w:r>
    </w:p>
    <w:p w14:paraId="723B1BCD" w14:textId="77777777" w:rsidR="002E3209" w:rsidRPr="00142305" w:rsidRDefault="002E3209" w:rsidP="002E320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этому делу начальник сектора заготовок Веншин был приговорен к расстрелу, начальник снабжения стройки Титов (бывший член партии), завскладом Оболенский (бывший священник, лишенный избирательных прав) и заведующий товарной конторой станции Бочкарево — заключены в лагерь сроком на 10 лет каждый [5, л. 39–41, 43] (25099).</w:t>
      </w:r>
    </w:p>
    <w:p w14:paraId="60A66DF9" w14:textId="77777777" w:rsidR="002E3209" w:rsidRPr="00142305" w:rsidRDefault="002E3209" w:rsidP="002E3209">
      <w:pPr>
        <w:spacing w:after="0" w:line="240" w:lineRule="auto"/>
        <w:jc w:val="both"/>
        <w:rPr>
          <w:rFonts w:ascii="Times New Roman" w:hAnsi="Times New Roman"/>
          <w:color w:val="0070C0"/>
          <w:sz w:val="16"/>
          <w:szCs w:val="16"/>
        </w:rPr>
      </w:pPr>
    </w:p>
    <w:p w14:paraId="0488069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1707530"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24C99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г. механические мастерские треста «Союзхиммонтаж», являвшиеся ремонтной базой соседнего химзавода были преобразованы в завод «Химаппаратура».</w:t>
      </w:r>
    </w:p>
    <w:p w14:paraId="4F99DB80" w14:textId="411A48E1"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1937 г. завод передан в ведение НКМ и переименован в Щелковский Государственный завод холодильного оборудования. С 1937 г. начато освоение производства холодильных установок, поршневых насосов, эфиризаторов. После начала П-й Мировой войны заводу был поручен выпуск 82-мм осколочных мин. В конце 1941 г. завод Холодильного оборудования был передан в ведение НКМВ. Суточный план завода по выпуску мин увеличен до 12 тыс. шт. В соответствии с пост, правительства № 837-430сс от 3.06.1942 г. и приказом НКМВ № 250с от 7.07.1942 г. завод Холодилного оборудования НКМВ переименован в завод № 725 в ведении 1ГУ (Завод № 725 НКМВ, Завод «Химаппаратура», Щелковский Государственный завод холодильного оборудования НКМВ, Щелковский завод малых гидротурбин ММиП, Щелковский насосный завод, ОАО «ЭНА» /г. Щелково Московской обл. «Турбина»/ /141101</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Щелково Московской обл. ул. Заводская, 14/).</w:t>
      </w:r>
    </w:p>
    <w:p w14:paraId="5C8696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войны заводу поручено освоение производства гидротурбин малой мощности. В 07.1946 г. завод № 725 переименован в Щелковский завод малых гидротурбин, в 1947-48 г. - в ведении Главхиммаша ММиП.</w:t>
      </w:r>
    </w:p>
    <w:p w14:paraId="324EEE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составе завода цехи: основные: гидротурбинный, электромоторный, ширпотреба, литейный, кузнечно- прессовый; вспомогательные: инструментальный.</w:t>
      </w:r>
    </w:p>
    <w:p w14:paraId="191E5A77" w14:textId="1FD7460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С 1950 г. начато производство насосов. В 06.1956 г. завод переименован в Щелковский насосный завод. Специализировался на выпуске центробежных насосов. В 1960-е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завод реконструирован, расширены производственные площади.</w:t>
      </w:r>
    </w:p>
    <w:p w14:paraId="3C8152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9.10.1992 г. завод преобразован в ОАО «ЭНА».</w:t>
      </w:r>
    </w:p>
    <w:p w14:paraId="485679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Количество оборудования: (1939 г.)- 89 ед., (1946 г.)- 230 ед., (1947 г.)- 313 ед.</w:t>
      </w:r>
    </w:p>
    <w:p w14:paraId="3885E0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территории (1947 г.)- 7,1 га; застройки (1947 г.)- 9471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производственная (1939 г.)- 3390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(1946 г.)- 5975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(1947 г.)- 6308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0308FA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(1939 г.)- 527 чел., (1946 г.)- 651 чел., (1947 г.)- 644 чел.</w:t>
      </w:r>
    </w:p>
    <w:p w14:paraId="0A83CBA8" w14:textId="25AFDFEB"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(06.1942 г.)- Быков, (1948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Г.А. Седов, (16.03.1987 г.-)- Ю.В. Гусев. Гендиректор (1992 г.-)- Ю.В. Гусев.</w:t>
      </w:r>
    </w:p>
    <w:p w14:paraId="7D28A5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(1948 г.)- А.А. Демин.</w:t>
      </w:r>
    </w:p>
    <w:p w14:paraId="1B5C5C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Производство:</w:t>
      </w:r>
      <w:r w:rsidRPr="0044524F">
        <w:rPr>
          <w:rFonts w:ascii="Times New Roman" w:hAnsi="Times New Roman"/>
          <w:color w:val="000000" w:themeColor="text1"/>
          <w:sz w:val="16"/>
          <w:szCs w:val="16"/>
        </w:rPr>
        <w:t xml:space="preserve"> поршневые насосы «ДН» (193 7-); полуавтоматы ФОРА (1937-); корпуса 82-мм мин (1942); турбины: В059, ГТ2, ВТЗ, ВТ2; электродвигатели, печь «Чудо» (1947) (11982).</w:t>
      </w:r>
    </w:p>
    <w:p w14:paraId="416123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6A654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декабря 1933 г. Постановлением Наркомата тяжелой промышленности СССР Завод "Химметалл", созданный 29 июня 1927 г. был создан Завод "Химметалл" на основании положения о Государственных промышленных трестах, был переименован в Центральный экспериментальный завод пластических масс им. Фрунзе. Решением Совета Народных Комиссаров СССР от 21 июля 1937 г. переименован в Государственный союзный Московский экспериментальный завод пластических масс (МЭЗ) им. Фрунзе. Приказом Наркомата химической промышленности СССР от 7 апреля 1943 г. на базе завода был организован НИИЭЗ им. Фрунзе. Приказом Министерства химической промышленности СССР от 6 декабря 1952 г. завод выделен из состава института, который был переименован в Научно-исследовательский институт пластических масс (НИИПМ) (12102). </w:t>
      </w:r>
    </w:p>
    <w:p w14:paraId="75F41B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0BD588C" w14:textId="77777777" w:rsidR="004F4BE1" w:rsidRPr="0044524F" w:rsidRDefault="004F4BE1" w:rsidP="009654CF">
      <w:pPr>
        <w:pStyle w:val="rtejustify"/>
        <w:spacing w:before="0" w:after="0"/>
        <w:rPr>
          <w:color w:val="000000" w:themeColor="text1"/>
          <w:sz w:val="16"/>
          <w:szCs w:val="16"/>
        </w:rPr>
      </w:pPr>
      <w:r w:rsidRPr="0044524F">
        <w:rPr>
          <w:rStyle w:val="af0"/>
          <w:bCs/>
          <w:i w:val="0"/>
          <w:color w:val="000000" w:themeColor="text1"/>
          <w:sz w:val="16"/>
          <w:szCs w:val="16"/>
        </w:rPr>
        <w:t>5 декабря</w:t>
      </w:r>
      <w:r w:rsidRPr="0044524F">
        <w:rPr>
          <w:color w:val="000000" w:themeColor="text1"/>
          <w:sz w:val="16"/>
          <w:szCs w:val="16"/>
        </w:rPr>
        <w:t xml:space="preserve"> 1933. Протокол заседания Политбюро ЦК ВКП (б) № 150. </w:t>
      </w:r>
      <w:hyperlink r:id="rId393" w:anchor="showunit&amp;id=88462" w:history="1">
        <w:r w:rsidRPr="0044524F">
          <w:rPr>
            <w:rStyle w:val="a5"/>
            <w:color w:val="000000" w:themeColor="text1"/>
            <w:sz w:val="16"/>
            <w:szCs w:val="16"/>
          </w:rPr>
          <w:t>4. О паровозах серии «ЭМ»</w:t>
        </w:r>
      </w:hyperlink>
      <w:r w:rsidRPr="0044524F">
        <w:rPr>
          <w:color w:val="000000" w:themeColor="text1"/>
          <w:sz w:val="16"/>
          <w:szCs w:val="16"/>
        </w:rPr>
        <w:t xml:space="preserve"> (Кишкин, Ягода, Орджоникидзе, Андреев, Рудзутак). Решено: Поручить комиссии в составе Ворошилова (председатель), Орджоникидзе и Андреева с привлечением специалистов-техников и практиков, непосредственно работающих по паровозам, и с вызовом всех заинтересованных лиц — проверить пригодность конструкции паровоза серии "ЭМ", установить необходимость его улучшения или замены другим типом паровоза и внести в Политбюро конкретные предложения. Той же комиссии обсудить вопрос о целесообразности и сроках перехода на производство паровоза “декапот”. </w:t>
      </w:r>
      <w:hyperlink r:id="rId394" w:anchor="showunit&amp;id=88473" w:history="1">
        <w:r w:rsidRPr="0044524F">
          <w:rPr>
            <w:rStyle w:val="a5"/>
            <w:color w:val="000000" w:themeColor="text1"/>
            <w:sz w:val="16"/>
            <w:szCs w:val="16"/>
          </w:rPr>
          <w:t>5. О реконструкции и строительстве автозаводов</w:t>
        </w:r>
      </w:hyperlink>
      <w:r w:rsidRPr="0044524F">
        <w:rPr>
          <w:color w:val="000000" w:themeColor="text1"/>
          <w:sz w:val="16"/>
          <w:szCs w:val="16"/>
        </w:rPr>
        <w:t xml:space="preserve"> (ПБ от 19 августа 1933 г., пр. № 144, п. 47/26</w:t>
      </w:r>
      <w:r w:rsidRPr="0044524F">
        <w:rPr>
          <w:color w:val="000000" w:themeColor="text1"/>
          <w:sz w:val="16"/>
          <w:szCs w:val="16"/>
        </w:rPr>
        <w:noBreakHyphen/>
        <w:t xml:space="preserve">4). Решено отложить до следующего заседания по просьбе Пахомова и Прамнека. </w:t>
      </w:r>
      <w:hyperlink r:id="rId395" w:anchor="showunit&amp;id=88452" w:history="1">
        <w:r w:rsidRPr="0044524F">
          <w:rPr>
            <w:rStyle w:val="a5"/>
            <w:color w:val="000000" w:themeColor="text1"/>
            <w:sz w:val="16"/>
            <w:szCs w:val="16"/>
          </w:rPr>
          <w:t>30/12. О закупке в Америке сторожевых судов.</w:t>
        </w:r>
      </w:hyperlink>
      <w:r w:rsidRPr="0044524F">
        <w:rPr>
          <w:color w:val="000000" w:themeColor="text1"/>
          <w:sz w:val="16"/>
          <w:szCs w:val="16"/>
        </w:rPr>
        <w:t xml:space="preserve"> (ПБ от 19 ноября 1933 г.). — ОП. Решено поручить Литвинову выяснить у министра финансов Моргентау количество сторожевых судов, тоннаж каждого из них, скорость и вооруженность, а также, на каких условиях правительство САСШ согласилось бы продать нам все эти суда или часть их. </w:t>
      </w:r>
      <w:hyperlink r:id="rId396" w:anchor="showunit&amp;id=88470" w:history="1">
        <w:r w:rsidRPr="0044524F">
          <w:rPr>
            <w:rStyle w:val="a5"/>
            <w:color w:val="000000" w:themeColor="text1"/>
            <w:sz w:val="16"/>
            <w:szCs w:val="16"/>
          </w:rPr>
          <w:t>47/29. Вопрос Гамарника (о закупках за границей морских моторов)</w:t>
        </w:r>
      </w:hyperlink>
      <w:r w:rsidRPr="0044524F">
        <w:rPr>
          <w:color w:val="000000" w:themeColor="text1"/>
          <w:sz w:val="16"/>
          <w:szCs w:val="16"/>
        </w:rPr>
        <w:t xml:space="preserve"> (ПБ от 19 ноября 1933 г.). — ОП. Решено: Считать необходимым закупить за границей 50 штук наиболее современных морских моторов авиационного типа (с реверсивными установками) для торпедных катеров. НКТП совместно с НКВМ и НКВТ выяснить и доложить Политбюро не позднее 1</w:t>
      </w:r>
      <w:r w:rsidRPr="0044524F">
        <w:rPr>
          <w:color w:val="000000" w:themeColor="text1"/>
          <w:sz w:val="16"/>
          <w:szCs w:val="16"/>
        </w:rPr>
        <w:noBreakHyphen/>
        <w:t>12</w:t>
      </w:r>
      <w:r w:rsidRPr="0044524F">
        <w:rPr>
          <w:color w:val="000000" w:themeColor="text1"/>
          <w:sz w:val="16"/>
          <w:szCs w:val="16"/>
        </w:rPr>
        <w:noBreakHyphen/>
        <w:t xml:space="preserve">1933, у каких фирм можно реализовать указанный заказ, стоимость, кратчайшие сроки получения и основные технические данные моторов. </w:t>
      </w:r>
      <w:hyperlink r:id="rId397" w:anchor="showunit&amp;id=88481" w:history="1">
        <w:r w:rsidRPr="0044524F">
          <w:rPr>
            <w:rStyle w:val="a5"/>
            <w:color w:val="000000" w:themeColor="text1"/>
            <w:sz w:val="16"/>
            <w:szCs w:val="16"/>
          </w:rPr>
          <w:t>57/38. О Магнитогорском металлургическом заводе</w:t>
        </w:r>
      </w:hyperlink>
      <w:r w:rsidRPr="0044524F">
        <w:rPr>
          <w:color w:val="000000" w:themeColor="text1"/>
          <w:sz w:val="16"/>
          <w:szCs w:val="16"/>
        </w:rPr>
        <w:t xml:space="preserve"> (ПБ от 15 ноября 1933 г., пр. № 149, п. 5), (ПБ от 21 ноября 1933 г.). Решено утвердить предложения комиссии ПБ (см. приложение). </w:t>
      </w:r>
      <w:hyperlink r:id="rId398" w:anchor="showunit&amp;id=88366" w:history="1">
        <w:r w:rsidRPr="0044524F">
          <w:rPr>
            <w:rStyle w:val="a5"/>
            <w:color w:val="000000" w:themeColor="text1"/>
            <w:sz w:val="16"/>
            <w:szCs w:val="16"/>
          </w:rPr>
          <w:t>107/88. Вопрос КО</w:t>
        </w:r>
      </w:hyperlink>
      <w:r w:rsidRPr="0044524F">
        <w:rPr>
          <w:color w:val="000000" w:themeColor="text1"/>
          <w:sz w:val="16"/>
          <w:szCs w:val="16"/>
        </w:rPr>
        <w:t xml:space="preserve"> (ПБ от 1 декабря 1933 г.). — ОП. Решено утвердить постановление СТО об отпуске НКТП в 1934 г. валюты в размере 6025 тыс. руб. для закупки моторов «Райт-Циклон» и «Испано-Сюиза». </w:t>
      </w:r>
      <w:hyperlink r:id="rId399" w:anchor="showunit&amp;id=88368" w:history="1">
        <w:r w:rsidRPr="0044524F">
          <w:rPr>
            <w:rStyle w:val="a5"/>
            <w:color w:val="000000" w:themeColor="text1"/>
            <w:sz w:val="16"/>
            <w:szCs w:val="16"/>
          </w:rPr>
          <w:t>109/90. Вопросы НКВМ (кадры)</w:t>
        </w:r>
      </w:hyperlink>
      <w:r w:rsidRPr="0044524F">
        <w:rPr>
          <w:color w:val="000000" w:themeColor="text1"/>
          <w:sz w:val="16"/>
          <w:szCs w:val="16"/>
        </w:rPr>
        <w:t xml:space="preserve"> (ПБ от 1 декабря 1933 г.). Решено утвердить следующие перемещения и назначения по НКВМ: 1) Командующего войсками CABО Дыбенко П. Е. перевести командующим войсками ПРИВО. 2) Помощника командующего войсками MBО Великанова М. Д. назначить командующим войсками САВО. 3) Командующего Забайкальской группы войск Горбачева Б. С перевести помощником командующего войсками MBО. 4) Заместителя начальника УММ РККА Грязнова И. К. назначить командующим Забайкальской группы войск. 5) Командующего Кавказской краснознаменной армией Смолина И. И. назначить начальником Военной электротехнической Академии РККА. 6) Командующего войсками СИБВО Левандовского М. К. перевести командующим Кавказской краснознаменной армии. 7) Помощника командующего войсками СИБВО Гайлита Я. П. назначить командующим войсками СИБВО. 8) Члена РВС СКВО Кожевникова С. Н. освободить от занимаемой должности в связи с командированием его на учебу в Особую группу Военной академии РККА. 9) Члена РВС ККА Шифреса А. Л. перевести членом РВС СКВО. </w:t>
      </w:r>
      <w:hyperlink r:id="rId400" w:anchor="showunit&amp;id=88395" w:history="1">
        <w:r w:rsidRPr="0044524F">
          <w:rPr>
            <w:rStyle w:val="a5"/>
            <w:color w:val="000000" w:themeColor="text1"/>
            <w:sz w:val="16"/>
            <w:szCs w:val="16"/>
          </w:rPr>
          <w:t>133/115. О военно-морском судостроении в 1934 г.</w:t>
        </w:r>
      </w:hyperlink>
      <w:r w:rsidRPr="0044524F">
        <w:rPr>
          <w:color w:val="000000" w:themeColor="text1"/>
          <w:sz w:val="16"/>
          <w:szCs w:val="16"/>
        </w:rPr>
        <w:t xml:space="preserve"> (ПБ от 5 ноября 1933 г., п. № 149, п. 36/22</w:t>
      </w:r>
      <w:r w:rsidRPr="0044524F">
        <w:rPr>
          <w:color w:val="000000" w:themeColor="text1"/>
          <w:sz w:val="16"/>
          <w:szCs w:val="16"/>
        </w:rPr>
        <w:noBreakHyphen/>
        <w:t>4). Решено вопрос снять (15462).</w:t>
      </w:r>
    </w:p>
    <w:p w14:paraId="6AFAC281" w14:textId="77777777" w:rsidR="004F4BE1" w:rsidRPr="0044524F" w:rsidRDefault="004F4BE1" w:rsidP="009654CF">
      <w:pPr>
        <w:pStyle w:val="rtejustify"/>
        <w:spacing w:before="0" w:after="0"/>
        <w:rPr>
          <w:color w:val="000000" w:themeColor="text1"/>
          <w:sz w:val="16"/>
          <w:szCs w:val="16"/>
        </w:rPr>
      </w:pPr>
    </w:p>
    <w:p w14:paraId="3104D24A"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21042B70"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80337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был отменен сухой закон в США (3481).</w:t>
      </w:r>
    </w:p>
    <w:p w14:paraId="6E6BDB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ACDFFDA"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BDD0F76"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AA6DD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декабря 1933 И-14 БМ вновь вышел на аэродром и прошел заводские испытания (2287,131).</w:t>
      </w:r>
    </w:p>
    <w:p w14:paraId="2E86F4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E4A581D"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декаб</w:t>
      </w:r>
      <w:r w:rsidRPr="0044524F">
        <w:rPr>
          <w:rFonts w:ascii="Times New Roman" w:hAnsi="Times New Roman"/>
          <w:color w:val="000000" w:themeColor="text1"/>
          <w:sz w:val="16"/>
          <w:szCs w:val="16"/>
        </w:rPr>
        <w:softHyphen/>
        <w:t>ря 1933 г. заводские испытания А-6 закончились, после чего 22 декабря машину передали воен</w:t>
      </w:r>
      <w:r w:rsidRPr="0044524F">
        <w:rPr>
          <w:rFonts w:ascii="Times New Roman" w:hAnsi="Times New Roman"/>
          <w:color w:val="000000" w:themeColor="text1"/>
          <w:sz w:val="16"/>
          <w:szCs w:val="16"/>
        </w:rPr>
        <w:softHyphen/>
        <w:t>ным испытателям для продолжения тестирования. Со</w:t>
      </w:r>
      <w:r w:rsidRPr="0044524F">
        <w:rPr>
          <w:rFonts w:ascii="Times New Roman" w:hAnsi="Times New Roman"/>
          <w:color w:val="000000" w:themeColor="text1"/>
          <w:sz w:val="16"/>
          <w:szCs w:val="16"/>
        </w:rPr>
        <w:softHyphen/>
        <w:t>гласно данным А.М. Изаксона, 5 (или 6) января 1934 г. при испытании А-6 в НИИ ВВС при резком выходе из пикиро</w:t>
      </w:r>
      <w:r w:rsidRPr="0044524F">
        <w:rPr>
          <w:rFonts w:ascii="Times New Roman" w:hAnsi="Times New Roman"/>
          <w:color w:val="000000" w:themeColor="text1"/>
          <w:sz w:val="16"/>
          <w:szCs w:val="16"/>
        </w:rPr>
        <w:softHyphen/>
        <w:t>вания сложились лопасти ротора и произошла катастро</w:t>
      </w:r>
      <w:r w:rsidRPr="0044524F">
        <w:rPr>
          <w:rFonts w:ascii="Times New Roman" w:hAnsi="Times New Roman"/>
          <w:color w:val="000000" w:themeColor="text1"/>
          <w:sz w:val="16"/>
          <w:szCs w:val="16"/>
        </w:rPr>
        <w:softHyphen/>
        <w:t>фа.</w:t>
      </w:r>
    </w:p>
    <w:p w14:paraId="05235F21"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и характеристики А-6</w:t>
      </w:r>
    </w:p>
    <w:p w14:paraId="39051B94"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TOC \o "1-5" \h \z </w:instrText>
      </w:r>
      <w:r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rPr>
        <w:t>Диаметр ротора (м)</w:t>
      </w:r>
      <w:r w:rsidRPr="0044524F">
        <w:rPr>
          <w:rFonts w:ascii="Times New Roman" w:hAnsi="Times New Roman"/>
          <w:color w:val="000000" w:themeColor="text1"/>
          <w:sz w:val="16"/>
          <w:szCs w:val="16"/>
        </w:rPr>
        <w:tab/>
        <w:t>11,0</w:t>
      </w:r>
    </w:p>
    <w:p w14:paraId="13FFC526"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без ротора (м)</w:t>
      </w:r>
      <w:r w:rsidRPr="0044524F">
        <w:rPr>
          <w:rFonts w:ascii="Times New Roman" w:hAnsi="Times New Roman"/>
          <w:color w:val="000000" w:themeColor="text1"/>
          <w:sz w:val="16"/>
          <w:szCs w:val="16"/>
        </w:rPr>
        <w:tab/>
        <w:t>6,17</w:t>
      </w:r>
    </w:p>
    <w:p w14:paraId="563B081D"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 линии полета</w:t>
      </w:r>
      <w:r w:rsidRPr="0044524F">
        <w:rPr>
          <w:rFonts w:ascii="Times New Roman" w:hAnsi="Times New Roman"/>
          <w:color w:val="000000" w:themeColor="text1"/>
          <w:sz w:val="16"/>
          <w:szCs w:val="16"/>
        </w:rPr>
        <w:tab/>
        <w:t>(м)</w:t>
      </w:r>
      <w:r w:rsidRPr="0044524F">
        <w:rPr>
          <w:rFonts w:ascii="Times New Roman" w:hAnsi="Times New Roman"/>
          <w:color w:val="000000" w:themeColor="text1"/>
          <w:sz w:val="16"/>
          <w:szCs w:val="16"/>
        </w:rPr>
        <w:tab/>
        <w:t>3,0</w:t>
      </w:r>
    </w:p>
    <w:p w14:paraId="31B31B0D"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(м)</w:t>
      </w:r>
      <w:r w:rsidRPr="0044524F">
        <w:rPr>
          <w:rFonts w:ascii="Times New Roman" w:hAnsi="Times New Roman"/>
          <w:color w:val="000000" w:themeColor="text1"/>
          <w:sz w:val="16"/>
          <w:szCs w:val="16"/>
        </w:rPr>
        <w:tab/>
        <w:t>6,6</w:t>
      </w:r>
    </w:p>
    <w:p w14:paraId="3F218562"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(кг)</w:t>
      </w:r>
      <w:r w:rsidRPr="0044524F">
        <w:rPr>
          <w:rFonts w:ascii="Times New Roman" w:hAnsi="Times New Roman"/>
          <w:color w:val="000000" w:themeColor="text1"/>
          <w:sz w:val="16"/>
          <w:szCs w:val="16"/>
        </w:rPr>
        <w:tab/>
        <w:t>562</w:t>
      </w:r>
    </w:p>
    <w:p w14:paraId="0406DB45"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(кг)</w:t>
      </w:r>
      <w:r w:rsidRPr="0044524F">
        <w:rPr>
          <w:rFonts w:ascii="Times New Roman" w:hAnsi="Times New Roman"/>
          <w:color w:val="000000" w:themeColor="text1"/>
          <w:sz w:val="16"/>
          <w:szCs w:val="16"/>
        </w:rPr>
        <w:tab/>
        <w:t>815</w:t>
      </w:r>
    </w:p>
    <w:p w14:paraId="1616914E"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w:t>
      </w:r>
      <w:r w:rsidRPr="0044524F">
        <w:rPr>
          <w:rFonts w:ascii="Times New Roman" w:hAnsi="Times New Roman"/>
          <w:color w:val="000000" w:themeColor="text1"/>
          <w:sz w:val="16"/>
          <w:szCs w:val="16"/>
        </w:rPr>
        <w:tab/>
        <w:t>у земли (км/ч)</w:t>
      </w:r>
      <w:r w:rsidRPr="0044524F">
        <w:rPr>
          <w:rFonts w:ascii="Times New Roman" w:hAnsi="Times New Roman"/>
          <w:color w:val="000000" w:themeColor="text1"/>
          <w:sz w:val="16"/>
          <w:szCs w:val="16"/>
        </w:rPr>
        <w:tab/>
        <w:t>135</w:t>
      </w:r>
    </w:p>
    <w:p w14:paraId="7AD10964"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минимальная</w:t>
      </w:r>
      <w:r w:rsidRPr="0044524F">
        <w:rPr>
          <w:rFonts w:ascii="Times New Roman" w:hAnsi="Times New Roman"/>
          <w:color w:val="000000" w:themeColor="text1"/>
          <w:sz w:val="16"/>
          <w:szCs w:val="16"/>
        </w:rPr>
        <w:tab/>
        <w:t>у земли (км/ч)</w:t>
      </w:r>
      <w:r w:rsidRPr="0044524F">
        <w:rPr>
          <w:rFonts w:ascii="Times New Roman" w:hAnsi="Times New Roman"/>
          <w:color w:val="000000" w:themeColor="text1"/>
          <w:sz w:val="16"/>
          <w:szCs w:val="16"/>
        </w:rPr>
        <w:tab/>
        <w:t>55</w:t>
      </w:r>
    </w:p>
    <w:p w14:paraId="40623A0A"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(м)</w:t>
      </w:r>
      <w:r w:rsidRPr="0044524F">
        <w:rPr>
          <w:rFonts w:ascii="Times New Roman" w:hAnsi="Times New Roman"/>
          <w:color w:val="000000" w:themeColor="text1"/>
          <w:sz w:val="16"/>
          <w:szCs w:val="16"/>
        </w:rPr>
        <w:tab/>
        <w:t>1600</w:t>
      </w:r>
    </w:p>
    <w:p w14:paraId="13595D17"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(км)</w:t>
      </w:r>
      <w:r w:rsidRPr="0044524F">
        <w:rPr>
          <w:rFonts w:ascii="Times New Roman" w:hAnsi="Times New Roman"/>
          <w:color w:val="000000" w:themeColor="text1"/>
          <w:sz w:val="16"/>
          <w:szCs w:val="16"/>
        </w:rPr>
        <w:tab/>
        <w:t>220</w:t>
      </w:r>
    </w:p>
    <w:p w14:paraId="6654EB75"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разбега (м)</w:t>
      </w:r>
      <w:r w:rsidRPr="0044524F">
        <w:rPr>
          <w:rFonts w:ascii="Times New Roman" w:hAnsi="Times New Roman"/>
          <w:color w:val="000000" w:themeColor="text1"/>
          <w:sz w:val="16"/>
          <w:szCs w:val="16"/>
        </w:rPr>
        <w:tab/>
        <w:t>65</w:t>
      </w:r>
      <w:r w:rsidRPr="0044524F">
        <w:rPr>
          <w:rFonts w:ascii="Times New Roman" w:hAnsi="Times New Roman"/>
          <w:color w:val="000000" w:themeColor="text1"/>
          <w:sz w:val="16"/>
          <w:szCs w:val="16"/>
        </w:rPr>
        <w:fldChar w:fldCharType="end"/>
      </w:r>
      <w:r w:rsidRPr="0044524F">
        <w:rPr>
          <w:rFonts w:ascii="Times New Roman" w:hAnsi="Times New Roman"/>
          <w:color w:val="000000" w:themeColor="text1"/>
          <w:sz w:val="16"/>
          <w:szCs w:val="16"/>
        </w:rPr>
        <w:t xml:space="preserve"> (20361).</w:t>
      </w:r>
    </w:p>
    <w:p w14:paraId="62D9D8DE" w14:textId="77777777" w:rsidR="00201255" w:rsidRPr="0044524F" w:rsidRDefault="00201255" w:rsidP="009654CF">
      <w:pPr>
        <w:shd w:val="clear" w:color="auto" w:fill="FFFFFF"/>
        <w:spacing w:after="0" w:line="240" w:lineRule="auto"/>
        <w:jc w:val="both"/>
        <w:rPr>
          <w:rFonts w:ascii="Times New Roman" w:hAnsi="Times New Roman"/>
          <w:color w:val="000000" w:themeColor="text1"/>
          <w:sz w:val="16"/>
          <w:szCs w:val="16"/>
        </w:rPr>
      </w:pPr>
    </w:p>
    <w:p w14:paraId="0A6A4946"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A89AC04"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98E8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декабря 1933 ХПХ представил на рассмотрение Нач. УММ РККА проект БТ с 76-мм пушкой. Одобрили за исключением установки пулемета рядом с водителем: “В выполненном Вами проекте БТ-7 с 76-мм пушкой, установку пулемета рядом с механиком-водителем упразднить из-за затруднений в действиях механика-водителя и невозможности заряжать и стрелять водителем (3881,3).</w:t>
      </w:r>
    </w:p>
    <w:p w14:paraId="4B0A0E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BD9AE71"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905FC44"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ABA7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декабря 1933 состоялось совещание у Петрожитского по вопросам разногласий по эталонам самолетов на 1-ю половину 1933:</w:t>
      </w:r>
    </w:p>
    <w:p w14:paraId="253387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И-5 М-22 (установка металлического винта, установка поворотных стоек, облегчение веса самолета на 100-150 км согласно требованиям УВВС, исправление моторамы установка М-22 с помпой Хорнет, установка обтекателей на колеса, приборная доска).</w:t>
      </w:r>
    </w:p>
    <w:p w14:paraId="44EA5E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эталона - т.к. срок выполнения ЦАГИ ряда конструкторских переделок отодвинут против ранее установленного, установить срок предъявления эталона заводом 21 3 января 1933.</w:t>
      </w:r>
    </w:p>
    <w:p w14:paraId="6E49B0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Р-5 М-17 (изменение капотов и каркасов, требование УВВС об установке колпаков для слепых полетов, облегчение веса самолета на 300 кг согласно требованиям УВВС).</w:t>
      </w:r>
    </w:p>
    <w:p w14:paraId="1C1538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предъявления эталона - 25 декабря с.г. без колпака для слепых полетов и со старым капотом.</w:t>
      </w:r>
    </w:p>
    <w:p w14:paraId="751FE7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Р-6 2М-17 (устранение вибраций моторной установки, корзинки для радиаторов для устранения течи, изменение конструкции капотов, разрезные элероны для облегчения управления ими, изменение конструкции секторов управления моторами, колпак для слепых полетов, фото и электрооборудование, ограничитель стрельбы, модернизация кормовой башни, установка мотора М-17 с помпой Хорнет) Петрожицкий (2291,96).</w:t>
      </w:r>
    </w:p>
    <w:p w14:paraId="63F4AD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CB770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7 декабря 1933 Нач. ВВС Алкснис писал: "На 20 часов назначаю у себя совещание по этим техтребованиям (к И-17 и ДИ-7). Хотелось бы на обоих самолётах иметь более сильное и более дальнобойное вооружение". Интересно, что в дальнейшем упоминание двухместного истребителя ДИ-7 не встречается. На каком-то этапе развития событий возник вариант установки на ДИ-7 двух спаренных двигателей, одного за другим, вращающих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начале 1935 г. усилился в связи с развёртыванием проектных работ по созданию рекордного скоростного самолёта.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647445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636ED43" w14:textId="77777777" w:rsidR="00917A7A" w:rsidRPr="00142305" w:rsidRDefault="00917A7A" w:rsidP="00917A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декабря 1933 по поводу И-17 и ДИ-7 писал «На 20 часов назна</w:t>
      </w:r>
      <w:r w:rsidRPr="00142305">
        <w:rPr>
          <w:rFonts w:ascii="Times New Roman" w:hAnsi="Times New Roman"/>
          <w:color w:val="0070C0"/>
          <w:sz w:val="16"/>
          <w:szCs w:val="16"/>
        </w:rPr>
        <w:softHyphen/>
        <w:t>чаю у себя совещание по этим техтребованиям. Хотелось бы на обоих самолетах иметь более сильное и более дальнобойное воору</w:t>
      </w:r>
      <w:r w:rsidRPr="00142305">
        <w:rPr>
          <w:rFonts w:ascii="Times New Roman" w:hAnsi="Times New Roman"/>
          <w:color w:val="0070C0"/>
          <w:sz w:val="16"/>
          <w:szCs w:val="16"/>
        </w:rPr>
        <w:softHyphen/>
        <w:t>жение» (34927).</w:t>
      </w:r>
    </w:p>
    <w:p w14:paraId="3439178E" w14:textId="77777777" w:rsidR="00917A7A" w:rsidRPr="00142305" w:rsidRDefault="00917A7A" w:rsidP="00917A7A">
      <w:pPr>
        <w:spacing w:after="0" w:line="240" w:lineRule="auto"/>
        <w:jc w:val="both"/>
        <w:rPr>
          <w:rFonts w:ascii="Times New Roman" w:hAnsi="Times New Roman"/>
          <w:color w:val="0070C0"/>
          <w:sz w:val="16"/>
          <w:szCs w:val="16"/>
        </w:rPr>
      </w:pPr>
    </w:p>
    <w:p w14:paraId="292DB98F" w14:textId="77777777" w:rsidR="00201255" w:rsidRPr="0044524F" w:rsidRDefault="00201255" w:rsidP="009654CF">
      <w:pPr>
        <w:pStyle w:val="aff0"/>
        <w:spacing w:line="240" w:lineRule="auto"/>
        <w:rPr>
          <w:rFonts w:ascii="Times New Roman" w:hAnsi="Times New Roman" w:cs="Times New Roman"/>
          <w:i w:val="0"/>
          <w:iCs w:val="0"/>
          <w:color w:val="000000" w:themeColor="text1"/>
          <w:sz w:val="16"/>
          <w:szCs w:val="16"/>
          <w:lang w:val="ru-RU" w:eastAsia="ru-RU" w:bidi="ru-RU"/>
        </w:rPr>
      </w:pPr>
      <w:r w:rsidRPr="0044524F">
        <w:rPr>
          <w:rFonts w:ascii="Times New Roman" w:hAnsi="Times New Roman" w:cs="Times New Roman"/>
          <w:i w:val="0"/>
          <w:iCs w:val="0"/>
          <w:color w:val="000000" w:themeColor="text1"/>
          <w:sz w:val="16"/>
          <w:szCs w:val="16"/>
          <w:lang w:val="ru-RU" w:eastAsia="ru-RU" w:bidi="ru-RU"/>
        </w:rPr>
        <w:t>7 декабря 1933 г. в приказе начальника ГУАП Г.Н. Королева отмечалось, что, хотя «МДР-4 поставлен на производство на заводе №31, обра</w:t>
      </w:r>
      <w:r w:rsidRPr="0044524F">
        <w:rPr>
          <w:rFonts w:ascii="Times New Roman" w:hAnsi="Times New Roman" w:cs="Times New Roman"/>
          <w:i w:val="0"/>
          <w:iCs w:val="0"/>
          <w:color w:val="000000" w:themeColor="text1"/>
          <w:sz w:val="16"/>
          <w:szCs w:val="16"/>
          <w:lang w:val="ru-RU" w:eastAsia="ru-RU" w:bidi="ru-RU"/>
        </w:rPr>
        <w:softHyphen/>
        <w:t>зец этой машины и чертежи еще не проверены...». В ре</w:t>
      </w:r>
      <w:r w:rsidRPr="0044524F">
        <w:rPr>
          <w:rFonts w:ascii="Times New Roman" w:hAnsi="Times New Roman" w:cs="Times New Roman"/>
          <w:i w:val="0"/>
          <w:iCs w:val="0"/>
          <w:color w:val="000000" w:themeColor="text1"/>
          <w:sz w:val="16"/>
          <w:szCs w:val="16"/>
          <w:lang w:val="ru-RU" w:eastAsia="ru-RU" w:bidi="ru-RU"/>
        </w:rPr>
        <w:softHyphen/>
        <w:t>зультате от выпуска МДР-4 на заводе №125 в Иркутске отказались, оставив это задание только таганрогским само</w:t>
      </w:r>
      <w:r w:rsidRPr="0044524F">
        <w:rPr>
          <w:rFonts w:ascii="Times New Roman" w:hAnsi="Times New Roman" w:cs="Times New Roman"/>
          <w:i w:val="0"/>
          <w:iCs w:val="0"/>
          <w:color w:val="000000" w:themeColor="text1"/>
          <w:sz w:val="16"/>
          <w:szCs w:val="16"/>
          <w:lang w:val="ru-RU" w:eastAsia="ru-RU" w:bidi="ru-RU"/>
        </w:rPr>
        <w:softHyphen/>
        <w:t>летостроителям.</w:t>
      </w:r>
    </w:p>
    <w:p w14:paraId="5A3463D6" w14:textId="77777777" w:rsidR="00201255" w:rsidRPr="0044524F" w:rsidRDefault="00201255"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lang w:eastAsia="ru-RU" w:bidi="ru-RU"/>
        </w:rPr>
        <w:t>МДР-4 (АНТ-27) с размахом крыла 39,4 м строился в Конструкторском отделе сектора опыт</w:t>
      </w:r>
      <w:r w:rsidRPr="0044524F">
        <w:rPr>
          <w:rFonts w:ascii="Times New Roman" w:hAnsi="Times New Roman"/>
          <w:color w:val="000000" w:themeColor="text1"/>
          <w:sz w:val="16"/>
          <w:szCs w:val="16"/>
          <w:lang w:eastAsia="ru-RU" w:bidi="ru-RU"/>
        </w:rPr>
        <w:softHyphen/>
        <w:t>ного строительства (КОСОС) ЦАГИ, который предоставлял техническую документацию и оказывал помощь в процес</w:t>
      </w:r>
      <w:r w:rsidRPr="0044524F">
        <w:rPr>
          <w:rFonts w:ascii="Times New Roman" w:hAnsi="Times New Roman"/>
          <w:color w:val="000000" w:themeColor="text1"/>
          <w:sz w:val="16"/>
          <w:szCs w:val="16"/>
          <w:lang w:eastAsia="ru-RU" w:bidi="ru-RU"/>
        </w:rPr>
        <w:softHyphen/>
        <w:t>се внедрения этой машины в производство. Запуск в серию этого гидросамолета шел для завода № 31 очень сложно, поскольку ЦАГИ постоянно вносил измене</w:t>
      </w:r>
      <w:r w:rsidRPr="0044524F">
        <w:rPr>
          <w:rFonts w:ascii="Times New Roman" w:hAnsi="Times New Roman"/>
          <w:color w:val="000000" w:themeColor="text1"/>
          <w:sz w:val="16"/>
          <w:szCs w:val="16"/>
          <w:lang w:eastAsia="ru-RU" w:bidi="ru-RU"/>
        </w:rPr>
        <w:softHyphen/>
        <w:t>ния в чертежи. Кроме того, технологическую документацию и чертежи МДР-4 необходимо было передать в Иркутск на завод №125, где также планировалось начать производ</w:t>
      </w:r>
      <w:r w:rsidRPr="0044524F">
        <w:rPr>
          <w:rFonts w:ascii="Times New Roman" w:hAnsi="Times New Roman"/>
          <w:color w:val="000000" w:themeColor="text1"/>
          <w:sz w:val="16"/>
          <w:szCs w:val="16"/>
          <w:lang w:eastAsia="ru-RU" w:bidi="ru-RU"/>
        </w:rPr>
        <w:softHyphen/>
        <w:t>ство этой летающей лодки. (20325).</w:t>
      </w:r>
    </w:p>
    <w:p w14:paraId="26E6EE1F" w14:textId="77777777" w:rsidR="00201255" w:rsidRPr="0044524F" w:rsidRDefault="00201255" w:rsidP="009654CF">
      <w:pPr>
        <w:pStyle w:val="aff0"/>
        <w:spacing w:line="240" w:lineRule="auto"/>
        <w:rPr>
          <w:rFonts w:ascii="Times New Roman" w:hAnsi="Times New Roman" w:cs="Times New Roman"/>
          <w:color w:val="000000" w:themeColor="text1"/>
          <w:sz w:val="16"/>
          <w:szCs w:val="16"/>
          <w:lang w:val="ru-RU"/>
        </w:rPr>
      </w:pPr>
    </w:p>
    <w:p w14:paraId="5B93C2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декабря 1933 Начальник ВВС РККА Яков Алкснис лично принимал участие в выработке тактико-технических требований: "На 20 часов 7 декабря назначаю у себя совещание по этим техтребованиям. Хотелось бы на обоих самолетах иметь более сильное и более дальнобойное вооружение".</w:t>
      </w:r>
    </w:p>
    <w:p w14:paraId="4E915B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Интересно, что в дальнейшем упоминания двухместного истребителя ДИ-7 не встречаются. На каком-то этапе развития событий возник вариант установки на ДИ-7 двух спаренных двигателей, одного за другим, врашающих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1935 г. усилился в связи с развертыванием проектных работ по созданию рекордного скоростного самолета. В результате моторному заводу № 26 поручили задание на разработку "механической спарки" двигателей М-100 (затем М-103). Позднее работа продолжилась и выразилась в создании экспериментального самолета "С" конструкции Болховитинова. Однако к истории И-17 это уже никоим образом не относилось (12016).</w:t>
      </w:r>
    </w:p>
    <w:p w14:paraId="397087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CFCF5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декабря 1933 Нач. ГУАП Королев писал в Секретариат СТО тов. Базилевичу за № 353/с:</w:t>
      </w:r>
    </w:p>
    <w:p w14:paraId="7F5C40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расчете стоимости</w:t>
      </w:r>
    </w:p>
    <w:p w14:paraId="111216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мотора “Райт-Циклон” исчисляется в долларах и рублях по той причине, что из Америки от нашего Уполномоченного стоимость мотора дана в долларах.</w:t>
      </w:r>
    </w:p>
    <w:p w14:paraId="7E0290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Стоимость доллара принята в 2 руб., исходя из того, что при покупках в кредит Наркомвнешторг расчитывает стоимость доллара по твердому курсу, т.е. 1 руб. 94 коп. С добавлением % за кредит и 6% накоадных расходов. Таким образом, исходя из расчетов, следовало бы считать доллар в 2 руб. 17 коп.</w:t>
      </w:r>
    </w:p>
    <w:p w14:paraId="436564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однако, цена на моторы даны сразу из Америки, ориентировочно, поэтому и найдено было возможным расчеты произвести исходя из округленной цифры в 2 руб.</w:t>
      </w:r>
    </w:p>
    <w:p w14:paraId="23DEE6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Производить расчет стоимости по переменному курсу при покупках в кредит не представляется возможным, т.к. на 4.12 курс доллара 1 руб. 26 коп., в то время как на 4.11 он был 1 руб. 30 коп. И неизвестно, какой курс будет на последующие дни.</w:t>
      </w:r>
    </w:p>
    <w:p w14:paraId="393781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Цены же по заказу на моторы Испано-Сюиза из Франции были получены прямо в рублях, почему в переводе не было надобности (4170,27).</w:t>
      </w:r>
    </w:p>
    <w:p w14:paraId="2171F8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C4EB7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декабря 1933 г. начальник ГУАП Королев, сменивший на этом посту пог ибшего в авиационной катастрофе Баранова, приказал "в связи с тем, что МДР-4 поставлен на производство на заводе №31, образец этой машины и чертежи еще не проверены - считать возможным на 1934 г. этот тип морской машины с плана производства завода №125 снять...Признать необходимым на заводе №125 на 1934 г. поставить производство И-14. Для обеспечения организации производства И-14 т.т. Хомскому и Туполеву проработать организационные вопросы... т. Десятникову (ВИАМ) приступить к разработке вопроса по хромомолибденовым трубам с определением методов термической обработки на наших производственных ... заводах. К этой работе привлечь от ЦАГИ т. Сухого...обеспечить приобретение соответствующего оборудования для термических цехов заводов..."</w:t>
      </w:r>
    </w:p>
    <w:p w14:paraId="62F0DE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летающая лодка не стала первенцем нового авиазавода на берегу Ангары. К этой теме здесь вернутся через 55 лет, уже на другом техническом уровне и в другую эпоху. Но сохранится тандем Иркутска и Таганрога. Но об этом позднее. А в декабре 1933 г. нарком тяжелой промышленности С.Орджоникидзе выпустил довольно лаконичный, но строгий приказ, обязывающий Главстройпром выделить заводу № 125 долгожданные 25 сборных домов, 3000 кубометров круглого и 2000 кубометров пиленого леса, 1500 т цемента, 103 000 м провода и 12 ООО бронированного кабеля и 18 т сталеалюми- ниевого провода для ЛЭП. Одновременно на завод направлялись 15 инженеров-механиков, 15 инженеров-технологов, 60 техников-конструкторов и 60 техников-технологов. Из них "доехали" до далекого сибирского города, конечно, не все, но основная масса честно исполнила свой служебный долг и сформировала костяк производственного персонала завода №125.</w:t>
      </w:r>
    </w:p>
    <w:p w14:paraId="4D91AB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1934 г. заводу был дан техпромфин- план, предусматривающий строительство 15 самолетов И-14. Из них два предписывалось построить в третьем квартале, а 13 - в четвертом. К 1 января 1934 г. следовало иметь задел на шесть самолетов И-14 и 3,6 (?) групповых комплекта. Для самолетов 1 -й серии устанавливался цикл производства, равный пяти месяцам и 4,5 месяцев - для 4-й серии. Трудоемкость изготовления И-14 устанавливалась в объеме 16 960 ч.</w:t>
      </w:r>
    </w:p>
    <w:p w14:paraId="685DE4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выполнения плана утверждался штат 390 производственных рабочих и 390 вспомогательных. К этому следует прибавить 250 строителей, 33 человека младшего обслуживающего персонала. Штат И ГР должен был составить 207 человек, служащих - 129 человек. Интересны цифры зарплаты - годовая у рабочих планировалась в 2905 руб., для ИТР - 6600 руб., служащих - 3375 руб.</w:t>
      </w:r>
    </w:p>
    <w:p w14:paraId="75111D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вмешательства энергичного наркома и действий Гамарника, снабжение заметно улучшилось, что и дало возможность достроить завод к августу 1934 г. (12037).</w:t>
      </w:r>
    </w:p>
    <w:p w14:paraId="2CA8E4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6484B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7 по 8 декабря 1933 года в НИИ ВВС апроходили гос. испытания авиационного скорострельного пулемета системы Дегтярева (ДАС).</w:t>
      </w:r>
    </w:p>
    <w:p w14:paraId="7E8E03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292632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15 сектора НИИ ВВС Базенау</w:t>
      </w:r>
    </w:p>
    <w:p w14:paraId="3977EA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Инженер 15 сектора НИИ ВВС Воротников</w:t>
      </w:r>
    </w:p>
    <w:p w14:paraId="48650B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6770708D"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 ДАС с магазинным питанием испытания не выдержал.</w:t>
      </w:r>
    </w:p>
    <w:p w14:paraId="5F9AC5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4F9DC8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возможность использования пулемета "ДАС" в качестве боевого оружия авиации.</w:t>
      </w:r>
    </w:p>
    <w:p w14:paraId="732483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пулемета производились на земле стрельбой со станка пулемета "Виккерс" со станиной конструктора Лукьянова. Питание осуществлялось магазинами пулемета ДА с усиленной заводной пружиной ……………………….</w:t>
      </w:r>
    </w:p>
    <w:p w14:paraId="5ADA4A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Краткое описание:</w:t>
      </w:r>
    </w:p>
    <w:p w14:paraId="03780E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 "ДАС" магазинного питания по устройству аналогичен пулемету ДА за исключением:</w:t>
      </w:r>
    </w:p>
    <w:p w14:paraId="2FDDBA7A"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достижения более высокого темпа стрельбы газовая камера перенесена ближе к патроннику ………………</w:t>
      </w:r>
    </w:p>
    <w:p w14:paraId="68479D87"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Возвратная пружина перенесена в заднее положение в связи с чем изменена конструкция ударника и спусковой рамы.</w:t>
      </w:r>
    </w:p>
    <w:p w14:paraId="1E7341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Выводы:</w:t>
      </w:r>
    </w:p>
    <w:p w14:paraId="46A95B16"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15-й сектор НИИ ВВС считает, что пулемет "ДАС" с магазинным питанием испытания не выдержал по причине несогласованности работы подвижной системы пулемета с работой заводной пружины магазина (7396, 1-5).</w:t>
      </w:r>
    </w:p>
    <w:p w14:paraId="6A182B2A"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3C3CD1BC"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446ED38"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9912D5E" w14:textId="77777777" w:rsidR="00917A7A" w:rsidRPr="00142305" w:rsidRDefault="00917A7A" w:rsidP="00917A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декабря 1933 года директор завода № 8 Мирзаханов докладывал наркому тяжелого машино</w:t>
      </w:r>
      <w:r w:rsidRPr="00142305">
        <w:rPr>
          <w:rFonts w:ascii="Times New Roman" w:hAnsi="Times New Roman"/>
          <w:color w:val="0070C0"/>
          <w:sz w:val="16"/>
          <w:szCs w:val="16"/>
        </w:rPr>
        <w:softHyphen/>
        <w:t>строения Орджоникидзе и его замести</w:t>
      </w:r>
      <w:r w:rsidRPr="00142305">
        <w:rPr>
          <w:rFonts w:ascii="Times New Roman" w:hAnsi="Times New Roman"/>
          <w:color w:val="0070C0"/>
          <w:sz w:val="16"/>
          <w:szCs w:val="16"/>
        </w:rPr>
        <w:softHyphen/>
        <w:t>телю Павлуновскому:</w:t>
      </w:r>
    </w:p>
    <w:p w14:paraId="21861909" w14:textId="77777777" w:rsidR="00917A7A" w:rsidRPr="00142305" w:rsidRDefault="00917A7A" w:rsidP="00917A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настоящее время завод № 8 пережи</w:t>
      </w:r>
      <w:r w:rsidRPr="00142305">
        <w:rPr>
          <w:rFonts w:ascii="Times New Roman" w:hAnsi="Times New Roman"/>
          <w:color w:val="0070C0"/>
          <w:sz w:val="16"/>
          <w:szCs w:val="16"/>
        </w:rPr>
        <w:softHyphen/>
        <w:t>вает переломный момент. Он должен пе</w:t>
      </w:r>
      <w:r w:rsidRPr="00142305">
        <w:rPr>
          <w:rFonts w:ascii="Times New Roman" w:hAnsi="Times New Roman"/>
          <w:color w:val="0070C0"/>
          <w:sz w:val="16"/>
          <w:szCs w:val="16"/>
        </w:rPr>
        <w:softHyphen/>
        <w:t>рейти в производстве танковой пушки на новый образец, ввиду несовершенства существующего образца. Сейчас есть два разработанных образца — один перерабо</w:t>
      </w:r>
      <w:r w:rsidRPr="00142305">
        <w:rPr>
          <w:rFonts w:ascii="Times New Roman" w:hAnsi="Times New Roman"/>
          <w:color w:val="0070C0"/>
          <w:sz w:val="16"/>
          <w:szCs w:val="16"/>
        </w:rPr>
        <w:softHyphen/>
        <w:t>тан с некоторыми улучшениями против существующего образца у нас на заводе объединенной комиссией НКТП (завода) и ГАУ, другой образец переработан тоже с улучшениями против существующего образца группой инженеров-вредителей на нашем заводе по поручению и реше</w:t>
      </w:r>
      <w:r w:rsidRPr="00142305">
        <w:rPr>
          <w:rFonts w:ascii="Times New Roman" w:hAnsi="Times New Roman"/>
          <w:color w:val="0070C0"/>
          <w:sz w:val="16"/>
          <w:szCs w:val="16"/>
        </w:rPr>
        <w:softHyphen/>
        <w:t>нию Правительства. Оценивая оба образ</w:t>
      </w:r>
      <w:r w:rsidRPr="00142305">
        <w:rPr>
          <w:rFonts w:ascii="Times New Roman" w:hAnsi="Times New Roman"/>
          <w:color w:val="0070C0"/>
          <w:sz w:val="16"/>
          <w:szCs w:val="16"/>
        </w:rPr>
        <w:softHyphen/>
        <w:t>ца я считаю, что образец, разработанный группой инженеров-вредителей лучше, он имеет следующие преимущества:</w:t>
      </w:r>
    </w:p>
    <w:p w14:paraId="307B365A" w14:textId="77777777" w:rsidR="00917A7A" w:rsidRPr="00142305" w:rsidRDefault="00917A7A" w:rsidP="00917A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 полуавтоматика дает отказы от 1 до 3%, в то время как в другом образце дает до 30%, а зимой почти совершенно отка</w:t>
      </w:r>
      <w:r w:rsidRPr="00142305">
        <w:rPr>
          <w:rFonts w:ascii="Times New Roman" w:hAnsi="Times New Roman"/>
          <w:color w:val="0070C0"/>
          <w:sz w:val="16"/>
          <w:szCs w:val="16"/>
        </w:rPr>
        <w:softHyphen/>
        <w:t>зывает;</w:t>
      </w:r>
    </w:p>
    <w:p w14:paraId="01E0EA80" w14:textId="77777777" w:rsidR="00917A7A" w:rsidRPr="00142305" w:rsidRDefault="00917A7A" w:rsidP="00917A7A">
      <w:pPr>
        <w:widowControl w:val="0"/>
        <w:tabs>
          <w:tab w:val="left" w:pos="46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2). противооткатные средства имеют больший запас прочности, в то время как в другом образце есть случае разрыва штоков;</w:t>
      </w:r>
    </w:p>
    <w:p w14:paraId="2C90CEC6" w14:textId="77777777" w:rsidR="00917A7A" w:rsidRPr="00142305" w:rsidRDefault="00917A7A" w:rsidP="00917A7A">
      <w:pPr>
        <w:widowControl w:val="0"/>
        <w:tabs>
          <w:tab w:val="left" w:pos="471"/>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широкие границы длин отката — от 220 до 275 мм...</w:t>
      </w:r>
    </w:p>
    <w:p w14:paraId="4A594418" w14:textId="77777777" w:rsidR="00917A7A" w:rsidRPr="00142305" w:rsidRDefault="00917A7A" w:rsidP="00917A7A">
      <w:pPr>
        <w:widowControl w:val="0"/>
        <w:tabs>
          <w:tab w:val="left" w:pos="46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6). облегчена и упрощена в производ</w:t>
      </w:r>
      <w:r w:rsidRPr="00142305">
        <w:rPr>
          <w:rFonts w:ascii="Times New Roman" w:hAnsi="Times New Roman"/>
          <w:color w:val="0070C0"/>
          <w:sz w:val="16"/>
          <w:szCs w:val="16"/>
        </w:rPr>
        <w:softHyphen/>
        <w:t>стве;</w:t>
      </w:r>
    </w:p>
    <w:p w14:paraId="5D96261B" w14:textId="77777777" w:rsidR="00917A7A" w:rsidRPr="00142305" w:rsidRDefault="00917A7A" w:rsidP="00917A7A">
      <w:pPr>
        <w:widowControl w:val="0"/>
        <w:tabs>
          <w:tab w:val="left" w:pos="466"/>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7). танковый образец однотипен с та</w:t>
      </w:r>
      <w:r w:rsidRPr="00142305">
        <w:rPr>
          <w:rFonts w:ascii="Times New Roman" w:hAnsi="Times New Roman"/>
          <w:color w:val="0070C0"/>
          <w:sz w:val="16"/>
          <w:szCs w:val="16"/>
        </w:rPr>
        <w:softHyphen/>
        <w:t>ким же противотанковым образцом.</w:t>
      </w:r>
    </w:p>
    <w:p w14:paraId="6440CE65" w14:textId="77777777" w:rsidR="00917A7A" w:rsidRPr="00142305" w:rsidRDefault="00917A7A" w:rsidP="00917A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Таким образом, поскольку этот обра</w:t>
      </w:r>
      <w:r w:rsidRPr="00142305">
        <w:rPr>
          <w:rFonts w:ascii="Times New Roman" w:hAnsi="Times New Roman"/>
          <w:color w:val="0070C0"/>
          <w:sz w:val="16"/>
          <w:szCs w:val="16"/>
        </w:rPr>
        <w:softHyphen/>
        <w:t>зец лучше, завод считает, что надо пере</w:t>
      </w:r>
      <w:r w:rsidRPr="00142305">
        <w:rPr>
          <w:rFonts w:ascii="Times New Roman" w:hAnsi="Times New Roman"/>
          <w:color w:val="0070C0"/>
          <w:sz w:val="16"/>
          <w:szCs w:val="16"/>
        </w:rPr>
        <w:softHyphen/>
        <w:t>ходить на его производство. Между тем, ГАУ считает необходимым переходить на образец, разработанной объединен</w:t>
      </w:r>
      <w:r w:rsidRPr="00142305">
        <w:rPr>
          <w:rFonts w:ascii="Times New Roman" w:hAnsi="Times New Roman"/>
          <w:color w:val="0070C0"/>
          <w:sz w:val="16"/>
          <w:szCs w:val="16"/>
        </w:rPr>
        <w:softHyphen/>
        <w:t>ной комиссией ПКТП и ГАУ, считая, что нельзя решать вопроса о переходе на но</w:t>
      </w:r>
      <w:r w:rsidRPr="00142305">
        <w:rPr>
          <w:rFonts w:ascii="Times New Roman" w:hAnsi="Times New Roman"/>
          <w:color w:val="0070C0"/>
          <w:sz w:val="16"/>
          <w:szCs w:val="16"/>
        </w:rPr>
        <w:softHyphen/>
        <w:t>вый образец. Если нет атласа чертежей, проверенного первой партией пушек, выпущенных с производства. Иначе го</w:t>
      </w:r>
      <w:r w:rsidRPr="00142305">
        <w:rPr>
          <w:rFonts w:ascii="Times New Roman" w:hAnsi="Times New Roman"/>
          <w:color w:val="0070C0"/>
          <w:sz w:val="16"/>
          <w:szCs w:val="16"/>
        </w:rPr>
        <w:softHyphen/>
        <w:t>воря, вопрос о лучшем образце решается отрицательно главным образом из-за чертежей».</w:t>
      </w:r>
    </w:p>
    <w:p w14:paraId="253AEACF" w14:textId="77777777" w:rsidR="00917A7A" w:rsidRPr="00142305" w:rsidRDefault="00917A7A" w:rsidP="00917A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Тем не менее, в 1934 году в серию пош</w:t>
      </w:r>
      <w:r w:rsidRPr="00142305">
        <w:rPr>
          <w:rFonts w:ascii="Times New Roman" w:hAnsi="Times New Roman"/>
          <w:color w:val="0070C0"/>
          <w:sz w:val="16"/>
          <w:szCs w:val="16"/>
        </w:rPr>
        <w:softHyphen/>
        <w:t>ла 45-мм пушка 20К, доработанная груп</w:t>
      </w:r>
      <w:r w:rsidRPr="00142305">
        <w:rPr>
          <w:rFonts w:ascii="Times New Roman" w:hAnsi="Times New Roman"/>
          <w:color w:val="0070C0"/>
          <w:sz w:val="16"/>
          <w:szCs w:val="16"/>
        </w:rPr>
        <w:softHyphen/>
        <w:t>пой «инженеров-вредителей». Она полу</w:t>
      </w:r>
      <w:r w:rsidRPr="00142305">
        <w:rPr>
          <w:rFonts w:ascii="Times New Roman" w:hAnsi="Times New Roman"/>
          <w:color w:val="0070C0"/>
          <w:sz w:val="16"/>
          <w:szCs w:val="16"/>
        </w:rPr>
        <w:softHyphen/>
        <w:t>чила обозначение «45-ммтанковая пуш</w:t>
      </w:r>
      <w:r w:rsidRPr="00142305">
        <w:rPr>
          <w:rFonts w:ascii="Times New Roman" w:hAnsi="Times New Roman"/>
          <w:color w:val="0070C0"/>
          <w:sz w:val="16"/>
          <w:szCs w:val="16"/>
        </w:rPr>
        <w:softHyphen/>
        <w:t>ка образца 1934 года» (25009).</w:t>
      </w:r>
    </w:p>
    <w:p w14:paraId="604ED32D" w14:textId="77777777" w:rsidR="00917A7A" w:rsidRPr="00142305" w:rsidRDefault="00917A7A" w:rsidP="00917A7A">
      <w:pPr>
        <w:spacing w:after="0" w:line="240" w:lineRule="auto"/>
        <w:jc w:val="both"/>
        <w:rPr>
          <w:rFonts w:ascii="Times New Roman" w:hAnsi="Times New Roman"/>
          <w:color w:val="0070C0"/>
          <w:sz w:val="16"/>
          <w:szCs w:val="16"/>
        </w:rPr>
      </w:pPr>
    </w:p>
    <w:p w14:paraId="3007419B" w14:textId="77777777" w:rsidR="004F4BE1" w:rsidRPr="0044524F" w:rsidRDefault="004F4BE1" w:rsidP="009654CF">
      <w:pPr>
        <w:pStyle w:val="rtejustify"/>
        <w:spacing w:before="0" w:after="0"/>
        <w:rPr>
          <w:color w:val="000000" w:themeColor="text1"/>
          <w:sz w:val="16"/>
          <w:szCs w:val="16"/>
        </w:rPr>
      </w:pPr>
      <w:r w:rsidRPr="0044524F">
        <w:rPr>
          <w:rStyle w:val="af0"/>
          <w:i w:val="0"/>
          <w:color w:val="000000" w:themeColor="text1"/>
          <w:sz w:val="16"/>
          <w:szCs w:val="16"/>
        </w:rPr>
        <w:t xml:space="preserve">7 декабря 1933 г. </w:t>
      </w:r>
      <w:r w:rsidRPr="0044524F">
        <w:rPr>
          <w:color w:val="000000" w:themeColor="text1"/>
          <w:sz w:val="16"/>
          <w:szCs w:val="16"/>
        </w:rPr>
        <w:t>Докладная записка Наркомата по военным и морским делам СССР в СТО СССР об итогах работы конструкторского бюро Л. В. Курчевского и о задачах по дальнейшему развертыванию разработанных им артиллерийских систем¹*</w:t>
      </w:r>
    </w:p>
    <w:p w14:paraId="216C9CFE" w14:textId="77777777" w:rsidR="004F4BE1" w:rsidRPr="0044524F" w:rsidRDefault="004F4BE1" w:rsidP="009654CF">
      <w:pPr>
        <w:pStyle w:val="rtejustify"/>
        <w:spacing w:before="0" w:after="0"/>
        <w:rPr>
          <w:color w:val="000000" w:themeColor="text1"/>
          <w:sz w:val="16"/>
          <w:szCs w:val="16"/>
        </w:rPr>
      </w:pPr>
      <w:r w:rsidRPr="0044524F">
        <w:rPr>
          <w:color w:val="000000" w:themeColor="text1"/>
          <w:sz w:val="16"/>
          <w:szCs w:val="16"/>
        </w:rPr>
        <w:t>Итоги работ конструкторского бюро инженера Курчевского по безоткатным орудиям ДРП таковы:</w:t>
      </w:r>
    </w:p>
    <w:p w14:paraId="5ECF9343" w14:textId="77777777" w:rsidR="004F4BE1" w:rsidRPr="0044524F" w:rsidRDefault="004F4BE1" w:rsidP="009654CF">
      <w:pPr>
        <w:pStyle w:val="rtejustify"/>
        <w:spacing w:before="0" w:after="0"/>
        <w:rPr>
          <w:color w:val="000000" w:themeColor="text1"/>
          <w:sz w:val="16"/>
          <w:szCs w:val="16"/>
        </w:rPr>
      </w:pPr>
      <w:r w:rsidRPr="0044524F">
        <w:rPr>
          <w:color w:val="000000" w:themeColor="text1"/>
          <w:sz w:val="16"/>
          <w:szCs w:val="16"/>
        </w:rPr>
        <w:t>а) Выбраны НКВМором как лучшие и доработаны для массового производства в 1934 г. следующие системы: 37</w:t>
      </w:r>
      <w:r w:rsidRPr="0044524F">
        <w:rPr>
          <w:color w:val="000000" w:themeColor="text1"/>
          <w:sz w:val="16"/>
          <w:szCs w:val="16"/>
        </w:rPr>
        <w:noBreakHyphen/>
        <w:t>мм ружье весом 35 кг, с бронепробиваемостью — 20</w:t>
      </w:r>
      <w:r w:rsidRPr="0044524F">
        <w:rPr>
          <w:color w:val="000000" w:themeColor="text1"/>
          <w:sz w:val="16"/>
          <w:szCs w:val="16"/>
        </w:rPr>
        <w:noBreakHyphen/>
        <w:t>мм броня на дистанцию около 600 м; 76</w:t>
      </w:r>
      <w:r w:rsidRPr="0044524F">
        <w:rPr>
          <w:color w:val="000000" w:themeColor="text1"/>
          <w:sz w:val="16"/>
          <w:szCs w:val="16"/>
        </w:rPr>
        <w:noBreakHyphen/>
        <w:t>мм батальонная пушка весом около 180 кг с дальностью до 7 км; 76</w:t>
      </w:r>
      <w:r w:rsidRPr="0044524F">
        <w:rPr>
          <w:color w:val="000000" w:themeColor="text1"/>
          <w:sz w:val="16"/>
          <w:szCs w:val="16"/>
        </w:rPr>
        <w:noBreakHyphen/>
        <w:t>мм самоходная пушка на трехосном шасси легкового «Форда» с дальностью до 7 км; 76</w:t>
      </w:r>
      <w:r w:rsidRPr="0044524F">
        <w:rPr>
          <w:color w:val="000000" w:themeColor="text1"/>
          <w:sz w:val="16"/>
          <w:szCs w:val="16"/>
        </w:rPr>
        <w:noBreakHyphen/>
        <w:t>мм противокатерная пушка для вооружения катеров и подлодок; 76</w:t>
      </w:r>
      <w:r w:rsidRPr="0044524F">
        <w:rPr>
          <w:color w:val="000000" w:themeColor="text1"/>
          <w:sz w:val="16"/>
          <w:szCs w:val="16"/>
        </w:rPr>
        <w:noBreakHyphen/>
        <w:t>мм авиационная пушка (АПК</w:t>
      </w:r>
      <w:r w:rsidRPr="0044524F">
        <w:rPr>
          <w:color w:val="000000" w:themeColor="text1"/>
          <w:sz w:val="16"/>
          <w:szCs w:val="16"/>
        </w:rPr>
        <w:noBreakHyphen/>
        <w:t>4) с начальной скоростью около 390 м/с.</w:t>
      </w:r>
    </w:p>
    <w:p w14:paraId="5C516D1F" w14:textId="77777777" w:rsidR="004F4BE1" w:rsidRPr="0044524F" w:rsidRDefault="004F4BE1" w:rsidP="009654CF">
      <w:pPr>
        <w:pStyle w:val="rtejustify"/>
        <w:spacing w:before="0" w:after="0"/>
        <w:rPr>
          <w:color w:val="000000" w:themeColor="text1"/>
          <w:sz w:val="16"/>
          <w:szCs w:val="16"/>
        </w:rPr>
      </w:pPr>
      <w:r w:rsidRPr="0044524F">
        <w:rPr>
          <w:color w:val="000000" w:themeColor="text1"/>
          <w:sz w:val="16"/>
          <w:szCs w:val="16"/>
        </w:rPr>
        <w:t>б) Не приняты НКВМ ввиду имеющихся недостатков: 76</w:t>
      </w:r>
      <w:r w:rsidRPr="0044524F">
        <w:rPr>
          <w:color w:val="000000" w:themeColor="text1"/>
          <w:sz w:val="16"/>
          <w:szCs w:val="16"/>
        </w:rPr>
        <w:noBreakHyphen/>
        <w:t>мм ротная мортира весом 38 кг с дальностью около 3 км (ввиду плохой меткости); 37</w:t>
      </w:r>
      <w:r w:rsidRPr="0044524F">
        <w:rPr>
          <w:color w:val="000000" w:themeColor="text1"/>
          <w:sz w:val="16"/>
          <w:szCs w:val="16"/>
        </w:rPr>
        <w:noBreakHyphen/>
        <w:t>мм ружье малой мощности; 65</w:t>
      </w:r>
      <w:r w:rsidRPr="0044524F">
        <w:rPr>
          <w:color w:val="000000" w:themeColor="text1"/>
          <w:sz w:val="16"/>
          <w:szCs w:val="16"/>
        </w:rPr>
        <w:noBreakHyphen/>
        <w:t>мм авиационная пушка (неудовлетворительная мощность).</w:t>
      </w:r>
    </w:p>
    <w:p w14:paraId="3AD41ACC" w14:textId="77777777" w:rsidR="004F4BE1" w:rsidRPr="0044524F" w:rsidRDefault="004F4BE1" w:rsidP="009654CF">
      <w:pPr>
        <w:pStyle w:val="rtejustify"/>
        <w:spacing w:before="0" w:after="0"/>
        <w:rPr>
          <w:color w:val="000000" w:themeColor="text1"/>
          <w:sz w:val="16"/>
          <w:szCs w:val="16"/>
        </w:rPr>
      </w:pPr>
      <w:r w:rsidRPr="0044524F">
        <w:rPr>
          <w:color w:val="000000" w:themeColor="text1"/>
          <w:sz w:val="16"/>
          <w:szCs w:val="16"/>
        </w:rPr>
        <w:t>в) Изготовлены новые опытные образцы: 76</w:t>
      </w:r>
      <w:r w:rsidRPr="0044524F">
        <w:rPr>
          <w:color w:val="000000" w:themeColor="text1"/>
          <w:sz w:val="16"/>
          <w:szCs w:val="16"/>
        </w:rPr>
        <w:noBreakHyphen/>
        <w:t>мм горная пушка с теми же данными, что и батальонная пушка; 37</w:t>
      </w:r>
      <w:r w:rsidRPr="0044524F">
        <w:rPr>
          <w:color w:val="000000" w:themeColor="text1"/>
          <w:sz w:val="16"/>
          <w:szCs w:val="16"/>
        </w:rPr>
        <w:noBreakHyphen/>
        <w:t>мм автоматическая авиационная пушка; 100</w:t>
      </w:r>
      <w:r w:rsidRPr="0044524F">
        <w:rPr>
          <w:color w:val="000000" w:themeColor="text1"/>
          <w:sz w:val="16"/>
          <w:szCs w:val="16"/>
        </w:rPr>
        <w:noBreakHyphen/>
        <w:t>мм авиационная пушка с начальной скоростью (расчетной) около 500 м/с и весом 400 кг.</w:t>
      </w:r>
    </w:p>
    <w:p w14:paraId="7614EA75" w14:textId="77777777" w:rsidR="004F4BE1" w:rsidRPr="0044524F" w:rsidRDefault="004F4BE1" w:rsidP="009654CF">
      <w:pPr>
        <w:pStyle w:val="rtejustify"/>
        <w:spacing w:before="0" w:after="0"/>
        <w:rPr>
          <w:color w:val="000000" w:themeColor="text1"/>
          <w:sz w:val="16"/>
          <w:szCs w:val="16"/>
        </w:rPr>
      </w:pPr>
      <w:r w:rsidRPr="0044524F">
        <w:rPr>
          <w:color w:val="000000" w:themeColor="text1"/>
          <w:sz w:val="16"/>
          <w:szCs w:val="16"/>
        </w:rPr>
        <w:t>В 1933 г. НКТП должен был выполнить первую опытно-валовую серию систем. Выполнение этого заказа прошло совершенно неудовлетворительно. На 1 ноября состояние заказа таково:</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185"/>
        <w:gridCol w:w="1474"/>
        <w:gridCol w:w="2206"/>
        <w:gridCol w:w="1457"/>
      </w:tblGrid>
      <w:tr w:rsidR="004E10C1" w:rsidRPr="0044524F" w14:paraId="0C8ADA4C"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B738F5B"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3B4F4B7C"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Заказ 1933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6C0F9B14"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Пересмотр задания</w:t>
            </w:r>
          </w:p>
          <w:p w14:paraId="2DBD2F99"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правительственной</w:t>
            </w:r>
          </w:p>
          <w:p w14:paraId="4DD7D89F"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комиссии</w:t>
            </w:r>
          </w:p>
        </w:tc>
        <w:tc>
          <w:tcPr>
            <w:tcW w:w="0" w:type="auto"/>
            <w:tcBorders>
              <w:top w:val="outset" w:sz="6" w:space="0" w:color="auto"/>
              <w:left w:val="outset" w:sz="6" w:space="0" w:color="auto"/>
              <w:bottom w:val="outset" w:sz="6" w:space="0" w:color="auto"/>
              <w:right w:val="outset" w:sz="6" w:space="0" w:color="auto"/>
            </w:tcBorders>
            <w:vAlign w:val="center"/>
            <w:hideMark/>
          </w:tcPr>
          <w:p w14:paraId="6C9E3602"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w:t>
            </w:r>
          </w:p>
        </w:tc>
      </w:tr>
      <w:tr w:rsidR="004E10C1" w:rsidRPr="0044524F" w14:paraId="58350DA1"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45E55AEB"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w:t>
            </w:r>
            <w:r w:rsidRPr="0044524F">
              <w:rPr>
                <w:rFonts w:ascii="Times New Roman" w:hAnsi="Times New Roman"/>
                <w:color w:val="000000" w:themeColor="text1"/>
                <w:sz w:val="16"/>
                <w:szCs w:val="16"/>
              </w:rPr>
              <w:noBreakHyphen/>
              <w:t>мм ружье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0ADDC3E3"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c>
          <w:tcPr>
            <w:tcW w:w="0" w:type="auto"/>
            <w:tcBorders>
              <w:top w:val="outset" w:sz="6" w:space="0" w:color="auto"/>
              <w:left w:val="outset" w:sz="6" w:space="0" w:color="auto"/>
              <w:bottom w:val="outset" w:sz="6" w:space="0" w:color="auto"/>
              <w:right w:val="outset" w:sz="6" w:space="0" w:color="auto"/>
            </w:tcBorders>
            <w:vAlign w:val="center"/>
            <w:hideMark/>
          </w:tcPr>
          <w:p w14:paraId="78B09F1F"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0" w:type="auto"/>
            <w:tcBorders>
              <w:top w:val="outset" w:sz="6" w:space="0" w:color="auto"/>
              <w:left w:val="outset" w:sz="6" w:space="0" w:color="auto"/>
              <w:bottom w:val="outset" w:sz="6" w:space="0" w:color="auto"/>
              <w:right w:val="outset" w:sz="6" w:space="0" w:color="auto"/>
            </w:tcBorders>
            <w:vAlign w:val="center"/>
            <w:hideMark/>
          </w:tcPr>
          <w:p w14:paraId="2AD5694A"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340EB361"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658B9DA"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батальонная пушка «К»</w:t>
            </w:r>
          </w:p>
        </w:tc>
        <w:tc>
          <w:tcPr>
            <w:tcW w:w="0" w:type="auto"/>
            <w:tcBorders>
              <w:top w:val="outset" w:sz="6" w:space="0" w:color="auto"/>
              <w:left w:val="outset" w:sz="6" w:space="0" w:color="auto"/>
              <w:bottom w:val="outset" w:sz="6" w:space="0" w:color="auto"/>
              <w:right w:val="outset" w:sz="6" w:space="0" w:color="auto"/>
            </w:tcBorders>
            <w:vAlign w:val="center"/>
            <w:hideMark/>
          </w:tcPr>
          <w:p w14:paraId="14DE83F0"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7785A51"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14:paraId="1F2D9DE2"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r>
      <w:tr w:rsidR="004E10C1" w:rsidRPr="0044524F" w14:paraId="0936420E"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330466A2"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самоходная и катерная пушки</w:t>
            </w:r>
          </w:p>
        </w:tc>
        <w:tc>
          <w:tcPr>
            <w:tcW w:w="0" w:type="auto"/>
            <w:tcBorders>
              <w:top w:val="outset" w:sz="6" w:space="0" w:color="auto"/>
              <w:left w:val="outset" w:sz="6" w:space="0" w:color="auto"/>
              <w:bottom w:val="outset" w:sz="6" w:space="0" w:color="auto"/>
              <w:right w:val="outset" w:sz="6" w:space="0" w:color="auto"/>
            </w:tcBorders>
            <w:vAlign w:val="center"/>
            <w:hideMark/>
          </w:tcPr>
          <w:p w14:paraId="4AE218E3"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5EE1939B"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E884AB"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58587EB8"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0190D3D4"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r w:rsidRPr="0044524F">
              <w:rPr>
                <w:rFonts w:ascii="Times New Roman" w:hAnsi="Times New Roman"/>
                <w:color w:val="000000" w:themeColor="text1"/>
                <w:sz w:val="16"/>
                <w:szCs w:val="16"/>
              </w:rPr>
              <w:noBreakHyphen/>
              <w:t>мм авиационная пушка (АПК</w:t>
            </w:r>
            <w:r w:rsidRPr="0044524F">
              <w:rPr>
                <w:rFonts w:ascii="Times New Roman" w:hAnsi="Times New Roman"/>
                <w:color w:val="000000" w:themeColor="text1"/>
                <w:sz w:val="16"/>
                <w:szCs w:val="16"/>
              </w:rPr>
              <w:noBreakHyphen/>
              <w:t>4)</w:t>
            </w:r>
          </w:p>
        </w:tc>
        <w:tc>
          <w:tcPr>
            <w:tcW w:w="0" w:type="auto"/>
            <w:tcBorders>
              <w:top w:val="outset" w:sz="6" w:space="0" w:color="auto"/>
              <w:left w:val="outset" w:sz="6" w:space="0" w:color="auto"/>
              <w:bottom w:val="outset" w:sz="6" w:space="0" w:color="auto"/>
              <w:right w:val="outset" w:sz="6" w:space="0" w:color="auto"/>
            </w:tcBorders>
            <w:vAlign w:val="center"/>
            <w:hideMark/>
          </w:tcPr>
          <w:p w14:paraId="2C1B1D18"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737FA96"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0" w:type="auto"/>
            <w:tcBorders>
              <w:top w:val="outset" w:sz="6" w:space="0" w:color="auto"/>
              <w:left w:val="outset" w:sz="6" w:space="0" w:color="auto"/>
              <w:bottom w:val="outset" w:sz="6" w:space="0" w:color="auto"/>
              <w:right w:val="outset" w:sz="6" w:space="0" w:color="auto"/>
            </w:tcBorders>
            <w:vAlign w:val="center"/>
            <w:hideMark/>
          </w:tcPr>
          <w:p w14:paraId="29951BCE"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w:t>
            </w:r>
          </w:p>
        </w:tc>
      </w:tr>
      <w:tr w:rsidR="004E10C1" w:rsidRPr="0044524F" w14:paraId="457488F2"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560248F9"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Переделка 76</w:t>
            </w:r>
            <w:r w:rsidRPr="0044524F">
              <w:rPr>
                <w:rFonts w:ascii="Times New Roman" w:hAnsi="Times New Roman"/>
                <w:color w:val="000000" w:themeColor="text1"/>
                <w:sz w:val="16"/>
                <w:szCs w:val="16"/>
              </w:rPr>
              <w:noBreakHyphen/>
              <w:t>мм авиационных пушек АПК</w:t>
            </w:r>
            <w:r w:rsidRPr="0044524F">
              <w:rPr>
                <w:rFonts w:ascii="Times New Roman" w:hAnsi="Times New Roman"/>
                <w:color w:val="000000" w:themeColor="text1"/>
                <w:sz w:val="16"/>
                <w:szCs w:val="16"/>
              </w:rPr>
              <w:noBreakHyphen/>
              <w:t>4 (старых)</w:t>
            </w:r>
          </w:p>
        </w:tc>
        <w:tc>
          <w:tcPr>
            <w:tcW w:w="0" w:type="auto"/>
            <w:tcBorders>
              <w:top w:val="outset" w:sz="6" w:space="0" w:color="auto"/>
              <w:left w:val="outset" w:sz="6" w:space="0" w:color="auto"/>
              <w:bottom w:val="outset" w:sz="6" w:space="0" w:color="auto"/>
              <w:right w:val="outset" w:sz="6" w:space="0" w:color="auto"/>
            </w:tcBorders>
            <w:vAlign w:val="center"/>
            <w:hideMark/>
          </w:tcPr>
          <w:p w14:paraId="30B65ECF"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5F6009AF"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w:t>
            </w:r>
          </w:p>
        </w:tc>
        <w:tc>
          <w:tcPr>
            <w:tcW w:w="0" w:type="auto"/>
            <w:tcBorders>
              <w:top w:val="outset" w:sz="6" w:space="0" w:color="auto"/>
              <w:left w:val="outset" w:sz="6" w:space="0" w:color="auto"/>
              <w:bottom w:val="outset" w:sz="6" w:space="0" w:color="auto"/>
              <w:right w:val="outset" w:sz="6" w:space="0" w:color="auto"/>
            </w:tcBorders>
            <w:vAlign w:val="center"/>
            <w:hideMark/>
          </w:tcPr>
          <w:p w14:paraId="02605A4A"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r>
    </w:tbl>
    <w:p w14:paraId="22B6915F" w14:textId="77777777" w:rsidR="004F4BE1" w:rsidRPr="0044524F" w:rsidRDefault="004F4BE1" w:rsidP="009654CF">
      <w:pPr>
        <w:pStyle w:val="rtejustify"/>
        <w:spacing w:before="0" w:after="0"/>
        <w:rPr>
          <w:color w:val="000000" w:themeColor="text1"/>
          <w:sz w:val="16"/>
          <w:szCs w:val="16"/>
        </w:rPr>
      </w:pPr>
      <w:r w:rsidRPr="0044524F">
        <w:rPr>
          <w:color w:val="000000" w:themeColor="text1"/>
          <w:sz w:val="16"/>
          <w:szCs w:val="16"/>
        </w:rPr>
        <w:t>Основная причина невыполнения заказа — отсутствие заказа, который бы специализировался на изготовлении этих систем, как основных и главнейших для себя.</w:t>
      </w:r>
    </w:p>
    <w:p w14:paraId="50F3B1BE" w14:textId="77777777" w:rsidR="004F4BE1" w:rsidRPr="0044524F" w:rsidRDefault="004F4BE1" w:rsidP="009654CF">
      <w:pPr>
        <w:pStyle w:val="rtejustify"/>
        <w:spacing w:before="0" w:after="0"/>
        <w:rPr>
          <w:color w:val="000000" w:themeColor="text1"/>
          <w:sz w:val="16"/>
          <w:szCs w:val="16"/>
        </w:rPr>
      </w:pPr>
      <w:r w:rsidRPr="0044524F">
        <w:rPr>
          <w:color w:val="000000" w:themeColor="text1"/>
          <w:sz w:val="16"/>
          <w:szCs w:val="16"/>
        </w:rPr>
        <w:t>Широкие полигонные и войсковые испытания, которые НКВМ провел в течение 1933 г., еще раз подтверждают большое значение безоткатных орудий систем инженера Курчевского, в особенности 37</w:t>
      </w:r>
      <w:r w:rsidRPr="0044524F">
        <w:rPr>
          <w:color w:val="000000" w:themeColor="text1"/>
          <w:sz w:val="16"/>
          <w:szCs w:val="16"/>
        </w:rPr>
        <w:noBreakHyphen/>
        <w:t>мм противотанковых ружей и 76</w:t>
      </w:r>
      <w:r w:rsidRPr="0044524F">
        <w:rPr>
          <w:color w:val="000000" w:themeColor="text1"/>
          <w:sz w:val="16"/>
          <w:szCs w:val="16"/>
        </w:rPr>
        <w:noBreakHyphen/>
        <w:t>мм авиационных систем. Насыщение авиации мощными артиллерийскими орудиями стало вполне осуществимо путем использования систем Курчевского.</w:t>
      </w:r>
    </w:p>
    <w:p w14:paraId="2FF6A3C3" w14:textId="77777777" w:rsidR="004F4BE1" w:rsidRPr="0044524F" w:rsidRDefault="004F4BE1" w:rsidP="009654CF">
      <w:pPr>
        <w:pStyle w:val="rtejustify"/>
        <w:spacing w:before="0" w:after="0"/>
        <w:rPr>
          <w:color w:val="000000" w:themeColor="text1"/>
          <w:sz w:val="16"/>
          <w:szCs w:val="16"/>
        </w:rPr>
      </w:pPr>
      <w:r w:rsidRPr="0044524F">
        <w:rPr>
          <w:color w:val="000000" w:themeColor="text1"/>
          <w:sz w:val="16"/>
          <w:szCs w:val="16"/>
        </w:rPr>
        <w:t>Работы по авиационной артиллерии двинулись бы значительно быстрее, если бы наряду с конструированием новых авиационных орудий выделить в авиационной промышленности конструкторское бюро и завод, который бы конструировал специальные артиллерийские самолеты. Полгода тому назад совместно с НКТП (т. Барановым) было решено выделить для этих работ 133</w:t>
      </w:r>
      <w:r w:rsidRPr="0044524F">
        <w:rPr>
          <w:color w:val="000000" w:themeColor="text1"/>
          <w:sz w:val="16"/>
          <w:szCs w:val="16"/>
        </w:rPr>
        <w:noBreakHyphen/>
        <w:t>й авиационный завод. В настоящее время это конструкторское бюро передается 39</w:t>
      </w:r>
      <w:r w:rsidRPr="0044524F">
        <w:rPr>
          <w:color w:val="000000" w:themeColor="text1"/>
          <w:sz w:val="16"/>
          <w:szCs w:val="16"/>
        </w:rPr>
        <w:noBreakHyphen/>
        <w:t>му заводу, где необходимо обеспечить специальный опытный цех.</w:t>
      </w:r>
    </w:p>
    <w:p w14:paraId="23F52C3C" w14:textId="77777777" w:rsidR="004F4BE1" w:rsidRPr="0044524F" w:rsidRDefault="004F4BE1" w:rsidP="009654CF">
      <w:pPr>
        <w:pStyle w:val="rtejustify"/>
        <w:spacing w:before="0" w:after="0"/>
        <w:rPr>
          <w:color w:val="000000" w:themeColor="text1"/>
          <w:sz w:val="16"/>
          <w:szCs w:val="16"/>
        </w:rPr>
      </w:pPr>
      <w:r w:rsidRPr="0044524F">
        <w:rPr>
          <w:color w:val="000000" w:themeColor="text1"/>
          <w:sz w:val="16"/>
          <w:szCs w:val="16"/>
        </w:rPr>
        <w:t>Наконец, при практическом проведении работ в 1933 г. над системами Курчевского НКТПром и НКВМор встретились с весьма большими трудностями по изготовлению боеприпасов, которые отличны от обычных боеприпасов артиллерии. Новизна дела, медленное выполнение опытных заказов на огнеприпасы промышленностью — затянули окончательную их доработку. Учитывая, что по системам Курчевского основная задача в настоящее время заключается в создании производственной базы, в постановке массового производства этих систем и создании огнеприпасов, НКВМ просит утвердить ряд мероприятий, изложенных в прилагаемом проекте постановления СТО.</w:t>
      </w:r>
    </w:p>
    <w:p w14:paraId="0FAEBCB6" w14:textId="77777777" w:rsidR="004F4BE1" w:rsidRPr="0044524F" w:rsidRDefault="004F4BE1" w:rsidP="009654CF">
      <w:pPr>
        <w:pStyle w:val="rtejustify"/>
        <w:spacing w:before="0" w:after="0"/>
        <w:rPr>
          <w:color w:val="000000" w:themeColor="text1"/>
          <w:sz w:val="16"/>
          <w:szCs w:val="16"/>
        </w:rPr>
      </w:pPr>
      <w:r w:rsidRPr="0044524F">
        <w:rPr>
          <w:rStyle w:val="af0"/>
          <w:i w:val="0"/>
          <w:color w:val="000000" w:themeColor="text1"/>
          <w:sz w:val="16"/>
          <w:szCs w:val="16"/>
        </w:rPr>
        <w:t>Приложение</w:t>
      </w:r>
      <w:r w:rsidRPr="0044524F">
        <w:rPr>
          <w:color w:val="000000" w:themeColor="text1"/>
          <w:sz w:val="16"/>
          <w:szCs w:val="16"/>
        </w:rPr>
        <w:t>: проект постановления СТО²*.</w:t>
      </w:r>
    </w:p>
    <w:p w14:paraId="3D8A4D76" w14:textId="77777777" w:rsidR="004F4BE1" w:rsidRPr="0044524F" w:rsidRDefault="004F4BE1" w:rsidP="009654CF">
      <w:pPr>
        <w:pStyle w:val="ae"/>
        <w:spacing w:before="0" w:after="0"/>
        <w:jc w:val="both"/>
        <w:rPr>
          <w:color w:val="000000" w:themeColor="text1"/>
          <w:sz w:val="16"/>
          <w:szCs w:val="16"/>
        </w:rPr>
      </w:pPr>
      <w:r w:rsidRPr="0044524F">
        <w:rPr>
          <w:rStyle w:val="af0"/>
          <w:i w:val="0"/>
          <w:color w:val="000000" w:themeColor="text1"/>
          <w:sz w:val="16"/>
          <w:szCs w:val="16"/>
        </w:rPr>
        <w:t>Народный комиссар по военным и морским делам и председатель РВС Союза ССР Ворошилов</w:t>
      </w:r>
    </w:p>
    <w:p w14:paraId="7DCA7C4F" w14:textId="77777777" w:rsidR="004F4BE1" w:rsidRPr="0044524F" w:rsidRDefault="004F4BE1"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Примечания</w:t>
      </w:r>
      <w:r w:rsidRPr="0044524F">
        <w:rPr>
          <w:color w:val="000000" w:themeColor="text1"/>
          <w:sz w:val="16"/>
          <w:szCs w:val="16"/>
        </w:rPr>
        <w:t>:</w:t>
      </w:r>
    </w:p>
    <w:p w14:paraId="5C0FD7BC" w14:textId="77777777" w:rsidR="004F4BE1" w:rsidRPr="0044524F" w:rsidRDefault="004F4BE1" w:rsidP="009654CF">
      <w:pPr>
        <w:pStyle w:val="rtejustify"/>
        <w:spacing w:before="0" w:after="0"/>
        <w:rPr>
          <w:color w:val="000000" w:themeColor="text1"/>
          <w:sz w:val="16"/>
          <w:szCs w:val="16"/>
        </w:rPr>
      </w:pPr>
      <w:r w:rsidRPr="0044524F">
        <w:rPr>
          <w:color w:val="000000" w:themeColor="text1"/>
          <w:sz w:val="16"/>
          <w:szCs w:val="16"/>
        </w:rPr>
        <w:t xml:space="preserve">¹* Согласно </w:t>
      </w:r>
      <w:r w:rsidRPr="0044524F">
        <w:rPr>
          <w:rStyle w:val="af0"/>
          <w:bCs/>
          <w:i w:val="0"/>
          <w:color w:val="000000" w:themeColor="text1"/>
          <w:sz w:val="16"/>
          <w:szCs w:val="16"/>
        </w:rPr>
        <w:t>постановлению СТО СССР № К</w:t>
      </w:r>
      <w:r w:rsidRPr="0044524F">
        <w:rPr>
          <w:rStyle w:val="af0"/>
          <w:bCs/>
          <w:i w:val="0"/>
          <w:color w:val="000000" w:themeColor="text1"/>
          <w:sz w:val="16"/>
          <w:szCs w:val="16"/>
        </w:rPr>
        <w:noBreakHyphen/>
        <w:t>10сс от 15 января 1934 г</w:t>
      </w:r>
      <w:r w:rsidRPr="0044524F">
        <w:rPr>
          <w:color w:val="000000" w:themeColor="text1"/>
          <w:sz w:val="16"/>
          <w:szCs w:val="16"/>
        </w:rPr>
        <w:t>. «Об обеспечении военно-морских сил РККА артиллерийскими системами инженера Курчевского» для разработки, применения и боевого использования системы инженера Курчевского на кораблях военно-морских сил РККА должно было быть организовано Специальное морское конструкторское бюро. Наркомтяжпрому поручалось изготовить на заводе «Большевик» две 305</w:t>
      </w:r>
      <w:r w:rsidRPr="0044524F">
        <w:rPr>
          <w:color w:val="000000" w:themeColor="text1"/>
          <w:sz w:val="16"/>
          <w:szCs w:val="16"/>
        </w:rPr>
        <w:noBreakHyphen/>
        <w:t>мм трубы с соплами, на заводе «им. Молотова» — восемь комплектов 152</w:t>
      </w:r>
      <w:r w:rsidRPr="0044524F">
        <w:rPr>
          <w:color w:val="000000" w:themeColor="text1"/>
          <w:sz w:val="16"/>
          <w:szCs w:val="16"/>
        </w:rPr>
        <w:noBreakHyphen/>
        <w:t>мм орудий, на заводе — «Красный путиловец» 8 орудий к 1 июля 1934 г., на заводе № 7 150 шт. 76,2</w:t>
      </w:r>
      <w:r w:rsidRPr="0044524F">
        <w:rPr>
          <w:color w:val="000000" w:themeColor="text1"/>
          <w:sz w:val="16"/>
          <w:szCs w:val="16"/>
        </w:rPr>
        <w:noBreakHyphen/>
        <w:t>мм морских установок (образец КПК) для вооружения ВМФ в 1934 г.; спроектировать снаряды для указанных систем — 50 для 305</w:t>
      </w:r>
      <w:r w:rsidRPr="0044524F">
        <w:rPr>
          <w:color w:val="000000" w:themeColor="text1"/>
          <w:sz w:val="16"/>
          <w:szCs w:val="16"/>
        </w:rPr>
        <w:noBreakHyphen/>
        <w:t>мм, 700 — для 152</w:t>
      </w:r>
      <w:r w:rsidRPr="0044524F">
        <w:rPr>
          <w:color w:val="000000" w:themeColor="text1"/>
          <w:sz w:val="16"/>
          <w:szCs w:val="16"/>
        </w:rPr>
        <w:noBreakHyphen/>
        <w:t>мм, 500 выстрелов для — 76,2</w:t>
      </w:r>
      <w:r w:rsidRPr="0044524F">
        <w:rPr>
          <w:color w:val="000000" w:themeColor="text1"/>
          <w:sz w:val="16"/>
          <w:szCs w:val="16"/>
        </w:rPr>
        <w:noBreakHyphen/>
        <w:t>мм. В соответствии с этим НКВМор должен выдать НКТПрому заказ на 150 систем КПК и 75 тыс. выстрелов к ним. Все чертежи и баллистические расчеты, а также чертежи станков и всех необходимых механизмов подачи и заряжания для указанных калибров должен был изготовить Курчевский к 1 мая 1934 г. Необходимые средства НКТПром выделял из своих лимитов. (ГАРФ. Ф. 8418. Оп. 28. Д. 4. Л. 28</w:t>
      </w:r>
      <w:r w:rsidRPr="0044524F">
        <w:rPr>
          <w:color w:val="000000" w:themeColor="text1"/>
          <w:sz w:val="16"/>
          <w:szCs w:val="16"/>
        </w:rPr>
        <w:noBreakHyphen/>
        <w:t>29).</w:t>
      </w:r>
    </w:p>
    <w:p w14:paraId="66D43D02" w14:textId="77777777" w:rsidR="004F4BE1" w:rsidRPr="0044524F" w:rsidRDefault="004F4BE1" w:rsidP="009654CF">
      <w:pPr>
        <w:pStyle w:val="rtejustify"/>
        <w:spacing w:before="0" w:after="0"/>
        <w:rPr>
          <w:color w:val="000000" w:themeColor="text1"/>
          <w:sz w:val="16"/>
          <w:szCs w:val="16"/>
        </w:rPr>
      </w:pPr>
      <w:r w:rsidRPr="0044524F">
        <w:rPr>
          <w:color w:val="000000" w:themeColor="text1"/>
          <w:sz w:val="16"/>
          <w:szCs w:val="16"/>
        </w:rPr>
        <w:t>²* Проект не публикуется (см. там же, л. 351).</w:t>
      </w:r>
    </w:p>
    <w:p w14:paraId="77355D46" w14:textId="77777777" w:rsidR="004F4BE1" w:rsidRPr="0044524F" w:rsidRDefault="004F4BE1" w:rsidP="009654CF">
      <w:pPr>
        <w:pStyle w:val="ae"/>
        <w:spacing w:before="0" w:after="0"/>
        <w:jc w:val="both"/>
        <w:rPr>
          <w:color w:val="000000" w:themeColor="text1"/>
          <w:sz w:val="16"/>
          <w:szCs w:val="16"/>
        </w:rPr>
      </w:pPr>
      <w:r w:rsidRPr="0044524F">
        <w:rPr>
          <w:color w:val="000000" w:themeColor="text1"/>
          <w:sz w:val="16"/>
          <w:szCs w:val="16"/>
        </w:rPr>
        <w:t>РГАЭ. Ф. 7297. Оп. 41. Д. 73. Л. 353-352. Заверенная копия (15287).</w:t>
      </w:r>
    </w:p>
    <w:p w14:paraId="554847AE" w14:textId="77777777" w:rsidR="004F4BE1" w:rsidRPr="0044524F" w:rsidRDefault="004F4BE1" w:rsidP="009654CF">
      <w:pPr>
        <w:autoSpaceDE w:val="0"/>
        <w:autoSpaceDN w:val="0"/>
        <w:adjustRightInd w:val="0"/>
        <w:spacing w:after="0" w:line="240" w:lineRule="auto"/>
        <w:jc w:val="both"/>
        <w:rPr>
          <w:rFonts w:ascii="Times New Roman" w:hAnsi="Times New Roman"/>
          <w:color w:val="000000" w:themeColor="text1"/>
          <w:sz w:val="16"/>
          <w:szCs w:val="16"/>
        </w:rPr>
      </w:pPr>
    </w:p>
    <w:p w14:paraId="69032D11"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декабря 1933 г. Сводный план опытного строительства был впервые обнародован Управлением ВВС РККА А после утверждения уточненного плана опытного строительства 14 февраля 1934 г. в ЦКБ приступили к со</w:t>
      </w:r>
      <w:r w:rsidRPr="0044524F">
        <w:rPr>
          <w:rFonts w:ascii="Times New Roman" w:hAnsi="Times New Roman"/>
          <w:color w:val="000000" w:themeColor="text1"/>
          <w:sz w:val="16"/>
          <w:szCs w:val="16"/>
        </w:rPr>
        <w:softHyphen/>
        <w:t>зданию СР. СР, а так</w:t>
      </w:r>
      <w:r w:rsidRPr="0044524F">
        <w:rPr>
          <w:rFonts w:ascii="Times New Roman" w:hAnsi="Times New Roman"/>
          <w:color w:val="000000" w:themeColor="text1"/>
          <w:sz w:val="16"/>
          <w:szCs w:val="16"/>
        </w:rPr>
        <w:softHyphen/>
        <w:t>же как разведчик Р-9, разрабатывался под обозначени</w:t>
      </w:r>
      <w:r w:rsidRPr="0044524F">
        <w:rPr>
          <w:rFonts w:ascii="Times New Roman" w:hAnsi="Times New Roman"/>
          <w:color w:val="000000" w:themeColor="text1"/>
          <w:sz w:val="16"/>
          <w:szCs w:val="16"/>
        </w:rPr>
        <w:softHyphen/>
        <w:t>ем ЦКБ-27 разрабатывался в бригаде №1 Центрального конструкторского бюро, начиная с 1934 г. (20362).</w:t>
      </w:r>
    </w:p>
    <w:p w14:paraId="39E4E5FA" w14:textId="77777777" w:rsidR="00201255" w:rsidRPr="0044524F" w:rsidRDefault="00201255" w:rsidP="009654CF">
      <w:pPr>
        <w:spacing w:after="0" w:line="240" w:lineRule="auto"/>
        <w:jc w:val="both"/>
        <w:rPr>
          <w:rFonts w:ascii="Times New Roman" w:hAnsi="Times New Roman"/>
          <w:color w:val="000000" w:themeColor="text1"/>
          <w:sz w:val="16"/>
          <w:szCs w:val="16"/>
        </w:rPr>
      </w:pPr>
    </w:p>
    <w:p w14:paraId="1D578AE1" w14:textId="77777777" w:rsidR="00201255" w:rsidRPr="0044524F" w:rsidRDefault="0020125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декабря 1933-го был утвержден план опытного строительства ВВС РККА на 1934—1935 годы, в котором даже упоминания о дальних бомбардиров</w:t>
      </w:r>
      <w:r w:rsidRPr="0044524F">
        <w:rPr>
          <w:rFonts w:ascii="Times New Roman" w:hAnsi="Times New Roman"/>
          <w:color w:val="000000" w:themeColor="text1"/>
          <w:sz w:val="16"/>
          <w:szCs w:val="16"/>
        </w:rPr>
        <w:softHyphen/>
        <w:t>щиках не было. Этот класс самолетов появился поз</w:t>
      </w:r>
      <w:r w:rsidRPr="0044524F">
        <w:rPr>
          <w:rFonts w:ascii="Times New Roman" w:hAnsi="Times New Roman"/>
          <w:color w:val="000000" w:themeColor="text1"/>
          <w:sz w:val="16"/>
          <w:szCs w:val="16"/>
        </w:rPr>
        <w:softHyphen/>
        <w:t>же, после принятия 14 июля 1934 года постановления СТО об организации на всех крупных самолето- и мо</w:t>
      </w:r>
      <w:r w:rsidRPr="0044524F">
        <w:rPr>
          <w:rFonts w:ascii="Times New Roman" w:hAnsi="Times New Roman"/>
          <w:color w:val="000000" w:themeColor="text1"/>
          <w:sz w:val="16"/>
          <w:szCs w:val="16"/>
        </w:rPr>
        <w:softHyphen/>
        <w:t>торостроительных заводах, а также предприятиях, выпускавших вооружение и оборудование, конструк</w:t>
      </w:r>
      <w:r w:rsidRPr="0044524F">
        <w:rPr>
          <w:rFonts w:ascii="Times New Roman" w:hAnsi="Times New Roman"/>
          <w:color w:val="000000" w:themeColor="text1"/>
          <w:sz w:val="16"/>
          <w:szCs w:val="16"/>
        </w:rPr>
        <w:softHyphen/>
        <w:t>торских бюро. Это позволило сначала разгрузить ЦКБ завода № 39, а затем образовать самостоятельные опытные конструкторские бюро (23188).</w:t>
      </w:r>
    </w:p>
    <w:p w14:paraId="42779229" w14:textId="77777777" w:rsidR="00201255" w:rsidRPr="0044524F" w:rsidRDefault="00201255" w:rsidP="009654CF">
      <w:pPr>
        <w:spacing w:after="0" w:line="240" w:lineRule="auto"/>
        <w:jc w:val="both"/>
        <w:rPr>
          <w:rFonts w:ascii="Times New Roman" w:hAnsi="Times New Roman"/>
          <w:color w:val="000000" w:themeColor="text1"/>
          <w:sz w:val="16"/>
          <w:szCs w:val="16"/>
        </w:rPr>
      </w:pPr>
    </w:p>
    <w:p w14:paraId="50F2C4C9" w14:textId="77777777" w:rsidR="004F4BE1" w:rsidRPr="0044524F" w:rsidRDefault="004F4BE1"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hAnsi="Times New Roman"/>
          <w:bCs/>
          <w:color w:val="000000" w:themeColor="text1"/>
          <w:sz w:val="16"/>
          <w:szCs w:val="16"/>
        </w:rPr>
        <w:t xml:space="preserve">7 декабря </w:t>
      </w:r>
      <w:r w:rsidRPr="0044524F">
        <w:rPr>
          <w:rFonts w:ascii="Times New Roman" w:hAnsi="Times New Roman"/>
          <w:color w:val="000000" w:themeColor="text1"/>
          <w:sz w:val="16"/>
          <w:szCs w:val="16"/>
        </w:rPr>
        <w:t>в 1933 году в Москве проходила Всесоюзная конференция по телевидению. На ней обсуждались вопросы состояния техники телевидения в СССР, были намечены пути дальнейшего развития, подготовлены первые стандарты аппаратуры для телевидения (14853).</w:t>
      </w:r>
    </w:p>
    <w:p w14:paraId="0C74466A" w14:textId="77777777" w:rsidR="004F4BE1" w:rsidRPr="0044524F" w:rsidRDefault="004F4BE1" w:rsidP="009654CF">
      <w:pPr>
        <w:spacing w:after="0" w:line="240" w:lineRule="auto"/>
        <w:jc w:val="both"/>
        <w:rPr>
          <w:rFonts w:ascii="Times New Roman" w:hAnsi="Times New Roman"/>
          <w:color w:val="000000" w:themeColor="text1"/>
          <w:sz w:val="16"/>
          <w:szCs w:val="16"/>
        </w:rPr>
      </w:pPr>
    </w:p>
    <w:p w14:paraId="63BDF97E" w14:textId="77777777" w:rsidR="004F4BE1"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A193E54" w14:textId="77777777" w:rsidR="004F4BE1" w:rsidRPr="0044524F" w:rsidRDefault="004F4BE1"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78D1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декабря 1933 вышло постановление СНК СССР № 2640, предписавшее: «Ввиду увеличения габаритов канала Волга-Москва и сооружений на нем, а также ввиду значительного увеличения в связи с этим объема работ, срок окончания строительства продлить до конца 1935 года с тем, что в эксплуатацию канал вступит с начала навигации 1936 года; ввиду плохой пропускной способности Савеловской железнодорожной линии при нынешнем ее состоянии и невозможности обеспечить перевозки Москволгостроя, признать необходимым в течение 1934 года не позднее августа-сентября уложить вторые пути на участке Хлебниково - Дмитров (45 км.)» (7560).</w:t>
      </w:r>
    </w:p>
    <w:p w14:paraId="06F853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F9A2BC5"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88E1E66"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C47322E"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декабря 1933</w:t>
      </w:r>
    </w:p>
    <w:p w14:paraId="625CE10E"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УТВЕРЖДАЮ</w:t>
      </w:r>
    </w:p>
    <w:p w14:paraId="2032C7D4"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ВОЕННЫХ. ВОЗДУШНЫХ СИЛ РККА</w:t>
      </w:r>
    </w:p>
    <w:p w14:paraId="5728DF83"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/АЛКСНИС/ ’ «8» декабря 1933г.</w:t>
      </w:r>
    </w:p>
    <w:p w14:paraId="56139A14"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ТЕХНИЧЕСКИЕ ТРЕБОВАНИЯ К САМОЛЕТУ "МАКСИМ ГОРЬКИЙ" 8 МОТОРОВ М-34Р /Е = 7/ В ВОЕННОМ ВАРИАНТЕ В ЧАСТИ ЭКСПЛОАТАЦИИ ЛЕТНОЙ.ТЕХ- НИЧЕСКОЙ И ВООРУЖЕНИЯ НА ОСНОВЕ ОПЫТА ГОСУДАРСТВЕН</w:t>
      </w:r>
      <w:r w:rsidRPr="0044524F">
        <w:rPr>
          <w:rFonts w:ascii="Times New Roman" w:hAnsi="Times New Roman"/>
          <w:color w:val="000000" w:themeColor="text1"/>
          <w:sz w:val="16"/>
          <w:szCs w:val="16"/>
        </w:rPr>
        <w:softHyphen/>
        <w:t>НЫХ ИСПЫТАНИЙ САМОЛЕТА ТБ4-6М34.</w:t>
      </w:r>
    </w:p>
    <w:p w14:paraId="490AC3E9"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ЛЕТНАЯ ЭКСПЛОАТАЦИЯ</w:t>
      </w:r>
    </w:p>
    <w:p w14:paraId="3D0AA8E5"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Самолет должен допускать горизонтальный полет на боевой высоте с одним выключенным мотором и на высоте 2000 м - с двумя выключенными моторами.</w:t>
      </w:r>
    </w:p>
    <w:p w14:paraId="5CFE3E91"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Посадочная скорость самолета не должна превосходить ТОО км/час</w:t>
      </w:r>
    </w:p>
    <w:p w14:paraId="20B337AA"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Длина разбега не должна превышать 400 м.</w:t>
      </w:r>
    </w:p>
    <w:p w14:paraId="166B3952"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Длина пробега при действии тормозов не должна превышать 300 метров, при отказе тормозов - 400 м</w:t>
      </w:r>
    </w:p>
    <w:p w14:paraId="2A82B9FC"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Рули высоты к поворота должны обладать "флетнерами" или серворулями, максимально разгружающими летчика на всех присущих самолету режимах полета и должны заменить сущест</w:t>
      </w:r>
      <w:r w:rsidRPr="0044524F">
        <w:rPr>
          <w:rFonts w:ascii="Times New Roman" w:hAnsi="Times New Roman"/>
          <w:color w:val="000000" w:themeColor="text1"/>
          <w:sz w:val="16"/>
          <w:szCs w:val="16"/>
        </w:rPr>
        <w:softHyphen/>
        <w:t>вующую мало аффективную компенсацию ножного управления.</w:t>
      </w:r>
    </w:p>
    <w:p w14:paraId="7425BF0D"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 ЭКСПЛОАТАЦИЯ ВООРУЖЕНИЯ</w:t>
      </w:r>
    </w:p>
    <w:p w14:paraId="671F5300"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Подвеска бомбх снаряжение патронами и снарядами, производимые одновременно с заправкой самолета бензином, маслом и водой, должны укладываться в 30 минут и ни одной минуты больше. На случай отказа системы электроподвески бомб должна быть предусмотрена ручная подвеска.</w:t>
      </w:r>
    </w:p>
    <w:p w14:paraId="37C01BD0"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Смазанные электролебедки и электроспуск должны работать безотказно при морозе - 50°.</w:t>
      </w:r>
    </w:p>
    <w:p w14:paraId="5FF7DB38"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Обеспечить невозможность случайного сбрасывания при пользова</w:t>
      </w:r>
      <w:r w:rsidRPr="0044524F">
        <w:rPr>
          <w:rFonts w:ascii="Times New Roman" w:hAnsi="Times New Roman"/>
          <w:color w:val="000000" w:themeColor="text1"/>
          <w:sz w:val="16"/>
          <w:szCs w:val="16"/>
        </w:rPr>
        <w:softHyphen/>
        <w:t>нии механическим сбрасыванием боевых бомб вместо пристрелоч</w:t>
      </w:r>
      <w:r w:rsidRPr="0044524F">
        <w:rPr>
          <w:rFonts w:ascii="Times New Roman" w:hAnsi="Times New Roman"/>
          <w:color w:val="000000" w:themeColor="text1"/>
          <w:sz w:val="16"/>
          <w:szCs w:val="16"/>
        </w:rPr>
        <w:softHyphen/>
        <w:t>ных (желательно разделение сбрасывателей).</w:t>
      </w:r>
    </w:p>
    <w:p w14:paraId="42A1D952"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Сделать в "бороде" окна в передней стенке и в полу (до уста</w:t>
      </w:r>
      <w:r w:rsidRPr="0044524F">
        <w:rPr>
          <w:rFonts w:ascii="Times New Roman" w:hAnsi="Times New Roman"/>
          <w:color w:val="000000" w:themeColor="text1"/>
          <w:sz w:val="16"/>
          <w:szCs w:val="16"/>
        </w:rPr>
        <w:softHyphen/>
        <w:t>новки "Герца").</w:t>
      </w:r>
    </w:p>
    <w:p w14:paraId="561B00CB"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Сделать возможной стрельбу из задней пушечной установки за верхними моторами путем устройства соответствующего экрана</w:t>
      </w:r>
    </w:p>
    <w:p w14:paraId="64FA5C10" w14:textId="77777777" w:rsidR="00CE56A5" w:rsidRPr="0044524F" w:rsidRDefault="00CE56A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ГЛАВНЫЙ ИНЖЕНЕР МЕХАНИК ВВС РККА (АУЗАН) (21240).</w:t>
      </w:r>
    </w:p>
    <w:p w14:paraId="73AAB65D" w14:textId="77777777" w:rsidR="00CE56A5" w:rsidRPr="0044524F" w:rsidRDefault="00CE56A5" w:rsidP="009654CF">
      <w:pPr>
        <w:spacing w:after="0" w:line="240" w:lineRule="auto"/>
        <w:jc w:val="both"/>
        <w:rPr>
          <w:rFonts w:ascii="Times New Roman" w:hAnsi="Times New Roman"/>
          <w:color w:val="000000" w:themeColor="text1"/>
          <w:sz w:val="16"/>
          <w:szCs w:val="16"/>
        </w:rPr>
      </w:pPr>
    </w:p>
    <w:p w14:paraId="5F3116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декабря 1933 был подготовлен План опытного строительства ВВС РККА на 1934-35 гг. (351).</w:t>
      </w:r>
    </w:p>
    <w:p w14:paraId="793473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 самолеты на 1934-1935 (по плану опытного строительства от 8 декабря 1933)</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2063"/>
        <w:gridCol w:w="1915"/>
        <w:gridCol w:w="1550"/>
        <w:gridCol w:w="1321"/>
        <w:gridCol w:w="1371"/>
      </w:tblGrid>
      <w:tr w:rsidR="004E10C1" w:rsidRPr="0044524F" w14:paraId="6E584253" w14:textId="77777777">
        <w:tc>
          <w:tcPr>
            <w:tcW w:w="2235" w:type="dxa"/>
          </w:tcPr>
          <w:p w14:paraId="6C430D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Литерное</w:t>
            </w:r>
          </w:p>
        </w:tc>
        <w:tc>
          <w:tcPr>
            <w:tcW w:w="2063" w:type="dxa"/>
          </w:tcPr>
          <w:p w14:paraId="637CB4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Военное</w:t>
            </w:r>
          </w:p>
        </w:tc>
        <w:tc>
          <w:tcPr>
            <w:tcW w:w="1915" w:type="dxa"/>
          </w:tcPr>
          <w:p w14:paraId="422B03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Гражданское</w:t>
            </w:r>
          </w:p>
        </w:tc>
        <w:tc>
          <w:tcPr>
            <w:tcW w:w="1550" w:type="dxa"/>
          </w:tcPr>
          <w:p w14:paraId="071FB1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Проектант</w:t>
            </w:r>
          </w:p>
        </w:tc>
        <w:tc>
          <w:tcPr>
            <w:tcW w:w="1321" w:type="dxa"/>
          </w:tcPr>
          <w:p w14:paraId="65F9CC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w:t>
            </w:r>
          </w:p>
        </w:tc>
        <w:tc>
          <w:tcPr>
            <w:tcW w:w="1371" w:type="dxa"/>
          </w:tcPr>
          <w:p w14:paraId="3B2750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Примечания</w:t>
            </w:r>
          </w:p>
        </w:tc>
      </w:tr>
      <w:tr w:rsidR="004E10C1" w:rsidRPr="0044524F" w14:paraId="61C46A9B" w14:textId="77777777">
        <w:tc>
          <w:tcPr>
            <w:tcW w:w="2235" w:type="dxa"/>
          </w:tcPr>
          <w:p w14:paraId="4AF56D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обозначение</w:t>
            </w:r>
          </w:p>
        </w:tc>
        <w:tc>
          <w:tcPr>
            <w:tcW w:w="2063" w:type="dxa"/>
          </w:tcPr>
          <w:p w14:paraId="446851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tc>
        <w:tc>
          <w:tcPr>
            <w:tcW w:w="1915" w:type="dxa"/>
          </w:tcPr>
          <w:p w14:paraId="711C8B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w:t>
            </w:r>
          </w:p>
        </w:tc>
        <w:tc>
          <w:tcPr>
            <w:tcW w:w="1550" w:type="dxa"/>
          </w:tcPr>
          <w:p w14:paraId="6F17FE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699E0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84ECA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4B4CFBD" w14:textId="77777777">
        <w:tc>
          <w:tcPr>
            <w:tcW w:w="2235" w:type="dxa"/>
          </w:tcPr>
          <w:p w14:paraId="473AB4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w:t>
            </w:r>
          </w:p>
        </w:tc>
        <w:tc>
          <w:tcPr>
            <w:tcW w:w="2063" w:type="dxa"/>
          </w:tcPr>
          <w:p w14:paraId="321CCD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60DF2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02F2B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CA2B1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87968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25130E9" w14:textId="77777777">
        <w:tc>
          <w:tcPr>
            <w:tcW w:w="2235" w:type="dxa"/>
          </w:tcPr>
          <w:p w14:paraId="379269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Бомбардировщики:</w:t>
            </w:r>
          </w:p>
        </w:tc>
        <w:tc>
          <w:tcPr>
            <w:tcW w:w="2063" w:type="dxa"/>
          </w:tcPr>
          <w:p w14:paraId="06F051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C71B3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0FC04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F5407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5BA2C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F1B81E7" w14:textId="77777777">
        <w:tc>
          <w:tcPr>
            <w:tcW w:w="2235" w:type="dxa"/>
          </w:tcPr>
          <w:p w14:paraId="7FCE0D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ТБ7-4М34ФРН/Исп.</w:t>
            </w:r>
          </w:p>
        </w:tc>
        <w:tc>
          <w:tcPr>
            <w:tcW w:w="2063" w:type="dxa"/>
          </w:tcPr>
          <w:p w14:paraId="1EE98D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бомб.</w:t>
            </w:r>
          </w:p>
        </w:tc>
        <w:tc>
          <w:tcPr>
            <w:tcW w:w="1915" w:type="dxa"/>
          </w:tcPr>
          <w:p w14:paraId="00F84E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 на 20-25 мест</w:t>
            </w:r>
          </w:p>
        </w:tc>
        <w:tc>
          <w:tcPr>
            <w:tcW w:w="1550" w:type="dxa"/>
          </w:tcPr>
          <w:p w14:paraId="50DB90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124CFA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01.05.1935</w:t>
            </w:r>
          </w:p>
        </w:tc>
        <w:tc>
          <w:tcPr>
            <w:tcW w:w="1371" w:type="dxa"/>
          </w:tcPr>
          <w:p w14:paraId="2E2E3E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Развитие ТБ3</w:t>
            </w:r>
          </w:p>
        </w:tc>
      </w:tr>
      <w:tr w:rsidR="004E10C1" w:rsidRPr="0044524F" w14:paraId="22D654EF" w14:textId="77777777">
        <w:tc>
          <w:tcPr>
            <w:tcW w:w="2235" w:type="dxa"/>
          </w:tcPr>
          <w:p w14:paraId="1D5348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СБ2-2РЦ/Исп.</w:t>
            </w:r>
          </w:p>
        </w:tc>
        <w:tc>
          <w:tcPr>
            <w:tcW w:w="2063" w:type="dxa"/>
          </w:tcPr>
          <w:p w14:paraId="1EFEBE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Скоростн. бомб.</w:t>
            </w:r>
          </w:p>
        </w:tc>
        <w:tc>
          <w:tcPr>
            <w:tcW w:w="1915" w:type="dxa"/>
          </w:tcPr>
          <w:p w14:paraId="2DD101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 на 10-12 мест</w:t>
            </w:r>
          </w:p>
        </w:tc>
        <w:tc>
          <w:tcPr>
            <w:tcW w:w="1550" w:type="dxa"/>
          </w:tcPr>
          <w:p w14:paraId="463E30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5AE78A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01.09.1934</w:t>
            </w:r>
          </w:p>
        </w:tc>
        <w:tc>
          <w:tcPr>
            <w:tcW w:w="1371" w:type="dxa"/>
          </w:tcPr>
          <w:p w14:paraId="7FB376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 вар. треб.</w:t>
            </w:r>
          </w:p>
        </w:tc>
      </w:tr>
      <w:tr w:rsidR="004E10C1" w:rsidRPr="0044524F" w14:paraId="18FAE593" w14:textId="77777777">
        <w:tc>
          <w:tcPr>
            <w:tcW w:w="2235" w:type="dxa"/>
          </w:tcPr>
          <w:p w14:paraId="13852A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76BB08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04888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9A869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CE990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760D5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5E0552B" w14:textId="77777777">
        <w:tc>
          <w:tcPr>
            <w:tcW w:w="2235" w:type="dxa"/>
          </w:tcPr>
          <w:p w14:paraId="6C45E6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ЛБ2-М34ФРН/Исп.</w:t>
            </w:r>
          </w:p>
        </w:tc>
        <w:tc>
          <w:tcPr>
            <w:tcW w:w="2063" w:type="dxa"/>
          </w:tcPr>
          <w:p w14:paraId="5096B2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Легкий бом.</w:t>
            </w:r>
          </w:p>
        </w:tc>
        <w:tc>
          <w:tcPr>
            <w:tcW w:w="1915" w:type="dxa"/>
          </w:tcPr>
          <w:p w14:paraId="404A9A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Почтовый</w:t>
            </w:r>
          </w:p>
        </w:tc>
        <w:tc>
          <w:tcPr>
            <w:tcW w:w="1550" w:type="dxa"/>
          </w:tcPr>
          <w:p w14:paraId="09052F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26EFC9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01.12.1934</w:t>
            </w:r>
          </w:p>
        </w:tc>
        <w:tc>
          <w:tcPr>
            <w:tcW w:w="1371" w:type="dxa"/>
          </w:tcPr>
          <w:p w14:paraId="58162D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 до 2500</w:t>
            </w:r>
          </w:p>
        </w:tc>
      </w:tr>
      <w:tr w:rsidR="004E10C1" w:rsidRPr="0044524F" w14:paraId="4C6FB421" w14:textId="77777777">
        <w:tc>
          <w:tcPr>
            <w:tcW w:w="2235" w:type="dxa"/>
          </w:tcPr>
          <w:p w14:paraId="6A3045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Крейсера:</w:t>
            </w:r>
          </w:p>
        </w:tc>
        <w:tc>
          <w:tcPr>
            <w:tcW w:w="2063" w:type="dxa"/>
          </w:tcPr>
          <w:p w14:paraId="58F4F0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7C2CC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72A7E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44947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A3A5F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94DB7B1" w14:textId="77777777">
        <w:tc>
          <w:tcPr>
            <w:tcW w:w="2235" w:type="dxa"/>
          </w:tcPr>
          <w:p w14:paraId="745E3A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ЛК1-2Исп.</w:t>
            </w:r>
          </w:p>
        </w:tc>
        <w:tc>
          <w:tcPr>
            <w:tcW w:w="2063" w:type="dxa"/>
          </w:tcPr>
          <w:p w14:paraId="5DE498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крейсер</w:t>
            </w:r>
          </w:p>
        </w:tc>
        <w:tc>
          <w:tcPr>
            <w:tcW w:w="1915" w:type="dxa"/>
          </w:tcPr>
          <w:p w14:paraId="25ABDF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4DAE26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2CF6E4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01.12.1934</w:t>
            </w:r>
          </w:p>
        </w:tc>
        <w:tc>
          <w:tcPr>
            <w:tcW w:w="1371" w:type="dxa"/>
          </w:tcPr>
          <w:p w14:paraId="16B217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A83CB62" w14:textId="77777777">
        <w:tc>
          <w:tcPr>
            <w:tcW w:w="2235" w:type="dxa"/>
          </w:tcPr>
          <w:p w14:paraId="458CE9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Штурмовики:</w:t>
            </w:r>
          </w:p>
        </w:tc>
        <w:tc>
          <w:tcPr>
            <w:tcW w:w="2063" w:type="dxa"/>
          </w:tcPr>
          <w:p w14:paraId="49D94D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08189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48C39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27C05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ADC24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53AABD8" w14:textId="77777777">
        <w:tc>
          <w:tcPr>
            <w:tcW w:w="2235" w:type="dxa"/>
          </w:tcPr>
          <w:p w14:paraId="0D1E67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ТШ3-М34</w:t>
            </w:r>
          </w:p>
        </w:tc>
        <w:tc>
          <w:tcPr>
            <w:tcW w:w="2063" w:type="dxa"/>
          </w:tcPr>
          <w:p w14:paraId="627F72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бр. штурм.</w:t>
            </w:r>
          </w:p>
        </w:tc>
        <w:tc>
          <w:tcPr>
            <w:tcW w:w="1915" w:type="dxa"/>
          </w:tcPr>
          <w:p w14:paraId="4E5EC0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Паcсажирский</w:t>
            </w:r>
          </w:p>
        </w:tc>
        <w:tc>
          <w:tcPr>
            <w:tcW w:w="1550" w:type="dxa"/>
          </w:tcPr>
          <w:p w14:paraId="241AE2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367292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01.06.1934</w:t>
            </w:r>
          </w:p>
        </w:tc>
        <w:tc>
          <w:tcPr>
            <w:tcW w:w="1371" w:type="dxa"/>
          </w:tcPr>
          <w:p w14:paraId="645F40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 вар. треб.</w:t>
            </w:r>
          </w:p>
        </w:tc>
      </w:tr>
      <w:tr w:rsidR="004E10C1" w:rsidRPr="0044524F" w14:paraId="2FDBFF6D" w14:textId="77777777">
        <w:tc>
          <w:tcPr>
            <w:tcW w:w="2235" w:type="dxa"/>
          </w:tcPr>
          <w:p w14:paraId="26DF57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12DE2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869AA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8C198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60DE5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E2295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друг. фюз.</w:t>
            </w:r>
          </w:p>
        </w:tc>
      </w:tr>
      <w:tr w:rsidR="004E10C1" w:rsidRPr="0044524F" w14:paraId="5430E4B4" w14:textId="77777777">
        <w:tc>
          <w:tcPr>
            <w:tcW w:w="2235" w:type="dxa"/>
          </w:tcPr>
          <w:p w14:paraId="25E2BE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Истребители:</w:t>
            </w:r>
          </w:p>
        </w:tc>
        <w:tc>
          <w:tcPr>
            <w:tcW w:w="2063" w:type="dxa"/>
          </w:tcPr>
          <w:p w14:paraId="06B906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33B43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3A022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14F12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18E1E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AA90054" w14:textId="77777777">
        <w:tc>
          <w:tcPr>
            <w:tcW w:w="2235" w:type="dxa"/>
          </w:tcPr>
          <w:p w14:paraId="72C2B4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И17-Исп.</w:t>
            </w:r>
          </w:p>
        </w:tc>
        <w:tc>
          <w:tcPr>
            <w:tcW w:w="2063" w:type="dxa"/>
          </w:tcPr>
          <w:p w14:paraId="329E9C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915" w:type="dxa"/>
          </w:tcPr>
          <w:p w14:paraId="09EE47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15392C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4D6642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01.08.1934</w:t>
            </w:r>
          </w:p>
        </w:tc>
        <w:tc>
          <w:tcPr>
            <w:tcW w:w="1371" w:type="dxa"/>
          </w:tcPr>
          <w:p w14:paraId="6713B8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 вар. М17</w:t>
            </w:r>
          </w:p>
        </w:tc>
      </w:tr>
      <w:tr w:rsidR="004E10C1" w:rsidRPr="0044524F" w14:paraId="605519B7" w14:textId="77777777">
        <w:tc>
          <w:tcPr>
            <w:tcW w:w="2235" w:type="dxa"/>
          </w:tcPr>
          <w:p w14:paraId="407EA0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ИП2-Исп.</w:t>
            </w:r>
          </w:p>
        </w:tc>
        <w:tc>
          <w:tcPr>
            <w:tcW w:w="2063" w:type="dxa"/>
          </w:tcPr>
          <w:p w14:paraId="54D5F2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 пуш. истр.</w:t>
            </w:r>
          </w:p>
        </w:tc>
        <w:tc>
          <w:tcPr>
            <w:tcW w:w="1915" w:type="dxa"/>
          </w:tcPr>
          <w:p w14:paraId="2EBB03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57768A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79B4DB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01.09.1934</w:t>
            </w:r>
          </w:p>
        </w:tc>
        <w:tc>
          <w:tcPr>
            <w:tcW w:w="1371" w:type="dxa"/>
          </w:tcPr>
          <w:p w14:paraId="2A497D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A731671" w14:textId="77777777">
        <w:tc>
          <w:tcPr>
            <w:tcW w:w="2235" w:type="dxa"/>
          </w:tcPr>
          <w:p w14:paraId="3BC87B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ДИ6-РЦ</w:t>
            </w:r>
          </w:p>
        </w:tc>
        <w:tc>
          <w:tcPr>
            <w:tcW w:w="2063" w:type="dxa"/>
          </w:tcPr>
          <w:p w14:paraId="154692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 истр.</w:t>
            </w:r>
          </w:p>
        </w:tc>
        <w:tc>
          <w:tcPr>
            <w:tcW w:w="1915" w:type="dxa"/>
          </w:tcPr>
          <w:p w14:paraId="4F63B8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3FB15C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1232D0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1371" w:type="dxa"/>
          </w:tcPr>
          <w:p w14:paraId="426868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CE04718" w14:textId="77777777">
        <w:tc>
          <w:tcPr>
            <w:tcW w:w="2235" w:type="dxa"/>
          </w:tcPr>
          <w:p w14:paraId="6C30CE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ДИ7-Исп.</w:t>
            </w:r>
          </w:p>
        </w:tc>
        <w:tc>
          <w:tcPr>
            <w:tcW w:w="2063" w:type="dxa"/>
          </w:tcPr>
          <w:p w14:paraId="2775DD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Двухмест. истр.</w:t>
            </w:r>
          </w:p>
        </w:tc>
        <w:tc>
          <w:tcPr>
            <w:tcW w:w="1915" w:type="dxa"/>
          </w:tcPr>
          <w:p w14:paraId="6FAE0E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037592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Звм. 39</w:t>
            </w:r>
          </w:p>
        </w:tc>
        <w:tc>
          <w:tcPr>
            <w:tcW w:w="1321" w:type="dxa"/>
          </w:tcPr>
          <w:p w14:paraId="5090BD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01.08.1934</w:t>
            </w:r>
          </w:p>
        </w:tc>
        <w:tc>
          <w:tcPr>
            <w:tcW w:w="1371" w:type="dxa"/>
          </w:tcPr>
          <w:p w14:paraId="5BB514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41C00FF" w14:textId="77777777">
        <w:tc>
          <w:tcPr>
            <w:tcW w:w="2235" w:type="dxa"/>
          </w:tcPr>
          <w:p w14:paraId="531440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МИ4-2РЦ/Исп.</w:t>
            </w:r>
          </w:p>
        </w:tc>
        <w:tc>
          <w:tcPr>
            <w:tcW w:w="2063" w:type="dxa"/>
          </w:tcPr>
          <w:p w14:paraId="4AF4C3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Многом. истр.</w:t>
            </w:r>
          </w:p>
        </w:tc>
        <w:tc>
          <w:tcPr>
            <w:tcW w:w="1915" w:type="dxa"/>
          </w:tcPr>
          <w:p w14:paraId="2B09C3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308EBE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6F3E3A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371" w:type="dxa"/>
          </w:tcPr>
          <w:p w14:paraId="4147A1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EA3C527" w14:textId="77777777">
        <w:tc>
          <w:tcPr>
            <w:tcW w:w="2235" w:type="dxa"/>
          </w:tcPr>
          <w:p w14:paraId="715F39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w:t>
            </w:r>
          </w:p>
        </w:tc>
        <w:tc>
          <w:tcPr>
            <w:tcW w:w="2063" w:type="dxa"/>
          </w:tcPr>
          <w:p w14:paraId="6D20C3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D08E9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9E3AF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EDC93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F2021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0BF3C79" w14:textId="77777777">
        <w:tc>
          <w:tcPr>
            <w:tcW w:w="2235" w:type="dxa"/>
          </w:tcPr>
          <w:p w14:paraId="1BCF65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СР-М34ФРН/Исп.</w:t>
            </w:r>
          </w:p>
        </w:tc>
        <w:tc>
          <w:tcPr>
            <w:tcW w:w="2063" w:type="dxa"/>
          </w:tcPr>
          <w:p w14:paraId="7E637A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 разведчик</w:t>
            </w:r>
          </w:p>
        </w:tc>
        <w:tc>
          <w:tcPr>
            <w:tcW w:w="1915" w:type="dxa"/>
          </w:tcPr>
          <w:p w14:paraId="49694D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67D5C0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w:t>
            </w:r>
          </w:p>
        </w:tc>
        <w:tc>
          <w:tcPr>
            <w:tcW w:w="1321" w:type="dxa"/>
          </w:tcPr>
          <w:p w14:paraId="0E4A13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01.05.1935</w:t>
            </w:r>
          </w:p>
        </w:tc>
        <w:tc>
          <w:tcPr>
            <w:tcW w:w="1371" w:type="dxa"/>
          </w:tcPr>
          <w:p w14:paraId="4AC9F4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F2B2619" w14:textId="77777777">
        <w:tc>
          <w:tcPr>
            <w:tcW w:w="2235" w:type="dxa"/>
          </w:tcPr>
          <w:p w14:paraId="037FB5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СР-РЦ</w:t>
            </w:r>
          </w:p>
        </w:tc>
        <w:tc>
          <w:tcPr>
            <w:tcW w:w="2063" w:type="dxa"/>
          </w:tcPr>
          <w:p w14:paraId="556ECD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Тр.разв. поля боя</w:t>
            </w:r>
          </w:p>
        </w:tc>
        <w:tc>
          <w:tcPr>
            <w:tcW w:w="1915" w:type="dxa"/>
          </w:tcPr>
          <w:p w14:paraId="16DAC2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15C51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2DBF97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01.06.1935</w:t>
            </w:r>
          </w:p>
        </w:tc>
        <w:tc>
          <w:tcPr>
            <w:tcW w:w="1371" w:type="dxa"/>
          </w:tcPr>
          <w:p w14:paraId="2A2B03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110-300 км/ч</w:t>
            </w:r>
          </w:p>
        </w:tc>
      </w:tr>
      <w:tr w:rsidR="004E10C1" w:rsidRPr="0044524F" w14:paraId="60930092" w14:textId="77777777">
        <w:tc>
          <w:tcPr>
            <w:tcW w:w="2235" w:type="dxa"/>
          </w:tcPr>
          <w:p w14:paraId="456167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Р8-РЦ</w:t>
            </w:r>
          </w:p>
        </w:tc>
        <w:tc>
          <w:tcPr>
            <w:tcW w:w="2063" w:type="dxa"/>
          </w:tcPr>
          <w:p w14:paraId="44D01C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 Туркестана</w:t>
            </w:r>
          </w:p>
        </w:tc>
        <w:tc>
          <w:tcPr>
            <w:tcW w:w="1915" w:type="dxa"/>
          </w:tcPr>
          <w:p w14:paraId="7ED851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Почтовый</w:t>
            </w:r>
          </w:p>
        </w:tc>
        <w:tc>
          <w:tcPr>
            <w:tcW w:w="1550" w:type="dxa"/>
          </w:tcPr>
          <w:p w14:paraId="4BAF70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2469DB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01.11.1935</w:t>
            </w:r>
          </w:p>
        </w:tc>
        <w:tc>
          <w:tcPr>
            <w:tcW w:w="1371" w:type="dxa"/>
          </w:tcPr>
          <w:p w14:paraId="0C20C7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590D0F3" w14:textId="77777777">
        <w:tc>
          <w:tcPr>
            <w:tcW w:w="2235" w:type="dxa"/>
          </w:tcPr>
          <w:p w14:paraId="0289D7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Транспортные:</w:t>
            </w:r>
          </w:p>
        </w:tc>
        <w:tc>
          <w:tcPr>
            <w:tcW w:w="2063" w:type="dxa"/>
          </w:tcPr>
          <w:p w14:paraId="7D148A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80E29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24B7D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52A98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E25A7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EFAC03B" w14:textId="77777777">
        <w:tc>
          <w:tcPr>
            <w:tcW w:w="2235" w:type="dxa"/>
          </w:tcPr>
          <w:p w14:paraId="7FACE4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Т1-М34Р</w:t>
            </w:r>
          </w:p>
        </w:tc>
        <w:tc>
          <w:tcPr>
            <w:tcW w:w="2063" w:type="dxa"/>
          </w:tcPr>
          <w:p w14:paraId="26B978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Транспортн.</w:t>
            </w:r>
          </w:p>
        </w:tc>
        <w:tc>
          <w:tcPr>
            <w:tcW w:w="1915" w:type="dxa"/>
          </w:tcPr>
          <w:p w14:paraId="345FC3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Транспортн.</w:t>
            </w:r>
          </w:p>
        </w:tc>
        <w:tc>
          <w:tcPr>
            <w:tcW w:w="1550" w:type="dxa"/>
          </w:tcPr>
          <w:p w14:paraId="58C9DB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ВВА + Зав. 1</w:t>
            </w:r>
          </w:p>
        </w:tc>
        <w:tc>
          <w:tcPr>
            <w:tcW w:w="1321" w:type="dxa"/>
          </w:tcPr>
          <w:p w14:paraId="52F996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01.09.1934</w:t>
            </w:r>
          </w:p>
        </w:tc>
        <w:tc>
          <w:tcPr>
            <w:tcW w:w="1371" w:type="dxa"/>
          </w:tcPr>
          <w:p w14:paraId="4C024A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A746544" w14:textId="77777777">
        <w:tc>
          <w:tcPr>
            <w:tcW w:w="2235" w:type="dxa"/>
          </w:tcPr>
          <w:p w14:paraId="44AD63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Учебные:</w:t>
            </w:r>
          </w:p>
        </w:tc>
        <w:tc>
          <w:tcPr>
            <w:tcW w:w="2063" w:type="dxa"/>
          </w:tcPr>
          <w:p w14:paraId="4ACB94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EFAA5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09B2C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C054F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2CDC1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52AD20C" w14:textId="77777777">
        <w:tc>
          <w:tcPr>
            <w:tcW w:w="2235" w:type="dxa"/>
          </w:tcPr>
          <w:p w14:paraId="0E5DD5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У3-М48</w:t>
            </w:r>
          </w:p>
        </w:tc>
        <w:tc>
          <w:tcPr>
            <w:tcW w:w="2063" w:type="dxa"/>
          </w:tcPr>
          <w:p w14:paraId="40D328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 боев.</w:t>
            </w:r>
          </w:p>
        </w:tc>
        <w:tc>
          <w:tcPr>
            <w:tcW w:w="1915" w:type="dxa"/>
          </w:tcPr>
          <w:p w14:paraId="7FC28A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 санит.</w:t>
            </w:r>
          </w:p>
        </w:tc>
        <w:tc>
          <w:tcPr>
            <w:tcW w:w="1550" w:type="dxa"/>
          </w:tcPr>
          <w:p w14:paraId="653BE3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23</w:t>
            </w:r>
          </w:p>
        </w:tc>
        <w:tc>
          <w:tcPr>
            <w:tcW w:w="1321" w:type="dxa"/>
          </w:tcPr>
          <w:p w14:paraId="45926E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01.06.1934</w:t>
            </w:r>
          </w:p>
        </w:tc>
        <w:tc>
          <w:tcPr>
            <w:tcW w:w="1371" w:type="dxa"/>
          </w:tcPr>
          <w:p w14:paraId="1D92D6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E3B3B3B" w14:textId="77777777">
        <w:tc>
          <w:tcPr>
            <w:tcW w:w="2235" w:type="dxa"/>
          </w:tcPr>
          <w:p w14:paraId="76C8CC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105E43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 и связь</w:t>
            </w:r>
          </w:p>
        </w:tc>
        <w:tc>
          <w:tcPr>
            <w:tcW w:w="1915" w:type="dxa"/>
          </w:tcPr>
          <w:p w14:paraId="0B5551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спорт, исполком.</w:t>
            </w:r>
          </w:p>
        </w:tc>
        <w:tc>
          <w:tcPr>
            <w:tcW w:w="1550" w:type="dxa"/>
          </w:tcPr>
          <w:p w14:paraId="6334D4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CBBBA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8FFF3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E181B08" w14:textId="77777777">
        <w:tc>
          <w:tcPr>
            <w:tcW w:w="2235" w:type="dxa"/>
          </w:tcPr>
          <w:p w14:paraId="615C07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У3-М49</w:t>
            </w:r>
          </w:p>
        </w:tc>
        <w:tc>
          <w:tcPr>
            <w:tcW w:w="2063" w:type="dxa"/>
          </w:tcPr>
          <w:p w14:paraId="22863A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w:t>
            </w:r>
          </w:p>
        </w:tc>
        <w:tc>
          <w:tcPr>
            <w:tcW w:w="1915" w:type="dxa"/>
          </w:tcPr>
          <w:p w14:paraId="12862C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w:t>
            </w:r>
          </w:p>
        </w:tc>
        <w:tc>
          <w:tcPr>
            <w:tcW w:w="1550" w:type="dxa"/>
          </w:tcPr>
          <w:p w14:paraId="406CF8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ГВФ</w:t>
            </w:r>
          </w:p>
        </w:tc>
        <w:tc>
          <w:tcPr>
            <w:tcW w:w="1321" w:type="dxa"/>
          </w:tcPr>
          <w:p w14:paraId="2F8B4E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01.10.1934</w:t>
            </w:r>
          </w:p>
        </w:tc>
        <w:tc>
          <w:tcPr>
            <w:tcW w:w="1371" w:type="dxa"/>
          </w:tcPr>
          <w:p w14:paraId="0E4F2A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EF68973" w14:textId="77777777">
        <w:tc>
          <w:tcPr>
            <w:tcW w:w="2235" w:type="dxa"/>
          </w:tcPr>
          <w:p w14:paraId="4DD1CA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Модернизации и модификации:</w:t>
            </w:r>
          </w:p>
        </w:tc>
        <w:tc>
          <w:tcPr>
            <w:tcW w:w="2063" w:type="dxa"/>
          </w:tcPr>
          <w:p w14:paraId="04419E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46D7A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706CE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B2C03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290FA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DBAB6CF" w14:textId="77777777">
        <w:tc>
          <w:tcPr>
            <w:tcW w:w="2235" w:type="dxa"/>
          </w:tcPr>
          <w:p w14:paraId="4303BB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Бомбардировщики:</w:t>
            </w:r>
          </w:p>
        </w:tc>
        <w:tc>
          <w:tcPr>
            <w:tcW w:w="2063" w:type="dxa"/>
          </w:tcPr>
          <w:p w14:paraId="013247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0E488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A5EAB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CEEE7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43704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44C2365" w14:textId="77777777">
        <w:tc>
          <w:tcPr>
            <w:tcW w:w="2235" w:type="dxa"/>
          </w:tcPr>
          <w:p w14:paraId="7F0427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МГ-6М34ФРН</w:t>
            </w:r>
          </w:p>
        </w:tc>
        <w:tc>
          <w:tcPr>
            <w:tcW w:w="2063" w:type="dxa"/>
          </w:tcPr>
          <w:p w14:paraId="5D6471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бомб.</w:t>
            </w:r>
          </w:p>
        </w:tc>
        <w:tc>
          <w:tcPr>
            <w:tcW w:w="1915" w:type="dxa"/>
          </w:tcPr>
          <w:p w14:paraId="7160C6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w:t>
            </w:r>
          </w:p>
        </w:tc>
        <w:tc>
          <w:tcPr>
            <w:tcW w:w="1550" w:type="dxa"/>
          </w:tcPr>
          <w:p w14:paraId="2898F8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и Зав. 22</w:t>
            </w:r>
          </w:p>
        </w:tc>
        <w:tc>
          <w:tcPr>
            <w:tcW w:w="1321" w:type="dxa"/>
          </w:tcPr>
          <w:p w14:paraId="0F9220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01.08.1934</w:t>
            </w:r>
          </w:p>
        </w:tc>
        <w:tc>
          <w:tcPr>
            <w:tcW w:w="1371" w:type="dxa"/>
          </w:tcPr>
          <w:p w14:paraId="73EADD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0D36B25" w14:textId="77777777">
        <w:tc>
          <w:tcPr>
            <w:tcW w:w="2235" w:type="dxa"/>
          </w:tcPr>
          <w:p w14:paraId="47F6A1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ДБ1-М34</w:t>
            </w:r>
          </w:p>
        </w:tc>
        <w:tc>
          <w:tcPr>
            <w:tcW w:w="2063" w:type="dxa"/>
          </w:tcPr>
          <w:p w14:paraId="5B9A99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 бомб.</w:t>
            </w:r>
          </w:p>
        </w:tc>
        <w:tc>
          <w:tcPr>
            <w:tcW w:w="1915" w:type="dxa"/>
          </w:tcPr>
          <w:p w14:paraId="54FAD1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35352C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53ED01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1371" w:type="dxa"/>
          </w:tcPr>
          <w:p w14:paraId="465CCA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 вар.</w:t>
            </w:r>
          </w:p>
        </w:tc>
      </w:tr>
      <w:tr w:rsidR="004E10C1" w:rsidRPr="0044524F" w14:paraId="23EF1A72" w14:textId="77777777">
        <w:tc>
          <w:tcPr>
            <w:tcW w:w="2235" w:type="dxa"/>
          </w:tcPr>
          <w:p w14:paraId="79C268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ЛБ-М22</w:t>
            </w:r>
          </w:p>
        </w:tc>
        <w:tc>
          <w:tcPr>
            <w:tcW w:w="2063" w:type="dxa"/>
          </w:tcPr>
          <w:p w14:paraId="322332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бомб.</w:t>
            </w:r>
          </w:p>
        </w:tc>
        <w:tc>
          <w:tcPr>
            <w:tcW w:w="1915" w:type="dxa"/>
          </w:tcPr>
          <w:p w14:paraId="0B4332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2C0295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w:t>
            </w:r>
          </w:p>
        </w:tc>
        <w:tc>
          <w:tcPr>
            <w:tcW w:w="1321" w:type="dxa"/>
          </w:tcPr>
          <w:p w14:paraId="7A3909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01.03.1934</w:t>
            </w:r>
          </w:p>
        </w:tc>
        <w:tc>
          <w:tcPr>
            <w:tcW w:w="1371" w:type="dxa"/>
          </w:tcPr>
          <w:p w14:paraId="792F3A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Воен. ХАИ</w:t>
            </w:r>
          </w:p>
        </w:tc>
      </w:tr>
      <w:tr w:rsidR="004E10C1" w:rsidRPr="0044524F" w14:paraId="32BA157C" w14:textId="77777777">
        <w:tc>
          <w:tcPr>
            <w:tcW w:w="2235" w:type="dxa"/>
          </w:tcPr>
          <w:p w14:paraId="26D650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Штурмовики:</w:t>
            </w:r>
          </w:p>
        </w:tc>
        <w:tc>
          <w:tcPr>
            <w:tcW w:w="2063" w:type="dxa"/>
          </w:tcPr>
          <w:p w14:paraId="06E568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9EFE5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355FD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4E1C6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48C3A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BC7C04E" w14:textId="77777777">
        <w:tc>
          <w:tcPr>
            <w:tcW w:w="2235" w:type="dxa"/>
          </w:tcPr>
          <w:p w14:paraId="27D705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ЛШ1-М22</w:t>
            </w:r>
          </w:p>
        </w:tc>
        <w:tc>
          <w:tcPr>
            <w:tcW w:w="2063" w:type="dxa"/>
          </w:tcPr>
          <w:p w14:paraId="7EFC9A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штурмовик</w:t>
            </w:r>
          </w:p>
        </w:tc>
        <w:tc>
          <w:tcPr>
            <w:tcW w:w="1915" w:type="dxa"/>
          </w:tcPr>
          <w:p w14:paraId="3BD288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16BFA7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517B62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1371" w:type="dxa"/>
          </w:tcPr>
          <w:p w14:paraId="0590B6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Вар. И16</w:t>
            </w:r>
          </w:p>
        </w:tc>
      </w:tr>
      <w:tr w:rsidR="004E10C1" w:rsidRPr="0044524F" w14:paraId="158A9036" w14:textId="77777777">
        <w:tc>
          <w:tcPr>
            <w:tcW w:w="2235" w:type="dxa"/>
          </w:tcPr>
          <w:p w14:paraId="592928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ЛШ2-РЦ</w:t>
            </w:r>
          </w:p>
        </w:tc>
        <w:tc>
          <w:tcPr>
            <w:tcW w:w="2063" w:type="dxa"/>
          </w:tcPr>
          <w:p w14:paraId="1AF0AC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штурмовик</w:t>
            </w:r>
          </w:p>
        </w:tc>
        <w:tc>
          <w:tcPr>
            <w:tcW w:w="1915" w:type="dxa"/>
          </w:tcPr>
          <w:p w14:paraId="1E2965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3516FA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4D8258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01.09.1934</w:t>
            </w:r>
          </w:p>
        </w:tc>
        <w:tc>
          <w:tcPr>
            <w:tcW w:w="1371" w:type="dxa"/>
          </w:tcPr>
          <w:p w14:paraId="1C7D7F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Вар. ДИ6</w:t>
            </w:r>
          </w:p>
        </w:tc>
      </w:tr>
      <w:tr w:rsidR="004E10C1" w:rsidRPr="0044524F" w14:paraId="5855E879" w14:textId="77777777">
        <w:tc>
          <w:tcPr>
            <w:tcW w:w="2235" w:type="dxa"/>
          </w:tcPr>
          <w:p w14:paraId="7FCB21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Истребители</w:t>
            </w:r>
          </w:p>
        </w:tc>
        <w:tc>
          <w:tcPr>
            <w:tcW w:w="2063" w:type="dxa"/>
          </w:tcPr>
          <w:p w14:paraId="2EC40E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27D0B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023FC3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6336A4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24125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6A13045" w14:textId="77777777">
        <w:tc>
          <w:tcPr>
            <w:tcW w:w="2235" w:type="dxa"/>
          </w:tcPr>
          <w:p w14:paraId="72C440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ИП-М22</w:t>
            </w:r>
          </w:p>
        </w:tc>
        <w:tc>
          <w:tcPr>
            <w:tcW w:w="2063" w:type="dxa"/>
          </w:tcPr>
          <w:p w14:paraId="6DE580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 пуш. истр.</w:t>
            </w:r>
          </w:p>
        </w:tc>
        <w:tc>
          <w:tcPr>
            <w:tcW w:w="1915" w:type="dxa"/>
          </w:tcPr>
          <w:p w14:paraId="18885D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426785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1872E9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01.06.1934</w:t>
            </w:r>
          </w:p>
        </w:tc>
        <w:tc>
          <w:tcPr>
            <w:tcW w:w="1371" w:type="dxa"/>
          </w:tcPr>
          <w:p w14:paraId="0B66ED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1D56913" w14:textId="77777777">
        <w:tc>
          <w:tcPr>
            <w:tcW w:w="2235" w:type="dxa"/>
          </w:tcPr>
          <w:p w14:paraId="70C576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МИ3-2М34Н</w:t>
            </w:r>
          </w:p>
        </w:tc>
        <w:tc>
          <w:tcPr>
            <w:tcW w:w="2063" w:type="dxa"/>
          </w:tcPr>
          <w:p w14:paraId="624E7F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Многом. истр.</w:t>
            </w:r>
          </w:p>
        </w:tc>
        <w:tc>
          <w:tcPr>
            <w:tcW w:w="1915" w:type="dxa"/>
          </w:tcPr>
          <w:p w14:paraId="788E91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10792B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1395A0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01.04.1934</w:t>
            </w:r>
          </w:p>
        </w:tc>
        <w:tc>
          <w:tcPr>
            <w:tcW w:w="1371" w:type="dxa"/>
          </w:tcPr>
          <w:p w14:paraId="6E4D2D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321C636" w14:textId="77777777">
        <w:tc>
          <w:tcPr>
            <w:tcW w:w="2235" w:type="dxa"/>
          </w:tcPr>
          <w:p w14:paraId="132CBE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w:t>
            </w:r>
          </w:p>
        </w:tc>
        <w:tc>
          <w:tcPr>
            <w:tcW w:w="2063" w:type="dxa"/>
          </w:tcPr>
          <w:p w14:paraId="369D50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C350F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AA33E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3A4E5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807ED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384F7A5" w14:textId="77777777">
        <w:tc>
          <w:tcPr>
            <w:tcW w:w="2235" w:type="dxa"/>
          </w:tcPr>
          <w:p w14:paraId="21BDE5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ЛР-М34</w:t>
            </w:r>
          </w:p>
        </w:tc>
        <w:tc>
          <w:tcPr>
            <w:tcW w:w="2063" w:type="dxa"/>
          </w:tcPr>
          <w:p w14:paraId="0D23D2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 разведчик</w:t>
            </w:r>
          </w:p>
        </w:tc>
        <w:tc>
          <w:tcPr>
            <w:tcW w:w="1915" w:type="dxa"/>
          </w:tcPr>
          <w:p w14:paraId="32481F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13EF51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5F267B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10.03.1934</w:t>
            </w:r>
          </w:p>
        </w:tc>
        <w:tc>
          <w:tcPr>
            <w:tcW w:w="1371" w:type="dxa"/>
          </w:tcPr>
          <w:p w14:paraId="6251B4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F541206" w14:textId="77777777">
        <w:tc>
          <w:tcPr>
            <w:tcW w:w="2235" w:type="dxa"/>
          </w:tcPr>
          <w:p w14:paraId="4F1D5A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Экспериментальные:</w:t>
            </w:r>
          </w:p>
        </w:tc>
        <w:tc>
          <w:tcPr>
            <w:tcW w:w="2063" w:type="dxa"/>
          </w:tcPr>
          <w:p w14:paraId="34276C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76800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BF135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F982C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BFFCC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5DD54F9" w14:textId="77777777">
        <w:tc>
          <w:tcPr>
            <w:tcW w:w="2235" w:type="dxa"/>
          </w:tcPr>
          <w:p w14:paraId="574468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Бомбардировщики:</w:t>
            </w:r>
          </w:p>
        </w:tc>
        <w:tc>
          <w:tcPr>
            <w:tcW w:w="2063" w:type="dxa"/>
          </w:tcPr>
          <w:p w14:paraId="7672FE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49BD2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8F472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4E1FD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CBE26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ED048D4" w14:textId="77777777">
        <w:tc>
          <w:tcPr>
            <w:tcW w:w="2235" w:type="dxa"/>
          </w:tcPr>
          <w:p w14:paraId="17117D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ТБ6-6М44</w:t>
            </w:r>
          </w:p>
        </w:tc>
        <w:tc>
          <w:tcPr>
            <w:tcW w:w="2063" w:type="dxa"/>
          </w:tcPr>
          <w:p w14:paraId="15063F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бомбард.</w:t>
            </w:r>
          </w:p>
        </w:tc>
        <w:tc>
          <w:tcPr>
            <w:tcW w:w="1915" w:type="dxa"/>
          </w:tcPr>
          <w:p w14:paraId="2BC2D1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w:t>
            </w:r>
          </w:p>
        </w:tc>
        <w:tc>
          <w:tcPr>
            <w:tcW w:w="1550" w:type="dxa"/>
          </w:tcPr>
          <w:p w14:paraId="6BF8BE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40BFAA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01.12.1935</w:t>
            </w:r>
          </w:p>
        </w:tc>
        <w:tc>
          <w:tcPr>
            <w:tcW w:w="1371" w:type="dxa"/>
          </w:tcPr>
          <w:p w14:paraId="13EFBA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1B8769F" w14:textId="77777777">
        <w:tc>
          <w:tcPr>
            <w:tcW w:w="2235" w:type="dxa"/>
          </w:tcPr>
          <w:p w14:paraId="4786ED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К7-7М34</w:t>
            </w:r>
          </w:p>
        </w:tc>
        <w:tc>
          <w:tcPr>
            <w:tcW w:w="2063" w:type="dxa"/>
          </w:tcPr>
          <w:p w14:paraId="1E588E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бомбард.</w:t>
            </w:r>
          </w:p>
        </w:tc>
        <w:tc>
          <w:tcPr>
            <w:tcW w:w="1915" w:type="dxa"/>
          </w:tcPr>
          <w:p w14:paraId="465881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w:t>
            </w:r>
          </w:p>
        </w:tc>
        <w:tc>
          <w:tcPr>
            <w:tcW w:w="1550" w:type="dxa"/>
          </w:tcPr>
          <w:p w14:paraId="4C5BE8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tc>
        <w:tc>
          <w:tcPr>
            <w:tcW w:w="1321" w:type="dxa"/>
          </w:tcPr>
          <w:p w14:paraId="7CFEDD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01.06.1935</w:t>
            </w:r>
          </w:p>
        </w:tc>
        <w:tc>
          <w:tcPr>
            <w:tcW w:w="1371" w:type="dxa"/>
          </w:tcPr>
          <w:p w14:paraId="58911A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608A501" w14:textId="77777777">
        <w:tc>
          <w:tcPr>
            <w:tcW w:w="2235" w:type="dxa"/>
          </w:tcPr>
          <w:p w14:paraId="2CAB98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ПБ1-М34ФРН</w:t>
            </w:r>
          </w:p>
        </w:tc>
        <w:tc>
          <w:tcPr>
            <w:tcW w:w="2063" w:type="dxa"/>
          </w:tcPr>
          <w:p w14:paraId="4E08AE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Пикир. бомб.</w:t>
            </w:r>
          </w:p>
        </w:tc>
        <w:tc>
          <w:tcPr>
            <w:tcW w:w="1915" w:type="dxa"/>
          </w:tcPr>
          <w:p w14:paraId="3E1169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3D1778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ВВА</w:t>
            </w:r>
          </w:p>
        </w:tc>
        <w:tc>
          <w:tcPr>
            <w:tcW w:w="1321" w:type="dxa"/>
          </w:tcPr>
          <w:p w14:paraId="487DC8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01.06.1935</w:t>
            </w:r>
          </w:p>
        </w:tc>
        <w:tc>
          <w:tcPr>
            <w:tcW w:w="1371" w:type="dxa"/>
          </w:tcPr>
          <w:p w14:paraId="1C7881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5E15A57" w14:textId="77777777">
        <w:tc>
          <w:tcPr>
            <w:tcW w:w="2235" w:type="dxa"/>
          </w:tcPr>
          <w:p w14:paraId="24AF02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Крейсера:</w:t>
            </w:r>
          </w:p>
        </w:tc>
        <w:tc>
          <w:tcPr>
            <w:tcW w:w="2063" w:type="dxa"/>
          </w:tcPr>
          <w:p w14:paraId="6908CB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16C1D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BA5E1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5B802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F449A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3BCECF8" w14:textId="77777777">
        <w:tc>
          <w:tcPr>
            <w:tcW w:w="2235" w:type="dxa"/>
          </w:tcPr>
          <w:p w14:paraId="51537C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ТК1-4Исп.</w:t>
            </w:r>
          </w:p>
        </w:tc>
        <w:tc>
          <w:tcPr>
            <w:tcW w:w="2063" w:type="dxa"/>
          </w:tcPr>
          <w:p w14:paraId="0ADEB3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крейсер</w:t>
            </w:r>
          </w:p>
        </w:tc>
        <w:tc>
          <w:tcPr>
            <w:tcW w:w="1915" w:type="dxa"/>
          </w:tcPr>
          <w:p w14:paraId="1C86B9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778E33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255AE0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01.04.1935</w:t>
            </w:r>
          </w:p>
        </w:tc>
        <w:tc>
          <w:tcPr>
            <w:tcW w:w="1371" w:type="dxa"/>
          </w:tcPr>
          <w:p w14:paraId="2A5A42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59F552D" w14:textId="77777777">
        <w:tc>
          <w:tcPr>
            <w:tcW w:w="2235" w:type="dxa"/>
          </w:tcPr>
          <w:p w14:paraId="61DBC5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Штурмовики:</w:t>
            </w:r>
          </w:p>
        </w:tc>
        <w:tc>
          <w:tcPr>
            <w:tcW w:w="2063" w:type="dxa"/>
          </w:tcPr>
          <w:p w14:paraId="47283C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6DA3A6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A45A1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C500D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62E34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F76B0C4" w14:textId="77777777">
        <w:tc>
          <w:tcPr>
            <w:tcW w:w="2235" w:type="dxa"/>
          </w:tcPr>
          <w:p w14:paraId="7C9396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Х1-2М34РН</w:t>
            </w:r>
          </w:p>
        </w:tc>
        <w:tc>
          <w:tcPr>
            <w:tcW w:w="2063" w:type="dxa"/>
          </w:tcPr>
          <w:p w14:paraId="44EFA6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 боевик</w:t>
            </w:r>
          </w:p>
        </w:tc>
        <w:tc>
          <w:tcPr>
            <w:tcW w:w="1915" w:type="dxa"/>
          </w:tcPr>
          <w:p w14:paraId="38CC63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 на 12-14 пас.</w:t>
            </w:r>
          </w:p>
        </w:tc>
        <w:tc>
          <w:tcPr>
            <w:tcW w:w="1550" w:type="dxa"/>
          </w:tcPr>
          <w:p w14:paraId="141397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81</w:t>
            </w:r>
          </w:p>
        </w:tc>
        <w:tc>
          <w:tcPr>
            <w:tcW w:w="1321" w:type="dxa"/>
          </w:tcPr>
          <w:p w14:paraId="4EA6DD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01.11.1934</w:t>
            </w:r>
          </w:p>
        </w:tc>
        <w:tc>
          <w:tcPr>
            <w:tcW w:w="1371" w:type="dxa"/>
          </w:tcPr>
          <w:p w14:paraId="729955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684E67B" w14:textId="77777777">
        <w:tc>
          <w:tcPr>
            <w:tcW w:w="2235" w:type="dxa"/>
          </w:tcPr>
          <w:p w14:paraId="076840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Истребители:</w:t>
            </w:r>
          </w:p>
        </w:tc>
        <w:tc>
          <w:tcPr>
            <w:tcW w:w="2063" w:type="dxa"/>
          </w:tcPr>
          <w:p w14:paraId="4587B3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20C7A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3D10A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59766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C438C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8319975" w14:textId="77777777">
        <w:tc>
          <w:tcPr>
            <w:tcW w:w="2235" w:type="dxa"/>
          </w:tcPr>
          <w:p w14:paraId="438AE0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ИП3-М34Н</w:t>
            </w:r>
          </w:p>
        </w:tc>
        <w:tc>
          <w:tcPr>
            <w:tcW w:w="2063" w:type="dxa"/>
          </w:tcPr>
          <w:p w14:paraId="41CD33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 пуш. истр.</w:t>
            </w:r>
          </w:p>
        </w:tc>
        <w:tc>
          <w:tcPr>
            <w:tcW w:w="1915" w:type="dxa"/>
          </w:tcPr>
          <w:p w14:paraId="783A19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67FB26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КБ 11 УВИ</w:t>
            </w:r>
          </w:p>
        </w:tc>
        <w:tc>
          <w:tcPr>
            <w:tcW w:w="1321" w:type="dxa"/>
          </w:tcPr>
          <w:p w14:paraId="290B91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01.08.1934</w:t>
            </w:r>
          </w:p>
        </w:tc>
        <w:tc>
          <w:tcPr>
            <w:tcW w:w="1371" w:type="dxa"/>
          </w:tcPr>
          <w:p w14:paraId="3BDA13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Ленинград</w:t>
            </w:r>
          </w:p>
        </w:tc>
      </w:tr>
      <w:tr w:rsidR="004E10C1" w:rsidRPr="0044524F" w14:paraId="28145B9B" w14:textId="77777777">
        <w:tc>
          <w:tcPr>
            <w:tcW w:w="2235" w:type="dxa"/>
          </w:tcPr>
          <w:p w14:paraId="61D8ED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ДИП-2М34Н</w:t>
            </w:r>
          </w:p>
        </w:tc>
        <w:tc>
          <w:tcPr>
            <w:tcW w:w="2063" w:type="dxa"/>
          </w:tcPr>
          <w:p w14:paraId="5A1D2D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 пуш. истр.</w:t>
            </w:r>
          </w:p>
        </w:tc>
        <w:tc>
          <w:tcPr>
            <w:tcW w:w="1915" w:type="dxa"/>
          </w:tcPr>
          <w:p w14:paraId="2C6A89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0E21C5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40AC70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01.06.1934</w:t>
            </w:r>
          </w:p>
        </w:tc>
        <w:tc>
          <w:tcPr>
            <w:tcW w:w="1371" w:type="dxa"/>
          </w:tcPr>
          <w:p w14:paraId="325954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1B9D608" w14:textId="77777777">
        <w:tc>
          <w:tcPr>
            <w:tcW w:w="2235" w:type="dxa"/>
          </w:tcPr>
          <w:p w14:paraId="300B22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Разведчики:</w:t>
            </w:r>
          </w:p>
        </w:tc>
        <w:tc>
          <w:tcPr>
            <w:tcW w:w="2063" w:type="dxa"/>
          </w:tcPr>
          <w:p w14:paraId="363EFB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939B8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662BA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48B3E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CE9D5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419268C" w14:textId="77777777">
        <w:tc>
          <w:tcPr>
            <w:tcW w:w="2235" w:type="dxa"/>
          </w:tcPr>
          <w:p w14:paraId="2154BB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ФР-РЦ</w:t>
            </w:r>
          </w:p>
        </w:tc>
        <w:tc>
          <w:tcPr>
            <w:tcW w:w="2063" w:type="dxa"/>
          </w:tcPr>
          <w:p w14:paraId="4ABC8C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 фоторазв.</w:t>
            </w:r>
          </w:p>
        </w:tc>
        <w:tc>
          <w:tcPr>
            <w:tcW w:w="1915" w:type="dxa"/>
          </w:tcPr>
          <w:p w14:paraId="3E6843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Экспресс курьер.</w:t>
            </w:r>
          </w:p>
        </w:tc>
        <w:tc>
          <w:tcPr>
            <w:tcW w:w="1550" w:type="dxa"/>
          </w:tcPr>
          <w:p w14:paraId="40EDB1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w:t>
            </w:r>
          </w:p>
        </w:tc>
        <w:tc>
          <w:tcPr>
            <w:tcW w:w="1321" w:type="dxa"/>
          </w:tcPr>
          <w:p w14:paraId="79BAF1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01.08.1934</w:t>
            </w:r>
          </w:p>
        </w:tc>
        <w:tc>
          <w:tcPr>
            <w:tcW w:w="1371" w:type="dxa"/>
          </w:tcPr>
          <w:p w14:paraId="13E06F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C11C89E" w14:textId="77777777">
        <w:tc>
          <w:tcPr>
            <w:tcW w:w="2235" w:type="dxa"/>
          </w:tcPr>
          <w:p w14:paraId="73E88E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ВС2-2М22</w:t>
            </w:r>
          </w:p>
        </w:tc>
        <w:tc>
          <w:tcPr>
            <w:tcW w:w="2063" w:type="dxa"/>
          </w:tcPr>
          <w:p w14:paraId="3BA002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Войск. самолет</w:t>
            </w:r>
          </w:p>
        </w:tc>
        <w:tc>
          <w:tcPr>
            <w:tcW w:w="1915" w:type="dxa"/>
          </w:tcPr>
          <w:p w14:paraId="0483B2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 11 пас.</w:t>
            </w:r>
          </w:p>
        </w:tc>
        <w:tc>
          <w:tcPr>
            <w:tcW w:w="1550" w:type="dxa"/>
          </w:tcPr>
          <w:p w14:paraId="4B65F9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tc>
        <w:tc>
          <w:tcPr>
            <w:tcW w:w="1321" w:type="dxa"/>
          </w:tcPr>
          <w:p w14:paraId="221637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01.09.1934</w:t>
            </w:r>
          </w:p>
        </w:tc>
        <w:tc>
          <w:tcPr>
            <w:tcW w:w="1371" w:type="dxa"/>
          </w:tcPr>
          <w:p w14:paraId="495279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 крыло</w:t>
            </w:r>
          </w:p>
        </w:tc>
      </w:tr>
      <w:tr w:rsidR="004E10C1" w:rsidRPr="0044524F" w14:paraId="3D8E261C" w14:textId="77777777">
        <w:tc>
          <w:tcPr>
            <w:tcW w:w="2235" w:type="dxa"/>
          </w:tcPr>
          <w:p w14:paraId="514A44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Учебные:</w:t>
            </w:r>
          </w:p>
        </w:tc>
        <w:tc>
          <w:tcPr>
            <w:tcW w:w="2063" w:type="dxa"/>
          </w:tcPr>
          <w:p w14:paraId="292504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C39D4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1870C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4E9C2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6E516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C243AD1" w14:textId="77777777">
        <w:tc>
          <w:tcPr>
            <w:tcW w:w="2235" w:type="dxa"/>
          </w:tcPr>
          <w:p w14:paraId="1158D6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10. УВП-2М11</w:t>
            </w:r>
          </w:p>
        </w:tc>
        <w:tc>
          <w:tcPr>
            <w:tcW w:w="2063" w:type="dxa"/>
          </w:tcPr>
          <w:p w14:paraId="1820BD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Боев. подгот.</w:t>
            </w:r>
          </w:p>
        </w:tc>
        <w:tc>
          <w:tcPr>
            <w:tcW w:w="1915" w:type="dxa"/>
          </w:tcPr>
          <w:p w14:paraId="3B0841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 на 3 пас.</w:t>
            </w:r>
          </w:p>
        </w:tc>
        <w:tc>
          <w:tcPr>
            <w:tcW w:w="1550" w:type="dxa"/>
          </w:tcPr>
          <w:p w14:paraId="46CD2B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w:t>
            </w:r>
          </w:p>
        </w:tc>
        <w:tc>
          <w:tcPr>
            <w:tcW w:w="1321" w:type="dxa"/>
          </w:tcPr>
          <w:p w14:paraId="480B6F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01.07.1934</w:t>
            </w:r>
          </w:p>
        </w:tc>
        <w:tc>
          <w:tcPr>
            <w:tcW w:w="1371" w:type="dxa"/>
          </w:tcPr>
          <w:p w14:paraId="79C8EC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89D418F" w14:textId="77777777">
        <w:tc>
          <w:tcPr>
            <w:tcW w:w="2235" w:type="dxa"/>
          </w:tcPr>
          <w:p w14:paraId="04F136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34C766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 бригад</w:t>
            </w:r>
          </w:p>
        </w:tc>
        <w:tc>
          <w:tcPr>
            <w:tcW w:w="1915" w:type="dxa"/>
          </w:tcPr>
          <w:p w14:paraId="60AC0A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3127C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750D4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2ECFC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DF8E609" w14:textId="77777777">
        <w:tc>
          <w:tcPr>
            <w:tcW w:w="2235" w:type="dxa"/>
          </w:tcPr>
          <w:p w14:paraId="53E8E1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Особая группа:</w:t>
            </w:r>
          </w:p>
        </w:tc>
        <w:tc>
          <w:tcPr>
            <w:tcW w:w="2063" w:type="dxa"/>
          </w:tcPr>
          <w:p w14:paraId="282DD0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0952F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6554B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1438E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7B3F6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E8DB665" w14:textId="77777777">
        <w:tc>
          <w:tcPr>
            <w:tcW w:w="2235" w:type="dxa"/>
          </w:tcPr>
          <w:p w14:paraId="409DA3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Самолет танк</w:t>
            </w:r>
          </w:p>
        </w:tc>
        <w:tc>
          <w:tcPr>
            <w:tcW w:w="2063" w:type="dxa"/>
          </w:tcPr>
          <w:p w14:paraId="7A8854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5B2163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2AF690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321" w:type="dxa"/>
          </w:tcPr>
          <w:p w14:paraId="500396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4BE2B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1D294E3F" w14:textId="77777777">
        <w:tc>
          <w:tcPr>
            <w:tcW w:w="2235" w:type="dxa"/>
          </w:tcPr>
          <w:p w14:paraId="1D9B4E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гусеницах М34</w:t>
            </w:r>
          </w:p>
        </w:tc>
        <w:tc>
          <w:tcPr>
            <w:tcW w:w="2063" w:type="dxa"/>
          </w:tcPr>
          <w:p w14:paraId="6A2C0A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6AA61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16017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E7937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B52A8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4ADB5F6" w14:textId="77777777">
        <w:tc>
          <w:tcPr>
            <w:tcW w:w="2235" w:type="dxa"/>
          </w:tcPr>
          <w:p w14:paraId="54AB8F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ВСБ1</w:t>
            </w:r>
          </w:p>
        </w:tc>
        <w:tc>
          <w:tcPr>
            <w:tcW w:w="2063" w:type="dxa"/>
          </w:tcPr>
          <w:p w14:paraId="549B6F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 скор. бомб.</w:t>
            </w:r>
          </w:p>
        </w:tc>
        <w:tc>
          <w:tcPr>
            <w:tcW w:w="1915" w:type="dxa"/>
          </w:tcPr>
          <w:p w14:paraId="6A1B72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3A0CBF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616D1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046EAB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3CEF51C" w14:textId="77777777">
        <w:tc>
          <w:tcPr>
            <w:tcW w:w="2235" w:type="dxa"/>
          </w:tcPr>
          <w:p w14:paraId="372A58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Специальные</w:t>
            </w:r>
          </w:p>
        </w:tc>
        <w:tc>
          <w:tcPr>
            <w:tcW w:w="2063" w:type="dxa"/>
          </w:tcPr>
          <w:p w14:paraId="6E9DF1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C37BF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1B2B7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04305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6277C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CA3BA72" w14:textId="77777777">
        <w:tc>
          <w:tcPr>
            <w:tcW w:w="2235" w:type="dxa"/>
          </w:tcPr>
          <w:p w14:paraId="459E1B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Стратосферный</w:t>
            </w:r>
          </w:p>
        </w:tc>
        <w:tc>
          <w:tcPr>
            <w:tcW w:w="2063" w:type="dxa"/>
          </w:tcPr>
          <w:p w14:paraId="5D8265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Установление мирового рекорда высоты,</w:t>
            </w:r>
          </w:p>
        </w:tc>
        <w:tc>
          <w:tcPr>
            <w:tcW w:w="1915" w:type="dxa"/>
          </w:tcPr>
          <w:p w14:paraId="6E7ABE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5F1BA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55974C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85F57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26E5F42" w14:textId="77777777">
        <w:tc>
          <w:tcPr>
            <w:tcW w:w="2235" w:type="dxa"/>
          </w:tcPr>
          <w:p w14:paraId="603493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5BFB8D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изучение стратосферы</w:t>
            </w:r>
          </w:p>
        </w:tc>
        <w:tc>
          <w:tcPr>
            <w:tcW w:w="1915" w:type="dxa"/>
          </w:tcPr>
          <w:p w14:paraId="5C7357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FFA84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8A785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DC465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E67B1FD" w14:textId="77777777">
        <w:tc>
          <w:tcPr>
            <w:tcW w:w="2235" w:type="dxa"/>
          </w:tcPr>
          <w:p w14:paraId="3F495A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Самолет с разр. крыл.</w:t>
            </w:r>
          </w:p>
        </w:tc>
        <w:tc>
          <w:tcPr>
            <w:tcW w:w="2063" w:type="dxa"/>
          </w:tcPr>
          <w:p w14:paraId="7C2537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Методическое изуч. разр. крыльев</w:t>
            </w:r>
          </w:p>
        </w:tc>
        <w:tc>
          <w:tcPr>
            <w:tcW w:w="1915" w:type="dxa"/>
          </w:tcPr>
          <w:p w14:paraId="3AC008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40D8D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46FA97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684C4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D358AC7" w14:textId="77777777">
        <w:tc>
          <w:tcPr>
            <w:tcW w:w="2235" w:type="dxa"/>
          </w:tcPr>
          <w:p w14:paraId="6B2432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6B0ED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разл. типов.</w:t>
            </w:r>
          </w:p>
        </w:tc>
        <w:tc>
          <w:tcPr>
            <w:tcW w:w="1915" w:type="dxa"/>
          </w:tcPr>
          <w:p w14:paraId="2C8C76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3A5D4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BD089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A3B3A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6853C49" w14:textId="77777777">
        <w:tc>
          <w:tcPr>
            <w:tcW w:w="2235" w:type="dxa"/>
          </w:tcPr>
          <w:p w14:paraId="1A19C7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Самолет с раздв. крыл.</w:t>
            </w:r>
          </w:p>
        </w:tc>
        <w:tc>
          <w:tcPr>
            <w:tcW w:w="2063" w:type="dxa"/>
          </w:tcPr>
          <w:p w14:paraId="6A0E8B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Уменьш. посад. скор.</w:t>
            </w:r>
          </w:p>
        </w:tc>
        <w:tc>
          <w:tcPr>
            <w:tcW w:w="1915" w:type="dxa"/>
          </w:tcPr>
          <w:p w14:paraId="4AFCEC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41BE0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ГВФ</w:t>
            </w:r>
          </w:p>
        </w:tc>
        <w:tc>
          <w:tcPr>
            <w:tcW w:w="1321" w:type="dxa"/>
          </w:tcPr>
          <w:p w14:paraId="1C8CEC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56248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B2A828F" w14:textId="77777777">
        <w:tc>
          <w:tcPr>
            <w:tcW w:w="2235" w:type="dxa"/>
          </w:tcPr>
          <w:p w14:paraId="40667C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Лет. крыло 2М11</w:t>
            </w:r>
          </w:p>
        </w:tc>
        <w:tc>
          <w:tcPr>
            <w:tcW w:w="2063" w:type="dxa"/>
          </w:tcPr>
          <w:p w14:paraId="36CEE5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Перех. к многомоторным лет. крыльям</w:t>
            </w:r>
          </w:p>
        </w:tc>
        <w:tc>
          <w:tcPr>
            <w:tcW w:w="1915" w:type="dxa"/>
          </w:tcPr>
          <w:p w14:paraId="3A3B7A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6D336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3FD532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11199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A328C97" w14:textId="77777777">
        <w:tc>
          <w:tcPr>
            <w:tcW w:w="2235" w:type="dxa"/>
          </w:tcPr>
          <w:p w14:paraId="38DF90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Пикир. сам. с М11</w:t>
            </w:r>
          </w:p>
        </w:tc>
        <w:tc>
          <w:tcPr>
            <w:tcW w:w="2063" w:type="dxa"/>
          </w:tcPr>
          <w:p w14:paraId="73AADB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Изуч торможения при отвесном пикир.</w:t>
            </w:r>
          </w:p>
        </w:tc>
        <w:tc>
          <w:tcPr>
            <w:tcW w:w="1915" w:type="dxa"/>
          </w:tcPr>
          <w:p w14:paraId="7CA901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AAABB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ВВА</w:t>
            </w:r>
          </w:p>
        </w:tc>
        <w:tc>
          <w:tcPr>
            <w:tcW w:w="1321" w:type="dxa"/>
          </w:tcPr>
          <w:p w14:paraId="02E9F1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3DEEC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CB1D0EF" w14:textId="77777777">
        <w:tc>
          <w:tcPr>
            <w:tcW w:w="2235" w:type="dxa"/>
          </w:tcPr>
          <w:p w14:paraId="004882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Раб. по ускор. взл. ТБ3</w:t>
            </w:r>
          </w:p>
        </w:tc>
        <w:tc>
          <w:tcPr>
            <w:tcW w:w="2063" w:type="dxa"/>
          </w:tcPr>
          <w:p w14:paraId="78CA10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AEA96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1490C6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РНИИ</w:t>
            </w:r>
          </w:p>
        </w:tc>
        <w:tc>
          <w:tcPr>
            <w:tcW w:w="1321" w:type="dxa"/>
          </w:tcPr>
          <w:p w14:paraId="111311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38A53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A82CD70" w14:textId="77777777">
        <w:tc>
          <w:tcPr>
            <w:tcW w:w="2235" w:type="dxa"/>
          </w:tcPr>
          <w:p w14:paraId="1CA911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Винтовые аппараты:</w:t>
            </w:r>
          </w:p>
        </w:tc>
        <w:tc>
          <w:tcPr>
            <w:tcW w:w="2063" w:type="dxa"/>
          </w:tcPr>
          <w:p w14:paraId="1D06C4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7BE60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4D94F0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65E65E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1C195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11DDFE4" w14:textId="77777777">
        <w:tc>
          <w:tcPr>
            <w:tcW w:w="2235" w:type="dxa"/>
          </w:tcPr>
          <w:p w14:paraId="570FE8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Автожир И10РЦ</w:t>
            </w:r>
          </w:p>
        </w:tc>
        <w:tc>
          <w:tcPr>
            <w:tcW w:w="2063" w:type="dxa"/>
          </w:tcPr>
          <w:p w14:paraId="1865B3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 двухм. истр.</w:t>
            </w:r>
          </w:p>
        </w:tc>
        <w:tc>
          <w:tcPr>
            <w:tcW w:w="1915" w:type="dxa"/>
          </w:tcPr>
          <w:p w14:paraId="109636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DC074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321" w:type="dxa"/>
          </w:tcPr>
          <w:p w14:paraId="0B3563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01.05.1935</w:t>
            </w:r>
          </w:p>
        </w:tc>
        <w:tc>
          <w:tcPr>
            <w:tcW w:w="1371" w:type="dxa"/>
          </w:tcPr>
          <w:p w14:paraId="1A35E8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5829EC1" w14:textId="77777777">
        <w:tc>
          <w:tcPr>
            <w:tcW w:w="2235" w:type="dxa"/>
          </w:tcPr>
          <w:p w14:paraId="1222E2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5F527D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двухлоп. ротором</w:t>
            </w:r>
          </w:p>
        </w:tc>
        <w:tc>
          <w:tcPr>
            <w:tcW w:w="1915" w:type="dxa"/>
          </w:tcPr>
          <w:p w14:paraId="7A99D3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A56F4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50068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BBD3A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F71ADDA" w14:textId="77777777">
        <w:tc>
          <w:tcPr>
            <w:tcW w:w="2235" w:type="dxa"/>
          </w:tcPr>
          <w:p w14:paraId="4F1119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Геликоптер с РЦ</w:t>
            </w:r>
          </w:p>
        </w:tc>
        <w:tc>
          <w:tcPr>
            <w:tcW w:w="2063" w:type="dxa"/>
          </w:tcPr>
          <w:p w14:paraId="5E1B40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Более мощн. и сов.</w:t>
            </w:r>
          </w:p>
        </w:tc>
        <w:tc>
          <w:tcPr>
            <w:tcW w:w="1915" w:type="dxa"/>
          </w:tcPr>
          <w:p w14:paraId="568583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5B1E36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11D9C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01.04.1934</w:t>
            </w:r>
          </w:p>
        </w:tc>
        <w:tc>
          <w:tcPr>
            <w:tcW w:w="1371" w:type="dxa"/>
          </w:tcPr>
          <w:p w14:paraId="581BD9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8065DE2" w14:textId="77777777">
        <w:tc>
          <w:tcPr>
            <w:tcW w:w="2235" w:type="dxa"/>
          </w:tcPr>
          <w:p w14:paraId="072749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Летат. аппарат</w:t>
            </w:r>
          </w:p>
        </w:tc>
        <w:tc>
          <w:tcPr>
            <w:tcW w:w="2063" w:type="dxa"/>
          </w:tcPr>
          <w:p w14:paraId="094CF3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Вращающиеся крылья</w:t>
            </w:r>
          </w:p>
        </w:tc>
        <w:tc>
          <w:tcPr>
            <w:tcW w:w="1915" w:type="dxa"/>
          </w:tcPr>
          <w:p w14:paraId="682A2C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4F023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7B8C3C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01.09.1934</w:t>
            </w:r>
          </w:p>
        </w:tc>
        <w:tc>
          <w:tcPr>
            <w:tcW w:w="1371" w:type="dxa"/>
          </w:tcPr>
          <w:p w14:paraId="4DEC94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80D2A52" w14:textId="77777777">
        <w:tc>
          <w:tcPr>
            <w:tcW w:w="2235" w:type="dxa"/>
          </w:tcPr>
          <w:p w14:paraId="774C63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Гидросамолеты:</w:t>
            </w:r>
          </w:p>
        </w:tc>
        <w:tc>
          <w:tcPr>
            <w:tcW w:w="2063" w:type="dxa"/>
          </w:tcPr>
          <w:p w14:paraId="4891C2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ACE28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1E6C8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DA654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0FDEA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3A0506" w14:textId="77777777">
        <w:tc>
          <w:tcPr>
            <w:tcW w:w="2235" w:type="dxa"/>
          </w:tcPr>
          <w:p w14:paraId="4C1D56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 - опытные</w:t>
            </w:r>
          </w:p>
        </w:tc>
        <w:tc>
          <w:tcPr>
            <w:tcW w:w="2063" w:type="dxa"/>
          </w:tcPr>
          <w:p w14:paraId="1C807D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0866FF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727075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5F6AC0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1D5970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53A0ABF" w14:textId="77777777">
        <w:tc>
          <w:tcPr>
            <w:tcW w:w="2235" w:type="dxa"/>
          </w:tcPr>
          <w:p w14:paraId="4BDF76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МК1-6М34НР</w:t>
            </w:r>
          </w:p>
        </w:tc>
        <w:tc>
          <w:tcPr>
            <w:tcW w:w="2063" w:type="dxa"/>
          </w:tcPr>
          <w:p w14:paraId="56CBEC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 тяж. бомб.</w:t>
            </w:r>
          </w:p>
        </w:tc>
        <w:tc>
          <w:tcPr>
            <w:tcW w:w="1915" w:type="dxa"/>
          </w:tcPr>
          <w:p w14:paraId="683DD9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Транспортный</w:t>
            </w:r>
          </w:p>
        </w:tc>
        <w:tc>
          <w:tcPr>
            <w:tcW w:w="1550" w:type="dxa"/>
          </w:tcPr>
          <w:p w14:paraId="27D670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68A737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01.08.1934</w:t>
            </w:r>
          </w:p>
        </w:tc>
        <w:tc>
          <w:tcPr>
            <w:tcW w:w="1371" w:type="dxa"/>
          </w:tcPr>
          <w:p w14:paraId="7205D7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стар. пл.</w:t>
            </w:r>
          </w:p>
        </w:tc>
      </w:tr>
      <w:tr w:rsidR="004E10C1" w:rsidRPr="0044524F" w14:paraId="5F82B5CF" w14:textId="77777777">
        <w:tc>
          <w:tcPr>
            <w:tcW w:w="2235" w:type="dxa"/>
          </w:tcPr>
          <w:p w14:paraId="7EBB25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C9180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4F82C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 высок. торпед. </w:t>
            </w:r>
          </w:p>
        </w:tc>
        <w:tc>
          <w:tcPr>
            <w:tcW w:w="1550" w:type="dxa"/>
          </w:tcPr>
          <w:p w14:paraId="5FDA0E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B7D7A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27CC31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F1FDE3A" w14:textId="77777777">
        <w:tc>
          <w:tcPr>
            <w:tcW w:w="2235" w:type="dxa"/>
          </w:tcPr>
          <w:p w14:paraId="3485AA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МДР4-3М34НР</w:t>
            </w:r>
          </w:p>
        </w:tc>
        <w:tc>
          <w:tcPr>
            <w:tcW w:w="2063" w:type="dxa"/>
          </w:tcPr>
          <w:p w14:paraId="06E05F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 дал. разв.</w:t>
            </w:r>
          </w:p>
        </w:tc>
        <w:tc>
          <w:tcPr>
            <w:tcW w:w="1915" w:type="dxa"/>
          </w:tcPr>
          <w:p w14:paraId="68C4D7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 для Арктики</w:t>
            </w:r>
          </w:p>
        </w:tc>
        <w:tc>
          <w:tcPr>
            <w:tcW w:w="1550" w:type="dxa"/>
          </w:tcPr>
          <w:p w14:paraId="6299C7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408267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1371" w:type="dxa"/>
          </w:tcPr>
          <w:p w14:paraId="65B801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стар. пл.</w:t>
            </w:r>
          </w:p>
        </w:tc>
      </w:tr>
      <w:tr w:rsidR="004E10C1" w:rsidRPr="0044524F" w14:paraId="7FCCA227" w14:textId="77777777">
        <w:tc>
          <w:tcPr>
            <w:tcW w:w="2235" w:type="dxa"/>
          </w:tcPr>
          <w:p w14:paraId="649D41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7FF0EF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бомбард.</w:t>
            </w:r>
          </w:p>
        </w:tc>
        <w:tc>
          <w:tcPr>
            <w:tcW w:w="1915" w:type="dxa"/>
          </w:tcPr>
          <w:p w14:paraId="59160A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D92B5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405A05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898FA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8DC068F" w14:textId="77777777">
        <w:tc>
          <w:tcPr>
            <w:tcW w:w="2235" w:type="dxa"/>
          </w:tcPr>
          <w:p w14:paraId="6875C1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МК2-2М34ФРН</w:t>
            </w:r>
          </w:p>
        </w:tc>
        <w:tc>
          <w:tcPr>
            <w:tcW w:w="2063" w:type="dxa"/>
          </w:tcPr>
          <w:p w14:paraId="089E9D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Морск. дал. разв.</w:t>
            </w:r>
          </w:p>
        </w:tc>
        <w:tc>
          <w:tcPr>
            <w:tcW w:w="1915" w:type="dxa"/>
          </w:tcPr>
          <w:p w14:paraId="4807A5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w:t>
            </w:r>
          </w:p>
        </w:tc>
        <w:tc>
          <w:tcPr>
            <w:tcW w:w="1550" w:type="dxa"/>
          </w:tcPr>
          <w:p w14:paraId="686883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0C8A74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01.06.1935</w:t>
            </w:r>
          </w:p>
        </w:tc>
        <w:tc>
          <w:tcPr>
            <w:tcW w:w="1371" w:type="dxa"/>
          </w:tcPr>
          <w:p w14:paraId="36990E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F29FCCC" w14:textId="77777777">
        <w:tc>
          <w:tcPr>
            <w:tcW w:w="2235" w:type="dxa"/>
          </w:tcPr>
          <w:p w14:paraId="1BF460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09217D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крейсер</w:t>
            </w:r>
          </w:p>
        </w:tc>
        <w:tc>
          <w:tcPr>
            <w:tcW w:w="1915" w:type="dxa"/>
          </w:tcPr>
          <w:p w14:paraId="64C6DD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C35BE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4DC23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3C3A99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79620F8" w14:textId="77777777">
        <w:tc>
          <w:tcPr>
            <w:tcW w:w="2235" w:type="dxa"/>
          </w:tcPr>
          <w:p w14:paraId="78D3FC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 - модернизации и модификации</w:t>
            </w:r>
          </w:p>
        </w:tc>
        <w:tc>
          <w:tcPr>
            <w:tcW w:w="2063" w:type="dxa"/>
          </w:tcPr>
          <w:p w14:paraId="779C8E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C0B58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A4BC8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86628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022F31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9F58544" w14:textId="77777777">
        <w:tc>
          <w:tcPr>
            <w:tcW w:w="2235" w:type="dxa"/>
          </w:tcPr>
          <w:p w14:paraId="057BBD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МДР4-3М34РН</w:t>
            </w:r>
          </w:p>
        </w:tc>
        <w:tc>
          <w:tcPr>
            <w:tcW w:w="2063" w:type="dxa"/>
          </w:tcPr>
          <w:p w14:paraId="771B64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915" w:type="dxa"/>
          </w:tcPr>
          <w:p w14:paraId="70F167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782658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721E8E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01.01.1935</w:t>
            </w:r>
          </w:p>
        </w:tc>
        <w:tc>
          <w:tcPr>
            <w:tcW w:w="1371" w:type="dxa"/>
          </w:tcPr>
          <w:p w14:paraId="193E66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11B573F" w14:textId="77777777">
        <w:tc>
          <w:tcPr>
            <w:tcW w:w="2235" w:type="dxa"/>
          </w:tcPr>
          <w:p w14:paraId="2B063E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лыжах</w:t>
            </w:r>
          </w:p>
        </w:tc>
        <w:tc>
          <w:tcPr>
            <w:tcW w:w="2063" w:type="dxa"/>
          </w:tcPr>
          <w:p w14:paraId="29A006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7B37CC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69DFF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65613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F2B09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4B3E575" w14:textId="77777777">
        <w:tc>
          <w:tcPr>
            <w:tcW w:w="2235" w:type="dxa"/>
          </w:tcPr>
          <w:p w14:paraId="00EED5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Р6бис-2М17</w:t>
            </w:r>
          </w:p>
        </w:tc>
        <w:tc>
          <w:tcPr>
            <w:tcW w:w="2063" w:type="dxa"/>
          </w:tcPr>
          <w:p w14:paraId="6588BD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Торп. и бомб.</w:t>
            </w:r>
          </w:p>
        </w:tc>
        <w:tc>
          <w:tcPr>
            <w:tcW w:w="1915" w:type="dxa"/>
          </w:tcPr>
          <w:p w14:paraId="49EAB9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4CD408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tc>
        <w:tc>
          <w:tcPr>
            <w:tcW w:w="1321" w:type="dxa"/>
          </w:tcPr>
          <w:p w14:paraId="7D4F74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01.06.1934</w:t>
            </w:r>
          </w:p>
        </w:tc>
        <w:tc>
          <w:tcPr>
            <w:tcW w:w="1371" w:type="dxa"/>
          </w:tcPr>
          <w:p w14:paraId="6C4095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59439DD" w14:textId="77777777">
        <w:tc>
          <w:tcPr>
            <w:tcW w:w="2235" w:type="dxa"/>
          </w:tcPr>
          <w:p w14:paraId="047675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поплавках</w:t>
            </w:r>
          </w:p>
        </w:tc>
        <w:tc>
          <w:tcPr>
            <w:tcW w:w="2063" w:type="dxa"/>
          </w:tcPr>
          <w:p w14:paraId="4F875C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6E594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007E2B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35C2C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022AF8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864BEB2" w14:textId="77777777">
        <w:tc>
          <w:tcPr>
            <w:tcW w:w="2235" w:type="dxa"/>
          </w:tcPr>
          <w:p w14:paraId="627CA2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Тяжелые - экспериментальные</w:t>
            </w:r>
          </w:p>
        </w:tc>
        <w:tc>
          <w:tcPr>
            <w:tcW w:w="2063" w:type="dxa"/>
          </w:tcPr>
          <w:p w14:paraId="626E99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481099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3FEA5A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1C93E8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138BA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0A853AE" w14:textId="77777777">
        <w:tc>
          <w:tcPr>
            <w:tcW w:w="2235" w:type="dxa"/>
          </w:tcPr>
          <w:p w14:paraId="3BF47E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МДР4-3М34РН</w:t>
            </w:r>
          </w:p>
        </w:tc>
        <w:tc>
          <w:tcPr>
            <w:tcW w:w="2063" w:type="dxa"/>
          </w:tcPr>
          <w:p w14:paraId="2DA29A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915" w:type="dxa"/>
          </w:tcPr>
          <w:p w14:paraId="521B57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7E00DB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РНИИ</w:t>
            </w:r>
          </w:p>
        </w:tc>
        <w:tc>
          <w:tcPr>
            <w:tcW w:w="1321" w:type="dxa"/>
          </w:tcPr>
          <w:p w14:paraId="0204C1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01.03.1935</w:t>
            </w:r>
          </w:p>
        </w:tc>
        <w:tc>
          <w:tcPr>
            <w:tcW w:w="1371" w:type="dxa"/>
          </w:tcPr>
          <w:p w14:paraId="0B85A2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 взлета</w:t>
            </w:r>
          </w:p>
        </w:tc>
      </w:tr>
      <w:tr w:rsidR="004E10C1" w:rsidRPr="0044524F" w14:paraId="778CCD47" w14:textId="77777777">
        <w:tc>
          <w:tcPr>
            <w:tcW w:w="2235" w:type="dxa"/>
          </w:tcPr>
          <w:p w14:paraId="749F06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газ. Агрегатами</w:t>
            </w:r>
          </w:p>
        </w:tc>
        <w:tc>
          <w:tcPr>
            <w:tcW w:w="2063" w:type="dxa"/>
          </w:tcPr>
          <w:p w14:paraId="13C2A4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2D1DC0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97D25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12397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4D84B7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9D77BDD" w14:textId="77777777">
        <w:tc>
          <w:tcPr>
            <w:tcW w:w="2235" w:type="dxa"/>
          </w:tcPr>
          <w:p w14:paraId="6FAC07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 опытные</w:t>
            </w:r>
          </w:p>
        </w:tc>
        <w:tc>
          <w:tcPr>
            <w:tcW w:w="2063" w:type="dxa"/>
          </w:tcPr>
          <w:p w14:paraId="35B698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3912CE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196F5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37480F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29785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3A65A29" w14:textId="77777777">
        <w:tc>
          <w:tcPr>
            <w:tcW w:w="2235" w:type="dxa"/>
          </w:tcPr>
          <w:p w14:paraId="0AB7C6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КОР1-РЦ</w:t>
            </w:r>
          </w:p>
        </w:tc>
        <w:tc>
          <w:tcPr>
            <w:tcW w:w="2063" w:type="dxa"/>
          </w:tcPr>
          <w:p w14:paraId="473672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Кат. разв. и пик.</w:t>
            </w:r>
          </w:p>
        </w:tc>
        <w:tc>
          <w:tcPr>
            <w:tcW w:w="1915" w:type="dxa"/>
          </w:tcPr>
          <w:p w14:paraId="0EE239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Промысловый</w:t>
            </w:r>
          </w:p>
        </w:tc>
        <w:tc>
          <w:tcPr>
            <w:tcW w:w="1550" w:type="dxa"/>
          </w:tcPr>
          <w:p w14:paraId="17D1E2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69FD13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07.11.1934</w:t>
            </w:r>
          </w:p>
        </w:tc>
        <w:tc>
          <w:tcPr>
            <w:tcW w:w="1371" w:type="dxa"/>
          </w:tcPr>
          <w:p w14:paraId="2CD71D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Смена КР</w:t>
            </w:r>
          </w:p>
        </w:tc>
      </w:tr>
      <w:tr w:rsidR="004E10C1" w:rsidRPr="0044524F" w14:paraId="00C9561F" w14:textId="77777777">
        <w:tc>
          <w:tcPr>
            <w:tcW w:w="2235" w:type="dxa"/>
          </w:tcPr>
          <w:p w14:paraId="2FDDBC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688C9A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w:t>
            </w:r>
          </w:p>
        </w:tc>
        <w:tc>
          <w:tcPr>
            <w:tcW w:w="1915" w:type="dxa"/>
          </w:tcPr>
          <w:p w14:paraId="74FECF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6E70CE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78AECB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64B4A2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E8EADE9" w14:textId="77777777">
        <w:tc>
          <w:tcPr>
            <w:tcW w:w="2235" w:type="dxa"/>
          </w:tcPr>
          <w:p w14:paraId="46F9A1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МБР5-РЦ амфиб.</w:t>
            </w:r>
          </w:p>
        </w:tc>
        <w:tc>
          <w:tcPr>
            <w:tcW w:w="2063" w:type="dxa"/>
          </w:tcPr>
          <w:p w14:paraId="71A830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 ближ. разв.</w:t>
            </w:r>
          </w:p>
        </w:tc>
        <w:tc>
          <w:tcPr>
            <w:tcW w:w="1915" w:type="dxa"/>
          </w:tcPr>
          <w:p w14:paraId="5C53FA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Почт.-пас.</w:t>
            </w:r>
          </w:p>
        </w:tc>
        <w:tc>
          <w:tcPr>
            <w:tcW w:w="1550" w:type="dxa"/>
          </w:tcPr>
          <w:p w14:paraId="1CBF2D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6D4B83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15.07.1934</w:t>
            </w:r>
          </w:p>
        </w:tc>
        <w:tc>
          <w:tcPr>
            <w:tcW w:w="1371" w:type="dxa"/>
          </w:tcPr>
          <w:p w14:paraId="04FDFA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55D8229" w14:textId="77777777">
        <w:tc>
          <w:tcPr>
            <w:tcW w:w="2235" w:type="dxa"/>
          </w:tcPr>
          <w:p w14:paraId="62B276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063" w:type="dxa"/>
          </w:tcPr>
          <w:p w14:paraId="736B53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бомбард.</w:t>
            </w:r>
          </w:p>
        </w:tc>
        <w:tc>
          <w:tcPr>
            <w:tcW w:w="1915" w:type="dxa"/>
          </w:tcPr>
          <w:p w14:paraId="777396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866B4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072A18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74F27A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CF676DB" w14:textId="77777777">
        <w:tc>
          <w:tcPr>
            <w:tcW w:w="2235" w:type="dxa"/>
          </w:tcPr>
          <w:p w14:paraId="3F570C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 модернизация и модификация</w:t>
            </w:r>
          </w:p>
        </w:tc>
        <w:tc>
          <w:tcPr>
            <w:tcW w:w="2063" w:type="dxa"/>
          </w:tcPr>
          <w:p w14:paraId="097CE2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915" w:type="dxa"/>
          </w:tcPr>
          <w:p w14:paraId="171531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550" w:type="dxa"/>
          </w:tcPr>
          <w:p w14:paraId="23161E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21" w:type="dxa"/>
          </w:tcPr>
          <w:p w14:paraId="22A98B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371" w:type="dxa"/>
          </w:tcPr>
          <w:p w14:paraId="5D464C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BA34067" w14:textId="77777777">
        <w:tc>
          <w:tcPr>
            <w:tcW w:w="2235" w:type="dxa"/>
          </w:tcPr>
          <w:p w14:paraId="463A9C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МБР2-М34</w:t>
            </w:r>
          </w:p>
        </w:tc>
        <w:tc>
          <w:tcPr>
            <w:tcW w:w="2063" w:type="dxa"/>
          </w:tcPr>
          <w:p w14:paraId="5192DE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915" w:type="dxa"/>
          </w:tcPr>
          <w:p w14:paraId="0A7DF5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550" w:type="dxa"/>
          </w:tcPr>
          <w:p w14:paraId="1D4C52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tc>
        <w:tc>
          <w:tcPr>
            <w:tcW w:w="1321" w:type="dxa"/>
          </w:tcPr>
          <w:p w14:paraId="13F5AC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01.02.1935</w:t>
            </w:r>
          </w:p>
        </w:tc>
        <w:tc>
          <w:tcPr>
            <w:tcW w:w="1371" w:type="dxa"/>
          </w:tcPr>
          <w:p w14:paraId="52E664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Замена М17</w:t>
            </w:r>
          </w:p>
        </w:tc>
      </w:tr>
    </w:tbl>
    <w:p w14:paraId="70EAAC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Интересно, что нет, ХАИ-1, Ш5, ДИ5, Сталь-2, И16</w:t>
      </w:r>
    </w:p>
    <w:p w14:paraId="75E77D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опытного самолетостроения ЦАГИ на 1934-1936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35"/>
        <w:gridCol w:w="1815"/>
        <w:gridCol w:w="1429"/>
        <w:gridCol w:w="2426"/>
      </w:tblGrid>
      <w:tr w:rsidR="004E10C1" w:rsidRPr="0044524F" w14:paraId="73F642C3" w14:textId="77777777">
        <w:tc>
          <w:tcPr>
            <w:tcW w:w="2235" w:type="dxa"/>
          </w:tcPr>
          <w:p w14:paraId="4CD754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1815" w:type="dxa"/>
          </w:tcPr>
          <w:p w14:paraId="7BC803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w:t>
            </w:r>
          </w:p>
        </w:tc>
        <w:tc>
          <w:tcPr>
            <w:tcW w:w="1429" w:type="dxa"/>
          </w:tcPr>
          <w:p w14:paraId="4328EC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w:t>
            </w:r>
          </w:p>
        </w:tc>
        <w:tc>
          <w:tcPr>
            <w:tcW w:w="2426" w:type="dxa"/>
          </w:tcPr>
          <w:p w14:paraId="1417E6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3261967D" w14:textId="77777777">
        <w:tc>
          <w:tcPr>
            <w:tcW w:w="2235" w:type="dxa"/>
          </w:tcPr>
          <w:p w14:paraId="496C22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w:t>
            </w:r>
          </w:p>
        </w:tc>
        <w:tc>
          <w:tcPr>
            <w:tcW w:w="1815" w:type="dxa"/>
          </w:tcPr>
          <w:p w14:paraId="54655B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F8624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68236E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34D2B67" w14:textId="77777777">
        <w:tc>
          <w:tcPr>
            <w:tcW w:w="2235" w:type="dxa"/>
          </w:tcPr>
          <w:p w14:paraId="64D710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(МГ)</w:t>
            </w:r>
          </w:p>
        </w:tc>
        <w:tc>
          <w:tcPr>
            <w:tcW w:w="1815" w:type="dxa"/>
          </w:tcPr>
          <w:p w14:paraId="29A894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8М34Р</w:t>
            </w:r>
          </w:p>
        </w:tc>
        <w:tc>
          <w:tcPr>
            <w:tcW w:w="1429" w:type="dxa"/>
          </w:tcPr>
          <w:p w14:paraId="434ED9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2426" w:type="dxa"/>
          </w:tcPr>
          <w:p w14:paraId="4307F4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F255280" w14:textId="77777777">
        <w:tc>
          <w:tcPr>
            <w:tcW w:w="2235" w:type="dxa"/>
          </w:tcPr>
          <w:p w14:paraId="6286E4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815" w:type="dxa"/>
          </w:tcPr>
          <w:p w14:paraId="6BF664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4М34РН</w:t>
            </w:r>
          </w:p>
        </w:tc>
        <w:tc>
          <w:tcPr>
            <w:tcW w:w="1429" w:type="dxa"/>
          </w:tcPr>
          <w:p w14:paraId="66708A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01.10.1934</w:t>
            </w:r>
          </w:p>
        </w:tc>
        <w:tc>
          <w:tcPr>
            <w:tcW w:w="2426" w:type="dxa"/>
          </w:tcPr>
          <w:p w14:paraId="06755A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w:t>
            </w:r>
          </w:p>
        </w:tc>
      </w:tr>
      <w:tr w:rsidR="004E10C1" w:rsidRPr="0044524F" w14:paraId="139AB0F8" w14:textId="77777777">
        <w:tc>
          <w:tcPr>
            <w:tcW w:w="2235" w:type="dxa"/>
          </w:tcPr>
          <w:p w14:paraId="35DAF1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МИ4</w:t>
            </w:r>
          </w:p>
        </w:tc>
        <w:tc>
          <w:tcPr>
            <w:tcW w:w="1815" w:type="dxa"/>
          </w:tcPr>
          <w:p w14:paraId="2B75AF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2Исп./РЦ</w:t>
            </w:r>
          </w:p>
        </w:tc>
        <w:tc>
          <w:tcPr>
            <w:tcW w:w="1429" w:type="dxa"/>
          </w:tcPr>
          <w:p w14:paraId="5CCFD4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01.09.1935</w:t>
            </w:r>
          </w:p>
        </w:tc>
        <w:tc>
          <w:tcPr>
            <w:tcW w:w="2426" w:type="dxa"/>
          </w:tcPr>
          <w:p w14:paraId="2C1744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DBB8FF5" w14:textId="77777777">
        <w:tc>
          <w:tcPr>
            <w:tcW w:w="2235" w:type="dxa"/>
          </w:tcPr>
          <w:p w14:paraId="3083D2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w:t>
            </w:r>
          </w:p>
        </w:tc>
        <w:tc>
          <w:tcPr>
            <w:tcW w:w="1815" w:type="dxa"/>
          </w:tcPr>
          <w:p w14:paraId="4C2D03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6М34Р</w:t>
            </w:r>
          </w:p>
        </w:tc>
        <w:tc>
          <w:tcPr>
            <w:tcW w:w="1429" w:type="dxa"/>
          </w:tcPr>
          <w:p w14:paraId="75E4A1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01.08.1934</w:t>
            </w:r>
          </w:p>
        </w:tc>
        <w:tc>
          <w:tcPr>
            <w:tcW w:w="2426" w:type="dxa"/>
          </w:tcPr>
          <w:p w14:paraId="5F10AC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w:t>
            </w:r>
          </w:p>
        </w:tc>
      </w:tr>
      <w:tr w:rsidR="004E10C1" w:rsidRPr="0044524F" w14:paraId="088392C7" w14:textId="77777777">
        <w:tc>
          <w:tcPr>
            <w:tcW w:w="2235" w:type="dxa"/>
          </w:tcPr>
          <w:p w14:paraId="3F8E59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w:t>
            </w:r>
          </w:p>
        </w:tc>
        <w:tc>
          <w:tcPr>
            <w:tcW w:w="1815" w:type="dxa"/>
          </w:tcPr>
          <w:p w14:paraId="531DEF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3М34Р</w:t>
            </w:r>
          </w:p>
        </w:tc>
        <w:tc>
          <w:tcPr>
            <w:tcW w:w="1429" w:type="dxa"/>
          </w:tcPr>
          <w:p w14:paraId="3E7750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2426" w:type="dxa"/>
          </w:tcPr>
          <w:p w14:paraId="025B6D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w:t>
            </w:r>
          </w:p>
        </w:tc>
      </w:tr>
      <w:tr w:rsidR="004E10C1" w:rsidRPr="0044524F" w14:paraId="2711B3E8" w14:textId="77777777">
        <w:tc>
          <w:tcPr>
            <w:tcW w:w="2235" w:type="dxa"/>
          </w:tcPr>
          <w:p w14:paraId="3AA28B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 пассажирский</w:t>
            </w:r>
          </w:p>
        </w:tc>
        <w:tc>
          <w:tcPr>
            <w:tcW w:w="1815" w:type="dxa"/>
          </w:tcPr>
          <w:p w14:paraId="08C5E8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6М34Р</w:t>
            </w:r>
          </w:p>
        </w:tc>
        <w:tc>
          <w:tcPr>
            <w:tcW w:w="1429" w:type="dxa"/>
          </w:tcPr>
          <w:p w14:paraId="2B882A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01.05.1935</w:t>
            </w:r>
          </w:p>
        </w:tc>
        <w:tc>
          <w:tcPr>
            <w:tcW w:w="2426" w:type="dxa"/>
          </w:tcPr>
          <w:p w14:paraId="21CF41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w:t>
            </w:r>
          </w:p>
        </w:tc>
      </w:tr>
      <w:tr w:rsidR="004E10C1" w:rsidRPr="0044524F" w14:paraId="73C4A9DA" w14:textId="77777777">
        <w:tc>
          <w:tcPr>
            <w:tcW w:w="2235" w:type="dxa"/>
          </w:tcPr>
          <w:p w14:paraId="6D2F99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 пассажирский</w:t>
            </w:r>
          </w:p>
        </w:tc>
        <w:tc>
          <w:tcPr>
            <w:tcW w:w="1815" w:type="dxa"/>
          </w:tcPr>
          <w:p w14:paraId="56183C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3М34Р</w:t>
            </w:r>
          </w:p>
        </w:tc>
        <w:tc>
          <w:tcPr>
            <w:tcW w:w="1429" w:type="dxa"/>
          </w:tcPr>
          <w:p w14:paraId="7AD0BA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01.03.1935</w:t>
            </w:r>
          </w:p>
        </w:tc>
        <w:tc>
          <w:tcPr>
            <w:tcW w:w="2426" w:type="dxa"/>
          </w:tcPr>
          <w:p w14:paraId="348F2D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w:t>
            </w:r>
          </w:p>
        </w:tc>
      </w:tr>
      <w:tr w:rsidR="004E10C1" w:rsidRPr="0044524F" w14:paraId="14C40FA9" w14:textId="77777777">
        <w:tc>
          <w:tcPr>
            <w:tcW w:w="2235" w:type="dxa"/>
          </w:tcPr>
          <w:p w14:paraId="5AB50B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 дублер</w:t>
            </w:r>
          </w:p>
        </w:tc>
        <w:tc>
          <w:tcPr>
            <w:tcW w:w="1815" w:type="dxa"/>
          </w:tcPr>
          <w:p w14:paraId="6E7C93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3М34Р</w:t>
            </w:r>
          </w:p>
        </w:tc>
        <w:tc>
          <w:tcPr>
            <w:tcW w:w="1429" w:type="dxa"/>
          </w:tcPr>
          <w:p w14:paraId="3C3EF0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01.06.1934</w:t>
            </w:r>
          </w:p>
        </w:tc>
        <w:tc>
          <w:tcPr>
            <w:tcW w:w="2426" w:type="dxa"/>
          </w:tcPr>
          <w:p w14:paraId="559373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DCB15BC" w14:textId="77777777">
        <w:tc>
          <w:tcPr>
            <w:tcW w:w="2235" w:type="dxa"/>
          </w:tcPr>
          <w:p w14:paraId="409985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СК1</w:t>
            </w:r>
          </w:p>
        </w:tc>
        <w:tc>
          <w:tcPr>
            <w:tcW w:w="1815" w:type="dxa"/>
          </w:tcPr>
          <w:p w14:paraId="5C9FDD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2Исп./РЦ</w:t>
            </w:r>
          </w:p>
        </w:tc>
        <w:tc>
          <w:tcPr>
            <w:tcW w:w="1429" w:type="dxa"/>
          </w:tcPr>
          <w:p w14:paraId="7C0B93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01.12.1934</w:t>
            </w:r>
          </w:p>
        </w:tc>
        <w:tc>
          <w:tcPr>
            <w:tcW w:w="2426" w:type="dxa"/>
          </w:tcPr>
          <w:p w14:paraId="631814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745C597" w14:textId="77777777">
        <w:tc>
          <w:tcPr>
            <w:tcW w:w="2235" w:type="dxa"/>
          </w:tcPr>
          <w:p w14:paraId="630D8B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 пас.</w:t>
            </w:r>
          </w:p>
        </w:tc>
        <w:tc>
          <w:tcPr>
            <w:tcW w:w="1815" w:type="dxa"/>
          </w:tcPr>
          <w:p w14:paraId="19B88A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2-3РЦ</w:t>
            </w:r>
          </w:p>
        </w:tc>
        <w:tc>
          <w:tcPr>
            <w:tcW w:w="1429" w:type="dxa"/>
          </w:tcPr>
          <w:p w14:paraId="57A9A4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01.05.1935</w:t>
            </w:r>
          </w:p>
        </w:tc>
        <w:tc>
          <w:tcPr>
            <w:tcW w:w="2426" w:type="dxa"/>
          </w:tcPr>
          <w:p w14:paraId="220F7D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A642F3D" w14:textId="77777777">
        <w:tc>
          <w:tcPr>
            <w:tcW w:w="2235" w:type="dxa"/>
          </w:tcPr>
          <w:p w14:paraId="5AB9FF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w:t>
            </w:r>
          </w:p>
        </w:tc>
        <w:tc>
          <w:tcPr>
            <w:tcW w:w="1815" w:type="dxa"/>
          </w:tcPr>
          <w:p w14:paraId="2C8DD2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3М34РН</w:t>
            </w:r>
          </w:p>
        </w:tc>
        <w:tc>
          <w:tcPr>
            <w:tcW w:w="1429" w:type="dxa"/>
          </w:tcPr>
          <w:p w14:paraId="57C923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01.06.1934</w:t>
            </w:r>
          </w:p>
        </w:tc>
        <w:tc>
          <w:tcPr>
            <w:tcW w:w="2426" w:type="dxa"/>
          </w:tcPr>
          <w:p w14:paraId="5A5DC5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8F65593" w14:textId="77777777">
        <w:tc>
          <w:tcPr>
            <w:tcW w:w="2235" w:type="dxa"/>
          </w:tcPr>
          <w:p w14:paraId="507529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ДБ</w:t>
            </w:r>
          </w:p>
        </w:tc>
        <w:tc>
          <w:tcPr>
            <w:tcW w:w="1815" w:type="dxa"/>
          </w:tcPr>
          <w:p w14:paraId="39D733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2РЦ</w:t>
            </w:r>
          </w:p>
        </w:tc>
        <w:tc>
          <w:tcPr>
            <w:tcW w:w="1429" w:type="dxa"/>
          </w:tcPr>
          <w:p w14:paraId="0FE3A3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01.04.1935</w:t>
            </w:r>
          </w:p>
        </w:tc>
        <w:tc>
          <w:tcPr>
            <w:tcW w:w="2426" w:type="dxa"/>
          </w:tcPr>
          <w:p w14:paraId="2B02E4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9489BFD" w14:textId="77777777">
        <w:tc>
          <w:tcPr>
            <w:tcW w:w="2235" w:type="dxa"/>
          </w:tcPr>
          <w:p w14:paraId="0D3DB9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СБ2</w:t>
            </w:r>
          </w:p>
        </w:tc>
        <w:tc>
          <w:tcPr>
            <w:tcW w:w="1815" w:type="dxa"/>
          </w:tcPr>
          <w:p w14:paraId="140FA4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2РЦ/Исп.</w:t>
            </w:r>
          </w:p>
        </w:tc>
        <w:tc>
          <w:tcPr>
            <w:tcW w:w="1429" w:type="dxa"/>
          </w:tcPr>
          <w:p w14:paraId="372D81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01.12.1935</w:t>
            </w:r>
          </w:p>
        </w:tc>
        <w:tc>
          <w:tcPr>
            <w:tcW w:w="2426" w:type="dxa"/>
          </w:tcPr>
          <w:p w14:paraId="67D960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59B87B3" w14:textId="77777777">
        <w:tc>
          <w:tcPr>
            <w:tcW w:w="2235" w:type="dxa"/>
          </w:tcPr>
          <w:p w14:paraId="11950A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АНТ33</w:t>
            </w:r>
          </w:p>
        </w:tc>
        <w:tc>
          <w:tcPr>
            <w:tcW w:w="1815" w:type="dxa"/>
          </w:tcPr>
          <w:p w14:paraId="1DCF4F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429" w:type="dxa"/>
          </w:tcPr>
          <w:p w14:paraId="351697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01.04.1935</w:t>
            </w:r>
          </w:p>
        </w:tc>
        <w:tc>
          <w:tcPr>
            <w:tcW w:w="2426" w:type="dxa"/>
          </w:tcPr>
          <w:p w14:paraId="3EAFB4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36FEEB6" w14:textId="77777777">
        <w:tc>
          <w:tcPr>
            <w:tcW w:w="2235" w:type="dxa"/>
          </w:tcPr>
          <w:p w14:paraId="6AB1DF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w:t>
            </w:r>
          </w:p>
        </w:tc>
        <w:tc>
          <w:tcPr>
            <w:tcW w:w="1815" w:type="dxa"/>
          </w:tcPr>
          <w:p w14:paraId="44DB0C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М44/нефть</w:t>
            </w:r>
          </w:p>
        </w:tc>
        <w:tc>
          <w:tcPr>
            <w:tcW w:w="1429" w:type="dxa"/>
          </w:tcPr>
          <w:p w14:paraId="2288EA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01.08.1936</w:t>
            </w:r>
          </w:p>
        </w:tc>
        <w:tc>
          <w:tcPr>
            <w:tcW w:w="2426" w:type="dxa"/>
          </w:tcPr>
          <w:p w14:paraId="7989B8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9C6D493" w14:textId="77777777">
        <w:tc>
          <w:tcPr>
            <w:tcW w:w="2235" w:type="dxa"/>
          </w:tcPr>
          <w:p w14:paraId="682591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Гидросамолет</w:t>
            </w:r>
          </w:p>
        </w:tc>
        <w:tc>
          <w:tcPr>
            <w:tcW w:w="1815" w:type="dxa"/>
          </w:tcPr>
          <w:p w14:paraId="044A31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tc>
        <w:tc>
          <w:tcPr>
            <w:tcW w:w="1429" w:type="dxa"/>
          </w:tcPr>
          <w:p w14:paraId="2D5759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01.10.1935</w:t>
            </w:r>
          </w:p>
        </w:tc>
        <w:tc>
          <w:tcPr>
            <w:tcW w:w="2426" w:type="dxa"/>
          </w:tcPr>
          <w:p w14:paraId="0B1CC5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84518C7" w14:textId="77777777">
        <w:tc>
          <w:tcPr>
            <w:tcW w:w="2235" w:type="dxa"/>
          </w:tcPr>
          <w:p w14:paraId="0BD606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ТБ7 (вар. ТБ3)</w:t>
            </w:r>
          </w:p>
        </w:tc>
        <w:tc>
          <w:tcPr>
            <w:tcW w:w="1815" w:type="dxa"/>
          </w:tcPr>
          <w:p w14:paraId="2CC1B3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Керт./Исп./4М34ФРН</w:t>
            </w:r>
          </w:p>
        </w:tc>
        <w:tc>
          <w:tcPr>
            <w:tcW w:w="1429" w:type="dxa"/>
          </w:tcPr>
          <w:p w14:paraId="1E1F8E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01.05.1936</w:t>
            </w:r>
          </w:p>
        </w:tc>
        <w:tc>
          <w:tcPr>
            <w:tcW w:w="2426" w:type="dxa"/>
          </w:tcPr>
          <w:p w14:paraId="3B9BEF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930EA8F" w14:textId="77777777">
        <w:tc>
          <w:tcPr>
            <w:tcW w:w="2235" w:type="dxa"/>
          </w:tcPr>
          <w:p w14:paraId="3DD47E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Бесхв. самолет</w:t>
            </w:r>
          </w:p>
        </w:tc>
        <w:tc>
          <w:tcPr>
            <w:tcW w:w="1815" w:type="dxa"/>
          </w:tcPr>
          <w:p w14:paraId="1C174F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29" w:type="dxa"/>
          </w:tcPr>
          <w:p w14:paraId="455A5A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15.04.1935</w:t>
            </w:r>
          </w:p>
        </w:tc>
        <w:tc>
          <w:tcPr>
            <w:tcW w:w="2426" w:type="dxa"/>
          </w:tcPr>
          <w:p w14:paraId="364BE8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89D5B8D" w14:textId="77777777">
        <w:tc>
          <w:tcPr>
            <w:tcW w:w="2235" w:type="dxa"/>
          </w:tcPr>
          <w:p w14:paraId="04A330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Бесхв. планер</w:t>
            </w:r>
          </w:p>
        </w:tc>
        <w:tc>
          <w:tcPr>
            <w:tcW w:w="1815" w:type="dxa"/>
          </w:tcPr>
          <w:p w14:paraId="039B26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29" w:type="dxa"/>
          </w:tcPr>
          <w:p w14:paraId="722EB4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01.07.1934</w:t>
            </w:r>
          </w:p>
        </w:tc>
        <w:tc>
          <w:tcPr>
            <w:tcW w:w="2426" w:type="dxa"/>
          </w:tcPr>
          <w:p w14:paraId="04D5C9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E0C2DDB" w14:textId="77777777">
        <w:tc>
          <w:tcPr>
            <w:tcW w:w="2235" w:type="dxa"/>
          </w:tcPr>
          <w:p w14:paraId="67CDFA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ВП2 (планер)</w:t>
            </w:r>
          </w:p>
        </w:tc>
        <w:tc>
          <w:tcPr>
            <w:tcW w:w="1815" w:type="dxa"/>
          </w:tcPr>
          <w:p w14:paraId="641D53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29" w:type="dxa"/>
          </w:tcPr>
          <w:p w14:paraId="54224B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15.07.1934</w:t>
            </w:r>
          </w:p>
        </w:tc>
        <w:tc>
          <w:tcPr>
            <w:tcW w:w="2426" w:type="dxa"/>
          </w:tcPr>
          <w:p w14:paraId="42BC54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F1799FB" w14:textId="77777777">
        <w:tc>
          <w:tcPr>
            <w:tcW w:w="2235" w:type="dxa"/>
          </w:tcPr>
          <w:p w14:paraId="4447F7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ВСБ</w:t>
            </w:r>
          </w:p>
        </w:tc>
        <w:tc>
          <w:tcPr>
            <w:tcW w:w="1815" w:type="dxa"/>
          </w:tcPr>
          <w:p w14:paraId="17FAA4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мотора</w:t>
            </w:r>
          </w:p>
        </w:tc>
        <w:tc>
          <w:tcPr>
            <w:tcW w:w="1429" w:type="dxa"/>
          </w:tcPr>
          <w:p w14:paraId="0583D1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01.02.1936</w:t>
            </w:r>
          </w:p>
        </w:tc>
        <w:tc>
          <w:tcPr>
            <w:tcW w:w="2426" w:type="dxa"/>
          </w:tcPr>
          <w:p w14:paraId="2D025F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288DAAF" w14:textId="77777777">
        <w:tc>
          <w:tcPr>
            <w:tcW w:w="2235" w:type="dxa"/>
          </w:tcPr>
          <w:p w14:paraId="577B07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в серию</w:t>
            </w:r>
          </w:p>
        </w:tc>
        <w:tc>
          <w:tcPr>
            <w:tcW w:w="1815" w:type="dxa"/>
          </w:tcPr>
          <w:p w14:paraId="25CE3C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73EA88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078ACA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748BC18" w14:textId="77777777">
        <w:tc>
          <w:tcPr>
            <w:tcW w:w="2235" w:type="dxa"/>
          </w:tcPr>
          <w:p w14:paraId="073A61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w:t>
            </w:r>
          </w:p>
        </w:tc>
        <w:tc>
          <w:tcPr>
            <w:tcW w:w="1815" w:type="dxa"/>
          </w:tcPr>
          <w:p w14:paraId="65BBB4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6D152B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01.09.1934</w:t>
            </w:r>
          </w:p>
        </w:tc>
        <w:tc>
          <w:tcPr>
            <w:tcW w:w="2426" w:type="dxa"/>
          </w:tcPr>
          <w:p w14:paraId="603FB6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3EFBE36" w14:textId="77777777">
        <w:tc>
          <w:tcPr>
            <w:tcW w:w="2235" w:type="dxa"/>
          </w:tcPr>
          <w:p w14:paraId="0C64A0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w:t>
            </w:r>
          </w:p>
        </w:tc>
        <w:tc>
          <w:tcPr>
            <w:tcW w:w="1815" w:type="dxa"/>
          </w:tcPr>
          <w:p w14:paraId="0B7459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098FB3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01.09.1934</w:t>
            </w:r>
          </w:p>
        </w:tc>
        <w:tc>
          <w:tcPr>
            <w:tcW w:w="2426" w:type="dxa"/>
          </w:tcPr>
          <w:p w14:paraId="68F0AB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E91E704" w14:textId="77777777">
        <w:tc>
          <w:tcPr>
            <w:tcW w:w="2235" w:type="dxa"/>
          </w:tcPr>
          <w:p w14:paraId="4F611B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w:t>
            </w:r>
          </w:p>
        </w:tc>
        <w:tc>
          <w:tcPr>
            <w:tcW w:w="1815" w:type="dxa"/>
          </w:tcPr>
          <w:p w14:paraId="5B7156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26164B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01.03.1934</w:t>
            </w:r>
          </w:p>
        </w:tc>
        <w:tc>
          <w:tcPr>
            <w:tcW w:w="2426" w:type="dxa"/>
          </w:tcPr>
          <w:p w14:paraId="406284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E19FC93" w14:textId="77777777">
        <w:tc>
          <w:tcPr>
            <w:tcW w:w="2235" w:type="dxa"/>
          </w:tcPr>
          <w:p w14:paraId="5E584E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ДИП</w:t>
            </w:r>
          </w:p>
        </w:tc>
        <w:tc>
          <w:tcPr>
            <w:tcW w:w="1815" w:type="dxa"/>
          </w:tcPr>
          <w:p w14:paraId="7CC4D0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257943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01.12.1934</w:t>
            </w:r>
          </w:p>
        </w:tc>
        <w:tc>
          <w:tcPr>
            <w:tcW w:w="2426" w:type="dxa"/>
          </w:tcPr>
          <w:p w14:paraId="383040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8C952A9" w14:textId="77777777">
        <w:tc>
          <w:tcPr>
            <w:tcW w:w="2235" w:type="dxa"/>
          </w:tcPr>
          <w:p w14:paraId="35FB56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МГ военный</w:t>
            </w:r>
          </w:p>
        </w:tc>
        <w:tc>
          <w:tcPr>
            <w:tcW w:w="1815" w:type="dxa"/>
          </w:tcPr>
          <w:p w14:paraId="06255D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626EB2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01.01.1934</w:t>
            </w:r>
          </w:p>
        </w:tc>
        <w:tc>
          <w:tcPr>
            <w:tcW w:w="2426" w:type="dxa"/>
          </w:tcPr>
          <w:p w14:paraId="4BB84F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31019EE" w14:textId="77777777">
        <w:tc>
          <w:tcPr>
            <w:tcW w:w="2235" w:type="dxa"/>
          </w:tcPr>
          <w:p w14:paraId="5E7520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МГ пассажирский</w:t>
            </w:r>
          </w:p>
        </w:tc>
        <w:tc>
          <w:tcPr>
            <w:tcW w:w="1815" w:type="dxa"/>
          </w:tcPr>
          <w:p w14:paraId="4E61E3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1C6FF8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2426" w:type="dxa"/>
          </w:tcPr>
          <w:p w14:paraId="0EAD22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7FA609D" w14:textId="77777777">
        <w:tc>
          <w:tcPr>
            <w:tcW w:w="2235" w:type="dxa"/>
          </w:tcPr>
          <w:p w14:paraId="3BBF8C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АНТ14 пассажирский</w:t>
            </w:r>
          </w:p>
        </w:tc>
        <w:tc>
          <w:tcPr>
            <w:tcW w:w="1815" w:type="dxa"/>
          </w:tcPr>
          <w:p w14:paraId="3E6F07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47BF6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2426" w:type="dxa"/>
          </w:tcPr>
          <w:p w14:paraId="62AF3E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23CF402" w14:textId="77777777">
        <w:tc>
          <w:tcPr>
            <w:tcW w:w="2235" w:type="dxa"/>
          </w:tcPr>
          <w:p w14:paraId="5B596D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АНТ14 военный</w:t>
            </w:r>
          </w:p>
        </w:tc>
        <w:tc>
          <w:tcPr>
            <w:tcW w:w="1815" w:type="dxa"/>
          </w:tcPr>
          <w:p w14:paraId="10D475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1B560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01.10.1934</w:t>
            </w:r>
          </w:p>
        </w:tc>
        <w:tc>
          <w:tcPr>
            <w:tcW w:w="2426" w:type="dxa"/>
          </w:tcPr>
          <w:p w14:paraId="6656FD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0DD3E6B" w14:textId="77777777">
        <w:tc>
          <w:tcPr>
            <w:tcW w:w="2235" w:type="dxa"/>
          </w:tcPr>
          <w:p w14:paraId="6769C0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w:t>
            </w:r>
          </w:p>
        </w:tc>
        <w:tc>
          <w:tcPr>
            <w:tcW w:w="1815" w:type="dxa"/>
          </w:tcPr>
          <w:p w14:paraId="5EFA80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B1EBD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01.04.1934</w:t>
            </w:r>
          </w:p>
        </w:tc>
        <w:tc>
          <w:tcPr>
            <w:tcW w:w="2426" w:type="dxa"/>
          </w:tcPr>
          <w:p w14:paraId="75469C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1745A4A" w14:textId="77777777">
        <w:tc>
          <w:tcPr>
            <w:tcW w:w="2235" w:type="dxa"/>
          </w:tcPr>
          <w:p w14:paraId="32B062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w:t>
            </w:r>
          </w:p>
        </w:tc>
        <w:tc>
          <w:tcPr>
            <w:tcW w:w="1815" w:type="dxa"/>
          </w:tcPr>
          <w:p w14:paraId="33BC6A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5E5462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666526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4E9B75E" w14:textId="77777777">
        <w:tc>
          <w:tcPr>
            <w:tcW w:w="2235" w:type="dxa"/>
          </w:tcPr>
          <w:p w14:paraId="77B899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гол.</w:t>
            </w:r>
          </w:p>
        </w:tc>
        <w:tc>
          <w:tcPr>
            <w:tcW w:w="1815" w:type="dxa"/>
          </w:tcPr>
          <w:p w14:paraId="7FE015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529430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1A23A7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DF50A71" w14:textId="77777777">
        <w:tc>
          <w:tcPr>
            <w:tcW w:w="2235" w:type="dxa"/>
          </w:tcPr>
          <w:p w14:paraId="752C85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И14-РЦ дублер</w:t>
            </w:r>
          </w:p>
        </w:tc>
        <w:tc>
          <w:tcPr>
            <w:tcW w:w="1815" w:type="dxa"/>
          </w:tcPr>
          <w:p w14:paraId="47F990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C2C48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59EAC0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4DD1980" w14:textId="77777777">
        <w:tc>
          <w:tcPr>
            <w:tcW w:w="2235" w:type="dxa"/>
          </w:tcPr>
          <w:p w14:paraId="5C9E61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оп. ВИ</w:t>
            </w:r>
          </w:p>
        </w:tc>
        <w:tc>
          <w:tcPr>
            <w:tcW w:w="1815" w:type="dxa"/>
          </w:tcPr>
          <w:p w14:paraId="42FEEF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429" w:type="dxa"/>
          </w:tcPr>
          <w:p w14:paraId="49349E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426" w:type="dxa"/>
          </w:tcPr>
          <w:p w14:paraId="02A667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71281D5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AFA7B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декабря 1933 г. Управление ВВС РККА подготовило новый план опытного строительства авиапромышленности СССР на 1934-35гг., где среди прочих значились задание на дальний бомбардировщик (ДБ) и ближний бомбардировщик (ББ). После ознакомления с этим документом, руководство ЦАГИ во главе с Начальником института Н.М.Харламовым и начальником конструкторского отдела А.Н.Туполевым в своем письме в Главное Управление авиапромышленности от 20 декабря 1933 г. предложило внести в план коррективы. Таковые были внесены, после чего задание ЦАГИ видоизменилось: вместо модернизации МИ-3 институту предлагалось проектировать и строить новую машину МИ-4 под двигатели Райт "Циклон" или "Испано-Сюиза". Одновременно, как развитие очередного многоместного истребителя обсуждается ближний бомбардировщик ББ. Упомянутый выше МИ-4 в дальнейшем из плана выпал, а ББ напротив закрепился, его проектирование началось еще до наступления 1934 г. (12027).</w:t>
      </w:r>
    </w:p>
    <w:p w14:paraId="665849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822FCFE" w14:textId="77777777" w:rsidR="00A923D5" w:rsidRPr="0044524F" w:rsidRDefault="00A923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декабря 1933 г. Управление ВВС РККА подго</w:t>
      </w:r>
      <w:r w:rsidRPr="0044524F">
        <w:rPr>
          <w:rFonts w:ascii="Times New Roman" w:hAnsi="Times New Roman"/>
          <w:color w:val="000000" w:themeColor="text1"/>
          <w:sz w:val="16"/>
          <w:szCs w:val="16"/>
        </w:rPr>
        <w:softHyphen/>
        <w:t>товило новый план опытного строительства авиапро</w:t>
      </w:r>
      <w:r w:rsidRPr="0044524F">
        <w:rPr>
          <w:rFonts w:ascii="Times New Roman" w:hAnsi="Times New Roman"/>
          <w:color w:val="000000" w:themeColor="text1"/>
          <w:sz w:val="16"/>
          <w:szCs w:val="16"/>
        </w:rPr>
        <w:softHyphen/>
        <w:t>мышленности СССР на 1934 - 1935 гг., где среди прочих значились задание на дальний бомбардировщик (ДБ) и ближний бомбардировщик (ББ). Вместо модернизации МИ-3 институту предлагалось проектировать и строить новую машину МИ-4 под двигатели Райт “Циклон” или “Испано-Сюиза”. Одновременно, как развитие очередного многоместного истребителя обсуждается ближний бомбардировщик ББ. МИ-4 в дальнейшем из плана выпал, а ББ закрепился, его проектирование началось еще до наступления 1934 г.</w:t>
      </w:r>
    </w:p>
    <w:p w14:paraId="01506A94" w14:textId="77777777" w:rsidR="00A923D5" w:rsidRPr="0044524F" w:rsidRDefault="00A923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Вскоре обозначение машины меняется на СБ - средний бомбардировщик (здесь могут возникнуть разночтения, ибо ВВС практически сразу определяло его как скоростной бомбардировщик), для его проек</w:t>
      </w:r>
      <w:r w:rsidRPr="0044524F">
        <w:rPr>
          <w:rFonts w:ascii="Times New Roman" w:hAnsi="Times New Roman"/>
          <w:color w:val="000000" w:themeColor="text1"/>
          <w:sz w:val="16"/>
          <w:szCs w:val="16"/>
        </w:rPr>
        <w:softHyphen/>
        <w:t>тирования создается конструкторская бригада № 5 под руководством А.А. Архангельского в количестве</w:t>
      </w:r>
    </w:p>
    <w:p w14:paraId="05155C21" w14:textId="77777777" w:rsidR="00A923D5" w:rsidRPr="0044524F" w:rsidRDefault="00A923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 человек. Внутри КБ самолет получил обозначение АНТ-40.</w:t>
      </w:r>
    </w:p>
    <w:p w14:paraId="1F7BFF7C" w14:textId="77777777" w:rsidR="00A923D5" w:rsidRPr="0044524F" w:rsidRDefault="00A923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Одной из главных задач являлось достижение высокой скорости горизонтального полета. Для снижения аэродинамического сопротивления вся полезная нагрузка размещалась внутри фюзеляжа, шасси выполнено убирающимся, а кабины экипажа сделаны закрытыми. Впервые на самолете такого класса была использована гладкая металлическая обшивка, вместо жесткой гофрированной, применены новые высокопрочные материалы, использована клепка впотай.</w:t>
      </w:r>
    </w:p>
    <w:p w14:paraId="7304FE6F" w14:textId="77777777" w:rsidR="00A923D5" w:rsidRPr="0044524F" w:rsidRDefault="00A923D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серийного выпуска скоростной бомбар</w:t>
      </w:r>
      <w:r w:rsidRPr="0044524F">
        <w:rPr>
          <w:rFonts w:ascii="Times New Roman" w:hAnsi="Times New Roman"/>
          <w:color w:val="000000" w:themeColor="text1"/>
          <w:sz w:val="16"/>
          <w:szCs w:val="16"/>
        </w:rPr>
        <w:softHyphen/>
        <w:t>дировщик СБ постоянно улучшался и модифи</w:t>
      </w:r>
      <w:r w:rsidRPr="0044524F">
        <w:rPr>
          <w:rFonts w:ascii="Times New Roman" w:hAnsi="Times New Roman"/>
          <w:color w:val="000000" w:themeColor="text1"/>
          <w:sz w:val="16"/>
          <w:szCs w:val="16"/>
        </w:rPr>
        <w:softHyphen/>
        <w:t>цировался. С 1939 года выпускались самолеты с улучшенным капотированием моторов, когда вместо лобовых поставили тоннельные радиаторы. Все прове</w:t>
      </w:r>
      <w:r w:rsidRPr="0044524F">
        <w:rPr>
          <w:rFonts w:ascii="Times New Roman" w:hAnsi="Times New Roman"/>
          <w:color w:val="000000" w:themeColor="text1"/>
          <w:sz w:val="16"/>
          <w:szCs w:val="16"/>
        </w:rPr>
        <w:softHyphen/>
        <w:t>денные усовершенствования способствовали посто</w:t>
      </w:r>
      <w:r w:rsidRPr="0044524F">
        <w:rPr>
          <w:rFonts w:ascii="Times New Roman" w:hAnsi="Times New Roman"/>
          <w:color w:val="000000" w:themeColor="text1"/>
          <w:sz w:val="16"/>
          <w:szCs w:val="16"/>
        </w:rPr>
        <w:softHyphen/>
        <w:t>янному наращиванию боевых возможностей бомбар</w:t>
      </w:r>
      <w:r w:rsidRPr="0044524F">
        <w:rPr>
          <w:rFonts w:ascii="Times New Roman" w:hAnsi="Times New Roman"/>
          <w:color w:val="000000" w:themeColor="text1"/>
          <w:sz w:val="16"/>
          <w:szCs w:val="16"/>
        </w:rPr>
        <w:softHyphen/>
        <w:t>дировщика. С 1938 года на самолеты СБ устанавли</w:t>
      </w:r>
      <w:r w:rsidRPr="0044524F">
        <w:rPr>
          <w:rFonts w:ascii="Times New Roman" w:hAnsi="Times New Roman"/>
          <w:color w:val="000000" w:themeColor="text1"/>
          <w:sz w:val="16"/>
          <w:szCs w:val="16"/>
        </w:rPr>
        <w:softHyphen/>
        <w:t>вались протектированные топливные баки. Также в процессе серийного производства выпускалось большое количество экспериментальных опытных модификаций самолета СБ с разными вариантами вооружения - СБ-СН с сверхскорострельными пулеметами СН, СБ-Н с пушкой ШВАК вместо носовых пулеметов, СБ-Ш с установленными под фюзеляжем двумя подвижными пушками ШВАК, бомбовая нагрузка 400 кг, усилено бронирование. Выпускались модифи</w:t>
      </w:r>
      <w:r w:rsidRPr="0044524F">
        <w:rPr>
          <w:rFonts w:ascii="Times New Roman" w:hAnsi="Times New Roman"/>
          <w:color w:val="000000" w:themeColor="text1"/>
          <w:sz w:val="16"/>
          <w:szCs w:val="16"/>
        </w:rPr>
        <w:softHyphen/>
        <w:t>кации ПС-41 - версия гражданского транспортного самолета с двигателями М-103У и увеличенным весом, а также ПС-41бис версия с установленными подвесными баками. Модификация СБ-2М-104 с двига</w:t>
      </w:r>
      <w:r w:rsidRPr="0044524F">
        <w:rPr>
          <w:rFonts w:ascii="Times New Roman" w:hAnsi="Times New Roman"/>
          <w:color w:val="000000" w:themeColor="text1"/>
          <w:sz w:val="16"/>
          <w:szCs w:val="16"/>
        </w:rPr>
        <w:softHyphen/>
        <w:t>телями М-104 выпускалась малой серией и имела модернизированное оборудование. В 1940 году на самолет установили более мощные двигатели М-105 (23908).</w:t>
      </w:r>
    </w:p>
    <w:p w14:paraId="21A1E6B1" w14:textId="77777777" w:rsidR="00A923D5" w:rsidRPr="0044524F" w:rsidRDefault="00A923D5" w:rsidP="009654CF">
      <w:pPr>
        <w:spacing w:after="0" w:line="240" w:lineRule="auto"/>
        <w:jc w:val="both"/>
        <w:rPr>
          <w:rFonts w:ascii="Times New Roman" w:hAnsi="Times New Roman"/>
          <w:color w:val="000000" w:themeColor="text1"/>
          <w:sz w:val="16"/>
          <w:szCs w:val="16"/>
        </w:rPr>
      </w:pPr>
    </w:p>
    <w:p w14:paraId="729E83C6" w14:textId="77777777" w:rsidR="00917A7A" w:rsidRPr="00142305" w:rsidRDefault="00917A7A" w:rsidP="00917A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декабря 1933 г. Постановлении Реввоенсовета СССР был утвержден новый План опытного строительства ВВС РККА на 1934-1935 гг. План опытного самолете- и моторостроения, утвержденный СТО в июле 1932-го (после выхода Постановления от 5 июля того же года по аварийности), Авиапром не выполнил, что было отмечено в июньском 1933 г. Постановлении.</w:t>
      </w:r>
    </w:p>
    <w:p w14:paraId="4632495A" w14:textId="77777777" w:rsidR="00917A7A" w:rsidRPr="00142305" w:rsidRDefault="00917A7A" w:rsidP="00917A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14 июля 1934 г. для реализации нового Плана опытного строительства ВВС РККА на 1934-1935 гг. СТО своим Постановлением потре</w:t>
      </w:r>
      <w:r w:rsidRPr="00142305">
        <w:rPr>
          <w:rFonts w:ascii="Times New Roman" w:hAnsi="Times New Roman"/>
          <w:color w:val="0070C0"/>
          <w:sz w:val="16"/>
          <w:szCs w:val="16"/>
        </w:rPr>
        <w:softHyphen/>
        <w:t>бовал организовать на крупных самолете- и моторостроительных заводах, а также предприятиях, выпускавших вооружение и оборудование, новые кон</w:t>
      </w:r>
      <w:r w:rsidRPr="00142305">
        <w:rPr>
          <w:rFonts w:ascii="Times New Roman" w:hAnsi="Times New Roman"/>
          <w:color w:val="0070C0"/>
          <w:sz w:val="16"/>
          <w:szCs w:val="16"/>
        </w:rPr>
        <w:softHyphen/>
        <w:t>структорские бюро (24968).</w:t>
      </w:r>
    </w:p>
    <w:p w14:paraId="1234D671" w14:textId="77777777" w:rsidR="00917A7A" w:rsidRPr="00142305" w:rsidRDefault="00917A7A" w:rsidP="00917A7A">
      <w:pPr>
        <w:spacing w:after="0" w:line="240" w:lineRule="auto"/>
        <w:jc w:val="both"/>
        <w:rPr>
          <w:rFonts w:ascii="Times New Roman" w:hAnsi="Times New Roman"/>
          <w:color w:val="0070C0"/>
          <w:sz w:val="16"/>
          <w:szCs w:val="16"/>
        </w:rPr>
      </w:pPr>
    </w:p>
    <w:p w14:paraId="1013713D" w14:textId="77777777" w:rsidR="00917A7A" w:rsidRPr="00142305" w:rsidRDefault="00917A7A" w:rsidP="00917A7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8 декабря 1933-го в плане опытного строительства ВВС РККА на 1934 - 1935 годы даже упомина</w:t>
      </w:r>
      <w:r w:rsidRPr="00142305">
        <w:rPr>
          <w:rStyle w:val="aff"/>
          <w:rFonts w:ascii="Times New Roman" w:hAnsi="Times New Roman" w:cs="Times New Roman"/>
          <w:color w:val="0070C0"/>
          <w:spacing w:val="0"/>
          <w:sz w:val="16"/>
          <w:szCs w:val="16"/>
        </w:rPr>
        <w:softHyphen/>
        <w:t>ния о дальних бомбардировщиках не было. Этот класс са</w:t>
      </w:r>
      <w:r w:rsidRPr="00142305">
        <w:rPr>
          <w:rStyle w:val="aff"/>
          <w:rFonts w:ascii="Times New Roman" w:hAnsi="Times New Roman" w:cs="Times New Roman"/>
          <w:color w:val="0070C0"/>
          <w:spacing w:val="0"/>
          <w:sz w:val="16"/>
          <w:szCs w:val="16"/>
        </w:rPr>
        <w:softHyphen/>
        <w:t>молетов появился позже, после принятия 14 июля 1934 го</w:t>
      </w:r>
      <w:r w:rsidRPr="00142305">
        <w:rPr>
          <w:rStyle w:val="aff"/>
          <w:rFonts w:ascii="Times New Roman" w:hAnsi="Times New Roman" w:cs="Times New Roman"/>
          <w:color w:val="0070C0"/>
          <w:spacing w:val="0"/>
          <w:sz w:val="16"/>
          <w:szCs w:val="16"/>
        </w:rPr>
        <w:softHyphen/>
        <w:t>да постановления СТО об организации на всех крупных самолета- и моторастроительных заводах, а также пред</w:t>
      </w:r>
      <w:r w:rsidRPr="00142305">
        <w:rPr>
          <w:rStyle w:val="aff"/>
          <w:rFonts w:ascii="Times New Roman" w:hAnsi="Times New Roman" w:cs="Times New Roman"/>
          <w:color w:val="0070C0"/>
          <w:spacing w:val="0"/>
          <w:sz w:val="16"/>
          <w:szCs w:val="16"/>
        </w:rPr>
        <w:softHyphen/>
        <w:t>приятиях, выпускавших вооружение и оборудование, кон</w:t>
      </w:r>
      <w:r w:rsidRPr="00142305">
        <w:rPr>
          <w:rStyle w:val="aff"/>
          <w:rFonts w:ascii="Times New Roman" w:hAnsi="Times New Roman" w:cs="Times New Roman"/>
          <w:color w:val="0070C0"/>
          <w:spacing w:val="0"/>
          <w:sz w:val="16"/>
          <w:szCs w:val="16"/>
        </w:rPr>
        <w:softHyphen/>
        <w:t xml:space="preserve">структорских бюро. Это позволило сначала разгрузить ЦКБ завода </w:t>
      </w:r>
      <w:r w:rsidRPr="00142305">
        <w:rPr>
          <w:rStyle w:val="aff"/>
          <w:rFonts w:ascii="Times New Roman" w:hAnsi="Times New Roman" w:cs="Times New Roman"/>
          <w:color w:val="0070C0"/>
          <w:spacing w:val="0"/>
          <w:sz w:val="16"/>
          <w:szCs w:val="16"/>
          <w:lang w:val="en-US"/>
        </w:rPr>
        <w:t>NQ</w:t>
      </w:r>
      <w:r w:rsidRPr="00142305">
        <w:rPr>
          <w:rStyle w:val="aff"/>
          <w:rFonts w:ascii="Times New Roman" w:hAnsi="Times New Roman" w:cs="Times New Roman"/>
          <w:color w:val="0070C0"/>
          <w:spacing w:val="0"/>
          <w:sz w:val="16"/>
          <w:szCs w:val="16"/>
        </w:rPr>
        <w:t xml:space="preserve"> 39, а затем образовать самостоятельные опытные конструкторские бюро (25091).</w:t>
      </w:r>
    </w:p>
    <w:p w14:paraId="54EBEFE0" w14:textId="77777777" w:rsidR="00917A7A" w:rsidRPr="00142305" w:rsidRDefault="00917A7A" w:rsidP="00917A7A">
      <w:pPr>
        <w:spacing w:after="0" w:line="240" w:lineRule="auto"/>
        <w:jc w:val="both"/>
        <w:rPr>
          <w:rFonts w:ascii="Times New Roman" w:hAnsi="Times New Roman"/>
          <w:color w:val="0070C0"/>
          <w:sz w:val="16"/>
          <w:szCs w:val="16"/>
        </w:rPr>
      </w:pPr>
    </w:p>
    <w:p w14:paraId="7A5E3F7C" w14:textId="77777777" w:rsidR="00917A7A" w:rsidRPr="00142305" w:rsidRDefault="00917A7A" w:rsidP="00917A7A">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8 декабря 1933-го в плане опытного строительства ВВС РККА на 1934–1935 годы, утвержденного СТО, даже упоминания о дальних бомбардировщиках не было. Этот класс самолетов появился позже, после принятия 14 июля 1934 года постановления СТО об организации на всех крупных самолето— и моторостроительных заводах, а также предприятиях, выпускавших вооружение и оборудование, конструкторских бюро. Это позволило сначала разгрузить ЦКБ завода № 39, а затем образовать самостоятельные опытные конструкторские бюро (25764).</w:t>
      </w:r>
    </w:p>
    <w:p w14:paraId="0CB67375" w14:textId="77777777" w:rsidR="00917A7A" w:rsidRPr="00142305" w:rsidRDefault="00917A7A" w:rsidP="00917A7A">
      <w:pPr>
        <w:spacing w:after="0" w:line="240" w:lineRule="auto"/>
        <w:jc w:val="both"/>
        <w:rPr>
          <w:rFonts w:ascii="Times New Roman" w:hAnsi="Times New Roman"/>
          <w:color w:val="0070C0"/>
          <w:sz w:val="16"/>
          <w:szCs w:val="16"/>
        </w:rPr>
      </w:pPr>
    </w:p>
    <w:p w14:paraId="640AA29A"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70CDBDE"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35B9909" w14:textId="77777777" w:rsidR="00E86D8F" w:rsidRPr="0044524F" w:rsidRDefault="00E86D8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декабря 1933 г. Указ ввел личную ответственность директоров и других руководителей предприятий за производство недоброкачественной и некомплектной продукции (18627).</w:t>
      </w:r>
    </w:p>
    <w:p w14:paraId="3C0AA963" w14:textId="77777777" w:rsidR="00E86D8F" w:rsidRPr="0044524F" w:rsidRDefault="00E86D8F" w:rsidP="009654CF">
      <w:pPr>
        <w:spacing w:after="0" w:line="240" w:lineRule="auto"/>
        <w:jc w:val="both"/>
        <w:rPr>
          <w:rFonts w:ascii="Times New Roman" w:hAnsi="Times New Roman"/>
          <w:color w:val="000000" w:themeColor="text1"/>
          <w:sz w:val="16"/>
          <w:szCs w:val="16"/>
        </w:rPr>
      </w:pPr>
    </w:p>
    <w:p w14:paraId="001120DF" w14:textId="77777777" w:rsidR="004F4BE1" w:rsidRPr="0044524F" w:rsidRDefault="004F4BE1" w:rsidP="009654CF">
      <w:pPr>
        <w:pStyle w:val="rtejustify"/>
        <w:spacing w:before="0" w:after="0"/>
        <w:rPr>
          <w:color w:val="000000" w:themeColor="text1"/>
          <w:sz w:val="16"/>
          <w:szCs w:val="16"/>
        </w:rPr>
      </w:pPr>
      <w:r w:rsidRPr="0044524F">
        <w:rPr>
          <w:rStyle w:val="af0"/>
          <w:bCs/>
          <w:i w:val="0"/>
          <w:color w:val="000000" w:themeColor="text1"/>
          <w:sz w:val="16"/>
          <w:szCs w:val="16"/>
        </w:rPr>
        <w:t>8 декабря</w:t>
      </w:r>
      <w:r w:rsidRPr="0044524F">
        <w:rPr>
          <w:color w:val="000000" w:themeColor="text1"/>
          <w:sz w:val="16"/>
          <w:szCs w:val="16"/>
        </w:rPr>
        <w:t xml:space="preserve"> 1933. Постановление СТО СССР № 124сс/о «О запчастях к танку Т</w:t>
      </w:r>
      <w:r w:rsidRPr="0044524F">
        <w:rPr>
          <w:color w:val="000000" w:themeColor="text1"/>
          <w:sz w:val="16"/>
          <w:szCs w:val="16"/>
        </w:rPr>
        <w:noBreakHyphen/>
        <w:t>26». (ГА РФ. Ф. Р</w:t>
      </w:r>
      <w:r w:rsidRPr="0044524F">
        <w:rPr>
          <w:color w:val="000000" w:themeColor="text1"/>
          <w:sz w:val="16"/>
          <w:szCs w:val="16"/>
        </w:rPr>
        <w:noBreakHyphen/>
        <w:t>8418. Оп. 28. Д. 3. Л. 88) (15460).</w:t>
      </w:r>
    </w:p>
    <w:p w14:paraId="2C26BFB0" w14:textId="77777777" w:rsidR="004F4BE1" w:rsidRPr="0044524F" w:rsidRDefault="004F4BE1" w:rsidP="009654CF">
      <w:pPr>
        <w:pStyle w:val="rtejustify"/>
        <w:spacing w:before="0" w:after="0"/>
        <w:rPr>
          <w:color w:val="000000" w:themeColor="text1"/>
          <w:sz w:val="16"/>
          <w:szCs w:val="16"/>
        </w:rPr>
      </w:pPr>
    </w:p>
    <w:p w14:paraId="659491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декабря 1933 г. в соответствии с приказом НКТП № 1035 объединение «Азнефть» было реорганизовано с образованием трех трестов: «Азнефть», «Нефтеперегонных заводов» и «Дальних разведок», в дальнейшем трест «Нефтеперегонных заводов» переименован в трест «Азнефтезавод», а трест «Дальних разведок» - в трест «Азнефтеразведка». В состав «Азнефтезаводов» в 1934 г. входили пять заводов в Баку (им. Сталина, им. Пятакова, им. В. Стуруа, им. Буденного, им. Джапаридзе) и «Батумские заводы» (11232).</w:t>
      </w:r>
    </w:p>
    <w:p w14:paraId="0F8C11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B97C7C1"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8D6DBC1"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5B94E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8 и 14 декабря 1933. Из протокола заседания Политбюро N151, особая папка, 1933 г.</w:t>
      </w:r>
    </w:p>
    <w:p w14:paraId="70F752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Вопрос КО </w:t>
      </w:r>
    </w:p>
    <w:p w14:paraId="5B14C0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КО об отпуске ОГПУ 300 тыс. руб. валюты на закупку моторов в Америке для сторожевых катеров погранохраны Дальнего Востока (11652).</w:t>
      </w:r>
    </w:p>
    <w:p w14:paraId="462602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B2A07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8 и 14 декабря 1933. Из протокола заседания Политбюро N151, особая папка, 1933 г.</w:t>
      </w:r>
    </w:p>
    <w:p w14:paraId="565DD6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выставке польского искусства </w:t>
      </w:r>
    </w:p>
    <w:p w14:paraId="68EEE6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Выделить НКПросу РСФСР 2 тыс. рублей инвалюты на приобретение ряда картин и скульптур польских художников для наших музеев (11652).</w:t>
      </w:r>
    </w:p>
    <w:p w14:paraId="300AA8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3E1E817"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C9180D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50975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декабря 1933 вышел приказ ГУАП N 24/456:</w:t>
      </w:r>
    </w:p>
    <w:p w14:paraId="36E21A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постановлением СТО от 28 ноября "О производстве морской и истребительной авиации на заводе 125":</w:t>
      </w:r>
    </w:p>
    <w:p w14:paraId="1B195C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Директору завода 125 Ирьянову немедленно приступить к подготовке производства самолета М-14, определив производственную программу на 1934 по самолету И-14 в 17 шт. по выпуску и одновременно вести работу по постановке производства МДР-4, ориентируясь на выпуск в 1935." Королев (2290,64).</w:t>
      </w:r>
    </w:p>
    <w:p w14:paraId="36F55C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DE3716E" w14:textId="77777777" w:rsidR="00775806" w:rsidRPr="0044524F" w:rsidRDefault="007758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9 декабря 1933 г. Г.Н. Королев подписал приказ по Управлению, в котором в соответ</w:t>
      </w:r>
      <w:r w:rsidRPr="0044524F">
        <w:rPr>
          <w:rFonts w:ascii="Times New Roman" w:hAnsi="Times New Roman"/>
          <w:color w:val="000000" w:themeColor="text1"/>
          <w:sz w:val="16"/>
          <w:szCs w:val="16"/>
        </w:rPr>
        <w:softHyphen/>
        <w:t>ствии с постановлением СТО от 28 ноября 1933 г. «О производстве морской и истре</w:t>
      </w:r>
      <w:r w:rsidRPr="0044524F">
        <w:rPr>
          <w:rFonts w:ascii="Times New Roman" w:hAnsi="Times New Roman"/>
          <w:color w:val="000000" w:themeColor="text1"/>
          <w:sz w:val="16"/>
          <w:szCs w:val="16"/>
        </w:rPr>
        <w:softHyphen/>
        <w:t>бительной авиации на заводе № 125» дал указание:</w:t>
      </w:r>
    </w:p>
    <w:p w14:paraId="19837948" w14:textId="77777777" w:rsidR="00775806" w:rsidRPr="0044524F" w:rsidRDefault="007758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Директору завода № 125 тов. Ирьянову немедленно приступить к подготовке производства самолёта И-14, определив производственную программу на 1934 год по самолёту И-14 в 17 штук по выпуеку и одновременно вести работу по постановке производства самолёта МДР-4, ориентируясь на выпуске в 1935 году.</w:t>
      </w:r>
    </w:p>
    <w:p w14:paraId="63D07D6B" w14:textId="77777777" w:rsidR="00775806" w:rsidRPr="0044524F" w:rsidRDefault="00775806" w:rsidP="009654CF">
      <w:pPr>
        <w:tabs>
          <w:tab w:val="left" w:pos="488"/>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Разработку чертежей и технологических процессов, чертежей приспособлений по обоим самолётам вести в Москве...</w:t>
      </w:r>
    </w:p>
    <w:p w14:paraId="50686FE6" w14:textId="77777777" w:rsidR="00775806" w:rsidRPr="0044524F" w:rsidRDefault="0077580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Заводу № 21 вести подготовку производства по И-14 с включением своих работни</w:t>
      </w:r>
      <w:r w:rsidRPr="0044524F">
        <w:rPr>
          <w:rFonts w:ascii="Times New Roman" w:hAnsi="Times New Roman"/>
          <w:color w:val="000000" w:themeColor="text1"/>
          <w:sz w:val="16"/>
          <w:szCs w:val="16"/>
        </w:rPr>
        <w:softHyphen/>
        <w:t>ков в технический отдел завода N9 125 с тем, чтобы чертежи, технологический процесс и чертежи приспособлений, были использованы для обоих заводов.</w:t>
      </w:r>
    </w:p>
    <w:p w14:paraId="5199B853" w14:textId="77777777" w:rsidR="00775806" w:rsidRPr="0044524F" w:rsidRDefault="00775806" w:rsidP="009654CF">
      <w:pPr>
        <w:tabs>
          <w:tab w:val="left" w:pos="46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Директору ЦАГИ тов. Харламову в 15-ти дневный срок передать на завод полный комплект чертежей И-14 (в 4-х экз.) и выделить для постоянного и непосредственно</w:t>
      </w:r>
      <w:r w:rsidRPr="0044524F">
        <w:rPr>
          <w:rFonts w:ascii="Times New Roman" w:hAnsi="Times New Roman"/>
          <w:color w:val="000000" w:themeColor="text1"/>
          <w:sz w:val="16"/>
          <w:szCs w:val="16"/>
        </w:rPr>
        <w:softHyphen/>
        <w:t>го руководства по увязке чертежей ответственного работника ЦАГИ.</w:t>
      </w:r>
    </w:p>
    <w:p w14:paraId="114125F7" w14:textId="77777777" w:rsidR="00775806" w:rsidRPr="0044524F" w:rsidRDefault="00775806" w:rsidP="009654CF">
      <w:pPr>
        <w:tabs>
          <w:tab w:val="left" w:pos="474"/>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Техн. директору завода № 125 т. Хомскому, директору завода № 21 т. Мирошникову и директору ЦАГИ т. Харламову заключить соглашение на сдачу чертежей и органи</w:t>
      </w:r>
      <w:r w:rsidRPr="0044524F">
        <w:rPr>
          <w:rFonts w:ascii="Times New Roman" w:hAnsi="Times New Roman"/>
          <w:color w:val="000000" w:themeColor="text1"/>
          <w:sz w:val="16"/>
          <w:szCs w:val="16"/>
        </w:rPr>
        <w:softHyphen/>
        <w:t>зацию технической помощи со стороны ЦАГИ обоим заводам по внедрению машины...» (15823).</w:t>
      </w:r>
    </w:p>
    <w:p w14:paraId="0B5A3818" w14:textId="77777777" w:rsidR="00775806" w:rsidRPr="0044524F" w:rsidRDefault="00775806" w:rsidP="009654CF">
      <w:pPr>
        <w:tabs>
          <w:tab w:val="left" w:pos="474"/>
        </w:tabs>
        <w:spacing w:after="0" w:line="240" w:lineRule="auto"/>
        <w:jc w:val="both"/>
        <w:rPr>
          <w:rFonts w:ascii="Times New Roman" w:hAnsi="Times New Roman"/>
          <w:color w:val="000000" w:themeColor="text1"/>
          <w:sz w:val="16"/>
          <w:szCs w:val="16"/>
        </w:rPr>
      </w:pPr>
    </w:p>
    <w:p w14:paraId="1F26AF83" w14:textId="77777777" w:rsidR="00E86D8F" w:rsidRPr="0044524F" w:rsidRDefault="00E86D8F"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9 декабря 1933 года Г. Н. Королев подписал приказ по Управлению, в котором в соответствии с постановлением СТО от 28 ноября 1933 года «О производстве морской и истребительной авиации на заводе №125» дал указание:</w:t>
      </w:r>
    </w:p>
    <w:p w14:paraId="2A27F04F" w14:textId="77777777" w:rsidR="00E86D8F" w:rsidRPr="0044524F" w:rsidRDefault="00E86D8F"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 1. Директору завода №125 тов. Ирьянову немедленно приступить к подготовке производства самолета И-14, определив производственную программу на 1934 год по самолету И-14 в 17 штук по выпуску и одновременно вести работу по постановке производства самолета МДР-4, ориентируясь на выпуске в 1935 году.</w:t>
      </w:r>
    </w:p>
    <w:p w14:paraId="593AD79F" w14:textId="77777777" w:rsidR="00E86D8F" w:rsidRPr="0044524F" w:rsidRDefault="00E86D8F"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2. Разработку чертежей и технологических процессов, чертежей приспособлений по обеим самолетам вести в Москве. …</w:t>
      </w:r>
    </w:p>
    <w:p w14:paraId="416ECF32" w14:textId="77777777" w:rsidR="00E86D8F" w:rsidRPr="0044524F" w:rsidRDefault="00E86D8F"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Заводу №21 вести подготовку производства по И-14 с включением своих работников в технический отдел завода №125 с тем, чтобы чертежи, технологический процесс и чертежи приспособлений, были использованы для обоих заводов.</w:t>
      </w:r>
    </w:p>
    <w:p w14:paraId="530F823C" w14:textId="77777777" w:rsidR="00E86D8F" w:rsidRPr="0044524F" w:rsidRDefault="00E86D8F"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3. Директору ЦАГИ тов. Харламову в 15-ти дневный срок передать на завод полный комплект чертежей И-14 (в 4-х экз.) и выделить для постоянного и непосредственного руководства по увязке чертежей ответственного работника ЦАГИ.</w:t>
      </w:r>
    </w:p>
    <w:p w14:paraId="1504262B" w14:textId="77777777" w:rsidR="00E86D8F" w:rsidRPr="0044524F" w:rsidRDefault="00E86D8F" w:rsidP="009654CF">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44524F">
        <w:rPr>
          <w:rStyle w:val="af0"/>
          <w:i w:val="0"/>
          <w:color w:val="000000" w:themeColor="text1"/>
          <w:sz w:val="16"/>
          <w:szCs w:val="16"/>
          <w:bdr w:val="none" w:sz="0" w:space="0" w:color="auto" w:frame="1"/>
        </w:rPr>
        <w:t>4. Техническому директору завода №125 т. Хомскому, директору завода №21 т. Мирошникову и директору ЦАГИ т. Харламову заключить соглашение на сдачу чертежей и организацию технической помощи со стороны ЦАГИ обоим заводам по внедрению машины. …» (19177).</w:t>
      </w:r>
    </w:p>
    <w:p w14:paraId="5B390873" w14:textId="77777777" w:rsidR="00E86D8F" w:rsidRPr="0044524F" w:rsidRDefault="00E86D8F" w:rsidP="009654CF">
      <w:pPr>
        <w:pStyle w:val="ae"/>
        <w:shd w:val="clear" w:color="auto" w:fill="FFFFFF"/>
        <w:spacing w:before="0" w:after="0"/>
        <w:jc w:val="both"/>
        <w:textAlignment w:val="baseline"/>
        <w:rPr>
          <w:color w:val="000000" w:themeColor="text1"/>
          <w:sz w:val="16"/>
          <w:szCs w:val="16"/>
        </w:rPr>
      </w:pPr>
    </w:p>
    <w:p w14:paraId="360612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декабря 1933 г. начальник ГУАП Королев издает приказ: "В соответствии с постановлением Совета Груда и Обороны (СТО) от 28 ноября с.г. - о производстве морской и истребительной авиации на заводе №125, приказываю:</w:t>
      </w:r>
    </w:p>
    <w:p w14:paraId="220FC3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Директору завода 125 тов. Ирьянову немедленно приступить к подготовке производства самолета И-14, определив производственную программу на 1934 г. ... в 17 штук и одновременно вести работу по постановке производства самолета МДР-4, ориентируясь на выпуск в 1935 г.</w:t>
      </w:r>
    </w:p>
    <w:p w14:paraId="51C5CC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Разработку чертежей и технологических процессов, чертежей приспособлений по обоим самолетам вести в Москве. Заводу №31 (в Таганроге.- прим. авт.) немедленно включиться в работу по МДР-4, для чего выслать соответствующих работников в технический отдел завода 125.</w:t>
      </w:r>
    </w:p>
    <w:p w14:paraId="2C5199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Заводу №21 вести подготовку производства по И -14 с включением своих работников в технический отдел завода 125 с тем, чтобы чертежи,... были использованы для обоих заводов</w:t>
      </w:r>
    </w:p>
    <w:p w14:paraId="5171DB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Директору ЦАГИ тов. Харламову в 15-дневный срок передать на завод полный комплект чертежей И-14 и выделить для постоянного и непосредственного руководства по увязке чертежей ответственного работника ЦАГИ.</w:t>
      </w:r>
    </w:p>
    <w:p w14:paraId="17FE01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Техническому директору завода 125 т. Хомскому, директору завода 21 т. Мирошниченко и директору ЦАГИ т. Харламову заключить соглашение на сдачу чертежей и организацию технической помощи со стороны ЦАГИ обоим заводам но внедрению машины.</w:t>
      </w:r>
    </w:p>
    <w:p w14:paraId="069458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Для укомплектования руководящим персоналом производственной части завода... директору завода №22 тов. Миткевич (директором 22-го завода парторг ЦК BK1I6 Ольга Миткевич стала после гибели С.П.Горбунова в авиационной катастрофе в сентябре 1933 г.) откомандировать техника Васильева (пом. нач. КОСТР) для занятия должности начальника конструкторского отдела завода № 125, директору завода №31 - откомандировать инженера Безухова и техника Потапова. Откомандирование произвести в 2-х дневный срок. Об исполнении доложить лично мне (формулировка для наших дней просто потрясающая, тем более, что она касалась одного инженера и двух техников)</w:t>
      </w:r>
    </w:p>
    <w:p w14:paraId="041593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Отделу кадров ГУАПа форсировать комплектование техническим персоналом, согласно плана подготовки производства... ускорить разверстку по действующим заводам авиапромышленности таблицы перебрасываемых на завод № 125 рабочих...</w:t>
      </w:r>
    </w:p>
    <w:p w14:paraId="4AC983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...ускорить достройку дома...переданного распоряжением моего заместителя тов. Кацва 125 заводу. В указанном доме разместить рабочих завода 125, прибывающих для повышения квалификации из Иркутска...</w:t>
      </w:r>
    </w:p>
    <w:p w14:paraId="2FC1D1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...урегулировать вопрос с помещением, занимаемым Конструкторским Отделом завода 125, обеспечив его нормальными условиями для работ, для чего пересмотреть потребность в площадях всех учреждений ГУАПа, помещающихся на Маросейке, 12" (12037).</w:t>
      </w:r>
    </w:p>
    <w:p w14:paraId="399C08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1FA8B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декабря 1933 г. Алкснис утвердил Тактико-технические требования (ТТТ) на одноместный истребитель И-17 (9630).</w:t>
      </w:r>
    </w:p>
    <w:p w14:paraId="73BE81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E6BBFD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декабря 1933 г. начальник ВВС РККА Алкснис утвердил следующие тактико-техни</w:t>
      </w:r>
      <w:r w:rsidRPr="0044524F">
        <w:rPr>
          <w:rFonts w:ascii="Times New Roman" w:hAnsi="Times New Roman"/>
          <w:color w:val="000000" w:themeColor="text1"/>
          <w:sz w:val="16"/>
          <w:szCs w:val="16"/>
        </w:rPr>
        <w:softHyphen/>
        <w:t>ческие требования к одноместному истребителю И-17 под мотор Испано-Сюиза 12У:</w:t>
      </w:r>
    </w:p>
    <w:p w14:paraId="36ACD0E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Летные данные.</w:t>
      </w:r>
    </w:p>
    <w:p w14:paraId="1ED7611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 полезной нагрузкой 226 кг и запасом го</w:t>
      </w:r>
      <w:r w:rsidRPr="0044524F">
        <w:rPr>
          <w:rFonts w:ascii="Times New Roman" w:hAnsi="Times New Roman"/>
          <w:color w:val="000000" w:themeColor="text1"/>
          <w:sz w:val="16"/>
          <w:szCs w:val="16"/>
        </w:rPr>
        <w:softHyphen/>
        <w:t>рючего и смазочных материалов, обеспечивающих тех</w:t>
      </w:r>
      <w:r w:rsidRPr="0044524F">
        <w:rPr>
          <w:rFonts w:ascii="Times New Roman" w:hAnsi="Times New Roman"/>
          <w:color w:val="000000" w:themeColor="text1"/>
          <w:sz w:val="16"/>
          <w:szCs w:val="16"/>
        </w:rPr>
        <w:softHyphen/>
        <w:t>ническую дальность полета 500 км на боевой высоте 5000 м, должен обладать нижеследующими данными:</w:t>
      </w:r>
    </w:p>
    <w:p w14:paraId="47B3D4F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Скорость максимальная на высоте 5000 м - 425 км/ч</w:t>
      </w:r>
    </w:p>
    <w:p w14:paraId="58FEEBD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Время набора высоты 5000 м - 6-7 мин</w:t>
      </w:r>
    </w:p>
    <w:p w14:paraId="46AB641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Потолок практический — 10000 м</w:t>
      </w:r>
    </w:p>
    <w:p w14:paraId="382B81E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Посадочная скорость не более - 100-105 км/ч</w:t>
      </w:r>
    </w:p>
    <w:p w14:paraId="7824241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емкость баков должна быть рассчитана на техническую дальность 600 км.</w:t>
      </w:r>
    </w:p>
    <w:p w14:paraId="1D89224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Последовательность требований.</w:t>
      </w:r>
    </w:p>
    <w:p w14:paraId="30F5DAB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Технические свойства самолета требуют, чтобы при выполнении и перевыполнении поставленных выше летных данных конструктор учитывал нижеследую</w:t>
      </w:r>
      <w:r w:rsidRPr="0044524F">
        <w:rPr>
          <w:rFonts w:ascii="Times New Roman" w:hAnsi="Times New Roman"/>
          <w:color w:val="000000" w:themeColor="text1"/>
          <w:sz w:val="16"/>
          <w:szCs w:val="16"/>
        </w:rPr>
        <w:softHyphen/>
        <w:t>щую по важности последовательность:</w:t>
      </w:r>
    </w:p>
    <w:p w14:paraId="62D5345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скорость,</w:t>
      </w:r>
    </w:p>
    <w:p w14:paraId="2844CEF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скороподъемность,</w:t>
      </w:r>
    </w:p>
    <w:p w14:paraId="72C55EE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маневренность...».</w:t>
      </w:r>
    </w:p>
    <w:p w14:paraId="18D7B1F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 должен был также предусмотреть уста</w:t>
      </w:r>
      <w:r w:rsidRPr="0044524F">
        <w:rPr>
          <w:rFonts w:ascii="Times New Roman" w:hAnsi="Times New Roman"/>
          <w:color w:val="000000" w:themeColor="text1"/>
          <w:sz w:val="16"/>
          <w:szCs w:val="16"/>
        </w:rPr>
        <w:softHyphen/>
        <w:t>новку радиооборудования (10667).</w:t>
      </w:r>
    </w:p>
    <w:p w14:paraId="25D2508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0682D0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декабря 1933 Алкснис утвердил так</w:t>
      </w:r>
      <w:r w:rsidRPr="0044524F">
        <w:rPr>
          <w:rFonts w:ascii="Times New Roman" w:hAnsi="Times New Roman"/>
          <w:color w:val="000000" w:themeColor="text1"/>
          <w:sz w:val="16"/>
          <w:szCs w:val="16"/>
        </w:rPr>
        <w:softHyphen/>
        <w:t>тико-технические требования к одноместному экспери</w:t>
      </w:r>
      <w:r w:rsidRPr="0044524F">
        <w:rPr>
          <w:rFonts w:ascii="Times New Roman" w:hAnsi="Times New Roman"/>
          <w:color w:val="000000" w:themeColor="text1"/>
          <w:sz w:val="16"/>
          <w:szCs w:val="16"/>
        </w:rPr>
        <w:softHyphen/>
        <w:t>ментальному истребителю И-17 под мотор М-34РНФ ИЭ (высотность до 4400 м). Несмотря на отсутствие официального задания, Ни</w:t>
      </w:r>
      <w:r w:rsidRPr="0044524F">
        <w:rPr>
          <w:rFonts w:ascii="Times New Roman" w:hAnsi="Times New Roman"/>
          <w:color w:val="000000" w:themeColor="text1"/>
          <w:sz w:val="16"/>
          <w:szCs w:val="16"/>
        </w:rPr>
        <w:softHyphen/>
        <w:t>колай Николаевич продолжал работу над истребителем ЦКБ-15. Так как создание отечественных автоматичес</w:t>
      </w:r>
      <w:r w:rsidRPr="0044524F">
        <w:rPr>
          <w:rFonts w:ascii="Times New Roman" w:hAnsi="Times New Roman"/>
          <w:color w:val="000000" w:themeColor="text1"/>
          <w:sz w:val="16"/>
          <w:szCs w:val="16"/>
        </w:rPr>
        <w:softHyphen/>
        <w:t>ких пушек еще не завершилось, Поликарпов сосредото</w:t>
      </w:r>
      <w:r w:rsidRPr="0044524F">
        <w:rPr>
          <w:rFonts w:ascii="Times New Roman" w:hAnsi="Times New Roman"/>
          <w:color w:val="000000" w:themeColor="text1"/>
          <w:sz w:val="16"/>
          <w:szCs w:val="16"/>
        </w:rPr>
        <w:softHyphen/>
        <w:t>чил основное внимание на проекте истребителя с пулеметным вооружением в крыле (10667).</w:t>
      </w:r>
    </w:p>
    <w:p w14:paraId="079515A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6D72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декабря 1933 тактико-технические требования (ТТТ) на одноместный истребитель И-17 были утверждены Алкснисом, а 13 декабря 1933 г. они поступили из НИИ ВВС в Центральное конструкторское бюро. Основные положения ТТТ к истребителю И-17 были таковы: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4E10C1" w:rsidRPr="0044524F" w14:paraId="50056EFA" w14:textId="77777777">
        <w:tc>
          <w:tcPr>
            <w:tcW w:w="5605" w:type="dxa"/>
            <w:tcBorders>
              <w:top w:val="single" w:sz="12" w:space="0" w:color="auto"/>
            </w:tcBorders>
          </w:tcPr>
          <w:p w14:paraId="6ACAAA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на высоте 5000 м</w:t>
            </w:r>
          </w:p>
        </w:tc>
        <w:tc>
          <w:tcPr>
            <w:tcW w:w="5605" w:type="dxa"/>
            <w:tcBorders>
              <w:top w:val="single" w:sz="12" w:space="0" w:color="auto"/>
            </w:tcBorders>
          </w:tcPr>
          <w:p w14:paraId="7BED0C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 км/ч</w:t>
            </w:r>
          </w:p>
        </w:tc>
      </w:tr>
      <w:tr w:rsidR="004E10C1" w:rsidRPr="0044524F" w14:paraId="26FC0FFC" w14:textId="77777777">
        <w:tc>
          <w:tcPr>
            <w:tcW w:w="5605" w:type="dxa"/>
          </w:tcPr>
          <w:p w14:paraId="7B7F5C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5000 м</w:t>
            </w:r>
          </w:p>
        </w:tc>
        <w:tc>
          <w:tcPr>
            <w:tcW w:w="5605" w:type="dxa"/>
          </w:tcPr>
          <w:p w14:paraId="601F2C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 мин</w:t>
            </w:r>
          </w:p>
        </w:tc>
      </w:tr>
      <w:tr w:rsidR="004E10C1" w:rsidRPr="0044524F" w14:paraId="60FC5D94" w14:textId="77777777">
        <w:tc>
          <w:tcPr>
            <w:tcW w:w="5605" w:type="dxa"/>
          </w:tcPr>
          <w:p w14:paraId="2EFE01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практический</w:t>
            </w:r>
          </w:p>
        </w:tc>
        <w:tc>
          <w:tcPr>
            <w:tcW w:w="5605" w:type="dxa"/>
          </w:tcPr>
          <w:p w14:paraId="6185B1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 м</w:t>
            </w:r>
          </w:p>
        </w:tc>
      </w:tr>
      <w:tr w:rsidR="004E10C1" w:rsidRPr="0044524F" w14:paraId="60994C76" w14:textId="77777777">
        <w:tc>
          <w:tcPr>
            <w:tcW w:w="5605" w:type="dxa"/>
          </w:tcPr>
          <w:p w14:paraId="4C9EEC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не более</w:t>
            </w:r>
          </w:p>
        </w:tc>
        <w:tc>
          <w:tcPr>
            <w:tcW w:w="5605" w:type="dxa"/>
          </w:tcPr>
          <w:p w14:paraId="07EE6B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100-105 км/ч</w:t>
            </w:r>
          </w:p>
        </w:tc>
      </w:tr>
      <w:tr w:rsidR="004E10C1" w:rsidRPr="0044524F" w14:paraId="68212D65" w14:textId="77777777">
        <w:tc>
          <w:tcPr>
            <w:tcW w:w="5605" w:type="dxa"/>
            <w:tcBorders>
              <w:bottom w:val="single" w:sz="12" w:space="0" w:color="auto"/>
            </w:tcBorders>
          </w:tcPr>
          <w:p w14:paraId="741732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Техническая дальность</w:t>
            </w:r>
          </w:p>
        </w:tc>
        <w:tc>
          <w:tcPr>
            <w:tcW w:w="5605" w:type="dxa"/>
            <w:tcBorders>
              <w:bottom w:val="single" w:sz="12" w:space="0" w:color="auto"/>
            </w:tcBorders>
          </w:tcPr>
          <w:p w14:paraId="39074C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 км</w:t>
            </w:r>
          </w:p>
        </w:tc>
      </w:tr>
    </w:tbl>
    <w:p w14:paraId="5BD771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(12016).</w:t>
      </w:r>
    </w:p>
    <w:p w14:paraId="732384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4FEA930"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декабря 1933 г. тактико-технические требования (ТТТ) на одноместный истребитель И-17 были ут</w:t>
      </w:r>
      <w:r w:rsidRPr="00142305">
        <w:rPr>
          <w:rFonts w:ascii="Times New Roman" w:hAnsi="Times New Roman"/>
          <w:color w:val="0070C0"/>
          <w:sz w:val="16"/>
          <w:szCs w:val="16"/>
        </w:rPr>
        <w:softHyphen/>
        <w:t>верждены Алкснисом, а 13 декаб</w:t>
      </w:r>
      <w:r w:rsidRPr="00142305">
        <w:rPr>
          <w:rFonts w:ascii="Times New Roman" w:hAnsi="Times New Roman"/>
          <w:color w:val="0070C0"/>
          <w:sz w:val="16"/>
          <w:szCs w:val="16"/>
        </w:rPr>
        <w:softHyphen/>
        <w:t>ря 1933 г. они поступили из НИИ ВВС в Центральное конструкторское бюро. Основ</w:t>
      </w:r>
      <w:r w:rsidRPr="00142305">
        <w:rPr>
          <w:rFonts w:ascii="Times New Roman" w:hAnsi="Times New Roman"/>
          <w:color w:val="0070C0"/>
          <w:sz w:val="16"/>
          <w:szCs w:val="16"/>
        </w:rPr>
        <w:softHyphen/>
        <w:t>ные положения ТТТ к истребителю И-17 были таковы:</w:t>
      </w:r>
    </w:p>
    <w:p w14:paraId="48AD857B" w14:textId="77777777" w:rsidR="006208B0" w:rsidRPr="00142305" w:rsidRDefault="006208B0" w:rsidP="006208B0">
      <w:pPr>
        <w:pStyle w:val="afff4"/>
        <w:pBdr>
          <w:top w:val="single" w:sz="4" w:space="0" w:color="auto"/>
          <w:left w:val="single" w:sz="4" w:space="0" w:color="auto"/>
          <w:bottom w:val="single" w:sz="4" w:space="0" w:color="auto"/>
          <w:right w:val="single" w:sz="4" w:space="0" w:color="auto"/>
        </w:pBdr>
        <w:tabs>
          <w:tab w:val="left" w:pos="2561"/>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Максимальная скорость на высоте 5000 м</w:t>
      </w:r>
      <w:r w:rsidRPr="00142305">
        <w:rPr>
          <w:rFonts w:ascii="Times New Roman" w:hAnsi="Times New Roman" w:cs="Times New Roman"/>
          <w:color w:val="0070C0"/>
          <w:sz w:val="16"/>
          <w:szCs w:val="16"/>
        </w:rPr>
        <w:tab/>
        <w:t>425 км/ч</w:t>
      </w:r>
    </w:p>
    <w:p w14:paraId="43E6A0DE" w14:textId="77777777" w:rsidR="006208B0" w:rsidRPr="00142305" w:rsidRDefault="006208B0" w:rsidP="006208B0">
      <w:pPr>
        <w:pStyle w:val="afff4"/>
        <w:pBdr>
          <w:top w:val="single" w:sz="4" w:space="0" w:color="auto"/>
          <w:left w:val="single" w:sz="4" w:space="0" w:color="auto"/>
          <w:bottom w:val="single" w:sz="4" w:space="0" w:color="auto"/>
          <w:right w:val="single" w:sz="4" w:space="0" w:color="auto"/>
        </w:pBdr>
        <w:tabs>
          <w:tab w:val="left" w:pos="2561"/>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lastRenderedPageBreak/>
        <w:t>Время набора высоты 5000 м</w:t>
      </w:r>
      <w:r w:rsidRPr="00142305">
        <w:rPr>
          <w:rFonts w:ascii="Times New Roman" w:hAnsi="Times New Roman" w:cs="Times New Roman"/>
          <w:color w:val="0070C0"/>
          <w:sz w:val="16"/>
          <w:szCs w:val="16"/>
        </w:rPr>
        <w:tab/>
        <w:t>6-7 мин</w:t>
      </w:r>
    </w:p>
    <w:p w14:paraId="01B62EAF" w14:textId="77777777" w:rsidR="006208B0" w:rsidRPr="00142305" w:rsidRDefault="006208B0" w:rsidP="006208B0">
      <w:pPr>
        <w:pStyle w:val="afff4"/>
        <w:pBdr>
          <w:top w:val="single" w:sz="4" w:space="0" w:color="auto"/>
          <w:left w:val="single" w:sz="4" w:space="0" w:color="auto"/>
          <w:bottom w:val="single" w:sz="4" w:space="0" w:color="auto"/>
          <w:right w:val="single" w:sz="4" w:space="0" w:color="auto"/>
        </w:pBdr>
        <w:tabs>
          <w:tab w:val="left" w:pos="2561"/>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Потолок практический</w:t>
      </w:r>
      <w:r w:rsidRPr="00142305">
        <w:rPr>
          <w:rFonts w:ascii="Times New Roman" w:hAnsi="Times New Roman" w:cs="Times New Roman"/>
          <w:color w:val="0070C0"/>
          <w:sz w:val="16"/>
          <w:szCs w:val="16"/>
        </w:rPr>
        <w:tab/>
        <w:t>10000 м</w:t>
      </w:r>
    </w:p>
    <w:p w14:paraId="45298E5F" w14:textId="77777777" w:rsidR="006208B0" w:rsidRPr="00142305" w:rsidRDefault="006208B0" w:rsidP="006208B0">
      <w:pPr>
        <w:pStyle w:val="afff4"/>
        <w:pBdr>
          <w:top w:val="single" w:sz="4" w:space="0" w:color="auto"/>
          <w:left w:val="single" w:sz="4" w:space="0" w:color="auto"/>
          <w:bottom w:val="single" w:sz="4" w:space="0" w:color="auto"/>
          <w:right w:val="single" w:sz="4" w:space="0" w:color="auto"/>
        </w:pBdr>
        <w:tabs>
          <w:tab w:val="left" w:pos="2561"/>
        </w:tabs>
        <w:ind w:firstLine="0"/>
        <w:jc w:val="both"/>
        <w:rPr>
          <w:rFonts w:ascii="Times New Roman" w:hAnsi="Times New Roman" w:cs="Times New Roman"/>
          <w:color w:val="0070C0"/>
          <w:sz w:val="16"/>
          <w:szCs w:val="16"/>
        </w:rPr>
      </w:pPr>
      <w:r w:rsidRPr="00142305">
        <w:rPr>
          <w:rFonts w:ascii="Times New Roman" w:hAnsi="Times New Roman" w:cs="Times New Roman"/>
          <w:color w:val="0070C0"/>
          <w:sz w:val="16"/>
          <w:szCs w:val="16"/>
        </w:rPr>
        <w:t>Посадочная скорость не более 100-105 км/ч Техническая дальность</w:t>
      </w:r>
      <w:r w:rsidRPr="00142305">
        <w:rPr>
          <w:rFonts w:ascii="Times New Roman" w:hAnsi="Times New Roman" w:cs="Times New Roman"/>
          <w:color w:val="0070C0"/>
          <w:sz w:val="16"/>
          <w:szCs w:val="16"/>
        </w:rPr>
        <w:tab/>
        <w:t>600 км</w:t>
      </w:r>
    </w:p>
    <w:p w14:paraId="66479F17"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(24927).</w:t>
      </w:r>
    </w:p>
    <w:p w14:paraId="64AF1842" w14:textId="77777777" w:rsidR="006208B0" w:rsidRPr="00142305" w:rsidRDefault="006208B0" w:rsidP="006208B0">
      <w:pPr>
        <w:spacing w:after="0" w:line="240" w:lineRule="auto"/>
        <w:jc w:val="both"/>
        <w:rPr>
          <w:rFonts w:ascii="Times New Roman" w:hAnsi="Times New Roman"/>
          <w:color w:val="0070C0"/>
          <w:sz w:val="16"/>
          <w:szCs w:val="16"/>
        </w:rPr>
      </w:pPr>
    </w:p>
    <w:p w14:paraId="2C429330"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декабря 1933 г. Алкснис утвердил тактико-технические требования (ТТТ) на одноместный истребитель И-17, а 13-го они поступили из НИИ ВВС в Центральное конструкторское бюро. Основные положения ТТТ на истребитель И-17 были таковы:</w:t>
      </w:r>
    </w:p>
    <w:p w14:paraId="111571E8"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Максимальная скорость на высоте 5000 м — 425 км/ч</w:t>
      </w:r>
    </w:p>
    <w:p w14:paraId="7EBF801C"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Время набора высоты 5000 м — 6-7 мин.</w:t>
      </w:r>
    </w:p>
    <w:p w14:paraId="13A2A02B"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Потолок практический — 10000м.</w:t>
      </w:r>
    </w:p>
    <w:p w14:paraId="60E75DF9"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Посадочная скорость не болев — 100-105 км/ч</w:t>
      </w:r>
    </w:p>
    <w:p w14:paraId="270CF6D2"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Техническая дальность — 600 км (25342).</w:t>
      </w:r>
    </w:p>
    <w:p w14:paraId="37659634" w14:textId="77777777" w:rsidR="006208B0" w:rsidRPr="00142305" w:rsidRDefault="006208B0" w:rsidP="006208B0">
      <w:pPr>
        <w:spacing w:after="0" w:line="240" w:lineRule="auto"/>
        <w:jc w:val="both"/>
        <w:rPr>
          <w:rFonts w:ascii="Times New Roman" w:hAnsi="Times New Roman"/>
          <w:color w:val="0070C0"/>
          <w:sz w:val="16"/>
          <w:szCs w:val="16"/>
        </w:rPr>
      </w:pPr>
    </w:p>
    <w:p w14:paraId="4F402068"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9 декабря 1933 г. начальник ВВС РККА Алкснис утвердил следующие тактико-технические требования к одноместному истребителю И-17 под мотор «Испано-Сюиза» 12Ybrs:</w:t>
      </w:r>
    </w:p>
    <w:p w14:paraId="6A28159D"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«А. Летные данные. </w:t>
      </w:r>
    </w:p>
    <w:p w14:paraId="1ED20E17"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Самолет с полезной нагрузкой 226 кг и запасом горючего и смазочных материалов, обеспечивающих техническую дальность полета 500 км на боевой высоте 5000 м, должен обладать нижеследующими данными: </w:t>
      </w:r>
    </w:p>
    <w:p w14:paraId="7B734AF7"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 Скорость максимальная на высоте 5000 м 425 км/ч </w:t>
      </w:r>
    </w:p>
    <w:p w14:paraId="110FD1EE"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 Время набора высоты 5000 м 6-7мин </w:t>
      </w:r>
    </w:p>
    <w:p w14:paraId="26F55607"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3. Потолок практический 10 000 м </w:t>
      </w:r>
    </w:p>
    <w:p w14:paraId="2CF217B8"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4. Посадочная скорость не более 100–105 км/ч </w:t>
      </w:r>
    </w:p>
    <w:p w14:paraId="5E84CB21"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Примечание: емкость баков должна быть рассчитана на техническую дальность 600 км. </w:t>
      </w:r>
    </w:p>
    <w:p w14:paraId="2771904D"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Б. Последовательность требований. </w:t>
      </w:r>
    </w:p>
    <w:p w14:paraId="4AB98F3F"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Технические свойства самолета требуют, чтобы при выполнении и перевыполнении поставленных выше летных данных конструктор учитывал нижеследующую по важности последовательность: </w:t>
      </w:r>
    </w:p>
    <w:p w14:paraId="4BB94358"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1) скорость, </w:t>
      </w:r>
    </w:p>
    <w:p w14:paraId="1D59708C"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xml:space="preserve">2) скороподъемность, </w:t>
      </w:r>
    </w:p>
    <w:p w14:paraId="0B3F5BB7"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3) маневренность…» .</w:t>
      </w:r>
    </w:p>
    <w:p w14:paraId="18AE3F71"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Конструктор должен был также предусмотреть установку радиооборудования.</w:t>
      </w:r>
    </w:p>
    <w:p w14:paraId="6FC4A239"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этот же день Алкснис утвердил и аналогичные тактико-технические требования к одноместному экспериментальному истребителю И-17 под мотор М-34РНФ ИЭ (высотность до 4400 м).</w:t>
      </w:r>
    </w:p>
    <w:p w14:paraId="65904C2E" w14:textId="77777777" w:rsidR="006208B0" w:rsidRPr="00142305" w:rsidRDefault="006208B0" w:rsidP="006208B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разработке требований принимал активное участие временно исполняющий обязанности начальника 7-го сектора НИИ ВВС Н. А. Жемчужин (25035).</w:t>
      </w:r>
    </w:p>
    <w:p w14:paraId="6BC77B11" w14:textId="77777777" w:rsidR="006208B0" w:rsidRPr="00142305" w:rsidRDefault="006208B0" w:rsidP="006208B0">
      <w:pPr>
        <w:spacing w:after="0" w:line="240" w:lineRule="auto"/>
        <w:jc w:val="both"/>
        <w:rPr>
          <w:rFonts w:ascii="Times New Roman" w:hAnsi="Times New Roman"/>
          <w:color w:val="0070C0"/>
          <w:sz w:val="16"/>
          <w:szCs w:val="16"/>
        </w:rPr>
      </w:pPr>
    </w:p>
    <w:p w14:paraId="3DAE6185" w14:textId="77777777" w:rsidR="00B87A91" w:rsidRPr="0044524F" w:rsidRDefault="00B87A9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декабря 1933 г., хотя командование ВВС было против, Поликарпова поддержали Ильюшин и руководство ГУАП, что помогло добиться утверждения требований ВВС к скоростному истребителю, перехватчика ПВО и истребителя-бомбардировщика И-17 под мотор водяного охлаждения и этой темы в плане под обозначением ЦКБ-15. К тому времени эскизный проект и макет истребителя уже были представлены к защите (23554).</w:t>
      </w:r>
    </w:p>
    <w:p w14:paraId="65E00E5F" w14:textId="77777777" w:rsidR="00B87A91" w:rsidRPr="0044524F" w:rsidRDefault="00B87A91" w:rsidP="009654CF">
      <w:pPr>
        <w:spacing w:after="0" w:line="240" w:lineRule="auto"/>
        <w:jc w:val="both"/>
        <w:rPr>
          <w:rFonts w:ascii="Times New Roman" w:hAnsi="Times New Roman"/>
          <w:color w:val="000000" w:themeColor="text1"/>
          <w:sz w:val="16"/>
          <w:szCs w:val="16"/>
        </w:rPr>
      </w:pPr>
    </w:p>
    <w:p w14:paraId="1DFEA32F" w14:textId="77777777" w:rsidR="003B3D9F" w:rsidRPr="0044524F" w:rsidRDefault="003B3D9F"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CC70941" w14:textId="77777777" w:rsidR="003B3D9F" w:rsidRPr="0044524F" w:rsidRDefault="003B3D9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05E1E96"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декабря 1933 опросом членов ПБ</w:t>
      </w:r>
    </w:p>
    <w:p w14:paraId="55C81923"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39/14.- Вопрос КО,</w:t>
      </w:r>
    </w:p>
    <w:p w14:paraId="787939D7"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КО об отпуске ОГПУ 300 тыс.руб.валюты на закупку моторов в Америке для сторожевых катеров погранохраны ДВ.</w:t>
      </w:r>
    </w:p>
    <w:p w14:paraId="5DACDD0C"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т.т.Базилевичу, Ягоде, Розенгольцу</w:t>
      </w:r>
    </w:p>
    <w:p w14:paraId="4BA8FD96"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состоялось заседание ПБ и был оформлен протокол № 151 (23001).</w:t>
      </w:r>
    </w:p>
    <w:p w14:paraId="2D15305F" w14:textId="77777777" w:rsidR="003B3D9F" w:rsidRPr="0044524F" w:rsidRDefault="003B3D9F" w:rsidP="009654CF">
      <w:pPr>
        <w:spacing w:after="0" w:line="240" w:lineRule="auto"/>
        <w:jc w:val="both"/>
        <w:rPr>
          <w:rFonts w:ascii="Times New Roman" w:hAnsi="Times New Roman"/>
          <w:color w:val="000000" w:themeColor="text1"/>
          <w:sz w:val="16"/>
          <w:szCs w:val="16"/>
        </w:rPr>
      </w:pPr>
    </w:p>
    <w:p w14:paraId="348F9218"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02E4627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A2F8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декабря 1933 была введена уголовная ответственность за производство недоброкачественной продукции (3908,34).</w:t>
      </w:r>
    </w:p>
    <w:p w14:paraId="1D28FA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81372D5"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D293C55"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1FC526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декабря 1933 г. началась пересылка чер</w:t>
      </w:r>
      <w:r w:rsidRPr="0044524F">
        <w:rPr>
          <w:rFonts w:ascii="Times New Roman" w:hAnsi="Times New Roman"/>
          <w:color w:val="000000" w:themeColor="text1"/>
          <w:sz w:val="16"/>
          <w:szCs w:val="16"/>
        </w:rPr>
        <w:softHyphen/>
        <w:t>тежей и другой документации с завода № 39 на завод № 1 для ознакомления и изготовления оснастки и приспо</w:t>
      </w:r>
      <w:r w:rsidRPr="0044524F">
        <w:rPr>
          <w:rFonts w:ascii="Times New Roman" w:hAnsi="Times New Roman"/>
          <w:color w:val="000000" w:themeColor="text1"/>
          <w:sz w:val="16"/>
          <w:szCs w:val="16"/>
        </w:rPr>
        <w:softHyphen/>
        <w:t>соблений для производства И-15 (10667).</w:t>
      </w:r>
    </w:p>
    <w:p w14:paraId="67F15AB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41296DF" w14:textId="77777777" w:rsidR="00E64894" w:rsidRPr="00142305" w:rsidRDefault="00E64894" w:rsidP="00E6489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декабря 1933 г. началась пересылка чертежей и другой документации по И-15 (ЦКБ-3) с завода № 39 на завод № 1 для ознакомления и изготовления оснастки и приспособлений (25035).</w:t>
      </w:r>
    </w:p>
    <w:p w14:paraId="6832CCE4" w14:textId="77777777" w:rsidR="00E64894" w:rsidRPr="00142305" w:rsidRDefault="00E64894" w:rsidP="00E64894">
      <w:pPr>
        <w:spacing w:after="0" w:line="240" w:lineRule="auto"/>
        <w:jc w:val="both"/>
        <w:rPr>
          <w:rFonts w:ascii="Times New Roman" w:hAnsi="Times New Roman"/>
          <w:color w:val="0070C0"/>
          <w:sz w:val="16"/>
          <w:szCs w:val="16"/>
        </w:rPr>
      </w:pPr>
    </w:p>
    <w:p w14:paraId="3131BB2E" w14:textId="77777777" w:rsidR="00775806" w:rsidRPr="0044524F" w:rsidRDefault="00775806" w:rsidP="009654CF">
      <w:pPr>
        <w:pStyle w:val="rtejustify"/>
        <w:spacing w:before="0" w:after="0"/>
        <w:rPr>
          <w:color w:val="000000" w:themeColor="text1"/>
          <w:sz w:val="16"/>
          <w:szCs w:val="16"/>
        </w:rPr>
      </w:pPr>
      <w:r w:rsidRPr="0044524F">
        <w:rPr>
          <w:rStyle w:val="af0"/>
          <w:bCs/>
          <w:i w:val="0"/>
          <w:color w:val="000000" w:themeColor="text1"/>
          <w:sz w:val="16"/>
          <w:szCs w:val="16"/>
        </w:rPr>
        <w:t>10 декабря</w:t>
      </w:r>
      <w:r w:rsidRPr="0044524F">
        <w:rPr>
          <w:color w:val="000000" w:themeColor="text1"/>
          <w:sz w:val="16"/>
          <w:szCs w:val="16"/>
        </w:rPr>
        <w:t xml:space="preserve"> 1933. Постановление СТО СССР № 125с/о «О сроках производства нефтеаппаратуры для производства авиамасел». (ГА РФ. Ф. Р</w:t>
      </w:r>
      <w:r w:rsidRPr="0044524F">
        <w:rPr>
          <w:color w:val="000000" w:themeColor="text1"/>
          <w:sz w:val="16"/>
          <w:szCs w:val="16"/>
        </w:rPr>
        <w:noBreakHyphen/>
        <w:t>8418. Оп. 28. Д. 3. Л. 90) (15460).</w:t>
      </w:r>
    </w:p>
    <w:p w14:paraId="5BE69CFD" w14:textId="77777777" w:rsidR="00775806" w:rsidRPr="0044524F" w:rsidRDefault="00775806" w:rsidP="009654CF">
      <w:pPr>
        <w:pStyle w:val="rtejustify"/>
        <w:spacing w:before="0" w:after="0"/>
        <w:rPr>
          <w:color w:val="000000" w:themeColor="text1"/>
          <w:sz w:val="16"/>
          <w:szCs w:val="16"/>
        </w:rPr>
      </w:pPr>
    </w:p>
    <w:p w14:paraId="3921887A" w14:textId="77777777" w:rsidR="00775806" w:rsidRPr="0044524F" w:rsidRDefault="00775806" w:rsidP="009654CF">
      <w:pPr>
        <w:pStyle w:val="rtejustify"/>
        <w:spacing w:before="0" w:after="0"/>
        <w:rPr>
          <w:color w:val="000000" w:themeColor="text1"/>
          <w:sz w:val="16"/>
          <w:szCs w:val="16"/>
        </w:rPr>
      </w:pPr>
      <w:r w:rsidRPr="0044524F">
        <w:rPr>
          <w:rStyle w:val="af0"/>
          <w:bCs/>
          <w:i w:val="0"/>
          <w:color w:val="000000" w:themeColor="text1"/>
          <w:sz w:val="16"/>
          <w:szCs w:val="16"/>
        </w:rPr>
        <w:t>10 декабря</w:t>
      </w:r>
      <w:r w:rsidRPr="0044524F">
        <w:rPr>
          <w:color w:val="000000" w:themeColor="text1"/>
          <w:sz w:val="16"/>
          <w:szCs w:val="16"/>
        </w:rPr>
        <w:t xml:space="preserve"> 1933. Постановление СТО СССР № 126сс/о «О покупке для ГУАП спецоборудования и иностранной техпомощи для производства насосов и форсунок к дизелям». (ГА РФ. Ф. Р</w:t>
      </w:r>
      <w:r w:rsidRPr="0044524F">
        <w:rPr>
          <w:color w:val="000000" w:themeColor="text1"/>
          <w:sz w:val="16"/>
          <w:szCs w:val="16"/>
        </w:rPr>
        <w:noBreakHyphen/>
        <w:t>8418. Оп. 28. Д. 3. Л. 92) (15460).</w:t>
      </w:r>
    </w:p>
    <w:p w14:paraId="567D7FBE" w14:textId="77777777" w:rsidR="00775806" w:rsidRPr="0044524F" w:rsidRDefault="00775806" w:rsidP="009654CF">
      <w:pPr>
        <w:pStyle w:val="rtejustify"/>
        <w:spacing w:before="0" w:after="0"/>
        <w:rPr>
          <w:color w:val="000000" w:themeColor="text1"/>
          <w:sz w:val="16"/>
          <w:szCs w:val="16"/>
        </w:rPr>
      </w:pPr>
    </w:p>
    <w:p w14:paraId="279A8A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декабря 1933 вышло постановление СТО N 126сс/о "О покупке для ГУАПа спецоборудования и иностранной техпомощи для производства насосов и форсунок к дизелям" - у фирмы Дуккель (2222,73).</w:t>
      </w:r>
    </w:p>
    <w:p w14:paraId="6EC1CD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Разрешить НКТП покупку у фирмы Дуккель специального оборудования для производства насосов и форсунок к дизелям на сумму 75.000 ам. долларов.</w:t>
      </w:r>
    </w:p>
    <w:p w14:paraId="1BEC6A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Санкционировать приглашение ГК насосо-форсуночной системы Дуккель - и Бруннера для техпомощи по производству насосов и форсунок (2228,73)</w:t>
      </w:r>
    </w:p>
    <w:p w14:paraId="57B3A8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26584D7"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BA5EAAC"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72895A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декабря 1933 г. в письме, адресованном Павлуновскому с припиской: «Лично». Некий И.К.Баранов</w:t>
      </w:r>
      <w:r w:rsidRPr="0044524F">
        <w:rPr>
          <w:rFonts w:ascii="Times New Roman" w:hAnsi="Times New Roman"/>
          <w:color w:val="000000" w:themeColor="text1"/>
          <w:sz w:val="16"/>
          <w:szCs w:val="16"/>
          <w:vertAlign w:val="superscript"/>
        </w:rPr>
        <w:t>1</w:t>
      </w:r>
      <w:r w:rsidRPr="0044524F">
        <w:rPr>
          <w:rFonts w:ascii="Times New Roman" w:hAnsi="Times New Roman"/>
          <w:color w:val="000000" w:themeColor="text1"/>
          <w:sz w:val="16"/>
          <w:szCs w:val="16"/>
        </w:rPr>
        <w:t xml:space="preserve"> пред</w:t>
      </w:r>
      <w:r w:rsidRPr="0044524F">
        <w:rPr>
          <w:rFonts w:ascii="Times New Roman" w:hAnsi="Times New Roman"/>
          <w:color w:val="000000" w:themeColor="text1"/>
          <w:sz w:val="16"/>
          <w:szCs w:val="16"/>
        </w:rPr>
        <w:softHyphen/>
        <w:t>лагал принять на вооружение электромагнитную установку для улавливания снарядов. К письму приложен чертеж. Суть изобретения заключалась в том, что вокруг нашей батареи ус</w:t>
      </w:r>
      <w:r w:rsidRPr="0044524F">
        <w:rPr>
          <w:rFonts w:ascii="Times New Roman" w:hAnsi="Times New Roman"/>
          <w:color w:val="000000" w:themeColor="text1"/>
          <w:sz w:val="16"/>
          <w:szCs w:val="16"/>
        </w:rPr>
        <w:softHyphen/>
        <w:t>танавливались несколько сверхмощных магнитов, которые отклоняли в сторону вражеские снаряды, и батарея станови</w:t>
      </w:r>
      <w:r w:rsidRPr="0044524F">
        <w:rPr>
          <w:rFonts w:ascii="Times New Roman" w:hAnsi="Times New Roman"/>
          <w:color w:val="000000" w:themeColor="text1"/>
          <w:sz w:val="16"/>
          <w:szCs w:val="16"/>
        </w:rPr>
        <w:softHyphen/>
        <w:t>лась неуязвимой. Чем кончилось дело с проектом Баранова, установить мне не удалось, но работы по созданию этой уста</w:t>
      </w:r>
      <w:r w:rsidRPr="0044524F">
        <w:rPr>
          <w:rFonts w:ascii="Times New Roman" w:hAnsi="Times New Roman"/>
          <w:color w:val="000000" w:themeColor="text1"/>
          <w:sz w:val="16"/>
          <w:szCs w:val="16"/>
        </w:rPr>
        <w:softHyphen/>
        <w:t>новки были начаты (10675).</w:t>
      </w:r>
    </w:p>
    <w:p w14:paraId="0B0251A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3045F84" w14:textId="77777777" w:rsidR="00661CFE" w:rsidRPr="0044524F" w:rsidRDefault="00661CFE" w:rsidP="009654CF">
      <w:pPr>
        <w:pStyle w:val="rtejustify"/>
        <w:spacing w:before="0" w:after="0"/>
        <w:rPr>
          <w:color w:val="000000" w:themeColor="text1"/>
          <w:sz w:val="16"/>
          <w:szCs w:val="16"/>
        </w:rPr>
      </w:pPr>
      <w:r w:rsidRPr="0044524F">
        <w:rPr>
          <w:rStyle w:val="af0"/>
          <w:bCs/>
          <w:i w:val="0"/>
          <w:color w:val="000000" w:themeColor="text1"/>
          <w:sz w:val="16"/>
          <w:szCs w:val="16"/>
        </w:rPr>
        <w:t>10 декабря</w:t>
      </w:r>
      <w:r w:rsidRPr="0044524F">
        <w:rPr>
          <w:color w:val="000000" w:themeColor="text1"/>
          <w:sz w:val="16"/>
          <w:szCs w:val="16"/>
        </w:rPr>
        <w:t xml:space="preserve"> 1933. Постановление СТО СССР № 127сс/о «О сроках переброски на Дальний Восток сторожевых кораблей с НГЗ “Марти”». (ГА РФ. Ф. Р</w:t>
      </w:r>
      <w:r w:rsidRPr="0044524F">
        <w:rPr>
          <w:color w:val="000000" w:themeColor="text1"/>
          <w:sz w:val="16"/>
          <w:szCs w:val="16"/>
        </w:rPr>
        <w:noBreakHyphen/>
        <w:t>8418. Оп. 28. Д. 3. Л. 94) (15460).</w:t>
      </w:r>
    </w:p>
    <w:p w14:paraId="09D14CF5" w14:textId="3644DF5C" w:rsidR="00661CFE" w:rsidRPr="0044524F" w:rsidRDefault="00661CFE" w:rsidP="009654CF">
      <w:pPr>
        <w:pStyle w:val="rtejustify"/>
        <w:spacing w:before="0" w:after="0"/>
        <w:rPr>
          <w:color w:val="000000" w:themeColor="text1"/>
          <w:sz w:val="16"/>
          <w:szCs w:val="16"/>
        </w:rPr>
      </w:pPr>
    </w:p>
    <w:p w14:paraId="0B398D03" w14:textId="6E7464FD" w:rsidR="003B3D9F" w:rsidRPr="0044524F" w:rsidRDefault="003B3D9F" w:rsidP="009654CF">
      <w:pPr>
        <w:pStyle w:val="rtejustify"/>
        <w:spacing w:before="0" w:after="0"/>
        <w:rPr>
          <w:i/>
          <w:iCs/>
          <w:color w:val="000000" w:themeColor="text1"/>
          <w:sz w:val="16"/>
          <w:szCs w:val="16"/>
        </w:rPr>
      </w:pPr>
      <w:r w:rsidRPr="0044524F">
        <w:rPr>
          <w:i/>
          <w:iCs/>
          <w:color w:val="000000" w:themeColor="text1"/>
          <w:sz w:val="16"/>
          <w:szCs w:val="16"/>
        </w:rPr>
        <w:t>Армия:</w:t>
      </w:r>
    </w:p>
    <w:p w14:paraId="66232953" w14:textId="77777777" w:rsidR="003B3D9F" w:rsidRPr="0044524F" w:rsidRDefault="003B3D9F" w:rsidP="009654CF">
      <w:pPr>
        <w:pStyle w:val="rtejustify"/>
        <w:spacing w:before="0" w:after="0"/>
        <w:rPr>
          <w:i/>
          <w:iCs/>
          <w:color w:val="000000" w:themeColor="text1"/>
          <w:sz w:val="16"/>
          <w:szCs w:val="16"/>
        </w:rPr>
      </w:pPr>
    </w:p>
    <w:p w14:paraId="7723FB59"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декабря 1933 опросом членов ПБ</w:t>
      </w:r>
    </w:p>
    <w:p w14:paraId="3A6E84C9"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52/27.- О Франции,</w:t>
      </w:r>
    </w:p>
    <w:p w14:paraId="3CE8EBCF"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.Принять предложение Пьер КОТ "а о посылке наших командиров в школы французской авиации для совершенствования:</w:t>
      </w:r>
    </w:p>
    <w:p w14:paraId="4EAB4767"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 высшую авиационную школу в Париже послать трех командиров;</w:t>
      </w:r>
    </w:p>
    <w:p w14:paraId="1BDF2724"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б)на годичные курсы в авиационной школе в Версале послать двух командиров.</w:t>
      </w:r>
    </w:p>
    <w:p w14:paraId="5AED590F"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Поручить т.Венцову в осторожной форме выяс</w:t>
      </w:r>
      <w:r w:rsidRPr="0044524F">
        <w:rPr>
          <w:rFonts w:ascii="Times New Roman" w:hAnsi="Times New Roman"/>
          <w:color w:val="000000" w:themeColor="text1"/>
          <w:sz w:val="16"/>
          <w:szCs w:val="16"/>
        </w:rPr>
        <w:softHyphen/>
        <w:t>нить у французов возможность посылки одного коман</w:t>
      </w:r>
      <w:r w:rsidRPr="0044524F">
        <w:rPr>
          <w:rFonts w:ascii="Times New Roman" w:hAnsi="Times New Roman"/>
          <w:color w:val="000000" w:themeColor="text1"/>
          <w:sz w:val="16"/>
          <w:szCs w:val="16"/>
        </w:rPr>
        <w:softHyphen/>
        <w:t>дира в школу высшего пилотажа в Этамп и одного ко</w:t>
      </w:r>
      <w:r w:rsidRPr="0044524F">
        <w:rPr>
          <w:rFonts w:ascii="Times New Roman" w:hAnsi="Times New Roman"/>
          <w:color w:val="000000" w:themeColor="text1"/>
          <w:sz w:val="16"/>
          <w:szCs w:val="16"/>
        </w:rPr>
        <w:softHyphen/>
        <w:t>мандира в школу воздушной стрельбы и бомбометания в Казо.</w:t>
      </w:r>
    </w:p>
    <w:p w14:paraId="5E7E6B24"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Согласиться на предложение Пьер К0Т"а о приезде к нам четырех французских авиаспециалистов. Приезжающим французам поставить конкретные задачи по постановке на производство моторов фирмы Испано Сюиза и по разработке системы вооружения истреби</w:t>
      </w:r>
      <w:r w:rsidRPr="0044524F">
        <w:rPr>
          <w:rFonts w:ascii="Times New Roman" w:hAnsi="Times New Roman"/>
          <w:color w:val="000000" w:themeColor="text1"/>
          <w:sz w:val="16"/>
          <w:szCs w:val="16"/>
        </w:rPr>
        <w:softHyphen/>
        <w:t>тельной авиации.</w:t>
      </w:r>
    </w:p>
    <w:p w14:paraId="32E123FD"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4.Разрешить т.Венцову поодолжать переговоры с де-ЛАТТРОМ о посылке весной 1934 г. группы артил</w:t>
      </w:r>
      <w:r w:rsidRPr="0044524F">
        <w:rPr>
          <w:rFonts w:ascii="Times New Roman" w:hAnsi="Times New Roman"/>
          <w:color w:val="000000" w:themeColor="text1"/>
          <w:sz w:val="16"/>
          <w:szCs w:val="16"/>
        </w:rPr>
        <w:softHyphen/>
        <w:t>лерийских командиров для прохождения курса с овер</w:t>
      </w:r>
      <w:r w:rsidRPr="0044524F">
        <w:rPr>
          <w:rFonts w:ascii="Times New Roman" w:hAnsi="Times New Roman"/>
          <w:color w:val="000000" w:themeColor="text1"/>
          <w:sz w:val="16"/>
          <w:szCs w:val="16"/>
        </w:rPr>
        <w:softHyphen/>
        <w:t>шенствования в Метце и присутствия на артиллерий</w:t>
      </w:r>
      <w:r w:rsidRPr="0044524F">
        <w:rPr>
          <w:rFonts w:ascii="Times New Roman" w:hAnsi="Times New Roman"/>
          <w:color w:val="000000" w:themeColor="text1"/>
          <w:sz w:val="16"/>
          <w:szCs w:val="16"/>
        </w:rPr>
        <w:softHyphen/>
        <w:t>ских учениях и стрельбах (срок командировки до 6-ти недель). В случае официального предложения французов разрешить т.Венцову дать согласие о по</w:t>
      </w:r>
      <w:r w:rsidRPr="0044524F">
        <w:rPr>
          <w:rFonts w:ascii="Times New Roman" w:hAnsi="Times New Roman"/>
          <w:color w:val="000000" w:themeColor="text1"/>
          <w:sz w:val="16"/>
          <w:szCs w:val="16"/>
        </w:rPr>
        <w:softHyphen/>
        <w:t>сылке нами трех человек.</w:t>
      </w:r>
    </w:p>
    <w:p w14:paraId="022E6792"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Поручить т.Довгалевскому сообщить францу</w:t>
      </w:r>
      <w:r w:rsidRPr="0044524F">
        <w:rPr>
          <w:rFonts w:ascii="Times New Roman" w:hAnsi="Times New Roman"/>
          <w:color w:val="000000" w:themeColor="text1"/>
          <w:sz w:val="16"/>
          <w:szCs w:val="16"/>
        </w:rPr>
        <w:softHyphen/>
        <w:t>зам о нашем намерении послать весной 1934 г.эскад</w:t>
      </w:r>
      <w:r w:rsidRPr="0044524F">
        <w:rPr>
          <w:rFonts w:ascii="Times New Roman" w:hAnsi="Times New Roman"/>
          <w:color w:val="000000" w:themeColor="text1"/>
          <w:sz w:val="16"/>
          <w:szCs w:val="16"/>
        </w:rPr>
        <w:softHyphen/>
        <w:t>рилью самолетов в Париж, в ответ на визит Пьер КОТ"а.</w:t>
      </w:r>
    </w:p>
    <w:p w14:paraId="49480A87"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тов.Ворошилову.</w:t>
      </w:r>
    </w:p>
    <w:p w14:paraId="6BC8C99D"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состоялось заседание ПБ и был оформлен протокол № 151 (23001).</w:t>
      </w:r>
    </w:p>
    <w:p w14:paraId="10EB8473" w14:textId="77777777" w:rsidR="003B3D9F" w:rsidRPr="0044524F" w:rsidRDefault="003B3D9F" w:rsidP="009654CF">
      <w:pPr>
        <w:spacing w:after="0" w:line="240" w:lineRule="auto"/>
        <w:jc w:val="both"/>
        <w:rPr>
          <w:rFonts w:ascii="Times New Roman" w:hAnsi="Times New Roman"/>
          <w:color w:val="000000" w:themeColor="text1"/>
          <w:sz w:val="16"/>
          <w:szCs w:val="16"/>
        </w:rPr>
      </w:pPr>
    </w:p>
    <w:p w14:paraId="3D820C2D" w14:textId="77777777" w:rsidR="00661CF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119E487" w14:textId="77777777" w:rsidR="00661CFE" w:rsidRPr="0044524F" w:rsidRDefault="00661CF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960E224"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Style w:val="ucoz-forum-post"/>
          <w:rFonts w:ascii="Times New Roman" w:hAnsi="Times New Roman"/>
          <w:bCs/>
          <w:color w:val="000000" w:themeColor="text1"/>
          <w:sz w:val="16"/>
          <w:szCs w:val="16"/>
        </w:rPr>
        <w:t xml:space="preserve">10 декабря </w:t>
      </w:r>
      <w:r w:rsidRPr="0044524F">
        <w:rPr>
          <w:rFonts w:ascii="Times New Roman" w:hAnsi="Times New Roman"/>
          <w:color w:val="000000" w:themeColor="text1"/>
          <w:sz w:val="16"/>
          <w:szCs w:val="16"/>
        </w:rPr>
        <w:t>в 1933 году Ивану Бунину первому из русских писателей была вручена Нобелевская премия по литературе "за правдивый артистический талант, с которым он воссоздал в прозе типичный русский характер". В своей речи писатель говорит: «Впервые со времени учреждения Нобелевской премии вы присудили ее изгнаннику...» (14856).</w:t>
      </w:r>
    </w:p>
    <w:p w14:paraId="34D0436A" w14:textId="77777777" w:rsidR="00661CFE" w:rsidRPr="0044524F" w:rsidRDefault="00661CFE" w:rsidP="009654CF">
      <w:pPr>
        <w:spacing w:after="0" w:line="240" w:lineRule="auto"/>
        <w:jc w:val="both"/>
        <w:rPr>
          <w:rFonts w:ascii="Times New Roman" w:hAnsi="Times New Roman"/>
          <w:color w:val="000000" w:themeColor="text1"/>
          <w:sz w:val="16"/>
          <w:szCs w:val="16"/>
        </w:rPr>
      </w:pPr>
    </w:p>
    <w:p w14:paraId="34B70629"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C7425C3"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ED9A5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11 декабря 1933 по 14 января 1934 года в НИИ ВВС проходили гос. испытания трех переоборудованных самолетов Р-5 серийного производства завода № 1</w:t>
      </w:r>
    </w:p>
    <w:p w14:paraId="3EC200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исполнитель:</w:t>
      </w:r>
    </w:p>
    <w:p w14:paraId="33A2B8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Врид начальника 2 отдела 15 сектора НИИ ВВС Воротников</w:t>
      </w:r>
    </w:p>
    <w:p w14:paraId="0484A4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 гл. Инженера вооружения ВВС</w:t>
      </w:r>
    </w:p>
    <w:p w14:paraId="6FB170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Предъявленные заводом № 1 три переоборудованных самолета Р-5 с убирающимся патронным ящиком турели Тур-8 в задней кабине, с бомбардировочным прицелом ОПБ-1, вынесенным за борт и с бомбардировочным прицелом АП-2, установленным за бортом гос. испытания не выдержали.</w:t>
      </w:r>
    </w:p>
    <w:p w14:paraId="05472F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16FA4DF7"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наиболее выгодный вариант размещения оборудования в задней кабине из трех предъявленных на гос. испытания вариантов.</w:t>
      </w:r>
    </w:p>
    <w:p w14:paraId="1B8DAB7D"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Определить надежность и удобство работы с турелью с убирающимся патронным ящиком, а также с прицелами ОПБ-1 и АП-2 на всех самолетах (7397, 3-9).</w:t>
      </w:r>
    </w:p>
    <w:p w14:paraId="24F89B13"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7061F8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декабря 1933 г. собрали нервюры крыла дублера И-14, поскольку их дважды переделывали - первый раз при отказе от гофрированной обшивки, второй раз - когда решили установить посадочный щиток. Чертежи на щиток с его приводом поступили к 14 декабря, сборку завершили 13 января следующего - 1934 г.</w:t>
      </w:r>
    </w:p>
    <w:p w14:paraId="798257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 на каркас были изъяты из производства по причине перехода на гладкую обшивку, а новые чертежи завод получил лишь 25 ноября 1933 г. Каркас был собран быстро - к 17 декабря, после чего приступили к его обшивке, которую завершили 7 января 1934 г.</w:t>
      </w:r>
    </w:p>
    <w:p w14:paraId="18717C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Консоли крыла были собраны 13 января 1934 г. </w:t>
      </w:r>
    </w:p>
    <w:p w14:paraId="54CD6A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678B4D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662728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0750E8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45E39E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4852FB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327D94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8CE6AAF"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де</w:t>
      </w:r>
      <w:r w:rsidRPr="0044524F">
        <w:rPr>
          <w:rFonts w:ascii="Times New Roman" w:hAnsi="Times New Roman"/>
          <w:color w:val="000000" w:themeColor="text1"/>
          <w:sz w:val="16"/>
          <w:szCs w:val="16"/>
        </w:rPr>
        <w:softHyphen/>
        <w:t>кабря 1933 г. начальник ВВС РККА Я.И. Алкснис в докладе Председателю РВС СССР К.Е. Во</w:t>
      </w:r>
      <w:r w:rsidRPr="0044524F">
        <w:rPr>
          <w:rFonts w:ascii="Times New Roman" w:hAnsi="Times New Roman"/>
          <w:color w:val="000000" w:themeColor="text1"/>
          <w:sz w:val="16"/>
          <w:szCs w:val="16"/>
        </w:rPr>
        <w:softHyphen/>
        <w:t>рошилову отмечал «возможность перейти к сле</w:t>
      </w:r>
      <w:r w:rsidRPr="0044524F">
        <w:rPr>
          <w:rFonts w:ascii="Times New Roman" w:hAnsi="Times New Roman"/>
          <w:color w:val="000000" w:themeColor="text1"/>
          <w:sz w:val="16"/>
          <w:szCs w:val="16"/>
        </w:rPr>
        <w:softHyphen/>
        <w:t>дующему этапу в исследовании стратосферы по высоте». Для работ на этом требовалось разработать «объект, рассчитанный на подъём на 25-30 000 метров». Речь шла о стратостате с оболочкой объёмом 250-300 тыс. м3, диаметром 70-80 м и высотой 130-150 м.</w:t>
      </w:r>
    </w:p>
    <w:p w14:paraId="61DF9A82"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Подготавливаемый полёт имел в основном военную направленность:</w:t>
      </w:r>
    </w:p>
    <w:p w14:paraId="5A374C62"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возможности будут учтены вопросы ряда на</w:t>
      </w:r>
      <w:r w:rsidRPr="0044524F">
        <w:rPr>
          <w:rFonts w:ascii="Times New Roman" w:hAnsi="Times New Roman"/>
          <w:color w:val="000000" w:themeColor="text1"/>
          <w:sz w:val="16"/>
          <w:szCs w:val="16"/>
        </w:rPr>
        <w:softHyphen/>
        <w:t>учно-исследовательских институтов с тем, чтобы раз</w:t>
      </w:r>
      <w:r w:rsidRPr="0044524F">
        <w:rPr>
          <w:rFonts w:ascii="Times New Roman" w:hAnsi="Times New Roman"/>
          <w:color w:val="000000" w:themeColor="text1"/>
          <w:sz w:val="16"/>
          <w:szCs w:val="16"/>
        </w:rPr>
        <w:softHyphen/>
        <w:t>решение научных проблем не ставило под сомнение основную задачу — достижения высоты 30 000 мт. с гарантированной фиксацией высоты, давления и температуры внутри и вне кабины и состава воздуха. Радиосвязь с землёй обязательна.</w:t>
      </w:r>
    </w:p>
    <w:p w14:paraId="167A3FAB"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Предполагаемый полёт и работа, связанная с его организацией, имеет целью подготовку к овладению в дальнейшем стратосферою управляемыми аппара</w:t>
      </w:r>
      <w:r w:rsidRPr="0044524F">
        <w:rPr>
          <w:rFonts w:ascii="Times New Roman" w:hAnsi="Times New Roman"/>
          <w:color w:val="000000" w:themeColor="text1"/>
          <w:sz w:val="16"/>
          <w:szCs w:val="16"/>
        </w:rPr>
        <w:softHyphen/>
        <w:t>тами особого назначения.</w:t>
      </w:r>
    </w:p>
    <w:p w14:paraId="6AE94475"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Я.И. Алкснис запросил 1 млн рублей на орга</w:t>
      </w:r>
      <w:r w:rsidRPr="0044524F">
        <w:rPr>
          <w:rFonts w:ascii="Times New Roman" w:hAnsi="Times New Roman"/>
          <w:color w:val="000000" w:themeColor="text1"/>
          <w:sz w:val="16"/>
          <w:szCs w:val="16"/>
        </w:rPr>
        <w:softHyphen/>
        <w:t>низацию полёта и постройку стратостата.</w:t>
      </w:r>
    </w:p>
    <w:p w14:paraId="11F42555"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стратостат предполагалось строить с использованием уже оправдавших себя техни</w:t>
      </w:r>
      <w:r w:rsidRPr="0044524F">
        <w:rPr>
          <w:rFonts w:ascii="Times New Roman" w:hAnsi="Times New Roman"/>
          <w:color w:val="000000" w:themeColor="text1"/>
          <w:sz w:val="16"/>
          <w:szCs w:val="16"/>
        </w:rPr>
        <w:softHyphen/>
        <w:t>ческих решений. Об этом недвусмысленно сказал на Всесоюзной конференции по изучению стра</w:t>
      </w:r>
      <w:r w:rsidRPr="0044524F">
        <w:rPr>
          <w:rFonts w:ascii="Times New Roman" w:hAnsi="Times New Roman"/>
          <w:color w:val="000000" w:themeColor="text1"/>
          <w:sz w:val="16"/>
          <w:szCs w:val="16"/>
        </w:rPr>
        <w:softHyphen/>
        <w:t>тосферы В.А. Чижевский:</w:t>
      </w:r>
    </w:p>
    <w:p w14:paraId="5E48E5D9"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катастрофой стратостата «Осоавиахим-1» мы получили целый ряд предложений, имею</w:t>
      </w:r>
      <w:r w:rsidRPr="0044524F">
        <w:rPr>
          <w:rFonts w:ascii="Times New Roman" w:hAnsi="Times New Roman"/>
          <w:color w:val="000000" w:themeColor="text1"/>
          <w:sz w:val="16"/>
          <w:szCs w:val="16"/>
        </w:rPr>
        <w:softHyphen/>
        <w:t>щих в виду обеспечить безопасность полёта. Часть их заслуживает внимания и расчётной и эксперимен</w:t>
      </w:r>
      <w:r w:rsidRPr="0044524F">
        <w:rPr>
          <w:rFonts w:ascii="Times New Roman" w:hAnsi="Times New Roman"/>
          <w:color w:val="000000" w:themeColor="text1"/>
          <w:sz w:val="16"/>
          <w:szCs w:val="16"/>
        </w:rPr>
        <w:softHyphen/>
        <w:t>тальной проверки. В большинстве своём они сводят</w:t>
      </w:r>
      <w:r w:rsidRPr="0044524F">
        <w:rPr>
          <w:rFonts w:ascii="Times New Roman" w:hAnsi="Times New Roman"/>
          <w:color w:val="000000" w:themeColor="text1"/>
          <w:sz w:val="16"/>
          <w:szCs w:val="16"/>
        </w:rPr>
        <w:softHyphen/>
        <w:t>ся к устройству парашютов в гондоле, к обращению оболочки стратостата в парашют, к подогреву газа, взятию дополнительных запасов газа в сжатом виде и т. п. Много предложений, касающихся также гондо</w:t>
      </w:r>
      <w:r w:rsidRPr="0044524F">
        <w:rPr>
          <w:rFonts w:ascii="Times New Roman" w:hAnsi="Times New Roman"/>
          <w:color w:val="000000" w:themeColor="text1"/>
          <w:sz w:val="16"/>
          <w:szCs w:val="16"/>
        </w:rPr>
        <w:softHyphen/>
        <w:t>лы стратостата. Некоторые предлагают делать раскры</w:t>
      </w:r>
      <w:r w:rsidRPr="0044524F">
        <w:rPr>
          <w:rFonts w:ascii="Times New Roman" w:hAnsi="Times New Roman"/>
          <w:color w:val="000000" w:themeColor="text1"/>
          <w:sz w:val="16"/>
          <w:szCs w:val="16"/>
        </w:rPr>
        <w:softHyphen/>
        <w:t>вающиеся гондолы, чтобы в случае катастрофы пило</w:t>
      </w:r>
      <w:r w:rsidRPr="0044524F">
        <w:rPr>
          <w:rFonts w:ascii="Times New Roman" w:hAnsi="Times New Roman"/>
          <w:color w:val="000000" w:themeColor="text1"/>
          <w:sz w:val="16"/>
          <w:szCs w:val="16"/>
        </w:rPr>
        <w:softHyphen/>
        <w:t>ты могли спастись на индивидуальных парашютах.</w:t>
      </w:r>
    </w:p>
    <w:p w14:paraId="2DA6A9F9"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эти предложения грешат одним недостатком: они увеличивают вес всей системы.</w:t>
      </w:r>
    </w:p>
    <w:p w14:paraId="6DD37DC3"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 полагаю, что при соблюдении точности расчёта стратостата, при правильном выполнении конструк</w:t>
      </w:r>
      <w:r w:rsidRPr="0044524F">
        <w:rPr>
          <w:rFonts w:ascii="Times New Roman" w:hAnsi="Times New Roman"/>
          <w:color w:val="000000" w:themeColor="text1"/>
          <w:sz w:val="16"/>
          <w:szCs w:val="16"/>
        </w:rPr>
        <w:softHyphen/>
        <w:t>ции, при достаточном запасе балласта, если преду</w:t>
      </w:r>
      <w:r w:rsidRPr="0044524F">
        <w:rPr>
          <w:rFonts w:ascii="Times New Roman" w:hAnsi="Times New Roman"/>
          <w:color w:val="000000" w:themeColor="text1"/>
          <w:sz w:val="16"/>
          <w:szCs w:val="16"/>
        </w:rPr>
        <w:softHyphen/>
        <w:t>смотреть все возможные встретиться в полёте неожи</w:t>
      </w:r>
      <w:r w:rsidRPr="0044524F">
        <w:rPr>
          <w:rFonts w:ascii="Times New Roman" w:hAnsi="Times New Roman"/>
          <w:color w:val="000000" w:themeColor="text1"/>
          <w:sz w:val="16"/>
          <w:szCs w:val="16"/>
        </w:rPr>
        <w:softHyphen/>
        <w:t>данности, полёт имеет все шансы на удачное заверше</w:t>
      </w:r>
      <w:r w:rsidRPr="0044524F">
        <w:rPr>
          <w:rFonts w:ascii="Times New Roman" w:hAnsi="Times New Roman"/>
          <w:color w:val="000000" w:themeColor="text1"/>
          <w:sz w:val="16"/>
          <w:szCs w:val="16"/>
        </w:rPr>
        <w:softHyphen/>
        <w:t>ние (20120).</w:t>
      </w:r>
    </w:p>
    <w:p w14:paraId="658C868B" w14:textId="77777777" w:rsidR="003B3D9F" w:rsidRPr="0044524F" w:rsidRDefault="003B3D9F" w:rsidP="009654CF">
      <w:pPr>
        <w:spacing w:after="0" w:line="240" w:lineRule="auto"/>
        <w:jc w:val="both"/>
        <w:rPr>
          <w:rFonts w:ascii="Times New Roman" w:hAnsi="Times New Roman"/>
          <w:color w:val="000000" w:themeColor="text1"/>
          <w:sz w:val="16"/>
          <w:szCs w:val="16"/>
        </w:rPr>
      </w:pPr>
    </w:p>
    <w:p w14:paraId="112A43E8" w14:textId="77777777" w:rsidR="009F758E" w:rsidRPr="0044524F" w:rsidRDefault="009F75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декабря 1933 г. командованию РККА была направлена сводка агентурно-оперативных данных ОО ОГПУ по РККА на 5 декабря 1933 г. В ней были отражены различные случаи — от шпионажа до массовых хищений на авиационном строительстве.</w:t>
      </w:r>
    </w:p>
    <w:p w14:paraId="1D7BD7AD" w14:textId="77777777" w:rsidR="009F758E" w:rsidRPr="0044524F" w:rsidRDefault="009F75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частности, сообщалось, что в процессе следствия по делу вскрытой и ликвидируемой польской военной организации было установлено, что руководитель Гомельского филиала этой организации «ПОВ» ксендз Андрекус проводил контрреволюционную шпионскую работу в частях РККА. С этой целью Андрекус через делопроизводителя 16-го авиаотряда Яна Шамборского вовлек в шпионскую работу нескольких военнослужащих, в том числе и лиц среднего начсостава. Указывалось, что арестованные по делу Шамборский, чертежники Поляков и Селиважин, летчик-наблюдатель Гумбин и бывший летчик Соловьев в своей шпионской деятельности сознались. Последние двое также показали, что они были обработаны Шамборским для перелета в Польшу. Также сообщалось, что в Москве была ликвидирована шпионско-террористическая группа, созданная Харбинским филиалом белогвардейской организации «Братство Русской Правды» и японскими разведывательными органами. Отмечалось, что участники группы, работавшие на заводах авиационной промышленности, «передали за границу сведения о продукции 22, 39 и 18 авиазаводов». В этой же сводке, в разделе III «Разные данные», указывалось, что на Бочкаревском авиастроительстве отмечалось разбазаривание остродефицитных товаров и продуктов, идущих для рабочего снабжения, и преступное расходование средств. Произведенное следствие это положение подтвердило и вскрыло ряд других преступных действий, вплоть до массового хищения чужих грузов. По этому делу начальник сектора заготовок Веншин был приговорен к расстрелу, начальник снабжения стройки Титов (бывший член партии), завскладом Оболенский (бывший священник, лишенный избирательных прав) и заведующий товарной конторой станции Бочкарево — заключены в лагерь сроком на 10 лет каждый [5, л. 39–41, 43] (24338).</w:t>
      </w:r>
    </w:p>
    <w:p w14:paraId="330DCAC2" w14:textId="77777777" w:rsidR="009F758E" w:rsidRPr="0044524F" w:rsidRDefault="009F758E" w:rsidP="009654CF">
      <w:pPr>
        <w:spacing w:after="0" w:line="240" w:lineRule="auto"/>
        <w:jc w:val="both"/>
        <w:rPr>
          <w:rFonts w:ascii="Times New Roman" w:hAnsi="Times New Roman"/>
          <w:color w:val="000000" w:themeColor="text1"/>
          <w:sz w:val="16"/>
          <w:szCs w:val="16"/>
        </w:rPr>
      </w:pPr>
    </w:p>
    <w:p w14:paraId="16A778B9" w14:textId="77777777" w:rsidR="00CE35D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1CF0B6D" w14:textId="77777777" w:rsidR="00CE35D9" w:rsidRPr="0044524F" w:rsidRDefault="00CE35D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EF6339B"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декабря 1933 г. на АНИИ стреляли из 152-мм пушки обр. 1910/1930 г. нарезными снарядами с зарядом 6,0 кг пороха марки 15/7, разработанными в АНИИ.</w:t>
      </w:r>
    </w:p>
    <w:p w14:paraId="7626A76F" w14:textId="77777777" w:rsidR="00CE35D9" w:rsidRPr="0044524F" w:rsidRDefault="00CE35D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Кучность нарезных снарядов оказалась неудовлетворительной. Заряжание нарезными снарядами производилось досыльным способом, то есть с помощью особых приспособлений, что терпимо на НИАПе, но неудобно в полевых условиях. По результатам испытаний конструкторы АНИИ решили увеличить крутизну нарезки для увеличения кучности стрельбы (12705).</w:t>
      </w:r>
    </w:p>
    <w:p w14:paraId="43F23D58" w14:textId="77777777" w:rsidR="00CE35D9" w:rsidRPr="0044524F" w:rsidRDefault="00CE35D9" w:rsidP="009654CF">
      <w:pPr>
        <w:spacing w:after="0" w:line="240" w:lineRule="auto"/>
        <w:jc w:val="both"/>
        <w:rPr>
          <w:rFonts w:ascii="Times New Roman" w:hAnsi="Times New Roman"/>
          <w:color w:val="000000" w:themeColor="text1"/>
          <w:sz w:val="16"/>
          <w:szCs w:val="16"/>
        </w:rPr>
      </w:pPr>
    </w:p>
    <w:p w14:paraId="3F2821B9" w14:textId="77777777" w:rsidR="00661CFE" w:rsidRPr="0044524F" w:rsidRDefault="00661CFE"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bCs/>
          <w:color w:val="000000" w:themeColor="text1"/>
          <w:sz w:val="16"/>
          <w:szCs w:val="16"/>
        </w:rPr>
        <w:t>11 декабря 1933 г. велась стрельба из 152-мм пушки обр. 1910/1930 г. нарезными снарядами с зарядом 6,0 кг пороха марки 15/7</w:t>
      </w:r>
    </w:p>
    <w:p w14:paraId="01A29E5D"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г. из 152-мм пушек обр. 1910 и 1910/1930 гг. впервые были произведены стрельбы нарезными снарядами, разработанными в АНИИ. Стволы имели штатную крутизну нарезки (25 калибров).</w:t>
      </w:r>
    </w:p>
    <w:p w14:paraId="56A1F554"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Кучность нарезных снарядов оказалась неудовлетворительной. Заряжание нарезными снарядами производилось досыльным способом, то есть с помощью особых приспособлений, что терпимо на НИАПе, но неудобно в полевых условиях. По результатам испытаний конструкторы АНИИ решили увеличить крутизну нарезки для увеличения кучности стрельбы (15117).</w:t>
      </w:r>
    </w:p>
    <w:p w14:paraId="1E4D836A" w14:textId="77777777" w:rsidR="00661CFE" w:rsidRPr="0044524F" w:rsidRDefault="00661CFE" w:rsidP="009654CF">
      <w:pPr>
        <w:spacing w:after="0" w:line="240" w:lineRule="auto"/>
        <w:jc w:val="both"/>
        <w:rPr>
          <w:rFonts w:ascii="Times New Roman" w:hAnsi="Times New Roman"/>
          <w:color w:val="000000" w:themeColor="text1"/>
          <w:sz w:val="16"/>
          <w:szCs w:val="16"/>
        </w:rPr>
      </w:pPr>
    </w:p>
    <w:p w14:paraId="083C6D62" w14:textId="77777777" w:rsidR="00E64894" w:rsidRPr="00E64894" w:rsidRDefault="00E64894" w:rsidP="00E64894">
      <w:pPr>
        <w:pStyle w:val="aff0"/>
        <w:spacing w:line="240" w:lineRule="auto"/>
        <w:rPr>
          <w:rFonts w:ascii="Times New Roman" w:hAnsi="Times New Roman" w:cs="Times New Roman"/>
          <w:i w:val="0"/>
          <w:iCs w:val="0"/>
          <w:color w:val="0070C0"/>
          <w:sz w:val="16"/>
          <w:szCs w:val="16"/>
          <w:lang w:val="ru-RU"/>
        </w:rPr>
      </w:pPr>
      <w:r w:rsidRPr="00E64894">
        <w:rPr>
          <w:rStyle w:val="aff1"/>
          <w:rFonts w:ascii="Times New Roman" w:hAnsi="Times New Roman" w:cs="Times New Roman"/>
          <w:color w:val="0070C0"/>
          <w:sz w:val="16"/>
          <w:szCs w:val="16"/>
          <w:lang w:val="ru-RU"/>
        </w:rPr>
        <w:t>11 декабря 1933 г. на НИАП велась стрельбы из 152-мм пушки обр. 1910/1930 г. нарезными снарядами с зарядом 6,0 кг пороха марки 15/7</w:t>
      </w:r>
    </w:p>
    <w:tbl>
      <w:tblPr>
        <w:tblOverlap w:val="never"/>
        <w:tblW w:w="0" w:type="auto"/>
        <w:tblLayout w:type="fixed"/>
        <w:tblCellMar>
          <w:left w:w="10" w:type="dxa"/>
          <w:right w:w="10" w:type="dxa"/>
        </w:tblCellMar>
        <w:tblLook w:val="04A0" w:firstRow="1" w:lastRow="0" w:firstColumn="1" w:lastColumn="0" w:noHBand="0" w:noVBand="1"/>
      </w:tblPr>
      <w:tblGrid>
        <w:gridCol w:w="1099"/>
        <w:gridCol w:w="917"/>
        <w:gridCol w:w="912"/>
        <w:gridCol w:w="1982"/>
        <w:gridCol w:w="1560"/>
        <w:gridCol w:w="1186"/>
        <w:gridCol w:w="1570"/>
      </w:tblGrid>
      <w:tr w:rsidR="00E64894" w:rsidRPr="00142305" w14:paraId="6FF79DC9" w14:textId="77777777" w:rsidTr="00E64894">
        <w:trPr>
          <w:trHeight w:hRule="exact" w:val="840"/>
        </w:trPr>
        <w:tc>
          <w:tcPr>
            <w:tcW w:w="1099" w:type="dxa"/>
            <w:tcBorders>
              <w:top w:val="single" w:sz="4" w:space="0" w:color="auto"/>
              <w:left w:val="single" w:sz="4" w:space="0" w:color="auto"/>
            </w:tcBorders>
          </w:tcPr>
          <w:p w14:paraId="113D00F3"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Номер чертежа снаряда</w:t>
            </w:r>
          </w:p>
        </w:tc>
        <w:tc>
          <w:tcPr>
            <w:tcW w:w="917" w:type="dxa"/>
            <w:tcBorders>
              <w:top w:val="single" w:sz="4" w:space="0" w:color="auto"/>
              <w:left w:val="single" w:sz="4" w:space="0" w:color="auto"/>
            </w:tcBorders>
          </w:tcPr>
          <w:p w14:paraId="6C5A3487"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Вес снаряда, кг</w:t>
            </w:r>
          </w:p>
        </w:tc>
        <w:tc>
          <w:tcPr>
            <w:tcW w:w="912" w:type="dxa"/>
            <w:tcBorders>
              <w:top w:val="single" w:sz="4" w:space="0" w:color="auto"/>
              <w:left w:val="single" w:sz="4" w:space="0" w:color="auto"/>
            </w:tcBorders>
          </w:tcPr>
          <w:p w14:paraId="5B9E1F78"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Длина снаряда, кл б</w:t>
            </w:r>
          </w:p>
        </w:tc>
        <w:tc>
          <w:tcPr>
            <w:tcW w:w="1982" w:type="dxa"/>
            <w:tcBorders>
              <w:top w:val="single" w:sz="4" w:space="0" w:color="auto"/>
              <w:left w:val="single" w:sz="4" w:space="0" w:color="auto"/>
            </w:tcBorders>
            <w:vAlign w:val="center"/>
          </w:tcPr>
          <w:p w14:paraId="5C2A2552"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Длина нарезной части снаряда, мм</w:t>
            </w:r>
          </w:p>
        </w:tc>
        <w:tc>
          <w:tcPr>
            <w:tcW w:w="1560" w:type="dxa"/>
            <w:tcBorders>
              <w:top w:val="single" w:sz="4" w:space="0" w:color="auto"/>
              <w:left w:val="single" w:sz="4" w:space="0" w:color="auto"/>
            </w:tcBorders>
            <w:vAlign w:val="center"/>
          </w:tcPr>
          <w:p w14:paraId="57E695C0"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Начальная скорость, м/с</w:t>
            </w:r>
          </w:p>
        </w:tc>
        <w:tc>
          <w:tcPr>
            <w:tcW w:w="1186" w:type="dxa"/>
            <w:tcBorders>
              <w:top w:val="single" w:sz="4" w:space="0" w:color="auto"/>
              <w:left w:val="single" w:sz="4" w:space="0" w:color="auto"/>
            </w:tcBorders>
            <w:vAlign w:val="center"/>
          </w:tcPr>
          <w:p w14:paraId="440BD438"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Дальность, м</w:t>
            </w:r>
          </w:p>
        </w:tc>
        <w:tc>
          <w:tcPr>
            <w:tcW w:w="1570" w:type="dxa"/>
            <w:tcBorders>
              <w:top w:val="single" w:sz="4" w:space="0" w:color="auto"/>
              <w:left w:val="single" w:sz="4" w:space="0" w:color="auto"/>
              <w:right w:val="single" w:sz="4" w:space="0" w:color="auto"/>
            </w:tcBorders>
            <w:vAlign w:val="center"/>
          </w:tcPr>
          <w:p w14:paraId="14D950A6"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Давление в канале, кг/см</w:t>
            </w:r>
          </w:p>
        </w:tc>
      </w:tr>
      <w:tr w:rsidR="00E64894" w:rsidRPr="00142305" w14:paraId="4CA335B0" w14:textId="77777777" w:rsidTr="00E64894">
        <w:trPr>
          <w:trHeight w:hRule="exact" w:val="355"/>
        </w:trPr>
        <w:tc>
          <w:tcPr>
            <w:tcW w:w="1099" w:type="dxa"/>
            <w:tcBorders>
              <w:top w:val="single" w:sz="4" w:space="0" w:color="auto"/>
              <w:left w:val="single" w:sz="4" w:space="0" w:color="auto"/>
            </w:tcBorders>
          </w:tcPr>
          <w:p w14:paraId="096D0BAE"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4757-1</w:t>
            </w:r>
          </w:p>
        </w:tc>
        <w:tc>
          <w:tcPr>
            <w:tcW w:w="917" w:type="dxa"/>
            <w:tcBorders>
              <w:top w:val="single" w:sz="4" w:space="0" w:color="auto"/>
              <w:left w:val="single" w:sz="4" w:space="0" w:color="auto"/>
            </w:tcBorders>
          </w:tcPr>
          <w:p w14:paraId="3765B5CD"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61,8</w:t>
            </w:r>
          </w:p>
        </w:tc>
        <w:tc>
          <w:tcPr>
            <w:tcW w:w="912" w:type="dxa"/>
            <w:tcBorders>
              <w:top w:val="single" w:sz="4" w:space="0" w:color="auto"/>
              <w:left w:val="single" w:sz="4" w:space="0" w:color="auto"/>
            </w:tcBorders>
          </w:tcPr>
          <w:p w14:paraId="53FC5E07"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6,0</w:t>
            </w:r>
          </w:p>
        </w:tc>
        <w:tc>
          <w:tcPr>
            <w:tcW w:w="1982" w:type="dxa"/>
            <w:tcBorders>
              <w:top w:val="single" w:sz="4" w:space="0" w:color="auto"/>
              <w:left w:val="single" w:sz="4" w:space="0" w:color="auto"/>
            </w:tcBorders>
          </w:tcPr>
          <w:p w14:paraId="13B0033E"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166</w:t>
            </w:r>
          </w:p>
        </w:tc>
        <w:tc>
          <w:tcPr>
            <w:tcW w:w="1560" w:type="dxa"/>
            <w:tcBorders>
              <w:top w:val="single" w:sz="4" w:space="0" w:color="auto"/>
              <w:left w:val="single" w:sz="4" w:space="0" w:color="auto"/>
            </w:tcBorders>
          </w:tcPr>
          <w:p w14:paraId="62792D0D"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463</w:t>
            </w:r>
          </w:p>
        </w:tc>
        <w:tc>
          <w:tcPr>
            <w:tcW w:w="1186" w:type="dxa"/>
            <w:tcBorders>
              <w:top w:val="single" w:sz="4" w:space="0" w:color="auto"/>
              <w:left w:val="single" w:sz="4" w:space="0" w:color="auto"/>
            </w:tcBorders>
          </w:tcPr>
          <w:p w14:paraId="5DC22928"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12 200</w:t>
            </w:r>
          </w:p>
        </w:tc>
        <w:tc>
          <w:tcPr>
            <w:tcW w:w="1570" w:type="dxa"/>
            <w:tcBorders>
              <w:top w:val="single" w:sz="4" w:space="0" w:color="auto"/>
              <w:left w:val="single" w:sz="4" w:space="0" w:color="auto"/>
              <w:right w:val="single" w:sz="4" w:space="0" w:color="auto"/>
            </w:tcBorders>
          </w:tcPr>
          <w:p w14:paraId="7CB1D0C6"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1500</w:t>
            </w:r>
          </w:p>
        </w:tc>
      </w:tr>
      <w:tr w:rsidR="00E64894" w:rsidRPr="00142305" w14:paraId="524582EC" w14:textId="77777777" w:rsidTr="00E64894">
        <w:trPr>
          <w:trHeight w:hRule="exact" w:val="370"/>
        </w:trPr>
        <w:tc>
          <w:tcPr>
            <w:tcW w:w="1099" w:type="dxa"/>
            <w:tcBorders>
              <w:top w:val="single" w:sz="4" w:space="0" w:color="auto"/>
              <w:left w:val="single" w:sz="4" w:space="0" w:color="auto"/>
              <w:bottom w:val="single" w:sz="4" w:space="0" w:color="auto"/>
            </w:tcBorders>
          </w:tcPr>
          <w:p w14:paraId="2C4F8139"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4757-П</w:t>
            </w:r>
          </w:p>
        </w:tc>
        <w:tc>
          <w:tcPr>
            <w:tcW w:w="917" w:type="dxa"/>
            <w:tcBorders>
              <w:top w:val="single" w:sz="4" w:space="0" w:color="auto"/>
              <w:left w:val="single" w:sz="4" w:space="0" w:color="auto"/>
              <w:bottom w:val="single" w:sz="4" w:space="0" w:color="auto"/>
            </w:tcBorders>
          </w:tcPr>
          <w:p w14:paraId="011D2AD9"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62,2</w:t>
            </w:r>
          </w:p>
        </w:tc>
        <w:tc>
          <w:tcPr>
            <w:tcW w:w="912" w:type="dxa"/>
            <w:tcBorders>
              <w:top w:val="single" w:sz="4" w:space="0" w:color="auto"/>
              <w:left w:val="single" w:sz="4" w:space="0" w:color="auto"/>
              <w:bottom w:val="single" w:sz="4" w:space="0" w:color="auto"/>
            </w:tcBorders>
          </w:tcPr>
          <w:p w14:paraId="570170B7"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6,0</w:t>
            </w:r>
          </w:p>
        </w:tc>
        <w:tc>
          <w:tcPr>
            <w:tcW w:w="1982" w:type="dxa"/>
            <w:tcBorders>
              <w:top w:val="single" w:sz="4" w:space="0" w:color="auto"/>
              <w:left w:val="single" w:sz="4" w:space="0" w:color="auto"/>
              <w:bottom w:val="single" w:sz="4" w:space="0" w:color="auto"/>
            </w:tcBorders>
          </w:tcPr>
          <w:p w14:paraId="6D4E0AEC"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284</w:t>
            </w:r>
          </w:p>
        </w:tc>
        <w:tc>
          <w:tcPr>
            <w:tcW w:w="1560" w:type="dxa"/>
            <w:tcBorders>
              <w:top w:val="single" w:sz="4" w:space="0" w:color="auto"/>
              <w:left w:val="single" w:sz="4" w:space="0" w:color="auto"/>
              <w:bottom w:val="single" w:sz="4" w:space="0" w:color="auto"/>
            </w:tcBorders>
          </w:tcPr>
          <w:p w14:paraId="6606015C"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463</w:t>
            </w:r>
          </w:p>
        </w:tc>
        <w:tc>
          <w:tcPr>
            <w:tcW w:w="1186" w:type="dxa"/>
            <w:tcBorders>
              <w:top w:val="single" w:sz="4" w:space="0" w:color="auto"/>
              <w:left w:val="single" w:sz="4" w:space="0" w:color="auto"/>
              <w:bottom w:val="single" w:sz="4" w:space="0" w:color="auto"/>
            </w:tcBorders>
          </w:tcPr>
          <w:p w14:paraId="0F6F098E"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12 198</w:t>
            </w:r>
          </w:p>
        </w:tc>
        <w:tc>
          <w:tcPr>
            <w:tcW w:w="1570" w:type="dxa"/>
            <w:tcBorders>
              <w:top w:val="single" w:sz="4" w:space="0" w:color="auto"/>
              <w:left w:val="single" w:sz="4" w:space="0" w:color="auto"/>
              <w:bottom w:val="single" w:sz="4" w:space="0" w:color="auto"/>
              <w:right w:val="single" w:sz="4" w:space="0" w:color="auto"/>
            </w:tcBorders>
          </w:tcPr>
          <w:p w14:paraId="31CE4BFA" w14:textId="77777777" w:rsidR="00E64894" w:rsidRPr="00142305" w:rsidRDefault="00E64894" w:rsidP="00DC550A">
            <w:pPr>
              <w:pStyle w:val="afff4"/>
              <w:ind w:firstLine="0"/>
              <w:jc w:val="both"/>
              <w:rPr>
                <w:rFonts w:ascii="Times New Roman" w:hAnsi="Times New Roman" w:cs="Times New Roman"/>
                <w:color w:val="0070C0"/>
                <w:sz w:val="16"/>
                <w:szCs w:val="16"/>
              </w:rPr>
            </w:pPr>
            <w:r w:rsidRPr="00142305">
              <w:rPr>
                <w:rStyle w:val="afff3"/>
                <w:rFonts w:ascii="Times New Roman" w:hAnsi="Times New Roman" w:cs="Times New Roman"/>
                <w:color w:val="0070C0"/>
                <w:sz w:val="16"/>
                <w:szCs w:val="16"/>
              </w:rPr>
              <w:t>1500</w:t>
            </w:r>
          </w:p>
        </w:tc>
      </w:tr>
    </w:tbl>
    <w:p w14:paraId="4FBC6E0D" w14:textId="77777777" w:rsidR="00E64894" w:rsidRPr="00142305" w:rsidRDefault="00E64894" w:rsidP="00E6489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Кучность нарезных снарядов оказалась неудовлетворительной. Заряжание нарезными снарядами производилось досыльным способом, то есть с помощью особых приспособлений, что терпимо на НИАПе, но неудобно в полевых условиях. По результатам испытаний конструкторы АНИИ решили увеличить крутизну нарезки для увеличения кучности стрельбы (25213).</w:t>
      </w:r>
    </w:p>
    <w:p w14:paraId="0AD6CC28" w14:textId="77777777" w:rsidR="00E64894" w:rsidRPr="00142305" w:rsidRDefault="00E64894" w:rsidP="00E64894">
      <w:pPr>
        <w:spacing w:after="0" w:line="240" w:lineRule="auto"/>
        <w:jc w:val="both"/>
        <w:rPr>
          <w:rFonts w:ascii="Times New Roman" w:hAnsi="Times New Roman"/>
          <w:color w:val="0070C0"/>
          <w:sz w:val="16"/>
          <w:szCs w:val="16"/>
        </w:rPr>
      </w:pPr>
    </w:p>
    <w:p w14:paraId="16051C7B"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декабря 1933 опросом членов ПБ</w:t>
      </w:r>
    </w:p>
    <w:p w14:paraId="5D22593F"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60/35,- Вопрос КО,</w:t>
      </w:r>
    </w:p>
    <w:p w14:paraId="09C6B96E"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следующее постановление КО:</w:t>
      </w:r>
    </w:p>
    <w:p w14:paraId="27C467E3"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Разрешить НКТП покупку у фирмы "Дуккель" специального оборудования для производства насосов и форсунок к дизелям на сумму в 75.000 р.золотом.</w:t>
      </w:r>
    </w:p>
    <w:p w14:paraId="34D22869"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Санкционировать приглашение главного кон</w:t>
      </w:r>
      <w:r w:rsidRPr="0044524F">
        <w:rPr>
          <w:rFonts w:ascii="Times New Roman" w:hAnsi="Times New Roman"/>
          <w:color w:val="000000" w:themeColor="text1"/>
          <w:sz w:val="16"/>
          <w:szCs w:val="16"/>
        </w:rPr>
        <w:softHyphen/>
        <w:t>структора насосно-форсуночной фирмы "Дуккель" - инженера Бруннера для техпомощи по производству насосов и форсунок.</w:t>
      </w:r>
    </w:p>
    <w:p w14:paraId="7D651FC7"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Орджоникидзе, Розенгольцу</w:t>
      </w:r>
    </w:p>
    <w:p w14:paraId="2B811B1E"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состоялось заседание ПБ и был оформлен протокол № 151 (23001).</w:t>
      </w:r>
    </w:p>
    <w:p w14:paraId="12FA1143" w14:textId="77777777" w:rsidR="003B3D9F" w:rsidRPr="0044524F" w:rsidRDefault="003B3D9F" w:rsidP="009654CF">
      <w:pPr>
        <w:spacing w:after="0" w:line="240" w:lineRule="auto"/>
        <w:jc w:val="both"/>
        <w:rPr>
          <w:rFonts w:ascii="Times New Roman" w:hAnsi="Times New Roman"/>
          <w:color w:val="000000" w:themeColor="text1"/>
          <w:sz w:val="16"/>
          <w:szCs w:val="16"/>
        </w:rPr>
      </w:pPr>
    </w:p>
    <w:p w14:paraId="5859CBE4" w14:textId="77777777" w:rsidR="003B3D9F" w:rsidRPr="0044524F" w:rsidRDefault="003B3D9F"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7EFC59E" w14:textId="77777777" w:rsidR="003B3D9F" w:rsidRPr="0044524F" w:rsidRDefault="003B3D9F"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B6A4B5D"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декабря 1933 года — первый полёт дальнего бомбардировщика Bernard 82. /Франция/</w:t>
      </w:r>
    </w:p>
    <w:p w14:paraId="47DA1DFB"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разработки успешного самолёта для дальних перелётов Bernard 80 GR компания Société des Avions Bernard решила применить этот опыт для проекта дальнего бомбардировщика. Работы над новым самолётом, получившим обозначение Bernard 82, стартовали в начале 1933 года.</w:t>
      </w:r>
    </w:p>
    <w:p w14:paraId="15BCEEF1"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Bernard 82 представлял собой цельнометаллический трёхместный среднеплан с крылом большого удлинения и убираемым (вручную, с помощью лебёдки) шасси. Двигатель Hispano-Suiza 12Ybrs (860 л.с.) позволял развить крейсерскую скорость до 260 км/ч. Боевой радиус — 2800 км. Вооружение — 2 × 7,7-мм пулемёта + 4 × 200-кг и 2 × 100-кг бомб.</w:t>
      </w:r>
    </w:p>
    <w:p w14:paraId="0C275557" w14:textId="77777777" w:rsidR="003B3D9F" w:rsidRPr="0044524F" w:rsidRDefault="003B3D9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у этого бомбардировщика и была впечатляющая дальность полёта, но его скорость и слабое защитное вооружение делали его легко уязвимым для истребителей. Проект был прекращён. Один из двух построенных прототипов Bernard 82 использовался в качестве летающей лаборатории для тестирования двигателей (22300).</w:t>
      </w:r>
    </w:p>
    <w:p w14:paraId="5C01B083" w14:textId="77777777" w:rsidR="003B3D9F" w:rsidRPr="0044524F" w:rsidRDefault="003B3D9F" w:rsidP="009654CF">
      <w:pPr>
        <w:spacing w:after="0" w:line="240" w:lineRule="auto"/>
        <w:jc w:val="both"/>
        <w:rPr>
          <w:rFonts w:ascii="Times New Roman" w:hAnsi="Times New Roman"/>
          <w:color w:val="000000" w:themeColor="text1"/>
          <w:sz w:val="16"/>
          <w:szCs w:val="16"/>
        </w:rPr>
      </w:pPr>
    </w:p>
    <w:p w14:paraId="1EB74E07"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939382F"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32D54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декабря 1933 гидросамолет Р-5а N 6763 с М-17 серии ВВ Е=6.0 N 65454 - головного самолета серийного выпуска 1933 был предъявлен и принят на гос. испытания в Севастополе (2264,185).</w:t>
      </w:r>
    </w:p>
    <w:p w14:paraId="1D1026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F922D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12 декабря 1933 по 14 января 1934 в Севастополе проходили гос. испытаниям гидросамолета Р-5а N 6763 с М-17 серии ВВ Е=6.0 N 65454 - головного самолета серийного выпуска 1933 (2264,185).</w:t>
      </w:r>
    </w:p>
    <w:p w14:paraId="75F7BF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Исполнители:</w:t>
      </w:r>
    </w:p>
    <w:p w14:paraId="3C86D1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 8 сектора Тимофеев</w:t>
      </w:r>
    </w:p>
    <w:p w14:paraId="1B1B33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 Ершов</w:t>
      </w:r>
    </w:p>
    <w:p w14:paraId="7DA311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летнаб Ивлев (2264,185).</w:t>
      </w:r>
    </w:p>
    <w:p w14:paraId="73E5A9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CAB9F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12 декабря 1933 г. по 14 января 1934 г. головная машина Р-5а № 6763 прошла Госиспытания в Севастополе.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уменьшилось время набора высоты 3000 м.</w:t>
      </w:r>
    </w:p>
    <w:p w14:paraId="6F1F48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w:t>
      </w:r>
    </w:p>
    <w:p w14:paraId="1E22CC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20 марта 1934 г. военную приемку прошли 13 Р-5а. Всего до конца 1935 г. построили 111 самолетов этой модификации (11936).</w:t>
      </w:r>
    </w:p>
    <w:p w14:paraId="380A9A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9CB17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12 декабря 1933 г. по 14 января 1934 г. в Севастополе проходила государственные испытания головная машина Р-5а № 6763.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на 7 мин, уменьшилось время набора высоты 3000 м. Никаких дефектов в пилотажных характеристиках на испытаниях не выявили. Самолет получил удовлетворительную оценку и был допущен к эксплуатации в строевых частях.</w:t>
      </w:r>
    </w:p>
    <w:p w14:paraId="4F5297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Серийные поплавковые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 (между центропланом и фюзеляжем).</w:t>
      </w:r>
    </w:p>
    <w:p w14:paraId="2E82FE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машинах ставился фотоаппарат Поттэ IБ или АФА- 13, радиостанция СКТЭ. К специфически морскому оборудованию относились якорь-кошка, плавучий якорь и надувные спасательные пояса для обоих членов экипажа (12034).</w:t>
      </w:r>
    </w:p>
    <w:p w14:paraId="7273D1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1FBF49F" w14:textId="77777777" w:rsidR="00E64894" w:rsidRPr="00142305" w:rsidRDefault="00E64894" w:rsidP="00E6489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12 декабря 1933 г. по 14 ян</w:t>
      </w:r>
      <w:r w:rsidRPr="00142305">
        <w:rPr>
          <w:rFonts w:ascii="Times New Roman" w:hAnsi="Times New Roman"/>
          <w:color w:val="0070C0"/>
          <w:sz w:val="16"/>
          <w:szCs w:val="16"/>
        </w:rPr>
        <w:softHyphen/>
        <w:t>варя 1934 г. головной поплавковый Р-5а № 6763 проходил государственные испытания в Севастополе. Облетывал его пилот Ершов. Несмотря на не</w:t>
      </w:r>
      <w:r w:rsidRPr="00142305">
        <w:rPr>
          <w:rFonts w:ascii="Times New Roman" w:hAnsi="Times New Roman"/>
          <w:color w:val="0070C0"/>
          <w:sz w:val="16"/>
          <w:szCs w:val="16"/>
        </w:rPr>
        <w:softHyphen/>
        <w:t>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на 7 мин, уменьшилось время набора высоты 3000 м. Никаких дефектов в пилотажных характеристиках на испытаниях не выявили. Самолет получил удовлетворительную оценку и был допущен к эксплуатации в строевых частях (24990).</w:t>
      </w:r>
    </w:p>
    <w:p w14:paraId="09E42625" w14:textId="77777777" w:rsidR="00E64894" w:rsidRPr="00142305" w:rsidRDefault="00E64894" w:rsidP="00E64894">
      <w:pPr>
        <w:spacing w:after="0" w:line="240" w:lineRule="auto"/>
        <w:jc w:val="both"/>
        <w:rPr>
          <w:rFonts w:ascii="Times New Roman" w:hAnsi="Times New Roman"/>
          <w:color w:val="0070C0"/>
          <w:sz w:val="16"/>
          <w:szCs w:val="16"/>
        </w:rPr>
      </w:pPr>
    </w:p>
    <w:p w14:paraId="6044C5AB"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9601872"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696B9C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декабря 1933 военпред УММ РККА на заводе ДРО докладывал: «ФАИ — ничего не сдано. Сдача 100 штук зависит сейчас от отпуска Правительством машин «Форд-А» под бронировку».</w:t>
      </w:r>
    </w:p>
    <w:p w14:paraId="5F613A5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Ситуация с производством легких бронемашин ФАИ начала выправляться только в 1934 году, когда Выксунский завод ДРО сдал 135 бронемашин (включая 10 штук изготов</w:t>
      </w:r>
      <w:r w:rsidRPr="0044524F">
        <w:rPr>
          <w:rFonts w:ascii="Times New Roman" w:hAnsi="Times New Roman"/>
          <w:color w:val="000000" w:themeColor="text1"/>
          <w:sz w:val="16"/>
          <w:szCs w:val="16"/>
        </w:rPr>
        <w:softHyphen/>
        <w:t>ления 1932 года), из них 115 ФАИ передачи РККА и 20 — главному управлению пограничных войск ОГПУ. Причем с весны 1934 года ФАИ изготавливались на шасси отечест</w:t>
      </w:r>
      <w:r w:rsidRPr="0044524F">
        <w:rPr>
          <w:rFonts w:ascii="Times New Roman" w:hAnsi="Times New Roman"/>
          <w:color w:val="000000" w:themeColor="text1"/>
          <w:sz w:val="16"/>
          <w:szCs w:val="16"/>
        </w:rPr>
        <w:softHyphen/>
        <w:t>венного легкового автомобиля ГАЗ-А, являвшегося анало</w:t>
      </w:r>
      <w:r w:rsidRPr="0044524F">
        <w:rPr>
          <w:rFonts w:ascii="Times New Roman" w:hAnsi="Times New Roman"/>
          <w:color w:val="000000" w:themeColor="text1"/>
          <w:sz w:val="16"/>
          <w:szCs w:val="16"/>
        </w:rPr>
        <w:softHyphen/>
        <w:t>гом «Форда».</w:t>
      </w:r>
    </w:p>
    <w:p w14:paraId="300806E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Пик производства ФАИ пришелся на 1935 год, когда Выксунский завод ДРО сдал 452 бронеавтомобиля (442 для РККА и 10 для ОГПУ). В следующем году Красная Армия получила еще ПО ФАИ, после чего их выпуск был прекра</w:t>
      </w:r>
      <w:r w:rsidRPr="0044524F">
        <w:rPr>
          <w:rFonts w:ascii="Times New Roman" w:hAnsi="Times New Roman"/>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44524F">
        <w:rPr>
          <w:rFonts w:ascii="Times New Roman" w:hAnsi="Times New Roman"/>
          <w:color w:val="000000" w:themeColor="text1"/>
          <w:sz w:val="16"/>
          <w:szCs w:val="16"/>
        </w:rPr>
        <w:softHyphen/>
        <w:t>ли в РККА, а 30 в части ОГПУ (11284).</w:t>
      </w:r>
    </w:p>
    <w:p w14:paraId="3EFDA9F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6DCDE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декабря 1933 в море вышел головной торпедный катер типа Г-5 с 2хГМ-34 (один ГМ-34 левого исполнения, другой - правого) завода им. Марти. Государственные испытания на нем завершились в августе 1934 г. Параллельно весь 1933 г. мотор работал на стенде в ЦИАМ. С 1934 г. он выпускался се</w:t>
      </w:r>
      <w:r w:rsidRPr="0044524F">
        <w:rPr>
          <w:rFonts w:ascii="Times New Roman" w:hAnsi="Times New Roman"/>
          <w:color w:val="000000" w:themeColor="text1"/>
          <w:sz w:val="16"/>
          <w:szCs w:val="16"/>
        </w:rPr>
        <w:softHyphen/>
        <w:t>рийно, к 1 июля изготовили 21 ка</w:t>
      </w:r>
      <w:r w:rsidRPr="0044524F">
        <w:rPr>
          <w:rFonts w:ascii="Times New Roman" w:hAnsi="Times New Roman"/>
          <w:color w:val="000000" w:themeColor="text1"/>
          <w:sz w:val="16"/>
          <w:szCs w:val="16"/>
        </w:rPr>
        <w:softHyphen/>
        <w:t>терный двигатель, а к концу года -156. Мощность была та же, что у авиационного М-34, а вес суще</w:t>
      </w:r>
      <w:r w:rsidRPr="0044524F">
        <w:rPr>
          <w:rFonts w:ascii="Times New Roman" w:hAnsi="Times New Roman"/>
          <w:color w:val="000000" w:themeColor="text1"/>
          <w:sz w:val="16"/>
          <w:szCs w:val="16"/>
        </w:rPr>
        <w:softHyphen/>
        <w:t>ственно больше, 864 кг, а с реверс-муфтой и коллекторами - 1000 кг. Катерный вариант совершенство</w:t>
      </w:r>
      <w:r w:rsidRPr="0044524F">
        <w:rPr>
          <w:rFonts w:ascii="Times New Roman" w:hAnsi="Times New Roman"/>
          <w:color w:val="000000" w:themeColor="text1"/>
          <w:sz w:val="16"/>
          <w:szCs w:val="16"/>
        </w:rPr>
        <w:softHyphen/>
        <w:t>вался параллельно с авиационным. Так, ГМ-34Ф имел коренные вклады</w:t>
      </w:r>
      <w:r w:rsidRPr="0044524F">
        <w:rPr>
          <w:rFonts w:ascii="Times New Roman" w:hAnsi="Times New Roman"/>
          <w:color w:val="000000" w:themeColor="text1"/>
          <w:sz w:val="16"/>
          <w:szCs w:val="16"/>
        </w:rPr>
        <w:softHyphen/>
        <w:t>ши из бронзы, коленчатый вал, го</w:t>
      </w:r>
      <w:r w:rsidRPr="0044524F">
        <w:rPr>
          <w:rFonts w:ascii="Times New Roman" w:hAnsi="Times New Roman"/>
          <w:color w:val="000000" w:themeColor="text1"/>
          <w:sz w:val="16"/>
          <w:szCs w:val="16"/>
        </w:rPr>
        <w:softHyphen/>
        <w:t>ловки блоков и часть агрегатов от М-34ФРНВ. Степень сжатия у него равнялась 7,3. Он был на 80 кг тя</w:t>
      </w:r>
      <w:r w:rsidRPr="0044524F">
        <w:rPr>
          <w:rFonts w:ascii="Times New Roman" w:hAnsi="Times New Roman"/>
          <w:color w:val="000000" w:themeColor="text1"/>
          <w:sz w:val="16"/>
          <w:szCs w:val="16"/>
        </w:rPr>
        <w:softHyphen/>
        <w:t>желее ГМ-34, но зато максимально выдавал 1000 л.с. Интересно, что для него предусматривалась работа как на чистом бензине, так и на бензи-но-спиртовой смеси. Но очень сомни</w:t>
      </w:r>
      <w:r w:rsidRPr="0044524F">
        <w:rPr>
          <w:rFonts w:ascii="Times New Roman" w:hAnsi="Times New Roman"/>
          <w:color w:val="000000" w:themeColor="text1"/>
          <w:sz w:val="16"/>
          <w:szCs w:val="16"/>
        </w:rPr>
        <w:softHyphen/>
        <w:t>тельно, чтобы эта смесь использова</w:t>
      </w:r>
      <w:r w:rsidRPr="0044524F">
        <w:rPr>
          <w:rFonts w:ascii="Times New Roman" w:hAnsi="Times New Roman"/>
          <w:color w:val="000000" w:themeColor="text1"/>
          <w:sz w:val="16"/>
          <w:szCs w:val="16"/>
        </w:rPr>
        <w:softHyphen/>
        <w:t>лась для серий-ных двигателей на флотах. Первые два ГМ-34Ф выпус</w:t>
      </w:r>
      <w:r w:rsidRPr="0044524F">
        <w:rPr>
          <w:rFonts w:ascii="Times New Roman" w:hAnsi="Times New Roman"/>
          <w:color w:val="000000" w:themeColor="text1"/>
          <w:sz w:val="16"/>
          <w:szCs w:val="16"/>
        </w:rPr>
        <w:softHyphen/>
        <w:t>тили в 1936 г. С конца 1936 г. работали над форсированием за счет применения наддува. С августа 1939 г. в серию пошел ГМ-34ФН с нагнетателем ФН-25, одним карбюратором К-4 и усо</w:t>
      </w:r>
      <w:r w:rsidRPr="0044524F">
        <w:rPr>
          <w:rFonts w:ascii="Times New Roman" w:hAnsi="Times New Roman"/>
          <w:color w:val="000000" w:themeColor="text1"/>
          <w:sz w:val="16"/>
          <w:szCs w:val="16"/>
        </w:rPr>
        <w:softHyphen/>
        <w:t>вершенствованной маслосистемой. Степень сжатия у него опять понизи</w:t>
      </w:r>
      <w:r w:rsidRPr="0044524F">
        <w:rPr>
          <w:rFonts w:ascii="Times New Roman" w:hAnsi="Times New Roman"/>
          <w:color w:val="000000" w:themeColor="text1"/>
          <w:sz w:val="16"/>
          <w:szCs w:val="16"/>
        </w:rPr>
        <w:softHyphen/>
        <w:t>ли до 6,0, чтобы использовать низ</w:t>
      </w:r>
      <w:r w:rsidRPr="0044524F">
        <w:rPr>
          <w:rFonts w:ascii="Times New Roman" w:hAnsi="Times New Roman"/>
          <w:color w:val="000000" w:themeColor="text1"/>
          <w:sz w:val="16"/>
          <w:szCs w:val="16"/>
        </w:rPr>
        <w:softHyphen/>
        <w:t>кокачественное топливо, но мощ</w:t>
      </w:r>
      <w:r w:rsidRPr="0044524F">
        <w:rPr>
          <w:rFonts w:ascii="Times New Roman" w:hAnsi="Times New Roman"/>
          <w:color w:val="000000" w:themeColor="text1"/>
          <w:sz w:val="16"/>
          <w:szCs w:val="16"/>
        </w:rPr>
        <w:softHyphen/>
        <w:t>ность довели до 1200 л.с. Вес при этом увеличился незначительно - до 1110 кг. Существовал и дефорсированный мотор ГМ-34БП для речных броне</w:t>
      </w:r>
      <w:r w:rsidRPr="0044524F">
        <w:rPr>
          <w:rFonts w:ascii="Times New Roman" w:hAnsi="Times New Roman"/>
          <w:color w:val="000000" w:themeColor="text1"/>
          <w:sz w:val="16"/>
          <w:szCs w:val="16"/>
        </w:rPr>
        <w:softHyphen/>
        <w:t>катеров мощностью 800 л.с. Он тоже выпускался серийно. В войну его сменил ГМ-34БС, развивавший 850 л.с. Эти двигатели ставились на катерах проектов 1124 и 1125, стро</w:t>
      </w:r>
      <w:r w:rsidRPr="0044524F">
        <w:rPr>
          <w:rFonts w:ascii="Times New Roman" w:hAnsi="Times New Roman"/>
          <w:color w:val="000000" w:themeColor="text1"/>
          <w:sz w:val="16"/>
          <w:szCs w:val="16"/>
        </w:rPr>
        <w:softHyphen/>
        <w:t>ившихся до 1944 г. На основе катерного варианта был разработан ГМ-34БТ мощнос</w:t>
      </w:r>
      <w:r w:rsidRPr="0044524F">
        <w:rPr>
          <w:rFonts w:ascii="Times New Roman" w:hAnsi="Times New Roman"/>
          <w:color w:val="000000" w:themeColor="text1"/>
          <w:sz w:val="16"/>
          <w:szCs w:val="16"/>
        </w:rPr>
        <w:softHyphen/>
        <w:t>тью 850 л.с. для танков с изменен</w:t>
      </w:r>
      <w:r w:rsidRPr="0044524F">
        <w:rPr>
          <w:rFonts w:ascii="Times New Roman" w:hAnsi="Times New Roman"/>
          <w:color w:val="000000" w:themeColor="text1"/>
          <w:sz w:val="16"/>
          <w:szCs w:val="16"/>
        </w:rPr>
        <w:softHyphen/>
        <w:t>ной системой охлаждения, вентиля</w:t>
      </w:r>
      <w:r w:rsidRPr="0044524F">
        <w:rPr>
          <w:rFonts w:ascii="Times New Roman" w:hAnsi="Times New Roman"/>
          <w:color w:val="000000" w:themeColor="text1"/>
          <w:sz w:val="16"/>
          <w:szCs w:val="16"/>
        </w:rPr>
        <w:softHyphen/>
        <w:t>тором принудительного обдува. Он имел электростартер вместо пневмопуска. ГМ-34БТ выпустили ма</w:t>
      </w:r>
      <w:r w:rsidRPr="0044524F">
        <w:rPr>
          <w:rFonts w:ascii="Times New Roman" w:hAnsi="Times New Roman"/>
          <w:color w:val="000000" w:themeColor="text1"/>
          <w:sz w:val="16"/>
          <w:szCs w:val="16"/>
        </w:rPr>
        <w:softHyphen/>
        <w:t>лой серией в 1939 г. Такие моторы устанавливались на опытных танках Т-100 и СМК, проходивших войсковые испы</w:t>
      </w:r>
      <w:r w:rsidRPr="0044524F">
        <w:rPr>
          <w:rFonts w:ascii="Times New Roman" w:hAnsi="Times New Roman"/>
          <w:color w:val="000000" w:themeColor="text1"/>
          <w:sz w:val="16"/>
          <w:szCs w:val="16"/>
        </w:rPr>
        <w:softHyphen/>
        <w:t>тания на фронте во время войны с Финляндией зимой 1940 г., а также опытном са</w:t>
      </w:r>
      <w:r w:rsidRPr="0044524F">
        <w:rPr>
          <w:rFonts w:ascii="Times New Roman" w:hAnsi="Times New Roman"/>
          <w:color w:val="000000" w:themeColor="text1"/>
          <w:sz w:val="16"/>
          <w:szCs w:val="16"/>
        </w:rPr>
        <w:softHyphen/>
        <w:t>моходном орудии СУ-100у («Игрек», 1940 г.), применяв</w:t>
      </w:r>
      <w:r w:rsidRPr="0044524F">
        <w:rPr>
          <w:rFonts w:ascii="Times New Roman" w:hAnsi="Times New Roman"/>
          <w:color w:val="000000" w:themeColor="text1"/>
          <w:sz w:val="16"/>
          <w:szCs w:val="16"/>
        </w:rPr>
        <w:softHyphen/>
        <w:t>шемся в боях под Москвой зимой 1941 г. (11848).</w:t>
      </w:r>
    </w:p>
    <w:p w14:paraId="2381161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3893BF"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788CCBE"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62384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декабря 1933 Фирин утвердил составленное начальником Отдела снабжения Дмитлага М. А. Грейшером «Меню-раскладку премблюда на месяц», включавшее: пирожки с рыбой и картофелем (а также капустой, крупой, тыквой), макароны отварные, запеканку из макарон, кашу из разных круп, котлеты и запеканки из круп, рагу из овощей, винегрет; для приготовления премблюд использовались животные жиры, мясо в этом списке отсутствует (7560).</w:t>
      </w:r>
    </w:p>
    <w:p w14:paraId="0B99E0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95378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декабря 1933 Санотдел Дмитлага выпустил «Санминимум для барака»: каждому лагернику полагалось не менее 3 кв. метров жилой площади при кубатуре воздуха в среднем не менее 6 куб. метров; температура барака зимой должна была быть не менее 14 градусов Цельсия, а вечером - не менее 18 градусов; для вентиляции полагалось не меньше одной форточки на каждые два окна, для умывания - светлое и отапливаемое помещение с умывальниками «из расчета - 1 сосок на 10 человек» и т. д (7560).</w:t>
      </w:r>
    </w:p>
    <w:p w14:paraId="022FF8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54E2F07" w14:textId="77777777" w:rsidR="00661CF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36EE5C1" w14:textId="77777777" w:rsidR="00661CFE" w:rsidRPr="0044524F" w:rsidRDefault="00661CF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070EF26"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 xml:space="preserve">12 декабря </w:t>
      </w:r>
      <w:r w:rsidRPr="0044524F">
        <w:rPr>
          <w:rFonts w:ascii="Times New Roman" w:hAnsi="Times New Roman"/>
          <w:color w:val="000000" w:themeColor="text1"/>
          <w:sz w:val="16"/>
          <w:szCs w:val="16"/>
        </w:rPr>
        <w:t>в 1933 году ЦК ВКП(б) приняло решение "О развертывании борьбы за коллективную безопасность" (14858).</w:t>
      </w:r>
    </w:p>
    <w:p w14:paraId="379371CA" w14:textId="77777777" w:rsidR="00661CFE" w:rsidRPr="0044524F" w:rsidRDefault="00661CFE" w:rsidP="009654CF">
      <w:pPr>
        <w:spacing w:after="0" w:line="240" w:lineRule="auto"/>
        <w:jc w:val="both"/>
        <w:rPr>
          <w:rFonts w:ascii="Times New Roman" w:hAnsi="Times New Roman"/>
          <w:color w:val="000000" w:themeColor="text1"/>
          <w:sz w:val="16"/>
          <w:szCs w:val="16"/>
        </w:rPr>
      </w:pPr>
    </w:p>
    <w:p w14:paraId="2E8120AF"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ACFAC4C"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C11A7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декабря 1933 г. начальник 7-го сектора НИИ ВВС Б.Т.Горощенко подготовил заключение по плану опытного самолетостроения советской авиапромышленности на 1934-1935 гг., в котором задание на проектирование ТБ-7 расценивалось как приоритетное, в недалеком будущем ему предстояло заменить быстро устаревающий ТБ-3. С четырьмя двигателями М-34 ТБ-7 должен был развивать скорость 280-300 км/ч на высоте 5000 м, обладать рабочим потолком 8000 м, нести максимальную бомбовую нагрузку 4000 кг на дальность 4000 км. Срок готовности опытного экземпляра устанавливался весьма сжатый, к его летным испытаниям предстояло приступить не позднее 1 октября 1935 г. Понятно, что в реальности для создания столь крупного и сложного самолета понадобилось значительно больше времени (12025).</w:t>
      </w:r>
    </w:p>
    <w:p w14:paraId="4C5261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64F5451" w14:textId="77777777" w:rsidR="00E64894" w:rsidRPr="00142305" w:rsidRDefault="00E64894" w:rsidP="00E6489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13 декабря 1933 г. начальником 7-го сектора НИИ ВВС Борисом Горощенко утвердил план опытного самолетостро</w:t>
      </w:r>
      <w:r w:rsidRPr="00142305">
        <w:rPr>
          <w:rFonts w:ascii="Times New Roman" w:hAnsi="Times New Roman"/>
          <w:color w:val="0070C0"/>
          <w:sz w:val="16"/>
          <w:szCs w:val="16"/>
        </w:rPr>
        <w:softHyphen/>
        <w:t>ения советской авиапромышленности на 1934 — 1935 гг. Согласно этому документу, задание на проектирование ТБ-7 расценива</w:t>
      </w:r>
      <w:r w:rsidRPr="00142305">
        <w:rPr>
          <w:rFonts w:ascii="Times New Roman" w:hAnsi="Times New Roman"/>
          <w:color w:val="0070C0"/>
          <w:sz w:val="16"/>
          <w:szCs w:val="16"/>
        </w:rPr>
        <w:softHyphen/>
        <w:t>лось как приоритетное, в недалеком будущем ему предстояло заменить быстро устареваю</w:t>
      </w:r>
      <w:r w:rsidRPr="00142305">
        <w:rPr>
          <w:rFonts w:ascii="Times New Roman" w:hAnsi="Times New Roman"/>
          <w:color w:val="0070C0"/>
          <w:sz w:val="16"/>
          <w:szCs w:val="16"/>
        </w:rPr>
        <w:softHyphen/>
        <w:t>щий ТБ-3. С четырьмя двигателями М-34ФРН взлетной мощностью по 1250 л.с. ТБ-7 должен был развивать скорость 280 — 300 км/ч на вы</w:t>
      </w:r>
      <w:r w:rsidRPr="00142305">
        <w:rPr>
          <w:rFonts w:ascii="Times New Roman" w:hAnsi="Times New Roman"/>
          <w:color w:val="0070C0"/>
          <w:sz w:val="16"/>
          <w:szCs w:val="16"/>
        </w:rPr>
        <w:softHyphen/>
        <w:t>соте 5000 м, обладать рабочим потолком 8000 м, нести максимальную бомбовую нагрузку 4000 кг на дальность 4000 км. Срок готовности опытного экземпляра устанавливался весьма сжатый, к его летным испытаниям предстояло приступить не позднее 1 октября 1935 г. По</w:t>
      </w:r>
      <w:r w:rsidRPr="00142305">
        <w:rPr>
          <w:rFonts w:ascii="Times New Roman" w:hAnsi="Times New Roman"/>
          <w:color w:val="0070C0"/>
          <w:sz w:val="16"/>
          <w:szCs w:val="16"/>
        </w:rPr>
        <w:softHyphen/>
        <w:t>нятно, что в реальности для создания столь крупного и сложного самолета понадобилось значительно больше времени (24951).</w:t>
      </w:r>
    </w:p>
    <w:p w14:paraId="4C625ECC" w14:textId="77777777" w:rsidR="00E64894" w:rsidRPr="00142305" w:rsidRDefault="00E64894" w:rsidP="00E64894">
      <w:pPr>
        <w:spacing w:after="0" w:line="240" w:lineRule="auto"/>
        <w:jc w:val="both"/>
        <w:rPr>
          <w:rFonts w:ascii="Times New Roman" w:hAnsi="Times New Roman"/>
          <w:color w:val="0070C0"/>
          <w:sz w:val="16"/>
          <w:szCs w:val="16"/>
        </w:rPr>
      </w:pPr>
    </w:p>
    <w:p w14:paraId="0F72C9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декабря 1933 состоялся первый полет И-16 с М-22 (228,98).</w:t>
      </w:r>
    </w:p>
    <w:p w14:paraId="41AB41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20CE5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декабря 1933 закончились официальные заводские испытания И-14 Бристоль-Меркур, которые шли с 6 октября (6 декабря - 2869,23) 1933. выполнили 16 полетов и налетали 11:07. Вед. и был Кравцов, а вл - Попов. На гос. испытания машина попала 2 января 1934 (2267,50).</w:t>
      </w:r>
    </w:p>
    <w:p w14:paraId="23D8FF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56C81E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И-14 с БМ обладает отмеченными выше конструктивными недостатками</w:t>
      </w:r>
    </w:p>
    <w:p w14:paraId="563949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Присущие недостатки присущи только данному экземпляру</w:t>
      </w:r>
    </w:p>
    <w:p w14:paraId="6EB67E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ЛК И-14 - гор. скорость и скороподъемность ставят его в разряд современных скоростных истребителей.</w:t>
      </w:r>
    </w:p>
    <w:p w14:paraId="6A22D1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Самолет И-14 передать на гос. испытания." - Зам. Нач. ОЭЛИД Козлов, Нач. секции летных испытаний - М.Гудков (2267,49).</w:t>
      </w:r>
    </w:p>
    <w:p w14:paraId="54CEDE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Оценка машины л К.А.Поповым и ви Кравцовым:</w:t>
      </w:r>
    </w:p>
    <w:p w14:paraId="1F2C56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 самолета - высотный... скоростной, с большой нагрузкой на кв. метр... Наиболее подходящий к пушечному истребителю (типа Z); с маневром, уступающим самолету типа И-5, но для данного типа вполне достаточным... Имеет мощные, с большим запасом рули, причем отсутствует нагрузка на рычаги управления. Это делает самолет строгим, требуя от пилота необходимых, точных движений..." (2869,26).</w:t>
      </w:r>
    </w:p>
    <w:p w14:paraId="0309F2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Достигли рекордной для СССР скорости - 384 км/час и заменили полотняную обшивку крыла металлической (правда гофрированной), исправляли шасси (2869,26).</w:t>
      </w:r>
    </w:p>
    <w:p w14:paraId="2FA41D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высоте недобрали лишь 100 м - 9400 вместо 9500, а взлетно-посадочные характеристики были далеки от заданных. Разбег -120 вместо 40 и пробег 220 вместо 80. Запаздывал с выходом из штопора. Кабина оказалась неудобной, шасси - недоведенным (4020,11).</w:t>
      </w:r>
    </w:p>
    <w:p w14:paraId="4617FB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119EB93"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декабря 1933 заводские испытания И-14 завершились.</w:t>
      </w:r>
    </w:p>
    <w:p w14:paraId="7A6F2557"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Заключении Отчёта по испытаниям И-14 отмечалось: «Лётные качества самолёта И-14 — горизонтальная скорость и скороподъёмность ставят его в разряд современных скоростных истребителей ...Самолет И-14 передать на государственные испытания» (15823).</w:t>
      </w:r>
    </w:p>
    <w:p w14:paraId="14F86AA0" w14:textId="77777777" w:rsidR="00661CFE" w:rsidRPr="0044524F" w:rsidRDefault="00661CFE" w:rsidP="009654CF">
      <w:pPr>
        <w:spacing w:after="0" w:line="240" w:lineRule="auto"/>
        <w:jc w:val="both"/>
        <w:rPr>
          <w:rFonts w:ascii="Times New Roman" w:hAnsi="Times New Roman"/>
          <w:color w:val="000000" w:themeColor="text1"/>
          <w:sz w:val="16"/>
          <w:szCs w:val="16"/>
        </w:rPr>
      </w:pPr>
    </w:p>
    <w:p w14:paraId="0179B714" w14:textId="77777777" w:rsidR="009F758E" w:rsidRPr="0044524F" w:rsidRDefault="009F758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декабря 1933 г. завершились заводские испытания истребителя И-14 с мотором Бристоль «Меркур» VS2. На этом самолете летчик К.А. Попов достиг максималь</w:t>
      </w:r>
      <w:r w:rsidRPr="0044524F">
        <w:rPr>
          <w:rFonts w:ascii="Times New Roman" w:hAnsi="Times New Roman"/>
          <w:color w:val="000000" w:themeColor="text1"/>
          <w:sz w:val="16"/>
          <w:szCs w:val="16"/>
        </w:rPr>
        <w:softHyphen/>
        <w:t>ной скорости 389 км/ч на высоте 4550 м. Было принято ре</w:t>
      </w:r>
      <w:r w:rsidRPr="0044524F">
        <w:rPr>
          <w:rFonts w:ascii="Times New Roman" w:hAnsi="Times New Roman"/>
          <w:color w:val="000000" w:themeColor="text1"/>
          <w:sz w:val="16"/>
          <w:szCs w:val="16"/>
        </w:rPr>
        <w:softHyphen/>
        <w:t>шение развернуть серийную постройку И-14 еще на одном авиационном заводе №125 в Иркутске. С-3 января 1934 г. начались его государственные испытания. Проводивший их летчик Т.П. Сузи отметил, что самолет «недостаточно про</w:t>
      </w:r>
      <w:r w:rsidRPr="0044524F">
        <w:rPr>
          <w:rFonts w:ascii="Times New Roman" w:hAnsi="Times New Roman"/>
          <w:color w:val="000000" w:themeColor="text1"/>
          <w:sz w:val="16"/>
          <w:szCs w:val="16"/>
        </w:rPr>
        <w:softHyphen/>
        <w:t>чен, имеет ряд крупных дефектов» (23455).</w:t>
      </w:r>
    </w:p>
    <w:p w14:paraId="35713948" w14:textId="77777777" w:rsidR="009F758E" w:rsidRPr="0044524F" w:rsidRDefault="009F758E" w:rsidP="009654CF">
      <w:pPr>
        <w:spacing w:after="0" w:line="240" w:lineRule="auto"/>
        <w:jc w:val="both"/>
        <w:rPr>
          <w:rFonts w:ascii="Times New Roman" w:hAnsi="Times New Roman"/>
          <w:color w:val="000000" w:themeColor="text1"/>
          <w:sz w:val="16"/>
          <w:szCs w:val="16"/>
        </w:rPr>
      </w:pPr>
    </w:p>
    <w:p w14:paraId="191F44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13-го декабря 1933 Тактико-технические требования (ТТТ) на одноместный истребитель И-17 поступили из НИИ ВВС в Центральное конструкторское бюро.</w:t>
      </w:r>
    </w:p>
    <w:p w14:paraId="5FA253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положения ТТТ на истребитель И-17 были таковы: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61"/>
        <w:gridCol w:w="4261"/>
      </w:tblGrid>
      <w:tr w:rsidR="004E10C1" w:rsidRPr="0044524F" w14:paraId="39A00E38" w14:textId="77777777">
        <w:tc>
          <w:tcPr>
            <w:tcW w:w="4261" w:type="dxa"/>
          </w:tcPr>
          <w:p w14:paraId="717917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на высоте 5000 м</w:t>
            </w:r>
          </w:p>
        </w:tc>
        <w:tc>
          <w:tcPr>
            <w:tcW w:w="4261" w:type="dxa"/>
          </w:tcPr>
          <w:p w14:paraId="4D9073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 км/час.</w:t>
            </w:r>
          </w:p>
        </w:tc>
      </w:tr>
      <w:tr w:rsidR="004E10C1" w:rsidRPr="0044524F" w14:paraId="45937133" w14:textId="77777777">
        <w:tc>
          <w:tcPr>
            <w:tcW w:w="4261" w:type="dxa"/>
          </w:tcPr>
          <w:p w14:paraId="4C4E58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Потолок практический</w:t>
            </w:r>
          </w:p>
        </w:tc>
        <w:tc>
          <w:tcPr>
            <w:tcW w:w="4261" w:type="dxa"/>
          </w:tcPr>
          <w:p w14:paraId="7492FA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10000м</w:t>
            </w:r>
          </w:p>
        </w:tc>
      </w:tr>
      <w:tr w:rsidR="004E10C1" w:rsidRPr="0044524F" w14:paraId="1B03BCBF" w14:textId="77777777">
        <w:tc>
          <w:tcPr>
            <w:tcW w:w="4261" w:type="dxa"/>
          </w:tcPr>
          <w:p w14:paraId="446A92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5000 м</w:t>
            </w:r>
          </w:p>
        </w:tc>
        <w:tc>
          <w:tcPr>
            <w:tcW w:w="4261" w:type="dxa"/>
          </w:tcPr>
          <w:p w14:paraId="4790D9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 мин.</w:t>
            </w:r>
          </w:p>
        </w:tc>
      </w:tr>
      <w:tr w:rsidR="004E10C1" w:rsidRPr="0044524F" w14:paraId="522E25BF" w14:textId="77777777">
        <w:tc>
          <w:tcPr>
            <w:tcW w:w="4261" w:type="dxa"/>
          </w:tcPr>
          <w:p w14:paraId="796CB8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не более</w:t>
            </w:r>
          </w:p>
        </w:tc>
        <w:tc>
          <w:tcPr>
            <w:tcW w:w="4261" w:type="dxa"/>
          </w:tcPr>
          <w:p w14:paraId="5AF709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100-105 км/час.</w:t>
            </w:r>
          </w:p>
        </w:tc>
      </w:tr>
      <w:tr w:rsidR="004E10C1" w:rsidRPr="0044524F" w14:paraId="37E7CE87" w14:textId="77777777">
        <w:tc>
          <w:tcPr>
            <w:tcW w:w="4261" w:type="dxa"/>
          </w:tcPr>
          <w:p w14:paraId="4F6AF3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Техническая дальность</w:t>
            </w:r>
          </w:p>
        </w:tc>
        <w:tc>
          <w:tcPr>
            <w:tcW w:w="4261" w:type="dxa"/>
          </w:tcPr>
          <w:p w14:paraId="551594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 км/час. (9630)</w:t>
            </w:r>
          </w:p>
        </w:tc>
      </w:tr>
    </w:tbl>
    <w:p w14:paraId="52EAE8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8E5B5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декабря 1933 г. тактико-технические требования (ТТТ) на одноместный истребитель И-17, утвержденные Алкснисом 9 декабря 1933, поступили из НИИ ВВС в Центральное конструкторское бюро. Основные положения ТТТ к истребителю И-17 были таковы: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4E10C1" w:rsidRPr="0044524F" w14:paraId="7FC41365" w14:textId="77777777">
        <w:tc>
          <w:tcPr>
            <w:tcW w:w="5605" w:type="dxa"/>
            <w:tcBorders>
              <w:top w:val="single" w:sz="12" w:space="0" w:color="auto"/>
            </w:tcBorders>
          </w:tcPr>
          <w:p w14:paraId="3F8095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на высоте 5000 м</w:t>
            </w:r>
          </w:p>
        </w:tc>
        <w:tc>
          <w:tcPr>
            <w:tcW w:w="5605" w:type="dxa"/>
            <w:tcBorders>
              <w:top w:val="single" w:sz="12" w:space="0" w:color="auto"/>
            </w:tcBorders>
          </w:tcPr>
          <w:p w14:paraId="43005B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 км/ч</w:t>
            </w:r>
          </w:p>
        </w:tc>
      </w:tr>
      <w:tr w:rsidR="004E10C1" w:rsidRPr="0044524F" w14:paraId="66C15225" w14:textId="77777777">
        <w:tc>
          <w:tcPr>
            <w:tcW w:w="5605" w:type="dxa"/>
          </w:tcPr>
          <w:p w14:paraId="202903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5000 м</w:t>
            </w:r>
          </w:p>
        </w:tc>
        <w:tc>
          <w:tcPr>
            <w:tcW w:w="5605" w:type="dxa"/>
          </w:tcPr>
          <w:p w14:paraId="606D93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 мин</w:t>
            </w:r>
          </w:p>
        </w:tc>
      </w:tr>
      <w:tr w:rsidR="004E10C1" w:rsidRPr="0044524F" w14:paraId="06F8B614" w14:textId="77777777">
        <w:tc>
          <w:tcPr>
            <w:tcW w:w="5605" w:type="dxa"/>
          </w:tcPr>
          <w:p w14:paraId="217946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практический</w:t>
            </w:r>
          </w:p>
        </w:tc>
        <w:tc>
          <w:tcPr>
            <w:tcW w:w="5605" w:type="dxa"/>
          </w:tcPr>
          <w:p w14:paraId="449E46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 м</w:t>
            </w:r>
          </w:p>
        </w:tc>
      </w:tr>
      <w:tr w:rsidR="004E10C1" w:rsidRPr="0044524F" w14:paraId="11A3AB49" w14:textId="77777777">
        <w:tc>
          <w:tcPr>
            <w:tcW w:w="5605" w:type="dxa"/>
          </w:tcPr>
          <w:p w14:paraId="0E6DC7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не более</w:t>
            </w:r>
          </w:p>
        </w:tc>
        <w:tc>
          <w:tcPr>
            <w:tcW w:w="5605" w:type="dxa"/>
          </w:tcPr>
          <w:p w14:paraId="24920A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100-105 км/ч</w:t>
            </w:r>
          </w:p>
        </w:tc>
      </w:tr>
      <w:tr w:rsidR="004E10C1" w:rsidRPr="0044524F" w14:paraId="45201D39" w14:textId="77777777">
        <w:tc>
          <w:tcPr>
            <w:tcW w:w="5605" w:type="dxa"/>
            <w:tcBorders>
              <w:bottom w:val="single" w:sz="12" w:space="0" w:color="auto"/>
            </w:tcBorders>
          </w:tcPr>
          <w:p w14:paraId="4EEED6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Техническая дальность</w:t>
            </w:r>
          </w:p>
        </w:tc>
        <w:tc>
          <w:tcPr>
            <w:tcW w:w="5605" w:type="dxa"/>
            <w:tcBorders>
              <w:bottom w:val="single" w:sz="12" w:space="0" w:color="auto"/>
            </w:tcBorders>
          </w:tcPr>
          <w:p w14:paraId="3BB260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 км</w:t>
            </w:r>
          </w:p>
        </w:tc>
      </w:tr>
    </w:tbl>
    <w:p w14:paraId="7C0DF8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(12016).</w:t>
      </w:r>
    </w:p>
    <w:p w14:paraId="3EF433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960BE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декабря 1933 г. завершились заводские испытания истребителя И-14 с мотором Бристоль «Меркур». На этом самолете летчик К.А.Попов достиг максималь</w:t>
      </w:r>
      <w:r w:rsidRPr="0044524F">
        <w:rPr>
          <w:rFonts w:ascii="Times New Roman" w:hAnsi="Times New Roman"/>
          <w:color w:val="000000" w:themeColor="text1"/>
          <w:sz w:val="16"/>
          <w:szCs w:val="16"/>
        </w:rPr>
        <w:softHyphen/>
        <w:t>ной скорости 389 км/ч на высоте 4550 м. Решили развер</w:t>
      </w:r>
      <w:r w:rsidRPr="0044524F">
        <w:rPr>
          <w:rFonts w:ascii="Times New Roman" w:hAnsi="Times New Roman"/>
          <w:color w:val="000000" w:themeColor="text1"/>
          <w:sz w:val="16"/>
          <w:szCs w:val="16"/>
        </w:rPr>
        <w:softHyphen/>
        <w:t>нуть серийную постройку И-14 еще на одном авиационном заводе - № 125 в Иркутске. 3 января 1934 г. начались государственные испытания И-14. Проводив- ший их летчик Т.П.Сузи отметил, что самолет «недоста</w:t>
      </w:r>
      <w:r w:rsidRPr="0044524F">
        <w:rPr>
          <w:rFonts w:ascii="Times New Roman" w:hAnsi="Times New Roman"/>
          <w:color w:val="000000" w:themeColor="text1"/>
          <w:sz w:val="16"/>
          <w:szCs w:val="16"/>
        </w:rPr>
        <w:softHyphen/>
        <w:t>точно прочен, имеет ряд крупных дефектов» (10667).</w:t>
      </w:r>
    </w:p>
    <w:p w14:paraId="4F774B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EA39A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декабря 1933 было подготовлено Краткое состояние опытного самолетостроения на 15/XII-1933 года.</w:t>
      </w:r>
    </w:p>
    <w:p w14:paraId="557AD9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плану РВС СССР, утвержд. 17/VII-33 г.</w:t>
      </w:r>
    </w:p>
    <w:p w14:paraId="64FBA8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Опытные самолеты.</w:t>
      </w:r>
    </w:p>
    <w:p w14:paraId="256B5E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ТБ4-6М34.</w:t>
      </w:r>
    </w:p>
    <w:p w14:paraId="23269B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по плану РВС - 15/VIII-33 г.</w:t>
      </w:r>
    </w:p>
    <w:p w14:paraId="1B19BD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Сдан на гос. испытания 25/IX-33 г. Испытания проводятся в двух вариантах: с дополнительными кабинами для стрелков на крыльях и без них. - Закончены.</w:t>
      </w:r>
    </w:p>
    <w:p w14:paraId="459A88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ТБ-4М34 Р.Н.</w:t>
      </w:r>
    </w:p>
    <w:p w14:paraId="5483A2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 испытаний - 1/Х-34 г.</w:t>
      </w:r>
    </w:p>
    <w:p w14:paraId="590936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Из-за отсутствия нагнетателей самолет выпущен только с редукторами и сдан на гос. испытания. результаты заводских испытаний показали значительно лучшие данные чем с М-17. Кроме этого, прошел гос. испытания самолет с М-34 без редукторов.</w:t>
      </w:r>
    </w:p>
    <w:p w14:paraId="517D27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МИ3-2М34 Н.</w:t>
      </w:r>
    </w:p>
    <w:p w14:paraId="4964AA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 испытаний был 1/IX-33 г.</w:t>
      </w:r>
    </w:p>
    <w:p w14:paraId="35E1E7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опытный экземпляр потерпел аварию при испытаниях. Второй экземпляр со значительными изменениями по улучшению самолета (переделка хвостового оперения, удлинение фюзеляжа и переделка его в нижней части, установка клапанов "НОРТРОМ", переделка подъемного механизма шасси и пр.), должен выйти на зав. испытания в начале декабря с.г. Самолет выходит без нагнетателя. Готовность в производстве - 97%.</w:t>
      </w:r>
    </w:p>
    <w:p w14:paraId="367DE1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МК-1-6М34РНЮ</w:t>
      </w:r>
    </w:p>
    <w:p w14:paraId="163054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Срок гос. испытаний - 1/VIII-34 г.</w:t>
      </w:r>
    </w:p>
    <w:p w14:paraId="571CAD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Гидросамолет в форсированном порядке строится в ЦАГИ. Готовность его выражается в 80%. На заводские испытания должен выйти к марту 1934 г.</w:t>
      </w:r>
    </w:p>
    <w:p w14:paraId="022BC1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Параллельно с чертежами передаются на завод N 22 для подготовки серийного производства. Самолет выйдет с редуктором, но без нагнетателя.</w:t>
      </w:r>
    </w:p>
    <w:p w14:paraId="639EDF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МДР4-3М34РН.</w:t>
      </w:r>
    </w:p>
    <w:p w14:paraId="61003A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Срок предъявления на гос. испытания 1/V-34 г.</w:t>
      </w:r>
    </w:p>
    <w:p w14:paraId="60CD1C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Также как и МК1 постройка гидросамолета ведется усиленными темпами. Готовность выражается в 80%. На зав. испытания должен выйти в феврале 1934 г. Параллельно сдаются чертежи на завод N 31 и завод N 125 для подготовки серийного производства. Самолет выйдет с редуктором, но без наддува.</w:t>
      </w:r>
    </w:p>
    <w:p w14:paraId="37C151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Л.Р.-М34Н.</w:t>
      </w:r>
    </w:p>
    <w:p w14:paraId="0E5D0F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 Срок предъявления на гос. испытания 1/IX-33 г.</w:t>
      </w:r>
    </w:p>
    <w:p w14:paraId="232E19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экземпляр проходит заводские испытания. В настоящее время находится на доводке по устранению вибраций хвостовой части. Самолет испытывается с мотором без нагнетателя. Для подготовки производства серии чертежи передаются на зав. N 1.</w:t>
      </w:r>
    </w:p>
    <w:p w14:paraId="3A8FD8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ТШ-3-М34.</w:t>
      </w:r>
    </w:p>
    <w:p w14:paraId="3B681C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w:t>
      </w:r>
    </w:p>
    <w:p w14:paraId="24254F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находится в процессе постройки и статиспытаний отдельных частей. Готовность выражается в 45%. Проектир. законч. на 95%. Вых. на зав. испыт. в нач..... Задер. служ. отсут. бронев. стали.</w:t>
      </w:r>
    </w:p>
    <w:p w14:paraId="4672F3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И14-Б.М.</w:t>
      </w:r>
    </w:p>
    <w:p w14:paraId="42F3EC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И-14.</w:t>
      </w:r>
    </w:p>
    <w:p w14:paraId="22D658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p w14:paraId="13FDF8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в процессе проектирования и постройки отдельных частей. Готовность проектирования выражается в 95%. Производства - 25%.</w:t>
      </w:r>
    </w:p>
    <w:p w14:paraId="113C66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И-15 РЦ.</w:t>
      </w:r>
    </w:p>
    <w:p w14:paraId="55247A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w:t>
      </w:r>
    </w:p>
    <w:p w14:paraId="737224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на заводских испытаниях. Предварительные испытания говорят за то, что самолет даст предполагаемые данные.</w:t>
      </w:r>
    </w:p>
    <w:p w14:paraId="7CEAEC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И-15 М58.</w:t>
      </w:r>
    </w:p>
    <w:p w14:paraId="5B90A0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w:t>
      </w:r>
    </w:p>
    <w:p w14:paraId="566A75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Отсутствие мотора М-58 заставило строить второй экземпляр с мотором Р.Ц. Готовность его выражается в 90%. Самолет выйдет на испытания - в первых числах января 34 г.</w:t>
      </w:r>
    </w:p>
    <w:p w14:paraId="4D30DD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МБР4 М34.</w:t>
      </w:r>
    </w:p>
    <w:p w14:paraId="66BA53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и зав. N 39.</w:t>
      </w:r>
    </w:p>
    <w:p w14:paraId="151C4E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Обнаруженные при заводских испытаниях дефекты водомаслосистемы исправлены заводом N 31. Помимо этого, заводом N 39 изготовлен радиатор с увеличенной охлаждающей способностью. В настоящее время самолет прошел предварительные испытания.</w:t>
      </w:r>
    </w:p>
    <w:p w14:paraId="79FE73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Экспериментальные самолеты.</w:t>
      </w:r>
    </w:p>
    <w:p w14:paraId="31A2E8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СК-2 М-32 или М-34.</w:t>
      </w:r>
    </w:p>
    <w:p w14:paraId="51D148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Расчетные данные показали невыгодность установки М-34. Отсутствие М-32 и неясность другого типа мотора создают замедленные темпы в работе. Готовность проектирования выражается в октября производства - в 15%.</w:t>
      </w:r>
    </w:p>
    <w:p w14:paraId="64CF2D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ВС-2М22.</w:t>
      </w:r>
    </w:p>
    <w:p w14:paraId="7B21BE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p w14:paraId="588D9A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находится в стадии проектирования.</w:t>
      </w:r>
    </w:p>
    <w:p w14:paraId="4B60E8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 2М34.</w:t>
      </w:r>
    </w:p>
    <w:p w14:paraId="5FC802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p w14:paraId="1707AA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в процессе проектирования и постройке отдельных частей. Готовность проектирования выражается в 70%, производства - 20%.</w:t>
      </w:r>
    </w:p>
    <w:p w14:paraId="1C302E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зав. испытания - 1/VI-34 г. Гос. исп. - 1/VII-34 г.</w:t>
      </w:r>
    </w:p>
    <w:p w14:paraId="7F6274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ДИ-6 ВЦ.</w:t>
      </w:r>
    </w:p>
    <w:p w14:paraId="7F2871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w:t>
      </w:r>
    </w:p>
    <w:p w14:paraId="4D9949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Представленный эскизный проект не удовлетворяет потребность ВВС, кот. решено использовать в качестве легкого...</w:t>
      </w:r>
    </w:p>
    <w:p w14:paraId="0CAD2E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Готовность в проектировании выражается в 30%, производство не начато. Окончание проектирования намечено в XII-с.г.</w:t>
      </w:r>
    </w:p>
    <w:p w14:paraId="6AD4E9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К7-7М34.</w:t>
      </w:r>
    </w:p>
    <w:p w14:paraId="050FBF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p w14:paraId="482F9B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Заводские испытания проводятся с уменьшенным (29 т.) весом из-за ненадежности колес "Пальмер". Отсутствие удовлетворительных баллонных колес и отсутствие проверенных и испытанных..... советских колес служат задержкой заводских испытаний.</w:t>
      </w:r>
    </w:p>
    <w:p w14:paraId="6564D5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СР-1 М-58.</w:t>
      </w:r>
    </w:p>
    <w:p w14:paraId="685005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Находится в стадии проектирования. Эскизный проект переработан. Готовность проектирования выражается в 10%.</w:t>
      </w:r>
    </w:p>
    <w:p w14:paraId="60FF8F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Из-за отсутствия мотора М-58 предположено выпустить на гос. испытания самолет с Р.Ц. к 1/Х-34 г.</w:t>
      </w:r>
    </w:p>
    <w:p w14:paraId="473931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w:t>
      </w:r>
    </w:p>
    <w:p w14:paraId="78339D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p w14:paraId="6F33E7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Ведутся изыскания и исследовательские работы в части применения высокосортных сталей и легкости конструкции. Изготовляется планер для исследовательских работ. Готовность проектирования выражается в 5%. Готовности планера в производстве - 47%.</w:t>
      </w:r>
    </w:p>
    <w:p w14:paraId="354175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С.С. М11.</w:t>
      </w:r>
    </w:p>
    <w:p w14:paraId="2B4928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w:t>
      </w:r>
    </w:p>
    <w:p w14:paraId="30B4DF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экземпляр выполнен в производстве на 30%. Проектирование закончено. Задерживается отсутствием мотора с нагнетателем.</w:t>
      </w:r>
    </w:p>
    <w:p w14:paraId="25E46B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Л.К. М11.</w:t>
      </w:r>
    </w:p>
    <w:p w14:paraId="470070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w:t>
      </w:r>
    </w:p>
    <w:p w14:paraId="76EA8B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выполнено на 70%. Окончание проектирования намечено в XII-с.г. Окончание постройки - 1/IV-34 г.</w:t>
      </w:r>
    </w:p>
    <w:p w14:paraId="1F058C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Р.К. М11.</w:t>
      </w:r>
    </w:p>
    <w:p w14:paraId="32E39A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w:t>
      </w:r>
    </w:p>
    <w:p w14:paraId="609A7E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производстве выполнен на 30%. Проектирование закончен на 60%. Срок выхода на заводские испытания - 1/III-34 г.</w:t>
      </w:r>
    </w:p>
    <w:p w14:paraId="21EC41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Геликоптер.</w:t>
      </w:r>
    </w:p>
    <w:p w14:paraId="7F87FA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p w14:paraId="1E942B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Ведутся экспериментальные работы по усовершенствованию ротора и исследовательские работы по улучшению устойчивости аппарата.</w:t>
      </w:r>
    </w:p>
    <w:p w14:paraId="354DAB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Автожир-М22.</w:t>
      </w:r>
    </w:p>
    <w:p w14:paraId="7FBCCD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p w14:paraId="092ED9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Заканчивается постройкой и 1/I-34 г. должен выйти на заводские испытания.</w:t>
      </w:r>
    </w:p>
    <w:p w14:paraId="65591D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У3-М48.</w:t>
      </w:r>
    </w:p>
    <w:p w14:paraId="26D5E8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23.</w:t>
      </w:r>
    </w:p>
    <w:p w14:paraId="775382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Эскизный проект рассмотрен и производится дальнейшее проектирование. Готовность - 10%.</w:t>
      </w:r>
    </w:p>
    <w:p w14:paraId="59BCEA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Самолеты, не значащиеся в плане РВС СССР.</w:t>
      </w:r>
    </w:p>
    <w:p w14:paraId="3F8F2D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И16-М22.</w:t>
      </w:r>
    </w:p>
    <w:p w14:paraId="72D12F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w:t>
      </w:r>
    </w:p>
    <w:p w14:paraId="5E0D0E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выхода на заводские испытания - 1/I-34 г. Самолет закончен проектированием и находится в производстве. Основные детали готовы и в настоящее время ведется монтаж. Готовность в производстве - 60%.</w:t>
      </w:r>
    </w:p>
    <w:p w14:paraId="35FD7C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И16 - дублер.</w:t>
      </w:r>
    </w:p>
    <w:p w14:paraId="589A62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w:t>
      </w:r>
    </w:p>
    <w:p w14:paraId="35C25F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в процессе проектирования и заготовки деталей. Готовность проектирования - 35%, в производстве - 10%.</w:t>
      </w:r>
    </w:p>
    <w:p w14:paraId="7CE06E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Л.Р.-М34-дублер.</w:t>
      </w:r>
    </w:p>
    <w:p w14:paraId="48F5E9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Заканчивается сборка. Готовность - 95%. Самолет выйдет на заводские испытания 1/XII-с.г.</w:t>
      </w:r>
    </w:p>
    <w:p w14:paraId="1D165F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МБР5-М34.</w:t>
      </w:r>
    </w:p>
    <w:p w14:paraId="7E6C7D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Находится в стадии проектирования. Готовность проектирования - 5%. Срок выхода на зав. испытания - ноябрь 1934 г.</w:t>
      </w:r>
    </w:p>
    <w:p w14:paraId="231440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p w14:paraId="5B0B69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p w14:paraId="5FDAAC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Улучшенный аэродинамически и облегченный по весу самолет прошел предварительные заводские испытания. Показал улучшенные данные. Внесенные изменения передаются на завод N 22.</w:t>
      </w:r>
    </w:p>
    <w:p w14:paraId="631432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..12-2М22.</w:t>
      </w:r>
    </w:p>
    <w:p w14:paraId="18EF83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p w14:paraId="378EE9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снят с плана, но ввиду больших затраченных на него работ, предполагается его закончить во вне плановом порядке. Готовность проектирования выражается в 100%, производство - 78%.</w:t>
      </w:r>
    </w:p>
    <w:p w14:paraId="009A79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ХАИ-1-М22.</w:t>
      </w:r>
    </w:p>
    <w:p w14:paraId="413B08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w:t>
      </w:r>
    </w:p>
    <w:p w14:paraId="10C45B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Переработка в военный вариант производится группой ХАИ на заводе N 21. Опытный образец намечается на VI-34 г.</w:t>
      </w:r>
    </w:p>
    <w:p w14:paraId="580749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ЦКБ-М49.</w:t>
      </w:r>
    </w:p>
    <w:p w14:paraId="2A95A2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N 39.</w:t>
      </w:r>
    </w:p>
    <w:p w14:paraId="497FCB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закончено на 30%. Срок окончания проектирования намечается на 1/I-34 г. Из-за отсутствия мотора М-49 предполагается установить М-22.</w:t>
      </w:r>
    </w:p>
    <w:p w14:paraId="46A50B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ЦКБ-М-48.</w:t>
      </w:r>
    </w:p>
    <w:p w14:paraId="44C932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производстве выполнен на 25%. Проектирование - 95%. Срок выхода на заводские испытания - 15/II-35 г.</w:t>
      </w:r>
    </w:p>
    <w:p w14:paraId="759DEA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ТШ-3-дублер.</w:t>
      </w:r>
    </w:p>
    <w:p w14:paraId="463F22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 39.</w:t>
      </w:r>
    </w:p>
    <w:p w14:paraId="7F1452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Проектированием закончен на 95%, готовность в производстве - 35%. Выход на заводские испытания - 1/VI-34 г.</w:t>
      </w:r>
    </w:p>
    <w:p w14:paraId="49B825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 Модификация в скоростной почтовый. В начальной стадии проектирования.</w:t>
      </w:r>
    </w:p>
    <w:p w14:paraId="387573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p w14:paraId="0CEF03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на 15-20 человек. В начальной стадии проектирования.</w:t>
      </w:r>
    </w:p>
    <w:p w14:paraId="486642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КАИ-1-2М11.</w:t>
      </w:r>
    </w:p>
    <w:p w14:paraId="161FA0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КАИ.</w:t>
      </w:r>
    </w:p>
    <w:p w14:paraId="566F73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и в военном варианте учебно-тренировочный для подготовки летсостава на многомоторных самолетах.</w:t>
      </w:r>
    </w:p>
    <w:p w14:paraId="0CA950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выражается в 95%. Производство в начальной стадии. Срок выхода испытания - 1/III-34 г.</w:t>
      </w:r>
    </w:p>
    <w:p w14:paraId="567EAA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МАИ-1.</w:t>
      </w:r>
    </w:p>
    <w:p w14:paraId="5464BE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МАИ.</w:t>
      </w:r>
    </w:p>
    <w:p w14:paraId="37E190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Электронный, пассажирский на 4 места. Проведены большие экспериментальные работы по технологии и изысканию конструкции из электрона. Разрабатываются чертежи и нач. производ. Срок выхода на испытания - 1/IV-34 г.</w:t>
      </w:r>
    </w:p>
    <w:p w14:paraId="6382C6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МАИ-2.</w:t>
      </w:r>
    </w:p>
    <w:p w14:paraId="2AF65E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нержавеющей стали. Рекордный на скорость и дальность. В производстве детали и узлы. Срок выхода на испытания - 1/III-34 г.</w:t>
      </w:r>
    </w:p>
    <w:p w14:paraId="488CE3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М.Г.-8М34.</w:t>
      </w:r>
    </w:p>
    <w:p w14:paraId="600087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p w14:paraId="0F5870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выполнено на 90%, производство на 58%. Военный вариант проектированием закончен. Срок выхода на испытания - 1/V-34 г.</w:t>
      </w:r>
    </w:p>
    <w:p w14:paraId="4ED96F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Глиссер 6 Г.</w:t>
      </w:r>
    </w:p>
    <w:p w14:paraId="069286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w:t>
      </w:r>
    </w:p>
    <w:p w14:paraId="3E3321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производстве начаты мелкие опытные работы. Готовность -4%.</w:t>
      </w:r>
    </w:p>
    <w:p w14:paraId="4A9BF6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Р.Д.-М34 - 2 экземпляра прошли заводские испытания и сданы экипажу.</w:t>
      </w:r>
    </w:p>
    <w:p w14:paraId="5C4A38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Краткие выводы.</w:t>
      </w:r>
    </w:p>
    <w:p w14:paraId="26636C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Закончены постройкой в 1933 г. (ТБ3-4М34; ТБ3-4М34 Р; ТБ3-4М17 улучшенный; Р.Д.; МИ3-2М34; И14-Б.М.; Л.Р.-М34; И15-Р.Ц.; МБР4-М34; ТБ4-6М34; ХАИ-1; Р.Д. дублер; К-7; А-2; А-4; Геликоптер) - 13 самолетов, 2 автожира и 1 геликоптер.</w:t>
      </w:r>
    </w:p>
    <w:p w14:paraId="4F3C34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Заканчиваются постройкой (Л.Р. - дублер; И15 - дублер; МИ3 - дублер; А-7-М22) - 3 самолета и 1 автожир.</w:t>
      </w:r>
    </w:p>
    <w:p w14:paraId="53AF6D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Сданы на гос. испытания (ТБ3-4М34; ТБ3-4М34Р; ТБ4-6М34; РД-М34; РД-М34 дубл.; А-4) - 5 самолетов и 1 автожир.</w:t>
      </w:r>
    </w:p>
    <w:p w14:paraId="0C08A7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Находится в постройке и проектировании (МК-1, МДР-4, И14 дубл., М.Г., ДИП, СК, И12, И-16, ТШ-3, ЦКБ-М48, ЦКБ-М49, С.С.-М34, Л.К.-М11, Р.К.-М11, ДИ-6, С.Р., ТБ-6, У3-М48, МБР-5, КАИ-1, МАИ-1, МАИ-2) - 22 самолета.</w:t>
      </w:r>
    </w:p>
    <w:p w14:paraId="43028E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Внедряется в серийное производство (МК, МДР4, И14, Л.Р., ТБ4-8М34, МИ-3, ХАИ-1, АНТ-14 воен. вар., МБР-2) - 9 самолетов.</w:t>
      </w:r>
    </w:p>
    <w:p w14:paraId="5415B8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Всех опытных и экспериментальных объектов с дублерами находились в работе - 50 экземпляров (2287,143).</w:t>
      </w:r>
    </w:p>
    <w:p w14:paraId="6059CA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FABA6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13 декабря 1933 года Начальник НИИ ВВС утвердил Отчет</w:t>
      </w:r>
    </w:p>
    <w:p w14:paraId="271F99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полигонным (государственным) испытаниям торпеды высокого торпедометания образца 1912 года (ТАВ-12).</w:t>
      </w:r>
    </w:p>
    <w:p w14:paraId="024705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Начато - 24 июня 1933 года</w:t>
      </w:r>
    </w:p>
    <w:p w14:paraId="79B5F2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Окончено - 13 ноября 1933 года.</w:t>
      </w:r>
    </w:p>
    <w:p w14:paraId="5426A8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Краткий результат испытаний.</w:t>
      </w:r>
    </w:p>
    <w:p w14:paraId="6A1628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ТАВ-12 выдержала.</w:t>
      </w:r>
    </w:p>
    <w:p w14:paraId="6F12A3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образца.</w:t>
      </w:r>
    </w:p>
    <w:p w14:paraId="390F6D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ТАВ-12 (торпеда авиационная высотная образца 1912 года) (3053).</w:t>
      </w:r>
    </w:p>
    <w:p w14:paraId="1FD97E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5CB38C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04D0FDE"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76683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декабря 1933 года начальником штаба РККА А.И. Егоровым (будущий Маршал Советского Союза, казнен в 1938 году) был утвержден "Перечень тем для оперативной подготовки начсостава Военно-Химического Управления РККА на 1933-1934 уч.год". Темы вроде бы обычные: оперативная игра "Наступление Ударной армии против пр-ка перешедшего к обороне". Без химии, понятно, не обойтись: "1.Составление плана использования химсредств в течение всей армейской операции. 2.Выявить необходимые химические средства для содействия прорыву. 3.То же - для содействия наступлению на всю глубину армейской операции. 4.То же - для эшелона развития прорыва. 5.Определить количество ОВ, используемых с помощью авиации и отдельно хим.частями". Другая тема вроде как оборонительная: армейская оборона и отход армии на новый рубеж - тоже с химией: применение ОВ авиацией и химчастями для срыва подготовки противника к наступлению (не наступления, а лишь подготовки к нему!), создание полос химзаграждения (т.е. отработка широкомасштабного заражения местности)... Но самое главное не это, а четко прописанные районы будущего применения ОВ: химическое наступление - "Территория ПОЛЬШИ севернее Полесья".</w:t>
      </w:r>
    </w:p>
    <w:p w14:paraId="32D751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Обороняться при помощи химии должны были тоже не у себя дома: "Территория ПОЛЬШИ южнее Полесья". Если учесть, что тыловая военная игра отрабатывалась лишь к первой теме, то замысел предельно ясен: фактически перед нами план нападения на Польшу с широкомасштабным использованием ОВ. Севернее Полесья - прорыв, южнее - оборона (там практически невозможно было наступать - болота, но обезопасить себя на случай удара во фланг наступающей группировки надо было) (9633).</w:t>
      </w:r>
    </w:p>
    <w:p w14:paraId="096CF5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53999BF" w14:textId="24E1DDCA" w:rsidR="00020DA2" w:rsidRPr="0044524F" w:rsidRDefault="00020DA2"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Армия:</w:t>
      </w:r>
    </w:p>
    <w:p w14:paraId="379B40A2" w14:textId="77777777" w:rsidR="00020DA2" w:rsidRPr="0044524F" w:rsidRDefault="00020DA2"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08064562" w14:textId="77777777" w:rsidR="00020DA2" w:rsidRPr="0044524F" w:rsidRDefault="00020DA2"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lang w:eastAsia="ru-RU"/>
        </w:rPr>
        <w:t>Не ранее 13 декабря 1933 был подготовлен Проект доклада Народного Комиссара по Военным и Морским Делам Ворошилова в Комиссию Обороны СССР "О развитии РККА во вторую пятилетку".</w:t>
      </w:r>
    </w:p>
    <w:p w14:paraId="73A08083"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Для определения масштабов строительства РККА и ее мобилизационного развертывания на конец пятилетки, как и прежде, привлекались сведения о масштабе развертывания вооруженных сил соседних государств. Отныне они все именовались "вероятными ближайшими противниками" и были сгруппированы по трем направлениям: Запад (Польша, Румыния, Финляндия, Эстония, Латвия, Литва), Дальний Восток (Япония, Маньчжоу-Го), Ближний и Средний Восток (Персия, Турция, Афганистан). К 1938 г. на первом из них предполагалось развертывание 3,4-миллионной армии с 3 тыс. самолетов и 2,8 тыс. танков. Всего соседними государствами, по оценке Штаба РККА, в 1938 г. могло быть выставлено по мобилизации 6 900 000 человек, 6600 самолетов и 6000 танков (122 стрелковые дивизии, 7 стрелковых бригад, 5 кавалерийских дивизий и 24 кавалерийские бригады) (Проект доклада Народного Комиссара по Военным и Морским Делам Ворошилова в Комиссию Обороны СССР "О развитии РККА во вторую пятилетку", [не ранее 13]. 12.1933 (с визой А И. Егорова от 13.12.1933) // РГВА, Ф. 40442. Оп. 2. Д 32. Л. 103. Десятью годами ранее, но оценке IV Управления Штаба РККА, соседние с СССР страны были способны мобилизовать 6 010 000 человек, 785 танков, 2110 самолетов (доклад IV Управления Штаба РККА "Военная подготовка против СССР и основные вопросы усиления обороны", октябрь 1928 // РГА ВМФ. Ф. Р-1483- Oп. 1. Д. 51. Л. 72-73)). В подсчетах была учтена не только одна танковая рота афганской армии, но и не фигурировавшие ранее в материалах о вероятных противниках шесть стрелковых дивизий Литвы. Особенно внушительно выглядело внесение в список Турции, до 1935-1936 гг. поддерживавшей доверительные военно-политические отношения с СССР. В действительности большая часть танков, отнесенных к силам, которые будут противостоять Красной Армии в 1938 г., была предоставлена Турции СССР (</w:t>
      </w:r>
      <w:bookmarkStart w:id="54" w:name="_Hlk95909848"/>
      <w:r w:rsidRPr="0044524F">
        <w:rPr>
          <w:rFonts w:ascii="Times New Roman" w:eastAsia="Times New Roman" w:hAnsi="Times New Roman"/>
          <w:color w:val="000000" w:themeColor="text1"/>
          <w:sz w:val="16"/>
          <w:szCs w:val="16"/>
          <w:lang w:eastAsia="ru-RU"/>
        </w:rPr>
        <w:t xml:space="preserve">В 1934 г. Политбюро утвердило поставки Анкаре 63 танков Т-26, 43 бронеавтомобилей, снарядов к ранее проданным тяжелым гаубицам и т. п. (Протокол № 12 заседания Политбюро ЦК ВКП(б), 25 августа 1934 г. (особый), п. 94 // РГА СПИ. Ф. 17. Оп. 162. Д 17. Л. 7, 16; Протокол № 15 заседания Политбюро ЦК ВКП(б), 23 октября 1934 г. (особый), п. 264 // Там же. Л. 62; Протокол № 12 заседания Политбюро ЦК ВКП(б), 13 ноября 1934 г. (особый), п. 77 // Там же. Л. 78). "На Ближнем Востоке, - заявил Ворошилов в январе 1934 г., - у нас обстоит все отлично. Наши отношения с Турецкой республикой самые дружеские" (XVII съезд Всесоюзной Коммунистической партии (б), 26 января - 10 февраля 1934: Стенографический отчет. М., 1934 С. 235). </w:t>
      </w:r>
      <w:bookmarkEnd w:id="54"/>
      <w:r w:rsidRPr="0044524F">
        <w:rPr>
          <w:rFonts w:ascii="Times New Roman" w:eastAsia="Times New Roman" w:hAnsi="Times New Roman"/>
          <w:color w:val="000000" w:themeColor="text1"/>
          <w:sz w:val="16"/>
          <w:szCs w:val="16"/>
          <w:lang w:eastAsia="ru-RU"/>
        </w:rPr>
        <w:t>На вооруженные силы Турции приходилось не менее 15% расчетной численности "вероятных ближайших противников Красной Армии".).</w:t>
      </w:r>
    </w:p>
    <w:p w14:paraId="6F6F1F78"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Ссылки на вооружения дружественной Турции и Литвы, не имевшей с Советским Союзом общей границы и находившейся под его политическим покровительством (См., в частности: Кокошин А А. Армия и политика: Советская военно-политическая и военно-стратегическая мысль, 1918-1991 годы. М., 1995. С. 95. Сгущая краски в записке Ворошилову 25 февраля 1935 г., Тухачевский тем не менее полагал, что Литва явится союзником СССР и Западный фронт должен предусмотреть операции "по поддержке литовской армии против действий польско-германских частей" (с. 7)), показывают, что при подготовке доклада допускалась нe только произвольно-пессимистическая трактовка существующих межгосударственных отношений, но и отступление oт чисто гeoграфических критериев определения "вероятных ближайших противников". На польско-германской границе официальная стратегическая мысль замирала. Перенесясь через Германию, она возобновляла свой полет: "Кроме того, необходимо учитывать, что непосредственные соседи по западной границе могут получить в первый же период войны с СССР активную поддержку от крупных империалистических государств (Франция, Англия) в виде мотомеханизированных войск и авиацию. В справочных материалах Штаба РККА фигурировали также сведения о Франции и "Англо-индийской армии" (Проект доклада Народного Комиссара по Военным и Морским Делам Ворошилова в Комиссию Обороны СССР "О развитии РККА во вторую пятилетку", [не ранее 13]. 12.1933 // Там же. Л. 135).</w:t>
      </w:r>
    </w:p>
    <w:p w14:paraId="15171E6E"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Направление защиты международного статус-кво от посягательств на него со стороны Германии и других стран, заинтересованных в пересмотре итогов Великой войны, не получила явного выражения не только в первом, но и во втором (датированном 13 декабря 1933 г.) проекте Штаба РККА. В них отсутствовали указания если не на "возникновение второго очага войны" или "германскую угрозу", то по крайней мере на необходимость учесть быстрое восстановление военно-индустриальной мощи Германии</w:t>
      </w:r>
    </w:p>
    <w:p w14:paraId="32F721BA"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"Вторым фактором, определяющим объем развертывания РККА", называлась "необходимость содержания на Дальнем Востоке и по западной границе авиационных и механизированных соединений в штатах, близких к рамкам военного времени", а также "сильных частей прикрытия в виде кадровых дивизий, стрелковых и кавалерийских, в организационном составе также близких к военному времени; частей ПВО и укрепленных районов"42. Эта необходимость "вытекает из характера современной международной обстановки, когда СССР может подвергнуться нападению со стороны вероятных противников без всякого объявления войны". С другой стороны, "основные рода войск, содержащиеся в мирное время в уменьшенном составе как части первого эшелона развертывающейся армии, позволят РККА не только отразить внезапное нападение, но уже в начальный период войны захватить в свои руки инициативу и нанести противнику решительное поражение" (Доклад Начальника Штаба РККА Егорова Народному Комиссару по Военным и Морским Делам Ворошилову "О развитии РККА во вторую пятилетку", 13.12.1933 // Там же. Л. 104).</w:t>
      </w:r>
    </w:p>
    <w:p w14:paraId="4DD5A626"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Из "достигнутых успехов" и "оперативных расчетов", по логике Штаба РККА, вытекали следующие "основные задачи второго пятилетнего плана строительства РККА":</w:t>
      </w:r>
    </w:p>
    <w:p w14:paraId="1853E7E2"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"а) закрепление за СССР первого места в мире по всем решающим видам средств борьбы - авиации, танкам, артиллерии, на базе завершения технической реконструкции и перевооружения всех ее родов войск современной боевой техникой; б) по своему масштабу военного времени Красная Армия должна быть в состоянии вести борьбу с любой коалицией мировых капиталистических держав и нанести армиям этих держав решительный и сокрушительный удар и поражение" (Доклад Начальника Штаба РККА Егорова Народному Комиссару по Военным и Морским Делам Ворошилову "О втором пятилетнем плане развития РККА", 30.03/02.04.1933 //Там же. Л. 2-3.).</w:t>
      </w:r>
    </w:p>
    <w:p w14:paraId="65F3880A"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Для выполнения этой задачи предусматривалось два главных средства: усиление боевых качеств армии мирного времени и наращивание сил развертываемой по мобилизации армии. "В основу строительства армии мирного времени должно быть положено:</w:t>
      </w:r>
    </w:p>
    <w:p w14:paraId="4AB6D7A6"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 Содержание авиационных и механизированных соединений Дальнего Востока и западной границы в постоянной боеготовности и близко к штатам военного времени.</w:t>
      </w:r>
    </w:p>
    <w:p w14:paraId="637BEA59"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 Содержание на главнейших направлениях западной границы и Дальнего Востока сильных частей прикрытия в составе: а) кадровых стрелковых дивизий; б) конницы, по составу и организации близкой к военному времени; в) частей ПВО; г) укрепленных районов" (Доклад Начальника Штаба РККА Егорова Народному Комиссару по Военным и Морским Делам Ворошилову "О втором пятилетнем плане развития РККА", 30.03/02.04.1933 //Там же. Л. 34-35.).</w:t>
      </w:r>
    </w:p>
    <w:p w14:paraId="23DA3984"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Штаб РККА предлагал в 1938 г. иметь в армии мирного времени не предусмотренные по мобилизации соединения военно-воздушных сил (16 тяжелых, 10 легкобомбардировочных, 12 штурмовых и 15 истребительных бригад), механизированных и танковых войск (6 механизированных корпусов, 10 отдельных мехбригад, 10 отдельных танковых бригад), стратегической конницы (22 дивизии) и противовоздушной обороны (3 дивизии и 5 бригад). 92 стрелковых соединения мирного </w:t>
      </w:r>
      <w:r w:rsidRPr="0044524F">
        <w:rPr>
          <w:rFonts w:ascii="Times New Roman" w:eastAsia="Times New Roman" w:hAnsi="Times New Roman"/>
          <w:color w:val="000000" w:themeColor="text1"/>
          <w:sz w:val="16"/>
          <w:szCs w:val="16"/>
          <w:lang w:eastAsia="ru-RU"/>
        </w:rPr>
        <w:lastRenderedPageBreak/>
        <w:t>времени (25 кадровых и 47 территориальных дивизий и 20 стрелковых дивизий или бригад укрепрайонов) при мобилизации должны были быть дополнены 68 новыми дивизиями. По сравнению с действующим МР-11 число кавалерийских соединений сокращалось на 7 бригад, а количество стрелковых дивизий возрастало со 144 до 164°. Общая численность РККА мирного времени должна была остаться в пределах 850 тыс. человек, т. е. снизиться по сравнению с фактически достигнутой и предусмотренной на начало 1934 г. Личный состав армии военного времени по мобрасписанию № 18 (1938 г.) предлагалось незначительно увеличить по сравнению с MP-15 (1935 г.). Ее состав определялся в 4700 тыс. человек, а формирования первого года войны - в 600 тыс. человек.</w:t>
      </w:r>
    </w:p>
    <w:p w14:paraId="05DD46FC"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Главные сдвиги предусматривались в области технических родов войск (по мобрасписанию № 11 выставлялась, например, лишь одна мехбригада), что подкрепляли данные о потребностях РККА по варианту MP-18 (см. табл. 8) (Доклад Начальника Штаба РККА Егорова Народному Комиссару по Военным и Морским Делам Ворошилову "О втором пятилетнем плане развития РККА", 30.03/02.04.1933 //Там же. Л. 42-44.).</w:t>
      </w:r>
    </w:p>
    <w:p w14:paraId="14F8F6B5"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ТАБЛИЦА 8</w:t>
      </w:r>
    </w:p>
    <w:p w14:paraId="2E1D4A55"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Расчет потребностей и заказов НКВМ по мобилизационному расписанию № 18</w:t>
      </w:r>
    </w:p>
    <w:p w14:paraId="34B96AC8"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Номенклатура Наличие на 1 января 1934 г. (с учетом плана заказов 1933 г.) Потребность по варианту № 18 Необходимо заказать за 4 года (1934-1937) (с учетом убыли, амортизации и перевооружения)</w:t>
      </w:r>
    </w:p>
    <w:p w14:paraId="48425492"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Самолеты в строю 4200 7500 6500</w:t>
      </w:r>
    </w:p>
    <w:p w14:paraId="33B33DAE"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в западных частях в вузах 3800 5000 2500</w:t>
      </w:r>
    </w:p>
    <w:p w14:paraId="7E52117A"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Авиабомбы (тыс. т) 26 125 100</w:t>
      </w:r>
    </w:p>
    <w:p w14:paraId="2D756A49"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Танки всех типов 8300 18 000 18 000</w:t>
      </w:r>
    </w:p>
    <w:p w14:paraId="0C7B3AD4"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том числе запасных и учебных по MP-18 3000</w:t>
      </w:r>
    </w:p>
    <w:p w14:paraId="6E8C955A"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Автомобили 167 000 200 000 40 000 (остальные 150 тыс. - изъятие из народного хозяйства)</w:t>
      </w:r>
    </w:p>
    <w:p w14:paraId="224AA2B2"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Гусеничные тракторы 1400 15000 5000 (остальные 10 тыс. - изъятие по мобилизации из народного хозяйства)</w:t>
      </w:r>
    </w:p>
    <w:p w14:paraId="24504A07"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Орудия) (без морских) 21 500 50 300 32 800</w:t>
      </w:r>
    </w:p>
    <w:p w14:paraId="3734AD55"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том числе:</w:t>
      </w:r>
    </w:p>
    <w:p w14:paraId="7AEA77F5"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-мелких калибров 7800 26 400 21500</w:t>
      </w:r>
    </w:p>
    <w:p w14:paraId="1008E94B"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-средних калибров 13400 23 200 10800</w:t>
      </w:r>
    </w:p>
    <w:p w14:paraId="40EA9C51"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крупных и тяжелых 270 740 500</w:t>
      </w:r>
    </w:p>
    <w:p w14:paraId="037BA081"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Выстрелы всего (без морских) (тыс.) 21 140 44 800 24 300</w:t>
      </w:r>
    </w:p>
    <w:p w14:paraId="38C91682"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Винтовки (тыс.) 2 540 3 200 700</w:t>
      </w:r>
    </w:p>
    <w:p w14:paraId="1571420F"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Пулеметы (тыс.) 171 272 120</w:t>
      </w:r>
    </w:p>
    <w:p w14:paraId="35000235"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Винтпатроны (млн) 2425 5000 3000</w:t>
      </w:r>
    </w:p>
    <w:p w14:paraId="5C616D0A"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Одновременно Штаб представлял проект мобзаявки НКВМ по основной номенклатуре снабжения вооруженного фронта (см. табл. 9)48.</w:t>
      </w:r>
    </w:p>
    <w:p w14:paraId="20A104E8"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2 Планы строительства РККА и мобзаланий промышленности (1938 г.)</w:t>
      </w:r>
    </w:p>
    <w:p w14:paraId="5C45FDD0"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ТАБЛИЦА 9</w:t>
      </w:r>
    </w:p>
    <w:p w14:paraId="042703FC"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Мобилизационная заявка НКВМ на 1938 г. в сравнении с показателями на 1932 и 1933 гг.</w:t>
      </w:r>
    </w:p>
    <w:p w14:paraId="67D091D8"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Номенклатура Лимиты на 1932 г. (подача года войны) Заявка по варианту 1933 г. Потребность года войны по MP-18</w:t>
      </w:r>
    </w:p>
    <w:p w14:paraId="4777E741"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Самолеты 7490 14 500 30 000</w:t>
      </w:r>
    </w:p>
    <w:p w14:paraId="5DEF9602"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Авиа6омбы (тыс. т) 100 200 500</w:t>
      </w:r>
    </w:p>
    <w:p w14:paraId="4B5AAC0F"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Пушки всех типов 19 800 40 000 45 000</w:t>
      </w:r>
    </w:p>
    <w:p w14:paraId="7087936A"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ОРУДИЯ 18022 28615 48 000</w:t>
      </w:r>
    </w:p>
    <w:p w14:paraId="1C2F2CCA"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Выстрелы (млн снарядов) 46.5 84 170</w:t>
      </w:r>
    </w:p>
    <w:p w14:paraId="58D60EC8"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Таким образом, по сравнению с набросками НКВМ весны - начала лета 1932 г. требования военных по заказам мирного времени и подготовке производственных мощностей на военное время существенно снизились в отношении артиллерийских орудий, снарядов и винтпатронов, а в отношении авиации - с 32 до 30 тыс. машин. Заявка на подачу года войны на 1938 г. при этом возрастала по пушкам (с 40 до 45 тыс.) и авиабомбам (с 400 тыс. до 500 тыс. т). Учитывая крайнюю завышенность первоначальных претензий НКВМ па обеспечение вооруженного фронта в 1938 г., происшедший сдвиг в сторону их уменьшения нельзя признать победой реализма. Все основные показатели мобилизационной заявки оказались выше верхнего предела развития мощностей по производству вооружения, исчисленных СО Госплана по первому варианту (т. е. при игнорировании лимитов на капитальные вложения в промышленность). Представленные в докладе Штаба данные были фактически ориентированы на исполнение решений Комиссии обороны (по авиации, танкам, пороху, снарядам и проч.), которые были приняты в период расцвета авантюризма в оборонном и общеэкономическом планировании - во второй половине 1931 и начале 1932 г.</w:t>
      </w:r>
    </w:p>
    <w:p w14:paraId="270200D9"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финансовом выражении подготовка РККА к мобилизации по варианту № 18 предполагала, согласно проекту Штаба, увеличение расходов по военному ведомству до 25,5 млрд руб. на предстоящие 1934-1937 гг. (т. е. до 6,4 млрд в среднем за год, что на 66% превосходило уровень 1933 г. (4,7 млрд руб.)). При этом уровень годовых расходов на строительство казарм, складов и т. д. снижался, а на оборонительное строительство оставался неизменным ("В основном строительство укрепрайонов в части железобетонных работ, надо считать законченным и по ОКДВА будет закончено в 1933-1934 гг., - констатировал Егоров. - В первые два года пятилетки 1933-й и 1934-й гг. усилия должны быть направлены на приведение укрепрайонов в полную боевую готовность путем полного их вооружения, а также производства всех видов инженерно-полевых работ... проведения планировочных работ, постройки передовых позиций и постановки на главнейших направлениях сильной сети проволочных заграждений" (То же. Л. 31 а)). Среднегодовые ассигнования на содержание армии увеличивались менее чем на 9%. Общий рост, таким образом, вызывался преимущественно заказами на новые вооружения, на что адресовалась половина ассигнований (13,2 млрд руб. за четыре года). В среднегодовом исчислении расходы на новую технику возрастали на 57% но сравнению с последним (и самым затратным) годом первой пятилетки (Подсчитано по: То же. Л. 44-45).</w:t>
      </w:r>
    </w:p>
    <w:p w14:paraId="12E757C8" w14:textId="77777777" w:rsidR="00020DA2" w:rsidRPr="0044524F" w:rsidRDefault="00020DA2"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Декабрьский вариант Штаба РККА мог исполнятъ роль лишь предварительного баланса. В сопровождающем докладе Штаба проекте постановления Комиссии обороны военное ведомство просило только об издании общей директивы: "В соответствии с указанным объемом НКВМ осуществлять развитие вооруженных сил в период 1934-1938 гг." (Постановление Комиссии Обороны Союза ССР (проект), [не ранее 13]. 12.1933 // РГВА. Ф. 40442. Оп. 2. Д. 32. Л. 139). Как именно реагировало на эту просьбу высшее политическое руководство, сказать трудно; постановления КО относительно нового плана развития вооруженных сил неизвестны. Рассмотренный выше полуторагодовой процеcc его подготовки, по всей вероятности, совпадает с алгоритмом, описанным Н. Г. Кузнецовым (применительно к другой среднесрочной оборонной программе): "Так или иначе, первый вариант программы Наркомат обороны представил правительству... Внесли изменения, которые были предложены, снова доложили, получили добро" и приступили к делу, не дожидаясь уточнения деталей" (КУЗНЕЦОВ Н. Г. Накануне. М., 1966. С. 257) (22725).</w:t>
      </w:r>
    </w:p>
    <w:p w14:paraId="501F4A0E" w14:textId="77777777" w:rsidR="00020DA2" w:rsidRPr="0044524F" w:rsidRDefault="00020DA2" w:rsidP="009654CF">
      <w:pPr>
        <w:spacing w:after="0" w:line="240" w:lineRule="auto"/>
        <w:jc w:val="both"/>
        <w:rPr>
          <w:rFonts w:ascii="Times New Roman" w:hAnsi="Times New Roman"/>
          <w:color w:val="000000" w:themeColor="text1"/>
          <w:sz w:val="16"/>
          <w:szCs w:val="16"/>
        </w:rPr>
      </w:pPr>
    </w:p>
    <w:p w14:paraId="313D0663" w14:textId="77777777" w:rsidR="00EA41E4" w:rsidRPr="0044524F" w:rsidRDefault="00EA41E4"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D2ACF32" w14:textId="77777777" w:rsidR="00EA41E4" w:rsidRPr="0044524F" w:rsidRDefault="00EA41E4"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4B432EC" w14:textId="77777777" w:rsidR="007F05D7" w:rsidRPr="0044524F" w:rsidRDefault="007F05D7"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 декабря 1933 президент Франклин Д. Рузвельт делает пилота Northwest Airways Мэла Фрибурга первым обладателем Почетной медали авиапочты (20802).</w:t>
      </w:r>
    </w:p>
    <w:p w14:paraId="501266D1" w14:textId="77777777" w:rsidR="007F05D7" w:rsidRPr="0044524F" w:rsidRDefault="007F05D7" w:rsidP="009654CF">
      <w:pPr>
        <w:spacing w:after="0" w:line="240" w:lineRule="auto"/>
        <w:jc w:val="both"/>
        <w:rPr>
          <w:rFonts w:ascii="Times New Roman" w:hAnsi="Times New Roman"/>
          <w:color w:val="000000" w:themeColor="text1"/>
          <w:sz w:val="16"/>
          <w:szCs w:val="16"/>
        </w:rPr>
      </w:pPr>
    </w:p>
    <w:p w14:paraId="340AD57A" w14:textId="1DCC09A8"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EAC68A3"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736FB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декабря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4524F" w14:paraId="64DEB8D2" w14:textId="77777777">
        <w:tc>
          <w:tcPr>
            <w:tcW w:w="3757" w:type="dxa"/>
          </w:tcPr>
          <w:p w14:paraId="73555F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w:t>
            </w:r>
          </w:p>
        </w:tc>
        <w:tc>
          <w:tcPr>
            <w:tcW w:w="3757" w:type="dxa"/>
          </w:tcPr>
          <w:p w14:paraId="2D47EB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Глававиапром</w:t>
            </w:r>
          </w:p>
        </w:tc>
        <w:tc>
          <w:tcPr>
            <w:tcW w:w="3757" w:type="dxa"/>
          </w:tcPr>
          <w:p w14:paraId="3B2711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Объединенное бюро стандартизации (ОБСА)</w:t>
            </w:r>
          </w:p>
        </w:tc>
      </w:tr>
      <w:tr w:rsidR="004E10C1" w:rsidRPr="0044524F" w14:paraId="33997D4A" w14:textId="77777777">
        <w:tc>
          <w:tcPr>
            <w:tcW w:w="3757" w:type="dxa"/>
          </w:tcPr>
          <w:p w14:paraId="4F6544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Авиационный стандарт</w:t>
            </w:r>
          </w:p>
        </w:tc>
        <w:tc>
          <w:tcPr>
            <w:tcW w:w="3757" w:type="dxa"/>
          </w:tcPr>
          <w:p w14:paraId="7AFC18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3440C3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69 СТУ</w:t>
            </w:r>
          </w:p>
        </w:tc>
      </w:tr>
      <w:tr w:rsidR="004E10C1" w:rsidRPr="0044524F" w14:paraId="14CC1392" w14:textId="77777777">
        <w:tc>
          <w:tcPr>
            <w:tcW w:w="3757" w:type="dxa"/>
          </w:tcPr>
          <w:p w14:paraId="22684D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У-2 (санитарн.)</w:t>
            </w:r>
          </w:p>
        </w:tc>
        <w:tc>
          <w:tcPr>
            <w:tcW w:w="3757" w:type="dxa"/>
          </w:tcPr>
          <w:p w14:paraId="167814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17BEFB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w:t>
            </w:r>
          </w:p>
        </w:tc>
      </w:tr>
      <w:tr w:rsidR="004E10C1" w:rsidRPr="0044524F" w14:paraId="28D6BFD6" w14:textId="77777777">
        <w:tc>
          <w:tcPr>
            <w:tcW w:w="3757" w:type="dxa"/>
          </w:tcPr>
          <w:p w14:paraId="74178B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w:t>
            </w:r>
          </w:p>
        </w:tc>
        <w:tc>
          <w:tcPr>
            <w:tcW w:w="3757" w:type="dxa"/>
          </w:tcPr>
          <w:p w14:paraId="4648CD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71FA42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1-е издание (2100)</w:t>
            </w:r>
          </w:p>
        </w:tc>
      </w:tr>
    </w:tbl>
    <w:p w14:paraId="518A2E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D1BB3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декабря 1933 ЦАГИ заключил договор с заводом 125 им. И.В.С. (Иркутск) о передаче ему серийных чертежей И-14 (3110,22).</w:t>
      </w:r>
    </w:p>
    <w:p w14:paraId="6AC890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B4CD4EB"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D90F9F0"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D139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14 декабря 1933 г. по 19.февраля 1934 г. на НИАП из подрессоренной 76-мм пушки обр. 1930 г., разработанной на Мотовихихинском заводе под руководством Сидоренко, сделали 478 выстрелов. Дульный тормоз позволил сделать часть выстрелов новыми опытными утяжеленными снарядами весом 7,1 кг. Начальная скорость 673,4 м/с, дальность 13400 м. В ходе испытаний пружины иногда лопались, но система могла ходить длительное время со скоростью 25-30 км за танком Т-26. Тем не менее на 1934 год пушка Сидоренко была анахронизмом и дорабатывать ее не стали. Всего в 1933 году завод № 92 изготовил 10 пушек обр. 1930 года как подрессоренных, так и не подрессоренных (3861).</w:t>
      </w:r>
    </w:p>
    <w:p w14:paraId="5E9282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594CB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14 декабря 1933 г. по 19 февраля 1934 г. из модернизированной 76-мм пушки обр. 1902/30 г. длиной в 40 калибров с подрессориванием на НИАПе сделали 478 выстрелов. Дульный тормоз позволил сделать часть выстрелов новыми опытными утяжеленными снарядами весом 7,1 кг. Начальная скорость 673,4 м/с, дальность 13400 м. В ходе испытаний пружины иногда лопались, но система могла ходить длительное время со скоростью 25-30 км за танком-тягачом на базе Т-26. Тем не менее, на 1934 г. пушка Сидоренко была анахронизмом и дорабатывать ее не стали. Всего в 1933 г. завод № 92 изготовил 10 пушек обр. 1930 г. как подрессоренных, так и не подрессоренных (5746, 44).</w:t>
      </w:r>
    </w:p>
    <w:p w14:paraId="285FFF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55468E1"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декабря 1933 опросом членов ПБ</w:t>
      </w:r>
    </w:p>
    <w:p w14:paraId="42486F28"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68/43.- О моторах.</w:t>
      </w:r>
    </w:p>
    <w:p w14:paraId="6FDD2F44"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1.Заказать в Италии 50 морских моторов типа "АСС0-1000" фирмы "Изотта-Фраскини" для торпедных катеров с необходимым комплектом запасных частей.</w:t>
      </w:r>
    </w:p>
    <w:p w14:paraId="136B2676"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Приобрести в Италии у фирмы "Гарелли” 50 мотоксмпрессоров авиационного типа.</w:t>
      </w:r>
    </w:p>
    <w:p w14:paraId="10AF3FEE"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3.Обязать тов.Розенгольца и т.Орлова в те</w:t>
      </w:r>
      <w:r w:rsidRPr="0044524F">
        <w:rPr>
          <w:rFonts w:ascii="Times New Roman" w:hAnsi="Times New Roman"/>
          <w:color w:val="000000" w:themeColor="text1"/>
          <w:sz w:val="16"/>
          <w:szCs w:val="16"/>
        </w:rPr>
        <w:softHyphen/>
        <w:t>чении десяти дней разместить эти заказы.</w:t>
      </w:r>
    </w:p>
    <w:p w14:paraId="2E3456BE"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Розенгольцу, Ворошилову, Орлову.</w:t>
      </w:r>
    </w:p>
    <w:p w14:paraId="28F0833A"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состоялось заседание ПБ и был оформлен протокол № 151 (23001).</w:t>
      </w:r>
    </w:p>
    <w:p w14:paraId="2DE7177F" w14:textId="77777777" w:rsidR="0009760C" w:rsidRPr="0044524F" w:rsidRDefault="0009760C" w:rsidP="009654CF">
      <w:pPr>
        <w:spacing w:after="0" w:line="240" w:lineRule="auto"/>
        <w:jc w:val="both"/>
        <w:rPr>
          <w:rFonts w:ascii="Times New Roman" w:hAnsi="Times New Roman"/>
          <w:color w:val="000000" w:themeColor="text1"/>
          <w:sz w:val="16"/>
          <w:szCs w:val="16"/>
        </w:rPr>
      </w:pPr>
    </w:p>
    <w:p w14:paraId="05D387F2"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F131280"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9B98C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декабря 1933 приказом по МВС № 159 в его составе образовывалась Отделение фото-кинослужбы (начальник - С. Ф. Болдырев), при отделениях строительства - фотопосты, все имевшиеся при отделах Управления Строительства фотоматериалы, оборудование и штаты передавались Центральной фотографической лаборатории (7560).</w:t>
      </w:r>
    </w:p>
    <w:p w14:paraId="1E442F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8EDC326" w14:textId="77777777" w:rsidR="00035F40"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4645EAD" w14:textId="77777777" w:rsidR="00035F40" w:rsidRPr="0044524F" w:rsidRDefault="00035F40"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990CC77"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декабря 1933 г. Телеграмма временного поверенного в делах СССР в США Б. Е. Сквирского в Наркомат иностранных дел СССР о создании советского торгпредства в Вашингтоне.</w:t>
      </w:r>
    </w:p>
    <w:p w14:paraId="7300E537"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Снова встретился с Филлипсом и обсудил с ним вопрос о торгпредстве. Я заявил ему, что задержка его ответа тормозит всю торговую работу. Он ответил, что он не имеет еще указаний президента и что он поговорит с последним в ближайшие дни, после чего даст ответ. Следует переговорить также с Буллитом12. </w:t>
      </w:r>
    </w:p>
    <w:p w14:paraId="04667615"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Сквирский </w:t>
      </w:r>
    </w:p>
    <w:p w14:paraId="69CCA3EC"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Документы внешней политики СССР. М. 1970. Т. XVI. С. 747 (12152). </w:t>
      </w:r>
    </w:p>
    <w:p w14:paraId="6AB97996" w14:textId="77777777" w:rsidR="00035F40" w:rsidRPr="0044524F" w:rsidRDefault="00035F40" w:rsidP="009654CF">
      <w:pPr>
        <w:spacing w:after="0" w:line="240" w:lineRule="auto"/>
        <w:jc w:val="both"/>
        <w:rPr>
          <w:rFonts w:ascii="Times New Roman" w:hAnsi="Times New Roman"/>
          <w:color w:val="000000" w:themeColor="text1"/>
          <w:sz w:val="16"/>
          <w:szCs w:val="16"/>
        </w:rPr>
      </w:pPr>
    </w:p>
    <w:p w14:paraId="687A5C1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92AB338"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62A4A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15 по 25 декабря 1933 в Харькове работала специальная техническая комиссия, рассматривающая аварию К-7 К.А.К. (70,246).</w:t>
      </w:r>
    </w:p>
    <w:p w14:paraId="0F7064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5DDB2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декабря 1933 вышло постановление СТО N 130сс/о "О закупке и постановке на производство моторов РЦ и ИС" (50 РЦ, в т.ч. 15 готовых, 35 комплектов и агрегатов и 150 ИС и 150 комплектов деталей и агрегатов)" (2282,74).</w:t>
      </w:r>
    </w:p>
    <w:p w14:paraId="050F9B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2C5E8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декабря 1933 г. Постановление Совета труда и обороны предписывало новому за</w:t>
      </w:r>
      <w:r w:rsidRPr="0044524F">
        <w:rPr>
          <w:rFonts w:ascii="Times New Roman" w:hAnsi="Times New Roman"/>
          <w:color w:val="000000" w:themeColor="text1"/>
          <w:sz w:val="16"/>
          <w:szCs w:val="16"/>
        </w:rPr>
        <w:softHyphen/>
        <w:t>воду № 19 в Перми, выделенному для освоения производства американских моторов,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3D684B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518045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декабря 1933 Комитет обороны потребовал ускорить переговоры, ссылаясь на срочную нужду в современных двигателях, особенно для истребителей. Во Францию командировали комиссию, председателем которой назначили В.Я. Климова. Члены комиссии изучили двигатель и потребовали от фирмы подтвердить заявленные характеристики длительными 100-часовыми испыта</w:t>
      </w:r>
      <w:r w:rsidRPr="0044524F">
        <w:rPr>
          <w:rFonts w:ascii="Times New Roman" w:hAnsi="Times New Roman"/>
          <w:color w:val="000000" w:themeColor="text1"/>
          <w:sz w:val="16"/>
          <w:szCs w:val="16"/>
        </w:rPr>
        <w:softHyphen/>
        <w:t>ниями. Представители «Испано-Сюизы» согласились на это неохотно. Они вы</w:t>
      </w:r>
      <w:r w:rsidRPr="0044524F">
        <w:rPr>
          <w:rFonts w:ascii="Times New Roman" w:hAnsi="Times New Roman"/>
          <w:color w:val="000000" w:themeColor="text1"/>
          <w:sz w:val="16"/>
          <w:szCs w:val="16"/>
        </w:rPr>
        <w:softHyphen/>
        <w:t>брали один двигатель типа 12УЬгз из партии в 20 моторов, изготовленных в соответствии с требованиями французских ВВС. Испытания начались в январе 1934 г. На 11-м часу у мотора разрушился по кривошипной шейке коленчатый вал. Затем встретились с возникновением трещин в рубашке блока. Фирма начала поспешно доводить двигатель. Ввели противовесы на щеках коленвала, усилили крышки шатунов, блоки и картер, увеличили диаметр вала редуктора. Часть этих усовершенствований была прорабо</w:t>
      </w:r>
      <w:r w:rsidRPr="0044524F">
        <w:rPr>
          <w:rFonts w:ascii="Times New Roman" w:hAnsi="Times New Roman"/>
          <w:color w:val="000000" w:themeColor="text1"/>
          <w:sz w:val="16"/>
          <w:szCs w:val="16"/>
        </w:rPr>
        <w:softHyphen/>
        <w:t>тана ранее применительно к образцам для лицензионного производства в Чехословакии. Вес при этом возрос до 475 кг. В таком виде двигатель вновь поставили на испытательный стенд. На этот раз они шли более удачно, хотя длительная работа на максимальной мощности неизбежно приводила к неполадкам. Испытания завершились в марте 1934 г. Из Москвы торопили с приобретением лицензии. Начальник УВВС коман</w:t>
      </w:r>
      <w:r w:rsidRPr="0044524F">
        <w:rPr>
          <w:rFonts w:ascii="Times New Roman" w:hAnsi="Times New Roman"/>
          <w:color w:val="000000" w:themeColor="text1"/>
          <w:sz w:val="16"/>
          <w:szCs w:val="16"/>
        </w:rPr>
        <w:softHyphen/>
        <w:t>дарм Я.И. Алкснис требовал заключить договор еще до окончания испытаний. 24 января 1934 г. оформили первый заказ на восемь стандартных моторов без внесения последних изменений. Два из них отгрузили из Франции 28 января, а еще шесть — 27 февраля. Из числа купленных шесть моторов были типа 12УЪг§ и два — 12Усгз (под 20-мм пушку Испано 89). В итоге входивший в комиссию военинженер М.А. Левин предложил взять мотор в первоначальном виде, но ограничить его мощность номи</w:t>
      </w:r>
      <w:r w:rsidRPr="0044524F">
        <w:rPr>
          <w:rFonts w:ascii="Times New Roman" w:hAnsi="Times New Roman"/>
          <w:color w:val="000000" w:themeColor="text1"/>
          <w:sz w:val="16"/>
          <w:szCs w:val="16"/>
        </w:rPr>
        <w:softHyphen/>
        <w:t>налом — 750 л.с. Даже при этом он превосходил по удельной мощности и высотным характеристикам все двигатели советского производства. По</w:t>
      </w:r>
      <w:r w:rsidRPr="0044524F">
        <w:rPr>
          <w:rFonts w:ascii="Times New Roman" w:hAnsi="Times New Roman"/>
          <w:color w:val="000000" w:themeColor="text1"/>
          <w:sz w:val="16"/>
          <w:szCs w:val="16"/>
        </w:rPr>
        <w:softHyphen/>
        <w:t>вторные испытания показали, что в этом случае ресурс «Испано-Сюизы» достаточно велик. 14 июня 1934 г. наконец-то подписали соглашение с фир</w:t>
      </w:r>
      <w:r w:rsidRPr="0044524F">
        <w:rPr>
          <w:rFonts w:ascii="Times New Roman" w:hAnsi="Times New Roman"/>
          <w:color w:val="000000" w:themeColor="text1"/>
          <w:sz w:val="16"/>
          <w:szCs w:val="16"/>
        </w:rPr>
        <w:softHyphen/>
        <w:t>мой о помощи в организации производства в СССР. Им предусматривалось, что она предоставит документацию, образцы двигателей, ознакомит совет</w:t>
      </w:r>
      <w:r w:rsidRPr="0044524F">
        <w:rPr>
          <w:rFonts w:ascii="Times New Roman" w:hAnsi="Times New Roman"/>
          <w:color w:val="000000" w:themeColor="text1"/>
          <w:sz w:val="16"/>
          <w:szCs w:val="16"/>
        </w:rPr>
        <w:softHyphen/>
        <w:t>ских специалистов с применяемой технологией. Срок договора заканчивался 26 марта 1938 г. До этого времени фирма должна была сообщать советской стороне обо всех изменениях, вносимых в серийные двигатели. Освоение производства французского мотора, получившего советское обозначение М-100, планировали сначала на заводе № 24 в Москве, а затем перенесли на завод № 26 в Рыбинске, где до этого изготовляли дви</w:t>
      </w:r>
      <w:r w:rsidRPr="0044524F">
        <w:rPr>
          <w:rFonts w:ascii="Times New Roman" w:hAnsi="Times New Roman"/>
          <w:color w:val="000000" w:themeColor="text1"/>
          <w:sz w:val="16"/>
          <w:szCs w:val="16"/>
        </w:rPr>
        <w:softHyphen/>
        <w:t>гатели М-17. По первоначальным планам завод № 26 должен был перей</w:t>
      </w:r>
      <w:r w:rsidRPr="0044524F">
        <w:rPr>
          <w:rFonts w:ascii="Times New Roman" w:hAnsi="Times New Roman"/>
          <w:color w:val="000000" w:themeColor="text1"/>
          <w:sz w:val="16"/>
          <w:szCs w:val="16"/>
        </w:rPr>
        <w:softHyphen/>
        <w:t>ти на выпуск двигателей У-1800 «Конкверор» по лицензии «Кэртис-Райт корпорейшн». Для этого в США специально подготовили документацию и опытные образцы моторов в метрической системе. Технология специально разрабатывалась под оборудование завода в Рыбинске. Но о «Конквероре» приказано было забыть. Постановлением Совета труда и обороны предписывалось уже до конца 1934 г. собрать 15 моторов из французских деталей, в следующем году выпустить не менее 600 двигателей. Оно же требовало создания кон</w:t>
      </w:r>
      <w:r w:rsidRPr="0044524F">
        <w:rPr>
          <w:rFonts w:ascii="Times New Roman" w:hAnsi="Times New Roman"/>
          <w:color w:val="000000" w:themeColor="text1"/>
          <w:sz w:val="16"/>
          <w:szCs w:val="16"/>
        </w:rPr>
        <w:softHyphen/>
        <w:t>структорского отдела, который занялся бы совершенствованием «Испано-Сюизы» в плане повышения мощности, высотности, надежности и умень</w:t>
      </w:r>
      <w:r w:rsidRPr="0044524F">
        <w:rPr>
          <w:rFonts w:ascii="Times New Roman" w:hAnsi="Times New Roman"/>
          <w:color w:val="000000" w:themeColor="text1"/>
          <w:sz w:val="16"/>
          <w:szCs w:val="16"/>
        </w:rPr>
        <w:softHyphen/>
        <w:t>шения расхода горючего и масла. В июле 1934 г. конструкторский отдел завода № 26 был создан. Главным конструктором назначили Климова. До</w:t>
      </w:r>
      <w:r w:rsidRPr="0044524F">
        <w:rPr>
          <w:rFonts w:ascii="Times New Roman" w:hAnsi="Times New Roman"/>
          <w:color w:val="000000" w:themeColor="text1"/>
          <w:sz w:val="16"/>
          <w:szCs w:val="16"/>
        </w:rPr>
        <w:softHyphen/>
        <w:t>кументация от фирмы поступила с опозданием против сроков договора, что вызвало задержку с началом производства. Советское торгпредство взыскало с фирмы «Испано-Сюиза» неустойку — 2 600 000 франков. Под руководством Климова документацию переделали под советские стандарты, подобрали отечественные аналоги применявшихся французской фирмой материалов. В 1935 г. из цехов завода в Рыбинске вышли первые М-100, аналогичные французской модификации 12УЬг§. М-100 устанавливались на знаменитый бомбардировщик СБ, созданный под руководством А.Н. Туполева. Их выпускали в больших количествах, поставляли на экспорт в Китай и Испанию. В боевых операциях М-100 доказал свою надежность. Однако ранние моторы советского производ</w:t>
      </w:r>
      <w:r w:rsidRPr="0044524F">
        <w:rPr>
          <w:rFonts w:ascii="Times New Roman" w:hAnsi="Times New Roman"/>
          <w:color w:val="000000" w:themeColor="text1"/>
          <w:sz w:val="16"/>
          <w:szCs w:val="16"/>
        </w:rPr>
        <w:softHyphen/>
        <w:t>ства оказались тяжелее французских и развивали меньшую мощность. Но М-100 оказался неплохо приспособлен к дальнейшему совершенство</w:t>
      </w:r>
      <w:r w:rsidRPr="0044524F">
        <w:rPr>
          <w:rFonts w:ascii="Times New Roman" w:hAnsi="Times New Roman"/>
          <w:color w:val="000000" w:themeColor="text1"/>
          <w:sz w:val="16"/>
          <w:szCs w:val="16"/>
        </w:rPr>
        <w:softHyphen/>
        <w:t>ванию. В итоге этот двигатель стал родоначальником большого семейства советских поршневых авиамоторов, спроектированных под руководством Климова. Все они сохраняли характерные размеры и те или иные конструктивные черты «Испано-Сюизы». Сначала Кли</w:t>
      </w:r>
      <w:r w:rsidRPr="0044524F">
        <w:rPr>
          <w:rFonts w:ascii="Times New Roman" w:hAnsi="Times New Roman"/>
          <w:color w:val="000000" w:themeColor="text1"/>
          <w:sz w:val="16"/>
          <w:szCs w:val="16"/>
        </w:rPr>
        <w:softHyphen/>
        <w:t>мов лишь незначительно усовершенство</w:t>
      </w:r>
      <w:r w:rsidRPr="0044524F">
        <w:rPr>
          <w:rFonts w:ascii="Times New Roman" w:hAnsi="Times New Roman"/>
          <w:color w:val="000000" w:themeColor="text1"/>
          <w:sz w:val="16"/>
          <w:szCs w:val="16"/>
        </w:rPr>
        <w:softHyphen/>
        <w:t>вал французский оригинал. Появились модификации М-100А и М-100АУ. Затем конструкция двигателя начала меняться более существенно. Эволюция потомков «Испано-Сюизы» не была прямолиней</w:t>
      </w:r>
      <w:r w:rsidRPr="0044524F">
        <w:rPr>
          <w:rFonts w:ascii="Times New Roman" w:hAnsi="Times New Roman"/>
          <w:color w:val="000000" w:themeColor="text1"/>
          <w:sz w:val="16"/>
          <w:szCs w:val="16"/>
        </w:rPr>
        <w:softHyphen/>
        <w:t>ной. В ней появлялись и тупиковые вет</w:t>
      </w:r>
      <w:r w:rsidRPr="0044524F">
        <w:rPr>
          <w:rFonts w:ascii="Times New Roman" w:hAnsi="Times New Roman"/>
          <w:color w:val="000000" w:themeColor="text1"/>
          <w:sz w:val="16"/>
          <w:szCs w:val="16"/>
        </w:rPr>
        <w:softHyphen/>
        <w:t>ви, не приведшие к внедрению отдель</w:t>
      </w:r>
      <w:r w:rsidRPr="0044524F">
        <w:rPr>
          <w:rFonts w:ascii="Times New Roman" w:hAnsi="Times New Roman"/>
          <w:color w:val="000000" w:themeColor="text1"/>
          <w:sz w:val="16"/>
          <w:szCs w:val="16"/>
        </w:rPr>
        <w:softHyphen/>
        <w:t>ных типов в серию. Первым удачным мотором, созданным Климовым на базе «Испано-Сюизы», стал М-103, давший прирост мощности более 100 л.с. Даль</w:t>
      </w:r>
      <w:r w:rsidRPr="0044524F">
        <w:rPr>
          <w:rFonts w:ascii="Times New Roman" w:hAnsi="Times New Roman"/>
          <w:color w:val="000000" w:themeColor="text1"/>
          <w:sz w:val="16"/>
          <w:szCs w:val="16"/>
        </w:rPr>
        <w:softHyphen/>
        <w:t>нейшим развитием М-103 был М-104. Цифровые обозначения всех моторов этого семейства начинались с «100». В начале Второй мировой войны кон</w:t>
      </w:r>
      <w:r w:rsidRPr="0044524F">
        <w:rPr>
          <w:rFonts w:ascii="Times New Roman" w:hAnsi="Times New Roman"/>
          <w:color w:val="000000" w:themeColor="text1"/>
          <w:sz w:val="16"/>
          <w:szCs w:val="16"/>
        </w:rPr>
        <w:softHyphen/>
        <w:t>структорское бюро вело разработку двух перспективных двигателей — М-105 и М-106, Второй из них доводился очень Долго и был выпущен лишь небольшой начала проектирования. М-105 же стал самым массовым двигателем совет</w:t>
      </w:r>
      <w:r w:rsidRPr="0044524F">
        <w:rPr>
          <w:rFonts w:ascii="Times New Roman" w:hAnsi="Times New Roman"/>
          <w:color w:val="000000" w:themeColor="text1"/>
          <w:sz w:val="16"/>
          <w:szCs w:val="16"/>
        </w:rPr>
        <w:softHyphen/>
        <w:t>ских ВВС периода войны. Он выпускался четырьмя заводами до 1947 г. и неоднократно модернизировался. В последней модификации, М-105ПФ-2 взлетную мощность довели до 1290 л.с. Моторы Климова стояли на самых массовых в годы войны истребителях А.С. Яковлева (Як-1, Як-3, Як-7 и Як-9),^ истребителях ЛаГГ-3, пикирующих бомбардировщиках Пе-2. В кон</w:t>
      </w:r>
      <w:r w:rsidRPr="0044524F">
        <w:rPr>
          <w:rFonts w:ascii="Times New Roman" w:hAnsi="Times New Roman"/>
          <w:color w:val="000000" w:themeColor="text1"/>
          <w:sz w:val="16"/>
          <w:szCs w:val="16"/>
        </w:rPr>
        <w:softHyphen/>
        <w:t>це войны и в послевоенные годы эти двигатели поставлялись в Польшу, Чехословакию, Болгарию, Югославию, Китай и Северную Корею. В ознаменование заслуг Климова в марте 1944 г. его включили в круг конструкторов-моторостроителей, получивших право обозначать свои тво</w:t>
      </w:r>
      <w:r w:rsidRPr="0044524F">
        <w:rPr>
          <w:rFonts w:ascii="Times New Roman" w:hAnsi="Times New Roman"/>
          <w:color w:val="000000" w:themeColor="text1"/>
          <w:sz w:val="16"/>
          <w:szCs w:val="16"/>
        </w:rPr>
        <w:softHyphen/>
        <w:t>рения личными инициалами. Теперь наименования моторов этого кон</w:t>
      </w:r>
      <w:r w:rsidRPr="0044524F">
        <w:rPr>
          <w:rFonts w:ascii="Times New Roman" w:hAnsi="Times New Roman"/>
          <w:color w:val="000000" w:themeColor="text1"/>
          <w:sz w:val="16"/>
          <w:szCs w:val="16"/>
        </w:rPr>
        <w:softHyphen/>
        <w:t>структора начинались с букв «ВК» — «Владимир Климов». После этого М-105 превратился в ВК-105. Все последующие двигатели Климова так</w:t>
      </w:r>
      <w:r w:rsidRPr="0044524F">
        <w:rPr>
          <w:rFonts w:ascii="Times New Roman" w:hAnsi="Times New Roman"/>
          <w:color w:val="000000" w:themeColor="text1"/>
          <w:sz w:val="16"/>
          <w:szCs w:val="16"/>
        </w:rPr>
        <w:softHyphen/>
        <w:t>же получили подобные обозначения. Более ранние конструкции (М-103. М-104), к тому времени еще эксплуатировавшиеся в военной и граждан</w:t>
      </w:r>
      <w:r w:rsidRPr="0044524F">
        <w:rPr>
          <w:rFonts w:ascii="Times New Roman" w:hAnsi="Times New Roman"/>
          <w:color w:val="000000" w:themeColor="text1"/>
          <w:sz w:val="16"/>
          <w:szCs w:val="16"/>
        </w:rPr>
        <w:softHyphen/>
        <w:t>ской авиации, сохранили старые наименования. Более поздние поршневые двигатели Климова, ВК-107, ВК-108 и ВК-109, уже не стали столь массовыми, хотя М-107 выпускался в до</w:t>
      </w:r>
      <w:r w:rsidRPr="0044524F">
        <w:rPr>
          <w:rFonts w:ascii="Times New Roman" w:hAnsi="Times New Roman"/>
          <w:color w:val="000000" w:themeColor="text1"/>
          <w:sz w:val="16"/>
          <w:szCs w:val="16"/>
        </w:rPr>
        <w:softHyphen/>
        <w:t xml:space="preserve">вольно больших количествах и устанавливался </w:t>
      </w:r>
      <w:r w:rsidRPr="0044524F">
        <w:rPr>
          <w:rFonts w:ascii="Times New Roman" w:hAnsi="Times New Roman"/>
          <w:color w:val="000000" w:themeColor="text1"/>
          <w:sz w:val="16"/>
          <w:szCs w:val="16"/>
        </w:rPr>
        <w:lastRenderedPageBreak/>
        <w:t>на серийных истребителях Як-3 и Як-9. Оснащенные им самолеты участвовали в боевых операциях в конце Великой Отечественной войны и сохранялись на вооружении до начала 50-х годов. Они также поставлялись на экспорт и применялись в войне в Корее (11852).</w:t>
      </w:r>
    </w:p>
    <w:p w14:paraId="656B4A0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003F93C" w14:textId="77777777" w:rsidR="00661CFE" w:rsidRPr="0044524F" w:rsidRDefault="00661CFE" w:rsidP="009654CF">
      <w:pPr>
        <w:pStyle w:val="rtejustify"/>
        <w:spacing w:before="0" w:after="0"/>
        <w:rPr>
          <w:color w:val="000000" w:themeColor="text1"/>
          <w:sz w:val="16"/>
          <w:szCs w:val="16"/>
        </w:rPr>
      </w:pPr>
      <w:r w:rsidRPr="0044524F">
        <w:rPr>
          <w:rStyle w:val="af0"/>
          <w:bCs/>
          <w:i w:val="0"/>
          <w:color w:val="000000" w:themeColor="text1"/>
          <w:sz w:val="16"/>
          <w:szCs w:val="16"/>
        </w:rPr>
        <w:t>15 декабря</w:t>
      </w:r>
      <w:r w:rsidRPr="0044524F">
        <w:rPr>
          <w:color w:val="000000" w:themeColor="text1"/>
          <w:sz w:val="16"/>
          <w:szCs w:val="16"/>
        </w:rPr>
        <w:t xml:space="preserve"> 1933. Постановление СТО СССР № 130сс/о «О закупке и постановке на производство моторов «Райт</w:t>
      </w:r>
      <w:r w:rsidRPr="0044524F">
        <w:rPr>
          <w:color w:val="000000" w:themeColor="text1"/>
          <w:sz w:val="16"/>
          <w:szCs w:val="16"/>
        </w:rPr>
        <w:noBreakHyphen/>
        <w:t>Циклон» и «Испано</w:t>
      </w:r>
      <w:r w:rsidRPr="0044524F">
        <w:rPr>
          <w:color w:val="000000" w:themeColor="text1"/>
          <w:sz w:val="16"/>
          <w:szCs w:val="16"/>
        </w:rPr>
        <w:noBreakHyphen/>
        <w:t>Сюиза». (ГА РФ. Ф. Р</w:t>
      </w:r>
      <w:r w:rsidRPr="0044524F">
        <w:rPr>
          <w:color w:val="000000" w:themeColor="text1"/>
          <w:sz w:val="16"/>
          <w:szCs w:val="16"/>
        </w:rPr>
        <w:noBreakHyphen/>
        <w:t>8418. Оп. 28. Д. 3. Л. 109</w:t>
      </w:r>
      <w:r w:rsidRPr="0044524F">
        <w:rPr>
          <w:color w:val="000000" w:themeColor="text1"/>
          <w:sz w:val="16"/>
          <w:szCs w:val="16"/>
        </w:rPr>
        <w:noBreakHyphen/>
        <w:t>111) (15460).</w:t>
      </w:r>
    </w:p>
    <w:p w14:paraId="137D54F5" w14:textId="77777777" w:rsidR="00661CFE" w:rsidRPr="0044524F" w:rsidRDefault="00661CFE" w:rsidP="009654CF">
      <w:pPr>
        <w:pStyle w:val="rtejustify"/>
        <w:spacing w:before="0" w:after="0"/>
        <w:rPr>
          <w:color w:val="000000" w:themeColor="text1"/>
          <w:sz w:val="16"/>
          <w:szCs w:val="16"/>
        </w:rPr>
      </w:pPr>
    </w:p>
    <w:p w14:paraId="4A30EC88" w14:textId="77777777" w:rsidR="009E3DAA" w:rsidRPr="0044524F" w:rsidRDefault="009E3DA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декабря 1933 г. Постановление Совета труда и обороны предписывало заводу № 19 к концу 1934 г. собрать первые 50 моторов из закупленных деталей. В марте 1934 г. на заводе был образован конструкторский отдел. Главным конструктором назначили А.Д. Швецова. Директором предприятия стал И.И. Побережский (19534).</w:t>
      </w:r>
    </w:p>
    <w:p w14:paraId="51EEF9B8" w14:textId="77777777" w:rsidR="009E3DAA" w:rsidRPr="0044524F" w:rsidRDefault="009E3DAA" w:rsidP="009654CF">
      <w:pPr>
        <w:spacing w:after="0" w:line="240" w:lineRule="auto"/>
        <w:jc w:val="both"/>
        <w:rPr>
          <w:rFonts w:ascii="Times New Roman" w:hAnsi="Times New Roman"/>
          <w:color w:val="000000" w:themeColor="text1"/>
          <w:sz w:val="16"/>
          <w:szCs w:val="16"/>
        </w:rPr>
      </w:pPr>
    </w:p>
    <w:p w14:paraId="57EED94A" w14:textId="77777777" w:rsidR="00661CFE" w:rsidRPr="0044524F" w:rsidRDefault="00661CFE" w:rsidP="009654CF">
      <w:pPr>
        <w:pStyle w:val="rtejustify"/>
        <w:spacing w:before="0" w:after="0"/>
        <w:rPr>
          <w:color w:val="000000" w:themeColor="text1"/>
          <w:sz w:val="16"/>
          <w:szCs w:val="16"/>
        </w:rPr>
      </w:pPr>
      <w:r w:rsidRPr="0044524F">
        <w:rPr>
          <w:rStyle w:val="af0"/>
          <w:bCs/>
          <w:i w:val="0"/>
          <w:color w:val="000000" w:themeColor="text1"/>
          <w:sz w:val="16"/>
          <w:szCs w:val="16"/>
        </w:rPr>
        <w:t>15 декабря</w:t>
      </w:r>
      <w:r w:rsidRPr="0044524F">
        <w:rPr>
          <w:color w:val="000000" w:themeColor="text1"/>
          <w:sz w:val="16"/>
          <w:szCs w:val="16"/>
        </w:rPr>
        <w:t xml:space="preserve"> 1933. Постановление СТО СССР № 131сс/о «О закупке морских моторов авиационного типа для торпедных катеров». (ГА РФ. Ф. Р</w:t>
      </w:r>
      <w:r w:rsidRPr="0044524F">
        <w:rPr>
          <w:color w:val="000000" w:themeColor="text1"/>
          <w:sz w:val="16"/>
          <w:szCs w:val="16"/>
        </w:rPr>
        <w:noBreakHyphen/>
        <w:t>8418. Оп. 28. Д. 3. Л. 115) (15460).</w:t>
      </w:r>
    </w:p>
    <w:p w14:paraId="0112D6BC" w14:textId="77777777" w:rsidR="00661CFE" w:rsidRPr="0044524F" w:rsidRDefault="00661CFE" w:rsidP="009654CF">
      <w:pPr>
        <w:pStyle w:val="rtejustify"/>
        <w:spacing w:before="0" w:after="0"/>
        <w:rPr>
          <w:color w:val="000000" w:themeColor="text1"/>
          <w:sz w:val="16"/>
          <w:szCs w:val="16"/>
        </w:rPr>
      </w:pPr>
    </w:p>
    <w:p w14:paraId="7A6F0B5D" w14:textId="77777777" w:rsidR="00E64894" w:rsidRPr="00142305" w:rsidRDefault="00E64894" w:rsidP="00E64894">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15 декабря 1933 г. Постановление Совета Труда и Обороны предписывало к концу 1934 г. собрать первые 50 моторов</w:t>
      </w:r>
      <w:r w:rsidRPr="00142305">
        <w:rPr>
          <w:rStyle w:val="30"/>
          <w:rFonts w:ascii="Times New Roman" w:eastAsia="Calibri" w:hAnsi="Times New Roman"/>
          <w:color w:val="0070C0"/>
          <w:sz w:val="16"/>
          <w:szCs w:val="16"/>
        </w:rPr>
        <w:t xml:space="preserve"> </w:t>
      </w:r>
      <w:r w:rsidRPr="00142305">
        <w:rPr>
          <w:rStyle w:val="aff"/>
          <w:rFonts w:ascii="Times New Roman" w:hAnsi="Times New Roman" w:cs="Times New Roman"/>
          <w:color w:val="0070C0"/>
          <w:spacing w:val="0"/>
          <w:sz w:val="16"/>
          <w:szCs w:val="16"/>
          <w:lang w:val="en-US"/>
        </w:rPr>
        <w:t>Wright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Cyclone</w:t>
      </w:r>
      <w:r w:rsidRPr="00142305">
        <w:rPr>
          <w:rStyle w:val="aff"/>
          <w:rFonts w:ascii="Times New Roman" w:hAnsi="Times New Roman" w:cs="Times New Roman"/>
          <w:color w:val="0070C0"/>
          <w:spacing w:val="0"/>
          <w:sz w:val="16"/>
          <w:szCs w:val="16"/>
        </w:rPr>
        <w:t>-9 R-1820-F3 из покупных деталей (25145).</w:t>
      </w:r>
    </w:p>
    <w:p w14:paraId="1113E7CC" w14:textId="77777777" w:rsidR="00E64894" w:rsidRPr="00142305" w:rsidRDefault="00E64894" w:rsidP="00E64894">
      <w:pPr>
        <w:spacing w:after="0" w:line="240" w:lineRule="auto"/>
        <w:jc w:val="both"/>
        <w:rPr>
          <w:rFonts w:ascii="Times New Roman" w:hAnsi="Times New Roman"/>
          <w:color w:val="0070C0"/>
          <w:sz w:val="16"/>
          <w:szCs w:val="16"/>
        </w:rPr>
      </w:pPr>
    </w:p>
    <w:p w14:paraId="43B03E13" w14:textId="77777777" w:rsidR="00E64894" w:rsidRPr="00142305" w:rsidRDefault="00E64894" w:rsidP="00E64894">
      <w:pPr>
        <w:widowControl w:val="0"/>
        <w:tabs>
          <w:tab w:val="left" w:pos="486"/>
        </w:tabs>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15 декабря 1933 года) Правительство особым своим решением обязало (см. постановление № 130сс) ГУАП и НКВнешторг форсировать ведение переговоров и закупку моторов и добиться окончания переговоров на поставку моторов и окончания самой постав</w:t>
      </w:r>
      <w:r w:rsidRPr="00142305">
        <w:rPr>
          <w:rStyle w:val="aff"/>
          <w:rFonts w:ascii="Times New Roman" w:hAnsi="Times New Roman" w:cs="Times New Roman"/>
          <w:color w:val="0070C0"/>
          <w:spacing w:val="0"/>
          <w:sz w:val="16"/>
          <w:szCs w:val="16"/>
        </w:rPr>
        <w:softHyphen/>
        <w:t>ки последних в конкретные сроки…» (25519).</w:t>
      </w:r>
    </w:p>
    <w:p w14:paraId="5B4A24E2" w14:textId="77777777" w:rsidR="00E64894" w:rsidRPr="00142305" w:rsidRDefault="00E64894" w:rsidP="00E64894">
      <w:pPr>
        <w:widowControl w:val="0"/>
        <w:tabs>
          <w:tab w:val="left" w:pos="486"/>
        </w:tabs>
        <w:spacing w:after="0" w:line="240" w:lineRule="auto"/>
        <w:jc w:val="both"/>
        <w:rPr>
          <w:rFonts w:ascii="Times New Roman" w:hAnsi="Times New Roman"/>
          <w:color w:val="0070C0"/>
          <w:sz w:val="16"/>
          <w:szCs w:val="16"/>
        </w:rPr>
      </w:pPr>
    </w:p>
    <w:p w14:paraId="4AC49E86" w14:textId="77777777" w:rsidR="00661CFE" w:rsidRPr="0044524F" w:rsidRDefault="00661CFE" w:rsidP="009654CF">
      <w:pPr>
        <w:pStyle w:val="rtejustify"/>
        <w:spacing w:before="0" w:after="0"/>
        <w:rPr>
          <w:color w:val="000000" w:themeColor="text1"/>
          <w:sz w:val="16"/>
          <w:szCs w:val="16"/>
        </w:rPr>
      </w:pPr>
      <w:r w:rsidRPr="0044524F">
        <w:rPr>
          <w:rStyle w:val="af0"/>
          <w:bCs/>
          <w:i w:val="0"/>
          <w:color w:val="000000" w:themeColor="text1"/>
          <w:sz w:val="16"/>
          <w:szCs w:val="16"/>
        </w:rPr>
        <w:t>15/16 декабря 1933 вышел приказ НКТП № 229с.</w:t>
      </w:r>
      <w:r w:rsidRPr="0044524F">
        <w:rPr>
          <w:color w:val="000000" w:themeColor="text1"/>
          <w:sz w:val="16"/>
          <w:szCs w:val="16"/>
        </w:rPr>
        <w:t xml:space="preserve"> О задачах трестам и объединениям НКТП СССР по бесперебойному снабжению поковками Глававиапрома в 1934 г. (РГАЭ. Ф. 7297. Оп. 38. Д. 38. Л. 226</w:t>
      </w:r>
      <w:r w:rsidRPr="0044524F">
        <w:rPr>
          <w:color w:val="000000" w:themeColor="text1"/>
          <w:sz w:val="16"/>
          <w:szCs w:val="16"/>
        </w:rPr>
        <w:noBreakHyphen/>
        <w:t>227) (15246).</w:t>
      </w:r>
    </w:p>
    <w:p w14:paraId="7402454E" w14:textId="77777777" w:rsidR="00661CFE" w:rsidRPr="0044524F" w:rsidRDefault="00661CFE" w:rsidP="009654CF">
      <w:pPr>
        <w:pStyle w:val="rtejustify"/>
        <w:spacing w:before="0" w:after="0"/>
        <w:rPr>
          <w:color w:val="000000" w:themeColor="text1"/>
          <w:sz w:val="16"/>
          <w:szCs w:val="16"/>
        </w:rPr>
      </w:pPr>
    </w:p>
    <w:p w14:paraId="1629C9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15 по 19 декабря 1933 года в НИИ ВВС проходили гос. испытания "магазинов" крупнокалиберного 12,7 мм пулемета системы Дегтярева (ДК).</w:t>
      </w:r>
    </w:p>
    <w:p w14:paraId="5C2BEE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1C717A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15 сектора НИИ ВВС Базенау</w:t>
      </w:r>
    </w:p>
    <w:p w14:paraId="486DF9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Инженер 15 сектора НИИ ВВС Воротников</w:t>
      </w:r>
    </w:p>
    <w:p w14:paraId="3E0589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57BF690"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Магазины к пулемету ДК 1-го и 2-го вариантов конструкции Кладова испытания выдержали.</w:t>
      </w:r>
    </w:p>
    <w:p w14:paraId="2FAEDF8F"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пулеметам ДК, подаваемым для ВВС, ввести магазины конструкции Кладова 1-го варианта (емкостью на 30 штук патронов) из расчета 6 магазинов на пулемет.</w:t>
      </w:r>
    </w:p>
    <w:p w14:paraId="62C3447E"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Магазин конструкции Лещинского и Заворуева испытаний не выдержал (7396, 68-77).</w:t>
      </w:r>
    </w:p>
    <w:p w14:paraId="782783EA"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EFCA8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15 декабря 1933 г., уже после установления дипотношений с США, вице-президент «Пан-Америкэн эруэйз» Эван Е. Юнг8 снова вернулся к этому вопросу и в письме к тов. Сквирскому он указывает, что ввиду существенно изменившегося положения вещей у него возникает мысль, нельзя ли ожидать в ближайшем будущем другого, более положительного сообщения со стороны наших руководящих органов на основе сделанного ими ранее предложения, которое остается в силе и ныне. </w:t>
      </w:r>
    </w:p>
    <w:p w14:paraId="5DDF30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3-й Западный отдел направил это последнее обращение «Пан-Америкэн эруэйз» тов. Уншлихту (с копией тов. Ворошилову9). Начальник ИНО Всесоюзного объединения Гражданского воздушного флота сообщил нам, что этот вопрос ими теперь разрабатывается конкретно для постановки его на разрешение правительства. </w:t>
      </w:r>
    </w:p>
    <w:p w14:paraId="5657D8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Примечание: </w:t>
      </w:r>
    </w:p>
    <w:p w14:paraId="0318FF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О фирме «Пан-Америкэн эруэйз» нам известно, что она руководит эксплуатацией воздушных линий Центральной и Южной Америки, Мексики, Западной Индии и через Карибское море. Полковник Линдберг10 является их техническим консультантом. Тов. Сквирский в свое время сообщал, что «Пан-Америкэн эруэйз» является монополистом во всех воздушных линиях в Латинскую Америку из США, что она близка к правительственным кругам, что эта фирма подготовляет почтовую трансатлантическую линию сообщений с европейскими компаниями. Кроме того, в самое последнее время стало известно (ТАСС, Токио, от 22.XII.33 г.), что недавнее установление регулярной воздушной линии между Шанхаем и Кантоном является одним из звеньев в транстихоокеанских планах «Пан-Америкэн эруэйз», которая через свое дочернее предприятие «Чайна эруэйз» владеет 45% акций американо-китайской ко[мпании] «Чайна нэшнл эвиэйшн корпорейшн». Следующим шагом будет связь линии Шанхай — Кантон с Гонконгом, откуда, в свою очередь, пойдет линия на Филиппинские острова. В дальнейшем ко[мпания] «Пасифик-Америкэн эруэйз» приступит к установлению линий протяжением примерно в 6000 миль от Сан-Франциско до Манилы. </w:t>
      </w:r>
    </w:p>
    <w:p w14:paraId="7118B9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О фирме «Норд-Америкэн эвиэйшн» известно (по ее собственной информации), что она владеет целиком и активно руководит: </w:t>
      </w:r>
    </w:p>
    <w:p w14:paraId="5C85BF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 фирмой «Сперри гироскоп», производящей гироскопические аппараты для пароходов и других навигационных целей, а также контрольную аппаратуру для аэропланов; </w:t>
      </w:r>
    </w:p>
    <w:p w14:paraId="121C30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 «Форд инструмент Ко»; </w:t>
      </w:r>
    </w:p>
    <w:p w14:paraId="5E77E9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«Берлинер — Джойс эркрафт корпорейшн», производящей быстроходные военные самолеты и </w:t>
      </w:r>
    </w:p>
    <w:p w14:paraId="39522A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 «Истерн эр транспорт» (известная авиационная фирма, контролирующая пассажирское и почтовое воздушные сообщения между Нью-Йорком и Флоридой). </w:t>
      </w:r>
    </w:p>
    <w:p w14:paraId="203665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Кроме того, «Норд-Америкэн эвиэйшн корпорейшн» владеет солидным пакетом акций фирмы «Кэртис Райт» и «Дуглас эркрафт Ко» (два выдающихся производителя самолетов в США) и является активным участником фирмы «Трансконтинентл-уэстерн эр». </w:t>
      </w:r>
    </w:p>
    <w:p w14:paraId="61F1B3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Она также активно участвует в «Интерконтинентл эвиэйшн корпорейшн», через которую она инвестирует капиталы в авиационных предприятиях за границей. </w:t>
      </w:r>
    </w:p>
    <w:p w14:paraId="108AC2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Зав. 3-м Западным отделом Е. РУБИНИН </w:t>
      </w:r>
    </w:p>
    <w:p w14:paraId="364E76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Отв. референт С. СТОЛЯР </w:t>
      </w:r>
    </w:p>
    <w:p w14:paraId="7B2F44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АВП РФ. Ф. 05. Оп. 14. П. 101. Д. 84. Л. 1—3. Подлинник (11430).</w:t>
      </w:r>
    </w:p>
    <w:p w14:paraId="5F5EE4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66E0370" w14:textId="77777777" w:rsidR="00661CFE"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586B15C" w14:textId="77777777" w:rsidR="00661CFE" w:rsidRPr="0044524F" w:rsidRDefault="00661CF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B4EEFD0" w14:textId="77777777" w:rsidR="00661CFE" w:rsidRPr="0044524F" w:rsidRDefault="00661CFE" w:rsidP="009654CF">
      <w:pPr>
        <w:pStyle w:val="rtejustify"/>
        <w:spacing w:before="0" w:after="0"/>
        <w:rPr>
          <w:color w:val="000000" w:themeColor="text1"/>
          <w:sz w:val="16"/>
          <w:szCs w:val="16"/>
        </w:rPr>
      </w:pPr>
      <w:r w:rsidRPr="0044524F">
        <w:rPr>
          <w:rStyle w:val="af0"/>
          <w:bCs/>
          <w:i w:val="0"/>
          <w:color w:val="000000" w:themeColor="text1"/>
          <w:sz w:val="16"/>
          <w:szCs w:val="16"/>
        </w:rPr>
        <w:t>15 декабря 1933 вышел приказ НКТП № 228с.</w:t>
      </w:r>
      <w:r w:rsidRPr="0044524F">
        <w:rPr>
          <w:color w:val="000000" w:themeColor="text1"/>
          <w:sz w:val="16"/>
          <w:szCs w:val="16"/>
        </w:rPr>
        <w:t xml:space="preserve"> Об обеспечении промышленности и строительства НКТП СССР в ДВК всеми предметами материально-технического снабжения. (РГАЭ. Ф. 7297. Оп. 38. Д. 38. Л. 222) (15246).</w:t>
      </w:r>
    </w:p>
    <w:p w14:paraId="0E52CCCA" w14:textId="77777777" w:rsidR="00661CFE" w:rsidRPr="0044524F" w:rsidRDefault="00661CFE" w:rsidP="009654CF">
      <w:pPr>
        <w:pStyle w:val="rtejustify"/>
        <w:spacing w:before="0" w:after="0"/>
        <w:rPr>
          <w:color w:val="000000" w:themeColor="text1"/>
          <w:sz w:val="16"/>
          <w:szCs w:val="16"/>
        </w:rPr>
      </w:pPr>
    </w:p>
    <w:p w14:paraId="19872D23" w14:textId="77777777" w:rsidR="00661CFE" w:rsidRPr="0044524F" w:rsidRDefault="00661CFE" w:rsidP="009654CF">
      <w:pPr>
        <w:pStyle w:val="rtejustify"/>
        <w:spacing w:before="0" w:after="0"/>
        <w:rPr>
          <w:color w:val="000000" w:themeColor="text1"/>
          <w:sz w:val="16"/>
          <w:szCs w:val="16"/>
        </w:rPr>
      </w:pPr>
      <w:r w:rsidRPr="0044524F">
        <w:rPr>
          <w:rStyle w:val="af0"/>
          <w:bCs/>
          <w:i w:val="0"/>
          <w:color w:val="000000" w:themeColor="text1"/>
          <w:sz w:val="16"/>
          <w:szCs w:val="16"/>
        </w:rPr>
        <w:t>15/16 декабря 1933 вышел приказ НКТП № 230с.</w:t>
      </w:r>
      <w:r w:rsidRPr="0044524F">
        <w:rPr>
          <w:color w:val="000000" w:themeColor="text1"/>
          <w:sz w:val="16"/>
          <w:szCs w:val="16"/>
        </w:rPr>
        <w:t xml:space="preserve"> О порядке хранения противогазов на предприятиях НКТП СССР и обеспечения их сохранности. (РГАЭ. Ф. 7297. Оп. 38. Д. 38. Л. 223</w:t>
      </w:r>
      <w:r w:rsidRPr="0044524F">
        <w:rPr>
          <w:color w:val="000000" w:themeColor="text1"/>
          <w:sz w:val="16"/>
          <w:szCs w:val="16"/>
        </w:rPr>
        <w:noBreakHyphen/>
        <w:t>223 об.) (15246).</w:t>
      </w:r>
    </w:p>
    <w:p w14:paraId="71DB63B0" w14:textId="77777777" w:rsidR="00661CFE" w:rsidRPr="0044524F" w:rsidRDefault="00661CFE" w:rsidP="009654CF">
      <w:pPr>
        <w:pStyle w:val="rtejustify"/>
        <w:spacing w:before="0" w:after="0"/>
        <w:rPr>
          <w:color w:val="000000" w:themeColor="text1"/>
          <w:sz w:val="16"/>
          <w:szCs w:val="16"/>
        </w:rPr>
      </w:pPr>
    </w:p>
    <w:p w14:paraId="088C5E30" w14:textId="77777777" w:rsidR="00661CFE" w:rsidRPr="0044524F" w:rsidRDefault="00661CFE" w:rsidP="009654CF">
      <w:pPr>
        <w:pStyle w:val="rtejustify"/>
        <w:spacing w:before="0" w:after="0"/>
        <w:rPr>
          <w:color w:val="000000" w:themeColor="text1"/>
          <w:sz w:val="16"/>
          <w:szCs w:val="16"/>
        </w:rPr>
      </w:pPr>
      <w:r w:rsidRPr="0044524F">
        <w:rPr>
          <w:rStyle w:val="af0"/>
          <w:bCs/>
          <w:i w:val="0"/>
          <w:color w:val="000000" w:themeColor="text1"/>
          <w:sz w:val="16"/>
          <w:szCs w:val="16"/>
        </w:rPr>
        <w:t>15 декабря</w:t>
      </w:r>
      <w:r w:rsidRPr="0044524F">
        <w:rPr>
          <w:color w:val="000000" w:themeColor="text1"/>
          <w:sz w:val="16"/>
          <w:szCs w:val="16"/>
        </w:rPr>
        <w:t xml:space="preserve"> 1933. Постановление СТО СССР № 129сс/о «О переброске подлодок типа «Малютка» из Николаева в Севастополь». (ГА РФ. Ф. Р</w:t>
      </w:r>
      <w:r w:rsidRPr="0044524F">
        <w:rPr>
          <w:color w:val="000000" w:themeColor="text1"/>
          <w:sz w:val="16"/>
          <w:szCs w:val="16"/>
        </w:rPr>
        <w:noBreakHyphen/>
        <w:t>8418. Оп. 28. Д. 3. Л. 106) (15460).</w:t>
      </w:r>
    </w:p>
    <w:p w14:paraId="0C0605AC" w14:textId="77777777" w:rsidR="00661CFE" w:rsidRPr="0044524F" w:rsidRDefault="00661CFE" w:rsidP="009654CF">
      <w:pPr>
        <w:pStyle w:val="rtejustify"/>
        <w:spacing w:before="0" w:after="0"/>
        <w:rPr>
          <w:color w:val="000000" w:themeColor="text1"/>
          <w:sz w:val="16"/>
          <w:szCs w:val="16"/>
        </w:rPr>
      </w:pPr>
    </w:p>
    <w:p w14:paraId="5E144DBB" w14:textId="77777777" w:rsidR="009E3DAA" w:rsidRPr="0044524F" w:rsidRDefault="009E3DA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декабря 1933 г. подписание протокола по результатам полигонных испытаний позиционно-всплывающей мины, представленной Остехбюро. Комиссия сделала заключение, что «позиционно-всплывающая мина, равноценная в отношении тактического использования с минами образца 1926 г. и 1931 г. и как давшая при испытаниях удовлетворительные результаты, может быть принята на вооружение, так как мина представляет собой комбинацию из мин образца 1931 г. и якоря 1926 г. состоящих на вооружении и промышленостью освобожденных» (18667).</w:t>
      </w:r>
    </w:p>
    <w:p w14:paraId="4BF6EC41" w14:textId="77777777" w:rsidR="009E3DAA" w:rsidRPr="0044524F" w:rsidRDefault="009E3DAA" w:rsidP="009654CF">
      <w:pPr>
        <w:spacing w:after="0" w:line="240" w:lineRule="auto"/>
        <w:jc w:val="both"/>
        <w:rPr>
          <w:rFonts w:ascii="Times New Roman" w:hAnsi="Times New Roman"/>
          <w:color w:val="000000" w:themeColor="text1"/>
          <w:sz w:val="16"/>
          <w:szCs w:val="16"/>
        </w:rPr>
      </w:pPr>
    </w:p>
    <w:p w14:paraId="5AD253FA"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1EC79E8"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0D9C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15 и 23 декабря 1933. Из протокола заседания Политбюро N151, особая папка, 1933 г.</w:t>
      </w:r>
    </w:p>
    <w:p w14:paraId="3D2DAE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Предложение Франции о технической помощи </w:t>
      </w:r>
    </w:p>
    <w:p w14:paraId="1C8400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Ответить на французскую ноту согласием на техническую помощь по шоссейно-дорожному строительству и на приезд нескольких представителей соответственного ведомства весною после таяния снегов (11652).</w:t>
      </w:r>
    </w:p>
    <w:p w14:paraId="0F031B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547198D"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3ABDC9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33A40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декабря 1933 Нач. НИИ ВВС Зильберт утвердил Отчет по гос. испытаниям ТБ-3 4М-34Р (редукторного), которые проходили с 19 октября по 5 декабря 1933 (2264,126).</w:t>
      </w:r>
    </w:p>
    <w:p w14:paraId="2CC2CE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87AD0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середине декабря 1933 г. собрали оперение дублера И-14, 22 декабря собрали элероны, которые из-за изменения обшивки застряли в производстве на целый месяц.</w:t>
      </w:r>
    </w:p>
    <w:p w14:paraId="2AA1E5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1FE507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04DEF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38F160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F11AF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0481F1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829362F"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0105CB3"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C11E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декабря 1933 года был закончен опытный образец 76-мм полууниверсальной пушки 25-К, разработанной "Спецгруппой" ("Спецгруппа" была создана ОГПУ из арестованных инженеров ОАТ) на заводе № 8 в качестве внеплановой работы, после чего немедленно были начаты заводские испытания, на которых опытный образец имел поддон от другой опытной системы и ручной привод ГН. В 1934 году предполагалось изготовить новый поддон и установить привод поворотного механизма от бензинового мотоциклетного двигателя (3861).</w:t>
      </w:r>
    </w:p>
    <w:p w14:paraId="51C124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99CD2D5"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декабря 1933 г. был закончен опытный образец 76-мм полууниверсальным пушки завода им. Калинина 25-К, разработанной «Спецгруппой» на заводе № 8 в качестве внеплановой работы («Спецгруппа» была создана ОГПУ из арестованных инженеров ОАТ), после чего немедленно были начаты заводские испытания, на которых опытный образец имел поддон от другой опытной системы и ручной привод ГН. В 1934 г. предполагалось изготовить новый поддон и установить привод поворотного механизма от бензинового мотоциклетного двигателя. В июне 1934 г. опытный образец 25-К поступил на НИАП для проведения полигонных испытаний. А в июне следующего года 25-К участвовала в конкурсных испытаниях с Ф-20, Ф-22 и другими пушками на НИАПе (15117).</w:t>
      </w:r>
    </w:p>
    <w:p w14:paraId="1051276C" w14:textId="77777777" w:rsidR="00661CFE" w:rsidRPr="0044524F" w:rsidRDefault="00661CFE" w:rsidP="009654CF">
      <w:pPr>
        <w:spacing w:after="0" w:line="240" w:lineRule="auto"/>
        <w:jc w:val="both"/>
        <w:rPr>
          <w:rFonts w:ascii="Times New Roman" w:hAnsi="Times New Roman"/>
          <w:color w:val="000000" w:themeColor="text1"/>
          <w:sz w:val="16"/>
          <w:szCs w:val="16"/>
        </w:rPr>
      </w:pPr>
    </w:p>
    <w:p w14:paraId="5B63623F" w14:textId="77777777" w:rsidR="00E64894" w:rsidRPr="00142305" w:rsidRDefault="00E64894" w:rsidP="00E64894">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середине декабря 1933 г. на заводе № 8 был закончен опытный образец 76 мм полууниверсальной пушки 25-К, после чего немедленно были начаты заводские испытания, на которых опытный образец имел поддон от другой опытной системы и ручной привод ГН.</w:t>
      </w:r>
    </w:p>
    <w:p w14:paraId="0EBCFCEE" w14:textId="77777777" w:rsidR="00E64894" w:rsidRPr="00142305" w:rsidRDefault="00E64894" w:rsidP="00E6489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Проектирование системы и изготовление рабочих чертежей 76-мм полууниверсальной пушки 25-К было выполнено «Спецгруппой» на заводе № 8 в качестве внеплановой работы. «Спецгруппа» была создана ОГПУ из арестованных инженеров ОАТ.</w:t>
      </w:r>
    </w:p>
    <w:p w14:paraId="033FFB79" w14:textId="77777777" w:rsidR="00E64894" w:rsidRPr="00142305" w:rsidRDefault="00E64894" w:rsidP="00E6489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1934 г. предполагалось изготовить новый поддон и установить привод поворотного механизма от бензинового мотоциклетного двигателя (25213).</w:t>
      </w:r>
    </w:p>
    <w:p w14:paraId="489F0F99" w14:textId="77777777" w:rsidR="00E64894" w:rsidRPr="00142305" w:rsidRDefault="00E64894" w:rsidP="00E64894">
      <w:pPr>
        <w:spacing w:after="0" w:line="240" w:lineRule="auto"/>
        <w:jc w:val="both"/>
        <w:rPr>
          <w:rFonts w:ascii="Times New Roman" w:hAnsi="Times New Roman"/>
          <w:color w:val="0070C0"/>
          <w:sz w:val="16"/>
          <w:szCs w:val="16"/>
        </w:rPr>
      </w:pPr>
    </w:p>
    <w:p w14:paraId="14621F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середине декабря 1933 на ХПЗ с ленинградского Опытного завода им. С.М.К. поступил полный комплект чертежей на башенную установку Т-24-4 с 76-мм пушкой обр. 1927 (КТ-28) опытного танка Т-26А. КБ ХПЗ под руководством А.О.Фирсова переработало чертежи под БТ-7 (3881,6).</w:t>
      </w:r>
    </w:p>
    <w:p w14:paraId="135B32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CA44CF8"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629A002"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5EC45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декабря 1933 второй экземпляр вывели на аэродром. Его также испытывал Чкалов. 21 декабря 1933 г. после завершения цикла заводских испытаний ЦКБ-3 переда</w:t>
      </w:r>
      <w:r w:rsidRPr="0044524F">
        <w:rPr>
          <w:rFonts w:ascii="Times New Roman" w:hAnsi="Times New Roman"/>
          <w:color w:val="000000" w:themeColor="text1"/>
          <w:sz w:val="16"/>
          <w:szCs w:val="16"/>
        </w:rPr>
        <w:softHyphen/>
        <w:t>ли в НИИ ВВС. Первый этап (ведущий летчик В.А.Сте-панченок) проводился в довольно быстром темпе и закончился к 1 января 1934 г. Второй этап продолжался с 14 января по 24 марта. Испытания подтвердили высокие летные характеристики машины. Поэтому еще до их завершения, 2 февраля 1934 г., отмечая вклад кол</w:t>
      </w:r>
      <w:r w:rsidRPr="0044524F">
        <w:rPr>
          <w:rFonts w:ascii="Times New Roman" w:hAnsi="Times New Roman"/>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042DFC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876C5AF" w14:textId="77777777" w:rsidR="004852A6" w:rsidRPr="00142305" w:rsidRDefault="004852A6" w:rsidP="004852A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декабря 1933 г. второй экземпляр И-15 (ЦКБ-3) был выведен на аэродром. Его также испытывал Чкалов. 21 декабря 1933 г. после завершения цикла заводских испытаний ЦКБ-3 был передан в НИИ ВВС. Первый этап (ведущий летчик — В. А. Степанченок) проводился в довольно быстром темпе и закончился к 1 января 1934 г. Второй этап продолжался с 14 января по 24 марта. Испытания подтвердили высокие летные характеристики машины (25035),</w:t>
      </w:r>
    </w:p>
    <w:p w14:paraId="7F8AD556" w14:textId="77777777" w:rsidR="004852A6" w:rsidRPr="00142305" w:rsidRDefault="004852A6" w:rsidP="004852A6">
      <w:pPr>
        <w:spacing w:after="0" w:line="240" w:lineRule="auto"/>
        <w:jc w:val="both"/>
        <w:rPr>
          <w:rFonts w:ascii="Times New Roman" w:hAnsi="Times New Roman"/>
          <w:color w:val="0070C0"/>
          <w:sz w:val="16"/>
          <w:szCs w:val="16"/>
        </w:rPr>
      </w:pPr>
    </w:p>
    <w:p w14:paraId="733963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декабря 1933 Нач. НОТО ГУАП Алмазов писал Нач. ЦАГИ Харламову письмо N 257/763с:</w:t>
      </w:r>
    </w:p>
    <w:p w14:paraId="7BAFA0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выслать мне к 22 декабря 1933 календарную распланировку по программе опытного самолетостроения 1934 и 35 г. с указанием по всем типам машин." (2286,116).</w:t>
      </w:r>
    </w:p>
    <w:p w14:paraId="1BBDA0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4B3F6F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декабря 1933 отстрел снарядов этой же модели провели с углом возвы</w:t>
      </w:r>
      <w:r w:rsidRPr="0044524F">
        <w:rPr>
          <w:rFonts w:ascii="Times New Roman" w:hAnsi="Times New Roman"/>
          <w:color w:val="000000" w:themeColor="text1"/>
          <w:sz w:val="16"/>
          <w:szCs w:val="16"/>
        </w:rPr>
        <w:softHyphen/>
        <w:t>шения орудия 40° для определения предельной дальности полета и вели</w:t>
      </w:r>
      <w:r w:rsidRPr="0044524F">
        <w:rPr>
          <w:rFonts w:ascii="Times New Roman" w:hAnsi="Times New Roman"/>
          <w:color w:val="000000" w:themeColor="text1"/>
          <w:sz w:val="16"/>
          <w:szCs w:val="16"/>
        </w:rPr>
        <w:softHyphen/>
        <w:t>чин рассеивания на ней. Партия из 16 боеприпасов, изготовленных в ма</w:t>
      </w:r>
      <w:r w:rsidRPr="0044524F">
        <w:rPr>
          <w:rFonts w:ascii="Times New Roman" w:hAnsi="Times New Roman"/>
          <w:color w:val="000000" w:themeColor="text1"/>
          <w:sz w:val="16"/>
          <w:szCs w:val="16"/>
        </w:rPr>
        <w:softHyphen/>
        <w:t>стерских ЛО РНИИ, также была вполне удовлетворительного качества. Все снаряды «имели правильный полет». Первый пристрелочный в зачет не вошел. Места падения еще двух снарядов обнаружить не удалось из-за внезапно сгустившегося тумана, вынудившего прекратить стрельбу. Бо</w:t>
      </w:r>
      <w:r w:rsidRPr="0044524F">
        <w:rPr>
          <w:rFonts w:ascii="Times New Roman" w:hAnsi="Times New Roman"/>
          <w:color w:val="000000" w:themeColor="text1"/>
          <w:sz w:val="16"/>
          <w:szCs w:val="16"/>
        </w:rPr>
        <w:softHyphen/>
        <w:t>ковое рассеивание оказалось несколько большим, нежели при стрельбе с углами возвышения 17°. И это вполне естественно, так как высота тра</w:t>
      </w:r>
      <w:r w:rsidRPr="0044524F">
        <w:rPr>
          <w:rFonts w:ascii="Times New Roman" w:hAnsi="Times New Roman"/>
          <w:color w:val="000000" w:themeColor="text1"/>
          <w:sz w:val="16"/>
          <w:szCs w:val="16"/>
        </w:rPr>
        <w:softHyphen/>
        <w:t>ектории для угла возвышения 40° - около 1350 м, тогда как для угла воз</w:t>
      </w:r>
      <w:r w:rsidRPr="0044524F">
        <w:rPr>
          <w:rFonts w:ascii="Times New Roman" w:hAnsi="Times New Roman"/>
          <w:color w:val="000000" w:themeColor="text1"/>
          <w:sz w:val="16"/>
          <w:szCs w:val="16"/>
        </w:rPr>
        <w:softHyphen/>
        <w:t>вышения 17° - не более 350 м. По заключению начальника ЛО РНИИ Г.Э.Лангемака и начальника 1-го отдела Ф.Н.Пойды, руководивших опытами, в дальнейшем умень</w:t>
      </w:r>
      <w:r w:rsidRPr="0044524F">
        <w:rPr>
          <w:rFonts w:ascii="Times New Roman" w:hAnsi="Times New Roman"/>
          <w:color w:val="000000" w:themeColor="text1"/>
          <w:sz w:val="16"/>
          <w:szCs w:val="16"/>
        </w:rPr>
        <w:softHyphen/>
        <w:t>шить боковое рассеивание возможно «за счет улучшения условий веде</w:t>
      </w:r>
      <w:r w:rsidRPr="0044524F">
        <w:rPr>
          <w:rFonts w:ascii="Times New Roman" w:hAnsi="Times New Roman"/>
          <w:color w:val="000000" w:themeColor="text1"/>
          <w:sz w:val="16"/>
          <w:szCs w:val="16"/>
        </w:rPr>
        <w:softHyphen/>
        <w:t>ния снаряда в орудии». Развивая последний тезис выводов, в 1933 г. в ма</w:t>
      </w:r>
      <w:r w:rsidRPr="0044524F">
        <w:rPr>
          <w:rFonts w:ascii="Times New Roman" w:hAnsi="Times New Roman"/>
          <w:color w:val="000000" w:themeColor="text1"/>
          <w:sz w:val="16"/>
          <w:szCs w:val="16"/>
        </w:rPr>
        <w:softHyphen/>
        <w:t>стерских Ленинградской артиллерийской технической школы ЛАТШ на основе РС-82 модели 1367 изготовили снаряды РС-82 модели 1406. Впрочем, стабилизаторы к ним делали в опытных мастерских ЛО РНИИ. Сталей требуемых качеств, марок и профилей в то время найти было до</w:t>
      </w:r>
      <w:r w:rsidRPr="0044524F">
        <w:rPr>
          <w:rFonts w:ascii="Times New Roman" w:hAnsi="Times New Roman"/>
          <w:color w:val="000000" w:themeColor="text1"/>
          <w:sz w:val="16"/>
          <w:szCs w:val="16"/>
        </w:rPr>
        <w:softHyphen/>
        <w:t>вольно трудно, поэтому камеры ракетных двигателей боеприпасов ран</w:t>
      </w:r>
      <w:r w:rsidRPr="0044524F">
        <w:rPr>
          <w:rFonts w:ascii="Times New Roman" w:hAnsi="Times New Roman"/>
          <w:color w:val="000000" w:themeColor="text1"/>
          <w:sz w:val="16"/>
          <w:szCs w:val="16"/>
        </w:rPr>
        <w:softHyphen/>
        <w:t>них моделей изготавливали из корпусов штатных 107-мм артснарядов. Ракетные боеприпасы обеих моделей, за исключением оперения с разма</w:t>
      </w:r>
      <w:r w:rsidRPr="0044524F">
        <w:rPr>
          <w:rFonts w:ascii="Times New Roman" w:hAnsi="Times New Roman"/>
          <w:color w:val="000000" w:themeColor="text1"/>
          <w:sz w:val="16"/>
          <w:szCs w:val="16"/>
        </w:rPr>
        <w:softHyphen/>
        <w:t>хом 200 мм, изготовленных из листового дюралюминия, конструктивно соответствовали друг другу (11402).</w:t>
      </w:r>
    </w:p>
    <w:p w14:paraId="17161C5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64977A4" w14:textId="77777777" w:rsidR="00CE35D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B7FA01B" w14:textId="77777777" w:rsidR="00CE35D9" w:rsidRPr="0044524F" w:rsidRDefault="00CE35D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A2DD0E6" w14:textId="77777777" w:rsidR="009E3DAA" w:rsidRPr="0044524F" w:rsidRDefault="009E3DAA"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color w:val="000000" w:themeColor="text1"/>
          <w:sz w:val="16"/>
          <w:szCs w:val="16"/>
        </w:rPr>
        <w:t>16 декабря 1933 г.</w:t>
      </w:r>
    </w:p>
    <w:p w14:paraId="0AB3DE07" w14:textId="77777777" w:rsidR="009E3DAA" w:rsidRPr="0044524F" w:rsidRDefault="009E3DAA"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color w:val="000000" w:themeColor="text1"/>
          <w:sz w:val="16"/>
          <w:szCs w:val="16"/>
        </w:rPr>
        <w:t>Записка по прямому проводу ГПУ УССР о ходе строительства подлодок в Николаеве. 16 декабря 1933 г.</w:t>
      </w:r>
    </w:p>
    <w:p w14:paraId="3159572F" w14:textId="77777777" w:rsidR="009E3DAA" w:rsidRPr="0044524F" w:rsidRDefault="009E3DAA"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bCs/>
          <w:color w:val="000000" w:themeColor="text1"/>
          <w:sz w:val="16"/>
          <w:szCs w:val="16"/>
        </w:rPr>
        <w:t>Источник: </w:t>
      </w:r>
    </w:p>
    <w:p w14:paraId="4B727918" w14:textId="77777777" w:rsidR="009E3DAA" w:rsidRPr="0044524F" w:rsidRDefault="009E3DA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секретно»: Лубянка — Сталину о положении в стране (1922-1934 гг.)</w:t>
      </w:r>
    </w:p>
    <w:p w14:paraId="019C7174" w14:textId="77777777" w:rsidR="009E3DAA" w:rsidRPr="0044524F" w:rsidRDefault="009E3DAA" w:rsidP="009654CF">
      <w:pPr>
        <w:spacing w:after="0" w:line="240" w:lineRule="auto"/>
        <w:jc w:val="both"/>
        <w:rPr>
          <w:rFonts w:ascii="Times New Roman" w:hAnsi="Times New Roman"/>
          <w:bCs/>
          <w:color w:val="000000" w:themeColor="text1"/>
          <w:sz w:val="16"/>
          <w:szCs w:val="16"/>
        </w:rPr>
      </w:pPr>
      <w:r w:rsidRPr="0044524F">
        <w:rPr>
          <w:rFonts w:ascii="Times New Roman" w:hAnsi="Times New Roman"/>
          <w:bCs/>
          <w:color w:val="000000" w:themeColor="text1"/>
          <w:sz w:val="16"/>
          <w:szCs w:val="16"/>
        </w:rPr>
        <w:t>Архив: </w:t>
      </w:r>
    </w:p>
    <w:p w14:paraId="69B9198C" w14:textId="77777777" w:rsidR="009E3DAA" w:rsidRPr="0044524F" w:rsidRDefault="009E3DA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 2. Оп. 11. Д. 1021. Л. 47. Заверенная копия</w:t>
      </w:r>
    </w:p>
    <w:p w14:paraId="7D1608B7" w14:textId="77777777" w:rsidR="009E3DAA" w:rsidRPr="0044524F" w:rsidRDefault="009E3DAA" w:rsidP="009654CF">
      <w:pPr>
        <w:pStyle w:val="ae"/>
        <w:spacing w:before="0" w:after="0"/>
        <w:jc w:val="both"/>
        <w:rPr>
          <w:color w:val="000000" w:themeColor="text1"/>
          <w:sz w:val="16"/>
          <w:szCs w:val="16"/>
        </w:rPr>
      </w:pPr>
      <w:r w:rsidRPr="0044524F">
        <w:rPr>
          <w:color w:val="000000" w:themeColor="text1"/>
          <w:sz w:val="16"/>
          <w:szCs w:val="16"/>
        </w:rPr>
        <w:t>16 декабря 1933 г.</w:t>
      </w:r>
    </w:p>
    <w:p w14:paraId="51595F9F" w14:textId="77777777" w:rsidR="009E3DAA" w:rsidRPr="0044524F" w:rsidRDefault="009E3DAA" w:rsidP="009654CF">
      <w:pPr>
        <w:pStyle w:val="ae"/>
        <w:spacing w:before="0" w:after="0"/>
        <w:jc w:val="both"/>
        <w:rPr>
          <w:color w:val="000000" w:themeColor="text1"/>
          <w:sz w:val="16"/>
          <w:szCs w:val="16"/>
        </w:rPr>
      </w:pPr>
      <w:r w:rsidRPr="0044524F">
        <w:rPr>
          <w:color w:val="000000" w:themeColor="text1"/>
          <w:sz w:val="16"/>
          <w:szCs w:val="16"/>
        </w:rPr>
        <w:t>№ 54972</w:t>
      </w:r>
    </w:p>
    <w:p w14:paraId="6CB63C70" w14:textId="77777777" w:rsidR="009E3DAA" w:rsidRPr="0044524F" w:rsidRDefault="009E3DAA" w:rsidP="009654CF">
      <w:pPr>
        <w:pStyle w:val="ae"/>
        <w:spacing w:before="0" w:after="0"/>
        <w:jc w:val="both"/>
        <w:rPr>
          <w:color w:val="000000" w:themeColor="text1"/>
          <w:sz w:val="16"/>
          <w:szCs w:val="16"/>
        </w:rPr>
      </w:pPr>
      <w:r w:rsidRPr="0044524F">
        <w:rPr>
          <w:color w:val="000000" w:themeColor="text1"/>
          <w:sz w:val="16"/>
          <w:szCs w:val="16"/>
        </w:rPr>
        <w:t>Совершенно секретно</w:t>
      </w:r>
    </w:p>
    <w:p w14:paraId="26398130" w14:textId="77777777" w:rsidR="009E3DAA" w:rsidRPr="0044524F" w:rsidRDefault="009E3DAA" w:rsidP="009654CF">
      <w:pPr>
        <w:pStyle w:val="ae"/>
        <w:spacing w:before="0" w:after="0"/>
        <w:jc w:val="both"/>
        <w:rPr>
          <w:color w:val="000000" w:themeColor="text1"/>
          <w:sz w:val="16"/>
          <w:szCs w:val="16"/>
        </w:rPr>
      </w:pPr>
      <w:r w:rsidRPr="0044524F">
        <w:rPr>
          <w:color w:val="000000" w:themeColor="text1"/>
          <w:sz w:val="16"/>
          <w:szCs w:val="16"/>
        </w:rPr>
        <w:t>Москва</w:t>
      </w:r>
      <w:r w:rsidRPr="0044524F">
        <w:rPr>
          <w:color w:val="000000" w:themeColor="text1"/>
          <w:sz w:val="16"/>
          <w:szCs w:val="16"/>
        </w:rPr>
        <w:br/>
        <w:t>Зам. председателя ОГПУ т. Ягоде</w:t>
      </w:r>
    </w:p>
    <w:p w14:paraId="071DC284" w14:textId="77777777" w:rsidR="009E3DAA" w:rsidRPr="0044524F" w:rsidRDefault="009E3DAA" w:rsidP="009654CF">
      <w:pPr>
        <w:pStyle w:val="rtejustify"/>
        <w:spacing w:before="0" w:after="0"/>
        <w:rPr>
          <w:color w:val="000000" w:themeColor="text1"/>
          <w:sz w:val="16"/>
          <w:szCs w:val="16"/>
        </w:rPr>
      </w:pPr>
      <w:r w:rsidRPr="0044524F">
        <w:rPr>
          <w:color w:val="000000" w:themeColor="text1"/>
          <w:sz w:val="16"/>
          <w:szCs w:val="16"/>
        </w:rPr>
        <w:t>Ход строительства малых подлодок типа «Малютка» для Дальнего Востока на заводах [им.] Марти и [им.] 61 [коммунара] в Николаеве не внушает особых опасений своевременного выполнения заказа. Серьезное положение создалось с испытанием лодок и своевременной отправкой их на Дальний Восток. Первые три подлодки в намеченный срок, 1 декабря, отправлены на Дальний Восток своевременно.</w:t>
      </w:r>
    </w:p>
    <w:p w14:paraId="1BBBFEA6" w14:textId="77777777" w:rsidR="009E3DAA" w:rsidRPr="0044524F" w:rsidRDefault="009E3DAA" w:rsidP="009654CF">
      <w:pPr>
        <w:pStyle w:val="rtejustify"/>
        <w:spacing w:before="0" w:after="0"/>
        <w:rPr>
          <w:color w:val="000000" w:themeColor="text1"/>
          <w:sz w:val="16"/>
          <w:szCs w:val="16"/>
        </w:rPr>
      </w:pPr>
      <w:r w:rsidRPr="0044524F">
        <w:rPr>
          <w:color w:val="000000" w:themeColor="text1"/>
          <w:sz w:val="16"/>
          <w:szCs w:val="16"/>
        </w:rPr>
        <w:t xml:space="preserve">Очередная отправка трех подлодок 15 декабря сорвана. Основные причины — невозможность прохода подлодок в Севастополь для испытания из-за льда на р. Буг. В связи с этим помощник командира Мор[ских] сил Черного моря Разгон предложил заводам перенести глубоководные испытания и торпедные стрельбы на Дальний Восток. Заводы приступили к демонтажу лодок и подготовке к отправке. Начальник Мор[ских] сил Черного моря Орлов это распоряжение отменил, предложив произвести все испытания в Севастополе. Заводы снова приступили к монтажу демонтируемых лодок. Вслед за этим получилось новое распоряжение помощника </w:t>
      </w:r>
      <w:r w:rsidRPr="0044524F">
        <w:rPr>
          <w:color w:val="000000" w:themeColor="text1"/>
          <w:sz w:val="16"/>
          <w:szCs w:val="16"/>
        </w:rPr>
        <w:lastRenderedPageBreak/>
        <w:t>начальника Мор[ских] сил Лудри: «Лодки не монтировать, а отправить их на транспортерах в Севастополь» (несмотря на то, что севастопольский кран маломощный и не обеспечивает подъем лодок).</w:t>
      </w:r>
    </w:p>
    <w:p w14:paraId="1624DEBB" w14:textId="77777777" w:rsidR="009E3DAA" w:rsidRPr="0044524F" w:rsidRDefault="009E3DAA" w:rsidP="009654CF">
      <w:pPr>
        <w:pStyle w:val="rtejustify"/>
        <w:spacing w:before="0" w:after="0"/>
        <w:rPr>
          <w:color w:val="000000" w:themeColor="text1"/>
          <w:sz w:val="16"/>
          <w:szCs w:val="16"/>
        </w:rPr>
      </w:pPr>
      <w:r w:rsidRPr="0044524F">
        <w:rPr>
          <w:color w:val="000000" w:themeColor="text1"/>
          <w:sz w:val="16"/>
          <w:szCs w:val="16"/>
        </w:rPr>
        <w:t>В настоящее время получены указания об отправке четырех подлодок в Севастополь водой. Заводы решили погрузить лодки на нефтевоз и на буксире двух ледоколов провести через льды в открытое море, где при помощи 150-тонного плавучего крана снять с нефтевоза и отправить своим ходом. Таким же путем намечена отправка последующих партий. Специалисты высказывают сомнение в устойчивости нефтевоза при погрузке на одну его сторону четырех подлодок. Это обстоятельство проверяется (19723).</w:t>
      </w:r>
    </w:p>
    <w:p w14:paraId="1F8156CB" w14:textId="77777777" w:rsidR="009E3DAA" w:rsidRPr="0044524F" w:rsidRDefault="009E3DAA" w:rsidP="009654CF">
      <w:pPr>
        <w:spacing w:after="0" w:line="240" w:lineRule="auto"/>
        <w:jc w:val="both"/>
        <w:rPr>
          <w:rFonts w:ascii="Times New Roman" w:hAnsi="Times New Roman"/>
          <w:color w:val="000000" w:themeColor="text1"/>
          <w:sz w:val="16"/>
          <w:szCs w:val="16"/>
        </w:rPr>
      </w:pPr>
    </w:p>
    <w:p w14:paraId="3FEB7FB0" w14:textId="77777777" w:rsidR="009E3DAA" w:rsidRPr="0044524F" w:rsidRDefault="009E3DA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декабря 1933 г. начальник МС РККА докладывал НКО и председателю РВС о необходимости приобретения у итальянской фирмы «Уайтхед-Фиуме» ещѐ одной партии скоростных торпед (50 узлов) в количестве 50 штук. Данная необходимость обосновывалась потребностью увеличить торпедный боезапас скоростными торпедами и получить возможность освоения производства отечественной промышленностью данного типа вооружения, в виде образца. А 19 декабря 1933 г. НКО и председатель РВС обратился к председателю СТО СССР В. М. Молотову с ходатайством о закупке 50-ти торпед у фирмы «Уайтхед» в г. Фиуме. 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(18258).</w:t>
      </w:r>
    </w:p>
    <w:p w14:paraId="488E69E4" w14:textId="77777777" w:rsidR="009E3DAA" w:rsidRPr="0044524F" w:rsidRDefault="009E3DAA" w:rsidP="009654CF">
      <w:pPr>
        <w:spacing w:after="0" w:line="240" w:lineRule="auto"/>
        <w:jc w:val="both"/>
        <w:rPr>
          <w:rFonts w:ascii="Times New Roman" w:hAnsi="Times New Roman"/>
          <w:color w:val="000000" w:themeColor="text1"/>
          <w:sz w:val="16"/>
          <w:szCs w:val="16"/>
        </w:rPr>
      </w:pPr>
    </w:p>
    <w:p w14:paraId="1A811956" w14:textId="77777777" w:rsidR="00CE35D9" w:rsidRPr="0044524F" w:rsidRDefault="00CE35D9" w:rsidP="009654CF">
      <w:pPr>
        <w:spacing w:after="0" w:line="240" w:lineRule="auto"/>
        <w:jc w:val="both"/>
        <w:rPr>
          <w:rFonts w:ascii="Times New Roman" w:eastAsia="TimesNewRoman" w:hAnsi="Times New Roman"/>
          <w:color w:val="000000" w:themeColor="text1"/>
          <w:sz w:val="16"/>
          <w:szCs w:val="16"/>
        </w:rPr>
      </w:pPr>
      <w:r w:rsidRPr="0044524F">
        <w:rPr>
          <w:rFonts w:ascii="Times New Roman" w:eastAsia="TimesNewRoman" w:hAnsi="Times New Roman"/>
          <w:color w:val="000000" w:themeColor="text1"/>
          <w:sz w:val="16"/>
          <w:szCs w:val="16"/>
        </w:rPr>
        <w:t>16 декабря 1933 г. начальник МС РККА докладывал НКО и председателю РВС о необходимости приобретения у итальянской фирмы «Уайтхед-Фиуме» ещѐ одной партии скоростных торпед (50 узлов) в количестве 50 штук. Данная необходимость обосновывалась потребностью увеличить торпедный боезапас скоростными торпедами и получить возможность освоения производства отечественной промышленностью данного типа вооружения, в виде образца. А 19 декабря 1933 г. НКО и председатель РВС обратился к председателю СТО СССР В. М. Молотову с ходатайством о закупке 50-ти торпед у фирмы «Уайтхед» в г. Фиуме.</w:t>
      </w:r>
    </w:p>
    <w:p w14:paraId="65B5B2FC" w14:textId="77777777" w:rsidR="00CE35D9" w:rsidRPr="0044524F" w:rsidRDefault="00CE35D9" w:rsidP="009654CF">
      <w:pPr>
        <w:spacing w:after="0" w:line="240" w:lineRule="auto"/>
        <w:jc w:val="both"/>
        <w:rPr>
          <w:rFonts w:ascii="Times New Roman" w:eastAsia="TimesNewRoman" w:hAnsi="Times New Roman"/>
          <w:color w:val="000000" w:themeColor="text1"/>
          <w:sz w:val="16"/>
          <w:szCs w:val="16"/>
        </w:rPr>
      </w:pPr>
      <w:r w:rsidRPr="0044524F">
        <w:rPr>
          <w:rFonts w:ascii="Times New Roman" w:eastAsia="TimesNewRoman" w:hAnsi="Times New Roman"/>
          <w:color w:val="000000" w:themeColor="text1"/>
          <w:sz w:val="16"/>
          <w:szCs w:val="16"/>
        </w:rPr>
        <w:t>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(12701).</w:t>
      </w:r>
    </w:p>
    <w:p w14:paraId="06A056FA" w14:textId="77777777" w:rsidR="00CE35D9" w:rsidRPr="0044524F" w:rsidRDefault="00CE35D9" w:rsidP="009654CF">
      <w:pPr>
        <w:spacing w:after="0" w:line="240" w:lineRule="auto"/>
        <w:jc w:val="both"/>
        <w:rPr>
          <w:rFonts w:ascii="Times New Roman" w:eastAsia="TimesNewRoman" w:hAnsi="Times New Roman"/>
          <w:color w:val="000000" w:themeColor="text1"/>
          <w:sz w:val="16"/>
          <w:szCs w:val="16"/>
        </w:rPr>
      </w:pPr>
    </w:p>
    <w:p w14:paraId="300664E6" w14:textId="77777777" w:rsidR="004852A6" w:rsidRPr="00142305" w:rsidRDefault="004852A6" w:rsidP="004852A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16 декабря 1933 г. начальник МС РККА докладывал НКО и председателю РВС о необходимости приобретения у итальянской фирмы «Уайтхед-Фиуме» ещѐ одной партии скоростных торпед (50 узлов) в количестве 50 штук. Данная необходимость обосновывалась потребностью увеличить торпедный боезапас скоростными торпедами и получить возможность освоения производства отечественной промышленностью данного типа вооружения, в виде образца. А 19 декабря 1933 г. НКО и председатель РВС обратился к председателю СТО СССР В. М. Молотову с ходатайством о закупке 50-ти торпед у фирмы «Уайтхед» в г. Фиуме. 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(25366).</w:t>
      </w:r>
    </w:p>
    <w:p w14:paraId="005999DC" w14:textId="77777777" w:rsidR="004852A6" w:rsidRPr="00142305" w:rsidRDefault="004852A6" w:rsidP="004852A6">
      <w:pPr>
        <w:spacing w:after="0" w:line="240" w:lineRule="auto"/>
        <w:jc w:val="both"/>
        <w:rPr>
          <w:rFonts w:ascii="Times New Roman" w:hAnsi="Times New Roman"/>
          <w:color w:val="0070C0"/>
          <w:sz w:val="16"/>
          <w:szCs w:val="16"/>
        </w:rPr>
      </w:pPr>
    </w:p>
    <w:p w14:paraId="2BCDF1CD"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декабря 1933 г.</w:t>
      </w:r>
    </w:p>
    <w:p w14:paraId="16C216EC"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ЗАПИСКА ПО ПРЯМОМУ ПРОВОДУ ГПУ УССР</w:t>
      </w:r>
    </w:p>
    <w:p w14:paraId="2EF62038"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строительства подлодок в Николаеве</w:t>
      </w:r>
    </w:p>
    <w:p w14:paraId="333EDEEF"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декабря 1933 г.</w:t>
      </w:r>
    </w:p>
    <w:p w14:paraId="0DFB4175"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54972</w:t>
      </w:r>
    </w:p>
    <w:p w14:paraId="7B0AD5AE"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секретно</w:t>
      </w:r>
    </w:p>
    <w:p w14:paraId="69B46C8B"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Москва</w:t>
      </w:r>
    </w:p>
    <w:p w14:paraId="49B505E9"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председателя ОГПУ т. Ягоде</w:t>
      </w:r>
    </w:p>
    <w:p w14:paraId="40B08753"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Ход строительства малых подлодок типа «Малютка» для Дальнего Востока на заводах [им.] Марти и [им.] 61 [коммунара] в Николаеве не внушает особых опасений своевременного выполнения заказа. Серьезное положение создалось с испытанием лодок и своевременной отправкой их на Дальний Восток. Первые три подлодки в намеченный срок, 1 декабря, отправлены на Дальний Восток своевременно.</w:t>
      </w:r>
    </w:p>
    <w:p w14:paraId="4F444029"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Очередная отправка трех подлодок 15 декабря сорвана. Основные причины - невозможность прохода подлодок в Севастополь для испытания из-за льда на р. Буг. В связи с этим помощник командира Мор[ских] сил Черного моря Разгон предложил заводам перенести глубоководные испытания и торпедные стрельбы на Дальний Восток. Заводы приступили к демонтажу лодок и подготовке к отправке. Начальник Мор[ских] сил Черного моря Орлов это распоряжение отменил, предложив произвести все испытания в Севастополе. Заводы снова приступили к монтажу демонтируемых лодок. Вслед за этим получилось новое распоряжение помощника начальника Мор[ских] сил Лудри: «Лодки не монтировать, а отправить их на транспортерах в Севастополь» (несмотря на то, что севастопольский кран маломощный и не обеспечивает подъем лодок).</w:t>
      </w:r>
    </w:p>
    <w:p w14:paraId="085E49E7"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получены указания об отправке четырех подлодок в Севастополь водой. Заводы решили погрузить лодки на нефтевоз и на буксире двух ледоколов провести через льды в открытое море, где при помощи 150-тонного плавучего крана снять с нефтевоза и отправить своим ходом. Таким же путем намечена отправка последующих партий.</w:t>
      </w:r>
    </w:p>
    <w:p w14:paraId="2445D0B4"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Специалисты высказывают сомнение в устойчивости нефтевоза при погрузке на одну его сторону четырех подлодок. Это обстоятельство проверяется.</w:t>
      </w:r>
    </w:p>
    <w:p w14:paraId="25643C32"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Карлсон</w:t>
      </w:r>
    </w:p>
    <w:p w14:paraId="1166037D"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Рассылается:</w:t>
      </w:r>
    </w:p>
    <w:p w14:paraId="11A0842A"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Сталину; 2) Ворошилову; 3) Орджоникидзе; 4) Агранову; 5) Гаю;</w:t>
      </w:r>
    </w:p>
    <w:p w14:paraId="55FB0A1C"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Миронову.</w:t>
      </w:r>
    </w:p>
    <w:p w14:paraId="1ABFBF9F"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 2. Оп. 11. Д. 1021. Л. 47. Заверенная копия (21072).</w:t>
      </w:r>
    </w:p>
    <w:p w14:paraId="4926FC5F" w14:textId="77777777" w:rsidR="0009760C" w:rsidRPr="0044524F" w:rsidRDefault="0009760C" w:rsidP="009654CF">
      <w:pPr>
        <w:spacing w:after="0" w:line="240" w:lineRule="auto"/>
        <w:jc w:val="both"/>
        <w:rPr>
          <w:rFonts w:ascii="Times New Roman" w:hAnsi="Times New Roman"/>
          <w:color w:val="000000" w:themeColor="text1"/>
          <w:sz w:val="16"/>
          <w:szCs w:val="16"/>
        </w:rPr>
      </w:pPr>
    </w:p>
    <w:p w14:paraId="503557BC"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973B9D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7AE22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декабря 1933 после признания правительством США СССР было официально заявлено об установлении дипотношений (3186).</w:t>
      </w:r>
    </w:p>
    <w:p w14:paraId="4E7668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F8B1C33"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6C5910B"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45A15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декабря 1934 был собран каркас дублера И-14, после чего приступили к его обшивке, которую завершили 7 января 1934 г. Первоначальные чертежи на каркас были изъяты из производства по причине перехода на гладкую обшивку, а новые чертежи завод получил лишь 25 ноября 1933 г.</w:t>
      </w:r>
    </w:p>
    <w:p w14:paraId="6EF8E7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Консоли крыла были собраны 13 января 1934 г. </w:t>
      </w:r>
    </w:p>
    <w:p w14:paraId="5DDB1A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Центроплан был готов полностью 8 января 1934 г. Оперение собрали раньше - к середине декабря 1933 г., 22 декабря собрали элероны, которые из-за изменения обшивки застряли в производстве на целый месяц.</w:t>
      </w:r>
    </w:p>
    <w:p w14:paraId="39A3DC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5E5D1F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58A2B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10A079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776280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18ECE1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29B61C6" w14:textId="77777777" w:rsidR="00661CFE" w:rsidRPr="0044524F" w:rsidRDefault="00661CFE" w:rsidP="009654CF">
      <w:pPr>
        <w:spacing w:after="0" w:line="240" w:lineRule="auto"/>
        <w:jc w:val="both"/>
        <w:rPr>
          <w:rStyle w:val="af0"/>
          <w:rFonts w:ascii="Times New Roman" w:hAnsi="Times New Roman"/>
          <w:i w:val="0"/>
          <w:color w:val="000000" w:themeColor="text1"/>
          <w:sz w:val="16"/>
          <w:szCs w:val="16"/>
        </w:rPr>
      </w:pPr>
      <w:r w:rsidRPr="0044524F">
        <w:rPr>
          <w:rStyle w:val="af0"/>
          <w:rFonts w:ascii="Times New Roman" w:hAnsi="Times New Roman"/>
          <w:i w:val="0"/>
          <w:color w:val="000000" w:themeColor="text1"/>
          <w:sz w:val="16"/>
          <w:szCs w:val="16"/>
        </w:rPr>
        <w:t xml:space="preserve">17 декабря 1933 г. </w:t>
      </w:r>
      <w:r w:rsidRPr="0044524F">
        <w:rPr>
          <w:rFonts w:ascii="Times New Roman" w:hAnsi="Times New Roman"/>
          <w:color w:val="000000" w:themeColor="text1"/>
          <w:sz w:val="16"/>
          <w:szCs w:val="16"/>
        </w:rPr>
        <w:t>Доклад начальника Военно-морской инспекции НК РКИ СССР Н. В. Куйбышева председателю СТО СССР В. М. Молотову о состоянии производства авиационных прицелов для бомбометания</w:t>
      </w:r>
    </w:p>
    <w:p w14:paraId="2E02C94A"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Style w:val="af0"/>
          <w:rFonts w:ascii="Times New Roman" w:hAnsi="Times New Roman"/>
          <w:i w:val="0"/>
          <w:color w:val="000000" w:themeColor="text1"/>
          <w:sz w:val="16"/>
          <w:szCs w:val="16"/>
        </w:rPr>
        <w:t>Совершенно секретно.</w:t>
      </w:r>
    </w:p>
    <w:p w14:paraId="3BF0E5FD" w14:textId="77777777" w:rsidR="00661CFE" w:rsidRPr="0044524F" w:rsidRDefault="00661CFE" w:rsidP="009654CF">
      <w:pPr>
        <w:pStyle w:val="rtejustify"/>
        <w:spacing w:before="0" w:after="0"/>
        <w:rPr>
          <w:color w:val="000000" w:themeColor="text1"/>
          <w:sz w:val="16"/>
          <w:szCs w:val="16"/>
        </w:rPr>
      </w:pPr>
      <w:r w:rsidRPr="0044524F">
        <w:rPr>
          <w:color w:val="000000" w:themeColor="text1"/>
          <w:sz w:val="16"/>
          <w:szCs w:val="16"/>
        </w:rPr>
        <w:lastRenderedPageBreak/>
        <w:t>Правительством 29 сентября 1933 г. было констатировано крайне неудовлетворительное выполнение программы по военной оптике и в особенности по авиаприцелам. Указав тт. Толоконцеву, Трофимову и директорам заводов на их особую ответственность за выполнение программы и определив на IV квартал 1933 г.: ОПБ</w:t>
      </w:r>
      <w:r w:rsidRPr="0044524F">
        <w:rPr>
          <w:color w:val="000000" w:themeColor="text1"/>
          <w:sz w:val="16"/>
          <w:szCs w:val="16"/>
        </w:rPr>
        <w:noBreakHyphen/>
        <w:t>1 — 550 шт., ОПБ</w:t>
      </w:r>
      <w:r w:rsidRPr="0044524F">
        <w:rPr>
          <w:color w:val="000000" w:themeColor="text1"/>
          <w:sz w:val="16"/>
          <w:szCs w:val="16"/>
        </w:rPr>
        <w:noBreakHyphen/>
        <w:t>2 — 30 шт., правительством было предложено через полтора месяца доложить о ходе выполнения программы.</w:t>
      </w:r>
    </w:p>
    <w:p w14:paraId="23B3E70A" w14:textId="77777777" w:rsidR="00661CFE" w:rsidRPr="0044524F" w:rsidRDefault="00661CFE" w:rsidP="009654CF">
      <w:pPr>
        <w:pStyle w:val="rtejustify"/>
        <w:spacing w:before="0" w:after="0"/>
        <w:rPr>
          <w:color w:val="000000" w:themeColor="text1"/>
          <w:sz w:val="16"/>
          <w:szCs w:val="16"/>
        </w:rPr>
      </w:pPr>
      <w:r w:rsidRPr="0044524F">
        <w:rPr>
          <w:color w:val="000000" w:themeColor="text1"/>
          <w:sz w:val="16"/>
          <w:szCs w:val="16"/>
        </w:rPr>
        <w:t>Военная инспекция ЦКК</w:t>
      </w:r>
      <w:r w:rsidRPr="0044524F">
        <w:rPr>
          <w:color w:val="000000" w:themeColor="text1"/>
          <w:sz w:val="16"/>
          <w:szCs w:val="16"/>
        </w:rPr>
        <w:noBreakHyphen/>
        <w:t>НК РКИ, проверяя выполнение этого задания, произвела обследование производства авиаприцелов на заводе ГОМЗ в Ленинграде и установила, что за полуторамесячный срок перелома в организации производства и в выполнении программы не достигнуто. Никаких особых решительных мероприятий (несмотря на указания правительства об особой ответственности), здесь проведено не было, дело оставалось почти на прежнем уровне и на 1 декабря 1933 г. выполнение программы находится в следующем виде: ОПБ</w:t>
      </w:r>
      <w:r w:rsidRPr="0044524F">
        <w:rPr>
          <w:color w:val="000000" w:themeColor="text1"/>
          <w:sz w:val="16"/>
          <w:szCs w:val="16"/>
        </w:rPr>
        <w:noBreakHyphen/>
        <w:t>1 из 550 шт. — 144 шт. — 26%; ОПБ</w:t>
      </w:r>
      <w:r w:rsidRPr="0044524F">
        <w:rPr>
          <w:color w:val="000000" w:themeColor="text1"/>
          <w:sz w:val="16"/>
          <w:szCs w:val="16"/>
        </w:rPr>
        <w:noBreakHyphen/>
        <w:t>2 из 30 шт. — 0 — 0%.</w:t>
      </w:r>
    </w:p>
    <w:p w14:paraId="47B33317" w14:textId="77777777" w:rsidR="00661CFE" w:rsidRPr="0044524F" w:rsidRDefault="00661CFE" w:rsidP="009654CF">
      <w:pPr>
        <w:pStyle w:val="rtejustify"/>
        <w:spacing w:before="0" w:after="0"/>
        <w:rPr>
          <w:color w:val="000000" w:themeColor="text1"/>
          <w:sz w:val="16"/>
          <w:szCs w:val="16"/>
        </w:rPr>
      </w:pPr>
      <w:r w:rsidRPr="0044524F">
        <w:rPr>
          <w:color w:val="000000" w:themeColor="text1"/>
          <w:sz w:val="16"/>
          <w:szCs w:val="16"/>
        </w:rPr>
        <w:t>Причина невыполнения программы и крайне неудовлетворительная постановка дела по производству авиаприцелов кроются, главным образом, в совершенно неудовлетворительной организации этого дела с самого его начала, в недостаточном внимании к нему со стороны управляющего ВООМП т. Трофимова и директора завода т. Уварова. Так первые три образца ОПБ</w:t>
      </w:r>
      <w:r w:rsidRPr="0044524F">
        <w:rPr>
          <w:color w:val="000000" w:themeColor="text1"/>
          <w:sz w:val="16"/>
          <w:szCs w:val="16"/>
        </w:rPr>
        <w:noBreakHyphen/>
        <w:t>2 были изготовлены заводом в апреле 1932 г., а спустя полтора года производство их остается неосвоенным. До сего времени не закончены чертежи, не разработаны технологические процессы, не подготовлен инструмент, не поставлено достаточно тщательное изготовление деталей в заготовительных цехах, вследствие чего при сборке требуются значительные доделки и подгонка. Сборка этих приборов не обеспечена достаточным количеством квалифицированной рабочей силы, подготовкой которой ни завод, ни объединение не озаботились, несмотря на то, что изучение заграничных приборов (Герц-Байков), по которым копировался прибор ОПБ</w:t>
      </w:r>
      <w:r w:rsidRPr="0044524F">
        <w:rPr>
          <w:color w:val="000000" w:themeColor="text1"/>
          <w:sz w:val="16"/>
          <w:szCs w:val="16"/>
        </w:rPr>
        <w:noBreakHyphen/>
        <w:t>2, началось еще с 1931 г. Неудовлетворительно поставлена и организация конструкторских разработок, которые сначала ведутся конструкторским бюро ВООМПа, а затем при передаче на завод переделываются конструкторским бюро завода. Это приводит к полной обезличке и безответственности.</w:t>
      </w:r>
    </w:p>
    <w:p w14:paraId="40BBC5A2" w14:textId="77777777" w:rsidR="00661CFE" w:rsidRPr="0044524F" w:rsidRDefault="00661CFE" w:rsidP="009654CF">
      <w:pPr>
        <w:pStyle w:val="rtejustify"/>
        <w:spacing w:before="0" w:after="0"/>
        <w:rPr>
          <w:color w:val="000000" w:themeColor="text1"/>
          <w:sz w:val="16"/>
          <w:szCs w:val="16"/>
        </w:rPr>
      </w:pPr>
      <w:r w:rsidRPr="0044524F">
        <w:rPr>
          <w:color w:val="000000" w:themeColor="text1"/>
          <w:sz w:val="16"/>
          <w:szCs w:val="16"/>
        </w:rPr>
        <w:t>Опытные работы по новым конструкциям авиаприцелов также проходят неудовлетворительно. Так, например, авиаприцелы с вертикальным маятником и жироскопической вертилью изготовляются в течение трех лет, и фактический срок окончания их определить трудно. В результате — конструкции стареют, даже до постановки их на производство. НКТПром также не уделил достаточного внимания производству авиаприцелов и в течение 3 лет не озаботился обеспечением завода необходимым импортным оборудованием. Оборудование на 75 тыс. руб. ожидается только в первом полугодии 1934 г.</w:t>
      </w:r>
    </w:p>
    <w:p w14:paraId="7E99AE3E" w14:textId="77777777" w:rsidR="00661CFE" w:rsidRPr="0044524F" w:rsidRDefault="00661CFE" w:rsidP="009654CF">
      <w:pPr>
        <w:pStyle w:val="rtejustify"/>
        <w:spacing w:before="0" w:after="0"/>
        <w:rPr>
          <w:color w:val="000000" w:themeColor="text1"/>
          <w:sz w:val="16"/>
          <w:szCs w:val="16"/>
        </w:rPr>
      </w:pPr>
      <w:r w:rsidRPr="0044524F">
        <w:rPr>
          <w:color w:val="000000" w:themeColor="text1"/>
          <w:sz w:val="16"/>
          <w:szCs w:val="16"/>
        </w:rPr>
        <w:t>Помимо неудовлетворительной организации производства авиаприцелов, обращает на себя внимание и крайне слабая постановка производства в целом по заводам оптико-механической промышленности. Несмотря на наличие первоклассного импортного оборудования, на заводах процветает кустарщина, отсутствие проработанных технологических процессов, грязь и небрежность сборки, ржавчина и большой брак деталей, бесплановость, затоваривание одних деталей при недостаточности других, в частности, оптического стекла. Отсутствует специализация заводов — наблюдается загрузка их множеством номенклатур, дублирование без надобности на разных заводах одних и тех же объектов (танковые прицелы, бинокли — на трех заводах), изготовление каждым заводом по-своему и для себя ряда общих деталей и полуфабрикатов, как винты, литье, варка смолы, приготовление смазки и пр. При большом количестве цветного литья сложной конфигурации не организовано производство литья под давлением, что позволило бы обеспечить качество и однотипность деталей и сильно снизило бы загрузку механических станков. Достижения научно-исследовательского института ГОИ в промышленности не внедряются, институт оторван от производства и не привлечен к разрешению конкретных задач оптико-механической промышленности. Все это усугубляется отсутствием твердого руководства заводами со стороны ВООМПа. Заводы по отношению к ВООМПу являются здесь феодальными княжествами и живут самостоятельной жизнью. Вошло в повседневный обиход прямое невыполнение директорами заводов (ГОМЗ, № 19) распоряжений управляющего ВООМПа т. Трофимова, который фактически не пользуется у директоров никаким авторитетом. И так — со времени постановления правительства от 29 сентября; в организации производства авиаприцелов реального перелома не достигнуто (по ОПБ</w:t>
      </w:r>
      <w:r w:rsidRPr="0044524F">
        <w:rPr>
          <w:color w:val="000000" w:themeColor="text1"/>
          <w:sz w:val="16"/>
          <w:szCs w:val="16"/>
        </w:rPr>
        <w:noBreakHyphen/>
        <w:t>1 — слабо, по ОПБ</w:t>
      </w:r>
      <w:r w:rsidRPr="0044524F">
        <w:rPr>
          <w:color w:val="000000" w:themeColor="text1"/>
          <w:sz w:val="16"/>
          <w:szCs w:val="16"/>
        </w:rPr>
        <w:noBreakHyphen/>
        <w:t>2 — совсем нет. Не обеспечено выполнение программы 1933 г. и достаточное развертывание производства на 1934 г. в соответствии с потребностями бомбардировочной авиации. С другой стороны, и НКВМор предъявил промышленности на 1934 г. заниженную программу по авиаприцелам. Эта программа не только не обеспечивает потребности авиации, но является даже ниже имеющихся производственных возможностей промышленности, определяемых самим же НКТПромом. Так, например:</w:t>
      </w:r>
    </w:p>
    <w:tbl>
      <w:tblPr>
        <w:tblW w:w="5000" w:type="pct"/>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27"/>
        <w:gridCol w:w="3303"/>
        <w:gridCol w:w="3114"/>
        <w:gridCol w:w="3178"/>
      </w:tblGrid>
      <w:tr w:rsidR="004E10C1" w:rsidRPr="0044524F" w14:paraId="04FC7F36"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8BE6AEB"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6C18B6E0"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Потребность УВВС</w:t>
            </w:r>
          </w:p>
        </w:tc>
        <w:tc>
          <w:tcPr>
            <w:tcW w:w="0" w:type="auto"/>
            <w:tcBorders>
              <w:top w:val="outset" w:sz="6" w:space="0" w:color="auto"/>
              <w:left w:val="outset" w:sz="6" w:space="0" w:color="auto"/>
              <w:bottom w:val="outset" w:sz="6" w:space="0" w:color="auto"/>
              <w:right w:val="outset" w:sz="6" w:space="0" w:color="auto"/>
            </w:tcBorders>
            <w:vAlign w:val="center"/>
            <w:hideMark/>
          </w:tcPr>
          <w:p w14:paraId="0B2C92BC"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1934 г.</w:t>
            </w:r>
          </w:p>
        </w:tc>
        <w:tc>
          <w:tcPr>
            <w:tcW w:w="0" w:type="auto"/>
            <w:tcBorders>
              <w:top w:val="outset" w:sz="6" w:space="0" w:color="auto"/>
              <w:left w:val="outset" w:sz="6" w:space="0" w:color="auto"/>
              <w:bottom w:val="outset" w:sz="6" w:space="0" w:color="auto"/>
              <w:right w:val="outset" w:sz="6" w:space="0" w:color="auto"/>
            </w:tcBorders>
            <w:vAlign w:val="center"/>
            <w:hideMark/>
          </w:tcPr>
          <w:p w14:paraId="4805E461"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Производственные</w:t>
            </w:r>
          </w:p>
          <w:p w14:paraId="25172BEA"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возможности</w:t>
            </w:r>
          </w:p>
        </w:tc>
      </w:tr>
      <w:tr w:rsidR="004E10C1" w:rsidRPr="0044524F" w14:paraId="1227D230"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65A8EDDE"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ОПБ</w:t>
            </w:r>
            <w:r w:rsidRPr="0044524F">
              <w:rPr>
                <w:rFonts w:ascii="Times New Roman" w:hAnsi="Times New Roman"/>
                <w:color w:val="000000" w:themeColor="text1"/>
                <w:sz w:val="16"/>
                <w:szCs w:val="16"/>
              </w:rPr>
              <w:noBreakHyphen/>
              <w:t>1</w:t>
            </w:r>
          </w:p>
        </w:tc>
        <w:tc>
          <w:tcPr>
            <w:tcW w:w="0" w:type="auto"/>
            <w:tcBorders>
              <w:top w:val="outset" w:sz="6" w:space="0" w:color="auto"/>
              <w:left w:val="outset" w:sz="6" w:space="0" w:color="auto"/>
              <w:bottom w:val="outset" w:sz="6" w:space="0" w:color="auto"/>
              <w:right w:val="outset" w:sz="6" w:space="0" w:color="auto"/>
            </w:tcBorders>
            <w:vAlign w:val="center"/>
            <w:hideMark/>
          </w:tcPr>
          <w:p w14:paraId="1CBA40C8"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3168</w:t>
            </w:r>
          </w:p>
        </w:tc>
        <w:tc>
          <w:tcPr>
            <w:tcW w:w="0" w:type="auto"/>
            <w:tcBorders>
              <w:top w:val="outset" w:sz="6" w:space="0" w:color="auto"/>
              <w:left w:val="outset" w:sz="6" w:space="0" w:color="auto"/>
              <w:bottom w:val="outset" w:sz="6" w:space="0" w:color="auto"/>
              <w:right w:val="outset" w:sz="6" w:space="0" w:color="auto"/>
            </w:tcBorders>
            <w:vAlign w:val="center"/>
            <w:hideMark/>
          </w:tcPr>
          <w:p w14:paraId="3053F80C"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205FB176"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1300</w:t>
            </w:r>
          </w:p>
        </w:tc>
      </w:tr>
      <w:tr w:rsidR="004E10C1" w:rsidRPr="0044524F" w14:paraId="586D70F8" w14:textId="77777777" w:rsidTr="007C00E8">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14:paraId="1CB73882"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ОПБ</w:t>
            </w:r>
            <w:r w:rsidRPr="0044524F">
              <w:rPr>
                <w:rFonts w:ascii="Times New Roman" w:hAnsi="Times New Roman"/>
                <w:color w:val="000000" w:themeColor="text1"/>
                <w:sz w:val="16"/>
                <w:szCs w:val="16"/>
              </w:rPr>
              <w:noBreakHyphen/>
              <w:t>2</w:t>
            </w:r>
          </w:p>
        </w:tc>
        <w:tc>
          <w:tcPr>
            <w:tcW w:w="0" w:type="auto"/>
            <w:tcBorders>
              <w:top w:val="outset" w:sz="6" w:space="0" w:color="auto"/>
              <w:left w:val="outset" w:sz="6" w:space="0" w:color="auto"/>
              <w:bottom w:val="outset" w:sz="6" w:space="0" w:color="auto"/>
              <w:right w:val="outset" w:sz="6" w:space="0" w:color="auto"/>
            </w:tcBorders>
            <w:vAlign w:val="center"/>
            <w:hideMark/>
          </w:tcPr>
          <w:p w14:paraId="3BFF8820"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902</w:t>
            </w:r>
          </w:p>
        </w:tc>
        <w:tc>
          <w:tcPr>
            <w:tcW w:w="0" w:type="auto"/>
            <w:tcBorders>
              <w:top w:val="outset" w:sz="6" w:space="0" w:color="auto"/>
              <w:left w:val="outset" w:sz="6" w:space="0" w:color="auto"/>
              <w:bottom w:val="outset" w:sz="6" w:space="0" w:color="auto"/>
              <w:right w:val="outset" w:sz="6" w:space="0" w:color="auto"/>
            </w:tcBorders>
            <w:vAlign w:val="center"/>
            <w:hideMark/>
          </w:tcPr>
          <w:p w14:paraId="5516169B"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B6E1020"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tc>
      </w:tr>
    </w:tbl>
    <w:p w14:paraId="7993AFA9" w14:textId="77777777" w:rsidR="00661CFE" w:rsidRPr="0044524F" w:rsidRDefault="00661CFE" w:rsidP="009654CF">
      <w:pPr>
        <w:pStyle w:val="rtejustify"/>
        <w:spacing w:before="0" w:after="0"/>
        <w:rPr>
          <w:color w:val="000000" w:themeColor="text1"/>
          <w:sz w:val="16"/>
          <w:szCs w:val="16"/>
        </w:rPr>
      </w:pPr>
      <w:r w:rsidRPr="0044524F">
        <w:rPr>
          <w:color w:val="000000" w:themeColor="text1"/>
          <w:sz w:val="16"/>
          <w:szCs w:val="16"/>
        </w:rPr>
        <w:t>Таким образом, бомбардировочная авиация, снабженная в настоящее время исключительно импортными прицелами и то только на 50%, на 1934 г. остается необеспеченной еще больше (обеспеченность будет 20%). Это приводит к тому, что бомбардировщики, оставшиеся без прицелов, будут небоеспособными, или же потребуют импорта около 5 млн. руб.</w:t>
      </w:r>
    </w:p>
    <w:p w14:paraId="31C6D0DE" w14:textId="77777777" w:rsidR="00661CFE" w:rsidRPr="0044524F" w:rsidRDefault="00661CFE" w:rsidP="009654CF">
      <w:pPr>
        <w:pStyle w:val="rtejustify"/>
        <w:spacing w:before="0" w:after="0"/>
        <w:rPr>
          <w:color w:val="000000" w:themeColor="text1"/>
          <w:sz w:val="16"/>
          <w:szCs w:val="16"/>
        </w:rPr>
      </w:pPr>
      <w:r w:rsidRPr="0044524F">
        <w:rPr>
          <w:color w:val="000000" w:themeColor="text1"/>
          <w:sz w:val="16"/>
          <w:szCs w:val="16"/>
        </w:rPr>
        <w:t>Полагаю, что утвержденную СТО 27 ноября 1933 г. программу на 1934 г. в части авиаприцелов необходимо пересмотреть в сторону увеличения хотя бы до имеющихся производственных возможностей. Помимо того необходимы решительные мероприятия по упорядочению организации оптико-механической промышленности в целом.</w:t>
      </w:r>
    </w:p>
    <w:p w14:paraId="3347B2D6" w14:textId="77777777" w:rsidR="00661CFE" w:rsidRPr="0044524F" w:rsidRDefault="00661CFE" w:rsidP="009654CF">
      <w:pPr>
        <w:pStyle w:val="rtejustify"/>
        <w:spacing w:before="0" w:after="0"/>
        <w:rPr>
          <w:color w:val="000000" w:themeColor="text1"/>
          <w:sz w:val="16"/>
          <w:szCs w:val="16"/>
        </w:rPr>
      </w:pPr>
      <w:r w:rsidRPr="0044524F">
        <w:rPr>
          <w:rStyle w:val="af0"/>
          <w:i w:val="0"/>
          <w:color w:val="000000" w:themeColor="text1"/>
          <w:sz w:val="16"/>
          <w:szCs w:val="16"/>
        </w:rPr>
        <w:t>Приложение</w:t>
      </w:r>
      <w:r w:rsidRPr="0044524F">
        <w:rPr>
          <w:color w:val="000000" w:themeColor="text1"/>
          <w:sz w:val="16"/>
          <w:szCs w:val="16"/>
        </w:rPr>
        <w:t>: проект постановления СТО¹*.</w:t>
      </w:r>
    </w:p>
    <w:p w14:paraId="60A47B94" w14:textId="77777777" w:rsidR="00661CFE" w:rsidRPr="0044524F" w:rsidRDefault="00661CFE" w:rsidP="009654CF">
      <w:pPr>
        <w:pStyle w:val="ae"/>
        <w:spacing w:before="0" w:after="0"/>
        <w:jc w:val="both"/>
        <w:rPr>
          <w:color w:val="000000" w:themeColor="text1"/>
          <w:sz w:val="16"/>
          <w:szCs w:val="16"/>
        </w:rPr>
      </w:pPr>
      <w:r w:rsidRPr="0044524F">
        <w:rPr>
          <w:rStyle w:val="af0"/>
          <w:i w:val="0"/>
          <w:color w:val="000000" w:themeColor="text1"/>
          <w:sz w:val="16"/>
          <w:szCs w:val="16"/>
        </w:rPr>
        <w:t>Член коллегии НК РКИ СССР, начальник В[оенной ] И[нспекции ] Куйбышев</w:t>
      </w:r>
    </w:p>
    <w:p w14:paraId="2125D3AE" w14:textId="77777777" w:rsidR="00661CFE" w:rsidRPr="0044524F" w:rsidRDefault="00661CFE" w:rsidP="009654CF">
      <w:pPr>
        <w:pStyle w:val="ae"/>
        <w:spacing w:before="0" w:after="0"/>
        <w:jc w:val="both"/>
        <w:rPr>
          <w:color w:val="000000" w:themeColor="text1"/>
          <w:sz w:val="16"/>
          <w:szCs w:val="16"/>
        </w:rPr>
      </w:pPr>
      <w:r w:rsidRPr="0044524F">
        <w:rPr>
          <w:rStyle w:val="af0"/>
          <w:i w:val="0"/>
          <w:color w:val="000000" w:themeColor="text1"/>
          <w:sz w:val="16"/>
          <w:szCs w:val="16"/>
        </w:rPr>
        <w:t>Примечание</w:t>
      </w:r>
      <w:r w:rsidRPr="0044524F">
        <w:rPr>
          <w:color w:val="000000" w:themeColor="text1"/>
          <w:sz w:val="16"/>
          <w:szCs w:val="16"/>
        </w:rPr>
        <w:t>:</w:t>
      </w:r>
    </w:p>
    <w:p w14:paraId="433677CD" w14:textId="77777777" w:rsidR="00661CFE" w:rsidRPr="0044524F" w:rsidRDefault="00661CFE" w:rsidP="009654CF">
      <w:pPr>
        <w:pStyle w:val="rtejustify"/>
        <w:spacing w:before="0" w:after="0"/>
        <w:rPr>
          <w:color w:val="000000" w:themeColor="text1"/>
          <w:sz w:val="16"/>
          <w:szCs w:val="16"/>
        </w:rPr>
      </w:pPr>
      <w:r w:rsidRPr="0044524F">
        <w:rPr>
          <w:color w:val="000000" w:themeColor="text1"/>
          <w:sz w:val="16"/>
          <w:szCs w:val="16"/>
        </w:rPr>
        <w:t>¹* Приложение не публикуется (см.: там же, л. 5</w:t>
      </w:r>
      <w:r w:rsidRPr="0044524F">
        <w:rPr>
          <w:color w:val="000000" w:themeColor="text1"/>
          <w:sz w:val="16"/>
          <w:szCs w:val="16"/>
        </w:rPr>
        <w:noBreakHyphen/>
        <w:t>7).</w:t>
      </w:r>
    </w:p>
    <w:p w14:paraId="1B9ED927" w14:textId="77777777" w:rsidR="00661CFE" w:rsidRPr="0044524F" w:rsidRDefault="00661CFE" w:rsidP="009654CF">
      <w:pPr>
        <w:pStyle w:val="ae"/>
        <w:spacing w:before="0" w:after="0"/>
        <w:jc w:val="both"/>
        <w:rPr>
          <w:color w:val="000000" w:themeColor="text1"/>
          <w:sz w:val="16"/>
          <w:szCs w:val="16"/>
        </w:rPr>
      </w:pPr>
      <w:r w:rsidRPr="0044524F">
        <w:rPr>
          <w:color w:val="000000" w:themeColor="text1"/>
          <w:sz w:val="16"/>
          <w:szCs w:val="16"/>
        </w:rPr>
        <w:t>ГА РФ. Ф. Р-8418. Оп. 9. Д. 89. Л. 1-4. Подлинник (15288).</w:t>
      </w:r>
    </w:p>
    <w:p w14:paraId="37FD734D" w14:textId="77777777" w:rsidR="00661CFE" w:rsidRPr="0044524F" w:rsidRDefault="00661CFE"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13D2B6A"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72B73E32"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ADA094F" w14:textId="77777777" w:rsidR="00661CFE" w:rsidRPr="0044524F" w:rsidRDefault="00661CFE" w:rsidP="009654CF">
      <w:pPr>
        <w:pStyle w:val="rtejustify"/>
        <w:spacing w:before="0" w:after="0"/>
        <w:rPr>
          <w:color w:val="000000" w:themeColor="text1"/>
          <w:sz w:val="16"/>
          <w:szCs w:val="16"/>
        </w:rPr>
      </w:pPr>
      <w:r w:rsidRPr="0044524F">
        <w:rPr>
          <w:rStyle w:val="af0"/>
          <w:bCs/>
          <w:i w:val="0"/>
          <w:color w:val="000000" w:themeColor="text1"/>
          <w:sz w:val="16"/>
          <w:szCs w:val="16"/>
        </w:rPr>
        <w:t>17 декабря 1933 вышел приказ НКТП № 232сс.</w:t>
      </w:r>
      <w:r w:rsidRPr="0044524F">
        <w:rPr>
          <w:color w:val="000000" w:themeColor="text1"/>
          <w:sz w:val="16"/>
          <w:szCs w:val="16"/>
        </w:rPr>
        <w:t xml:space="preserve"> О создании в ведении НКТП СССР конструкторского бюро для конструирования и изготовления опытных образцов и опытно-серийных партий по системам Курчевского. (РГАЭ. Ф. 7297. Оп. 38. Д. 38. Л. 228</w:t>
      </w:r>
      <w:r w:rsidRPr="0044524F">
        <w:rPr>
          <w:color w:val="000000" w:themeColor="text1"/>
          <w:sz w:val="16"/>
          <w:szCs w:val="16"/>
        </w:rPr>
        <w:noBreakHyphen/>
        <w:t>227) (15246).</w:t>
      </w:r>
    </w:p>
    <w:p w14:paraId="19A4135D" w14:textId="77777777" w:rsidR="00661CFE" w:rsidRPr="0044524F" w:rsidRDefault="00661CFE" w:rsidP="009654CF">
      <w:pPr>
        <w:pStyle w:val="rtejustify"/>
        <w:spacing w:before="0" w:after="0"/>
        <w:rPr>
          <w:color w:val="000000" w:themeColor="text1"/>
          <w:sz w:val="16"/>
          <w:szCs w:val="16"/>
        </w:rPr>
      </w:pPr>
    </w:p>
    <w:p w14:paraId="46878D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 декабря 1933 6-я железнодорожная батарея в составе трех транспортеров ТМ-1-14 прибыла на дальневосточную станцию Первая Речка (11454).</w:t>
      </w:r>
    </w:p>
    <w:p w14:paraId="5948B8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5DDF1E3"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E956F6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E079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18-27 декабря 1933 проводилось обследование завода ХАЗОС - программа 110 К-5, К-7, ВС, ХАИ-1 (2287,11).</w:t>
      </w:r>
    </w:p>
    <w:p w14:paraId="0FB123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99C7F47" w14:textId="77777777" w:rsidR="0042145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3CB90AD" w14:textId="77777777" w:rsidR="00421459" w:rsidRPr="0044524F" w:rsidRDefault="0042145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379F412" w14:textId="77777777" w:rsidR="00421459" w:rsidRPr="0044524F" w:rsidRDefault="00421459"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18 декабря 1933 г. была премьера «</w:t>
      </w:r>
      <w:r w:rsidRPr="0044524F">
        <w:rPr>
          <w:rFonts w:ascii="Times New Roman" w:eastAsia="Times New Roman" w:hAnsi="Times New Roman"/>
          <w:iCs/>
          <w:color w:val="000000" w:themeColor="text1"/>
          <w:sz w:val="16"/>
          <w:szCs w:val="16"/>
          <w:lang w:eastAsia="ru-RU"/>
        </w:rPr>
        <w:t>Оптимистической трагедии</w:t>
      </w:r>
      <w:r w:rsidRPr="0044524F">
        <w:rPr>
          <w:rFonts w:ascii="Times New Roman" w:eastAsia="Times New Roman" w:hAnsi="Times New Roman"/>
          <w:color w:val="000000" w:themeColor="text1"/>
          <w:sz w:val="16"/>
          <w:szCs w:val="16"/>
          <w:lang w:eastAsia="ru-RU"/>
        </w:rPr>
        <w:t xml:space="preserve">» в Камерном театре, режиссер Таиров, роль </w:t>
      </w:r>
      <w:r w:rsidRPr="0044524F">
        <w:rPr>
          <w:rFonts w:ascii="Times New Roman" w:eastAsia="Times New Roman" w:hAnsi="Times New Roman"/>
          <w:iCs/>
          <w:color w:val="000000" w:themeColor="text1"/>
          <w:sz w:val="16"/>
          <w:szCs w:val="16"/>
          <w:lang w:eastAsia="ru-RU"/>
        </w:rPr>
        <w:t>Комиссара</w:t>
      </w:r>
      <w:r w:rsidRPr="0044524F">
        <w:rPr>
          <w:rFonts w:ascii="Times New Roman" w:eastAsia="Times New Roman" w:hAnsi="Times New Roman"/>
          <w:color w:val="000000" w:themeColor="text1"/>
          <w:sz w:val="16"/>
          <w:szCs w:val="16"/>
          <w:lang w:eastAsia="ru-RU"/>
        </w:rPr>
        <w:t xml:space="preserve"> играет Алиса Коонен. В</w:t>
      </w:r>
      <w:r w:rsidRPr="0044524F">
        <w:rPr>
          <w:rFonts w:ascii="Times New Roman" w:eastAsia="Times New Roman" w:hAnsi="Times New Roman"/>
          <w:bCs/>
          <w:color w:val="000000" w:themeColor="text1"/>
          <w:sz w:val="16"/>
          <w:szCs w:val="16"/>
          <w:lang w:eastAsia="ru-RU"/>
        </w:rPr>
        <w:t>арианты первонач. названий — «Гимн матросам», «Триумфальная Трагедия» И др.) — пьеса в 3 актах В.В.Вишневского посв. автором 15-й годовщине Октябрьской революции (17325).</w:t>
      </w:r>
    </w:p>
    <w:p w14:paraId="08952B5D" w14:textId="77777777" w:rsidR="00421459" w:rsidRPr="0044524F" w:rsidRDefault="00421459" w:rsidP="009654CF">
      <w:pPr>
        <w:autoSpaceDE w:val="0"/>
        <w:autoSpaceDN w:val="0"/>
        <w:adjustRightInd w:val="0"/>
        <w:spacing w:after="0" w:line="240" w:lineRule="auto"/>
        <w:jc w:val="both"/>
        <w:rPr>
          <w:rFonts w:ascii="Times New Roman" w:hAnsi="Times New Roman"/>
          <w:color w:val="000000" w:themeColor="text1"/>
          <w:sz w:val="16"/>
          <w:szCs w:val="16"/>
        </w:rPr>
      </w:pPr>
    </w:p>
    <w:p w14:paraId="5DAD3393"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декабря 1933. В Камерном театре состоялась премьера пьесы Вс. Вишневского "Оптимистическая трагедия". Постановка А. Я. Таирова. В роли комиссара А. Г. Коонен (18722).</w:t>
      </w:r>
    </w:p>
    <w:p w14:paraId="58A06F5C" w14:textId="77777777" w:rsidR="00091E70" w:rsidRPr="0044524F" w:rsidRDefault="00091E70" w:rsidP="009654CF">
      <w:pPr>
        <w:spacing w:after="0" w:line="240" w:lineRule="auto"/>
        <w:jc w:val="both"/>
        <w:rPr>
          <w:rFonts w:ascii="Times New Roman" w:hAnsi="Times New Roman"/>
          <w:color w:val="000000" w:themeColor="text1"/>
          <w:sz w:val="16"/>
          <w:szCs w:val="16"/>
        </w:rPr>
      </w:pPr>
    </w:p>
    <w:p w14:paraId="1DDCF7E9" w14:textId="77777777" w:rsidR="0042145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11F772B" w14:textId="77777777" w:rsidR="00421459" w:rsidRPr="0044524F" w:rsidRDefault="0042145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BCF44BA"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декабря 1933 состоялся первый полет Northrop XFT (20802).</w:t>
      </w:r>
    </w:p>
    <w:p w14:paraId="198C6DC9" w14:textId="77777777" w:rsidR="0009760C" w:rsidRPr="0044524F" w:rsidRDefault="0009760C" w:rsidP="009654CF">
      <w:pPr>
        <w:spacing w:after="0" w:line="240" w:lineRule="auto"/>
        <w:jc w:val="both"/>
        <w:rPr>
          <w:rFonts w:ascii="Times New Roman" w:hAnsi="Times New Roman"/>
          <w:color w:val="000000" w:themeColor="text1"/>
          <w:sz w:val="16"/>
          <w:szCs w:val="16"/>
        </w:rPr>
      </w:pPr>
    </w:p>
    <w:p w14:paraId="3B5C862C" w14:textId="68B6E7BE"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декабря 1933 - Первый полет прототипа палубного истребителяNorthrop XFT.</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Выпустив Спецификацию No. SD-204 от 24 января 1933 года, требовавшую истребитель новой конструкции, и находясь под впечатлением от результатов, полученных Нортропом от его серии самолетов Gamma и Delta, 8 мая 1933 года Флот США заказал прототип XFT-1 в качестве второго типа экспериментального истребителя-низкоплана. Из-за плохой управляемости на малых скоростях и плохих штопорных характеристик в серии не строился (22699).</w:t>
      </w:r>
    </w:p>
    <w:p w14:paraId="67940AC4" w14:textId="77777777" w:rsidR="0009760C" w:rsidRPr="0044524F" w:rsidRDefault="0009760C" w:rsidP="009654CF">
      <w:pPr>
        <w:spacing w:after="0" w:line="240" w:lineRule="auto"/>
        <w:jc w:val="both"/>
        <w:rPr>
          <w:rFonts w:ascii="Times New Roman" w:hAnsi="Times New Roman"/>
          <w:color w:val="000000" w:themeColor="text1"/>
          <w:sz w:val="16"/>
          <w:szCs w:val="16"/>
        </w:rPr>
      </w:pPr>
    </w:p>
    <w:p w14:paraId="6F2B7812" w14:textId="77777777" w:rsidR="00421459" w:rsidRPr="0044524F" w:rsidRDefault="00421459"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18 декабря 1933 г. был меморандум Гитлера о праве на вооружение. П</w:t>
      </w:r>
      <w:r w:rsidRPr="0044524F">
        <w:rPr>
          <w:rFonts w:ascii="Times New Roman" w:eastAsia="Times New Roman" w:hAnsi="Times New Roman"/>
          <w:bCs/>
          <w:color w:val="000000" w:themeColor="text1"/>
          <w:sz w:val="16"/>
          <w:szCs w:val="16"/>
          <w:lang w:eastAsia="ru-RU"/>
        </w:rPr>
        <w:t>равительство Гитлера, сорвав конференцию по разоружению (</w:t>
      </w:r>
      <w:r w:rsidRPr="0044524F">
        <w:rPr>
          <w:rFonts w:ascii="Times New Roman" w:eastAsia="Times New Roman" w:hAnsi="Times New Roman"/>
          <w:color w:val="000000" w:themeColor="text1"/>
          <w:sz w:val="16"/>
          <w:szCs w:val="16"/>
          <w:lang w:eastAsia="ru-RU"/>
        </w:rPr>
        <w:t>19 октября 1933 г.</w:t>
      </w:r>
      <w:r w:rsidRPr="0044524F">
        <w:rPr>
          <w:rFonts w:ascii="Times New Roman" w:eastAsia="Times New Roman" w:hAnsi="Times New Roman"/>
          <w:bCs/>
          <w:color w:val="000000" w:themeColor="text1"/>
          <w:sz w:val="16"/>
          <w:szCs w:val="16"/>
          <w:lang w:eastAsia="ru-RU"/>
        </w:rPr>
        <w:t xml:space="preserve">), упорно отстаивало свою программу равноправия в вооружениях, сформулированную в меморандуме, переданном Франции </w:t>
      </w:r>
      <w:r w:rsidRPr="0044524F">
        <w:rPr>
          <w:rFonts w:ascii="Times New Roman" w:eastAsia="Times New Roman" w:hAnsi="Times New Roman"/>
          <w:color w:val="000000" w:themeColor="text1"/>
          <w:sz w:val="16"/>
          <w:szCs w:val="16"/>
          <w:lang w:eastAsia="ru-RU"/>
        </w:rPr>
        <w:t>18 декабря 1933 г.</w:t>
      </w:r>
      <w:r w:rsidRPr="0044524F">
        <w:rPr>
          <w:rFonts w:ascii="Times New Roman" w:eastAsia="Times New Roman" w:hAnsi="Times New Roman"/>
          <w:bCs/>
          <w:color w:val="000000" w:themeColor="text1"/>
          <w:sz w:val="16"/>
          <w:szCs w:val="16"/>
          <w:lang w:eastAsia="ru-RU"/>
        </w:rPr>
        <w:t xml:space="preserve"> Оно требовало увеличения рейхсвера до 300 тысяч человек, с годичным сроком службы; оно настаивало на праве Германии иметь все те виды вооружений, которыми располагали другие страны. В особенности добивалось оно освобождения гражданской авиации от всякого контроля и ограничений (17325).</w:t>
      </w:r>
    </w:p>
    <w:p w14:paraId="71AA475E" w14:textId="77777777" w:rsidR="00421459" w:rsidRPr="0044524F" w:rsidRDefault="0042145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C80D2AB"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51EA4CA"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3A4BB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Нач. НТО ГУАП Алмазов писал в ЦАГИ Чижевскому письмо N 302/769с:</w:t>
      </w:r>
    </w:p>
    <w:p w14:paraId="41C6F4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"Препровождаю при сем материал по продольной устойчивости К-7 с просьбой вернуть в декадный срок (2306).</w:t>
      </w:r>
    </w:p>
    <w:p w14:paraId="089EEB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3AC4B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третью мотораму установили на дублере И-14 и в тот же день на него установили мотор. 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3C74E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021CB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0B762A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4F4C26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763CE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года в НИИ ВВС закончились гос. испытания "магазинов" крупнокалиберного 12,7 мм пулемета системы Дегтярева (ДК), которые проходили с 15 декабря 1933.</w:t>
      </w:r>
    </w:p>
    <w:p w14:paraId="0AE38A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5638E3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15 сектора НИИ ВВС Базенау</w:t>
      </w:r>
    </w:p>
    <w:p w14:paraId="5F8CAD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Инженер 15 сектора НИИ ВВС Воротников</w:t>
      </w:r>
    </w:p>
    <w:p w14:paraId="32D891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958DF7B"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Магазины к пулемету ДК 1-го и 2-го вариантов конструкции Кладова испытания выдержали.</w:t>
      </w:r>
    </w:p>
    <w:p w14:paraId="2182386B"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пулеметам ДК, подаваемым для ВВС, ввести магазины конструкции Кладова 1-го варианта (емкостью на 30 штук патронов) из расчета 6 магазинов на пулемет.</w:t>
      </w:r>
    </w:p>
    <w:p w14:paraId="1BBB2655"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Магазин конструкции Лещинского и Заворуева испытаний не выдержал (7396, 68-77).</w:t>
      </w:r>
    </w:p>
    <w:p w14:paraId="75BA4CF6"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072781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на очередном совещании сотрудников техникума ГГАТ (Горьковский Гражданский Авиатехникум - в противоположность Авиатехникуму имени Баранова, готовившему кадры для авиационного завода N 21 и гражданским не являвшимся) начальник мастерских М.В.Веселовский сообщил коллегам о заключении с пожарными договора на постройку аэросаней. Поскольку госбюджетных ассигнований на аэросани не предусматривалось, необходимую сумму собрали члены низовой ячейки общества "Автодор" при ГУПО. Общую компоновку аэросаней разработал М.В.Веселовский, а в выполнении расчетов отдельных узлов участвовали Е.И.Малеханов, В.А.Зверев, Н.А.Куняев - родной дядя известного литератора и литературного же функционера С.Ю.Куняева, А.А.Смолин - будущий создатель гоночных автомобилей и др. Аэросани имели закрытый корпус деревянной конструкции, обшитый снаружи 3- и изнутри 2-миллиметровой фанерой. Двигатель ГАЗ-АА был установлен в задней верхней части корпуса, причем "его коленчатый вал был соединен со стальным воздушным винтом, при помощи механизма сцепления применяемого на автомобилях ГАЗ". Запуск двигателя, впервые в отечественной практике, осуществлялся при помощи электрического стартера с места водителя, хотя возможность запуска мотора проворачиванием пропеллера не исключалась (11435).</w:t>
      </w:r>
    </w:p>
    <w:p w14:paraId="11A05A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FAC82C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на очередном совещании сотрудников техникума начальник мастерских М.В.Веселовский сообщил коллегам о заключении с пожарными договора на постройку аэросаней. Поскольку госбюджетных ассигнований на аэросани не предусматривалось, необходимую сумму собрали члены низовой ячейки общества "Автодор" при ГУПО. Общую компоновку аэросаней разработал М.В.Веселовский, а в выполнении расчетов отдельных узлов участвовали Е.И.Малеханов, В.А.Зверев, Н.А.Куняев - родной дядя известного литератора и литературного же функционера С.Ю.Куняева, А.А.Смолин - будущий создатель гоночных автомобилей и др. Аэросани имели закрытый корпус деревянной конструкции, обшитый снаружи 3- и изнутри 2-миллиметровой фанерой. Двигатель ГАЗ-АА был установлен в задней верхней части корпуса, причем "его коленчатый вал был соединен со стальным воздушным винтом, при помощи механизма сцепления применяемого на автомобилях ГАЗ". Запуск двигателя, впервые в отечественной практике, осуществлялся при помощи электрического стартера с места водителя, хотя возможность запуска мотора проворачиванием пропеллера не исключалась. Постройку пожарных аэросаней "ГГАТ" начали 1 января 1934 года и завершили через месяц. 8 февраля аэросани отправились в столицу на устроенный "Автодоромом" слёт аэросаней и вездеходов. 17 февраля на льду Москва-реки были устроены соревнования, на деле превратившиеся в сольное выступление горьковчан - у "ГГАТ" просто не нашлось достойного соперника. После соревнований аэросани "ГГАТ" совершили пробег по московской области и 28 февраля вернулись в Горький. Пока "ГГАТ" ездили в столицу, в техникуме построили вторые аэросани, названные "ГГАТ-2". Получив ожидаемые аэросани, работники ГУПО решили проверить "ГГАТы" в действии. В период с 8 по 25 марта горьковские пожарные совершили инспекторско-агитационный пробег по удаленным районам Края по маршруту Горький (Нижний Новгород)- Ветлуга-Шарья-Котельнич-Халтурин (Орлов)-Вятка (Киров)-Яранск-Санчурск-Йошкар-Ола-Чебоксары-Горький. Во время пробега в крупных населенных пунктах было проведено 14 митингов, проверена охрана семенных фондов в 56 пунктах, проинспектирована работа 5 районных управлений пожарной охраны, устроено 27 школьных экскурсий. Успех был полным, и техникуму был выдан заказ на партию аэросаней для перевозки почты в Северном Крае. Аэросани "ГГАТ-1" по требованию заказчика оснастили пожарным насосом. В таком виде аэросани приступили к исполнению служебных обязанностей во второй зимний сезон. С развитием дорожной сети и, главное, с успешным завершением коллективизации в 1937-38 годах, ГУПО практически перестало испытывать потребность в инспекторских аэросанях (11824).</w:t>
      </w:r>
    </w:p>
    <w:p w14:paraId="28224A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69DCA36"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E63449F"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14C5AC9" w14:textId="37A23501"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г. в ведении НКТП в ведении НКТП начал строиться завод № 97 (Завод № 97 НКТП, НКОП, НКХП, МХП, Иркутский химический комбинат № 1, Усольский химический комбинат № 1, и/я 14, комбинат «Усольехимпром» (УХП), Усольское ПО «Химпром» МХП, ОАО, ООО «Усольехимпром» /665462 (665470)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Усолье-Сибирское Иркутской обл. п/о 12 тел. 57-220/). 2.08.1936 г. выдал первую продукцию - этиловую жидкость для повышения октанового числа бензина, этот день стал днем рождения завода. В соответствии с пост. СНК№ 2139-425сс от 21.12.1936 г. и пр. НКОП№ 05с от 29.12.1936 г. завод № 97 передан из Главоргхимпрома НКТП в ГУ военно-химической промышленности НКОП. Приказом № 107 от 21.03.1937 г. утвержден Устав ГС завода № 97 6ГУ НКОП. В соответствии с пост. СНК№ 1960-390сс от 5.11.1936 г. и пр. № 068 от 2.04.1937 г. завод переведен в группу особо режимных предприятий, в 12.1938 г. - в ведении 6ГУ. Имел наименование «п/я 14».</w:t>
      </w:r>
    </w:p>
    <w:p w14:paraId="59438E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 0022 от 3.02.1937 г. заводу предписано к 1.01.1938 г. создать мощности по выпуску этиловой жидкости - 500 т в год.</w:t>
      </w:r>
    </w:p>
    <w:p w14:paraId="0FBA3CBE" w14:textId="58023149"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10.1941 г. сюда был эвакуирован хлорный завод из</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Саки; в 08.1942 г. - оборудование завода № 91 из Сталинграда. На нем была попытка организовать производство иприта.</w:t>
      </w:r>
      <w:r w:rsidRPr="0044524F">
        <w:rPr>
          <w:rFonts w:ascii="Times New Roman" w:hAnsi="Times New Roman"/>
          <w:color w:val="000000" w:themeColor="text1"/>
          <w:sz w:val="16"/>
          <w:szCs w:val="16"/>
          <w:vertAlign w:val="superscript"/>
        </w:rPr>
        <w:t>71</w:t>
      </w:r>
      <w:r w:rsidRPr="0044524F">
        <w:rPr>
          <w:rFonts w:ascii="Times New Roman" w:hAnsi="Times New Roman"/>
          <w:color w:val="000000" w:themeColor="text1"/>
          <w:sz w:val="16"/>
          <w:szCs w:val="16"/>
        </w:rPr>
        <w:t xml:space="preserve"> В 04.1943 г. началось производство хлора и каустика. Распоряжением ГКО № 3957 от 19.08.1943 г. строительство цехов хлора, каустика и тролита-10 было прекращено; реконструкция ТЭЦ завода перенесена на 1944 г.</w:t>
      </w:r>
    </w:p>
    <w:p w14:paraId="76B8F1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1942 г. создан литейный цех, в 1952 г. образован Проектно-конструкторский отдел, в 1966 г. - цеха № 4021 и ПК-4-9.</w:t>
      </w:r>
    </w:p>
    <w:p w14:paraId="300864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1956 г. начато производство перекиси водорода (цех № 121); с 1961 г. - кислорода и азота; с 1962 г. - каустической соды, пущен комплекс цехов хлорной группы; с 1963 г. - ацетилена и ПВХ (цех № 1301); с 1966 г. - крупнотоннажное производство карбида кальция; с 1967 г. - бытовой химии (чистящих, отбеливающих средств); с 1969 г. - единственное в стране производство метилцеллюлозы; с 1974 г. - первое в стране производство нейтрального гипохлорида кальция; с 1975 г. - трихлорэтилена; с 1983 г. - металлического натрия; с 1988 г. - эпихлоргидрина; с 1999 г. - эпоксидно-диановой смолы.</w:t>
      </w:r>
    </w:p>
    <w:p w14:paraId="4D11A0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1946 г. завод - в ведении МХП. С 10.08.1959 г. завод вошел в состав Иркутского химкомбината № 1. 20.11.1967 г. преобразован в Усольский химкобинат № 1, 6.08.1975 г. переименован в Усольское ПО «Химпром» МХП. Имелось производство в н/п Зима (1987 г.). 21.10.1992 г. (или 16.03.1993 г.) ПО «Химпром» преобразовано в АООТ, затем - ОАО «Усольехимпром». В 12.2002 г. на ОАО введено внешнее наблюдение, в 05.2003 г. ОАО «Усольехимпром» признано банкротом. В 2003 г. создано ООО «ХимпромУсолье». 19.12.2003 г. образовано ООО «Усольехимпром». Входит в группу «Нитол» (2004 г.).</w:t>
      </w:r>
    </w:p>
    <w:p w14:paraId="383762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распоряжению правительства № 2393-рс от 17.11.1970 г. на строительство Усольского химкомбината направлено 3 военно-технических отряда МО.</w:t>
      </w:r>
    </w:p>
    <w:p w14:paraId="3FC03D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составе комбината (1980-е): завод № 3 (производство кремнийорганических продуктов, в 1992 г. выделен в самостоятельное предприятие); цех № 179 (монокристаллы, с 1992 г. - самостоятельное предприятие, позже - ОАО «Кристалл»). Был цех ртутного электролиза, остановлен в 1998 г. В составе комбината (2001 г.): заводы № 1, № 2 и № 3 (производство карбида кальция, ацетилена и трихлорэтилена), ремонтно-механический завод (РМЗ), железнодорожный и автотранспортный цеха. В 2002 г. имелись цеха: № 121 - производство водорода, № 1301 - производство ПВХ, № 5001 - производство пропилена, цех ПК-4-9, ПТ, ПМК, цех электроснабжения; в 2003 г. - цеха № 2102, № 2202, № 2702- производство соляной кислоты и хлористого водорода, № 2801 - производство гипохлорита кальция, № 3202, № 3510, № 4001, № 4021 -производство кислорода, азота и аргона, № 4330, № 5002, № 5011, ПК-12А, отделения № 3001, № 5015 - производство азота, отдел оперативного планирования и контроля производства. В 2003 г. создан отдел производственно-хозяйственной деятельности; на базе цехов 3510, 5011 и ПК-12А </w:t>
      </w:r>
      <w:r w:rsidRPr="0044524F">
        <w:rPr>
          <w:rFonts w:ascii="Times New Roman" w:hAnsi="Times New Roman"/>
          <w:color w:val="000000" w:themeColor="text1"/>
          <w:sz w:val="16"/>
          <w:szCs w:val="16"/>
        </w:rPr>
        <w:lastRenderedPageBreak/>
        <w:t>создано централизованное ремонтно-монтажное производство (ЦРМП). В 2004 г. был цех № 3220. В 2004 г. производство эфиров целлюлозы выделено в самостоятельное предприятие - ООО «НИТОЛ-эфиры целлюлозы». В 01.2005 г. на базе производства ТНП создано ООО «Химбыт».</w:t>
      </w:r>
    </w:p>
    <w:p w14:paraId="4CF266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(2001 г.): каустическая сода, смола ПХВ, эпихлоргидрин, карбид кальция, трихлорэтилен, металлический натрий, перекись водорода.</w:t>
      </w:r>
    </w:p>
    <w:p w14:paraId="0A59BD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(1993 г.)- 7700 чел., (2004 г.)- 5600 чел.</w:t>
      </w:r>
    </w:p>
    <w:p w14:paraId="2FCBDD71" w14:textId="42472E98"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(23.06.1937 г.-)- Ф.Н. Митрофанов, (1940-е)- Е.М. Коростов. Гендиректор (1990-е)- А. Г. Сальманов, (1999-2001 г.)- Н.Ф. Губина, (2001-03 г.)- Д.В. Котенко, (-04.2003-04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Г.В. Вечканов, (10.11.2004-06 г.)- А.Л. Митрофанов, (01.2007 г.-)- А.В. Тихонов.</w:t>
      </w:r>
    </w:p>
    <w:p w14:paraId="3AFB14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зам. гендиректора (-2001-03 г.-)- Л.Т. Иванов. Зам. директора по безопасности (2004 г.)- А.В. Крушинский.</w:t>
      </w:r>
    </w:p>
    <w:p w14:paraId="4D576496" w14:textId="285B3C29"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по производству (-2003 г.)- М. Муртазин, (1.10.2003-01.2007 г.)- А.В. Тихонов; технический (-2003- 04 г.-)- В. Г. Прокопьев; исполнительный (11.11.2004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Г.В. Вечканов; по качеству (-2003-04 г.-)- В.Б. Животков; по общим вопросам (2003 г.)-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T</w:t>
      </w:r>
      <w:r w:rsidRPr="0044524F">
        <w:rPr>
          <w:rFonts w:ascii="Times New Roman" w:hAnsi="Times New Roman"/>
          <w:color w:val="000000" w:themeColor="text1"/>
          <w:sz w:val="16"/>
          <w:szCs w:val="16"/>
        </w:rPr>
        <w:t>. Иванов; по персоналу (2003 г.)- И.В. Моисеева, (2006 г.)- А. Петренко; завода № 1 (2003 г.)- В.В. Константинов; завода № 2 (2003 г.)- Ю.В. Неизвестных; завода № 3 (-2003 г.)- А.В- Тихонов; РМЗ (2003 г.)- Е.Н. Симутин.</w:t>
      </w:r>
    </w:p>
    <w:p w14:paraId="2CBAA4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Зам.: технического директора (2003 г.)- В. Константинов; директора по качеству (2004 г.)-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 Прокопьева; директора по развитию (2004 г.)- В. Константинов.</w:t>
      </w:r>
    </w:p>
    <w:p w14:paraId="0F4E9C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(27.03.1937 г.-)- В.И. Малахов.</w:t>
      </w:r>
    </w:p>
    <w:p w14:paraId="55E09D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технолог (-2004-05 г.-)- А.Н. Дорофеев. Гл. механик (2004 г.)- А.В. Фортунов. Гл. диспетчер (1.08.2002 г.-)- А. Афанасьев.</w:t>
      </w:r>
    </w:p>
    <w:p w14:paraId="2514E3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управлений: внешней торговли (2002 г.)- В.А. Булынин; снабжения (-2003-04 г.-)- В.А. Червонин.</w:t>
      </w:r>
    </w:p>
    <w:p w14:paraId="2D698D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цехов: № 121 (2003 г.)- Л. Рядчиков; № 2701 (2004 г.)- А.В. Гурков; ПТ (2004 г.)- С.И. Жданов; тепловодоканализации (2003 г.)- А. Митюков; А.В. Тихонов.</w:t>
      </w:r>
    </w:p>
    <w:p w14:paraId="4561AC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начальников цехов: ПК 1-9 (2004 г.)- И.Ю. Манохин; 121 (2004 г.)- Е.Н. Кузнецов.</w:t>
      </w:r>
    </w:p>
    <w:p w14:paraId="4F178122" w14:textId="0DB7CDC1"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ОПиАП и.о. (2003 г.)- С.А. Андреева; новых технологий (2003 г.)- В. Ерощук; энергосбережения (-2003-04 г.-)- А.В. Купаносов; охраны труда (2003 г.)- Н. Панченко; корпоративной культуры (2003 г.)- Е.А. Кропочева; социального развития (2003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Г.Н. Жемойдина; обучения и развития персонала (2003 г.)- С. Суханова; финансового (2004 г.)- И.В. Сустов.</w:t>
      </w:r>
    </w:p>
    <w:p w14:paraId="53C1CB12" w14:textId="119C297F"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РМУ-1 (2004 г.)- В.Н. Попов; сектора профилактических работ (2002 г.)- В. Лазарев; санитарной лаборатории (2002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Григорьева; отделения цеха 5001 (2004 г.)- Ю.А. Шаргородский (11982).</w:t>
      </w:r>
    </w:p>
    <w:p w14:paraId="4C984396" w14:textId="77777777" w:rsidR="00661CFE" w:rsidRPr="0044524F" w:rsidRDefault="00661CFE" w:rsidP="009654CF">
      <w:pPr>
        <w:spacing w:after="0" w:line="240" w:lineRule="auto"/>
        <w:jc w:val="both"/>
        <w:rPr>
          <w:rFonts w:ascii="Times New Roman" w:eastAsia="TimesNewRoman" w:hAnsi="Times New Roman"/>
          <w:color w:val="000000" w:themeColor="text1"/>
          <w:sz w:val="16"/>
          <w:szCs w:val="16"/>
        </w:rPr>
      </w:pPr>
    </w:p>
    <w:p w14:paraId="0865A75D" w14:textId="77777777" w:rsidR="00CE35D9" w:rsidRPr="0044524F" w:rsidRDefault="00CE35D9" w:rsidP="009654CF">
      <w:pPr>
        <w:spacing w:after="0" w:line="240" w:lineRule="auto"/>
        <w:jc w:val="both"/>
        <w:rPr>
          <w:rFonts w:ascii="Times New Roman" w:eastAsia="TimesNewRoman" w:hAnsi="Times New Roman"/>
          <w:color w:val="000000" w:themeColor="text1"/>
          <w:sz w:val="16"/>
          <w:szCs w:val="16"/>
        </w:rPr>
      </w:pPr>
      <w:r w:rsidRPr="0044524F">
        <w:rPr>
          <w:rFonts w:ascii="Times New Roman" w:eastAsia="TimesNewRoman" w:hAnsi="Times New Roman"/>
          <w:color w:val="000000" w:themeColor="text1"/>
          <w:sz w:val="16"/>
          <w:szCs w:val="16"/>
        </w:rPr>
        <w:t>19 декабря 1933 г. НКО и председатель РВС обратился к председателю СТО СССР В. М. Молотову с ходатайством о закупке 50-ти торпед у фирмы «Уайтхед» в г. Фиуме.</w:t>
      </w:r>
    </w:p>
    <w:p w14:paraId="3ED25468" w14:textId="77777777" w:rsidR="00CE35D9" w:rsidRPr="0044524F" w:rsidRDefault="00CE35D9" w:rsidP="009654CF">
      <w:pPr>
        <w:spacing w:after="0" w:line="240" w:lineRule="auto"/>
        <w:jc w:val="both"/>
        <w:rPr>
          <w:rFonts w:ascii="Times New Roman" w:eastAsia="TimesNewRoman" w:hAnsi="Times New Roman"/>
          <w:color w:val="000000" w:themeColor="text1"/>
          <w:sz w:val="16"/>
          <w:szCs w:val="16"/>
        </w:rPr>
      </w:pPr>
      <w:r w:rsidRPr="0044524F">
        <w:rPr>
          <w:rFonts w:ascii="Times New Roman" w:eastAsia="TimesNewRoman" w:hAnsi="Times New Roman"/>
          <w:color w:val="000000" w:themeColor="text1"/>
          <w:sz w:val="16"/>
          <w:szCs w:val="16"/>
        </w:rPr>
        <w:t>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(12701).</w:t>
      </w:r>
    </w:p>
    <w:p w14:paraId="25FCE769" w14:textId="77777777" w:rsidR="00CE35D9" w:rsidRPr="0044524F" w:rsidRDefault="00CE35D9" w:rsidP="009654CF">
      <w:pPr>
        <w:spacing w:after="0" w:line="240" w:lineRule="auto"/>
        <w:jc w:val="both"/>
        <w:rPr>
          <w:rFonts w:ascii="Times New Roman" w:eastAsia="TimesNewRoman" w:hAnsi="Times New Roman"/>
          <w:color w:val="000000" w:themeColor="text1"/>
          <w:sz w:val="16"/>
          <w:szCs w:val="16"/>
        </w:rPr>
      </w:pPr>
    </w:p>
    <w:p w14:paraId="72466183"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г. НКО и председатель РВС обратился к председателю СТО СССР В. М. Молотову с ходатайством о закупке 50-ти торпед у фирмы «Уайтхед» в г. Фиуме. 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(18258).</w:t>
      </w:r>
    </w:p>
    <w:p w14:paraId="1117CB8A" w14:textId="77777777" w:rsidR="00091E70" w:rsidRPr="0044524F" w:rsidRDefault="00091E70" w:rsidP="009654CF">
      <w:pPr>
        <w:spacing w:after="0" w:line="240" w:lineRule="auto"/>
        <w:jc w:val="both"/>
        <w:rPr>
          <w:rFonts w:ascii="Times New Roman" w:hAnsi="Times New Roman"/>
          <w:color w:val="000000" w:themeColor="text1"/>
          <w:sz w:val="16"/>
          <w:szCs w:val="16"/>
        </w:rPr>
      </w:pPr>
    </w:p>
    <w:p w14:paraId="08DF8FE1" w14:textId="77777777" w:rsidR="004852A6" w:rsidRPr="00142305" w:rsidRDefault="004852A6" w:rsidP="004852A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19 декабря 1933 г. НКО и председатель РВС обратился к председателю СТО СССР В. М. Молотову с ходатайством о закупке 50-ти торпед у фирмы «Уайтхед» в г. Фиуме. И уже 21 декабря 1933 г. вышло постановление СТО СССР о закупке вышеуказанного вооружения и предоставления необходимых средств, для его приобретения [Там же, д. 235, л. 8-10] (25366).</w:t>
      </w:r>
    </w:p>
    <w:p w14:paraId="039F5514" w14:textId="77777777" w:rsidR="004852A6" w:rsidRPr="00142305" w:rsidRDefault="004852A6" w:rsidP="004852A6">
      <w:pPr>
        <w:spacing w:after="0" w:line="240" w:lineRule="auto"/>
        <w:jc w:val="both"/>
        <w:rPr>
          <w:rFonts w:ascii="Times New Roman" w:hAnsi="Times New Roman"/>
          <w:color w:val="0070C0"/>
          <w:sz w:val="16"/>
          <w:szCs w:val="16"/>
        </w:rPr>
      </w:pPr>
    </w:p>
    <w:p w14:paraId="5F341752"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опросом членов ПБ</w:t>
      </w:r>
    </w:p>
    <w:p w14:paraId="6C6F92EE"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109/84.- О подлодках.</w:t>
      </w:r>
    </w:p>
    <w:p w14:paraId="0F64B51E"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НКВоду предоставить в распоряже</w:t>
      </w:r>
      <w:r w:rsidRPr="0044524F">
        <w:rPr>
          <w:rFonts w:ascii="Times New Roman" w:hAnsi="Times New Roman"/>
          <w:color w:val="000000" w:themeColor="text1"/>
          <w:sz w:val="16"/>
          <w:szCs w:val="16"/>
        </w:rPr>
        <w:softHyphen/>
        <w:t>ние НКВМ транспорт "Союз водников"(танкер) для переброски подлодок "Малютка" из Николаева в Сева</w:t>
      </w:r>
      <w:r w:rsidRPr="0044524F">
        <w:rPr>
          <w:rFonts w:ascii="Times New Roman" w:hAnsi="Times New Roman"/>
          <w:color w:val="000000" w:themeColor="text1"/>
          <w:sz w:val="16"/>
          <w:szCs w:val="16"/>
        </w:rPr>
        <w:softHyphen/>
        <w:t>стополь.</w:t>
      </w:r>
    </w:p>
    <w:p w14:paraId="2584EEBB"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Янсону, Ворошилову, Базилевичу.</w:t>
      </w:r>
    </w:p>
    <w:p w14:paraId="77C74390"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состоялось заседание ПБ и был оформлен протокол № 151 (23001).</w:t>
      </w:r>
    </w:p>
    <w:p w14:paraId="3277DE07" w14:textId="77777777" w:rsidR="0009760C" w:rsidRPr="0044524F" w:rsidRDefault="0009760C" w:rsidP="009654CF">
      <w:pPr>
        <w:spacing w:after="0" w:line="240" w:lineRule="auto"/>
        <w:jc w:val="both"/>
        <w:rPr>
          <w:rFonts w:ascii="Times New Roman" w:hAnsi="Times New Roman"/>
          <w:color w:val="000000" w:themeColor="text1"/>
          <w:sz w:val="16"/>
          <w:szCs w:val="16"/>
        </w:rPr>
      </w:pPr>
    </w:p>
    <w:p w14:paraId="58E824CE"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5CD8CB1A"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3F47D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года П. И. Травин, нач. вагоностроительного КБ Мытищенского з-да выступил на промышленном активе «О новой технике в Московской области между XVI и XVII съездами партии»,, где он, в частности, говорил: «Я работал в США 13 лет. Нам нужно использовать в максимальной степени американскую технику, нам надо провести большую конструкторскую работу применительно к нашим условиям… Ближайшим прототипом вагона метро является последняя модель Нью­йоркского метрополитена, которая была построена в 1931 году фирмой «Вести гаузен»… Самым новшеством будет вагон сплошной металлической конструкции для метрополитена, проект которого закончен и уже идет подготовка к постройке его на Мытищинском вагонном заводе» (11612).</w:t>
      </w:r>
    </w:p>
    <w:p w14:paraId="55754A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FA4CE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года секретным циркуляром ОГПУ № 124 всем подведомственным органам сообщался порядок освобождения из “исправительно-трудовых лагерей ОГПУ, в связи с установлением паспортного режима”. К освобождающимся из лагерей предписывалось применять “дифференцированный подход”.</w:t>
      </w:r>
    </w:p>
    <w:p w14:paraId="409B58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Не получали паспорта и не прописывались в режимных местностях осужденные за следующие преступления: контрреволюционную деятельность (исключения делались для лиц, “прикрепленных по постановлениям ОГПУ к определенным предприятиям для работы” и амнистированных специальными постановлениями правительства, то есть высококвалифицированных специалистов, без которых не могло работать ни одно производство), бандитизм, массовые беспорядки, уклонение от призыва на военную службу “с отягчающими признаками”, фальшивомонетчество и подделку документов, контрабанду, выезд за границу и въезд в СССР “без разрешения”, нарушение монополии внешней торговли и правил о валютных операциях, злостный неплатеж налогов и отказ от выполнения повинностей, побег арестованных, самогоноварение, сопротивление представителям власти с насилием, насилие в отношении общественников-активистов, растрату, взяточничество и взяткодательство, расхищение государственного и общественного имущества, незаконное производство абортов, растление малолетних, изнасилование, сводничество, повторные кражи , разбой, мошенничество, поджог, шпионаж. Из приведенного перечня видно, что в разряд преступников попали не только уголовники и политические противники режима, но и та многомиллионная масса населения, которая стала жертвой различных “экспериментов” советской власти при построении социалистического общества. Многие были осуждены без всякой вины с их стороны, так как, согласно комментарию к уголовному кодексу в редакции 1926 года, под “преступным деянием” понималось “покушение на основные завоевания пролетарской революции; следовательно, оконченный состав преступного деяния будет уже с момента покушения; фактических вредных последствий может и не быть” </w:t>
      </w:r>
      <w:r w:rsidRPr="0044524F">
        <w:rPr>
          <w:rFonts w:ascii="Times New Roman" w:hAnsi="Times New Roman"/>
          <w:color w:val="000000" w:themeColor="text1"/>
          <w:sz w:val="16"/>
          <w:szCs w:val="16"/>
          <w:vertAlign w:val="superscript"/>
        </w:rPr>
        <w:t>30</w:t>
      </w:r>
      <w:r w:rsidRPr="0044524F">
        <w:rPr>
          <w:rFonts w:ascii="Times New Roman" w:hAnsi="Times New Roman"/>
          <w:color w:val="000000" w:themeColor="text1"/>
          <w:sz w:val="16"/>
          <w:szCs w:val="16"/>
        </w:rPr>
        <w:t>.</w:t>
      </w:r>
    </w:p>
    <w:p w14:paraId="229300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кто отбыл “срочное лишение свободы, ссылку или высылку по вступившим в силу приговорам судов и коллегии ОГПУ” за перечисленные выше преступления, включались в специальный перечень лиц, которым в режимных местностях паспорта не выдавались (9985).</w:t>
      </w:r>
    </w:p>
    <w:p w14:paraId="7C78D1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2192B36"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A9B9B8B"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EAB17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СССР выступил с предложением о заключении Тихоокеанского пакта (3186).</w:t>
      </w:r>
    </w:p>
    <w:p w14:paraId="249F91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89FD3E6"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690D3D4"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CEDFA92"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19-23 декабря 1933 проходит Вторая Международная встреча авиация в Египте. 32 спортсмена принимают участие в трех соревнованиях: двухдневный тур на 900 миль (1450 км) под названием «Трасса оазисов»; соревнование на скорость 230 миль (370 км); и соревнование «Оазис Трофи», в котором участники соревнуются за трофей на основании количества очков, набранных ими в двух других соревнованиях. Участники ограничены в чрезвычайно сложной системе подсчета очков, которая учитывает расход топлива, скорость складывания крыльев, комфорт, пикетирование, взлетно-посадочную дистанцию, багаж, запуск двигателя, устройства безопасности, органы управления и инструменты, заправку топливом, простоту обслуживания и критерий безопасности, который требует от них выключить двигатели на высоте 2 000 футов (610 метров) и спланировать на посадку (20802).</w:t>
      </w:r>
    </w:p>
    <w:p w14:paraId="00B29340" w14:textId="77777777" w:rsidR="0009760C" w:rsidRPr="0044524F" w:rsidRDefault="0009760C" w:rsidP="009654CF">
      <w:pPr>
        <w:spacing w:after="0" w:line="240" w:lineRule="auto"/>
        <w:jc w:val="both"/>
        <w:rPr>
          <w:rFonts w:ascii="Times New Roman" w:hAnsi="Times New Roman"/>
          <w:color w:val="000000" w:themeColor="text1"/>
          <w:sz w:val="16"/>
          <w:szCs w:val="16"/>
        </w:rPr>
      </w:pPr>
    </w:p>
    <w:p w14:paraId="3D1B4B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в ходе парламентских выборов в Испании победу одержал блок правых партий (3186).</w:t>
      </w:r>
    </w:p>
    <w:p w14:paraId="5B2B4A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6D71AA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25253016"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EB28C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20 декабря 1933 г. были утверждена технические требования к военному варианту МГ, в которых учли многие недостатки ТБ-4. Например, большое внимание уделили верхней мотоустановке. Памятуя о мучениях с ее эксплуатацией, военные потребовали ввести на крыле площадки и гнезда для установки подъемного крана и грузовой стрелы, необходимых для монтажа и демонтажа двигателей и радиатора. Стрела должна была быть сконструирована именно к данному типу самолета, и поставляться вместе с ним. Также к бомбардировщику должны был придаваться комплект лестниц для осмотра верхней мотоустановки и хвостового оперения. На самой мотоустановке необходимо было сделать откидные площадки обслуживания.</w:t>
      </w:r>
    </w:p>
    <w:p w14:paraId="42B80E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Категорически требовали избавиться от течи водяных радиаторов. Но, видимо, не надеясь, что это реально, заодно и предусмотрели в комплектации переносные бачки-тер- мосы с ручными насосами для пополнения запаса воды в системе в полете. Механик, ходящий по коридору внутри крыла, должен был следить за уровнем в расширительном бачке и при необходимости подливать из термоса теплую воду.</w:t>
      </w:r>
    </w:p>
    <w:p w14:paraId="2A1A16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заправки самолета бензином и маслом жестко ограничивалось. "...30 минут и ни одной минутой больше", - так и записано. Это тогда, когда обыкновенный аэродромный бензозаправщик являлся редкостью! Баки заливали ведрами, канистрами, в лучшем случае - ручным насосом-"альвеером" из бочки. В то же время предлагалось уложиться с подвеской бомб. Требовалось наличие для этого на самолете электролебедок и дублирующих их ручных.</w:t>
      </w:r>
    </w:p>
    <w:p w14:paraId="45D326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Туполеву многие требования военных очень не понравились. В частности, "30 минут и ни минуты больше" он справедливо счел сроком совершенно нереальным. По его мнению, после внесения ряда усовершенствований можно было постепенно прийти к часу, и лишь после получения опыта эксплуатации добиваться дальнейшего сокращения времени (12024).</w:t>
      </w:r>
    </w:p>
    <w:p w14:paraId="507CCD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EF760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г. утвердили технические требования к военному варианту МГ и в них учли многие недостатки ТБ-4. Например, большое внимание уделили верхней мотоустановке. Памятуя о мучениях с ее эксплуатацией, военные потребовали ввести на крыле площадки и гнезда для установки подъемного крана и грузовой стрелы, необходимых для монтажа и демонтажа двигателей и радиатора. Стрела должна была быть сконструирована именно к данному типу самолета и поставляться вместе с ним. Также к бомбардировщику должны был придаваться комплект лестниц для осмотра верхней мотоустановки и хвостового оперения. На самой мотоустановке необходимо было сделать откидные площадки обслуживания.</w:t>
      </w:r>
    </w:p>
    <w:p w14:paraId="5334E6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Категорически требовали избавиться от течи водяных радиаторов. Но, видимо, не надеясь, что это реально, заодно и предусмотрели в комплектации переносные бачки- термосы с ручными насосами для пополнения запаса воды в системе в полете. Механик, ходящий по коридору внутри крыла, должен был следить за уровнем в расширительном бачке и при необходимости подливать из термоса теплую воду.</w:t>
      </w:r>
    </w:p>
    <w:p w14:paraId="2F6D0F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заправки самолета бензином и маслом жестко ограничивалось. "...30 минут и ни одной минутой больше", - так и записано. Это тогда, когда обыкновенный аэродромный бензозаправщик являлся редкостью! В то же время предлагалось уложиться с подвеской бомб. Требовалось наличие для этого электролебедок и дублирующих их ручных.</w:t>
      </w:r>
    </w:p>
    <w:p w14:paraId="0603EB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Туполеву многие требования военных очень не понравились. В частности, "30 минут и ни минуты больше" он счел сроком совершенно нереальным. По его мнению, после внесения ряда усовершенствований можно было прийти к часу, и лишь после получения опыта эксплуатации добиваться дальнейшего сокращения времени (12036).</w:t>
      </w:r>
    </w:p>
    <w:p w14:paraId="5F6CEC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3E91701"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г. Начальник ВВС РККА А.И. Алкснис утвердил «Техничес</w:t>
      </w:r>
      <w:r w:rsidRPr="0044524F">
        <w:rPr>
          <w:rFonts w:ascii="Times New Roman" w:hAnsi="Times New Roman"/>
          <w:color w:val="000000" w:themeColor="text1"/>
          <w:sz w:val="16"/>
          <w:szCs w:val="16"/>
        </w:rPr>
        <w:softHyphen/>
        <w:t>кие требования к самолету «Максим Горь</w:t>
      </w:r>
      <w:r w:rsidRPr="0044524F">
        <w:rPr>
          <w:rFonts w:ascii="Times New Roman" w:hAnsi="Times New Roman"/>
          <w:color w:val="000000" w:themeColor="text1"/>
          <w:sz w:val="16"/>
          <w:szCs w:val="16"/>
        </w:rPr>
        <w:softHyphen/>
        <w:t>кий» (8 моторов М—34Р/Е=7/) в военном варианте в части эксплуатации летной, технической и вооружения на основе опы</w:t>
      </w:r>
      <w:r w:rsidRPr="0044524F">
        <w:rPr>
          <w:rFonts w:ascii="Times New Roman" w:hAnsi="Times New Roman"/>
          <w:color w:val="000000" w:themeColor="text1"/>
          <w:sz w:val="16"/>
          <w:szCs w:val="16"/>
        </w:rPr>
        <w:softHyphen/>
        <w:t>та государственных испытаний самолета ТБ-4-6М34».</w:t>
      </w:r>
    </w:p>
    <w:p w14:paraId="60246B76"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Вот основные положения этого доку</w:t>
      </w:r>
      <w:r w:rsidRPr="0044524F">
        <w:rPr>
          <w:rFonts w:ascii="Times New Roman" w:hAnsi="Times New Roman"/>
          <w:color w:val="000000" w:themeColor="text1"/>
          <w:sz w:val="16"/>
          <w:szCs w:val="16"/>
        </w:rPr>
        <w:softHyphen/>
        <w:t>мента:</w:t>
      </w:r>
    </w:p>
    <w:p w14:paraId="703B6F7F" w14:textId="77777777" w:rsidR="0009760C" w:rsidRPr="0044524F" w:rsidRDefault="0009760C" w:rsidP="009654CF">
      <w:pPr>
        <w:spacing w:after="0" w:line="240" w:lineRule="auto"/>
        <w:jc w:val="both"/>
        <w:rPr>
          <w:rFonts w:ascii="Times New Roman" w:hAnsi="Times New Roman"/>
          <w:color w:val="000000" w:themeColor="text1"/>
          <w:sz w:val="16"/>
          <w:szCs w:val="16"/>
        </w:rPr>
      </w:pPr>
      <w:bookmarkStart w:id="55" w:name="bookmark117"/>
      <w:r w:rsidRPr="0044524F">
        <w:rPr>
          <w:rFonts w:ascii="Times New Roman" w:hAnsi="Times New Roman"/>
          <w:color w:val="000000" w:themeColor="text1"/>
          <w:sz w:val="16"/>
          <w:szCs w:val="16"/>
        </w:rPr>
        <w:t>1. ЛЕТНАЯ ЭКСПЛОАТАЦИЯ</w:t>
      </w:r>
      <w:bookmarkEnd w:id="55"/>
    </w:p>
    <w:p w14:paraId="33314EFA"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допускать горизон</w:t>
      </w:r>
      <w:r w:rsidRPr="0044524F">
        <w:rPr>
          <w:rFonts w:ascii="Times New Roman" w:hAnsi="Times New Roman"/>
          <w:color w:val="000000" w:themeColor="text1"/>
          <w:sz w:val="16"/>
          <w:szCs w:val="16"/>
        </w:rPr>
        <w:softHyphen/>
        <w:t>тальный полет на боевой высоте с одним выключенным мотором и на высоте 2000м — с двумя выключенными моторами.</w:t>
      </w:r>
    </w:p>
    <w:p w14:paraId="05AF9FC5"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самолета не должна превосходить 100км/час.</w:t>
      </w:r>
    </w:p>
    <w:p w14:paraId="3D90FEF7"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Дита разбега не должна превышать 400 м.</w:t>
      </w:r>
    </w:p>
    <w:p w14:paraId="7E921E9F"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Диша пробега при действии тормо</w:t>
      </w:r>
      <w:r w:rsidRPr="0044524F">
        <w:rPr>
          <w:rFonts w:ascii="Times New Roman" w:hAnsi="Times New Roman"/>
          <w:color w:val="000000" w:themeColor="text1"/>
          <w:sz w:val="16"/>
          <w:szCs w:val="16"/>
        </w:rPr>
        <w:softHyphen/>
        <w:t>зов не должна превышать 300м, при отка</w:t>
      </w:r>
      <w:r w:rsidRPr="0044524F">
        <w:rPr>
          <w:rFonts w:ascii="Times New Roman" w:hAnsi="Times New Roman"/>
          <w:color w:val="000000" w:themeColor="text1"/>
          <w:sz w:val="16"/>
          <w:szCs w:val="16"/>
        </w:rPr>
        <w:softHyphen/>
        <w:t>зе тормозов — 400м.</w:t>
      </w:r>
    </w:p>
    <w:p w14:paraId="46ADB23F"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Рули высоты и поворота должны об</w:t>
      </w:r>
      <w:r w:rsidRPr="0044524F">
        <w:rPr>
          <w:rFonts w:ascii="Times New Roman" w:hAnsi="Times New Roman"/>
          <w:color w:val="000000" w:themeColor="text1"/>
          <w:sz w:val="16"/>
          <w:szCs w:val="16"/>
        </w:rPr>
        <w:softHyphen/>
        <w:t>ладать флетнерами или серворулями, максимально разгружающими летчика на всех присущих самолету режимах полета, и должны заменить существующую мало</w:t>
      </w:r>
      <w:r w:rsidRPr="0044524F">
        <w:rPr>
          <w:rFonts w:ascii="Times New Roman" w:hAnsi="Times New Roman"/>
          <w:color w:val="000000" w:themeColor="text1"/>
          <w:sz w:val="16"/>
          <w:szCs w:val="16"/>
        </w:rPr>
        <w:softHyphen/>
        <w:t>эффективную компенсацию ножного уп</w:t>
      </w:r>
      <w:r w:rsidRPr="0044524F">
        <w:rPr>
          <w:rFonts w:ascii="Times New Roman" w:hAnsi="Times New Roman"/>
          <w:color w:val="000000" w:themeColor="text1"/>
          <w:sz w:val="16"/>
          <w:szCs w:val="16"/>
        </w:rPr>
        <w:softHyphen/>
        <w:t>равления.</w:t>
      </w:r>
    </w:p>
    <w:p w14:paraId="109BF7BA"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производстве эволюций ни при каких отклонениях рулей не должно иметь место явление перекомпенсировапия с воз</w:t>
      </w:r>
      <w:r w:rsidRPr="0044524F">
        <w:rPr>
          <w:rFonts w:ascii="Times New Roman" w:hAnsi="Times New Roman"/>
          <w:color w:val="000000" w:themeColor="text1"/>
          <w:sz w:val="16"/>
          <w:szCs w:val="16"/>
        </w:rPr>
        <w:softHyphen/>
        <w:t>никновением обратных давлений, или виб</w:t>
      </w:r>
      <w:r w:rsidRPr="0044524F">
        <w:rPr>
          <w:rFonts w:ascii="Times New Roman" w:hAnsi="Times New Roman"/>
          <w:color w:val="000000" w:themeColor="text1"/>
          <w:sz w:val="16"/>
          <w:szCs w:val="16"/>
        </w:rPr>
        <w:softHyphen/>
        <w:t>раций.</w:t>
      </w:r>
    </w:p>
    <w:p w14:paraId="4A7B5012"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Мощность руля высоты при нейт</w:t>
      </w:r>
      <w:r w:rsidRPr="0044524F">
        <w:rPr>
          <w:rFonts w:ascii="Times New Roman" w:hAnsi="Times New Roman"/>
          <w:color w:val="000000" w:themeColor="text1"/>
          <w:sz w:val="16"/>
          <w:szCs w:val="16"/>
        </w:rPr>
        <w:softHyphen/>
        <w:t>ральном положении стабилизатора должна быть достаточной при практи</w:t>
      </w:r>
      <w:r w:rsidRPr="0044524F">
        <w:rPr>
          <w:rFonts w:ascii="Times New Roman" w:hAnsi="Times New Roman"/>
          <w:color w:val="000000" w:themeColor="text1"/>
          <w:sz w:val="16"/>
          <w:szCs w:val="16"/>
        </w:rPr>
        <w:softHyphen/>
        <w:t>чески возможной центровке самолета без необходимости перемещения экипажа или грузов в самолете перед взлетом и по</w:t>
      </w:r>
      <w:r w:rsidRPr="0044524F">
        <w:rPr>
          <w:rFonts w:ascii="Times New Roman" w:hAnsi="Times New Roman"/>
          <w:color w:val="000000" w:themeColor="text1"/>
          <w:sz w:val="16"/>
          <w:szCs w:val="16"/>
        </w:rPr>
        <w:softHyphen/>
        <w:t>садкой...</w:t>
      </w:r>
    </w:p>
    <w:p w14:paraId="77BB9089"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самолета должна поз</w:t>
      </w:r>
      <w:r w:rsidRPr="0044524F">
        <w:rPr>
          <w:rFonts w:ascii="Times New Roman" w:hAnsi="Times New Roman"/>
          <w:color w:val="000000" w:themeColor="text1"/>
          <w:sz w:val="16"/>
          <w:szCs w:val="16"/>
        </w:rPr>
        <w:softHyphen/>
        <w:t>волять возможность легкого выпрыгивания на парашюте с каждого поста экипажа. Конструктор обязан доказать возмож</w:t>
      </w:r>
      <w:r w:rsidRPr="0044524F">
        <w:rPr>
          <w:rFonts w:ascii="Times New Roman" w:hAnsi="Times New Roman"/>
          <w:color w:val="000000" w:themeColor="text1"/>
          <w:sz w:val="16"/>
          <w:szCs w:val="16"/>
        </w:rPr>
        <w:softHyphen/>
        <w:t>ность выпрыгивания и указать наилучший способ оставления самолета экипажем. Ни один пост экипажа не должен находиться в плоскости вращения винтов...</w:t>
      </w:r>
    </w:p>
    <w:p w14:paraId="71A4DB57"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крыле и фюзеляже должны быть предусмотрены крепления для подвески га</w:t>
      </w:r>
      <w:r w:rsidRPr="0044524F">
        <w:rPr>
          <w:rFonts w:ascii="Times New Roman" w:hAnsi="Times New Roman"/>
          <w:color w:val="000000" w:themeColor="text1"/>
          <w:sz w:val="16"/>
          <w:szCs w:val="16"/>
        </w:rPr>
        <w:softHyphen/>
        <w:t>маков и разработана конструкция самого гамака.</w:t>
      </w:r>
    </w:p>
    <w:p w14:paraId="5C7F974F"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Кабина летчиков со стороны бомбо</w:t>
      </w:r>
      <w:r w:rsidRPr="0044524F">
        <w:rPr>
          <w:rFonts w:ascii="Times New Roman" w:hAnsi="Times New Roman"/>
          <w:color w:val="000000" w:themeColor="text1"/>
          <w:sz w:val="16"/>
          <w:szCs w:val="16"/>
        </w:rPr>
        <w:softHyphen/>
        <w:t>вого отсека должна иметь выдвижную дверь...</w:t>
      </w:r>
    </w:p>
    <w:p w14:paraId="25DC9189" w14:textId="77777777" w:rsidR="0009760C" w:rsidRPr="0044524F" w:rsidRDefault="0009760C" w:rsidP="009654CF">
      <w:pPr>
        <w:spacing w:after="0" w:line="240" w:lineRule="auto"/>
        <w:jc w:val="both"/>
        <w:rPr>
          <w:rFonts w:ascii="Times New Roman" w:hAnsi="Times New Roman"/>
          <w:color w:val="000000" w:themeColor="text1"/>
          <w:sz w:val="16"/>
          <w:szCs w:val="16"/>
        </w:rPr>
      </w:pPr>
      <w:bookmarkStart w:id="56" w:name="bookmark119"/>
      <w:r w:rsidRPr="0044524F">
        <w:rPr>
          <w:rFonts w:ascii="Times New Roman" w:hAnsi="Times New Roman"/>
          <w:color w:val="000000" w:themeColor="text1"/>
          <w:sz w:val="16"/>
          <w:szCs w:val="16"/>
        </w:rPr>
        <w:t>II. ТЕХНИЧЕСКАЯ ЭКСПЛОАТАЦИЯ</w:t>
      </w:r>
      <w:bookmarkEnd w:id="56"/>
    </w:p>
    <w:p w14:paraId="19C7F476"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Обеспечить возможность полной за</w:t>
      </w:r>
      <w:r w:rsidRPr="0044524F">
        <w:rPr>
          <w:rFonts w:ascii="Times New Roman" w:hAnsi="Times New Roman"/>
          <w:color w:val="000000" w:themeColor="text1"/>
          <w:sz w:val="16"/>
          <w:szCs w:val="16"/>
        </w:rPr>
        <w:softHyphen/>
        <w:t>правки самолета (заливка воды, масла и бензина, подвеска бомб, снаряжение па</w:t>
      </w:r>
      <w:r w:rsidRPr="0044524F">
        <w:rPr>
          <w:rFonts w:ascii="Times New Roman" w:hAnsi="Times New Roman"/>
          <w:color w:val="000000" w:themeColor="text1"/>
          <w:sz w:val="16"/>
          <w:szCs w:val="16"/>
        </w:rPr>
        <w:softHyphen/>
        <w:t>тронами и снарядами) в течение 30 минут и ни одной минутой больше.</w:t>
      </w:r>
    </w:p>
    <w:p w14:paraId="26FA157B"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самолета должна позво</w:t>
      </w:r>
      <w:r w:rsidRPr="0044524F">
        <w:rPr>
          <w:rFonts w:ascii="Times New Roman" w:hAnsi="Times New Roman"/>
          <w:color w:val="000000" w:themeColor="text1"/>
          <w:sz w:val="16"/>
          <w:szCs w:val="16"/>
        </w:rPr>
        <w:softHyphen/>
        <w:t>лять:</w:t>
      </w:r>
    </w:p>
    <w:p w14:paraId="6316D584"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6. Заливку топлива в воздухе с обеих сторон крыла.</w:t>
      </w:r>
    </w:p>
    <w:p w14:paraId="7E0A0DE1"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Количество бензиновых баков в крыле должно быть не меньше 12-ти. Емкость бензиновых и масляных баков должна обес</w:t>
      </w:r>
      <w:r w:rsidRPr="0044524F">
        <w:rPr>
          <w:rFonts w:ascii="Times New Roman" w:hAnsi="Times New Roman"/>
          <w:color w:val="000000" w:themeColor="text1"/>
          <w:sz w:val="16"/>
          <w:szCs w:val="16"/>
        </w:rPr>
        <w:softHyphen/>
        <w:t>печить полет на техническую дальность 3000 км.</w:t>
      </w:r>
    </w:p>
    <w:p w14:paraId="62C36447"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Совершенно необходимо предусмот</w:t>
      </w:r>
      <w:r w:rsidRPr="0044524F">
        <w:rPr>
          <w:rFonts w:ascii="Times New Roman" w:hAnsi="Times New Roman"/>
          <w:color w:val="000000" w:themeColor="text1"/>
          <w:sz w:val="16"/>
          <w:szCs w:val="16"/>
        </w:rPr>
        <w:softHyphen/>
        <w:t>реть возможность заполнения баков по вы</w:t>
      </w:r>
      <w:r w:rsidRPr="0044524F">
        <w:rPr>
          <w:rFonts w:ascii="Times New Roman" w:hAnsi="Times New Roman"/>
          <w:color w:val="000000" w:themeColor="text1"/>
          <w:sz w:val="16"/>
          <w:szCs w:val="16"/>
        </w:rPr>
        <w:softHyphen/>
        <w:t>горании топлива нейтральным газом...</w:t>
      </w:r>
    </w:p>
    <w:p w14:paraId="7CEAD53A"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Пульт инженера корабля размес</w:t>
      </w:r>
      <w:r w:rsidRPr="0044524F">
        <w:rPr>
          <w:rFonts w:ascii="Times New Roman" w:hAnsi="Times New Roman"/>
          <w:color w:val="000000" w:themeColor="text1"/>
          <w:sz w:val="16"/>
          <w:szCs w:val="16"/>
        </w:rPr>
        <w:softHyphen/>
        <w:t>тить в центроплане и оборудовать его сиг</w:t>
      </w:r>
      <w:r w:rsidRPr="0044524F">
        <w:rPr>
          <w:rFonts w:ascii="Times New Roman" w:hAnsi="Times New Roman"/>
          <w:color w:val="000000" w:themeColor="text1"/>
          <w:sz w:val="16"/>
          <w:szCs w:val="16"/>
        </w:rPr>
        <w:softHyphen/>
        <w:t>нализацией и переговорным приспособлени</w:t>
      </w:r>
      <w:r w:rsidRPr="0044524F">
        <w:rPr>
          <w:rFonts w:ascii="Times New Roman" w:hAnsi="Times New Roman"/>
          <w:color w:val="000000" w:themeColor="text1"/>
          <w:sz w:val="16"/>
          <w:szCs w:val="16"/>
        </w:rPr>
        <w:softHyphen/>
        <w:t>ем для связи с летчиками и командиром ко</w:t>
      </w:r>
      <w:r w:rsidRPr="0044524F">
        <w:rPr>
          <w:rFonts w:ascii="Times New Roman" w:hAnsi="Times New Roman"/>
          <w:color w:val="000000" w:themeColor="text1"/>
          <w:sz w:val="16"/>
          <w:szCs w:val="16"/>
        </w:rPr>
        <w:softHyphen/>
        <w:t>рабля...</w:t>
      </w:r>
    </w:p>
    <w:p w14:paraId="5802FF51"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Водомасляные радиаторы устано</w:t>
      </w:r>
      <w:r w:rsidRPr="0044524F">
        <w:rPr>
          <w:rFonts w:ascii="Times New Roman" w:hAnsi="Times New Roman"/>
          <w:color w:val="000000" w:themeColor="text1"/>
          <w:sz w:val="16"/>
          <w:szCs w:val="16"/>
        </w:rPr>
        <w:softHyphen/>
        <w:t>вить последней конструкции ЦАГИ.</w:t>
      </w:r>
    </w:p>
    <w:p w14:paraId="060999FA"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Конструкцию водяных радиаторов отработать, наконец, так, чтобы была исключена возможность их течи (более жесткая обечайка и др.).</w:t>
      </w:r>
    </w:p>
    <w:p w14:paraId="3964AD3D"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должен иметь двери с обе</w:t>
      </w:r>
      <w:r w:rsidRPr="0044524F">
        <w:rPr>
          <w:rFonts w:ascii="Times New Roman" w:hAnsi="Times New Roman"/>
          <w:color w:val="000000" w:themeColor="text1"/>
          <w:sz w:val="16"/>
          <w:szCs w:val="16"/>
        </w:rPr>
        <w:softHyphen/>
        <w:t>их сторон фюзеляжа, выдвижные или от</w:t>
      </w:r>
      <w:r w:rsidRPr="0044524F">
        <w:rPr>
          <w:rFonts w:ascii="Times New Roman" w:hAnsi="Times New Roman"/>
          <w:color w:val="000000" w:themeColor="text1"/>
          <w:sz w:val="16"/>
          <w:szCs w:val="16"/>
        </w:rPr>
        <w:softHyphen/>
        <w:t>крывающиеся во внутрь...</w:t>
      </w:r>
    </w:p>
    <w:p w14:paraId="6656D772"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Вся бензо-масло-водопроводка, про</w:t>
      </w:r>
      <w:r w:rsidRPr="0044524F">
        <w:rPr>
          <w:rFonts w:ascii="Times New Roman" w:hAnsi="Times New Roman"/>
          <w:color w:val="000000" w:themeColor="text1"/>
          <w:sz w:val="16"/>
          <w:szCs w:val="16"/>
        </w:rPr>
        <w:softHyphen/>
        <w:t>водка сжатого воздуха и противопожар</w:t>
      </w:r>
      <w:r w:rsidRPr="0044524F">
        <w:rPr>
          <w:rFonts w:ascii="Times New Roman" w:hAnsi="Times New Roman"/>
          <w:color w:val="000000" w:themeColor="text1"/>
          <w:sz w:val="16"/>
          <w:szCs w:val="16"/>
        </w:rPr>
        <w:softHyphen/>
        <w:t>ная должны быть доведены до состояния полной герметичности.</w:t>
      </w:r>
    </w:p>
    <w:p w14:paraId="2C942BE6"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Капоты моторов должны позволять быстрый доступ к мотору, быстрое и на</w:t>
      </w:r>
      <w:r w:rsidRPr="0044524F">
        <w:rPr>
          <w:rFonts w:ascii="Times New Roman" w:hAnsi="Times New Roman"/>
          <w:color w:val="000000" w:themeColor="text1"/>
          <w:sz w:val="16"/>
          <w:szCs w:val="16"/>
        </w:rPr>
        <w:softHyphen/>
        <w:t>дежное закапочивание.</w:t>
      </w:r>
    </w:p>
    <w:p w14:paraId="4B64D738"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проходы в крыле к моторам, ба</w:t>
      </w:r>
      <w:r w:rsidRPr="0044524F">
        <w:rPr>
          <w:rFonts w:ascii="Times New Roman" w:hAnsi="Times New Roman"/>
          <w:color w:val="000000" w:themeColor="text1"/>
          <w:sz w:val="16"/>
          <w:szCs w:val="16"/>
        </w:rPr>
        <w:softHyphen/>
        <w:t>кам, башням, верхние поверхности фюзе</w:t>
      </w:r>
      <w:r w:rsidRPr="0044524F">
        <w:rPr>
          <w:rFonts w:ascii="Times New Roman" w:hAnsi="Times New Roman"/>
          <w:color w:val="000000" w:themeColor="text1"/>
          <w:sz w:val="16"/>
          <w:szCs w:val="16"/>
        </w:rPr>
        <w:softHyphen/>
        <w:t>ляжа и стабилизатора, верхняя поверх</w:t>
      </w:r>
      <w:r w:rsidRPr="0044524F">
        <w:rPr>
          <w:rFonts w:ascii="Times New Roman" w:hAnsi="Times New Roman"/>
          <w:color w:val="000000" w:themeColor="text1"/>
          <w:sz w:val="16"/>
          <w:szCs w:val="16"/>
        </w:rPr>
        <w:softHyphen/>
        <w:t>ность крыла за моторами и около мото</w:t>
      </w:r>
      <w:r w:rsidRPr="0044524F">
        <w:rPr>
          <w:rFonts w:ascii="Times New Roman" w:hAnsi="Times New Roman"/>
          <w:color w:val="000000" w:themeColor="text1"/>
          <w:sz w:val="16"/>
          <w:szCs w:val="16"/>
        </w:rPr>
        <w:softHyphen/>
        <w:t>ров, вся нижняя поверхность фюзеляжа должны быть изготовлены из гофра повы</w:t>
      </w:r>
      <w:r w:rsidRPr="0044524F">
        <w:rPr>
          <w:rFonts w:ascii="Times New Roman" w:hAnsi="Times New Roman"/>
          <w:color w:val="000000" w:themeColor="text1"/>
          <w:sz w:val="16"/>
          <w:szCs w:val="16"/>
        </w:rPr>
        <w:softHyphen/>
        <w:t>шенной прочности или усилены добавоч</w:t>
      </w:r>
      <w:r w:rsidRPr="0044524F">
        <w:rPr>
          <w:rFonts w:ascii="Times New Roman" w:hAnsi="Times New Roman"/>
          <w:color w:val="000000" w:themeColor="text1"/>
          <w:sz w:val="16"/>
          <w:szCs w:val="16"/>
        </w:rPr>
        <w:softHyphen/>
        <w:t>ным настилом.</w:t>
      </w:r>
    </w:p>
    <w:p w14:paraId="76A14FD0"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стыковые соединения самолета должны быть плотно закрыты обтекате</w:t>
      </w:r>
      <w:r w:rsidRPr="0044524F">
        <w:rPr>
          <w:rFonts w:ascii="Times New Roman" w:hAnsi="Times New Roman"/>
          <w:color w:val="000000" w:themeColor="text1"/>
          <w:sz w:val="16"/>
          <w:szCs w:val="16"/>
        </w:rPr>
        <w:softHyphen/>
        <w:t>лями. Все тяги, трубы, тросы не должны тереться о соседние детали. Все болтовые и шарнирные соединения должны быть за</w:t>
      </w:r>
      <w:r w:rsidRPr="0044524F">
        <w:rPr>
          <w:rFonts w:ascii="Times New Roman" w:hAnsi="Times New Roman"/>
          <w:color w:val="000000" w:themeColor="text1"/>
          <w:sz w:val="16"/>
          <w:szCs w:val="16"/>
        </w:rPr>
        <w:softHyphen/>
        <w:t>контрены.</w:t>
      </w:r>
    </w:p>
    <w:p w14:paraId="257FE1EA"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стока воды из крыла и вымета</w:t>
      </w:r>
      <w:r w:rsidRPr="0044524F">
        <w:rPr>
          <w:rFonts w:ascii="Times New Roman" w:hAnsi="Times New Roman"/>
          <w:color w:val="000000" w:themeColor="text1"/>
          <w:sz w:val="16"/>
          <w:szCs w:val="16"/>
        </w:rPr>
        <w:softHyphen/>
        <w:t>ния грязи должны быть предусмотрены в крыле соответствующие отверстия и окна.</w:t>
      </w:r>
    </w:p>
    <w:p w14:paraId="360A9185"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закрепления рулей и элеронов на стоянке предусмотреть приспособления по типу самолета ТБ-3.</w:t>
      </w:r>
    </w:p>
    <w:p w14:paraId="4E7D680B"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пополнения водяной системы водой в полете предусмотреть оборудова</w:t>
      </w:r>
      <w:r w:rsidRPr="0044524F">
        <w:rPr>
          <w:rFonts w:ascii="Times New Roman" w:hAnsi="Times New Roman"/>
          <w:color w:val="000000" w:themeColor="text1"/>
          <w:sz w:val="16"/>
          <w:szCs w:val="16"/>
        </w:rPr>
        <w:softHyphen/>
        <w:t>ние в виде переносных термосов с альвейе- рами...</w:t>
      </w:r>
    </w:p>
    <w:p w14:paraId="3C0D47D6"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Эксплоатация верхних моторов</w:t>
      </w:r>
    </w:p>
    <w:p w14:paraId="6489AE6A"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 На крыльях предусмотреть опорные точки для установки стрелы , крана и дать конструкцию подъемной стрелы для уста</w:t>
      </w:r>
      <w:r w:rsidRPr="0044524F">
        <w:rPr>
          <w:rFonts w:ascii="Times New Roman" w:hAnsi="Times New Roman"/>
          <w:color w:val="000000" w:themeColor="text1"/>
          <w:sz w:val="16"/>
          <w:szCs w:val="16"/>
        </w:rPr>
        <w:softHyphen/>
        <w:t>новки и снятия моторов и радиаторов.</w:t>
      </w:r>
    </w:p>
    <w:p w14:paraId="10F4F1E7"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 Сконструировать и построить удобные, надеж ные и легкие лестницы для залезания на моторную установку, а также опорные подвесные площадки для работы наверху. Эти же лестницы должны позволять осмотр вертикального хвосто</w:t>
      </w:r>
      <w:r w:rsidRPr="0044524F">
        <w:rPr>
          <w:rFonts w:ascii="Times New Roman" w:hAnsi="Times New Roman"/>
          <w:color w:val="000000" w:themeColor="text1"/>
          <w:sz w:val="16"/>
          <w:szCs w:val="16"/>
        </w:rPr>
        <w:softHyphen/>
        <w:t>вого оперения...</w:t>
      </w:r>
    </w:p>
    <w:p w14:paraId="1FF0D2C8" w14:textId="77777777" w:rsidR="0009760C" w:rsidRPr="0044524F" w:rsidRDefault="0009760C" w:rsidP="009654CF">
      <w:pPr>
        <w:spacing w:after="0" w:line="240" w:lineRule="auto"/>
        <w:jc w:val="both"/>
        <w:rPr>
          <w:rFonts w:ascii="Times New Roman" w:hAnsi="Times New Roman"/>
          <w:color w:val="000000" w:themeColor="text1"/>
          <w:sz w:val="16"/>
          <w:szCs w:val="16"/>
        </w:rPr>
      </w:pPr>
      <w:bookmarkStart w:id="57" w:name="bookmark121"/>
      <w:r w:rsidRPr="0044524F">
        <w:rPr>
          <w:rFonts w:ascii="Times New Roman" w:hAnsi="Times New Roman"/>
          <w:color w:val="000000" w:themeColor="text1"/>
          <w:sz w:val="16"/>
          <w:szCs w:val="16"/>
        </w:rPr>
        <w:t>Ill. ЭКСПЛОАТАЦИЯ ВООРУЖЕНИЯ</w:t>
      </w:r>
      <w:bookmarkEnd w:id="57"/>
    </w:p>
    <w:p w14:paraId="74D30E68"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Подвеска бомб, снаряжение патрона</w:t>
      </w:r>
      <w:r w:rsidRPr="0044524F">
        <w:rPr>
          <w:rFonts w:ascii="Times New Roman" w:hAnsi="Times New Roman"/>
          <w:color w:val="000000" w:themeColor="text1"/>
          <w:sz w:val="16"/>
          <w:szCs w:val="16"/>
        </w:rPr>
        <w:softHyphen/>
        <w:t>ми и снарядами, производимые одновременно с заправкой самолета бензином, маслом и водой, должны укладываться в 30 минут и ни одной минутой больше. На случай отказа системы электроподвески бомб должна быть предусмотрена ручная подвеска.</w:t>
      </w:r>
    </w:p>
    <w:p w14:paraId="5FDC9E1F"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Главный инженер-механик</w:t>
      </w:r>
    </w:p>
    <w:p w14:paraId="2DAAEC4C"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ВВС РККА</w:t>
      </w:r>
      <w:r w:rsidRPr="0044524F">
        <w:rPr>
          <w:rFonts w:ascii="Times New Roman" w:hAnsi="Times New Roman"/>
          <w:color w:val="000000" w:themeColor="text1"/>
          <w:sz w:val="16"/>
          <w:szCs w:val="16"/>
        </w:rPr>
        <w:tab/>
        <w:t>(Аузан)</w:t>
      </w:r>
    </w:p>
    <w:p w14:paraId="1137DBB4" w14:textId="77777777" w:rsidR="0009760C" w:rsidRPr="0044524F" w:rsidRDefault="0009760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Врид. Начальника 7-го сектора</w:t>
      </w:r>
      <w:r w:rsidRPr="0044524F">
        <w:rPr>
          <w:rFonts w:ascii="Times New Roman" w:hAnsi="Times New Roman"/>
          <w:color w:val="000000" w:themeColor="text1"/>
          <w:sz w:val="16"/>
          <w:szCs w:val="16"/>
        </w:rPr>
        <w:tab/>
        <w:t>(Жемчужин)» (21240).</w:t>
      </w:r>
    </w:p>
    <w:p w14:paraId="26F455CB" w14:textId="77777777" w:rsidR="0009760C" w:rsidRPr="0044524F" w:rsidRDefault="0009760C" w:rsidP="009654CF">
      <w:pPr>
        <w:spacing w:after="0" w:line="240" w:lineRule="auto"/>
        <w:jc w:val="both"/>
        <w:rPr>
          <w:rFonts w:ascii="Times New Roman" w:hAnsi="Times New Roman"/>
          <w:color w:val="000000" w:themeColor="text1"/>
          <w:sz w:val="16"/>
          <w:szCs w:val="16"/>
        </w:rPr>
      </w:pPr>
    </w:p>
    <w:p w14:paraId="24F74DE8" w14:textId="77777777" w:rsidR="003C733E" w:rsidRPr="00142305" w:rsidRDefault="003C733E" w:rsidP="003C7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декабря 1933 г. утвердили технические требования к военному варианту МГ, в которых учли многие недостатки ТБ-4. Например, большое внимание уделили верхней мо</w:t>
      </w:r>
      <w:r w:rsidRPr="00142305">
        <w:rPr>
          <w:rFonts w:ascii="Times New Roman" w:hAnsi="Times New Roman"/>
          <w:color w:val="0070C0"/>
          <w:sz w:val="16"/>
          <w:szCs w:val="16"/>
        </w:rPr>
        <w:softHyphen/>
        <w:t>тоустановке. Памятуя о мучениях с ее эксплуатацией, воен</w:t>
      </w:r>
      <w:r w:rsidRPr="00142305">
        <w:rPr>
          <w:rFonts w:ascii="Times New Roman" w:hAnsi="Times New Roman"/>
          <w:color w:val="0070C0"/>
          <w:sz w:val="16"/>
          <w:szCs w:val="16"/>
        </w:rPr>
        <w:softHyphen/>
        <w:t>ные потребовали ввести на крыле площадки и гнезда для установки подъемного крана и грузовой стрелы, необходимых для монтажа и демонтажа двигателей и радиатора. Стрела должна была быть сконструирована именно к данному ти</w:t>
      </w:r>
      <w:r w:rsidRPr="00142305">
        <w:rPr>
          <w:rFonts w:ascii="Times New Roman" w:hAnsi="Times New Roman"/>
          <w:color w:val="0070C0"/>
          <w:sz w:val="16"/>
          <w:szCs w:val="16"/>
        </w:rPr>
        <w:softHyphen/>
        <w:t xml:space="preserve">пу самолета и поставляться </w:t>
      </w:r>
      <w:r w:rsidRPr="00142305">
        <w:rPr>
          <w:rFonts w:ascii="Times New Roman" w:hAnsi="Times New Roman"/>
          <w:color w:val="0070C0"/>
          <w:sz w:val="16"/>
          <w:szCs w:val="16"/>
        </w:rPr>
        <w:lastRenderedPageBreak/>
        <w:t>вместе с ним. Также к бомбар</w:t>
      </w:r>
      <w:r w:rsidRPr="00142305">
        <w:rPr>
          <w:rFonts w:ascii="Times New Roman" w:hAnsi="Times New Roman"/>
          <w:color w:val="0070C0"/>
          <w:sz w:val="16"/>
          <w:szCs w:val="16"/>
        </w:rPr>
        <w:softHyphen/>
        <w:t>дировщику болжны был придаваться комплект лестниц для осмотра верхней мотоустановки и хвостового оперения. На самой мотоустановке необходимо было сделать откидные площадки обслуживания.</w:t>
      </w:r>
    </w:p>
    <w:p w14:paraId="3E7487AF" w14:textId="77777777" w:rsidR="003C733E" w:rsidRPr="00142305" w:rsidRDefault="003C733E" w:rsidP="003C7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Категорически требовали избавиться от течи водяных радиаторов. Но, видимо, не надеясь, что это реально, за</w:t>
      </w:r>
      <w:r w:rsidRPr="00142305">
        <w:rPr>
          <w:rFonts w:ascii="Times New Roman" w:hAnsi="Times New Roman"/>
          <w:color w:val="0070C0"/>
          <w:sz w:val="16"/>
          <w:szCs w:val="16"/>
        </w:rPr>
        <w:softHyphen/>
        <w:t>одно и предусмотрели в комплектации переносные бачки- термосы с ручными насосами для пополнения запаса воды в системе в полете. Механик, ходящий по коридору внут</w:t>
      </w:r>
      <w:r w:rsidRPr="00142305">
        <w:rPr>
          <w:rFonts w:ascii="Times New Roman" w:hAnsi="Times New Roman"/>
          <w:color w:val="0070C0"/>
          <w:sz w:val="16"/>
          <w:szCs w:val="16"/>
        </w:rPr>
        <w:softHyphen/>
        <w:t>ри крыла, должен был следить за уровнем в расширитель</w:t>
      </w:r>
      <w:r w:rsidRPr="00142305">
        <w:rPr>
          <w:rFonts w:ascii="Times New Roman" w:hAnsi="Times New Roman"/>
          <w:color w:val="0070C0"/>
          <w:sz w:val="16"/>
          <w:szCs w:val="16"/>
        </w:rPr>
        <w:softHyphen/>
        <w:t>ном бачке и при необходимости подливать из термоса теп</w:t>
      </w:r>
      <w:r w:rsidRPr="00142305">
        <w:rPr>
          <w:rFonts w:ascii="Times New Roman" w:hAnsi="Times New Roman"/>
          <w:color w:val="0070C0"/>
          <w:sz w:val="16"/>
          <w:szCs w:val="16"/>
        </w:rPr>
        <w:softHyphen/>
        <w:t>лую воду.</w:t>
      </w:r>
    </w:p>
    <w:p w14:paraId="17862C94" w14:textId="77777777" w:rsidR="003C733E" w:rsidRPr="00142305" w:rsidRDefault="003C733E" w:rsidP="003C7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Время заправки самолета бензином и маслом жестко ог</w:t>
      </w:r>
      <w:r w:rsidRPr="00142305">
        <w:rPr>
          <w:rFonts w:ascii="Times New Roman" w:hAnsi="Times New Roman"/>
          <w:color w:val="0070C0"/>
          <w:sz w:val="16"/>
          <w:szCs w:val="16"/>
        </w:rPr>
        <w:softHyphen/>
        <w:t>раничивалось. « ...30 минут и ни одной минутой больше», — так и записано. Это тогда, когда обыкновенный аэродром</w:t>
      </w:r>
      <w:r w:rsidRPr="00142305">
        <w:rPr>
          <w:rFonts w:ascii="Times New Roman" w:hAnsi="Times New Roman"/>
          <w:color w:val="0070C0"/>
          <w:sz w:val="16"/>
          <w:szCs w:val="16"/>
        </w:rPr>
        <w:softHyphen/>
        <w:t>ный бензозаправщик являлся редкостью! В то же время предлагалось уложиться с подвеской бомб. Требовалось на</w:t>
      </w:r>
      <w:r w:rsidRPr="00142305">
        <w:rPr>
          <w:rFonts w:ascii="Times New Roman" w:hAnsi="Times New Roman"/>
          <w:color w:val="0070C0"/>
          <w:sz w:val="16"/>
          <w:szCs w:val="16"/>
        </w:rPr>
        <w:softHyphen/>
        <w:t>личие для этого электролебедок и дублирующих их ручных.</w:t>
      </w:r>
    </w:p>
    <w:p w14:paraId="1168E1BD" w14:textId="77777777" w:rsidR="003C733E" w:rsidRPr="00142305" w:rsidRDefault="003C733E" w:rsidP="003C733E">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Туполеву многие требования военных очень не понра</w:t>
      </w:r>
      <w:r w:rsidRPr="00142305">
        <w:rPr>
          <w:rFonts w:ascii="Times New Roman" w:hAnsi="Times New Roman"/>
          <w:color w:val="0070C0"/>
          <w:sz w:val="16"/>
          <w:szCs w:val="16"/>
        </w:rPr>
        <w:softHyphen/>
        <w:t>вились. В частности, «30 минут и ни минуты больше» он счел сроком совершенно нереальным. По его мнению, пос</w:t>
      </w:r>
      <w:r w:rsidRPr="00142305">
        <w:rPr>
          <w:rFonts w:ascii="Times New Roman" w:hAnsi="Times New Roman"/>
          <w:color w:val="0070C0"/>
          <w:sz w:val="16"/>
          <w:szCs w:val="16"/>
        </w:rPr>
        <w:softHyphen/>
        <w:t>ле внесения ряда усовершенствований можно было прийти к часу, и лишь после получения опыта эксплуатации доби</w:t>
      </w:r>
      <w:r w:rsidRPr="00142305">
        <w:rPr>
          <w:rFonts w:ascii="Times New Roman" w:hAnsi="Times New Roman"/>
          <w:color w:val="0070C0"/>
          <w:sz w:val="16"/>
          <w:szCs w:val="16"/>
        </w:rPr>
        <w:softHyphen/>
        <w:t>ваться дальнейшего сокращения времени (24977).</w:t>
      </w:r>
    </w:p>
    <w:p w14:paraId="7FA8DD6F" w14:textId="77777777" w:rsidR="003C733E" w:rsidRPr="00142305" w:rsidRDefault="003C733E" w:rsidP="003C733E">
      <w:pPr>
        <w:spacing w:after="0" w:line="240" w:lineRule="auto"/>
        <w:jc w:val="both"/>
        <w:rPr>
          <w:rFonts w:ascii="Times New Roman" w:hAnsi="Times New Roman"/>
          <w:color w:val="0070C0"/>
          <w:sz w:val="16"/>
          <w:szCs w:val="16"/>
        </w:rPr>
      </w:pPr>
    </w:p>
    <w:p w14:paraId="70B414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года (срок был 1 ноября 1933 года) самолет И-15 был передан на госиспытания и предварительные испытания закончились 31 декабря 1933 года. Далее проходил 2-й этап госиспытаний (эксплуатационные испытания) в период с 26 марта по 24 апреля 1934 года (требуемые войсковые испытания самолет проходит только сейчас). Самолет был допущен на снабжение при условии устранения дефектов (3475,130).</w:t>
      </w:r>
    </w:p>
    <w:p w14:paraId="477FC0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AFD96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появилось Письмо Пом. Нач. ГУАП Алмазову от Нач. ЦАГИ Н.М.Харламова и Нач. КО А.Н.Т. N 1485c/2022c в отношении программы работы опытного строительства на 1934 (на оп. 354/674сс), в которую ЦАГИ предлагает внести коррективы (351).</w:t>
      </w:r>
    </w:p>
    <w:p w14:paraId="3D8E55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Резолюция от 31 декабря 1933</w:t>
      </w:r>
    </w:p>
    <w:p w14:paraId="186801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Вместо модернизации МИ3 (постановка М34Н) ставится новая машина МИ4 под 2 JBRS или 2 РЦ (то есть СБ);</w:t>
      </w:r>
    </w:p>
    <w:p w14:paraId="691492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Постройка СБ (УВС обозначен как ББ) можно осуществить только в одном варианте из нержавейки или дюраля;</w:t>
      </w:r>
    </w:p>
    <w:p w14:paraId="554CC2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АНТ-33 будет сделан смешанной конструкции (а не одна нержавейка как хочет УВВС). Принимается условно как "буферная" машина;</w:t>
      </w:r>
    </w:p>
    <w:p w14:paraId="7CDC1F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Под ТБ понимается совершенно новая машина класса ТБ-3 с применением новых материалов и учета всего опыта, выявленного при эксплуатации ТБ3, доводках, облегчении и т.п. Моторы Кертис Конкверер 1800 или JBRS или М-34ФРН;</w:t>
      </w:r>
    </w:p>
    <w:p w14:paraId="23B635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Включается дополнительная экспериментальная высотная машина;</w:t>
      </w:r>
    </w:p>
    <w:p w14:paraId="20365E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По настоянию ВВС ЦАГИ согласен включить в свою программу малые машины, но только при сдвижке выпуска ТБ6 до 01.08.1936;</w:t>
      </w:r>
    </w:p>
    <w:p w14:paraId="60D266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Внеся указанные коррективы, программа опытного строительства прилагается для окончательного с Вами согласования (351).</w:t>
      </w:r>
    </w:p>
    <w:p w14:paraId="02C083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опытного самолетостроения ЦАГИ на 1934 г. (вообще-то до 1936)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951"/>
        <w:gridCol w:w="1856"/>
        <w:gridCol w:w="1657"/>
        <w:gridCol w:w="3433"/>
      </w:tblGrid>
      <w:tr w:rsidR="004E10C1" w:rsidRPr="0044524F" w14:paraId="7A1A3019" w14:textId="77777777">
        <w:tc>
          <w:tcPr>
            <w:tcW w:w="1951" w:type="dxa"/>
          </w:tcPr>
          <w:p w14:paraId="2E7FAC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1856" w:type="dxa"/>
          </w:tcPr>
          <w:p w14:paraId="73169A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 и марка</w:t>
            </w:r>
          </w:p>
        </w:tc>
        <w:tc>
          <w:tcPr>
            <w:tcW w:w="1657" w:type="dxa"/>
          </w:tcPr>
          <w:p w14:paraId="45390F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выпуска</w:t>
            </w:r>
          </w:p>
        </w:tc>
        <w:tc>
          <w:tcPr>
            <w:tcW w:w="3433" w:type="dxa"/>
          </w:tcPr>
          <w:p w14:paraId="391873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tc>
      </w:tr>
      <w:tr w:rsidR="004E10C1" w:rsidRPr="0044524F" w14:paraId="2DFE4300" w14:textId="77777777">
        <w:tc>
          <w:tcPr>
            <w:tcW w:w="1951" w:type="dxa"/>
          </w:tcPr>
          <w:p w14:paraId="59B42C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856" w:type="dxa"/>
          </w:tcPr>
          <w:p w14:paraId="700E1A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моторов</w:t>
            </w:r>
          </w:p>
        </w:tc>
        <w:tc>
          <w:tcPr>
            <w:tcW w:w="1657" w:type="dxa"/>
          </w:tcPr>
          <w:p w14:paraId="682312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248F71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аэродром</w:t>
            </w:r>
          </w:p>
        </w:tc>
      </w:tr>
      <w:tr w:rsidR="004E10C1" w:rsidRPr="0044524F" w14:paraId="6D5D1D26" w14:textId="77777777">
        <w:tc>
          <w:tcPr>
            <w:tcW w:w="1951" w:type="dxa"/>
          </w:tcPr>
          <w:p w14:paraId="0E5D34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Опытные машины</w:t>
            </w:r>
          </w:p>
        </w:tc>
        <w:tc>
          <w:tcPr>
            <w:tcW w:w="1856" w:type="dxa"/>
          </w:tcPr>
          <w:p w14:paraId="28C2B2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5051F6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737512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A661EE7" w14:textId="77777777">
        <w:tc>
          <w:tcPr>
            <w:tcW w:w="1951" w:type="dxa"/>
          </w:tcPr>
          <w:p w14:paraId="28342D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(МГ)</w:t>
            </w:r>
          </w:p>
        </w:tc>
        <w:tc>
          <w:tcPr>
            <w:tcW w:w="1856" w:type="dxa"/>
          </w:tcPr>
          <w:p w14:paraId="74B1E5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8М34Р</w:t>
            </w:r>
          </w:p>
        </w:tc>
        <w:tc>
          <w:tcPr>
            <w:tcW w:w="1657" w:type="dxa"/>
          </w:tcPr>
          <w:p w14:paraId="67BF4B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3433" w:type="dxa"/>
          </w:tcPr>
          <w:p w14:paraId="30C616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9E8AA07" w14:textId="77777777">
        <w:tc>
          <w:tcPr>
            <w:tcW w:w="1951" w:type="dxa"/>
          </w:tcPr>
          <w:p w14:paraId="7ABC48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1856" w:type="dxa"/>
          </w:tcPr>
          <w:p w14:paraId="243B11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4М34РН</w:t>
            </w:r>
          </w:p>
        </w:tc>
        <w:tc>
          <w:tcPr>
            <w:tcW w:w="1657" w:type="dxa"/>
          </w:tcPr>
          <w:p w14:paraId="091FBF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01.10.1934</w:t>
            </w:r>
          </w:p>
        </w:tc>
        <w:tc>
          <w:tcPr>
            <w:tcW w:w="3433" w:type="dxa"/>
          </w:tcPr>
          <w:p w14:paraId="21F047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гос. Испытаний</w:t>
            </w:r>
          </w:p>
        </w:tc>
      </w:tr>
      <w:tr w:rsidR="004E10C1" w:rsidRPr="0044524F" w14:paraId="7E7FCE13" w14:textId="77777777">
        <w:tc>
          <w:tcPr>
            <w:tcW w:w="1951" w:type="dxa"/>
          </w:tcPr>
          <w:p w14:paraId="0DCF85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МИ4 нов. задел опытн.</w:t>
            </w:r>
          </w:p>
        </w:tc>
        <w:tc>
          <w:tcPr>
            <w:tcW w:w="1856" w:type="dxa"/>
          </w:tcPr>
          <w:p w14:paraId="6D5424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2Исп./РЦ</w:t>
            </w:r>
          </w:p>
        </w:tc>
        <w:tc>
          <w:tcPr>
            <w:tcW w:w="1657" w:type="dxa"/>
          </w:tcPr>
          <w:p w14:paraId="500E40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01.09.1935</w:t>
            </w:r>
          </w:p>
        </w:tc>
        <w:tc>
          <w:tcPr>
            <w:tcW w:w="3433" w:type="dxa"/>
          </w:tcPr>
          <w:p w14:paraId="4DBA48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3E91EEE7" w14:textId="77777777">
        <w:tc>
          <w:tcPr>
            <w:tcW w:w="1951" w:type="dxa"/>
          </w:tcPr>
          <w:p w14:paraId="0811AD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 опыт. оконч.</w:t>
            </w:r>
          </w:p>
        </w:tc>
        <w:tc>
          <w:tcPr>
            <w:tcW w:w="1856" w:type="dxa"/>
          </w:tcPr>
          <w:p w14:paraId="293833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6М34Р</w:t>
            </w:r>
          </w:p>
        </w:tc>
        <w:tc>
          <w:tcPr>
            <w:tcW w:w="1657" w:type="dxa"/>
          </w:tcPr>
          <w:p w14:paraId="6C18BE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01.08.1934</w:t>
            </w:r>
          </w:p>
        </w:tc>
        <w:tc>
          <w:tcPr>
            <w:tcW w:w="3433" w:type="dxa"/>
          </w:tcPr>
          <w:p w14:paraId="0C4B44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w:t>
            </w:r>
          </w:p>
        </w:tc>
      </w:tr>
      <w:tr w:rsidR="004E10C1" w:rsidRPr="0044524F" w14:paraId="364ABCDE" w14:textId="77777777">
        <w:tc>
          <w:tcPr>
            <w:tcW w:w="1951" w:type="dxa"/>
          </w:tcPr>
          <w:p w14:paraId="7F86DC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 опыт. оконч.</w:t>
            </w:r>
          </w:p>
        </w:tc>
        <w:tc>
          <w:tcPr>
            <w:tcW w:w="1856" w:type="dxa"/>
          </w:tcPr>
          <w:p w14:paraId="73BE3B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3М34Р</w:t>
            </w:r>
          </w:p>
        </w:tc>
        <w:tc>
          <w:tcPr>
            <w:tcW w:w="1657" w:type="dxa"/>
          </w:tcPr>
          <w:p w14:paraId="63F513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3433" w:type="dxa"/>
          </w:tcPr>
          <w:p w14:paraId="4C0351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w:t>
            </w:r>
          </w:p>
        </w:tc>
      </w:tr>
      <w:tr w:rsidR="004E10C1" w:rsidRPr="0044524F" w14:paraId="4AA5C27E" w14:textId="77777777">
        <w:tc>
          <w:tcPr>
            <w:tcW w:w="1951" w:type="dxa"/>
          </w:tcPr>
          <w:p w14:paraId="6C3C5E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 пас. вар.</w:t>
            </w:r>
          </w:p>
        </w:tc>
        <w:tc>
          <w:tcPr>
            <w:tcW w:w="1856" w:type="dxa"/>
          </w:tcPr>
          <w:p w14:paraId="630223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6М34Р</w:t>
            </w:r>
          </w:p>
        </w:tc>
        <w:tc>
          <w:tcPr>
            <w:tcW w:w="1657" w:type="dxa"/>
          </w:tcPr>
          <w:p w14:paraId="642343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01.05.1935</w:t>
            </w:r>
          </w:p>
        </w:tc>
        <w:tc>
          <w:tcPr>
            <w:tcW w:w="3433" w:type="dxa"/>
          </w:tcPr>
          <w:p w14:paraId="37E797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w:t>
            </w:r>
          </w:p>
        </w:tc>
      </w:tr>
      <w:tr w:rsidR="004E10C1" w:rsidRPr="0044524F" w14:paraId="59B7197E" w14:textId="77777777">
        <w:tc>
          <w:tcPr>
            <w:tcW w:w="1951" w:type="dxa"/>
          </w:tcPr>
          <w:p w14:paraId="542326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 пас. вар.</w:t>
            </w:r>
          </w:p>
        </w:tc>
        <w:tc>
          <w:tcPr>
            <w:tcW w:w="1856" w:type="dxa"/>
          </w:tcPr>
          <w:p w14:paraId="637994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3М34Р</w:t>
            </w:r>
          </w:p>
        </w:tc>
        <w:tc>
          <w:tcPr>
            <w:tcW w:w="1657" w:type="dxa"/>
          </w:tcPr>
          <w:p w14:paraId="4A41EE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01.03.1935</w:t>
            </w:r>
          </w:p>
        </w:tc>
        <w:tc>
          <w:tcPr>
            <w:tcW w:w="3433" w:type="dxa"/>
          </w:tcPr>
          <w:p w14:paraId="5E7215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w:t>
            </w:r>
          </w:p>
        </w:tc>
      </w:tr>
      <w:tr w:rsidR="004E10C1" w:rsidRPr="0044524F" w14:paraId="24EC43CC" w14:textId="77777777">
        <w:tc>
          <w:tcPr>
            <w:tcW w:w="1951" w:type="dxa"/>
          </w:tcPr>
          <w:p w14:paraId="6059C9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 дублер</w:t>
            </w:r>
          </w:p>
        </w:tc>
        <w:tc>
          <w:tcPr>
            <w:tcW w:w="1856" w:type="dxa"/>
          </w:tcPr>
          <w:p w14:paraId="6F9C74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3М34Р</w:t>
            </w:r>
          </w:p>
        </w:tc>
        <w:tc>
          <w:tcPr>
            <w:tcW w:w="1657" w:type="dxa"/>
          </w:tcPr>
          <w:p w14:paraId="603233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01.06.1934</w:t>
            </w:r>
          </w:p>
        </w:tc>
        <w:tc>
          <w:tcPr>
            <w:tcW w:w="3433" w:type="dxa"/>
          </w:tcPr>
          <w:p w14:paraId="00E324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41B034F6" w14:textId="77777777">
        <w:tc>
          <w:tcPr>
            <w:tcW w:w="1951" w:type="dxa"/>
          </w:tcPr>
          <w:p w14:paraId="16F1C0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СК1 оп. продолж.</w:t>
            </w:r>
          </w:p>
        </w:tc>
        <w:tc>
          <w:tcPr>
            <w:tcW w:w="1856" w:type="dxa"/>
          </w:tcPr>
          <w:p w14:paraId="538045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2Исп./РЦ</w:t>
            </w:r>
          </w:p>
        </w:tc>
        <w:tc>
          <w:tcPr>
            <w:tcW w:w="1657" w:type="dxa"/>
          </w:tcPr>
          <w:p w14:paraId="7AE6AB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01.12.1934</w:t>
            </w:r>
          </w:p>
        </w:tc>
        <w:tc>
          <w:tcPr>
            <w:tcW w:w="3433" w:type="dxa"/>
          </w:tcPr>
          <w:p w14:paraId="7E5C9A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243CF73F" w14:textId="77777777">
        <w:tc>
          <w:tcPr>
            <w:tcW w:w="1951" w:type="dxa"/>
          </w:tcPr>
          <w:p w14:paraId="1FECAA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 пас.</w:t>
            </w:r>
          </w:p>
        </w:tc>
        <w:tc>
          <w:tcPr>
            <w:tcW w:w="1856" w:type="dxa"/>
          </w:tcPr>
          <w:p w14:paraId="555577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2-3РЦ</w:t>
            </w:r>
          </w:p>
        </w:tc>
        <w:tc>
          <w:tcPr>
            <w:tcW w:w="1657" w:type="dxa"/>
          </w:tcPr>
          <w:p w14:paraId="4AD7EC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01.05.1935</w:t>
            </w:r>
          </w:p>
        </w:tc>
        <w:tc>
          <w:tcPr>
            <w:tcW w:w="3433" w:type="dxa"/>
          </w:tcPr>
          <w:p w14:paraId="588C95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33FB868A" w14:textId="77777777">
        <w:tc>
          <w:tcPr>
            <w:tcW w:w="1951" w:type="dxa"/>
          </w:tcPr>
          <w:p w14:paraId="51E5E1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w:t>
            </w:r>
          </w:p>
        </w:tc>
        <w:tc>
          <w:tcPr>
            <w:tcW w:w="1856" w:type="dxa"/>
          </w:tcPr>
          <w:p w14:paraId="7B1B5F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3М34РН</w:t>
            </w:r>
          </w:p>
        </w:tc>
        <w:tc>
          <w:tcPr>
            <w:tcW w:w="1657" w:type="dxa"/>
          </w:tcPr>
          <w:p w14:paraId="643C10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01.06.1934</w:t>
            </w:r>
          </w:p>
        </w:tc>
        <w:tc>
          <w:tcPr>
            <w:tcW w:w="3433" w:type="dxa"/>
          </w:tcPr>
          <w:p w14:paraId="6F4137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700C2055" w14:textId="77777777">
        <w:tc>
          <w:tcPr>
            <w:tcW w:w="1951" w:type="dxa"/>
          </w:tcPr>
          <w:p w14:paraId="53652F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ДБ</w:t>
            </w:r>
          </w:p>
        </w:tc>
        <w:tc>
          <w:tcPr>
            <w:tcW w:w="1856" w:type="dxa"/>
          </w:tcPr>
          <w:p w14:paraId="6BEE6D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2РЦ</w:t>
            </w:r>
          </w:p>
        </w:tc>
        <w:tc>
          <w:tcPr>
            <w:tcW w:w="1657" w:type="dxa"/>
          </w:tcPr>
          <w:p w14:paraId="34EAAB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01.04.1935</w:t>
            </w:r>
          </w:p>
        </w:tc>
        <w:tc>
          <w:tcPr>
            <w:tcW w:w="3433" w:type="dxa"/>
          </w:tcPr>
          <w:p w14:paraId="29B3C1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05B9B196" w14:textId="77777777">
        <w:tc>
          <w:tcPr>
            <w:tcW w:w="1951" w:type="dxa"/>
          </w:tcPr>
          <w:p w14:paraId="1C4149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СБ2</w:t>
            </w:r>
          </w:p>
        </w:tc>
        <w:tc>
          <w:tcPr>
            <w:tcW w:w="1856" w:type="dxa"/>
          </w:tcPr>
          <w:p w14:paraId="0FBCE1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2РЦ/Исп.</w:t>
            </w:r>
          </w:p>
        </w:tc>
        <w:tc>
          <w:tcPr>
            <w:tcW w:w="1657" w:type="dxa"/>
          </w:tcPr>
          <w:p w14:paraId="5C231F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01.12.1935</w:t>
            </w:r>
          </w:p>
        </w:tc>
        <w:tc>
          <w:tcPr>
            <w:tcW w:w="3433" w:type="dxa"/>
          </w:tcPr>
          <w:p w14:paraId="4A71AA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0284AC07" w14:textId="77777777">
        <w:tc>
          <w:tcPr>
            <w:tcW w:w="1951" w:type="dxa"/>
          </w:tcPr>
          <w:p w14:paraId="3FDE7C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АНТ-33</w:t>
            </w:r>
          </w:p>
        </w:tc>
        <w:tc>
          <w:tcPr>
            <w:tcW w:w="1856" w:type="dxa"/>
          </w:tcPr>
          <w:p w14:paraId="55654A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1657" w:type="dxa"/>
          </w:tcPr>
          <w:p w14:paraId="29EE1E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01.04.1935</w:t>
            </w:r>
          </w:p>
        </w:tc>
        <w:tc>
          <w:tcPr>
            <w:tcW w:w="3433" w:type="dxa"/>
          </w:tcPr>
          <w:p w14:paraId="2F26E7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4C77C7C3" w14:textId="77777777">
        <w:tc>
          <w:tcPr>
            <w:tcW w:w="1951" w:type="dxa"/>
          </w:tcPr>
          <w:p w14:paraId="36C832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w:t>
            </w:r>
          </w:p>
        </w:tc>
        <w:tc>
          <w:tcPr>
            <w:tcW w:w="1856" w:type="dxa"/>
          </w:tcPr>
          <w:p w14:paraId="39408E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М44/нефть</w:t>
            </w:r>
          </w:p>
        </w:tc>
        <w:tc>
          <w:tcPr>
            <w:tcW w:w="1657" w:type="dxa"/>
          </w:tcPr>
          <w:p w14:paraId="7C9B18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01.08.1936</w:t>
            </w:r>
          </w:p>
        </w:tc>
        <w:tc>
          <w:tcPr>
            <w:tcW w:w="3433" w:type="dxa"/>
          </w:tcPr>
          <w:p w14:paraId="65175D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09547713" w14:textId="77777777">
        <w:tc>
          <w:tcPr>
            <w:tcW w:w="1951" w:type="dxa"/>
          </w:tcPr>
          <w:p w14:paraId="2A3768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Гидросамолет</w:t>
            </w:r>
          </w:p>
        </w:tc>
        <w:tc>
          <w:tcPr>
            <w:tcW w:w="1856" w:type="dxa"/>
          </w:tcPr>
          <w:p w14:paraId="2AB83A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tc>
        <w:tc>
          <w:tcPr>
            <w:tcW w:w="1657" w:type="dxa"/>
          </w:tcPr>
          <w:p w14:paraId="78B75E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01.10.1935</w:t>
            </w:r>
          </w:p>
        </w:tc>
        <w:tc>
          <w:tcPr>
            <w:tcW w:w="3433" w:type="dxa"/>
          </w:tcPr>
          <w:p w14:paraId="2DAE0D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115D0F6F" w14:textId="77777777">
        <w:tc>
          <w:tcPr>
            <w:tcW w:w="1951" w:type="dxa"/>
          </w:tcPr>
          <w:p w14:paraId="0868C2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ТБ7 (вар. ТБ3)</w:t>
            </w:r>
          </w:p>
        </w:tc>
        <w:tc>
          <w:tcPr>
            <w:tcW w:w="1856" w:type="dxa"/>
          </w:tcPr>
          <w:p w14:paraId="35EF4E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Керт./Исп./4М34ФРН</w:t>
            </w:r>
          </w:p>
        </w:tc>
        <w:tc>
          <w:tcPr>
            <w:tcW w:w="1657" w:type="dxa"/>
          </w:tcPr>
          <w:p w14:paraId="38B02A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01.05.1936</w:t>
            </w:r>
          </w:p>
        </w:tc>
        <w:tc>
          <w:tcPr>
            <w:tcW w:w="3433" w:type="dxa"/>
          </w:tcPr>
          <w:p w14:paraId="595E4A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08562A3D" w14:textId="77777777">
        <w:tc>
          <w:tcPr>
            <w:tcW w:w="1951" w:type="dxa"/>
          </w:tcPr>
          <w:p w14:paraId="3A25BD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Бесхв. самолет</w:t>
            </w:r>
          </w:p>
        </w:tc>
        <w:tc>
          <w:tcPr>
            <w:tcW w:w="1856" w:type="dxa"/>
          </w:tcPr>
          <w:p w14:paraId="54DA86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7" w:type="dxa"/>
          </w:tcPr>
          <w:p w14:paraId="5E55DB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15.04.1935</w:t>
            </w:r>
          </w:p>
        </w:tc>
        <w:tc>
          <w:tcPr>
            <w:tcW w:w="3433" w:type="dxa"/>
          </w:tcPr>
          <w:p w14:paraId="1ED910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3D678174" w14:textId="77777777">
        <w:tc>
          <w:tcPr>
            <w:tcW w:w="1951" w:type="dxa"/>
          </w:tcPr>
          <w:p w14:paraId="6C9F27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Бесхв. планер</w:t>
            </w:r>
          </w:p>
        </w:tc>
        <w:tc>
          <w:tcPr>
            <w:tcW w:w="1856" w:type="dxa"/>
          </w:tcPr>
          <w:p w14:paraId="30AF9C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7" w:type="dxa"/>
          </w:tcPr>
          <w:p w14:paraId="5C12E3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01.07.1934</w:t>
            </w:r>
          </w:p>
        </w:tc>
        <w:tc>
          <w:tcPr>
            <w:tcW w:w="3433" w:type="dxa"/>
          </w:tcPr>
          <w:p w14:paraId="5BA0A8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73BEE03C" w14:textId="77777777">
        <w:tc>
          <w:tcPr>
            <w:tcW w:w="1951" w:type="dxa"/>
          </w:tcPr>
          <w:p w14:paraId="46DE03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ВП2 (планер)</w:t>
            </w:r>
          </w:p>
        </w:tc>
        <w:tc>
          <w:tcPr>
            <w:tcW w:w="1856" w:type="dxa"/>
          </w:tcPr>
          <w:p w14:paraId="4E2CAC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57" w:type="dxa"/>
          </w:tcPr>
          <w:p w14:paraId="22E21A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15.07.1934</w:t>
            </w:r>
          </w:p>
        </w:tc>
        <w:tc>
          <w:tcPr>
            <w:tcW w:w="3433" w:type="dxa"/>
          </w:tcPr>
          <w:p w14:paraId="5729A5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0827DAFD" w14:textId="77777777">
        <w:tc>
          <w:tcPr>
            <w:tcW w:w="1951" w:type="dxa"/>
          </w:tcPr>
          <w:p w14:paraId="7CAD5B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Г-6 глиссер</w:t>
            </w:r>
          </w:p>
        </w:tc>
        <w:tc>
          <w:tcPr>
            <w:tcW w:w="1856" w:type="dxa"/>
          </w:tcPr>
          <w:p w14:paraId="219FFB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8ГИ34</w:t>
            </w:r>
          </w:p>
        </w:tc>
        <w:tc>
          <w:tcPr>
            <w:tcW w:w="1657" w:type="dxa"/>
          </w:tcPr>
          <w:p w14:paraId="118EFE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01.08.1935</w:t>
            </w:r>
          </w:p>
        </w:tc>
        <w:tc>
          <w:tcPr>
            <w:tcW w:w="3433" w:type="dxa"/>
          </w:tcPr>
          <w:p w14:paraId="35BF54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ED18805" w14:textId="77777777">
        <w:tc>
          <w:tcPr>
            <w:tcW w:w="1951" w:type="dxa"/>
          </w:tcPr>
          <w:p w14:paraId="7C08C5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Г-7 глиссер</w:t>
            </w:r>
          </w:p>
        </w:tc>
        <w:tc>
          <w:tcPr>
            <w:tcW w:w="1856" w:type="dxa"/>
          </w:tcPr>
          <w:p w14:paraId="77904B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1ГИ34</w:t>
            </w:r>
          </w:p>
        </w:tc>
        <w:tc>
          <w:tcPr>
            <w:tcW w:w="1657" w:type="dxa"/>
          </w:tcPr>
          <w:p w14:paraId="75B049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01.01.1936</w:t>
            </w:r>
          </w:p>
        </w:tc>
        <w:tc>
          <w:tcPr>
            <w:tcW w:w="3433" w:type="dxa"/>
          </w:tcPr>
          <w:p w14:paraId="06ED75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D206DB9" w14:textId="77777777">
        <w:tc>
          <w:tcPr>
            <w:tcW w:w="1951" w:type="dxa"/>
          </w:tcPr>
          <w:p w14:paraId="275C04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ВСБ</w:t>
            </w:r>
          </w:p>
        </w:tc>
        <w:tc>
          <w:tcPr>
            <w:tcW w:w="1856" w:type="dxa"/>
          </w:tcPr>
          <w:p w14:paraId="1033F6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мотора</w:t>
            </w:r>
          </w:p>
        </w:tc>
        <w:tc>
          <w:tcPr>
            <w:tcW w:w="1657" w:type="dxa"/>
          </w:tcPr>
          <w:p w14:paraId="3476AB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01.02.1936</w:t>
            </w:r>
          </w:p>
        </w:tc>
        <w:tc>
          <w:tcPr>
            <w:tcW w:w="3433" w:type="dxa"/>
          </w:tcPr>
          <w:p w14:paraId="478DFC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 аэродром</w:t>
            </w:r>
          </w:p>
        </w:tc>
      </w:tr>
      <w:tr w:rsidR="004E10C1" w:rsidRPr="0044524F" w14:paraId="452A3C26" w14:textId="77777777">
        <w:tc>
          <w:tcPr>
            <w:tcW w:w="1951" w:type="dxa"/>
          </w:tcPr>
          <w:p w14:paraId="501E1A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Внедрение в серию</w:t>
            </w:r>
          </w:p>
        </w:tc>
        <w:tc>
          <w:tcPr>
            <w:tcW w:w="1856" w:type="dxa"/>
          </w:tcPr>
          <w:p w14:paraId="2DEBF8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50A133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535028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BC3F676" w14:textId="77777777">
        <w:tc>
          <w:tcPr>
            <w:tcW w:w="1951" w:type="dxa"/>
          </w:tcPr>
          <w:p w14:paraId="005264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w:t>
            </w:r>
          </w:p>
        </w:tc>
        <w:tc>
          <w:tcPr>
            <w:tcW w:w="1856" w:type="dxa"/>
          </w:tcPr>
          <w:p w14:paraId="73D371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1AD6E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01.09.1934</w:t>
            </w:r>
          </w:p>
        </w:tc>
        <w:tc>
          <w:tcPr>
            <w:tcW w:w="3433" w:type="dxa"/>
          </w:tcPr>
          <w:p w14:paraId="457099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сдачи черт.</w:t>
            </w:r>
          </w:p>
        </w:tc>
      </w:tr>
      <w:tr w:rsidR="004E10C1" w:rsidRPr="0044524F" w14:paraId="3FFEB3FE" w14:textId="77777777">
        <w:tc>
          <w:tcPr>
            <w:tcW w:w="1951" w:type="dxa"/>
          </w:tcPr>
          <w:p w14:paraId="77D2CF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w:t>
            </w:r>
          </w:p>
        </w:tc>
        <w:tc>
          <w:tcPr>
            <w:tcW w:w="1856" w:type="dxa"/>
          </w:tcPr>
          <w:p w14:paraId="6D68A7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62F944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01.09.1934</w:t>
            </w:r>
          </w:p>
        </w:tc>
        <w:tc>
          <w:tcPr>
            <w:tcW w:w="3433" w:type="dxa"/>
          </w:tcPr>
          <w:p w14:paraId="0FBC25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сдачи черт.</w:t>
            </w:r>
          </w:p>
        </w:tc>
      </w:tr>
      <w:tr w:rsidR="004E10C1" w:rsidRPr="0044524F" w14:paraId="04EE58BB" w14:textId="77777777">
        <w:tc>
          <w:tcPr>
            <w:tcW w:w="1951" w:type="dxa"/>
          </w:tcPr>
          <w:p w14:paraId="294BF6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w:t>
            </w:r>
          </w:p>
        </w:tc>
        <w:tc>
          <w:tcPr>
            <w:tcW w:w="1856" w:type="dxa"/>
          </w:tcPr>
          <w:p w14:paraId="622B6E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374192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01.03.1934</w:t>
            </w:r>
          </w:p>
        </w:tc>
        <w:tc>
          <w:tcPr>
            <w:tcW w:w="3433" w:type="dxa"/>
          </w:tcPr>
          <w:p w14:paraId="699B46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сдачи черт.</w:t>
            </w:r>
          </w:p>
        </w:tc>
      </w:tr>
      <w:tr w:rsidR="004E10C1" w:rsidRPr="0044524F" w14:paraId="5505FF36" w14:textId="77777777">
        <w:tc>
          <w:tcPr>
            <w:tcW w:w="1951" w:type="dxa"/>
          </w:tcPr>
          <w:p w14:paraId="46CEB8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w:t>
            </w:r>
          </w:p>
        </w:tc>
        <w:tc>
          <w:tcPr>
            <w:tcW w:w="1856" w:type="dxa"/>
          </w:tcPr>
          <w:p w14:paraId="038FAE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3A1D7C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01.12.1934</w:t>
            </w:r>
          </w:p>
        </w:tc>
        <w:tc>
          <w:tcPr>
            <w:tcW w:w="3433" w:type="dxa"/>
          </w:tcPr>
          <w:p w14:paraId="18461E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сдачи черт.</w:t>
            </w:r>
          </w:p>
        </w:tc>
      </w:tr>
      <w:tr w:rsidR="004E10C1" w:rsidRPr="0044524F" w14:paraId="1FECD287" w14:textId="77777777">
        <w:tc>
          <w:tcPr>
            <w:tcW w:w="1951" w:type="dxa"/>
          </w:tcPr>
          <w:p w14:paraId="621CA9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МГ военный</w:t>
            </w:r>
          </w:p>
        </w:tc>
        <w:tc>
          <w:tcPr>
            <w:tcW w:w="1856" w:type="dxa"/>
          </w:tcPr>
          <w:p w14:paraId="00917A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6814A7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01.01.1934</w:t>
            </w:r>
          </w:p>
        </w:tc>
        <w:tc>
          <w:tcPr>
            <w:tcW w:w="3433" w:type="dxa"/>
          </w:tcPr>
          <w:p w14:paraId="7B6D01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сдачи черт.</w:t>
            </w:r>
          </w:p>
        </w:tc>
      </w:tr>
      <w:tr w:rsidR="004E10C1" w:rsidRPr="0044524F" w14:paraId="42189993" w14:textId="77777777">
        <w:tc>
          <w:tcPr>
            <w:tcW w:w="1951" w:type="dxa"/>
          </w:tcPr>
          <w:p w14:paraId="5B553F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МГ пассажирский</w:t>
            </w:r>
          </w:p>
        </w:tc>
        <w:tc>
          <w:tcPr>
            <w:tcW w:w="1856" w:type="dxa"/>
          </w:tcPr>
          <w:p w14:paraId="707A0B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51AD3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3433" w:type="dxa"/>
          </w:tcPr>
          <w:p w14:paraId="413C51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сдачи черт.</w:t>
            </w:r>
          </w:p>
        </w:tc>
      </w:tr>
      <w:tr w:rsidR="004E10C1" w:rsidRPr="0044524F" w14:paraId="3C425369" w14:textId="77777777">
        <w:tc>
          <w:tcPr>
            <w:tcW w:w="1951" w:type="dxa"/>
          </w:tcPr>
          <w:p w14:paraId="44C875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АНТ14 пассажирский</w:t>
            </w:r>
          </w:p>
        </w:tc>
        <w:tc>
          <w:tcPr>
            <w:tcW w:w="1856" w:type="dxa"/>
          </w:tcPr>
          <w:p w14:paraId="593EFC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60608B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01.05.1934</w:t>
            </w:r>
          </w:p>
        </w:tc>
        <w:tc>
          <w:tcPr>
            <w:tcW w:w="3433" w:type="dxa"/>
          </w:tcPr>
          <w:p w14:paraId="72CCF7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сдачи черт.</w:t>
            </w:r>
          </w:p>
        </w:tc>
      </w:tr>
      <w:tr w:rsidR="004E10C1" w:rsidRPr="0044524F" w14:paraId="2442F0B7" w14:textId="77777777">
        <w:tc>
          <w:tcPr>
            <w:tcW w:w="1951" w:type="dxa"/>
          </w:tcPr>
          <w:p w14:paraId="5786C5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АНТ14 военный</w:t>
            </w:r>
          </w:p>
        </w:tc>
        <w:tc>
          <w:tcPr>
            <w:tcW w:w="1856" w:type="dxa"/>
          </w:tcPr>
          <w:p w14:paraId="6865D1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252A9D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01.10.1934</w:t>
            </w:r>
          </w:p>
        </w:tc>
        <w:tc>
          <w:tcPr>
            <w:tcW w:w="3433" w:type="dxa"/>
          </w:tcPr>
          <w:p w14:paraId="6EED64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сдачи черт.</w:t>
            </w:r>
          </w:p>
        </w:tc>
      </w:tr>
      <w:tr w:rsidR="004E10C1" w:rsidRPr="0044524F" w14:paraId="389AEC24" w14:textId="77777777">
        <w:tc>
          <w:tcPr>
            <w:tcW w:w="1951" w:type="dxa"/>
          </w:tcPr>
          <w:p w14:paraId="371957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w:t>
            </w:r>
          </w:p>
        </w:tc>
        <w:tc>
          <w:tcPr>
            <w:tcW w:w="1856" w:type="dxa"/>
          </w:tcPr>
          <w:p w14:paraId="62312F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3EEEA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01.04.1934</w:t>
            </w:r>
          </w:p>
        </w:tc>
        <w:tc>
          <w:tcPr>
            <w:tcW w:w="3433" w:type="dxa"/>
          </w:tcPr>
          <w:p w14:paraId="4FB046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сдачи черт.</w:t>
            </w:r>
          </w:p>
        </w:tc>
      </w:tr>
      <w:tr w:rsidR="004E10C1" w:rsidRPr="0044524F" w14:paraId="03A784F3" w14:textId="77777777">
        <w:tc>
          <w:tcPr>
            <w:tcW w:w="1951" w:type="dxa"/>
          </w:tcPr>
          <w:p w14:paraId="2A61FD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сам., вып. 1933 г.:</w:t>
            </w:r>
          </w:p>
        </w:tc>
        <w:tc>
          <w:tcPr>
            <w:tcW w:w="1856" w:type="dxa"/>
          </w:tcPr>
          <w:p w14:paraId="0C53F6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0C1130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0A6FF2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EC687F6" w14:textId="77777777">
        <w:tc>
          <w:tcPr>
            <w:tcW w:w="1951" w:type="dxa"/>
          </w:tcPr>
          <w:p w14:paraId="4CA405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 гол.</w:t>
            </w:r>
          </w:p>
        </w:tc>
        <w:tc>
          <w:tcPr>
            <w:tcW w:w="1856" w:type="dxa"/>
          </w:tcPr>
          <w:p w14:paraId="4B83BF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184B9F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2839DC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02864CC" w14:textId="77777777">
        <w:tc>
          <w:tcPr>
            <w:tcW w:w="1951" w:type="dxa"/>
          </w:tcPr>
          <w:p w14:paraId="315AD5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И14-РЦ дубл.</w:t>
            </w:r>
          </w:p>
        </w:tc>
        <w:tc>
          <w:tcPr>
            <w:tcW w:w="1856" w:type="dxa"/>
          </w:tcPr>
          <w:p w14:paraId="04BBFB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3AB377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11F7F2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ABFF6AD" w14:textId="77777777">
        <w:tc>
          <w:tcPr>
            <w:tcW w:w="1951" w:type="dxa"/>
          </w:tcPr>
          <w:p w14:paraId="58AFD7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оп. ВИ</w:t>
            </w:r>
          </w:p>
        </w:tc>
        <w:tc>
          <w:tcPr>
            <w:tcW w:w="1856" w:type="dxa"/>
          </w:tcPr>
          <w:p w14:paraId="6CD8F7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57" w:type="dxa"/>
          </w:tcPr>
          <w:p w14:paraId="5A8FEF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433" w:type="dxa"/>
          </w:tcPr>
          <w:p w14:paraId="5EF1BB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316747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(351).</w:t>
      </w:r>
    </w:p>
    <w:p w14:paraId="622749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Исполнитель: Инюшин (351).</w:t>
      </w:r>
    </w:p>
    <w:p w14:paraId="184C44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0E99A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г. Начальник ЦАГИ Н.М.Харламов и начальником конструкторского отдела А.Н.Туполев в своем письме в Главное Управление авиапромышленности предложило внести в план коррективы. Таковые были внесены, после чего задание ЦАГИ видоизменилось: вместо модернизации МИ-3 институту предлагалось проектировать и строить новую машину МИ-4 под двигатели Райт "Циклон" или "Испано-Сюиза". Одновременно, как развитие очередного многоместного истребителя обсуждается ближний бомбардировщик ББ. Упомянутый выше МИ-4 в дальнейшем из плана выпал, а ББ напротив закрепился, его проектирование началось еще до наступления 1934 г. Короткое время спустя обозначение машины меняется на СБ - средний бомбардировщик (здесь могут возникнуть разночтения, ибо ВВС практически сразу определяло его как скоростной бомбардировщик), для его проектирования создается конструкторская бригада №5 под руководством А.А.Архангельского в количестве 120 человек. Внутри КБ самолет получил обозначение АНТ-40 (12027).</w:t>
      </w:r>
    </w:p>
    <w:p w14:paraId="5CDD0F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797C2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Нач. НТО ГУАП Алмазов писал в ЦК ВКП(б) Асиеву письмо N 257/774с в сопровождение материалов по опытному строительству, в т.ч.:</w:t>
      </w:r>
    </w:p>
    <w:p w14:paraId="03FDA7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Проект постановления СТО по НИР и ОР</w:t>
      </w:r>
    </w:p>
    <w:p w14:paraId="351752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Проект докладной записки о НИО и ОО ГУАП</w:t>
      </w:r>
    </w:p>
    <w:p w14:paraId="5AC3BA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Краткую докладную записку о результатах проведенной работы по опытному моторо- самолетостроению по состоянию на 15 декабря 1933</w:t>
      </w:r>
    </w:p>
    <w:p w14:paraId="21DBA8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Краткое состояние опытного самолетостроения на 15 декабря 1933</w:t>
      </w:r>
    </w:p>
    <w:p w14:paraId="02CAD4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План опытного самолетостроения на 1933-24</w:t>
      </w:r>
    </w:p>
    <w:p w14:paraId="3A40CA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Краткий отчет о результатах НИР ЦАГИ на 1933</w:t>
      </w:r>
    </w:p>
    <w:p w14:paraId="62A084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Состояние опытного моторостроения на 12 декабря 1933</w:t>
      </w:r>
    </w:p>
    <w:p w14:paraId="42FF08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Изменение сроков выпуска опытных и экспериментальных моторов на самолетах</w:t>
      </w:r>
    </w:p>
    <w:p w14:paraId="4D01BA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Предлагаемые к утверждению техданные и сроки гос. испытаний опытных моторов (2286,127).</w:t>
      </w:r>
    </w:p>
    <w:p w14:paraId="565AB2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06CB817"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г. Протокол ПБ № 151 п.68/43: О моторах - ОП. Решено: 1) заказать в Италии 50 морских моторов типа «АССО-1000» фирмы «Изотта-Фраскини» для торпедных катеров с необходимым комплектом запасных частей; 2) приобрести в Италии у фирмы «Гарелли» 50 мотокомпрессоров авиационного типа; 3) обязать Розенгольца и Орлова в течение десяти дней разместить эти заказы (15948).</w:t>
      </w:r>
    </w:p>
    <w:p w14:paraId="15DF4CBC" w14:textId="77777777" w:rsidR="00661CFE" w:rsidRPr="0044524F" w:rsidRDefault="00661CFE" w:rsidP="009654CF">
      <w:pPr>
        <w:spacing w:after="0" w:line="240" w:lineRule="auto"/>
        <w:jc w:val="both"/>
        <w:rPr>
          <w:rFonts w:ascii="Times New Roman" w:hAnsi="Times New Roman"/>
          <w:color w:val="000000" w:themeColor="text1"/>
          <w:sz w:val="16"/>
          <w:szCs w:val="16"/>
        </w:rPr>
      </w:pPr>
    </w:p>
    <w:p w14:paraId="328F7DDF"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г. Протокол ПБ № 151 п.60/35: Вопрос КО - ОП. Решено утвердить следующее постановление КО: «1. Разрешить НКТП покупку у фирмы «Дуккель» специального оборудования для производства насосов и форсунок к дизелям на сумму в 75000 руб. золотом. 2. Санкционировать приглашение главного конструктора насосно-форсуночной фирмы «Дуккель» - инженера Бруннера для техпомощи по производству насосов и форсунок (15960).</w:t>
      </w:r>
    </w:p>
    <w:p w14:paraId="45DCA8FB" w14:textId="77777777" w:rsidR="00661CFE" w:rsidRPr="0044524F" w:rsidRDefault="00661CFE" w:rsidP="009654CF">
      <w:pPr>
        <w:spacing w:after="0" w:line="240" w:lineRule="auto"/>
        <w:jc w:val="both"/>
        <w:rPr>
          <w:rFonts w:ascii="Times New Roman" w:hAnsi="Times New Roman"/>
          <w:color w:val="000000" w:themeColor="text1"/>
          <w:sz w:val="16"/>
          <w:szCs w:val="16"/>
        </w:rPr>
      </w:pPr>
    </w:p>
    <w:p w14:paraId="3D4B7E4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один ТБ-1 перелетел на промежуточную ба</w:t>
      </w:r>
      <w:r w:rsidRPr="0044524F">
        <w:rPr>
          <w:rFonts w:ascii="Times New Roman" w:hAnsi="Times New Roman"/>
          <w:color w:val="000000" w:themeColor="text1"/>
          <w:sz w:val="16"/>
          <w:szCs w:val="16"/>
        </w:rPr>
        <w:softHyphen/>
        <w:t>зу Уэллен на мысе Дежнева. Оттуда в конце декабря Ляпидевский дважды пытался вы</w:t>
      </w:r>
      <w:r w:rsidRPr="0044524F">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44524F">
        <w:rPr>
          <w:rFonts w:ascii="Times New Roman" w:hAnsi="Times New Roman"/>
          <w:color w:val="000000" w:themeColor="text1"/>
          <w:sz w:val="16"/>
          <w:szCs w:val="16"/>
        </w:rPr>
        <w:softHyphen/>
        <w:t>вращался. Затем на самолете иссяк запас сжатого воздуха, и Ляпидевскому пришлось вернуться в бухту Провидения за второй машиной. Она числилась за летчиком Чер</w:t>
      </w:r>
      <w:r w:rsidRPr="0044524F">
        <w:rPr>
          <w:rFonts w:ascii="Times New Roman" w:hAnsi="Times New Roman"/>
          <w:color w:val="000000" w:themeColor="text1"/>
          <w:sz w:val="16"/>
          <w:szCs w:val="16"/>
        </w:rPr>
        <w:softHyphen/>
        <w:t>нявским, однако решили, что полеты про</w:t>
      </w:r>
      <w:r w:rsidRPr="0044524F">
        <w:rPr>
          <w:rFonts w:ascii="Times New Roman" w:hAnsi="Times New Roman"/>
          <w:color w:val="000000" w:themeColor="text1"/>
          <w:sz w:val="16"/>
          <w:szCs w:val="16"/>
        </w:rPr>
        <w:softHyphen/>
        <w:t>должит именно Ляпидевский. Двухнедель</w:t>
      </w:r>
      <w:r w:rsidRPr="0044524F">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44524F">
        <w:rPr>
          <w:rFonts w:ascii="Times New Roman" w:hAnsi="Times New Roman"/>
          <w:color w:val="000000" w:themeColor="text1"/>
          <w:sz w:val="16"/>
          <w:szCs w:val="16"/>
        </w:rPr>
        <w:softHyphen/>
        <w:t>жали начало спасения людей (11286).</w:t>
      </w:r>
    </w:p>
    <w:p w14:paraId="14381C2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79C93A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года вышел Приказ по НИИ ВВС № 002 О гос. испытаниях дымового авиаприбора ДАП-ДХ-3 конструкции КОСОС ЦАГИ на самолете ТБ-1 (6790).</w:t>
      </w:r>
    </w:p>
    <w:p w14:paraId="5CDA44B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A02E8" w14:textId="77777777" w:rsidR="002E2083" w:rsidRPr="0044524F" w:rsidRDefault="001A42D5" w:rsidP="009654C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59E587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iCs/>
          <w:color w:val="000000" w:themeColor="text1"/>
          <w:sz w:val="16"/>
          <w:szCs w:val="16"/>
        </w:rPr>
      </w:pPr>
    </w:p>
    <w:p w14:paraId="76B5CE49" w14:textId="77777777" w:rsidR="000723F3" w:rsidRPr="0044524F" w:rsidRDefault="000723F3" w:rsidP="009654CF">
      <w:pPr>
        <w:pStyle w:val="ae"/>
        <w:shd w:val="clear" w:color="auto" w:fill="FFFFFF"/>
        <w:spacing w:before="0" w:after="0"/>
        <w:jc w:val="both"/>
        <w:rPr>
          <w:color w:val="000000" w:themeColor="text1"/>
          <w:sz w:val="16"/>
          <w:szCs w:val="16"/>
        </w:rPr>
      </w:pPr>
      <w:r w:rsidRPr="0044524F">
        <w:rPr>
          <w:color w:val="000000" w:themeColor="text1"/>
          <w:sz w:val="16"/>
          <w:szCs w:val="16"/>
        </w:rPr>
        <w:t>20 декабря 1933 Технический отдел ЭКУ ОГПУ и Опытный завод Спецмаштреста заключили договор о выпуске опытных образцов ПТ-1А, Т-29-4 и Т-29-5. Сроком исполнения указывалось 15 апреля 1934 года. 2 января 1934 года было отдано распоряжение о командировке в Ленинград специалистов из Москвы. Так Цейц оказался в Ленинграде. Постепенно проекты видоизменялись. Определённое влияние на Т-29 оказал Т-28 — по его примеру изменились главная башня, орудийная установка, кормовая часть и ряд других элементов. Тем не менее, эти танки достаточно сильно отличались друг от друга. Башня Т-29, в отличие от Т-28, была двухместной. Абсолютно другим оказалось шасси, являвшееся прямым развитием конструкции шасси ПТ-1. Правда, ведущими здесь были не все опорные катки, а вторая, третья и четвёртая пары (17708).</w:t>
      </w:r>
    </w:p>
    <w:p w14:paraId="37B7B1AB"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p>
    <w:p w14:paraId="3A1428AF" w14:textId="77777777" w:rsidR="00727216" w:rsidRPr="00142305" w:rsidRDefault="00727216" w:rsidP="007272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20 декабря 1933 года между Техническим Отделом ЭКУ ОГПУ и Опытным заводом Спецмаштреста заключили договор о выпуске опытных образцов ПТ-1А, Т-29-4 и Т-29-5. Сроком исполнения указывалось 15 апреля 1934 года. Дальше больше: 2 января 1934 года было отдано распоряжение о командировке в Ленинград специалистов из Москвы. Так в Ленинграде оказался Н.В. Цейц, занимавшийся ПТ-1 с самого начала. Постепенно шла трансформация проектов. Определенное влияние на Т-29 оказал Т-28: под его влиянием изменилась главная башня и орудийная установка, кормовая часть и ряд других элементов. Тем не менее, эти машины отличались друг от друга достаточно сильно. Башня Т-29, в отличие от Т-28, была двухместной (25089).</w:t>
      </w:r>
    </w:p>
    <w:p w14:paraId="32699EA3" w14:textId="77777777" w:rsidR="00727216" w:rsidRPr="00142305" w:rsidRDefault="00727216" w:rsidP="00727216">
      <w:pPr>
        <w:spacing w:after="0" w:line="240" w:lineRule="auto"/>
        <w:jc w:val="both"/>
        <w:rPr>
          <w:rFonts w:ascii="Times New Roman" w:hAnsi="Times New Roman"/>
          <w:color w:val="0070C0"/>
          <w:sz w:val="16"/>
          <w:szCs w:val="16"/>
        </w:rPr>
      </w:pPr>
    </w:p>
    <w:p w14:paraId="1D27BD5F" w14:textId="77777777" w:rsidR="00661CFE" w:rsidRPr="0044524F" w:rsidRDefault="00661CFE" w:rsidP="009654CF">
      <w:pPr>
        <w:pStyle w:val="rtejustify"/>
        <w:spacing w:before="0" w:after="0"/>
        <w:rPr>
          <w:color w:val="000000" w:themeColor="text1"/>
          <w:sz w:val="16"/>
          <w:szCs w:val="16"/>
        </w:rPr>
      </w:pPr>
      <w:r w:rsidRPr="0044524F">
        <w:rPr>
          <w:rStyle w:val="af0"/>
          <w:bCs/>
          <w:i w:val="0"/>
          <w:color w:val="000000" w:themeColor="text1"/>
          <w:sz w:val="16"/>
          <w:szCs w:val="16"/>
        </w:rPr>
        <w:t>20 декабря</w:t>
      </w:r>
      <w:r w:rsidRPr="0044524F">
        <w:rPr>
          <w:color w:val="000000" w:themeColor="text1"/>
          <w:sz w:val="16"/>
          <w:szCs w:val="16"/>
        </w:rPr>
        <w:t xml:space="preserve"> 1933. Протокол заседания Политбюро ЦК ВКП (б) № 151. </w:t>
      </w:r>
      <w:hyperlink r:id="rId401" w:anchor="showunit&amp;id=88570" w:history="1">
        <w:r w:rsidRPr="0044524F">
          <w:rPr>
            <w:rStyle w:val="a5"/>
            <w:color w:val="000000" w:themeColor="text1"/>
            <w:sz w:val="16"/>
            <w:szCs w:val="16"/>
          </w:rPr>
          <w:t>2. Отчетный доклад о работе цветной металлургии, в том числе и о Риддере</w:t>
        </w:r>
      </w:hyperlink>
      <w:r w:rsidRPr="0044524F">
        <w:rPr>
          <w:color w:val="000000" w:themeColor="text1"/>
          <w:sz w:val="16"/>
          <w:szCs w:val="16"/>
        </w:rPr>
        <w:t xml:space="preserve"> (ПБ от 20 декабря 1933 г.). Решено: а) направить на Риддер и на Урал две бригады сроком на три месяца — одну во главе с Шахмурадовым (на Риддер) и другую во главе с Пятаковым (на Урал) для обследования положения на месте и намечения всех необходимых практических мер к развертыванию добычи руд цветных металлов и выплавки меди, цинка и свинца; б) поручить Шахмурадову и Пятакову к завтрашнему дню наметить кандидатов в свои бригады, включив в них представителей Наркомснаба, НКПС и ОГПУ; в) обязать бригады незамедлительно выехать и регулярно информировать СНК и ЦК. </w:t>
      </w:r>
      <w:hyperlink r:id="rId402" w:anchor="showunit&amp;id=88625" w:history="1">
        <w:r w:rsidRPr="0044524F">
          <w:rPr>
            <w:rStyle w:val="a5"/>
            <w:color w:val="000000" w:themeColor="text1"/>
            <w:sz w:val="16"/>
            <w:szCs w:val="16"/>
          </w:rPr>
          <w:t>7. а) О реконструкции и строительстве автозаводов</w:t>
        </w:r>
      </w:hyperlink>
      <w:r w:rsidRPr="0044524F">
        <w:rPr>
          <w:color w:val="000000" w:themeColor="text1"/>
          <w:sz w:val="16"/>
          <w:szCs w:val="16"/>
        </w:rPr>
        <w:t xml:space="preserve"> (Орджоникидзе, В. Межлаук, Пахомов), (ПБ от 19 августа 1933 г., пр. № 144, п. 47/26</w:t>
      </w:r>
      <w:r w:rsidRPr="0044524F">
        <w:rPr>
          <w:color w:val="000000" w:themeColor="text1"/>
          <w:sz w:val="16"/>
          <w:szCs w:val="16"/>
        </w:rPr>
        <w:noBreakHyphen/>
        <w:t xml:space="preserve">4). Решено отложить до следующего заседания, поставив первым вопросом. </w:t>
      </w:r>
      <w:hyperlink r:id="rId403" w:anchor="showunit&amp;id=88591" w:history="1">
        <w:r w:rsidRPr="0044524F">
          <w:rPr>
            <w:rStyle w:val="a5"/>
            <w:color w:val="000000" w:themeColor="text1"/>
            <w:sz w:val="16"/>
            <w:szCs w:val="16"/>
          </w:rPr>
          <w:t>39/14. Вопрос КО</w:t>
        </w:r>
      </w:hyperlink>
      <w:r w:rsidRPr="0044524F">
        <w:rPr>
          <w:color w:val="000000" w:themeColor="text1"/>
          <w:sz w:val="16"/>
          <w:szCs w:val="16"/>
        </w:rPr>
        <w:t xml:space="preserve"> (ПБ от 9 декабря 1933 г.). — ОП. Решено утвердить постановление КО об отпуске ОГПУ 300 тыс. руб. валюты на закупку моторов в Америке для сторожевых катеров погранохраны Дальнего Востока. </w:t>
      </w:r>
      <w:hyperlink r:id="rId404" w:anchor="showunit&amp;id=88615" w:history="1">
        <w:r w:rsidRPr="0044524F">
          <w:rPr>
            <w:rStyle w:val="a5"/>
            <w:color w:val="000000" w:themeColor="text1"/>
            <w:sz w:val="16"/>
            <w:szCs w:val="16"/>
          </w:rPr>
          <w:t>60/35. Вопрос КО</w:t>
        </w:r>
      </w:hyperlink>
      <w:r w:rsidRPr="0044524F">
        <w:rPr>
          <w:color w:val="000000" w:themeColor="text1"/>
          <w:sz w:val="16"/>
          <w:szCs w:val="16"/>
        </w:rPr>
        <w:t xml:space="preserve"> (ПБ от 11 декабря 1933 г.). — ОП. Решено утвердить следующее постановление КО: «1. Разрешить НКТП покупку у фирмы «Дуккель» специального оборудования для производства насосов и форсунок к дизелям на сумму в 75000 руб. золотом. 2. Санкционировать приглашение главного конструктора насосно-форсуночной фирмы «Дуккель» — инженера Бруннера для техпомощи по производству насосов и форсунок. </w:t>
      </w:r>
      <w:hyperlink r:id="rId405" w:anchor="showunit&amp;id=88623" w:history="1">
        <w:r w:rsidRPr="0044524F">
          <w:rPr>
            <w:rStyle w:val="a5"/>
            <w:color w:val="000000" w:themeColor="text1"/>
            <w:sz w:val="16"/>
            <w:szCs w:val="16"/>
          </w:rPr>
          <w:t>68/43. О моторах</w:t>
        </w:r>
      </w:hyperlink>
      <w:r w:rsidRPr="0044524F">
        <w:rPr>
          <w:color w:val="000000" w:themeColor="text1"/>
          <w:sz w:val="16"/>
          <w:szCs w:val="16"/>
        </w:rPr>
        <w:t xml:space="preserve"> (ПБ от 14 декабря 1933 г.). — ОП. Решено: 1) заказать в Италии 50 морских моторов типа «АССО</w:t>
      </w:r>
      <w:r w:rsidRPr="0044524F">
        <w:rPr>
          <w:color w:val="000000" w:themeColor="text1"/>
          <w:sz w:val="16"/>
          <w:szCs w:val="16"/>
        </w:rPr>
        <w:noBreakHyphen/>
        <w:t xml:space="preserve">1000» фирмы «Изотта-Фраскини» для торпедных катеров с необходимым комплектом запасных частей; 2) приобрести в Италии у фирмы «Гарелли» 50 мотокомпрессоров авиационного типа; 3) обязать Розенгольца и Орлова в течение десяти дней разместить эти заказы. </w:t>
      </w:r>
      <w:hyperlink r:id="rId406" w:anchor="showunit&amp;id=88536" w:history="1">
        <w:r w:rsidRPr="0044524F">
          <w:rPr>
            <w:rStyle w:val="a5"/>
            <w:color w:val="000000" w:themeColor="text1"/>
            <w:sz w:val="16"/>
            <w:szCs w:val="16"/>
          </w:rPr>
          <w:t>100/75. Об экспортно-импортном и валютном планах на 1934 г.</w:t>
        </w:r>
      </w:hyperlink>
      <w:r w:rsidRPr="0044524F">
        <w:rPr>
          <w:color w:val="000000" w:themeColor="text1"/>
          <w:sz w:val="16"/>
          <w:szCs w:val="16"/>
        </w:rPr>
        <w:t xml:space="preserve"> (ПБ от 19 декабря 1933 г.). — ОП. Решено утвердить: 1. План валютных поступлений и расходов на 1934 год с приходом в 545,7 млн. руб. и расходом в 545,4 млн. руб., не включая прихода и расхода по Персии в персидской валюте в 10,3 млн. руб. 2. План сдачи товаров на экспорт и план экспорта на 1934 г., кроме Монголии, Тувы, Западного Китая и Афганистана, в сумме 443,3 млн. руб. по ценам фоб, в том числе экспорт в Персию в сумме 10,3 млн. руб. 3. План импорта на 1934 г. в сумме 156885 тыс. руб., включая импорт из третьих стран для Монголии и Тувы, а также импорт из Персии в размере 9,7 млн. руб. 4. Экспортно-импортные планы и планы сдачи товаров на экспорт по Монголии, Туве и Западному Китаю на 1934 г. 5. План снабжения Торгсина на 1934 г. 6. Постановление Валютной Комиссии об основных мероприятиях по обеспечению экспортно-импортного и валютного планов на 1934 г. (см. приложение). 7. Увеличить экспорт хлеба в 1</w:t>
      </w:r>
      <w:r w:rsidRPr="0044524F">
        <w:rPr>
          <w:color w:val="000000" w:themeColor="text1"/>
          <w:sz w:val="16"/>
          <w:szCs w:val="16"/>
        </w:rPr>
        <w:noBreakHyphen/>
        <w:t>м полугодии 1934 г. сверх плана НКВТ в 1300 тыс. тонн на 290 тыс. тонн (на 6 млн. руб.), установив весь экспорт хлеба в 1</w:t>
      </w:r>
      <w:r w:rsidRPr="0044524F">
        <w:rPr>
          <w:color w:val="000000" w:themeColor="text1"/>
          <w:sz w:val="16"/>
          <w:szCs w:val="16"/>
        </w:rPr>
        <w:noBreakHyphen/>
        <w:t xml:space="preserve">м полугодии 1934 года в количестве 1590 тыс. тонн. 8. Поручить Рудзутаку уточнить и окончательно утвердить экспортно-импортный план и план сдачи товаров на экспорт по Афганистану. </w:t>
      </w:r>
      <w:hyperlink r:id="rId407" w:anchor="showunit&amp;id=88545" w:history="1">
        <w:r w:rsidRPr="0044524F">
          <w:rPr>
            <w:rStyle w:val="a5"/>
            <w:color w:val="000000" w:themeColor="text1"/>
            <w:sz w:val="16"/>
            <w:szCs w:val="16"/>
          </w:rPr>
          <w:t>109/84. О подлодках</w:t>
        </w:r>
      </w:hyperlink>
      <w:r w:rsidRPr="0044524F">
        <w:rPr>
          <w:color w:val="000000" w:themeColor="text1"/>
          <w:sz w:val="16"/>
          <w:szCs w:val="16"/>
        </w:rPr>
        <w:t xml:space="preserve"> (ПБ от 19 декабря 1933 г.). — ОП. Решено предложить НКВоду предоставить в распоряжение НКВМ транспорт «Союз водников» (танкер) для переброски подлодок «Малютка» из Николаева в Севастополь. </w:t>
      </w:r>
      <w:hyperlink r:id="rId408" w:anchor="showunit&amp;id=88556" w:history="1">
        <w:r w:rsidRPr="0044524F">
          <w:rPr>
            <w:rStyle w:val="a5"/>
            <w:color w:val="000000" w:themeColor="text1"/>
            <w:sz w:val="16"/>
            <w:szCs w:val="16"/>
          </w:rPr>
          <w:t>119/94. О судостроительном главуправлении при НКТП</w:t>
        </w:r>
      </w:hyperlink>
      <w:r w:rsidRPr="0044524F">
        <w:rPr>
          <w:color w:val="000000" w:themeColor="text1"/>
          <w:sz w:val="16"/>
          <w:szCs w:val="16"/>
        </w:rPr>
        <w:t xml:space="preserve"> (ПБ от 20 декабря 1933 г.). Решено Судостроительный главк разделить на два главка — морского судостроения и речного судостроения; в морском судостроении сосредоточить главным образом военное судостроение; начальником главка морского судостроения назначить Муклевича, начальником речного судостроения назначить Кондратьева (15462).</w:t>
      </w:r>
    </w:p>
    <w:p w14:paraId="1898AD98" w14:textId="77777777" w:rsidR="00661CFE" w:rsidRPr="0044524F" w:rsidRDefault="00661CFE" w:rsidP="009654CF">
      <w:pPr>
        <w:pStyle w:val="rtejustify"/>
        <w:spacing w:before="0" w:after="0"/>
        <w:rPr>
          <w:color w:val="000000" w:themeColor="text1"/>
          <w:sz w:val="16"/>
          <w:szCs w:val="16"/>
        </w:rPr>
      </w:pPr>
    </w:p>
    <w:p w14:paraId="34487005"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w:t>
      </w:r>
    </w:p>
    <w:p w14:paraId="59FE3473"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Протокол № 151 заседания Политбюро ЦК ВКП(б) от 20 декабря 1933 года</w:t>
      </w:r>
    </w:p>
    <w:p w14:paraId="082F084E"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Заседание Политбюро ЦК ВКП(б) от 20</w:t>
      </w:r>
      <w:r w:rsidRPr="0044524F">
        <w:rPr>
          <w:rFonts w:ascii="Times New Roman" w:hAnsi="Times New Roman"/>
          <w:color w:val="000000" w:themeColor="text1"/>
          <w:sz w:val="16"/>
          <w:szCs w:val="16"/>
        </w:rPr>
        <w:noBreakHyphen/>
        <w:t>го декабря 1933 года.</w:t>
      </w:r>
    </w:p>
    <w:p w14:paraId="0F5E5ABA" w14:textId="77777777" w:rsidR="00091E70" w:rsidRPr="0044524F" w:rsidRDefault="00091E70" w:rsidP="009654CF">
      <w:pPr>
        <w:spacing w:after="0" w:line="240" w:lineRule="auto"/>
        <w:jc w:val="both"/>
        <w:rPr>
          <w:rFonts w:ascii="Times New Roman" w:hAnsi="Times New Roman"/>
          <w:color w:val="000000" w:themeColor="text1"/>
          <w:sz w:val="16"/>
          <w:szCs w:val="16"/>
        </w:rPr>
      </w:pPr>
    </w:p>
    <w:p w14:paraId="31CB4280"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68/43: О моторах</w:t>
      </w:r>
    </w:p>
    <w:p w14:paraId="5DC2F36D"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 — особая папка.</w:t>
      </w:r>
    </w:p>
    <w:p w14:paraId="1B018F04"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3аказать в Италии 50 морских моторов типа “АССО</w:t>
      </w:r>
      <w:r w:rsidRPr="0044524F">
        <w:rPr>
          <w:rFonts w:ascii="Times New Roman" w:hAnsi="Times New Roman"/>
          <w:color w:val="000000" w:themeColor="text1"/>
          <w:sz w:val="16"/>
          <w:szCs w:val="16"/>
        </w:rPr>
        <w:noBreakHyphen/>
        <w:t>1000” фирмы “Изотта-Фраскини” для торпедных катеров с необходимым комплектом запасных частей.</w:t>
      </w:r>
    </w:p>
    <w:p w14:paraId="25D84DF1"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Приобрести в Италии у фирмы “Гарелли” 50 мото</w:t>
      </w:r>
      <w:r w:rsidRPr="0044524F">
        <w:rPr>
          <w:rFonts w:ascii="Times New Roman" w:hAnsi="Times New Roman"/>
          <w:color w:val="000000" w:themeColor="text1"/>
          <w:sz w:val="16"/>
          <w:szCs w:val="16"/>
        </w:rPr>
        <w:softHyphen/>
        <w:t>компрессоров авиационного типа.</w:t>
      </w:r>
    </w:p>
    <w:p w14:paraId="7632E6F2"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Обязать тов. Розенгольца и т. Орлова в течении десяти дней разместить эти заказы.</w:t>
      </w:r>
    </w:p>
    <w:p w14:paraId="19D2CE4C"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w:t>
      </w:r>
    </w:p>
    <w:p w14:paraId="4741012A"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Базилевичу, Розенгольцу, Ворошилову, Орлову.</w:t>
      </w:r>
    </w:p>
    <w:p w14:paraId="23D69402" w14:textId="77777777" w:rsidR="00091E70" w:rsidRPr="0044524F" w:rsidRDefault="00091E70" w:rsidP="009654CF">
      <w:pPr>
        <w:spacing w:after="0" w:line="240" w:lineRule="auto"/>
        <w:jc w:val="both"/>
        <w:rPr>
          <w:rFonts w:ascii="Times New Roman" w:hAnsi="Times New Roman"/>
          <w:color w:val="000000" w:themeColor="text1"/>
          <w:sz w:val="16"/>
          <w:szCs w:val="16"/>
        </w:rPr>
      </w:pPr>
    </w:p>
    <w:p w14:paraId="79F8CB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г. была подготовлена записка ЦК ВКП(б) № П151/6-с</w:t>
      </w:r>
    </w:p>
    <w:p w14:paraId="58B103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 Ягоде </w:t>
      </w:r>
    </w:p>
    <w:p w14:paraId="19DB2E8D" w14:textId="77777777" w:rsidR="002E2083" w:rsidRPr="0044524F" w:rsidRDefault="002E2083" w:rsidP="009654CF">
      <w:pPr>
        <w:autoSpaceDE w:val="0"/>
        <w:autoSpaceDN w:val="0"/>
        <w:adjustRightInd w:val="0"/>
        <w:spacing w:after="0" w:line="240" w:lineRule="auto"/>
        <w:jc w:val="both"/>
        <w:rPr>
          <w:rFonts w:ascii="Times New Roman" w:hAnsi="Times New Roman"/>
          <w:bCs/>
          <w:color w:val="000000" w:themeColor="text1"/>
          <w:sz w:val="16"/>
          <w:szCs w:val="16"/>
        </w:rPr>
      </w:pPr>
      <w:r w:rsidRPr="0044524F">
        <w:rPr>
          <w:rFonts w:ascii="Times New Roman" w:hAnsi="Times New Roman"/>
          <w:color w:val="000000" w:themeColor="text1"/>
          <w:sz w:val="16"/>
          <w:szCs w:val="16"/>
        </w:rPr>
        <w:t>Строго секретно</w:t>
      </w:r>
    </w:p>
    <w:p w14:paraId="0895A5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Выписка из протокола №151 заседания Политбюро ЦК от 10. XII. 1933 г. </w:t>
      </w:r>
    </w:p>
    <w:p w14:paraId="6FF338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6 - О поджоге эллинга на заводе "Марти". (т Ягода). </w:t>
      </w:r>
    </w:p>
    <w:p w14:paraId="60D671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Отложить.</w:t>
      </w:r>
    </w:p>
    <w:p w14:paraId="1DD101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ОГПУ арестовать немцев.</w:t>
      </w:r>
    </w:p>
    <w:p w14:paraId="762337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Секретарь ЦК.</w:t>
      </w:r>
    </w:p>
    <w:p w14:paraId="402198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АП РФ ф. 3, оп. 58, д. 243, л. 209 (11462).</w:t>
      </w:r>
    </w:p>
    <w:p w14:paraId="63E47A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1653576"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состоялось заседание ПБ и был оформлен протокол № 151</w:t>
      </w:r>
    </w:p>
    <w:p w14:paraId="52C0E14F"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 О поджоге_эллиига на заводе "Марти". (т. ЯгодаТ.</w:t>
      </w:r>
    </w:p>
    <w:p w14:paraId="4C906DD6"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Отложить.</w:t>
      </w:r>
    </w:p>
    <w:p w14:paraId="5BD29849"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Разрешить ОГПУ арестовать немцев.</w:t>
      </w:r>
    </w:p>
    <w:p w14:paraId="392917CA"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тов.Ягоде.</w:t>
      </w:r>
    </w:p>
    <w:p w14:paraId="7882701A"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декабря 1933 опросом членов ПБ</w:t>
      </w:r>
    </w:p>
    <w:p w14:paraId="3F139FD7"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39/14 .- Вопрос КО,</w:t>
      </w:r>
    </w:p>
    <w:p w14:paraId="6EE7C176"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постановление КО об отпуске ОГПУ 300 тыс.руб.валюты на закупку моторов в Америке для сторожевых катеров погранохраны ДВ.</w:t>
      </w:r>
    </w:p>
    <w:p w14:paraId="4BF5BB36"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т.т.Базилевичу, Ягоде, Розенгольцу</w:t>
      </w:r>
    </w:p>
    <w:p w14:paraId="2D1BDD76"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декабря 1933 опросом членов ПБ</w:t>
      </w:r>
    </w:p>
    <w:p w14:paraId="210BBF5A"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52/27.- О Франции,</w:t>
      </w:r>
    </w:p>
    <w:p w14:paraId="5AB89E1C"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.Принять предложение Пьер КОТ "а о посылке наших командиров в школы французской авиации для совершенствования:</w:t>
      </w:r>
    </w:p>
    <w:p w14:paraId="77967DC6"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 высшую авиационную школу в Париже послать трех командиров;</w:t>
      </w:r>
    </w:p>
    <w:p w14:paraId="6363FA75"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б)на годичные курсы в авиационной школе в Версале послать двух командиров.</w:t>
      </w:r>
    </w:p>
    <w:p w14:paraId="0D8C3924"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Поручить т.Венцову в осторожной форме выяс</w:t>
      </w:r>
      <w:r w:rsidRPr="0044524F">
        <w:rPr>
          <w:rFonts w:ascii="Times New Roman" w:hAnsi="Times New Roman"/>
          <w:color w:val="000000" w:themeColor="text1"/>
          <w:sz w:val="16"/>
          <w:szCs w:val="16"/>
        </w:rPr>
        <w:softHyphen/>
        <w:t>нить у французов возможность посылки одного коман</w:t>
      </w:r>
      <w:r w:rsidRPr="0044524F">
        <w:rPr>
          <w:rFonts w:ascii="Times New Roman" w:hAnsi="Times New Roman"/>
          <w:color w:val="000000" w:themeColor="text1"/>
          <w:sz w:val="16"/>
          <w:szCs w:val="16"/>
        </w:rPr>
        <w:softHyphen/>
        <w:t>дира в школу высшего пилотажа в Этамп и одного ко</w:t>
      </w:r>
      <w:r w:rsidRPr="0044524F">
        <w:rPr>
          <w:rFonts w:ascii="Times New Roman" w:hAnsi="Times New Roman"/>
          <w:color w:val="000000" w:themeColor="text1"/>
          <w:sz w:val="16"/>
          <w:szCs w:val="16"/>
        </w:rPr>
        <w:softHyphen/>
        <w:t>мандира в школу воздушной стрельбы и бомбометания в Казо.</w:t>
      </w:r>
    </w:p>
    <w:p w14:paraId="5778DD5D"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Согласиться на предложение Пьер К0Т"а о приезде к нам четырех французских авиаспециалистов. Приезжающим французам поставить конкретные задачи по постановке на производство моторов фирмы Испано Сюиза и по разработке системы вооружения истреби</w:t>
      </w:r>
      <w:r w:rsidRPr="0044524F">
        <w:rPr>
          <w:rFonts w:ascii="Times New Roman" w:hAnsi="Times New Roman"/>
          <w:color w:val="000000" w:themeColor="text1"/>
          <w:sz w:val="16"/>
          <w:szCs w:val="16"/>
        </w:rPr>
        <w:softHyphen/>
        <w:t>тельной авиации.</w:t>
      </w:r>
    </w:p>
    <w:p w14:paraId="52D116F8"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4.Разрешить т.Венцову поодолжать переговоры с де-ЛАТТРОМ о посылке весной 1934 г. группы артил</w:t>
      </w:r>
      <w:r w:rsidRPr="0044524F">
        <w:rPr>
          <w:rFonts w:ascii="Times New Roman" w:hAnsi="Times New Roman"/>
          <w:color w:val="000000" w:themeColor="text1"/>
          <w:sz w:val="16"/>
          <w:szCs w:val="16"/>
        </w:rPr>
        <w:softHyphen/>
        <w:t>лерийских командиров для прохождения курса с овер</w:t>
      </w:r>
      <w:r w:rsidRPr="0044524F">
        <w:rPr>
          <w:rFonts w:ascii="Times New Roman" w:hAnsi="Times New Roman"/>
          <w:color w:val="000000" w:themeColor="text1"/>
          <w:sz w:val="16"/>
          <w:szCs w:val="16"/>
        </w:rPr>
        <w:softHyphen/>
        <w:t>шенствования в Метце и присутствия на артиллерий</w:t>
      </w:r>
      <w:r w:rsidRPr="0044524F">
        <w:rPr>
          <w:rFonts w:ascii="Times New Roman" w:hAnsi="Times New Roman"/>
          <w:color w:val="000000" w:themeColor="text1"/>
          <w:sz w:val="16"/>
          <w:szCs w:val="16"/>
        </w:rPr>
        <w:softHyphen/>
        <w:t>ских учениях и стрельбах (срок командировки до 6-ти недель). В случае официального предложения французов разрешить т.Венцову дать согласие о по</w:t>
      </w:r>
      <w:r w:rsidRPr="0044524F">
        <w:rPr>
          <w:rFonts w:ascii="Times New Roman" w:hAnsi="Times New Roman"/>
          <w:color w:val="000000" w:themeColor="text1"/>
          <w:sz w:val="16"/>
          <w:szCs w:val="16"/>
        </w:rPr>
        <w:softHyphen/>
        <w:t>сылке нами трех человек.</w:t>
      </w:r>
    </w:p>
    <w:p w14:paraId="3A6B0E4C"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Поручить т.Довгалевскому сообщить францу</w:t>
      </w:r>
      <w:r w:rsidRPr="0044524F">
        <w:rPr>
          <w:rFonts w:ascii="Times New Roman" w:hAnsi="Times New Roman"/>
          <w:color w:val="000000" w:themeColor="text1"/>
          <w:sz w:val="16"/>
          <w:szCs w:val="16"/>
        </w:rPr>
        <w:softHyphen/>
        <w:t>зам о нашем намерении послать весной 1934 г.эскад</w:t>
      </w:r>
      <w:r w:rsidRPr="0044524F">
        <w:rPr>
          <w:rFonts w:ascii="Times New Roman" w:hAnsi="Times New Roman"/>
          <w:color w:val="000000" w:themeColor="text1"/>
          <w:sz w:val="16"/>
          <w:szCs w:val="16"/>
        </w:rPr>
        <w:softHyphen/>
        <w:t>рилью самолетов в Париж, в ответ на визит Пьер КОТ"а.</w:t>
      </w:r>
    </w:p>
    <w:p w14:paraId="38104A28"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Выписка послана: тов.Ворошилову.</w:t>
      </w:r>
    </w:p>
    <w:p w14:paraId="63F9C47C"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декабря 1933 опросом членов ПБ</w:t>
      </w:r>
    </w:p>
    <w:p w14:paraId="7FF3AEB9"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60/35,- Вопрос КО,</w:t>
      </w:r>
    </w:p>
    <w:p w14:paraId="4282DBB4"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следующее постановление КО:</w:t>
      </w:r>
    </w:p>
    <w:p w14:paraId="313362D5"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Разрешить НКТП покупку у фирмы "Дуккель" специального оборудования для производства насосов и форсунок к дизелям на сумму в 75.000 р.золотом.</w:t>
      </w:r>
    </w:p>
    <w:p w14:paraId="1B634213"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Санкционировать приглашение главного кон</w:t>
      </w:r>
      <w:r w:rsidRPr="0044524F">
        <w:rPr>
          <w:rFonts w:ascii="Times New Roman" w:hAnsi="Times New Roman"/>
          <w:color w:val="000000" w:themeColor="text1"/>
          <w:sz w:val="16"/>
          <w:szCs w:val="16"/>
        </w:rPr>
        <w:softHyphen/>
        <w:t>структора насосно-форсуночной фирмы "Дуккель" - инженера Бруннера для техпомощи по производству насосов и форсунок.</w:t>
      </w:r>
    </w:p>
    <w:p w14:paraId="49EA8B53"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Орджоникидзе, Розенгольцу</w:t>
      </w:r>
    </w:p>
    <w:p w14:paraId="45EFC060"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 декабря 1933 опросом членов ПБ</w:t>
      </w:r>
    </w:p>
    <w:p w14:paraId="19B3F8D2"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68/43.- О моторах.</w:t>
      </w:r>
    </w:p>
    <w:p w14:paraId="285D50E1"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1.Заказать в Италии 50 морских моторов типа "АСС0-1000" фирмы "Изотта-Фраскини" для торпедных катеров с необходимым комплектом запасных частей.</w:t>
      </w:r>
    </w:p>
    <w:p w14:paraId="1EF4913F"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Приобрести в Италии у фирмы "Гарелли” 50 мотоксмпрессоров авиационного типа.</w:t>
      </w:r>
    </w:p>
    <w:p w14:paraId="2774D8A2"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3.Обязать тов.Розенгольца и т.Орлова в те</w:t>
      </w:r>
      <w:r w:rsidRPr="0044524F">
        <w:rPr>
          <w:rFonts w:ascii="Times New Roman" w:hAnsi="Times New Roman"/>
          <w:color w:val="000000" w:themeColor="text1"/>
          <w:sz w:val="16"/>
          <w:szCs w:val="16"/>
        </w:rPr>
        <w:softHyphen/>
        <w:t>чении десяти дней разместить эти заказы.</w:t>
      </w:r>
    </w:p>
    <w:p w14:paraId="48A781EA"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Базилевичу, Розенгольцу, Ворошилову, Орлову.</w:t>
      </w:r>
    </w:p>
    <w:p w14:paraId="5D2FB749"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декабря 1933 опросом членов ПБ</w:t>
      </w:r>
    </w:p>
    <w:p w14:paraId="0A975E17"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109/84.- О подлодках.</w:t>
      </w:r>
    </w:p>
    <w:p w14:paraId="6C01416A"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Предложить НКВоду предоставить в распоряже</w:t>
      </w:r>
      <w:r w:rsidRPr="0044524F">
        <w:rPr>
          <w:rFonts w:ascii="Times New Roman" w:hAnsi="Times New Roman"/>
          <w:color w:val="000000" w:themeColor="text1"/>
          <w:sz w:val="16"/>
          <w:szCs w:val="16"/>
        </w:rPr>
        <w:softHyphen/>
        <w:t>ние НКВМ транспорт "Союз водников"(танкер) для переброски подлодок "Малютка" из Николаева в Сева</w:t>
      </w:r>
      <w:r w:rsidRPr="0044524F">
        <w:rPr>
          <w:rFonts w:ascii="Times New Roman" w:hAnsi="Times New Roman"/>
          <w:color w:val="000000" w:themeColor="text1"/>
          <w:sz w:val="16"/>
          <w:szCs w:val="16"/>
        </w:rPr>
        <w:softHyphen/>
        <w:t>стополь.</w:t>
      </w:r>
    </w:p>
    <w:p w14:paraId="07376E08" w14:textId="77777777" w:rsidR="00F13288" w:rsidRPr="0044524F" w:rsidRDefault="00F1328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 Янсону, Ворошилову, Базилевичу (23001).</w:t>
      </w:r>
    </w:p>
    <w:p w14:paraId="7484D962" w14:textId="77777777" w:rsidR="00F13288" w:rsidRPr="0044524F" w:rsidRDefault="00F13288" w:rsidP="009654CF">
      <w:pPr>
        <w:spacing w:after="0" w:line="240" w:lineRule="auto"/>
        <w:jc w:val="both"/>
        <w:rPr>
          <w:rFonts w:ascii="Times New Roman" w:hAnsi="Times New Roman"/>
          <w:color w:val="000000" w:themeColor="text1"/>
          <w:sz w:val="16"/>
          <w:szCs w:val="16"/>
        </w:rPr>
      </w:pPr>
    </w:p>
    <w:p w14:paraId="4F4176A9" w14:textId="77777777" w:rsidR="00035F40"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1D721B1F" w14:textId="77777777" w:rsidR="00035F40" w:rsidRPr="0044524F" w:rsidRDefault="00035F40"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D87330D" w14:textId="77777777" w:rsidR="00661CFE" w:rsidRPr="0044524F" w:rsidRDefault="00661C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г. Протокол ПБ № 151 п.52/27: О Франции – ОП. Решено: 1) принять предложение Пьера Кота о посылке наших командиров в школы французской авиации для совершенствования; а) в Высшую авиационную школу в Париже послать трех командиров; б) на годичные курсы в авиационной школе в Версале послать двух командиров; 2) поручить Венцову в осторожной форме выяснить у французов возможность посылки одного командира в Школу высшего пилотажа в Этамп и одного командира в Школу воздушной стрельбы и бомбометания в Казо; 3) согласиться на предложение Пьера Кота о приезде к нам четырех французских авиаспециалистов. Приезжающим французам поставить конкретные задачи по постановке на производство моторов фирмы Испано Сюиза и по разработке системы вооружения истребительной авиации;. 4) разрешить Венцову продолжать переговоры с де-Латтром о посылке весной 1934 г. группы артиллерийских командиров для прохождения курса совершенствования в Метце и присутствия на артиллерийских учениях и стрельбах (срок командировки до 6-ти недель). В случае официального предложения французов разрешить Венцову дать согласие о посылке нами трех человек; 5) поручить Довгалевскому сообщить французам о нашем намерении послать весной 1934 г. эскадрилью самолетов в Париж, в ответ на визит Пьера Кота (15914).</w:t>
      </w:r>
    </w:p>
    <w:p w14:paraId="06BE5BCF" w14:textId="77777777" w:rsidR="00661CFE" w:rsidRPr="0044524F" w:rsidRDefault="00661CFE" w:rsidP="009654CF">
      <w:pPr>
        <w:spacing w:after="0" w:line="240" w:lineRule="auto"/>
        <w:jc w:val="both"/>
        <w:rPr>
          <w:rFonts w:ascii="Times New Roman" w:hAnsi="Times New Roman"/>
          <w:color w:val="000000" w:themeColor="text1"/>
          <w:sz w:val="16"/>
          <w:szCs w:val="16"/>
        </w:rPr>
      </w:pPr>
    </w:p>
    <w:p w14:paraId="4FD4BEC2"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г. Телеграмма временного поверенного в делах СССР в США Б. Е. Сквирского в Наркомат иностранных дел СССР о создании советского торгпредства в Вашингтоне.</w:t>
      </w:r>
    </w:p>
    <w:p w14:paraId="2FA6F8E9"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Сегодня получил от госдепартамента следующий меморандум с инициалами Филлипса: "Правительство Соединенных Штатов не имеет возражений против назначения советским правительством торгового атташе или торгового советника при посольстве Союза Советских Социалистических Республик в Вашингтоне, который выполнял бы обязанности, обычно возлагаемые на торгового атташе или советника, а именно: сбор экономической и торговой информации, изучение условий рынка, содействие развитию и облегчение торговых отношений, и занимался другой аналогичной деятельностью. </w:t>
      </w:r>
    </w:p>
    <w:p w14:paraId="33A7D3B8"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Правительство Соединенных Штатов, однако, желает внести ясность, что такое должностное лицо не будет заниматься торговлей или вступать в торговые сделки какого-либо рода, т.е. не будет вступать в деловые отношения или подписывать контракты с американскими фирмами, участвовать в операциях по закупке или продаже и т.п. </w:t>
      </w:r>
    </w:p>
    <w:p w14:paraId="487201DA"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Правительство Соединенных Штатов не будет иметь возражений против того, чтобы торговый советник ИЛИ атташе при посольстве Союза Советских Социалистических Республик имел контору и постоянное местожительство в городе Нью-Йорке. </w:t>
      </w:r>
    </w:p>
    <w:p w14:paraId="58BDD106"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Следует указать, однако, что адреса местожительства в городе Нью-Йорке торговых советников или атташе при дипломатических миссиях в Вашингтоне не печатаются в списке дипломатического корпуса". </w:t>
      </w:r>
    </w:p>
    <w:p w14:paraId="0508C24D"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Ясно, что госдепартамент делает попытки затормозить организацию нашего торгпредства в Нью-Йорке, "невинно" обходя вопрос о нашей монополии внешней торговли. Телеграфируйте инструкции или ответ на меморандум. </w:t>
      </w:r>
    </w:p>
    <w:p w14:paraId="3C12C5C3"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Сквирский </w:t>
      </w:r>
    </w:p>
    <w:p w14:paraId="37398FC0"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Документы внешней политики СССР. М. 1970. Т. XVI. С. 757-758 (12152).</w:t>
      </w:r>
    </w:p>
    <w:p w14:paraId="364C7E49" w14:textId="77777777" w:rsidR="00035F40" w:rsidRPr="0044524F" w:rsidRDefault="00035F40" w:rsidP="009654CF">
      <w:pPr>
        <w:spacing w:after="0" w:line="240" w:lineRule="auto"/>
        <w:jc w:val="both"/>
        <w:rPr>
          <w:rFonts w:ascii="Times New Roman" w:hAnsi="Times New Roman"/>
          <w:color w:val="000000" w:themeColor="text1"/>
          <w:sz w:val="16"/>
          <w:szCs w:val="16"/>
        </w:rPr>
      </w:pPr>
    </w:p>
    <w:p w14:paraId="2F957F93"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20 декабря 1933 г. Письмо американского адвоката Мэтью Вуда в Наркомвнешторг СССР об условиях экспортно-импортных контактов с СССР10 </w:t>
      </w:r>
    </w:p>
    <w:p w14:paraId="154C0811"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Джентльмены, </w:t>
      </w:r>
    </w:p>
    <w:p w14:paraId="20DE299A"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являясь поверенным группы коммерсантов, стремящихся со времени восстановления дипломатических сношений между СССР и США к экспортированию и импортированию товаров. Мне сообщено, что для этого требуется специальная лицензия, потому прошу Вас ответить мне точно и подробно на следующие вопросы: 1. Куда и к кому следует обращаться за получением лицензии и что требуется от просителя таковой?</w:t>
      </w:r>
    </w:p>
    <w:p w14:paraId="05EEBFFB"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Какого рода товары могут найти сбыт в Вашей организации? </w:t>
      </w:r>
    </w:p>
    <w:p w14:paraId="3347BB27"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Какого рода товары производятся в Вашей области, которые могли бы быть экспортированы и проданы в США? </w:t>
      </w:r>
    </w:p>
    <w:p w14:paraId="61E39F22"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Количество таможенных и дополнительных пошлин, если таковые налагаются на импортируемые из США товары.</w:t>
      </w:r>
    </w:p>
    <w:p w14:paraId="745CBEA1"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Имеются ли ограничения на импорт товаров из Америки или же при импорте таковых дается предпочтение? </w:t>
      </w:r>
    </w:p>
    <w:p w14:paraId="250A1A2E"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 Фамилии и адреса главных фирм Вашей области, которые имеют право импортировать или экспортировать товары в США. </w:t>
      </w:r>
    </w:p>
    <w:p w14:paraId="0F9B1B93"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Котируются ли в СССР цены в рублях или копейках и в каждом отдельном случае, насколько возможно переводятся на равнозначную ценность в американской валюте на основе преобладающей обменной ставки в момент написания Вашего письма?</w:t>
      </w:r>
    </w:p>
    <w:p w14:paraId="4C7D871B"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8. Фамилии и адреса всех полномочных представителей СССР в Америке, с которыми можно вести переговоры или от которых можно получить информацию раньше свидания с русским послом в Америке. </w:t>
      </w:r>
    </w:p>
    <w:p w14:paraId="06B4F333"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Если русский посол аккредитован в Америке, возможно ли и практикуется ли вести в будущем переговоры с ним? </w:t>
      </w:r>
    </w:p>
    <w:p w14:paraId="66E29D94"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почтением Мэтью Вуд </w:t>
      </w:r>
    </w:p>
    <w:p w14:paraId="1EC41D7F"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РГАЭ. Ф. 413. On. 13. Д. 769. Л. 1. Копия (12152).</w:t>
      </w:r>
    </w:p>
    <w:p w14:paraId="64AC45BC" w14:textId="77777777" w:rsidR="00035F40" w:rsidRPr="0044524F" w:rsidRDefault="00035F40" w:rsidP="009654CF">
      <w:pPr>
        <w:spacing w:after="0" w:line="240" w:lineRule="auto"/>
        <w:jc w:val="both"/>
        <w:rPr>
          <w:rFonts w:ascii="Times New Roman" w:hAnsi="Times New Roman"/>
          <w:color w:val="000000" w:themeColor="text1"/>
          <w:sz w:val="16"/>
          <w:szCs w:val="16"/>
        </w:rPr>
      </w:pPr>
    </w:p>
    <w:p w14:paraId="3FFC2AC4"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48018981"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D1A1381" w14:textId="77777777" w:rsidR="0021316D" w:rsidRPr="0044524F" w:rsidRDefault="0021316D"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20–30 декабря 1933 в полете на Curtiss Thrush Outdoor Girl, Хелен Ричи и Фрэнсис Харрелл Марсалис используют дозаправку в воздухе, чтобы оставаться в воздухе непрерывно в течение 237 часов 43 минут. Они не достигли своей цели - оставаться в воздухе до 1 января 1934 года, но тем не менее побили предыдущий рекорд непрерывного полета в 196 часов, установленный в августе 1932 года Марсалисом и Луизой Таден (20802).</w:t>
      </w:r>
    </w:p>
    <w:p w14:paraId="4C6B23DD" w14:textId="77777777" w:rsidR="0021316D" w:rsidRPr="0044524F" w:rsidRDefault="0021316D" w:rsidP="009654CF">
      <w:pPr>
        <w:spacing w:after="0" w:line="240" w:lineRule="auto"/>
        <w:jc w:val="both"/>
        <w:rPr>
          <w:rFonts w:ascii="Times New Roman" w:hAnsi="Times New Roman"/>
          <w:color w:val="000000" w:themeColor="text1"/>
          <w:sz w:val="16"/>
          <w:szCs w:val="16"/>
        </w:rPr>
      </w:pPr>
    </w:p>
    <w:p w14:paraId="7E04ED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декабря 1933 германское правительство объявило, что 400 тыс. чел. должны быть стерилизованы из-за генетических дефектов (2100).</w:t>
      </w:r>
    </w:p>
    <w:p w14:paraId="1E201C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0EEB219"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0334DA2"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B3636E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21 по 31 декабря 1933 года проходили предварительные испытания самолета И-15 (ЦКБ-3) с мотором Райт-Циклон 1820 № 625 НР с нагнетателем, металлический винт Гамильтон-Стандарт (6655).</w:t>
      </w:r>
    </w:p>
    <w:p w14:paraId="69E57A9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239D972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w:t>
      </w:r>
    </w:p>
    <w:p w14:paraId="6FBC7CE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D105334"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И-15 с мотором Райт-Циклон F-3 как полностью и с превышением удовлетворяющий техническим требованиям, рекомендовать для серийной постройки.</w:t>
      </w:r>
    </w:p>
    <w:p w14:paraId="6654CF06"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5E9710E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6470C4E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 Часовиков С.</w:t>
      </w:r>
    </w:p>
    <w:p w14:paraId="553E172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 Степанченок В.</w:t>
      </w:r>
    </w:p>
    <w:p w14:paraId="4A0BE39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20F5515D" w14:textId="77777777">
        <w:tc>
          <w:tcPr>
            <w:tcW w:w="5636" w:type="dxa"/>
          </w:tcPr>
          <w:p w14:paraId="4527650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декабря 1933 года</w:t>
            </w:r>
          </w:p>
        </w:tc>
        <w:tc>
          <w:tcPr>
            <w:tcW w:w="5636" w:type="dxa"/>
          </w:tcPr>
          <w:p w14:paraId="135AE44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машины вместе с заводом.</w:t>
            </w:r>
          </w:p>
        </w:tc>
      </w:tr>
      <w:tr w:rsidR="004E10C1" w:rsidRPr="0044524F" w14:paraId="33A8A7F5" w14:textId="77777777">
        <w:tc>
          <w:tcPr>
            <w:tcW w:w="5636" w:type="dxa"/>
          </w:tcPr>
          <w:p w14:paraId="7E3F2C2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декабря 1933 года</w:t>
            </w:r>
          </w:p>
        </w:tc>
        <w:tc>
          <w:tcPr>
            <w:tcW w:w="5636" w:type="dxa"/>
          </w:tcPr>
          <w:p w14:paraId="588CFBE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596B10A2" w14:textId="77777777">
        <w:tc>
          <w:tcPr>
            <w:tcW w:w="5636" w:type="dxa"/>
          </w:tcPr>
          <w:p w14:paraId="6840301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декабря 1933 года</w:t>
            </w:r>
          </w:p>
        </w:tc>
        <w:tc>
          <w:tcPr>
            <w:tcW w:w="5636" w:type="dxa"/>
          </w:tcPr>
          <w:p w14:paraId="0181537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5000 м и скорости по высотам 5-1000 м. Пролет по заданию начальника ВВС.</w:t>
            </w:r>
          </w:p>
        </w:tc>
      </w:tr>
      <w:tr w:rsidR="004E10C1" w:rsidRPr="0044524F" w14:paraId="2C96BFF4" w14:textId="77777777">
        <w:tc>
          <w:tcPr>
            <w:tcW w:w="5636" w:type="dxa"/>
          </w:tcPr>
          <w:p w14:paraId="7B69F6F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декабря 1933 года</w:t>
            </w:r>
          </w:p>
        </w:tc>
        <w:tc>
          <w:tcPr>
            <w:tcW w:w="5636" w:type="dxa"/>
          </w:tcPr>
          <w:p w14:paraId="2B35089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Штопор и управляемость на 1000 м.</w:t>
            </w:r>
          </w:p>
        </w:tc>
      </w:tr>
      <w:tr w:rsidR="004E10C1" w:rsidRPr="0044524F" w14:paraId="2F7AC0AB" w14:textId="77777777">
        <w:tc>
          <w:tcPr>
            <w:tcW w:w="5636" w:type="dxa"/>
          </w:tcPr>
          <w:p w14:paraId="2E4EB13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декабря 1933 года</w:t>
            </w:r>
          </w:p>
        </w:tc>
        <w:tc>
          <w:tcPr>
            <w:tcW w:w="5636" w:type="dxa"/>
          </w:tcPr>
          <w:p w14:paraId="1BF20A1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самолета летчиками Сузи и Филиным.</w:t>
            </w:r>
          </w:p>
        </w:tc>
      </w:tr>
      <w:tr w:rsidR="004E10C1" w:rsidRPr="0044524F" w14:paraId="6137FC25" w14:textId="77777777">
        <w:tc>
          <w:tcPr>
            <w:tcW w:w="5636" w:type="dxa"/>
          </w:tcPr>
          <w:p w14:paraId="133E3A9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года</w:t>
            </w:r>
          </w:p>
        </w:tc>
        <w:tc>
          <w:tcPr>
            <w:tcW w:w="5636" w:type="dxa"/>
          </w:tcPr>
          <w:p w14:paraId="5559630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и скорости по высотам.</w:t>
            </w:r>
          </w:p>
        </w:tc>
      </w:tr>
    </w:tbl>
    <w:p w14:paraId="3BD10F0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 назначению одноместный маневренный истребитель. По схеме одностоечный биплан неравного размаха, с</w:t>
      </w:r>
    </w:p>
    <w:p w14:paraId="5E3A557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центропланом типа «ЧАЙКА» и одностоечным шасси.</w:t>
      </w:r>
    </w:p>
    <w:p w14:paraId="7EEE5CF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смешанная; крылья – деревянные, фюзеляж из нормализованных хромомолибденовых труб, второстепенные</w:t>
      </w:r>
    </w:p>
    <w:p w14:paraId="1972928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детали изготовлены из дюраля; фюзеляж, крылья и оперение покрыты полотном (6655).</w:t>
      </w:r>
    </w:p>
    <w:p w14:paraId="5B6B400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C84D6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21 по 31 декабря 1933 проходили (предварительные - 3100,6) гос. испытания ЦКБ-3 (И-15) - второго - на лыжах (222,25). По другим данным до 1 января 1934 и предварительные гос. испытания (2266,287).</w:t>
      </w:r>
    </w:p>
    <w:p w14:paraId="4F217F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324AA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21 декабря 1933 года по 1 января 1934 года самолет И-15 прошел предварительные испытания. Был утвержден начальником ВВС для серийного производства (4170, 39-41).</w:t>
      </w:r>
    </w:p>
    <w:p w14:paraId="40C077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2C140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декабря 1933 г. после завершения цикла заводских испытаний второй ЦКБ-3 переда</w:t>
      </w:r>
      <w:r w:rsidRPr="0044524F">
        <w:rPr>
          <w:rFonts w:ascii="Times New Roman" w:hAnsi="Times New Roman"/>
          <w:color w:val="000000" w:themeColor="text1"/>
          <w:sz w:val="16"/>
          <w:szCs w:val="16"/>
        </w:rPr>
        <w:softHyphen/>
        <w:t>ли в НИИ ВВС. Первый этап (ведущий летчик В.А.Сте-панченок) проводился в довольно быстром темпе и закончился к 1 января 1934 г. Второй этап продолжался с 14 января по 24 марта. Испытания подтвердили высокие летные характеристики машины. Поэтому еще до их завершения, 2 февраля 1934 г., отмечая вклад кол</w:t>
      </w:r>
      <w:r w:rsidRPr="0044524F">
        <w:rPr>
          <w:rFonts w:ascii="Times New Roman" w:hAnsi="Times New Roman"/>
          <w:color w:val="000000" w:themeColor="text1"/>
          <w:sz w:val="16"/>
          <w:szCs w:val="16"/>
        </w:rPr>
        <w:softHyphen/>
        <w:t>лектива в создании образцов новой боевой техники, нарком тяжелой промышленности С.Орджоникидзе из-дал приказ о премировании работников завода № 39. Пять человек, в том числе Ильюшин, Поликарпов и Чкалов, были награждены легковыми автомобилями (10667).</w:t>
      </w:r>
    </w:p>
    <w:p w14:paraId="3AD360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8C9F51E" w14:textId="77777777" w:rsidR="00727216" w:rsidRPr="00142305" w:rsidRDefault="00727216" w:rsidP="007272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декабря 1933 г. после завершения цикла заводских испытаний второй И-15 (ЦКБ-3) был передан в НИИ ВВС. Первый этап (ведущий летчик — В. А. Степанченок) проводился в довольно быстром темпе и закончился к 1 января 1934 г. Второй этап продолжался с 14 января по 24 марта. Испытания подтвердили высокие летные характеристики машины (25035),</w:t>
      </w:r>
    </w:p>
    <w:p w14:paraId="36CD4967" w14:textId="77777777" w:rsidR="00727216" w:rsidRPr="00142305" w:rsidRDefault="00727216" w:rsidP="00727216">
      <w:pPr>
        <w:spacing w:after="0" w:line="240" w:lineRule="auto"/>
        <w:jc w:val="both"/>
        <w:rPr>
          <w:rFonts w:ascii="Times New Roman" w:hAnsi="Times New Roman"/>
          <w:color w:val="0070C0"/>
          <w:sz w:val="16"/>
          <w:szCs w:val="16"/>
        </w:rPr>
      </w:pPr>
    </w:p>
    <w:p w14:paraId="5A3B92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декабря 1933 года закончены заводские испытания истребителя И-14 с мотором "Бристоль-Меркур".</w:t>
      </w:r>
    </w:p>
    <w:p w14:paraId="3A7545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показал следующие качества6</w:t>
      </w:r>
    </w:p>
    <w:p w14:paraId="40042B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горизонтальная скорость на высоте 5000 м- 385 км/час</w:t>
      </w:r>
    </w:p>
    <w:p w14:paraId="7AF87B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5000 м – 8 мин.</w:t>
      </w:r>
    </w:p>
    <w:p w14:paraId="299DC2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практический – 9400 м</w:t>
      </w:r>
    </w:p>
    <w:p w14:paraId="2439EB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самолета: две 37 мм автоматические пушки ДРП или взамен их два пулемета ПВ-1, стреляющие через винт</w:t>
      </w:r>
    </w:p>
    <w:p w14:paraId="5D1CD2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с мотором "Бристоль-Меркур" представляет первый в мире истребитель с убирающимися шасси; максимальные скорости которого у земли и на высоте превосходят скорости всех заграничных машин, снабженных мотором равной мощности.</w:t>
      </w:r>
    </w:p>
    <w:p w14:paraId="35CD8F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сдан на госиспытание НИИ (4170, 31).</w:t>
      </w:r>
    </w:p>
    <w:p w14:paraId="29FC73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4E797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декабря 1933 обшили центральную часть фюзеляжа дублера И-14,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53A3EF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53152C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E6AE8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166B4D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2D914E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A8164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декабря 1933 года начальник Главного управления Авиапрома Королев писал письмо № 18/оп в секретариат СТО Базилевичу.</w:t>
      </w:r>
    </w:p>
    <w:p w14:paraId="10E92F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состоянии работ по морскому гидросамолетостроению (Постановление СТО от 13 августа 1933 года).</w:t>
      </w:r>
    </w:p>
    <w:p w14:paraId="5CE171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31</w:t>
      </w:r>
    </w:p>
    <w:p w14:paraId="4FCE9D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конца III квартала 1933 года завод № 31 приступил к подготовительным работам по организации серийного производства гидросамолетов МБР-2.</w:t>
      </w:r>
    </w:p>
    <w:p w14:paraId="448D1C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программу 1934 года заводу назначена сдача 250 гидросамолетов. По гидросамолетам МДР-4 заканчивается в ЦАГИ постройка опытного образца выпуск которого намечен на февраль 1934 года на заводские испытания.</w:t>
      </w:r>
    </w:p>
    <w:p w14:paraId="7497F6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Одновременно происходит передача чертежей заводу № 31 ……….</w:t>
      </w:r>
    </w:p>
    <w:p w14:paraId="04E279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1934 год заводу назначена программа в 3 самолета по технической готовности, с тем, чтобы к концу года завод был готов для серийного выпуска гидросамолетов.</w:t>
      </w:r>
    </w:p>
    <w:p w14:paraId="7F59E5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Назначение сроков выпуска самолетов и количество выпускаемых самолетов определено проектом постановления о гидросамолетостроении, направленное в КО 26 ноября 1933 года).</w:t>
      </w:r>
    </w:p>
    <w:p w14:paraId="36CFE0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22</w:t>
      </w:r>
    </w:p>
    <w:p w14:paraId="5FEC06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 опытного образца гидросамолета МК в ЦАГИ заканчивается в марте 1934 года.</w:t>
      </w:r>
    </w:p>
    <w:p w14:paraId="7CD07C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происходит передача чертежей заводу № 22 ……….</w:t>
      </w:r>
    </w:p>
    <w:p w14:paraId="654B75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программу 1934 года заводу назначен выпуск 3-х гидросамолетов. Сборка и испытание первых гидросамолетов назначены в Севастополе или Таганроге.</w:t>
      </w:r>
    </w:p>
    <w:p w14:paraId="1AF7DB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Предложения о постановке морского самолетостроения мною сделаны представлением в КО от 26 ноября 1933 года за № 15.ОП.</w:t>
      </w:r>
    </w:p>
    <w:p w14:paraId="31B7B4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125</w:t>
      </w:r>
    </w:p>
    <w:p w14:paraId="6F8C67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Аналогичное состояние по заводу № 31. Производится приемка чертежей гидросамолетов от ЦАГИ ………….</w:t>
      </w:r>
    </w:p>
    <w:p w14:paraId="787AED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программу 1934 года заводу назначена подготовка производства с тем, чтобы к концу 1934 года завод был подготовлен до такого состояния, чтобы с 1935 года начать серийный выпуск гидросамолетов при одновременной постановке истребителя И-14 в 1934 году.</w:t>
      </w:r>
    </w:p>
    <w:p w14:paraId="1F008B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126</w:t>
      </w:r>
    </w:p>
    <w:p w14:paraId="72EC5E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Вследствие весьма значительного объема работ на 1934 год и трудностей строительства, окончание которого частично перейдет на 1935 год и подготовка производства отодвинется на 1935 год.</w:t>
      </w:r>
    </w:p>
    <w:p w14:paraId="7102FA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командировказ за границу</w:t>
      </w:r>
    </w:p>
    <w:p w14:paraId="1A5E32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Командированы за границу в Америку от ЦАГИ 2 инженера. Намечена командировка еще 4-х лиц и подбираются кандидатуры остальных.</w:t>
      </w:r>
    </w:p>
    <w:p w14:paraId="2ACE84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организации внутренней базы гидросамолетостроения</w:t>
      </w:r>
    </w:p>
    <w:p w14:paraId="4FC234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Соответствующие представления мною сделаны с наметкой об организации внутренней базы в г. Казани при заводе № 124, СТО 26 ноября 1933 года за № 15.ОП</w:t>
      </w:r>
    </w:p>
    <w:p w14:paraId="686DBE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Организация строительства ЦАГИ в Раменском</w:t>
      </w:r>
    </w:p>
    <w:p w14:paraId="55331D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Соображения и сметы о развертывании строительства ЦАГИ были составлены и предоставлены Наркому тов. Г.К.О., каковым были прокорректированы и возвращены для пересоставления.</w:t>
      </w:r>
    </w:p>
    <w:p w14:paraId="25057C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настояшщее время сметы закончены. Отпущено кредитов на 1934 г. 10 млн., что не обеспечивает более сильного развертывания строительства, почему в 1934 г. будут проведены подготовительные проектные работы, с тем, чтобы в 1935 г. приступить более широким фронтом (2266,227;4188,54-55).</w:t>
      </w:r>
    </w:p>
    <w:p w14:paraId="5E98D0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77AE9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декабря 1933 года Базилевич писал письмо № 2057/ко Ворошилову.</w:t>
      </w:r>
    </w:p>
    <w:p w14:paraId="315D4F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сем представляю копию справки подготовленной и переданной Сталину по его указанию.</w:t>
      </w:r>
    </w:p>
    <w:p w14:paraId="63CD7B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 о ходе выполнения постановления СТО № 72сс/о от 13 августа 1933 года “О форсировании морского гидросамолетостроения”</w:t>
      </w:r>
    </w:p>
    <w:p w14:paraId="5D120E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31 (Таганрог).</w:t>
      </w:r>
    </w:p>
    <w:p w14:paraId="18B11E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Подготовка самолетов МБР-2 ведется; в 1934 году завод может изготовить 250 самолетов; заказ утвержден на 200 самолетов.</w:t>
      </w:r>
    </w:p>
    <w:p w14:paraId="5DDC93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Подготовка самолетов МДР-4 была немедленно развернута; Алкснис просил поставить в 1934 году 12 самолетов; Ворошилов и Орджоникидзе наметили 3 самолета, что утверждено КО по плану заказов НКВМ; ГУАП берет обязательство довести эти самолеты до состояния технической готовности, НКВМ на окончательной сдаче.</w:t>
      </w:r>
    </w:p>
    <w:p w14:paraId="720332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поплавков к самолетам ТБ-1 и Р-6 восстановлено, НКВМ ими снабжается.</w:t>
      </w:r>
    </w:p>
    <w:p w14:paraId="7FB9B4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С-62 с производства сняты.</w:t>
      </w:r>
    </w:p>
    <w:p w14:paraId="12585C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самолетов Р-6 по сокращенной КО программе 1933 года будет выполнена; производство самолетов АНТ-9 прекращено; постановлением СТО № 103сс/о от 25 октября 1933 года весь задел по АНТ-9 передан ГУГВФ; вместо 30 самолетов АНТ-9 ГУГВФ не получит ни одного; все находящиеся в ГУГВФ типы самолетов в 1934 году не обеспечиваются получением моторов; об этом Вам представлена записка Уншлихта.</w:t>
      </w:r>
    </w:p>
    <w:p w14:paraId="62F0EF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22 (Москва).</w:t>
      </w:r>
    </w:p>
    <w:p w14:paraId="501EC6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Подготовка производства гидросамолетов МК развернута; на 1934 год утверждено по заказам НКВМ 3 самолета; окончательная сборка будет производиться в Севастополе в Килленбухте на заводе № 45 и в Таганроге на заводе № 31.</w:t>
      </w:r>
    </w:p>
    <w:p w14:paraId="47C421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Предложения по постановке производства гидросамолетов МК и о развертывании производства всех гидросамолетов представлены 26 ноября 1933 года, были включены в повестку КО и решением КО от 28 ноября 1933 года рассмотрение их отложено;</w:t>
      </w:r>
    </w:p>
    <w:p w14:paraId="4A381E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самолета ТБ-4 на завод № 18 в Воронеж не перенесено, т.к. самолет ТБ-4 окончательно не испытан; предварительные испытания дали потолок лишь 2500 м, для достижения большего потолка требуется мотор с редуктором, который будет выпущен заводом № 24 вместо 1 января 1934 года во II квартале 1934 года.</w:t>
      </w:r>
    </w:p>
    <w:p w14:paraId="65E48B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125 (Иркутск).</w:t>
      </w:r>
    </w:p>
    <w:p w14:paraId="0BCE0D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Подготовка к постановке производства самолетов МДР-4 и одновременно И-14 ведется. В 1934 году будут сданы 3 гидросамолета МДР-4 и 10 самолетов И-14 (справка Королева).</w:t>
      </w:r>
    </w:p>
    <w:p w14:paraId="7AD5FE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заводу № 126 (Комсомольск).</w:t>
      </w:r>
    </w:p>
    <w:p w14:paraId="7E891A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Промышленное строительство запаздывает на год.</w:t>
      </w:r>
    </w:p>
    <w:p w14:paraId="6CC3B9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Соображения об организации строительства завода № 124 в Казани представлены (завод № 124), но рассмотрение их решением КО от 28 ноября 1933 года отложено.</w:t>
      </w:r>
    </w:p>
    <w:p w14:paraId="2BBF54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 о постройке плотины на Москва реке в районе с. Михайловского рассмотрен МК ВКП(б) 15 ноября 1933 года, проект готов, но недостаточность финансирования задержит строительство плотины (4188,57-58).</w:t>
      </w:r>
    </w:p>
    <w:p w14:paraId="661EF8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D28DBA5" w14:textId="77777777" w:rsidR="009A1872" w:rsidRPr="0044524F" w:rsidRDefault="009A1872" w:rsidP="009654CF">
      <w:pPr>
        <w:pStyle w:val="rtejustify"/>
        <w:spacing w:before="0" w:after="0"/>
        <w:rPr>
          <w:rStyle w:val="af0"/>
          <w:bCs/>
          <w:i w:val="0"/>
          <w:color w:val="000000" w:themeColor="text1"/>
          <w:sz w:val="16"/>
          <w:szCs w:val="16"/>
        </w:rPr>
      </w:pPr>
      <w:r w:rsidRPr="0044524F">
        <w:rPr>
          <w:color w:val="000000" w:themeColor="text1"/>
          <w:sz w:val="16"/>
          <w:szCs w:val="16"/>
        </w:rPr>
        <w:t>21 декабря 1933 г. в справке, составленной начальником ГУАП Г. Н. Королевым были даны сведения по заводам морского самолетостроения о состоянии работ по указанному постановлению. Завод № 31 приступил к подготовке серийного производства гидросамолета МБР</w:t>
      </w:r>
      <w:r w:rsidRPr="0044524F">
        <w:rPr>
          <w:color w:val="000000" w:themeColor="text1"/>
          <w:sz w:val="16"/>
          <w:szCs w:val="16"/>
        </w:rPr>
        <w:noBreakHyphen/>
        <w:t>2, который в 1934 г. планировалось выпустить в количестве 250 шт. По гидросамолету МДР</w:t>
      </w:r>
      <w:r w:rsidRPr="0044524F">
        <w:rPr>
          <w:color w:val="000000" w:themeColor="text1"/>
          <w:sz w:val="16"/>
          <w:szCs w:val="16"/>
        </w:rPr>
        <w:noBreakHyphen/>
        <w:t>4 планировалось выпустить 3 самолета и к концу 1934 г. приступить к серийному производству. На заводе № 22 проходила разработка технологического процесса для постановки производства этих самолетов. На заводах № 125 и № 126 также готовилась технологическая база для указанных самолетов. Имеется также докладная записка Г. Н. Королева в ЦК ВКП(б) от 5 сентября 1935 г., в которой даны сведения о производстве заводом № 31 самолетов МБР-2 (15256).</w:t>
      </w:r>
    </w:p>
    <w:p w14:paraId="337F26D4" w14:textId="77777777" w:rsidR="009A1872" w:rsidRPr="0044524F" w:rsidRDefault="009A1872" w:rsidP="009654CF">
      <w:pPr>
        <w:pStyle w:val="rtejustify"/>
        <w:spacing w:before="0" w:after="0"/>
        <w:rPr>
          <w:rStyle w:val="af0"/>
          <w:bCs/>
          <w:i w:val="0"/>
          <w:color w:val="000000" w:themeColor="text1"/>
          <w:sz w:val="16"/>
          <w:szCs w:val="16"/>
        </w:rPr>
      </w:pPr>
    </w:p>
    <w:p w14:paraId="30015D59" w14:textId="77777777" w:rsidR="009A1872" w:rsidRPr="0044524F" w:rsidRDefault="009A1872" w:rsidP="009654CF">
      <w:pPr>
        <w:pStyle w:val="rtejustify"/>
        <w:spacing w:before="0" w:after="0"/>
        <w:rPr>
          <w:rStyle w:val="af0"/>
          <w:bCs/>
          <w:i w:val="0"/>
          <w:color w:val="000000" w:themeColor="text1"/>
          <w:sz w:val="16"/>
          <w:szCs w:val="16"/>
        </w:rPr>
      </w:pPr>
      <w:r w:rsidRPr="0044524F">
        <w:rPr>
          <w:rStyle w:val="af0"/>
          <w:bCs/>
          <w:i w:val="0"/>
          <w:color w:val="000000" w:themeColor="text1"/>
          <w:sz w:val="16"/>
          <w:szCs w:val="16"/>
        </w:rPr>
        <w:t>21 декабря 1933 вышел приказ НКТП № 233сс.</w:t>
      </w:r>
      <w:r w:rsidRPr="0044524F">
        <w:rPr>
          <w:color w:val="000000" w:themeColor="text1"/>
          <w:sz w:val="16"/>
          <w:szCs w:val="16"/>
        </w:rPr>
        <w:t xml:space="preserve"> О задачах трестов и объединений НКТП СССР по созданию мощных и совершенных паровых турбинных двигателей для военных и гражданских самолетов. </w:t>
      </w:r>
      <w:r w:rsidRPr="0044524F">
        <w:rPr>
          <w:rStyle w:val="af0"/>
          <w:bCs/>
          <w:i w:val="0"/>
          <w:color w:val="000000" w:themeColor="text1"/>
          <w:sz w:val="16"/>
          <w:szCs w:val="16"/>
        </w:rPr>
        <w:t>(РГАЭ. Ф. 7297. Оп. 38. Д. 38. Л. 231</w:t>
      </w:r>
      <w:r w:rsidRPr="0044524F">
        <w:rPr>
          <w:rStyle w:val="af0"/>
          <w:bCs/>
          <w:i w:val="0"/>
          <w:color w:val="000000" w:themeColor="text1"/>
          <w:sz w:val="16"/>
          <w:szCs w:val="16"/>
        </w:rPr>
        <w:noBreakHyphen/>
        <w:t>230) (15246).</w:t>
      </w:r>
    </w:p>
    <w:p w14:paraId="3F66DA00" w14:textId="77777777" w:rsidR="009A1872" w:rsidRPr="0044524F" w:rsidRDefault="009A1872" w:rsidP="009654CF">
      <w:pPr>
        <w:pStyle w:val="rtejustify"/>
        <w:spacing w:before="0" w:after="0"/>
        <w:rPr>
          <w:rStyle w:val="af0"/>
          <w:bCs/>
          <w:i w:val="0"/>
          <w:color w:val="000000" w:themeColor="text1"/>
          <w:sz w:val="16"/>
          <w:szCs w:val="16"/>
        </w:rPr>
      </w:pPr>
    </w:p>
    <w:p w14:paraId="67C61474" w14:textId="77777777" w:rsidR="00CE35D9"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50B99E8" w14:textId="77777777" w:rsidR="00CE35D9" w:rsidRPr="0044524F" w:rsidRDefault="00CE35D9"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91C251D" w14:textId="77777777" w:rsidR="009A1872" w:rsidRPr="0044524F" w:rsidRDefault="009A1872" w:rsidP="009654CF">
      <w:pPr>
        <w:pStyle w:val="rtejustify"/>
        <w:spacing w:before="0" w:after="0"/>
        <w:rPr>
          <w:color w:val="000000" w:themeColor="text1"/>
          <w:sz w:val="16"/>
          <w:szCs w:val="16"/>
        </w:rPr>
      </w:pPr>
      <w:r w:rsidRPr="0044524F">
        <w:rPr>
          <w:rStyle w:val="af0"/>
          <w:bCs/>
          <w:i w:val="0"/>
          <w:color w:val="000000" w:themeColor="text1"/>
          <w:sz w:val="16"/>
          <w:szCs w:val="16"/>
        </w:rPr>
        <w:t>21 декабря</w:t>
      </w:r>
      <w:r w:rsidRPr="0044524F">
        <w:rPr>
          <w:color w:val="000000" w:themeColor="text1"/>
          <w:sz w:val="16"/>
          <w:szCs w:val="16"/>
        </w:rPr>
        <w:t xml:space="preserve"> 1933. Постановление СНК СССР № 2724 «О разукрупнении Главного управления судостроительной промышленности НКТП на два: морского судостроения и речного судостроения». (</w:t>
      </w:r>
      <w:hyperlink r:id="rId409" w:history="1">
        <w:r w:rsidRPr="0044524F">
          <w:rPr>
            <w:rStyle w:val="a5"/>
            <w:color w:val="000000" w:themeColor="text1"/>
            <w:sz w:val="16"/>
            <w:szCs w:val="16"/>
          </w:rPr>
          <w:t>СЗ. 1933 № 74. Ст. 452</w:t>
        </w:r>
      </w:hyperlink>
      <w:r w:rsidRPr="0044524F">
        <w:rPr>
          <w:color w:val="000000" w:themeColor="text1"/>
          <w:sz w:val="16"/>
          <w:szCs w:val="16"/>
        </w:rPr>
        <w:t>) (15460).</w:t>
      </w:r>
    </w:p>
    <w:p w14:paraId="67C8761E" w14:textId="77777777" w:rsidR="009A1872" w:rsidRPr="0044524F" w:rsidRDefault="009A1872" w:rsidP="009654CF">
      <w:pPr>
        <w:pStyle w:val="rtejustify"/>
        <w:spacing w:before="0" w:after="0"/>
        <w:rPr>
          <w:color w:val="000000" w:themeColor="text1"/>
          <w:sz w:val="16"/>
          <w:szCs w:val="16"/>
        </w:rPr>
      </w:pPr>
    </w:p>
    <w:p w14:paraId="106839AA" w14:textId="77777777" w:rsidR="009A1872" w:rsidRPr="0044524F" w:rsidRDefault="009A1872" w:rsidP="009654CF">
      <w:pPr>
        <w:pStyle w:val="rtejustify"/>
        <w:spacing w:before="0" w:after="0"/>
        <w:rPr>
          <w:color w:val="000000" w:themeColor="text1"/>
          <w:sz w:val="16"/>
          <w:szCs w:val="16"/>
        </w:rPr>
      </w:pPr>
      <w:r w:rsidRPr="0044524F">
        <w:rPr>
          <w:color w:val="000000" w:themeColor="text1"/>
          <w:sz w:val="16"/>
          <w:szCs w:val="16"/>
        </w:rPr>
        <w:t xml:space="preserve">21 декабря 1933 г. на основании приказа по наркомату № 1071 было образовано </w:t>
      </w:r>
      <w:r w:rsidRPr="0044524F">
        <w:rPr>
          <w:rStyle w:val="af0"/>
          <w:bCs/>
          <w:i w:val="0"/>
          <w:color w:val="000000" w:themeColor="text1"/>
          <w:sz w:val="16"/>
          <w:szCs w:val="16"/>
        </w:rPr>
        <w:t>Главное управление морской судостроительной промышленности (Главморпром)</w:t>
      </w:r>
      <w:r w:rsidRPr="0044524F">
        <w:rPr>
          <w:color w:val="000000" w:themeColor="text1"/>
          <w:sz w:val="16"/>
          <w:szCs w:val="16"/>
        </w:rPr>
        <w:t xml:space="preserve"> в системе Наркомата тяжелой промышленности СССР и подчинено непосредственно наркому тяжелой промышленности СССР. Руководителем Главморпрома был назначен Р. А. Муклевич. Структура была утверждена 13 января 1934 г. в составе: управления, секретариата, секторов планово-экономического, производственно-технического, капитальных работ, кадров, финансового и др. Главморпром осуществлял планирование, производство, финансирование, опытно-конструкторские и научно-исследовательские работы, обеспечение кадрами всей отрасли военного судостроения. С 1935 г. секторы были преобразованы в отделы. Главморпрому были подчинены следующие предприятия и организации: Балтийский судостроительный и механический завод, Северная судостроительная верфь, Ленинградский судостроительный и механический завод им. Марти, судомеханический завод «Судомех» в Ленинграде, Николаевский судостроительный завод им. Марти в Николаеве, Николаевский судостроительный завод им. «61», Севастопольский морской завод, Дальневосточный судостроительный и механический завод во Владивостоке. Кроме заводов в ведении Главморпрома были проектные конторы, конструкторские бюро, снабженческие организации и учебные заведения. В январе 1937 г. Главное управление морской судостроительной промышленности перешло из НКТП в систему Наркомата оборонной промышленности СССР и стало 2</w:t>
      </w:r>
      <w:r w:rsidRPr="0044524F">
        <w:rPr>
          <w:color w:val="000000" w:themeColor="text1"/>
          <w:sz w:val="16"/>
          <w:szCs w:val="16"/>
        </w:rPr>
        <w:noBreakHyphen/>
        <w:t>м Главным управлением НКОП СССР. (РГАЭ. Ф. 8183. Оп. 2) (15304).</w:t>
      </w:r>
    </w:p>
    <w:p w14:paraId="0978DD4B" w14:textId="77777777" w:rsidR="009A1872" w:rsidRPr="0044524F" w:rsidRDefault="009A1872" w:rsidP="009654CF">
      <w:pPr>
        <w:spacing w:after="0" w:line="240" w:lineRule="auto"/>
        <w:jc w:val="both"/>
        <w:rPr>
          <w:rFonts w:ascii="Times New Roman" w:eastAsia="TimesNewRoman" w:hAnsi="Times New Roman"/>
          <w:color w:val="000000" w:themeColor="text1"/>
          <w:sz w:val="16"/>
          <w:szCs w:val="16"/>
        </w:rPr>
      </w:pPr>
    </w:p>
    <w:p w14:paraId="7CCE3200" w14:textId="77777777" w:rsidR="009A1872" w:rsidRPr="0044524F" w:rsidRDefault="009A1872" w:rsidP="009654CF">
      <w:pPr>
        <w:pStyle w:val="rtejustify"/>
        <w:spacing w:before="0" w:after="0"/>
        <w:rPr>
          <w:color w:val="000000" w:themeColor="text1"/>
          <w:sz w:val="16"/>
          <w:szCs w:val="16"/>
        </w:rPr>
      </w:pPr>
      <w:r w:rsidRPr="0044524F">
        <w:rPr>
          <w:color w:val="000000" w:themeColor="text1"/>
          <w:sz w:val="16"/>
          <w:szCs w:val="16"/>
        </w:rPr>
        <w:t>21 декабря 1933 г. постановлением СНК СССР № 2734 ГУСП было разделено на два главка: Главное управление морской судостроительной промышленности (Главморпром) и Главное управление речного судостроения (Главречпром). Начальником Главморпрома стал Р. А. Муклевич, Главречпрома — Д. Е. Березин (15273).</w:t>
      </w:r>
    </w:p>
    <w:p w14:paraId="0D612D34" w14:textId="77777777" w:rsidR="009A1872" w:rsidRPr="0044524F" w:rsidRDefault="009A1872" w:rsidP="009654CF">
      <w:pPr>
        <w:pStyle w:val="rtejustify"/>
        <w:spacing w:before="0" w:after="0"/>
        <w:rPr>
          <w:color w:val="000000" w:themeColor="text1"/>
          <w:sz w:val="16"/>
          <w:szCs w:val="16"/>
        </w:rPr>
      </w:pPr>
    </w:p>
    <w:p w14:paraId="640FD976" w14:textId="77777777" w:rsidR="00CE35D9" w:rsidRPr="0044524F" w:rsidRDefault="00CE35D9" w:rsidP="009654CF">
      <w:pPr>
        <w:spacing w:after="0" w:line="240" w:lineRule="auto"/>
        <w:jc w:val="both"/>
        <w:rPr>
          <w:rFonts w:ascii="Times New Roman" w:eastAsia="TimesNewRoman" w:hAnsi="Times New Roman"/>
          <w:color w:val="000000" w:themeColor="text1"/>
          <w:sz w:val="16"/>
          <w:szCs w:val="16"/>
        </w:rPr>
      </w:pPr>
      <w:r w:rsidRPr="0044524F">
        <w:rPr>
          <w:rFonts w:ascii="Times New Roman" w:eastAsia="TimesNewRoman" w:hAnsi="Times New Roman"/>
          <w:color w:val="000000" w:themeColor="text1"/>
          <w:sz w:val="16"/>
          <w:szCs w:val="16"/>
        </w:rPr>
        <w:lastRenderedPageBreak/>
        <w:t>21 декабря 1933 г. вышло постановление СТО СССР о закупке в Италии морского вооружения и предоставления необходимых средств, для его приобретения [Там же, д. 235, л. 8-10] (12701).</w:t>
      </w:r>
    </w:p>
    <w:p w14:paraId="4F167F33" w14:textId="77777777" w:rsidR="00CE35D9" w:rsidRPr="0044524F" w:rsidRDefault="00CE35D9" w:rsidP="009654CF">
      <w:pPr>
        <w:spacing w:after="0" w:line="240" w:lineRule="auto"/>
        <w:jc w:val="both"/>
        <w:rPr>
          <w:rFonts w:ascii="Times New Roman" w:eastAsia="TimesNewRoman" w:hAnsi="Times New Roman"/>
          <w:color w:val="000000" w:themeColor="text1"/>
          <w:sz w:val="16"/>
          <w:szCs w:val="16"/>
        </w:rPr>
      </w:pPr>
    </w:p>
    <w:p w14:paraId="2D1AA09E"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декабря 1933 г. вышло постановление СТО СССР о закупке 50-ти торпед у фирмы «Уайтхед» в г. Фиуме и предоставления необходимых средств, для его приобретения [Там же, д. 235, л. 8-10] (18258).</w:t>
      </w:r>
    </w:p>
    <w:p w14:paraId="7190A61C" w14:textId="77777777" w:rsidR="00091E70" w:rsidRPr="0044524F" w:rsidRDefault="00091E70" w:rsidP="009654CF">
      <w:pPr>
        <w:spacing w:after="0" w:line="240" w:lineRule="auto"/>
        <w:jc w:val="both"/>
        <w:rPr>
          <w:rFonts w:ascii="Times New Roman" w:hAnsi="Times New Roman"/>
          <w:color w:val="000000" w:themeColor="text1"/>
          <w:sz w:val="16"/>
          <w:szCs w:val="16"/>
        </w:rPr>
      </w:pPr>
    </w:p>
    <w:p w14:paraId="4A1A916D" w14:textId="77777777" w:rsidR="00727216" w:rsidRPr="00142305" w:rsidRDefault="00727216" w:rsidP="0072721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21 декабря 1933 г. вышло постановление СТО СССР о закупке 50-ти торпед у фирмы «Уайтхед» в г. Фиуме предоставления необходимых средств, для его приобретения [Там же, д. 235, л. 8-10] (25366).</w:t>
      </w:r>
    </w:p>
    <w:p w14:paraId="7849E2E1" w14:textId="77777777" w:rsidR="00727216" w:rsidRPr="00142305" w:rsidRDefault="00727216" w:rsidP="00727216">
      <w:pPr>
        <w:spacing w:after="0" w:line="240" w:lineRule="auto"/>
        <w:jc w:val="both"/>
        <w:rPr>
          <w:rFonts w:ascii="Times New Roman" w:hAnsi="Times New Roman"/>
          <w:color w:val="0070C0"/>
          <w:sz w:val="16"/>
          <w:szCs w:val="16"/>
        </w:rPr>
      </w:pPr>
    </w:p>
    <w:p w14:paraId="554182C5"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D42B07C"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27954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декабря 1933 приказом по строительству и лагерю № 166 сообщалось:</w:t>
      </w:r>
    </w:p>
    <w:p w14:paraId="53B02D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«ЖАРОВ Петр Леонтьевич, будучи назначен на должность Начальника 13 Отделения ДМИТЛАГА ОГПУ, по прибытии на место работы объявил себя больным. При проверке этого обстоятельства оказалось, что тов. ЖАРОВ не вышел на работу по причине пьянства.</w:t>
      </w:r>
    </w:p>
    <w:p w14:paraId="28DBF9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ЖАРОВ был немедленно отстранен от занимаемой должности и привлечен к ответственности.</w:t>
      </w:r>
    </w:p>
    <w:p w14:paraId="19EF82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Коллегия ОГПУ, рассмотрев 13 декабря с. г. это дело, постановила: ЖАРОВА Петра Леонтьевича - АРЕСТОВАТЬ НА 30 СУТОК и УВОЛИТЬ ИЗ ОРГАНОВ ОГПУ» (7560).</w:t>
      </w:r>
    </w:p>
    <w:p w14:paraId="1464D9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BF7B2F9" w14:textId="77777777" w:rsidR="00035F40"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6899E740" w14:textId="77777777" w:rsidR="00035F40" w:rsidRPr="0044524F" w:rsidRDefault="00035F40"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349788F"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21 декабря 1933 г. Запись беседы наркома иностранных дел СССР М.М. Литвинова с послом США в СССР У. Буллитом о развитии торговых отношений </w:t>
      </w:r>
    </w:p>
    <w:p w14:paraId="64A2FEE2"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Буллит был у меня сегодня с прощальным визитом, и мы с ним имели деловую беседу, затронув следующие темы. </w:t>
      </w:r>
    </w:p>
    <w:p w14:paraId="5C190488"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Вспомнив вчерашние разговоры, Буллит просил уточнить количество потребных нам рельсов, ибо Межлаук ему говорил о 300 тыс. т, а т. Сталин повторно называл цифру 250 тыс. Мы решили остановиться на цифре 250 тыс. Буллит думает, что замена старых рельсов новыми на некоторых железных дорогах [США] действительно намечена, но еще не проведена, так как железнодорожные компании добиваются снижения цен на новые рельсы, а кроме того, они не в состоянии оплатить их и просят помощи у правительства. На вопрос Буллита, с кем нужно будет вести переговоры об этом, я указал на Богданова13. Я напомнил ему об аккумуляторах и моторах, но Буллит ответил, что это упоминалось лишь вскользь и не назывались никакие цифры и поэтому он будет ждать через Трояновского наших заявок. Буллит рассказывал, что в Америке недавно выпущены испробованные и принятые новые типы аэропланов Дугласа, имеющие большие преимущества в отношении скорости и грузоподъемности. </w:t>
      </w:r>
    </w:p>
    <w:p w14:paraId="46CFCCD8"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Буллит выразил сожаление, что Трояновский не едет вместе с ним, и выразил пожелание чтобы Трояновский, во всяком случае, приехал в Нью-Йорк на американском пароходе, что произведет хороший эффект в Америке. В связи с этим Буллит высказал надежду, что Трояновский приедет в Вашингтон не позже него (Буллит думает остановиться на несколько дней в Париже), чтобы можно было бы через него возобновить переговоры о займе. Он снова напомнил о законопроекте, внесенном в Конгресс, о прекращении всяких кредитов и займов странам, не уплатившим своих долгов14. Говорил, что если до 15 января президент не сможет внести в Конгресс на одобрение нашей сделки с ними, то могут возникнуть большие затруднения. Буллит поэтому просит об ускорении приезда Трояновского, а также обещанных сведений о германских фирмах, которым мы должны платить.</w:t>
      </w:r>
    </w:p>
    <w:p w14:paraId="2CF2427A"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 На мой вопрос, является ли сообщение госдепартамента о немецких сертификатах на 34 млн долл. в год новым самостоятельным предложением или относится к нашим разговорам о займе, Буллит ответил незнанием. </w:t>
      </w:r>
    </w:p>
    <w:p w14:paraId="64ED0B26"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Я ему сказал, что мы готовы это рассматривать и как самостоятельное предложение, и будем ждать более точного предложения относительно условий покупки этих сертификатов, сообщив, что мы и раньше покупали как в Англии, так и в Америке замороженные кредиты со значительной скидкой. Я вновь подчеркивал, что как в этом случае, так и в случае зачета замороженных кредитов в счет займа все переговоры с немцами должны вестись Америкой. Кроме того, я ему сказал, что мы не можем отказаться от экспорта в Германию и что выручку от этого экспорта мы должны также употребить на оплату наших обязательств в Германии и что поэтому не может быть речи о покрытии всего займа замороженными кредитами. </w:t>
      </w:r>
    </w:p>
    <w:p w14:paraId="74D19FEC"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 Буллит сказал, что он в Вашингтоне обсудит вопрос о возможности захода нескольких американских военных судов с визитом во Владивосток, хотя это вряд ли будет возможно раньше весны. Что касается пактов, то он предвидит большие затруднения. Заключить с нами пакт после того, как Америка отвергла пакт с Японией15, вряд ли возможно, да и, кроме того, такой пакт вряд ли и нужен, ибо мы друг на друга нападать не собираемся. Предложить же четверной пакт с включением Китая, значило бы требовать немедленно очищения Маньчжурии, оккупацию которой Америка рассматривает как нападение. Америка считает, что Япония нарушила существующие договора, и поэтому предлагать Японии новыйдоговор значит отказаться от указанной точки зрения. Я высказал сомнение в приемлемости для Японии даже тройственного пакта, и что поэтому предложение ей пакта имело бы большое агитационное значение, поскольку отказ Японии вновь подчеркнул бы агрессивность ее намерений. Буллит обещал этот вопрос вновь обсудить с президентом и Горнбеком, заведующим дальневосточным отделом госдепартамента, и весьма компетентным в этих вопросах. Он просил передать Трояновскому совет поддерживать тесный контакт с Горнбеком. </w:t>
      </w:r>
    </w:p>
    <w:p w14:paraId="28F108E3"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5. Я спрашивал Буллита, что президент и его правительство думают относительно развития торговли с нами. Буллит сказал, что у них есть сильное желание развивать торговлю и что все дело находится в руках Моргентау. </w:t>
      </w:r>
    </w:p>
    <w:p w14:paraId="41EEB286"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Их занимает вопрос о расширении нашего экспорта, который, по их мнению, может быть доведен до 100 млн долл. в год, причем, перечисляя наши экспортные товары, он уделял большое место целлюлозе. Я выразил сомнение в возможности доведения экспорта до названной им цифры и, кроме того, указал, что если размер нашего экспорта будет сделан базой наших торговых оборотов с Америкой, то большого размаха дать им нельзя будет. Я отметил, что в наших текущих импортных планах предусмотрены весьма скромные цифры импорта и что нас не будет интересовать импорт, если не удастся сделать базой его долгосрочные кредиты. </w:t>
      </w:r>
    </w:p>
    <w:p w14:paraId="7D439225"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6. Я напомнил Буллиту о существующих в Америке ограничениях для ввоза нашего золота, о непризнании наших санитарных удостоверений и других препятствиях, которые должны быть возможно скорее устранены. Буллит записал себе это. </w:t>
      </w:r>
    </w:p>
    <w:p w14:paraId="244AA2FC"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7. Я ознакомил Буллита вкратце с политическим положением Европы и с существующими там, в частности во Франции, течениями. Я говорил, что в связи с уходом Германии из Лиги и угрозы Италии надо ожидать нажима на США и СССР16, чтобы побудить их вступить в Лигу. Буллит сказал, что на Америку Лига наций ни в коем случае не должна рассчитывать, а что касается нас, то вряд ли Америка будет испытывать какое-либо неудобство от нашего вхождения. </w:t>
      </w:r>
    </w:p>
    <w:p w14:paraId="5E5B55AB"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Буллит вручил мне меморандум относительно возвращения расчетных книг "Нэшинэл Сити Банк". Он при этом сообщил мне, что этот банк теперь находится всецело в руках правительства, так как он был близок к банкротству. </w:t>
      </w:r>
    </w:p>
    <w:p w14:paraId="70F25CD5"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9. Я предупредил Буллита о возможном нажиме на него со стороны русских эмигрантов, желающих выписывать из СССР своих родственников, и посоветовал ему отсылать их всех к Интуристу. </w:t>
      </w:r>
    </w:p>
    <w:p w14:paraId="1CE03DCF"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Литвинов </w:t>
      </w:r>
    </w:p>
    <w:p w14:paraId="61AFED5D"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Документы внешней политики СССР. М„ 1970. Т. XVI. С. 758-761 (12152).</w:t>
      </w:r>
    </w:p>
    <w:p w14:paraId="3531E758" w14:textId="77777777" w:rsidR="00035F40" w:rsidRPr="0044524F" w:rsidRDefault="00035F40" w:rsidP="009654CF">
      <w:pPr>
        <w:spacing w:after="0" w:line="240" w:lineRule="auto"/>
        <w:jc w:val="both"/>
        <w:rPr>
          <w:rFonts w:ascii="Times New Roman" w:hAnsi="Times New Roman"/>
          <w:color w:val="000000" w:themeColor="text1"/>
          <w:sz w:val="16"/>
          <w:szCs w:val="16"/>
        </w:rPr>
      </w:pPr>
    </w:p>
    <w:p w14:paraId="5684FDA6"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703AB9C"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2DB65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декабря 1933 приказом по НКТП и 9 декабря 1933 приказом по ГУАП были установлены мероприятия по обеспечению выполнения этого задания Правительства по производству истребителей на заводе 125 (4206,15).</w:t>
      </w:r>
    </w:p>
    <w:p w14:paraId="65D1B3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8E2BA63" w14:textId="77777777" w:rsidR="009A1872" w:rsidRPr="0044524F" w:rsidRDefault="009A1872" w:rsidP="009654CF">
      <w:pPr>
        <w:pStyle w:val="rtejustify"/>
        <w:spacing w:before="0" w:after="0"/>
        <w:rPr>
          <w:color w:val="000000" w:themeColor="text1"/>
          <w:sz w:val="16"/>
          <w:szCs w:val="16"/>
        </w:rPr>
      </w:pPr>
      <w:r w:rsidRPr="0044524F">
        <w:rPr>
          <w:rStyle w:val="af0"/>
          <w:bCs/>
          <w:i w:val="0"/>
          <w:color w:val="000000" w:themeColor="text1"/>
          <w:sz w:val="16"/>
          <w:szCs w:val="16"/>
        </w:rPr>
        <w:t>22/23 декабря 1933 вышел приказ НКТП № 234сс.</w:t>
      </w:r>
      <w:r w:rsidRPr="0044524F">
        <w:rPr>
          <w:color w:val="000000" w:themeColor="text1"/>
          <w:sz w:val="16"/>
          <w:szCs w:val="16"/>
        </w:rPr>
        <w:t xml:space="preserve"> О мероприятиях по обеспечению выполнения производственной программы завода № 125 в Иркутске по изготовлению истребительных самолетов. (РГАЭ. Ф. 7297. Оп. 38. Д. 38. Л. 235) (15246).</w:t>
      </w:r>
    </w:p>
    <w:p w14:paraId="6D153357" w14:textId="77777777" w:rsidR="009A1872" w:rsidRPr="0044524F" w:rsidRDefault="009A1872" w:rsidP="009654CF">
      <w:pPr>
        <w:pStyle w:val="rtejustify"/>
        <w:spacing w:before="0" w:after="0"/>
        <w:rPr>
          <w:color w:val="000000" w:themeColor="text1"/>
          <w:sz w:val="16"/>
          <w:szCs w:val="16"/>
        </w:rPr>
      </w:pPr>
    </w:p>
    <w:p w14:paraId="615F86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декабря 1933 собрали элероны дублера И-14, которые из-за изменения обшивки застряли в производстве на целый месяц.</w:t>
      </w:r>
    </w:p>
    <w:p w14:paraId="28B678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сборке фюзеляжа ЗОК приступил 26 ноября. Центральную часть его обшили 21 декабря, а хвостовую завершили только 24 декабря,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7B44DD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w:t>
      </w:r>
      <w:r w:rsidRPr="0044524F">
        <w:rPr>
          <w:rFonts w:ascii="Times New Roman" w:hAnsi="Times New Roman"/>
          <w:color w:val="000000" w:themeColor="text1"/>
          <w:sz w:val="16"/>
          <w:szCs w:val="16"/>
        </w:rPr>
        <w:lastRenderedPageBreak/>
        <w:t>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1BECF5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C9508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2C62AE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60D874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AEA88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декабря 1933 после завершения заводских испытаний автожир А-6 М-11 был передан на гос. испытания, но лопасти сложились и машину разбили 5 января 1934 (2287,131).</w:t>
      </w:r>
    </w:p>
    <w:p w14:paraId="4273F6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ECC165C"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декабря 1933 машину А-6 передали воен</w:t>
      </w:r>
      <w:r w:rsidRPr="0044524F">
        <w:rPr>
          <w:rFonts w:ascii="Times New Roman" w:hAnsi="Times New Roman"/>
          <w:color w:val="000000" w:themeColor="text1"/>
          <w:sz w:val="16"/>
          <w:szCs w:val="16"/>
        </w:rPr>
        <w:softHyphen/>
        <w:t>ным испытателям для продолжения тестирования. Со</w:t>
      </w:r>
      <w:r w:rsidRPr="0044524F">
        <w:rPr>
          <w:rFonts w:ascii="Times New Roman" w:hAnsi="Times New Roman"/>
          <w:color w:val="000000" w:themeColor="text1"/>
          <w:sz w:val="16"/>
          <w:szCs w:val="16"/>
        </w:rPr>
        <w:softHyphen/>
        <w:t>гласно данным А.М. Изаксона, 5 (или 6) января 1934 г. при испытании А-6 в НИИ ВВС при резком выходе из пикиро</w:t>
      </w:r>
      <w:r w:rsidRPr="0044524F">
        <w:rPr>
          <w:rFonts w:ascii="Times New Roman" w:hAnsi="Times New Roman"/>
          <w:color w:val="000000" w:themeColor="text1"/>
          <w:sz w:val="16"/>
          <w:szCs w:val="16"/>
        </w:rPr>
        <w:softHyphen/>
        <w:t>вания сложились лопасти ротора и произошла катастро</w:t>
      </w:r>
      <w:r w:rsidRPr="0044524F">
        <w:rPr>
          <w:rFonts w:ascii="Times New Roman" w:hAnsi="Times New Roman"/>
          <w:color w:val="000000" w:themeColor="text1"/>
          <w:sz w:val="16"/>
          <w:szCs w:val="16"/>
        </w:rPr>
        <w:softHyphen/>
        <w:t>фа.</w:t>
      </w:r>
    </w:p>
    <w:p w14:paraId="668294AC"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и характеристики А-6</w:t>
      </w:r>
    </w:p>
    <w:p w14:paraId="3A8E6EBD"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fldChar w:fldCharType="begin"/>
      </w:r>
      <w:r w:rsidRPr="0044524F">
        <w:rPr>
          <w:rFonts w:ascii="Times New Roman" w:hAnsi="Times New Roman"/>
          <w:color w:val="000000" w:themeColor="text1"/>
          <w:sz w:val="16"/>
          <w:szCs w:val="16"/>
        </w:rPr>
        <w:instrText xml:space="preserve"> TOC \o "1-5" \h \z </w:instrText>
      </w:r>
      <w:r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rPr>
        <w:t>Диаметр ротора (м)</w:t>
      </w:r>
      <w:r w:rsidRPr="0044524F">
        <w:rPr>
          <w:rFonts w:ascii="Times New Roman" w:hAnsi="Times New Roman"/>
          <w:color w:val="000000" w:themeColor="text1"/>
          <w:sz w:val="16"/>
          <w:szCs w:val="16"/>
        </w:rPr>
        <w:tab/>
        <w:t>11,0</w:t>
      </w:r>
    </w:p>
    <w:p w14:paraId="053B23DA"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без ротора (м)</w:t>
      </w:r>
      <w:r w:rsidRPr="0044524F">
        <w:rPr>
          <w:rFonts w:ascii="Times New Roman" w:hAnsi="Times New Roman"/>
          <w:color w:val="000000" w:themeColor="text1"/>
          <w:sz w:val="16"/>
          <w:szCs w:val="16"/>
        </w:rPr>
        <w:tab/>
        <w:t>6,17</w:t>
      </w:r>
    </w:p>
    <w:p w14:paraId="48DB17D8"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 линии полета</w:t>
      </w:r>
      <w:r w:rsidRPr="0044524F">
        <w:rPr>
          <w:rFonts w:ascii="Times New Roman" w:hAnsi="Times New Roman"/>
          <w:color w:val="000000" w:themeColor="text1"/>
          <w:sz w:val="16"/>
          <w:szCs w:val="16"/>
        </w:rPr>
        <w:tab/>
        <w:t>(м)</w:t>
      </w:r>
      <w:r w:rsidRPr="0044524F">
        <w:rPr>
          <w:rFonts w:ascii="Times New Roman" w:hAnsi="Times New Roman"/>
          <w:color w:val="000000" w:themeColor="text1"/>
          <w:sz w:val="16"/>
          <w:szCs w:val="16"/>
        </w:rPr>
        <w:tab/>
        <w:t>3,0</w:t>
      </w:r>
    </w:p>
    <w:p w14:paraId="182E9569"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(м)</w:t>
      </w:r>
      <w:r w:rsidRPr="0044524F">
        <w:rPr>
          <w:rFonts w:ascii="Times New Roman" w:hAnsi="Times New Roman"/>
          <w:color w:val="000000" w:themeColor="text1"/>
          <w:sz w:val="16"/>
          <w:szCs w:val="16"/>
        </w:rPr>
        <w:tab/>
        <w:t>6,6</w:t>
      </w:r>
    </w:p>
    <w:p w14:paraId="4E268BC0"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(кг)</w:t>
      </w:r>
      <w:r w:rsidRPr="0044524F">
        <w:rPr>
          <w:rFonts w:ascii="Times New Roman" w:hAnsi="Times New Roman"/>
          <w:color w:val="000000" w:themeColor="text1"/>
          <w:sz w:val="16"/>
          <w:szCs w:val="16"/>
        </w:rPr>
        <w:tab/>
        <w:t>562</w:t>
      </w:r>
    </w:p>
    <w:p w14:paraId="37CC1DD7"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(кг)</w:t>
      </w:r>
      <w:r w:rsidRPr="0044524F">
        <w:rPr>
          <w:rFonts w:ascii="Times New Roman" w:hAnsi="Times New Roman"/>
          <w:color w:val="000000" w:themeColor="text1"/>
          <w:sz w:val="16"/>
          <w:szCs w:val="16"/>
        </w:rPr>
        <w:tab/>
        <w:t>815</w:t>
      </w:r>
    </w:p>
    <w:p w14:paraId="2CA199D2"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w:t>
      </w:r>
      <w:r w:rsidRPr="0044524F">
        <w:rPr>
          <w:rFonts w:ascii="Times New Roman" w:hAnsi="Times New Roman"/>
          <w:color w:val="000000" w:themeColor="text1"/>
          <w:sz w:val="16"/>
          <w:szCs w:val="16"/>
        </w:rPr>
        <w:tab/>
        <w:t>у земли (км/ч)</w:t>
      </w:r>
      <w:r w:rsidRPr="0044524F">
        <w:rPr>
          <w:rFonts w:ascii="Times New Roman" w:hAnsi="Times New Roman"/>
          <w:color w:val="000000" w:themeColor="text1"/>
          <w:sz w:val="16"/>
          <w:szCs w:val="16"/>
        </w:rPr>
        <w:tab/>
        <w:t>135</w:t>
      </w:r>
    </w:p>
    <w:p w14:paraId="4E96E986"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минимальная</w:t>
      </w:r>
      <w:r w:rsidRPr="0044524F">
        <w:rPr>
          <w:rFonts w:ascii="Times New Roman" w:hAnsi="Times New Roman"/>
          <w:color w:val="000000" w:themeColor="text1"/>
          <w:sz w:val="16"/>
          <w:szCs w:val="16"/>
        </w:rPr>
        <w:tab/>
        <w:t>у земли (км/ч)</w:t>
      </w:r>
      <w:r w:rsidRPr="0044524F">
        <w:rPr>
          <w:rFonts w:ascii="Times New Roman" w:hAnsi="Times New Roman"/>
          <w:color w:val="000000" w:themeColor="text1"/>
          <w:sz w:val="16"/>
          <w:szCs w:val="16"/>
        </w:rPr>
        <w:tab/>
        <w:t>55</w:t>
      </w:r>
    </w:p>
    <w:p w14:paraId="0E89AA86"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(м)</w:t>
      </w:r>
      <w:r w:rsidRPr="0044524F">
        <w:rPr>
          <w:rFonts w:ascii="Times New Roman" w:hAnsi="Times New Roman"/>
          <w:color w:val="000000" w:themeColor="text1"/>
          <w:sz w:val="16"/>
          <w:szCs w:val="16"/>
        </w:rPr>
        <w:tab/>
        <w:t>1600</w:t>
      </w:r>
    </w:p>
    <w:p w14:paraId="525F9F49"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(км)</w:t>
      </w:r>
      <w:r w:rsidRPr="0044524F">
        <w:rPr>
          <w:rFonts w:ascii="Times New Roman" w:hAnsi="Times New Roman"/>
          <w:color w:val="000000" w:themeColor="text1"/>
          <w:sz w:val="16"/>
          <w:szCs w:val="16"/>
        </w:rPr>
        <w:tab/>
        <w:t>220</w:t>
      </w:r>
    </w:p>
    <w:p w14:paraId="396E8DBC"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разбега (м)</w:t>
      </w:r>
      <w:r w:rsidRPr="0044524F">
        <w:rPr>
          <w:rFonts w:ascii="Times New Roman" w:hAnsi="Times New Roman"/>
          <w:color w:val="000000" w:themeColor="text1"/>
          <w:sz w:val="16"/>
          <w:szCs w:val="16"/>
        </w:rPr>
        <w:tab/>
        <w:t>65</w:t>
      </w:r>
      <w:r w:rsidRPr="0044524F">
        <w:rPr>
          <w:rFonts w:ascii="Times New Roman" w:hAnsi="Times New Roman"/>
          <w:color w:val="000000" w:themeColor="text1"/>
          <w:sz w:val="16"/>
          <w:szCs w:val="16"/>
        </w:rPr>
        <w:fldChar w:fldCharType="end"/>
      </w:r>
      <w:r w:rsidRPr="0044524F">
        <w:rPr>
          <w:rFonts w:ascii="Times New Roman" w:hAnsi="Times New Roman"/>
          <w:color w:val="000000" w:themeColor="text1"/>
          <w:sz w:val="16"/>
          <w:szCs w:val="16"/>
        </w:rPr>
        <w:t xml:space="preserve"> (20361).</w:t>
      </w:r>
    </w:p>
    <w:p w14:paraId="61403372" w14:textId="77777777" w:rsidR="00BA124B" w:rsidRPr="0044524F" w:rsidRDefault="00BA124B" w:rsidP="009654CF">
      <w:pPr>
        <w:shd w:val="clear" w:color="auto" w:fill="FFFFFF"/>
        <w:spacing w:after="0" w:line="240" w:lineRule="auto"/>
        <w:jc w:val="both"/>
        <w:rPr>
          <w:rFonts w:ascii="Times New Roman" w:hAnsi="Times New Roman"/>
          <w:color w:val="000000" w:themeColor="text1"/>
          <w:sz w:val="16"/>
          <w:szCs w:val="16"/>
        </w:rPr>
      </w:pPr>
    </w:p>
    <w:p w14:paraId="09567EC5"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декабря 1933.</w:t>
      </w:r>
    </w:p>
    <w:p w14:paraId="564A093B"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Опросом членов Политбюро от 22.XII.1933 г.</w:t>
      </w:r>
    </w:p>
    <w:p w14:paraId="71510914"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 25/6: О конструкторском бюро Вирджили</w:t>
      </w:r>
    </w:p>
    <w:p w14:paraId="4CD62CA4"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Утвердить следующий проект постановления Совета Народных Комиссаров Союза ССР:</w:t>
      </w:r>
    </w:p>
    <w:p w14:paraId="4F7B6A77"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Утвердить предложение НКТП о ликвидации организованного постановлением СНК СССР 10.VIII.1933 г. в системе ГУАП´а НКТП Бюро Вирджили, как самостоятельной производственно-конструкторской организации.</w:t>
      </w:r>
    </w:p>
    <w:p w14:paraId="4CB03DBB"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Все производственные и подсобные предприятия, а также строительные объекты (в Москве и на Урале), входившие в Бюро Вирджили, передать в непосредственное ведение НКТП (ГУАП).</w:t>
      </w:r>
    </w:p>
    <w:p w14:paraId="203D1B5B" w14:textId="77777777" w:rsidR="00BA124B" w:rsidRPr="0044524F" w:rsidRDefault="00BA12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Обязать НКТП использовать всех специалистов, работающих в Бюро Вирджили, в системе Глававиапрома (21411).</w:t>
      </w:r>
    </w:p>
    <w:p w14:paraId="634F4587" w14:textId="77777777" w:rsidR="00BA124B" w:rsidRPr="0044524F" w:rsidRDefault="00BA124B" w:rsidP="009654CF">
      <w:pPr>
        <w:spacing w:after="0" w:line="240" w:lineRule="auto"/>
        <w:jc w:val="both"/>
        <w:rPr>
          <w:rFonts w:ascii="Times New Roman" w:hAnsi="Times New Roman"/>
          <w:color w:val="000000" w:themeColor="text1"/>
          <w:sz w:val="16"/>
          <w:szCs w:val="16"/>
        </w:rPr>
      </w:pPr>
    </w:p>
    <w:p w14:paraId="75C781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декабря 1933 Гроховский писал письмо К.Е.В.:</w:t>
      </w:r>
    </w:p>
    <w:p w14:paraId="01B94D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течение последних трех лет мною был предложен ряд изобретений. Из них проработаны и приняты госкомиссией на снабжение 31 объект, которые дали возможность разрешить ряд новых проблем, как-то:</w:t>
      </w:r>
    </w:p>
    <w:p w14:paraId="3CD0CE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Применение хлопчатобумажных парашютов.</w:t>
      </w:r>
    </w:p>
    <w:p w14:paraId="31803A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Сбрасывание тяжелых грузов (с помощью больших грузовых парашютов, достигающих 40 м в диаметре).</w:t>
      </w:r>
    </w:p>
    <w:p w14:paraId="1F56FC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Новый метод сбрасывания парашютов (методом срыва, что дало снижение аэродинамических ударов).</w:t>
      </w:r>
    </w:p>
    <w:p w14:paraId="672C05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Прокладка телефонной связи самолетами.</w:t>
      </w:r>
    </w:p>
    <w:p w14:paraId="1ECF99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Беспарашютное сбрасывание.</w:t>
      </w:r>
    </w:p>
    <w:p w14:paraId="1D5273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Буксировка тяжелых планеров (до 3-х тонн разведывательными самолетами).</w:t>
      </w:r>
    </w:p>
    <w:p w14:paraId="7F35DA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Разрешение этих 6-ти проблем дадут возможность подвести базу для организации массовых воздушных десантов. Кроме принятых объектов на сегодня изготовлены до 20 мощных объектов, которые не проходят гос. испытания. Предлагаемый план на 1934 год даст авиации большие возможности разрешением целого ряда проблем:</w:t>
      </w:r>
    </w:p>
    <w:p w14:paraId="5007BD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Мощные десантные поезда (до 400 человек).</w:t>
      </w:r>
    </w:p>
    <w:p w14:paraId="53FF2C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Спаренная планерная буксировка.</w:t>
      </w:r>
    </w:p>
    <w:p w14:paraId="7F4E9A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Увеличение грузоподъемности морских самолетов.</w:t>
      </w:r>
    </w:p>
    <w:p w14:paraId="05865C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Диверсионная работа собак.</w:t>
      </w:r>
    </w:p>
    <w:p w14:paraId="0E92AB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Новые парашюты.</w:t>
      </w:r>
    </w:p>
    <w:p w14:paraId="2BCC81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Уменьшение брони на танках на 75%.</w:t>
      </w:r>
    </w:p>
    <w:p w14:paraId="5F86D7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Использование циклонов для военных целей.</w:t>
      </w:r>
    </w:p>
    <w:p w14:paraId="530266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эти годы приходилось работать с огромным напряжением, затрачивая большое количество энергии, сил и здоровья, в результате чего была создана хорошо подготовленная экспериментальная база.</w:t>
      </w:r>
    </w:p>
    <w:p w14:paraId="1E31A5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прибытием военкома Фомина, который постарался открыть против меня травлю, им была организована группа, которая постаралась создать ряд фальшивых документов, обвиняющих меня в том, что я не изобретатель, а жулик, укравший все предлагаемые мною изобретения, вор, который растратил около 200 тыс. Рублей, что я занимаюсь самоснабжением, организовал себе дачи и квартиры, производил зажим самокритики и т.д.</w:t>
      </w:r>
    </w:p>
    <w:p w14:paraId="719878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Решением ЦКК все эти обвинения от меня отпали, так как оказались неподтвержденными.</w:t>
      </w:r>
    </w:p>
    <w:p w14:paraId="0161B7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CDC28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Созданная комиссия РВС пришла к заключению, что мне необходимо создать нормальные условия для работы. ЦКК вынесла такое же решение, но несмотря на это, никто не собирается улучшать базу, которая разваливается с каждым днем.</w:t>
      </w:r>
    </w:p>
    <w:p w14:paraId="450D43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Предлагаемый мною план на 1934 год может быть проработан конечно не в условиях в которых находится в настоящее время парашютно-десантный отдел, который не только не в состоянии проработать ни одной конструкции, но даже не может провести испытания готовых уже объектов.</w:t>
      </w:r>
    </w:p>
    <w:p w14:paraId="28EB2D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вашего распоряжения о создании мне хороших условий для выполнения предлагаемого плана на 1934 год.</w:t>
      </w:r>
    </w:p>
    <w:p w14:paraId="613CF5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этого необходимо предоставить завод, где могло бы разместиться все учреждение (такому требованию отвечает завод N 47 в Ленинграде).</w:t>
      </w:r>
    </w:p>
    <w:p w14:paraId="7AA3B2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Подчинить меня нач. ВВС Алкснису или же Управлению военных изобретений, где находится много изобретательских баз по линии ВВС (3785,2-4).</w:t>
      </w:r>
    </w:p>
    <w:p w14:paraId="74FEFC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приложении также представил План научно-исследовательской изобретательской работы Гроховского Парашютно-десантного отдела НИИ ВВС на 1934 год</w:t>
      </w:r>
    </w:p>
    <w:p w14:paraId="752A46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Воздушный десантный поезд Г-51</w:t>
      </w:r>
    </w:p>
    <w:p w14:paraId="71E5EB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Сверхмощный самолет тягач Г-52</w:t>
      </w:r>
    </w:p>
    <w:p w14:paraId="1C8A93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Десантный самолет истребитель Г-53</w:t>
      </w:r>
    </w:p>
    <w:p w14:paraId="0B5905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Десантный авиамотоцикл Г-54</w:t>
      </w:r>
    </w:p>
    <w:p w14:paraId="713D46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Парашютная гидромина Г-55</w:t>
      </w:r>
    </w:p>
    <w:p w14:paraId="56D5C4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Парашютная клеть Г-56</w:t>
      </w:r>
    </w:p>
    <w:p w14:paraId="61DA0E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Парашютный конус Г-57</w:t>
      </w:r>
    </w:p>
    <w:p w14:paraId="057A90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Марлевые грузовые парашюты Г-58</w:t>
      </w:r>
    </w:p>
    <w:p w14:paraId="4A12F7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Беспарашютные универсальные сбрасыватели Г-59</w:t>
      </w:r>
    </w:p>
    <w:p w14:paraId="54BB09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Беспарашютный гидросбрасыватель Г-60</w:t>
      </w:r>
    </w:p>
    <w:p w14:paraId="267068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Комбинированный химический прибор Г-61</w:t>
      </w:r>
    </w:p>
    <w:p w14:paraId="416D96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Десантный скоростной легкий танк Г-61</w:t>
      </w:r>
    </w:p>
    <w:p w14:paraId="242860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Агитатор Г-63 (3785).</w:t>
      </w:r>
    </w:p>
    <w:p w14:paraId="3C1546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73F5E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декабря 1933 П.О.С. постановлением Президиума ЦИК в связи с 15 летием ЦАГИ был награжден ОКЗ (1102).</w:t>
      </w:r>
    </w:p>
    <w:p w14:paraId="750C69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82A7BE4"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0DFD6B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63DBC5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22 декабря 1933 г. в Главтрансмаше Наркомата судостроительной промышленности (НКСП) прошло совещание по производству спецсудов, на котором присутствовал директор завода «Красное Сормово» В. Сурков. На нем заводу поставили задачу — в июне 1934 г. сдать флоту одну подводную лодку и еще три — в третьем квартале того же года. Кроме того, предприятие должно было строить два сухогруза для последующего переоборудования их в речные авианосцы, а также плавучий док и понтоны к нему. Сурков в своем докладе отметил большие сложности, с которыми столкнулся завод: отсутствие опытных кадров, нехватка чертежей (вместо 1267 необходимых было прислано только 819), задержки поставок металла (вместо необходимых 650 тонн было получено 342 тонны). [163 — ГУ ЦАНО, Ф. 15, Оп. 3, Д. 135, Л. 43.] Однако все это не произвело никакого впечатления, поскольку для сталинской промышленности являлось обычным делом. На совещании было принято окончательное решение придать заводу «Красное Сормово» судостроительный профиль и постепенно сворачивать не соответствующие ему производства. Освоение спецсудостроения потребовало срочной реконструкции завода «Красное Сормово». В первую очередь ей подверглись судостроительный и металлургический комплексы. В 1934 г. началась постройка нового плаза, корпусно-сборочного и сборочно-установочного цехов, которые оснащались только новым оборудованием. Позднее развернулось строительство литейного и кузнечно-прессового цехов. Однако эти работы осложнялись недостаточным финансированием и отсутствием до 1936 г. утвержденного плана реконструкции. То есть опять же сначала стройте, а потом получите план, как строить! В результате к концу 1937 г. программа капитального строительства на предприятии была выполнена всего на 30 %. Строительство подводных лодок на заводе № 112 с самого начала сталкивалось с большими трудностями. В первую очередь это было связано с общей неосвоенностью данного производства, отсутствием четкого взаимодействия между различными структурами, ответственными за выполнение государственного заказа, несвоевременной поставкой чертежей и комплектующих и т. п. Были и вполне объективные причины, такие как нехватка рабочих, низкий уровень квалификации и общей культуры труда, нехватка производственных площадей. В то же время графики сдачи судов, спускаемые заводу по линии наркомата, составлялись без всякого учета производственных возможностей, наличия рабочей силы и условий снабжения предприятия. (11741).</w:t>
      </w:r>
    </w:p>
    <w:p w14:paraId="396F51D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A35EDF" w14:textId="6B32B644" w:rsidR="002E2083" w:rsidRPr="0044524F" w:rsidRDefault="002E2083" w:rsidP="009654CF">
      <w:pPr>
        <w:autoSpaceDE w:val="0"/>
        <w:autoSpaceDN w:val="0"/>
        <w:adjustRightInd w:val="0"/>
        <w:spacing w:after="0" w:line="240" w:lineRule="auto"/>
        <w:jc w:val="both"/>
        <w:rPr>
          <w:rFonts w:ascii="Times New Roman" w:hAnsi="Times New Roman"/>
          <w:i/>
          <w:color w:val="000000" w:themeColor="text1"/>
          <w:sz w:val="16"/>
          <w:szCs w:val="16"/>
        </w:rPr>
      </w:pPr>
      <w:r w:rsidRPr="0044524F">
        <w:rPr>
          <w:rFonts w:ascii="Times New Roman" w:hAnsi="Times New Roman"/>
          <w:i/>
          <w:color w:val="000000" w:themeColor="text1"/>
          <w:sz w:val="16"/>
          <w:szCs w:val="16"/>
        </w:rPr>
        <w:t>Жизнь и внутрен</w:t>
      </w:r>
      <w:r w:rsidR="006401B2" w:rsidRPr="0044524F">
        <w:rPr>
          <w:rFonts w:ascii="Times New Roman" w:hAnsi="Times New Roman"/>
          <w:i/>
          <w:color w:val="000000" w:themeColor="text1"/>
          <w:sz w:val="16"/>
          <w:szCs w:val="16"/>
        </w:rPr>
        <w:t>н</w:t>
      </w:r>
      <w:r w:rsidRPr="0044524F">
        <w:rPr>
          <w:rFonts w:ascii="Times New Roman" w:hAnsi="Times New Roman"/>
          <w:i/>
          <w:color w:val="000000" w:themeColor="text1"/>
          <w:sz w:val="16"/>
          <w:szCs w:val="16"/>
        </w:rPr>
        <w:t>яя политика:</w:t>
      </w:r>
    </w:p>
    <w:p w14:paraId="5C7B92F0"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BC0D9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22 и 28 декабря 1933. Из протокола заседания Политбюро N 152, особая папка, 1933 г.</w:t>
      </w:r>
    </w:p>
    <w:p w14:paraId="00716F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О борьбе с преступными и деклассированными элементами по г. Москве </w:t>
      </w:r>
    </w:p>
    <w:p w14:paraId="1AC712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 Ко всем участникам вооруженных грабежей применять высшую меру наказания. </w:t>
      </w:r>
    </w:p>
    <w:p w14:paraId="620EF7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 Лиц, дважды и более судившихся за последний год за кражи, а также подвергавшихся от двух и более раз в течение истекшего года приводам за хулиганство, высылать из Москвы и области, по указанию Коллегии ОГПУ, в отдаленные места. </w:t>
      </w:r>
    </w:p>
    <w:p w14:paraId="733986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По отношению к нищенствующему и деклассированному элементу применять высылку по месту жительства, в спецпоселки ОГПУ и концлагеря (11652).</w:t>
      </w:r>
    </w:p>
    <w:p w14:paraId="00D6EC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4B47997" w14:textId="77777777" w:rsidR="006401B2" w:rsidRPr="0044524F" w:rsidRDefault="006401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22 - 24 декабря 1933 г. на Ученом совете Арктического института, проходившем, был заслушан доклад начальника и руководителя экспедиции М. М. Ермолаева "Работы Новоземельской гляциологической станции в Русской Гавани". В нем упомянуты все маршруты, проделанные на аэросанях АНТ-IV. Главные из них - пересечение острова по линии Русская Гавань - залив Благополучия, совершенное дважды, и маршрут вдоль оси Ледникового щита. АНТ-IV посчастливилось стать и "кинозвездой". Они были использованы в съемках кинофильма "Семеро смелых" (21489).</w:t>
      </w:r>
    </w:p>
    <w:p w14:paraId="1AA947C3" w14:textId="77777777" w:rsidR="006401B2" w:rsidRPr="0044524F" w:rsidRDefault="006401B2" w:rsidP="009654CF">
      <w:pPr>
        <w:spacing w:after="0" w:line="240" w:lineRule="auto"/>
        <w:jc w:val="both"/>
        <w:rPr>
          <w:rFonts w:ascii="Times New Roman" w:hAnsi="Times New Roman"/>
          <w:color w:val="000000" w:themeColor="text1"/>
          <w:sz w:val="16"/>
          <w:szCs w:val="16"/>
        </w:rPr>
      </w:pPr>
    </w:p>
    <w:p w14:paraId="502F07C2"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7498B06"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B67398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декабря 1933 немецкий провокатор М. ван дер Люббе, поджегший рейхстаг, приговорен к смертной казни (4962).</w:t>
      </w:r>
    </w:p>
    <w:p w14:paraId="62179DE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F1286C8"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4C97FE5"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2534519" w14:textId="77777777" w:rsidR="006401B2" w:rsidRPr="0044524F" w:rsidRDefault="006401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декабря 1933 г., главному инженеру-механику ВВС РККА тов. Аузану (копия начальнику КОСОС ЦАГИ т. Туполеву) сообщили:</w:t>
      </w:r>
    </w:p>
    <w:p w14:paraId="5F8EB7C8" w14:textId="77777777" w:rsidR="006401B2" w:rsidRPr="0044524F" w:rsidRDefault="006401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«Доношу, что по технико-эксплоатационным требованиям к военному вариан</w:t>
      </w:r>
      <w:r w:rsidRPr="0044524F">
        <w:rPr>
          <w:rFonts w:ascii="Times New Roman" w:hAnsi="Times New Roman"/>
          <w:color w:val="000000" w:themeColor="text1"/>
          <w:sz w:val="16"/>
          <w:szCs w:val="16"/>
        </w:rPr>
        <w:softHyphen/>
        <w:t>ту самолета «Максим Горький» имеются нижеследующие возражения ЦАГИ (сооб</w:t>
      </w:r>
      <w:r w:rsidRPr="0044524F">
        <w:rPr>
          <w:rFonts w:ascii="Times New Roman" w:hAnsi="Times New Roman"/>
          <w:color w:val="000000" w:themeColor="text1"/>
          <w:sz w:val="16"/>
          <w:szCs w:val="16"/>
        </w:rPr>
        <w:softHyphen/>
        <w:t>щено начальником 1-й бригады КОСОС т. Петляковым по поручению начальника КОСОС ЦАГИ т. Туполева)».</w:t>
      </w:r>
    </w:p>
    <w:p w14:paraId="012D5C7C" w14:textId="77777777" w:rsidR="006401B2" w:rsidRPr="0044524F" w:rsidRDefault="006401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возражений занимал три машинописные страницы. Вкратце ос</w:t>
      </w:r>
      <w:r w:rsidRPr="0044524F">
        <w:rPr>
          <w:rFonts w:ascii="Times New Roman" w:hAnsi="Times New Roman"/>
          <w:color w:val="000000" w:themeColor="text1"/>
          <w:sz w:val="16"/>
          <w:szCs w:val="16"/>
        </w:rPr>
        <w:softHyphen/>
        <w:t>новные возражения выглядели так:</w:t>
      </w:r>
    </w:p>
    <w:p w14:paraId="4441B8F2" w14:textId="77777777" w:rsidR="006401B2" w:rsidRPr="0044524F" w:rsidRDefault="006401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 и посадка на тяжелом самоле</w:t>
      </w:r>
      <w:r w:rsidRPr="0044524F">
        <w:rPr>
          <w:rFonts w:ascii="Times New Roman" w:hAnsi="Times New Roman"/>
          <w:color w:val="000000" w:themeColor="text1"/>
          <w:sz w:val="16"/>
          <w:szCs w:val="16"/>
        </w:rPr>
        <w:softHyphen/>
        <w:t>те должны производиться обязательно с работающим стабилизатором и перемеще</w:t>
      </w:r>
      <w:r w:rsidRPr="0044524F">
        <w:rPr>
          <w:rFonts w:ascii="Times New Roman" w:hAnsi="Times New Roman"/>
          <w:color w:val="000000" w:themeColor="text1"/>
          <w:sz w:val="16"/>
          <w:szCs w:val="16"/>
        </w:rPr>
        <w:softHyphen/>
        <w:t>нием в самолете экипажа.</w:t>
      </w:r>
    </w:p>
    <w:p w14:paraId="2860E2B9" w14:textId="77777777" w:rsidR="006401B2" w:rsidRPr="0044524F" w:rsidRDefault="006401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Тяжелый самолет, идущий на посадку, обязан садиться, т.е. летчик, приняв реше</w:t>
      </w:r>
      <w:r w:rsidRPr="0044524F">
        <w:rPr>
          <w:rFonts w:ascii="Times New Roman" w:hAnsi="Times New Roman"/>
          <w:color w:val="000000" w:themeColor="text1"/>
          <w:sz w:val="16"/>
          <w:szCs w:val="16"/>
        </w:rPr>
        <w:softHyphen/>
        <w:t>ние идти на посадку, обязан учесть все. чтобы посадку сделать наверняка.</w:t>
      </w:r>
    </w:p>
    <w:p w14:paraId="27E6AB1A" w14:textId="77777777" w:rsidR="006401B2" w:rsidRPr="0044524F" w:rsidRDefault="006401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П—1 Гарантируется 60 мин. Возмож</w:t>
      </w:r>
      <w:r w:rsidRPr="0044524F">
        <w:rPr>
          <w:rFonts w:ascii="Times New Roman" w:hAnsi="Times New Roman"/>
          <w:color w:val="000000" w:themeColor="text1"/>
          <w:sz w:val="16"/>
          <w:szCs w:val="16"/>
        </w:rPr>
        <w:softHyphen/>
        <w:t>ность сокращения срока до 30минут будет выявлена при испытаниях и эксплантации.</w:t>
      </w:r>
    </w:p>
    <w:p w14:paraId="573EBA65" w14:textId="77777777" w:rsidR="006401B2" w:rsidRPr="0044524F" w:rsidRDefault="006401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П—6 Необходимость заливки топлива в воздухе самолета «МГ», обладающего ем</w:t>
      </w:r>
      <w:r w:rsidRPr="0044524F">
        <w:rPr>
          <w:rFonts w:ascii="Times New Roman" w:hAnsi="Times New Roman"/>
          <w:color w:val="000000" w:themeColor="text1"/>
          <w:sz w:val="16"/>
          <w:szCs w:val="16"/>
        </w:rPr>
        <w:softHyphen/>
        <w:t>костью бензобаков в 20 000 л, является спорной (технически эта задача была ре</w:t>
      </w:r>
      <w:r w:rsidRPr="0044524F">
        <w:rPr>
          <w:rFonts w:ascii="Times New Roman" w:hAnsi="Times New Roman"/>
          <w:color w:val="000000" w:themeColor="text1"/>
          <w:sz w:val="16"/>
          <w:szCs w:val="16"/>
        </w:rPr>
        <w:softHyphen/>
        <w:t>шена в СССР после Великой Отечествен</w:t>
      </w:r>
      <w:r w:rsidRPr="0044524F">
        <w:rPr>
          <w:rFonts w:ascii="Times New Roman" w:hAnsi="Times New Roman"/>
          <w:color w:val="000000" w:themeColor="text1"/>
          <w:sz w:val="16"/>
          <w:szCs w:val="16"/>
        </w:rPr>
        <w:softHyphen/>
        <w:t>ной войны</w:t>
      </w:r>
    </w:p>
    <w:p w14:paraId="1C818624" w14:textId="77777777" w:rsidR="006401B2" w:rsidRPr="0044524F" w:rsidRDefault="006401B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П—8 Требования невыполнимы за не</w:t>
      </w:r>
      <w:r w:rsidRPr="0044524F">
        <w:rPr>
          <w:rFonts w:ascii="Times New Roman" w:hAnsi="Times New Roman"/>
          <w:color w:val="000000" w:themeColor="text1"/>
          <w:sz w:val="16"/>
          <w:szCs w:val="16"/>
        </w:rPr>
        <w:softHyphen/>
        <w:t>имением методов решения этого вопроса (задача была решена заводом № 156 во время войны)» (21240).</w:t>
      </w:r>
    </w:p>
    <w:p w14:paraId="3003D790" w14:textId="77777777" w:rsidR="006401B2" w:rsidRPr="0044524F" w:rsidRDefault="006401B2" w:rsidP="009654CF">
      <w:pPr>
        <w:shd w:val="clear" w:color="auto" w:fill="FFFFFF"/>
        <w:spacing w:after="0" w:line="240" w:lineRule="auto"/>
        <w:jc w:val="both"/>
        <w:rPr>
          <w:rFonts w:ascii="Times New Roman" w:hAnsi="Times New Roman"/>
          <w:color w:val="000000" w:themeColor="text1"/>
          <w:sz w:val="16"/>
          <w:szCs w:val="16"/>
          <w:lang w:eastAsia="ru-RU" w:bidi="ru-RU"/>
        </w:rPr>
      </w:pPr>
    </w:p>
    <w:p w14:paraId="013C5A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декабря 1933 вышло постановление СНК N 2739/630сс "О расчетах с иноспециалистом Ф.Р.Вирджили" (2225,4).</w:t>
      </w:r>
    </w:p>
    <w:p w14:paraId="0375E4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CCA74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декабря 1933 отмечалось пятнадцатилетие ЦАГИ в Большом театре в присутствии членов Политбюро, наркомов, ученых. Выступал Серго, назвал А.Н.Т. и С.А.Чаплыгина - вдохновителями и руководителями ЦАГИ. Выступал и К.Е.Ворошилов, также отметив роль А.Н.Т. - зам. начальника и главный конструктор и членкора А.И.Некрасова (44,93).</w:t>
      </w:r>
    </w:p>
    <w:p w14:paraId="5DE29F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Статья к 15 летию ЦАГИ в ТВФ в N10 за 1933:</w:t>
      </w:r>
    </w:p>
    <w:p w14:paraId="5A1E25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все гладко проходило внутри самого ЦАГИ, не всегда ЦАГИ представлял собой единый монолитный организм, скованный единой волей, руководимой интересами пролетариата, интересами революционной борьбы рабочего класса за социалистическое строительство. Все этапы борьбы рабочего класса внутри страны нашли отражение и в ЦАГИ. Подготовка пролетариатом своей интеллигенции, своих технических кадров не прошла без борьбы внутри ЦАГИ. История ЦАГИ имеет период, когда коммунисты-инженеры должны были доказывать свое право на научно-исследовательскую и конструкторскую работу.</w:t>
      </w:r>
    </w:p>
    <w:p w14:paraId="5191C0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Интересно, сажали ли кого-нибудь по линии Промпартии</w:t>
      </w:r>
    </w:p>
    <w:p w14:paraId="5FA4D4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бурном росте института имело место проникновение в институт классово-чуждых элементов, особенно в тот период, когда пролетариат не мог дать специалистов своего класса.</w:t>
      </w:r>
    </w:p>
    <w:p w14:paraId="517E7C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Точно сажали</w:t>
      </w:r>
    </w:p>
    <w:p w14:paraId="7C8114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стороны отдельных руководителей ЦАГИ, специалистов старой школы, был период недопонимания законов развития советской страны и диктатуры пролетариата. Эти люди часто бессознательно, не понимая этого, тормозили рост ЦАГИ, выступая против перестройки системы руководства институтом, пытаясь сохранить в своих руках коллегиальное управление взамен проведения в жизнь четкого и ясного принципа единоначалия или сопротивляясь выдвижению на руководящие посты и не допуская к техническом руководству молодежь из коммунистов и рабочих.</w:t>
      </w:r>
    </w:p>
    <w:p w14:paraId="7EEEA4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первые годы развития института в нем не было партийной организации. В дальнейшем нарождавшаяся малочисленная партийная прослойка из рабочих и немногих специалистов-коммунистов не сразу смогла правильно понять задачи парторганизации в ЦАГИ, вследствие чего и не могла занять ведущей роли. Лишь с приходом новой значительной группы специалистов, окончивших ВВА и МВТУ, в порядок дня ЦАГИ был поставлен вопрос о роли парторганизации ЦАГИ, о роли значения коммунистов института. С этого времени начинается непрерывный рост парторганизации и борьба за партийное влияние в институте, за рост молодых кадров и техническое руководство коммунистов."</w:t>
      </w:r>
    </w:p>
    <w:p w14:paraId="242909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Коллегиальность обсуждения была сохранена на семинарах С.А.Чаплыгина - с 1932 по 1940 (80,38).</w:t>
      </w:r>
    </w:p>
    <w:p w14:paraId="555205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6A406CA" w14:textId="77777777" w:rsidR="009A187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DA55CF6" w14:textId="77777777" w:rsidR="009A1872" w:rsidRPr="0044524F" w:rsidRDefault="009A187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BEBFA38" w14:textId="77777777" w:rsidR="009A1872" w:rsidRPr="0044524F" w:rsidRDefault="009A1872" w:rsidP="009654CF">
      <w:pPr>
        <w:pStyle w:val="rtejustify"/>
        <w:spacing w:before="0" w:after="0"/>
        <w:rPr>
          <w:color w:val="000000" w:themeColor="text1"/>
          <w:sz w:val="16"/>
          <w:szCs w:val="16"/>
        </w:rPr>
      </w:pPr>
      <w:r w:rsidRPr="0044524F">
        <w:rPr>
          <w:rStyle w:val="af0"/>
          <w:bCs/>
          <w:i w:val="0"/>
          <w:color w:val="000000" w:themeColor="text1"/>
          <w:sz w:val="16"/>
          <w:szCs w:val="16"/>
        </w:rPr>
        <w:t>23 декабря 1933 вышел приказ НКТП № 235с.</w:t>
      </w:r>
      <w:r w:rsidRPr="0044524F">
        <w:rPr>
          <w:color w:val="000000" w:themeColor="text1"/>
          <w:sz w:val="16"/>
          <w:szCs w:val="16"/>
        </w:rPr>
        <w:t xml:space="preserve"> О недостатках в производстве машин Т</w:t>
      </w:r>
      <w:r w:rsidRPr="0044524F">
        <w:rPr>
          <w:color w:val="000000" w:themeColor="text1"/>
          <w:sz w:val="16"/>
          <w:szCs w:val="16"/>
        </w:rPr>
        <w:noBreakHyphen/>
        <w:t>28 на заводе «Красный путиловец» и мерах по обеспечению выпуска в 1934 г. качественной продукции. (РГАЭ. Ф. 7297. Оп. 38. Д. 38. Л. 233</w:t>
      </w:r>
      <w:r w:rsidRPr="0044524F">
        <w:rPr>
          <w:color w:val="000000" w:themeColor="text1"/>
          <w:sz w:val="16"/>
          <w:szCs w:val="16"/>
        </w:rPr>
        <w:noBreakHyphen/>
        <w:t>232) (15246).</w:t>
      </w:r>
    </w:p>
    <w:p w14:paraId="56EB20AA" w14:textId="77777777" w:rsidR="009A1872" w:rsidRPr="0044524F" w:rsidRDefault="009A1872" w:rsidP="009654CF">
      <w:pPr>
        <w:pStyle w:val="rtejustify"/>
        <w:spacing w:before="0" w:after="0"/>
        <w:rPr>
          <w:color w:val="000000" w:themeColor="text1"/>
          <w:sz w:val="16"/>
          <w:szCs w:val="16"/>
        </w:rPr>
      </w:pPr>
    </w:p>
    <w:p w14:paraId="1ABF977D" w14:textId="77777777" w:rsidR="00AB0A63" w:rsidRPr="0044524F" w:rsidRDefault="00AB0A63" w:rsidP="009654CF">
      <w:pPr>
        <w:autoSpaceDE w:val="0"/>
        <w:autoSpaceDN w:val="0"/>
        <w:adjustRightInd w:val="0"/>
        <w:spacing w:after="0" w:line="240" w:lineRule="auto"/>
        <w:jc w:val="both"/>
        <w:rPr>
          <w:rFonts w:ascii="Times New Roman" w:hAnsi="Times New Roman"/>
          <w:i/>
          <w:color w:val="000000" w:themeColor="text1"/>
          <w:sz w:val="16"/>
          <w:szCs w:val="16"/>
        </w:rPr>
      </w:pPr>
      <w:r w:rsidRPr="0044524F">
        <w:rPr>
          <w:rFonts w:ascii="Times New Roman" w:hAnsi="Times New Roman"/>
          <w:i/>
          <w:color w:val="000000" w:themeColor="text1"/>
          <w:sz w:val="16"/>
          <w:szCs w:val="16"/>
        </w:rPr>
        <w:t>Жизнь и внутренняя политика:</w:t>
      </w:r>
    </w:p>
    <w:p w14:paraId="43236682" w14:textId="77777777" w:rsidR="00AB0A63" w:rsidRPr="0044524F" w:rsidRDefault="00AB0A6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B9AA095" w14:textId="77777777" w:rsidR="00AB0A63" w:rsidRPr="0044524F" w:rsidRDefault="00AB0A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декабря 1933 – опросом членов ПБ</w:t>
      </w:r>
    </w:p>
    <w:p w14:paraId="660F3DA2" w14:textId="77777777" w:rsidR="00AB0A63" w:rsidRPr="0044524F" w:rsidRDefault="00AB0A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45/26. О борьбе с преступными и деклассированными элементами по г. Москве.</w:t>
      </w:r>
    </w:p>
    <w:p w14:paraId="71BC50F5" w14:textId="77777777" w:rsidR="00AB0A63" w:rsidRPr="0044524F" w:rsidRDefault="00AB0A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1)Ко всем участникам вооруженных грабежей применять высшую меру наказания.</w:t>
      </w:r>
    </w:p>
    <w:p w14:paraId="607AB06D" w14:textId="77777777" w:rsidR="00AB0A63" w:rsidRPr="0044524F" w:rsidRDefault="00AB0A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2)Лиц, дважды и более судившихся за последний год за кражи, а также подвергавшихся от 2-х и более раз в течение истекшего года приводам за хулиганство высылать из Москвы и области, по указанию Коллегии ОГПУ, в отдаленные места.</w:t>
      </w:r>
    </w:p>
    <w:p w14:paraId="5DCF3550" w14:textId="77777777" w:rsidR="00AB0A63" w:rsidRPr="0044524F" w:rsidRDefault="00AB0A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3)По отношению к нищенствующему и деклассированно</w:t>
      </w:r>
      <w:r w:rsidRPr="0044524F">
        <w:rPr>
          <w:rFonts w:ascii="Times New Roman" w:hAnsi="Times New Roman"/>
          <w:color w:val="000000" w:themeColor="text1"/>
          <w:sz w:val="16"/>
          <w:szCs w:val="16"/>
        </w:rPr>
        <w:softHyphen/>
        <w:t>му элементу применять высылку по месту жительства, в спецпоселкм ОГПУ и концлагеря.</w:t>
      </w:r>
    </w:p>
    <w:p w14:paraId="713D3798" w14:textId="77777777" w:rsidR="00AB0A63" w:rsidRPr="0044524F" w:rsidRDefault="00AB0A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Выписки посланы: т.т.Ягодё, Рёденсу, Кагановичу(МК), Акулову.</w:t>
      </w:r>
    </w:p>
    <w:p w14:paraId="548AB3E2" w14:textId="77777777" w:rsidR="00AB0A63" w:rsidRPr="0044524F" w:rsidRDefault="00AB0A6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января 1934 был подписан протокол № 152 заседания ПБ (22929).</w:t>
      </w:r>
    </w:p>
    <w:p w14:paraId="6823D411" w14:textId="77777777" w:rsidR="00AB0A63" w:rsidRPr="0044524F" w:rsidRDefault="00AB0A63" w:rsidP="009654CF">
      <w:pPr>
        <w:spacing w:after="0" w:line="240" w:lineRule="auto"/>
        <w:jc w:val="both"/>
        <w:rPr>
          <w:rFonts w:ascii="Times New Roman" w:hAnsi="Times New Roman"/>
          <w:color w:val="000000" w:themeColor="text1"/>
          <w:sz w:val="16"/>
          <w:szCs w:val="16"/>
        </w:rPr>
      </w:pPr>
    </w:p>
    <w:p w14:paraId="1551105F"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1EDD49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C019B0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декабря 1933 немецкий суд оправдал Г. Димитрова и коммунистов, обвинявшихся в поджоге рейхстага (4962).</w:t>
      </w:r>
    </w:p>
    <w:p w14:paraId="64A4D37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50CB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декабря 1933 Папа Пий 6 проклял немецкую программу стерилизацию (2100).</w:t>
      </w:r>
    </w:p>
    <w:p w14:paraId="109431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0445D8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декабря 1933 папа римский осудил нацистскую программу стерилизации больных и неполноценных людей (4962).</w:t>
      </w:r>
    </w:p>
    <w:p w14:paraId="79C3C26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606C20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декабря 1933 у Парижа столкнулись два пассажирских поезда, 230 человек погибли (4962).</w:t>
      </w:r>
    </w:p>
    <w:p w14:paraId="2C4DD50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0F1D1D2"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80B3730"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150F4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декабря 1933 ЦАГИ и 125 завод в Иркутске подписали договор о серийном производстве И-14 (АНТ-31). Начали 55, но больше 18 сделать так и не смогли (1454,26).</w:t>
      </w:r>
    </w:p>
    <w:p w14:paraId="19BBA2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E5109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декабря 1933 завершили обшивку хваостовой части И-14, хотя еще 21 декабря 1933 обшили центральную часть фюзеляжа дублера И-14, поскольку опять помешало изменение чертежей в связи с отказом от гофра. Не удалось до нового года доделать сиденье пилота и установить салазки, по которым сдвигался фонарь. 28 декабря закончили изготовление капотов. В конце октября начали сборку моторамы, но 13 ноября работу прервали - в производство передали новые чертежи, согласно которым ее удлинили на 75 мм.</w:t>
      </w:r>
    </w:p>
    <w:p w14:paraId="15EFFE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Первая моторама на сборку не передавалась, вторую забраковали из-за появления микротрещин после термообработки, лишь третью контролеры признали кондиционной и допустили к передаче на сборку. 19 декабря ее установили на самолете и в тот же день на него установили мотор. После установки бензо- и маслосистем, а также проводки управления газом, 13 января во дворе ЗОК решили попробовать запустить силовую установку, но из-за сильного мороза двигатель застыл так, что не завелся несмотря на все ухищрения механиков.. Но нет худа без добра. Пытаясь прогреть мотор, механики обнаружили повреждение задней крышки картера мотора. Пришлось двигатель снимать, менять крышку, ставить мотор на стенд и испытывать его вновь. Проделали все это довольно быстро, во всяком случае, обнаруженный дефект не повлиял на сроки.</w:t>
      </w:r>
    </w:p>
    <w:p w14:paraId="32F12A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успели установить на самолет впритык - 26 января, монтаж управления переполз на январь 1934 г.</w:t>
      </w:r>
    </w:p>
    <w:p w14:paraId="68FE60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февраля 1934 г. И-14 дублер был покрашен, и на следующий день его увезли на аэродром. ОЭЛИД принял машину 13 февраля после нескольких полетов на лыжах.</w:t>
      </w:r>
    </w:p>
    <w:p w14:paraId="01BF3C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постройку дублера было затрачено 75,5 тыс. человеко-часов, расходы составили 353,7 тыс. руб. (12037).</w:t>
      </w:r>
    </w:p>
    <w:p w14:paraId="207A74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4E19F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декабря 1933 В.М.П. в связи с 15-летием ЦАГИ наградили ОЛ (1077,10).</w:t>
      </w:r>
    </w:p>
    <w:p w14:paraId="2EA617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Вероятно, и других</w:t>
      </w:r>
    </w:p>
    <w:p w14:paraId="34EF32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77382A5" w14:textId="77777777" w:rsidR="009A1872"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567E6F6" w14:textId="77777777" w:rsidR="009A1872" w:rsidRPr="0044524F" w:rsidRDefault="009A1872"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1417DF" w14:textId="77777777" w:rsidR="009A1872" w:rsidRPr="0044524F" w:rsidRDefault="009A1872"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24 декабря</w:t>
      </w:r>
      <w:r w:rsidRPr="0044524F">
        <w:rPr>
          <w:rFonts w:ascii="Times New Roman" w:hAnsi="Times New Roman"/>
          <w:color w:val="000000" w:themeColor="text1"/>
          <w:sz w:val="16"/>
          <w:szCs w:val="16"/>
        </w:rPr>
        <w:t xml:space="preserve"> в 1933 году введен в строй Новомосковский химический комбинат (АО «Азот», Новомосковск, Тульская область) (14870).</w:t>
      </w:r>
    </w:p>
    <w:p w14:paraId="63E4C22B" w14:textId="77777777" w:rsidR="009A1872" w:rsidRPr="0044524F" w:rsidRDefault="009A1872" w:rsidP="009654CF">
      <w:pPr>
        <w:spacing w:after="0" w:line="240" w:lineRule="auto"/>
        <w:jc w:val="both"/>
        <w:rPr>
          <w:rFonts w:ascii="Times New Roman" w:hAnsi="Times New Roman"/>
          <w:color w:val="000000" w:themeColor="text1"/>
          <w:sz w:val="16"/>
          <w:szCs w:val="16"/>
        </w:rPr>
      </w:pPr>
    </w:p>
    <w:p w14:paraId="59F9C4B6"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DFC52D5"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40291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ТБ-4 6М-34, который вышел на аэродром 3 марта 1933, после окончания заводских испытаний был передан на гос. испытания на аэродром (2287,131).</w:t>
      </w:r>
    </w:p>
    <w:p w14:paraId="619924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B28945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года вышел Приказ НИИ ВВС № 0256 от</w:t>
      </w:r>
    </w:p>
    <w:p w14:paraId="6ECFCE2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гос. испытании самолета И-15.</w:t>
      </w:r>
    </w:p>
    <w:p w14:paraId="3525AF3A"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Предъявленный заводом № 39 на гос. испытания самолет И-15 с мотором Райт-Циклон F-3 производства завода № 39 принять на гос. испытания.</w:t>
      </w:r>
    </w:p>
    <w:p w14:paraId="01C008EF"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начать 25 декабря и закончить 30 декабря 1933 года.</w:t>
      </w:r>
    </w:p>
    <w:p w14:paraId="3F236987"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Инженером ведущим испытания назначаю ст. инженера Часовикова (6775, 15-16).</w:t>
      </w:r>
    </w:p>
    <w:p w14:paraId="4C943C6E"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DDF37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на 39 заводе был построен 2-й экз. И-15 РЦ (2287,131).</w:t>
      </w:r>
    </w:p>
    <w:p w14:paraId="275C61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E2490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после завершения заводских испытаний И-15 РЦ 2-й экз. был сдан на гос. испытания и предварительный их этап закончился 31 декабря 1933 (2287,131).</w:t>
      </w:r>
    </w:p>
    <w:p w14:paraId="7BC806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3B780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1933-го на аэродром доставили второй опытный ЦКБ-3. Именно на нем продолжили полеты и до конца года успели провести государственные испытания. Установленный на лыжи самолет развивал максимальную скорость у земли 324 км/ч, на высоте 3000 м - 350 км/ч. Скороподъемность на высоту 5000 м составила 6,2 минуты, время виража - всего 8 секунд. Уже I января 1934 г. Начальник ВВС Яков Алкснис утвердил оценку самолета летчиками, официально называемую "Акт Государственных испытаний И-15 РЦ Ф-3". Основным выводом данного документа стало решение о скорейшем введении И-15 в строй военной авиации.</w:t>
      </w:r>
    </w:p>
    <w:p w14:paraId="71BAB1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Признавалось, что по большинству характеристик самолет полностью превосходит имеющиеся в СССР истребители. По маневренности и скороподьемности опережает все известные машины, по максимальной скорости на высоте 5000 м уступает некоторым иностранным образцам. Последний недостаток предлагалось устранить, а истребитель И-15, как полностью удовлетворяющий требованиям ВВС, рекомендовать к серийному изготовлению. Строить самолет решили на двух московских заводах - № 1 и №39 (12014).</w:t>
      </w:r>
    </w:p>
    <w:p w14:paraId="2231A0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4E1AF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три Р-5, заправленные под завязку топливом, с подвешенными бомбами и с двойным запасом патронов к пулеметам вылетели сквозь снежную метель по направлению на юг. Это был во многом рискованный полет. Не имея связи, средств навигации и кислородного оборудования, летчикам предстояло в условиях непогоды преодолеть горный хребет Тарбагатай, вздымающий свои вершины до 4-х км.</w:t>
      </w:r>
    </w:p>
    <w:p w14:paraId="412154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Поднявшись на возможно большую высоту и оказавшись выше непогоды, самолеты преодолели горный хребет. При выходе на равнинный участок Р-5 Сергея Антонен-ка потерял ориентировку и вернулся назад. Самолеты Федора Полынина и Константина Шишкова пробили облачность и вышли к намеченному пункту в местечко Шихо. Совершили посадку, дозаправились и продолжили свой полет к намеченной цели.</w:t>
      </w:r>
    </w:p>
    <w:p w14:paraId="36B8C7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подлете к Урумчи экипажи увидели у крепостных стен города огромную массу людей. Шла осада города в традициях средневековых войн. Атака двух самолетов произвела ужасающее воздействие на мятежников. Большинство из них никогда до этого не видело подобных крылатых птиц, кидающих бомбы и изрыгающих огонь, поэтому в панике разбежалось. Пара Р-5 после этой атаки вернулась в Шихо. Базируясь в этом местечке, самолеты еще несколько раз предпринимали вылазки для ударов по войскам мятежного генерала. Успех и полноценная победа, достигнутые всего лишь при помощи двух самолетов, привели к окончанию междоусобицы.</w:t>
      </w:r>
    </w:p>
    <w:p w14:paraId="69D9EF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скоро в районе Урумчи было сосредоточено до 20 самолетов Р-5 и У-2. На их базе организована летная группа для обучения китайцев летному делу. Часть советских летчиков по-прежнему продолжала выполнять полеты в интересах местного правительства. Полеты эти, проходящие над безлюдными горами и в условиях переменчивой погоды, никогда не являлись безопасным делом. Достаточно сказать, что однажды, когда экипаж Полынина вернулся из очередного разведывательного полета, он узнал, что их Р-5 является единственным самолетом синьцзяньской авиации. Все остальные машины перемолотил и сбросил в пропасть разбушевавшийся тайфун.</w:t>
      </w:r>
    </w:p>
    <w:p w14:paraId="68B9F1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Поставки самолетов в Китай впоследствии были продолжены. Город Урумчи стал во второй половине 30-х годов своеобразным форпостом советской авиации в Центральной Азии. Здесь был построен авиазавод, на котором в 1938-41 гг. собирали истребители И-16 (5016).</w:t>
      </w:r>
    </w:p>
    <w:p w14:paraId="4070FA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94161A1" w14:textId="77777777" w:rsidR="009D1EF2" w:rsidRPr="0044524F" w:rsidRDefault="009D1E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25 декабря 1933 г. помощник начальника вооружения РККА Сааков направил начальнику ГУАП (Главное управление авиационной промышленности Наркомата тяжёлой промышленности) Г.Н.Королёву письмо №371957с. Он писал: «10 августа 1932 г. Наркомвоенмор и Председатель РВС СССР тов ВОРОШИЛОВ </w:t>
      </w:r>
      <w:r w:rsidRPr="0044524F">
        <w:rPr>
          <w:rFonts w:ascii="Times New Roman" w:hAnsi="Times New Roman"/>
          <w:color w:val="000000" w:themeColor="text1"/>
          <w:sz w:val="16"/>
          <w:szCs w:val="16"/>
        </w:rPr>
        <w:lastRenderedPageBreak/>
        <w:t>заинтересовался предложением инженеров САМСОНОВА и ДОБРОВОЛЬСКОГО «Самолёт-амфибия-танк» и приказал дать ему движение. Рядом совещаний у Зампреда РВС СССР т. ТУХАЧЕВСКОГО, Нач. ВВС т. АЛКСНИСА, нач. УММ т. ХАЛЕПСКОГО признано особое значение данного предложения для обороны и целесообразность его реализации. Для этой цели дело было передано ГУАП’у и покойный Начальник ГУАП тов. БАРАНОВ дал обещание лично продвигать это дело. Ваш Помощник т. РАМАЗОВ в сентябре с.г. заверил УВИ в том, что данная работа будет вестись на 39 заводе, но по имеющимся у меня сведениям эта работа не включена в план 1934 года. Учитывая чрезвычайно медленные темпы продвижения столь важного оборонного предложения, прошу Вас лично принять необходимые меры к включению данной работы в план 1934 г. и вести непосредственное наблюдение за ней.</w:t>
      </w:r>
    </w:p>
    <w:p w14:paraId="6C4B3EE5" w14:textId="77777777" w:rsidR="009D1EF2" w:rsidRPr="0044524F" w:rsidRDefault="009D1EF2"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последующем прошу сообщить мне для доклада зам. Наркомвоенмор’а и Председателя т. ТУХАЧЕВСКОМУ» (19522).</w:t>
      </w:r>
    </w:p>
    <w:p w14:paraId="1DB8B621" w14:textId="77777777" w:rsidR="009D1EF2" w:rsidRPr="0044524F" w:rsidRDefault="009D1EF2" w:rsidP="009654CF">
      <w:pPr>
        <w:spacing w:after="0" w:line="240" w:lineRule="auto"/>
        <w:jc w:val="both"/>
        <w:rPr>
          <w:rFonts w:ascii="Times New Roman" w:hAnsi="Times New Roman"/>
          <w:color w:val="000000" w:themeColor="text1"/>
          <w:sz w:val="16"/>
          <w:szCs w:val="16"/>
        </w:rPr>
      </w:pPr>
    </w:p>
    <w:p w14:paraId="522FC8D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25 декабря 1933 по 15 января 1934 года проходили гос. испытания М34-НР (6812).</w:t>
      </w:r>
    </w:p>
    <w:p w14:paraId="0E39749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D3AA86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25 декабря 1933 г. М-34Н проходил госиспытания, акт об успешном завершении утвер</w:t>
      </w:r>
      <w:r w:rsidRPr="0044524F">
        <w:rPr>
          <w:rFonts w:ascii="Times New Roman" w:hAnsi="Times New Roman"/>
          <w:color w:val="000000" w:themeColor="text1"/>
          <w:sz w:val="16"/>
          <w:szCs w:val="16"/>
        </w:rPr>
        <w:softHyphen/>
        <w:t>дили 7 февраля 1934 г., а серия по</w:t>
      </w:r>
      <w:r w:rsidRPr="0044524F">
        <w:rPr>
          <w:rFonts w:ascii="Times New Roman" w:hAnsi="Times New Roman"/>
          <w:color w:val="000000" w:themeColor="text1"/>
          <w:sz w:val="16"/>
          <w:szCs w:val="16"/>
        </w:rPr>
        <w:softHyphen/>
        <w:t>шла с сентября 1934 г. Нагнетатель выполнялся в виде отдельного съемного узла и мог мон</w:t>
      </w:r>
      <w:r w:rsidRPr="0044524F">
        <w:rPr>
          <w:rFonts w:ascii="Times New Roman" w:hAnsi="Times New Roman"/>
          <w:color w:val="000000" w:themeColor="text1"/>
          <w:sz w:val="16"/>
          <w:szCs w:val="16"/>
        </w:rPr>
        <w:softHyphen/>
        <w:t>тироваться на моторы других моди</w:t>
      </w:r>
      <w:r w:rsidRPr="0044524F">
        <w:rPr>
          <w:rFonts w:ascii="Times New Roman" w:hAnsi="Times New Roman"/>
          <w:color w:val="000000" w:themeColor="text1"/>
          <w:sz w:val="16"/>
          <w:szCs w:val="16"/>
        </w:rPr>
        <w:softHyphen/>
        <w:t>фикаций. В дальнейшем его хотели сделать отключаемым на малых вы</w:t>
      </w:r>
      <w:r w:rsidRPr="0044524F">
        <w:rPr>
          <w:rFonts w:ascii="Times New Roman" w:hAnsi="Times New Roman"/>
          <w:color w:val="000000" w:themeColor="text1"/>
          <w:sz w:val="16"/>
          <w:szCs w:val="16"/>
        </w:rPr>
        <w:softHyphen/>
        <w:t>сотах, но это намерение так и не было претворено в жизнь. Надеж</w:t>
      </w:r>
      <w:r w:rsidRPr="0044524F">
        <w:rPr>
          <w:rFonts w:ascii="Times New Roman" w:hAnsi="Times New Roman"/>
          <w:color w:val="000000" w:themeColor="text1"/>
          <w:sz w:val="16"/>
          <w:szCs w:val="16"/>
        </w:rPr>
        <w:softHyphen/>
        <w:t>ность М-34Н была невысока. Во-пер</w:t>
      </w:r>
      <w:r w:rsidRPr="0044524F">
        <w:rPr>
          <w:rFonts w:ascii="Times New Roman" w:hAnsi="Times New Roman"/>
          <w:color w:val="000000" w:themeColor="text1"/>
          <w:sz w:val="16"/>
          <w:szCs w:val="16"/>
        </w:rPr>
        <w:softHyphen/>
        <w:t>вых, разрушались подшипники, на которых стояла крыльчатка. Во-вто</w:t>
      </w:r>
      <w:r w:rsidRPr="0044524F">
        <w:rPr>
          <w:rFonts w:ascii="Times New Roman" w:hAnsi="Times New Roman"/>
          <w:color w:val="000000" w:themeColor="text1"/>
          <w:sz w:val="16"/>
          <w:szCs w:val="16"/>
        </w:rPr>
        <w:softHyphen/>
        <w:t>рых, нагнетатель у М-34Р распола</w:t>
      </w:r>
      <w:r w:rsidRPr="0044524F">
        <w:rPr>
          <w:rFonts w:ascii="Times New Roman" w:hAnsi="Times New Roman"/>
          <w:color w:val="000000" w:themeColor="text1"/>
          <w:sz w:val="16"/>
          <w:szCs w:val="16"/>
        </w:rPr>
        <w:softHyphen/>
        <w:t>гался за карбюратором; в нем сжи</w:t>
      </w:r>
      <w:r w:rsidRPr="0044524F">
        <w:rPr>
          <w:rFonts w:ascii="Times New Roman" w:hAnsi="Times New Roman"/>
          <w:color w:val="000000" w:themeColor="text1"/>
          <w:sz w:val="16"/>
          <w:szCs w:val="16"/>
        </w:rPr>
        <w:softHyphen/>
        <w:t>мался не воздух, а топливно-воздуш-ная смесь. На некоторых режимах бензин начинал конденсироваться на выходе из нагнетателя и двигатель глох. Альтернативно рассматрива</w:t>
      </w:r>
      <w:r w:rsidRPr="0044524F">
        <w:rPr>
          <w:rFonts w:ascii="Times New Roman" w:hAnsi="Times New Roman"/>
          <w:color w:val="000000" w:themeColor="text1"/>
          <w:sz w:val="16"/>
          <w:szCs w:val="16"/>
        </w:rPr>
        <w:softHyphen/>
        <w:t>лась возможность смонтировать на М-34 иностранные агрегаты. В 1934 г. вели переговоры с француз</w:t>
      </w:r>
      <w:r w:rsidRPr="0044524F">
        <w:rPr>
          <w:rFonts w:ascii="Times New Roman" w:hAnsi="Times New Roman"/>
          <w:color w:val="000000" w:themeColor="text1"/>
          <w:sz w:val="16"/>
          <w:szCs w:val="16"/>
        </w:rPr>
        <w:softHyphen/>
        <w:t>скими фирмами «Испано-Сюиза» и «Фарман» о проектировании ими нового нагнетателя специально для М-34Н. Пытались также приобрести двухступенчатые нагнетатели у «Рато» (этот вариант именовался М-34РАТО). По мировым стандартам М-34Н был тяжеловат. Военные неоднократ</w:t>
      </w:r>
      <w:r w:rsidRPr="0044524F">
        <w:rPr>
          <w:rFonts w:ascii="Times New Roman" w:hAnsi="Times New Roman"/>
          <w:color w:val="000000" w:themeColor="text1"/>
          <w:sz w:val="16"/>
          <w:szCs w:val="16"/>
        </w:rPr>
        <w:softHyphen/>
        <w:t>но требовали снизить вес мотора. В ответ спроектировали облегченный вариант М-34Э (560 кг) с картером из магниевого сплава электрона. Но вот только сплавов этих в СССР не имелось, а привезенные из-за гра</w:t>
      </w:r>
      <w:r w:rsidRPr="0044524F">
        <w:rPr>
          <w:rFonts w:ascii="Times New Roman" w:hAnsi="Times New Roman"/>
          <w:color w:val="000000" w:themeColor="text1"/>
          <w:sz w:val="16"/>
          <w:szCs w:val="16"/>
        </w:rPr>
        <w:softHyphen/>
        <w:t>ницы толком не умели обрабатывать. Пробный картер на заводе № 24 отлили, но через поры и трещины уходило масло. Попробовали разные варианты пропитки. В конце концов, образец М-34Э все-таки поставили на станок. Испытания сначала шли неплохо, но на 97-м часу лопнула одна из перегородок картера. В ре</w:t>
      </w:r>
      <w:r w:rsidRPr="0044524F">
        <w:rPr>
          <w:rFonts w:ascii="Times New Roman" w:hAnsi="Times New Roman"/>
          <w:color w:val="000000" w:themeColor="text1"/>
          <w:sz w:val="16"/>
          <w:szCs w:val="16"/>
        </w:rPr>
        <w:softHyphen/>
        <w:t>зультате от идеи облегчить М-34Н таким способом временно пришлось отказаться. Следующим шагом вполне логич</w:t>
      </w:r>
      <w:r w:rsidRPr="0044524F">
        <w:rPr>
          <w:rFonts w:ascii="Times New Roman" w:hAnsi="Times New Roman"/>
          <w:color w:val="000000" w:themeColor="text1"/>
          <w:sz w:val="16"/>
          <w:szCs w:val="16"/>
        </w:rPr>
        <w:softHyphen/>
        <w:t>но стало совместное применение редуктора и нагнетателя. По плану предлагалось представить опытный образец М-34РН на госиспытания к 1 декабря 1932 г. Фактически же он начал заводские испытания лишь 1 мая 1934 г. Поломка следовала за поломкой. Прогорали клапаны, сбо</w:t>
      </w:r>
      <w:r w:rsidRPr="0044524F">
        <w:rPr>
          <w:rFonts w:ascii="Times New Roman" w:hAnsi="Times New Roman"/>
          <w:color w:val="000000" w:themeColor="text1"/>
          <w:sz w:val="16"/>
          <w:szCs w:val="16"/>
        </w:rPr>
        <w:softHyphen/>
        <w:t>ило газораспределение, от вибраций появлялись трещины на лапах креп</w:t>
      </w:r>
      <w:r w:rsidRPr="0044524F">
        <w:rPr>
          <w:rFonts w:ascii="Times New Roman" w:hAnsi="Times New Roman"/>
          <w:color w:val="000000" w:themeColor="text1"/>
          <w:sz w:val="16"/>
          <w:szCs w:val="16"/>
        </w:rPr>
        <w:softHyphen/>
        <w:t>ления к раме. Но нагнетатель и ре</w:t>
      </w:r>
      <w:r w:rsidRPr="0044524F">
        <w:rPr>
          <w:rFonts w:ascii="Times New Roman" w:hAnsi="Times New Roman"/>
          <w:color w:val="000000" w:themeColor="text1"/>
          <w:sz w:val="16"/>
          <w:szCs w:val="16"/>
        </w:rPr>
        <w:softHyphen/>
        <w:t>дуктор работали «безукоризненно». Усовершенствованный вариант предъявили на госиспытания в сен</w:t>
      </w:r>
      <w:r w:rsidRPr="0044524F">
        <w:rPr>
          <w:rFonts w:ascii="Times New Roman" w:hAnsi="Times New Roman"/>
          <w:color w:val="000000" w:themeColor="text1"/>
          <w:sz w:val="16"/>
          <w:szCs w:val="16"/>
        </w:rPr>
        <w:softHyphen/>
        <w:t>тябре, но и они закончились неудач</w:t>
      </w:r>
      <w:r w:rsidRPr="0044524F">
        <w:rPr>
          <w:rFonts w:ascii="Times New Roman" w:hAnsi="Times New Roman"/>
          <w:color w:val="000000" w:themeColor="text1"/>
          <w:sz w:val="16"/>
          <w:szCs w:val="16"/>
        </w:rPr>
        <w:softHyphen/>
        <w:t>но - прогорели поршни. В результа</w:t>
      </w:r>
      <w:r w:rsidRPr="0044524F">
        <w:rPr>
          <w:rFonts w:ascii="Times New Roman" w:hAnsi="Times New Roman"/>
          <w:color w:val="000000" w:themeColor="text1"/>
          <w:sz w:val="16"/>
          <w:szCs w:val="16"/>
        </w:rPr>
        <w:softHyphen/>
        <w:t>те М-34РН в 1934 г. выпустили лишь небольшой серией. Поскольку нагне</w:t>
      </w:r>
      <w:r w:rsidRPr="0044524F">
        <w:rPr>
          <w:rFonts w:ascii="Times New Roman" w:hAnsi="Times New Roman"/>
          <w:color w:val="000000" w:themeColor="text1"/>
          <w:sz w:val="16"/>
          <w:szCs w:val="16"/>
        </w:rPr>
        <w:softHyphen/>
        <w:t>тателей не хватало, их монтировали только на редукторные моторы, а производство М-34Н отсрочили (11848).</w:t>
      </w:r>
    </w:p>
    <w:p w14:paraId="5E5C93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094566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г. в присутствии начальника ЛО РНИИ Г.Э.Лангемака и под руководством начальника 1-го отдела Ф.Н.Пойды проходил отстрел 20 снарядов РС-132 модели 1401/1456, изготовленных в мастерских ЛО РНИИ с удовлетворительным качеством. От РС-132 модели 1401 их отли</w:t>
      </w:r>
      <w:r w:rsidRPr="0044524F">
        <w:rPr>
          <w:rFonts w:ascii="Times New Roman" w:hAnsi="Times New Roman"/>
          <w:color w:val="000000" w:themeColor="text1"/>
          <w:sz w:val="16"/>
          <w:szCs w:val="16"/>
        </w:rPr>
        <w:softHyphen/>
        <w:t>чал стабилизатор с крыльями из листового дюралюминия с размахом, уменьшенным до 300 мм. Целью данной стрельбы было определение пре</w:t>
      </w:r>
      <w:r w:rsidRPr="0044524F">
        <w:rPr>
          <w:rFonts w:ascii="Times New Roman" w:hAnsi="Times New Roman"/>
          <w:color w:val="000000" w:themeColor="text1"/>
          <w:sz w:val="16"/>
          <w:szCs w:val="16"/>
        </w:rPr>
        <w:softHyphen/>
        <w:t>дельной дальности полета РС-132 на траектории и характеристик их рас</w:t>
      </w:r>
      <w:r w:rsidRPr="0044524F">
        <w:rPr>
          <w:rFonts w:ascii="Times New Roman" w:hAnsi="Times New Roman"/>
          <w:color w:val="000000" w:themeColor="text1"/>
          <w:sz w:val="16"/>
          <w:szCs w:val="16"/>
        </w:rPr>
        <w:softHyphen/>
        <w:t>сеивания с новой конструкцией стабилизатора. РЗ состоял из 35 шашек пороха рецептуры ПТП габаритами 40/8-57,5 мм. Одна из шашек — раз</w:t>
      </w:r>
      <w:r w:rsidRPr="0044524F">
        <w:rPr>
          <w:rFonts w:ascii="Times New Roman" w:hAnsi="Times New Roman"/>
          <w:color w:val="000000" w:themeColor="text1"/>
          <w:sz w:val="16"/>
          <w:szCs w:val="16"/>
        </w:rPr>
        <w:softHyphen/>
        <w:t>резная. По торцам РЗ располагались два воспламенителя —из 12гДРП ка</w:t>
      </w:r>
      <w:r w:rsidRPr="0044524F">
        <w:rPr>
          <w:rFonts w:ascii="Times New Roman" w:hAnsi="Times New Roman"/>
          <w:color w:val="000000" w:themeColor="text1"/>
          <w:sz w:val="16"/>
          <w:szCs w:val="16"/>
        </w:rPr>
        <w:softHyphen/>
        <w:t>ждый. Диаметр критического сечения сопла - 29,3 мм, диаметр выходного - 75,0 мм, максимальное давление в камере двигателя - 260 кг/см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75C41F6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БЧ снарядов для приведения к однообразной массе снарядили серой. Воспламеняли РЗ обычным способом — с помощью электрического за-паливания гальванической трубки, вставленной во втулку в сопловом раструбе. Стрельбу вели с углами возвышения 40°. Протяженность ди</w:t>
      </w:r>
      <w:r w:rsidRPr="0044524F">
        <w:rPr>
          <w:rFonts w:ascii="Times New Roman" w:hAnsi="Times New Roman"/>
          <w:color w:val="000000" w:themeColor="text1"/>
          <w:sz w:val="16"/>
          <w:szCs w:val="16"/>
        </w:rPr>
        <w:softHyphen/>
        <w:t>ректрисы составляла 4220 м.</w:t>
      </w:r>
    </w:p>
    <w:p w14:paraId="7FF6D9F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снаряда упали с недолетом в 2000 м. Оба их удалось найти. У этих боеприпасов одно-два крыла стабилизатора были вырваны вместе с фрагментами соплового обтекателя. Испытатели предположили, что это произошло из-за неудовлетворительного качества алюминиевого сплава или незамеченного брака при отливке обтекателя сопла. В обра</w:t>
      </w:r>
      <w:r w:rsidRPr="0044524F">
        <w:rPr>
          <w:rFonts w:ascii="Times New Roman" w:hAnsi="Times New Roman"/>
          <w:color w:val="000000" w:themeColor="text1"/>
          <w:sz w:val="16"/>
          <w:szCs w:val="16"/>
        </w:rPr>
        <w:softHyphen/>
        <w:t>ботке результатов стрельбы эти выстрелы не учитывали.</w:t>
      </w:r>
    </w:p>
    <w:p w14:paraId="3C1591B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стрельбы, практически не отличаясь от расчетной величи</w:t>
      </w:r>
      <w:r w:rsidRPr="0044524F">
        <w:rPr>
          <w:rFonts w:ascii="Times New Roman" w:hAnsi="Times New Roman"/>
          <w:color w:val="000000" w:themeColor="text1"/>
          <w:sz w:val="16"/>
          <w:szCs w:val="16"/>
        </w:rPr>
        <w:softHyphen/>
        <w:t>ны, свидетельствовала о правильном полете снарядов. Малая величина рассеивания по дальности на предельной дистанции подтвердила выво</w:t>
      </w:r>
      <w:r w:rsidRPr="0044524F">
        <w:rPr>
          <w:rFonts w:ascii="Times New Roman" w:hAnsi="Times New Roman"/>
          <w:color w:val="000000" w:themeColor="text1"/>
          <w:sz w:val="16"/>
          <w:szCs w:val="16"/>
        </w:rPr>
        <w:softHyphen/>
        <w:t>ды испытателей РС-82, что боеприпасы обладают практически несуще</w:t>
      </w:r>
      <w:r w:rsidRPr="0044524F">
        <w:rPr>
          <w:rFonts w:ascii="Times New Roman" w:hAnsi="Times New Roman"/>
          <w:color w:val="000000" w:themeColor="text1"/>
          <w:sz w:val="16"/>
          <w:szCs w:val="16"/>
        </w:rPr>
        <w:softHyphen/>
        <w:t>ственным «разнообразием начальных и максимальных скоростей».</w:t>
      </w:r>
    </w:p>
    <w:p w14:paraId="22839BA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Значительное же расхождение показателей рассеивания по боково</w:t>
      </w:r>
      <w:r w:rsidRPr="0044524F">
        <w:rPr>
          <w:rFonts w:ascii="Times New Roman" w:hAnsi="Times New Roman"/>
          <w:color w:val="000000" w:themeColor="text1"/>
          <w:sz w:val="16"/>
          <w:szCs w:val="16"/>
        </w:rPr>
        <w:softHyphen/>
        <w:t>му направлению относительно расчетных величин испытатели объяс</w:t>
      </w:r>
      <w:r w:rsidRPr="0044524F">
        <w:rPr>
          <w:rFonts w:ascii="Times New Roman" w:hAnsi="Times New Roman"/>
          <w:color w:val="000000" w:themeColor="text1"/>
          <w:sz w:val="16"/>
          <w:szCs w:val="16"/>
        </w:rPr>
        <w:softHyphen/>
        <w:t>нили неудовлетворительной центровкой боеприпаса в орудии. Воз</w:t>
      </w:r>
      <w:r w:rsidRPr="0044524F">
        <w:rPr>
          <w:rFonts w:ascii="Times New Roman" w:hAnsi="Times New Roman"/>
          <w:color w:val="000000" w:themeColor="text1"/>
          <w:sz w:val="16"/>
          <w:szCs w:val="16"/>
        </w:rPr>
        <w:softHyphen/>
        <w:t>можно, также влиял боковой ветер, так как отстрел проходил по крутой траектории с углом возвышения орудия в 40°. Более убедительно при</w:t>
      </w:r>
      <w:r w:rsidRPr="0044524F">
        <w:rPr>
          <w:rFonts w:ascii="Times New Roman" w:hAnsi="Times New Roman"/>
          <w:color w:val="000000" w:themeColor="text1"/>
          <w:sz w:val="16"/>
          <w:szCs w:val="16"/>
        </w:rPr>
        <w:softHyphen/>
        <w:t>чины этого можно было обосновать при повторных отстрелах, а пока снаряды модели 1401/1456 рекомендовалось принять в качестве основ</w:t>
      </w:r>
      <w:r w:rsidRPr="0044524F">
        <w:rPr>
          <w:rFonts w:ascii="Times New Roman" w:hAnsi="Times New Roman"/>
          <w:color w:val="000000" w:themeColor="text1"/>
          <w:sz w:val="16"/>
          <w:szCs w:val="16"/>
        </w:rPr>
        <w:softHyphen/>
        <w:t>ного образца для всесторонних испытаний. В частности, для отстрела с самолетов (11402).</w:t>
      </w:r>
    </w:p>
    <w:p w14:paraId="2DF739C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0702E2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г. на полигоне НИАП отстреляли 20 снарядов РС-82 модели 1406/1460 с углами возвышения орудия 40°. Первый пристрелоч</w:t>
      </w:r>
      <w:r w:rsidRPr="0044524F">
        <w:rPr>
          <w:rFonts w:ascii="Times New Roman" w:hAnsi="Times New Roman"/>
          <w:color w:val="000000" w:themeColor="text1"/>
          <w:sz w:val="16"/>
          <w:szCs w:val="16"/>
        </w:rPr>
        <w:softHyphen/>
        <w:t>ный в зачет не вошел. По мнению испытателей, нормальная дальность стрельбы, практически не отличаясь от расчетной величины, свидетель</w:t>
      </w:r>
      <w:r w:rsidRPr="0044524F">
        <w:rPr>
          <w:rFonts w:ascii="Times New Roman" w:hAnsi="Times New Roman"/>
          <w:color w:val="000000" w:themeColor="text1"/>
          <w:sz w:val="16"/>
          <w:szCs w:val="16"/>
        </w:rPr>
        <w:softHyphen/>
        <w:t>ствовала о том, что снаряды летят вполне устойчиво. Таким образом, уменьшение размаха оперения до 200 мм не нарушило правильности по</w:t>
      </w:r>
      <w:r w:rsidRPr="0044524F">
        <w:rPr>
          <w:rFonts w:ascii="Times New Roman" w:hAnsi="Times New Roman"/>
          <w:color w:val="000000" w:themeColor="text1"/>
          <w:sz w:val="16"/>
          <w:szCs w:val="16"/>
        </w:rPr>
        <w:softHyphen/>
        <w:t>лета. Полученную «меткость стрельбы» сочли вполне удовлетворитель</w:t>
      </w:r>
      <w:r w:rsidRPr="0044524F">
        <w:rPr>
          <w:rFonts w:ascii="Times New Roman" w:hAnsi="Times New Roman"/>
          <w:color w:val="000000" w:themeColor="text1"/>
          <w:sz w:val="16"/>
          <w:szCs w:val="16"/>
        </w:rPr>
        <w:softHyphen/>
        <w:t>ной. Правда, рассеивание по дальности оказалось несколько хуже, чем У прототипа, однако по боковому направлению оно получилось даже меньше.</w:t>
      </w:r>
    </w:p>
    <w:p w14:paraId="6AA87EF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Специалисты пришли к заключению, что для выводов о достоинст</w:t>
      </w:r>
      <w:r w:rsidRPr="0044524F">
        <w:rPr>
          <w:rFonts w:ascii="Times New Roman" w:hAnsi="Times New Roman"/>
          <w:color w:val="000000" w:themeColor="text1"/>
          <w:sz w:val="16"/>
          <w:szCs w:val="16"/>
        </w:rPr>
        <w:softHyphen/>
        <w:t>вах боеприпасов обеих моделей необходимо провести их сравнительные испытания, а пока снаряды модели 1406/1460 можно принять в качестве основного образца для всесторонних испытаний. В частности, также Для отстрела с самолетов.</w:t>
      </w:r>
    </w:p>
    <w:p w14:paraId="5D1BA4E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Предварительные выводы по результатам годовых испытаний конст</w:t>
      </w:r>
      <w:r w:rsidRPr="0044524F">
        <w:rPr>
          <w:rFonts w:ascii="Times New Roman" w:hAnsi="Times New Roman"/>
          <w:color w:val="000000" w:themeColor="text1"/>
          <w:sz w:val="16"/>
          <w:szCs w:val="16"/>
        </w:rPr>
        <w:softHyphen/>
        <w:t>рукторы сформулировали следующим образом: «В результате проведен</w:t>
      </w:r>
      <w:r w:rsidRPr="0044524F">
        <w:rPr>
          <w:rFonts w:ascii="Times New Roman" w:hAnsi="Times New Roman"/>
          <w:color w:val="000000" w:themeColor="text1"/>
          <w:sz w:val="16"/>
          <w:szCs w:val="16"/>
        </w:rPr>
        <w:softHyphen/>
        <w:t>ных стрельб за период с 16 декабря 1932 г. по 25 декабря 1933 г. наилуч</w:t>
      </w:r>
      <w:r w:rsidRPr="0044524F">
        <w:rPr>
          <w:rFonts w:ascii="Times New Roman" w:hAnsi="Times New Roman"/>
          <w:color w:val="000000" w:themeColor="text1"/>
          <w:sz w:val="16"/>
          <w:szCs w:val="16"/>
        </w:rPr>
        <w:softHyphen/>
        <w:t>шую меткость дали РС-82 модели 1406/1460 (рассеивание по дально</w:t>
      </w:r>
      <w:r w:rsidRPr="0044524F">
        <w:rPr>
          <w:rFonts w:ascii="Times New Roman" w:hAnsi="Times New Roman"/>
          <w:color w:val="000000" w:themeColor="text1"/>
          <w:sz w:val="16"/>
          <w:szCs w:val="16"/>
        </w:rPr>
        <w:softHyphen/>
        <w:t>сти — 1/108, по боковому направлению — 1/103 дистанции огня) и РС-132 модели 1401/1456 (рассеивание по дальности — 1/206, по боко</w:t>
      </w:r>
      <w:r w:rsidRPr="0044524F">
        <w:rPr>
          <w:rFonts w:ascii="Times New Roman" w:hAnsi="Times New Roman"/>
          <w:color w:val="000000" w:themeColor="text1"/>
          <w:sz w:val="16"/>
          <w:szCs w:val="16"/>
        </w:rPr>
        <w:softHyphen/>
        <w:t>вому направлению — 1/52 дистанции огня)».</w:t>
      </w:r>
    </w:p>
    <w:p w14:paraId="0892B2D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Эксперименты подтвердили, что уменьшить величину рассеивания РС при стрельбе возможно, увеличив их максимальную скорость на ак</w:t>
      </w:r>
      <w:r w:rsidRPr="0044524F">
        <w:rPr>
          <w:rFonts w:ascii="Times New Roman" w:hAnsi="Times New Roman"/>
          <w:color w:val="000000" w:themeColor="text1"/>
          <w:sz w:val="16"/>
          <w:szCs w:val="16"/>
        </w:rPr>
        <w:softHyphen/>
        <w:t>тивном участке траектории, что неизбежно влечет за собой и возраста</w:t>
      </w:r>
      <w:r w:rsidRPr="0044524F">
        <w:rPr>
          <w:rFonts w:ascii="Times New Roman" w:hAnsi="Times New Roman"/>
          <w:color w:val="000000" w:themeColor="text1"/>
          <w:sz w:val="16"/>
          <w:szCs w:val="16"/>
        </w:rPr>
        <w:softHyphen/>
        <w:t>ние начальной (дульной) скорости полета боеприпаса. Между тем по</w:t>
      </w:r>
      <w:r w:rsidRPr="0044524F">
        <w:rPr>
          <w:rFonts w:ascii="Times New Roman" w:hAnsi="Times New Roman"/>
          <w:color w:val="000000" w:themeColor="text1"/>
          <w:sz w:val="16"/>
          <w:szCs w:val="16"/>
        </w:rPr>
        <w:softHyphen/>
        <w:t>пытки повысить начальную скорость снарядов за счет уменьшения диа</w:t>
      </w:r>
      <w:r w:rsidRPr="0044524F">
        <w:rPr>
          <w:rFonts w:ascii="Times New Roman" w:hAnsi="Times New Roman"/>
          <w:color w:val="000000" w:themeColor="text1"/>
          <w:sz w:val="16"/>
          <w:szCs w:val="16"/>
        </w:rPr>
        <w:softHyphen/>
        <w:t>метра критического сечения сопла и повышения давления в камере дви</w:t>
      </w:r>
      <w:r w:rsidRPr="0044524F">
        <w:rPr>
          <w:rFonts w:ascii="Times New Roman" w:hAnsi="Times New Roman"/>
          <w:color w:val="000000" w:themeColor="text1"/>
          <w:sz w:val="16"/>
          <w:szCs w:val="16"/>
        </w:rPr>
        <w:softHyphen/>
        <w:t>гателя рано или поздно должны были привести к преждевременным разрывам снарядов (11402).</w:t>
      </w:r>
    </w:p>
    <w:p w14:paraId="7EE402C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января 1934 г. в УБАА ГАУ РККА был преждевременный разрыв РС. На нем присутствовали начальник И сектора УБАА ГАУ М.М.Зандер, начальник РНИИ И.Т.Клейменов, началь</w:t>
      </w:r>
      <w:r w:rsidRPr="0044524F">
        <w:rPr>
          <w:rFonts w:ascii="Times New Roman" w:hAnsi="Times New Roman"/>
          <w:color w:val="000000" w:themeColor="text1"/>
          <w:sz w:val="16"/>
          <w:szCs w:val="16"/>
        </w:rPr>
        <w:softHyphen/>
        <w:t>ник 1 отдела РНИИ Г.Э.Лангемак, начальник 1 сектора РНИИ Л.Э.Шварц, инженер НИИ ВВС Г.И.Мельников.</w:t>
      </w:r>
    </w:p>
    <w:p w14:paraId="0C4A6A6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Совещание констатировало, что стрельбы 25 декабря (20 снарядами РС-82 модели 1406/1460 при сильном боковом ветре) и 25 января (25 снарядами РС-82 модели 1454) на дальность и меткость в первом случае дали рассеивание по дальности составило 1/136 и по боковому направле</w:t>
      </w:r>
      <w:r w:rsidRPr="0044524F">
        <w:rPr>
          <w:rFonts w:ascii="Times New Roman" w:hAnsi="Times New Roman"/>
          <w:color w:val="000000" w:themeColor="text1"/>
          <w:sz w:val="16"/>
          <w:szCs w:val="16"/>
        </w:rPr>
        <w:softHyphen/>
        <w:t>нию — 1/104 дистанции стрельбы. Во втором случае рассеивание по даль</w:t>
      </w:r>
      <w:r w:rsidRPr="0044524F">
        <w:rPr>
          <w:rFonts w:ascii="Times New Roman" w:hAnsi="Times New Roman"/>
          <w:color w:val="000000" w:themeColor="text1"/>
          <w:sz w:val="16"/>
          <w:szCs w:val="16"/>
        </w:rPr>
        <w:softHyphen/>
        <w:t>ности - 1/120 и по боковому направлению — 1/86 дистанции стрельбы. В обоих случаях отстрел проходил с углом возвышения 40°, и дальность полета РС-82 практически не отличалась — около 5300 м, что соответст</w:t>
      </w:r>
      <w:r w:rsidRPr="0044524F">
        <w:rPr>
          <w:rFonts w:ascii="Times New Roman" w:hAnsi="Times New Roman"/>
          <w:color w:val="000000" w:themeColor="text1"/>
          <w:sz w:val="16"/>
          <w:szCs w:val="16"/>
        </w:rPr>
        <w:softHyphen/>
        <w:t>вовало начальной скорости боеприпасов в 290 м/с.</w:t>
      </w:r>
    </w:p>
    <w:p w14:paraId="1DDFAAA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тем, 26 января в ходе планового испытания на рассеивание воздушных разрывов снарядов этих же моделей на третьем выстреле ра</w:t>
      </w:r>
      <w:r w:rsidRPr="0044524F">
        <w:rPr>
          <w:rFonts w:ascii="Times New Roman" w:hAnsi="Times New Roman"/>
          <w:color w:val="000000" w:themeColor="text1"/>
          <w:sz w:val="16"/>
          <w:szCs w:val="16"/>
        </w:rPr>
        <w:softHyphen/>
        <w:t>зорвало камеру ракетного двигателя, повредив ведущие части ракетного орудия. Учитывая, что накануне все 25 выстрелов боеприпасами модели 1454 были выполнены безукоризненно, удовлетворительно проходила и стрельба аналогичными снарядами 16 декабря, а также все стрельбы 1933 г., причиной разрыва признали случайный порок металла.</w:t>
      </w:r>
    </w:p>
    <w:p w14:paraId="28A1E6D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Дело в том, что камеры двигателей РС-82 продолжали изготавливать из корпусов 107-мм артснарядов, качество стали которых считалось вполне подходящим, а «заготовки» — практически идеальными. Однако далеко не всегда удавалось раздобыть новые корпуса артснарядов, поэто</w:t>
      </w:r>
      <w:r w:rsidRPr="0044524F">
        <w:rPr>
          <w:rFonts w:ascii="Times New Roman" w:hAnsi="Times New Roman"/>
          <w:color w:val="000000" w:themeColor="text1"/>
          <w:sz w:val="16"/>
          <w:szCs w:val="16"/>
        </w:rPr>
        <w:softHyphen/>
        <w:t>му в РНИИ довольствовались и стрелянными. По-видимому, речь шла об учебных практических снарядах. И, похоже, что «добывали» их ГДЛ-овцы по соседству, на директрисах НИАП.</w:t>
      </w:r>
    </w:p>
    <w:p w14:paraId="66208AD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Совещание посчитало необходимым продолжить испытания РС дан</w:t>
      </w:r>
      <w:r w:rsidRPr="0044524F">
        <w:rPr>
          <w:rFonts w:ascii="Times New Roman" w:hAnsi="Times New Roman"/>
          <w:color w:val="000000" w:themeColor="text1"/>
          <w:sz w:val="16"/>
          <w:szCs w:val="16"/>
        </w:rPr>
        <w:softHyphen/>
        <w:t>ной модели. Для этого было запланировано по 25 выстрелов со станка, а также «из самолетной установки при бездействующем моторе и при ра</w:t>
      </w:r>
      <w:r w:rsidRPr="0044524F">
        <w:rPr>
          <w:rFonts w:ascii="Times New Roman" w:hAnsi="Times New Roman"/>
          <w:color w:val="000000" w:themeColor="text1"/>
          <w:sz w:val="16"/>
          <w:szCs w:val="16"/>
        </w:rPr>
        <w:softHyphen/>
        <w:t>ботающем моторе». Программа их летных испытаний предусматривала отстрел 50 боеприпасов на различных режимах полета самолета.</w:t>
      </w:r>
    </w:p>
    <w:p w14:paraId="097BF6D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Поскольку в 1934 г. для стрельбы РС был приспособлен только НИ</w:t>
      </w:r>
      <w:r w:rsidRPr="0044524F">
        <w:rPr>
          <w:rFonts w:ascii="Times New Roman" w:hAnsi="Times New Roman"/>
          <w:color w:val="000000" w:themeColor="text1"/>
          <w:sz w:val="16"/>
          <w:szCs w:val="16"/>
        </w:rPr>
        <w:softHyphen/>
        <w:t>АП, совещание ходатайствовало перед начальником вооружения РККА о передаче в распоряжение РНИИ к 10 февраля 1934 г. одного самолета И-5 для его оборудования ракетными установками и переброске в разо</w:t>
      </w:r>
      <w:r w:rsidRPr="0044524F">
        <w:rPr>
          <w:rFonts w:ascii="Times New Roman" w:hAnsi="Times New Roman"/>
          <w:color w:val="000000" w:themeColor="text1"/>
          <w:sz w:val="16"/>
          <w:szCs w:val="16"/>
        </w:rPr>
        <w:softHyphen/>
        <w:t>бранном виде на полигон с последующей сборкой и отстрелом. Именно эти испытания были необходимы для заключения о целесообразности введения РС-82 модели 1454 на вооружение ВВС.</w:t>
      </w:r>
    </w:p>
    <w:p w14:paraId="73B92C3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«Вместе с тем, с целью скорейшего получения всех баллистических характеристик снаряда и всестороннего изучения его в служебном отно</w:t>
      </w:r>
      <w:r w:rsidRPr="0044524F">
        <w:rPr>
          <w:rFonts w:ascii="Times New Roman" w:hAnsi="Times New Roman"/>
          <w:color w:val="000000" w:themeColor="text1"/>
          <w:sz w:val="16"/>
          <w:szCs w:val="16"/>
        </w:rPr>
        <w:softHyphen/>
        <w:t>шении для составления таблиц стрельбы и руководства службы, учиты</w:t>
      </w:r>
      <w:r w:rsidRPr="0044524F">
        <w:rPr>
          <w:rFonts w:ascii="Times New Roman" w:hAnsi="Times New Roman"/>
          <w:color w:val="000000" w:themeColor="text1"/>
          <w:sz w:val="16"/>
          <w:szCs w:val="16"/>
        </w:rPr>
        <w:softHyphen/>
        <w:t>вая пожелания АНИИ, совещание считает необходимым теперь же про</w:t>
      </w:r>
      <w:r w:rsidRPr="0044524F">
        <w:rPr>
          <w:rFonts w:ascii="Times New Roman" w:hAnsi="Times New Roman"/>
          <w:color w:val="000000" w:themeColor="text1"/>
          <w:sz w:val="16"/>
          <w:szCs w:val="16"/>
        </w:rPr>
        <w:softHyphen/>
        <w:t>извести заказ 1000 штук снарядов со сроком подачи в конце первого квартала сего года. С тем, чтобы во втором квартале произвести следую</w:t>
      </w:r>
      <w:r w:rsidRPr="0044524F">
        <w:rPr>
          <w:rFonts w:ascii="Times New Roman" w:hAnsi="Times New Roman"/>
          <w:color w:val="000000" w:themeColor="text1"/>
          <w:sz w:val="16"/>
          <w:szCs w:val="16"/>
        </w:rPr>
        <w:softHyphen/>
        <w:t>щие основные испытания:</w:t>
      </w:r>
    </w:p>
    <w:p w14:paraId="21E1DD8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баллистические стрельбы для определения закона нарастания ско</w:t>
      </w:r>
      <w:r w:rsidRPr="0044524F">
        <w:rPr>
          <w:rFonts w:ascii="Times New Roman" w:hAnsi="Times New Roman"/>
          <w:color w:val="000000" w:themeColor="text1"/>
          <w:sz w:val="16"/>
          <w:szCs w:val="16"/>
        </w:rPr>
        <w:softHyphen/>
        <w:t>рости;</w:t>
      </w:r>
    </w:p>
    <w:p w14:paraId="70FB2ED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стрельбы на меткость из орудийной установки при разных углах возвышения (от 5 до 60°);</w:t>
      </w:r>
    </w:p>
    <w:p w14:paraId="6F4203C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то же самое с воздушными разрывами;</w:t>
      </w:r>
    </w:p>
    <w:p w14:paraId="52975FA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определение влияния длины орудия на меткость при тех же углах возвышения;</w:t>
      </w:r>
    </w:p>
    <w:p w14:paraId="143C6CD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всесторонние испытания орудийных установок на самолете».</w:t>
      </w:r>
    </w:p>
    <w:p w14:paraId="6D286DA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то же время, испытания 132-мм снарядов модели 1458 стрельбой на дальность продемонстрировали неудовлетворительные результаты. При стрельбе с углами возвышения 40°, из 10 снарядов только один вы</w:t>
      </w:r>
      <w:r w:rsidRPr="0044524F">
        <w:rPr>
          <w:rFonts w:ascii="Times New Roman" w:hAnsi="Times New Roman"/>
          <w:color w:val="000000" w:themeColor="text1"/>
          <w:sz w:val="16"/>
          <w:szCs w:val="16"/>
        </w:rPr>
        <w:softHyphen/>
        <w:t>шел на расчетную дальность в 6600 м. Остальные дали недолеты в 1000 м и более. При стрельбе «на меткость воздушных разрывов» с углами воз</w:t>
      </w:r>
      <w:r w:rsidRPr="0044524F">
        <w:rPr>
          <w:rFonts w:ascii="Times New Roman" w:hAnsi="Times New Roman"/>
          <w:color w:val="000000" w:themeColor="text1"/>
          <w:sz w:val="16"/>
          <w:szCs w:val="16"/>
        </w:rPr>
        <w:softHyphen/>
        <w:t>вышения 15° из шести снарядов лишь два дали нормальную дальность, а остальные — значительные недолеты. Служба наблюдения отметила, что у некоторых боеприпасов на расстоянии 300-400 м от орудия отрыва</w:t>
      </w:r>
      <w:r w:rsidRPr="0044524F">
        <w:rPr>
          <w:rFonts w:ascii="Times New Roman" w:hAnsi="Times New Roman"/>
          <w:color w:val="000000" w:themeColor="text1"/>
          <w:sz w:val="16"/>
          <w:szCs w:val="16"/>
        </w:rPr>
        <w:softHyphen/>
        <w:t>лись крылья оперения или полностью стабилизаторы.</w:t>
      </w:r>
    </w:p>
    <w:p w14:paraId="4302F7E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Кто хотя бы раз имел дело с изделиями из силумина, надолго запом</w:t>
      </w:r>
      <w:r w:rsidRPr="0044524F">
        <w:rPr>
          <w:rFonts w:ascii="Times New Roman" w:hAnsi="Times New Roman"/>
          <w:color w:val="000000" w:themeColor="text1"/>
          <w:sz w:val="16"/>
          <w:szCs w:val="16"/>
        </w:rPr>
        <w:softHyphen/>
        <w:t>нит скверные прочностные качества этого материала. Из технологиче</w:t>
      </w:r>
      <w:r w:rsidRPr="0044524F">
        <w:rPr>
          <w:rFonts w:ascii="Times New Roman" w:hAnsi="Times New Roman"/>
          <w:color w:val="000000" w:themeColor="text1"/>
          <w:sz w:val="16"/>
          <w:szCs w:val="16"/>
        </w:rPr>
        <w:softHyphen/>
        <w:t>ских документов на изготовление РС следует, что заготовки сопловых обтекателей к ним отливали из алюминия А-П. Далее к ним приклепы</w:t>
      </w:r>
      <w:r w:rsidRPr="0044524F">
        <w:rPr>
          <w:rFonts w:ascii="Times New Roman" w:hAnsi="Times New Roman"/>
          <w:color w:val="000000" w:themeColor="text1"/>
          <w:sz w:val="16"/>
          <w:szCs w:val="16"/>
        </w:rPr>
        <w:softHyphen/>
        <w:t>вали крылья стабилизатора. Именно в процессе сверления и клепки в си-луминовых тонкостенных корпусах обтекателей и формировалось так называемое внутреннее остаточное напряжение. А внешний вид изделий из этого дюралевого сплава оставался безупречным.</w:t>
      </w:r>
    </w:p>
    <w:p w14:paraId="63EC61B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учетом того, что при стрельбе 25 декабря точно такими же снаряда</w:t>
      </w:r>
      <w:r w:rsidRPr="0044524F">
        <w:rPr>
          <w:rFonts w:ascii="Times New Roman" w:hAnsi="Times New Roman"/>
          <w:color w:val="000000" w:themeColor="text1"/>
          <w:sz w:val="16"/>
          <w:szCs w:val="16"/>
        </w:rPr>
        <w:softHyphen/>
        <w:t>ми, из 20 боеприпасов 18 «дали вполне правильный полет, нормальную дальность и хорошую меткость по дальности в 1/206 (однако два РС-132 не долетели порядка 1,5 км), совещание сочло необходимым в первую очередь устранить дефекты изготовления снарядов, обеспечить надлежа</w:t>
      </w:r>
      <w:r w:rsidRPr="0044524F">
        <w:rPr>
          <w:rFonts w:ascii="Times New Roman" w:hAnsi="Times New Roman"/>
          <w:color w:val="000000" w:themeColor="text1"/>
          <w:sz w:val="16"/>
          <w:szCs w:val="16"/>
        </w:rPr>
        <w:softHyphen/>
        <w:t>щую их прочность и провести повторную стрельбу. По получении удов</w:t>
      </w:r>
      <w:r w:rsidRPr="0044524F">
        <w:rPr>
          <w:rFonts w:ascii="Times New Roman" w:hAnsi="Times New Roman"/>
          <w:color w:val="000000" w:themeColor="text1"/>
          <w:sz w:val="16"/>
          <w:szCs w:val="16"/>
        </w:rPr>
        <w:softHyphen/>
        <w:t>летворительных результатов подвергнуть снаряды этого калибра тем же испытаниям, что и РС-82.</w:t>
      </w:r>
    </w:p>
    <w:p w14:paraId="7E6D36F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Присутствовавший на испытаниях 25-26 января, а также на совещании представитель НИИ ВВС Г.И.Мельников уклонился от высказывания своего мнения по обсуждаемым вопросам, сославшись на полученные им от своего командования инструкции. «Имея в виду, что НИИ ВВС до сего времени получал все отчеты о работах РНИИ, что изготовление в РНИИ орудийных установок для самолетов предпринято по прямому заданию НИИ ВВС, совещание считает совершенно ненормальным со стороны НИИ ВВС командирование представителей, лишенных каких бы то ни было полномочий, и полагает, что намеченные испытания РС должны быть проведены независимо от участия в них НИИ ВВС. О действиях НИИ ВВС должно быть доведено до сведения начальника вооружений».</w:t>
      </w:r>
    </w:p>
    <w:p w14:paraId="3EE2963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промежуточных итогов, не дожидаясь окончания «конкурса» снарядов лучшей модели, 26 февраля 1934 г. последовал приказ начальника вооружений РККА М.Н.Тухачевского №3/1сс. В нем го</w:t>
      </w:r>
      <w:r w:rsidRPr="0044524F">
        <w:rPr>
          <w:rFonts w:ascii="Times New Roman" w:hAnsi="Times New Roman"/>
          <w:color w:val="000000" w:themeColor="text1"/>
          <w:sz w:val="16"/>
          <w:szCs w:val="16"/>
        </w:rPr>
        <w:softHyphen/>
        <w:t>ворилось: «Для проведения полигонных испытаний изготовленных в РНИИ НТП реактивных оперенных снарядов калибра 82 и 132 мм от</w:t>
      </w:r>
      <w:r w:rsidRPr="0044524F">
        <w:rPr>
          <w:rFonts w:ascii="Times New Roman" w:hAnsi="Times New Roman"/>
          <w:color w:val="000000" w:themeColor="text1"/>
          <w:sz w:val="16"/>
          <w:szCs w:val="16"/>
        </w:rPr>
        <w:softHyphen/>
        <w:t>стрелом с наземных самолетных установок на самолетах И-5 и Р-6 на</w:t>
      </w:r>
      <w:r w:rsidRPr="0044524F">
        <w:rPr>
          <w:rFonts w:ascii="Times New Roman" w:hAnsi="Times New Roman"/>
          <w:color w:val="000000" w:themeColor="text1"/>
          <w:sz w:val="16"/>
          <w:szCs w:val="16"/>
        </w:rPr>
        <w:softHyphen/>
        <w:t>значаю комиссию под председательством ВРИД главного инженера воо</w:t>
      </w:r>
      <w:r w:rsidRPr="0044524F">
        <w:rPr>
          <w:rFonts w:ascii="Times New Roman" w:hAnsi="Times New Roman"/>
          <w:color w:val="000000" w:themeColor="text1"/>
          <w:sz w:val="16"/>
          <w:szCs w:val="16"/>
        </w:rPr>
        <w:softHyphen/>
        <w:t>ружения ВВС РККА тов. Шевченко и членов: начальника 11 сектора НТО УБАА ГАУ РККА тов. Зандер, начальника 3-го отдела НТО УБАА ГАУ РККА тов. Сегиенко, начальника РНИИ НТП тов. Клейменова, за</w:t>
      </w:r>
      <w:r w:rsidRPr="0044524F">
        <w:rPr>
          <w:rFonts w:ascii="Times New Roman" w:hAnsi="Times New Roman"/>
          <w:color w:val="000000" w:themeColor="text1"/>
          <w:sz w:val="16"/>
          <w:szCs w:val="16"/>
        </w:rPr>
        <w:softHyphen/>
        <w:t>местителя РНИИ НТП тов. Лангемака, начальника отделения 15 секто</w:t>
      </w:r>
      <w:r w:rsidRPr="0044524F">
        <w:rPr>
          <w:rFonts w:ascii="Times New Roman" w:hAnsi="Times New Roman"/>
          <w:color w:val="000000" w:themeColor="text1"/>
          <w:sz w:val="16"/>
          <w:szCs w:val="16"/>
        </w:rPr>
        <w:softHyphen/>
        <w:t>ра НИИ ВВС РККА тов. Мельникова, старшего инженера 15 сектора НИИ ВВС РККА тов. Калинина» (11402).</w:t>
      </w:r>
    </w:p>
    <w:p w14:paraId="15AAB3C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0BE7D74"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6DFA78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D2ABE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начальником пополненной группы конструкторов СКБ-2 стал О.М.Иванов (5008, 13).</w:t>
      </w:r>
    </w:p>
    <w:p w14:paraId="2BD975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0733365" w14:textId="77777777" w:rsidR="009A1872" w:rsidRPr="0044524F" w:rsidRDefault="009A1872" w:rsidP="009654CF">
      <w:pPr>
        <w:pStyle w:val="rtejustify"/>
        <w:spacing w:before="0" w:after="0"/>
        <w:rPr>
          <w:color w:val="000000" w:themeColor="text1"/>
          <w:sz w:val="16"/>
          <w:szCs w:val="16"/>
        </w:rPr>
      </w:pPr>
      <w:r w:rsidRPr="0044524F">
        <w:rPr>
          <w:rStyle w:val="af0"/>
          <w:bCs/>
          <w:i w:val="0"/>
          <w:color w:val="000000" w:themeColor="text1"/>
          <w:sz w:val="16"/>
          <w:szCs w:val="16"/>
        </w:rPr>
        <w:t>25 декабря</w:t>
      </w:r>
      <w:r w:rsidRPr="0044524F">
        <w:rPr>
          <w:color w:val="000000" w:themeColor="text1"/>
          <w:sz w:val="16"/>
          <w:szCs w:val="16"/>
        </w:rPr>
        <w:t xml:space="preserve"> 1933. Постановление СТО СССР № 136сс/о «О закупке моторов в 60-100 сил для катеров и плавсредств ВМС». (ГА РФ. Ф. Р</w:t>
      </w:r>
      <w:r w:rsidRPr="0044524F">
        <w:rPr>
          <w:color w:val="000000" w:themeColor="text1"/>
          <w:sz w:val="16"/>
          <w:szCs w:val="16"/>
        </w:rPr>
        <w:noBreakHyphen/>
        <w:t>8418. Оп. 28. Д. 3. Л. 120) (15460).</w:t>
      </w:r>
    </w:p>
    <w:p w14:paraId="6E879729" w14:textId="77777777" w:rsidR="009A1872" w:rsidRPr="0044524F" w:rsidRDefault="009A1872" w:rsidP="009654CF">
      <w:pPr>
        <w:pStyle w:val="rtejustify"/>
        <w:spacing w:before="0" w:after="0"/>
        <w:rPr>
          <w:color w:val="000000" w:themeColor="text1"/>
          <w:sz w:val="16"/>
          <w:szCs w:val="16"/>
        </w:rPr>
      </w:pPr>
    </w:p>
    <w:p w14:paraId="62BEE831" w14:textId="77777777" w:rsidR="002E2083"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50DE9A02"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6C722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три Р-5, собранных на китайской границе, куда их привезли в ноябре 1933, вылетели в Урумчи и один вернулся, а два успешно атаковали и штурмовыми действиями успешно рассеяли осаждающих крепость. Потом вернулись в Шихо и базируясь оттуда выполнила еще несколько атак. Вскоре в районе Урумчи было 20 Р-5 и У-2 (1366,15).</w:t>
      </w:r>
    </w:p>
    <w:p w14:paraId="207ED3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C8113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г. два Р-5 (с советскими летчиками) отправили на бомбежку войск мятежного генерала, осадившего Урумчи. Солдаты Ма Чжуина увидели самолет первый раз в жизни и в страхе бежали под грохот бомб и треск пулеметных очередей. В связи с происходившим в Синьцзяне мятежом генерала Ма Чжуина машины были не только вооружены, но и несли бомбы и двойной комплект патронов. Китайское правительство зачастую лишь формально контролировало значительную часть территории страны. На окраинах практически самостоятельно правили генералы-милитаристы, обладавшие собственными армиями. Некоторые из них считались друзьями СССР; к ним относился дубань (губернатор) пограничной провинции Синьцзян. Три машины предназначались для летной школы, которую хотели организовать в Урумчи в Синьцзяне. Самолеты собирали на советской стороне границы, у станции Аягуз, и дальше гнали по воздуху. Экипажи состояли из будущих инструкторов, механиков и преподавателей школы - советских специалистов, командированных в Китай. Но интересно, что набрали их из авиации НКВД, а не из ВВС. Командирами экипажей являлись К. Шишков, В. Полынин и С. Антоненок.</w:t>
      </w:r>
    </w:p>
    <w:p w14:paraId="3ED208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Школа еще не работала, и Р-5 и далее вели разведку, бомбили и обстреливали остатки частей мятежников. Самолеты уже не внушали противнику суеверного ужаса, и их встречали пулеметным огнем и винтовочными залпами. Один Р-5 подбили, но он дотянул до Урумчи. В другой раз зависшая бомба сорвалась при полете над городом и упала как раз во двор генерал-губернатора Синьцзяна. Но генерал был настолько доволен помощью авиации, что замял этот инцидент.</w:t>
      </w:r>
    </w:p>
    <w:p w14:paraId="1AAFE9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Когда школа начала функционировать, ей передали еще несколько Р-5 и У-2, доведя к концу 1934 г. численность авиапарка до 18 самолетов. Работая там, советские инструкторы периодически совершали связные полеты и вели разведку во время многочисленных внутренних "разборок" китайских генералов. Р-5 эксплуатировались в школе по крайней мере до 1938 г. Но боевым частям китайских ВВС разведчики Поликарпова не поставлялись (12034).</w:t>
      </w:r>
    </w:p>
    <w:p w14:paraId="699A6B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C52EDA2" w14:textId="77777777" w:rsidR="00E40190" w:rsidRPr="00142305" w:rsidRDefault="00E40190" w:rsidP="00E401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25 декабря 1933 г. два Р-5 (с совет</w:t>
      </w:r>
      <w:r w:rsidRPr="00142305">
        <w:rPr>
          <w:rFonts w:ascii="Times New Roman" w:hAnsi="Times New Roman"/>
          <w:color w:val="0070C0"/>
          <w:sz w:val="16"/>
          <w:szCs w:val="16"/>
        </w:rPr>
        <w:softHyphen/>
        <w:t>скими летчиками) отправили на бомбежку войск мятеж</w:t>
      </w:r>
      <w:r w:rsidRPr="00142305">
        <w:rPr>
          <w:rFonts w:ascii="Times New Roman" w:hAnsi="Times New Roman"/>
          <w:color w:val="0070C0"/>
          <w:sz w:val="16"/>
          <w:szCs w:val="16"/>
        </w:rPr>
        <w:softHyphen/>
        <w:t>ного генерала Ма Чжуина, осадившего Урумчи. Солдаты Ма Чжуина увидели самолет первый раз в жизни и в страхе бежали под грохот бомб и треск пулеметных очередей.</w:t>
      </w:r>
    </w:p>
    <w:p w14:paraId="04731FD8" w14:textId="77777777" w:rsidR="00E40190" w:rsidRPr="00142305" w:rsidRDefault="00E40190" w:rsidP="00E401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Школа еще не работала, и Р-5 и далее вели разведку, бомбили и обстреливали остатки частей мятежников. Са</w:t>
      </w:r>
      <w:r w:rsidRPr="00142305">
        <w:rPr>
          <w:rFonts w:ascii="Times New Roman" w:hAnsi="Times New Roman"/>
          <w:color w:val="0070C0"/>
          <w:sz w:val="16"/>
          <w:szCs w:val="16"/>
        </w:rPr>
        <w:softHyphen/>
        <w:t>молеты уже не внушали противнику суеверного ужаса, и их встречали пулеметным огнем и винтовочными залпа</w:t>
      </w:r>
      <w:r w:rsidRPr="00142305">
        <w:rPr>
          <w:rFonts w:ascii="Times New Roman" w:hAnsi="Times New Roman"/>
          <w:color w:val="0070C0"/>
          <w:sz w:val="16"/>
          <w:szCs w:val="16"/>
        </w:rPr>
        <w:softHyphen/>
        <w:t>ми. Один Р-5 подбили, но он дотянул до Урумчи. В другой раз зависшая бомба сорвалась при полете над городом и упала как раз во двор генерал-губернатора Синьцзяна. Но генерал был настолько доволен помощью авиации, что за</w:t>
      </w:r>
      <w:r w:rsidRPr="00142305">
        <w:rPr>
          <w:rFonts w:ascii="Times New Roman" w:hAnsi="Times New Roman"/>
          <w:color w:val="0070C0"/>
          <w:sz w:val="16"/>
          <w:szCs w:val="16"/>
        </w:rPr>
        <w:softHyphen/>
        <w:t>мял этот инцидент (24990).</w:t>
      </w:r>
    </w:p>
    <w:p w14:paraId="4F995997" w14:textId="77777777" w:rsidR="00E40190" w:rsidRPr="00142305" w:rsidRDefault="00E40190" w:rsidP="00E40190">
      <w:pPr>
        <w:spacing w:after="0" w:line="240" w:lineRule="auto"/>
        <w:jc w:val="both"/>
        <w:rPr>
          <w:rFonts w:ascii="Times New Roman" w:hAnsi="Times New Roman"/>
          <w:color w:val="0070C0"/>
          <w:sz w:val="16"/>
          <w:szCs w:val="16"/>
        </w:rPr>
      </w:pPr>
    </w:p>
    <w:p w14:paraId="642D92A3"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35F6D3A"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EEE272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при раскопках в арктических районах СССР обнаружены древнеримские монеты (4962).</w:t>
      </w:r>
    </w:p>
    <w:p w14:paraId="51600DC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CFC8D1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украинский сатирик Остап Вишня обвинен в контрреволюционной деятельности и приговорен к расстрелу, замененному позже десятью годами тюрьмы (4962).</w:t>
      </w:r>
    </w:p>
    <w:p w14:paraId="2FBE6FD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37D68BDD"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CC06C8F"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D118A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г. два Р-5, посланных зимой в Китай, отправили на бомбежку войск мятежного генерала, осадившего Урумчи. Солдаты Ма Чжуина увидели самолет первый раз в жизни и в страхе бежали под грохот бомб и треск пулеметных очередей. Р-5 и далее вели разведку, бомбили и обстреливали мятежников. Самолеты, уже не внушавшие противнику суеверного ужаса, встречали пулеметным огнем и винтовочными залпами. Один Р-5 подбили, но он дотянул до Урумчи. Позже машины передали китайцам для летной школы, но они и далее нередко участвовали во внутренних разборках местных генералов.</w:t>
      </w:r>
    </w:p>
    <w:p w14:paraId="64FC62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1939 г. по приказу наркома обороны была сформирована особая авиагруппа "Хами", предназначенная для защиты аэродрома в Хами (Китай), находившегося на трассе перегонки из СССР боевых самолетов. В нее вошли в том числе и шесть Р-5. Но какие-либо данные об их действиях против японцев отсутствуют (11936).</w:t>
      </w:r>
    </w:p>
    <w:p w14:paraId="415862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6CCD0CB"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25 декабря 1933 г. из беседы генерального секретаря ЦК ВКП(б) И.В. Сталина с корреспондентом газеты "Нью-Йорк Тайме" Дюранти о советско-американских отношениях </w:t>
      </w:r>
    </w:p>
    <w:p w14:paraId="2A72E3D3"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Дюранти. Не согласитесь ли передать послание американскому народу через "Нью-Йорк Тайме"? </w:t>
      </w:r>
    </w:p>
    <w:p w14:paraId="149AD4AC"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Сталин. Нет, Калинин уже сделал это, я не могу вмешиваться в его прерогативы. </w:t>
      </w:r>
    </w:p>
    <w:p w14:paraId="12DD74BF"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Если речь идет об отношениях между США и СССР, то, конечно, я доволен возобновлением отношений, как актом громадного значения: политически — потому что это подымает шансы сохранения мира; экономически - потому что это отсекает привходящие элементы и дает возможность нашим странам обсудить интересующие их вопросы на деловой почве; наконец, это открывает дорогу для взаимной кооперации. </w:t>
      </w:r>
    </w:p>
    <w:p w14:paraId="54D487F2"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Дюранти. Каков будет, по-вашему, возможный объем советско- американской торговли? </w:t>
      </w:r>
    </w:p>
    <w:p w14:paraId="78703078"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Сталин. Остается в силе то, что Литвинов сказал в Лондоне на экономической конференции. Мы - величайший в мире рынок и готовы заказывать и оплатить большое количество товаров. Но нам нужны благоприятные условия кредита и, более того, должны иметь уверенность в том, что сможем платить. Мы не можем импортировать без экспорта, потому что не хотим давать заказов, не имея уверенности, что сможем платить в срок. Все удивляются тому, что мы платим и можем платить. Я знаю, </w:t>
      </w:r>
      <w:r w:rsidRPr="0044524F">
        <w:rPr>
          <w:rFonts w:ascii="Times New Roman" w:hAnsi="Times New Roman"/>
          <w:color w:val="000000" w:themeColor="text1"/>
          <w:sz w:val="16"/>
          <w:szCs w:val="16"/>
        </w:rPr>
        <w:lastRenderedPageBreak/>
        <w:t xml:space="preserve">сейчас не принято платить по кредитам. Но мы делаем это. Другие государства приостановили платежи, но СССР этого не делает и не сделает. Многие думали, что мы не можем платить, что нам нечем платить, но мы показали им, что можем платить, и им пришлось признать это. </w:t>
      </w:r>
    </w:p>
    <w:p w14:paraId="03005878"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Дюранти. Как обстоит с вопросом о добыче золота в СССР? </w:t>
      </w:r>
    </w:p>
    <w:p w14:paraId="3F4EA439"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Сталин. У нас много золотоносных районов, и они быстро развиваются. Наша продукция уже вдвое превысила продукцию царского времени и дает сейчас более 100 млн руб. в год. Особенно за последние два года мы улучшили методы нашей разведочной работы и нашли большие запасы. Но наша промышленность еще молода - не только по золоту, но и по чугуну, стали, меди, по всей металлургии, и наша молодая индустрия не в силах пока оказать должную помощь золотой промышленности. Темпы развития у нас быстрые, но объем еще не велик. Мы могли бы в короткое время учетверить добычу золота, если бы имели больше драг и других машин. </w:t>
      </w:r>
    </w:p>
    <w:p w14:paraId="46FEF421"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Дюранти. Какова общая сумма советских кредитных обязательств за границей? </w:t>
      </w:r>
    </w:p>
    <w:p w14:paraId="3DE8632A"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Сталин. Немного более 450 млн руб. За последние годы мы выплатили большие суммы - два года тому назад наши кредитные обязательства равнялись 1400 млн. Все это мы выплатили и будем выплачивать в срок к концу 1934 г. или в начале 1935 [г.], в очередные сроки. </w:t>
      </w:r>
    </w:p>
    <w:p w14:paraId="17311F8C"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Дюранти. Допустим, что нет больше сомнений в советской готовности платить, но как обстоит дело с советской платежеспособностью? </w:t>
      </w:r>
    </w:p>
    <w:p w14:paraId="5293F6CE"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Сталин. </w:t>
      </w:r>
    </w:p>
    <w:p w14:paraId="1170187A"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 нас нет никакой разницы между первой и второй, потому что мы не берем на себя обязательств, которых не можем оплатить. Взгляните на наши экономические отношения с Германией. Германия объявила мораторий по значительной части своих заграничных долгов, и мы могли бы использовать германский прецедент и поступить так же точно по отношению к Германии. Но мы не делаем этого. А между тем мы сейчас уже не так зависим от германской промышленности, как прежде, мы можем сами изготовлять нужное нам оборудование. </w:t>
      </w:r>
    </w:p>
    <w:p w14:paraId="1467B96B"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Дюранти. Каково Ваше мнение об Америке? Я слышал, что у Вас была продолжительная беседа с Буллитом, какого Вы мнения о нем? Считаете ли Вы, как и три года тому назад, что наш кризис — как Вы сказали мне тогда - не является последним кризисом капитализма? </w:t>
      </w:r>
    </w:p>
    <w:p w14:paraId="6A410114"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Сталин. Буллит произвел на меня и на моих товарищей хорошее впечатление. Я никогда не встречал его до этого, но много слышал о нем от Ленина, которому он тоже нравился. Мне нравится в нем то, что он говорит не как обычный дипломат, - он человек прямой, говорит то, что думает. Он вообще произвел здесь очень хорошее впечатление. Рузвельт, по всем данным, решительный и мужественный политик. Есть такая философская система - солипсизм, заключающаяся в том, что человек не верит в существование внешнего мира и верит только в свое я. Долгое время казалось, что американское правительство придерживалось такой системы и не верит в существование СССР. Но Рузвельт, очевидно, не сторонник этой странной теории. Он реалист и знает, что действительность является такой, какой он ее видит. Что касается экономического кризиса, то он действительно не последний кризис. Конечно, кризис расшатал все дела, но в последнее время, кажется, дела начинают поправляться. Возможно, что наиболее низкая точка экономического упадка уже пройдена. Я не думаю, что удастся достигнуть подъема 1929 г., но переход от кризиса к депрессии и некоторому оживлению дел в ближайшее время, правда, с некоторыми колебаниями вверх и вниз не только не исключен, но, пожалуй, даже вероятен. </w:t>
      </w:r>
    </w:p>
    <w:p w14:paraId="5AD359D8"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Дюранти. А как насчет Японии? Сталин. Мы хотели бы иметь хорошие отношения с Японией, но, к сожалению, это зависит не только от нас. Если в Японии возьмет верх благоразумная политика, обе наши страны могут жить в дружбе. Но мы опасаемся, что воинствующие элементы могут оттеснить на задний план благоразумную политику. В этом действительная опасность, и мы вынуждены готовиться к ней. Ни один народ не может уважать свое правительство, если оно видит опасность нападения и не готовится к самозащите. </w:t>
      </w:r>
    </w:p>
    <w:p w14:paraId="792A9DCA"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Мне кажется, что со стороны Японии будет неразумным, если она нападет на СССР. Ее экономическое положение не особенно хорошо, у нее есть слабые места — Корея, Маньчжурия, Китай, и затем едва ли можно рассчитывать, что она получит поддержку в этой авантюре от других государств. К сожалению, хорошие военные специалисты не всегда хорошие экономисты, и не всегда они различают между силой оружия и силой законов экономики. </w:t>
      </w:r>
    </w:p>
    <w:p w14:paraId="72F444EB"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Дюранти. А как с Англией? </w:t>
      </w:r>
    </w:p>
    <w:p w14:paraId="2004D300"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Сталин. Я думаю, что торговый договор с Англией будет подписан и экономические отношения разовьются, поскольку консервативная партия должна понять, что они ничего не выиграли, ставя препятствия в торговле с СССР. Но я сомневаюсь, чтобы в теперешних условиях обе страны могли получить от торговли такие большие выгоды, как можно было бы предположить. </w:t>
      </w:r>
    </w:p>
    <w:p w14:paraId="741F6291"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Дюранти. Как Вы относитесь к вопросу о реформе Лиги наций в его итальянской постановке? </w:t>
      </w:r>
    </w:p>
    <w:p w14:paraId="73153E06"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Сталин. Мы не получали по этому поводу никаких предложений от Италии, хотя наш представитель и обсуждал с итальянцами этот вопрос. </w:t>
      </w:r>
    </w:p>
    <w:p w14:paraId="10F95502"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Дюранти. Всегда ли исключительно отрицательна ваша позиция в отношении Лиги наций? </w:t>
      </w:r>
    </w:p>
    <w:p w14:paraId="483EE5B3"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Сталин. Нет, не всегда и не при всяких условиях. Вы, пожалуй, не вполне понимаете нашу точку зрения. Несмотря на уход Германии и Японии из Лиги наций - или, может быть, именно поэтому, — Лига может стать некоторым тормозом для того, чтобы задержать возникновение военных действий или помешать им. Если это так, если Лига сможет оказаться неким бугорком на пути к тому, чтобы хотя бы несколько затруднить дело войны и облегчить в некоторой степени дело мира, то тогда мы не против Лиги. Да, если таков будет ход исторических событий, то не исключено, что мы поддержим Лигу наций, несмотря на ее колоссальные недостатки. </w:t>
      </w:r>
    </w:p>
    <w:p w14:paraId="2FFED1CE"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Дюранти. Что является сейчас наиболее важной проблемой внутренней политики СССР? </w:t>
      </w:r>
    </w:p>
    <w:p w14:paraId="5DC39424"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Сталин. Развертывание товарооборота между городом и деревней и усиление всех видов транспорта, особенно железнодорожного. Разрешение этих вопросов не так легко, но легче, чем те вопросы, которые мы уже решили, и я уверен, что мы разрешим их. Проблема промышленности решена. Проблему сельского хозяйства, крестьянско-колхоз- ную проблему — самую трудную проблему — можно считать уже решенной. Теперь надо решить проблему товарооборота и транспорта. </w:t>
      </w:r>
    </w:p>
    <w:p w14:paraId="33170DC8"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Россия и США </w:t>
      </w:r>
    </w:p>
    <w:p w14:paraId="1678904B" w14:textId="77777777" w:rsidR="00035F40" w:rsidRPr="0044524F" w:rsidRDefault="00035F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Печатается по: Известия. №4 (5252). 1934. 4 стр.; Документы внешней политики СССР. М. 1970. Т. XVI. С. 765-768 (12152).</w:t>
      </w:r>
    </w:p>
    <w:p w14:paraId="2A445089" w14:textId="77777777" w:rsidR="00035F40" w:rsidRPr="0044524F" w:rsidRDefault="00035F40" w:rsidP="009654CF">
      <w:pPr>
        <w:spacing w:after="0" w:line="240" w:lineRule="auto"/>
        <w:jc w:val="both"/>
        <w:rPr>
          <w:rFonts w:ascii="Times New Roman" w:hAnsi="Times New Roman"/>
          <w:color w:val="000000" w:themeColor="text1"/>
          <w:sz w:val="16"/>
          <w:szCs w:val="16"/>
        </w:rPr>
      </w:pPr>
    </w:p>
    <w:p w14:paraId="19D24F98"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 декабря 1933 г. на вопрос американского корреспондента "Нью-Йорк Тайме" У. Дюранти относительно торговли Сталин заявил: Советский Союз готов заказывать большое количество товаров, если только будут предоставлены кредиты. Пока его кредитные обязательства за границей составляют небольшую сумму — 450 млн руб., и она может быть погашена примерно через год или два. Правительство, отметил Сталин, платило по кредитам в срок, тогда как другие страны приостановили платежи. Утверждения, что СССР неплатежеспособен, неверны: он располагает достаточными финансовыми средствами для оплаты кредитов (18280).</w:t>
      </w:r>
    </w:p>
    <w:p w14:paraId="34443A0F" w14:textId="77777777" w:rsidR="00091E70" w:rsidRPr="0044524F" w:rsidRDefault="00091E70" w:rsidP="009654CF">
      <w:pPr>
        <w:spacing w:after="0" w:line="240" w:lineRule="auto"/>
        <w:jc w:val="both"/>
        <w:rPr>
          <w:rFonts w:ascii="Times New Roman" w:hAnsi="Times New Roman"/>
          <w:color w:val="000000" w:themeColor="text1"/>
          <w:sz w:val="16"/>
          <w:szCs w:val="16"/>
        </w:rPr>
      </w:pPr>
    </w:p>
    <w:p w14:paraId="387421FF"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A49179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11AE1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декабря 1933 года был подготовлен Отчет о выполнении КОСОС"ом ЦАГИ за ноябрь 1933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717"/>
        <w:gridCol w:w="717"/>
        <w:gridCol w:w="717"/>
        <w:gridCol w:w="717"/>
        <w:gridCol w:w="717"/>
        <w:gridCol w:w="717"/>
        <w:gridCol w:w="717"/>
        <w:gridCol w:w="3200"/>
      </w:tblGrid>
      <w:tr w:rsidR="004E10C1" w:rsidRPr="0044524F" w14:paraId="5E2A2604" w14:textId="77777777">
        <w:tc>
          <w:tcPr>
            <w:tcW w:w="1809" w:type="dxa"/>
          </w:tcPr>
          <w:p w14:paraId="3F4B0A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w:t>
            </w:r>
          </w:p>
        </w:tc>
        <w:tc>
          <w:tcPr>
            <w:tcW w:w="717" w:type="dxa"/>
          </w:tcPr>
          <w:p w14:paraId="3CEE1A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Окончан. проект.</w:t>
            </w:r>
          </w:p>
        </w:tc>
        <w:tc>
          <w:tcPr>
            <w:tcW w:w="717" w:type="dxa"/>
          </w:tcPr>
          <w:p w14:paraId="1575F8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BC4F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на</w:t>
            </w:r>
          </w:p>
        </w:tc>
        <w:tc>
          <w:tcPr>
            <w:tcW w:w="717" w:type="dxa"/>
          </w:tcPr>
          <w:p w14:paraId="783BCE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 часы</w:t>
            </w:r>
          </w:p>
        </w:tc>
        <w:tc>
          <w:tcPr>
            <w:tcW w:w="717" w:type="dxa"/>
          </w:tcPr>
          <w:p w14:paraId="295B1F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C25C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технич. готов.</w:t>
            </w:r>
          </w:p>
        </w:tc>
        <w:tc>
          <w:tcPr>
            <w:tcW w:w="717" w:type="dxa"/>
          </w:tcPr>
          <w:p w14:paraId="66740D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D2EF9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работ</w:t>
            </w:r>
          </w:p>
        </w:tc>
      </w:tr>
      <w:tr w:rsidR="004E10C1" w:rsidRPr="0044524F" w14:paraId="65160271" w14:textId="77777777">
        <w:tc>
          <w:tcPr>
            <w:tcW w:w="1809" w:type="dxa"/>
          </w:tcPr>
          <w:p w14:paraId="120153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самолетов</w:t>
            </w:r>
          </w:p>
        </w:tc>
        <w:tc>
          <w:tcPr>
            <w:tcW w:w="717" w:type="dxa"/>
          </w:tcPr>
          <w:p w14:paraId="57F00C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w:t>
            </w:r>
          </w:p>
        </w:tc>
        <w:tc>
          <w:tcPr>
            <w:tcW w:w="717" w:type="dxa"/>
          </w:tcPr>
          <w:p w14:paraId="2F171D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w:t>
            </w:r>
          </w:p>
        </w:tc>
        <w:tc>
          <w:tcPr>
            <w:tcW w:w="717" w:type="dxa"/>
          </w:tcPr>
          <w:p w14:paraId="24C38B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аэродром</w:t>
            </w:r>
          </w:p>
        </w:tc>
        <w:tc>
          <w:tcPr>
            <w:tcW w:w="717" w:type="dxa"/>
          </w:tcPr>
          <w:p w14:paraId="7CCD0F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w:t>
            </w:r>
          </w:p>
        </w:tc>
        <w:tc>
          <w:tcPr>
            <w:tcW w:w="717" w:type="dxa"/>
          </w:tcPr>
          <w:p w14:paraId="61EA40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фактич.</w:t>
            </w:r>
          </w:p>
        </w:tc>
        <w:tc>
          <w:tcPr>
            <w:tcW w:w="717" w:type="dxa"/>
          </w:tcPr>
          <w:p w14:paraId="72BD7E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1/XI</w:t>
            </w:r>
          </w:p>
        </w:tc>
        <w:tc>
          <w:tcPr>
            <w:tcW w:w="717" w:type="dxa"/>
          </w:tcPr>
          <w:p w14:paraId="6AA73E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1/XII</w:t>
            </w:r>
          </w:p>
        </w:tc>
        <w:tc>
          <w:tcPr>
            <w:tcW w:w="3200" w:type="dxa"/>
          </w:tcPr>
          <w:p w14:paraId="2D16F7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BB160ED" w14:textId="77777777">
        <w:tc>
          <w:tcPr>
            <w:tcW w:w="1809" w:type="dxa"/>
          </w:tcPr>
          <w:p w14:paraId="18689B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26CB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6625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C54C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2694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плану</w:t>
            </w:r>
          </w:p>
        </w:tc>
        <w:tc>
          <w:tcPr>
            <w:tcW w:w="717" w:type="dxa"/>
          </w:tcPr>
          <w:p w14:paraId="672EB8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642E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5855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3DB35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561094" w14:textId="77777777">
        <w:tc>
          <w:tcPr>
            <w:tcW w:w="1809" w:type="dxa"/>
          </w:tcPr>
          <w:p w14:paraId="1EE040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 - 4-й</w:t>
            </w:r>
          </w:p>
        </w:tc>
        <w:tc>
          <w:tcPr>
            <w:tcW w:w="717" w:type="dxa"/>
          </w:tcPr>
          <w:p w14:paraId="1C056E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1762F3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1/Х-32</w:t>
            </w:r>
          </w:p>
        </w:tc>
        <w:tc>
          <w:tcPr>
            <w:tcW w:w="717" w:type="dxa"/>
          </w:tcPr>
          <w:p w14:paraId="4A1AB6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11/VII-33</w:t>
            </w:r>
          </w:p>
        </w:tc>
        <w:tc>
          <w:tcPr>
            <w:tcW w:w="717" w:type="dxa"/>
          </w:tcPr>
          <w:p w14:paraId="7DE9FD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c>
          <w:tcPr>
            <w:tcW w:w="717" w:type="dxa"/>
          </w:tcPr>
          <w:p w14:paraId="14C0DD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549</w:t>
            </w:r>
          </w:p>
        </w:tc>
        <w:tc>
          <w:tcPr>
            <w:tcW w:w="717" w:type="dxa"/>
          </w:tcPr>
          <w:p w14:paraId="460119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2EFB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7A2E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Закончено проектирование</w:t>
            </w:r>
          </w:p>
        </w:tc>
      </w:tr>
      <w:tr w:rsidR="004E10C1" w:rsidRPr="0044524F" w14:paraId="60A65C68" w14:textId="77777777">
        <w:tc>
          <w:tcPr>
            <w:tcW w:w="1809" w:type="dxa"/>
          </w:tcPr>
          <w:p w14:paraId="0EC6ED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8601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FFD65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1BC4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3C07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E5E4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83B1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2EC3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1FFE2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серво-руля, велась</w:t>
            </w:r>
          </w:p>
        </w:tc>
      </w:tr>
      <w:tr w:rsidR="004E10C1" w:rsidRPr="0044524F" w14:paraId="12E1D533" w14:textId="77777777">
        <w:tc>
          <w:tcPr>
            <w:tcW w:w="1809" w:type="dxa"/>
          </w:tcPr>
          <w:p w14:paraId="6933EF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8271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4EA4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0204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69E2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2D59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BD94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EFF6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DDA83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переделка хвостового</w:t>
            </w:r>
          </w:p>
        </w:tc>
      </w:tr>
      <w:tr w:rsidR="004E10C1" w:rsidRPr="0044524F" w14:paraId="65D7F682" w14:textId="77777777">
        <w:tc>
          <w:tcPr>
            <w:tcW w:w="1809" w:type="dxa"/>
          </w:tcPr>
          <w:p w14:paraId="7CBCD2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EC20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AE6C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7AF6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4098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3455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D185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0D54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36647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оперения.</w:t>
            </w:r>
          </w:p>
        </w:tc>
      </w:tr>
      <w:tr w:rsidR="004E10C1" w:rsidRPr="0044524F" w14:paraId="64DC104D" w14:textId="77777777">
        <w:tc>
          <w:tcPr>
            <w:tcW w:w="1809" w:type="dxa"/>
          </w:tcPr>
          <w:p w14:paraId="2918CA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МГ агит.</w:t>
            </w:r>
          </w:p>
        </w:tc>
        <w:tc>
          <w:tcPr>
            <w:tcW w:w="717" w:type="dxa"/>
          </w:tcPr>
          <w:p w14:paraId="371B3C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1/IV-34</w:t>
            </w:r>
          </w:p>
        </w:tc>
        <w:tc>
          <w:tcPr>
            <w:tcW w:w="717" w:type="dxa"/>
          </w:tcPr>
          <w:p w14:paraId="2AECC0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5792C2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3430D1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16690</w:t>
            </w:r>
          </w:p>
        </w:tc>
        <w:tc>
          <w:tcPr>
            <w:tcW w:w="717" w:type="dxa"/>
          </w:tcPr>
          <w:p w14:paraId="4FE9C2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14916</w:t>
            </w:r>
          </w:p>
        </w:tc>
        <w:tc>
          <w:tcPr>
            <w:tcW w:w="717" w:type="dxa"/>
          </w:tcPr>
          <w:p w14:paraId="55D985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77,4</w:t>
            </w:r>
          </w:p>
        </w:tc>
        <w:tc>
          <w:tcPr>
            <w:tcW w:w="717" w:type="dxa"/>
          </w:tcPr>
          <w:p w14:paraId="14D3DC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83,7</w:t>
            </w:r>
          </w:p>
        </w:tc>
        <w:tc>
          <w:tcPr>
            <w:tcW w:w="3200" w:type="dxa"/>
          </w:tcPr>
          <w:p w14:paraId="1ECACB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w:t>
            </w:r>
          </w:p>
        </w:tc>
      </w:tr>
      <w:tr w:rsidR="004E10C1" w:rsidRPr="0044524F" w14:paraId="7C1F49CB" w14:textId="77777777">
        <w:tc>
          <w:tcPr>
            <w:tcW w:w="1809" w:type="dxa"/>
          </w:tcPr>
          <w:p w14:paraId="696A59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0102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D517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0145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CAFC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3AEB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5EE5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9F68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07B0F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характеризуется следующ.</w:t>
            </w:r>
          </w:p>
        </w:tc>
      </w:tr>
      <w:tr w:rsidR="004E10C1" w:rsidRPr="0044524F" w14:paraId="3129024A" w14:textId="77777777">
        <w:tc>
          <w:tcPr>
            <w:tcW w:w="1809" w:type="dxa"/>
          </w:tcPr>
          <w:p w14:paraId="575EE8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00FB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AB07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40DA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1943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34D3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B4D1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D102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F4C67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цифрами: фюзеляж доведен</w:t>
            </w:r>
          </w:p>
        </w:tc>
      </w:tr>
      <w:tr w:rsidR="004E10C1" w:rsidRPr="0044524F" w14:paraId="33446181" w14:textId="77777777">
        <w:tc>
          <w:tcPr>
            <w:tcW w:w="1809" w:type="dxa"/>
          </w:tcPr>
          <w:p w14:paraId="0D4999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86AB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6062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B7C9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C442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3B6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E060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D635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DD22E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98%, крыло - 98%,</w:t>
            </w:r>
          </w:p>
        </w:tc>
      </w:tr>
      <w:tr w:rsidR="004E10C1" w:rsidRPr="0044524F" w14:paraId="2A8EEC07" w14:textId="77777777">
        <w:tc>
          <w:tcPr>
            <w:tcW w:w="1809" w:type="dxa"/>
          </w:tcPr>
          <w:p w14:paraId="615D64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DA36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7CA4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B1A1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9A87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56B8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DDBD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B702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5F59C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- 95%, мотор.</w:t>
            </w:r>
          </w:p>
        </w:tc>
      </w:tr>
      <w:tr w:rsidR="004E10C1" w:rsidRPr="0044524F" w14:paraId="1DC70C12" w14:textId="77777777">
        <w:tc>
          <w:tcPr>
            <w:tcW w:w="1809" w:type="dxa"/>
          </w:tcPr>
          <w:p w14:paraId="48018F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D9BC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26AE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EF23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2921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F254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AAA4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744B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9744D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оборудование - 75%,</w:t>
            </w:r>
          </w:p>
        </w:tc>
      </w:tr>
      <w:tr w:rsidR="004E10C1" w:rsidRPr="0044524F" w14:paraId="52BF0583" w14:textId="77777777">
        <w:tc>
          <w:tcPr>
            <w:tcW w:w="1809" w:type="dxa"/>
          </w:tcPr>
          <w:p w14:paraId="7826DA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A27A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4055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2D88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DDEF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42C1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12ED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323C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94262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моторама - 97%, хвостов.</w:t>
            </w:r>
          </w:p>
        </w:tc>
      </w:tr>
      <w:tr w:rsidR="004E10C1" w:rsidRPr="0044524F" w14:paraId="7BA655B8" w14:textId="77777777">
        <w:tc>
          <w:tcPr>
            <w:tcW w:w="1809" w:type="dxa"/>
          </w:tcPr>
          <w:p w14:paraId="054366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C03C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E2B7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9AB0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6ABA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9172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DA14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5A75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863E7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оперение 70%,передвижен.</w:t>
            </w:r>
          </w:p>
        </w:tc>
      </w:tr>
      <w:tr w:rsidR="004E10C1" w:rsidRPr="0044524F" w14:paraId="729CFA54" w14:textId="77777777">
        <w:tc>
          <w:tcPr>
            <w:tcW w:w="1809" w:type="dxa"/>
          </w:tcPr>
          <w:p w14:paraId="37335C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688B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B026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C963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F4D1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02E9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C01C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0516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D3483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 оборудование 20%.</w:t>
            </w:r>
          </w:p>
        </w:tc>
      </w:tr>
      <w:tr w:rsidR="004E10C1" w:rsidRPr="0044524F" w14:paraId="60CC63EC" w14:textId="77777777">
        <w:tc>
          <w:tcPr>
            <w:tcW w:w="1809" w:type="dxa"/>
          </w:tcPr>
          <w:p w14:paraId="0B3C69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 6-й</w:t>
            </w:r>
          </w:p>
        </w:tc>
        <w:tc>
          <w:tcPr>
            <w:tcW w:w="717" w:type="dxa"/>
          </w:tcPr>
          <w:p w14:paraId="27B82A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 г.</w:t>
            </w:r>
          </w:p>
        </w:tc>
        <w:tc>
          <w:tcPr>
            <w:tcW w:w="717" w:type="dxa"/>
          </w:tcPr>
          <w:p w14:paraId="5F441B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52DE74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3B219B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8710</w:t>
            </w:r>
          </w:p>
        </w:tc>
        <w:tc>
          <w:tcPr>
            <w:tcW w:w="717" w:type="dxa"/>
          </w:tcPr>
          <w:p w14:paraId="13450D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7260</w:t>
            </w:r>
          </w:p>
        </w:tc>
        <w:tc>
          <w:tcPr>
            <w:tcW w:w="717" w:type="dxa"/>
          </w:tcPr>
          <w:p w14:paraId="5B1907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5,8</w:t>
            </w:r>
          </w:p>
        </w:tc>
        <w:tc>
          <w:tcPr>
            <w:tcW w:w="717" w:type="dxa"/>
          </w:tcPr>
          <w:p w14:paraId="6A451B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c>
          <w:tcPr>
            <w:tcW w:w="3200" w:type="dxa"/>
          </w:tcPr>
          <w:p w14:paraId="7839E9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ведется по плану,</w:t>
            </w:r>
          </w:p>
        </w:tc>
      </w:tr>
      <w:tr w:rsidR="004E10C1" w:rsidRPr="0044524F" w14:paraId="67D705A7" w14:textId="77777777">
        <w:tc>
          <w:tcPr>
            <w:tcW w:w="1809" w:type="dxa"/>
          </w:tcPr>
          <w:p w14:paraId="1C2242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6F6B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8B27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7933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BE4E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C61D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6C2E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4517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7A81F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идут гл. образом расчеты</w:t>
            </w:r>
          </w:p>
        </w:tc>
      </w:tr>
      <w:tr w:rsidR="004E10C1" w:rsidRPr="0044524F" w14:paraId="3E19ACF8" w14:textId="77777777">
        <w:tc>
          <w:tcPr>
            <w:tcW w:w="1809" w:type="dxa"/>
          </w:tcPr>
          <w:p w14:paraId="3F00D0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 пасс.</w:t>
            </w:r>
          </w:p>
        </w:tc>
        <w:tc>
          <w:tcPr>
            <w:tcW w:w="717" w:type="dxa"/>
          </w:tcPr>
          <w:p w14:paraId="1D3885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установлен.</w:t>
            </w:r>
          </w:p>
        </w:tc>
        <w:tc>
          <w:tcPr>
            <w:tcW w:w="717" w:type="dxa"/>
          </w:tcPr>
          <w:p w14:paraId="1C5D3F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57C5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0246EF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717" w:type="dxa"/>
          </w:tcPr>
          <w:p w14:paraId="764C21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w:t>
            </w:r>
          </w:p>
        </w:tc>
        <w:tc>
          <w:tcPr>
            <w:tcW w:w="717" w:type="dxa"/>
          </w:tcPr>
          <w:p w14:paraId="61A57C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24B1DD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5698C7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Увязки бытового оборуд.</w:t>
            </w:r>
          </w:p>
        </w:tc>
      </w:tr>
      <w:tr w:rsidR="004E10C1" w:rsidRPr="0044524F" w14:paraId="22C59E82" w14:textId="77777777">
        <w:tc>
          <w:tcPr>
            <w:tcW w:w="1809" w:type="dxa"/>
          </w:tcPr>
          <w:p w14:paraId="7A0D7F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ЛДР-4 опытн.</w:t>
            </w:r>
          </w:p>
        </w:tc>
        <w:tc>
          <w:tcPr>
            <w:tcW w:w="717" w:type="dxa"/>
          </w:tcPr>
          <w:p w14:paraId="72D226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15/XII-33 г.</w:t>
            </w:r>
          </w:p>
        </w:tc>
        <w:tc>
          <w:tcPr>
            <w:tcW w:w="717" w:type="dxa"/>
          </w:tcPr>
          <w:p w14:paraId="032BE5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1BE0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3692F2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6130</w:t>
            </w:r>
          </w:p>
        </w:tc>
        <w:tc>
          <w:tcPr>
            <w:tcW w:w="717" w:type="dxa"/>
          </w:tcPr>
          <w:p w14:paraId="3E6EDA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5711</w:t>
            </w:r>
          </w:p>
        </w:tc>
        <w:tc>
          <w:tcPr>
            <w:tcW w:w="717" w:type="dxa"/>
          </w:tcPr>
          <w:p w14:paraId="3DBD14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99,1</w:t>
            </w:r>
          </w:p>
        </w:tc>
        <w:tc>
          <w:tcPr>
            <w:tcW w:w="717" w:type="dxa"/>
          </w:tcPr>
          <w:p w14:paraId="19D215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2B9233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с-та</w:t>
            </w:r>
          </w:p>
        </w:tc>
      </w:tr>
      <w:tr w:rsidR="004E10C1" w:rsidRPr="0044524F" w14:paraId="74B1CB26" w14:textId="77777777">
        <w:tc>
          <w:tcPr>
            <w:tcW w:w="1809" w:type="dxa"/>
          </w:tcPr>
          <w:p w14:paraId="125E9C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B201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E0DE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C099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BAFD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9C09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29BE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7949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20F6C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закончена, ведутся</w:t>
            </w:r>
          </w:p>
        </w:tc>
      </w:tr>
      <w:tr w:rsidR="004E10C1" w:rsidRPr="0044524F" w14:paraId="0E2350A6" w14:textId="77777777">
        <w:tc>
          <w:tcPr>
            <w:tcW w:w="1809" w:type="dxa"/>
          </w:tcPr>
          <w:p w14:paraId="63CB5E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E6CC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2F64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3D77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1BAE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0406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85CD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2698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FA5FE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серво-рулю.</w:t>
            </w:r>
          </w:p>
        </w:tc>
      </w:tr>
      <w:tr w:rsidR="004E10C1" w:rsidRPr="0044524F" w14:paraId="56232899" w14:textId="77777777">
        <w:tc>
          <w:tcPr>
            <w:tcW w:w="1809" w:type="dxa"/>
          </w:tcPr>
          <w:p w14:paraId="7BD9B9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B17B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E32B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FBB9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03B7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99D3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45CB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8D28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9517C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Велись работы по винтам,</w:t>
            </w:r>
          </w:p>
        </w:tc>
      </w:tr>
      <w:tr w:rsidR="004E10C1" w:rsidRPr="0044524F" w14:paraId="7A8B5A37" w14:textId="77777777">
        <w:tc>
          <w:tcPr>
            <w:tcW w:w="1809" w:type="dxa"/>
          </w:tcPr>
          <w:p w14:paraId="1DD962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A2D3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87B4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33BC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C849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C1EE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D5E4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B2A2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FED7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закончен 2-й, вариант </w:t>
            </w:r>
          </w:p>
        </w:tc>
      </w:tr>
      <w:tr w:rsidR="004E10C1" w:rsidRPr="0044524F" w14:paraId="5D701B20" w14:textId="77777777">
        <w:tc>
          <w:tcPr>
            <w:tcW w:w="1809" w:type="dxa"/>
          </w:tcPr>
          <w:p w14:paraId="4F10DE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402A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B7BE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015F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B470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5309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A3CB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D26C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8FE5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и 3 варианты</w:t>
            </w:r>
          </w:p>
        </w:tc>
      </w:tr>
      <w:tr w:rsidR="004E10C1" w:rsidRPr="0044524F" w14:paraId="67BF220C" w14:textId="77777777">
        <w:tc>
          <w:tcPr>
            <w:tcW w:w="1809" w:type="dxa"/>
          </w:tcPr>
          <w:p w14:paraId="30CD8E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D3BE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41B9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81EF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CCD4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FDD0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248C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3F04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2A2B9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предполагают закончить в</w:t>
            </w:r>
          </w:p>
        </w:tc>
      </w:tr>
      <w:tr w:rsidR="004E10C1" w:rsidRPr="0044524F" w14:paraId="40319E1D" w14:textId="77777777">
        <w:tc>
          <w:tcPr>
            <w:tcW w:w="1809" w:type="dxa"/>
          </w:tcPr>
          <w:p w14:paraId="2A8A1D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91C4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19D9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B9A3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B968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EAFF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68B9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9404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A8736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декабре. Мото-оборудов. </w:t>
            </w:r>
          </w:p>
        </w:tc>
      </w:tr>
      <w:tr w:rsidR="004E10C1" w:rsidRPr="0044524F" w14:paraId="2890C412" w14:textId="77777777">
        <w:tc>
          <w:tcPr>
            <w:tcW w:w="1809" w:type="dxa"/>
          </w:tcPr>
          <w:p w14:paraId="4A8B8F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FA1C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2C5B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CF0C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112B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CFDA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0116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C1DD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6A64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основном закончено.</w:t>
            </w:r>
          </w:p>
        </w:tc>
      </w:tr>
      <w:tr w:rsidR="004E10C1" w:rsidRPr="0044524F" w14:paraId="6780B240" w14:textId="77777777">
        <w:tc>
          <w:tcPr>
            <w:tcW w:w="1809" w:type="dxa"/>
          </w:tcPr>
          <w:p w14:paraId="54BEBE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 1-й</w:t>
            </w:r>
          </w:p>
        </w:tc>
        <w:tc>
          <w:tcPr>
            <w:tcW w:w="717" w:type="dxa"/>
          </w:tcPr>
          <w:p w14:paraId="3493BE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20/VII</w:t>
            </w:r>
          </w:p>
        </w:tc>
        <w:tc>
          <w:tcPr>
            <w:tcW w:w="717" w:type="dxa"/>
          </w:tcPr>
          <w:p w14:paraId="230637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Х/33 г.</w:t>
            </w:r>
          </w:p>
        </w:tc>
        <w:tc>
          <w:tcPr>
            <w:tcW w:w="717" w:type="dxa"/>
          </w:tcPr>
          <w:p w14:paraId="4080AF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DDFF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3740</w:t>
            </w:r>
          </w:p>
        </w:tc>
        <w:tc>
          <w:tcPr>
            <w:tcW w:w="717" w:type="dxa"/>
          </w:tcPr>
          <w:p w14:paraId="1693B6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3507</w:t>
            </w:r>
          </w:p>
        </w:tc>
        <w:tc>
          <w:tcPr>
            <w:tcW w:w="717" w:type="dxa"/>
          </w:tcPr>
          <w:p w14:paraId="3BCDDD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717" w:type="dxa"/>
          </w:tcPr>
          <w:p w14:paraId="63AD4D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3200" w:type="dxa"/>
          </w:tcPr>
          <w:p w14:paraId="0A8691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самолета</w:t>
            </w:r>
          </w:p>
        </w:tc>
      </w:tr>
      <w:tr w:rsidR="004E10C1" w:rsidRPr="0044524F" w14:paraId="3FE7DA66" w14:textId="77777777">
        <w:tc>
          <w:tcPr>
            <w:tcW w:w="1809" w:type="dxa"/>
          </w:tcPr>
          <w:p w14:paraId="4F4330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A64E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11AF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9104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7371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DB69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7049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C102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9850A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закончена, ведутся также</w:t>
            </w:r>
          </w:p>
        </w:tc>
      </w:tr>
      <w:tr w:rsidR="004E10C1" w:rsidRPr="0044524F" w14:paraId="01B9C89C" w14:textId="77777777">
        <w:tc>
          <w:tcPr>
            <w:tcW w:w="1809" w:type="dxa"/>
          </w:tcPr>
          <w:p w14:paraId="3CB253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27CA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80EE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46F7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7EB8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7630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299E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BBEC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F5DEF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серво-рулю и</w:t>
            </w:r>
          </w:p>
        </w:tc>
      </w:tr>
      <w:tr w:rsidR="004E10C1" w:rsidRPr="0044524F" w14:paraId="493D16DA" w14:textId="77777777">
        <w:tc>
          <w:tcPr>
            <w:tcW w:w="1809" w:type="dxa"/>
          </w:tcPr>
          <w:p w14:paraId="4F51CA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D976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9FAA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C5CD7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D665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09EE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072C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379D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B0BC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заканчивается</w:t>
            </w:r>
          </w:p>
        </w:tc>
      </w:tr>
      <w:tr w:rsidR="004E10C1" w:rsidRPr="0044524F" w14:paraId="3C314E5F" w14:textId="77777777">
        <w:tc>
          <w:tcPr>
            <w:tcW w:w="1809" w:type="dxa"/>
          </w:tcPr>
          <w:p w14:paraId="47A28F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69CC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D127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EC24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4666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E065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A5E7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BAD2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A2A84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установок</w:t>
            </w:r>
          </w:p>
        </w:tc>
      </w:tr>
      <w:tr w:rsidR="004E10C1" w:rsidRPr="0044524F" w14:paraId="4A1DAC6D" w14:textId="77777777">
        <w:tc>
          <w:tcPr>
            <w:tcW w:w="1809" w:type="dxa"/>
          </w:tcPr>
          <w:p w14:paraId="4A9864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5C57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97E0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93B4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E872A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77B3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3C2D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A1F0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F9960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вооружения. Ведется</w:t>
            </w:r>
          </w:p>
        </w:tc>
      </w:tr>
      <w:tr w:rsidR="004E10C1" w:rsidRPr="0044524F" w14:paraId="7D11256E" w14:textId="77777777">
        <w:tc>
          <w:tcPr>
            <w:tcW w:w="1809" w:type="dxa"/>
          </w:tcPr>
          <w:p w14:paraId="6F6CAF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97D2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6997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F42F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DB04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419B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00E6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8637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30334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2-му и 3-му</w:t>
            </w:r>
          </w:p>
        </w:tc>
      </w:tr>
      <w:tr w:rsidR="004E10C1" w:rsidRPr="0044524F" w14:paraId="634937F4" w14:textId="77777777">
        <w:tc>
          <w:tcPr>
            <w:tcW w:w="1809" w:type="dxa"/>
          </w:tcPr>
          <w:p w14:paraId="15D5F0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87EF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FD53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6FC1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5D34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B945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AF1C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D3FE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EC554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варианту винтов.</w:t>
            </w:r>
          </w:p>
        </w:tc>
      </w:tr>
      <w:tr w:rsidR="004E10C1" w:rsidRPr="0044524F" w14:paraId="7A582B61" w14:textId="77777777">
        <w:tc>
          <w:tcPr>
            <w:tcW w:w="1809" w:type="dxa"/>
          </w:tcPr>
          <w:p w14:paraId="0AF475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 голов.</w:t>
            </w:r>
          </w:p>
        </w:tc>
        <w:tc>
          <w:tcPr>
            <w:tcW w:w="717" w:type="dxa"/>
          </w:tcPr>
          <w:p w14:paraId="5F4196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1/II-34</w:t>
            </w:r>
          </w:p>
        </w:tc>
        <w:tc>
          <w:tcPr>
            <w:tcW w:w="717" w:type="dxa"/>
          </w:tcPr>
          <w:p w14:paraId="722BE6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619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8050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w:t>
            </w:r>
          </w:p>
        </w:tc>
        <w:tc>
          <w:tcPr>
            <w:tcW w:w="717" w:type="dxa"/>
          </w:tcPr>
          <w:p w14:paraId="14A6DD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634</w:t>
            </w:r>
          </w:p>
        </w:tc>
        <w:tc>
          <w:tcPr>
            <w:tcW w:w="717" w:type="dxa"/>
          </w:tcPr>
          <w:p w14:paraId="609E55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41EF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D978F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Начаты работы по</w:t>
            </w:r>
          </w:p>
        </w:tc>
      </w:tr>
      <w:tr w:rsidR="004E10C1" w:rsidRPr="0044524F" w14:paraId="3D5B0571" w14:textId="77777777">
        <w:tc>
          <w:tcPr>
            <w:tcW w:w="1809" w:type="dxa"/>
          </w:tcPr>
          <w:p w14:paraId="23852E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647D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362D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6BA9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4473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2192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0A05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7C85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E1742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проектированию лодки.</w:t>
            </w:r>
          </w:p>
        </w:tc>
      </w:tr>
      <w:tr w:rsidR="004E10C1" w:rsidRPr="0044524F" w14:paraId="6BB470FE" w14:textId="77777777">
        <w:tc>
          <w:tcPr>
            <w:tcW w:w="1809" w:type="dxa"/>
          </w:tcPr>
          <w:p w14:paraId="67EC97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 опытн.</w:t>
            </w:r>
          </w:p>
        </w:tc>
        <w:tc>
          <w:tcPr>
            <w:tcW w:w="717" w:type="dxa"/>
          </w:tcPr>
          <w:p w14:paraId="7A76D5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1/III-34</w:t>
            </w:r>
          </w:p>
        </w:tc>
        <w:tc>
          <w:tcPr>
            <w:tcW w:w="717" w:type="dxa"/>
          </w:tcPr>
          <w:p w14:paraId="3BF8A4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CFB6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8EF3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3605</w:t>
            </w:r>
          </w:p>
        </w:tc>
        <w:tc>
          <w:tcPr>
            <w:tcW w:w="717" w:type="dxa"/>
          </w:tcPr>
          <w:p w14:paraId="221364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2785</w:t>
            </w:r>
          </w:p>
        </w:tc>
        <w:tc>
          <w:tcPr>
            <w:tcW w:w="717" w:type="dxa"/>
          </w:tcPr>
          <w:p w14:paraId="5CF61A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72,2</w:t>
            </w:r>
          </w:p>
        </w:tc>
        <w:tc>
          <w:tcPr>
            <w:tcW w:w="717" w:type="dxa"/>
          </w:tcPr>
          <w:p w14:paraId="686209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73,4</w:t>
            </w:r>
          </w:p>
        </w:tc>
        <w:tc>
          <w:tcPr>
            <w:tcW w:w="3200" w:type="dxa"/>
          </w:tcPr>
          <w:p w14:paraId="1403AA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Велись следующие работы:</w:t>
            </w:r>
          </w:p>
        </w:tc>
      </w:tr>
      <w:tr w:rsidR="004E10C1" w:rsidRPr="0044524F" w14:paraId="48DDD422" w14:textId="77777777">
        <w:tc>
          <w:tcPr>
            <w:tcW w:w="1809" w:type="dxa"/>
          </w:tcPr>
          <w:p w14:paraId="045FB0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F256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CE628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B0B1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994A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CB81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3192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C7AF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19B2B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передняя часть фюзеляжа</w:t>
            </w:r>
          </w:p>
        </w:tc>
      </w:tr>
      <w:tr w:rsidR="004E10C1" w:rsidRPr="0044524F" w14:paraId="14959552" w14:textId="77777777">
        <w:tc>
          <w:tcPr>
            <w:tcW w:w="1809" w:type="dxa"/>
          </w:tcPr>
          <w:p w14:paraId="011FE6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DBC2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C193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38E3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81FB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A586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19F1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62C8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EBD05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доведена до 50%, вооруж.</w:t>
            </w:r>
          </w:p>
        </w:tc>
      </w:tr>
      <w:tr w:rsidR="004E10C1" w:rsidRPr="0044524F" w14:paraId="3BAE9278" w14:textId="77777777">
        <w:tc>
          <w:tcPr>
            <w:tcW w:w="1809" w:type="dxa"/>
          </w:tcPr>
          <w:p w14:paraId="498E35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A9E0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0928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5A61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6E03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9B32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DA6C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878B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0CF8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управление с-том</w:t>
            </w:r>
          </w:p>
        </w:tc>
      </w:tr>
      <w:tr w:rsidR="004E10C1" w:rsidRPr="0044524F" w14:paraId="25B4A384" w14:textId="77777777">
        <w:tc>
          <w:tcPr>
            <w:tcW w:w="1809" w:type="dxa"/>
          </w:tcPr>
          <w:p w14:paraId="3335E7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FFE9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9B9A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7826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703D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E78C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0C1A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7176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9C997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 мотооборудование</w:t>
            </w:r>
          </w:p>
        </w:tc>
      </w:tr>
      <w:tr w:rsidR="004E10C1" w:rsidRPr="0044524F" w14:paraId="5401C259" w14:textId="77777777">
        <w:tc>
          <w:tcPr>
            <w:tcW w:w="1809" w:type="dxa"/>
          </w:tcPr>
          <w:p w14:paraId="1DF1D7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F716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3416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4E9D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F6B8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0BDC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28E2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812D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9AA44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и по шасси.</w:t>
            </w:r>
          </w:p>
        </w:tc>
      </w:tr>
      <w:tr w:rsidR="004E10C1" w:rsidRPr="0044524F" w14:paraId="7937093B" w14:textId="77777777">
        <w:tc>
          <w:tcPr>
            <w:tcW w:w="1809" w:type="dxa"/>
          </w:tcPr>
          <w:p w14:paraId="6289B4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дуб.</w:t>
            </w:r>
          </w:p>
        </w:tc>
        <w:tc>
          <w:tcPr>
            <w:tcW w:w="717" w:type="dxa"/>
          </w:tcPr>
          <w:p w14:paraId="57DBF9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1/XII-33</w:t>
            </w:r>
          </w:p>
        </w:tc>
        <w:tc>
          <w:tcPr>
            <w:tcW w:w="717" w:type="dxa"/>
          </w:tcPr>
          <w:p w14:paraId="2D1050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EADA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C332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3445</w:t>
            </w:r>
          </w:p>
        </w:tc>
        <w:tc>
          <w:tcPr>
            <w:tcW w:w="717" w:type="dxa"/>
          </w:tcPr>
          <w:p w14:paraId="44689D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5316</w:t>
            </w:r>
          </w:p>
        </w:tc>
        <w:tc>
          <w:tcPr>
            <w:tcW w:w="717" w:type="dxa"/>
          </w:tcPr>
          <w:p w14:paraId="7C7F3B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96,6</w:t>
            </w:r>
          </w:p>
        </w:tc>
        <w:tc>
          <w:tcPr>
            <w:tcW w:w="717" w:type="dxa"/>
          </w:tcPr>
          <w:p w14:paraId="382521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037D4E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 по конструкции</w:t>
            </w:r>
          </w:p>
        </w:tc>
      </w:tr>
      <w:tr w:rsidR="004E10C1" w:rsidRPr="0044524F" w14:paraId="1156CD87" w14:textId="77777777">
        <w:tc>
          <w:tcPr>
            <w:tcW w:w="1809" w:type="dxa"/>
          </w:tcPr>
          <w:p w14:paraId="4F6A27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8897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2B4B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F58B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E5C6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F637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B21E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3EE6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19A1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с-та велась по плану,</w:t>
            </w:r>
          </w:p>
        </w:tc>
      </w:tr>
      <w:tr w:rsidR="004E10C1" w:rsidRPr="0044524F" w14:paraId="7A95641A" w14:textId="77777777">
        <w:tc>
          <w:tcPr>
            <w:tcW w:w="1809" w:type="dxa"/>
          </w:tcPr>
          <w:p w14:paraId="4A1775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1032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6606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10FF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3710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762E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E1DB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F9BA9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1C841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идет замена</w:t>
            </w:r>
          </w:p>
        </w:tc>
      </w:tr>
      <w:tr w:rsidR="004E10C1" w:rsidRPr="0044524F" w14:paraId="7D01E817" w14:textId="77777777">
        <w:tc>
          <w:tcPr>
            <w:tcW w:w="1809" w:type="dxa"/>
          </w:tcPr>
          <w:p w14:paraId="502E3F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B34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5672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7037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0598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C2D9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0D68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6206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D8EDE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обшивки крыла вместо</w:t>
            </w:r>
          </w:p>
        </w:tc>
      </w:tr>
      <w:tr w:rsidR="004E10C1" w:rsidRPr="0044524F" w14:paraId="1DD023DA" w14:textId="77777777">
        <w:tc>
          <w:tcPr>
            <w:tcW w:w="1809" w:type="dxa"/>
          </w:tcPr>
          <w:p w14:paraId="4D31B8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8415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28B8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48DD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5397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D99B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1E98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E02A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6D9D5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гофра гладкая.</w:t>
            </w:r>
          </w:p>
        </w:tc>
      </w:tr>
      <w:tr w:rsidR="004E10C1" w:rsidRPr="0044524F" w14:paraId="5F00EE68" w14:textId="77777777">
        <w:tc>
          <w:tcPr>
            <w:tcW w:w="1809" w:type="dxa"/>
          </w:tcPr>
          <w:p w14:paraId="54FC36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дуб.</w:t>
            </w:r>
          </w:p>
        </w:tc>
        <w:tc>
          <w:tcPr>
            <w:tcW w:w="717" w:type="dxa"/>
          </w:tcPr>
          <w:p w14:paraId="6AB201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1/XI-33</w:t>
            </w:r>
          </w:p>
        </w:tc>
        <w:tc>
          <w:tcPr>
            <w:tcW w:w="717" w:type="dxa"/>
          </w:tcPr>
          <w:p w14:paraId="49E83D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935F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C5A3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3950</w:t>
            </w:r>
          </w:p>
        </w:tc>
        <w:tc>
          <w:tcPr>
            <w:tcW w:w="717" w:type="dxa"/>
          </w:tcPr>
          <w:p w14:paraId="3E1F3C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4262</w:t>
            </w:r>
          </w:p>
        </w:tc>
        <w:tc>
          <w:tcPr>
            <w:tcW w:w="717" w:type="dxa"/>
          </w:tcPr>
          <w:p w14:paraId="4F7008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0841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FB99E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Ведутся работы по</w:t>
            </w:r>
          </w:p>
        </w:tc>
      </w:tr>
      <w:tr w:rsidR="004E10C1" w:rsidRPr="0044524F" w14:paraId="38459E33" w14:textId="77777777">
        <w:tc>
          <w:tcPr>
            <w:tcW w:w="1809" w:type="dxa"/>
          </w:tcPr>
          <w:p w14:paraId="41C6E7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BCF2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AD0C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BEA5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F2D2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9367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EEE9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8305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66629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вооружению, винтам,</w:t>
            </w:r>
          </w:p>
        </w:tc>
      </w:tr>
      <w:tr w:rsidR="004E10C1" w:rsidRPr="0044524F" w14:paraId="49F6813F" w14:textId="77777777">
        <w:tc>
          <w:tcPr>
            <w:tcW w:w="1809" w:type="dxa"/>
          </w:tcPr>
          <w:p w14:paraId="61D2EC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DA4C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C6D2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7728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6350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2276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2007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C099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CC4EE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идет и</w:t>
            </w:r>
          </w:p>
        </w:tc>
      </w:tr>
      <w:tr w:rsidR="004E10C1" w:rsidRPr="0044524F" w14:paraId="080E1BE5" w14:textId="77777777">
        <w:tc>
          <w:tcPr>
            <w:tcW w:w="1809" w:type="dxa"/>
          </w:tcPr>
          <w:p w14:paraId="10C92B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8736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3FAC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DC6B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0F6F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2816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06D0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743B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41015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сдача серийных чертежей</w:t>
            </w:r>
          </w:p>
        </w:tc>
      </w:tr>
      <w:tr w:rsidR="004E10C1" w:rsidRPr="0044524F" w14:paraId="2E3BCA31" w14:textId="77777777">
        <w:tc>
          <w:tcPr>
            <w:tcW w:w="1809" w:type="dxa"/>
          </w:tcPr>
          <w:p w14:paraId="2050C9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4B4A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7652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390A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47A8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21B0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6ECE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FFC4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53430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 N 22 по</w:t>
            </w:r>
          </w:p>
        </w:tc>
      </w:tr>
      <w:tr w:rsidR="004E10C1" w:rsidRPr="0044524F" w14:paraId="51B59B09" w14:textId="77777777">
        <w:tc>
          <w:tcPr>
            <w:tcW w:w="1809" w:type="dxa"/>
          </w:tcPr>
          <w:p w14:paraId="46C88A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847B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7E27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BB96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7965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375F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5D4B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162E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2F1CF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мотооборудованию велись</w:t>
            </w:r>
          </w:p>
        </w:tc>
      </w:tr>
      <w:tr w:rsidR="004E10C1" w:rsidRPr="0044524F" w14:paraId="0DDD8C58" w14:textId="77777777">
        <w:tc>
          <w:tcPr>
            <w:tcW w:w="1809" w:type="dxa"/>
          </w:tcPr>
          <w:p w14:paraId="3F0997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0758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AE8AD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5840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A446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4322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7E79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0285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8B835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закончены выхлопа,</w:t>
            </w:r>
          </w:p>
        </w:tc>
      </w:tr>
      <w:tr w:rsidR="004E10C1" w:rsidRPr="0044524F" w14:paraId="1A18F473" w14:textId="77777777">
        <w:tc>
          <w:tcPr>
            <w:tcW w:w="1809" w:type="dxa"/>
          </w:tcPr>
          <w:p w14:paraId="075DC2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0A84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7C0E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3F72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0B2B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99EF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7EC1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CC8C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A27F6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подогрев и масляная</w:t>
            </w:r>
          </w:p>
        </w:tc>
      </w:tr>
      <w:tr w:rsidR="004E10C1" w:rsidRPr="0044524F" w14:paraId="1A1BEB41" w14:textId="77777777">
        <w:tc>
          <w:tcPr>
            <w:tcW w:w="1809" w:type="dxa"/>
          </w:tcPr>
          <w:p w14:paraId="4A66B1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BB01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4017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D316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073D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D22B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E334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5E9D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DE4C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система.</w:t>
            </w:r>
          </w:p>
        </w:tc>
      </w:tr>
      <w:tr w:rsidR="004E10C1" w:rsidRPr="0044524F" w14:paraId="6F412813" w14:textId="77777777">
        <w:tc>
          <w:tcPr>
            <w:tcW w:w="1809" w:type="dxa"/>
          </w:tcPr>
          <w:p w14:paraId="3C1CDE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 1-й</w:t>
            </w:r>
          </w:p>
        </w:tc>
        <w:tc>
          <w:tcPr>
            <w:tcW w:w="717" w:type="dxa"/>
          </w:tcPr>
          <w:p w14:paraId="3AA0FA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1/IX-34</w:t>
            </w:r>
          </w:p>
        </w:tc>
        <w:tc>
          <w:tcPr>
            <w:tcW w:w="717" w:type="dxa"/>
          </w:tcPr>
          <w:p w14:paraId="4CB3D0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4A4C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5A05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1985</w:t>
            </w:r>
          </w:p>
        </w:tc>
        <w:tc>
          <w:tcPr>
            <w:tcW w:w="717" w:type="dxa"/>
          </w:tcPr>
          <w:p w14:paraId="72933D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2037</w:t>
            </w:r>
          </w:p>
        </w:tc>
        <w:tc>
          <w:tcPr>
            <w:tcW w:w="717" w:type="dxa"/>
          </w:tcPr>
          <w:p w14:paraId="15B5A9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72,5</w:t>
            </w:r>
          </w:p>
        </w:tc>
        <w:tc>
          <w:tcPr>
            <w:tcW w:w="717" w:type="dxa"/>
          </w:tcPr>
          <w:p w14:paraId="752417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73,8</w:t>
            </w:r>
          </w:p>
        </w:tc>
        <w:tc>
          <w:tcPr>
            <w:tcW w:w="3200" w:type="dxa"/>
          </w:tcPr>
          <w:p w14:paraId="0498A6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лбразом идет работа</w:t>
            </w:r>
          </w:p>
        </w:tc>
      </w:tr>
      <w:tr w:rsidR="004E10C1" w:rsidRPr="0044524F" w14:paraId="6A43A515" w14:textId="77777777">
        <w:tc>
          <w:tcPr>
            <w:tcW w:w="1809" w:type="dxa"/>
          </w:tcPr>
          <w:p w14:paraId="31AB60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9F3B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C5C0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23B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2180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5AE3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D4A2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F35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DA0BB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вооружению. Закончены</w:t>
            </w:r>
          </w:p>
        </w:tc>
      </w:tr>
      <w:tr w:rsidR="004E10C1" w:rsidRPr="0044524F" w14:paraId="7C9FB62D" w14:textId="77777777">
        <w:tc>
          <w:tcPr>
            <w:tcW w:w="1809" w:type="dxa"/>
          </w:tcPr>
          <w:p w14:paraId="4020F7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D570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4350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6702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CD09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F4D6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E1F3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3EE5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6F553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КД-2,</w:t>
            </w:r>
          </w:p>
        </w:tc>
      </w:tr>
      <w:tr w:rsidR="004E10C1" w:rsidRPr="0044524F" w14:paraId="3AB2A740" w14:textId="77777777">
        <w:tc>
          <w:tcPr>
            <w:tcW w:w="1809" w:type="dxa"/>
          </w:tcPr>
          <w:p w14:paraId="161CDB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2080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F72F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EF73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3489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7ECC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6F86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7D2F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81A5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перезаряжен.</w:t>
            </w:r>
          </w:p>
        </w:tc>
      </w:tr>
      <w:tr w:rsidR="004E10C1" w:rsidRPr="0044524F" w14:paraId="37CE1405" w14:textId="77777777">
        <w:tc>
          <w:tcPr>
            <w:tcW w:w="1809" w:type="dxa"/>
          </w:tcPr>
          <w:p w14:paraId="72C705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2677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B841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A7B2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76FF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36F9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1EBE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8F95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262EA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размещение</w:t>
            </w:r>
          </w:p>
        </w:tc>
      </w:tr>
      <w:tr w:rsidR="004E10C1" w:rsidRPr="0044524F" w14:paraId="1D2CB044" w14:textId="77777777">
        <w:tc>
          <w:tcPr>
            <w:tcW w:w="1809" w:type="dxa"/>
          </w:tcPr>
          <w:p w14:paraId="77E2DF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9205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E50F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9C73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0901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8B3D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D0B0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0D5C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CAE13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электропуска.</w:t>
            </w:r>
          </w:p>
        </w:tc>
      </w:tr>
      <w:tr w:rsidR="004E10C1" w:rsidRPr="0044524F" w14:paraId="6E4D9861" w14:textId="77777777">
        <w:tc>
          <w:tcPr>
            <w:tcW w:w="1809" w:type="dxa"/>
          </w:tcPr>
          <w:p w14:paraId="5672EE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Глиссер-6</w:t>
            </w:r>
          </w:p>
        </w:tc>
        <w:tc>
          <w:tcPr>
            <w:tcW w:w="717" w:type="dxa"/>
          </w:tcPr>
          <w:p w14:paraId="12420C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1/III-35</w:t>
            </w:r>
          </w:p>
        </w:tc>
        <w:tc>
          <w:tcPr>
            <w:tcW w:w="717" w:type="dxa"/>
          </w:tcPr>
          <w:p w14:paraId="0AE05C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38D8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DD89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6755</w:t>
            </w:r>
          </w:p>
        </w:tc>
        <w:tc>
          <w:tcPr>
            <w:tcW w:w="717" w:type="dxa"/>
          </w:tcPr>
          <w:p w14:paraId="4CF536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6123</w:t>
            </w:r>
          </w:p>
        </w:tc>
        <w:tc>
          <w:tcPr>
            <w:tcW w:w="717" w:type="dxa"/>
          </w:tcPr>
          <w:p w14:paraId="763057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37A23F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667695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ведутся по плану.</w:t>
            </w:r>
          </w:p>
        </w:tc>
      </w:tr>
      <w:tr w:rsidR="004E10C1" w:rsidRPr="0044524F" w14:paraId="7E659180" w14:textId="77777777">
        <w:tc>
          <w:tcPr>
            <w:tcW w:w="1809" w:type="dxa"/>
          </w:tcPr>
          <w:p w14:paraId="31DBC1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Аэросани</w:t>
            </w:r>
          </w:p>
        </w:tc>
        <w:tc>
          <w:tcPr>
            <w:tcW w:w="717" w:type="dxa"/>
          </w:tcPr>
          <w:p w14:paraId="56AA1D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1/II-34</w:t>
            </w:r>
          </w:p>
        </w:tc>
        <w:tc>
          <w:tcPr>
            <w:tcW w:w="717" w:type="dxa"/>
          </w:tcPr>
          <w:p w14:paraId="572836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CB95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430F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1600</w:t>
            </w:r>
          </w:p>
        </w:tc>
        <w:tc>
          <w:tcPr>
            <w:tcW w:w="717" w:type="dxa"/>
          </w:tcPr>
          <w:p w14:paraId="4CB16F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1098</w:t>
            </w:r>
          </w:p>
        </w:tc>
        <w:tc>
          <w:tcPr>
            <w:tcW w:w="717" w:type="dxa"/>
          </w:tcPr>
          <w:p w14:paraId="4E0C80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509BB8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00FCD4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Состояние работ по саням</w:t>
            </w:r>
          </w:p>
        </w:tc>
      </w:tr>
      <w:tr w:rsidR="004E10C1" w:rsidRPr="0044524F" w14:paraId="3F3B757F" w14:textId="77777777">
        <w:tc>
          <w:tcPr>
            <w:tcW w:w="1809" w:type="dxa"/>
          </w:tcPr>
          <w:p w14:paraId="198BC7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78E8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6E2C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AD33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8FB8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A051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6193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57FC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C7E2A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характеризуются</w:t>
            </w:r>
          </w:p>
        </w:tc>
      </w:tr>
      <w:tr w:rsidR="004E10C1" w:rsidRPr="0044524F" w14:paraId="0D2CCB2F" w14:textId="77777777">
        <w:tc>
          <w:tcPr>
            <w:tcW w:w="1809" w:type="dxa"/>
          </w:tcPr>
          <w:p w14:paraId="671770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3C8B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BF75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133E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5472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BE73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6341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E54E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066A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следующими %%: шасси 5%,</w:t>
            </w:r>
          </w:p>
        </w:tc>
      </w:tr>
      <w:tr w:rsidR="004E10C1" w:rsidRPr="0044524F" w14:paraId="7EEEF5E6" w14:textId="77777777">
        <w:tc>
          <w:tcPr>
            <w:tcW w:w="1809" w:type="dxa"/>
          </w:tcPr>
          <w:p w14:paraId="0A7B94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0773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F273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4CF6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8E56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8DC1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468A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4B63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126F7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- 40%,</w:t>
            </w:r>
          </w:p>
        </w:tc>
      </w:tr>
      <w:tr w:rsidR="004E10C1" w:rsidRPr="0044524F" w14:paraId="461D1D7E" w14:textId="77777777">
        <w:tc>
          <w:tcPr>
            <w:tcW w:w="1809" w:type="dxa"/>
          </w:tcPr>
          <w:p w14:paraId="305C68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2498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EE1E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1BE5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3F8B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DD7C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ECFE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F11C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AD706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мотооборудование 20%,</w:t>
            </w:r>
          </w:p>
        </w:tc>
      </w:tr>
      <w:tr w:rsidR="004E10C1" w:rsidRPr="0044524F" w14:paraId="251EA5C1" w14:textId="77777777">
        <w:tc>
          <w:tcPr>
            <w:tcW w:w="1809" w:type="dxa"/>
          </w:tcPr>
          <w:p w14:paraId="66014B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BD60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32CC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EE5D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86BB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C814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CD1A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6BF3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5648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корпус 15,5%, лыжи 17%,</w:t>
            </w:r>
          </w:p>
        </w:tc>
      </w:tr>
      <w:tr w:rsidR="004E10C1" w:rsidRPr="0044524F" w14:paraId="5FAF83AD" w14:textId="77777777">
        <w:tc>
          <w:tcPr>
            <w:tcW w:w="1809" w:type="dxa"/>
          </w:tcPr>
          <w:p w14:paraId="23C9A3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85A2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B623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75B8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40BE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D885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8CDD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0D91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9809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расчеты 33%.</w:t>
            </w:r>
          </w:p>
        </w:tc>
      </w:tr>
      <w:tr w:rsidR="004E10C1" w:rsidRPr="0044524F" w14:paraId="668B4F14" w14:textId="77777777">
        <w:tc>
          <w:tcPr>
            <w:tcW w:w="1809" w:type="dxa"/>
          </w:tcPr>
          <w:p w14:paraId="6B5B6A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АНТ-38</w:t>
            </w:r>
          </w:p>
        </w:tc>
        <w:tc>
          <w:tcPr>
            <w:tcW w:w="717" w:type="dxa"/>
          </w:tcPr>
          <w:p w14:paraId="2D0605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1/VI-35</w:t>
            </w:r>
          </w:p>
        </w:tc>
        <w:tc>
          <w:tcPr>
            <w:tcW w:w="717" w:type="dxa"/>
          </w:tcPr>
          <w:p w14:paraId="5AFB1F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02C1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D083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420</w:t>
            </w:r>
          </w:p>
        </w:tc>
        <w:tc>
          <w:tcPr>
            <w:tcW w:w="717" w:type="dxa"/>
          </w:tcPr>
          <w:p w14:paraId="7560E6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369</w:t>
            </w:r>
          </w:p>
        </w:tc>
        <w:tc>
          <w:tcPr>
            <w:tcW w:w="717" w:type="dxa"/>
          </w:tcPr>
          <w:p w14:paraId="217B3F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103EA7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4EBDE8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Предварительные изыскан.</w:t>
            </w:r>
          </w:p>
        </w:tc>
      </w:tr>
      <w:tr w:rsidR="004E10C1" w:rsidRPr="0044524F" w14:paraId="089045D7" w14:textId="77777777">
        <w:tc>
          <w:tcPr>
            <w:tcW w:w="1809" w:type="dxa"/>
          </w:tcPr>
          <w:p w14:paraId="0965A1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 пас.</w:t>
            </w:r>
          </w:p>
        </w:tc>
        <w:tc>
          <w:tcPr>
            <w:tcW w:w="717" w:type="dxa"/>
          </w:tcPr>
          <w:p w14:paraId="1AE475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1/VIII-34</w:t>
            </w:r>
          </w:p>
        </w:tc>
        <w:tc>
          <w:tcPr>
            <w:tcW w:w="717" w:type="dxa"/>
          </w:tcPr>
          <w:p w14:paraId="496EB8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A319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06F4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717" w:type="dxa"/>
          </w:tcPr>
          <w:p w14:paraId="30DBEE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717" w:type="dxa"/>
          </w:tcPr>
          <w:p w14:paraId="006192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3A35D0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3D79E6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общего вида.</w:t>
            </w:r>
          </w:p>
        </w:tc>
      </w:tr>
      <w:tr w:rsidR="004E10C1" w:rsidRPr="0044524F" w14:paraId="769FD70E" w14:textId="77777777">
        <w:tc>
          <w:tcPr>
            <w:tcW w:w="1809" w:type="dxa"/>
          </w:tcPr>
          <w:p w14:paraId="21D3FC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АНТ-35</w:t>
            </w:r>
          </w:p>
        </w:tc>
        <w:tc>
          <w:tcPr>
            <w:tcW w:w="717" w:type="dxa"/>
          </w:tcPr>
          <w:p w14:paraId="5C9651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1/VIII-34</w:t>
            </w:r>
          </w:p>
        </w:tc>
        <w:tc>
          <w:tcPr>
            <w:tcW w:w="717" w:type="dxa"/>
          </w:tcPr>
          <w:p w14:paraId="0DBE1C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5983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07FD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295</w:t>
            </w:r>
          </w:p>
        </w:tc>
        <w:tc>
          <w:tcPr>
            <w:tcW w:w="717" w:type="dxa"/>
          </w:tcPr>
          <w:p w14:paraId="3792FF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265</w:t>
            </w:r>
          </w:p>
        </w:tc>
        <w:tc>
          <w:tcPr>
            <w:tcW w:w="717" w:type="dxa"/>
          </w:tcPr>
          <w:p w14:paraId="1D6703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13F7C7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23A471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общего вида.</w:t>
            </w:r>
          </w:p>
        </w:tc>
      </w:tr>
      <w:tr w:rsidR="004E10C1" w:rsidRPr="0044524F" w14:paraId="45458E2F" w14:textId="77777777">
        <w:tc>
          <w:tcPr>
            <w:tcW w:w="1809" w:type="dxa"/>
          </w:tcPr>
          <w:p w14:paraId="6D0A35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Самолеты в серию.</w:t>
            </w:r>
          </w:p>
        </w:tc>
        <w:tc>
          <w:tcPr>
            <w:tcW w:w="717" w:type="dxa"/>
          </w:tcPr>
          <w:p w14:paraId="3BAD0A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84E7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ADBD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5146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0585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E9DF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3FC5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C8715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6059583" w14:textId="77777777">
        <w:tc>
          <w:tcPr>
            <w:tcW w:w="1809" w:type="dxa"/>
          </w:tcPr>
          <w:p w14:paraId="186C8B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М.Г. в.в.</w:t>
            </w:r>
          </w:p>
        </w:tc>
        <w:tc>
          <w:tcPr>
            <w:tcW w:w="717" w:type="dxa"/>
          </w:tcPr>
          <w:p w14:paraId="173257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1/V-34</w:t>
            </w:r>
          </w:p>
        </w:tc>
        <w:tc>
          <w:tcPr>
            <w:tcW w:w="717" w:type="dxa"/>
          </w:tcPr>
          <w:p w14:paraId="0165A4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5DFF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1391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1815</w:t>
            </w:r>
          </w:p>
        </w:tc>
        <w:tc>
          <w:tcPr>
            <w:tcW w:w="717" w:type="dxa"/>
          </w:tcPr>
          <w:p w14:paraId="61C7A8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2499</w:t>
            </w:r>
          </w:p>
        </w:tc>
        <w:tc>
          <w:tcPr>
            <w:tcW w:w="717" w:type="dxa"/>
          </w:tcPr>
          <w:p w14:paraId="439307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937B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701AA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серийных</w:t>
            </w:r>
          </w:p>
        </w:tc>
      </w:tr>
      <w:tr w:rsidR="004E10C1" w:rsidRPr="0044524F" w14:paraId="1DC75C05" w14:textId="77777777">
        <w:tc>
          <w:tcPr>
            <w:tcW w:w="1809" w:type="dxa"/>
          </w:tcPr>
          <w:p w14:paraId="7F45B4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2F6F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E330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B54B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0F6C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C549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B0D8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FCF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4A9B6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чертежей по ф. 1, ф.2,</w:t>
            </w:r>
          </w:p>
        </w:tc>
      </w:tr>
      <w:tr w:rsidR="004E10C1" w:rsidRPr="0044524F" w14:paraId="1C777504" w14:textId="77777777">
        <w:tc>
          <w:tcPr>
            <w:tcW w:w="1809" w:type="dxa"/>
          </w:tcPr>
          <w:p w14:paraId="0421F4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9C4E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6CD1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ACF8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BBD1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5606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4032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D487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368F4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ф3 и ф4, центроплану,</w:t>
            </w:r>
          </w:p>
        </w:tc>
      </w:tr>
      <w:tr w:rsidR="004E10C1" w:rsidRPr="0044524F" w14:paraId="62939368" w14:textId="77777777">
        <w:tc>
          <w:tcPr>
            <w:tcW w:w="1809" w:type="dxa"/>
          </w:tcPr>
          <w:p w14:paraId="2DD0D0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E070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347D6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0878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0579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0ACA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198A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D794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F783B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отъемной части крыла.</w:t>
            </w:r>
          </w:p>
        </w:tc>
      </w:tr>
      <w:tr w:rsidR="004E10C1" w:rsidRPr="0044524F" w14:paraId="13B799C2" w14:textId="77777777">
        <w:tc>
          <w:tcPr>
            <w:tcW w:w="1809" w:type="dxa"/>
          </w:tcPr>
          <w:p w14:paraId="528ADE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М.Г. пас. в.</w:t>
            </w:r>
          </w:p>
        </w:tc>
        <w:tc>
          <w:tcPr>
            <w:tcW w:w="717" w:type="dxa"/>
          </w:tcPr>
          <w:p w14:paraId="348355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1/V-34</w:t>
            </w:r>
          </w:p>
        </w:tc>
        <w:tc>
          <w:tcPr>
            <w:tcW w:w="717" w:type="dxa"/>
          </w:tcPr>
          <w:p w14:paraId="2D8677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9D39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CBEFD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285</w:t>
            </w:r>
          </w:p>
        </w:tc>
        <w:tc>
          <w:tcPr>
            <w:tcW w:w="717" w:type="dxa"/>
          </w:tcPr>
          <w:p w14:paraId="661E98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244</w:t>
            </w:r>
          </w:p>
        </w:tc>
        <w:tc>
          <w:tcPr>
            <w:tcW w:w="717" w:type="dxa"/>
          </w:tcPr>
          <w:p w14:paraId="3ECC3D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w:t>
            </w:r>
          </w:p>
        </w:tc>
        <w:tc>
          <w:tcPr>
            <w:tcW w:w="717" w:type="dxa"/>
          </w:tcPr>
          <w:p w14:paraId="3C6D19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w:t>
            </w:r>
          </w:p>
        </w:tc>
        <w:tc>
          <w:tcPr>
            <w:tcW w:w="3200" w:type="dxa"/>
          </w:tcPr>
          <w:p w14:paraId="407641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Заканчивается работа по</w:t>
            </w:r>
          </w:p>
        </w:tc>
      </w:tr>
      <w:tr w:rsidR="004E10C1" w:rsidRPr="0044524F" w14:paraId="100766A4" w14:textId="77777777">
        <w:tc>
          <w:tcPr>
            <w:tcW w:w="1809" w:type="dxa"/>
          </w:tcPr>
          <w:p w14:paraId="059267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A0BE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B26B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E0E4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B7C0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65C6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8FC4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6BC4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45871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 чертежам пассажир.</w:t>
            </w:r>
          </w:p>
        </w:tc>
      </w:tr>
      <w:tr w:rsidR="004E10C1" w:rsidRPr="0044524F" w14:paraId="2A14DC2F" w14:textId="77777777">
        <w:tc>
          <w:tcPr>
            <w:tcW w:w="1809" w:type="dxa"/>
          </w:tcPr>
          <w:p w14:paraId="06F94F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7D54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218A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C387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222C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0035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0AAC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798A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BCE07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оборудования.</w:t>
            </w:r>
          </w:p>
        </w:tc>
      </w:tr>
      <w:tr w:rsidR="004E10C1" w:rsidRPr="0044524F" w14:paraId="125DF027" w14:textId="77777777">
        <w:tc>
          <w:tcPr>
            <w:tcW w:w="1809" w:type="dxa"/>
          </w:tcPr>
          <w:p w14:paraId="7D4FD3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АНТ-14 в/в</w:t>
            </w:r>
          </w:p>
        </w:tc>
        <w:tc>
          <w:tcPr>
            <w:tcW w:w="717" w:type="dxa"/>
          </w:tcPr>
          <w:p w14:paraId="7A6A6E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 кв. 34</w:t>
            </w:r>
          </w:p>
        </w:tc>
        <w:tc>
          <w:tcPr>
            <w:tcW w:w="717" w:type="dxa"/>
          </w:tcPr>
          <w:p w14:paraId="601F93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60E6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76A3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3555</w:t>
            </w:r>
          </w:p>
        </w:tc>
        <w:tc>
          <w:tcPr>
            <w:tcW w:w="717" w:type="dxa"/>
          </w:tcPr>
          <w:p w14:paraId="685F9C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2762</w:t>
            </w:r>
          </w:p>
        </w:tc>
        <w:tc>
          <w:tcPr>
            <w:tcW w:w="717" w:type="dxa"/>
          </w:tcPr>
          <w:p w14:paraId="371492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5781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70914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Подготовка чертежей </w:t>
            </w:r>
          </w:p>
        </w:tc>
      </w:tr>
      <w:tr w:rsidR="004E10C1" w:rsidRPr="0044524F" w14:paraId="08E8F759" w14:textId="77777777">
        <w:tc>
          <w:tcPr>
            <w:tcW w:w="1809" w:type="dxa"/>
          </w:tcPr>
          <w:p w14:paraId="38D2B1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F16C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CBDB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A482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E2D50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7990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A516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5D4C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74B90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вооружения (кассетные</w:t>
            </w:r>
          </w:p>
        </w:tc>
      </w:tr>
      <w:tr w:rsidR="004E10C1" w:rsidRPr="0044524F" w14:paraId="4EE4522E" w14:textId="77777777">
        <w:tc>
          <w:tcPr>
            <w:tcW w:w="1809" w:type="dxa"/>
          </w:tcPr>
          <w:p w14:paraId="6C65CD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80DC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8EA4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3B12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3EBF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3D05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0019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D6CA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12761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балки и установки их,</w:t>
            </w:r>
          </w:p>
        </w:tc>
      </w:tr>
      <w:tr w:rsidR="004E10C1" w:rsidRPr="0044524F" w14:paraId="1CCEAECB" w14:textId="77777777">
        <w:tc>
          <w:tcPr>
            <w:tcW w:w="1809" w:type="dxa"/>
          </w:tcPr>
          <w:p w14:paraId="283198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B1BF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0B8D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3C79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07DF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0453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0C0E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A4D7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5E8BE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проводка АСТ) по</w:t>
            </w:r>
          </w:p>
        </w:tc>
      </w:tr>
      <w:tr w:rsidR="004E10C1" w:rsidRPr="0044524F" w14:paraId="213659EE" w14:textId="77777777">
        <w:tc>
          <w:tcPr>
            <w:tcW w:w="1809" w:type="dxa"/>
          </w:tcPr>
          <w:p w14:paraId="401467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D67D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A0E2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2B2F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C5EE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60BE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8690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6840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B7561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самолетной части: ф-1,</w:t>
            </w:r>
          </w:p>
        </w:tc>
      </w:tr>
      <w:tr w:rsidR="004E10C1" w:rsidRPr="0044524F" w14:paraId="6875BAEA" w14:textId="77777777">
        <w:tc>
          <w:tcPr>
            <w:tcW w:w="1809" w:type="dxa"/>
          </w:tcPr>
          <w:p w14:paraId="3D24D2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AB9C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9C5F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001F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CB23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0CC4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E1EC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3E9B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5F08D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ф-4 и грузовому отсеку.</w:t>
            </w:r>
          </w:p>
        </w:tc>
      </w:tr>
      <w:tr w:rsidR="004E10C1" w:rsidRPr="0044524F" w14:paraId="5A635B7E" w14:textId="77777777">
        <w:tc>
          <w:tcPr>
            <w:tcW w:w="1809" w:type="dxa"/>
          </w:tcPr>
          <w:p w14:paraId="07909F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 сер.</w:t>
            </w:r>
          </w:p>
        </w:tc>
        <w:tc>
          <w:tcPr>
            <w:tcW w:w="717" w:type="dxa"/>
          </w:tcPr>
          <w:p w14:paraId="523127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10/I-34</w:t>
            </w:r>
          </w:p>
        </w:tc>
        <w:tc>
          <w:tcPr>
            <w:tcW w:w="717" w:type="dxa"/>
          </w:tcPr>
          <w:p w14:paraId="42C666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5310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DA52B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3645</w:t>
            </w:r>
          </w:p>
        </w:tc>
        <w:tc>
          <w:tcPr>
            <w:tcW w:w="717" w:type="dxa"/>
          </w:tcPr>
          <w:p w14:paraId="647413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3502</w:t>
            </w:r>
          </w:p>
        </w:tc>
        <w:tc>
          <w:tcPr>
            <w:tcW w:w="717" w:type="dxa"/>
          </w:tcPr>
          <w:p w14:paraId="5412CF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BD67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D2AB4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Исполнен следующий объем</w:t>
            </w:r>
          </w:p>
        </w:tc>
      </w:tr>
      <w:tr w:rsidR="004E10C1" w:rsidRPr="0044524F" w14:paraId="3F1FE8BF" w14:textId="77777777">
        <w:tc>
          <w:tcPr>
            <w:tcW w:w="1809" w:type="dxa"/>
          </w:tcPr>
          <w:p w14:paraId="30B9E5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A6AC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2C09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8451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35E9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45A7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4798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BC92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A4B8A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работ по сдаче в серию. </w:t>
            </w:r>
          </w:p>
        </w:tc>
      </w:tr>
      <w:tr w:rsidR="004E10C1" w:rsidRPr="0044524F" w14:paraId="7C481BB6" w14:textId="77777777">
        <w:tc>
          <w:tcPr>
            <w:tcW w:w="1809" w:type="dxa"/>
          </w:tcPr>
          <w:p w14:paraId="4630C3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C21C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BDAA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3D17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B7F3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00C1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FC0B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4D96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F9D30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Центроплан 45%, лодка</w:t>
            </w:r>
          </w:p>
        </w:tc>
      </w:tr>
      <w:tr w:rsidR="004E10C1" w:rsidRPr="0044524F" w14:paraId="66A99BC1" w14:textId="77777777">
        <w:tc>
          <w:tcPr>
            <w:tcW w:w="1809" w:type="dxa"/>
          </w:tcPr>
          <w:p w14:paraId="755C04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26D9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730C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BAD2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2BFC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7846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2988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6E8F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89066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 киль 65%, управлен.</w:t>
            </w:r>
          </w:p>
        </w:tc>
      </w:tr>
      <w:tr w:rsidR="004E10C1" w:rsidRPr="0044524F" w14:paraId="00E7F7B9" w14:textId="77777777">
        <w:tc>
          <w:tcPr>
            <w:tcW w:w="1809" w:type="dxa"/>
          </w:tcPr>
          <w:p w14:paraId="13C930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5D36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FF30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E12F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E3DC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F8C3E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3E0D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8E1E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446F3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описание с-та 30%.</w:t>
            </w:r>
          </w:p>
        </w:tc>
      </w:tr>
      <w:tr w:rsidR="004E10C1" w:rsidRPr="0044524F" w14:paraId="0B024CBF" w14:textId="77777777">
        <w:tc>
          <w:tcPr>
            <w:tcW w:w="1809" w:type="dxa"/>
          </w:tcPr>
          <w:p w14:paraId="5E1723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 сер.</w:t>
            </w:r>
          </w:p>
        </w:tc>
        <w:tc>
          <w:tcPr>
            <w:tcW w:w="717" w:type="dxa"/>
          </w:tcPr>
          <w:p w14:paraId="38ADBE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15/II-34</w:t>
            </w:r>
          </w:p>
        </w:tc>
        <w:tc>
          <w:tcPr>
            <w:tcW w:w="717" w:type="dxa"/>
          </w:tcPr>
          <w:p w14:paraId="7C5F22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8B3BA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F5EC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1640</w:t>
            </w:r>
          </w:p>
        </w:tc>
        <w:tc>
          <w:tcPr>
            <w:tcW w:w="717" w:type="dxa"/>
          </w:tcPr>
          <w:p w14:paraId="628956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2048</w:t>
            </w:r>
          </w:p>
        </w:tc>
        <w:tc>
          <w:tcPr>
            <w:tcW w:w="717" w:type="dxa"/>
          </w:tcPr>
          <w:p w14:paraId="49C930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5335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12F34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Закончена предварительн.</w:t>
            </w:r>
          </w:p>
        </w:tc>
      </w:tr>
      <w:tr w:rsidR="004E10C1" w:rsidRPr="0044524F" w14:paraId="223D4CC9" w14:textId="77777777">
        <w:tc>
          <w:tcPr>
            <w:tcW w:w="1809" w:type="dxa"/>
          </w:tcPr>
          <w:p w14:paraId="7246E9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777A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ADB5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16ED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A0F5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FBDD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706A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B3AF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95663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чертежей по</w:t>
            </w:r>
          </w:p>
        </w:tc>
      </w:tr>
      <w:tr w:rsidR="004E10C1" w:rsidRPr="0044524F" w14:paraId="63EDECB8" w14:textId="77777777">
        <w:tc>
          <w:tcPr>
            <w:tcW w:w="1809" w:type="dxa"/>
          </w:tcPr>
          <w:p w14:paraId="24B78F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18D6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DB8C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B656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B21D3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CD14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A5C7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3E4B2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7A1C4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вооружению, ведется по</w:t>
            </w:r>
          </w:p>
        </w:tc>
      </w:tr>
      <w:tr w:rsidR="004E10C1" w:rsidRPr="0044524F" w14:paraId="28D1CC4D" w14:textId="77777777">
        <w:tc>
          <w:tcPr>
            <w:tcW w:w="1809" w:type="dxa"/>
          </w:tcPr>
          <w:p w14:paraId="399F3A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9A74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68F7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D9EF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CCD7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65DC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CB56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BEA2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26571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управлению - 90%, килю</w:t>
            </w:r>
          </w:p>
        </w:tc>
      </w:tr>
      <w:tr w:rsidR="004E10C1" w:rsidRPr="0044524F" w14:paraId="240CA03E" w14:textId="77777777">
        <w:tc>
          <w:tcPr>
            <w:tcW w:w="1809" w:type="dxa"/>
          </w:tcPr>
          <w:p w14:paraId="139768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A267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704E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1AC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CFBF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0452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CE94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21D3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CBDD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 отъемной части крыла</w:t>
            </w:r>
          </w:p>
        </w:tc>
      </w:tr>
      <w:tr w:rsidR="004E10C1" w:rsidRPr="0044524F" w14:paraId="2E5FCACE" w14:textId="77777777">
        <w:tc>
          <w:tcPr>
            <w:tcW w:w="1809" w:type="dxa"/>
          </w:tcPr>
          <w:p w14:paraId="136C2A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AD81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5A02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1AC3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D8FA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FDE6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74D0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69CB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1B315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r>
      <w:tr w:rsidR="004E10C1" w:rsidRPr="0044524F" w14:paraId="0F9567F4" w14:textId="77777777">
        <w:tc>
          <w:tcPr>
            <w:tcW w:w="1809" w:type="dxa"/>
          </w:tcPr>
          <w:p w14:paraId="2BF3FB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717" w:type="dxa"/>
          </w:tcPr>
          <w:p w14:paraId="49FBC6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1/II-34</w:t>
            </w:r>
          </w:p>
        </w:tc>
        <w:tc>
          <w:tcPr>
            <w:tcW w:w="717" w:type="dxa"/>
          </w:tcPr>
          <w:p w14:paraId="5B02E7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78A4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3931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1170</w:t>
            </w:r>
          </w:p>
        </w:tc>
        <w:tc>
          <w:tcPr>
            <w:tcW w:w="717" w:type="dxa"/>
          </w:tcPr>
          <w:p w14:paraId="612631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1061</w:t>
            </w:r>
          </w:p>
        </w:tc>
        <w:tc>
          <w:tcPr>
            <w:tcW w:w="717" w:type="dxa"/>
          </w:tcPr>
          <w:p w14:paraId="1140B2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09B9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22A65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серво-рулю и</w:t>
            </w:r>
          </w:p>
        </w:tc>
      </w:tr>
      <w:tr w:rsidR="004E10C1" w:rsidRPr="0044524F" w14:paraId="50135D62" w14:textId="77777777">
        <w:tc>
          <w:tcPr>
            <w:tcW w:w="1809" w:type="dxa"/>
          </w:tcPr>
          <w:p w14:paraId="71C1C5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B7DD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B637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7262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47EF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CC85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25C7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5454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62DA4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переделке руля</w:t>
            </w:r>
          </w:p>
        </w:tc>
      </w:tr>
      <w:tr w:rsidR="004E10C1" w:rsidRPr="0044524F" w14:paraId="633CDDB8" w14:textId="77777777">
        <w:tc>
          <w:tcPr>
            <w:tcW w:w="1809" w:type="dxa"/>
          </w:tcPr>
          <w:p w14:paraId="11F25F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3475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7932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88C1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269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272B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CBFF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0B4A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23FC3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направлений. Закончен</w:t>
            </w:r>
          </w:p>
        </w:tc>
      </w:tr>
      <w:tr w:rsidR="004E10C1" w:rsidRPr="0044524F" w14:paraId="0F9CB137" w14:textId="77777777">
        <w:tc>
          <w:tcPr>
            <w:tcW w:w="1809" w:type="dxa"/>
          </w:tcPr>
          <w:p w14:paraId="3112C7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7184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07A8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EACB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9D16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6AFA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1040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E8CE5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E48F2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амортизатор.</w:t>
            </w:r>
          </w:p>
        </w:tc>
      </w:tr>
      <w:tr w:rsidR="004E10C1" w:rsidRPr="0044524F" w14:paraId="075519E8" w14:textId="77777777">
        <w:tc>
          <w:tcPr>
            <w:tcW w:w="1809" w:type="dxa"/>
          </w:tcPr>
          <w:p w14:paraId="09473E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в.в.</w:t>
            </w:r>
          </w:p>
        </w:tc>
        <w:tc>
          <w:tcPr>
            <w:tcW w:w="717" w:type="dxa"/>
          </w:tcPr>
          <w:p w14:paraId="0D2860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1/XI-33</w:t>
            </w:r>
          </w:p>
        </w:tc>
        <w:tc>
          <w:tcPr>
            <w:tcW w:w="717" w:type="dxa"/>
          </w:tcPr>
          <w:p w14:paraId="611250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9A9B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3C01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717" w:type="dxa"/>
          </w:tcPr>
          <w:p w14:paraId="4D1BA7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909</w:t>
            </w:r>
          </w:p>
        </w:tc>
        <w:tc>
          <w:tcPr>
            <w:tcW w:w="717" w:type="dxa"/>
          </w:tcPr>
          <w:p w14:paraId="38FD31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717" w:type="dxa"/>
          </w:tcPr>
          <w:p w14:paraId="644FB4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3200" w:type="dxa"/>
          </w:tcPr>
          <w:p w14:paraId="60C52C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Переделки чертежей руля</w:t>
            </w:r>
          </w:p>
        </w:tc>
      </w:tr>
      <w:tr w:rsidR="004E10C1" w:rsidRPr="0044524F" w14:paraId="05DABDFC" w14:textId="77777777">
        <w:tc>
          <w:tcPr>
            <w:tcW w:w="1809" w:type="dxa"/>
          </w:tcPr>
          <w:p w14:paraId="66CF93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65F3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64E2C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1DFE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B75B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484D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DDF5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2816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4E73B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направления и элерона.</w:t>
            </w:r>
          </w:p>
        </w:tc>
      </w:tr>
      <w:tr w:rsidR="004E10C1" w:rsidRPr="0044524F" w14:paraId="37C0B8B1" w14:textId="77777777">
        <w:tc>
          <w:tcPr>
            <w:tcW w:w="1809" w:type="dxa"/>
          </w:tcPr>
          <w:p w14:paraId="33B72B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w:t>
            </w:r>
          </w:p>
        </w:tc>
        <w:tc>
          <w:tcPr>
            <w:tcW w:w="717" w:type="dxa"/>
          </w:tcPr>
          <w:p w14:paraId="1500A4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15/XII-33</w:t>
            </w:r>
          </w:p>
        </w:tc>
        <w:tc>
          <w:tcPr>
            <w:tcW w:w="717" w:type="dxa"/>
          </w:tcPr>
          <w:p w14:paraId="54B6C1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22239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1537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910</w:t>
            </w:r>
          </w:p>
        </w:tc>
        <w:tc>
          <w:tcPr>
            <w:tcW w:w="717" w:type="dxa"/>
          </w:tcPr>
          <w:p w14:paraId="2701F3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727</w:t>
            </w:r>
          </w:p>
        </w:tc>
        <w:tc>
          <w:tcPr>
            <w:tcW w:w="717" w:type="dxa"/>
          </w:tcPr>
          <w:p w14:paraId="10EBF6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69C5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FD3B4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и исправление</w:t>
            </w:r>
          </w:p>
        </w:tc>
      </w:tr>
      <w:tr w:rsidR="004E10C1" w:rsidRPr="0044524F" w14:paraId="5DB802AB" w14:textId="77777777">
        <w:tc>
          <w:tcPr>
            <w:tcW w:w="1809" w:type="dxa"/>
          </w:tcPr>
          <w:p w14:paraId="777A33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1656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0B8F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9D07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3E77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702A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0D3A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7E03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4DAB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чертежей.</w:t>
            </w:r>
          </w:p>
        </w:tc>
      </w:tr>
      <w:tr w:rsidR="004E10C1" w:rsidRPr="0044524F" w14:paraId="58FC2B44" w14:textId="77777777">
        <w:tc>
          <w:tcPr>
            <w:tcW w:w="1809" w:type="dxa"/>
          </w:tcPr>
          <w:p w14:paraId="774B3F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АНТ-14 пасс. в.</w:t>
            </w:r>
          </w:p>
        </w:tc>
        <w:tc>
          <w:tcPr>
            <w:tcW w:w="717" w:type="dxa"/>
          </w:tcPr>
          <w:p w14:paraId="1CCD02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1/I-34</w:t>
            </w:r>
          </w:p>
        </w:tc>
        <w:tc>
          <w:tcPr>
            <w:tcW w:w="717" w:type="dxa"/>
          </w:tcPr>
          <w:p w14:paraId="7FDC40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9E3E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C8D6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4150</w:t>
            </w:r>
          </w:p>
        </w:tc>
        <w:tc>
          <w:tcPr>
            <w:tcW w:w="717" w:type="dxa"/>
          </w:tcPr>
          <w:p w14:paraId="17C7C4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4658</w:t>
            </w:r>
          </w:p>
        </w:tc>
        <w:tc>
          <w:tcPr>
            <w:tcW w:w="717" w:type="dxa"/>
          </w:tcPr>
          <w:p w14:paraId="65C57E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8197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A8FC8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Закончены работы по</w:t>
            </w:r>
          </w:p>
        </w:tc>
      </w:tr>
      <w:tr w:rsidR="004E10C1" w:rsidRPr="0044524F" w14:paraId="17012F29" w14:textId="77777777">
        <w:tc>
          <w:tcPr>
            <w:tcW w:w="1809" w:type="dxa"/>
          </w:tcPr>
          <w:p w14:paraId="5D14B4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6837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3055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5121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8AB7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AD7C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8DB7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8D6DE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62BBD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горизонтальному оперению</w:t>
            </w:r>
          </w:p>
        </w:tc>
      </w:tr>
      <w:tr w:rsidR="004E10C1" w:rsidRPr="0044524F" w14:paraId="4B5DC742" w14:textId="77777777">
        <w:tc>
          <w:tcPr>
            <w:tcW w:w="1809" w:type="dxa"/>
          </w:tcPr>
          <w:p w14:paraId="237B06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BABE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1C0D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4516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73EA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5FAC1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ED6C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776C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A9B85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управлению, костыльной</w:t>
            </w:r>
          </w:p>
        </w:tc>
      </w:tr>
      <w:tr w:rsidR="004E10C1" w:rsidRPr="0044524F" w14:paraId="2FE7FA6C" w14:textId="77777777">
        <w:tc>
          <w:tcPr>
            <w:tcW w:w="1809" w:type="dxa"/>
          </w:tcPr>
          <w:p w14:paraId="67B212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7EBA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D08B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8E6A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286F6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A394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7E48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B935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B4B39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установке, фюзеляжу</w:t>
            </w:r>
          </w:p>
        </w:tc>
      </w:tr>
      <w:tr w:rsidR="004E10C1" w:rsidRPr="0044524F" w14:paraId="5C4E3BAA" w14:textId="77777777">
        <w:tc>
          <w:tcPr>
            <w:tcW w:w="1809" w:type="dxa"/>
          </w:tcPr>
          <w:p w14:paraId="717ECE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C72F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6982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B1E8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43B9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B3524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BC0E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7E82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54E6A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носовой и хвостовой</w:t>
            </w:r>
          </w:p>
        </w:tc>
      </w:tr>
      <w:tr w:rsidR="004E10C1" w:rsidRPr="0044524F" w14:paraId="3FE55914" w14:textId="77777777">
        <w:tc>
          <w:tcPr>
            <w:tcW w:w="1809" w:type="dxa"/>
          </w:tcPr>
          <w:p w14:paraId="4053C7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20B0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1E6C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37DE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5AF1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F73E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2043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CCB3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91399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части оборудованию.</w:t>
            </w:r>
          </w:p>
        </w:tc>
      </w:tr>
      <w:tr w:rsidR="004E10C1" w:rsidRPr="0044524F" w14:paraId="7E8F14F7" w14:textId="77777777">
        <w:tc>
          <w:tcPr>
            <w:tcW w:w="1809" w:type="dxa"/>
          </w:tcPr>
          <w:p w14:paraId="5C973D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 самолет.</w:t>
            </w:r>
          </w:p>
        </w:tc>
        <w:tc>
          <w:tcPr>
            <w:tcW w:w="717" w:type="dxa"/>
          </w:tcPr>
          <w:p w14:paraId="312F18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BFF6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4D54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ABF52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D37D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47443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4921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F9DA9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21B93C3" w14:textId="77777777">
        <w:tc>
          <w:tcPr>
            <w:tcW w:w="1809" w:type="dxa"/>
          </w:tcPr>
          <w:p w14:paraId="522441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2М (ДБ)</w:t>
            </w:r>
          </w:p>
        </w:tc>
        <w:tc>
          <w:tcPr>
            <w:tcW w:w="717" w:type="dxa"/>
          </w:tcPr>
          <w:p w14:paraId="53F418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1/VI-34</w:t>
            </w:r>
          </w:p>
        </w:tc>
        <w:tc>
          <w:tcPr>
            <w:tcW w:w="717" w:type="dxa"/>
          </w:tcPr>
          <w:p w14:paraId="566211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488D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754F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520</w:t>
            </w:r>
          </w:p>
        </w:tc>
        <w:tc>
          <w:tcPr>
            <w:tcW w:w="717" w:type="dxa"/>
          </w:tcPr>
          <w:p w14:paraId="248588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131</w:t>
            </w:r>
          </w:p>
        </w:tc>
        <w:tc>
          <w:tcPr>
            <w:tcW w:w="717" w:type="dxa"/>
          </w:tcPr>
          <w:p w14:paraId="31E3F7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1194CA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143220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общего вида.</w:t>
            </w:r>
          </w:p>
        </w:tc>
      </w:tr>
      <w:tr w:rsidR="004E10C1" w:rsidRPr="0044524F" w14:paraId="548FE84E" w14:textId="77777777">
        <w:tc>
          <w:tcPr>
            <w:tcW w:w="1809" w:type="dxa"/>
          </w:tcPr>
          <w:p w14:paraId="57008B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БП-1</w:t>
            </w:r>
          </w:p>
        </w:tc>
        <w:tc>
          <w:tcPr>
            <w:tcW w:w="717" w:type="dxa"/>
          </w:tcPr>
          <w:p w14:paraId="4AFABA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1/I-34</w:t>
            </w:r>
          </w:p>
        </w:tc>
        <w:tc>
          <w:tcPr>
            <w:tcW w:w="717" w:type="dxa"/>
          </w:tcPr>
          <w:p w14:paraId="0FDED2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34BC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3690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2950</w:t>
            </w:r>
          </w:p>
        </w:tc>
        <w:tc>
          <w:tcPr>
            <w:tcW w:w="717" w:type="dxa"/>
          </w:tcPr>
          <w:p w14:paraId="044B1C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2911</w:t>
            </w:r>
          </w:p>
        </w:tc>
        <w:tc>
          <w:tcPr>
            <w:tcW w:w="717" w:type="dxa"/>
          </w:tcPr>
          <w:p w14:paraId="50994F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717" w:type="dxa"/>
          </w:tcPr>
          <w:p w14:paraId="248241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87</w:t>
            </w:r>
          </w:p>
        </w:tc>
        <w:tc>
          <w:tcPr>
            <w:tcW w:w="3200" w:type="dxa"/>
          </w:tcPr>
          <w:p w14:paraId="342A44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1/XII проектирование</w:t>
            </w:r>
          </w:p>
        </w:tc>
      </w:tr>
      <w:tr w:rsidR="004E10C1" w:rsidRPr="0044524F" w14:paraId="313C6458" w14:textId="77777777">
        <w:tc>
          <w:tcPr>
            <w:tcW w:w="1809" w:type="dxa"/>
          </w:tcPr>
          <w:p w14:paraId="2FCFE8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628B2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5C89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25BC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AEC0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2008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7E84D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F5A6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09DB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доведено до след.</w:t>
            </w:r>
          </w:p>
        </w:tc>
      </w:tr>
      <w:tr w:rsidR="004E10C1" w:rsidRPr="0044524F" w14:paraId="2CDBE901" w14:textId="77777777">
        <w:tc>
          <w:tcPr>
            <w:tcW w:w="1809" w:type="dxa"/>
          </w:tcPr>
          <w:p w14:paraId="74E253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9D72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344A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2B4B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09B7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C9B4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2ECB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42D5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A00D4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объемов: крыло - 95%</w:t>
            </w:r>
          </w:p>
        </w:tc>
      </w:tr>
      <w:tr w:rsidR="004E10C1" w:rsidRPr="0044524F" w14:paraId="76AB2A6A" w14:textId="77777777">
        <w:tc>
          <w:tcPr>
            <w:tcW w:w="1809" w:type="dxa"/>
          </w:tcPr>
          <w:p w14:paraId="0B869C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405B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0E26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F09F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1C8F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BC56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4FB9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83C2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DD886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 - 80%, оперение</w:t>
            </w:r>
          </w:p>
        </w:tc>
      </w:tr>
      <w:tr w:rsidR="004E10C1" w:rsidRPr="0044524F" w14:paraId="6825EAFE" w14:textId="77777777">
        <w:tc>
          <w:tcPr>
            <w:tcW w:w="1809" w:type="dxa"/>
          </w:tcPr>
          <w:p w14:paraId="1F8724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982B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D79D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C78D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7AD1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C370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CDC0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6F1A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15DD7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 управление - 95%,</w:t>
            </w:r>
          </w:p>
        </w:tc>
      </w:tr>
      <w:tr w:rsidR="004E10C1" w:rsidRPr="0044524F" w14:paraId="6C0D55D1" w14:textId="77777777">
        <w:tc>
          <w:tcPr>
            <w:tcW w:w="1809" w:type="dxa"/>
          </w:tcPr>
          <w:p w14:paraId="11B4F2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5BE9B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6443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D8530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ADB9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B746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0C33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29E2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EE256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общий вид - 75% расчеты</w:t>
            </w:r>
          </w:p>
        </w:tc>
      </w:tr>
      <w:tr w:rsidR="004E10C1" w:rsidRPr="0044524F" w14:paraId="63374DD9" w14:textId="77777777">
        <w:tc>
          <w:tcPr>
            <w:tcW w:w="1809" w:type="dxa"/>
          </w:tcPr>
          <w:p w14:paraId="56A22C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87D6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41E0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569A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713D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6052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4B0B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F829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456DB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закончены.</w:t>
            </w:r>
          </w:p>
        </w:tc>
      </w:tr>
      <w:tr w:rsidR="004E10C1" w:rsidRPr="0044524F" w14:paraId="7A120483" w14:textId="77777777">
        <w:tc>
          <w:tcPr>
            <w:tcW w:w="1809" w:type="dxa"/>
          </w:tcPr>
          <w:p w14:paraId="5BB266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БП-2</w:t>
            </w:r>
          </w:p>
        </w:tc>
        <w:tc>
          <w:tcPr>
            <w:tcW w:w="717" w:type="dxa"/>
          </w:tcPr>
          <w:p w14:paraId="660AB9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1/IV-34</w:t>
            </w:r>
          </w:p>
        </w:tc>
        <w:tc>
          <w:tcPr>
            <w:tcW w:w="717" w:type="dxa"/>
          </w:tcPr>
          <w:p w14:paraId="448C07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0C69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3823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c>
          <w:tcPr>
            <w:tcW w:w="717" w:type="dxa"/>
          </w:tcPr>
          <w:p w14:paraId="22A665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732</w:t>
            </w:r>
          </w:p>
        </w:tc>
        <w:tc>
          <w:tcPr>
            <w:tcW w:w="717" w:type="dxa"/>
          </w:tcPr>
          <w:p w14:paraId="64A3B6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77902A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70BC12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идут по плану.</w:t>
            </w:r>
          </w:p>
        </w:tc>
      </w:tr>
      <w:tr w:rsidR="004E10C1" w:rsidRPr="0044524F" w14:paraId="4FFE448B" w14:textId="77777777">
        <w:tc>
          <w:tcPr>
            <w:tcW w:w="1809" w:type="dxa"/>
          </w:tcPr>
          <w:p w14:paraId="204410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БС-1</w:t>
            </w:r>
          </w:p>
        </w:tc>
        <w:tc>
          <w:tcPr>
            <w:tcW w:w="717" w:type="dxa"/>
          </w:tcPr>
          <w:p w14:paraId="6E35E7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15/II-35</w:t>
            </w:r>
          </w:p>
        </w:tc>
        <w:tc>
          <w:tcPr>
            <w:tcW w:w="717" w:type="dxa"/>
          </w:tcPr>
          <w:p w14:paraId="250AA0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A91C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9A443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c>
          <w:tcPr>
            <w:tcW w:w="717" w:type="dxa"/>
          </w:tcPr>
          <w:p w14:paraId="1DCA0F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6BCDF1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56AD68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58E52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не велись.</w:t>
            </w:r>
          </w:p>
        </w:tc>
      </w:tr>
      <w:tr w:rsidR="004E10C1" w:rsidRPr="0044524F" w14:paraId="104AB9CF" w14:textId="77777777">
        <w:tc>
          <w:tcPr>
            <w:tcW w:w="1809" w:type="dxa"/>
          </w:tcPr>
          <w:p w14:paraId="689873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дуб.</w:t>
            </w:r>
          </w:p>
        </w:tc>
        <w:tc>
          <w:tcPr>
            <w:tcW w:w="717" w:type="dxa"/>
          </w:tcPr>
          <w:p w14:paraId="3BA1F0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4E9A0A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9DA6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120D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640</w:t>
            </w:r>
          </w:p>
        </w:tc>
        <w:tc>
          <w:tcPr>
            <w:tcW w:w="717" w:type="dxa"/>
          </w:tcPr>
          <w:p w14:paraId="74934E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537</w:t>
            </w:r>
          </w:p>
        </w:tc>
        <w:tc>
          <w:tcPr>
            <w:tcW w:w="717" w:type="dxa"/>
          </w:tcPr>
          <w:p w14:paraId="524026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021CD8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3200" w:type="dxa"/>
          </w:tcPr>
          <w:p w14:paraId="27AC19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Велось проектирование</w:t>
            </w:r>
          </w:p>
        </w:tc>
      </w:tr>
      <w:tr w:rsidR="004E10C1" w:rsidRPr="0044524F" w14:paraId="3A7B1FA3" w14:textId="77777777">
        <w:tc>
          <w:tcPr>
            <w:tcW w:w="1809" w:type="dxa"/>
          </w:tcPr>
          <w:p w14:paraId="1DC704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70E2F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4849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2686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02F1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F8D3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C7B7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E343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3A0CA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нового винта и расчет</w:t>
            </w:r>
          </w:p>
        </w:tc>
      </w:tr>
      <w:tr w:rsidR="004E10C1" w:rsidRPr="0044524F" w14:paraId="1DD36FAA" w14:textId="77777777">
        <w:tc>
          <w:tcPr>
            <w:tcW w:w="1809" w:type="dxa"/>
          </w:tcPr>
          <w:p w14:paraId="207980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4D9C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84FD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FB04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F434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87ED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A88A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D837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9DF12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дальности.</w:t>
            </w:r>
          </w:p>
        </w:tc>
      </w:tr>
      <w:tr w:rsidR="004E10C1" w:rsidRPr="0044524F" w14:paraId="7F68DBD6" w14:textId="77777777">
        <w:tc>
          <w:tcPr>
            <w:tcW w:w="1809" w:type="dxa"/>
          </w:tcPr>
          <w:p w14:paraId="536F94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w:t>
            </w:r>
          </w:p>
        </w:tc>
        <w:tc>
          <w:tcPr>
            <w:tcW w:w="717" w:type="dxa"/>
          </w:tcPr>
          <w:p w14:paraId="7AADCB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787447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F7C4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F3B7E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570</w:t>
            </w:r>
          </w:p>
        </w:tc>
        <w:tc>
          <w:tcPr>
            <w:tcW w:w="717" w:type="dxa"/>
          </w:tcPr>
          <w:p w14:paraId="28667B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824</w:t>
            </w:r>
          </w:p>
        </w:tc>
        <w:tc>
          <w:tcPr>
            <w:tcW w:w="717" w:type="dxa"/>
          </w:tcPr>
          <w:p w14:paraId="7EA422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79D108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63318F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исследовательск.</w:t>
            </w:r>
          </w:p>
        </w:tc>
      </w:tr>
      <w:tr w:rsidR="004E10C1" w:rsidRPr="0044524F" w14:paraId="7EF891E6" w14:textId="77777777">
        <w:tc>
          <w:tcPr>
            <w:tcW w:w="1809" w:type="dxa"/>
          </w:tcPr>
          <w:p w14:paraId="74C696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8F67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80A9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FA38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4AE6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7B89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659B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FA87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D22E6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характера.</w:t>
            </w:r>
          </w:p>
        </w:tc>
      </w:tr>
      <w:tr w:rsidR="004E10C1" w:rsidRPr="0044524F" w14:paraId="6AC68B25" w14:textId="77777777">
        <w:tc>
          <w:tcPr>
            <w:tcW w:w="1809" w:type="dxa"/>
          </w:tcPr>
          <w:p w14:paraId="21022B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Доделки и улучш.</w:t>
            </w:r>
          </w:p>
        </w:tc>
        <w:tc>
          <w:tcPr>
            <w:tcW w:w="717" w:type="dxa"/>
          </w:tcPr>
          <w:p w14:paraId="6B5CEB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CF38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BA00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C132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6B936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A7731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AC56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38BF1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E07AF85" w14:textId="77777777">
        <w:tc>
          <w:tcPr>
            <w:tcW w:w="1809" w:type="dxa"/>
          </w:tcPr>
          <w:p w14:paraId="5DD50B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717" w:type="dxa"/>
          </w:tcPr>
          <w:p w14:paraId="51200C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58A72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B552A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D51F4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c>
          <w:tcPr>
            <w:tcW w:w="717" w:type="dxa"/>
          </w:tcPr>
          <w:p w14:paraId="5C2655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486</w:t>
            </w:r>
          </w:p>
        </w:tc>
        <w:tc>
          <w:tcPr>
            <w:tcW w:w="717" w:type="dxa"/>
          </w:tcPr>
          <w:p w14:paraId="45BAE3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2DC00C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3BA2C2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хвостовой</w:t>
            </w:r>
          </w:p>
        </w:tc>
      </w:tr>
      <w:tr w:rsidR="004E10C1" w:rsidRPr="0044524F" w14:paraId="6085BF85" w14:textId="77777777">
        <w:tc>
          <w:tcPr>
            <w:tcW w:w="1809" w:type="dxa"/>
          </w:tcPr>
          <w:p w14:paraId="37E568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6E968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4F71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9C02B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55C9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224E3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3F5B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9527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62911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части фюзеляжа (этал.</w:t>
            </w:r>
          </w:p>
        </w:tc>
      </w:tr>
      <w:tr w:rsidR="004E10C1" w:rsidRPr="0044524F" w14:paraId="662BBEEF" w14:textId="77777777">
        <w:tc>
          <w:tcPr>
            <w:tcW w:w="1809" w:type="dxa"/>
          </w:tcPr>
          <w:p w14:paraId="061144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6BC4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554A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2A56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4CF0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8C10D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41F2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9FE52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CA58D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 г.).</w:t>
            </w:r>
          </w:p>
        </w:tc>
      </w:tr>
      <w:tr w:rsidR="004E10C1" w:rsidRPr="0044524F" w14:paraId="67DAD2C1" w14:textId="77777777">
        <w:tc>
          <w:tcPr>
            <w:tcW w:w="1809" w:type="dxa"/>
          </w:tcPr>
          <w:p w14:paraId="3748B4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717" w:type="dxa"/>
          </w:tcPr>
          <w:p w14:paraId="7B40D4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31DC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0EF79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E0BD7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730</w:t>
            </w:r>
          </w:p>
        </w:tc>
        <w:tc>
          <w:tcPr>
            <w:tcW w:w="717" w:type="dxa"/>
          </w:tcPr>
          <w:p w14:paraId="174FBA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1033</w:t>
            </w:r>
          </w:p>
        </w:tc>
        <w:tc>
          <w:tcPr>
            <w:tcW w:w="717" w:type="dxa"/>
          </w:tcPr>
          <w:p w14:paraId="68A55C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2AE647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5F5556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редукторных</w:t>
            </w:r>
          </w:p>
        </w:tc>
      </w:tr>
      <w:tr w:rsidR="004E10C1" w:rsidRPr="0044524F" w14:paraId="53A96F31" w14:textId="77777777">
        <w:tc>
          <w:tcPr>
            <w:tcW w:w="1809" w:type="dxa"/>
          </w:tcPr>
          <w:p w14:paraId="50D419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E1E4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C16BF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BFF5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2B58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F91B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8E2A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0891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EC8AD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моторов.</w:t>
            </w:r>
          </w:p>
        </w:tc>
      </w:tr>
      <w:tr w:rsidR="004E10C1" w:rsidRPr="0044524F" w14:paraId="2EA1CA4B" w14:textId="77777777">
        <w:tc>
          <w:tcPr>
            <w:tcW w:w="1809" w:type="dxa"/>
          </w:tcPr>
          <w:p w14:paraId="261B99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717" w:type="dxa"/>
          </w:tcPr>
          <w:p w14:paraId="0BE414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0300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46FB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C35FB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1830</w:t>
            </w:r>
          </w:p>
        </w:tc>
        <w:tc>
          <w:tcPr>
            <w:tcW w:w="717" w:type="dxa"/>
          </w:tcPr>
          <w:p w14:paraId="1DF5A1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1765</w:t>
            </w:r>
          </w:p>
        </w:tc>
        <w:tc>
          <w:tcPr>
            <w:tcW w:w="717" w:type="dxa"/>
          </w:tcPr>
          <w:p w14:paraId="734327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72557A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543FCC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Перевооружение самолета.</w:t>
            </w:r>
          </w:p>
        </w:tc>
      </w:tr>
      <w:tr w:rsidR="004E10C1" w:rsidRPr="0044524F" w14:paraId="0BB34ECD" w14:textId="77777777">
        <w:tc>
          <w:tcPr>
            <w:tcW w:w="1809" w:type="dxa"/>
          </w:tcPr>
          <w:p w14:paraId="0FDA5A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717" w:type="dxa"/>
          </w:tcPr>
          <w:p w14:paraId="46D227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3A83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D946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729C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w:t>
            </w:r>
          </w:p>
        </w:tc>
        <w:tc>
          <w:tcPr>
            <w:tcW w:w="717" w:type="dxa"/>
          </w:tcPr>
          <w:p w14:paraId="43E9D7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408</w:t>
            </w:r>
          </w:p>
        </w:tc>
        <w:tc>
          <w:tcPr>
            <w:tcW w:w="717" w:type="dxa"/>
          </w:tcPr>
          <w:p w14:paraId="7CFB3C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4D4DFA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439023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облегчению</w:t>
            </w:r>
          </w:p>
        </w:tc>
      </w:tr>
      <w:tr w:rsidR="004E10C1" w:rsidRPr="0044524F" w14:paraId="49E6E90F" w14:textId="77777777">
        <w:tc>
          <w:tcPr>
            <w:tcW w:w="1809" w:type="dxa"/>
          </w:tcPr>
          <w:p w14:paraId="78E2BF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CFDD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7557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2B455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4BF5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192E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2312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7C47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DFF5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самолета.</w:t>
            </w:r>
          </w:p>
        </w:tc>
      </w:tr>
      <w:tr w:rsidR="004E10C1" w:rsidRPr="0044524F" w14:paraId="2E974308" w14:textId="77777777">
        <w:tc>
          <w:tcPr>
            <w:tcW w:w="1809" w:type="dxa"/>
          </w:tcPr>
          <w:p w14:paraId="3A87C7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w:t>
            </w:r>
          </w:p>
        </w:tc>
        <w:tc>
          <w:tcPr>
            <w:tcW w:w="717" w:type="dxa"/>
          </w:tcPr>
          <w:p w14:paraId="060BDE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5088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A3DC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621E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w:t>
            </w:r>
          </w:p>
        </w:tc>
        <w:tc>
          <w:tcPr>
            <w:tcW w:w="717" w:type="dxa"/>
          </w:tcPr>
          <w:p w14:paraId="1032EB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717" w:type="dxa"/>
          </w:tcPr>
          <w:p w14:paraId="0C85B1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7FE87F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157117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электропровода</w:t>
            </w:r>
          </w:p>
        </w:tc>
      </w:tr>
      <w:tr w:rsidR="004E10C1" w:rsidRPr="0044524F" w14:paraId="52354CED" w14:textId="77777777">
        <w:tc>
          <w:tcPr>
            <w:tcW w:w="1809" w:type="dxa"/>
          </w:tcPr>
          <w:p w14:paraId="7BF358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A59A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30E6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411D8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B704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21FB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DBDF6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B49E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B233F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управления жалюзями.</w:t>
            </w:r>
          </w:p>
        </w:tc>
      </w:tr>
      <w:tr w:rsidR="004E10C1" w:rsidRPr="0044524F" w14:paraId="74CF9266" w14:textId="77777777">
        <w:tc>
          <w:tcPr>
            <w:tcW w:w="1809" w:type="dxa"/>
          </w:tcPr>
          <w:p w14:paraId="61D4FD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оп.</w:t>
            </w:r>
          </w:p>
        </w:tc>
        <w:tc>
          <w:tcPr>
            <w:tcW w:w="717" w:type="dxa"/>
          </w:tcPr>
          <w:p w14:paraId="42FDF8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3059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DEEC5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2741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717" w:type="dxa"/>
          </w:tcPr>
          <w:p w14:paraId="08FA92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684</w:t>
            </w:r>
          </w:p>
        </w:tc>
        <w:tc>
          <w:tcPr>
            <w:tcW w:w="717" w:type="dxa"/>
          </w:tcPr>
          <w:p w14:paraId="0FCCD7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406566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0D1EE1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Переделки в процессе</w:t>
            </w:r>
          </w:p>
        </w:tc>
      </w:tr>
      <w:tr w:rsidR="004E10C1" w:rsidRPr="0044524F" w14:paraId="6EF6D587" w14:textId="77777777">
        <w:tc>
          <w:tcPr>
            <w:tcW w:w="1809" w:type="dxa"/>
          </w:tcPr>
          <w:p w14:paraId="5A3052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AE59D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D80A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0CF4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0F19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54C7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6A4B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1DBE6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C1BBB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летных испытаний.</w:t>
            </w:r>
          </w:p>
        </w:tc>
      </w:tr>
      <w:tr w:rsidR="004E10C1" w:rsidRPr="0044524F" w14:paraId="34A137B8" w14:textId="77777777">
        <w:tc>
          <w:tcPr>
            <w:tcW w:w="1809" w:type="dxa"/>
          </w:tcPr>
          <w:p w14:paraId="0E6A9C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 оп.</w:t>
            </w:r>
          </w:p>
        </w:tc>
        <w:tc>
          <w:tcPr>
            <w:tcW w:w="717" w:type="dxa"/>
          </w:tcPr>
          <w:p w14:paraId="2B12CD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5E76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EF52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42C9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w:t>
            </w:r>
          </w:p>
        </w:tc>
        <w:tc>
          <w:tcPr>
            <w:tcW w:w="717" w:type="dxa"/>
          </w:tcPr>
          <w:p w14:paraId="3E3739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717" w:type="dxa"/>
          </w:tcPr>
          <w:p w14:paraId="67A53B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48F383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411744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793E2D0" w14:textId="77777777">
        <w:tc>
          <w:tcPr>
            <w:tcW w:w="1809" w:type="dxa"/>
          </w:tcPr>
          <w:p w14:paraId="27E34E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И-12 Б.К.</w:t>
            </w:r>
          </w:p>
        </w:tc>
        <w:tc>
          <w:tcPr>
            <w:tcW w:w="717" w:type="dxa"/>
          </w:tcPr>
          <w:p w14:paraId="565041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FE66A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597A6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DB37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230</w:t>
            </w:r>
          </w:p>
        </w:tc>
        <w:tc>
          <w:tcPr>
            <w:tcW w:w="717" w:type="dxa"/>
          </w:tcPr>
          <w:p w14:paraId="05F46E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717" w:type="dxa"/>
          </w:tcPr>
          <w:p w14:paraId="0D3364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07B2C0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6F8AB6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оборудованию.</w:t>
            </w:r>
          </w:p>
        </w:tc>
      </w:tr>
      <w:tr w:rsidR="004E10C1" w:rsidRPr="0044524F" w14:paraId="5499BFC9" w14:textId="77777777">
        <w:tc>
          <w:tcPr>
            <w:tcW w:w="1809" w:type="dxa"/>
          </w:tcPr>
          <w:p w14:paraId="3F7127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Планер ТБ-6</w:t>
            </w:r>
          </w:p>
        </w:tc>
        <w:tc>
          <w:tcPr>
            <w:tcW w:w="717" w:type="dxa"/>
          </w:tcPr>
          <w:p w14:paraId="730AB5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EFBF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49AC6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D0CD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717" w:type="dxa"/>
          </w:tcPr>
          <w:p w14:paraId="3561B4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95</w:t>
            </w:r>
          </w:p>
        </w:tc>
        <w:tc>
          <w:tcPr>
            <w:tcW w:w="717" w:type="dxa"/>
          </w:tcPr>
          <w:p w14:paraId="006314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7411FE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16F44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Мелкие переделки.</w:t>
            </w:r>
          </w:p>
        </w:tc>
      </w:tr>
      <w:tr w:rsidR="004E10C1" w:rsidRPr="0044524F" w14:paraId="74671271" w14:textId="77777777">
        <w:tc>
          <w:tcPr>
            <w:tcW w:w="1809" w:type="dxa"/>
          </w:tcPr>
          <w:p w14:paraId="295F63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Глиссер - 5</w:t>
            </w:r>
          </w:p>
        </w:tc>
        <w:tc>
          <w:tcPr>
            <w:tcW w:w="717" w:type="dxa"/>
          </w:tcPr>
          <w:p w14:paraId="4B8A4A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35DC4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53BC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A7EAD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125</w:t>
            </w:r>
          </w:p>
        </w:tc>
        <w:tc>
          <w:tcPr>
            <w:tcW w:w="717" w:type="dxa"/>
          </w:tcPr>
          <w:p w14:paraId="08C5C9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w:t>
            </w:r>
          </w:p>
        </w:tc>
        <w:tc>
          <w:tcPr>
            <w:tcW w:w="717" w:type="dxa"/>
          </w:tcPr>
          <w:p w14:paraId="26D2D1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00B88E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3321B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Переделки в процессе</w:t>
            </w:r>
          </w:p>
        </w:tc>
      </w:tr>
      <w:tr w:rsidR="004E10C1" w:rsidRPr="0044524F" w14:paraId="7C287B6B" w14:textId="77777777">
        <w:tc>
          <w:tcPr>
            <w:tcW w:w="1809" w:type="dxa"/>
          </w:tcPr>
          <w:p w14:paraId="313B64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7FC8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74642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6D2C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57AD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A730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EF14A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B0DF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180FA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испытаний.</w:t>
            </w:r>
          </w:p>
        </w:tc>
      </w:tr>
      <w:tr w:rsidR="004E10C1" w:rsidRPr="0044524F" w14:paraId="2D4C7997" w14:textId="77777777">
        <w:tc>
          <w:tcPr>
            <w:tcW w:w="1809" w:type="dxa"/>
          </w:tcPr>
          <w:p w14:paraId="38139F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голов.</w:t>
            </w:r>
          </w:p>
        </w:tc>
        <w:tc>
          <w:tcPr>
            <w:tcW w:w="717" w:type="dxa"/>
          </w:tcPr>
          <w:p w14:paraId="63E62C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047F6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3B894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18F7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445</w:t>
            </w:r>
          </w:p>
        </w:tc>
        <w:tc>
          <w:tcPr>
            <w:tcW w:w="717" w:type="dxa"/>
          </w:tcPr>
          <w:p w14:paraId="17E97C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941</w:t>
            </w:r>
          </w:p>
        </w:tc>
        <w:tc>
          <w:tcPr>
            <w:tcW w:w="717" w:type="dxa"/>
          </w:tcPr>
          <w:p w14:paraId="735182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191A09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6D966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Изготовление тактической</w:t>
            </w:r>
          </w:p>
        </w:tc>
      </w:tr>
      <w:tr w:rsidR="004E10C1" w:rsidRPr="0044524F" w14:paraId="78E69F93" w14:textId="77777777">
        <w:tc>
          <w:tcPr>
            <w:tcW w:w="1809" w:type="dxa"/>
          </w:tcPr>
          <w:p w14:paraId="69E164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C665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43122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0C9A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A8DDF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FC24F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C6F58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69F4F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8A83A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модели и переделки.</w:t>
            </w:r>
          </w:p>
        </w:tc>
      </w:tr>
      <w:tr w:rsidR="004E10C1" w:rsidRPr="0044524F" w14:paraId="5BF3EB89" w14:textId="77777777">
        <w:tc>
          <w:tcPr>
            <w:tcW w:w="1809" w:type="dxa"/>
          </w:tcPr>
          <w:p w14:paraId="4284B7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717" w:type="dxa"/>
          </w:tcPr>
          <w:p w14:paraId="7874EF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13ED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9A24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6DEF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5395</w:t>
            </w:r>
          </w:p>
        </w:tc>
        <w:tc>
          <w:tcPr>
            <w:tcW w:w="717" w:type="dxa"/>
          </w:tcPr>
          <w:p w14:paraId="24867D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6197</w:t>
            </w:r>
          </w:p>
        </w:tc>
        <w:tc>
          <w:tcPr>
            <w:tcW w:w="717" w:type="dxa"/>
          </w:tcPr>
          <w:p w14:paraId="5689F9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6405C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E3400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FC3D1CA" w14:textId="77777777">
        <w:tc>
          <w:tcPr>
            <w:tcW w:w="1809" w:type="dxa"/>
          </w:tcPr>
          <w:p w14:paraId="379FD2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Новые образцы по вооружению.</w:t>
            </w:r>
          </w:p>
        </w:tc>
        <w:tc>
          <w:tcPr>
            <w:tcW w:w="717" w:type="dxa"/>
          </w:tcPr>
          <w:p w14:paraId="096493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6A0C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97DAF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CAE9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6CD4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E2210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E535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35570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9613FB3" w14:textId="77777777">
        <w:tc>
          <w:tcPr>
            <w:tcW w:w="1809" w:type="dxa"/>
          </w:tcPr>
          <w:p w14:paraId="3653E2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Стрелковое</w:t>
            </w:r>
          </w:p>
        </w:tc>
        <w:tc>
          <w:tcPr>
            <w:tcW w:w="717" w:type="dxa"/>
          </w:tcPr>
          <w:p w14:paraId="4B24A0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72AD5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4E7F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B889F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8650</w:t>
            </w:r>
          </w:p>
        </w:tc>
        <w:tc>
          <w:tcPr>
            <w:tcW w:w="717" w:type="dxa"/>
          </w:tcPr>
          <w:p w14:paraId="23638E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8438</w:t>
            </w:r>
          </w:p>
        </w:tc>
        <w:tc>
          <w:tcPr>
            <w:tcW w:w="717" w:type="dxa"/>
          </w:tcPr>
          <w:p w14:paraId="3D6D73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2AFF86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7E78E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Ноябрьский объем работ</w:t>
            </w:r>
          </w:p>
        </w:tc>
      </w:tr>
      <w:tr w:rsidR="004E10C1" w:rsidRPr="0044524F" w14:paraId="6EAD76D3" w14:textId="77777777">
        <w:tc>
          <w:tcPr>
            <w:tcW w:w="1809" w:type="dxa"/>
          </w:tcPr>
          <w:p w14:paraId="22D5C0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D5214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0F782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2610F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9C30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302AB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6F3A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1842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3AE3E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на 99,8%.</w:t>
            </w:r>
          </w:p>
        </w:tc>
      </w:tr>
      <w:tr w:rsidR="004E10C1" w:rsidRPr="0044524F" w14:paraId="52679493" w14:textId="77777777">
        <w:tc>
          <w:tcPr>
            <w:tcW w:w="1809" w:type="dxa"/>
          </w:tcPr>
          <w:p w14:paraId="0FB469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Бомбардировщ.</w:t>
            </w:r>
          </w:p>
        </w:tc>
        <w:tc>
          <w:tcPr>
            <w:tcW w:w="717" w:type="dxa"/>
          </w:tcPr>
          <w:p w14:paraId="1749B0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0F9C9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BBE0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93D3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3985</w:t>
            </w:r>
          </w:p>
        </w:tc>
        <w:tc>
          <w:tcPr>
            <w:tcW w:w="717" w:type="dxa"/>
          </w:tcPr>
          <w:p w14:paraId="4D21C6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3333</w:t>
            </w:r>
          </w:p>
        </w:tc>
        <w:tc>
          <w:tcPr>
            <w:tcW w:w="717" w:type="dxa"/>
          </w:tcPr>
          <w:p w14:paraId="23B9FE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31613F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7AC0D2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-"- 114,2%.</w:t>
            </w:r>
          </w:p>
        </w:tc>
      </w:tr>
      <w:tr w:rsidR="004E10C1" w:rsidRPr="0044524F" w14:paraId="095A42B5" w14:textId="77777777">
        <w:tc>
          <w:tcPr>
            <w:tcW w:w="1809" w:type="dxa"/>
          </w:tcPr>
          <w:p w14:paraId="6ABBAF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Химическое</w:t>
            </w:r>
          </w:p>
        </w:tc>
        <w:tc>
          <w:tcPr>
            <w:tcW w:w="717" w:type="dxa"/>
          </w:tcPr>
          <w:p w14:paraId="3D3A7C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B8AA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26340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B135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3710</w:t>
            </w:r>
          </w:p>
        </w:tc>
        <w:tc>
          <w:tcPr>
            <w:tcW w:w="717" w:type="dxa"/>
          </w:tcPr>
          <w:p w14:paraId="5D4BF7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4565</w:t>
            </w:r>
          </w:p>
        </w:tc>
        <w:tc>
          <w:tcPr>
            <w:tcW w:w="717" w:type="dxa"/>
          </w:tcPr>
          <w:p w14:paraId="46519F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446807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5EE7D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-"- 121,3%.</w:t>
            </w:r>
          </w:p>
        </w:tc>
      </w:tr>
      <w:tr w:rsidR="004E10C1" w:rsidRPr="0044524F" w14:paraId="3E0FEC8D" w14:textId="77777777">
        <w:tc>
          <w:tcPr>
            <w:tcW w:w="1809" w:type="dxa"/>
          </w:tcPr>
          <w:p w14:paraId="66BDD0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ОЭЛ</w:t>
            </w:r>
          </w:p>
        </w:tc>
        <w:tc>
          <w:tcPr>
            <w:tcW w:w="717" w:type="dxa"/>
          </w:tcPr>
          <w:p w14:paraId="1AE45D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5D7F7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2D3D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9B90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4375</w:t>
            </w:r>
          </w:p>
        </w:tc>
        <w:tc>
          <w:tcPr>
            <w:tcW w:w="717" w:type="dxa"/>
          </w:tcPr>
          <w:p w14:paraId="161237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4126</w:t>
            </w:r>
          </w:p>
        </w:tc>
        <w:tc>
          <w:tcPr>
            <w:tcW w:w="717" w:type="dxa"/>
          </w:tcPr>
          <w:p w14:paraId="53D788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0EAAE3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CDFBA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-"- 81,8%.</w:t>
            </w:r>
          </w:p>
        </w:tc>
      </w:tr>
      <w:tr w:rsidR="004E10C1" w:rsidRPr="0044524F" w14:paraId="60B8260B" w14:textId="77777777">
        <w:tc>
          <w:tcPr>
            <w:tcW w:w="1809" w:type="dxa"/>
          </w:tcPr>
          <w:p w14:paraId="03F2AF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717" w:type="dxa"/>
          </w:tcPr>
          <w:p w14:paraId="103ABF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8E213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1EB9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CBB4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20720</w:t>
            </w:r>
          </w:p>
        </w:tc>
        <w:tc>
          <w:tcPr>
            <w:tcW w:w="717" w:type="dxa"/>
          </w:tcPr>
          <w:p w14:paraId="56D400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20462</w:t>
            </w:r>
          </w:p>
        </w:tc>
        <w:tc>
          <w:tcPr>
            <w:tcW w:w="717" w:type="dxa"/>
          </w:tcPr>
          <w:p w14:paraId="1E25D8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CF8E1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2F80A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28AB25E" w14:textId="77777777">
        <w:tc>
          <w:tcPr>
            <w:tcW w:w="1809" w:type="dxa"/>
          </w:tcPr>
          <w:p w14:paraId="139867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Опытн. образ. по оборудов.</w:t>
            </w:r>
          </w:p>
        </w:tc>
        <w:tc>
          <w:tcPr>
            <w:tcW w:w="717" w:type="dxa"/>
          </w:tcPr>
          <w:p w14:paraId="58D16F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5B5C6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97C56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2200A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23559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3B70B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03BF1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36B96C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07C1DD6" w14:textId="77777777">
        <w:tc>
          <w:tcPr>
            <w:tcW w:w="1809" w:type="dxa"/>
          </w:tcPr>
          <w:p w14:paraId="1DE976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Колеса</w:t>
            </w:r>
          </w:p>
        </w:tc>
        <w:tc>
          <w:tcPr>
            <w:tcW w:w="717" w:type="dxa"/>
          </w:tcPr>
          <w:p w14:paraId="206A2E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7E06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D2ED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3DF82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3065</w:t>
            </w:r>
          </w:p>
        </w:tc>
        <w:tc>
          <w:tcPr>
            <w:tcW w:w="717" w:type="dxa"/>
          </w:tcPr>
          <w:p w14:paraId="10A4D4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5391</w:t>
            </w:r>
          </w:p>
        </w:tc>
        <w:tc>
          <w:tcPr>
            <w:tcW w:w="717" w:type="dxa"/>
          </w:tcPr>
          <w:p w14:paraId="1E69DE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5E8BEA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38A156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опытных</w:t>
            </w:r>
          </w:p>
        </w:tc>
      </w:tr>
      <w:tr w:rsidR="004E10C1" w:rsidRPr="0044524F" w14:paraId="5C5AA528" w14:textId="77777777">
        <w:tc>
          <w:tcPr>
            <w:tcW w:w="1809" w:type="dxa"/>
          </w:tcPr>
          <w:p w14:paraId="549156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B47D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40A2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AA99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ACBEB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C1FC4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9BD3D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BDA87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98B9E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образцов спец. оборудов.</w:t>
            </w:r>
          </w:p>
        </w:tc>
      </w:tr>
      <w:tr w:rsidR="004E10C1" w:rsidRPr="0044524F" w14:paraId="757E2FFC" w14:textId="77777777">
        <w:tc>
          <w:tcPr>
            <w:tcW w:w="1809" w:type="dxa"/>
          </w:tcPr>
          <w:p w14:paraId="1C7EC8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Лыжи</w:t>
            </w:r>
          </w:p>
        </w:tc>
        <w:tc>
          <w:tcPr>
            <w:tcW w:w="717" w:type="dxa"/>
          </w:tcPr>
          <w:p w14:paraId="46E634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87312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19790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E945B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1945</w:t>
            </w:r>
          </w:p>
        </w:tc>
        <w:tc>
          <w:tcPr>
            <w:tcW w:w="717" w:type="dxa"/>
          </w:tcPr>
          <w:p w14:paraId="4C97CB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1831</w:t>
            </w:r>
          </w:p>
        </w:tc>
        <w:tc>
          <w:tcPr>
            <w:tcW w:w="717" w:type="dxa"/>
          </w:tcPr>
          <w:p w14:paraId="767221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1370CE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69B8E6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Ноябрьский план выполнен</w:t>
            </w:r>
          </w:p>
        </w:tc>
      </w:tr>
      <w:tr w:rsidR="004E10C1" w:rsidRPr="0044524F" w14:paraId="3383F69D" w14:textId="77777777">
        <w:tc>
          <w:tcPr>
            <w:tcW w:w="1809" w:type="dxa"/>
          </w:tcPr>
          <w:p w14:paraId="0503C6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CD432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396F5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15F4A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FAF6D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81476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41D16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06F2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549D59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109,2%.</w:t>
            </w:r>
          </w:p>
        </w:tc>
      </w:tr>
      <w:tr w:rsidR="004E10C1" w:rsidRPr="0044524F" w14:paraId="6D98E904" w14:textId="77777777">
        <w:tc>
          <w:tcPr>
            <w:tcW w:w="1809" w:type="dxa"/>
          </w:tcPr>
          <w:p w14:paraId="6898B4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Эксперим. работы</w:t>
            </w:r>
          </w:p>
        </w:tc>
        <w:tc>
          <w:tcPr>
            <w:tcW w:w="717" w:type="dxa"/>
          </w:tcPr>
          <w:p w14:paraId="454A1B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0578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7DFC9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F3DA4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3630</w:t>
            </w:r>
          </w:p>
        </w:tc>
        <w:tc>
          <w:tcPr>
            <w:tcW w:w="717" w:type="dxa"/>
          </w:tcPr>
          <w:p w14:paraId="1ADE50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4133</w:t>
            </w:r>
          </w:p>
        </w:tc>
        <w:tc>
          <w:tcPr>
            <w:tcW w:w="717" w:type="dxa"/>
          </w:tcPr>
          <w:p w14:paraId="5DC5D6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09BCB7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27DD3D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связанные с</w:t>
            </w:r>
          </w:p>
        </w:tc>
      </w:tr>
      <w:tr w:rsidR="004E10C1" w:rsidRPr="0044524F" w14:paraId="19EF2466" w14:textId="77777777">
        <w:tc>
          <w:tcPr>
            <w:tcW w:w="1809" w:type="dxa"/>
          </w:tcPr>
          <w:p w14:paraId="1E302E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981FF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467F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AA39A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15B8B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FF031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C9F46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4FA2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B1684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опытным самолетостроен.</w:t>
            </w:r>
          </w:p>
        </w:tc>
      </w:tr>
      <w:tr w:rsidR="004E10C1" w:rsidRPr="0044524F" w14:paraId="3DFF33A8" w14:textId="77777777">
        <w:tc>
          <w:tcPr>
            <w:tcW w:w="1809" w:type="dxa"/>
          </w:tcPr>
          <w:p w14:paraId="065419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Разные работы.</w:t>
            </w:r>
          </w:p>
        </w:tc>
        <w:tc>
          <w:tcPr>
            <w:tcW w:w="717" w:type="dxa"/>
          </w:tcPr>
          <w:p w14:paraId="636113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E3D28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B4D16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60A2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14C3C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4C477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38E2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6152BB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535E7A4" w14:textId="77777777">
        <w:tc>
          <w:tcPr>
            <w:tcW w:w="1809" w:type="dxa"/>
          </w:tcPr>
          <w:p w14:paraId="026D8A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коротковолн.</w:t>
            </w:r>
          </w:p>
        </w:tc>
        <w:tc>
          <w:tcPr>
            <w:tcW w:w="717" w:type="dxa"/>
          </w:tcPr>
          <w:p w14:paraId="3F615B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0A23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0F196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F24C8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134C4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05AFA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3628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11C031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81F42CA" w14:textId="77777777">
        <w:tc>
          <w:tcPr>
            <w:tcW w:w="1809" w:type="dxa"/>
          </w:tcPr>
          <w:p w14:paraId="500430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связи с гидробазой</w:t>
            </w:r>
          </w:p>
        </w:tc>
        <w:tc>
          <w:tcPr>
            <w:tcW w:w="717" w:type="dxa"/>
          </w:tcPr>
          <w:p w14:paraId="4BC1D7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67916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E5841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AD24C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60BAD4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A64C8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761BE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4BCC4F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78F126D" w14:textId="77777777">
        <w:tc>
          <w:tcPr>
            <w:tcW w:w="1809" w:type="dxa"/>
          </w:tcPr>
          <w:p w14:paraId="62524A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Севастоп.</w:t>
            </w:r>
          </w:p>
        </w:tc>
        <w:tc>
          <w:tcPr>
            <w:tcW w:w="717" w:type="dxa"/>
          </w:tcPr>
          <w:p w14:paraId="09F65C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B55D3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B290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B5358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717" w:type="dxa"/>
          </w:tcPr>
          <w:p w14:paraId="4780EE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317</w:t>
            </w:r>
          </w:p>
        </w:tc>
        <w:tc>
          <w:tcPr>
            <w:tcW w:w="717" w:type="dxa"/>
          </w:tcPr>
          <w:p w14:paraId="385BF6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3B1839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2B6EDF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908CBE0" w14:textId="77777777">
        <w:tc>
          <w:tcPr>
            <w:tcW w:w="1809" w:type="dxa"/>
          </w:tcPr>
          <w:p w14:paraId="26C2C4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Винт для турбины</w:t>
            </w:r>
          </w:p>
        </w:tc>
        <w:tc>
          <w:tcPr>
            <w:tcW w:w="717" w:type="dxa"/>
          </w:tcPr>
          <w:p w14:paraId="18E8FC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D3E92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47ED7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12139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w:t>
            </w:r>
          </w:p>
        </w:tc>
        <w:tc>
          <w:tcPr>
            <w:tcW w:w="717" w:type="dxa"/>
          </w:tcPr>
          <w:p w14:paraId="62A8FE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717" w:type="dxa"/>
          </w:tcPr>
          <w:p w14:paraId="0834BA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69D4DE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66F5B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147FC5C" w14:textId="77777777">
        <w:tc>
          <w:tcPr>
            <w:tcW w:w="1809" w:type="dxa"/>
          </w:tcPr>
          <w:p w14:paraId="018208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для ЦИАМ"а</w:t>
            </w:r>
          </w:p>
        </w:tc>
        <w:tc>
          <w:tcPr>
            <w:tcW w:w="717" w:type="dxa"/>
          </w:tcPr>
          <w:p w14:paraId="74928B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501FE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87BB7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D398D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350</w:t>
            </w:r>
          </w:p>
        </w:tc>
        <w:tc>
          <w:tcPr>
            <w:tcW w:w="717" w:type="dxa"/>
          </w:tcPr>
          <w:p w14:paraId="13EC74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311</w:t>
            </w:r>
          </w:p>
        </w:tc>
        <w:tc>
          <w:tcPr>
            <w:tcW w:w="717" w:type="dxa"/>
          </w:tcPr>
          <w:p w14:paraId="714D21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17" w:type="dxa"/>
          </w:tcPr>
          <w:p w14:paraId="371865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3200" w:type="dxa"/>
          </w:tcPr>
          <w:p w14:paraId="3DFD16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7AFAAEB" w14:textId="77777777">
        <w:tc>
          <w:tcPr>
            <w:tcW w:w="1809" w:type="dxa"/>
          </w:tcPr>
          <w:p w14:paraId="31A92A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717" w:type="dxa"/>
          </w:tcPr>
          <w:p w14:paraId="41D4B7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87E7A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472513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7463B0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925</w:t>
            </w:r>
          </w:p>
        </w:tc>
        <w:tc>
          <w:tcPr>
            <w:tcW w:w="717" w:type="dxa"/>
          </w:tcPr>
          <w:p w14:paraId="2F77B5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649</w:t>
            </w:r>
          </w:p>
        </w:tc>
        <w:tc>
          <w:tcPr>
            <w:tcW w:w="717" w:type="dxa"/>
          </w:tcPr>
          <w:p w14:paraId="1E878C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511AD9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0E1D5E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384C8FF" w14:textId="77777777">
        <w:tc>
          <w:tcPr>
            <w:tcW w:w="1809" w:type="dxa"/>
          </w:tcPr>
          <w:p w14:paraId="493CB7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717" w:type="dxa"/>
          </w:tcPr>
          <w:p w14:paraId="39693F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15B0B0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365F81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09053D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118160</w:t>
            </w:r>
          </w:p>
        </w:tc>
        <w:tc>
          <w:tcPr>
            <w:tcW w:w="717" w:type="dxa"/>
          </w:tcPr>
          <w:p w14:paraId="291404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117120</w:t>
            </w:r>
          </w:p>
        </w:tc>
        <w:tc>
          <w:tcPr>
            <w:tcW w:w="717" w:type="dxa"/>
          </w:tcPr>
          <w:p w14:paraId="7FEC50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717" w:type="dxa"/>
          </w:tcPr>
          <w:p w14:paraId="27D14A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200" w:type="dxa"/>
          </w:tcPr>
          <w:p w14:paraId="23306A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bl>
    <w:p w14:paraId="681F9F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Общий % выполнения плана по КОСОС - 115 (2287,52).</w:t>
      </w:r>
    </w:p>
    <w:p w14:paraId="20405C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02FF6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декабря 1933 года была подготовлена Справка к проекту постановления СТО “О внедрении истребителей на заводе № 125”</w:t>
      </w:r>
    </w:p>
    <w:p w14:paraId="2B19C3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КО от 28 ноября 1933 года Королеву предложено в декадный срок представить на утверждение КО предложения о типе, количестве и сроках производства самолетов-истребителей на Иркутском заводе № 125 в 1934 году.</w:t>
      </w:r>
    </w:p>
    <w:p w14:paraId="165D60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Приказами по НКТП от 22 декабря и по ГУАП от 9 декабря 1933 года установлены мероприятия по обеспечению выполнения этого задания Правительства и кроме того, НКТП представлен прилагаемый проект постановления СТО.</w:t>
      </w:r>
    </w:p>
    <w:p w14:paraId="174D16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…………………..(4206,15).</w:t>
      </w:r>
    </w:p>
    <w:p w14:paraId="037179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3430CCA"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E4E7FDE"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48C435D" w14:textId="77777777" w:rsidR="009A1872" w:rsidRPr="0044524F" w:rsidRDefault="009A1872" w:rsidP="009654CF">
      <w:pPr>
        <w:pStyle w:val="rtejustify"/>
        <w:spacing w:before="0" w:after="0"/>
        <w:rPr>
          <w:color w:val="000000" w:themeColor="text1"/>
          <w:sz w:val="16"/>
          <w:szCs w:val="16"/>
        </w:rPr>
      </w:pPr>
      <w:r w:rsidRPr="0044524F">
        <w:rPr>
          <w:rStyle w:val="af0"/>
          <w:bCs/>
          <w:i w:val="0"/>
          <w:color w:val="000000" w:themeColor="text1"/>
          <w:sz w:val="16"/>
          <w:szCs w:val="16"/>
        </w:rPr>
        <w:t>26 декабря 1933 вышел приказ НКТП № 0036/249сс.</w:t>
      </w:r>
      <w:r w:rsidRPr="0044524F">
        <w:rPr>
          <w:color w:val="000000" w:themeColor="text1"/>
          <w:sz w:val="16"/>
          <w:szCs w:val="16"/>
        </w:rPr>
        <w:t xml:space="preserve"> Об установлении порядка подачи НКТП СССР Наркомвоенмору СССР комплектных узлов выстрела на 1934 г. (РГАЭ. Ф. 7297. Оп. 38. Д. 38. Л. 242</w:t>
      </w:r>
      <w:r w:rsidRPr="0044524F">
        <w:rPr>
          <w:color w:val="000000" w:themeColor="text1"/>
          <w:sz w:val="16"/>
          <w:szCs w:val="16"/>
        </w:rPr>
        <w:noBreakHyphen/>
        <w:t>240). (</w:t>
      </w:r>
      <w:r w:rsidRPr="0044524F">
        <w:rPr>
          <w:rStyle w:val="af0"/>
          <w:i w:val="0"/>
          <w:color w:val="000000" w:themeColor="text1"/>
          <w:sz w:val="16"/>
          <w:szCs w:val="16"/>
        </w:rPr>
        <w:t>Объединенный с РВС СССР</w:t>
      </w:r>
      <w:r w:rsidRPr="0044524F">
        <w:rPr>
          <w:color w:val="000000" w:themeColor="text1"/>
          <w:sz w:val="16"/>
          <w:szCs w:val="16"/>
        </w:rPr>
        <w:t>) (15246).</w:t>
      </w:r>
    </w:p>
    <w:p w14:paraId="640106D9" w14:textId="77777777" w:rsidR="009A1872" w:rsidRPr="0044524F" w:rsidRDefault="009A1872" w:rsidP="009654CF">
      <w:pPr>
        <w:pStyle w:val="rtejustify"/>
        <w:spacing w:before="0" w:after="0"/>
        <w:rPr>
          <w:color w:val="000000" w:themeColor="text1"/>
          <w:sz w:val="16"/>
          <w:szCs w:val="16"/>
        </w:rPr>
      </w:pPr>
    </w:p>
    <w:p w14:paraId="1670984A" w14:textId="77777777" w:rsidR="009A1872" w:rsidRPr="0044524F" w:rsidRDefault="009A1872" w:rsidP="009654CF">
      <w:pPr>
        <w:pStyle w:val="rtejustify"/>
        <w:spacing w:before="0" w:after="0"/>
        <w:rPr>
          <w:color w:val="000000" w:themeColor="text1"/>
          <w:sz w:val="16"/>
          <w:szCs w:val="16"/>
        </w:rPr>
      </w:pPr>
      <w:r w:rsidRPr="0044524F">
        <w:rPr>
          <w:rStyle w:val="af0"/>
          <w:bCs/>
          <w:i w:val="0"/>
          <w:color w:val="000000" w:themeColor="text1"/>
          <w:sz w:val="16"/>
          <w:szCs w:val="16"/>
        </w:rPr>
        <w:t>26 декабря 1933 вышел приказ НКТП № 245с.</w:t>
      </w:r>
      <w:r w:rsidRPr="0044524F">
        <w:rPr>
          <w:color w:val="000000" w:themeColor="text1"/>
          <w:sz w:val="16"/>
          <w:szCs w:val="16"/>
        </w:rPr>
        <w:t xml:space="preserve"> Об утверждении программы орудийных заводов и арсеналов по основным номенклатурам материальной части артиллерии, подлежащей сдаче НКВМ СССР в 1934 г. (РГАЭ. Ф. 7297. Оп. 38. Д. 38. Л. 236) (15246).</w:t>
      </w:r>
    </w:p>
    <w:p w14:paraId="788F001C" w14:textId="77777777" w:rsidR="009A1872" w:rsidRPr="0044524F" w:rsidRDefault="009A1872" w:rsidP="009654CF">
      <w:pPr>
        <w:pStyle w:val="rtejustify"/>
        <w:spacing w:before="0" w:after="0"/>
        <w:rPr>
          <w:color w:val="000000" w:themeColor="text1"/>
          <w:sz w:val="16"/>
          <w:szCs w:val="16"/>
        </w:rPr>
      </w:pPr>
    </w:p>
    <w:p w14:paraId="210418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декабря 1933 года на НИАП после заводских испытаний прибыл опытный образец 45-мм ПТП обр. 1933 г. и там прошел полигонные испытания в объеме 1046 выстрелов и 500 км пробега. При стрельбе бронебойными снарядами полуавтоматика работала удовлетворительно, без учета отказов из-за качества гильз. Но при стрельбе осколочным снарядом черт. 2116 весом 2,15 кг с начальной скоростью 335 м/с и давлением в канале 900-1000 кг/см2 полуавтоматика не работала, так как было недостаточно энергии отката для взведения пружин полуавтоматики. Длина отката при этом снаряде - менее 690 мм. Таким образом, для осколочных снарядов 45-мм пушка обр. 1933 г. оставалась четвертьавтоматической. Колеса пушки по прежнему оставались деревянными, что создавало большие сложности при эксплуатации. Так, максимальная скорость движения по булыжнику составляла 10-15 км/час, на полигонных испытаниях часто лопались спицы колес. Тем не менее по заключению комиссии 45-мм пушка полигонные испытания выдержала и была запущена в производство, правда, под старым названием - обр. 1932 г (3861).</w:t>
      </w:r>
    </w:p>
    <w:p w14:paraId="353EEA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9B2C1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декабря 1933 г. заместитель начальника ВМС И. М. Лудри утвердил тактическое задание для монитора, которое ставило перед кораблем следующие задачи: "бой с противником в устье р. Амур и Татарском проливе, и совместные операции с сухопутными частями на приморском участке". По за</w:t>
      </w:r>
      <w:r w:rsidRPr="0044524F">
        <w:rPr>
          <w:rFonts w:ascii="Times New Roman" w:hAnsi="Times New Roman"/>
          <w:color w:val="000000" w:themeColor="text1"/>
          <w:sz w:val="16"/>
          <w:szCs w:val="16"/>
        </w:rPr>
        <w:softHyphen/>
        <w:t>мыслу моряков монитор должен был иметь сильное вооружение (восемь 130-мм орудий в четырех башнях с линейно-возвышен</w:t>
      </w:r>
      <w:r w:rsidRPr="0044524F">
        <w:rPr>
          <w:rFonts w:ascii="Times New Roman" w:hAnsi="Times New Roman"/>
          <w:color w:val="000000" w:themeColor="text1"/>
          <w:sz w:val="16"/>
          <w:szCs w:val="16"/>
        </w:rPr>
        <w:softHyphen/>
        <w:t>ным расположением и четыре 100-мм универсальнь1х пушки с ПУАО), 75—100-мм бронирование "жизненньис" частей корпуса и вооружения, 15-узловую скорость (дизельные двигатели) и даль</w:t>
      </w:r>
      <w:r w:rsidRPr="0044524F">
        <w:rPr>
          <w:rFonts w:ascii="Times New Roman" w:hAnsi="Times New Roman"/>
          <w:color w:val="000000" w:themeColor="text1"/>
          <w:sz w:val="16"/>
          <w:szCs w:val="16"/>
        </w:rPr>
        <w:softHyphen/>
        <w:t>ность плавания не менее 1500 миль. Осадка ограничивалась вели</w:t>
      </w:r>
      <w:r w:rsidRPr="0044524F">
        <w:rPr>
          <w:rFonts w:ascii="Times New Roman" w:hAnsi="Times New Roman"/>
          <w:color w:val="000000" w:themeColor="text1"/>
          <w:sz w:val="16"/>
          <w:szCs w:val="16"/>
        </w:rPr>
        <w:softHyphen/>
        <w:t>чиной 2,4 м, стандартное водоизмещение — 1200 т (3898).</w:t>
      </w:r>
    </w:p>
    <w:p w14:paraId="69AF02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A08DCFB"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1127E99"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8F7F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декабря 1933 был подписан отчет по испытаниям лыж к самолету Р-5 (треугольное сечение миделя) (2267,11).</w:t>
      </w:r>
    </w:p>
    <w:p w14:paraId="0514D2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AD18F6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декабря 1933 года Начальник НИИ ВВС Зильберт утвердил Отчет по войсковым испытаниям вооруженного самолета У-2 М-11, проведенным в Борисоглебской школе (6644).</w:t>
      </w:r>
    </w:p>
    <w:p w14:paraId="2476385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Начато 23 июня 1933 года</w:t>
      </w:r>
    </w:p>
    <w:p w14:paraId="665BE24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Окончено 26 июля 1933 года</w:t>
      </w:r>
    </w:p>
    <w:p w14:paraId="6E04AFF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44E0297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 7 сектора Калилец</w:t>
      </w:r>
    </w:p>
    <w:p w14:paraId="66A4A39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w:t>
      </w:r>
    </w:p>
    <w:p w14:paraId="5525738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Агеев</w:t>
      </w:r>
    </w:p>
    <w:p w14:paraId="18CE1CC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Чугунов</w:t>
      </w:r>
    </w:p>
    <w:p w14:paraId="36328EC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4C9C40A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летно-тактические и эксплуатационные данные вооруженного самолета У-2, исходя из возможности использования его для боевой и тактической подготовки летного состава (летчиков и летчиков-наблюдателей).</w:t>
      </w:r>
    </w:p>
    <w:p w14:paraId="2168669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D354DC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возможным после устранения дефектов вооруженный самолет У-2 допустить к серийному производству.</w:t>
      </w:r>
    </w:p>
    <w:p w14:paraId="40F4D23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испытаний</w:t>
      </w:r>
    </w:p>
    <w:p w14:paraId="0B31271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начаты 23 июня 1933 года и окончены 26 июля 1933 года.</w:t>
      </w:r>
    </w:p>
    <w:p w14:paraId="77B4EC5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испытаниях принимали участие 3 самолета У-2 М-11 2-ой Борисоглебской Школы летчиков (6644).</w:t>
      </w:r>
    </w:p>
    <w:p w14:paraId="72DC1A7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00F095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27 по 29 декабря 1933 года в НИИ ВВС проходили гос. испытания установки спаренных пулеметов ДА, предложенных Селищевым и Поляковым</w:t>
      </w:r>
    </w:p>
    <w:p w14:paraId="28AFF7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Начато 27 декабря 1933 года</w:t>
      </w:r>
    </w:p>
    <w:p w14:paraId="01C21F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Окончено 29 декабря 1933 года</w:t>
      </w:r>
    </w:p>
    <w:p w14:paraId="0F4082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38D1D1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15 сектора НИИ ВВС Базенау</w:t>
      </w:r>
    </w:p>
    <w:p w14:paraId="646467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техник 15 сектора НИИ ВВС Напалков</w:t>
      </w:r>
    </w:p>
    <w:p w14:paraId="7AE325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73347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спаренных пулеметов ДА конструкции Салищева и Полякова испытаний не выдержали, как образец не удовлетворяющий тактико-техническим требованиям к спаренным пулеметам (7396, 78-86).</w:t>
      </w:r>
    </w:p>
    <w:p w14:paraId="05590E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482B2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декабря 1933 года постановление РВС</w:t>
      </w:r>
    </w:p>
    <w:p w14:paraId="6511B750"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Ввести на вооружение ВВС авиационный пневматический универсальный взрыватель системы Вишневского марки АПУВ согласно подлинного чертежа индекса № В-5011, как основной взрыватель для прицельного бомбометания ко всем калибрам фугасных авиабомб (7438, 3).</w:t>
      </w:r>
    </w:p>
    <w:p w14:paraId="73B26049"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D24C3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27 декабря 1933 секретарь КО Базилевич писал письмо № 2074/ко НКТП тов. Орджоникидзе:</w:t>
      </w:r>
    </w:p>
    <w:p w14:paraId="2676D1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Препровождаю для голосования опросом доклад НКВТ т. Боева от 23 декабря 1933 г. за № 1008/1651 о покупке дюймовых или метрических моторов у фирмы “Кертис-Райт” (4170,29).</w:t>
      </w:r>
    </w:p>
    <w:p w14:paraId="374C33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16B77EC" w14:textId="77777777" w:rsidR="001E4A85" w:rsidRPr="0044524F" w:rsidRDefault="001E4A85" w:rsidP="009654CF">
      <w:pPr>
        <w:pStyle w:val="rtejustify"/>
        <w:spacing w:before="0" w:after="0"/>
        <w:rPr>
          <w:color w:val="000000" w:themeColor="text1"/>
          <w:sz w:val="16"/>
          <w:szCs w:val="16"/>
        </w:rPr>
      </w:pPr>
      <w:r w:rsidRPr="0044524F">
        <w:rPr>
          <w:rStyle w:val="af0"/>
          <w:bCs/>
          <w:i w:val="0"/>
          <w:color w:val="000000" w:themeColor="text1"/>
          <w:sz w:val="16"/>
          <w:szCs w:val="16"/>
        </w:rPr>
        <w:t>27 декабря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введении на вооружение ВВС РККА авиационного пневматического универсального взрывателя системы Вишневского (марки АПУВ) как основного взрывателя для прицельного бомбометания ко всем калибрам фугасных авиабомб. (Приложение: тактико-технические данные авиационного пневматического универсального взрывателя системы Вишневского марки АПУВ). (РГВА. Ф. 4. Оп. 18. Д. 23. Л. 356</w:t>
      </w:r>
      <w:r w:rsidRPr="0044524F">
        <w:rPr>
          <w:color w:val="000000" w:themeColor="text1"/>
          <w:sz w:val="16"/>
          <w:szCs w:val="16"/>
        </w:rPr>
        <w:noBreakHyphen/>
        <w:t>358) (15461).</w:t>
      </w:r>
    </w:p>
    <w:p w14:paraId="12E43A4E" w14:textId="77777777" w:rsidR="001E4A85" w:rsidRPr="0044524F" w:rsidRDefault="001E4A85" w:rsidP="009654CF">
      <w:pPr>
        <w:pStyle w:val="rtejustify"/>
        <w:spacing w:before="0" w:after="0"/>
        <w:rPr>
          <w:color w:val="000000" w:themeColor="text1"/>
          <w:sz w:val="16"/>
          <w:szCs w:val="16"/>
        </w:rPr>
      </w:pPr>
    </w:p>
    <w:p w14:paraId="589D8433" w14:textId="77777777" w:rsidR="002E2083" w:rsidRPr="0044524F" w:rsidRDefault="001A42D5" w:rsidP="009654CF">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2DE570E8"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5629444E" w14:textId="77777777" w:rsidR="001E4A85" w:rsidRPr="0044524F" w:rsidRDefault="001E4A85" w:rsidP="009654CF">
      <w:pPr>
        <w:pStyle w:val="rtejustify"/>
        <w:spacing w:before="0" w:after="0"/>
        <w:rPr>
          <w:color w:val="000000" w:themeColor="text1"/>
          <w:sz w:val="16"/>
          <w:szCs w:val="16"/>
        </w:rPr>
      </w:pPr>
      <w:r w:rsidRPr="0044524F">
        <w:rPr>
          <w:color w:val="000000" w:themeColor="text1"/>
          <w:sz w:val="16"/>
          <w:szCs w:val="16"/>
        </w:rPr>
        <w:t>27 и 31 декабря 1933 вышел приказ РВСС № 16. Сообщение о подписании постановлений РВСС, принятых опросом членов РВСС: 1) «О введении на вооружение артиллерии РККА выстрелов с осколочными и бронебойным снарядом и с картечью для 37</w:t>
      </w:r>
      <w:r w:rsidRPr="0044524F">
        <w:rPr>
          <w:color w:val="000000" w:themeColor="text1"/>
          <w:sz w:val="16"/>
          <w:szCs w:val="16"/>
        </w:rPr>
        <w:noBreakHyphen/>
        <w:t>мм танковой и противотанковой пушек образца 1930 г.»; 2) «О введении на вооружение артиллерии РККА выстрелов с бронебойными и осколочным снарядом для 45</w:t>
      </w:r>
      <w:r w:rsidRPr="0044524F">
        <w:rPr>
          <w:color w:val="000000" w:themeColor="text1"/>
          <w:sz w:val="16"/>
          <w:szCs w:val="16"/>
        </w:rPr>
        <w:noBreakHyphen/>
        <w:t>мм танковой и противотанковой пушек образца 1932 г.»; 3) «О введении на вооружение артиллерии РККА взрывателей КТ</w:t>
      </w:r>
      <w:r w:rsidRPr="0044524F">
        <w:rPr>
          <w:color w:val="000000" w:themeColor="text1"/>
          <w:sz w:val="16"/>
          <w:szCs w:val="16"/>
        </w:rPr>
        <w:noBreakHyphen/>
        <w:t>1 и КТ</w:t>
      </w:r>
      <w:r w:rsidRPr="0044524F">
        <w:rPr>
          <w:color w:val="000000" w:themeColor="text1"/>
          <w:sz w:val="16"/>
          <w:szCs w:val="16"/>
        </w:rPr>
        <w:noBreakHyphen/>
        <w:t>2»; 4) «О введении на вооружение артиллерии РККА дистанционной трубки Т</w:t>
      </w:r>
      <w:r w:rsidRPr="0044524F">
        <w:rPr>
          <w:color w:val="000000" w:themeColor="text1"/>
          <w:sz w:val="16"/>
          <w:szCs w:val="16"/>
        </w:rPr>
        <w:noBreakHyphen/>
        <w:t>3»; 5) «О введении на вооружение химических войск РККА минных взрывателей М</w:t>
      </w:r>
      <w:r w:rsidRPr="0044524F">
        <w:rPr>
          <w:color w:val="000000" w:themeColor="text1"/>
          <w:sz w:val="16"/>
          <w:szCs w:val="16"/>
        </w:rPr>
        <w:noBreakHyphen/>
        <w:t>1 и М</w:t>
      </w:r>
      <w:r w:rsidRPr="0044524F">
        <w:rPr>
          <w:color w:val="000000" w:themeColor="text1"/>
          <w:sz w:val="16"/>
          <w:szCs w:val="16"/>
        </w:rPr>
        <w:noBreakHyphen/>
        <w:t>2 для 107</w:t>
      </w:r>
      <w:r w:rsidRPr="0044524F">
        <w:rPr>
          <w:color w:val="000000" w:themeColor="text1"/>
          <w:sz w:val="16"/>
          <w:szCs w:val="16"/>
        </w:rPr>
        <w:noBreakHyphen/>
        <w:t>мм миномета»; 6) «О введении на вооружение ВВС РККА авиационного пневматического универсального взрывателя системы Вишневского марки АПУВ». (РГВА. Ф. 4. Оп. 18. Д. 23. Л. 339) (15461).</w:t>
      </w:r>
    </w:p>
    <w:p w14:paraId="082E3DE1" w14:textId="77777777" w:rsidR="001E4A85" w:rsidRPr="0044524F" w:rsidRDefault="001E4A85" w:rsidP="009654CF">
      <w:pPr>
        <w:spacing w:after="0" w:line="240" w:lineRule="auto"/>
        <w:jc w:val="both"/>
        <w:rPr>
          <w:rFonts w:ascii="Times New Roman" w:hAnsi="Times New Roman"/>
          <w:color w:val="000000" w:themeColor="text1"/>
          <w:sz w:val="16"/>
          <w:szCs w:val="16"/>
        </w:rPr>
      </w:pPr>
    </w:p>
    <w:p w14:paraId="71089689" w14:textId="77777777" w:rsidR="001E4A85" w:rsidRPr="0044524F" w:rsidRDefault="001E4A85" w:rsidP="009654CF">
      <w:pPr>
        <w:pStyle w:val="rtejustify"/>
        <w:spacing w:before="0" w:after="0"/>
        <w:rPr>
          <w:color w:val="000000" w:themeColor="text1"/>
          <w:sz w:val="16"/>
          <w:szCs w:val="16"/>
        </w:rPr>
      </w:pPr>
      <w:r w:rsidRPr="0044524F">
        <w:rPr>
          <w:rStyle w:val="af0"/>
          <w:bCs/>
          <w:i w:val="0"/>
          <w:color w:val="000000" w:themeColor="text1"/>
          <w:sz w:val="16"/>
          <w:szCs w:val="16"/>
        </w:rPr>
        <w:t>27 декабря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введении на вооружение артиллерии РККА взрывателей КТ</w:t>
      </w:r>
      <w:r w:rsidRPr="0044524F">
        <w:rPr>
          <w:color w:val="000000" w:themeColor="text1"/>
          <w:sz w:val="16"/>
          <w:szCs w:val="16"/>
        </w:rPr>
        <w:noBreakHyphen/>
        <w:t>1, КТ</w:t>
      </w:r>
      <w:r w:rsidRPr="0044524F">
        <w:rPr>
          <w:color w:val="000000" w:themeColor="text1"/>
          <w:sz w:val="16"/>
          <w:szCs w:val="16"/>
        </w:rPr>
        <w:noBreakHyphen/>
        <w:t>2 и об отмене постановления РВС СССР от 27 февраля 1932 г. по вводу на вооружение артиллерийских химических снарядов для РГ</w:t>
      </w:r>
      <w:r w:rsidRPr="0044524F">
        <w:rPr>
          <w:color w:val="000000" w:themeColor="text1"/>
          <w:sz w:val="16"/>
          <w:szCs w:val="16"/>
        </w:rPr>
        <w:noBreakHyphen/>
        <w:t>6 для 76</w:t>
      </w:r>
      <w:r w:rsidRPr="0044524F">
        <w:rPr>
          <w:color w:val="000000" w:themeColor="text1"/>
          <w:sz w:val="16"/>
          <w:szCs w:val="16"/>
        </w:rPr>
        <w:noBreakHyphen/>
        <w:t>мм осколочно-химических снарядов пушки образца 02 и 02/30 г. и в части характеристики действия взрывателя КТ</w:t>
      </w:r>
      <w:r w:rsidRPr="0044524F">
        <w:rPr>
          <w:color w:val="000000" w:themeColor="text1"/>
          <w:sz w:val="16"/>
          <w:szCs w:val="16"/>
        </w:rPr>
        <w:noBreakHyphen/>
        <w:t>1 в 76</w:t>
      </w:r>
      <w:r w:rsidRPr="0044524F">
        <w:rPr>
          <w:color w:val="000000" w:themeColor="text1"/>
          <w:sz w:val="16"/>
          <w:szCs w:val="16"/>
        </w:rPr>
        <w:noBreakHyphen/>
        <w:t>мм осколочно-химических снарядах и взрывателя КТ</w:t>
      </w:r>
      <w:r w:rsidRPr="0044524F">
        <w:rPr>
          <w:color w:val="000000" w:themeColor="text1"/>
          <w:sz w:val="16"/>
          <w:szCs w:val="16"/>
        </w:rPr>
        <w:noBreakHyphen/>
        <w:t>2 в химических снарядах всех калибров (с запальным стаканом). (Приложение: тактико-технические данные взрывателей КТ</w:t>
      </w:r>
      <w:r w:rsidRPr="0044524F">
        <w:rPr>
          <w:color w:val="000000" w:themeColor="text1"/>
          <w:sz w:val="16"/>
          <w:szCs w:val="16"/>
        </w:rPr>
        <w:noBreakHyphen/>
        <w:t>1 и КТ</w:t>
      </w:r>
      <w:r w:rsidRPr="0044524F">
        <w:rPr>
          <w:color w:val="000000" w:themeColor="text1"/>
          <w:sz w:val="16"/>
          <w:szCs w:val="16"/>
        </w:rPr>
        <w:noBreakHyphen/>
        <w:t>2). (РГВА. Ф. 4. Оп. 18. Д. 23. Л. 348</w:t>
      </w:r>
      <w:r w:rsidRPr="0044524F">
        <w:rPr>
          <w:color w:val="000000" w:themeColor="text1"/>
          <w:sz w:val="16"/>
          <w:szCs w:val="16"/>
        </w:rPr>
        <w:noBreakHyphen/>
        <w:t>350) (15461).</w:t>
      </w:r>
    </w:p>
    <w:p w14:paraId="7183EFA4" w14:textId="77777777" w:rsidR="001E4A85" w:rsidRPr="0044524F" w:rsidRDefault="001E4A85" w:rsidP="009654CF">
      <w:pPr>
        <w:pStyle w:val="rtejustify"/>
        <w:spacing w:before="0" w:after="0"/>
        <w:rPr>
          <w:color w:val="000000" w:themeColor="text1"/>
          <w:sz w:val="16"/>
          <w:szCs w:val="16"/>
        </w:rPr>
      </w:pPr>
    </w:p>
    <w:p w14:paraId="6D8D59BE" w14:textId="77777777" w:rsidR="001E4A85" w:rsidRPr="0044524F" w:rsidRDefault="001E4A85" w:rsidP="009654CF">
      <w:pPr>
        <w:pStyle w:val="rtejustify"/>
        <w:spacing w:before="0" w:after="0"/>
        <w:rPr>
          <w:color w:val="000000" w:themeColor="text1"/>
          <w:sz w:val="16"/>
          <w:szCs w:val="16"/>
        </w:rPr>
      </w:pPr>
      <w:r w:rsidRPr="0044524F">
        <w:rPr>
          <w:rStyle w:val="af0"/>
          <w:bCs/>
          <w:i w:val="0"/>
          <w:color w:val="000000" w:themeColor="text1"/>
          <w:sz w:val="16"/>
          <w:szCs w:val="16"/>
        </w:rPr>
        <w:t>27 декабря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введении на вооружение артиллерии РККА дистанционной трубки Т</w:t>
      </w:r>
      <w:r w:rsidRPr="0044524F">
        <w:rPr>
          <w:color w:val="000000" w:themeColor="text1"/>
          <w:sz w:val="16"/>
          <w:szCs w:val="16"/>
        </w:rPr>
        <w:noBreakHyphen/>
        <w:t>3, о доработках к ней, о прекращении изготовления дистанционных трубок «Д» для зенитных выстрелов, о включении в мобзаявку вместо трубки «Д» дистанционной трубки Т</w:t>
      </w:r>
      <w:r w:rsidRPr="0044524F">
        <w:rPr>
          <w:color w:val="000000" w:themeColor="text1"/>
          <w:sz w:val="16"/>
          <w:szCs w:val="16"/>
        </w:rPr>
        <w:noBreakHyphen/>
        <w:t>3 и о представлении в РВС СССР начальником ГАУ совместно с начальником ПТВО к вознаграждению участников разработки трубки Т</w:t>
      </w:r>
      <w:r w:rsidRPr="0044524F">
        <w:rPr>
          <w:color w:val="000000" w:themeColor="text1"/>
          <w:sz w:val="16"/>
          <w:szCs w:val="16"/>
        </w:rPr>
        <w:noBreakHyphen/>
        <w:t>3. (Приложение: тактико-технические данные дистанционной трубки Т</w:t>
      </w:r>
      <w:r w:rsidRPr="0044524F">
        <w:rPr>
          <w:color w:val="000000" w:themeColor="text1"/>
          <w:sz w:val="16"/>
          <w:szCs w:val="16"/>
        </w:rPr>
        <w:noBreakHyphen/>
        <w:t>3). (РГВА. Ф. 4. Оп. 18. Д. 23. Л. 351</w:t>
      </w:r>
      <w:r w:rsidRPr="0044524F">
        <w:rPr>
          <w:color w:val="000000" w:themeColor="text1"/>
          <w:sz w:val="16"/>
          <w:szCs w:val="16"/>
        </w:rPr>
        <w:noBreakHyphen/>
        <w:t>353) (15461).</w:t>
      </w:r>
    </w:p>
    <w:p w14:paraId="62B8AEE7" w14:textId="77777777" w:rsidR="001E4A85" w:rsidRPr="0044524F" w:rsidRDefault="001E4A85" w:rsidP="009654CF">
      <w:pPr>
        <w:pStyle w:val="rtejustify"/>
        <w:spacing w:before="0" w:after="0"/>
        <w:rPr>
          <w:color w:val="000000" w:themeColor="text1"/>
          <w:sz w:val="16"/>
          <w:szCs w:val="16"/>
        </w:rPr>
      </w:pPr>
    </w:p>
    <w:p w14:paraId="621ACEE0" w14:textId="77777777" w:rsidR="001E4A85" w:rsidRPr="0044524F" w:rsidRDefault="001E4A85" w:rsidP="009654CF">
      <w:pPr>
        <w:pStyle w:val="rtejustify"/>
        <w:spacing w:before="0" w:after="0"/>
        <w:rPr>
          <w:color w:val="000000" w:themeColor="text1"/>
          <w:sz w:val="16"/>
          <w:szCs w:val="16"/>
        </w:rPr>
      </w:pPr>
      <w:r w:rsidRPr="0044524F">
        <w:rPr>
          <w:rStyle w:val="af0"/>
          <w:bCs/>
          <w:i w:val="0"/>
          <w:color w:val="000000" w:themeColor="text1"/>
          <w:sz w:val="16"/>
          <w:szCs w:val="16"/>
        </w:rPr>
        <w:t>27 декабря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введении на вооружение химических войск РККА для 107</w:t>
      </w:r>
      <w:r w:rsidRPr="0044524F">
        <w:rPr>
          <w:color w:val="000000" w:themeColor="text1"/>
          <w:sz w:val="16"/>
          <w:szCs w:val="16"/>
        </w:rPr>
        <w:noBreakHyphen/>
        <w:t>мм миномета минных взрывателей М</w:t>
      </w:r>
      <w:r w:rsidRPr="0044524F">
        <w:rPr>
          <w:color w:val="000000" w:themeColor="text1"/>
          <w:sz w:val="16"/>
          <w:szCs w:val="16"/>
        </w:rPr>
        <w:noBreakHyphen/>
        <w:t>1 и М</w:t>
      </w:r>
      <w:r w:rsidRPr="0044524F">
        <w:rPr>
          <w:color w:val="000000" w:themeColor="text1"/>
          <w:sz w:val="16"/>
          <w:szCs w:val="16"/>
        </w:rPr>
        <w:noBreakHyphen/>
        <w:t>2 как основных взрывателей для осколочно-фугасных, осколочно-химических, химических, фосфорных и дымовых мин. (Приложение: тактико-технические данные минных взрывателей М</w:t>
      </w:r>
      <w:r w:rsidRPr="0044524F">
        <w:rPr>
          <w:color w:val="000000" w:themeColor="text1"/>
          <w:sz w:val="16"/>
          <w:szCs w:val="16"/>
        </w:rPr>
        <w:noBreakHyphen/>
        <w:t>1 и М</w:t>
      </w:r>
      <w:r w:rsidRPr="0044524F">
        <w:rPr>
          <w:color w:val="000000" w:themeColor="text1"/>
          <w:sz w:val="16"/>
          <w:szCs w:val="16"/>
        </w:rPr>
        <w:noBreakHyphen/>
        <w:t>2). (РГВА. Ф. 4. Оп. 18. Д. 23. Л. 354</w:t>
      </w:r>
      <w:r w:rsidRPr="0044524F">
        <w:rPr>
          <w:color w:val="000000" w:themeColor="text1"/>
          <w:sz w:val="16"/>
          <w:szCs w:val="16"/>
        </w:rPr>
        <w:noBreakHyphen/>
        <w:t>355) (15461).</w:t>
      </w:r>
    </w:p>
    <w:p w14:paraId="397F43FD" w14:textId="77777777" w:rsidR="001E4A85" w:rsidRPr="0044524F" w:rsidRDefault="001E4A85" w:rsidP="009654CF">
      <w:pPr>
        <w:pStyle w:val="rtejustify"/>
        <w:spacing w:before="0" w:after="0"/>
        <w:rPr>
          <w:color w:val="000000" w:themeColor="text1"/>
          <w:sz w:val="16"/>
          <w:szCs w:val="16"/>
        </w:rPr>
      </w:pPr>
    </w:p>
    <w:p w14:paraId="626007DE" w14:textId="77777777" w:rsidR="001E4A85" w:rsidRPr="0044524F" w:rsidRDefault="001E4A85" w:rsidP="009654CF">
      <w:pPr>
        <w:pStyle w:val="rtejustify"/>
        <w:spacing w:before="0" w:after="0"/>
        <w:rPr>
          <w:color w:val="000000" w:themeColor="text1"/>
          <w:sz w:val="16"/>
          <w:szCs w:val="16"/>
        </w:rPr>
      </w:pPr>
      <w:r w:rsidRPr="0044524F">
        <w:rPr>
          <w:rStyle w:val="af0"/>
          <w:bCs/>
          <w:i w:val="0"/>
          <w:color w:val="000000" w:themeColor="text1"/>
          <w:sz w:val="16"/>
          <w:szCs w:val="16"/>
        </w:rPr>
        <w:t>27 декабря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введении на вооружение артиллерии РККА для 37</w:t>
      </w:r>
      <w:r w:rsidRPr="0044524F">
        <w:rPr>
          <w:color w:val="000000" w:themeColor="text1"/>
          <w:sz w:val="16"/>
          <w:szCs w:val="16"/>
        </w:rPr>
        <w:noBreakHyphen/>
        <w:t>мм танковой и противотанковой пушек образца 1930 г.». (РГВА. Ф. 4. Оп. 18. Д. 23. Л. 340) (15461).</w:t>
      </w:r>
    </w:p>
    <w:p w14:paraId="191AAA04" w14:textId="77777777" w:rsidR="001E4A85" w:rsidRPr="0044524F" w:rsidRDefault="001E4A85" w:rsidP="009654CF">
      <w:pPr>
        <w:pStyle w:val="rtejustify"/>
        <w:spacing w:before="0" w:after="0"/>
        <w:rPr>
          <w:color w:val="000000" w:themeColor="text1"/>
          <w:sz w:val="16"/>
          <w:szCs w:val="16"/>
        </w:rPr>
      </w:pPr>
    </w:p>
    <w:p w14:paraId="2EF9112E" w14:textId="77777777" w:rsidR="001E4A85" w:rsidRPr="0044524F" w:rsidRDefault="001E4A85" w:rsidP="009654CF">
      <w:pPr>
        <w:pStyle w:val="rtejustify"/>
        <w:spacing w:before="0" w:after="0"/>
        <w:rPr>
          <w:color w:val="000000" w:themeColor="text1"/>
          <w:sz w:val="16"/>
          <w:szCs w:val="16"/>
        </w:rPr>
      </w:pPr>
      <w:r w:rsidRPr="0044524F">
        <w:rPr>
          <w:rStyle w:val="af0"/>
          <w:bCs/>
          <w:i w:val="0"/>
          <w:color w:val="000000" w:themeColor="text1"/>
          <w:sz w:val="16"/>
          <w:szCs w:val="16"/>
        </w:rPr>
        <w:t>27 декабря</w:t>
      </w:r>
      <w:r w:rsidRPr="0044524F">
        <w:rPr>
          <w:rStyle w:val="af0"/>
          <w:rFonts w:eastAsiaTheme="majorEastAsia"/>
          <w:bCs/>
          <w:i w:val="0"/>
          <w:color w:val="000000" w:themeColor="text1"/>
          <w:sz w:val="16"/>
          <w:szCs w:val="16"/>
        </w:rPr>
        <w:t xml:space="preserve"> 1933</w:t>
      </w:r>
      <w:r w:rsidRPr="0044524F">
        <w:rPr>
          <w:color w:val="000000" w:themeColor="text1"/>
          <w:sz w:val="16"/>
          <w:szCs w:val="16"/>
        </w:rPr>
        <w:t>. Постановление РВСС «О введении на вооружение артиллерии РККА для 45</w:t>
      </w:r>
      <w:r w:rsidRPr="0044524F">
        <w:rPr>
          <w:color w:val="000000" w:themeColor="text1"/>
          <w:sz w:val="16"/>
          <w:szCs w:val="16"/>
        </w:rPr>
        <w:noBreakHyphen/>
        <w:t>мм танковой и противотанковой пушки образца 1932 г.». (Приложение: тактико-технические данные 45</w:t>
      </w:r>
      <w:r w:rsidRPr="0044524F">
        <w:rPr>
          <w:color w:val="000000" w:themeColor="text1"/>
          <w:sz w:val="16"/>
          <w:szCs w:val="16"/>
        </w:rPr>
        <w:noBreakHyphen/>
        <w:t>мм выстрелов к танковой и противотанковой пушкам образца 1932 г.). (РГВА. Ф. 4. Оп. 18. Д. 23. Л. 345</w:t>
      </w:r>
      <w:r w:rsidRPr="0044524F">
        <w:rPr>
          <w:color w:val="000000" w:themeColor="text1"/>
          <w:sz w:val="16"/>
          <w:szCs w:val="16"/>
        </w:rPr>
        <w:noBreakHyphen/>
        <w:t>347) (15461).</w:t>
      </w:r>
    </w:p>
    <w:p w14:paraId="2414CE41" w14:textId="77777777" w:rsidR="001E4A85" w:rsidRPr="0044524F" w:rsidRDefault="001E4A85" w:rsidP="009654CF">
      <w:pPr>
        <w:pStyle w:val="rtejustify"/>
        <w:spacing w:before="0" w:after="0"/>
        <w:rPr>
          <w:color w:val="000000" w:themeColor="text1"/>
          <w:sz w:val="16"/>
          <w:szCs w:val="16"/>
        </w:rPr>
      </w:pPr>
    </w:p>
    <w:p w14:paraId="4D39647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декабря 1933 вышел ПРИКАЗ УММ О ЗАКЛЮЧЕНИИ ДОГОВОРОВ С ПРОМЫШЛЕННОСТЬЮ ПО ПЛАНУ ЗАКАЗОВ НА 1934 ГОД №169</w:t>
      </w:r>
    </w:p>
    <w:p w14:paraId="2DCFDC5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Москва</w:t>
      </w:r>
    </w:p>
    <w:p w14:paraId="1A447E1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постановлением Совнаркома от 19 декабря 1933 г. о заключении договор промышленностью по плану заказов на 1934 год. Приказываю:</w:t>
      </w:r>
    </w:p>
    <w:p w14:paraId="50A5668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745B621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Начальникам 1, 2 и 3 Управления механизации и моторизации РККА немедленно приступи заключению договоров на 1934 год в точном соответствии плану заказов.</w:t>
      </w:r>
    </w:p>
    <w:p w14:paraId="70D01C9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p w14:paraId="7AE6E62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Оформление договоров производить обязательно на преподанных бланках финансового управления РККА на 1934 год.</w:t>
      </w:r>
    </w:p>
    <w:p w14:paraId="0719A4F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p w14:paraId="7DDA765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Договора составлять в шести экземплярах: 1 - заказчику, 2 - поставщику, 3 - финансовому отделу УММ, 4 - военпреду, 5 - ФУ РККА и 6 - ГВМУ НКТП СССР.</w:t>
      </w:r>
    </w:p>
    <w:p w14:paraId="40FBB76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13B8FBA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без исключения договора подписываются мною, а во время моего отсутствия моим заме телем т. Бокис.</w:t>
      </w:r>
    </w:p>
    <w:p w14:paraId="3A9B502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p w14:paraId="735F704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Договора подрабатываются и оформляются оперативными отделами 1, 2 и 3 управления по принадлежности. На договорах обязательно иметь визу:</w:t>
      </w:r>
    </w:p>
    <w:p w14:paraId="2F63AB9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Начальника оперативного отдела,</w:t>
      </w:r>
    </w:p>
    <w:p w14:paraId="1DBA782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Начальника калькуляционного сектора,</w:t>
      </w:r>
    </w:p>
    <w:p w14:paraId="159F4D4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Начальника финансового отдела УММ и начальника довольствующего управления (по он ным заказам калькуляционный сектор визы не дает).</w:t>
      </w:r>
    </w:p>
    <w:p w14:paraId="1B64549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p w14:paraId="730EF13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Категорически запрещаю докладывать мне договора для подписи при отсутствии вышеупомянутого порядка.</w:t>
      </w:r>
    </w:p>
    <w:p w14:paraId="1F4981B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p w14:paraId="6201E0C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Оформленные надлежащим порядком договора докладывают мне для подписи только начами управлений.</w:t>
      </w:r>
    </w:p>
    <w:p w14:paraId="7D19454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Управления механизации и моторизации РК Халепский</w:t>
      </w:r>
    </w:p>
    <w:p w14:paraId="4D8483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РГВА. Ф. 31811. Оп. 4. Д. 2. Л. 231 - 232. Подлинник (11210).</w:t>
      </w:r>
    </w:p>
    <w:p w14:paraId="6FAFC8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5A0F2D8" w14:textId="77777777" w:rsidR="00091E70" w:rsidRPr="0044524F" w:rsidRDefault="00091E70"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Жизеь и внутренняя политика:</w:t>
      </w:r>
    </w:p>
    <w:p w14:paraId="4A9134E4" w14:textId="77777777" w:rsidR="00091E70" w:rsidRPr="0044524F" w:rsidRDefault="00091E70"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FA6E24C" w14:textId="77777777" w:rsidR="00091E70" w:rsidRPr="0044524F" w:rsidRDefault="00091E7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декабря 1933. Газета "Вечерняя Москва" сообщала; "Научно-исследовательскому институту инсекто-фунгидидов "НИИФ" для опытов по изучению действия на насекомых различный ядов нужно 1000-1500 черных тараканов в месяц. Институт покупает черных тараканов в любом количестве по цене 5 копеек за штуку. Доставлять тараканов надо в стеклянной банке, завернутой во что-нибудь теплое (чтобы не замерзли на улице) по адресу: Зубовская улица, дом - 7/11" (18722).</w:t>
      </w:r>
    </w:p>
    <w:p w14:paraId="004464CA" w14:textId="77777777" w:rsidR="00091E70" w:rsidRPr="0044524F" w:rsidRDefault="00091E70" w:rsidP="009654CF">
      <w:pPr>
        <w:spacing w:after="0" w:line="240" w:lineRule="auto"/>
        <w:jc w:val="both"/>
        <w:rPr>
          <w:rFonts w:ascii="Times New Roman" w:hAnsi="Times New Roman"/>
          <w:color w:val="000000" w:themeColor="text1"/>
          <w:sz w:val="16"/>
          <w:szCs w:val="16"/>
        </w:rPr>
      </w:pPr>
    </w:p>
    <w:p w14:paraId="5ADB516E"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ACFBDB5"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AD9B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декабря 1933 И.В.Сталин назвал Японию опасной (2100).</w:t>
      </w:r>
    </w:p>
    <w:p w14:paraId="652C9F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BED4EE5"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9F8A4C5"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2D603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декабря 1933 появился доклад начальника ГУАП Г.Н.Королева для A.К.Орджоникидзе о развитии стального самолетостроения, представленный в письме N 283/783 (1024,47).</w:t>
      </w:r>
    </w:p>
    <w:p w14:paraId="576012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ГУАП все же решил делать новые два К-7 после того, как Правительство утвердило выводы аварийной комиссии 29 декабря 1933 (70,244).</w:t>
      </w:r>
    </w:p>
    <w:p w14:paraId="1B9F71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ED129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декабря 1933 И-16 М-22 был закончен постройкой на заводе 39 (2287,131).</w:t>
      </w:r>
    </w:p>
    <w:p w14:paraId="4927F3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CC02B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декабря 1933 г. за</w:t>
      </w:r>
      <w:r w:rsidRPr="0044524F">
        <w:rPr>
          <w:rFonts w:ascii="Times New Roman" w:hAnsi="Times New Roman"/>
          <w:color w:val="000000" w:themeColor="text1"/>
          <w:sz w:val="16"/>
          <w:szCs w:val="16"/>
        </w:rPr>
        <w:softHyphen/>
        <w:t>вершилась постройка первого опытного образца ЦКБ-12. Второй экземпляр по на</w:t>
      </w:r>
      <w:r w:rsidRPr="0044524F">
        <w:rPr>
          <w:rFonts w:ascii="Times New Roman" w:hAnsi="Times New Roman"/>
          <w:color w:val="000000" w:themeColor="text1"/>
          <w:sz w:val="16"/>
          <w:szCs w:val="16"/>
        </w:rPr>
        <w:softHyphen/>
        <w:t>стоянию Поликарпова решили не использовать для испытаний кольца Тауненда, а оснастить двигателем Райт «Циклон» (10667).</w:t>
      </w:r>
    </w:p>
    <w:p w14:paraId="13596F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322CA7E"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декабря 1933 г. завершилась постройка первого опытного образца ЦКБ-12.</w:t>
      </w:r>
    </w:p>
    <w:p w14:paraId="78BF1E5C"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Второй экземпляр по настоянию Поликар</w:t>
      </w:r>
      <w:r w:rsidRPr="0044524F">
        <w:rPr>
          <w:rFonts w:ascii="Times New Roman" w:hAnsi="Times New Roman"/>
          <w:color w:val="000000" w:themeColor="text1"/>
          <w:sz w:val="16"/>
          <w:szCs w:val="16"/>
        </w:rPr>
        <w:softHyphen/>
        <w:t>пова решили не использовать для испытаний кольца Тауненда, а оснастить двигателем Райт «Циклон».</w:t>
      </w:r>
    </w:p>
    <w:p w14:paraId="56FCA06A"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ЦКБ-12 в окончательном варианте представлял собой свободонесущий низкоплан с убирающимся механическим приво</w:t>
      </w:r>
      <w:r w:rsidRPr="0044524F">
        <w:rPr>
          <w:rFonts w:ascii="Times New Roman" w:hAnsi="Times New Roman"/>
          <w:color w:val="000000" w:themeColor="text1"/>
          <w:sz w:val="16"/>
          <w:szCs w:val="16"/>
        </w:rPr>
        <w:softHyphen/>
        <w:t>дом шасси пирамидальной конструкции.</w:t>
      </w:r>
    </w:p>
    <w:p w14:paraId="34A2D90D"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Фюзеляж - деревянный монокок, по технологии изготовления и конструкции представлявший собой дальнейшее развитие мо</w:t>
      </w:r>
      <w:r w:rsidRPr="0044524F">
        <w:rPr>
          <w:rFonts w:ascii="Times New Roman" w:hAnsi="Times New Roman"/>
          <w:color w:val="000000" w:themeColor="text1"/>
          <w:sz w:val="16"/>
          <w:szCs w:val="16"/>
        </w:rPr>
        <w:softHyphen/>
        <w:t>нококов более ранних самолетов Поликарпова - И-3, ПМ-1, И-6, И-7. Он имел обшивку переменной толщины от 5,5 до 2 мм (сбег к хвостовой части) из березового шпона, которая выклеивалась на глиняном болване. После высыхания клея обшивка разрезалась на две части вдоль по оси симметрии и снималась с болвана. Си</w:t>
      </w:r>
      <w:r w:rsidRPr="0044524F">
        <w:rPr>
          <w:rFonts w:ascii="Times New Roman" w:hAnsi="Times New Roman"/>
          <w:color w:val="000000" w:themeColor="text1"/>
          <w:sz w:val="16"/>
          <w:szCs w:val="16"/>
        </w:rPr>
        <w:softHyphen/>
        <w:t>ловой каркас фюзеляжа образовывали 11 фанерных шпангоутов, 4 деревянных лонжерона и 8 стрингеров. Обшивка крепилась к ним с помощью фанерных накладок на казеиновом клее и оцин</w:t>
      </w:r>
      <w:r w:rsidRPr="0044524F">
        <w:rPr>
          <w:rFonts w:ascii="Times New Roman" w:hAnsi="Times New Roman"/>
          <w:color w:val="000000" w:themeColor="text1"/>
          <w:sz w:val="16"/>
          <w:szCs w:val="16"/>
        </w:rPr>
        <w:softHyphen/>
        <w:t>кованных гвоздях и после грунтовки обклеивалась полотном.</w:t>
      </w:r>
    </w:p>
    <w:p w14:paraId="666D99B1"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Центроплан состоял из двух ферменных лонжеронов, сваренных из труб и нервюр. Он обшивался фанерными и дюралюминиевыми панелями. Консоли крыла были двух</w:t>
      </w:r>
      <w:r w:rsidRPr="0044524F">
        <w:rPr>
          <w:rFonts w:ascii="Times New Roman" w:hAnsi="Times New Roman"/>
          <w:color w:val="000000" w:themeColor="text1"/>
          <w:sz w:val="16"/>
          <w:szCs w:val="16"/>
        </w:rPr>
        <w:softHyphen/>
        <w:t>лонжеронной конструкции. Передняя часть крыла имела металлическую обшивку, задняя - полотняную. Элероны и оперение металлической конструкции, обтянутые полотном. Элероны были снабжены механизмом зависания, позволяв</w:t>
      </w:r>
      <w:r w:rsidRPr="0044524F">
        <w:rPr>
          <w:rFonts w:ascii="Times New Roman" w:hAnsi="Times New Roman"/>
          <w:color w:val="000000" w:themeColor="text1"/>
          <w:sz w:val="16"/>
          <w:szCs w:val="16"/>
        </w:rPr>
        <w:softHyphen/>
        <w:t>шим использовать их и в качестве своеобразных закрылков. Кабина закрывалась фонарем, сдвигаемым вперед на полоз</w:t>
      </w:r>
      <w:r w:rsidRPr="0044524F">
        <w:rPr>
          <w:rFonts w:ascii="Times New Roman" w:hAnsi="Times New Roman"/>
          <w:color w:val="000000" w:themeColor="text1"/>
          <w:sz w:val="16"/>
          <w:szCs w:val="16"/>
        </w:rPr>
        <w:softHyphen/>
        <w:t>ках, и имела откидной левый борт. Установленные сверху два небольших круглых иллюминатора подсвечивали при</w:t>
      </w:r>
      <w:r w:rsidRPr="0044524F">
        <w:rPr>
          <w:rFonts w:ascii="Times New Roman" w:hAnsi="Times New Roman"/>
          <w:color w:val="000000" w:themeColor="text1"/>
          <w:sz w:val="16"/>
          <w:szCs w:val="16"/>
        </w:rPr>
        <w:softHyphen/>
        <w:t>борную доску. Шасси пирамидальной конструкции убиралось вручную тросовым приводом. Колеса тормозные, 700х100. Двигатель М-22 закрывал капот НАКА. Вооружение состояло из двух пулеметов ПВ-1 вне диска винта с 900 патронами на каждый. Самолет имел длину 5,985 м, размах - 9 м, площадь крыла - 14,54 кв. м (23455).</w:t>
      </w:r>
    </w:p>
    <w:p w14:paraId="15AE1091" w14:textId="77777777" w:rsidR="00E31131" w:rsidRPr="0044524F" w:rsidRDefault="00E31131" w:rsidP="009654CF">
      <w:pPr>
        <w:spacing w:after="0" w:line="240" w:lineRule="auto"/>
        <w:jc w:val="both"/>
        <w:rPr>
          <w:rFonts w:ascii="Times New Roman" w:hAnsi="Times New Roman"/>
          <w:color w:val="000000" w:themeColor="text1"/>
          <w:sz w:val="16"/>
          <w:szCs w:val="16"/>
        </w:rPr>
      </w:pPr>
    </w:p>
    <w:p w14:paraId="0DA9D707" w14:textId="77777777" w:rsidR="00E40190" w:rsidRPr="00142305" w:rsidRDefault="00E40190" w:rsidP="00E401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28 декабря 1933 года ЦКБ</w:t>
      </w:r>
      <w:r w:rsidRPr="00142305">
        <w:rPr>
          <w:rFonts w:ascii="Times New Roman" w:hAnsi="Times New Roman"/>
          <w:color w:val="0070C0"/>
          <w:sz w:val="16"/>
          <w:szCs w:val="16"/>
        </w:rPr>
        <w:noBreakHyphen/>
        <w:t>12, оснащенный двигателем М</w:t>
      </w:r>
      <w:r w:rsidRPr="00142305">
        <w:rPr>
          <w:rFonts w:ascii="Times New Roman" w:hAnsi="Times New Roman"/>
          <w:color w:val="0070C0"/>
          <w:sz w:val="16"/>
          <w:szCs w:val="16"/>
        </w:rPr>
        <w:noBreakHyphen/>
        <w:t>22 выкатили из заводского цеха. Первый полет он совершил 30 декабря. управлял им Валерий Чкалов. На следующий день началась программа заводских испытаний.</w:t>
      </w:r>
    </w:p>
    <w:p w14:paraId="47AAD6D3" w14:textId="77777777" w:rsidR="00E40190" w:rsidRPr="00142305" w:rsidRDefault="00E40190" w:rsidP="00E401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Опытный ЦКБ</w:t>
      </w:r>
      <w:r w:rsidRPr="00142305">
        <w:rPr>
          <w:rFonts w:ascii="Times New Roman" w:hAnsi="Times New Roman"/>
          <w:color w:val="0070C0"/>
          <w:sz w:val="16"/>
          <w:szCs w:val="16"/>
        </w:rPr>
        <w:noBreakHyphen/>
        <w:t>12 был оборудован лыжным шасси – временная мера для, обеспечения его летных испытаний в зимний период. Первоначально ЦКБ</w:t>
      </w:r>
      <w:r w:rsidRPr="00142305">
        <w:rPr>
          <w:rFonts w:ascii="Times New Roman" w:hAnsi="Times New Roman"/>
          <w:color w:val="0070C0"/>
          <w:sz w:val="16"/>
          <w:szCs w:val="16"/>
        </w:rPr>
        <w:noBreakHyphen/>
        <w:t>12 имел руль направления небольшой площади, но уже ранние заводские испытания показали, что устойчивость самолета неудовлетворительна, и площадь руля была увеличена. Кроме того, трехлопастной винт типа Hamilton</w:t>
      </w:r>
      <w:r w:rsidRPr="00142305">
        <w:rPr>
          <w:rFonts w:ascii="Times New Roman" w:hAnsi="Times New Roman"/>
          <w:color w:val="0070C0"/>
          <w:sz w:val="16"/>
          <w:szCs w:val="16"/>
        </w:rPr>
        <w:noBreakHyphen/>
        <w:t>Standard был заменен двухлопастным воздушным винтом советского производства В</w:t>
      </w:r>
      <w:r w:rsidRPr="00142305">
        <w:rPr>
          <w:rFonts w:ascii="Times New Roman" w:hAnsi="Times New Roman"/>
          <w:color w:val="0070C0"/>
          <w:sz w:val="16"/>
          <w:szCs w:val="16"/>
        </w:rPr>
        <w:noBreakHyphen/>
        <w:t>22. ЦКБ</w:t>
      </w:r>
      <w:r w:rsidRPr="00142305">
        <w:rPr>
          <w:rFonts w:ascii="Times New Roman" w:hAnsi="Times New Roman"/>
          <w:color w:val="0070C0"/>
          <w:sz w:val="16"/>
          <w:szCs w:val="16"/>
        </w:rPr>
        <w:noBreakHyphen/>
        <w:t xml:space="preserve"> 12бис с двигателем Wright Cyclone сохранил трехлопастной воздушный винт Hamilton</w:t>
      </w:r>
      <w:r w:rsidRPr="00142305">
        <w:rPr>
          <w:rFonts w:ascii="Times New Roman" w:hAnsi="Times New Roman"/>
          <w:color w:val="0070C0"/>
          <w:sz w:val="16"/>
          <w:szCs w:val="16"/>
        </w:rPr>
        <w:noBreakHyphen/>
        <w:t>Standard (25070).</w:t>
      </w:r>
    </w:p>
    <w:p w14:paraId="000027BC" w14:textId="77777777" w:rsidR="00E40190" w:rsidRPr="00142305" w:rsidRDefault="00E40190" w:rsidP="00E40190">
      <w:pPr>
        <w:spacing w:after="0" w:line="240" w:lineRule="auto"/>
        <w:jc w:val="both"/>
        <w:rPr>
          <w:rFonts w:ascii="Times New Roman" w:hAnsi="Times New Roman"/>
          <w:color w:val="0070C0"/>
          <w:sz w:val="16"/>
          <w:szCs w:val="16"/>
        </w:rPr>
      </w:pPr>
    </w:p>
    <w:p w14:paraId="21010AED" w14:textId="3260EA47" w:rsidR="00E40190" w:rsidRPr="00142305" w:rsidRDefault="00E40190" w:rsidP="00E4019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28 декабря 1933 г. И-1</w:t>
      </w:r>
      <w:r>
        <w:rPr>
          <w:rStyle w:val="aff"/>
          <w:rFonts w:ascii="Times New Roman" w:hAnsi="Times New Roman" w:cs="Times New Roman"/>
          <w:color w:val="0070C0"/>
          <w:spacing w:val="0"/>
          <w:sz w:val="16"/>
          <w:szCs w:val="16"/>
        </w:rPr>
        <w:t>6</w:t>
      </w:r>
      <w:r w:rsidRPr="00142305">
        <w:rPr>
          <w:rStyle w:val="aff"/>
          <w:rFonts w:ascii="Times New Roman" w:hAnsi="Times New Roman" w:cs="Times New Roman"/>
          <w:color w:val="0070C0"/>
          <w:spacing w:val="0"/>
          <w:sz w:val="16"/>
          <w:szCs w:val="16"/>
        </w:rPr>
        <w:t xml:space="preserve"> был закончен постройкой и 30/</w:t>
      </w:r>
      <w:r w:rsidRPr="00142305">
        <w:rPr>
          <w:rStyle w:val="aff"/>
          <w:rFonts w:ascii="Times New Roman" w:hAnsi="Times New Roman" w:cs="Times New Roman"/>
          <w:color w:val="0070C0"/>
          <w:spacing w:val="0"/>
          <w:sz w:val="16"/>
          <w:szCs w:val="16"/>
          <w:lang w:val="en-US"/>
        </w:rPr>
        <w:t>XII</w:t>
      </w:r>
      <w:r w:rsidRPr="00142305">
        <w:rPr>
          <w:rStyle w:val="aff"/>
          <w:rFonts w:ascii="Times New Roman" w:hAnsi="Times New Roman" w:cs="Times New Roman"/>
          <w:color w:val="0070C0"/>
          <w:spacing w:val="0"/>
          <w:sz w:val="16"/>
          <w:szCs w:val="16"/>
        </w:rPr>
        <w:t xml:space="preserve"> совершил первый полет (25519).</w:t>
      </w:r>
    </w:p>
    <w:p w14:paraId="400CDF58" w14:textId="77777777" w:rsidR="00E40190" w:rsidRPr="00142305" w:rsidRDefault="00E40190" w:rsidP="00E40190">
      <w:pPr>
        <w:spacing w:after="0" w:line="240" w:lineRule="auto"/>
        <w:jc w:val="both"/>
        <w:rPr>
          <w:rFonts w:ascii="Times New Roman" w:hAnsi="Times New Roman"/>
          <w:color w:val="0070C0"/>
          <w:sz w:val="16"/>
          <w:szCs w:val="16"/>
        </w:rPr>
      </w:pPr>
    </w:p>
    <w:p w14:paraId="45840D73"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декабря 1933 г. А.Г. Горянов обраща</w:t>
      </w:r>
      <w:r w:rsidRPr="0044524F">
        <w:rPr>
          <w:rFonts w:ascii="Times New Roman" w:hAnsi="Times New Roman"/>
          <w:color w:val="000000" w:themeColor="text1"/>
          <w:sz w:val="16"/>
          <w:szCs w:val="16"/>
        </w:rPr>
        <w:softHyphen/>
        <w:t>ется за помощью к Н.М. Харламову. Вот этот интересный документ:</w:t>
      </w:r>
    </w:p>
    <w:p w14:paraId="7604D090"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«Комитет обращается к Вам с прось</w:t>
      </w:r>
      <w:r w:rsidRPr="0044524F">
        <w:rPr>
          <w:rFonts w:ascii="Times New Roman" w:hAnsi="Times New Roman"/>
          <w:color w:val="000000" w:themeColor="text1"/>
          <w:sz w:val="16"/>
          <w:szCs w:val="16"/>
        </w:rPr>
        <w:softHyphen/>
        <w:t>бой дать Ваше заключение по вопросу пер</w:t>
      </w:r>
      <w:r w:rsidRPr="0044524F">
        <w:rPr>
          <w:rFonts w:ascii="Times New Roman" w:hAnsi="Times New Roman"/>
          <w:color w:val="000000" w:themeColor="text1"/>
          <w:sz w:val="16"/>
          <w:szCs w:val="16"/>
        </w:rPr>
        <w:softHyphen/>
        <w:t>сонала самолета «Максим Горький». Со</w:t>
      </w:r>
      <w:r w:rsidRPr="0044524F">
        <w:rPr>
          <w:rFonts w:ascii="Times New Roman" w:hAnsi="Times New Roman"/>
          <w:color w:val="000000" w:themeColor="text1"/>
          <w:sz w:val="16"/>
          <w:szCs w:val="16"/>
        </w:rPr>
        <w:softHyphen/>
        <w:t>гласно технических требований количест</w:t>
      </w:r>
      <w:r w:rsidRPr="0044524F">
        <w:rPr>
          <w:rFonts w:ascii="Times New Roman" w:hAnsi="Times New Roman"/>
          <w:color w:val="000000" w:themeColor="text1"/>
          <w:sz w:val="16"/>
          <w:szCs w:val="16"/>
        </w:rPr>
        <w:softHyphen/>
        <w:t>во персонала для всех трех вариантов вы</w:t>
      </w:r>
      <w:r w:rsidRPr="0044524F">
        <w:rPr>
          <w:rFonts w:ascii="Times New Roman" w:hAnsi="Times New Roman"/>
          <w:color w:val="000000" w:themeColor="text1"/>
          <w:sz w:val="16"/>
          <w:szCs w:val="16"/>
        </w:rPr>
        <w:softHyphen/>
        <w:t>ражается следующей таблицей.</w:t>
      </w:r>
    </w:p>
    <w:p w14:paraId="31C211B6"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Таблица необходимого персонала самолета «Максим Горький»</w:t>
      </w:r>
    </w:p>
    <w:tbl>
      <w:tblPr>
        <w:tblOverlap w:val="never"/>
        <w:tblW w:w="0" w:type="auto"/>
        <w:tblLayout w:type="fixed"/>
        <w:tblCellMar>
          <w:left w:w="10" w:type="dxa"/>
          <w:right w:w="10" w:type="dxa"/>
        </w:tblCellMar>
        <w:tblLook w:val="0000" w:firstRow="0" w:lastRow="0" w:firstColumn="0" w:lastColumn="0" w:noHBand="0" w:noVBand="0"/>
      </w:tblPr>
      <w:tblGrid>
        <w:gridCol w:w="2198"/>
        <w:gridCol w:w="1800"/>
        <w:gridCol w:w="1330"/>
        <w:gridCol w:w="1867"/>
      </w:tblGrid>
      <w:tr w:rsidR="004E10C1" w:rsidRPr="0044524F" w14:paraId="36ECCD58" w14:textId="77777777" w:rsidTr="00BE532B">
        <w:trPr>
          <w:trHeight w:val="557"/>
        </w:trPr>
        <w:tc>
          <w:tcPr>
            <w:tcW w:w="2198" w:type="dxa"/>
            <w:tcBorders>
              <w:top w:val="single" w:sz="4" w:space="0" w:color="auto"/>
              <w:left w:val="single" w:sz="4" w:space="0" w:color="auto"/>
            </w:tcBorders>
            <w:vAlign w:val="center"/>
          </w:tcPr>
          <w:p w14:paraId="7D2E2E15"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Специальности</w:t>
            </w:r>
          </w:p>
        </w:tc>
        <w:tc>
          <w:tcPr>
            <w:tcW w:w="1800" w:type="dxa"/>
            <w:tcBorders>
              <w:top w:val="single" w:sz="4" w:space="0" w:color="auto"/>
            </w:tcBorders>
            <w:vAlign w:val="bottom"/>
          </w:tcPr>
          <w:p w14:paraId="6FAAD9F5"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Агитационный вариант</w:t>
            </w:r>
          </w:p>
        </w:tc>
        <w:tc>
          <w:tcPr>
            <w:tcW w:w="1330" w:type="dxa"/>
            <w:tcBorders>
              <w:top w:val="single" w:sz="4" w:space="0" w:color="auto"/>
            </w:tcBorders>
            <w:vAlign w:val="bottom"/>
          </w:tcPr>
          <w:p w14:paraId="08786F70"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Пассажирский вариант</w:t>
            </w:r>
          </w:p>
        </w:tc>
        <w:tc>
          <w:tcPr>
            <w:tcW w:w="1867" w:type="dxa"/>
            <w:tcBorders>
              <w:top w:val="single" w:sz="4" w:space="0" w:color="auto"/>
              <w:right w:val="single" w:sz="4" w:space="0" w:color="auto"/>
            </w:tcBorders>
            <w:vAlign w:val="bottom"/>
          </w:tcPr>
          <w:p w14:paraId="0F57D0AA"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Специальный вариант</w:t>
            </w:r>
          </w:p>
        </w:tc>
      </w:tr>
      <w:tr w:rsidR="004E10C1" w:rsidRPr="0044524F" w14:paraId="3A296670" w14:textId="77777777" w:rsidTr="00BE532B">
        <w:trPr>
          <w:trHeight w:hRule="exact" w:val="178"/>
        </w:trPr>
        <w:tc>
          <w:tcPr>
            <w:tcW w:w="2198" w:type="dxa"/>
            <w:tcBorders>
              <w:top w:val="single" w:sz="4" w:space="0" w:color="auto"/>
              <w:left w:val="single" w:sz="4" w:space="0" w:color="auto"/>
            </w:tcBorders>
          </w:tcPr>
          <w:p w14:paraId="358E7CAA"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Радисты</w:t>
            </w:r>
          </w:p>
        </w:tc>
        <w:tc>
          <w:tcPr>
            <w:tcW w:w="1800" w:type="dxa"/>
            <w:tcBorders>
              <w:top w:val="single" w:sz="4" w:space="0" w:color="auto"/>
            </w:tcBorders>
          </w:tcPr>
          <w:p w14:paraId="36515B7A"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330" w:type="dxa"/>
            <w:tcBorders>
              <w:top w:val="single" w:sz="4" w:space="0" w:color="auto"/>
            </w:tcBorders>
          </w:tcPr>
          <w:p w14:paraId="6A2F295D"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867" w:type="dxa"/>
            <w:tcBorders>
              <w:top w:val="single" w:sz="4" w:space="0" w:color="auto"/>
              <w:right w:val="single" w:sz="4" w:space="0" w:color="auto"/>
            </w:tcBorders>
          </w:tcPr>
          <w:p w14:paraId="2E52D105"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471C9CC4" w14:textId="77777777" w:rsidTr="00BE532B">
        <w:trPr>
          <w:trHeight w:hRule="exact" w:val="250"/>
        </w:trPr>
        <w:tc>
          <w:tcPr>
            <w:tcW w:w="2198" w:type="dxa"/>
            <w:tcBorders>
              <w:left w:val="single" w:sz="4" w:space="0" w:color="auto"/>
            </w:tcBorders>
          </w:tcPr>
          <w:p w14:paraId="614BA450"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Типография</w:t>
            </w:r>
          </w:p>
        </w:tc>
        <w:tc>
          <w:tcPr>
            <w:tcW w:w="1800" w:type="dxa"/>
          </w:tcPr>
          <w:p w14:paraId="2DEB71CC"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1330" w:type="dxa"/>
            <w:vAlign w:val="center"/>
          </w:tcPr>
          <w:p w14:paraId="3C7965B1"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67" w:type="dxa"/>
            <w:tcBorders>
              <w:right w:val="single" w:sz="4" w:space="0" w:color="auto"/>
            </w:tcBorders>
          </w:tcPr>
          <w:p w14:paraId="183F1530"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штаб —12</w:t>
            </w:r>
          </w:p>
        </w:tc>
      </w:tr>
      <w:tr w:rsidR="004E10C1" w:rsidRPr="0044524F" w14:paraId="55FD7D1A" w14:textId="77777777" w:rsidTr="00BE532B">
        <w:trPr>
          <w:trHeight w:hRule="exact" w:val="187"/>
        </w:trPr>
        <w:tc>
          <w:tcPr>
            <w:tcW w:w="2198" w:type="dxa"/>
            <w:tcBorders>
              <w:left w:val="single" w:sz="4" w:space="0" w:color="auto"/>
            </w:tcBorders>
          </w:tcPr>
          <w:p w14:paraId="2FB6EC3D" w14:textId="77777777" w:rsidR="00BE532B" w:rsidRPr="0044524F" w:rsidRDefault="00BE532B" w:rsidP="009654CF">
            <w:pPr>
              <w:spacing w:after="0" w:line="240" w:lineRule="auto"/>
              <w:jc w:val="both"/>
              <w:rPr>
                <w:rFonts w:ascii="Times New Roman" w:hAnsi="Times New Roman"/>
                <w:color w:val="000000" w:themeColor="text1"/>
                <w:sz w:val="16"/>
                <w:szCs w:val="16"/>
              </w:rPr>
            </w:pPr>
          </w:p>
        </w:tc>
        <w:tc>
          <w:tcPr>
            <w:tcW w:w="1800" w:type="dxa"/>
          </w:tcPr>
          <w:p w14:paraId="17919C41" w14:textId="77777777" w:rsidR="00BE532B" w:rsidRPr="0044524F" w:rsidRDefault="00BE532B" w:rsidP="009654CF">
            <w:pPr>
              <w:spacing w:after="0" w:line="240" w:lineRule="auto"/>
              <w:jc w:val="both"/>
              <w:rPr>
                <w:rFonts w:ascii="Times New Roman" w:hAnsi="Times New Roman"/>
                <w:color w:val="000000" w:themeColor="text1"/>
                <w:sz w:val="16"/>
                <w:szCs w:val="16"/>
              </w:rPr>
            </w:pPr>
          </w:p>
        </w:tc>
        <w:tc>
          <w:tcPr>
            <w:tcW w:w="1330" w:type="dxa"/>
          </w:tcPr>
          <w:p w14:paraId="48243704" w14:textId="77777777" w:rsidR="00BE532B" w:rsidRPr="0044524F" w:rsidRDefault="00BE532B" w:rsidP="009654CF">
            <w:pPr>
              <w:spacing w:after="0" w:line="240" w:lineRule="auto"/>
              <w:jc w:val="both"/>
              <w:rPr>
                <w:rFonts w:ascii="Times New Roman" w:hAnsi="Times New Roman"/>
                <w:color w:val="000000" w:themeColor="text1"/>
                <w:sz w:val="16"/>
                <w:szCs w:val="16"/>
              </w:rPr>
            </w:pPr>
          </w:p>
        </w:tc>
        <w:tc>
          <w:tcPr>
            <w:tcW w:w="1867" w:type="dxa"/>
            <w:tcBorders>
              <w:right w:val="single" w:sz="4" w:space="0" w:color="auto"/>
            </w:tcBorders>
          </w:tcPr>
          <w:p w14:paraId="305F6048"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машинистки — 2</w:t>
            </w:r>
          </w:p>
        </w:tc>
      </w:tr>
      <w:tr w:rsidR="004E10C1" w:rsidRPr="0044524F" w14:paraId="05D6CA95" w14:textId="77777777" w:rsidTr="00BE532B">
        <w:trPr>
          <w:trHeight w:hRule="exact" w:val="226"/>
        </w:trPr>
        <w:tc>
          <w:tcPr>
            <w:tcW w:w="2198" w:type="dxa"/>
            <w:tcBorders>
              <w:left w:val="single" w:sz="4" w:space="0" w:color="auto"/>
            </w:tcBorders>
          </w:tcPr>
          <w:p w14:paraId="78B52B34"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Кино</w:t>
            </w:r>
          </w:p>
        </w:tc>
        <w:tc>
          <w:tcPr>
            <w:tcW w:w="1800" w:type="dxa"/>
          </w:tcPr>
          <w:p w14:paraId="59476525"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330" w:type="dxa"/>
            <w:vAlign w:val="center"/>
          </w:tcPr>
          <w:p w14:paraId="23003501"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67" w:type="dxa"/>
            <w:tcBorders>
              <w:right w:val="single" w:sz="4" w:space="0" w:color="auto"/>
            </w:tcBorders>
          </w:tcPr>
          <w:p w14:paraId="59FE24CE" w14:textId="77777777" w:rsidR="00BE532B" w:rsidRPr="0044524F" w:rsidRDefault="00BE532B" w:rsidP="009654CF">
            <w:pPr>
              <w:spacing w:after="0" w:line="240" w:lineRule="auto"/>
              <w:jc w:val="both"/>
              <w:rPr>
                <w:rFonts w:ascii="Times New Roman" w:hAnsi="Times New Roman"/>
                <w:color w:val="000000" w:themeColor="text1"/>
                <w:sz w:val="16"/>
                <w:szCs w:val="16"/>
              </w:rPr>
            </w:pPr>
          </w:p>
        </w:tc>
      </w:tr>
      <w:tr w:rsidR="004E10C1" w:rsidRPr="0044524F" w14:paraId="3B93749B" w14:textId="77777777" w:rsidTr="00BE532B">
        <w:trPr>
          <w:trHeight w:hRule="exact" w:val="230"/>
        </w:trPr>
        <w:tc>
          <w:tcPr>
            <w:tcW w:w="3998" w:type="dxa"/>
            <w:gridSpan w:val="2"/>
            <w:tcBorders>
              <w:left w:val="single" w:sz="4" w:space="0" w:color="auto"/>
            </w:tcBorders>
            <w:vAlign w:val="bottom"/>
          </w:tcPr>
          <w:p w14:paraId="1C265E25"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Аэронавигационное оборудование 1</w:t>
            </w:r>
          </w:p>
        </w:tc>
        <w:tc>
          <w:tcPr>
            <w:tcW w:w="1330" w:type="dxa"/>
            <w:vAlign w:val="center"/>
          </w:tcPr>
          <w:p w14:paraId="06F664C5"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867" w:type="dxa"/>
            <w:tcBorders>
              <w:right w:val="single" w:sz="4" w:space="0" w:color="auto"/>
            </w:tcBorders>
            <w:vAlign w:val="center"/>
          </w:tcPr>
          <w:p w14:paraId="35849D4D"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77AB9FE9" w14:textId="77777777" w:rsidTr="00BE532B">
        <w:trPr>
          <w:trHeight w:hRule="exact" w:val="216"/>
        </w:trPr>
        <w:tc>
          <w:tcPr>
            <w:tcW w:w="2198" w:type="dxa"/>
            <w:tcBorders>
              <w:left w:val="single" w:sz="4" w:space="0" w:color="auto"/>
            </w:tcBorders>
            <w:vAlign w:val="center"/>
          </w:tcPr>
          <w:p w14:paraId="22ED2BC9"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ЦЭС (механики)</w:t>
            </w:r>
          </w:p>
        </w:tc>
        <w:tc>
          <w:tcPr>
            <w:tcW w:w="1800" w:type="dxa"/>
            <w:vAlign w:val="center"/>
          </w:tcPr>
          <w:p w14:paraId="7FB590D0"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330" w:type="dxa"/>
            <w:vAlign w:val="center"/>
          </w:tcPr>
          <w:p w14:paraId="738170BF"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867" w:type="dxa"/>
            <w:tcBorders>
              <w:right w:val="single" w:sz="4" w:space="0" w:color="auto"/>
            </w:tcBorders>
            <w:vAlign w:val="center"/>
          </w:tcPr>
          <w:p w14:paraId="47CF52E3"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43BF681A" w14:textId="77777777" w:rsidTr="00BE532B">
        <w:trPr>
          <w:trHeight w:hRule="exact" w:val="216"/>
        </w:trPr>
        <w:tc>
          <w:tcPr>
            <w:tcW w:w="2198" w:type="dxa"/>
            <w:tcBorders>
              <w:left w:val="single" w:sz="4" w:space="0" w:color="auto"/>
            </w:tcBorders>
          </w:tcPr>
          <w:p w14:paraId="0E22987F"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пилоты</w:t>
            </w:r>
          </w:p>
        </w:tc>
        <w:tc>
          <w:tcPr>
            <w:tcW w:w="1800" w:type="dxa"/>
          </w:tcPr>
          <w:p w14:paraId="6040F483"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330" w:type="dxa"/>
          </w:tcPr>
          <w:p w14:paraId="36F11E28"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1867" w:type="dxa"/>
            <w:tcBorders>
              <w:right w:val="single" w:sz="4" w:space="0" w:color="auto"/>
            </w:tcBorders>
          </w:tcPr>
          <w:p w14:paraId="5B1EB2D4"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1D604EBE" w14:textId="77777777" w:rsidTr="00BE532B">
        <w:trPr>
          <w:trHeight w:hRule="exact" w:val="226"/>
        </w:trPr>
        <w:tc>
          <w:tcPr>
            <w:tcW w:w="2198" w:type="dxa"/>
            <w:tcBorders>
              <w:left w:val="single" w:sz="4" w:space="0" w:color="auto"/>
            </w:tcBorders>
          </w:tcPr>
          <w:p w14:paraId="2109754E"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Бортмеханики</w:t>
            </w:r>
          </w:p>
        </w:tc>
        <w:tc>
          <w:tcPr>
            <w:tcW w:w="1800" w:type="dxa"/>
          </w:tcPr>
          <w:p w14:paraId="02E5EC3C"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330" w:type="dxa"/>
          </w:tcPr>
          <w:p w14:paraId="49A4646E"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867" w:type="dxa"/>
            <w:tcBorders>
              <w:right w:val="single" w:sz="4" w:space="0" w:color="auto"/>
            </w:tcBorders>
          </w:tcPr>
          <w:p w14:paraId="42ADB75D"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34912572" w14:textId="77777777" w:rsidTr="00BE532B">
        <w:trPr>
          <w:trHeight w:hRule="exact" w:val="226"/>
        </w:trPr>
        <w:tc>
          <w:tcPr>
            <w:tcW w:w="2198" w:type="dxa"/>
            <w:tcBorders>
              <w:left w:val="single" w:sz="4" w:space="0" w:color="auto"/>
            </w:tcBorders>
            <w:vAlign w:val="center"/>
          </w:tcPr>
          <w:p w14:paraId="12B98E57"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Штурманы</w:t>
            </w:r>
          </w:p>
        </w:tc>
        <w:tc>
          <w:tcPr>
            <w:tcW w:w="1800" w:type="dxa"/>
            <w:vAlign w:val="center"/>
          </w:tcPr>
          <w:p w14:paraId="739665BC"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330" w:type="dxa"/>
            <w:vAlign w:val="center"/>
          </w:tcPr>
          <w:p w14:paraId="6BC9DE19"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67" w:type="dxa"/>
            <w:tcBorders>
              <w:right w:val="single" w:sz="4" w:space="0" w:color="auto"/>
            </w:tcBorders>
            <w:vAlign w:val="center"/>
          </w:tcPr>
          <w:p w14:paraId="3A5A4836"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58D2435A" w14:textId="77777777" w:rsidTr="00BE532B">
        <w:trPr>
          <w:trHeight w:hRule="exact" w:val="206"/>
        </w:trPr>
        <w:tc>
          <w:tcPr>
            <w:tcW w:w="2198" w:type="dxa"/>
            <w:tcBorders>
              <w:left w:val="single" w:sz="4" w:space="0" w:color="auto"/>
            </w:tcBorders>
          </w:tcPr>
          <w:p w14:paraId="3F565A7C"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Редколлегия</w:t>
            </w:r>
          </w:p>
        </w:tc>
        <w:tc>
          <w:tcPr>
            <w:tcW w:w="1800" w:type="dxa"/>
          </w:tcPr>
          <w:p w14:paraId="6EDA193E"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330" w:type="dxa"/>
            <w:vAlign w:val="center"/>
          </w:tcPr>
          <w:p w14:paraId="40074354"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67" w:type="dxa"/>
            <w:tcBorders>
              <w:right w:val="single" w:sz="4" w:space="0" w:color="auto"/>
            </w:tcBorders>
          </w:tcPr>
          <w:p w14:paraId="71AEC541"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75221A8B" w14:textId="77777777" w:rsidTr="00BE532B">
        <w:trPr>
          <w:trHeight w:hRule="exact" w:val="221"/>
        </w:trPr>
        <w:tc>
          <w:tcPr>
            <w:tcW w:w="2198" w:type="dxa"/>
            <w:tcBorders>
              <w:left w:val="single" w:sz="4" w:space="0" w:color="auto"/>
            </w:tcBorders>
          </w:tcPr>
          <w:p w14:paraId="156EAD8A"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Редколлегия</w:t>
            </w:r>
          </w:p>
        </w:tc>
        <w:tc>
          <w:tcPr>
            <w:tcW w:w="1800" w:type="dxa"/>
          </w:tcPr>
          <w:p w14:paraId="52043271"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1330" w:type="dxa"/>
            <w:vAlign w:val="bottom"/>
          </w:tcPr>
          <w:p w14:paraId="060FF272"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67" w:type="dxa"/>
            <w:tcBorders>
              <w:right w:val="single" w:sz="4" w:space="0" w:color="auto"/>
            </w:tcBorders>
          </w:tcPr>
          <w:p w14:paraId="2CD4A747"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специалисты — 3—5</w:t>
            </w:r>
          </w:p>
        </w:tc>
      </w:tr>
      <w:tr w:rsidR="004E10C1" w:rsidRPr="0044524F" w14:paraId="7F6E090C" w14:textId="77777777" w:rsidTr="00BE532B">
        <w:trPr>
          <w:trHeight w:hRule="exact" w:val="230"/>
        </w:trPr>
        <w:tc>
          <w:tcPr>
            <w:tcW w:w="2198" w:type="dxa"/>
            <w:tcBorders>
              <w:left w:val="single" w:sz="4" w:space="0" w:color="auto"/>
            </w:tcBorders>
          </w:tcPr>
          <w:p w14:paraId="386138D6"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Прислуга</w:t>
            </w:r>
          </w:p>
        </w:tc>
        <w:tc>
          <w:tcPr>
            <w:tcW w:w="1800" w:type="dxa"/>
          </w:tcPr>
          <w:p w14:paraId="04CE4AC7"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1330" w:type="dxa"/>
          </w:tcPr>
          <w:p w14:paraId="79177062"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867" w:type="dxa"/>
            <w:tcBorders>
              <w:right w:val="single" w:sz="4" w:space="0" w:color="auto"/>
            </w:tcBorders>
          </w:tcPr>
          <w:p w14:paraId="133F535E"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71D26CA0" w14:textId="77777777" w:rsidTr="00BE532B">
        <w:trPr>
          <w:trHeight w:hRule="exact" w:val="360"/>
        </w:trPr>
        <w:tc>
          <w:tcPr>
            <w:tcW w:w="2198" w:type="dxa"/>
            <w:tcBorders>
              <w:left w:val="single" w:sz="4" w:space="0" w:color="auto"/>
              <w:bottom w:val="single" w:sz="4" w:space="0" w:color="auto"/>
            </w:tcBorders>
          </w:tcPr>
          <w:p w14:paraId="3B5E11A3" w14:textId="77777777" w:rsidR="00BE532B" w:rsidRPr="0044524F" w:rsidRDefault="00BE532B" w:rsidP="009654CF">
            <w:pPr>
              <w:spacing w:after="0" w:line="240" w:lineRule="auto"/>
              <w:jc w:val="both"/>
              <w:rPr>
                <w:rFonts w:ascii="Times New Roman" w:hAnsi="Times New Roman"/>
                <w:color w:val="000000" w:themeColor="text1"/>
                <w:sz w:val="16"/>
                <w:szCs w:val="16"/>
              </w:rPr>
            </w:pPr>
          </w:p>
        </w:tc>
        <w:tc>
          <w:tcPr>
            <w:tcW w:w="1800" w:type="dxa"/>
            <w:tcBorders>
              <w:bottom w:val="single" w:sz="4" w:space="0" w:color="auto"/>
            </w:tcBorders>
          </w:tcPr>
          <w:p w14:paraId="22D772DB"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1330" w:type="dxa"/>
            <w:tcBorders>
              <w:bottom w:val="single" w:sz="4" w:space="0" w:color="auto"/>
            </w:tcBorders>
          </w:tcPr>
          <w:p w14:paraId="3E5E10D4"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w:t>
            </w:r>
          </w:p>
        </w:tc>
        <w:tc>
          <w:tcPr>
            <w:tcW w:w="1867" w:type="dxa"/>
            <w:tcBorders>
              <w:bottom w:val="single" w:sz="4" w:space="0" w:color="auto"/>
              <w:right w:val="single" w:sz="4" w:space="0" w:color="auto"/>
            </w:tcBorders>
          </w:tcPr>
          <w:p w14:paraId="39B8639E"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29—31</w:t>
            </w:r>
          </w:p>
        </w:tc>
      </w:tr>
    </w:tbl>
    <w:p w14:paraId="309E3A3A"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Ваш ответ просим не задерживать, так как сведения о персонале нужны для обеспечения кадров и включения в смету 1-го квартала стоимости содержания пер</w:t>
      </w:r>
      <w:r w:rsidRPr="0044524F">
        <w:rPr>
          <w:rFonts w:ascii="Times New Roman" w:hAnsi="Times New Roman"/>
          <w:color w:val="000000" w:themeColor="text1"/>
          <w:sz w:val="16"/>
          <w:szCs w:val="16"/>
        </w:rPr>
        <w:softHyphen/>
        <w:t>сонала» (21240).</w:t>
      </w:r>
    </w:p>
    <w:p w14:paraId="412C7F8A" w14:textId="77777777" w:rsidR="00BE532B" w:rsidRPr="0044524F" w:rsidRDefault="00BE532B" w:rsidP="009654CF">
      <w:pPr>
        <w:shd w:val="clear" w:color="auto" w:fill="FFFFFF"/>
        <w:spacing w:after="0" w:line="240" w:lineRule="auto"/>
        <w:jc w:val="both"/>
        <w:rPr>
          <w:rFonts w:ascii="Times New Roman" w:hAnsi="Times New Roman"/>
          <w:color w:val="000000" w:themeColor="text1"/>
          <w:sz w:val="16"/>
          <w:szCs w:val="16"/>
        </w:rPr>
      </w:pPr>
    </w:p>
    <w:p w14:paraId="6912D8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декабря 1933 секретарь КО Базилевич писал письмо № 2075/ко НКВТ тов. Боеву:</w:t>
      </w:r>
    </w:p>
    <w:p w14:paraId="12F614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Сообщаю для исполнения резолюцию на Вашем докладе от 23 декабря 1933 г. за № 1008/1651 о покупке дюймовых или метрических моторов у фирмы “Кертис-Райт”:</w:t>
      </w:r>
    </w:p>
    <w:p w14:paraId="0577A7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“Счмитать нужным остаться при прежнем решении. Молотов, Ворошилов, Сталин, Орджоникидзе” (4170,29).</w:t>
      </w:r>
    </w:p>
    <w:p w14:paraId="5A5055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6FA1B2E" w14:textId="77777777" w:rsidR="001E4A85" w:rsidRPr="0044524F" w:rsidRDefault="001A42D5" w:rsidP="009654CF">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3F19A23" w14:textId="77777777" w:rsidR="001E4A85" w:rsidRPr="0044524F" w:rsidRDefault="001E4A85" w:rsidP="009654CF">
      <w:pPr>
        <w:tabs>
          <w:tab w:val="left" w:pos="360"/>
        </w:tabs>
        <w:autoSpaceDE w:val="0"/>
        <w:autoSpaceDN w:val="0"/>
        <w:adjustRightInd w:val="0"/>
        <w:spacing w:after="0" w:line="240" w:lineRule="auto"/>
        <w:jc w:val="both"/>
        <w:rPr>
          <w:rFonts w:ascii="Times New Roman" w:hAnsi="Times New Roman"/>
          <w:iCs/>
          <w:color w:val="000000" w:themeColor="text1"/>
          <w:sz w:val="16"/>
          <w:szCs w:val="16"/>
        </w:rPr>
      </w:pPr>
    </w:p>
    <w:p w14:paraId="76B3162A" w14:textId="77777777" w:rsidR="001E4A85" w:rsidRPr="0044524F" w:rsidRDefault="001E4A85" w:rsidP="009654CF">
      <w:pPr>
        <w:pStyle w:val="rtejustify"/>
        <w:spacing w:before="0" w:after="0"/>
        <w:rPr>
          <w:color w:val="000000" w:themeColor="text1"/>
          <w:sz w:val="16"/>
          <w:szCs w:val="16"/>
        </w:rPr>
      </w:pPr>
      <w:r w:rsidRPr="0044524F">
        <w:rPr>
          <w:rStyle w:val="af0"/>
          <w:bCs/>
          <w:i w:val="0"/>
          <w:color w:val="000000" w:themeColor="text1"/>
          <w:sz w:val="16"/>
          <w:szCs w:val="16"/>
        </w:rPr>
        <w:t>28 декабря 1933 вышел приказ НКТП № 248с.</w:t>
      </w:r>
      <w:r w:rsidRPr="0044524F">
        <w:rPr>
          <w:color w:val="000000" w:themeColor="text1"/>
          <w:sz w:val="16"/>
          <w:szCs w:val="16"/>
        </w:rPr>
        <w:t xml:space="preserve"> Об организационной перестройке секретных органов на предприятиях НКТП СССР. (РГАЭ. Ф. 7297. Оп. 38. Д. 38. Л. 245</w:t>
      </w:r>
      <w:r w:rsidRPr="0044524F">
        <w:rPr>
          <w:color w:val="000000" w:themeColor="text1"/>
          <w:sz w:val="16"/>
          <w:szCs w:val="16"/>
        </w:rPr>
        <w:noBreakHyphen/>
        <w:t>244) (15246).</w:t>
      </w:r>
    </w:p>
    <w:p w14:paraId="4F664736" w14:textId="6BF0B417" w:rsidR="001E4A85" w:rsidRPr="0044524F" w:rsidRDefault="001E4A85" w:rsidP="009654CF">
      <w:pPr>
        <w:pStyle w:val="rtejustify"/>
        <w:spacing w:before="0" w:after="0"/>
        <w:rPr>
          <w:color w:val="000000" w:themeColor="text1"/>
          <w:sz w:val="16"/>
          <w:szCs w:val="16"/>
        </w:rPr>
      </w:pPr>
    </w:p>
    <w:p w14:paraId="0C39BA03" w14:textId="120D5AA7" w:rsidR="00BE532B" w:rsidRPr="0044524F" w:rsidRDefault="00BE532B" w:rsidP="009654CF">
      <w:pPr>
        <w:pStyle w:val="rtejustify"/>
        <w:spacing w:before="0" w:after="0"/>
        <w:rPr>
          <w:i/>
          <w:iCs/>
          <w:color w:val="000000" w:themeColor="text1"/>
          <w:sz w:val="16"/>
          <w:szCs w:val="16"/>
        </w:rPr>
      </w:pPr>
      <w:r w:rsidRPr="0044524F">
        <w:rPr>
          <w:i/>
          <w:iCs/>
          <w:color w:val="000000" w:themeColor="text1"/>
          <w:sz w:val="16"/>
          <w:szCs w:val="16"/>
        </w:rPr>
        <w:t>За рубежом:</w:t>
      </w:r>
    </w:p>
    <w:p w14:paraId="6390BD8C" w14:textId="77777777" w:rsidR="00BE532B" w:rsidRPr="0044524F" w:rsidRDefault="00BE532B" w:rsidP="009654CF">
      <w:pPr>
        <w:pStyle w:val="rtejustify"/>
        <w:spacing w:before="0" w:after="0"/>
        <w:rPr>
          <w:i/>
          <w:iCs/>
          <w:color w:val="000000" w:themeColor="text1"/>
          <w:sz w:val="16"/>
          <w:szCs w:val="16"/>
        </w:rPr>
      </w:pPr>
    </w:p>
    <w:p w14:paraId="01F26E75"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декабря 1933 года — первый полёт разведывательной летающей лодки Loire 70. /Франция/</w:t>
      </w:r>
    </w:p>
    <w:p w14:paraId="4C8429AA"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ВМС Франции в 1932 году сформулировали требования к дальней разведывательной летающей лодке с возможностью нести бомбовое вооружение. В ответ на это компания Loire Aviation начала работу над проектом Loire 70. Прототип был построен за 1 год.</w:t>
      </w:r>
    </w:p>
    <w:p w14:paraId="053F2A38"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была цельнометаллическая летающая лодка-высокоплан с 3 × двигателями Gnome-Rhône 9Kfr (740 л.с.) Два из них вращали тянущие винты, один — толкающие. Максимальная скорость — 235 км/ч, дальность полёта — 3001 км. Вооружение состояло из 6 × 7,5-мм пулемётов Darne и 4 × 150-кг бомб. Экипаж — 8 человек.</w:t>
      </w:r>
    </w:p>
    <w:p w14:paraId="63434716" w14:textId="77777777" w:rsidR="00BE532B" w:rsidRPr="0044524F" w:rsidRDefault="00BE532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и исправление недочётов затянулись, и серийное производство Loire 70 началось лишь в 1937 году. Построили 8 летающих лодок, принятых на вооружение французскими ВМС. Все они были потеряны на раннем этапе Второй мировой войны в 1940 году (22300).</w:t>
      </w:r>
    </w:p>
    <w:p w14:paraId="270AFF4B" w14:textId="77777777" w:rsidR="00BE532B" w:rsidRPr="0044524F" w:rsidRDefault="00BE532B" w:rsidP="009654CF">
      <w:pPr>
        <w:spacing w:after="0" w:line="240" w:lineRule="auto"/>
        <w:jc w:val="both"/>
        <w:rPr>
          <w:rFonts w:ascii="Times New Roman" w:hAnsi="Times New Roman"/>
          <w:color w:val="000000" w:themeColor="text1"/>
          <w:sz w:val="16"/>
          <w:szCs w:val="16"/>
        </w:rPr>
      </w:pPr>
    </w:p>
    <w:p w14:paraId="21C6C97F"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22CCFAC"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C27DEB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года Начальник НИИ ВВС Зильберт утвердил Отчет по гос. испытаниям эталона самолета ТБ3-4М34Р (редукторного) (6663).</w:t>
      </w:r>
    </w:p>
    <w:p w14:paraId="5097D52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6BD99F9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инженеры Лосюков, Кудрявцев</w:t>
      </w:r>
    </w:p>
    <w:p w14:paraId="16CB92C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Байдуков</w:t>
      </w:r>
    </w:p>
    <w:p w14:paraId="1ACAEE7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762BA6C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самолета с целью выявления преимуществ, которые дает установка на самолете моторов М34Р (редукторных).</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52"/>
        <w:gridCol w:w="1276"/>
        <w:gridCol w:w="1274"/>
        <w:gridCol w:w="1303"/>
        <w:gridCol w:w="1674"/>
      </w:tblGrid>
      <w:tr w:rsidR="004E10C1" w:rsidRPr="0044524F" w14:paraId="227269BD" w14:textId="77777777">
        <w:tc>
          <w:tcPr>
            <w:tcW w:w="3652" w:type="dxa"/>
          </w:tcPr>
          <w:p w14:paraId="03A9B55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209EF2D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ТБ3-4М34Р</w:t>
            </w:r>
          </w:p>
        </w:tc>
        <w:tc>
          <w:tcPr>
            <w:tcW w:w="1274" w:type="dxa"/>
          </w:tcPr>
          <w:p w14:paraId="0CD633D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1303" w:type="dxa"/>
          </w:tcPr>
          <w:p w14:paraId="108E7E0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1674" w:type="dxa"/>
          </w:tcPr>
          <w:p w14:paraId="458535E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r>
      <w:tr w:rsidR="004E10C1" w:rsidRPr="0044524F" w14:paraId="7DD773CC" w14:textId="77777777">
        <w:tc>
          <w:tcPr>
            <w:tcW w:w="3652" w:type="dxa"/>
          </w:tcPr>
          <w:p w14:paraId="1A4F4AA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6EF0D8F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4" w:type="dxa"/>
          </w:tcPr>
          <w:p w14:paraId="28BF665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03" w:type="dxa"/>
          </w:tcPr>
          <w:p w14:paraId="51C550C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модифицир.</w:t>
            </w:r>
          </w:p>
        </w:tc>
        <w:tc>
          <w:tcPr>
            <w:tcW w:w="1674" w:type="dxa"/>
          </w:tcPr>
          <w:p w14:paraId="19B9895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3DD3E94" w14:textId="77777777">
        <w:tc>
          <w:tcPr>
            <w:tcW w:w="3652" w:type="dxa"/>
          </w:tcPr>
          <w:p w14:paraId="4D82501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самолета</w:t>
            </w:r>
          </w:p>
        </w:tc>
        <w:tc>
          <w:tcPr>
            <w:tcW w:w="1276" w:type="dxa"/>
          </w:tcPr>
          <w:p w14:paraId="1B4793A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18600</w:t>
            </w:r>
          </w:p>
        </w:tc>
        <w:tc>
          <w:tcPr>
            <w:tcW w:w="1274" w:type="dxa"/>
          </w:tcPr>
          <w:p w14:paraId="23F7DC2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18100</w:t>
            </w:r>
          </w:p>
        </w:tc>
        <w:tc>
          <w:tcPr>
            <w:tcW w:w="1303" w:type="dxa"/>
          </w:tcPr>
          <w:p w14:paraId="76C4F13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17200</w:t>
            </w:r>
          </w:p>
        </w:tc>
        <w:tc>
          <w:tcPr>
            <w:tcW w:w="1674" w:type="dxa"/>
          </w:tcPr>
          <w:p w14:paraId="7C66EE9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17200</w:t>
            </w:r>
          </w:p>
        </w:tc>
      </w:tr>
      <w:tr w:rsidR="004E10C1" w:rsidRPr="0044524F" w14:paraId="5DEF1CCB" w14:textId="77777777">
        <w:tc>
          <w:tcPr>
            <w:tcW w:w="3652" w:type="dxa"/>
          </w:tcPr>
          <w:p w14:paraId="29B66E2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у земли</w:t>
            </w:r>
          </w:p>
        </w:tc>
        <w:tc>
          <w:tcPr>
            <w:tcW w:w="1276" w:type="dxa"/>
          </w:tcPr>
          <w:p w14:paraId="56ABFB4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229,0</w:t>
            </w:r>
          </w:p>
        </w:tc>
        <w:tc>
          <w:tcPr>
            <w:tcW w:w="1274" w:type="dxa"/>
          </w:tcPr>
          <w:p w14:paraId="1ED4707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207,5</w:t>
            </w:r>
          </w:p>
        </w:tc>
        <w:tc>
          <w:tcPr>
            <w:tcW w:w="1303" w:type="dxa"/>
          </w:tcPr>
          <w:p w14:paraId="56EC827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215(4)/</w:t>
            </w:r>
          </w:p>
        </w:tc>
        <w:tc>
          <w:tcPr>
            <w:tcW w:w="1674" w:type="dxa"/>
          </w:tcPr>
          <w:p w14:paraId="4A55F04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184(1)</w:t>
            </w:r>
          </w:p>
        </w:tc>
      </w:tr>
      <w:tr w:rsidR="004E10C1" w:rsidRPr="0044524F" w14:paraId="06C9B281" w14:textId="77777777">
        <w:tc>
          <w:tcPr>
            <w:tcW w:w="3652" w:type="dxa"/>
          </w:tcPr>
          <w:p w14:paraId="39308B8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6" w:type="dxa"/>
          </w:tcPr>
          <w:p w14:paraId="1664EC6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274" w:type="dxa"/>
          </w:tcPr>
          <w:p w14:paraId="38CE97D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c>
          <w:tcPr>
            <w:tcW w:w="1303" w:type="dxa"/>
          </w:tcPr>
          <w:p w14:paraId="68A309A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187(1)</w:t>
            </w:r>
          </w:p>
        </w:tc>
        <w:tc>
          <w:tcPr>
            <w:tcW w:w="1674" w:type="dxa"/>
          </w:tcPr>
          <w:p w14:paraId="51B779D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503643D" w14:textId="77777777">
        <w:tc>
          <w:tcPr>
            <w:tcW w:w="3652" w:type="dxa"/>
          </w:tcPr>
          <w:p w14:paraId="02D1B55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на 3000 м</w:t>
            </w:r>
          </w:p>
        </w:tc>
        <w:tc>
          <w:tcPr>
            <w:tcW w:w="1276" w:type="dxa"/>
          </w:tcPr>
          <w:p w14:paraId="4226801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211,0</w:t>
            </w:r>
          </w:p>
        </w:tc>
        <w:tc>
          <w:tcPr>
            <w:tcW w:w="1274" w:type="dxa"/>
          </w:tcPr>
          <w:p w14:paraId="5A0D59C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185</w:t>
            </w:r>
          </w:p>
        </w:tc>
        <w:tc>
          <w:tcPr>
            <w:tcW w:w="1303" w:type="dxa"/>
          </w:tcPr>
          <w:p w14:paraId="4D3B4E6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196</w:t>
            </w:r>
          </w:p>
        </w:tc>
        <w:tc>
          <w:tcPr>
            <w:tcW w:w="1674" w:type="dxa"/>
          </w:tcPr>
          <w:p w14:paraId="773C07C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177</w:t>
            </w:r>
          </w:p>
        </w:tc>
      </w:tr>
      <w:tr w:rsidR="004E10C1" w:rsidRPr="0044524F" w14:paraId="09CB2A76" w14:textId="77777777">
        <w:tc>
          <w:tcPr>
            <w:tcW w:w="3652" w:type="dxa"/>
          </w:tcPr>
          <w:p w14:paraId="7E29573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1000 м</w:t>
            </w:r>
          </w:p>
        </w:tc>
        <w:tc>
          <w:tcPr>
            <w:tcW w:w="1276" w:type="dxa"/>
          </w:tcPr>
          <w:p w14:paraId="1304D29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4,1 </w:t>
            </w:r>
          </w:p>
        </w:tc>
        <w:tc>
          <w:tcPr>
            <w:tcW w:w="1274" w:type="dxa"/>
          </w:tcPr>
          <w:p w14:paraId="3B10E33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303" w:type="dxa"/>
          </w:tcPr>
          <w:p w14:paraId="11E9C3C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674" w:type="dxa"/>
          </w:tcPr>
          <w:p w14:paraId="5009248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9,2</w:t>
            </w:r>
          </w:p>
        </w:tc>
      </w:tr>
      <w:tr w:rsidR="004E10C1" w:rsidRPr="0044524F" w14:paraId="0E45D374" w14:textId="77777777">
        <w:tc>
          <w:tcPr>
            <w:tcW w:w="3652" w:type="dxa"/>
          </w:tcPr>
          <w:p w14:paraId="5228950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3000 м</w:t>
            </w:r>
          </w:p>
        </w:tc>
        <w:tc>
          <w:tcPr>
            <w:tcW w:w="1276" w:type="dxa"/>
          </w:tcPr>
          <w:p w14:paraId="79EB300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17,6</w:t>
            </w:r>
          </w:p>
        </w:tc>
        <w:tc>
          <w:tcPr>
            <w:tcW w:w="1274" w:type="dxa"/>
          </w:tcPr>
          <w:p w14:paraId="4E9E2C4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32,8</w:t>
            </w:r>
          </w:p>
        </w:tc>
        <w:tc>
          <w:tcPr>
            <w:tcW w:w="1303" w:type="dxa"/>
          </w:tcPr>
          <w:p w14:paraId="2515480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29,5</w:t>
            </w:r>
          </w:p>
        </w:tc>
        <w:tc>
          <w:tcPr>
            <w:tcW w:w="1674" w:type="dxa"/>
          </w:tcPr>
          <w:p w14:paraId="3C79232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w:t>
            </w:r>
          </w:p>
        </w:tc>
      </w:tr>
      <w:tr w:rsidR="004E10C1" w:rsidRPr="0044524F" w14:paraId="4644B525" w14:textId="77777777">
        <w:tc>
          <w:tcPr>
            <w:tcW w:w="3652" w:type="dxa"/>
          </w:tcPr>
          <w:p w14:paraId="27CDC58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Практический потолок</w:t>
            </w:r>
          </w:p>
        </w:tc>
        <w:tc>
          <w:tcPr>
            <w:tcW w:w="1276" w:type="dxa"/>
          </w:tcPr>
          <w:p w14:paraId="1C1FDBA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4500</w:t>
            </w:r>
          </w:p>
        </w:tc>
        <w:tc>
          <w:tcPr>
            <w:tcW w:w="1274" w:type="dxa"/>
          </w:tcPr>
          <w:p w14:paraId="0D3B83E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3900</w:t>
            </w:r>
          </w:p>
        </w:tc>
        <w:tc>
          <w:tcPr>
            <w:tcW w:w="1303" w:type="dxa"/>
          </w:tcPr>
          <w:p w14:paraId="3F40A2D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4800</w:t>
            </w:r>
          </w:p>
        </w:tc>
        <w:tc>
          <w:tcPr>
            <w:tcW w:w="1674" w:type="dxa"/>
          </w:tcPr>
          <w:p w14:paraId="2DB2FA9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3800</w:t>
            </w:r>
          </w:p>
        </w:tc>
      </w:tr>
      <w:tr w:rsidR="004E10C1" w:rsidRPr="0044524F" w14:paraId="6E477CF0" w14:textId="77777777">
        <w:tc>
          <w:tcPr>
            <w:tcW w:w="3652" w:type="dxa"/>
          </w:tcPr>
          <w:p w14:paraId="54E6260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практический потолок</w:t>
            </w:r>
          </w:p>
        </w:tc>
        <w:tc>
          <w:tcPr>
            <w:tcW w:w="1276" w:type="dxa"/>
          </w:tcPr>
          <w:p w14:paraId="1C4ECA3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50,6</w:t>
            </w:r>
          </w:p>
        </w:tc>
        <w:tc>
          <w:tcPr>
            <w:tcW w:w="1274" w:type="dxa"/>
          </w:tcPr>
          <w:p w14:paraId="15B085B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73,4</w:t>
            </w:r>
          </w:p>
        </w:tc>
        <w:tc>
          <w:tcPr>
            <w:tcW w:w="1303" w:type="dxa"/>
          </w:tcPr>
          <w:p w14:paraId="30074A6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82,1</w:t>
            </w:r>
          </w:p>
        </w:tc>
        <w:tc>
          <w:tcPr>
            <w:tcW w:w="1674" w:type="dxa"/>
          </w:tcPr>
          <w:p w14:paraId="22BE016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85,5</w:t>
            </w:r>
          </w:p>
        </w:tc>
      </w:tr>
      <w:tr w:rsidR="004E10C1" w:rsidRPr="0044524F" w14:paraId="3BEA2E8B" w14:textId="77777777">
        <w:tc>
          <w:tcPr>
            <w:tcW w:w="3652" w:type="dxa"/>
          </w:tcPr>
          <w:p w14:paraId="479104D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Разбег</w:t>
            </w:r>
          </w:p>
        </w:tc>
        <w:tc>
          <w:tcPr>
            <w:tcW w:w="1276" w:type="dxa"/>
          </w:tcPr>
          <w:p w14:paraId="217282B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150-200</w:t>
            </w:r>
          </w:p>
        </w:tc>
        <w:tc>
          <w:tcPr>
            <w:tcW w:w="1274" w:type="dxa"/>
          </w:tcPr>
          <w:p w14:paraId="410CA60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300-490</w:t>
            </w:r>
          </w:p>
        </w:tc>
        <w:tc>
          <w:tcPr>
            <w:tcW w:w="1303" w:type="dxa"/>
          </w:tcPr>
          <w:p w14:paraId="1D4B343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74" w:type="dxa"/>
          </w:tcPr>
          <w:p w14:paraId="691DEBC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300-450</w:t>
            </w:r>
          </w:p>
        </w:tc>
      </w:tr>
    </w:tbl>
    <w:p w14:paraId="220865C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w:t>
      </w:r>
    </w:p>
    <w:p w14:paraId="3734A675"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нормальный газ</w:t>
      </w:r>
    </w:p>
    <w:p w14:paraId="79E2AE51"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чистый бакинский</w:t>
      </w:r>
    </w:p>
    <w:p w14:paraId="08465523"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бензольная смесь</w:t>
      </w:r>
    </w:p>
    <w:p w14:paraId="0D3CCEFF"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форсированный газ</w:t>
      </w:r>
    </w:p>
    <w:p w14:paraId="70DDD7B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0B6933EA" w14:textId="77777777">
        <w:tc>
          <w:tcPr>
            <w:tcW w:w="5636" w:type="dxa"/>
          </w:tcPr>
          <w:p w14:paraId="09A9617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октября 1933 года</w:t>
            </w:r>
          </w:p>
        </w:tc>
        <w:tc>
          <w:tcPr>
            <w:tcW w:w="5636" w:type="dxa"/>
          </w:tcPr>
          <w:p w14:paraId="420D184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ОЭЛИД ЦАГИ, перегнан в Щелково и облетан ведущим летчиком.</w:t>
            </w:r>
          </w:p>
        </w:tc>
      </w:tr>
      <w:tr w:rsidR="004E10C1" w:rsidRPr="0044524F" w14:paraId="41CCA31A" w14:textId="77777777">
        <w:tc>
          <w:tcPr>
            <w:tcW w:w="5636" w:type="dxa"/>
          </w:tcPr>
          <w:p w14:paraId="5DF93C7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октября 1933 года</w:t>
            </w:r>
          </w:p>
        </w:tc>
        <w:tc>
          <w:tcPr>
            <w:tcW w:w="5636" w:type="dxa"/>
          </w:tcPr>
          <w:p w14:paraId="3D92BF9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на устойчивость и управляемость.</w:t>
            </w:r>
          </w:p>
        </w:tc>
      </w:tr>
      <w:tr w:rsidR="004E10C1" w:rsidRPr="0044524F" w14:paraId="2AF9A184" w14:textId="77777777">
        <w:tc>
          <w:tcPr>
            <w:tcW w:w="5636" w:type="dxa"/>
          </w:tcPr>
          <w:p w14:paraId="6299EC7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октября 1933 года</w:t>
            </w:r>
          </w:p>
        </w:tc>
        <w:tc>
          <w:tcPr>
            <w:tcW w:w="5636" w:type="dxa"/>
          </w:tcPr>
          <w:p w14:paraId="4611912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на километраж.</w:t>
            </w:r>
          </w:p>
        </w:tc>
      </w:tr>
      <w:tr w:rsidR="004E10C1" w:rsidRPr="0044524F" w14:paraId="190C55D8" w14:textId="77777777">
        <w:tc>
          <w:tcPr>
            <w:tcW w:w="5636" w:type="dxa"/>
          </w:tcPr>
          <w:p w14:paraId="45B6087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ноября 1933 года</w:t>
            </w:r>
          </w:p>
        </w:tc>
        <w:tc>
          <w:tcPr>
            <w:tcW w:w="5636" w:type="dxa"/>
          </w:tcPr>
          <w:p w14:paraId="736F89F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летчиком Кастанаевым на потолок и зубцы.</w:t>
            </w:r>
          </w:p>
        </w:tc>
      </w:tr>
      <w:tr w:rsidR="004E10C1" w:rsidRPr="0044524F" w14:paraId="45CA12B6" w14:textId="77777777">
        <w:tc>
          <w:tcPr>
            <w:tcW w:w="5636" w:type="dxa"/>
          </w:tcPr>
          <w:p w14:paraId="0946113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 ноября 1933 года</w:t>
            </w:r>
          </w:p>
        </w:tc>
        <w:tc>
          <w:tcPr>
            <w:tcW w:w="5636" w:type="dxa"/>
          </w:tcPr>
          <w:p w14:paraId="600F4B5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 полет на зубцы у земли (500 м) и устранение девиации.</w:t>
            </w:r>
          </w:p>
        </w:tc>
      </w:tr>
      <w:tr w:rsidR="004E10C1" w:rsidRPr="0044524F" w14:paraId="25652D53" w14:textId="77777777">
        <w:tc>
          <w:tcPr>
            <w:tcW w:w="5636" w:type="dxa"/>
          </w:tcPr>
          <w:p w14:paraId="743C9C3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декабря 1933 года</w:t>
            </w:r>
          </w:p>
        </w:tc>
        <w:tc>
          <w:tcPr>
            <w:tcW w:w="5636" w:type="dxa"/>
          </w:tcPr>
          <w:p w14:paraId="5442E55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летит на боевую стрельбу с задней точки.</w:t>
            </w:r>
          </w:p>
        </w:tc>
      </w:tr>
      <w:tr w:rsidR="004E10C1" w:rsidRPr="0044524F" w14:paraId="020DB526" w14:textId="77777777">
        <w:tc>
          <w:tcPr>
            <w:tcW w:w="5636" w:type="dxa"/>
          </w:tcPr>
          <w:p w14:paraId="3588802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декабря 1933 года</w:t>
            </w:r>
          </w:p>
        </w:tc>
        <w:tc>
          <w:tcPr>
            <w:tcW w:w="5636" w:type="dxa"/>
          </w:tcPr>
          <w:p w14:paraId="50A9181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Работа тормозными колесами.</w:t>
            </w:r>
          </w:p>
        </w:tc>
      </w:tr>
    </w:tbl>
    <w:p w14:paraId="62EB2C4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730E5F7B"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возможным допустить испытанный самолет в качестве эталона первой половины 1934 года с устранением на нем всех выявленных дефектов и выполнением требований, утвержденных начальником ВВС (6663).</w:t>
      </w:r>
    </w:p>
    <w:p w14:paraId="0971F1AA"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350C3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в Харьков был направлен приказ ГУАП N ОП 302/787c за подписью зам. нач. Макаровского и нач. НТО Алмазова, предложивший К.А.К. немедленно приступить к постройке 2-х самолетов типа К-7 (70,246).</w:t>
      </w:r>
    </w:p>
    <w:p w14:paraId="7C69D1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было письмо N ОК302/787с (2306):</w:t>
      </w:r>
    </w:p>
    <w:p w14:paraId="02945C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Константину Алексеевичу Калинину:</w:t>
      </w:r>
    </w:p>
    <w:p w14:paraId="10B057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"Настоящим предлагается немедленно приступить к постройке 2-х К-7.</w:t>
      </w:r>
    </w:p>
    <w:p w14:paraId="582283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постройке указанных самолетов Вам необходимо учесть все заключения и указания, которые Вы имеете как от аварийной комиссии, так и специальной техкомиссии, работавшей в период 15-25 декабря.</w:t>
      </w:r>
    </w:p>
    <w:p w14:paraId="3F0BF8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Особое внимание при осуществлении этих двух новых конструкций самолетов К-7 необходимо обратить внимание на вторичные перерасчеты всех ответственных частей самолета и изменение конструкции, требующимся для улучшения ЛТД и такт. качеств.</w:t>
      </w:r>
    </w:p>
    <w:p w14:paraId="493F82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Постройка обоих самолетов д.б. обязательно закончена в 1934, причем в целях скорейшего выявления всех ЛТК К-7, Вам надлежит развернуть работы таким образом, чтобы срок постройки первого экз. был август 1934." (2306).</w:t>
      </w:r>
    </w:p>
    <w:p w14:paraId="247E14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3E1C4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г. ГУАП распорядилось начать постройку еще двух опытных образцов К-7 в военном варианте, учтя недостатки первой машины. Предлагалось перенести седьмой мотор в другое место, переделать хвостовые фермы, сделать центровку машины более передней, усилить набор крыла, увеличить углы отклонения стабилизатора. Калинин внес в проект ряд изменений, направленных на устранение дефектов.</w:t>
      </w:r>
    </w:p>
    <w:p w14:paraId="573E4F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сначала делался под пять моторов М-34ФРН, но они отсутствовали, и конструктор перешел к шести М34- РН. Альтернативно пытались заказать специальную партию М-34Р с увеличенной степенью сжатия; это должно было улучшить высотные характеристики самолета. НИИ ВВС рекомендовал спроектировать запасной вариант с восемью М-34. Прорабатывались также спаренные установки с двумя М-34, работающими на один винт. Стальные нервюры крыла заменили более легкими дюралевыми; хвостовые балки приобрели четырехгранное сечение. Оборонительное вооружение должно было включать три пушки и 13 пулеметов. От турелей на тележках шасси отказались, заменив их башнями, выдвигавшимися вниз из крыла (примерно как на ТБ-3).</w:t>
      </w:r>
    </w:p>
    <w:p w14:paraId="0C7173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расчетам, максимальная бомбовая нагрузка должна была составить 13 т. С 8500 кг бомб дальность полета оценивалась в 2000 км. При замене двигателей на М-34ФРН максимальная бомбовая нагрузка вырастала до 17 т. Но военных К-7 больше интересовал как транспортный самолет, способный взять на борт 150 - 200 бойцов. Конструктор обещал на второй машине получить скорость в 300 км/ч и практический потолок 7000 м.</w:t>
      </w:r>
    </w:p>
    <w:p w14:paraId="7755C3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Параллельно Калинин проектировал два пассажирских варианта - на 120 и 150 человек, а также бесхвостый вариант К-7 без балок, с вертикальным оперением на задней кромке крыла (12036).</w:t>
      </w:r>
    </w:p>
    <w:p w14:paraId="303B0D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D4C4A4F" w14:textId="77777777" w:rsidR="00E40190" w:rsidRPr="00142305" w:rsidRDefault="00E40190" w:rsidP="00E401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29 декабря 1933 г. ГУАП распорядилось начать построй</w:t>
      </w:r>
      <w:r w:rsidRPr="00142305">
        <w:rPr>
          <w:rFonts w:ascii="Times New Roman" w:hAnsi="Times New Roman"/>
          <w:color w:val="0070C0"/>
          <w:sz w:val="16"/>
          <w:szCs w:val="16"/>
        </w:rPr>
        <w:softHyphen/>
        <w:t>ку еще двух опытных образцов К-7 в военном варианте, учтя недостатки первой машины. Предлагалось перенести седь</w:t>
      </w:r>
      <w:r w:rsidRPr="00142305">
        <w:rPr>
          <w:rFonts w:ascii="Times New Roman" w:hAnsi="Times New Roman"/>
          <w:color w:val="0070C0"/>
          <w:sz w:val="16"/>
          <w:szCs w:val="16"/>
        </w:rPr>
        <w:softHyphen/>
        <w:t>мой мотор в другое место, переделать хвостовые фермы, сделать центровку машины более передней, усилить набор крыла, увеличить углы отклонения стабилизатора. Калинин внес в проект ряд изменений, направленных на устранение дефектов.</w:t>
      </w:r>
    </w:p>
    <w:p w14:paraId="72CBC33D" w14:textId="77777777" w:rsidR="00E40190" w:rsidRPr="00142305" w:rsidRDefault="00E40190" w:rsidP="00E401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Самолет сначала делался под пять моторов М-34ФРН, но они отсутствовали, и конструктор перешел к шести М34-РН. Альтернативно пытались заказать специальную партию М-34Р с увеличенной степенью сжатия; это должно было улучшить высотные характеристики самолета. НИИ ВВС рекомендовал спроектировать запасной вариант с восемью М-34. Прорабатывались также спаренные установки с дву</w:t>
      </w:r>
      <w:r w:rsidRPr="00142305">
        <w:rPr>
          <w:rFonts w:ascii="Times New Roman" w:hAnsi="Times New Roman"/>
          <w:color w:val="0070C0"/>
          <w:sz w:val="16"/>
          <w:szCs w:val="16"/>
        </w:rPr>
        <w:softHyphen/>
        <w:t>мя М-34, работающими на один винт. Стальные нервю</w:t>
      </w:r>
      <w:r w:rsidRPr="00142305">
        <w:rPr>
          <w:rFonts w:ascii="Times New Roman" w:hAnsi="Times New Roman"/>
          <w:color w:val="0070C0"/>
          <w:sz w:val="16"/>
          <w:szCs w:val="16"/>
        </w:rPr>
        <w:softHyphen/>
        <w:t>ры крыла заменили более легкими дюралевыми; хвостовые балки приобрели четырехгранное сечение. Оборонительное вооружение должно было включать три пушки и 13 пулеме</w:t>
      </w:r>
      <w:r w:rsidRPr="00142305">
        <w:rPr>
          <w:rFonts w:ascii="Times New Roman" w:hAnsi="Times New Roman"/>
          <w:color w:val="0070C0"/>
          <w:sz w:val="16"/>
          <w:szCs w:val="16"/>
        </w:rPr>
        <w:softHyphen/>
        <w:t>тов. От турелей на тележках шасси отказались, заменив их башнями, выдвигавшимися вниз из крыла (примерно как на ТБ-3).</w:t>
      </w:r>
    </w:p>
    <w:p w14:paraId="0E0DF5D2" w14:textId="77777777" w:rsidR="00E40190" w:rsidRPr="00142305" w:rsidRDefault="00E40190" w:rsidP="00E401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расчетам, максимальная бомбовая нагрузка должна была составить 13 т. С 8500 кг бомб дальность полета оце</w:t>
      </w:r>
      <w:r w:rsidRPr="00142305">
        <w:rPr>
          <w:rFonts w:ascii="Times New Roman" w:hAnsi="Times New Roman"/>
          <w:color w:val="0070C0"/>
          <w:sz w:val="16"/>
          <w:szCs w:val="16"/>
        </w:rPr>
        <w:softHyphen/>
        <w:t>нивалась в 2000 км. При замене двигателей на М-34ФРН максимальная бомбовая нагрузка вырастала до 17 т. Но во</w:t>
      </w:r>
      <w:r w:rsidRPr="00142305">
        <w:rPr>
          <w:rFonts w:ascii="Times New Roman" w:hAnsi="Times New Roman"/>
          <w:color w:val="0070C0"/>
          <w:sz w:val="16"/>
          <w:szCs w:val="16"/>
        </w:rPr>
        <w:softHyphen/>
        <w:t>енных К-7 больше интересовал как транспортный самолет, способный взять на борт 150 - 200 бойцов. Конструктор обещал на второй машине получить скорость в 300 км/ч и практический потолок 7000 м.</w:t>
      </w:r>
    </w:p>
    <w:p w14:paraId="489C3A1A" w14:textId="77777777" w:rsidR="00E40190" w:rsidRPr="00142305" w:rsidRDefault="00E40190" w:rsidP="00E4019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Параллельно Калинин проектировал два пассажирских варианта - на 120 и 150 человек, а также бесхвостый вари</w:t>
      </w:r>
      <w:r w:rsidRPr="00142305">
        <w:rPr>
          <w:rFonts w:ascii="Times New Roman" w:hAnsi="Times New Roman"/>
          <w:color w:val="0070C0"/>
          <w:sz w:val="16"/>
          <w:szCs w:val="16"/>
        </w:rPr>
        <w:softHyphen/>
        <w:t>ант К-7 без балок, с вертикальным оперением на задней кромке крыла (24977).</w:t>
      </w:r>
    </w:p>
    <w:p w14:paraId="2C6DD5DB" w14:textId="77777777" w:rsidR="00E40190" w:rsidRPr="00142305" w:rsidRDefault="00E40190" w:rsidP="00E40190">
      <w:pPr>
        <w:spacing w:after="0" w:line="240" w:lineRule="auto"/>
        <w:jc w:val="both"/>
        <w:rPr>
          <w:rFonts w:ascii="Times New Roman" w:hAnsi="Times New Roman"/>
          <w:color w:val="0070C0"/>
          <w:sz w:val="16"/>
          <w:szCs w:val="16"/>
        </w:rPr>
      </w:pPr>
    </w:p>
    <w:p w14:paraId="43C7F94B" w14:textId="77777777" w:rsidR="00EB6509" w:rsidRPr="0044524F" w:rsidRDefault="00EB65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г. вышел Приказ ГУАП о строительстве еще 2 самолетов К-7 со сроком сдачи в 1935 г. Опытный № 2 было решено делать в варианте пассажирского самолета, а № 3 – в варианте бомбардировщика (23098).</w:t>
      </w:r>
    </w:p>
    <w:p w14:paraId="69B37F32" w14:textId="77777777" w:rsidR="00EB6509" w:rsidRPr="0044524F" w:rsidRDefault="00EB6509" w:rsidP="009654CF">
      <w:pPr>
        <w:spacing w:after="0" w:line="240" w:lineRule="auto"/>
        <w:jc w:val="both"/>
        <w:rPr>
          <w:rFonts w:ascii="Times New Roman" w:hAnsi="Times New Roman"/>
          <w:color w:val="000000" w:themeColor="text1"/>
          <w:sz w:val="16"/>
          <w:szCs w:val="16"/>
        </w:rPr>
      </w:pPr>
    </w:p>
    <w:p w14:paraId="2FCCF264"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г., еще до завершения расследования причин катастрофы К-7 № 1 было решено строить еще 2 самолета со сроком сдачи в 1935 г. и вышел приказ ГУАП об этом.</w:t>
      </w:r>
    </w:p>
    <w:p w14:paraId="647BAA70"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 2 было решено делать в варианте пассажирского самолета, № 3 – в варианте бомбардировщика.</w:t>
      </w:r>
    </w:p>
    <w:p w14:paraId="774668CB"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 был заново переработан (одновременно шло два варианта – пассажирский и тяжелый бомбардировщик). Основные изменения:</w:t>
      </w:r>
    </w:p>
    <w:p w14:paraId="632F3957"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силовая установка в составе 6 двигателей М-34ФРН (их еще не было, предусматривалась временная установка моторов М-34РН или сдвоенных редукторных М-34);</w:t>
      </w:r>
    </w:p>
    <w:p w14:paraId="25B7B9B7"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увеличена жесткость каркаса, в т.ч. за счет четырехгранного каркаса хвостовых балок.</w:t>
      </w:r>
    </w:p>
    <w:p w14:paraId="145C65AB"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Расчетные данные в варианте бомбардировщика:</w:t>
      </w:r>
    </w:p>
    <w:p w14:paraId="37B50FD6"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 перегрузочном варианте 13 т бомб;</w:t>
      </w:r>
    </w:p>
    <w:p w14:paraId="382D5FDB"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дальность полета с максимальной бомбовой нагрузкой 8 т – 2000 км (23561).</w:t>
      </w:r>
    </w:p>
    <w:p w14:paraId="3FC3299A" w14:textId="77777777" w:rsidR="00E31131" w:rsidRPr="0044524F" w:rsidRDefault="00E31131" w:rsidP="009654CF">
      <w:pPr>
        <w:spacing w:after="0" w:line="240" w:lineRule="auto"/>
        <w:jc w:val="both"/>
        <w:rPr>
          <w:rFonts w:ascii="Times New Roman" w:hAnsi="Times New Roman"/>
          <w:color w:val="000000" w:themeColor="text1"/>
          <w:sz w:val="16"/>
          <w:szCs w:val="16"/>
        </w:rPr>
      </w:pPr>
    </w:p>
    <w:p w14:paraId="649114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Нач. НТО ГУАП Алмазов писал нач. СУО Литвинову справку N 271/786с:</w:t>
      </w:r>
    </w:p>
    <w:p w14:paraId="2CBE45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числа 22 самолетов Зет, изготовленных в 1933 на заводе 39, сдано Военному Ведомству с получением удостоверений на приемку - 17.</w:t>
      </w:r>
    </w:p>
    <w:p w14:paraId="1A7F0C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оставшихся для сдачи 5 идет установка вооружения и доводка ВМГ.</w:t>
      </w:r>
    </w:p>
    <w:p w14:paraId="172111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Сдача этих 5 самолетов намечена в первой половине января 1934." (2303,36).</w:t>
      </w:r>
    </w:p>
    <w:p w14:paraId="6AB9CC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4D8BA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года Начальник НИИ ВВС Зильберт утвердил Отчет о гос. испытаниях АПК-4 с перезаряжанием системы Легчакова, установленных парой на самолете "Z" N 39004.</w:t>
      </w:r>
    </w:p>
    <w:p w14:paraId="3971B0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 испытаний - Щелковский аэродром и Ногинский полигон (стрельба). В ходе испытаний представилась возможность производить стрельбу над Щелковским аэродромом.</w:t>
      </w:r>
    </w:p>
    <w:p w14:paraId="598102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 Лагутин.</w:t>
      </w:r>
    </w:p>
    <w:p w14:paraId="455417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46179F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Выявить эксплуатационные особенности АПК-4 с перезаряжанием сист. Легчакова при стрельбе в воздухе.</w:t>
      </w:r>
    </w:p>
    <w:p w14:paraId="1355F0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2. Установить работу автоматики системы при различных эволюциях самолета.</w:t>
      </w:r>
    </w:p>
    <w:p w14:paraId="62EF25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Определить влияние стрельбы на мат. часть самолета.</w:t>
      </w:r>
    </w:p>
    <w:p w14:paraId="0B80DC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Выявить преимущества в системе перезаряжания Легчакова перед другими самолетами.</w:t>
      </w:r>
    </w:p>
    <w:p w14:paraId="699351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Испытания проводились в основном по той же программе, что и система Курчевского в целях сравнения этих систем.</w:t>
      </w:r>
    </w:p>
    <w:p w14:paraId="53AF3F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052577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отработки система может быть передана на войсковые испытания.</w:t>
      </w:r>
    </w:p>
    <w:p w14:paraId="09740D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Начало испытаний 19.01.1933 г.</w:t>
      </w:r>
    </w:p>
    <w:p w14:paraId="444584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Окончание испытаний 29.11.1933 г. (3083).</w:t>
      </w:r>
    </w:p>
    <w:p w14:paraId="39FBBD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99B86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была закончена постройка И-16 М-22 и с 30 декабря 1933 по 17 февраля 1934 проходили заводские испытания (7717, 19).</w:t>
      </w:r>
    </w:p>
    <w:p w14:paraId="2E81CD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4B2E5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представители ВВС утвердили повторно представленный макет военного варианта ХАИ-1 и на 21 заводе заложили опытную серию из 10 машин. Вооружение делал завод 32, а бомбодержатели - ЦАГИ (1148,28).</w:t>
      </w:r>
    </w:p>
    <w:p w14:paraId="1E0CF9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AE21507"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года представители ВВС утвердили повторно представленный им макет военного варианта ХАИ-1, после чего в цехах заложили опытную серию из десяти машин. Первый серийный ХАИ-1ВВ горьковского завода № 21 облетал в начале 1934 года заводской летчик-испытатель Т.С.Жуков. Весной подняли в воздух еще два серийных ХАИ-1 — № 3212 и № 3213 в пассажирском варианте. Один из них вскоре успешно прошел госиспытания в НИИ ГВФ.</w:t>
      </w:r>
    </w:p>
    <w:p w14:paraId="0E4D73C1"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ХАИ-1ВВ стал первым советским разведчиком и легким бомбардировщиком — монопланом с убирающимся в полете шасси. Самолет без труда показал требуемые от него летные характеристики, а за счет тщательного выполнения обшивки максимальная скорость достигла 320 км/час. Но заводские испытания продвигались медленно. У конструкторов ХАИ не было опыта в установке и доводке на самолете вооружения, которое, к тому же, в воздухе постоянно отказывало. Выпуск машины на государственные испытания запаздывал. Г.Н.Королев, сменивший П.И.Баранова на посту начальника ГУАП, 11 июня 1934 года отдал распоряжение о свертывании производства ХАИ-1 в Горьком и передаче построенного задела на завод №43 в Киев.</w:t>
      </w:r>
    </w:p>
    <w:p w14:paraId="4C5E6E28"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Свое решение ГУАП обосновало увеличением годовой программы выпуска заводом истребителей И-16 в 1935 году с 80 до 225 штук, а также близостью Киева к расположенному в Харькове институту. И как ни противился директор завода Мирошник вместе с Неманом решению Главка, но все же пришлось подчиниться. На госиспытания первую машину передали только в самом конце июля, и то с недоведенным стрелковым вооружением. Контрольные полеты военного варианта ХАИ-1 № 3211 в НИИ ВВС на Центральном аэродроме в Москве провел с 8 по 10 августа 1934 года летчик-испытатель П.И.Стефановский (24250).</w:t>
      </w:r>
    </w:p>
    <w:p w14:paraId="5DB4D377" w14:textId="77777777" w:rsidR="00E31131" w:rsidRPr="0044524F" w:rsidRDefault="00E31131" w:rsidP="009654CF">
      <w:pPr>
        <w:spacing w:after="0" w:line="240" w:lineRule="auto"/>
        <w:jc w:val="both"/>
        <w:rPr>
          <w:rFonts w:ascii="Times New Roman" w:hAnsi="Times New Roman"/>
          <w:color w:val="000000" w:themeColor="text1"/>
          <w:sz w:val="16"/>
          <w:szCs w:val="16"/>
        </w:rPr>
      </w:pPr>
    </w:p>
    <w:p w14:paraId="3BB3D98A" w14:textId="77777777" w:rsidR="00EB6509" w:rsidRPr="0044524F" w:rsidRDefault="00EB6509" w:rsidP="009654CF">
      <w:pPr>
        <w:pStyle w:val="631"/>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29 декабря 1933 года А-7 М-22 был закон</w:t>
      </w:r>
      <w:r w:rsidRPr="0044524F">
        <w:rPr>
          <w:rFonts w:ascii="Times New Roman" w:hAnsi="Times New Roman" w:cs="Times New Roman"/>
          <w:color w:val="000000" w:themeColor="text1"/>
          <w:sz w:val="16"/>
          <w:szCs w:val="16"/>
        </w:rPr>
        <w:softHyphen/>
        <w:t>чен постройкой и переведен на аэродром для заводских испытаний. Однако машина пробыла там очень недолго. При первых попытках раскрутить ротор испытатели столкнули с неприятным явлением. Оказалось, что лопасти сделаны слишком качественно. Как известно из аэро</w:t>
      </w:r>
      <w:r w:rsidRPr="0044524F">
        <w:rPr>
          <w:rFonts w:ascii="Times New Roman" w:hAnsi="Times New Roman" w:cs="Times New Roman"/>
          <w:color w:val="000000" w:themeColor="text1"/>
          <w:sz w:val="16"/>
          <w:szCs w:val="16"/>
        </w:rPr>
        <w:softHyphen/>
        <w:t>динамики, при обтекании профиля на его верхней поверхности возникает зона пони</w:t>
      </w:r>
      <w:r w:rsidRPr="0044524F">
        <w:rPr>
          <w:rFonts w:ascii="Times New Roman" w:hAnsi="Times New Roman" w:cs="Times New Roman"/>
          <w:color w:val="000000" w:themeColor="text1"/>
          <w:sz w:val="16"/>
          <w:szCs w:val="16"/>
        </w:rPr>
        <w:softHyphen/>
        <w:t>женного давления. Геттинген-429 в этом плане ничем особенным не отличался. Тща</w:t>
      </w:r>
      <w:r w:rsidRPr="0044524F">
        <w:rPr>
          <w:rFonts w:ascii="Times New Roman" w:hAnsi="Times New Roman" w:cs="Times New Roman"/>
          <w:color w:val="000000" w:themeColor="text1"/>
          <w:sz w:val="16"/>
          <w:szCs w:val="16"/>
        </w:rPr>
        <w:softHyphen/>
        <w:t>тельно проклепанные и лишенные щелей лопасти не могли быстро выпустить лишний воздух, и избыточным давлением их просто раздуло. Разработку одного из ключевых элементов автожира надо было начинать с центра поля. «Попутно» поймали еще две проблемы - вибрации ротора и неполадки механического пуска. Повторно ЗОК передал А-7 в 0Э/1ИД только в апреле 1934 года.</w:t>
      </w:r>
    </w:p>
    <w:p w14:paraId="7DAD5BB2" w14:textId="77777777" w:rsidR="00EB6509" w:rsidRPr="0044524F" w:rsidRDefault="00EB6509" w:rsidP="009654CF">
      <w:pPr>
        <w:pStyle w:val="631"/>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Последующие события в отечественной литературе трактуются неоднозначно. Где-то сказано, что 3 и 17 мая С.А. Корзинщиков выполнил подлет и непродолжительный полет, в /оде которого возникли серьезные неполадки. В других источниках утверждает</w:t>
      </w:r>
      <w:r w:rsidRPr="0044524F">
        <w:rPr>
          <w:rFonts w:ascii="Times New Roman" w:hAnsi="Times New Roman" w:cs="Times New Roman"/>
          <w:color w:val="000000" w:themeColor="text1"/>
          <w:sz w:val="16"/>
          <w:szCs w:val="16"/>
        </w:rPr>
        <w:softHyphen/>
        <w:t>ся, что он так и не смог выполнить первый полет автожира А-7. 3 июля 1934 года Г.А. Зильберт в своем письме №01149сс наркому обороны К.Е. Ворошилову, замнаркома обо</w:t>
      </w:r>
      <w:r w:rsidRPr="0044524F">
        <w:rPr>
          <w:rFonts w:ascii="Times New Roman" w:hAnsi="Times New Roman" w:cs="Times New Roman"/>
          <w:color w:val="000000" w:themeColor="text1"/>
          <w:sz w:val="16"/>
          <w:szCs w:val="16"/>
        </w:rPr>
        <w:softHyphen/>
        <w:t>роны Я.Б Гамарнику, замнаркома обороны М.Н. Тухачевскому, начальнику штаба РККА А.И. Егорову, начальнику ВВС Я.И. Алкснису, замначальника штаба РККА С.А. Меженинову так описывал произошедшее: «Автожир А-7 в мае 1934 года начал проходить заводские испытания в ОЭЛИД ЦАГИ. Аппарат, проделав несколько рулежек, при первой попытке ото</w:t>
      </w:r>
      <w:r w:rsidRPr="0044524F">
        <w:rPr>
          <w:rFonts w:ascii="Times New Roman" w:hAnsi="Times New Roman" w:cs="Times New Roman"/>
          <w:color w:val="000000" w:themeColor="text1"/>
          <w:sz w:val="16"/>
          <w:szCs w:val="16"/>
        </w:rPr>
        <w:softHyphen/>
        <w:t>рваться получил деформацию крыльев. Аппарат заново пересчитывается; крылья и лопасти ротора усиливаются. Во второй половине июля будут возобновлены завод</w:t>
      </w:r>
      <w:r w:rsidRPr="0044524F">
        <w:rPr>
          <w:rFonts w:ascii="Times New Roman" w:hAnsi="Times New Roman" w:cs="Times New Roman"/>
          <w:color w:val="000000" w:themeColor="text1"/>
          <w:sz w:val="16"/>
          <w:szCs w:val="16"/>
        </w:rPr>
        <w:softHyphen/>
        <w:t>ские испытания».</w:t>
      </w:r>
    </w:p>
    <w:p w14:paraId="7EA3B053" w14:textId="77777777" w:rsidR="00EB6509" w:rsidRPr="0044524F" w:rsidRDefault="00EB6509" w:rsidP="009654CF">
      <w:pPr>
        <w:pStyle w:val="631"/>
        <w:shd w:val="clear" w:color="auto" w:fill="auto"/>
        <w:spacing w:line="240" w:lineRule="auto"/>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Не меньше тумана и с датой первого успешного вылета. Патриарх советского вер- толетостроения Александр Михайлович Изаксон в своей книге, впервые изданной в 1964 году, указывает 20 сентября в качестве даты первого полета С.А. Корзинщикова. Тем не менее, 23 июля 1936 года, будучи началь</w:t>
      </w:r>
      <w:r w:rsidRPr="0044524F">
        <w:rPr>
          <w:rFonts w:ascii="Times New Roman" w:hAnsi="Times New Roman" w:cs="Times New Roman"/>
          <w:color w:val="000000" w:themeColor="text1"/>
          <w:sz w:val="16"/>
          <w:szCs w:val="16"/>
        </w:rPr>
        <w:softHyphen/>
        <w:t>ником КБ №3 по винтовым аппаратам Завода опытных конструкций ГУАП (до реорганиза</w:t>
      </w:r>
      <w:r w:rsidRPr="0044524F">
        <w:rPr>
          <w:rFonts w:ascii="Times New Roman" w:hAnsi="Times New Roman" w:cs="Times New Roman"/>
          <w:color w:val="000000" w:themeColor="text1"/>
          <w:sz w:val="16"/>
          <w:szCs w:val="16"/>
        </w:rPr>
        <w:softHyphen/>
        <w:t xml:space="preserve">ции ЦАГИ </w:t>
      </w:r>
      <w:r w:rsidRPr="0044524F">
        <w:rPr>
          <w:rFonts w:ascii="Times New Roman" w:hAnsi="Times New Roman" w:cs="Times New Roman"/>
          <w:color w:val="000000" w:themeColor="text1"/>
          <w:sz w:val="16"/>
          <w:szCs w:val="16"/>
          <w:lang w:val="en-US"/>
        </w:rPr>
        <w:t>A</w:t>
      </w:r>
      <w:r w:rsidRPr="0044524F">
        <w:rPr>
          <w:rFonts w:ascii="Times New Roman" w:hAnsi="Times New Roman" w:cs="Times New Roman"/>
          <w:color w:val="000000" w:themeColor="text1"/>
          <w:sz w:val="16"/>
          <w:szCs w:val="16"/>
        </w:rPr>
        <w:t>.</w:t>
      </w:r>
      <w:r w:rsidRPr="0044524F">
        <w:rPr>
          <w:rFonts w:ascii="Times New Roman" w:hAnsi="Times New Roman" w:cs="Times New Roman"/>
          <w:color w:val="000000" w:themeColor="text1"/>
          <w:sz w:val="16"/>
          <w:szCs w:val="16"/>
          <w:lang w:val="en-US"/>
        </w:rPr>
        <w:t>M</w:t>
      </w:r>
      <w:r w:rsidRPr="0044524F">
        <w:rPr>
          <w:rFonts w:ascii="Times New Roman" w:hAnsi="Times New Roman" w:cs="Times New Roman"/>
          <w:color w:val="000000" w:themeColor="text1"/>
          <w:sz w:val="16"/>
          <w:szCs w:val="16"/>
        </w:rPr>
        <w:t>. Изаксон - начальник Отдела особых конструкций ЦАГИ) в своей обшир</w:t>
      </w:r>
      <w:r w:rsidRPr="0044524F">
        <w:rPr>
          <w:rFonts w:ascii="Times New Roman" w:hAnsi="Times New Roman" w:cs="Times New Roman"/>
          <w:color w:val="000000" w:themeColor="text1"/>
          <w:sz w:val="16"/>
          <w:szCs w:val="16"/>
        </w:rPr>
        <w:softHyphen/>
        <w:t>ной докладной записке секретарю СТО Бази- левичу он писал следующее: «В ноябре 1934 года автожир А-7 с мотором М-22 после ряда доделок и переделок совершил первый полет. По окончании заводских испытаний и доводок автожир А-7 был передан на госис</w:t>
      </w:r>
      <w:r w:rsidRPr="0044524F">
        <w:rPr>
          <w:rFonts w:ascii="Times New Roman" w:hAnsi="Times New Roman" w:cs="Times New Roman"/>
          <w:color w:val="000000" w:themeColor="text1"/>
          <w:sz w:val="16"/>
          <w:szCs w:val="16"/>
        </w:rPr>
        <w:softHyphen/>
        <w:t>пытания в конце 1935 года». Где истина - одному Богу известно. Будем считать, что первый полет автожира А-7 состоялся осе</w:t>
      </w:r>
      <w:r w:rsidRPr="0044524F">
        <w:rPr>
          <w:rFonts w:ascii="Times New Roman" w:hAnsi="Times New Roman" w:cs="Times New Roman"/>
          <w:color w:val="000000" w:themeColor="text1"/>
          <w:sz w:val="16"/>
          <w:szCs w:val="16"/>
        </w:rPr>
        <w:softHyphen/>
        <w:t>нью 1934 года (19868).</w:t>
      </w:r>
    </w:p>
    <w:p w14:paraId="68B0594F" w14:textId="77777777" w:rsidR="00EB6509" w:rsidRPr="0044524F" w:rsidRDefault="00EB6509" w:rsidP="009654CF">
      <w:pPr>
        <w:pStyle w:val="631"/>
        <w:shd w:val="clear" w:color="auto" w:fill="auto"/>
        <w:spacing w:line="240" w:lineRule="auto"/>
        <w:jc w:val="both"/>
        <w:rPr>
          <w:rFonts w:ascii="Times New Roman" w:hAnsi="Times New Roman" w:cs="Times New Roman"/>
          <w:color w:val="000000" w:themeColor="text1"/>
          <w:sz w:val="16"/>
          <w:szCs w:val="16"/>
        </w:rPr>
      </w:pPr>
    </w:p>
    <w:p w14:paraId="72D0883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года состоялось Тактико-техническое совещание НИИ ВВС (Журнал № 13).</w:t>
      </w:r>
    </w:p>
    <w:p w14:paraId="4507CA07"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Перечень разбиравшихся вопросов</w:t>
      </w:r>
    </w:p>
    <w:p w14:paraId="56DE532C"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требования к самолету АРКТ-3. Докладчик Четвериков.</w:t>
      </w:r>
    </w:p>
    <w:p w14:paraId="2A2996A7"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требования на самолет «КОР-1». Докладчик Ганулич.</w:t>
      </w:r>
    </w:p>
    <w:p w14:paraId="18854C14"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требования к прибору управления самолетом по радио. Докладчик Петров (6788).</w:t>
      </w:r>
    </w:p>
    <w:p w14:paraId="4CC452B6"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22A5F9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Нач. ГУАП Королев писал за № 17/оп:</w:t>
      </w:r>
    </w:p>
    <w:p w14:paraId="546E92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Справка</w:t>
      </w:r>
    </w:p>
    <w:p w14:paraId="30EDD0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расчетах стоимости моторов, приобретаемых в САСШ у фирмы “Кертис-Райт”, доллар принят округленно в 2 руб. золотом исходя из тех соображений, что курсовая цена доллара при покупке в кредит НКфином принята в 1 р. 94 коп. Сверх того, добавлены 3% в обеспечение накладных расходов, поскольку цены на моторы фирма назвала ориентировочно (4170,26).</w:t>
      </w:r>
    </w:p>
    <w:p w14:paraId="2E53A0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93C3C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года в НИИ ВВС проходили гос. испытания установки спаренных пулеметов ДА, предложенных Селищевым и Поляковым, которые проходили с С 27 декабря 1933</w:t>
      </w:r>
    </w:p>
    <w:p w14:paraId="76FAE0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Начато 27 декабря 1933 года</w:t>
      </w:r>
    </w:p>
    <w:p w14:paraId="119611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Окончено 29 декабря 1933 года</w:t>
      </w:r>
    </w:p>
    <w:p w14:paraId="453A2D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63E7CC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15 сектора НИИ ВВС Базенау</w:t>
      </w:r>
    </w:p>
    <w:p w14:paraId="4E9DC7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 техник 15 сектора НИИ ВВС Напалков</w:t>
      </w:r>
    </w:p>
    <w:p w14:paraId="160DD4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2BAAB1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Установка спаренных пулеметов ДА конструкции Салищева и Полякова испытаний не выдержали, как образец не удовлетворяющий тактико-техническим требованиям к спаренным пулеметам (7396, 78-86).</w:t>
      </w:r>
    </w:p>
    <w:p w14:paraId="4E6424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2CB58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года была подготовлена справка Сведения о % технической готовности по основной программе ЗОК"а по состоянию на 1 декабря 1933 г.</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tblGrid>
      <w:tr w:rsidR="004E10C1" w:rsidRPr="0044524F" w14:paraId="55DF313F" w14:textId="77777777">
        <w:tc>
          <w:tcPr>
            <w:tcW w:w="2818" w:type="dxa"/>
          </w:tcPr>
          <w:p w14:paraId="7E1349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44EC96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Готовность</w:t>
            </w:r>
          </w:p>
        </w:tc>
        <w:tc>
          <w:tcPr>
            <w:tcW w:w="2818" w:type="dxa"/>
          </w:tcPr>
          <w:p w14:paraId="434C01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Готовность</w:t>
            </w:r>
          </w:p>
        </w:tc>
      </w:tr>
      <w:tr w:rsidR="004E10C1" w:rsidRPr="0044524F" w14:paraId="70B72E11" w14:textId="77777777">
        <w:tc>
          <w:tcPr>
            <w:tcW w:w="2818" w:type="dxa"/>
          </w:tcPr>
          <w:p w14:paraId="6E7133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818" w:type="dxa"/>
          </w:tcPr>
          <w:p w14:paraId="07DB1B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1/XI</w:t>
            </w:r>
          </w:p>
        </w:tc>
        <w:tc>
          <w:tcPr>
            <w:tcW w:w="2818" w:type="dxa"/>
          </w:tcPr>
          <w:p w14:paraId="7BC933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1/XII-33</w:t>
            </w:r>
          </w:p>
        </w:tc>
      </w:tr>
      <w:tr w:rsidR="004E10C1" w:rsidRPr="0044524F" w14:paraId="144F3134" w14:textId="77777777">
        <w:tc>
          <w:tcPr>
            <w:tcW w:w="2818" w:type="dxa"/>
          </w:tcPr>
          <w:p w14:paraId="3E6F27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опытная</w:t>
            </w:r>
          </w:p>
        </w:tc>
        <w:tc>
          <w:tcPr>
            <w:tcW w:w="2818" w:type="dxa"/>
          </w:tcPr>
          <w:p w14:paraId="495303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2818" w:type="dxa"/>
          </w:tcPr>
          <w:p w14:paraId="10A7E6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2154D60B" w14:textId="77777777">
        <w:tc>
          <w:tcPr>
            <w:tcW w:w="2818" w:type="dxa"/>
          </w:tcPr>
          <w:p w14:paraId="3D1F57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опытная</w:t>
            </w:r>
          </w:p>
        </w:tc>
        <w:tc>
          <w:tcPr>
            <w:tcW w:w="2818" w:type="dxa"/>
          </w:tcPr>
          <w:p w14:paraId="767571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2818" w:type="dxa"/>
          </w:tcPr>
          <w:p w14:paraId="128F5F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11F812B" w14:textId="77777777">
        <w:tc>
          <w:tcPr>
            <w:tcW w:w="2818" w:type="dxa"/>
          </w:tcPr>
          <w:p w14:paraId="4EA438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 опытная</w:t>
            </w:r>
          </w:p>
        </w:tc>
        <w:tc>
          <w:tcPr>
            <w:tcW w:w="2818" w:type="dxa"/>
          </w:tcPr>
          <w:p w14:paraId="0D07B6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2818" w:type="dxa"/>
          </w:tcPr>
          <w:p w14:paraId="7BEC3E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1D139716" w14:textId="77777777">
        <w:tc>
          <w:tcPr>
            <w:tcW w:w="2818" w:type="dxa"/>
          </w:tcPr>
          <w:p w14:paraId="20AB1D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Р-Д-бис</w:t>
            </w:r>
          </w:p>
        </w:tc>
        <w:tc>
          <w:tcPr>
            <w:tcW w:w="2818" w:type="dxa"/>
          </w:tcPr>
          <w:p w14:paraId="5F871C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2818" w:type="dxa"/>
          </w:tcPr>
          <w:p w14:paraId="5D5190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69283CC6" w14:textId="77777777">
        <w:tc>
          <w:tcPr>
            <w:tcW w:w="2818" w:type="dxa"/>
          </w:tcPr>
          <w:p w14:paraId="1397F0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опытная</w:t>
            </w:r>
          </w:p>
        </w:tc>
        <w:tc>
          <w:tcPr>
            <w:tcW w:w="2818" w:type="dxa"/>
          </w:tcPr>
          <w:p w14:paraId="470358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2818" w:type="dxa"/>
          </w:tcPr>
          <w:p w14:paraId="6665C4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3C2EC62E" w14:textId="77777777">
        <w:tc>
          <w:tcPr>
            <w:tcW w:w="2818" w:type="dxa"/>
          </w:tcPr>
          <w:p w14:paraId="47B055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 бис</w:t>
            </w:r>
          </w:p>
        </w:tc>
        <w:tc>
          <w:tcPr>
            <w:tcW w:w="2818" w:type="dxa"/>
          </w:tcPr>
          <w:p w14:paraId="52C7BE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96,9</w:t>
            </w:r>
          </w:p>
        </w:tc>
        <w:tc>
          <w:tcPr>
            <w:tcW w:w="2818" w:type="dxa"/>
          </w:tcPr>
          <w:p w14:paraId="53D20C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97,34</w:t>
            </w:r>
          </w:p>
        </w:tc>
      </w:tr>
      <w:tr w:rsidR="004E10C1" w:rsidRPr="0044524F" w14:paraId="271319E0" w14:textId="77777777">
        <w:tc>
          <w:tcPr>
            <w:tcW w:w="2818" w:type="dxa"/>
          </w:tcPr>
          <w:p w14:paraId="6975B5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дублер</w:t>
            </w:r>
          </w:p>
        </w:tc>
        <w:tc>
          <w:tcPr>
            <w:tcW w:w="2818" w:type="dxa"/>
          </w:tcPr>
          <w:p w14:paraId="63B6DF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22,8</w:t>
            </w:r>
          </w:p>
        </w:tc>
        <w:tc>
          <w:tcPr>
            <w:tcW w:w="2818" w:type="dxa"/>
          </w:tcPr>
          <w:p w14:paraId="79B81B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44,60</w:t>
            </w:r>
          </w:p>
        </w:tc>
      </w:tr>
      <w:tr w:rsidR="004E10C1" w:rsidRPr="0044524F" w14:paraId="2F71330E" w14:textId="77777777">
        <w:tc>
          <w:tcPr>
            <w:tcW w:w="2818" w:type="dxa"/>
          </w:tcPr>
          <w:p w14:paraId="22D47F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w:t>
            </w:r>
          </w:p>
        </w:tc>
        <w:tc>
          <w:tcPr>
            <w:tcW w:w="2818" w:type="dxa"/>
          </w:tcPr>
          <w:p w14:paraId="4D3090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22,6</w:t>
            </w:r>
          </w:p>
        </w:tc>
        <w:tc>
          <w:tcPr>
            <w:tcW w:w="2818" w:type="dxa"/>
          </w:tcPr>
          <w:p w14:paraId="5B2B83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45,03</w:t>
            </w:r>
          </w:p>
        </w:tc>
      </w:tr>
      <w:tr w:rsidR="004E10C1" w:rsidRPr="0044524F" w14:paraId="5AF24388" w14:textId="77777777">
        <w:tc>
          <w:tcPr>
            <w:tcW w:w="2818" w:type="dxa"/>
          </w:tcPr>
          <w:p w14:paraId="24C061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ТБ-6 планер</w:t>
            </w:r>
          </w:p>
        </w:tc>
        <w:tc>
          <w:tcPr>
            <w:tcW w:w="2818" w:type="dxa"/>
          </w:tcPr>
          <w:p w14:paraId="036EF4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47,3</w:t>
            </w:r>
          </w:p>
        </w:tc>
        <w:tc>
          <w:tcPr>
            <w:tcW w:w="2818" w:type="dxa"/>
          </w:tcPr>
          <w:p w14:paraId="52AD3C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60,67</w:t>
            </w:r>
          </w:p>
        </w:tc>
      </w:tr>
      <w:tr w:rsidR="004E10C1" w:rsidRPr="0044524F" w14:paraId="2F0375C3" w14:textId="77777777">
        <w:tc>
          <w:tcPr>
            <w:tcW w:w="2818" w:type="dxa"/>
          </w:tcPr>
          <w:p w14:paraId="1B15A0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МК-1</w:t>
            </w:r>
          </w:p>
        </w:tc>
        <w:tc>
          <w:tcPr>
            <w:tcW w:w="2818" w:type="dxa"/>
          </w:tcPr>
          <w:p w14:paraId="27C033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59,5</w:t>
            </w:r>
          </w:p>
        </w:tc>
        <w:tc>
          <w:tcPr>
            <w:tcW w:w="2818" w:type="dxa"/>
          </w:tcPr>
          <w:p w14:paraId="138D4E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73,10</w:t>
            </w:r>
          </w:p>
        </w:tc>
      </w:tr>
      <w:tr w:rsidR="004E10C1" w:rsidRPr="0044524F" w14:paraId="3D184EE3" w14:textId="77777777">
        <w:tc>
          <w:tcPr>
            <w:tcW w:w="2818" w:type="dxa"/>
          </w:tcPr>
          <w:p w14:paraId="32C993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СК-1</w:t>
            </w:r>
          </w:p>
        </w:tc>
        <w:tc>
          <w:tcPr>
            <w:tcW w:w="2818" w:type="dxa"/>
          </w:tcPr>
          <w:p w14:paraId="7A3ECB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15,4</w:t>
            </w:r>
          </w:p>
        </w:tc>
        <w:tc>
          <w:tcPr>
            <w:tcW w:w="2818" w:type="dxa"/>
          </w:tcPr>
          <w:p w14:paraId="560C9E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15,98</w:t>
            </w:r>
          </w:p>
        </w:tc>
      </w:tr>
      <w:tr w:rsidR="004E10C1" w:rsidRPr="0044524F" w14:paraId="20EB87BE" w14:textId="77777777">
        <w:tc>
          <w:tcPr>
            <w:tcW w:w="2818" w:type="dxa"/>
          </w:tcPr>
          <w:p w14:paraId="68971F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ДИП-опытн.</w:t>
            </w:r>
          </w:p>
        </w:tc>
        <w:tc>
          <w:tcPr>
            <w:tcW w:w="2818" w:type="dxa"/>
          </w:tcPr>
          <w:p w14:paraId="0890EA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20,4</w:t>
            </w:r>
          </w:p>
        </w:tc>
        <w:tc>
          <w:tcPr>
            <w:tcW w:w="2818" w:type="dxa"/>
          </w:tcPr>
          <w:p w14:paraId="3A8525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20,52</w:t>
            </w:r>
          </w:p>
        </w:tc>
      </w:tr>
      <w:tr w:rsidR="004E10C1" w:rsidRPr="0044524F" w14:paraId="42276091" w14:textId="77777777">
        <w:tc>
          <w:tcPr>
            <w:tcW w:w="2818" w:type="dxa"/>
          </w:tcPr>
          <w:p w14:paraId="06C34E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И-12 бис</w:t>
            </w:r>
          </w:p>
        </w:tc>
        <w:tc>
          <w:tcPr>
            <w:tcW w:w="2818" w:type="dxa"/>
          </w:tcPr>
          <w:p w14:paraId="0DB8B2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77,4</w:t>
            </w:r>
          </w:p>
        </w:tc>
        <w:tc>
          <w:tcPr>
            <w:tcW w:w="2818" w:type="dxa"/>
          </w:tcPr>
          <w:p w14:paraId="01AC18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84,9</w:t>
            </w:r>
          </w:p>
        </w:tc>
      </w:tr>
      <w:tr w:rsidR="004E10C1" w:rsidRPr="0044524F" w14:paraId="6AB56403" w14:textId="77777777">
        <w:tc>
          <w:tcPr>
            <w:tcW w:w="2818" w:type="dxa"/>
          </w:tcPr>
          <w:p w14:paraId="7BB070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М.Г.</w:t>
            </w:r>
          </w:p>
        </w:tc>
        <w:tc>
          <w:tcPr>
            <w:tcW w:w="2818" w:type="dxa"/>
          </w:tcPr>
          <w:p w14:paraId="3AE03B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w:t>
            </w:r>
          </w:p>
        </w:tc>
        <w:tc>
          <w:tcPr>
            <w:tcW w:w="2818" w:type="dxa"/>
          </w:tcPr>
          <w:p w14:paraId="474CDC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44,7</w:t>
            </w:r>
          </w:p>
        </w:tc>
      </w:tr>
      <w:tr w:rsidR="004E10C1" w:rsidRPr="0044524F" w14:paraId="0FEDFA64" w14:textId="77777777">
        <w:tc>
          <w:tcPr>
            <w:tcW w:w="2818" w:type="dxa"/>
          </w:tcPr>
          <w:p w14:paraId="4BCAA4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 Глиссер</w:t>
            </w:r>
          </w:p>
        </w:tc>
        <w:tc>
          <w:tcPr>
            <w:tcW w:w="2818" w:type="dxa"/>
          </w:tcPr>
          <w:p w14:paraId="381C55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2818" w:type="dxa"/>
          </w:tcPr>
          <w:p w14:paraId="320F4C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7489915" w14:textId="77777777">
        <w:tc>
          <w:tcPr>
            <w:tcW w:w="2818" w:type="dxa"/>
          </w:tcPr>
          <w:p w14:paraId="37AB83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 головн.</w:t>
            </w:r>
          </w:p>
        </w:tc>
        <w:tc>
          <w:tcPr>
            <w:tcW w:w="2818" w:type="dxa"/>
          </w:tcPr>
          <w:p w14:paraId="49DECA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28,0</w:t>
            </w:r>
          </w:p>
        </w:tc>
        <w:tc>
          <w:tcPr>
            <w:tcW w:w="2818" w:type="dxa"/>
          </w:tcPr>
          <w:p w14:paraId="0311A7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EDA3E0B" w14:textId="77777777">
        <w:tc>
          <w:tcPr>
            <w:tcW w:w="2818" w:type="dxa"/>
          </w:tcPr>
          <w:p w14:paraId="1725AC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Сани</w:t>
            </w:r>
          </w:p>
        </w:tc>
        <w:tc>
          <w:tcPr>
            <w:tcW w:w="2818" w:type="dxa"/>
          </w:tcPr>
          <w:p w14:paraId="1B443F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2818" w:type="dxa"/>
          </w:tcPr>
          <w:p w14:paraId="244B110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45,0 (2287,53)</w:t>
            </w:r>
          </w:p>
        </w:tc>
      </w:tr>
    </w:tbl>
    <w:p w14:paraId="458B24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60EDF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был выведен на аэродром автожир А-7 М-22, но при заводских испытаниях выявили дефекты в лопастях (2287,131).</w:t>
      </w:r>
    </w:p>
    <w:p w14:paraId="038DF4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7F2EC85"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D689FCE"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F5823DF" w14:textId="77777777" w:rsidR="00EB6509" w:rsidRPr="0044524F" w:rsidRDefault="00EB65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в экспе</w:t>
      </w:r>
      <w:r w:rsidRPr="0044524F">
        <w:rPr>
          <w:rFonts w:ascii="Times New Roman" w:hAnsi="Times New Roman"/>
          <w:color w:val="000000" w:themeColor="text1"/>
          <w:sz w:val="16"/>
          <w:szCs w:val="16"/>
        </w:rPr>
        <w:softHyphen/>
        <w:t>риментальном цехе НАТИ собран первый трактор, полу</w:t>
      </w:r>
      <w:r w:rsidRPr="0044524F">
        <w:rPr>
          <w:rFonts w:ascii="Times New Roman" w:hAnsi="Times New Roman"/>
          <w:color w:val="000000" w:themeColor="text1"/>
          <w:sz w:val="16"/>
          <w:szCs w:val="16"/>
        </w:rPr>
        <w:softHyphen/>
        <w:t>чивший название Универсал-1 (с сближенными пе</w:t>
      </w:r>
      <w:r w:rsidRPr="0044524F">
        <w:rPr>
          <w:rFonts w:ascii="Times New Roman" w:hAnsi="Times New Roman"/>
          <w:color w:val="000000" w:themeColor="text1"/>
          <w:sz w:val="16"/>
          <w:szCs w:val="16"/>
        </w:rPr>
        <w:softHyphen/>
        <w:t>редними колесами) и Универсал-2 (с расставленны</w:t>
      </w:r>
      <w:r w:rsidRPr="0044524F">
        <w:rPr>
          <w:rFonts w:ascii="Times New Roman" w:hAnsi="Times New Roman"/>
          <w:color w:val="000000" w:themeColor="text1"/>
          <w:sz w:val="16"/>
          <w:szCs w:val="16"/>
        </w:rPr>
        <w:softHyphen/>
        <w:t>ми передними колесами).</w:t>
      </w:r>
    </w:p>
    <w:p w14:paraId="3364F110" w14:textId="77777777" w:rsidR="00EB6509" w:rsidRPr="0044524F" w:rsidRDefault="00EB65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нового пропашного трактора была поручена НАТИ Приказом Наркома тяжелой промышленнос</w:t>
      </w:r>
      <w:r w:rsidRPr="0044524F">
        <w:rPr>
          <w:rFonts w:ascii="Times New Roman" w:hAnsi="Times New Roman"/>
          <w:color w:val="000000" w:themeColor="text1"/>
          <w:sz w:val="16"/>
          <w:szCs w:val="16"/>
        </w:rPr>
        <w:softHyphen/>
        <w:t>ти Г.К. Орджоникидзе.</w:t>
      </w:r>
    </w:p>
    <w:p w14:paraId="4280BE7E" w14:textId="77777777" w:rsidR="00EB6509" w:rsidRPr="0044524F" w:rsidRDefault="00EB65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Инженеры тракторного отдела под руковод</w:t>
      </w:r>
      <w:r w:rsidRPr="0044524F">
        <w:rPr>
          <w:rFonts w:ascii="Times New Roman" w:hAnsi="Times New Roman"/>
          <w:color w:val="000000" w:themeColor="text1"/>
          <w:sz w:val="16"/>
          <w:szCs w:val="16"/>
        </w:rPr>
        <w:softHyphen/>
        <w:t>ством Д.А. Чудакова спроектировали пропашной колесный трактор, взяв за прототип трактор Фар- молл-9/18 американской компании Интернэшнл Хар</w:t>
      </w:r>
      <w:r w:rsidRPr="0044524F">
        <w:rPr>
          <w:rFonts w:ascii="Times New Roman" w:hAnsi="Times New Roman"/>
          <w:color w:val="000000" w:themeColor="text1"/>
          <w:sz w:val="16"/>
          <w:szCs w:val="16"/>
        </w:rPr>
        <w:softHyphen/>
        <w:t>вестер. Когда начался этап непосредственно рабо</w:t>
      </w:r>
      <w:r w:rsidRPr="0044524F">
        <w:rPr>
          <w:rFonts w:ascii="Times New Roman" w:hAnsi="Times New Roman"/>
          <w:color w:val="000000" w:themeColor="text1"/>
          <w:sz w:val="16"/>
          <w:szCs w:val="16"/>
        </w:rPr>
        <w:softHyphen/>
        <w:t>чего проектирования, то здесь все было не так прос</w:t>
      </w:r>
      <w:r w:rsidRPr="0044524F">
        <w:rPr>
          <w:rFonts w:ascii="Times New Roman" w:hAnsi="Times New Roman"/>
          <w:color w:val="000000" w:themeColor="text1"/>
          <w:sz w:val="16"/>
          <w:szCs w:val="16"/>
        </w:rPr>
        <w:softHyphen/>
        <w:t>то, как предполагали. Отступая от Фармолла, кон</w:t>
      </w:r>
      <w:r w:rsidRPr="0044524F">
        <w:rPr>
          <w:rFonts w:ascii="Times New Roman" w:hAnsi="Times New Roman"/>
          <w:color w:val="000000" w:themeColor="text1"/>
          <w:sz w:val="16"/>
          <w:szCs w:val="16"/>
        </w:rPr>
        <w:softHyphen/>
        <w:t>структоры стремились максимальное количество узлов и деталей унифицировать с трактором СТЗ. Поэтому одновременно с проектированием под руко</w:t>
      </w:r>
      <w:r w:rsidRPr="0044524F">
        <w:rPr>
          <w:rFonts w:ascii="Times New Roman" w:hAnsi="Times New Roman"/>
          <w:color w:val="000000" w:themeColor="text1"/>
          <w:sz w:val="16"/>
          <w:szCs w:val="16"/>
        </w:rPr>
        <w:softHyphen/>
        <w:t>водством инженера В. Тюляева проводилась боль</w:t>
      </w:r>
      <w:r w:rsidRPr="0044524F">
        <w:rPr>
          <w:rFonts w:ascii="Times New Roman" w:hAnsi="Times New Roman"/>
          <w:color w:val="000000" w:themeColor="text1"/>
          <w:sz w:val="16"/>
          <w:szCs w:val="16"/>
        </w:rPr>
        <w:softHyphen/>
        <w:t>шая экспериментальная работа по проверке право</w:t>
      </w:r>
      <w:r w:rsidRPr="0044524F">
        <w:rPr>
          <w:rFonts w:ascii="Times New Roman" w:hAnsi="Times New Roman"/>
          <w:color w:val="000000" w:themeColor="text1"/>
          <w:sz w:val="16"/>
          <w:szCs w:val="16"/>
        </w:rPr>
        <w:softHyphen/>
        <w:t>мерности замены деталей.</w:t>
      </w:r>
    </w:p>
    <w:p w14:paraId="6018ACC8" w14:textId="77777777" w:rsidR="00EB6509" w:rsidRPr="0044524F" w:rsidRDefault="00EB65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для этого трактора разработал инженер А.А. Крейслер. Трактор Универсал-1 был трехколес</w:t>
      </w:r>
      <w:r w:rsidRPr="0044524F">
        <w:rPr>
          <w:rFonts w:ascii="Times New Roman" w:hAnsi="Times New Roman"/>
          <w:color w:val="000000" w:themeColor="text1"/>
          <w:sz w:val="16"/>
          <w:szCs w:val="16"/>
        </w:rPr>
        <w:softHyphen/>
        <w:t>ный. Он развивал тяговое усилие 300-900 кг. На нем устанавливался карбюраторный керосиновый 4-цилиндровый двигатель мощностью 22 л.с. при 1200 об./мин. Трактор весил 2 т. Универсал-2 разра</w:t>
      </w:r>
      <w:r w:rsidRPr="0044524F">
        <w:rPr>
          <w:rFonts w:ascii="Times New Roman" w:hAnsi="Times New Roman"/>
          <w:color w:val="000000" w:themeColor="text1"/>
          <w:sz w:val="16"/>
          <w:szCs w:val="16"/>
        </w:rPr>
        <w:softHyphen/>
        <w:t>батывался для обработки низкостебельных пропаш</w:t>
      </w:r>
      <w:r w:rsidRPr="0044524F">
        <w:rPr>
          <w:rFonts w:ascii="Times New Roman" w:hAnsi="Times New Roman"/>
          <w:color w:val="000000" w:themeColor="text1"/>
          <w:sz w:val="16"/>
          <w:szCs w:val="16"/>
        </w:rPr>
        <w:softHyphen/>
        <w:t>ных культур. Он имел передний двухколесный мост оригинальной конструкции (22518).</w:t>
      </w:r>
    </w:p>
    <w:p w14:paraId="2DA959A9" w14:textId="77777777" w:rsidR="00EB6509" w:rsidRPr="0044524F" w:rsidRDefault="00EB6509" w:rsidP="009654CF">
      <w:pPr>
        <w:spacing w:after="0" w:line="240" w:lineRule="auto"/>
        <w:jc w:val="both"/>
        <w:rPr>
          <w:rFonts w:ascii="Times New Roman" w:hAnsi="Times New Roman"/>
          <w:color w:val="000000" w:themeColor="text1"/>
          <w:sz w:val="16"/>
          <w:szCs w:val="16"/>
        </w:rPr>
      </w:pPr>
    </w:p>
    <w:p w14:paraId="71C7747B" w14:textId="556EB40C"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г. по приказу НКТП № 1113 был создан Владимирский завод портативных граммофонов (Завод № 260 НКБ, Владимирский завод портативных граммофонов, п/я 334, Пермский велосипедный завод, ОАО «Велта» Росбоеприпаса /г. Владимир;</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Молотов, 10 п/я 334 «Автомат» (1943 г.)/ /614010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Пермь ул. Героев Хасана, 105 тел. (3422) 68-10-08/). Проектная мощность- 75 тыс. патефонов в год. В 05.1936 г. выпущено более 30 млн. граммофонных иголок, с 12.1936 г. начат выпуск патефонов ПТ-3.</w:t>
      </w:r>
    </w:p>
    <w:p w14:paraId="0BCC79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от 14.06.1939 г. Грамзавод передан в ведение НКБ и получил наименование ГС завод № 260. В том же году он перепрофилирован на выпуск взрывателей для минометных выстрелов, артиллерийских снарядов и авиабомб. Мощность производства (перед эвакуацией): взрывателей: М-50 - 14,4 млн. шт. в год, МД-5 - 3 млн. шт., К-20 - 12 млн. шт., запальных трубок Норденфельда - 6 млн. шт.</w:t>
      </w:r>
    </w:p>
    <w:p w14:paraId="3E6EAB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ЦК ВКП (б) № П-34-174 от 2.07.1941 г. и Совета по эвакуации № СЭ-12сс от 3.07.1941 г. на площадку завода № 260 эвакуирован ГСИ-44 2ГУ НКБ и преобразован в КБ завода. В 10.1941 г. завод № 260 2ГУ полностью (производство М-50, ЗТН, К-20, МД-5, МГ-8, 1096 ед. оборудования, 1535 чел.) эвакуирован в Молотов, где продолжил действовать под своим номером; последний эшелон прибыл в 12.1941 г. В 03.1942 г. завод выдал первую продукцию на новом месте. В годы войны выпускал взрыватели для сухопутной и морской артиллерии, авиационных пушек, минометных мин и авиабомб, в т.ч. для противотанковой кумулятивной.</w:t>
      </w:r>
    </w:p>
    <w:p w14:paraId="36B07A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3.01.1942 г. вышло постановление СНК «О прекращении эвакуации и возобновлении работы ГСЗ № 260 во Владимире». 24.02.1942 г. вышло постановление ГКО № 1345 о возврате части эвакуированного оборудования и кадров завода № 260. По приказу НКБ в 04.1942 г. на старом месте во Владимире образован завод, которому присвоено наименование ГЗ № 521. В 12.1942-09.1944 г. завод № 260 - в ведении 2ГУ НКБ. Имел обозначение «п/я 334» (1943 г.).</w:t>
      </w:r>
    </w:p>
    <w:p w14:paraId="2B4EF2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составе завода цехи (1943 г.): основные: корпуса: литейный № 7, прокатный № 6, № 1; вспомогательные: заготовительный. Количество оборудования- 856 ед.</w:t>
      </w:r>
    </w:p>
    <w:p w14:paraId="0EB209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21.04.1944 г. вышло распоряжение ГКО № 5698 о мерах по обеспечению увеличения производства на заводе взрывателей для артснарядов.</w:t>
      </w:r>
    </w:p>
    <w:p w14:paraId="5F254C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 СМ СССР от 20.10.1961 г. завод определен головным по производству неконтактных взрывателей для УРВБ.</w:t>
      </w:r>
    </w:p>
    <w:p w14:paraId="34E362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Далее- это Пермский велосипедный завод. В 2003 г. ОАО «Велта»- в ведении Росбоеприпаса.</w:t>
      </w:r>
    </w:p>
    <w:p w14:paraId="1251D7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(2000 г.): механические взрыватели, вышибные устройства для 23- и 30-мм авиационных снарядов; ударно-дистанционные взрыватели к гранатам (ручным, для гранатометов) и капсулам огнеметов; электромеханические взрыватели для ПЛ торпед, снарядов, реактивных мин; системы контактных датчиков и предохранительно-исполнительных механизмов для УРВБ и УРВП; предконтактные взрывателыше устройства яяя ПЛ ракет; неконтактные взрыватели для УРВБ и противотанковых мин; велосипеды: дорожные, универсальные, снегокаты, велотренажеры.</w:t>
      </w:r>
    </w:p>
    <w:p w14:paraId="68D61C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(1943 г.): производственная- 16080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вспомогательная- 3750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790AA6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(09.1941 г.)- 4880 чел., (12.1942 г.)- 3191 чел.</w:t>
      </w:r>
    </w:p>
    <w:p w14:paraId="28ADD4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(1933 г.-)- К.Ф. Гроднер, (1940-04.1943 г.-)- А.П. Баталин.</w:t>
      </w:r>
      <w:r w:rsidRPr="0044524F">
        <w:rPr>
          <w:rFonts w:ascii="Times New Roman" w:hAnsi="Times New Roman"/>
          <w:color w:val="000000" w:themeColor="text1"/>
          <w:sz w:val="16"/>
          <w:szCs w:val="16"/>
          <w:vertAlign w:val="superscript"/>
        </w:rPr>
        <w:t>101</w:t>
      </w:r>
      <w:r w:rsidRPr="0044524F">
        <w:rPr>
          <w:rFonts w:ascii="Times New Roman" w:hAnsi="Times New Roman"/>
          <w:color w:val="000000" w:themeColor="text1"/>
          <w:sz w:val="16"/>
          <w:szCs w:val="16"/>
        </w:rPr>
        <w:t xml:space="preserve"> Гендиректор (2000 г.)- С. Семенов.</w:t>
      </w:r>
    </w:p>
    <w:p w14:paraId="2FCB62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гендиректора (2000 г.)- И. Кожевников.</w:t>
      </w:r>
    </w:p>
    <w:p w14:paraId="289532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(ВОВ)- В.Я. Далингер.</w:t>
      </w:r>
    </w:p>
    <w:p w14:paraId="7EB201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технолог (1943 г.-)- В.Ф. Маркелов. (с 1951 г. назначен гл. инженером родственного завода, а затем зам. директора по научной части крупного НИИ; на этой должности работал 27 лет). Гл. механик (04.1943 г.)- Яковлев.</w:t>
      </w:r>
    </w:p>
    <w:p w14:paraId="0E0088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цехов: (ВОВ)- В.Ф. Маркелов.</w:t>
      </w:r>
    </w:p>
    <w:p w14:paraId="459311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мобилизационно-планового (04.1943 г.)- Груздев.</w:t>
      </w:r>
    </w:p>
    <w:p w14:paraId="36049E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Производство:</w:t>
      </w:r>
      <w:r w:rsidRPr="0044524F">
        <w:rPr>
          <w:rFonts w:ascii="Times New Roman" w:hAnsi="Times New Roman"/>
          <w:color w:val="000000" w:themeColor="text1"/>
          <w:sz w:val="16"/>
          <w:szCs w:val="16"/>
        </w:rPr>
        <w:t xml:space="preserve"> взрыватели: М-50, МД-5, К-20 (11982).</w:t>
      </w:r>
    </w:p>
    <w:p w14:paraId="6A376B0A" w14:textId="77777777" w:rsidR="001E4A85" w:rsidRPr="0044524F" w:rsidRDefault="001E4A85" w:rsidP="009654CF">
      <w:pPr>
        <w:pStyle w:val="rtejustify"/>
        <w:spacing w:before="0" w:after="0"/>
        <w:rPr>
          <w:rStyle w:val="af0"/>
          <w:bCs/>
          <w:i w:val="0"/>
          <w:color w:val="000000" w:themeColor="text1"/>
          <w:sz w:val="16"/>
          <w:szCs w:val="16"/>
        </w:rPr>
      </w:pPr>
    </w:p>
    <w:p w14:paraId="6B125983" w14:textId="77777777" w:rsidR="001E4A85" w:rsidRPr="0044524F" w:rsidRDefault="001E4A85" w:rsidP="009654CF">
      <w:pPr>
        <w:pStyle w:val="rtejustify"/>
        <w:spacing w:before="0" w:after="0"/>
        <w:rPr>
          <w:color w:val="000000" w:themeColor="text1"/>
          <w:sz w:val="16"/>
          <w:szCs w:val="16"/>
        </w:rPr>
      </w:pPr>
      <w:r w:rsidRPr="0044524F">
        <w:rPr>
          <w:rStyle w:val="af0"/>
          <w:bCs/>
          <w:i w:val="0"/>
          <w:color w:val="000000" w:themeColor="text1"/>
          <w:sz w:val="16"/>
          <w:szCs w:val="16"/>
        </w:rPr>
        <w:t>29 декабря 1933 г. /1 января 1934 г 1934 вышел приказ НКТП № Зсс.</w:t>
      </w:r>
      <w:r w:rsidRPr="0044524F">
        <w:rPr>
          <w:color w:val="000000" w:themeColor="text1"/>
          <w:sz w:val="16"/>
          <w:szCs w:val="16"/>
        </w:rPr>
        <w:t xml:space="preserve"> О выпуске 21 торпеды на заводе «Двигатель». (РГАЭ. Ф. 7297. Оп. 38. Д. 94. Л. 18) (15246).</w:t>
      </w:r>
    </w:p>
    <w:p w14:paraId="3A00F299" w14:textId="77777777" w:rsidR="001E4A85" w:rsidRPr="0044524F" w:rsidRDefault="001E4A85" w:rsidP="009654CF">
      <w:pPr>
        <w:pStyle w:val="rtejustify"/>
        <w:spacing w:before="0" w:after="0"/>
        <w:rPr>
          <w:color w:val="000000" w:themeColor="text1"/>
          <w:sz w:val="16"/>
          <w:szCs w:val="16"/>
        </w:rPr>
      </w:pPr>
    </w:p>
    <w:p w14:paraId="5167A2BC" w14:textId="77777777" w:rsidR="002E2083"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0FDAE742"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BE684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поступил новый приказ -торпедоносные эскадрильи вооружать ТБ-1 и лишь одну, 110-ю на Дальнем Востоке - ТБ-3. В итоге заказ на мосты сократили до 15 экземпляров, но в январе 1934 г., наконец, пришли к окончательному решению - 30 мостов для двух эскадрилий (9807).</w:t>
      </w:r>
    </w:p>
    <w:p w14:paraId="3566AA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EB9B7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поступил новый приказ - торпедоносные эскадрильи вооружать ТБ-1 и лишь одну, 110-ю на Дальнем Востоке - ТБ-3 (12036).</w:t>
      </w:r>
    </w:p>
    <w:p w14:paraId="75C34C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053FD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в округа поступает новый план - сформировать восемь эскадрилий (из них семь - на ТБ-1). Почти все они должны были дислоцироваться на Дальнем Востоке. Но эти планы не были реализованы.</w:t>
      </w:r>
    </w:p>
    <w:p w14:paraId="1131AA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ТБ-1П активно использовались на Балтике, но из-за нехватки мин и торпед фактически служили только как разведчики и бомбардировщики. Зимой их переставляли на лыжи или колеса. В сентябре 1934 г. 122-ю эскадрилью привлекли к поискам затонувшей в Финском заливе после взрыва подводной лодки Л-2 ("Сталинец"). Ее нашел и помог вывезти раненых экипаж комэска A.M. Вирака.</w:t>
      </w:r>
    </w:p>
    <w:p w14:paraId="396368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Реально на 1 сентября 1936 г. в составе советской минно-торпедной авиации было всего шесть эскадрилий, из них четыре - на ТБ-1 (на Балтийском флоте две - 121-я и 122-я; на Черном море - одна и неполная, 34-я; и одна, 109-я, - на Тихом океане). Последнюю на следующий год перевооружили на ТБ-3. Еще 12 самолетов имелись в школе в Ейске.</w:t>
      </w:r>
    </w:p>
    <w:p w14:paraId="35B9F3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последующие два года положение мало улучшилось. 34-я эскадрилья в Евпатории сдала изношенные ТБ-1П, получив Р-5Т. На 1 января 1938 г. в боевых частях морской авиации насчитывалось 38 ТБ-1 и ТБ-1 П. В том же году поступило распоряжение их списать или сдать во вспомогательные подразделения.</w:t>
      </w:r>
    </w:p>
    <w:p w14:paraId="39B0BF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25 сентября 1940 г. у морских летчиков еще сохранялись 14 ТБ-1, из которых могли летать только шесть. Все они использовались в учебных целях или для транспортных перевозок.</w:t>
      </w:r>
    </w:p>
    <w:p w14:paraId="4CA151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Подготовка летчиков морской авиации велась в Ейске. В 1932 г. находившаяся там школа получила первые ТБ-1. К январю 1935 г. там имелось уже 26 самолетов этого типа (12001).</w:t>
      </w:r>
    </w:p>
    <w:p w14:paraId="63B2D1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E1A4740" w14:textId="77777777" w:rsidR="00F22F48" w:rsidRPr="0044524F" w:rsidRDefault="00F22F48"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12C429C" w14:textId="77777777" w:rsidR="00F22F48" w:rsidRPr="0044524F" w:rsidRDefault="00F22F48"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A0424C8" w14:textId="77777777" w:rsidR="00F22F48" w:rsidRPr="0044524F" w:rsidRDefault="00F22F4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29 декабря 1933 г. было принято обширное постановление, представленное лично Кагановичем в эмоциональной речи на собрании метростроителей и рабочих московских заводов{507}.Постановление 29 декабря 1933 г. наметило решающий прорыв. В нем для каждой шахты и дистанции устанавливались жесткие сроки завершения строительства, давались детальные указания по оптимальной организации и созданию наиболее благоприятных условий для проведения работ. </w:t>
      </w:r>
      <w:r w:rsidRPr="0044524F">
        <w:rPr>
          <w:rFonts w:ascii="Times New Roman" w:hAnsi="Times New Roman"/>
          <w:color w:val="000000" w:themeColor="text1"/>
          <w:sz w:val="16"/>
          <w:szCs w:val="16"/>
        </w:rPr>
        <w:lastRenderedPageBreak/>
        <w:t>Руководству Метростроя и его парторганизации постановление на всем протяжении 1934 г. служило основанием и директивой, когда речь заходила о форсировании темпов и требованиях выполнения плана. В оставшиеся месяцы предстояло повысить темп земляных работ в 5 раз, а бетонных — даже в 9 раз{508}.</w:t>
      </w:r>
    </w:p>
    <w:p w14:paraId="5C03B26B" w14:textId="77777777" w:rsidR="00F22F48" w:rsidRPr="0044524F" w:rsidRDefault="00F22F4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Прежде Каганович внес ясность в еще один важный вопрос строительства, а именно по поводу трассы метрополитена на Арбате. Политбюро 20 марта 1933 г. распорядилось вести работы на Арбате закрытым способом. Метрострой в связи с этим разработал технический проект сооружения метро парижским методом, непосредственно под уличной мостовой. Однако на Арбате сложились особенно неблагоприятные геологические условия: до глубины 11 м грунт состоял из сухого песка, а под ним находились насыщенные водой плывуны{509}.Кроме того, при парижском методе требовалось переместить линии городских коммуникаций, что привело бы к длительной блокировке улиц. 20 октября 1933 г. в Моссовете состоялось совещание с участием Кагановича и Хрущева, на котором развернулась острая дискуссия{510}.</w:t>
      </w:r>
    </w:p>
    <w:p w14:paraId="14E0A1B1" w14:textId="77777777" w:rsidR="00F22F48" w:rsidRPr="0044524F" w:rsidRDefault="00F22F4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Каганович поставил предварительное условие, чтобы линии городских коммуникаций остались неповрежденными и не создавалось помех для уличного движения. Населениерайона настроено лояльно и терпеливо, но надо иметь в виду его реакцию, тем более что Арбат густо населен{511}.Там живет интеллигенция, писатели и художники; нельзя оставить этих людей без света или канализации{512}.Каганович указал проектировщикам Метростроя на то, что при советских отношениях собственности они не связаны направлением улиц, но без всяких формальностей могут тянуть трассу через дворовые участки. Комиссии под председательством Абакумова было поручено разработать несколько вариантов прокладки линии, в том числе и неглубокого залегания, начинающейся под библиотекой Ленина, проходящей далее по задним дворам левее улицы Коминтерна, через Арбатскую пл. и далее по дворовым участкам правой стороны Арбата{513}.</w:t>
      </w:r>
    </w:p>
    <w:p w14:paraId="08A7CF95" w14:textId="77777777" w:rsidR="00F22F48" w:rsidRPr="0044524F" w:rsidRDefault="00F22F4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ноября 1933 г. комиссия Абакумова представила проект, большинством голосов высказавшись за обходной маршрут, поскольку иначе не было гарантии сохранить неповрежденными линии городских коммуникаций. Для проходки тоннелей под домами, которые занимали половину трассы, инженер Ломов предложил траншейный способ, который уже успешно применялся в Мадриде и Париже. Каганович, Хрущев, а также Ротерт. поддержали это предложение. Несмотря на сопротивление инженеров Гертнера и Шелюбского, которые опасались обрушения домов, было решено разработать точный маршрут и технический проект обходной линии{514}.</w:t>
      </w:r>
    </w:p>
    <w:p w14:paraId="28D33729" w14:textId="77777777" w:rsidR="00F22F48" w:rsidRPr="0044524F" w:rsidRDefault="00F22F4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ноября 1933 г. Каганович на месте ознакомился с трассой прокладки тоннеля на Арбате и дал согласие на начало работ. Ломову удалось убедить Кагановича, что в русских условиях траншейный способ является идеальным: не требовалось крупной механизации, работу можно было организовать «системой мелкого крестьянского хозяйства», с заступом, кайлом и молотом{515} (18299).</w:t>
      </w:r>
    </w:p>
    <w:p w14:paraId="49F7E3EE" w14:textId="77777777" w:rsidR="00F22F48" w:rsidRPr="0044524F" w:rsidRDefault="00F22F48" w:rsidP="009654CF">
      <w:pPr>
        <w:spacing w:after="0" w:line="240" w:lineRule="auto"/>
        <w:jc w:val="both"/>
        <w:rPr>
          <w:rFonts w:ascii="Times New Roman" w:hAnsi="Times New Roman"/>
          <w:color w:val="000000" w:themeColor="text1"/>
          <w:sz w:val="16"/>
          <w:szCs w:val="16"/>
        </w:rPr>
      </w:pPr>
    </w:p>
    <w:p w14:paraId="45EFF89A"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2210F4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954D1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В.М.М. и М.Литвинов в своих выступлениях на заседании ЦК утверждали, что гитлеровская Германия представляет угрозу безопасности СССР. Вследствие ухудшения советско-германский отношений сворачивается ВТС (3908,341).</w:t>
      </w:r>
    </w:p>
    <w:p w14:paraId="75ED04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0DE2A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на 6 сессии ЦИК СССР Литвинов изложил принципы советской внешней политики на ближайшие годы:</w:t>
      </w:r>
    </w:p>
    <w:p w14:paraId="0608BE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ненападение и соблюдение нейтралитета в любом конфликте,</w:t>
      </w:r>
    </w:p>
    <w:p w14:paraId="1889FD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политика умиротворения в отношении Германии и Японии до тех пор, пока это не станет доказательством слабости,</w:t>
      </w:r>
    </w:p>
    <w:p w14:paraId="00BEA6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участие в усилиях по созданию системы коллективной безопасности,</w:t>
      </w:r>
    </w:p>
    <w:p w14:paraId="2D01C7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открытость в отношении западных демократий с рядом марксистских оговорок (3240).</w:t>
      </w:r>
    </w:p>
    <w:p w14:paraId="3848D7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был новый курс.</w:t>
      </w:r>
    </w:p>
    <w:p w14:paraId="5D813E9B"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531B2D0" w14:textId="77777777" w:rsidR="001960CB" w:rsidRPr="00142305" w:rsidRDefault="001960CB" w:rsidP="001960CB">
      <w:pPr>
        <w:pStyle w:val="28"/>
        <w:spacing w:before="0" w:line="240" w:lineRule="auto"/>
        <w:jc w:val="both"/>
        <w:rPr>
          <w:rFonts w:ascii="Times New Roman" w:hAnsi="Times New Roman" w:cs="Times New Roman"/>
          <w:color w:val="0070C0"/>
          <w:sz w:val="16"/>
          <w:szCs w:val="16"/>
        </w:rPr>
      </w:pPr>
      <w:r w:rsidRPr="00142305">
        <w:rPr>
          <w:rStyle w:val="2a"/>
          <w:rFonts w:ascii="Times New Roman" w:eastAsia="Tahoma" w:hAnsi="Times New Roman" w:cs="Times New Roman"/>
          <w:color w:val="0070C0"/>
          <w:sz w:val="16"/>
          <w:szCs w:val="16"/>
        </w:rPr>
        <w:t>29 декабря 1933 года нарком иностранных дел СССР М.М. Литвинов на сес</w:t>
      </w:r>
      <w:r w:rsidRPr="00142305">
        <w:rPr>
          <w:rStyle w:val="2a"/>
          <w:rFonts w:ascii="Times New Roman" w:eastAsia="Tahoma" w:hAnsi="Times New Roman" w:cs="Times New Roman"/>
          <w:color w:val="0070C0"/>
          <w:sz w:val="16"/>
          <w:szCs w:val="16"/>
        </w:rPr>
        <w:softHyphen/>
        <w:t xml:space="preserve">сии ЦИК СССР так охарактеризовал уровень контактов с Турцией: </w:t>
      </w:r>
      <w:r w:rsidRPr="00142305">
        <w:rPr>
          <w:rStyle w:val="2a"/>
          <w:rFonts w:ascii="Times New Roman" w:hAnsi="Times New Roman" w:cs="Times New Roman"/>
          <w:color w:val="0070C0"/>
          <w:sz w:val="16"/>
          <w:szCs w:val="16"/>
        </w:rPr>
        <w:t>«Образцом отношений с иностранными государствами мы счита</w:t>
      </w:r>
      <w:r w:rsidRPr="00142305">
        <w:rPr>
          <w:rStyle w:val="2a"/>
          <w:rFonts w:ascii="Times New Roman" w:hAnsi="Times New Roman" w:cs="Times New Roman"/>
          <w:color w:val="0070C0"/>
          <w:sz w:val="16"/>
          <w:szCs w:val="16"/>
        </w:rPr>
        <w:softHyphen/>
        <w:t>ем наши отношения с великой Турецкой Респу</w:t>
      </w:r>
      <w:r w:rsidRPr="00142305">
        <w:rPr>
          <w:rStyle w:val="2a"/>
          <w:rFonts w:ascii="Times New Roman" w:hAnsi="Times New Roman" w:cs="Times New Roman"/>
          <w:color w:val="0070C0"/>
          <w:sz w:val="16"/>
          <w:szCs w:val="16"/>
        </w:rPr>
        <w:softHyphen/>
        <w:t>бликой. В течение свыше десяти лет эти от</w:t>
      </w:r>
      <w:r w:rsidRPr="00142305">
        <w:rPr>
          <w:rStyle w:val="2a"/>
          <w:rFonts w:ascii="Times New Roman" w:hAnsi="Times New Roman" w:cs="Times New Roman"/>
          <w:color w:val="0070C0"/>
          <w:sz w:val="16"/>
          <w:szCs w:val="16"/>
        </w:rPr>
        <w:softHyphen/>
        <w:t>ношения улучшались из года в год, достигнув истинной дружбы… Политика дружбы и взаим</w:t>
      </w:r>
      <w:r w:rsidRPr="00142305">
        <w:rPr>
          <w:rStyle w:val="2a"/>
          <w:rFonts w:ascii="Times New Roman" w:hAnsi="Times New Roman" w:cs="Times New Roman"/>
          <w:color w:val="0070C0"/>
          <w:sz w:val="16"/>
          <w:szCs w:val="16"/>
        </w:rPr>
        <w:softHyphen/>
        <w:t>ного доверия создает почву для плодотворно</w:t>
      </w:r>
      <w:r w:rsidRPr="00142305">
        <w:rPr>
          <w:rStyle w:val="2a"/>
          <w:rFonts w:ascii="Times New Roman" w:hAnsi="Times New Roman" w:cs="Times New Roman"/>
          <w:color w:val="0070C0"/>
          <w:sz w:val="16"/>
          <w:szCs w:val="16"/>
        </w:rPr>
        <w:softHyphen/>
        <w:t>го сотрудничества и на международной аре</w:t>
      </w:r>
      <w:r w:rsidRPr="00142305">
        <w:rPr>
          <w:rStyle w:val="2a"/>
          <w:rFonts w:ascii="Times New Roman" w:hAnsi="Times New Roman" w:cs="Times New Roman"/>
          <w:color w:val="0070C0"/>
          <w:sz w:val="16"/>
          <w:szCs w:val="16"/>
        </w:rPr>
        <w:softHyphen/>
        <w:t>не. Каждая сторона, выдвигая предложение, на</w:t>
      </w:r>
      <w:r w:rsidRPr="00142305">
        <w:rPr>
          <w:rStyle w:val="2a"/>
          <w:rFonts w:ascii="Times New Roman" w:hAnsi="Times New Roman" w:cs="Times New Roman"/>
          <w:color w:val="0070C0"/>
          <w:sz w:val="16"/>
          <w:szCs w:val="16"/>
        </w:rPr>
        <w:softHyphen/>
        <w:t>правленное на упрочение мира, может зара</w:t>
      </w:r>
      <w:r w:rsidRPr="00142305">
        <w:rPr>
          <w:rStyle w:val="2a"/>
          <w:rFonts w:ascii="Times New Roman" w:hAnsi="Times New Roman" w:cs="Times New Roman"/>
          <w:color w:val="0070C0"/>
          <w:sz w:val="16"/>
          <w:szCs w:val="16"/>
        </w:rPr>
        <w:softHyphen/>
        <w:t>нее рассчитывать на поддержку и содействие другой стороны» (25103).</w:t>
      </w:r>
    </w:p>
    <w:p w14:paraId="5EA59014" w14:textId="77777777" w:rsidR="001960CB" w:rsidRPr="00142305" w:rsidRDefault="001960CB" w:rsidP="001960CB">
      <w:pPr>
        <w:spacing w:after="0" w:line="240" w:lineRule="auto"/>
        <w:jc w:val="both"/>
        <w:rPr>
          <w:rFonts w:ascii="Times New Roman" w:hAnsi="Times New Roman"/>
          <w:color w:val="0070C0"/>
          <w:sz w:val="16"/>
          <w:szCs w:val="16"/>
        </w:rPr>
      </w:pPr>
    </w:p>
    <w:p w14:paraId="424B9953"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6945D6E6"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75215E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декабря 1933 румынскими фашистами убит премьер-министр Румынии И. Дука (4962).</w:t>
      </w:r>
    </w:p>
    <w:p w14:paraId="631F7C1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49E930A9"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1FCB23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64DB4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декабря 1933 состоялся первый полет И-16 (62,291). С М-22 - В.П.Чкалов (80,155) и начались заводские испытания (2287,131).</w:t>
      </w:r>
    </w:p>
    <w:p w14:paraId="0E091E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EDEE6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30 декабря 1933 по 17 февраля 1934 проходили заводские испытания И-16 М-22 (7717, 19).</w:t>
      </w:r>
    </w:p>
    <w:p w14:paraId="183F60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252C3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декабря 1933 г. В.П.Чкалов поднял ЦКБ-12 в воз</w:t>
      </w:r>
      <w:r w:rsidRPr="0044524F">
        <w:rPr>
          <w:rFonts w:ascii="Times New Roman" w:hAnsi="Times New Roman"/>
          <w:color w:val="000000" w:themeColor="text1"/>
          <w:sz w:val="16"/>
          <w:szCs w:val="16"/>
        </w:rPr>
        <w:softHyphen/>
        <w:t>дух. «Готовится к первому полету машина. Наша! -вспоминала Т.А.Молькова, принимавшая участие в про</w:t>
      </w:r>
      <w:r w:rsidRPr="0044524F">
        <w:rPr>
          <w:rFonts w:ascii="Times New Roman" w:hAnsi="Times New Roman"/>
          <w:color w:val="000000" w:themeColor="text1"/>
          <w:sz w:val="16"/>
          <w:szCs w:val="16"/>
        </w:rPr>
        <w:softHyphen/>
        <w:t>ектировании ЦКБ-12. - Мало что может сравниться с тем чувством, которое мы испытывали во время первого вы</w:t>
      </w:r>
      <w:r w:rsidRPr="0044524F">
        <w:rPr>
          <w:rFonts w:ascii="Times New Roman" w:hAnsi="Times New Roman"/>
          <w:color w:val="000000" w:themeColor="text1"/>
          <w:sz w:val="16"/>
          <w:szCs w:val="16"/>
        </w:rPr>
        <w:softHyphen/>
        <w:t>лета нашего детища. Здесь и радость, и волнения. Все, «от мала до велика», лихорадочно перебирают в памяти промахи в работе, действительные и воображаемые, хо</w:t>
      </w:r>
      <w:r w:rsidRPr="0044524F">
        <w:rPr>
          <w:rFonts w:ascii="Times New Roman" w:hAnsi="Times New Roman"/>
          <w:color w:val="000000" w:themeColor="text1"/>
          <w:sz w:val="16"/>
          <w:szCs w:val="16"/>
        </w:rPr>
        <w:softHyphen/>
        <w:t>тя ясно, что теперь уже все равно поздно, ничего испра</w:t>
      </w:r>
      <w:r w:rsidRPr="0044524F">
        <w:rPr>
          <w:rFonts w:ascii="Times New Roman" w:hAnsi="Times New Roman"/>
          <w:color w:val="000000" w:themeColor="text1"/>
          <w:sz w:val="16"/>
          <w:szCs w:val="16"/>
        </w:rPr>
        <w:softHyphen/>
        <w:t>вить нельзя. И никакие административные запреты и угрозы не могут никого удержать на рабочих местах. Все работники, как один, выбегают на летное поле, а кому это не удается, занимают позиции повыше на заводском дворе, чтобы увидеть взлет и посадку. Вот выходит Ни</w:t>
      </w:r>
      <w:r w:rsidRPr="0044524F">
        <w:rPr>
          <w:rFonts w:ascii="Times New Roman" w:hAnsi="Times New Roman"/>
          <w:color w:val="000000" w:themeColor="text1"/>
          <w:sz w:val="16"/>
          <w:szCs w:val="16"/>
        </w:rPr>
        <w:softHyphen/>
        <w:t>колай Николаевич. Осеняет себя крестным знамением. Дается команда на рулежку и взлет... Пошла!... Оторва лась!... Вроде бы все благополучно. Приземлилась!... И сразу громадное облегчение. Все в порядке!» (10667).</w:t>
      </w:r>
    </w:p>
    <w:p w14:paraId="4C1D4E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B53B9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30 декабря 1933 г. летчик-испытатель авиазавода №39 Валерий Чкалов впервые поднял в воздух ЦКБ-12 с двигателем М-22. В первых числах января 1934 г. состоялся дебют ЦКБ-12бисс "Райт-Циклон" F-2. В воздухе обе машины вели себя практически одинаково, управлять ими, по мнению Чкалова, оказалось трудно и непривычно. Весь январь продолжалась их доводка, в этот период провели основные заводские испытания. Уже в феврале 1934 г. самолеты подготовили для государственных испытаний, целью которых являлось определение основных летных характеристик ЦКБ-12 и окончательное решение о запуске его в серийное производство (12015). </w:t>
      </w:r>
    </w:p>
    <w:p w14:paraId="760B9E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EE1E53F"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декабря 1933 года В.П. Чкалов поднял ЦКБ-12 М-22 в воздух.</w:t>
      </w:r>
    </w:p>
    <w:p w14:paraId="4B247DE6"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«Готовится к первому полету машина. Наша!», - вспоми</w:t>
      </w:r>
      <w:r w:rsidRPr="0044524F">
        <w:rPr>
          <w:rFonts w:ascii="Times New Roman" w:hAnsi="Times New Roman"/>
          <w:color w:val="000000" w:themeColor="text1"/>
          <w:sz w:val="16"/>
          <w:szCs w:val="16"/>
        </w:rPr>
        <w:softHyphen/>
        <w:t>нала Т.А. Молькова, принимавшая участие в проектировании ЦКБ-12. - «Мало что может сравниться с тем чувством, кото</w:t>
      </w:r>
      <w:r w:rsidRPr="0044524F">
        <w:rPr>
          <w:rFonts w:ascii="Times New Roman" w:hAnsi="Times New Roman"/>
          <w:color w:val="000000" w:themeColor="text1"/>
          <w:sz w:val="16"/>
          <w:szCs w:val="16"/>
        </w:rPr>
        <w:softHyphen/>
        <w:t>рое мы испытывали во время первого вылета нашего детища. Здесь и радость, и волнения. Все, «от мала до велика», лихора</w:t>
      </w:r>
      <w:r w:rsidRPr="0044524F">
        <w:rPr>
          <w:rFonts w:ascii="Times New Roman" w:hAnsi="Times New Roman"/>
          <w:color w:val="000000" w:themeColor="text1"/>
          <w:sz w:val="16"/>
          <w:szCs w:val="16"/>
        </w:rPr>
        <w:softHyphen/>
        <w:t>дочно перебирают в памяти промахи в работе, действительные и воображаемые, хотя ясно, что теперь уже все равно поздно, ничего исправить нельзя. И никакие административные запреты и угрозы не могут никого удержать на рабочих местах. Все работники, как один, выбегают на летное поле, а кому это не удается, занимают позиции повыше на заводском дворе, чтобы увидеть взлет и посадку. Вот выходит Николай Николаевич. Осе</w:t>
      </w:r>
      <w:r w:rsidRPr="0044524F">
        <w:rPr>
          <w:rFonts w:ascii="Times New Roman" w:hAnsi="Times New Roman"/>
          <w:color w:val="000000" w:themeColor="text1"/>
          <w:sz w:val="16"/>
          <w:szCs w:val="16"/>
        </w:rPr>
        <w:softHyphen/>
        <w:t>няет себя крестным знамением. Дается команда на рулежку и взлет... Пошла!... Оторвалась!... Вроде бы все благополучно. При</w:t>
      </w:r>
      <w:r w:rsidRPr="0044524F">
        <w:rPr>
          <w:rFonts w:ascii="Times New Roman" w:hAnsi="Times New Roman"/>
          <w:color w:val="000000" w:themeColor="text1"/>
          <w:sz w:val="16"/>
          <w:szCs w:val="16"/>
        </w:rPr>
        <w:softHyphen/>
        <w:t>землилась!... И сразу громадное облегчение. Все в порядке!» (23455).</w:t>
      </w:r>
    </w:p>
    <w:p w14:paraId="51FEBC7E" w14:textId="77777777" w:rsidR="00E31131" w:rsidRPr="0044524F" w:rsidRDefault="00E31131" w:rsidP="009654CF">
      <w:pPr>
        <w:spacing w:after="0" w:line="240" w:lineRule="auto"/>
        <w:jc w:val="both"/>
        <w:rPr>
          <w:rFonts w:ascii="Times New Roman" w:hAnsi="Times New Roman"/>
          <w:color w:val="000000" w:themeColor="text1"/>
          <w:sz w:val="16"/>
          <w:szCs w:val="16"/>
        </w:rPr>
      </w:pPr>
    </w:p>
    <w:p w14:paraId="36CE601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декабря 1933 был оформлен первый заказ на 50 моторов Циклон фирме Кертисс Райт</w:t>
      </w:r>
      <w:r w:rsidRPr="0044524F">
        <w:rPr>
          <w:rFonts w:ascii="Times New Roman" w:hAnsi="Times New Roman"/>
          <w:smallCaps/>
          <w:color w:val="000000" w:themeColor="text1"/>
          <w:sz w:val="16"/>
          <w:szCs w:val="16"/>
        </w:rPr>
        <w:t xml:space="preserve">, </w:t>
      </w:r>
      <w:r w:rsidRPr="0044524F">
        <w:rPr>
          <w:rFonts w:ascii="Times New Roman" w:hAnsi="Times New Roman"/>
          <w:color w:val="000000" w:themeColor="text1"/>
          <w:sz w:val="16"/>
          <w:szCs w:val="16"/>
        </w:rPr>
        <w:t>из которых 15 готовых моторов и 35 комплектов деталей, полуфабрикатов и заготовок в разных стадиях готовности. Заказ оформлен со сроками поставки в САСШ:</w:t>
      </w:r>
    </w:p>
    <w:p w14:paraId="2649165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- 1 мотор</w:t>
      </w:r>
    </w:p>
    <w:p w14:paraId="5CE9F19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январе - 5 </w:t>
      </w:r>
    </w:p>
    <w:p w14:paraId="15E6621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феврале - 10 (в том числе 4 с редукт.)</w:t>
      </w:r>
    </w:p>
    <w:p w14:paraId="424CAD5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марте детали по спец. списку.</w:t>
      </w:r>
    </w:p>
    <w:p w14:paraId="12A3D9C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покуплись дюймовые, детали дюймовые с переделками, допускающими возможностьих постановки на метрические моторы</w:t>
      </w:r>
      <w:r w:rsidRPr="0044524F">
        <w:rPr>
          <w:rFonts w:ascii="Times New Roman" w:hAnsi="Times New Roman"/>
          <w:smallCaps/>
          <w:color w:val="000000" w:themeColor="text1"/>
          <w:sz w:val="16"/>
          <w:szCs w:val="16"/>
        </w:rPr>
        <w:t>. Ви</w:t>
      </w:r>
      <w:r w:rsidRPr="0044524F">
        <w:rPr>
          <w:rFonts w:ascii="Times New Roman" w:hAnsi="Times New Roman"/>
          <w:color w:val="000000" w:themeColor="text1"/>
          <w:sz w:val="16"/>
          <w:szCs w:val="16"/>
        </w:rPr>
        <w:t>нты к 16 моторам (2266,171).</w:t>
      </w:r>
    </w:p>
    <w:p w14:paraId="32E646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72FCC07" w14:textId="77777777" w:rsidR="001E4A85" w:rsidRPr="0044524F" w:rsidRDefault="001E4A85" w:rsidP="009654CF">
      <w:pPr>
        <w:spacing w:after="0" w:line="240" w:lineRule="auto"/>
        <w:jc w:val="both"/>
        <w:rPr>
          <w:rFonts w:ascii="Times New Roman" w:hAnsi="Times New Roman"/>
          <w:color w:val="000000" w:themeColor="text1"/>
          <w:sz w:val="16"/>
          <w:szCs w:val="16"/>
        </w:rPr>
      </w:pPr>
      <w:r w:rsidRPr="0044524F">
        <w:rPr>
          <w:rFonts w:ascii="Times New Roman" w:hAnsi="Times New Roman"/>
          <w:bCs/>
          <w:color w:val="000000" w:themeColor="text1"/>
          <w:sz w:val="16"/>
          <w:szCs w:val="16"/>
        </w:rPr>
        <w:t>30 декабря</w:t>
      </w:r>
      <w:r w:rsidRPr="0044524F">
        <w:rPr>
          <w:rFonts w:ascii="Times New Roman" w:hAnsi="Times New Roman"/>
          <w:color w:val="000000" w:themeColor="text1"/>
          <w:sz w:val="16"/>
          <w:szCs w:val="16"/>
        </w:rPr>
        <w:t xml:space="preserve"> в 1933 году первый полёт истребителя-моноплана «И-16» конструкции Н.Н.Поликарпова с «М-22», В.П.Чкалов. Для своего времени это был лучший истребитель в своем классе, на нём В.П.Чкалов впервые в мире выполнил восходящий штопор. Силуэт его легко угадывался на плакатах, изображающих вождей могучего государства, стаи этих маленьких самолетиков наполняли детские книги, а в кинофильмах предвоенной поры крутили немыслимые фигуры высшего пилотажа. Все это - о первом скоростном истребителе – «И-16» конструкции Поликарпова. Непривычно обрубленный спереди фюзеляж, плавно сопряженный мощными зализами с широкими крыльями, массивное оперение, убирающееся шасси, придавали «И-16» неповторимый облик фантастического лобастого насекомого. Советские летчики называли ею "ишачком", любили его и ругали, как любят и ругают привычный предмет, приносящий не только радость, но и огорчения. Впервые поднял его в воздух летчик-испытатель авиазавода №39 Валерий Чкалов. Уже в феврале 1934 года обе опытные машины были подготовлены для первого этапа </w:t>
      </w:r>
      <w:r w:rsidRPr="0044524F">
        <w:rPr>
          <w:rFonts w:ascii="Times New Roman" w:hAnsi="Times New Roman"/>
          <w:color w:val="000000" w:themeColor="text1"/>
          <w:sz w:val="16"/>
          <w:szCs w:val="16"/>
        </w:rPr>
        <w:lastRenderedPageBreak/>
        <w:t>Государственных испытаний. Обратил внимание на новый самолет и сам Иосиф Сталин. Однажды в ноябре 1934 года на Ходынку приехали Сталин, Орджоникидзе, Каганович, Микоян и другие партийные руководители. Интересовались «И-16». В самолет сел Чкалов и от души открутил весь пилотаж перед правительственной делегацией. Когда пришло время приземляться, капризное шасси как обычно застряло на выходе. Чкалов, уже неоднократно проделывая это ранее, дожал шасси перегрузкой, крутанув несколько эффектных "мертвых" петель. Последнее особенно понравилось Сталину - после приземления он пожелал познакомиться с отважным пилотом. Опрашивая других присутствующих летчиков завода и НИИ ВВС, вождь интересовался их мнением о новом истребителе. Все опрошенные самолет хвалили. На вопрос "Так что, нужен нам такой самолет?" отвечали - "Очень нужен, товарищ Сталин!". Тогда же было решено построить на авиазаводе №39 пять специально облегченных «И-16» для парадной пилотажной группы. Заказ на их изготовление получил название "Сталинское задание". Эти машины были готовы в марте 1935 года. Пятерка состояла из летчиков Коккинаки (ведущий), Шевченко, Супруна, Евсеева, Премана. Самолеты были окрашены в ярко красный цвет, лишь капоты в соответствии с неписаными традициями завода №39 были черными. "Красные пятерки" летали вплоть до самой войны, а во время гражданской войны в Испании в 1936-1939 гг. «И-16» впервые был использован в боевой обстановке. Ужас встречи с внезапно появившимися «И-16» у националистов первоначально был столь велик, что они дали ему прозвище "Рата" (крыса), а республиканцы ласково называли своего защитника "Моска" (муха). Авиационные издания всего мира окрестили новинку "Боингом", утверждая при этом, что самолет разработан на этой известнейшей американской фирме. В самый разгар испанской войны камни аэродромов другой далекой страны начали вылетать из-под колес газующих на взлете "ишачков". Япония, включившись в процесс передела мира, начала в 1937 году захват территории Китая. Чан Кайши, который любил русских, пожалуй, даже меньше, чем японцев, в поисках поддержки вынужден был пойти на переговоры со Сталиным. Ряд соглашений между гоминдановским Китаем и Советским Союзом предусматривал военные поставки, среди которых были и самолеты. Только в первые годы войны с октября 1937 года по сентябрь 1939 года в Китай поступило 885 советских самолетов (до 1941 г. поступило 1250 самолетов), среди которых находилось 216 истребителей «И-16» тип 5 и тип 10. Кроме поставок боеспособных самолетов, в городе Урумчи был построен завод для постройки «И-16». Получили «И-16» и свое новое - китайское прозвище - здесь их стали называть "ласточкой". Повоевал "ишачок" и всю Вторую мировую. ЛТХ: Максимальная скорость - 462 км/ч; Взлетный вес - 1941 кг; Потолок - 9700 м; Дальность полета - 700 км; Вооружение - два крыльевых пулемета ШКАС, к которым впоследствии добавили еще два синхронных. Начиная с «И-16» (тип 17) вместо крыльевых пулеметов устанавливали пушки ШВАК калибра 20 мм; Бомбовая нагрузка - до 200 кг; Шесть реактивных снарядов «РС-82». Всего выпущено 6555 истребителей «И-16» разных модификаций (14876).</w:t>
      </w:r>
    </w:p>
    <w:p w14:paraId="0FB2FDF7" w14:textId="52889EB6" w:rsidR="001E4A85" w:rsidRPr="0044524F" w:rsidRDefault="001E4A85" w:rsidP="009654CF">
      <w:pPr>
        <w:spacing w:after="0" w:line="240" w:lineRule="auto"/>
        <w:jc w:val="both"/>
        <w:rPr>
          <w:rFonts w:ascii="Times New Roman" w:hAnsi="Times New Roman"/>
          <w:color w:val="000000" w:themeColor="text1"/>
          <w:sz w:val="16"/>
          <w:szCs w:val="16"/>
        </w:rPr>
      </w:pPr>
    </w:p>
    <w:p w14:paraId="49E86CB7" w14:textId="77777777" w:rsidR="001960CB" w:rsidRPr="00142305" w:rsidRDefault="001960CB" w:rsidP="001960C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30 декабря 1933 г. первый полет на прототипе ЦКБ-12 с дви</w:t>
      </w:r>
      <w:r w:rsidRPr="00142305">
        <w:rPr>
          <w:rStyle w:val="aff"/>
          <w:rFonts w:ascii="Times New Roman" w:hAnsi="Times New Roman" w:cs="Times New Roman"/>
          <w:color w:val="0070C0"/>
          <w:spacing w:val="0"/>
          <w:sz w:val="16"/>
          <w:szCs w:val="16"/>
        </w:rPr>
        <w:softHyphen/>
        <w:t>гателем М-22 выполнил летчик-испытатель Государ</w:t>
      </w:r>
      <w:r w:rsidRPr="00142305">
        <w:rPr>
          <w:rStyle w:val="aff"/>
          <w:rFonts w:ascii="Times New Roman" w:hAnsi="Times New Roman" w:cs="Times New Roman"/>
          <w:color w:val="0070C0"/>
          <w:spacing w:val="0"/>
          <w:sz w:val="16"/>
          <w:szCs w:val="16"/>
        </w:rPr>
        <w:softHyphen/>
        <w:t>ственного авиационного завода № 39 Валерий Чкалов. Второй прототип поднялся в воздух вскоре после Ново</w:t>
      </w:r>
      <w:r w:rsidRPr="00142305">
        <w:rPr>
          <w:rStyle w:val="aff"/>
          <w:rFonts w:ascii="Times New Roman" w:hAnsi="Times New Roman" w:cs="Times New Roman"/>
          <w:color w:val="0070C0"/>
          <w:spacing w:val="0"/>
          <w:sz w:val="16"/>
          <w:szCs w:val="16"/>
        </w:rPr>
        <w:softHyphen/>
        <w:t>го года. Чкалов нашел, что истреби</w:t>
      </w:r>
      <w:r w:rsidRPr="00142305">
        <w:rPr>
          <w:rStyle w:val="aff"/>
          <w:rFonts w:ascii="Times New Roman" w:hAnsi="Times New Roman" w:cs="Times New Roman"/>
          <w:color w:val="0070C0"/>
          <w:spacing w:val="0"/>
          <w:sz w:val="16"/>
          <w:szCs w:val="16"/>
        </w:rPr>
        <w:softHyphen/>
        <w:t>тель сложен в пилотировании, управ</w:t>
      </w:r>
      <w:r w:rsidRPr="00142305">
        <w:rPr>
          <w:rStyle w:val="aff"/>
          <w:rFonts w:ascii="Times New Roman" w:hAnsi="Times New Roman" w:cs="Times New Roman"/>
          <w:color w:val="0070C0"/>
          <w:spacing w:val="0"/>
          <w:sz w:val="16"/>
          <w:szCs w:val="16"/>
        </w:rPr>
        <w:softHyphen/>
        <w:t>лять им тяжело и непривычно. Летные испытания и доработки чередовались на протяжении всего января 1934 г. (25062).</w:t>
      </w:r>
    </w:p>
    <w:p w14:paraId="749F7F2B" w14:textId="77777777" w:rsidR="001960CB" w:rsidRPr="00142305" w:rsidRDefault="001960CB" w:rsidP="001960CB">
      <w:pPr>
        <w:spacing w:after="0" w:line="240" w:lineRule="auto"/>
        <w:jc w:val="both"/>
        <w:rPr>
          <w:rFonts w:ascii="Times New Roman" w:hAnsi="Times New Roman"/>
          <w:color w:val="0070C0"/>
          <w:sz w:val="16"/>
          <w:szCs w:val="16"/>
        </w:rPr>
      </w:pPr>
    </w:p>
    <w:p w14:paraId="25DE9AE5" w14:textId="77777777" w:rsidR="001960CB" w:rsidRPr="00142305" w:rsidRDefault="001960CB" w:rsidP="001960C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30 декабря 1933 г. летчик-испытатель авиазавода №39 Валерий Чкалов впервые поднял в воздух ЦКБ-12 с двигателем М-22 (25415).</w:t>
      </w:r>
    </w:p>
    <w:p w14:paraId="67E909D9" w14:textId="77777777" w:rsidR="001960CB" w:rsidRPr="00142305" w:rsidRDefault="001960CB" w:rsidP="001960CB">
      <w:pPr>
        <w:spacing w:after="0" w:line="240" w:lineRule="auto"/>
        <w:jc w:val="both"/>
        <w:rPr>
          <w:rFonts w:ascii="Times New Roman" w:hAnsi="Times New Roman"/>
          <w:color w:val="0070C0"/>
          <w:sz w:val="16"/>
          <w:szCs w:val="16"/>
        </w:rPr>
      </w:pPr>
    </w:p>
    <w:p w14:paraId="722BAEAF" w14:textId="77777777" w:rsidR="001960CB" w:rsidRPr="00142305" w:rsidRDefault="001960CB" w:rsidP="001960CB">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30 декабря 1933 года (в день первого вы</w:t>
      </w:r>
      <w:r w:rsidRPr="00142305">
        <w:rPr>
          <w:rStyle w:val="aff"/>
          <w:rFonts w:ascii="Times New Roman" w:hAnsi="Times New Roman" w:cs="Times New Roman"/>
          <w:color w:val="0070C0"/>
          <w:spacing w:val="0"/>
          <w:sz w:val="16"/>
          <w:szCs w:val="16"/>
        </w:rPr>
        <w:softHyphen/>
        <w:t>лета ЦКБ-12 с М-22!) был выдан заказ на 50 моторов «Циклон» фирме «Райт» – 15 мото</w:t>
      </w:r>
      <w:r w:rsidRPr="00142305">
        <w:rPr>
          <w:rStyle w:val="aff"/>
          <w:rFonts w:ascii="Times New Roman" w:hAnsi="Times New Roman" w:cs="Times New Roman"/>
          <w:color w:val="0070C0"/>
          <w:spacing w:val="0"/>
          <w:sz w:val="16"/>
          <w:szCs w:val="16"/>
        </w:rPr>
        <w:softHyphen/>
        <w:t>ров «на ходу» и 35 комплектов деталей, полу</w:t>
      </w:r>
      <w:r w:rsidRPr="00142305">
        <w:rPr>
          <w:rStyle w:val="aff"/>
          <w:rFonts w:ascii="Times New Roman" w:hAnsi="Times New Roman" w:cs="Times New Roman"/>
          <w:color w:val="0070C0"/>
          <w:spacing w:val="0"/>
          <w:sz w:val="16"/>
          <w:szCs w:val="16"/>
        </w:rPr>
        <w:softHyphen/>
        <w:t>фабрикатов и заготовок в разных стадиях го</w:t>
      </w:r>
      <w:r w:rsidRPr="00142305">
        <w:rPr>
          <w:rStyle w:val="aff"/>
          <w:rFonts w:ascii="Times New Roman" w:hAnsi="Times New Roman" w:cs="Times New Roman"/>
          <w:color w:val="0070C0"/>
          <w:spacing w:val="0"/>
          <w:sz w:val="16"/>
          <w:szCs w:val="16"/>
        </w:rPr>
        <w:softHyphen/>
        <w:t>товности. За исключением одного мотора, весь заказ оформили с поставками в январе- марте следующего года. Серийное производ</w:t>
      </w:r>
      <w:r w:rsidRPr="00142305">
        <w:rPr>
          <w:rStyle w:val="aff"/>
          <w:rFonts w:ascii="Times New Roman" w:hAnsi="Times New Roman" w:cs="Times New Roman"/>
          <w:color w:val="0070C0"/>
          <w:spacing w:val="0"/>
          <w:sz w:val="16"/>
          <w:szCs w:val="16"/>
        </w:rPr>
        <w:softHyphen/>
        <w:t>ство на пермском заводе № 19 пока вообще оставалось «в тумане» (25519).</w:t>
      </w:r>
    </w:p>
    <w:p w14:paraId="10D95C26" w14:textId="77777777" w:rsidR="001960CB" w:rsidRPr="00142305" w:rsidRDefault="001960CB" w:rsidP="001960CB">
      <w:pPr>
        <w:spacing w:after="0" w:line="240" w:lineRule="auto"/>
        <w:jc w:val="both"/>
        <w:rPr>
          <w:rFonts w:ascii="Times New Roman" w:hAnsi="Times New Roman"/>
          <w:color w:val="0070C0"/>
          <w:sz w:val="16"/>
          <w:szCs w:val="16"/>
        </w:rPr>
      </w:pPr>
    </w:p>
    <w:p w14:paraId="7DB0D8EB" w14:textId="77777777" w:rsidR="001960CB" w:rsidRPr="00142305" w:rsidRDefault="001960CB" w:rsidP="001960CB">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30 декабря 1933 г. за день до Нового Года Валерий Павлович Чкалов выполнил на ЦКБ-12 с М-22 первый полет. Сведений о заводских испытаниях со</w:t>
      </w:r>
      <w:r w:rsidRPr="00142305">
        <w:rPr>
          <w:rStyle w:val="aff"/>
          <w:rFonts w:ascii="Times New Roman" w:hAnsi="Times New Roman" w:cs="Times New Roman"/>
          <w:color w:val="0070C0"/>
          <w:spacing w:val="0"/>
          <w:sz w:val="16"/>
          <w:szCs w:val="16"/>
        </w:rPr>
        <w:softHyphen/>
        <w:t>хранилось немного. В частности, в архивных делах бригады № 2 уцелели результаты обра</w:t>
      </w:r>
      <w:r w:rsidRPr="00142305">
        <w:rPr>
          <w:rStyle w:val="aff"/>
          <w:rFonts w:ascii="Times New Roman" w:hAnsi="Times New Roman" w:cs="Times New Roman"/>
          <w:color w:val="0070C0"/>
          <w:spacing w:val="0"/>
          <w:sz w:val="16"/>
          <w:szCs w:val="16"/>
        </w:rPr>
        <w:softHyphen/>
        <w:t>ботки полетов В.П. Чкалова на километраж и тарировку указателя скорости 2 января и на скорости по высотам 13 числа (25519).</w:t>
      </w:r>
    </w:p>
    <w:p w14:paraId="047EBBA4" w14:textId="77777777" w:rsidR="001960CB" w:rsidRPr="00142305" w:rsidRDefault="001960CB" w:rsidP="001960CB">
      <w:pPr>
        <w:spacing w:after="0" w:line="240" w:lineRule="auto"/>
        <w:jc w:val="both"/>
        <w:rPr>
          <w:rStyle w:val="aff"/>
          <w:rFonts w:ascii="Times New Roman" w:hAnsi="Times New Roman" w:cs="Times New Roman"/>
          <w:color w:val="0070C0"/>
          <w:spacing w:val="0"/>
          <w:sz w:val="16"/>
          <w:szCs w:val="16"/>
        </w:rPr>
      </w:pPr>
    </w:p>
    <w:p w14:paraId="5E3D9DEF" w14:textId="4A689140" w:rsidR="001F3595" w:rsidRPr="0044524F" w:rsidRDefault="001F3595" w:rsidP="009654CF">
      <w:pPr>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52D7F840" w14:textId="77777777" w:rsidR="001F3595" w:rsidRPr="0044524F" w:rsidRDefault="001F3595" w:rsidP="009654CF">
      <w:pPr>
        <w:spacing w:after="0" w:line="240" w:lineRule="auto"/>
        <w:jc w:val="both"/>
        <w:rPr>
          <w:rFonts w:ascii="Times New Roman" w:hAnsi="Times New Roman"/>
          <w:i/>
          <w:iCs/>
          <w:color w:val="000000" w:themeColor="text1"/>
          <w:sz w:val="16"/>
          <w:szCs w:val="16"/>
        </w:rPr>
      </w:pPr>
    </w:p>
    <w:p w14:paraId="5C013088" w14:textId="77777777" w:rsidR="001F3595" w:rsidRPr="0044524F" w:rsidRDefault="001F35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декабря 1933 Imperial Airways Avro Ten Apollo ( G-ABLU ) врезается в радиомачту и разбивается в Рейсселеде, Бельгия , в результате чего погибли все 10 человек на борту. Король Альберт I из Бельгии наградит Camille ван Хоув, который госпитализирован с серьезными ожогами пострадавшими при попытке спасти жертв, Civic Крест (первый класс) (20802).</w:t>
      </w:r>
    </w:p>
    <w:p w14:paraId="34AFACE5" w14:textId="77777777" w:rsidR="001F3595" w:rsidRPr="0044524F" w:rsidRDefault="001F3595" w:rsidP="009654CF">
      <w:pPr>
        <w:spacing w:after="0" w:line="240" w:lineRule="auto"/>
        <w:jc w:val="both"/>
        <w:rPr>
          <w:rFonts w:ascii="Times New Roman" w:hAnsi="Times New Roman"/>
          <w:color w:val="000000" w:themeColor="text1"/>
          <w:sz w:val="16"/>
          <w:szCs w:val="16"/>
        </w:rPr>
      </w:pPr>
    </w:p>
    <w:p w14:paraId="60C5A2E7"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9075E46"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D5F9A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года ст. военпред УВВС на заводе N 31 Багров писал письмо N 564с начальнику 1 сектора 1 отдела УМТС и В ВВС.</w:t>
      </w:r>
    </w:p>
    <w:p w14:paraId="77BEC2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представляю протокол серийного испытания самолета Р-6 2-М17 за N 3161 постройки завода 31, прошу Вашего утверждения.</w:t>
      </w:r>
    </w:p>
    <w:p w14:paraId="6C4AFD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заводом предъявлен для испытания.</w:t>
      </w:r>
    </w:p>
    <w:p w14:paraId="13FE8E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Предъявление N 2807с 22 ноября 1933 года.</w:t>
      </w:r>
    </w:p>
    <w:p w14:paraId="27ACC7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в воздухе производил летчик-сдатчик завода Номан.</w:t>
      </w:r>
    </w:p>
    <w:p w14:paraId="2A77B3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Серия состоит из 35 самолетов с N 3161 по 3195 включительно (3313,1-18).</w:t>
      </w:r>
    </w:p>
    <w:p w14:paraId="4D3473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03906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года был утвержден пом. нач. ГУАП как временный.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4E10C1" w:rsidRPr="0044524F" w14:paraId="7872D9AA" w14:textId="77777777">
        <w:tc>
          <w:tcPr>
            <w:tcW w:w="3757" w:type="dxa"/>
          </w:tcPr>
          <w:p w14:paraId="56BE23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НКТП</w:t>
            </w:r>
          </w:p>
        </w:tc>
        <w:tc>
          <w:tcPr>
            <w:tcW w:w="3757" w:type="dxa"/>
          </w:tcPr>
          <w:p w14:paraId="5774EB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Глававиапром</w:t>
            </w:r>
          </w:p>
        </w:tc>
        <w:tc>
          <w:tcPr>
            <w:tcW w:w="3757" w:type="dxa"/>
          </w:tcPr>
          <w:p w14:paraId="3B7E54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Объединенное бюро стандартизации (ОБСА)</w:t>
            </w:r>
          </w:p>
        </w:tc>
      </w:tr>
      <w:tr w:rsidR="004E10C1" w:rsidRPr="0044524F" w14:paraId="1336BE93" w14:textId="77777777">
        <w:tc>
          <w:tcPr>
            <w:tcW w:w="3757" w:type="dxa"/>
          </w:tcPr>
          <w:p w14:paraId="691534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Авиационный стандарт</w:t>
            </w:r>
          </w:p>
        </w:tc>
        <w:tc>
          <w:tcPr>
            <w:tcW w:w="3757" w:type="dxa"/>
          </w:tcPr>
          <w:p w14:paraId="6D8692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5EC052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 СТУ</w:t>
            </w:r>
          </w:p>
        </w:tc>
      </w:tr>
      <w:tr w:rsidR="004E10C1" w:rsidRPr="0044524F" w14:paraId="6392749F" w14:textId="77777777">
        <w:tc>
          <w:tcPr>
            <w:tcW w:w="3757" w:type="dxa"/>
          </w:tcPr>
          <w:p w14:paraId="3639D7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Р-6а 2М-17</w:t>
            </w:r>
          </w:p>
        </w:tc>
        <w:tc>
          <w:tcPr>
            <w:tcW w:w="3757" w:type="dxa"/>
          </w:tcPr>
          <w:p w14:paraId="6404C2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5AFC7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w:t>
            </w:r>
          </w:p>
        </w:tc>
      </w:tr>
      <w:tr w:rsidR="004E10C1" w:rsidRPr="0044524F" w14:paraId="440166DF" w14:textId="77777777">
        <w:tc>
          <w:tcPr>
            <w:tcW w:w="3757" w:type="dxa"/>
          </w:tcPr>
          <w:p w14:paraId="0490D8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ТУ</w:t>
            </w:r>
          </w:p>
        </w:tc>
        <w:tc>
          <w:tcPr>
            <w:tcW w:w="3757" w:type="dxa"/>
          </w:tcPr>
          <w:p w14:paraId="43D6E6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757" w:type="dxa"/>
          </w:tcPr>
          <w:p w14:paraId="264F1C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1-е издание (3100)</w:t>
            </w:r>
          </w:p>
        </w:tc>
      </w:tr>
    </w:tbl>
    <w:p w14:paraId="04D44F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FF9ECA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года закончились предварительные испытания самолета И-15 (ЦКБ-3) с мотором Райт-Циклон 1820 № 625 НР с нагнетателем, металлический винт Гамильтон-Стандарт, которые проходили с 21 декабря 1933 (6655).</w:t>
      </w:r>
    </w:p>
    <w:p w14:paraId="11F9EEF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испытаний</w:t>
      </w:r>
    </w:p>
    <w:p w14:paraId="3C5110B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 испытания самолета в части снятия летной характеристики и выявления основных летных качеств и эксплуатационных свойств самолета.</w:t>
      </w:r>
    </w:p>
    <w:p w14:paraId="0CFBCD1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32F6FE09"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И-15 с мотором Райт-Циклон F-3 как полностью и с превышением удовлетворяющий техническим требованиям, рекомендовать для серийной постройки.</w:t>
      </w:r>
    </w:p>
    <w:p w14:paraId="487C7895"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опытном экземпляре надлежит добиться еще в процессе дополнительных испытаний улучшения устойчивости пути и разработать мероприятия для серии.</w:t>
      </w:r>
    </w:p>
    <w:p w14:paraId="6A2AD9B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08F06AA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 Часовиков С.</w:t>
      </w:r>
    </w:p>
    <w:p w14:paraId="0A3747BB"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 Степанченок В.</w:t>
      </w:r>
    </w:p>
    <w:p w14:paraId="05C78EF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3218063E" w14:textId="77777777">
        <w:tc>
          <w:tcPr>
            <w:tcW w:w="5636" w:type="dxa"/>
          </w:tcPr>
          <w:p w14:paraId="53C4CF9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декабря 1933 года</w:t>
            </w:r>
          </w:p>
        </w:tc>
        <w:tc>
          <w:tcPr>
            <w:tcW w:w="5636" w:type="dxa"/>
          </w:tcPr>
          <w:p w14:paraId="405C5AE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машины вместе с заводом.</w:t>
            </w:r>
          </w:p>
        </w:tc>
      </w:tr>
      <w:tr w:rsidR="004E10C1" w:rsidRPr="0044524F" w14:paraId="18DF1C48" w14:textId="77777777">
        <w:tc>
          <w:tcPr>
            <w:tcW w:w="5636" w:type="dxa"/>
          </w:tcPr>
          <w:p w14:paraId="5EB4467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декабря 1933 года</w:t>
            </w:r>
          </w:p>
        </w:tc>
        <w:tc>
          <w:tcPr>
            <w:tcW w:w="5636" w:type="dxa"/>
          </w:tcPr>
          <w:p w14:paraId="44FF800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километраж.</w:t>
            </w:r>
          </w:p>
        </w:tc>
      </w:tr>
      <w:tr w:rsidR="004E10C1" w:rsidRPr="0044524F" w14:paraId="177AF2FB" w14:textId="77777777">
        <w:tc>
          <w:tcPr>
            <w:tcW w:w="5636" w:type="dxa"/>
          </w:tcPr>
          <w:p w14:paraId="424CAF2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декабря 1933 года</w:t>
            </w:r>
          </w:p>
        </w:tc>
        <w:tc>
          <w:tcPr>
            <w:tcW w:w="5636" w:type="dxa"/>
          </w:tcPr>
          <w:p w14:paraId="12E933F5"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Скороподъемность на 5000 м и скорости по высотам 5-1000 м. Пролет по заданию начальника ВВС.</w:t>
            </w:r>
          </w:p>
        </w:tc>
      </w:tr>
      <w:tr w:rsidR="004E10C1" w:rsidRPr="0044524F" w14:paraId="66934F0E" w14:textId="77777777">
        <w:tc>
          <w:tcPr>
            <w:tcW w:w="5636" w:type="dxa"/>
          </w:tcPr>
          <w:p w14:paraId="62C84AC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 декабря 1933 года</w:t>
            </w:r>
          </w:p>
        </w:tc>
        <w:tc>
          <w:tcPr>
            <w:tcW w:w="5636" w:type="dxa"/>
          </w:tcPr>
          <w:p w14:paraId="38E93B43"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Штопор и управляемость на 1000 м.</w:t>
            </w:r>
          </w:p>
        </w:tc>
      </w:tr>
      <w:tr w:rsidR="004E10C1" w:rsidRPr="0044524F" w14:paraId="718E9058" w14:textId="77777777">
        <w:tc>
          <w:tcPr>
            <w:tcW w:w="5636" w:type="dxa"/>
          </w:tcPr>
          <w:p w14:paraId="3C4CC47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декабря 1933 года</w:t>
            </w:r>
          </w:p>
        </w:tc>
        <w:tc>
          <w:tcPr>
            <w:tcW w:w="5636" w:type="dxa"/>
          </w:tcPr>
          <w:p w14:paraId="681B120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самолета летчиками Сузи и Филиным.</w:t>
            </w:r>
          </w:p>
        </w:tc>
      </w:tr>
      <w:tr w:rsidR="004E10C1" w:rsidRPr="0044524F" w14:paraId="513C3F3E" w14:textId="77777777">
        <w:tc>
          <w:tcPr>
            <w:tcW w:w="5636" w:type="dxa"/>
          </w:tcPr>
          <w:p w14:paraId="054473F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года</w:t>
            </w:r>
          </w:p>
        </w:tc>
        <w:tc>
          <w:tcPr>
            <w:tcW w:w="5636" w:type="dxa"/>
          </w:tcPr>
          <w:p w14:paraId="2E215EB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 на скороподъемность и скорости по высотам.</w:t>
            </w:r>
          </w:p>
        </w:tc>
      </w:tr>
    </w:tbl>
    <w:p w14:paraId="0F530B6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по назначению одноместный маневренный истребитель. По схеме одностоечный биплан неравного размаха, с</w:t>
      </w:r>
    </w:p>
    <w:p w14:paraId="7FE9857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центропланом типа «ЧАЙКА» и одностоечным шасси.</w:t>
      </w:r>
    </w:p>
    <w:p w14:paraId="3CB253FD"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Конструкция смешанная; крылья – деревянные, фюзеляж из нормализованных хромомолибденовых труб, второстепенные</w:t>
      </w:r>
    </w:p>
    <w:p w14:paraId="204CF371"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детали изготовлены из дюраля; фюзеляж, крылья и оперение покрыты полотном (6655).</w:t>
      </w:r>
    </w:p>
    <w:p w14:paraId="43240A6C"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8B098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проходили гос. испытания ЦКБ-3 (И-15) - второго - на лыжах (222,25), которые шли с 21 декабря. По другим данным до 1 января 1934 и предварительные гос. испытания (2266,287).</w:t>
      </w:r>
    </w:p>
    <w:p w14:paraId="09E828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D3906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31 декабря 1933 были завершены предварительные гос. испытания И-15 РЦ 2-го экз., который был сдан на гос. испытания 25 декабря 1933. Машина была принята на снабжение ВВС и предназначался для постройки на заводе 1 (2287,131).</w:t>
      </w:r>
    </w:p>
    <w:p w14:paraId="5FCB0A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B5487BA" w14:textId="77777777" w:rsidR="001E4A85" w:rsidRPr="0044524F" w:rsidRDefault="001E4A8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накануне нового 1934 года, в НИИ ВВС поступили указания Начальника ВВС:</w:t>
      </w:r>
    </w:p>
    <w:p w14:paraId="44E79B93" w14:textId="77777777" w:rsidR="001E4A85" w:rsidRPr="0044524F" w:rsidRDefault="001E4A8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для серийного производства строит в качестве эталона дублёр И-14 под два пулемёта, предусматривая возможность установки двух пушек.</w:t>
      </w:r>
    </w:p>
    <w:p w14:paraId="0448284E" w14:textId="77777777" w:rsidR="001E4A85" w:rsidRPr="0044524F" w:rsidRDefault="001E4A8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экземпляр И-14 построен и НИИ должен, согласно данных мною указаний, приступить к его испытанию. Этот экземпляр имеет один пулемёт и предусматривает установку двух пушек. По докладу т. Туполева пушки уже отстреляны на земле и необ</w:t>
      </w:r>
      <w:r w:rsidRPr="0044524F">
        <w:rPr>
          <w:rFonts w:ascii="Times New Roman" w:hAnsi="Times New Roman"/>
          <w:color w:val="000000" w:themeColor="text1"/>
          <w:sz w:val="16"/>
          <w:szCs w:val="16"/>
        </w:rPr>
        <w:softHyphen/>
        <w:t>ходимо испытать их в воздухе. Предлагаю:</w:t>
      </w:r>
    </w:p>
    <w:p w14:paraId="5F3ED9E7" w14:textId="77777777" w:rsidR="001E4A85" w:rsidRPr="0044524F" w:rsidRDefault="001E4A85" w:rsidP="009654CF">
      <w:pPr>
        <w:tabs>
          <w:tab w:val="left" w:pos="488"/>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Продолжить изготовление дублёра И-14 2 пулемёта, предусмотрев установку пу</w:t>
      </w:r>
      <w:r w:rsidRPr="0044524F">
        <w:rPr>
          <w:rFonts w:ascii="Times New Roman" w:hAnsi="Times New Roman"/>
          <w:color w:val="000000" w:themeColor="text1"/>
          <w:sz w:val="16"/>
          <w:szCs w:val="16"/>
        </w:rPr>
        <w:softHyphen/>
        <w:t>шек так, как это намечено и делается.</w:t>
      </w:r>
    </w:p>
    <w:p w14:paraId="093A5B26" w14:textId="77777777" w:rsidR="001E4A85" w:rsidRPr="0044524F" w:rsidRDefault="001E4A85" w:rsidP="009654CF">
      <w:pPr>
        <w:tabs>
          <w:tab w:val="left" w:pos="483"/>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Немедленно приступить к испытанию 1-го экземпляра И-14, как самолёта с целью определить все лётно-тактические данные под один пулемёт (как это установлено).</w:t>
      </w:r>
    </w:p>
    <w:p w14:paraId="1EC76752" w14:textId="77777777" w:rsidR="001E4A85" w:rsidRPr="0044524F" w:rsidRDefault="001E4A8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окончании испытаний первый экземпляр И-14... сейчас же немедленно установить на нём пушки и приступить к испытаниям на этом самолёте пушечной системы и само</w:t>
      </w:r>
      <w:r w:rsidRPr="0044524F">
        <w:rPr>
          <w:rFonts w:ascii="Times New Roman" w:hAnsi="Times New Roman"/>
          <w:color w:val="000000" w:themeColor="text1"/>
          <w:sz w:val="16"/>
          <w:szCs w:val="16"/>
        </w:rPr>
        <w:softHyphen/>
        <w:t>лёта с этой системой с таким расчётом, чтобы ко времени выхода дублёра на госиспы</w:t>
      </w:r>
      <w:r w:rsidRPr="0044524F">
        <w:rPr>
          <w:rFonts w:ascii="Times New Roman" w:hAnsi="Times New Roman"/>
          <w:color w:val="000000" w:themeColor="text1"/>
          <w:sz w:val="16"/>
          <w:szCs w:val="16"/>
        </w:rPr>
        <w:softHyphen/>
        <w:t>тания пушечная система была уже испытана в воздухе на первом экземпляре.</w:t>
      </w:r>
    </w:p>
    <w:p w14:paraId="62D37633" w14:textId="77777777" w:rsidR="001E4A85" w:rsidRPr="0044524F" w:rsidRDefault="001E4A8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этим должен быть определен план и темпы испытания И-14.</w:t>
      </w:r>
    </w:p>
    <w:p w14:paraId="656A7252" w14:textId="77777777" w:rsidR="001E4A85" w:rsidRPr="0044524F" w:rsidRDefault="001E4A8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испытаний докладывать мне 10, 20 и 30 января. Тов. Жарову к тому времени выяснить в ГАУ, сколько пушек этого типа оно заказывает по 1934 году» (15823).</w:t>
      </w:r>
    </w:p>
    <w:p w14:paraId="3FB08DEE" w14:textId="77777777" w:rsidR="001E4A85" w:rsidRPr="0044524F" w:rsidRDefault="001E4A85" w:rsidP="009654CF">
      <w:pPr>
        <w:spacing w:after="0" w:line="240" w:lineRule="auto"/>
        <w:jc w:val="both"/>
        <w:rPr>
          <w:rFonts w:ascii="Times New Roman" w:hAnsi="Times New Roman"/>
          <w:color w:val="000000" w:themeColor="text1"/>
          <w:sz w:val="16"/>
          <w:szCs w:val="16"/>
        </w:rPr>
      </w:pPr>
    </w:p>
    <w:p w14:paraId="00C74FA5" w14:textId="77777777" w:rsidR="001F3595" w:rsidRPr="0044524F" w:rsidRDefault="001F35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31 декабря 1933 году завод № 21 не только выполнил плановое задание по производству самолетов, но и перевыполнил его, выпустив 321 самолет И-5 по № 21331 и 94 групповых комплекта. В конце года были отмечены по заводу начальник сборочного цеха Ефремов, инженер цеха Куприянов, начальник ЛИС Норец. летчики Жуков и Павлушов, старший механик аэродрома Крылов и вся аэродромная команда.</w:t>
      </w:r>
    </w:p>
    <w:p w14:paraId="79471AA5" w14:textId="77777777" w:rsidR="001F3595" w:rsidRPr="0044524F" w:rsidRDefault="001F35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Облет самолетов И-5 не занимал много времени. Некоторые самолеты облетывались даже за 18-20 минут (самолеты №№ 2115, 2133). Ну, а в среднем, это длилось 30-40 минут. Самыми распространенными дефектами были отказы мотора М-22 выпуска завода № 29. Летчик писал просто: «Сдал мотор...». В этом случае обшее время облета самолета могло увеличиться до 1,5 часа.</w:t>
      </w:r>
    </w:p>
    <w:p w14:paraId="37D62481" w14:textId="77777777" w:rsidR="001F3595" w:rsidRPr="0044524F" w:rsidRDefault="001F3595" w:rsidP="009654CF">
      <w:pPr>
        <w:spacing w:after="0" w:line="240" w:lineRule="auto"/>
        <w:jc w:val="both"/>
        <w:rPr>
          <w:rFonts w:ascii="Times New Roman" w:hAnsi="Times New Roman"/>
          <w:color w:val="000000" w:themeColor="text1"/>
          <w:sz w:val="16"/>
          <w:szCs w:val="16"/>
        </w:rPr>
      </w:pPr>
    </w:p>
    <w:p w14:paraId="7341AAA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г. на аэродроме авиазавода № 21 произошла авария И-5 зав. № 21330, который пилотировал летчик-испытатель Павлушев. На двадцатой минуте полета заглох мотор. Высота была небольшой, и летчик, не имея возможности дотянуть до взлетной полосы, попытался сесть на площадку возле ангара. Однако истребитель ударился о крышу здания и, перевернувшись, упал на землю. По счастливой случайности сам Павлушев отделался ушибами. Причиной аварии, как выяснилось, стал отказ бензопомпы двигателя по вине завода-изготовителя (завод № 29). [260 — ГУ ЦАНО, Ф. 2066, Оп. 6, Д. 65, Л. 4.]. Кроме того, как было установлено комиссией, сам Павлушев нарушил положение о полетной службе и во время выполнения полета вышел из зоны аэродрома. Решение садиться на взлетную полосу также было признано неправильным. За это на летчика было наложено взыскание — арест на трое суток (11741).</w:t>
      </w:r>
    </w:p>
    <w:p w14:paraId="393C44D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29228B1" w14:textId="77777777" w:rsidR="001F3595" w:rsidRPr="0044524F" w:rsidRDefault="001F359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Неприятность произошла в последний день года 31 декабря 1933 при испытаниях в воздухе летчиком П.П. Павлушовым самолета №21330. На высоте 700 метров из- за заедания передачи к бензиновой помпе остановился мотор. Летчик нарушил положение о летной службе, выйдя из зоны аэродрома. Стал тянуть на аэродром, ударился лыжами в крышу бензохранилища. При аварии самолет разбился. Летчик был легко ранен. За нарушение летных документов Павлушов был арестован на трое суток с исполнением своих обязанностей по испытательной работе (21100).</w:t>
      </w:r>
    </w:p>
    <w:p w14:paraId="4C2FFBB2" w14:textId="77777777" w:rsidR="001F3595" w:rsidRPr="0044524F" w:rsidRDefault="001F3595" w:rsidP="009654CF">
      <w:pPr>
        <w:spacing w:after="0" w:line="240" w:lineRule="auto"/>
        <w:jc w:val="both"/>
        <w:rPr>
          <w:rFonts w:ascii="Times New Roman" w:hAnsi="Times New Roman"/>
          <w:color w:val="000000" w:themeColor="text1"/>
          <w:sz w:val="16"/>
          <w:szCs w:val="16"/>
        </w:rPr>
      </w:pPr>
    </w:p>
    <w:p w14:paraId="582A08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года начальник НОТО ГУАП Алмазов писал письмо в ЦК ВКП(б) Осиеву.</w:t>
      </w:r>
    </w:p>
    <w:p w14:paraId="5F99F3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Вопросами общего направления развития авиационной техники у нас в Союзе занимаются следующие организации:</w:t>
      </w:r>
    </w:p>
    <w:p w14:paraId="301EC4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НИИ ВВС - как научно-испытательная организация, занимающаяся изучением вопросов эксплуатации и применения материальной части ВВС.</w:t>
      </w:r>
    </w:p>
    <w:p w14:paraId="2767FD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как наиболее заинтересованный орган в высоком летно-техническом и тактическом уровне самолетов и материальной части ВВС по сравнению с вероятными противниками, следит за развитием мировой авиатехники и определяет уровень ее как на данное время, так и в перспективе.</w:t>
      </w:r>
    </w:p>
    <w:p w14:paraId="5B8005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НИИ ГУГВФ. Те же функции в отношении материальной части Гражд. Воздушного Флота, являющейся резервом Военно-воздушного флота.</w:t>
      </w:r>
    </w:p>
    <w:p w14:paraId="596688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функции НИИ ГУГВФ значительно переросли и эта организация занимается не только вопросами эксплуатации, но имеет конструкторскую и эксплуатационную базу, где осуществляет собственные конструкции самолетов и моторов для применения в Гражданском флоте (например: исследование вопроса стального самолетостроения, постройка маломощных двигателей и т.д.).</w:t>
      </w:r>
    </w:p>
    <w:p w14:paraId="4D9A06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ГУАП - С системой научно-исследовательских и опытных организаций (ЦАГИ, ЦИАМ, ВИАМ, ХАЗОС, зав. N 39, ХАИ и др.) обеспеченных лучшими в Союзе лабораториями, кабинетами, конструкторскими бюро, имеющих собственную производственную базу, занимающихся разрешением всего сложного комплекса вопросов авиатехники от чисто теоретических до создания вполне законченных для эксплуатации объектов и внедрения в серийное производство.</w:t>
      </w:r>
    </w:p>
    <w:p w14:paraId="28F245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ОСОАВИАХИМ. Организация, занимающаяся в основном популяризацией идей авиатехники, имеющая широкую сеть периферийных организаций.</w:t>
      </w:r>
    </w:p>
    <w:p w14:paraId="716D59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Частично объединяет конструкторские группы и отдельных конструкторов в области легкой и спортивной авиации, планеризма и других областях авиатехники (ГИРД и др.).</w:t>
      </w:r>
    </w:p>
    <w:p w14:paraId="0B168A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ОКБ-ОГПУ (Объединенное КБ), занимающееся в основном вопросами мощных нефтяных авиадвигателей, напр. ФЭД 8.</w:t>
      </w:r>
    </w:p>
    <w:p w14:paraId="7ADDA0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перспектив развития Военно-воздушного флота, установление типов машин, составление технических требований на самолеты, моторы, оборудование и вооружение производится Управлением ВВС. Следуя за уровнем мировой авиатехники, на основе строгого анализа и выводов о вероятных путях развития УВВС, выдвигает авиапромышленности план опытного строительства.</w:t>
      </w:r>
    </w:p>
    <w:p w14:paraId="236579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Выдвинутые требования прорабатываются авиапромышленностью с точки зрения возможности выполнения их по техническим данным и по срокам, после чего, по согласованию с УВВС, представляются в РВС СССР и Правительство на утверждение.</w:t>
      </w:r>
    </w:p>
    <w:p w14:paraId="06FA83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Ряд объектов не могут быть приняты промышленностью к выполнению из-за перегруженности опытных организаций, передаются другим организациям, не входящим в систему ГУАП (например самолет Д1-ВВА).</w:t>
      </w:r>
    </w:p>
    <w:p w14:paraId="538BC8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Гражданские самолеты, строящиеся в опытном порядке, предусматривают постройку каждого типа в военном и гражданском вариантах.</w:t>
      </w:r>
    </w:p>
    <w:p w14:paraId="3487C6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основе утвержденного Правительством плана опытного строительства, разрабатывается план научно-исследовательских работ, обеспечивающий проведение всех необходимых с выполнением опытных объектов работ в надлежащие сроки, как в области материалов, так конструкции и производства.</w:t>
      </w:r>
    </w:p>
    <w:p w14:paraId="57E202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составляется план экспериментальных и теоретических работ, прорабатывающих новые проблемы и принципы, для проверки на эксперименты и накопления опыта при дальнейшем осуществлении в опытных конструкциях.</w:t>
      </w:r>
    </w:p>
    <w:p w14:paraId="147B88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план включаются так же темы, выдвигаемые заводами авиапромышленности, направленные на разрешение проблем, связанных с производством авиамашин и агрегатов.</w:t>
      </w:r>
    </w:p>
    <w:p w14:paraId="622C35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Планы научно-исследовательских и экспериментальных работ, выдвигаемые авиапромышленностью, обсуждаются на совместном техническом совещании, со всеми заинтересованными организациями и по увязке тематики и сроков, утверждаются ГУАП"ом и спускаются для исполнения.</w:t>
      </w:r>
    </w:p>
    <w:p w14:paraId="5514F7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Прежде чем пустить в постройку опытный объект (самолет) опытные организации представляют на утверждение УВВС эскизный проект и схему самолета, после чего изготовляется макет самолета, определяется его соответствие техническим требованиям и лишь после этого машина поступает в постройку.</w:t>
      </w:r>
    </w:p>
    <w:p w14:paraId="20775D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Построенный опытный объект проходит стадию заводских испытаний и доводок, после чего предъявляется на испытание.</w:t>
      </w:r>
    </w:p>
    <w:p w14:paraId="1E5DA3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объект, удовлетворительно прошедший гос. испытания, и принятый УВВС на снабжение, поступает в серийное производство. Внедрение в серию производится под непосредственным руководством и инструктажем опытной организации, создавшей объект на всех этапах производства, до полного освоения объекта серийным заводом.</w:t>
      </w:r>
    </w:p>
    <w:p w14:paraId="09574C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длительности периода внедрения в серию и освоения производством опытных объектов, для обеспечения требований обороны, имеют место случаи подготовки производства и запуска в серию не вполне законченных испытаниями типов, по выявлении определенных технических и тактических преимуществ этого типа, например внедрение самолета МДР3, МБР4, мотора ГМ34 и др.</w:t>
      </w:r>
    </w:p>
    <w:p w14:paraId="750F8E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этим, авиапромышленность, имея план утвержденный Правительством, обеспечивает его выполнение, разворачивая надлежащую научно-исследовательскую и производственную базу.</w:t>
      </w:r>
    </w:p>
    <w:p w14:paraId="70D638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Отсюда определяются основные функции, выполняемые ГУАП, а именно:</w:t>
      </w:r>
    </w:p>
    <w:p w14:paraId="655537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Оперативное планирование и координирование научно-исследовательских, опытных и экспериментальных работ в области самолетов, моторов, материалов, вооружения, оборудования и смежных областей.</w:t>
      </w:r>
    </w:p>
    <w:p w14:paraId="1143B6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Обеспечение надлежащего разворачивания строительства и оборудования научно-исследовательской организации.</w:t>
      </w:r>
    </w:p>
    <w:p w14:paraId="6DB8D5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Обеспечение оперативного и организационного руководства, контроля работ опытных организаций.</w:t>
      </w:r>
    </w:p>
    <w:p w14:paraId="66EFBB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Установление надлежащей связи с научно-исследовательскими организациями внутри системы ГУАП, связи с заказчиком и смежными отраслями промышленности.</w:t>
      </w:r>
    </w:p>
    <w:p w14:paraId="15FF7B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5) Наблюдение за перенесением в промышленность достижений научно-исследов. организаций.</w:t>
      </w:r>
    </w:p>
    <w:p w14:paraId="054496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Обеспечение научно-исследоват. и опытных организаций кредитами и материалами, обеспечивающими выполнение плана.</w:t>
      </w:r>
    </w:p>
    <w:p w14:paraId="3342A4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Наблюдение, участие и координирование работ по внедрению опытных объектов в серийное производство.</w:t>
      </w:r>
    </w:p>
    <w:p w14:paraId="1EA40B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Наблюдение за заводскими гос. испытаниями и доводкой машин и т.д.</w:t>
      </w:r>
    </w:p>
    <w:p w14:paraId="1669A9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Многообразие функций, далеко на исчерпанных указанным перечнем, значительно возросших с увеличением объема работ научно-исследовательских организаций и заводов серийного производства, на сегодняшний день, НОТО ГУАП еще не полностью охвачены.</w:t>
      </w:r>
    </w:p>
    <w:p w14:paraId="6E8F2A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Недостаточно налажен вопрос координации работ организаций, входящих в систему ГУАП, например увязки самолета с мотором (между ЦАГИ и ЦИАМ) и связанная с этим проработка вопросов винтомоторной группы; между ЦАГИ, ЦИАМ и ВИАМ"ом в работах по подбору материалов, у Институтов с серийными заводами, при внедрении в производство новых типов машин, а равно и в работе самих институтов, цеха и отделы которых значительно переросли и созрели для самостоятельного осуществления.</w:t>
      </w:r>
    </w:p>
    <w:p w14:paraId="0570CF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(Пример: Выделение из ЦАГИ самостоятельного Института ВИАМ; из ЦИАМ"а - научного Института топлива).</w:t>
      </w:r>
    </w:p>
    <w:p w14:paraId="53D546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лучшей увязки и координации работ Институтов, на 1934 г. проводятся мероприятия по созданию единых планов по опытным объектам, в которых должны быть строго регламентированы права и обязанности каждой организации по каждому объекту в отдельности.</w:t>
      </w:r>
    </w:p>
    <w:p w14:paraId="37F037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Наличие ряда организаций, ведущих вполне самостоятельную работу в области авиатехники (ГУАП, Осоавиахим (Гос. институт реактивн. движения, госуд. динам. лаборатория, ГУГВФ с рядом Институтов - самолетным, моторным, дизельным, ОКБ ОГПУ, Всесоюзный Научно-исслед. Дизельный институт и др.) на сегодняшний день не обеспечиваются единым руководством, единым планом опытных, экспериментальных и научно-исследовательских работ, координирующим весь сложный комплекс вопросов авиатехники.</w:t>
      </w:r>
    </w:p>
    <w:p w14:paraId="1593EF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органом, объединяющим в различных ведомствах все опытные работы в области авиации, должен явиться Научно-испытат. институт ВВС (НИИ ВВС), ставящий конкретные задачи и проблемы с установлением типов и летно-тактических и технических требований перед ГЛАВАВИАПРОМ"ом и другими организациями, занимающимися вопросами авиатехники.</w:t>
      </w:r>
    </w:p>
    <w:p w14:paraId="675579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Роль НОТО ГУАП в области опытного строительства сводится таким образом, к проведению в жизнь плана, выдвинутого УВВС, утвержденного Правительством, силами научно-исследовательских и опытных организаций, входящих в систему ГУАП.</w:t>
      </w:r>
    </w:p>
    <w:p w14:paraId="5522E6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же касается вопроса об опытных работах, проводимых прочими организациями, по основным работам, НОТО ГУАП с ними связан, но не влияет на характер, направление и ход выполнения этих работ (2305).</w:t>
      </w:r>
    </w:p>
    <w:p w14:paraId="36FF6B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FBB99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1933г Летное испытание ракеты РЛА-1 с двигателем ОРМ-52 не состоялось из-за неоткрытия пускового клапана при сильном морозе (11330).</w:t>
      </w:r>
    </w:p>
    <w:p w14:paraId="5B0F29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FB6C10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г. в письме начальника ЛО РНИИ Г.Э.Лангемака заместителю начальника вооружений и начальнику КО РККА Ефимову по итогам года, в частности, говорилось: «О результатах ра</w:t>
      </w:r>
      <w:r w:rsidRPr="0044524F">
        <w:rPr>
          <w:rFonts w:ascii="Times New Roman" w:hAnsi="Times New Roman"/>
          <w:color w:val="000000" w:themeColor="text1"/>
          <w:sz w:val="16"/>
          <w:szCs w:val="16"/>
        </w:rPr>
        <w:softHyphen/>
        <w:t>бот 1933 г. по реактивным снарядам доношу, что в Ленинградском отде</w:t>
      </w:r>
      <w:r w:rsidRPr="0044524F">
        <w:rPr>
          <w:rFonts w:ascii="Times New Roman" w:hAnsi="Times New Roman"/>
          <w:color w:val="000000" w:themeColor="text1"/>
          <w:sz w:val="16"/>
          <w:szCs w:val="16"/>
        </w:rPr>
        <w:softHyphen/>
        <w:t>лении РНИИ окончательно разрешен вопрос о получении удовлетвори</w:t>
      </w:r>
      <w:r w:rsidRPr="0044524F">
        <w:rPr>
          <w:rFonts w:ascii="Times New Roman" w:hAnsi="Times New Roman"/>
          <w:color w:val="000000" w:themeColor="text1"/>
          <w:sz w:val="16"/>
          <w:szCs w:val="16"/>
        </w:rPr>
        <w:softHyphen/>
        <w:t>тельной меткости для РС на пороховом топливе. Последними стрельба</w:t>
      </w:r>
      <w:r w:rsidRPr="0044524F">
        <w:rPr>
          <w:rFonts w:ascii="Times New Roman" w:hAnsi="Times New Roman"/>
          <w:color w:val="000000" w:themeColor="text1"/>
          <w:sz w:val="16"/>
          <w:szCs w:val="16"/>
        </w:rPr>
        <w:softHyphen/>
        <w:t>ми оперенными снарядами калибров 82 мм и 132 мм на предельную ди</w:t>
      </w:r>
      <w:r w:rsidRPr="0044524F">
        <w:rPr>
          <w:rFonts w:ascii="Times New Roman" w:hAnsi="Times New Roman"/>
          <w:color w:val="000000" w:themeColor="text1"/>
          <w:sz w:val="16"/>
          <w:szCs w:val="16"/>
        </w:rPr>
        <w:softHyphen/>
        <w:t>станцию получена меткость от 1/120 до 1/200 дистанции при дальности 5,5 и 6,5 км. В то время как ТТТ на этот год было предусмотрено дости</w:t>
      </w:r>
      <w:r w:rsidRPr="0044524F">
        <w:rPr>
          <w:rFonts w:ascii="Times New Roman" w:hAnsi="Times New Roman"/>
          <w:color w:val="000000" w:themeColor="text1"/>
          <w:sz w:val="16"/>
          <w:szCs w:val="16"/>
        </w:rPr>
        <w:softHyphen/>
        <w:t>жение меткости 1/100 и дальности 4-5 км.</w:t>
      </w:r>
    </w:p>
    <w:p w14:paraId="5117FA9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Ваш приказ №015/с от 19 марта 1933 г. выполнен со значительным превышением задания. Снаряды указанных выше калиб</w:t>
      </w:r>
      <w:r w:rsidRPr="0044524F">
        <w:rPr>
          <w:rFonts w:ascii="Times New Roman" w:hAnsi="Times New Roman"/>
          <w:color w:val="000000" w:themeColor="text1"/>
          <w:sz w:val="16"/>
          <w:szCs w:val="16"/>
        </w:rPr>
        <w:softHyphen/>
        <w:t>ров до сего времени предназначались для вооружения авиации в качест</w:t>
      </w:r>
      <w:r w:rsidRPr="0044524F">
        <w:rPr>
          <w:rFonts w:ascii="Times New Roman" w:hAnsi="Times New Roman"/>
          <w:color w:val="000000" w:themeColor="text1"/>
          <w:sz w:val="16"/>
          <w:szCs w:val="16"/>
        </w:rPr>
        <w:softHyphen/>
        <w:t>ве средства ближнего боя. Имея ввиду значительные результаты, в смыс</w:t>
      </w:r>
      <w:r w:rsidRPr="0044524F">
        <w:rPr>
          <w:rFonts w:ascii="Times New Roman" w:hAnsi="Times New Roman"/>
          <w:color w:val="000000" w:themeColor="text1"/>
          <w:sz w:val="16"/>
          <w:szCs w:val="16"/>
        </w:rPr>
        <w:softHyphen/>
        <w:t>ле дальности и меткости, и возможность в ближайшее время получить снаряды с большей дальностью, является необходимым поставить воп</w:t>
      </w:r>
      <w:r w:rsidRPr="0044524F">
        <w:rPr>
          <w:rFonts w:ascii="Times New Roman" w:hAnsi="Times New Roman"/>
          <w:color w:val="000000" w:themeColor="text1"/>
          <w:sz w:val="16"/>
          <w:szCs w:val="16"/>
        </w:rPr>
        <w:softHyphen/>
        <w:t>рос об использовании этих снарядов для наземной артиллерии».</w:t>
      </w:r>
    </w:p>
    <w:p w14:paraId="1FF6478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попытки малой ценой разре</w:t>
      </w:r>
      <w:r w:rsidRPr="0044524F">
        <w:rPr>
          <w:rFonts w:ascii="Times New Roman" w:hAnsi="Times New Roman"/>
          <w:color w:val="000000" w:themeColor="text1"/>
          <w:sz w:val="16"/>
          <w:szCs w:val="16"/>
        </w:rPr>
        <w:softHyphen/>
        <w:t>шить проблему точности привели к выбору схемы аэродинамической стабилизации боеприпасов на траектории за счет оперения большого Размаха. Однако и здесь существовал ряд труднообъяснимых явлений. Для успешной работы конструкторам требовалась теория стабилиза</w:t>
      </w:r>
      <w:r w:rsidRPr="0044524F">
        <w:rPr>
          <w:rFonts w:ascii="Times New Roman" w:hAnsi="Times New Roman"/>
          <w:color w:val="000000" w:themeColor="text1"/>
          <w:sz w:val="16"/>
          <w:szCs w:val="16"/>
        </w:rPr>
        <w:softHyphen/>
        <w:t>ции оперенных снарядов, которую только предстояло создать. И чем быстрее, тем лучше. Одного энтузиазма начинающим исследователям реактивного движения для этого было недостаточно. Рождение но</w:t>
      </w:r>
      <w:r w:rsidRPr="0044524F">
        <w:rPr>
          <w:rFonts w:ascii="Times New Roman" w:hAnsi="Times New Roman"/>
          <w:color w:val="000000" w:themeColor="text1"/>
          <w:sz w:val="16"/>
          <w:szCs w:val="16"/>
        </w:rPr>
        <w:softHyphen/>
        <w:t>вого направления в науке требовало времени, множества опытов с боеприпасами различных вариантов исполнения, обобщения стати</w:t>
      </w:r>
      <w:r w:rsidRPr="0044524F">
        <w:rPr>
          <w:rFonts w:ascii="Times New Roman" w:hAnsi="Times New Roman"/>
          <w:color w:val="000000" w:themeColor="text1"/>
          <w:sz w:val="16"/>
          <w:szCs w:val="16"/>
        </w:rPr>
        <w:softHyphen/>
        <w:t>стических данных стрельбы, хорошо оснащенной испытательной ба</w:t>
      </w:r>
      <w:r w:rsidRPr="0044524F">
        <w:rPr>
          <w:rFonts w:ascii="Times New Roman" w:hAnsi="Times New Roman"/>
          <w:color w:val="000000" w:themeColor="text1"/>
          <w:sz w:val="16"/>
          <w:szCs w:val="16"/>
        </w:rPr>
        <w:softHyphen/>
        <w:t>зы и финансирования программ. В итоге все цифры и нюансы было необходимо обработать мощным аналитическим аппаратом, чтобы вывести закономерности и сформулировать законы. Но прежде чем окончательно считать новую теорию наукой, ее требовалось подтвер</w:t>
      </w:r>
      <w:r w:rsidRPr="0044524F">
        <w:rPr>
          <w:rFonts w:ascii="Times New Roman" w:hAnsi="Times New Roman"/>
          <w:color w:val="000000" w:themeColor="text1"/>
          <w:sz w:val="16"/>
          <w:szCs w:val="16"/>
        </w:rPr>
        <w:softHyphen/>
        <w:t>дить практикой.</w:t>
      </w:r>
    </w:p>
    <w:p w14:paraId="4623E95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Разработкой новой теории в РНИИ в 1933 г. занялись Г.Э.Лангемак, В.А.Артемьев, В.П.Глушко при содействии Д.А.Вентцеля. Главной при</w:t>
      </w:r>
      <w:r w:rsidRPr="0044524F">
        <w:rPr>
          <w:rFonts w:ascii="Times New Roman" w:hAnsi="Times New Roman"/>
          <w:color w:val="000000" w:themeColor="text1"/>
          <w:sz w:val="16"/>
          <w:szCs w:val="16"/>
        </w:rPr>
        <w:softHyphen/>
        <w:t>чиной большой величины рассеивания ракетных снарядов инженеры из</w:t>
      </w:r>
      <w:r w:rsidRPr="0044524F">
        <w:rPr>
          <w:rFonts w:ascii="Times New Roman" w:hAnsi="Times New Roman"/>
          <w:color w:val="000000" w:themeColor="text1"/>
          <w:sz w:val="16"/>
          <w:szCs w:val="16"/>
        </w:rPr>
        <w:softHyphen/>
        <w:t>начально считали некачественно изготовленные элементы стабилизации снарядов на траектории. Именно с этого времени в годовых планах работ РНИИ постоянно значились три-пять тем исследований в области повы</w:t>
      </w:r>
      <w:r w:rsidRPr="0044524F">
        <w:rPr>
          <w:rFonts w:ascii="Times New Roman" w:hAnsi="Times New Roman"/>
          <w:color w:val="000000" w:themeColor="text1"/>
          <w:sz w:val="16"/>
          <w:szCs w:val="16"/>
        </w:rPr>
        <w:softHyphen/>
        <w:t>шения точности стрельбы РС.</w:t>
      </w:r>
    </w:p>
    <w:p w14:paraId="6ABC089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Подтверждением тому служит множество типовых отчетов о поли</w:t>
      </w:r>
      <w:r w:rsidRPr="0044524F">
        <w:rPr>
          <w:rFonts w:ascii="Times New Roman" w:hAnsi="Times New Roman"/>
          <w:color w:val="000000" w:themeColor="text1"/>
          <w:sz w:val="16"/>
          <w:szCs w:val="16"/>
        </w:rPr>
        <w:softHyphen/>
        <w:t>гонных испытаниях. Любой позитив в результатах этой сложной работы вызывал большой прилив энтузиазма исследователей. Но, несмотря на явный успех, без лишнего пафоса (11402).</w:t>
      </w:r>
    </w:p>
    <w:p w14:paraId="4AA1B1F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834296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г. из письма начальника ЛО РНИИ Г.Э.Лангемака от заместителю начальника вооружений и начальнику КО РККА тов. Н.А.Ефимову: «По этому поводу желательна организация компетентно</w:t>
      </w:r>
      <w:r w:rsidRPr="0044524F">
        <w:rPr>
          <w:rFonts w:ascii="Times New Roman" w:hAnsi="Times New Roman"/>
          <w:color w:val="000000" w:themeColor="text1"/>
          <w:sz w:val="16"/>
          <w:szCs w:val="16"/>
        </w:rPr>
        <w:softHyphen/>
        <w:t>го технического совещания. Планом 1934 г. предусмотрена разработка реактивных снарядов калибра 245 мм с дальностью стрельбы до 10 км. Эта работа имеет чрезвычайно большое значение ввиду того, что в насто</w:t>
      </w:r>
      <w:r w:rsidRPr="0044524F">
        <w:rPr>
          <w:rFonts w:ascii="Times New Roman" w:hAnsi="Times New Roman"/>
          <w:color w:val="000000" w:themeColor="text1"/>
          <w:sz w:val="16"/>
          <w:szCs w:val="16"/>
        </w:rPr>
        <w:softHyphen/>
        <w:t>ящее время совершенно не имеется тяжелых минометов. Ввиду невоз</w:t>
      </w:r>
      <w:r w:rsidRPr="0044524F">
        <w:rPr>
          <w:rFonts w:ascii="Times New Roman" w:hAnsi="Times New Roman"/>
          <w:color w:val="000000" w:themeColor="text1"/>
          <w:sz w:val="16"/>
          <w:szCs w:val="16"/>
        </w:rPr>
        <w:softHyphen/>
        <w:t>можности изготовлять такие снаряды собственными силами, РНИИ за</w:t>
      </w:r>
      <w:r w:rsidRPr="0044524F">
        <w:rPr>
          <w:rFonts w:ascii="Times New Roman" w:hAnsi="Times New Roman"/>
          <w:color w:val="000000" w:themeColor="text1"/>
          <w:sz w:val="16"/>
          <w:szCs w:val="16"/>
        </w:rPr>
        <w:softHyphen/>
        <w:t>казывает их через 3-й отдел НТУ. Прошу Вашего указания НТУ о том, чтобы было обеспечено своевременное выполнение заказов».</w:t>
      </w:r>
    </w:p>
    <w:p w14:paraId="4425B08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Следует отметить, что с РНИИ ГУБ НКТП у артиллеристов как-то сразу «не заладилось». А свои робкие попытки «поисследовать возмож</w:t>
      </w:r>
      <w:r w:rsidRPr="0044524F">
        <w:rPr>
          <w:rFonts w:ascii="Times New Roman" w:hAnsi="Times New Roman"/>
          <w:color w:val="000000" w:themeColor="text1"/>
          <w:sz w:val="16"/>
          <w:szCs w:val="16"/>
        </w:rPr>
        <w:softHyphen/>
        <w:t>ности» новомодного оружия они реализовывали в подведомственном Научно-исследовательском снарядном институте — НИСИ РККА. Кто конкретно там занимался параллельной с РНИИ тематикой, доподлин</w:t>
      </w:r>
      <w:r w:rsidRPr="0044524F">
        <w:rPr>
          <w:rFonts w:ascii="Times New Roman" w:hAnsi="Times New Roman"/>
          <w:color w:val="000000" w:themeColor="text1"/>
          <w:sz w:val="16"/>
          <w:szCs w:val="16"/>
        </w:rPr>
        <w:softHyphen/>
        <w:t>но неизвестно, однако для испытаний опытные образцы привозили в институт И.Т.Клейменова (11402).</w:t>
      </w:r>
    </w:p>
    <w:p w14:paraId="74F32A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FBBE88F"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6D58380"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8229F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нач. 3ГУ УММ РККА И.А.Лебедев в письме директору ХПЗ по представленному на рассмотрение Нач. УММ РККА проекту БТ с 76-мм пушкой писал: “В выполненном Вами проекте БТ-7 с 76-мм пушкой, установку пулемета рядом с механиком-водителем упразднить из-за затруднений в действиях механика-водителя и невозможности заряжать и стрелять водителем (3881,3).</w:t>
      </w:r>
    </w:p>
    <w:p w14:paraId="4344BE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F49794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1933г. была подготовлена ДОКЛАДНАЯ ЗАПИСКА У ММ В РВС С ОБОСНОВАНИЕМ СМЕТЫ НА ДОСТРОЙКУ НИИАБТ ПОЛИГОНА</w:t>
      </w:r>
    </w:p>
    <w:p w14:paraId="00BF001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Строительство Научно-испытательного автобронетанкового полигона УММ, начавшееся в году, проходит в крайне неблагоприятных условиях.</w:t>
      </w:r>
    </w:p>
    <w:p w14:paraId="3A738E5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строительство было развернуто с опозданием на два месяца и получило не более 40 необходимых материалов.</w:t>
      </w:r>
    </w:p>
    <w:p w14:paraId="7E2919A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Затяжной характер строительства, недооценка его весьма отрицательно отражается на своевр менном испытании новых образцов.</w:t>
      </w:r>
    </w:p>
    <w:p w14:paraId="09C9930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Значительное количество предложений по повышению проходимости, преодолению препят вий, подводному вождению и обслуживанию машин в боевых условиях не получает в настоя время своевременной и должной проработки на полигоне.</w:t>
      </w:r>
    </w:p>
    <w:p w14:paraId="151B37E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строительство Полигона признать первоочередным, лимитировать его строительство 1934 год в сумме 4000000 рублей и дать соответствующие указания строительным органам МВО.</w:t>
      </w:r>
    </w:p>
    <w:p w14:paraId="503CA57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Испрашиваемая сумма по объектам распределяется:</w:t>
      </w:r>
    </w:p>
    <w:p w14:paraId="41A5569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Гараж, мастерские, лаборатории, бензоколонки 850000 руб.</w:t>
      </w:r>
    </w:p>
    <w:p w14:paraId="7EF7E92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Испытательное поле, стрельбище 100000 руб.</w:t>
      </w:r>
    </w:p>
    <w:p w14:paraId="07B922A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Дороги 450000 руб.</w:t>
      </w:r>
    </w:p>
    <w:p w14:paraId="647399F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Материальные склады 100000 руб.</w:t>
      </w:r>
    </w:p>
    <w:p w14:paraId="41E67A2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Казарма кар. роты 150000 руб.</w:t>
      </w:r>
    </w:p>
    <w:p w14:paraId="41E86FA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Силовая станция, котельная 700000 руб.</w:t>
      </w:r>
    </w:p>
    <w:p w14:paraId="0D10127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Водопровод, канализация и противопожарные</w:t>
      </w:r>
    </w:p>
    <w:p w14:paraId="3CA12CE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мероприятия (баня, прачечная) 450000 руб.</w:t>
      </w:r>
    </w:p>
    <w:p w14:paraId="0E458E2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Связь и сигнализация 100000 руб.</w:t>
      </w:r>
    </w:p>
    <w:p w14:paraId="1D6BA3B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Санитарная часть 75000 руб.</w:t>
      </w:r>
    </w:p>
    <w:p w14:paraId="4574A81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Жилищное строительство 500000 руб.</w:t>
      </w:r>
    </w:p>
    <w:p w14:paraId="2761DA9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Клуб 400000 руб.</w:t>
      </w:r>
    </w:p>
    <w:p w14:paraId="700CABD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Ремонт помещения 125000 руб.</w:t>
      </w:r>
    </w:p>
    <w:p w14:paraId="3128A1F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Итого: 4000000 руб.</w:t>
      </w:r>
    </w:p>
    <w:p w14:paraId="7EDAFC6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Управления механизации и моторизации РК Халепский</w:t>
      </w:r>
    </w:p>
    <w:p w14:paraId="32124D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РГВА. Ф. 31811. Оп. 4. Д. 4. Л. 10. Копия (11210).</w:t>
      </w:r>
    </w:p>
    <w:p w14:paraId="032EE7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973862B"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1FEEFEB6"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EAE43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года зампред ОГПУ Ягода обратился с письмом на имя Сталина и Молотова с просьбой о повышении норм продовольственного пайка для заключенных (7560).</w:t>
      </w:r>
    </w:p>
    <w:p w14:paraId="6E5FF5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24D35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зампред ОГПУ Ягода подписал письмо на имя секретаря ЦК ВКП(б) Сталина и председателя СНК СССР Молотова:</w:t>
      </w:r>
    </w:p>
    <w:p w14:paraId="170B84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«Производственная работа исправительно-трудовых лагерей ОГПУ в текущем году протекает при крайне неблагоприятных условиях.</w:t>
      </w:r>
    </w:p>
    <w:p w14:paraId="2FDB00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перемещением главнейших объектов строительства в ДВК, обстановка еще более осложняется, так как основные работы будут вестись в зонах сурового климата, на заболоченных почвах и вечной мерзлоте.</w:t>
      </w:r>
    </w:p>
    <w:p w14:paraId="7FBF55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Выполнение работ при возросших объемах в поставленные сроки требует повышения производительности труда, наиболее полного использования рабочей силы, сведения к минимуму процента больных и слабосильных.</w:t>
      </w:r>
    </w:p>
    <w:p w14:paraId="6A4480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этих условиях вопросы снабжения заключенных предметами питания, одеждой, обувью приобретают исключительно важное значение.</w:t>
      </w:r>
    </w:p>
    <w:p w14:paraId="60F794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тем, снабжение лагерей в настоящее время по сравнению с 1932 годом резко ухудшилось.</w:t>
      </w:r>
    </w:p>
    <w:p w14:paraId="1509AA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Действующие нормы питания заключенных значительно ниже применявшихся в 1932 году.</w:t>
      </w:r>
    </w:p>
    <w:p w14:paraId="2EE497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части вещевого довольствия установленные Комитетом товарных фондов жесткие нормы на практике не соблюдаются.</w:t>
      </w:r>
    </w:p>
    <w:p w14:paraId="129779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Утвержденные фонды вещевого довольствия отпускаются с большими урезками. Заявки лагерей, составляемые по утвержденным нормам, резко сокращаются.</w:t>
      </w:r>
    </w:p>
    <w:p w14:paraId="5827BA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по фондам 1933 года лагерям недодано хлопчатобумажной ткани - 4 млн. метров и обуви на 300 тыс. рублей.</w:t>
      </w:r>
    </w:p>
    <w:p w14:paraId="073A3A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планам на 1-й квартал отпуск предметов утвержден Комитетом товарных фондов в значительно меньшем размере против первого квартала 1933 года, несмотря на возросшую численность контингента. Отпуск в этом размере не покрывает даже самой минимальной потребности лагерей.</w:t>
      </w:r>
    </w:p>
    <w:p w14:paraId="5FE474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Отпущенных, например, 80 тысяч пар обуви недостаточно для того, чтобы обуть контингент, работающий на одном Дальнем Востоке.</w:t>
      </w:r>
    </w:p>
    <w:p w14:paraId="5A67B7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Такое положение может привести к распространению в лагерях истощаемости, заболеваний и, кроме того, не позволит использовать контингент рабочей силы, так как часть его неизбежно будет раздета.</w:t>
      </w:r>
    </w:p>
    <w:p w14:paraId="57E4F0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своей стороны лагеря ОГПУ, наряду с выполнением заданий по строительству, ведут упорную работу по созданию собственной производственной базы.</w:t>
      </w:r>
    </w:p>
    <w:p w14:paraId="04E701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Благодаря интенсивному развитию собственного сельского хозяйства, в первую очередь, скороспелого животноводства, мясной вопрос разрешен лагерями в самые короткие сроки, за один-полтора года. От снабжения лагерей мясом государство полностью освобождено.</w:t>
      </w:r>
    </w:p>
    <w:p w14:paraId="2D2999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Развернутые в 1932-33 году рыбные промысла уже в этом году дали продукцию, полностью обеспечивающую потребность контингента.</w:t>
      </w:r>
    </w:p>
    <w:p w14:paraId="2FFA40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добываемые высокоценные сорта рыбы сдаются лагерями государству в обмен на дешевые, идущие для котлового покрытия.</w:t>
      </w:r>
    </w:p>
    <w:p w14:paraId="2E9295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Полученная в 1933 году продукция собственных огородов покрывает 70 % потребности, значительно сократив завоз картофеля и овощей из государственных фондов.</w:t>
      </w:r>
    </w:p>
    <w:p w14:paraId="4874F5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Впервые в 1933 году в лагерях Средней Азии приступлено к производству собственного хлопка, количество которого в 1933 году дает государству 9 млн. метров ткани.</w:t>
      </w:r>
    </w:p>
    <w:p w14:paraId="4A0741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Намеченная продукция хлопка для 1934 года в переводе на метраж составит 15 млн. метров, при годовой потребности лагерей в 25 млн. метров. Хлопок-сырец сдается государству.</w:t>
      </w:r>
    </w:p>
    <w:p w14:paraId="1377C8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Лагеря в широком размере занимаются собственным производством лаптей, используя их для заключенных, не занятых на земляных работах.</w:t>
      </w:r>
    </w:p>
    <w:p w14:paraId="75500B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все возможное для удовлетворения потребностей за счет собственных ресурсов лагерями предпринимается.</w:t>
      </w:r>
    </w:p>
    <w:p w14:paraId="1AE694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w:t>
      </w:r>
    </w:p>
    <w:p w14:paraId="1ADFF4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О пересмотре действующих ныне норм снабжения заключенных продовольствием и об установлении норм в следующем размере на одного человека в месяц (в кг).</w:t>
      </w:r>
    </w:p>
    <w:p w14:paraId="1CC3C9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Испрашиваемые нормы будут все же значительно ниже применявшихся в 1932 году.</w:t>
      </w:r>
    </w:p>
    <w:p w14:paraId="1E2226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Об отпуске 4 млн. метров ткани и на 300 тыс. рублей обуви, недоданных по утвержденному фонду 1933 года.</w:t>
      </w:r>
    </w:p>
    <w:p w14:paraId="1F3472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Об утверждении годового фонда вещевого довольствия на 550.000 заключенных на 1934 год в соответствии с установленными Комитетом товарных фондов 03.02.33.</w:t>
      </w:r>
    </w:p>
    <w:p w14:paraId="3A0E1D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О пересмотре решения Комитета товарных фондов и отпуске лагерям в 1 квартале 1934 года хлопчатобумажной ткани и обуви в размере 30 % годовой потребности» (7560).</w:t>
      </w:r>
    </w:p>
    <w:p w14:paraId="4A8B5442" w14:textId="4FD3783F"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EB8E9FE" w14:textId="5863CB73" w:rsidR="005250E9" w:rsidRPr="0044524F" w:rsidRDefault="005250E9"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67D60261" w14:textId="77777777" w:rsidR="005250E9" w:rsidRPr="0044524F" w:rsidRDefault="005250E9"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1E5D6C35" w14:textId="77777777" w:rsidR="005250E9" w:rsidRPr="0044524F" w:rsidRDefault="005250E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Latecoere 300 летающая лодка Круа - дю - Sud (« Южный Крест ») устанавливает мировой рекорд беспосадочного перелета для гидросамолетов, пролетев 3697 км (2297 миль) от Этан де Бер, Франция в Сен-Луи, Сенегал (20802).</w:t>
      </w:r>
    </w:p>
    <w:p w14:paraId="010CF484" w14:textId="77777777" w:rsidR="005250E9" w:rsidRPr="0044524F" w:rsidRDefault="005250E9" w:rsidP="009654CF">
      <w:pPr>
        <w:spacing w:after="0" w:line="240" w:lineRule="auto"/>
        <w:jc w:val="both"/>
        <w:rPr>
          <w:rFonts w:ascii="Times New Roman" w:hAnsi="Times New Roman"/>
          <w:color w:val="000000" w:themeColor="text1"/>
          <w:sz w:val="16"/>
          <w:szCs w:val="16"/>
        </w:rPr>
      </w:pPr>
    </w:p>
    <w:p w14:paraId="690D1576" w14:textId="77777777" w:rsidR="005250E9" w:rsidRPr="0044524F" w:rsidRDefault="005250E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 декабря 1933 Правительство Венесуэлы выкупает авиакомпанию Aeropostal Увы де Венесуэла после того, как правительство Франции прекращает субсидирование (20802).</w:t>
      </w:r>
    </w:p>
    <w:p w14:paraId="35FD41D6" w14:textId="77777777" w:rsidR="005250E9" w:rsidRPr="0044524F" w:rsidRDefault="005250E9" w:rsidP="009654CF">
      <w:pPr>
        <w:spacing w:after="0" w:line="240" w:lineRule="auto"/>
        <w:jc w:val="both"/>
        <w:rPr>
          <w:rFonts w:ascii="Times New Roman" w:hAnsi="Times New Roman"/>
          <w:color w:val="000000" w:themeColor="text1"/>
          <w:sz w:val="16"/>
          <w:szCs w:val="16"/>
        </w:rPr>
      </w:pPr>
    </w:p>
    <w:p w14:paraId="5E2C3F44"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628404FE"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C076AF" w14:textId="77777777" w:rsidR="00BA27F5" w:rsidRPr="0044524F" w:rsidRDefault="00BA27F5"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В конце декабря 1933 накануне нового 1934 года, в НИИ ВВС поступили указания Начальника ВВС:</w:t>
      </w:r>
    </w:p>
    <w:p w14:paraId="5B9625C9" w14:textId="77777777" w:rsidR="00BA27F5" w:rsidRPr="0044524F" w:rsidRDefault="00BA27F5"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«ЦАГИ для серийного производства строит в качестве эталона дублер И-14 под два пулемета, предусматривая возможность установки двух пушек.</w:t>
      </w:r>
    </w:p>
    <w:p w14:paraId="2A3486EF" w14:textId="77777777" w:rsidR="00BA27F5" w:rsidRPr="0044524F" w:rsidRDefault="00BA27F5"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Первый экземпляр И-14 построен и НИИ должен, согласно данных мною указаний, приступить к его испытанию.</w:t>
      </w:r>
    </w:p>
    <w:p w14:paraId="3C293C6A" w14:textId="77777777" w:rsidR="00BA27F5" w:rsidRPr="0044524F" w:rsidRDefault="00BA27F5"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Этот экземпляр имеет один пулемет и предусматривает установку двух пушек.</w:t>
      </w:r>
    </w:p>
    <w:p w14:paraId="14FF9430" w14:textId="77777777" w:rsidR="00BA27F5" w:rsidRPr="0044524F" w:rsidRDefault="00BA27F5"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По докладу т. Туполева пушки уже отстреляны на земле и необходимо испытать их в воздухе.</w:t>
      </w:r>
    </w:p>
    <w:p w14:paraId="2BE4BB92" w14:textId="77777777" w:rsidR="00BA27F5" w:rsidRPr="0044524F" w:rsidRDefault="00BA27F5"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Предлагаю:</w:t>
      </w:r>
    </w:p>
    <w:p w14:paraId="00FCAA7B" w14:textId="77777777" w:rsidR="00BA27F5" w:rsidRPr="0044524F" w:rsidRDefault="00BA27F5"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1. Продолжить изготовление дублера И-14 2 пулемета, предусмотрев установку пушек так, как это намечено и делается.</w:t>
      </w:r>
    </w:p>
    <w:p w14:paraId="7824ED5F" w14:textId="77777777" w:rsidR="00BA27F5" w:rsidRPr="0044524F" w:rsidRDefault="00BA27F5"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2. Немедленно приступить к испытанию 1-го экземпляра И-14, как самолета с целью определить все летно-тактические данные под один пулемет (как это установлено).</w:t>
      </w:r>
    </w:p>
    <w:p w14:paraId="3BB35AA9" w14:textId="77777777" w:rsidR="00BA27F5" w:rsidRPr="0044524F" w:rsidRDefault="00BA27F5"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По окончании испытаний первый экземпляр И-14, как самолета, сейчас же немедленно установить на нем пушки и приступить к испытаниям на этом самолете пушечной системы и самолета с этой системой с таким расчетом, чтобы ко времени выхода дублера на государственные испытания пушечная система была уже испытана в воздухе на первом экземпляре.</w:t>
      </w:r>
    </w:p>
    <w:p w14:paraId="6AA9E23A" w14:textId="77777777" w:rsidR="00BA27F5" w:rsidRPr="0044524F" w:rsidRDefault="00BA27F5" w:rsidP="009654CF">
      <w:pPr>
        <w:pStyle w:val="ae"/>
        <w:shd w:val="clear" w:color="auto" w:fill="FFFFFF"/>
        <w:spacing w:before="0" w:after="0"/>
        <w:jc w:val="both"/>
        <w:textAlignment w:val="baseline"/>
        <w:rPr>
          <w:color w:val="000000" w:themeColor="text1"/>
          <w:sz w:val="16"/>
          <w:szCs w:val="16"/>
        </w:rPr>
      </w:pPr>
      <w:r w:rsidRPr="0044524F">
        <w:rPr>
          <w:rStyle w:val="af0"/>
          <w:i w:val="0"/>
          <w:color w:val="000000" w:themeColor="text1"/>
          <w:sz w:val="16"/>
          <w:szCs w:val="16"/>
          <w:bdr w:val="none" w:sz="0" w:space="0" w:color="auto" w:frame="1"/>
        </w:rPr>
        <w:t>В соответствии с этим должен быть определен план и темпы испытания И-14.</w:t>
      </w:r>
    </w:p>
    <w:p w14:paraId="1258CD4C" w14:textId="77777777" w:rsidR="00BA27F5" w:rsidRPr="0044524F" w:rsidRDefault="00BA27F5" w:rsidP="009654CF">
      <w:pPr>
        <w:pStyle w:val="ae"/>
        <w:shd w:val="clear" w:color="auto" w:fill="FFFFFF"/>
        <w:spacing w:before="0" w:after="0"/>
        <w:jc w:val="both"/>
        <w:textAlignment w:val="baseline"/>
        <w:rPr>
          <w:rStyle w:val="af0"/>
          <w:i w:val="0"/>
          <w:color w:val="000000" w:themeColor="text1"/>
          <w:sz w:val="16"/>
          <w:szCs w:val="16"/>
          <w:bdr w:val="none" w:sz="0" w:space="0" w:color="auto" w:frame="1"/>
        </w:rPr>
      </w:pPr>
      <w:r w:rsidRPr="0044524F">
        <w:rPr>
          <w:rStyle w:val="af0"/>
          <w:i w:val="0"/>
          <w:color w:val="000000" w:themeColor="text1"/>
          <w:sz w:val="16"/>
          <w:szCs w:val="16"/>
          <w:bdr w:val="none" w:sz="0" w:space="0" w:color="auto" w:frame="1"/>
        </w:rPr>
        <w:t>О ходе испытаний докладывать мне 10, 20 и 30 января. Тов. Жарову к тому времени выяснить в ГАУ, сколько пушек этого типа оно заказывает по 1934 году.» (19177).</w:t>
      </w:r>
    </w:p>
    <w:p w14:paraId="73C8AA9B" w14:textId="77777777" w:rsidR="00BA27F5" w:rsidRPr="0044524F" w:rsidRDefault="00BA27F5" w:rsidP="009654CF">
      <w:pPr>
        <w:pStyle w:val="ae"/>
        <w:shd w:val="clear" w:color="auto" w:fill="FFFFFF"/>
        <w:spacing w:before="0" w:after="0"/>
        <w:jc w:val="both"/>
        <w:textAlignment w:val="baseline"/>
        <w:rPr>
          <w:color w:val="000000" w:themeColor="text1"/>
          <w:sz w:val="16"/>
          <w:szCs w:val="16"/>
        </w:rPr>
      </w:pPr>
    </w:p>
    <w:p w14:paraId="0679228D" w14:textId="77777777" w:rsidR="001F3595" w:rsidRPr="0044524F" w:rsidRDefault="001F35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декабря 1933 (31 - 222,25) завершились гос. испытания И-15 - на лыжах, которые проходили с 21 декабря 1933. Серия было с 1934 и прекратили в конце 1935 и вновь начали только в конце 1937 как И-15 бис (80,133).</w:t>
      </w:r>
    </w:p>
    <w:p w14:paraId="702F3151" w14:textId="77777777" w:rsidR="001F3595" w:rsidRPr="0044524F" w:rsidRDefault="001F3595" w:rsidP="009654CF">
      <w:pPr>
        <w:autoSpaceDE w:val="0"/>
        <w:autoSpaceDN w:val="0"/>
        <w:adjustRightInd w:val="0"/>
        <w:spacing w:after="0" w:line="240" w:lineRule="auto"/>
        <w:jc w:val="both"/>
        <w:rPr>
          <w:rFonts w:ascii="Times New Roman" w:hAnsi="Times New Roman"/>
          <w:color w:val="000000" w:themeColor="text1"/>
          <w:sz w:val="16"/>
          <w:szCs w:val="16"/>
        </w:rPr>
      </w:pPr>
    </w:p>
    <w:p w14:paraId="5E51939C" w14:textId="77777777" w:rsidR="005250E9" w:rsidRPr="0044524F" w:rsidRDefault="005250E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декабря 1935-го был подготовлен проект постановления СТО № 45 «Об опытном строитель</w:t>
      </w:r>
      <w:r w:rsidRPr="0044524F">
        <w:rPr>
          <w:rFonts w:ascii="Times New Roman" w:hAnsi="Times New Roman"/>
          <w:color w:val="000000" w:themeColor="text1"/>
          <w:sz w:val="16"/>
          <w:szCs w:val="16"/>
        </w:rPr>
        <w:softHyphen/>
        <w:t>стве авиации» на 1936—1937 годы. Этим документом предполагалось поручить разработку бомбардиров</w:t>
      </w:r>
      <w:r w:rsidRPr="0044524F">
        <w:rPr>
          <w:rFonts w:ascii="Times New Roman" w:hAnsi="Times New Roman"/>
          <w:color w:val="000000" w:themeColor="text1"/>
          <w:sz w:val="16"/>
          <w:szCs w:val="16"/>
        </w:rPr>
        <w:softHyphen/>
        <w:t>щиков дальнего действия с моторами М-85 воздуш</w:t>
      </w:r>
      <w:r w:rsidRPr="0044524F">
        <w:rPr>
          <w:rFonts w:ascii="Times New Roman" w:hAnsi="Times New Roman"/>
          <w:color w:val="000000" w:themeColor="text1"/>
          <w:sz w:val="16"/>
          <w:szCs w:val="16"/>
        </w:rPr>
        <w:softHyphen/>
        <w:t>ного охлаждения А. Н. Туполеву (ЦАГИ) и С. В. Илью</w:t>
      </w:r>
      <w:r w:rsidRPr="0044524F">
        <w:rPr>
          <w:rFonts w:ascii="Times New Roman" w:hAnsi="Times New Roman"/>
          <w:color w:val="000000" w:themeColor="text1"/>
          <w:sz w:val="16"/>
          <w:szCs w:val="16"/>
        </w:rPr>
        <w:softHyphen/>
        <w:t>шину (ЦКБ-39).</w:t>
      </w:r>
    </w:p>
    <w:p w14:paraId="7A989F56" w14:textId="77777777" w:rsidR="005250E9" w:rsidRPr="0044524F" w:rsidRDefault="005250E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Судя по всему, требования к такому самолету носили расплывчатый характер, а летно-техни</w:t>
      </w:r>
      <w:r w:rsidRPr="0044524F">
        <w:rPr>
          <w:rFonts w:ascii="Times New Roman" w:hAnsi="Times New Roman"/>
          <w:color w:val="000000" w:themeColor="text1"/>
          <w:sz w:val="16"/>
          <w:szCs w:val="16"/>
        </w:rPr>
        <w:softHyphen/>
        <w:t>ческие данные были предложены промышленно</w:t>
      </w:r>
      <w:r w:rsidRPr="0044524F">
        <w:rPr>
          <w:rFonts w:ascii="Times New Roman" w:hAnsi="Times New Roman"/>
          <w:color w:val="000000" w:themeColor="text1"/>
          <w:sz w:val="16"/>
          <w:szCs w:val="16"/>
        </w:rPr>
        <w:softHyphen/>
        <w:t>стью, исходя из личных взглядов руководителей КБ на развитие и применение авиационной техники. Так, Туполев предложил самолет с максимальной скоростью 300—320 км/ч (посадочная — 90 км/ч), способный летать на расстояние до 5000 км, а Ильюшин — более скоростную машину (400— 450 км/ч), но с дальностью 1500 км. Оба самоле</w:t>
      </w:r>
      <w:r w:rsidRPr="0044524F">
        <w:rPr>
          <w:rFonts w:ascii="Times New Roman" w:hAnsi="Times New Roman"/>
          <w:color w:val="000000" w:themeColor="text1"/>
          <w:sz w:val="16"/>
          <w:szCs w:val="16"/>
        </w:rPr>
        <w:softHyphen/>
        <w:t>та предписывалось передать на летные испытания к 1 июня 1936 года (23188).</w:t>
      </w:r>
    </w:p>
    <w:p w14:paraId="4C259403" w14:textId="77777777" w:rsidR="005250E9" w:rsidRPr="0044524F" w:rsidRDefault="005250E9" w:rsidP="009654CF">
      <w:pPr>
        <w:spacing w:after="0" w:line="240" w:lineRule="auto"/>
        <w:jc w:val="both"/>
        <w:rPr>
          <w:rFonts w:ascii="Times New Roman" w:hAnsi="Times New Roman"/>
          <w:color w:val="000000" w:themeColor="text1"/>
          <w:sz w:val="16"/>
          <w:szCs w:val="16"/>
        </w:rPr>
      </w:pPr>
    </w:p>
    <w:p w14:paraId="7445FF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конце декабря 1933 г. первый «Циклон» отправили в СССР. Примерно в это же время конструкторы фирмы «Райт» подготовили чертежи метрического варианта мотора, построили опытный образец и в январе 1934 г. поставили его на стенд. В апреле он завершил 100-часовые испытания в США. Для освоения производства </w:t>
      </w:r>
      <w:r w:rsidRPr="0044524F">
        <w:rPr>
          <w:rFonts w:ascii="Times New Roman" w:hAnsi="Times New Roman"/>
          <w:color w:val="000000" w:themeColor="text1"/>
          <w:sz w:val="16"/>
          <w:szCs w:val="16"/>
        </w:rPr>
        <w:lastRenderedPageBreak/>
        <w:t>американских моторов выделили новый за</w:t>
      </w:r>
      <w:r w:rsidRPr="0044524F">
        <w:rPr>
          <w:rFonts w:ascii="Times New Roman" w:hAnsi="Times New Roman"/>
          <w:color w:val="000000" w:themeColor="text1"/>
          <w:sz w:val="16"/>
          <w:szCs w:val="16"/>
        </w:rPr>
        <w:softHyphen/>
        <w:t>вод № 19 в Перми. Постановление Совета труда и обороны от 15 декабря 1933 г. предписывало ему к концу 1934 г. собрать первые 50 моторов из покупных деталей. Но «Циклон» уже не являлся новинкой. Осознавая это, Совет труда и обороны в марте 1934 г. распорядился организовать на заводе конструкторский отдел, который занялся бы совершенствованием американского двигателя в отношении мощности, высотности, надежности и уменьшения расхода горючего и масла. Главным конструктором завода № 19 назначили А.Д. Швецова (11852).</w:t>
      </w:r>
    </w:p>
    <w:p w14:paraId="3C7659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35223E3" w14:textId="77777777" w:rsidR="00BA27F5" w:rsidRPr="0044524F" w:rsidRDefault="00BA27F5"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rPr>
        <w:t>В конце декабря 1933 г. первый "Циклон" отправили в СССР. В январе 1934 г. фирма построила первый метрический мотор и установила его на стенд. В апреле он завершил 100-часовые испытания в США. По указанию Правительства в двух километрах от южной окраины г. Перми было начато строительство одного из самых мощных в те годы авиамоторных заводов №19. Завод получил самое совершенное и высокопроизводительное оборудование. Постановление Совета труда и обороны от 15 декабря 1933 г. предписывало предприятию к концу 1934 г. собрать первые 50 моторов из закупленных деталей. В марте 1934 г. на заводе был образован конструкторский отдел. Главным конструктором назначили А.Д. Швецова.</w:t>
      </w:r>
    </w:p>
    <w:p w14:paraId="21377B28" w14:textId="77777777" w:rsidR="00BA27F5" w:rsidRPr="0044524F" w:rsidRDefault="00BA27F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Директором предприятия стал И.И. Побережский (19534).</w:t>
      </w:r>
    </w:p>
    <w:p w14:paraId="687C7024" w14:textId="77777777" w:rsidR="00BA27F5" w:rsidRPr="0044524F" w:rsidRDefault="00BA27F5" w:rsidP="009654CF">
      <w:pPr>
        <w:spacing w:after="0" w:line="240" w:lineRule="auto"/>
        <w:jc w:val="both"/>
        <w:rPr>
          <w:rFonts w:ascii="Times New Roman" w:hAnsi="Times New Roman"/>
          <w:color w:val="000000" w:themeColor="text1"/>
          <w:sz w:val="16"/>
          <w:szCs w:val="16"/>
        </w:rPr>
      </w:pPr>
    </w:p>
    <w:p w14:paraId="08E70147" w14:textId="77777777" w:rsidR="00882140" w:rsidRPr="0044524F" w:rsidRDefault="008821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декабря 1933 г. первый мотор Райт Р-1820 «Циклон» отправили в СССР. В составе приобретённой партии имелись разные модификации, но в основном это были Р-1820-РЗ (у нас их часто именовали РЦФ-3).</w:t>
      </w:r>
    </w:p>
    <w:p w14:paraId="2128BF5C" w14:textId="77777777" w:rsidR="00882140" w:rsidRPr="0044524F" w:rsidRDefault="0088214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Примерно в это же время конструкторы фирмы «Райт» подготовили чертежи мет-рического варианта, построили опытный образец и в январе 1934 г. поставили его на стенд. В апреле завершились его 100-часовые испытания (12261).</w:t>
      </w:r>
    </w:p>
    <w:p w14:paraId="3341F999" w14:textId="77777777" w:rsidR="00882140" w:rsidRPr="0044524F" w:rsidRDefault="00882140" w:rsidP="009654CF">
      <w:pPr>
        <w:spacing w:after="0" w:line="240" w:lineRule="auto"/>
        <w:jc w:val="both"/>
        <w:rPr>
          <w:rFonts w:ascii="Times New Roman" w:hAnsi="Times New Roman"/>
          <w:color w:val="000000" w:themeColor="text1"/>
          <w:sz w:val="16"/>
          <w:szCs w:val="16"/>
        </w:rPr>
      </w:pPr>
    </w:p>
    <w:p w14:paraId="79222588" w14:textId="77777777" w:rsidR="00C62179" w:rsidRPr="00142305" w:rsidRDefault="00C62179" w:rsidP="00C621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 xml:space="preserve">В конце декабря 1933 г. первый «Циклон» отправили в СССР. Примерно в это же время конструкторы фирмы «Райт» подготовили чертежи метрического варианта мотора, построили опытный образец и в январе 1934 г. поставили его на стенд. В апреле он завершил 100-часовые испытания в США. Двигатель </w:t>
      </w:r>
      <w:bookmarkStart w:id="58" w:name="_Hlk196746696"/>
      <w:r w:rsidRPr="00142305">
        <w:rPr>
          <w:rStyle w:val="aff"/>
          <w:rFonts w:ascii="Times New Roman" w:hAnsi="Times New Roman" w:cs="Times New Roman"/>
          <w:color w:val="0070C0"/>
          <w:spacing w:val="0"/>
          <w:sz w:val="16"/>
          <w:szCs w:val="16"/>
          <w:lang w:val="en-US"/>
        </w:rPr>
        <w:t>Wright</w:t>
      </w:r>
      <w:r w:rsidRPr="00142305">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lang w:val="en-US"/>
        </w:rPr>
        <w:t>Cyclone</w:t>
      </w:r>
      <w:r w:rsidRPr="00142305">
        <w:rPr>
          <w:rStyle w:val="aff"/>
          <w:rFonts w:ascii="Times New Roman" w:hAnsi="Times New Roman" w:cs="Times New Roman"/>
          <w:color w:val="0070C0"/>
          <w:spacing w:val="0"/>
          <w:sz w:val="16"/>
          <w:szCs w:val="16"/>
        </w:rPr>
        <w:t>-9 R-1820-F3</w:t>
      </w:r>
      <w:bookmarkEnd w:id="58"/>
      <w:r w:rsidRPr="00142305">
        <w:rPr>
          <w:rStyle w:val="aff"/>
          <w:rFonts w:ascii="Times New Roman" w:hAnsi="Times New Roman" w:cs="Times New Roman"/>
          <w:color w:val="0070C0"/>
          <w:spacing w:val="0"/>
          <w:sz w:val="16"/>
          <w:szCs w:val="16"/>
        </w:rPr>
        <w:t>имел рабочий объем 1820 кубических дюймов (29,87 л) и номинальную мощность 625 л.с. (максимальная – 750 л.с. на пятими</w:t>
      </w:r>
      <w:r w:rsidRPr="00142305">
        <w:rPr>
          <w:rStyle w:val="aff"/>
          <w:rFonts w:ascii="Times New Roman" w:hAnsi="Times New Roman" w:cs="Times New Roman"/>
          <w:color w:val="0070C0"/>
          <w:spacing w:val="0"/>
          <w:sz w:val="16"/>
          <w:szCs w:val="16"/>
        </w:rPr>
        <w:softHyphen/>
        <w:t>нутном режиме) при сухой массе 477 кг. Мотор получил односкоростной нагнетатель, обеспечивавший рабочую высоту 1770 м. Редуктор отсутствовал.</w:t>
      </w:r>
    </w:p>
    <w:p w14:paraId="2E06DB4D" w14:textId="77777777" w:rsidR="00C62179" w:rsidRPr="00142305" w:rsidRDefault="00C62179" w:rsidP="00C62179">
      <w:pPr>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Для освоения производства американских моторов выделили новый завод № 19 в Молотове (ныне Пермь), оснащенный преимущественно импортными станками и оборудованием (25145).</w:t>
      </w:r>
    </w:p>
    <w:p w14:paraId="5817ED6A" w14:textId="77777777" w:rsidR="00C62179" w:rsidRPr="00142305" w:rsidRDefault="00C62179" w:rsidP="00C62179">
      <w:pPr>
        <w:spacing w:after="0" w:line="240" w:lineRule="auto"/>
        <w:jc w:val="both"/>
        <w:rPr>
          <w:rFonts w:ascii="Times New Roman" w:hAnsi="Times New Roman"/>
          <w:color w:val="0070C0"/>
          <w:sz w:val="16"/>
          <w:szCs w:val="16"/>
        </w:rPr>
      </w:pPr>
    </w:p>
    <w:p w14:paraId="05113FD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декабря 1933 Ляпидевский дважды пытался вы</w:t>
      </w:r>
      <w:r w:rsidRPr="0044524F">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44524F">
        <w:rPr>
          <w:rFonts w:ascii="Times New Roman" w:hAnsi="Times New Roman"/>
          <w:color w:val="000000" w:themeColor="text1"/>
          <w:sz w:val="16"/>
          <w:szCs w:val="16"/>
        </w:rPr>
        <w:softHyphen/>
        <w:t>вращался. Затем на самолете иссяк запас сжатого воздуха, и Ляпидевскому пришлось вернуться в бухту Провидения за второй машиной. Она числилась за летчиком Чер</w:t>
      </w:r>
      <w:r w:rsidRPr="0044524F">
        <w:rPr>
          <w:rFonts w:ascii="Times New Roman" w:hAnsi="Times New Roman"/>
          <w:color w:val="000000" w:themeColor="text1"/>
          <w:sz w:val="16"/>
          <w:szCs w:val="16"/>
        </w:rPr>
        <w:softHyphen/>
        <w:t>нявским, однако решили, что полеты про</w:t>
      </w:r>
      <w:r w:rsidRPr="0044524F">
        <w:rPr>
          <w:rFonts w:ascii="Times New Roman" w:hAnsi="Times New Roman"/>
          <w:color w:val="000000" w:themeColor="text1"/>
          <w:sz w:val="16"/>
          <w:szCs w:val="16"/>
        </w:rPr>
        <w:softHyphen/>
        <w:t>должит именно Ляпидевский. Двухнедель</w:t>
      </w:r>
      <w:r w:rsidRPr="0044524F">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44524F">
        <w:rPr>
          <w:rFonts w:ascii="Times New Roman" w:hAnsi="Times New Roman"/>
          <w:color w:val="000000" w:themeColor="text1"/>
          <w:sz w:val="16"/>
          <w:szCs w:val="16"/>
        </w:rPr>
        <w:softHyphen/>
        <w:t>жали начало спасения людей (11286).</w:t>
      </w:r>
    </w:p>
    <w:p w14:paraId="01CC06F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B33C0A5"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декабря 1933 по прибытии в Уэллен Ляпидевский сделал две попытки вылететь к «Челюскину», но из-за неисправности моторов оба раза возвращался. На взлёте он зацепился за что-то правой лыжей, но обошлось без происшествий. Во втором полё</w:t>
      </w:r>
      <w:r w:rsidRPr="0044524F">
        <w:rPr>
          <w:rFonts w:ascii="Times New Roman" w:hAnsi="Times New Roman"/>
          <w:color w:val="000000" w:themeColor="text1"/>
          <w:sz w:val="16"/>
          <w:szCs w:val="16"/>
        </w:rPr>
        <w:softHyphen/>
        <w:t>те в мороз в 34° Ляпидевский сильно обморозился, и нужно было возвращаться в бух</w:t>
      </w:r>
      <w:r w:rsidRPr="0044524F">
        <w:rPr>
          <w:rFonts w:ascii="Times New Roman" w:hAnsi="Times New Roman"/>
          <w:color w:val="000000" w:themeColor="text1"/>
          <w:sz w:val="16"/>
          <w:szCs w:val="16"/>
        </w:rPr>
        <w:softHyphen/>
        <w:t>ту Провидения за вторым самолётом, поскольку иссяк запас сжатого воздуха для заводки моторов (15822).</w:t>
      </w:r>
    </w:p>
    <w:p w14:paraId="5B72330A" w14:textId="77777777" w:rsidR="0047154B" w:rsidRPr="0044524F" w:rsidRDefault="0047154B" w:rsidP="009654CF">
      <w:pPr>
        <w:spacing w:after="0" w:line="240" w:lineRule="auto"/>
        <w:jc w:val="both"/>
        <w:rPr>
          <w:rFonts w:ascii="Times New Roman" w:hAnsi="Times New Roman"/>
          <w:color w:val="000000" w:themeColor="text1"/>
          <w:sz w:val="16"/>
          <w:szCs w:val="16"/>
        </w:rPr>
      </w:pPr>
    </w:p>
    <w:p w14:paraId="525C7724" w14:textId="77777777" w:rsidR="00C62179" w:rsidRPr="00142305" w:rsidRDefault="00C62179" w:rsidP="00C62179">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декабря 1933 г. Анатолий Васильевич Ляпидевский дважды пытался вылететь из Уэлена на мысе Дежнёва</w:t>
      </w:r>
      <w:r w:rsidRPr="00142305">
        <w:rPr>
          <w:rStyle w:val="104"/>
          <w:rFonts w:ascii="Times New Roman" w:hAnsi="Times New Roman" w:cs="Times New Roman"/>
          <w:color w:val="0070C0"/>
          <w:sz w:val="16"/>
          <w:szCs w:val="16"/>
        </w:rPr>
        <w:t xml:space="preserve"> </w:t>
      </w:r>
      <w:r w:rsidRPr="00142305">
        <w:rPr>
          <w:rStyle w:val="aff"/>
          <w:rFonts w:ascii="Times New Roman" w:hAnsi="Times New Roman" w:cs="Times New Roman"/>
          <w:color w:val="0070C0"/>
          <w:spacing w:val="0"/>
          <w:sz w:val="16"/>
          <w:szCs w:val="16"/>
        </w:rPr>
        <w:t xml:space="preserve">к терпящим бедствие судам и оба раза по причине плохой работы двигателей возвращался. Затем на самолёте иссяк запас сжатого воздуха, и А.В. Ляпидевский был вынужден </w:t>
      </w:r>
      <w:r w:rsidRPr="00142305">
        <w:rPr>
          <w:rStyle w:val="aff"/>
          <w:rFonts w:ascii="Times New Roman" w:hAnsi="Times New Roman" w:cs="Times New Roman"/>
          <w:color w:val="0070C0"/>
          <w:spacing w:val="0"/>
          <w:sz w:val="16"/>
          <w:szCs w:val="16"/>
          <w:lang w:val="en-US"/>
        </w:rPr>
        <w:t>is</w:t>
      </w:r>
      <w:r w:rsidRPr="00142305">
        <w:rPr>
          <w:rStyle w:val="aff"/>
          <w:rFonts w:ascii="Times New Roman" w:hAnsi="Times New Roman" w:cs="Times New Roman"/>
          <w:color w:val="0070C0"/>
          <w:spacing w:val="0"/>
          <w:sz w:val="16"/>
          <w:szCs w:val="16"/>
        </w:rPr>
        <w:t xml:space="preserve"> течение двух недель добираться в бухту Провидения за второй машиной на собачьих упряжках (25653).</w:t>
      </w:r>
    </w:p>
    <w:p w14:paraId="405386A8" w14:textId="77777777" w:rsidR="00C62179" w:rsidRPr="00142305" w:rsidRDefault="00C62179" w:rsidP="00C62179">
      <w:pPr>
        <w:spacing w:after="0" w:line="240" w:lineRule="auto"/>
        <w:jc w:val="both"/>
        <w:rPr>
          <w:rFonts w:ascii="Times New Roman" w:hAnsi="Times New Roman"/>
          <w:color w:val="0070C0"/>
          <w:sz w:val="16"/>
          <w:szCs w:val="16"/>
        </w:rPr>
      </w:pPr>
    </w:p>
    <w:p w14:paraId="471CE0D6"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39EA56F9"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A68F1BD" w14:textId="77777777" w:rsidR="001F3595" w:rsidRPr="0044524F" w:rsidRDefault="001F35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Срок представления проекта ДБ-3 (ЦКБ-26) был в декабре 1933 (24,80) и он был соблюден. НТК был рассмотрен проект ДБ (24,80).</w:t>
      </w:r>
    </w:p>
    <w:p w14:paraId="470EA26C" w14:textId="77777777" w:rsidR="001F3595" w:rsidRPr="0044524F" w:rsidRDefault="001F3595"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работа над ДБ С.В.И. как и ДБ П.О.С. началась в конце 1933 (363,166).</w:t>
      </w:r>
    </w:p>
    <w:p w14:paraId="1779DD02" w14:textId="77777777" w:rsidR="001F3595" w:rsidRPr="0044524F" w:rsidRDefault="001F3595" w:rsidP="009654CF">
      <w:pPr>
        <w:autoSpaceDE w:val="0"/>
        <w:autoSpaceDN w:val="0"/>
        <w:adjustRightInd w:val="0"/>
        <w:spacing w:after="0" w:line="240" w:lineRule="auto"/>
        <w:jc w:val="both"/>
        <w:rPr>
          <w:rFonts w:ascii="Times New Roman" w:hAnsi="Times New Roman"/>
          <w:color w:val="000000" w:themeColor="text1"/>
          <w:sz w:val="16"/>
          <w:szCs w:val="16"/>
        </w:rPr>
      </w:pPr>
    </w:p>
    <w:p w14:paraId="6E175124"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декабря 1933 года завод 39 вел интенсивную подготовку производства РД и выполнял порученное задание, однако в декабре, в связи с возложением на него другого задания по истребителям, работа была свернута и ГУАПом приказано все чертежи и документации передать заводу № 124 (Казань) через ЦАГИ.</w:t>
      </w:r>
    </w:p>
    <w:p w14:paraId="0F90C53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рассмотрении заказа на 1934 год Правительством, по настоянию ГУАПа было утверждено в плане заказов на 1934 год только 25 РД вместо первоначально намеченных 40 (см. Постановление СТО – протокол № 119/сс от 28 ноября 1933 года) (4256, 30).</w:t>
      </w:r>
    </w:p>
    <w:p w14:paraId="3FEBBC6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51A7B64D" w14:textId="77777777" w:rsidR="00EB71DB" w:rsidRPr="0044524F" w:rsidRDefault="00EB71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года в акте по результатам государственных испытаний, утвержденном Алкснисом, отмечалось, в частности:</w:t>
      </w:r>
    </w:p>
    <w:p w14:paraId="2A097D9E" w14:textId="77777777" w:rsidR="00EB71DB" w:rsidRPr="0044524F" w:rsidRDefault="00EB71D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«ЦАГИ все конструктивные изменения по устранению дефектов и доводке рекордных самолетов РД внести в чертежи военного варианта РД (ДБ-1)...» (12725)</w:t>
      </w:r>
    </w:p>
    <w:p w14:paraId="4924E17A" w14:textId="77777777" w:rsidR="00EB71DB" w:rsidRPr="0044524F" w:rsidRDefault="00EB71DB" w:rsidP="009654CF">
      <w:pPr>
        <w:spacing w:after="0" w:line="240" w:lineRule="auto"/>
        <w:jc w:val="both"/>
        <w:rPr>
          <w:rFonts w:ascii="Times New Roman" w:hAnsi="Times New Roman"/>
          <w:color w:val="000000" w:themeColor="text1"/>
          <w:sz w:val="16"/>
          <w:szCs w:val="16"/>
        </w:rPr>
      </w:pPr>
    </w:p>
    <w:p w14:paraId="210E0ED7" w14:textId="77777777" w:rsidR="00410552" w:rsidRPr="00142305" w:rsidRDefault="00410552" w:rsidP="004105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1933 года в отчете по результатам государственных испытаний РД Алкснис записал: «...ЦАГИ все конструктивные изменения по устранению дефектов и доводке рекордных самолетов РД внести в чертежи военного варианта РД (ДБ-1)...». Сотрудники ЦАГИ Стоман, Тайц, Фрейман и Белкин буквально сутками занимались доводкой машины (24991).</w:t>
      </w:r>
    </w:p>
    <w:p w14:paraId="335C1A02" w14:textId="77777777" w:rsidR="00410552" w:rsidRPr="00142305" w:rsidRDefault="00410552" w:rsidP="00410552">
      <w:pPr>
        <w:spacing w:after="0" w:line="240" w:lineRule="auto"/>
        <w:jc w:val="both"/>
        <w:rPr>
          <w:rFonts w:ascii="Times New Roman" w:hAnsi="Times New Roman"/>
          <w:color w:val="0070C0"/>
          <w:sz w:val="16"/>
          <w:szCs w:val="16"/>
        </w:rPr>
      </w:pPr>
    </w:p>
    <w:p w14:paraId="6F5E98A3" w14:textId="3A27322E" w:rsidR="00410552" w:rsidRPr="00142305" w:rsidRDefault="00410552" w:rsidP="0041055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декабре 1933</w:t>
      </w:r>
      <w:r w:rsidR="0088747B">
        <w:rPr>
          <w:rStyle w:val="aff"/>
          <w:rFonts w:ascii="Times New Roman" w:hAnsi="Times New Roman" w:cs="Times New Roman"/>
          <w:color w:val="0070C0"/>
          <w:spacing w:val="0"/>
          <w:sz w:val="16"/>
          <w:szCs w:val="16"/>
        </w:rPr>
        <w:t xml:space="preserve"> </w:t>
      </w:r>
      <w:r w:rsidRPr="00142305">
        <w:rPr>
          <w:rStyle w:val="aff"/>
          <w:rFonts w:ascii="Times New Roman" w:hAnsi="Times New Roman" w:cs="Times New Roman"/>
          <w:color w:val="0070C0"/>
          <w:spacing w:val="0"/>
          <w:sz w:val="16"/>
          <w:szCs w:val="16"/>
        </w:rPr>
        <w:t>г. по указанию ГУАП завод № 39 им. В.Р. Менжинского перешел на серийное производство истребителей, в связи с чем производство самолетов РД ВВ было перенесено на завод № 124 (г. Казань); завод № 125 (г. Иркутск) приступил к подготовке серийного производства истребителей И-14; КОСОС ЦАГИ прекратил работы по истребителю И-13 М-32 (25667).</w:t>
      </w:r>
    </w:p>
    <w:p w14:paraId="1B12A439" w14:textId="77777777" w:rsidR="00410552" w:rsidRPr="00142305" w:rsidRDefault="00410552" w:rsidP="00410552">
      <w:pPr>
        <w:spacing w:after="0" w:line="240" w:lineRule="auto"/>
        <w:jc w:val="both"/>
        <w:rPr>
          <w:rFonts w:ascii="Times New Roman" w:hAnsi="Times New Roman"/>
          <w:color w:val="0070C0"/>
          <w:sz w:val="16"/>
          <w:szCs w:val="16"/>
        </w:rPr>
      </w:pPr>
    </w:p>
    <w:p w14:paraId="26EADF50"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Начальник НИИ ВВС Зильберт утвердил Отчет по гос. испытаниям модифицированного самолета ТБ3-4М17 № 22243 (6636).</w:t>
      </w:r>
    </w:p>
    <w:p w14:paraId="1B85B94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Начато 25 октября 1933 года</w:t>
      </w:r>
    </w:p>
    <w:p w14:paraId="7422DCD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Окончено 20 ноября 1933 года</w:t>
      </w:r>
    </w:p>
    <w:p w14:paraId="787F3FC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 исполнители:</w:t>
      </w:r>
    </w:p>
    <w:p w14:paraId="44BFAD0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инженер Куликов</w:t>
      </w:r>
    </w:p>
    <w:p w14:paraId="085EEF9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 летчик Кастанаев</w:t>
      </w:r>
    </w:p>
    <w:p w14:paraId="3D1A573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Цель испытания</w:t>
      </w:r>
    </w:p>
    <w:p w14:paraId="369086E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Выявить влияние на летные данные самолета ТБ-3 - увеличения площади крыльев, увеличение размаха, установки обтекателей на стыках крыльев, хвостового оперения и тележках шасси и улучшения обтекания других деталей.</w:t>
      </w:r>
    </w:p>
    <w:p w14:paraId="61947FBE"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w:t>
      </w:r>
    </w:p>
    <w:p w14:paraId="18F599D5"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Считать совершенно необходимым внедрить в серийное производство самолетов ТБ3 улучшение конструкции и обтекаемости, выполненные на самолете ТБ3 № 22243.</w:t>
      </w:r>
    </w:p>
    <w:p w14:paraId="211B32E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Календарь прохождения испытаний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4E10C1" w:rsidRPr="0044524F" w14:paraId="12D9443F" w14:textId="77777777">
        <w:tc>
          <w:tcPr>
            <w:tcW w:w="5636" w:type="dxa"/>
          </w:tcPr>
          <w:p w14:paraId="2B7BCBEA"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 октября 1933 года</w:t>
            </w:r>
          </w:p>
        </w:tc>
        <w:tc>
          <w:tcPr>
            <w:tcW w:w="5636" w:type="dxa"/>
          </w:tcPr>
          <w:p w14:paraId="474A923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принят от ЦАГИ на испытания.</w:t>
            </w:r>
          </w:p>
        </w:tc>
      </w:tr>
      <w:tr w:rsidR="004E10C1" w:rsidRPr="0044524F" w14:paraId="365646A0" w14:textId="77777777">
        <w:tc>
          <w:tcPr>
            <w:tcW w:w="5636" w:type="dxa"/>
          </w:tcPr>
          <w:p w14:paraId="341BD1B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октября 1933 года</w:t>
            </w:r>
          </w:p>
        </w:tc>
        <w:tc>
          <w:tcPr>
            <w:tcW w:w="5636" w:type="dxa"/>
          </w:tcPr>
          <w:p w14:paraId="2A4864F8"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горизонтальных скоростей по мерному километру.</w:t>
            </w:r>
          </w:p>
        </w:tc>
      </w:tr>
      <w:tr w:rsidR="004E10C1" w:rsidRPr="0044524F" w14:paraId="0EB04C6F" w14:textId="77777777">
        <w:tc>
          <w:tcPr>
            <w:tcW w:w="5636" w:type="dxa"/>
          </w:tcPr>
          <w:p w14:paraId="26E03B5F"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 ноября 1933 года</w:t>
            </w:r>
          </w:p>
        </w:tc>
        <w:tc>
          <w:tcPr>
            <w:tcW w:w="5636" w:type="dxa"/>
          </w:tcPr>
          <w:p w14:paraId="03527DC9"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Определение скороподъемности, потолка, горизонтальных скоростей по высотам, полет на зубцы.</w:t>
            </w:r>
          </w:p>
        </w:tc>
      </w:tr>
    </w:tbl>
    <w:p w14:paraId="1C70EB96"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испытания выполнены за 28 календарных дней, из них полетных дней – 2.</w:t>
      </w:r>
    </w:p>
    <w:p w14:paraId="330A98E2" w14:textId="77777777" w:rsidR="002E2083" w:rsidRPr="0044524F" w:rsidRDefault="002E2083" w:rsidP="009654CF">
      <w:pPr>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Особенности конструкции самолета, отличающие его от серийных самолетов</w:t>
      </w:r>
    </w:p>
    <w:p w14:paraId="3897E334"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Увеличена площадь крыльев.</w:t>
      </w:r>
    </w:p>
    <w:p w14:paraId="35F41835"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Увеличен размах крыльев.</w:t>
      </w:r>
    </w:p>
    <w:p w14:paraId="70518CAE"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руле направления монтирован управляемый компенсатор типа «Флейтнера».</w:t>
      </w:r>
    </w:p>
    <w:p w14:paraId="038EF0D7"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Закрыты обтекателями стыки крыла и фюзеляжа.</w:t>
      </w:r>
    </w:p>
    <w:p w14:paraId="1DBA24E0"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подножки на правом крыле.</w:t>
      </w:r>
    </w:p>
    <w:p w14:paraId="092564C5"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Закрыты обтекателями стыки киля и стабилизатора с фюзеляжем.</w:t>
      </w:r>
    </w:p>
    <w:p w14:paraId="7A97804D"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Закрыты обтекателями стыки капотов моторов с крылом.</w:t>
      </w:r>
    </w:p>
    <w:p w14:paraId="212206A8"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Переделаны капоты радиаторов – улучшено обтекание их.</w:t>
      </w:r>
    </w:p>
    <w:p w14:paraId="31661819"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Поставлены обтекатели на тележки колес шасси.</w:t>
      </w:r>
    </w:p>
    <w:p w14:paraId="34B75259"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Поставлены обтекатели на полуоси шасси.</w:t>
      </w:r>
    </w:p>
    <w:p w14:paraId="77DEDCF2"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Улучшена обтекаемость носовой турели: обрезы сглажены фанерным покрытием.</w:t>
      </w:r>
    </w:p>
    <w:p w14:paraId="3BCF2E18"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Передняя кормовая кабина закрыта наглухо.</w:t>
      </w:r>
    </w:p>
    <w:p w14:paraId="16282411"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каркасы фар и динамо-машины в носке крыла, отверстия заглажены ровными щитками.</w:t>
      </w:r>
    </w:p>
    <w:p w14:paraId="1CFC4F62"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дверцы бомболюков и заменены гладкими щитками.</w:t>
      </w:r>
    </w:p>
    <w:p w14:paraId="167E26B7"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Клапан тяги руля высоты в задней части фюзеляжа переставлен вовнутрь.</w:t>
      </w:r>
    </w:p>
    <w:p w14:paraId="009FF23B"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Поставлены новые винты конструкции ЦАГИ.</w:t>
      </w:r>
    </w:p>
    <w:p w14:paraId="131C7A4F"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Сняты подкрыльевые башни (6636).</w:t>
      </w:r>
    </w:p>
    <w:p w14:paraId="468CD702" w14:textId="77777777" w:rsidR="002E2083" w:rsidRPr="0044524F" w:rsidRDefault="002E2083" w:rsidP="009654CF">
      <w:pPr>
        <w:tabs>
          <w:tab w:val="left" w:pos="360"/>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710DA81A"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ЦАГИ получил до</w:t>
      </w:r>
      <w:r w:rsidRPr="0044524F">
        <w:rPr>
          <w:rFonts w:ascii="Times New Roman" w:hAnsi="Times New Roman"/>
          <w:color w:val="000000" w:themeColor="text1"/>
          <w:sz w:val="16"/>
          <w:szCs w:val="16"/>
        </w:rPr>
        <w:softHyphen/>
        <w:t>полнительные пожелания военных по АНТ-36 (военный вариант РД):</w:t>
      </w:r>
    </w:p>
    <w:p w14:paraId="33F6DC44"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педали ножного управления долж</w:t>
      </w:r>
      <w:r w:rsidRPr="0044524F">
        <w:rPr>
          <w:rFonts w:ascii="Times New Roman" w:hAnsi="Times New Roman"/>
          <w:color w:val="000000" w:themeColor="text1"/>
          <w:sz w:val="16"/>
          <w:szCs w:val="16"/>
        </w:rPr>
        <w:softHyphen/>
        <w:t>ны регулироваться под рост летчика,</w:t>
      </w:r>
    </w:p>
    <w:p w14:paraId="206CE90F"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системы слива горючего, в полете надо предусмотреть возможность дозаправки самолета в воздухе,</w:t>
      </w:r>
    </w:p>
    <w:p w14:paraId="0D359B73"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должен запускаться из ка</w:t>
      </w:r>
      <w:r w:rsidRPr="0044524F">
        <w:rPr>
          <w:rFonts w:ascii="Times New Roman" w:hAnsi="Times New Roman"/>
          <w:color w:val="000000" w:themeColor="text1"/>
          <w:sz w:val="16"/>
          <w:szCs w:val="16"/>
        </w:rPr>
        <w:softHyphen/>
        <w:t>бины летчика,</w:t>
      </w:r>
    </w:p>
    <w:p w14:paraId="5C994AB1"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нужны приборы, указывающие рас</w:t>
      </w:r>
      <w:r w:rsidRPr="0044524F">
        <w:rPr>
          <w:rFonts w:ascii="Times New Roman" w:hAnsi="Times New Roman"/>
          <w:color w:val="000000" w:themeColor="text1"/>
          <w:sz w:val="16"/>
          <w:szCs w:val="16"/>
        </w:rPr>
        <w:softHyphen/>
        <w:t>ход горючего в полете.</w:t>
      </w:r>
    </w:p>
    <w:p w14:paraId="7FD33FD0"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 оборонительного вооруже</w:t>
      </w:r>
      <w:r w:rsidRPr="0044524F">
        <w:rPr>
          <w:rFonts w:ascii="Times New Roman" w:hAnsi="Times New Roman"/>
          <w:color w:val="000000" w:themeColor="text1"/>
          <w:sz w:val="16"/>
          <w:szCs w:val="16"/>
        </w:rPr>
        <w:softHyphen/>
        <w:t>ния должен был входить пулемет ДА у первого стрелка (он же штурман), такой же пулемет — у второго стрелка (он же второй летчик) и еще один пулемет — на «подхвостовом огневом гнезде» для стрельбы «под хвост и под винт». Бом</w:t>
      </w:r>
      <w:r w:rsidRPr="0044524F">
        <w:rPr>
          <w:rFonts w:ascii="Times New Roman" w:hAnsi="Times New Roman"/>
          <w:color w:val="000000" w:themeColor="text1"/>
          <w:sz w:val="16"/>
          <w:szCs w:val="16"/>
        </w:rPr>
        <w:softHyphen/>
        <w:t>бовое вооружение состояло из 10 бомб калибра 100 кг, требовалось также предус</w:t>
      </w:r>
      <w:r w:rsidRPr="0044524F">
        <w:rPr>
          <w:rFonts w:ascii="Times New Roman" w:hAnsi="Times New Roman"/>
          <w:color w:val="000000" w:themeColor="text1"/>
          <w:sz w:val="16"/>
          <w:szCs w:val="16"/>
        </w:rPr>
        <w:softHyphen/>
        <w:t>мотреть кассетную подвеску четырех «светящихся бомб» САБ—5.</w:t>
      </w:r>
    </w:p>
    <w:p w14:paraId="664414C2"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Нормальная нагрузка (без топлива и масла) составляла 1651 кг: экипаж из трех человек — 240 кг, бомбардировоч</w:t>
      </w:r>
      <w:r w:rsidRPr="0044524F">
        <w:rPr>
          <w:rFonts w:ascii="Times New Roman" w:hAnsi="Times New Roman"/>
          <w:color w:val="000000" w:themeColor="text1"/>
          <w:sz w:val="16"/>
          <w:szCs w:val="16"/>
        </w:rPr>
        <w:softHyphen/>
        <w:t>ное вооружение — 1130 кг, стрелковое вооружение — 140 кг, прочее оборудование (фотоаппаратура, электро—, аэронави</w:t>
      </w:r>
      <w:r w:rsidRPr="0044524F">
        <w:rPr>
          <w:rFonts w:ascii="Times New Roman" w:hAnsi="Times New Roman"/>
          <w:color w:val="000000" w:themeColor="text1"/>
          <w:sz w:val="16"/>
          <w:szCs w:val="16"/>
        </w:rPr>
        <w:softHyphen/>
        <w:t>гационное и вспомогательное оборудо</w:t>
      </w:r>
      <w:r w:rsidRPr="0044524F">
        <w:rPr>
          <w:rFonts w:ascii="Times New Roman" w:hAnsi="Times New Roman"/>
          <w:color w:val="000000" w:themeColor="text1"/>
          <w:sz w:val="16"/>
          <w:szCs w:val="16"/>
        </w:rPr>
        <w:softHyphen/>
        <w:t>вание) — 141 кг (23474).</w:t>
      </w:r>
    </w:p>
    <w:p w14:paraId="5CDD3C9A" w14:textId="77777777" w:rsidR="00E31131" w:rsidRPr="0044524F" w:rsidRDefault="00E31131" w:rsidP="009654CF">
      <w:pPr>
        <w:spacing w:after="0" w:line="240" w:lineRule="auto"/>
        <w:jc w:val="both"/>
        <w:rPr>
          <w:rFonts w:ascii="Times New Roman" w:hAnsi="Times New Roman"/>
          <w:color w:val="000000" w:themeColor="text1"/>
          <w:sz w:val="16"/>
          <w:szCs w:val="16"/>
        </w:rPr>
      </w:pPr>
    </w:p>
    <w:p w14:paraId="242130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УВВС утвердило требования к военному варианту МГ. Во втором варианте отказались от предкрыльевых и закрыльевых башен. 8 двигателей - 6 в крыле + два на тендемной установке сверху. Бомбоотсеки перед и за центропланом. Экипаж - как на АНТ-16 - 12 чел. (7425, 19).</w:t>
      </w:r>
    </w:p>
    <w:p w14:paraId="284C56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3B000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авиабригада под командованием Т.П.Сузи, базировавшаяся в Люберцах, получила еще 7 И-зет (N 39011, 39013-16, 39020 и 39023). испытывала эскадрилья Новака: Климов, Губанов, Бурылин, Катичев, Родин и летали с Люберецкого аэродрома на химический полигон в Кузьминках. испытывали шрапнельные снаряды - оказались неэффективными, потом - фугасную гранату. 7 снарядов расходовали за 20 сек. Установили, что стрелять можно с гор. полета и с пикирования до угла 30 гр., с кабрирования и при крене до 25-30 гр. Решили, что испытания прошли и можно начинать войсковые испытания (2692,7).</w:t>
      </w:r>
    </w:p>
    <w:p w14:paraId="62156A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AB5E51A"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появились технические требования к самолету «Максим Горький» в военном варианте с восьмью моторами М-34Р. Их составил главный инженер- механик ВВС РККА Аузан на основе опыта государственных испытаний бом</w:t>
      </w:r>
      <w:r w:rsidRPr="0044524F">
        <w:rPr>
          <w:rFonts w:ascii="Times New Roman" w:hAnsi="Times New Roman"/>
          <w:color w:val="000000" w:themeColor="text1"/>
          <w:sz w:val="16"/>
          <w:szCs w:val="16"/>
        </w:rPr>
        <w:softHyphen/>
        <w:t>бардировщика ТБ—4. В разделе летной эксплуатации говорилось, что самолет должен «допускать горизонтальный полет на боевой высоте с одним выключен</w:t>
      </w:r>
      <w:r w:rsidRPr="0044524F">
        <w:rPr>
          <w:rFonts w:ascii="Times New Roman" w:hAnsi="Times New Roman"/>
          <w:color w:val="000000" w:themeColor="text1"/>
          <w:sz w:val="16"/>
          <w:szCs w:val="16"/>
        </w:rPr>
        <w:softHyphen/>
        <w:t>ным мотором и на высоте 2000 м с двумя выключенными моторами». Посадочная скорость не должна превышать 100 км/ч, длина разбега — не более 400 м, длина пробега с тормозами — не более 300 м, без тормозов — 400 м. Емкость бензо- и маслобаков должна была обеспечить техническую дальность полета не менее 3000 км. Флетнер или серворуль должен был обеспечивать возможность полета при остановленных с одной стороны моторах. Требовалось также сделать так, чтобы штурман-бомбардир имел воз</w:t>
      </w:r>
      <w:r w:rsidRPr="0044524F">
        <w:rPr>
          <w:rFonts w:ascii="Times New Roman" w:hAnsi="Times New Roman"/>
          <w:color w:val="000000" w:themeColor="text1"/>
          <w:sz w:val="16"/>
          <w:szCs w:val="16"/>
        </w:rPr>
        <w:softHyphen/>
        <w:t>можность самостоятельно доводить са</w:t>
      </w:r>
      <w:r w:rsidRPr="0044524F">
        <w:rPr>
          <w:rFonts w:ascii="Times New Roman" w:hAnsi="Times New Roman"/>
          <w:color w:val="000000" w:themeColor="text1"/>
          <w:sz w:val="16"/>
          <w:szCs w:val="16"/>
        </w:rPr>
        <w:softHyphen/>
        <w:t>молет по курсу в пределах двух-трех градусов. В крыле и фюзеляже «должны быть предусмотрены крепления для под</w:t>
      </w:r>
      <w:r w:rsidRPr="0044524F">
        <w:rPr>
          <w:rFonts w:ascii="Times New Roman" w:hAnsi="Times New Roman"/>
          <w:color w:val="000000" w:themeColor="text1"/>
          <w:sz w:val="16"/>
          <w:szCs w:val="16"/>
        </w:rPr>
        <w:softHyphen/>
        <w:t>вески гамаков и разработана конструкция самого гамака»</w:t>
      </w:r>
    </w:p>
    <w:p w14:paraId="6F22FBF8" w14:textId="77777777" w:rsidR="00E31131" w:rsidRPr="0044524F" w:rsidRDefault="00E3113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разделе технической «эксплуата</w:t>
      </w:r>
      <w:r w:rsidRPr="0044524F">
        <w:rPr>
          <w:rFonts w:ascii="Times New Roman" w:hAnsi="Times New Roman"/>
          <w:color w:val="000000" w:themeColor="text1"/>
          <w:sz w:val="16"/>
          <w:szCs w:val="16"/>
        </w:rPr>
        <w:softHyphen/>
        <w:t>ции» указывалось, что полная заправка самолета (вода, масло, бензин, подвеска бомб и снаряжение патронами и снаря</w:t>
      </w:r>
      <w:r w:rsidRPr="0044524F">
        <w:rPr>
          <w:rFonts w:ascii="Times New Roman" w:hAnsi="Times New Roman"/>
          <w:color w:val="000000" w:themeColor="text1"/>
          <w:sz w:val="16"/>
          <w:szCs w:val="16"/>
        </w:rPr>
        <w:softHyphen/>
        <w:t>дами) не должна занимать свыше 30 ми</w:t>
      </w:r>
      <w:r w:rsidRPr="0044524F">
        <w:rPr>
          <w:rFonts w:ascii="Times New Roman" w:hAnsi="Times New Roman"/>
          <w:color w:val="000000" w:themeColor="text1"/>
          <w:sz w:val="16"/>
          <w:szCs w:val="16"/>
        </w:rPr>
        <w:softHyphen/>
        <w:t>нут («и ни одной минуты больше»). Кроме того, требовалось обеспечить «заливку топлива в воздухе с обеих сто</w:t>
      </w:r>
      <w:r w:rsidRPr="0044524F">
        <w:rPr>
          <w:rFonts w:ascii="Times New Roman" w:hAnsi="Times New Roman"/>
          <w:color w:val="000000" w:themeColor="text1"/>
          <w:sz w:val="16"/>
          <w:szCs w:val="16"/>
        </w:rPr>
        <w:softHyphen/>
        <w:t>рон крыла». Аварийный слив топлива в воздухе, по крайней мере из половины баков, должен был происходить за 15—20 секунд. Конструкция самолета должна была обеспечить «доступ в полете ко всем моторам для наблюдения за их работой и для устранения неисправнос</w:t>
      </w:r>
      <w:r w:rsidRPr="0044524F">
        <w:rPr>
          <w:rFonts w:ascii="Times New Roman" w:hAnsi="Times New Roman"/>
          <w:color w:val="000000" w:themeColor="text1"/>
          <w:sz w:val="16"/>
          <w:szCs w:val="16"/>
        </w:rPr>
        <w:softHyphen/>
        <w:t>тей», а также «свободную работу экипажа в крыле и фюзеляже, для чего внутрен</w:t>
      </w:r>
      <w:r w:rsidRPr="0044524F">
        <w:rPr>
          <w:rFonts w:ascii="Times New Roman" w:hAnsi="Times New Roman"/>
          <w:color w:val="000000" w:themeColor="text1"/>
          <w:sz w:val="16"/>
          <w:szCs w:val="16"/>
        </w:rPr>
        <w:softHyphen/>
        <w:t>ность крыла и задняя часть фюзеляжа (Ф—3) должны иметь хорошее освещение в виде окон-иллюминаторов» (23474).</w:t>
      </w:r>
    </w:p>
    <w:p w14:paraId="2C295E05" w14:textId="77777777" w:rsidR="00E31131" w:rsidRPr="0044524F" w:rsidRDefault="00E31131" w:rsidP="009654CF">
      <w:pPr>
        <w:spacing w:after="0" w:line="240" w:lineRule="auto"/>
        <w:jc w:val="both"/>
        <w:rPr>
          <w:rFonts w:ascii="Times New Roman" w:hAnsi="Times New Roman"/>
          <w:color w:val="000000" w:themeColor="text1"/>
          <w:sz w:val="16"/>
          <w:szCs w:val="16"/>
        </w:rPr>
      </w:pPr>
    </w:p>
    <w:p w14:paraId="6A9219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базировавшаяся в Люберцах 57-я авиабригада получила семь И-ЗЕТ (№№ 39011, 39013 - 39016, 39020 и 39023). Испытывала их 118-я эскадрилья Новака: Климов, Губанов, Бурылин, Катичев, Родин. Летали с Люберецкого аэродрома на так называемый химический полигон, расположенный в Кузьминках. Испытывали шрапнельные снаряды, но эффективность их использования оценили невысоко, позже попробовали фугасные гранаты. В среднем боекомплект в семь снарядов по хронометражу расходовался за 20 с. Установили, что вполне надёжно стрелять можно в горизонтальном полёте, при пикировании до угла 30°, кабрировании и крене 25° - 30°. По результатам этих полётов было сделано заключение, что АПК-4 на И-ЗЕТ первые тестирования прошли и в дальнейшем могут быть допущены на войсковые испытания (12005).</w:t>
      </w:r>
    </w:p>
    <w:p w14:paraId="01E3D7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CDADD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1934 были сформулированы основные требования к И-Зетбис. На новом самолёте хотели исправить главные недостатки И-ЗЕТ: малый радиус действия, недостаточные скорость и потолок, неэффективное вооружение. "ЗЕТ-бис" должен был иметь максимальную скорость 350 км/ч, продолжительность полёта 3 - 4 ч, практический потолок 7000 - 8000 м, новые пушки с дальностью прицельной стрельбы 2000 - 2500 м</w:t>
      </w:r>
    </w:p>
    <w:p w14:paraId="1372D4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документах конструкторского бюро Григоровича периода 1934 - 1935 гг. указывались расчётные характеристики этой машины. Они вполне укладывались в рамки задания, а скорость даже превосходила требуемую. Но новых ДРП с увеличенной дальностью стрельбы не имелось, поэтому в проект заложили всё те же АПК-4.</w:t>
      </w:r>
    </w:p>
    <w:p w14:paraId="374D29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Расчётные характеристики ДГ-52</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4E10C1" w:rsidRPr="0044524F" w14:paraId="5D39A610" w14:textId="77777777">
        <w:tc>
          <w:tcPr>
            <w:tcW w:w="5605" w:type="dxa"/>
            <w:tcBorders>
              <w:top w:val="single" w:sz="12" w:space="0" w:color="auto"/>
            </w:tcBorders>
          </w:tcPr>
          <w:p w14:paraId="263559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конструкции, кг</w:t>
            </w:r>
          </w:p>
        </w:tc>
        <w:tc>
          <w:tcPr>
            <w:tcW w:w="5605" w:type="dxa"/>
            <w:tcBorders>
              <w:top w:val="single" w:sz="12" w:space="0" w:color="auto"/>
            </w:tcBorders>
          </w:tcPr>
          <w:p w14:paraId="67A5C3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568,7</w:t>
            </w:r>
          </w:p>
        </w:tc>
      </w:tr>
      <w:tr w:rsidR="004E10C1" w:rsidRPr="0044524F" w14:paraId="6A31C8F4" w14:textId="77777777">
        <w:tc>
          <w:tcPr>
            <w:tcW w:w="5605" w:type="dxa"/>
          </w:tcPr>
          <w:p w14:paraId="07A49E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Полная нагрузка, кг</w:t>
            </w:r>
          </w:p>
        </w:tc>
        <w:tc>
          <w:tcPr>
            <w:tcW w:w="5605" w:type="dxa"/>
          </w:tcPr>
          <w:p w14:paraId="516D53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565</w:t>
            </w:r>
          </w:p>
        </w:tc>
      </w:tr>
      <w:tr w:rsidR="004E10C1" w:rsidRPr="0044524F" w14:paraId="3AB59630" w14:textId="77777777">
        <w:tc>
          <w:tcPr>
            <w:tcW w:w="5605" w:type="dxa"/>
          </w:tcPr>
          <w:p w14:paraId="12F736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м2</w:t>
            </w:r>
          </w:p>
        </w:tc>
        <w:tc>
          <w:tcPr>
            <w:tcW w:w="5605" w:type="dxa"/>
          </w:tcPr>
          <w:p w14:paraId="30EACC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19,98</w:t>
            </w:r>
          </w:p>
        </w:tc>
      </w:tr>
      <w:tr w:rsidR="004E10C1" w:rsidRPr="0044524F" w14:paraId="57355227" w14:textId="77777777">
        <w:tc>
          <w:tcPr>
            <w:tcW w:w="5605" w:type="dxa"/>
          </w:tcPr>
          <w:p w14:paraId="634F70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крыло, кг/м2</w:t>
            </w:r>
          </w:p>
        </w:tc>
        <w:tc>
          <w:tcPr>
            <w:tcW w:w="5605" w:type="dxa"/>
          </w:tcPr>
          <w:p w14:paraId="79AC04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94,0</w:t>
            </w:r>
          </w:p>
        </w:tc>
      </w:tr>
      <w:tr w:rsidR="004E10C1" w:rsidRPr="0044524F" w14:paraId="223D3F25" w14:textId="77777777">
        <w:tc>
          <w:tcPr>
            <w:tcW w:w="5605" w:type="dxa"/>
          </w:tcPr>
          <w:p w14:paraId="339D90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Весовая отдача</w:t>
            </w:r>
          </w:p>
        </w:tc>
        <w:tc>
          <w:tcPr>
            <w:tcW w:w="5605" w:type="dxa"/>
          </w:tcPr>
          <w:p w14:paraId="3EAD87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32,4 %</w:t>
            </w:r>
          </w:p>
        </w:tc>
      </w:tr>
      <w:tr w:rsidR="004E10C1" w:rsidRPr="0044524F" w14:paraId="63A345C8" w14:textId="77777777">
        <w:tc>
          <w:tcPr>
            <w:tcW w:w="5605" w:type="dxa"/>
          </w:tcPr>
          <w:p w14:paraId="22AC2D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 км/ч:</w:t>
            </w:r>
          </w:p>
        </w:tc>
        <w:tc>
          <w:tcPr>
            <w:tcW w:w="5605" w:type="dxa"/>
          </w:tcPr>
          <w:p w14:paraId="426CD1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0AA0381" w14:textId="77777777">
        <w:tc>
          <w:tcPr>
            <w:tcW w:w="5605" w:type="dxa"/>
          </w:tcPr>
          <w:p w14:paraId="09B8ED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земли</w:t>
            </w:r>
          </w:p>
        </w:tc>
        <w:tc>
          <w:tcPr>
            <w:tcW w:w="5605" w:type="dxa"/>
          </w:tcPr>
          <w:p w14:paraId="1688FE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368</w:t>
            </w:r>
          </w:p>
        </w:tc>
      </w:tr>
      <w:tr w:rsidR="004E10C1" w:rsidRPr="0044524F" w14:paraId="0B09E6AC" w14:textId="77777777">
        <w:tc>
          <w:tcPr>
            <w:tcW w:w="5605" w:type="dxa"/>
          </w:tcPr>
          <w:p w14:paraId="355521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3000 м</w:t>
            </w:r>
          </w:p>
        </w:tc>
        <w:tc>
          <w:tcPr>
            <w:tcW w:w="5605" w:type="dxa"/>
          </w:tcPr>
          <w:p w14:paraId="1DE23B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410</w:t>
            </w:r>
          </w:p>
        </w:tc>
      </w:tr>
      <w:tr w:rsidR="004E10C1" w:rsidRPr="0044524F" w14:paraId="257FDF66" w14:textId="77777777">
        <w:tc>
          <w:tcPr>
            <w:tcW w:w="5605" w:type="dxa"/>
          </w:tcPr>
          <w:p w14:paraId="15E304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5000 м</w:t>
            </w:r>
          </w:p>
        </w:tc>
        <w:tc>
          <w:tcPr>
            <w:tcW w:w="5605" w:type="dxa"/>
          </w:tcPr>
          <w:p w14:paraId="41423F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389</w:t>
            </w:r>
          </w:p>
        </w:tc>
      </w:tr>
      <w:tr w:rsidR="004E10C1" w:rsidRPr="0044524F" w14:paraId="699C877D" w14:textId="77777777">
        <w:tc>
          <w:tcPr>
            <w:tcW w:w="5605" w:type="dxa"/>
          </w:tcPr>
          <w:p w14:paraId="35AA0B4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посадочная, км/ч:</w:t>
            </w:r>
          </w:p>
        </w:tc>
        <w:tc>
          <w:tcPr>
            <w:tcW w:w="5605" w:type="dxa"/>
          </w:tcPr>
          <w:p w14:paraId="578021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08C6E3A" w14:textId="77777777">
        <w:tc>
          <w:tcPr>
            <w:tcW w:w="5605" w:type="dxa"/>
          </w:tcPr>
          <w:p w14:paraId="3506A9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без щитков</w:t>
            </w:r>
          </w:p>
        </w:tc>
        <w:tc>
          <w:tcPr>
            <w:tcW w:w="5605" w:type="dxa"/>
          </w:tcPr>
          <w:p w14:paraId="5B91B9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114</w:t>
            </w:r>
          </w:p>
        </w:tc>
      </w:tr>
      <w:tr w:rsidR="004E10C1" w:rsidRPr="0044524F" w14:paraId="5CD032B7" w14:textId="77777777">
        <w:tc>
          <w:tcPr>
            <w:tcW w:w="5605" w:type="dxa"/>
          </w:tcPr>
          <w:p w14:paraId="266D54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щитками</w:t>
            </w:r>
          </w:p>
        </w:tc>
        <w:tc>
          <w:tcPr>
            <w:tcW w:w="5605" w:type="dxa"/>
          </w:tcPr>
          <w:p w14:paraId="4B5A28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97</w:t>
            </w:r>
          </w:p>
        </w:tc>
      </w:tr>
      <w:tr w:rsidR="004E10C1" w:rsidRPr="0044524F" w14:paraId="129C5B00" w14:textId="77777777">
        <w:tc>
          <w:tcPr>
            <w:tcW w:w="5605" w:type="dxa"/>
          </w:tcPr>
          <w:p w14:paraId="3A367C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5000 м, мин</w:t>
            </w:r>
          </w:p>
        </w:tc>
        <w:tc>
          <w:tcPr>
            <w:tcW w:w="5605" w:type="dxa"/>
          </w:tcPr>
          <w:p w14:paraId="575FD5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r>
      <w:tr w:rsidR="004E10C1" w:rsidRPr="0044524F" w14:paraId="20AFCE4C" w14:textId="77777777">
        <w:tc>
          <w:tcPr>
            <w:tcW w:w="5605" w:type="dxa"/>
          </w:tcPr>
          <w:p w14:paraId="135BCF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практический, м</w:t>
            </w:r>
          </w:p>
        </w:tc>
        <w:tc>
          <w:tcPr>
            <w:tcW w:w="5605" w:type="dxa"/>
          </w:tcPr>
          <w:p w14:paraId="44237E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7700</w:t>
            </w:r>
          </w:p>
        </w:tc>
      </w:tr>
      <w:tr w:rsidR="004E10C1" w:rsidRPr="0044524F" w14:paraId="5828803B" w14:textId="77777777">
        <w:tc>
          <w:tcPr>
            <w:tcW w:w="5605" w:type="dxa"/>
          </w:tcPr>
          <w:p w14:paraId="1389FA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пробега, м (продолжительность, с)</w:t>
            </w:r>
          </w:p>
        </w:tc>
        <w:tc>
          <w:tcPr>
            <w:tcW w:w="5605" w:type="dxa"/>
          </w:tcPr>
          <w:p w14:paraId="2F4A80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175 (11,0)</w:t>
            </w:r>
          </w:p>
        </w:tc>
      </w:tr>
      <w:tr w:rsidR="004E10C1" w:rsidRPr="0044524F" w14:paraId="6637D12F" w14:textId="77777777">
        <w:tc>
          <w:tcPr>
            <w:tcW w:w="5605" w:type="dxa"/>
          </w:tcPr>
          <w:p w14:paraId="24CC40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полёта, км:</w:t>
            </w:r>
          </w:p>
        </w:tc>
        <w:tc>
          <w:tcPr>
            <w:tcW w:w="5605" w:type="dxa"/>
          </w:tcPr>
          <w:p w14:paraId="4AC442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540BA49" w14:textId="77777777">
        <w:tc>
          <w:tcPr>
            <w:tcW w:w="5605" w:type="dxa"/>
          </w:tcPr>
          <w:p w14:paraId="0660EA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нормальная</w:t>
            </w:r>
          </w:p>
        </w:tc>
        <w:tc>
          <w:tcPr>
            <w:tcW w:w="5605" w:type="dxa"/>
          </w:tcPr>
          <w:p w14:paraId="4F0245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w:t>
            </w:r>
          </w:p>
        </w:tc>
      </w:tr>
      <w:tr w:rsidR="004E10C1" w:rsidRPr="0044524F" w14:paraId="4F388D6B" w14:textId="77777777">
        <w:tc>
          <w:tcPr>
            <w:tcW w:w="5605" w:type="dxa"/>
            <w:tcBorders>
              <w:bottom w:val="single" w:sz="12" w:space="0" w:color="auto"/>
            </w:tcBorders>
          </w:tcPr>
          <w:p w14:paraId="3F3756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w:t>
            </w:r>
          </w:p>
        </w:tc>
        <w:tc>
          <w:tcPr>
            <w:tcW w:w="5605" w:type="dxa"/>
            <w:tcBorders>
              <w:bottom w:val="single" w:sz="12" w:space="0" w:color="auto"/>
            </w:tcBorders>
          </w:tcPr>
          <w:p w14:paraId="490490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bl>
    <w:p w14:paraId="479619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(12005).</w:t>
      </w:r>
    </w:p>
    <w:p w14:paraId="646FC9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B135A19" w14:textId="77777777" w:rsidR="00D9119C" w:rsidRPr="0044524F" w:rsidRDefault="00D911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состоялось испытание истребителя И-16 /ЦКБ-12/ конструкции Н.Н.Поликарпова, И-16 - свободнонесущий низкоплан смешанной конструкции с коротким фюзеляжем типа монокок, убирающимися шассн, мотором М-22 мощностью 480 л.с. Его данные: размах -9 м; длина – 6 м, площадь крыльев - 14,5 мг; вес пустого - 895 кг; полетный вес - 1345 кг; максимальная скорость - 359 км/час; потолок – 7180 м, время виража - 14,7 сек. Это был самый легкий истребитель своего времени, обладающий к тому же отличной маневренностью.</w:t>
      </w:r>
    </w:p>
    <w:p w14:paraId="0074167A" w14:textId="77777777" w:rsidR="00D9119C" w:rsidRPr="0044524F" w:rsidRDefault="00D911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1934 года И-16 выпускался с мотором М-25 мощностью 535 л.с. За семь лет своего своего существования имел ряд модификаций, выпускался в большом количестве и ознаменовал определенную эпоху в советской истребительной авиации. В последних модификациях И-16 скорость была доведена до 490 км/час при той же отличной маневренности. С успехом применялся в боевых операциях вплоть до 1942 года,</w:t>
      </w:r>
    </w:p>
    <w:p w14:paraId="008EEBF0" w14:textId="77777777" w:rsidR="00D9119C" w:rsidRPr="0044524F" w:rsidRDefault="00D911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материалам В: Б. Шаврова. Техническое описание самолета И-16/ (23370).</w:t>
      </w:r>
    </w:p>
    <w:p w14:paraId="05FE10B6" w14:textId="77777777" w:rsidR="00D9119C" w:rsidRPr="0044524F" w:rsidRDefault="00D9119C" w:rsidP="009654CF">
      <w:pPr>
        <w:spacing w:after="0" w:line="240" w:lineRule="auto"/>
        <w:jc w:val="both"/>
        <w:rPr>
          <w:rFonts w:ascii="Times New Roman" w:hAnsi="Times New Roman"/>
          <w:color w:val="000000" w:themeColor="text1"/>
          <w:sz w:val="16"/>
          <w:szCs w:val="16"/>
        </w:rPr>
      </w:pPr>
    </w:p>
    <w:p w14:paraId="3E95DE95"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1933 г. И-16 поступил на летные испытания Он представлял со</w:t>
      </w:r>
      <w:r w:rsidRPr="00142305">
        <w:rPr>
          <w:rFonts w:ascii="Times New Roman" w:hAnsi="Times New Roman"/>
          <w:color w:val="0070C0"/>
          <w:sz w:val="16"/>
          <w:szCs w:val="16"/>
        </w:rPr>
        <w:softHyphen/>
        <w:t>бой свободнонесущий моноплан. Сначала И-16 имел скорость около 400 км/ч, а в последующей серии - 455 км/ч. Установка еще более мощного двигателя поз</w:t>
      </w:r>
      <w:r w:rsidRPr="00142305">
        <w:rPr>
          <w:rFonts w:ascii="Times New Roman" w:hAnsi="Times New Roman"/>
          <w:color w:val="0070C0"/>
          <w:sz w:val="16"/>
          <w:szCs w:val="16"/>
        </w:rPr>
        <w:softHyphen/>
        <w:t>волила достигнуть скорости 525 км/ч и потолка - 10 000 м. Шасси самолета уби</w:t>
      </w:r>
      <w:r w:rsidRPr="00142305">
        <w:rPr>
          <w:rFonts w:ascii="Times New Roman" w:hAnsi="Times New Roman"/>
          <w:color w:val="0070C0"/>
          <w:sz w:val="16"/>
          <w:szCs w:val="16"/>
        </w:rPr>
        <w:softHyphen/>
        <w:t>рались с помощью пневматического привода. Самолет стал, как и ожидалось, до</w:t>
      </w:r>
      <w:r w:rsidRPr="00142305">
        <w:rPr>
          <w:rFonts w:ascii="Times New Roman" w:hAnsi="Times New Roman"/>
          <w:color w:val="0070C0"/>
          <w:sz w:val="16"/>
          <w:szCs w:val="16"/>
        </w:rPr>
        <w:softHyphen/>
        <w:t>статочно маневренным, скороподъемным, имел два пулемета ШКАС (7,62 мм), установленные в центроплане вне зоны винта, затем в поздних модификациях устанавливались 20 мм крыльевые пушки ШВАК, мог брать две 100-килограм- мовые бомбы или шесть-восемь реактивных снарядов (PC). В этом истребителе впервые в кабине позади летчика была установлена бронеплита. Всего было по</w:t>
      </w:r>
      <w:r w:rsidRPr="00142305">
        <w:rPr>
          <w:rFonts w:ascii="Times New Roman" w:hAnsi="Times New Roman"/>
          <w:color w:val="0070C0"/>
          <w:sz w:val="16"/>
          <w:szCs w:val="16"/>
        </w:rPr>
        <w:softHyphen/>
        <w:t>строено 8 194 машины этой марки.</w:t>
      </w:r>
    </w:p>
    <w:p w14:paraId="1688D64B"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Семейство И-16 различных модификаций в середине и во второй половине 1930-х гг. являлось вполне современным. Истребители И-16 хорошо зарекомен</w:t>
      </w:r>
      <w:r w:rsidRPr="00142305">
        <w:rPr>
          <w:rFonts w:ascii="Times New Roman" w:hAnsi="Times New Roman"/>
          <w:color w:val="0070C0"/>
          <w:sz w:val="16"/>
          <w:szCs w:val="16"/>
        </w:rPr>
        <w:softHyphen/>
        <w:t>довали себя в боях с японскими агрессорами на озере Хасан и р. Халхин-Гол, Испании и Китае (24968).</w:t>
      </w:r>
    </w:p>
    <w:p w14:paraId="1A91BEC2" w14:textId="77777777" w:rsidR="00F12726" w:rsidRPr="00142305" w:rsidRDefault="00F12726" w:rsidP="00F12726">
      <w:pPr>
        <w:spacing w:after="0" w:line="240" w:lineRule="auto"/>
        <w:jc w:val="both"/>
        <w:rPr>
          <w:rFonts w:ascii="Times New Roman" w:hAnsi="Times New Roman"/>
          <w:color w:val="0070C0"/>
          <w:sz w:val="16"/>
          <w:szCs w:val="16"/>
        </w:rPr>
      </w:pPr>
    </w:p>
    <w:p w14:paraId="2F9C29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1933-го подготовили второй опытный экземпляр ЦКБ-3. Именно на нем продолжили полеты и до конца года успели провести государственные испытания. Установленный на лыжи самолет развивал максимальную скорость у земли 324 км/час, на высоте 3000 м - 350 км/час. Скороподъемность на высоту 5000м составила 6,2 мин., время виража всего 8 с (6593).</w:t>
      </w:r>
    </w:p>
    <w:p w14:paraId="14E8C1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053CECC" w14:textId="77777777" w:rsidR="0079255B" w:rsidRPr="0044524F" w:rsidRDefault="0079255B"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В декабре 1933 на аэродром доставили второй опытный ЦКБ-3, на котором продолжили полеты и до конца года успели прове</w:t>
      </w:r>
      <w:r w:rsidRPr="0044524F">
        <w:rPr>
          <w:rFonts w:ascii="Times New Roman" w:cs="Times New Roman"/>
          <w:color w:val="000000" w:themeColor="text1"/>
          <w:spacing w:val="0"/>
        </w:rPr>
        <w:softHyphen/>
        <w:t>сти Госиспытания. Установленный на лыжи самолет развивал максимальную скорость у земли 324 км/ч, на высоте 3000 м — 350 км/ч. На высоту 5000 м он поднимался за 6,2 мин, время виража составило всего 8 с. Уже 1 января 1934 г. начальник ВВС Яков Алкснис утвердил «Акт Государственных испытаний И-15 РЦ Ф-3». В этом документе, в том числе, указывалось, что по маневренности и скороподьемности новый истребитель опере</w:t>
      </w:r>
      <w:r w:rsidRPr="0044524F">
        <w:rPr>
          <w:rFonts w:ascii="Times New Roman" w:cs="Times New Roman"/>
          <w:color w:val="000000" w:themeColor="text1"/>
          <w:spacing w:val="0"/>
        </w:rPr>
        <w:softHyphen/>
        <w:t>жает все известные машины, а по максимальной скорости на высоте 5000 м уступает некоторым иностранным образцам. Последний недостаток предлагалось устранить. И-15, как пол</w:t>
      </w:r>
      <w:r w:rsidRPr="0044524F">
        <w:rPr>
          <w:rFonts w:ascii="Times New Roman" w:cs="Times New Roman"/>
          <w:color w:val="000000" w:themeColor="text1"/>
          <w:spacing w:val="0"/>
        </w:rPr>
        <w:softHyphen/>
        <w:t>ностью удовлетворяющий требованиям ВВС, получил рекомен</w:t>
      </w:r>
      <w:r w:rsidRPr="0044524F">
        <w:rPr>
          <w:rFonts w:ascii="Times New Roman" w:cs="Times New Roman"/>
          <w:color w:val="000000" w:themeColor="text1"/>
          <w:spacing w:val="0"/>
        </w:rPr>
        <w:softHyphen/>
        <w:t>дацию к серийному производству и скорейшему внедрению в строй военной авиации. Строить самолет решили на двух мо</w:t>
      </w:r>
      <w:r w:rsidRPr="0044524F">
        <w:rPr>
          <w:rFonts w:ascii="Times New Roman" w:cs="Times New Roman"/>
          <w:color w:val="000000" w:themeColor="text1"/>
          <w:spacing w:val="0"/>
        </w:rPr>
        <w:softHyphen/>
        <w:t>сковских заводах — № 1 и № 39 (19107).</w:t>
      </w:r>
    </w:p>
    <w:p w14:paraId="6A3141A5" w14:textId="77777777" w:rsidR="0079255B" w:rsidRPr="0044524F" w:rsidRDefault="0079255B" w:rsidP="009654CF">
      <w:pPr>
        <w:pStyle w:val="27"/>
        <w:shd w:val="clear" w:color="auto" w:fill="auto"/>
        <w:spacing w:after="0" w:line="240" w:lineRule="auto"/>
        <w:ind w:firstLine="0"/>
        <w:rPr>
          <w:rFonts w:ascii="Times New Roman" w:cs="Times New Roman"/>
          <w:color w:val="000000" w:themeColor="text1"/>
          <w:spacing w:val="0"/>
        </w:rPr>
      </w:pPr>
    </w:p>
    <w:p w14:paraId="7EB059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второй опытный ЦКБ-3, подготовленный к полетам, имел колесное шасси и небольшие стойки-антенны в районе законцовок верхнего крыла. Новыми явились тормозные колеса, мас- ляио-пневматическая амортизация, металлический винт, крепление обшивки. Кстати, в разгар постройки опытного ЦКБ-3 решался вопрос повышения летных характеристик серийного И-5. Предлагалось позаимствовать у ЦКБ-3 некоторые конструктивные решения: крыльевые стойки, длинный обтекатель за головой пилота, зализы нижнего крыла, установку пулеметов в трубах. Все это намечалось на I934 г, однако в серию не пошло (12014).</w:t>
      </w:r>
    </w:p>
    <w:p w14:paraId="4E6514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6C11C9D"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года на аэродром доставили второй экземпляр ЦКБ-3. Именно на нём продолжили полёты и до конца года успели провести государственные испытания. Установленный на лыжи самолёт развивал максимальную скорость у земли 324 км/ч, на высоте 3000 м - 350 км/ч. Набор высоты 5000 м занимал 6,2 мин., время виража составляло всего 8 с. Что касается второго экземпляра ЦКБ-3, то его доработали. Для повышения путевой устойчивости увеличили площадь вертикального оперения, на двигателе установили кольцевой капот («кольцо Тауненда») изменённой формы. В таком виде ЦКБ-3 весной 1934 г. направили для продолжения испытаний на аэродром лётной школы в Каче под Севастополем. Одновременно сюда доставили два опытных образца И-16 (ЦКБ-12) и один образец И-14 П.О. Сухого. Вместе с самолётами в Крым командировали В.К. Таирова - заместителем начальника бригады № 2, руководившего детальной проработкой И-15 и И-16 (12261).</w:t>
      </w:r>
    </w:p>
    <w:p w14:paraId="09736D7C" w14:textId="77777777" w:rsidR="000904A1" w:rsidRPr="0044524F" w:rsidRDefault="000904A1" w:rsidP="009654CF">
      <w:pPr>
        <w:spacing w:after="0" w:line="240" w:lineRule="auto"/>
        <w:jc w:val="both"/>
        <w:rPr>
          <w:rFonts w:ascii="Times New Roman" w:hAnsi="Times New Roman"/>
          <w:color w:val="000000" w:themeColor="text1"/>
          <w:sz w:val="16"/>
          <w:szCs w:val="16"/>
        </w:rPr>
      </w:pPr>
    </w:p>
    <w:p w14:paraId="6CF34A4F" w14:textId="77777777" w:rsidR="00636E66" w:rsidRPr="00142305" w:rsidRDefault="00636E66" w:rsidP="00636E6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1933 г. подготовили второй опытный экземпляр ЦКБ</w:t>
      </w:r>
      <w:r w:rsidRPr="00142305">
        <w:rPr>
          <w:rFonts w:ascii="Times New Roman" w:hAnsi="Times New Roman"/>
          <w:color w:val="0070C0"/>
          <w:sz w:val="16"/>
          <w:szCs w:val="16"/>
        </w:rPr>
        <w:noBreakHyphen/>
        <w:t>3, на котором продолжились летные испытания. Установленный на лыжи самолет развивал максимальную скорость у земли 324 км/ч, а на высоте 3000 м – 350 км/ч. Скороподъемность на высоту 5000 м составила 6,2 мин., время виража всего 8 сек. (25069).</w:t>
      </w:r>
    </w:p>
    <w:p w14:paraId="4C769E00" w14:textId="77777777" w:rsidR="00636E66" w:rsidRPr="00142305" w:rsidRDefault="00636E66" w:rsidP="00636E66">
      <w:pPr>
        <w:spacing w:after="0" w:line="240" w:lineRule="auto"/>
        <w:jc w:val="both"/>
        <w:rPr>
          <w:rFonts w:ascii="Times New Roman" w:hAnsi="Times New Roman"/>
          <w:color w:val="0070C0"/>
          <w:sz w:val="16"/>
          <w:szCs w:val="16"/>
        </w:rPr>
      </w:pPr>
    </w:p>
    <w:p w14:paraId="2C3BD5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активно началось обсуждение характеристик и предполагаемых боевых возможностей двух самолетов: ЦКБ-15, получившего в ВВС официальное обозначение И-17 и его двухместного варианта - ДИ-7. Начальник ВВС РККА Яков Алкснис лично принимал участие в выработке тактико-технических требований: "На 20 часов 7 декабря назначаю у себя совещание по этим техтребованиям. Хотелось бы на обоих самолетах иметь более сильное и более дальнобойное вооружение".</w:t>
      </w:r>
    </w:p>
    <w:p w14:paraId="0E7038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Интересно, что в дальнейшем упоминания двухместного истребителя ДИ-7 не встречаются. На каком-то этапе развития событий возник вариант установки на ДИ-7 двух спаренных двигателей, одного за другим, врашающих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1935 г. усилился в связи с развертыванием проектных работ по созданию рекордного скоростного самолета. В результате моторному заводу № 26 поручили задание на разработку "механической спарки" двигателей М-100 (затем М-103). Позднее работа продолжилась и выразилась в создании экспериментального самолета "С" конструкции Болховитинова. Однако к истории И-17 это уже никоим образом не относилось (12016).</w:t>
      </w:r>
    </w:p>
    <w:p w14:paraId="0236B7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817F1F8" w14:textId="77777777" w:rsidR="0047154B" w:rsidRPr="0044524F" w:rsidRDefault="0047154B"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года были утверждены Тактико-технические требования к одноместному истребителю-моноплану ЦКБ-15 с рядным двигателем жидкостного охлаждения М-100 (двигатель «Испано-Сюиза» советской постройки по французской лицензии), который в советских ВВС получил официальное обозначение истребитель И-17. На новой машине предполагалось получить следующие показатели: время набора высоты 5000 метров - 6-7 минут; скорость на высоте 5000 метров – 450 км/ч; практический потолок – 10000 метров; дальность – 600 км; посадочная скорость – не более 100-105 км/ч. Рассматривался и штурмовой вариант ЦКБ-15, оснащенный подвижными пулеметными батареями под крылом (15223).</w:t>
      </w:r>
    </w:p>
    <w:p w14:paraId="19AA5E96" w14:textId="77777777" w:rsidR="0047154B" w:rsidRPr="0044524F" w:rsidRDefault="0047154B" w:rsidP="009654CF">
      <w:pPr>
        <w:shd w:val="clear" w:color="auto" w:fill="FFFFFF"/>
        <w:spacing w:after="0" w:line="240" w:lineRule="auto"/>
        <w:jc w:val="both"/>
        <w:rPr>
          <w:rFonts w:ascii="Times New Roman" w:hAnsi="Times New Roman"/>
          <w:color w:val="000000" w:themeColor="text1"/>
          <w:sz w:val="16"/>
          <w:szCs w:val="16"/>
        </w:rPr>
      </w:pPr>
    </w:p>
    <w:p w14:paraId="37FB6066" w14:textId="77777777" w:rsidR="0047154B" w:rsidRPr="0044524F" w:rsidRDefault="0047154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началось активное обсуждение характеристик и предполагаемых боевых возможностей двух машин: И-17 и ДИ-7 Н.Н.П. Начальник ВВС РККА Яков Алкснис лично принимал участие в выработке тактико-технических требований: "На 20 часов 7 декабря назначаюу себя совещание по этим техтребованиям. Хотелось бы на обоих самолётах иметь более сильное и более дальнобойное вооружение". Интересно, что в дальнейшем упоминание двухместного истребителя ДИ-7 не встречается. На каком-то этапе развития событий возник вариант установки на ДИ-7 двух спаренных двигателей, одного за другим, вращающих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начале 1935 г. усилился в связи с развёртыванием проектных работ по созданию рекордного скоростного самолёта.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41ADF153" w14:textId="77777777" w:rsidR="0047154B" w:rsidRPr="0044524F" w:rsidRDefault="0047154B" w:rsidP="009654CF">
      <w:pPr>
        <w:autoSpaceDE w:val="0"/>
        <w:autoSpaceDN w:val="0"/>
        <w:adjustRightInd w:val="0"/>
        <w:spacing w:after="0" w:line="240" w:lineRule="auto"/>
        <w:jc w:val="both"/>
        <w:rPr>
          <w:rFonts w:ascii="Times New Roman" w:hAnsi="Times New Roman"/>
          <w:color w:val="000000" w:themeColor="text1"/>
          <w:sz w:val="16"/>
          <w:szCs w:val="16"/>
        </w:rPr>
      </w:pPr>
    </w:p>
    <w:p w14:paraId="490FCB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были утверждены Основные положения тактико- технических требований (ИТ) к И-17. При выдаче задания на опытный ЦКБ-15 в ВВС его определили как одноместный истребитель И-17. Он были таковы: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4E10C1" w:rsidRPr="0044524F" w14:paraId="38FFAEBA" w14:textId="77777777">
        <w:tc>
          <w:tcPr>
            <w:tcW w:w="5156" w:type="dxa"/>
            <w:tcBorders>
              <w:top w:val="single" w:sz="12" w:space="0" w:color="auto"/>
            </w:tcBorders>
          </w:tcPr>
          <w:p w14:paraId="7DF454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w:t>
            </w:r>
          </w:p>
        </w:tc>
        <w:tc>
          <w:tcPr>
            <w:tcW w:w="5156" w:type="dxa"/>
            <w:tcBorders>
              <w:top w:val="single" w:sz="12" w:space="0" w:color="auto"/>
            </w:tcBorders>
          </w:tcPr>
          <w:p w14:paraId="2150EF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B498ECD" w14:textId="77777777">
        <w:tc>
          <w:tcPr>
            <w:tcW w:w="5156" w:type="dxa"/>
          </w:tcPr>
          <w:p w14:paraId="43DEF1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5000 м</w:t>
            </w:r>
          </w:p>
        </w:tc>
        <w:tc>
          <w:tcPr>
            <w:tcW w:w="5156" w:type="dxa"/>
          </w:tcPr>
          <w:p w14:paraId="5AD57D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425 км/ч</w:t>
            </w:r>
          </w:p>
        </w:tc>
      </w:tr>
      <w:tr w:rsidR="004E10C1" w:rsidRPr="0044524F" w14:paraId="4E1EB80F" w14:textId="77777777">
        <w:tc>
          <w:tcPr>
            <w:tcW w:w="5156" w:type="dxa"/>
          </w:tcPr>
          <w:p w14:paraId="5FF825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5000 м</w:t>
            </w:r>
          </w:p>
        </w:tc>
        <w:tc>
          <w:tcPr>
            <w:tcW w:w="5156" w:type="dxa"/>
          </w:tcPr>
          <w:p w14:paraId="4DBC5B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 мин</w:t>
            </w:r>
          </w:p>
        </w:tc>
      </w:tr>
      <w:tr w:rsidR="004E10C1" w:rsidRPr="0044524F" w14:paraId="5A1992CF" w14:textId="77777777">
        <w:tc>
          <w:tcPr>
            <w:tcW w:w="5156" w:type="dxa"/>
          </w:tcPr>
          <w:p w14:paraId="0B87FD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Потолок практический </w:t>
            </w:r>
          </w:p>
        </w:tc>
        <w:tc>
          <w:tcPr>
            <w:tcW w:w="5156" w:type="dxa"/>
          </w:tcPr>
          <w:p w14:paraId="7B03C1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10000 м</w:t>
            </w:r>
          </w:p>
        </w:tc>
      </w:tr>
      <w:tr w:rsidR="004E10C1" w:rsidRPr="0044524F" w14:paraId="6CF88A9A" w14:textId="77777777">
        <w:tc>
          <w:tcPr>
            <w:tcW w:w="5156" w:type="dxa"/>
          </w:tcPr>
          <w:p w14:paraId="2221F2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Посадочная скорость (не более)</w:t>
            </w:r>
          </w:p>
        </w:tc>
        <w:tc>
          <w:tcPr>
            <w:tcW w:w="5156" w:type="dxa"/>
          </w:tcPr>
          <w:p w14:paraId="0B4EE6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100-105 км/ч</w:t>
            </w:r>
          </w:p>
        </w:tc>
      </w:tr>
      <w:tr w:rsidR="004E10C1" w:rsidRPr="0044524F" w14:paraId="3C9F6809" w14:textId="77777777">
        <w:tc>
          <w:tcPr>
            <w:tcW w:w="5156" w:type="dxa"/>
            <w:tcBorders>
              <w:bottom w:val="single" w:sz="12" w:space="0" w:color="auto"/>
            </w:tcBorders>
          </w:tcPr>
          <w:p w14:paraId="15EA31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Техническая дальность</w:t>
            </w:r>
          </w:p>
        </w:tc>
        <w:tc>
          <w:tcPr>
            <w:tcW w:w="5156" w:type="dxa"/>
            <w:tcBorders>
              <w:bottom w:val="single" w:sz="12" w:space="0" w:color="auto"/>
            </w:tcBorders>
          </w:tcPr>
          <w:p w14:paraId="546B8A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600 км</w:t>
            </w:r>
          </w:p>
        </w:tc>
      </w:tr>
    </w:tbl>
    <w:p w14:paraId="4A66FC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Конструкция нового моноплана во многом повторяла И-16. Такое же крыло с лонжеронами из стальных, хромомолибденовых труб, с дюралевым поперечным набором и полотняной обшивкой. Элероны разрезные, дифференциальные, способные на посадке отклоняться вниз и выполнять роль закрылков. </w:t>
      </w:r>
    </w:p>
    <w:p w14:paraId="6BFB6F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выдвижных водяных радиатора в крыльях, указываемые в проектном варианте, позднее заменили одним выдвижным под- фюзеляжным. Такая компоновка обусловила схему размещения шасси с уборкой "от оси" самолета. Топливные баки общей емкостью 360 литров, размещались в передней кромке центроплана, что позволяло частично разгрузить крыло и более эффективно использовать внутренние объемы замоторного пространства в фюзеляже. Отчасти такое решение указывает на первоначальный замысел установить в фюзеляже скорострельную авиационную пушку, стреляющую через полый вал втулки воздушного винта. Тем не менее, вооружение первого опытного экземпляра (как, впрочем, и второго) состояло из четырех пулеметов ШКАС, размещенных в отъемных частях крыла.</w:t>
      </w:r>
    </w:p>
    <w:p w14:paraId="28047B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Испытания ЦКБ-15 начались во второй половине 1934 года. В сентябре летчик-испытатель В.П.Чкалов достиг на самолете скорости 424 км/ч у земли, и 455 км/ч на высоте 3380 м. Несмотря на вполне удовлетворительные летные данные, дальнейшие работы по этому экземпляру затормозились. В стремлении обеспечить приемлемый стояночный угол (диаметр используемого воздушного винта 3,4 м был великоват для такого маленького самолета) конструкторы установили шасси под большим углом к вертикали, что осложнило работу амортизаторов и, как следствие, дальнейшую эксплуатацию этого опытного образца. Ненадежно проявил себя и механизм уборки шасси, поэтому позднее самолет оборудовали неубираемы- ми пирамидальными стойками, снабженными резиновыми пластинчатыми амортизаторами.</w:t>
      </w:r>
    </w:p>
    <w:p w14:paraId="4F00E7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Длительное время ЦКБ-15 находился на территории завода №39. Николай Поликарпов пытался продлить жизнь машины, предлагал, в частности, переделать ее в подвесной истребитель для системы "самолет-звено" В.С.Вах- мистрова, однако до реализации этого предложения дело не дошло. В послевоенное время ЦКБ-15 стал экспонатом Центрального музея авиации в Москве - висел под потолком демонстрационного зала с убранным шасси. Впоследствии самолет вновь оборудовали неубираемым шасси, в таком виде он сохранился по наши дни (уникальный случай!) в небольшом музее В.П.Чкалова под Нижним Новгородом (11951).</w:t>
      </w:r>
    </w:p>
    <w:p w14:paraId="70C4F6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7AE5ECB" w14:textId="42C86236" w:rsidR="00410552" w:rsidRPr="00142305" w:rsidRDefault="00410552" w:rsidP="004105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1933 г. началось</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обсуждение харак</w:t>
      </w:r>
      <w:r w:rsidRPr="00142305">
        <w:rPr>
          <w:rFonts w:ascii="Times New Roman" w:hAnsi="Times New Roman"/>
          <w:color w:val="0070C0"/>
          <w:sz w:val="16"/>
          <w:szCs w:val="16"/>
        </w:rPr>
        <w:softHyphen/>
        <w:t>теристик и предполагаемых боевых возмож</w:t>
      </w:r>
      <w:r w:rsidRPr="00142305">
        <w:rPr>
          <w:rFonts w:ascii="Times New Roman" w:hAnsi="Times New Roman"/>
          <w:color w:val="0070C0"/>
          <w:sz w:val="16"/>
          <w:szCs w:val="16"/>
        </w:rPr>
        <w:softHyphen/>
        <w:t>ностей двух самолетов под ИС 12Ybrs – И-17 и ДИ-7. наиболее актив</w:t>
      </w:r>
      <w:r w:rsidRPr="00142305">
        <w:rPr>
          <w:rFonts w:ascii="Times New Roman" w:hAnsi="Times New Roman"/>
          <w:color w:val="0070C0"/>
          <w:sz w:val="16"/>
          <w:szCs w:val="16"/>
        </w:rPr>
        <w:softHyphen/>
        <w:t>но Начальник ВВС РККА Яков Алкснис лично принимал участие в выработке тактико-технических требований: «На 20 часов 7 декабря назна</w:t>
      </w:r>
      <w:r w:rsidRPr="00142305">
        <w:rPr>
          <w:rFonts w:ascii="Times New Roman" w:hAnsi="Times New Roman"/>
          <w:color w:val="0070C0"/>
          <w:sz w:val="16"/>
          <w:szCs w:val="16"/>
        </w:rPr>
        <w:softHyphen/>
        <w:t>чаю у себя совещание по этим техтребованиям. Хотелось бы на обоих самолетах иметь более сильное и более дальнобойное воору</w:t>
      </w:r>
      <w:r w:rsidRPr="00142305">
        <w:rPr>
          <w:rFonts w:ascii="Times New Roman" w:hAnsi="Times New Roman"/>
          <w:color w:val="0070C0"/>
          <w:sz w:val="16"/>
          <w:szCs w:val="16"/>
        </w:rPr>
        <w:softHyphen/>
        <w:t>жение».</w:t>
      </w:r>
    </w:p>
    <w:p w14:paraId="6777582D" w14:textId="77777777" w:rsidR="00410552" w:rsidRPr="00142305" w:rsidRDefault="00410552" w:rsidP="004105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Интересно, что в дальнейшем упомина</w:t>
      </w:r>
      <w:r w:rsidRPr="00142305">
        <w:rPr>
          <w:rFonts w:ascii="Times New Roman" w:hAnsi="Times New Roman"/>
          <w:color w:val="0070C0"/>
          <w:sz w:val="16"/>
          <w:szCs w:val="16"/>
        </w:rPr>
        <w:softHyphen/>
        <w:t>ния двухместного истребителя ДИ-7 не встречаются. На каком-то этапе развития событий возник вариант установки на ДИ-7 двух спаренных двигателей, одного за дру</w:t>
      </w:r>
      <w:r w:rsidRPr="00142305">
        <w:rPr>
          <w:rFonts w:ascii="Times New Roman" w:hAnsi="Times New Roman"/>
          <w:color w:val="0070C0"/>
          <w:sz w:val="16"/>
          <w:szCs w:val="16"/>
        </w:rPr>
        <w:softHyphen/>
        <w:t>гим, вращающих два воздушных винта в противоположных направлениях. В отноше</w:t>
      </w:r>
      <w:r w:rsidRPr="00142305">
        <w:rPr>
          <w:rFonts w:ascii="Times New Roman" w:hAnsi="Times New Roman"/>
          <w:color w:val="0070C0"/>
          <w:sz w:val="16"/>
          <w:szCs w:val="16"/>
        </w:rPr>
        <w:softHyphen/>
        <w:t>нии такой моторной установки пользова</w:t>
      </w:r>
      <w:r w:rsidRPr="00142305">
        <w:rPr>
          <w:rFonts w:ascii="Times New Roman" w:hAnsi="Times New Roman"/>
          <w:color w:val="0070C0"/>
          <w:sz w:val="16"/>
          <w:szCs w:val="16"/>
        </w:rPr>
        <w:softHyphen/>
        <w:t>лись определением «механическая спарка». Интерес к этой теме в 1935 г. усилился в свя</w:t>
      </w:r>
      <w:r w:rsidRPr="00142305">
        <w:rPr>
          <w:rFonts w:ascii="Times New Roman" w:hAnsi="Times New Roman"/>
          <w:color w:val="0070C0"/>
          <w:sz w:val="16"/>
          <w:szCs w:val="16"/>
        </w:rPr>
        <w:softHyphen/>
        <w:t>зи с развертыванием проектных работ по со</w:t>
      </w:r>
      <w:r w:rsidRPr="00142305">
        <w:rPr>
          <w:rFonts w:ascii="Times New Roman" w:hAnsi="Times New Roman"/>
          <w:color w:val="0070C0"/>
          <w:sz w:val="16"/>
          <w:szCs w:val="16"/>
        </w:rPr>
        <w:softHyphen/>
        <w:t>зданию рекордного скоростного самолета. В результате моторному заводу № 26 поручили задание на разработку «механической спарки» двигателей М-100 (затем М-103). Позд</w:t>
      </w:r>
      <w:r w:rsidRPr="00142305">
        <w:rPr>
          <w:rFonts w:ascii="Times New Roman" w:hAnsi="Times New Roman"/>
          <w:color w:val="0070C0"/>
          <w:sz w:val="16"/>
          <w:szCs w:val="16"/>
        </w:rPr>
        <w:softHyphen/>
        <w:t>нее работа продолжилась и выразилась в со</w:t>
      </w:r>
      <w:r w:rsidRPr="00142305">
        <w:rPr>
          <w:rFonts w:ascii="Times New Roman" w:hAnsi="Times New Roman"/>
          <w:color w:val="0070C0"/>
          <w:sz w:val="16"/>
          <w:szCs w:val="16"/>
        </w:rPr>
        <w:softHyphen/>
        <w:t>здании экспериментального самолета «С» конструкции Болховитинова. Однако к ис</w:t>
      </w:r>
      <w:r w:rsidRPr="00142305">
        <w:rPr>
          <w:rFonts w:ascii="Times New Roman" w:hAnsi="Times New Roman"/>
          <w:color w:val="0070C0"/>
          <w:sz w:val="16"/>
          <w:szCs w:val="16"/>
        </w:rPr>
        <w:softHyphen/>
        <w:t>тории И-17 это уже никоим образом не от</w:t>
      </w:r>
      <w:r w:rsidRPr="00142305">
        <w:rPr>
          <w:rFonts w:ascii="Times New Roman" w:hAnsi="Times New Roman"/>
          <w:color w:val="0070C0"/>
          <w:sz w:val="16"/>
          <w:szCs w:val="16"/>
        </w:rPr>
        <w:softHyphen/>
        <w:t>носилось (34927).</w:t>
      </w:r>
    </w:p>
    <w:p w14:paraId="687EACA8" w14:textId="77777777" w:rsidR="00410552" w:rsidRPr="00142305" w:rsidRDefault="00410552" w:rsidP="00410552">
      <w:pPr>
        <w:spacing w:after="0" w:line="240" w:lineRule="auto"/>
        <w:jc w:val="both"/>
        <w:rPr>
          <w:rFonts w:ascii="Times New Roman" w:hAnsi="Times New Roman"/>
          <w:color w:val="0070C0"/>
          <w:sz w:val="16"/>
          <w:szCs w:val="16"/>
        </w:rPr>
      </w:pPr>
    </w:p>
    <w:p w14:paraId="4F3327C2" w14:textId="77777777" w:rsidR="0047154B" w:rsidRPr="0044524F" w:rsidRDefault="0047154B" w:rsidP="009654CF">
      <w:pPr>
        <w:pStyle w:val="rtejustify"/>
        <w:spacing w:before="0" w:after="0"/>
        <w:rPr>
          <w:color w:val="000000" w:themeColor="text1"/>
          <w:sz w:val="16"/>
          <w:szCs w:val="16"/>
        </w:rPr>
      </w:pPr>
      <w:r w:rsidRPr="0044524F">
        <w:rPr>
          <w:color w:val="000000" w:themeColor="text1"/>
          <w:sz w:val="16"/>
          <w:szCs w:val="16"/>
        </w:rPr>
        <w:t>В декабре 1933 г. были закончены чертежи для опытного самолета ДИ-6, опытная машина выпущена в сентябре 1934 г., тогда же проведены и государственные испытания. В мае 1935 г. машина участвовала в параде воздушных сил, результат же войсковых испытаний получен только в октябре 1936 г. В июле 1935 г. было решено наряду с истребительным вариантом дать и штурмовой вариант этой машины. В октябре месяце 1935 г. опытный образец штурмовика прошел государственные испытания. Несмотря на то, что еще нет серийного выпуска штурмовика ДИ</w:t>
      </w:r>
      <w:r w:rsidRPr="0044524F">
        <w:rPr>
          <w:color w:val="000000" w:themeColor="text1"/>
          <w:sz w:val="16"/>
          <w:szCs w:val="16"/>
        </w:rPr>
        <w:noBreakHyphen/>
        <w:t>6 имеются настроения вовсе отказаться от его производства (15405).</w:t>
      </w:r>
    </w:p>
    <w:p w14:paraId="788921A7" w14:textId="77777777" w:rsidR="0047154B" w:rsidRPr="0044524F" w:rsidRDefault="0047154B" w:rsidP="009654CF">
      <w:pPr>
        <w:pStyle w:val="rtejustify"/>
        <w:spacing w:before="0" w:after="0"/>
        <w:rPr>
          <w:color w:val="000000" w:themeColor="text1"/>
          <w:sz w:val="16"/>
          <w:szCs w:val="16"/>
        </w:rPr>
      </w:pPr>
    </w:p>
    <w:p w14:paraId="3FDCFE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года обсуждение вопроса о передаче легкого самолетостроения, а также и экспериментального на 39 завод, привело к тому, что работы в производстве по самолетам РК (разрезное крыло) м СС (стратосферный самолет) были немедленно остановлены (7508, 54-58).</w:t>
      </w:r>
    </w:p>
    <w:p w14:paraId="1C12BD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D4965D1" w14:textId="77777777" w:rsidR="007B1F99" w:rsidRPr="0044524F" w:rsidRDefault="007B1F9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года был утвержден деревянный макет машины ХАИ-1ВВ, а уже в начале 1934 года построили первый опытный прототип (24246).</w:t>
      </w:r>
    </w:p>
    <w:p w14:paraId="73D3D7F7" w14:textId="77777777" w:rsidR="007B1F99" w:rsidRPr="0044524F" w:rsidRDefault="007B1F99" w:rsidP="009654CF">
      <w:pPr>
        <w:spacing w:after="0" w:line="240" w:lineRule="auto"/>
        <w:jc w:val="both"/>
        <w:rPr>
          <w:rFonts w:ascii="Times New Roman" w:hAnsi="Times New Roman"/>
          <w:color w:val="000000" w:themeColor="text1"/>
          <w:sz w:val="16"/>
          <w:szCs w:val="16"/>
        </w:rPr>
      </w:pPr>
    </w:p>
    <w:p w14:paraId="15F8342B"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года ВВС снова был поставлен вопрос в Правительстве о том, что ход переговоров и закупка моторов для истребителей идет медленным темпом, в результате чего Правительство особым своим решением обязало (см. постановление № 130сс от 15 декабря 1933 года) ГУАП и НКВнешторг форсировать ведение переговоров и закупку моторов и добиться окончания переговоров на поставку моторов и окончания самой поставки последних в конкретные сроки (7439, 14).</w:t>
      </w:r>
    </w:p>
    <w:p w14:paraId="6DF607BF" w14:textId="77777777" w:rsidR="002E2083" w:rsidRPr="0044524F" w:rsidRDefault="002E2083" w:rsidP="009654CF">
      <w:pPr>
        <w:tabs>
          <w:tab w:val="left" w:pos="360"/>
        </w:tabs>
        <w:autoSpaceDE w:val="0"/>
        <w:autoSpaceDN w:val="0"/>
        <w:adjustRightInd w:val="0"/>
        <w:spacing w:after="0" w:line="240" w:lineRule="auto"/>
        <w:jc w:val="both"/>
        <w:rPr>
          <w:rFonts w:ascii="Times New Roman" w:hAnsi="Times New Roman"/>
          <w:color w:val="000000" w:themeColor="text1"/>
          <w:sz w:val="16"/>
          <w:szCs w:val="16"/>
        </w:rPr>
      </w:pPr>
    </w:p>
    <w:p w14:paraId="129418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закончились испытания АИР-7 в НИИ ВВС, которые шли с октября 1933. Потом по нему отрабатывали стрельбу с воздуха (1771,7).</w:t>
      </w:r>
    </w:p>
    <w:p w14:paraId="566CB4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A5CFAF3" w14:textId="77777777" w:rsidR="00D9119C" w:rsidRPr="0044524F" w:rsidRDefault="00D911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был построен и испытан опытный самолет НИАИ-4 конструкции инженера Анатолия Георгиевича Бедунковича. НИАИ-4 - двухместный деревянный биплан с неодинаковым размахом плоскостей, позволяющий путем перестановки одних и тех же плоскостей получить четыре варианта самолета с различными данными и летными качествами, в том числе которых иизкоплан и моноплан типа парасоль. Мотор М-11 мощностью 100 л.с. Испытания показали полную возможность применения такой комбинированной конструкции при последовательных стадиях летного обучения. Самолет строился в ремонтной авиабазе ГВФ в Ленинграде.</w:t>
      </w:r>
    </w:p>
    <w:p w14:paraId="5C143403" w14:textId="77777777" w:rsidR="00D9119C" w:rsidRPr="0044524F" w:rsidRDefault="00D911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1933 № 10/; 1934 № 1/ (23370).</w:t>
      </w:r>
    </w:p>
    <w:p w14:paraId="0E1C3B1F" w14:textId="77777777" w:rsidR="00D9119C" w:rsidRPr="0044524F" w:rsidRDefault="00D9119C" w:rsidP="009654CF">
      <w:pPr>
        <w:spacing w:after="0" w:line="240" w:lineRule="auto"/>
        <w:jc w:val="both"/>
        <w:rPr>
          <w:rFonts w:ascii="Times New Roman" w:hAnsi="Times New Roman"/>
          <w:color w:val="000000" w:themeColor="text1"/>
          <w:sz w:val="16"/>
          <w:szCs w:val="16"/>
        </w:rPr>
      </w:pPr>
    </w:p>
    <w:p w14:paraId="23544D7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w:t>
      </w:r>
      <w:r w:rsidRPr="0044524F">
        <w:rPr>
          <w:rFonts w:ascii="Times New Roman" w:hAnsi="Times New Roman"/>
          <w:color w:val="000000" w:themeColor="text1"/>
          <w:sz w:val="16"/>
          <w:szCs w:val="16"/>
        </w:rPr>
        <w:softHyphen/>
        <w:t>ре 1933 г. в планах опытного строительст</w:t>
      </w:r>
      <w:r w:rsidRPr="0044524F">
        <w:rPr>
          <w:rFonts w:ascii="Times New Roman" w:hAnsi="Times New Roman"/>
          <w:color w:val="000000" w:themeColor="text1"/>
          <w:sz w:val="16"/>
          <w:szCs w:val="16"/>
        </w:rPr>
        <w:softHyphen/>
        <w:t>ва советской авиапро</w:t>
      </w:r>
      <w:r w:rsidRPr="0044524F">
        <w:rPr>
          <w:rFonts w:ascii="Times New Roman" w:hAnsi="Times New Roman"/>
          <w:color w:val="000000" w:themeColor="text1"/>
          <w:sz w:val="16"/>
          <w:szCs w:val="16"/>
        </w:rPr>
        <w:softHyphen/>
        <w:t>мышленности встречается первое упомина</w:t>
      </w:r>
      <w:r w:rsidRPr="0044524F">
        <w:rPr>
          <w:rFonts w:ascii="Times New Roman" w:hAnsi="Times New Roman"/>
          <w:color w:val="000000" w:themeColor="text1"/>
          <w:sz w:val="16"/>
          <w:szCs w:val="16"/>
        </w:rPr>
        <w:softHyphen/>
        <w:t>ние о необходимости создания транс</w:t>
      </w:r>
      <w:r w:rsidRPr="0044524F">
        <w:rPr>
          <w:rFonts w:ascii="Times New Roman" w:hAnsi="Times New Roman"/>
          <w:color w:val="000000" w:themeColor="text1"/>
          <w:sz w:val="16"/>
          <w:szCs w:val="16"/>
        </w:rPr>
        <w:softHyphen/>
        <w:t>портного самолета на основе конструкции бомбардировщика СБ. При этом предполагалось лишь проектирование ново</w:t>
      </w:r>
      <w:r w:rsidRPr="0044524F">
        <w:rPr>
          <w:rFonts w:ascii="Times New Roman" w:hAnsi="Times New Roman"/>
          <w:color w:val="000000" w:themeColor="text1"/>
          <w:sz w:val="16"/>
          <w:szCs w:val="16"/>
        </w:rPr>
        <w:softHyphen/>
        <w:t>го фюзеляжа для раз</w:t>
      </w:r>
      <w:r w:rsidRPr="0044524F">
        <w:rPr>
          <w:rFonts w:ascii="Times New Roman" w:hAnsi="Times New Roman"/>
          <w:color w:val="000000" w:themeColor="text1"/>
          <w:sz w:val="16"/>
          <w:szCs w:val="16"/>
        </w:rPr>
        <w:softHyphen/>
        <w:t>мещения 10-12 пасса</w:t>
      </w:r>
      <w:r w:rsidRPr="0044524F">
        <w:rPr>
          <w:rFonts w:ascii="Times New Roman" w:hAnsi="Times New Roman"/>
          <w:color w:val="000000" w:themeColor="text1"/>
          <w:sz w:val="16"/>
          <w:szCs w:val="16"/>
        </w:rPr>
        <w:softHyphen/>
        <w:t>жиров. Для конструкторского отдела ЦАГИ данная работа не являлась перво</w:t>
      </w:r>
      <w:r w:rsidRPr="0044524F">
        <w:rPr>
          <w:rFonts w:ascii="Times New Roman" w:hAnsi="Times New Roman"/>
          <w:color w:val="000000" w:themeColor="text1"/>
          <w:sz w:val="16"/>
          <w:szCs w:val="16"/>
        </w:rPr>
        <w:softHyphen/>
        <w:t>очередной, поэтому создание машины вполне могло задержаться на неопреде</w:t>
      </w:r>
      <w:r w:rsidRPr="0044524F">
        <w:rPr>
          <w:rFonts w:ascii="Times New Roman" w:hAnsi="Times New Roman"/>
          <w:color w:val="000000" w:themeColor="text1"/>
          <w:sz w:val="16"/>
          <w:szCs w:val="16"/>
        </w:rPr>
        <w:softHyphen/>
        <w:t>ленное время (10698).</w:t>
      </w:r>
    </w:p>
    <w:p w14:paraId="742BA67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4CD2A3D" w14:textId="77777777" w:rsidR="00AA5D8E" w:rsidRPr="0044524F" w:rsidRDefault="00AA5D8E"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В декабре 1933 г. в плане опытного строительства советской авиапромышленности появилось упоминание о необходимости разработки транспортного самолета на основе скоростного бомбардировщика СБ. При этом предпо</w:t>
      </w:r>
      <w:r w:rsidRPr="0044524F">
        <w:rPr>
          <w:rFonts w:ascii="Times New Roman" w:cs="Times New Roman"/>
          <w:color w:val="000000" w:themeColor="text1"/>
          <w:spacing w:val="0"/>
        </w:rPr>
        <w:softHyphen/>
        <w:t>лагалось спроектировать новый фюзеляж, способный вместить 10-12 пассажиров, а крыло, оперение и остальные агрегаты со</w:t>
      </w:r>
      <w:r w:rsidRPr="0044524F">
        <w:rPr>
          <w:rFonts w:ascii="Times New Roman" w:cs="Times New Roman"/>
          <w:color w:val="000000" w:themeColor="text1"/>
          <w:spacing w:val="0"/>
        </w:rPr>
        <w:softHyphen/>
        <w:t>хранить. Для конструкторского отдела ЦАГИ данная работа не являлась первоочередной, поэтому создание машины могло задержаться на неопределенное время. Однако его ускорил конкурс на современный пассажирский самолет, объявленный в мае 1934 г. инженерным обществом «Авиавнито» и редакцией газеты «За рулем». Согласно объявленным условиям, новый лайнер должен был перевозить 5-12 пассажиров с багажом, развивать скорость 420-450 км/ч, обладать дальностью полета 1250-1500 км и потолком 7500 м.</w:t>
      </w:r>
    </w:p>
    <w:p w14:paraId="0DDA306B" w14:textId="77777777" w:rsidR="00AA5D8E" w:rsidRPr="0044524F" w:rsidRDefault="00AA5D8E"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До установленного срока (1 мая 1935г.) жюри конкурса рас</w:t>
      </w:r>
      <w:r w:rsidRPr="0044524F">
        <w:rPr>
          <w:rFonts w:ascii="Times New Roman" w:cs="Times New Roman"/>
          <w:color w:val="000000" w:themeColor="text1"/>
          <w:spacing w:val="0"/>
        </w:rPr>
        <w:softHyphen/>
        <w:t>смотрело несколько десятков проектов различных авторов и коллективов, представивших в основном двухмоторные моно</w:t>
      </w:r>
      <w:r w:rsidRPr="0044524F">
        <w:rPr>
          <w:rFonts w:ascii="Times New Roman" w:cs="Times New Roman"/>
          <w:color w:val="000000" w:themeColor="text1"/>
          <w:spacing w:val="0"/>
        </w:rPr>
        <w:softHyphen/>
        <w:t>планы с совершенной аэродинамикой. Хотя ни один из этих проектов на практике в СССР не реализовали, сам конкурс в значительной степени повысил интерес к скоростным самоле</w:t>
      </w:r>
      <w:r w:rsidRPr="0044524F">
        <w:rPr>
          <w:rFonts w:ascii="Times New Roman" w:cs="Times New Roman"/>
          <w:color w:val="000000" w:themeColor="text1"/>
          <w:spacing w:val="0"/>
        </w:rPr>
        <w:softHyphen/>
        <w:t>там гражданского назначения. Не удивительно, что именно в этот период работы по созданию пассажирского самолета ЦАГИ, получившего обозначение АНТ-35, активизировались (19855).</w:t>
      </w:r>
    </w:p>
    <w:p w14:paraId="06802C93" w14:textId="77777777" w:rsidR="00AA5D8E" w:rsidRPr="0044524F" w:rsidRDefault="00AA5D8E" w:rsidP="009654CF">
      <w:pPr>
        <w:spacing w:after="0" w:line="240" w:lineRule="auto"/>
        <w:jc w:val="both"/>
        <w:rPr>
          <w:rFonts w:ascii="Times New Roman" w:hAnsi="Times New Roman"/>
          <w:color w:val="000000" w:themeColor="text1"/>
          <w:sz w:val="16"/>
          <w:szCs w:val="16"/>
        </w:rPr>
      </w:pPr>
    </w:p>
    <w:p w14:paraId="499E08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Начальник ВВС Алкснис утвердил:</w:t>
      </w:r>
    </w:p>
    <w:p w14:paraId="4EC5B8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Временные ТУ на поставку самолетов ТБ3-4М34Р постройки первой половины 1934 года.</w:t>
      </w:r>
    </w:p>
    <w:p w14:paraId="12537A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Временные ТУ на поставку самолетов Р6-2М17 постройки первой половины 1934 года.</w:t>
      </w:r>
    </w:p>
    <w:p w14:paraId="279C6C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ТУ на поставку самолетов Р5-М17 постройки первой половины 1934 года.</w:t>
      </w:r>
    </w:p>
    <w:p w14:paraId="37063D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ТУ на поставку самолетов Р5-М17 (штурмовиков) постройки первой половины 1934 года.</w:t>
      </w:r>
    </w:p>
    <w:p w14:paraId="056B7E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ТУ на поставку самолетов И5-М22 постройки первой половины 1934 года.</w:t>
      </w:r>
    </w:p>
    <w:p w14:paraId="07F337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ТУ на поставку самолетов У2 постройки первой половины 1934 года.</w:t>
      </w:r>
    </w:p>
    <w:p w14:paraId="189B8A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ТУ на поставку гидросамолетов-амфибия А.1.С мотором М11 постройки 1934 года.</w:t>
      </w:r>
    </w:p>
    <w:p w14:paraId="22290B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Временные ТУ на поставку гидросамолетов Р5а М-17 Е; 7,3 постройки 1934 года.</w:t>
      </w:r>
    </w:p>
    <w:p w14:paraId="1B97FD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ТУ на поставку МБР-2 М-17 Е=7,3 3 производства начала 1934 года (3100).</w:t>
      </w:r>
    </w:p>
    <w:p w14:paraId="30D5C3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3ADBB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зам. нач. бригады 5 ЦКБ Г.М.Бериева П.Д.Самсонову удалось пока Г.М.Б. был в длительной командировке в Севастополе, где испытывался МБР-2, получить задание на разработку летающей лодки-амфибии МБР-5 - МБР-4 была Савойя (2555,69).</w:t>
      </w:r>
    </w:p>
    <w:p w14:paraId="0B0911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60205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П.Д.Самсонов получил задание на МБР-5 (2555,69).</w:t>
      </w:r>
    </w:p>
    <w:p w14:paraId="46A616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CC430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ГУ ГВФ договорилась отдать итальянские летающие лодки Савойя С.55 военным, получив взамен такое же количество машин другого типа (5486,4).</w:t>
      </w:r>
    </w:p>
    <w:p w14:paraId="3D77FE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C22C8DC" w14:textId="77777777" w:rsidR="00410552" w:rsidRPr="00142305" w:rsidRDefault="00410552" w:rsidP="00410552">
      <w:pPr>
        <w:shd w:val="clear" w:color="auto" w:fill="FFFFFF"/>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1933</w:t>
      </w:r>
      <w:bookmarkStart w:id="59" w:name="bookmark55"/>
      <w:bookmarkEnd w:id="59"/>
      <w:r w:rsidRPr="00142305">
        <w:rPr>
          <w:rFonts w:ascii="Times New Roman" w:hAnsi="Times New Roman"/>
          <w:color w:val="0070C0"/>
          <w:sz w:val="16"/>
          <w:szCs w:val="16"/>
        </w:rPr>
        <w:t xml:space="preserve"> г. договорились отдать четыре оставшихся S.55 ВВС, по</w:t>
      </w:r>
      <w:r w:rsidRPr="00142305">
        <w:rPr>
          <w:rFonts w:ascii="Times New Roman" w:hAnsi="Times New Roman"/>
          <w:color w:val="0070C0"/>
          <w:sz w:val="16"/>
          <w:szCs w:val="16"/>
        </w:rPr>
        <w:softHyphen/>
        <w:t xml:space="preserve">лучив взамен такое же количество машин другого типа. Инспектировавший в начале </w:t>
      </w:r>
      <w:bookmarkStart w:id="60" w:name="bookmark56"/>
      <w:bookmarkEnd w:id="60"/>
      <w:r w:rsidRPr="00142305">
        <w:rPr>
          <w:rFonts w:ascii="Times New Roman" w:hAnsi="Times New Roman"/>
          <w:color w:val="0070C0"/>
          <w:sz w:val="16"/>
          <w:szCs w:val="16"/>
        </w:rPr>
        <w:t>1933 г. ДВУ ГВФ Силин написал: «Само</w:t>
      </w:r>
      <w:r w:rsidRPr="00142305">
        <w:rPr>
          <w:rFonts w:ascii="Times New Roman" w:hAnsi="Times New Roman"/>
          <w:color w:val="0070C0"/>
          <w:sz w:val="16"/>
          <w:szCs w:val="16"/>
        </w:rPr>
        <w:softHyphen/>
        <w:t>леты С-55 считаю неподходящими, необ</w:t>
      </w:r>
      <w:r w:rsidRPr="00142305">
        <w:rPr>
          <w:rFonts w:ascii="Times New Roman" w:hAnsi="Times New Roman"/>
          <w:color w:val="0070C0"/>
          <w:sz w:val="16"/>
          <w:szCs w:val="16"/>
        </w:rPr>
        <w:softHyphen/>
        <w:t>ходимо их скорее обменять». В качестве замены для будущей Сахалинской линии он предлагал АНТ-9 или С-62Б. В итоге с Управлением ВВС сторговались на три С-62Б. Начальник ДВУ Поляков с реше</w:t>
      </w:r>
      <w:r w:rsidRPr="00142305">
        <w:rPr>
          <w:rFonts w:ascii="Times New Roman" w:hAnsi="Times New Roman"/>
          <w:color w:val="0070C0"/>
          <w:sz w:val="16"/>
          <w:szCs w:val="16"/>
        </w:rPr>
        <w:softHyphen/>
        <w:t>нием об обмене согласился. Стали ждать, когда военные выделят самолеты.</w:t>
      </w:r>
    </w:p>
    <w:p w14:paraId="6D80800D" w14:textId="77777777" w:rsidR="00410552" w:rsidRPr="00142305" w:rsidRDefault="00410552" w:rsidP="0041055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Прошло почти полгода, а С-62Б так и не поступили: в Управлении ВВС никак не могли решить, кто же должен их отдать. Тогда 10 апреля 1934 г. начальник ГУ ГВФ И.С. Уншлихт распорядился о закрепле</w:t>
      </w:r>
      <w:r w:rsidRPr="00142305">
        <w:rPr>
          <w:rFonts w:ascii="Times New Roman" w:hAnsi="Times New Roman"/>
          <w:color w:val="0070C0"/>
          <w:sz w:val="16"/>
          <w:szCs w:val="16"/>
        </w:rPr>
        <w:softHyphen/>
        <w:t>нии С-55 за ДВУ и передаче их в эксплу</w:t>
      </w:r>
      <w:r w:rsidRPr="00142305">
        <w:rPr>
          <w:rFonts w:ascii="Times New Roman" w:hAnsi="Times New Roman"/>
          <w:color w:val="0070C0"/>
          <w:sz w:val="16"/>
          <w:szCs w:val="16"/>
        </w:rPr>
        <w:softHyphen/>
        <w:t>атацию. Наступала летняя навигация, и дальше ждать было невозможно (24944).</w:t>
      </w:r>
    </w:p>
    <w:p w14:paraId="75BD74A5" w14:textId="77777777" w:rsidR="00410552" w:rsidRPr="00142305" w:rsidRDefault="00410552" w:rsidP="00410552">
      <w:pPr>
        <w:spacing w:after="0" w:line="240" w:lineRule="auto"/>
        <w:jc w:val="both"/>
        <w:rPr>
          <w:rFonts w:ascii="Times New Roman" w:hAnsi="Times New Roman"/>
          <w:color w:val="0070C0"/>
          <w:sz w:val="16"/>
          <w:szCs w:val="16"/>
        </w:rPr>
      </w:pPr>
    </w:p>
    <w:p w14:paraId="5E3FB181"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на автожире А-6 вылетел са</w:t>
      </w:r>
      <w:r w:rsidRPr="0044524F">
        <w:rPr>
          <w:rFonts w:ascii="Times New Roman" w:hAnsi="Times New Roman"/>
          <w:color w:val="000000" w:themeColor="text1"/>
          <w:sz w:val="16"/>
          <w:szCs w:val="16"/>
        </w:rPr>
        <w:softHyphen/>
        <w:t>мостоятельно летчик Благин.</w:t>
      </w:r>
    </w:p>
    <w:p w14:paraId="4C899A33"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ходе испытаний А-6 впервые пришлось столкнуться с явлением «земного резонанса» - самовозбуждающихся колебаний лопастей ротора в плоскости его вращения. Причина возникновения таких автоколебаний была изуче</w:t>
      </w:r>
      <w:r w:rsidRPr="0044524F">
        <w:rPr>
          <w:rFonts w:ascii="Times New Roman" w:hAnsi="Times New Roman"/>
          <w:color w:val="000000" w:themeColor="text1"/>
          <w:sz w:val="16"/>
          <w:szCs w:val="16"/>
        </w:rPr>
        <w:softHyphen/>
        <w:t>на, ее устранили путем изменения характеристик упруго</w:t>
      </w:r>
      <w:r w:rsidRPr="0044524F">
        <w:rPr>
          <w:rFonts w:ascii="Times New Roman" w:hAnsi="Times New Roman"/>
          <w:color w:val="000000" w:themeColor="text1"/>
          <w:sz w:val="16"/>
          <w:szCs w:val="16"/>
        </w:rPr>
        <w:softHyphen/>
        <w:t>сти в шарнирной заделке лопастей несущего ротора.</w:t>
      </w:r>
    </w:p>
    <w:p w14:paraId="55ED656D"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Заводские испытания А-6 закончились в начале декаб</w:t>
      </w:r>
      <w:r w:rsidRPr="0044524F">
        <w:rPr>
          <w:rFonts w:ascii="Times New Roman" w:hAnsi="Times New Roman"/>
          <w:color w:val="000000" w:themeColor="text1"/>
          <w:sz w:val="16"/>
          <w:szCs w:val="16"/>
        </w:rPr>
        <w:softHyphen/>
        <w:t>ря 1933 г., после чего 22 декабря машину передали воен</w:t>
      </w:r>
      <w:r w:rsidRPr="0044524F">
        <w:rPr>
          <w:rFonts w:ascii="Times New Roman" w:hAnsi="Times New Roman"/>
          <w:color w:val="000000" w:themeColor="text1"/>
          <w:sz w:val="16"/>
          <w:szCs w:val="16"/>
        </w:rPr>
        <w:softHyphen/>
        <w:t>ным испытателям для продолжения тестирования. Со</w:t>
      </w:r>
      <w:r w:rsidRPr="0044524F">
        <w:rPr>
          <w:rFonts w:ascii="Times New Roman" w:hAnsi="Times New Roman"/>
          <w:color w:val="000000" w:themeColor="text1"/>
          <w:sz w:val="16"/>
          <w:szCs w:val="16"/>
        </w:rPr>
        <w:softHyphen/>
        <w:t>гласно данным А.М. Изаксона, 5 (или 6) января 1934 г. при испытании А-6 в НИИ ВВС при резком выходе из пикиро</w:t>
      </w:r>
      <w:r w:rsidRPr="0044524F">
        <w:rPr>
          <w:rFonts w:ascii="Times New Roman" w:hAnsi="Times New Roman"/>
          <w:color w:val="000000" w:themeColor="text1"/>
          <w:sz w:val="16"/>
          <w:szCs w:val="16"/>
        </w:rPr>
        <w:softHyphen/>
        <w:t>вания сложились лопасти ротора и произошла катастро</w:t>
      </w:r>
      <w:r w:rsidRPr="0044524F">
        <w:rPr>
          <w:rFonts w:ascii="Times New Roman" w:hAnsi="Times New Roman"/>
          <w:color w:val="000000" w:themeColor="text1"/>
          <w:sz w:val="16"/>
          <w:szCs w:val="16"/>
        </w:rPr>
        <w:softHyphen/>
        <w:t>фа.</w:t>
      </w:r>
    </w:p>
    <w:p w14:paraId="0F58EAB5"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Данные и характеристики А-6</w:t>
      </w:r>
    </w:p>
    <w:p w14:paraId="6130C8A4"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fldChar w:fldCharType="begin"/>
      </w:r>
      <w:r w:rsidRPr="0044524F">
        <w:rPr>
          <w:rFonts w:ascii="Times New Roman" w:hAnsi="Times New Roman"/>
          <w:color w:val="000000" w:themeColor="text1"/>
          <w:sz w:val="16"/>
          <w:szCs w:val="16"/>
        </w:rPr>
        <w:instrText xml:space="preserve"> TOC \o "1-5" \h \z </w:instrText>
      </w:r>
      <w:r w:rsidRPr="0044524F">
        <w:rPr>
          <w:rFonts w:ascii="Times New Roman" w:hAnsi="Times New Roman"/>
          <w:color w:val="000000" w:themeColor="text1"/>
          <w:sz w:val="16"/>
          <w:szCs w:val="16"/>
        </w:rPr>
        <w:fldChar w:fldCharType="separate"/>
      </w:r>
      <w:r w:rsidRPr="0044524F">
        <w:rPr>
          <w:rFonts w:ascii="Times New Roman" w:hAnsi="Times New Roman"/>
          <w:color w:val="000000" w:themeColor="text1"/>
          <w:sz w:val="16"/>
          <w:szCs w:val="16"/>
        </w:rPr>
        <w:t>Диаметр ротора (м)</w:t>
      </w:r>
      <w:r w:rsidRPr="0044524F">
        <w:rPr>
          <w:rFonts w:ascii="Times New Roman" w:hAnsi="Times New Roman"/>
          <w:color w:val="000000" w:themeColor="text1"/>
          <w:sz w:val="16"/>
          <w:szCs w:val="16"/>
        </w:rPr>
        <w:tab/>
        <w:t>11,0</w:t>
      </w:r>
    </w:p>
    <w:p w14:paraId="278E1FD6"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без ротора (м)</w:t>
      </w:r>
      <w:r w:rsidRPr="0044524F">
        <w:rPr>
          <w:rFonts w:ascii="Times New Roman" w:hAnsi="Times New Roman"/>
          <w:color w:val="000000" w:themeColor="text1"/>
          <w:sz w:val="16"/>
          <w:szCs w:val="16"/>
        </w:rPr>
        <w:tab/>
        <w:t>6,17</w:t>
      </w:r>
    </w:p>
    <w:p w14:paraId="12680992"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в линии полета</w:t>
      </w:r>
      <w:r w:rsidRPr="0044524F">
        <w:rPr>
          <w:rFonts w:ascii="Times New Roman" w:hAnsi="Times New Roman"/>
          <w:color w:val="000000" w:themeColor="text1"/>
          <w:sz w:val="16"/>
          <w:szCs w:val="16"/>
        </w:rPr>
        <w:tab/>
        <w:t>(м)</w:t>
      </w:r>
      <w:r w:rsidRPr="0044524F">
        <w:rPr>
          <w:rFonts w:ascii="Times New Roman" w:hAnsi="Times New Roman"/>
          <w:color w:val="000000" w:themeColor="text1"/>
          <w:sz w:val="16"/>
          <w:szCs w:val="16"/>
        </w:rPr>
        <w:tab/>
        <w:t>3,0</w:t>
      </w:r>
    </w:p>
    <w:p w14:paraId="3C43DBB0"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(м)</w:t>
      </w:r>
      <w:r w:rsidRPr="0044524F">
        <w:rPr>
          <w:rFonts w:ascii="Times New Roman" w:hAnsi="Times New Roman"/>
          <w:color w:val="000000" w:themeColor="text1"/>
          <w:sz w:val="16"/>
          <w:szCs w:val="16"/>
        </w:rPr>
        <w:tab/>
        <w:t>6,6</w:t>
      </w:r>
    </w:p>
    <w:p w14:paraId="124FCAE1"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(кг)</w:t>
      </w:r>
      <w:r w:rsidRPr="0044524F">
        <w:rPr>
          <w:rFonts w:ascii="Times New Roman" w:hAnsi="Times New Roman"/>
          <w:color w:val="000000" w:themeColor="text1"/>
          <w:sz w:val="16"/>
          <w:szCs w:val="16"/>
        </w:rPr>
        <w:tab/>
        <w:t>562</w:t>
      </w:r>
    </w:p>
    <w:p w14:paraId="1A26C859"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Полетный вес (кг)</w:t>
      </w:r>
      <w:r w:rsidRPr="0044524F">
        <w:rPr>
          <w:rFonts w:ascii="Times New Roman" w:hAnsi="Times New Roman"/>
          <w:color w:val="000000" w:themeColor="text1"/>
          <w:sz w:val="16"/>
          <w:szCs w:val="16"/>
        </w:rPr>
        <w:tab/>
        <w:t>815</w:t>
      </w:r>
    </w:p>
    <w:p w14:paraId="5CE0B10F"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w:t>
      </w:r>
      <w:r w:rsidRPr="0044524F">
        <w:rPr>
          <w:rFonts w:ascii="Times New Roman" w:hAnsi="Times New Roman"/>
          <w:color w:val="000000" w:themeColor="text1"/>
          <w:sz w:val="16"/>
          <w:szCs w:val="16"/>
        </w:rPr>
        <w:tab/>
        <w:t>у земли (км/ч)</w:t>
      </w:r>
      <w:r w:rsidRPr="0044524F">
        <w:rPr>
          <w:rFonts w:ascii="Times New Roman" w:hAnsi="Times New Roman"/>
          <w:color w:val="000000" w:themeColor="text1"/>
          <w:sz w:val="16"/>
          <w:szCs w:val="16"/>
        </w:rPr>
        <w:tab/>
        <w:t>135</w:t>
      </w:r>
    </w:p>
    <w:p w14:paraId="32F5652A"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минимальная</w:t>
      </w:r>
      <w:r w:rsidRPr="0044524F">
        <w:rPr>
          <w:rFonts w:ascii="Times New Roman" w:hAnsi="Times New Roman"/>
          <w:color w:val="000000" w:themeColor="text1"/>
          <w:sz w:val="16"/>
          <w:szCs w:val="16"/>
        </w:rPr>
        <w:tab/>
        <w:t>у земли (км/ч)</w:t>
      </w:r>
      <w:r w:rsidRPr="0044524F">
        <w:rPr>
          <w:rFonts w:ascii="Times New Roman" w:hAnsi="Times New Roman"/>
          <w:color w:val="000000" w:themeColor="text1"/>
          <w:sz w:val="16"/>
          <w:szCs w:val="16"/>
        </w:rPr>
        <w:tab/>
        <w:t>55</w:t>
      </w:r>
    </w:p>
    <w:p w14:paraId="0B36D880"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(м)</w:t>
      </w:r>
      <w:r w:rsidRPr="0044524F">
        <w:rPr>
          <w:rFonts w:ascii="Times New Roman" w:hAnsi="Times New Roman"/>
          <w:color w:val="000000" w:themeColor="text1"/>
          <w:sz w:val="16"/>
          <w:szCs w:val="16"/>
        </w:rPr>
        <w:tab/>
        <w:t>1600</w:t>
      </w:r>
    </w:p>
    <w:p w14:paraId="521C4A9D"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(км)</w:t>
      </w:r>
      <w:r w:rsidRPr="0044524F">
        <w:rPr>
          <w:rFonts w:ascii="Times New Roman" w:hAnsi="Times New Roman"/>
          <w:color w:val="000000" w:themeColor="text1"/>
          <w:sz w:val="16"/>
          <w:szCs w:val="16"/>
        </w:rPr>
        <w:tab/>
        <w:t>220</w:t>
      </w:r>
    </w:p>
    <w:p w14:paraId="22675802"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разбега (м)</w:t>
      </w:r>
      <w:r w:rsidRPr="0044524F">
        <w:rPr>
          <w:rFonts w:ascii="Times New Roman" w:hAnsi="Times New Roman"/>
          <w:color w:val="000000" w:themeColor="text1"/>
          <w:sz w:val="16"/>
          <w:szCs w:val="16"/>
        </w:rPr>
        <w:tab/>
        <w:t>65</w:t>
      </w:r>
      <w:r w:rsidRPr="0044524F">
        <w:rPr>
          <w:rFonts w:ascii="Times New Roman" w:hAnsi="Times New Roman"/>
          <w:color w:val="000000" w:themeColor="text1"/>
          <w:sz w:val="16"/>
          <w:szCs w:val="16"/>
        </w:rPr>
        <w:fldChar w:fldCharType="end"/>
      </w:r>
      <w:r w:rsidRPr="0044524F">
        <w:rPr>
          <w:rFonts w:ascii="Times New Roman" w:hAnsi="Times New Roman"/>
          <w:color w:val="000000" w:themeColor="text1"/>
          <w:sz w:val="16"/>
          <w:szCs w:val="16"/>
        </w:rPr>
        <w:t xml:space="preserve"> (20361).</w:t>
      </w:r>
    </w:p>
    <w:p w14:paraId="71A7F893" w14:textId="77777777" w:rsidR="00813435" w:rsidRPr="0044524F" w:rsidRDefault="00813435" w:rsidP="009654CF">
      <w:pPr>
        <w:shd w:val="clear" w:color="auto" w:fill="FFFFFF"/>
        <w:spacing w:after="0" w:line="240" w:lineRule="auto"/>
        <w:jc w:val="both"/>
        <w:rPr>
          <w:rFonts w:ascii="Times New Roman" w:hAnsi="Times New Roman"/>
          <w:color w:val="000000" w:themeColor="text1"/>
          <w:sz w:val="16"/>
          <w:szCs w:val="16"/>
        </w:rPr>
      </w:pPr>
    </w:p>
    <w:p w14:paraId="73F467CE" w14:textId="77777777" w:rsidR="00F12726" w:rsidRPr="00142305" w:rsidRDefault="00F12726" w:rsidP="00F12726">
      <w:pPr>
        <w:widowControl w:val="0"/>
        <w:tabs>
          <w:tab w:val="left" w:pos="486"/>
        </w:tabs>
        <w:spacing w:after="0" w:line="240" w:lineRule="auto"/>
        <w:jc w:val="both"/>
        <w:rPr>
          <w:rStyle w:val="aff"/>
          <w:rFonts w:ascii="Times New Roman" w:hAnsi="Times New Roman" w:cs="Times New Roman"/>
          <w:color w:val="0070C0"/>
          <w:spacing w:val="0"/>
          <w:sz w:val="16"/>
          <w:szCs w:val="16"/>
        </w:rPr>
      </w:pPr>
      <w:r w:rsidRPr="00142305">
        <w:rPr>
          <w:rStyle w:val="aff"/>
          <w:rFonts w:ascii="Times New Roman" w:hAnsi="Times New Roman" w:cs="Times New Roman"/>
          <w:color w:val="0070C0"/>
          <w:spacing w:val="0"/>
          <w:sz w:val="16"/>
          <w:szCs w:val="16"/>
        </w:rPr>
        <w:t>В декабре 1933 года ВВС снова был по</w:t>
      </w:r>
      <w:r w:rsidRPr="00142305">
        <w:rPr>
          <w:rStyle w:val="aff"/>
          <w:rFonts w:ascii="Times New Roman" w:hAnsi="Times New Roman" w:cs="Times New Roman"/>
          <w:color w:val="0070C0"/>
          <w:spacing w:val="0"/>
          <w:sz w:val="16"/>
          <w:szCs w:val="16"/>
        </w:rPr>
        <w:softHyphen/>
        <w:t>ставлен вопрос в Правительстве о том, что ход переговоров и закупка моторов для истребителей идет медленным темпом, в ре</w:t>
      </w:r>
      <w:r w:rsidRPr="00142305">
        <w:rPr>
          <w:rStyle w:val="aff"/>
          <w:rFonts w:ascii="Times New Roman" w:hAnsi="Times New Roman" w:cs="Times New Roman"/>
          <w:color w:val="0070C0"/>
          <w:spacing w:val="0"/>
          <w:sz w:val="16"/>
          <w:szCs w:val="16"/>
        </w:rPr>
        <w:softHyphen/>
        <w:t>зультате чего Правительство особым своим решением обязало (см. постановление № 130сс от 15 декабря 1933 года) ГУАП и НКВнешторг форсировать ведение переговоров и закупку моторов и добиться окончания переговоров на поставку моторов и окончания самой постав</w:t>
      </w:r>
      <w:r w:rsidRPr="00142305">
        <w:rPr>
          <w:rStyle w:val="aff"/>
          <w:rFonts w:ascii="Times New Roman" w:hAnsi="Times New Roman" w:cs="Times New Roman"/>
          <w:color w:val="0070C0"/>
          <w:spacing w:val="0"/>
          <w:sz w:val="16"/>
          <w:szCs w:val="16"/>
        </w:rPr>
        <w:softHyphen/>
        <w:t>ки последних в конкретные сроки…» (25519).</w:t>
      </w:r>
    </w:p>
    <w:p w14:paraId="023F45EC" w14:textId="77777777" w:rsidR="00F12726" w:rsidRPr="00142305" w:rsidRDefault="00F12726" w:rsidP="00F12726">
      <w:pPr>
        <w:widowControl w:val="0"/>
        <w:tabs>
          <w:tab w:val="left" w:pos="486"/>
        </w:tabs>
        <w:spacing w:after="0" w:line="240" w:lineRule="auto"/>
        <w:jc w:val="both"/>
        <w:rPr>
          <w:rFonts w:ascii="Times New Roman" w:hAnsi="Times New Roman"/>
          <w:color w:val="0070C0"/>
          <w:sz w:val="16"/>
          <w:szCs w:val="16"/>
        </w:rPr>
      </w:pPr>
    </w:p>
    <w:p w14:paraId="3F6DD5B8"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года по инициативе НИИ ВВС и Военно-Воздушной академии в Москве состоялась техническая конференция, рассмотревшая проблемы, связанные с конструкцией и эксплуатацией авиационных двигателей.</w:t>
      </w:r>
    </w:p>
    <w:p w14:paraId="73ACD3E6"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представленных докладах отмечалась, что современное моторостроение пока не позволяет безоговорочно отдать предпочтение одному из имевшихся типов систем охлаждения авиадвигателей.</w:t>
      </w:r>
    </w:p>
    <w:p w14:paraId="484A1983"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Дело заключалось в том, что при мощностях двигателей до 400 л.с. воздушное охлаждение в те годы полностью вытеснило жидкостное, тогда как в диапазоне мощностей 450-650 л.с. эти системы имели примерно одинаковое распространение. В двигателях с большей мощностью уже безраздельно господствовали жидкостные системы.</w:t>
      </w:r>
    </w:p>
    <w:p w14:paraId="5DC19346"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Докладчики подчеркивали, что сложность выбора системы охлаждения и, как следствие, самого двигателя, связана с необходимостью ее оценки по совокупности требований, предъявляемых к данному типу самолета и установленному на нем двигателю.</w:t>
      </w:r>
    </w:p>
    <w:p w14:paraId="663BD8B7"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частности, при сравнительной оценки систем охлаждения, они должны рассматриваться и сравниваться с нескольких позиций.</w:t>
      </w:r>
    </w:p>
    <w:p w14:paraId="20F5E117"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Во-первых, с точки зрения интенсивности и равномерности охлаждения двигателя и вытекающих отсюда возможностей его дальнейшего форсирования.</w:t>
      </w:r>
    </w:p>
    <w:p w14:paraId="13C8E575"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Во-вторых, с точки зрения аэродинамического сопротивления и массы силовой установки.</w:t>
      </w:r>
    </w:p>
    <w:p w14:paraId="1D177287"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В-третьих, следует учитывать эксплуатационные возможности элементов, входящих в конструкцию этих систем и, наконец, необходимо принять во внимание условия, налагаемые системами охлаждения на конструкцию самого двигателя и самолета в целом.</w:t>
      </w:r>
    </w:p>
    <w:p w14:paraId="2791614A"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Количество отводимого от двигателя тепла определяется максимальным температурным режимом, в котором работают детали двигателя. В свою очередь, допустимые температуры деталей зависят от термостойкости их материалов. Кроме того, температура деталей, соприкасающихся с внутренней полостью цилиндра, оказывает влияние на рабочий процесс двигателя и, в первую очередь, на детонацию, ограничивая повышение наддува, степень сжатия при заданной марке топлива.</w:t>
      </w:r>
    </w:p>
    <w:p w14:paraId="0F4E08DC"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Особо отмечалось, что надежно работающие двигатели воздушного охлаждения, обладая меньшей массой по сравнению с двигателями водяного охлаждения, во многих случаях имеют более высокие эксплуатационные и технические характеристики.</w:t>
      </w:r>
    </w:p>
    <w:p w14:paraId="3FB6A382"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вывод подтверждался все нарастающим выпуском подобных двигателей за рубежом и быстрым возрастанием их мощности.</w:t>
      </w:r>
    </w:p>
    <w:p w14:paraId="5CAB85EC" w14:textId="0923B0B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Конференция констатировала явное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отставание нашей моторной промышленности и научно-исследовательских организаций в этой области и призвала сконцентрировать внимание на создании мощных двигателей с воздушным охлаждением.</w:t>
      </w:r>
    </w:p>
    <w:p w14:paraId="3B3D8474"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Наряду с этим отмечалось, что эксплуатационные и технические характеристики двигателей с жидкостным охлаждением, имевших гораздо большую мощность и меньший мидель, могли бы быть значительно улучшены при использовании новых специальных типов охлаждения, недавно появившихся за рубежом.</w:t>
      </w:r>
    </w:p>
    <w:p w14:paraId="420F2830"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Отвод тепла в окружающую среду с двигателей водяного охлаждения связан с необходимостью размещения на самолете радиаторов - устройств для теплообмена с подводом к ним достаточного количества атмосферного воздуха. Это приводит к увеличению массы и аэродинамического сопротивления силовой установки и, естественно, всего самолета в целом.</w:t>
      </w:r>
    </w:p>
    <w:p w14:paraId="5A858F4E"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увеличением скоростей полета радиатор становится серьезной помехой. Поэтому совершенствование систем охлаждения двигателей оказывается в центре внимания конструкторов мирового авиа- и моторостроения.</w:t>
      </w:r>
    </w:p>
    <w:p w14:paraId="50D78352"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Исследовательские работы и многочисленные испытания, проведенные в Европе и Америке, привели к новым инженерным решениям.</w:t>
      </w:r>
    </w:p>
    <w:p w14:paraId="76D5AE69"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Были разработаны новые варианты системы жидкостного охлаждения с использованием вместо воды высококипящих жидкостей и пароводяной суспензии.</w:t>
      </w:r>
    </w:p>
    <w:p w14:paraId="7E90F93D"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Применение для охлаждения двигателей систем такого типа давало возможность сохранить достоинства водяного охлаждения в части отсутствия местных перегревов и хорошего контроля теплового состояния двигателя, снизив одновременно сопротивление и массу силовой установки.</w:t>
      </w:r>
    </w:p>
    <w:p w14:paraId="1AB6862F"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Известно, что количество тепла, отдаваемого единицей площади поверхности радиатора, пропорционально разности температур радиатора и охлаждающего воздуха.</w:t>
      </w:r>
    </w:p>
    <w:p w14:paraId="674677A3"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Повышая температуру радиатора можно сократить его поверхность и тем самым уменьшить массу и потери на воздушное сопротивление.</w:t>
      </w:r>
    </w:p>
    <w:p w14:paraId="15689BC2" w14:textId="466D57FB"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этой целью для охлаждения двигателей применили жидкости, кипящие при более высокой температуре, чем вода.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Наиболее подходящим для этой цели оказался этиленгликоль. Бесцветная и очень гигроскопичная жидкость, на практике содержащая 8% воды, имела точку кипения 150°С и замерзала при минус 28°С.</w:t>
      </w:r>
    </w:p>
    <w:p w14:paraId="692C1866"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 преимуществом этиленгликолевого охлаждения стала возможность значительного повышения температуры жидкости в радиаторе до 120-130°С. Такая температура позволяла сократить габариты радиатора и его воздушное сопротивление на 50% по сравнению с водяным охлаждением. Скорость полета при этом увеличивалась на 2-4%.</w:t>
      </w:r>
    </w:p>
    <w:p w14:paraId="5BB0E05D"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Выявились и отрицательные стороны этой системы охлаждения. Металлы, соприкасавшиеся с этленгликолем, сильно коррозировали. Он легко просачивался через мельчайшие неплотности и разъедал дюрит. Повышенная температура в системе приводила к термическому перенапряжению двигателя, что снижала его мощность на 5-6%.</w:t>
      </w:r>
    </w:p>
    <w:p w14:paraId="2B9C2B6D"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Еще одним вариантом жидкостной системы стало пароводяное (испарительное) охлаждение, в котором основным источником отвода тепла от двигателя стало парообразование.</w:t>
      </w:r>
    </w:p>
    <w:p w14:paraId="213AADB2"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Вода в рубашках цилиндров доводилась до кипения и образовывала с паром пароводяную суспензию с температурой 100°С, которая поступала в сепаратор. Там пар отделялся от воды и направлялся в крыльевой радиатор (в данном случае - конденсатор).</w:t>
      </w:r>
    </w:p>
    <w:p w14:paraId="632648DF"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конденсаторе пар, охлаждаясь потоком воздуха, превращался в воду и насосом двигателя возвращался в рубашку для повторного цикла.</w:t>
      </w:r>
    </w:p>
    <w:p w14:paraId="4EC69097"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Конденсатор, выполненный в виде двойной обшивки крыла, имел нулевое аэродинамическое сопротивление. Благодаря своей упругости, пар осуществлял в открытом (то есть сообщающимся с атмосферой) конденсаторе автоматическую регулировку охлаждения.</w:t>
      </w:r>
    </w:p>
    <w:p w14:paraId="32A5DB2E"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переводе двигателя на полный газ или при ухудшении обдува объем пара увеличивался и паровая подушка в конденсаторе, расширяясь, вытесняла воздух.</w:t>
      </w:r>
    </w:p>
    <w:p w14:paraId="1FD643E3"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уменьшении нагрузки объем пара уменьшался. Его место занимал воздух, выключая ставшую ненужной часть конденсатора.</w:t>
      </w:r>
    </w:p>
    <w:p w14:paraId="79F71C93"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Испарительные системы охлаждения требовали значительно меньшего запаса воды и обеспечивали увеличение скорости полета до 8% при существенном уменьшении массы охлаждающей установки.</w:t>
      </w:r>
    </w:p>
    <w:p w14:paraId="18102DB0"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Небольшие объемы пара и конденсата, находившиеся в системе и имевшие более низкое по сравнению с атмосферным давление, дали повод для распространенного в то время мнения, что при повреждении конденсатора пар не будет выходить из возможных пробоин или будет выходить в очень небольшом количестве.</w:t>
      </w:r>
    </w:p>
    <w:p w14:paraId="3FB57D33"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Дальнейшие испытания не оправдали этих надежд. Поэтому в Англии, на родине испарительного охлаждения, к концу 30-х годов резко сократилось число самолетов, оборудованных этой системой.</w:t>
      </w:r>
    </w:p>
    <w:p w14:paraId="3090D336"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заключительной резолюции конференции было записано:</w:t>
      </w:r>
    </w:p>
    <w:p w14:paraId="3F03959C"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водяного охлаждения, вытесняемые из области мощностей, переходят в область еще больших мощностей и не надо надеяться, что в ближайшие три года появятся новые моторы с мощностью до1500 л.с.</w:t>
      </w:r>
    </w:p>
    <w:p w14:paraId="078F5718"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Конкуренция заставляет совершенствовать эти моторы. Сейчас нужно вести работы по гликолевому и испарительному охлаждению, по созданию новых конструкций, не уступающим западным образцам" (15554).</w:t>
      </w:r>
    </w:p>
    <w:p w14:paraId="210CE9E5" w14:textId="77777777" w:rsidR="0047154B" w:rsidRPr="0044524F" w:rsidRDefault="0047154B" w:rsidP="009654CF">
      <w:pPr>
        <w:spacing w:after="0" w:line="240" w:lineRule="auto"/>
        <w:jc w:val="both"/>
        <w:rPr>
          <w:rFonts w:ascii="Times New Roman" w:hAnsi="Times New Roman"/>
          <w:color w:val="000000" w:themeColor="text1"/>
          <w:sz w:val="16"/>
          <w:szCs w:val="16"/>
        </w:rPr>
      </w:pPr>
    </w:p>
    <w:p w14:paraId="774AEC48"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1933 года по инициативе НИИ ВВС и Военно-Воздушной академии в Москве состоялась техническая конференция, рассмотревшая проблемы, связанные с конструкцией и эксплуатацией авиационных двигателей.</w:t>
      </w:r>
    </w:p>
    <w:p w14:paraId="10577C06"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представленных докладах отмечалась, что современное моторостроение пока не позволяет безоговорочно отдать предпочтение одному из имевшихся типов систем охлаждения авиа</w:t>
      </w:r>
      <w:r w:rsidRPr="00142305">
        <w:rPr>
          <w:rFonts w:ascii="Times New Roman" w:hAnsi="Times New Roman"/>
          <w:color w:val="0070C0"/>
          <w:sz w:val="16"/>
          <w:szCs w:val="16"/>
        </w:rPr>
        <w:softHyphen/>
        <w:t>двига</w:t>
      </w:r>
      <w:r w:rsidRPr="00142305">
        <w:rPr>
          <w:rFonts w:ascii="Times New Roman" w:hAnsi="Times New Roman"/>
          <w:color w:val="0070C0"/>
          <w:sz w:val="16"/>
          <w:szCs w:val="16"/>
        </w:rPr>
        <w:softHyphen/>
        <w:t>телей.</w:t>
      </w:r>
    </w:p>
    <w:p w14:paraId="073D9B05"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Дело заключалось в том, что при мощностях двигателей до 400 л.с. воздушное охлаждение в те годы полностью вытеснило жидкостное, тогда как в диапазоне мощностей 450–650 л.с. эти системы имели примерно одинаковое распространение. В двигателях с большей мощностью уже безраз</w:t>
      </w:r>
      <w:r w:rsidRPr="00142305">
        <w:rPr>
          <w:rFonts w:ascii="Times New Roman" w:hAnsi="Times New Roman"/>
          <w:color w:val="0070C0"/>
          <w:sz w:val="16"/>
          <w:szCs w:val="16"/>
        </w:rPr>
        <w:softHyphen/>
        <w:t>дельно господствовали жидкостные системы.</w:t>
      </w:r>
    </w:p>
    <w:p w14:paraId="6170C211"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Докладчики подчеркивали, что сложность выбора системы охлаждения и, как следствие, самого двигателя, связана с необходимостью ее оценки по совокупности требований, предъявляемых к данному типу самолета и установленному на нем двигателю.</w:t>
      </w:r>
    </w:p>
    <w:p w14:paraId="3DD1E94E"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частности, при сравнительной оценки систем охлаждения, они должны рассматриваться и сравниваться с нескольких позиций.</w:t>
      </w:r>
    </w:p>
    <w:p w14:paraId="38F03B17"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Во-первых, с точки зрения интенсивности и равномерности охлаждения двигателя и вытекающих отсюда возможностей его дальнейшего форсирования.</w:t>
      </w:r>
    </w:p>
    <w:p w14:paraId="7317AE74"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Во-вторых, с точки зрения аэродинамического сопротивления и массы силовой установки.</w:t>
      </w:r>
    </w:p>
    <w:p w14:paraId="6E8C94D2"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В-третьих, следует учитывать эксплуатационные возможности элементов, входящих в конструкцию этих систем и, наконец, необходимо принять во внимание условия, налагаемые системами охлаж</w:t>
      </w:r>
      <w:r w:rsidRPr="00142305">
        <w:rPr>
          <w:rFonts w:ascii="Times New Roman" w:hAnsi="Times New Roman"/>
          <w:color w:val="0070C0"/>
          <w:sz w:val="16"/>
          <w:szCs w:val="16"/>
        </w:rPr>
        <w:softHyphen/>
        <w:t>дения на конструкцию самого двигателя и самолета в целом.</w:t>
      </w:r>
    </w:p>
    <w:p w14:paraId="22361FB9"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Количество отводимого от двигателя тепла определяется максимальным температурным режимом, в котором работают детали двигателя. В свою очередь, допустимые температуры деталей зависят от термостойкости их материалов. Кроме того, температура деталей, соприкасающихся с внутрен</w:t>
      </w:r>
      <w:r w:rsidRPr="00142305">
        <w:rPr>
          <w:rFonts w:ascii="Times New Roman" w:hAnsi="Times New Roman"/>
          <w:color w:val="0070C0"/>
          <w:sz w:val="16"/>
          <w:szCs w:val="16"/>
        </w:rPr>
        <w:softHyphen/>
        <w:t>ней полостью цилиндра, оказывает влияние на рабочий процесс двигателя и, в первую очередь, на детонацию, ограничивая повышение наддува, степень сжатия при заданной марке топлива.</w:t>
      </w:r>
    </w:p>
    <w:p w14:paraId="116BB12F"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Особо отмечалось, что надежно работающие двигатели воздушного охлаждения, обладая меньшей массой по сравнению с двигателями водяного охлаждения, во многих случаях имеют более высокие эксплуатационные и технические характеристики.</w:t>
      </w:r>
    </w:p>
    <w:p w14:paraId="6B791BA8"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Этот вывод подтверждался все нарастающим выпуском подобных двигателей за рубежом и быстрым возрастанием их мощности.</w:t>
      </w:r>
    </w:p>
    <w:p w14:paraId="2026F617"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Конференция констатировала явное отставание нашей моторной промышленности и научно-исследовательских организаций в этой области и призвала сконцентрировать внимание на создании мощных двигателей с воздушным охлаждением.</w:t>
      </w:r>
    </w:p>
    <w:p w14:paraId="11BBA627"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Наряду с этим отмечалось, что эксплуатационные и технические характеристики двигателей с жидкостным охлаждением, имевших гораздо большую мощность и меньший мидель, могли бы быть значительно улучшены при использовании новых специальных типов охлаждения, недавно появив</w:t>
      </w:r>
      <w:r w:rsidRPr="00142305">
        <w:rPr>
          <w:rFonts w:ascii="Times New Roman" w:hAnsi="Times New Roman"/>
          <w:color w:val="0070C0"/>
          <w:sz w:val="16"/>
          <w:szCs w:val="16"/>
        </w:rPr>
        <w:softHyphen/>
        <w:t>шихся за рубежом.</w:t>
      </w:r>
    </w:p>
    <w:p w14:paraId="66E1D8D1"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Отвод тепла в окружающую среду с двигателей водяного охлаждения связан с необходимостью размещения на самолете радиаторов – устройств для теплообмена с подводом к ним достаточного количества атмосферного воздуха. Это приводит к увеличению массы и аэродинамического сопро</w:t>
      </w:r>
      <w:r w:rsidRPr="00142305">
        <w:rPr>
          <w:rFonts w:ascii="Times New Roman" w:hAnsi="Times New Roman"/>
          <w:color w:val="0070C0"/>
          <w:sz w:val="16"/>
          <w:szCs w:val="16"/>
        </w:rPr>
        <w:softHyphen/>
        <w:t>тивления силовой установки и, естественно, всего самолета в целом.</w:t>
      </w:r>
    </w:p>
    <w:p w14:paraId="0147C20A"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увеличением скоростей полета радиатор становится серьезной помехой. Поэтому совершенство</w:t>
      </w:r>
      <w:r w:rsidRPr="00142305">
        <w:rPr>
          <w:rFonts w:ascii="Times New Roman" w:hAnsi="Times New Roman"/>
          <w:color w:val="0070C0"/>
          <w:sz w:val="16"/>
          <w:szCs w:val="16"/>
        </w:rPr>
        <w:softHyphen/>
        <w:t>вание систем охлаждения двигателей оказывается в центре внимания конструкторов мирового авиа- и моторостроения.</w:t>
      </w:r>
    </w:p>
    <w:p w14:paraId="38EBB3A1"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Исследовательские работы и многочисленные испытания, проведенные в Европе и Америке, привели к новым инженерным решениям.</w:t>
      </w:r>
    </w:p>
    <w:p w14:paraId="4556F198"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Были разработаны новые варианты системы жидкостного охлаждения с использованием вместо воды высококипящих жидкостей и пароводяной суспензии.</w:t>
      </w:r>
    </w:p>
    <w:p w14:paraId="337F2BD0"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Применение для охлаждения двигателей систем такого типа давало возможность сохранить достоинства водяного охлаждения в части отсутствия местных перегревов и хорошего контроля теплового состояния двигателя, снизив одновременно сопротивление и массу силовой установки.</w:t>
      </w:r>
    </w:p>
    <w:p w14:paraId="30C08B01"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Известно, что количество тепла, отдаваемого единицей площади поверхности радиатора, пропор</w:t>
      </w:r>
      <w:r w:rsidRPr="00142305">
        <w:rPr>
          <w:rFonts w:ascii="Times New Roman" w:hAnsi="Times New Roman"/>
          <w:color w:val="0070C0"/>
          <w:sz w:val="16"/>
          <w:szCs w:val="16"/>
        </w:rPr>
        <w:softHyphen/>
        <w:t>ци</w:t>
      </w:r>
      <w:r w:rsidRPr="00142305">
        <w:rPr>
          <w:rFonts w:ascii="Times New Roman" w:hAnsi="Times New Roman"/>
          <w:color w:val="0070C0"/>
          <w:sz w:val="16"/>
          <w:szCs w:val="16"/>
        </w:rPr>
        <w:softHyphen/>
        <w:t>онально разности температур радиатора и охлаждающего воздуха.</w:t>
      </w:r>
    </w:p>
    <w:p w14:paraId="65A160EE"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Повышая температуру радиатора, можно сократить его поверхность и тем самым уменьшить массу и потери на воздушное сопротивление.</w:t>
      </w:r>
    </w:p>
    <w:p w14:paraId="7B1073CF"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этой целью для охлаждения двигателей применили жидкости, кипящие при более высокой температуре, чем вода. Наиболее подходящим для этой цели оказался этиленгликоль. Бесцветная и очень гигроскопичная жидкость, на практике содержащая 8% воды, имела точку кипения 150°С и замерзала при минус 28°С.</w:t>
      </w:r>
    </w:p>
    <w:p w14:paraId="4137B4E0"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Основным преимуществом этиленгликолевого охлаждения стала возможность значительного повышения температуры жидкости в радиаторе до 120-130°С. Такая температура позволяла сократить габариты радиатора и его воздушное сопротивление на 50% по сравнению с водяным охлаждением. Скорость полета при этом увеличивалась на 2-4%.</w:t>
      </w:r>
    </w:p>
    <w:p w14:paraId="1122C5C7"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Выявились и отрицательные стороны этой системы охлаждения. Металлы, соприкасавшиеся с этиленгликолем, сильно коррозировали. Он легко просачивался через мельчайшие неплотности и разъедал дюрит. Повышенная температура в системе приводила к термическому перенапряжению двигателя, что снижало его мощность на 5-6%.</w:t>
      </w:r>
    </w:p>
    <w:p w14:paraId="7E0A12F2"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Еще одним вариантом жидкостной системы стало пароводяное (испарительное) охлаждение, в котором основным источником отвода тепла от двигателя стало парообразование.</w:t>
      </w:r>
    </w:p>
    <w:p w14:paraId="6385BBD5"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Вода в рубашках цилиндров доводилась до кипения и образовывала с паром пароводяную суспензию с температурой 100°С, которая поступала в сепаратор. Там пар отделялся от воды и направ</w:t>
      </w:r>
      <w:r w:rsidRPr="00142305">
        <w:rPr>
          <w:rFonts w:ascii="Times New Roman" w:hAnsi="Times New Roman"/>
          <w:color w:val="0070C0"/>
          <w:sz w:val="16"/>
          <w:szCs w:val="16"/>
        </w:rPr>
        <w:softHyphen/>
        <w:t>лялся в крыльевой радиатор (в данном случае — конденсатор).</w:t>
      </w:r>
    </w:p>
    <w:p w14:paraId="1C83C634"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конденсаторе пар, охлаждаясь потоком воздуха, превращался в воду и насосом двигателя возвращался в рубашку для повторного цикла.</w:t>
      </w:r>
    </w:p>
    <w:p w14:paraId="06577AFB"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Конденсатор, выполненный в виде двойной обшивки крыла, имел нулевое аэродинамическое сопротивление. Благодаря своей упругости, пар осуществлял в открытом (то есть сообщающемся с атмосферой) конденсаторе автоматическую регулировку охлаждения.</w:t>
      </w:r>
    </w:p>
    <w:p w14:paraId="6515AA9A"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переводе двигателя на полный газ или при ухудшении обдува объем пара увеличивался и паровая подушка в конденсаторе, расширяясь, вытесняла воздух.</w:t>
      </w:r>
    </w:p>
    <w:p w14:paraId="0B3EB15D"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уменьшении нагрузки объем пара уменьшался. Его место занимал воздух, выключая ставшую ненужной часть конденсатора.</w:t>
      </w:r>
    </w:p>
    <w:p w14:paraId="7F26E0F9"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Испарительные системы охлаждения требовали значительно меньшего запаса воды и обеспечи</w:t>
      </w:r>
      <w:r w:rsidRPr="00142305">
        <w:rPr>
          <w:rFonts w:ascii="Times New Roman" w:hAnsi="Times New Roman"/>
          <w:color w:val="0070C0"/>
          <w:sz w:val="16"/>
          <w:szCs w:val="16"/>
        </w:rPr>
        <w:softHyphen/>
        <w:t>вали увеличение скорости полета до 8% при существенном уменьшении массы охлаждающей установки.</w:t>
      </w:r>
    </w:p>
    <w:p w14:paraId="1191A666"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Небольшие объемы пара и конденсата, находившиеся в системе и имевшие более низкое по сравнению с атмосферным давление, дали повод для распространенного в то время мнения, что при повреждении конденсатора пар не будет выходить из возможных пробоин или будет выходить в очень небольшом количестве.</w:t>
      </w:r>
    </w:p>
    <w:p w14:paraId="1BA946F0"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Дальнейшие испытания не оправдали этих надежд. Поэтому в Англии, на родине испарительного охлаждения, к концу 30-х годов резко сократилось число самолетов, оборудованных этой системой.</w:t>
      </w:r>
    </w:p>
    <w:p w14:paraId="48131B49"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заключительной резолюции конференции было записано:</w:t>
      </w:r>
    </w:p>
    <w:p w14:paraId="200A9EE8"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«…моторы водяного охлаждения, вытесняемые из области мощностей, переходят в область еще больших мощностей и не надо надеяться, что в ближайшие три года появятся новые моторы с мощностью до 1500 л.с.</w:t>
      </w:r>
    </w:p>
    <w:p w14:paraId="527EE686" w14:textId="77777777" w:rsidR="00F12726" w:rsidRPr="00142305" w:rsidRDefault="00F12726" w:rsidP="00F1272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Конкуренция заставляет совершенствовать эти моторы. Сейчас нужно вести работы по гликолевому и испарительному охлаждению, по созданию новых конструкций, не уступающим западным образцам». (25310).</w:t>
      </w:r>
    </w:p>
    <w:p w14:paraId="695E7E04" w14:textId="77777777" w:rsidR="00F12726" w:rsidRPr="00142305" w:rsidRDefault="00F12726" w:rsidP="00F12726">
      <w:pPr>
        <w:spacing w:after="0" w:line="240" w:lineRule="auto"/>
        <w:jc w:val="both"/>
        <w:rPr>
          <w:rFonts w:ascii="Times New Roman" w:hAnsi="Times New Roman"/>
          <w:color w:val="0070C0"/>
          <w:sz w:val="16"/>
          <w:szCs w:val="16"/>
        </w:rPr>
      </w:pPr>
    </w:p>
    <w:p w14:paraId="0775B6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года Базилевич писал письмо № 2075/ко в НКВТ Боеву, ГУАП Королеву</w:t>
      </w:r>
    </w:p>
    <w:p w14:paraId="49DAE1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Сообщаю для исполнения резолюцию на Вашем докладе от 23 декабря 1933 года за № 1008/1651 о покупке дюймовых или метрических моторов у фирмы "Кертис-Райт": "Считаю нужным остаться при прежнем решении. Молотов. Ворошилов. Сталин. Орджоникидзе" (4170, 28).</w:t>
      </w:r>
    </w:p>
    <w:p w14:paraId="6CFE16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47F01ED" w14:textId="77777777" w:rsidR="00636E66" w:rsidRPr="00142305" w:rsidRDefault="00636E66" w:rsidP="00636E6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1933 г. отменили распоряжение о выпуск 100 35-местных подвесных десантных кабин для ТБ-3 в 1933-34 гг., но, перенацелив сэкономленные 2,5 миллиона рублей на решение других задач (24938).</w:t>
      </w:r>
    </w:p>
    <w:p w14:paraId="0779B0C0" w14:textId="77777777" w:rsidR="00636E66" w:rsidRPr="00142305" w:rsidRDefault="00636E66" w:rsidP="00636E66">
      <w:pPr>
        <w:spacing w:after="0" w:line="240" w:lineRule="auto"/>
        <w:jc w:val="both"/>
        <w:rPr>
          <w:rFonts w:ascii="Times New Roman" w:hAnsi="Times New Roman"/>
          <w:color w:val="0070C0"/>
          <w:sz w:val="16"/>
          <w:szCs w:val="16"/>
        </w:rPr>
      </w:pPr>
    </w:p>
    <w:p w14:paraId="627E6C72" w14:textId="77777777" w:rsidR="00636E66" w:rsidRPr="00142305" w:rsidRDefault="00636E66" w:rsidP="00636E6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1933 г. НИИ ВВС предложил оборудовать системами дозаправки в воздухе 12 Р-5 и столько же ТБ-3, но идею отвергли.</w:t>
      </w:r>
    </w:p>
    <w:p w14:paraId="2713422F" w14:textId="77777777" w:rsidR="00636E66" w:rsidRPr="00142305" w:rsidRDefault="00636E66" w:rsidP="00636E6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Впоследствии бомбардировщик Тупо</w:t>
      </w:r>
      <w:r w:rsidRPr="00142305">
        <w:rPr>
          <w:rFonts w:ascii="Times New Roman" w:hAnsi="Times New Roman"/>
          <w:color w:val="0070C0"/>
          <w:sz w:val="16"/>
          <w:szCs w:val="16"/>
        </w:rPr>
        <w:softHyphen/>
        <w:t>лева сам стал танкером. С него заправля</w:t>
      </w:r>
      <w:r w:rsidRPr="00142305">
        <w:rPr>
          <w:rFonts w:ascii="Times New Roman" w:hAnsi="Times New Roman"/>
          <w:color w:val="0070C0"/>
          <w:sz w:val="16"/>
          <w:szCs w:val="16"/>
        </w:rPr>
        <w:softHyphen/>
        <w:t>лись в полете истребители И-5 и И-16. На ТБ-ЗР монтировался комплект АЗ-21 весом 59,3 кг, на истребителе - АЗ-22 (приемная горловина и автоматический отсекающий клапан). Переоборудовали два ТБ-ЗР, и 22 июля 1936 г. впервые перелили горючее из танкера в И-16. Но дальнейшего продол</w:t>
      </w:r>
      <w:r w:rsidRPr="00142305">
        <w:rPr>
          <w:rFonts w:ascii="Times New Roman" w:hAnsi="Times New Roman"/>
          <w:color w:val="0070C0"/>
          <w:sz w:val="16"/>
          <w:szCs w:val="16"/>
        </w:rPr>
        <w:softHyphen/>
        <w:t>жения эти работы в то время не имели.</w:t>
      </w:r>
    </w:p>
    <w:p w14:paraId="28DEC6B7" w14:textId="77777777" w:rsidR="00636E66" w:rsidRPr="00142305" w:rsidRDefault="00636E66" w:rsidP="00636E6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ТБ-ЗР также переделывался в танкер для переброски горючего сухопутным вой</w:t>
      </w:r>
      <w:r w:rsidRPr="00142305">
        <w:rPr>
          <w:rFonts w:ascii="Times New Roman" w:hAnsi="Times New Roman"/>
          <w:color w:val="0070C0"/>
          <w:sz w:val="16"/>
          <w:szCs w:val="16"/>
        </w:rPr>
        <w:softHyphen/>
        <w:t>скам По проекту ВАММ в бомбоотсеке ус</w:t>
      </w:r>
      <w:r w:rsidRPr="00142305">
        <w:rPr>
          <w:rFonts w:ascii="Times New Roman" w:hAnsi="Times New Roman"/>
          <w:color w:val="0070C0"/>
          <w:sz w:val="16"/>
          <w:szCs w:val="16"/>
        </w:rPr>
        <w:softHyphen/>
        <w:t>тановили два металлических бака Б-1000, вмещавших 2140 л топлива. На земле насосы наполняли их за 10-12 минут. На испытаниях самолет, пилотируемый лет</w:t>
      </w:r>
      <w:r w:rsidRPr="00142305">
        <w:rPr>
          <w:rFonts w:ascii="Times New Roman" w:hAnsi="Times New Roman"/>
          <w:color w:val="0070C0"/>
          <w:sz w:val="16"/>
          <w:szCs w:val="16"/>
        </w:rPr>
        <w:softHyphen/>
        <w:t>чиком Тягуниным, садился на полевые площадки и сливал бензин в баки танков БТ-7 и заправщиков на шасси грузовика ЗиС-6.</w:t>
      </w:r>
    </w:p>
    <w:p w14:paraId="057A1275" w14:textId="77777777" w:rsidR="00636E66" w:rsidRPr="00142305" w:rsidRDefault="00636E66" w:rsidP="00636E6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Впоследствии в ходе различных учений и реальных боевых действий ТБ-3 до</w:t>
      </w:r>
      <w:r w:rsidRPr="00142305">
        <w:rPr>
          <w:rFonts w:ascii="Times New Roman" w:hAnsi="Times New Roman"/>
          <w:color w:val="0070C0"/>
          <w:sz w:val="16"/>
          <w:szCs w:val="16"/>
        </w:rPr>
        <w:softHyphen/>
        <w:t>ставляли горючее войскам. Но для этого использовали либо стандартные бочки, либо баки ПДББ, сбрасывавшиеся с па</w:t>
      </w:r>
      <w:r w:rsidRPr="00142305">
        <w:rPr>
          <w:rFonts w:ascii="Times New Roman" w:hAnsi="Times New Roman"/>
          <w:color w:val="0070C0"/>
          <w:sz w:val="16"/>
          <w:szCs w:val="16"/>
        </w:rPr>
        <w:softHyphen/>
        <w:t>рашютами (24937).</w:t>
      </w:r>
    </w:p>
    <w:p w14:paraId="3722B9EB" w14:textId="77777777" w:rsidR="00636E66" w:rsidRPr="00142305" w:rsidRDefault="00636E66" w:rsidP="00636E66">
      <w:pPr>
        <w:spacing w:after="0" w:line="240" w:lineRule="auto"/>
        <w:jc w:val="both"/>
        <w:rPr>
          <w:rFonts w:ascii="Times New Roman" w:hAnsi="Times New Roman"/>
          <w:color w:val="0070C0"/>
          <w:sz w:val="16"/>
          <w:szCs w:val="16"/>
        </w:rPr>
      </w:pPr>
    </w:p>
    <w:p w14:paraId="6AC075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был создан прообраз ОКБ-16 Я.Г.Таубина (263,3) - КБ Я.Г.Таубина (КБТ), которое стало ОКБ-16 с 1937 (263,17). Я.Г.Таубин был направлен Главным военно-мобилизационным управлением Наркомтяжпрома (ГВМУ НКТП) на небольшой инструментальный завод. Работа началась весной 1934 (263,17). В том же году в Туле было создано и ОКБ-15 Б.Г.Шпитального - конкурент ОКБ-16 в области авиационного вооружения (263,6), но в рамках Наркомата вооружения (263,18).</w:t>
      </w:r>
    </w:p>
    <w:p w14:paraId="74741E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5D62190" w14:textId="77777777" w:rsidR="00247A10" w:rsidRPr="0044524F" w:rsidRDefault="00247A10"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декабре 1933 г. было организовано Конструкторское бюро под руководством Я. Г. Таубина (КБТ, позднее ОКБ-16) и начало работу весной 1934 г. Оно располагалось в Москве по адресу ул. Большая Полянка, д. 22 и имело небольшое производство на территории Московского инструментального завода. Первой разработкой КБТ стал 40,8-мм автоматический гранатомёт Таубина-Бабурина АГ-ТБ. Несмотря на закрытие работы над гранатомётом, её в целом положительные результаты не остались незамеченными руководством страны. Поэтому, когда в начале 1938 г. был разработан новый 23-мм патрон с высокой начальной скоростью </w:t>
      </w:r>
      <w:r w:rsidRPr="0044524F">
        <w:rPr>
          <w:rFonts w:ascii="Times New Roman" w:eastAsia="Times New Roman" w:hAnsi="Times New Roman"/>
          <w:color w:val="000000" w:themeColor="text1"/>
          <w:sz w:val="16"/>
          <w:szCs w:val="16"/>
          <w:lang w:eastAsia="ru-RU"/>
        </w:rPr>
        <w:lastRenderedPageBreak/>
        <w:t>снаряда (900 м/с), разработку авиационной автоматической пушки под него поручили ОКБ-16. Параллельно такая же задача была поставлена ЦКБ-14 (г. Тула). В ОКБ-16 работу над 23-мм автоматической пушкой возглавил ведущий конструктор М. Н. Бабурин, в его группу вошли А. Э. Нудельман, А. С. Суранов, В. Л. Таубкин, П. И. Грибков и др. Общее руководство работами осуществлял Я. Г. Таубин.</w:t>
      </w:r>
    </w:p>
    <w:p w14:paraId="22D24DC8" w14:textId="77777777" w:rsidR="00247A10" w:rsidRPr="0044524F" w:rsidRDefault="00247A10"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Поскольку ОКБ-16 к тому времени имело серьёзный задел по автоматическому гранатомёту, то его конструкция легла в основу разрабатываемой пушки, что помогло спроектировать её достаточно быстро. Автоматика пушки Таубина, получившая заводское обозначение МП-3 (МП — мотор-пушка, т.е. предназначенная для установки в развале цилиндров двигателя водяного охлаждения) работала по принципу отдачи ствола при его длинном ходе. Питание патронами осуществлялось из механизированного магазина вместимостью 81 патрон. Патроны снаряжались в 9 обойм по 9 патронов в каждой, которые, по мере расходования, заменялись новыми с помощью специального привода.</w:t>
      </w:r>
    </w:p>
    <w:p w14:paraId="78FEBB88" w14:textId="77777777" w:rsidR="00247A10" w:rsidRPr="0044524F" w:rsidRDefault="00247A10"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Одной из характерных особенностей схемы автоматики с длинным ходом ствола является низкий темп стрельбы — около 300 выстр./мин. Весной 1940 г. пушка МП-3 прошла государственные испытания, но ВВС требовали темпа 600 выстр./мин. Для его достижения в конструкцию пушки ввели рычажный ускорительный механизм, что позволило поднять темп до 500–550 выстр./мин, а потом, за счёт увеличения жёсткости возвратных пружин, довести его до 600–610 выстр./мин. Усовершенствованная пушка получила обозначение МП-6. Её важной положительной чертой был небольшой вес (около 70 кг) и компактность, что привлекло авиаконструкторов), рассчитывавших вооружить свои новые машины мощными и лёгкими пушками Таубина). С этого момента начались трудности, приведшие Я. Г. Таубина к печальному финалу.</w:t>
      </w:r>
    </w:p>
    <w:p w14:paraId="5F6D545A" w14:textId="77777777" w:rsidR="00247A10" w:rsidRPr="0044524F" w:rsidRDefault="00247A10"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Увеличение скорости подвижных частей при их прежних габаритах и массе привело к снижению живучести и ухудшению надёжности работы автоматики орудия. Большие затруднения вызвала отработка магазина, который являлся источником частых задержек. Пушку требовалось практически полностью перерабатывать и при этом менять габаритные размеры, согласованные с авиаконструкторами. Но об успешности работы над пушкой МП-6 уже было извещено руководство ВВС и НКВ, а «на хвосте» ОКБ-16 плотно «висели» туляки из ЦКБ-14 со своими пушками, и Таубин не решился на переконструирование пушки, по-видимому, считая, что может обойтись только её доработкой (19195).</w:t>
      </w:r>
    </w:p>
    <w:p w14:paraId="0049FBF5" w14:textId="77777777" w:rsidR="00247A10" w:rsidRPr="0044524F" w:rsidRDefault="00247A10"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p>
    <w:p w14:paraId="315391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наименование «Сибтекстильмашстрой» было изменено на «Сибметаллстрой». К этому времени в материально-технической базе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(9684).</w:t>
      </w:r>
    </w:p>
    <w:p w14:paraId="6E0BC2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43851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Декабрь 1933г Проведены официальные стендовые испытания двигателя ОРМ-52 тягой 300кг с химическим зажиганием для ракет серии РЛА и морской торпеды (11330).</w:t>
      </w:r>
    </w:p>
    <w:p w14:paraId="0F8BF5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42E4D51" w14:textId="77777777" w:rsidR="00FD3BDA" w:rsidRPr="0044524F" w:rsidRDefault="00FD3B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года первая ракета РЛА-1 была подготов</w:t>
      </w:r>
      <w:r w:rsidRPr="0044524F">
        <w:rPr>
          <w:rFonts w:ascii="Times New Roman" w:hAnsi="Times New Roman"/>
          <w:color w:val="000000" w:themeColor="text1"/>
          <w:sz w:val="16"/>
          <w:szCs w:val="16"/>
        </w:rPr>
        <w:softHyphen/>
        <w:t>лена к испытаниям в Петропавловской крепости. В день пуска, 31 декабря, ударил сильный мороз, температура опустилась до минус 30 градусов. Смазка загустела, и по команде «Старт» пу</w:t>
      </w:r>
      <w:r w:rsidRPr="0044524F">
        <w:rPr>
          <w:rFonts w:ascii="Times New Roman" w:hAnsi="Times New Roman"/>
          <w:color w:val="000000" w:themeColor="text1"/>
          <w:sz w:val="16"/>
          <w:szCs w:val="16"/>
        </w:rPr>
        <w:softHyphen/>
        <w:t>сковой клапан первой ракеты РЛА-1 не открылся. Решено было перенести пуски до потепления. Однако в январе 1934 года Глушко и все сотрудни</w:t>
      </w:r>
      <w:r w:rsidRPr="0044524F">
        <w:rPr>
          <w:rFonts w:ascii="Times New Roman" w:hAnsi="Times New Roman"/>
          <w:color w:val="000000" w:themeColor="text1"/>
          <w:sz w:val="16"/>
          <w:szCs w:val="16"/>
        </w:rPr>
        <w:softHyphen/>
        <w:t>ки ГДЛ переехали в Москву. В РНИИ Глушко сосредоточился на создании двигателей, к проекту РЛА-100 не возвращался, лет</w:t>
      </w:r>
      <w:r w:rsidRPr="0044524F">
        <w:rPr>
          <w:rFonts w:ascii="Times New Roman" w:hAnsi="Times New Roman"/>
          <w:color w:val="000000" w:themeColor="text1"/>
          <w:sz w:val="16"/>
          <w:szCs w:val="16"/>
        </w:rPr>
        <w:softHyphen/>
        <w:t>ные испытания ракет не проводил (23510).</w:t>
      </w:r>
    </w:p>
    <w:p w14:paraId="5F591BBA" w14:textId="77777777" w:rsidR="00FD3BDA" w:rsidRPr="0044524F" w:rsidRDefault="00FD3BDA" w:rsidP="009654CF">
      <w:pPr>
        <w:spacing w:after="0" w:line="240" w:lineRule="auto"/>
        <w:jc w:val="both"/>
        <w:rPr>
          <w:rFonts w:ascii="Times New Roman" w:hAnsi="Times New Roman"/>
          <w:color w:val="000000" w:themeColor="text1"/>
          <w:sz w:val="16"/>
          <w:szCs w:val="16"/>
        </w:rPr>
      </w:pPr>
    </w:p>
    <w:p w14:paraId="07539CDD"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после первого полета дирижабля В-6 5 ноября 1933 КБ внесло изменения в чертежи, были составлены фактические весовые данные корабля, оформлен материал для Госкомиссии, и готовность работ на 1 января 1935 г. определена в 100%. Выяснилась необходимость внесения изменений в бензо-магистрали и постановка винтов непосредственно на вал мотора без дополнительного вала. По дирижаблю В-10 в конце 3-го квартала на совещании у заместителя начальника Дирижаблестроя Флаксермана было вынесено решение - работы приостановить. Если до 1934 г. в течение 3-х лет проблеме жесткого дирижаблестроения почти не уделялось внимания, то за 1934 г. силами молодых советских специалистов - инженерами выпуска 19321933 гг. проделана глубокая серьезная работа по жесткому дирижаблю ДЖ-1 объемом 100 000 м 3. Группа в составе 20 человек изучила весь имеющийся материал, разработала техническое задание и технические условия, сделала около 40 основных расчетов и выполнила 4 комплекта рабочих чертежей по опытным конструкциям (около 108 чертежей) [14, л. 41]. С 1 сентября началось внесение изменений в проект дирижабля В-7 для подготовки рабочих чертежей – к форсированию работ по постройке дирижабля В-7 бис. К концу года задание было в целом выполнено бригадой инженера Храбковского − по модернизации В-7 было спущено около 2000 чертежей [14, л. 40-42 об] (15797).</w:t>
      </w:r>
    </w:p>
    <w:p w14:paraId="2DB56F3A" w14:textId="77777777" w:rsidR="0047154B" w:rsidRPr="0044524F" w:rsidRDefault="0047154B" w:rsidP="009654CF">
      <w:pPr>
        <w:spacing w:after="0" w:line="240" w:lineRule="auto"/>
        <w:jc w:val="both"/>
        <w:rPr>
          <w:rFonts w:ascii="Times New Roman" w:hAnsi="Times New Roman"/>
          <w:color w:val="000000" w:themeColor="text1"/>
          <w:sz w:val="16"/>
          <w:szCs w:val="16"/>
        </w:rPr>
      </w:pPr>
    </w:p>
    <w:p w14:paraId="2478CC9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начальником спасательной экспедиции назначили опытного полярника Г.Д. Красинского, по мнению которого, по</w:t>
      </w:r>
      <w:r w:rsidRPr="0044524F">
        <w:rPr>
          <w:rFonts w:ascii="Times New Roman" w:hAnsi="Times New Roman"/>
          <w:color w:val="000000" w:themeColor="text1"/>
          <w:sz w:val="16"/>
          <w:szCs w:val="16"/>
        </w:rPr>
        <w:softHyphen/>
        <w:t>ложение «Челюскина» становилось безвы</w:t>
      </w:r>
      <w:r w:rsidRPr="0044524F">
        <w:rPr>
          <w:rFonts w:ascii="Times New Roman" w:hAnsi="Times New Roman"/>
          <w:color w:val="000000" w:themeColor="text1"/>
          <w:sz w:val="16"/>
          <w:szCs w:val="16"/>
        </w:rPr>
        <w:softHyphen/>
        <w:t>ходным, и снимать людей с него следовало в первую очередь. После этого 20 декабря один ТБ-1 перелетел на промежуточную ба</w:t>
      </w:r>
      <w:r w:rsidRPr="0044524F">
        <w:rPr>
          <w:rFonts w:ascii="Times New Roman" w:hAnsi="Times New Roman"/>
          <w:color w:val="000000" w:themeColor="text1"/>
          <w:sz w:val="16"/>
          <w:szCs w:val="16"/>
        </w:rPr>
        <w:softHyphen/>
        <w:t>зу Уэллен на мысе Дежнева. Оттуда в конце декабря Ляпидевский дважды пытался вы</w:t>
      </w:r>
      <w:r w:rsidRPr="0044524F">
        <w:rPr>
          <w:rFonts w:ascii="Times New Roman" w:hAnsi="Times New Roman"/>
          <w:color w:val="000000" w:themeColor="text1"/>
          <w:sz w:val="16"/>
          <w:szCs w:val="16"/>
        </w:rPr>
        <w:softHyphen/>
        <w:t>лететь к терпящему бедствие судну и оба раза из-за плохой работы двигателей воз</w:t>
      </w:r>
      <w:r w:rsidRPr="0044524F">
        <w:rPr>
          <w:rFonts w:ascii="Times New Roman" w:hAnsi="Times New Roman"/>
          <w:color w:val="000000" w:themeColor="text1"/>
          <w:sz w:val="16"/>
          <w:szCs w:val="16"/>
        </w:rPr>
        <w:softHyphen/>
        <w:t>вращался. Затем на самолете иссяк запас сжатого воздуха, и Ляпидевскому пришлось вернуться в бухту Провидения за второй машиной. Она числилась за летчиком Чер</w:t>
      </w:r>
      <w:r w:rsidRPr="0044524F">
        <w:rPr>
          <w:rFonts w:ascii="Times New Roman" w:hAnsi="Times New Roman"/>
          <w:color w:val="000000" w:themeColor="text1"/>
          <w:sz w:val="16"/>
          <w:szCs w:val="16"/>
        </w:rPr>
        <w:softHyphen/>
        <w:t>нявским, однако решили, что полеты про</w:t>
      </w:r>
      <w:r w:rsidRPr="0044524F">
        <w:rPr>
          <w:rFonts w:ascii="Times New Roman" w:hAnsi="Times New Roman"/>
          <w:color w:val="000000" w:themeColor="text1"/>
          <w:sz w:val="16"/>
          <w:szCs w:val="16"/>
        </w:rPr>
        <w:softHyphen/>
        <w:t>должит именно Ляпидевский. Двухнедель</w:t>
      </w:r>
      <w:r w:rsidRPr="0044524F">
        <w:rPr>
          <w:rFonts w:ascii="Times New Roman" w:hAnsi="Times New Roman"/>
          <w:color w:val="000000" w:themeColor="text1"/>
          <w:sz w:val="16"/>
          <w:szCs w:val="16"/>
        </w:rPr>
        <w:softHyphen/>
        <w:t>ное путешествие на собачьей упряжке, а затем обрушившаяся пурга заметно задер</w:t>
      </w:r>
      <w:r w:rsidRPr="0044524F">
        <w:rPr>
          <w:rFonts w:ascii="Times New Roman" w:hAnsi="Times New Roman"/>
          <w:color w:val="000000" w:themeColor="text1"/>
          <w:sz w:val="16"/>
          <w:szCs w:val="16"/>
        </w:rPr>
        <w:softHyphen/>
        <w:t>жали начало спасения людей (11286).</w:t>
      </w:r>
    </w:p>
    <w:p w14:paraId="494E033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98144C" w14:textId="77777777" w:rsidR="00C0470F" w:rsidRPr="0044524F" w:rsidRDefault="00C0470F" w:rsidP="009654CF">
      <w:pPr>
        <w:shd w:val="clear" w:color="auto" w:fill="FFFFFF"/>
        <w:spacing w:after="0" w:line="240" w:lineRule="auto"/>
        <w:jc w:val="both"/>
        <w:textAlignment w:val="baseline"/>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декабре 1933 года летчиком А.В. Ляпидевским, который в тот момент в качестве командира экипажа самолета АНТ-4 находился в бухте Провидения, была предпринята попытка эвакуации людей с дрейфующего «Челюскина», но пробиться ему удалось только 5 марта (после многочисленных поисковых полетов) уже к ледовому лагерю Шмидта. Он вывез первых 12 челюскинцев – женщин и детей (21249).</w:t>
      </w:r>
    </w:p>
    <w:p w14:paraId="284F69E3" w14:textId="77777777" w:rsidR="00C0470F" w:rsidRPr="0044524F" w:rsidRDefault="00C0470F" w:rsidP="009654CF">
      <w:pPr>
        <w:spacing w:after="0" w:line="240" w:lineRule="auto"/>
        <w:jc w:val="both"/>
        <w:rPr>
          <w:rFonts w:ascii="Times New Roman" w:hAnsi="Times New Roman"/>
          <w:color w:val="000000" w:themeColor="text1"/>
          <w:sz w:val="16"/>
          <w:szCs w:val="16"/>
        </w:rPr>
      </w:pPr>
    </w:p>
    <w:p w14:paraId="429304FB" w14:textId="77777777" w:rsidR="00AB2BB0" w:rsidRPr="0044524F" w:rsidRDefault="00AB2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к К.Э. Циолков</w:t>
      </w:r>
      <w:r w:rsidRPr="0044524F">
        <w:rPr>
          <w:rFonts w:ascii="Times New Roman" w:hAnsi="Times New Roman"/>
          <w:color w:val="000000" w:themeColor="text1"/>
          <w:sz w:val="16"/>
          <w:szCs w:val="16"/>
        </w:rPr>
        <w:softHyphen/>
        <w:t>скому обратился начальник работ по построй</w:t>
      </w:r>
      <w:r w:rsidRPr="0044524F">
        <w:rPr>
          <w:rFonts w:ascii="Times New Roman" w:hAnsi="Times New Roman"/>
          <w:color w:val="000000" w:themeColor="text1"/>
          <w:sz w:val="16"/>
          <w:szCs w:val="16"/>
        </w:rPr>
        <w:softHyphen/>
        <w:t>ке стратостата «Осоавиахим» Е.Е. Чертовской с письмом, в котором сообщал о том, что он при</w:t>
      </w:r>
      <w:r w:rsidRPr="0044524F">
        <w:rPr>
          <w:rFonts w:ascii="Times New Roman" w:hAnsi="Times New Roman"/>
          <w:color w:val="000000" w:themeColor="text1"/>
          <w:sz w:val="16"/>
          <w:szCs w:val="16"/>
        </w:rPr>
        <w:softHyphen/>
        <w:t>ступил к проектированию первого советского стратосферного дирижабля, и просил у калуж</w:t>
      </w:r>
      <w:r w:rsidRPr="0044524F">
        <w:rPr>
          <w:rFonts w:ascii="Times New Roman" w:hAnsi="Times New Roman"/>
          <w:color w:val="000000" w:themeColor="text1"/>
          <w:sz w:val="16"/>
          <w:szCs w:val="16"/>
        </w:rPr>
        <w:softHyphen/>
        <w:t>ского учёного «указаний и руководящих мате</w:t>
      </w:r>
      <w:r w:rsidRPr="0044524F">
        <w:rPr>
          <w:rFonts w:ascii="Times New Roman" w:hAnsi="Times New Roman"/>
          <w:color w:val="000000" w:themeColor="text1"/>
          <w:sz w:val="16"/>
          <w:szCs w:val="16"/>
        </w:rPr>
        <w:softHyphen/>
        <w:t>риалов». Результатом обращения стала работа Циолковского, посланная Чертовскому, а затем напечатанная в качестве дискуссионной статьи в «Техническом бюллетене Дирижаблестроя».</w:t>
      </w:r>
    </w:p>
    <w:p w14:paraId="1D32EED9" w14:textId="77777777" w:rsidR="00AB2BB0" w:rsidRPr="0044524F" w:rsidRDefault="00AB2BB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К.Э. Циолковский указал, что для достижения больших высот потребуются тонкие оболочки очень большого объёма. При этом выигрыш от уменьшения сопротивления движению в разре</w:t>
      </w:r>
      <w:r w:rsidRPr="0044524F">
        <w:rPr>
          <w:rFonts w:ascii="Times New Roman" w:hAnsi="Times New Roman"/>
          <w:color w:val="000000" w:themeColor="text1"/>
          <w:sz w:val="16"/>
          <w:szCs w:val="16"/>
        </w:rPr>
        <w:softHyphen/>
        <w:t>женных слоях атмосферы будет сведен к нулю падением мощности двигателей дирижабля. Од</w:t>
      </w:r>
      <w:r w:rsidRPr="0044524F">
        <w:rPr>
          <w:rFonts w:ascii="Times New Roman" w:hAnsi="Times New Roman"/>
          <w:color w:val="000000" w:themeColor="text1"/>
          <w:sz w:val="16"/>
          <w:szCs w:val="16"/>
        </w:rPr>
        <w:softHyphen/>
        <w:t>нако высотный дирижабль «может иметь неко</w:t>
      </w:r>
      <w:r w:rsidRPr="0044524F">
        <w:rPr>
          <w:rFonts w:ascii="Times New Roman" w:hAnsi="Times New Roman"/>
          <w:color w:val="000000" w:themeColor="text1"/>
          <w:sz w:val="16"/>
          <w:szCs w:val="16"/>
        </w:rPr>
        <w:softHyphen/>
        <w:t>торое военное значение, а также нужен в гори</w:t>
      </w:r>
      <w:r w:rsidRPr="0044524F">
        <w:rPr>
          <w:rFonts w:ascii="Times New Roman" w:hAnsi="Times New Roman"/>
          <w:color w:val="000000" w:themeColor="text1"/>
          <w:sz w:val="16"/>
          <w:szCs w:val="16"/>
        </w:rPr>
        <w:softHyphen/>
        <w:t>стых местностях, где он поневоле должен быть высотным». По расчётам К.Э. Циолковского, стратостат, достигающий высоты 20 км, должен иметь диаметр в 72 м. Далее он заметил: «Сде</w:t>
      </w:r>
      <w:r w:rsidRPr="0044524F">
        <w:rPr>
          <w:rFonts w:ascii="Times New Roman" w:hAnsi="Times New Roman"/>
          <w:color w:val="000000" w:themeColor="text1"/>
          <w:sz w:val="16"/>
          <w:szCs w:val="16"/>
        </w:rPr>
        <w:softHyphen/>
        <w:t>ланные выводы относительно высоты поднятия стратостата ещё в большей степени применимы к высотному или стратосферному дирижаблю, имеющему сложное устройство и избыточные тяжести, относящиеся к органам управления. Поэтому в отношении высоты подъёма и иссле</w:t>
      </w:r>
      <w:r w:rsidRPr="0044524F">
        <w:rPr>
          <w:rFonts w:ascii="Times New Roman" w:hAnsi="Times New Roman"/>
          <w:color w:val="000000" w:themeColor="text1"/>
          <w:sz w:val="16"/>
          <w:szCs w:val="16"/>
        </w:rPr>
        <w:softHyphen/>
        <w:t>дования атмосферы стратостат имеет большие преимущества сравнительно с высотным дири</w:t>
      </w:r>
      <w:r w:rsidRPr="0044524F">
        <w:rPr>
          <w:rFonts w:ascii="Times New Roman" w:hAnsi="Times New Roman"/>
          <w:color w:val="000000" w:themeColor="text1"/>
          <w:sz w:val="16"/>
          <w:szCs w:val="16"/>
        </w:rPr>
        <w:softHyphen/>
        <w:t>жаблем» (20120.</w:t>
      </w:r>
    </w:p>
    <w:p w14:paraId="4601B042" w14:textId="77777777" w:rsidR="00AB2BB0" w:rsidRPr="0044524F" w:rsidRDefault="00AB2BB0" w:rsidP="009654CF">
      <w:pPr>
        <w:spacing w:after="0" w:line="240" w:lineRule="auto"/>
        <w:jc w:val="both"/>
        <w:rPr>
          <w:rFonts w:ascii="Times New Roman" w:hAnsi="Times New Roman"/>
          <w:color w:val="000000" w:themeColor="text1"/>
          <w:sz w:val="16"/>
          <w:szCs w:val="16"/>
        </w:rPr>
      </w:pPr>
    </w:p>
    <w:p w14:paraId="5CE4972E"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декабре 1933 года военные ещё раз обратили внимание на дирижабли: специалисты кафедры ВВС Военно-морской академии изучили возможность применения для нужд Военно-морских сил РККА полужёсткого корабля объёмом 50 тыс. кубометров, проектируемого на Дирижаблестрое, и пришли к неутешительным выводам:</w:t>
      </w:r>
    </w:p>
    <w:p w14:paraId="4888974D"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 xml:space="preserve">...Дирижабль Нобиле в 50000 м может выполнять задачи дирижаблей </w:t>
      </w:r>
      <w:r w:rsidRPr="0044524F">
        <w:rPr>
          <w:rFonts w:ascii="Times New Roman" w:hAnsi="Times New Roman"/>
          <w:color w:val="000000" w:themeColor="text1"/>
          <w:sz w:val="16"/>
          <w:szCs w:val="16"/>
          <w:lang w:val="en-US" w:bidi="en-US"/>
        </w:rPr>
        <w:t>III</w:t>
      </w:r>
      <w:r w:rsidRPr="0044524F">
        <w:rPr>
          <w:rFonts w:ascii="Times New Roman" w:hAnsi="Times New Roman"/>
          <w:color w:val="000000" w:themeColor="text1"/>
          <w:sz w:val="16"/>
          <w:szCs w:val="16"/>
          <w:lang w:eastAsia="ru-RU" w:bidi="ru-RU"/>
        </w:rPr>
        <w:t xml:space="preserve">-го класса (разведка в море с заходом на территорию противника, разведка морских баз противника) и частично </w:t>
      </w:r>
      <w:r w:rsidRPr="0044524F">
        <w:rPr>
          <w:rFonts w:ascii="Times New Roman" w:hAnsi="Times New Roman"/>
          <w:color w:val="000000" w:themeColor="text1"/>
          <w:sz w:val="16"/>
          <w:szCs w:val="16"/>
          <w:lang w:val="en-US" w:bidi="en-US"/>
        </w:rPr>
        <w:t>IV</w:t>
      </w:r>
      <w:r w:rsidRPr="0044524F">
        <w:rPr>
          <w:rFonts w:ascii="Times New Roman" w:hAnsi="Times New Roman"/>
          <w:color w:val="000000" w:themeColor="text1"/>
          <w:sz w:val="16"/>
          <w:szCs w:val="16"/>
          <w:lang w:eastAsia="ru-RU" w:bidi="ru-RU"/>
        </w:rPr>
        <w:t>-го класса (производство бомбовых ударов, минных постановок, перевозка десантов, выполнение диверсионных задач и т. п.), но его малая высота полёта вместо потребных 6000-8000 м., за исключением редких благоприятных условий, неминуемо при заходе его на территорию противника повлечёт за собой гибель от средств ПВО противника. Таким образом, дирижабль Нобиле в 50000 мпо причине малой высотности для намечаемых задач непригоден. Он и мало нужен как опытный дирижабль по той же причине малой высотности.</w:t>
      </w:r>
    </w:p>
    <w:p w14:paraId="3B214BC6"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На сей раз моряков не устраивал не просто конкретный проект дирижабля, а сам полужёсткий тип: по их мнению, будущее принадлежало большим жёстким кораблям, на которых и следовало сконцентрировать усилия:</w:t>
      </w:r>
    </w:p>
    <w:p w14:paraId="0764CCDD"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Создание дирижабля объёмом в 50000 м характеризует новый этап постройки в СССР дирижаблей больших кубатур, но создание их полужёсткой системы не есть путь подлинного строительства больших дирижаблей, т. к. применение нежёсткой системы как для рассматриваемого дирижабля, так, тем более, для больших кубатур, невыгодно, нерентабельно, бесполезно и может быть объяснено лишь личными стремлениями инженера Нобиле провести в жизнь проект, разработанный им ещё в Италии, но там не осуществлённый.</w:t>
      </w:r>
    </w:p>
    <w:p w14:paraId="4113FD45"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Советскому Союзу постройка этого дирижабля даже вредна, т. к. задержит переход к жёстким конструкциям и к строительству дирижаблей больших объёмов. В этом смысле постройка дирижабля Нобиле в 50000 м есть топтание на месте, потеря времени (самое дорогое для нас), выброшенные деньги. &lt;...&gt; Удовлетворяя интересам инж. Нобиле, она идёт вразрез с интересами развития советского дирижаблестроения. &lt;...&gt;</w:t>
      </w:r>
    </w:p>
    <w:p w14:paraId="36E828BE"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Строительство полужёстких дирижаблей больших кубатур отвлекает советское дирижаблестроение от намеченного исторического пути развития и постройки больших дирижаблей, вызывает непроизводительные расходы средств и преступную потерю времени.</w:t>
      </w:r>
    </w:p>
    <w:p w14:paraId="036FD15A" w14:textId="77777777" w:rsidR="00813435" w:rsidRPr="0044524F" w:rsidRDefault="00813435"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 xml:space="preserve">В 1934 году работы по этому дирижаблю прекратили, однако едва ли решающую роль сыграла именно позиция военных: в самом Аэрофлоте уже осознавали, что Дирижаблестрой неспособен и дальше нести груз многотипности и настало время отказываться от самых сложных и дорогостоящих проектов, не имеющих </w:t>
      </w:r>
      <w:r w:rsidRPr="0044524F">
        <w:rPr>
          <w:rFonts w:ascii="Times New Roman" w:hAnsi="Times New Roman"/>
          <w:color w:val="000000" w:themeColor="text1"/>
          <w:sz w:val="16"/>
          <w:szCs w:val="16"/>
          <w:lang w:eastAsia="ru-RU" w:bidi="ru-RU"/>
        </w:rPr>
        <w:lastRenderedPageBreak/>
        <w:t>ближайшей перспективы. К этому времени на корабль 50000 потратили около 300 тыс. рублей, а его ожидаемая общая стоимость выражалась астрономической суммой в 6,5 млн рублей - за эти деньги Красная армия могла получить целый полк из 100 лёгких танков Т-26 со всеми вспомогательными службами (23192).</w:t>
      </w:r>
    </w:p>
    <w:p w14:paraId="73BF1261" w14:textId="77777777" w:rsidR="00813435" w:rsidRPr="0044524F" w:rsidRDefault="00813435" w:rsidP="009654CF">
      <w:pPr>
        <w:shd w:val="clear" w:color="auto" w:fill="FFFFFF"/>
        <w:spacing w:after="0" w:line="240" w:lineRule="auto"/>
        <w:jc w:val="both"/>
        <w:rPr>
          <w:rFonts w:ascii="Times New Roman" w:hAnsi="Times New Roman"/>
          <w:color w:val="000000" w:themeColor="text1"/>
          <w:sz w:val="16"/>
          <w:szCs w:val="16"/>
        </w:rPr>
      </w:pPr>
    </w:p>
    <w:p w14:paraId="26A363E9" w14:textId="77777777" w:rsidR="00C0470F" w:rsidRPr="0044524F" w:rsidRDefault="00C0470F" w:rsidP="009654CF">
      <w:pPr>
        <w:pStyle w:val="HTML2"/>
        <w:shd w:val="clear" w:color="auto" w:fill="FFFFFF"/>
        <w:jc w:val="both"/>
        <w:rPr>
          <w:i w:val="0"/>
          <w:iCs w:val="0"/>
          <w:color w:val="000000" w:themeColor="text1"/>
          <w:sz w:val="16"/>
          <w:szCs w:val="16"/>
        </w:rPr>
      </w:pPr>
      <w:r w:rsidRPr="0044524F">
        <w:rPr>
          <w:i w:val="0"/>
          <w:iCs w:val="0"/>
          <w:color w:val="000000" w:themeColor="text1"/>
          <w:sz w:val="16"/>
          <w:szCs w:val="16"/>
        </w:rPr>
        <w:t>В декабре 1933 года "Союзгаз" и Гай Риддель подписали договор. И уже в январе 1934 года американец привез 120 кг различных записок по гелиевому делу, которые стали переводиться и передаваться на экспертизу советским специалистам. Большая часть сведений оказалась выдержками из опубликованных работ. Например, группа геологов писала: "Вся геологическая часть записки &lt;…&gt; дает нам добросовестно собранную и изложенную совокупность данных по состоянию этой части гелиевого дела в Соединенных Штатах, но сообщает нам очень мало принципиально нового, чего бы мы не знали до сих пор".</w:t>
      </w:r>
    </w:p>
    <w:p w14:paraId="653C9DCF" w14:textId="77777777" w:rsidR="00C0470F" w:rsidRPr="0044524F" w:rsidRDefault="00C0470F" w:rsidP="009654CF">
      <w:pPr>
        <w:pStyle w:val="HTML2"/>
        <w:shd w:val="clear" w:color="auto" w:fill="FFFFFF"/>
        <w:jc w:val="both"/>
        <w:rPr>
          <w:color w:val="000000" w:themeColor="text1"/>
          <w:sz w:val="16"/>
          <w:szCs w:val="16"/>
        </w:rPr>
      </w:pPr>
      <w:r w:rsidRPr="0044524F">
        <w:rPr>
          <w:i w:val="0"/>
          <w:iCs w:val="0"/>
          <w:color w:val="000000" w:themeColor="text1"/>
          <w:sz w:val="16"/>
          <w:szCs w:val="16"/>
        </w:rPr>
        <w:t>В технико-технологической части представленный материал не давал параметров и констант, необходимых для проектирования, то же относилось и к области бурения. Общее резюме советских ученых выразил профессор Петр Преображенский: "Мы в состоянии справиться собственными силами со стоящими перед нами задачами по разрешению гелиевой проблемы в СССР", при этом, правда, сделал важнейшую оговорку – "при соответственном обеспечении этих работ достаточными средствами". В результате проверки Главгаз отказался платить по договору, признав работу группы Гая Ридделя неудовлетворительной. Правда, часть денег, авансированных ему, пропала.</w:t>
      </w:r>
    </w:p>
    <w:p w14:paraId="617F08EE" w14:textId="77777777" w:rsidR="00C0470F" w:rsidRPr="0044524F" w:rsidRDefault="00C0470F" w:rsidP="009654CF">
      <w:pPr>
        <w:pStyle w:val="HTML2"/>
        <w:shd w:val="clear" w:color="auto" w:fill="FFFFFF"/>
        <w:jc w:val="both"/>
        <w:rPr>
          <w:color w:val="000000" w:themeColor="text1"/>
          <w:sz w:val="16"/>
          <w:szCs w:val="16"/>
        </w:rPr>
      </w:pPr>
      <w:r w:rsidRPr="0044524F">
        <w:rPr>
          <w:i w:val="0"/>
          <w:iCs w:val="0"/>
          <w:color w:val="000000" w:themeColor="text1"/>
          <w:sz w:val="16"/>
          <w:szCs w:val="16"/>
        </w:rPr>
        <w:t>Список ответственных за "чрезвычайную легкомысленность и преступную небрежность", повлекших растрату государственных валютных резервов, возглавил начальник "Союзгаза " Моисей Гурвич, предлагавший как раз обратное. Оказалось, что своим письмом он и его "компаньоны" ввели в заблуждение и Орджоникидзе, и ЦК ВКП (б). По аппарату НКТП и контрольных органов пошла гулять записка "О трех оппортунистах, которые, надув ЦК, заметают следы своих дел". Моисей Гурвич был снят с работы, и дальнейшая его судьба неизвестна, но самое главное – решение гелиевого вопроса затянулось, а возможность полноценно использовать американский опыт была упущена (21452).</w:t>
      </w:r>
    </w:p>
    <w:p w14:paraId="61868087" w14:textId="77777777" w:rsidR="00C0470F" w:rsidRPr="0044524F" w:rsidRDefault="00C0470F" w:rsidP="009654CF">
      <w:pPr>
        <w:pStyle w:val="article-renderblock"/>
        <w:shd w:val="clear" w:color="auto" w:fill="FFFFFF"/>
        <w:spacing w:before="0" w:beforeAutospacing="0" w:after="0" w:afterAutospacing="0"/>
        <w:jc w:val="both"/>
        <w:rPr>
          <w:color w:val="000000" w:themeColor="text1"/>
          <w:sz w:val="16"/>
          <w:szCs w:val="16"/>
        </w:rPr>
      </w:pPr>
    </w:p>
    <w:p w14:paraId="50DD4112"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53163A50"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6C7E2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декабря 1933 г. началось изготовление упроченных лафетов 76-мм БПК,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0D5022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км/час. При таком лафете не могло и речи идти о механической тяге.</w:t>
      </w:r>
    </w:p>
    <w:p w14:paraId="5641A0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Конечно, можно было спроектировать и подрессоренный лафет. Но при этом возрос бы и вес системы, и ее стоимость. Ведь и так стоимость БПК равнялась стоимости дивизионной пушки обр. 1902 г.</w:t>
      </w:r>
    </w:p>
    <w:p w14:paraId="2EB03F49" w14:textId="6A156B59"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годов БПК с вооружения были сняты</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(12091).</w:t>
      </w:r>
    </w:p>
    <w:p w14:paraId="3A7890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E5285A0"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декабря 1933 г. началось изготовление упроченных лафетов для БПК,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7EDD29FB"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Возка БПК осуществлялась одной лошадью. Орудие привязывалось к оси двуколки. Скорость возки обычная: 5—7 км/ч. При таком лафете не могла и речь идти о механической тяге.</w:t>
      </w:r>
    </w:p>
    <w:p w14:paraId="05A080BE"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Конечно, можно было спроектировать и подрессоренный лафет. Но при этом возросли бы и вес системы, и ее стоимость. Ведь и так стоимость БПК равнялась стоимости дивизионной пушки обр. 1902 г.</w:t>
      </w:r>
    </w:p>
    <w:p w14:paraId="7977A48E"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 ноября 1936 г. в РККА состояло БПК: годных — 398, требовавших ремонта — 7, учебных — 2. В конце 1930-х гг. БПК с вооружения были сняты (15117).</w:t>
      </w:r>
    </w:p>
    <w:p w14:paraId="7DF0C9E0" w14:textId="77777777" w:rsidR="0047154B" w:rsidRPr="0044524F" w:rsidRDefault="0047154B" w:rsidP="009654CF">
      <w:pPr>
        <w:spacing w:after="0" w:line="240" w:lineRule="auto"/>
        <w:jc w:val="both"/>
        <w:rPr>
          <w:rFonts w:ascii="Times New Roman" w:hAnsi="Times New Roman"/>
          <w:color w:val="000000" w:themeColor="text1"/>
          <w:sz w:val="16"/>
          <w:szCs w:val="16"/>
        </w:rPr>
      </w:pPr>
    </w:p>
    <w:p w14:paraId="1E664816" w14:textId="77777777" w:rsidR="00407C9A" w:rsidRPr="00142305" w:rsidRDefault="00407C9A" w:rsidP="00407C9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С декабря 1933 г. началось изготовление упроченных лафетов для БПК - лучшей системой Курчевского, в которых трубчатые станины были заменены станинами «углового профиля». Но, увы, и «упроченные» лафеты разваливались при буксировке БПК со скоростью 5-10 км/час по булыжной мостовой.</w:t>
      </w:r>
    </w:p>
    <w:p w14:paraId="54E84909" w14:textId="77777777" w:rsidR="00407C9A" w:rsidRPr="00142305" w:rsidRDefault="00407C9A" w:rsidP="00407C9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Возка БПК осуществлялась одной лошадью. Орудие привязывалось к оси двуколки. Скорость возки обычная: 5–7 км/ч. При таком лафете не могла и речь идти о механической тяге.</w:t>
      </w:r>
    </w:p>
    <w:p w14:paraId="6E46BE53" w14:textId="77777777" w:rsidR="00407C9A" w:rsidRPr="00142305" w:rsidRDefault="00407C9A" w:rsidP="00407C9A">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Конечно, можно было спроектировать и подрессоренный лафет. Но при этом возросли бы и вес системы, и ее стоимость. Ведь и так стоимость БПК равнялась стоимости дивизионной пушки обр. 1902 г. (25213).</w:t>
      </w:r>
    </w:p>
    <w:p w14:paraId="2B00711C" w14:textId="77777777" w:rsidR="00407C9A" w:rsidRPr="00142305" w:rsidRDefault="00407C9A" w:rsidP="00407C9A">
      <w:pPr>
        <w:spacing w:after="0" w:line="240" w:lineRule="auto"/>
        <w:jc w:val="both"/>
        <w:rPr>
          <w:rFonts w:ascii="Times New Roman" w:hAnsi="Times New Roman"/>
          <w:color w:val="0070C0"/>
          <w:sz w:val="16"/>
          <w:szCs w:val="16"/>
        </w:rPr>
      </w:pPr>
    </w:p>
    <w:p w14:paraId="197DA4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разрабатывался Самоходный дуплекс - САУ с 203 мм гаубицей Б-4 и 152 мм морской Б-10. Было разработано три проектаЖ ОКМО Опытного завода Спецмаштреста им. Кирова (185) с использованием агрегатов Т-28 - Су-14; Большевика и Красного путиловца - целиком на базе Т-28. Последние два - не получили развития (9527,263).</w:t>
      </w:r>
    </w:p>
    <w:p w14:paraId="042E64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940806A" w14:textId="77777777" w:rsidR="00AB2BB0" w:rsidRPr="0044524F" w:rsidRDefault="00AB2BB0" w:rsidP="009654CF">
      <w:pPr>
        <w:autoSpaceDE w:val="0"/>
        <w:autoSpaceDN w:val="0"/>
        <w:adjustRightInd w:val="0"/>
        <w:spacing w:after="0" w:line="240" w:lineRule="auto"/>
        <w:jc w:val="both"/>
        <w:rPr>
          <w:rFonts w:ascii="Times New Roman" w:eastAsia="TimesNewRomanPSMT" w:hAnsi="Times New Roman"/>
          <w:color w:val="000000" w:themeColor="text1"/>
          <w:sz w:val="16"/>
          <w:szCs w:val="16"/>
        </w:rPr>
      </w:pPr>
      <w:r w:rsidRPr="0044524F">
        <w:rPr>
          <w:rFonts w:ascii="Times New Roman" w:hAnsi="Times New Roman"/>
          <w:color w:val="000000" w:themeColor="text1"/>
          <w:sz w:val="16"/>
          <w:szCs w:val="16"/>
        </w:rPr>
        <w:t>В декабре 1933 г. были проведены испытания чугунных корпусов 107-мм химических мин конструкции СКБ при заводе «Красный Октябрь», которые были признаны неудовлетворяющими требованиям стрельбы и требующими увеличения толщины стенки корпуса.416 Проведение этих работ финансировалось ХИМУ РККА, их результаты признавались руководством ХИМУ перспективными, в то время как ГВМУ НКТП несколько раз снимало их с плана работ СКБ по причине технической сложности предлагаемого способа отливки (в постоянные формы) (20074).</w:t>
      </w:r>
    </w:p>
    <w:p w14:paraId="7A8B45C9" w14:textId="77777777" w:rsidR="00AB2BB0" w:rsidRPr="0044524F" w:rsidRDefault="00AB2BB0" w:rsidP="009654CF">
      <w:pPr>
        <w:spacing w:after="0" w:line="240" w:lineRule="auto"/>
        <w:jc w:val="both"/>
        <w:rPr>
          <w:rFonts w:ascii="Times New Roman" w:eastAsia="TimesNewRomanPSMT" w:hAnsi="Times New Roman"/>
          <w:color w:val="000000" w:themeColor="text1"/>
          <w:sz w:val="16"/>
          <w:szCs w:val="16"/>
        </w:rPr>
      </w:pPr>
    </w:p>
    <w:p w14:paraId="02D955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название «Сибтекстильмашстрой» изменили на «Сибметаллстрой». К этому времени в материально-технической базе завода произошли заметные изменения: действовали инструментальный, ремонтно-механический и деревообрабатывающий цехи. В 1933 г. начали действовать литейный и транспортный цехи. К 1934 г. «Сибметаллстрой» становится машиностроительным заводом, выпускающим оборудование для текстильной промышленности, автотракторные детали, станки, мелкие и средние двигатели (11591).</w:t>
      </w:r>
    </w:p>
    <w:p w14:paraId="66C35D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4B7A410" w14:textId="77777777" w:rsidR="00FD3BDA" w:rsidRPr="0044524F" w:rsidRDefault="00FD3B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после возвращения из учебной командировки (в Массачусетском технологическом институте и защиты диссертации с присвоением степени магистра технических наук) И.Я. Трашутин был назначен старшим инженером-конструктором в Дизельный отдел Харьковского паровозостроительного завода. Именно в этом отделе и был создан первый советский танковый дизель БД-2, получивший во второй половине 1937 г. обозначение В-2 (24856).</w:t>
      </w:r>
    </w:p>
    <w:p w14:paraId="441DDE84" w14:textId="77777777" w:rsidR="00FD3BDA" w:rsidRPr="0044524F" w:rsidRDefault="00FD3BDA" w:rsidP="009654CF">
      <w:pPr>
        <w:spacing w:after="0" w:line="240" w:lineRule="auto"/>
        <w:jc w:val="both"/>
        <w:rPr>
          <w:rFonts w:ascii="Times New Roman" w:hAnsi="Times New Roman"/>
          <w:color w:val="000000" w:themeColor="text1"/>
          <w:sz w:val="16"/>
          <w:szCs w:val="16"/>
        </w:rPr>
      </w:pPr>
    </w:p>
    <w:p w14:paraId="6FDFA09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К.Е.В. докладывал председателю Комис</w:t>
      </w:r>
      <w:r w:rsidRPr="0044524F">
        <w:rPr>
          <w:rFonts w:ascii="Times New Roman" w:hAnsi="Times New Roman"/>
          <w:color w:val="000000" w:themeColor="text1"/>
          <w:sz w:val="16"/>
          <w:szCs w:val="16"/>
        </w:rPr>
        <w:softHyphen/>
        <w:t>сии обороны СССР В. Молотову: «Представляя особо удач</w:t>
      </w:r>
      <w:r w:rsidRPr="0044524F">
        <w:rPr>
          <w:rFonts w:ascii="Times New Roman" w:hAnsi="Times New Roman"/>
          <w:color w:val="000000" w:themeColor="text1"/>
          <w:sz w:val="16"/>
          <w:szCs w:val="16"/>
        </w:rPr>
        <w:softHyphen/>
        <w:t>ные варианты большого танка, прошу рассмотреть их на Комиссии Обороны и окончательно решить — нужна ли нам вообще такая боевая машина взамен достаточно мощного, на мой взгляд, танка особого назначения Т-35, который в со</w:t>
      </w:r>
      <w:r w:rsidRPr="0044524F">
        <w:rPr>
          <w:rFonts w:ascii="Times New Roman" w:hAnsi="Times New Roman"/>
          <w:color w:val="000000" w:themeColor="text1"/>
          <w:sz w:val="16"/>
          <w:szCs w:val="16"/>
        </w:rPr>
        <w:softHyphen/>
        <w:t>стоянии выполнить большинство боевых задач. Производст</w:t>
      </w:r>
      <w:r w:rsidRPr="0044524F">
        <w:rPr>
          <w:rFonts w:ascii="Times New Roman" w:hAnsi="Times New Roman"/>
          <w:color w:val="000000" w:themeColor="text1"/>
          <w:sz w:val="16"/>
          <w:szCs w:val="16"/>
        </w:rPr>
        <w:softHyphen/>
        <w:t>во опытного образца Т-39 потребует около 3 млн. рублей и не менее одного года» (10733,278).</w:t>
      </w:r>
    </w:p>
    <w:p w14:paraId="7120286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BBD5B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управляющий Спецмаштреста Нейман объявил конкурс на проектирование плавающего колесно-гусе-ничного танка Т-43 с премиальным фондом в 20 тыс. руб. В конкурс включились Опытный завод Спецмаштреста им. С.М. Кирова, с проектом танка Т-43-1, и завод № 37 (бывший 2-й автозавод ВАТО), разрабатывавший Т-43-2. В качестве двигателя предполагалось использовать мо</w:t>
      </w:r>
      <w:r w:rsidRPr="0044524F">
        <w:rPr>
          <w:rFonts w:ascii="Times New Roman" w:hAnsi="Times New Roman"/>
          <w:color w:val="000000" w:themeColor="text1"/>
          <w:sz w:val="16"/>
          <w:szCs w:val="16"/>
        </w:rPr>
        <w:softHyphen/>
        <w:t>тор «Форд У-8», изготовление которого осваивалось на ГАЗе. На Опытным заводе им. С.М. Кирова проект Т-43-1 разрабатывался инженерами М. Зигелем, В. Симским и Максаковым под руководством С. Гинзбурга. Они выпол</w:t>
      </w:r>
      <w:r w:rsidRPr="0044524F">
        <w:rPr>
          <w:rFonts w:ascii="Times New Roman" w:hAnsi="Times New Roman"/>
          <w:color w:val="000000" w:themeColor="text1"/>
          <w:sz w:val="16"/>
          <w:szCs w:val="16"/>
        </w:rPr>
        <w:softHyphen/>
        <w:t>нили эскизный проект в двух вариантах, отличавшихся в деталях, и после их рассмотрения, был принят окончатель</w:t>
      </w:r>
      <w:r w:rsidRPr="0044524F">
        <w:rPr>
          <w:rFonts w:ascii="Times New Roman" w:hAnsi="Times New Roman"/>
          <w:color w:val="000000" w:themeColor="text1"/>
          <w:sz w:val="16"/>
          <w:szCs w:val="16"/>
        </w:rPr>
        <w:softHyphen/>
        <w:t>ный вариант, чертежи которого тут же были отправлены для изготовления узлов опытного образца. Т-43-1 представлял собой танк массой 3,6 т. Его кор</w:t>
      </w:r>
      <w:r w:rsidRPr="0044524F">
        <w:rPr>
          <w:rFonts w:ascii="Times New Roman" w:hAnsi="Times New Roman"/>
          <w:color w:val="000000" w:themeColor="text1"/>
          <w:sz w:val="16"/>
          <w:szCs w:val="16"/>
        </w:rPr>
        <w:softHyphen/>
        <w:t>пус и башня изготавливались из броневых листов и штам</w:t>
      </w:r>
      <w:r w:rsidRPr="0044524F">
        <w:rPr>
          <w:rFonts w:ascii="Times New Roman" w:hAnsi="Times New Roman"/>
          <w:color w:val="000000" w:themeColor="text1"/>
          <w:sz w:val="16"/>
          <w:szCs w:val="16"/>
        </w:rPr>
        <w:softHyphen/>
        <w:t>пованных деталей толщиной 4-10 мм на клепке. Воору</w:t>
      </w:r>
      <w:r w:rsidRPr="0044524F">
        <w:rPr>
          <w:rFonts w:ascii="Times New Roman" w:hAnsi="Times New Roman"/>
          <w:color w:val="000000" w:themeColor="text1"/>
          <w:sz w:val="16"/>
          <w:szCs w:val="16"/>
        </w:rPr>
        <w:softHyphen/>
        <w:t>жение танка - пулемет ДТ — устанавливалось во вращаю</w:t>
      </w:r>
      <w:r w:rsidRPr="0044524F">
        <w:rPr>
          <w:rFonts w:ascii="Times New Roman" w:hAnsi="Times New Roman"/>
          <w:color w:val="000000" w:themeColor="text1"/>
          <w:sz w:val="16"/>
          <w:szCs w:val="16"/>
        </w:rPr>
        <w:softHyphen/>
        <w:t>щейся башне. Ввиду неподачи вовремя мотора типа «Форд У-8» на танк поперек корпуса был установлен двигатель ГАЗ-АА. Над двигателем на крыше корпуса размещался радиатор того же ГАЗ-АА, под которым был помещен вентилятор с ремен</w:t>
      </w:r>
      <w:r w:rsidRPr="0044524F">
        <w:rPr>
          <w:rFonts w:ascii="Times New Roman" w:hAnsi="Times New Roman"/>
          <w:color w:val="000000" w:themeColor="text1"/>
          <w:sz w:val="16"/>
          <w:szCs w:val="16"/>
        </w:rPr>
        <w:softHyphen/>
        <w:t>ным приводом от двигателя. Трансмиссия танка также заимствовалась от грузовика ГАЗ и состояла из КПП, двойного дифференциала и борто</w:t>
      </w:r>
      <w:r w:rsidRPr="0044524F">
        <w:rPr>
          <w:rFonts w:ascii="Times New Roman" w:hAnsi="Times New Roman"/>
          <w:color w:val="000000" w:themeColor="text1"/>
          <w:sz w:val="16"/>
          <w:szCs w:val="16"/>
        </w:rPr>
        <w:softHyphen/>
        <w:t>вой передачи колесного хода. Ходовая часть Т-43-1 состояла из трех пар опорных катков большого диаметра, двух ведущих и двух направля</w:t>
      </w:r>
      <w:r w:rsidRPr="0044524F">
        <w:rPr>
          <w:rFonts w:ascii="Times New Roman" w:hAnsi="Times New Roman"/>
          <w:color w:val="000000" w:themeColor="text1"/>
          <w:sz w:val="16"/>
          <w:szCs w:val="16"/>
        </w:rPr>
        <w:softHyphen/>
        <w:t>ющих колес. При движении на колесах ведущими становилась зад-; няя пара катков. Катки соединялись с ведущими осями при рпомощи карданных валов. Подвеска задней пары катков была кривошипно-пружинной по типу танка «Крупп». Управляемыми была передняя пара катков. Неожиданно для всех танк не имел винтов и руля для перемещения на плаву. Для этого использовались поперечные попасти на ведущих колесах, так что при движении на плаву «вода засасывалась ведущим колесом сбоку по ходу танка, с си</w:t>
      </w:r>
      <w:r w:rsidRPr="0044524F">
        <w:rPr>
          <w:rFonts w:ascii="Times New Roman" w:hAnsi="Times New Roman"/>
          <w:color w:val="000000" w:themeColor="text1"/>
          <w:sz w:val="16"/>
          <w:szCs w:val="16"/>
        </w:rPr>
        <w:softHyphen/>
        <w:t>лой отбрасывалась на направляющий аппарат, заворачиваю</w:t>
      </w:r>
      <w:r w:rsidRPr="0044524F">
        <w:rPr>
          <w:rFonts w:ascii="Times New Roman" w:hAnsi="Times New Roman"/>
          <w:color w:val="000000" w:themeColor="text1"/>
          <w:sz w:val="16"/>
          <w:szCs w:val="16"/>
        </w:rPr>
        <w:softHyphen/>
        <w:t>щий поток на угол 90 градусов, создавая, таким образом, реак</w:t>
      </w:r>
      <w:r w:rsidRPr="0044524F">
        <w:rPr>
          <w:rFonts w:ascii="Times New Roman" w:hAnsi="Times New Roman"/>
          <w:color w:val="000000" w:themeColor="text1"/>
          <w:sz w:val="16"/>
          <w:szCs w:val="16"/>
        </w:rPr>
        <w:softHyphen/>
        <w:t>цию струи воды, направленную по ходу движения танка». Управление танком на водной поверхности осуществ</w:t>
      </w:r>
      <w:r w:rsidRPr="0044524F">
        <w:rPr>
          <w:rFonts w:ascii="Times New Roman" w:hAnsi="Times New Roman"/>
          <w:color w:val="000000" w:themeColor="text1"/>
          <w:sz w:val="16"/>
          <w:szCs w:val="16"/>
        </w:rPr>
        <w:softHyphen/>
        <w:t>лялось за счет уменьшения или увеличения оборотов соот</w:t>
      </w:r>
      <w:r w:rsidRPr="0044524F">
        <w:rPr>
          <w:rFonts w:ascii="Times New Roman" w:hAnsi="Times New Roman"/>
          <w:color w:val="000000" w:themeColor="text1"/>
          <w:sz w:val="16"/>
          <w:szCs w:val="16"/>
        </w:rPr>
        <w:softHyphen/>
        <w:t>ветствующих ведущих колес. Проект Т-43-2 был разработан на заводе № 37 конст</w:t>
      </w:r>
      <w:r w:rsidRPr="0044524F">
        <w:rPr>
          <w:rFonts w:ascii="Times New Roman" w:hAnsi="Times New Roman"/>
          <w:color w:val="000000" w:themeColor="text1"/>
          <w:sz w:val="16"/>
          <w:szCs w:val="16"/>
        </w:rPr>
        <w:softHyphen/>
        <w:t>рукторами Сазоновым, Брусенцовым, Козыревым, Зори</w:t>
      </w:r>
      <w:r w:rsidRPr="0044524F">
        <w:rPr>
          <w:rFonts w:ascii="Times New Roman" w:hAnsi="Times New Roman"/>
          <w:color w:val="000000" w:themeColor="text1"/>
          <w:sz w:val="16"/>
          <w:szCs w:val="16"/>
        </w:rPr>
        <w:softHyphen/>
        <w:t>ным под руководством Н. Астрова. Танк имел массу 3,7 т. Его корпус и башню предполага</w:t>
      </w:r>
      <w:r w:rsidRPr="0044524F">
        <w:rPr>
          <w:rFonts w:ascii="Times New Roman" w:hAnsi="Times New Roman"/>
          <w:color w:val="000000" w:themeColor="text1"/>
          <w:sz w:val="16"/>
          <w:szCs w:val="16"/>
        </w:rPr>
        <w:softHyphen/>
        <w:t>лось изготавливать сваркой, из бронелистов толщиной 4—10 мм, однако из-за того, что опыты по сварке броневых листов на заводе успехом не увенчались, опытный образец изготовлялся клепкой. Вооружением танка являлся 7,62-мм пулемет ДТ, уста</w:t>
      </w:r>
      <w:r w:rsidRPr="0044524F">
        <w:rPr>
          <w:rFonts w:ascii="Times New Roman" w:hAnsi="Times New Roman"/>
          <w:color w:val="000000" w:themeColor="text1"/>
          <w:sz w:val="16"/>
          <w:szCs w:val="16"/>
        </w:rPr>
        <w:softHyphen/>
        <w:t>новленный в лобовом листе башни, кроме того, на крыше танка имелась зенитная турель. Т-43-2 так же, как и конкурент, получил двигатель ГАЗ-АА с КПП и радиатором одноименного грузовика. Охлажде</w:t>
      </w:r>
      <w:r w:rsidRPr="0044524F">
        <w:rPr>
          <w:rFonts w:ascii="Times New Roman" w:hAnsi="Times New Roman"/>
          <w:color w:val="000000" w:themeColor="text1"/>
          <w:sz w:val="16"/>
          <w:szCs w:val="16"/>
        </w:rPr>
        <w:softHyphen/>
        <w:t xml:space="preserve">ние двигателя </w:t>
      </w:r>
      <w:r w:rsidRPr="0044524F">
        <w:rPr>
          <w:rFonts w:ascii="Times New Roman" w:hAnsi="Times New Roman"/>
          <w:color w:val="000000" w:themeColor="text1"/>
          <w:sz w:val="16"/>
          <w:szCs w:val="16"/>
        </w:rPr>
        <w:lastRenderedPageBreak/>
        <w:t>осуществлялось нагнетающим вентилятором, трансмиссия состояла из коробки перемены передач, двой</w:t>
      </w:r>
      <w:r w:rsidRPr="0044524F">
        <w:rPr>
          <w:rFonts w:ascii="Times New Roman" w:hAnsi="Times New Roman"/>
          <w:color w:val="000000" w:themeColor="text1"/>
          <w:sz w:val="16"/>
          <w:szCs w:val="16"/>
        </w:rPr>
        <w:softHyphen/>
        <w:t>ного дифференциала и бортовой передачи колесного хода. Ходовая часть также состояла из трех пар опорных кат</w:t>
      </w:r>
      <w:r w:rsidRPr="0044524F">
        <w:rPr>
          <w:rFonts w:ascii="Times New Roman" w:hAnsi="Times New Roman"/>
          <w:color w:val="000000" w:themeColor="text1"/>
          <w:sz w:val="16"/>
          <w:szCs w:val="16"/>
        </w:rPr>
        <w:softHyphen/>
        <w:t>ков, двух направляющих, двух ведущих и двух поддержива</w:t>
      </w:r>
      <w:r w:rsidRPr="0044524F">
        <w:rPr>
          <w:rFonts w:ascii="Times New Roman" w:hAnsi="Times New Roman"/>
          <w:color w:val="000000" w:themeColor="text1"/>
          <w:sz w:val="16"/>
          <w:szCs w:val="16"/>
        </w:rPr>
        <w:softHyphen/>
        <w:t>ющих катков. На плаву танк должен был двигаться при по</w:t>
      </w:r>
      <w:r w:rsidRPr="0044524F">
        <w:rPr>
          <w:rFonts w:ascii="Times New Roman" w:hAnsi="Times New Roman"/>
          <w:color w:val="000000" w:themeColor="text1"/>
          <w:sz w:val="16"/>
          <w:szCs w:val="16"/>
        </w:rPr>
        <w:softHyphen/>
        <w:t>мощи гребного винта (10733,290).</w:t>
      </w:r>
    </w:p>
    <w:p w14:paraId="3602613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4573F96"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декабре 1933 управляющим Спецмаштреста Нейман был объявлен конкурс на проектирование плавающего колесно-гусеничного </w:t>
      </w:r>
      <w:hyperlink r:id="rId410"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Т-43 с премиальным фондом в 20 тыс. руб. В конкурс включились Опытный завод Спецмаштреста им. С.М. Кирова, с проектом </w:t>
      </w:r>
      <w:hyperlink r:id="rId411"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Т-43-1, и завод № 37 (бывший 2-й автозавод ВАТО), разрабатывавший Т-43-2.</w:t>
      </w:r>
    </w:p>
    <w:p w14:paraId="722F2C77"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качестве двигателя предполагалось использовать мотор «Форд V-8», изготовление которого осваивалось на ГАЗе.</w:t>
      </w:r>
    </w:p>
    <w:p w14:paraId="16C9BC4E"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Т-43-1 представлял собой </w:t>
      </w:r>
      <w:hyperlink r:id="rId412"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 массой 3,6 т. Его корпус и башня изготавливались из броневых листов и штампованных деталей толщиной 4 -10 мм на клепке. Вооружение </w:t>
      </w:r>
      <w:hyperlink r:id="rId413"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было вполне стандартным. На опытной машине должен был устанавливаться 7,62-мм пулемет ДТ во вращающейся цилиндрической башне, хотя проектом также была запланирована 45-мм пушка в неподвижной бронерубке.</w:t>
      </w:r>
    </w:p>
    <w:p w14:paraId="5449C58A"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Ввиду неподачи вовремя мотора типа «Ford V8» на </w:t>
      </w:r>
      <w:hyperlink r:id="rId414"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 поперек корпуса был установлен двигатель ГАЗ-АА. Над двигателем на крыше корпуса размещался радиатор того же ГАЗ-АА. Между двигателем и радиатором был расположен вентилятор с ременным приводом от двигателя.</w:t>
      </w:r>
    </w:p>
    <w:p w14:paraId="2D2C2ABB"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Трансмиссия </w:t>
      </w:r>
      <w:hyperlink r:id="rId415"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также заимствовалась от грузовика ГАЗ и состояла из КПП, двойного дифференциала и бортовой передачи колесного хода.</w:t>
      </w:r>
    </w:p>
    <w:p w14:paraId="12701B7B"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Ходовая часть Т-43-1 состояла из трех опорных обрезиненных катков большого диаметра на борт, заднего ведущего и переднего направляющего колеса.</w:t>
      </w:r>
    </w:p>
    <w:p w14:paraId="71DB0576"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 движении на колесах привод осуществлялся на заднюю пару катков при помощи бортовой цилиндрической передачи с четырьмя шестернями и раздельным включением обоих осей. Управляемыми была передняя пара катков. Соединение колес с ведущими осями было реализовано через карданные валы. Подвеска задней пары катков была кривошипно-пружинной по типу </w:t>
      </w:r>
      <w:hyperlink r:id="rId416"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Krupp: с одной стороны, высвобождался внутренний обьем </w:t>
      </w:r>
      <w:hyperlink r:id="rId417"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с другой стороны зависимая подвеска была неоптимальна с точки зрения высоких скоростей и уязвимости.</w:t>
      </w:r>
    </w:p>
    <w:p w14:paraId="7A6D8084"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Необычным был подход конструкторов к вопросу передвижения на плаву. Первоначальный проект предусматривал установку привычного гребного винта и рулей, но вскоре от него отказались в пользу другого технического решения. Вместо них были применены ведущие колеса, снабженные шестью поперечными лопастями. При движении на плаву «вода засасывалась ведущим колесом сбоку по ходу </w:t>
      </w:r>
      <w:hyperlink r:id="rId418"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с силой отбрасывалась на направляющий аппарат, заворачивающий поток на угол 90 градусов, создавая, таким образом, реакцию струи воды, направленную походу движения </w:t>
      </w:r>
      <w:hyperlink r:id="rId419"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w:t>
      </w:r>
    </w:p>
    <w:p w14:paraId="55E84382"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Управление </w:t>
      </w:r>
      <w:hyperlink r:id="rId420"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ом на водной поверхности осуществлялось за счет уменьшения или увеличения оборотов соответствующих ведущих колес.</w:t>
      </w:r>
    </w:p>
    <w:p w14:paraId="4A72C04C"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Альтернативный проект Т-43-2, разработанный конструкторским коллективом под общим управлением Н.Астрова, был во многом похож на Т-43-1. По вооружению, бронированию, конструкции ходовой части и трансмиссии, а также внутреннему оборудованию оба </w:t>
      </w:r>
      <w:hyperlink r:id="rId421"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была весьма похожи, однако имелись и отличия.</w:t>
      </w:r>
    </w:p>
    <w:p w14:paraId="2F47F6EE"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 имел массу 3,7 т. Его корпус и башню предполагалось изготавливать сваркой, из бронелистов толщиной 4-10 мм, однако из-за того, что опыты по сварке броневых листов на заводе успехом не увенчались, опытный образец изготовлялся клепкой.</w:t>
      </w:r>
    </w:p>
    <w:p w14:paraId="76D8E1B3"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Вооружением </w:t>
      </w:r>
      <w:hyperlink r:id="rId422"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являлся 7,62-мм пулемет ДТ, установленный в лобовом листе башни более простой четырехгранной формы, кроме того, на крыше </w:t>
      </w:r>
      <w:hyperlink r:id="rId423"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имелась зенитная турель.</w:t>
      </w:r>
    </w:p>
    <w:p w14:paraId="795776AD"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Т-43-2 так же, как и конкурент, получил двигатель ГАЗ-АА с КПП и радиатором одноименного грузовика. Охлаждение двигателя осуществлялось нагнетающим вентилятором, трансмиссия состояла из коробки перемены передач, двойного дифференциала и бортовой передачи колесного хода.</w:t>
      </w:r>
    </w:p>
    <w:p w14:paraId="2B70C55B"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Ходовая часть также состояла из трех пар опорных катков, двух направляющих, двух ведущих и двух поддерживающих катков. В ходовой части два задних опорных колеса не были “связаны” в единый блок. На плаву </w:t>
      </w:r>
      <w:hyperlink r:id="rId424"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 должен был двигаться при помощи гребного винта (15621).</w:t>
      </w:r>
    </w:p>
    <w:p w14:paraId="20500D4D" w14:textId="77777777" w:rsidR="0047154B" w:rsidRPr="0044524F" w:rsidRDefault="0047154B" w:rsidP="009654CF">
      <w:pPr>
        <w:spacing w:after="0" w:line="240" w:lineRule="auto"/>
        <w:jc w:val="both"/>
        <w:rPr>
          <w:rFonts w:ascii="Times New Roman" w:hAnsi="Times New Roman"/>
          <w:color w:val="000000" w:themeColor="text1"/>
          <w:sz w:val="16"/>
          <w:szCs w:val="16"/>
        </w:rPr>
      </w:pPr>
    </w:p>
    <w:p w14:paraId="3A1B034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проект улучшенного танка БТ с 76-мм пушкой был рассмотрен ру</w:t>
      </w:r>
      <w:r w:rsidRPr="0044524F">
        <w:rPr>
          <w:rFonts w:ascii="Times New Roman" w:hAnsi="Times New Roman"/>
          <w:color w:val="000000" w:themeColor="text1"/>
          <w:sz w:val="16"/>
          <w:szCs w:val="16"/>
        </w:rPr>
        <w:softHyphen/>
        <w:t>ководством 3-го управления (НТК) УММ РККА. Проект был в целом принят. Лишь установку курсового пулемета предписывалось упразднить из-за невозможности разме</w:t>
      </w:r>
      <w:r w:rsidRPr="0044524F">
        <w:rPr>
          <w:rFonts w:ascii="Times New Roman" w:hAnsi="Times New Roman"/>
          <w:color w:val="000000" w:themeColor="text1"/>
          <w:sz w:val="16"/>
          <w:szCs w:val="16"/>
        </w:rPr>
        <w:softHyphen/>
        <w:t>щения пулеметчика рядом с водителем и невозможности заряжать пулемет и вести огонь самому водителю (10733,340).</w:t>
      </w:r>
    </w:p>
    <w:p w14:paraId="3958F55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261C758" w14:textId="77777777" w:rsidR="00EA1986" w:rsidRPr="00142305" w:rsidRDefault="00EA1986" w:rsidP="00EA198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1933 года на ХПЗ начались ис</w:t>
      </w:r>
      <w:r w:rsidRPr="00142305">
        <w:rPr>
          <w:rFonts w:ascii="Times New Roman" w:hAnsi="Times New Roman"/>
          <w:color w:val="0070C0"/>
          <w:sz w:val="16"/>
          <w:szCs w:val="16"/>
        </w:rPr>
        <w:softHyphen/>
        <w:t>пытания БТ-5 с мотором М-17. Они продолжались весь следующий год и за</w:t>
      </w:r>
      <w:r w:rsidRPr="00142305">
        <w:rPr>
          <w:rFonts w:ascii="Times New Roman" w:hAnsi="Times New Roman"/>
          <w:color w:val="0070C0"/>
          <w:sz w:val="16"/>
          <w:szCs w:val="16"/>
        </w:rPr>
        <w:softHyphen/>
        <w:t>кончились с неудовлетворительным результатом из-за плохого охлаждения двигателя (25009).</w:t>
      </w:r>
    </w:p>
    <w:p w14:paraId="5C2975DA" w14:textId="77777777" w:rsidR="00EA1986" w:rsidRPr="00142305" w:rsidRDefault="00EA1986" w:rsidP="00EA1986">
      <w:pPr>
        <w:spacing w:after="0" w:line="240" w:lineRule="auto"/>
        <w:jc w:val="both"/>
        <w:rPr>
          <w:rFonts w:ascii="Times New Roman" w:hAnsi="Times New Roman"/>
          <w:color w:val="0070C0"/>
          <w:sz w:val="16"/>
          <w:szCs w:val="16"/>
        </w:rPr>
      </w:pPr>
    </w:p>
    <w:p w14:paraId="24C8AF79" w14:textId="77777777" w:rsidR="0047154B" w:rsidRPr="0044524F" w:rsidRDefault="0047154B" w:rsidP="009654CF">
      <w:pPr>
        <w:pStyle w:val="rtejustify"/>
        <w:spacing w:before="0" w:after="0"/>
        <w:rPr>
          <w:color w:val="000000" w:themeColor="text1"/>
          <w:sz w:val="16"/>
          <w:szCs w:val="16"/>
        </w:rPr>
      </w:pPr>
      <w:r w:rsidRPr="0044524F">
        <w:rPr>
          <w:color w:val="000000" w:themeColor="text1"/>
          <w:sz w:val="16"/>
          <w:szCs w:val="16"/>
        </w:rPr>
        <w:t>С декабря мес. 1933 г. начали поступать от конструкторского бюро ОГПУ чертежи ПТ-1 со всеми изменениями и в основном сданы по первому образцу (плавающему) в марте 1934 г. По второму и третьему образцам (сухопутным) чертежи стали поступать только с февраля месяца 1934 г. (15309).</w:t>
      </w:r>
    </w:p>
    <w:p w14:paraId="42007685" w14:textId="77777777" w:rsidR="0047154B" w:rsidRPr="0044524F" w:rsidRDefault="0047154B"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6CFA3A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после испытаний ПБ-4 инженеры КБС сов</w:t>
      </w:r>
      <w:r w:rsidRPr="0044524F">
        <w:rPr>
          <w:rFonts w:ascii="Times New Roman" w:hAnsi="Times New Roman"/>
          <w:color w:val="000000" w:themeColor="text1"/>
          <w:sz w:val="16"/>
          <w:szCs w:val="16"/>
        </w:rPr>
        <w:softHyphen/>
        <w:t>местно с заведующим сектором научно-технического отде</w:t>
      </w:r>
      <w:r w:rsidRPr="0044524F">
        <w:rPr>
          <w:rFonts w:ascii="Times New Roman" w:hAnsi="Times New Roman"/>
          <w:color w:val="000000" w:themeColor="text1"/>
          <w:sz w:val="16"/>
          <w:szCs w:val="16"/>
        </w:rPr>
        <w:softHyphen/>
        <w:t>ла управления механизации и моторизации Красной Армии Азбукиным наметили целый ряд изменений и дополнений, которые предполагалось внести в конструкцию следующих машин (11284).</w:t>
      </w:r>
    </w:p>
    <w:p w14:paraId="06C7427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73D121D" w14:textId="77777777" w:rsidR="00EA1986" w:rsidRPr="00142305" w:rsidRDefault="00EA1986" w:rsidP="00EA198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1933 года Ворошилов докладывал по вопросу Т-39 председателю Комитета Обороны СССР В.М. Молотову:</w:t>
      </w:r>
    </w:p>
    <w:p w14:paraId="2CECCC69" w14:textId="77777777" w:rsidR="00EA1986" w:rsidRPr="00142305" w:rsidRDefault="00EA1986" w:rsidP="00EA1986">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«Представляя особо удачные вариан</w:t>
      </w:r>
      <w:r w:rsidRPr="00142305">
        <w:rPr>
          <w:rFonts w:ascii="Times New Roman" w:hAnsi="Times New Roman"/>
          <w:color w:val="0070C0"/>
          <w:sz w:val="16"/>
          <w:szCs w:val="16"/>
        </w:rPr>
        <w:softHyphen/>
        <w:t>ты большого танка, прошу рассмотреть их на Комиссии Обороны и окончательно ре</w:t>
      </w:r>
      <w:r w:rsidRPr="00142305">
        <w:rPr>
          <w:rFonts w:ascii="Times New Roman" w:hAnsi="Times New Roman"/>
          <w:color w:val="0070C0"/>
          <w:sz w:val="16"/>
          <w:szCs w:val="16"/>
        </w:rPr>
        <w:softHyphen/>
        <w:t>шить - нужна ли нам вообще такая боевая машина взамен достаточно мощного, на мой взгляд, танка особого назначения Т-35, ко</w:t>
      </w:r>
      <w:r w:rsidRPr="00142305">
        <w:rPr>
          <w:rFonts w:ascii="Times New Roman" w:hAnsi="Times New Roman"/>
          <w:color w:val="0070C0"/>
          <w:sz w:val="16"/>
          <w:szCs w:val="16"/>
        </w:rPr>
        <w:softHyphen/>
        <w:t>торый в состоянии выполнить большинство боевых задач. Производство опытного образ</w:t>
      </w:r>
      <w:r w:rsidRPr="00142305">
        <w:rPr>
          <w:rFonts w:ascii="Times New Roman" w:hAnsi="Times New Roman"/>
          <w:color w:val="0070C0"/>
          <w:sz w:val="16"/>
          <w:szCs w:val="16"/>
        </w:rPr>
        <w:softHyphen/>
        <w:t>ца Т-39 потребует около 3 млн. рублей и не менее одного года» (25014).</w:t>
      </w:r>
    </w:p>
    <w:p w14:paraId="136AA4E0" w14:textId="77777777" w:rsidR="00EA1986" w:rsidRPr="00142305" w:rsidRDefault="00EA1986" w:rsidP="00EA1986">
      <w:pPr>
        <w:spacing w:after="0" w:line="240" w:lineRule="auto"/>
        <w:jc w:val="both"/>
        <w:rPr>
          <w:rFonts w:ascii="Times New Roman" w:hAnsi="Times New Roman"/>
          <w:color w:val="0070C0"/>
          <w:sz w:val="16"/>
          <w:szCs w:val="16"/>
        </w:rPr>
      </w:pPr>
    </w:p>
    <w:p w14:paraId="254DE3E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был подготовлен ДОКЛАД НАЧАЛЬНИКУ УММ О ПЛАНЕ РАБОТ НИАБТ ПОЛИГОНА НА 1934 ГОД</w:t>
      </w:r>
    </w:p>
    <w:tbl>
      <w:tblPr>
        <w:tblW w:w="0" w:type="auto"/>
        <w:tblInd w:w="40" w:type="dxa"/>
        <w:tblLayout w:type="fixed"/>
        <w:tblCellMar>
          <w:left w:w="40" w:type="dxa"/>
          <w:right w:w="40" w:type="dxa"/>
        </w:tblCellMar>
        <w:tblLook w:val="0000" w:firstRow="0" w:lastRow="0" w:firstColumn="0" w:lastColumn="0" w:noHBand="0" w:noVBand="0"/>
      </w:tblPr>
      <w:tblGrid>
        <w:gridCol w:w="346"/>
        <w:gridCol w:w="2880"/>
        <w:gridCol w:w="2822"/>
        <w:gridCol w:w="950"/>
        <w:gridCol w:w="701"/>
      </w:tblGrid>
      <w:tr w:rsidR="004E10C1" w:rsidRPr="0044524F" w14:paraId="40250C2D" w14:textId="77777777">
        <w:trPr>
          <w:trHeight w:val="739"/>
        </w:trPr>
        <w:tc>
          <w:tcPr>
            <w:tcW w:w="346" w:type="dxa"/>
            <w:tcBorders>
              <w:top w:val="single" w:sz="6" w:space="0" w:color="auto"/>
              <w:left w:val="single" w:sz="6" w:space="0" w:color="auto"/>
              <w:bottom w:val="single" w:sz="6" w:space="0" w:color="auto"/>
              <w:right w:val="single" w:sz="6" w:space="0" w:color="auto"/>
            </w:tcBorders>
          </w:tcPr>
          <w:p w14:paraId="382C63B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p w14:paraId="19F94A2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п\п</w:t>
            </w:r>
          </w:p>
          <w:p w14:paraId="0B9F882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0235FD0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Наименование объекта</w:t>
            </w:r>
          </w:p>
          <w:p w14:paraId="6C39DC3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02C2644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Содержание работ</w:t>
            </w:r>
          </w:p>
          <w:p w14:paraId="768CF19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81D483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испытаний по кварталам</w:t>
            </w:r>
          </w:p>
          <w:p w14:paraId="3668111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1637DA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Сумма</w:t>
            </w:r>
          </w:p>
          <w:p w14:paraId="70D896F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D618360" w14:textId="77777777">
        <w:trPr>
          <w:trHeight w:val="326"/>
        </w:trPr>
        <w:tc>
          <w:tcPr>
            <w:tcW w:w="7699" w:type="dxa"/>
            <w:gridSpan w:val="5"/>
            <w:tcBorders>
              <w:top w:val="single" w:sz="6" w:space="0" w:color="auto"/>
              <w:left w:val="single" w:sz="6" w:space="0" w:color="auto"/>
              <w:bottom w:val="single" w:sz="6" w:space="0" w:color="auto"/>
              <w:right w:val="single" w:sz="6" w:space="0" w:color="auto"/>
            </w:tcBorders>
          </w:tcPr>
          <w:p w14:paraId="6850F0E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Окончание работ 1933 г.</w:t>
            </w:r>
          </w:p>
          <w:p w14:paraId="04362CC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08274AC"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10F9B79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5705F5A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1AADC59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"Коммунар 3-90"с газогенератором</w:t>
            </w:r>
          </w:p>
          <w:p w14:paraId="1780DA2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453D4CB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Длительное испытание</w:t>
            </w:r>
          </w:p>
          <w:p w14:paraId="5BB5578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6EAEB3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w:t>
            </w:r>
          </w:p>
          <w:p w14:paraId="0D4DB64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955B45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p w14:paraId="67F3D6C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468879D"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77C293B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p w14:paraId="7EA8E9C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11C861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"Коммунар 3-90"</w:t>
            </w:r>
          </w:p>
          <w:p w14:paraId="2E50759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5FBB46B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Спаренная езда</w:t>
            </w:r>
          </w:p>
          <w:p w14:paraId="2E95C5A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42CCA7A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w:t>
            </w:r>
          </w:p>
          <w:p w14:paraId="40499C6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301B4E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p w14:paraId="538585B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4B6328E"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792777B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p w14:paraId="7A286D9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C01FA7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Тягач ФП с колесами П. К.</w:t>
            </w:r>
          </w:p>
          <w:p w14:paraId="72F2D71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9324CD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Длительное испытание</w:t>
            </w:r>
          </w:p>
          <w:p w14:paraId="49B9E86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7C16C37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w:t>
            </w:r>
          </w:p>
          <w:p w14:paraId="1056721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F63DAE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p w14:paraId="14D1EE7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98AB424" w14:textId="77777777">
        <w:trPr>
          <w:trHeight w:val="374"/>
        </w:trPr>
        <w:tc>
          <w:tcPr>
            <w:tcW w:w="346" w:type="dxa"/>
            <w:tcBorders>
              <w:top w:val="single" w:sz="6" w:space="0" w:color="auto"/>
              <w:left w:val="single" w:sz="6" w:space="0" w:color="auto"/>
              <w:bottom w:val="single" w:sz="6" w:space="0" w:color="auto"/>
              <w:right w:val="single" w:sz="6" w:space="0" w:color="auto"/>
            </w:tcBorders>
          </w:tcPr>
          <w:p w14:paraId="6CBE5DE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5E26665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0230698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Трактор ТР-27</w:t>
            </w:r>
          </w:p>
          <w:p w14:paraId="164D1EB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279EF3B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Полное испытание, определение тяговых свойств</w:t>
            </w:r>
          </w:p>
          <w:p w14:paraId="17F8CA0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E6AABB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w:t>
            </w:r>
          </w:p>
          <w:p w14:paraId="1D4A17B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3E7BD27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p w14:paraId="2F451D8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E09ED3C" w14:textId="77777777">
        <w:trPr>
          <w:trHeight w:val="317"/>
        </w:trPr>
        <w:tc>
          <w:tcPr>
            <w:tcW w:w="7699" w:type="dxa"/>
            <w:gridSpan w:val="5"/>
            <w:tcBorders>
              <w:top w:val="single" w:sz="6" w:space="0" w:color="auto"/>
              <w:left w:val="single" w:sz="6" w:space="0" w:color="auto"/>
              <w:bottom w:val="single" w:sz="6" w:space="0" w:color="auto"/>
              <w:right w:val="single" w:sz="6" w:space="0" w:color="auto"/>
            </w:tcBorders>
          </w:tcPr>
          <w:p w14:paraId="292D725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Новые работы 1934 г.</w:t>
            </w:r>
          </w:p>
          <w:p w14:paraId="4F8936D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22F6CDB" w14:textId="77777777">
        <w:trPr>
          <w:trHeight w:val="547"/>
        </w:trPr>
        <w:tc>
          <w:tcPr>
            <w:tcW w:w="346" w:type="dxa"/>
            <w:tcBorders>
              <w:top w:val="single" w:sz="6" w:space="0" w:color="auto"/>
              <w:left w:val="single" w:sz="6" w:space="0" w:color="auto"/>
              <w:bottom w:val="single" w:sz="6" w:space="0" w:color="auto"/>
              <w:right w:val="single" w:sz="6" w:space="0" w:color="auto"/>
            </w:tcBorders>
          </w:tcPr>
          <w:p w14:paraId="3DDEFEC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2EE1B67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2421013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Трактор "Коминтерн"</w:t>
            </w:r>
          </w:p>
          <w:p w14:paraId="21377D1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8C7598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Испытание двух тракторов, подготовленных для серий с новой ходовой частью, два образца</w:t>
            </w:r>
          </w:p>
          <w:p w14:paraId="42C1D53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211DD55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 и IV</w:t>
            </w:r>
          </w:p>
          <w:p w14:paraId="108EE23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48A4AB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5000</w:t>
            </w:r>
          </w:p>
          <w:p w14:paraId="5861921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CBDF180"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606FCCD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p w14:paraId="3C13738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51431CA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Трактор СТЗ -3</w:t>
            </w:r>
          </w:p>
          <w:p w14:paraId="16AF88D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720725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Полное испытание</w:t>
            </w:r>
          </w:p>
          <w:p w14:paraId="62CF918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00FCA8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w:t>
            </w:r>
          </w:p>
          <w:p w14:paraId="08D9840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1BA9972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3000</w:t>
            </w:r>
          </w:p>
          <w:p w14:paraId="5418212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54C4A3D"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5DE684C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p w14:paraId="6F80B8D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8409F5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Зарядный ящик на ТР-4</w:t>
            </w:r>
          </w:p>
          <w:p w14:paraId="222DE17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55304F2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Тактико-техническое испытание</w:t>
            </w:r>
          </w:p>
          <w:p w14:paraId="395A583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9F76B9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w:t>
            </w:r>
          </w:p>
          <w:p w14:paraId="03E7FE8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761CB6D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596</w:t>
            </w:r>
          </w:p>
          <w:p w14:paraId="469E631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9CBE199"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1AC8DAA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p w14:paraId="267A1AD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5650EA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Транспортер ТР-4</w:t>
            </w:r>
          </w:p>
          <w:p w14:paraId="00EF5D3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79D7737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Тактико-техническое испытание</w:t>
            </w:r>
          </w:p>
          <w:p w14:paraId="5976C6A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3CAFA8E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w:t>
            </w:r>
          </w:p>
          <w:p w14:paraId="39EF23D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63E05D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p w14:paraId="34728E5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5D2D7D5" w14:textId="77777777">
        <w:trPr>
          <w:trHeight w:val="365"/>
        </w:trPr>
        <w:tc>
          <w:tcPr>
            <w:tcW w:w="346" w:type="dxa"/>
            <w:tcBorders>
              <w:top w:val="single" w:sz="6" w:space="0" w:color="auto"/>
              <w:left w:val="single" w:sz="6" w:space="0" w:color="auto"/>
              <w:bottom w:val="single" w:sz="6" w:space="0" w:color="auto"/>
              <w:right w:val="single" w:sz="6" w:space="0" w:color="auto"/>
            </w:tcBorders>
          </w:tcPr>
          <w:p w14:paraId="0D9A685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p w14:paraId="77A1056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75924A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 76-мм п. пушка 27 г. на Т-27 (КГ- 27)</w:t>
            </w:r>
          </w:p>
          <w:p w14:paraId="31E0B5D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14AC235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Полное испытание</w:t>
            </w:r>
          </w:p>
          <w:p w14:paraId="2AD38EB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117472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w:t>
            </w:r>
          </w:p>
          <w:p w14:paraId="45120F0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0D7EB5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p w14:paraId="566C5A5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AC3B1ED" w14:textId="77777777">
        <w:trPr>
          <w:trHeight w:val="374"/>
        </w:trPr>
        <w:tc>
          <w:tcPr>
            <w:tcW w:w="346" w:type="dxa"/>
            <w:tcBorders>
              <w:top w:val="single" w:sz="6" w:space="0" w:color="auto"/>
              <w:left w:val="single" w:sz="6" w:space="0" w:color="auto"/>
              <w:bottom w:val="single" w:sz="6" w:space="0" w:color="auto"/>
              <w:right w:val="single" w:sz="6" w:space="0" w:color="auto"/>
            </w:tcBorders>
          </w:tcPr>
          <w:p w14:paraId="54AED58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6.</w:t>
            </w:r>
          </w:p>
          <w:p w14:paraId="5241888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71ECA7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П-31 (повозка для длинномерных грузов)</w:t>
            </w:r>
          </w:p>
          <w:p w14:paraId="334A8FB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4E7796A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Полное испытание</w:t>
            </w:r>
          </w:p>
          <w:p w14:paraId="5CDB493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639517A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III</w:t>
            </w:r>
          </w:p>
          <w:p w14:paraId="69B841F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5CC8AA8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500</w:t>
            </w:r>
          </w:p>
          <w:p w14:paraId="1943D80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322F758"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208DB71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p w14:paraId="77B535E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DE1F59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П-33 (гусеничная повозка)</w:t>
            </w:r>
          </w:p>
          <w:p w14:paraId="6097D33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3B8E965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Полное испытание</w:t>
            </w:r>
          </w:p>
          <w:p w14:paraId="682B15C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57F00CC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w:t>
            </w:r>
          </w:p>
          <w:p w14:paraId="2F27D83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69E4AE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p w14:paraId="21ABB3F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EAA4663" w14:textId="77777777">
        <w:trPr>
          <w:trHeight w:val="182"/>
        </w:trPr>
        <w:tc>
          <w:tcPr>
            <w:tcW w:w="346" w:type="dxa"/>
            <w:tcBorders>
              <w:top w:val="single" w:sz="6" w:space="0" w:color="auto"/>
              <w:left w:val="single" w:sz="6" w:space="0" w:color="auto"/>
              <w:bottom w:val="single" w:sz="6" w:space="0" w:color="auto"/>
              <w:right w:val="single" w:sz="6" w:space="0" w:color="auto"/>
            </w:tcBorders>
          </w:tcPr>
          <w:p w14:paraId="7F77E02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p w14:paraId="34DF3BA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7300E09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Зарядный ящик на Т-27</w:t>
            </w:r>
          </w:p>
          <w:p w14:paraId="03B4058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2C44C06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Тактико-техническое испытание</w:t>
            </w:r>
          </w:p>
          <w:p w14:paraId="6496A16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1BC13F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w:t>
            </w:r>
          </w:p>
          <w:p w14:paraId="2757A3A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82D45B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p w14:paraId="2BD8290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070AC3D"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055B05D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w:t>
            </w:r>
          </w:p>
          <w:p w14:paraId="0FFB62E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3A0DAC9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Прицепка к Т-27 и Т-37</w:t>
            </w:r>
          </w:p>
          <w:p w14:paraId="39A37FB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50684FC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Полное испытание</w:t>
            </w:r>
          </w:p>
          <w:p w14:paraId="4CCA32A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04061FF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w:t>
            </w:r>
          </w:p>
          <w:p w14:paraId="7A0409E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7FD13A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w:t>
            </w:r>
          </w:p>
          <w:p w14:paraId="12E89A3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BBD76CC" w14:textId="77777777">
        <w:trPr>
          <w:trHeight w:val="192"/>
        </w:trPr>
        <w:tc>
          <w:tcPr>
            <w:tcW w:w="346" w:type="dxa"/>
            <w:tcBorders>
              <w:top w:val="single" w:sz="6" w:space="0" w:color="auto"/>
              <w:left w:val="single" w:sz="6" w:space="0" w:color="auto"/>
              <w:bottom w:val="single" w:sz="6" w:space="0" w:color="auto"/>
              <w:right w:val="single" w:sz="6" w:space="0" w:color="auto"/>
            </w:tcBorders>
          </w:tcPr>
          <w:p w14:paraId="7D8C507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p w14:paraId="0AF8AB5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00D13AF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Автотормоз к повозкам</w:t>
            </w:r>
          </w:p>
          <w:p w14:paraId="75D0B95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6363897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Полное испытание</w:t>
            </w:r>
          </w:p>
          <w:p w14:paraId="7C9C67A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742377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w:t>
            </w:r>
          </w:p>
          <w:p w14:paraId="625654A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24FA59A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750</w:t>
            </w:r>
          </w:p>
          <w:p w14:paraId="334DD3A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B6A93EC" w14:textId="77777777">
        <w:trPr>
          <w:trHeight w:val="317"/>
        </w:trPr>
        <w:tc>
          <w:tcPr>
            <w:tcW w:w="7699" w:type="dxa"/>
            <w:gridSpan w:val="5"/>
            <w:tcBorders>
              <w:top w:val="single" w:sz="6" w:space="0" w:color="auto"/>
              <w:left w:val="single" w:sz="6" w:space="0" w:color="auto"/>
              <w:bottom w:val="single" w:sz="6" w:space="0" w:color="auto"/>
              <w:right w:val="single" w:sz="6" w:space="0" w:color="auto"/>
            </w:tcBorders>
          </w:tcPr>
          <w:p w14:paraId="3E8354B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Конструкторское Бюро</w:t>
            </w:r>
          </w:p>
          <w:p w14:paraId="4F56AE5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6344B74" w14:textId="77777777">
        <w:trPr>
          <w:trHeight w:val="547"/>
        </w:trPr>
        <w:tc>
          <w:tcPr>
            <w:tcW w:w="346" w:type="dxa"/>
            <w:tcBorders>
              <w:top w:val="single" w:sz="6" w:space="0" w:color="auto"/>
              <w:left w:val="single" w:sz="6" w:space="0" w:color="auto"/>
              <w:bottom w:val="single" w:sz="6" w:space="0" w:color="auto"/>
              <w:right w:val="single" w:sz="6" w:space="0" w:color="auto"/>
            </w:tcBorders>
          </w:tcPr>
          <w:p w14:paraId="52B9A28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p w14:paraId="369D983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80" w:type="dxa"/>
            <w:tcBorders>
              <w:top w:val="single" w:sz="6" w:space="0" w:color="auto"/>
              <w:left w:val="single" w:sz="6" w:space="0" w:color="auto"/>
              <w:bottom w:val="single" w:sz="6" w:space="0" w:color="auto"/>
              <w:right w:val="single" w:sz="6" w:space="0" w:color="auto"/>
            </w:tcBorders>
          </w:tcPr>
          <w:p w14:paraId="56E5817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Пересчет и переработка чертежей подкатных тележек для Т-27, 122-мм и 152-мм гаубиц</w:t>
            </w:r>
          </w:p>
          <w:p w14:paraId="3DA5C73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2822" w:type="dxa"/>
            <w:tcBorders>
              <w:top w:val="single" w:sz="6" w:space="0" w:color="auto"/>
              <w:left w:val="single" w:sz="6" w:space="0" w:color="auto"/>
              <w:bottom w:val="single" w:sz="6" w:space="0" w:color="auto"/>
              <w:right w:val="single" w:sz="6" w:space="0" w:color="auto"/>
            </w:tcBorders>
          </w:tcPr>
          <w:p w14:paraId="1BD8804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BBD912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950" w:type="dxa"/>
            <w:tcBorders>
              <w:top w:val="single" w:sz="6" w:space="0" w:color="auto"/>
              <w:left w:val="single" w:sz="6" w:space="0" w:color="auto"/>
              <w:bottom w:val="single" w:sz="6" w:space="0" w:color="auto"/>
              <w:right w:val="single" w:sz="6" w:space="0" w:color="auto"/>
            </w:tcBorders>
          </w:tcPr>
          <w:p w14:paraId="1275BCC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II</w:t>
            </w:r>
          </w:p>
          <w:p w14:paraId="49D8596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0BEA1A2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2000</w:t>
            </w:r>
          </w:p>
          <w:p w14:paraId="2EFA5FA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0111A78B" w14:textId="77777777">
        <w:trPr>
          <w:trHeight w:val="250"/>
        </w:trPr>
        <w:tc>
          <w:tcPr>
            <w:tcW w:w="6998" w:type="dxa"/>
            <w:gridSpan w:val="4"/>
            <w:tcBorders>
              <w:top w:val="single" w:sz="6" w:space="0" w:color="auto"/>
              <w:left w:val="single" w:sz="6" w:space="0" w:color="auto"/>
              <w:bottom w:val="single" w:sz="6" w:space="0" w:color="auto"/>
              <w:right w:val="single" w:sz="6" w:space="0" w:color="auto"/>
            </w:tcBorders>
          </w:tcPr>
          <w:p w14:paraId="2F3F8D6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p w14:paraId="3420E10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01" w:type="dxa"/>
            <w:tcBorders>
              <w:top w:val="single" w:sz="6" w:space="0" w:color="auto"/>
              <w:left w:val="single" w:sz="6" w:space="0" w:color="auto"/>
              <w:bottom w:val="single" w:sz="6" w:space="0" w:color="auto"/>
              <w:right w:val="single" w:sz="6" w:space="0" w:color="auto"/>
            </w:tcBorders>
          </w:tcPr>
          <w:p w14:paraId="6C662C0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18446</w:t>
            </w:r>
          </w:p>
          <w:p w14:paraId="26B4CC6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bl>
    <w:p w14:paraId="1D552E1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3 отдела 3 управления УММ</w:t>
      </w:r>
    </w:p>
    <w:p w14:paraId="67D674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1.Ф. 31811. Оп. 3. Д. 331. Л. 26. Подлинник (11210).</w:t>
      </w:r>
    </w:p>
    <w:p w14:paraId="29418F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33DA165" w14:textId="77777777" w:rsidR="000723F3" w:rsidRPr="0044524F" w:rsidRDefault="000723F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себестоимость автомобиля ЗИС-5 равнялась 4 648 руб. Зарплата рабочего в середине 1930-х гг. составляла 150−200 руб. Стоимость 1 кг продуктов: хлеб – 1 руб.; сахар – 4 руб.; масло − 15 руб.; мясо – 11 руб. Рабочие тратили на питание 67,3 % своей зарплаты. (17494).</w:t>
      </w:r>
    </w:p>
    <w:p w14:paraId="7E657A47" w14:textId="77777777" w:rsidR="000723F3" w:rsidRPr="0044524F" w:rsidRDefault="000723F3" w:rsidP="009654CF">
      <w:pPr>
        <w:spacing w:after="0" w:line="240" w:lineRule="auto"/>
        <w:jc w:val="both"/>
        <w:rPr>
          <w:rFonts w:ascii="Times New Roman" w:hAnsi="Times New Roman"/>
          <w:color w:val="000000" w:themeColor="text1"/>
          <w:sz w:val="16"/>
          <w:szCs w:val="16"/>
        </w:rPr>
      </w:pPr>
    </w:p>
    <w:p w14:paraId="5FC1BD3C" w14:textId="77777777" w:rsidR="00AE3430" w:rsidRPr="00951B40" w:rsidRDefault="00AE3430" w:rsidP="00AE3430">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В декабре 1933 г. началось их серийное произ</w:t>
      </w:r>
      <w:r w:rsidRPr="00951B40">
        <w:rPr>
          <w:rStyle w:val="aff"/>
          <w:rFonts w:ascii="Times New Roman" w:hAnsi="Times New Roman" w:cs="Times New Roman"/>
          <w:color w:val="0070C0"/>
          <w:spacing w:val="0"/>
          <w:sz w:val="16"/>
          <w:szCs w:val="16"/>
        </w:rPr>
        <w:softHyphen/>
        <w:t>водство трехосных АМО-6 (ЗИС-6), прототипом для которых по</w:t>
      </w:r>
      <w:r w:rsidRPr="00951B40">
        <w:rPr>
          <w:rStyle w:val="aff"/>
          <w:rFonts w:ascii="Times New Roman" w:hAnsi="Times New Roman" w:cs="Times New Roman"/>
          <w:color w:val="0070C0"/>
          <w:spacing w:val="0"/>
          <w:sz w:val="16"/>
          <w:szCs w:val="16"/>
        </w:rPr>
        <w:softHyphen/>
        <w:t xml:space="preserve">служили английские грузовики </w:t>
      </w:r>
      <w:r w:rsidRPr="00951B40">
        <w:rPr>
          <w:rStyle w:val="aff"/>
          <w:rFonts w:ascii="Times New Roman" w:hAnsi="Times New Roman" w:cs="Times New Roman"/>
          <w:color w:val="0070C0"/>
          <w:spacing w:val="0"/>
          <w:sz w:val="16"/>
          <w:szCs w:val="16"/>
          <w:lang w:val="en-US"/>
        </w:rPr>
        <w:t>WD</w:t>
      </w:r>
      <w:r w:rsidRPr="00951B40">
        <w:rPr>
          <w:rStyle w:val="aff"/>
          <w:rFonts w:ascii="Times New Roman" w:hAnsi="Times New Roman" w:cs="Times New Roman"/>
          <w:color w:val="0070C0"/>
          <w:spacing w:val="0"/>
          <w:sz w:val="16"/>
          <w:szCs w:val="16"/>
        </w:rPr>
        <w:t xml:space="preserve"> (</w:t>
      </w:r>
      <w:r w:rsidRPr="00951B40">
        <w:rPr>
          <w:rStyle w:val="aff"/>
          <w:rFonts w:ascii="Times New Roman" w:hAnsi="Times New Roman" w:cs="Times New Roman"/>
          <w:color w:val="0070C0"/>
          <w:spacing w:val="0"/>
          <w:sz w:val="16"/>
          <w:szCs w:val="16"/>
          <w:lang w:val="en-US"/>
        </w:rPr>
        <w:t>War</w:t>
      </w:r>
      <w:r w:rsidRPr="00951B40">
        <w:rPr>
          <w:rStyle w:val="aff"/>
          <w:rFonts w:ascii="Times New Roman" w:hAnsi="Times New Roman" w:cs="Times New Roman"/>
          <w:color w:val="0070C0"/>
          <w:spacing w:val="0"/>
          <w:sz w:val="16"/>
          <w:szCs w:val="16"/>
        </w:rPr>
        <w:t xml:space="preserve"> </w:t>
      </w:r>
      <w:r w:rsidRPr="00951B40">
        <w:rPr>
          <w:rStyle w:val="aff"/>
          <w:rFonts w:ascii="Times New Roman" w:hAnsi="Times New Roman" w:cs="Times New Roman"/>
          <w:color w:val="0070C0"/>
          <w:spacing w:val="0"/>
          <w:sz w:val="16"/>
          <w:szCs w:val="16"/>
          <w:lang w:val="en-US"/>
        </w:rPr>
        <w:t>Department</w:t>
      </w:r>
      <w:r w:rsidRPr="00951B40">
        <w:rPr>
          <w:rStyle w:val="aff"/>
          <w:rFonts w:ascii="Times New Roman" w:hAnsi="Times New Roman" w:cs="Times New Roman"/>
          <w:color w:val="0070C0"/>
          <w:spacing w:val="0"/>
          <w:sz w:val="16"/>
          <w:szCs w:val="16"/>
        </w:rPr>
        <w:t>), а также отечествен</w:t>
      </w:r>
      <w:r w:rsidRPr="00951B40">
        <w:rPr>
          <w:rStyle w:val="aff"/>
          <w:rFonts w:ascii="Times New Roman" w:hAnsi="Times New Roman" w:cs="Times New Roman"/>
          <w:color w:val="0070C0"/>
          <w:spacing w:val="0"/>
          <w:sz w:val="16"/>
          <w:szCs w:val="16"/>
        </w:rPr>
        <w:softHyphen/>
        <w:t>ная разработка АМО-З-НАТИ. Всего за 1933 год изготови</w:t>
      </w:r>
      <w:r w:rsidRPr="00951B40">
        <w:rPr>
          <w:rStyle w:val="aff"/>
          <w:rFonts w:ascii="Times New Roman" w:hAnsi="Times New Roman" w:cs="Times New Roman"/>
          <w:color w:val="0070C0"/>
          <w:spacing w:val="0"/>
          <w:sz w:val="16"/>
          <w:szCs w:val="16"/>
        </w:rPr>
        <w:softHyphen/>
        <w:t>ли 20 экземпляров ЗИС-6. После реконст</w:t>
      </w:r>
      <w:r w:rsidRPr="00951B40">
        <w:rPr>
          <w:rStyle w:val="aff"/>
          <w:rFonts w:ascii="Times New Roman" w:hAnsi="Times New Roman" w:cs="Times New Roman"/>
          <w:color w:val="0070C0"/>
          <w:spacing w:val="0"/>
          <w:sz w:val="16"/>
          <w:szCs w:val="16"/>
        </w:rPr>
        <w:softHyphen/>
        <w:t>рукции завода производство ЗиС-6 возросло. Наиболее продуктивным был 1939 год, когда изготовили 4460 трехосных автомашин. До дня эваку</w:t>
      </w:r>
      <w:r w:rsidRPr="00951B40">
        <w:rPr>
          <w:rStyle w:val="aff"/>
          <w:rFonts w:ascii="Times New Roman" w:hAnsi="Times New Roman" w:cs="Times New Roman"/>
          <w:color w:val="0070C0"/>
          <w:spacing w:val="0"/>
          <w:sz w:val="16"/>
          <w:szCs w:val="16"/>
        </w:rPr>
        <w:softHyphen/>
        <w:t>ации завода, 16.10.1941, было выпу</w:t>
      </w:r>
      <w:r w:rsidRPr="00951B40">
        <w:rPr>
          <w:rStyle w:val="aff"/>
          <w:rFonts w:ascii="Times New Roman" w:hAnsi="Times New Roman" w:cs="Times New Roman"/>
          <w:color w:val="0070C0"/>
          <w:spacing w:val="0"/>
          <w:sz w:val="16"/>
          <w:szCs w:val="16"/>
        </w:rPr>
        <w:softHyphen/>
        <w:t>щено 21239 ЗиС-6.</w:t>
      </w:r>
    </w:p>
    <w:p w14:paraId="26857FE3" w14:textId="77777777" w:rsidR="00AE3430" w:rsidRPr="00951B40" w:rsidRDefault="00AE3430" w:rsidP="00AE3430">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Машина была максимально унифицирована с базовой моделью, трехтонным ЗиС-5, и даже имела та</w:t>
      </w:r>
      <w:r w:rsidRPr="00951B40">
        <w:rPr>
          <w:rStyle w:val="aff"/>
          <w:rFonts w:ascii="Times New Roman" w:hAnsi="Times New Roman" w:cs="Times New Roman"/>
          <w:color w:val="0070C0"/>
          <w:spacing w:val="0"/>
          <w:sz w:val="16"/>
          <w:szCs w:val="16"/>
        </w:rPr>
        <w:softHyphen/>
        <w:t>кие же наружные габариты. На ней стоял тот же 6-цилиндровый карбю</w:t>
      </w:r>
      <w:r w:rsidRPr="00951B40">
        <w:rPr>
          <w:rStyle w:val="aff"/>
          <w:rFonts w:ascii="Times New Roman" w:hAnsi="Times New Roman" w:cs="Times New Roman"/>
          <w:color w:val="0070C0"/>
          <w:spacing w:val="0"/>
          <w:sz w:val="16"/>
          <w:szCs w:val="16"/>
        </w:rPr>
        <w:softHyphen/>
        <w:t>раторный двигатель мощностью 73л.с., те же сцепление, коробка пе</w:t>
      </w:r>
      <w:r w:rsidRPr="00951B40">
        <w:rPr>
          <w:rStyle w:val="aff"/>
          <w:rFonts w:ascii="Times New Roman" w:hAnsi="Times New Roman" w:cs="Times New Roman"/>
          <w:color w:val="0070C0"/>
          <w:spacing w:val="0"/>
          <w:sz w:val="16"/>
          <w:szCs w:val="16"/>
        </w:rPr>
        <w:softHyphen/>
        <w:t>редач, передний мост, передняя под</w:t>
      </w:r>
      <w:r w:rsidRPr="00951B40">
        <w:rPr>
          <w:rStyle w:val="aff"/>
          <w:rFonts w:ascii="Times New Roman" w:hAnsi="Times New Roman" w:cs="Times New Roman"/>
          <w:color w:val="0070C0"/>
          <w:spacing w:val="0"/>
          <w:sz w:val="16"/>
          <w:szCs w:val="16"/>
        </w:rPr>
        <w:softHyphen/>
        <w:t>веска, колеса, рулевое управление, кабина, крылья, капот, подножки. Отличались рама, задняя подвеска, задние мосты, привод тормозов. За стандартной четырехступенчатой коробкой передач стоял двухступен</w:t>
      </w:r>
      <w:r w:rsidRPr="00951B40">
        <w:rPr>
          <w:rStyle w:val="aff"/>
          <w:rFonts w:ascii="Times New Roman" w:hAnsi="Times New Roman" w:cs="Times New Roman"/>
          <w:color w:val="0070C0"/>
          <w:spacing w:val="0"/>
          <w:sz w:val="16"/>
          <w:szCs w:val="16"/>
        </w:rPr>
        <w:softHyphen/>
        <w:t>чатый демультипликатор с прямой и</w:t>
      </w:r>
      <w:r w:rsidRPr="00951B40">
        <w:rPr>
          <w:rStyle w:val="30"/>
          <w:rFonts w:ascii="Times New Roman" w:eastAsia="Calibri" w:hAnsi="Times New Roman"/>
          <w:color w:val="0070C0"/>
          <w:sz w:val="16"/>
          <w:szCs w:val="16"/>
        </w:rPr>
        <w:t xml:space="preserve"> </w:t>
      </w:r>
      <w:r w:rsidRPr="00951B40">
        <w:rPr>
          <w:rStyle w:val="aff"/>
          <w:rFonts w:ascii="Times New Roman" w:hAnsi="Times New Roman" w:cs="Times New Roman"/>
          <w:color w:val="0070C0"/>
          <w:spacing w:val="0"/>
          <w:sz w:val="16"/>
          <w:szCs w:val="16"/>
        </w:rPr>
        <w:t>понижающей (1.52) передачей. Далее крутящий момент передавался двумя карданными валами на проходные задние ведущие мосты с червячной передачей, изготовленные но типу фирмы «Тимкен». Ведущие червяки располагались сверху, снизу - червяч</w:t>
      </w:r>
      <w:r w:rsidRPr="00951B40">
        <w:rPr>
          <w:rStyle w:val="aff"/>
          <w:rFonts w:ascii="Times New Roman" w:hAnsi="Times New Roman" w:cs="Times New Roman"/>
          <w:color w:val="0070C0"/>
          <w:spacing w:val="0"/>
          <w:sz w:val="16"/>
          <w:szCs w:val="16"/>
        </w:rPr>
        <w:softHyphen/>
        <w:t>ные колеса из специальной бронзы. (Правда, еще в 1932 году были пост</w:t>
      </w:r>
      <w:r w:rsidRPr="00951B40">
        <w:rPr>
          <w:rStyle w:val="aff"/>
          <w:rFonts w:ascii="Times New Roman" w:hAnsi="Times New Roman" w:cs="Times New Roman"/>
          <w:color w:val="0070C0"/>
          <w:spacing w:val="0"/>
          <w:sz w:val="16"/>
          <w:szCs w:val="16"/>
        </w:rPr>
        <w:softHyphen/>
        <w:t>роены два грузовика ЗиС-бР с шесте</w:t>
      </w:r>
      <w:r w:rsidRPr="00951B40">
        <w:rPr>
          <w:rStyle w:val="aff"/>
          <w:rFonts w:ascii="Times New Roman" w:hAnsi="Times New Roman" w:cs="Times New Roman"/>
          <w:color w:val="0070C0"/>
          <w:spacing w:val="0"/>
          <w:sz w:val="16"/>
          <w:szCs w:val="16"/>
        </w:rPr>
        <w:softHyphen/>
        <w:t>ренчатыми двухступенчатыми задни</w:t>
      </w:r>
      <w:r w:rsidRPr="00951B40">
        <w:rPr>
          <w:rStyle w:val="aff"/>
          <w:rFonts w:ascii="Times New Roman" w:hAnsi="Times New Roman" w:cs="Times New Roman"/>
          <w:color w:val="0070C0"/>
          <w:spacing w:val="0"/>
          <w:sz w:val="16"/>
          <w:szCs w:val="16"/>
        </w:rPr>
        <w:softHyphen/>
        <w:t>ми мостами, обладавшими значи</w:t>
      </w:r>
      <w:r w:rsidRPr="00951B40">
        <w:rPr>
          <w:rStyle w:val="aff"/>
          <w:rFonts w:ascii="Times New Roman" w:hAnsi="Times New Roman" w:cs="Times New Roman"/>
          <w:color w:val="0070C0"/>
          <w:spacing w:val="0"/>
          <w:sz w:val="16"/>
          <w:szCs w:val="16"/>
        </w:rPr>
        <w:softHyphen/>
        <w:t>тельно лучшими характеристиками. Но в автомобилестроении в то вре</w:t>
      </w:r>
      <w:r w:rsidRPr="00951B40">
        <w:rPr>
          <w:rStyle w:val="aff"/>
          <w:rFonts w:ascii="Times New Roman" w:hAnsi="Times New Roman" w:cs="Times New Roman"/>
          <w:color w:val="0070C0"/>
          <w:spacing w:val="0"/>
          <w:sz w:val="16"/>
          <w:szCs w:val="16"/>
        </w:rPr>
        <w:softHyphen/>
        <w:t>мя было увлечение червячными пере</w:t>
      </w:r>
      <w:r w:rsidRPr="00951B40">
        <w:rPr>
          <w:rStyle w:val="aff"/>
          <w:rFonts w:ascii="Times New Roman" w:hAnsi="Times New Roman" w:cs="Times New Roman"/>
          <w:color w:val="0070C0"/>
          <w:spacing w:val="0"/>
          <w:sz w:val="16"/>
          <w:szCs w:val="16"/>
        </w:rPr>
        <w:softHyphen/>
        <w:t>дачами, и это решило дело). В транс</w:t>
      </w:r>
      <w:r w:rsidRPr="00951B40">
        <w:rPr>
          <w:rStyle w:val="aff"/>
          <w:rFonts w:ascii="Times New Roman" w:hAnsi="Times New Roman" w:cs="Times New Roman"/>
          <w:color w:val="0070C0"/>
          <w:spacing w:val="0"/>
          <w:sz w:val="16"/>
          <w:szCs w:val="16"/>
        </w:rPr>
        <w:softHyphen/>
        <w:t>миссии ЗиС-6 было три карданных вала с открытыми шарнирами типа «Кливленд», требовавшими регуляр</w:t>
      </w:r>
      <w:r w:rsidRPr="00951B40">
        <w:rPr>
          <w:rStyle w:val="aff"/>
          <w:rFonts w:ascii="Times New Roman" w:hAnsi="Times New Roman" w:cs="Times New Roman"/>
          <w:color w:val="0070C0"/>
          <w:spacing w:val="0"/>
          <w:sz w:val="16"/>
          <w:szCs w:val="16"/>
        </w:rPr>
        <w:softHyphen/>
        <w:t>ной смазки.</w:t>
      </w:r>
    </w:p>
    <w:p w14:paraId="6A88002D" w14:textId="77777777" w:rsidR="00AE3430" w:rsidRPr="00951B40" w:rsidRDefault="00AE3430" w:rsidP="00AE3430">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 xml:space="preserve">Тележка задних мостов имела балансирную рессорную подвеску типа </w:t>
      </w:r>
      <w:r w:rsidRPr="00951B40">
        <w:rPr>
          <w:rStyle w:val="aff"/>
          <w:rFonts w:ascii="Times New Roman" w:hAnsi="Times New Roman" w:cs="Times New Roman"/>
          <w:color w:val="0070C0"/>
          <w:spacing w:val="0"/>
          <w:sz w:val="16"/>
          <w:szCs w:val="16"/>
          <w:lang w:val="en-US"/>
        </w:rPr>
        <w:t>WD</w:t>
      </w:r>
      <w:r w:rsidRPr="00951B40">
        <w:rPr>
          <w:rStyle w:val="aff"/>
          <w:rFonts w:ascii="Times New Roman" w:hAnsi="Times New Roman" w:cs="Times New Roman"/>
          <w:color w:val="0070C0"/>
          <w:spacing w:val="0"/>
          <w:sz w:val="16"/>
          <w:szCs w:val="16"/>
        </w:rPr>
        <w:t>. С каждой стороны стояло по две рессоры с одним подрессорни</w:t>
      </w:r>
      <w:r w:rsidRPr="00951B40">
        <w:rPr>
          <w:rStyle w:val="aff"/>
          <w:rFonts w:ascii="Times New Roman" w:hAnsi="Times New Roman" w:cs="Times New Roman"/>
          <w:color w:val="0070C0"/>
          <w:spacing w:val="0"/>
          <w:sz w:val="16"/>
          <w:szCs w:val="16"/>
        </w:rPr>
        <w:softHyphen/>
        <w:t>ком, шарнирно связанным с рамой.</w:t>
      </w:r>
    </w:p>
    <w:p w14:paraId="7E7BC0F2" w14:textId="77777777" w:rsidR="00AE3430" w:rsidRPr="00951B40" w:rsidRDefault="00AE3430" w:rsidP="00AE3430">
      <w:pPr>
        <w:spacing w:after="0" w:line="240" w:lineRule="auto"/>
        <w:jc w:val="both"/>
        <w:rPr>
          <w:rStyle w:val="aff"/>
          <w:rFonts w:ascii="Times New Roman" w:hAnsi="Times New Roman" w:cs="Times New Roman"/>
          <w:color w:val="0070C0"/>
          <w:spacing w:val="0"/>
          <w:sz w:val="16"/>
          <w:szCs w:val="16"/>
        </w:rPr>
      </w:pPr>
      <w:r w:rsidRPr="00951B40">
        <w:rPr>
          <w:rStyle w:val="aff"/>
          <w:rFonts w:ascii="Times New Roman" w:hAnsi="Times New Roman" w:cs="Times New Roman"/>
          <w:color w:val="0070C0"/>
          <w:spacing w:val="0"/>
          <w:sz w:val="16"/>
          <w:szCs w:val="16"/>
        </w:rPr>
        <w:t>Серийные ЗиС-6 имели механи</w:t>
      </w:r>
      <w:r w:rsidRPr="00951B40">
        <w:rPr>
          <w:rStyle w:val="aff"/>
          <w:rFonts w:ascii="Times New Roman" w:hAnsi="Times New Roman" w:cs="Times New Roman"/>
          <w:color w:val="0070C0"/>
          <w:spacing w:val="0"/>
          <w:sz w:val="16"/>
          <w:szCs w:val="16"/>
        </w:rPr>
        <w:softHyphen/>
        <w:t>ческий привод тормозов на все колеса с вакуумными усилителями, в то вре</w:t>
      </w:r>
      <w:r w:rsidRPr="00951B40">
        <w:rPr>
          <w:rStyle w:val="aff"/>
          <w:rFonts w:ascii="Times New Roman" w:hAnsi="Times New Roman" w:cs="Times New Roman"/>
          <w:color w:val="0070C0"/>
          <w:spacing w:val="0"/>
          <w:sz w:val="16"/>
          <w:szCs w:val="16"/>
        </w:rPr>
        <w:softHyphen/>
        <w:t>мя как на опытных образцах применя</w:t>
      </w:r>
      <w:r w:rsidRPr="00951B40">
        <w:rPr>
          <w:rStyle w:val="aff"/>
          <w:rFonts w:ascii="Times New Roman" w:hAnsi="Times New Roman" w:cs="Times New Roman"/>
          <w:color w:val="0070C0"/>
          <w:spacing w:val="0"/>
          <w:sz w:val="16"/>
          <w:szCs w:val="16"/>
        </w:rPr>
        <w:softHyphen/>
        <w:t>лись тормоза с гидроприводом. Ручной тормоз - центральный, на трансмис</w:t>
      </w:r>
      <w:r w:rsidRPr="00951B40">
        <w:rPr>
          <w:rStyle w:val="aff"/>
          <w:rFonts w:ascii="Times New Roman" w:hAnsi="Times New Roman" w:cs="Times New Roman"/>
          <w:color w:val="0070C0"/>
          <w:spacing w:val="0"/>
          <w:sz w:val="16"/>
          <w:szCs w:val="16"/>
        </w:rPr>
        <w:softHyphen/>
        <w:t>сию; сначала он был ленточным, по</w:t>
      </w:r>
      <w:r w:rsidRPr="00951B40">
        <w:rPr>
          <w:rStyle w:val="aff"/>
          <w:rFonts w:ascii="Times New Roman" w:hAnsi="Times New Roman" w:cs="Times New Roman"/>
          <w:color w:val="0070C0"/>
          <w:spacing w:val="0"/>
          <w:sz w:val="16"/>
          <w:szCs w:val="16"/>
        </w:rPr>
        <w:softHyphen/>
        <w:t>том заменен колодочным. По сравне</w:t>
      </w:r>
      <w:r w:rsidRPr="00951B40">
        <w:rPr>
          <w:rStyle w:val="aff"/>
          <w:rFonts w:ascii="Times New Roman" w:hAnsi="Times New Roman" w:cs="Times New Roman"/>
          <w:color w:val="0070C0"/>
          <w:spacing w:val="0"/>
          <w:sz w:val="16"/>
          <w:szCs w:val="16"/>
        </w:rPr>
        <w:softHyphen/>
        <w:t>нию с базовым ЗиС-5 у ЗиС-6 были усилены радиатор системы охлажде</w:t>
      </w:r>
      <w:r w:rsidRPr="00951B40">
        <w:rPr>
          <w:rStyle w:val="aff"/>
          <w:rFonts w:ascii="Times New Roman" w:hAnsi="Times New Roman" w:cs="Times New Roman"/>
          <w:color w:val="0070C0"/>
          <w:spacing w:val="0"/>
          <w:sz w:val="16"/>
          <w:szCs w:val="16"/>
        </w:rPr>
        <w:softHyphen/>
        <w:t>ния, генератор, установлены две ак</w:t>
      </w:r>
      <w:r w:rsidRPr="00951B40">
        <w:rPr>
          <w:rStyle w:val="aff"/>
          <w:rFonts w:ascii="Times New Roman" w:hAnsi="Times New Roman" w:cs="Times New Roman"/>
          <w:color w:val="0070C0"/>
          <w:spacing w:val="0"/>
          <w:sz w:val="16"/>
          <w:szCs w:val="16"/>
        </w:rPr>
        <w:softHyphen/>
        <w:t>кумуляторные батареи и два бензо</w:t>
      </w:r>
      <w:r w:rsidRPr="00951B40">
        <w:rPr>
          <w:rStyle w:val="aff"/>
          <w:rFonts w:ascii="Times New Roman" w:hAnsi="Times New Roman" w:cs="Times New Roman"/>
          <w:color w:val="0070C0"/>
          <w:spacing w:val="0"/>
          <w:sz w:val="16"/>
          <w:szCs w:val="16"/>
        </w:rPr>
        <w:softHyphen/>
        <w:t>бака (в сумме на 105л горючего).</w:t>
      </w:r>
    </w:p>
    <w:p w14:paraId="6CA5F4C1" w14:textId="77777777" w:rsidR="00AE3430" w:rsidRPr="00951B40" w:rsidRDefault="00AE3430" w:rsidP="00AE3430">
      <w:pPr>
        <w:spacing w:after="0" w:line="240" w:lineRule="auto"/>
        <w:jc w:val="both"/>
        <w:rPr>
          <w:rFonts w:ascii="Times New Roman" w:hAnsi="Times New Roman"/>
          <w:color w:val="0070C0"/>
          <w:sz w:val="16"/>
          <w:szCs w:val="16"/>
        </w:rPr>
      </w:pPr>
      <w:r w:rsidRPr="00951B40">
        <w:rPr>
          <w:rStyle w:val="aff"/>
          <w:rFonts w:ascii="Times New Roman" w:hAnsi="Times New Roman" w:cs="Times New Roman"/>
          <w:color w:val="0070C0"/>
          <w:spacing w:val="0"/>
          <w:sz w:val="16"/>
          <w:szCs w:val="16"/>
        </w:rPr>
        <w:t>Собственный вес ЗиС-6 со</w:t>
      </w:r>
      <w:r w:rsidRPr="00951B40">
        <w:rPr>
          <w:rStyle w:val="aff"/>
          <w:rFonts w:ascii="Times New Roman" w:hAnsi="Times New Roman" w:cs="Times New Roman"/>
          <w:color w:val="0070C0"/>
          <w:spacing w:val="0"/>
          <w:sz w:val="16"/>
          <w:szCs w:val="16"/>
        </w:rPr>
        <w:softHyphen/>
        <w:t>ставлял 4230кг. По хорошим дорогам он мог перевозить до 4т груза, по пло</w:t>
      </w:r>
      <w:r w:rsidRPr="00951B40">
        <w:rPr>
          <w:rStyle w:val="aff"/>
          <w:rFonts w:ascii="Times New Roman" w:hAnsi="Times New Roman" w:cs="Times New Roman"/>
          <w:color w:val="0070C0"/>
          <w:spacing w:val="0"/>
          <w:sz w:val="16"/>
          <w:szCs w:val="16"/>
        </w:rPr>
        <w:softHyphen/>
        <w:t>хим - 2,5т. Максимальная скорость - 50-55км/ч, средняя скорость по без</w:t>
      </w:r>
      <w:r w:rsidRPr="00951B40">
        <w:rPr>
          <w:rStyle w:val="aff"/>
          <w:rFonts w:ascii="Times New Roman" w:hAnsi="Times New Roman" w:cs="Times New Roman"/>
          <w:color w:val="0070C0"/>
          <w:spacing w:val="0"/>
          <w:sz w:val="16"/>
          <w:szCs w:val="16"/>
        </w:rPr>
        <w:softHyphen/>
        <w:t>дорожью 10км/ч. Машина могла пре</w:t>
      </w:r>
      <w:r w:rsidRPr="00951B40">
        <w:rPr>
          <w:rStyle w:val="aff"/>
          <w:rFonts w:ascii="Times New Roman" w:hAnsi="Times New Roman" w:cs="Times New Roman"/>
          <w:color w:val="0070C0"/>
          <w:spacing w:val="0"/>
          <w:sz w:val="16"/>
          <w:szCs w:val="16"/>
        </w:rPr>
        <w:softHyphen/>
        <w:t>одолевать подъем до 20± и брод глу</w:t>
      </w:r>
      <w:r w:rsidRPr="00951B40">
        <w:rPr>
          <w:rStyle w:val="aff"/>
          <w:rFonts w:ascii="Times New Roman" w:hAnsi="Times New Roman" w:cs="Times New Roman"/>
          <w:color w:val="0070C0"/>
          <w:spacing w:val="0"/>
          <w:sz w:val="16"/>
          <w:szCs w:val="16"/>
        </w:rPr>
        <w:softHyphen/>
        <w:t>биной до 0,65м. Из-за малой мощно</w:t>
      </w:r>
      <w:r w:rsidRPr="00951B40">
        <w:rPr>
          <w:rStyle w:val="aff"/>
          <w:rFonts w:ascii="Times New Roman" w:hAnsi="Times New Roman" w:cs="Times New Roman"/>
          <w:color w:val="0070C0"/>
          <w:spacing w:val="0"/>
          <w:sz w:val="16"/>
          <w:szCs w:val="16"/>
        </w:rPr>
        <w:softHyphen/>
        <w:t>сти перегруженного двигателя ЗиС-6 имел плохую динамику, большой расход топлива (по шоссе 40-41л на 100км пути, по проселку - 70) и не</w:t>
      </w:r>
      <w:r w:rsidRPr="00951B40">
        <w:rPr>
          <w:rStyle w:val="aff"/>
          <w:rFonts w:ascii="Times New Roman" w:hAnsi="Times New Roman" w:cs="Times New Roman"/>
          <w:color w:val="0070C0"/>
          <w:spacing w:val="0"/>
          <w:sz w:val="16"/>
          <w:szCs w:val="16"/>
        </w:rPr>
        <w:softHyphen/>
        <w:t>важную проходимость (25777).</w:t>
      </w:r>
    </w:p>
    <w:p w14:paraId="35AB7F3C" w14:textId="77777777" w:rsidR="00AE3430" w:rsidRPr="00951B40" w:rsidRDefault="00AE3430" w:rsidP="00AE3430">
      <w:pPr>
        <w:spacing w:after="0" w:line="240" w:lineRule="auto"/>
        <w:jc w:val="both"/>
        <w:rPr>
          <w:rFonts w:ascii="Times New Roman" w:hAnsi="Times New Roman"/>
          <w:color w:val="0070C0"/>
          <w:sz w:val="16"/>
          <w:szCs w:val="16"/>
        </w:rPr>
      </w:pPr>
    </w:p>
    <w:p w14:paraId="29688A35" w14:textId="77777777" w:rsidR="00813435" w:rsidRPr="0044524F" w:rsidRDefault="00813435" w:rsidP="009654CF">
      <w:pPr>
        <w:spacing w:after="0" w:line="240" w:lineRule="auto"/>
        <w:jc w:val="both"/>
        <w:rPr>
          <w:rFonts w:ascii="Times New Roman" w:hAnsi="Times New Roman"/>
          <w:color w:val="000000" w:themeColor="text1"/>
          <w:sz w:val="16"/>
          <w:szCs w:val="16"/>
          <w:lang w:eastAsia="ru-RU" w:bidi="ru-RU"/>
        </w:rPr>
      </w:pPr>
      <w:r w:rsidRPr="0044524F">
        <w:rPr>
          <w:rFonts w:ascii="Times New Roman" w:hAnsi="Times New Roman"/>
          <w:color w:val="000000" w:themeColor="text1"/>
          <w:sz w:val="16"/>
          <w:szCs w:val="16"/>
        </w:rPr>
        <w:t>В декабре 1933 года были завершены все подготовительные работы по радиообнаружению, и аппаратура, включавшая работавший в 50-60 см диапазоне радиоволн радиопередатчик непрерывного излучения мощностью 0,2 Вт, суперрегенеративный приемник и параболические зеркала-антенны диаметром 2 метра (их срочно изготовили в мастерских лаборатории), была перевезена на территорию Гребного порта у Кроншпица Галерной гавани Ленинграда. Там аппаратура первоначально настраивалась по плоским отражающим металлическим экранам в виде алюминиевых дисков разных размеров и латунных листа-экрана (1 кв. м) и сетки (10 кв. м), которые служили своеобразными эталонами для определения качества настройки и эффективности аппаратурного комплекса. А уже после этого были начаты опыты по обнаружению воздушной цели, в роли которой выступал гидросамолет: излучающая аппаратура при этом размещалась на берегу, а приемная – на льду сначала в 20 метрах от берега, а затем в 10 метрах от излучающей аппаратуры (22709).</w:t>
      </w:r>
    </w:p>
    <w:p w14:paraId="2A8ACE4D" w14:textId="77777777" w:rsidR="00813435" w:rsidRPr="0044524F" w:rsidRDefault="00813435" w:rsidP="009654CF">
      <w:pPr>
        <w:spacing w:after="0" w:line="240" w:lineRule="auto"/>
        <w:jc w:val="both"/>
        <w:rPr>
          <w:rFonts w:ascii="Times New Roman" w:hAnsi="Times New Roman"/>
          <w:color w:val="000000" w:themeColor="text1"/>
          <w:sz w:val="16"/>
          <w:szCs w:val="16"/>
        </w:rPr>
      </w:pPr>
    </w:p>
    <w:p w14:paraId="1610E6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было заложено пять лодок - "Зубатка" (Щ-121), "Сайда" (Щ-122), "Угорь" (Щ-123), "Палтус" (Щ-124), и "Максун" (Щ-125), которые предназначались для Тихого океана. Две из них строились на Балтийском заводе, три на ленинградском заводе им. А. Марти, а собирались и сдавались все на Дальзаводе во Владиво</w:t>
      </w:r>
      <w:r w:rsidRPr="0044524F">
        <w:rPr>
          <w:rFonts w:ascii="Times New Roman" w:hAnsi="Times New Roman"/>
          <w:color w:val="000000" w:themeColor="text1"/>
          <w:sz w:val="16"/>
          <w:szCs w:val="16"/>
        </w:rPr>
        <w:softHyphen/>
        <w:t>стоке. Для Черноморского флота завод им. 61 Коммунара в Николае</w:t>
      </w:r>
      <w:r w:rsidRPr="0044524F">
        <w:rPr>
          <w:rFonts w:ascii="Times New Roman" w:hAnsi="Times New Roman"/>
          <w:color w:val="000000" w:themeColor="text1"/>
          <w:sz w:val="16"/>
          <w:szCs w:val="16"/>
        </w:rPr>
        <w:softHyphen/>
        <w:t>ве самостоятельно построил еще три лодки — Щ-205, Щ-206 и Щ-207. Последняя тихоокеанская лодка Щ-124 вступила в строй в но</w:t>
      </w:r>
      <w:r w:rsidRPr="0044524F">
        <w:rPr>
          <w:rFonts w:ascii="Times New Roman" w:hAnsi="Times New Roman"/>
          <w:color w:val="000000" w:themeColor="text1"/>
          <w:sz w:val="16"/>
          <w:szCs w:val="16"/>
        </w:rPr>
        <w:softHyphen/>
        <w:t>ябре 1935 г., а последняя черноморская Щ-207 — в декабре 1936 г. Таким образом, строительство всей серии заняло 37 мес., для От-дельнь1х же лодок сроки постройки составили от 16,5 мес. (Щ-121) до 34,5 мес. (Щ-207). Первая цифра свидетельствует о значитель</w:t>
      </w:r>
      <w:r w:rsidRPr="0044524F">
        <w:rPr>
          <w:rFonts w:ascii="Times New Roman" w:hAnsi="Times New Roman"/>
          <w:color w:val="000000" w:themeColor="text1"/>
          <w:sz w:val="16"/>
          <w:szCs w:val="16"/>
        </w:rPr>
        <w:softHyphen/>
        <w:t>ных достижениях в организации серийной постройки лодок, вто</w:t>
      </w:r>
      <w:r w:rsidRPr="0044524F">
        <w:rPr>
          <w:rFonts w:ascii="Times New Roman" w:hAnsi="Times New Roman"/>
          <w:color w:val="000000" w:themeColor="text1"/>
          <w:sz w:val="16"/>
          <w:szCs w:val="16"/>
        </w:rPr>
        <w:softHyphen/>
        <w:t>рая — о трудностях в новом деле на николаевском заводе им. 61 Коммунара (3898).</w:t>
      </w:r>
    </w:p>
    <w:p w14:paraId="217283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12DFD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были завершены все подготовительные работы, и аппаратура была перевезена на территорию Гребного порта у Кроншпица Галерной гавани Ленинграда. Для проведения опытов по самолету Ю. К. Коровин использовал аппаратуру двухсторонней связи на ДЦВ и внес в нее только те изменения и дополнения, которые были необходимы для опыта. В состав аппаратуры входили: радиопередатчик непрерывного излучения, работавший на волнах 50–60 см, мощностью 0,2 Вт, суперрегенеративный приемник и параболические зеркала-антенны диаметром 2 м. Генераторные лампы для этой аппаратуры были созданы В. А. Тропилло и Ю. А. Кацманом (Ленинградский электротехнический институт ЛЭТИ). Вначале для достижения лучших результатов опыта аппаратура настраивалась по плоским отражающим металлическим экранам в виде алюминиевых дисков разных размеров, латунной сетки (экрана), которые служили своеобразными эталонами для определения качества настройки и эффективности аппаратурного комплекса. Метод определения предельной дальности обнаружения основывался на прослушивании пульсации принимаемого сигнала, исчезающего за порогом чувствительности слуха. Момент прекращения слышимости пульсаций фиксировался довольно точно, но судить о расстоянии между радиоаппаратурой и отражающим экраном без фактического его измерения на местности, конечно, было невозможно. После подготовительных работ были начаты опыты по обнаружению гидросамолета. Излучающая аппаратура размещалась на берегу, а приемная на льду сначала в 20 м от берега, а затем в 10 м от излучающей аппаратуры. Согласно договору с ГАУ испытания по самолету должны были закончиться в декабре 1933 г. Однако неблагоприятные погодные условия, недостаточная толщина и прочность льда у побережья Финского залива не позволяли провести опыты с гидросамолетом, установленным на лыжи (11026).</w:t>
      </w:r>
    </w:p>
    <w:p w14:paraId="1C5AA8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CFBF4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за № 50898 была подготовлена ДОКЛАДНАЯ ЗАПИСКА</w:t>
      </w:r>
    </w:p>
    <w:p w14:paraId="48F1E8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Секретарю ЦК ВКП(б)</w:t>
      </w:r>
    </w:p>
    <w:p w14:paraId="0360DE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Тов. Сталину</w:t>
      </w:r>
    </w:p>
    <w:p w14:paraId="364FEC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Рез. Сталина: Секретно Молотову Ворошилову Кагановичу (лич­но) По прочтении придется обсудить.</w:t>
      </w:r>
    </w:p>
    <w:p w14:paraId="334168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Совершенно секретно</w:t>
      </w:r>
    </w:p>
    <w:p w14:paraId="6F5FB5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Следствие по делу о пожаре 22 октября с. г, происшедшем в кры­том эллинге з-да им Марти в гор Николаеве и выведшем из строя две подводных лодки, вскрыло, что пожар последовал в результате под­жога, совершенного диверсионной группой, в составе совграждан Гуммерта Ю (инженер з-да им Марти), Горовенко (инженер того же завода), Плохой (мастер сборочного цеха з-да им. Марти) и Иванов­ского (электросварочный мастер того же завода), по заданию германс­кого подданного инженера завода им Марти - Карлл Г (арестован, не сознался) Гуммерт и Горовенко сознались в том, что организовали поджог, действуя по указаниям инженера Карлл Плохой и Ивановс­кий показали, что были непосредственными исполнителями диверсион­ного акта, который был произведен путем поджога деревянных </w:t>
      </w:r>
      <w:r w:rsidRPr="0044524F">
        <w:rPr>
          <w:rFonts w:ascii="Times New Roman" w:hAnsi="Times New Roman"/>
          <w:color w:val="000000" w:themeColor="text1"/>
          <w:sz w:val="16"/>
          <w:szCs w:val="16"/>
        </w:rPr>
        <w:lastRenderedPageBreak/>
        <w:t>стапе­лей эллинга (предварительно облитых легко воспламеняющимся куз-басслаком) коротким замыканием осветительных проводов, опущенных под стапеля. Как самый факт поджога, так и техника его осуществле­ния подтверждены актом технической экспертизы.</w:t>
      </w:r>
    </w:p>
    <w:p w14:paraId="45C9A9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Дальнейшее следствие показало, что диверсионная группа Вермана с инженером Карлл, осуществившая поджог, является частью диверсионной сети, руководимой агентом германской разведки, ра­ботающим с 1908 года германским подданным, бывшим инженером з-да им. Марти - Верман В.Э. (арестован, в диверсионно-разве­дывательной работе сознался). Верман показал, что летом 1933 года ему, через секретаря германского консульства в Одессе Гана, была передана директива германской разведки о развертывании диверси­онной работы, для осуществления которой Ган предложил ему свя­заться с вышеуказанным инженером Карлл, которому и была пору­чена непосредственно диверсионная работа по заводу им. Марти.</w:t>
      </w:r>
    </w:p>
    <w:p w14:paraId="646C22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основе этой же директивы Верманом был переключен на дивер­сионную работу его агент, работающий с 1911 года инж. з-да им. Марти, совгражданин Шеффер (арестован, в диверсионно-разведывательной работе сознался).</w:t>
      </w:r>
    </w:p>
    <w:p w14:paraId="2385AA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Диверсионно-разведывательная работа, проводившаяся Верма­ном через инженера Карлл, была увязана с управляющим «Контроль К°» в Мариуполе Вайнцетелем И - австрийский подданный (арес­тован, в диверсионной и разведывательной деятельности сознался), который показал, что с Карлл он связался летом 1933 г. и дал ему разведывательные задания по линии военного судостроения. Рабо­та Ваинцетеля И. в Мариуполе непосредственно входила в систему диверсионно-разведывательной деятельности под прикрытием фили­алов «Контроль К°».</w:t>
      </w:r>
    </w:p>
    <w:p w14:paraId="59FB40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Вайнцетель И. создал в Мариуполе диверсионные группы на заводе "им. Ильича" и в порту. Арестованные диверсан­ты, завербованные Вайнцетелем - Ставровский, инженер, заведующий химлабораторией завода "им Ильича", совгражданин Тан­ку Э. (заведующий хозяйством того же завода, румынский поддан­ный) и Миллер (служащий Мариупольского порта, сов.гражданин), арестованные в Сибири с.г., в диверсионно-разведыватель­ной работе сознались.</w:t>
      </w:r>
    </w:p>
    <w:p w14:paraId="16E493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расширения диверсионной и шпионской работы Вайнце­тель И весной 1933 г. связался с руководителем националистичес­кой нацгерманской организации немецких колонистов на Одессщине, католическим патером совгражданином Зисько (арестован, в ди­версионно-разведывательной работе сознался), которому поручил расширить подготовительную работу к диверсии. Исполняя эту ди­рективу, Зисько организовал в Николаеве: диверсионные группы на заводе № 61, на огневых и минных складах и наметил взрыв желез­нодорожного моста, расположенного к востоку от Николаева. Вы­деленные Зисько руководители диверсионных групп Волдескул Л. (мастер завода № 61), Шааф Ф.Ф (технорук "Углеэкспорта") и Фреймех П. (мастер завода № 61) в диверсионной работе сознались. По­казания их подтверждаются сознанием ликвидированной диверси­онной низовки.</w:t>
      </w:r>
    </w:p>
    <w:p w14:paraId="5A0454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Еще ранее Вайнцетель И. связался с католическим патером в Ма­риуполе, совгражданином Вагнером (в разведывательной и контрреволюционной работе сознался), также располагавшим определен­ным кадром немколонистов, обработанных в германском и национа­листическом духе. Непосредственно Вагнеру, для целей фашистской пропаганды, Вайнцетель И. передавал деньги от существующих в Германии организаций "помощи голодающим".</w:t>
      </w:r>
    </w:p>
    <w:p w14:paraId="733853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целях систематического использования «Контроль К°», как при­крытия для диверсионно-разведывательной работы, германской раз­ведкой в Гамбурге был привлечен в 1929 году главный управляющий «Контроль К°» в СССР бельгийский подданный Бернардт (арестован, в участии в разведработе сознался). (Известный по ар­хивным материалам царской контрразведки, как германский шпион в России, еще во время империалистической войны)</w:t>
      </w:r>
    </w:p>
    <w:p w14:paraId="52E00F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 из задач, поставленных разведкой перед Бернардтом, по его показаниям, сводились к тому, что последний должен был обеспечить легализацию направленных через него германских разведчиков.</w:t>
      </w:r>
    </w:p>
    <w:p w14:paraId="78CA33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Бернардт показывает, что таким образом через него были посла­ны на работу в СССР следующие агенты разведки:</w:t>
      </w:r>
    </w:p>
    <w:p w14:paraId="002CC9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Шейнрандт - германский подданный, зам. главного управляющего "Кон­троль К°" (в настоящее время в Германии).</w:t>
      </w:r>
    </w:p>
    <w:p w14:paraId="513E6E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Вайнцетель И. - австрийский подданный, управляющий "Контроль К°", в Мариуполе, арестован.</w:t>
      </w:r>
    </w:p>
    <w:p w14:paraId="63263E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Вайнцетель К. - австрийский подданный, управляющий "Контроль К°" в Новороссийске (арестован, не сознался).</w:t>
      </w:r>
    </w:p>
    <w:p w14:paraId="4D44F8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Родэн P.P. - германский подданный, управляющий "Контроль К°" в Батуме (не арестован).</w:t>
      </w:r>
    </w:p>
    <w:p w14:paraId="6A0F43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Флайше германский подданный, зам. управляющего "Контроль К°" в Ленинграде (не арестован).</w:t>
      </w:r>
    </w:p>
    <w:p w14:paraId="668AC7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Ларсен - датский подданный, управляющий "Контроль К°" в Архангельске (не арестован).</w:t>
      </w:r>
    </w:p>
    <w:p w14:paraId="752375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Гаман Г.А - сов. гражданин, служащий "Контроль К°" в Мос­кве (арестован, в разведработе сознался).</w:t>
      </w:r>
    </w:p>
    <w:p w14:paraId="6C4E84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Следствием доказано, что наряду с активной диверсионной рабо­той, агентура германской разведки, работавшая под прикрытием "Контроль К°", развила широкую разведывательную деятельность, в результате которой в руки германских разведывательных органов попали следующие важнейшие материалы военного значения.</w:t>
      </w:r>
    </w:p>
    <w:p w14:paraId="1B34C0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Подробные данные о строительстве подлодок на заводе им Марти.</w:t>
      </w:r>
    </w:p>
    <w:p w14:paraId="51CF97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Рецепты специальной танковой стали, изготовляемой на заво­де им Марти в Мариуполе.</w:t>
      </w:r>
    </w:p>
    <w:p w14:paraId="23E33D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Данные по мобплану завода им Марти.</w:t>
      </w:r>
    </w:p>
    <w:p w14:paraId="5FAF6E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План противовоздушной обороны г Москвы.</w:t>
      </w:r>
    </w:p>
    <w:p w14:paraId="683774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Данные топографической съемки участка дальневосточной гра­ницы, в районе ст. Пограничная и др.</w:t>
      </w:r>
    </w:p>
    <w:p w14:paraId="3280A6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Арестованный в Москве гр СССР, корреспондент-переводчик главной конторы 'Контроль К°" - Гаман, сознался в разведработе в пользу Германии с 1914 г. и выдал сеть своих агентов в количестве 7 человек Арестованные агенты Гамана - (совгражданин, инженер "Стальмоста"), Вицке (сов гражданин, инженер треста "Башзолото", Петрасевич (гр. СССР, бывший полковник царской армии, пре­подаватель Горного ин-та в Москве), в разведывательной деятель­ности сознались.</w:t>
      </w:r>
    </w:p>
    <w:p w14:paraId="0C7A17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числа арестованных по группе Гамана не сознались - Бубнов (гр. СССР, зав топографическим бюро Института геологии) и Почкин (гр. СССР, кинооператор "Межрабпомфильм"), входившие в разведсеть Гамана.</w:t>
      </w:r>
    </w:p>
    <w:p w14:paraId="42D6C1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Крамер И.В. (гр. СССР, преподаватель немецкого языка в гор. Горький), Стефановский (гр. СССР, бывший служащий концессии "Друзаг" устанавливается), как не находящиеся в настоящее время в Москве, устанавливаются и будут арестованы.</w:t>
      </w:r>
    </w:p>
    <w:p w14:paraId="43C959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указаний о дальнейшем направлении следствия и возмож­ности гласного судебного процесса Одновременно, в целях полного вскрытия диверсионной работы, проводившейся под прикрытием "Контроль К°", прошу санкционировать арест.</w:t>
      </w:r>
    </w:p>
    <w:p w14:paraId="1E854B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Родэй Р Р - германский подданный, управляющий "Контроль К°" в Батуме.</w:t>
      </w:r>
    </w:p>
    <w:p w14:paraId="7AB440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Флайше - германский подданный, зам управляющего "Конт­роль К°" в Ленинграде.</w:t>
      </w:r>
    </w:p>
    <w:p w14:paraId="7011B7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Ларсен - датский подданный, управляющий "Контроль К°" в Архангельске.</w:t>
      </w:r>
    </w:p>
    <w:p w14:paraId="72B506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Зам. Пред. ОГПУ Ягода </w:t>
      </w:r>
    </w:p>
    <w:p w14:paraId="25BD31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АП РФ ф.3, оп. 58, д. 243, л. 210-215 (11462).</w:t>
      </w:r>
    </w:p>
    <w:p w14:paraId="662843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1C26870"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катер АНТ-5 прошел государственные испытания, которые шли с 22 ноября. Испытания АНТ-5 привели начальство буквально в восторг — катер с торпедами развивал скорость 58 узлов, а без торпед — 65,3 узла. О таких скоростях не могли и мечтать катера других стран.</w:t>
      </w:r>
    </w:p>
    <w:p w14:paraId="0A2D50E8"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им. Марта, начиная с V серии (первые четыре серии — это катера Ш-4), перешел на производство Г-5 (так назывались серийные катера АНТ-5). Позже Г-5 стали строить и на заводе № 532 в Керчи, а с началом войны завод № 532 эвакуировали в Тюмень, и там на заводе № 639 также приступили к строительству катеров типа Г-5. Всего был построен 321 серийный катер Г-5 девяти серий (с VI по XII, включая Х1бис).</w:t>
      </w:r>
    </w:p>
    <w:p w14:paraId="07857AF3"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Торпедное вооружение у всех серий было одинаково: две 533-мм торпеды в желобковых аппаратах. А вот пулеметное вооружение постоянно менялось. Так, катера VI—IX серий имели по два 7,62-мм авиационных пулемета ДА. Следующие серии имели по два 7,62-мм авиационных пулеметов ШКАС, отличавшихся большей скорострельностью.</w:t>
      </w:r>
    </w:p>
    <w:p w14:paraId="26CA6544"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1941 г. катера стали оснащать одним-двумя 12,7-мм пулеметами ДШК. Кроме того, силами флотских умельцев были созданы импровизированные ординарные и спаренные 20-мм установки авиационных пушек ШВАК.</w:t>
      </w:r>
    </w:p>
    <w:p w14:paraId="3D9BA2E4"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Водоизмещение катеров Г-5 колебалось от 14,91 т (VI серии) до 19,94 т (XI серии). Большинство катеров имело по два отечественных бензиновых двигателя ГАМ-34БП и БС мощностью 850 л. с. каждый. 25 катеров IX серии были оснащены итальянскими двигателями «Изотто-Фраскини» А 550—1000. 40 катеров серии Х1бис оснащены форсированными двигателями ГАМ-34Ф мощностью по 1000 л. с. А в ходе войны катера снабжались двумя американскими двигателями «Паккард» мощностью по 1150 л.с.</w:t>
      </w:r>
    </w:p>
    <w:p w14:paraId="16C4DFB8"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хода катеров составляла от 45 до 52 узлов. А стоимость постройки — от 475 тыс. руб. (первые серии) до 620 тыс. руб. (начиная с XI серии).</w:t>
      </w:r>
    </w:p>
    <w:p w14:paraId="19C755FC"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работали эти двигатели ГАМ-34, пусть даже теоретически, можно понять из следующего документа: «Правила ухода и обслуживания катера Г-5». Полный ход достигался при 1900 об./мин. двигателя. Но работать при скорости 1900 об/мин. можно было не более 20 мин., а при скорости 1800 об/мин. — не более 1 часа. Причем полный ход можно было развивать только в боевых условиях. А «пользоваться самым полным ходом при 1800—1900 об/мин. в условиях боевой подготовки запрещается».</w:t>
      </w:r>
    </w:p>
    <w:p w14:paraId="0F3A6A9C"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24, изготавливавший двигатели ГАМ-34, давал им гарантию лишь на 150 часов работы двигателя, далее должна была производиться полная переборка двигателя и ремонт (15117).</w:t>
      </w:r>
    </w:p>
    <w:p w14:paraId="4F188FC7" w14:textId="77777777" w:rsidR="0047154B" w:rsidRPr="0044524F" w:rsidRDefault="0047154B" w:rsidP="009654CF">
      <w:pPr>
        <w:spacing w:after="0" w:line="240" w:lineRule="auto"/>
        <w:jc w:val="both"/>
        <w:rPr>
          <w:rFonts w:ascii="Times New Roman" w:hAnsi="Times New Roman"/>
          <w:color w:val="000000" w:themeColor="text1"/>
          <w:sz w:val="16"/>
          <w:szCs w:val="16"/>
        </w:rPr>
      </w:pPr>
    </w:p>
    <w:p w14:paraId="7C50AC77" w14:textId="00C8882E" w:rsidR="00EB0B16" w:rsidRPr="0044524F" w:rsidRDefault="00EB0B16"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color w:val="000000" w:themeColor="text1"/>
          <w:sz w:val="16"/>
          <w:szCs w:val="16"/>
        </w:rPr>
        <w:t>В декабре</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согласно официальной статистике, продукция тяжелой промышленности была на 12% выше, чем в декабре 1932 г. и превзошла уровень максимального падения в январе</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на 35%. Конфиденциальный годовой отчет британского министерства иностранных дел о положении в СССР за</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г. </w:t>
      </w:r>
      <w:r w:rsidRPr="0044524F">
        <w:rPr>
          <w:rFonts w:ascii="Times New Roman" w:hAnsi="Times New Roman"/>
          <w:color w:val="000000" w:themeColor="text1"/>
          <w:sz w:val="16"/>
          <w:szCs w:val="16"/>
        </w:rPr>
        <w:lastRenderedPageBreak/>
        <w:t>отмечал, что «кажется, существуют определенные основания, в свете прогресса, достигнутого ключевыми отраслями в последние месяцы, для растущего оптимизма, с которым власти смотрят в будущее» (17281).</w:t>
      </w:r>
    </w:p>
    <w:p w14:paraId="3DF55601" w14:textId="77777777" w:rsidR="00EB0B16" w:rsidRPr="0044524F" w:rsidRDefault="00EB0B1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7F1391C" w14:textId="77777777" w:rsidR="002E2083"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4C28AB5B"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F42A7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были планы формирования десяти эскадрилий по 19 машин в каждой. Они должны были использоваться для обеспечения ПВО важнейших объектов. Реально же размах использования этих самолётов оказался куда меньше. Этитм мотивировался заказ 200 истребителей ИП-1 (12005).</w:t>
      </w:r>
    </w:p>
    <w:p w14:paraId="4B12C4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A15CE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среди учебных машин было всего три И-5, а ещё восемь находились в учебной бригаде Военно-воздушной академии. В октябре 1935 г. появился приказ начальника УВВС о передаче десяти И-5 во 2-ю школу лётчиков в Борисоглебске. Машины брали из числа старых и изношенных, сдававшихся строевыми частями. Реально лишь в 1936 г. "пятерками" стали укомплектовывать Борисоглебскую и Качинс- кую школы, а затем и другие, готовившие лётчиков-истребителей. Там они сменили И-3 и И-4.</w:t>
      </w:r>
    </w:p>
    <w:p w14:paraId="218EF5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 стал ступенькой для перехода с чисто учебных машин на боевые И-15 и И-16. Например, в Борисоглебской школе в 1937 г. перед полётами на УТИ-4 (двухместном варианте И-16) курсанты, освоившие У-2, обязательно тренировались на И-5. В конце 1930-х гг. они имелись в Ульяновской, Оренбургской, Одесской школах. Самые потрёпанные, со снятым с крыльев полотном, использовались для тренировки курсантов в рулении по аэродрому.</w:t>
      </w:r>
    </w:p>
    <w:p w14:paraId="046D50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Располагали И-5 и авиационно-технические школы, готовившие механиков. Например, школа в Иркутске имела шесть таких машин, служивших нелетающими учебными пособиями.</w:t>
      </w:r>
    </w:p>
    <w:p w14:paraId="70C264E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Самолёты ранних серий к тому времени были уже сильно изношены. Например, в июле 1936 г. командующий Ленинградским военным округом Б.М. Шапошников докладывал наркому К.Е. Ворошилову, что в 13-й эскадрилье осталось 14 истребителей на 43 лётчика, причём только три машины были исправны настолько, что им разрешалось удаляться от аэродрома (11997).</w:t>
      </w:r>
    </w:p>
    <w:p w14:paraId="6CA5B8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1634F2C" w14:textId="77777777" w:rsidR="00F06DD2" w:rsidRPr="00142305" w:rsidRDefault="00F06DD2" w:rsidP="00F06DD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декабре 1933 г. был издан приказ РВС СССР об итогах боевой подго</w:t>
      </w:r>
      <w:r w:rsidRPr="00142305">
        <w:rPr>
          <w:rFonts w:ascii="Times New Roman" w:hAnsi="Times New Roman"/>
          <w:color w:val="0070C0"/>
          <w:sz w:val="16"/>
          <w:szCs w:val="16"/>
        </w:rPr>
        <w:softHyphen/>
        <w:t>товки РККА за 1933 г. и задачах на 1934 г. В качестве недостатков по ВВС Нарко</w:t>
      </w:r>
      <w:r w:rsidRPr="00142305">
        <w:rPr>
          <w:rFonts w:ascii="Times New Roman" w:hAnsi="Times New Roman"/>
          <w:color w:val="0070C0"/>
          <w:sz w:val="16"/>
          <w:szCs w:val="16"/>
        </w:rPr>
        <w:softHyphen/>
        <w:t>мом отмечалось, что слаба штурманская служба, не достигнута должная безопас</w:t>
      </w:r>
      <w:r w:rsidRPr="00142305">
        <w:rPr>
          <w:rFonts w:ascii="Times New Roman" w:hAnsi="Times New Roman"/>
          <w:color w:val="0070C0"/>
          <w:sz w:val="16"/>
          <w:szCs w:val="16"/>
        </w:rPr>
        <w:softHyphen/>
        <w:t>ность полетов и не обеспечены нормальные условия для боевой подготовки ар</w:t>
      </w:r>
      <w:r w:rsidRPr="00142305">
        <w:rPr>
          <w:rFonts w:ascii="Times New Roman" w:hAnsi="Times New Roman"/>
          <w:color w:val="0070C0"/>
          <w:sz w:val="16"/>
          <w:szCs w:val="16"/>
        </w:rPr>
        <w:softHyphen/>
        <w:t>тиллерийской авиации. Задачи ВВС на 1934 г. ставились дифференцированно по каждому роду авиации .</w:t>
      </w:r>
    </w:p>
    <w:p w14:paraId="79E11649" w14:textId="77777777" w:rsidR="00F06DD2" w:rsidRPr="00142305" w:rsidRDefault="00F06DD2" w:rsidP="00F06DD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Особое внимание было уделено авиадесантному делу, которое продолжало находиться в ведении Управления ВВС РККА. В приказе Наркома было указано, что авиадесантные войска развиваются недостаточно динамично.</w:t>
      </w:r>
    </w:p>
    <w:p w14:paraId="4B20DD6A" w14:textId="77777777" w:rsidR="00F06DD2" w:rsidRPr="00142305" w:rsidRDefault="00F06DD2" w:rsidP="00F06DD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Нарком потребовал, чтобы в 1934 г. на совместные занятия с войсками, флотом и ПВО, а также на выполнение десантных операций в ВВС был норми</w:t>
      </w:r>
      <w:r w:rsidRPr="00142305">
        <w:rPr>
          <w:rFonts w:ascii="Times New Roman" w:hAnsi="Times New Roman"/>
          <w:color w:val="0070C0"/>
          <w:sz w:val="16"/>
          <w:szCs w:val="16"/>
        </w:rPr>
        <w:softHyphen/>
        <w:t>рован летно-технический ресурс из расчета:</w:t>
      </w:r>
    </w:p>
    <w:p w14:paraId="46DAFEC1" w14:textId="77777777" w:rsidR="00F06DD2" w:rsidRPr="00142305" w:rsidRDefault="00F06DD2" w:rsidP="00F06DD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штурмовой авиации - 40%;</w:t>
      </w:r>
    </w:p>
    <w:p w14:paraId="5A6C0462" w14:textId="77777777" w:rsidR="00F06DD2" w:rsidRPr="00142305" w:rsidRDefault="00F06DD2" w:rsidP="00F06DD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морской боевой авиации - 30%;</w:t>
      </w:r>
    </w:p>
    <w:p w14:paraId="7CF10E5F" w14:textId="77777777" w:rsidR="00F06DD2" w:rsidRPr="00142305" w:rsidRDefault="00F06DD2" w:rsidP="00F06DD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легкобомбардировочной авиации - 10%;</w:t>
      </w:r>
    </w:p>
    <w:p w14:paraId="46C14C7F" w14:textId="77777777" w:rsidR="00F06DD2" w:rsidRPr="00142305" w:rsidRDefault="00F06DD2" w:rsidP="00F06DD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тяжелой бомбардировочной авиации - 10%;</w:t>
      </w:r>
    </w:p>
    <w:p w14:paraId="00A072E4" w14:textId="77777777" w:rsidR="00F06DD2" w:rsidRPr="00142305" w:rsidRDefault="00F06DD2" w:rsidP="00F06DD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истребительной авиации - 15%</w:t>
      </w:r>
    </w:p>
    <w:p w14:paraId="266444A2" w14:textId="77777777" w:rsidR="00F06DD2" w:rsidRPr="00142305" w:rsidRDefault="00F06DD2" w:rsidP="00F06DD2">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истребительной авиации ПВО - 35% (24968).</w:t>
      </w:r>
    </w:p>
    <w:p w14:paraId="6FA9D058" w14:textId="77777777" w:rsidR="00F06DD2" w:rsidRPr="00142305" w:rsidRDefault="00F06DD2" w:rsidP="00F06DD2">
      <w:pPr>
        <w:spacing w:after="0" w:line="240" w:lineRule="auto"/>
        <w:jc w:val="both"/>
        <w:rPr>
          <w:rFonts w:ascii="Times New Roman" w:hAnsi="Times New Roman"/>
          <w:color w:val="0070C0"/>
          <w:sz w:val="16"/>
          <w:szCs w:val="16"/>
        </w:rPr>
      </w:pPr>
    </w:p>
    <w:p w14:paraId="2CB243D1"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крайне обострилась обстановка на китайской границе, где произошел инцидент в Синьцзяне: генерал Ма-Чжуин, подстрекаемый япон</w:t>
      </w:r>
      <w:r w:rsidRPr="0044524F">
        <w:rPr>
          <w:rFonts w:ascii="Times New Roman" w:hAnsi="Times New Roman"/>
          <w:color w:val="000000" w:themeColor="text1"/>
          <w:sz w:val="16"/>
          <w:szCs w:val="16"/>
        </w:rPr>
        <w:softHyphen/>
        <w:t>скими милитаристами, поднял мятеж против законного провинциального пра</w:t>
      </w:r>
      <w:r w:rsidRPr="0044524F">
        <w:rPr>
          <w:rFonts w:ascii="Times New Roman" w:hAnsi="Times New Roman"/>
          <w:color w:val="000000" w:themeColor="text1"/>
          <w:sz w:val="16"/>
          <w:szCs w:val="16"/>
        </w:rPr>
        <w:softHyphen/>
        <w:t>вительства. Его войска окружили столицу г. Урумчи и штурмовали крепост</w:t>
      </w:r>
      <w:r w:rsidRPr="0044524F">
        <w:rPr>
          <w:rFonts w:ascii="Times New Roman" w:hAnsi="Times New Roman"/>
          <w:color w:val="000000" w:themeColor="text1"/>
          <w:sz w:val="16"/>
          <w:szCs w:val="16"/>
        </w:rPr>
        <w:softHyphen/>
        <w:t>ные стены. Губернатор провинции Шень Дубань обратился за помощью к на</w:t>
      </w:r>
      <w:r w:rsidRPr="0044524F">
        <w:rPr>
          <w:rFonts w:ascii="Times New Roman" w:hAnsi="Times New Roman"/>
          <w:color w:val="000000" w:themeColor="text1"/>
          <w:sz w:val="16"/>
          <w:szCs w:val="16"/>
        </w:rPr>
        <w:softHyphen/>
        <w:t>шей стране.</w:t>
      </w:r>
    </w:p>
    <w:p w14:paraId="4DE065B1"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аэродроме Вахты была сосредоточена авиационная группа погранвойск Среднеазиатского региона в количестве четырех авиаотрядов. Командиром этой авиационной группы был назначен командир 4-го отдельного авиацион</w:t>
      </w:r>
      <w:r w:rsidRPr="0044524F">
        <w:rPr>
          <w:rFonts w:ascii="Times New Roman" w:hAnsi="Times New Roman"/>
          <w:color w:val="000000" w:themeColor="text1"/>
          <w:sz w:val="16"/>
          <w:szCs w:val="16"/>
        </w:rPr>
        <w:softHyphen/>
        <w:t>ного отряда (г. Акмолинск) К. Шишков. В ночь на 25 декабря личный состав звена самолетов Р-5 был поднят по тревоге.</w:t>
      </w:r>
    </w:p>
    <w:p w14:paraId="34AA1D0E"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рассвете первым взлетел К. Шишков, за ним стартовали В. Полынин и С. Антоненок. Тяжело груженные машины оторвались от земли и легли на за</w:t>
      </w:r>
      <w:r w:rsidRPr="0044524F">
        <w:rPr>
          <w:rFonts w:ascii="Times New Roman" w:hAnsi="Times New Roman"/>
          <w:color w:val="000000" w:themeColor="text1"/>
          <w:sz w:val="16"/>
          <w:szCs w:val="16"/>
        </w:rPr>
        <w:softHyphen/>
        <w:t>данный курс. Подлетая к Урумчи, экипажи увидели у крепостной стены, опоясывающей город, множество людей. Это мятежники штурмовали кре</w:t>
      </w:r>
      <w:r w:rsidRPr="0044524F">
        <w:rPr>
          <w:rFonts w:ascii="Times New Roman" w:hAnsi="Times New Roman"/>
          <w:color w:val="000000" w:themeColor="text1"/>
          <w:sz w:val="16"/>
          <w:szCs w:val="16"/>
        </w:rPr>
        <w:softHyphen/>
        <w:t>пость, позади пехоты гарцевали конники. Тускло поблескивали частые вспышки выстрелов. До сих пор К. Шишкову и его ведомым экипажам прихо</w:t>
      </w:r>
      <w:r w:rsidRPr="0044524F">
        <w:rPr>
          <w:rFonts w:ascii="Times New Roman" w:hAnsi="Times New Roman"/>
          <w:color w:val="000000" w:themeColor="text1"/>
          <w:sz w:val="16"/>
          <w:szCs w:val="16"/>
        </w:rPr>
        <w:softHyphen/>
        <w:t>дилось бомбить только на полигонах, сейчас же внизу была реальная цель. Снизившись до высоты 250 м экипажи сбросили бомбы в гущу мятежников. На выходе из атаки открывали огонь из пулеметов. На третьем заходе было прекрасно видно, как толпа нападающих отхлынула от стен и бросилась врас</w:t>
      </w:r>
      <w:r w:rsidRPr="0044524F">
        <w:rPr>
          <w:rFonts w:ascii="Times New Roman" w:hAnsi="Times New Roman"/>
          <w:color w:val="000000" w:themeColor="text1"/>
          <w:sz w:val="16"/>
          <w:szCs w:val="16"/>
        </w:rPr>
        <w:softHyphen/>
        <w:t>сыпную. Обогнав бегущих пеших бандитов, помчалась в горы и конница.</w:t>
      </w:r>
    </w:p>
    <w:p w14:paraId="7D296F2F"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Благодаря своевременной помощи летчиков удалось не только снять бло</w:t>
      </w:r>
      <w:r w:rsidRPr="0044524F">
        <w:rPr>
          <w:rFonts w:ascii="Times New Roman" w:hAnsi="Times New Roman"/>
          <w:color w:val="000000" w:themeColor="text1"/>
          <w:sz w:val="16"/>
          <w:szCs w:val="16"/>
        </w:rPr>
        <w:softHyphen/>
        <w:t>каду крепости и города, но и отбросить мятежников далеко в горы (12299).</w:t>
      </w:r>
    </w:p>
    <w:p w14:paraId="399B5AC1" w14:textId="77777777" w:rsidR="000904A1" w:rsidRPr="0044524F" w:rsidRDefault="000904A1" w:rsidP="009654CF">
      <w:pPr>
        <w:spacing w:after="0" w:line="240" w:lineRule="auto"/>
        <w:jc w:val="both"/>
        <w:rPr>
          <w:rFonts w:ascii="Times New Roman" w:hAnsi="Times New Roman"/>
          <w:color w:val="000000" w:themeColor="text1"/>
          <w:sz w:val="16"/>
          <w:szCs w:val="16"/>
        </w:rPr>
      </w:pPr>
    </w:p>
    <w:p w14:paraId="17F5818C"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40778CC2"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55FD1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декабрь 1933 года (с августа 1932) по закону 7 августа1932 г. ("о трех колосках") было осуждено более 125 тыс.человек, из которых 5.400 приговорено к смертной казни (10687).</w:t>
      </w:r>
    </w:p>
    <w:p w14:paraId="07F34D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BEA1823"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7EACA5EB"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06612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ЦК ВКП(б) признал возможным вступление в Лигу наций и вскоре получил приглашение (226,427).</w:t>
      </w:r>
    </w:p>
    <w:p w14:paraId="26EDC6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AEADAE0" w14:textId="77777777" w:rsidR="002E2083" w:rsidRPr="0044524F" w:rsidRDefault="002E2083" w:rsidP="009654C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была подготовлена Справка ИНО НКТП о привлечении иностранной технической помощи в тяжёлую промышленность СССР, согласно которой:</w:t>
      </w:r>
    </w:p>
    <w:p w14:paraId="6EDB6D8F" w14:textId="77777777" w:rsidR="002E2083" w:rsidRPr="0044524F" w:rsidRDefault="002E2083" w:rsidP="009654C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июле 1933 г. из 1989 иноспециалистов, работавших в тяжёлой промышленности СССР, в проектирующих организациях (включая и инженеров) трудилось 136 чел., т.е. 7% (11596).</w:t>
      </w:r>
    </w:p>
    <w:p w14:paraId="7306EAE7" w14:textId="77777777" w:rsidR="002E2083" w:rsidRPr="0044524F" w:rsidRDefault="002E2083" w:rsidP="009654CF">
      <w:pPr>
        <w:tabs>
          <w:tab w:val="left" w:pos="720"/>
        </w:tabs>
        <w:autoSpaceDE w:val="0"/>
        <w:autoSpaceDN w:val="0"/>
        <w:adjustRightInd w:val="0"/>
        <w:spacing w:after="0" w:line="240" w:lineRule="auto"/>
        <w:jc w:val="both"/>
        <w:rPr>
          <w:rFonts w:ascii="Times New Roman" w:hAnsi="Times New Roman"/>
          <w:color w:val="000000" w:themeColor="text1"/>
          <w:sz w:val="16"/>
          <w:szCs w:val="16"/>
        </w:rPr>
      </w:pPr>
    </w:p>
    <w:p w14:paraId="6B6E85BE"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A0DC489"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D396E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декабре 1933 г. усташи произвели не удавшуюся попытку убить короля Александра в Загребе (3871).</w:t>
      </w:r>
    </w:p>
    <w:p w14:paraId="2F5696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7DC1937"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1C01E35"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253BF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последние дни 1933 по решению ГУАП из состава ЦКБ были выведены бригада морских самолетов Г.М.Бериева и группа конструкторов бригады N 3 во главе с В.А.Чижевским, на основе которой было вновь организовано БОК (24,81).</w:t>
      </w:r>
    </w:p>
    <w:p w14:paraId="61DA1F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Дело в том, что только три первых бригады вели проектирование и постройку заданного самолета от предэскизного проекта до передачи опытного образца в серийное производство. Четвертая, пятая и шестая бригады были централизованными и делили свои силы между тремя первыми бригадами, осуществляя в их интересах соответствующего вооружения, оборудования и т.п. На практике сотрудники этих бригад стали постоянными работниками первых трех бригад, хотя формально оставались в составе своих специальных бригад (24,86).\</w:t>
      </w:r>
    </w:p>
    <w:p w14:paraId="07E7142B"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6FD6E31"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3792CF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6B9410F"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 в ходе работы над проектом ББ-2 Ильюшин, ознакомившись с проектными данными и конструкцией самолета АНТ-40 разработки КОСОС ЦАГИ (впоследствии принят на вооружение под обозначением СБ) принимает решение о переделке своего проекта ББ в дальний бомбардировщик, не желая дублировать работу КОСО ЦАГИ по самолету АНТ-40 (СБ) и видя необходимость в таком самолете и резервы разработанной им при помощи Н.Н. Поликарпова конструкции. Проект включается в план ЦКБ под номером «26» (по др. данным ЦКБ-26 сразу задумывался как чисто экспериментальный самолет, а бомбардировщику ДБ-3 было присвоено заводское обозначение ЦКБ-30) (23554).</w:t>
      </w:r>
    </w:p>
    <w:p w14:paraId="5C0196AB" w14:textId="77777777" w:rsidR="00B3576E" w:rsidRPr="0044524F" w:rsidRDefault="00B3576E" w:rsidP="009654CF">
      <w:pPr>
        <w:spacing w:after="0" w:line="240" w:lineRule="auto"/>
        <w:jc w:val="both"/>
        <w:rPr>
          <w:rFonts w:ascii="Times New Roman" w:hAnsi="Times New Roman"/>
          <w:color w:val="000000" w:themeColor="text1"/>
          <w:sz w:val="16"/>
          <w:szCs w:val="16"/>
        </w:rPr>
      </w:pPr>
    </w:p>
    <w:p w14:paraId="43FDFD21"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опыт самостоятельной конструкторской работы над проектами ЦКБ-26 и ЦКБ-30 позволил Ильюшину четко определить проблемы, препятствующие максимально эффективной работе ЦКБ-39. На этом этапе он сосредоточен на решении двух важнейших из них:</w:t>
      </w:r>
    </w:p>
    <w:p w14:paraId="01E4C11F"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чрезмерная многочисленность коллектива ухудшает качество взаимодействия между отдельными его работниками на всех уровнях и затрудняет его управляемость из-за длинных административных цепочек;</w:t>
      </w:r>
    </w:p>
    <w:p w14:paraId="3FD1657A"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обеспечивающие работу всех основных бригад вспомогательные подразделения считаются второстепенными, не оснащены и не снабжаются должным образом, что затрудняет их работу и сказывается на работе основных бригад.</w:t>
      </w:r>
    </w:p>
    <w:p w14:paraId="5F2EE165"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из создавшегося положения Ильюшин как начальник ЦКБ-39 увидел в следующем:</w:t>
      </w:r>
    </w:p>
    <w:p w14:paraId="2489DC00"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разукрупнение коллектива путем выделения бригад в самостоятельные ОКБ в случае, если у них в работе уже есть такие проекты, которые могут оправдать их существование в таком качестве;</w:t>
      </w:r>
    </w:p>
    <w:p w14:paraId="57C9AC96"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назначение в выделяемых ОКБ одного Главного конструктора, определяющего их техническую политику и отвечающего за ее результаты, а также создание в них самостоятельных обеспечивающих служб;</w:t>
      </w:r>
    </w:p>
    <w:p w14:paraId="6EEEE65C"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создание некоторым самостоятельным ОКБ, выполняющим специфические работы, соответствующих условий – в этом особо нуждались бригады высотных самолетов Чижевского (по мнению Ильюшина, сам Чижевский так не считал) и Бериева (ему нужна была близкорасположенная морская испытательная база, что в Подмосковье было невозможно).</w:t>
      </w:r>
    </w:p>
    <w:p w14:paraId="5E083887"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в докладе о состоянии работ бригады высотных самолетов ее начальник Чижевский признавал многократный перенос сроков готовности на более поздние и опоздание по многим плановым темам:</w:t>
      </w:r>
    </w:p>
    <w:p w14:paraId="7C6D7C77"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по ЦКБ-2 сроки устанавливались последовательно на 26 сентября, 23 ноября, 25 декабря 1933 г.; 1 мая, 15 июня 1934 года – опоздание 8 месяцев;</w:t>
      </w:r>
    </w:p>
    <w:p w14:paraId="0F4CD0E0"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ЦКБ-5 – на 15 августа, 20 ноября 1933 года; 1 марта, 1 апреля, 1 мая 1934 года – опоздание 7,5 месяцев;</w:t>
      </w:r>
    </w:p>
    <w:p w14:paraId="10F5EDBB"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ЦКБ-9 – на 9 декабря 1933 года; ноябрь 1934 года – опоздание 11 месяцев;</w:t>
      </w:r>
    </w:p>
    <w:p w14:paraId="45ADD5EE"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ЦКБ-10 – на 1 апреля 1934 года; 20 мая 1934 года – опоздание 1,5 месяца.</w:t>
      </w:r>
    </w:p>
    <w:p w14:paraId="38F4F1BD"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Отказ Чижевского от собственной производственной базы мог объясняться тем, что в этом качестве ему предлагался завод №35, который еще надо было дооснащать специальным оборудованием, и находился он не в столичной Москве, а в Смоленске в провинции. Тем не менее, решение о переводе группы Чижевского на завод №35 вступило в силу и самолет ЦКБ-2 (БОК-1), как и остальные свои проекты, она уже заканчивала там.</w:t>
      </w:r>
    </w:p>
    <w:p w14:paraId="27EAB72E"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улучшения работы ЦКБ использовался и зарубежный опыт, несмотря на разницу в системах хозяйствования и собственности предприятий.</w:t>
      </w:r>
    </w:p>
    <w:p w14:paraId="7282192E"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Несмотря на внимание, уделявшееся в 1932…1933 гг. штурмовикам, бомбардировщикам и экспериментальным самолетам, основной задачей ЦКБ руководство авиапромышленности и ВВС по-прежнему считало разработку истребителей (23554).</w:t>
      </w:r>
    </w:p>
    <w:p w14:paraId="040CDFC4" w14:textId="77777777" w:rsidR="00B3576E" w:rsidRPr="0044524F" w:rsidRDefault="00B3576E" w:rsidP="009654CF">
      <w:pPr>
        <w:spacing w:after="0" w:line="240" w:lineRule="auto"/>
        <w:jc w:val="both"/>
        <w:rPr>
          <w:rFonts w:ascii="Times New Roman" w:hAnsi="Times New Roman"/>
          <w:color w:val="000000" w:themeColor="text1"/>
          <w:sz w:val="16"/>
          <w:szCs w:val="16"/>
        </w:rPr>
      </w:pPr>
    </w:p>
    <w:p w14:paraId="5ABEA7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инициативная группа ведущих ученых ВВА разработала проект ДБ для замены ТБ-3 и потом он стал ДБА (2203,12).</w:t>
      </w:r>
    </w:p>
    <w:p w14:paraId="5F1C1E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BE7B30B" w14:textId="77777777" w:rsidR="00D51FA5" w:rsidRPr="00142305" w:rsidRDefault="00D51FA5" w:rsidP="00D51F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года прекратили постройку Г-1. Г-1, проектировавшийся в Военно-воздушной академии, — огромная машина, способная перевозить средние танки. В процессе постройки опытного образца столкнулись с недостаточной надежностью мотоустановок. Согласно проекту; каждая из них состояла из двух двигателей, стоящих как бы "навстречу" друг другу. Через угловой редуктор и длинный вал они должны были вращать винт, установленный на пилоне над крылом. Таких установок на самолете предусматривали шесть. Довести конический редуктор до требуемой надежности так и не удалось.</w:t>
      </w:r>
    </w:p>
    <w:p w14:paraId="72CC6C02" w14:textId="77777777" w:rsidR="00D51FA5" w:rsidRPr="00142305" w:rsidRDefault="00D51FA5" w:rsidP="00D51F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тому времени началось проектирование "транспортного универсального самолета" ТС. Его вела группа специалистов во главе с А. Можаевым. Машина отличалась рядом интересных конструкторских решений. В частности, грузовой отсек и "десантная платформа" для быстроты разгрузки просто отсоединялись от самолета. Аналогичным образом из крыла выгружались грузовые отсеки-контейнеры (25356).</w:t>
      </w:r>
    </w:p>
    <w:p w14:paraId="27587FB7" w14:textId="77777777" w:rsidR="00D51FA5" w:rsidRPr="00142305" w:rsidRDefault="00D51FA5" w:rsidP="00D51FA5">
      <w:pPr>
        <w:spacing w:after="0" w:line="240" w:lineRule="auto"/>
        <w:jc w:val="both"/>
        <w:rPr>
          <w:rFonts w:ascii="Times New Roman" w:hAnsi="Times New Roman"/>
          <w:color w:val="0070C0"/>
          <w:sz w:val="16"/>
          <w:szCs w:val="16"/>
        </w:rPr>
      </w:pPr>
    </w:p>
    <w:p w14:paraId="71E23162"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предположительно (документы пока не найдены) было принято окончателное решение о серийном выпуске самолетов АНТ—36, Задание на постройку 50 самолетов с моторами М—34Р получил завод №18 в Воронеже. Машинам предстояла военная служба, и аббревиатура РД расшифровывалась как «Разведчик дальний».</w:t>
      </w:r>
    </w:p>
    <w:p w14:paraId="0D8D5FA9"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Подготовительные работы на заводе начались еще в 1934 г. Коллективу, создан</w:t>
      </w:r>
      <w:r w:rsidRPr="0044524F">
        <w:rPr>
          <w:rFonts w:ascii="Times New Roman" w:hAnsi="Times New Roman"/>
          <w:color w:val="000000" w:themeColor="text1"/>
          <w:sz w:val="16"/>
          <w:szCs w:val="16"/>
        </w:rPr>
        <w:softHyphen/>
        <w:t>ному всего за два года до этого, пришлось осваивать клепку впотай тонких дюрале</w:t>
      </w:r>
      <w:r w:rsidRPr="0044524F">
        <w:rPr>
          <w:rFonts w:ascii="Times New Roman" w:hAnsi="Times New Roman"/>
          <w:color w:val="000000" w:themeColor="text1"/>
          <w:sz w:val="16"/>
          <w:szCs w:val="16"/>
        </w:rPr>
        <w:softHyphen/>
        <w:t>вых листов, научиться выпускать длинные сварные топливные баки вместо клепаных и т.д. В 1936 г., после постройки 14 машин, их выпуск прекратили — из-за слабого во</w:t>
      </w:r>
      <w:r w:rsidRPr="0044524F">
        <w:rPr>
          <w:rFonts w:ascii="Times New Roman" w:hAnsi="Times New Roman"/>
          <w:color w:val="000000" w:themeColor="text1"/>
          <w:sz w:val="16"/>
          <w:szCs w:val="16"/>
        </w:rPr>
        <w:softHyphen/>
        <w:t>оружения и небольшой скорости полета. Самолет перестал соответствовать требо</w:t>
      </w:r>
      <w:r w:rsidRPr="0044524F">
        <w:rPr>
          <w:rFonts w:ascii="Times New Roman" w:hAnsi="Times New Roman"/>
          <w:color w:val="000000" w:themeColor="text1"/>
          <w:sz w:val="16"/>
          <w:szCs w:val="16"/>
        </w:rPr>
        <w:softHyphen/>
        <w:t>ваниям военных.</w:t>
      </w:r>
    </w:p>
    <w:p w14:paraId="039B8EF8"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1940 г. РД видел стоящими на под</w:t>
      </w:r>
      <w:r w:rsidRPr="0044524F">
        <w:rPr>
          <w:rFonts w:ascii="Times New Roman" w:hAnsi="Times New Roman"/>
          <w:color w:val="000000" w:themeColor="text1"/>
          <w:sz w:val="16"/>
          <w:szCs w:val="16"/>
        </w:rPr>
        <w:softHyphen/>
        <w:t>московном аэродроме близ станции Крю</w:t>
      </w:r>
      <w:r w:rsidRPr="0044524F">
        <w:rPr>
          <w:rFonts w:ascii="Times New Roman" w:hAnsi="Times New Roman"/>
          <w:color w:val="000000" w:themeColor="text1"/>
          <w:sz w:val="16"/>
          <w:szCs w:val="16"/>
        </w:rPr>
        <w:softHyphen/>
        <w:t>ково летчик-инженер ВВС Ю.А. Антипов. Машины были покрыты камуфляжной окраской. Об их дальнейшей судьбе све</w:t>
      </w:r>
      <w:r w:rsidRPr="0044524F">
        <w:rPr>
          <w:rFonts w:ascii="Times New Roman" w:hAnsi="Times New Roman"/>
          <w:color w:val="000000" w:themeColor="text1"/>
          <w:sz w:val="16"/>
          <w:szCs w:val="16"/>
        </w:rPr>
        <w:softHyphen/>
        <w:t>дений пока нет (23474).</w:t>
      </w:r>
    </w:p>
    <w:p w14:paraId="01C878E5" w14:textId="77777777" w:rsidR="00B3576E" w:rsidRPr="0044524F" w:rsidRDefault="00B3576E" w:rsidP="009654CF">
      <w:pPr>
        <w:spacing w:after="0" w:line="240" w:lineRule="auto"/>
        <w:jc w:val="both"/>
        <w:rPr>
          <w:rFonts w:ascii="Times New Roman" w:hAnsi="Times New Roman"/>
          <w:color w:val="000000" w:themeColor="text1"/>
          <w:sz w:val="16"/>
          <w:szCs w:val="16"/>
        </w:rPr>
      </w:pPr>
    </w:p>
    <w:p w14:paraId="54D960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при формировании плана опытно-конструкторских работ по самолетостроению на 1934-35 годы А.Н. Туполев внес предложение построить отечественный скоростной бомбардировщик. Правда, первые наметки Туполева были довольно скромны: скорость 300-320 км/ч (а В-10 имел 340 км/ч). В итоге уже в первый вариант плана заложили два новых двухмоторных "бомбардировщика ближнего действия". Создание одного из них, цельнометаллического, поручили КОСОС ЦАГИ, руководимому Туполевым. Работу над вторым самолетом, смешанной конструкции, задали заводу № 39 - фактически базировавшемуся там Центральному конструкторскому бюро (ЦКБ). Начальником ЦКБ в то время являлся С.В. Ильюшин. Он тогда был более известен как высокопоставленный администратор, нежели как конструктор. Его конструкторский опыт сводился лишь к созданию нескольких учебных и спортивных планеров. Однако Ильюшин рвался к самостоятельной работе по проектированию боевых самолетов. Уже в феврале 1934 г. с согласия начальника Главного управления авиационной промышленности (ГУАП) П.И. Баранова в рамках ЦКБ он создал небольшую собственную группу (12021).</w:t>
      </w:r>
    </w:p>
    <w:p w14:paraId="324C62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A796BED"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w:t>
      </w:r>
      <w:r w:rsidRPr="0044524F">
        <w:rPr>
          <w:rFonts w:ascii="Times New Roman" w:hAnsi="Times New Roman"/>
          <w:color w:val="000000" w:themeColor="text1"/>
          <w:sz w:val="16"/>
          <w:szCs w:val="16"/>
        </w:rPr>
        <w:softHyphen/>
        <w:t>це 1933 г. в ОКБ А.Н.Т. были сделаны первые прикидки по АНТ-40. Для решения сложной задачи Туполев 1 января 1934 г. создал в системе КОСОС подразделение по проектирова</w:t>
      </w:r>
      <w:r w:rsidRPr="0044524F">
        <w:rPr>
          <w:rFonts w:ascii="Times New Roman" w:hAnsi="Times New Roman"/>
          <w:color w:val="000000" w:themeColor="text1"/>
          <w:sz w:val="16"/>
          <w:szCs w:val="16"/>
        </w:rPr>
        <w:softHyphen/>
        <w:t>нию скоростных самолетов — бригаду №5. Ее руководителем стал А.А. Архан</w:t>
      </w:r>
      <w:r w:rsidRPr="0044524F">
        <w:rPr>
          <w:rFonts w:ascii="Times New Roman" w:hAnsi="Times New Roman"/>
          <w:color w:val="000000" w:themeColor="text1"/>
          <w:sz w:val="16"/>
          <w:szCs w:val="16"/>
        </w:rPr>
        <w:softHyphen/>
        <w:t>гельский, его заместителем — И.С. Ле</w:t>
      </w:r>
      <w:r w:rsidRPr="0044524F">
        <w:rPr>
          <w:rFonts w:ascii="Times New Roman" w:hAnsi="Times New Roman"/>
          <w:color w:val="000000" w:themeColor="text1"/>
          <w:sz w:val="16"/>
          <w:szCs w:val="16"/>
        </w:rPr>
        <w:softHyphen/>
        <w:t>бедев. Ведущим инженером по самолету — он шел под заводским шифром АНТ—40 — назначили А.А. Евтеева. Кос</w:t>
      </w:r>
      <w:r w:rsidRPr="0044524F">
        <w:rPr>
          <w:rFonts w:ascii="Times New Roman" w:hAnsi="Times New Roman"/>
          <w:color w:val="000000" w:themeColor="text1"/>
          <w:sz w:val="16"/>
          <w:szCs w:val="16"/>
        </w:rPr>
        <w:softHyphen/>
        <w:t>тяк бригады состоял из опытных инжене</w:t>
      </w:r>
      <w:r w:rsidRPr="0044524F">
        <w:rPr>
          <w:rFonts w:ascii="Times New Roman" w:hAnsi="Times New Roman"/>
          <w:color w:val="000000" w:themeColor="text1"/>
          <w:sz w:val="16"/>
          <w:szCs w:val="16"/>
        </w:rPr>
        <w:softHyphen/>
        <w:t>ров: Н.А. Громашева, Е.Ф. Забелкина, Г.И. Зальцмана, Н.И. Зубова, К.П. Свеш</w:t>
      </w:r>
      <w:r w:rsidRPr="0044524F">
        <w:rPr>
          <w:rFonts w:ascii="Times New Roman" w:hAnsi="Times New Roman"/>
          <w:color w:val="000000" w:themeColor="text1"/>
          <w:sz w:val="16"/>
          <w:szCs w:val="16"/>
        </w:rPr>
        <w:softHyphen/>
      </w:r>
    </w:p>
    <w:p w14:paraId="4F2E49C0"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никова, Л.Г. Смирнова, И.П. Толстых. В работах по скоростному бомбардиров-</w:t>
      </w:r>
      <w:r w:rsidRPr="0044524F">
        <w:rPr>
          <w:rFonts w:ascii="Times New Roman" w:hAnsi="Times New Roman"/>
          <w:color w:val="000000" w:themeColor="text1"/>
          <w:sz w:val="16"/>
          <w:szCs w:val="16"/>
        </w:rPr>
        <w:tab/>
        <w:t>СБ</w:t>
      </w:r>
    </w:p>
    <w:p w14:paraId="3DD01EBF"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щику (СБ) участвовали и другие подраз</w:t>
      </w:r>
      <w:r w:rsidRPr="0044524F">
        <w:rPr>
          <w:rFonts w:ascii="Times New Roman" w:hAnsi="Times New Roman"/>
          <w:color w:val="000000" w:themeColor="text1"/>
          <w:sz w:val="16"/>
          <w:szCs w:val="16"/>
        </w:rPr>
        <w:softHyphen/>
        <w:t>деления КОСОС. Например, бригада</w:t>
      </w:r>
    </w:p>
    <w:p w14:paraId="7438509D"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В.М. Петлякова проектировала крыло и управление элеронами. Проектирова</w:t>
      </w:r>
      <w:r w:rsidRPr="0044524F">
        <w:rPr>
          <w:rFonts w:ascii="Times New Roman" w:hAnsi="Times New Roman"/>
          <w:color w:val="000000" w:themeColor="text1"/>
          <w:sz w:val="16"/>
          <w:szCs w:val="16"/>
        </w:rPr>
        <w:softHyphen/>
        <w:t>нию машины с необычайно высокими ЛТХ предшествовал большой объем тео</w:t>
      </w:r>
      <w:r w:rsidRPr="0044524F">
        <w:rPr>
          <w:rFonts w:ascii="Times New Roman" w:hAnsi="Times New Roman"/>
          <w:color w:val="000000" w:themeColor="text1"/>
          <w:sz w:val="16"/>
          <w:szCs w:val="16"/>
        </w:rPr>
        <w:softHyphen/>
        <w:t>ретических и экспериментальных работ, к которым был привлечен ЦАГИ.</w:t>
      </w:r>
    </w:p>
    <w:p w14:paraId="2F797EF6"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Аэродинамику курировал А.К. Мар-</w:t>
      </w:r>
    </w:p>
    <w:p w14:paraId="63087ACF"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самолета вела бригада А.А. Архангельского.</w:t>
      </w:r>
    </w:p>
    <w:p w14:paraId="575C3010"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экземпляр самолета АНТ—40 совершил свой первый полет 7 октября 1934 года (23474).</w:t>
      </w:r>
    </w:p>
    <w:p w14:paraId="06ACBFFD" w14:textId="77777777" w:rsidR="00B3576E" w:rsidRPr="0044524F" w:rsidRDefault="00B3576E" w:rsidP="009654CF">
      <w:pPr>
        <w:spacing w:after="0" w:line="240" w:lineRule="auto"/>
        <w:jc w:val="both"/>
        <w:rPr>
          <w:rFonts w:ascii="Times New Roman" w:hAnsi="Times New Roman"/>
          <w:color w:val="000000" w:themeColor="text1"/>
          <w:sz w:val="16"/>
          <w:szCs w:val="16"/>
        </w:rPr>
      </w:pPr>
    </w:p>
    <w:p w14:paraId="717A07B9" w14:textId="77777777" w:rsidR="00EB7484" w:rsidRPr="00142305" w:rsidRDefault="00EB7484" w:rsidP="00EB7484">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конца 1933 г., когда Туполев делал ещё только первые намётки по самому скоростному бомбардиров</w:t>
      </w:r>
      <w:r w:rsidRPr="00142305">
        <w:rPr>
          <w:rFonts w:ascii="Times New Roman" w:hAnsi="Times New Roman"/>
          <w:color w:val="0070C0"/>
          <w:sz w:val="16"/>
          <w:szCs w:val="16"/>
        </w:rPr>
        <w:softHyphen/>
        <w:t>щику СБ, в документах встречаются первые упоминания о пассажирской машине на базе СБ (АНТ-40). «Пассажирский вариант СБ» был заложен в план опытного самолётостроения, подготов</w:t>
      </w:r>
      <w:r w:rsidRPr="00142305">
        <w:rPr>
          <w:rFonts w:ascii="Times New Roman" w:hAnsi="Times New Roman"/>
          <w:color w:val="0070C0"/>
          <w:sz w:val="16"/>
          <w:szCs w:val="16"/>
        </w:rPr>
        <w:softHyphen/>
        <w:t>ленный в декабре 1933 года. На этом этапе намеревались полностью использовать крыло, оперение, мотоустановку и шасси бомбардировщика, заменив его очень узкий фюзеляж новым, рассчитанным на размещение 10-12 пассажиров. С моторами ясности не было, поскольку этот вопрос ещё не решили и для базового АНТ-40. Исходно рассчитывали на пару американских звездообразных двигателей воздушного охлаждения Райт R-1820 «Циклон» (которые у нас собирались выпускать под обозначением М-25), потом предпочтение отдали французским V-образным Испано-Сюиза 12Ybrs (у нас – М-100) (25181).</w:t>
      </w:r>
    </w:p>
    <w:p w14:paraId="7187357F" w14:textId="77777777" w:rsidR="00EB7484" w:rsidRPr="00142305" w:rsidRDefault="00EB7484" w:rsidP="00EB7484">
      <w:pPr>
        <w:spacing w:after="0" w:line="240" w:lineRule="auto"/>
        <w:jc w:val="both"/>
        <w:rPr>
          <w:rFonts w:ascii="Times New Roman" w:hAnsi="Times New Roman"/>
          <w:color w:val="0070C0"/>
          <w:sz w:val="16"/>
          <w:szCs w:val="16"/>
        </w:rPr>
      </w:pPr>
    </w:p>
    <w:p w14:paraId="3776A631" w14:textId="6EE8FF0B"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два варианта ЦКБ-</w:t>
      </w:r>
      <w:r w:rsidR="00B3576E"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2 (И-16) - с РЦ Ф-2 и М-22 были готовы и оба были с капотами НАСА. На варианте с РЦ был трехлопастный винт Гамильтон Стандарт. Из-за зимы машины поставили на неубирающиеся лыжи (1808,4).</w:t>
      </w:r>
    </w:p>
    <w:p w14:paraId="5DD272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D74FF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 оба опытных экземпляра ЦКБ-12 были готовы. Внешне самолеты не имели отличий - оба лобастые толстячки с двигателями. прикрытыми цилиндрическими капотами NACA. Впрочем, отличить ЦКБ-12бис с американским двигателем можно было довольно легко - на нем стоял трехлопастной воздушный винт "Гамильтон Стандарт". Так как стояла середина зимы, машины установили на неубираемые лыжи, которые не позволяли определить максимальную скорость самолетов, однако давали возможность начать испытательные полеты незамедлительно (12015).</w:t>
      </w:r>
    </w:p>
    <w:p w14:paraId="3C76CE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6C08B4B" w14:textId="77777777" w:rsidR="00EB7484" w:rsidRPr="00142305" w:rsidRDefault="00EB7484" w:rsidP="00EB7484">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 концу 1933 г. оба опытных экземпляра ЦКБ-12 были готовы. Внешне самолеты не имели отличий — оба лобастые толстячки с двига</w:t>
      </w:r>
      <w:r w:rsidRPr="00142305">
        <w:rPr>
          <w:rStyle w:val="aff"/>
          <w:rFonts w:ascii="Times New Roman" w:hAnsi="Times New Roman" w:cs="Times New Roman"/>
          <w:color w:val="0070C0"/>
          <w:spacing w:val="0"/>
          <w:sz w:val="16"/>
          <w:szCs w:val="16"/>
        </w:rPr>
        <w:softHyphen/>
        <w:t>телями, прикрытыми цилиндрическими ка</w:t>
      </w:r>
      <w:r w:rsidRPr="00142305">
        <w:rPr>
          <w:rStyle w:val="aff"/>
          <w:rFonts w:ascii="Times New Roman" w:hAnsi="Times New Roman" w:cs="Times New Roman"/>
          <w:color w:val="0070C0"/>
          <w:spacing w:val="0"/>
          <w:sz w:val="16"/>
          <w:szCs w:val="16"/>
        </w:rPr>
        <w:softHyphen/>
        <w:t>потами ЫАСА. Впрочем, отличить ЦКБ-12 бис с американским двигателем можно бы</w:t>
      </w:r>
      <w:r w:rsidRPr="00142305">
        <w:rPr>
          <w:rStyle w:val="aff"/>
          <w:rFonts w:ascii="Times New Roman" w:hAnsi="Times New Roman" w:cs="Times New Roman"/>
          <w:color w:val="0070C0"/>
          <w:spacing w:val="0"/>
          <w:sz w:val="16"/>
          <w:szCs w:val="16"/>
        </w:rPr>
        <w:softHyphen/>
        <w:t>ло довольно легко - на нем стоял трехло</w:t>
      </w:r>
      <w:r w:rsidRPr="00142305">
        <w:rPr>
          <w:rStyle w:val="aff"/>
          <w:rFonts w:ascii="Times New Roman" w:hAnsi="Times New Roman" w:cs="Times New Roman"/>
          <w:color w:val="0070C0"/>
          <w:spacing w:val="0"/>
          <w:sz w:val="16"/>
          <w:szCs w:val="16"/>
        </w:rPr>
        <w:softHyphen/>
        <w:t>пастный воздушный винт «Гамильтон Стан</w:t>
      </w:r>
      <w:r w:rsidRPr="00142305">
        <w:rPr>
          <w:rStyle w:val="aff"/>
          <w:rFonts w:ascii="Times New Roman" w:hAnsi="Times New Roman" w:cs="Times New Roman"/>
          <w:color w:val="0070C0"/>
          <w:spacing w:val="0"/>
          <w:sz w:val="16"/>
          <w:szCs w:val="16"/>
        </w:rPr>
        <w:softHyphen/>
        <w:t>дарт». Так как стояла середина зимы, ма</w:t>
      </w:r>
      <w:r w:rsidRPr="00142305">
        <w:rPr>
          <w:rStyle w:val="aff"/>
          <w:rFonts w:ascii="Times New Roman" w:hAnsi="Times New Roman" w:cs="Times New Roman"/>
          <w:color w:val="0070C0"/>
          <w:spacing w:val="0"/>
          <w:sz w:val="16"/>
          <w:szCs w:val="16"/>
        </w:rPr>
        <w:softHyphen/>
        <w:t>шины установили на неубираемые лыжи, которые не позволяли определить макси</w:t>
      </w:r>
      <w:r w:rsidRPr="00142305">
        <w:rPr>
          <w:rStyle w:val="aff"/>
          <w:rFonts w:ascii="Times New Roman" w:hAnsi="Times New Roman" w:cs="Times New Roman"/>
          <w:color w:val="0070C0"/>
          <w:spacing w:val="0"/>
          <w:sz w:val="16"/>
          <w:szCs w:val="16"/>
        </w:rPr>
        <w:softHyphen/>
        <w:t>мальную скорость самолетов, однако дава</w:t>
      </w:r>
      <w:r w:rsidRPr="00142305">
        <w:rPr>
          <w:rStyle w:val="aff"/>
          <w:rFonts w:ascii="Times New Roman" w:hAnsi="Times New Roman" w:cs="Times New Roman"/>
          <w:color w:val="0070C0"/>
          <w:spacing w:val="0"/>
          <w:sz w:val="16"/>
          <w:szCs w:val="16"/>
        </w:rPr>
        <w:softHyphen/>
        <w:t>ли возможность начать испытательные по</w:t>
      </w:r>
      <w:r w:rsidRPr="00142305">
        <w:rPr>
          <w:rStyle w:val="aff"/>
          <w:rFonts w:ascii="Times New Roman" w:hAnsi="Times New Roman" w:cs="Times New Roman"/>
          <w:color w:val="0070C0"/>
          <w:spacing w:val="0"/>
          <w:sz w:val="16"/>
          <w:szCs w:val="16"/>
        </w:rPr>
        <w:softHyphen/>
        <w:t>леты незамедлительно (25415).</w:t>
      </w:r>
    </w:p>
    <w:p w14:paraId="13AC8BE6" w14:textId="77777777" w:rsidR="00EB7484" w:rsidRPr="00142305" w:rsidRDefault="00EB7484" w:rsidP="00EB7484">
      <w:pPr>
        <w:spacing w:after="0" w:line="240" w:lineRule="auto"/>
        <w:jc w:val="both"/>
        <w:rPr>
          <w:rFonts w:ascii="Times New Roman" w:hAnsi="Times New Roman"/>
          <w:color w:val="0070C0"/>
          <w:sz w:val="16"/>
          <w:szCs w:val="16"/>
        </w:rPr>
      </w:pPr>
    </w:p>
    <w:p w14:paraId="34D1C5A9" w14:textId="77777777" w:rsidR="001D47E8" w:rsidRPr="0044524F" w:rsidRDefault="001D47E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конца 1933 г. на авиазаводе № 39 в Москве изготовили два опытных экземпляра: ЦКБ-12 с двигателем М-22 мощно</w:t>
      </w:r>
      <w:r w:rsidRPr="0044524F">
        <w:rPr>
          <w:rFonts w:ascii="Times New Roman" w:hAnsi="Times New Roman"/>
          <w:color w:val="000000" w:themeColor="text1"/>
          <w:sz w:val="16"/>
          <w:szCs w:val="16"/>
        </w:rPr>
        <w:softHyphen/>
        <w:t>стью 480 л.с. и</w:t>
      </w:r>
      <w:r w:rsidRPr="0044524F">
        <w:rPr>
          <w:rStyle w:val="aff8"/>
          <w:rFonts w:ascii="Times New Roman" w:hAnsi="Times New Roman" w:cs="Times New Roman"/>
          <w:b w:val="0"/>
          <w:color w:val="000000" w:themeColor="text1"/>
          <w:spacing w:val="0"/>
          <w:sz w:val="16"/>
          <w:szCs w:val="16"/>
        </w:rPr>
        <w:t xml:space="preserve"> ЦКБ-12бис</w:t>
      </w:r>
      <w:r w:rsidRPr="0044524F">
        <w:rPr>
          <w:rFonts w:ascii="Times New Roman" w:hAnsi="Times New Roman"/>
          <w:color w:val="000000" w:themeColor="text1"/>
          <w:sz w:val="16"/>
          <w:szCs w:val="16"/>
        </w:rPr>
        <w:t xml:space="preserve"> с мотором </w:t>
      </w:r>
      <w:r w:rsidRPr="0044524F">
        <w:rPr>
          <w:rFonts w:ascii="Times New Roman" w:hAnsi="Times New Roman"/>
          <w:color w:val="000000" w:themeColor="text1"/>
          <w:sz w:val="16"/>
          <w:szCs w:val="16"/>
          <w:lang w:val="en-US"/>
        </w:rPr>
        <w:t>Wright</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val="en-US"/>
        </w:rPr>
        <w:t>Cyclone</w:t>
      </w:r>
      <w:r w:rsidRPr="0044524F">
        <w:rPr>
          <w:rFonts w:ascii="Times New Roman" w:hAnsi="Times New Roman"/>
          <w:color w:val="000000" w:themeColor="text1"/>
          <w:sz w:val="16"/>
          <w:szCs w:val="16"/>
        </w:rPr>
        <w:t xml:space="preserve"> мощно</w:t>
      </w:r>
      <w:r w:rsidRPr="0044524F">
        <w:rPr>
          <w:rFonts w:ascii="Times New Roman" w:hAnsi="Times New Roman"/>
          <w:color w:val="000000" w:themeColor="text1"/>
          <w:sz w:val="16"/>
          <w:szCs w:val="16"/>
        </w:rPr>
        <w:softHyphen/>
        <w:t>стью 700 л.с. 30 декабря летчик-испытатель этого авиазавода Валерий Чкалов впервые поднял в воздух ЦКБ-12 с двигателем М-22. В первых числах января 1934 г. дебютировал и ЦКБ-12бис. В воздухе обе машины вели себя практически одинаково, одна</w:t>
      </w:r>
      <w:r w:rsidRPr="0044524F">
        <w:rPr>
          <w:rFonts w:ascii="Times New Roman" w:hAnsi="Times New Roman"/>
          <w:color w:val="000000" w:themeColor="text1"/>
          <w:sz w:val="16"/>
          <w:szCs w:val="16"/>
        </w:rPr>
        <w:softHyphen/>
        <w:t>ко управлять ими, по мнению Чкалова, оказалось трудно и не</w:t>
      </w:r>
      <w:r w:rsidRPr="0044524F">
        <w:rPr>
          <w:rFonts w:ascii="Times New Roman" w:hAnsi="Times New Roman"/>
          <w:color w:val="000000" w:themeColor="text1"/>
          <w:sz w:val="16"/>
          <w:szCs w:val="16"/>
        </w:rPr>
        <w:softHyphen/>
        <w:t>привычно. Они энергично реагировали на действия рулей, легко переходили с фигуры на фигуру, однако не допускали резких движений ручкой управления. Особую осторожность приходи</w:t>
      </w:r>
      <w:r w:rsidRPr="0044524F">
        <w:rPr>
          <w:rFonts w:ascii="Times New Roman" w:hAnsi="Times New Roman"/>
          <w:color w:val="000000" w:themeColor="text1"/>
          <w:sz w:val="16"/>
          <w:szCs w:val="16"/>
        </w:rPr>
        <w:softHyphen/>
        <w:t>лось проявлять во время посадки. Самолет не позволял высоко</w:t>
      </w:r>
      <w:r w:rsidRPr="0044524F">
        <w:rPr>
          <w:rFonts w:ascii="Times New Roman" w:hAnsi="Times New Roman"/>
          <w:color w:val="000000" w:themeColor="text1"/>
          <w:sz w:val="16"/>
          <w:szCs w:val="16"/>
        </w:rPr>
        <w:softHyphen/>
        <w:t>го выравнивания, стремился свалиться на крыло.</w:t>
      </w:r>
    </w:p>
    <w:p w14:paraId="6E98A847" w14:textId="77777777" w:rsidR="001D47E8" w:rsidRPr="0044524F" w:rsidRDefault="001D47E8" w:rsidP="009654CF">
      <w:pPr>
        <w:pStyle w:val="a8"/>
        <w:jc w:val="both"/>
        <w:rPr>
          <w:rFonts w:ascii="Times New Roman" w:hAnsi="Times New Roman" w:cs="Times New Roman"/>
          <w:color w:val="000000" w:themeColor="text1"/>
        </w:rPr>
      </w:pPr>
      <w:r w:rsidRPr="0044524F">
        <w:rPr>
          <w:rFonts w:ascii="Times New Roman" w:hAnsi="Times New Roman" w:cs="Times New Roman"/>
          <w:color w:val="000000" w:themeColor="text1"/>
        </w:rPr>
        <w:t>С двигателем М-22 истребитель развивал скорость чуть выше 300 км/ч, а с «Циклоном» — 360 км/ч. Среди недостатков, присущих опытным экземплярам, испытатели отметили несовершенную систему бензопитания, хлипкий фонарь, слабое крепление прицела, неудобные плечевые привязные ремни. Также возникли сомнения в благополучном выходе из штопора, однако их развеяли проведенные в первых числах марта специальные испытания.</w:t>
      </w:r>
    </w:p>
    <w:p w14:paraId="717C9B5C" w14:textId="77777777" w:rsidR="001D47E8" w:rsidRPr="0044524F" w:rsidRDefault="001D47E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проведении доработок ЦКБ-12бис подвергли значительным изменениям. Его оснастили новым двигателем Райт «Циклон» R-1820 F-3 с капотом тоннельного типа, близким к так называемому капоту «Уоттера». Кроме того, на самолете усилили крыло, носки консолей зашили дюралем вплоть до первого лонжерона, доработали шасси, щели элеронов и рулей хвостового оперения закрыли подвижными дюралевыми щитками (19109).</w:t>
      </w:r>
    </w:p>
    <w:p w14:paraId="54610418" w14:textId="77777777" w:rsidR="001D47E8" w:rsidRPr="0044524F" w:rsidRDefault="001D47E8" w:rsidP="009654CF">
      <w:pPr>
        <w:spacing w:after="0" w:line="240" w:lineRule="auto"/>
        <w:jc w:val="both"/>
        <w:rPr>
          <w:rFonts w:ascii="Times New Roman" w:hAnsi="Times New Roman"/>
          <w:color w:val="000000" w:themeColor="text1"/>
          <w:sz w:val="16"/>
          <w:szCs w:val="16"/>
        </w:rPr>
      </w:pPr>
    </w:p>
    <w:p w14:paraId="28E6E74F" w14:textId="77777777" w:rsidR="001D47E8" w:rsidRPr="0044524F" w:rsidRDefault="001D47E8"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До конца 1933 года успели прове</w:t>
      </w:r>
      <w:r w:rsidRPr="0044524F">
        <w:rPr>
          <w:rFonts w:ascii="Times New Roman" w:cs="Times New Roman"/>
          <w:color w:val="000000" w:themeColor="text1"/>
          <w:spacing w:val="0"/>
        </w:rPr>
        <w:softHyphen/>
        <w:t>сти Госиспытания ЦКБ-3 - уже второго, т.к пепрвый В.П.Ч повредил. Установленный на лыжи самолет развивал максимальную скорость у земли 324 км/ч, на высоте 3000 м — 350 км/ч. На высоту 5000 м он поднимался за 6,2 мин, время виража составило всего 8 с. Уже 1 января 1934 г. начальник ВВС Яков Алкснис утвердил «Акт Государственных испытаний И-15 РЦ Ф-3». В этом документе, в том числе, указывалось, что по маневренности и скороподьемности новый истребитель опере</w:t>
      </w:r>
      <w:r w:rsidRPr="0044524F">
        <w:rPr>
          <w:rFonts w:ascii="Times New Roman" w:cs="Times New Roman"/>
          <w:color w:val="000000" w:themeColor="text1"/>
          <w:spacing w:val="0"/>
        </w:rPr>
        <w:softHyphen/>
        <w:t>жает все известные машины, а по максимальной скорости на высоте 5000 м уступает некоторым иностранным образцам. Последний недостаток предлагалось устранить. И-15, как пол</w:t>
      </w:r>
      <w:r w:rsidRPr="0044524F">
        <w:rPr>
          <w:rFonts w:ascii="Times New Roman" w:cs="Times New Roman"/>
          <w:color w:val="000000" w:themeColor="text1"/>
          <w:spacing w:val="0"/>
        </w:rPr>
        <w:softHyphen/>
        <w:t>ностью удовлетворяющий требованиям ВВС, получил рекомен</w:t>
      </w:r>
      <w:r w:rsidRPr="0044524F">
        <w:rPr>
          <w:rFonts w:ascii="Times New Roman" w:cs="Times New Roman"/>
          <w:color w:val="000000" w:themeColor="text1"/>
          <w:spacing w:val="0"/>
        </w:rPr>
        <w:softHyphen/>
        <w:t>дацию к серийному производству и скорейшему внедрению в строй военной авиации. Строить самолет решили на двух мо</w:t>
      </w:r>
      <w:r w:rsidRPr="0044524F">
        <w:rPr>
          <w:rFonts w:ascii="Times New Roman" w:cs="Times New Roman"/>
          <w:color w:val="000000" w:themeColor="text1"/>
          <w:spacing w:val="0"/>
        </w:rPr>
        <w:softHyphen/>
        <w:t>сковских заводах — № 1 и № 39 (19107).</w:t>
      </w:r>
    </w:p>
    <w:p w14:paraId="3D448C54" w14:textId="77777777" w:rsidR="001D47E8" w:rsidRPr="0044524F" w:rsidRDefault="001D47E8" w:rsidP="009654CF">
      <w:pPr>
        <w:pStyle w:val="27"/>
        <w:shd w:val="clear" w:color="auto" w:fill="auto"/>
        <w:spacing w:after="0" w:line="240" w:lineRule="auto"/>
        <w:ind w:firstLine="0"/>
        <w:rPr>
          <w:rFonts w:ascii="Times New Roman" w:cs="Times New Roman"/>
          <w:color w:val="000000" w:themeColor="text1"/>
          <w:spacing w:val="0"/>
        </w:rPr>
      </w:pPr>
    </w:p>
    <w:p w14:paraId="09C849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конце 1933 г. ведущий инженер ЗОК Орлов составил описание самолета И-14. Опытная машина шла под заводским номером заказа 7057. В своем документе Орлов писал: "И-14 опытный - одноместный истребитель. Каркас самолета цельнометаллической конструкции. Обшивка фюзеляжа центроплана - металлическая, обшивка </w:t>
      </w:r>
      <w:r w:rsidRPr="0044524F">
        <w:rPr>
          <w:rFonts w:ascii="Times New Roman" w:hAnsi="Times New Roman"/>
          <w:color w:val="000000" w:themeColor="text1"/>
          <w:sz w:val="16"/>
          <w:szCs w:val="16"/>
        </w:rPr>
        <w:lastRenderedPageBreak/>
        <w:t>отъемов (имелись в виду отделяемые части крыла. - Прим. авт.) - полотном. Впоследствии после испытания самолета отъемы были заменены на отъемы с металлической обшивкой (гофром). Таким образом, самолет стал цел ь н о м ста л л и ч ее к и м.</w:t>
      </w:r>
    </w:p>
    <w:p w14:paraId="63A796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 имеет один мотор "Бристоль Меркюр" с кольцом "Тауненда". Винт - деревянный, кабина пилота скрыта под фонарем. Шасси - убирающееся с масляным амортизатором. Убирающий механизм двойной - гидравлический и механический.</w:t>
      </w:r>
    </w:p>
    <w:p w14:paraId="2F427C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пустого самолета - 1053,4 кг, размах крыла - 1 1,25 м, Длина фюзеляжа - 6,37 м, несущая площадь - 15,72 кв.м."</w:t>
      </w:r>
    </w:p>
    <w:p w14:paraId="24A108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Лаконичное описание целесообразно несколько конкретизировать.</w:t>
      </w:r>
    </w:p>
    <w:p w14:paraId="50CE3D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Конструктивно И-14 представлял собой свободнонесущий моноплан. Каркас фюзеляжа составляли девять шпангоутов, два верхних и два нижних лонжерона. Центральная часть фюзеляжа и центроплан представляли собой единую жесткую ферму, основу которой составляли соединенные со шпангоутами лонжероны. К ней крепилась хвостовая часть. На первом шпангоуте находились узлы крепления моторамы, приклепанные к верхним лонжеронам фюзеляжа. Лонжероны центроплана конструктивно состояли их верхнего и нижнего поясов, сделанных из термически обработанных хромомолибденовых труб диаметром 15 мм. Между поясами шла змейка из алюминиевых труб, составлявшая часть фермы.</w:t>
      </w:r>
    </w:p>
    <w:p w14:paraId="1323F9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двух лонжеронах центроплана находились стыковые узлы для присоединения ОЧК и стоек шасси. Центроплан обшивался гладкой обшивкой толщиной 0,5 мм, приклепанной впотай.</w:t>
      </w:r>
    </w:p>
    <w:p w14:paraId="662266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Полки лонжеронов консолей крыла состояли из хромомолибденовых труб, входящих одна в другую. Последняя труба диаметром 30 мм была дюралюминиевая. Каждая консоль имела по 1 1 нервюр (шесть основных и пять промежуточных).</w:t>
      </w:r>
    </w:p>
    <w:p w14:paraId="50BCCD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Основу силовой конструкции стабилизатора составляли два лонжерона, склепанных из профилей и штампованных нервюр. Обшивка - гладкая, клепаная впотай. Для жесткости стабилизатор растягивался лентами расчалок, по одной с каждого борта сверху и по две - снизу. Узлы расчалок снизу крепились попарно к 8-му и 9-му шпангоутам.</w:t>
      </w:r>
    </w:p>
    <w:p w14:paraId="761B12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Руль высоты состоял из трубчатого лонжерона и штампованных нервюр, обшитых гофрированным листом толщиной 0,5 мм.</w:t>
      </w:r>
    </w:p>
    <w:p w14:paraId="07A380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Киль имел два лонжерона, склепанных из профилей, и три нервюры. Обшивка - гладкая, клепаная впотай. Киль крепился к фюзеляжу через узлы на 8-м и 9-м шпангоутах. Руль поворота состоял из лонжерона и трех нервюр, обшитых гофрированным листом.</w:t>
      </w:r>
    </w:p>
    <w:p w14:paraId="2679B1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самолетом смешанное - рулем высоты и элеронами - жесткое системой труб диаметром 25 мм и качалок, рулем направления - тросовое.</w:t>
      </w:r>
    </w:p>
    <w:p w14:paraId="2589B3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с тормозными колесами на полуосях убиралось тросовым механизмом в ниши крыла. Колеса с механическими тормозами и стойки в убранном положении закрывались щитками. Стойки шасси имели масляную амортизацию.</w:t>
      </w:r>
    </w:p>
    <w:p w14:paraId="2EAFCB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Кабина летчика на первом экземпляре И-14 закрывалась прозрачным целлулоидным фонарем, сдвигавшимся вперед по направляющим на фюзеляжи. Для удобства входа и выхода из кабины по бортам имелись откидные створки.</w:t>
      </w:r>
    </w:p>
    <w:p w14:paraId="291F52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конструкции головной машины было отмечено много недостатков, но вносить изменения на ней не стали, поскольку было принято решение строить самолет-дублер. Среди прочих усовершенствований на нем решили отказаться от гофрированной обшивки консолей крыла в пользу гладкой и от сплошного фонаря, вызывавшего нарекания летчиков-испытателей. Оставили только прозрачный козырек.</w:t>
      </w:r>
    </w:p>
    <w:p w14:paraId="31A096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Ведущим конструктором по самолету-дуб- леру был назначен инженер Проскурников.</w:t>
      </w:r>
    </w:p>
    <w:p w14:paraId="78BFC2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Силовая установка И -14 дублера состояла из девятицилиндрового звездообразного мотора воздушного охлаждения Райт "Циклон" 1820F2, развивавшим на земле мощность 650 л.с. и 710 л.с. - на высоте 1800 м, бензобака, расположенного впереди летчика, и маслобака, установленного над бензобаком. Серийные машины предполагалось оснащать более мощным вариантом "Циклон" 1820F3. На этот мотор была закуплена в США лицензия и разворачивалось его серийное производство под обозначением М-22.</w:t>
      </w:r>
    </w:p>
    <w:p w14:paraId="6F98A0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Дублер И-14 вооружался двумя 7,62-мм пулеметами ПВ-1, стрелявшими через диск винта и двумя динамореактивными безоткатными пушками АПК-37 конструкции Л.Кур- чевского. Пушки стояли в консольных частях крыла, там же располагались кассеты с боеприпасами к ним. Предусматривалось воздушное перезаряжание, лля чего на противопожарной перегородке кабины установили баллон со сжатым воздухом.</w:t>
      </w:r>
    </w:p>
    <w:p w14:paraId="4D3FF4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Пулеметы ПВ-1 стояли в верхней части фюзеляжа и имели механический спуск. Гашетки выводились на ручку управления самолетом. Патронные ящики размещались перед бензобаком внизу фюзеляжа.</w:t>
      </w:r>
    </w:p>
    <w:p w14:paraId="29958E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Самолет мог нести бомбовое вооружение из двух бомб АО -10 калибром 10 кг, для чего оснащался держателями Д1, установленными под консолями. Для сбрасывания бомб использовалась гибкая тросовая проводка, проходившая в крыле к специальной ручке на сиденье летчика.</w:t>
      </w:r>
    </w:p>
    <w:p w14:paraId="697A57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пустого дублера составляла 1064,1 кг; размах крыла - 1 1,25 м; /типа фюзеляжа равнялась 6, 1 1 м; площадь крыла составляла 15,72 кв.м. Дублер оснащался оптическим прицелом ОП-1, разработанным заводом "Геофизика", и кольцевым прицелом КП-5.</w:t>
      </w:r>
    </w:p>
    <w:p w14:paraId="1583C5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 приборного оборудования самолета входили указатель скорости, высоты и скольжения, часы, компас К-И, трубка Пито, трубка Вентури, счетчик оборотов мотора, вакуумметр, аэротермометр Р-3, масляный и бензиновый манометры и гидростатический бензиномер.</w:t>
      </w:r>
    </w:p>
    <w:p w14:paraId="7B2F09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Оборудование самолета состояло из кислородного баллона емкостью 2 л, кислородного прибора КП-1, сигнального пистолета и сигнальных ракет.</w:t>
      </w:r>
    </w:p>
    <w:p w14:paraId="567C79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Электрооборудование - аккумулятор 6АТИЗ, вольтметр, кабинные и коммутаторные лампы. Была предусмотрена установка радиостанции 15СК (12037).</w:t>
      </w:r>
    </w:p>
    <w:p w14:paraId="0048E6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63C9BE8"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 Алскснис оставался одним из немногих руководителей высокого ранга, которые оставались сторонниками дальнейшего выпуска и эксплуатации в СССР самолетов иностранного происхождения, в т.ч. истребителей И-7 (24331).</w:t>
      </w:r>
    </w:p>
    <w:p w14:paraId="3E36095E" w14:textId="77777777" w:rsidR="00B3576E" w:rsidRPr="0044524F" w:rsidRDefault="00B3576E" w:rsidP="009654CF">
      <w:pPr>
        <w:spacing w:after="0" w:line="240" w:lineRule="auto"/>
        <w:jc w:val="both"/>
        <w:rPr>
          <w:rFonts w:ascii="Times New Roman" w:hAnsi="Times New Roman"/>
          <w:color w:val="000000" w:themeColor="text1"/>
          <w:sz w:val="16"/>
          <w:szCs w:val="16"/>
        </w:rPr>
      </w:pPr>
    </w:p>
    <w:p w14:paraId="07ADCD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на заводе 1 был готов новый эталонный и И-7 с доработками - N 4449. Полетный вес достиг 1818 вместо 1700 г. Колеса получили обтекатели, на зиму ставили лыжи (3203,5).</w:t>
      </w:r>
    </w:p>
    <w:p w14:paraId="31BBEA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132CDC3" w14:textId="77777777" w:rsidR="000904A1" w:rsidRPr="0044524F" w:rsidRDefault="000904A1" w:rsidP="009654CF">
      <w:pPr>
        <w:pStyle w:val="121"/>
        <w:shd w:val="clear" w:color="auto" w:fill="auto"/>
        <w:spacing w:line="240" w:lineRule="auto"/>
        <w:jc w:val="both"/>
        <w:rPr>
          <w:rFonts w:ascii="Times New Roman" w:hAnsi="Times New Roman" w:cs="Times New Roman"/>
          <w:b w:val="0"/>
          <w:color w:val="000000" w:themeColor="text1"/>
          <w:sz w:val="16"/>
          <w:szCs w:val="16"/>
        </w:rPr>
      </w:pPr>
      <w:r w:rsidRPr="0044524F">
        <w:rPr>
          <w:rFonts w:ascii="Times New Roman" w:hAnsi="Times New Roman" w:cs="Times New Roman"/>
          <w:b w:val="0"/>
          <w:color w:val="000000" w:themeColor="text1"/>
          <w:sz w:val="16"/>
          <w:szCs w:val="16"/>
        </w:rPr>
        <w:t>В конце 1933 года построили эталонный истребитель И-7 №4449 с новым хвостовым оперением. Его полный полетный вес, несмотря на облегченное оперение, еще бо</w:t>
      </w:r>
      <w:r w:rsidRPr="0044524F">
        <w:rPr>
          <w:rFonts w:ascii="Times New Roman" w:hAnsi="Times New Roman" w:cs="Times New Roman"/>
          <w:b w:val="0"/>
          <w:color w:val="000000" w:themeColor="text1"/>
          <w:sz w:val="16"/>
          <w:szCs w:val="16"/>
        </w:rPr>
        <w:softHyphen/>
        <w:t>лее возрос и составил 1818 кг. Для зимних по</w:t>
      </w:r>
      <w:r w:rsidRPr="0044524F">
        <w:rPr>
          <w:rFonts w:ascii="Times New Roman" w:hAnsi="Times New Roman" w:cs="Times New Roman"/>
          <w:b w:val="0"/>
          <w:color w:val="000000" w:themeColor="text1"/>
          <w:sz w:val="16"/>
          <w:szCs w:val="16"/>
        </w:rPr>
        <w:softHyphen/>
        <w:t>летов №4449 установили на лыжи, в летнем варианте колеса предполагалось прикрыть каплевидными обтекателями. В период с 8 января по 22 февраля 1934 г. летчик НИИ ВВС Савинов провел оценочные и эксплуата</w:t>
      </w:r>
      <w:r w:rsidRPr="0044524F">
        <w:rPr>
          <w:rFonts w:ascii="Times New Roman" w:hAnsi="Times New Roman" w:cs="Times New Roman"/>
          <w:b w:val="0"/>
          <w:color w:val="000000" w:themeColor="text1"/>
          <w:sz w:val="16"/>
          <w:szCs w:val="16"/>
        </w:rPr>
        <w:softHyphen/>
        <w:t>ционные испытания этого модифицирован</w:t>
      </w:r>
      <w:r w:rsidRPr="0044524F">
        <w:rPr>
          <w:rFonts w:ascii="Times New Roman" w:hAnsi="Times New Roman" w:cs="Times New Roman"/>
          <w:b w:val="0"/>
          <w:color w:val="000000" w:themeColor="text1"/>
          <w:sz w:val="16"/>
          <w:szCs w:val="16"/>
        </w:rPr>
        <w:softHyphen/>
        <w:t>ного самолета. Общий налет составил 22 часа 25 мин., было выполнено 500 фигур высше</w:t>
      </w:r>
      <w:r w:rsidRPr="0044524F">
        <w:rPr>
          <w:rFonts w:ascii="Times New Roman" w:hAnsi="Times New Roman" w:cs="Times New Roman"/>
          <w:b w:val="0"/>
          <w:color w:val="000000" w:themeColor="text1"/>
          <w:sz w:val="16"/>
          <w:szCs w:val="16"/>
        </w:rPr>
        <w:softHyphen/>
        <w:t>го пилотажа. Летные данные остались почти без изменений. По результатам испытаний самолета №4449 было сделано заключение: «На всех выпущенных ранее И-7 со стальным оперением, включая и самолеты, находящие</w:t>
      </w:r>
      <w:r w:rsidRPr="0044524F">
        <w:rPr>
          <w:rFonts w:ascii="Times New Roman" w:hAnsi="Times New Roman" w:cs="Times New Roman"/>
          <w:b w:val="0"/>
          <w:color w:val="000000" w:themeColor="text1"/>
          <w:sz w:val="16"/>
          <w:szCs w:val="16"/>
        </w:rPr>
        <w:softHyphen/>
        <w:t>ся в частях ВВС произвести замену такового на дюралевое» (12295).</w:t>
      </w:r>
    </w:p>
    <w:p w14:paraId="650C5E9C" w14:textId="77777777" w:rsidR="000904A1" w:rsidRPr="0044524F" w:rsidRDefault="000904A1" w:rsidP="009654CF">
      <w:pPr>
        <w:spacing w:after="0" w:line="240" w:lineRule="auto"/>
        <w:jc w:val="both"/>
        <w:rPr>
          <w:rFonts w:ascii="Times New Roman" w:hAnsi="Times New Roman"/>
          <w:color w:val="000000" w:themeColor="text1"/>
          <w:sz w:val="16"/>
          <w:szCs w:val="16"/>
        </w:rPr>
      </w:pPr>
    </w:p>
    <w:p w14:paraId="269661AD"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конца 1933 г. КБ-2 были изготовлены рабочие чертежи самолета ПИ-3 (пушечный истребитель). По переданным чертежам завод № 22 приступил в 1934 г. к производству этого самолета. В конце 1935 г. в процессе производства тактико-технические данные самолета устарели, и он был снят с производства.</w:t>
      </w:r>
    </w:p>
    <w:p w14:paraId="722DE14B"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конца 1933 г. КБ-2 проектировало и закончило изготовление рабочих чертежей ПГТУ (парогазовая турбинная установка на самолете). Она была передана на изготовление заводу им. И.В.Сталина, но по распоряжению отдела изобретений была снята с производства (12702).</w:t>
      </w:r>
    </w:p>
    <w:p w14:paraId="6528E3F8" w14:textId="77777777" w:rsidR="00DF1D09" w:rsidRPr="0044524F" w:rsidRDefault="00DF1D09" w:rsidP="009654CF">
      <w:pPr>
        <w:spacing w:after="0" w:line="240" w:lineRule="auto"/>
        <w:jc w:val="both"/>
        <w:rPr>
          <w:rFonts w:ascii="Times New Roman" w:hAnsi="Times New Roman"/>
          <w:color w:val="000000" w:themeColor="text1"/>
          <w:sz w:val="16"/>
          <w:szCs w:val="16"/>
        </w:rPr>
      </w:pPr>
    </w:p>
    <w:p w14:paraId="33AE1481" w14:textId="79BFD893" w:rsidR="00170019" w:rsidRPr="00142305" w:rsidRDefault="00170019" w:rsidP="001700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конца 1933 г. в КБ-2 ОВИ РККА</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(Отдел военных изобретений) были изготовлены рабочие чертежи двухбалочного самолета СС, позже переименованного в ИП-3 (пушечный истребитель-3) ленинградских инженеров Г.М.Заславского и А.С. Бас-Дубова, которые работали в КБ-2.</w:t>
      </w:r>
    </w:p>
    <w:p w14:paraId="3855734E" w14:textId="77777777" w:rsidR="00170019" w:rsidRPr="00142305" w:rsidRDefault="00170019" w:rsidP="001700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 основным геометрическим параметрам (длина — 9,46 м, размах крыла — 14,0 м) он был близок к И-12, но имел закрытую кабину и убираемое шасси, что способствовало получению высоких характеристик. Масса -2500 кг. Конструкторы предполагали получить на высоте 7000 м скорость 450 км/ч. В кабине два пулемета ПВ-1.</w:t>
      </w:r>
    </w:p>
    <w:p w14:paraId="41353F88" w14:textId="0CB0F725" w:rsidR="00170019" w:rsidRPr="00142305" w:rsidRDefault="00170019" w:rsidP="001700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Хотя "добро" на проведение работ было дано под две 76,2-мм динамореактивные пушки АПК-4 Кручевского, которые планировалось разместить в крыле и хвостовых балках, в итоге этой идеи отказались. В окончательном варианте ИП-3 предполагалось вооружить 12-ю 82 мм РС.</w:t>
      </w:r>
      <w:r w:rsidR="0088747B">
        <w:rPr>
          <w:rFonts w:ascii="Times New Roman" w:hAnsi="Times New Roman"/>
          <w:color w:val="0070C0"/>
          <w:sz w:val="16"/>
          <w:szCs w:val="16"/>
        </w:rPr>
        <w:t xml:space="preserve"> </w:t>
      </w:r>
      <w:r w:rsidRPr="00142305">
        <w:rPr>
          <w:rFonts w:ascii="Times New Roman" w:hAnsi="Times New Roman"/>
          <w:color w:val="0070C0"/>
          <w:sz w:val="16"/>
          <w:szCs w:val="16"/>
        </w:rPr>
        <w:t>В основании консолей планировались специальные барабаны на шесть реактивных снарядов.</w:t>
      </w:r>
    </w:p>
    <w:p w14:paraId="32D30B70" w14:textId="77777777" w:rsidR="00170019" w:rsidRPr="00142305" w:rsidRDefault="00170019" w:rsidP="001700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Шефствовал над этой работой сам Тухачевский. Так как мастерские лененградского КБ-2 УВИ были малы, Тухачевский с помощью Орджоникидзе добился перевода конструкторов в 1934 году на московский завод №22. Здесь самолет начал строиться, что вызывало нескрываемое неудовольствие Туполева.</w:t>
      </w:r>
    </w:p>
    <w:p w14:paraId="656AA904" w14:textId="77777777" w:rsidR="00170019" w:rsidRPr="00142305" w:rsidRDefault="00170019" w:rsidP="00170019">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Конструкторы добились выделения для своего самолета нового редукторного двигателя М-34Р, поступившего из партии, предназначенной для туполевских ТБ-3. Туполев пришел в ярость и в короткий срок добился выдворения с завода Заславского и Бас-Дубова. К концу 1935 г. тактико-технические данные самолета устарели и работы по самолету были прекращены в 1936 г. (25297).</w:t>
      </w:r>
    </w:p>
    <w:p w14:paraId="47E2FCC8" w14:textId="77777777" w:rsidR="00170019" w:rsidRPr="00142305" w:rsidRDefault="00170019" w:rsidP="00170019">
      <w:pPr>
        <w:spacing w:after="0" w:line="240" w:lineRule="auto"/>
        <w:jc w:val="both"/>
        <w:rPr>
          <w:rFonts w:ascii="Times New Roman" w:hAnsi="Times New Roman"/>
          <w:color w:val="0070C0"/>
          <w:sz w:val="16"/>
          <w:szCs w:val="16"/>
        </w:rPr>
      </w:pPr>
    </w:p>
    <w:p w14:paraId="6CBE8652"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 концу 1933 г. ТБ-3 и поврежденный узел крепления И-Z отремонтировали, в январе 1934 г. планировалось продолжить испытания. Но к этому времени Владимир Сергеевич Вахмистров был захвачен новой идеей — он решил сделать так, чтобы истребители взлетали самостоятельно и подцеплялись к бомбардировщику в полёте. В нужный момент они могли отсоединиться, выполнить задачу и затем вновь сцепиться с ТБ-3 для дозаправки топливом и пополнения боекомплекта. Так появилось «Звено-5» (15489).</w:t>
      </w:r>
    </w:p>
    <w:p w14:paraId="6433E0D6"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p>
    <w:p w14:paraId="3545650F" w14:textId="77777777" w:rsidR="001D47E8" w:rsidRPr="0044524F" w:rsidRDefault="001D47E8"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lastRenderedPageBreak/>
        <w:t>До конца 1933 года, в процессе постройки, самолет ДИП претерпел значительные конструктивные изменения. В связи с изменением конструкции отъемных частей крыла было принято решение ранее изготовленные ОЧК на самолет не ставить. Кроме того, изготовленное для ДИП хвостовое оперение установили на самолет МИ-3бис. В результате этих мероприятий общая готовность самолета ДИП снизилась до 6,5% (19175).</w:t>
      </w:r>
    </w:p>
    <w:p w14:paraId="4242B8D5" w14:textId="77777777" w:rsidR="001D47E8" w:rsidRPr="0044524F" w:rsidRDefault="001D47E8" w:rsidP="009654CF">
      <w:pPr>
        <w:pStyle w:val="ae"/>
        <w:shd w:val="clear" w:color="auto" w:fill="FFFFFF"/>
        <w:spacing w:before="0" w:after="0"/>
        <w:jc w:val="both"/>
        <w:textAlignment w:val="baseline"/>
        <w:rPr>
          <w:color w:val="000000" w:themeColor="text1"/>
          <w:sz w:val="16"/>
          <w:szCs w:val="16"/>
        </w:rPr>
      </w:pPr>
    </w:p>
    <w:p w14:paraId="14B988B1" w14:textId="77777777" w:rsidR="001D47E8" w:rsidRPr="0044524F" w:rsidRDefault="001D47E8" w:rsidP="009654CF">
      <w:pPr>
        <w:pStyle w:val="ae"/>
        <w:shd w:val="clear" w:color="auto" w:fill="FFFFFF"/>
        <w:spacing w:before="0" w:after="0"/>
        <w:jc w:val="both"/>
        <w:textAlignment w:val="baseline"/>
        <w:rPr>
          <w:color w:val="000000" w:themeColor="text1"/>
          <w:sz w:val="16"/>
          <w:szCs w:val="16"/>
        </w:rPr>
      </w:pPr>
      <w:r w:rsidRPr="0044524F">
        <w:rPr>
          <w:color w:val="000000" w:themeColor="text1"/>
          <w:sz w:val="16"/>
          <w:szCs w:val="16"/>
        </w:rPr>
        <w:t>К концу 1933 г. И-5 стал самым массовым истребителем ВВС РККА, они составляли около 40% парка истребительной авиации. К концу 1934 г. новые машины вытеснили из строевых частей И-3 и частично И-4. Но «звездный час» И-5 оказался недолог. Авиационная техника развивалась в те годы невиданными темпами, и летом 1935 г. вышло на испытания уже новое поколение советских истребителей. Биплан И-15, сконструированный тем же Поликарповым, намного превосходил своего предшественника. Но еще важнее было появление машин совершенно нового класса: скоростных истребителей-монопланов. И-14 Сухого и И-16 Поликарпова стали «первыми ласточками» так называемой «новой волны» (19176).</w:t>
      </w:r>
    </w:p>
    <w:p w14:paraId="2CBDA274" w14:textId="77777777" w:rsidR="001D47E8" w:rsidRPr="0044524F" w:rsidRDefault="001D47E8" w:rsidP="009654CF">
      <w:pPr>
        <w:pStyle w:val="ae"/>
        <w:shd w:val="clear" w:color="auto" w:fill="FFFFFF"/>
        <w:spacing w:before="0" w:after="0"/>
        <w:jc w:val="both"/>
        <w:textAlignment w:val="baseline"/>
        <w:rPr>
          <w:color w:val="000000" w:themeColor="text1"/>
          <w:sz w:val="16"/>
          <w:szCs w:val="16"/>
        </w:rPr>
      </w:pPr>
    </w:p>
    <w:p w14:paraId="020DFFCE"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 концу 1933 г. в МАИ окончательно оформилось конструкторское бюро, которое получило официальное наименование ОКБ-1 и в дальнейшем функционировало как полноценное проектное подразделение во главе с главным конструктором Грушиным (17489).</w:t>
      </w:r>
    </w:p>
    <w:p w14:paraId="6E1B3622"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p>
    <w:p w14:paraId="24F8AE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первые серийные Р-6а на поплавках поступили на балтийский флот и их передали 19 мраэ, ранее вооруженной С-62Б. Первым осваивал отряд В.С.Грушевича (2766,33).</w:t>
      </w:r>
    </w:p>
    <w:p w14:paraId="73441C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705B0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окончательный вид приобрел разрабатываемый с начала года К.А.К. проект лк ВС-2. К.А.К. предложил ВВС несколько схем - обычной, двухбалочной и лк и ГИ-М ВВС РККА Аузан отмечал: "В результате рассмотрения представленных ХАЗОсом боевых схем ВС-2 констатирую, что наиболее целесообразной является схема лк, как обеспечивающая наилучший обзор и обстрел. Хотели выпустить к маю 1934 (2544,120).</w:t>
      </w:r>
    </w:p>
    <w:p w14:paraId="505842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501DE07"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конце 1933 г. проект ВС-2 приобрел окончательный облик.</w:t>
      </w:r>
    </w:p>
    <w:p w14:paraId="13AF98D3"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Самолёт представлял собой двухмоторный низкоплан схемы «бесхвостка». Двигатели М-52 в серию не пошли, и машину перепроектировали под звездообразные моторы М-22 с кольцевидными обтекателями. Крыло имело прямоугольный центроплан и сужающиеся к концам консоли. Профиль крыла — Р-II с относительной толщиной 14 %. Продольная балансировка в горизонтальном полёте достигалась обычным для большинства бесхвостых самолётов способом — с помощью подвесных закрылков перевернутого профиля. Внешняя пара являлась элевонами, две внутренние — рулями высоты. Для регулировки нагрузки на штурвал все рулевые поверхности были снабжены управляемыми из кабины триммерами. Предкрылков, судя по фотографиям, на крыле не было. На концах крыла находились кили (шайбы) эллиптической формы. Они имели изогнутый профиль выпуклой стороной внутрь, что, по мнению конструктора, должно было обеспечить лучшую путевую устойчивость. Кили заканчивались рулями направления, которые могли отклоняться только в наружном направлении. Фюзеляж вмещал экипаж из трёх человек. В передней части находилась закрытая фонарём кабина штурмана (он же носовой стрелок), за ней — кабина пилота, затем — бомбовый отсек на 500 кг бомб, сзади — поворотная кабина хвостового стрелка. Самолёт имел двойное управление: штурвал и педали у лётчика и съёмная ручка в кабине штурмана. Каркас бомбардировщика был сварной из стальных труб, передняя часть фюзеляжа и носок крыла имели дюралюминиевую обшивку, остальные части обтянуты полотном.</w:t>
      </w:r>
    </w:p>
    <w:p w14:paraId="528687CE"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Для предварительных испытаний кроме продувочных моделей изготовили безмоторный прототип бомбардировщика. Он имел такую же схему, как ВС-2, но был вдвое меньше по размерам. Летал на нём заводской лётчик-испытатель Василий Осипович Борисов. Планер оказался вполне устойчивым. Подтверждением этому служит необычное происшествие, описанное сослуживцем Калинина А.Н. Грацианским. «При испытаниях на высоте 3000 м из-за разрушения качалки руля высоты планер сделал резкий клевок. Лётчик оборвал крепление ремнями, ударом головы вышиб фонарь и вылетел из планера, после чего раскрыл парашют и благополучно спустился. Планер, освободившись от испытателя, выровнялся, перешел в пологое планирование по спирали и совершил нормальную посадку невдалеке от места приземления лётчика. Подоспевшие к планеру механики нашли лётчика в кабине за выяснением причины столь необычного поведения планера. После замены качалки дальнейшие лётные испытания продолжались» </w:t>
      </w:r>
      <w:hyperlink r:id="rId425" w:history="1">
        <w:r w:rsidRPr="0044524F">
          <w:rPr>
            <w:rFonts w:ascii="Times New Roman" w:eastAsia="Times New Roman" w:hAnsi="Times New Roman"/>
            <w:color w:val="000000" w:themeColor="text1"/>
            <w:sz w:val="16"/>
            <w:szCs w:val="16"/>
            <w:lang w:eastAsia="ru-RU"/>
          </w:rPr>
          <w:t>[194]</w:t>
        </w:r>
      </w:hyperlink>
      <w:r w:rsidRPr="0044524F">
        <w:rPr>
          <w:rFonts w:ascii="Times New Roman" w:eastAsia="Times New Roman" w:hAnsi="Times New Roman"/>
          <w:color w:val="000000" w:themeColor="text1"/>
          <w:sz w:val="16"/>
          <w:szCs w:val="16"/>
          <w:lang w:eastAsia="ru-RU"/>
        </w:rPr>
        <w:t xml:space="preserve"> (17489).</w:t>
      </w:r>
    </w:p>
    <w:p w14:paraId="0E14C9AC" w14:textId="77777777" w:rsidR="000723F3" w:rsidRPr="0044524F" w:rsidRDefault="000723F3" w:rsidP="009654CF">
      <w:pPr>
        <w:spacing w:after="0" w:line="240" w:lineRule="auto"/>
        <w:jc w:val="both"/>
        <w:rPr>
          <w:rFonts w:ascii="Times New Roman" w:eastAsia="Times New Roman" w:hAnsi="Times New Roman"/>
          <w:color w:val="000000" w:themeColor="text1"/>
          <w:sz w:val="16"/>
          <w:szCs w:val="16"/>
          <w:lang w:eastAsia="ru-RU"/>
        </w:rPr>
      </w:pPr>
    </w:p>
    <w:p w14:paraId="4E898B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бригадой С.Я.Жолтовского из ХАИ разрабатывался эскизный проект двухместного скоростного фоторазведчика ХАИ-6 с лицензионным двигателем М-58 (М-22У) взл. мощностью 680 нр. По схеме это был уменьшенный ХАИ-1 и ориентировались на Нортроп Гамма (1166,28).</w:t>
      </w:r>
    </w:p>
    <w:p w14:paraId="0DACFF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AB4E06A"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 тему ХАИ-1ВВ, разрабатываемую бригадой ведущего конструктора Л.Д. Арсона, закрыли (24247).</w:t>
      </w:r>
    </w:p>
    <w:p w14:paraId="78121753" w14:textId="77777777" w:rsidR="00B3576E" w:rsidRPr="0044524F" w:rsidRDefault="00B3576E" w:rsidP="009654CF">
      <w:pPr>
        <w:spacing w:after="0" w:line="240" w:lineRule="auto"/>
        <w:jc w:val="both"/>
        <w:rPr>
          <w:rFonts w:ascii="Times New Roman" w:hAnsi="Times New Roman"/>
          <w:color w:val="000000" w:themeColor="text1"/>
          <w:sz w:val="16"/>
          <w:szCs w:val="16"/>
        </w:rPr>
      </w:pPr>
    </w:p>
    <w:p w14:paraId="6915BCAB"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года в ХАИ был подготовлен первый вариант эскизного проекта скоростного невооруженного фоторазведчика. Однако его отклонили и отправили на доработку. После выполнения перерасчетов под новую силовую установку, эскизный проект был повторно направлен в НИИ ВВС. В феврале 1934 года он был утвержден, после чего началась постройка макета для рассмотрения макетной комиссией (24246).</w:t>
      </w:r>
    </w:p>
    <w:p w14:paraId="01F3CD28" w14:textId="77777777" w:rsidR="00B3576E" w:rsidRPr="0044524F" w:rsidRDefault="00B3576E" w:rsidP="009654CF">
      <w:pPr>
        <w:spacing w:after="0" w:line="240" w:lineRule="auto"/>
        <w:jc w:val="both"/>
        <w:rPr>
          <w:rFonts w:ascii="Times New Roman" w:hAnsi="Times New Roman"/>
          <w:color w:val="000000" w:themeColor="text1"/>
          <w:sz w:val="16"/>
          <w:szCs w:val="16"/>
        </w:rPr>
      </w:pPr>
    </w:p>
    <w:p w14:paraId="40E44633" w14:textId="77777777" w:rsidR="00DD1530" w:rsidRPr="0044524F" w:rsidRDefault="00DD15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на заводе № 39 был построен опытный штурмовик ТШ-3 (ЦКБ-4), разработанный в соответствии с тактико-техническими требованиями ВВС начала 30-х годов. В тот период конструкторы пытались создать штурмовик с сильной броневой защитой экипажа и жизненно важных узлов самого самолета. Однако эти попытки при использовании схемы биплана не дали удовлетворительных результатов. Скорость штурмовиков едва достигала 200 км/час, маневренность была недостаточной, длина разбега очень большой.</w:t>
      </w:r>
    </w:p>
    <w:p w14:paraId="1065F775" w14:textId="77777777" w:rsidR="00DD1530" w:rsidRPr="0044524F" w:rsidRDefault="00DD15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1932 году к проектным работам тяжелого штурмовика ТШ-3 монопланной схемы с низкорасположенным подкосным крылом площадью 45,04 кв. м, неубирающимся шасси и двигателем М-34Ф взлетной мощностью 830 л.с., бригада С.А. Кочеригина приступила еще в ЦКБ ЦАГИ. Позже к проектным работам подключился инженер М.И. Гуревич Затем работы продолжились в ЦКБ завода № 39. </w:t>
      </w:r>
    </w:p>
    <w:p w14:paraId="32D310AE" w14:textId="77777777" w:rsidR="00DD1530" w:rsidRPr="0044524F" w:rsidRDefault="00DD15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Бронезащита жизненно важных частей этого штурмовика была такой же, как на самолетах-штурмовиках ТШ-1 и ТШ-2. Передняя часть фюзеляжа с двигателем, кабиной летчика и стрелка представляла собой бронекоробку, собранную из кусков плоской брони на дюралевых уголках, скрепленных болтами. Толщина брони: впереди – 8 мм., снизу, с боков и сзади - 6 мм. Двигатель сверху не бронировался. Сотовый радиатор на нем был выдвижной, снизу бронированный. В момент атаки радиатор полностью убирался в фюзеляж. Общая масса брони составляла 576 кг. Задняя часть фюзеляжа ТШ-3 – ферменная, сваренная из стальных труб и обшита полотном. Крыло и оперение обшивались листовым дюралем и полотном. Обычное шасси имело обтекатели на колесах.</w:t>
      </w:r>
    </w:p>
    <w:p w14:paraId="6633C07F" w14:textId="77777777" w:rsidR="00DD1530" w:rsidRPr="0044524F" w:rsidRDefault="00DD15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Штурмовик был вооружен двумя пулеметными батареями из пяти пулемеметов ШКАС каждая, размещенными в крыле по обе стороны фюзеляжа, одним оборонительным пулеметом у стрелка на задней огневой установке и 250 кг. бомб (в трех отсеках по 6 осколочных бомб на каждой стороне крыла). Помимо этого, штурмовик мог нести крупные авиабомбы, выливные и химические авиаприборы, подвешиваемые к балочным держателям, введенным в конструкцию крыла. Максимальная бомбовая нагрузка могла составлять 400 кг., но за счет сокращения числа пулеметов.</w:t>
      </w:r>
    </w:p>
    <w:p w14:paraId="6A6CA771" w14:textId="77777777" w:rsidR="00DD1530" w:rsidRPr="0044524F" w:rsidRDefault="00DD15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Испытывал ТШ-3 В.К. Коккинаки. Летные качества этой машины оказались даже выше требований ВВС. Несмотря на большой полетный вес, штурмовик развивал скорость до 247 км/час, поднимался на высоту 5800 метров, имел дальность полета 470 км. Однако к весне 1934 года, когда закончились испытания и доводка, летные данные ТШ-3 уже не удовлетворяли заказчика. Сказывалась угловатость форм корпуса бронекоробки (двояковыпуклой брони тогда еще не было), перетяжеление конструкции. Оставалась нерешенной и проблема надежного охлаждения двигателя (99).</w:t>
      </w:r>
    </w:p>
    <w:p w14:paraId="65609C0D" w14:textId="77777777" w:rsidR="00DD1530" w:rsidRPr="0044524F" w:rsidRDefault="00DD153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Можно предположить, что совершенствование этого штурмовика продолжалось и в дальнейшем, поскольку в отчете завода № 39 за 1936 год, в разделе законченных опытных работ значатся «доделки самолета ТШ-3» (18293).</w:t>
      </w:r>
    </w:p>
    <w:p w14:paraId="464F7E2E" w14:textId="77777777" w:rsidR="00DD1530" w:rsidRPr="0044524F" w:rsidRDefault="00DD1530" w:rsidP="009654CF">
      <w:pPr>
        <w:spacing w:after="0" w:line="240" w:lineRule="auto"/>
        <w:jc w:val="both"/>
        <w:rPr>
          <w:rFonts w:ascii="Times New Roman" w:hAnsi="Times New Roman"/>
          <w:color w:val="000000" w:themeColor="text1"/>
          <w:sz w:val="16"/>
          <w:szCs w:val="16"/>
        </w:rPr>
      </w:pPr>
    </w:p>
    <w:p w14:paraId="72A894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 начале 1934 при уровне технической готовности 16% были остановлены работы по АНТ-30 - сухопутному крейсеру с 2М-38 по 570 нр и 2хИС в пользу СБ и из-за отмирания концепции универсальной машины типа крейсер (2233,39).</w:t>
      </w:r>
    </w:p>
    <w:p w14:paraId="484D8B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1F6959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при формирова</w:t>
      </w:r>
      <w:r w:rsidRPr="0044524F">
        <w:rPr>
          <w:rFonts w:ascii="Times New Roman" w:hAnsi="Times New Roman"/>
          <w:color w:val="000000" w:themeColor="text1"/>
          <w:sz w:val="16"/>
          <w:szCs w:val="16"/>
        </w:rPr>
        <w:softHyphen/>
        <w:t>нии плана опытно-конструкторских ра</w:t>
      </w:r>
      <w:r w:rsidRPr="0044524F">
        <w:rPr>
          <w:rFonts w:ascii="Times New Roman" w:hAnsi="Times New Roman"/>
          <w:color w:val="000000" w:themeColor="text1"/>
          <w:sz w:val="16"/>
          <w:szCs w:val="16"/>
        </w:rPr>
        <w:softHyphen/>
        <w:t>бот по самолетостроению на 1934-35 годы А.Н. Туполев внес предложение построить отечественный скоростной бомбардировщик. Правда, первые на</w:t>
      </w:r>
      <w:r w:rsidRPr="0044524F">
        <w:rPr>
          <w:rFonts w:ascii="Times New Roman" w:hAnsi="Times New Roman"/>
          <w:color w:val="000000" w:themeColor="text1"/>
          <w:sz w:val="16"/>
          <w:szCs w:val="16"/>
        </w:rPr>
        <w:softHyphen/>
        <w:t>метки Туполева были довольно скром</w:t>
      </w:r>
      <w:r w:rsidRPr="0044524F">
        <w:rPr>
          <w:rFonts w:ascii="Times New Roman" w:hAnsi="Times New Roman"/>
          <w:color w:val="000000" w:themeColor="text1"/>
          <w:sz w:val="16"/>
          <w:szCs w:val="16"/>
        </w:rPr>
        <w:softHyphen/>
        <w:t>ны: скорость 300-320 км/ч (а В-10 имел 340 км/ч). В итоге уже в первый вари</w:t>
      </w:r>
      <w:r w:rsidRPr="0044524F">
        <w:rPr>
          <w:rFonts w:ascii="Times New Roman" w:hAnsi="Times New Roman"/>
          <w:color w:val="000000" w:themeColor="text1"/>
          <w:sz w:val="16"/>
          <w:szCs w:val="16"/>
        </w:rPr>
        <w:softHyphen/>
        <w:t>ант плана заложили два новых двухмо</w:t>
      </w:r>
      <w:r w:rsidRPr="0044524F">
        <w:rPr>
          <w:rFonts w:ascii="Times New Roman" w:hAnsi="Times New Roman"/>
          <w:color w:val="000000" w:themeColor="text1"/>
          <w:sz w:val="16"/>
          <w:szCs w:val="16"/>
        </w:rPr>
        <w:softHyphen/>
        <w:t>торных «бомбардировщика ближнего действия». Создание одного из них, цельнометаллического, поручили КОСОС ЦАГИ, руководимому Туполевым. Работу над вторым самолетом, смешан</w:t>
      </w:r>
      <w:r w:rsidRPr="0044524F">
        <w:rPr>
          <w:rFonts w:ascii="Times New Roman" w:hAnsi="Times New Roman"/>
          <w:color w:val="000000" w:themeColor="text1"/>
          <w:sz w:val="16"/>
          <w:szCs w:val="16"/>
        </w:rPr>
        <w:softHyphen/>
        <w:t>ной конструкции, задали заводу № 39 — фактически базировавшемуся там Центральному конструкторскому бюро (ЦКБ). Начальником ЦКБ в то время являл</w:t>
      </w:r>
      <w:r w:rsidRPr="0044524F">
        <w:rPr>
          <w:rFonts w:ascii="Times New Roman" w:hAnsi="Times New Roman"/>
          <w:color w:val="000000" w:themeColor="text1"/>
          <w:sz w:val="16"/>
          <w:szCs w:val="16"/>
        </w:rPr>
        <w:softHyphen/>
        <w:t>ся С.В. Ильюшин. Он тогда был более известен как высокопоставленный ад</w:t>
      </w:r>
      <w:r w:rsidRPr="0044524F">
        <w:rPr>
          <w:rFonts w:ascii="Times New Roman" w:hAnsi="Times New Roman"/>
          <w:color w:val="000000" w:themeColor="text1"/>
          <w:sz w:val="16"/>
          <w:szCs w:val="16"/>
        </w:rPr>
        <w:softHyphen/>
        <w:t>министратор, нежели как конструктор. Его конструкторский опыт сводился лишь к созданию нескольких учебных и спортивных планеров. Однако Илью</w:t>
      </w:r>
      <w:r w:rsidRPr="0044524F">
        <w:rPr>
          <w:rFonts w:ascii="Times New Roman" w:hAnsi="Times New Roman"/>
          <w:color w:val="000000" w:themeColor="text1"/>
          <w:sz w:val="16"/>
          <w:szCs w:val="16"/>
        </w:rPr>
        <w:softHyphen/>
        <w:t>шин рвался к самостоятельной работе по проектированию боевых самолетов. Уже в феврале 1934 г. с согласия напальника Главного управления авиаци</w:t>
      </w:r>
      <w:r w:rsidRPr="0044524F">
        <w:rPr>
          <w:rFonts w:ascii="Times New Roman" w:hAnsi="Times New Roman"/>
          <w:color w:val="000000" w:themeColor="text1"/>
          <w:sz w:val="16"/>
          <w:szCs w:val="16"/>
        </w:rPr>
        <w:softHyphen/>
        <w:t>онной промышленности (ГУАП) П.И. Баранова в рамках ЦКБ он создал не</w:t>
      </w:r>
      <w:r w:rsidRPr="0044524F">
        <w:rPr>
          <w:rFonts w:ascii="Times New Roman" w:hAnsi="Times New Roman"/>
          <w:color w:val="000000" w:themeColor="text1"/>
          <w:sz w:val="16"/>
          <w:szCs w:val="16"/>
        </w:rPr>
        <w:softHyphen/>
        <w:t>большую собственную группу (10734,1).</w:t>
      </w:r>
    </w:p>
    <w:p w14:paraId="4BD6C4E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94DEC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конце 1933 г. при формировании плана опытно-конструкторских работ но самолетостроению на 1934-33 годы А.Н.Т. внес предложение построить отечественный скоростной бомбардировщик. Правда, первые наметки Туполева были довольно скромны: скорость 300-320 км/ч (а Мартин 139 - В-10 имел 340 км ч). В итоге уже в </w:t>
      </w:r>
      <w:r w:rsidRPr="0044524F">
        <w:rPr>
          <w:rFonts w:ascii="Times New Roman" w:hAnsi="Times New Roman"/>
          <w:color w:val="000000" w:themeColor="text1"/>
          <w:sz w:val="16"/>
          <w:szCs w:val="16"/>
        </w:rPr>
        <w:lastRenderedPageBreak/>
        <w:t>первый вариант плана заложили два новых двухмоторных бомбардировщика ближнего действия. Создание одного из них, цельнометаллического, поручили ЦАГИ (т.е. КОСОС) и именно эта машина стала СБ, а второго - смещшанной конструкции задали заводу № 39 - фактически базировавшемуся там ЦКБ, во главе которого тогда стоял С.В.Ильюшин. Это задание привело позднее к появлению ЦКБ-26, прообраза дальнего бомбардировщика ДБ-3 (7643).</w:t>
      </w:r>
    </w:p>
    <w:p w14:paraId="0D6F19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A412A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в ЦАГИ начались проработки проекта нового бомбардировщика, получившего обозначение АНТ-40 (7643).</w:t>
      </w:r>
    </w:p>
    <w:p w14:paraId="310669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E169A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были готовы соответствующие ТТТ и началась разработка СБ (АНТ-40) (80,228).</w:t>
      </w:r>
    </w:p>
    <w:p w14:paraId="243D41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CF756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УВВС утвердило ТТТ к СБ только в марте 1934, а в январе 1934 А.А.А. был только еще назначен главой бригады 5 (2233,46).</w:t>
      </w:r>
    </w:p>
    <w:p w14:paraId="17C777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A4A4B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на территории северного Китая самолеты Р-5 впервые использовались в боевых действиях. Китайское государство представляло собой в ту пору довольно пестрое образование, в котором при наличии центрального правительства, находящегося в Нанкине, имелись самостоятельные провинции, ведущие свою независимую политику. Междоусобные войны при таком положении вещей были вполне обычным делом. Северная провинция Синьцзян была отгорожена от остальной территории страны высочайшими горными хребтами и безжизненными пустынями и граничила с Советским Союзом. Провинция явно тяготела к своему набиравшему мощь и силу северному соседу. В 1933 году к власти в провинции пришло достаточно прогрессивное правительство, которое заключило с СССР ряд соглашений, в том числе и торговых. Была достигнута договоренность о помощи провинции в области авиации, в частности, в Синьцзяне открывалась авиационная школа с советскими самолетами и инструкторами. Подразумевалась, естественно, и военная помощь (5016).</w:t>
      </w:r>
    </w:p>
    <w:p w14:paraId="6F36E2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789C3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наладили выпуск Р-5а. Головная машина № 6763 проходила государственные испытания в Севастополе с 12 декабря 1933 г. по 14 января 1934 г. Облетывал ее пилот Ершов. Несмотря на некоторый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на 7 мин, уменьшилось время набора высоты 3000 м. Никаких дефектов в пилотажных характеристиках на испытаниях не выявили. Самолет получил удовлетворительную оценку и был допущен к эксплуатации в строевых частях.</w:t>
      </w:r>
    </w:p>
    <w:p w14:paraId="6B30A9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Серийные поплавковые машины имели усиленный каркас передней части фюзеляжа и измененную мотораму. В поплавках размещались банки для аварийного запаса продовольствия и пресной воды. Для того чтобы можно было извлечь самолет из воды краном, на центроплане верхнего крыла сделали скобы, усилили передний лонжерон центроплана и стойки кабана (между центропланом и фюзеляжем).</w:t>
      </w:r>
    </w:p>
    <w:p w14:paraId="44E6AF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машинах ставился фотоаппарат Поттэ IБ или АФА- 13, радиостанция СКТЭ. К специфически морскому оборудованию относились якорь-кошка, плавучий якорь и надувные спасательные пояса для обоих членов экипажа (12034).</w:t>
      </w:r>
    </w:p>
    <w:p w14:paraId="60F3B3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04C49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три Р-5а отправили Морским силам Дальнего Востока (МСДВ). В январе следующего года 69-й отряд в Бочкарево уже имел 10 гидропланов. Р-5а был значительно проще в пилотировании, чем МР-1, но мореходность и у него оставляла желать лучшего. Он больше подходил для эксплуатации на реках и озерах, нежели на море. Одним из существенных недостатков оказалась непрочность поплавков, которые иногда разваливались после 30 посадок. Поэтому основными ближними разведчиками стали летающие лодки, а Р-5а выполняли вспомогательные функции (11936).</w:t>
      </w:r>
    </w:p>
    <w:p w14:paraId="09AC78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897F8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Р.Л.Бартини в НИИ ГВФ начал проектировать пассажирский Сталь-7 со скоростью 400 км/час (4,85) в расчете на ИС (2865,6).</w:t>
      </w:r>
    </w:p>
    <w:p w14:paraId="391AD1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Есть мнение, что идея была Лавиля и только в январе 1934 машину передали Р.Л.Б.</w:t>
      </w:r>
    </w:p>
    <w:p w14:paraId="54F569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5CD5C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руководство Главного управления авиационной промышленности приняло решение о прекращении в 1934 году выпуска К-5 и начале производства на ХАЗе продукции военного назначения (10674).</w:t>
      </w:r>
    </w:p>
    <w:p w14:paraId="12743F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0BEA8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 готовность МГ составила 60%. Поставка оборудования и комплектующих осуществлялась более чем сотней предприятий со всей страны.</w:t>
      </w:r>
    </w:p>
    <w:p w14:paraId="7D58EA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ходе постройки Завод опытных конструкций регулярно отчитывался как перед комиссией, так и перед ГУАП. Ходом создания самолета-гиганта интересовалось и высшее руководство страны, включая И.В. Сталина.</w:t>
      </w:r>
    </w:p>
    <w:p w14:paraId="5735B0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Никакого военного оборудования на МГ ставить не собирались. Но военный вариант продолжал прорабатываться параллельно с агитационным (12024). </w:t>
      </w:r>
    </w:p>
    <w:p w14:paraId="41CFE7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FF5EC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конца 1933 на 23 заводе начался серийный выпуск У-2СП (спецприменения) - лимузинов - и в 1934 сделали 101, а в 1938 - 210. В ГВФ обозначали ПС-3 и в конце 1939 было 552. Всего выпустили 831 (9076).</w:t>
      </w:r>
    </w:p>
    <w:p w14:paraId="7876ED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867F959" w14:textId="77777777" w:rsidR="00D51FA5" w:rsidRPr="00142305" w:rsidRDefault="00D51FA5" w:rsidP="00D51FA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1933-го Руководство ГВФ, похоже, окончательно определило место машины АНТ-14 в четырехмоторнойм 40-местном варианте в системе воздушных перевозок, задумав их использовать на линиях, связывавших Москву со Свердловском и Харьковом. Это уже более реально, чем полеты во Владивосток. В том же году Глававиапром планировал сдать заказчику около 10 самолетов. Но планы так и остались на бумаге (25604).</w:t>
      </w:r>
    </w:p>
    <w:p w14:paraId="67D583E7" w14:textId="77777777" w:rsidR="00D51FA5" w:rsidRPr="00142305" w:rsidRDefault="00D51FA5" w:rsidP="00D51FA5">
      <w:pPr>
        <w:spacing w:after="0" w:line="240" w:lineRule="auto"/>
        <w:jc w:val="both"/>
        <w:rPr>
          <w:rFonts w:ascii="Times New Roman" w:hAnsi="Times New Roman"/>
          <w:color w:val="0070C0"/>
          <w:sz w:val="16"/>
          <w:szCs w:val="16"/>
        </w:rPr>
      </w:pPr>
    </w:p>
    <w:p w14:paraId="057517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А.С.Москалев начал работать над проектом Сигма с 2хМ-100 - истребителя-перехватчика САМ-7 с расчетной скоростью 1000 км/час (1120).</w:t>
      </w:r>
    </w:p>
    <w:p w14:paraId="781979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44D51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А.Москалев начал работу над САМ-4 Сумма с 2хМ-100 и подготовил эскизный проект к сентябрю 1934 (2889,34).</w:t>
      </w:r>
    </w:p>
    <w:p w14:paraId="253616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6F6DBF6"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конца года 1933, в процессе постройки, самолёт (в шутку прозванный Д.А. Ромейко-Гурко «жуком с соломинкой») претерпел значительные конструктивные изменения. В связи с изменением конструкции отъёмных частей крыла (ОЧК) приняли решение — ранее изготовленные ОЧК на самолёт не ставить. Кроме того, изготовленное для ДИП хвостовое оперение установили на самолёт МИ-Збис. В результате этих мероприятий общая готовность самолёта ДИП снизилась до 6,5% (15283).</w:t>
      </w:r>
    </w:p>
    <w:p w14:paraId="67613DAA" w14:textId="77777777" w:rsidR="0047154B" w:rsidRPr="0044524F" w:rsidRDefault="0047154B" w:rsidP="009654CF">
      <w:pPr>
        <w:spacing w:after="0" w:line="240" w:lineRule="auto"/>
        <w:jc w:val="both"/>
        <w:rPr>
          <w:rFonts w:ascii="Times New Roman" w:hAnsi="Times New Roman"/>
          <w:color w:val="000000" w:themeColor="text1"/>
          <w:sz w:val="16"/>
          <w:szCs w:val="16"/>
        </w:rPr>
      </w:pPr>
    </w:p>
    <w:p w14:paraId="18877F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при выдаче технического задания на бомбардировщик, с использованием его крыла предполагалось проектирование нового, специального фюзеляжа, способного вместить 10-</w:t>
      </w:r>
      <w:r w:rsidR="0047154B"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rPr>
        <w:t>2 пассажиров. Эта деятельность растянулась на несколько лет и выразилась в создании пассажирского самолета АНТ-35 (ПС-35) (12027).</w:t>
      </w:r>
    </w:p>
    <w:p w14:paraId="2139A5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BA04B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в результате проведенных исследований, начатых еще в бытность работы в Ленинграде, где Москалев начал экспериментальные работы по исследованию сверхзвуковых скоростей и предположил, что наиболее оптимальной аэродинамической формой самолета должно быть летающее крыло в виде вытянутого треугольника, имеющего форму, близкую к осевому сечению артиллерийского снаряда, на заводе № 18 у Москалева, начальника серийного конструкторского отдела (СКО), которому была поручена подготовка рабочих чертежей тяжелого 4-моторного бомбардировщика ТБ-3 конструкции А.Н. Туполева, появился проект сверхзвукового истребителя САМ-4 "Сигма". Как отмечал позже сам А.С. Москалев: « САМ-4 я считаю наиболее интересной своей работой».</w:t>
      </w:r>
    </w:p>
    <w:p w14:paraId="0F7E0A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за "несусветную экзотику" проект «Сигмы» был отклонен и пролежал в архиве ГУАП НКТП почти три года. А ведь этот проект доказывал приоритет Александра Сергеевича и нашей страны в изобретении новой перспективной компоновки самолета. «Сигму» Москалев забросил, занялся текущими делами.</w:t>
      </w:r>
    </w:p>
    <w:p w14:paraId="717514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работа над проектом САМ-4 "Сигма" все-таки не пропала даром. 7 мая 1937 года Москалев был срочно вызван в Москву. До Сталина дошла информация о теоретических работах над крылом необычной формы русского эмигранта Глухарева в Америке. Москалеву предписывалось в кратчайшие сроки разработать аналог самолета "Сигма", осуществить его постройку в ОКБ-31 и провести летные испытания.</w:t>
      </w:r>
    </w:p>
    <w:p w14:paraId="33A961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А.С. Москалев разработал эскизный проект "Стрелы" всего за три дня, хотя продумывался он годами, а собственно самолет построили за семьдесят дней. Одновременно были закончены продувки модели в ЦАГИ. Наземные испытания САМ-9 начались 27 июля 1937 года. </w:t>
      </w:r>
    </w:p>
    <w:p w14:paraId="041A49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Летчик-испытатель Чернавский вспоминал об испытаниях САМ-9: "…Мы просто не успели или, вернее, не смогли воспринять психологически самолет "Стрела". Мы не были готовы, опять же психологически, работать на машине такого типа! Винить нас за это нельзя, нас надо было просто понять! Бипланы со стойками, расчалками и вдруг стремительный изящный треугольник!".</w:t>
      </w:r>
    </w:p>
    <w:p w14:paraId="7F862E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всех испытаний, составления акта и написания приложения к отчету ЦАГИ самолет САМ-9 "Стрела", который полностью выполнил свою задачу, по приказу из Москвы в конце 1938 года был... уничтожен (11707).</w:t>
      </w:r>
    </w:p>
    <w:p w14:paraId="59B970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A1413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Л.В.Курчевский, Нач. ОКБ ГАУ, обосновался на заводе 38 - через ж/д от 8 и построил полигон и аэродром. Там строили и ИП-1 Д.П.Г. (2693,17).</w:t>
      </w:r>
    </w:p>
    <w:p w14:paraId="2F2F99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CA36923" w14:textId="77777777" w:rsidR="00407660" w:rsidRPr="0044524F" w:rsidRDefault="00407660" w:rsidP="009654CF">
      <w:pPr>
        <w:pStyle w:val="108"/>
        <w:shd w:val="clear" w:color="auto" w:fill="auto"/>
        <w:spacing w:after="0" w:line="240" w:lineRule="auto"/>
        <w:ind w:firstLine="0"/>
        <w:jc w:val="both"/>
        <w:rPr>
          <w:rFonts w:ascii="Times New Roman" w:hAnsi="Times New Roman" w:cs="Times New Roman"/>
          <w:color w:val="000000" w:themeColor="text1"/>
          <w:sz w:val="16"/>
          <w:szCs w:val="16"/>
        </w:rPr>
      </w:pPr>
      <w:r w:rsidRPr="0044524F">
        <w:rPr>
          <w:rStyle w:val="79"/>
          <w:rFonts w:ascii="Times New Roman" w:hAnsi="Times New Roman" w:cs="Times New Roman"/>
          <w:color w:val="000000" w:themeColor="text1"/>
          <w:sz w:val="16"/>
          <w:szCs w:val="16"/>
          <w:lang w:val="ru-RU"/>
        </w:rPr>
        <w:t>В</w:t>
      </w:r>
      <w:r w:rsidRPr="0044524F">
        <w:rPr>
          <w:rStyle w:val="79"/>
          <w:rFonts w:ascii="Times New Roman" w:hAnsi="Times New Roman" w:cs="Times New Roman"/>
          <w:color w:val="000000" w:themeColor="text1"/>
          <w:sz w:val="16"/>
          <w:szCs w:val="16"/>
        </w:rPr>
        <w:t xml:space="preserve"> конце 1933 года ГУАП попытался влить 133-й завод в со</w:t>
      </w:r>
      <w:r w:rsidRPr="0044524F">
        <w:rPr>
          <w:rStyle w:val="79"/>
          <w:rFonts w:ascii="Times New Roman" w:hAnsi="Times New Roman" w:cs="Times New Roman"/>
          <w:color w:val="000000" w:themeColor="text1"/>
          <w:sz w:val="16"/>
          <w:szCs w:val="16"/>
        </w:rPr>
        <w:softHyphen/>
        <w:t>став завода № 39. В 1932 году Дмитрий Павлович Григорович сумел полу</w:t>
      </w:r>
      <w:r w:rsidRPr="0044524F">
        <w:rPr>
          <w:rStyle w:val="79"/>
          <w:rFonts w:ascii="Times New Roman" w:hAnsi="Times New Roman" w:cs="Times New Roman"/>
          <w:color w:val="000000" w:themeColor="text1"/>
          <w:sz w:val="16"/>
          <w:szCs w:val="16"/>
        </w:rPr>
        <w:softHyphen/>
        <w:t>чить «свой» завод, получивший номер 133. Открытый адрес этого предприятия для пере</w:t>
      </w:r>
      <w:r w:rsidRPr="0044524F">
        <w:rPr>
          <w:rStyle w:val="79"/>
          <w:rFonts w:ascii="Times New Roman" w:hAnsi="Times New Roman" w:cs="Times New Roman"/>
          <w:color w:val="000000" w:themeColor="text1"/>
          <w:sz w:val="16"/>
          <w:szCs w:val="16"/>
        </w:rPr>
        <w:softHyphen/>
        <w:t>писки - Москва-79, п/я 2424. Почтовое отде</w:t>
      </w:r>
      <w:r w:rsidRPr="0044524F">
        <w:rPr>
          <w:rStyle w:val="79"/>
          <w:rFonts w:ascii="Times New Roman" w:hAnsi="Times New Roman" w:cs="Times New Roman"/>
          <w:color w:val="000000" w:themeColor="text1"/>
          <w:sz w:val="16"/>
          <w:szCs w:val="16"/>
        </w:rPr>
        <w:softHyphen/>
        <w:t>ление № 79 тогда находилось на Красно</w:t>
      </w:r>
      <w:r w:rsidRPr="0044524F">
        <w:rPr>
          <w:rStyle w:val="79"/>
          <w:rFonts w:ascii="Times New Roman" w:hAnsi="Times New Roman" w:cs="Times New Roman"/>
          <w:color w:val="000000" w:themeColor="text1"/>
          <w:sz w:val="16"/>
          <w:szCs w:val="16"/>
        </w:rPr>
        <w:softHyphen/>
        <w:t xml:space="preserve">армейской улице, в доме </w:t>
      </w:r>
      <w:r w:rsidRPr="0044524F">
        <w:rPr>
          <w:rStyle w:val="79"/>
          <w:rFonts w:ascii="Times New Roman" w:hAnsi="Times New Roman" w:cs="Times New Roman"/>
          <w:color w:val="000000" w:themeColor="text1"/>
          <w:sz w:val="16"/>
          <w:szCs w:val="16"/>
        </w:rPr>
        <w:lastRenderedPageBreak/>
        <w:t>1а, вероятно, и завод № 133 размещался где-то поблизости, скорее всего, по адресу Авиационный пере</w:t>
      </w:r>
      <w:r w:rsidRPr="0044524F">
        <w:rPr>
          <w:rStyle w:val="79"/>
          <w:rFonts w:ascii="Times New Roman" w:hAnsi="Times New Roman" w:cs="Times New Roman"/>
          <w:color w:val="000000" w:themeColor="text1"/>
          <w:sz w:val="16"/>
          <w:szCs w:val="16"/>
        </w:rPr>
        <w:softHyphen/>
        <w:t>улок, дом 5, на площадях расформированного поликарповского КБ завода № 25, сменивше</w:t>
      </w:r>
      <w:r w:rsidRPr="0044524F">
        <w:rPr>
          <w:rStyle w:val="79"/>
          <w:rFonts w:ascii="Times New Roman" w:hAnsi="Times New Roman" w:cs="Times New Roman"/>
          <w:color w:val="000000" w:themeColor="text1"/>
          <w:sz w:val="16"/>
          <w:szCs w:val="16"/>
        </w:rPr>
        <w:softHyphen/>
        <w:t>го там в свое время ГАЗ № 5, бывший завод Франческо Моски. Место, как говорится, пре</w:t>
      </w:r>
      <w:r w:rsidRPr="0044524F">
        <w:rPr>
          <w:rStyle w:val="79"/>
          <w:rFonts w:ascii="Times New Roman" w:hAnsi="Times New Roman" w:cs="Times New Roman"/>
          <w:color w:val="000000" w:themeColor="text1"/>
          <w:sz w:val="16"/>
          <w:szCs w:val="16"/>
        </w:rPr>
        <w:softHyphen/>
        <w:t>стижное и удобное</w:t>
      </w:r>
      <w:r w:rsidRPr="0044524F">
        <w:rPr>
          <w:rStyle w:val="79"/>
          <w:rFonts w:ascii="Times New Roman" w:hAnsi="Times New Roman" w:cs="Times New Roman"/>
          <w:color w:val="000000" w:themeColor="text1"/>
          <w:sz w:val="16"/>
          <w:szCs w:val="16"/>
          <w:lang w:val="ru-RU"/>
        </w:rPr>
        <w:t xml:space="preserve">. </w:t>
      </w:r>
      <w:r w:rsidRPr="0044524F">
        <w:rPr>
          <w:rStyle w:val="79"/>
          <w:rFonts w:ascii="Times New Roman" w:hAnsi="Times New Roman" w:cs="Times New Roman"/>
          <w:color w:val="000000" w:themeColor="text1"/>
          <w:sz w:val="16"/>
          <w:szCs w:val="16"/>
        </w:rPr>
        <w:t>То есть уход КБ Григорови</w:t>
      </w:r>
      <w:r w:rsidRPr="0044524F">
        <w:rPr>
          <w:rStyle w:val="79"/>
          <w:rFonts w:ascii="Times New Roman" w:hAnsi="Times New Roman" w:cs="Times New Roman"/>
          <w:color w:val="000000" w:themeColor="text1"/>
          <w:sz w:val="16"/>
          <w:szCs w:val="16"/>
        </w:rPr>
        <w:softHyphen/>
        <w:t>ча под «крышу» УСР Курчевского во многом стал мерой вынужденной, попыткой сохра</w:t>
      </w:r>
      <w:r w:rsidRPr="0044524F">
        <w:rPr>
          <w:rStyle w:val="79"/>
          <w:rFonts w:ascii="Times New Roman" w:hAnsi="Times New Roman" w:cs="Times New Roman"/>
          <w:color w:val="000000" w:themeColor="text1"/>
          <w:sz w:val="16"/>
          <w:szCs w:val="16"/>
        </w:rPr>
        <w:softHyphen/>
        <w:t>нить творческую самостоятельность</w:t>
      </w:r>
      <w:r w:rsidRPr="0044524F">
        <w:rPr>
          <w:rStyle w:val="79"/>
          <w:rFonts w:ascii="Times New Roman" w:hAnsi="Times New Roman" w:cs="Times New Roman"/>
          <w:color w:val="000000" w:themeColor="text1"/>
          <w:sz w:val="16"/>
          <w:szCs w:val="16"/>
          <w:lang w:val="ru-RU"/>
        </w:rPr>
        <w:t xml:space="preserve"> (19871)</w:t>
      </w:r>
      <w:r w:rsidRPr="0044524F">
        <w:rPr>
          <w:rStyle w:val="79"/>
          <w:rFonts w:ascii="Times New Roman" w:hAnsi="Times New Roman" w:cs="Times New Roman"/>
          <w:color w:val="000000" w:themeColor="text1"/>
          <w:sz w:val="16"/>
          <w:szCs w:val="16"/>
        </w:rPr>
        <w:t>.</w:t>
      </w:r>
    </w:p>
    <w:p w14:paraId="64053F93" w14:textId="77777777" w:rsidR="00407660" w:rsidRPr="0044524F" w:rsidRDefault="00407660" w:rsidP="009654CF">
      <w:pPr>
        <w:pStyle w:val="108"/>
        <w:shd w:val="clear" w:color="auto" w:fill="auto"/>
        <w:spacing w:after="0" w:line="240" w:lineRule="auto"/>
        <w:ind w:firstLine="0"/>
        <w:jc w:val="both"/>
        <w:rPr>
          <w:rStyle w:val="79"/>
          <w:rFonts w:ascii="Times New Roman" w:hAnsi="Times New Roman" w:cs="Times New Roman"/>
          <w:color w:val="000000" w:themeColor="text1"/>
          <w:sz w:val="16"/>
          <w:szCs w:val="16"/>
        </w:rPr>
      </w:pPr>
    </w:p>
    <w:p w14:paraId="50109345" w14:textId="77777777" w:rsidR="0047154B" w:rsidRPr="0044524F" w:rsidRDefault="0047154B" w:rsidP="009654CF">
      <w:pPr>
        <w:pStyle w:val="a3"/>
        <w:rPr>
          <w:color w:val="000000" w:themeColor="text1"/>
          <w:lang w:val="ru-RU"/>
        </w:rPr>
      </w:pPr>
      <w:r w:rsidRPr="0044524F">
        <w:rPr>
          <w:color w:val="000000" w:themeColor="text1"/>
          <w:lang w:val="ru-RU"/>
        </w:rPr>
        <w:t>В конце 1933 г. - начале 1934 г. Григорович получил задание на про</w:t>
      </w:r>
      <w:r w:rsidRPr="0044524F">
        <w:rPr>
          <w:color w:val="000000" w:themeColor="text1"/>
          <w:lang w:val="ru-RU"/>
        </w:rPr>
        <w:softHyphen/>
        <w:t>ектирование скоростного моноплана с убираемым шасси, который был осна</w:t>
      </w:r>
      <w:r w:rsidRPr="0044524F">
        <w:rPr>
          <w:color w:val="000000" w:themeColor="text1"/>
          <w:lang w:val="ru-RU"/>
        </w:rPr>
        <w:softHyphen/>
        <w:t>щен двигателем Райт «Циклон» й-1820 Р-3 мощностью 625 л.е. и рассчитывался под установку двух динамореактивных пушек АПК-4 и двух пулеметов ШКАС. В документах КБ Григоровича периода 1934-1935 гг. указы</w:t>
      </w:r>
      <w:r w:rsidRPr="0044524F">
        <w:rPr>
          <w:color w:val="000000" w:themeColor="text1"/>
          <w:lang w:val="ru-RU"/>
        </w:rPr>
        <w:softHyphen/>
        <w:t>вались следующие расчетные характери</w:t>
      </w:r>
      <w:r w:rsidRPr="0044524F">
        <w:rPr>
          <w:color w:val="000000" w:themeColor="text1"/>
          <w:lang w:val="ru-RU"/>
        </w:rPr>
        <w:softHyphen/>
        <w:t>стики ПИ-1 (ДГ-52):</w:t>
      </w:r>
    </w:p>
    <w:p w14:paraId="26EE9356" w14:textId="77777777" w:rsidR="0047154B" w:rsidRPr="0044524F" w:rsidRDefault="0047154B" w:rsidP="009654CF">
      <w:pPr>
        <w:tabs>
          <w:tab w:val="right" w:leader="dot" w:pos="317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конструкции (кг)</w:t>
      </w:r>
      <w:r w:rsidRPr="0044524F">
        <w:rPr>
          <w:rFonts w:ascii="Times New Roman" w:hAnsi="Times New Roman"/>
          <w:color w:val="000000" w:themeColor="text1"/>
          <w:sz w:val="16"/>
          <w:szCs w:val="16"/>
        </w:rPr>
        <w:tab/>
        <w:t>568,7</w:t>
      </w:r>
    </w:p>
    <w:p w14:paraId="299718D8" w14:textId="77777777" w:rsidR="0047154B" w:rsidRPr="0044524F" w:rsidRDefault="0047154B" w:rsidP="009654CF">
      <w:pPr>
        <w:tabs>
          <w:tab w:val="right" w:leader="dot" w:pos="317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Полная нагрузка (кг)</w:t>
      </w:r>
      <w:r w:rsidRPr="0044524F">
        <w:rPr>
          <w:rFonts w:ascii="Times New Roman" w:hAnsi="Times New Roman"/>
          <w:color w:val="000000" w:themeColor="text1"/>
          <w:sz w:val="16"/>
          <w:szCs w:val="16"/>
        </w:rPr>
        <w:tab/>
        <w:t>565</w:t>
      </w:r>
    </w:p>
    <w:p w14:paraId="24A0DEB4" w14:textId="77777777" w:rsidR="0047154B" w:rsidRPr="0044524F" w:rsidRDefault="0047154B" w:rsidP="009654CF">
      <w:pPr>
        <w:tabs>
          <w:tab w:val="right" w:leader="dot" w:pos="317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19,98</w:t>
      </w:r>
    </w:p>
    <w:p w14:paraId="4A8C56C3" w14:textId="77777777" w:rsidR="0047154B" w:rsidRPr="0044524F" w:rsidRDefault="0047154B" w:rsidP="009654CF">
      <w:pPr>
        <w:tabs>
          <w:tab w:val="right" w:leader="dot" w:pos="317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Нагрузка на крыло (кг/м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rPr>
        <w:tab/>
        <w:t>94,0</w:t>
      </w:r>
    </w:p>
    <w:p w14:paraId="04E95999" w14:textId="77777777" w:rsidR="0047154B" w:rsidRPr="0044524F" w:rsidRDefault="0047154B" w:rsidP="009654CF">
      <w:pPr>
        <w:tabs>
          <w:tab w:val="right" w:leader="dot" w:pos="317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Весовая отдача</w:t>
      </w:r>
      <w:r w:rsidRPr="0044524F">
        <w:rPr>
          <w:rFonts w:ascii="Times New Roman" w:hAnsi="Times New Roman"/>
          <w:color w:val="000000" w:themeColor="text1"/>
          <w:sz w:val="16"/>
          <w:szCs w:val="16"/>
        </w:rPr>
        <w:tab/>
        <w:t>32,4%</w:t>
      </w:r>
    </w:p>
    <w:p w14:paraId="071F057F" w14:textId="77777777" w:rsidR="0047154B" w:rsidRPr="0044524F" w:rsidRDefault="0047154B" w:rsidP="009654CF">
      <w:pPr>
        <w:tabs>
          <w:tab w:val="right" w:leader="dot" w:pos="317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 у земли (км/ч)</w:t>
      </w:r>
      <w:r w:rsidRPr="0044524F">
        <w:rPr>
          <w:rFonts w:ascii="Times New Roman" w:hAnsi="Times New Roman"/>
          <w:color w:val="000000" w:themeColor="text1"/>
          <w:sz w:val="16"/>
          <w:szCs w:val="16"/>
        </w:rPr>
        <w:tab/>
        <w:t>368</w:t>
      </w:r>
    </w:p>
    <w:p w14:paraId="4C22947B"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w:t>
      </w:r>
    </w:p>
    <w:p w14:paraId="65A70720" w14:textId="77777777" w:rsidR="0047154B" w:rsidRPr="0044524F" w:rsidRDefault="0047154B" w:rsidP="009654CF">
      <w:pPr>
        <w:tabs>
          <w:tab w:val="right" w:leader="dot" w:pos="316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3000 м (км/ч)</w:t>
      </w:r>
      <w:r w:rsidRPr="0044524F">
        <w:rPr>
          <w:rFonts w:ascii="Times New Roman" w:hAnsi="Times New Roman"/>
          <w:color w:val="000000" w:themeColor="text1"/>
          <w:sz w:val="16"/>
          <w:szCs w:val="16"/>
        </w:rPr>
        <w:tab/>
        <w:t>410</w:t>
      </w:r>
    </w:p>
    <w:p w14:paraId="53C94BA9"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максимальная</w:t>
      </w:r>
    </w:p>
    <w:p w14:paraId="6C6887F4" w14:textId="77777777" w:rsidR="0047154B" w:rsidRPr="0044524F" w:rsidRDefault="0047154B" w:rsidP="009654CF">
      <w:pPr>
        <w:tabs>
          <w:tab w:val="right" w:leader="dot" w:pos="316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5000 м (км/ч)</w:t>
      </w:r>
      <w:r w:rsidRPr="0044524F">
        <w:rPr>
          <w:rFonts w:ascii="Times New Roman" w:hAnsi="Times New Roman"/>
          <w:color w:val="000000" w:themeColor="text1"/>
          <w:sz w:val="16"/>
          <w:szCs w:val="16"/>
        </w:rPr>
        <w:tab/>
        <w:t>389</w:t>
      </w:r>
    </w:p>
    <w:p w14:paraId="01349B9F" w14:textId="77777777" w:rsidR="0047154B" w:rsidRPr="0044524F" w:rsidRDefault="0047154B" w:rsidP="009654CF">
      <w:pPr>
        <w:tabs>
          <w:tab w:val="right" w:leader="dot" w:pos="316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посадочная (км/ч)</w:t>
      </w:r>
      <w:r w:rsidRPr="0044524F">
        <w:rPr>
          <w:rFonts w:ascii="Times New Roman" w:hAnsi="Times New Roman"/>
          <w:color w:val="000000" w:themeColor="text1"/>
          <w:sz w:val="16"/>
          <w:szCs w:val="16"/>
        </w:rPr>
        <w:tab/>
        <w:t>114</w:t>
      </w:r>
    </w:p>
    <w:p w14:paraId="5A42DF87"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посадочная</w:t>
      </w:r>
    </w:p>
    <w:p w14:paraId="528623CC" w14:textId="77777777" w:rsidR="0047154B" w:rsidRPr="0044524F" w:rsidRDefault="0047154B" w:rsidP="009654CF">
      <w:pPr>
        <w:tabs>
          <w:tab w:val="right" w:leader="dot" w:pos="316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щитками (км/ч)</w:t>
      </w:r>
      <w:r w:rsidRPr="0044524F">
        <w:rPr>
          <w:rFonts w:ascii="Times New Roman" w:hAnsi="Times New Roman"/>
          <w:color w:val="000000" w:themeColor="text1"/>
          <w:sz w:val="16"/>
          <w:szCs w:val="16"/>
        </w:rPr>
        <w:tab/>
        <w:t>97</w:t>
      </w:r>
    </w:p>
    <w:p w14:paraId="7F1821AC" w14:textId="77777777" w:rsidR="0047154B" w:rsidRPr="0044524F" w:rsidRDefault="0047154B" w:rsidP="009654CF">
      <w:pPr>
        <w:tabs>
          <w:tab w:val="right" w:leader="dot" w:pos="316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набора высоты 5000 м (мин)</w:t>
      </w:r>
      <w:r w:rsidRPr="0044524F">
        <w:rPr>
          <w:rFonts w:ascii="Times New Roman" w:hAnsi="Times New Roman"/>
          <w:color w:val="000000" w:themeColor="text1"/>
          <w:sz w:val="16"/>
          <w:szCs w:val="16"/>
        </w:rPr>
        <w:tab/>
        <w:t>8,6</w:t>
      </w:r>
    </w:p>
    <w:p w14:paraId="5BD0B825" w14:textId="77777777" w:rsidR="0047154B" w:rsidRPr="0044524F" w:rsidRDefault="0047154B" w:rsidP="009654CF">
      <w:pPr>
        <w:tabs>
          <w:tab w:val="right" w:leader="dot" w:pos="316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Потолок практический (м)</w:t>
      </w:r>
      <w:r w:rsidRPr="0044524F">
        <w:rPr>
          <w:rFonts w:ascii="Times New Roman" w:hAnsi="Times New Roman"/>
          <w:color w:val="000000" w:themeColor="text1"/>
          <w:sz w:val="16"/>
          <w:szCs w:val="16"/>
        </w:rPr>
        <w:tab/>
        <w:t>7700</w:t>
      </w:r>
    </w:p>
    <w:p w14:paraId="71355C99" w14:textId="77777777" w:rsidR="0047154B" w:rsidRPr="0044524F" w:rsidRDefault="0047154B" w:rsidP="009654CF">
      <w:pPr>
        <w:tabs>
          <w:tab w:val="left" w:leader="dot" w:pos="2290"/>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пробега (м)</w:t>
      </w:r>
      <w:r w:rsidRPr="0044524F">
        <w:rPr>
          <w:rFonts w:ascii="Times New Roman" w:hAnsi="Times New Roman"/>
          <w:color w:val="000000" w:themeColor="text1"/>
          <w:sz w:val="16"/>
          <w:szCs w:val="16"/>
        </w:rPr>
        <w:tab/>
        <w:t>175 (11,0 с)</w:t>
      </w:r>
    </w:p>
    <w:p w14:paraId="272E4EC6" w14:textId="77777777" w:rsidR="0047154B" w:rsidRPr="0044524F" w:rsidRDefault="0047154B" w:rsidP="009654CF">
      <w:pPr>
        <w:tabs>
          <w:tab w:val="right" w:leader="dot" w:pos="3169"/>
        </w:tabs>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 нормальная (км)</w:t>
      </w:r>
      <w:r w:rsidRPr="0044524F">
        <w:rPr>
          <w:rFonts w:ascii="Times New Roman" w:hAnsi="Times New Roman"/>
          <w:color w:val="000000" w:themeColor="text1"/>
          <w:sz w:val="16"/>
          <w:szCs w:val="16"/>
        </w:rPr>
        <w:tab/>
        <w:t>600</w:t>
      </w:r>
    </w:p>
    <w:p w14:paraId="3690B8B4"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полета</w:t>
      </w:r>
    </w:p>
    <w:p w14:paraId="690AA2C3" w14:textId="77777777" w:rsidR="0047154B" w:rsidRPr="0044524F" w:rsidRDefault="0047154B" w:rsidP="009654CF">
      <w:pPr>
        <w:pStyle w:val="a3"/>
        <w:rPr>
          <w:color w:val="000000" w:themeColor="text1"/>
          <w:lang w:val="ru-RU"/>
        </w:rPr>
      </w:pPr>
      <w:r w:rsidRPr="0044524F">
        <w:rPr>
          <w:color w:val="000000" w:themeColor="text1"/>
          <w:lang w:val="ru-RU"/>
        </w:rPr>
        <w:t>максимальная (км)</w:t>
      </w:r>
      <w:r w:rsidRPr="0044524F">
        <w:rPr>
          <w:color w:val="000000" w:themeColor="text1"/>
          <w:lang w:val="ru-RU"/>
        </w:rPr>
        <w:tab/>
        <w:t>1000 (15742)</w:t>
      </w:r>
    </w:p>
    <w:p w14:paraId="5812F6B8" w14:textId="77777777" w:rsidR="0047154B" w:rsidRPr="0044524F" w:rsidRDefault="0047154B" w:rsidP="009654CF">
      <w:pPr>
        <w:pStyle w:val="a3"/>
        <w:rPr>
          <w:color w:val="000000" w:themeColor="text1"/>
          <w:lang w:val="ru-RU"/>
        </w:rPr>
      </w:pPr>
    </w:p>
    <w:p w14:paraId="03A5CC42" w14:textId="77777777" w:rsidR="000F6E1F" w:rsidRPr="0044524F" w:rsidRDefault="000F6E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 было принято решение передать четыре С55 в ВВС, получив вместо них четыре S.62bis.</w:t>
      </w:r>
    </w:p>
    <w:p w14:paraId="0A99B567" w14:textId="77777777" w:rsidR="000F6E1F" w:rsidRPr="0044524F" w:rsidRDefault="000F6E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Четыре S.55 вошли в Дальневосточное управление (ДВУ) ГВФ. Бомбовое вооружение для них было изготовлено в Москве на заводе № 32, смонтировано уже на месте. Однако по итогам приемки и испытаний ГУ ГВФ пришло к заключению, что данные самолеты не вполне удовлетворяют требованиям, предъявляемым к самолетам, использующимся в условиях Дальнего Востока.</w:t>
      </w:r>
    </w:p>
    <w:p w14:paraId="45D0F773" w14:textId="77777777" w:rsidR="000F6E1F" w:rsidRPr="0044524F" w:rsidRDefault="000F6E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их передача затянулась, и в итоге в апреле 1934 г. начальник ГУ ГВФ И.С. Уншлихт приказал оставить S.55 и передавать их в эксплуатацию в ДВУ ГВФ. Машины получили номера Л-997, Л-995, Л-996 и Л-840. В военное подчинение эти самолеты должны были перейти лишь в случае мобилизации (21410).</w:t>
      </w:r>
    </w:p>
    <w:p w14:paraId="7CB1D81B" w14:textId="77777777" w:rsidR="000F6E1F" w:rsidRPr="0044524F" w:rsidRDefault="000F6E1F" w:rsidP="009654CF">
      <w:pPr>
        <w:spacing w:after="0" w:line="240" w:lineRule="auto"/>
        <w:jc w:val="both"/>
        <w:rPr>
          <w:rFonts w:ascii="Times New Roman" w:hAnsi="Times New Roman"/>
          <w:color w:val="000000" w:themeColor="text1"/>
          <w:sz w:val="16"/>
          <w:szCs w:val="16"/>
        </w:rPr>
      </w:pPr>
    </w:p>
    <w:p w14:paraId="6B8CE389" w14:textId="77777777" w:rsidR="006446C0" w:rsidRPr="00142305" w:rsidRDefault="006446C0" w:rsidP="006446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го</w:t>
      </w:r>
      <w:r w:rsidRPr="00142305">
        <w:rPr>
          <w:rFonts w:ascii="Times New Roman" w:hAnsi="Times New Roman"/>
          <w:color w:val="0070C0"/>
          <w:sz w:val="16"/>
          <w:szCs w:val="16"/>
        </w:rPr>
        <w:softHyphen/>
        <w:t>да наладили выпуск Р-5а (поплавкового). Головная машина № 6763 проходила государственные испытания в Севастополе с 12 декабря 1933 г. по 14 ян</w:t>
      </w:r>
      <w:r w:rsidRPr="00142305">
        <w:rPr>
          <w:rFonts w:ascii="Times New Roman" w:hAnsi="Times New Roman"/>
          <w:color w:val="0070C0"/>
          <w:sz w:val="16"/>
          <w:szCs w:val="16"/>
        </w:rPr>
        <w:softHyphen/>
        <w:t>варя 1934 г. Облетывал ее пилот Ершов. Несмотря на не</w:t>
      </w:r>
      <w:r w:rsidRPr="00142305">
        <w:rPr>
          <w:rFonts w:ascii="Times New Roman" w:hAnsi="Times New Roman"/>
          <w:color w:val="0070C0"/>
          <w:sz w:val="16"/>
          <w:szCs w:val="16"/>
        </w:rPr>
        <w:softHyphen/>
        <w:t>который рост взлетного веса, все показатели улучшились по сравнению с опытным образцом. Немного повысилась скорость, вырос практический потолок, существенно, на 7 мин, уменьшилось время набора высоты 3000 м. Никаких дефектов в пилотажных характеристиках на испытаниях не выявили. Самолет получил удовлетворительную оценку и был допущен к эксплуатации в строевых частях (24990).</w:t>
      </w:r>
    </w:p>
    <w:p w14:paraId="1701FAB4" w14:textId="77777777" w:rsidR="006446C0" w:rsidRPr="00142305" w:rsidRDefault="006446C0" w:rsidP="006446C0">
      <w:pPr>
        <w:spacing w:after="0" w:line="240" w:lineRule="auto"/>
        <w:jc w:val="both"/>
        <w:rPr>
          <w:rFonts w:ascii="Times New Roman" w:hAnsi="Times New Roman"/>
          <w:color w:val="0070C0"/>
          <w:sz w:val="16"/>
          <w:szCs w:val="16"/>
        </w:rPr>
      </w:pPr>
    </w:p>
    <w:p w14:paraId="41FB8FA7" w14:textId="77777777" w:rsidR="006446C0" w:rsidRPr="00142305" w:rsidRDefault="006446C0" w:rsidP="006446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 три первых поплавковых Р-5а отправили Морс</w:t>
      </w:r>
      <w:r w:rsidRPr="00142305">
        <w:rPr>
          <w:rFonts w:ascii="Times New Roman" w:hAnsi="Times New Roman"/>
          <w:color w:val="0070C0"/>
          <w:sz w:val="16"/>
          <w:szCs w:val="16"/>
        </w:rPr>
        <w:softHyphen/>
        <w:t>ким силам Дальнего Востока (МСДВ). В январе следующе</w:t>
      </w:r>
      <w:r w:rsidRPr="00142305">
        <w:rPr>
          <w:rFonts w:ascii="Times New Roman" w:hAnsi="Times New Roman"/>
          <w:color w:val="0070C0"/>
          <w:sz w:val="16"/>
          <w:szCs w:val="16"/>
        </w:rPr>
        <w:softHyphen/>
        <w:t>го года 69-й отряд в Бочкарево уже имел 10 таких гидропла</w:t>
      </w:r>
      <w:r w:rsidRPr="00142305">
        <w:rPr>
          <w:rFonts w:ascii="Times New Roman" w:hAnsi="Times New Roman"/>
          <w:color w:val="0070C0"/>
          <w:sz w:val="16"/>
          <w:szCs w:val="16"/>
        </w:rPr>
        <w:softHyphen/>
        <w:t>нов. Всего же к 20 марта 1934 г. военную приемку прошли 13 Р-5а.</w:t>
      </w:r>
    </w:p>
    <w:p w14:paraId="6AC2BF59" w14:textId="77777777" w:rsidR="006446C0" w:rsidRPr="00142305" w:rsidRDefault="006446C0" w:rsidP="006446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Серийные поплавковые машины имели усиленный кар</w:t>
      </w:r>
      <w:r w:rsidRPr="00142305">
        <w:rPr>
          <w:rFonts w:ascii="Times New Roman" w:hAnsi="Times New Roman"/>
          <w:color w:val="0070C0"/>
          <w:sz w:val="16"/>
          <w:szCs w:val="16"/>
        </w:rPr>
        <w:softHyphen/>
        <w:t>кас передней части фюзеляжа и измененную мотораму. В поплавках размещались банки для аварийного запаса про</w:t>
      </w:r>
      <w:r w:rsidRPr="00142305">
        <w:rPr>
          <w:rFonts w:ascii="Times New Roman" w:hAnsi="Times New Roman"/>
          <w:color w:val="0070C0"/>
          <w:sz w:val="16"/>
          <w:szCs w:val="16"/>
        </w:rPr>
        <w:softHyphen/>
        <w:t>довольствия и пресной воды. Для того чтобы можно бы</w:t>
      </w:r>
      <w:r w:rsidRPr="00142305">
        <w:rPr>
          <w:rFonts w:ascii="Times New Roman" w:hAnsi="Times New Roman"/>
          <w:color w:val="0070C0"/>
          <w:sz w:val="16"/>
          <w:szCs w:val="16"/>
        </w:rPr>
        <w:softHyphen/>
        <w:t>ло извлечь самолет из воды краном, на центроплане вер</w:t>
      </w:r>
      <w:r w:rsidRPr="00142305">
        <w:rPr>
          <w:rFonts w:ascii="Times New Roman" w:hAnsi="Times New Roman"/>
          <w:color w:val="0070C0"/>
          <w:sz w:val="16"/>
          <w:szCs w:val="16"/>
        </w:rPr>
        <w:softHyphen/>
        <w:t>хнего крыла сделали скобы, усилили передний лонжерон центроплана и стойки кабана (между центропланом и фю</w:t>
      </w:r>
      <w:r w:rsidRPr="00142305">
        <w:rPr>
          <w:rFonts w:ascii="Times New Roman" w:hAnsi="Times New Roman"/>
          <w:color w:val="0070C0"/>
          <w:sz w:val="16"/>
          <w:szCs w:val="16"/>
        </w:rPr>
        <w:softHyphen/>
        <w:t>зеляжем).</w:t>
      </w:r>
    </w:p>
    <w:p w14:paraId="4C33B6B0" w14:textId="77777777" w:rsidR="006446C0" w:rsidRPr="00142305" w:rsidRDefault="006446C0" w:rsidP="006446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машинах ставился фотоаппарат Поттэ 1Б или АФА- 13, радиостанция СК.ТЭ. К специфически морскому обо</w:t>
      </w:r>
      <w:r w:rsidRPr="00142305">
        <w:rPr>
          <w:rFonts w:ascii="Times New Roman" w:hAnsi="Times New Roman"/>
          <w:color w:val="0070C0"/>
          <w:sz w:val="16"/>
          <w:szCs w:val="16"/>
        </w:rPr>
        <w:softHyphen/>
        <w:t>рудованию относились якорь-кошка, плавучий якорь и надувные спасательные пояса для обоих членов экипажа.</w:t>
      </w:r>
    </w:p>
    <w:p w14:paraId="76F4535A" w14:textId="77777777" w:rsidR="006446C0" w:rsidRPr="00142305" w:rsidRDefault="006446C0" w:rsidP="006446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Р-5а был значительно проще в пилотировании, чем кап</w:t>
      </w:r>
      <w:r w:rsidRPr="00142305">
        <w:rPr>
          <w:rFonts w:ascii="Times New Roman" w:hAnsi="Times New Roman"/>
          <w:color w:val="0070C0"/>
          <w:sz w:val="16"/>
          <w:szCs w:val="16"/>
        </w:rPr>
        <w:softHyphen/>
        <w:t>ризный МР-1. Однако мореходность поплавкового само</w:t>
      </w:r>
      <w:r w:rsidRPr="00142305">
        <w:rPr>
          <w:rFonts w:ascii="Times New Roman" w:hAnsi="Times New Roman"/>
          <w:color w:val="0070C0"/>
          <w:sz w:val="16"/>
          <w:szCs w:val="16"/>
        </w:rPr>
        <w:softHyphen/>
        <w:t>лета оставляла желать лучшего. Они больше подходили для эксплуатации на реках и озерах, нежели на море. Од</w:t>
      </w:r>
      <w:r w:rsidRPr="00142305">
        <w:rPr>
          <w:rFonts w:ascii="Times New Roman" w:hAnsi="Times New Roman"/>
          <w:color w:val="0070C0"/>
          <w:sz w:val="16"/>
          <w:szCs w:val="16"/>
        </w:rPr>
        <w:softHyphen/>
        <w:t>ним из существенных недостатков самолета оказалась не</w:t>
      </w:r>
      <w:r w:rsidRPr="00142305">
        <w:rPr>
          <w:rFonts w:ascii="Times New Roman" w:hAnsi="Times New Roman"/>
          <w:color w:val="0070C0"/>
          <w:sz w:val="16"/>
          <w:szCs w:val="16"/>
        </w:rPr>
        <w:softHyphen/>
        <w:t>прочность поплавков. Они иногда разваливались уже пос</w:t>
      </w:r>
      <w:r w:rsidRPr="00142305">
        <w:rPr>
          <w:rFonts w:ascii="Times New Roman" w:hAnsi="Times New Roman"/>
          <w:color w:val="0070C0"/>
          <w:sz w:val="16"/>
          <w:szCs w:val="16"/>
        </w:rPr>
        <w:softHyphen/>
        <w:t>ле 30 посадок (24990).</w:t>
      </w:r>
    </w:p>
    <w:p w14:paraId="162EA699" w14:textId="77777777" w:rsidR="006446C0" w:rsidRPr="00142305" w:rsidRDefault="006446C0" w:rsidP="006446C0">
      <w:pPr>
        <w:spacing w:after="0" w:line="240" w:lineRule="auto"/>
        <w:jc w:val="both"/>
        <w:rPr>
          <w:rFonts w:ascii="Times New Roman" w:hAnsi="Times New Roman"/>
          <w:color w:val="0070C0"/>
          <w:sz w:val="16"/>
          <w:szCs w:val="16"/>
        </w:rPr>
      </w:pPr>
    </w:p>
    <w:p w14:paraId="64C4EAA1" w14:textId="77777777" w:rsidR="000F6E1F" w:rsidRPr="0044524F" w:rsidRDefault="000F6E1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группой Вахмистро</w:t>
      </w:r>
      <w:r w:rsidRPr="0044524F">
        <w:rPr>
          <w:rFonts w:ascii="Times New Roman" w:hAnsi="Times New Roman"/>
          <w:color w:val="000000" w:themeColor="text1"/>
          <w:sz w:val="16"/>
          <w:szCs w:val="16"/>
        </w:rPr>
        <w:softHyphen/>
        <w:t>ва в 1-й авиабригаде тяжелых бомбардировщиков началось оборудование шести носителей ТБ-1 для установки 12 И-5. Работа по созданию такой системы З-1а частично бы</w:t>
      </w:r>
      <w:r w:rsidRPr="0044524F">
        <w:rPr>
          <w:rFonts w:ascii="Times New Roman" w:hAnsi="Times New Roman"/>
          <w:color w:val="000000" w:themeColor="text1"/>
          <w:sz w:val="16"/>
          <w:szCs w:val="16"/>
        </w:rPr>
        <w:softHyphen/>
        <w:t>ла выполнена в мае 1934 года (20345).</w:t>
      </w:r>
    </w:p>
    <w:p w14:paraId="716A1E7E" w14:textId="77777777" w:rsidR="000F6E1F" w:rsidRPr="0044524F" w:rsidRDefault="000F6E1F" w:rsidP="009654CF">
      <w:pPr>
        <w:spacing w:after="0" w:line="240" w:lineRule="auto"/>
        <w:jc w:val="both"/>
        <w:rPr>
          <w:rFonts w:ascii="Times New Roman" w:hAnsi="Times New Roman"/>
          <w:color w:val="000000" w:themeColor="text1"/>
          <w:sz w:val="16"/>
          <w:szCs w:val="16"/>
        </w:rPr>
      </w:pPr>
    </w:p>
    <w:p w14:paraId="54D24EC1" w14:textId="77777777" w:rsidR="00B3576E" w:rsidRPr="0044524F" w:rsidRDefault="00B3576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группой Вахмис</w:t>
      </w:r>
      <w:r w:rsidRPr="0044524F">
        <w:rPr>
          <w:rFonts w:ascii="Times New Roman" w:hAnsi="Times New Roman"/>
          <w:color w:val="000000" w:themeColor="text1"/>
          <w:sz w:val="16"/>
          <w:szCs w:val="16"/>
        </w:rPr>
        <w:softHyphen/>
        <w:t>трова в 1-й авиабригаде тяжелых бомбардировщиков началось оборудование шести носителей ТБ-1 для установки 12 И-5. Работа по созданию такой систе</w:t>
      </w:r>
      <w:r w:rsidRPr="0044524F">
        <w:rPr>
          <w:rFonts w:ascii="Times New Roman" w:hAnsi="Times New Roman"/>
          <w:color w:val="000000" w:themeColor="text1"/>
          <w:sz w:val="16"/>
          <w:szCs w:val="16"/>
        </w:rPr>
        <w:softHyphen/>
        <w:t>мы «З-1а» частично была выполнена в мае 1934 года. Далее предполагалось проведение войсковых испы</w:t>
      </w:r>
      <w:r w:rsidRPr="0044524F">
        <w:rPr>
          <w:rFonts w:ascii="Times New Roman" w:hAnsi="Times New Roman"/>
          <w:color w:val="000000" w:themeColor="text1"/>
          <w:sz w:val="16"/>
          <w:szCs w:val="16"/>
        </w:rPr>
        <w:softHyphen/>
        <w:t>таний. Однако документов о проведении таких испы</w:t>
      </w:r>
      <w:r w:rsidRPr="0044524F">
        <w:rPr>
          <w:rFonts w:ascii="Times New Roman" w:hAnsi="Times New Roman"/>
          <w:color w:val="000000" w:themeColor="text1"/>
          <w:sz w:val="16"/>
          <w:szCs w:val="16"/>
        </w:rPr>
        <w:softHyphen/>
        <w:t>таний не обнаружено. Очевидно, что в строевой час</w:t>
      </w:r>
      <w:r w:rsidRPr="0044524F">
        <w:rPr>
          <w:rFonts w:ascii="Times New Roman" w:hAnsi="Times New Roman"/>
          <w:color w:val="000000" w:themeColor="text1"/>
          <w:sz w:val="16"/>
          <w:szCs w:val="16"/>
        </w:rPr>
        <w:softHyphen/>
        <w:t>ти проблем по части боевой подготовки хватало без экстремальных полетов и энтузиазма попросту не хватило. Между тем на смену ТБ-1 уже пришел более мощный носитель ТБ-3, поэтому дальнейшие опыты и изыскания продолжились на этом четырехмотор</w:t>
      </w:r>
      <w:r w:rsidRPr="0044524F">
        <w:rPr>
          <w:rFonts w:ascii="Times New Roman" w:hAnsi="Times New Roman"/>
          <w:color w:val="000000" w:themeColor="text1"/>
          <w:sz w:val="16"/>
          <w:szCs w:val="16"/>
        </w:rPr>
        <w:softHyphen/>
        <w:t>ном бомбардировщике (23378).</w:t>
      </w:r>
    </w:p>
    <w:p w14:paraId="23241DE7" w14:textId="77777777" w:rsidR="00B3576E" w:rsidRPr="0044524F" w:rsidRDefault="00B3576E" w:rsidP="009654CF">
      <w:pPr>
        <w:spacing w:after="0" w:line="240" w:lineRule="auto"/>
        <w:jc w:val="both"/>
        <w:rPr>
          <w:rFonts w:ascii="Times New Roman" w:hAnsi="Times New Roman"/>
          <w:color w:val="000000" w:themeColor="text1"/>
          <w:sz w:val="16"/>
          <w:szCs w:val="16"/>
        </w:rPr>
      </w:pPr>
    </w:p>
    <w:p w14:paraId="6A8FCF8D" w14:textId="0A54B4F0"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конца 1933 г. в КБ-2 ОВИ РККА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(Отдел военных изобретений) были изготовлены рабочие чертежи двухбалочного самолета СС, позже переименованного в ИП-3 (пушечный истребитель-3).</w:t>
      </w:r>
    </w:p>
    <w:p w14:paraId="2A1A44D7"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 был двухбалочный, одноместный низкоплан с толкающим винтом и двигателем М-34. В носу самолета размещалась кабина летчика, в бортах фюзеляжа радиаторы, за ней вентилятор, обдувающий двигатель.</w:t>
      </w:r>
    </w:p>
    <w:p w14:paraId="4CCFC62B"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основным геометрическим параметрам (длина - 9,46 м, размах крыла - 14,0 м) он был близок к И-12, но имел закрытую кабину и убираемое шасси, что способствовало получению высоких характеристик. Масса -2500 кг. Конструкторы предполагали получить на высоте 7000 м скорость 450 км/ч. В кабине два пулемета ПВ-1.</w:t>
      </w:r>
    </w:p>
    <w:p w14:paraId="59F24632" w14:textId="0FBEF554"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Хотя "добро" на проведение работ было дано под две 76,2-мм динамореактивные пушки АПК-4 Кручевского, которые планировалось разместить в крыле и хвостовых балках,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итоге этой идеи отказались. В окончательном варианте ИП-3 предполагалось вооружить 12-ю 82 мм РС.</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 основании консолей планировались специальные барабаны на шесть реактивных снарядов.</w:t>
      </w:r>
    </w:p>
    <w:p w14:paraId="3E7BDF8E"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Шефствовал над этой работой сам Тухачевский. Так как мастерские лененградского КБ-2 УВИ были малы, Тухачевский с помощью Орджоникидзе добился перевода конструкторов в 1934 году на московский завод №22. Здесь самолет начал строиться, что вызывало нескрываемое неудовольствие Туполева. К концу 1935 г. тактико-технические данные самолета устарели и работы по самолету были прекращены в 1936 г. (15584).</w:t>
      </w:r>
    </w:p>
    <w:p w14:paraId="313C19F0" w14:textId="77777777" w:rsidR="0047154B" w:rsidRPr="0044524F" w:rsidRDefault="0047154B" w:rsidP="009654CF">
      <w:pPr>
        <w:spacing w:after="0" w:line="240" w:lineRule="auto"/>
        <w:jc w:val="both"/>
        <w:rPr>
          <w:rFonts w:ascii="Times New Roman" w:hAnsi="Times New Roman"/>
          <w:color w:val="000000" w:themeColor="text1"/>
          <w:sz w:val="16"/>
          <w:szCs w:val="16"/>
        </w:rPr>
      </w:pPr>
    </w:p>
    <w:p w14:paraId="69BBCD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Л.В.Курчевскому передали здание и оборудование ликвидированного КБ-38, занятого проектированием классических артсистем (203,28).</w:t>
      </w:r>
    </w:p>
    <w:p w14:paraId="64C2B6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CEA3D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и начале 1934 года заводом № 43 было построено четыре автожира для ГВФ из которых один аппарат находился в Москве, а остальные на периферии. На машине находящейся в Москве, было совершено значительное количество полетов и эта машина была полностью освоена (летчик Местон). Остальные машины не летали и даже не были вынуты из ящиков. По предложению ЦАГИ начальником ГУГВФ Ткачевым в конце 1934 года было дано распоряжение создать специальное звено автожиров, в котором сосредоточить все имеющиеся в гражданской авиации автожиры с целью получения практического опыта использования автожиров на отдельных участках гражданской авиации. В результате этого распоряжения было два совещания дальше которых дело не пошло (3849,13).</w:t>
      </w:r>
    </w:p>
    <w:p w14:paraId="61401F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3F323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для испытаний универсального двойного моста Остехбюро выделили одну машину с моторами М-17. Его использовали при пробных сбросах новой торпеды TAB-27 Самолет получил специальный прицел СП-123 (впоследствии принятый на вооружение как ПВТБ-1). Сброс торпеды осуществлялся механическим сбрасывателем ОТБ. но оказалось, что большая и тяжелая ГАВ-27 не по силам уже потрепанному бомбардировщику. Выше 2000 м он никак не мог подняться (9807).</w:t>
      </w:r>
    </w:p>
    <w:p w14:paraId="519311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20A3C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конце 1933 Нач. ГУАП Королев подготовил:</w:t>
      </w:r>
    </w:p>
    <w:p w14:paraId="2DB3D9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Программу самолетостроения на 1934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802"/>
        <w:gridCol w:w="2442"/>
        <w:gridCol w:w="3162"/>
      </w:tblGrid>
      <w:tr w:rsidR="004E10C1" w:rsidRPr="0044524F" w14:paraId="2A30EE66" w14:textId="77777777">
        <w:tc>
          <w:tcPr>
            <w:tcW w:w="2802" w:type="dxa"/>
            <w:tcBorders>
              <w:top w:val="single" w:sz="12" w:space="0" w:color="auto"/>
            </w:tcBorders>
          </w:tcPr>
          <w:p w14:paraId="679E6D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w:t>
            </w:r>
          </w:p>
        </w:tc>
        <w:tc>
          <w:tcPr>
            <w:tcW w:w="2802" w:type="dxa"/>
            <w:tcBorders>
              <w:top w:val="single" w:sz="12" w:space="0" w:color="auto"/>
            </w:tcBorders>
          </w:tcPr>
          <w:p w14:paraId="43D155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w:t>
            </w:r>
          </w:p>
        </w:tc>
        <w:tc>
          <w:tcPr>
            <w:tcW w:w="2442" w:type="dxa"/>
            <w:tcBorders>
              <w:top w:val="single" w:sz="12" w:space="0" w:color="auto"/>
            </w:tcBorders>
          </w:tcPr>
          <w:p w14:paraId="50D8BD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Программа на 1934</w:t>
            </w:r>
          </w:p>
        </w:tc>
        <w:tc>
          <w:tcPr>
            <w:tcW w:w="3162" w:type="dxa"/>
            <w:tcBorders>
              <w:top w:val="single" w:sz="12" w:space="0" w:color="auto"/>
            </w:tcBorders>
          </w:tcPr>
          <w:p w14:paraId="25D9A8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т.ч. для УВВС</w:t>
            </w:r>
          </w:p>
        </w:tc>
      </w:tr>
      <w:tr w:rsidR="004E10C1" w:rsidRPr="0044524F" w14:paraId="37EAAD1D" w14:textId="77777777">
        <w:tc>
          <w:tcPr>
            <w:tcW w:w="2802" w:type="dxa"/>
          </w:tcPr>
          <w:p w14:paraId="323682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Самолеты</w:t>
            </w:r>
          </w:p>
        </w:tc>
        <w:tc>
          <w:tcPr>
            <w:tcW w:w="2802" w:type="dxa"/>
          </w:tcPr>
          <w:p w14:paraId="7027A2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3B8A81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162" w:type="dxa"/>
          </w:tcPr>
          <w:p w14:paraId="4B8492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F47577F" w14:textId="77777777">
        <w:tc>
          <w:tcPr>
            <w:tcW w:w="2802" w:type="dxa"/>
          </w:tcPr>
          <w:p w14:paraId="40FFF6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Р5-М17</w:t>
            </w:r>
          </w:p>
        </w:tc>
        <w:tc>
          <w:tcPr>
            <w:tcW w:w="2802" w:type="dxa"/>
          </w:tcPr>
          <w:p w14:paraId="36A217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442" w:type="dxa"/>
          </w:tcPr>
          <w:p w14:paraId="036C5D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1900</w:t>
            </w:r>
          </w:p>
        </w:tc>
        <w:tc>
          <w:tcPr>
            <w:tcW w:w="3162" w:type="dxa"/>
          </w:tcPr>
          <w:p w14:paraId="6F515C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1400</w:t>
            </w:r>
          </w:p>
        </w:tc>
      </w:tr>
      <w:tr w:rsidR="004E10C1" w:rsidRPr="0044524F" w14:paraId="6CF5ADC1" w14:textId="77777777">
        <w:tc>
          <w:tcPr>
            <w:tcW w:w="2802" w:type="dxa"/>
          </w:tcPr>
          <w:p w14:paraId="0EF454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Р5а-М17</w:t>
            </w:r>
          </w:p>
        </w:tc>
        <w:tc>
          <w:tcPr>
            <w:tcW w:w="2802" w:type="dxa"/>
          </w:tcPr>
          <w:p w14:paraId="4E6C59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442" w:type="dxa"/>
          </w:tcPr>
          <w:p w14:paraId="2DB45D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3162" w:type="dxa"/>
          </w:tcPr>
          <w:p w14:paraId="7B75B0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27626C73" w14:textId="77777777">
        <w:tc>
          <w:tcPr>
            <w:tcW w:w="2802" w:type="dxa"/>
          </w:tcPr>
          <w:p w14:paraId="2817B0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СР-М34</w:t>
            </w:r>
          </w:p>
        </w:tc>
        <w:tc>
          <w:tcPr>
            <w:tcW w:w="2802" w:type="dxa"/>
          </w:tcPr>
          <w:p w14:paraId="2FDA6A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442" w:type="dxa"/>
          </w:tcPr>
          <w:p w14:paraId="692628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3162" w:type="dxa"/>
          </w:tcPr>
          <w:p w14:paraId="77F5AF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140B4D9A" w14:textId="77777777">
        <w:tc>
          <w:tcPr>
            <w:tcW w:w="2802" w:type="dxa"/>
          </w:tcPr>
          <w:p w14:paraId="05E74C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2802" w:type="dxa"/>
          </w:tcPr>
          <w:p w14:paraId="156F74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442" w:type="dxa"/>
          </w:tcPr>
          <w:p w14:paraId="6FE327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c>
          <w:tcPr>
            <w:tcW w:w="3162" w:type="dxa"/>
          </w:tcPr>
          <w:p w14:paraId="7869F5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63</w:t>
            </w:r>
          </w:p>
        </w:tc>
      </w:tr>
      <w:tr w:rsidR="004E10C1" w:rsidRPr="0044524F" w14:paraId="4F0F85DD" w14:textId="77777777">
        <w:tc>
          <w:tcPr>
            <w:tcW w:w="2802" w:type="dxa"/>
          </w:tcPr>
          <w:p w14:paraId="10ACC6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И5-М22</w:t>
            </w:r>
          </w:p>
        </w:tc>
        <w:tc>
          <w:tcPr>
            <w:tcW w:w="2802" w:type="dxa"/>
          </w:tcPr>
          <w:p w14:paraId="4F5036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2442" w:type="dxa"/>
          </w:tcPr>
          <w:p w14:paraId="53361C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c>
          <w:tcPr>
            <w:tcW w:w="3162" w:type="dxa"/>
          </w:tcPr>
          <w:p w14:paraId="5DEFAE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360</w:t>
            </w:r>
          </w:p>
        </w:tc>
      </w:tr>
      <w:tr w:rsidR="004E10C1" w:rsidRPr="0044524F" w14:paraId="4A7B8158" w14:textId="77777777">
        <w:tc>
          <w:tcPr>
            <w:tcW w:w="2802" w:type="dxa"/>
          </w:tcPr>
          <w:p w14:paraId="218F5D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И14-РЦ</w:t>
            </w:r>
          </w:p>
        </w:tc>
        <w:tc>
          <w:tcPr>
            <w:tcW w:w="2802" w:type="dxa"/>
          </w:tcPr>
          <w:p w14:paraId="13F49F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2442" w:type="dxa"/>
          </w:tcPr>
          <w:p w14:paraId="2AA207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w:t>
            </w:r>
          </w:p>
        </w:tc>
        <w:tc>
          <w:tcPr>
            <w:tcW w:w="3162" w:type="dxa"/>
          </w:tcPr>
          <w:p w14:paraId="25124F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из них завод 21-20, завод 125 -8</w:t>
            </w:r>
          </w:p>
        </w:tc>
      </w:tr>
      <w:tr w:rsidR="004E10C1" w:rsidRPr="0044524F" w14:paraId="271E4C3D" w14:textId="77777777">
        <w:tc>
          <w:tcPr>
            <w:tcW w:w="2802" w:type="dxa"/>
          </w:tcPr>
          <w:p w14:paraId="7F1DEF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И15-РЦ</w:t>
            </w:r>
          </w:p>
        </w:tc>
        <w:tc>
          <w:tcPr>
            <w:tcW w:w="2802" w:type="dxa"/>
          </w:tcPr>
          <w:p w14:paraId="3A7F95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2442" w:type="dxa"/>
          </w:tcPr>
          <w:p w14:paraId="4B9B67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3162" w:type="dxa"/>
          </w:tcPr>
          <w:p w14:paraId="23DE6D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 из них завод 39 - 10, завод 1 - 140</w:t>
            </w:r>
          </w:p>
        </w:tc>
      </w:tr>
      <w:tr w:rsidR="004E10C1" w:rsidRPr="0044524F" w14:paraId="253DEF97" w14:textId="77777777">
        <w:tc>
          <w:tcPr>
            <w:tcW w:w="2802" w:type="dxa"/>
          </w:tcPr>
          <w:p w14:paraId="505F7D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И16-М22</w:t>
            </w:r>
          </w:p>
        </w:tc>
        <w:tc>
          <w:tcPr>
            <w:tcW w:w="2802" w:type="dxa"/>
          </w:tcPr>
          <w:p w14:paraId="7A6254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p>
        </w:tc>
        <w:tc>
          <w:tcPr>
            <w:tcW w:w="2442" w:type="dxa"/>
          </w:tcPr>
          <w:p w14:paraId="2957B2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w:t>
            </w:r>
          </w:p>
        </w:tc>
        <w:tc>
          <w:tcPr>
            <w:tcW w:w="3162" w:type="dxa"/>
          </w:tcPr>
          <w:p w14:paraId="246080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130, из них завод 39 - 50, завод 21 - 80</w:t>
            </w:r>
          </w:p>
        </w:tc>
      </w:tr>
      <w:tr w:rsidR="004E10C1" w:rsidRPr="0044524F" w14:paraId="2DFE65CF" w14:textId="77777777">
        <w:tc>
          <w:tcPr>
            <w:tcW w:w="2802" w:type="dxa"/>
          </w:tcPr>
          <w:p w14:paraId="541D4D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?ЭТ-М22</w:t>
            </w:r>
          </w:p>
        </w:tc>
        <w:tc>
          <w:tcPr>
            <w:tcW w:w="2802" w:type="dxa"/>
          </w:tcPr>
          <w:p w14:paraId="032938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ХАЗОС</w:t>
            </w:r>
          </w:p>
        </w:tc>
        <w:tc>
          <w:tcPr>
            <w:tcW w:w="2442" w:type="dxa"/>
          </w:tcPr>
          <w:p w14:paraId="5F5A7C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3162" w:type="dxa"/>
          </w:tcPr>
          <w:p w14:paraId="2D5EEE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r>
      <w:tr w:rsidR="004E10C1" w:rsidRPr="0044524F" w14:paraId="60306603" w14:textId="77777777">
        <w:tc>
          <w:tcPr>
            <w:tcW w:w="2802" w:type="dxa"/>
          </w:tcPr>
          <w:p w14:paraId="139481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?Р-М22</w:t>
            </w:r>
          </w:p>
        </w:tc>
        <w:tc>
          <w:tcPr>
            <w:tcW w:w="2802" w:type="dxa"/>
          </w:tcPr>
          <w:p w14:paraId="433EBA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39</w:t>
            </w:r>
          </w:p>
        </w:tc>
        <w:tc>
          <w:tcPr>
            <w:tcW w:w="2442" w:type="dxa"/>
          </w:tcPr>
          <w:p w14:paraId="58779B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3162" w:type="dxa"/>
          </w:tcPr>
          <w:p w14:paraId="7F9DB4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06E415A7" w14:textId="77777777">
        <w:tc>
          <w:tcPr>
            <w:tcW w:w="2802" w:type="dxa"/>
          </w:tcPr>
          <w:p w14:paraId="3BC678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?С-2М22</w:t>
            </w:r>
          </w:p>
        </w:tc>
        <w:tc>
          <w:tcPr>
            <w:tcW w:w="2802" w:type="dxa"/>
          </w:tcPr>
          <w:p w14:paraId="4801FB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w:t>
            </w:r>
          </w:p>
        </w:tc>
        <w:tc>
          <w:tcPr>
            <w:tcW w:w="2442" w:type="dxa"/>
          </w:tcPr>
          <w:p w14:paraId="0F17CC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3162" w:type="dxa"/>
          </w:tcPr>
          <w:p w14:paraId="1F1BC1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13878F24" w14:textId="77777777">
        <w:tc>
          <w:tcPr>
            <w:tcW w:w="2802" w:type="dxa"/>
          </w:tcPr>
          <w:p w14:paraId="771F5E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w:t>
            </w:r>
          </w:p>
        </w:tc>
        <w:tc>
          <w:tcPr>
            <w:tcW w:w="2802" w:type="dxa"/>
          </w:tcPr>
          <w:p w14:paraId="097F86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2442" w:type="dxa"/>
          </w:tcPr>
          <w:p w14:paraId="7C45DE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1030</w:t>
            </w:r>
          </w:p>
        </w:tc>
        <w:tc>
          <w:tcPr>
            <w:tcW w:w="3162" w:type="dxa"/>
          </w:tcPr>
          <w:p w14:paraId="1F8384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650</w:t>
            </w:r>
          </w:p>
        </w:tc>
      </w:tr>
      <w:tr w:rsidR="004E10C1" w:rsidRPr="0044524F" w14:paraId="5A4D0502" w14:textId="77777777">
        <w:tc>
          <w:tcPr>
            <w:tcW w:w="2802" w:type="dxa"/>
          </w:tcPr>
          <w:p w14:paraId="528B1B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 3-х местный</w:t>
            </w:r>
          </w:p>
        </w:tc>
        <w:tc>
          <w:tcPr>
            <w:tcW w:w="2802" w:type="dxa"/>
          </w:tcPr>
          <w:p w14:paraId="3D9A1D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2442" w:type="dxa"/>
          </w:tcPr>
          <w:p w14:paraId="5C6A14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c>
          <w:tcPr>
            <w:tcW w:w="3162" w:type="dxa"/>
          </w:tcPr>
          <w:p w14:paraId="6CAA3F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5E754E28" w14:textId="77777777">
        <w:tc>
          <w:tcPr>
            <w:tcW w:w="2802" w:type="dxa"/>
          </w:tcPr>
          <w:p w14:paraId="57C609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У2-М11 санитарный</w:t>
            </w:r>
          </w:p>
        </w:tc>
        <w:tc>
          <w:tcPr>
            <w:tcW w:w="2802" w:type="dxa"/>
          </w:tcPr>
          <w:p w14:paraId="635DA8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2442" w:type="dxa"/>
          </w:tcPr>
          <w:p w14:paraId="1B2298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3162" w:type="dxa"/>
          </w:tcPr>
          <w:p w14:paraId="195149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r>
      <w:tr w:rsidR="004E10C1" w:rsidRPr="0044524F" w14:paraId="3C61CEAD" w14:textId="77777777">
        <w:tc>
          <w:tcPr>
            <w:tcW w:w="2802" w:type="dxa"/>
          </w:tcPr>
          <w:p w14:paraId="554450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?П-М11</w:t>
            </w:r>
          </w:p>
        </w:tc>
        <w:tc>
          <w:tcPr>
            <w:tcW w:w="2802" w:type="dxa"/>
          </w:tcPr>
          <w:p w14:paraId="38C429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2442" w:type="dxa"/>
          </w:tcPr>
          <w:p w14:paraId="5886A5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320</w:t>
            </w:r>
          </w:p>
        </w:tc>
        <w:tc>
          <w:tcPr>
            <w:tcW w:w="3162" w:type="dxa"/>
          </w:tcPr>
          <w:p w14:paraId="407AA6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47F9B79" w14:textId="77777777">
        <w:tc>
          <w:tcPr>
            <w:tcW w:w="2802" w:type="dxa"/>
          </w:tcPr>
          <w:p w14:paraId="0F4285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?Ш-М11</w:t>
            </w:r>
          </w:p>
        </w:tc>
        <w:tc>
          <w:tcPr>
            <w:tcW w:w="2802" w:type="dxa"/>
          </w:tcPr>
          <w:p w14:paraId="061245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2442" w:type="dxa"/>
          </w:tcPr>
          <w:p w14:paraId="05F4F0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3162" w:type="dxa"/>
          </w:tcPr>
          <w:p w14:paraId="20BBEC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r>
      <w:tr w:rsidR="004E10C1" w:rsidRPr="0044524F" w14:paraId="4182ED36" w14:textId="77777777">
        <w:tc>
          <w:tcPr>
            <w:tcW w:w="2802" w:type="dxa"/>
          </w:tcPr>
          <w:p w14:paraId="0E7C4A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РД-М34Р</w:t>
            </w:r>
          </w:p>
        </w:tc>
        <w:tc>
          <w:tcPr>
            <w:tcW w:w="2802" w:type="dxa"/>
          </w:tcPr>
          <w:p w14:paraId="5145A6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124</w:t>
            </w:r>
          </w:p>
        </w:tc>
        <w:tc>
          <w:tcPr>
            <w:tcW w:w="2442" w:type="dxa"/>
          </w:tcPr>
          <w:p w14:paraId="7804A5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c>
          <w:tcPr>
            <w:tcW w:w="3162" w:type="dxa"/>
          </w:tcPr>
          <w:p w14:paraId="654920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r>
      <w:tr w:rsidR="004E10C1" w:rsidRPr="0044524F" w14:paraId="25D49782" w14:textId="77777777">
        <w:tc>
          <w:tcPr>
            <w:tcW w:w="2802" w:type="dxa"/>
          </w:tcPr>
          <w:p w14:paraId="56D31B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w:t>
            </w:r>
          </w:p>
        </w:tc>
        <w:tc>
          <w:tcPr>
            <w:tcW w:w="2802" w:type="dxa"/>
          </w:tcPr>
          <w:p w14:paraId="7BC03F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442" w:type="dxa"/>
          </w:tcPr>
          <w:p w14:paraId="19548D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c>
          <w:tcPr>
            <w:tcW w:w="3162" w:type="dxa"/>
          </w:tcPr>
          <w:p w14:paraId="5BC814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r w:rsidR="004E10C1" w:rsidRPr="0044524F" w14:paraId="240FED2E" w14:textId="77777777">
        <w:tc>
          <w:tcPr>
            <w:tcW w:w="2802" w:type="dxa"/>
          </w:tcPr>
          <w:p w14:paraId="67C525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ТБ3-4М34Р</w:t>
            </w:r>
          </w:p>
        </w:tc>
        <w:tc>
          <w:tcPr>
            <w:tcW w:w="2802" w:type="dxa"/>
          </w:tcPr>
          <w:p w14:paraId="1139A0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442" w:type="dxa"/>
          </w:tcPr>
          <w:p w14:paraId="6AC41A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w:t>
            </w:r>
          </w:p>
        </w:tc>
        <w:tc>
          <w:tcPr>
            <w:tcW w:w="3162" w:type="dxa"/>
          </w:tcPr>
          <w:p w14:paraId="0042F7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155</w:t>
            </w:r>
          </w:p>
        </w:tc>
      </w:tr>
      <w:tr w:rsidR="004E10C1" w:rsidRPr="0044524F" w14:paraId="69BCA066" w14:textId="77777777">
        <w:tc>
          <w:tcPr>
            <w:tcW w:w="2802" w:type="dxa"/>
          </w:tcPr>
          <w:p w14:paraId="120AD4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tc>
        <w:tc>
          <w:tcPr>
            <w:tcW w:w="2802" w:type="dxa"/>
          </w:tcPr>
          <w:p w14:paraId="447502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2442" w:type="dxa"/>
          </w:tcPr>
          <w:p w14:paraId="57E859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tc>
        <w:tc>
          <w:tcPr>
            <w:tcW w:w="3162" w:type="dxa"/>
          </w:tcPr>
          <w:p w14:paraId="07CD4A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завод 18 - 5, завод 39 - 8</w:t>
            </w:r>
          </w:p>
        </w:tc>
      </w:tr>
      <w:tr w:rsidR="004E10C1" w:rsidRPr="0044524F" w14:paraId="6F861B5C" w14:textId="77777777">
        <w:tc>
          <w:tcPr>
            <w:tcW w:w="2802" w:type="dxa"/>
          </w:tcPr>
          <w:p w14:paraId="04624C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ТБ4-8М34РН</w:t>
            </w:r>
          </w:p>
        </w:tc>
        <w:tc>
          <w:tcPr>
            <w:tcW w:w="2802" w:type="dxa"/>
          </w:tcPr>
          <w:p w14:paraId="4A288B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w:t>
            </w:r>
          </w:p>
        </w:tc>
        <w:tc>
          <w:tcPr>
            <w:tcW w:w="2442" w:type="dxa"/>
          </w:tcPr>
          <w:p w14:paraId="1087BD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3162" w:type="dxa"/>
          </w:tcPr>
          <w:p w14:paraId="4273CCD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365605A7" w14:textId="77777777">
        <w:tc>
          <w:tcPr>
            <w:tcW w:w="2802" w:type="dxa"/>
          </w:tcPr>
          <w:p w14:paraId="06D48E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Р6а-2М17</w:t>
            </w:r>
          </w:p>
        </w:tc>
        <w:tc>
          <w:tcPr>
            <w:tcW w:w="2802" w:type="dxa"/>
          </w:tcPr>
          <w:p w14:paraId="2371B5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2442" w:type="dxa"/>
          </w:tcPr>
          <w:p w14:paraId="5C3F3E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3162" w:type="dxa"/>
          </w:tcPr>
          <w:p w14:paraId="01585F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D961A01" w14:textId="77777777">
        <w:tc>
          <w:tcPr>
            <w:tcW w:w="2802" w:type="dxa"/>
          </w:tcPr>
          <w:p w14:paraId="1D23AD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Р6-2М17</w:t>
            </w:r>
          </w:p>
        </w:tc>
        <w:tc>
          <w:tcPr>
            <w:tcW w:w="2802" w:type="dxa"/>
          </w:tcPr>
          <w:p w14:paraId="7CBCAC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442" w:type="dxa"/>
          </w:tcPr>
          <w:p w14:paraId="6D3688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c>
          <w:tcPr>
            <w:tcW w:w="3162" w:type="dxa"/>
          </w:tcPr>
          <w:p w14:paraId="601701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w:t>
            </w:r>
          </w:p>
        </w:tc>
      </w:tr>
      <w:tr w:rsidR="004E10C1" w:rsidRPr="0044524F" w14:paraId="4AA03138" w14:textId="77777777">
        <w:tc>
          <w:tcPr>
            <w:tcW w:w="2802" w:type="dxa"/>
          </w:tcPr>
          <w:p w14:paraId="32708A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Р6а-2М17</w:t>
            </w:r>
          </w:p>
        </w:tc>
        <w:tc>
          <w:tcPr>
            <w:tcW w:w="2802" w:type="dxa"/>
          </w:tcPr>
          <w:p w14:paraId="2285FC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442" w:type="dxa"/>
          </w:tcPr>
          <w:p w14:paraId="09319D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c>
          <w:tcPr>
            <w:tcW w:w="3162" w:type="dxa"/>
          </w:tcPr>
          <w:p w14:paraId="4F7B5C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75</w:t>
            </w:r>
          </w:p>
        </w:tc>
      </w:tr>
      <w:tr w:rsidR="004E10C1" w:rsidRPr="0044524F" w14:paraId="1119DDFC" w14:textId="77777777">
        <w:tc>
          <w:tcPr>
            <w:tcW w:w="2802" w:type="dxa"/>
          </w:tcPr>
          <w:p w14:paraId="7E8D04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МИ3-2М34</w:t>
            </w:r>
          </w:p>
        </w:tc>
        <w:tc>
          <w:tcPr>
            <w:tcW w:w="2802" w:type="dxa"/>
          </w:tcPr>
          <w:p w14:paraId="02EA67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442" w:type="dxa"/>
          </w:tcPr>
          <w:p w14:paraId="7596F9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3162" w:type="dxa"/>
          </w:tcPr>
          <w:p w14:paraId="3C0118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5B100FFE" w14:textId="77777777">
        <w:tc>
          <w:tcPr>
            <w:tcW w:w="2802" w:type="dxa"/>
          </w:tcPr>
          <w:p w14:paraId="2865C0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МК-6М34</w:t>
            </w:r>
          </w:p>
        </w:tc>
        <w:tc>
          <w:tcPr>
            <w:tcW w:w="2802" w:type="dxa"/>
          </w:tcPr>
          <w:p w14:paraId="629E56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2442" w:type="dxa"/>
          </w:tcPr>
          <w:p w14:paraId="6F7078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c>
          <w:tcPr>
            <w:tcW w:w="3162" w:type="dxa"/>
          </w:tcPr>
          <w:p w14:paraId="48CF7D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77B31ACA" w14:textId="77777777">
        <w:tc>
          <w:tcPr>
            <w:tcW w:w="2802" w:type="dxa"/>
          </w:tcPr>
          <w:p w14:paraId="12425C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МДР4-3М34</w:t>
            </w:r>
          </w:p>
        </w:tc>
        <w:tc>
          <w:tcPr>
            <w:tcW w:w="2802" w:type="dxa"/>
          </w:tcPr>
          <w:p w14:paraId="16E6D4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2442" w:type="dxa"/>
          </w:tcPr>
          <w:p w14:paraId="30642C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3162" w:type="dxa"/>
          </w:tcPr>
          <w:p w14:paraId="0E0883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из них завод 31 - 3, завод 125 - 2</w:t>
            </w:r>
          </w:p>
        </w:tc>
      </w:tr>
      <w:tr w:rsidR="004E10C1" w:rsidRPr="0044524F" w14:paraId="531D7C87" w14:textId="77777777">
        <w:tc>
          <w:tcPr>
            <w:tcW w:w="2802" w:type="dxa"/>
          </w:tcPr>
          <w:p w14:paraId="2D17A0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К5-М22</w:t>
            </w:r>
          </w:p>
        </w:tc>
        <w:tc>
          <w:tcPr>
            <w:tcW w:w="2802" w:type="dxa"/>
          </w:tcPr>
          <w:p w14:paraId="7E756F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w:t>
            </w:r>
          </w:p>
        </w:tc>
        <w:tc>
          <w:tcPr>
            <w:tcW w:w="2442" w:type="dxa"/>
          </w:tcPr>
          <w:p w14:paraId="7A32E9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54</w:t>
            </w:r>
          </w:p>
        </w:tc>
        <w:tc>
          <w:tcPr>
            <w:tcW w:w="3162" w:type="dxa"/>
          </w:tcPr>
          <w:p w14:paraId="0E28ED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420AF94" w14:textId="77777777">
        <w:tc>
          <w:tcPr>
            <w:tcW w:w="2802" w:type="dxa"/>
          </w:tcPr>
          <w:p w14:paraId="2D3F1E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К7-7М34</w:t>
            </w:r>
          </w:p>
        </w:tc>
        <w:tc>
          <w:tcPr>
            <w:tcW w:w="2802" w:type="dxa"/>
          </w:tcPr>
          <w:p w14:paraId="6989F3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w:t>
            </w:r>
          </w:p>
        </w:tc>
        <w:tc>
          <w:tcPr>
            <w:tcW w:w="2442" w:type="dxa"/>
          </w:tcPr>
          <w:p w14:paraId="6C5039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3162" w:type="dxa"/>
          </w:tcPr>
          <w:p w14:paraId="5CBA5A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5C64C8D" w14:textId="77777777">
        <w:tc>
          <w:tcPr>
            <w:tcW w:w="2802" w:type="dxa"/>
          </w:tcPr>
          <w:p w14:paraId="24FCA9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ХАИ1-М22 пассажирский</w:t>
            </w:r>
          </w:p>
        </w:tc>
        <w:tc>
          <w:tcPr>
            <w:tcW w:w="2802" w:type="dxa"/>
          </w:tcPr>
          <w:p w14:paraId="0C0B83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ХАЗ</w:t>
            </w:r>
          </w:p>
        </w:tc>
        <w:tc>
          <w:tcPr>
            <w:tcW w:w="2442" w:type="dxa"/>
          </w:tcPr>
          <w:p w14:paraId="30CF17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3162" w:type="dxa"/>
          </w:tcPr>
          <w:p w14:paraId="13B6C5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752FCA76" w14:textId="77777777">
        <w:tc>
          <w:tcPr>
            <w:tcW w:w="2802" w:type="dxa"/>
          </w:tcPr>
          <w:p w14:paraId="0373A7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802" w:type="dxa"/>
          </w:tcPr>
          <w:p w14:paraId="06E3F6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43</w:t>
            </w:r>
          </w:p>
        </w:tc>
        <w:tc>
          <w:tcPr>
            <w:tcW w:w="2442" w:type="dxa"/>
          </w:tcPr>
          <w:p w14:paraId="727650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3162" w:type="dxa"/>
          </w:tcPr>
          <w:p w14:paraId="40075A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r>
      <w:tr w:rsidR="004E10C1" w:rsidRPr="0044524F" w14:paraId="20FDD596" w14:textId="77777777">
        <w:tc>
          <w:tcPr>
            <w:tcW w:w="2802" w:type="dxa"/>
          </w:tcPr>
          <w:p w14:paraId="457702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802" w:type="dxa"/>
          </w:tcPr>
          <w:p w14:paraId="01ABEA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w:t>
            </w:r>
          </w:p>
        </w:tc>
        <w:tc>
          <w:tcPr>
            <w:tcW w:w="2442" w:type="dxa"/>
          </w:tcPr>
          <w:p w14:paraId="3B4928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c>
          <w:tcPr>
            <w:tcW w:w="3162" w:type="dxa"/>
          </w:tcPr>
          <w:p w14:paraId="00B0FD9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42B686A7" w14:textId="77777777">
        <w:tc>
          <w:tcPr>
            <w:tcW w:w="2802" w:type="dxa"/>
          </w:tcPr>
          <w:p w14:paraId="44F7B0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802" w:type="dxa"/>
          </w:tcPr>
          <w:p w14:paraId="6D4502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47</w:t>
            </w:r>
          </w:p>
        </w:tc>
        <w:tc>
          <w:tcPr>
            <w:tcW w:w="2442" w:type="dxa"/>
          </w:tcPr>
          <w:p w14:paraId="0B8EAE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60</w:t>
            </w:r>
          </w:p>
        </w:tc>
        <w:tc>
          <w:tcPr>
            <w:tcW w:w="3162" w:type="dxa"/>
          </w:tcPr>
          <w:p w14:paraId="7BC800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05CDC122" w14:textId="77777777">
        <w:tc>
          <w:tcPr>
            <w:tcW w:w="2802" w:type="dxa"/>
          </w:tcPr>
          <w:p w14:paraId="6F589A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МБР2-М17</w:t>
            </w:r>
          </w:p>
        </w:tc>
        <w:tc>
          <w:tcPr>
            <w:tcW w:w="2802" w:type="dxa"/>
          </w:tcPr>
          <w:p w14:paraId="35374D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w:t>
            </w:r>
          </w:p>
        </w:tc>
        <w:tc>
          <w:tcPr>
            <w:tcW w:w="2442" w:type="dxa"/>
          </w:tcPr>
          <w:p w14:paraId="25AC41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250</w:t>
            </w:r>
          </w:p>
        </w:tc>
        <w:tc>
          <w:tcPr>
            <w:tcW w:w="3162" w:type="dxa"/>
          </w:tcPr>
          <w:p w14:paraId="5C4CB5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200</w:t>
            </w:r>
          </w:p>
        </w:tc>
      </w:tr>
      <w:tr w:rsidR="004E10C1" w:rsidRPr="0044524F" w14:paraId="22FD71F8" w14:textId="77777777">
        <w:tc>
          <w:tcPr>
            <w:tcW w:w="2802" w:type="dxa"/>
          </w:tcPr>
          <w:p w14:paraId="4176D8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2802" w:type="dxa"/>
          </w:tcPr>
          <w:p w14:paraId="07595B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0A0549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5261</w:t>
            </w:r>
          </w:p>
        </w:tc>
        <w:tc>
          <w:tcPr>
            <w:tcW w:w="3162" w:type="dxa"/>
          </w:tcPr>
          <w:p w14:paraId="07D8CB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3646</w:t>
            </w:r>
          </w:p>
        </w:tc>
      </w:tr>
      <w:tr w:rsidR="004E10C1" w:rsidRPr="0044524F" w14:paraId="6CE68877" w14:textId="77777777">
        <w:tc>
          <w:tcPr>
            <w:tcW w:w="2802" w:type="dxa"/>
          </w:tcPr>
          <w:p w14:paraId="7009F4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Ввиду наличия на заводах задела включается в заказ УВВС</w:t>
            </w:r>
          </w:p>
          <w:p w14:paraId="48FFA3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ТБ3-4М17</w:t>
            </w:r>
          </w:p>
          <w:p w14:paraId="1221C4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И7-М17</w:t>
            </w:r>
          </w:p>
        </w:tc>
        <w:tc>
          <w:tcPr>
            <w:tcW w:w="2802" w:type="dxa"/>
          </w:tcPr>
          <w:p w14:paraId="34873B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430CCB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162" w:type="dxa"/>
          </w:tcPr>
          <w:p w14:paraId="5CF581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18354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643DC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13</w:t>
            </w:r>
          </w:p>
          <w:p w14:paraId="64780F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65</w:t>
            </w:r>
          </w:p>
        </w:tc>
      </w:tr>
      <w:tr w:rsidR="004E10C1" w:rsidRPr="0044524F" w14:paraId="390B297D" w14:textId="77777777">
        <w:tc>
          <w:tcPr>
            <w:tcW w:w="2802" w:type="dxa"/>
          </w:tcPr>
          <w:p w14:paraId="630E2B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Моторы</w:t>
            </w:r>
          </w:p>
        </w:tc>
        <w:tc>
          <w:tcPr>
            <w:tcW w:w="2802" w:type="dxa"/>
          </w:tcPr>
          <w:p w14:paraId="319A3C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Pr>
          <w:p w14:paraId="0514AE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3162" w:type="dxa"/>
          </w:tcPr>
          <w:p w14:paraId="057A1F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5FC1174" w14:textId="77777777">
        <w:tc>
          <w:tcPr>
            <w:tcW w:w="2802" w:type="dxa"/>
          </w:tcPr>
          <w:p w14:paraId="7C436A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2802" w:type="dxa"/>
          </w:tcPr>
          <w:p w14:paraId="416B55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2442" w:type="dxa"/>
          </w:tcPr>
          <w:p w14:paraId="4DB467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460</w:t>
            </w:r>
          </w:p>
        </w:tc>
        <w:tc>
          <w:tcPr>
            <w:tcW w:w="3162" w:type="dxa"/>
          </w:tcPr>
          <w:p w14:paraId="1CF675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1094</w:t>
            </w:r>
          </w:p>
        </w:tc>
      </w:tr>
      <w:tr w:rsidR="004E10C1" w:rsidRPr="0044524F" w14:paraId="1F5F6EDE" w14:textId="77777777">
        <w:tc>
          <w:tcPr>
            <w:tcW w:w="2802" w:type="dxa"/>
          </w:tcPr>
          <w:p w14:paraId="223671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2802" w:type="dxa"/>
          </w:tcPr>
          <w:p w14:paraId="1DB687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2442" w:type="dxa"/>
          </w:tcPr>
          <w:p w14:paraId="7E81AE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w:t>
            </w:r>
          </w:p>
        </w:tc>
        <w:tc>
          <w:tcPr>
            <w:tcW w:w="3162" w:type="dxa"/>
          </w:tcPr>
          <w:p w14:paraId="500308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EEE1594" w14:textId="77777777">
        <w:tc>
          <w:tcPr>
            <w:tcW w:w="2802" w:type="dxa"/>
          </w:tcPr>
          <w:p w14:paraId="2B2CED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2802" w:type="dxa"/>
          </w:tcPr>
          <w:p w14:paraId="759874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2442" w:type="dxa"/>
          </w:tcPr>
          <w:p w14:paraId="74C297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670</w:t>
            </w:r>
          </w:p>
        </w:tc>
        <w:tc>
          <w:tcPr>
            <w:tcW w:w="3162" w:type="dxa"/>
          </w:tcPr>
          <w:p w14:paraId="682F70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1E8834B2" w14:textId="77777777">
        <w:tc>
          <w:tcPr>
            <w:tcW w:w="2802" w:type="dxa"/>
          </w:tcPr>
          <w:p w14:paraId="0EBEBC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М34?</w:t>
            </w:r>
          </w:p>
        </w:tc>
        <w:tc>
          <w:tcPr>
            <w:tcW w:w="2802" w:type="dxa"/>
          </w:tcPr>
          <w:p w14:paraId="464B12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c>
          <w:tcPr>
            <w:tcW w:w="2442" w:type="dxa"/>
          </w:tcPr>
          <w:p w14:paraId="4902E6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380</w:t>
            </w:r>
          </w:p>
        </w:tc>
        <w:tc>
          <w:tcPr>
            <w:tcW w:w="3162" w:type="dxa"/>
          </w:tcPr>
          <w:p w14:paraId="0F53D7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C48CFD" w14:textId="77777777">
        <w:tc>
          <w:tcPr>
            <w:tcW w:w="2802" w:type="dxa"/>
          </w:tcPr>
          <w:p w14:paraId="6A5A4B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М17</w:t>
            </w:r>
          </w:p>
        </w:tc>
        <w:tc>
          <w:tcPr>
            <w:tcW w:w="2802" w:type="dxa"/>
          </w:tcPr>
          <w:p w14:paraId="25145D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w:t>
            </w:r>
          </w:p>
        </w:tc>
        <w:tc>
          <w:tcPr>
            <w:tcW w:w="2442" w:type="dxa"/>
          </w:tcPr>
          <w:p w14:paraId="195FFE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5500</w:t>
            </w:r>
          </w:p>
        </w:tc>
        <w:tc>
          <w:tcPr>
            <w:tcW w:w="3162" w:type="dxa"/>
          </w:tcPr>
          <w:p w14:paraId="12A804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4000</w:t>
            </w:r>
          </w:p>
        </w:tc>
      </w:tr>
      <w:tr w:rsidR="004E10C1" w:rsidRPr="0044524F" w14:paraId="430ED9CC" w14:textId="77777777">
        <w:tc>
          <w:tcPr>
            <w:tcW w:w="2802" w:type="dxa"/>
          </w:tcPr>
          <w:p w14:paraId="59619C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802" w:type="dxa"/>
          </w:tcPr>
          <w:p w14:paraId="10CFFF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2442" w:type="dxa"/>
          </w:tcPr>
          <w:p w14:paraId="167E6C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2200</w:t>
            </w:r>
          </w:p>
        </w:tc>
        <w:tc>
          <w:tcPr>
            <w:tcW w:w="3162" w:type="dxa"/>
          </w:tcPr>
          <w:p w14:paraId="0B1BC2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1525</w:t>
            </w:r>
          </w:p>
        </w:tc>
      </w:tr>
      <w:tr w:rsidR="004E10C1" w:rsidRPr="0044524F" w14:paraId="0821A7B6" w14:textId="77777777">
        <w:tc>
          <w:tcPr>
            <w:tcW w:w="2802" w:type="dxa"/>
          </w:tcPr>
          <w:p w14:paraId="2BC62E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2802" w:type="dxa"/>
          </w:tcPr>
          <w:p w14:paraId="6CE7DC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w:t>
            </w:r>
          </w:p>
        </w:tc>
        <w:tc>
          <w:tcPr>
            <w:tcW w:w="2442" w:type="dxa"/>
          </w:tcPr>
          <w:p w14:paraId="15FA8A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850</w:t>
            </w:r>
          </w:p>
        </w:tc>
        <w:tc>
          <w:tcPr>
            <w:tcW w:w="3162" w:type="dxa"/>
          </w:tcPr>
          <w:p w14:paraId="478D05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800</w:t>
            </w:r>
          </w:p>
        </w:tc>
      </w:tr>
      <w:tr w:rsidR="004E10C1" w:rsidRPr="0044524F" w14:paraId="569C64A1" w14:textId="77777777">
        <w:tc>
          <w:tcPr>
            <w:tcW w:w="2802" w:type="dxa"/>
            <w:tcBorders>
              <w:bottom w:val="single" w:sz="12" w:space="0" w:color="auto"/>
            </w:tcBorders>
          </w:tcPr>
          <w:p w14:paraId="0E2B9D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2802" w:type="dxa"/>
            <w:tcBorders>
              <w:bottom w:val="single" w:sz="12" w:space="0" w:color="auto"/>
            </w:tcBorders>
          </w:tcPr>
          <w:p w14:paraId="3A3C79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2442" w:type="dxa"/>
            <w:tcBorders>
              <w:bottom w:val="single" w:sz="12" w:space="0" w:color="auto"/>
            </w:tcBorders>
          </w:tcPr>
          <w:p w14:paraId="3D1076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10300</w:t>
            </w:r>
          </w:p>
        </w:tc>
        <w:tc>
          <w:tcPr>
            <w:tcW w:w="3162" w:type="dxa"/>
            <w:tcBorders>
              <w:bottom w:val="single" w:sz="12" w:space="0" w:color="auto"/>
            </w:tcBorders>
          </w:tcPr>
          <w:p w14:paraId="3BAF7E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7419 (2266,218).</w:t>
            </w:r>
          </w:p>
        </w:tc>
      </w:tr>
    </w:tbl>
    <w:p w14:paraId="48CD58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8D80BF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конца 1933 г. завод № 24 при</w:t>
      </w:r>
      <w:r w:rsidRPr="0044524F">
        <w:rPr>
          <w:rFonts w:ascii="Times New Roman" w:hAnsi="Times New Roman"/>
          <w:color w:val="000000" w:themeColor="text1"/>
          <w:sz w:val="16"/>
          <w:szCs w:val="16"/>
        </w:rPr>
        <w:softHyphen/>
        <w:t>ступил к серийному выпуску М-34Р, который был объявлен основной про</w:t>
      </w:r>
      <w:r w:rsidRPr="0044524F">
        <w:rPr>
          <w:rFonts w:ascii="Times New Roman" w:hAnsi="Times New Roman"/>
          <w:color w:val="000000" w:themeColor="text1"/>
          <w:sz w:val="16"/>
          <w:szCs w:val="16"/>
        </w:rPr>
        <w:softHyphen/>
        <w:t>дукцией. К 1 марта 1934 г. собрали 27 штук, дюжина из которых прошла испытания. Но военной приемке пер</w:t>
      </w:r>
      <w:r w:rsidRPr="0044524F">
        <w:rPr>
          <w:rFonts w:ascii="Times New Roman" w:hAnsi="Times New Roman"/>
          <w:color w:val="000000" w:themeColor="text1"/>
          <w:sz w:val="16"/>
          <w:szCs w:val="16"/>
        </w:rPr>
        <w:softHyphen/>
        <w:t>вую партию из 50 двигателей предъя</w:t>
      </w:r>
      <w:r w:rsidRPr="0044524F">
        <w:rPr>
          <w:rFonts w:ascii="Times New Roman" w:hAnsi="Times New Roman"/>
          <w:color w:val="000000" w:themeColor="text1"/>
          <w:sz w:val="16"/>
          <w:szCs w:val="16"/>
        </w:rPr>
        <w:softHyphen/>
        <w:t>вили в апреле. Приемщики зафикси</w:t>
      </w:r>
      <w:r w:rsidRPr="0044524F">
        <w:rPr>
          <w:rFonts w:ascii="Times New Roman" w:hAnsi="Times New Roman"/>
          <w:color w:val="000000" w:themeColor="text1"/>
          <w:sz w:val="16"/>
          <w:szCs w:val="16"/>
        </w:rPr>
        <w:softHyphen/>
        <w:t>ровали превышение веса против тех</w:t>
      </w:r>
      <w:r w:rsidRPr="0044524F">
        <w:rPr>
          <w:rFonts w:ascii="Times New Roman" w:hAnsi="Times New Roman"/>
          <w:color w:val="000000" w:themeColor="text1"/>
          <w:sz w:val="16"/>
          <w:szCs w:val="16"/>
        </w:rPr>
        <w:softHyphen/>
        <w:t>нических условий и завышенный рас</w:t>
      </w:r>
      <w:r w:rsidRPr="0044524F">
        <w:rPr>
          <w:rFonts w:ascii="Times New Roman" w:hAnsi="Times New Roman"/>
          <w:color w:val="000000" w:themeColor="text1"/>
          <w:sz w:val="16"/>
          <w:szCs w:val="16"/>
        </w:rPr>
        <w:softHyphen/>
        <w:t>ход топлива, но моторы приняли. 23 мая на повторных стендовых испы</w:t>
      </w:r>
      <w:r w:rsidRPr="0044524F">
        <w:rPr>
          <w:rFonts w:ascii="Times New Roman" w:hAnsi="Times New Roman"/>
          <w:color w:val="000000" w:themeColor="text1"/>
          <w:sz w:val="16"/>
          <w:szCs w:val="16"/>
        </w:rPr>
        <w:softHyphen/>
        <w:t>таниях двигателя был получен ресурс в 500 часов - по советским меркам просто огромный (у М-17 было 400 часов). Конечно, серийные моторы столько не работали. До переборки они нарабатывали часов 150-200. До июля 1934 г. сборка М-34Р шла по временному эталону; к это</w:t>
      </w:r>
      <w:r w:rsidRPr="0044524F">
        <w:rPr>
          <w:rFonts w:ascii="Times New Roman" w:hAnsi="Times New Roman"/>
          <w:color w:val="000000" w:themeColor="text1"/>
          <w:sz w:val="16"/>
          <w:szCs w:val="16"/>
        </w:rPr>
        <w:softHyphen/>
        <w:t>му времени изготовили 260 моторов этой модификации. До конца же года выпустили 830 штук. М-34Р использовались, в основном, но бомбардировщиках ТБ-3. На них в июле 1934 г. в 23-й бригаде в Монино проводились войсковые ис</w:t>
      </w:r>
      <w:r w:rsidRPr="0044524F">
        <w:rPr>
          <w:rFonts w:ascii="Times New Roman" w:hAnsi="Times New Roman"/>
          <w:color w:val="000000" w:themeColor="text1"/>
          <w:sz w:val="16"/>
          <w:szCs w:val="16"/>
        </w:rPr>
        <w:softHyphen/>
        <w:t>пытания. М-34Р были оснащены и многие опытные самолеты. Эта мо</w:t>
      </w:r>
      <w:r w:rsidRPr="0044524F">
        <w:rPr>
          <w:rFonts w:ascii="Times New Roman" w:hAnsi="Times New Roman"/>
          <w:color w:val="000000" w:themeColor="text1"/>
          <w:sz w:val="16"/>
          <w:szCs w:val="16"/>
        </w:rPr>
        <w:softHyphen/>
        <w:t>дификация в несколько измененном виде в больших количествах выпус</w:t>
      </w:r>
      <w:r w:rsidRPr="0044524F">
        <w:rPr>
          <w:rFonts w:ascii="Times New Roman" w:hAnsi="Times New Roman"/>
          <w:color w:val="000000" w:themeColor="text1"/>
          <w:sz w:val="16"/>
          <w:szCs w:val="16"/>
        </w:rPr>
        <w:softHyphen/>
        <w:t>калась до конца 1939 г. Не все М-34Р были одинаковы. В 1933 г. специально для рекордных самолетов РД (АНТ-25) выпустили партию М-34РД (они же М-34РСп). Эти двигатели отличались новыми всасывающими патрубками, масляны</w:t>
      </w:r>
      <w:r w:rsidRPr="0044524F">
        <w:rPr>
          <w:rFonts w:ascii="Times New Roman" w:hAnsi="Times New Roman"/>
          <w:color w:val="000000" w:themeColor="text1"/>
          <w:sz w:val="16"/>
          <w:szCs w:val="16"/>
        </w:rPr>
        <w:softHyphen/>
        <w:t>ми и водяными насосами, распред-валами, конструкцией хвостовика коленчатого вала, наличием второ</w:t>
      </w:r>
      <w:r w:rsidRPr="0044524F">
        <w:rPr>
          <w:rFonts w:ascii="Times New Roman" w:hAnsi="Times New Roman"/>
          <w:color w:val="000000" w:themeColor="text1"/>
          <w:sz w:val="16"/>
          <w:szCs w:val="16"/>
        </w:rPr>
        <w:softHyphen/>
        <w:t>го бензонасоса, а также более ка</w:t>
      </w:r>
      <w:r w:rsidRPr="0044524F">
        <w:rPr>
          <w:rFonts w:ascii="Times New Roman" w:hAnsi="Times New Roman"/>
          <w:color w:val="000000" w:themeColor="text1"/>
          <w:sz w:val="16"/>
          <w:szCs w:val="16"/>
        </w:rPr>
        <w:softHyphen/>
        <w:t>чественным изготовлением деталей (по другой технологии), меньшими допусками, применением для уплот</w:t>
      </w:r>
      <w:r w:rsidRPr="0044524F">
        <w:rPr>
          <w:rFonts w:ascii="Times New Roman" w:hAnsi="Times New Roman"/>
          <w:color w:val="000000" w:themeColor="text1"/>
          <w:sz w:val="16"/>
          <w:szCs w:val="16"/>
        </w:rPr>
        <w:softHyphen/>
        <w:t>нений высококачественной резины, тщательной регулировкой и карбюроторами К-34РД. За счет небольшого форсирова</w:t>
      </w:r>
      <w:r w:rsidRPr="0044524F">
        <w:rPr>
          <w:rFonts w:ascii="Times New Roman" w:hAnsi="Times New Roman"/>
          <w:color w:val="000000" w:themeColor="text1"/>
          <w:sz w:val="16"/>
          <w:szCs w:val="16"/>
        </w:rPr>
        <w:softHyphen/>
        <w:t>ния по оборотам максимальную мощ</w:t>
      </w:r>
      <w:r w:rsidRPr="0044524F">
        <w:rPr>
          <w:rFonts w:ascii="Times New Roman" w:hAnsi="Times New Roman"/>
          <w:color w:val="000000" w:themeColor="text1"/>
          <w:sz w:val="16"/>
          <w:szCs w:val="16"/>
        </w:rPr>
        <w:softHyphen/>
        <w:t>ность М-34РД повысили до 830 л.с. Магнето, свечи и провода зажига</w:t>
      </w:r>
      <w:r w:rsidRPr="0044524F">
        <w:rPr>
          <w:rFonts w:ascii="Times New Roman" w:hAnsi="Times New Roman"/>
          <w:color w:val="000000" w:themeColor="text1"/>
          <w:sz w:val="16"/>
          <w:szCs w:val="16"/>
        </w:rPr>
        <w:softHyphen/>
        <w:t>ния были импортными. Сделали 20 комплектов деталей, из которых со</w:t>
      </w:r>
      <w:r w:rsidRPr="0044524F">
        <w:rPr>
          <w:rFonts w:ascii="Times New Roman" w:hAnsi="Times New Roman"/>
          <w:color w:val="000000" w:themeColor="text1"/>
          <w:sz w:val="16"/>
          <w:szCs w:val="16"/>
        </w:rPr>
        <w:softHyphen/>
        <w:t>брали 15 моторов, а сдали, как и заказывали, десять. Расчет был ве</w:t>
      </w:r>
      <w:r w:rsidRPr="0044524F">
        <w:rPr>
          <w:rFonts w:ascii="Times New Roman" w:hAnsi="Times New Roman"/>
          <w:color w:val="000000" w:themeColor="text1"/>
          <w:sz w:val="16"/>
          <w:szCs w:val="16"/>
        </w:rPr>
        <w:softHyphen/>
        <w:t>рен: доля брака составила около 25%. Все двигатели этой партии были «штучными» — существовали три ва</w:t>
      </w:r>
      <w:r w:rsidRPr="0044524F">
        <w:rPr>
          <w:rFonts w:ascii="Times New Roman" w:hAnsi="Times New Roman"/>
          <w:color w:val="000000" w:themeColor="text1"/>
          <w:sz w:val="16"/>
          <w:szCs w:val="16"/>
        </w:rPr>
        <w:softHyphen/>
        <w:t>рианта по степени сжатия (кроме стандартной 6,0, еще 6,6 и 6,7), а часть моторов не имела редукторов (11848).</w:t>
      </w:r>
    </w:p>
    <w:p w14:paraId="634F636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7A58F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конца 1933 г. продолжалась доводка Я-2 (СП-2) на заводе № 24, после чего в качестве более перспективного в том же диапазоне мощностей вы</w:t>
      </w:r>
      <w:r w:rsidRPr="0044524F">
        <w:rPr>
          <w:rFonts w:ascii="Times New Roman" w:hAnsi="Times New Roman"/>
          <w:color w:val="000000" w:themeColor="text1"/>
          <w:sz w:val="16"/>
          <w:szCs w:val="16"/>
        </w:rPr>
        <w:softHyphen/>
        <w:t>двинулся АН-1. Проектирование этого двигателя начали в ЦНИДИ (впоследствии ВНИДИ) в Ленинграде. Руководил работой профессор Л.К. Мартене. Основная особенность конструкции — наддув обеспечивался 6-цилиндровым поршневым компрессором. Газораспределение двухклапанное. Позднее работы перенесли в Москву, в ЦИАМ. Опытный образец был изготов</w:t>
      </w:r>
      <w:r w:rsidRPr="0044524F">
        <w:rPr>
          <w:rFonts w:ascii="Times New Roman" w:hAnsi="Times New Roman"/>
          <w:color w:val="000000" w:themeColor="text1"/>
          <w:sz w:val="16"/>
          <w:szCs w:val="16"/>
        </w:rPr>
        <w:softHyphen/>
        <w:t>лен в 1932 г. на заводе № 24 в Москве и там же проходил стендовые испытания.</w:t>
      </w:r>
    </w:p>
    <w:p w14:paraId="258BAC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7A5E029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12-цилиндровый, У-образный рядный дизель, водяного охлаждения, че</w:t>
      </w:r>
      <w:r w:rsidRPr="0044524F">
        <w:rPr>
          <w:rFonts w:ascii="Times New Roman" w:hAnsi="Times New Roman"/>
          <w:color w:val="000000" w:themeColor="text1"/>
          <w:sz w:val="16"/>
          <w:szCs w:val="16"/>
        </w:rPr>
        <w:softHyphen/>
        <w:t>тырехтактный, с 6-цилиндровым поршневым нагнетателем;</w:t>
      </w:r>
    </w:p>
    <w:p w14:paraId="0395C43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1500 л.с. (по заданию — 1000 л.с.);</w:t>
      </w:r>
    </w:p>
    <w:p w14:paraId="2395C49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вес 1300 кг (по заданию) (11852).</w:t>
      </w:r>
    </w:p>
    <w:p w14:paraId="43A4387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E17E68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задание на дизель Н-9 было выдано ЦИАМ. Информа</w:t>
      </w:r>
      <w:r w:rsidRPr="0044524F">
        <w:rPr>
          <w:rFonts w:ascii="Times New Roman" w:hAnsi="Times New Roman"/>
          <w:color w:val="000000" w:themeColor="text1"/>
          <w:sz w:val="16"/>
          <w:szCs w:val="16"/>
        </w:rPr>
        <w:softHyphen/>
        <w:t>ции о его проектировании и постройке опытных образцов нет. Заводские испытания планировалось начать с 1 июня 1935 г.</w:t>
      </w:r>
    </w:p>
    <w:p w14:paraId="45F2CD9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0EC4D9F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9-цилиндровый звездообразный дизель, воздушного охлаждения;</w:t>
      </w:r>
    </w:p>
    <w:p w14:paraId="30EAAB9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номинальная мощность 500 л.с.;</w:t>
      </w:r>
    </w:p>
    <w:p w14:paraId="35C608B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вес (по заданию) 600 кг. (11852).</w:t>
      </w:r>
    </w:p>
    <w:p w14:paraId="094A13A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9E1A59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была подготовлена справка:</w:t>
      </w:r>
    </w:p>
    <w:p w14:paraId="609A989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ПОЛИТБЮРО ЦК ВКП (б) тов. СТАЛИНУ</w:t>
      </w:r>
    </w:p>
    <w:p w14:paraId="25DC300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вопросу обеспечения гражданской авиации самолето-моторным парком на 1934 год".</w:t>
      </w:r>
    </w:p>
    <w:p w14:paraId="0B2B09E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кз производственных возможностей авиационной промышленности Гражданский Воздушный Флот в 1934 году обеспечивается следующим количеством самолето-моторного парка</w:t>
      </w:r>
    </w:p>
    <w:p w14:paraId="0D26E35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Самолеты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4E10C1" w:rsidRPr="0044524F" w14:paraId="6C3C4EF5" w14:textId="77777777">
        <w:tc>
          <w:tcPr>
            <w:tcW w:w="7054" w:type="dxa"/>
            <w:tcBorders>
              <w:top w:val="single" w:sz="12" w:space="0" w:color="auto"/>
            </w:tcBorders>
            <w:shd w:val="clear" w:color="auto" w:fill="FFFFFF"/>
          </w:tcPr>
          <w:p w14:paraId="27EB67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ТБ-5 с 4 моторами М-17 (грузовой)</w:t>
            </w:r>
          </w:p>
        </w:tc>
        <w:tc>
          <w:tcPr>
            <w:tcW w:w="4156" w:type="dxa"/>
            <w:tcBorders>
              <w:top w:val="single" w:sz="12" w:space="0" w:color="auto"/>
            </w:tcBorders>
            <w:shd w:val="clear" w:color="auto" w:fill="FFFFFF"/>
          </w:tcPr>
          <w:p w14:paraId="0CEC9C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r>
      <w:tr w:rsidR="004E10C1" w:rsidRPr="0044524F" w14:paraId="29A4B6D4" w14:textId="77777777">
        <w:tc>
          <w:tcPr>
            <w:tcW w:w="7054" w:type="dxa"/>
            <w:shd w:val="clear" w:color="auto" w:fill="FFFFFF"/>
          </w:tcPr>
          <w:p w14:paraId="60AE0E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ХАИ-1 с одним котором М-22 Т (пассажирский 5-ти местный)</w:t>
            </w:r>
          </w:p>
        </w:tc>
        <w:tc>
          <w:tcPr>
            <w:tcW w:w="4156" w:type="dxa"/>
            <w:shd w:val="clear" w:color="auto" w:fill="FFFFFF"/>
          </w:tcPr>
          <w:p w14:paraId="1065BA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r>
      <w:tr w:rsidR="004E10C1" w:rsidRPr="0044524F" w14:paraId="1B6F9B22" w14:textId="77777777">
        <w:tc>
          <w:tcPr>
            <w:tcW w:w="7054" w:type="dxa"/>
            <w:shd w:val="clear" w:color="auto" w:fill="FFFFFF"/>
          </w:tcPr>
          <w:p w14:paraId="2F06B2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К-5 с одним мотором М-22 (пассажирский - 8-ми местный)</w:t>
            </w:r>
          </w:p>
        </w:tc>
        <w:tc>
          <w:tcPr>
            <w:tcW w:w="4156" w:type="dxa"/>
            <w:shd w:val="clear" w:color="auto" w:fill="FFFFFF"/>
          </w:tcPr>
          <w:p w14:paraId="2EF581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r>
      <w:tr w:rsidR="004E10C1" w:rsidRPr="0044524F" w14:paraId="393708DA" w14:textId="77777777">
        <w:tc>
          <w:tcPr>
            <w:tcW w:w="7054" w:type="dxa"/>
            <w:shd w:val="clear" w:color="auto" w:fill="FFFFFF"/>
          </w:tcPr>
          <w:p w14:paraId="239F27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Р-6-А с двумя моторами М-17 (гидро-почтовый и грузовой)</w:t>
            </w:r>
          </w:p>
        </w:tc>
        <w:tc>
          <w:tcPr>
            <w:tcW w:w="4156" w:type="dxa"/>
            <w:shd w:val="clear" w:color="auto" w:fill="FFFFFF"/>
          </w:tcPr>
          <w:p w14:paraId="2BBAD2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r>
      <w:tr w:rsidR="004E10C1" w:rsidRPr="0044524F" w14:paraId="0AF5A676" w14:textId="77777777">
        <w:tc>
          <w:tcPr>
            <w:tcW w:w="7054" w:type="dxa"/>
            <w:shd w:val="clear" w:color="auto" w:fill="FFFFFF"/>
          </w:tcPr>
          <w:p w14:paraId="0F5B54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Р-5 с одним мотором М-17 ( почтовый и учебн.)</w:t>
            </w:r>
          </w:p>
        </w:tc>
        <w:tc>
          <w:tcPr>
            <w:tcW w:w="4156" w:type="dxa"/>
            <w:shd w:val="clear" w:color="auto" w:fill="FFFFFF"/>
          </w:tcPr>
          <w:p w14:paraId="3DB2AF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305</w:t>
            </w:r>
          </w:p>
        </w:tc>
      </w:tr>
      <w:tr w:rsidR="004E10C1" w:rsidRPr="0044524F" w14:paraId="28C53796" w14:textId="77777777">
        <w:tc>
          <w:tcPr>
            <w:tcW w:w="7054" w:type="dxa"/>
            <w:shd w:val="clear" w:color="auto" w:fill="FFFFFF"/>
          </w:tcPr>
          <w:p w14:paraId="0CFFC1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Р-5-А- с одним мотором М-17 (почтовый и учебн. гидро)</w:t>
            </w:r>
          </w:p>
        </w:tc>
        <w:tc>
          <w:tcPr>
            <w:tcW w:w="4156" w:type="dxa"/>
            <w:shd w:val="clear" w:color="auto" w:fill="FFFFFF"/>
          </w:tcPr>
          <w:p w14:paraId="4A9DF4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w:t>
            </w:r>
          </w:p>
        </w:tc>
      </w:tr>
      <w:tr w:rsidR="004E10C1" w:rsidRPr="0044524F" w14:paraId="70771E9B" w14:textId="77777777">
        <w:tc>
          <w:tcPr>
            <w:tcW w:w="7054" w:type="dxa"/>
            <w:shd w:val="clear" w:color="auto" w:fill="FFFFFF"/>
          </w:tcPr>
          <w:p w14:paraId="30F24A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У-2 с одним моторомМ-11 (пассажирский 3-х местный и санитарн.)</w:t>
            </w:r>
          </w:p>
        </w:tc>
        <w:tc>
          <w:tcPr>
            <w:tcW w:w="4156" w:type="dxa"/>
            <w:shd w:val="clear" w:color="auto" w:fill="FFFFFF"/>
          </w:tcPr>
          <w:p w14:paraId="5A2249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w:t>
            </w:r>
          </w:p>
        </w:tc>
      </w:tr>
      <w:tr w:rsidR="004E10C1" w:rsidRPr="0044524F" w14:paraId="072718B0" w14:textId="77777777">
        <w:tc>
          <w:tcPr>
            <w:tcW w:w="7054" w:type="dxa"/>
            <w:shd w:val="clear" w:color="auto" w:fill="FFFFFF"/>
          </w:tcPr>
          <w:p w14:paraId="24DE23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8. АП-1 с одним </w:t>
            </w:r>
            <w:r w:rsidRPr="0044524F">
              <w:rPr>
                <w:rFonts w:ascii="Times New Roman" w:hAnsi="Times New Roman"/>
                <w:smallCaps/>
                <w:color w:val="000000" w:themeColor="text1"/>
                <w:sz w:val="16"/>
                <w:szCs w:val="16"/>
              </w:rPr>
              <w:t xml:space="preserve">мотором </w:t>
            </w:r>
            <w:r w:rsidRPr="0044524F">
              <w:rPr>
                <w:rFonts w:ascii="Times New Roman" w:hAnsi="Times New Roman"/>
                <w:color w:val="000000" w:themeColor="text1"/>
                <w:sz w:val="16"/>
                <w:szCs w:val="16"/>
              </w:rPr>
              <w:t>М-11 (специальный по борьбе с вредителями сельского хозяйства)</w:t>
            </w:r>
          </w:p>
        </w:tc>
        <w:tc>
          <w:tcPr>
            <w:tcW w:w="4156" w:type="dxa"/>
            <w:shd w:val="clear" w:color="auto" w:fill="FFFFFF"/>
          </w:tcPr>
          <w:p w14:paraId="78FC6E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170</w:t>
            </w:r>
          </w:p>
        </w:tc>
      </w:tr>
      <w:tr w:rsidR="004E10C1" w:rsidRPr="0044524F" w14:paraId="4E3EC19A" w14:textId="77777777">
        <w:tc>
          <w:tcPr>
            <w:tcW w:w="7054" w:type="dxa"/>
            <w:shd w:val="clear" w:color="auto" w:fill="FFFFFF"/>
          </w:tcPr>
          <w:p w14:paraId="01EACD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 АИР-б с одним мотором М-11 (пассаживский 2-х местный)</w:t>
            </w:r>
          </w:p>
        </w:tc>
        <w:tc>
          <w:tcPr>
            <w:tcW w:w="4156" w:type="dxa"/>
            <w:shd w:val="clear" w:color="auto" w:fill="FFFFFF"/>
          </w:tcPr>
          <w:p w14:paraId="27E66F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w:t>
            </w:r>
          </w:p>
        </w:tc>
      </w:tr>
      <w:tr w:rsidR="004E10C1" w:rsidRPr="0044524F" w14:paraId="08617795" w14:textId="77777777">
        <w:tc>
          <w:tcPr>
            <w:tcW w:w="7054" w:type="dxa"/>
            <w:shd w:val="clear" w:color="auto" w:fill="FFFFFF"/>
          </w:tcPr>
          <w:p w14:paraId="589622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 МБР-2 с .одним мотором М-17 (гидро-пассажирск., 6-ти местный)</w:t>
            </w:r>
          </w:p>
        </w:tc>
        <w:tc>
          <w:tcPr>
            <w:tcW w:w="4156" w:type="dxa"/>
            <w:shd w:val="clear" w:color="auto" w:fill="FFFFFF"/>
          </w:tcPr>
          <w:p w14:paraId="12A96A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p>
        </w:tc>
      </w:tr>
      <w:tr w:rsidR="004E10C1" w:rsidRPr="0044524F" w14:paraId="2A6F17E6" w14:textId="77777777">
        <w:tc>
          <w:tcPr>
            <w:tcW w:w="7054" w:type="dxa"/>
            <w:shd w:val="clear" w:color="auto" w:fill="FFFFFF"/>
          </w:tcPr>
          <w:p w14:paraId="1E3538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 АШ-2 с одним мотором М-11 (амфибия пассажирская 2-х местная)</w:t>
            </w:r>
          </w:p>
        </w:tc>
        <w:tc>
          <w:tcPr>
            <w:tcW w:w="4156" w:type="dxa"/>
            <w:shd w:val="clear" w:color="auto" w:fill="FFFFFF"/>
          </w:tcPr>
          <w:p w14:paraId="7AD076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r>
      <w:tr w:rsidR="004E10C1" w:rsidRPr="0044524F" w14:paraId="6227098A" w14:textId="77777777">
        <w:tc>
          <w:tcPr>
            <w:tcW w:w="7054" w:type="dxa"/>
            <w:shd w:val="clear" w:color="auto" w:fill="FFFFFF"/>
          </w:tcPr>
          <w:p w14:paraId="02F4963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 АНТ-9 с двумя моторами М-17 (пассажирский 9-ти местный)</w:t>
            </w:r>
          </w:p>
        </w:tc>
        <w:tc>
          <w:tcPr>
            <w:tcW w:w="4156" w:type="dxa"/>
            <w:shd w:val="clear" w:color="auto" w:fill="FFFFFF"/>
          </w:tcPr>
          <w:p w14:paraId="7C3396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r>
      <w:tr w:rsidR="004E10C1" w:rsidRPr="0044524F" w14:paraId="22535AA3" w14:textId="77777777">
        <w:tc>
          <w:tcPr>
            <w:tcW w:w="7054" w:type="dxa"/>
            <w:tcBorders>
              <w:bottom w:val="single" w:sz="12" w:space="0" w:color="auto"/>
            </w:tcBorders>
            <w:shd w:val="clear" w:color="auto" w:fill="FFFFFF"/>
          </w:tcPr>
          <w:p w14:paraId="0EA5DC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4156" w:type="dxa"/>
            <w:tcBorders>
              <w:bottom w:val="single" w:sz="12" w:space="0" w:color="auto"/>
            </w:tcBorders>
            <w:shd w:val="clear" w:color="auto" w:fill="FFFFFF"/>
          </w:tcPr>
          <w:p w14:paraId="0C0B23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732</w:t>
            </w:r>
          </w:p>
        </w:tc>
      </w:tr>
    </w:tbl>
    <w:p w14:paraId="72C8EEA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том числе: пассажирских 73 самолета, почтовых-200, грузовых 19, учебных 185, и специальных 255 самолетов.</w:t>
      </w:r>
    </w:p>
    <w:p w14:paraId="2177D1B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Моторы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54"/>
        <w:gridCol w:w="4156"/>
      </w:tblGrid>
      <w:tr w:rsidR="004E10C1" w:rsidRPr="0044524F" w14:paraId="004DBEBB" w14:textId="77777777">
        <w:tc>
          <w:tcPr>
            <w:tcW w:w="7054" w:type="dxa"/>
            <w:tcBorders>
              <w:top w:val="single" w:sz="12" w:space="0" w:color="auto"/>
            </w:tcBorders>
            <w:shd w:val="clear" w:color="auto" w:fill="FFFFFF"/>
          </w:tcPr>
          <w:p w14:paraId="0CB5F0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М-34 мощностьь 700 НР</w:t>
            </w:r>
          </w:p>
        </w:tc>
        <w:tc>
          <w:tcPr>
            <w:tcW w:w="4156" w:type="dxa"/>
            <w:tcBorders>
              <w:top w:val="single" w:sz="12" w:space="0" w:color="auto"/>
            </w:tcBorders>
            <w:shd w:val="clear" w:color="auto" w:fill="FFFFFF"/>
          </w:tcPr>
          <w:p w14:paraId="3ACA5C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r>
      <w:tr w:rsidR="004E10C1" w:rsidRPr="0044524F" w14:paraId="152B5A8A" w14:textId="77777777">
        <w:tc>
          <w:tcPr>
            <w:tcW w:w="7054" w:type="dxa"/>
            <w:shd w:val="clear" w:color="auto" w:fill="FFFFFF"/>
          </w:tcPr>
          <w:p w14:paraId="419ACB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М-22 480 НР</w:t>
            </w:r>
          </w:p>
        </w:tc>
        <w:tc>
          <w:tcPr>
            <w:tcW w:w="4156" w:type="dxa"/>
            <w:shd w:val="clear" w:color="auto" w:fill="FFFFFF"/>
          </w:tcPr>
          <w:p w14:paraId="6A713C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150 (130)</w:t>
            </w:r>
          </w:p>
        </w:tc>
      </w:tr>
      <w:tr w:rsidR="004E10C1" w:rsidRPr="0044524F" w14:paraId="60817474" w14:textId="77777777">
        <w:tc>
          <w:tcPr>
            <w:tcW w:w="7054" w:type="dxa"/>
          </w:tcPr>
          <w:p w14:paraId="3B3D17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М-17 500 НР</w:t>
            </w:r>
          </w:p>
        </w:tc>
        <w:tc>
          <w:tcPr>
            <w:tcW w:w="4156" w:type="dxa"/>
          </w:tcPr>
          <w:p w14:paraId="31C152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616</w:t>
            </w:r>
          </w:p>
        </w:tc>
      </w:tr>
      <w:tr w:rsidR="004E10C1" w:rsidRPr="0044524F" w14:paraId="44E7C960" w14:textId="77777777">
        <w:tc>
          <w:tcPr>
            <w:tcW w:w="7054" w:type="dxa"/>
          </w:tcPr>
          <w:p w14:paraId="615D68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М-11 100 НР</w:t>
            </w:r>
          </w:p>
        </w:tc>
        <w:tc>
          <w:tcPr>
            <w:tcW w:w="4156" w:type="dxa"/>
          </w:tcPr>
          <w:p w14:paraId="578282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700 (555)</w:t>
            </w:r>
          </w:p>
        </w:tc>
      </w:tr>
      <w:tr w:rsidR="004E10C1" w:rsidRPr="0044524F" w14:paraId="10D4329F" w14:textId="77777777">
        <w:tc>
          <w:tcPr>
            <w:tcW w:w="7054" w:type="dxa"/>
            <w:tcBorders>
              <w:bottom w:val="single" w:sz="12" w:space="0" w:color="auto"/>
            </w:tcBorders>
          </w:tcPr>
          <w:p w14:paraId="0B253A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Итого:</w:t>
            </w:r>
          </w:p>
        </w:tc>
        <w:tc>
          <w:tcPr>
            <w:tcW w:w="4156" w:type="dxa"/>
            <w:tcBorders>
              <w:bottom w:val="single" w:sz="12" w:space="0" w:color="auto"/>
            </w:tcBorders>
          </w:tcPr>
          <w:p w14:paraId="2E4E67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1476 (1291)</w:t>
            </w:r>
          </w:p>
        </w:tc>
      </w:tr>
    </w:tbl>
    <w:p w14:paraId="37A6A9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Примечание: переходящая с 1933 года продукция по самолетам К-5 в размере 22-х, сдаваемая в 1934, в данный расчет не входит (2266,173).</w:t>
      </w:r>
    </w:p>
    <w:p w14:paraId="0FC230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7BE24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года 1933 В.Г.Ирьянов пишет начальнику Глававиапрома Королеву докладную записку, но стилю напоминающую донесение о стихийном бедствии. Этот документ есть смысл процитировать, поскольку в нем впервые всплывает задание на выпуск истребителя И-14. Кроме того, он наиболее полно раскрывает условия, в которых строился оборонный завод: "Принимая к исполнению заданную Вами программу на 1934 г. по производству самолетов И -14 - 15 шт., по выпуску МДР-4 - 1, по технической готовности докладываю:</w:t>
      </w:r>
    </w:p>
    <w:p w14:paraId="447914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 соответствии с Вашим приказом широко развернута подготовка к производству, подготовка кадров и монтаж имеющегося оборудования. Состояние разработки рабочих чертежей, технологического процесса и чертежей приспособлений обеспечивается в основном к 1 апреля. Монтаж станочного оборудования может быть закончен к этому сроку, если все необходимое оборудование будет вовремя получено заводом.</w:t>
      </w:r>
    </w:p>
    <w:p w14:paraId="7423E5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Основными затруднениями выполнения Ваших заданий являются:</w:t>
      </w:r>
    </w:p>
    <w:p w14:paraId="2027EB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задержка подачи чертежей со стороны ЦАГИ по машине МДР-4 по всем основным агрегатам и по машине И-14 по двум основным агрегатам - моторное хозяйство и шасси</w:t>
      </w:r>
    </w:p>
    <w:p w14:paraId="367397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совершенно неудовлетворительное разрешение вопроса со станочным оборудованием. Выделено по фондам вместо 150 станков, указанных в решении правительства от 13 августа 1933 г., всего лишь 43 станка</w:t>
      </w:r>
    </w:p>
    <w:p w14:paraId="0B82D7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до сего времени не отгружено необходимое количество материалов для инструментов, приспособлений и для производства. Причем тов. Беленковичу (заместителю начальника ГУАП - прим. Авт.) дана установка цветных металлов в 1-м квартале заводу не давать</w:t>
      </w:r>
    </w:p>
    <w:p w14:paraId="3586A8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неукомплектованность цеха опытными начальниками и их заместителями. Отсутствуют начальник ППО и зам. Технического директора по подготовке к производству. Совершенно слабо укомплектована производственная группа вооруженцами. Большой некомплект руководящих работников - нет двух моих заместителей, начальника спецотдела, начальника коммунально-бытового отдела, начальника транспортного хозяйства и ряда других</w:t>
      </w:r>
    </w:p>
    <w:p w14:paraId="09FB22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недостаточное ассигнование заводу по жилстроительству, на оборудование, на кирпичное производство, на постройку столовой.</w:t>
      </w:r>
    </w:p>
    <w:p w14:paraId="026EEB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 выполнено решение правительства и приказа Наркома об отгрузке заводу цемента и поставки 25 стандартных домов</w:t>
      </w:r>
    </w:p>
    <w:p w14:paraId="7450F3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 выделены фонды по гвоздям, сортовому и арматурному железу, асфальту и лесу</w:t>
      </w:r>
    </w:p>
    <w:p w14:paraId="609646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не выделено совершенно: катанка, котельное железо, проволока вязальная, катера и землечерпалка для производства работ на Ангаре</w:t>
      </w:r>
    </w:p>
    <w:p w14:paraId="002DDB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совершенно неудовлетворительна обеспеченность автотранспортом. Требовалось заводу в 1 -м квартале 10 грузовых автомобилей, пять тягачей, пять тракторов колесных, два трактора гусеничных, три легковых машины, одна санитарная, одна пожарная, одна цистерна под бензин и шесть автобусов. НИЧЕГО НЕ ВЫДЕЛЕНО (курсив в оригинале)</w:t>
      </w:r>
    </w:p>
    <w:p w14:paraId="7A3C79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завод снабжается по списку городов №1. В связи с тем, что все основные кадры рабочих и И ГР набраны за счет Москвы и городов центральной части Союза, необходимо добиться постановления правительства о включении завода на снабжение в особую группу предприятий.</w:t>
      </w:r>
    </w:p>
    <w:p w14:paraId="7D1E33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Докладывая о вышеизложенном прошу принять следующие меры:</w:t>
      </w:r>
    </w:p>
    <w:p w14:paraId="0A9818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обязать ЦАГИ не позднее 25 февраля сдать чертежи по моторному хозяйству и шасси по И-14 и форсировать сдачу чертежей по МДР-4 с тем, чтобы своевременно провести подготовку производства</w:t>
      </w:r>
    </w:p>
    <w:p w14:paraId="07ED6D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дать категорическое указание Сектору оборудования обеспечить отгрузку в 1-м квартале 150 станков. В связи с тем, что ГУАПу выделен фонд станков недостаточный ...снять с действующих заводов следующие станки:</w:t>
      </w:r>
    </w:p>
    <w:p w14:paraId="3A7B98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Роликовых ножниц - 1</w:t>
      </w:r>
    </w:p>
    <w:p w14:paraId="329D12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Трехвалок - 4</w:t>
      </w:r>
    </w:p>
    <w:p w14:paraId="4EDA55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Выколоточных молотков - 2</w:t>
      </w:r>
    </w:p>
    <w:p w14:paraId="290DA8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Станков для клепки -2</w:t>
      </w:r>
    </w:p>
    <w:p w14:paraId="0BFA6A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Пескоструйных аппаратов - 2</w:t>
      </w:r>
    </w:p>
    <w:p w14:paraId="20D725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Ленточных пил по дюралю - 1</w:t>
      </w:r>
    </w:p>
    <w:p w14:paraId="78D1FD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Гильотинных ножниц - 1</w:t>
      </w:r>
    </w:p>
    <w:p w14:paraId="2AED10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тов. Лобанова не позднее 1 марта отгрузить все необходимые материалы для приспособлений и инструментов. Отгрузить не позднее 5 марта полный комплект производственных материалов на 10 машин И -14 и три машины МДР.</w:t>
      </w:r>
    </w:p>
    <w:p w14:paraId="6393B5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Обязать ЦАГИ не позднее 15 марта передать заводу № 125 эталон И-14 и изготовить комплект шпангоутов для МДР-4 не позже 1 апреля.</w:t>
      </w:r>
    </w:p>
    <w:p w14:paraId="34AB4B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...отгрузить заводу на 200 000 руб. инструмента по спецификации завода и обязать ТПУ разместить заказ завода на инструменты на московских заводах в общем объеме 400 000 руб.</w:t>
      </w:r>
    </w:p>
    <w:p w14:paraId="2A8078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...укомплектовать завод руководящими техническими и административно-хозяйственными кадрами. Командировать из аппарата ГУАП инженера т. Зорина на должность помощника Технического директора по производственному планированию и инженера т. Тер-Макарьяна (в документе ошибка - имелся в виду Тер-Маркарьян, который в Иркутск так и не приехал) на должность помощника технического директора по подготовке к производству..."</w:t>
      </w:r>
    </w:p>
    <w:p w14:paraId="1D88EA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Цитировать доклад Ирьянова можно было бы и дальше, но там содержатся требования выполнить все то, что не выполнили раньше. Напрашивается единственный вывод - завод был в начале 1934 г. абсолютно не готов к началу строительства самолетов но вине центральных органов ГУАМ. Существовавший до 1927 г. хозрасчет развязал бы руки начальнику строительства и директору завода, но его отменили, а жесткая централизация оставляла только один прием - писать письма с требованиями (12037).</w:t>
      </w:r>
    </w:p>
    <w:p w14:paraId="28A665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2A0AF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На конец 1933 г. за заводом № 124 уже числилось 12000 квадратных метров промышленных площадей и 27000 метров жилья. Заметим, что это было равно одному метру на работника. К началу следующего году начальство заселило первый этаж нового заводоуправления, а неподалеку открыли новую столовую (12049).</w:t>
      </w:r>
    </w:p>
    <w:p w14:paraId="396A64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2C3B290"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До конца 1933 го</w:t>
      </w:r>
      <w:r w:rsidRPr="0044524F">
        <w:rPr>
          <w:rFonts w:ascii="Times New Roman" w:hAnsi="Times New Roman"/>
          <w:color w:val="000000" w:themeColor="text1"/>
          <w:sz w:val="16"/>
          <w:szCs w:val="16"/>
          <w:lang w:eastAsia="ru-RU" w:bidi="ru-RU"/>
        </w:rPr>
        <w:softHyphen/>
        <w:t>да 16 машин Сталь-2 производства Тушинского завода зарегистрировали в транспортной авиа</w:t>
      </w:r>
      <w:r w:rsidRPr="0044524F">
        <w:rPr>
          <w:rFonts w:ascii="Times New Roman" w:hAnsi="Times New Roman"/>
          <w:color w:val="000000" w:themeColor="text1"/>
          <w:sz w:val="16"/>
          <w:szCs w:val="16"/>
          <w:lang w:eastAsia="ru-RU" w:bidi="ru-RU"/>
        </w:rPr>
        <w:softHyphen/>
        <w:t>ции Средне-Азиатского Управления ГВФ. Практически сра</w:t>
      </w:r>
      <w:r w:rsidRPr="0044524F">
        <w:rPr>
          <w:rFonts w:ascii="Times New Roman" w:hAnsi="Times New Roman"/>
          <w:color w:val="000000" w:themeColor="text1"/>
          <w:sz w:val="16"/>
          <w:szCs w:val="16"/>
          <w:lang w:eastAsia="ru-RU" w:bidi="ru-RU"/>
        </w:rPr>
        <w:softHyphen/>
        <w:t>зу отдельные экземпляры перелетели к месту дислокации. Летчик Михаил Васильевич Водопьянов в своих воспомина</w:t>
      </w:r>
      <w:r w:rsidRPr="0044524F">
        <w:rPr>
          <w:rFonts w:ascii="Times New Roman" w:hAnsi="Times New Roman"/>
          <w:color w:val="000000" w:themeColor="text1"/>
          <w:sz w:val="16"/>
          <w:szCs w:val="16"/>
          <w:lang w:eastAsia="ru-RU" w:bidi="ru-RU"/>
        </w:rPr>
        <w:softHyphen/>
        <w:t>ниях описал один такой перелет Сталь-2. (М.Водопьянов. «Полеты», Издательство</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eastAsia="ru-RU" w:bidi="ru-RU"/>
        </w:rPr>
        <w:t>Главсевморпути, 1937 г.):</w:t>
      </w:r>
    </w:p>
    <w:p w14:paraId="78A5FCCD"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«9 ноября 1933 года я и бортмеханик Бассейн вылете</w:t>
      </w:r>
      <w:r w:rsidRPr="0044524F">
        <w:rPr>
          <w:rFonts w:ascii="Times New Roman" w:hAnsi="Times New Roman"/>
          <w:color w:val="000000" w:themeColor="text1"/>
          <w:sz w:val="16"/>
          <w:szCs w:val="16"/>
          <w:lang w:eastAsia="ru-RU" w:bidi="ru-RU"/>
        </w:rPr>
        <w:softHyphen/>
        <w:t>ли на самолете «Сталь-2» в Ташкент для того, чтобы пе</w:t>
      </w:r>
      <w:r w:rsidRPr="0044524F">
        <w:rPr>
          <w:rFonts w:ascii="Times New Roman" w:hAnsi="Times New Roman"/>
          <w:color w:val="000000" w:themeColor="text1"/>
          <w:sz w:val="16"/>
          <w:szCs w:val="16"/>
          <w:lang w:eastAsia="ru-RU" w:bidi="ru-RU"/>
        </w:rPr>
        <w:softHyphen/>
        <w:t>редать машину Среднеазиатскому управлению воздушных линий.</w:t>
      </w:r>
    </w:p>
    <w:p w14:paraId="12E0310C"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Вылетели в три часа тридцать минут и через четыре с половиной летных часа уже опустились в Самаре на ночев</w:t>
      </w:r>
      <w:r w:rsidRPr="0044524F">
        <w:rPr>
          <w:rFonts w:ascii="Times New Roman" w:hAnsi="Times New Roman"/>
          <w:color w:val="000000" w:themeColor="text1"/>
          <w:sz w:val="16"/>
          <w:szCs w:val="16"/>
          <w:lang w:eastAsia="ru-RU" w:bidi="ru-RU"/>
        </w:rPr>
        <w:softHyphen/>
        <w:t>ку. «Хорошо летели, — подумал я, — позади уже тысяча ки</w:t>
      </w:r>
      <w:r w:rsidRPr="0044524F">
        <w:rPr>
          <w:rFonts w:ascii="Times New Roman" w:hAnsi="Times New Roman"/>
          <w:color w:val="000000" w:themeColor="text1"/>
          <w:sz w:val="16"/>
          <w:szCs w:val="16"/>
          <w:lang w:eastAsia="ru-RU" w:bidi="ru-RU"/>
        </w:rPr>
        <w:softHyphen/>
        <w:t>лометров, а всего три тысячи. Значит, на третий день мы будем в Ташкенте».</w:t>
      </w:r>
    </w:p>
    <w:p w14:paraId="3DC6547A"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Проснулись за сорок минут до восхода солнца. Был не</w:t>
      </w:r>
      <w:r w:rsidRPr="0044524F">
        <w:rPr>
          <w:rFonts w:ascii="Times New Roman" w:hAnsi="Times New Roman"/>
          <w:color w:val="000000" w:themeColor="text1"/>
          <w:sz w:val="16"/>
          <w:szCs w:val="16"/>
          <w:lang w:eastAsia="ru-RU" w:bidi="ru-RU"/>
        </w:rPr>
        <w:softHyphen/>
        <w:t>большой мороз — восемь градусов. Сразу запустить мо</w:t>
      </w:r>
      <w:r w:rsidRPr="0044524F">
        <w:rPr>
          <w:rFonts w:ascii="Times New Roman" w:hAnsi="Times New Roman"/>
          <w:color w:val="000000" w:themeColor="text1"/>
          <w:sz w:val="16"/>
          <w:szCs w:val="16"/>
          <w:lang w:eastAsia="ru-RU" w:bidi="ru-RU"/>
        </w:rPr>
        <w:softHyphen/>
        <w:t>тор не удалось. Вместо семи часов утра вылетели в две</w:t>
      </w:r>
      <w:r w:rsidRPr="0044524F">
        <w:rPr>
          <w:rFonts w:ascii="Times New Roman" w:hAnsi="Times New Roman"/>
          <w:color w:val="000000" w:themeColor="text1"/>
          <w:sz w:val="16"/>
          <w:szCs w:val="16"/>
          <w:lang w:eastAsia="ru-RU" w:bidi="ru-RU"/>
        </w:rPr>
        <w:softHyphen/>
        <w:t>надцать. Рассчитывали в этот день долететь до Казалин- ска, а добрались только до Актюбинска, нагнав вышедшие раньше из Москвы перегоночные самолеты «К-5». Они за</w:t>
      </w:r>
      <w:r w:rsidRPr="0044524F">
        <w:rPr>
          <w:rFonts w:ascii="Times New Roman" w:hAnsi="Times New Roman"/>
          <w:color w:val="000000" w:themeColor="text1"/>
          <w:sz w:val="16"/>
          <w:szCs w:val="16"/>
          <w:lang w:eastAsia="ru-RU" w:bidi="ru-RU"/>
        </w:rPr>
        <w:softHyphen/>
        <w:t>держались здесь, потому что не получили вовремя «зака</w:t>
      </w:r>
      <w:r w:rsidRPr="0044524F">
        <w:rPr>
          <w:rFonts w:ascii="Times New Roman" w:hAnsi="Times New Roman"/>
          <w:color w:val="000000" w:themeColor="text1"/>
          <w:sz w:val="16"/>
          <w:szCs w:val="16"/>
          <w:lang w:eastAsia="ru-RU" w:bidi="ru-RU"/>
        </w:rPr>
        <w:softHyphen/>
        <w:t>занную погоду».</w:t>
      </w:r>
    </w:p>
    <w:p w14:paraId="7CA3B238"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11 ноября стали запускать моторы. Мороз — двенадцать градусов. Линейный механик товарищ Полегошко принес амортизатор своего изобретения:</w:t>
      </w:r>
    </w:p>
    <w:p w14:paraId="2EF90FBF"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Вот, — говорит, — товарищ Водопьянов, посмотри на мое изобретение. Не амортизатор, а машина! Запустим сра</w:t>
      </w:r>
      <w:r w:rsidRPr="0044524F">
        <w:rPr>
          <w:rFonts w:ascii="Times New Roman" w:hAnsi="Times New Roman"/>
          <w:color w:val="000000" w:themeColor="text1"/>
          <w:sz w:val="16"/>
          <w:szCs w:val="16"/>
          <w:lang w:eastAsia="ru-RU" w:bidi="ru-RU"/>
        </w:rPr>
        <w:softHyphen/>
        <w:t>зу мотор — трава не расти!</w:t>
      </w:r>
    </w:p>
    <w:p w14:paraId="23DDE08A"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Посмотрел я на его изобретение и не смог удержаться от смеха. «Машина» состояла всего из трех предметов: ва- леного сапога с отрезанным голенищем, веревки и амор</w:t>
      </w:r>
      <w:r w:rsidRPr="0044524F">
        <w:rPr>
          <w:rFonts w:ascii="Times New Roman" w:hAnsi="Times New Roman"/>
          <w:color w:val="000000" w:themeColor="text1"/>
          <w:sz w:val="16"/>
          <w:szCs w:val="16"/>
          <w:lang w:eastAsia="ru-RU" w:bidi="ru-RU"/>
        </w:rPr>
        <w:softHyphen/>
        <w:t>тизатора. Опутал механик сапог веревкой, а к веревке привязал амортизатор. Кусок сапога одевается на конец винта, семь-восемь человек натягивают амортизатор. Си</w:t>
      </w:r>
      <w:r w:rsidRPr="0044524F">
        <w:rPr>
          <w:rFonts w:ascii="Times New Roman" w:hAnsi="Times New Roman"/>
          <w:color w:val="000000" w:themeColor="text1"/>
          <w:sz w:val="16"/>
          <w:szCs w:val="16"/>
          <w:lang w:eastAsia="ru-RU" w:bidi="ru-RU"/>
        </w:rPr>
        <w:softHyphen/>
        <w:t>дящий в кабине должен включить мотор и по команде «три!» тут же опустить винт. Амортизатор срывается с винта и с бешеной скоростью летит между тянущими. Винт делает полоборота, а иногда и оборот, смотря по си</w:t>
      </w:r>
      <w:r w:rsidRPr="0044524F">
        <w:rPr>
          <w:rFonts w:ascii="Times New Roman" w:hAnsi="Times New Roman"/>
          <w:color w:val="000000" w:themeColor="text1"/>
          <w:sz w:val="16"/>
          <w:szCs w:val="16"/>
          <w:lang w:eastAsia="ru-RU" w:bidi="ru-RU"/>
        </w:rPr>
        <w:softHyphen/>
        <w:t>ле мотора и по количеству тянущих людей.</w:t>
      </w:r>
    </w:p>
    <w:p w14:paraId="11FBD2EC"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Долго мы запускали мотор этой «машиной». Оба «К-5» улетели. Мне даже обидно стало: и мотор наш малосиль</w:t>
      </w:r>
      <w:r w:rsidRPr="0044524F">
        <w:rPr>
          <w:rFonts w:ascii="Times New Roman" w:hAnsi="Times New Roman"/>
          <w:color w:val="000000" w:themeColor="text1"/>
          <w:sz w:val="16"/>
          <w:szCs w:val="16"/>
        </w:rPr>
        <w:softHyphen/>
        <w:t>нее, чем на самолете «К-5», и запускать его удобнее, а по</w:t>
      </w:r>
      <w:r w:rsidRPr="0044524F">
        <w:rPr>
          <w:rFonts w:ascii="Times New Roman" w:hAnsi="Times New Roman"/>
          <w:color w:val="000000" w:themeColor="text1"/>
          <w:sz w:val="16"/>
          <w:szCs w:val="16"/>
        </w:rPr>
        <w:softHyphen/>
        <w:t>ди же, не запускается, — хоть плачь</w:t>
      </w:r>
    </w:p>
    <w:p w14:paraId="04D75179"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Ну, ребята, трава не расти, — кричит Полегошко, — два самолета улетели, мешать не будут. Все сюда! Товарищ пожарный, иди, помоги тянуть за амортизатор. Брось ка</w:t>
      </w:r>
      <w:r w:rsidRPr="0044524F">
        <w:rPr>
          <w:rFonts w:ascii="Times New Roman" w:hAnsi="Times New Roman"/>
          <w:color w:val="000000" w:themeColor="text1"/>
          <w:sz w:val="16"/>
          <w:szCs w:val="16"/>
          <w:lang w:eastAsia="ru-RU" w:bidi="ru-RU"/>
        </w:rPr>
        <w:softHyphen/>
        <w:t>раулить огнетушитель, видишь — не запускается, значит и не загорится.</w:t>
      </w:r>
    </w:p>
    <w:p w14:paraId="535D491A"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Собралось человек десять.</w:t>
      </w:r>
    </w:p>
    <w:p w14:paraId="3CCA427D"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 Внимание! — кричит Полегошко. Включаю мотор.</w:t>
      </w:r>
    </w:p>
    <w:p w14:paraId="3665794C"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Раз, два, три! ..</w:t>
      </w:r>
    </w:p>
    <w:p w14:paraId="6DEB21D0"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Но мотор даже вспышки не дает. ..</w:t>
      </w:r>
    </w:p>
    <w:p w14:paraId="707D1428"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Крутили весь день, все без толку. На следующее утро ре</w:t>
      </w:r>
      <w:r w:rsidRPr="0044524F">
        <w:rPr>
          <w:rFonts w:ascii="Times New Roman" w:hAnsi="Times New Roman"/>
          <w:color w:val="000000" w:themeColor="text1"/>
          <w:sz w:val="16"/>
          <w:szCs w:val="16"/>
          <w:lang w:eastAsia="ru-RU" w:bidi="ru-RU"/>
        </w:rPr>
        <w:softHyphen/>
        <w:t>шили как-нибудь подогреть мотор. Нашли какой-то чехол, накрыли мотор, разыскали трубы, две скверных паяльных лампы, начали подогревать. Часа три грели: то одна лам</w:t>
      </w:r>
      <w:r w:rsidRPr="0044524F">
        <w:rPr>
          <w:rFonts w:ascii="Times New Roman" w:hAnsi="Times New Roman"/>
          <w:color w:val="000000" w:themeColor="text1"/>
          <w:sz w:val="16"/>
          <w:szCs w:val="16"/>
          <w:lang w:eastAsia="ru-RU" w:bidi="ru-RU"/>
        </w:rPr>
        <w:softHyphen/>
        <w:t>па погаснет, то другая. Больше разжигали лампы, чем гре</w:t>
      </w:r>
      <w:r w:rsidRPr="0044524F">
        <w:rPr>
          <w:rFonts w:ascii="Times New Roman" w:hAnsi="Times New Roman"/>
          <w:color w:val="000000" w:themeColor="text1"/>
          <w:sz w:val="16"/>
          <w:szCs w:val="16"/>
          <w:lang w:eastAsia="ru-RU" w:bidi="ru-RU"/>
        </w:rPr>
        <w:softHyphen/>
        <w:t>ли мотор.</w:t>
      </w:r>
    </w:p>
    <w:p w14:paraId="097B3C71"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конце концов удалось нагреть его до комнатной тем</w:t>
      </w:r>
      <w:r w:rsidRPr="0044524F">
        <w:rPr>
          <w:rFonts w:ascii="Times New Roman" w:hAnsi="Times New Roman"/>
          <w:color w:val="000000" w:themeColor="text1"/>
          <w:sz w:val="16"/>
          <w:szCs w:val="16"/>
          <w:lang w:eastAsia="ru-RU" w:bidi="ru-RU"/>
        </w:rPr>
        <w:softHyphen/>
        <w:t>пературы. Принесли ведро кипятку. Нагрели в кипятке бензин для заливки мотора. Сняли чехол. Залили мотор. Натянули амортизатор. Дернули. Пошел! . .</w:t>
      </w:r>
    </w:p>
    <w:p w14:paraId="57CA82E8"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Дав несколько оборотов, мотор снова заглох.</w:t>
      </w:r>
    </w:p>
    <w:p w14:paraId="0F0CDF8B"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Теперь стали тянуть человек двенадцать и так усердно, что амортизатор оборвался. Одна сторона пролетела вверх тормашками, а злосчастный валеный сапог угодил пожарному прямо в лицо. Встает он — вокруг левого гла</w:t>
      </w:r>
      <w:r w:rsidRPr="0044524F">
        <w:rPr>
          <w:rFonts w:ascii="Times New Roman" w:hAnsi="Times New Roman"/>
          <w:color w:val="000000" w:themeColor="text1"/>
          <w:sz w:val="16"/>
          <w:szCs w:val="16"/>
          <w:lang w:eastAsia="ru-RU" w:bidi="ru-RU"/>
        </w:rPr>
        <w:softHyphen/>
        <w:t>за и носа все почернело и опухло.</w:t>
      </w:r>
    </w:p>
    <w:p w14:paraId="7BE88221"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Не буду я больше тянуть, ну его к чорту!.. Я спросил, есть ли на аэродроме сжатый воздух.</w:t>
      </w:r>
    </w:p>
    <w:p w14:paraId="21D51364"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 Есть, — говорит Полегошко, — давайте приспособим баллон.</w:t>
      </w:r>
    </w:p>
    <w:p w14:paraId="0655B049"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Отвернули от мотора воздушную трубку, припаяли сере</w:t>
      </w:r>
      <w:r w:rsidRPr="0044524F">
        <w:rPr>
          <w:rFonts w:ascii="Times New Roman" w:hAnsi="Times New Roman"/>
          <w:color w:val="000000" w:themeColor="text1"/>
          <w:sz w:val="16"/>
          <w:szCs w:val="16"/>
          <w:lang w:eastAsia="ru-RU" w:bidi="ru-RU"/>
        </w:rPr>
        <w:softHyphen/>
        <w:t>бром к баллонной трубке, а сам баллон нагрели на костре.</w:t>
      </w:r>
    </w:p>
    <w:p w14:paraId="2058828A"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такое? Почему винт не вертится, а воздух садит во все цилиндры? Оказалось, сильно подработан золотник.</w:t>
      </w:r>
    </w:p>
    <w:p w14:paraId="7E94AD70"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Как мы ни приспосабливались, но запустить в этот день мотор так и не удалось.</w:t>
      </w:r>
    </w:p>
    <w:p w14:paraId="28CEA291"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На следующий день достали древесный уголь. Часа за полтора до рассвета разожгли кипятильник и поставили под чехол. Грели часа три. «Теплоцентраль» оказалась за</w:t>
      </w:r>
      <w:r w:rsidRPr="0044524F">
        <w:rPr>
          <w:rFonts w:ascii="Times New Roman" w:hAnsi="Times New Roman"/>
          <w:color w:val="000000" w:themeColor="text1"/>
          <w:sz w:val="16"/>
          <w:szCs w:val="16"/>
          <w:lang w:eastAsia="ru-RU" w:bidi="ru-RU"/>
        </w:rPr>
        <w:softHyphen/>
        <w:t>мечательной: из трубы горячий воздух идет, а из кипятиль</w:t>
      </w:r>
      <w:r w:rsidRPr="0044524F">
        <w:rPr>
          <w:rFonts w:ascii="Times New Roman" w:hAnsi="Times New Roman"/>
          <w:color w:val="000000" w:themeColor="text1"/>
          <w:sz w:val="16"/>
          <w:szCs w:val="16"/>
          <w:lang w:eastAsia="ru-RU" w:bidi="ru-RU"/>
        </w:rPr>
        <w:softHyphen/>
        <w:t>ника пар. Быстро раскрыли мотор, залили, натянули амор</w:t>
      </w:r>
      <w:r w:rsidRPr="0044524F">
        <w:rPr>
          <w:rFonts w:ascii="Times New Roman" w:hAnsi="Times New Roman"/>
          <w:color w:val="000000" w:themeColor="text1"/>
          <w:sz w:val="16"/>
          <w:szCs w:val="16"/>
          <w:lang w:eastAsia="ru-RU" w:bidi="ru-RU"/>
        </w:rPr>
        <w:softHyphen/>
        <w:t>тизатор, дернули... пошел!</w:t>
      </w:r>
    </w:p>
    <w:p w14:paraId="1A3F5857"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Два с половиной дня мы потеряли из-за того, что на аэ</w:t>
      </w:r>
      <w:r w:rsidRPr="0044524F">
        <w:rPr>
          <w:rFonts w:ascii="Times New Roman" w:hAnsi="Times New Roman"/>
          <w:color w:val="000000" w:themeColor="text1"/>
          <w:sz w:val="16"/>
          <w:szCs w:val="16"/>
          <w:lang w:eastAsia="ru-RU" w:bidi="ru-RU"/>
        </w:rPr>
        <w:softHyphen/>
        <w:t>родроме нечем было подогреть мотор...</w:t>
      </w:r>
    </w:p>
    <w:p w14:paraId="0B2CB5E9"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Из Актюбинска мы рассчитывали долететь до Казалин- ска</w:t>
      </w:r>
      <w:r w:rsidRPr="0044524F">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lang w:eastAsia="ru-RU" w:bidi="ru-RU"/>
        </w:rPr>
        <w:t>без посадки. Не тут-то было! Возле Мугоджарских гор вдруг затрясло мотор, да так, что от форточки фона</w:t>
      </w:r>
      <w:r w:rsidRPr="0044524F">
        <w:rPr>
          <w:rFonts w:ascii="Times New Roman" w:hAnsi="Times New Roman"/>
          <w:color w:val="000000" w:themeColor="text1"/>
          <w:sz w:val="16"/>
          <w:szCs w:val="16"/>
          <w:lang w:eastAsia="ru-RU" w:bidi="ru-RU"/>
        </w:rPr>
        <w:softHyphen/>
        <w:t>ря отлетел кусок стекла. Хорошо, что вблизи была площад</w:t>
      </w:r>
      <w:r w:rsidRPr="0044524F">
        <w:rPr>
          <w:rFonts w:ascii="Times New Roman" w:hAnsi="Times New Roman"/>
          <w:color w:val="000000" w:themeColor="text1"/>
          <w:sz w:val="16"/>
          <w:szCs w:val="16"/>
          <w:lang w:eastAsia="ru-RU" w:bidi="ru-RU"/>
        </w:rPr>
        <w:softHyphen/>
        <w:t>ка — Эмба.</w:t>
      </w:r>
    </w:p>
    <w:p w14:paraId="4D4B56E1"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Фонарь весь закидало маслом, пришлось открыть раз</w:t>
      </w:r>
      <w:r w:rsidRPr="0044524F">
        <w:rPr>
          <w:rFonts w:ascii="Times New Roman" w:hAnsi="Times New Roman"/>
          <w:color w:val="000000" w:themeColor="text1"/>
          <w:sz w:val="16"/>
          <w:szCs w:val="16"/>
          <w:lang w:eastAsia="ru-RU" w:bidi="ru-RU"/>
        </w:rPr>
        <w:softHyphen/>
        <w:t>битую форточку. Боясь, чтобы она совсем не оторвалась и не полетела в лицо, Бассейн все время держал ее ру</w:t>
      </w:r>
      <w:r w:rsidRPr="0044524F">
        <w:rPr>
          <w:rFonts w:ascii="Times New Roman" w:hAnsi="Times New Roman"/>
          <w:color w:val="000000" w:themeColor="text1"/>
          <w:sz w:val="16"/>
          <w:szCs w:val="16"/>
          <w:lang w:eastAsia="ru-RU" w:bidi="ru-RU"/>
        </w:rPr>
        <w:softHyphen/>
        <w:t>ками, стоя рядом со мной.</w:t>
      </w:r>
    </w:p>
    <w:p w14:paraId="5E50C828"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Исправив по дороге форточку, прилетели в Челкар. Смотрим — стоит на аэродроме самолет «К-5», один из тех, которые вылетели из Актюбинска.</w:t>
      </w:r>
    </w:p>
    <w:p w14:paraId="5C1B9F3D"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Все в порядке, — говорит Бассейн. — На этом самоле</w:t>
      </w:r>
      <w:r w:rsidRPr="0044524F">
        <w:rPr>
          <w:rFonts w:ascii="Times New Roman" w:hAnsi="Times New Roman"/>
          <w:color w:val="000000" w:themeColor="text1"/>
          <w:sz w:val="16"/>
          <w:szCs w:val="16"/>
          <w:lang w:eastAsia="ru-RU" w:bidi="ru-RU"/>
        </w:rPr>
        <w:softHyphen/>
        <w:t>те есть амортизатор, легче будет мотор запускать. Да и мороз здесь должен быть слабее.</w:t>
      </w:r>
    </w:p>
    <w:p w14:paraId="2AB8D8E7"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К девяти часам утра нам удалось запустить моторы. Полетели в Казалинск, а оттуда в Кзыл-Орду.</w:t>
      </w:r>
    </w:p>
    <w:p w14:paraId="1065E56C"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В Кзыл-Орде начальник станции женщина, товарищ Недоноскова. Обращаемся к ней.</w:t>
      </w:r>
    </w:p>
    <w:p w14:paraId="301F08FF"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Поужинать есть что-нибудь?</w:t>
      </w:r>
    </w:p>
    <w:p w14:paraId="31A8F149"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Что вы, откуда я вам возьму? Разве хлеба только най</w:t>
      </w:r>
      <w:r w:rsidRPr="0044524F">
        <w:rPr>
          <w:rFonts w:ascii="Times New Roman" w:hAnsi="Times New Roman"/>
          <w:color w:val="000000" w:themeColor="text1"/>
          <w:sz w:val="16"/>
          <w:szCs w:val="16"/>
          <w:lang w:eastAsia="ru-RU" w:bidi="ru-RU"/>
        </w:rPr>
        <w:softHyphen/>
        <w:t>ду. Есть еще конфекты, которые Водопьянов прошлый раз оставил.</w:t>
      </w:r>
    </w:p>
    <w:p w14:paraId="393D3E68"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Ну, а спать есть где?</w:t>
      </w:r>
    </w:p>
    <w:p w14:paraId="7D900128"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Есть! У меня четыре кровати. Пойдемте в летную ком</w:t>
      </w:r>
      <w:r w:rsidRPr="0044524F">
        <w:rPr>
          <w:rFonts w:ascii="Times New Roman" w:hAnsi="Times New Roman"/>
          <w:color w:val="000000" w:themeColor="text1"/>
          <w:sz w:val="16"/>
          <w:szCs w:val="16"/>
          <w:lang w:eastAsia="ru-RU" w:bidi="ru-RU"/>
        </w:rPr>
        <w:softHyphen/>
        <w:t>нату.</w:t>
      </w:r>
    </w:p>
    <w:p w14:paraId="18895285"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Смотрим, правда, есть кровати. На каждой из них лежит по паршивому матрацу, подушке и по одной простыне, а одеял вовсе нет.</w:t>
      </w:r>
    </w:p>
    <w:p w14:paraId="672F7CE0"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Чем же мы будем накрываться?</w:t>
      </w:r>
    </w:p>
    <w:p w14:paraId="23D67EEF"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 А я при чем? Чем хотите, тем и накрывайтесь.</w:t>
      </w:r>
    </w:p>
    <w:p w14:paraId="76D05D54"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Легли не раздеваясь. Накинули на себя летные шубы. Кое-как ночь проспали...</w:t>
      </w:r>
    </w:p>
    <w:p w14:paraId="32995CCC"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«Ну, ничего, — думаем, — уж в Ташкенте отдохнем как следует».</w:t>
      </w:r>
    </w:p>
    <w:p w14:paraId="4089CC8F"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На следующий день прилетели в Ташкент. Там, где мы рассчитывали хорошо отдохнуть, оказалось еще хуже, чем в Кзыл-Орде. Безалаберщина, невнимание к летчику так и бросались в глаза.</w:t>
      </w:r>
    </w:p>
    <w:p w14:paraId="01796A9C"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К обеду мы опоздали. Собрались нас три экипажа, те са</w:t>
      </w:r>
      <w:r w:rsidRPr="0044524F">
        <w:rPr>
          <w:rFonts w:ascii="Times New Roman" w:hAnsi="Times New Roman"/>
          <w:color w:val="000000" w:themeColor="text1"/>
          <w:sz w:val="16"/>
          <w:szCs w:val="16"/>
          <w:lang w:eastAsia="ru-RU" w:bidi="ru-RU"/>
        </w:rPr>
        <w:softHyphen/>
        <w:t>мые, что встречались в Актюбинске. Нашел я комендан</w:t>
      </w:r>
      <w:r w:rsidRPr="0044524F">
        <w:rPr>
          <w:rFonts w:ascii="Times New Roman" w:hAnsi="Times New Roman"/>
          <w:color w:val="000000" w:themeColor="text1"/>
          <w:sz w:val="16"/>
          <w:szCs w:val="16"/>
          <w:lang w:eastAsia="ru-RU" w:bidi="ru-RU"/>
        </w:rPr>
        <w:softHyphen/>
        <w:t>та общежития, попросил его, чтобы он нам хоть ночлег обеспечил.</w:t>
      </w:r>
    </w:p>
    <w:p w14:paraId="29FBA24A" w14:textId="77777777" w:rsidR="00407660" w:rsidRPr="0044524F" w:rsidRDefault="00407660"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lang w:eastAsia="ru-RU" w:bidi="ru-RU"/>
        </w:rPr>
        <w:t>Куда же я всех дену? Слишком много вас прилетело. Придется кому-нибудь спать на полу. Немытые, голодные, усталые, мы ждали около двух часов, когда поставят кро</w:t>
      </w:r>
      <w:r w:rsidRPr="0044524F">
        <w:rPr>
          <w:rFonts w:ascii="Times New Roman" w:hAnsi="Times New Roman"/>
          <w:color w:val="000000" w:themeColor="text1"/>
          <w:sz w:val="16"/>
          <w:szCs w:val="16"/>
          <w:lang w:eastAsia="ru-RU" w:bidi="ru-RU"/>
        </w:rPr>
        <w:softHyphen/>
        <w:t>вати и приготовят постели... Так спали две ночи, только на третьи сутки в поезде, по дороге в Москву, выспались по человечески» (20365).</w:t>
      </w:r>
    </w:p>
    <w:p w14:paraId="358DAC87" w14:textId="77777777" w:rsidR="00407660" w:rsidRPr="0044524F" w:rsidRDefault="00407660" w:rsidP="009654CF">
      <w:pPr>
        <w:spacing w:after="0" w:line="240" w:lineRule="auto"/>
        <w:jc w:val="both"/>
        <w:rPr>
          <w:rFonts w:ascii="Times New Roman" w:hAnsi="Times New Roman"/>
          <w:color w:val="000000" w:themeColor="text1"/>
          <w:sz w:val="16"/>
          <w:szCs w:val="16"/>
        </w:rPr>
      </w:pPr>
    </w:p>
    <w:p w14:paraId="41956D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для испытаний "универсального двойного моста ОТБ" выделили одну машину ТБ-3 с моторами М-17. Самолет получил также специальный прицел СП-123 (впоследствии принятый на вооружение как ПВТБ-1). Сброс торпеды осуществлялся механическим сбрасывателем ОТБ. С 1932 г. в Остехбюро начались эксперименты с оснащенным торпедной подвеской четырехмоторным бомбардировщиком ТБ-3. Он должен был нести под фюзеляжем универсальный мост, на котором могли подвешиваться все имевшиеся и разрабатывавшиеся в то время авиационные мины и торпеды. Самолет мог нести одновременно две торпеды типов ТАН-12, ТАВ-12 и TAB-15 (причем возможна была одновременная подвеска двух разных торпед) или одну ТАВ-27. На том же мосте могли подвешиваться авиационные мины МАВ-1 (две штуки, друг за другом) или МАВ-2. Опытный образец "универсального двойного моста ОТБ" был изготовлен еще в январе 1932 г., но Остехбюро не располагало самолетом для его установки. ТБ-3 являлись большим дефицитом, их не хватало для укомплектования бригад (12002).</w:t>
      </w:r>
    </w:p>
    <w:p w14:paraId="1C8952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B400F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на заводе «Ростсельмаш» НКСМ разработали чертежи и изготовили опытные образцы фугасных авиабомб калибром 50 кг с корпусом, отлитым из сталистого чугуна без обработки внутренней и внешней поверхностей. Они получили наименование ФАБ-50сч. В перспективе принятие их на вооружение могло увеличить мобилизационные возможности военных заводов и сильно упростить технологию производства боеприпасов. Кроме того, привлечение для их изготовления ряда чугунолитейных предприятий позволяло существенно разгрузить станочный парк и площади заводов, занятых производством ФАБ-50св.</w:t>
      </w:r>
    </w:p>
    <w:p w14:paraId="43A6C3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Толщина стенок корпуса опытных авиабомб ФАБ-50сч плавно увеличивалась с 10 мм в цилиндрической части к головному срезу, а оперение было припарено к стальным пластинам, залитым в чугунном корпусе. Снарядив боеприпасы суррогатированным взрывчатым веществом -французской смесью 80/20 - по технологии военного времени, с мая по ноябрь 1934 г. провели их полигонные испытания в районе Евпатории для изучения прочности корпуса, фугасного действия, глубины проникания в твердый и средний грунты (скальные породы, ракушечник, твердый и мягкий известняк) при бомбометании с высоты 4000 м. Кроме того, верхний горизонт грунта был покрыт 40 сантиметровым слоем суглинка (7453).</w:t>
      </w:r>
    </w:p>
    <w:p w14:paraId="6FB478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97186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концу 1933 г. создали проекты крупных бронебойных бомб для ВМФ калибрами 500 и 1000 кг. По сути, это были лишь увеличенные аналоги предыдущего. Лишь отчасти конструктивные мероприятия, призванные избавить БРАБ от недостатков их 220-килограммового прототипа, улучшили их боевые показатели. При проектировании БРАБ-500 и БРАБ-1000, ее бронепробиваемость, как водится, просчитали по формуле Жакоб де Марра,...и все. До натурного моделирования дело опять так и не дошло (7453).</w:t>
      </w:r>
    </w:p>
    <w:p w14:paraId="133F92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8D16B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по решению Правительства заводу № 63 был присвоен № 82. Первое задание завод получил по изготовлению унифицированной семьи бензиновых звездообразных моторов воздушного охлаждения: МГ-11, МГ-21, МГ-31 и изготовление запасных частей к М-11. В 1936 году на завод был назначен новый директор Войтов. Завод как опытный был подчинен НИИ ГВФ. В 1937 году директором был назначен Черников и завод снова выделили в самостоятельную единицу, как малосерийный завод. В 1937 году на заводе были сконструированы и изготовлены образцы учебного пятицилиндрового с воздушным охлаждением авиадвигателя Д-11 конструкции Мелькумова. В 1938 году согласно постановлению Правительства от 31 июля завод № 82 был переведен из системы ГВФ в систему НКВД с заданием изготовления дизельного мотора АН-1Р. Директор завода Жилин, гл. конструктор Тулупов. В конце 1940 года завод № 82 был передан из НКВД в НКАП как опытный завод 8-го гл. управления. 26 июня 1941 года завод № 82 был эвакуирован в Казань.</w:t>
      </w:r>
    </w:p>
    <w:p w14:paraId="651FD6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кадры и имущество завода 3 82 были переданы заводу № 27.</w:t>
      </w:r>
    </w:p>
    <w:p w14:paraId="116881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НКАП от 1 ноября 1941 года за № 1091сс завод № 82 был выделен из системы завода № 87 в самостоятельную единицу и директором назначен Дубов.</w:t>
      </w:r>
    </w:p>
    <w:p w14:paraId="7136F6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площадке после эвакуации завода № 82 была размещена разделочная база № 453, которая работала по использованию металла, трофейных моторов, самолетов и прочей военной техники. База существовала до возвращения завода № 82 из эвакуации. В 1942 году решением от 24 января КО обязал НКАП организовать производство дизельных моторов М-30 на площадях эвакуированного завода № 82 в Тушино, для чего к 1 марта 1942 года должен был вернуться завод № 82 со всем оборудованием.</w:t>
      </w:r>
    </w:p>
    <w:p w14:paraId="649FE9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реэвакуации завода № 82 в Тушино во исполнение Постановления ГОКО от 14 марта 1942 года за № 1440с, приказом НКАП от 16 марта за № 206сс, завод № 82 был ликвидирован с передачей всех кадров и оборудования заводу № 45, а опытные образцы дизеоя М-30, техдокументацию, конструкторские кадры передать в ЦИАМ.</w:t>
      </w:r>
    </w:p>
    <w:p w14:paraId="65D0DF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ГОКО от 4 июня 1942 года на площадях бывш. завода № 82 организован опытный завод № 500 по доводке и производству мелких серийных моторов М-30. Завод начал свою деятельность в июне 1942 года. Постановлением ГОКО от 4 июня 1942 года кадры конструкторов, работающие над разными дизелями (КБ Тулупова, группа Яковлева, дизельная группа 4-го спецотдела НКВД) были объединены в одно КБ завода № 500, на которое возлагалась задача быстрейшей доводки мотора М-30. Директором завода был назначен Вовк, гл. конструктором Чаромский. 4 июля 1942 года на основании решения ГОКО и приказа МАП за № 444с на территории бывш. завода № 82 НКАП в Тушино Московской области был организован завод № 500 авиамоторного профиля производства (авиадизелей). В 1943 году по решению Правительства из Ульяновска на завод № 500 был переведен завод № 25 со всем людским составом и оборудованием. По приказу НКАП от 19 марта 1943 года за № 159с заводу № 500 была передана разделочная база завода № 463 (промплощадка № 2). В феврале 1944 года Постановлением ГОКО № 5202с заводу № 500 присоединена территория завода № 10 НК легкой промышленности (территория № 3). В 1944 году директором завода был назначен Петров.</w:t>
      </w:r>
    </w:p>
    <w:p w14:paraId="191770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окончании ВОВ производство военной техники значительно сократилось. В 1945 году директором завода был назначен Кононенко. В 1946 году был освоен и изготовлен опытный реактивный двигатель конструкции Душкина. В 1945 году заводом совместно с конструктором Костиным была проведена работа по приспособлению авиадизеля завода для использования на танке ТД-30, которые были успешно опробированы в эксплуатации на Кировском заводе в Ленинграде. В 1947 году директором завода был назначен Чернышев В.В. Основной задачей завода в этот период была подготовка к серийному выпуску реактивного двигателя РД-500. В 1951-1953 гг. основной задачей являлось – выпуск серийных двигателей турбореактивного двигателя ВК-1.</w:t>
      </w:r>
    </w:p>
    <w:p w14:paraId="333BF3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ОКБ-1 на заводе № 500 было организовано в 1942 году согласно приказа НКАП № 444сс от 13 января 1942 года, гл. конструктором которого был Чаромский, затем Яковлев. В 1955 году приказом МАП за № 377сс от 31 мая 1955 года ОКБ-1 было передано заводу № 165 на правах филиала. В 1946 году на основании Постановления СМ от 9 июня 1946 года за № 1499-660сс было организовано ОКБ-2 под руководством гл. конструктора Баландина. Профиль ОКБ-2 – конструирование поршневого мотора М-127. В 1951 году на основании Постановления СМ за № 3022-1420сс от 7 августа 1951 года и приказа МАП № 8120сс от 24 августа 1951 года ОКБ-2 было ликвидировано.</w:t>
      </w:r>
    </w:p>
    <w:p w14:paraId="1DF71C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Адрес: Тушино. Производственный профиль – авиамоторный (9861).</w:t>
      </w:r>
    </w:p>
    <w:p w14:paraId="2BFDFA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97CC711"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года в НИО-67 была соз дана первая светящая авиабомба калибра 5 кг – САБ-5. В 1932 году работа над осветительными (светящими) бомбами была поручена молодому инженеру, только что окончившему Военно-техническую академию РККА, А. И. Звереву. Около года ему потребовалось для создания первой светящей авиабомбы. В отработке рецептуры снаряжения САБ-5 участвовали опытные пиротехники М. Г. Горовой и В. В. Воронков. В качестве горючего они применили металлические порошки. Чистые алюминиевый и магниевый порошки наша промышленность в то время не производила, их приходилось ввозить из-за границы и они были очень дороги. Поэтому впервые был использован измельченный эвтектический сплав алюминия с магнием. Эти сплавы в пиротехнике применяются широко до сих пор. В качестве окислителя применили азотнокислый барий. Эффективность САБ-5 получилась не очень высокой – все-таки это был самый первый образец бомбы такого типа. Вначале, из-за отсутствия опыта, факелы пытались снаряжать ручной набивкой. Лишь позднее было введено прессование. Для того, чтобы запрессованный состав не вываливался из гильзы, в нее вкладывали деревянный вкладыш и прибивали его к гильзе гвоздями. Однажды факел оказался длиннее, и гвоздь забили прямо в пиротехнический состав. Вспыхнул пожар, но огонь быстро загасили. Парашюты для бомбы тоже спроектировали в НИО, а сшили в мастерской. Они также были несовершенны. Интересны были заданные тактико-техническими требованиями способы применения этих бомб – допускалось ручное выбрасывание их из кабины самолета. В этом случае согласно инструкции, штурман должен был вынуть из взрывателя предохранительную и пусковые чеки и выкинуть бомбу за борт. Через год, в 1934 году, создается новая осветительная бомба САБ-3, значительно более эффективная, чем САБ-5. В 1934 – 1937 годах по инициативе А.И. Зверева, поддержанной ВВС Военно- морского флота, проводятся исследовательские работы с целью выявить возможность активного взаимодействия авиации и морского флота при решении разного рода тактических задач. Специально для этого были созданы светящие авиабомбы массой от 12 до 85кг. Результаты исследований показали, что светящие бомбы являются незаменимым средством визуальной разведки в ночное время, они позволяют наводить корабли и подводные лодки на объекты противника, дают возможность осуществлять ночью прицельное бомбометание, могут способствовать поражению кораблей противника береговой артиллерией, позволяют осуществлять ночную посадку гидросамолетов и т. д. Был подготовлен документ о создании системы светящих авиабомб, необходимых для решения все этих задач. Однако на вооружение были приняты только бомбы массой до 25 кг. В это время сотрудник НИО С. П. Стрелков предложил новый, более мощный осветительный состав, и Управление ВВС сочло, что принимать на вооружение САБ-85 в старом снаряжении нет необходимости (15794).</w:t>
      </w:r>
    </w:p>
    <w:p w14:paraId="52EDBC1A" w14:textId="77777777" w:rsidR="0047154B" w:rsidRPr="0044524F" w:rsidRDefault="0047154B" w:rsidP="009654CF">
      <w:pPr>
        <w:spacing w:after="0" w:line="240" w:lineRule="auto"/>
        <w:jc w:val="both"/>
        <w:rPr>
          <w:rFonts w:ascii="Times New Roman" w:hAnsi="Times New Roman"/>
          <w:color w:val="000000" w:themeColor="text1"/>
          <w:sz w:val="16"/>
          <w:szCs w:val="16"/>
        </w:rPr>
      </w:pPr>
    </w:p>
    <w:p w14:paraId="6E3AD2BF" w14:textId="77777777" w:rsidR="00F21CD0" w:rsidRPr="00142305" w:rsidRDefault="00F21CD0" w:rsidP="00F21C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 в Москве на базе ГДЛ и ГИРД был создан первый в мире государственный Реактивный научно-исследо</w:t>
      </w:r>
      <w:r w:rsidRPr="00142305">
        <w:rPr>
          <w:rFonts w:ascii="Times New Roman" w:hAnsi="Times New Roman"/>
          <w:color w:val="0070C0"/>
          <w:sz w:val="16"/>
          <w:szCs w:val="16"/>
        </w:rPr>
        <w:softHyphen/>
        <w:t>вательский институт (РНИИ). Специалисты по ЖРД, вырос</w:t>
      </w:r>
      <w:r w:rsidRPr="00142305">
        <w:rPr>
          <w:rFonts w:ascii="Times New Roman" w:hAnsi="Times New Roman"/>
          <w:color w:val="0070C0"/>
          <w:sz w:val="16"/>
          <w:szCs w:val="16"/>
        </w:rPr>
        <w:softHyphen/>
        <w:t>шие в ГДЛ, разработали в РНИИ в 1934—1938 гг. серию экс</w:t>
      </w:r>
      <w:r w:rsidRPr="00142305">
        <w:rPr>
          <w:rFonts w:ascii="Times New Roman" w:hAnsi="Times New Roman"/>
          <w:color w:val="0070C0"/>
          <w:sz w:val="16"/>
          <w:szCs w:val="16"/>
        </w:rPr>
        <w:softHyphen/>
        <w:t>периментальных двигателей от ОРМ-53 до ОРМ-102 и газоге</w:t>
      </w:r>
      <w:r w:rsidRPr="00142305">
        <w:rPr>
          <w:rFonts w:ascii="Times New Roman" w:hAnsi="Times New Roman"/>
          <w:color w:val="0070C0"/>
          <w:sz w:val="16"/>
          <w:szCs w:val="16"/>
        </w:rPr>
        <w:softHyphen/>
        <w:t xml:space="preserve">нератор ГГ- 1, работавший часами на азотной кислоте и керосине с водой при температуре 850 К и давлении 2,5 МПа. Двигатель ОРМ-65, прошедший официальные испытания </w:t>
      </w:r>
      <w:r w:rsidRPr="00142305">
        <w:rPr>
          <w:rFonts w:ascii="Times New Roman" w:hAnsi="Times New Roman"/>
          <w:color w:val="0070C0"/>
          <w:sz w:val="16"/>
          <w:szCs w:val="16"/>
          <w:vertAlign w:val="superscript"/>
        </w:rPr>
        <w:t>в</w:t>
      </w:r>
      <w:r w:rsidRPr="00142305">
        <w:rPr>
          <w:rFonts w:ascii="Times New Roman" w:hAnsi="Times New Roman"/>
          <w:color w:val="0070C0"/>
          <w:sz w:val="16"/>
          <w:szCs w:val="16"/>
        </w:rPr>
        <w:t xml:space="preserve"> 1936 г., был наиболее совершенным двигателем своего вре</w:t>
      </w:r>
      <w:r w:rsidRPr="00142305">
        <w:rPr>
          <w:rFonts w:ascii="Times New Roman" w:hAnsi="Times New Roman"/>
          <w:color w:val="0070C0"/>
          <w:sz w:val="16"/>
          <w:szCs w:val="16"/>
        </w:rPr>
        <w:softHyphen/>
        <w:t>мени. Двигатель работал на азотной кислоте и керосине, тяга Регулировалась в пределах 50...175 кгс, запуск многократ</w:t>
      </w:r>
      <w:r w:rsidRPr="00142305">
        <w:rPr>
          <w:rFonts w:ascii="Times New Roman" w:hAnsi="Times New Roman"/>
          <w:color w:val="0070C0"/>
          <w:sz w:val="16"/>
          <w:szCs w:val="16"/>
        </w:rPr>
        <w:softHyphen/>
        <w:t>ный, в том числе автоматизированный (24920).</w:t>
      </w:r>
    </w:p>
    <w:p w14:paraId="61B3D7AE" w14:textId="77777777" w:rsidR="00F21CD0" w:rsidRPr="00142305" w:rsidRDefault="00F21CD0" w:rsidP="00F21CD0">
      <w:pPr>
        <w:spacing w:after="0" w:line="240" w:lineRule="auto"/>
        <w:jc w:val="both"/>
        <w:rPr>
          <w:rFonts w:ascii="Times New Roman" w:hAnsi="Times New Roman"/>
          <w:color w:val="0070C0"/>
          <w:sz w:val="16"/>
          <w:szCs w:val="16"/>
        </w:rPr>
      </w:pPr>
    </w:p>
    <w:p w14:paraId="4B661670" w14:textId="77777777" w:rsidR="00F21CD0" w:rsidRPr="00142305" w:rsidRDefault="00F21CD0" w:rsidP="00F21CD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1933 г., по словам самого В.П. Глушко: нам уда</w:t>
      </w:r>
      <w:r w:rsidRPr="00142305">
        <w:rPr>
          <w:rFonts w:ascii="Times New Roman" w:hAnsi="Times New Roman"/>
          <w:color w:val="0070C0"/>
          <w:sz w:val="16"/>
          <w:szCs w:val="16"/>
        </w:rPr>
        <w:softHyphen/>
        <w:t>лось преодолеть основные трудности, связанные с обеспечени</w:t>
      </w:r>
      <w:r w:rsidRPr="00142305">
        <w:rPr>
          <w:rFonts w:ascii="Times New Roman" w:hAnsi="Times New Roman"/>
          <w:color w:val="0070C0"/>
          <w:sz w:val="16"/>
          <w:szCs w:val="16"/>
        </w:rPr>
        <w:softHyphen/>
        <w:t>ем надежной работы ЖРД. В этом году официальные стендо</w:t>
      </w:r>
      <w:r w:rsidRPr="00142305">
        <w:rPr>
          <w:rFonts w:ascii="Times New Roman" w:hAnsi="Times New Roman"/>
          <w:color w:val="0070C0"/>
          <w:sz w:val="16"/>
          <w:szCs w:val="16"/>
        </w:rPr>
        <w:softHyphen/>
        <w:t>вые испытания прошли ЖРД ОРМ-50 и ОРМ-52 тягой 150 и 300 кгс соответственно, с химическим зажиганием азотно-ке</w:t>
      </w:r>
      <w:r w:rsidRPr="00142305">
        <w:rPr>
          <w:rFonts w:ascii="Times New Roman" w:hAnsi="Times New Roman"/>
          <w:color w:val="0070C0"/>
          <w:sz w:val="16"/>
          <w:szCs w:val="16"/>
        </w:rPr>
        <w:softHyphen/>
        <w:t>росинового топлива. Эксплуатационные удобства и доступность азотно-кислотных окислителей заставили отдать им предпоч</w:t>
      </w:r>
      <w:r w:rsidRPr="00142305">
        <w:rPr>
          <w:rFonts w:ascii="Times New Roman" w:hAnsi="Times New Roman"/>
          <w:color w:val="0070C0"/>
          <w:sz w:val="16"/>
          <w:szCs w:val="16"/>
        </w:rPr>
        <w:softHyphen/>
        <w:t>тение по сравнению с криогенными окислителями. Давление в камере сгорания 20...25 атм. Последние испытания ЖРД ОРМ-52 дают удельный импульс 210 с. Эти двигатели допус</w:t>
      </w:r>
      <w:r w:rsidRPr="00142305">
        <w:rPr>
          <w:rFonts w:ascii="Times New Roman" w:hAnsi="Times New Roman"/>
          <w:color w:val="0070C0"/>
          <w:sz w:val="16"/>
          <w:szCs w:val="16"/>
        </w:rPr>
        <w:softHyphen/>
        <w:t>кали многократное использование» [13. С. 480] (24920).</w:t>
      </w:r>
    </w:p>
    <w:p w14:paraId="26779391" w14:textId="77777777" w:rsidR="00F21CD0" w:rsidRPr="00142305" w:rsidRDefault="00F21CD0" w:rsidP="00F21CD0">
      <w:pPr>
        <w:spacing w:after="0" w:line="240" w:lineRule="auto"/>
        <w:jc w:val="both"/>
        <w:rPr>
          <w:rFonts w:ascii="Times New Roman" w:hAnsi="Times New Roman"/>
          <w:color w:val="0070C0"/>
          <w:sz w:val="16"/>
          <w:szCs w:val="16"/>
        </w:rPr>
      </w:pPr>
    </w:p>
    <w:p w14:paraId="055624FD" w14:textId="77777777" w:rsidR="002A6BEA" w:rsidRPr="0044524F" w:rsidRDefault="002A6B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 была завершена экспериментальная отработка опытных образцов авиационных снарядов РС-82 и PC-132 на основе зарядов из пироксилинотротилового пороха.</w:t>
      </w:r>
    </w:p>
    <w:p w14:paraId="54D5B4D5" w14:textId="77777777" w:rsidR="002A6BEA" w:rsidRPr="0044524F" w:rsidRDefault="002A6B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Первоначально для одного из авиационных реактивных снарядов был установлен первоначально калибр 76 мм, традиционный для русской артиллерии.</w:t>
      </w:r>
    </w:p>
    <w:p w14:paraId="25872EB1" w14:textId="77777777" w:rsidR="002A6BEA" w:rsidRPr="0044524F" w:rsidRDefault="002A6B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при изготовлении матриц для прессования пороховых шашек неточно была учтена усадка пороха, и фактический диаметр шашек оказался равным 24 мм, что не обспечивало входимость заряда из семи шашек в камеру 76-мм снаряда. Переделывать прессовое оборудование не стали, а пошли по пути увеличения калибра снаряда.</w:t>
      </w:r>
    </w:p>
    <w:p w14:paraId="4E16F193" w14:textId="77777777" w:rsidR="002A6BEA" w:rsidRPr="0044524F" w:rsidRDefault="002A6B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исходя из случайно получившегося наружного диаметра пороховых шашек, с учетом толщины стенок ракетной камеры и необходимых местных утолщений по наружному диаметру двигателя, был определен калибр авиационного реактивного снаряда, равный 82 мм, а сам снаряд стал называться PC-82.</w:t>
      </w:r>
    </w:p>
    <w:p w14:paraId="613E73DC" w14:textId="77777777" w:rsidR="002A6BEA" w:rsidRPr="0044524F" w:rsidRDefault="002A6B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же случайно определилась и длина пороховой шашки, равная 57,5 мм. По баллистическому расчету необходимая масса заряда для 82-мм PC могла быть получена при длине заряда 230 мм. Прессование шашек такой длины с центральным каналом по технологии глухого прессования оказалось невозможным. Пришлось длину каждой шашки уменьшить в 4 раза. Заряд оказался состоящим из 28 пороховых шашек вместо семи по исходному проекту.</w:t>
      </w:r>
    </w:p>
    <w:p w14:paraId="33EFA87F" w14:textId="77777777" w:rsidR="002A6BEA" w:rsidRPr="0044524F" w:rsidRDefault="002A6B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Диаметр пороховой шашки, возникший случайно, определил калибр и более мощного реактивного снаряда PC-132. Произошло это таким образом. Для ускорения создания реактивного снаряда большего калибра решили использовать имеющиеся в наличии пороховые шашки диаметром 24 мм. Плотная укладка их по 19 шашек в ряду возможна при внутреннем диаметре ракетной камеры 122-123 мм, что с учетом толщины стенки ракетной камеры и местных утолщений ее определило калибр реактивного снаряда — 132 мм. В дальнейшем отработали технологию прессования пороховых шашек с наружным диаметром 40 мм и диаметром каната 8 мм и перешли к ракетному заряду, состоявшему из пяти рядов таких шашек по семь шашек в ряду. Заряд состоял из 35 таких шашек.</w:t>
      </w:r>
    </w:p>
    <w:p w14:paraId="0C1FE75B" w14:textId="77777777" w:rsidR="002A6BEA" w:rsidRPr="0044524F" w:rsidRDefault="002A6B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Дальность стрельбы этими снарядами была получена соответственно 5 и 6 км. Встал вопрос об их широких испытаниях, для чего необходима была поставка большого количества ракетных зарядов. Однако этого-то и не могла обеспечить технология изготовления пироксилинотротиловых шашек глухим прессованием. Непрерывного прессования шашек из пироксилинотротиловой массы наладить не удалось. Другими словами, ПТП не удовлетворял одному из основных требовании, предъявляемых к боеприпасам — требованию технологичности.</w:t>
      </w:r>
    </w:p>
    <w:p w14:paraId="3EFB5205" w14:textId="77777777" w:rsidR="002A6BEA" w:rsidRPr="0044524F" w:rsidRDefault="002A6BE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Возможность создания боевых ракет в стране в этот период стала проблематичной. Возникла кризисная ситуация. Изготовленные для испытаний в больших количествах корпуса авиационных реактивных снарядов PC-82 и PC-132 не могли быть использованы и лежали без движения (18646).</w:t>
      </w:r>
    </w:p>
    <w:p w14:paraId="4A8659FD" w14:textId="77777777" w:rsidR="002A6BEA" w:rsidRPr="0044524F" w:rsidRDefault="002A6BEA" w:rsidP="009654CF">
      <w:pPr>
        <w:spacing w:after="0" w:line="240" w:lineRule="auto"/>
        <w:jc w:val="both"/>
        <w:rPr>
          <w:rFonts w:ascii="Times New Roman" w:hAnsi="Times New Roman"/>
          <w:color w:val="000000" w:themeColor="text1"/>
          <w:sz w:val="16"/>
          <w:szCs w:val="16"/>
        </w:rPr>
      </w:pPr>
    </w:p>
    <w:p w14:paraId="0AB6CF61" w14:textId="77777777" w:rsidR="006446C0" w:rsidRPr="0044524F" w:rsidRDefault="006446C0" w:rsidP="006446C0">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В.И. Дудаков разработал теорию полета твердотопливной КР, запускаемой с наземной пусковой установки или с самолета – для поражения наземных объектов на дальности 20–25 км или для ведения воздушного боя (11686).</w:t>
      </w:r>
    </w:p>
    <w:p w14:paraId="223E81EC" w14:textId="77777777" w:rsidR="006446C0" w:rsidRPr="0044524F" w:rsidRDefault="006446C0" w:rsidP="006446C0">
      <w:pPr>
        <w:autoSpaceDE w:val="0"/>
        <w:autoSpaceDN w:val="0"/>
        <w:adjustRightInd w:val="0"/>
        <w:spacing w:after="0" w:line="240" w:lineRule="auto"/>
        <w:jc w:val="both"/>
        <w:rPr>
          <w:rFonts w:ascii="Times New Roman" w:hAnsi="Times New Roman"/>
          <w:color w:val="000000" w:themeColor="text1"/>
          <w:sz w:val="16"/>
          <w:szCs w:val="16"/>
        </w:rPr>
      </w:pPr>
    </w:p>
    <w:p w14:paraId="530B11BA" w14:textId="77777777" w:rsidR="006446C0" w:rsidRPr="0044524F" w:rsidRDefault="006446C0" w:rsidP="006446C0">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Королев, пони</w:t>
      </w:r>
      <w:r w:rsidRPr="0044524F">
        <w:rPr>
          <w:rFonts w:ascii="Times New Roman" w:hAnsi="Times New Roman"/>
          <w:color w:val="000000" w:themeColor="text1"/>
          <w:sz w:val="16"/>
          <w:szCs w:val="16"/>
        </w:rPr>
        <w:softHyphen/>
        <w:t>мая, что ракетоплан, возможно, не будет принят на вооруже</w:t>
      </w:r>
      <w:r w:rsidRPr="0044524F">
        <w:rPr>
          <w:rFonts w:ascii="Times New Roman" w:hAnsi="Times New Roman"/>
          <w:color w:val="000000" w:themeColor="text1"/>
          <w:sz w:val="16"/>
          <w:szCs w:val="16"/>
        </w:rPr>
        <w:softHyphen/>
        <w:t>ние, а без заказов Красной Армии ему в оборонном институте не удержаться, начался проект создания первой в стране крылатой ракеты. Проект получил индекс 06. Его проработка привела к по</w:t>
      </w:r>
      <w:r w:rsidRPr="0044524F">
        <w:rPr>
          <w:rFonts w:ascii="Times New Roman" w:hAnsi="Times New Roman"/>
          <w:color w:val="000000" w:themeColor="text1"/>
          <w:sz w:val="16"/>
          <w:szCs w:val="16"/>
        </w:rPr>
        <w:softHyphen/>
        <w:t>явлению четырех вариантов - 06/1, 06/П, 06/Ш и 06/IV. Веду</w:t>
      </w:r>
      <w:r w:rsidRPr="0044524F">
        <w:rPr>
          <w:rFonts w:ascii="Times New Roman" w:hAnsi="Times New Roman"/>
          <w:color w:val="000000" w:themeColor="text1"/>
          <w:sz w:val="16"/>
          <w:szCs w:val="16"/>
        </w:rPr>
        <w:softHyphen/>
        <w:t>щим инженером был Е.С.Щетинков. Первый вариант оснащался гибридным маломощным двигателем Цандера 09 и был пред</w:t>
      </w:r>
      <w:r w:rsidRPr="0044524F">
        <w:rPr>
          <w:rFonts w:ascii="Times New Roman" w:hAnsi="Times New Roman"/>
          <w:color w:val="000000" w:themeColor="text1"/>
          <w:sz w:val="16"/>
          <w:szCs w:val="16"/>
        </w:rPr>
        <w:softHyphen/>
        <w:t>ложен Военно-воздушным силам. По замыслу Королева, управ</w:t>
      </w:r>
      <w:r w:rsidRPr="0044524F">
        <w:rPr>
          <w:rFonts w:ascii="Times New Roman" w:hAnsi="Times New Roman"/>
          <w:color w:val="000000" w:themeColor="text1"/>
          <w:sz w:val="16"/>
          <w:szCs w:val="16"/>
        </w:rPr>
        <w:softHyphen/>
        <w:t>ляемые крылатые ракеты 06/1 должны были запускаться с тяже</w:t>
      </w:r>
      <w:r w:rsidRPr="0044524F">
        <w:rPr>
          <w:rFonts w:ascii="Times New Roman" w:hAnsi="Times New Roman"/>
          <w:color w:val="000000" w:themeColor="text1"/>
          <w:sz w:val="16"/>
          <w:szCs w:val="16"/>
        </w:rPr>
        <w:softHyphen/>
        <w:t>лых бомбардировщиков и, обладая высокой скоростью полета, поражать наземные цели противника на большом расстоянии (23510).</w:t>
      </w:r>
    </w:p>
    <w:p w14:paraId="6AB3E1FC" w14:textId="77777777" w:rsidR="006446C0" w:rsidRPr="0044524F" w:rsidRDefault="006446C0" w:rsidP="006446C0">
      <w:pPr>
        <w:spacing w:after="0" w:line="240" w:lineRule="auto"/>
        <w:jc w:val="both"/>
        <w:rPr>
          <w:rFonts w:ascii="Times New Roman" w:hAnsi="Times New Roman"/>
          <w:color w:val="000000" w:themeColor="text1"/>
          <w:sz w:val="16"/>
          <w:szCs w:val="16"/>
        </w:rPr>
      </w:pPr>
    </w:p>
    <w:p w14:paraId="11F18373" w14:textId="77777777" w:rsidR="006446C0" w:rsidRPr="0044524F" w:rsidRDefault="006446C0" w:rsidP="006446C0">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Е.С.Петровым был сконструирован пусковой станок для РС бугельного типа, который предназначался для стрель</w:t>
      </w:r>
      <w:r w:rsidRPr="0044524F">
        <w:rPr>
          <w:rFonts w:ascii="Times New Roman" w:hAnsi="Times New Roman"/>
          <w:color w:val="000000" w:themeColor="text1"/>
          <w:sz w:val="16"/>
          <w:szCs w:val="16"/>
        </w:rPr>
        <w:softHyphen/>
        <w:t>бы новыми оперенными реактивными снарядами с лафета горной пушки. Опыта разработки пусковых устройств в РНИИ попросту не было, так как все занимались ракетами и двигате</w:t>
      </w:r>
      <w:r w:rsidRPr="0044524F">
        <w:rPr>
          <w:rFonts w:ascii="Times New Roman" w:hAnsi="Times New Roman"/>
          <w:color w:val="000000" w:themeColor="text1"/>
          <w:sz w:val="16"/>
          <w:szCs w:val="16"/>
        </w:rPr>
        <w:softHyphen/>
        <w:t>лями. Станок оказался довольно неуклюжим, но его бугельная конструкция обеспечивала свободный проход оперения снаря</w:t>
      </w:r>
      <w:r w:rsidRPr="0044524F">
        <w:rPr>
          <w:rFonts w:ascii="Times New Roman" w:hAnsi="Times New Roman"/>
          <w:color w:val="000000" w:themeColor="text1"/>
          <w:sz w:val="16"/>
          <w:szCs w:val="16"/>
        </w:rPr>
        <w:softHyphen/>
        <w:t>да, и для горной пушки он вполне подходил. К моменту начала испытаний он был единственным отработанным станком для пуска оперенных снарядов, потому его и установили на истре</w:t>
      </w:r>
      <w:r w:rsidRPr="0044524F">
        <w:rPr>
          <w:rFonts w:ascii="Times New Roman" w:hAnsi="Times New Roman"/>
          <w:color w:val="000000" w:themeColor="text1"/>
          <w:sz w:val="16"/>
          <w:szCs w:val="16"/>
        </w:rPr>
        <w:softHyphen/>
        <w:t>битель, для которого он не предназначался.</w:t>
      </w:r>
    </w:p>
    <w:p w14:paraId="794C92C3" w14:textId="77777777" w:rsidR="006446C0" w:rsidRPr="0044524F" w:rsidRDefault="006446C0" w:rsidP="006446C0">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1935 г., столкнувшись с проблемой перекоса направляющих при стрельбе, заказчик отверг бугельный станок, предложил кон</w:t>
      </w:r>
      <w:r w:rsidRPr="0044524F">
        <w:rPr>
          <w:rFonts w:ascii="Times New Roman" w:hAnsi="Times New Roman"/>
          <w:color w:val="000000" w:themeColor="text1"/>
          <w:sz w:val="16"/>
          <w:szCs w:val="16"/>
        </w:rPr>
        <w:softHyphen/>
        <w:t>структорам разработать новый и прекратил летные испытания. Однако сами стрельбы дали неплохие результаты, и наземные полигонные испытания продолжились (23510).</w:t>
      </w:r>
    </w:p>
    <w:p w14:paraId="09A747B1" w14:textId="77777777" w:rsidR="006446C0" w:rsidRPr="0044524F" w:rsidRDefault="006446C0" w:rsidP="006446C0">
      <w:pPr>
        <w:spacing w:after="0" w:line="240" w:lineRule="auto"/>
        <w:jc w:val="both"/>
        <w:rPr>
          <w:rFonts w:ascii="Times New Roman" w:hAnsi="Times New Roman"/>
          <w:color w:val="000000" w:themeColor="text1"/>
          <w:sz w:val="16"/>
          <w:szCs w:val="16"/>
        </w:rPr>
      </w:pPr>
    </w:p>
    <w:p w14:paraId="717606B9" w14:textId="77777777" w:rsidR="006446C0" w:rsidRPr="0044524F" w:rsidRDefault="006446C0" w:rsidP="006446C0">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года отработка снарядов с новым оперени</w:t>
      </w:r>
      <w:r w:rsidRPr="0044524F">
        <w:rPr>
          <w:rFonts w:ascii="Times New Roman" w:hAnsi="Times New Roman"/>
          <w:color w:val="000000" w:themeColor="text1"/>
          <w:sz w:val="16"/>
          <w:szCs w:val="16"/>
        </w:rPr>
        <w:softHyphen/>
        <w:t>ем, выступающим за габариты снаряда, была завершена, однако Бакаеву никак не удавалось изго</w:t>
      </w:r>
      <w:r w:rsidRPr="0044524F">
        <w:rPr>
          <w:rFonts w:ascii="Times New Roman" w:hAnsi="Times New Roman"/>
          <w:color w:val="000000" w:themeColor="text1"/>
          <w:sz w:val="16"/>
          <w:szCs w:val="16"/>
        </w:rPr>
        <w:softHyphen/>
        <w:t>товить из своего пороха шашки диаметром более 18 милли</w:t>
      </w:r>
      <w:r w:rsidRPr="0044524F">
        <w:rPr>
          <w:rFonts w:ascii="Times New Roman" w:hAnsi="Times New Roman"/>
          <w:color w:val="000000" w:themeColor="text1"/>
          <w:sz w:val="16"/>
          <w:szCs w:val="16"/>
        </w:rPr>
        <w:softHyphen/>
        <w:t>метров. Над этой проблемой он мучался два года. Лишь летом 1935-го московскому НИИ-6 и ленинградскому заводу имени Н.А.Морозова удалось освоить но</w:t>
      </w:r>
      <w:r w:rsidRPr="0044524F">
        <w:rPr>
          <w:rFonts w:ascii="Times New Roman" w:hAnsi="Times New Roman"/>
          <w:color w:val="000000" w:themeColor="text1"/>
          <w:sz w:val="16"/>
          <w:szCs w:val="16"/>
        </w:rPr>
        <w:softHyphen/>
        <w:t>вую технологию и изготовить первые шашки тре</w:t>
      </w:r>
      <w:r w:rsidRPr="0044524F">
        <w:rPr>
          <w:rFonts w:ascii="Times New Roman" w:hAnsi="Times New Roman"/>
          <w:color w:val="000000" w:themeColor="text1"/>
          <w:sz w:val="16"/>
          <w:szCs w:val="16"/>
        </w:rPr>
        <w:softHyphen/>
        <w:t>буемых диаметров 24 и 40 миллиметров (23510).</w:t>
      </w:r>
    </w:p>
    <w:p w14:paraId="57ECD49A" w14:textId="77777777" w:rsidR="006446C0" w:rsidRPr="0044524F" w:rsidRDefault="006446C0" w:rsidP="006446C0">
      <w:pPr>
        <w:spacing w:after="0" w:line="240" w:lineRule="auto"/>
        <w:jc w:val="both"/>
        <w:rPr>
          <w:rFonts w:ascii="Times New Roman" w:hAnsi="Times New Roman"/>
          <w:color w:val="000000" w:themeColor="text1"/>
          <w:sz w:val="16"/>
          <w:szCs w:val="16"/>
        </w:rPr>
      </w:pPr>
    </w:p>
    <w:p w14:paraId="33A4F947" w14:textId="77777777" w:rsidR="006446C0" w:rsidRPr="0044524F" w:rsidRDefault="006446C0" w:rsidP="006446C0">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w:t>
      </w:r>
      <w:r w:rsidRPr="0044524F">
        <w:rPr>
          <w:rFonts w:ascii="Times New Roman" w:hAnsi="Times New Roman"/>
          <w:color w:val="000000" w:themeColor="text1"/>
          <w:sz w:val="16"/>
          <w:szCs w:val="16"/>
        </w:rPr>
        <w:softHyphen/>
        <w:t>це 1933 года проводились первые пробные испытания первого в мире прямоточного воздуш</w:t>
      </w:r>
      <w:r w:rsidRPr="0044524F">
        <w:rPr>
          <w:rFonts w:ascii="Times New Roman" w:hAnsi="Times New Roman"/>
          <w:color w:val="000000" w:themeColor="text1"/>
          <w:sz w:val="16"/>
          <w:szCs w:val="16"/>
        </w:rPr>
        <w:softHyphen/>
        <w:t>но-реактивного двигателя 08 в ракете аэродинамическая труба 04, разработанных в третьей бригаде ГИРД, которую возглавлял Ю.А. Побе</w:t>
      </w:r>
      <w:r w:rsidRPr="0044524F">
        <w:rPr>
          <w:rFonts w:ascii="Times New Roman" w:hAnsi="Times New Roman"/>
          <w:color w:val="000000" w:themeColor="text1"/>
          <w:sz w:val="16"/>
          <w:szCs w:val="16"/>
        </w:rPr>
        <w:softHyphen/>
        <w:t>доносцев (23510).</w:t>
      </w:r>
    </w:p>
    <w:p w14:paraId="5AFBF0C2" w14:textId="77777777" w:rsidR="006446C0" w:rsidRPr="0044524F" w:rsidRDefault="006446C0" w:rsidP="006446C0">
      <w:pPr>
        <w:spacing w:after="0" w:line="240" w:lineRule="auto"/>
        <w:jc w:val="both"/>
        <w:rPr>
          <w:rFonts w:ascii="Times New Roman" w:hAnsi="Times New Roman"/>
          <w:color w:val="000000" w:themeColor="text1"/>
          <w:sz w:val="16"/>
          <w:szCs w:val="16"/>
        </w:rPr>
      </w:pPr>
    </w:p>
    <w:p w14:paraId="1F372663"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года задание по дирижаблю В-7 было в целом выполнено бригадой инженера Храбковского − по модернизации В-7 было спущено около 2000 чертежей [14, л. 40-42 об] (15797).</w:t>
      </w:r>
    </w:p>
    <w:p w14:paraId="21C877E3" w14:textId="77777777" w:rsidR="0047154B" w:rsidRPr="0044524F" w:rsidRDefault="0047154B" w:rsidP="009654CF">
      <w:pPr>
        <w:spacing w:after="0" w:line="240" w:lineRule="auto"/>
        <w:jc w:val="both"/>
        <w:rPr>
          <w:rFonts w:ascii="Times New Roman" w:hAnsi="Times New Roman"/>
          <w:color w:val="000000" w:themeColor="text1"/>
          <w:sz w:val="16"/>
          <w:szCs w:val="16"/>
        </w:rPr>
      </w:pPr>
    </w:p>
    <w:p w14:paraId="22AC03BA"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в Хабаровск прибыли шесть батальонов военных строителей Особого строительного корпуса в количестве 6000 бойцов и командиров. В январе 1934 г. после их прибытия в Комсомольск работа на стройке заметно оживилась. В первой половине 1934 г. была проложена дорога от берега Амура до новой площадки. С открытием навигации 1934 г., строительные материалы, оборудование, транспортные средства стали поступать на сооружение промышленных объектов без перевалки. Это сразу сказалось на темпах строительства заводских объектов (12211).</w:t>
      </w:r>
    </w:p>
    <w:p w14:paraId="3C17BC41" w14:textId="77777777" w:rsidR="000904A1" w:rsidRPr="0044524F" w:rsidRDefault="000904A1" w:rsidP="009654CF">
      <w:pPr>
        <w:spacing w:after="0" w:line="240" w:lineRule="auto"/>
        <w:jc w:val="both"/>
        <w:rPr>
          <w:rFonts w:ascii="Times New Roman" w:hAnsi="Times New Roman"/>
          <w:color w:val="000000" w:themeColor="text1"/>
          <w:sz w:val="16"/>
          <w:szCs w:val="16"/>
        </w:rPr>
      </w:pPr>
    </w:p>
    <w:p w14:paraId="759DE0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Конец 1933г Проведены предварительные пневмогидравлические испытания жидкостной ракеты РЛА-2 (11330).</w:t>
      </w:r>
    </w:p>
    <w:p w14:paraId="44BE6F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1889BD0" w14:textId="77777777" w:rsidR="006446C0" w:rsidRPr="00142305" w:rsidRDefault="006446C0" w:rsidP="006446C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1933 г. в Аэрофлоте имелось де</w:t>
      </w:r>
      <w:r w:rsidRPr="00142305">
        <w:rPr>
          <w:rFonts w:ascii="Times New Roman" w:hAnsi="Times New Roman"/>
          <w:color w:val="0070C0"/>
          <w:sz w:val="16"/>
          <w:szCs w:val="16"/>
        </w:rPr>
        <w:softHyphen/>
        <w:t>вять управлений (Северное, Дальневосточное, Восточно-Сибирское, Украин</w:t>
      </w:r>
      <w:r w:rsidRPr="00142305">
        <w:rPr>
          <w:rFonts w:ascii="Times New Roman" w:hAnsi="Times New Roman"/>
          <w:color w:val="0070C0"/>
          <w:sz w:val="16"/>
          <w:szCs w:val="16"/>
        </w:rPr>
        <w:softHyphen/>
        <w:t>ское, Средне-Азиатское, Закавказское, Казахское, Западно-Сибирское, Москов</w:t>
      </w:r>
      <w:r w:rsidRPr="00142305">
        <w:rPr>
          <w:rFonts w:ascii="Times New Roman" w:hAnsi="Times New Roman"/>
          <w:color w:val="0070C0"/>
          <w:sz w:val="16"/>
          <w:szCs w:val="16"/>
        </w:rPr>
        <w:softHyphen/>
        <w:t>ское), восемь учебных заведений, два треста, агитэскадрилья и общество «Деру- люфт». При Воздухоплавательном учебном комбинате были организованы курсы штурвальных для дирижаблей. Действовал Планерный комитет ГВФ под руководством Л. П. Малиновского для объединенного руководства всеми рабо</w:t>
      </w:r>
      <w:r w:rsidRPr="00142305">
        <w:rPr>
          <w:rFonts w:ascii="Times New Roman" w:hAnsi="Times New Roman"/>
          <w:color w:val="0070C0"/>
          <w:sz w:val="16"/>
          <w:szCs w:val="16"/>
        </w:rPr>
        <w:softHyphen/>
        <w:t>тами по проектированию, строительству, испытанию и применению планеров (24968).</w:t>
      </w:r>
    </w:p>
    <w:p w14:paraId="60CE3B13" w14:textId="77777777" w:rsidR="006446C0" w:rsidRPr="00142305" w:rsidRDefault="006446C0" w:rsidP="006446C0">
      <w:pPr>
        <w:spacing w:after="0" w:line="240" w:lineRule="auto"/>
        <w:jc w:val="both"/>
        <w:rPr>
          <w:rFonts w:ascii="Times New Roman" w:hAnsi="Times New Roman"/>
          <w:color w:val="0070C0"/>
          <w:sz w:val="16"/>
          <w:szCs w:val="16"/>
        </w:rPr>
      </w:pPr>
    </w:p>
    <w:p w14:paraId="62BD30CD" w14:textId="2FC1D5C6" w:rsidR="006446C0" w:rsidRPr="00142305" w:rsidRDefault="006446C0" w:rsidP="006446C0">
      <w:pPr>
        <w:widowControl w:val="0"/>
        <w:tabs>
          <w:tab w:val="left" w:pos="548"/>
        </w:tabs>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 самолеты У-2 №</w:t>
      </w:r>
      <w:r w:rsidR="000C4BE0">
        <w:rPr>
          <w:rFonts w:ascii="Times New Roman" w:hAnsi="Times New Roman"/>
          <w:color w:val="0070C0"/>
          <w:sz w:val="16"/>
          <w:szCs w:val="16"/>
        </w:rPr>
        <w:t xml:space="preserve"> </w:t>
      </w:r>
      <w:r w:rsidRPr="00142305">
        <w:rPr>
          <w:rFonts w:ascii="Times New Roman" w:hAnsi="Times New Roman"/>
          <w:color w:val="0070C0"/>
          <w:sz w:val="16"/>
          <w:szCs w:val="16"/>
        </w:rPr>
        <w:t>4940 СССР-Н18 вместе с амфибией Ш-2 СССР-Н20, которые отправили пароходом на самый северный архипе</w:t>
      </w:r>
      <w:r w:rsidRPr="00142305">
        <w:rPr>
          <w:rFonts w:ascii="Times New Roman" w:hAnsi="Times New Roman"/>
          <w:color w:val="0070C0"/>
          <w:sz w:val="16"/>
          <w:szCs w:val="16"/>
        </w:rPr>
        <w:softHyphen/>
        <w:t>лаг — Землю Франца-Иосифа, прибыли на зимовку, расположенную в бухте Тихая острова Гукера архипелага ЗФИ. Здесь обе ма</w:t>
      </w:r>
      <w:r w:rsidRPr="00142305">
        <w:rPr>
          <w:rFonts w:ascii="Times New Roman" w:hAnsi="Times New Roman"/>
          <w:color w:val="0070C0"/>
          <w:sz w:val="16"/>
          <w:szCs w:val="16"/>
        </w:rPr>
        <w:softHyphen/>
        <w:t>шины эксплуатировалась экипажем лет</w:t>
      </w:r>
      <w:r w:rsidRPr="00142305">
        <w:rPr>
          <w:rFonts w:ascii="Times New Roman" w:hAnsi="Times New Roman"/>
          <w:color w:val="0070C0"/>
          <w:sz w:val="16"/>
          <w:szCs w:val="16"/>
        </w:rPr>
        <w:softHyphen/>
        <w:t>чика Кошелева и бортмеханика Плосконосова. У-2 СССР-Н18 летал до августа, затем потерпел аварию, в результате ко</w:t>
      </w:r>
      <w:r w:rsidRPr="00142305">
        <w:rPr>
          <w:rFonts w:ascii="Times New Roman" w:hAnsi="Times New Roman"/>
          <w:color w:val="0070C0"/>
          <w:sz w:val="16"/>
          <w:szCs w:val="16"/>
        </w:rPr>
        <w:softHyphen/>
        <w:t>торой значительно поврежденными ока</w:t>
      </w:r>
      <w:r w:rsidRPr="00142305">
        <w:rPr>
          <w:rFonts w:ascii="Times New Roman" w:hAnsi="Times New Roman"/>
          <w:color w:val="0070C0"/>
          <w:sz w:val="16"/>
          <w:szCs w:val="16"/>
        </w:rPr>
        <w:softHyphen/>
        <w:t>зались крылья и оперение. Мотор само</w:t>
      </w:r>
      <w:r w:rsidRPr="00142305">
        <w:rPr>
          <w:rFonts w:ascii="Times New Roman" w:hAnsi="Times New Roman"/>
          <w:color w:val="0070C0"/>
          <w:sz w:val="16"/>
          <w:szCs w:val="16"/>
        </w:rPr>
        <w:softHyphen/>
        <w:t>лета по формуляру считался исправным и наработал всего 4 ч. 46 мин. В августе 1934 г. г. произошла смена личного состава авиазвена полярной станции. На смену Кошелеву и Плосконосову в бухту Тихую прибыли летчик В. Д. Волосюк и бортме</w:t>
      </w:r>
      <w:r w:rsidRPr="00142305">
        <w:rPr>
          <w:rFonts w:ascii="Times New Roman" w:hAnsi="Times New Roman"/>
          <w:color w:val="0070C0"/>
          <w:sz w:val="16"/>
          <w:szCs w:val="16"/>
        </w:rPr>
        <w:softHyphen/>
        <w:t>ханик Н. Г. Тарновский (24979).</w:t>
      </w:r>
    </w:p>
    <w:p w14:paraId="0F060DB4" w14:textId="77777777" w:rsidR="006446C0" w:rsidRPr="00142305" w:rsidRDefault="006446C0" w:rsidP="006446C0">
      <w:pPr>
        <w:spacing w:after="0" w:line="240" w:lineRule="auto"/>
        <w:jc w:val="both"/>
        <w:rPr>
          <w:rFonts w:ascii="Times New Roman" w:hAnsi="Times New Roman"/>
          <w:color w:val="0070C0"/>
          <w:sz w:val="16"/>
          <w:szCs w:val="16"/>
        </w:rPr>
      </w:pPr>
    </w:p>
    <w:p w14:paraId="1D6BCE22"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К концу 1933 года ГУСМП располагало 17 самолётами (4 - Дорнье «Валь» - Н-2, 8, 9 и 10, 6 У-2 - Н-12, 13. 14, 15, 18, 19, 2 111-2 - Н-20, 21, 2 ЮГ-1 - Н-4, 17, 1 Д-5 11-7, 1 С-55 Н-11, 1 В-33 Н-5). В течение года в эксплуатацию поступили 12 машин (в т.ч. были закуплены у Германии 2 Дорнье «Валь» Н-9,11-10, приобретён требующий ремонта Дорнье «Валь» Н-8, передан «Снабаэрофлотом» «Савойя» С-55 Н-11, куплен у «Остехбюро» ЮГ-1, два Ш-2 были заказаны на заводе №23), при этом 5 машин поступили в декабре. Ещё один самолёт проходил испытания. Из-за от</w:t>
      </w:r>
      <w:r w:rsidRPr="00142305">
        <w:rPr>
          <w:rStyle w:val="aff"/>
          <w:rFonts w:ascii="Times New Roman" w:hAnsi="Times New Roman" w:cs="Times New Roman"/>
          <w:color w:val="0070C0"/>
          <w:spacing w:val="0"/>
          <w:sz w:val="16"/>
          <w:szCs w:val="16"/>
        </w:rPr>
        <w:softHyphen/>
        <w:t>сутствия своих ремонтных баз УВС ГУСМП приходилось пользоваться возможностями ГВФ и ГУАИ: самолёты «Н-4» и «Н-7» ремонтировались в Иркутских мастерских, а «Н-2» и «Н-8» - на заводе №45 в Севастополе (25653).</w:t>
      </w:r>
    </w:p>
    <w:p w14:paraId="4BCFA041" w14:textId="77777777" w:rsidR="000C4BE0" w:rsidRPr="00142305" w:rsidRDefault="000C4BE0" w:rsidP="000C4BE0">
      <w:pPr>
        <w:spacing w:after="0" w:line="240" w:lineRule="auto"/>
        <w:jc w:val="both"/>
        <w:rPr>
          <w:rFonts w:ascii="Times New Roman" w:hAnsi="Times New Roman"/>
          <w:color w:val="0070C0"/>
          <w:sz w:val="16"/>
          <w:szCs w:val="16"/>
        </w:rPr>
      </w:pPr>
    </w:p>
    <w:p w14:paraId="395EB461"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13AC8F4"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40D93EA" w14:textId="77777777" w:rsidR="0078175A" w:rsidRPr="0044524F" w:rsidRDefault="007817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конца 1933 года на «Баррикадах» успели сделать лишь одну гаубицу Б-4, но и ее сдать не смогли. Первые две Б-4 завод «Баррикады» сдал лишь в первом полугодии 1934 года. По другим данным (согласно официальной истории самого завода), первые образцы 203-мм гаубицы Б-4 были собраны только в 1936 году, а в следующем году началось их серийное изготовление (22974).</w:t>
      </w:r>
    </w:p>
    <w:p w14:paraId="07F0360D" w14:textId="77777777" w:rsidR="0078175A" w:rsidRPr="0044524F" w:rsidRDefault="0078175A" w:rsidP="009654CF">
      <w:pPr>
        <w:spacing w:after="0" w:line="240" w:lineRule="auto"/>
        <w:jc w:val="both"/>
        <w:rPr>
          <w:rFonts w:ascii="Times New Roman" w:hAnsi="Times New Roman"/>
          <w:color w:val="000000" w:themeColor="text1"/>
          <w:sz w:val="16"/>
          <w:szCs w:val="16"/>
        </w:rPr>
      </w:pPr>
    </w:p>
    <w:p w14:paraId="473BF8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конец 1933 года в конструкцию 152-мм мортиры обр. 1931 г. было внесено свыше 700 изменений (3861).</w:t>
      </w:r>
    </w:p>
    <w:p w14:paraId="62C0F6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FCA9F8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коллектив спецбюро завода № 8 («шарага» из заключенных инженеров) предложил вариант улучше</w:t>
      </w:r>
      <w:r w:rsidRPr="0044524F">
        <w:rPr>
          <w:rFonts w:ascii="Times New Roman" w:hAnsi="Times New Roman"/>
          <w:color w:val="000000" w:themeColor="text1"/>
          <w:sz w:val="16"/>
          <w:szCs w:val="16"/>
        </w:rPr>
        <w:softHyphen/>
        <w:t>ния конструкции орудия. В частности, они усилили раму орудия, немного изменили конструкцию штока тормоза от</w:t>
      </w:r>
      <w:r w:rsidRPr="0044524F">
        <w:rPr>
          <w:rFonts w:ascii="Times New Roman" w:hAnsi="Times New Roman"/>
          <w:color w:val="000000" w:themeColor="text1"/>
          <w:sz w:val="16"/>
          <w:szCs w:val="16"/>
        </w:rPr>
        <w:softHyphen/>
        <w:t>ката, ввели электроспуск, а также новый инерционный механизм полуавтоматики, который стал надежно работать, но только при стрельбе бронебойным снарядом. Иногда это улучшенное орудие называют 45-мм танковой пушкой обр. 1934 года, но этот индекс прижился только в танковых час</w:t>
      </w:r>
      <w:r w:rsidRPr="0044524F">
        <w:rPr>
          <w:rFonts w:ascii="Times New Roman" w:hAnsi="Times New Roman"/>
          <w:color w:val="000000" w:themeColor="text1"/>
          <w:sz w:val="16"/>
          <w:szCs w:val="16"/>
        </w:rPr>
        <w:softHyphen/>
        <w:t>тях, тогда как в артуправлении орудие по-прежнему называ</w:t>
      </w:r>
      <w:r w:rsidRPr="0044524F">
        <w:rPr>
          <w:rFonts w:ascii="Times New Roman" w:hAnsi="Times New Roman"/>
          <w:color w:val="000000" w:themeColor="text1"/>
          <w:sz w:val="16"/>
          <w:szCs w:val="16"/>
        </w:rPr>
        <w:softHyphen/>
        <w:t>лось «45-мм танковая пушка 20-К обр. 1932 г.» Чтобы иметь возможность отдельного учета, с 1936 г. данное орудие нача</w:t>
      </w:r>
      <w:r w:rsidRPr="0044524F">
        <w:rPr>
          <w:rFonts w:ascii="Times New Roman" w:hAnsi="Times New Roman"/>
          <w:color w:val="000000" w:themeColor="text1"/>
          <w:sz w:val="16"/>
          <w:szCs w:val="16"/>
        </w:rPr>
        <w:softHyphen/>
        <w:t>ли именовать «45-мм танковая пушка 20К обр. 1932/34 гг.». Именно эта пушка и стала наиболее массовой в отечествен</w:t>
      </w:r>
      <w:r w:rsidRPr="0044524F">
        <w:rPr>
          <w:rFonts w:ascii="Times New Roman" w:hAnsi="Times New Roman"/>
          <w:color w:val="000000" w:themeColor="text1"/>
          <w:sz w:val="16"/>
          <w:szCs w:val="16"/>
        </w:rPr>
        <w:softHyphen/>
        <w:t>ном предвоенном танкостроении. Для установки новой, «большой» башни на корпус Т-26 потребовалось внести в конструкцию танка некоторые из</w:t>
      </w:r>
      <w:r w:rsidRPr="0044524F">
        <w:rPr>
          <w:rFonts w:ascii="Times New Roman" w:hAnsi="Times New Roman"/>
          <w:color w:val="000000" w:themeColor="text1"/>
          <w:sz w:val="16"/>
          <w:szCs w:val="16"/>
        </w:rPr>
        <w:softHyphen/>
        <w:t>менения. Первоначально их было немного. Главным обра</w:t>
      </w:r>
      <w:r w:rsidRPr="0044524F">
        <w:rPr>
          <w:rFonts w:ascii="Times New Roman" w:hAnsi="Times New Roman"/>
          <w:color w:val="000000" w:themeColor="text1"/>
          <w:sz w:val="16"/>
          <w:szCs w:val="16"/>
        </w:rPr>
        <w:softHyphen/>
        <w:t>зом существовавший корпус дополнялся новым подбашен</w:t>
      </w:r>
      <w:r w:rsidRPr="0044524F">
        <w:rPr>
          <w:rFonts w:ascii="Times New Roman" w:hAnsi="Times New Roman"/>
          <w:color w:val="000000" w:themeColor="text1"/>
          <w:sz w:val="16"/>
          <w:szCs w:val="16"/>
        </w:rPr>
        <w:softHyphen/>
        <w:t>ным листом, на котором двухместная башня с малой кор</w:t>
      </w:r>
      <w:r w:rsidRPr="0044524F">
        <w:rPr>
          <w:rFonts w:ascii="Times New Roman" w:hAnsi="Times New Roman"/>
          <w:color w:val="000000" w:themeColor="text1"/>
          <w:sz w:val="16"/>
          <w:szCs w:val="16"/>
        </w:rPr>
        <w:softHyphen/>
        <w:t>мовой нишей устанавливалась сдвинутой к левому борту. Собственно, никаких других изменений первоначально выполнено не было. Однако для установки 45-мм пушки 20К в «большую» башню ее пришлось несколько переработать, так как имев</w:t>
      </w:r>
      <w:r w:rsidRPr="0044524F">
        <w:rPr>
          <w:rFonts w:ascii="Times New Roman" w:hAnsi="Times New Roman"/>
          <w:color w:val="000000" w:themeColor="text1"/>
          <w:sz w:val="16"/>
          <w:szCs w:val="16"/>
        </w:rPr>
        <w:softHyphen/>
        <w:t>шаяся оказалась все же тесноватой. В срочном порядке ОКМО разработал несколько различных вариантов новой орудийной башни. После рассмотрения предложенных мо</w:t>
      </w:r>
      <w:r w:rsidRPr="0044524F">
        <w:rPr>
          <w:rFonts w:ascii="Times New Roman" w:hAnsi="Times New Roman"/>
          <w:color w:val="000000" w:themeColor="text1"/>
          <w:sz w:val="16"/>
          <w:szCs w:val="16"/>
        </w:rPr>
        <w:softHyphen/>
        <w:t>делей руководство УММ РККА остановилось на «уравно</w:t>
      </w:r>
      <w:r w:rsidRPr="0044524F">
        <w:rPr>
          <w:rFonts w:ascii="Times New Roman" w:hAnsi="Times New Roman"/>
          <w:color w:val="000000" w:themeColor="text1"/>
          <w:sz w:val="16"/>
          <w:szCs w:val="16"/>
        </w:rPr>
        <w:softHyphen/>
        <w:t>вешенной конструкции с цельнокроеными бортами». -Эта башня во многом повторяла предыдущую, но имела разви</w:t>
      </w:r>
      <w:r w:rsidRPr="0044524F">
        <w:rPr>
          <w:rFonts w:ascii="Times New Roman" w:hAnsi="Times New Roman"/>
          <w:color w:val="000000" w:themeColor="text1"/>
          <w:sz w:val="16"/>
          <w:szCs w:val="16"/>
        </w:rPr>
        <w:softHyphen/>
        <w:t>тую кормовую нишу, которую образовывали продолжения бортовых листов. При изготовлении башни планировалось применять электросварку (хотя был разработан и чисто клепаный вариант). Самой сложной деталью в изготовле</w:t>
      </w:r>
      <w:r w:rsidRPr="0044524F">
        <w:rPr>
          <w:rFonts w:ascii="Times New Roman" w:hAnsi="Times New Roman"/>
          <w:color w:val="000000" w:themeColor="text1"/>
          <w:sz w:val="16"/>
          <w:szCs w:val="16"/>
        </w:rPr>
        <w:softHyphen/>
        <w:t>нии пушечных башен была неподвижная часть маски ору</w:t>
      </w:r>
      <w:r w:rsidRPr="0044524F">
        <w:rPr>
          <w:rFonts w:ascii="Times New Roman" w:hAnsi="Times New Roman"/>
          <w:color w:val="000000" w:themeColor="text1"/>
          <w:sz w:val="16"/>
          <w:szCs w:val="16"/>
        </w:rPr>
        <w:softHyphen/>
        <w:t>дия, выпуск которой требовал массу времени и высококва</w:t>
      </w:r>
      <w:r w:rsidRPr="0044524F">
        <w:rPr>
          <w:rFonts w:ascii="Times New Roman" w:hAnsi="Times New Roman"/>
          <w:color w:val="000000" w:themeColor="text1"/>
          <w:sz w:val="16"/>
          <w:szCs w:val="16"/>
        </w:rPr>
        <w:softHyphen/>
        <w:t xml:space="preserve">лифицированных сварщиков. Поэтому </w:t>
      </w:r>
      <w:r w:rsidRPr="0044524F">
        <w:rPr>
          <w:rFonts w:ascii="Times New Roman" w:hAnsi="Times New Roman"/>
          <w:color w:val="000000" w:themeColor="text1"/>
          <w:sz w:val="16"/>
          <w:szCs w:val="16"/>
        </w:rPr>
        <w:lastRenderedPageBreak/>
        <w:t>уже в конце 1933 г. предпринимаются попытки изготовить ее штамповкой в один прием, но до 1935 г. этого сделать не удавалось. Но именно эта башня принимается к производству «для установки на танк Т-26 и танк-истребитель Б-Т» (10733,216).</w:t>
      </w:r>
    </w:p>
    <w:p w14:paraId="3B56B67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8A2C4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 начале 1934 г. была спроектирована 76-мм горная пушка Курчевского (ГПК). 26 февраля 1934 г. принято решение заказать три опытных образца заводу № 38Первый образец 76-мм горной пушки Курчевского прибыл на НИАП 16 июня 1934 г. После испытаний, выявивших слабость лафета, систему отправили на завод. Второй образец ГПК прибыл на НИАП 9 июля 1935 г.</w:t>
      </w:r>
    </w:p>
    <w:p w14:paraId="67576C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1FDA48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141F45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Лафет первого образца ГПК имел трубчатые станины, а второго — из стали Г-образного сечения («угловой профиль»).</w:t>
      </w:r>
    </w:p>
    <w:p w14:paraId="0EBF38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обоих образцов станины и шворневая лапа располагались перед щитом (с дульной стороны). Колеса деревянные.</w:t>
      </w:r>
    </w:p>
    <w:p w14:paraId="58F8F8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Подрессоривания не было. Система разбиралась на три вьюка, не считая патронных.</w:t>
      </w:r>
    </w:p>
    <w:p w14:paraId="625F5D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 комиссии:</w:t>
      </w:r>
    </w:p>
    <w:p w14:paraId="7F88DF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40FBB1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Сбиваемости установки прицела после выстрела не наблюдалось. Прыжки и наброски системы не превышали 10–15 см. Разницы в устойчивости системы в обоих положениях нет.</w:t>
      </w:r>
    </w:p>
    <w:p w14:paraId="12E84B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При возке лафет недостаточно прочен.</w:t>
      </w:r>
    </w:p>
    <w:p w14:paraId="74B081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326565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 (12091).</w:t>
      </w:r>
    </w:p>
    <w:p w14:paraId="76F26F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DA10A16"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 начале 1934 г. была спроектирована 76-мм горная пушка Курчевского (ГПК).</w:t>
      </w:r>
    </w:p>
    <w:p w14:paraId="360CD2EC"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 февраля 1934 г. принято решение заказать три опытных образца заводу № 38.</w:t>
      </w:r>
    </w:p>
    <w:p w14:paraId="250474EA"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образец 76-мм горной пушки Курчевского прибыл на НИАП 16 июня 1934 г. После испытаний, выявивших слабость лафета, систему отправили на завод. Второй образец ГПК прибыл на НИАП 9 июля 1935 г.</w:t>
      </w:r>
    </w:p>
    <w:p w14:paraId="3705EBEE"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Ствол ГПК конструктивно был близок к стволу БПК, обладал такими же баллистическими данными и отличался от БПК только стреляющим приспособлением и соплом (воронкой), откидывающимся в верхнее походное положение.</w:t>
      </w:r>
    </w:p>
    <w:p w14:paraId="7938E8C4"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Ствол своими цапфами укладывался в цапфенные гнезда, прикрепленные к щиту, и мог находиться в верхнем или нижнем положении (к щиту приклепано две пары цапфенных гнезд).</w:t>
      </w:r>
    </w:p>
    <w:p w14:paraId="1746A935"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Лафет первого образца ГПК имел трубчатые станины, а второго — из стали Г-образного сечения («угловой профиль»).</w:t>
      </w:r>
    </w:p>
    <w:p w14:paraId="0CD60F6D"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 обоих образцов станины и шворневая лапа располагались перед щитом (с дульной стороны). Колеса деревянные. Подрессоривания не было. Система разбиралась на три вьюка, не считая патронных.</w:t>
      </w:r>
    </w:p>
    <w:p w14:paraId="0B1A92C8" w14:textId="77777777" w:rsidR="0047154B" w:rsidRPr="0044524F" w:rsidRDefault="0047154B" w:rsidP="009654CF">
      <w:pPr>
        <w:spacing w:after="0" w:line="240" w:lineRule="auto"/>
        <w:jc w:val="both"/>
        <w:rPr>
          <w:rFonts w:ascii="Times New Roman" w:hAnsi="Times New Roman"/>
          <w:bCs/>
          <w:color w:val="000000" w:themeColor="text1"/>
          <w:sz w:val="16"/>
          <w:szCs w:val="16"/>
        </w:rPr>
      </w:pPr>
      <w:bookmarkStart w:id="61" w:name="label52"/>
      <w:bookmarkStart w:id="62" w:name="label53"/>
      <w:bookmarkEnd w:id="61"/>
      <w:bookmarkEnd w:id="62"/>
      <w:r w:rsidRPr="0044524F">
        <w:rPr>
          <w:rFonts w:ascii="Times New Roman" w:hAnsi="Times New Roman"/>
          <w:bCs/>
          <w:color w:val="000000" w:themeColor="text1"/>
          <w:sz w:val="16"/>
          <w:szCs w:val="16"/>
        </w:rPr>
        <w:t>Результаты испытаний ГПК</w:t>
      </w:r>
    </w:p>
    <w:p w14:paraId="157DAF64" w14:textId="77777777" w:rsidR="0047154B" w:rsidRPr="0044524F" w:rsidRDefault="0047154B" w:rsidP="009654CF">
      <w:pPr>
        <w:spacing w:after="0" w:line="240" w:lineRule="auto"/>
        <w:jc w:val="both"/>
        <w:rPr>
          <w:rFonts w:ascii="Times New Roman" w:hAnsi="Times New Roman"/>
          <w:bCs/>
          <w:color w:val="000000" w:themeColor="text1"/>
          <w:sz w:val="16"/>
          <w:szCs w:val="16"/>
        </w:rPr>
      </w:pPr>
      <w:bookmarkStart w:id="63" w:name="label54"/>
      <w:bookmarkEnd w:id="63"/>
      <w:r w:rsidRPr="0044524F">
        <w:rPr>
          <w:rFonts w:ascii="Times New Roman" w:hAnsi="Times New Roman"/>
          <w:bCs/>
          <w:color w:val="000000" w:themeColor="text1"/>
          <w:sz w:val="16"/>
          <w:szCs w:val="16"/>
          <w:vertAlign w:val="superscript"/>
        </w:rPr>
        <w:t>Снаряд …… Вес снаряда, кг / Заряд / Дальность, м / Угол, град.</w:t>
      </w:r>
    </w:p>
    <w:p w14:paraId="11BE53AA"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Штатная граната …… 6,5 / 0,95 кг ПКО / — / —</w:t>
      </w:r>
    </w:p>
    <w:p w14:paraId="4D9C6D69"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Осколочная граната черт. 2-01129 с КТ-1 …… 4,72 / 1,06 кг ПКО / 7461 / 45°</w:t>
      </w:r>
    </w:p>
    <w:p w14:paraId="051E2805"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Заключение комиссии:</w:t>
      </w:r>
    </w:p>
    <w:p w14:paraId="70F1F73E"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На основании проведенных стрельб можно считать, что меткость системы в обоих положениях одинакова и что меткость ГПК значительно лучше табличной меткости БПК и близка к табличной меткости 76-мм полковой пушки обр. 1927 г.</w:t>
      </w:r>
    </w:p>
    <w:p w14:paraId="0DA704E8"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Сбиваемость установки прицела после выстрела не наблюдалась. Прыжки и наброски системы не превышали 10-15 см. Разницы в устойчивости системы в обоих положениях нет.</w:t>
      </w:r>
    </w:p>
    <w:p w14:paraId="5B73E3AA"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При возке лафет недостаточно прочен.</w:t>
      </w:r>
    </w:p>
    <w:p w14:paraId="07F1D11F"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 июля 1935 г. второй экземпляр ГПК, прошедший испытания на НИАПе, был разобран и отправлен на завод № 38 вместе с отчетом об испытаниях.</w:t>
      </w:r>
    </w:p>
    <w:p w14:paraId="62F03600"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1935 г. заводу № 7 был выдан заказ на 30 горных пушек Курчевского, но завод не изготовил ни одной. Согласно отчету завода № 7: «…заказ не выполнен по причине непоступления от заказчика чертежей и эталонного образца».</w:t>
      </w:r>
    </w:p>
    <w:p w14:paraId="3454907E"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план работ на 1935 г. Курчевский включил себе разработку 107-мм горной гаубицы ГПК-107. В 1935 г. планировалось изготовить два опытных образца.</w:t>
      </w:r>
    </w:p>
    <w:p w14:paraId="2B37FA3B" w14:textId="77777777" w:rsidR="0047154B" w:rsidRPr="0044524F" w:rsidRDefault="0047154B" w:rsidP="009654CF">
      <w:pPr>
        <w:spacing w:after="0" w:line="240" w:lineRule="auto"/>
        <w:jc w:val="both"/>
        <w:rPr>
          <w:rFonts w:ascii="Times New Roman" w:hAnsi="Times New Roman"/>
          <w:bCs/>
          <w:color w:val="000000" w:themeColor="text1"/>
          <w:sz w:val="16"/>
          <w:szCs w:val="16"/>
        </w:rPr>
      </w:pPr>
      <w:bookmarkStart w:id="64" w:name="label55"/>
      <w:bookmarkStart w:id="65" w:name="label56"/>
      <w:bookmarkEnd w:id="64"/>
      <w:bookmarkEnd w:id="65"/>
      <w:r w:rsidRPr="0044524F">
        <w:rPr>
          <w:rFonts w:ascii="Times New Roman" w:hAnsi="Times New Roman"/>
          <w:bCs/>
          <w:color w:val="000000" w:themeColor="text1"/>
          <w:sz w:val="16"/>
          <w:szCs w:val="16"/>
        </w:rPr>
        <w:t>Данные двух опытных образцов ГПК</w:t>
      </w:r>
    </w:p>
    <w:p w14:paraId="1D8775B7" w14:textId="77777777" w:rsidR="0047154B" w:rsidRPr="0044524F" w:rsidRDefault="0047154B" w:rsidP="009654CF">
      <w:pPr>
        <w:spacing w:after="0" w:line="240" w:lineRule="auto"/>
        <w:jc w:val="both"/>
        <w:rPr>
          <w:rFonts w:ascii="Times New Roman" w:hAnsi="Times New Roman"/>
          <w:bCs/>
          <w:color w:val="000000" w:themeColor="text1"/>
          <w:sz w:val="16"/>
          <w:szCs w:val="16"/>
        </w:rPr>
      </w:pPr>
      <w:bookmarkStart w:id="66" w:name="label57"/>
      <w:bookmarkEnd w:id="66"/>
      <w:r w:rsidRPr="0044524F">
        <w:rPr>
          <w:rFonts w:ascii="Times New Roman" w:hAnsi="Times New Roman"/>
          <w:bCs/>
          <w:color w:val="000000" w:themeColor="text1"/>
          <w:sz w:val="16"/>
          <w:szCs w:val="16"/>
          <w:vertAlign w:val="superscript"/>
        </w:rPr>
        <w:t>(Образец …… 1-й — 2-й)</w:t>
      </w:r>
    </w:p>
    <w:p w14:paraId="70BB9D82"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 мм …… 76,2 — 76,2</w:t>
      </w:r>
    </w:p>
    <w:p w14:paraId="68966E9F"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ствола с воронкой, откинутой вверх, мм/клб …… 1625/21,4 — 1625/21,4</w:t>
      </w:r>
    </w:p>
    <w:p w14:paraId="6E1EC744"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Диаметр сопла (внутренний), мм …… 60,87 — 63,68</w:t>
      </w:r>
    </w:p>
    <w:p w14:paraId="2DCF5F0F"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Угол ВГ, град.: </w:t>
      </w:r>
    </w:p>
    <w:p w14:paraId="077E96E6"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верхнем положении …… 5°15';+12°30' — -32°;+40°15'</w:t>
      </w:r>
    </w:p>
    <w:p w14:paraId="1E6F9DDE"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нижнем положении …… -32°;+39° - — -5°30';+13°12'</w:t>
      </w:r>
    </w:p>
    <w:p w14:paraId="3B081CD9"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ГН, град. …… ±7°12' — ±7°15'</w:t>
      </w:r>
    </w:p>
    <w:p w14:paraId="41478A72"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линии огня, мм: в верхнем боевом положении …… 1450 — 1450</w:t>
      </w:r>
    </w:p>
    <w:p w14:paraId="70971A8B"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нижнем боевом положении …… 650 — 650</w:t>
      </w:r>
    </w:p>
    <w:p w14:paraId="6FE22C3F"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сложенного станка, мм …… 1400 — 1400</w:t>
      </w:r>
    </w:p>
    <w:p w14:paraId="52C86080"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системы на колесном ходу, мм …… 2490 — 2490</w:t>
      </w:r>
    </w:p>
    <w:p w14:paraId="6C2AF2D4"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системы, мм …… 1120 — 1120</w:t>
      </w:r>
    </w:p>
    <w:p w14:paraId="46B2912C"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Ширина хода, мм …… 1020 — 1020</w:t>
      </w:r>
    </w:p>
    <w:p w14:paraId="4B781D06"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Клиренс, мм …… 230 — 230</w:t>
      </w:r>
    </w:p>
    <w:p w14:paraId="59FE596D"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орудия с воронкой, но без прицела, кг …… 104 — 96</w:t>
      </w:r>
    </w:p>
    <w:p w14:paraId="0DB99A2B"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орудия с воронкой и прицелом, кг …… 108,16 — —</w:t>
      </w:r>
    </w:p>
    <w:p w14:paraId="245C28DB"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системы в боевом положении, кг …… 224 — 237</w:t>
      </w:r>
    </w:p>
    <w:p w14:paraId="7E982D1A"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вьюков</w:t>
      </w:r>
    </w:p>
    <w:p w14:paraId="2F072C97"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Вьюк со стволом, кг …… Без седла 96 — С седлом 122</w:t>
      </w:r>
    </w:p>
    <w:p w14:paraId="4146774B"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Вьюк со станком, соплом и парой колес с полуосями, кг …… 72,5 — 106,5</w:t>
      </w:r>
    </w:p>
    <w:p w14:paraId="475B5B4D"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Вьюк со щитом, кг …… 75,5 — 106,0</w:t>
      </w:r>
    </w:p>
    <w:p w14:paraId="16CA77C3"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Вьюк с 8 патронами, кг …… 92,5 — 103,5 </w:t>
      </w:r>
    </w:p>
    <w:p w14:paraId="70611EB2" w14:textId="77777777" w:rsidR="0047154B" w:rsidRPr="0044524F" w:rsidRDefault="0047154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перехода из верхнего положения в нижнее, с …… 1,0-1,5 — 1,0-1,5 (15117).</w:t>
      </w:r>
    </w:p>
    <w:p w14:paraId="58E38EF8" w14:textId="77777777" w:rsidR="0047154B" w:rsidRPr="0044524F" w:rsidRDefault="0047154B" w:rsidP="009654CF">
      <w:pPr>
        <w:spacing w:after="0" w:line="240" w:lineRule="auto"/>
        <w:jc w:val="both"/>
        <w:rPr>
          <w:rFonts w:ascii="Times New Roman" w:hAnsi="Times New Roman"/>
          <w:color w:val="000000" w:themeColor="text1"/>
          <w:sz w:val="16"/>
          <w:szCs w:val="16"/>
        </w:rPr>
      </w:pPr>
    </w:p>
    <w:p w14:paraId="2CF0A71F" w14:textId="77777777" w:rsidR="001B11E8" w:rsidRPr="0044524F" w:rsidRDefault="001B11E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батарею из трёх транспортёров ТМ-1-14 перевели из Ленинграда во Владивосток. Переброска проходила в чрезвычайно тяжёлых условиях. Перегон производился по маршруту Ленинград-Вологда-Пермь-Омск-Красноярск-Ир-кутск-Чита-Хабаровск-Владивосток (15132).</w:t>
      </w:r>
    </w:p>
    <w:p w14:paraId="274820BD" w14:textId="77777777" w:rsidR="001B11E8" w:rsidRPr="0044524F" w:rsidRDefault="001B11E8" w:rsidP="009654CF">
      <w:pPr>
        <w:spacing w:after="0" w:line="240" w:lineRule="auto"/>
        <w:jc w:val="both"/>
        <w:rPr>
          <w:rFonts w:ascii="Times New Roman" w:hAnsi="Times New Roman"/>
          <w:color w:val="000000" w:themeColor="text1"/>
          <w:sz w:val="16"/>
          <w:szCs w:val="16"/>
        </w:rPr>
      </w:pPr>
    </w:p>
    <w:p w14:paraId="151CA94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конце 1933 г. предпринимаются попытки изготовить штамповкой в один прием башни под 45мм пушку для БИ и Т-26, разработанную ОКМО, но до 1935 г. этого сделать не удавалось. Но именно эта башня принимается к производству «для установки на танк Т-26 и танк-истребитель Б-Т» (10733,216).</w:t>
      </w:r>
    </w:p>
    <w:p w14:paraId="079718F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AA534C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на заводе № 185 им. Кирова под руковод</w:t>
      </w:r>
      <w:r w:rsidRPr="0044524F">
        <w:rPr>
          <w:rFonts w:ascii="Times New Roman" w:hAnsi="Times New Roman"/>
          <w:color w:val="000000" w:themeColor="text1"/>
          <w:sz w:val="16"/>
          <w:szCs w:val="16"/>
        </w:rPr>
        <w:softHyphen/>
        <w:t>ством начальника конструкторской группы (позднее — отде</w:t>
      </w:r>
      <w:r w:rsidRPr="0044524F">
        <w:rPr>
          <w:rFonts w:ascii="Times New Roman" w:hAnsi="Times New Roman"/>
          <w:color w:val="000000" w:themeColor="text1"/>
          <w:sz w:val="16"/>
          <w:szCs w:val="16"/>
        </w:rPr>
        <w:softHyphen/>
        <w:t>ла) по самоходной артиллерии П.Н. Сячинтова при общем руководстве С.А. Гинзбурга начались работы по созданию танка артиллерийской поддержки большой мощности на ба</w:t>
      </w:r>
      <w:r w:rsidRPr="0044524F">
        <w:rPr>
          <w:rFonts w:ascii="Times New Roman" w:hAnsi="Times New Roman"/>
          <w:color w:val="000000" w:themeColor="text1"/>
          <w:sz w:val="16"/>
          <w:szCs w:val="16"/>
        </w:rPr>
        <w:softHyphen/>
        <w:t>зе Т-26. Этот танк получил обозначение АТ-1 (артиллерий</w:t>
      </w:r>
      <w:r w:rsidRPr="0044524F">
        <w:rPr>
          <w:rFonts w:ascii="Times New Roman" w:hAnsi="Times New Roman"/>
          <w:color w:val="000000" w:themeColor="text1"/>
          <w:sz w:val="16"/>
          <w:szCs w:val="16"/>
        </w:rPr>
        <w:softHyphen/>
        <w:t>ский танк первый) и представлял собой попытку значитель</w:t>
      </w:r>
      <w:r w:rsidRPr="0044524F">
        <w:rPr>
          <w:rFonts w:ascii="Times New Roman" w:hAnsi="Times New Roman"/>
          <w:color w:val="000000" w:themeColor="text1"/>
          <w:sz w:val="16"/>
          <w:szCs w:val="16"/>
        </w:rPr>
        <w:softHyphen/>
        <w:t>но улучшить характеристики СУ-1 и при значительно мень</w:t>
      </w:r>
      <w:r w:rsidRPr="0044524F">
        <w:rPr>
          <w:rFonts w:ascii="Times New Roman" w:hAnsi="Times New Roman"/>
          <w:color w:val="000000" w:themeColor="text1"/>
          <w:sz w:val="16"/>
          <w:szCs w:val="16"/>
        </w:rPr>
        <w:softHyphen/>
        <w:t>шей, чем Т-26-4, цене получить мощную САУ, одинаково пригодную для решения всех задач, поставленных перед ар</w:t>
      </w:r>
      <w:r w:rsidRPr="0044524F">
        <w:rPr>
          <w:rFonts w:ascii="Times New Roman" w:hAnsi="Times New Roman"/>
          <w:color w:val="000000" w:themeColor="text1"/>
          <w:sz w:val="16"/>
          <w:szCs w:val="16"/>
        </w:rPr>
        <w:softHyphen/>
        <w:t xml:space="preserve">тиллерией сопровождения пехоты и усиления танковых войск. </w:t>
      </w:r>
      <w:r w:rsidRPr="0044524F">
        <w:rPr>
          <w:rFonts w:ascii="Times New Roman" w:hAnsi="Times New Roman"/>
          <w:color w:val="000000" w:themeColor="text1"/>
          <w:sz w:val="16"/>
          <w:szCs w:val="16"/>
        </w:rPr>
        <w:lastRenderedPageBreak/>
        <w:t>Предполагалось, что новая машина поступит на заме</w:t>
      </w:r>
      <w:r w:rsidRPr="0044524F">
        <w:rPr>
          <w:rFonts w:ascii="Times New Roman" w:hAnsi="Times New Roman"/>
          <w:color w:val="000000" w:themeColor="text1"/>
          <w:sz w:val="16"/>
          <w:szCs w:val="16"/>
        </w:rPr>
        <w:softHyphen/>
        <w:t>ну танку Т-26-4, серийный выпуск которьюго никак не уда</w:t>
      </w:r>
      <w:r w:rsidRPr="0044524F">
        <w:rPr>
          <w:rFonts w:ascii="Times New Roman" w:hAnsi="Times New Roman"/>
          <w:color w:val="000000" w:themeColor="text1"/>
          <w:sz w:val="16"/>
          <w:szCs w:val="16"/>
        </w:rPr>
        <w:softHyphen/>
        <w:t>валось развернуть. Кроме того, АТ-1 выглядел особенно привлекательно для действий в составе пехотных частей.</w:t>
      </w:r>
    </w:p>
    <w:p w14:paraId="3EE5FAC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Специально для вооружения АТ-1 П.Н. Сячинтов спроектировал 76,2-мм полуавтоматическую пушку ПС-3 с прогрессивной нарезкой. Эта артсистема представляла со</w:t>
      </w:r>
      <w:r w:rsidRPr="0044524F">
        <w:rPr>
          <w:rFonts w:ascii="Times New Roman" w:hAnsi="Times New Roman"/>
          <w:color w:val="000000" w:themeColor="text1"/>
          <w:sz w:val="16"/>
          <w:szCs w:val="16"/>
        </w:rPr>
        <w:softHyphen/>
        <w:t>бой специальное танковое орудие с баллистикой, близкой баллистике 76,2-мм полевой пушки обр. 1902 г. при значи</w:t>
      </w:r>
      <w:r w:rsidRPr="0044524F">
        <w:rPr>
          <w:rFonts w:ascii="Times New Roman" w:hAnsi="Times New Roman"/>
          <w:color w:val="000000" w:themeColor="text1"/>
          <w:sz w:val="16"/>
          <w:szCs w:val="16"/>
        </w:rPr>
        <w:softHyphen/>
        <w:t>тельно более коротком стволе. Во всяком случае, она по</w:t>
      </w:r>
      <w:r w:rsidRPr="0044524F">
        <w:rPr>
          <w:rFonts w:ascii="Times New Roman" w:hAnsi="Times New Roman"/>
          <w:color w:val="000000" w:themeColor="text1"/>
          <w:sz w:val="16"/>
          <w:szCs w:val="16"/>
        </w:rPr>
        <w:softHyphen/>
        <w:t>требляла выстрелы от указанного орудия и при длине ство</w:t>
      </w:r>
      <w:r w:rsidRPr="0044524F">
        <w:rPr>
          <w:rFonts w:ascii="Times New Roman" w:hAnsi="Times New Roman"/>
          <w:color w:val="000000" w:themeColor="text1"/>
          <w:sz w:val="16"/>
          <w:szCs w:val="16"/>
        </w:rPr>
        <w:softHyphen/>
        <w:t>ла в 20 калибров могла выпускать 6,5-кг снаряды с началь</w:t>
      </w:r>
      <w:r w:rsidRPr="0044524F">
        <w:rPr>
          <w:rFonts w:ascii="Times New Roman" w:hAnsi="Times New Roman"/>
          <w:color w:val="000000" w:themeColor="text1"/>
          <w:sz w:val="16"/>
          <w:szCs w:val="16"/>
        </w:rPr>
        <w:softHyphen/>
        <w:t>ной скоростью свыше 520 м/с.</w:t>
      </w:r>
    </w:p>
    <w:p w14:paraId="17D35BC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завершении проектных работ и заседания макетной комиссии было принято решение об изготовлении третьего варианта с установкой вооружения в надстройке корпуса машины без вращающейся и полувращающейся башни. Как уже говорилось, артиллерийская часть АТ-1 представ</w:t>
      </w:r>
      <w:r w:rsidRPr="0044524F">
        <w:rPr>
          <w:rFonts w:ascii="Times New Roman" w:hAnsi="Times New Roman"/>
          <w:color w:val="000000" w:themeColor="text1"/>
          <w:sz w:val="16"/>
          <w:szCs w:val="16"/>
        </w:rPr>
        <w:softHyphen/>
        <w:t>ляла собой 76,2-мм полуавтоматическую танковую пушку ПС-3, установленную на тумбе. Установка пушки ПС-3 позволяла вести огонь в пределах горизонтального угла ± 20°, угол наведения ПС-3 по вертикали составлял -5° ... +45°. Кроме пушки в состав вооружения АТ-1 входил обо</w:t>
      </w:r>
      <w:r w:rsidRPr="0044524F">
        <w:rPr>
          <w:rFonts w:ascii="Times New Roman" w:hAnsi="Times New Roman"/>
          <w:color w:val="000000" w:themeColor="text1"/>
          <w:sz w:val="16"/>
          <w:szCs w:val="16"/>
        </w:rPr>
        <w:softHyphen/>
        <w:t>ронительный пулемет в шаровом яблоке лобового листа (позднее вооружение было дополнено еще одним 7,62-мм «запасным» пулеметом ДТ). Боекомплект орудия составлял 30 выстрелов в нижних укладках, 4 выстрела возле орудия и 29 магазинов (1827 патронов) к пулеметам ДТ. Для вхо</w:t>
      </w:r>
      <w:r w:rsidRPr="0044524F">
        <w:rPr>
          <w:rFonts w:ascii="Times New Roman" w:hAnsi="Times New Roman"/>
          <w:color w:val="000000" w:themeColor="text1"/>
          <w:sz w:val="16"/>
          <w:szCs w:val="16"/>
        </w:rPr>
        <w:softHyphen/>
        <w:t>да/выхода экипажа в крыше рубки были предусмотрены два люка. Кроме того, для лучшего обзора местности и ускоре</w:t>
      </w:r>
      <w:r w:rsidRPr="0044524F">
        <w:rPr>
          <w:rFonts w:ascii="Times New Roman" w:hAnsi="Times New Roman"/>
          <w:color w:val="000000" w:themeColor="text1"/>
          <w:sz w:val="16"/>
          <w:szCs w:val="16"/>
        </w:rPr>
        <w:softHyphen/>
        <w:t>ния загрузки боекомплекта и лучшей вентиляции боевого отделения при интенсивной стрельбе с закрытых позиций верхняя часть бортов и кормы рубки могла откидываться на петлях. Двигатель, трансмиссия и ходовая часть САУ пол</w:t>
      </w:r>
      <w:r w:rsidRPr="0044524F">
        <w:rPr>
          <w:rFonts w:ascii="Times New Roman" w:hAnsi="Times New Roman"/>
          <w:color w:val="000000" w:themeColor="text1"/>
          <w:sz w:val="16"/>
          <w:szCs w:val="16"/>
        </w:rPr>
        <w:softHyphen/>
        <w:t>ностью заимствовались от линейного танка Т-26 (11417).</w:t>
      </w:r>
    </w:p>
    <w:p w14:paraId="2274717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83238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в Артиллерийской академии (г. Ленинград) под руководством А.А. Толочкова был разработан проект 152-мм самоходной береговой установки на специальном гусеничном шасси, сделанном из агрегатов и деталей танка Т-28. При переходе из походного положения в боевое корпус опускался на землю, а гусеничная часть поднималась так, что вся установка становилась на специальный поддон с роликовым погоном. На нем установка через муфту Дженни могла плавно вращаться со скоростью 10 град/с. Таким образом, установка имела круговой обстрел. Вертикальное наведение также производилось с помощью муфты Дженни. Установка не имела вспомогательных двигателей, а приводы работали от основного двигателя шасси. Качающаяся часть была взята от пушки Б-10 с небольшими изменениями: перенесены назад цапфы и введен уравновешивающий механизм. Заряжание картузное. Угол заряжания постоянный. Досылка с помощью механического досылателя. Низкая высота линии огня (1500 мм) и наличие брони толщиной от 8 до 20 мм обеспечивали хорошую маскировку и удовлетворительную защиту экипажа от пуль и осколков. Вес системы около 50 т. Двигатель мощностью 400 л.с. обеспечивал движение по грунтовой дороге со скоростью до 20 км/час. Удельное давление гусениц на грунт составляло от 0,8 до 1 кг/см2. Экипаж установки 6 человек. Время перехода их походного положения в боевое или обратно от 2-х до 3-х минут. Габариты установки: длина 10 м, ширина 4 м, высота в походном положении 2,9 м, а в боевом 2,55 м, клиренс 0,28 м. К сожалению этот интересный и вполне осуществимый проект остался на бумаге (3861).</w:t>
      </w:r>
    </w:p>
    <w:p w14:paraId="69A0FA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FA57BF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вернулись к разработке корпусного триплекса, когда бюро самоходной артиллерии завода № 185 предъявило к рассмотрению проект 152,4-мм морти</w:t>
      </w:r>
      <w:r w:rsidRPr="0044524F">
        <w:rPr>
          <w:rFonts w:ascii="Times New Roman" w:hAnsi="Times New Roman"/>
          <w:color w:val="000000" w:themeColor="text1"/>
          <w:sz w:val="16"/>
          <w:szCs w:val="16"/>
        </w:rPr>
        <w:softHyphen/>
        <w:t>ры обр. 1931 г. (НМ) на шасси среднего танка Т-28. При ус</w:t>
      </w:r>
      <w:r w:rsidRPr="0044524F">
        <w:rPr>
          <w:rFonts w:ascii="Times New Roman" w:hAnsi="Times New Roman"/>
          <w:color w:val="000000" w:themeColor="text1"/>
          <w:sz w:val="16"/>
          <w:szCs w:val="16"/>
        </w:rPr>
        <w:softHyphen/>
        <w:t>тановке мортиры с танка должны были быть демонтированы башни и подбашенная коробка, вместо которых предлага</w:t>
      </w:r>
      <w:r w:rsidRPr="0044524F">
        <w:rPr>
          <w:rFonts w:ascii="Times New Roman" w:hAnsi="Times New Roman"/>
          <w:color w:val="000000" w:themeColor="text1"/>
          <w:sz w:val="16"/>
          <w:szCs w:val="16"/>
        </w:rPr>
        <w:softHyphen/>
        <w:t>лось установить шестигранный открытый сверху броне-ящик, в котором на поперечной клепаной балке на штыре</w:t>
      </w:r>
      <w:r w:rsidRPr="0044524F">
        <w:rPr>
          <w:rFonts w:ascii="Times New Roman" w:hAnsi="Times New Roman"/>
          <w:color w:val="000000" w:themeColor="text1"/>
          <w:sz w:val="16"/>
          <w:szCs w:val="16"/>
        </w:rPr>
        <w:softHyphen/>
        <w:t>вом станке крепилась вращающаяся часть 152-мм мортиры за 10-мм щитом. Передний лист бронекоробки содержал две шаровые установки пулеметов БТ, которые можно было бы использовать при самообороне САУ на марше.</w:t>
      </w:r>
    </w:p>
    <w:p w14:paraId="6A90C7B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 как качающаяся часть установки использовалась без каких бы то ни было изменений, то она позволяла вести огонь из мортиры в секторе ± 30° с углами вертикального наведения от 0 до +73°. Боевая масса САУ достигала 18т.</w:t>
      </w:r>
    </w:p>
    <w:p w14:paraId="4F4B427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Предполагалось, что при необходимости качающаяся часть 152-мм мортиры легко будет заменена 122-мм гауби</w:t>
      </w:r>
      <w:r w:rsidRPr="0044524F">
        <w:rPr>
          <w:rFonts w:ascii="Times New Roman" w:hAnsi="Times New Roman"/>
          <w:color w:val="000000" w:themeColor="text1"/>
          <w:sz w:val="16"/>
          <w:szCs w:val="16"/>
        </w:rPr>
        <w:softHyphen/>
        <w:t>цей или же 107-мм пушкой с дульным тормозом.</w:t>
      </w:r>
    </w:p>
    <w:p w14:paraId="154116B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ряду источников началось даже изготовление опыт</w:t>
      </w:r>
      <w:r w:rsidRPr="0044524F">
        <w:rPr>
          <w:rFonts w:ascii="Times New Roman" w:hAnsi="Times New Roman"/>
          <w:color w:val="000000" w:themeColor="text1"/>
          <w:sz w:val="16"/>
          <w:szCs w:val="16"/>
        </w:rPr>
        <w:softHyphen/>
        <w:t>ного образца САУ, но после уточнения ТТТ и подсчета за</w:t>
      </w:r>
      <w:r w:rsidRPr="0044524F">
        <w:rPr>
          <w:rFonts w:ascii="Times New Roman" w:hAnsi="Times New Roman"/>
          <w:color w:val="000000" w:themeColor="text1"/>
          <w:sz w:val="16"/>
          <w:szCs w:val="16"/>
        </w:rPr>
        <w:softHyphen/>
        <w:t>трат предпочтение было отдано в пользу такой же машины, но на шасси танка Т-26 (11417).</w:t>
      </w:r>
    </w:p>
    <w:p w14:paraId="7D1205C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774C1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КБ Т-2О ХПЗ было занято установкой на БТ-5 дизеля БД-2 и двигателя М-17, поэтому комплект чертежей опытного БТ-7 изготовили лишь в марте 1934 (3881,3).</w:t>
      </w:r>
    </w:p>
    <w:p w14:paraId="1531BC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02A8CB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было принято решение о спешной разработке нового колесно-гусеничного плавающего танка «для разведподразделений мотомехвойск» для замены Т-37А. Изначально переброску Т-37А планировалось проводить в кузовах грузовиков, но ни ЗИС, ни ЯАЗ таких грузовиков в СССР в начале 1930-х в се</w:t>
      </w:r>
      <w:r w:rsidRPr="0044524F">
        <w:rPr>
          <w:rFonts w:ascii="Times New Roman" w:hAnsi="Times New Roman"/>
          <w:color w:val="000000" w:themeColor="text1"/>
          <w:sz w:val="16"/>
          <w:szCs w:val="16"/>
        </w:rPr>
        <w:softHyphen/>
        <w:t>рии не освоили. Попытки же осуществлять переброску тан</w:t>
      </w:r>
      <w:r w:rsidRPr="0044524F">
        <w:rPr>
          <w:rFonts w:ascii="Times New Roman" w:hAnsi="Times New Roman"/>
          <w:color w:val="000000" w:themeColor="text1"/>
          <w:sz w:val="16"/>
          <w:szCs w:val="16"/>
        </w:rPr>
        <w:softHyphen/>
        <w:t>ков, входивших в состав мехбригад и мехкорпусов, своим ходом приводили к массовому выходу машин из строя по причине поломок в ходовой части и перегрева двигателя (10733,289).</w:t>
      </w:r>
    </w:p>
    <w:p w14:paraId="6B66466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DA73D59" w14:textId="77777777" w:rsidR="00150B9C" w:rsidRPr="0044524F" w:rsidRDefault="00150B9C" w:rsidP="009654CF">
      <w:pPr>
        <w:pStyle w:val="ae"/>
        <w:shd w:val="clear" w:color="auto" w:fill="FFFFFF"/>
        <w:spacing w:before="0" w:after="0"/>
        <w:jc w:val="both"/>
        <w:rPr>
          <w:color w:val="000000" w:themeColor="text1"/>
          <w:sz w:val="16"/>
          <w:szCs w:val="16"/>
        </w:rPr>
      </w:pPr>
      <w:r w:rsidRPr="0044524F">
        <w:rPr>
          <w:color w:val="000000" w:themeColor="text1"/>
          <w:sz w:val="16"/>
          <w:szCs w:val="16"/>
        </w:rPr>
        <w:t>В конце 1933 года работами по Т-29 руководил Н.А. Астров. Между тем, у Авто-танкового бюро (АТБ) ЭКУ ОГПУ, находившегося в Москве, не имелось достаточных мощностей ни для постройки Т-29, ни для ПТ-1А. С ноября 1933 года к работе по этой теме начинает привлекаться ОКМО. 19 ноября 1933 года опытный завод получил задачу изготовить для вышеперечисленных танков коробки передач, бортовые передачи и другие элементы трансмиссии. Многие детали изготавливались на заводе «Красный Путиловец», позже ставший Кировским заводом. Между ОКМО и АТБ ЭКУ ОГПУ началась плотная переписка</w:t>
      </w:r>
      <w:r w:rsidRPr="0044524F">
        <w:rPr>
          <w:iCs/>
          <w:color w:val="000000" w:themeColor="text1"/>
          <w:sz w:val="16"/>
          <w:szCs w:val="16"/>
        </w:rPr>
        <w:t xml:space="preserve"> (17708).</w:t>
      </w:r>
    </w:p>
    <w:p w14:paraId="23E96310" w14:textId="77777777" w:rsidR="00150B9C" w:rsidRPr="0044524F" w:rsidRDefault="00150B9C" w:rsidP="009654CF">
      <w:pPr>
        <w:spacing w:after="0" w:line="240" w:lineRule="auto"/>
        <w:jc w:val="both"/>
        <w:rPr>
          <w:rFonts w:ascii="Times New Roman" w:eastAsia="Times New Roman" w:hAnsi="Times New Roman"/>
          <w:color w:val="000000" w:themeColor="text1"/>
          <w:sz w:val="16"/>
          <w:szCs w:val="16"/>
          <w:lang w:eastAsia="ru-RU"/>
        </w:rPr>
      </w:pPr>
    </w:p>
    <w:p w14:paraId="4B8A2D96" w14:textId="77777777" w:rsidR="001B11E8" w:rsidRPr="0044524F" w:rsidRDefault="001B11E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конце 1933 г. было принято решение о спешной разработке нового колесно-гусеничного плавающего </w:t>
      </w:r>
      <w:hyperlink r:id="rId426"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 «для разведподразделений мотомехвойск» (15621).</w:t>
      </w:r>
    </w:p>
    <w:p w14:paraId="0F03A5FE" w14:textId="77777777" w:rsidR="001B11E8" w:rsidRPr="0044524F" w:rsidRDefault="001B11E8" w:rsidP="009654CF">
      <w:pPr>
        <w:spacing w:after="0" w:line="240" w:lineRule="auto"/>
        <w:jc w:val="both"/>
        <w:rPr>
          <w:rFonts w:ascii="Times New Roman" w:hAnsi="Times New Roman"/>
          <w:color w:val="000000" w:themeColor="text1"/>
          <w:sz w:val="16"/>
          <w:szCs w:val="16"/>
        </w:rPr>
      </w:pPr>
    </w:p>
    <w:p w14:paraId="1A03B43A" w14:textId="77777777" w:rsidR="001B11E8" w:rsidRPr="0044524F" w:rsidRDefault="001B11E8" w:rsidP="009654CF">
      <w:pPr>
        <w:pStyle w:val="a3"/>
        <w:rPr>
          <w:color w:val="000000" w:themeColor="text1"/>
          <w:lang w:val="ru-RU"/>
        </w:rPr>
      </w:pPr>
      <w:r w:rsidRPr="0044524F">
        <w:rPr>
          <w:color w:val="000000" w:themeColor="text1"/>
          <w:lang w:val="ru-RU"/>
        </w:rPr>
        <w:t>В конце 1933 года «хозяйство» ОКБ ГАУ полностью перебралось на тер</w:t>
      </w:r>
      <w:r w:rsidRPr="0044524F">
        <w:rPr>
          <w:color w:val="000000" w:themeColor="text1"/>
          <w:lang w:val="ru-RU"/>
        </w:rPr>
        <w:softHyphen/>
        <w:t>риторию завода №38. Он располагался вблизи артзавода №8, что, вероятно, и явилось причиной повышенного внимания к нему со стороны Курчевского. Там же, неподале</w:t>
      </w:r>
      <w:r w:rsidRPr="0044524F">
        <w:rPr>
          <w:color w:val="000000" w:themeColor="text1"/>
          <w:lang w:val="ru-RU"/>
        </w:rPr>
        <w:softHyphen/>
        <w:t>ку, оборудовали полигон и аэродром, с которого летали и проводили отдельные испытания (15742).</w:t>
      </w:r>
    </w:p>
    <w:p w14:paraId="1B25DC54" w14:textId="77777777" w:rsidR="001B11E8" w:rsidRPr="0044524F" w:rsidRDefault="001B11E8" w:rsidP="009654CF">
      <w:pPr>
        <w:pStyle w:val="a3"/>
        <w:rPr>
          <w:color w:val="000000" w:themeColor="text1"/>
          <w:lang w:val="ru-RU"/>
        </w:rPr>
      </w:pPr>
    </w:p>
    <w:p w14:paraId="1682526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для сопровождения производства танка Т-28 на заводе “Красный путиловец” было создано специальное конструкторское бюро СКБ-2 во главе с О. Ивановым, до того — ведущим ин</w:t>
      </w:r>
      <w:r w:rsidRPr="0044524F">
        <w:rPr>
          <w:rFonts w:ascii="Times New Roman" w:hAnsi="Times New Roman"/>
          <w:color w:val="000000" w:themeColor="text1"/>
          <w:sz w:val="16"/>
          <w:szCs w:val="16"/>
        </w:rPr>
        <w:softHyphen/>
        <w:t>женером ОКМО. На первых порах новое КБ трудилось под надзором КБ завода Спецмаштреста им. Кирова (бывший ОКМО завода им. Ворошилова). Почти все первые доработ</w:t>
      </w:r>
      <w:r w:rsidRPr="0044524F">
        <w:rPr>
          <w:rFonts w:ascii="Times New Roman" w:hAnsi="Times New Roman"/>
          <w:color w:val="000000" w:themeColor="text1"/>
          <w:sz w:val="16"/>
          <w:szCs w:val="16"/>
        </w:rPr>
        <w:softHyphen/>
        <w:t>ки танка Т-28 делались под общим руководством С. Гинз</w:t>
      </w:r>
      <w:r w:rsidRPr="0044524F">
        <w:rPr>
          <w:rFonts w:ascii="Times New Roman" w:hAnsi="Times New Roman"/>
          <w:color w:val="000000" w:themeColor="text1"/>
          <w:sz w:val="16"/>
          <w:szCs w:val="16"/>
        </w:rPr>
        <w:softHyphen/>
        <w:t>бурга и потому именно он возглавил комиссию по приемке и испытаниям танка Т-28. Практически все изменения в конструкцию танка должны были согласовываться с указан</w:t>
      </w:r>
      <w:r w:rsidRPr="0044524F">
        <w:rPr>
          <w:rFonts w:ascii="Times New Roman" w:hAnsi="Times New Roman"/>
          <w:color w:val="000000" w:themeColor="text1"/>
          <w:sz w:val="16"/>
          <w:szCs w:val="16"/>
        </w:rPr>
        <w:softHyphen/>
        <w:t>ной комиссией и представителем заказчика. Лишь в 1934 г. перестройка цеха МХ-2 была в основном закончена. Ижорский завод освоил выпуск бронекорпусов и башен танка, Рыбинский моторный завод № 26 начал по</w:t>
      </w:r>
      <w:r w:rsidRPr="0044524F">
        <w:rPr>
          <w:rFonts w:ascii="Times New Roman" w:hAnsi="Times New Roman"/>
          <w:color w:val="000000" w:themeColor="text1"/>
          <w:sz w:val="16"/>
          <w:szCs w:val="16"/>
        </w:rPr>
        <w:softHyphen/>
        <w:t>ставку серийных двигателей М-17, завод «Красный Ок</w:t>
      </w:r>
      <w:r w:rsidRPr="0044524F">
        <w:rPr>
          <w:rFonts w:ascii="Times New Roman" w:hAnsi="Times New Roman"/>
          <w:color w:val="000000" w:themeColor="text1"/>
          <w:sz w:val="16"/>
          <w:szCs w:val="16"/>
        </w:rPr>
        <w:softHyphen/>
        <w:t>тябрь» освоил выпуск КПП. Планом было предусмотрено изготовление в текущем году 50 танков Т-28, что при пла</w:t>
      </w:r>
      <w:r w:rsidRPr="0044524F">
        <w:rPr>
          <w:rFonts w:ascii="Times New Roman" w:hAnsi="Times New Roman"/>
          <w:color w:val="000000" w:themeColor="text1"/>
          <w:sz w:val="16"/>
          <w:szCs w:val="16"/>
        </w:rPr>
        <w:softHyphen/>
        <w:t>нируемой мощности цеха в 150 танков в год считалось вполне нормальным. Но этот план был выполнен с трудом. Опять сказалась нехватка подготовленных кадров. Из войск на новый танк неоднократно в течение 1933—34 гг. поступали рекламации. Танк был сложен и не</w:t>
      </w:r>
      <w:r w:rsidRPr="0044524F">
        <w:rPr>
          <w:rFonts w:ascii="Times New Roman" w:hAnsi="Times New Roman"/>
          <w:color w:val="000000" w:themeColor="text1"/>
          <w:sz w:val="16"/>
          <w:szCs w:val="16"/>
        </w:rPr>
        <w:softHyphen/>
        <w:t>надежен. Часто заводская бригада выезжала в войска для устранения выявленных неисправностей прямо там, «на месте». Все это привело к тому, что план выпуска Т-28 на 1935 г. был снижен до 30, «но чтобы все были должного ка</w:t>
      </w:r>
      <w:r w:rsidRPr="0044524F">
        <w:rPr>
          <w:rFonts w:ascii="Times New Roman" w:hAnsi="Times New Roman"/>
          <w:color w:val="000000" w:themeColor="text1"/>
          <w:sz w:val="16"/>
          <w:szCs w:val="16"/>
        </w:rPr>
        <w:softHyphen/>
        <w:t>чества» (10733,243).</w:t>
      </w:r>
    </w:p>
    <w:p w14:paraId="209F91E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AE3BDE" w14:textId="3756B2F6"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на заводе «Красный Путиловец» (Санкт-Петербургский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Ленинград;</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Челябинск/ /198097</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Ленинград,</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Санкт-Петербург пр. Стачек, д. 47 тел. 183-80-01/) для сопровождения серийного производства танка Т-28 было создано СКБ-2. На его базе был создан скоростной танк «Сталин» (Т-28А). В начале 1938 г. на базе Т-28 разработан проект Т-112, в начале 1939 г. построен опытный экземпляр.</w:t>
      </w:r>
    </w:p>
    <w:p w14:paraId="4B3B76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 КО № 198сс от 7.08.1938 г. предписывалось изготовить опытный СМК («Сергей Миронович Киров») к 1.05.1939 г.</w:t>
      </w:r>
    </w:p>
    <w:p w14:paraId="433A6D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10.1938 г. в СКБ-2 выпускниками ВАММ начата работа по дипломному проекту однобашенного тяжелого танка, далее получившего название </w:t>
      </w:r>
      <w:r w:rsidRPr="0044524F">
        <w:rPr>
          <w:rFonts w:ascii="Times New Roman" w:hAnsi="Times New Roman"/>
          <w:color w:val="000000" w:themeColor="text1"/>
          <w:sz w:val="16"/>
          <w:szCs w:val="16"/>
          <w:lang w:val="en-US"/>
        </w:rPr>
        <w:t>KB</w:t>
      </w:r>
      <w:r w:rsidRPr="0044524F">
        <w:rPr>
          <w:rFonts w:ascii="Times New Roman" w:hAnsi="Times New Roman"/>
          <w:color w:val="000000" w:themeColor="text1"/>
          <w:sz w:val="16"/>
          <w:szCs w:val="16"/>
        </w:rPr>
        <w:t xml:space="preserve"> («Клим Ворошилов»). 31.08.1939 г. построен опытный экземпляр КВ. Пост. КО № 443сс от 19.12.1939 г. </w:t>
      </w:r>
      <w:r w:rsidRPr="0044524F">
        <w:rPr>
          <w:rFonts w:ascii="Times New Roman" w:hAnsi="Times New Roman"/>
          <w:color w:val="000000" w:themeColor="text1"/>
          <w:sz w:val="16"/>
          <w:szCs w:val="16"/>
          <w:lang w:val="en-US"/>
        </w:rPr>
        <w:t>KB</w:t>
      </w:r>
      <w:r w:rsidRPr="0044524F">
        <w:rPr>
          <w:rFonts w:ascii="Times New Roman" w:hAnsi="Times New Roman"/>
          <w:color w:val="000000" w:themeColor="text1"/>
          <w:sz w:val="16"/>
          <w:szCs w:val="16"/>
        </w:rPr>
        <w:t xml:space="preserve"> пнв и запущен в серию на Кировском заводе (в 1941 г. переименован в КВ- 2). В 1939 г. выполнена установка на танк 152-мм гаубицы М-10 в увеличенной башне (установка МТ-1) (Н. Курин). Пост. СНК от 6.04.1941 г. СКБ задана постройка опытного КВ-2 со сроком 45 дней. Весной 1941 г. разработан проект модернизированного </w:t>
      </w:r>
      <w:r w:rsidRPr="0044524F">
        <w:rPr>
          <w:rFonts w:ascii="Times New Roman" w:hAnsi="Times New Roman"/>
          <w:color w:val="000000" w:themeColor="text1"/>
          <w:sz w:val="16"/>
          <w:szCs w:val="16"/>
          <w:lang w:val="en-US"/>
        </w:rPr>
        <w:t>KB</w:t>
      </w:r>
      <w:r w:rsidRPr="0044524F">
        <w:rPr>
          <w:rFonts w:ascii="Times New Roman" w:hAnsi="Times New Roman"/>
          <w:color w:val="000000" w:themeColor="text1"/>
          <w:sz w:val="16"/>
          <w:szCs w:val="16"/>
        </w:rPr>
        <w:t xml:space="preserve"> - «объект 222», в 05.1941 г. работы прекращены в пользу нового КВ-3.</w:t>
      </w:r>
    </w:p>
    <w:p w14:paraId="339786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03.1940 г. разработан проект легкого танка «объект 211». С 1.10.1940 г. велись работы по улучшенному варианту Т-126 - танку Т-50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Троянов), в начале 1941 г. изготовлен опытный образец.</w:t>
      </w:r>
    </w:p>
    <w:p w14:paraId="571728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1940 г. разработаны и построены опытные тяжелые Т-150 и Т-220. В соответствии с пост. СНК № 548-232сс от 15.03.1941 г. Т-150 (КВ-3) запущен в серию на Кировском заводе. Приказом НКТМ № 231с от 04.1941 г. изменены требования к КВ-3 (броня 115-120 мм, 107-мм пушка ЗиС-6), этим же приказом предписано разработать проект КВ-4 с броней 120-130 мм к 15.06.1941 г. и КВ-5 с броней 150-170 мм к 10.11.1941 г. В 04- 05.1941 г. разработано более 15 эскизных проектов КВ-4, в 06.1941 г. работы прекращены в пользу КВ-5. В 08.1941 г. проект КВ-5 завершен, но из-за тяжелой обстановки на фронте опытный образец не строился, силы КБ </w:t>
      </w:r>
      <w:r w:rsidRPr="0044524F">
        <w:rPr>
          <w:rFonts w:ascii="Times New Roman" w:hAnsi="Times New Roman"/>
          <w:color w:val="000000" w:themeColor="text1"/>
          <w:sz w:val="16"/>
          <w:szCs w:val="16"/>
        </w:rPr>
        <w:lastRenderedPageBreak/>
        <w:t xml:space="preserve">сконцентрированы на улучшении конструкции </w:t>
      </w:r>
      <w:r w:rsidRPr="0044524F">
        <w:rPr>
          <w:rFonts w:ascii="Times New Roman" w:hAnsi="Times New Roman"/>
          <w:color w:val="000000" w:themeColor="text1"/>
          <w:sz w:val="16"/>
          <w:szCs w:val="16"/>
          <w:lang w:val="en-US"/>
        </w:rPr>
        <w:t>KB</w:t>
      </w:r>
      <w:r w:rsidRPr="0044524F">
        <w:rPr>
          <w:rFonts w:ascii="Times New Roman" w:hAnsi="Times New Roman"/>
          <w:color w:val="000000" w:themeColor="text1"/>
          <w:sz w:val="16"/>
          <w:szCs w:val="16"/>
        </w:rPr>
        <w:t>-1.</w:t>
      </w:r>
      <w:r w:rsidRPr="0044524F">
        <w:rPr>
          <w:rFonts w:ascii="Times New Roman" w:hAnsi="Times New Roman"/>
          <w:color w:val="000000" w:themeColor="text1"/>
          <w:sz w:val="16"/>
          <w:szCs w:val="16"/>
          <w:vertAlign w:val="superscript"/>
        </w:rPr>
        <w:t>128</w:t>
      </w:r>
      <w:r w:rsidRPr="0044524F">
        <w:rPr>
          <w:rFonts w:ascii="Times New Roman" w:hAnsi="Times New Roman"/>
          <w:color w:val="000000" w:themeColor="text1"/>
          <w:sz w:val="16"/>
          <w:szCs w:val="16"/>
        </w:rPr>
        <w:t xml:space="preserve"> Осенью 1941 г. были построены два опытных КВ-7, пост. ГКО №1110 от 6.01.1942 г. танк был снят с испытаний с рекомендацией вооружить его спаренной установкой 76- мм пушек. Такой вариант был испытан в 05.1942 г. В 02.1942 г. был испытан опытный КВ-9 со 122-мм пушкой У- 11. В 05.1942 г. был спроектирован КВ-13 («объект 233»). Работы по нему переданы на вновь организованный опытный завод № 100.</w:t>
      </w:r>
    </w:p>
    <w:p w14:paraId="2E7CFF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ГКО № 1878сс от 5.06.1942 г. был разработан КВ-1С («скоростной»), 20.08.1942 г. он пнв.</w:t>
      </w:r>
    </w:p>
    <w:p w14:paraId="0C533E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08.1941 г. в СКБ-2 влит личный состав расформированного СКБ-1, работавшего над ТРД РД-1. Создана методика расчета танковых воздуховодов.</w:t>
      </w:r>
    </w:p>
    <w:p w14:paraId="709339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1941 г. СКБ эвакуировано (личный состав на самолетах) в Челябинск на ЧТЗ.</w:t>
      </w:r>
    </w:p>
    <w:p w14:paraId="5B204F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СКБ разработаны проекты установки на </w:t>
      </w:r>
      <w:r w:rsidRPr="0044524F">
        <w:rPr>
          <w:rFonts w:ascii="Times New Roman" w:hAnsi="Times New Roman"/>
          <w:color w:val="000000" w:themeColor="text1"/>
          <w:sz w:val="16"/>
          <w:szCs w:val="16"/>
          <w:lang w:val="en-US"/>
        </w:rPr>
        <w:t>KB</w:t>
      </w:r>
      <w:r w:rsidRPr="0044524F">
        <w:rPr>
          <w:rFonts w:ascii="Times New Roman" w:hAnsi="Times New Roman"/>
          <w:color w:val="000000" w:themeColor="text1"/>
          <w:sz w:val="16"/>
          <w:szCs w:val="16"/>
        </w:rPr>
        <w:t xml:space="preserve"> спарки дизелей Гиберсон Т-1070 или </w:t>
      </w:r>
      <w:r w:rsidRPr="0044524F">
        <w:rPr>
          <w:rFonts w:ascii="Times New Roman" w:hAnsi="Times New Roman"/>
          <w:color w:val="000000" w:themeColor="text1"/>
          <w:sz w:val="16"/>
          <w:szCs w:val="16"/>
          <w:lang w:val="en-US"/>
        </w:rPr>
        <w:t>GMC</w:t>
      </w:r>
      <w:r w:rsidRPr="0044524F">
        <w:rPr>
          <w:rFonts w:ascii="Times New Roman" w:hAnsi="Times New Roman"/>
          <w:color w:val="000000" w:themeColor="text1"/>
          <w:sz w:val="16"/>
          <w:szCs w:val="16"/>
        </w:rPr>
        <w:t xml:space="preserve"> 6046, реализованы не были. В 1946 г. на базе авиационного дизеля АЧ-30 создан (совместно с заводом № 500) ТД-30 для ИС-7.</w:t>
      </w:r>
    </w:p>
    <w:p w14:paraId="0190BE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1947 г. - работы по совершенствованию конструкции ИС-7.</w:t>
      </w:r>
    </w:p>
    <w:p w14:paraId="28E1A0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(1933-37 г.) - О.М. Иванов (арестован), (05.1937-40 г.-)- Ж.Я. Котин.</w:t>
      </w:r>
    </w:p>
    <w:p w14:paraId="72CEE4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(-1937-60-е)- Ж.Я. Котин. Ген. конструктор (1970-е)- Н.С. Попов.</w:t>
      </w:r>
      <w:r w:rsidRPr="0044524F">
        <w:rPr>
          <w:rFonts w:ascii="Times New Roman" w:hAnsi="Times New Roman"/>
          <w:color w:val="000000" w:themeColor="text1"/>
          <w:sz w:val="16"/>
          <w:szCs w:val="16"/>
          <w:vertAlign w:val="superscript"/>
        </w:rPr>
        <w:t>57</w:t>
      </w:r>
    </w:p>
    <w:p w14:paraId="0615F3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конструкторы: (1939 г.-)- Н. Духов (</w:t>
      </w:r>
      <w:r w:rsidRPr="0044524F">
        <w:rPr>
          <w:rFonts w:ascii="Times New Roman" w:hAnsi="Times New Roman"/>
          <w:color w:val="000000" w:themeColor="text1"/>
          <w:sz w:val="16"/>
          <w:szCs w:val="16"/>
          <w:lang w:val="en-US"/>
        </w:rPr>
        <w:t>KB</w:t>
      </w:r>
      <w:r w:rsidRPr="0044524F">
        <w:rPr>
          <w:rFonts w:ascii="Times New Roman" w:hAnsi="Times New Roman"/>
          <w:color w:val="000000" w:themeColor="text1"/>
          <w:sz w:val="16"/>
          <w:szCs w:val="16"/>
        </w:rPr>
        <w:t>).</w:t>
      </w:r>
    </w:p>
    <w:p w14:paraId="131FCC43" w14:textId="1FF7FDDC"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Руководители конструкторских групп: (1941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Москвин (КВ-7), (1941 г.)- Н. Курин (КВ-9), (1942 г.)- С. Махонин (КВ-13), (1947 г.)- Л.З. Шенкер.</w:t>
      </w:r>
    </w:p>
    <w:p w14:paraId="45EBEC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Ведущие инженеры: (1936 г.)- А. Ефимов (Т-28А), (-1938-40 г.-)- А. Ермолаев (СМК, «211»). Старший инженер (06.1941 г.)- Н. Цейц (КВ-5). Ведущие конструкторы: (1941 г.)- Н. Сидоренко (У-И), (1941 г.)- В. Усенко (У-11).</w:t>
      </w:r>
    </w:p>
    <w:p w14:paraId="06ECF7A0" w14:textId="36208CE1"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Создано: танки: Т-28, Т-28А «Сталин», Т-112 (1939); тяжелые: СМК (1938), </w:t>
      </w:r>
      <w:r w:rsidRPr="0044524F">
        <w:rPr>
          <w:rFonts w:ascii="Times New Roman" w:hAnsi="Times New Roman"/>
          <w:color w:val="000000" w:themeColor="text1"/>
          <w:sz w:val="16"/>
          <w:szCs w:val="16"/>
          <w:lang w:val="en-US"/>
        </w:rPr>
        <w:t>KB</w:t>
      </w:r>
      <w:r w:rsidRPr="0044524F">
        <w:rPr>
          <w:rFonts w:ascii="Times New Roman" w:hAnsi="Times New Roman"/>
          <w:color w:val="000000" w:themeColor="text1"/>
          <w:sz w:val="16"/>
          <w:szCs w:val="16"/>
        </w:rPr>
        <w:t xml:space="preserve"> (пнв 19.12.1939 г.), КВ-2, КВ- 3, КВ-4, КВ-5, КВ-7, КВ-8, КВ-9, КВ-13 (1942), </w:t>
      </w:r>
      <w:r w:rsidRPr="0044524F">
        <w:rPr>
          <w:rFonts w:ascii="Times New Roman" w:hAnsi="Times New Roman"/>
          <w:color w:val="000000" w:themeColor="text1"/>
          <w:sz w:val="16"/>
          <w:szCs w:val="16"/>
          <w:lang w:val="en-US"/>
        </w:rPr>
        <w:t>KB</w:t>
      </w:r>
      <w:r w:rsidRPr="0044524F">
        <w:rPr>
          <w:rFonts w:ascii="Times New Roman" w:hAnsi="Times New Roman"/>
          <w:color w:val="000000" w:themeColor="text1"/>
          <w:sz w:val="16"/>
          <w:szCs w:val="16"/>
        </w:rPr>
        <w:t>-1С (пнв 20.08.1942 г.), «К» («объект 701», 1944); Т-80 (пнв 6.07.1976 г.); самоходное гусеничное шасси: 2П19 для БРТ Р-17; «объект 825Сп2» на шасси Т-10 и «объект 825СпЗ» на шасси Т-80 для «Темп-2С» (1960-е), для ЗРК С-300В (1970-е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самоходные ПУ: 2П4 «Тюльпан» («объект 804») на базе ИСУ-152К для ОТРК «Филин» (1950-е), для БР РТ-20П (1960-е) (11982).</w:t>
      </w:r>
    </w:p>
    <w:p w14:paraId="4BE459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23AA86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по требованиям штаба РККА и УММ РККА было принято решение усилить боевые возможности танков прорыва, в частности сделать их способными к про</w:t>
      </w:r>
      <w:r w:rsidRPr="0044524F">
        <w:rPr>
          <w:rFonts w:ascii="Times New Roman" w:hAnsi="Times New Roman"/>
          <w:color w:val="000000" w:themeColor="text1"/>
          <w:sz w:val="16"/>
          <w:szCs w:val="16"/>
        </w:rPr>
        <w:softHyphen/>
        <w:t>рыву заранее подготовленных укрепленных полос обороны. Но для этого мощности 76-мм полкового, да и дивизионно</w:t>
      </w:r>
      <w:r w:rsidRPr="0044524F">
        <w:rPr>
          <w:rFonts w:ascii="Times New Roman" w:hAnsi="Times New Roman"/>
          <w:color w:val="000000" w:themeColor="text1"/>
          <w:sz w:val="16"/>
          <w:szCs w:val="16"/>
        </w:rPr>
        <w:softHyphen/>
        <w:t>го орудия уже было, конечно, недостаточно, и потому необ</w:t>
      </w:r>
      <w:r w:rsidRPr="0044524F">
        <w:rPr>
          <w:rFonts w:ascii="Times New Roman" w:hAnsi="Times New Roman"/>
          <w:color w:val="000000" w:themeColor="text1"/>
          <w:sz w:val="16"/>
          <w:szCs w:val="16"/>
        </w:rPr>
        <w:softHyphen/>
        <w:t>ходимо было усилить его до уровня корпусной артиллерии. Таким образом, уже на этапе получения ТЗ основное воору</w:t>
      </w:r>
      <w:r w:rsidRPr="0044524F">
        <w:rPr>
          <w:rFonts w:ascii="Times New Roman" w:hAnsi="Times New Roman"/>
          <w:color w:val="000000" w:themeColor="text1"/>
          <w:sz w:val="16"/>
          <w:szCs w:val="16"/>
        </w:rPr>
        <w:softHyphen/>
        <w:t>жение тяжелого танка определялось, как «пушка калибра 107-мм или тяжелая гаубица калибра 152-мм». Кроме того, в выдвинутых «рекомендациях» звучала желательность одно</w:t>
      </w:r>
      <w:r w:rsidRPr="0044524F">
        <w:rPr>
          <w:rFonts w:ascii="Times New Roman" w:hAnsi="Times New Roman"/>
          <w:color w:val="000000" w:themeColor="text1"/>
          <w:sz w:val="16"/>
          <w:szCs w:val="16"/>
        </w:rPr>
        <w:softHyphen/>
        <w:t>временного обстрела двух целей, что автоматически преду</w:t>
      </w:r>
      <w:r w:rsidRPr="0044524F">
        <w:rPr>
          <w:rFonts w:ascii="Times New Roman" w:hAnsi="Times New Roman"/>
          <w:color w:val="000000" w:themeColor="text1"/>
          <w:sz w:val="16"/>
          <w:szCs w:val="16"/>
        </w:rPr>
        <w:softHyphen/>
        <w:t>сматривало наличие в танке не менее двух тяжелых орудий, повышало требования к его артиллерийскому вооружению до уровня корпусной батареи. Прикидки показывали, что разместить такое мощное вооружение вкупе с броней толщиной 40—60 мм, надежно защищающей от снарядов дивизионных пушек, на боевой машине массой до 75 т (как то предполагалось ранее) не</w:t>
      </w:r>
      <w:r w:rsidRPr="0044524F">
        <w:rPr>
          <w:rFonts w:ascii="Times New Roman" w:hAnsi="Times New Roman"/>
          <w:color w:val="000000" w:themeColor="text1"/>
          <w:sz w:val="16"/>
          <w:szCs w:val="16"/>
        </w:rPr>
        <w:softHyphen/>
        <w:t>возможно. Поэтому тяжелый танк нового типа с самого на</w:t>
      </w:r>
      <w:r w:rsidRPr="0044524F">
        <w:rPr>
          <w:rFonts w:ascii="Times New Roman" w:hAnsi="Times New Roman"/>
          <w:color w:val="000000" w:themeColor="text1"/>
          <w:sz w:val="16"/>
          <w:szCs w:val="16"/>
        </w:rPr>
        <w:softHyphen/>
        <w:t>чала был обречен на достижение рекордного веса в 90 т. Для того чтобы придать ему требуемую подвижность, мощность двигателя должна была составлять не менее 900 л.с. Поэтому танк проектировался под двигатель М-34, форсированный до 970 л.с., или же «Испано-Сюиза 18» мощностью 1150 л.с., переговоры о покупке которого ве</w:t>
      </w:r>
      <w:r w:rsidRPr="0044524F">
        <w:rPr>
          <w:rFonts w:ascii="Times New Roman" w:hAnsi="Times New Roman"/>
          <w:color w:val="000000" w:themeColor="text1"/>
          <w:sz w:val="16"/>
          <w:szCs w:val="16"/>
        </w:rPr>
        <w:softHyphen/>
        <w:t>лись для нужд ВВС. Проектирование танка начато Н. Барыковым в ОКМО на основании материалов, полученных при переговорах с итальянскими танкостроителями фирмы «Ансальдо», про</w:t>
      </w:r>
      <w:r w:rsidRPr="0044524F">
        <w:rPr>
          <w:rFonts w:ascii="Times New Roman" w:hAnsi="Times New Roman"/>
          <w:color w:val="000000" w:themeColor="text1"/>
          <w:sz w:val="16"/>
          <w:szCs w:val="16"/>
        </w:rPr>
        <w:softHyphen/>
        <w:t>работок ЭКУ ОГПУ, а также эскизных проектов танков Т-42 и ТП-1. Ведущим инженером по вооружению танка был назначен П. Сячинтов. Всего было разработано шесть основных вариантов танка, получившего индекс Т-39 (10733,276).</w:t>
      </w:r>
    </w:p>
    <w:p w14:paraId="6F5AC06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0794BCA4" w14:textId="77777777" w:rsidR="001E60C4" w:rsidRPr="0044524F" w:rsidRDefault="001E60C4" w:rsidP="009654CF">
      <w:pPr>
        <w:pStyle w:val="ae"/>
        <w:spacing w:before="0" w:after="0"/>
        <w:jc w:val="both"/>
        <w:textAlignment w:val="baseline"/>
        <w:rPr>
          <w:color w:val="000000" w:themeColor="text1"/>
          <w:sz w:val="16"/>
          <w:szCs w:val="16"/>
        </w:rPr>
      </w:pPr>
      <w:r w:rsidRPr="0044524F">
        <w:rPr>
          <w:color w:val="000000" w:themeColor="text1"/>
          <w:sz w:val="16"/>
          <w:szCs w:val="16"/>
        </w:rPr>
        <w:t>В конце 1933 года проектная документация на СУ-5 была готова. Общим руководством разработкой СУ-5 занимались начальник ОКМО Н.В. Барыков и главный конструктор </w:t>
      </w:r>
      <w:hyperlink r:id="rId427" w:history="1">
        <w:r w:rsidRPr="0044524F">
          <w:rPr>
            <w:rStyle w:val="a5"/>
            <w:bCs/>
            <w:iCs/>
            <w:color w:val="000000" w:themeColor="text1"/>
            <w:sz w:val="16"/>
            <w:szCs w:val="16"/>
            <w:u w:val="none"/>
            <w:bdr w:val="none" w:sz="0" w:space="0" w:color="auto" w:frame="1"/>
          </w:rPr>
          <w:t>С.А. Гинзбург</w:t>
        </w:r>
      </w:hyperlink>
      <w:r w:rsidRPr="0044524F">
        <w:rPr>
          <w:color w:val="000000" w:themeColor="text1"/>
          <w:sz w:val="16"/>
          <w:szCs w:val="16"/>
        </w:rPr>
        <w:t>. Руководителем проекта, как и в случае с другими САУ ОКМО, являлся Н.П. Сячинтов. Ведущим инженером машины стал Г.Н. Москвин, для него это была первая крупная работа. Сама по себе идея СУ-5 являлась развитием концепции подвижной дивизионной артиллерии. Как раз в конце 20-начале 30-х годов была проведена модернизация основных орудий дивизионной артиллерии, занималось ею КБ Пермского артиллерийского завода под руководством В.Н. Сидоренко. Целью модернизации было увеличение дальности стрельбы и улучшение прицельных приспособлений. На свет появились 76-мм дивизионная пушка образца 1902/30 годов и 122-мм гаубица образца 1910/30 годов. Это стало первым этапом модернизации артиллерии Красной армии. Наконец, в начале 30-х годов появилось третье орудие — 152-мм немецкая мортира образца 1931 года, она же НМ. Фактически это была «локализация» немецкого 149-мм пехотного орудия, которое позже было принято на вооружение немецкой армии как 15 cm sIG 33. Предполагалось, что НМ станет третьим типом дивизионных орудий Красной армии (19721).</w:t>
      </w:r>
    </w:p>
    <w:p w14:paraId="7015851D" w14:textId="77777777" w:rsidR="001E60C4" w:rsidRPr="0044524F" w:rsidRDefault="001E60C4" w:rsidP="009654CF">
      <w:pPr>
        <w:pStyle w:val="ae"/>
        <w:spacing w:before="0" w:after="0"/>
        <w:jc w:val="both"/>
        <w:textAlignment w:val="baseline"/>
        <w:rPr>
          <w:color w:val="000000" w:themeColor="text1"/>
          <w:sz w:val="16"/>
          <w:szCs w:val="16"/>
        </w:rPr>
      </w:pPr>
    </w:p>
    <w:p w14:paraId="40D6D7BE" w14:textId="77777777" w:rsidR="004B5021" w:rsidRPr="00142305" w:rsidRDefault="004B5021" w:rsidP="004B502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года из числа конструкторов паровозного отдела и отдела общего машиностроения (всего 27 человек) Красного Путиловца организуется специальное танковое конструкторское бюро – СКБ-2. Его возглавил 39-летний Олимпий Митрофанович Иванов, который в КБ О КМ О был ведущим инженером при разработке танка Т-28. Сначала СКБ-2 подчинялось непосредственно начальнику цеха MX-2 и лишь с 1935 года перешло в подчинение непосредственно главному инженеру завода (24998).</w:t>
      </w:r>
    </w:p>
    <w:p w14:paraId="0D1F61E1" w14:textId="77777777" w:rsidR="004B5021" w:rsidRPr="00142305" w:rsidRDefault="004B5021" w:rsidP="004B5021">
      <w:pPr>
        <w:spacing w:after="0" w:line="240" w:lineRule="auto"/>
        <w:jc w:val="both"/>
        <w:rPr>
          <w:rFonts w:ascii="Times New Roman" w:hAnsi="Times New Roman"/>
          <w:color w:val="0070C0"/>
          <w:sz w:val="16"/>
          <w:szCs w:val="16"/>
        </w:rPr>
      </w:pPr>
    </w:p>
    <w:p w14:paraId="07FA9DA7" w14:textId="77777777" w:rsidR="004B5021" w:rsidRPr="00142305" w:rsidRDefault="004B5021" w:rsidP="004B502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года из числа конструкторов паровозного отдела и отдела общего маши</w:t>
      </w:r>
      <w:r w:rsidRPr="00142305">
        <w:rPr>
          <w:rFonts w:ascii="Times New Roman" w:hAnsi="Times New Roman"/>
          <w:color w:val="0070C0"/>
          <w:sz w:val="16"/>
          <w:szCs w:val="16"/>
        </w:rPr>
        <w:softHyphen/>
        <w:t>ностроения (всего 27 человек) «Красного Путиловца» организуется специальное танковое конструкторское бю</w:t>
      </w:r>
      <w:r w:rsidRPr="00142305">
        <w:rPr>
          <w:rFonts w:ascii="Times New Roman" w:hAnsi="Times New Roman"/>
          <w:color w:val="0070C0"/>
          <w:sz w:val="16"/>
          <w:szCs w:val="16"/>
        </w:rPr>
        <w:softHyphen/>
        <w:t>ро - СКБ-2. Его возглавил 39-летний Олим</w:t>
      </w:r>
      <w:r w:rsidRPr="00142305">
        <w:rPr>
          <w:rFonts w:ascii="Times New Roman" w:hAnsi="Times New Roman"/>
          <w:color w:val="0070C0"/>
          <w:sz w:val="16"/>
          <w:szCs w:val="16"/>
        </w:rPr>
        <w:softHyphen/>
        <w:t>пий Митрофанович Иванов, который в КБ ОКМО был ведущим инженером при разра</w:t>
      </w:r>
      <w:r w:rsidRPr="00142305">
        <w:rPr>
          <w:rFonts w:ascii="Times New Roman" w:hAnsi="Times New Roman"/>
          <w:color w:val="0070C0"/>
          <w:sz w:val="16"/>
          <w:szCs w:val="16"/>
        </w:rPr>
        <w:softHyphen/>
        <w:t>ботке танка Т-28. Сначала СКБ-2 подчиня</w:t>
      </w:r>
      <w:r w:rsidRPr="00142305">
        <w:rPr>
          <w:rFonts w:ascii="Times New Roman" w:hAnsi="Times New Roman"/>
          <w:color w:val="0070C0"/>
          <w:sz w:val="16"/>
          <w:szCs w:val="16"/>
        </w:rPr>
        <w:softHyphen/>
        <w:t>лось непосредственно начальнику цеха МХ-2, и лишь с 1935 года перешло в подчи</w:t>
      </w:r>
      <w:r w:rsidRPr="00142305">
        <w:rPr>
          <w:rFonts w:ascii="Times New Roman" w:hAnsi="Times New Roman"/>
          <w:color w:val="0070C0"/>
          <w:sz w:val="16"/>
          <w:szCs w:val="16"/>
        </w:rPr>
        <w:softHyphen/>
        <w:t>нение непосредственно главному инженеру завода.</w:t>
      </w:r>
    </w:p>
    <w:p w14:paraId="347EC9E3" w14:textId="77777777" w:rsidR="004B5021" w:rsidRPr="00142305" w:rsidRDefault="004B5021" w:rsidP="004B502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специалистов танкостроителей на заводе по-прежнему не хватало, и дирекция обратилась к наркому тяжелого машиностро</w:t>
      </w:r>
      <w:r w:rsidRPr="00142305">
        <w:rPr>
          <w:rFonts w:ascii="Times New Roman" w:hAnsi="Times New Roman"/>
          <w:color w:val="0070C0"/>
          <w:sz w:val="16"/>
          <w:szCs w:val="16"/>
        </w:rPr>
        <w:softHyphen/>
        <w:t>ения С. Орджоникидзе с просьбой выделить специально подготовленных людей. Просьба была удовлетворена и осенью 1934 года к СКБ-2 прибыла группа выпускников Воен</w:t>
      </w:r>
      <w:r w:rsidRPr="00142305">
        <w:rPr>
          <w:rFonts w:ascii="Times New Roman" w:hAnsi="Times New Roman"/>
          <w:color w:val="0070C0"/>
          <w:sz w:val="16"/>
          <w:szCs w:val="16"/>
        </w:rPr>
        <w:softHyphen/>
        <w:t>ной академии механизации и моторизации РККА им. Сталина и Ленинградского Поли</w:t>
      </w:r>
      <w:r w:rsidRPr="00142305">
        <w:rPr>
          <w:rFonts w:ascii="Times New Roman" w:hAnsi="Times New Roman"/>
          <w:color w:val="0070C0"/>
          <w:sz w:val="16"/>
          <w:szCs w:val="16"/>
        </w:rPr>
        <w:softHyphen/>
        <w:t>технического института, всего 14 человек. Некоторые из них - А. Ермолаев. Л. Сычев, Н. Халкиопов - впоследствии стали извест</w:t>
      </w:r>
      <w:r w:rsidRPr="00142305">
        <w:rPr>
          <w:rFonts w:ascii="Times New Roman" w:hAnsi="Times New Roman"/>
          <w:color w:val="0070C0"/>
          <w:sz w:val="16"/>
          <w:szCs w:val="16"/>
        </w:rPr>
        <w:softHyphen/>
        <w:t>ными конструкторами (25016).</w:t>
      </w:r>
    </w:p>
    <w:p w14:paraId="7F13E878" w14:textId="77777777" w:rsidR="004B5021" w:rsidRPr="00142305" w:rsidRDefault="004B5021" w:rsidP="004B5021">
      <w:pPr>
        <w:spacing w:after="0" w:line="240" w:lineRule="auto"/>
        <w:jc w:val="both"/>
        <w:rPr>
          <w:rFonts w:ascii="Times New Roman" w:hAnsi="Times New Roman"/>
          <w:color w:val="0070C0"/>
          <w:sz w:val="16"/>
          <w:szCs w:val="16"/>
        </w:rPr>
      </w:pPr>
    </w:p>
    <w:p w14:paraId="39CA5016" w14:textId="77777777" w:rsidR="004B5021" w:rsidRPr="00142305" w:rsidRDefault="004B5021" w:rsidP="004B502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года в Советском Союзе был объявлен конкурс на создание нового колесно-гусе</w:t>
      </w:r>
      <w:r w:rsidRPr="00142305">
        <w:rPr>
          <w:rFonts w:ascii="Times New Roman" w:hAnsi="Times New Roman"/>
          <w:color w:val="0070C0"/>
          <w:sz w:val="16"/>
          <w:szCs w:val="16"/>
        </w:rPr>
        <w:softHyphen/>
        <w:t>ничного плавающего танка. Участвовали в нем два КБ – Завода опытного машиностроения и Завода №37. Оба проекта получили общее название Т-43 (кстати, позже так назовут еще один танк – опытную машину времен Великой Отечественной).</w:t>
      </w:r>
    </w:p>
    <w:p w14:paraId="216F25A6" w14:textId="77777777" w:rsidR="004B5021" w:rsidRPr="00142305" w:rsidRDefault="004B5021" w:rsidP="004B502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Завод опытного машиностроения сделал Т-43-1 весом в 3,6 тонны, имевший 10-миллиметровую броню и пулемет ДТ в качестве основного вооружения. Но самое интересное, что у этой машины не было гребных винтов – она передвигалась по воде при помощи поперечных лопастей на ведущих колесах.</w:t>
      </w:r>
    </w:p>
    <w:p w14:paraId="400419FC" w14:textId="77777777" w:rsidR="004B5021" w:rsidRPr="00142305" w:rsidRDefault="004B5021" w:rsidP="004B502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Завод №37 создал так называемый Т-43-2, масса которого была примерно на 100 килограмм больше, а вот бронирование и вооружение были аналогичными.</w:t>
      </w:r>
    </w:p>
    <w:p w14:paraId="7865B9BA" w14:textId="77777777" w:rsidR="004B5021" w:rsidRPr="00142305" w:rsidRDefault="004B5021" w:rsidP="004B502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Однако этот танк передвигался по воде стандартным способом – с помощью винта. В итоге оказа</w:t>
      </w:r>
      <w:r w:rsidRPr="00142305">
        <w:rPr>
          <w:rFonts w:ascii="Times New Roman" w:hAnsi="Times New Roman"/>
          <w:color w:val="0070C0"/>
          <w:sz w:val="16"/>
          <w:szCs w:val="16"/>
        </w:rPr>
        <w:softHyphen/>
        <w:t>лось, что такой метод все же надежнее, так как Т-43-1 плавал медленно и часто лишался гусениц при выходе на берег.</w:t>
      </w:r>
    </w:p>
    <w:p w14:paraId="719304F6" w14:textId="77777777" w:rsidR="004B5021" w:rsidRPr="00142305" w:rsidRDefault="004B5021" w:rsidP="004B502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Правда, у Т-43-2 нашлись другие проблемы – с передвижением на колесном ходу, поэтому его на вооружение тоже не приняли. И вообще военные решили, что совмещать в одной машине колесно-гусеничную схему и возможность движения по воде не стоит. В 1935-м работы по обоим танкам прекратили (25449).</w:t>
      </w:r>
    </w:p>
    <w:p w14:paraId="30323CE4" w14:textId="77777777" w:rsidR="004B5021" w:rsidRPr="00142305" w:rsidRDefault="004B5021" w:rsidP="004B5021">
      <w:pPr>
        <w:spacing w:after="0" w:line="240" w:lineRule="auto"/>
        <w:jc w:val="both"/>
        <w:rPr>
          <w:rFonts w:ascii="Times New Roman" w:hAnsi="Times New Roman"/>
          <w:color w:val="0070C0"/>
          <w:sz w:val="16"/>
          <w:szCs w:val="16"/>
        </w:rPr>
      </w:pPr>
    </w:p>
    <w:p w14:paraId="1256C37C" w14:textId="77777777" w:rsidR="004B5021" w:rsidRPr="00142305" w:rsidRDefault="004B5021" w:rsidP="004B502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До конца 1933 года продолжались испытания плавающего танка ПТ-1 Астрова из Техбюро ЭКУ ОГПУ. Были установлены следующие характеристики ПТ-1. Танк уверенно преодолел полосу препятствия, по ходовым качествам почти не отличаясь от БТ-5. Запас хода танка по шоссе при движении на гусеницах составил 180—185 км, на колесах до 200—250 км. При массе 14200 кг боевая машина развивала на гусеничном ходу скорость по шоссе 62 км/ч, на колесном — 90 км/ч. Однако при испытаниях на воде у ПТ-1 возникали большие проблемы.</w:t>
      </w:r>
    </w:p>
    <w:p w14:paraId="2596188E" w14:textId="77777777" w:rsidR="004B5021" w:rsidRPr="00142305" w:rsidRDefault="004B5021" w:rsidP="004B5021">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Выяснилось, что после вхождения в воду, из-за особенностей охлаждения проточной водой, двигатель вначале переохлаждается, а затем перегревается. Система управления на плаву остановкой или реверсированием одного из винтов в тоннелях также себя не оправдала, и танк получил возможность маневров на воде только с введением двух водоходных рулей жалюзийного типа с временным приводом к ним от рулевой колонки танка при помощи внешних тяг. Невозможным оказалось и управление дифферентом путем перекачивания части топлива из кормовых баков в носовые, так как топливо расходовалось из баков неравномерно и в ходе марша дополнительные топливные дифферентные насосы выходили из строя от тряски и вибрации. Тем не менее, скорость хода на плаву составила 11,5 км/ч, что было весьма впечатляющим показателем для плавающего танка среднего типа (25498).</w:t>
      </w:r>
    </w:p>
    <w:p w14:paraId="0A38D562" w14:textId="77777777" w:rsidR="004B5021" w:rsidRPr="00142305" w:rsidRDefault="004B5021" w:rsidP="004B5021">
      <w:pPr>
        <w:spacing w:after="0" w:line="240" w:lineRule="auto"/>
        <w:jc w:val="both"/>
        <w:rPr>
          <w:rFonts w:ascii="Times New Roman" w:hAnsi="Times New Roman"/>
          <w:color w:val="0070C0"/>
          <w:sz w:val="16"/>
          <w:szCs w:val="16"/>
        </w:rPr>
      </w:pPr>
    </w:p>
    <w:p w14:paraId="4CB2AEA3" w14:textId="77777777" w:rsidR="00F94132" w:rsidRPr="00142305" w:rsidRDefault="00F94132" w:rsidP="00F9413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1933 года на завод «Красный Профинтерн» передали изготовление легких бронеплощадок ПЛ-35 и бронепаровозов ПР-35. Для изготовления бронепоездов на заводе создали специальный сборочный цех (цех № 6). Сборку тумбовых установок и монтаж орудий на них вел артиллерийский цех (цех № 3). Броневой лист поставлялся с Ижорского завода в Ленинграде, а термообработка бронедеталей осуществлялась термическим цехом «Красного Профинтерна» (</w:t>
      </w:r>
      <w:r w:rsidRPr="00F94132">
        <w:rPr>
          <w:rStyle w:val="aff3"/>
          <w:rFonts w:ascii="Times New Roman" w:hAnsi="Times New Roman" w:cs="Times New Roman"/>
          <w:i w:val="0"/>
          <w:iCs w:val="0"/>
          <w:color w:val="0070C0"/>
          <w:sz w:val="16"/>
          <w:szCs w:val="16"/>
          <w:lang w:val="ru-RU"/>
        </w:rPr>
        <w:t>ЦАМО РФ. Ф. 38. Оп. 11355. Д. 324. Л. 18, 22, 34.</w:t>
      </w:r>
      <w:r w:rsidRPr="00142305">
        <w:rPr>
          <w:rStyle w:val="aff"/>
          <w:rFonts w:ascii="Times New Roman" w:hAnsi="Times New Roman" w:cs="Times New Roman"/>
          <w:color w:val="0070C0"/>
          <w:spacing w:val="0"/>
          <w:sz w:val="16"/>
          <w:szCs w:val="16"/>
        </w:rPr>
        <w:t>).</w:t>
      </w:r>
    </w:p>
    <w:p w14:paraId="7DE2751C" w14:textId="77777777" w:rsidR="00F94132" w:rsidRPr="00142305" w:rsidRDefault="00F94132" w:rsidP="00F9413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lastRenderedPageBreak/>
        <w:t>Паровозы под бронирование серии Ов или Оп поступали с заводов наркомата путей сообщения после проведения капитального ремонта. Для этого использовали паровозы изготовления 1895 – 1906 годов, которые дорабатывались – на них устанавливали специальный модератор, паровое отопление и дополнительную перегородку в водяном баке тендера. При ремонте все паровозы подготавливались к переходу для действий на западноевропейской колее 1435 мм.</w:t>
      </w:r>
    </w:p>
    <w:p w14:paraId="73B3A177" w14:textId="77777777" w:rsidR="00F94132" w:rsidRPr="00142305" w:rsidRDefault="00F94132" w:rsidP="00F9413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Для изготовления легких бронеплощадок использовались рамы и тележки 50-тонных крытых товарных вагонов, выпуск которых вел «Красный Профинтерн».</w:t>
      </w:r>
    </w:p>
    <w:p w14:paraId="4D463A75" w14:textId="77777777" w:rsidR="00F94132" w:rsidRPr="00142305" w:rsidRDefault="00F94132" w:rsidP="00F9413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Испытание и приемка ходовых частей для бронеплощадок велись непосредственно на заводе инспектором НКПС, отстрел орудийных установок и их приемка осуществлялась военным представителем артиллерийского управления Красной Армии. Готовые бронеплощадки и бронепаровозы принимались представителями военной приемки, после чего передавались в войска.</w:t>
      </w:r>
    </w:p>
    <w:p w14:paraId="1A3D6775" w14:textId="77777777" w:rsidR="00F94132" w:rsidRPr="00F94132" w:rsidRDefault="00F94132" w:rsidP="00F94132">
      <w:pPr>
        <w:pStyle w:val="aff2"/>
        <w:spacing w:line="240" w:lineRule="auto"/>
        <w:rPr>
          <w:rFonts w:ascii="Times New Roman" w:hAnsi="Times New Roman" w:cs="Times New Roman"/>
          <w:i w:val="0"/>
          <w:iCs w:val="0"/>
          <w:color w:val="0070C0"/>
          <w:sz w:val="16"/>
          <w:szCs w:val="16"/>
          <w:lang w:val="ru-RU"/>
        </w:rPr>
      </w:pPr>
      <w:r w:rsidRPr="00F94132">
        <w:rPr>
          <w:rStyle w:val="aff"/>
          <w:rFonts w:ascii="Times New Roman" w:hAnsi="Times New Roman" w:cs="Times New Roman"/>
          <w:i w:val="0"/>
          <w:iCs w:val="0"/>
          <w:color w:val="0070C0"/>
          <w:spacing w:val="0"/>
          <w:sz w:val="16"/>
          <w:szCs w:val="16"/>
          <w:lang w:val="ru-RU"/>
        </w:rPr>
        <w:t>Для обеспечения серийного изготовления бронепоездов на заводе «Красный Профинтерн» создали конструкторское бюро и технологический сектор при техотделе спецпроизводства. К началу Великой Отечественной войны на заводе «Красный Профинтерн» была сосредоточена вся техническая и технологическая документация по бронепоездам, необходимая для их серийного производства (</w:t>
      </w:r>
      <w:r w:rsidRPr="00F94132">
        <w:rPr>
          <w:rStyle w:val="aff3"/>
          <w:rFonts w:ascii="Times New Roman" w:hAnsi="Times New Roman" w:cs="Times New Roman"/>
          <w:color w:val="0070C0"/>
          <w:sz w:val="16"/>
          <w:szCs w:val="16"/>
          <w:lang w:val="ru-RU"/>
        </w:rPr>
        <w:t>Отчет о работе управления бронепоездов и бронемашин ГБТУ КА за 1941 – 1945 гг. Бронепоезда, бронемашины, аэросани и мотоциклы в Великой Отечественной войне. М.: Издание ГБТУ КА. 1945. Л. 23.</w:t>
      </w:r>
      <w:r w:rsidRPr="00F94132">
        <w:rPr>
          <w:rStyle w:val="aff"/>
          <w:rFonts w:ascii="Times New Roman" w:hAnsi="Times New Roman" w:cs="Times New Roman"/>
          <w:i w:val="0"/>
          <w:iCs w:val="0"/>
          <w:color w:val="0070C0"/>
          <w:spacing w:val="0"/>
          <w:sz w:val="16"/>
          <w:szCs w:val="16"/>
          <w:lang w:val="ru-RU"/>
        </w:rPr>
        <w:t>) (25635).</w:t>
      </w:r>
    </w:p>
    <w:p w14:paraId="40B6BBE3" w14:textId="77777777" w:rsidR="00F94132" w:rsidRPr="00142305" w:rsidRDefault="00F94132" w:rsidP="00F94132">
      <w:pPr>
        <w:spacing w:after="0" w:line="240" w:lineRule="auto"/>
        <w:jc w:val="both"/>
        <w:rPr>
          <w:rFonts w:ascii="Times New Roman" w:hAnsi="Times New Roman"/>
          <w:color w:val="0070C0"/>
          <w:sz w:val="16"/>
          <w:szCs w:val="16"/>
        </w:rPr>
      </w:pPr>
    </w:p>
    <w:p w14:paraId="3D52B8C6" w14:textId="77777777" w:rsidR="00F94132" w:rsidRPr="00142305" w:rsidRDefault="00F94132" w:rsidP="00F94132">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1933 года на Муромском паро</w:t>
      </w:r>
      <w:r w:rsidRPr="00142305">
        <w:rPr>
          <w:rStyle w:val="aff"/>
          <w:rFonts w:ascii="Times New Roman" w:hAnsi="Times New Roman" w:cs="Times New Roman"/>
          <w:color w:val="0070C0"/>
          <w:spacing w:val="0"/>
          <w:sz w:val="16"/>
          <w:szCs w:val="16"/>
        </w:rPr>
        <w:softHyphen/>
        <w:t>возоремонтном заводе на базе серийного Э</w:t>
      </w:r>
      <w:r w:rsidRPr="00142305">
        <w:rPr>
          <w:rStyle w:val="aff"/>
          <w:rFonts w:ascii="Times New Roman" w:hAnsi="Times New Roman" w:cs="Times New Roman"/>
          <w:color w:val="0070C0"/>
          <w:spacing w:val="0"/>
          <w:sz w:val="16"/>
          <w:szCs w:val="16"/>
          <w:vertAlign w:val="superscript"/>
        </w:rPr>
        <w:t>м</w:t>
      </w:r>
      <w:r w:rsidRPr="00142305">
        <w:rPr>
          <w:rStyle w:val="aff"/>
          <w:rFonts w:ascii="Times New Roman" w:hAnsi="Times New Roman" w:cs="Times New Roman"/>
          <w:color w:val="0070C0"/>
          <w:spacing w:val="0"/>
          <w:sz w:val="16"/>
          <w:szCs w:val="16"/>
        </w:rPr>
        <w:t>723-12 создали опытный образец локо</w:t>
      </w:r>
      <w:r w:rsidRPr="00142305">
        <w:rPr>
          <w:rStyle w:val="aff"/>
          <w:rFonts w:ascii="Times New Roman" w:hAnsi="Times New Roman" w:cs="Times New Roman"/>
          <w:color w:val="0070C0"/>
          <w:spacing w:val="0"/>
          <w:sz w:val="16"/>
          <w:szCs w:val="16"/>
        </w:rPr>
        <w:softHyphen/>
        <w:t>мотива с удлиненной топкой. Мощность у него увеличилась на 15%, а КПД - на 8%. Такие паровозы запустили в серию под обозначением ЭР («реконструированный»), С 1934 по 1936 годы в Брянске и Луганске построили 305 экземпляров (25691).</w:t>
      </w:r>
    </w:p>
    <w:p w14:paraId="29875E72" w14:textId="77777777" w:rsidR="00F94132" w:rsidRPr="00142305" w:rsidRDefault="00F94132" w:rsidP="00F94132">
      <w:pPr>
        <w:spacing w:after="0" w:line="240" w:lineRule="auto"/>
        <w:jc w:val="both"/>
        <w:rPr>
          <w:rFonts w:ascii="Times New Roman" w:hAnsi="Times New Roman"/>
          <w:color w:val="0070C0"/>
          <w:sz w:val="16"/>
          <w:szCs w:val="16"/>
        </w:rPr>
      </w:pPr>
    </w:p>
    <w:p w14:paraId="24B6B89C"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года была получена информация о танках, которые разрабатывались Landsverk как для шведской армии, так и на экспорт. Один из этих танков, Landsverk L-100, привлек особое внимание. Скоростной танк-разведчик значился и в перспективных планах Красной Армии. После того, как разработка плавающего колесно-гусеничного танка Т-43 зашла в тупик, появилась новая тема — «Замок». Как ближайший аналог там четко указывался L-100, хотя советские Т-116 и Т-101 были крупнее и быстрее (впрочем, они так и не вышли за стадию эскизных проектов). Имелись, впрочем, и более существенные результаты общения со шведами. 37-мм зенитные автоматические пушки 61-К являлись прямыми родственниками 40-мм зениток Bofors, а на советских танках довоенного периода вполне можно встретить подшипники SKF (25463).</w:t>
      </w:r>
    </w:p>
    <w:p w14:paraId="10D4EDF3" w14:textId="77777777" w:rsidR="000C4BE0" w:rsidRPr="00142305" w:rsidRDefault="000C4BE0" w:rsidP="000C4BE0">
      <w:pPr>
        <w:spacing w:after="0" w:line="240" w:lineRule="auto"/>
        <w:jc w:val="both"/>
        <w:rPr>
          <w:rFonts w:ascii="Times New Roman" w:hAnsi="Times New Roman"/>
          <w:color w:val="0070C0"/>
          <w:sz w:val="16"/>
          <w:szCs w:val="16"/>
        </w:rPr>
      </w:pPr>
    </w:p>
    <w:p w14:paraId="04A0A9D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и2р Тверским был разработан проект установки 250 кг танковых торпед (ТТ) на колесно-гусеничный танк РБТ-5 (9527,100).</w:t>
      </w:r>
    </w:p>
    <w:p w14:paraId="229F69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893C528" w14:textId="77777777" w:rsidR="001B11E8" w:rsidRPr="0044524F" w:rsidRDefault="001B11E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конце 1933 г. появился проект, разработанный Тверским, предусматривал в качестве дополнительного вооружения </w:t>
      </w:r>
      <w:hyperlink r:id="rId428"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установку двух 250-кг ТТ. Опытный образец установки был изготовлен на московском заводе № 37, а ее монтаж на опытный </w:t>
      </w:r>
      <w:hyperlink r:id="rId429"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 БТ-5 был осуществлен уже на ХПЗ. Танк РБТ-5 отличался от серийного </w:t>
      </w:r>
      <w:hyperlink r:id="rId430"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БТ-5 размещением снаружи башни двух установок для пуска 250-кг ТТ (ракет) с сохранением основного оружия — 45-мм </w:t>
      </w:r>
      <w:hyperlink r:id="rId431"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овой пушки. Клепаная конструкция пусковой установки была выполнена по типу фермы, собранной из швеллеров. Каждая ракета хвостовой частью устанавливалась в направляющую втулку и автоматически стопорилась. Уравновешивание установки осуществлялось с помощью специального пружинного механизма. Перед пуском ракеты на поражение производилась предварительная пристрелка цели из 45-мм штатной пушкой и с помощью переходных таблиц вводился поправочный коэффициент в вертикальные углы наведения установки.</w:t>
      </w:r>
    </w:p>
    <w:p w14:paraId="37FF847F" w14:textId="77777777" w:rsidR="001B11E8" w:rsidRPr="0044524F" w:rsidRDefault="001B11E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Наведение установки в вертикальной плоскости осуществлялось изнутри машины с помощью рукоятки специального подъемного механизма, имевшего две передачи. В горизонтальной плоскости наведение обеспечивалось поворотом башни. Максимальный угол возвышения, составлявший 48°, позволял поражать различные цели на дальности до 1500 м. Выстрел производился с помощью электрозапала. Ракета длиной 1805 мм и диаметром 420 мм состояла из головной части с зарядом взрывчатого вещества (ВВ) (130 кг) и хвостовой части с реактивным зарядом (13,5 кг).</w:t>
      </w:r>
    </w:p>
    <w:p w14:paraId="608AC45E" w14:textId="77777777" w:rsidR="001B11E8" w:rsidRPr="0044524F" w:rsidRDefault="001B11E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Для подрыва ВВ использовались взрыватели от авиационных бомб (мгновенного и замедленного действия). Головная часть взрывателя для защиты от поражения пулями и осколками имела броневой колпак. Малая дальность стрельбы, низкая вероятность поражения цели и высокая уязвимость от пуль и осколков послужили причиной прекращения дальнейших работ над совершенствованием </w:t>
      </w:r>
      <w:hyperlink r:id="rId432"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а РБТ-5. В августе — декабре 1934 г. также велись работы по установке на </w:t>
      </w:r>
      <w:hyperlink r:id="rId433"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е 100-кг (на иллюстрации) и 300-кг торпед.</w:t>
      </w:r>
    </w:p>
    <w:p w14:paraId="469C27E2" w14:textId="77777777" w:rsidR="001B11E8" w:rsidRPr="0044524F" w:rsidRDefault="001B11E8"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Танковая торпеда и пусковая установка не были полностью отработаны, они имели ряд конструктивных недоработок. В тоже время ТТ имела малую дальность стрельбы, низкую вероятность поражения цели и высокую уязвимость от пуль и осколков. Эти причины послужили основанием на прекращение дальнейших работ над </w:t>
      </w:r>
      <w:hyperlink r:id="rId434"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ом РБТ-5 и ТТ. Результаты работ по </w:t>
      </w:r>
      <w:hyperlink r:id="rId435"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 xml:space="preserve">у РБТ-5 легли в основу новых ТТТ предъявляемых к ракетным </w:t>
      </w:r>
      <w:hyperlink r:id="rId436" w:tgtFrame="_blank" w:history="1">
        <w:r w:rsidRPr="0044524F">
          <w:rPr>
            <w:rFonts w:ascii="Times New Roman" w:hAnsi="Times New Roman"/>
            <w:color w:val="000000" w:themeColor="text1"/>
            <w:sz w:val="16"/>
            <w:szCs w:val="16"/>
          </w:rPr>
          <w:t>танк</w:t>
        </w:r>
      </w:hyperlink>
      <w:r w:rsidRPr="0044524F">
        <w:rPr>
          <w:rFonts w:ascii="Times New Roman" w:hAnsi="Times New Roman"/>
          <w:color w:val="000000" w:themeColor="text1"/>
          <w:sz w:val="16"/>
          <w:szCs w:val="16"/>
        </w:rPr>
        <w:t>ам, утвержденных начальником НТО АБТУ РККА 29 января 1935 г. (15628).</w:t>
      </w:r>
    </w:p>
    <w:p w14:paraId="6FB2EBDB" w14:textId="77777777" w:rsidR="001B11E8" w:rsidRPr="0044524F" w:rsidRDefault="001B11E8" w:rsidP="009654CF">
      <w:pPr>
        <w:spacing w:after="0" w:line="240" w:lineRule="auto"/>
        <w:jc w:val="both"/>
        <w:rPr>
          <w:rFonts w:ascii="Times New Roman" w:hAnsi="Times New Roman"/>
          <w:color w:val="000000" w:themeColor="text1"/>
          <w:sz w:val="16"/>
          <w:szCs w:val="16"/>
        </w:rPr>
      </w:pPr>
    </w:p>
    <w:p w14:paraId="3E0F19D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УММ РККА совместно с ГАУ разрабо</w:t>
      </w:r>
      <w:r w:rsidRPr="0044524F">
        <w:rPr>
          <w:rFonts w:ascii="Times New Roman" w:hAnsi="Times New Roman"/>
          <w:color w:val="000000" w:themeColor="text1"/>
          <w:sz w:val="16"/>
          <w:szCs w:val="16"/>
        </w:rPr>
        <w:softHyphen/>
        <w:t>тали рекомендации для включения самоходно-артилле-рийских установок во вновь разрабатываемую «Систему артиллерийского вооружения Красной Армии на вторую пятилетку 1934 — 1938 гг.» (11417).</w:t>
      </w:r>
    </w:p>
    <w:p w14:paraId="645EE22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7171A4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 кон</w:t>
      </w:r>
      <w:r w:rsidRPr="0044524F">
        <w:rPr>
          <w:rFonts w:ascii="Times New Roman" w:hAnsi="Times New Roman"/>
          <w:color w:val="000000" w:themeColor="text1"/>
          <w:sz w:val="16"/>
          <w:szCs w:val="16"/>
        </w:rPr>
        <w:softHyphen/>
        <w:t>ца 1933 года из ворот выксунского завода вышло всего 90 машин, еще 19 БАИ собрали в начале 1934-го, после чего их производство пре</w:t>
      </w:r>
      <w:r w:rsidRPr="0044524F">
        <w:rPr>
          <w:rFonts w:ascii="Times New Roman" w:hAnsi="Times New Roman"/>
          <w:color w:val="000000" w:themeColor="text1"/>
          <w:sz w:val="16"/>
          <w:szCs w:val="16"/>
        </w:rPr>
        <w:softHyphen/>
        <w:t>кратилось. Следует сказать, что часть БАИ оснащалась ящиком для укладки цепей «Оверолл», установленным справа на крыле задних колес (11284).</w:t>
      </w:r>
    </w:p>
    <w:p w14:paraId="3C59134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44743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под руководством изобретателя Л. Курчевского был спроектирован трехосный легко</w:t>
      </w:r>
      <w:r w:rsidRPr="0044524F">
        <w:rPr>
          <w:rFonts w:ascii="Times New Roman" w:hAnsi="Times New Roman"/>
          <w:color w:val="000000" w:themeColor="text1"/>
          <w:sz w:val="16"/>
          <w:szCs w:val="16"/>
        </w:rPr>
        <w:softHyphen/>
        <w:t>вой автомобиль на шасси «Форд-А». В 1934 году такая машина, правда уже на шасси отечественного ГАЗ-А, бы</w:t>
      </w:r>
      <w:r w:rsidRPr="0044524F">
        <w:rPr>
          <w:rFonts w:ascii="Times New Roman" w:hAnsi="Times New Roman"/>
          <w:color w:val="000000" w:themeColor="text1"/>
          <w:sz w:val="16"/>
          <w:szCs w:val="16"/>
        </w:rPr>
        <w:softHyphen/>
        <w:t>ла изготовлена на заводе «Гудок Октября». Новый авто</w:t>
      </w:r>
      <w:r w:rsidRPr="0044524F">
        <w:rPr>
          <w:rFonts w:ascii="Times New Roman" w:hAnsi="Times New Roman"/>
          <w:color w:val="000000" w:themeColor="text1"/>
          <w:sz w:val="16"/>
          <w:szCs w:val="16"/>
        </w:rPr>
        <w:softHyphen/>
        <w:t>мобиль, получивший обозначение ГАЗ-ТК (трехосный Курчевского), проектировался прежде всего как носитель 76-мм динамореактивной пушки ВПК (батальонная пушка Курчевского). ГАЗ-ТК с 76-мм ВПК в документах того времени именовался как СПК — самоходная пушка Курчевского. Эти машины предполагалось использовать для вооружения разведывательных батальонов стрелко</w:t>
      </w:r>
      <w:r w:rsidRPr="0044524F">
        <w:rPr>
          <w:rFonts w:ascii="Times New Roman" w:hAnsi="Times New Roman"/>
          <w:color w:val="000000" w:themeColor="text1"/>
          <w:sz w:val="16"/>
          <w:szCs w:val="16"/>
        </w:rPr>
        <w:softHyphen/>
        <w:t>вых дивизий. На обычном ГАЗ-А 76-мм орудие не встава</w:t>
      </w:r>
      <w:r w:rsidRPr="0044524F">
        <w:rPr>
          <w:rFonts w:ascii="Times New Roman" w:hAnsi="Times New Roman"/>
          <w:color w:val="000000" w:themeColor="text1"/>
          <w:sz w:val="16"/>
          <w:szCs w:val="16"/>
        </w:rPr>
        <w:softHyphen/>
        <w:t>ло, а использование для этой цели грузовика военные признали нецелесообразным — для разведбатов требова</w:t>
      </w:r>
      <w:r w:rsidRPr="0044524F">
        <w:rPr>
          <w:rFonts w:ascii="Times New Roman" w:hAnsi="Times New Roman"/>
          <w:color w:val="000000" w:themeColor="text1"/>
          <w:sz w:val="16"/>
          <w:szCs w:val="16"/>
        </w:rPr>
        <w:softHyphen/>
        <w:t>лась легкая, быстроходная машина, а не тяжелый грузо</w:t>
      </w:r>
      <w:r w:rsidRPr="0044524F">
        <w:rPr>
          <w:rFonts w:ascii="Times New Roman" w:hAnsi="Times New Roman"/>
          <w:color w:val="000000" w:themeColor="text1"/>
          <w:sz w:val="16"/>
          <w:szCs w:val="16"/>
        </w:rPr>
        <w:softHyphen/>
        <w:t>вой автомобиль.</w:t>
      </w:r>
    </w:p>
    <w:p w14:paraId="1D2A2B8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ГАЗ-ТК представлял собой довольно неудачную по</w:t>
      </w:r>
      <w:r w:rsidRPr="0044524F">
        <w:rPr>
          <w:rFonts w:ascii="Times New Roman" w:hAnsi="Times New Roman"/>
          <w:color w:val="000000" w:themeColor="text1"/>
          <w:sz w:val="16"/>
          <w:szCs w:val="16"/>
        </w:rPr>
        <w:softHyphen/>
        <w:t>пытку путем минимальных затрат на базе обычного ГАЗ-А создать автомобиль повышенной проходимости путем установки дополнительной третьей оси и ряда других из</w:t>
      </w:r>
      <w:r w:rsidRPr="0044524F">
        <w:rPr>
          <w:rFonts w:ascii="Times New Roman" w:hAnsi="Times New Roman"/>
          <w:color w:val="000000" w:themeColor="text1"/>
          <w:sz w:val="16"/>
          <w:szCs w:val="16"/>
        </w:rPr>
        <w:softHyphen/>
        <w:t>менений. В документах УММ РККА об этом говорилось так:</w:t>
      </w:r>
    </w:p>
    <w:p w14:paraId="75D4CEE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«Типовая рама от ГАЗ-А для обеспечения монтажа зад</w:t>
      </w:r>
      <w:r w:rsidRPr="0044524F">
        <w:rPr>
          <w:rFonts w:ascii="Times New Roman" w:hAnsi="Times New Roman"/>
          <w:color w:val="000000" w:themeColor="text1"/>
          <w:sz w:val="16"/>
          <w:szCs w:val="16"/>
        </w:rPr>
        <w:softHyphen/>
        <w:t>него моста увеличена на 930 мм путем наложения на нее в задней части сверху рамы лонжеронов передней части той же рамы ГАЗ-А. Эти накладные лонжероны прикреплены к основной раме болтами и заклепками. Двигатель, главное сцепление, коробка перемены передач, передний мост и колеса поставлены от ГАЗ-А. Карданный вал заднего мос</w:t>
      </w:r>
      <w:r w:rsidRPr="0044524F">
        <w:rPr>
          <w:rFonts w:ascii="Times New Roman" w:hAnsi="Times New Roman"/>
          <w:color w:val="000000" w:themeColor="text1"/>
          <w:sz w:val="16"/>
          <w:szCs w:val="16"/>
        </w:rPr>
        <w:softHyphen/>
        <w:t>та — типовой, ведущая и коронная шестерни специальной заготовки.</w:t>
      </w:r>
    </w:p>
    <w:p w14:paraId="0013681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дифференциал среднего моста введена 2-я ведущая шестерня, находящаяся в зацеплении с коронной шестер</w:t>
      </w:r>
      <w:r w:rsidRPr="0044524F">
        <w:rPr>
          <w:rFonts w:ascii="Times New Roman" w:hAnsi="Times New Roman"/>
          <w:color w:val="000000" w:themeColor="text1"/>
          <w:sz w:val="16"/>
          <w:szCs w:val="16"/>
        </w:rPr>
        <w:softHyphen/>
        <w:t>ней среднего дифференциала, которая и передает крутя</w:t>
      </w:r>
      <w:r w:rsidRPr="0044524F">
        <w:rPr>
          <w:rFonts w:ascii="Times New Roman" w:hAnsi="Times New Roman"/>
          <w:color w:val="000000" w:themeColor="text1"/>
          <w:sz w:val="16"/>
          <w:szCs w:val="16"/>
        </w:rPr>
        <w:softHyphen/>
        <w:t>щий момент через второй карданный вал на второй задний мост. Карданный вал от среднего моста к заднему - специ</w:t>
      </w:r>
      <w:r w:rsidRPr="0044524F">
        <w:rPr>
          <w:rFonts w:ascii="Times New Roman" w:hAnsi="Times New Roman"/>
          <w:color w:val="000000" w:themeColor="text1"/>
          <w:sz w:val="16"/>
          <w:szCs w:val="16"/>
        </w:rPr>
        <w:softHyphen/>
        <w:t>альный, с типовым шарнирным соединением от ГАЗ-АА. Ведущая и коронная шестерни в заднем мосту такие же, как в среднем. Картер дифференциала и кожух кардана - спе</w:t>
      </w:r>
      <w:r w:rsidRPr="0044524F">
        <w:rPr>
          <w:rFonts w:ascii="Times New Roman" w:hAnsi="Times New Roman"/>
          <w:color w:val="000000" w:themeColor="text1"/>
          <w:sz w:val="16"/>
          <w:szCs w:val="16"/>
        </w:rPr>
        <w:softHyphen/>
        <w:t>циальной заготовки. В остальном задний мост ничем не от</w:t>
      </w:r>
      <w:r w:rsidRPr="0044524F">
        <w:rPr>
          <w:rFonts w:ascii="Times New Roman" w:hAnsi="Times New Roman"/>
          <w:color w:val="000000" w:themeColor="text1"/>
          <w:sz w:val="16"/>
          <w:szCs w:val="16"/>
        </w:rPr>
        <w:softHyphen/>
        <w:t>личается от среднего.</w:t>
      </w:r>
    </w:p>
    <w:p w14:paraId="038CF5E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Подвеска рессоры заднего моста осуществляется путем крепления усиленной рессоры непосредственно к траверсе. Траверса имеет шарнирное соединение с лонжеронами ра</w:t>
      </w:r>
      <w:r w:rsidRPr="0044524F">
        <w:rPr>
          <w:rFonts w:ascii="Times New Roman" w:hAnsi="Times New Roman"/>
          <w:color w:val="000000" w:themeColor="text1"/>
          <w:sz w:val="16"/>
          <w:szCs w:val="16"/>
        </w:rPr>
        <w:softHyphen/>
        <w:t>мы, допускающее горизонтальное перемещение рессоры вместе с задним мостом.</w:t>
      </w:r>
    </w:p>
    <w:p w14:paraId="51C3481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Бензобак - один, специальный, емкостью 78 л. Элект</w:t>
      </w:r>
      <w:r w:rsidRPr="0044524F">
        <w:rPr>
          <w:rFonts w:ascii="Times New Roman" w:hAnsi="Times New Roman"/>
          <w:color w:val="000000" w:themeColor="text1"/>
          <w:sz w:val="16"/>
          <w:szCs w:val="16"/>
        </w:rPr>
        <w:softHyphen/>
        <w:t>рооборудование — типовое, от ГАЗ-А...</w:t>
      </w:r>
    </w:p>
    <w:p w14:paraId="4BB143F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изготовление шасси ТК связано:</w:t>
      </w:r>
    </w:p>
    <w:p w14:paraId="6A88FF1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с поделкой новой рамы, состоящей из двух рам ГАЗ-А;</w:t>
      </w:r>
    </w:p>
    <w:p w14:paraId="24AE330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со значительными изменениями конструкции зад</w:t>
      </w:r>
      <w:r w:rsidRPr="0044524F">
        <w:rPr>
          <w:rFonts w:ascii="Times New Roman" w:hAnsi="Times New Roman"/>
          <w:color w:val="000000" w:themeColor="text1"/>
          <w:sz w:val="16"/>
          <w:szCs w:val="16"/>
        </w:rPr>
        <w:softHyphen/>
        <w:t>него моста, в который введено 27 штук новых деталей;</w:t>
      </w:r>
    </w:p>
    <w:p w14:paraId="49E9479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поделкой нового среднего моста, скомпонованного из 23 штук новых деталей и деталей автомобиля ГАЗ;</w:t>
      </w:r>
    </w:p>
    <w:p w14:paraId="156BA1A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 изменением передних и задних рессор, их под</w:t>
      </w:r>
      <w:r w:rsidRPr="0044524F">
        <w:rPr>
          <w:rFonts w:ascii="Times New Roman" w:hAnsi="Times New Roman"/>
          <w:color w:val="000000" w:themeColor="text1"/>
          <w:sz w:val="16"/>
          <w:szCs w:val="16"/>
        </w:rPr>
        <w:softHyphen/>
        <w:t>вески.</w:t>
      </w:r>
    </w:p>
    <w:p w14:paraId="5D264A6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 есть шасси ТК не может быть изготовлено из типо</w:t>
      </w:r>
      <w:r w:rsidRPr="0044524F">
        <w:rPr>
          <w:rFonts w:ascii="Times New Roman" w:hAnsi="Times New Roman"/>
          <w:color w:val="000000" w:themeColor="text1"/>
          <w:sz w:val="16"/>
          <w:szCs w:val="16"/>
        </w:rPr>
        <w:softHyphen/>
        <w:t>вых деталей и агрегатов ГАЗ-А и ГАЗ-АА и требует изго</w:t>
      </w:r>
      <w:r w:rsidRPr="0044524F">
        <w:rPr>
          <w:rFonts w:ascii="Times New Roman" w:hAnsi="Times New Roman"/>
          <w:color w:val="000000" w:themeColor="text1"/>
          <w:sz w:val="16"/>
          <w:szCs w:val="16"/>
        </w:rPr>
        <w:softHyphen/>
        <w:t>товления большого количества новых отливок, поковок и т. д.».</w:t>
      </w:r>
    </w:p>
    <w:p w14:paraId="21023CF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Естественно, что при таком раскладе надежность и ре</w:t>
      </w:r>
      <w:r w:rsidRPr="0044524F">
        <w:rPr>
          <w:rFonts w:ascii="Times New Roman" w:hAnsi="Times New Roman"/>
          <w:color w:val="000000" w:themeColor="text1"/>
          <w:sz w:val="16"/>
          <w:szCs w:val="16"/>
        </w:rPr>
        <w:softHyphen/>
        <w:t>монтопригодность такого автомобиля оставляла желать лучшего, хотя проходимость машины значительно возросла по сравнению с ГАЗ-А.</w:t>
      </w:r>
    </w:p>
    <w:p w14:paraId="6DE9DC3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несмотря на столь критические отзывы УММ РККА, Курчевский, пользуясь активной поддержкой заме</w:t>
      </w:r>
      <w:r w:rsidRPr="0044524F">
        <w:rPr>
          <w:rFonts w:ascii="Times New Roman" w:hAnsi="Times New Roman"/>
          <w:color w:val="000000" w:themeColor="text1"/>
          <w:sz w:val="16"/>
          <w:szCs w:val="16"/>
        </w:rPr>
        <w:softHyphen/>
        <w:t>стителя председателя РВС СССР М. Тухачевского (послед</w:t>
      </w:r>
      <w:r w:rsidRPr="0044524F">
        <w:rPr>
          <w:rFonts w:ascii="Times New Roman" w:hAnsi="Times New Roman"/>
          <w:color w:val="000000" w:themeColor="text1"/>
          <w:sz w:val="16"/>
          <w:szCs w:val="16"/>
        </w:rPr>
        <w:softHyphen/>
        <w:t>нему очень нравились динамореактивные пушки, и он даже предлагал выпускать их вместо обычных артиллерийских орудий), «пробил» серийное производство ГАЗ-ТК на заво</w:t>
      </w:r>
      <w:r w:rsidRPr="0044524F">
        <w:rPr>
          <w:rFonts w:ascii="Times New Roman" w:hAnsi="Times New Roman"/>
          <w:color w:val="000000" w:themeColor="text1"/>
          <w:sz w:val="16"/>
          <w:szCs w:val="16"/>
        </w:rPr>
        <w:softHyphen/>
        <w:t>де «Гудок Октября», где в 1934-1935 годах изготовили не</w:t>
      </w:r>
      <w:r w:rsidRPr="0044524F">
        <w:rPr>
          <w:rFonts w:ascii="Times New Roman" w:hAnsi="Times New Roman"/>
          <w:color w:val="000000" w:themeColor="text1"/>
          <w:sz w:val="16"/>
          <w:szCs w:val="16"/>
        </w:rPr>
        <w:softHyphen/>
        <w:t>сколько сотен таких машин. 23 из них в качестве СПК (с 76-мм пушками) поступили на вооружение разведывательных батальонов стрелковых дивизий, остальные посту</w:t>
      </w:r>
      <w:r w:rsidRPr="0044524F">
        <w:rPr>
          <w:rFonts w:ascii="Times New Roman" w:hAnsi="Times New Roman"/>
          <w:color w:val="000000" w:themeColor="text1"/>
          <w:sz w:val="16"/>
          <w:szCs w:val="16"/>
        </w:rPr>
        <w:softHyphen/>
        <w:t>пили в РККА в качестве штабных машин (11284).</w:t>
      </w:r>
    </w:p>
    <w:p w14:paraId="3FB2404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45918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АМО был переименован в ЗИС (3263,419).</w:t>
      </w:r>
    </w:p>
    <w:p w14:paraId="591724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7D7061D" w14:textId="77777777" w:rsidR="00DC292A" w:rsidRPr="0044524F" w:rsidRDefault="00DC29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концу 1933 году В.А. Еленин добился рекордного выпуска нп ЯАЗ. Количество тяжелых грузовиков, произведенных в Ярославле, превысило 2000 штук в год. Показатели двух предыдущих лет были удвоенны. Но много это или мало? Ответ на этот вопрос дает статистика. Так, в 1933 году выпуск тяжелых грузовиков в Ярославле втрое (!) превысил, совокупное производство подобных машин всех заводов Североамериканских соединенных штатов и Канады! (19729).</w:t>
      </w:r>
    </w:p>
    <w:p w14:paraId="3F127654" w14:textId="77777777" w:rsidR="00DC292A" w:rsidRPr="0044524F" w:rsidRDefault="00DC292A" w:rsidP="009654CF">
      <w:pPr>
        <w:spacing w:after="0" w:line="240" w:lineRule="auto"/>
        <w:jc w:val="both"/>
        <w:rPr>
          <w:rFonts w:ascii="Times New Roman" w:hAnsi="Times New Roman"/>
          <w:color w:val="000000" w:themeColor="text1"/>
          <w:sz w:val="16"/>
          <w:szCs w:val="16"/>
        </w:rPr>
      </w:pPr>
    </w:p>
    <w:p w14:paraId="42524EA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конце 1933 г. по всей стране шла подготовка к очередному </w:t>
      </w:r>
      <w:r w:rsidRPr="0044524F">
        <w:rPr>
          <w:rFonts w:ascii="Times New Roman" w:hAnsi="Times New Roman"/>
          <w:color w:val="000000" w:themeColor="text1"/>
          <w:sz w:val="16"/>
          <w:szCs w:val="16"/>
          <w:lang w:val="en-US"/>
        </w:rPr>
        <w:t>XVII</w:t>
      </w:r>
      <w:r w:rsidRPr="0044524F">
        <w:rPr>
          <w:rFonts w:ascii="Times New Roman" w:hAnsi="Times New Roman"/>
          <w:color w:val="000000" w:themeColor="text1"/>
          <w:sz w:val="16"/>
          <w:szCs w:val="16"/>
        </w:rPr>
        <w:t xml:space="preserve"> съезду ВКП(б). Большим производственным достижением считалось внедрение к этому событию новой продукции. Руко</w:t>
      </w:r>
      <w:r w:rsidRPr="0044524F">
        <w:rPr>
          <w:rFonts w:ascii="Times New Roman" w:hAnsi="Times New Roman"/>
          <w:color w:val="000000" w:themeColor="text1"/>
          <w:sz w:val="16"/>
          <w:szCs w:val="16"/>
        </w:rPr>
        <w:softHyphen/>
        <w:t>водство НАТИ обязало П.В. Можарова изготовить промышлен</w:t>
      </w:r>
      <w:r w:rsidRPr="0044524F">
        <w:rPr>
          <w:rFonts w:ascii="Times New Roman" w:hAnsi="Times New Roman"/>
          <w:color w:val="000000" w:themeColor="text1"/>
          <w:sz w:val="16"/>
          <w:szCs w:val="16"/>
        </w:rPr>
        <w:softHyphen/>
        <w:t>ный образец армейского мотоцикла к открытию съезда, что уда</w:t>
      </w:r>
      <w:r w:rsidRPr="0044524F">
        <w:rPr>
          <w:rFonts w:ascii="Times New Roman" w:hAnsi="Times New Roman"/>
          <w:color w:val="000000" w:themeColor="text1"/>
          <w:sz w:val="16"/>
          <w:szCs w:val="16"/>
        </w:rPr>
        <w:softHyphen/>
        <w:t>лось с большим трудом. В начале февраля 1934 г. на ПМЗ сдела</w:t>
      </w:r>
      <w:r w:rsidRPr="0044524F">
        <w:rPr>
          <w:rFonts w:ascii="Times New Roman" w:hAnsi="Times New Roman"/>
          <w:color w:val="000000" w:themeColor="text1"/>
          <w:sz w:val="16"/>
          <w:szCs w:val="16"/>
        </w:rPr>
        <w:softHyphen/>
        <w:t>ли промышленный образец мотоцикла НАТИ-А-750, и отправи</w:t>
      </w:r>
      <w:r w:rsidRPr="0044524F">
        <w:rPr>
          <w:rFonts w:ascii="Times New Roman" w:hAnsi="Times New Roman"/>
          <w:color w:val="000000" w:themeColor="text1"/>
          <w:sz w:val="16"/>
          <w:szCs w:val="16"/>
        </w:rPr>
        <w:softHyphen/>
        <w:t xml:space="preserve">ли в Кремль на выставку, посвященную открытию </w:t>
      </w:r>
      <w:r w:rsidRPr="0044524F">
        <w:rPr>
          <w:rFonts w:ascii="Times New Roman" w:hAnsi="Times New Roman"/>
          <w:color w:val="000000" w:themeColor="text1"/>
          <w:sz w:val="16"/>
          <w:szCs w:val="16"/>
          <w:lang w:val="en-US"/>
        </w:rPr>
        <w:t>XVII</w:t>
      </w:r>
      <w:r w:rsidRPr="0044524F">
        <w:rPr>
          <w:rFonts w:ascii="Times New Roman" w:hAnsi="Times New Roman"/>
          <w:color w:val="000000" w:themeColor="text1"/>
          <w:sz w:val="16"/>
          <w:szCs w:val="16"/>
        </w:rPr>
        <w:t xml:space="preserve"> съезда ВКП(б). На руководство страны машина произвела хорошее впе</w:t>
      </w:r>
      <w:r w:rsidRPr="0044524F">
        <w:rPr>
          <w:rFonts w:ascii="Times New Roman" w:hAnsi="Times New Roman"/>
          <w:color w:val="000000" w:themeColor="text1"/>
          <w:sz w:val="16"/>
          <w:szCs w:val="16"/>
        </w:rPr>
        <w:softHyphen/>
        <w:t>чатление. Начальство поощрило П.В. Можарова предоставлени</w:t>
      </w:r>
      <w:r w:rsidRPr="0044524F">
        <w:rPr>
          <w:rFonts w:ascii="Times New Roman" w:hAnsi="Times New Roman"/>
          <w:color w:val="000000" w:themeColor="text1"/>
          <w:sz w:val="16"/>
          <w:szCs w:val="16"/>
        </w:rPr>
        <w:softHyphen/>
        <w:t>ем ему отпуска и путевки в санаторий ЦК партии в Сочи, где 11 марта он скоропостижно скончался [4.130]. Без П.В. Можарова коллективу ПМЗ пришлось трудно. Освое</w:t>
      </w:r>
      <w:r w:rsidRPr="0044524F">
        <w:rPr>
          <w:rFonts w:ascii="Times New Roman" w:hAnsi="Times New Roman"/>
          <w:color w:val="000000" w:themeColor="text1"/>
          <w:sz w:val="16"/>
          <w:szCs w:val="16"/>
        </w:rPr>
        <w:softHyphen/>
        <w:t>ние выпуска мотоцикла НАТИ-А-750 продвигалось с трудом. Лишь через год к 1 мая 1935 г. на ПМЗ изготовили три мотоцик</w:t>
      </w:r>
      <w:r w:rsidRPr="0044524F">
        <w:rPr>
          <w:rFonts w:ascii="Times New Roman" w:hAnsi="Times New Roman"/>
          <w:color w:val="000000" w:themeColor="text1"/>
          <w:sz w:val="16"/>
          <w:szCs w:val="16"/>
        </w:rPr>
        <w:softHyphen/>
        <w:t>ла, а к концу второго квартала - еще шесть. 25 июля девять но</w:t>
      </w:r>
      <w:r w:rsidRPr="0044524F">
        <w:rPr>
          <w:rFonts w:ascii="Times New Roman" w:hAnsi="Times New Roman"/>
          <w:color w:val="000000" w:themeColor="text1"/>
          <w:sz w:val="16"/>
          <w:szCs w:val="16"/>
        </w:rPr>
        <w:softHyphen/>
        <w:t>вых мотоциклов своим ходом прибыли в НКТП. Во дворе нарко</w:t>
      </w:r>
      <w:r w:rsidRPr="0044524F">
        <w:rPr>
          <w:rFonts w:ascii="Times New Roman" w:hAnsi="Times New Roman"/>
          <w:color w:val="000000" w:themeColor="text1"/>
          <w:sz w:val="16"/>
          <w:szCs w:val="16"/>
        </w:rPr>
        <w:softHyphen/>
        <w:t>мата Г.К. Орджоникидзе осмотрел их, интересуясь устройством, внешней отделкой и скоростью. Технический директор завода Зубков сообщил наркому, что в текущем году намечено сделать 100 таких мотоциклов, а в 1936 г. - ещё 500. Однако нарком внёс серьёзную поправку в планы предприятия: «Этого мало. Таких машин в будущем году надо сделать не меньше 1500. Надо как можно скорее развивать это производство». Слова «Железного наркома» возымели действие. В 1934 году всего сделали 15 машин ПМЗ-А-750 [4.93]. Для серийного выпус</w:t>
      </w:r>
      <w:r w:rsidRPr="0044524F">
        <w:rPr>
          <w:rFonts w:ascii="Times New Roman" w:hAnsi="Times New Roman"/>
          <w:color w:val="000000" w:themeColor="text1"/>
          <w:sz w:val="16"/>
          <w:szCs w:val="16"/>
        </w:rPr>
        <w:softHyphen/>
        <w:t>ка этих мотоциклов спроектировали специальный цех, строи</w:t>
      </w:r>
      <w:r w:rsidRPr="0044524F">
        <w:rPr>
          <w:rFonts w:ascii="Times New Roman" w:hAnsi="Times New Roman"/>
          <w:color w:val="000000" w:themeColor="text1"/>
          <w:sz w:val="16"/>
          <w:szCs w:val="16"/>
        </w:rPr>
        <w:softHyphen/>
        <w:t>тельство которого полным ходом шло в следующем году одно</w:t>
      </w:r>
      <w:r w:rsidRPr="0044524F">
        <w:rPr>
          <w:rFonts w:ascii="Times New Roman" w:hAnsi="Times New Roman"/>
          <w:color w:val="000000" w:themeColor="text1"/>
          <w:sz w:val="16"/>
          <w:szCs w:val="16"/>
        </w:rPr>
        <w:softHyphen/>
        <w:t>временно с расширением производственных мощностей [4.131]. Вскоре нарком тяжелой промышленности Г.К. Орджоникид</w:t>
      </w:r>
      <w:r w:rsidRPr="0044524F">
        <w:rPr>
          <w:rFonts w:ascii="Times New Roman" w:hAnsi="Times New Roman"/>
          <w:color w:val="000000" w:themeColor="text1"/>
          <w:sz w:val="16"/>
          <w:szCs w:val="16"/>
        </w:rPr>
        <w:softHyphen/>
        <w:t>зе распорядился об изготовлении в 1936 г. 10 тыс. мотоциклов, из которых 2700 экземпляров НАТИ-А-750 поручили сделать ПМЗ, а заводу им. Фрунзе - 1000 экземпляров [4.79]. Для налаживания серийного выпуска НАТИ-А-750 конструкторы ПМЗ доработали чертежи и изменили название модели на ПМЗ-А-750. С 1936 года первый серийный отечественный армейский мотоцикл обознача</w:t>
      </w:r>
      <w:r w:rsidRPr="0044524F">
        <w:rPr>
          <w:rFonts w:ascii="Times New Roman" w:hAnsi="Times New Roman"/>
          <w:color w:val="000000" w:themeColor="text1"/>
          <w:sz w:val="16"/>
          <w:szCs w:val="16"/>
        </w:rPr>
        <w:softHyphen/>
        <w:t>ли ПМЗ-А-750, нередко сокращая в написании до А-750 или ПМЗ-750. Новинка поступала и в розничную продажу. Первона</w:t>
      </w:r>
      <w:r w:rsidRPr="0044524F">
        <w:rPr>
          <w:rFonts w:ascii="Times New Roman" w:hAnsi="Times New Roman"/>
          <w:color w:val="000000" w:themeColor="text1"/>
          <w:sz w:val="16"/>
          <w:szCs w:val="16"/>
        </w:rPr>
        <w:softHyphen/>
        <w:t>чально её цена составляла 11 550 р., и она была недоступна широ</w:t>
      </w:r>
      <w:r w:rsidRPr="0044524F">
        <w:rPr>
          <w:rFonts w:ascii="Times New Roman" w:hAnsi="Times New Roman"/>
          <w:color w:val="000000" w:themeColor="text1"/>
          <w:sz w:val="16"/>
          <w:szCs w:val="16"/>
        </w:rPr>
        <w:softHyphen/>
        <w:t>ким слоям трудящихся, но затем в 1937 г. стоимость снизили до 7760 р. [4.84], благодаря чему ПМЗ-750 стали покупать мотолю</w:t>
      </w:r>
      <w:r w:rsidRPr="0044524F">
        <w:rPr>
          <w:rFonts w:ascii="Times New Roman" w:hAnsi="Times New Roman"/>
          <w:color w:val="000000" w:themeColor="text1"/>
          <w:sz w:val="16"/>
          <w:szCs w:val="16"/>
        </w:rPr>
        <w:softHyphen/>
        <w:t>бители. Для облегчения изучения устройства нового мотоцикла в автомотоклубах, школах вождения и домашних условиях Госиз</w:t>
      </w:r>
      <w:r w:rsidRPr="0044524F">
        <w:rPr>
          <w:rFonts w:ascii="Times New Roman" w:hAnsi="Times New Roman"/>
          <w:color w:val="000000" w:themeColor="text1"/>
          <w:sz w:val="16"/>
          <w:szCs w:val="16"/>
        </w:rPr>
        <w:softHyphen/>
        <w:t>дат выпустил серию учебных плакатов по этой машине [4.85] (11429).</w:t>
      </w:r>
    </w:p>
    <w:p w14:paraId="6AA04A3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4BE8E3" w14:textId="77777777" w:rsidR="001E60C4" w:rsidRPr="0044524F" w:rsidRDefault="001E60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среди заданий заводу Можерез, среди прочих фигурировала: «Бронедрезина Форд-АА (Д-37) - изготовлен корпус со съемной верхней частью, рубкой и башней для 76-мм пушки с укороченным откатом без поворотного механизма башни. Установлена спаренная пулеметная установка Максима, 2 бортовых и 1 башенный ДТ. Изготовлены и установлены стеллажи для вооружения, управление и тормозное устройство. Изготовлена новая передняя ось, колеса, рессоры. Заводские испытания системы проводились с некоторыми переделками несколько раз. К окончательным испытаниям Д-37 будет готова 15 декабря 1932 года»</w:t>
      </w:r>
    </w:p>
    <w:p w14:paraId="55321C30" w14:textId="77777777" w:rsidR="001E60C4" w:rsidRPr="0044524F" w:rsidRDefault="001E60C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этом масса Д-37 составила 8400 кг, боекомплект пушки насчитывал 224 снаряда, а экипаж вырос до 7 человек Кроме того, бронедрезину оборудовали приспособлением для перемещения на параллельный железнодорожный путь. Это позволяло в боевой обстановке использовать соседнее рельсовое полотно для объезда разбитых участков дороги, а также пропускать поезда при движении по одноколейной железной дороге. Приспособление состояло из механизма выключения рессор, двух домкратов и двух пар разъемных балок. Порядок действий был следующий. Сначала отключались рессоры, чтобы колеса поднимались вместе с корпусом не выбирая их прогиба. Затем при помощи двух одновременно работающих домкратов дрезину поднимали на высоту, выводящую реборду колеса не более чем 5 мм от головки рельса. После этого на рельсы укладывались балки, которые крепились к рельсам и специальным опорным кронштейнам (при этом обязательно выверялась горизонтальность и параллельность обеих балок). При этом балки клали таким образом, чтобы на них попали две пары роликов, закрепленных внизу на передней и задней частях корпуса. После этого дрезину перекатывали на параллельный путь или откатывали в сторону, пропуская железнодорожный состав. Перекатывание могло осуществляться вручную - для этого было достаточно усилий 4 человек - или при помощи 0,5-тонной лебедки, один конец цепи которой закреплялся за наружную опору (телеграфный, сигнальный или какой-то другой столб), а другой за рым, приваренный к полу дрезины. Передвижение таким образом могло вестись при расстоянии между путями не более 4,1 м. В походном положении балки укладывались в специальные зажимы вдоль бортов корпуса снизу, опорные кронштейны на корме дрезины, а прочий крепеж - внутри (18626). </w:t>
      </w:r>
    </w:p>
    <w:p w14:paraId="7E704177" w14:textId="77777777" w:rsidR="001E60C4" w:rsidRPr="0044524F" w:rsidRDefault="001E60C4" w:rsidP="009654CF">
      <w:pPr>
        <w:spacing w:after="0" w:line="240" w:lineRule="auto"/>
        <w:jc w:val="both"/>
        <w:rPr>
          <w:rFonts w:ascii="Times New Roman" w:hAnsi="Times New Roman"/>
          <w:color w:val="000000" w:themeColor="text1"/>
          <w:sz w:val="16"/>
          <w:szCs w:val="16"/>
        </w:rPr>
      </w:pPr>
    </w:p>
    <w:p w14:paraId="1813219D" w14:textId="77777777" w:rsidR="0078175A" w:rsidRPr="0044524F" w:rsidRDefault="0078175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в ЦРЛ Ю. К. Коровин и С. Н. Савин, используя макет передающей и приемной аппаратуры на волне 50 сантиметров, провели наблюдения отраженных от летящего самолета радиоволн; дальность обнаружения составила 600–700 метров. В опытах применялись незатухающие непрерывные колебания дециметрового диапазона волн, параболические антенны у передатчика и приемника. Прием велся на слух (22738).</w:t>
      </w:r>
    </w:p>
    <w:p w14:paraId="30FD5209" w14:textId="77777777" w:rsidR="0078175A" w:rsidRPr="0044524F" w:rsidRDefault="0078175A" w:rsidP="009654CF">
      <w:pPr>
        <w:spacing w:after="0" w:line="240" w:lineRule="auto"/>
        <w:jc w:val="both"/>
        <w:rPr>
          <w:rFonts w:ascii="Times New Roman" w:hAnsi="Times New Roman"/>
          <w:color w:val="000000" w:themeColor="text1"/>
          <w:sz w:val="16"/>
          <w:szCs w:val="16"/>
        </w:rPr>
      </w:pPr>
    </w:p>
    <w:p w14:paraId="338C5E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 на производственно-экономической конференции Электрокомбината по укреплению и внедрению хозрасчёта победно заявлялось: «заводы переведены на полный хозрасчёт, получили самостоятельные счета в гос. банке и установили непосредственные связи и самостоятельные расчёты с покупателями и поставщиками. 90% всех цехов переведены на хозрасчёт, получают лимиты оборотных средств и отвечают контролем рубля за выполнение количественных и качественных показателей плана». В тоже время указывалось, что заводы не уделяют должного внимания борьбе с неплательщиками долгов. В результате в 1933 г. Комбинат получил 117000 руб. пеней и уплатил 920000 руб. штрафов. «Отделы снабжения заводов иногда отпускают цехам материалы «в кредит»…. Практика посылки записочек административно-хозяйственным персоналом, особенно в последнюю декаду, о выдаче цеху материалов, независимо от наличия у цеха средств, легализует нарушение цехового хозрасчёта. По большинству заводов отсутствует систематический контроль за выполнением хозрасчётных обязательств цеха. Органы, осуществляющие хозрасчёт цеха (планово-производственный и финансовый отделы) зачастую не делают никаких выводов, не принимают конкретных мер в отношении цехов, у которых имеется перерасход в течении продолжительного времени. Например, цех тугоплавких металлов Лампового завода в течении ряда месяцев имеет значительный дефицит (около 0,5 мил. руб.)». В целом, складывается впечатление, что цеховое и заводское начальство отнеслись к хозрасчёту структурных единиц свыше бригады без энтузиазма. Приказали – сделаем, но на первом месте – выполнение производственных заданий, а не игра в «рынок по-советски». Итак, подытоживая, следует отметить два момента. С одной стороны, вопреки распространённым стереотипам, слом НЭПа и переход к форсированной индустриализации вовсе не означал однозначного курса на ликвидацию вообще всех традиционных рыночных рычагов управления экономикой. Скорее тут может идти речь о переносе хозрасчётных отношений всё глубже и глубже – сначала с треста на завод, потом на уровень цеха, затем – на уровень бригады. С другой стороны, попытки совместить хозрасчётный тренд с генеральным курсом на выполнение плана достаточно быстро закончились провалом. Итак, очередная попытка не увенчалась успехом… Значит – следовало найти новый, более эффективный способ интенсификации труда! (11564).</w:t>
      </w:r>
    </w:p>
    <w:p w14:paraId="2B209F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DA323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на базе ВЭСО создано ГУ электрослаботочной промышленности («Главэспром») НКТП, куда помимо ламповых заводов вошли заводы им. Козицкого, им. Коминтерна, им. Кулакова, «Красная заря», «Электроприбор», горьковский им. Ленина, московские им. Орджоникидзе, «Радиоприбор», воронежский «Электросигнал». В 1937г. «Главэспром» вошел в состав НКОП и переименован в 5ГУ. В 1940 г. вошел во вновь образованный НКЭП как «Главсветвакуумпром». В его подчинении находилось 40 заводов (11982).</w:t>
      </w:r>
    </w:p>
    <w:p w14:paraId="168E3E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A05716A" w14:textId="77777777" w:rsidR="001B11E8" w:rsidRPr="0044524F" w:rsidRDefault="001B11E8" w:rsidP="009654CF">
      <w:pPr>
        <w:pStyle w:val="ae"/>
        <w:spacing w:before="0" w:after="0"/>
        <w:jc w:val="both"/>
        <w:rPr>
          <w:color w:val="000000" w:themeColor="text1"/>
          <w:sz w:val="16"/>
          <w:szCs w:val="16"/>
        </w:rPr>
      </w:pPr>
      <w:r w:rsidRPr="0044524F">
        <w:rPr>
          <w:color w:val="000000" w:themeColor="text1"/>
          <w:sz w:val="16"/>
          <w:szCs w:val="16"/>
        </w:rPr>
        <w:t>В конце 1933 года в Москве была сформирована рабочая группа из специалистов Спецотдела НКВД и командиров штаба РККА, которой было поручено отобрать из предприятий Москвы и Ленинграда наиболее пригодные для разработки и выпуска отечественной шифровальной техники (15736).</w:t>
      </w:r>
    </w:p>
    <w:p w14:paraId="6DDCE1EC" w14:textId="77777777" w:rsidR="001B11E8" w:rsidRPr="0044524F" w:rsidRDefault="001B11E8" w:rsidP="009654CF">
      <w:pPr>
        <w:pStyle w:val="ae"/>
        <w:spacing w:before="0" w:after="0"/>
        <w:jc w:val="both"/>
        <w:rPr>
          <w:color w:val="000000" w:themeColor="text1"/>
          <w:sz w:val="16"/>
          <w:szCs w:val="16"/>
        </w:rPr>
      </w:pPr>
    </w:p>
    <w:p w14:paraId="4DD402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конца 1933 г. завод «Радиоприбор» - в ведении «Главэспрома» НКТП. По пр. НКОП № Обсс от 30.12.1936 г. завод «Радиоприбор» переименован в завод № 192, в 03.1937 г. - в ведении 5ГУ НКОП, приказом № 116 от 31.03.1937 г. утвержден Устав завода. По пр. № 108с от 25.03.1938 г. передан в ведение нового 20ГУ. В 02.1939 г. из 20ГУ передан в ведение НКСП.</w:t>
      </w:r>
    </w:p>
    <w:p w14:paraId="597405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заводе № 192 проводились работы по установке аппаратуры «телеуправления»: на самолет ТБ-1 - «Кварц», а на катер- «Вольт-Р» конструкции А.Ф. Шорина. Испатания проводились в 08.1931 г.</w:t>
      </w:r>
      <w:r w:rsidRPr="0044524F">
        <w:rPr>
          <w:rFonts w:ascii="Times New Roman" w:hAnsi="Times New Roman"/>
          <w:color w:val="000000" w:themeColor="text1"/>
          <w:sz w:val="16"/>
          <w:szCs w:val="16"/>
          <w:vertAlign w:val="superscript"/>
        </w:rPr>
        <w:t>3</w:t>
      </w:r>
    </w:p>
    <w:p w14:paraId="52F234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 0020 от 3.02.1937 г. предписано к 1.01.1938 г. закончить достройку и оборудование завода, создать мощности по производству приборов телемеханического управления. По пр. № 0067 от 31.03.1937 г. корпус деревообделочного цеха завода передан заводу № 205, по пр. № 164сс от 14.05.1938 г. он передан со всем оборудованием и кадрами Всекопромлессоюзу.</w:t>
      </w:r>
    </w:p>
    <w:p w14:paraId="30D844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 228сс от 1.07.1938 г. заводу поручено изготовить в 1938 г. 100 рассеивателей к приборам «Луч».</w:t>
      </w:r>
    </w:p>
    <w:p w14:paraId="73BC12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Сюда в 1941 г. эвакуирована часть завода № 194 НКСП. Затем сам завод № 192 эвакуирован в Сталинград и Сталинск-Кузнецкий.</w:t>
      </w:r>
      <w:r w:rsidRPr="0044524F">
        <w:rPr>
          <w:rFonts w:ascii="Times New Roman" w:hAnsi="Times New Roman"/>
          <w:color w:val="000000" w:themeColor="text1"/>
          <w:sz w:val="16"/>
          <w:szCs w:val="16"/>
          <w:vertAlign w:val="superscript"/>
        </w:rPr>
        <w:t>61</w:t>
      </w:r>
      <w:r w:rsidRPr="0044524F">
        <w:rPr>
          <w:rFonts w:ascii="Times New Roman" w:hAnsi="Times New Roman"/>
          <w:color w:val="000000" w:themeColor="text1"/>
          <w:sz w:val="16"/>
          <w:szCs w:val="16"/>
        </w:rPr>
        <w:t xml:space="preserve"> Действовал в Сталинске в 1942 г.</w:t>
      </w:r>
    </w:p>
    <w:p w14:paraId="110FE3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площадке эвакуированного завода в Москве организован филиал завода. В соответствии с распоряжением СНК СССР от 23.05.1942 г. и приказом НКСП от 26.04.1942 г. из филиалов заводов № 192 и № 252 организован самостоятельный завод № 703 НКСП.</w:t>
      </w:r>
      <w:r w:rsidRPr="0044524F">
        <w:rPr>
          <w:rFonts w:ascii="Times New Roman" w:hAnsi="Times New Roman"/>
          <w:color w:val="000000" w:themeColor="text1"/>
          <w:sz w:val="16"/>
          <w:szCs w:val="16"/>
          <w:vertAlign w:val="superscript"/>
        </w:rPr>
        <w:t>103</w:t>
      </w:r>
    </w:p>
    <w:p w14:paraId="29913D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Директор (-06.1937-15.06.1938 г.)- </w:t>
      </w:r>
      <w:r w:rsidRPr="0044524F">
        <w:rPr>
          <w:rFonts w:ascii="Times New Roman" w:hAnsi="Times New Roman"/>
          <w:color w:val="000000" w:themeColor="text1"/>
          <w:sz w:val="16"/>
          <w:szCs w:val="16"/>
          <w:lang w:val="en-US"/>
        </w:rPr>
        <w:t>A</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w:t>
      </w:r>
      <w:r w:rsidRPr="0044524F">
        <w:rPr>
          <w:rFonts w:ascii="Times New Roman" w:hAnsi="Times New Roman"/>
          <w:color w:val="000000" w:themeColor="text1"/>
          <w:sz w:val="16"/>
          <w:szCs w:val="16"/>
        </w:rPr>
        <w:t>. Бодров (снят); и.о. (15.06-07.1938 г.-)- В.П. Пигин; (09.1938 г.)- Т.П. Духовский.</w:t>
      </w:r>
    </w:p>
    <w:p w14:paraId="43EC4B44" w14:textId="606F0D93"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Помощник директора по найму и увольнению (-8.05.1937 г.)- Е.В. Хомяков, (8.05.1937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Г.В. Соколовский.</w:t>
      </w:r>
    </w:p>
    <w:p w14:paraId="5B103C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(-27.05.1937 г.)- А.С. Брейтбурт, (-31.12.1938 г.)- В.П. Пигин.</w:t>
      </w:r>
    </w:p>
    <w:p w14:paraId="18F981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инженеры: цеха №5 (-11.1937 г.)- С.М. Гайденков; ОКС (1938 г.)- Горохов.</w:t>
      </w:r>
    </w:p>
    <w:p w14:paraId="36DC98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Производство: объекты </w:t>
      </w:r>
      <w:r w:rsidRPr="0044524F">
        <w:rPr>
          <w:rFonts w:ascii="Times New Roman" w:hAnsi="Times New Roman"/>
          <w:color w:val="000000" w:themeColor="text1"/>
          <w:sz w:val="16"/>
          <w:szCs w:val="16"/>
          <w:lang w:val="en-US"/>
        </w:rPr>
        <w:t>III</w:t>
      </w:r>
      <w:r w:rsidRPr="0044524F">
        <w:rPr>
          <w:rFonts w:ascii="Times New Roman" w:hAnsi="Times New Roman"/>
          <w:color w:val="000000" w:themeColor="text1"/>
          <w:sz w:val="16"/>
          <w:szCs w:val="16"/>
        </w:rPr>
        <w:t>, X осн, XIV (1938) (11982).</w:t>
      </w:r>
    </w:p>
    <w:p w14:paraId="47D700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E4841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несмотря на сомнительную целесообразность такой модерни</w:t>
      </w:r>
      <w:r w:rsidRPr="0044524F">
        <w:rPr>
          <w:rFonts w:ascii="Times New Roman" w:hAnsi="Times New Roman"/>
          <w:color w:val="000000" w:themeColor="text1"/>
          <w:sz w:val="16"/>
          <w:szCs w:val="16"/>
        </w:rPr>
        <w:softHyphen/>
        <w:t>зации, стоившей более 2 млн руб., наморси СССР В. М. Орлов разрешил ее проведение на одной лодке. Выбор пал на подводную лодку "Комиссар" (с сентября 1934 г. — Б-2). Модер</w:t>
      </w:r>
      <w:r w:rsidRPr="0044524F">
        <w:rPr>
          <w:rFonts w:ascii="Times New Roman" w:hAnsi="Times New Roman"/>
          <w:color w:val="000000" w:themeColor="text1"/>
          <w:sz w:val="16"/>
          <w:szCs w:val="16"/>
        </w:rPr>
        <w:softHyphen/>
        <w:t>низацию в 1934—1935 гг. выполнил Балтийский завод по проекту инженеров ЦКБС-2 во главе с П. В. Белкиным.</w:t>
      </w:r>
    </w:p>
    <w:p w14:paraId="5503B0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прочном корпусе Б-2 были установлены две плоские водо</w:t>
      </w:r>
      <w:r w:rsidRPr="0044524F">
        <w:rPr>
          <w:rFonts w:ascii="Times New Roman" w:hAnsi="Times New Roman"/>
          <w:color w:val="000000" w:themeColor="text1"/>
          <w:sz w:val="16"/>
          <w:szCs w:val="16"/>
        </w:rPr>
        <w:softHyphen/>
        <w:t>непроницаемые переборки, подразделявшие лодку на три отсека. Замена 250-сильных дизелей на дизели типа 38-В-8 (по 685 л. с.) позволила довести надводную скорость до 15,5 уз. Однако главное вооружение лодки оставалось слабым (четыре торпедных аппарата калибром 450 мм) (3898).</w:t>
      </w:r>
    </w:p>
    <w:p w14:paraId="099A8C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D91ADD6" w14:textId="77777777" w:rsidR="00A62F5F" w:rsidRPr="0044524F" w:rsidRDefault="00A62F5F" w:rsidP="009654CF">
      <w:pPr>
        <w:shd w:val="clear" w:color="auto" w:fill="FFFFFF"/>
        <w:spacing w:after="0" w:line="240" w:lineRule="auto"/>
        <w:jc w:val="both"/>
        <w:rPr>
          <w:rFonts w:ascii="Times New Roman" w:hAnsi="Times New Roman"/>
          <w:i/>
          <w:iCs/>
          <w:color w:val="000000" w:themeColor="text1"/>
          <w:sz w:val="16"/>
          <w:szCs w:val="16"/>
        </w:rPr>
      </w:pPr>
      <w:r w:rsidRPr="0044524F">
        <w:rPr>
          <w:rStyle w:val="88"/>
          <w:rFonts w:ascii="Times New Roman" w:hAnsi="Times New Roman" w:cs="Times New Roman"/>
          <w:color w:val="000000" w:themeColor="text1"/>
          <w:sz w:val="16"/>
          <w:szCs w:val="16"/>
          <w:u w:val="none"/>
        </w:rPr>
        <w:t>К концу 1933 г. ударный труд судостроителей и моря</w:t>
      </w:r>
      <w:r w:rsidRPr="0044524F">
        <w:rPr>
          <w:rStyle w:val="88"/>
          <w:rFonts w:ascii="Times New Roman" w:hAnsi="Times New Roman" w:cs="Times New Roman"/>
          <w:color w:val="000000" w:themeColor="text1"/>
          <w:sz w:val="16"/>
          <w:szCs w:val="16"/>
          <w:u w:val="none"/>
        </w:rPr>
        <w:softHyphen/>
        <w:t>ков-тихоокеанцев позволил</w:t>
      </w:r>
      <w:r w:rsidRPr="0044524F">
        <w:rPr>
          <w:rStyle w:val="88"/>
          <w:rFonts w:ascii="Times New Roman" w:hAnsi="Times New Roman" w:cs="Times New Roman"/>
          <w:color w:val="000000" w:themeColor="text1"/>
          <w:sz w:val="16"/>
          <w:szCs w:val="16"/>
        </w:rPr>
        <w:t xml:space="preserve"> </w:t>
      </w:r>
      <w:r w:rsidRPr="0044524F">
        <w:rPr>
          <w:rStyle w:val="89"/>
          <w:rFonts w:ascii="Times New Roman" w:hAnsi="Times New Roman" w:cs="Times New Roman"/>
          <w:color w:val="000000" w:themeColor="text1"/>
          <w:sz w:val="16"/>
          <w:szCs w:val="16"/>
        </w:rPr>
        <w:t>сдать флоту первые восемь «Щук». Еще 23.9.1933 г. было объявлено, что 2-я мор</w:t>
      </w:r>
      <w:r w:rsidRPr="0044524F">
        <w:rPr>
          <w:rStyle w:val="89"/>
          <w:rFonts w:ascii="Times New Roman" w:hAnsi="Times New Roman" w:cs="Times New Roman"/>
          <w:color w:val="000000" w:themeColor="text1"/>
          <w:sz w:val="16"/>
          <w:szCs w:val="16"/>
        </w:rPr>
        <w:softHyphen/>
        <w:t>ская бригада МСДВ считается сформирован</w:t>
      </w:r>
      <w:r w:rsidRPr="0044524F">
        <w:rPr>
          <w:rStyle w:val="89"/>
          <w:rFonts w:ascii="Times New Roman" w:hAnsi="Times New Roman" w:cs="Times New Roman"/>
          <w:color w:val="000000" w:themeColor="text1"/>
          <w:sz w:val="16"/>
          <w:szCs w:val="16"/>
        </w:rPr>
        <w:softHyphen/>
        <w:t>ной. Ее первым командиром стал К.О. Оси</w:t>
      </w:r>
      <w:r w:rsidRPr="0044524F">
        <w:rPr>
          <w:rStyle w:val="89"/>
          <w:rFonts w:ascii="Times New Roman" w:hAnsi="Times New Roman" w:cs="Times New Roman"/>
          <w:color w:val="000000" w:themeColor="text1"/>
          <w:sz w:val="16"/>
          <w:szCs w:val="16"/>
        </w:rPr>
        <w:softHyphen/>
        <w:t>пов. Соединение могло обеспечить непре</w:t>
      </w:r>
      <w:r w:rsidRPr="0044524F">
        <w:rPr>
          <w:rStyle w:val="89"/>
          <w:rFonts w:ascii="Times New Roman" w:hAnsi="Times New Roman" w:cs="Times New Roman"/>
          <w:color w:val="000000" w:themeColor="text1"/>
          <w:sz w:val="16"/>
          <w:szCs w:val="16"/>
        </w:rPr>
        <w:softHyphen/>
        <w:t>рывное «обслуживание» субмаринами 3-4 позиций на коммуникациях или у баз про</w:t>
      </w:r>
      <w:r w:rsidRPr="0044524F">
        <w:rPr>
          <w:rStyle w:val="89"/>
          <w:rFonts w:ascii="Times New Roman" w:hAnsi="Times New Roman" w:cs="Times New Roman"/>
          <w:color w:val="000000" w:themeColor="text1"/>
          <w:sz w:val="16"/>
          <w:szCs w:val="16"/>
        </w:rPr>
        <w:softHyphen/>
        <w:t>тивника. Говоря в 1934 г. с трибуны XVII съезда ВКП(б) о развертывании военно- морских сил на Севере и Дальнем Востоке, Наркомвоенмор К.Е. Ворошилов подчерки</w:t>
      </w:r>
      <w:r w:rsidRPr="0044524F">
        <w:rPr>
          <w:rStyle w:val="89"/>
          <w:rFonts w:ascii="Times New Roman" w:hAnsi="Times New Roman" w:cs="Times New Roman"/>
          <w:color w:val="000000" w:themeColor="text1"/>
          <w:sz w:val="16"/>
          <w:szCs w:val="16"/>
        </w:rPr>
        <w:softHyphen/>
        <w:t>вал, что:</w:t>
      </w:r>
      <w:r w:rsidRPr="0044524F">
        <w:rPr>
          <w:rStyle w:val="aff5"/>
          <w:rFonts w:ascii="Times New Roman" w:hAnsi="Times New Roman" w:cs="Times New Roman"/>
          <w:color w:val="000000" w:themeColor="text1"/>
        </w:rPr>
        <w:t xml:space="preserve"> </w:t>
      </w:r>
      <w:r w:rsidRPr="0044524F">
        <w:rPr>
          <w:rStyle w:val="aff5"/>
          <w:rFonts w:ascii="Times New Roman" w:hAnsi="Times New Roman" w:cs="Times New Roman"/>
          <w:i w:val="0"/>
          <w:iCs w:val="0"/>
          <w:color w:val="000000" w:themeColor="text1"/>
        </w:rPr>
        <w:t>«...у нас нет там линкоров и авиа</w:t>
      </w:r>
      <w:r w:rsidRPr="0044524F">
        <w:rPr>
          <w:rStyle w:val="aff5"/>
          <w:rFonts w:ascii="Times New Roman" w:hAnsi="Times New Roman" w:cs="Times New Roman"/>
          <w:i w:val="0"/>
          <w:iCs w:val="0"/>
          <w:color w:val="000000" w:themeColor="text1"/>
        </w:rPr>
        <w:softHyphen/>
        <w:t>носцев, этих средств морского нападения. Но ведь мы и не собираемся ни на кого напа</w:t>
      </w:r>
      <w:r w:rsidRPr="0044524F">
        <w:rPr>
          <w:rStyle w:val="aff5"/>
          <w:rFonts w:ascii="Times New Roman" w:hAnsi="Times New Roman" w:cs="Times New Roman"/>
          <w:i w:val="0"/>
          <w:iCs w:val="0"/>
          <w:color w:val="000000" w:themeColor="text1"/>
        </w:rPr>
        <w:softHyphen/>
        <w:t>дать на море, так же как и на суше. Мы хотим только защитить наши берега и границы и убеждены, что те легкие силы и береговая оборона, которые мы там уже имеем, и, главным образом, наша морская авиация и подводные лодки основательно покалечат нападающего врага».</w:t>
      </w:r>
    </w:p>
    <w:p w14:paraId="78C69EBD" w14:textId="77777777" w:rsidR="00A62F5F" w:rsidRPr="0044524F" w:rsidRDefault="00A62F5F" w:rsidP="009654CF">
      <w:pPr>
        <w:shd w:val="clear" w:color="auto" w:fill="FFFFFF"/>
        <w:spacing w:after="0" w:line="240" w:lineRule="auto"/>
        <w:jc w:val="both"/>
        <w:rPr>
          <w:rFonts w:ascii="Times New Roman" w:hAnsi="Times New Roman"/>
          <w:color w:val="000000" w:themeColor="text1"/>
          <w:sz w:val="16"/>
          <w:szCs w:val="16"/>
        </w:rPr>
      </w:pPr>
      <w:r w:rsidRPr="0044524F">
        <w:rPr>
          <w:rStyle w:val="89"/>
          <w:rFonts w:ascii="Times New Roman" w:hAnsi="Times New Roman" w:cs="Times New Roman"/>
          <w:color w:val="000000" w:themeColor="text1"/>
          <w:sz w:val="16"/>
          <w:szCs w:val="16"/>
        </w:rPr>
        <w:t>Не успели первые тихоокеанские «Щуки» вступить в строй, как их привлекли к несе</w:t>
      </w:r>
      <w:r w:rsidRPr="0044524F">
        <w:rPr>
          <w:rStyle w:val="89"/>
          <w:rFonts w:ascii="Times New Roman" w:hAnsi="Times New Roman" w:cs="Times New Roman"/>
          <w:color w:val="000000" w:themeColor="text1"/>
          <w:sz w:val="16"/>
          <w:szCs w:val="16"/>
        </w:rPr>
        <w:softHyphen/>
        <w:t>нию дозорной службы на подходах к глав</w:t>
      </w:r>
      <w:r w:rsidRPr="0044524F">
        <w:rPr>
          <w:rStyle w:val="89"/>
          <w:rFonts w:ascii="Times New Roman" w:hAnsi="Times New Roman" w:cs="Times New Roman"/>
          <w:color w:val="000000" w:themeColor="text1"/>
          <w:sz w:val="16"/>
          <w:szCs w:val="16"/>
        </w:rPr>
        <w:softHyphen/>
        <w:t>ной базе - военный конфликт с Японией ожидался со дня на день. Первая зима на Тихом океане выявила много мелочей, досаждавших морякам. Лодки не были обес</w:t>
      </w:r>
      <w:r w:rsidRPr="0044524F">
        <w:rPr>
          <w:rStyle w:val="89"/>
          <w:rFonts w:ascii="Times New Roman" w:hAnsi="Times New Roman" w:cs="Times New Roman"/>
          <w:color w:val="000000" w:themeColor="text1"/>
          <w:sz w:val="16"/>
          <w:szCs w:val="16"/>
        </w:rPr>
        <w:softHyphen/>
        <w:t>печены технической и эксплуатационной документацией. Внутреннее расположение, и раньше справедливо критиковавшееся за «затесненность», оказалось малоподходя</w:t>
      </w:r>
      <w:r w:rsidRPr="0044524F">
        <w:rPr>
          <w:rStyle w:val="89"/>
          <w:rFonts w:ascii="Times New Roman" w:hAnsi="Times New Roman" w:cs="Times New Roman"/>
          <w:color w:val="000000" w:themeColor="text1"/>
          <w:sz w:val="16"/>
          <w:szCs w:val="16"/>
        </w:rPr>
        <w:softHyphen/>
        <w:t>щим для повседневного осмотра механиз</w:t>
      </w:r>
      <w:r w:rsidRPr="0044524F">
        <w:rPr>
          <w:rStyle w:val="89"/>
          <w:rFonts w:ascii="Times New Roman" w:hAnsi="Times New Roman" w:cs="Times New Roman"/>
          <w:color w:val="000000" w:themeColor="text1"/>
          <w:sz w:val="16"/>
          <w:szCs w:val="16"/>
        </w:rPr>
        <w:softHyphen/>
        <w:t>мов. Для доступа к некоторым из них требо</w:t>
      </w:r>
      <w:r w:rsidRPr="0044524F">
        <w:rPr>
          <w:rStyle w:val="89"/>
          <w:rFonts w:ascii="Times New Roman" w:hAnsi="Times New Roman" w:cs="Times New Roman"/>
          <w:color w:val="000000" w:themeColor="text1"/>
          <w:sz w:val="16"/>
          <w:szCs w:val="16"/>
        </w:rPr>
        <w:softHyphen/>
        <w:t>валось несколько часов разбирать другие системы. Холод проявил себя везде: замер</w:t>
      </w:r>
      <w:r w:rsidRPr="0044524F">
        <w:rPr>
          <w:rStyle w:val="89"/>
          <w:rFonts w:ascii="Times New Roman" w:hAnsi="Times New Roman" w:cs="Times New Roman"/>
          <w:color w:val="000000" w:themeColor="text1"/>
          <w:sz w:val="16"/>
          <w:szCs w:val="16"/>
        </w:rPr>
        <w:softHyphen/>
        <w:t>зала пресная вода, некоторые горловины, трубопроводы и клапаны, лед набивался в ниши щитов торпедных аппаратов и препят</w:t>
      </w:r>
      <w:r w:rsidRPr="0044524F">
        <w:rPr>
          <w:rStyle w:val="89"/>
          <w:rFonts w:ascii="Times New Roman" w:hAnsi="Times New Roman" w:cs="Times New Roman"/>
          <w:color w:val="000000" w:themeColor="text1"/>
          <w:sz w:val="16"/>
          <w:szCs w:val="16"/>
        </w:rPr>
        <w:softHyphen/>
        <w:t>ствовал их открыванию. Намерзание льда на надстройке превращало ее в палубную цистерну, препятствуя погружению. На сто</w:t>
      </w:r>
      <w:r w:rsidRPr="0044524F">
        <w:rPr>
          <w:rStyle w:val="89"/>
          <w:rFonts w:ascii="Times New Roman" w:hAnsi="Times New Roman" w:cs="Times New Roman"/>
          <w:color w:val="000000" w:themeColor="text1"/>
          <w:sz w:val="16"/>
          <w:szCs w:val="16"/>
        </w:rPr>
        <w:softHyphen/>
        <w:t>янке замерзали приводы кормовых горизон</w:t>
      </w:r>
      <w:r w:rsidRPr="0044524F">
        <w:rPr>
          <w:rStyle w:val="89"/>
          <w:rFonts w:ascii="Times New Roman" w:hAnsi="Times New Roman" w:cs="Times New Roman"/>
          <w:color w:val="000000" w:themeColor="text1"/>
          <w:sz w:val="16"/>
          <w:szCs w:val="16"/>
        </w:rPr>
        <w:softHyphen/>
        <w:t>тальных рулей. Борьба с морозом с помо</w:t>
      </w:r>
      <w:r w:rsidRPr="0044524F">
        <w:rPr>
          <w:rStyle w:val="89"/>
          <w:rFonts w:ascii="Times New Roman" w:hAnsi="Times New Roman" w:cs="Times New Roman"/>
          <w:color w:val="000000" w:themeColor="text1"/>
          <w:sz w:val="16"/>
          <w:szCs w:val="16"/>
        </w:rPr>
        <w:softHyphen/>
        <w:t>щью грелок давала высокую влажность, при</w:t>
      </w:r>
      <w:r w:rsidRPr="0044524F">
        <w:rPr>
          <w:rStyle w:val="89"/>
          <w:rFonts w:ascii="Times New Roman" w:hAnsi="Times New Roman" w:cs="Times New Roman"/>
          <w:color w:val="000000" w:themeColor="text1"/>
          <w:sz w:val="16"/>
          <w:szCs w:val="16"/>
        </w:rPr>
        <w:softHyphen/>
        <w:t>водившую к постоянным пробоям изоляции и перегоранию предохранителей. Аккуму</w:t>
      </w:r>
      <w:r w:rsidRPr="0044524F">
        <w:rPr>
          <w:rStyle w:val="89"/>
          <w:rFonts w:ascii="Times New Roman" w:hAnsi="Times New Roman" w:cs="Times New Roman"/>
          <w:color w:val="000000" w:themeColor="text1"/>
          <w:sz w:val="16"/>
          <w:szCs w:val="16"/>
        </w:rPr>
        <w:softHyphen/>
        <w:t>ляторная батарея, наоборот, потребляла много воды, а наличного запаса хватало только на четыре зарядки зимой и вполови</w:t>
      </w:r>
      <w:r w:rsidRPr="0044524F">
        <w:rPr>
          <w:rStyle w:val="89"/>
          <w:rFonts w:ascii="Times New Roman" w:hAnsi="Times New Roman" w:cs="Times New Roman"/>
          <w:color w:val="000000" w:themeColor="text1"/>
          <w:sz w:val="16"/>
          <w:szCs w:val="16"/>
        </w:rPr>
        <w:softHyphen/>
        <w:t>ну меньше летом. Доливать воду мешали запасные торпеды и койки экипажа. Элек</w:t>
      </w:r>
      <w:r w:rsidRPr="0044524F">
        <w:rPr>
          <w:rStyle w:val="89"/>
          <w:rFonts w:ascii="Times New Roman" w:hAnsi="Times New Roman" w:cs="Times New Roman"/>
          <w:color w:val="000000" w:themeColor="text1"/>
          <w:sz w:val="16"/>
          <w:szCs w:val="16"/>
        </w:rPr>
        <w:softHyphen/>
        <w:t>тромоторы оказались мощнее батареи, что и приводило к повышению ее температуры. Система охлаждения дизелей показала недостаточную производительность. Устра</w:t>
      </w:r>
      <w:r w:rsidRPr="0044524F">
        <w:rPr>
          <w:rStyle w:val="89"/>
          <w:rFonts w:ascii="Times New Roman" w:hAnsi="Times New Roman" w:cs="Times New Roman"/>
          <w:color w:val="000000" w:themeColor="text1"/>
          <w:sz w:val="16"/>
          <w:szCs w:val="16"/>
        </w:rPr>
        <w:softHyphen/>
        <w:t>нить утечки масла не удалось. Все трубопро</w:t>
      </w:r>
      <w:r w:rsidRPr="0044524F">
        <w:rPr>
          <w:rStyle w:val="89"/>
          <w:rFonts w:ascii="Times New Roman" w:hAnsi="Times New Roman" w:cs="Times New Roman"/>
          <w:color w:val="000000" w:themeColor="text1"/>
          <w:sz w:val="16"/>
          <w:szCs w:val="16"/>
        </w:rPr>
        <w:softHyphen/>
        <w:t xml:space="preserve">воды из стали быстро коррозировали. Этот материал решили использовать по образцу английской подводной лодки </w:t>
      </w:r>
      <w:r w:rsidRPr="0044524F">
        <w:rPr>
          <w:rStyle w:val="89"/>
          <w:rFonts w:ascii="Times New Roman" w:hAnsi="Times New Roman" w:cs="Times New Roman"/>
          <w:color w:val="000000" w:themeColor="text1"/>
          <w:sz w:val="16"/>
          <w:szCs w:val="16"/>
          <w:lang w:val="en-US"/>
        </w:rPr>
        <w:t>L</w:t>
      </w:r>
      <w:r w:rsidRPr="0044524F">
        <w:rPr>
          <w:rStyle w:val="89"/>
          <w:rFonts w:ascii="Times New Roman" w:hAnsi="Times New Roman" w:cs="Times New Roman"/>
          <w:color w:val="000000" w:themeColor="text1"/>
          <w:sz w:val="16"/>
          <w:szCs w:val="16"/>
        </w:rPr>
        <w:t xml:space="preserve">-55 (она потонула во время боевых действий против Советской Республики в 1919 году в наши </w:t>
      </w:r>
      <w:r w:rsidRPr="0044524F">
        <w:rPr>
          <w:rStyle w:val="900"/>
          <w:rFonts w:ascii="Times New Roman" w:hAnsi="Times New Roman" w:cs="Times New Roman"/>
          <w:color w:val="000000" w:themeColor="text1"/>
          <w:sz w:val="16"/>
          <w:szCs w:val="16"/>
        </w:rPr>
        <w:t>территориальных водах, но потом была под</w:t>
      </w:r>
      <w:r w:rsidRPr="0044524F">
        <w:rPr>
          <w:rStyle w:val="900"/>
          <w:rFonts w:ascii="Times New Roman" w:hAnsi="Times New Roman" w:cs="Times New Roman"/>
          <w:color w:val="000000" w:themeColor="text1"/>
          <w:sz w:val="16"/>
          <w:szCs w:val="16"/>
        </w:rPr>
        <w:softHyphen/>
        <w:t>нята и восстановлена для Советского ВМФ, прослужив под номером Л-55 до 1945 года). На стали для трубопроводов настаивали и представители промышленности.</w:t>
      </w:r>
    </w:p>
    <w:p w14:paraId="76C4BB1B" w14:textId="77777777" w:rsidR="00A62F5F" w:rsidRPr="0044524F" w:rsidRDefault="00A62F5F" w:rsidP="009654CF">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44524F">
        <w:rPr>
          <w:rStyle w:val="900"/>
          <w:rFonts w:ascii="Times New Roman" w:hAnsi="Times New Roman" w:cs="Times New Roman"/>
          <w:color w:val="000000" w:themeColor="text1"/>
          <w:sz w:val="16"/>
          <w:szCs w:val="16"/>
        </w:rPr>
        <w:t>В этих условиях обнажилось и то, что наши командиры-подводники оказались непривычны к морю, а многие попросту боятся самостоятельно плавать в отрыве от базы даже те 8-9 суток, которые длился дозор. Все это не осталось незамеченным со стороны флотского руководства, поставив</w:t>
      </w:r>
      <w:r w:rsidRPr="0044524F">
        <w:rPr>
          <w:rStyle w:val="900"/>
          <w:rFonts w:ascii="Times New Roman" w:hAnsi="Times New Roman" w:cs="Times New Roman"/>
          <w:color w:val="000000" w:themeColor="text1"/>
          <w:sz w:val="16"/>
          <w:szCs w:val="16"/>
        </w:rPr>
        <w:softHyphen/>
        <w:t>шего задачу проводить длительные, далекие походы субмарин с отрывом от баз, нахо</w:t>
      </w:r>
      <w:r w:rsidRPr="0044524F">
        <w:rPr>
          <w:rStyle w:val="900"/>
          <w:rFonts w:ascii="Times New Roman" w:hAnsi="Times New Roman" w:cs="Times New Roman"/>
          <w:color w:val="000000" w:themeColor="text1"/>
          <w:sz w:val="16"/>
          <w:szCs w:val="16"/>
        </w:rPr>
        <w:softHyphen/>
        <w:t>диться в море на максимальном пределе воз</w:t>
      </w:r>
      <w:r w:rsidRPr="0044524F">
        <w:rPr>
          <w:rStyle w:val="900"/>
          <w:rFonts w:ascii="Times New Roman" w:hAnsi="Times New Roman" w:cs="Times New Roman"/>
          <w:color w:val="000000" w:themeColor="text1"/>
          <w:sz w:val="16"/>
          <w:szCs w:val="16"/>
        </w:rPr>
        <w:softHyphen/>
        <w:t>можностей людей и техники в самых слож</w:t>
      </w:r>
      <w:r w:rsidRPr="0044524F">
        <w:rPr>
          <w:rStyle w:val="900"/>
          <w:rFonts w:ascii="Times New Roman" w:hAnsi="Times New Roman" w:cs="Times New Roman"/>
          <w:color w:val="000000" w:themeColor="text1"/>
          <w:sz w:val="16"/>
          <w:szCs w:val="16"/>
        </w:rPr>
        <w:softHyphen/>
        <w:t>ных погодных условиях. Технические недо</w:t>
      </w:r>
      <w:r w:rsidRPr="0044524F">
        <w:rPr>
          <w:rStyle w:val="900"/>
          <w:rFonts w:ascii="Times New Roman" w:hAnsi="Times New Roman" w:cs="Times New Roman"/>
          <w:color w:val="000000" w:themeColor="text1"/>
          <w:sz w:val="16"/>
          <w:szCs w:val="16"/>
        </w:rPr>
        <w:softHyphen/>
        <w:t>статки были устранены, подготовку моряков усилили.</w:t>
      </w:r>
    </w:p>
    <w:p w14:paraId="744B0426" w14:textId="77777777" w:rsidR="00A62F5F" w:rsidRPr="0044524F" w:rsidRDefault="00A62F5F" w:rsidP="009654CF">
      <w:pPr>
        <w:pStyle w:val="116"/>
        <w:shd w:val="clear" w:color="auto" w:fill="auto"/>
        <w:spacing w:after="0" w:line="240" w:lineRule="auto"/>
        <w:ind w:firstLine="0"/>
        <w:jc w:val="both"/>
        <w:rPr>
          <w:rStyle w:val="900"/>
          <w:rFonts w:ascii="Times New Roman" w:hAnsi="Times New Roman" w:cs="Times New Roman"/>
          <w:color w:val="000000" w:themeColor="text1"/>
          <w:sz w:val="16"/>
          <w:szCs w:val="16"/>
        </w:rPr>
      </w:pPr>
      <w:r w:rsidRPr="0044524F">
        <w:rPr>
          <w:rStyle w:val="900"/>
          <w:rFonts w:ascii="Times New Roman" w:hAnsi="Times New Roman" w:cs="Times New Roman"/>
          <w:color w:val="000000" w:themeColor="text1"/>
          <w:sz w:val="16"/>
          <w:szCs w:val="16"/>
        </w:rPr>
        <w:t>Первыми в 1935 г. продолжительные походы совершили экипажи Щ-102 (пробыла в море 20 суток - полная автономность по техническому формуляру того времени - в том числе 143 часа и 21 минуту под водой) и Щ-111 (поход продолжительностью в 9 суток, из них в общей сложности 5 в подводном положении). Ничего подобного раньше не было, и такие походы субмарин получили в духе времени название «стахановских». За заслуги в освоении новой техники, боевой и политической подготовке, в 1935-36 гг.</w:t>
      </w:r>
      <w:r w:rsidRPr="0044524F">
        <w:rPr>
          <w:rStyle w:val="900"/>
          <w:rFonts w:ascii="Times New Roman" w:hAnsi="Times New Roman" w:cs="Times New Roman"/>
          <w:color w:val="000000" w:themeColor="text1"/>
          <w:sz w:val="16"/>
          <w:szCs w:val="16"/>
          <w:lang w:val="ru-RU"/>
        </w:rPr>
        <w:t xml:space="preserve"> </w:t>
      </w:r>
      <w:r w:rsidRPr="0044524F">
        <w:rPr>
          <w:rStyle w:val="900"/>
          <w:rFonts w:ascii="Times New Roman" w:hAnsi="Times New Roman" w:cs="Times New Roman"/>
          <w:color w:val="000000" w:themeColor="text1"/>
          <w:sz w:val="16"/>
          <w:szCs w:val="16"/>
        </w:rPr>
        <w:t>более 300 подводников были награждены орденами и медалями</w:t>
      </w:r>
      <w:r w:rsidRPr="0044524F">
        <w:rPr>
          <w:rStyle w:val="900"/>
          <w:rFonts w:ascii="Times New Roman" w:hAnsi="Times New Roman" w:cs="Times New Roman"/>
          <w:color w:val="000000" w:themeColor="text1"/>
          <w:sz w:val="16"/>
          <w:szCs w:val="16"/>
          <w:lang w:val="ru-RU"/>
        </w:rPr>
        <w:t xml:space="preserve"> (19891)</w:t>
      </w:r>
      <w:r w:rsidRPr="0044524F">
        <w:rPr>
          <w:rStyle w:val="900"/>
          <w:rFonts w:ascii="Times New Roman" w:hAnsi="Times New Roman" w:cs="Times New Roman"/>
          <w:color w:val="000000" w:themeColor="text1"/>
          <w:sz w:val="16"/>
          <w:szCs w:val="16"/>
        </w:rPr>
        <w:t>.</w:t>
      </w:r>
    </w:p>
    <w:p w14:paraId="7CEB240E" w14:textId="77777777" w:rsidR="00A62F5F" w:rsidRPr="0044524F" w:rsidRDefault="00A62F5F" w:rsidP="009654CF">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12FD519B"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 с фирмой «Ансальдо» удалось заключить договор, по которому фирма обязывалась:</w:t>
      </w:r>
    </w:p>
    <w:p w14:paraId="1B3070BE"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передать полный комплект рабочих чертежей по корпусу лёгкого крейсера «Монтекуккули»;</w:t>
      </w:r>
    </w:p>
    <w:p w14:paraId="2C61DCCD"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передать полный комплект двухвальной главной энергетической установки для лёгкого крейсера «Евгений Савойский» со всеми рабочими чертежами;</w:t>
      </w:r>
    </w:p>
    <w:p w14:paraId="41606BA8"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 то же по всем поставляемым для «Евгения Савойского» вспомогательным механизмам.</w:t>
      </w:r>
    </w:p>
    <w:p w14:paraId="2B0ED4F0"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Фирма «Ансальдо» давала гарантию достижения скорости 37 узлов на испытаниях при условии постройки корабля по теоретическому чертежу фирмы, при размещении механизмов и котлов аналогично «Евгению Савойскому» и при водоизмещении крейсера на испытаниях не более 7200 т. (25184)</w:t>
      </w:r>
    </w:p>
    <w:p w14:paraId="730BCAE9" w14:textId="77777777" w:rsidR="000C4BE0" w:rsidRPr="00142305" w:rsidRDefault="000C4BE0" w:rsidP="000C4BE0">
      <w:pPr>
        <w:spacing w:after="0" w:line="240" w:lineRule="auto"/>
        <w:jc w:val="both"/>
        <w:rPr>
          <w:rFonts w:ascii="Times New Roman" w:hAnsi="Times New Roman"/>
          <w:color w:val="0070C0"/>
          <w:sz w:val="16"/>
          <w:szCs w:val="16"/>
        </w:rPr>
      </w:pPr>
    </w:p>
    <w:p w14:paraId="090F45E2" w14:textId="77777777" w:rsidR="002E2083"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29F8B33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44FFFC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года в строевых частях ТБ-3 уже было больше, чем ТБ-1, но они пока лишь дополняли, а не вытесняли последние. К этому времени у основной массы летного состава туполевский бомбовоз вызывал чувство законного уважения. Четырехмоторные гиганты оказались достаточно устойчивы в воздухе и покладисты в пилотировании. В отзывах из частей, осваивавших новую машину, отмечалось: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 «качество продукции завода №22 в основном удовлетворительное, за исключением мелких дефектов», но и дефектов по-прежнему было немало. "Наличие многих вмятин на обшивке, прорывов гофра, забоин, трещин около заклепок и в других местах, трещины в узлах, недотяжка болтов, отсутствие шплинтовки соединений... Бензиновые баки текут, главным образом по швам...» Краска, которой покрывали самолет, оказалась непригодной для металла - шелушилась, вспучивалась и отлетала. Инструкция по эксплуатации грустно констатировала: «...окраска, легко сползающая под влиянием дождя, а зачастую и просто в полете, не может выдержать даже бережного обмывания мягкими тряпками... » Бывали и очень серьезные случаи выворачивания узла полуоси шасси на взлете. Поэтому на последних сериях 1933 г. ставили усиленные полуоси, которые также рассылали в места дислокации. Особые нарекания вызывала мотоустановка: разрушались водорадиа-торы, текли и обрывались различные трубопроводы, ломались коленчатые валы двигателей. В строевых частях столкнулись и с другими неприятностями, например трещинами в горизонтальных трубах тележек шасси. Свой вклад в эту картину внесли примитивные условия обслуживания на полевых аэродромах. Так, для того чтобы собрать ТБ-3, в частях попросту копали огромную яму с профилированными откосами, укладывали туда секции и соединяли их болтами. Это было куда легче, чем изготовление сложной многоярусной системы козлов, предписанной регламентом. К наземному обслуживанию ТБ-3 подошли очень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т.ч.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 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 (7668).</w:t>
      </w:r>
    </w:p>
    <w:p w14:paraId="2B8F4A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33595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года четырехмоторных машин в строевых частях уже было больше, чем ТБ-1. но они пока лишь дополняли, а не вытесняли последние.</w:t>
      </w:r>
    </w:p>
    <w:p w14:paraId="29B559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Четырехмоторные гиганты оказались достаточно устойчивы в воздухе и покладисты в пилотировании. Вот отзывы из бригад, осваивавших новую машину. "Конструкция корабля ТБ-3 в основном вполне удовлетворительна, прочна и может выдержать самые неблагоприятные условия эксплуатации при условии увеличения надежности моторной группы".</w:t>
      </w:r>
    </w:p>
    <w:p w14:paraId="2D352D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наземному обслуживанию ТБ-3 подошли серьезно. Для него разрабатывался целый набор специализированных автомашин и прицепов, в том числе проектировалась передвижная мастерская на шасси грузовика. По первому изданному регламенту в комплект средств обслуживания ТБ-3 входили пять колесных и гусеничных машин, в том числе гусеничный трактор "Коммунар" для буксировки бомбардировщика по аэродрому. На практике техники не хватало. При отсутствии трактора обходились 40-50 красноармейцами, толкавшими машину под руководством старшего техника, следившего, чтобы самолет не разворачивали слишком круто - можно было свернуть крепления тележек. Если трактор имелся, то потребность в "живой силе" сокращалась до 10-12 человек. Они заносили хвост самолета.</w:t>
      </w:r>
    </w:p>
    <w:p w14:paraId="6C15CA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земле ТБ-3 обслуживали пять механиков, которым хватало работы. Заправка только одного бензобака (с применением пневматики) занимала три с половиной часа, а баков стояло четыре - самолет потреблял до 360 л топлива в час. В систему охлаждения каждого мотора надо было влить 10-12 ведер воды (зимой - горячей). Моторы по инструкции полагалось заводить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припрягали лошадь. Храповики для автостартеров на втулках винтов ввели значительно позже.</w:t>
      </w:r>
    </w:p>
    <w:p w14:paraId="1B1924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1933 г. ВВС первоначально заказали 350 ТБ-3. затем под давлением представителей промышленности ограничились 300 машинами. По планам за год предстояло сфор- ТБ-3 в парадном мировать 22 эскадрильи, для чего требова- строю над Москвой 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w:t>
      </w:r>
      <w:r w:rsidRPr="0044524F">
        <w:rPr>
          <w:rFonts w:ascii="Times New Roman" w:hAnsi="Times New Roman"/>
          <w:color w:val="000000" w:themeColor="text1"/>
          <w:sz w:val="16"/>
          <w:szCs w:val="16"/>
        </w:rPr>
        <w:lastRenderedPageBreak/>
        <w:t>авиакорпуса. Всего сформировали пять таких корпусов по две бригады в каждом. Поначалу они имели на вооружении и ТБ-3, и ТБ-1. но постепенно четырехмоторные машины вытесняли ТБ-i на роль учебных и транспортных.</w:t>
      </w:r>
    </w:p>
    <w:p w14:paraId="2E992A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w:t>
      </w:r>
    </w:p>
    <w:p w14:paraId="450AA8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за год смогли сформировать 17 тяжелобомбардировочных эскадрилий. При этом доля бомбардировочной авиации в ВВС РККА поднялась с 26% до 35%. Хотели же получить гораздо больше - из-за недовыполнения планов в 1933 г. отказались от создания шести тяжелобомбардировочных бригад. По первоначальным наметкам уже к концу того года хотели иметь 864 тяжелых бомбардировщика в сухопутной авиации и 576 - в морской.</w:t>
      </w:r>
    </w:p>
    <w:p w14:paraId="44E478AF" w14:textId="0ABE508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надолго остался "становым хребтом" отечественной тяжелобомбардировочной авиации. Он несколько раз модернизировался и выпускался до 1937 г. Последние модификации оснащались уже не моторами М-17, а более мощными М-34. На бомбардировщики ставили сначала обычные М-34, затем М-34Р с редуктором и М-34РН с редуктором и нагнетателем; последние же серии получили еще более мощные М-34ФРН</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(12024).</w:t>
      </w:r>
    </w:p>
    <w:p w14:paraId="0BF6B3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98805D5" w14:textId="77777777" w:rsidR="00FE6D33" w:rsidRPr="00142305" w:rsidRDefault="00FE6D33" w:rsidP="00FE6D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1933 года четырехмо</w:t>
      </w:r>
      <w:r w:rsidRPr="00142305">
        <w:rPr>
          <w:rFonts w:ascii="Times New Roman" w:hAnsi="Times New Roman"/>
          <w:color w:val="0070C0"/>
          <w:sz w:val="16"/>
          <w:szCs w:val="16"/>
        </w:rPr>
        <w:softHyphen/>
        <w:t>торных машин ТБ-3 в строевых частях уже насчитывалось больше, чем ТБ-1, но они пока лишь дополняли, а не вытесняли последние.</w:t>
      </w:r>
    </w:p>
    <w:p w14:paraId="5254A713" w14:textId="77777777" w:rsidR="00FE6D33" w:rsidRPr="00142305" w:rsidRDefault="00FE6D33" w:rsidP="00FE6D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Четырехмоторные гиганты оказались до</w:t>
      </w:r>
      <w:r w:rsidRPr="00142305">
        <w:rPr>
          <w:rFonts w:ascii="Times New Roman" w:hAnsi="Times New Roman"/>
          <w:color w:val="0070C0"/>
          <w:sz w:val="16"/>
          <w:szCs w:val="16"/>
        </w:rPr>
        <w:softHyphen/>
        <w:t>статочно устойчивы в воздухе и покладисты в пилотировании.</w:t>
      </w:r>
    </w:p>
    <w:p w14:paraId="149A76EC" w14:textId="77777777" w:rsidR="00FE6D33" w:rsidRPr="00142305" w:rsidRDefault="00FE6D33" w:rsidP="00FE6D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Вот отзывы из бригад, осваивавших новую машину: «Конструкция корабля ТБ-3 в основном вполне удовлет</w:t>
      </w:r>
      <w:r w:rsidRPr="00142305">
        <w:rPr>
          <w:rFonts w:ascii="Times New Roman" w:hAnsi="Times New Roman"/>
          <w:color w:val="0070C0"/>
          <w:sz w:val="16"/>
          <w:szCs w:val="16"/>
        </w:rPr>
        <w:softHyphen/>
        <w:t>ворительна, прочна и может выдержать самые неблагоприятные условия эксплуа</w:t>
      </w:r>
      <w:r w:rsidRPr="00142305">
        <w:rPr>
          <w:rFonts w:ascii="Times New Roman" w:hAnsi="Times New Roman"/>
          <w:color w:val="0070C0"/>
          <w:sz w:val="16"/>
          <w:szCs w:val="16"/>
        </w:rPr>
        <w:softHyphen/>
        <w:t>тации при условии увеличения надежности моторной группы», «качество продукции за</w:t>
      </w:r>
      <w:r w:rsidRPr="00142305">
        <w:rPr>
          <w:rFonts w:ascii="Times New Roman" w:hAnsi="Times New Roman"/>
          <w:color w:val="0070C0"/>
          <w:sz w:val="16"/>
          <w:szCs w:val="16"/>
        </w:rPr>
        <w:softHyphen/>
        <w:t xml:space="preserve">вода № 22 в основном удовлетворительное, за исключением мелких дефектов». </w:t>
      </w:r>
    </w:p>
    <w:p w14:paraId="04D0E83F" w14:textId="77777777" w:rsidR="00FE6D33" w:rsidRPr="00142305" w:rsidRDefault="00FE6D33" w:rsidP="00FE6D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и дефектов насчитали немало. «Наличие многих вмятин на обшивке, прорывов гофра, забоин, трещин около заклепок и в других местах, трещины в уз</w:t>
      </w:r>
      <w:r w:rsidRPr="00142305">
        <w:rPr>
          <w:rFonts w:ascii="Times New Roman" w:hAnsi="Times New Roman"/>
          <w:color w:val="0070C0"/>
          <w:sz w:val="16"/>
          <w:szCs w:val="16"/>
        </w:rPr>
        <w:softHyphen/>
        <w:t>лах, недотяжка болтов, отсутствие шплин</w:t>
      </w:r>
      <w:r w:rsidRPr="00142305">
        <w:rPr>
          <w:rFonts w:ascii="Times New Roman" w:hAnsi="Times New Roman"/>
          <w:color w:val="0070C0"/>
          <w:sz w:val="16"/>
          <w:szCs w:val="16"/>
        </w:rPr>
        <w:softHyphen/>
        <w:t>товки соединений... Бензиновые баки текут, главным образом, по швам...» Бывали и очень серьезные случаи выворачивания узла полуоси шасси на взлете. Поэтому на последних сериях 1933 г. ставили усилен</w:t>
      </w:r>
      <w:r w:rsidRPr="00142305">
        <w:rPr>
          <w:rFonts w:ascii="Times New Roman" w:hAnsi="Times New Roman"/>
          <w:color w:val="0070C0"/>
          <w:sz w:val="16"/>
          <w:szCs w:val="16"/>
        </w:rPr>
        <w:softHyphen/>
        <w:t>ные полуоси, которые также рассылали по бригадам.</w:t>
      </w:r>
    </w:p>
    <w:p w14:paraId="5D6A6851" w14:textId="77777777" w:rsidR="00FE6D33" w:rsidRPr="00142305" w:rsidRDefault="00FE6D33" w:rsidP="00FE6D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Особые нарекания вызывала мотоуста</w:t>
      </w:r>
      <w:r w:rsidRPr="00142305">
        <w:rPr>
          <w:rFonts w:ascii="Times New Roman" w:hAnsi="Times New Roman"/>
          <w:color w:val="0070C0"/>
          <w:sz w:val="16"/>
          <w:szCs w:val="16"/>
        </w:rPr>
        <w:softHyphen/>
        <w:t>новка: разрушались водяные радиаторы, текли и обрывались различные трубо</w:t>
      </w:r>
      <w:r w:rsidRPr="00142305">
        <w:rPr>
          <w:rFonts w:ascii="Times New Roman" w:hAnsi="Times New Roman"/>
          <w:color w:val="0070C0"/>
          <w:sz w:val="16"/>
          <w:szCs w:val="16"/>
        </w:rPr>
        <w:softHyphen/>
        <w:t>проводы, ломались коленчатые валы дви</w:t>
      </w:r>
      <w:r w:rsidRPr="00142305">
        <w:rPr>
          <w:rFonts w:ascii="Times New Roman" w:hAnsi="Times New Roman"/>
          <w:color w:val="0070C0"/>
          <w:sz w:val="16"/>
          <w:szCs w:val="16"/>
        </w:rPr>
        <w:softHyphen/>
        <w:t>гателей. В строевых частях столкнулись и с другими неприятностями, например, трещинами в горизонтальных трубах те</w:t>
      </w:r>
      <w:r w:rsidRPr="00142305">
        <w:rPr>
          <w:rFonts w:ascii="Times New Roman" w:hAnsi="Times New Roman"/>
          <w:color w:val="0070C0"/>
          <w:sz w:val="16"/>
          <w:szCs w:val="16"/>
        </w:rPr>
        <w:softHyphen/>
        <w:t>лежек шасси. Свой вклад в эту картину внесли примитивные условия обслужи</w:t>
      </w:r>
      <w:r w:rsidRPr="00142305">
        <w:rPr>
          <w:rFonts w:ascii="Times New Roman" w:hAnsi="Times New Roman"/>
          <w:color w:val="0070C0"/>
          <w:sz w:val="16"/>
          <w:szCs w:val="16"/>
        </w:rPr>
        <w:softHyphen/>
        <w:t>вания на полевых аэродромах. Для того, чтобы собрать ТБ-3, в частях попросту копали огромную яму с профилирован</w:t>
      </w:r>
      <w:r w:rsidRPr="00142305">
        <w:rPr>
          <w:rFonts w:ascii="Times New Roman" w:hAnsi="Times New Roman"/>
          <w:color w:val="0070C0"/>
          <w:sz w:val="16"/>
          <w:szCs w:val="16"/>
        </w:rPr>
        <w:softHyphen/>
        <w:t>ными откосами, укладывали туда секции и соединяли их болтами. Так получалось куда проще, чем изготавливать сложную многоярусную систему козел, предписан</w:t>
      </w:r>
      <w:r w:rsidRPr="00142305">
        <w:rPr>
          <w:rFonts w:ascii="Times New Roman" w:hAnsi="Times New Roman"/>
          <w:color w:val="0070C0"/>
          <w:sz w:val="16"/>
          <w:szCs w:val="16"/>
        </w:rPr>
        <w:softHyphen/>
        <w:t>ную регламентом.</w:t>
      </w:r>
    </w:p>
    <w:p w14:paraId="5630C471" w14:textId="77777777" w:rsidR="00FE6D33" w:rsidRPr="00142305" w:rsidRDefault="00FE6D33" w:rsidP="00FE6D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наземному обслуживанию ТБ-3 подошли серьезно. Для него разрабаты</w:t>
      </w:r>
      <w:r w:rsidRPr="00142305">
        <w:rPr>
          <w:rFonts w:ascii="Times New Roman" w:hAnsi="Times New Roman"/>
          <w:color w:val="0070C0"/>
          <w:sz w:val="16"/>
          <w:szCs w:val="16"/>
        </w:rPr>
        <w:softHyphen/>
        <w:t>вался целый набор специализированных автомашин и прицепов, в том числе про</w:t>
      </w:r>
      <w:r w:rsidRPr="00142305">
        <w:rPr>
          <w:rFonts w:ascii="Times New Roman" w:hAnsi="Times New Roman"/>
          <w:color w:val="0070C0"/>
          <w:sz w:val="16"/>
          <w:szCs w:val="16"/>
        </w:rPr>
        <w:softHyphen/>
        <w:t>ектировалась передвижная мастерская на шасси грузовика. По первому изданному регламенту в комплект средств обслу</w:t>
      </w:r>
      <w:r w:rsidRPr="00142305">
        <w:rPr>
          <w:rFonts w:ascii="Times New Roman" w:hAnsi="Times New Roman"/>
          <w:color w:val="0070C0"/>
          <w:sz w:val="16"/>
          <w:szCs w:val="16"/>
        </w:rPr>
        <w:softHyphen/>
        <w:t>живания ТБ-3 входили пять колесных и гусеничных машин, включая трактор «Ком</w:t>
      </w:r>
      <w:r w:rsidRPr="00142305">
        <w:rPr>
          <w:rFonts w:ascii="Times New Roman" w:hAnsi="Times New Roman"/>
          <w:color w:val="0070C0"/>
          <w:sz w:val="16"/>
          <w:szCs w:val="16"/>
        </w:rPr>
        <w:softHyphen/>
        <w:t>мунар» для буксировки бомбардировщика по аэродрому. На практике техники не хватало. При отсутствии трактора обхо</w:t>
      </w:r>
      <w:r w:rsidRPr="00142305">
        <w:rPr>
          <w:rFonts w:ascii="Times New Roman" w:hAnsi="Times New Roman"/>
          <w:color w:val="0070C0"/>
          <w:sz w:val="16"/>
          <w:szCs w:val="16"/>
        </w:rPr>
        <w:softHyphen/>
        <w:t>дились 40 - 50 красноармейцами, толкав</w:t>
      </w:r>
      <w:r w:rsidRPr="00142305">
        <w:rPr>
          <w:rFonts w:ascii="Times New Roman" w:hAnsi="Times New Roman"/>
          <w:color w:val="0070C0"/>
          <w:sz w:val="16"/>
          <w:szCs w:val="16"/>
        </w:rPr>
        <w:softHyphen/>
        <w:t>шими машину под руководством старшего техника, следившего, чтобы самолет не разворачивали слишком круто - могли</w:t>
      </w:r>
      <w:r w:rsidRPr="00142305">
        <w:rPr>
          <w:rFonts w:ascii="Times New Roman" w:hAnsi="Times New Roman"/>
          <w:noProof/>
          <w:color w:val="0070C0"/>
          <w:sz w:val="16"/>
          <w:szCs w:val="16"/>
        </w:rPr>
        <w:t xml:space="preserve"> </w:t>
      </w:r>
      <w:r w:rsidRPr="00142305">
        <w:rPr>
          <w:rFonts w:ascii="Times New Roman" w:hAnsi="Times New Roman"/>
          <w:color w:val="0070C0"/>
          <w:sz w:val="16"/>
          <w:szCs w:val="16"/>
        </w:rPr>
        <w:t>свернуть крепления тележек. Если трактор имелся, то потребность в «живой силе» сокращалась до 10 - 12 человек, которые заносили хвост самолета.</w:t>
      </w:r>
    </w:p>
    <w:p w14:paraId="27ECF4CD" w14:textId="77777777" w:rsidR="00FE6D33" w:rsidRPr="00142305" w:rsidRDefault="00FE6D33" w:rsidP="00FE6D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земле ТБ-3 обслуживали пять меха</w:t>
      </w:r>
      <w:r w:rsidRPr="00142305">
        <w:rPr>
          <w:rFonts w:ascii="Times New Roman" w:hAnsi="Times New Roman"/>
          <w:color w:val="0070C0"/>
          <w:sz w:val="16"/>
          <w:szCs w:val="16"/>
        </w:rPr>
        <w:softHyphen/>
        <w:t>ников, которым хватало работы. Заправка только одного бензобака (с применением пневматики) занимала три с половиной часа, а баков стояло четыре - самолет по</w:t>
      </w:r>
      <w:r w:rsidRPr="00142305">
        <w:rPr>
          <w:rFonts w:ascii="Times New Roman" w:hAnsi="Times New Roman"/>
          <w:color w:val="0070C0"/>
          <w:sz w:val="16"/>
          <w:szCs w:val="16"/>
        </w:rPr>
        <w:softHyphen/>
        <w:t>треблял до 360 л топлива в час. В систему охлаждения каждого мотора требовалось влить 10-12 ведер воды (зимой - горя</w:t>
      </w:r>
      <w:r w:rsidRPr="00142305">
        <w:rPr>
          <w:rFonts w:ascii="Times New Roman" w:hAnsi="Times New Roman"/>
          <w:color w:val="0070C0"/>
          <w:sz w:val="16"/>
          <w:szCs w:val="16"/>
        </w:rPr>
        <w:softHyphen/>
        <w:t>чей). Моторы по инструкции полагалось за</w:t>
      </w:r>
      <w:r w:rsidRPr="00142305">
        <w:rPr>
          <w:rFonts w:ascii="Times New Roman" w:hAnsi="Times New Roman"/>
          <w:color w:val="0070C0"/>
          <w:sz w:val="16"/>
          <w:szCs w:val="16"/>
        </w:rPr>
        <w:softHyphen/>
        <w:t>водить сжатым воздухом от аэродромного баллона. А если его под рукой не имелось, обходились резиновой петлей на длинной палке, которую дергали человек пять; иногда к такому приспособлению припря</w:t>
      </w:r>
      <w:r w:rsidRPr="00142305">
        <w:rPr>
          <w:rFonts w:ascii="Times New Roman" w:hAnsi="Times New Roman"/>
          <w:color w:val="0070C0"/>
          <w:sz w:val="16"/>
          <w:szCs w:val="16"/>
        </w:rPr>
        <w:softHyphen/>
        <w:t>гали лошадь. Позже ввели храповики для присоединения «хобота» автостартера на втулках винтов.</w:t>
      </w:r>
    </w:p>
    <w:p w14:paraId="48781678" w14:textId="77777777" w:rsidR="00FE6D33" w:rsidRPr="00142305" w:rsidRDefault="00FE6D33" w:rsidP="00FE6D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1933 г. ВВС первоначально заказали 350 ТБ-3, затем под давлением предста</w:t>
      </w:r>
      <w:r w:rsidRPr="00142305">
        <w:rPr>
          <w:rFonts w:ascii="Times New Roman" w:hAnsi="Times New Roman"/>
          <w:color w:val="0070C0"/>
          <w:sz w:val="16"/>
          <w:szCs w:val="16"/>
        </w:rPr>
        <w:softHyphen/>
        <w:t>вителей промышленности ограничились 300 машинами. По планам за год пред</w:t>
      </w:r>
      <w:r w:rsidRPr="00142305">
        <w:rPr>
          <w:rFonts w:ascii="Times New Roman" w:hAnsi="Times New Roman"/>
          <w:color w:val="0070C0"/>
          <w:sz w:val="16"/>
          <w:szCs w:val="16"/>
        </w:rPr>
        <w:softHyphen/>
        <w:t>стояло сформировать 22 эскадрильи, для чего требовалось 264 бомбардировщика На практике в 1933 г. заводы выпустили 307 ТБ-3. Это позволило насытить бомбар</w:t>
      </w:r>
      <w:r w:rsidRPr="00142305">
        <w:rPr>
          <w:rFonts w:ascii="Times New Roman" w:hAnsi="Times New Roman"/>
          <w:color w:val="0070C0"/>
          <w:sz w:val="16"/>
          <w:szCs w:val="16"/>
        </w:rPr>
        <w:softHyphen/>
        <w:t>дировщиками ВВС, фактически впервые в мире создав крупные соединения стра</w:t>
      </w:r>
      <w:r w:rsidRPr="00142305">
        <w:rPr>
          <w:rFonts w:ascii="Times New Roman" w:hAnsi="Times New Roman"/>
          <w:color w:val="0070C0"/>
          <w:sz w:val="16"/>
          <w:szCs w:val="16"/>
        </w:rPr>
        <w:softHyphen/>
        <w:t>тегической авиации - бомбардировочные корпуса. Всего появились пять корпусов по две бригады в каждом. Поначалу они имели на вооружении и ТБ-3, и ТБ-1, но постепенно четырехмоторные машины вытеснили двухмоторные на роль учебных и транспортных.</w:t>
      </w:r>
    </w:p>
    <w:p w14:paraId="4202C3B3" w14:textId="77777777" w:rsidR="00FE6D33" w:rsidRPr="00142305" w:rsidRDefault="00FE6D33" w:rsidP="00FE6D33">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Части и соединения тяжелых бомбарди</w:t>
      </w:r>
      <w:r w:rsidRPr="00142305">
        <w:rPr>
          <w:rFonts w:ascii="Times New Roman" w:hAnsi="Times New Roman"/>
          <w:color w:val="0070C0"/>
          <w:sz w:val="16"/>
          <w:szCs w:val="16"/>
        </w:rPr>
        <w:softHyphen/>
        <w:t>ровщиков часто носили цветистые наиме</w:t>
      </w:r>
      <w:r w:rsidRPr="00142305">
        <w:rPr>
          <w:rFonts w:ascii="Times New Roman" w:hAnsi="Times New Roman"/>
          <w:color w:val="0070C0"/>
          <w:sz w:val="16"/>
          <w:szCs w:val="16"/>
        </w:rPr>
        <w:softHyphen/>
        <w:t>нования, характерные для того времени Например, «9-я бригада имени 10-го Все</w:t>
      </w:r>
      <w:r w:rsidRPr="00142305">
        <w:rPr>
          <w:rFonts w:ascii="Times New Roman" w:hAnsi="Times New Roman"/>
          <w:color w:val="0070C0"/>
          <w:sz w:val="16"/>
          <w:szCs w:val="16"/>
        </w:rPr>
        <w:softHyphen/>
        <w:t>союзного съезда Ленинского комсомола». Пять входивших в нее эскадрилий носили имена Ворошилова, Кагановича, Кирова, Постышева и Косарева (24938)</w:t>
      </w:r>
    </w:p>
    <w:p w14:paraId="7F1A7627" w14:textId="77777777" w:rsidR="00FE6D33" w:rsidRPr="00142305" w:rsidRDefault="00FE6D33" w:rsidP="00FE6D33">
      <w:pPr>
        <w:spacing w:after="0" w:line="240" w:lineRule="auto"/>
        <w:jc w:val="both"/>
        <w:rPr>
          <w:rFonts w:ascii="Times New Roman" w:hAnsi="Times New Roman"/>
          <w:color w:val="0070C0"/>
          <w:sz w:val="16"/>
          <w:szCs w:val="16"/>
        </w:rPr>
      </w:pPr>
    </w:p>
    <w:p w14:paraId="5C965C74"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 начальник Особого отдела ОГПУ М. И. Гай и его помощник Н. И. Добродицкий сделали запрос на имя К. Е. Ворошилова по поводу его согласия на изъятие из РККА командира корабля ТБ-3 29-й авиабригады ОКДВА Бодратого: «15 ноября с. г. на аэродроме 29 Авиабригады (ОКДВА) во время рулежки, вследствие преступной халатности со стороны ком. корабля БОДРАТОГО произошло столкновение двух ТБ-3. Ранее БОДРАТЫЙ имел одну поломку ТБ-3 при столкновении с самолетом Р-5 и одну аварию при взлете (налетел на лошадь). В процессе расследования установлено, что БОДРАТЫЙ, поступая в Красную Армию, скрыл то, что он является сыном крупного кулака, бывш. управляющего Елисаветградского банка, состоявшего в штабе банды ШТЫЛЯ и ныне высланного ОГПУ. Систематическая порча тяжелых кораблей при рулежке на земле БОДРАТЫМ дает основание предполагать умышленный вывод из строя самолетов, прикрываемый халатностью. Прошу Вашего согласия на его из’ятие из РККА» [5, л. 9].</w:t>
      </w:r>
    </w:p>
    <w:p w14:paraId="0F65AA9B"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Не позднее января 1934 г. начальник Главного управления РККА Б. М. Фельдман дал ответ начальнику Особого отдела ОГПУ о согласии К. Е. Ворошилова на арест командира корабля 29-й авиабригады Бодратого [5, л. 8] (25099).</w:t>
      </w:r>
    </w:p>
    <w:p w14:paraId="4A4EB554" w14:textId="77777777" w:rsidR="000C4BE0" w:rsidRPr="00142305" w:rsidRDefault="000C4BE0" w:rsidP="000C4BE0">
      <w:pPr>
        <w:spacing w:after="0" w:line="240" w:lineRule="auto"/>
        <w:jc w:val="both"/>
        <w:rPr>
          <w:rFonts w:ascii="Times New Roman" w:hAnsi="Times New Roman"/>
          <w:color w:val="0070C0"/>
          <w:sz w:val="16"/>
          <w:szCs w:val="16"/>
        </w:rPr>
      </w:pPr>
    </w:p>
    <w:p w14:paraId="125425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три самолета Р-5а отправили Морским силам Дальнего Востока (МСДВ). В январе следующего года 69-й отряд в Бочкарево уже имел 10 таких гидропланов. Всего же к 20 марта 1934 г. военную приемку прошли 13 Р-5а (12034).</w:t>
      </w:r>
    </w:p>
    <w:p w14:paraId="411F7B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FC58A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 И-5 стал самым массовым истребителем ВВС РККА. На 1 декабря их насчитывалось 343, то есть около 40% всего тогдашнего парка истребительной авиации. Они заменили в строю большую часть И-3. Основными районами дислокации И-5 оставались Ленинградский и Украинский военные округа и Забайкалье. В 1933 г. к ним добавился Дальний Восток (28-я эскадрилья в Воздвиженке и 32-я в Хабаровске). В составе ВВС ОКДВА в Забайкалье и на Дальнем Востоке в конце года находилось 137 И-5. Машины последних серий с кольцевыми капотами оказались более уязвимы для холода, чем старые с отдельными обтекателями цилиндров. Начали И-5 появляться также в Белоруссии и Подмосковье.</w:t>
      </w:r>
    </w:p>
    <w:p w14:paraId="086999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Массовая эксплуатация вызвала увеличение числа различных аварий и катастроф. При этом сказывались как недостатки самой машины, так и ошибки лётного состава. Встречались случаи пожаров в воздухе из-за обрыва бензопроводов. В 1-й эскадрилье у пилота Скоро- богатова отлетела часть полотна с крыла, машина сорвалась в штопор. Лётчик выпрыгнул, но парашют не раскрылся... В 26-й эскадрилье у лётчика Андреева на пикировании оборвались амортизаторы лыж. Лыжи встали торчком. Но мастерство помогло Андрееву сесть без больших повреждений. Пилот Власов из 117-й эскадрильи на рулении, несмотря на сопровождение техником, ухитрился врезаться в стоявшую на поле бочку с бензином. Металлический винт высек искру, начался пожар. Пламя перекинулось на самолёт, руливший сзади. Истребитель Власова пришлось списать, на второй машине сгорело полотно на оперении и фюзеляже. Итог - 10 суток ареста Власову, получившему небольшие ожоги, и 20 суток - технику Кабакову, руководившему рулением.</w:t>
      </w:r>
    </w:p>
    <w:p w14:paraId="5630FA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Качество истребителей оставалось невысоким, что вызывало определённые опасения у лётного состава. В сводке ОГПУ о настроениях военнослужащих мне встретилась фраза, подслушанная осведомителем в 251-й бригаде: "...мат- часть сыплется - эти новые машины плохо сделаны" (11997).</w:t>
      </w:r>
    </w:p>
    <w:p w14:paraId="3017B6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E59E7F4" w14:textId="77777777" w:rsidR="00A62F5F" w:rsidRPr="0044524F" w:rsidRDefault="00A62F5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К исходу 1933 г. на вооружении миллионных Вооруженных Сил СССР, которые с началом войны должны были быть развернуты в почти две сотни стрелковых, кавалерийских, механизированных и танковых дивизий и бригад, состояло свыше 4,5 тыс. самолетов, 7,5 тыс. танков, около 20 тыс. пушек и гаубиц (втрое больше, чем в русской армии 1914 г.) (Доклад Штаба РККА давал следующие цифры наличия вооружений на 1933 г.: 5600 самолетов, 9814 танков, 16 000 орудий крупного и среднего калибра, 5000 орудий малого калибра // РГВА. Ф. 40442. On. 1. Д 332. Л. 106. В эти данные, однако, включались ожидаемые поступления IV квартала 1933 г. (и, возможно, I квартала 1934 г.). По более поздним сведениям, количество танков всех типов на 1 января 1934 г. составляло 7547, военных самолетов - 4688 (МЕЛЬТЮХОВ М. И. Упущенный шанс Сталина: Советский Союз и борьба за Европу, 1939-1941: (Документы, факты, суждения). М., 2000. С 601, 349).). В планах войны был фактически достигнут уровень людской мобилизации России в мировой войне (5338 тыс.). От модернизации вооружений предшествующей эпохи Советский Союз в 1932-1933 начал переход к серийному производству новых образцов. Относительно других стран мощь РККА в 1933 г. достигла своего апогея (в частности, в этом году СССР произвел больше самолетов, чем США, Великобритания, Япония и Германия вместе взятые (Там же. С. 598-600) (22725).</w:t>
      </w:r>
    </w:p>
    <w:p w14:paraId="6A246284" w14:textId="77777777" w:rsidR="00A62F5F" w:rsidRPr="0044524F" w:rsidRDefault="00A62F5F" w:rsidP="009654CF">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10E44ADB" w14:textId="77777777" w:rsidR="00A62F5F" w:rsidRPr="0044524F" w:rsidRDefault="00A62F5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конце 1933 г. Главное военно-мобилизационное управление НКТП разработало мобплан "МП-33" (</w:t>
      </w:r>
      <w:bookmarkStart w:id="67" w:name="_Hlk96076804"/>
      <w:r w:rsidRPr="0044524F">
        <w:rPr>
          <w:rFonts w:ascii="Times New Roman" w:eastAsia="Times New Roman" w:hAnsi="Times New Roman"/>
          <w:color w:val="000000" w:themeColor="text1"/>
          <w:sz w:val="16"/>
          <w:szCs w:val="16"/>
          <w:lang w:eastAsia="ru-RU"/>
        </w:rPr>
        <w:t>"</w:t>
      </w:r>
      <w:bookmarkEnd w:id="67"/>
      <w:r w:rsidRPr="0044524F">
        <w:rPr>
          <w:rFonts w:ascii="Times New Roman" w:eastAsia="Times New Roman" w:hAnsi="Times New Roman"/>
          <w:color w:val="000000" w:themeColor="text1"/>
          <w:sz w:val="16"/>
          <w:szCs w:val="16"/>
          <w:lang w:eastAsia="ru-RU"/>
        </w:rPr>
        <w:t xml:space="preserve">С мобпланом я основательно повозился, втянул в дело главки, - сообщал Орджоникидзе один из его заместителей М. М. Каганович. - Многие на меня чертом смотрят. Но их в это дело необходимо втянуть и обязательно заставить заниматься этим делом, если не хотят, чтобы через их голову командовали (sic) заводами" (Письмо Кагановича Орджоникидзе, 30.09.1933 // Советское руководство: Переписка, 1928-1941 гг. / Сост. А. В. Квашонкин и др. М, 1999- С. 262))59. Основой для него послужила мобилизационная заявка НКВМ на 1933 г. Новый мобплан вступил в действие 1 января 1934 г. и, периодически обновляемый, оставался в силе до конца 1938 г. Параметры "МП-33" отличались от предложений комиссии Орджоникидзе главным образом более низкими заданиями по артвыстрелам (60 млн) и виптпатронам (3 млрд). Главным пороком этого плана, по заключению военной </w:t>
      </w:r>
      <w:r w:rsidRPr="0044524F">
        <w:rPr>
          <w:rFonts w:ascii="Times New Roman" w:eastAsia="Times New Roman" w:hAnsi="Times New Roman"/>
          <w:color w:val="000000" w:themeColor="text1"/>
          <w:sz w:val="16"/>
          <w:szCs w:val="16"/>
          <w:lang w:eastAsia="ru-RU"/>
        </w:rPr>
        <w:lastRenderedPageBreak/>
        <w:t>группы Комиссии советского контроля в 1934 г., являлось его сосредоточение на поставках вооружений при невнимании к выпуску средств производства, транспорта, удовлетворению иных производственных потребностей в военное время (Симонов Н. С Военно-промышленный комплекс СССР в 20-50-с годы: темпы экономического роста, структура, организация производства и управление. М</w:t>
      </w:r>
      <w:r w:rsidRPr="0044524F">
        <w:rPr>
          <w:rFonts w:ascii="Times New Roman" w:eastAsia="Times New Roman" w:hAnsi="Times New Roman"/>
          <w:color w:val="000000" w:themeColor="text1"/>
          <w:sz w:val="16"/>
          <w:szCs w:val="16"/>
          <w:lang w:val="en-US" w:eastAsia="ru-RU"/>
        </w:rPr>
        <w:t xml:space="preserve">., 1996. </w:t>
      </w:r>
      <w:r w:rsidRPr="0044524F">
        <w:rPr>
          <w:rFonts w:ascii="Times New Roman" w:eastAsia="Times New Roman" w:hAnsi="Times New Roman"/>
          <w:color w:val="000000" w:themeColor="text1"/>
          <w:sz w:val="16"/>
          <w:szCs w:val="16"/>
          <w:lang w:eastAsia="ru-RU"/>
        </w:rPr>
        <w:t>С</w:t>
      </w:r>
      <w:r w:rsidRPr="0044524F">
        <w:rPr>
          <w:rFonts w:ascii="Times New Roman" w:eastAsia="Times New Roman" w:hAnsi="Times New Roman"/>
          <w:color w:val="000000" w:themeColor="text1"/>
          <w:sz w:val="16"/>
          <w:szCs w:val="16"/>
          <w:lang w:val="en-US" w:eastAsia="ru-RU"/>
        </w:rPr>
        <w:t xml:space="preserve">. 117-120; SIMONOV N. Mobpodgotovka: Mobilization Planning in Interwar Industry // The Soviet Defence-Industry Complex from Stalin to Khruschev / Ed. by J. Barber and M. Harrison. </w:t>
      </w:r>
      <w:r w:rsidRPr="0044524F">
        <w:rPr>
          <w:rFonts w:ascii="Times New Roman" w:eastAsia="Times New Roman" w:hAnsi="Times New Roman"/>
          <w:color w:val="000000" w:themeColor="text1"/>
          <w:sz w:val="16"/>
          <w:szCs w:val="16"/>
          <w:lang w:eastAsia="ru-RU"/>
        </w:rPr>
        <w:t>Houndmills etc., 2000. P. 208-210). Вероятно, в этом отношении "МП-33" можно считать воплощением методологии, положенной в основу предложений Тухачевского 11 января 1930 г. Готовность плановых работников принять установку на сужение выпуска средств обеспечения тыла и жизни страны, по всей видимости, диктовалась фетишизацией боевых средств, порожденной (или, по крайней мере, поддерживаемой) директивами Комиссии обороны и СГО, постоянным административным нажимом с их стороны. Вместе с тем этот перекос подразумевал, что будущая война должна оказаться короткой и завершиться полной победой, прежде чем на действиях Красной Армии скажется истощение тыла (22725).</w:t>
      </w:r>
    </w:p>
    <w:p w14:paraId="2118726D" w14:textId="77777777" w:rsidR="00A62F5F" w:rsidRPr="0044524F" w:rsidRDefault="00A62F5F" w:rsidP="009654CF">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41EA8249" w14:textId="77777777" w:rsidR="00A62F5F" w:rsidRPr="0044524F" w:rsidRDefault="00A62F5F"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 конца 1933 года заседания РВСС вообще не проводились (Несмотря на формальное сохранение этого органа в первой половине 1934 г., за этот период вместо протоколов РВС имеются лишь пять протоколов совещаний у наркома; протокол № 6 представляет собой "сообщение о подписании Председателем РВСС постановлений РВСС", датированных январем-июнем 1934 г. По существу, этот документ оформлял ликвидацию дел Реввоенсовета перед его официальным упразднением (см.: РГВА Ф. 4. Оп. 18. Д 24). С ликвидацией РВСС и заменой его Военным советом при НКО была отменена практика издания (в количестве около 500 экземпляров) стенограмм расширенных осенних заседаний по итогам боевой подготовки в текущем году и о задачах на следующий год). В военной сфере постепенно устанавливалось непосредственное подчинение наркома и его заместителей Генеральному секретарю ЦК ВКП(б) как наиболее авторитетному руководителю Комиссии обороны. Сталиным все больше овладевала любовь к военному делу (</w:t>
      </w:r>
      <w:bookmarkStart w:id="68" w:name="_Hlk93829927"/>
      <w:r w:rsidRPr="0044524F">
        <w:rPr>
          <w:rFonts w:ascii="Times New Roman" w:eastAsia="Times New Roman" w:hAnsi="Times New Roman"/>
          <w:color w:val="000000" w:themeColor="text1"/>
          <w:sz w:val="16"/>
          <w:szCs w:val="16"/>
          <w:lang w:eastAsia="ru-RU"/>
        </w:rPr>
        <w:t>В конце 1931 г., когда Гамарник известил находившегося в отпуске наркомвоенмора, что Генеральный секретарь "взялся вплотную" за военную промышленность, Ворошилов советовал "постепенно, но основательно ознакомить Сталина] с положением дел" (Личное письмо Ворошилова Гамарнику, Сочи, 6.12.1931. С. 1б4).</w:t>
      </w:r>
      <w:bookmarkEnd w:id="68"/>
      <w:r w:rsidRPr="0044524F">
        <w:rPr>
          <w:rFonts w:ascii="Times New Roman" w:eastAsia="Times New Roman" w:hAnsi="Times New Roman"/>
          <w:color w:val="000000" w:themeColor="text1"/>
          <w:sz w:val="16"/>
          <w:szCs w:val="16"/>
          <w:lang w:eastAsia="ru-RU"/>
        </w:rPr>
        <w:t xml:space="preserve"> </w:t>
      </w:r>
      <w:bookmarkStart w:id="69" w:name="_Hlk93830081"/>
      <w:r w:rsidRPr="0044524F">
        <w:rPr>
          <w:rFonts w:ascii="Times New Roman" w:eastAsia="Times New Roman" w:hAnsi="Times New Roman"/>
          <w:color w:val="000000" w:themeColor="text1"/>
          <w:sz w:val="16"/>
          <w:szCs w:val="16"/>
          <w:lang w:eastAsia="ru-RU"/>
        </w:rPr>
        <w:t>Полутора годами позже Ворошилов уже мог поведать: в танк Т-28 "т. Сталин "влюблен". (Объединенный Пленум ЦК и ЦKK ВКП(б), 7-12.01.1933 (правленая стенограмма) // РГА СПИ. Ф. 17</w:t>
      </w:r>
      <w:bookmarkStart w:id="70" w:name="_Hlk93830235"/>
      <w:r w:rsidRPr="0044524F">
        <w:rPr>
          <w:rFonts w:ascii="Times New Roman" w:eastAsia="Times New Roman" w:hAnsi="Times New Roman"/>
          <w:color w:val="000000" w:themeColor="text1"/>
          <w:sz w:val="16"/>
          <w:szCs w:val="16"/>
          <w:lang w:eastAsia="ru-RU"/>
        </w:rPr>
        <w:t xml:space="preserve">. Оп. </w:t>
      </w:r>
      <w:bookmarkEnd w:id="69"/>
      <w:r w:rsidRPr="0044524F">
        <w:rPr>
          <w:rFonts w:ascii="Times New Roman" w:eastAsia="Times New Roman" w:hAnsi="Times New Roman"/>
          <w:color w:val="000000" w:themeColor="text1"/>
          <w:sz w:val="16"/>
          <w:szCs w:val="16"/>
          <w:lang w:eastAsia="ru-RU"/>
        </w:rPr>
        <w:t>2. Д. 507. Л. 692</w:t>
      </w:r>
      <w:bookmarkEnd w:id="70"/>
      <w:r w:rsidRPr="0044524F">
        <w:rPr>
          <w:rFonts w:ascii="Times New Roman" w:eastAsia="Times New Roman" w:hAnsi="Times New Roman"/>
          <w:color w:val="000000" w:themeColor="text1"/>
          <w:sz w:val="16"/>
          <w:szCs w:val="16"/>
          <w:lang w:eastAsia="ru-RU"/>
        </w:rPr>
        <w:t>). После войны Сталин рассказывал о себе в середине 30-х гг. "особенно большое и любовное внимание он уделяет техническому оснащению нашей Красной Армии, Военно-Воздушного и Военно-Морского Флотов" (Иосиф Виссарионович Сталин: Краткая биография. Изд. 2-е, in пр. и доп. / Сост. Г. Ф. Александров и др. М., 1952. С 148)) (22725).</w:t>
      </w:r>
    </w:p>
    <w:p w14:paraId="5C94F752" w14:textId="77777777" w:rsidR="00A62F5F" w:rsidRPr="0044524F" w:rsidRDefault="00A62F5F" w:rsidP="009654CF">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18BE93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появилось постановление СТО СССР "О мероприятиях по укреплению Амура и побережья Дальнего Востока". В соответствии с ним к ноябрю 1934 г. на Дальнем Востоке планировалось развернуть уже 11 эскадрилий! Быстрого роста парка намеревались достичь превращением в торпедоносные четырех крейсерских эскадрилий на КР-6, трех легко- и двух тяжелобомбардировочных на Р-5 и ТБ-3 соответственно. В соответствии с этим планом из Новочеркасска в Сучан перебросили 22-ю легкобомбардировочную эскадрилью на Р-5. 15.11.1934 эскадрилью передали в состав Морских сил Дальнего Востока, переименовали в минно-торпедную и разместили на аэродроме Ново-Не- жино, которого, в сущности, еще не существовало. Личный состав занялся его обустройством. Новые самолеты Р-5Т доставляли в Приморье в разобранном виде, в ящиках по железной дороге. На место груз прибыл в начале 1936 г., личный состав приступил к сборке машин. На 1.9.1936 в составе МСДВ уже числилась 22-я минно-торпедная эскадрилья с 31 самолетом. Командовал ею майор Борман. Но когда в октябре в Ново-Нежино прибыла инспекторская проверка из Москвы, выяснилось, что часть далека от боеспособного состояния. Из 31 торпедоносца собрали только 16. Остальные оставались лежать в ящиках. Скудное оборудование аэродрома не позволяло не только эксплуатировать, но и удовлетворительно хранить самолеты в собранном виде.</w:t>
      </w:r>
    </w:p>
    <w:p w14:paraId="6235DA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Летчики, взятые из легкобомбардировочной авиации, умели пилотировать Р-5, стрелять и бомбить. Но они не имели никакого понятия об устройстве торпед, о технике и тактике их применения. Не умели ориентироваться над морем (а торпедоносцы должны были обходиться без летнабов-штурманов), читать морские карты, не могли отличить один корабль от другого. Учебное торпедометание не проводили - нечем. В эскадрилье не имелось ни учебных ходовых торпед, ни "болванок" для тренировки в правильном сбрасывании. Самолеты нельзя было использовать и как легкие бомбардировщики. На замки Дер-13 торпедной подвески можно было вешать бомбы весом 250 или 500 кг. Но использовать дорогие ФАБ-250 для учебного бомбометания казалось совершенно бессмысленным. Учились бомбить обычно дешевыми практическими цементными бомбами П-25. Но к Дер-13 они не подходили. В итоге начали кустарно монтировать бомбодержатели Дер-7 и проводку к ним. Фактически 22-я эскадрилья (переименованная позже в 26-ю) освоила Р-5Т только к середине 1937 г. На 1 декабря того же года в 26-й эскадрилье числилось 26 исправных машин и пять в ремонте. История 26-й эскадрильи достаточно типична для того времени. Грандиозные планы постоянно разбивались об отсутствие денег, отставание промышленности, постоянную экономию на подготовке личного состава (12002).</w:t>
      </w:r>
    </w:p>
    <w:p w14:paraId="46FB07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7521CF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года в Калуге (МВО) сформировали 20-ю отдельную легкую механизированную бригаду, имевшую в своем составе 20-й отдельный автоброневой батальон. Она имела особый штат и предназначалась для ведения бо</w:t>
      </w:r>
      <w:r w:rsidRPr="0044524F">
        <w:rPr>
          <w:rFonts w:ascii="Times New Roman" w:hAnsi="Times New Roman"/>
          <w:color w:val="000000" w:themeColor="text1"/>
          <w:sz w:val="16"/>
          <w:szCs w:val="16"/>
        </w:rPr>
        <w:softHyphen/>
        <w:t>евых действий в Забайкалье, куда ее перебросили в начале 1934 года. Дислоцировалась бригада в городе Троицкосавск, позже переименованный в Кяхту. Однако опыт ее боевой учебы показал, что организация бригады — два танкетных батальона Т-27 и батальон средних бронемашин — неудачна и не соответствует возлагаемым на нее боевым задачам. Поэтому в марте 1935 года руководство автобронетанкового управления РККА обратилось к нарко</w:t>
      </w:r>
      <w:r w:rsidRPr="0044524F">
        <w:rPr>
          <w:rFonts w:ascii="Times New Roman" w:hAnsi="Times New Roman"/>
          <w:color w:val="000000" w:themeColor="text1"/>
          <w:sz w:val="16"/>
          <w:szCs w:val="16"/>
        </w:rPr>
        <w:softHyphen/>
        <w:t>му обороны СССР с предложением перевооружить бригаду, включив в нее два батальона средних бронемашин и баталь</w:t>
      </w:r>
      <w:r w:rsidRPr="0044524F">
        <w:rPr>
          <w:rFonts w:ascii="Times New Roman" w:hAnsi="Times New Roman"/>
          <w:color w:val="000000" w:themeColor="text1"/>
          <w:sz w:val="16"/>
          <w:szCs w:val="16"/>
        </w:rPr>
        <w:softHyphen/>
        <w:t>он танков Т-37. Получив «добро», 20-я отдельная легкая мех-бригада перешла на новый штат: управление, танковый, тан-кетный, автоброневой и стрелково-пулеметный батальоны, артиллерийская батарея и техническая база. К 1 января 1936 года в бригаде было 58 пушечных бронеавтомобилей, вхо</w:t>
      </w:r>
      <w:r w:rsidRPr="0044524F">
        <w:rPr>
          <w:rFonts w:ascii="Times New Roman" w:hAnsi="Times New Roman"/>
          <w:color w:val="000000" w:themeColor="text1"/>
          <w:sz w:val="16"/>
          <w:szCs w:val="16"/>
        </w:rPr>
        <w:softHyphen/>
        <w:t>дивших в состав следующих подразделений: 3 машины в комендантском взводе управления бригады, из них 1 радийная, 45 (из них 15 радийных) в автоброневом батальоне и 10 (из них 4 радийных) в школе младшего командного состава (11284).</w:t>
      </w:r>
    </w:p>
    <w:p w14:paraId="142EB74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5C294C" w14:textId="77777777" w:rsidR="00407F5B" w:rsidRPr="0044524F" w:rsidRDefault="00407F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начальник Особого отдела ОГПУ М. И. Гай и его помощник Н. И. Добродицкий сделали запрос на имя К. Е. Ворошилова по поводу его согласия на изъятие из РККА командира корабля ТБ-3 29-й авиабригады ОКДВА Бодратого: «15 ноября с. г. на аэродроме 29 Авиабригады (ОКДВА) во время рулежки, вследствие преступной халатности со стороны ком. корабля БОДРАТОГО произошло столкновение двух ТБ-3. Ранее БОДРАТЫЙ имел одну поломку ТБ-3 при столкновении с самолетом Р-5 и одну аварию при взлете (налетел на лошадь). В процессе расследования установлено, что БОДРАТЫЙ, поступая в Красную Армию, скрыл то, что он является сыном крупного кулака, бывш. управляющего Елисаветградского банка, состоявшего в штабе банды ШТЫЛЯ и ныне высланного ОГПУ. Систематическая порча тяжелых кораблей при рулежке на земле БОДРАТЫМ дает основание предполагать умышленный вывод из строя самолетов, прикрываемый халатностью. Прошу Вашего согласия на его из’ятие из РККА» [5, л. 9].</w:t>
      </w:r>
    </w:p>
    <w:p w14:paraId="40A91D21" w14:textId="77777777" w:rsidR="00407F5B" w:rsidRPr="0044524F" w:rsidRDefault="00407F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позднее января 1934 г. начальник Главного управления РККА Б. М. Фельдман дал ответ начальнику Особого отдела ОГПУ о согласии К. Е. Ворошилова на арест командира корабля 29-й авиабригады Бодратого [5, л. 8]. (24338).</w:t>
      </w:r>
    </w:p>
    <w:p w14:paraId="32CF50A2" w14:textId="77777777" w:rsidR="00407F5B" w:rsidRPr="0044524F" w:rsidRDefault="00407F5B" w:rsidP="009654CF">
      <w:pPr>
        <w:spacing w:after="0" w:line="240" w:lineRule="auto"/>
        <w:jc w:val="both"/>
        <w:rPr>
          <w:rFonts w:ascii="Times New Roman" w:hAnsi="Times New Roman"/>
          <w:color w:val="000000" w:themeColor="text1"/>
          <w:sz w:val="16"/>
          <w:szCs w:val="16"/>
        </w:rPr>
      </w:pPr>
    </w:p>
    <w:p w14:paraId="5F390BEF" w14:textId="77777777" w:rsidR="00E0670B" w:rsidRPr="0044524F" w:rsidRDefault="00E067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w:t>
      </w:r>
    </w:p>
    <w:p w14:paraId="2A8BA911" w14:textId="77777777" w:rsidR="00E0670B" w:rsidRPr="0044524F" w:rsidRDefault="00E067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 немецком «Научном и летно-испытательном авиационном учреждении» в г. Липецке (1925 – 1933 гг.) и В.П. Чкалове</w:t>
      </w:r>
    </w:p>
    <w:p w14:paraId="4AE1B177" w14:textId="77777777" w:rsidR="00E0670B" w:rsidRPr="0044524F" w:rsidRDefault="00E067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1922 году в Липецке была создана Высшая школа военных летчиков, 13 июня 1925 года ее закрыли. В этом же году в Липецке разместились 1-я отдельная разведывательная авиаэскадрилья им. В.И. Ленина (с 4 марта 1925 года она стала первой в советских ВВС легкобомбардировочной эскадрильей – 1-й олбаэ) и 10-й корпусной авиаотряд, который вместе с 1-й олбаэ составил Липецкую авиагруппу ВВС МВО. </w:t>
      </w:r>
    </w:p>
    <w:p w14:paraId="4F61F639" w14:textId="77777777" w:rsidR="00E0670B" w:rsidRPr="0044524F" w:rsidRDefault="00E067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1925 году открылась и немецкая страница в истории Липецка и его аэродрома. В это время Германия могла иметь вооруженные силы численностью в 100 тыс. человек, из них офицеры должны были составлять не более четырех тысяч человек. Военная и морская авиация, тяжелая артиллерия и танковые войска отменялись. Политической и правовой основой сотрудничества между СССР и Германией явились договор в Рапалло от 12 апреля 1922 года, а позднее - советско-германский договор о нейтралитете от 24 апреля 1926 года. Соглашение о создании немецкой авиационной школы в Липецке было подписано в Москве 15 апреля 1925 года, а уже летом школа была открыта для подготовки летного состава. В соответствии с подписанным 15 августа 1925 года соглашением между Германией и СССР в Липецке было образовано немецкое авиационное учебно-боевое подразделение, которое официально называлось «Научное и летно-испытательное авиационное учреждение». Липецкий аэродром поступил в совместную советско-немецкую эксплуатацию. Немцы провели значительную работу по оборудованию Липецкого аэродрома, построили ряд зданий в гарнизоне, некоторые из них сохранились до настоящего времени. Немецкий учебный центр состоял из штаба, отрядов истребительного, разведывательного и летных испытаний. К практическим полетам на Липецком аэродроме немецкие летчики приступили летом 1925 года. За все время существования центра в нем прошли подготовку около 450 летчиков, летчиков-наблюдателей и других авиаспециалистов, в том числе 120 летчиков-истребителей. </w:t>
      </w:r>
    </w:p>
    <w:p w14:paraId="7C2FDA4C" w14:textId="77777777" w:rsidR="00E0670B" w:rsidRPr="0044524F" w:rsidRDefault="00E0670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Немецкая сторона через подставные фирмы закупала для ВВС Красной армии лучшие истребители того времени – голландские «Фоккер D-XI» (150 таких машин закупили в Голландии, якобы для Бразилии, однако пароходы с ними прибыли не в Рио-деЖанейро, а в Ленинград). Таким же путем в Липецке оказались несколько позднее и более совершенные «Фоккер D-XII». Вскоре по заказу Советского Союза Фоккер разработал истребитель «Фоккер ДXIII» с двигателем «Нэпир Лайон». Новый самолет поступил в Липецк в количестве 50 экземпляров для немецкой авиашколы военных летчиков. Самолеты «Фоккер D-XIII» составили основу парка учебных машин школы. Этот самолет по сравнению со стоявшим в то время на вооружении советских ВВС «Фоккер D-XI» по схеме отличался мало, однако имел гораздо более мощный двигатель (450 л.с. вместо 300 л.с.) и значительно лучшие летные качества. На аэродроме постоянно дислоцировались авиачасти МВО, здесь регулярно бывал командующий ВВС МВО И.У. Павлов и другие авиационные командиры. Практиковались совместные полеты советских и немецких летчиков на </w:t>
      </w:r>
      <w:r w:rsidRPr="0044524F">
        <w:rPr>
          <w:rFonts w:ascii="Times New Roman" w:hAnsi="Times New Roman"/>
          <w:color w:val="000000" w:themeColor="text1"/>
          <w:sz w:val="16"/>
          <w:szCs w:val="16"/>
        </w:rPr>
        <w:lastRenderedPageBreak/>
        <w:t>разведку, учебные воздушные бои между ними, состязания в стрельбе по буксируемым мишеням-конусам, в бомбометании с пикирования и многое другое. Полученные знания и опыт очень скоро понадобились нашим авиаторам в реальных боевых условиях: осенью 1929 года 1-я (с октября 1929 года - 40-я) легкобомбардировочная авиаэскадрилья (командир – И.И. Карклин) убыла на Дальний Восток, где приняла участие в боях на КВЖД. Советская сторона рассматривала Липецкий аэродром как своеобразный учебный центр, предназначенный для ознакомления наших авиаторов с последними достижениями зарубежной авиационной техники, методикой летной подготовки, организацией летной и наземной служб, особенностями боевого применения самолетов различных типов. В Липецком центре побывал и Валерий Павлович Чкалов. В этой связи приведем выдержку из книги В.В. Чкаловой: «В конце июня 1927 года Чкалова направили в Липецк на курсы усовершенствования для повышения летного мастерства. (…) После окончания курсов наши и иностранные летчики показали лучшие методы и способы боевого применения истребителей, а, следовательно, и технику высшего пилотажа, маневренности и стрельбы. В этих показательных полетах Чкалов занял первое место, вызвав восхищение не только участников состязания, но и присутствовавшего при этом руководства ВВС. После возвращения Чкалова Шелухин [командир части, в которой служил В.П. Чкалов] дал ему задание показать всему летному составу эскадрильи, чему он научился на курсах. Чкалов попросил разрешение на свободный полет, на что Шелухин согласился «с большим напряжением». Чкалов готовился три дня к этому полету. Сам просмотрел свой самолет, отрегулировал его, устранил люфты, смазал, проверил все болты и сочленения. В этом ему, конечно, помогла его работа в мастерских по ремонту самолетов в 1919 году. Вообще, следует отметить, что подготовке материальной части он всегда уделял особое внимание, что замечалось и его начальством. Полет совершался на самолете «Фоккер Д-XI». Я [В.В. Чкалова] хочу привести очень ярко написанные воспоминания В.В. Брандта, служившего в этой эскадрилье и присутствовавшего при этом показе: «Набрав необходимую высоту, Валерий Павлович выполнил каскад фигур высшего пилотажа, как всегда «по-чкаловски», стремительно и четко. Все шло очень хорошо, командир с удовольствием наблюдал. Вдруг самолет начал пикировать на ангар. Пикирование выполнялось под большим углом, мотор работал на полных оборотах. Машина с ревом неслась к земле, как раз к тому месту, где стоял командир. Все недоуменно следили за этим падением. Примерно на высоте 50 метров начался выход из пикирования. Но снижение по инерции, разумеется, продолжалось. В результате самолет пронесся над самой землей, так что в кабине отчетливо была видна голова Чкалова в шлеме. Он смотрел на Шелухина. В следующее мгновение летчик пошел круто вверх с явным намерением выполнить петлю. Но ведь петля на такой высоте – самоубийство! Все замерли (…). Набрав высоту около 150 метров и показав зрителям «спинку», Чкалов плавно и четко повернул машину на 180 градусов вокруг продольной оси, продолжая полет без ухода вверх. Фигура иммельмана! это на минимально возможной высоте! Он уверенно и абсолютно одинаково повторил фигуру пять или шесть раз. Крутое пикирование с мотором, вывод у самой земли, резкий бросок на петлю и четкий переворот на высоте 150 – 200 метров. Закончив программу, Чкалов начал заход на посадку. Но и здесь зрителей ждал сюрприз. Добравшись примерно до границы аэродрома, летчик перевернул машину и продолжал планирование вверх колесами. Когда до земли остались считанные метры, совершил обратный переворот и тут же приземлился на три точки, то есть выполнил замедленную «бочку» при планировании на посадку». Кончился этот отчет о командировке тем, что Чкалов получил двадцать суток ареста на гауптвахте и двадцать суток отстранения от полетов от командира бригады, приехавшего в этот момент на аэродром. Позднее на вопрос командира, зачем он это сделал, Чкалов ответил, что в боевых условиях перед летчиком может стоять проблема вынужденной посадки, и этот маневр позволит ему без аварии посадить самолет в любых условиях. Фигуру иммельман на «Фоккере Д-XI» не выполнял никто, кроме Чкалова. Она не получалась, так как машина сваливалась в штопор. Чкалов не только показал возможность выполнения этой фигуры высшего пилотажа, но и по просьбе командира рассказал, как он это делает. Его рассказ был коротким: «Сначала я отвязываюсь и сажусь как можно глубже в кабину, чтобы «ногу больше дать». Газ на разгоне даю на защелку. Потом ловлю момент и даю рули до отказа». Достаточно все просто, но за этой простотой чувствуется серьезная проработка проблемы»16. С лета 1930 года интерес немецкой стороны к функционированию Липецкого центра стал снижаться. Причин здесь было несколько: западные страны ослабили тиски ограничений Версальского договора, в связи с чем работы по подготовке авиационного персонала, производству и испытаниям техники стало возможным переносить на территорию Германии. Началась работа по сбору лучших авиационных специалистов и распределению их по крупнейшим германским авиазаводам и летно-испытательным станциям, которые в скором времени предполагалось загрузить военными заказами. В итоге к сентябрю 1930 года свернул работу отряд, готовивший летчиков-наблюдателей, с конца 1931 года их подготовку вели уже в Германии. Постепенно Липецк покинули и лучшие специалисты-истребители, такие, как, например, командир истребительного отряда Карл Шенебек, ас Первой мировой войны. С приходом же 30 января 1933 года к власти в Германии Гитлера и его нацистской партии военное сотрудничество между нашими странами прекратилось полностью, и в сентябре 1933 года весь немецкий персонал покинул Липецк. На Липецком аэродроме в это время продолжал базироваться 4-й авиаотряд советских ВВС, входивший в состав сначала 40-й, а затем 38-й эскадрильи. Его командиром с 1931 г. стал А. Томсон (19566).</w:t>
      </w:r>
    </w:p>
    <w:p w14:paraId="52D67D89" w14:textId="77777777" w:rsidR="00E0670B" w:rsidRPr="0044524F" w:rsidRDefault="00E0670B" w:rsidP="009654CF">
      <w:pPr>
        <w:spacing w:after="0" w:line="240" w:lineRule="auto"/>
        <w:jc w:val="both"/>
        <w:rPr>
          <w:rFonts w:ascii="Times New Roman" w:hAnsi="Times New Roman"/>
          <w:color w:val="000000" w:themeColor="text1"/>
          <w:sz w:val="16"/>
          <w:szCs w:val="16"/>
        </w:rPr>
      </w:pPr>
    </w:p>
    <w:p w14:paraId="099AC837" w14:textId="77777777" w:rsidR="00E0670B" w:rsidRPr="0044524F" w:rsidRDefault="00E0670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С конца 1933 года в РНИИ продолжились испытания снарядов, которые стабилизировались при помощи обычного хвостового оперения в виде четырех-лопастного стабилизатора. Этот метод стабилизации почти сразу оправдал себя и снаряды сохраняли вполне определенную закономерность полета.</w:t>
      </w:r>
    </w:p>
    <w:p w14:paraId="11FF987C" w14:textId="77777777" w:rsidR="00E0670B" w:rsidRPr="0044524F" w:rsidRDefault="00E0670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При некоторых испытаниях уже в 1934-35 годах кучность боя ракетных снарядов достигла кучности мало отличающейся от достигнутой в то время, т.е. налицо имелось достаточно данных для внедрения снарядов в войска в виде первого этапа. Тем более это было необходимо сделать, учитывая, что стрельба ракетными снарядами вследствие отсутствия отдачи при выстреле не требует сложного пускового устройства. В 1934 году под влиянием напора ряда молодых инженеров о необходимости проведения испытаний с самолёта, был вооружен ракетными снарядами И-5.</w:t>
      </w:r>
    </w:p>
    <w:p w14:paraId="158990DC" w14:textId="77777777" w:rsidR="00E0670B" w:rsidRPr="0044524F" w:rsidRDefault="00E0670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Первые опыты показали относительно хорошие результаты, но дальнейшее развитие было приостановлено вследствие того, что при стрельбе ракетными снарядами с самолёта Р-6 последний сгорел. На основании этого эксперименты были приостановлены до второй половины 1937 года [Письмо Исх. № 24ос от 14.02.1939 г. ДИРЕКТОРА НИИ № 3 СЛОНИМЕРА И ЗАМ.ДИРЕКТОРА НИИ № 3 ВОЕНИНЖЕНЕРА I РАНГА КОСТИКОВА в В.П.К.КОМИТЕТА ОБОРОНЫ ПРИ ВЕРХОВНОМ СОВЕТЕ С.С.С.Р. </w:t>
      </w:r>
      <w:r w:rsidRPr="0044524F">
        <w:rPr>
          <w:rFonts w:ascii="Times New Roman" w:eastAsia="Times New Roman" w:hAnsi="Times New Roman"/>
          <w:color w:val="000000" w:themeColor="text1"/>
          <w:sz w:val="16"/>
          <w:szCs w:val="16"/>
          <w:u w:val="single"/>
          <w:lang w:eastAsia="ru-RU"/>
        </w:rPr>
        <w:t>Тов. МАТВЕЕВУ.</w:t>
      </w:r>
      <w:r w:rsidRPr="0044524F">
        <w:rPr>
          <w:rFonts w:ascii="Times New Roman" w:eastAsia="Times New Roman" w:hAnsi="Times New Roman"/>
          <w:color w:val="000000" w:themeColor="text1"/>
          <w:sz w:val="16"/>
          <w:szCs w:val="16"/>
          <w:lang w:eastAsia="ru-RU"/>
        </w:rPr>
        <w:t> Копия // Архив ГНЦ ФГУП "Центр Келдыша". Инв. 291. Оп. 1. Ед. хр. по описи 14. Л. 53,54,55,64.]</w:t>
      </w:r>
    </w:p>
    <w:p w14:paraId="59870A28" w14:textId="77777777" w:rsidR="00E0670B" w:rsidRPr="0044524F" w:rsidRDefault="00E0670B"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p>
    <w:p w14:paraId="2C9D9040" w14:textId="77777777" w:rsidR="00EB0B16"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3B3BA6C" w14:textId="77777777" w:rsidR="00EB0B16" w:rsidRPr="0044524F" w:rsidRDefault="00EB0B16"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11038C8A" w14:textId="77777777" w:rsidR="00375BEC" w:rsidRPr="0044524F" w:rsidRDefault="00375B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несмотря на достигнутые в ряде областей успехи, положение Метростроя внушало тревогу: план в целом не был выполнен, организация работы и снабжение материалами, рабочей силой, жильем и транспортными средствами далеко не соответствовали объему предстоящих работ{497}.Даже при строительстве вагонных депо, мастерских, гаражей, жилых домов и бараков, где не требовалось решать сложные технические задачи, план 1933 г. был выполнен едванаполовину, а результаты строительства оказались удручающими: «Качество гражданского строительства Метростроя безобразно. Все построенные в прошлом году баракиуже потребовали капитального ремонта. Междуэтажные перекрытия стандартных домов в поселке им. Ворошилова еще до сдачи их в эксплуатацию проваливались и были переделаны, столярные изделия в домах Черкизово недопустимо низкого качества. Постройка здания лесопильного завода граничит с прямым вредительством: проект этого здания был составлен безграмотно, технологический процесс не продуман, и это повлекло неоднократные переделки и приспособления уже выстроенного здания к процессу производства. В эксплуатацию постройки сдаются, как правило, с крупными недоделками [...]»{498}</w:t>
      </w:r>
    </w:p>
    <w:p w14:paraId="503352AA" w14:textId="77777777" w:rsidR="00375BEC" w:rsidRPr="0044524F" w:rsidRDefault="00375B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Утвержденный в марте 1933 г. Моссоветом годовой план Метростроя на практике при составлении месячных планов игнорировался. Ориентировались не на плановые задания, а на реальные возможности шахт и дистанций, и постоянно уменьшали требования. По плану строительство предстояло закончить к 1 июля 1934 г., а к 1 декабря 1934 г. метрополитен следовало сдать в эксплуатацию. В начале октября 1933 г. Метрострой выполнил лишь 33,5% земляных работ от уровня годового плана, а по бетонным работам и вовсе лишь 14,7%. Метрострой не располагал к тому времени и утвержденным техническим проектом{499} (18299).</w:t>
      </w:r>
    </w:p>
    <w:p w14:paraId="5BF71700" w14:textId="77777777" w:rsidR="00375BEC" w:rsidRPr="0044524F" w:rsidRDefault="00375BEC" w:rsidP="009654CF">
      <w:pPr>
        <w:spacing w:after="0" w:line="240" w:lineRule="auto"/>
        <w:jc w:val="both"/>
        <w:rPr>
          <w:rFonts w:ascii="Times New Roman" w:hAnsi="Times New Roman"/>
          <w:color w:val="000000" w:themeColor="text1"/>
          <w:sz w:val="16"/>
          <w:szCs w:val="16"/>
        </w:rPr>
      </w:pPr>
    </w:p>
    <w:p w14:paraId="313A53A3" w14:textId="06E53C8E" w:rsidR="00EB0B16" w:rsidRPr="0044524F" w:rsidRDefault="00EB0B1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последние месяцы</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Политбюро занималось проблемами эпидемий, в том числе таких, как тиф и малярия (на</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пришелся пик эпидемии сыпного тифа — было зарегистрировано по СССР более 870 тыс. случаев заболеваний по сравнению с 233 тыс. в 1932 г. и 437 тыс. в 1934 г.). Однако, несмотря на все трудности, весенний сев прошел относительно нормально, а урожай осенью был значительно лучше, чем в предыдущие два года. Это позволило существенно увеличить снабжение хлебом городов. В последние несколько месяцев</w:t>
      </w:r>
      <w:r w:rsidR="0088747B">
        <w:rPr>
          <w:rFonts w:ascii="Times New Roman" w:hAnsi="Times New Roman"/>
          <w:color w:val="000000" w:themeColor="text1"/>
          <w:sz w:val="16"/>
          <w:szCs w:val="16"/>
        </w:rPr>
        <w:t xml:space="preserve"> </w:t>
      </w:r>
      <w:r w:rsidRPr="0044524F">
        <w:rPr>
          <w:rStyle w:val="highlight"/>
          <w:rFonts w:ascii="Times New Roman" w:hAnsi="Times New Roman"/>
          <w:color w:val="000000" w:themeColor="text1"/>
          <w:sz w:val="16"/>
          <w:szCs w:val="16"/>
        </w:rPr>
        <w:t>1933</w:t>
      </w:r>
      <w:r w:rsidR="0088747B">
        <w:rPr>
          <w:rStyle w:val="highlight"/>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наблюдался рост поставок на колхозные рынки. Определенным показателем улучшения ситуации было падение рыночных цен на продовольствие начиная с июля и далее (17281).</w:t>
      </w:r>
    </w:p>
    <w:p w14:paraId="25A758A0" w14:textId="77777777" w:rsidR="00EB0B16" w:rsidRPr="0044524F" w:rsidRDefault="00EB0B16"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FFFC5BF" w14:textId="77777777" w:rsidR="00375BEC" w:rsidRPr="0044524F" w:rsidRDefault="00375BEC"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3251FF23" w14:textId="77777777" w:rsidR="00375BEC" w:rsidRPr="0044524F" w:rsidRDefault="00375BEC"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B5B7E3" w14:textId="77777777" w:rsidR="00375BEC" w:rsidRPr="0044524F" w:rsidRDefault="00375B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г. наметились сдвиги в развитии торгово-экономических отношений между обеими странами, хотя многие ограничения и барьеры против импорта советских товаров оставались в силе. Администрация смягчила дискриминационные действия, но экспорт антрацита, апатитов и шпаков все же встречал препятствия. Антрацит подлежал обложению акцизной пошлиной. В период широкой кампании "демпингового экспорта" советского угля в США была введена временная пошлина в 2,24 долл. с тонны, а в марте 1933 г. внесено новое предложение об увеличении этой пошлины до 4 долл. с тонны. Антидемпинговая пошлина на спички оставалась в силе, а это было равносильно эмбарго. При обсуждении проекта торгового соглашения с США в 1933 г. Народный комиссариат внешней торговли (НКВТ) предложил производить закупку товаров в Соединенных Штатах на сумму не выше 30 млн долл. В 1933 г. общий торговый оборот Амторга составил 20 565 420 долл., причем советский экспорт достигал 13 732 400 долл., а импорт 7 833 920 долл.12 Количество сотрудников Амторга составило 47 человек. Операции велись с 628 фирмами. Работа Амторга проходила в сложной и нестабильной обстановке (18280).</w:t>
      </w:r>
    </w:p>
    <w:p w14:paraId="6C5C2E98" w14:textId="77777777" w:rsidR="00375BEC" w:rsidRPr="0044524F" w:rsidRDefault="00375BEC" w:rsidP="009654CF">
      <w:pPr>
        <w:spacing w:after="0" w:line="240" w:lineRule="auto"/>
        <w:jc w:val="both"/>
        <w:rPr>
          <w:rFonts w:ascii="Times New Roman" w:hAnsi="Times New Roman"/>
          <w:color w:val="000000" w:themeColor="text1"/>
          <w:sz w:val="16"/>
          <w:szCs w:val="16"/>
        </w:rPr>
      </w:pPr>
    </w:p>
    <w:p w14:paraId="277460BA"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36AF7B70"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4B60BCE" w14:textId="77777777" w:rsidR="00DD2236" w:rsidRPr="0044524F" w:rsidRDefault="00DD22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В конце 1933 года был облетан головной серийный Do 11с. </w:t>
      </w:r>
      <w:r w:rsidRPr="0044524F">
        <w:rPr>
          <w:rFonts w:ascii="Times New Roman" w:hAnsi="Times New Roman"/>
          <w:color w:val="000000" w:themeColor="text1"/>
          <w:sz w:val="16"/>
          <w:szCs w:val="16"/>
          <w:lang w:eastAsia="ru-RU" w:bidi="ru-RU"/>
        </w:rPr>
        <w:t>Главной особенностью самолета было убирающееся шасси, которое в Ев</w:t>
      </w:r>
      <w:r w:rsidRPr="0044524F">
        <w:rPr>
          <w:rFonts w:ascii="Times New Roman" w:hAnsi="Times New Roman"/>
          <w:color w:val="000000" w:themeColor="text1"/>
          <w:sz w:val="16"/>
          <w:szCs w:val="16"/>
          <w:lang w:eastAsia="ru-RU" w:bidi="ru-RU"/>
        </w:rPr>
        <w:softHyphen/>
        <w:t>ропе пока применяли только на легких самолетах. Аэродинамика самолета по тому времени была весьма прогрессив</w:t>
      </w:r>
      <w:r w:rsidRPr="0044524F">
        <w:rPr>
          <w:rFonts w:ascii="Times New Roman" w:hAnsi="Times New Roman"/>
          <w:color w:val="000000" w:themeColor="text1"/>
          <w:sz w:val="16"/>
          <w:szCs w:val="16"/>
          <w:lang w:eastAsia="ru-RU" w:bidi="ru-RU"/>
        </w:rPr>
        <w:softHyphen/>
        <w:t>ной, ее улучшало и внутреннее размеще</w:t>
      </w:r>
      <w:r w:rsidRPr="0044524F">
        <w:rPr>
          <w:rFonts w:ascii="Times New Roman" w:hAnsi="Times New Roman"/>
          <w:color w:val="000000" w:themeColor="text1"/>
          <w:sz w:val="16"/>
          <w:szCs w:val="16"/>
          <w:lang w:eastAsia="ru-RU" w:bidi="ru-RU"/>
        </w:rPr>
        <w:softHyphen/>
        <w:t xml:space="preserve">ние тонны бомб. Для обороны самолет имел три турельных 7,92-мм пулемета </w:t>
      </w:r>
      <w:r w:rsidRPr="0044524F">
        <w:rPr>
          <w:rFonts w:ascii="Times New Roman" w:hAnsi="Times New Roman"/>
          <w:color w:val="000000" w:themeColor="text1"/>
          <w:sz w:val="16"/>
          <w:szCs w:val="16"/>
          <w:lang w:val="en-US" w:bidi="en-US"/>
        </w:rPr>
        <w:t>MG</w:t>
      </w:r>
      <w:r w:rsidRPr="0044524F">
        <w:rPr>
          <w:rFonts w:ascii="Times New Roman" w:hAnsi="Times New Roman"/>
          <w:color w:val="000000" w:themeColor="text1"/>
          <w:sz w:val="16"/>
          <w:szCs w:val="16"/>
          <w:lang w:bidi="en-US"/>
        </w:rPr>
        <w:t xml:space="preserve"> </w:t>
      </w:r>
      <w:r w:rsidRPr="0044524F">
        <w:rPr>
          <w:rFonts w:ascii="Times New Roman" w:hAnsi="Times New Roman"/>
          <w:color w:val="000000" w:themeColor="text1"/>
          <w:sz w:val="16"/>
          <w:szCs w:val="16"/>
          <w:lang w:eastAsia="ru-RU" w:bidi="ru-RU"/>
        </w:rPr>
        <w:t>15. В состав оборудования были включены телефонное переговорное устройство, радиостанция и радиополу</w:t>
      </w:r>
      <w:r w:rsidRPr="0044524F">
        <w:rPr>
          <w:rFonts w:ascii="Times New Roman" w:hAnsi="Times New Roman"/>
          <w:color w:val="000000" w:themeColor="text1"/>
          <w:sz w:val="16"/>
          <w:szCs w:val="16"/>
          <w:lang w:eastAsia="ru-RU" w:bidi="ru-RU"/>
        </w:rPr>
        <w:softHyphen/>
        <w:t xml:space="preserve">компас. </w:t>
      </w:r>
      <w:r w:rsidRPr="0044524F">
        <w:rPr>
          <w:rFonts w:ascii="Times New Roman" w:hAnsi="Times New Roman"/>
          <w:color w:val="000000" w:themeColor="text1"/>
          <w:sz w:val="16"/>
          <w:szCs w:val="16"/>
        </w:rPr>
        <w:t>К его появлению были гото</w:t>
      </w:r>
      <w:r w:rsidRPr="0044524F">
        <w:rPr>
          <w:rFonts w:ascii="Times New Roman" w:hAnsi="Times New Roman"/>
          <w:color w:val="000000" w:themeColor="text1"/>
          <w:sz w:val="16"/>
          <w:szCs w:val="16"/>
        </w:rPr>
        <w:softHyphen/>
        <w:t>вы моторы Сименс Sh 22b-2 немецкого выпус</w:t>
      </w:r>
      <w:r w:rsidRPr="0044524F">
        <w:rPr>
          <w:rFonts w:ascii="Times New Roman" w:hAnsi="Times New Roman"/>
          <w:color w:val="000000" w:themeColor="text1"/>
          <w:sz w:val="16"/>
          <w:szCs w:val="16"/>
        </w:rPr>
        <w:softHyphen/>
        <w:t>ка мощностью 650 л.с. на взлете и 600 л.с. на высоте 1500 м (</w:t>
      </w:r>
      <w:r w:rsidRPr="0044524F">
        <w:rPr>
          <w:rFonts w:ascii="Times New Roman" w:hAnsi="Times New Roman"/>
          <w:color w:val="000000" w:themeColor="text1"/>
          <w:sz w:val="16"/>
          <w:szCs w:val="16"/>
          <w:lang w:eastAsia="ru-RU" w:bidi="ru-RU"/>
        </w:rPr>
        <w:t>вариант английского «Юпитера», усовершенствованный не</w:t>
      </w:r>
      <w:r w:rsidRPr="0044524F">
        <w:rPr>
          <w:rFonts w:ascii="Times New Roman" w:hAnsi="Times New Roman"/>
          <w:color w:val="000000" w:themeColor="text1"/>
          <w:sz w:val="16"/>
          <w:szCs w:val="16"/>
          <w:lang w:eastAsia="ru-RU" w:bidi="ru-RU"/>
        </w:rPr>
        <w:softHyphen/>
        <w:t>мецкими инженерами</w:t>
      </w:r>
      <w:r w:rsidRPr="0044524F">
        <w:rPr>
          <w:rFonts w:ascii="Times New Roman" w:hAnsi="Times New Roman"/>
          <w:color w:val="000000" w:themeColor="text1"/>
          <w:sz w:val="16"/>
          <w:szCs w:val="16"/>
        </w:rPr>
        <w:t>).</w:t>
      </w:r>
    </w:p>
    <w:p w14:paraId="56EF94C2" w14:textId="77777777" w:rsidR="00DD2236" w:rsidRPr="0044524F" w:rsidRDefault="00DD22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Первые самолеты были направ</w:t>
      </w:r>
      <w:r w:rsidRPr="0044524F">
        <w:rPr>
          <w:rFonts w:ascii="Times New Roman" w:hAnsi="Times New Roman"/>
          <w:color w:val="000000" w:themeColor="text1"/>
          <w:sz w:val="16"/>
          <w:szCs w:val="16"/>
        </w:rPr>
        <w:softHyphen/>
        <w:t>лены в государствен</w:t>
      </w:r>
      <w:r w:rsidRPr="0044524F">
        <w:rPr>
          <w:rFonts w:ascii="Times New Roman" w:hAnsi="Times New Roman"/>
          <w:color w:val="000000" w:themeColor="text1"/>
          <w:sz w:val="16"/>
          <w:szCs w:val="16"/>
        </w:rPr>
        <w:softHyphen/>
        <w:t>ную почтово-транспортную компанию «Рейхсбан-Штрекен», под вывеской ко</w:t>
      </w:r>
      <w:r w:rsidRPr="0044524F">
        <w:rPr>
          <w:rFonts w:ascii="Times New Roman" w:hAnsi="Times New Roman"/>
          <w:color w:val="000000" w:themeColor="text1"/>
          <w:sz w:val="16"/>
          <w:szCs w:val="16"/>
        </w:rPr>
        <w:softHyphen/>
        <w:t>торой пряталась летная школа бомбар</w:t>
      </w:r>
      <w:r w:rsidRPr="0044524F">
        <w:rPr>
          <w:rFonts w:ascii="Times New Roman" w:hAnsi="Times New Roman"/>
          <w:color w:val="000000" w:themeColor="text1"/>
          <w:sz w:val="16"/>
          <w:szCs w:val="16"/>
        </w:rPr>
        <w:softHyphen/>
        <w:t>дировочной авиации. Самолет постав</w:t>
      </w:r>
      <w:r w:rsidRPr="0044524F">
        <w:rPr>
          <w:rFonts w:ascii="Times New Roman" w:hAnsi="Times New Roman"/>
          <w:color w:val="000000" w:themeColor="text1"/>
          <w:sz w:val="16"/>
          <w:szCs w:val="16"/>
        </w:rPr>
        <w:softHyphen/>
        <w:t>лялся как гражданский, но к каждому «прикладом» шло вооружение и остек</w:t>
      </w:r>
      <w:r w:rsidRPr="0044524F">
        <w:rPr>
          <w:rFonts w:ascii="Times New Roman" w:hAnsi="Times New Roman"/>
          <w:color w:val="000000" w:themeColor="text1"/>
          <w:sz w:val="16"/>
          <w:szCs w:val="16"/>
        </w:rPr>
        <w:softHyphen/>
        <w:t>ленная носовая часть с оборудованием для штурмана-бомбардира.</w:t>
      </w:r>
    </w:p>
    <w:p w14:paraId="402AB5C9" w14:textId="77777777" w:rsidR="00DD2236" w:rsidRPr="0044524F" w:rsidRDefault="00DD22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Темпы поставок заметно отставали от плановых. Технологичность машины хотя и улучшилась, но оставалась хуже, чем у самолетов Юнкерса. К тому же моторостроители сорвали график поста</w:t>
      </w:r>
      <w:r w:rsidRPr="0044524F">
        <w:rPr>
          <w:rFonts w:ascii="Times New Roman" w:hAnsi="Times New Roman"/>
          <w:color w:val="000000" w:themeColor="text1"/>
          <w:sz w:val="16"/>
          <w:szCs w:val="16"/>
        </w:rPr>
        <w:softHyphen/>
        <w:t>вок Sh 22b-2. Летные данные серийных Do 11с по сравнению с прототипом даже улучшились, но самолет для «средне</w:t>
      </w:r>
      <w:r w:rsidRPr="0044524F">
        <w:rPr>
          <w:rFonts w:ascii="Times New Roman" w:hAnsi="Times New Roman"/>
          <w:color w:val="000000" w:themeColor="text1"/>
          <w:sz w:val="16"/>
          <w:szCs w:val="16"/>
        </w:rPr>
        <w:softHyphen/>
        <w:t>го летчика» в пилотировании оказался сложным из-за недостаточной устойчи</w:t>
      </w:r>
      <w:r w:rsidRPr="0044524F">
        <w:rPr>
          <w:rFonts w:ascii="Times New Roman" w:hAnsi="Times New Roman"/>
          <w:color w:val="000000" w:themeColor="text1"/>
          <w:sz w:val="16"/>
          <w:szCs w:val="16"/>
        </w:rPr>
        <w:softHyphen/>
        <w:t>вости но тангажу и курсу. При глубоких виражах крыло начинало вибрировать, а механизм уборки и выпуска шасси был крайне ненадежным, и посадка на фюзе</w:t>
      </w:r>
      <w:r w:rsidRPr="0044524F">
        <w:rPr>
          <w:rFonts w:ascii="Times New Roman" w:hAnsi="Times New Roman"/>
          <w:color w:val="000000" w:themeColor="text1"/>
          <w:sz w:val="16"/>
          <w:szCs w:val="16"/>
        </w:rPr>
        <w:softHyphen/>
        <w:t>ляж случилась в первые недели эксплу</w:t>
      </w:r>
      <w:r w:rsidRPr="0044524F">
        <w:rPr>
          <w:rFonts w:ascii="Times New Roman" w:hAnsi="Times New Roman"/>
          <w:color w:val="000000" w:themeColor="text1"/>
          <w:sz w:val="16"/>
          <w:szCs w:val="16"/>
        </w:rPr>
        <w:softHyphen/>
        <w:t>атации. Вскоре один Do 11с разбился, и от Дорнье потребовали доработать самолет.</w:t>
      </w:r>
    </w:p>
    <w:p w14:paraId="418CBBA8" w14:textId="77777777" w:rsidR="00DD2236" w:rsidRPr="0044524F" w:rsidRDefault="00DD2236"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уменьшили, измени</w:t>
      </w:r>
      <w:r w:rsidRPr="0044524F">
        <w:rPr>
          <w:rFonts w:ascii="Times New Roman" w:hAnsi="Times New Roman"/>
          <w:color w:val="000000" w:themeColor="text1"/>
          <w:sz w:val="16"/>
          <w:szCs w:val="16"/>
        </w:rPr>
        <w:softHyphen/>
        <w:t>ли конструкцию законцовок, но это не помогло, и пришлось ограничить угол крена до 45°. Для улучшения путевой устойчивости увеличили руль направле</w:t>
      </w:r>
      <w:r w:rsidRPr="0044524F">
        <w:rPr>
          <w:rFonts w:ascii="Times New Roman" w:hAnsi="Times New Roman"/>
          <w:color w:val="000000" w:themeColor="text1"/>
          <w:sz w:val="16"/>
          <w:szCs w:val="16"/>
        </w:rPr>
        <w:softHyphen/>
        <w:t>ния и ввели небольшой подфюзеляжный киль, а для устранения опасности сры</w:t>
      </w:r>
      <w:r w:rsidRPr="0044524F">
        <w:rPr>
          <w:rFonts w:ascii="Times New Roman" w:hAnsi="Times New Roman"/>
          <w:color w:val="000000" w:themeColor="text1"/>
          <w:sz w:val="16"/>
          <w:szCs w:val="16"/>
        </w:rPr>
        <w:softHyphen/>
        <w:t>ва в штопор применили предкрылки. В таком виде машина пошла в серию под индексом Do 11d. доработаны были и все готовые Do 11с. Ненадежный и неудобный механизм уборки шасси за</w:t>
      </w:r>
      <w:r w:rsidRPr="0044524F">
        <w:rPr>
          <w:rFonts w:ascii="Times New Roman" w:hAnsi="Times New Roman"/>
          <w:color w:val="000000" w:themeColor="text1"/>
          <w:sz w:val="16"/>
          <w:szCs w:val="16"/>
        </w:rPr>
        <w:softHyphen/>
        <w:t>блокировали. лишив самолет главного технического новшества, летные дан</w:t>
      </w:r>
      <w:r w:rsidRPr="0044524F">
        <w:rPr>
          <w:rFonts w:ascii="Times New Roman" w:hAnsi="Times New Roman"/>
          <w:color w:val="000000" w:themeColor="text1"/>
          <w:sz w:val="16"/>
          <w:szCs w:val="16"/>
        </w:rPr>
        <w:softHyphen/>
        <w:t>ные снизились, и заказ сократили до 150 штук. Военные заметно охладели к Дорнье, отдавая предпочтение Ju 52/3m (22800).</w:t>
      </w:r>
    </w:p>
    <w:p w14:paraId="4F07FB7D" w14:textId="77777777" w:rsidR="00DD2236" w:rsidRPr="0044524F" w:rsidRDefault="00DD2236" w:rsidP="009654CF">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051F56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Правительство Германии приняло решение к октябрю 1035 увеличить количество самолетов до 1610, половину из которых должны были составить бомбардировщики (1071,11).</w:t>
      </w:r>
    </w:p>
    <w:p w14:paraId="1E4811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DC2F1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года в «Ракетенфлюгплатц» было осуществлено 87 пусков ракет и 270 запусков двигателей на стенде. В роковую зиму 1933 года к власти пришел Адольф Гитлер. Именно этой зимой количество членов «Общества межпланетных сообщений» сократилось до 300 человек, а многие из них лишились средств к существованию. В это время приходило много писем, в которых говорилось, что новых поступлений в кассу «Общества» не будет, так как «всеми финансами ведает фюрер». Между тем политическая обстановка в Германии ухудшалась дня ото дня. Среди руководителей «Общества» наметился раскол, причиной которого были в том числе и политические разногласия. Тем не менее работы в «Ракетенфлюгплатц» продолжались. Клаус Ридель запланировал модернизацию испытательного стенда. В земляном валу было сооружено убежище, там хранились баллоны со сжатым азотом, обслуживаемые наблюдателями. Помимо этого Ридель изготовил несколько двигателей нового типа, работающих на спирте. Толчком к использованию спирта в качестве топлива была серьезная дискуссия, имевшая место осенью 1933 года. Было известно, что спирт требует при горении меньшее количество окислителя. Чтобы полностью сжечь 1 кг бензина, необходимо иметь 3,5 кг кислорода. Для того, чтобы сжечь 1 кг спирта, нужно всего лишь около 2 кг кислорода. Хотя спирт выделяет несколько меньше энергии, это преимущество было явным. В это время Ридель работал над проблемой повышения эффективности системы охлаждения. Заинтересовавшись спиртом как возможным ракетным топливом, Ридель задался мыслью охладить двигатель путем впрыскивания внутрь камеры сгорания некоторого количества охлаждающей воды. Готовность Риделя согласиться на применение спирта основывалась на том, что охлаждающую воду можно было смешать со спиртом, обходясь без дополнительной впрыскивающей форсунки (11688).</w:t>
      </w:r>
    </w:p>
    <w:p w14:paraId="4AB948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2DEA230"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концу 1933 года, несмотря на успешный перелет Couzinet 70 через Южную Атлантику и знаменитый перелет Couzinet 33 из Франции на остров Новая Каледония, компания Avions Couzinet не получила ни одного заказа на серийное производство, что тяжело отражалось на ее финансовом положении. Чтобы спасти свою компанию Рене Кузин планировал объединить усилия с компанией Avions Louis Breguet (Breguet). Было подписано соглашение, согласно которому компания Луи Бреге имела право изготавливать те самолеты конструкции Рене Кузина, на серийное производство которых компания Avions Couzinet получила бы контракты. Позднее предполагалось слияние компанией Avions Couzinet и Breguet, при этом конструкторские бюро должны были сохранять свою независимость. Данное соглашение было уточнено в июле 1934 года, когда компания Breguet приобрела лицензию на производство самолетов компании Avions Couzinet.</w:t>
      </w:r>
    </w:p>
    <w:p w14:paraId="4200F6CF"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К сожалению, компания Avions Couzinet так и не получила контрактов на серийное производство своих самолетов, и единственное, чем Луи Бреге мог помочь своему компаньону это поручить постройку небольшой серии легких самолетов Mauboussin Corsaire. В конце 1934 года министр авиации генерал Денен (Général Denain) заказал три Couzinet 73 для полетов через Южную Атлантику. В компании сразу же начались работы над самолетами, но 25 февраля 1935 года этот заказ был отменен…</w:t>
      </w:r>
    </w:p>
    <w:p w14:paraId="3A094834"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Между тем кооперативный банк Франции, который вмешался в ситуацию после пожара в цехах компании Letord, ограничил свою поддержку Рене Кузина и его компании. 4 августа 1934 года цеха были временно закрыты, а 26 ноября внеочередное общее собрание приняло решение о начале ликвидации компании Avions Couzinet. В апреле 1935 года дефицит достиг 25 325 000 франков.</w:t>
      </w:r>
    </w:p>
    <w:p w14:paraId="1123C70A"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Также были представлены проекты спасения компании: сначала проект соглашения с группой Crozier, а затем с Compagnie Nationale de Constructions Aéronautiques (C.N.C.A.). Однако в июле 1935 года эти проекты потерпели неудачу. Также закончились ничем попытки объединения с компаниями Fouga, Régnier и с остатками Bureau d'Etudes Bernard de La Courneuve (25372).</w:t>
      </w:r>
    </w:p>
    <w:p w14:paraId="24977D70" w14:textId="77777777" w:rsidR="000C4BE0" w:rsidRPr="00142305" w:rsidRDefault="000C4BE0" w:rsidP="000C4BE0">
      <w:pPr>
        <w:spacing w:after="0" w:line="240" w:lineRule="auto"/>
        <w:jc w:val="both"/>
        <w:rPr>
          <w:rFonts w:ascii="Times New Roman" w:hAnsi="Times New Roman"/>
          <w:color w:val="0070C0"/>
          <w:sz w:val="16"/>
          <w:szCs w:val="16"/>
        </w:rPr>
      </w:pPr>
    </w:p>
    <w:p w14:paraId="337B0D3D" w14:textId="77777777" w:rsidR="00DD2236" w:rsidRPr="0044524F" w:rsidRDefault="00DD2236" w:rsidP="009654CF">
      <w:pPr>
        <w:pStyle w:val="116"/>
        <w:shd w:val="clear" w:color="auto" w:fill="auto"/>
        <w:spacing w:after="0" w:line="240" w:lineRule="auto"/>
        <w:ind w:firstLine="0"/>
        <w:jc w:val="both"/>
        <w:rPr>
          <w:rFonts w:ascii="Times New Roman" w:hAnsi="Times New Roman" w:cs="Times New Roman"/>
          <w:color w:val="000000" w:themeColor="text1"/>
          <w:sz w:val="16"/>
          <w:szCs w:val="16"/>
        </w:rPr>
      </w:pPr>
      <w:r w:rsidRPr="0044524F">
        <w:rPr>
          <w:rFonts w:ascii="Times New Roman" w:hAnsi="Times New Roman" w:cs="Times New Roman"/>
          <w:color w:val="000000" w:themeColor="text1"/>
          <w:sz w:val="16"/>
          <w:szCs w:val="16"/>
        </w:rPr>
        <w:t>К концу того же 1933 г. во Франции независимо от «Немецкого ракетного общества» и «Американского общества межпланетных сообщений» Робер Эсно-Пельтри дорабатывал свой проект ракеты, которая должна была весить около 100 кг и подниматься на высоту 100 км. В качестве топлива он использовал тетраметан, жидкий кислород и бензин. Его двигатель обеспечивал тягу 300 кг. в течение 55 сек. Работа не была завершена, а сам автор так и не получил признания на родине</w:t>
      </w:r>
      <w:r w:rsidRPr="0044524F">
        <w:rPr>
          <w:rFonts w:ascii="Times New Roman" w:hAnsi="Times New Roman" w:cs="Times New Roman"/>
          <w:color w:val="000000" w:themeColor="text1"/>
          <w:sz w:val="16"/>
          <w:szCs w:val="16"/>
          <w:lang w:val="ru-RU"/>
        </w:rPr>
        <w:t xml:space="preserve"> (22685)</w:t>
      </w:r>
      <w:r w:rsidRPr="0044524F">
        <w:rPr>
          <w:rFonts w:ascii="Times New Roman" w:hAnsi="Times New Roman" w:cs="Times New Roman"/>
          <w:color w:val="000000" w:themeColor="text1"/>
          <w:sz w:val="16"/>
          <w:szCs w:val="16"/>
        </w:rPr>
        <w:t>.</w:t>
      </w:r>
    </w:p>
    <w:p w14:paraId="12B7A8C4" w14:textId="77777777" w:rsidR="00DD2236" w:rsidRPr="0044524F" w:rsidRDefault="00DD2236" w:rsidP="009654CF">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412B8CA3"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3EBF15B8"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41811E6" w14:textId="77777777" w:rsidR="000502B4" w:rsidRPr="0044524F" w:rsidRDefault="000502B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конце 1933 - начале 1934 г., судя по имеющимся данным, мобилизационная заявка НКВМ на 1938 г. (или хотя бы 1935 г.), высшим руководством СССР не рассматривалась и не утверждалась. План военного ведомства по капитальному строительству, заказам на вооружение и прочим расходам на вторую пятилетку также "утверждения СНК СССР не получал" (Доклад врид Начальника Сектора Обороны Госплана СССР Кононенко и Начальника Военной группы Сектора Обороны Госплана СССР Снитко "О выполнении НКО 2-го пятилетнего плана и о к/ц на 3-е пятилетие", 11.05.1937 // РГАЭ. Ф. 4372. Оп. 91. Д. 3290. Л. 14).</w:t>
      </w:r>
    </w:p>
    <w:p w14:paraId="0A738F68" w14:textId="77777777" w:rsidR="000502B4" w:rsidRPr="0044524F" w:rsidRDefault="000502B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Вместо разработки и принятия все новых версий мобилизационных планов, мобзаявок и планов строительства РККА на первый период и на конец пятилетки, как это было в период апреля 1928 - января 1931 г., советское руководство предпочло двигаться по пути, проторенному акциями 1931-1932 гг.: рассматривать и принимать специальные программы по производству тех или иных видов боевого вооружения и предметов снабжения и по развитию отдельных родов войск (Вероятно, пессимизм относительно возможности комплексного плана промышленной мобилизации усилило невыполнение годовой программы военного производства 1933 г. (см.: Шифротелсграмма Сталина и Ворошилова Молотову, Кагановичу и Куйбышеву, 14.09.1933 // Сталин и Каганович: Переписка, 1931-1936 гг. С. 343-344; Письмо Кагановича Сталину, 24.09.1933 //Там же. С. 360; Письмо Кагановича Сталину. 02.10.1933 // Там же. С. 371; Письмо Сталина Кагановичу, 21.10.1933 //Там же. С. 395).).</w:t>
      </w:r>
    </w:p>
    <w:p w14:paraId="0E513D02" w14:textId="77777777" w:rsidR="000502B4" w:rsidRPr="0044524F" w:rsidRDefault="000502B4" w:rsidP="009654CF">
      <w:pPr>
        <w:shd w:val="clear" w:color="auto" w:fill="FFFFFF"/>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Вслед за программой военно-морского строительства на 1933-1938 гг. (июнь 1933 г.) в августе 1933 г. СТО принял постановление "О системе танкового вооружения РККА на вторую пятилетку", в марте 1934 г. - "О системе артиллерийского вооружения РККА на вторую пятилетку", в апреле 1935 г. был утвержден "План развития военно-воздушных сил на 1935-1937 гг." (См.: История Второй мировой войны, 1939-1945: В 12 т. Т. 1. С. 269; Протокол № 24 заседания Политбюро ЦК ВКП(б), 26 апреля 1935 года (особый), приложение № 1 к п. 172 // РГА СИИ. Ф. 17. Оп. 1б2. Д. 18. Л. 10) (22725).</w:t>
      </w:r>
    </w:p>
    <w:p w14:paraId="5D9E405B" w14:textId="77777777" w:rsidR="000502B4" w:rsidRPr="0044524F" w:rsidRDefault="000502B4" w:rsidP="009654CF">
      <w:pPr>
        <w:pStyle w:val="116"/>
        <w:shd w:val="clear" w:color="auto" w:fill="auto"/>
        <w:spacing w:after="0" w:line="240" w:lineRule="auto"/>
        <w:ind w:firstLine="0"/>
        <w:jc w:val="both"/>
        <w:rPr>
          <w:rFonts w:ascii="Times New Roman" w:hAnsi="Times New Roman" w:cs="Times New Roman"/>
          <w:color w:val="000000" w:themeColor="text1"/>
          <w:sz w:val="16"/>
          <w:szCs w:val="16"/>
        </w:rPr>
      </w:pPr>
    </w:p>
    <w:p w14:paraId="43B0F8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1933 - начале 1934 на НИБТ полигоне прошел испытания один из трех бронетранспортеров ТР-4, разработанный на ьазе Т-26 КБ Опытного завода Спецмаштреста им. Кирова (завод 185) в 1933. На вооружение не принимался и в серии не был (9527,208).</w:t>
      </w:r>
    </w:p>
    <w:p w14:paraId="7744C8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0F2A8C5" w14:textId="1D149FD8" w:rsidR="00407F5B" w:rsidRPr="0044524F" w:rsidRDefault="00407F5B" w:rsidP="009654CF">
      <w:pPr>
        <w:autoSpaceDE w:val="0"/>
        <w:autoSpaceDN w:val="0"/>
        <w:adjustRightInd w:val="0"/>
        <w:spacing w:after="0" w:line="240" w:lineRule="auto"/>
        <w:jc w:val="both"/>
        <w:rPr>
          <w:rFonts w:ascii="Times New Roman" w:hAnsi="Times New Roman"/>
          <w:i/>
          <w:iCs/>
          <w:color w:val="000000" w:themeColor="text1"/>
          <w:sz w:val="16"/>
          <w:szCs w:val="16"/>
        </w:rPr>
      </w:pPr>
      <w:r w:rsidRPr="0044524F">
        <w:rPr>
          <w:rFonts w:ascii="Times New Roman" w:hAnsi="Times New Roman"/>
          <w:i/>
          <w:iCs/>
          <w:color w:val="000000" w:themeColor="text1"/>
          <w:sz w:val="16"/>
          <w:szCs w:val="16"/>
        </w:rPr>
        <w:t>За рубежом:</w:t>
      </w:r>
    </w:p>
    <w:p w14:paraId="52B834F7" w14:textId="77777777" w:rsidR="00407F5B" w:rsidRPr="0044524F" w:rsidRDefault="00407F5B" w:rsidP="009654CF">
      <w:pPr>
        <w:autoSpaceDE w:val="0"/>
        <w:autoSpaceDN w:val="0"/>
        <w:adjustRightInd w:val="0"/>
        <w:spacing w:after="0" w:line="240" w:lineRule="auto"/>
        <w:jc w:val="both"/>
        <w:rPr>
          <w:rFonts w:ascii="Times New Roman" w:hAnsi="Times New Roman"/>
          <w:i/>
          <w:iCs/>
          <w:color w:val="000000" w:themeColor="text1"/>
          <w:sz w:val="16"/>
          <w:szCs w:val="16"/>
        </w:rPr>
      </w:pPr>
    </w:p>
    <w:p w14:paraId="7FD4D499" w14:textId="77777777" w:rsidR="00407F5B" w:rsidRPr="0044524F" w:rsidRDefault="00407F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конца 1933 г. параллельно с первой модификацией выпускался вариант Не 45Ь, отличавшийся усиленным вооруже</w:t>
      </w:r>
      <w:r w:rsidRPr="0044524F">
        <w:rPr>
          <w:rFonts w:ascii="Times New Roman" w:hAnsi="Times New Roman"/>
          <w:color w:val="000000" w:themeColor="text1"/>
          <w:sz w:val="16"/>
          <w:szCs w:val="16"/>
        </w:rPr>
        <w:softHyphen/>
        <w:t>нием: он имел дополнительный синхрон</w:t>
      </w:r>
      <w:r w:rsidRPr="0044524F">
        <w:rPr>
          <w:rFonts w:ascii="Times New Roman" w:hAnsi="Times New Roman"/>
          <w:color w:val="000000" w:themeColor="text1"/>
          <w:sz w:val="16"/>
          <w:szCs w:val="16"/>
        </w:rPr>
        <w:softHyphen/>
        <w:t>ный 7,92-мм пулемет MG 17 сверху-спра</w:t>
      </w:r>
      <w:r w:rsidRPr="0044524F">
        <w:rPr>
          <w:rFonts w:ascii="Times New Roman" w:hAnsi="Times New Roman"/>
          <w:color w:val="000000" w:themeColor="text1"/>
          <w:sz w:val="16"/>
          <w:szCs w:val="16"/>
        </w:rPr>
        <w:softHyphen/>
        <w:t>ва над мотором, а в закабинном отсеке вместо АФА можно было установить кас</w:t>
      </w:r>
      <w:r w:rsidRPr="0044524F">
        <w:rPr>
          <w:rFonts w:ascii="Times New Roman" w:hAnsi="Times New Roman"/>
          <w:color w:val="000000" w:themeColor="text1"/>
          <w:sz w:val="16"/>
          <w:szCs w:val="16"/>
        </w:rPr>
        <w:softHyphen/>
        <w:t>сету на десять 10-кг осколочных бомб (также предусматривалась возможность 200 кг бомб под крылом). В 1934 г. начались поставки первых крупносерийных модификаций - Не 45с и Не 45d, различавшихся только составом оборудования. Первая из них производи</w:t>
      </w:r>
      <w:r w:rsidRPr="0044524F">
        <w:rPr>
          <w:rFonts w:ascii="Times New Roman" w:hAnsi="Times New Roman"/>
          <w:color w:val="000000" w:themeColor="text1"/>
          <w:sz w:val="16"/>
          <w:szCs w:val="16"/>
        </w:rPr>
        <w:softHyphen/>
        <w:t>лась фирмами «Готаер ваггонфабрик» (Gothaer Waggonfabrik) и «Фокке-Вульф» (Focke-Wulf), а вторая - «Байерише флюгцойгверке» (Bayerische Flugzeug- werke). От предшественников эти машины отличались формой руля высоты, усилен</w:t>
      </w:r>
      <w:r w:rsidRPr="0044524F">
        <w:rPr>
          <w:rFonts w:ascii="Times New Roman" w:hAnsi="Times New Roman"/>
          <w:color w:val="000000" w:themeColor="text1"/>
          <w:sz w:val="16"/>
          <w:szCs w:val="16"/>
        </w:rPr>
        <w:softHyphen/>
        <w:t>ным хвостовым костылем и заменой жест</w:t>
      </w:r>
      <w:r w:rsidRPr="0044524F">
        <w:rPr>
          <w:rFonts w:ascii="Times New Roman" w:hAnsi="Times New Roman"/>
          <w:color w:val="000000" w:themeColor="text1"/>
          <w:sz w:val="16"/>
          <w:szCs w:val="16"/>
        </w:rPr>
        <w:softHyphen/>
        <w:t>кой про водки управления элеронами на троссовую.</w:t>
      </w:r>
    </w:p>
    <w:p w14:paraId="22ECEEDD" w14:textId="77777777" w:rsidR="00407F5B" w:rsidRPr="0044524F" w:rsidRDefault="00407F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Главное — был установлен более мощный мотор BMW VI 7,3 с увеличенной степенью сжатия и взлетной мощностью 750 л.с. Не менее пяти самолетов использовались для испытаний новых двигателей жидкостного охлаждения: че</w:t>
      </w:r>
      <w:r w:rsidRPr="0044524F">
        <w:rPr>
          <w:rFonts w:ascii="Times New Roman" w:hAnsi="Times New Roman"/>
          <w:color w:val="000000" w:themeColor="text1"/>
          <w:sz w:val="16"/>
          <w:szCs w:val="16"/>
        </w:rPr>
        <w:softHyphen/>
        <w:t>тыре из них получили моторы ОВ 600, а один — BMW 116.</w:t>
      </w:r>
    </w:p>
    <w:p w14:paraId="769462BB" w14:textId="77777777" w:rsidR="00407F5B" w:rsidRPr="0044524F" w:rsidRDefault="00407F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создание и внедрение в производ</w:t>
      </w:r>
      <w:r w:rsidRPr="0044524F">
        <w:rPr>
          <w:rFonts w:ascii="Times New Roman" w:hAnsi="Times New Roman"/>
          <w:color w:val="000000" w:themeColor="text1"/>
          <w:sz w:val="16"/>
          <w:szCs w:val="16"/>
        </w:rPr>
        <w:softHyphen/>
        <w:t>ство Не 45 прошло без проблем, то Не 46 доставил много хлопот своим конструкто</w:t>
      </w:r>
      <w:r w:rsidRPr="0044524F">
        <w:rPr>
          <w:rFonts w:ascii="Times New Roman" w:hAnsi="Times New Roman"/>
          <w:color w:val="000000" w:themeColor="text1"/>
          <w:sz w:val="16"/>
          <w:szCs w:val="16"/>
        </w:rPr>
        <w:softHyphen/>
        <w:t>рам. Несмотря на требование заказчика опираться только на проверенные техни</w:t>
      </w:r>
      <w:r w:rsidRPr="0044524F">
        <w:rPr>
          <w:rFonts w:ascii="Times New Roman" w:hAnsi="Times New Roman"/>
          <w:color w:val="000000" w:themeColor="text1"/>
          <w:sz w:val="16"/>
          <w:szCs w:val="16"/>
        </w:rPr>
        <w:softHyphen/>
        <w:t>ческие решения, в этом «армейском само</w:t>
      </w:r>
      <w:r w:rsidRPr="0044524F">
        <w:rPr>
          <w:rFonts w:ascii="Times New Roman" w:hAnsi="Times New Roman"/>
          <w:color w:val="000000" w:themeColor="text1"/>
          <w:sz w:val="16"/>
          <w:szCs w:val="16"/>
        </w:rPr>
        <w:softHyphen/>
        <w:t>лете» применили два нововведения, суще</w:t>
      </w:r>
      <w:r w:rsidRPr="0044524F">
        <w:rPr>
          <w:rFonts w:ascii="Times New Roman" w:hAnsi="Times New Roman"/>
          <w:color w:val="000000" w:themeColor="text1"/>
          <w:sz w:val="16"/>
          <w:szCs w:val="16"/>
        </w:rPr>
        <w:softHyphen/>
        <w:t>ственно повлиявших на сроки его дора</w:t>
      </w:r>
      <w:r w:rsidRPr="0044524F">
        <w:rPr>
          <w:rFonts w:ascii="Times New Roman" w:hAnsi="Times New Roman"/>
          <w:color w:val="000000" w:themeColor="text1"/>
          <w:sz w:val="16"/>
          <w:szCs w:val="16"/>
        </w:rPr>
        <w:softHyphen/>
        <w:t>ботки. Первым из них стала довольно необычная компоновка крыла, призванная значительно улучшить обзор по сравнению с другими бипланами. Верхнее крыло раз</w:t>
      </w:r>
      <w:r w:rsidRPr="0044524F">
        <w:rPr>
          <w:rFonts w:ascii="Times New Roman" w:hAnsi="Times New Roman"/>
          <w:color w:val="000000" w:themeColor="text1"/>
          <w:sz w:val="16"/>
          <w:szCs w:val="16"/>
        </w:rPr>
        <w:softHyphen/>
        <w:t>махом 11,5 м было вынесено вперед и имело стреловидность 10°, а нижнее, раз</w:t>
      </w:r>
      <w:r w:rsidRPr="0044524F">
        <w:rPr>
          <w:rFonts w:ascii="Times New Roman" w:hAnsi="Times New Roman"/>
          <w:color w:val="000000" w:themeColor="text1"/>
          <w:sz w:val="16"/>
          <w:szCs w:val="16"/>
        </w:rPr>
        <w:softHyphen/>
        <w:t>махом 8,8 м, было прямым. Благодаря такому решению удалось обеспечить хоро</w:t>
      </w:r>
      <w:r w:rsidRPr="0044524F">
        <w:rPr>
          <w:rFonts w:ascii="Times New Roman" w:hAnsi="Times New Roman"/>
          <w:color w:val="000000" w:themeColor="text1"/>
          <w:sz w:val="16"/>
          <w:szCs w:val="16"/>
        </w:rPr>
        <w:softHyphen/>
        <w:t>ший обзор пилоту по направлению впе</w:t>
      </w:r>
      <w:r w:rsidRPr="0044524F">
        <w:rPr>
          <w:rFonts w:ascii="Times New Roman" w:hAnsi="Times New Roman"/>
          <w:color w:val="000000" w:themeColor="text1"/>
          <w:sz w:val="16"/>
          <w:szCs w:val="16"/>
        </w:rPr>
        <w:softHyphen/>
        <w:t>ред-вниз. Вторым нововведением стал двигатель SAM 22В — 9-цилиндровый звездообразный мотор воздушного охлаж</w:t>
      </w:r>
      <w:r w:rsidRPr="0044524F">
        <w:rPr>
          <w:rFonts w:ascii="Times New Roman" w:hAnsi="Times New Roman"/>
          <w:color w:val="000000" w:themeColor="text1"/>
          <w:sz w:val="16"/>
          <w:szCs w:val="16"/>
        </w:rPr>
        <w:softHyphen/>
        <w:t>дения, разрабатывавшийся фирмой "Си</w:t>
      </w:r>
      <w:r w:rsidRPr="0044524F">
        <w:rPr>
          <w:rFonts w:ascii="Times New Roman" w:hAnsi="Times New Roman"/>
          <w:color w:val="000000" w:themeColor="text1"/>
          <w:sz w:val="16"/>
          <w:szCs w:val="16"/>
        </w:rPr>
        <w:softHyphen/>
        <w:t>менс» (Siemens Apparaten und Maschinen G.m.b.H) параллельно с проектированием Не 46. Как часто бывает, разработка дви</w:t>
      </w:r>
      <w:r w:rsidRPr="0044524F">
        <w:rPr>
          <w:rFonts w:ascii="Times New Roman" w:hAnsi="Times New Roman"/>
          <w:color w:val="000000" w:themeColor="text1"/>
          <w:sz w:val="16"/>
          <w:szCs w:val="16"/>
        </w:rPr>
        <w:softHyphen/>
        <w:t>гателя запаздывала, поэтому на первом экземпляре Не 46а установили мотор "Юпитер» английской фирмы "Бристоль» взлетной мощностью 450 л.с. — на 20% меньше, чем у SAM 22В. Результаты испы</w:t>
      </w:r>
      <w:r w:rsidRPr="0044524F">
        <w:rPr>
          <w:rFonts w:ascii="Times New Roman" w:hAnsi="Times New Roman"/>
          <w:color w:val="000000" w:themeColor="text1"/>
          <w:sz w:val="16"/>
          <w:szCs w:val="16"/>
        </w:rPr>
        <w:softHyphen/>
        <w:t>таний показали, что самолету явно недос</w:t>
      </w:r>
      <w:r w:rsidRPr="0044524F">
        <w:rPr>
          <w:rFonts w:ascii="Times New Roman" w:hAnsi="Times New Roman"/>
          <w:color w:val="000000" w:themeColor="text1"/>
          <w:sz w:val="16"/>
          <w:szCs w:val="16"/>
        </w:rPr>
        <w:softHyphen/>
        <w:t>тает тяговооруженности, хотя управляе</w:t>
      </w:r>
      <w:r w:rsidRPr="0044524F">
        <w:rPr>
          <w:rFonts w:ascii="Times New Roman" w:hAnsi="Times New Roman"/>
          <w:color w:val="000000" w:themeColor="text1"/>
          <w:sz w:val="16"/>
          <w:szCs w:val="16"/>
        </w:rPr>
        <w:softHyphen/>
        <w:t>мость была приемлемой. Министерство транспорта было вполне удовлетворено летными характеристиками Не 46а, но ма</w:t>
      </w:r>
      <w:r w:rsidRPr="0044524F">
        <w:rPr>
          <w:rFonts w:ascii="Times New Roman" w:hAnsi="Times New Roman"/>
          <w:color w:val="000000" w:themeColor="text1"/>
          <w:sz w:val="16"/>
          <w:szCs w:val="16"/>
        </w:rPr>
        <w:softHyphen/>
        <w:t>шину забраковали военные ввиду плохого обзора для наблюдателя, сильно ограни</w:t>
      </w:r>
      <w:r w:rsidRPr="0044524F">
        <w:rPr>
          <w:rFonts w:ascii="Times New Roman" w:hAnsi="Times New Roman"/>
          <w:color w:val="000000" w:themeColor="text1"/>
          <w:sz w:val="16"/>
          <w:szCs w:val="16"/>
        </w:rPr>
        <w:softHyphen/>
        <w:t>ченного нижним крылом.</w:t>
      </w:r>
    </w:p>
    <w:p w14:paraId="359CA6F5" w14:textId="77777777" w:rsidR="00407F5B" w:rsidRPr="0044524F" w:rsidRDefault="00407F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решения последней проблемы машина была полностью перепроектиро</w:t>
      </w:r>
      <w:r w:rsidRPr="0044524F">
        <w:rPr>
          <w:rFonts w:ascii="Times New Roman" w:hAnsi="Times New Roman"/>
          <w:color w:val="000000" w:themeColor="text1"/>
          <w:sz w:val="16"/>
          <w:szCs w:val="16"/>
        </w:rPr>
        <w:softHyphen/>
        <w:t>вана — от нижнего крыла вообще отказа</w:t>
      </w:r>
      <w:r w:rsidRPr="0044524F">
        <w:rPr>
          <w:rFonts w:ascii="Times New Roman" w:hAnsi="Times New Roman"/>
          <w:color w:val="000000" w:themeColor="text1"/>
          <w:sz w:val="16"/>
          <w:szCs w:val="16"/>
        </w:rPr>
        <w:softHyphen/>
        <w:t>лись, а размах верхнего увеличили до 14 м. Таким образом из биплана самолет прев</w:t>
      </w:r>
      <w:r w:rsidRPr="0044524F">
        <w:rPr>
          <w:rFonts w:ascii="Times New Roman" w:hAnsi="Times New Roman"/>
          <w:color w:val="000000" w:themeColor="text1"/>
          <w:sz w:val="16"/>
          <w:szCs w:val="16"/>
        </w:rPr>
        <w:softHyphen/>
        <w:t>ратился в моноплан-парасоль. Такая ком</w:t>
      </w:r>
      <w:r w:rsidRPr="0044524F">
        <w:rPr>
          <w:rFonts w:ascii="Times New Roman" w:hAnsi="Times New Roman"/>
          <w:color w:val="000000" w:themeColor="text1"/>
          <w:sz w:val="16"/>
          <w:szCs w:val="16"/>
        </w:rPr>
        <w:softHyphen/>
        <w:t>поновка была испытана на втором опыт</w:t>
      </w:r>
      <w:r w:rsidRPr="0044524F">
        <w:rPr>
          <w:rFonts w:ascii="Times New Roman" w:hAnsi="Times New Roman"/>
          <w:color w:val="000000" w:themeColor="text1"/>
          <w:sz w:val="16"/>
          <w:szCs w:val="16"/>
        </w:rPr>
        <w:softHyphen/>
        <w:t>ном экземпляре Не 46Ь, впервые подняв</w:t>
      </w:r>
      <w:r w:rsidRPr="0044524F">
        <w:rPr>
          <w:rFonts w:ascii="Times New Roman" w:hAnsi="Times New Roman"/>
          <w:color w:val="000000" w:themeColor="text1"/>
          <w:sz w:val="16"/>
          <w:szCs w:val="16"/>
        </w:rPr>
        <w:softHyphen/>
        <w:t>шемся в воздух в июне 1932 г. (24188).</w:t>
      </w:r>
    </w:p>
    <w:p w14:paraId="55BDC4C4" w14:textId="77777777" w:rsidR="00407F5B" w:rsidRPr="0044524F" w:rsidRDefault="00407F5B" w:rsidP="009654CF">
      <w:pPr>
        <w:spacing w:after="0" w:line="240" w:lineRule="auto"/>
        <w:jc w:val="both"/>
        <w:rPr>
          <w:rFonts w:ascii="Times New Roman" w:hAnsi="Times New Roman"/>
          <w:color w:val="000000" w:themeColor="text1"/>
          <w:sz w:val="16"/>
          <w:szCs w:val="16"/>
        </w:rPr>
      </w:pPr>
    </w:p>
    <w:p w14:paraId="6C328325" w14:textId="77777777" w:rsidR="00407F5B" w:rsidRPr="0044524F" w:rsidRDefault="00407F5B"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1933 г. Немецкое ракетное общество было вынуждено прекратить свою деятельность (23388).</w:t>
      </w:r>
    </w:p>
    <w:p w14:paraId="68DE0A84" w14:textId="77777777" w:rsidR="00407F5B" w:rsidRPr="0044524F" w:rsidRDefault="00407F5B" w:rsidP="009654CF">
      <w:pPr>
        <w:spacing w:after="0" w:line="240" w:lineRule="auto"/>
        <w:jc w:val="both"/>
        <w:rPr>
          <w:rFonts w:ascii="Times New Roman" w:hAnsi="Times New Roman"/>
          <w:color w:val="000000" w:themeColor="text1"/>
          <w:sz w:val="16"/>
          <w:szCs w:val="16"/>
        </w:rPr>
      </w:pPr>
    </w:p>
    <w:p w14:paraId="008814C8" w14:textId="77777777" w:rsidR="000C4BE0" w:rsidRPr="0044524F" w:rsidRDefault="000C4BE0" w:rsidP="000C4BE0">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7F91DF32" w14:textId="77777777" w:rsidR="000C4BE0" w:rsidRPr="0044524F" w:rsidRDefault="000C4BE0" w:rsidP="000C4BE0">
      <w:pPr>
        <w:autoSpaceDE w:val="0"/>
        <w:autoSpaceDN w:val="0"/>
        <w:adjustRightInd w:val="0"/>
        <w:spacing w:after="0" w:line="240" w:lineRule="auto"/>
        <w:jc w:val="both"/>
        <w:rPr>
          <w:rFonts w:ascii="Times New Roman" w:hAnsi="Times New Roman"/>
          <w:iCs/>
          <w:color w:val="000000" w:themeColor="text1"/>
          <w:sz w:val="16"/>
          <w:szCs w:val="16"/>
        </w:rPr>
      </w:pPr>
    </w:p>
    <w:p w14:paraId="3B8E6AFD"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 в начале 1934 года были остановлены работы по проектированию и постройке</w:t>
      </w:r>
      <w:r w:rsidRPr="00142305">
        <w:rPr>
          <w:rFonts w:ascii="Times New Roman" w:hAnsi="Times New Roman"/>
          <w:color w:val="0070C0"/>
          <w:sz w:val="16"/>
          <w:szCs w:val="16"/>
          <w:shd w:val="clear" w:color="auto" w:fill="FFFFFF"/>
        </w:rPr>
        <w:t xml:space="preserve"> </w:t>
      </w:r>
      <w:r w:rsidRPr="00142305">
        <w:rPr>
          <w:rFonts w:ascii="Times New Roman" w:hAnsi="Times New Roman"/>
          <w:color w:val="0070C0"/>
          <w:sz w:val="16"/>
          <w:szCs w:val="16"/>
        </w:rPr>
        <w:t>АНТ-30 (СК-1). К этому моменту по самолету были составлены и предъявлены КБ со сторон ВВС ТТТ, проведен аэродинамический расчет, изготовлены модели, подготовлена конструкторская документация для строительства опытного экземпляра, началось опытное производство и техническая готовность АНТ-30 оценивалась на 16%.</w:t>
      </w:r>
    </w:p>
    <w:p w14:paraId="61AB42FA"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Согласно проекту АНТ-30 должен был выполняться по схеме цельнометаллического двухдвигательного низкоплана с гладкой обшивкой и нормальным хвостовым оперением. При рассмотрении возможных проектов особое внимание уделялось эффективности наступательного и оборонительного стрелково-пушечного вооружения. В передней поднимающейся куполообразной установке располагалась огневая точка с двумя пулеметами ШКАС, заднюю полусферу прикрывали фюзеляжная установка типа ДАК с одним пулеметом ДА или ШКАС и хвостовая установка с 20-мм пушкой "Эрликон". В фюзеляжном бомбаотсеке в варианте "крейсера" размещался дополнительный топливный бак, в варианте скоростного бомбардировщика там устанавливались бомбодержатели, кроме того, бомбы могли подвешиваться на внешних держателях под центропланом. Суммарная бомбовая нагрузка достигала 1000 кг.</w:t>
      </w:r>
    </w:p>
    <w:p w14:paraId="02354D36"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Причиной было решение о переходе на более перспективный тип самолета — АНТ-40 Архангельского (будущий СБ), а также постепенное отмирание концепции универсального самолета типа "крейсер" (25293).</w:t>
      </w:r>
    </w:p>
    <w:p w14:paraId="51DFC2AB" w14:textId="77777777" w:rsidR="000C4BE0" w:rsidRPr="00142305" w:rsidRDefault="000C4BE0" w:rsidP="000C4BE0">
      <w:pPr>
        <w:spacing w:after="0" w:line="240" w:lineRule="auto"/>
        <w:jc w:val="both"/>
        <w:rPr>
          <w:rFonts w:ascii="Times New Roman" w:hAnsi="Times New Roman"/>
          <w:color w:val="0070C0"/>
          <w:sz w:val="16"/>
          <w:szCs w:val="16"/>
        </w:rPr>
      </w:pPr>
    </w:p>
    <w:p w14:paraId="04E1F217" w14:textId="77777777" w:rsidR="000C4BE0" w:rsidRPr="0044524F" w:rsidRDefault="000C4BE0" w:rsidP="000C4BE0">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6B111945" w14:textId="77777777" w:rsidR="000C4BE0" w:rsidRPr="0044524F" w:rsidRDefault="000C4BE0" w:rsidP="000C4BE0">
      <w:pPr>
        <w:autoSpaceDE w:val="0"/>
        <w:autoSpaceDN w:val="0"/>
        <w:adjustRightInd w:val="0"/>
        <w:spacing w:after="0" w:line="240" w:lineRule="auto"/>
        <w:jc w:val="both"/>
        <w:rPr>
          <w:rFonts w:ascii="Times New Roman" w:hAnsi="Times New Roman"/>
          <w:iCs/>
          <w:color w:val="000000" w:themeColor="text1"/>
          <w:sz w:val="16"/>
          <w:szCs w:val="16"/>
        </w:rPr>
      </w:pPr>
    </w:p>
    <w:p w14:paraId="3ABD45CD"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конце 1933 г. — начале 1934 г. один из трех бронетранспортеров ТР-4, который был разработан на базе танка Т-26 в КВ Опытного завода Спецмаштреста им.С.М.Кирова (завод № 185), прошел испытания на </w:t>
      </w:r>
      <w:r w:rsidRPr="00142305">
        <w:rPr>
          <w:rFonts w:ascii="Times New Roman" w:hAnsi="Times New Roman"/>
          <w:color w:val="0070C0"/>
          <w:sz w:val="16"/>
          <w:szCs w:val="16"/>
          <w:lang w:val="en-US"/>
        </w:rPr>
        <w:t>II</w:t>
      </w:r>
      <w:r w:rsidRPr="00142305">
        <w:rPr>
          <w:rFonts w:ascii="Times New Roman" w:hAnsi="Times New Roman"/>
          <w:color w:val="0070C0"/>
          <w:sz w:val="16"/>
          <w:szCs w:val="16"/>
        </w:rPr>
        <w:t> МВТ полигоне.</w:t>
      </w:r>
    </w:p>
    <w:p w14:paraId="0A2BA005"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Машина была предназначалась для перевозки десанта из пятнадцати человек, который располагался в бронированной кабине, размещенной в средней части машины вместо подбашенной коробки и башни танка. Моторное отделение, расположенное в задней части корпуса, было изолировано от десантного специально!! перегородкой, в кото|н&gt;й для доступа к двигателю имелись два люка. Экипаж бронетранспортера состоял из одного человека — водителя. Он размещался у правого борга и вел наблюдение за местностью через смотровой люк, закрывавшийся броневой Крышкой со смотровой щелью и триплексом.</w:t>
      </w:r>
    </w:p>
    <w:p w14:paraId="46A68B6D"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Посадка и спешивание десанта производились через две бортовые двери. Кроме того, в полу десантного отделения были расположены люки для десантирования. Десант размещался на пяти откидных сиденьях, установленных вдоль карданного вала соединявшего двигатель и трансмиссию (два справа и три слева).</w:t>
      </w:r>
      <w:r w:rsidRPr="00142305">
        <w:rPr>
          <w:rFonts w:ascii="Times New Roman" w:hAnsi="Times New Roman"/>
          <w:color w:val="0070C0"/>
          <w:sz w:val="16"/>
          <w:szCs w:val="16"/>
          <w:lang w:val="en-US"/>
        </w:rPr>
        <w:t> </w:t>
      </w:r>
      <w:r w:rsidRPr="00142305">
        <w:rPr>
          <w:rFonts w:ascii="Times New Roman" w:hAnsi="Times New Roman"/>
          <w:color w:val="0070C0"/>
          <w:sz w:val="16"/>
          <w:szCs w:val="16"/>
        </w:rPr>
        <w:t>Две скамьи располагались вдоль боковых стенок кабины и имели откидные подножки для упора ног.</w:t>
      </w:r>
    </w:p>
    <w:p w14:paraId="7E3FA37E"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лобовом и кормовых листах боевой рубки в специальных шаровых установках размещалось по одному 7.62-мм пулемету ДТ. Боекомплект к пулеметам ДТ состоял из 4980 патронов. Для вентиляции десантного отделения была предусмотрена установка вентилятора в специальном отверстии задней стенки, закрытом броневым листом.</w:t>
      </w:r>
    </w:p>
    <w:p w14:paraId="6A70233D"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Броневая защита — противопульная, выполненная из броневых катаных листов толщиной 6 и 10 мм. Соединение броневых листов осуществлялось с помощью сварки. Лобовой и кормовой листы кабины с боковыми скулами были расположены под небольшим углом наклона к вертикали.</w:t>
      </w:r>
    </w:p>
    <w:p w14:paraId="6B04CEC6"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моторном отделении устанавливались карбюраторный двигатель "Геркулес*1 мощностью 90 л.с. (66 кВт), в трансмиссионном коробка передач и главный фрикцион "Геркулес". Запас хода машины по шоссе достигал</w:t>
      </w:r>
      <w:r w:rsidRPr="00142305">
        <w:rPr>
          <w:rFonts w:ascii="Times New Roman" w:hAnsi="Times New Roman"/>
          <w:color w:val="0070C0"/>
          <w:sz w:val="16"/>
          <w:szCs w:val="16"/>
          <w:lang w:val="en-US"/>
        </w:rPr>
        <w:t> </w:t>
      </w:r>
      <w:r w:rsidRPr="00142305">
        <w:rPr>
          <w:rFonts w:ascii="Times New Roman" w:hAnsi="Times New Roman"/>
          <w:color w:val="0070C0"/>
          <w:sz w:val="16"/>
          <w:szCs w:val="16"/>
        </w:rPr>
        <w:t>120 км.</w:t>
      </w:r>
    </w:p>
    <w:p w14:paraId="327D662F"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вооружение ТР-4 не принимался и в серийном производстве не состоял (25501).</w:t>
      </w:r>
    </w:p>
    <w:p w14:paraId="0FC5F46A" w14:textId="77777777" w:rsidR="000C4BE0" w:rsidRPr="00142305" w:rsidRDefault="000C4BE0" w:rsidP="000C4BE0">
      <w:pPr>
        <w:spacing w:after="0" w:line="240" w:lineRule="auto"/>
        <w:jc w:val="both"/>
        <w:rPr>
          <w:rFonts w:ascii="Times New Roman" w:hAnsi="Times New Roman"/>
          <w:color w:val="0070C0"/>
          <w:sz w:val="16"/>
          <w:szCs w:val="16"/>
        </w:rPr>
      </w:pPr>
    </w:p>
    <w:p w14:paraId="383E4A18" w14:textId="77777777" w:rsidR="000C4BE0" w:rsidRPr="00142305" w:rsidRDefault="000C4BE0" w:rsidP="000C4BE0">
      <w:pPr>
        <w:spacing w:after="0" w:line="240" w:lineRule="auto"/>
        <w:jc w:val="both"/>
        <w:rPr>
          <w:rFonts w:ascii="Times New Roman" w:hAnsi="Times New Roman"/>
          <w:color w:val="0070C0"/>
          <w:sz w:val="16"/>
          <w:szCs w:val="16"/>
        </w:rPr>
      </w:pPr>
      <w:r w:rsidRPr="00142305">
        <w:rPr>
          <w:rStyle w:val="aff"/>
          <w:rFonts w:ascii="Times New Roman" w:hAnsi="Times New Roman" w:cs="Times New Roman"/>
          <w:color w:val="0070C0"/>
          <w:spacing w:val="0"/>
          <w:sz w:val="16"/>
          <w:szCs w:val="16"/>
        </w:rPr>
        <w:t>В конце 1933 г. — начале 1934 г. 2 была спроектирована 76-мм горная пушка Курчевского (ГПК). 6 февраля 1934 г. принято решение заказать три опытных образца заводу № 38 (25213).</w:t>
      </w:r>
    </w:p>
    <w:p w14:paraId="48AD4E6A" w14:textId="77777777" w:rsidR="000C4BE0" w:rsidRPr="00142305" w:rsidRDefault="000C4BE0" w:rsidP="000C4BE0">
      <w:pPr>
        <w:spacing w:after="0" w:line="240" w:lineRule="auto"/>
        <w:jc w:val="both"/>
        <w:rPr>
          <w:rFonts w:ascii="Times New Roman" w:hAnsi="Times New Roman"/>
          <w:color w:val="0070C0"/>
          <w:sz w:val="16"/>
          <w:szCs w:val="16"/>
        </w:rPr>
      </w:pPr>
    </w:p>
    <w:p w14:paraId="24C616C8" w14:textId="0841787E"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5E64CF98"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5C7CEB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второй половине 1933 г. параллельно с проектированием ЦКБ-15, получившем в ВВС официальное обозначение И-17, Н.Н.П. в ЦКБ велись работы по его двухместному варианту - ДИ-7. Обсуждение характеристик и предполагаемых боевых возможностей этих двух машин наиболее активно началось в декабре 1933 г. Начальник ВВС РККА Яков Алкснис лично принимал участие в выработке тактико-технических требований: "На 20 часов 7 декабря назначаюу себя совещание по этим техтребованиям. Хотелось бы на обоих самолётах иметь более сильное и более дальнобойное вооружение". Интересно, что в дальнейшем упоминание двухместного истребителя ДИ-7 не встречается. На каком-то этапе развития событий возник вариант установки на ДИ-7 двух спаренных двигателей, одного за другим, вращающих два воздушных винта в противоположных направлениях. В отношении такой моторной установки пользовались определением "механическая спарка". Интерес к этой теме в начале 1935 г. усилился в связи с развёртыванием проектных работ по созданию рекордного скоростного самолёта. В результате моторному заводу №26 поручили задание на разработку "механической спарки" двигателей М-100 (затем М-103). Позднее работа продолжилась и её результаты воплотились в создании экспериментального самолёта "С" конструкции Болховитинова. Однако к истории И-17 это уже ни коим образом не относилось (9630).</w:t>
      </w:r>
    </w:p>
    <w:p w14:paraId="3F5E0C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621C3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второй половине 1933 г. серию Р-5а (МР-5) решили выполнить на авиазаводе №1 в Москве. Головная машина этой серии была испытана в марте 1934 года. С полетным весом 3294 кг (вес пустого 2378 кг) Р-5с развивал максимальную скорость у земли 209 км/ч, потолок 4500 м, дальность 800 км. В целом, поплавковый самолет ненамного уступал сухопутному собрату. В 1934 г. московский авиазавод выпустил 61 Р-5а, на следующий год еще 50 таких машин Общее количество произведенных поплавковых разведчике! составило 111 экземпляров (5016).</w:t>
      </w:r>
    </w:p>
    <w:p w14:paraId="285B86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C263094"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второй половине 1933 г. гидросамолет Четверикова ОСГА-101, оснащенный двигателем М-11 мощностью 100 л.с.</w:t>
      </w:r>
      <w:r w:rsidRPr="00142305">
        <w:rPr>
          <w:rFonts w:ascii="Times New Roman" w:hAnsi="Times New Roman"/>
          <w:color w:val="0070C0"/>
          <w:sz w:val="16"/>
          <w:szCs w:val="16"/>
          <w:shd w:val="clear" w:color="auto" w:fill="FFFFFF"/>
        </w:rPr>
        <w:t xml:space="preserve"> и </w:t>
      </w:r>
      <w:r w:rsidRPr="00142305">
        <w:rPr>
          <w:rFonts w:ascii="Times New Roman" w:hAnsi="Times New Roman"/>
          <w:color w:val="0070C0"/>
          <w:sz w:val="16"/>
          <w:szCs w:val="16"/>
        </w:rPr>
        <w:t>предназначенный для использования на судах и ледоколах Главного Управления Северного морского пути (ГУСМП), начал летать, показал неплохие результаты, однако практического применения не нашел. Причиной тому стало повсеместное и удачное внедрение серийной летающей лодки Ш-2 конструкции В.Б. Шаврова» (25222).</w:t>
      </w:r>
    </w:p>
    <w:p w14:paraId="40227D4D" w14:textId="77777777" w:rsidR="00523E47" w:rsidRPr="00142305" w:rsidRDefault="00523E47" w:rsidP="00523E47">
      <w:pPr>
        <w:spacing w:after="0" w:line="240" w:lineRule="auto"/>
        <w:jc w:val="both"/>
        <w:rPr>
          <w:rFonts w:ascii="Times New Roman" w:hAnsi="Times New Roman"/>
          <w:color w:val="0070C0"/>
          <w:sz w:val="16"/>
          <w:szCs w:val="16"/>
        </w:rPr>
      </w:pPr>
    </w:p>
    <w:p w14:paraId="5A551B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второй половине 1933 на заводе № 30 сделали 14 Ш-2 в санитарном варианте, а затем еще 2 (7621, 35).</w:t>
      </w:r>
    </w:p>
    <w:p w14:paraId="0E1492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6A839F1"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второй половине 1933 г. на авиазаводе в Таганроге выпустили 14 экземп</w:t>
      </w:r>
      <w:r w:rsidRPr="00142305">
        <w:rPr>
          <w:rFonts w:ascii="Times New Roman" w:hAnsi="Times New Roman"/>
          <w:color w:val="0070C0"/>
          <w:sz w:val="16"/>
          <w:szCs w:val="16"/>
        </w:rPr>
        <w:softHyphen/>
        <w:t>ляров Ш-2 в санитарном варианте, которые эксплуатиро</w:t>
      </w:r>
      <w:r w:rsidRPr="00142305">
        <w:rPr>
          <w:rFonts w:ascii="Times New Roman" w:hAnsi="Times New Roman"/>
          <w:color w:val="0070C0"/>
          <w:sz w:val="16"/>
          <w:szCs w:val="16"/>
        </w:rPr>
        <w:softHyphen/>
        <w:t>вались до конца 1930-х годов. Сведений о даль</w:t>
      </w:r>
      <w:r w:rsidRPr="00142305">
        <w:rPr>
          <w:rFonts w:ascii="Times New Roman" w:hAnsi="Times New Roman"/>
          <w:color w:val="0070C0"/>
          <w:sz w:val="16"/>
          <w:szCs w:val="16"/>
        </w:rPr>
        <w:softHyphen/>
        <w:t>нейшем производстве этой модификации не обнаружено, однако в ходе длительной эксплу</w:t>
      </w:r>
      <w:r w:rsidRPr="00142305">
        <w:rPr>
          <w:rFonts w:ascii="Times New Roman" w:hAnsi="Times New Roman"/>
          <w:color w:val="0070C0"/>
          <w:sz w:val="16"/>
          <w:szCs w:val="16"/>
        </w:rPr>
        <w:softHyphen/>
        <w:t>атации для санитарных целей без особых за</w:t>
      </w:r>
      <w:r w:rsidRPr="00142305">
        <w:rPr>
          <w:rFonts w:ascii="Times New Roman" w:hAnsi="Times New Roman"/>
          <w:color w:val="0070C0"/>
          <w:sz w:val="16"/>
          <w:szCs w:val="16"/>
        </w:rPr>
        <w:softHyphen/>
        <w:t>трат переделывались и базовые варианты са</w:t>
      </w:r>
      <w:r w:rsidRPr="00142305">
        <w:rPr>
          <w:rFonts w:ascii="Times New Roman" w:hAnsi="Times New Roman"/>
          <w:color w:val="0070C0"/>
          <w:sz w:val="16"/>
          <w:szCs w:val="16"/>
        </w:rPr>
        <w:softHyphen/>
        <w:t>молета.</w:t>
      </w:r>
    </w:p>
    <w:p w14:paraId="0EC3BB4E"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Переделки были невелики: в основном они касались заднего сидения и верхней части фюзеляжа. В этом месте, то есть сразу за двумя основными сидениями, был оборудован отсек для одного лежачего больного на носилках, сверху закрываемый прозрачным фонарем. Длина отсека составля</w:t>
      </w:r>
      <w:r w:rsidRPr="00142305">
        <w:rPr>
          <w:rFonts w:ascii="Times New Roman" w:hAnsi="Times New Roman"/>
          <w:color w:val="0070C0"/>
          <w:sz w:val="16"/>
          <w:szCs w:val="16"/>
        </w:rPr>
        <w:softHyphen/>
        <w:t>ла 1900 мм, ширина около 1000 мм, высота до 750 мм. Место летчика осталось без измене</w:t>
      </w:r>
      <w:r w:rsidRPr="00142305">
        <w:rPr>
          <w:rFonts w:ascii="Times New Roman" w:hAnsi="Times New Roman"/>
          <w:color w:val="0070C0"/>
          <w:sz w:val="16"/>
          <w:szCs w:val="16"/>
        </w:rPr>
        <w:softHyphen/>
        <w:t>ний; рядом с ним находился врач или сопрово</w:t>
      </w:r>
      <w:r w:rsidRPr="00142305">
        <w:rPr>
          <w:rFonts w:ascii="Times New Roman" w:hAnsi="Times New Roman"/>
          <w:color w:val="0070C0"/>
          <w:sz w:val="16"/>
          <w:szCs w:val="16"/>
        </w:rPr>
        <w:softHyphen/>
        <w:t>ждающий больного человек (25913).</w:t>
      </w:r>
    </w:p>
    <w:p w14:paraId="05F55045" w14:textId="77777777" w:rsidR="00523E47" w:rsidRPr="00142305" w:rsidRDefault="00523E47" w:rsidP="00523E47">
      <w:pPr>
        <w:spacing w:after="0" w:line="240" w:lineRule="auto"/>
        <w:jc w:val="both"/>
        <w:rPr>
          <w:rFonts w:ascii="Times New Roman" w:hAnsi="Times New Roman"/>
          <w:color w:val="0070C0"/>
          <w:sz w:val="16"/>
          <w:szCs w:val="16"/>
        </w:rPr>
      </w:pPr>
    </w:p>
    <w:p w14:paraId="2F3AE4D7" w14:textId="77777777" w:rsidR="000502B4" w:rsidRPr="0044524F" w:rsidRDefault="000502B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Во второй половине 1933 г. было утверждено новое положение об Институте, согласно которому НИИ ВВС определялся как главный руководящий орган ВВС РККА по вопросам научно–исследовательской, опытной испытательной работы, по инструктированию строевых частей и школ ВВС при их переходе на новую технику. Начальниками Института в этот период были В.К. Лавров и В.С. Конарт (Коннэрт). Общее количество военнослужащих в Институте по состоянию на 1 декабря 1932 г. - 1210 человек, из них 112 человек летно-штурманского и 350 человек инженерно-технического состава. Кроме того, в Институте работало 763 человека вольнонаемных, из них 138 человек инженерно-технического состава и 374 человека рабочих. Подразделения Института, за исключением перебазированных в Чкаловскую авиабригады с авиапарком и опытного завода - мастерских, размещались в своих прежних помещениях в Москве. Общий переезд Института намечался на первую половину 1935 г. Ударное строительство шло интенсивно и к концу 1935 г. завершилось практически полностью.</w:t>
      </w:r>
    </w:p>
    <w:p w14:paraId="0169EAAB" w14:textId="77777777" w:rsidR="000502B4" w:rsidRPr="0044524F" w:rsidRDefault="000502B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Штатный самолетный парк НИИ ВВС состоял из 67 самолетов типа ТБ-1, ТБ-3, ТБ-4, Р-5, Р-6, И-5 и У-2, в том числе, легких бомбардировщиков и разведчиков - 31, одноместных истребителей - 5, двухместных - 6 и многоместных - 5 (21339).</w:t>
      </w:r>
    </w:p>
    <w:p w14:paraId="575C5E70" w14:textId="77777777" w:rsidR="000502B4" w:rsidRPr="0044524F" w:rsidRDefault="000502B4" w:rsidP="009654CF">
      <w:pPr>
        <w:spacing w:after="0" w:line="240" w:lineRule="auto"/>
        <w:jc w:val="both"/>
        <w:rPr>
          <w:rFonts w:ascii="Times New Roman" w:hAnsi="Times New Roman"/>
          <w:color w:val="000000" w:themeColor="text1"/>
          <w:sz w:val="16"/>
          <w:szCs w:val="16"/>
        </w:rPr>
      </w:pPr>
    </w:p>
    <w:p w14:paraId="46505DBF"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142946B9"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8AF4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второй половине 1933 года ХПЗ перешел с выпуска БТ-2 на выпуск БТ-5. БТ-5 первых серий был по сути тем же БТ-2, но с новой башней, в которой установили 45-мм танковую пушку 20K обр. 1932/38 и спаренный с нею пулемет ДТ. Башня стала двухместной, а экипаж увеличился до 3 чел. Сама конструкция танка существенных изменений не претерпела. Масса БТ-5 возросла до 11,5 тон. Боекомплект пушки состоял из 115 выстрелов на танках без радиостанции, и 72 выстрелов - с радиостанцией. Радиостанция 71-ТК-1 имела поручневую антенну вокруг башни. В 1933-34 годах было выпущено 1884 танка БТ-5. В ходе выпуска на танке немного изменили форму башни, поставили более легкие катки и сетку ограждения над воздуховодом. Сетку и катки стали устанавливать на ранее выпущенные БТ-2, проходившие модернизацию. На базе танка БТ-5 строилось большое количество экспериментальных машин. Мостоукладчики, танки подводного хода, плавающие танки, телетанки (радиоуправляемые танки), химические танки, танки с дизельным двигателем и т.д. Танк БТ-5 послужил основой для создания танков БТ-7 (3862).</w:t>
      </w:r>
    </w:p>
    <w:p w14:paraId="03E52F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6FF4E6B" w14:textId="77777777" w:rsidR="000502B4" w:rsidRPr="0044524F" w:rsidRDefault="000502B4" w:rsidP="009654CF">
      <w:pPr>
        <w:spacing w:after="0" w:line="240" w:lineRule="auto"/>
        <w:jc w:val="both"/>
        <w:rPr>
          <w:rFonts w:ascii="Times New Roman" w:hAnsi="Times New Roman"/>
          <w:color w:val="000000" w:themeColor="text1"/>
          <w:sz w:val="16"/>
          <w:szCs w:val="16"/>
          <w:shd w:val="clear" w:color="auto" w:fill="FFFFFF"/>
        </w:rPr>
      </w:pPr>
      <w:r w:rsidRPr="0044524F">
        <w:rPr>
          <w:rFonts w:ascii="Times New Roman" w:hAnsi="Times New Roman"/>
          <w:color w:val="000000" w:themeColor="text1"/>
          <w:sz w:val="16"/>
          <w:szCs w:val="16"/>
          <w:shd w:val="clear" w:color="auto" w:fill="FFFFFF"/>
        </w:rPr>
        <w:t>Во второй половине 1933 года изготовили более тяжелый (масса 4,8 тонн) вариант танка Т-34. Ведущим инженером этого варианта стал Г.Г. Михайлов. Машина получила более мощный мотор АМО-3 (66 л.с.), так что рост боевой массы оказался скомпенсирован. А вот с орудием дела обстояли не столь гладко. Вместо того, чтобы строить новую башню, было решено доработать штатную. В носовой части приварили коробчатую секцию под 20-мм автоматическую пушку. Быстро выяснилось, что 20-мм автоматическая пушка в такую башню если и влезает, то плохо.</w:t>
      </w:r>
    </w:p>
    <w:p w14:paraId="6B7055C8" w14:textId="77777777" w:rsidR="000502B4" w:rsidRPr="0044524F" w:rsidRDefault="000502B4"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Наиболее подходящим вариантом усиления стала бы установка 20-мм автоматической пушки. Кдинственной подходящей кандидатурой была немецкая 20-мм автоматическая пушка 2-К, она же 20-мм автоматическая зенитная и противотанковая пушка образца 1930 года. Это ничто иное, как советская версия 2 cm Flak 30. Ее и стали адаптировать под башню Т-34. Также существовал вариант установки 20-мм автоматической пушки, которую разрабатывал Б.Г. Шпитальный. В результате танк штатное вооружение так и не получил (22724).</w:t>
      </w:r>
    </w:p>
    <w:p w14:paraId="4F97BD9C" w14:textId="77777777" w:rsidR="000502B4" w:rsidRPr="0044524F" w:rsidRDefault="000502B4" w:rsidP="009654CF">
      <w:pPr>
        <w:spacing w:after="0" w:line="240" w:lineRule="auto"/>
        <w:jc w:val="both"/>
        <w:rPr>
          <w:rFonts w:ascii="Times New Roman" w:hAnsi="Times New Roman"/>
          <w:color w:val="000000" w:themeColor="text1"/>
          <w:sz w:val="16"/>
          <w:szCs w:val="16"/>
        </w:rPr>
      </w:pPr>
    </w:p>
    <w:p w14:paraId="42E7B2A0" w14:textId="0C1F61B1" w:rsidR="00523E47" w:rsidRPr="0044524F" w:rsidRDefault="00523E47" w:rsidP="00523E47">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44524F">
        <w:rPr>
          <w:rFonts w:ascii="Times New Roman" w:hAnsi="Times New Roman"/>
          <w:i/>
          <w:iCs/>
          <w:color w:val="000000" w:themeColor="text1"/>
          <w:sz w:val="16"/>
          <w:szCs w:val="16"/>
        </w:rPr>
        <w:t>:</w:t>
      </w:r>
    </w:p>
    <w:p w14:paraId="4DBC8F92" w14:textId="77777777" w:rsidR="00523E47" w:rsidRPr="0044524F" w:rsidRDefault="00523E47" w:rsidP="00523E47">
      <w:pPr>
        <w:autoSpaceDE w:val="0"/>
        <w:autoSpaceDN w:val="0"/>
        <w:adjustRightInd w:val="0"/>
        <w:spacing w:after="0" w:line="240" w:lineRule="auto"/>
        <w:jc w:val="both"/>
        <w:rPr>
          <w:rFonts w:ascii="Times New Roman" w:hAnsi="Times New Roman"/>
          <w:iCs/>
          <w:color w:val="000000" w:themeColor="text1"/>
          <w:sz w:val="16"/>
          <w:szCs w:val="16"/>
        </w:rPr>
      </w:pPr>
    </w:p>
    <w:p w14:paraId="2DF7B2C5"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Во второй половине 1933 года и в первой половине 1934 года большинство прежних летных школ ликвидировали, а да</w:t>
      </w:r>
      <w:r w:rsidRPr="00142305">
        <w:rPr>
          <w:rFonts w:ascii="Times New Roman" w:hAnsi="Times New Roman"/>
          <w:color w:val="0070C0"/>
          <w:sz w:val="16"/>
          <w:szCs w:val="16"/>
        </w:rPr>
        <w:softHyphen/>
        <w:t>лее начала широко развиваться сеть аэроклу</w:t>
      </w:r>
      <w:r w:rsidRPr="00142305">
        <w:rPr>
          <w:rFonts w:ascii="Times New Roman" w:hAnsi="Times New Roman"/>
          <w:color w:val="0070C0"/>
          <w:sz w:val="16"/>
          <w:szCs w:val="16"/>
        </w:rPr>
        <w:softHyphen/>
        <w:t>бов. Популярный лозунг того времени: «Ком</w:t>
      </w:r>
      <w:r w:rsidRPr="00142305">
        <w:rPr>
          <w:rFonts w:ascii="Times New Roman" w:hAnsi="Times New Roman"/>
          <w:color w:val="0070C0"/>
          <w:sz w:val="16"/>
          <w:szCs w:val="16"/>
        </w:rPr>
        <w:softHyphen/>
        <w:t>сомолец, на самолет!» точно отражает суть пропагандистской кампании, развернутой в обеспечение подготовки 100 тысяч летчи</w:t>
      </w:r>
      <w:r w:rsidRPr="00142305">
        <w:rPr>
          <w:rFonts w:ascii="Times New Roman" w:hAnsi="Times New Roman"/>
          <w:color w:val="0070C0"/>
          <w:sz w:val="16"/>
          <w:szCs w:val="16"/>
        </w:rPr>
        <w:softHyphen/>
        <w:t>ков (24969).</w:t>
      </w:r>
    </w:p>
    <w:p w14:paraId="1291FFF8" w14:textId="77777777" w:rsidR="00523E47" w:rsidRPr="00142305" w:rsidRDefault="00523E47" w:rsidP="00523E47">
      <w:pPr>
        <w:spacing w:after="0" w:line="240" w:lineRule="auto"/>
        <w:jc w:val="both"/>
        <w:rPr>
          <w:rFonts w:ascii="Times New Roman" w:hAnsi="Times New Roman"/>
          <w:color w:val="0070C0"/>
          <w:sz w:val="16"/>
          <w:szCs w:val="16"/>
        </w:rPr>
      </w:pPr>
    </w:p>
    <w:p w14:paraId="0A69A2E7"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119B3031"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9948B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Зимой 1933-34 заложили серию в 50 РД (92,488).</w:t>
      </w:r>
    </w:p>
    <w:p w14:paraId="22A8A9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B6F09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Зимой 1933 г. бипланы Р-5 Поликарпова отправились в Китай. Советское правительство решило оказать помощь властям приграничной провинции Синьцзян, где поднял мятеж генерал Ма Чжуин. Самолеты собирали на советской стороне и дальше гнали по воздуху. Экипажи взяли из авиации погранохраны НКВД. Пилотами были К. Шишков, В. Полынин и С. Антоненок. Уже 25 декабря 1933 г. два Р-5 отправили на бомбежку войск мятежного генерала, осадившего Урумчи. Солдаты Ма Чжуина увидели самолет первый раз в жизни и в страхе бежали под грохот бомб и треск пулеметных очередей. Р-5 и далее вели разведку, бомбили и обстреливали мятежников. Самолеты, уже не внушавшие противнику суеверного ужаса, встречали пулеметным огнем и винтовочными залпами. Один Р-5 подбили, но он дотянул до Урумчи. Позже машины передали китайцам для летной школы, но они и далее нередко участвовали во внутренних разборках местных генералов.</w:t>
      </w:r>
    </w:p>
    <w:p w14:paraId="2DCE36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мае 1939 г. по приказу наркома обороны была сформирована особая авиагруппа "Хами", предназначенная для защиты аэродрома в Хами (Китай), находившегося на трассе перегонки из СССР боевых самолетов. В нее вошли в том числе и шесть Р-5. Но какие-либо данные об их действиях против японцев отсутствуют (11936).</w:t>
      </w:r>
    </w:p>
    <w:p w14:paraId="5B1807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32F1797" w14:textId="77777777" w:rsidR="003353B3" w:rsidRPr="0044524F" w:rsidRDefault="003353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shd w:val="clear" w:color="auto" w:fill="FFFFFF"/>
        </w:rPr>
        <w:t>Зимой 1933-1934 годов в Ленинграде строился самолет Г-37. В Осконбюро Гроховского взялись реализовать идею автора русского парашюта Глеба Котельникова. Суть ее в отделяемой от самолета пассажирской или десантной кабине со спуском ее на парашюте. В Осконбюро к тому времени уже было разработано несколько удачных парашютных систем для сброса артиллерийских орудий, автомобилей и даже танков. Для специализированного самолета Гроховский предложил для тех лет необычную схему — двухфюзеляжную. Проект был одобрен и утвержден в 1933 году Алкснисом как «Универсальное летающее крыло» Г-37. Для его реализации из Ленинграда в Москву, где размещалось Осконбюро, на место ведущего конструктора Гроховский пригласил одного из авторов удачного пассажирского самолета ЛК-1 Владимира Рентеля. Так как самолетами у Гроховского ранее почти не занимались, то для ускорения работ использовали крыло и винтомоторную установку с моторами М-17 со списанного пассажирского АНТ-9. В результате получился оригинальный двухфюзеляжный моноплан, к центроплану которого и подвешивалась каплевидная сбрасываемая десантная кабина. Весной, как только просох аэродром, Г-37 был готов к летным испытаниям (22294).</w:t>
      </w:r>
    </w:p>
    <w:p w14:paraId="30A8D53F" w14:textId="77777777" w:rsidR="003353B3" w:rsidRPr="0044524F" w:rsidRDefault="003353B3" w:rsidP="009654CF">
      <w:pPr>
        <w:spacing w:after="0" w:line="240" w:lineRule="auto"/>
        <w:jc w:val="both"/>
        <w:rPr>
          <w:rFonts w:ascii="Times New Roman" w:hAnsi="Times New Roman"/>
          <w:color w:val="000000" w:themeColor="text1"/>
          <w:sz w:val="16"/>
          <w:szCs w:val="16"/>
        </w:rPr>
      </w:pPr>
    </w:p>
    <w:p w14:paraId="43E55EF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Зи</w:t>
      </w:r>
      <w:r w:rsidRPr="0044524F">
        <w:rPr>
          <w:rFonts w:ascii="Times New Roman" w:hAnsi="Times New Roman"/>
          <w:color w:val="000000" w:themeColor="text1"/>
          <w:sz w:val="16"/>
          <w:szCs w:val="16"/>
        </w:rPr>
        <w:softHyphen/>
        <w:t>мой 1933 — 1934 гг. низовой ячейкой Автодо-ра при Горьковском управлении пожарной охраны (ГУПО) были собраны средства на постройку первых двух аэроса</w:t>
      </w:r>
      <w:r w:rsidRPr="0044524F">
        <w:rPr>
          <w:rFonts w:ascii="Times New Roman" w:hAnsi="Times New Roman"/>
          <w:color w:val="000000" w:themeColor="text1"/>
          <w:sz w:val="16"/>
          <w:szCs w:val="16"/>
        </w:rPr>
        <w:softHyphen/>
        <w:t>ней ГГАТ Горьковского авиа</w:t>
      </w:r>
      <w:r w:rsidRPr="0044524F">
        <w:rPr>
          <w:rFonts w:ascii="Times New Roman" w:hAnsi="Times New Roman"/>
          <w:color w:val="000000" w:themeColor="text1"/>
          <w:sz w:val="16"/>
          <w:szCs w:val="16"/>
        </w:rPr>
        <w:softHyphen/>
        <w:t>техникума ГВФ. Аэросани, в случае соот</w:t>
      </w:r>
      <w:r w:rsidRPr="0044524F">
        <w:rPr>
          <w:rFonts w:ascii="Times New Roman" w:hAnsi="Times New Roman"/>
          <w:color w:val="000000" w:themeColor="text1"/>
          <w:sz w:val="16"/>
          <w:szCs w:val="16"/>
        </w:rPr>
        <w:softHyphen/>
        <w:t>ветствия технико-экономическим требовани</w:t>
      </w:r>
      <w:r w:rsidRPr="0044524F">
        <w:rPr>
          <w:rFonts w:ascii="Times New Roman" w:hAnsi="Times New Roman"/>
          <w:color w:val="000000" w:themeColor="text1"/>
          <w:sz w:val="16"/>
          <w:szCs w:val="16"/>
        </w:rPr>
        <w:softHyphen/>
        <w:t>ям, могли быть использованы как инспек</w:t>
      </w:r>
      <w:r w:rsidRPr="0044524F">
        <w:rPr>
          <w:rFonts w:ascii="Times New Roman" w:hAnsi="Times New Roman"/>
          <w:color w:val="000000" w:themeColor="text1"/>
          <w:sz w:val="16"/>
          <w:szCs w:val="16"/>
        </w:rPr>
        <w:softHyphen/>
        <w:t>торские, а в случае несоответсвия по ка</w:t>
      </w:r>
      <w:r w:rsidRPr="0044524F">
        <w:rPr>
          <w:rFonts w:ascii="Times New Roman" w:hAnsi="Times New Roman"/>
          <w:color w:val="000000" w:themeColor="text1"/>
          <w:sz w:val="16"/>
          <w:szCs w:val="16"/>
        </w:rPr>
        <w:softHyphen/>
        <w:t>ким-либо конструктивным причинам (недо</w:t>
      </w:r>
      <w:r w:rsidRPr="0044524F">
        <w:rPr>
          <w:rFonts w:ascii="Times New Roman" w:hAnsi="Times New Roman"/>
          <w:color w:val="000000" w:themeColor="text1"/>
          <w:sz w:val="16"/>
          <w:szCs w:val="16"/>
        </w:rPr>
        <w:softHyphen/>
        <w:t>бор по скорости, низкой надежности, эконо</w:t>
      </w:r>
      <w:r w:rsidRPr="0044524F">
        <w:rPr>
          <w:rFonts w:ascii="Times New Roman" w:hAnsi="Times New Roman"/>
          <w:color w:val="000000" w:themeColor="text1"/>
          <w:sz w:val="16"/>
          <w:szCs w:val="16"/>
        </w:rPr>
        <w:softHyphen/>
        <w:t>мичности и пр.), даже один единственный агитационно-пропагандистский пробег, (по</w:t>
      </w:r>
      <w:r w:rsidRPr="0044524F">
        <w:rPr>
          <w:rFonts w:ascii="Times New Roman" w:hAnsi="Times New Roman"/>
          <w:color w:val="000000" w:themeColor="text1"/>
          <w:sz w:val="16"/>
          <w:szCs w:val="16"/>
        </w:rPr>
        <w:softHyphen/>
        <w:t>сле чего данный образец аэросаней мог от</w:t>
      </w:r>
      <w:r w:rsidRPr="0044524F">
        <w:rPr>
          <w:rFonts w:ascii="Times New Roman" w:hAnsi="Times New Roman"/>
          <w:color w:val="000000" w:themeColor="text1"/>
          <w:sz w:val="16"/>
          <w:szCs w:val="16"/>
        </w:rPr>
        <w:softHyphen/>
        <w:t>правиться на свалку истории) полностью оправдывал все затраты. Первый образец аэросаней ГГАТ совер</w:t>
      </w:r>
      <w:r w:rsidRPr="0044524F">
        <w:rPr>
          <w:rFonts w:ascii="Times New Roman" w:hAnsi="Times New Roman"/>
          <w:color w:val="000000" w:themeColor="text1"/>
          <w:sz w:val="16"/>
          <w:szCs w:val="16"/>
        </w:rPr>
        <w:softHyphen/>
        <w:t>шил пробег в Москву, где принял участие в устроенном Автодором конкурсе аэросаней с автомотором. Аэросаней на конкурс прибы</w:t>
      </w:r>
      <w:r w:rsidRPr="0044524F">
        <w:rPr>
          <w:rFonts w:ascii="Times New Roman" w:hAnsi="Times New Roman"/>
          <w:color w:val="000000" w:themeColor="text1"/>
          <w:sz w:val="16"/>
          <w:szCs w:val="16"/>
        </w:rPr>
        <w:softHyphen/>
        <w:t>ло целых три штуки. Помимо ГГАТ на льду Москвы-реки собрались аэросани А-3 конст</w:t>
      </w:r>
      <w:r w:rsidRPr="0044524F">
        <w:rPr>
          <w:rFonts w:ascii="Times New Roman" w:hAnsi="Times New Roman"/>
          <w:color w:val="000000" w:themeColor="text1"/>
          <w:sz w:val="16"/>
          <w:szCs w:val="16"/>
        </w:rPr>
        <w:softHyphen/>
        <w:t>рукции С.В.Коростелева, А-2 разработки бра</w:t>
      </w:r>
      <w:r w:rsidRPr="0044524F">
        <w:rPr>
          <w:rFonts w:ascii="Times New Roman" w:hAnsi="Times New Roman"/>
          <w:color w:val="000000" w:themeColor="text1"/>
          <w:sz w:val="16"/>
          <w:szCs w:val="16"/>
        </w:rPr>
        <w:softHyphen/>
        <w:t>тьев Бескурниковых, а также приехавшие «за компанию», но в конкурсе, разумеется, не участвовавшие: полугусеничный вездеход автобазы СНК конструкции Гусева и аэроса</w:t>
      </w:r>
      <w:r w:rsidRPr="0044524F">
        <w:rPr>
          <w:rFonts w:ascii="Times New Roman" w:hAnsi="Times New Roman"/>
          <w:color w:val="000000" w:themeColor="text1"/>
          <w:sz w:val="16"/>
          <w:szCs w:val="16"/>
        </w:rPr>
        <w:softHyphen/>
        <w:t>ни А-4, также разработки Коростелева. При</w:t>
      </w:r>
      <w:r w:rsidRPr="0044524F">
        <w:rPr>
          <w:rFonts w:ascii="Times New Roman" w:hAnsi="Times New Roman"/>
          <w:color w:val="000000" w:themeColor="text1"/>
          <w:sz w:val="16"/>
          <w:szCs w:val="16"/>
        </w:rPr>
        <w:softHyphen/>
        <w:t>чем А-2 и А-3 в самой Москве и построили. Соревнования на деле превратились в соль</w:t>
      </w:r>
      <w:r w:rsidRPr="0044524F">
        <w:rPr>
          <w:rFonts w:ascii="Times New Roman" w:hAnsi="Times New Roman"/>
          <w:color w:val="000000" w:themeColor="text1"/>
          <w:sz w:val="16"/>
          <w:szCs w:val="16"/>
        </w:rPr>
        <w:softHyphen/>
        <w:t>ное выступление ГГАТ, у которых просто не нашлось достойного соперника. Аэросани А-3 после одного пробного выезда за явной неконкурентоспособностью были сняты с ис</w:t>
      </w:r>
      <w:r w:rsidRPr="0044524F">
        <w:rPr>
          <w:rFonts w:ascii="Times New Roman" w:hAnsi="Times New Roman"/>
          <w:color w:val="000000" w:themeColor="text1"/>
          <w:sz w:val="16"/>
          <w:szCs w:val="16"/>
        </w:rPr>
        <w:softHyphen/>
        <w:t>пытаний. Аэросани А-2 с одним водителем разогнались на мерном километре до 16,85 км/ч, в то время как ГГАТ с шестью пасса</w:t>
      </w:r>
      <w:r w:rsidRPr="0044524F">
        <w:rPr>
          <w:rFonts w:ascii="Times New Roman" w:hAnsi="Times New Roman"/>
          <w:color w:val="000000" w:themeColor="text1"/>
          <w:sz w:val="16"/>
          <w:szCs w:val="16"/>
        </w:rPr>
        <w:softHyphen/>
        <w:t>жирами, облепившими сани снаружи (внутри было всего три места, считая водителя), по</w:t>
      </w:r>
      <w:r w:rsidRPr="0044524F">
        <w:rPr>
          <w:rFonts w:ascii="Times New Roman" w:hAnsi="Times New Roman"/>
          <w:color w:val="000000" w:themeColor="text1"/>
          <w:sz w:val="16"/>
          <w:szCs w:val="16"/>
        </w:rPr>
        <w:softHyphen/>
        <w:t>казали 21,48 км/ч. По возвращении ГГАТ в Горький ГУПО был устроен инспекторско-агитационный пробег по удаленным районам края. Вопре</w:t>
      </w:r>
      <w:r w:rsidRPr="0044524F">
        <w:rPr>
          <w:rFonts w:ascii="Times New Roman" w:hAnsi="Times New Roman"/>
          <w:color w:val="000000" w:themeColor="text1"/>
          <w:sz w:val="16"/>
          <w:szCs w:val="16"/>
        </w:rPr>
        <w:softHyphen/>
        <w:t>ки предположениям скептиков, «ударить по бездорожью и разгильдяйству» вполне уда</w:t>
      </w:r>
      <w:r w:rsidRPr="0044524F">
        <w:rPr>
          <w:rFonts w:ascii="Times New Roman" w:hAnsi="Times New Roman"/>
          <w:color w:val="000000" w:themeColor="text1"/>
          <w:sz w:val="16"/>
          <w:szCs w:val="16"/>
        </w:rPr>
        <w:softHyphen/>
        <w:t>лось. Причём, и с политической, и с инспек</w:t>
      </w:r>
      <w:r w:rsidRPr="0044524F">
        <w:rPr>
          <w:rFonts w:ascii="Times New Roman" w:hAnsi="Times New Roman"/>
          <w:color w:val="000000" w:themeColor="text1"/>
          <w:sz w:val="16"/>
          <w:szCs w:val="16"/>
        </w:rPr>
        <w:softHyphen/>
        <w:t>торской, и с технической, а также со всех прочих точек зрения. Посчитав, что вскоре новое средство передвижения станет массо</w:t>
      </w:r>
      <w:r w:rsidRPr="0044524F">
        <w:rPr>
          <w:rFonts w:ascii="Times New Roman" w:hAnsi="Times New Roman"/>
          <w:color w:val="000000" w:themeColor="text1"/>
          <w:sz w:val="16"/>
          <w:szCs w:val="16"/>
        </w:rPr>
        <w:softHyphen/>
        <w:t>вым, пожарные в следующем году даже потребовали оснастить аэросани... пожарным насосом. Успех оказался полным, и техникуму за</w:t>
      </w:r>
      <w:r w:rsidRPr="0044524F">
        <w:rPr>
          <w:rFonts w:ascii="Times New Roman" w:hAnsi="Times New Roman"/>
          <w:color w:val="000000" w:themeColor="text1"/>
          <w:sz w:val="16"/>
          <w:szCs w:val="16"/>
        </w:rPr>
        <w:softHyphen/>
        <w:t>казали партию аэросаней для перевозки почты в Северном Крае. Помимо ГГАТ раз</w:t>
      </w:r>
      <w:r w:rsidRPr="0044524F">
        <w:rPr>
          <w:rFonts w:ascii="Times New Roman" w:hAnsi="Times New Roman"/>
          <w:color w:val="000000" w:themeColor="text1"/>
          <w:sz w:val="16"/>
          <w:szCs w:val="16"/>
        </w:rPr>
        <w:softHyphen/>
        <w:t>работкой аэросаней с автомотором занима</w:t>
      </w:r>
      <w:r w:rsidRPr="0044524F">
        <w:rPr>
          <w:rFonts w:ascii="Times New Roman" w:hAnsi="Times New Roman"/>
          <w:color w:val="000000" w:themeColor="text1"/>
          <w:sz w:val="16"/>
          <w:szCs w:val="16"/>
        </w:rPr>
        <w:softHyphen/>
        <w:t>лись в ОСГА — Отделе строительства глис</w:t>
      </w:r>
      <w:r w:rsidRPr="0044524F">
        <w:rPr>
          <w:rFonts w:ascii="Times New Roman" w:hAnsi="Times New Roman"/>
          <w:color w:val="000000" w:themeColor="text1"/>
          <w:sz w:val="16"/>
          <w:szCs w:val="16"/>
        </w:rPr>
        <w:softHyphen/>
        <w:t>серов и аэросаней НИИ ГВФ. Двое аэроса</w:t>
      </w:r>
      <w:r w:rsidRPr="0044524F">
        <w:rPr>
          <w:rFonts w:ascii="Times New Roman" w:hAnsi="Times New Roman"/>
          <w:color w:val="000000" w:themeColor="text1"/>
          <w:sz w:val="16"/>
          <w:szCs w:val="16"/>
        </w:rPr>
        <w:softHyphen/>
        <w:t>ней решили испытать в пробеге им. 7-го Съезда Советов (10715).</w:t>
      </w:r>
    </w:p>
    <w:p w14:paraId="517A22C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3B7413A6" w14:textId="042FC631" w:rsidR="00523E47" w:rsidRPr="0044524F" w:rsidRDefault="00523E47" w:rsidP="00523E47">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w:t>
      </w:r>
      <w:r>
        <w:rPr>
          <w:rFonts w:ascii="Times New Roman" w:hAnsi="Times New Roman"/>
          <w:i/>
          <w:iCs/>
          <w:color w:val="000000" w:themeColor="text1"/>
          <w:sz w:val="16"/>
          <w:szCs w:val="16"/>
        </w:rPr>
        <w:t>рмия</w:t>
      </w:r>
      <w:r w:rsidRPr="0044524F">
        <w:rPr>
          <w:rFonts w:ascii="Times New Roman" w:hAnsi="Times New Roman"/>
          <w:i/>
          <w:iCs/>
          <w:color w:val="000000" w:themeColor="text1"/>
          <w:sz w:val="16"/>
          <w:szCs w:val="16"/>
        </w:rPr>
        <w:t>:</w:t>
      </w:r>
    </w:p>
    <w:p w14:paraId="6F22A3C3" w14:textId="77777777" w:rsidR="00523E47" w:rsidRPr="0044524F" w:rsidRDefault="00523E47" w:rsidP="00523E47">
      <w:pPr>
        <w:autoSpaceDE w:val="0"/>
        <w:autoSpaceDN w:val="0"/>
        <w:adjustRightInd w:val="0"/>
        <w:spacing w:after="0" w:line="240" w:lineRule="auto"/>
        <w:jc w:val="both"/>
        <w:rPr>
          <w:rFonts w:ascii="Times New Roman" w:hAnsi="Times New Roman"/>
          <w:iCs/>
          <w:color w:val="000000" w:themeColor="text1"/>
          <w:sz w:val="16"/>
          <w:szCs w:val="16"/>
        </w:rPr>
      </w:pPr>
    </w:p>
    <w:p w14:paraId="6D045740"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Зимой 1933/34 г. на востоке страны состоялись крупные учения тяжелой бомбардировочной авиации. Их итоги подвела специальная комиссия в составе К. Е. Ворошилова (председатель), Г. К. Орджоникидзе, М. Н. Тухачевского, Я. И. Алксниса, В. В. Хрипина и др. 14 июля 1934 г. доклад председателя комис</w:t>
      </w:r>
      <w:r w:rsidRPr="00142305">
        <w:rPr>
          <w:rFonts w:ascii="Times New Roman" w:hAnsi="Times New Roman"/>
          <w:color w:val="0070C0"/>
          <w:sz w:val="16"/>
          <w:szCs w:val="16"/>
        </w:rPr>
        <w:softHyphen/>
        <w:t>сии был заслушан на заседании СТО. Совет Труда и Обороны, отметив успешное проведение учений, предложил народному комиссару обороны использовать их опыт в подготовке всей тяжелой авиации РККА (РГВА. Ф. 29. Оп. 35. Д. 47. Л. 40, 142) (24968).</w:t>
      </w:r>
    </w:p>
    <w:p w14:paraId="5A943200" w14:textId="77777777" w:rsidR="00523E47" w:rsidRPr="00142305" w:rsidRDefault="00523E47" w:rsidP="00523E47">
      <w:pPr>
        <w:spacing w:after="0" w:line="240" w:lineRule="auto"/>
        <w:jc w:val="both"/>
        <w:rPr>
          <w:rFonts w:ascii="Times New Roman" w:hAnsi="Times New Roman"/>
          <w:color w:val="0070C0"/>
          <w:sz w:val="16"/>
          <w:szCs w:val="16"/>
        </w:rPr>
      </w:pPr>
    </w:p>
    <w:p w14:paraId="5B6E7FC5"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Зимой 1933-1934 гг. бипланы Р-5 Поликарпова отправились в Китай. Советское правительство находилось тогда в плохих отно</w:t>
      </w:r>
      <w:r w:rsidRPr="00142305">
        <w:rPr>
          <w:rFonts w:ascii="Times New Roman" w:hAnsi="Times New Roman"/>
          <w:color w:val="0070C0"/>
          <w:sz w:val="16"/>
          <w:szCs w:val="16"/>
        </w:rPr>
        <w:softHyphen/>
        <w:t>шениях с центральным правительством Китая, возглавляв</w:t>
      </w:r>
      <w:r w:rsidRPr="00142305">
        <w:rPr>
          <w:rFonts w:ascii="Times New Roman" w:hAnsi="Times New Roman"/>
          <w:color w:val="0070C0"/>
          <w:sz w:val="16"/>
          <w:szCs w:val="16"/>
        </w:rPr>
        <w:softHyphen/>
        <w:t>шимся Чан Кайши. Всего четыре года назад имел место во</w:t>
      </w:r>
      <w:r w:rsidRPr="00142305">
        <w:rPr>
          <w:rFonts w:ascii="Times New Roman" w:hAnsi="Times New Roman"/>
          <w:color w:val="0070C0"/>
          <w:sz w:val="16"/>
          <w:szCs w:val="16"/>
        </w:rPr>
        <w:softHyphen/>
        <w:t>оруженный конфликту КВЖД. Но китайское правительс</w:t>
      </w:r>
      <w:r w:rsidRPr="00142305">
        <w:rPr>
          <w:rFonts w:ascii="Times New Roman" w:hAnsi="Times New Roman"/>
          <w:color w:val="0070C0"/>
          <w:sz w:val="16"/>
          <w:szCs w:val="16"/>
        </w:rPr>
        <w:softHyphen/>
        <w:t>тво зачастую лишь формально контролировало значитель</w:t>
      </w:r>
      <w:r w:rsidRPr="00142305">
        <w:rPr>
          <w:rFonts w:ascii="Times New Roman" w:hAnsi="Times New Roman"/>
          <w:color w:val="0070C0"/>
          <w:sz w:val="16"/>
          <w:szCs w:val="16"/>
        </w:rPr>
        <w:softHyphen/>
        <w:t>ную часть территории страны. На окраинах практически самостоятельно правили генералы-милитаристы, обладав</w:t>
      </w:r>
      <w:r w:rsidRPr="00142305">
        <w:rPr>
          <w:rFonts w:ascii="Times New Roman" w:hAnsi="Times New Roman"/>
          <w:color w:val="0070C0"/>
          <w:sz w:val="16"/>
          <w:szCs w:val="16"/>
        </w:rPr>
        <w:softHyphen/>
        <w:t>шие собственными армиями. Некоторые из них считались друзьями СССР; к ним относился дубань (губернатор) пог</w:t>
      </w:r>
      <w:r w:rsidRPr="00142305">
        <w:rPr>
          <w:rFonts w:ascii="Times New Roman" w:hAnsi="Times New Roman"/>
          <w:color w:val="0070C0"/>
          <w:sz w:val="16"/>
          <w:szCs w:val="16"/>
        </w:rPr>
        <w:softHyphen/>
        <w:t xml:space="preserve">раничной провинции Синьцзян. В связи с происходившим в </w:t>
      </w:r>
      <w:r w:rsidRPr="00142305">
        <w:rPr>
          <w:rFonts w:ascii="Times New Roman" w:hAnsi="Times New Roman"/>
          <w:color w:val="0070C0"/>
          <w:sz w:val="16"/>
          <w:szCs w:val="16"/>
        </w:rPr>
        <w:lastRenderedPageBreak/>
        <w:t>Синьцзяне мятежом генера</w:t>
      </w:r>
      <w:r w:rsidRPr="00142305">
        <w:rPr>
          <w:rFonts w:ascii="Times New Roman" w:hAnsi="Times New Roman"/>
          <w:color w:val="0070C0"/>
          <w:sz w:val="16"/>
          <w:szCs w:val="16"/>
        </w:rPr>
        <w:softHyphen/>
        <w:t>ла Ма Чжуина машины были не только вооружены, но и несли бомбы и двойной комплект патронов. Три машины предназна</w:t>
      </w:r>
      <w:r w:rsidRPr="00142305">
        <w:rPr>
          <w:rFonts w:ascii="Times New Roman" w:hAnsi="Times New Roman"/>
          <w:color w:val="0070C0"/>
          <w:sz w:val="16"/>
          <w:szCs w:val="16"/>
        </w:rPr>
        <w:softHyphen/>
        <w:t>чались для летной школы, которую хотели организовать в Урумчи в Синьцзяне. Самолеты собирали на советской стороне границы, у станции Аягуз, и дальше гнали по воз</w:t>
      </w:r>
      <w:r w:rsidRPr="00142305">
        <w:rPr>
          <w:rFonts w:ascii="Times New Roman" w:hAnsi="Times New Roman"/>
          <w:color w:val="0070C0"/>
          <w:sz w:val="16"/>
          <w:szCs w:val="16"/>
        </w:rPr>
        <w:softHyphen/>
        <w:t>духу. Экипажи состояли из будущих инструкторов, меха</w:t>
      </w:r>
      <w:r w:rsidRPr="00142305">
        <w:rPr>
          <w:rFonts w:ascii="Times New Roman" w:hAnsi="Times New Roman"/>
          <w:color w:val="0070C0"/>
          <w:sz w:val="16"/>
          <w:szCs w:val="16"/>
        </w:rPr>
        <w:softHyphen/>
        <w:t>ников и преподавателей школы — советских специалистов, командированных в Китай. Но интересно, что набрали их из авиации НКВД, а не из ВВС. Командирами экипажей являлись К. Шишков, В. Полынин и С. Антоненок (24990).</w:t>
      </w:r>
    </w:p>
    <w:p w14:paraId="39289D4E" w14:textId="77777777" w:rsidR="00523E47" w:rsidRPr="00142305" w:rsidRDefault="00523E47" w:rsidP="00523E47">
      <w:pPr>
        <w:spacing w:after="0" w:line="240" w:lineRule="auto"/>
        <w:jc w:val="both"/>
        <w:rPr>
          <w:rFonts w:ascii="Times New Roman" w:hAnsi="Times New Roman"/>
          <w:color w:val="0070C0"/>
          <w:sz w:val="16"/>
          <w:szCs w:val="16"/>
        </w:rPr>
      </w:pPr>
    </w:p>
    <w:p w14:paraId="5594BA01"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45B09B6B"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E6B4BE9"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 1933 г. завод № 22 выпустил 270 ТБ-3, еще 37 доба</w:t>
      </w:r>
      <w:r w:rsidRPr="00142305">
        <w:rPr>
          <w:rFonts w:ascii="Times New Roman" w:hAnsi="Times New Roman"/>
          <w:color w:val="0070C0"/>
          <w:sz w:val="16"/>
          <w:szCs w:val="16"/>
        </w:rPr>
        <w:softHyphen/>
        <w:t>вил завод № 39 (24877).</w:t>
      </w:r>
    </w:p>
    <w:p w14:paraId="754C20EC" w14:textId="77777777" w:rsidR="00523E47" w:rsidRPr="00142305" w:rsidRDefault="00523E47" w:rsidP="00523E47">
      <w:pPr>
        <w:spacing w:after="0" w:line="240" w:lineRule="auto"/>
        <w:jc w:val="both"/>
        <w:rPr>
          <w:rFonts w:ascii="Times New Roman" w:hAnsi="Times New Roman"/>
          <w:color w:val="0070C0"/>
          <w:sz w:val="16"/>
          <w:szCs w:val="16"/>
        </w:rPr>
      </w:pPr>
    </w:p>
    <w:p w14:paraId="0497FD0B"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1933 г. ВВС первоначально заказали 350 ТБ-3, затем под давлением представителей промышленности ограничи</w:t>
      </w:r>
      <w:r w:rsidRPr="00142305">
        <w:rPr>
          <w:rFonts w:ascii="Times New Roman" w:hAnsi="Times New Roman"/>
          <w:color w:val="0070C0"/>
          <w:sz w:val="16"/>
          <w:szCs w:val="16"/>
        </w:rPr>
        <w:softHyphen/>
        <w:t>лись 300 машинами. По планам за год предстояло сформи</w:t>
      </w:r>
      <w:r w:rsidRPr="00142305">
        <w:rPr>
          <w:rFonts w:ascii="Times New Roman" w:hAnsi="Times New Roman"/>
          <w:color w:val="0070C0"/>
          <w:sz w:val="16"/>
          <w:szCs w:val="16"/>
        </w:rPr>
        <w:softHyphen/>
        <w:t>ровать 22 эскадрильи, для чего требовалось 264 бомбарди</w:t>
      </w:r>
      <w:r w:rsidRPr="00142305">
        <w:rPr>
          <w:rFonts w:ascii="Times New Roman" w:hAnsi="Times New Roman"/>
          <w:color w:val="0070C0"/>
          <w:sz w:val="16"/>
          <w:szCs w:val="16"/>
        </w:rPr>
        <w:softHyphen/>
        <w:t>ровщика. На практике в 1933 г. заводы выпустили 307 ТБ-3. Это позволило насытить бомбардировщиками ВВС, факти</w:t>
      </w:r>
      <w:r w:rsidRPr="00142305">
        <w:rPr>
          <w:rFonts w:ascii="Times New Roman" w:hAnsi="Times New Roman"/>
          <w:color w:val="0070C0"/>
          <w:sz w:val="16"/>
          <w:szCs w:val="16"/>
        </w:rPr>
        <w:softHyphen/>
        <w:t>чески впервые в мире создав крупные соединения страте</w:t>
      </w:r>
      <w:r w:rsidRPr="00142305">
        <w:rPr>
          <w:rFonts w:ascii="Times New Roman" w:hAnsi="Times New Roman"/>
          <w:color w:val="0070C0"/>
          <w:sz w:val="16"/>
          <w:szCs w:val="16"/>
        </w:rPr>
        <w:softHyphen/>
        <w:t>гической авиации - бомбардировочные авиакорпуса. Всего сформировали пять таких корпусов по две бригады в каж</w:t>
      </w:r>
      <w:r w:rsidRPr="00142305">
        <w:rPr>
          <w:rFonts w:ascii="Times New Roman" w:hAnsi="Times New Roman"/>
          <w:color w:val="0070C0"/>
          <w:sz w:val="16"/>
          <w:szCs w:val="16"/>
        </w:rPr>
        <w:softHyphen/>
        <w:t>дом. Поначалу они имели на вооружении и ТБ-3, и ТБ-l, но постепенно четырехмоторные машины вытесняли ТБ-l на роль учебных и транспортных.</w:t>
      </w:r>
    </w:p>
    <w:p w14:paraId="55D3337C"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Части и соединения тяжелых бомбардировщиков час</w:t>
      </w:r>
      <w:r w:rsidRPr="00142305">
        <w:rPr>
          <w:rFonts w:ascii="Times New Roman" w:hAnsi="Times New Roman"/>
          <w:color w:val="0070C0"/>
          <w:sz w:val="16"/>
          <w:szCs w:val="16"/>
        </w:rPr>
        <w:softHyphen/>
        <w:t>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w:t>
      </w:r>
      <w:r w:rsidRPr="00142305">
        <w:rPr>
          <w:rFonts w:ascii="Times New Roman" w:hAnsi="Times New Roman"/>
          <w:color w:val="0070C0"/>
          <w:sz w:val="16"/>
          <w:szCs w:val="16"/>
        </w:rPr>
        <w:softHyphen/>
        <w:t>кадрилий носили имена Ворошилова, Кагановича, Кирова, Постышева и Косарева.</w:t>
      </w:r>
    </w:p>
    <w:p w14:paraId="226B077F"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за год смогли сформировать 17 тяжелобомбарди</w:t>
      </w:r>
      <w:r w:rsidRPr="00142305">
        <w:rPr>
          <w:rFonts w:ascii="Times New Roman" w:hAnsi="Times New Roman"/>
          <w:color w:val="0070C0"/>
          <w:sz w:val="16"/>
          <w:szCs w:val="16"/>
        </w:rPr>
        <w:softHyphen/>
        <w:t>ровочных эскадрилий. При этом доля бомбардировочной авиации в ВВС РККА поднялась с 26% до 35%. Хотели же получить гораздо больше - из-за недовыполнения планов в 1933 г. отказались от создания шести тяжелобомбардиро</w:t>
      </w:r>
      <w:r w:rsidRPr="00142305">
        <w:rPr>
          <w:rFonts w:ascii="Times New Roman" w:hAnsi="Times New Roman"/>
          <w:color w:val="0070C0"/>
          <w:sz w:val="16"/>
          <w:szCs w:val="16"/>
        </w:rPr>
        <w:softHyphen/>
        <w:t>вочных бригад. По первоначальным наметкам уже к кон</w:t>
      </w:r>
      <w:r w:rsidRPr="00142305">
        <w:rPr>
          <w:rFonts w:ascii="Times New Roman" w:hAnsi="Times New Roman"/>
          <w:color w:val="0070C0"/>
          <w:sz w:val="16"/>
          <w:szCs w:val="16"/>
        </w:rPr>
        <w:softHyphen/>
        <w:t>цу того года хотели иметь 864 тяжелых бомбардировщика в сухопутной авиации и 576 - в морской (24977).</w:t>
      </w:r>
    </w:p>
    <w:p w14:paraId="7F0B58BE" w14:textId="77777777" w:rsidR="00523E47" w:rsidRPr="00142305" w:rsidRDefault="00523E47" w:rsidP="00523E47">
      <w:pPr>
        <w:spacing w:after="0" w:line="240" w:lineRule="auto"/>
        <w:jc w:val="both"/>
        <w:rPr>
          <w:rFonts w:ascii="Times New Roman" w:hAnsi="Times New Roman"/>
          <w:color w:val="0070C0"/>
          <w:sz w:val="16"/>
          <w:szCs w:val="16"/>
        </w:rPr>
      </w:pPr>
    </w:p>
    <w:p w14:paraId="7065A84F" w14:textId="77777777" w:rsidR="00FB61DD" w:rsidRPr="00142305" w:rsidRDefault="00FB61DD" w:rsidP="00FB61D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Всего в I933 г. выпустили 1572 машины Р-5. Самолеты пос</w:t>
      </w:r>
      <w:r w:rsidRPr="00142305">
        <w:rPr>
          <w:rFonts w:ascii="Times New Roman" w:hAnsi="Times New Roman"/>
          <w:color w:val="0070C0"/>
          <w:sz w:val="16"/>
          <w:szCs w:val="16"/>
        </w:rPr>
        <w:softHyphen/>
        <w:t>тавляли ВВС, авиации НКВД (в первую очередь, для пог</w:t>
      </w:r>
      <w:r w:rsidRPr="00142305">
        <w:rPr>
          <w:rFonts w:ascii="Times New Roman" w:hAnsi="Times New Roman"/>
          <w:color w:val="0070C0"/>
          <w:sz w:val="16"/>
          <w:szCs w:val="16"/>
        </w:rPr>
        <w:softHyphen/>
        <w:t>ранохраны) и гражданским летчикам, в том числе в Уп</w:t>
      </w:r>
      <w:r w:rsidRPr="00142305">
        <w:rPr>
          <w:rFonts w:ascii="Times New Roman" w:hAnsi="Times New Roman"/>
          <w:color w:val="0070C0"/>
          <w:sz w:val="16"/>
          <w:szCs w:val="16"/>
        </w:rPr>
        <w:softHyphen/>
        <w:t>равление полярной авиации ГУСМП.</w:t>
      </w:r>
    </w:p>
    <w:p w14:paraId="06F6D40A" w14:textId="77777777" w:rsidR="00FB61DD" w:rsidRPr="00142305" w:rsidRDefault="00FB61DD" w:rsidP="00FB61D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1934 г. У ВВС планировало дальнейшее совершенс</w:t>
      </w:r>
      <w:r w:rsidRPr="00142305">
        <w:rPr>
          <w:rFonts w:ascii="Times New Roman" w:hAnsi="Times New Roman"/>
          <w:color w:val="0070C0"/>
          <w:sz w:val="16"/>
          <w:szCs w:val="16"/>
        </w:rPr>
        <w:softHyphen/>
        <w:t>твование Р-5. Ставились задачи увеличить скорость на 15 км/ч, снизить вес не менее чем на 200 кг за счет внедрения магниевого сплава «электрон», ввести масляно-пневма</w:t>
      </w:r>
      <w:r w:rsidRPr="00142305">
        <w:rPr>
          <w:rFonts w:ascii="Times New Roman" w:hAnsi="Times New Roman"/>
          <w:color w:val="0070C0"/>
          <w:sz w:val="16"/>
          <w:szCs w:val="16"/>
        </w:rPr>
        <w:softHyphen/>
        <w:t>тическую амортизацию вместо резиновых буферов, гальваническое антикоррозийное покрытие всех стальных уз</w:t>
      </w:r>
      <w:r w:rsidRPr="00142305">
        <w:rPr>
          <w:rFonts w:ascii="Times New Roman" w:hAnsi="Times New Roman"/>
          <w:color w:val="0070C0"/>
          <w:sz w:val="16"/>
          <w:szCs w:val="16"/>
        </w:rPr>
        <w:softHyphen/>
        <w:t>лов, а со второго полугодия — модернизировать вооруже</w:t>
      </w:r>
      <w:r w:rsidRPr="00142305">
        <w:rPr>
          <w:rFonts w:ascii="Times New Roman" w:hAnsi="Times New Roman"/>
          <w:color w:val="0070C0"/>
          <w:sz w:val="16"/>
          <w:szCs w:val="16"/>
        </w:rPr>
        <w:softHyphen/>
        <w:t>ние. Скорость при неизменной мотоустановке можно бы</w:t>
      </w:r>
      <w:r w:rsidRPr="00142305">
        <w:rPr>
          <w:rFonts w:ascii="Times New Roman" w:hAnsi="Times New Roman"/>
          <w:color w:val="0070C0"/>
          <w:sz w:val="16"/>
          <w:szCs w:val="16"/>
        </w:rPr>
        <w:softHyphen/>
        <w:t>ло поднять за счет улучшения аэродинамики. Конструк</w:t>
      </w:r>
      <w:r w:rsidRPr="00142305">
        <w:rPr>
          <w:rFonts w:ascii="Times New Roman" w:hAnsi="Times New Roman"/>
          <w:color w:val="0070C0"/>
          <w:sz w:val="16"/>
          <w:szCs w:val="16"/>
        </w:rPr>
        <w:softHyphen/>
        <w:t>торы решили ввести зализы у стоек, крыла и оперения, смонтировать обтекатели на колеса шасси. С уменьшени</w:t>
      </w:r>
      <w:r w:rsidRPr="00142305">
        <w:rPr>
          <w:rFonts w:ascii="Times New Roman" w:hAnsi="Times New Roman"/>
          <w:color w:val="0070C0"/>
          <w:sz w:val="16"/>
          <w:szCs w:val="16"/>
        </w:rPr>
        <w:softHyphen/>
        <w:t>ем веса было хуже. «Электрон» у нас в стране не произ</w:t>
      </w:r>
      <w:r w:rsidRPr="00142305">
        <w:rPr>
          <w:rFonts w:ascii="Times New Roman" w:hAnsi="Times New Roman"/>
          <w:color w:val="0070C0"/>
          <w:sz w:val="16"/>
          <w:szCs w:val="16"/>
        </w:rPr>
        <w:softHyphen/>
        <w:t>водился. За счет облегчения отдельных узлов и примене</w:t>
      </w:r>
      <w:r w:rsidRPr="00142305">
        <w:rPr>
          <w:rFonts w:ascii="Times New Roman" w:hAnsi="Times New Roman"/>
          <w:color w:val="0070C0"/>
          <w:sz w:val="16"/>
          <w:szCs w:val="16"/>
        </w:rPr>
        <w:softHyphen/>
        <w:t>ния легированной стали можно было «выжать» килограм</w:t>
      </w:r>
      <w:r w:rsidRPr="00142305">
        <w:rPr>
          <w:rFonts w:ascii="Times New Roman" w:hAnsi="Times New Roman"/>
          <w:color w:val="0070C0"/>
          <w:sz w:val="16"/>
          <w:szCs w:val="16"/>
        </w:rPr>
        <w:softHyphen/>
        <w:t>мов 80—85.</w:t>
      </w:r>
    </w:p>
    <w:p w14:paraId="4631487E" w14:textId="77777777" w:rsidR="00FB61DD" w:rsidRPr="00142305" w:rsidRDefault="00FB61DD" w:rsidP="00FB61D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Замена вооружения планировалась на второе полугодие. В задней кабине собирались поставить новую турель Тур-Ток конструкции Ф.В. Токарева (ее потом приняли на во</w:t>
      </w:r>
      <w:r w:rsidRPr="00142305">
        <w:rPr>
          <w:rFonts w:ascii="Times New Roman" w:hAnsi="Times New Roman"/>
          <w:color w:val="0070C0"/>
          <w:sz w:val="16"/>
          <w:szCs w:val="16"/>
        </w:rPr>
        <w:softHyphen/>
        <w:t>оружение как Тур-8). На ней должен был монтировать</w:t>
      </w:r>
      <w:r w:rsidRPr="00142305">
        <w:rPr>
          <w:rFonts w:ascii="Times New Roman" w:hAnsi="Times New Roman"/>
          <w:color w:val="0070C0"/>
          <w:sz w:val="16"/>
          <w:szCs w:val="16"/>
        </w:rPr>
        <w:softHyphen/>
        <w:t>ся новый скорострельный пулемет ШКАС обр. 1933 г., из</w:t>
      </w:r>
      <w:r w:rsidRPr="00142305">
        <w:rPr>
          <w:rFonts w:ascii="Times New Roman" w:hAnsi="Times New Roman"/>
          <w:color w:val="0070C0"/>
          <w:sz w:val="16"/>
          <w:szCs w:val="16"/>
        </w:rPr>
        <w:softHyphen/>
        <w:t>вестный также как «ШКАС с бородой». «Бородой» называ</w:t>
      </w:r>
      <w:r w:rsidRPr="00142305">
        <w:rPr>
          <w:rFonts w:ascii="Times New Roman" w:hAnsi="Times New Roman"/>
          <w:color w:val="0070C0"/>
          <w:sz w:val="16"/>
          <w:szCs w:val="16"/>
        </w:rPr>
        <w:softHyphen/>
        <w:t>ли короб с лентой, крепившийся снизу к самому пулеме</w:t>
      </w:r>
      <w:r w:rsidRPr="00142305">
        <w:rPr>
          <w:rFonts w:ascii="Times New Roman" w:hAnsi="Times New Roman"/>
          <w:color w:val="0070C0"/>
          <w:sz w:val="16"/>
          <w:szCs w:val="16"/>
        </w:rPr>
        <w:softHyphen/>
        <w:t>ту. Подфюзеляжная подвеска отсутствовала. Внутри крыла размешались встроенные балки бомбодержателей Д-1. Они имели электропиротехнические замки, срабатывавшие по команде электробомбосбрасывателя СР. Предусматривал</w:t>
      </w:r>
      <w:r w:rsidRPr="00142305">
        <w:rPr>
          <w:rFonts w:ascii="Times New Roman" w:hAnsi="Times New Roman"/>
          <w:color w:val="0070C0"/>
          <w:sz w:val="16"/>
          <w:szCs w:val="16"/>
        </w:rPr>
        <w:softHyphen/>
        <w:t>ся также запасной механический сбрасыватель.</w:t>
      </w:r>
    </w:p>
    <w:p w14:paraId="6BB6E0D6" w14:textId="77777777" w:rsidR="00FB61DD" w:rsidRPr="00142305" w:rsidRDefault="00FB61DD" w:rsidP="00FB61D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Позже требования несколько изменились. От «бороды» отказались. ШКАС обр. 1934 г. питался лентой через ру</w:t>
      </w:r>
      <w:r w:rsidRPr="00142305">
        <w:rPr>
          <w:rFonts w:ascii="Times New Roman" w:hAnsi="Times New Roman"/>
          <w:color w:val="0070C0"/>
          <w:sz w:val="16"/>
          <w:szCs w:val="16"/>
        </w:rPr>
        <w:softHyphen/>
        <w:t>кав, идущий из патронного ящика турели. Ящик сначала рассчитывали на 750 патронов, затем на 1000. Турель Тур-8 выставили на государственные испытания в марте 1934 г., но из-за многочисленных неполадок испытания вско</w:t>
      </w:r>
      <w:r w:rsidRPr="00142305">
        <w:rPr>
          <w:rFonts w:ascii="Times New Roman" w:hAnsi="Times New Roman"/>
          <w:color w:val="0070C0"/>
          <w:sz w:val="16"/>
          <w:szCs w:val="16"/>
        </w:rPr>
        <w:softHyphen/>
        <w:t>ре прервали. В июле в НИИ ВВС привезли турель голо</w:t>
      </w:r>
      <w:r w:rsidRPr="00142305">
        <w:rPr>
          <w:rFonts w:ascii="Times New Roman" w:hAnsi="Times New Roman"/>
          <w:color w:val="0070C0"/>
          <w:sz w:val="16"/>
          <w:szCs w:val="16"/>
        </w:rPr>
        <w:softHyphen/>
        <w:t>вной серии. При опробовании на Р-5 встретились с час</w:t>
      </w:r>
      <w:r w:rsidRPr="00142305">
        <w:rPr>
          <w:rFonts w:ascii="Times New Roman" w:hAnsi="Times New Roman"/>
          <w:color w:val="0070C0"/>
          <w:sz w:val="16"/>
          <w:szCs w:val="16"/>
        </w:rPr>
        <w:softHyphen/>
        <w:t>тыми заеданиями, лента не желала идти через рукав пода</w:t>
      </w:r>
      <w:r w:rsidRPr="00142305">
        <w:rPr>
          <w:rFonts w:ascii="Times New Roman" w:hAnsi="Times New Roman"/>
          <w:color w:val="0070C0"/>
          <w:sz w:val="16"/>
          <w:szCs w:val="16"/>
        </w:rPr>
        <w:softHyphen/>
        <w:t>чи, стреляные гильзы застревали в слишком узком горле мешка. Наконец, в августе начали испытания нового са</w:t>
      </w:r>
      <w:r w:rsidRPr="00142305">
        <w:rPr>
          <w:rFonts w:ascii="Times New Roman" w:hAnsi="Times New Roman"/>
          <w:color w:val="0070C0"/>
          <w:sz w:val="16"/>
          <w:szCs w:val="16"/>
        </w:rPr>
        <w:softHyphen/>
        <w:t>молета-эталона. Он имел Тур-8 с пулеметом ШКАС и 12 балок бомбодержателей Дер-31 (так назвали Д-1 в серии). Восемь из них (в том числе четыре двухзамковых) встраи</w:t>
      </w:r>
      <w:r w:rsidRPr="00142305">
        <w:rPr>
          <w:rFonts w:ascii="Times New Roman" w:hAnsi="Times New Roman"/>
          <w:color w:val="0070C0"/>
          <w:sz w:val="16"/>
          <w:szCs w:val="16"/>
        </w:rPr>
        <w:softHyphen/>
        <w:t>вались в нервюры крыла, четыре — в плоское днище фю</w:t>
      </w:r>
      <w:r w:rsidRPr="00142305">
        <w:rPr>
          <w:rFonts w:ascii="Times New Roman" w:hAnsi="Times New Roman"/>
          <w:color w:val="0070C0"/>
          <w:sz w:val="16"/>
          <w:szCs w:val="16"/>
        </w:rPr>
        <w:softHyphen/>
        <w:t>зеляжа. Сбросом бомб управляли электробомбосбрасыва</w:t>
      </w:r>
      <w:r w:rsidRPr="00142305">
        <w:rPr>
          <w:rFonts w:ascii="Times New Roman" w:hAnsi="Times New Roman"/>
          <w:color w:val="0070C0"/>
          <w:sz w:val="16"/>
          <w:szCs w:val="16"/>
        </w:rPr>
        <w:softHyphen/>
        <w:t>телем ЭСБР-1, вторая кнопка которого стояла у пилота. У летнаба, кроме того, смонтировали механический сбра</w:t>
      </w:r>
      <w:r w:rsidRPr="00142305">
        <w:rPr>
          <w:rFonts w:ascii="Times New Roman" w:hAnsi="Times New Roman"/>
          <w:color w:val="0070C0"/>
          <w:sz w:val="16"/>
          <w:szCs w:val="16"/>
        </w:rPr>
        <w:softHyphen/>
        <w:t>сыватель АСБР-2. Его использовали при отказе электри</w:t>
      </w:r>
      <w:r w:rsidRPr="00142305">
        <w:rPr>
          <w:rFonts w:ascii="Times New Roman" w:hAnsi="Times New Roman"/>
          <w:color w:val="0070C0"/>
          <w:sz w:val="16"/>
          <w:szCs w:val="16"/>
        </w:rPr>
        <w:softHyphen/>
        <w:t>ческого.</w:t>
      </w:r>
    </w:p>
    <w:p w14:paraId="61DC747E" w14:textId="77777777" w:rsidR="00FB61DD" w:rsidRPr="00142305" w:rsidRDefault="00FB61DD" w:rsidP="00FB61D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целом новое вооружение одобрили, хотя отметили ряд недостатков. АСБР-2 мешал вращению турели. Про</w:t>
      </w:r>
      <w:r w:rsidRPr="00142305">
        <w:rPr>
          <w:rFonts w:ascii="Times New Roman" w:hAnsi="Times New Roman"/>
          <w:color w:val="0070C0"/>
          <w:sz w:val="16"/>
          <w:szCs w:val="16"/>
        </w:rPr>
        <w:softHyphen/>
        <w:t>водку к кнопке сбрасывателя у пилота просто перекину</w:t>
      </w:r>
      <w:r w:rsidRPr="00142305">
        <w:rPr>
          <w:rFonts w:ascii="Times New Roman" w:hAnsi="Times New Roman"/>
          <w:color w:val="0070C0"/>
          <w:sz w:val="16"/>
          <w:szCs w:val="16"/>
        </w:rPr>
        <w:softHyphen/>
        <w:t>ли через кольцо Тур-8 с разъемом. Стрелок вполне мог пе</w:t>
      </w:r>
      <w:r w:rsidRPr="00142305">
        <w:rPr>
          <w:rFonts w:ascii="Times New Roman" w:hAnsi="Times New Roman"/>
          <w:color w:val="0070C0"/>
          <w:sz w:val="16"/>
          <w:szCs w:val="16"/>
        </w:rPr>
        <w:softHyphen/>
        <w:t>ребить этот провод или раздавить разъем. Турель поста</w:t>
      </w:r>
      <w:r w:rsidRPr="00142305">
        <w:rPr>
          <w:rFonts w:ascii="Times New Roman" w:hAnsi="Times New Roman"/>
          <w:color w:val="0070C0"/>
          <w:sz w:val="16"/>
          <w:szCs w:val="16"/>
        </w:rPr>
        <w:softHyphen/>
        <w:t>вили так, что летнаб уже не мог пользоваться бомбовым прицелом ОПБ-1 (советской копией «Герца»). Значитель</w:t>
      </w:r>
      <w:r w:rsidRPr="00142305">
        <w:rPr>
          <w:rFonts w:ascii="Times New Roman" w:hAnsi="Times New Roman"/>
          <w:color w:val="0070C0"/>
          <w:sz w:val="16"/>
          <w:szCs w:val="16"/>
        </w:rPr>
        <w:softHyphen/>
        <w:t>ным дефектом сочли невозможность несения бомб калиб</w:t>
      </w:r>
      <w:r w:rsidRPr="00142305">
        <w:rPr>
          <w:rFonts w:ascii="Times New Roman" w:hAnsi="Times New Roman"/>
          <w:color w:val="0070C0"/>
          <w:sz w:val="16"/>
          <w:szCs w:val="16"/>
        </w:rPr>
        <w:softHyphen/>
        <w:t>ром менее 16 кг. Конструкторы приступили к доработке новинок (24990).</w:t>
      </w:r>
    </w:p>
    <w:p w14:paraId="616DDE43" w14:textId="77777777" w:rsidR="00FB61DD" w:rsidRPr="00142305" w:rsidRDefault="00FB61DD" w:rsidP="00FB61DD">
      <w:pPr>
        <w:spacing w:after="0" w:line="240" w:lineRule="auto"/>
        <w:jc w:val="both"/>
        <w:rPr>
          <w:rFonts w:ascii="Times New Roman" w:hAnsi="Times New Roman"/>
          <w:color w:val="0070C0"/>
          <w:sz w:val="16"/>
          <w:szCs w:val="16"/>
        </w:rPr>
      </w:pPr>
    </w:p>
    <w:p w14:paraId="4EF49E09" w14:textId="77777777" w:rsidR="00FB61DD" w:rsidRPr="00142305" w:rsidRDefault="00FB61DD" w:rsidP="00FB61D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провели войсковые испытания Р-5, переделанных в штурмовики. По одной эскадрилье их вошло в состав 251,252-й и 255-й авиабригад. При этом в одном отряде каждой эскадрильи пулеметное вооружение было некомплектным: крыльевые установки либо отсутствовали совсем, либо в них стояло по одному П В-1 вместо двух.</w:t>
      </w:r>
    </w:p>
    <w:p w14:paraId="195F961D" w14:textId="77777777" w:rsidR="00FB61DD" w:rsidRPr="00142305" w:rsidRDefault="00FB61DD" w:rsidP="00FB61D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Одновременно выпуск серийных Р-5Ш начался на за</w:t>
      </w:r>
      <w:r w:rsidRPr="00142305">
        <w:rPr>
          <w:rFonts w:ascii="Times New Roman" w:hAnsi="Times New Roman"/>
          <w:color w:val="0070C0"/>
          <w:sz w:val="16"/>
          <w:szCs w:val="16"/>
        </w:rPr>
        <w:softHyphen/>
        <w:t>воде. Для штурмовиков химическое вооружение счита</w:t>
      </w:r>
      <w:r w:rsidRPr="00142305">
        <w:rPr>
          <w:rFonts w:ascii="Times New Roman" w:hAnsi="Times New Roman"/>
          <w:color w:val="0070C0"/>
          <w:sz w:val="16"/>
          <w:szCs w:val="16"/>
        </w:rPr>
        <w:softHyphen/>
        <w:t>лось обязательным. Оно было таким же, как и у обычных Р-5: четыре ВАП-4 или два ДАП-100. Пулеметы на крыле пристреливались по-разному: крайние на 600 м, а ближ</w:t>
      </w:r>
      <w:r w:rsidRPr="00142305">
        <w:rPr>
          <w:rFonts w:ascii="Times New Roman" w:hAnsi="Times New Roman"/>
          <w:color w:val="0070C0"/>
          <w:sz w:val="16"/>
          <w:szCs w:val="16"/>
        </w:rPr>
        <w:softHyphen/>
        <w:t>ние на 400 м по высоте, по горизонтали — все на 1000 м ве</w:t>
      </w:r>
      <w:r w:rsidRPr="00142305">
        <w:rPr>
          <w:rFonts w:ascii="Times New Roman" w:hAnsi="Times New Roman"/>
          <w:color w:val="0070C0"/>
          <w:sz w:val="16"/>
          <w:szCs w:val="16"/>
        </w:rPr>
        <w:softHyphen/>
        <w:t>ером.</w:t>
      </w:r>
    </w:p>
    <w:p w14:paraId="030E9E05" w14:textId="77777777" w:rsidR="00FB61DD" w:rsidRPr="00142305" w:rsidRDefault="00FB61DD" w:rsidP="00FB61D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Одним из основных видов оружия для штурмовиков считалось химическое. Предусматривалось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w:t>
      </w:r>
      <w:r w:rsidRPr="00142305">
        <w:rPr>
          <w:rFonts w:ascii="Times New Roman" w:hAnsi="Times New Roman"/>
          <w:color w:val="0070C0"/>
          <w:sz w:val="16"/>
          <w:szCs w:val="16"/>
        </w:rPr>
        <w:softHyphen/>
        <w:t>ли бы надеть на всех лошадей противогазы. У обозников не имелось и эффективных средств борьбы с низколетя</w:t>
      </w:r>
      <w:r w:rsidRPr="00142305">
        <w:rPr>
          <w:rFonts w:ascii="Times New Roman" w:hAnsi="Times New Roman"/>
          <w:color w:val="0070C0"/>
          <w:sz w:val="16"/>
          <w:szCs w:val="16"/>
        </w:rPr>
        <w:softHyphen/>
        <w:t>щими самолетами.</w:t>
      </w:r>
    </w:p>
    <w:p w14:paraId="62D0E43B" w14:textId="77777777" w:rsidR="00FB61DD" w:rsidRPr="00142305" w:rsidRDefault="00FB61DD" w:rsidP="00FB61D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Но переделка бомбодержателей на Р-5Ш усложнила подвеску ВАП-4. Чтобы подвесить два прибора, требова</w:t>
      </w:r>
      <w:r w:rsidRPr="00142305">
        <w:rPr>
          <w:rFonts w:ascii="Times New Roman" w:hAnsi="Times New Roman"/>
          <w:color w:val="0070C0"/>
          <w:sz w:val="16"/>
          <w:szCs w:val="16"/>
        </w:rPr>
        <w:softHyphen/>
        <w:t>лось снять дополнительные балочки с двух бомбодержате</w:t>
      </w:r>
      <w:r w:rsidRPr="00142305">
        <w:rPr>
          <w:rFonts w:ascii="Times New Roman" w:hAnsi="Times New Roman"/>
          <w:color w:val="0070C0"/>
          <w:sz w:val="16"/>
          <w:szCs w:val="16"/>
        </w:rPr>
        <w:softHyphen/>
        <w:t>лей с каждой стороны. Подвеске второй пары ВАП-4 ме</w:t>
      </w:r>
      <w:r w:rsidRPr="00142305">
        <w:rPr>
          <w:rFonts w:ascii="Times New Roman" w:hAnsi="Times New Roman"/>
          <w:color w:val="0070C0"/>
          <w:sz w:val="16"/>
          <w:szCs w:val="16"/>
        </w:rPr>
        <w:softHyphen/>
        <w:t>шали «дирижаблики» — коробки для сбора звеньев из до</w:t>
      </w:r>
      <w:r w:rsidRPr="00142305">
        <w:rPr>
          <w:rFonts w:ascii="Times New Roman" w:hAnsi="Times New Roman"/>
          <w:color w:val="0070C0"/>
          <w:sz w:val="16"/>
          <w:szCs w:val="16"/>
        </w:rPr>
        <w:softHyphen/>
        <w:t>полнительных пулеметов.</w:t>
      </w:r>
    </w:p>
    <w:p w14:paraId="02D0910B" w14:textId="77777777" w:rsidR="00FB61DD" w:rsidRPr="00142305" w:rsidRDefault="00FB61DD" w:rsidP="00FB61D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Один Р-5 нес примерно 160 кг чистого иприта или люи</w:t>
      </w:r>
      <w:r w:rsidRPr="00142305">
        <w:rPr>
          <w:rFonts w:ascii="Times New Roman" w:hAnsi="Times New Roman"/>
          <w:color w:val="0070C0"/>
          <w:sz w:val="16"/>
          <w:szCs w:val="16"/>
        </w:rPr>
        <w:softHyphen/>
        <w:t>зита, Р-5Ш — в два раза меньше. Тем не менее при высоте полета около 50 м он накрывал ядовитым дождем всю ши</w:t>
      </w:r>
      <w:r w:rsidRPr="00142305">
        <w:rPr>
          <w:rFonts w:ascii="Times New Roman" w:hAnsi="Times New Roman"/>
          <w:color w:val="0070C0"/>
          <w:sz w:val="16"/>
          <w:szCs w:val="16"/>
        </w:rPr>
        <w:softHyphen/>
        <w:t>рину дороги. На поле боя предусматривалось нанесение ударов с малых высот в строю звена и отряда, со средних высот — эскадрильей. Штурмовая бригада могла за два вы</w:t>
      </w:r>
      <w:r w:rsidRPr="00142305">
        <w:rPr>
          <w:rFonts w:ascii="Times New Roman" w:hAnsi="Times New Roman"/>
          <w:color w:val="0070C0"/>
          <w:sz w:val="16"/>
          <w:szCs w:val="16"/>
        </w:rPr>
        <w:softHyphen/>
        <w:t>лета сбросить 9 т иприта. Две бригады за один вылет могли перебить всех лошадей в польском пехотном корпусе.</w:t>
      </w:r>
    </w:p>
    <w:p w14:paraId="165902CE" w14:textId="77777777" w:rsidR="00FB61DD" w:rsidRPr="00142305" w:rsidRDefault="00FB61DD" w:rsidP="00FB61D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Работа на малых высотах, безусловно, была небезопас</w:t>
      </w:r>
      <w:r w:rsidRPr="00142305">
        <w:rPr>
          <w:rFonts w:ascii="Times New Roman" w:hAnsi="Times New Roman"/>
          <w:color w:val="0070C0"/>
          <w:sz w:val="16"/>
          <w:szCs w:val="16"/>
        </w:rPr>
        <w:softHyphen/>
        <w:t>на. Даже в условиях отсутствия зенитного огня от пило</w:t>
      </w:r>
      <w:r w:rsidRPr="00142305">
        <w:rPr>
          <w:rFonts w:ascii="Times New Roman" w:hAnsi="Times New Roman"/>
          <w:color w:val="0070C0"/>
          <w:sz w:val="16"/>
          <w:szCs w:val="16"/>
        </w:rPr>
        <w:softHyphen/>
        <w:t>та требовалась предельная сосредоточенность (24990).</w:t>
      </w:r>
    </w:p>
    <w:p w14:paraId="6FCD47F7" w14:textId="77777777" w:rsidR="00FB61DD" w:rsidRPr="00142305" w:rsidRDefault="00FB61DD" w:rsidP="00FB61DD">
      <w:pPr>
        <w:spacing w:after="0" w:line="240" w:lineRule="auto"/>
        <w:jc w:val="both"/>
        <w:rPr>
          <w:rFonts w:ascii="Times New Roman" w:hAnsi="Times New Roman"/>
          <w:color w:val="0070C0"/>
          <w:sz w:val="16"/>
          <w:szCs w:val="16"/>
        </w:rPr>
      </w:pPr>
    </w:p>
    <w:p w14:paraId="170FA7B3"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году завод №23 начал выпускать У-2ВС (войсковая се</w:t>
      </w:r>
      <w:r w:rsidRPr="00142305">
        <w:rPr>
          <w:rFonts w:ascii="Times New Roman" w:hAnsi="Times New Roman"/>
          <w:color w:val="0070C0"/>
          <w:sz w:val="16"/>
          <w:szCs w:val="16"/>
        </w:rPr>
        <w:softHyphen/>
        <w:t>рия), оборудованные курсовым и турельным пулеметами, а также бомбодержателями. Са</w:t>
      </w:r>
      <w:r w:rsidRPr="00142305">
        <w:rPr>
          <w:rFonts w:ascii="Times New Roman" w:hAnsi="Times New Roman"/>
          <w:color w:val="0070C0"/>
          <w:sz w:val="16"/>
          <w:szCs w:val="16"/>
        </w:rPr>
        <w:softHyphen/>
        <w:t>молеты этого типа неоднократно дорабатыва</w:t>
      </w:r>
      <w:r w:rsidRPr="00142305">
        <w:rPr>
          <w:rFonts w:ascii="Times New Roman" w:hAnsi="Times New Roman"/>
          <w:color w:val="0070C0"/>
          <w:sz w:val="16"/>
          <w:szCs w:val="16"/>
        </w:rPr>
        <w:softHyphen/>
        <w:t>лись и совершенствовались. На У-2ВС образ</w:t>
      </w:r>
      <w:r w:rsidRPr="00142305">
        <w:rPr>
          <w:rFonts w:ascii="Times New Roman" w:hAnsi="Times New Roman"/>
          <w:color w:val="0070C0"/>
          <w:sz w:val="16"/>
          <w:szCs w:val="16"/>
        </w:rPr>
        <w:softHyphen/>
        <w:t>ца 1937 года на левом борту фюзеляжа уста</w:t>
      </w:r>
      <w:r w:rsidRPr="00142305">
        <w:rPr>
          <w:rFonts w:ascii="Times New Roman" w:hAnsi="Times New Roman"/>
          <w:color w:val="0070C0"/>
          <w:sz w:val="16"/>
          <w:szCs w:val="16"/>
        </w:rPr>
        <w:softHyphen/>
        <w:t>навливался синхронный пулемет ПВ-1, в зад</w:t>
      </w:r>
      <w:r w:rsidRPr="00142305">
        <w:rPr>
          <w:rFonts w:ascii="Times New Roman" w:hAnsi="Times New Roman"/>
          <w:color w:val="0070C0"/>
          <w:sz w:val="16"/>
          <w:szCs w:val="16"/>
        </w:rPr>
        <w:softHyphen/>
        <w:t>ней кабине — пулемет ДА (Дегтярев, авиаци</w:t>
      </w:r>
      <w:r w:rsidRPr="00142305">
        <w:rPr>
          <w:rFonts w:ascii="Times New Roman" w:hAnsi="Times New Roman"/>
          <w:color w:val="0070C0"/>
          <w:sz w:val="16"/>
          <w:szCs w:val="16"/>
        </w:rPr>
        <w:softHyphen/>
        <w:t>онный) на турели, под фюзеляжем крепились бомбодержатели для мелких авиабомб. На правом борту монтировался прицел АП-2 и визир НВ-5, для прицеливания в нижнем правом крыле имелась прорезь размером 70x300 мм. В общем потоке строившихся на ленинградском авиазаводе самолетов до 1938 года было сдано около 600 экземпляров У-2 войсковой серии (24969).</w:t>
      </w:r>
    </w:p>
    <w:p w14:paraId="4EA12ECE" w14:textId="77777777" w:rsidR="00523E47" w:rsidRPr="00142305" w:rsidRDefault="00523E47" w:rsidP="00523E47">
      <w:pPr>
        <w:spacing w:after="0" w:line="240" w:lineRule="auto"/>
        <w:jc w:val="both"/>
        <w:rPr>
          <w:rFonts w:ascii="Times New Roman" w:hAnsi="Times New Roman"/>
          <w:color w:val="0070C0"/>
          <w:sz w:val="16"/>
          <w:szCs w:val="16"/>
        </w:rPr>
      </w:pPr>
    </w:p>
    <w:p w14:paraId="11E16E9F"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выполнялся эскизный проект военной модифи</w:t>
      </w:r>
      <w:r w:rsidRPr="00142305">
        <w:rPr>
          <w:rFonts w:ascii="Times New Roman" w:hAnsi="Times New Roman"/>
          <w:color w:val="0070C0"/>
          <w:sz w:val="16"/>
          <w:szCs w:val="16"/>
        </w:rPr>
        <w:softHyphen/>
        <w:t>кации AHT-14 с четырьмя моторами М-34Р и новыми носо</w:t>
      </w:r>
      <w:r w:rsidRPr="00142305">
        <w:rPr>
          <w:rFonts w:ascii="Times New Roman" w:hAnsi="Times New Roman"/>
          <w:color w:val="0070C0"/>
          <w:sz w:val="16"/>
          <w:szCs w:val="16"/>
        </w:rPr>
        <w:softHyphen/>
        <w:t>вой и хвостовой частью. Вооружение у него бьшо послабее. Самолет предполагалось вооружить четырьмя 7,62-мм пуле</w:t>
      </w:r>
      <w:r w:rsidRPr="00142305">
        <w:rPr>
          <w:rFonts w:ascii="Times New Roman" w:hAnsi="Times New Roman"/>
          <w:color w:val="0070C0"/>
          <w:sz w:val="16"/>
          <w:szCs w:val="16"/>
        </w:rPr>
        <w:softHyphen/>
        <w:t>метами. Три ручных пулемета ДП (пехотных, именно так за</w:t>
      </w:r>
      <w:r w:rsidRPr="00142305">
        <w:rPr>
          <w:rFonts w:ascii="Times New Roman" w:hAnsi="Times New Roman"/>
          <w:color w:val="0070C0"/>
          <w:sz w:val="16"/>
          <w:szCs w:val="16"/>
        </w:rPr>
        <w:softHyphen/>
        <w:t>писано в документах) располагались в носовой части фюзеляжа, сверху и за вертикальным оперением (с боезапасом по 15 дисков на каждый), а переносной ДА (с 16 дисками) на шкворне стрелял через бортовые окна. Из носовой установ</w:t>
      </w:r>
      <w:r w:rsidRPr="00142305">
        <w:rPr>
          <w:rFonts w:ascii="Times New Roman" w:hAnsi="Times New Roman"/>
          <w:color w:val="0070C0"/>
          <w:sz w:val="16"/>
          <w:szCs w:val="16"/>
        </w:rPr>
        <w:softHyphen/>
        <w:t>ки вел огонь штурман, из верхней - бортехник, из кормо</w:t>
      </w:r>
      <w:r w:rsidRPr="00142305">
        <w:rPr>
          <w:rFonts w:ascii="Times New Roman" w:hAnsi="Times New Roman"/>
          <w:color w:val="0070C0"/>
          <w:sz w:val="16"/>
          <w:szCs w:val="16"/>
        </w:rPr>
        <w:softHyphen/>
        <w:t>вой - стрелок. Переносным пулеметом оперировал радист.</w:t>
      </w:r>
    </w:p>
    <w:p w14:paraId="105D7C0B"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Предусматривались две радиостанции: 11-СК (у радис</w:t>
      </w:r>
      <w:r w:rsidRPr="00142305">
        <w:rPr>
          <w:rFonts w:ascii="Times New Roman" w:hAnsi="Times New Roman"/>
          <w:color w:val="0070C0"/>
          <w:sz w:val="16"/>
          <w:szCs w:val="16"/>
        </w:rPr>
        <w:softHyphen/>
        <w:t>та) и 15-СУ (у штурмана). Основным назначением машины считалась перевозка солдат и военных грузов, а также вы</w:t>
      </w:r>
      <w:r w:rsidRPr="00142305">
        <w:rPr>
          <w:rFonts w:ascii="Times New Roman" w:hAnsi="Times New Roman"/>
          <w:color w:val="0070C0"/>
          <w:sz w:val="16"/>
          <w:szCs w:val="16"/>
        </w:rPr>
        <w:softHyphen/>
        <w:t>садка воздушных десантов, но при монтаже в салоне много</w:t>
      </w:r>
      <w:r w:rsidRPr="00142305">
        <w:rPr>
          <w:rFonts w:ascii="Times New Roman" w:hAnsi="Times New Roman"/>
          <w:color w:val="0070C0"/>
          <w:sz w:val="16"/>
          <w:szCs w:val="16"/>
        </w:rPr>
        <w:softHyphen/>
        <w:t>ярусных коек самолет превращался в санитарный. Военный АНТ-14 при необходимости мог быть использован и как ночной бомбардировщик. Бомбы при этом укладывались во внутренние кассеты в бывшем пассажирском салоне.</w:t>
      </w:r>
    </w:p>
    <w:p w14:paraId="6D6C60E6"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Такие военно-транспортные машины собирались се</w:t>
      </w:r>
      <w:r w:rsidRPr="00142305">
        <w:rPr>
          <w:rFonts w:ascii="Times New Roman" w:hAnsi="Times New Roman"/>
          <w:color w:val="0070C0"/>
          <w:sz w:val="16"/>
          <w:szCs w:val="16"/>
        </w:rPr>
        <w:softHyphen/>
        <w:t>рийно строить на заводе N2 22 в Филях (24977).</w:t>
      </w:r>
    </w:p>
    <w:p w14:paraId="71CE4C84" w14:textId="77777777" w:rsidR="00523E47" w:rsidRPr="00142305" w:rsidRDefault="00523E47" w:rsidP="00523E47">
      <w:pPr>
        <w:spacing w:after="0" w:line="240" w:lineRule="auto"/>
        <w:jc w:val="both"/>
        <w:rPr>
          <w:rFonts w:ascii="Times New Roman" w:hAnsi="Times New Roman"/>
          <w:color w:val="0070C0"/>
          <w:sz w:val="16"/>
          <w:szCs w:val="16"/>
        </w:rPr>
      </w:pPr>
    </w:p>
    <w:p w14:paraId="188D7832" w14:textId="77777777" w:rsidR="00523E47" w:rsidRPr="00142305" w:rsidRDefault="00523E47" w:rsidP="00523E4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Поэтому в 1933 г. 23-й завод начал выпускать У-2ВС (войсковая серия), оборудованные курсовым и турельным пулеметами, а также бомбодержателя</w:t>
      </w:r>
      <w:r w:rsidRPr="00142305">
        <w:rPr>
          <w:rFonts w:ascii="Times New Roman" w:hAnsi="Times New Roman"/>
          <w:color w:val="0070C0"/>
          <w:sz w:val="16"/>
          <w:szCs w:val="16"/>
        </w:rPr>
        <w:softHyphen/>
        <w:t>ми. Самолеты этого типа неоднократно дорабатывались и совершенствова</w:t>
      </w:r>
      <w:r w:rsidRPr="00142305">
        <w:rPr>
          <w:rFonts w:ascii="Times New Roman" w:hAnsi="Times New Roman"/>
          <w:color w:val="0070C0"/>
          <w:sz w:val="16"/>
          <w:szCs w:val="16"/>
        </w:rPr>
        <w:softHyphen/>
        <w:t>лись. На У-2ВС образца 1937 г. на ле</w:t>
      </w:r>
      <w:r w:rsidRPr="00142305">
        <w:rPr>
          <w:rFonts w:ascii="Times New Roman" w:hAnsi="Times New Roman"/>
          <w:color w:val="0070C0"/>
          <w:sz w:val="16"/>
          <w:szCs w:val="16"/>
        </w:rPr>
        <w:softHyphen/>
        <w:t>вом борту фюзеляжа устанавливался синхронный пулемет ПВ-1, в задней ка</w:t>
      </w:r>
      <w:r w:rsidRPr="00142305">
        <w:rPr>
          <w:rFonts w:ascii="Times New Roman" w:hAnsi="Times New Roman"/>
          <w:color w:val="0070C0"/>
          <w:sz w:val="16"/>
          <w:szCs w:val="16"/>
        </w:rPr>
        <w:softHyphen/>
        <w:t>бине — пулемет ДА на турели, под фю</w:t>
      </w:r>
      <w:r w:rsidRPr="00142305">
        <w:rPr>
          <w:rFonts w:ascii="Times New Roman" w:hAnsi="Times New Roman"/>
          <w:color w:val="0070C0"/>
          <w:sz w:val="16"/>
          <w:szCs w:val="16"/>
        </w:rPr>
        <w:softHyphen/>
        <w:t>зеляжем крепились бомбодержатели для мелких авиабомб. На правом бор</w:t>
      </w:r>
      <w:r w:rsidRPr="00142305">
        <w:rPr>
          <w:rFonts w:ascii="Times New Roman" w:hAnsi="Times New Roman"/>
          <w:color w:val="0070C0"/>
          <w:sz w:val="16"/>
          <w:szCs w:val="16"/>
        </w:rPr>
        <w:softHyphen/>
        <w:t>ту монтировались прицел АП-2 и ви</w:t>
      </w:r>
      <w:r w:rsidRPr="00142305">
        <w:rPr>
          <w:rFonts w:ascii="Times New Roman" w:hAnsi="Times New Roman"/>
          <w:color w:val="0070C0"/>
          <w:sz w:val="16"/>
          <w:szCs w:val="16"/>
        </w:rPr>
        <w:softHyphen/>
        <w:t>зир НВ-5, для прицеливания в нижнем правом крыле имелась прорезь разме</w:t>
      </w:r>
      <w:r w:rsidRPr="00142305">
        <w:rPr>
          <w:rFonts w:ascii="Times New Roman" w:hAnsi="Times New Roman"/>
          <w:color w:val="0070C0"/>
          <w:sz w:val="16"/>
          <w:szCs w:val="16"/>
        </w:rPr>
        <w:softHyphen/>
        <w:t>ром 70х300 мм. Таких У-2 войсковой серии до 1938 г. ленинградский ави</w:t>
      </w:r>
      <w:r w:rsidRPr="00142305">
        <w:rPr>
          <w:rFonts w:ascii="Times New Roman" w:hAnsi="Times New Roman"/>
          <w:color w:val="0070C0"/>
          <w:sz w:val="16"/>
          <w:szCs w:val="16"/>
        </w:rPr>
        <w:softHyphen/>
        <w:t>азавод в общем потоке строившихся самолетов сдал около 600 экземпля</w:t>
      </w:r>
      <w:r w:rsidRPr="00142305">
        <w:rPr>
          <w:rFonts w:ascii="Times New Roman" w:hAnsi="Times New Roman"/>
          <w:color w:val="0070C0"/>
          <w:sz w:val="16"/>
          <w:szCs w:val="16"/>
        </w:rPr>
        <w:softHyphen/>
        <w:t>ров. Впрочем, учитывать эти самолеты как боеспособные в период перед Ве</w:t>
      </w:r>
      <w:r w:rsidRPr="00142305">
        <w:rPr>
          <w:rFonts w:ascii="Times New Roman" w:hAnsi="Times New Roman"/>
          <w:color w:val="0070C0"/>
          <w:sz w:val="16"/>
          <w:szCs w:val="16"/>
        </w:rPr>
        <w:softHyphen/>
        <w:t>ликой Отечественной войной не имеет смысла. Во-первых, почти все они уже к тому времени были изношены, да и, как правило, элементы вооружения ис</w:t>
      </w:r>
      <w:r w:rsidRPr="00142305">
        <w:rPr>
          <w:rFonts w:ascii="Times New Roman" w:hAnsi="Times New Roman"/>
          <w:color w:val="0070C0"/>
          <w:sz w:val="16"/>
          <w:szCs w:val="16"/>
        </w:rPr>
        <w:softHyphen/>
        <w:t>пользовались не постоянно (24979).</w:t>
      </w:r>
    </w:p>
    <w:p w14:paraId="0648C419" w14:textId="77777777" w:rsidR="00523E47" w:rsidRPr="00142305" w:rsidRDefault="00523E47" w:rsidP="00523E47">
      <w:pPr>
        <w:spacing w:after="0" w:line="240" w:lineRule="auto"/>
        <w:jc w:val="both"/>
        <w:rPr>
          <w:rFonts w:ascii="Times New Roman" w:hAnsi="Times New Roman"/>
          <w:color w:val="0070C0"/>
          <w:sz w:val="16"/>
          <w:szCs w:val="16"/>
        </w:rPr>
      </w:pPr>
    </w:p>
    <w:p w14:paraId="727FB2BB" w14:textId="77777777" w:rsidR="00FB61DD" w:rsidRPr="0044524F" w:rsidRDefault="00FB61DD" w:rsidP="00FB61D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1933 г. силами ЦКБ-39 передано на испытания четыре новых типа самолетов, что было хорошим результатом:</w:t>
      </w:r>
    </w:p>
    <w:p w14:paraId="27F8B6BB" w14:textId="77777777" w:rsidR="00FB61DD" w:rsidRPr="0044524F" w:rsidRDefault="00FB61DD" w:rsidP="00FB61D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тяжелый бронированный штурмовик ТШ-3 (ЦКБ-4) Кочеригина;</w:t>
      </w:r>
    </w:p>
    <w:p w14:paraId="0B86F516" w14:textId="77777777" w:rsidR="00FB61DD" w:rsidRPr="0044524F" w:rsidRDefault="00FB61DD" w:rsidP="00FB61D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двухместный истребитель ДИ-4 Лявиля;</w:t>
      </w:r>
    </w:p>
    <w:p w14:paraId="5374F59A" w14:textId="77777777" w:rsidR="00FB61DD" w:rsidRPr="0044524F" w:rsidRDefault="00FB61DD" w:rsidP="00FB61D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одноместный истребитель И-15 (ЦКБ-3) Поликарпова;</w:t>
      </w:r>
    </w:p>
    <w:p w14:paraId="48FF0005" w14:textId="77777777" w:rsidR="00FB61DD" w:rsidRPr="0044524F" w:rsidRDefault="00FB61DD" w:rsidP="00FB61D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одноместный истребитель И-16 (ЦКБ-12) Поликарпова.</w:t>
      </w:r>
    </w:p>
    <w:p w14:paraId="79B088F1" w14:textId="77777777" w:rsidR="00FB61DD" w:rsidRPr="0044524F" w:rsidRDefault="00FB61DD" w:rsidP="00FB61DD">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эти самолеты содержали множество новшеств. И если ДИ-4 влияния на развитие авиации не оказал, а значение ТШ-3 лишь в том, что продолжил накапливаться опыт в разработке бронированных штурмовиков, пока весь неудачный, но все же использованный потом в проекте ЦКБ-55 / Ил-2, то самолеты И-15 и И-16 определили лицо советской истребительной авиации на весь предвоенный период и вывели ее на мировой уровень того времени (23554).</w:t>
      </w:r>
    </w:p>
    <w:p w14:paraId="0482908C" w14:textId="77777777" w:rsidR="00FB61DD" w:rsidRPr="0044524F" w:rsidRDefault="00FB61DD" w:rsidP="00FB61DD">
      <w:pPr>
        <w:spacing w:after="0" w:line="240" w:lineRule="auto"/>
        <w:jc w:val="both"/>
        <w:rPr>
          <w:rFonts w:ascii="Times New Roman" w:hAnsi="Times New Roman"/>
          <w:color w:val="000000" w:themeColor="text1"/>
          <w:sz w:val="16"/>
          <w:szCs w:val="16"/>
        </w:rPr>
      </w:pPr>
    </w:p>
    <w:p w14:paraId="234736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в докладной записке для К.Е.В М.Н.Т. писал: “Общая оценка возможности развития ВВС наших врагов говорит о необходимости для нашей страны иметь 15000 действующих самолетов, - это усиление нельзя растягивать, а осуществить в 1934-1935 гг.”. Г.К.О. поддержал и заявил, что промышленность сделает все, что возможно, а К.Е.В. наложил резолюцию: “Америки” не вижу. Все те же отвлеченные “прожекты” (4173).</w:t>
      </w:r>
    </w:p>
    <w:p w14:paraId="7E089C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930A529"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КБ А.Н.Т. начало проектирование двухмоторного «сухопутного крей</w:t>
      </w:r>
      <w:r w:rsidRPr="0044524F">
        <w:rPr>
          <w:rFonts w:ascii="Times New Roman" w:hAnsi="Times New Roman"/>
          <w:color w:val="000000" w:themeColor="text1"/>
          <w:sz w:val="16"/>
          <w:szCs w:val="16"/>
        </w:rPr>
        <w:softHyphen/>
        <w:t>сера» — СК—1.</w:t>
      </w:r>
    </w:p>
    <w:p w14:paraId="0A3D0D1C"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техническим требованиям самолет должен был иметь два двигате</w:t>
      </w:r>
      <w:r w:rsidRPr="0044524F">
        <w:rPr>
          <w:rFonts w:ascii="Times New Roman" w:hAnsi="Times New Roman"/>
          <w:color w:val="000000" w:themeColor="text1"/>
          <w:sz w:val="16"/>
          <w:szCs w:val="16"/>
        </w:rPr>
        <w:softHyphen/>
        <w:t>ля Hispano Suiza. Вооружение предпо</w:t>
      </w:r>
      <w:r w:rsidRPr="0044524F">
        <w:rPr>
          <w:rFonts w:ascii="Times New Roman" w:hAnsi="Times New Roman"/>
          <w:color w:val="000000" w:themeColor="text1"/>
          <w:sz w:val="16"/>
          <w:szCs w:val="16"/>
        </w:rPr>
        <w:softHyphen/>
        <w:t>лагалось достаточно мощное: пушка Oerlikon с боезапасом 150 снарядов, пе</w:t>
      </w:r>
      <w:r w:rsidRPr="0044524F">
        <w:rPr>
          <w:rFonts w:ascii="Times New Roman" w:hAnsi="Times New Roman"/>
          <w:color w:val="000000" w:themeColor="text1"/>
          <w:sz w:val="16"/>
          <w:szCs w:val="16"/>
        </w:rPr>
        <w:softHyphen/>
        <w:t>редняя установка с двумя пулеметами ШКАС (по 1000 патронов на ствол) и задняя установка с одним пулеметом ШКАС (1000 патронов). Бомбовая на</w:t>
      </w:r>
      <w:r w:rsidRPr="0044524F">
        <w:rPr>
          <w:rFonts w:ascii="Times New Roman" w:hAnsi="Times New Roman"/>
          <w:color w:val="000000" w:themeColor="text1"/>
          <w:sz w:val="16"/>
          <w:szCs w:val="16"/>
        </w:rPr>
        <w:softHyphen/>
        <w:t>грузка до 1000 кг.</w:t>
      </w:r>
    </w:p>
    <w:p w14:paraId="632C9E45"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должен был состоять из четы</w:t>
      </w:r>
      <w:r w:rsidRPr="0044524F">
        <w:rPr>
          <w:rFonts w:ascii="Times New Roman" w:hAnsi="Times New Roman"/>
          <w:color w:val="000000" w:themeColor="text1"/>
          <w:sz w:val="16"/>
          <w:szCs w:val="16"/>
        </w:rPr>
        <w:softHyphen/>
        <w:t>рех человек.</w:t>
      </w:r>
    </w:p>
    <w:p w14:paraId="41C0B8A0"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проекту КБ получалась машина с нормальной полетной массой 5300 кг при полезной нагрузке 982 кг. Перегрузочная масса полезной нагрузки могла бы соста</w:t>
      </w:r>
      <w:r w:rsidRPr="0044524F">
        <w:rPr>
          <w:rFonts w:ascii="Times New Roman" w:hAnsi="Times New Roman"/>
          <w:color w:val="000000" w:themeColor="text1"/>
          <w:sz w:val="16"/>
          <w:szCs w:val="16"/>
        </w:rPr>
        <w:softHyphen/>
        <w:t>вить 1560 кг. Расчетная скорость на высоте 2000 м должна была составить 314 км/ч, на высоте 4000 км — 317 км/ч, на 6000 м — 293 км/ч, на 8000 м - 286 км/ч. Работы были прекращены в начале 1934 г. К это</w:t>
      </w:r>
      <w:r w:rsidRPr="0044524F">
        <w:rPr>
          <w:rFonts w:ascii="Times New Roman" w:hAnsi="Times New Roman"/>
          <w:color w:val="000000" w:themeColor="text1"/>
          <w:sz w:val="16"/>
          <w:szCs w:val="16"/>
        </w:rPr>
        <w:softHyphen/>
        <w:t>му времени готовность машины состав</w:t>
      </w:r>
      <w:r w:rsidRPr="0044524F">
        <w:rPr>
          <w:rFonts w:ascii="Times New Roman" w:hAnsi="Times New Roman"/>
          <w:color w:val="000000" w:themeColor="text1"/>
          <w:sz w:val="16"/>
          <w:szCs w:val="16"/>
        </w:rPr>
        <w:softHyphen/>
        <w:t>ляла 16%</w:t>
      </w:r>
    </w:p>
    <w:p w14:paraId="197799C2"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характеристики самолета АНТ-30</w:t>
      </w:r>
    </w:p>
    <w:tbl>
      <w:tblPr>
        <w:tblOverlap w:val="never"/>
        <w:tblW w:w="0" w:type="auto"/>
        <w:tblLayout w:type="fixed"/>
        <w:tblCellMar>
          <w:left w:w="10" w:type="dxa"/>
          <w:right w:w="10" w:type="dxa"/>
        </w:tblCellMar>
        <w:tblLook w:val="04A0" w:firstRow="1" w:lastRow="0" w:firstColumn="1" w:lastColumn="0" w:noHBand="0" w:noVBand="1"/>
      </w:tblPr>
      <w:tblGrid>
        <w:gridCol w:w="3283"/>
        <w:gridCol w:w="2438"/>
      </w:tblGrid>
      <w:tr w:rsidR="009674FE" w:rsidRPr="0044524F" w14:paraId="03016E28" w14:textId="77777777" w:rsidTr="00E9136F">
        <w:trPr>
          <w:trHeight w:val="298"/>
        </w:trPr>
        <w:tc>
          <w:tcPr>
            <w:tcW w:w="3283" w:type="dxa"/>
            <w:tcBorders>
              <w:top w:val="single" w:sz="4" w:space="0" w:color="auto"/>
              <w:left w:val="single" w:sz="4" w:space="0" w:color="auto"/>
            </w:tcBorders>
            <w:vAlign w:val="bottom"/>
          </w:tcPr>
          <w:p w14:paraId="1C5273D5"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х тип двигателей</w:t>
            </w:r>
          </w:p>
        </w:tc>
        <w:tc>
          <w:tcPr>
            <w:tcW w:w="2438" w:type="dxa"/>
            <w:tcBorders>
              <w:top w:val="single" w:sz="4" w:space="0" w:color="auto"/>
              <w:right w:val="single" w:sz="4" w:space="0" w:color="auto"/>
            </w:tcBorders>
            <w:vAlign w:val="bottom"/>
          </w:tcPr>
          <w:p w14:paraId="22326961"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2xHispano-Suiza</w:t>
            </w:r>
          </w:p>
        </w:tc>
      </w:tr>
      <w:tr w:rsidR="009674FE" w:rsidRPr="0044524F" w14:paraId="3ADC34D6" w14:textId="77777777" w:rsidTr="00E9136F">
        <w:trPr>
          <w:trHeight w:val="206"/>
        </w:trPr>
        <w:tc>
          <w:tcPr>
            <w:tcW w:w="3283" w:type="dxa"/>
            <w:tcBorders>
              <w:left w:val="single" w:sz="4" w:space="0" w:color="auto"/>
            </w:tcBorders>
            <w:vAlign w:val="bottom"/>
          </w:tcPr>
          <w:p w14:paraId="68EBA5AF"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самолета, м</w:t>
            </w:r>
          </w:p>
        </w:tc>
        <w:tc>
          <w:tcPr>
            <w:tcW w:w="2438" w:type="dxa"/>
            <w:tcBorders>
              <w:right w:val="single" w:sz="4" w:space="0" w:color="auto"/>
            </w:tcBorders>
            <w:vAlign w:val="bottom"/>
          </w:tcPr>
          <w:p w14:paraId="33400A69"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3,36</w:t>
            </w:r>
          </w:p>
        </w:tc>
      </w:tr>
      <w:tr w:rsidR="009674FE" w:rsidRPr="0044524F" w14:paraId="72660B01" w14:textId="77777777" w:rsidTr="00E9136F">
        <w:trPr>
          <w:trHeight w:val="226"/>
        </w:trPr>
        <w:tc>
          <w:tcPr>
            <w:tcW w:w="3283" w:type="dxa"/>
            <w:tcBorders>
              <w:left w:val="single" w:sz="4" w:space="0" w:color="auto"/>
            </w:tcBorders>
            <w:vAlign w:val="bottom"/>
          </w:tcPr>
          <w:p w14:paraId="2CE3D5A7"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Взлетная масса, кг</w:t>
            </w:r>
          </w:p>
        </w:tc>
        <w:tc>
          <w:tcPr>
            <w:tcW w:w="2438" w:type="dxa"/>
            <w:tcBorders>
              <w:right w:val="single" w:sz="4" w:space="0" w:color="auto"/>
            </w:tcBorders>
          </w:tcPr>
          <w:p w14:paraId="3B882E53" w14:textId="77777777" w:rsidR="009674FE" w:rsidRPr="0044524F" w:rsidRDefault="009674FE" w:rsidP="009654CF">
            <w:pPr>
              <w:spacing w:after="0" w:line="240" w:lineRule="auto"/>
              <w:jc w:val="both"/>
              <w:rPr>
                <w:rFonts w:ascii="Times New Roman" w:hAnsi="Times New Roman"/>
                <w:color w:val="000000" w:themeColor="text1"/>
                <w:sz w:val="16"/>
                <w:szCs w:val="16"/>
              </w:rPr>
            </w:pPr>
          </w:p>
        </w:tc>
      </w:tr>
      <w:tr w:rsidR="009674FE" w:rsidRPr="0044524F" w14:paraId="0D58993E" w14:textId="77777777" w:rsidTr="00E9136F">
        <w:trPr>
          <w:trHeight w:val="230"/>
        </w:trPr>
        <w:tc>
          <w:tcPr>
            <w:tcW w:w="3283" w:type="dxa"/>
            <w:tcBorders>
              <w:left w:val="single" w:sz="4" w:space="0" w:color="auto"/>
            </w:tcBorders>
            <w:vAlign w:val="bottom"/>
          </w:tcPr>
          <w:p w14:paraId="4FC111EF"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нормальная</w:t>
            </w:r>
          </w:p>
        </w:tc>
        <w:tc>
          <w:tcPr>
            <w:tcW w:w="2438" w:type="dxa"/>
            <w:tcBorders>
              <w:right w:val="single" w:sz="4" w:space="0" w:color="auto"/>
            </w:tcBorders>
            <w:vAlign w:val="bottom"/>
          </w:tcPr>
          <w:p w14:paraId="3CD9DF4E"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5300</w:t>
            </w:r>
          </w:p>
        </w:tc>
      </w:tr>
      <w:tr w:rsidR="009674FE" w:rsidRPr="0044524F" w14:paraId="52489620" w14:textId="77777777" w:rsidTr="00E9136F">
        <w:trPr>
          <w:trHeight w:val="216"/>
        </w:trPr>
        <w:tc>
          <w:tcPr>
            <w:tcW w:w="3283" w:type="dxa"/>
            <w:tcBorders>
              <w:left w:val="single" w:sz="4" w:space="0" w:color="auto"/>
            </w:tcBorders>
            <w:vAlign w:val="bottom"/>
          </w:tcPr>
          <w:p w14:paraId="1AFB9433"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полезной нагрузки, кг</w:t>
            </w:r>
          </w:p>
        </w:tc>
        <w:tc>
          <w:tcPr>
            <w:tcW w:w="2438" w:type="dxa"/>
            <w:tcBorders>
              <w:right w:val="single" w:sz="4" w:space="0" w:color="auto"/>
            </w:tcBorders>
            <w:vAlign w:val="bottom"/>
          </w:tcPr>
          <w:p w14:paraId="4071369A"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982/1560</w:t>
            </w:r>
          </w:p>
        </w:tc>
      </w:tr>
      <w:tr w:rsidR="009674FE" w:rsidRPr="0044524F" w14:paraId="089B3A83" w14:textId="77777777" w:rsidTr="00E9136F">
        <w:trPr>
          <w:trHeight w:val="221"/>
        </w:trPr>
        <w:tc>
          <w:tcPr>
            <w:tcW w:w="3283" w:type="dxa"/>
            <w:tcBorders>
              <w:left w:val="single" w:sz="4" w:space="0" w:color="auto"/>
            </w:tcBorders>
            <w:vAlign w:val="bottom"/>
          </w:tcPr>
          <w:p w14:paraId="45B41DD8"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км/ч</w:t>
            </w:r>
          </w:p>
        </w:tc>
        <w:tc>
          <w:tcPr>
            <w:tcW w:w="2438" w:type="dxa"/>
            <w:tcBorders>
              <w:right w:val="single" w:sz="4" w:space="0" w:color="auto"/>
            </w:tcBorders>
          </w:tcPr>
          <w:p w14:paraId="29E9C79A" w14:textId="77777777" w:rsidR="009674FE" w:rsidRPr="0044524F" w:rsidRDefault="009674FE" w:rsidP="009654CF">
            <w:pPr>
              <w:spacing w:after="0" w:line="240" w:lineRule="auto"/>
              <w:jc w:val="both"/>
              <w:rPr>
                <w:rFonts w:ascii="Times New Roman" w:hAnsi="Times New Roman"/>
                <w:color w:val="000000" w:themeColor="text1"/>
                <w:sz w:val="16"/>
                <w:szCs w:val="16"/>
              </w:rPr>
            </w:pPr>
          </w:p>
        </w:tc>
      </w:tr>
      <w:tr w:rsidR="009674FE" w:rsidRPr="0044524F" w14:paraId="4B189430" w14:textId="77777777" w:rsidTr="00E9136F">
        <w:trPr>
          <w:trHeight w:val="226"/>
        </w:trPr>
        <w:tc>
          <w:tcPr>
            <w:tcW w:w="3283" w:type="dxa"/>
            <w:tcBorders>
              <w:left w:val="single" w:sz="4" w:space="0" w:color="auto"/>
            </w:tcBorders>
            <w:vAlign w:val="bottom"/>
          </w:tcPr>
          <w:p w14:paraId="462065B8"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м</w:t>
            </w:r>
          </w:p>
        </w:tc>
        <w:tc>
          <w:tcPr>
            <w:tcW w:w="2438" w:type="dxa"/>
            <w:tcBorders>
              <w:right w:val="single" w:sz="4" w:space="0" w:color="auto"/>
            </w:tcBorders>
            <w:vAlign w:val="bottom"/>
          </w:tcPr>
          <w:p w14:paraId="63EB0B2C"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314/2000</w:t>
            </w:r>
          </w:p>
        </w:tc>
      </w:tr>
      <w:tr w:rsidR="009674FE" w:rsidRPr="0044524F" w14:paraId="5C69276D" w14:textId="77777777" w:rsidTr="00E9136F">
        <w:trPr>
          <w:trHeight w:val="211"/>
        </w:trPr>
        <w:tc>
          <w:tcPr>
            <w:tcW w:w="3283" w:type="dxa"/>
            <w:tcBorders>
              <w:left w:val="single" w:sz="4" w:space="0" w:color="auto"/>
            </w:tcBorders>
            <w:vAlign w:val="bottom"/>
          </w:tcPr>
          <w:p w14:paraId="08F9E349"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высоте, м</w:t>
            </w:r>
          </w:p>
        </w:tc>
        <w:tc>
          <w:tcPr>
            <w:tcW w:w="2438" w:type="dxa"/>
            <w:tcBorders>
              <w:right w:val="single" w:sz="4" w:space="0" w:color="auto"/>
            </w:tcBorders>
            <w:vAlign w:val="bottom"/>
          </w:tcPr>
          <w:p w14:paraId="759125EF"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317/4000</w:t>
            </w:r>
          </w:p>
        </w:tc>
      </w:tr>
      <w:tr w:rsidR="009674FE" w:rsidRPr="0044524F" w14:paraId="0CC2C5C2" w14:textId="77777777" w:rsidTr="00E9136F">
        <w:trPr>
          <w:trHeight w:val="226"/>
        </w:trPr>
        <w:tc>
          <w:tcPr>
            <w:tcW w:w="3283" w:type="dxa"/>
            <w:tcBorders>
              <w:left w:val="single" w:sz="4" w:space="0" w:color="auto"/>
            </w:tcBorders>
          </w:tcPr>
          <w:p w14:paraId="491A6620"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w:t>
            </w:r>
          </w:p>
        </w:tc>
        <w:tc>
          <w:tcPr>
            <w:tcW w:w="2438" w:type="dxa"/>
            <w:tcBorders>
              <w:right w:val="single" w:sz="4" w:space="0" w:color="auto"/>
            </w:tcBorders>
          </w:tcPr>
          <w:p w14:paraId="14CCB830" w14:textId="77777777" w:rsidR="009674FE" w:rsidRPr="0044524F" w:rsidRDefault="009674FE" w:rsidP="009654CF">
            <w:pPr>
              <w:spacing w:after="0" w:line="240" w:lineRule="auto"/>
              <w:jc w:val="both"/>
              <w:rPr>
                <w:rFonts w:ascii="Times New Roman" w:hAnsi="Times New Roman"/>
                <w:color w:val="000000" w:themeColor="text1"/>
                <w:sz w:val="16"/>
                <w:szCs w:val="16"/>
              </w:rPr>
            </w:pPr>
          </w:p>
        </w:tc>
      </w:tr>
      <w:tr w:rsidR="009674FE" w:rsidRPr="0044524F" w14:paraId="6B9CB418" w14:textId="77777777" w:rsidTr="00E9136F">
        <w:trPr>
          <w:trHeight w:val="206"/>
        </w:trPr>
        <w:tc>
          <w:tcPr>
            <w:tcW w:w="3283" w:type="dxa"/>
            <w:tcBorders>
              <w:left w:val="single" w:sz="4" w:space="0" w:color="auto"/>
            </w:tcBorders>
            <w:vAlign w:val="bottom"/>
          </w:tcPr>
          <w:p w14:paraId="27295F6C"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стрелковое: число х калибр</w:t>
            </w:r>
          </w:p>
        </w:tc>
        <w:tc>
          <w:tcPr>
            <w:tcW w:w="2438" w:type="dxa"/>
            <w:tcBorders>
              <w:right w:val="single" w:sz="4" w:space="0" w:color="auto"/>
            </w:tcBorders>
            <w:vAlign w:val="bottom"/>
          </w:tcPr>
          <w:p w14:paraId="793E71B2"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1x20+3x7,62</w:t>
            </w:r>
          </w:p>
        </w:tc>
      </w:tr>
      <w:tr w:rsidR="009674FE" w:rsidRPr="0044524F" w14:paraId="5A07E10C" w14:textId="77777777" w:rsidTr="00E9136F">
        <w:trPr>
          <w:trHeight w:val="235"/>
        </w:trPr>
        <w:tc>
          <w:tcPr>
            <w:tcW w:w="3283" w:type="dxa"/>
            <w:tcBorders>
              <w:left w:val="single" w:sz="4" w:space="0" w:color="auto"/>
            </w:tcBorders>
          </w:tcPr>
          <w:p w14:paraId="75B5F56D"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бомбовой нагрузки, кг</w:t>
            </w:r>
          </w:p>
        </w:tc>
        <w:tc>
          <w:tcPr>
            <w:tcW w:w="2438" w:type="dxa"/>
            <w:tcBorders>
              <w:right w:val="single" w:sz="4" w:space="0" w:color="auto"/>
            </w:tcBorders>
          </w:tcPr>
          <w:p w14:paraId="60954869" w14:textId="77777777" w:rsidR="009674FE" w:rsidRPr="0044524F" w:rsidRDefault="009674FE" w:rsidP="009654CF">
            <w:pPr>
              <w:spacing w:after="0" w:line="240" w:lineRule="auto"/>
              <w:jc w:val="both"/>
              <w:rPr>
                <w:rFonts w:ascii="Times New Roman" w:hAnsi="Times New Roman"/>
                <w:color w:val="000000" w:themeColor="text1"/>
                <w:sz w:val="16"/>
                <w:szCs w:val="16"/>
              </w:rPr>
            </w:pPr>
          </w:p>
        </w:tc>
      </w:tr>
      <w:tr w:rsidR="009674FE" w:rsidRPr="0044524F" w14:paraId="12F7707F" w14:textId="77777777" w:rsidTr="00E9136F">
        <w:trPr>
          <w:trHeight w:val="298"/>
        </w:trPr>
        <w:tc>
          <w:tcPr>
            <w:tcW w:w="3283" w:type="dxa"/>
            <w:tcBorders>
              <w:left w:val="single" w:sz="4" w:space="0" w:color="auto"/>
              <w:bottom w:val="single" w:sz="4" w:space="0" w:color="auto"/>
            </w:tcBorders>
          </w:tcPr>
          <w:p w14:paraId="7B5181B1"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w:t>
            </w:r>
          </w:p>
        </w:tc>
        <w:tc>
          <w:tcPr>
            <w:tcW w:w="2438" w:type="dxa"/>
            <w:tcBorders>
              <w:bottom w:val="single" w:sz="4" w:space="0" w:color="auto"/>
              <w:right w:val="single" w:sz="4" w:space="0" w:color="auto"/>
            </w:tcBorders>
          </w:tcPr>
          <w:p w14:paraId="00E95891"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1000</w:t>
            </w:r>
          </w:p>
        </w:tc>
      </w:tr>
    </w:tbl>
    <w:p w14:paraId="39A365FF"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(23474).</w:t>
      </w:r>
    </w:p>
    <w:p w14:paraId="4C8CACE8" w14:textId="77777777" w:rsidR="009674FE" w:rsidRPr="0044524F" w:rsidRDefault="009674FE" w:rsidP="009654CF">
      <w:pPr>
        <w:spacing w:after="0" w:line="240" w:lineRule="auto"/>
        <w:jc w:val="both"/>
        <w:rPr>
          <w:rFonts w:ascii="Times New Roman" w:hAnsi="Times New Roman"/>
          <w:color w:val="000000" w:themeColor="text1"/>
          <w:sz w:val="16"/>
          <w:szCs w:val="16"/>
        </w:rPr>
      </w:pPr>
    </w:p>
    <w:p w14:paraId="4BD22A87" w14:textId="77777777" w:rsidR="009674FE" w:rsidRPr="0044524F" w:rsidRDefault="009674FE"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бригада ЦКБ под руководством С.А. Кочеригина выпустила на испытания новый бронированный штурмовик ТШ-3 (ЦКБ-4). В создании его прогрессивной компоновки моноплана значительный вклад внес сотрудник бригады М.И. Гуревич. Хотя самолет ТШ-3 на вооружение принят не был, его разработка имела значительные последствия – в дальнейшем, вплоть до работ по самолету ЦКБ-55 / БШ-2 / Ил-2, широко использовался приобретенный на этой работе опыт и по аэродинамике штурмовиков, и по этилен-гликолевому охлаждению двигателя, и по размещению бомбового вооружения (23554).</w:t>
      </w:r>
    </w:p>
    <w:p w14:paraId="58B66C9C" w14:textId="77777777" w:rsidR="009674FE" w:rsidRPr="0044524F" w:rsidRDefault="009674FE" w:rsidP="009654CF">
      <w:pPr>
        <w:spacing w:after="0" w:line="240" w:lineRule="auto"/>
        <w:jc w:val="both"/>
        <w:rPr>
          <w:rFonts w:ascii="Times New Roman" w:hAnsi="Times New Roman"/>
          <w:color w:val="000000" w:themeColor="text1"/>
          <w:sz w:val="16"/>
          <w:szCs w:val="16"/>
        </w:rPr>
      </w:pPr>
    </w:p>
    <w:p w14:paraId="2B5F3F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провели войсковые испытания штурмовиков. По одной эскадрилье их вошло в состав 251, 252-й и 255-й авиабригад. При этом в одном отряде каждой эскадрильи пулеметное вооружение было некомплектным: крыльевые установки либо отсутствовали совсем, либо в них стояло по одному П В-1 вместо двух. Одновременно выпуск серийных Р-5Ш начался на заводе. Для штурмовиков химическое вооружение считалось обязательным. Оно было таким же, как и у обычных Р-5: четыре ВАП-4 или два ДАП-100. Пулеметы на крыле пристреливались по-разному: крайние на 600 м, а ближние на 400 м по высоте, по горизонтали - все на 1000 м веером (12034).</w:t>
      </w:r>
    </w:p>
    <w:p w14:paraId="001611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9AE84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конструкторский коллектив во главе с С. А. Кочеригиным создает легкий самолет-разведчик ЛР М-34 (взлетная мощность 750 л. с., номинальная - 650 л. с.).</w:t>
      </w:r>
    </w:p>
    <w:p w14:paraId="671E4C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Выполненный по классической схеме одномоторного двухместного полутороплана смешанной конструкции, в целом повторявшей схему Р-5 и с таким же вооружением, ЛР М-34, благодаря более мощному мотору, несколько лучшей аэродинамике, меньшим геометрическим размерам и полетной массе, имел лучшие летные данные не только по сравнению с по-ликарповским Р-5, но и по сравнению с некоторыми современными ему истребителями, например,с широко известным И-5.</w:t>
      </w:r>
    </w:p>
    <w:p w14:paraId="105EAB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полетной массе 2426 кг максимальная скорость полета ЛР у земли составила 271 км/ч, а на высоте 5000 м - 247 км/ч. Высоту 3000 м ЛР набирал за 7,3 минуты. Дальность полета - 700 км. Время виража - 17 с.</w:t>
      </w:r>
    </w:p>
    <w:p w14:paraId="1AD500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Обшивка передней части фюзеляжа - дюралюминевая, хвостовой полотно на очень легком дюралюминиевом каркасе.</w:t>
      </w:r>
    </w:p>
    <w:p w14:paraId="787161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Кабина летчика - открытая с откидным левым бортом для входа. Кабина летнаба была закрыта турельным экраном, вращаемым на 360°. На левом борту легкосбрасываемая дверь.</w:t>
      </w:r>
    </w:p>
    <w:p w14:paraId="30B826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Крылья деревянные. Оперение -дюралюминиевое с полотняной обшивкой. Стабилизатор с изменяемым в полете углом установки, двухлонжеронный.</w:t>
      </w:r>
    </w:p>
    <w:p w14:paraId="23BC2D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по схеме Р-5, но амортизация - масляно-воздушная. Колеса дисковые тормозные, что было ново в СССР.</w:t>
      </w:r>
    </w:p>
    <w:p w14:paraId="0518F2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Моторама - отъемная на четырех болтах. Радиатор выдвижной вниз, сотовый. Имелся и масляный радиатор.</w:t>
      </w:r>
    </w:p>
    <w:p w14:paraId="2911CF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Стрелковое вооружение разведчика состояло из одного синхронного пулемета ПВ-1 у летчика и одного оборонительного ШКАС на турели у летнаба. Нормальная бомбовая нагрузка - 200 кг (8х25 или 2х100 кг).</w:t>
      </w:r>
    </w:p>
    <w:p w14:paraId="2B5503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установки в 1934 г. на втором опытном экземпляре ЛР более мощного и высотного двигателя М-34Н с нагнетателем (взлетная мощность 835 л. с., номинальная мощность 752 л. с.) летные данные машины улучшились значительно.</w:t>
      </w:r>
    </w:p>
    <w:p w14:paraId="7780DC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полетной массе 2590 кгЛР М-34Н имел максимальную скорость у земли 282 км/ч, а на высоте 4000 м - 319 км/ ч. Время подъема на высоту 3000 м составило б мин. Время виража на высоте 1000 м - 17 с. Радиус действия на высоте 3000 м - 340 км. Длины разбега и пробега, соответственно, составили 210 и 250 м.</w:t>
      </w:r>
    </w:p>
    <w:p w14:paraId="2598A1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нормальной бомбовой нагрузкой (полетная масса 2800 кг) максимальная скорость самолета у земли снижалась до 273 км/ч, а на высоте 3700 м -до 303 км/ч.</w:t>
      </w:r>
    </w:p>
    <w:p w14:paraId="6B7874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Государственные испытания ЛР М-34Н прошел с высокой оценкой. Самолет вполне мог рассматриваться и в качестве легкого штурмовика-разведчика. Но в этом случае наступательное вооружение должно было быть усилено (9649).</w:t>
      </w:r>
    </w:p>
    <w:p w14:paraId="071C49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332D1D2" w14:textId="77777777" w:rsidR="002E2083" w:rsidRPr="0044524F" w:rsidRDefault="002E2083" w:rsidP="009654C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планом опытного самолето</w:t>
      </w:r>
      <w:r w:rsidRPr="0044524F">
        <w:rPr>
          <w:rFonts w:ascii="Times New Roman" w:hAnsi="Times New Roman"/>
          <w:color w:val="000000" w:themeColor="text1"/>
          <w:sz w:val="16"/>
          <w:szCs w:val="16"/>
        </w:rPr>
        <w:softHyphen/>
        <w:t>строения на 1934 г. предусматривалась постройка слабо бронированных легких штурмовиков ЛШ-1 (на базе И-16 М-22) и ЛШ-2 (на базе Ди-6РЦ) Для всесторонней оценки возмож</w:t>
      </w:r>
      <w:r w:rsidRPr="0044524F">
        <w:rPr>
          <w:rFonts w:ascii="Times New Roman" w:hAnsi="Times New Roman"/>
          <w:color w:val="000000" w:themeColor="text1"/>
          <w:sz w:val="16"/>
          <w:szCs w:val="16"/>
        </w:rPr>
        <w:softHyphen/>
        <w:t>ностей легкого скоростного самолета-штурмовика, а также для расширения области боевого применения истреби</w:t>
      </w:r>
      <w:r w:rsidRPr="0044524F">
        <w:rPr>
          <w:rFonts w:ascii="Times New Roman" w:hAnsi="Times New Roman"/>
          <w:color w:val="000000" w:themeColor="text1"/>
          <w:sz w:val="16"/>
          <w:szCs w:val="16"/>
        </w:rPr>
        <w:softHyphen/>
        <w:t>телей, находившихся в серийном про</w:t>
      </w:r>
      <w:r w:rsidRPr="0044524F">
        <w:rPr>
          <w:rFonts w:ascii="Times New Roman" w:hAnsi="Times New Roman"/>
          <w:color w:val="000000" w:themeColor="text1"/>
          <w:sz w:val="16"/>
          <w:szCs w:val="16"/>
        </w:rPr>
        <w:softHyphen/>
        <w:t>изводстве. Ранее в плане работ ЦКБ завода №39 стояла постройка штурмовиков ЛШ-4 (на базе истребителей И-4 и И-5) и ЛШ-5 (на основе разрабатываемых истребителей И-9, И-10 и И-11). Кроме этого, в план был включен проект создания легкого бронированного одноместного (в пере</w:t>
      </w:r>
      <w:r w:rsidRPr="0044524F">
        <w:rPr>
          <w:rFonts w:ascii="Times New Roman" w:hAnsi="Times New Roman"/>
          <w:color w:val="000000" w:themeColor="text1"/>
          <w:sz w:val="16"/>
          <w:szCs w:val="16"/>
        </w:rPr>
        <w:softHyphen/>
        <w:t>грузку двухместного) штурмовика ЛБШ-3 (развитие ТШ-2). Эти работы, параллельные работам по модифика</w:t>
      </w:r>
      <w:r w:rsidRPr="0044524F">
        <w:rPr>
          <w:rFonts w:ascii="Times New Roman" w:hAnsi="Times New Roman"/>
          <w:color w:val="000000" w:themeColor="text1"/>
          <w:sz w:val="16"/>
          <w:szCs w:val="16"/>
        </w:rPr>
        <w:softHyphen/>
        <w:t>ции серийных самолетов-разведчиков в легкие штурмовики и созданию “вой</w:t>
      </w:r>
      <w:r w:rsidRPr="0044524F">
        <w:rPr>
          <w:rFonts w:ascii="Times New Roman" w:hAnsi="Times New Roman"/>
          <w:color w:val="000000" w:themeColor="text1"/>
          <w:sz w:val="16"/>
          <w:szCs w:val="16"/>
        </w:rPr>
        <w:softHyphen/>
        <w:t>скового самолета” явились результатом того, что среди некоторой части специалистов ВВС получила рас</w:t>
      </w:r>
      <w:r w:rsidRPr="0044524F">
        <w:rPr>
          <w:rFonts w:ascii="Times New Roman" w:hAnsi="Times New Roman"/>
          <w:color w:val="000000" w:themeColor="text1"/>
          <w:sz w:val="16"/>
          <w:szCs w:val="16"/>
        </w:rPr>
        <w:softHyphen/>
        <w:t>пространение теория атаки наземных целей с пикирования или на большой скорости с горизонтального полета на низкой высоте. В этих условиях большая угловая скорость перемещения самолета резко уменьшает вероятность его поражения наземными средствами ПВО, следовательно, при постройке скоростного самолета-штурмовика его бронирование может быть незначитель</w:t>
      </w:r>
      <w:r w:rsidRPr="0044524F">
        <w:rPr>
          <w:rFonts w:ascii="Times New Roman" w:hAnsi="Times New Roman"/>
          <w:color w:val="000000" w:themeColor="text1"/>
          <w:sz w:val="16"/>
          <w:szCs w:val="16"/>
        </w:rPr>
        <w:softHyphen/>
        <w:t>ным. Очевидно, что наилучшими кан</w:t>
      </w:r>
      <w:r w:rsidRPr="0044524F">
        <w:rPr>
          <w:rFonts w:ascii="Times New Roman" w:hAnsi="Times New Roman"/>
          <w:color w:val="000000" w:themeColor="text1"/>
          <w:sz w:val="16"/>
          <w:szCs w:val="16"/>
        </w:rPr>
        <w:softHyphen/>
        <w:t>дидатами на эту роль были серийные самолеты-истребители. Выбор истребителей на роль легких скоростных штурмовиков обуславли</w:t>
      </w:r>
      <w:r w:rsidRPr="0044524F">
        <w:rPr>
          <w:rFonts w:ascii="Times New Roman" w:hAnsi="Times New Roman"/>
          <w:color w:val="000000" w:themeColor="text1"/>
          <w:sz w:val="16"/>
          <w:szCs w:val="16"/>
        </w:rPr>
        <w:softHyphen/>
        <w:t>вался еще и тем, что в этот период для самолетов-разведчиков использова</w:t>
      </w:r>
      <w:r w:rsidRPr="0044524F">
        <w:rPr>
          <w:rFonts w:ascii="Times New Roman" w:hAnsi="Times New Roman"/>
          <w:color w:val="000000" w:themeColor="text1"/>
          <w:sz w:val="16"/>
          <w:szCs w:val="16"/>
        </w:rPr>
        <w:softHyphen/>
        <w:t>лись, как правило, моторы жидкостно</w:t>
      </w:r>
      <w:r w:rsidRPr="0044524F">
        <w:rPr>
          <w:rFonts w:ascii="Times New Roman" w:hAnsi="Times New Roman"/>
          <w:color w:val="000000" w:themeColor="text1"/>
          <w:sz w:val="16"/>
          <w:szCs w:val="16"/>
        </w:rPr>
        <w:softHyphen/>
        <w:t>го охлаждения, тогда как для истреби</w:t>
      </w:r>
      <w:r w:rsidRPr="0044524F">
        <w:rPr>
          <w:rFonts w:ascii="Times New Roman" w:hAnsi="Times New Roman"/>
          <w:color w:val="000000" w:themeColor="text1"/>
          <w:sz w:val="16"/>
          <w:szCs w:val="16"/>
        </w:rPr>
        <w:softHyphen/>
        <w:t>телей - менее уязвимые в бою моторы воздушного охлаждения. Последнее, наряду с более высокими маневренны</w:t>
      </w:r>
      <w:r w:rsidRPr="0044524F">
        <w:rPr>
          <w:rFonts w:ascii="Times New Roman" w:hAnsi="Times New Roman"/>
          <w:color w:val="000000" w:themeColor="text1"/>
          <w:sz w:val="16"/>
          <w:szCs w:val="16"/>
        </w:rPr>
        <w:softHyphen/>
        <w:t>ми характеристиками, могло суще</w:t>
      </w:r>
      <w:r w:rsidRPr="0044524F">
        <w:rPr>
          <w:rFonts w:ascii="Times New Roman" w:hAnsi="Times New Roman"/>
          <w:color w:val="000000" w:themeColor="text1"/>
          <w:sz w:val="16"/>
          <w:szCs w:val="16"/>
        </w:rPr>
        <w:softHyphen/>
        <w:t>ственно повысить интегральную эф</w:t>
      </w:r>
      <w:r w:rsidRPr="0044524F">
        <w:rPr>
          <w:rFonts w:ascii="Times New Roman" w:hAnsi="Times New Roman"/>
          <w:color w:val="000000" w:themeColor="text1"/>
          <w:sz w:val="16"/>
          <w:szCs w:val="16"/>
        </w:rPr>
        <w:softHyphen/>
        <w:t>фективность боевого применения ис</w:t>
      </w:r>
      <w:r w:rsidRPr="0044524F">
        <w:rPr>
          <w:rFonts w:ascii="Times New Roman" w:hAnsi="Times New Roman"/>
          <w:color w:val="000000" w:themeColor="text1"/>
          <w:sz w:val="16"/>
          <w:szCs w:val="16"/>
        </w:rPr>
        <w:softHyphen/>
        <w:t>требителей-штурмовиков по наземным целям, чем самолетов-штурмовиков на базе разведчиков. Впоследствии бои в Испании, где для штурмовых действий одновременно использовались Р-5ССС, P-Z и одно</w:t>
      </w:r>
      <w:r w:rsidRPr="0044524F">
        <w:rPr>
          <w:rFonts w:ascii="Times New Roman" w:hAnsi="Times New Roman"/>
          <w:color w:val="000000" w:themeColor="text1"/>
          <w:sz w:val="16"/>
          <w:szCs w:val="16"/>
        </w:rPr>
        <w:softHyphen/>
        <w:t>местные истребители-бипланы И-15 и И-15бис, подтвердили правильность этой идеи (6269).</w:t>
      </w:r>
    </w:p>
    <w:p w14:paraId="2FA8609F" w14:textId="77777777" w:rsidR="002E2083" w:rsidRPr="0044524F" w:rsidRDefault="002E2083" w:rsidP="009654CF">
      <w:pPr>
        <w:widowControl w:val="0"/>
        <w:tabs>
          <w:tab w:val="left" w:pos="11199"/>
        </w:tabs>
        <w:autoSpaceDE w:val="0"/>
        <w:autoSpaceDN w:val="0"/>
        <w:adjustRightInd w:val="0"/>
        <w:spacing w:after="0" w:line="240" w:lineRule="auto"/>
        <w:jc w:val="both"/>
        <w:rPr>
          <w:rFonts w:ascii="Times New Roman" w:hAnsi="Times New Roman"/>
          <w:color w:val="000000" w:themeColor="text1"/>
          <w:sz w:val="16"/>
          <w:szCs w:val="16"/>
        </w:rPr>
      </w:pPr>
    </w:p>
    <w:p w14:paraId="698F8C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1933 г. на заводе № 39 на один И-ЗЕТ установили пушки АПК-4, доработанные инженером Легчаковым (их иногда именовали АПК-4Л). Магазины для 11 снарядов на каждый ствол размещались в крыле. Вес пушки уменьшился на 8 кг, надёжность перезаряжания повысилась. Управление ВВС распорядилось оснастить АПК-4Л пять истребителей, но сведений о выполнении этого приказа нет (12005).</w:t>
      </w:r>
    </w:p>
    <w:p w14:paraId="431B5F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C3B49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на ТБ-1 (АНТ-4) N 690 поставили 4 дополнительных бака и увеличили радиус до 800 км (2782,24).</w:t>
      </w:r>
    </w:p>
    <w:p w14:paraId="598E2D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E7775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на ТБ-1 испытали звено с 2хИ-5. Полеты с 2хИ-4 были выполнены еще в конце 1931 и весной 1932. В 1931 и 1932 ТБ-1 пилотировал А.И.Залевский, а И-4 - А.Ф.Анисимов и В.П.Чкалов (2782,24).</w:t>
      </w:r>
    </w:p>
    <w:p w14:paraId="07EC87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8177AB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в самолет-звено оборудова</w:t>
      </w:r>
      <w:r w:rsidRPr="0044524F">
        <w:rPr>
          <w:rFonts w:ascii="Times New Roman" w:hAnsi="Times New Roman"/>
          <w:color w:val="000000" w:themeColor="text1"/>
          <w:sz w:val="16"/>
          <w:szCs w:val="16"/>
        </w:rPr>
        <w:softHyphen/>
        <w:t>ли ТБ-1 № 678 + два И-4 №№ 1533 и 1583. Истребители оснастили новыми замками отцепки, нижние крылья не снимались. До</w:t>
      </w:r>
      <w:r w:rsidRPr="0044524F">
        <w:rPr>
          <w:rFonts w:ascii="Times New Roman" w:hAnsi="Times New Roman"/>
          <w:color w:val="000000" w:themeColor="text1"/>
          <w:sz w:val="16"/>
          <w:szCs w:val="16"/>
        </w:rPr>
        <w:softHyphen/>
        <w:t>полнительная амортстойка на ТБ-1 была выполнена по типу костыля ТБ-3. Войско</w:t>
      </w:r>
      <w:r w:rsidRPr="0044524F">
        <w:rPr>
          <w:rFonts w:ascii="Times New Roman" w:hAnsi="Times New Roman"/>
          <w:color w:val="000000" w:themeColor="text1"/>
          <w:sz w:val="16"/>
          <w:szCs w:val="16"/>
        </w:rPr>
        <w:softHyphen/>
        <w:t>вые испытания велись на Кричевицком аэ</w:t>
      </w:r>
      <w:r w:rsidRPr="0044524F">
        <w:rPr>
          <w:rFonts w:ascii="Times New Roman" w:hAnsi="Times New Roman"/>
          <w:color w:val="000000" w:themeColor="text1"/>
          <w:sz w:val="16"/>
          <w:szCs w:val="16"/>
        </w:rPr>
        <w:softHyphen/>
        <w:t>родроме в июне-июле 1933 г. Экипаж ТБ-1 состоял из командира корабля Стефанов-ского, второго пилота Вахмистрова, инже</w:t>
      </w:r>
      <w:r w:rsidRPr="0044524F">
        <w:rPr>
          <w:rFonts w:ascii="Times New Roman" w:hAnsi="Times New Roman"/>
          <w:color w:val="000000" w:themeColor="text1"/>
          <w:sz w:val="16"/>
          <w:szCs w:val="16"/>
        </w:rPr>
        <w:softHyphen/>
        <w:t>нера-монтажиста Морозова, борттехника Никитина. Левым истребителем управлял В.К. Коккинаки, правым — В.А. Степанчонок. Испытания вновь оценивались положи</w:t>
      </w:r>
      <w:r w:rsidRPr="0044524F">
        <w:rPr>
          <w:rFonts w:ascii="Times New Roman" w:hAnsi="Times New Roman"/>
          <w:color w:val="000000" w:themeColor="text1"/>
          <w:sz w:val="16"/>
          <w:szCs w:val="16"/>
        </w:rPr>
        <w:softHyphen/>
        <w:t>тельно. После произведенных доработок техника отрыва истребителей упростилась. Старт с аэродрома происходил на скорости 130 км/ч при полетной массе 9600 кг, время взлета составило 12 с. В полете самолет был устойчив, допускал виражи до 60°. За 5 полетов были оттренированы два новых пи</w:t>
      </w:r>
      <w:r w:rsidRPr="0044524F">
        <w:rPr>
          <w:rFonts w:ascii="Times New Roman" w:hAnsi="Times New Roman"/>
          <w:color w:val="000000" w:themeColor="text1"/>
          <w:sz w:val="16"/>
          <w:szCs w:val="16"/>
        </w:rPr>
        <w:softHyphen/>
        <w:t>лота на И-4 и 3 командира ТБ-1. 5 июля ко</w:t>
      </w:r>
      <w:r w:rsidRPr="0044524F">
        <w:rPr>
          <w:rFonts w:ascii="Times New Roman" w:hAnsi="Times New Roman"/>
          <w:color w:val="000000" w:themeColor="text1"/>
          <w:sz w:val="16"/>
          <w:szCs w:val="16"/>
        </w:rPr>
        <w:softHyphen/>
        <w:t>мандир авиабригады НИИ ВВС А. Залев-ский подписал следующее заключение: «Самолет 3-1 с вышеуказанными переделками вполне годен к эксплуатации в строе</w:t>
      </w:r>
      <w:r w:rsidRPr="0044524F">
        <w:rPr>
          <w:rFonts w:ascii="Times New Roman" w:hAnsi="Times New Roman"/>
          <w:color w:val="000000" w:themeColor="text1"/>
          <w:sz w:val="16"/>
          <w:szCs w:val="16"/>
        </w:rPr>
        <w:softHyphen/>
        <w:t>вых частях ВВС РККА».</w:t>
      </w:r>
    </w:p>
    <w:p w14:paraId="57CC8FC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Очевидно, к этому периоду относится и воспоминание Стефановского: «В процессе доработок меня назначили командиром «цирка Вахмистрова» — так наши летчики с чьей-то легкой руки стали величать самолет-звено. В этом названии было и восхищение созданной Владимиром Сергеевичем бое</w:t>
      </w:r>
      <w:r w:rsidRPr="0044524F">
        <w:rPr>
          <w:rFonts w:ascii="Times New Roman" w:hAnsi="Times New Roman"/>
          <w:color w:val="000000" w:themeColor="text1"/>
          <w:sz w:val="16"/>
          <w:szCs w:val="16"/>
        </w:rPr>
        <w:softHyphen/>
        <w:t>вой воздушной «единицей в трех лицах», и некоторая толика юмора. Полет самолета-звена и впрямь напоминал что-то вроде цир</w:t>
      </w:r>
      <w:r w:rsidRPr="0044524F">
        <w:rPr>
          <w:rFonts w:ascii="Times New Roman" w:hAnsi="Times New Roman"/>
          <w:color w:val="000000" w:themeColor="text1"/>
          <w:sz w:val="16"/>
          <w:szCs w:val="16"/>
        </w:rPr>
        <w:softHyphen/>
        <w:t>кового аттракциона... Вспоминается такой случай. Задание выполнялось обычное — от</w:t>
      </w:r>
      <w:r w:rsidRPr="0044524F">
        <w:rPr>
          <w:rFonts w:ascii="Times New Roman" w:hAnsi="Times New Roman"/>
          <w:color w:val="000000" w:themeColor="text1"/>
          <w:sz w:val="16"/>
          <w:szCs w:val="16"/>
        </w:rPr>
        <w:softHyphen/>
        <w:t>рабатывалась техника отрыва истребителей от бомбардировщика. ТБ-1 пилотировал я. Вторым пилотом был Михаил Александро</w:t>
      </w:r>
      <w:r w:rsidRPr="0044524F">
        <w:rPr>
          <w:rFonts w:ascii="Times New Roman" w:hAnsi="Times New Roman"/>
          <w:color w:val="000000" w:themeColor="text1"/>
          <w:sz w:val="16"/>
          <w:szCs w:val="16"/>
        </w:rPr>
        <w:softHyphen/>
        <w:t>вич Нюхтиков. На истребителях находились В. К. Коккинаки и И.Ф. Гродзь.</w:t>
      </w:r>
    </w:p>
    <w:p w14:paraId="5DB5C84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Летим. Пришли в заданный район. Даю команду своим «седокам» — отцепляйтесь! Самолет Гродзя забалансировал на перед</w:t>
      </w:r>
      <w:r w:rsidRPr="0044524F">
        <w:rPr>
          <w:rFonts w:ascii="Times New Roman" w:hAnsi="Times New Roman"/>
          <w:color w:val="000000" w:themeColor="text1"/>
          <w:sz w:val="16"/>
          <w:szCs w:val="16"/>
        </w:rPr>
        <w:softHyphen/>
        <w:t>них креплениях. А почему Коккинаки дерга</w:t>
      </w:r>
      <w:r w:rsidRPr="0044524F">
        <w:rPr>
          <w:rFonts w:ascii="Times New Roman" w:hAnsi="Times New Roman"/>
          <w:color w:val="000000" w:themeColor="text1"/>
          <w:sz w:val="16"/>
          <w:szCs w:val="16"/>
        </w:rPr>
        <w:softHyphen/>
        <w:t>ется в кабине и, словно сумасшедший, шу</w:t>
      </w:r>
      <w:r w:rsidRPr="0044524F">
        <w:rPr>
          <w:rFonts w:ascii="Times New Roman" w:hAnsi="Times New Roman"/>
          <w:color w:val="000000" w:themeColor="text1"/>
          <w:sz w:val="16"/>
          <w:szCs w:val="16"/>
        </w:rPr>
        <w:softHyphen/>
        <w:t>рует рулями? Увлекся я разгадыванием его «манипуляций», а про Гродзя забыл. Он же по-прежнему балансирует, ждет сигнала на отрыв.</w:t>
      </w:r>
    </w:p>
    <w:p w14:paraId="21D1EC1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Коккинаки вскоре все стало ясно: при</w:t>
      </w:r>
      <w:r w:rsidRPr="0044524F">
        <w:rPr>
          <w:rFonts w:ascii="Times New Roman" w:hAnsi="Times New Roman"/>
          <w:color w:val="000000" w:themeColor="text1"/>
          <w:sz w:val="16"/>
          <w:szCs w:val="16"/>
        </w:rPr>
        <w:softHyphen/>
        <w:t>няв команду отсоединиться, он, со всей его медвежьей силой, рванул рукоятку расцеп</w:t>
      </w:r>
      <w:r w:rsidRPr="0044524F">
        <w:rPr>
          <w:rFonts w:ascii="Times New Roman" w:hAnsi="Times New Roman"/>
          <w:color w:val="000000" w:themeColor="text1"/>
          <w:sz w:val="16"/>
          <w:szCs w:val="16"/>
        </w:rPr>
        <w:softHyphen/>
        <w:t>ления и... оборвал трос хвостового замка. А теперь вот летчик создает рулями пере</w:t>
      </w:r>
      <w:r w:rsidRPr="0044524F">
        <w:rPr>
          <w:rFonts w:ascii="Times New Roman" w:hAnsi="Times New Roman"/>
          <w:color w:val="000000" w:themeColor="text1"/>
          <w:sz w:val="16"/>
          <w:szCs w:val="16"/>
        </w:rPr>
        <w:softHyphen/>
        <w:t>грузки, чтобы оторвать замок, удерживаю</w:t>
      </w:r>
      <w:r w:rsidRPr="0044524F">
        <w:rPr>
          <w:rFonts w:ascii="Times New Roman" w:hAnsi="Times New Roman"/>
          <w:color w:val="000000" w:themeColor="text1"/>
          <w:sz w:val="16"/>
          <w:szCs w:val="16"/>
        </w:rPr>
        <w:softHyphen/>
        <w:t>щий хвост истребителя, и любой ценой от</w:t>
      </w:r>
      <w:r w:rsidRPr="0044524F">
        <w:rPr>
          <w:rFonts w:ascii="Times New Roman" w:hAnsi="Times New Roman"/>
          <w:color w:val="000000" w:themeColor="text1"/>
          <w:sz w:val="16"/>
          <w:szCs w:val="16"/>
        </w:rPr>
        <w:softHyphen/>
        <w:t>делиться от нас. Но не тут-то было. Истре</w:t>
      </w:r>
      <w:r w:rsidRPr="0044524F">
        <w:rPr>
          <w:rFonts w:ascii="Times New Roman" w:hAnsi="Times New Roman"/>
          <w:color w:val="000000" w:themeColor="text1"/>
          <w:sz w:val="16"/>
          <w:szCs w:val="16"/>
        </w:rPr>
        <w:softHyphen/>
        <w:t>битель, как припаянный, сидит на нашей плоскости. Катастрофа кажется неизбежной. Бортмеханик (жаль, забыл его фами</w:t>
      </w:r>
      <w:r w:rsidRPr="0044524F">
        <w:rPr>
          <w:rFonts w:ascii="Times New Roman" w:hAnsi="Times New Roman"/>
          <w:color w:val="000000" w:themeColor="text1"/>
          <w:sz w:val="16"/>
          <w:szCs w:val="16"/>
        </w:rPr>
        <w:softHyphen/>
        <w:t>лию) рвется на подвиг: хочет влезть на кры</w:t>
      </w:r>
      <w:r w:rsidRPr="0044524F">
        <w:rPr>
          <w:rFonts w:ascii="Times New Roman" w:hAnsi="Times New Roman"/>
          <w:color w:val="000000" w:themeColor="text1"/>
          <w:sz w:val="16"/>
          <w:szCs w:val="16"/>
        </w:rPr>
        <w:softHyphen/>
        <w:t>ло, по-пластунски добраться до хвоста ист</w:t>
      </w:r>
      <w:r w:rsidRPr="0044524F">
        <w:rPr>
          <w:rFonts w:ascii="Times New Roman" w:hAnsi="Times New Roman"/>
          <w:color w:val="000000" w:themeColor="text1"/>
          <w:sz w:val="16"/>
          <w:szCs w:val="16"/>
        </w:rPr>
        <w:softHyphen/>
        <w:t>ребителя и открыть замок. Запрещаю: по</w:t>
      </w:r>
      <w:r w:rsidRPr="0044524F">
        <w:rPr>
          <w:rFonts w:ascii="Times New Roman" w:hAnsi="Times New Roman"/>
          <w:color w:val="000000" w:themeColor="text1"/>
          <w:sz w:val="16"/>
          <w:szCs w:val="16"/>
        </w:rPr>
        <w:softHyphen/>
        <w:t>ток воздуха мгновенно сорвет его с крыла. Второй пилот Миша Нюхтиков, мой одно</w:t>
      </w:r>
      <w:r w:rsidRPr="0044524F">
        <w:rPr>
          <w:rFonts w:ascii="Times New Roman" w:hAnsi="Times New Roman"/>
          <w:color w:val="000000" w:themeColor="text1"/>
          <w:sz w:val="16"/>
          <w:szCs w:val="16"/>
        </w:rPr>
        <w:softHyphen/>
        <w:t>кашник по качинской школе, предлагает стрелять из нагана, чтобы пулей перебить злосчастный замок. Тоже мне снайпер на</w:t>
      </w:r>
      <w:r w:rsidRPr="0044524F">
        <w:rPr>
          <w:rFonts w:ascii="Times New Roman" w:hAnsi="Times New Roman"/>
          <w:color w:val="000000" w:themeColor="text1"/>
          <w:sz w:val="16"/>
          <w:szCs w:val="16"/>
        </w:rPr>
        <w:softHyphen/>
        <w:t>шелся! Еще в Коккинаки угодит.</w:t>
      </w:r>
    </w:p>
    <w:p w14:paraId="0D5C12F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звено летит. Гродзь, не получив пос</w:t>
      </w:r>
      <w:r w:rsidRPr="0044524F">
        <w:rPr>
          <w:rFonts w:ascii="Times New Roman" w:hAnsi="Times New Roman"/>
          <w:color w:val="000000" w:themeColor="text1"/>
          <w:sz w:val="16"/>
          <w:szCs w:val="16"/>
        </w:rPr>
        <w:softHyphen/>
        <w:t>ледней команды и ничего не подозревая о случившемся, продолжает балансировать. Отпусти его — станет еще хуже: с одним истребителем на плоскости ни за что бла</w:t>
      </w:r>
      <w:r w:rsidRPr="0044524F">
        <w:rPr>
          <w:rFonts w:ascii="Times New Roman" w:hAnsi="Times New Roman"/>
          <w:color w:val="000000" w:themeColor="text1"/>
          <w:sz w:val="16"/>
          <w:szCs w:val="16"/>
        </w:rPr>
        <w:softHyphen/>
        <w:t>гополучно не сядешь. Да и поломкой, пожа</w:t>
      </w:r>
      <w:r w:rsidRPr="0044524F">
        <w:rPr>
          <w:rFonts w:ascii="Times New Roman" w:hAnsi="Times New Roman"/>
          <w:color w:val="000000" w:themeColor="text1"/>
          <w:sz w:val="16"/>
          <w:szCs w:val="16"/>
        </w:rPr>
        <w:softHyphen/>
        <w:t>луй, не отделаешься. Лихорадочно работа</w:t>
      </w:r>
      <w:r w:rsidRPr="0044524F">
        <w:rPr>
          <w:rFonts w:ascii="Times New Roman" w:hAnsi="Times New Roman"/>
          <w:color w:val="000000" w:themeColor="text1"/>
          <w:sz w:val="16"/>
          <w:szCs w:val="16"/>
        </w:rPr>
        <w:softHyphen/>
        <w:t>ет мозг. Нервы напряжены до предела. Что же предпринять? Правда, горючего еще много. Надо держаться поспокойнее, все хорошенько обдумать. Время еще есть.</w:t>
      </w:r>
    </w:p>
    <w:p w14:paraId="204F6B7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тут пришла наконец спасительная мысль. Правда, такого решения еще никто не принимал — не было подобного приме</w:t>
      </w:r>
      <w:r w:rsidRPr="0044524F">
        <w:rPr>
          <w:rFonts w:ascii="Times New Roman" w:hAnsi="Times New Roman"/>
          <w:color w:val="000000" w:themeColor="text1"/>
          <w:sz w:val="16"/>
          <w:szCs w:val="16"/>
        </w:rPr>
        <w:softHyphen/>
        <w:t>ра... Мысль воплотилась в окончательное решение: — Будем садиться втроем, — со</w:t>
      </w:r>
      <w:r w:rsidRPr="0044524F">
        <w:rPr>
          <w:rFonts w:ascii="Times New Roman" w:hAnsi="Times New Roman"/>
          <w:color w:val="000000" w:themeColor="text1"/>
          <w:sz w:val="16"/>
          <w:szCs w:val="16"/>
        </w:rPr>
        <w:softHyphen/>
        <w:t>общаю экипажу. — Все по местам.</w:t>
      </w:r>
    </w:p>
    <w:p w14:paraId="21D970E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Теперь и Иустин Феликсович Гродзь ра</w:t>
      </w:r>
      <w:r w:rsidRPr="0044524F">
        <w:rPr>
          <w:rFonts w:ascii="Times New Roman" w:hAnsi="Times New Roman"/>
          <w:color w:val="000000" w:themeColor="text1"/>
          <w:sz w:val="16"/>
          <w:szCs w:val="16"/>
        </w:rPr>
        <w:softHyphen/>
        <w:t>зобрался в случившемся. Даю ему понять — что бы ни случилось, держись до конца: са</w:t>
      </w:r>
      <w:r w:rsidRPr="0044524F">
        <w:rPr>
          <w:rFonts w:ascii="Times New Roman" w:hAnsi="Times New Roman"/>
          <w:color w:val="000000" w:themeColor="text1"/>
          <w:sz w:val="16"/>
          <w:szCs w:val="16"/>
        </w:rPr>
        <w:softHyphen/>
        <w:t>диться будем вместе. Он кивает в ответ: по</w:t>
      </w:r>
      <w:r w:rsidRPr="0044524F">
        <w:rPr>
          <w:rFonts w:ascii="Times New Roman" w:hAnsi="Times New Roman"/>
          <w:color w:val="000000" w:themeColor="text1"/>
          <w:sz w:val="16"/>
          <w:szCs w:val="16"/>
        </w:rPr>
        <w:softHyphen/>
        <w:t>нял. Снижаемся. Все идет хорошо. Трево</w:t>
      </w:r>
      <w:r w:rsidRPr="0044524F">
        <w:rPr>
          <w:rFonts w:ascii="Times New Roman" w:hAnsi="Times New Roman"/>
          <w:color w:val="000000" w:themeColor="text1"/>
          <w:sz w:val="16"/>
          <w:szCs w:val="16"/>
        </w:rPr>
        <w:softHyphen/>
        <w:t>жит одно: выдержит ли шасси ТВ-1 посадку с таким весом?</w:t>
      </w:r>
    </w:p>
    <w:p w14:paraId="2DCCC66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Плавное касание. Самолет бежит по полосе. Шасси не подвело! Вдруг — удар, треск! Неужели машина ломается? Да нет! Вот она и скорость потеряла, остановилась. И тут возникло острое беспокойство за Иустина — не сорвался ли он с плоскос</w:t>
      </w:r>
      <w:r w:rsidRPr="0044524F">
        <w:rPr>
          <w:rFonts w:ascii="Times New Roman" w:hAnsi="Times New Roman"/>
          <w:color w:val="000000" w:themeColor="text1"/>
          <w:sz w:val="16"/>
          <w:szCs w:val="16"/>
        </w:rPr>
        <w:softHyphen/>
        <w:t>ти? Глянул в его сторону и обмер. Истреби</w:t>
      </w:r>
      <w:r w:rsidRPr="0044524F">
        <w:rPr>
          <w:rFonts w:ascii="Times New Roman" w:hAnsi="Times New Roman"/>
          <w:color w:val="000000" w:themeColor="text1"/>
          <w:sz w:val="16"/>
          <w:szCs w:val="16"/>
        </w:rPr>
        <w:softHyphen/>
        <w:t>тель повис на задней треноге крепления и раскачивается. Вверху в такт ему болтает</w:t>
      </w:r>
      <w:r w:rsidRPr="0044524F">
        <w:rPr>
          <w:rFonts w:ascii="Times New Roman" w:hAnsi="Times New Roman"/>
          <w:color w:val="000000" w:themeColor="text1"/>
          <w:sz w:val="16"/>
          <w:szCs w:val="16"/>
        </w:rPr>
        <w:softHyphen/>
        <w:t>ся летчик. Одним словом — цирк Вахмист</w:t>
      </w:r>
      <w:r w:rsidRPr="0044524F">
        <w:rPr>
          <w:rFonts w:ascii="Times New Roman" w:hAnsi="Times New Roman"/>
          <w:color w:val="000000" w:themeColor="text1"/>
          <w:sz w:val="16"/>
          <w:szCs w:val="16"/>
        </w:rPr>
        <w:softHyphen/>
        <w:t>рова.</w:t>
      </w:r>
    </w:p>
    <w:p w14:paraId="23E5172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первую очередь освободили Гродзя. Обняли, расцеловали. Как-никак он больше всех натерпелся страху. А могло быть и ху</w:t>
      </w:r>
      <w:r w:rsidRPr="0044524F">
        <w:rPr>
          <w:rFonts w:ascii="Times New Roman" w:hAnsi="Times New Roman"/>
          <w:color w:val="000000" w:themeColor="text1"/>
          <w:sz w:val="16"/>
          <w:szCs w:val="16"/>
        </w:rPr>
        <w:softHyphen/>
        <w:t>же. Дело в том, что на пробеге, когда руль глубины из-за потери скорости потерял эф</w:t>
      </w:r>
      <w:r w:rsidRPr="0044524F">
        <w:rPr>
          <w:rFonts w:ascii="Times New Roman" w:hAnsi="Times New Roman"/>
          <w:color w:val="000000" w:themeColor="text1"/>
          <w:sz w:val="16"/>
          <w:szCs w:val="16"/>
        </w:rPr>
        <w:softHyphen/>
        <w:t>фективность, истребитель, хвост которого не был закреплен, начал сползать с плос</w:t>
      </w:r>
      <w:r w:rsidRPr="0044524F">
        <w:rPr>
          <w:rFonts w:ascii="Times New Roman" w:hAnsi="Times New Roman"/>
          <w:color w:val="000000" w:themeColor="text1"/>
          <w:sz w:val="16"/>
          <w:szCs w:val="16"/>
        </w:rPr>
        <w:softHyphen/>
        <w:t>кости бомбардировщика. Задняя ферма крепления, наклонившись под углом трид</w:t>
      </w:r>
      <w:r w:rsidRPr="0044524F">
        <w:rPr>
          <w:rFonts w:ascii="Times New Roman" w:hAnsi="Times New Roman"/>
          <w:color w:val="000000" w:themeColor="text1"/>
          <w:sz w:val="16"/>
          <w:szCs w:val="16"/>
        </w:rPr>
        <w:softHyphen/>
        <w:t>цать градусов, прорвала фюзеляж И-4 и уперлась в спинку сиденья летчика. Нос истребителя неестественно задрался. Будь при посадке толчок посильнее, самолет Гродзя сорвался бы» (11286).</w:t>
      </w:r>
    </w:p>
    <w:p w14:paraId="26B5AE3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2E99A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нашли и другие способы увеличения радиуса действия ТБ-3. Во-первых, начали летать на обедненных смесях (много воздуха - мало топлива). При правильной регулировке карбюраторов это давало прибавку к дальности примерно в 15%. Во-вторых, попробовали перейти со штатной бензин-бензольной смеси на этилированный бензин. Бензин-бензольную смесь применяли потому, что М-17 с его высокой степенью сжатия на чистом отечественном низкосортном бензине страдал от детонации. Бензол повышал октановое число, показывающее устойчивость против детонации, но снижал тепловую эффективность топлива. В этилированном бензине антидетонационная присадка - тетраэтилсвинец содержится в очень небольшом количестве. Поэтому такого бензина для нормальной работы двигателя нужно меньше. При том же запасе горючего дальность увеличивалась примерно на 20%.</w:t>
      </w:r>
    </w:p>
    <w:p w14:paraId="76EBFD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бомбардировщиках выпуска 1933 г. добились достаточно высокой надежности как планера, так и мотоустановки. При этом от серии к серии вес пустого самолета неуклонно снижался. Если для первых машин он был около 12 000 кг, то к машине № 22301 дошли до уровня 11 350 кг. В годовом отчете НИИ ВВС удовлетворенно записано: "Самолет ТБЗ-4М17 был доведен по своим данным полностью удовлетворяющим поставленной задаче". Немного коряво, но вполне справедливо. В результате совместных усилий коллектива конструкторов, серийных заводов и ВВС страна получила грозное современное оружие, с наличием которого не могли не считаться потенциальные противники.</w:t>
      </w:r>
    </w:p>
    <w:p w14:paraId="5672BC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1933 г. завод № 22 выпустил 270 ТБ-3, еще 37 добавил завод № 39. Согласно постановлению Реввоенсовета, с 1 января 1934 г. приемку самолетов с моторами М-17 следовало прекратить - предполагался переход на новые двигатели М-34. На самом деле их еще некоторое время продолжали строить из-за нехватки новых двигателей. При этом часть машин выпуска 1934 г. получила усовершенствованные М-17Ф (500/715 л.е.) (12024).</w:t>
      </w:r>
    </w:p>
    <w:p w14:paraId="0AA881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D81BB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нашли и другие способы увеличения радиуса действия ТБ-3. Во-первых, начали летать на обедненных смесях (много воздуха - мало топлива). При правильной регулировке карбюраторов это давало прибавку к дальности примерно в 15%. Во-вторых, попробовали перейти со штатной бензин-бензольной смеси на этилированный бензин. Бензин-бензольную смесь применяли потому, что М-17 с его высокой степенью сжатия на чистом отечественном низкосортном бензине страдал от детонации. Бензол повышал октановое число, показывающее устойчивость против детонации, но снижал тепловую эффективность топлива. В этилированном бензине антидетонационная присадка - тетраэтилсвинец, - содержится в очень небольшом количестве. Поэтому такого бензина для нормальной работы двигателя нужно меньше. При том же запасе горючего дальность увеличивалась примерно на 20%.</w:t>
      </w:r>
    </w:p>
    <w:p w14:paraId="74F2D3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июне 1933 г. два самолета, М.М. Громова и А.Б. Юмашева, за счет применения обедненной смеси и этилированного бензина показали дальность 3150 км. Все члены экипажей получили благодарность Реввоенсовета и по месячному окладу. Два месяца спустя Юмашев поднял в воздух модифицированный облегченный ТБ-3. На нем полностью убрали наружную подвеску бомб. Вместо этого в просторном фюзеляже установили дополнительные кассеты Дер-9. Всего самолет теперь мог нести внутри 36 бомб по 100 кг. За счет демонтажа бомбодержателей под фюзеляжем и крылом, кое-какого оборудования и облегчения самой конструкции выиграли 518 кг. Еще более 100 кг получили за счет уменьшения запаса масла в полтора раза (это внедрили и в серии). Но суммарный вес с бомбами дошел до 20 т. Добавочный бензин и улучшение аэродинамики позволили еще увеличить дальность. 8 августа 1933 г. экипаж Юмашева совершил беспосадочный перелет Щелково - Евпатория - Щелково, сбросив 2500 кг бомб на полигоне в Крыму.</w:t>
      </w:r>
    </w:p>
    <w:p w14:paraId="22B9B1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бомбардировщиках выпуска 1933 г. добились достаточно высокой надежности как планера, так и мотоустановки. При этом от серии к серии вес пустого самолета неуклонно снижался. Если для первых машин он был около 12 000 кг, то к машине № 22301 дошли до уровня 11 350 кг. В годовом отчете НИИ ВВС удовлетворенно записано: "Самолет ТБЗ-4М17 был доведен по своим данным полностью удовлетворяющим поставленной задаче". Немного коряво, но вполне справедливо. В результате совместных усилий коллектива конструкторов, серийных заводов и ВВС страна получила грозное современное оружие, с наличием которого не могли не считаться потенциальные противники.</w:t>
      </w:r>
    </w:p>
    <w:p w14:paraId="48CCD3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1933 г. завод № 22 выпустил 270 ТБ-3, еще 37 добавил завод № 39. Согласно постановлению Реввоенсовета, с 1 января 1934 г. приемку самолетов с моторами М-17 следовало прекратить - предполагался переход на новые двигатели М-34. На самом деле их еще некоторое время продолжали строить из-за нехватки новых двигателей. При этом часть машин выпуска 1934 г. получила усовершенствованные М-17Ф (500/715 л.с.) (12036).</w:t>
      </w:r>
    </w:p>
    <w:p w14:paraId="74E405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FA056CD" w14:textId="77777777" w:rsidR="003353B3" w:rsidRPr="0044524F" w:rsidRDefault="003353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впервые обозначение А-10 использовали при про</w:t>
      </w:r>
      <w:r w:rsidRPr="0044524F">
        <w:rPr>
          <w:rFonts w:ascii="Times New Roman" w:hAnsi="Times New Roman"/>
          <w:color w:val="000000" w:themeColor="text1"/>
          <w:sz w:val="16"/>
          <w:szCs w:val="16"/>
        </w:rPr>
        <w:softHyphen/>
        <w:t>ектировании шестиместного пассажирского автожира под двигатель М-22 мощностью 480 л.с. На стадии разработ</w:t>
      </w:r>
      <w:r w:rsidRPr="0044524F">
        <w:rPr>
          <w:rFonts w:ascii="Times New Roman" w:hAnsi="Times New Roman"/>
          <w:color w:val="000000" w:themeColor="text1"/>
          <w:sz w:val="16"/>
          <w:szCs w:val="16"/>
        </w:rPr>
        <w:softHyphen/>
        <w:t>ки эскизного проекта общее руководство работами осуще</w:t>
      </w:r>
      <w:r w:rsidRPr="0044524F">
        <w:rPr>
          <w:rFonts w:ascii="Times New Roman" w:hAnsi="Times New Roman"/>
          <w:color w:val="000000" w:themeColor="text1"/>
          <w:sz w:val="16"/>
          <w:szCs w:val="16"/>
        </w:rPr>
        <w:softHyphen/>
        <w:t>ствлял Н.К. Скржинский. Сама идея создать такой много</w:t>
      </w:r>
      <w:r w:rsidRPr="0044524F">
        <w:rPr>
          <w:rFonts w:ascii="Times New Roman" w:hAnsi="Times New Roman"/>
          <w:color w:val="000000" w:themeColor="text1"/>
          <w:sz w:val="16"/>
          <w:szCs w:val="16"/>
        </w:rPr>
        <w:softHyphen/>
        <w:t>местный аппарат возникла сразу после начала испытаний автожира А-4. Настроение конструкторов тогда было впол</w:t>
      </w:r>
      <w:r w:rsidRPr="0044524F">
        <w:rPr>
          <w:rFonts w:ascii="Times New Roman" w:hAnsi="Times New Roman"/>
          <w:color w:val="000000" w:themeColor="text1"/>
          <w:sz w:val="16"/>
          <w:szCs w:val="16"/>
        </w:rPr>
        <w:softHyphen/>
        <w:t>не оптимистичным, поэтому они смело замахнулись на крупную и тяжелую машину. А-10 создавался как автожир крылатого типа с трехлопастным ротором, раскручиваемым перед стартом. Однако уже в ходе проектирования возник</w:t>
      </w:r>
      <w:r w:rsidRPr="0044524F">
        <w:rPr>
          <w:rFonts w:ascii="Times New Roman" w:hAnsi="Times New Roman"/>
          <w:color w:val="000000" w:themeColor="text1"/>
          <w:sz w:val="16"/>
          <w:szCs w:val="16"/>
        </w:rPr>
        <w:softHyphen/>
        <w:t xml:space="preserve">ло достаточное </w:t>
      </w:r>
      <w:r w:rsidRPr="0044524F">
        <w:rPr>
          <w:rFonts w:ascii="Times New Roman" w:hAnsi="Times New Roman"/>
          <w:color w:val="000000" w:themeColor="text1"/>
          <w:sz w:val="16"/>
          <w:szCs w:val="16"/>
        </w:rPr>
        <w:lastRenderedPageBreak/>
        <w:t>количество проблем, поставивших под сомнение успех задуманного. С одной стороны, испытания и доводка А-4 проходили не столь успешно, с другой - са</w:t>
      </w:r>
      <w:r w:rsidRPr="0044524F">
        <w:rPr>
          <w:rFonts w:ascii="Times New Roman" w:hAnsi="Times New Roman"/>
          <w:color w:val="000000" w:themeColor="text1"/>
          <w:sz w:val="16"/>
          <w:szCs w:val="16"/>
        </w:rPr>
        <w:softHyphen/>
        <w:t>ма выбранная схема представлялась устаревшей - на очереди стояли автожиры бескрылого типа с непосредст</w:t>
      </w:r>
      <w:r w:rsidRPr="0044524F">
        <w:rPr>
          <w:rFonts w:ascii="Times New Roman" w:hAnsi="Times New Roman"/>
          <w:color w:val="000000" w:themeColor="text1"/>
          <w:sz w:val="16"/>
          <w:szCs w:val="16"/>
        </w:rPr>
        <w:softHyphen/>
        <w:t>венным управлением втулкой ротора. В результате, реа</w:t>
      </w:r>
      <w:r w:rsidRPr="0044524F">
        <w:rPr>
          <w:rFonts w:ascii="Times New Roman" w:hAnsi="Times New Roman"/>
          <w:color w:val="000000" w:themeColor="text1"/>
          <w:sz w:val="16"/>
          <w:szCs w:val="16"/>
        </w:rPr>
        <w:softHyphen/>
        <w:t>лизацию А-10 признали нецелесообразной и его разработ</w:t>
      </w:r>
      <w:r w:rsidRPr="0044524F">
        <w:rPr>
          <w:rFonts w:ascii="Times New Roman" w:hAnsi="Times New Roman"/>
          <w:color w:val="000000" w:themeColor="text1"/>
          <w:sz w:val="16"/>
          <w:szCs w:val="16"/>
        </w:rPr>
        <w:softHyphen/>
        <w:t>ку прекратили.</w:t>
      </w:r>
    </w:p>
    <w:p w14:paraId="252EF15B" w14:textId="77777777" w:rsidR="003353B3" w:rsidRPr="0044524F" w:rsidRDefault="003353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Вторично обозначение А-10 использовали в 1937 г. при проектировании небольшого многоцелевого автожира, в котором предполагалось реализовать весь предыдущий на</w:t>
      </w:r>
      <w:r w:rsidRPr="0044524F">
        <w:rPr>
          <w:rFonts w:ascii="Times New Roman" w:hAnsi="Times New Roman"/>
          <w:color w:val="000000" w:themeColor="text1"/>
          <w:sz w:val="16"/>
          <w:szCs w:val="16"/>
        </w:rPr>
        <w:softHyphen/>
        <w:t>копленный опыт. Этот А-10 создавался как бескрылый автожир с непосредственным управлением несущим рото</w:t>
      </w:r>
      <w:r w:rsidRPr="0044524F">
        <w:rPr>
          <w:rFonts w:ascii="Times New Roman" w:hAnsi="Times New Roman"/>
          <w:color w:val="000000" w:themeColor="text1"/>
          <w:sz w:val="16"/>
          <w:szCs w:val="16"/>
        </w:rPr>
        <w:softHyphen/>
        <w:t>ром, способным осуществлять взлет без разбега, т.е. «прыгающий автожир». Он представлял собой двухместный аппарат с трехлопастным ротором, предназначался для разведки и связи. Первоначально создавался под двигатель М-11 по проекту В.А. Кузнецова. Позднее было раз</w:t>
      </w:r>
      <w:r w:rsidRPr="0044524F">
        <w:rPr>
          <w:rFonts w:ascii="Times New Roman" w:hAnsi="Times New Roman"/>
          <w:color w:val="000000" w:themeColor="text1"/>
          <w:sz w:val="16"/>
          <w:szCs w:val="16"/>
        </w:rPr>
        <w:softHyphen/>
        <w:t>работано еще несколько проектных вариантов с двигате</w:t>
      </w:r>
      <w:r w:rsidRPr="0044524F">
        <w:rPr>
          <w:rFonts w:ascii="Times New Roman" w:hAnsi="Times New Roman"/>
          <w:color w:val="000000" w:themeColor="text1"/>
          <w:sz w:val="16"/>
          <w:szCs w:val="16"/>
        </w:rPr>
        <w:softHyphen/>
        <w:t>лем МВ-4 (Рено «Бенгали») мощностью 140 л.с. Автором этих проектов являлся Н.К. Скржинский (20361).</w:t>
      </w:r>
    </w:p>
    <w:p w14:paraId="14EE05B4" w14:textId="77777777" w:rsidR="003353B3" w:rsidRPr="0044524F" w:rsidRDefault="003353B3" w:rsidP="009654CF">
      <w:pPr>
        <w:shd w:val="clear" w:color="auto" w:fill="FFFFFF"/>
        <w:spacing w:after="0" w:line="240" w:lineRule="auto"/>
        <w:jc w:val="both"/>
        <w:rPr>
          <w:rFonts w:ascii="Times New Roman" w:hAnsi="Times New Roman"/>
          <w:color w:val="000000" w:themeColor="text1"/>
          <w:sz w:val="16"/>
          <w:szCs w:val="16"/>
        </w:rPr>
      </w:pPr>
    </w:p>
    <w:p w14:paraId="19AF8AE9" w14:textId="77777777" w:rsidR="003705F0" w:rsidRPr="00142305" w:rsidRDefault="003705F0" w:rsidP="003705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году на ТБ-1 испытали автопилот АВ П-2, сопряженный с аппаратурой радио</w:t>
      </w:r>
      <w:r w:rsidRPr="00142305">
        <w:rPr>
          <w:rFonts w:ascii="Times New Roman" w:hAnsi="Times New Roman"/>
          <w:color w:val="0070C0"/>
          <w:sz w:val="16"/>
          <w:szCs w:val="16"/>
        </w:rPr>
        <w:softHyphen/>
        <w:t>управления. Однако телепилотируемый бомбардировщик из него не получился, сказывалась низкая точность визуального (с другого самолета) наведения. Да и характеристики автопи</w:t>
      </w:r>
      <w:r w:rsidRPr="00142305">
        <w:rPr>
          <w:rFonts w:ascii="Times New Roman" w:hAnsi="Times New Roman"/>
          <w:color w:val="0070C0"/>
          <w:sz w:val="16"/>
          <w:szCs w:val="16"/>
        </w:rPr>
        <w:softHyphen/>
        <w:t>лота желали лучшего. Опыты в этом направлении продолжались довольно долго, и лишь весной 1939 года Военному совету ВВС продемонстрировали полеты ТБ-1, управлявшегося по радио от взлета до посадки с другого самолета. В своем заключении комиссия отметила: «Проведенные испытания доказали, что впервые в СССР &lt;... &gt; разрешена проблема созда</w:t>
      </w:r>
      <w:r w:rsidRPr="00142305">
        <w:rPr>
          <w:rFonts w:ascii="Times New Roman" w:hAnsi="Times New Roman"/>
          <w:color w:val="0070C0"/>
          <w:sz w:val="16"/>
          <w:szCs w:val="16"/>
        </w:rPr>
        <w:softHyphen/>
        <w:t>ния телемеханического самолета...» (24991).</w:t>
      </w:r>
    </w:p>
    <w:p w14:paraId="7E70D22D" w14:textId="77777777" w:rsidR="003705F0" w:rsidRPr="00142305" w:rsidRDefault="003705F0" w:rsidP="003705F0">
      <w:pPr>
        <w:spacing w:after="0" w:line="240" w:lineRule="auto"/>
        <w:jc w:val="both"/>
        <w:rPr>
          <w:rFonts w:ascii="Times New Roman" w:hAnsi="Times New Roman"/>
          <w:color w:val="0070C0"/>
          <w:sz w:val="16"/>
          <w:szCs w:val="16"/>
        </w:rPr>
      </w:pPr>
    </w:p>
    <w:p w14:paraId="493BF7C4" w14:textId="77777777" w:rsidR="003705F0" w:rsidRPr="00142305" w:rsidRDefault="003705F0" w:rsidP="003705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в Экспериментальном институте Наркомтяжпрома, возглавляемом Павлом Гроховским проводились эксперименты с торпедой, управляемой живой собакой.</w:t>
      </w:r>
    </w:p>
    <w:p w14:paraId="1C9CF7F1" w14:textId="77777777" w:rsidR="003705F0" w:rsidRPr="00142305" w:rsidRDefault="003705F0" w:rsidP="003705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Торпеда Г-55 должна была идти у самой поверхности воды так, чтобы сидящая под прозрачным фонарем в ее передней части собака (в документах ее именуют «водителем») могла хорошо видеть цель. Управляла она торпедой по типу современного нашлемного прицела: куда смотрит, туда и плывет. Но никакой электроники и даже электромеханики в Г-55 не имелось. Все дело было в специальном ошейнике. Поворачивая голову, животное двигало тяги, соединенные с рулем направления. Чтобы система работала без сбоев, собаку фиксировали в сидячем положении, а ошейник состоял из двух обойм — подвижной и неподвижной, закрепленной в торпеде.</w:t>
      </w:r>
    </w:p>
    <w:p w14:paraId="4CE094F1" w14:textId="77777777" w:rsidR="003705F0" w:rsidRPr="00142305" w:rsidRDefault="003705F0" w:rsidP="003705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Использование механического привода, возможно, стало одной из причин, почему взяли именно собаку. Причем крупную — овчарку. Нагрузки получались значительными. Хомячок или кошка, конечно, компактнее и легче, но поворачивать руль через обруч ошейника им было бы вряд ли под силу.</w:t>
      </w:r>
    </w:p>
    <w:p w14:paraId="5EBECAD3" w14:textId="77777777" w:rsidR="003705F0" w:rsidRPr="00142305" w:rsidRDefault="003705F0" w:rsidP="003705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Второй причиной выбора именно собаки можно считать уже имевшийся в Экспериментальном отделе опыт работы с ними (25180).</w:t>
      </w:r>
    </w:p>
    <w:p w14:paraId="5877E25C" w14:textId="77777777" w:rsidR="003705F0" w:rsidRPr="00142305" w:rsidRDefault="003705F0" w:rsidP="003705F0">
      <w:pPr>
        <w:spacing w:after="0" w:line="240" w:lineRule="auto"/>
        <w:jc w:val="both"/>
        <w:rPr>
          <w:rFonts w:ascii="Times New Roman" w:hAnsi="Times New Roman"/>
          <w:color w:val="0070C0"/>
          <w:sz w:val="16"/>
          <w:szCs w:val="16"/>
        </w:rPr>
      </w:pPr>
    </w:p>
    <w:p w14:paraId="6AC430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по результатам работ по звену 3-1 и 3-1а появилась идея проектирования самолета тягача для облегчения взлета бомбардировщиков. Был спроектирован, но не строился (375,38).</w:t>
      </w:r>
    </w:p>
    <w:p w14:paraId="03777C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9FE15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были начаты эксперименты по дозаправке ТБ-3 (АНТ-6) в воздухе (69,27). Продолжались до 1935 и вели инженеры А.К.Запанованный и И.Белозеров. Бензин из Р-5 в ТБ-7 из ТБ в И-15 и И-16, Из ТБ в ТБ (92,350).</w:t>
      </w:r>
    </w:p>
    <w:p w14:paraId="438BF3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Повторение американских опытов начала 20-х.</w:t>
      </w:r>
    </w:p>
    <w:p w14:paraId="6B0160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EE4FF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к самолету ТБ-3 в Остехбюро начали приспосабливать систему «Дедал», спроектированную первоначально для ТБ-1. Основной проблемой тогда являлось отсутствие надежного отечественного автопилота. В рамках программы создания ТМС ТБ-3 (т.е. «телемеханического самолета») опробовали много разных конструкций - пневматических, гидравлических, электромеханических (9964).</w:t>
      </w:r>
    </w:p>
    <w:p w14:paraId="2221BA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2F9E8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выполнялся эскизный проект военной модификации АНТ-14 с четырьмя моторами М-34Р и новыми носовой и хвостовой частью. Вооружение у него было послабее. Самолет предполагалось вооружить четырьмя 7,62-мм пулеметами. Три ручных пулемета Д П (пехотных, именно так записано в документах) располагались в носовой части фюзеляжа, сверху и за вертикальным оперением (с боезапасом по 15 дисков на каждый), а переносной ДА (с 16 дисками) на шкворне стрелял через бортовые окна. Из носовой установки вел огонь штурман, из верхней - борттехник, из кормовой - стрелок. Переносным пулеметом оперировал радист.</w:t>
      </w:r>
    </w:p>
    <w:p w14:paraId="486993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Предусматривались две радиостанции: 11-СК (у радиста) и 15-СУ (у штурмана). Основным назначением машины считалась перевозка солдат и военных грузов, а также высадка воздушных десантов, но при монтаже в салоне многоярусных коек самолет превращался в санитарный. Военный АНТ-14 при необходимости мог быть использован и как ночной бомбардировщик. Бомбы при этом укладывались во внутренние кассеты в бывшем пассажирском салоне.</w:t>
      </w:r>
    </w:p>
    <w:p w14:paraId="15411A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Такие военно-транспортные машины собирались серийно строить на заводе № 22 в Филях. В сентябре 1933 г. руководство этого предприятия обратилось в ГУАП за разрешением на постройку опытного образца, но, видимо, получило отказ. В Осконбюро ВВС разрабатывали десантный вариант АНТ-14 на 50 парашютистов, которые должны были покидать машину по наклонным трубам, какие можно увидеть сейчас на детских площадках. Прорабатывали также вариант "бензиноносца" - танкера для дозаправки в воздухе тяжелого бомбардировщика ТБ-4. Он мог, по расчетам, нести дополнительно около 2500 кг топлива.</w:t>
      </w:r>
    </w:p>
    <w:p w14:paraId="7D96B4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Изучалась также возможность доработки при необходимости обычного пассажирского АНТ-14 для военных целей - как транспортного или "вспомогательного бомбардировщика", аналогично подобному проекту для АНТ-9. Все эти работы были прекращены после принятия решения об отказе от запуска АНТ-14 в серию (12036).</w:t>
      </w:r>
    </w:p>
    <w:p w14:paraId="199D1E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BB701E5"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туполевцы про-вели ряд работ по усовершенствованию Р-6, после чего появилась новая модификация - КР-6 («КР» - от «крейсер»). На машине совершенно из-менилось оперение. Руль направления лишился рогового компенсатора, зато на нём появился триммер. Горизонтальное оперение получило иную форму в плане. Рули высоты теперь не имели выступа-ющих рогов; компенсаторы вписали в общий закруглённый контур. Несколько переделали мотогондолы. Входные от-верстия радиаторов приобрели оваль-ную форму. На фюзеляже убрали наруж-ные продольные усиления. Почти вдвое увеличили запас горючего - до 3000 л, а масла - до 250 л. Амортизаторы основ-ных стоек шасси у КР-6 стали масляно- пневматическими, а не резиновыми.</w:t>
      </w:r>
    </w:p>
    <w:p w14:paraId="76D08BB3"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Стрелковое вооружение КР-6 склады-валось из двух турелей Тур-5 со спа-ренными пулемётами ДА-2. В передней установке находился боезапас из 20 дис-ков, в задней - из 24. Нижнюю выпуск-ную башню, резко увеличивавшую аэ-родинамическое сопротивление, сняли. Бомбовое вооружение составляли шесть держателей Дер-7 под центропланом и механический сбрасыватель Сбр-9. Но-вая модификация имела радиостанцию 13-СК (позже ее заменили на 12-СК1) и фотоаппарат «Поттэ 1бис».</w:t>
      </w:r>
    </w:p>
    <w:p w14:paraId="398C463E"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опытный образец КР-6 передела-ли заслуженного ветерана - самолёт № 2202 (второй серийный). Он сохранил моторы ВМ\М VI, и будучи установлен-ным ранее на поплавки (об этом будет рассказано далее), так на них и остался. Экипаж сократили до трёх человек. Эта машина испытывалась в апреле 1934 г.</w:t>
      </w:r>
    </w:p>
    <w:p w14:paraId="556F87DF"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Вскоре производство КР-6 развернули на заводе № 22. Головной серийный са-молёт № 22102 испытывался в НИИ ВВС в июле 1934 г. Все серийные машины были четырёхместными, как Р-6.</w:t>
      </w:r>
    </w:p>
    <w:p w14:paraId="32BC5D90"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Лётные данные КР-6 оставляли же-лать лучшего. Переделанный № 2202 имел невысокие показатели. Скорость по сравнению с Р-6 на поплавках упала (в основном, за счёт роста веса), сущест-венно ухудшилась скороподъёмность, снизился практический потолок. На голов-ном серийном КР-6 удалось несколько исправить положение, но всё равно он по всем показателям уступал Р-6 выпуска 1930 г. А на дворе стоял 1934-й...</w:t>
      </w:r>
    </w:p>
    <w:p w14:paraId="7F5E3832"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отчёте по испытаниям головной ма-шины указали, что вопреки требовани-ям задания, на самолёте нет тормозов колёс, регулировочных створок или жа-люзи на выходе воздуха из каналов ра-диаторов. Ряд недостатков завод позже исправил. На машинах выпуска второй половины 1934 г. удалось добиться не-которого снижения веса, что при тех же двигателях способствовало улучшению лётных данных, хотя и незначительному. Интересно, что при этом масса оборудо-вания на борту возросла: добавились кислородные приборы и световая сиг-нализация.</w:t>
      </w:r>
    </w:p>
    <w:p w14:paraId="5C9EE307"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Эталоном на 1934 г. стал самолёт № 22251, тоже испытывавшийся в НИИ ВВС. Как частенько тогда бывало, до эталонного состояния его довели только почти через год после начала серийного производства. Следует отметить, что на этой машине связь между членами эки-пажа обеспечивалась пневмопочтой - пока напишешь сообщение о появлении противника, отправишь, и кто-то его про-читает, пожалуй, и сбить успеют (12264).</w:t>
      </w:r>
    </w:p>
    <w:p w14:paraId="56786FF7" w14:textId="77777777" w:rsidR="000904A1" w:rsidRPr="0044524F" w:rsidRDefault="000904A1" w:rsidP="009654CF">
      <w:pPr>
        <w:spacing w:after="0" w:line="240" w:lineRule="auto"/>
        <w:jc w:val="both"/>
        <w:rPr>
          <w:rFonts w:ascii="Times New Roman" w:hAnsi="Times New Roman"/>
          <w:color w:val="000000" w:themeColor="text1"/>
          <w:sz w:val="16"/>
          <w:szCs w:val="16"/>
        </w:rPr>
      </w:pPr>
    </w:p>
    <w:p w14:paraId="020D65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у АНТ-37 (ДБ-2) и ЦКБ-26 (ДБ-3) был конкурент - К-13 - скоростной бомбардировщик (70,262).</w:t>
      </w:r>
    </w:p>
    <w:p w14:paraId="56FB79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87F5D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1933 г. в ЦАГИ по техническим требованиям ВВС РККА, примерно в течение года велось проектирование сухопутного крейсера СК-1 (АНТ-30). Основное внимание при этом уделялось увеличению дальности полета и повышению бомбовой нагрузки. Однако прошло всего немного времени и СК-1 уже не вызывал оптимизма у заказчиков, ибо открывались новые перспективы, которые в очередной раз заставляли пересматривать планы проектирования и постройки концептуальных боевых машин (12027).</w:t>
      </w:r>
    </w:p>
    <w:p w14:paraId="193F0A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28DEE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Всего в 1933 г. выпустили 1572 машины Р-5. На 1934 г. УВВС планировало дальнейшее совершенствование Р-5. Ставились задачи увеличить скорость на 15 км/ч, снизить массу не менее чем на 200 кг за счет внедрения магниевого сплава "электрон", ввести масляно-пневматическую амортизацию шасси,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w:t>
      </w:r>
      <w:r w:rsidRPr="0044524F">
        <w:rPr>
          <w:rFonts w:ascii="Times New Roman" w:hAnsi="Times New Roman"/>
          <w:color w:val="000000" w:themeColor="text1"/>
          <w:sz w:val="16"/>
          <w:szCs w:val="16"/>
        </w:rPr>
        <w:lastRenderedPageBreak/>
        <w:t>у стоек, крыла и оперения. С уменьшением веса было хуже - "электрон" в СССР не производился. За счет облегчения отдельных узлов и применения легированной стали можно было "выжать" 80-85 кг.</w:t>
      </w:r>
    </w:p>
    <w:p w14:paraId="3A110A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Замену вооружения планировали на второе полугодие. В задней кабине собирались поставить новую турель Тур-Ток (Тур-8) с пулеметом LUKAC обр. 1933 г., известным как "ШКАС с бородой" (подствольным коробом для ленты). Позже от "бороды" отказались. ШКАС обр. 1934 г. питался из ящика турели, в котором находилось 750 патронов, затем 1000. Наружные балки бомбодержателей требовали заменить на встроенные Д-1 (Дер-31). Их электропиротехнические замки срабатывали по команде электросбрасывателя СР (11936).</w:t>
      </w:r>
    </w:p>
    <w:p w14:paraId="3AD13F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86C55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 в 1933 г. выпустили 1572 машины Р-5. Самолеты поставляли ВВС, авиации НКВД (в первую очередь, для погранохраны) и гражданским летчикам, в том числе в Управление полярной авиации ГУСМП.</w:t>
      </w:r>
    </w:p>
    <w:p w14:paraId="3F0D54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1934 г. УВВС планировало дальнейшее совершенствование Р-5. Ставились задачи увеличить скорость на 15 км/ч, снизить вес не менее чем на 200 кг за счет внедрения магниевого сплава "электрон", ввести масляно-пневма- тическую амортизацию вместо резиновых буферов, гальваническое антикоррозийное покрытие всех стальных узлов, а со второго полугодия - модернизировать вооружение. Скорость при неизменной мотоустановке можно было поднять за счет улучшения аэродинамики. Конструкторы решили ввести зализы у стоек, крыла и оперения, смонтировать обтекатели на колеса шасси. С уменьшением веса было хуже. "Электрон" у нас в стране не производился. За счет облегчения отдельных узлов и применения легированной стали можно было "выжать" килограммов 80-85.</w:t>
      </w:r>
    </w:p>
    <w:p w14:paraId="7D80DC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Выпуск самолетов семейства Р-5</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01"/>
        <w:gridCol w:w="1401"/>
        <w:gridCol w:w="1401"/>
        <w:gridCol w:w="1401"/>
        <w:gridCol w:w="1401"/>
        <w:gridCol w:w="1401"/>
        <w:gridCol w:w="1401"/>
        <w:gridCol w:w="1401"/>
      </w:tblGrid>
      <w:tr w:rsidR="004E10C1" w:rsidRPr="0044524F" w14:paraId="09B3A863" w14:textId="77777777">
        <w:tc>
          <w:tcPr>
            <w:tcW w:w="1401" w:type="dxa"/>
            <w:tcBorders>
              <w:top w:val="single" w:sz="12" w:space="0" w:color="auto"/>
            </w:tcBorders>
          </w:tcPr>
          <w:p w14:paraId="53A354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Тип</w:t>
            </w:r>
          </w:p>
        </w:tc>
        <w:tc>
          <w:tcPr>
            <w:tcW w:w="1401" w:type="dxa"/>
            <w:tcBorders>
              <w:top w:val="single" w:sz="12" w:space="0" w:color="auto"/>
            </w:tcBorders>
          </w:tcPr>
          <w:p w14:paraId="3BFBFC6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w:t>
            </w:r>
          </w:p>
        </w:tc>
        <w:tc>
          <w:tcPr>
            <w:tcW w:w="1401" w:type="dxa"/>
            <w:tcBorders>
              <w:top w:val="single" w:sz="12" w:space="0" w:color="auto"/>
            </w:tcBorders>
          </w:tcPr>
          <w:p w14:paraId="4D0ECB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w:t>
            </w:r>
          </w:p>
        </w:tc>
        <w:tc>
          <w:tcPr>
            <w:tcW w:w="1401" w:type="dxa"/>
            <w:tcBorders>
              <w:top w:val="single" w:sz="12" w:space="0" w:color="auto"/>
            </w:tcBorders>
          </w:tcPr>
          <w:p w14:paraId="4BB0C6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w:t>
            </w:r>
          </w:p>
        </w:tc>
        <w:tc>
          <w:tcPr>
            <w:tcW w:w="1401" w:type="dxa"/>
            <w:tcBorders>
              <w:top w:val="single" w:sz="12" w:space="0" w:color="auto"/>
            </w:tcBorders>
          </w:tcPr>
          <w:p w14:paraId="57C803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w:t>
            </w:r>
          </w:p>
        </w:tc>
        <w:tc>
          <w:tcPr>
            <w:tcW w:w="1401" w:type="dxa"/>
            <w:tcBorders>
              <w:top w:val="single" w:sz="12" w:space="0" w:color="auto"/>
            </w:tcBorders>
          </w:tcPr>
          <w:p w14:paraId="2F35CC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w:t>
            </w:r>
          </w:p>
        </w:tc>
        <w:tc>
          <w:tcPr>
            <w:tcW w:w="1401" w:type="dxa"/>
            <w:tcBorders>
              <w:top w:val="single" w:sz="12" w:space="0" w:color="auto"/>
            </w:tcBorders>
          </w:tcPr>
          <w:p w14:paraId="3DF4CE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w:t>
            </w:r>
          </w:p>
        </w:tc>
        <w:tc>
          <w:tcPr>
            <w:tcW w:w="1401" w:type="dxa"/>
            <w:tcBorders>
              <w:top w:val="single" w:sz="12" w:space="0" w:color="auto"/>
            </w:tcBorders>
          </w:tcPr>
          <w:p w14:paraId="73A12F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1936</w:t>
            </w:r>
          </w:p>
        </w:tc>
      </w:tr>
      <w:tr w:rsidR="004E10C1" w:rsidRPr="0044524F" w14:paraId="39A42C1A" w14:textId="77777777">
        <w:tc>
          <w:tcPr>
            <w:tcW w:w="1401" w:type="dxa"/>
          </w:tcPr>
          <w:p w14:paraId="4C4F9A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w:t>
            </w:r>
          </w:p>
        </w:tc>
        <w:tc>
          <w:tcPr>
            <w:tcW w:w="1401" w:type="dxa"/>
          </w:tcPr>
          <w:p w14:paraId="24E45E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w:t>
            </w:r>
          </w:p>
        </w:tc>
        <w:tc>
          <w:tcPr>
            <w:tcW w:w="1401" w:type="dxa"/>
          </w:tcPr>
          <w:p w14:paraId="67FECE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336</w:t>
            </w:r>
          </w:p>
        </w:tc>
        <w:tc>
          <w:tcPr>
            <w:tcW w:w="1401" w:type="dxa"/>
          </w:tcPr>
          <w:p w14:paraId="3543F3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884</w:t>
            </w:r>
          </w:p>
        </w:tc>
        <w:tc>
          <w:tcPr>
            <w:tcW w:w="1401" w:type="dxa"/>
          </w:tcPr>
          <w:p w14:paraId="0AD377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1572</w:t>
            </w:r>
          </w:p>
        </w:tc>
        <w:tc>
          <w:tcPr>
            <w:tcW w:w="1401" w:type="dxa"/>
          </w:tcPr>
          <w:p w14:paraId="6D91F3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1642</w:t>
            </w:r>
          </w:p>
        </w:tc>
        <w:tc>
          <w:tcPr>
            <w:tcW w:w="1401" w:type="dxa"/>
          </w:tcPr>
          <w:p w14:paraId="13331E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400</w:t>
            </w:r>
          </w:p>
        </w:tc>
        <w:tc>
          <w:tcPr>
            <w:tcW w:w="1401" w:type="dxa"/>
          </w:tcPr>
          <w:p w14:paraId="2B3209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B59618D" w14:textId="77777777">
        <w:tc>
          <w:tcPr>
            <w:tcW w:w="1401" w:type="dxa"/>
          </w:tcPr>
          <w:p w14:paraId="6A3CB3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Р-5Т</w:t>
            </w:r>
          </w:p>
        </w:tc>
        <w:tc>
          <w:tcPr>
            <w:tcW w:w="1401" w:type="dxa"/>
          </w:tcPr>
          <w:p w14:paraId="35CA3E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Pr>
          <w:p w14:paraId="2ABE212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Pr>
          <w:p w14:paraId="5B0997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Pr>
          <w:p w14:paraId="1A0F73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Pr>
          <w:p w14:paraId="5DCAD0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Pr>
          <w:p w14:paraId="48BE92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01" w:type="dxa"/>
          </w:tcPr>
          <w:p w14:paraId="521785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635F9522" w14:textId="77777777">
        <w:tc>
          <w:tcPr>
            <w:tcW w:w="1401" w:type="dxa"/>
          </w:tcPr>
          <w:p w14:paraId="5F003F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Р-5а</w:t>
            </w:r>
          </w:p>
        </w:tc>
        <w:tc>
          <w:tcPr>
            <w:tcW w:w="1401" w:type="dxa"/>
          </w:tcPr>
          <w:p w14:paraId="279BA2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Pr>
          <w:p w14:paraId="18AEBB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Pr>
          <w:p w14:paraId="026BEC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Pr>
          <w:p w14:paraId="015FCB2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Pr>
          <w:p w14:paraId="530235E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61</w:t>
            </w:r>
          </w:p>
        </w:tc>
        <w:tc>
          <w:tcPr>
            <w:tcW w:w="1401" w:type="dxa"/>
          </w:tcPr>
          <w:p w14:paraId="16DB6E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w:t>
            </w:r>
          </w:p>
        </w:tc>
        <w:tc>
          <w:tcPr>
            <w:tcW w:w="1401" w:type="dxa"/>
          </w:tcPr>
          <w:p w14:paraId="7B2C08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r>
      <w:tr w:rsidR="004E10C1" w:rsidRPr="0044524F" w14:paraId="39013D5F" w14:textId="77777777">
        <w:tc>
          <w:tcPr>
            <w:tcW w:w="1401" w:type="dxa"/>
            <w:tcBorders>
              <w:bottom w:val="single" w:sz="12" w:space="0" w:color="auto"/>
            </w:tcBorders>
          </w:tcPr>
          <w:p w14:paraId="64E931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ССС</w:t>
            </w:r>
          </w:p>
        </w:tc>
        <w:tc>
          <w:tcPr>
            <w:tcW w:w="1401" w:type="dxa"/>
            <w:tcBorders>
              <w:bottom w:val="single" w:sz="12" w:space="0" w:color="auto"/>
            </w:tcBorders>
          </w:tcPr>
          <w:p w14:paraId="610FDC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Borders>
              <w:bottom w:val="single" w:sz="12" w:space="0" w:color="auto"/>
            </w:tcBorders>
          </w:tcPr>
          <w:p w14:paraId="38943F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Borders>
              <w:bottom w:val="single" w:sz="12" w:space="0" w:color="auto"/>
            </w:tcBorders>
          </w:tcPr>
          <w:p w14:paraId="2A5934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Borders>
              <w:bottom w:val="single" w:sz="12" w:space="0" w:color="auto"/>
            </w:tcBorders>
          </w:tcPr>
          <w:p w14:paraId="3B4634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Borders>
              <w:bottom w:val="single" w:sz="12" w:space="0" w:color="auto"/>
            </w:tcBorders>
          </w:tcPr>
          <w:p w14:paraId="0F513F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401" w:type="dxa"/>
            <w:tcBorders>
              <w:bottom w:val="single" w:sz="12" w:space="0" w:color="auto"/>
            </w:tcBorders>
          </w:tcPr>
          <w:p w14:paraId="3B0EF5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221</w:t>
            </w:r>
          </w:p>
        </w:tc>
        <w:tc>
          <w:tcPr>
            <w:tcW w:w="1401" w:type="dxa"/>
            <w:tcBorders>
              <w:bottom w:val="single" w:sz="12" w:space="0" w:color="auto"/>
            </w:tcBorders>
          </w:tcPr>
          <w:p w14:paraId="47F910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129</w:t>
            </w:r>
          </w:p>
        </w:tc>
      </w:tr>
    </w:tbl>
    <w:p w14:paraId="7F9C49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(12034).</w:t>
      </w:r>
    </w:p>
    <w:p w14:paraId="29C6BF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8A93B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разработали проект переделки Р-5 в Р-5Т, выполненный в НИИ ВВС под руководством В.В.Никитина. В 1934 - испытали, а в 1935 поставили на серию. Сняли турель и зашили заднюю кабину, а костыль - удлинили. ТАН-12 крепили под углом и сбрасывали с 10-20 м на скорости до 160 км/ч при высоте 25-30. Вес с подвеской - 9300 кг. Делали 1 год, сделали 50 и отправили на Балтику, ЧМ и ТО и эксплуатировали до 1938. Пытались вешать ТАВ-12 и ТАВ-27 на ТБ-3 (АНТ-6) и хотели в 1933-1934 сделать 48, но не сделали (561,8).</w:t>
      </w:r>
    </w:p>
    <w:p w14:paraId="1F5934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C3C97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выпустили 1572 Р-5. Резкий количественный скачок по сравнению с предыдущим годом обусловлен был не только освоением самого самолета. Рыбинский завод окончательно освоил производство лицензионного двигателя и произвел в 1933 г. более 4000 М-17. Кроме того, самолетостроительный завод №1 выпускал в основном стандартные Р-5, что способствовало массовой серии. 18 И-7, которые были сданы ВВС за текущий год, являлись скорее загрузкой для сварочного производства и погоды не делали. Выпускаемые параллельно со стандартным разведчиком штурмовики Р-5Ш отличались установкой четырех дополнительных пулеметов ПВ-1. Пулеметы устанавливались попарно в специальных обтекателях на нижнем крыле (5016).</w:t>
      </w:r>
    </w:p>
    <w:p w14:paraId="7B8757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23584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построили два самолета: Р-5 №4681 - разрезное крыло-1 и Р-5 №5563 - разрезное крыло-2. В процессе испытаний было получено снижение посадочной скорости до 70 км/час, полетные углы без срыва составили 20". Возрос потолок, полетная скорость несколько снизилась. В серию однако новое крыло не пошло, т.к. считалось, что Р-5 в неизмененном виде обладает удовлетворительными посадочными характеристиками, а также устойчивостью и управляемостью.</w:t>
      </w:r>
    </w:p>
    <w:p w14:paraId="2A374D1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Р-5 №4681 испытывались выливные авиационные приборы (ВАП) конструкции инженера Вахмистрова (5016).</w:t>
      </w:r>
    </w:p>
    <w:p w14:paraId="2694F1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B12D0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по инициативе НИИ ВВС на заводе №1 конструктор В.В. Никитин выполнил разработку Р-5 в варианте торпедоносца Р-5Т. Самолет стал одноместным, переделке подверглись стойки шасси, которые были разнесены с целью освобождения подфюзеляжного пространства. Торпеда ТАН-12 подвешивалась на усиленном держателе ДЁР-13. В феврале 1934 года Р-5Т выполнил два полета с Ходынского аэродрома. Затем последовали быстрые госиспытания в НИИ ВВС, а уже в марте самолет отправили для опробования на Черноморский флот, в Севастополь. Всего выпустили 50 серийных Р-5Т, которые были отправлены на Черное море, Балтику и Дальний Восток.</w:t>
      </w:r>
    </w:p>
    <w:p w14:paraId="5BD63E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Торпедоносцы Р-5Т находились на вооружении флотов вплоть до 1941 г. В 1939 году на Тихоокеанском флоте числилось 29 таких машин, в 1940 г. там имелся 21 самолет типа Р-5Т (5016).</w:t>
      </w:r>
    </w:p>
    <w:p w14:paraId="452C94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A423F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завод 1 по конструкции В.В.Никитина сделал колесный Р-5Т (торпедоносец), который имел более высокое шасси (92,422).</w:t>
      </w:r>
    </w:p>
    <w:p w14:paraId="3A8D5F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ТБ-3 (АНТ-6) выпускался с 1933 и на 18 заводе (71,169).</w:t>
      </w:r>
    </w:p>
    <w:p w14:paraId="5C8B7E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E81D2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завод № 1 И-5 уже не строил, весь выпуск обеспечивало предприятие в Горьком (так в 1932 г. переименовали Нижний Новгород), немного не дотянувшее до плановой цифры, - 350 машин. "Звёздный час" И-5 оказался недолог. Авиационная техника развивалась в те годы невиданными темпами, и летом 1933 г. на испытания вышло уже новое поколение советских истребителей. Биплан И-15, сконструированный тем же Н.Н. Поликарповым как развитие концепции И-5 на базе проекта И-13, намного превосходил своего предшественника. Но ещё важнее было появление машин совершенно нового класса: скоростных истребителей-монопланов. И-14 П.О. Сухого и И-16 Н.Н. Поликарпова стали "первыми ласточками" так называемой "новой волны". Аналогичный процесс шёл и на Западе. В 1933 - 1934 гг. там были созданы новые истребители-бипланы (например, Хейнкель Не 51 и ФИАТ CR.32), намного превосходившие по своим данным ровесников И-5. А через год-два в различных странах появились скоростные истребители- монопланы: Хоукер "Харрикейн" в Англии, Мессершмитт Bf 109 в Германии, Северский Р-35 в США Ценность И-5 как истребителя стремительно падала. Это отразилось на планах его производства. Первоначально намеченное количество в 450 машин снизили до 360, а вместо них в план вошли И-Зет, И-14, И-15 и И-16. На самом деле завод № 21 за 1934 г. построил ещё меньше - 330 И-5.</w:t>
      </w:r>
    </w:p>
    <w:p w14:paraId="05862F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Серийное производство И-5 (по данным В.П. Иванова)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01"/>
        <w:gridCol w:w="1601"/>
        <w:gridCol w:w="1601"/>
        <w:gridCol w:w="1601"/>
        <w:gridCol w:w="1601"/>
        <w:gridCol w:w="1601"/>
        <w:gridCol w:w="1601"/>
      </w:tblGrid>
      <w:tr w:rsidR="004E10C1" w:rsidRPr="0044524F" w14:paraId="47AFBAA2" w14:textId="77777777">
        <w:tc>
          <w:tcPr>
            <w:tcW w:w="1601" w:type="dxa"/>
            <w:tcBorders>
              <w:top w:val="single" w:sz="12" w:space="0" w:color="auto"/>
            </w:tcBorders>
          </w:tcPr>
          <w:p w14:paraId="07D869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top w:val="single" w:sz="12" w:space="0" w:color="auto"/>
            </w:tcBorders>
          </w:tcPr>
          <w:p w14:paraId="1463DC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1930 г.</w:t>
            </w:r>
          </w:p>
        </w:tc>
        <w:tc>
          <w:tcPr>
            <w:tcW w:w="1601" w:type="dxa"/>
            <w:tcBorders>
              <w:top w:val="single" w:sz="12" w:space="0" w:color="auto"/>
            </w:tcBorders>
          </w:tcPr>
          <w:p w14:paraId="560FC2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1931 г.</w:t>
            </w:r>
          </w:p>
        </w:tc>
        <w:tc>
          <w:tcPr>
            <w:tcW w:w="1601" w:type="dxa"/>
            <w:tcBorders>
              <w:top w:val="single" w:sz="12" w:space="0" w:color="auto"/>
            </w:tcBorders>
          </w:tcPr>
          <w:p w14:paraId="3595DC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1932 г.</w:t>
            </w:r>
          </w:p>
        </w:tc>
        <w:tc>
          <w:tcPr>
            <w:tcW w:w="1601" w:type="dxa"/>
            <w:tcBorders>
              <w:top w:val="single" w:sz="12" w:space="0" w:color="auto"/>
            </w:tcBorders>
          </w:tcPr>
          <w:p w14:paraId="512B77F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w:t>
            </w:r>
          </w:p>
        </w:tc>
        <w:tc>
          <w:tcPr>
            <w:tcW w:w="1601" w:type="dxa"/>
            <w:tcBorders>
              <w:top w:val="single" w:sz="12" w:space="0" w:color="auto"/>
            </w:tcBorders>
          </w:tcPr>
          <w:p w14:paraId="0BA546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 г.</w:t>
            </w:r>
          </w:p>
        </w:tc>
        <w:tc>
          <w:tcPr>
            <w:tcW w:w="1601" w:type="dxa"/>
            <w:tcBorders>
              <w:top w:val="single" w:sz="12" w:space="0" w:color="auto"/>
            </w:tcBorders>
          </w:tcPr>
          <w:p w14:paraId="5E7EF5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r>
      <w:tr w:rsidR="004E10C1" w:rsidRPr="0044524F" w14:paraId="1F5A5278" w14:textId="77777777">
        <w:tc>
          <w:tcPr>
            <w:tcW w:w="1601" w:type="dxa"/>
          </w:tcPr>
          <w:p w14:paraId="3B97BC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39</w:t>
            </w:r>
          </w:p>
        </w:tc>
        <w:tc>
          <w:tcPr>
            <w:tcW w:w="1601" w:type="dxa"/>
          </w:tcPr>
          <w:p w14:paraId="4735F0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1601" w:type="dxa"/>
          </w:tcPr>
          <w:p w14:paraId="7B53C7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1601" w:type="dxa"/>
          </w:tcPr>
          <w:p w14:paraId="582B9C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01" w:type="dxa"/>
          </w:tcPr>
          <w:p w14:paraId="1C24D26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01" w:type="dxa"/>
          </w:tcPr>
          <w:p w14:paraId="4BA7EA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Pr>
          <w:p w14:paraId="03CE60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62A7A612" w14:textId="77777777">
        <w:tc>
          <w:tcPr>
            <w:tcW w:w="1601" w:type="dxa"/>
          </w:tcPr>
          <w:p w14:paraId="671A92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I</w:t>
            </w:r>
          </w:p>
        </w:tc>
        <w:tc>
          <w:tcPr>
            <w:tcW w:w="1601" w:type="dxa"/>
          </w:tcPr>
          <w:p w14:paraId="01694D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01" w:type="dxa"/>
          </w:tcPr>
          <w:p w14:paraId="3FD8E1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w:t>
            </w:r>
          </w:p>
        </w:tc>
        <w:tc>
          <w:tcPr>
            <w:tcW w:w="1601" w:type="dxa"/>
          </w:tcPr>
          <w:p w14:paraId="7E46ED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w:t>
            </w:r>
          </w:p>
        </w:tc>
        <w:tc>
          <w:tcPr>
            <w:tcW w:w="1601" w:type="dxa"/>
          </w:tcPr>
          <w:p w14:paraId="02021B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01" w:type="dxa"/>
          </w:tcPr>
          <w:p w14:paraId="25F2DF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01" w:type="dxa"/>
          </w:tcPr>
          <w:p w14:paraId="7172F8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142</w:t>
            </w:r>
          </w:p>
        </w:tc>
      </w:tr>
      <w:tr w:rsidR="004E10C1" w:rsidRPr="0044524F" w14:paraId="2DDBE3FB" w14:textId="77777777">
        <w:tc>
          <w:tcPr>
            <w:tcW w:w="1601" w:type="dxa"/>
          </w:tcPr>
          <w:p w14:paraId="549AE4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21</w:t>
            </w:r>
          </w:p>
        </w:tc>
        <w:tc>
          <w:tcPr>
            <w:tcW w:w="1601" w:type="dxa"/>
          </w:tcPr>
          <w:p w14:paraId="553F7B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01" w:type="dxa"/>
          </w:tcPr>
          <w:p w14:paraId="7F6AE1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1601" w:type="dxa"/>
          </w:tcPr>
          <w:p w14:paraId="424CE3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10</w:t>
            </w:r>
          </w:p>
        </w:tc>
        <w:tc>
          <w:tcPr>
            <w:tcW w:w="1601" w:type="dxa"/>
          </w:tcPr>
          <w:p w14:paraId="1AB009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321</w:t>
            </w:r>
          </w:p>
        </w:tc>
        <w:tc>
          <w:tcPr>
            <w:tcW w:w="1601" w:type="dxa"/>
          </w:tcPr>
          <w:p w14:paraId="6E58E8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w:t>
            </w:r>
          </w:p>
        </w:tc>
        <w:tc>
          <w:tcPr>
            <w:tcW w:w="1601" w:type="dxa"/>
          </w:tcPr>
          <w:p w14:paraId="63CC40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661</w:t>
            </w:r>
          </w:p>
        </w:tc>
      </w:tr>
      <w:tr w:rsidR="004E10C1" w:rsidRPr="0044524F" w14:paraId="148B7D49" w14:textId="77777777">
        <w:tc>
          <w:tcPr>
            <w:tcW w:w="1601" w:type="dxa"/>
            <w:tcBorders>
              <w:bottom w:val="single" w:sz="12" w:space="0" w:color="auto"/>
            </w:tcBorders>
          </w:tcPr>
          <w:p w14:paraId="67C5E7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1601" w:type="dxa"/>
            <w:tcBorders>
              <w:bottom w:val="single" w:sz="12" w:space="0" w:color="auto"/>
            </w:tcBorders>
          </w:tcPr>
          <w:p w14:paraId="2E5A98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601" w:type="dxa"/>
            <w:tcBorders>
              <w:bottom w:val="single" w:sz="12" w:space="0" w:color="auto"/>
            </w:tcBorders>
          </w:tcPr>
          <w:p w14:paraId="649C88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70</w:t>
            </w:r>
          </w:p>
        </w:tc>
        <w:tc>
          <w:tcPr>
            <w:tcW w:w="1601" w:type="dxa"/>
            <w:tcBorders>
              <w:bottom w:val="single" w:sz="12" w:space="0" w:color="auto"/>
            </w:tcBorders>
          </w:tcPr>
          <w:p w14:paraId="643390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86</w:t>
            </w:r>
          </w:p>
        </w:tc>
        <w:tc>
          <w:tcPr>
            <w:tcW w:w="1601" w:type="dxa"/>
            <w:tcBorders>
              <w:bottom w:val="single" w:sz="12" w:space="0" w:color="auto"/>
            </w:tcBorders>
          </w:tcPr>
          <w:p w14:paraId="294A37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321</w:t>
            </w:r>
          </w:p>
        </w:tc>
        <w:tc>
          <w:tcPr>
            <w:tcW w:w="1601" w:type="dxa"/>
            <w:tcBorders>
              <w:bottom w:val="single" w:sz="12" w:space="0" w:color="auto"/>
            </w:tcBorders>
          </w:tcPr>
          <w:p w14:paraId="1F5207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330</w:t>
            </w:r>
          </w:p>
        </w:tc>
        <w:tc>
          <w:tcPr>
            <w:tcW w:w="1601" w:type="dxa"/>
            <w:tcBorders>
              <w:bottom w:val="single" w:sz="12" w:space="0" w:color="auto"/>
            </w:tcBorders>
          </w:tcPr>
          <w:p w14:paraId="28EFDA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815</w:t>
            </w:r>
          </w:p>
        </w:tc>
      </w:tr>
    </w:tbl>
    <w:p w14:paraId="465204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(11997).</w:t>
      </w:r>
    </w:p>
    <w:p w14:paraId="5395D22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5ABC1CA"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каких либо ощутимых измене</w:t>
      </w:r>
      <w:r w:rsidRPr="0044524F">
        <w:rPr>
          <w:rFonts w:ascii="Times New Roman" w:hAnsi="Times New Roman"/>
          <w:color w:val="000000" w:themeColor="text1"/>
          <w:sz w:val="16"/>
          <w:szCs w:val="16"/>
        </w:rPr>
        <w:softHyphen/>
        <w:t>ний в судьбе советского «Хейнкеля» не про</w:t>
      </w:r>
      <w:r w:rsidRPr="0044524F">
        <w:rPr>
          <w:rFonts w:ascii="Times New Roman" w:hAnsi="Times New Roman"/>
          <w:color w:val="000000" w:themeColor="text1"/>
          <w:sz w:val="16"/>
          <w:szCs w:val="16"/>
        </w:rPr>
        <w:softHyphen/>
        <w:t>изошло. Хотя производство И-5 уже полно</w:t>
      </w:r>
      <w:r w:rsidRPr="0044524F">
        <w:rPr>
          <w:rFonts w:ascii="Times New Roman" w:hAnsi="Times New Roman"/>
          <w:color w:val="000000" w:themeColor="text1"/>
          <w:sz w:val="16"/>
          <w:szCs w:val="16"/>
        </w:rPr>
        <w:softHyphen/>
        <w:t>стью перенесли в Нижний Новгород, на уве</w:t>
      </w:r>
      <w:r w:rsidRPr="0044524F">
        <w:rPr>
          <w:rFonts w:ascii="Times New Roman" w:hAnsi="Times New Roman"/>
          <w:color w:val="000000" w:themeColor="text1"/>
          <w:sz w:val="16"/>
          <w:szCs w:val="16"/>
        </w:rPr>
        <w:softHyphen/>
        <w:t>личении выпуска И-7 это событие особенно не сказалось. Авиазавод №1 за текущий год построил всего 15 машин этого типа. Часть самолетов в ходе производства подвергалась незначительным изменениям: перекомпоно</w:t>
      </w:r>
      <w:r w:rsidRPr="0044524F">
        <w:rPr>
          <w:rFonts w:ascii="Times New Roman" w:hAnsi="Times New Roman"/>
          <w:color w:val="000000" w:themeColor="text1"/>
          <w:sz w:val="16"/>
          <w:szCs w:val="16"/>
        </w:rPr>
        <w:softHyphen/>
        <w:t>вали приборное оборудование, передвинули вперед ручку управления для удобства поки</w:t>
      </w:r>
      <w:r w:rsidRPr="0044524F">
        <w:rPr>
          <w:rFonts w:ascii="Times New Roman" w:hAnsi="Times New Roman"/>
          <w:color w:val="000000" w:themeColor="text1"/>
          <w:sz w:val="16"/>
          <w:szCs w:val="16"/>
        </w:rPr>
        <w:softHyphen/>
        <w:t>дания с парашютом, увеличили угол накло</w:t>
      </w:r>
      <w:r w:rsidRPr="0044524F">
        <w:rPr>
          <w:rFonts w:ascii="Times New Roman" w:hAnsi="Times New Roman"/>
          <w:color w:val="000000" w:themeColor="text1"/>
          <w:sz w:val="16"/>
          <w:szCs w:val="16"/>
        </w:rPr>
        <w:softHyphen/>
        <w:t>на козырька пилота для уменьшения задува</w:t>
      </w:r>
      <w:r w:rsidRPr="0044524F">
        <w:rPr>
          <w:rFonts w:ascii="Times New Roman" w:hAnsi="Times New Roman"/>
          <w:color w:val="000000" w:themeColor="text1"/>
          <w:sz w:val="16"/>
          <w:szCs w:val="16"/>
        </w:rPr>
        <w:softHyphen/>
        <w:t>ния в кабине.</w:t>
      </w:r>
    </w:p>
    <w:p w14:paraId="19362EE3"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Более серьезным нововведением могла стать установка хвостового оперения дюра</w:t>
      </w:r>
      <w:r w:rsidRPr="0044524F">
        <w:rPr>
          <w:rFonts w:ascii="Times New Roman" w:hAnsi="Times New Roman"/>
          <w:color w:val="000000" w:themeColor="text1"/>
          <w:sz w:val="16"/>
          <w:szCs w:val="16"/>
        </w:rPr>
        <w:softHyphen/>
        <w:t>люминиевой конструкции. Диагональный силовой набор (змейкой) заменялся при этом обычными нервюрами, расположенными по потоку (12295).</w:t>
      </w:r>
    </w:p>
    <w:p w14:paraId="4EB17F66" w14:textId="77777777" w:rsidR="000904A1" w:rsidRPr="0044524F" w:rsidRDefault="000904A1" w:rsidP="009654CF">
      <w:pPr>
        <w:spacing w:after="0" w:line="240" w:lineRule="auto"/>
        <w:jc w:val="both"/>
        <w:rPr>
          <w:rFonts w:ascii="Times New Roman" w:hAnsi="Times New Roman"/>
          <w:color w:val="000000" w:themeColor="text1"/>
          <w:sz w:val="16"/>
          <w:szCs w:val="16"/>
        </w:rPr>
      </w:pPr>
    </w:p>
    <w:p w14:paraId="0A714A18" w14:textId="77777777" w:rsidR="000904A1" w:rsidRPr="0044524F" w:rsidRDefault="000904A1" w:rsidP="009654CF">
      <w:pPr>
        <w:pStyle w:val="49"/>
        <w:shd w:val="clear" w:color="auto" w:fill="auto"/>
        <w:spacing w:before="0" w:line="240" w:lineRule="auto"/>
        <w:jc w:val="both"/>
        <w:rPr>
          <w:rFonts w:ascii="Times New Roman" w:hAnsi="Times New Roman"/>
          <w:color w:val="000000" w:themeColor="text1"/>
          <w:spacing w:val="0"/>
          <w:sz w:val="16"/>
          <w:szCs w:val="16"/>
        </w:rPr>
      </w:pPr>
      <w:r w:rsidRPr="0044524F">
        <w:rPr>
          <w:rFonts w:ascii="Times New Roman" w:hAnsi="Times New Roman"/>
          <w:color w:val="000000" w:themeColor="text1"/>
          <w:spacing w:val="0"/>
          <w:sz w:val="16"/>
          <w:szCs w:val="16"/>
        </w:rPr>
        <w:t>1933 Краткое техническое описание самолета И-7 с мотором М-17 (Составлено по изданию УВВС РККА 1933 г.)</w:t>
      </w:r>
    </w:p>
    <w:p w14:paraId="37342C9F"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Предназначенный для армейской службы в ка</w:t>
      </w:r>
      <w:r w:rsidRPr="0044524F">
        <w:rPr>
          <w:rFonts w:ascii="Times New Roman" w:hAnsi="Times New Roman"/>
          <w:color w:val="000000" w:themeColor="text1"/>
          <w:sz w:val="16"/>
          <w:szCs w:val="16"/>
        </w:rPr>
        <w:softHyphen/>
        <w:t>честве самолета-истребителя, И-7 конструк</w:t>
      </w:r>
      <w:r w:rsidRPr="0044524F">
        <w:rPr>
          <w:rFonts w:ascii="Times New Roman" w:hAnsi="Times New Roman"/>
          <w:color w:val="000000" w:themeColor="text1"/>
          <w:sz w:val="16"/>
          <w:szCs w:val="16"/>
        </w:rPr>
        <w:softHyphen/>
        <w:t>тивно представляет собой классический обра</w:t>
      </w:r>
      <w:r w:rsidRPr="0044524F">
        <w:rPr>
          <w:rFonts w:ascii="Times New Roman" w:hAnsi="Times New Roman"/>
          <w:color w:val="000000" w:themeColor="text1"/>
          <w:sz w:val="16"/>
          <w:szCs w:val="16"/>
        </w:rPr>
        <w:softHyphen/>
        <w:t>зец смешанной конструкции. Основа фюзе</w:t>
      </w:r>
      <w:r w:rsidRPr="0044524F">
        <w:rPr>
          <w:rFonts w:ascii="Times New Roman" w:hAnsi="Times New Roman"/>
          <w:color w:val="000000" w:themeColor="text1"/>
          <w:sz w:val="16"/>
          <w:szCs w:val="16"/>
        </w:rPr>
        <w:softHyphen/>
        <w:t>ляжа — сварная пространственная ферма из стальных хромомолибденовых труб марки «М». Необходимую жесткость ферме обеспе</w:t>
      </w:r>
      <w:r w:rsidRPr="0044524F">
        <w:rPr>
          <w:rFonts w:ascii="Times New Roman" w:hAnsi="Times New Roman"/>
          <w:color w:val="000000" w:themeColor="text1"/>
          <w:sz w:val="16"/>
          <w:szCs w:val="16"/>
        </w:rPr>
        <w:softHyphen/>
        <w:t>чивали стальные проволочные расчалки. В но</w:t>
      </w:r>
      <w:r w:rsidRPr="0044524F">
        <w:rPr>
          <w:rFonts w:ascii="Times New Roman" w:hAnsi="Times New Roman"/>
          <w:color w:val="000000" w:themeColor="text1"/>
          <w:sz w:val="16"/>
          <w:szCs w:val="16"/>
        </w:rPr>
        <w:softHyphen/>
        <w:t>совой части ферма фюзеляжа усиливалась мо</w:t>
      </w:r>
      <w:r w:rsidRPr="0044524F">
        <w:rPr>
          <w:rFonts w:ascii="Times New Roman" w:hAnsi="Times New Roman"/>
          <w:color w:val="000000" w:themeColor="text1"/>
          <w:sz w:val="16"/>
          <w:szCs w:val="16"/>
        </w:rPr>
        <w:softHyphen/>
        <w:t>торамой, на которой жестко крепился двига</w:t>
      </w:r>
      <w:r w:rsidRPr="0044524F">
        <w:rPr>
          <w:rFonts w:ascii="Times New Roman" w:hAnsi="Times New Roman"/>
          <w:color w:val="000000" w:themeColor="text1"/>
          <w:sz w:val="16"/>
          <w:szCs w:val="16"/>
        </w:rPr>
        <w:softHyphen/>
        <w:t>тель М-17 (ВМ\У-У1). Двигатель закрывался дюралюминиевым капотом со съемными бо</w:t>
      </w:r>
      <w:r w:rsidRPr="0044524F">
        <w:rPr>
          <w:rFonts w:ascii="Times New Roman" w:hAnsi="Times New Roman"/>
          <w:color w:val="000000" w:themeColor="text1"/>
          <w:sz w:val="16"/>
          <w:szCs w:val="16"/>
        </w:rPr>
        <w:softHyphen/>
        <w:t>ковинами. В нижней части капота был распо</w:t>
      </w:r>
      <w:r w:rsidRPr="0044524F">
        <w:rPr>
          <w:rFonts w:ascii="Times New Roman" w:hAnsi="Times New Roman"/>
          <w:color w:val="000000" w:themeColor="text1"/>
          <w:sz w:val="16"/>
          <w:szCs w:val="16"/>
        </w:rPr>
        <w:softHyphen/>
        <w:t>ложен радиатор водяного охлаждения, уста</w:t>
      </w:r>
      <w:r w:rsidRPr="0044524F">
        <w:rPr>
          <w:rFonts w:ascii="Times New Roman" w:hAnsi="Times New Roman"/>
          <w:color w:val="000000" w:themeColor="text1"/>
          <w:sz w:val="16"/>
          <w:szCs w:val="16"/>
        </w:rPr>
        <w:softHyphen/>
        <w:t>новленный под углом 45° к направлению по</w:t>
      </w:r>
      <w:r w:rsidRPr="0044524F">
        <w:rPr>
          <w:rFonts w:ascii="Times New Roman" w:hAnsi="Times New Roman"/>
          <w:color w:val="000000" w:themeColor="text1"/>
          <w:sz w:val="16"/>
          <w:szCs w:val="16"/>
        </w:rPr>
        <w:softHyphen/>
        <w:t>лета. Радиатор собирался из латунных трубок длиной 237 мм и имел постоянную ширину 713 мм. Для регулировки охлаждения перед фрон</w:t>
      </w:r>
      <w:r w:rsidRPr="0044524F">
        <w:rPr>
          <w:rFonts w:ascii="Times New Roman" w:hAnsi="Times New Roman"/>
          <w:color w:val="000000" w:themeColor="text1"/>
          <w:sz w:val="16"/>
          <w:szCs w:val="16"/>
        </w:rPr>
        <w:softHyphen/>
        <w:t>тальной поверхностью радиатора имелись под</w:t>
      </w:r>
      <w:r w:rsidRPr="0044524F">
        <w:rPr>
          <w:rFonts w:ascii="Times New Roman" w:hAnsi="Times New Roman"/>
          <w:color w:val="000000" w:themeColor="text1"/>
          <w:sz w:val="16"/>
          <w:szCs w:val="16"/>
        </w:rPr>
        <w:softHyphen/>
        <w:t>вижные створки, управляемые из кабины пи</w:t>
      </w:r>
      <w:r w:rsidRPr="0044524F">
        <w:rPr>
          <w:rFonts w:ascii="Times New Roman" w:hAnsi="Times New Roman"/>
          <w:color w:val="000000" w:themeColor="text1"/>
          <w:sz w:val="16"/>
          <w:szCs w:val="16"/>
        </w:rPr>
        <w:softHyphen/>
        <w:t>лота. В нижней части радиатора размещался кран для слива воды, который закрывался ха</w:t>
      </w:r>
      <w:r w:rsidRPr="0044524F">
        <w:rPr>
          <w:rFonts w:ascii="Times New Roman" w:hAnsi="Times New Roman"/>
          <w:color w:val="000000" w:themeColor="text1"/>
          <w:sz w:val="16"/>
          <w:szCs w:val="16"/>
        </w:rPr>
        <w:softHyphen/>
        <w:t>рактерным каплевидным обтекателем.</w:t>
      </w:r>
    </w:p>
    <w:p w14:paraId="67A0A88D"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 капотом двигателя дюралевая обшив</w:t>
      </w:r>
      <w:r w:rsidRPr="0044524F">
        <w:rPr>
          <w:rFonts w:ascii="Times New Roman" w:hAnsi="Times New Roman"/>
          <w:color w:val="000000" w:themeColor="text1"/>
          <w:sz w:val="16"/>
          <w:szCs w:val="16"/>
        </w:rPr>
        <w:softHyphen/>
        <w:t>ка в верхней части фюзеляжа продолжалась до кабины пилота включительно. Борта фю</w:t>
      </w:r>
      <w:r w:rsidRPr="0044524F">
        <w:rPr>
          <w:rFonts w:ascii="Times New Roman" w:hAnsi="Times New Roman"/>
          <w:color w:val="000000" w:themeColor="text1"/>
          <w:sz w:val="16"/>
          <w:szCs w:val="16"/>
        </w:rPr>
        <w:softHyphen/>
        <w:t>зеляжа, начиная от первого шпангоута, об</w:t>
      </w:r>
      <w:r w:rsidRPr="0044524F">
        <w:rPr>
          <w:rFonts w:ascii="Times New Roman" w:hAnsi="Times New Roman"/>
          <w:color w:val="000000" w:themeColor="text1"/>
          <w:sz w:val="16"/>
          <w:szCs w:val="16"/>
        </w:rPr>
        <w:softHyphen/>
        <w:t>шивались полотном. Для крепления полот</w:t>
      </w:r>
      <w:r w:rsidRPr="0044524F">
        <w:rPr>
          <w:rFonts w:ascii="Times New Roman" w:hAnsi="Times New Roman"/>
          <w:color w:val="000000" w:themeColor="text1"/>
          <w:sz w:val="16"/>
          <w:szCs w:val="16"/>
        </w:rPr>
        <w:softHyphen/>
        <w:t>няной обшивки ферма имела дополнитель</w:t>
      </w:r>
      <w:r w:rsidRPr="0044524F">
        <w:rPr>
          <w:rFonts w:ascii="Times New Roman" w:hAnsi="Times New Roman"/>
          <w:color w:val="000000" w:themeColor="text1"/>
          <w:sz w:val="16"/>
          <w:szCs w:val="16"/>
        </w:rPr>
        <w:softHyphen/>
        <w:t>ные стрингеры, которые придавали фюзе</w:t>
      </w:r>
      <w:r w:rsidRPr="0044524F">
        <w:rPr>
          <w:rFonts w:ascii="Times New Roman" w:hAnsi="Times New Roman"/>
          <w:color w:val="000000" w:themeColor="text1"/>
          <w:sz w:val="16"/>
          <w:szCs w:val="16"/>
        </w:rPr>
        <w:softHyphen/>
        <w:t>ляжу в законченном виде «ребристый» вид. Чистота этих линий прерывалась нескольки</w:t>
      </w:r>
      <w:r w:rsidRPr="0044524F">
        <w:rPr>
          <w:rFonts w:ascii="Times New Roman" w:hAnsi="Times New Roman"/>
          <w:color w:val="000000" w:themeColor="text1"/>
          <w:sz w:val="16"/>
          <w:szCs w:val="16"/>
        </w:rPr>
        <w:softHyphen/>
        <w:t>ми эксплуатационными люками, предназна</w:t>
      </w:r>
      <w:r w:rsidRPr="0044524F">
        <w:rPr>
          <w:rFonts w:ascii="Times New Roman" w:hAnsi="Times New Roman"/>
          <w:color w:val="000000" w:themeColor="text1"/>
          <w:sz w:val="16"/>
          <w:szCs w:val="16"/>
        </w:rPr>
        <w:softHyphen/>
        <w:t>ченным для подхода к управлению, костылю, фото- и радиооборудованию.</w:t>
      </w:r>
    </w:p>
    <w:p w14:paraId="196F0C6E"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Бипланная коробка крыльев И-7 собира</w:t>
      </w:r>
      <w:r w:rsidRPr="0044524F">
        <w:rPr>
          <w:rFonts w:ascii="Times New Roman" w:hAnsi="Times New Roman"/>
          <w:color w:val="000000" w:themeColor="text1"/>
          <w:sz w:val="16"/>
          <w:szCs w:val="16"/>
        </w:rPr>
        <w:softHyphen/>
        <w:t>лась по распространенной схеме и крепилась к ферме фюзеляжа. Девая и правая половины верхнего крыла соединялись с небольшим центропланом, половины нижнего крыла стыковались с нижним лонжероном фюзе</w:t>
      </w:r>
      <w:r w:rsidRPr="0044524F">
        <w:rPr>
          <w:rFonts w:ascii="Times New Roman" w:hAnsi="Times New Roman"/>
          <w:color w:val="000000" w:themeColor="text1"/>
          <w:sz w:val="16"/>
          <w:szCs w:val="16"/>
        </w:rPr>
        <w:softHyphen/>
        <w:t>ляжа. Между собой верхнее и нижнее кры</w:t>
      </w:r>
      <w:r w:rsidRPr="0044524F">
        <w:rPr>
          <w:rFonts w:ascii="Times New Roman" w:hAnsi="Times New Roman"/>
          <w:color w:val="000000" w:themeColor="text1"/>
          <w:sz w:val="16"/>
          <w:szCs w:val="16"/>
        </w:rPr>
        <w:softHyphen/>
        <w:t>ло соединялись Ы-образными стойками, вы</w:t>
      </w:r>
      <w:r w:rsidRPr="0044524F">
        <w:rPr>
          <w:rFonts w:ascii="Times New Roman" w:hAnsi="Times New Roman"/>
          <w:color w:val="000000" w:themeColor="text1"/>
          <w:sz w:val="16"/>
          <w:szCs w:val="16"/>
        </w:rPr>
        <w:softHyphen/>
        <w:t>полненными из стальных труб каплевидного сечения. Необходимая жесткость всей систе</w:t>
      </w:r>
      <w:r w:rsidRPr="0044524F">
        <w:rPr>
          <w:rFonts w:ascii="Times New Roman" w:hAnsi="Times New Roman"/>
          <w:color w:val="000000" w:themeColor="text1"/>
          <w:sz w:val="16"/>
          <w:szCs w:val="16"/>
        </w:rPr>
        <w:softHyphen/>
        <w:t>мы достигалась ленточными расчалками.</w:t>
      </w:r>
    </w:p>
    <w:p w14:paraId="543C9E51"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Узлы соединения стоек с крылом прикры</w:t>
      </w:r>
      <w:r w:rsidRPr="0044524F">
        <w:rPr>
          <w:rFonts w:ascii="Times New Roman" w:hAnsi="Times New Roman"/>
          <w:color w:val="000000" w:themeColor="text1"/>
          <w:sz w:val="16"/>
          <w:szCs w:val="16"/>
        </w:rPr>
        <w:softHyphen/>
        <w:t>ты обтекателями. Конструкция обоих кры</w:t>
      </w:r>
      <w:r w:rsidRPr="0044524F">
        <w:rPr>
          <w:rFonts w:ascii="Times New Roman" w:hAnsi="Times New Roman"/>
          <w:color w:val="000000" w:themeColor="text1"/>
          <w:sz w:val="16"/>
          <w:szCs w:val="16"/>
        </w:rPr>
        <w:softHyphen/>
        <w:t>льев деревянная, двухлонжеронная. Про</w:t>
      </w:r>
      <w:r w:rsidRPr="0044524F">
        <w:rPr>
          <w:rFonts w:ascii="Times New Roman" w:hAnsi="Times New Roman"/>
          <w:color w:val="000000" w:themeColor="text1"/>
          <w:sz w:val="16"/>
          <w:szCs w:val="16"/>
        </w:rPr>
        <w:softHyphen/>
        <w:t>странство между лонжеронами для обеспече</w:t>
      </w:r>
      <w:r w:rsidRPr="0044524F">
        <w:rPr>
          <w:rFonts w:ascii="Times New Roman" w:hAnsi="Times New Roman"/>
          <w:color w:val="000000" w:themeColor="text1"/>
          <w:sz w:val="16"/>
          <w:szCs w:val="16"/>
        </w:rPr>
        <w:softHyphen/>
        <w:t>ния необходимой жесткости снизу зашива</w:t>
      </w:r>
      <w:r w:rsidRPr="0044524F">
        <w:rPr>
          <w:rFonts w:ascii="Times New Roman" w:hAnsi="Times New Roman"/>
          <w:color w:val="000000" w:themeColor="text1"/>
          <w:sz w:val="16"/>
          <w:szCs w:val="16"/>
        </w:rPr>
        <w:softHyphen/>
        <w:t>лось фанерой толщиной 1,0 мм.</w:t>
      </w:r>
    </w:p>
    <w:p w14:paraId="349278C5"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Элероны имелись на верхнем и нижнем крыле, они были сварены из тонких сталь</w:t>
      </w:r>
      <w:r w:rsidRPr="0044524F">
        <w:rPr>
          <w:rFonts w:ascii="Times New Roman" w:hAnsi="Times New Roman"/>
          <w:color w:val="000000" w:themeColor="text1"/>
          <w:sz w:val="16"/>
          <w:szCs w:val="16"/>
        </w:rPr>
        <w:softHyphen/>
        <w:t>ных труб с последующим покрытием полот</w:t>
      </w:r>
      <w:r w:rsidRPr="0044524F">
        <w:rPr>
          <w:rFonts w:ascii="Times New Roman" w:hAnsi="Times New Roman"/>
          <w:color w:val="000000" w:themeColor="text1"/>
          <w:sz w:val="16"/>
          <w:szCs w:val="16"/>
        </w:rPr>
        <w:softHyphen/>
        <w:t>ном. Непосредственно с управлением из ка</w:t>
      </w:r>
      <w:r w:rsidRPr="0044524F">
        <w:rPr>
          <w:rFonts w:ascii="Times New Roman" w:hAnsi="Times New Roman"/>
          <w:color w:val="000000" w:themeColor="text1"/>
          <w:sz w:val="16"/>
          <w:szCs w:val="16"/>
        </w:rPr>
        <w:softHyphen/>
        <w:t>бины связаны элероны нижнего крыла, вер</w:t>
      </w:r>
      <w:r w:rsidRPr="0044524F">
        <w:rPr>
          <w:rFonts w:ascii="Times New Roman" w:hAnsi="Times New Roman"/>
          <w:color w:val="000000" w:themeColor="text1"/>
          <w:sz w:val="16"/>
          <w:szCs w:val="16"/>
        </w:rPr>
        <w:softHyphen/>
        <w:t>хние элероны соединялись с нижними при помощи каплевидных труб.</w:t>
      </w:r>
    </w:p>
    <w:p w14:paraId="722FF441"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Шасси пирамидальной схемы из стальных труб круглого и профилированного сечения, центральная ось оснащена шарниром по оси самолета. Колея шасси 1,74 м, колеса разме</w:t>
      </w:r>
      <w:r w:rsidRPr="0044524F">
        <w:rPr>
          <w:rFonts w:ascii="Times New Roman" w:hAnsi="Times New Roman"/>
          <w:color w:val="000000" w:themeColor="text1"/>
          <w:sz w:val="16"/>
          <w:szCs w:val="16"/>
        </w:rPr>
        <w:softHyphen/>
        <w:t>ром 700x125 мм. Амортизаторы выполнены в виде пакета резиновых пластин, прикрытых дюралевым обтекателем. Костыль из сварной стальной трубы с приваренной в нижней ча</w:t>
      </w:r>
      <w:r w:rsidRPr="0044524F">
        <w:rPr>
          <w:rFonts w:ascii="Times New Roman" w:hAnsi="Times New Roman"/>
          <w:color w:val="000000" w:themeColor="text1"/>
          <w:sz w:val="16"/>
          <w:szCs w:val="16"/>
        </w:rPr>
        <w:softHyphen/>
        <w:t>сти пяткой для установки съемного башмака или «лыжонка». В период зимней эксплуата</w:t>
      </w:r>
      <w:r w:rsidRPr="0044524F">
        <w:rPr>
          <w:rFonts w:ascii="Times New Roman" w:hAnsi="Times New Roman"/>
          <w:color w:val="000000" w:themeColor="text1"/>
          <w:sz w:val="16"/>
          <w:szCs w:val="16"/>
        </w:rPr>
        <w:softHyphen/>
        <w:t>ции И-7 оборудовался деревянными лыжа</w:t>
      </w:r>
      <w:r w:rsidRPr="0044524F">
        <w:rPr>
          <w:rFonts w:ascii="Times New Roman" w:hAnsi="Times New Roman"/>
          <w:color w:val="000000" w:themeColor="text1"/>
          <w:sz w:val="16"/>
          <w:szCs w:val="16"/>
        </w:rPr>
        <w:softHyphen/>
        <w:t>ми обтекаемой формы, размером 1,97x0,4 м, с ясеневой подошвой толщиной 12 мм.</w:t>
      </w:r>
    </w:p>
    <w:p w14:paraId="34BA67E3"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Стрелковое вооружение самолета состояло из двух синхронных пулеметов ПВ-1, распо</w:t>
      </w:r>
      <w:r w:rsidRPr="0044524F">
        <w:rPr>
          <w:rFonts w:ascii="Times New Roman" w:hAnsi="Times New Roman"/>
          <w:color w:val="000000" w:themeColor="text1"/>
          <w:sz w:val="16"/>
          <w:szCs w:val="16"/>
        </w:rPr>
        <w:softHyphen/>
        <w:t>ложенных в верхней части фюзеляжа. Стре</w:t>
      </w:r>
      <w:r w:rsidRPr="0044524F">
        <w:rPr>
          <w:rFonts w:ascii="Times New Roman" w:hAnsi="Times New Roman"/>
          <w:color w:val="000000" w:themeColor="text1"/>
          <w:sz w:val="16"/>
          <w:szCs w:val="16"/>
        </w:rPr>
        <w:softHyphen/>
        <w:t>ляные гильзы выбрасывались наружу, отра</w:t>
      </w:r>
      <w:r w:rsidRPr="0044524F">
        <w:rPr>
          <w:rFonts w:ascii="Times New Roman" w:hAnsi="Times New Roman"/>
          <w:color w:val="000000" w:themeColor="text1"/>
          <w:sz w:val="16"/>
          <w:szCs w:val="16"/>
        </w:rPr>
        <w:softHyphen/>
        <w:t>ботанные звенья патронной ленты собира</w:t>
      </w:r>
      <w:r w:rsidRPr="0044524F">
        <w:rPr>
          <w:rFonts w:ascii="Times New Roman" w:hAnsi="Times New Roman"/>
          <w:color w:val="000000" w:themeColor="text1"/>
          <w:sz w:val="16"/>
          <w:szCs w:val="16"/>
        </w:rPr>
        <w:softHyphen/>
        <w:t>лись в специальные коробки. Прицеливание при стрельбе осуществлялось при помощи оптического прицела «Альдис» (ОП-1), по бокам которого имелись два кольцевых при</w:t>
      </w:r>
      <w:r w:rsidRPr="0044524F">
        <w:rPr>
          <w:rFonts w:ascii="Times New Roman" w:hAnsi="Times New Roman"/>
          <w:color w:val="000000" w:themeColor="text1"/>
          <w:sz w:val="16"/>
          <w:szCs w:val="16"/>
        </w:rPr>
        <w:softHyphen/>
        <w:t>цела КП-5.</w:t>
      </w:r>
    </w:p>
    <w:p w14:paraId="6E30361F"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 кабиной пилота располагался неболь</w:t>
      </w:r>
      <w:r w:rsidRPr="0044524F">
        <w:rPr>
          <w:rFonts w:ascii="Times New Roman" w:hAnsi="Times New Roman"/>
          <w:color w:val="000000" w:themeColor="text1"/>
          <w:sz w:val="16"/>
          <w:szCs w:val="16"/>
        </w:rPr>
        <w:softHyphen/>
        <w:t>шой отсек, оборудованный бомбодержате</w:t>
      </w:r>
      <w:r w:rsidRPr="0044524F">
        <w:rPr>
          <w:rFonts w:ascii="Times New Roman" w:hAnsi="Times New Roman"/>
          <w:color w:val="000000" w:themeColor="text1"/>
          <w:sz w:val="16"/>
          <w:szCs w:val="16"/>
        </w:rPr>
        <w:softHyphen/>
        <w:t>лями типа ДЕР-5 для подвески осколочных бомб весом 8 кг. В нижней обшивке фюзе</w:t>
      </w:r>
      <w:r w:rsidRPr="0044524F">
        <w:rPr>
          <w:rFonts w:ascii="Times New Roman" w:hAnsi="Times New Roman"/>
          <w:color w:val="000000" w:themeColor="text1"/>
          <w:sz w:val="16"/>
          <w:szCs w:val="16"/>
        </w:rPr>
        <w:softHyphen/>
        <w:t>ляжа для сброса бомб имелся двухстворча</w:t>
      </w:r>
      <w:r w:rsidRPr="0044524F">
        <w:rPr>
          <w:rFonts w:ascii="Times New Roman" w:hAnsi="Times New Roman"/>
          <w:color w:val="000000" w:themeColor="text1"/>
          <w:sz w:val="16"/>
          <w:szCs w:val="16"/>
        </w:rPr>
        <w:softHyphen/>
        <w:t>тый люк (12295).</w:t>
      </w:r>
    </w:p>
    <w:p w14:paraId="4A99281D" w14:textId="77777777" w:rsidR="000904A1" w:rsidRPr="0044524F" w:rsidRDefault="000904A1" w:rsidP="009654CF">
      <w:pPr>
        <w:spacing w:after="0" w:line="240" w:lineRule="auto"/>
        <w:jc w:val="both"/>
        <w:rPr>
          <w:rFonts w:ascii="Times New Roman" w:hAnsi="Times New Roman"/>
          <w:color w:val="000000" w:themeColor="text1"/>
          <w:sz w:val="16"/>
          <w:szCs w:val="16"/>
        </w:rPr>
      </w:pPr>
    </w:p>
    <w:p w14:paraId="70A4CD41"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лётчик К.К. Попов впервые провёл испытания И-14 на штопор. Испытание опыт</w:t>
      </w:r>
      <w:r w:rsidRPr="0044524F">
        <w:rPr>
          <w:rFonts w:ascii="Times New Roman" w:hAnsi="Times New Roman"/>
          <w:color w:val="000000" w:themeColor="text1"/>
          <w:sz w:val="16"/>
          <w:szCs w:val="16"/>
        </w:rPr>
        <w:softHyphen/>
        <w:t>ной машины соответствовало требованиям — максимальное запаздывание после четырёх витков составляло: правый штопор — 2,25 витка, левый — 2,5 витка. Отмечалось наличие двух режимов штопорения — крутого и приближающегося к плоскому, в зависимости от способа ввода. В Заключении указали способы вывода из того и другого типа штопора. Самолёт с полетной массой 1455 кг имел лыжное шасси и синхронный пулемёт (15823).</w:t>
      </w:r>
    </w:p>
    <w:p w14:paraId="7D6325F4" w14:textId="77777777" w:rsidR="00742DA3" w:rsidRPr="0044524F" w:rsidRDefault="00742DA3" w:rsidP="009654CF">
      <w:pPr>
        <w:spacing w:after="0" w:line="240" w:lineRule="auto"/>
        <w:jc w:val="both"/>
        <w:rPr>
          <w:rFonts w:ascii="Times New Roman" w:hAnsi="Times New Roman"/>
          <w:color w:val="000000" w:themeColor="text1"/>
          <w:sz w:val="16"/>
          <w:szCs w:val="16"/>
        </w:rPr>
      </w:pPr>
    </w:p>
    <w:p w14:paraId="5FB3FED8" w14:textId="77777777" w:rsidR="00F30A45" w:rsidRPr="0044524F" w:rsidRDefault="00F30A4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1933 г. под руководством Александра Ивановича Путилова, занимавшегося созданием пассажирских самолётов из нержавеющей стали, был разработан «летающего крыла» XI («Сталь-5») с двумя двигателями М-34Ф мощностью по 860 л. с. Это была многоцелевая машина: её предполагалось использовать для распыления отравляющих веществ («химический боевик» по терминологии того времени), для доставки горючего или для перевозки 18 пассажиров. Размах крыла — 23 м, площадь — 120 м2, взлётный вес — около 8 т. В военном варианте XI мог брать 2 т боевой нагрузки, вооружение — 5 пулемётов, скорость — 250 км/ч, радиус действия — 600 км. Силовой набор самолёта — из стали, обшивка — фанерная. </w:t>
      </w:r>
    </w:p>
    <w:p w14:paraId="17449264" w14:textId="77777777" w:rsidR="00F30A45" w:rsidRPr="0044524F" w:rsidRDefault="00F30A4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Для проверки лётных свойств машины в 1935 г. на заводе № 81 построили её экспериментальный варианте размахом крыла 6 м и двумя двигателями «Сальмсон» по 45 л. с. Это был одноместный бесхвостый моноплан с трапециевидным крылом, на концах которого находились «шайбы» вертикального оперения. К задней кромке крыла крепились элероны и рули высоты в виде подвесных закрылков перевёрнутого профиля. </w:t>
      </w:r>
    </w:p>
    <w:p w14:paraId="3CB0CBB6" w14:textId="77777777" w:rsidR="00F30A45" w:rsidRPr="0044524F" w:rsidRDefault="00F30A4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За время непродолжительных испытаний выяснилось, что самолёт реагирует на малейшее движение ручки управления и летать на нём трудно. В результате Путилов отказался от постройки большого «летающего крыла». Изготовленный для него лонжерон экспонировался в Политехническом музее в Москве. </w:t>
      </w:r>
    </w:p>
    <w:p w14:paraId="6583E699" w14:textId="77777777" w:rsidR="00F30A45" w:rsidRPr="0044524F" w:rsidRDefault="00F30A45" w:rsidP="009654CF">
      <w:pPr>
        <w:spacing w:after="0" w:line="240" w:lineRule="auto"/>
        <w:jc w:val="both"/>
        <w:rPr>
          <w:rFonts w:ascii="Times New Roman" w:eastAsia="Times New Roman" w:hAnsi="Times New Roman"/>
          <w:color w:val="000000" w:themeColor="text1"/>
          <w:sz w:val="16"/>
          <w:szCs w:val="16"/>
          <w:lang w:eastAsia="ru-RU"/>
        </w:rPr>
      </w:pPr>
    </w:p>
    <w:p w14:paraId="1032617D" w14:textId="77777777" w:rsidR="00F30A45" w:rsidRPr="0044524F" w:rsidRDefault="00F30A4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В 1933 г. при участии студентов преподаватель Московского авиационного института инженер Аркадий Львович Гиммельфарб разработал проект одномоторного четырёхместного электронного самолёта Э-1. Производственную поддержку энтузиасты из МАИ нашли в лице директора ГАЗ № 1 А.М. Беленковича. На этом старейшем московском авиазаводе с 1930 г. вели опыты по изготовлению деталей из электрона. К 1933 г. там были освоены методы плавки и литья магниевых сплавов под флюсом, выпущены первые листы из электрона и детали из этого материала, вёлся поиск химических методов защиты от коррозии. Так как магниевые изделия очень хрупки, каждый раз перед обработкой их приходилось нагревать для повышения пластичности. Работы велись в одном из цехов завода в небольшой мастерской, где трудились всего пять человек: три медника, один мастер и один техник.</w:t>
      </w:r>
    </w:p>
    <w:p w14:paraId="77D2AD15" w14:textId="77777777" w:rsidR="00F30A45" w:rsidRPr="0044524F" w:rsidRDefault="00F30A4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Участник работ И.И. Аврутин пишет: «В этой мастерской учились нагревать паяльными лампами листовой электрон (вначале по неопытности пережигали материал), загибать уголки и, наконец, начали изготовлять кницы, уголки и обводы нервюры крыла для статических испытаний.</w:t>
      </w:r>
    </w:p>
    <w:p w14:paraId="6846F311" w14:textId="77777777" w:rsidR="00F30A45" w:rsidRPr="0044524F" w:rsidRDefault="00F30A4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Попутно с организацией мастерских в Московском авиационном институте конструкторская группа (в большинстве своём состоявшая из студентов) заканчивала разработку первого в истории авиации нашего Союза цельноэлектронного самолёта. Вся работа была построена по принципу кооперации, на что имелись официальные договоры, заключенные между участниками» </w:t>
      </w:r>
      <w:hyperlink r:id="rId437" w:history="1">
        <w:r w:rsidRPr="0044524F">
          <w:rPr>
            <w:rFonts w:ascii="Times New Roman" w:eastAsia="Times New Roman" w:hAnsi="Times New Roman"/>
            <w:color w:val="000000" w:themeColor="text1"/>
            <w:sz w:val="16"/>
            <w:szCs w:val="16"/>
            <w:lang w:eastAsia="ru-RU"/>
          </w:rPr>
          <w:t>[146]</w:t>
        </w:r>
      </w:hyperlink>
      <w:r w:rsidRPr="0044524F">
        <w:rPr>
          <w:rFonts w:ascii="Times New Roman" w:eastAsia="Times New Roman" w:hAnsi="Times New Roman"/>
          <w:color w:val="000000" w:themeColor="text1"/>
          <w:sz w:val="16"/>
          <w:szCs w:val="16"/>
          <w:lang w:eastAsia="ru-RU"/>
        </w:rPr>
        <w:t xml:space="preserve"> .</w:t>
      </w:r>
    </w:p>
    <w:p w14:paraId="04E7B782" w14:textId="77777777" w:rsidR="00F30A45" w:rsidRPr="0044524F" w:rsidRDefault="00F30A4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Из-за низкой пластичности электрона брак при обжиме труб в первые месяцы составлял около 90 %. По несколько раз приходилось переделывать и другие детали, так как в местах деформаций возникали трещины. Пришлось изготовить немало специальных приспособлений: электрифицированные нагреваемые патроны для обжатия труб, гибочные машины, специальные тиски с подогревом и др.</w:t>
      </w:r>
    </w:p>
    <w:p w14:paraId="4877B205" w14:textId="77777777" w:rsidR="00F30A45" w:rsidRPr="0044524F" w:rsidRDefault="00F30A45"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Первым крупным изделием, выпущенным «электронной мастерской», стал монокок хвостовой части фюзеляжа, который при статических испытаниях показал вполне удовлетворительные результаты. После удачных испытаний мнение об электроне как конструкционном материале у многих работников авиапромышленности изменилось к лучшему. Летом 1934 г. были готовы центральная часть фюзеляжа и крыло для статических испытаний, одновременно запустили в производство хвостовое оперение и крылья лётного экземпляра. При постройке самолёта использовался приобретённый у фирмы «Фарбениндустри» электрон марки AZM (17489).</w:t>
      </w:r>
    </w:p>
    <w:p w14:paraId="32F541B5" w14:textId="77777777" w:rsidR="00F30A45" w:rsidRPr="0044524F" w:rsidRDefault="00F30A45" w:rsidP="009654CF">
      <w:pPr>
        <w:spacing w:after="0" w:line="240" w:lineRule="auto"/>
        <w:jc w:val="both"/>
        <w:rPr>
          <w:rFonts w:ascii="Times New Roman" w:eastAsia="Times New Roman" w:hAnsi="Times New Roman"/>
          <w:color w:val="000000" w:themeColor="text1"/>
          <w:sz w:val="16"/>
          <w:szCs w:val="16"/>
          <w:lang w:eastAsia="ru-RU"/>
        </w:rPr>
      </w:pPr>
    </w:p>
    <w:p w14:paraId="05E69912"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ГУАП, согласно документов Осоавиахима "начинает проектирование специального комбината легкомоторной авиации... В качестве машины первого типа (связь, агитация, исполкомовский) мы имеем самолет АИР-6, по своим данным вполне удовлетворяющий предъявленным ему требованиям" (15727).</w:t>
      </w:r>
    </w:p>
    <w:p w14:paraId="7A8AF29F" w14:textId="77777777" w:rsidR="00742DA3" w:rsidRPr="0044524F" w:rsidRDefault="00742DA3" w:rsidP="009654CF">
      <w:pPr>
        <w:spacing w:after="0" w:line="240" w:lineRule="auto"/>
        <w:jc w:val="both"/>
        <w:rPr>
          <w:rFonts w:ascii="Times New Roman" w:hAnsi="Times New Roman"/>
          <w:color w:val="000000" w:themeColor="text1"/>
          <w:sz w:val="16"/>
          <w:szCs w:val="16"/>
        </w:rPr>
      </w:pPr>
    </w:p>
    <w:p w14:paraId="3F8AA89C"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для изучения возможности взлета и посадки на воду Грибовский построил первый в СССР гидропланер - Г-12.</w:t>
      </w:r>
    </w:p>
    <w:p w14:paraId="45734369"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Фюзеляж планера представлял собой однореданную лодку с усилением в нижней части в виде ясеневого полоза для посадки на сушу. Г-12 имел подкрыльевые поплавки с полотняной обшивкой сверху и фанерным днищем. При необходимости поплавки легко снимались.</w:t>
      </w:r>
    </w:p>
    <w:p w14:paraId="71EDEBB5"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Созданию гидропланера Г-12 способствовало то обстоятельство, что многие российские города, расположенные на Волге, Каме, Оке и других больших реках имеют хорошие гористые склоны, удобные для проведения учебных полетов на планерах. Одновременно считалось, что осуществление парящих полетов в этих районах небезопасно, если только не использовать для посадки водную поверхность.</w:t>
      </w:r>
    </w:p>
    <w:p w14:paraId="4F78736B"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Планер имел целиком серебристую окраску. На IX планерном слете он получил номер «52» черного цвета, нанесенный с обеих сторон руля направления. После прохождения стандартных испытаний Г-12 совершил перелет с горы Узун-Сырт в Голубой запив Коктебеля с посадкой на воду, где были проведены опыты по взлету с воды. Буксировка тихоходным катером, а затем самолетом-амфибией Ш-2 не дала положительных результатов, так как при погружении одного из боковых поплавков в волну планер получал большое рысканье и терял скорость. В конечном результате опыты прекратили и далее Г-12 летал только в «сухопутном» варианте.</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92"/>
        <w:gridCol w:w="6630"/>
      </w:tblGrid>
      <w:tr w:rsidR="004E10C1" w:rsidRPr="0044524F" w14:paraId="1904490D"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AF0A2AA"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Модификация</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C9D48F2" w14:textId="6D6A3D0D" w:rsidR="00DF1D0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DF1D09" w:rsidRPr="0044524F">
              <w:rPr>
                <w:rFonts w:ascii="Times New Roman" w:hAnsi="Times New Roman"/>
                <w:color w:val="000000" w:themeColor="text1"/>
                <w:sz w:val="16"/>
                <w:szCs w:val="16"/>
              </w:rPr>
              <w:t>Г-12</w:t>
            </w:r>
          </w:p>
        </w:tc>
      </w:tr>
      <w:tr w:rsidR="004E10C1" w:rsidRPr="0044524F" w14:paraId="44F2294B"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54734918"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крыла,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5C80199" w14:textId="7EFAC780" w:rsidR="00DF1D0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DF1D09" w:rsidRPr="0044524F">
              <w:rPr>
                <w:rFonts w:ascii="Times New Roman" w:hAnsi="Times New Roman"/>
                <w:color w:val="000000" w:themeColor="text1"/>
                <w:sz w:val="16"/>
                <w:szCs w:val="16"/>
              </w:rPr>
              <w:t>15.20</w:t>
            </w:r>
          </w:p>
        </w:tc>
      </w:tr>
      <w:tr w:rsidR="004E10C1" w:rsidRPr="0044524F" w14:paraId="46C0AEE4"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926EC81"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54BC491" w14:textId="0D4162EE" w:rsidR="00DF1D0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DF1D09" w:rsidRPr="0044524F">
              <w:rPr>
                <w:rFonts w:ascii="Times New Roman" w:hAnsi="Times New Roman"/>
                <w:color w:val="000000" w:themeColor="text1"/>
                <w:sz w:val="16"/>
                <w:szCs w:val="16"/>
              </w:rPr>
              <w:t>6.50</w:t>
            </w:r>
          </w:p>
        </w:tc>
      </w:tr>
      <w:tr w:rsidR="004E10C1" w:rsidRPr="0044524F" w14:paraId="617120D5"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9022DDA"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13A5F9E9" w14:textId="78C15B82" w:rsidR="00DF1D0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DF1D09" w:rsidRPr="0044524F">
              <w:rPr>
                <w:rFonts w:ascii="Times New Roman" w:hAnsi="Times New Roman"/>
                <w:color w:val="000000" w:themeColor="text1"/>
                <w:sz w:val="16"/>
                <w:szCs w:val="16"/>
              </w:rPr>
              <w:t>1.45</w:t>
            </w:r>
          </w:p>
        </w:tc>
      </w:tr>
      <w:tr w:rsidR="004E10C1" w:rsidRPr="0044524F" w14:paraId="266D2850"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C056644"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крыла, м</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6312535" w14:textId="3A2352A0" w:rsidR="00DF1D0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DF1D09" w:rsidRPr="0044524F">
              <w:rPr>
                <w:rFonts w:ascii="Times New Roman" w:hAnsi="Times New Roman"/>
                <w:color w:val="000000" w:themeColor="text1"/>
                <w:sz w:val="16"/>
                <w:szCs w:val="16"/>
              </w:rPr>
              <w:t>15.40</w:t>
            </w:r>
          </w:p>
        </w:tc>
      </w:tr>
      <w:tr w:rsidR="004E10C1" w:rsidRPr="0044524F" w14:paraId="2E57728A"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4B05888"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кг</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C414095"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18633DF7"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BD1ECE0" w14:textId="5729B2E4" w:rsidR="00DF1D0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lastRenderedPageBreak/>
              <w:t xml:space="preserve"> </w:t>
            </w:r>
            <w:r w:rsidR="00DF1D09" w:rsidRPr="0044524F">
              <w:rPr>
                <w:rFonts w:ascii="Times New Roman" w:hAnsi="Times New Roman"/>
                <w:color w:val="000000" w:themeColor="text1"/>
                <w:sz w:val="16"/>
                <w:szCs w:val="16"/>
              </w:rPr>
              <w:t>пустого снаряженного</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6F7937EC" w14:textId="7E720B56" w:rsidR="00DF1D0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DF1D09" w:rsidRPr="0044524F">
              <w:rPr>
                <w:rFonts w:ascii="Times New Roman" w:hAnsi="Times New Roman"/>
                <w:color w:val="000000" w:themeColor="text1"/>
                <w:sz w:val="16"/>
                <w:szCs w:val="16"/>
              </w:rPr>
              <w:t>157</w:t>
            </w:r>
          </w:p>
        </w:tc>
      </w:tr>
      <w:tr w:rsidR="004E10C1" w:rsidRPr="0044524F" w14:paraId="465F192F"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324CEF7E" w14:textId="7BF1E95D" w:rsidR="00DF1D0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DF1D09" w:rsidRPr="0044524F">
              <w:rPr>
                <w:rFonts w:ascii="Times New Roman" w:hAnsi="Times New Roman"/>
                <w:color w:val="000000" w:themeColor="text1"/>
                <w:sz w:val="16"/>
                <w:szCs w:val="16"/>
              </w:rPr>
              <w:t>максимальная взлетная</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C8C888B"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w:t>
            </w:r>
          </w:p>
        </w:tc>
      </w:tr>
      <w:tr w:rsidR="004E10C1" w:rsidRPr="0044524F" w14:paraId="6DB1C2FC" w14:textId="77777777" w:rsidTr="004539AF">
        <w:trPr>
          <w:trHeight w:val="180"/>
        </w:trPr>
        <w:tc>
          <w:tcPr>
            <w:tcW w:w="3870"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4955EE00"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w:t>
            </w:r>
          </w:p>
        </w:tc>
        <w:tc>
          <w:tcPr>
            <w:tcW w:w="5469" w:type="dxa"/>
            <w:tcBorders>
              <w:top w:val="single" w:sz="6" w:space="0" w:color="BDBDBD"/>
              <w:left w:val="single" w:sz="6" w:space="0" w:color="BDBDBD"/>
              <w:bottom w:val="single" w:sz="6" w:space="0" w:color="BDBDBD"/>
              <w:right w:val="single" w:sz="6" w:space="0" w:color="BDBDBD"/>
            </w:tcBorders>
            <w:tcMar>
              <w:top w:w="168" w:type="dxa"/>
              <w:left w:w="72" w:type="dxa"/>
              <w:bottom w:w="168" w:type="dxa"/>
              <w:right w:w="72" w:type="dxa"/>
            </w:tcMar>
            <w:hideMark/>
          </w:tcPr>
          <w:p w14:paraId="00984C3F" w14:textId="3100A6F9" w:rsidR="00DF1D09" w:rsidRPr="0044524F" w:rsidRDefault="0088747B" w:rsidP="009654CF">
            <w:pPr>
              <w:spacing w:after="0" w:line="240" w:lineRule="auto"/>
              <w:jc w:val="both"/>
              <w:rPr>
                <w:rFonts w:ascii="Times New Roman" w:hAnsi="Times New Roman"/>
                <w:color w:val="000000" w:themeColor="text1"/>
                <w:sz w:val="16"/>
                <w:szCs w:val="16"/>
              </w:rPr>
            </w:pPr>
            <w:r>
              <w:rPr>
                <w:rFonts w:ascii="Times New Roman" w:hAnsi="Times New Roman"/>
                <w:color w:val="000000" w:themeColor="text1"/>
                <w:sz w:val="16"/>
                <w:szCs w:val="16"/>
              </w:rPr>
              <w:t xml:space="preserve"> </w:t>
            </w:r>
            <w:r w:rsidR="00DF1D09" w:rsidRPr="0044524F">
              <w:rPr>
                <w:rFonts w:ascii="Times New Roman" w:hAnsi="Times New Roman"/>
                <w:color w:val="000000" w:themeColor="text1"/>
                <w:sz w:val="16"/>
                <w:szCs w:val="16"/>
              </w:rPr>
              <w:t>1</w:t>
            </w:r>
          </w:p>
        </w:tc>
      </w:tr>
    </w:tbl>
    <w:p w14:paraId="57921CEE"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(12682).</w:t>
      </w:r>
    </w:p>
    <w:p w14:paraId="1B6CC4AF"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p>
    <w:p w14:paraId="36C22878"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базе Г-9 был создан Г-13 как легкий учебный паритель. Удачно летал на 9-м слете в Коктебеле, поэтому на следующий год было решено построить еще один-два экземпляра, предварительно устранив отмеченные недостатки.</w:t>
      </w:r>
    </w:p>
    <w:p w14:paraId="51975497"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Улучшенный вариант, отличавшийся увеличенным размахом крыла, получил обозначение Г-13бис. Из-за дополнительных усилений конструкции масса пустого планера возросла с 86 до 112 кг.</w:t>
      </w:r>
    </w:p>
    <w:p w14:paraId="35950C42"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Два экземпляра Г-13 бис в 1934 году вполне успешно участвовали в 10-м слете планеристов в Коктебеле. Хотя Г-13 бис себя оправдали, строить их в дальнейшем не стали, так как уже серийно выпускались планеры О.К.Антонова «Упар» аналогичного назначения (12682).</w:t>
      </w:r>
    </w:p>
    <w:p w14:paraId="32040CEE"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p>
    <w:p w14:paraId="6070CED7"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строился плане «Беспризорник» по инициативе и эскизному проекту Грибовского, разработку вела бригада конструкторского бюро ЦС Осоавиахима во главе с Г.Ф.Трошевым. Не успевая к 9-му планерному слету полностью закончить проект, бригада использовала не первоначально задуманное крыло, а готовое, от серийного планера «Упар». Свое прозвище «Беспризорник» аппарат получил по причине отсутствия определенного конструктора, который заботился бы о его быстрой постройке. Существует и другая версия появления оригинального названия, повествующая о длительном скитании планера по железной дороге на пути в Крым.</w:t>
      </w:r>
    </w:p>
    <w:p w14:paraId="62BBF9C7"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Грибовский, занятый делами сохранения МКБ, в тот период не мог уделить строившемуся аппарату достаточно внимания, поэтому давать ему номер своей очередной конструкции не стал, хотя и не отказался от авторства.</w:t>
      </w:r>
    </w:p>
    <w:p w14:paraId="606A21CE"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9-м слете в Коктебеле «Беспризорник» имел самый большой налет - 62 часа 30 минут. После слета планер передали в Высшую летно-планерную школу (ВЛПШ), где он длительное время использовался для тренировки планеристов.</w:t>
      </w:r>
    </w:p>
    <w:p w14:paraId="629FC5DC"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События 1933 г. для Владислава Грибовского знаменовались не только успехами, но и очередными проблемами организационного характера. В начале года МКБ было закрыто, однако Грибовский добился его восстанавления на старом месте и вновь стал его руководителем. Весь штат этой организации, кроме начальника, состоял из двух конструкторов и трех чертежников.</w:t>
      </w:r>
    </w:p>
    <w:p w14:paraId="26766396"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Небольшой, но дружный коллектив МКБ, где ближайшими помощниками Грибовского были конструкторы В.В.Абрамов и Б.К.Ландышев, работал весьма плодотворно. В 1934-м здесь спроектировали двухместный пилотажно-буксировочный планер Г-14, спортивный самолет Г-15, гидропланер Г-16, рекордный планер Г-17, модифицированный планер Г-13бис, а также начались работы по первому варианту самолета «Утка». Но строить эти аппараты по-прежнему приходилось в разных местах из-за отсутствия собственной производственной базы (12682).</w:t>
      </w:r>
    </w:p>
    <w:p w14:paraId="26D74317" w14:textId="77777777" w:rsidR="00DF1D09" w:rsidRPr="0044524F" w:rsidRDefault="00DF1D09" w:rsidP="009654CF">
      <w:pPr>
        <w:shd w:val="clear" w:color="auto" w:fill="FFFFFF"/>
        <w:spacing w:after="0" w:line="240" w:lineRule="auto"/>
        <w:jc w:val="both"/>
        <w:rPr>
          <w:rFonts w:ascii="Times New Roman" w:hAnsi="Times New Roman"/>
          <w:color w:val="000000" w:themeColor="text1"/>
          <w:sz w:val="16"/>
          <w:szCs w:val="16"/>
        </w:rPr>
      </w:pPr>
    </w:p>
    <w:p w14:paraId="2B359B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Р.Л.Бартини начал разработку ДАР по ТТ Б.Г.Чухновского в Самолетном НИ ГВФ (СНИИ ГВФ). Р.Л.Бартини хотел в кольце и ЦАГИ подтвердил снижение сопротивления, но Б.Г.Чухновский настоял на обычной схеме. Одновременно в том же институте гидро стал делать И.В.Четвериков (80,268).</w:t>
      </w:r>
    </w:p>
    <w:p w14:paraId="42A5F3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Наверное, П.В.Четвериков сбежал после отделения ЦКБ. В 1933 на заводе 22 и по его инициативе создали группу из сотрудников КБ С.Г.Козлова под руководством В.Ф.Болховитинова (80,323).</w:t>
      </w:r>
    </w:p>
    <w:p w14:paraId="7380A5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96B77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1931-1933 на кафедре конструкций самолетов ВВА группа преподавателей под руководством С.Г.Козлова разрабатывали Гигант с 12 М-17 в носке толстого крыла. Оперение - на двух балках - 6 винтов. Финансирование закрыли из-за неудачи испытаний спарки двигателей (92,435).</w:t>
      </w:r>
    </w:p>
    <w:p w14:paraId="1AD45F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в 1933 в ВВА - разрабатывался самолет-гигант с 12 двигателями (6,24) в рамках ОКБ, в котором работал В.Ф.Болховитиновым, но под руководством П.С.Дубенского (6,24).</w:t>
      </w:r>
    </w:p>
    <w:p w14:paraId="604FC2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EE2B2B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началось производство У-2 ВС, построили опыт</w:t>
      </w:r>
      <w:r w:rsidRPr="0044524F">
        <w:rPr>
          <w:rFonts w:ascii="Times New Roman" w:hAnsi="Times New Roman"/>
          <w:color w:val="000000" w:themeColor="text1"/>
          <w:sz w:val="16"/>
          <w:szCs w:val="16"/>
        </w:rPr>
        <w:softHyphen/>
        <w:t>ную серию из четырех экземпляров, проходивших вой</w:t>
      </w:r>
      <w:r w:rsidRPr="0044524F">
        <w:rPr>
          <w:rFonts w:ascii="Times New Roman" w:hAnsi="Times New Roman"/>
          <w:color w:val="000000" w:themeColor="text1"/>
          <w:sz w:val="16"/>
          <w:szCs w:val="16"/>
        </w:rPr>
        <w:softHyphen/>
        <w:t>сковые испытания в Борисоглебской школе. Первые машины стали поступать в части и училища с 1934 г. Всего за 1934 г. завод № 23 построил 122 самолета моди</w:t>
      </w:r>
      <w:r w:rsidRPr="0044524F">
        <w:rPr>
          <w:rFonts w:ascii="Times New Roman" w:hAnsi="Times New Roman"/>
          <w:color w:val="000000" w:themeColor="text1"/>
          <w:sz w:val="16"/>
          <w:szCs w:val="16"/>
        </w:rPr>
        <w:softHyphen/>
        <w:t>фикации ВС. По дополнительному требованию ВВС У-2ВС должны были оснастить тормозными колесами, что потребовало серьезных переделок шасси и управле</w:t>
      </w:r>
      <w:r w:rsidRPr="0044524F">
        <w:rPr>
          <w:rFonts w:ascii="Times New Roman" w:hAnsi="Times New Roman"/>
          <w:color w:val="000000" w:themeColor="text1"/>
          <w:sz w:val="16"/>
          <w:szCs w:val="16"/>
        </w:rPr>
        <w:softHyphen/>
        <w:t>ния. Машины с тормозными колесами получили обо</w:t>
      </w:r>
      <w:r w:rsidRPr="0044524F">
        <w:rPr>
          <w:rFonts w:ascii="Times New Roman" w:hAnsi="Times New Roman"/>
          <w:color w:val="000000" w:themeColor="text1"/>
          <w:sz w:val="16"/>
          <w:szCs w:val="16"/>
        </w:rPr>
        <w:softHyphen/>
        <w:t>значение ВТС. Их поставки начались с августа 1934 г. За 1934 г. завод № 23 выпустил 150 ВТС, однако ВВС приня</w:t>
      </w:r>
      <w:r w:rsidRPr="0044524F">
        <w:rPr>
          <w:rFonts w:ascii="Times New Roman" w:hAnsi="Times New Roman"/>
          <w:color w:val="000000" w:themeColor="text1"/>
          <w:sz w:val="16"/>
          <w:szCs w:val="16"/>
        </w:rPr>
        <w:softHyphen/>
        <w:t>то около 50, так как выявившиеся на испытаниях дефек</w:t>
      </w:r>
      <w:r w:rsidRPr="0044524F">
        <w:rPr>
          <w:rFonts w:ascii="Times New Roman" w:hAnsi="Times New Roman"/>
          <w:color w:val="000000" w:themeColor="text1"/>
          <w:sz w:val="16"/>
          <w:szCs w:val="16"/>
        </w:rPr>
        <w:softHyphen/>
        <w:t>ты шасси потребовали изменения его конструкции. Остальные машины оформлялись приемкой уже в 1935 г. За 1935 г. было построено еще и 170 У-2ВС (10667).</w:t>
      </w:r>
    </w:p>
    <w:p w14:paraId="09EF6F5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8E906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началось проектирование самолета С-1 (санитарный, первый), другие обозна</w:t>
      </w:r>
      <w:r w:rsidRPr="0044524F">
        <w:rPr>
          <w:rFonts w:ascii="Times New Roman" w:hAnsi="Times New Roman"/>
          <w:color w:val="000000" w:themeColor="text1"/>
          <w:sz w:val="16"/>
          <w:szCs w:val="16"/>
        </w:rPr>
        <w:softHyphen/>
        <w:t>чения С1-М11, СС (санитарный самолет), который предназначался для перевозки одного раненого и сопровождающего. При его разработке учитывался опыт создания и ис</w:t>
      </w:r>
      <w:r w:rsidRPr="0044524F">
        <w:rPr>
          <w:rFonts w:ascii="Times New Roman" w:hAnsi="Times New Roman"/>
          <w:color w:val="000000" w:themeColor="text1"/>
          <w:sz w:val="16"/>
          <w:szCs w:val="16"/>
        </w:rPr>
        <w:softHyphen/>
        <w:t>пользования подобных машин в Великобритании (са</w:t>
      </w:r>
      <w:r w:rsidRPr="0044524F">
        <w:rPr>
          <w:rFonts w:ascii="Times New Roman" w:hAnsi="Times New Roman"/>
          <w:color w:val="000000" w:themeColor="text1"/>
          <w:sz w:val="16"/>
          <w:szCs w:val="16"/>
        </w:rPr>
        <w:softHyphen/>
        <w:t>нитарные варианты ОН-4, БН-9). Он представлял собой еще одну (после СП) модификацию АП. и использовался опыт построй</w:t>
      </w:r>
      <w:r w:rsidRPr="0044524F">
        <w:rPr>
          <w:rFonts w:ascii="Times New Roman" w:hAnsi="Times New Roman"/>
          <w:color w:val="000000" w:themeColor="text1"/>
          <w:sz w:val="16"/>
          <w:szCs w:val="16"/>
        </w:rPr>
        <w:softHyphen/>
        <w:t>ки У-2-лимузина (СП).</w:t>
      </w:r>
    </w:p>
    <w:p w14:paraId="1546A3A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отличия самолета С-1 от СП заключались в следующем:</w:t>
      </w:r>
    </w:p>
    <w:p w14:paraId="5201D8A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Изменен козырек кабины пилота. Он стал более широким.</w:t>
      </w:r>
    </w:p>
    <w:p w14:paraId="2BE21A7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Задняя кабина сделана закрытой со входом через сдвижную крышку с окном на левой стороне и приспо</w:t>
      </w:r>
      <w:r w:rsidRPr="0044524F">
        <w:rPr>
          <w:rFonts w:ascii="Times New Roman" w:hAnsi="Times New Roman"/>
          <w:color w:val="000000" w:themeColor="text1"/>
          <w:sz w:val="16"/>
          <w:szCs w:val="16"/>
        </w:rPr>
        <w:softHyphen/>
        <w:t>соблена для размещения сопровождающего.</w:t>
      </w:r>
    </w:p>
    <w:p w14:paraId="1C1F561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За ней в открывающимся и увеличенном по высо</w:t>
      </w:r>
      <w:r w:rsidRPr="0044524F">
        <w:rPr>
          <w:rFonts w:ascii="Times New Roman" w:hAnsi="Times New Roman"/>
          <w:color w:val="000000" w:themeColor="text1"/>
          <w:sz w:val="16"/>
          <w:szCs w:val="16"/>
        </w:rPr>
        <w:softHyphen/>
        <w:t>те гаргроте сделана кабина для больного, лежащего на носилках; на верхних лонжеронах фюзеляжа установле</w:t>
      </w:r>
      <w:r w:rsidRPr="0044524F">
        <w:rPr>
          <w:rFonts w:ascii="Times New Roman" w:hAnsi="Times New Roman"/>
          <w:color w:val="000000" w:themeColor="text1"/>
          <w:sz w:val="16"/>
          <w:szCs w:val="16"/>
        </w:rPr>
        <w:softHyphen/>
        <w:t>ны узлы крепления носилок при помощи штырей, кото</w:t>
      </w:r>
      <w:r w:rsidRPr="0044524F">
        <w:rPr>
          <w:rFonts w:ascii="Times New Roman" w:hAnsi="Times New Roman"/>
          <w:color w:val="000000" w:themeColor="text1"/>
          <w:sz w:val="16"/>
          <w:szCs w:val="16"/>
        </w:rPr>
        <w:softHyphen/>
        <w:t>рые вставляются в специальные отверстия носилок, и пристяжных ремней.</w:t>
      </w:r>
    </w:p>
    <w:p w14:paraId="7935EBD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На 30 мм удлинена носовая часть фюзеляжа.</w:t>
      </w:r>
    </w:p>
    <w:p w14:paraId="24A6A31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Для облегчения управления самолетом в широком диапазоне центровок установлен тросовый механизм изменения углов атаки стабилизатора в полете со штур</w:t>
      </w:r>
      <w:r w:rsidRPr="0044524F">
        <w:rPr>
          <w:rFonts w:ascii="Times New Roman" w:hAnsi="Times New Roman"/>
          <w:color w:val="000000" w:themeColor="text1"/>
          <w:sz w:val="16"/>
          <w:szCs w:val="16"/>
        </w:rPr>
        <w:softHyphen/>
        <w:t>валом на левом борту кабины пилота.</w:t>
      </w:r>
    </w:p>
    <w:p w14:paraId="27CBF53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На левом борту фюзеляжа сделан специальный поворотный кронштейн для удобства погрузки и раз</w:t>
      </w:r>
      <w:r w:rsidRPr="0044524F">
        <w:rPr>
          <w:rFonts w:ascii="Times New Roman" w:hAnsi="Times New Roman"/>
          <w:color w:val="000000" w:themeColor="text1"/>
          <w:sz w:val="16"/>
          <w:szCs w:val="16"/>
        </w:rPr>
        <w:softHyphen/>
        <w:t>грузки носилок с больным, а под ним - подножка.</w:t>
      </w:r>
    </w:p>
    <w:p w14:paraId="568BE20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это привело к увеличению массы конструкции самолета до 720 кг (полетная масса - 1053 кг). Летные ха</w:t>
      </w:r>
      <w:r w:rsidRPr="0044524F">
        <w:rPr>
          <w:rFonts w:ascii="Times New Roman" w:hAnsi="Times New Roman"/>
          <w:color w:val="000000" w:themeColor="text1"/>
          <w:sz w:val="16"/>
          <w:szCs w:val="16"/>
        </w:rPr>
        <w:softHyphen/>
        <w:t>рактеристики С-1 по сравнению с исходным У-2, естест</w:t>
      </w:r>
      <w:r w:rsidRPr="0044524F">
        <w:rPr>
          <w:rFonts w:ascii="Times New Roman" w:hAnsi="Times New Roman"/>
          <w:color w:val="000000" w:themeColor="text1"/>
          <w:sz w:val="16"/>
          <w:szCs w:val="16"/>
        </w:rPr>
        <w:softHyphen/>
        <w:t>венно, снизились (максимальная скорость полета у земли - 140,5 км/ч, дальность полета при полных баках - 400 км, потолок - 3250 м, время набора высоты 2000 м</w:t>
      </w:r>
    </w:p>
    <w:p w14:paraId="4F6A06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- 25 мин, посадочная скорость - 60 км/ч, разбег - 120 м, пробег - 150 м), однако оказались вполне приемлемыми для машин данного класса (10667).</w:t>
      </w:r>
    </w:p>
    <w:p w14:paraId="3190B0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6C3F8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был построен и испытан НИАИ-4 А.Г.Бедунковича с М-11, построенный на ремонтной базе ГВФ в Ленинграде. Двухместный деревянный биплан с неодинаковым размахом плоскостей, перестанавливая которые можно было получить 4 варианта: полутороплан с выносом верхнего крыла, полутороплан без выноса, моноплан парасоль и низкоплан (438,660).</w:t>
      </w:r>
    </w:p>
    <w:p w14:paraId="7712E9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BA3E3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заводе № 1 построены конструкции В.К. Грибовского: самолет Г-10; первый в мире шханер-«летающая цистерна» Г-14 (ЦЛ-2А) для дозаправки в воздухе самолета-буксировщика (11982).</w:t>
      </w:r>
    </w:p>
    <w:p w14:paraId="495073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E6D8F09" w14:textId="77777777" w:rsidR="00B06AD3" w:rsidRPr="0044524F" w:rsidRDefault="00B06AD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был по</w:t>
      </w:r>
      <w:r w:rsidRPr="0044524F">
        <w:rPr>
          <w:rFonts w:ascii="Times New Roman" w:hAnsi="Times New Roman"/>
          <w:color w:val="000000" w:themeColor="text1"/>
          <w:sz w:val="16"/>
          <w:szCs w:val="16"/>
        </w:rPr>
        <w:softHyphen/>
        <w:t>строен БИЧ-11 - дальнейшее развитие бесхвостых планеров с крыльями упро</w:t>
      </w:r>
      <w:r w:rsidRPr="0044524F">
        <w:rPr>
          <w:rFonts w:ascii="Times New Roman" w:hAnsi="Times New Roman"/>
          <w:color w:val="000000" w:themeColor="text1"/>
          <w:sz w:val="16"/>
          <w:szCs w:val="16"/>
        </w:rPr>
        <w:softHyphen/>
        <w:t>щенной прямоугольной формы , и, в отличался от БИЧ-12, концевыми рулями поворота. Предполагалось, что подобные упрощенные конструкции в случае успешного их испытания, мож</w:t>
      </w:r>
      <w:r w:rsidRPr="0044524F">
        <w:rPr>
          <w:rFonts w:ascii="Times New Roman" w:hAnsi="Times New Roman"/>
          <w:color w:val="000000" w:themeColor="text1"/>
          <w:sz w:val="16"/>
          <w:szCs w:val="16"/>
        </w:rPr>
        <w:softHyphen/>
        <w:t>но рекомендовать для самостоятель</w:t>
      </w:r>
      <w:r w:rsidRPr="0044524F">
        <w:rPr>
          <w:rFonts w:ascii="Times New Roman" w:hAnsi="Times New Roman"/>
          <w:color w:val="000000" w:themeColor="text1"/>
          <w:sz w:val="16"/>
          <w:szCs w:val="16"/>
        </w:rPr>
        <w:softHyphen/>
        <w:t>ной постройки в аэроклубах и кружках планеристов. После полетов на БИЧ-11 С.П. Королев предложил установить на планере ракетный двигатель ОР-2 конструкции Ф.А. Цандера. Был подго</w:t>
      </w:r>
      <w:r w:rsidRPr="0044524F">
        <w:rPr>
          <w:rFonts w:ascii="Times New Roman" w:hAnsi="Times New Roman"/>
          <w:color w:val="000000" w:themeColor="text1"/>
          <w:sz w:val="16"/>
          <w:szCs w:val="16"/>
        </w:rPr>
        <w:softHyphen/>
        <w:t>товлен проект и изготовлен макет уста</w:t>
      </w:r>
      <w:r w:rsidRPr="0044524F">
        <w:rPr>
          <w:rFonts w:ascii="Times New Roman" w:hAnsi="Times New Roman"/>
          <w:color w:val="000000" w:themeColor="text1"/>
          <w:sz w:val="16"/>
          <w:szCs w:val="16"/>
        </w:rPr>
        <w:softHyphen/>
        <w:t>новки, аппара при этом получил новое обозначение - ракетоплан РП-1. Одна</w:t>
      </w:r>
      <w:r w:rsidRPr="0044524F">
        <w:rPr>
          <w:rFonts w:ascii="Times New Roman" w:hAnsi="Times New Roman"/>
          <w:color w:val="000000" w:themeColor="text1"/>
          <w:sz w:val="16"/>
          <w:szCs w:val="16"/>
        </w:rPr>
        <w:softHyphen/>
        <w:t>ко ракетный двигатель вовреся изгтовить не удалось. Поэтому на БИЧ-11 установили поршневой дви</w:t>
      </w:r>
      <w:r w:rsidRPr="0044524F">
        <w:rPr>
          <w:rFonts w:ascii="Times New Roman" w:hAnsi="Times New Roman"/>
          <w:color w:val="000000" w:themeColor="text1"/>
          <w:sz w:val="16"/>
          <w:szCs w:val="16"/>
        </w:rPr>
        <w:softHyphen/>
        <w:t>гатель «Скорпион» мощностью 27 л.с., с которым был осуществлен ряд успеш</w:t>
      </w:r>
      <w:r w:rsidRPr="0044524F">
        <w:rPr>
          <w:rFonts w:ascii="Times New Roman" w:hAnsi="Times New Roman"/>
          <w:color w:val="000000" w:themeColor="text1"/>
          <w:sz w:val="16"/>
          <w:szCs w:val="16"/>
        </w:rPr>
        <w:softHyphen/>
        <w:t>ных полетов (17473).</w:t>
      </w:r>
    </w:p>
    <w:p w14:paraId="3C15298E" w14:textId="77777777" w:rsidR="00B06AD3" w:rsidRPr="0044524F" w:rsidRDefault="00B06AD3" w:rsidP="009654CF">
      <w:pPr>
        <w:spacing w:after="0" w:line="240" w:lineRule="auto"/>
        <w:jc w:val="both"/>
        <w:rPr>
          <w:rFonts w:ascii="Times New Roman" w:hAnsi="Times New Roman"/>
          <w:color w:val="000000" w:themeColor="text1"/>
          <w:sz w:val="16"/>
          <w:szCs w:val="16"/>
        </w:rPr>
      </w:pPr>
    </w:p>
    <w:p w14:paraId="12E80BE6"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при подготовке планов опытного самолето</w:t>
      </w:r>
      <w:r w:rsidRPr="0044524F">
        <w:rPr>
          <w:rFonts w:ascii="Times New Roman" w:hAnsi="Times New Roman"/>
          <w:color w:val="000000" w:themeColor="text1"/>
          <w:sz w:val="16"/>
          <w:szCs w:val="16"/>
        </w:rPr>
        <w:softHyphen/>
        <w:t>строения разработали тактико-технические требования (ТТТ) на специальный самолет для подводной лодки (СПЛ). В соответствии с этими требованиями самолет в сложенном виде должен был перевозиться в цилиндри</w:t>
      </w:r>
      <w:r w:rsidRPr="0044524F">
        <w:rPr>
          <w:rFonts w:ascii="Times New Roman" w:hAnsi="Times New Roman"/>
          <w:color w:val="000000" w:themeColor="text1"/>
          <w:sz w:val="16"/>
          <w:szCs w:val="16"/>
        </w:rPr>
        <w:softHyphen/>
        <w:t>ческом контейнере (ангаре) диаметром 2,5 метра и длиной 7,5 метров. Взлет предполагался с воды или катапульты, расчетная даль</w:t>
      </w:r>
      <w:r w:rsidRPr="0044524F">
        <w:rPr>
          <w:rFonts w:ascii="Times New Roman" w:hAnsi="Times New Roman"/>
          <w:color w:val="000000" w:themeColor="text1"/>
          <w:sz w:val="16"/>
          <w:szCs w:val="16"/>
        </w:rPr>
        <w:softHyphen/>
        <w:t>ность полета 600-1000 км, максимальная скорость 215 км/ч, потолок не менее 4000 м.</w:t>
      </w:r>
    </w:p>
    <w:p w14:paraId="6B1D2BD4"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тем спроектированный конструк</w:t>
      </w:r>
      <w:r w:rsidRPr="0044524F">
        <w:rPr>
          <w:rFonts w:ascii="Times New Roman" w:hAnsi="Times New Roman"/>
          <w:color w:val="000000" w:themeColor="text1"/>
          <w:sz w:val="16"/>
          <w:szCs w:val="16"/>
        </w:rPr>
        <w:softHyphen/>
        <w:t>тором Четвериковым в период 1931-32 гг. небольшой двухместный самолет ОСГА-Ю1, по первоначальному замыслу предназначал</w:t>
      </w:r>
      <w:r w:rsidRPr="0044524F">
        <w:rPr>
          <w:rFonts w:ascii="Times New Roman" w:hAnsi="Times New Roman"/>
          <w:color w:val="000000" w:themeColor="text1"/>
          <w:sz w:val="16"/>
          <w:szCs w:val="16"/>
        </w:rPr>
        <w:softHyphen/>
        <w:t>ся для использования на судах и ледоколах Главного Управления Северного морского пути (ГУСМП). Само название ОСГА озна</w:t>
      </w:r>
      <w:r w:rsidRPr="0044524F">
        <w:rPr>
          <w:rFonts w:ascii="Times New Roman" w:hAnsi="Times New Roman"/>
          <w:color w:val="000000" w:themeColor="text1"/>
          <w:sz w:val="16"/>
          <w:szCs w:val="16"/>
        </w:rPr>
        <w:softHyphen/>
        <w:t xml:space="preserve">чало — Отдел </w:t>
      </w:r>
      <w:r w:rsidRPr="0044524F">
        <w:rPr>
          <w:rFonts w:ascii="Times New Roman" w:hAnsi="Times New Roman"/>
          <w:color w:val="000000" w:themeColor="text1"/>
          <w:sz w:val="16"/>
          <w:szCs w:val="16"/>
        </w:rPr>
        <w:lastRenderedPageBreak/>
        <w:t>Строительства Глиссеров и аэ</w:t>
      </w:r>
      <w:r w:rsidRPr="0044524F">
        <w:rPr>
          <w:rFonts w:ascii="Times New Roman" w:hAnsi="Times New Roman"/>
          <w:color w:val="000000" w:themeColor="text1"/>
          <w:sz w:val="16"/>
          <w:szCs w:val="16"/>
        </w:rPr>
        <w:softHyphen/>
        <w:t>росаней, он действовал при НИИ ГВФ и ре</w:t>
      </w:r>
      <w:r w:rsidRPr="0044524F">
        <w:rPr>
          <w:rFonts w:ascii="Times New Roman" w:hAnsi="Times New Roman"/>
          <w:color w:val="000000" w:themeColor="text1"/>
          <w:sz w:val="16"/>
          <w:szCs w:val="16"/>
        </w:rPr>
        <w:softHyphen/>
        <w:t>шал задачи исключительного мирного ха</w:t>
      </w:r>
      <w:r w:rsidRPr="0044524F">
        <w:rPr>
          <w:rFonts w:ascii="Times New Roman" w:hAnsi="Times New Roman"/>
          <w:color w:val="000000" w:themeColor="text1"/>
          <w:sz w:val="16"/>
          <w:szCs w:val="16"/>
        </w:rPr>
        <w:softHyphen/>
        <w:t>рактера. ОСГА-101, оснащенный двигателем М-11 мощностью 100 л.е., начал летать во второй половине 1933 г., показал неплохие результаты, однако практического примене</w:t>
      </w:r>
      <w:r w:rsidRPr="0044524F">
        <w:rPr>
          <w:rFonts w:ascii="Times New Roman" w:hAnsi="Times New Roman"/>
          <w:color w:val="000000" w:themeColor="text1"/>
          <w:sz w:val="16"/>
          <w:szCs w:val="16"/>
        </w:rPr>
        <w:softHyphen/>
        <w:t>ния не нашел. Причиной тому стало повсе</w:t>
      </w:r>
      <w:r w:rsidRPr="0044524F">
        <w:rPr>
          <w:rFonts w:ascii="Times New Roman" w:hAnsi="Times New Roman"/>
          <w:color w:val="000000" w:themeColor="text1"/>
          <w:sz w:val="16"/>
          <w:szCs w:val="16"/>
        </w:rPr>
        <w:softHyphen/>
        <w:t>местное и удачное внедрение серийной лета</w:t>
      </w:r>
      <w:r w:rsidRPr="0044524F">
        <w:rPr>
          <w:rFonts w:ascii="Times New Roman" w:hAnsi="Times New Roman"/>
          <w:color w:val="000000" w:themeColor="text1"/>
          <w:sz w:val="16"/>
          <w:szCs w:val="16"/>
        </w:rPr>
        <w:softHyphen/>
        <w:t>ющей лодки Ш-2 конструкции В.Б.Шаврова. Именно в этот период появилось зада</w:t>
      </w:r>
      <w:r w:rsidRPr="0044524F">
        <w:rPr>
          <w:rFonts w:ascii="Times New Roman" w:hAnsi="Times New Roman"/>
          <w:color w:val="000000" w:themeColor="text1"/>
          <w:sz w:val="16"/>
          <w:szCs w:val="16"/>
        </w:rPr>
        <w:softHyphen/>
        <w:t>ние на СПЛ, поэтому, используя наработки по самолету ОСГА-101, Четвериков присту</w:t>
      </w:r>
      <w:r w:rsidRPr="0044524F">
        <w:rPr>
          <w:rFonts w:ascii="Times New Roman" w:hAnsi="Times New Roman"/>
          <w:color w:val="000000" w:themeColor="text1"/>
          <w:sz w:val="16"/>
          <w:szCs w:val="16"/>
        </w:rPr>
        <w:softHyphen/>
        <w:t>пил к его реализации. Новый аппарат полу</w:t>
      </w:r>
      <w:r w:rsidRPr="0044524F">
        <w:rPr>
          <w:rFonts w:ascii="Times New Roman" w:hAnsi="Times New Roman"/>
          <w:color w:val="000000" w:themeColor="text1"/>
          <w:sz w:val="16"/>
          <w:szCs w:val="16"/>
        </w:rPr>
        <w:softHyphen/>
        <w:t>чил закрытую кабину, а схема разборки по</w:t>
      </w:r>
      <w:r w:rsidRPr="0044524F">
        <w:rPr>
          <w:rFonts w:ascii="Times New Roman" w:hAnsi="Times New Roman"/>
          <w:color w:val="000000" w:themeColor="text1"/>
          <w:sz w:val="16"/>
          <w:szCs w:val="16"/>
        </w:rPr>
        <w:softHyphen/>
        <w:t>зволяла уложить его в требуемый заказчи</w:t>
      </w:r>
      <w:r w:rsidRPr="0044524F">
        <w:rPr>
          <w:rFonts w:ascii="Times New Roman" w:hAnsi="Times New Roman"/>
          <w:color w:val="000000" w:themeColor="text1"/>
          <w:sz w:val="16"/>
          <w:szCs w:val="16"/>
        </w:rPr>
        <w:softHyphen/>
        <w:t>ками цилиндр диаметром 2,5 метра (12301).</w:t>
      </w:r>
    </w:p>
    <w:p w14:paraId="59274379" w14:textId="77777777" w:rsidR="000904A1" w:rsidRPr="0044524F" w:rsidRDefault="000904A1" w:rsidP="009654CF">
      <w:pPr>
        <w:spacing w:after="0" w:line="240" w:lineRule="auto"/>
        <w:jc w:val="both"/>
        <w:rPr>
          <w:rFonts w:ascii="Times New Roman" w:hAnsi="Times New Roman"/>
          <w:color w:val="000000" w:themeColor="text1"/>
          <w:sz w:val="16"/>
          <w:szCs w:val="16"/>
        </w:rPr>
      </w:pPr>
    </w:p>
    <w:p w14:paraId="525462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1933 г. при заводе № 23 работало КБ В.В. Никитина.</w:t>
      </w:r>
    </w:p>
    <w:p w14:paraId="0A5A92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учебному самолету У-5 и его модификациям. Проектировался морской разведчик КОР-2.</w:t>
      </w:r>
    </w:p>
    <w:p w14:paraId="4FADDB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1935 г. В.В. Никитин работает при Московском авиатехникуме, с 1938 г. работал в ОКБ-ЗО. Однако параллельно велись работы и на заводе № 23. Так, в 1939 г. разрабатывалась планирующая торпеда ПТ (ПСН-2) для ДБ-3 и подвесной самолет МП (11982).</w:t>
      </w:r>
    </w:p>
    <w:p w14:paraId="5BD8A492" w14:textId="77777777" w:rsidR="00742DA3" w:rsidRPr="0044524F" w:rsidRDefault="00742DA3" w:rsidP="009654CF">
      <w:pPr>
        <w:autoSpaceDE w:val="0"/>
        <w:autoSpaceDN w:val="0"/>
        <w:adjustRightInd w:val="0"/>
        <w:spacing w:after="0" w:line="240" w:lineRule="auto"/>
        <w:jc w:val="both"/>
        <w:rPr>
          <w:rFonts w:ascii="Times New Roman" w:hAnsi="Times New Roman"/>
          <w:color w:val="000000" w:themeColor="text1"/>
          <w:sz w:val="16"/>
          <w:szCs w:val="16"/>
        </w:rPr>
      </w:pPr>
    </w:p>
    <w:p w14:paraId="212E5579" w14:textId="3B9DF8CB"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был образовани Завод № 169 НКАП, как “Казанский завод обозных деталей” НКлеса /г. Казань/. Выпускались тачанки. В 1935 г. на заводе началось производство авиационных деревянных лыж и подвесок к ним. По приказу от 8.07.1939 г. передан из НКлеса в НКАП и получил № 169. С 1940 г. началось производство деревянных частей самолета И-153, крыла и оперения для ЛаГТ-3. По приказу № 573с от 26.06.1941 г. завод передан в ИГУ НКАП. В начале войны началась подготовка к производству двух десантно-транспортных планеров: «Сокол»</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Г.Н. Воробьева и «Орел» конструкции Б.В. Кучеренко, Л.М. Роднянского и Н.И. Афанасьева.</w:t>
      </w:r>
    </w:p>
    <w:p w14:paraId="0991D4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СНК № 1842-830 от 9.07.1941 г. завод № 387 в 07-08.1941 г. эвакуирован в Казань на площадку завода № 169 НКАП 11ГУ. Здесь по приказу № 858сс от 15.08.1941 г. образован единый завод № 387 НКАП в системе 1ГУ. Завод № 169 с 08.1941 г. выбыл из числа действующих. Программа производства планеров передана Шумерлинскому и Козловскому деревообделочным комбинатам.</w:t>
      </w:r>
    </w:p>
    <w:p w14:paraId="3A7FFE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(01.1940-41 г.)- И.М. Шпаков (затем- зам. директора завода № 387).</w:t>
      </w:r>
    </w:p>
    <w:p w14:paraId="5B631F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(1940 г.)- Б.В. Кучеренко (11982).</w:t>
      </w:r>
    </w:p>
    <w:p w14:paraId="04C943DD" w14:textId="77777777" w:rsidR="00742DA3" w:rsidRPr="0044524F" w:rsidRDefault="00742DA3" w:rsidP="009654CF">
      <w:pPr>
        <w:autoSpaceDE w:val="0"/>
        <w:autoSpaceDN w:val="0"/>
        <w:adjustRightInd w:val="0"/>
        <w:spacing w:after="0" w:line="240" w:lineRule="auto"/>
        <w:jc w:val="both"/>
        <w:rPr>
          <w:rFonts w:ascii="Times New Roman" w:hAnsi="Times New Roman"/>
          <w:color w:val="000000" w:themeColor="text1"/>
          <w:sz w:val="16"/>
          <w:szCs w:val="16"/>
        </w:rPr>
      </w:pPr>
    </w:p>
    <w:p w14:paraId="383D37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в КАИ организовали планерный кружок, ставший планерной секцией АвиаВНИТО. Возглавил его инженер Воробьев Г.Н. Результатом работы небольшой конструкторской организации стали четыре планера и глиссер. Первыми аппаратами стали гидропланеры КАИ-1 в двух экземплярах. Испытания студенческих конструкций проводились на планерной станции КАИ, распложенной на правом высоком берегу Волги.</w:t>
      </w:r>
    </w:p>
    <w:p w14:paraId="1F7699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Первый одноместный гидроплан КАИ-1. построенный в 1934 г., являлся фактически амфибией, так как мог осуществлять взлет не только с воды, но и с земли. После успешных испытаний во всех трех стихиях, планер был отправлен на буксире за У-2 в Коктебель на соревнования, но в районе Керчи он разрушился в воздухе. Пилот Корчагин П.М. спасся на парашюте. Второй экземпляр КАИ-1бис построили на следующий год, но на соревнования планеристов в Крыму он тоже не попал по причине опоздания.</w:t>
      </w:r>
    </w:p>
    <w:p w14:paraId="23F786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Следующей конструкцией Воробьева в 1935 г. стал планер КАИ-2, одноместный фигурно-тренировочный паритель, удивительно легкий (85 кг) при размахе крыла в 12 метров. Через два года накопления опыта еще два аппарата – КАИ-3 и КАИ-4 заявили о достижениях института на всю страну. Гидропланер КАИ-3, строился как рекордный, и задуманное подтвердилось на планерных соревнованиях под Москвой в июле 1937 г. Пилот Коротов И.П. занял первое место по дальности полета (336 км) и по числу набранных очков. А за месяц до этого тот же Илья Коротов установил на двухместном планере КАИ-4 конструкции студента Ивана Потницева три международных рекорда по дальности и высоте, но аппарат вследствие перегрузок разрушился в полете.</w:t>
      </w:r>
    </w:p>
    <w:p w14:paraId="69E036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 этом вспоминает один из создателей планера Митряев И.М.. Он занимался расчетом крыла, а Потницев – фюзеляжа. Планер построили без обоих Иванов, когда они уехали на практику в Москву. Но в июне, при установлении рекорда, Митряев присутствовал лично и видел, как во время полета с институтского аэродрома планер КАИ-4 с Коротовым вошел в грозовые облака, а потом упал на землю. Коротов выпрыгнул на парашюте, а барограмму студенты долго искали в поле. Когда же нашли, не удержались, сняли пломбу, чтобы убедиться в рекорде. В результате этого поспешного решения рекорды не были официально утверждены.</w:t>
      </w:r>
    </w:p>
    <w:p w14:paraId="5989BA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Последний довоенный планер КАИ-5 «Сокол» создавался по условиям конкурса 1940 г. как пятиместный транспортно-грузовой. Главный конструктор Воробьев строил свой аппарат на заводе № 169, довел его до летных испытаний, получил премию, но решение о серийном производстве принято не было.</w:t>
      </w:r>
    </w:p>
    <w:p w14:paraId="13BFD0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Дополнением к опытно-конструкторской теме может служить информация о постройке в научно-техническом кружке КАИ глиссера. Руководил кружком студент 4-го курса Белоскурский М.И.. Работа над шестиместной машиной с двигателем М-11 шла параллельно с постройкой гидропланера КАИ-1, который уже тогда планировался как рекордный. Глиссер спустили на воду 2 мая 1934 г., а в июле начались водные испытания гидроплана. Взлет планера с воды проводился впервые в стране и, возможно, в мире. Перед войной строился глиссер на подводных крыльях. Проектировались также авиетка, аэросани и другая техника (12049).</w:t>
      </w:r>
    </w:p>
    <w:p w14:paraId="40B4D0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3BAB6B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пассажирские ЮГ-1 переименовали в ПС-5. В том же году три самолета этого типа базировались в Хабаровске, шесть - в Ташкенте и один - в Иркутске. Один ПС-5 обслуживал серное месторождение в Каракумах, вывозя в Ашхабад готовую серу, а обратно доставляя продукты. Самолет, полученный авиацией Главсевморпути в феврале 1932 г., получил регистрацию СССР-Н4. Некоторое время он летал по Енисею, доставляя пассажиров и грузы. В июле 1933 г. его морем доставили в Анадырь для участия в научной экспедиции. Экипаж Г. Страубе исследовал с воздуха бассейн р. Анадырь (3224,17).</w:t>
      </w:r>
    </w:p>
    <w:p w14:paraId="5D0062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2CD92D7" w14:textId="77777777" w:rsidR="005E4C87" w:rsidRPr="0044524F" w:rsidRDefault="005E4C87"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В 1933 г. состоялись первые испытания ПВРД в полёте. Для этого был сконструирован миниатюрный прямоточный двигатель в форме снаряда 76-мм пушки. Топливо (белый фосфор) поместили непосредственно в камере сгорания. Отстрел таких двигателей продемонстрировал работоспособность ПВРД: дальность выстрела за счёт реактивной тяги возросла на километр по сравнению со штатным снарядом </w:t>
      </w:r>
      <w:hyperlink r:id="rId438" w:history="1">
        <w:r w:rsidRPr="0044524F">
          <w:rPr>
            <w:rFonts w:ascii="Times New Roman" w:eastAsia="Times New Roman" w:hAnsi="Times New Roman"/>
            <w:color w:val="000000" w:themeColor="text1"/>
            <w:sz w:val="16"/>
            <w:szCs w:val="16"/>
            <w:lang w:eastAsia="ru-RU"/>
          </w:rPr>
          <w:t>[324]</w:t>
        </w:r>
      </w:hyperlink>
      <w:r w:rsidRPr="0044524F">
        <w:rPr>
          <w:rFonts w:ascii="Times New Roman" w:eastAsia="Times New Roman" w:hAnsi="Times New Roman"/>
          <w:color w:val="000000" w:themeColor="text1"/>
          <w:sz w:val="16"/>
          <w:szCs w:val="16"/>
          <w:lang w:eastAsia="ru-RU"/>
        </w:rPr>
        <w:t xml:space="preserve"> (17489).</w:t>
      </w:r>
    </w:p>
    <w:p w14:paraId="538743BB" w14:textId="77777777" w:rsidR="005E4C87" w:rsidRPr="0044524F" w:rsidRDefault="005E4C87" w:rsidP="009654CF">
      <w:pPr>
        <w:spacing w:after="0" w:line="240" w:lineRule="auto"/>
        <w:jc w:val="both"/>
        <w:rPr>
          <w:rFonts w:ascii="Times New Roman" w:eastAsia="Times New Roman" w:hAnsi="Times New Roman"/>
          <w:color w:val="000000" w:themeColor="text1"/>
          <w:sz w:val="16"/>
          <w:szCs w:val="16"/>
          <w:lang w:eastAsia="ru-RU"/>
        </w:rPr>
      </w:pPr>
    </w:p>
    <w:p w14:paraId="073E40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Делегация в составе П.И.Баранова и С.В.И была в 1933 во Франции и закупила Гном-Рон.</w:t>
      </w:r>
    </w:p>
    <w:p w14:paraId="7A2C8B90"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ДХ-3 установили внутрь бомбоотсека одного из опытных образцов бомбардиров</w:t>
      </w:r>
      <w:r w:rsidRPr="0044524F">
        <w:rPr>
          <w:rFonts w:ascii="Times New Roman" w:hAnsi="Times New Roman"/>
          <w:color w:val="000000" w:themeColor="text1"/>
          <w:sz w:val="16"/>
          <w:szCs w:val="16"/>
        </w:rPr>
        <w:softHyphen/>
        <w:t>щика СБ, выведя трубу наружу че</w:t>
      </w:r>
      <w:r w:rsidRPr="0044524F">
        <w:rPr>
          <w:rFonts w:ascii="Times New Roman" w:hAnsi="Times New Roman"/>
          <w:color w:val="000000" w:themeColor="text1"/>
          <w:sz w:val="16"/>
          <w:szCs w:val="16"/>
        </w:rPr>
        <w:softHyphen/>
        <w:t>рез прорезь в створке люка.. По заданию, никакого химического вооружения для этой машины во</w:t>
      </w:r>
      <w:r w:rsidRPr="0044524F">
        <w:rPr>
          <w:rFonts w:ascii="Times New Roman" w:hAnsi="Times New Roman"/>
          <w:color w:val="000000" w:themeColor="text1"/>
          <w:sz w:val="16"/>
          <w:szCs w:val="16"/>
        </w:rPr>
        <w:softHyphen/>
        <w:t>обще не предусматривалось, это было чистой самодеятельностью руководства ЦАГИ. Этот вариант даже не испытывался.</w:t>
      </w:r>
    </w:p>
    <w:p w14:paraId="19F306C8"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Развитием ДХ-3 стал прибор ДХ-23, отличавшийся способом крепления (на свободной подвеске ЦАГИ) и небольшими доработками насадка. Он также испытывался на ТБ-3 (самолет нес четыре прибора под центропланом). Вес снаряжен</w:t>
      </w:r>
      <w:r w:rsidRPr="0044524F">
        <w:rPr>
          <w:rFonts w:ascii="Times New Roman" w:hAnsi="Times New Roman"/>
          <w:color w:val="000000" w:themeColor="text1"/>
          <w:sz w:val="16"/>
          <w:szCs w:val="16"/>
        </w:rPr>
        <w:softHyphen/>
        <w:t>ного комплекта составлял 1701 кг. Но ДХ-23 также не был запущен в производство. Испытания показали, что завеса получалась неравномер</w:t>
      </w:r>
      <w:r w:rsidRPr="0044524F">
        <w:rPr>
          <w:rFonts w:ascii="Times New Roman" w:hAnsi="Times New Roman"/>
          <w:color w:val="000000" w:themeColor="text1"/>
          <w:sz w:val="16"/>
          <w:szCs w:val="16"/>
        </w:rPr>
        <w:softHyphen/>
        <w:t>ной, да и управление прибором признали ненадежным. Цех особых заданий ЗОК ЦАГИ изготовил все</w:t>
      </w:r>
      <w:r w:rsidRPr="0044524F">
        <w:rPr>
          <w:rFonts w:ascii="Times New Roman" w:hAnsi="Times New Roman"/>
          <w:color w:val="000000" w:themeColor="text1"/>
          <w:sz w:val="16"/>
          <w:szCs w:val="16"/>
        </w:rPr>
        <w:softHyphen/>
        <w:t>го одну партию для испытаний. На основе ДХ-3 намеревались создать универсальный прибор ХУП, но о нем толком ничего не известно.</w:t>
      </w:r>
    </w:p>
    <w:p w14:paraId="1B57D6B0"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более удачным оказался при</w:t>
      </w:r>
      <w:r w:rsidRPr="0044524F">
        <w:rPr>
          <w:rFonts w:ascii="Times New Roman" w:hAnsi="Times New Roman"/>
          <w:color w:val="000000" w:themeColor="text1"/>
          <w:sz w:val="16"/>
          <w:szCs w:val="16"/>
        </w:rPr>
        <w:softHyphen/>
        <w:t>бор конструкции Н.А. Лукина. Он состоял из двух больших сигарооб</w:t>
      </w:r>
      <w:r w:rsidRPr="0044524F">
        <w:rPr>
          <w:rFonts w:ascii="Times New Roman" w:hAnsi="Times New Roman"/>
          <w:color w:val="000000" w:themeColor="text1"/>
          <w:sz w:val="16"/>
          <w:szCs w:val="16"/>
        </w:rPr>
        <w:softHyphen/>
        <w:t>разных резервуаров и подвешивал</w:t>
      </w:r>
      <w:r w:rsidRPr="0044524F">
        <w:rPr>
          <w:rFonts w:ascii="Times New Roman" w:hAnsi="Times New Roman"/>
          <w:color w:val="000000" w:themeColor="text1"/>
          <w:sz w:val="16"/>
          <w:szCs w:val="16"/>
        </w:rPr>
        <w:softHyphen/>
        <w:t>ся под центропланом. Конструктор получил выигрыш по весу в 123 кг по сравнению с ДАП-200, отказав</w:t>
      </w:r>
      <w:r w:rsidRPr="0044524F">
        <w:rPr>
          <w:rFonts w:ascii="Times New Roman" w:hAnsi="Times New Roman"/>
          <w:color w:val="000000" w:themeColor="text1"/>
          <w:sz w:val="16"/>
          <w:szCs w:val="16"/>
        </w:rPr>
        <w:softHyphen/>
        <w:t>шись от выдавливания смеси сжа</w:t>
      </w:r>
      <w:r w:rsidRPr="0044524F">
        <w:rPr>
          <w:rFonts w:ascii="Times New Roman" w:hAnsi="Times New Roman"/>
          <w:color w:val="000000" w:themeColor="text1"/>
          <w:sz w:val="16"/>
          <w:szCs w:val="16"/>
        </w:rPr>
        <w:softHyphen/>
        <w:t>тым воздухом. Каждый резервуар имел свой эжектор, работавший по принципу трубки Вентури. Разреже</w:t>
      </w:r>
      <w:r w:rsidRPr="0044524F">
        <w:rPr>
          <w:rFonts w:ascii="Times New Roman" w:hAnsi="Times New Roman"/>
          <w:color w:val="000000" w:themeColor="text1"/>
          <w:sz w:val="16"/>
          <w:szCs w:val="16"/>
        </w:rPr>
        <w:softHyphen/>
        <w:t>ние подсасывало смесь из балло</w:t>
      </w:r>
      <w:r w:rsidRPr="0044524F">
        <w:rPr>
          <w:rFonts w:ascii="Times New Roman" w:hAnsi="Times New Roman"/>
          <w:color w:val="000000" w:themeColor="text1"/>
          <w:sz w:val="16"/>
          <w:szCs w:val="16"/>
        </w:rPr>
        <w:softHyphen/>
        <w:t>на. Прибор Лукина неоднократно испытывался на ТБ-3. Первый раз это имело место в ноябре 1934 г. Из-за плохих характеристик дымо</w:t>
      </w:r>
      <w:r w:rsidRPr="0044524F">
        <w:rPr>
          <w:rFonts w:ascii="Times New Roman" w:hAnsi="Times New Roman"/>
          <w:color w:val="000000" w:themeColor="text1"/>
          <w:sz w:val="16"/>
          <w:szCs w:val="16"/>
        </w:rPr>
        <w:softHyphen/>
        <w:t>вой завесы его забраковали. Усо</w:t>
      </w:r>
      <w:r w:rsidRPr="0044524F">
        <w:rPr>
          <w:rFonts w:ascii="Times New Roman" w:hAnsi="Times New Roman"/>
          <w:color w:val="000000" w:themeColor="text1"/>
          <w:sz w:val="16"/>
          <w:szCs w:val="16"/>
        </w:rPr>
        <w:softHyphen/>
        <w:t>вершенствованный вариант опро</w:t>
      </w:r>
      <w:r w:rsidRPr="0044524F">
        <w:rPr>
          <w:rFonts w:ascii="Times New Roman" w:hAnsi="Times New Roman"/>
          <w:color w:val="000000" w:themeColor="text1"/>
          <w:sz w:val="16"/>
          <w:szCs w:val="16"/>
        </w:rPr>
        <w:softHyphen/>
        <w:t>бовали в мае 1935 г. сначала в Щелково, а затем на Переяславс</w:t>
      </w:r>
      <w:r w:rsidRPr="0044524F">
        <w:rPr>
          <w:rFonts w:ascii="Times New Roman" w:hAnsi="Times New Roman"/>
          <w:color w:val="000000" w:themeColor="text1"/>
          <w:sz w:val="16"/>
          <w:szCs w:val="16"/>
        </w:rPr>
        <w:softHyphen/>
        <w:t>ком полигоне. Плотность завесы опять оказалась неудовлетворитель</w:t>
      </w:r>
      <w:r w:rsidRPr="0044524F">
        <w:rPr>
          <w:rFonts w:ascii="Times New Roman" w:hAnsi="Times New Roman"/>
          <w:color w:val="000000" w:themeColor="text1"/>
          <w:sz w:val="16"/>
          <w:szCs w:val="16"/>
        </w:rPr>
        <w:softHyphen/>
        <w:t>ной, а расход смеси — слишком велик. Кроме того, явно не устраи</w:t>
      </w:r>
      <w:r w:rsidRPr="0044524F">
        <w:rPr>
          <w:rFonts w:ascii="Times New Roman" w:hAnsi="Times New Roman"/>
          <w:color w:val="000000" w:themeColor="text1"/>
          <w:sz w:val="16"/>
          <w:szCs w:val="16"/>
        </w:rPr>
        <w:softHyphen/>
        <w:t>вало и то, что для подвески прибо</w:t>
      </w:r>
      <w:r w:rsidRPr="0044524F">
        <w:rPr>
          <w:rFonts w:ascii="Times New Roman" w:hAnsi="Times New Roman"/>
          <w:color w:val="000000" w:themeColor="text1"/>
          <w:sz w:val="16"/>
          <w:szCs w:val="16"/>
        </w:rPr>
        <w:softHyphen/>
        <w:t>ра Лукина под центропланом тре</w:t>
      </w:r>
      <w:r w:rsidRPr="0044524F">
        <w:rPr>
          <w:rFonts w:ascii="Times New Roman" w:hAnsi="Times New Roman"/>
          <w:color w:val="000000" w:themeColor="text1"/>
          <w:sz w:val="16"/>
          <w:szCs w:val="16"/>
        </w:rPr>
        <w:softHyphen/>
        <w:t>бовалось снять бомбодержатели. Не предусматривался и аварийный сброс устройства. Прибор Лукина тоже забраковали.</w:t>
      </w:r>
    </w:p>
    <w:p w14:paraId="13D3E1FA"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ТБ-3 предназначался и при</w:t>
      </w:r>
      <w:r w:rsidRPr="0044524F">
        <w:rPr>
          <w:rFonts w:ascii="Times New Roman" w:hAnsi="Times New Roman"/>
          <w:color w:val="000000" w:themeColor="text1"/>
          <w:sz w:val="16"/>
          <w:szCs w:val="16"/>
        </w:rPr>
        <w:softHyphen/>
        <w:t>бор Г-61, проектировавшийся в Эк</w:t>
      </w:r>
      <w:r w:rsidRPr="0044524F">
        <w:rPr>
          <w:rFonts w:ascii="Times New Roman" w:hAnsi="Times New Roman"/>
          <w:color w:val="000000" w:themeColor="text1"/>
          <w:sz w:val="16"/>
          <w:szCs w:val="16"/>
        </w:rPr>
        <w:softHyphen/>
        <w:t>спериментальном институте НКТП в 1934 г. Два больших цилиндра кре</w:t>
      </w:r>
      <w:r w:rsidRPr="0044524F">
        <w:rPr>
          <w:rFonts w:ascii="Times New Roman" w:hAnsi="Times New Roman"/>
          <w:color w:val="000000" w:themeColor="text1"/>
          <w:sz w:val="16"/>
          <w:szCs w:val="16"/>
        </w:rPr>
        <w:softHyphen/>
        <w:t>пились на общей раме под «брю</w:t>
      </w:r>
      <w:r w:rsidRPr="0044524F">
        <w:rPr>
          <w:rFonts w:ascii="Times New Roman" w:hAnsi="Times New Roman"/>
          <w:color w:val="000000" w:themeColor="text1"/>
          <w:sz w:val="16"/>
          <w:szCs w:val="16"/>
        </w:rPr>
        <w:softHyphen/>
        <w:t>хом» бомбардировщика. Этот при</w:t>
      </w:r>
      <w:r w:rsidRPr="0044524F">
        <w:rPr>
          <w:rFonts w:ascii="Times New Roman" w:hAnsi="Times New Roman"/>
          <w:color w:val="000000" w:themeColor="text1"/>
          <w:sz w:val="16"/>
          <w:szCs w:val="16"/>
        </w:rPr>
        <w:softHyphen/>
        <w:t>бор задумывался как универсаль</w:t>
      </w:r>
      <w:r w:rsidRPr="0044524F">
        <w:rPr>
          <w:rFonts w:ascii="Times New Roman" w:hAnsi="Times New Roman"/>
          <w:color w:val="000000" w:themeColor="text1"/>
          <w:sz w:val="16"/>
          <w:szCs w:val="16"/>
        </w:rPr>
        <w:softHyphen/>
        <w:t>ный: в него можно было заправлять дымовую смесь, растворы отравля</w:t>
      </w:r>
      <w:r w:rsidRPr="0044524F">
        <w:rPr>
          <w:rFonts w:ascii="Times New Roman" w:hAnsi="Times New Roman"/>
          <w:color w:val="000000" w:themeColor="text1"/>
          <w:sz w:val="16"/>
          <w:szCs w:val="16"/>
        </w:rPr>
        <w:softHyphen/>
        <w:t>ющих веществ, зажигательные жид</w:t>
      </w:r>
      <w:r w:rsidRPr="0044524F">
        <w:rPr>
          <w:rFonts w:ascii="Times New Roman" w:hAnsi="Times New Roman"/>
          <w:color w:val="000000" w:themeColor="text1"/>
          <w:sz w:val="16"/>
          <w:szCs w:val="16"/>
        </w:rPr>
        <w:softHyphen/>
        <w:t>кости (смесь нефти и бензина с добавкой фосфора) и даже штам</w:t>
      </w:r>
      <w:r w:rsidRPr="0044524F">
        <w:rPr>
          <w:rFonts w:ascii="Times New Roman" w:hAnsi="Times New Roman"/>
          <w:color w:val="000000" w:themeColor="text1"/>
          <w:sz w:val="16"/>
          <w:szCs w:val="16"/>
        </w:rPr>
        <w:softHyphen/>
        <w:t>мы болезнетворных бактерий в воде. Реально даже настоящего проекта этой штуки не подготовили.</w:t>
      </w:r>
    </w:p>
    <w:p w14:paraId="4290E499"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Одним из основных недостатков немецких дымовых приборов счита</w:t>
      </w:r>
      <w:r w:rsidRPr="0044524F">
        <w:rPr>
          <w:rFonts w:ascii="Times New Roman" w:hAnsi="Times New Roman"/>
          <w:color w:val="000000" w:themeColor="text1"/>
          <w:sz w:val="16"/>
          <w:szCs w:val="16"/>
        </w:rPr>
        <w:softHyphen/>
        <w:t>лось вытеснение смеси сжатым воз</w:t>
      </w:r>
      <w:r w:rsidRPr="0044524F">
        <w:rPr>
          <w:rFonts w:ascii="Times New Roman" w:hAnsi="Times New Roman"/>
          <w:color w:val="000000" w:themeColor="text1"/>
          <w:sz w:val="16"/>
          <w:szCs w:val="16"/>
        </w:rPr>
        <w:softHyphen/>
        <w:t>духом. Советские конструкторы по</w:t>
      </w:r>
      <w:r w:rsidRPr="0044524F">
        <w:rPr>
          <w:rFonts w:ascii="Times New Roman" w:hAnsi="Times New Roman"/>
          <w:color w:val="000000" w:themeColor="text1"/>
          <w:sz w:val="16"/>
          <w:szCs w:val="16"/>
        </w:rPr>
        <w:softHyphen/>
        <w:t>стоянно пытались использовать дру</w:t>
      </w:r>
      <w:r w:rsidRPr="0044524F">
        <w:rPr>
          <w:rFonts w:ascii="Times New Roman" w:hAnsi="Times New Roman"/>
          <w:color w:val="000000" w:themeColor="text1"/>
          <w:sz w:val="16"/>
          <w:szCs w:val="16"/>
        </w:rPr>
        <w:softHyphen/>
        <w:t>гие принципы подачи, чтобы обой</w:t>
      </w:r>
      <w:r w:rsidRPr="0044524F">
        <w:rPr>
          <w:rFonts w:ascii="Times New Roman" w:hAnsi="Times New Roman"/>
          <w:color w:val="000000" w:themeColor="text1"/>
          <w:sz w:val="16"/>
          <w:szCs w:val="16"/>
        </w:rPr>
        <w:softHyphen/>
        <w:t>тись без громоздкого и тяжелого баллона и редуктора.</w:t>
      </w:r>
    </w:p>
    <w:p w14:paraId="4B9EA4F0" w14:textId="77777777" w:rsidR="000904A1" w:rsidRPr="0044524F" w:rsidRDefault="000904A1"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уже говорилось, Лукин для этой цели использовал эжектор. В 1933 г. П.И. Гроховским был пред</w:t>
      </w:r>
      <w:r w:rsidRPr="0044524F">
        <w:rPr>
          <w:rFonts w:ascii="Times New Roman" w:hAnsi="Times New Roman"/>
          <w:color w:val="000000" w:themeColor="text1"/>
          <w:sz w:val="16"/>
          <w:szCs w:val="16"/>
        </w:rPr>
        <w:softHyphen/>
        <w:t>ложен прибор Г-50. У него смесь вытеснялась скоростным напором, как в выливных приборах, заправ</w:t>
      </w:r>
      <w:r w:rsidRPr="0044524F">
        <w:rPr>
          <w:rFonts w:ascii="Times New Roman" w:hAnsi="Times New Roman"/>
          <w:color w:val="000000" w:themeColor="text1"/>
          <w:sz w:val="16"/>
          <w:szCs w:val="16"/>
        </w:rPr>
        <w:softHyphen/>
        <w:t>лявшихся отравляющими вещества</w:t>
      </w:r>
      <w:r w:rsidRPr="0044524F">
        <w:rPr>
          <w:rFonts w:ascii="Times New Roman" w:hAnsi="Times New Roman"/>
          <w:color w:val="000000" w:themeColor="text1"/>
          <w:sz w:val="16"/>
          <w:szCs w:val="16"/>
        </w:rPr>
        <w:softHyphen/>
        <w:t>ми. Г-50 включал два бака, общий вес его оценивался в 1500 кг. На ТБ-1 его хотели разместить внутри бомбоотсека, подвесив на кассет</w:t>
      </w:r>
      <w:r w:rsidRPr="0044524F">
        <w:rPr>
          <w:rFonts w:ascii="Times New Roman" w:hAnsi="Times New Roman"/>
          <w:color w:val="000000" w:themeColor="text1"/>
          <w:sz w:val="16"/>
          <w:szCs w:val="16"/>
        </w:rPr>
        <w:softHyphen/>
        <w:t>ных держателях, на Р-6 — снаружи. Проект выглядел явно нереальным. ТБ-1 мог унести полторы тонны толь</w:t>
      </w:r>
      <w:r w:rsidRPr="0044524F">
        <w:rPr>
          <w:rFonts w:ascii="Times New Roman" w:hAnsi="Times New Roman"/>
          <w:color w:val="000000" w:themeColor="text1"/>
          <w:sz w:val="16"/>
          <w:szCs w:val="16"/>
        </w:rPr>
        <w:softHyphen/>
        <w:t>ко при значительном облегчении, а для Р-6 груз был совершенно не</w:t>
      </w:r>
      <w:r w:rsidRPr="0044524F">
        <w:rPr>
          <w:rFonts w:ascii="Times New Roman" w:hAnsi="Times New Roman"/>
          <w:color w:val="000000" w:themeColor="text1"/>
          <w:sz w:val="16"/>
          <w:szCs w:val="16"/>
        </w:rPr>
        <w:softHyphen/>
        <w:t>подъемным (12269).</w:t>
      </w:r>
    </w:p>
    <w:p w14:paraId="202A5F7C" w14:textId="77777777" w:rsidR="000904A1" w:rsidRPr="0044524F" w:rsidRDefault="000904A1" w:rsidP="009654CF">
      <w:pPr>
        <w:spacing w:after="0" w:line="240" w:lineRule="auto"/>
        <w:jc w:val="both"/>
        <w:rPr>
          <w:rFonts w:ascii="Times New Roman" w:hAnsi="Times New Roman"/>
          <w:color w:val="000000" w:themeColor="text1"/>
          <w:sz w:val="16"/>
          <w:szCs w:val="16"/>
        </w:rPr>
      </w:pPr>
    </w:p>
    <w:p w14:paraId="149DD8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Ростовское вертолетное ПО началось от рязанского завода 168, образованного в 1933. В 41 - эвакуация в Волжск, Марийской АССР, в 44 - реэвакуация в Ростов. Первоначально делал винты, затем крылья для МиГ-3, делал планеры КЦ-20 Д.Н.Колесникова и П.В.Цыбина. В эвакуации - Ут-2М и в Ростове - тоже плюс По-2, Як-14 и Ил-10 (62,488).</w:t>
      </w:r>
    </w:p>
    <w:p w14:paraId="06926E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AA47D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1933 г. на их базе создан завод № 63 ГВФ. С 1936 г. - опытный завод НИИ ГВФ, с 1937 г. - самостоятельный мелкосерийный завод (имел обиходное название - Тушинский завод ГВФ). В соответствии с пост. КО № 176сс от 31.07.1938 г. завод передан в ведение НКВД и переименован в завод № 82. С 08.1938 г. - филиал ЦИАМ в подчинении НКВД. В 02.1940 г. передан из НКВД в 8ГУ НКАП.</w:t>
      </w:r>
    </w:p>
    <w:p w14:paraId="537859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выпускал запчасти к моторам М-17, М-11, МГ-11, МГ-21, МГ-31 (до 1938 г.); с 1937 г. начато опытное и мелкосерийное строительство мотора МГ-31. В 1937 г. выпущена опытная партия дизелей Д-11. В 1938 г. завод перепрофилирован на выпуск дизелей. С 1939 г. начато освоение производства дизелей АН-1, М-30, М-31. На 1939 г. был задан план в 50 моторов с доведением в последующем годовой мощности до 200 шт.</w:t>
      </w:r>
    </w:p>
    <w:p w14:paraId="4AFF49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03.1940 г. на площадке завода организован также завод № 291 НКАП.</w:t>
      </w:r>
    </w:p>
    <w:p w14:paraId="3EB00A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12.1940 г. передан в ЗГУ НКАП. По приказу № 614с/ 105с от 2.11.1940 г. в состав завода был влит радиозавод № 85 ГУ ГВФ. Полностью завод должен был быть введен в строй в 1941 г. К середине 1941 г. завод имел две территории: старую и новую.</w:t>
      </w:r>
    </w:p>
    <w:p w14:paraId="028FA3AD" w14:textId="5AA11E80"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729сс от 22.07.1941 г. завод № 82 ЗГУ НКАП эвакуирован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Казань на площадку завода № 27 НКАП. Организационно завод влит в состав завода № 27, но по приказам № 1091с от 1.11.1941 г. и № 1145сс от 20.11.1941 г. производство авиадизеля М-30 выделено вновь в самостоятельное производство на мощностях бывшего завода № 82 и под тем же номером действовало в Казани.</w:t>
      </w:r>
    </w:p>
    <w:p w14:paraId="5B86C8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связи с возобновлением производства М-30 на старой площадке завода в Тушино, в соответствии с пост. ГКО № 1207сс от 24.01.1942 г. и приказом № 74с от 26.01.1942 г. завод № 82 к 03.1942 г. был переведен обратно в Тушино со всем оборудованием и личным составом и должен был выпустить к 1.05.1942 г. серийный мотор М-30. Вскоре по прибытии для обеспечения быстрейшей организации в Москве завода-дублера по производству АМ-38 в соответствии с пост. ГКО № 1440сс от 14.03.1942 г. и приказом № 206сс от 16.03.1942 г. завод № 82 ликвидирован, все оборудование и основная часть личного состава переданы заводу № 45 НКАП. Выпуск М-30 временно приостановлен, а задел по нему передан в ЦИАМ.</w:t>
      </w:r>
    </w:p>
    <w:p w14:paraId="5CD1B5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239с от 30.03.1942 г. на площадке бывшего завода № 82 образован в системе Главремуправления завод по ремонту моторов «Мерлин» и «Аллисон». Выпуск запчастей к авиамоторам.</w:t>
      </w:r>
    </w:p>
    <w:p w14:paraId="743CBC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287с от 16.04.1942 г. новый завод получил наименование ГС завод № 453 НКАП при 6ГУ. В соответствии с пост. ГКО от 4.04.1942 г. и приказом № 268с от 10.04.1942 г. на площадке эвакуированного завода № 82 НКАП в Тушино организован филиал ЦИАМ. Затем в соответствии с пост. ГКО № 1866сс от 4.06.1942 г. и приказом № 444сс от 13.06.1942 г. на этом месте организован опытный двигателестроительный завод № 500 8ГУ НКАП.</w:t>
      </w:r>
    </w:p>
    <w:p w14:paraId="590EF92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Директор (1932-35 г.)- С.Е. Киселев, (1936 г.)-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Войтов, (1937 г.)- А.С. Черняков, (1938-41 г.)- С.Н. Жилин, (1941-42 г.-)- В.Н. Дубов.</w:t>
      </w:r>
      <w:r w:rsidRPr="0044524F">
        <w:rPr>
          <w:rFonts w:ascii="Times New Roman" w:hAnsi="Times New Roman"/>
          <w:color w:val="000000" w:themeColor="text1"/>
          <w:sz w:val="16"/>
          <w:szCs w:val="16"/>
          <w:vertAlign w:val="superscript"/>
        </w:rPr>
        <w:t>49</w:t>
      </w:r>
    </w:p>
    <w:p w14:paraId="2E7A45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(конец 1930-х)- А. Г. Таканаев</w:t>
      </w:r>
      <w:r w:rsidRPr="0044524F">
        <w:rPr>
          <w:rFonts w:ascii="Times New Roman" w:hAnsi="Times New Roman"/>
          <w:color w:val="000000" w:themeColor="text1"/>
          <w:sz w:val="16"/>
          <w:szCs w:val="16"/>
          <w:vertAlign w:val="superscript"/>
        </w:rPr>
        <w:t>34</w:t>
      </w:r>
      <w:r w:rsidRPr="0044524F">
        <w:rPr>
          <w:rFonts w:ascii="Times New Roman" w:hAnsi="Times New Roman"/>
          <w:color w:val="000000" w:themeColor="text1"/>
          <w:sz w:val="16"/>
          <w:szCs w:val="16"/>
        </w:rPr>
        <w:t>.</w:t>
      </w:r>
    </w:p>
    <w:p w14:paraId="23C49B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конструкторы: (1942 г.)- Ф.Я. Тулупов (М-30) (11982).</w:t>
      </w:r>
    </w:p>
    <w:p w14:paraId="487F91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0FFF5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группу специалистов, занимавшуюся моторами малой мощности, перевели из Запорожья в Москву в состав Отдела бензиновых двигателей НИИ авиадвигателей ГВФ (НИИ АД ГВФ). Отдел разместили в здании Дирижаблестроительного учебного комбината в подмосковном поселке Тушино. Начальником отдела стал М.А. Коссов. Базовым предприятием определили расположенный рядом завод № 82, тоже принадлежавший гражданской авиации; в его составе организовали опытный цех. НИИ АД ГВФ передали всю документацию на М-48, М-49 и М-51. Коссов прихватил с собой и проект М-50; до 1934 г. он несколько раз пытался его усовершенствовать, но так и не получил удовлетворительного результата. Другим членам семейства повезло больше. На их основе в Тушино спроектировали серию двигателей, сохранявших многие детали и узлы М-11, но отличавшихся от оригинала все больше и больше. М-51 превратился в МГ-11, М-48 - в МГ-21, М-49 - в МГ-31. Буквы "МГ" расшифровывались как "мотор гражданский". Все двигатели, спроектированные в НИИ АД ГВФ, получали обозначение с этим сочетанием. Три мотора имели до 90 % взаимозаменяемых деталей. Мощность их по сравнению с запорожскими вариантами существенно возросла. Так, МГ-11 уже "от рождения" рассчитывался на максимальную мощность 180 л.с. (номинальная - 150 л.с.). Однако при этом мотор потяжелел, и его удельная мощность лишь немного превышала единицу. Первые опытные образцы МГ-11 изготовили в 1934-1935 гг. После успешных запусков на стенде в 1935 г. один из них установили на биплане У-2. Коссов создал несколько модификаций МГ-11. Так, на некоторых экземплярах вместо отечественного карбюратора К-11 (от М-11В) устанавливался французский "Зенит" DCL 42, а в 1937 г. - специальные карбюраторы для перевернутого полета. Последовательно появились МГ-11А с увеличенным ресурсом и МГ-11Н с непосредственным впрыском топлива (оба - в 1936 г.), МГ-11Ф, у которого номинальную мощность довели до 165 л.с. (1937 г.), и его модификация МГ-11ФН с впрыском топлива. Завод изготовил 13 экземпляров МГ-11. Фактически все они были опытными образцами, хотя летали на самолетах У-2, У-5бис и др. Конструкция МГ-11 вызвала интерес и в других конструкторских бюро. Например, в харьковском УНИАДИ проектировался вариант этого мотора с нагнетателем типа "Рут". Одним из требований к конструкторам было использование максимального количества агрегатов, уже находящихся в производстве. Так, семицилиндровый МГ-21 (220 л.с.) оснащался карбюратором К-17 от мотора М-17. Первые два опытных образца МГ-21 изготовили в 1934 г., в 1934-1935 гг. они проходили стендовые испытания и доводку. Летные испытания проводились на самолете КАИ-2 в 1937 г. В следующем году на самолете САМ-5-2бис с МГ-21 установили рекорд высоты. Возможно, что в этом случае использовали усовершенствованный МГ-21А (250 л.с.), изготовленный в 1936 г. Самым удачным двигателем семейства МГ считался девятицилиндровый МГ-31. На него возлагали большие надежды военные, намеревавшиеся использовать его на учебно-боевых самолетах. Конструкция его в целом повторяла МГ-11 и МГ-21, но все основные узлы были усилены. Первые образцы с импортными карбюраторами "Зенит" 60DCL были изготовлены в 1934 г. По расчетам максимальная мощность должна была составить 320 л. с., но на практике больше 310 л.с. получить не удалось. Зато номинальная мощность 270 л.с. соответствовала заданию. В январе 1935 г. МГ-31 впервые выставили на госиспытания, но оба предъявленных экземпляра довольно быстро вышли из строя. Лишь в 1936 г. МГ-31 успешно прошел госиспытания. Новый вариант уже оснащался карбюратором К-17 с расточенным диффузором. В январе-феврале 1937 г. двигатель успешно опробовали в воздухе на самолете "Сталь-2". С 1936 г. на заводе № 82 освоили серийный выпуск МГ-31. Параллельно в НИИ АД ГВФ спроектировали и построили опытные образцы модификаций МГ-31А, МГ-31Н (с непосредственным впрыском топлива) и МГ-31Ф (форсированной по частоте вращения вала). С конца 1937 г. тип "Ф "внедрили в серию. В опытных образцах существовали модификации МГ-31ФН (с впрыском топлива) и МГ-31Ф2 (о последней нет информации). Моторы МГ-31 и МГ-31Ф устанавливались на серийных пассажирских самолетах "Сталь-2", опытных машинах УТИ-5 (НВ-2бис) и др., а позже на вертолете "Омега-II" (2МГ). В последнем случае к двигателю пристроили вентилятор принудительного охлаждения. Использование МГ-31 предусматривалось также проектами самолетов МБР-6 и УТ-3 (11478).</w:t>
      </w:r>
    </w:p>
    <w:p w14:paraId="567E59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8416E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1933 году в Италии для СССР построили пять </w:t>
      </w:r>
      <w:r w:rsidRPr="0044524F">
        <w:rPr>
          <w:rFonts w:ascii="Times New Roman" w:hAnsi="Times New Roman"/>
          <w:color w:val="000000" w:themeColor="text1"/>
          <w:sz w:val="16"/>
          <w:szCs w:val="16"/>
          <w:lang w:val="en-US"/>
        </w:rPr>
        <w:t>S</w:t>
      </w:r>
      <w:r w:rsidRPr="0044524F">
        <w:rPr>
          <w:rFonts w:ascii="Times New Roman" w:hAnsi="Times New Roman"/>
          <w:color w:val="000000" w:themeColor="text1"/>
          <w:sz w:val="16"/>
          <w:szCs w:val="16"/>
        </w:rPr>
        <w:t>-55. Их заводские номера были: 10526, 10527,10528,10529 и 10530. Четыре машины впоследствии попали в Дальневосточное уп</w:t>
      </w:r>
      <w:r w:rsidRPr="0044524F">
        <w:rPr>
          <w:rFonts w:ascii="Times New Roman" w:hAnsi="Times New Roman"/>
          <w:color w:val="000000" w:themeColor="text1"/>
          <w:sz w:val="16"/>
          <w:szCs w:val="16"/>
        </w:rPr>
        <w:softHyphen/>
        <w:t xml:space="preserve">равление ГВФ. Савойя </w:t>
      </w:r>
      <w:r w:rsidRPr="0044524F">
        <w:rPr>
          <w:rFonts w:ascii="Times New Roman" w:hAnsi="Times New Roman"/>
          <w:color w:val="000000" w:themeColor="text1"/>
          <w:sz w:val="16"/>
          <w:szCs w:val="16"/>
          <w:lang w:val="en-US"/>
        </w:rPr>
        <w:t>S</w:t>
      </w:r>
      <w:r w:rsidRPr="0044524F">
        <w:rPr>
          <w:rFonts w:ascii="Times New Roman" w:hAnsi="Times New Roman"/>
          <w:color w:val="000000" w:themeColor="text1"/>
          <w:sz w:val="16"/>
          <w:szCs w:val="16"/>
        </w:rPr>
        <w:t>.55 зав. № 10526 СССР-Н11 потерпела катастрофу на Волге 13 июля 1933. А что же остальные четыре «Савойи»? Все они попали на Дальний Восток, где летали с опознавательными знаками СССР-Л995, СССР- Л996, СССР-Л997 и СССР-Л840. Но судьба у них была незавидной. Каждый год разбивалось по одной машине. 12.09.34 г. потерпел катастрофу самолет СССР-Л997. 26.06.35 разбился СССР-Л840. Еще через год - 21.06.36 г. - СССР-Л996. Дольше всех проле</w:t>
      </w:r>
      <w:r w:rsidRPr="0044524F">
        <w:rPr>
          <w:rFonts w:ascii="Times New Roman" w:hAnsi="Times New Roman"/>
          <w:color w:val="000000" w:themeColor="text1"/>
          <w:sz w:val="16"/>
          <w:szCs w:val="16"/>
        </w:rPr>
        <w:softHyphen/>
        <w:t>тал СССР-Л995. Его «смерть» стала единствен</w:t>
      </w:r>
      <w:r w:rsidRPr="0044524F">
        <w:rPr>
          <w:rFonts w:ascii="Times New Roman" w:hAnsi="Times New Roman"/>
          <w:color w:val="000000" w:themeColor="text1"/>
          <w:sz w:val="16"/>
          <w:szCs w:val="16"/>
        </w:rPr>
        <w:softHyphen/>
        <w:t>ной «естественной» - самолет списали по из</w:t>
      </w:r>
      <w:r w:rsidRPr="0044524F">
        <w:rPr>
          <w:rFonts w:ascii="Times New Roman" w:hAnsi="Times New Roman"/>
          <w:color w:val="000000" w:themeColor="text1"/>
          <w:sz w:val="16"/>
          <w:szCs w:val="16"/>
        </w:rPr>
        <w:softHyphen/>
        <w:t>носу 17 октября 1938 г. (11975).</w:t>
      </w:r>
    </w:p>
    <w:p w14:paraId="113045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3F1AE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1933 г. постройку опытного образца МК-1 осуществляли в большом цехе Завода опытных конструкций ЦАГИ. В июле следующего года его (видимо, в разобранном виде) перевезли на гидробазу ЦАГИ в Севастополе (12036). Заводские испытания начались с 8 августа 1934 г. Летчиком был Т.В. Рябенко. МК-1 летал как разведчик без бомб или эквивалентного по весу балласта; взлетный вес равнялся 28 750 кг. Но и так смогли получить скорость всего 233 км/ч - ниже расчетной и ниже заданной. Практический потолок равнялся 3500 м. Огромный самолет оказался поистине нетороплив: на высоту 3000 м он забирался больше получаса. На государственных испытаниях (27 июля - 15 августа 1935 г.), когда летали с 5 т бомб (взлетный вес 32 500 кг), причем на наружной подвеске, максимальная скорость упала до 205 км/ч. Крейсерская скорость равнялась 180 км/ч, дальность - 1330 км, практический потолок - 2250 м. С перегрузочным весом 43 000 кг машину не испытывали.</w:t>
      </w:r>
    </w:p>
    <w:p w14:paraId="69C6CB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воде катамаран вел себя отлично. Он мог без проблем взлетать и садиться в открытом море при полутораметровой волне, обладал на плаву хорошей маневренностью, управляемостью и остойчивостью. Впрочем, и в полете МК-1 отличался устойчивостью, неплохой управляемостью и вполне приемлемой для его размеров маневренностью. Но этого было недостаточно.</w:t>
      </w:r>
    </w:p>
    <w:p w14:paraId="0A8C51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Причиной неудач сочли мотоустановки. Сделали вывод, что задние, толкающие, винты имеют низкий коэффициент полезного действия из-за воздействия спутной струи от переднего, тянущего, пропеллера. Решили доработать мотоустановки, поставить двигатели М-34РН и облегчить конструкцию планера. Но делать этого не стали (12036).</w:t>
      </w:r>
    </w:p>
    <w:p w14:paraId="442606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1C607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был запущен 19 пермский - осваивал Циклон при содействии Кертисс-Райт. Лицензионный договор был подписан 22 апреля 1933. Созданием М-25 руководил А.Д.Швецов (80,430).</w:t>
      </w:r>
    </w:p>
    <w:p w14:paraId="251094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81F42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пермский завод 19, первоначально предназначенный для производства моторов Юпитер-4 после поездки делегации авиапромышленности за границу был перепрофилирован для производства двигателей Циклон. Воронежский завод 16, первоначально по первому пятилетнему плану предназначающийся для производства штурмовиков, был переориентирован на выпуск вооружения, а затем - с 1934 - моторов (80,419).</w:t>
      </w:r>
    </w:p>
    <w:p w14:paraId="3250E80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4E2A0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было принято решение Правительства организовать на заводе № 19 производство авиационных двигателей М-25 (типа «Циклон») воздушного охлаждения.</w:t>
      </w:r>
    </w:p>
    <w:p w14:paraId="6525B2F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К этому времени с американской фирмой «Райт» был заключен договор о технической помощи на производство этих двигателей.</w:t>
      </w:r>
    </w:p>
    <w:p w14:paraId="724F37D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подготовительный этап завод № 19 получил задание в течение 1934 года собрать малую партию двигателей из деталей американского производства и подготовиться к серийному производству двигателей М-25 начиная с 1935 года.</w:t>
      </w:r>
    </w:p>
    <w:p w14:paraId="641E47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КБ под руководством А.Д. Швецова была проведена огромная работа по созданию технической документации обеспечивающей качественное изготовление деталей, сборку и испытание двигателей. С поставленными задачами в 1934 году завод успешно справился и получил высокую оценку НК тяжпрома.</w:t>
      </w:r>
    </w:p>
    <w:p w14:paraId="78A2AC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1934 год является годом рождения завода, годом ввода его в эксплуатацию.</w:t>
      </w:r>
    </w:p>
    <w:p w14:paraId="13D359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Коллектив КБ работал над улучшением конструкции двигателя, а после проведения ряда конструктивных изменений в августе 1935 года на госиспытание была предъявлена новая модификация двигателя М-25, более мощный двигатель М-25А, который получил широкое применение в военно-воздушном флоте СССР.</w:t>
      </w:r>
    </w:p>
    <w:p w14:paraId="2E1B6E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Если 1934 год был для ОКБ завода годом развернутой подготовки, 1935 год – годом освоения и выяснения потенциальной возможности мотора «Циклон», то 1936 год должен был стать годом создания новых модификаций двигателей, более мощных и надежных в работе на базе дальнейшего конструктивного развития двигателя М-25А.</w:t>
      </w:r>
    </w:p>
    <w:p w14:paraId="6D5FFA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течение 1936 года ОКБ была проделана большая работа по созданию и конструктивной разработке новых более мощных двигателей.</w:t>
      </w:r>
    </w:p>
    <w:p w14:paraId="1627C3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результате этого, наряду с двигателем М-25А внедренным в серийное производство, был создан новый двигатель М-25В, прошедший в августе 1936 года государственные 100-часовые испытания.</w:t>
      </w:r>
    </w:p>
    <w:p w14:paraId="0E8ACA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Одновременно с этим велись работы по проектированию современного в то время двигателя М-62.</w:t>
      </w:r>
    </w:p>
    <w:p w14:paraId="7D872D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1937 году двигатель М-25В был внедрен в серийное производство, а также был подготовлен для проведения госиспытаний двигатель М-62.</w:t>
      </w:r>
    </w:p>
    <w:p w14:paraId="45E0A6A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этот же период был разработан проект редукторного двигателя АШ-62ИР, который прошел госиспытание в мае 1938 года. Необходимо отметить, что этот двигатель продолжает эксплуатироваться до настоящего времени на пассажирских и транспортных самолетах и в результате проведенных конструктивных доработок ресурс его доведен до 700 часов.</w:t>
      </w:r>
    </w:p>
    <w:p w14:paraId="566729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1938 году ОКБ проводилась разработка более мощного двигателя М-63, который выпускался в серийном производстве, начиная с 1939 года.</w:t>
      </w:r>
    </w:p>
    <w:p w14:paraId="4EAAD1E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1939 году был разработан новый двигатель АШ-82 – двухрядная 14-цилиндровая звезда.</w:t>
      </w:r>
    </w:p>
    <w:p w14:paraId="0A43E4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Исходя из назначения указанного двигателя для истребительной авиации в основу его проектирования были заложены данные, характеризующиеся минимальным удельным весом и минимальной лобовой поверхностью.</w:t>
      </w:r>
    </w:p>
    <w:p w14:paraId="69B09B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Тактико-технические данные этого двигателя были одними из лучших в мире среди авиационных двигателей такого класса. Кроме того он имел возможность дальнейшего форсирования.</w:t>
      </w:r>
    </w:p>
    <w:p w14:paraId="373734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1941 года двигатель АШ-82 прошел госиспытание в течение 100 часов с удовлетворительными результатами.</w:t>
      </w:r>
    </w:p>
    <w:p w14:paraId="5BDB7E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основании указания Правительства от 9 мая 1941 года двигатель АШ-82 был запущен в серийное производство.</w:t>
      </w:r>
    </w:p>
    <w:p w14:paraId="0E8238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к началу ВОВ мы имели двигатели семейства «АШ» следующих наименований:</w:t>
      </w:r>
    </w:p>
    <w:p w14:paraId="34AD9E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М-25В – однорядная 9-ти цилиндровая звезда</w:t>
      </w:r>
    </w:p>
    <w:p w14:paraId="03AB07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М-62 – однорядная 9-ти цилиндровая звезда (без редуктора)</w:t>
      </w:r>
    </w:p>
    <w:p w14:paraId="534461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АШ-62ИР – однорядная 9-ти цилиндровая звезда (с редуктором 11/16)</w:t>
      </w:r>
    </w:p>
    <w:p w14:paraId="0169CC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М-63 - однорядная 9-ти цилиндровая звезда (без редуктора)</w:t>
      </w:r>
    </w:p>
    <w:p w14:paraId="52DF8C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АШ-82 – двухрядная 14-ти цилиндровая звезда (с редуктором 11/16)</w:t>
      </w:r>
    </w:p>
    <w:p w14:paraId="65184C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 эти двигатели, кроме двигателя АШ-62ИР устанавливались на лучшие по тому времени истребители, находящиеся в ВВС нашей армии. Двигатель АШ-62ИР устанавливался на транспортный самолет ЛИ-2, на котором он продолжает эксплуатироваться до настоящего времени.</w:t>
      </w:r>
    </w:p>
    <w:p w14:paraId="704B61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по гражданскому аэрофлоту от 18 сентября 1941 года срок службы двигателя АШ-62ИР до первой переборки был установлен 500 часов, а отдельным подразделениям предоставлено право и этот срок повышать на 20%.</w:t>
      </w:r>
    </w:p>
    <w:p w14:paraId="16E3C5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 января 1943 года заводом начала выпускаться новая модификация двигателя – АШ-82Ф, а затем – АШ-82ФН.</w:t>
      </w:r>
    </w:p>
    <w:p w14:paraId="3B0FD1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Двигатели АШ-82Ф и АШ-82ФН с редуктором 11/16 устанавливались на самолеты истребители Ла-5 и Ла-7, а двигатель АШ-82ФН с редуктором на бомбардировщик ТУ-2.</w:t>
      </w:r>
    </w:p>
    <w:p w14:paraId="68D480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Выше отмечены типы двигателей, над которыми работали ОКБ и завод, которые находились в серийном производстве и нашли широкое применение в эксплуатации.</w:t>
      </w:r>
    </w:p>
    <w:p w14:paraId="3B46E4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них ОКБ были проведены работы по созданию большого количества других модификаций, которые по целому ряду причин не были запущены в серийное производство.</w:t>
      </w:r>
    </w:p>
    <w:p w14:paraId="29AB1B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 них необходимо отметить 180ти цилиндровый двигатель М-71, который прошел необходимые испытания на заводе и был выпущен малой серией. Самолеты (штурмовик и бомбардировщик) с указанным мотором показали хорошие летные качества.</w:t>
      </w:r>
    </w:p>
    <w:p w14:paraId="243AE4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из-за невозможности перестройки самолетных заводов на новый тип самолета в военный период, как самолеты с двигателями АШ-71, так и сам двигатель в серийное производство запущены не были.</w:t>
      </w:r>
    </w:p>
    <w:p w14:paraId="026DFC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послевоенный период ОКБ и заводом были созданы 3 типа двигателей, которые выпускались и выпускаются до настоящего времени в серийном производстве: АШ-73ТК, АШ-82В, АШ-82Т.</w:t>
      </w:r>
    </w:p>
    <w:p w14:paraId="507B58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АШ-73ТК устанавливается на тяжелых 4-х моторный бомбардировщик ТУ-4.</w:t>
      </w:r>
    </w:p>
    <w:p w14:paraId="26F700C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Конструктивная разработка двигателя АШ-73ТК была начата в 1945 году и в конце 1948 года двигатель прошел государственное 200-часовое испытание.</w:t>
      </w:r>
    </w:p>
    <w:p w14:paraId="6CE5A05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АШ-82В является специальным типом двигателя, предназначенным для установки на вертолеты типа МИ-4 и ЯК-4.</w:t>
      </w:r>
    </w:p>
    <w:p w14:paraId="40461A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конструкции, доводка и изготовление первой партии двигателей и редукторов проводилась в период 1950-1952 года и 26 сентября 1952 года двигатель закончил госиспытание и был запущен в серийное производство с ресурсом 300 часов.</w:t>
      </w:r>
    </w:p>
    <w:p w14:paraId="5C6CDC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Этот же период 1950-1952 года была создана новая модификация двигателя – двигатель АШ-82Т, который устанавливается на пассажирский самолет ИЛ-14.</w:t>
      </w:r>
    </w:p>
    <w:p w14:paraId="575FD8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двигателей, отмеченных и которые выпускались и выпускаются в серийном производстве до настоящего времени, ОКБ в послевоенный период проводились большие работы по разработке и доводке ряда типов более мощных многорядных двигателей (28-ми цилиндровый двигатель АШ-2М и другие).</w:t>
      </w:r>
    </w:p>
    <w:p w14:paraId="12F9D9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в период наибольшего применения поршневых двигателей с воздушным охлаждением нашим ОКБ и заводом были созданы и выпускались лучшие по тому времени авиационные двигатели, которые занимали одно из первых мест в авиации.</w:t>
      </w:r>
    </w:p>
    <w:p w14:paraId="161690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Бывш. гл. конструктор Аркадий Дмитриевич Швецов.</w:t>
      </w:r>
    </w:p>
    <w:p w14:paraId="7AAD76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кончины 19 марта 1953 года генерального конструктора А.Д. Швецова ОКБ № 19 возглавил П.А. Соловьев.</w:t>
      </w:r>
    </w:p>
    <w:p w14:paraId="6BAF00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Наличие большого числа различных поршневых двигателей семейства «АШ» находящихся в эксплуатации гражданского и военного флота в послевоенный период, когда моторы созданные ОКБ-19 в стране остались единственными из класса поршневых, требовало большого внимания и усилий со стороны конструкторов к этому классу двигателей.</w:t>
      </w:r>
    </w:p>
    <w:p w14:paraId="33A687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Поэтому коллектив ОКБ-19 к созданию к созданию реактивных двигателей приступил позднее, чем другие ОКБ авиационной промышленности.</w:t>
      </w:r>
    </w:p>
    <w:p w14:paraId="16B0D7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Подготовительная работа некоторой части коллектива по созданию реактивных двигателей началась только в последний год жизни генерального конструктора Швецова и получила более широкий размах в 1955-58 гг. при гл. конструкторе П.А. Соловьеве, когда часть работ по обслуживанию поршневых двигателей была выделена в отдельное ОКБ (гл. конструктор В.А. Глушенков).</w:t>
      </w:r>
    </w:p>
    <w:p w14:paraId="194D5A7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29 апреля 1953 года по постановлению СМ за № 1138-470сс ОКБ было дано задание спроектировать на базе двигателя ТВ-2Ф турбовинтовой реактивный двигатель для пикирующего бомбардировщика-торпедоносца. Этот двигатель в дальнейшем стал именоваться ТВ-2М.</w:t>
      </w:r>
    </w:p>
    <w:p w14:paraId="479531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Удовлетворительное проведение госиспытания этого двигателя было закончено 15 сентября 1954 года.</w:t>
      </w:r>
    </w:p>
    <w:p w14:paraId="41A518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Почти одновременно с работами по двигателю ТВ-2М ОКБ приступило к проектированию турбовинтового двигателя Д-19, который официально был задан позднее для ОКБ постановлением СМ от 19 сентября 1953 года за № 2461-1018сс.</w:t>
      </w:r>
    </w:p>
    <w:p w14:paraId="75B971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двигателю Д-19 не были завершены вследствие того, что вскоре был доведен близкий по своим данным двигатель НК-12, который был запроектирован гораздо ранее двигателя Д-19.</w:t>
      </w:r>
    </w:p>
    <w:p w14:paraId="664005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Постановлением СМ от 11 июня 1954 года за № 1171-515сс и от 28 марта 1956 года за № 424-261сс ОКБ было дано задание на базе двигателя ТВ-2М создать двигатель ТВ-2ВМ со свободной турбиной, трансмиссии и редуктором на 1100 л.с. с муфтой свободного хода для вертолета МИ-6. Такой двигатель в стендовых условиях был доведен, 24 мая 1957 года он прошел госиспытания удовлетворительно с ресурсом 100 часов.</w:t>
      </w:r>
    </w:p>
    <w:p w14:paraId="412D9E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двигатель, редуктор, все промежуточные узлы проходят испытания на вертолете МИ-6.</w:t>
      </w:r>
    </w:p>
    <w:p w14:paraId="0E28EB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Проектирование, изготовление и доводку реактивных двигателей нового типа коллектив ОКБ под руководством гл. конструктора П.А. Соловьева начал в 1955 году, а именно:</w:t>
      </w:r>
    </w:p>
    <w:p w14:paraId="52E925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ПРД-1 прямоточный двигатель задан по приказу МАП от 25 мая 1955 года № 334сс/ов</w:t>
      </w:r>
    </w:p>
    <w:p w14:paraId="554136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Д-20 двухконтурный двухкаскадный двигатель, задан по приказу МАП от 25 июля 1955 года № 476сс/ов</w:t>
      </w:r>
    </w:p>
    <w:p w14:paraId="41C3883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Д-20П двухконтурный двухкаскадный двигатель без форсажной камеры был задан по приказу МАП от 24 октября 1956 года (постановление СМ от 18 июля 1958 года за № 786-378)</w:t>
      </w:r>
    </w:p>
    <w:p w14:paraId="054E34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Д-21 однокаскадный двухконтурный двигатель с форсажной камерой сгорания прямоточного типа (постановление СМ от 31 августа 1956 года № 1237-628)</w:t>
      </w:r>
    </w:p>
    <w:p w14:paraId="244B54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1958 году работы по двигателю ПРД-1 временно приостановлены за отсутствием летательного аппарата.</w:t>
      </w:r>
    </w:p>
    <w:p w14:paraId="78FAE0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изготовления нескольких двигателей Д-20 работы были приостановлены, т.к. прекращены работы по созданию самолета для которого двигатель предполагается.</w:t>
      </w:r>
    </w:p>
    <w:p w14:paraId="4B8B64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Двухконтурный и двухкаскадный двигатель Д-20П был ОКБ запроектирован для самолетов ТУ-110Б и ТУ-124. Этот двигатель находится в стадии завершающих доводочных работ в стендовых условиях с ресурсом 100 часов. Он также проходит испытания в летных условиях на самолете ТУ-110Б.</w:t>
      </w:r>
    </w:p>
    <w:p w14:paraId="3D96DB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Двигатель Д-21 находится в стадии доводочных работ в стендовых условиях.</w:t>
      </w:r>
    </w:p>
    <w:p w14:paraId="5F698D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председателя ГК СМ по авиатехнике от 15 июня 1958 года № 233с ОКБ было задано запроектировать на базе двигателя Д-20П для вертолета МИ-6 реактивный двигатель Д-25В, который по своей конструкции имеет много общих узлов с двигателем Д-20П.</w:t>
      </w:r>
    </w:p>
    <w:p w14:paraId="6F6042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настоящее время два двигателя Д-25В прошли 50-ти часовые испытания на стенде (9364).</w:t>
      </w:r>
    </w:p>
    <w:p w14:paraId="5AEA11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0A0009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в Отделе бензиновых двигателей НИИ АД ГВФ под руководством М.А. Коссова был спроектирован МГ-11 - двигатель малой мощности на базе М-11, оснащенный ПЦН.. От М-11 отличался приводом газораспределения, конструкцией клапанов и головок цилиндров, наличием односко-ростного ПЦН. На некоторых двигателях устанавливались карбюраторы Зенит ОСЬ 42 вместо стандартного К-11. Были изготовлены опытные образцы МГ-11, проводились стендовые испытания. По мере доводки в моторе оставалось все меньше деталей от М-11. В 1935 г. МГ-11 ис</w:t>
      </w:r>
      <w:r w:rsidRPr="0044524F">
        <w:rPr>
          <w:rFonts w:ascii="Times New Roman" w:hAnsi="Times New Roman"/>
          <w:color w:val="000000" w:themeColor="text1"/>
          <w:sz w:val="16"/>
          <w:szCs w:val="16"/>
        </w:rPr>
        <w:softHyphen/>
        <w:t>пытывался на самолете У-2. В УНИАДИ проектировался вариант МГ-11 с объемным нагнетателем типа Рут. Всего завод № 82 изготовил 13 экз. МГ-11.</w:t>
      </w:r>
    </w:p>
    <w:p w14:paraId="7544A13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64EA73F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5-цилиндровый, звездообразный, воздушного охлаждения, четырех</w:t>
      </w:r>
      <w:r w:rsidRPr="0044524F">
        <w:rPr>
          <w:rFonts w:ascii="Times New Roman" w:hAnsi="Times New Roman"/>
          <w:color w:val="000000" w:themeColor="text1"/>
          <w:sz w:val="16"/>
          <w:szCs w:val="16"/>
        </w:rPr>
        <w:softHyphen/>
        <w:t>тактный, безредукторный, с одноступенчатым односкоростным ПЦН;</w:t>
      </w:r>
    </w:p>
    <w:p w14:paraId="116F4CE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объем 8,6 л;</w:t>
      </w:r>
    </w:p>
    <w:p w14:paraId="75E61E0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125/140 мм;</w:t>
      </w:r>
    </w:p>
    <w:p w14:paraId="181A996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5,0;</w:t>
      </w:r>
    </w:p>
    <w:p w14:paraId="4F7CF54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150/180 л.с.;</w:t>
      </w:r>
    </w:p>
    <w:p w14:paraId="07DAFA0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вес (без пневмосамопуска, бензонасоса и втулки винта) 175 кг.</w:t>
      </w:r>
    </w:p>
    <w:p w14:paraId="76B7298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Известны модификации:</w:t>
      </w:r>
    </w:p>
    <w:p w14:paraId="6BC0D5F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МГ-11, базовый вариант 1934-1935 гг.</w:t>
      </w:r>
    </w:p>
    <w:p w14:paraId="5FDE42B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МГ-11А, усовершенствованный вариант 1936 г. Данные неизвестны.</w:t>
      </w:r>
    </w:p>
    <w:p w14:paraId="6CB277C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МГ-11Н, вариант 1936 г. с непосредственным впрыском топлива.</w:t>
      </w:r>
    </w:p>
    <w:p w14:paraId="15A97BC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МГ-11Ф, форсированный вариант 1937 г. Номинальная мощность 165 л.с. Существовал подвариант со специальным карбюратором для перевернутого полета.</w:t>
      </w:r>
    </w:p>
    <w:p w14:paraId="21FDAE8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МГ-11ФН, вариант МГ-11 Ф с непосредственным впрыском топлива. Моторы МГ-11 устанавливались на опытных самолетах У-2, У-5бис (ма</w:t>
      </w:r>
      <w:r w:rsidRPr="0044524F">
        <w:rPr>
          <w:rFonts w:ascii="Times New Roman" w:hAnsi="Times New Roman"/>
          <w:color w:val="000000" w:themeColor="text1"/>
          <w:sz w:val="16"/>
          <w:szCs w:val="16"/>
        </w:rPr>
        <w:softHyphen/>
        <w:t>лая серия), НВ-2бис, НВ-6 (УТИ-6), МУ-4 (11852).</w:t>
      </w:r>
    </w:p>
    <w:p w14:paraId="1C1C22F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E77307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проектировался МГ-21 - унифицированный с МГ-11 7-цилиндровый двигатель. Проектировался с 1933 г. в Отделе бензиновых двигателей НИИ АД ГВФ под руководством М.А. Коссова. Оснащался карбюратором К-17 от мотора М-17. Имел тот же нагнетатель, что и МГ-11, но с увеличенными оборотами за счет изменения передаточного числа привода. Первые опытные образцы МГ-21 были изготов</w:t>
      </w:r>
      <w:r w:rsidRPr="0044524F">
        <w:rPr>
          <w:rFonts w:ascii="Times New Roman" w:hAnsi="Times New Roman"/>
          <w:color w:val="000000" w:themeColor="text1"/>
          <w:sz w:val="16"/>
          <w:szCs w:val="16"/>
        </w:rPr>
        <w:softHyphen/>
        <w:t>лены в 1934 г. и в 1934-1935 гг. проходили стендовые испытания и доводку. Летные испытания проводились на самолете КАИ-2 в 1937 г. В следующем году на самолете САМ-5-2бис с МГ-21 установили рекорд высоты. Серийно МГ-21 не выпускался. На заводе № 82 изготовлено 3 экз.</w:t>
      </w:r>
    </w:p>
    <w:p w14:paraId="3D8BC01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Известны две модификации:</w:t>
      </w:r>
    </w:p>
    <w:p w14:paraId="3555114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МГ-21, вариант 1934 г.</w:t>
      </w:r>
    </w:p>
    <w:p w14:paraId="1B85230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МГ-21 А, вариант 1936 г. Мощность 210/250 л.с.</w:t>
      </w:r>
    </w:p>
    <w:p w14:paraId="5D9E2AB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17D8D65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- 7-цилиндровый, звездообразный, воздушного охлаждения, четырехтакт</w:t>
      </w:r>
      <w:r w:rsidRPr="0044524F">
        <w:rPr>
          <w:rFonts w:ascii="Times New Roman" w:hAnsi="Times New Roman"/>
          <w:color w:val="000000" w:themeColor="text1"/>
          <w:sz w:val="16"/>
          <w:szCs w:val="16"/>
        </w:rPr>
        <w:softHyphen/>
        <w:t>ный, безредукторный, с одноступенчатым односкоростным ПЦН;</w:t>
      </w:r>
    </w:p>
    <w:p w14:paraId="74A4969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объем 12,05 л;</w:t>
      </w:r>
    </w:p>
    <w:p w14:paraId="6932BCE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125/140 мм;</w:t>
      </w:r>
    </w:p>
    <w:p w14:paraId="5A86E3C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5,0;</w:t>
      </w:r>
    </w:p>
    <w:p w14:paraId="03DD4A0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200/220 л.с.;</w:t>
      </w:r>
    </w:p>
    <w:p w14:paraId="5B6D7DE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вес (без пневмосамопуска, бензонасоса и втулки винта) 214 кг. Моторы МГ-21 устанавливались на опытных самолетах КАИ-2 САМ-5-2бис (11852).</w:t>
      </w:r>
    </w:p>
    <w:p w14:paraId="1283E9D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69AE14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1933 г. в Отделе бензиновых двигателей НИИ АД ГВФ под руководством М.А. Коссова проектировался МГ-31 - Самый мощный построенный двигатель семейства МГ, унифицирован</w:t>
      </w:r>
      <w:r w:rsidRPr="0044524F">
        <w:rPr>
          <w:rFonts w:ascii="Times New Roman" w:hAnsi="Times New Roman"/>
          <w:color w:val="000000" w:themeColor="text1"/>
          <w:sz w:val="16"/>
          <w:szCs w:val="16"/>
        </w:rPr>
        <w:softHyphen/>
        <w:t>ный с МГ-11 и МГ-21. Оснащался кар</w:t>
      </w:r>
      <w:r w:rsidRPr="0044524F">
        <w:rPr>
          <w:rFonts w:ascii="Times New Roman" w:hAnsi="Times New Roman"/>
          <w:color w:val="000000" w:themeColor="text1"/>
          <w:sz w:val="16"/>
          <w:szCs w:val="16"/>
        </w:rPr>
        <w:softHyphen/>
        <w:t>бюратором К-17 с расточенным диффузором, на ранних моторах ставился также импортный Зенит 60ВСГ. Первые образцы изготовлены в 1934 г. В том же году провели заводские испытания. В январе 1935 г. МГ-31 впер</w:t>
      </w:r>
      <w:r w:rsidRPr="0044524F">
        <w:rPr>
          <w:rFonts w:ascii="Times New Roman" w:hAnsi="Times New Roman"/>
          <w:color w:val="000000" w:themeColor="text1"/>
          <w:sz w:val="16"/>
          <w:szCs w:val="16"/>
        </w:rPr>
        <w:softHyphen/>
        <w:t>вые выставили на госиспытания, но два мотора довольно быстро вышли из строя. В феврале проводились повторные госиспытания, но двигатель опять не справился с программой — начали отворачиваться головки ци</w:t>
      </w:r>
      <w:r w:rsidRPr="0044524F">
        <w:rPr>
          <w:rFonts w:ascii="Times New Roman" w:hAnsi="Times New Roman"/>
          <w:color w:val="000000" w:themeColor="text1"/>
          <w:sz w:val="16"/>
          <w:szCs w:val="16"/>
        </w:rPr>
        <w:softHyphen/>
        <w:t>линдров. Лишь в 1936 г. МГ-31 прошел госиспытания. В январе — фев</w:t>
      </w:r>
      <w:r w:rsidRPr="0044524F">
        <w:rPr>
          <w:rFonts w:ascii="Times New Roman" w:hAnsi="Times New Roman"/>
          <w:color w:val="000000" w:themeColor="text1"/>
          <w:sz w:val="16"/>
          <w:szCs w:val="16"/>
        </w:rPr>
        <w:softHyphen/>
        <w:t>рале 1937 г. двигатель успешно опробовали на самолете «Сталь-2». С 1936 г. МГ-31 серийно выпускался заводом № 82, с конца 1937 г. его сменил усовершенствованный МГ-31 Ф. В общей сложности изготовили 129 экз. Производство было прекращено в связи с передачей предприятия в ведение НКВД. По постановлению от июля 1939 г. выпуск МГ-31 дол</w:t>
      </w:r>
      <w:r w:rsidRPr="0044524F">
        <w:rPr>
          <w:rFonts w:ascii="Times New Roman" w:hAnsi="Times New Roman"/>
          <w:color w:val="000000" w:themeColor="text1"/>
          <w:sz w:val="16"/>
          <w:szCs w:val="16"/>
        </w:rPr>
        <w:softHyphen/>
        <w:t>жен был освоить завод № 16 в Воронеже. К концу года предполагался выпуск первой серии из 10 моторов, но практически ни одного МГ-31 в Воронеже не собрали. После окончания войны предлагали восстановить производство МГ-31 на каком-либо предприятии, но затем от этой идеи отказались.</w:t>
      </w:r>
    </w:p>
    <w:p w14:paraId="56554BF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МГ-31 Ф эксплуатировались до конца 1946 г.</w:t>
      </w:r>
    </w:p>
    <w:p w14:paraId="215017E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Характеристики:</w:t>
      </w:r>
    </w:p>
    <w:p w14:paraId="18B2A6B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9-цилиндровый, звездообразный, воздушного охлаждения, четырех</w:t>
      </w:r>
      <w:r w:rsidRPr="0044524F">
        <w:rPr>
          <w:rFonts w:ascii="Times New Roman" w:hAnsi="Times New Roman"/>
          <w:color w:val="000000" w:themeColor="text1"/>
          <w:sz w:val="16"/>
          <w:szCs w:val="16"/>
        </w:rPr>
        <w:softHyphen/>
        <w:t>тактный, безредукторный, с одноступенчатым односкоростным ПЦН;</w:t>
      </w:r>
    </w:p>
    <w:p w14:paraId="18B3204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объем 15,5;</w:t>
      </w:r>
    </w:p>
    <w:p w14:paraId="2AEA6DE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125/140 мм:</w:t>
      </w:r>
    </w:p>
    <w:p w14:paraId="7E86370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5,0;</w:t>
      </w:r>
    </w:p>
    <w:p w14:paraId="7DF96B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и вес в зависимости от модификации.</w:t>
      </w:r>
    </w:p>
    <w:p w14:paraId="64AFE8E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Известны следующие модификации:</w:t>
      </w:r>
    </w:p>
    <w:p w14:paraId="4B87B23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МГ-31, серийно выпускался с 1936 г. Мощность 270/320 л.с. (реально получено на испытаниях 270/310 л.с.), вес 247 кг.</w:t>
      </w:r>
    </w:p>
    <w:p w14:paraId="2FCD24A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МГ-31 А, усовершенствованный опытный образец 1936 г.</w:t>
      </w:r>
    </w:p>
    <w:p w14:paraId="6C03DC6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МГ-31 Н, опытный вариант с непосредственным впрыском.</w:t>
      </w:r>
    </w:p>
    <w:p w14:paraId="6B2A5A8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МГ-31 Ф, форсированный вариант. Прошел заводские испытания в 1937 г. и в том же году запущен в серию. Имел усиленные поршни и шатуны, усовершенствованную маслосистему, привод синхронизато</w:t>
      </w:r>
      <w:r w:rsidRPr="0044524F">
        <w:rPr>
          <w:rFonts w:ascii="Times New Roman" w:hAnsi="Times New Roman"/>
          <w:color w:val="000000" w:themeColor="text1"/>
          <w:sz w:val="16"/>
          <w:szCs w:val="16"/>
        </w:rPr>
        <w:softHyphen/>
        <w:t>ра. Мощность 270/335 кг, вес 250 кг (по другим данным, 255 кг).</w:t>
      </w:r>
    </w:p>
    <w:p w14:paraId="52E0502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МГ-31ФН, опытный образец 1937 г. на базе МГ-31Ф с непосредствен</w:t>
      </w:r>
      <w:r w:rsidRPr="0044524F">
        <w:rPr>
          <w:rFonts w:ascii="Times New Roman" w:hAnsi="Times New Roman"/>
          <w:color w:val="000000" w:themeColor="text1"/>
          <w:sz w:val="16"/>
          <w:szCs w:val="16"/>
        </w:rPr>
        <w:softHyphen/>
        <w:t>ным впрыском топлива.</w:t>
      </w:r>
    </w:p>
    <w:p w14:paraId="026FB0E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МГ-31Ф2, опытный образец, проходил заводские испытания. Подроб</w:t>
      </w:r>
      <w:r w:rsidRPr="0044524F">
        <w:rPr>
          <w:rFonts w:ascii="Times New Roman" w:hAnsi="Times New Roman"/>
          <w:color w:val="000000" w:themeColor="text1"/>
          <w:sz w:val="16"/>
          <w:szCs w:val="16"/>
        </w:rPr>
        <w:softHyphen/>
        <w:t>ности неизвестны.</w:t>
      </w:r>
    </w:p>
    <w:p w14:paraId="11E335E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Моторы МГ-31 устанавливались на серийных самолетах «Сталь-2», опытных УТИ-5 (НВ-2бис), У-5 (ЛШ), МА-1, Ш-7, ЛИГ-8, ДКЛ, РАФ-11, РАФ-Ибис, П-3 (ЛИГ-5), СХ-1 (ЛИГ-10), САМ-16 (недостроен), вертолете «Омега-П» (2МГ). Использование МГ-31 предусматривалось также про</w:t>
      </w:r>
      <w:r w:rsidRPr="0044524F">
        <w:rPr>
          <w:rFonts w:ascii="Times New Roman" w:hAnsi="Times New Roman"/>
          <w:color w:val="000000" w:themeColor="text1"/>
          <w:sz w:val="16"/>
          <w:szCs w:val="16"/>
        </w:rPr>
        <w:softHyphen/>
        <w:t>ектами МБР-6 и УТ-3 (11852).</w:t>
      </w:r>
    </w:p>
    <w:p w14:paraId="54970B6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19C3E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1933 г. в Отделе бензиновых двигателей НИИ АД ГВФ под руководством М.А. Коссова проектировался МГ-40 - единственный не звездообразный двигатель семейства МГ. МГ-40 должен был стать советским анало</w:t>
      </w:r>
      <w:r w:rsidRPr="0044524F">
        <w:rPr>
          <w:rFonts w:ascii="Times New Roman" w:hAnsi="Times New Roman"/>
          <w:color w:val="000000" w:themeColor="text1"/>
          <w:sz w:val="16"/>
          <w:szCs w:val="16"/>
        </w:rPr>
        <w:softHyphen/>
        <w:t>гом английского двигателя Де Хевилленд «Джипси Минор». От прототипа заимствовали общую компоновку, конструкцию шатунов и поршней, но Цилиндры, их головки, картер двигателя, размещение и привод агрегатов были иными. В 1936 г. было изготовлено несколько опытных образцов, проходивших стендовые, а затем летные испытания. ВВС считали, что этот мотор может быть доведен до уровня требований задания на М-61, предназначенного для учебных самолетов. В 1937 г. МГ-40 испытывался на самолете НВ-5. Серийно этот мотор не выпускался. Характеристики:</w:t>
      </w:r>
    </w:p>
    <w:p w14:paraId="2213288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4-цилиндровый, рядный перевернутый, воздушного охлаждения, четы</w:t>
      </w:r>
      <w:r w:rsidRPr="0044524F">
        <w:rPr>
          <w:rFonts w:ascii="Times New Roman" w:hAnsi="Times New Roman"/>
          <w:color w:val="000000" w:themeColor="text1"/>
          <w:sz w:val="16"/>
          <w:szCs w:val="16"/>
        </w:rPr>
        <w:softHyphen/>
        <w:t>рехтактный, безредукторный, без наддува;</w:t>
      </w:r>
    </w:p>
    <w:p w14:paraId="54056E9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объем 6,33 л;</w:t>
      </w:r>
    </w:p>
    <w:p w14:paraId="6F71A57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диаметр цилиндра/ход поршня 120/140 мм;</w:t>
      </w:r>
    </w:p>
    <w:p w14:paraId="75E5F96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степень сжатия 6,35 (первоначально 5,2);</w:t>
      </w:r>
    </w:p>
    <w:p w14:paraId="129D0A2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мощность 145 л.с.;</w:t>
      </w:r>
    </w:p>
    <w:p w14:paraId="2D9A72A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вес 155 кг.</w:t>
      </w:r>
    </w:p>
    <w:p w14:paraId="192C276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МГ-40 устанавливался на опытный самолет НВ-5. Его применение пред</w:t>
      </w:r>
      <w:r w:rsidRPr="0044524F">
        <w:rPr>
          <w:rFonts w:ascii="Times New Roman" w:hAnsi="Times New Roman"/>
          <w:color w:val="000000" w:themeColor="text1"/>
          <w:sz w:val="16"/>
          <w:szCs w:val="16"/>
        </w:rPr>
        <w:softHyphen/>
        <w:t>усматривалось также проектом Г-26 (11852).</w:t>
      </w:r>
    </w:p>
    <w:p w14:paraId="4DF0C55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8CF0DB8" w14:textId="5346D8AE"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для модернизации импортных моторных агрегатов и разработки собственных карбюраторов был создан Опытно-конструкторский отдел (ОКО) с Опытным цехом при заводе № 33 (ОКО, ОКБ завода № 33 НКАП, Филиал ОКБ-315-33 НКАП, МАП, Союзное ОКБ-33 МАП, Пермское агрегатное КБ (ПАКБ) МАП, «Системы тонливопитания и автоматического регулирования» ОАО «СТАР» / г. Москва;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Молотов/ /614990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Пермь ул. Куйбышева, 140А тел. 49-69-22/).</w:t>
      </w:r>
    </w:p>
    <w:p w14:paraId="2A4E1C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330сс от 6.07.1940 г. на завод из ЦИАМ была переведена группа по агрегатам непосредственного впрыска (НВ) Б-13 для моторов М-105 и М-120 и образован единый ОКО по разработке моторных агрегатов. В его составе организовано КБ по карбюраторам (КБ-1 при ОКО завода № 33) и КБ по агрегатам НВ (КБ-2 при ОКО завода № 33). Вскоре по приказу № 537с от 12.10.1940 г. при заводе организована опытно-экспериментальная база по агрегатам НВ с образованием КБ завода № 33. Руководитель- С.А. Косбер г. Работы по НВ для моторов М-88 и М-105.</w:t>
      </w:r>
    </w:p>
    <w:p w14:paraId="11A40C49" w14:textId="1A699384"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10.1941 г. опытные организации завода были эвакуированы. КБ С.А. Косберга по агрегатам НВ эвакуировано на завод № 296 НКАП, где было образовано новое ОКО по агрегатам НВ. КБ по карбюраторам Ф.А. Короткова эвакуируется вместе с заводом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Молотов на завод № 339 НКАП. Здесь оно действовало с 5.11.1941 г. до 07.1943 г.</w:t>
      </w:r>
    </w:p>
    <w:p w14:paraId="5D780B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 марта 1943 г. по приказу № 136с часть кадров и оборудования ОКБ завода № 33 переведено для укрепления в ОКБ завода № 315 НКАП. По приказу № 336с от 3.06.1943 г. на заводе № 315 образовано единое ОКБ-315-33 НКАП на базе ОКБ завода № 33 и ОКБ завода № 315. Гл. конструктором ОКБ и обоих заводов назначен Ф.А. Короткое. Для помощи серийному производству на заводе № 33 организован филиал ОКБ-315-33.</w:t>
      </w:r>
    </w:p>
    <w:p w14:paraId="616AD6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доводке и модернизации карбюраторов К-11А, ВК-4, КТА-21, К-25, К-42, К-38, К-105Ф, АК-62, АК-82. После войны- доводка агрегатов АТ-1, АРТ-8, ДК-6 для РД-45 и РД-500.</w:t>
      </w:r>
    </w:p>
    <w:p w14:paraId="5AC229D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1957 г. филиал преобразован в самостоятельное Союзное ОКБ-33 МАП. В 08.1957 г.- в ведении ЗГУ МАП.</w:t>
      </w:r>
    </w:p>
    <w:p w14:paraId="65CAF39E" w14:textId="04648788"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1960-х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действовало единое ОКБ-315-33 с Пермским филиалом на заводе № 33. В 1960-х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ОКБ вновь стало самостоятельным и получило название ПАКБ. С 1962 г. имеет собственный производственный корпус.</w:t>
      </w:r>
    </w:p>
    <w:p w14:paraId="35F0D32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72E283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(2005 г.): разработка САУ для двигателей ПС-90А2, самолетов Ан-140 и Ан-38.</w:t>
      </w:r>
    </w:p>
    <w:p w14:paraId="76D3D0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(2002 г.)- 1200 чел.</w:t>
      </w:r>
    </w:p>
    <w:p w14:paraId="36F49840" w14:textId="42A17453"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Гл. конструктор ОКО (1933 г.-)- </w:t>
      </w:r>
      <w:r w:rsidRPr="0044524F">
        <w:rPr>
          <w:rFonts w:ascii="Times New Roman" w:hAnsi="Times New Roman"/>
          <w:color w:val="000000" w:themeColor="text1"/>
          <w:sz w:val="16"/>
          <w:szCs w:val="16"/>
          <w:lang w:val="en-US"/>
        </w:rPr>
        <w:t>A</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w:t>
      </w:r>
      <w:r w:rsidRPr="0044524F">
        <w:rPr>
          <w:rFonts w:ascii="Times New Roman" w:hAnsi="Times New Roman"/>
          <w:color w:val="000000" w:themeColor="text1"/>
          <w:sz w:val="16"/>
          <w:szCs w:val="16"/>
        </w:rPr>
        <w:t>. Добротворский, К.А. Стариков, (06.1940-41 г.-&gt; Ф.А. Короткое. Гл. конструктор ОКБ (1957-73 Г.)- А.Ф. Полянский, (1974-89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Г.И. Гордеев, (1989-2004 г.-&gt; Ю.П. Дудкин.</w:t>
      </w:r>
    </w:p>
    <w:p w14:paraId="60819F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филиала (1943 г.-)- В.Т. Панфилов, (1952 г.-)- А.Ф. Полянский. Гендиректор (-1997-2005 г.-)- Ю.П. Дудкин.</w:t>
      </w:r>
      <w:r w:rsidRPr="0044524F">
        <w:rPr>
          <w:rFonts w:ascii="Times New Roman" w:hAnsi="Times New Roman"/>
          <w:color w:val="000000" w:themeColor="text1"/>
          <w:sz w:val="16"/>
          <w:szCs w:val="16"/>
          <w:vertAlign w:val="superscript"/>
        </w:rPr>
        <w:t>49</w:t>
      </w:r>
    </w:p>
    <w:p w14:paraId="67DC39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зам. гл. конструктора (2002 г.)- Б.М. Конторович. Зам. гл. конструктора: по карбюраторам (1940 г.-)- К.А. Стариков; по агрегатам НВ (1940 г.-)- С.А. Косберг; (1943 г.-)- В.Т. Панфилов, (1952 г.-)- А.Ф. Полянский, (2002 г.)- В.А. Юфарев, (2002 г.)- В.В. Бурдин.</w:t>
      </w:r>
    </w:p>
    <w:p w14:paraId="068600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гендиректора по экономике (2002 г.)- В.В. Плешков.</w:t>
      </w:r>
    </w:p>
    <w:p w14:paraId="5DCDA7E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опытного завода (2002 г.)- Н.А. Панов.</w:t>
      </w:r>
    </w:p>
    <w:p w14:paraId="35AF49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(1930-е) карбюраторы К-35 для АМ-35А, К-105П для М-105, К-37БП для М-37, К-38, К-87, АК-62, АК-63, АК-88, КМ-250 для М-250; агрегаты НВ НБ-ЗУ для АШ-82ФН (ВОВ); ЭК-506, РПД-1ФНР для АШ-82Т; регулятор РПД-82, карбюратор К-14В, КМП-100; гидромеханические и электронные САУ ГТД: для Ту-124, Ми-6, Ту-134, Ил-76, Ил-62М, Ту-154М; регулятор РПР-ЗА для Ми-14 (1974); первая в России САУ с цифровым регулятором РЭД-3048 для Д-30Ф6 (1975); САУ: с регулятором РЭД-90 для ПС-90; с ЭРД-ЗВМ для ТВЗ-117; САУ-65 с РЭД-65 для ТВ7-117; САУ-2000 с регулятором РЭД-2000 для ТВЗ-117ВМА-СБ2 (2002), САУ-87 для Ка-60 и Ка-62; САУ для Су-26М, Ка-50, Ан-38 (2002); САУ для танка Т-80; САУ для промыпшенных ГТУ (1993- 2002-) (11982).</w:t>
      </w:r>
    </w:p>
    <w:p w14:paraId="20ABFAE7" w14:textId="77777777" w:rsidR="00742DA3" w:rsidRPr="0044524F" w:rsidRDefault="00742DA3" w:rsidP="009654CF">
      <w:pPr>
        <w:autoSpaceDE w:val="0"/>
        <w:autoSpaceDN w:val="0"/>
        <w:adjustRightInd w:val="0"/>
        <w:spacing w:after="0" w:line="240" w:lineRule="auto"/>
        <w:jc w:val="both"/>
        <w:rPr>
          <w:rFonts w:ascii="Times New Roman" w:hAnsi="Times New Roman"/>
          <w:color w:val="000000" w:themeColor="text1"/>
          <w:sz w:val="16"/>
          <w:szCs w:val="16"/>
        </w:rPr>
      </w:pPr>
    </w:p>
    <w:p w14:paraId="00C528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в составе ГУАП были ликвидированы самолетостроительный и авиамоторный тресты (80,414).</w:t>
      </w:r>
    </w:p>
    <w:p w14:paraId="26A962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B4134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ОКБ К.А.К. объединили с заводом 135 и появился ХАЗОС (80,418).</w:t>
      </w:r>
    </w:p>
    <w:p w14:paraId="1F998D7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другим данным это произошло в 1932</w:t>
      </w:r>
    </w:p>
    <w:p w14:paraId="60D499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71633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КБ А.И.Путилова перевели на завод 81 (92,439).</w:t>
      </w:r>
    </w:p>
    <w:p w14:paraId="09C6F9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15DCF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было организовано Особое конструкторско-производственное бюро ВВС РККА (92,493).</w:t>
      </w:r>
    </w:p>
    <w:p w14:paraId="76F430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0E462A1" w14:textId="4538A895"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в Кунцево введен в эксплуатацию Специализированный завод по обработке легких металлов (Завод № 95 НКТП, НКОП, НКАП, п/я 3, Специализированный завод по обработке легких металлов НКТП, Верхнесалдинский металлообрабатывающий завод, Верхнесалдинское металлургическое ПО (ВСМПО), АО «ВСМПО» /пос. Сетунь, ст. Кунцево Московской обл./ /624760</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Верхняя Садда Свердловской обл., ул. Парковая, 1 тел. 23-832,21-304/). Сначала действовал в ведении Главцветмета, в 1934 г. передан Авиапрому и получил № 95. К 1936 г. завод вошел в состав подсобного треста ГУАП НКТП, в 12.1936 г. передан в ведение 1ГУ НКОП (и на 12.1938 г.). Далее действовал в 6ГУ НКАП. По приказу № 240с от 18.03.1941 г. завод передан в 9ГУ НКАП.</w:t>
      </w:r>
    </w:p>
    <w:p w14:paraId="24A870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листового проката и профиля из цветных металлов. В 1932-36 г. был основным производителем дюралюминия в стране.</w:t>
      </w:r>
    </w:p>
    <w:p w14:paraId="6CEB6A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Пост. СТО от 15.01.1937 г. и пр. № 0026 от 4.02.1937 г. заводу поручено изготовить в 1937 г. дюралевые * поковки втулок и лопастей для 6750 в/винтов. Приказом № 0032 от 8.02.1937 г. заводу предписано в 3-м квартале закончить расширение литейного, прокатного и трубо-прессового цехов; приказом № 00116 от 28.05.1937 г. - для обеспечения подготовки производства самолета Вулти к 1.08.1937 г. закончить освоение производства прессованных профилей, гофра, горячей штамповки и тонкостенных алюминиевых труб. По пр. № 00276 от 20.12.1937 г. заводу поручено обеспечить завод № 24 поковками из легких сплавов для мотора М-62.</w:t>
      </w:r>
    </w:p>
    <w:p w14:paraId="1E587B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ГКО № 741с от 8.10.1941 г. и приказом № 1053сс от 9.10.1941 г. завод № 95 9ГУ НКАП эвакуирован на площадку строительства завода № 491 НКАП и объединен с ним с образованием единого завода № 95 НКАП. Металлургия (9ГУ).</w:t>
      </w:r>
    </w:p>
    <w:p w14:paraId="437F5F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цветного литья (дюраль, алюминий), проката, стального литья. С 1956 г. освоено производство титановых профилей и листа.</w:t>
      </w:r>
    </w:p>
    <w:p w14:paraId="089242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1069с от 14.10.1941 г. заводу передана часть оборудования завода № 150 НКАП.</w:t>
      </w:r>
    </w:p>
    <w:p w14:paraId="6DFBED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81с от 26.01.1942 г. на площадке эвакуированного завода в Сетуни образовался филиал завода № 95 для производства литых заготовок и штамповок.</w:t>
      </w:r>
    </w:p>
    <w:p w14:paraId="74D5CA8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СМ СССР № 713-342 от 26.06.1957 г. завод № 95 МАП ( г. Верхняя Садда) передан в Свердловский СНХ РСФСР. Имел наименование «п/я 3».</w:t>
      </w:r>
    </w:p>
    <w:p w14:paraId="48C6E0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Изготавливал комплектующие для ОК «Буран».</w:t>
      </w:r>
    </w:p>
    <w:p w14:paraId="10A8110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1998 г. ВСМПО приобрело ОАО «Ависма», в результате слияния образована корпорация «ВСМПО- Ависма».</w:t>
      </w:r>
    </w:p>
    <w:p w14:paraId="1AA1B14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(2002 г.): цветное литье (титан и алюминий), штамповки, полуфабрикаты; нержавеющая сталь, ферротитан.</w:t>
      </w:r>
    </w:p>
    <w:p w14:paraId="481BB1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Имело филиалы (2002 г.)- АО «Титан-Сервис» ( г. Белгород), ООО «Корпорация «Титан-Восток» ( г. Владивосток), ЗАО «Тандем-</w:t>
      </w:r>
      <w:r w:rsidRPr="0044524F">
        <w:rPr>
          <w:rFonts w:ascii="Times New Roman" w:hAnsi="Times New Roman"/>
          <w:color w:val="000000" w:themeColor="text1"/>
          <w:sz w:val="16"/>
          <w:szCs w:val="16"/>
          <w:lang w:val="en-US"/>
        </w:rPr>
        <w:t>S</w:t>
      </w:r>
      <w:r w:rsidRPr="0044524F">
        <w:rPr>
          <w:rFonts w:ascii="Times New Roman" w:hAnsi="Times New Roman"/>
          <w:color w:val="000000" w:themeColor="text1"/>
          <w:sz w:val="16"/>
          <w:szCs w:val="16"/>
        </w:rPr>
        <w:t>» ( г. Москва). Имелись цеха (2007 г.): № 7, 21. Численность персонала (2002 г.)-12.913 чел.</w:t>
      </w:r>
    </w:p>
    <w:p w14:paraId="6977AB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(-02-20.12.1937 г.)- С.М. Лещенко (снят); и.о. (12.1937 г.)- И.С. Выштынецкий; (12.1937-; 15.06.1938- 41 г.-)- И.С. Выштынецкий, (01.1942 г.)- Селихов, (-01.1943-02.1946 г.-)- С.М. Лещенко. Гендиректор (1992-2006 г.- )- В.В. Тетюхин.</w:t>
      </w:r>
    </w:p>
    <w:p w14:paraId="2F0C131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директора (-17.05.1937 г.)- Ю. Г. Музалевский, (27.05.1937 г.-)- И.С. Выштынецкий, (10.10.1938 г.-)- М.П. Семенов. Зам. гендиректора: по маркетингу (2002 г.)- В.А. Куцанкин; по реконструкции (2002 г.)- А.И. Гришечкин; по финансам (2002 г.)- В.П. Ячменев.</w:t>
      </w:r>
      <w:r w:rsidRPr="0044524F">
        <w:rPr>
          <w:rFonts w:ascii="Times New Roman" w:hAnsi="Times New Roman"/>
          <w:color w:val="000000" w:themeColor="text1"/>
          <w:sz w:val="16"/>
          <w:szCs w:val="16"/>
          <w:vertAlign w:val="superscript"/>
        </w:rPr>
        <w:t>69</w:t>
      </w:r>
    </w:p>
    <w:p w14:paraId="7D4551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Технический директор (22.10.1937 г.-)- Ю. Г. Музалевский.</w:t>
      </w:r>
    </w:p>
    <w:p w14:paraId="675BC2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(-17.05.1937 г.)- Ю. Г. Музалевский, (27.05.1937 г.-&gt; И.С. Выштынецкий, (10.10.1938 г.-)- М.П. Семенов.</w:t>
      </w:r>
      <w:r w:rsidRPr="0044524F">
        <w:rPr>
          <w:rFonts w:ascii="Times New Roman" w:hAnsi="Times New Roman"/>
          <w:color w:val="000000" w:themeColor="text1"/>
          <w:sz w:val="16"/>
          <w:szCs w:val="16"/>
          <w:vertAlign w:val="superscript"/>
        </w:rPr>
        <w:t>139</w:t>
      </w:r>
    </w:p>
    <w:p w14:paraId="463602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управления по кадрам (2006 г.)- В.И. Горбань.</w:t>
      </w:r>
    </w:p>
    <w:p w14:paraId="2112ADF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Филиал Завода № 95 НКАП /пос. Сетунь ст. Кунцево Московской обл./</w:t>
      </w:r>
    </w:p>
    <w:p w14:paraId="64A909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81с от 26.01.1942 г. на площадке эвакуированного завода в Сетуни образовался филиал завода № 95 для производства литых заготовок и штамповок. Директор- Селихов.</w:t>
      </w:r>
    </w:p>
    <w:p w14:paraId="43E1C1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распоряжению СМ СССР № 2177рс от 1.02.1943 г. и приказу НКАП № 67с от 5.02.1943 г. филиал с 1.02.1943 г. преобразован в самостоятельный завод № 65 НКАП. Директор- Селихов (11982).</w:t>
      </w:r>
    </w:p>
    <w:p w14:paraId="46C5FE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4BBFD1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были организованы НИИ ГВФ: Институт сельскохозяйственной авиации, Лаборатория авиационной медицины, Аэрографический институт (237,168).</w:t>
      </w:r>
    </w:p>
    <w:p w14:paraId="2AEA3EB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775C6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был создан ЦИ авиационных топлив и масел (ЦИАТИМ) (237,168).</w:t>
      </w:r>
    </w:p>
    <w:p w14:paraId="7C4D27A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6F6A4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1933 г. Г.А. Гертмениан (Gertmenian), торговец восточными коврами из Лос-Анджелеса, предложил Дуглас Эркрафт трехходовую сделку. По ее условиям компания Дуглас примет уплату за самолет "в форме кредита под Амторговские ковры", которые будут проданы Гертменианом. Последний высказал предположение, что у </w:t>
      </w:r>
      <w:r w:rsidRPr="0044524F">
        <w:rPr>
          <w:rFonts w:ascii="Times New Roman" w:hAnsi="Times New Roman"/>
          <w:color w:val="000000" w:themeColor="text1"/>
          <w:sz w:val="16"/>
          <w:szCs w:val="16"/>
        </w:rPr>
        <w:lastRenderedPageBreak/>
        <w:t>Амторга есть излишек восточных ковров (русских и персидских), образовавшийся при бартерных сделках, и Амторг сильно желает от них избавиться. На самом деле, добавил Гермениан, они более заинтересованы в "организации оплаты чем … в цене, которую они заплатят." Разумеется, что Гертмениан не стал бы предлагать авиастроителям эту комбинацию, не заручившись согласием Амторга на продажу ковров, поэтому письмо Гертмениана можно рассматривать как свидетельство заинтересованности СССР в DC-2. Понятно, что Дуглас Эркрафт осталась равнодушна к привязыванию продажи своего самолета к рынку ковров (11507).</w:t>
      </w:r>
    </w:p>
    <w:p w14:paraId="2F083E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A4672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М.В. Водопьянов попытался совершить на П-5 с почтой перелет из Москвы в Петропавловск-Камчатский, но неудачно - разбил самолет недалеко от Байкала (12034).</w:t>
      </w:r>
    </w:p>
    <w:p w14:paraId="2BA2B7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C6B07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Дорнье "Валь" СССР-Н8 - заводской № 131, двигатели - 2 М-17, дата приемки - 14.09.28 г, дата присвоения опознавательного знака с литерой "Н" - 08.05.33 г., получил экипаж С.А.Леваневского (второй пилот - Г.М.Чернявский, штурман В.И.Левченко), который 28 мая вылетел из Севастополя, далее по маршруту Вольск - Свердловск - Омск - Новосибирск - Красноярск - Иркутск - Верхнеудинск - Чита - Джалинда - Благовещенск дошел до Хабаровска. По прибытию самолет мобилизовали для выполнения специальных заданий. После их выполнения СССР-Н8 встал на смену моторов, а далее Леваневский получил правительственное распоряжение направиться в Анадырь для доставки американского пилота Маттерна на Аляску. В тяжелых метеоусловиях самолет совершил перелет по маршруту: Хабаровск - Николаевск - Охотск - б. Нагаево - Янек - Пенжин- ская губа - Марково - Анадырь. Захватив Маттерна и оборудование его машины, Леваневский 20 июля прибыл на Аляску в Ном. Затем СССР-Н8 прошел по северному побережью Чукотки и выполнил ряд ледовых разведок для судов Колымской экспедиции 1933 г. и зимующего каравана судов Колымской экспедиции 1932 г.</w:t>
      </w:r>
    </w:p>
    <w:p w14:paraId="510DC6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Дальнейшие полеты самолета:</w:t>
      </w:r>
    </w:p>
    <w:p w14:paraId="188AB60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12-го августа - летал на о. Врангеля; привез сведения, что зимовщики здоровы и что зимовка прошла благополучно.</w:t>
      </w:r>
    </w:p>
    <w:p w14:paraId="1C752D3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18-го августа - вылетал к м. Биллингс навстречу судам.</w:t>
      </w:r>
    </w:p>
    <w:p w14:paraId="565368B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20-</w:t>
      </w:r>
      <w:r w:rsidRPr="0044524F">
        <w:rPr>
          <w:rFonts w:ascii="Times New Roman" w:hAnsi="Times New Roman"/>
          <w:color w:val="000000" w:themeColor="text1"/>
          <w:sz w:val="16"/>
          <w:szCs w:val="16"/>
        </w:rPr>
        <w:tab/>
        <w:t>го</w:t>
      </w:r>
      <w:r w:rsidRPr="0044524F">
        <w:rPr>
          <w:rFonts w:ascii="Times New Roman" w:hAnsi="Times New Roman"/>
          <w:color w:val="000000" w:themeColor="text1"/>
          <w:sz w:val="16"/>
          <w:szCs w:val="16"/>
        </w:rPr>
        <w:tab/>
        <w:t>августа - на м. Северный, встретив в пути шквал с пургой.</w:t>
      </w:r>
    </w:p>
    <w:p w14:paraId="58E461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w:t>
      </w:r>
      <w:r w:rsidRPr="0044524F">
        <w:rPr>
          <w:rFonts w:ascii="Times New Roman" w:hAnsi="Times New Roman"/>
          <w:color w:val="000000" w:themeColor="text1"/>
          <w:sz w:val="16"/>
          <w:szCs w:val="16"/>
        </w:rPr>
        <w:tab/>
        <w:t>го</w:t>
      </w:r>
      <w:r w:rsidRPr="0044524F">
        <w:rPr>
          <w:rFonts w:ascii="Times New Roman" w:hAnsi="Times New Roman"/>
          <w:color w:val="000000" w:themeColor="text1"/>
          <w:sz w:val="16"/>
          <w:szCs w:val="16"/>
        </w:rPr>
        <w:tab/>
        <w:t>- вылетел на м. Ванкарем для разведки проходов судам "Сунчан" и "Партизан".</w:t>
      </w:r>
    </w:p>
    <w:p w14:paraId="4C8A1B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25-го августа самолет находился на мысе Северном, а к 27 августа прошел в устье Лены.</w:t>
      </w:r>
    </w:p>
    <w:p w14:paraId="694124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навигации, 24 сентября, СССР-Н8 прибыл в Иркутск, где экипаж сдал его в авиаремонтные мастерские Аэрофлота. Налет за год составил 222 часа, пройденное расстояние - свыше 37000 км.</w:t>
      </w:r>
    </w:p>
    <w:p w14:paraId="033360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1934 г. СССР-Н8 использовался для проведения ледовой разведки в море Лаптевых. Командир П.Г.Головин, штурман А.П.Ште- пенко (у него это был первый сезон работы в Арктике, поэтому вылетел в легоньком кителе) бортмеханики Н.Л.Кекушев и Краснопевков (11970).</w:t>
      </w:r>
    </w:p>
    <w:p w14:paraId="65075A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61CCC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завод Авиаприбор был разделен. Основное производство - на новую площадку в Кутузовскую слободу, где он стал затем 213 - все бортовые приборы. Старая - в Грузинах - стала заводом Тизприбор - затем завод 230 - теплоизмерительные приборы (80,428).</w:t>
      </w:r>
    </w:p>
    <w:p w14:paraId="79D641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BA32B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появились ХАБ-500 и ХАБ-1000, нести которые могли только тяжелые бомбардировщики. В следующем году эти боеприпасы проходили испытания на Центральном военно-химическом полигоне в Шиханах. Оружие оказалось небывало мощным. ХАБ-500 убивала подопытных животных на расстоянии до полутора километров от точки взрыва. Газовое "болото" не рассеивалось при штиле около двух часов. Большая по емкости ХАБ-1000 могла на дистанции 500 м поразить человека даже в противогазе. К сожалению, определили это экспериментально - погиб лаборант, попытавшийся взять пробы. В 1934 г. на заводе № 39 в Москве начали работу над двухтонной химической бомбой. Считают, что она реально была изготовлена в виде опытного образца, но испытывалась ли - неизвестно.</w:t>
      </w:r>
    </w:p>
    <w:p w14:paraId="2DC68F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Но боевое применение таких бомб считалось рациональным лишь по некоторым целям. Дело в том, что после взрыва крупного химического боеприпаса образовывался газовый "купол" значительной высоты, существенно превышающий уровень головы всадника. Получалось, что значительная часть объема отравляющего облака просто бесполезна. Более эффективным считалось бомбометание но площади большим количеством мелких химических бомб. Но ограниченное количество замков бомбодержателей на самолете делало их загрузку невыгодной - грузоподъемность машины не использовалась полностью. В Осконбю- ро разработали кассету Г-54, в которой укладывали десять бомб по 3 кг. Кассета подвешивалась и сбрасывалась, как бомба. Через заданное время она раскрывалась, высыпая содержимое. Позднее химические и осколочно-химические бомбы включили в список загружаемых в ротативно-рассе- ивающие бомбы РРАБ всех трех размеров. </w:t>
      </w:r>
    </w:p>
    <w:p w14:paraId="358B62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осколочно-химическому оружию можно отнести и создававшиеся мелкие боеприпасы, которые при взрыве разлетались на мелкие осколки, намазанные ядом типа кураре. Чтобы при загрузке не отравился наземный состав, снаружи они закрывались паяной жестяной рубашкой. Такие бомбы тоже собирались упаковывать в РРАБ. Однако на вооружение эти боеприпасы не поступили. Не из гуманизма, а из- за сложности, явной небезопасности и дороговизны изготовления. Ограничились испытанием опытных образцов на кроликах (12036).</w:t>
      </w:r>
    </w:p>
    <w:p w14:paraId="3F4C54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E52AF5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вооружение приняли кассету АК-2. Ее создаш в Цехе особых конструкций опытного завода ЦАГИ. В кассету заряжалось более 100 литровых шаров. На бомбардировщике ТБ-3 четыре АК-2 монтировались на бомбодержателях КД-2 в бомбоот- секе. Шестимоторный ТБ-4 должен был нести восемь таких кассет.</w:t>
      </w:r>
    </w:p>
    <w:p w14:paraId="751D1AE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Первыми появились так называемые "бусы" - стеклянные шары с заправочным горлышком, на манер бутылки, наверху. После заливки отравляющего вещества горлышко герметично закрывали пробкой и заливали сургучом. После сброса с самолета шар разбивался о землю, его содержимое разбрызгивалось и испарялось. Чем выше температура среды, тем быстрее шел процесс испарения. Устройство примитивно, надежность обеспечивала сама простота конструкции. Взрыватель не требовался. "Бусы" стоили дешево, их можно было долго хранить в заправленном состоянии. Минус один - стекло есть стекло; всегда оставалась возможность, что шар уронят при погрузке или в полете в него попадет пуля или осколок.</w:t>
      </w:r>
    </w:p>
    <w:p w14:paraId="789D23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Впервые стеклянные химические ампулы испытали в 1929 г., а в серийное производство их запустили в 1933 г. Делали две разновидности "бус": литровый шар АК-1 диаметром 120 мм и двухлитровый АК-2 размером 255 мм. Применять их собирались из ампульных кассет. Представьте себе конструкцию, похожую на орган, только все трубы одной длины. Вот так выглядело большинство ампульных кассет. Диаметр трубы соответствоват размеру ампулы, их укладывали друг на друга через мягкие войлочные прокладки. Снизу труба имела крышку; при ее открывании шары в ы вал и ваш с ь наружу.</w:t>
      </w:r>
    </w:p>
    <w:p w14:paraId="3F5C1F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Работали и над кассетами другого типа. В них механизм с заданными интервалами выбрасывал шары наружу. Однако ни одна из таких конструкций не дошла до серийного производства.</w:t>
      </w:r>
    </w:p>
    <w:p w14:paraId="4C420D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Ампульные кассеты позже нашли широкое применение в годы Великой Отечественной войны. Но ампулы уже были не стеклянными, а жестяными и заливали в них не иприт и не фосген, а самовоспламеняющуюся жидкость КС (12036).</w:t>
      </w:r>
    </w:p>
    <w:p w14:paraId="1D1B6C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02A86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ВВА разработала простой механический кольцевой прицел КПТ-4, учитывающий собственную скорость самолета (85,462).</w:t>
      </w:r>
    </w:p>
    <w:p w14:paraId="3A7067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5307D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началось серийное производство бомбардировочного прицела ОПБ-2 для ТБ-3 (АНТ-6) и ДБ-3 (85,472).</w:t>
      </w:r>
    </w:p>
    <w:p w14:paraId="303E35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D8A20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рабочие заводов Таганрога откликнулись на призыв городских организаций партии, комсомола и Осоавиахима, и быстро собрали более 18 тысяч рублей на создание аэроклуба. Тогда же и куплены семь планеров для организации планерных школ. Были созданы планерные школы при заводах механическом имени Димитрова, металлургическом, «Красный котельщик», комбайновом. Рабочие металлургического завода сами создали аэроплощадку, установили дежурство, организовали уход за планерами. Инструктор по планеризму Крупенко летом 1934 года первым поднялся в воздух. И пусть эти полеты с помощью резиновых амортизаторов были невысокими и непродолжительными, первые курсанты уже вкусили радость, счастье свободного полета.</w:t>
      </w:r>
    </w:p>
    <w:p w14:paraId="170497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Наиболее крепкая и прочная: организация сложилась на авиационном заводе имени Димитрова. Здесь для занятий были выделены помещения, создана площадка для запуска планеров. Вскоре заработал заводской аэроклуб, во главе которого стоял на общественных началах известный летчик, участник гражданской войны, комбриг авиации, норвежский политэмигрант Адольф Амундсенович Ульсен. Уже в 1934 году клуб имел в своем составе планерную станцию, летную школу. Появился и свой первый старенький латаный самолет У-2. Инструкторами стали летчики А. Ульсен и Б. Ляхович. Начальником планерной станции был недавний шофер завода Михаил Тарабрин.</w:t>
      </w:r>
    </w:p>
    <w:p w14:paraId="262CA9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Большое внимание аэроклубу уделяли директор завода Ф. П. Мурашов, секретарь парткома Н. М. Мыльников. Юридическими членами аэроклуба стали, кроме них, главный инженер И. М. Косткин, начальник цеха Габрилович, ведущие специалисты завода Развальский, Савченко, Якайтис, Дубенский, Глазко. Они первыми внесли в организацию клуба личные деньги. Скоро это движение на заводе стало массовым. Нужно отметить то, что организация парашютных кружков, планерных станций и секций, летной школы базировалась исключительно на добровольных пожертвованиях и взносах рабочих, инженеров, служащих, то есть на подлинно народных деньгах.</w:t>
      </w:r>
    </w:p>
    <w:p w14:paraId="1A6BC51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в 1934 году в городе появились первые летчики-планеристы: Васильев, Конома, Донец, Алексеев, Андреев, Шаповалов, Ладыгин. Наиболее подготовленные из них Андреев и Олейников стали сами инструкторами в аэроклубе. В том же году у димитровцев были созданы группы пилотов, планеристов, мотористов. Появились новые летчики-инструкторы Борисенко, Кашин.</w:t>
      </w:r>
    </w:p>
    <w:p w14:paraId="3375A43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Хорошо работал планерный кружок на комбайновом заводе. Здесь лучшим планеристом был секретарь партийного комитета тов. Щербаков. Он же успешно выполнил нормы и получил звание «Ворошиловский стрелок». Активно работали в кружке Полунин, Шевченко и другие молодые рабочие.</w:t>
      </w:r>
    </w:p>
    <w:p w14:paraId="432941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Летом 1934 года в городе широко развернулось патриотическое движение по сбору средств на постройку самолета «Таганрогский рабочий». Деньги сдавали не только рабочие, но и студенты, школьники. Часто можно было встретить в городской газете объявление, подобное следующему:</w:t>
      </w:r>
    </w:p>
    <w:p w14:paraId="20BCC0B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«Сотрудники горздравотдела все вступили в юридические члены аэроклуба и внесли 500 рублей на его оборудование и строительство самолета «Таганрогский рабочий». Тов. Рубан (заведующий горздравотделом) внес 25 рублей. Члены артели «Политкаторжанин» всем коллективом вступили в юридические члены аэроклуба и внесли 400 рублей на постройку аэроклуба».</w:t>
      </w:r>
    </w:p>
    <w:p w14:paraId="043AB8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городском совете Осовиахима была создана комиссия содействия организации аэроклуба во главе с Чечковским. В июле 1934 года горком комсомола принял решение: « … каждый комсомолец должен быть членом аэроклуба и вовлечь в членство не менее десяти человек беспартийной молодежи». В сентябре 1934 года в Таганроге и районе проходил месячник по сбору утиля. Половина из средств от сбора утиля была направлена на строительство самолета «Таганрогский рабочий», а половина — на благоустройство города.</w:t>
      </w:r>
    </w:p>
    <w:p w14:paraId="5BB676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Широко и торжественно прошел первый авиационный праздник в Таганроге 18 августа 1934 года. В эти дни в нашем городе находилась эскадрилья агитперелета во главе с летчиком В. М. Ремизюком, организованная московской газетой «За индустриализацию». Семерка советских пассажирских самолетов П-5 вызвала небывалый интерес у таганрожцев. Участники агитперелета были приняты в горкоме партии.</w:t>
      </w:r>
    </w:p>
    <w:p w14:paraId="01EF9B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Именно тогда, 15 августа 1934 года, там серьезно обсуждался вопрос об открытии в Таганроге образцового аэроклуба. В своем выступлении первый секретарь горкома партии С. X. Варданиан сказал: «Таганрог — индустриальный и культурный центр обширного края, и здесь мы также добьемся успеха, и наш аэроклуб должен быть одним из лучших в крае» (11642).</w:t>
      </w:r>
    </w:p>
    <w:p w14:paraId="6038DC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06AD447" w14:textId="33A44E5B"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при тресте «Дальстрой» созданы Авиаремонтные мастерские № 73. 30.12.1974 г. мастерские преобразованы в АРЗ № 73 ГА (Авиаремонтный завод (АРЗ) № 73 ГА, АООТ, ОАО «Магаданский АРЗ (МАРЗ) № 73 ГА» /685009</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Магадан Аэропорт, 13-й км основной трассы тел. 20-730/).</w:t>
      </w:r>
    </w:p>
    <w:p w14:paraId="1D5E4EE8" w14:textId="6B7D6DDE"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(1980-е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г.)- 400 чел., (2000 г.)-100 чел., (2002 г.)-160 чел.</w:t>
      </w:r>
    </w:p>
    <w:p w14:paraId="4605ED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Гендиректор (1990-е)- И. Г. Карнаухов, (2002 г.)- Б.Б. Елисеев.</w:t>
      </w:r>
    </w:p>
    <w:p w14:paraId="6C64F2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Ремонт: самолеты: Ли-2 (после ВОВ), Ан-2 (1960-е); вертолеты: Ми-1, Ми-4 (1960-е), Ми-8 (1973-2002-), Ми- 17 (2003) (11982).</w:t>
      </w:r>
    </w:p>
    <w:p w14:paraId="77BB7699" w14:textId="77777777" w:rsidR="00742DA3" w:rsidRPr="0044524F" w:rsidRDefault="00742DA3" w:rsidP="009654CF">
      <w:pPr>
        <w:autoSpaceDE w:val="0"/>
        <w:autoSpaceDN w:val="0"/>
        <w:adjustRightInd w:val="0"/>
        <w:spacing w:after="0" w:line="240" w:lineRule="auto"/>
        <w:jc w:val="both"/>
        <w:rPr>
          <w:rFonts w:ascii="Times New Roman" w:hAnsi="Times New Roman"/>
          <w:color w:val="000000" w:themeColor="text1"/>
          <w:sz w:val="16"/>
          <w:szCs w:val="16"/>
        </w:rPr>
      </w:pPr>
    </w:p>
    <w:p w14:paraId="6DC1D3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в Научно-исследовательском морском институте связи (НИМИС) в специально созданной лаборатории N022 под руководством Соломона Федоровича Валка начались работы над планирующей торпедой (ПТ). Наводить планирующую торпеду (ПТ) Валк предложил с помощью инфракрасных лучей. Обнаружить такую ПТ звукоулавливателями противник не мог из-за бесшумности полета. Проектированием системы наведения занималась лаборатория ИК-техники. Комиссия Управления морских сил (УМС) РККА ввела для ПТ следующие обозначения:</w:t>
      </w:r>
    </w:p>
    <w:p w14:paraId="3FDEA2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ДПТ (дальнобойная планирующая торпеда) для безмоторных планирующих торпед с дальностью полета 30-50 км. Кодовое обозначение "Волк";</w:t>
      </w:r>
    </w:p>
    <w:p w14:paraId="5B05D74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ЛТДД (летающая торпеда дальнего действия) для оборудованных мотором (обычным винтовым или ракетным). Их дальность полета могла достигать 100-200 км;</w:t>
      </w:r>
    </w:p>
    <w:p w14:paraId="0A201D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БМП (буксируемый минный планер) для безмоторных ПТ на жестком буксире. Кодовое обозначение "Вепрь".</w:t>
      </w:r>
    </w:p>
    <w:p w14:paraId="0D13C5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Выпуск опытной партии ПТ поручили ОКБ завода N 23 в Ленинграде, а создание системы наведения (кодовое обозначение "Квант") - НИИ N 10 Наркомата оборонной промышленности (3861).</w:t>
      </w:r>
    </w:p>
    <w:p w14:paraId="4A838F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43569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1933 или 1934 г. было создано ОКБ-2 (ОКБ-2 НКОП, ГС Объединенное КБ № 15 (ОКБ-15) НКОП, НКВ, </w:t>
      </w:r>
      <w:r w:rsidRPr="0044524F">
        <w:rPr>
          <w:rFonts w:ascii="Times New Roman" w:hAnsi="Times New Roman"/>
          <w:color w:val="000000" w:themeColor="text1"/>
          <w:sz w:val="16"/>
          <w:szCs w:val="16"/>
          <w:lang w:val="en-US"/>
        </w:rPr>
        <w:t>MB</w:t>
      </w:r>
      <w:r w:rsidRPr="0044524F">
        <w:rPr>
          <w:rFonts w:ascii="Times New Roman" w:hAnsi="Times New Roman"/>
          <w:color w:val="000000" w:themeColor="text1"/>
          <w:sz w:val="16"/>
          <w:szCs w:val="16"/>
        </w:rPr>
        <w:t>, МОП /г. Москва, район ул. Полянка/). По пр. НКОП № Обсс от 30.12.1936г. ОКБ-2 переименовано в ОКБ-15. По пр. № 0227 от 9.10.1937г. ЦКБ-15 передано в ведение вновь созданного 15ГУ НКОП, приказом № 278 от 20.07.1938г. утвержден Устав ГС ОКБ-15. В 02.1939г. ОКБ-15 15ГУ передано в ведение 15ГУ НКВ.</w:t>
      </w:r>
    </w:p>
    <w:p w14:paraId="00122EF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ЗГУ № 72 от 16.07.1937г. группа работников из 12 чел. во главе с Комарицким и Чарнко была командирована на завод № 8.</w:t>
      </w:r>
    </w:p>
    <w:p w14:paraId="54A04D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 исполнение решения правительства № 194сс от 5.08.1938г. пр. № 341сс от 28.08.1938г. ОКБ поручено к 1.09.1938г. разработать синхронный пулемет УШ.</w:t>
      </w:r>
    </w:p>
    <w:p w14:paraId="24D8D1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ГКО № 3948 от 18.08.1943г. 45-мм пушка разработки ОКБ запущена в производство.</w:t>
      </w:r>
    </w:p>
    <w:p w14:paraId="2CFC93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1946г. ОКБ было привлечено к изучению немецкого опыта по созданию </w:t>
      </w:r>
      <w:r w:rsidRPr="0044524F">
        <w:rPr>
          <w:rFonts w:ascii="Times New Roman" w:hAnsi="Times New Roman"/>
          <w:color w:val="000000" w:themeColor="text1"/>
          <w:sz w:val="16"/>
          <w:szCs w:val="16"/>
          <w:lang w:val="en-US"/>
        </w:rPr>
        <w:t>PC</w:t>
      </w:r>
      <w:r w:rsidRPr="0044524F">
        <w:rPr>
          <w:rFonts w:ascii="Times New Roman" w:hAnsi="Times New Roman"/>
          <w:color w:val="000000" w:themeColor="text1"/>
          <w:sz w:val="16"/>
          <w:szCs w:val="16"/>
        </w:rPr>
        <w:t xml:space="preserve"> и пусковых установок.</w:t>
      </w:r>
    </w:p>
    <w:p w14:paraId="70BFF9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ВОВ неоднократно возникали вопросы к Шпитальному по поводу авторства проводимых в ОКБ работ. Собирались комиссии по этому поводу. Шпитальный пользовался поддержкой в министерстве. После 1953г. Шпитальный потерял поддержку; продолжил работу преподавателем в МВТУ им. Баумана.</w:t>
      </w:r>
    </w:p>
    <w:p w14:paraId="0FCD69D5" w14:textId="77777777" w:rsidR="002E2083" w:rsidRPr="0044524F" w:rsidRDefault="002E2083" w:rsidP="009654CF">
      <w:pPr>
        <w:tabs>
          <w:tab w:val="left" w:pos="7553"/>
        </w:tabs>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(1934-53г.)- Б.Г. Шпитальный.</w:t>
      </w:r>
      <w:r w:rsidRPr="0044524F">
        <w:rPr>
          <w:rFonts w:ascii="Times New Roman" w:hAnsi="Times New Roman"/>
          <w:color w:val="000000" w:themeColor="text1"/>
          <w:sz w:val="16"/>
          <w:szCs w:val="16"/>
        </w:rPr>
        <w:tab/>
        <w:t>•</w:t>
      </w:r>
    </w:p>
    <w:p w14:paraId="5661C1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(1934-53г.)- Б.Г. Шпитальный {7.08.1902-6.02.1972}.</w:t>
      </w:r>
    </w:p>
    <w:p w14:paraId="7F3BFE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пулеметы: авиационный синхронный УШ (1938); танковый 14,5 мм КПВ (1944); пушки: авиационные: 20-мм ШВАК (Шпитальный, Владимиров, авиационная крупнокалиберная) (пнв в 1936г.), ШФК-37 (Шпитальный фюзеляжно-крыльевая, 1941), «Ш-45» (1943), «Ш-3», «Ш-30» (начало 1950-х); 37-мм зенитный автомат (1936); танковая Ш-37 (1942) (11982).</w:t>
      </w:r>
    </w:p>
    <w:p w14:paraId="3BAE1EC3" w14:textId="77777777" w:rsidR="00742DA3" w:rsidRPr="0044524F" w:rsidRDefault="00742DA3" w:rsidP="009654CF">
      <w:pPr>
        <w:autoSpaceDE w:val="0"/>
        <w:autoSpaceDN w:val="0"/>
        <w:adjustRightInd w:val="0"/>
        <w:spacing w:after="0" w:line="240" w:lineRule="auto"/>
        <w:jc w:val="both"/>
        <w:rPr>
          <w:rFonts w:ascii="Times New Roman" w:hAnsi="Times New Roman"/>
          <w:color w:val="000000" w:themeColor="text1"/>
          <w:sz w:val="16"/>
          <w:szCs w:val="16"/>
        </w:rPr>
      </w:pPr>
    </w:p>
    <w:p w14:paraId="21DEDF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 1933 г. относятся первые работы по созданию ТБ-3 без экипажа когда к этому самолету в Остехбюро начали приспосабливать систему "Дедал", спроектированную первоначально для ТБ-1. </w:t>
      </w:r>
    </w:p>
    <w:p w14:paraId="7E36E8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Остехбюро создало систему "Дедал" для радиоуправления ТБ-1 с земли или с самолета наведения в воздухе. Например, в комплект ТМС-36 должны были войти два ТБ-1 и командный ТБ-3. Два ТБ-1 поднимали в воздух летчики, затем выпрыгивавшие с парашютами. Далее беспилотники управлялись с ТБ-3 по радио с дистанции 15-20 км.</w:t>
      </w:r>
    </w:p>
    <w:p w14:paraId="1B721C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Замыслы шли далеко: от простой летающей бомбы до полноценного беспилотного бомбардировщика (что только сейчас становится реальностью), идущего фактически по программе с корректировкой по необходимости и возвращающегося на свой аэродром после выполнения задания. Все уперлось в отсутствие хорошего автопилота, который должен был выдерживать курс и высоту.</w:t>
      </w:r>
    </w:p>
    <w:p w14:paraId="03A963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рамках программы создания "телемеханического" (т.е. радиоуправляемого) ТБ-3 опробовали много разных конструкций автопилотов - пневматических, гидравлических, электромеханических. Так, в июле 1934 г. в Монино испытывали самолет с автопилотом АВП-3, а в октябре - с АВП-7. Но фактически до 1937 г. ни одного более- менее приемлемого устройства не получили.</w:t>
      </w:r>
    </w:p>
    <w:p w14:paraId="145539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Задумок у конструкторов было много. Существовал, например, проект этакого "русского "Мистеля": на "спине" ТБ-3 располагался КР-6 - самолет управления. Двухмоторный КР-6 - машина не маленькая, весом около шести тонн и с экипажем из трех человек. Но аппаратура радиоуправления тогда была столь громоздка, что самолет меньших размеров просто не мог ее взять. Сам ТБ-3 в этом проекте являлся беспилотным, "летающей бомбой", загруженной 3,5 т взрывчатки или отравляющих веществ. Он просто экономил горючее КР-6, которому еще предстояла дорога обратно, увеличивая радиус действия системы.</w:t>
      </w:r>
    </w:p>
    <w:p w14:paraId="248715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Принципиально, конечно, эта схема от немецкого "Мистеля" существенно отличалась. У немцев никакого радиоуправления не имелось. Там сочлененный аппарат просто входил в пологое пикирование на цель, затем само- лет-"наездник" сверху отцеплялся, а бомбардировщик следовал дальше на автопилоте до момента взрыва. При этом оба самолета попадали под огонь зенитчиков. В нашем же проекте машины расцеплялись еще в горизонтальном полете, и в атаку шел только ТБ-3 без экипажа, наводимый оператором из передней кабины КР-6.</w:t>
      </w:r>
    </w:p>
    <w:p w14:paraId="6D464D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 более тщательные расчеты показали, что размещение "верхом" выигрыша в дальности практически не дает, радиус действия и так, и этак оказывался около 1200 км. Так что далее стали отрабатывать вариант с раздельным полетом: впереди - ТБ-3, а за ним - самолет управления. Но отсутствие существенных успехов привело к тому, что 25 января 1938 г. тему закрыли, а три использовавшихся для испытаний бомбардировщика отобрали. Правда, через год работы возобновили, но приличных результатов в этом направлении удалось достигнуть только к началу Великой Отечественной войны (12036).</w:t>
      </w:r>
    </w:p>
    <w:p w14:paraId="3D2580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2C86C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сделали и испытали первые оперенные РС для штурмовиков и бомбардировщиков (93,21).</w:t>
      </w:r>
    </w:p>
    <w:p w14:paraId="3DF1EA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4CC6AF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фото 1933г. РС-132 оснащали БЧ с двумя попереч</w:t>
      </w:r>
      <w:r w:rsidRPr="0044524F">
        <w:rPr>
          <w:rFonts w:ascii="Times New Roman" w:hAnsi="Times New Roman"/>
          <w:color w:val="000000" w:themeColor="text1"/>
          <w:sz w:val="16"/>
          <w:szCs w:val="16"/>
        </w:rPr>
        <w:softHyphen/>
        <w:t>ными осколочными насечками, в чем можно «заподозрить» стремление разработчиков дробить БЧ на 15-г осколки. В ходе полигонных испыта</w:t>
      </w:r>
      <w:r w:rsidRPr="0044524F">
        <w:rPr>
          <w:rFonts w:ascii="Times New Roman" w:hAnsi="Times New Roman"/>
          <w:color w:val="000000" w:themeColor="text1"/>
          <w:sz w:val="16"/>
          <w:szCs w:val="16"/>
        </w:rPr>
        <w:softHyphen/>
        <w:t>ний РОС-82 модели 2-01171 в секторных мишенях было подорвано три боеприпаса. При этом снаряды устанавливали вертикально, с БЧ, напра</w:t>
      </w:r>
      <w:r w:rsidRPr="0044524F">
        <w:rPr>
          <w:rFonts w:ascii="Times New Roman" w:hAnsi="Times New Roman"/>
          <w:color w:val="000000" w:themeColor="text1"/>
          <w:sz w:val="16"/>
          <w:szCs w:val="16"/>
        </w:rPr>
        <w:softHyphen/>
        <w:t>вленной вверх таким образом, что срез сопла располагался в метре от земли (имитация стрельбы с кабрирования). В этот же период решался вопрос об упразднении из БЧ РС запаль</w:t>
      </w:r>
      <w:r w:rsidRPr="0044524F">
        <w:rPr>
          <w:rFonts w:ascii="Times New Roman" w:hAnsi="Times New Roman"/>
          <w:color w:val="000000" w:themeColor="text1"/>
          <w:sz w:val="16"/>
          <w:szCs w:val="16"/>
        </w:rPr>
        <w:softHyphen/>
        <w:t>ных стаканов, что, по мнению разработчиков, также влияло на боевые свойства ракетных боеприпасов. Хотя, откровенно говоря, на чертежах серийных боеприпасов того времени до 1939 г. запальных стаканов мне видеть не доводилось...(11402).</w:t>
      </w:r>
    </w:p>
    <w:p w14:paraId="31306C8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9C07F5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был разработан снаряд модели 1449, который стал первым образцом боеприпаса к 245-мм ракетной системе. По всей видимости, он не был воплощен в металле, иначе не трудно догадаться, каковы были бы результаты стрельбы им. Боеприпас был задуман без оперения, по схеме одной из ракет шведского конструктора Унге для стрельбы из направляющей трубчатого типа. Однако, в РНИИ не очень внимательно отнеслись к его «авторским причудам» и решили упростить заграничную конструкцию.</w:t>
      </w:r>
    </w:p>
    <w:p w14:paraId="58E1EF9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У Унге РС был задуман, хоть и с одним передним центрирующим утолщением, но с сопловым коллектором. Благодаря первому, он обретал обтюрацию, препятствующую проникновению продуктов горения РЗ между снарядом и стволом, а второе способствовало его центрирова</w:t>
      </w:r>
      <w:r w:rsidRPr="0044524F">
        <w:rPr>
          <w:rFonts w:ascii="Times New Roman" w:hAnsi="Times New Roman"/>
          <w:color w:val="000000" w:themeColor="text1"/>
          <w:sz w:val="16"/>
          <w:szCs w:val="16"/>
        </w:rPr>
        <w:softHyphen/>
        <w:t>нию в канале ствола.</w:t>
      </w:r>
    </w:p>
    <w:p w14:paraId="6EB15C8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Снаряд РНИИ не имел соплового коллектора, изготавливать которое было довольно сложно. Центральную сопловую рюмку - проще. Ее и ре</w:t>
      </w:r>
      <w:r w:rsidRPr="0044524F">
        <w:rPr>
          <w:rFonts w:ascii="Times New Roman" w:hAnsi="Times New Roman"/>
          <w:color w:val="000000" w:themeColor="text1"/>
          <w:sz w:val="16"/>
          <w:szCs w:val="16"/>
        </w:rPr>
        <w:softHyphen/>
        <w:t>шили применить. Но как раз это и портило все дело. Короче, если таким снарядом выстрелить, то его, в результате наличия эксцентриситета реак</w:t>
      </w:r>
      <w:r w:rsidRPr="0044524F">
        <w:rPr>
          <w:rFonts w:ascii="Times New Roman" w:hAnsi="Times New Roman"/>
          <w:color w:val="000000" w:themeColor="text1"/>
          <w:sz w:val="16"/>
          <w:szCs w:val="16"/>
        </w:rPr>
        <w:softHyphen/>
        <w:t>тивной силы сопла, либо заклинило бы в стволе, либо напало бить зад</w:t>
      </w:r>
      <w:r w:rsidRPr="0044524F">
        <w:rPr>
          <w:rFonts w:ascii="Times New Roman" w:hAnsi="Times New Roman"/>
          <w:color w:val="000000" w:themeColor="text1"/>
          <w:sz w:val="16"/>
          <w:szCs w:val="16"/>
        </w:rPr>
        <w:softHyphen/>
        <w:t>нюю часть боеприпаса о стенки трубчатой направляющей. Шашки РЗ, скорее всего, не выдержали бы таких ударов, растрескались, и снаряд взорвался бы в пусковой или рядом с ней. При заклинивании снаряда РО само бы полетело вперед: тяга ракетного двигателя была не менее 7 т - куда более массы артиллерийского лафета.</w:t>
      </w:r>
    </w:p>
    <w:p w14:paraId="25379DB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тем, если бы при таких условиях старта снаряду все же удалось бы покинуть канал ствола, о прицельной стрельбе им говорить было бы неуместно. В итоге от РС без оперения в данном калибре отказались, и по аналогии с РС-82 и РС-132, боеприпасы обрели оперение размахом 2,5 калибра.</w:t>
      </w:r>
    </w:p>
    <w:p w14:paraId="61AADDF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Советские конструкторы небезосновательно уделяли внимание авиационным ракетным снарядам иных калибров. Ракетные системы калибра 245 мм стали логическим завершением отечественной «ракет</w:t>
      </w:r>
      <w:r w:rsidRPr="0044524F">
        <w:rPr>
          <w:rFonts w:ascii="Times New Roman" w:hAnsi="Times New Roman"/>
          <w:color w:val="000000" w:themeColor="text1"/>
          <w:sz w:val="16"/>
          <w:szCs w:val="16"/>
        </w:rPr>
        <w:softHyphen/>
        <w:t>ой триады» предвоенного периода. Как упоминалось ранее, ракетными системами калибра 82 мм планировали вооружать всю истребительную авиацию, 132-мм системами - скоростную и пикирующую бомбардировочную. Но ВВС РККА располагали и тяжелобомбардировочной авиацией. Именно для ее вооружения предусматривалось создать 245-мм системы.</w:t>
      </w:r>
    </w:p>
    <w:p w14:paraId="7312D83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Более мощные реактивные системы были призваны создать альтернативу популярной на Западе в начале 20-х годов (как, впрочем, и поныне) доктрине бригадного генерала Джулио Дуэ и в некоторых ситуациях соответствовали ей. К началу 30-х годов наиболее развитые авиационные державы планировали использовать крупные соединения тяжелых воздушных кораблей для налетов на политические и промышленные центры противника. Считалось, что это окажет решающее влияние на весь од боевых действий. Между тем за рубежом придерживались мнения, что для вывода из строя административных центров достаточно обычно-бомбового вооружения. Советские же конструкторы-оружейники в решении данной проблемы продвинулись намного дальше, решив что стратегически важные объекты обычно имеют сильное прикрытие средствами ПВО, то выгоднее наносить удар, не входя в зону их эффективного огня. Этот замысел позволяло реализовать только ракетное вооружение большого калибра.</w:t>
      </w:r>
    </w:p>
    <w:p w14:paraId="34FDEE1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Между тем, на основе нового класса вооружений специалисты НИИ-3 НКОП предлагали создать и приемы эффективного противодействия агрессивным замыслам врага. Бороться с крупными соединениями бомбардировщиков, идущими в плотном боевом строю, должны были советские тяжелые машины, вооруженные РС особо крупных калибров, своим огнем они должны были рассеивать боевые порядки противника, отдельные самолеты которого можно будет уничтожать с истребителей при помощи РС малых и очень малых калибров. За счет последних можно увеличить ракетный боезапас носителя почти на порядок (11402).</w:t>
      </w:r>
    </w:p>
    <w:p w14:paraId="0CA35A5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1CDBD14"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на заводе №67 по указанию ВСНХ было организовано Специальное техническое бюро – спецтехбюро (СТБ). Территориально оно располагалось на заводе, но подчинялось ВСНХ.</w:t>
      </w:r>
    </w:p>
    <w:p w14:paraId="7CDBA3AB"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Первоначально спецтехбюро должно было координировать и финансировать работы по созданию авиабомб в НИО и организовывать на заводах страны серийное производство авиабомб, принятых на вооружение.</w:t>
      </w:r>
    </w:p>
    <w:p w14:paraId="1122DD9F"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Начальником СТБ был назначен Г. Е. Ворошнин. Его заместителем и одновременно ученым секретарем СТБ был утвержден Н. Т Кулаков. Между ними произошло своеобразное разделение работ. Г. Е. Ворошнин был очень энергичным и деятельным в организационных и хозяйственных делах. Он активно занимался подбором кадров, привлечением специалистов-консультантов для решения производственных вопросов, обеспечивал финансирование работ по разработке новых бомб.</w:t>
      </w:r>
    </w:p>
    <w:p w14:paraId="019CD20A"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по инициативе СТБ было созвано всесоюзное совещание заводов, изготавливавших бомбы, в котором приняли участие конструкторы опытного отдела. Такая форма общения заводов непосредственно с отработчиками оказалась очень полезной обеим сторонам, и совещания такого типа решено было повторять.</w:t>
      </w:r>
    </w:p>
    <w:p w14:paraId="783282BA"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1935 году СТБ было преобразовано в Конструкторско-технологическом бюро (КТБ-27).</w:t>
      </w:r>
    </w:p>
    <w:p w14:paraId="44CE0325"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КТБ-27 по-прежнему существовало на территории завода № 67, но было переподчинено Главному мобилизационному управлению Наркомтяжпрома. НИО же по-прежнему оставался отделом при заводе № 67, хотя работы его и КТБ-27 были взаимосвязаны: задачей КТБ было оказание помощи спеццехам валовых заводов, производивших образцы, разрабатываемые НИО. Без визы КТБ-27 заказчик не принимал от НИО чертежей для сдачи на валовое производство.</w:t>
      </w:r>
    </w:p>
    <w:p w14:paraId="2E5B8546"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1935 года КТБ-27 быстро стало пополняться кадрами. Так, в области сварки стали работать А. С. Ольшанский, В. А. Боголюбский: вопросами механической обработки и сборки занимались Ананченко, В. В. Шишкин, Д. А. Силин, Е. Т. Шестоперова, Г. П. Курин; литьем – Н. И. Соколов, В. Е. Ермолаев; вопро- сами измерений – А. И. Павлов, В. В. Любичев, Б. К. Ярцев, А. Н. Фролов и т. д. Начальником КТБ-27 был назначен Г. Е. Ворошнин, его заместителями – Н. И. Крупнов и Н. М. Кашкин.</w:t>
      </w:r>
    </w:p>
    <w:p w14:paraId="08149850" w14:textId="77777777" w:rsidR="00F5172A" w:rsidRPr="0044524F" w:rsidRDefault="00F5172A" w:rsidP="009654CF">
      <w:pPr>
        <w:pStyle w:val="ae"/>
        <w:spacing w:before="0" w:after="0"/>
        <w:jc w:val="both"/>
        <w:rPr>
          <w:color w:val="000000" w:themeColor="text1"/>
          <w:sz w:val="16"/>
          <w:szCs w:val="16"/>
        </w:rPr>
      </w:pPr>
      <w:r w:rsidRPr="0044524F">
        <w:rPr>
          <w:color w:val="000000" w:themeColor="text1"/>
          <w:sz w:val="16"/>
          <w:szCs w:val="16"/>
        </w:rPr>
        <w:t>Сотрудники КТБ работали чрезвычайно оперативно. Так, альбом контрольно- мерительного инструмента заводу «Красный котельщик», который делал в это время ФАБ-250, был выслан в Таганрог через сутки. Также в течение суток был разрабоан техпроцесс на изготовление запального стакана авиабомбы ФАБ-100, и технолог тут же выехал с документами в Ростов на «Ростсельмаш».</w:t>
      </w:r>
    </w:p>
    <w:p w14:paraId="1923EC4A"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Вообще, система оперативной помощи была в КТБ-27 хорошо продумана: технолог по вызову с завода выезжал туда на ближайшем поезде, надо было только захватить из дому необходимые вещи. Билет он получал от специального агента, который встречал его уже на вокзале.</w:t>
      </w:r>
    </w:p>
    <w:p w14:paraId="122C8157"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Душой этого небольшого, но слаженного коллектива был по-прежнему Г. Е. Ворошнин, сам отличавшийся необыкновенной оперативностью и подвижностью.</w:t>
      </w:r>
    </w:p>
    <w:p w14:paraId="506AB1C2"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1937 году в КТБ-27 было организовано второе всесоюзное совещание представителей заводов, выпускающих бомбы, и военпредов с участием работников НИО. Совместное обсуждение технологических вопросов, ТУ и чертежей помогло и промышленности, и конструкторам (15794).</w:t>
      </w:r>
    </w:p>
    <w:p w14:paraId="28324070" w14:textId="77777777" w:rsidR="00F5172A" w:rsidRPr="0044524F" w:rsidRDefault="00F5172A" w:rsidP="009654CF">
      <w:pPr>
        <w:spacing w:after="0" w:line="240" w:lineRule="auto"/>
        <w:jc w:val="both"/>
        <w:rPr>
          <w:rFonts w:ascii="Times New Roman" w:hAnsi="Times New Roman"/>
          <w:color w:val="000000" w:themeColor="text1"/>
          <w:sz w:val="16"/>
          <w:szCs w:val="16"/>
        </w:rPr>
      </w:pPr>
    </w:p>
    <w:p w14:paraId="2ADEBDD0"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году завод № 67 выпустил 9600 штук ФАБ-200, 8100 – ФАБ-250, 1050 – ФАБ-500, 310 – ФАБ-1000 и 70 – ФАБ-2000 (15794).</w:t>
      </w:r>
    </w:p>
    <w:p w14:paraId="3E24A616" w14:textId="77777777" w:rsidR="00F5172A" w:rsidRPr="0044524F" w:rsidRDefault="00F5172A" w:rsidP="009654CF">
      <w:pPr>
        <w:spacing w:after="0" w:line="240" w:lineRule="auto"/>
        <w:jc w:val="both"/>
        <w:rPr>
          <w:rFonts w:ascii="Times New Roman" w:hAnsi="Times New Roman"/>
          <w:color w:val="000000" w:themeColor="text1"/>
          <w:sz w:val="16"/>
          <w:szCs w:val="16"/>
        </w:rPr>
      </w:pPr>
    </w:p>
    <w:p w14:paraId="1F046573"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как и в первые годы при разработке технической документации на авиабомбы не было установленной системы для оформления чертежей. ГСКБ-47 по согласованию и с участием Главного управления ВВС НКО решило на одном из заводов разработать образцовый чертеж и технические условия на изготовление авиабомбы. Изделием для образцового чертежа была определена гидростатическая авиабомба ГАБ-100 для установки дымовых завес на море.</w:t>
      </w:r>
    </w:p>
    <w:p w14:paraId="06B49CE3"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Эта бомба по своей конструкции была одной из самых сложных для того времени, она состояла из большого количества узлов и деталей.</w:t>
      </w:r>
    </w:p>
    <w:p w14:paraId="59F3551B"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договоренности с Краматорским заводом начальники отделов ГСКБ-47 Н. И. Крупнов и С. О. Сидоров, представитель ВВС Неворотин вместе с инженерами завода разработали такой чертеж. В нем был регламентирован порядок расположения общего вида узлов и деталей, определены порядок оформления ТУ, расчета допусков и другие вопросы. Техническая документация образцового чертежа была положена в основу оформления всех чертежей авиабомб, принятых на вооружение.</w:t>
      </w:r>
    </w:p>
    <w:p w14:paraId="6714BFD4"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Вначале для серийного производства оформлялись чертежи литер «А» на обычной кальке. Оформлением чертежей занимался специальный отдел с большим количеством ИТР. Руководил отделом Сергей Осипович Сидоров – инженер, хорошо знавший свое дело, пунктуальный и строгий в том, что касалось техдокументации.</w:t>
      </w:r>
    </w:p>
    <w:p w14:paraId="22100BBF"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процессе производства авиабомб технологический отдел под руководством Николая Ивановича Крупнова вместе с заводами при участии представителей ВВС готовил предложения по уточнению техдокументации, отрабатывал технологический процесс, создавал и проверял технологическую оснастку.</w:t>
      </w:r>
    </w:p>
    <w:p w14:paraId="5C9F6F28"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освоения в производстве конструкции, тщательной отработки чертежей и техпроцесса техдокументация на авиабомбу переводилась в литер «Б». Чертежи литеры «Б» оформлялись на полотняной кальке без каких-либо помарок. Изменения или исправления производить в них запрещалось. Чертежи литеры «Б» утверждались ГСКБ-47 и Управлением ВВС. Чертежи приспособлений, а также технологический процесс подписывались руководством завода-изготовителя и утверждались специальной комиссией из представителей ГСКБ и Управления ВВС.</w:t>
      </w:r>
    </w:p>
    <w:p w14:paraId="6B784A63"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Чертежи литеры «Б» являлись основой для серийного производства изделий и разработки мобилизационных планов. Таким образом, возможность брака в серийном производстве авиабомб по причине каких-либо ошибок в техдокументации исключалась. Именно тогда по предложению Управления ВВС подлинники научно-технической документации, подлинники научно-технических журналов, вся технологическая документация стали храниться в ГСКБ-47. Предприятие было обязано обеспечивать все заводы-изготовлители авиабомб и военную приемку технической документацией (15794).</w:t>
      </w:r>
    </w:p>
    <w:p w14:paraId="00CAB7A6" w14:textId="77777777" w:rsidR="00F5172A" w:rsidRPr="0044524F" w:rsidRDefault="00F5172A" w:rsidP="009654CF">
      <w:pPr>
        <w:spacing w:after="0" w:line="240" w:lineRule="auto"/>
        <w:jc w:val="both"/>
        <w:rPr>
          <w:rFonts w:ascii="Times New Roman" w:hAnsi="Times New Roman"/>
          <w:color w:val="000000" w:themeColor="text1"/>
          <w:sz w:val="16"/>
          <w:szCs w:val="16"/>
        </w:rPr>
      </w:pPr>
    </w:p>
    <w:p w14:paraId="7BF3FC32"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 1934 годы группой конструкторов под руководством В. М. Виноградова и А. И. Зверева эта попытка была повторена.</w:t>
      </w:r>
    </w:p>
    <w:p w14:paraId="5A1F0067"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Необходимость этой работы вызывалась тем, что при соответствующей маскировке визуальная разведка территории и позиций противника могла быть нерезультативной. Аэрофотографирование как надежное средство визуальной разведки уже существовало, были созданы первые отечественные аэрофотоаппараты, которые устанавливались в бомбоотсеке самолета.</w:t>
      </w:r>
    </w:p>
    <w:p w14:paraId="725F468F"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проведения полного воздушного фотографирования требовался светильник, в тысячи раз превышающей по силе света САБы. При этом вспышка могла быть кратковременной – в доли секунды, – если момент съемки будет согласован со временем вспышки. Этой работой усиленно занимался Г. В. Капианидзе, подбирая состав, обладавший нужными свойствами.</w:t>
      </w:r>
    </w:p>
    <w:p w14:paraId="4C22BF4E"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Отработка фотобомбы была достаточно длительной. При относительно небольших высотах и скоростях полета самолета взрыв бомбы происходил в поле зрения аэрофотоаппарата и вспышка засвечивала снимок.</w:t>
      </w:r>
    </w:p>
    <w:p w14:paraId="6C11E7C7"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Выход из положения был найден тем, что к стабилизатору бомбы прикрепили ленту. Она, действуя как слабый парашют, обеспечивала необходимое отставание бомбы от самолета.</w:t>
      </w:r>
    </w:p>
    <w:p w14:paraId="05F5B256"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Завершена отработка ФОТАБ была уже в 1938 –1939 годах в связи с задержкой в отработке аэрофотоаппарата. В это же время Г. В. Капианидзе усовершенствовал аэронавигационную бомбу АНАБ-1.</w:t>
      </w:r>
    </w:p>
    <w:p w14:paraId="3DC7363A"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ударе о воду головная часть бомбы разрушалась и на поверхности воды появлялось ярко-зеленое или ярко-красное пятно диаметром 7-10 метров.</w:t>
      </w:r>
    </w:p>
    <w:p w14:paraId="1E7836A0"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Существовал и ночной вариант АНАБ. Он создавал плавающие точки белого огня. Применялась аэронавигационная бомба для того, чтобы помочь летчикам ориентироваться при полетах над морем (15794).</w:t>
      </w:r>
    </w:p>
    <w:p w14:paraId="04D44CA7" w14:textId="77777777" w:rsidR="00F5172A" w:rsidRPr="0044524F" w:rsidRDefault="00F5172A" w:rsidP="009654CF">
      <w:pPr>
        <w:spacing w:after="0" w:line="240" w:lineRule="auto"/>
        <w:jc w:val="both"/>
        <w:rPr>
          <w:rFonts w:ascii="Times New Roman" w:hAnsi="Times New Roman"/>
          <w:color w:val="000000" w:themeColor="text1"/>
          <w:sz w:val="16"/>
          <w:szCs w:val="16"/>
        </w:rPr>
      </w:pPr>
    </w:p>
    <w:p w14:paraId="5F8D62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был завершен переход (с 1932) на новую систему авиабомб:</w:t>
      </w:r>
    </w:p>
    <w:p w14:paraId="4E1465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фугасные (от 50 до 2000 кг);</w:t>
      </w:r>
    </w:p>
    <w:p w14:paraId="7F7D68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осколочные;</w:t>
      </w:r>
    </w:p>
    <w:p w14:paraId="091CC4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бронебойные;</w:t>
      </w:r>
    </w:p>
    <w:p w14:paraId="2FAEB3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зажигательные;</w:t>
      </w:r>
    </w:p>
    <w:p w14:paraId="5C22EC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осветительные;</w:t>
      </w:r>
    </w:p>
    <w:p w14:paraId="42D0C5D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специальные (85,465).</w:t>
      </w:r>
    </w:p>
    <w:p w14:paraId="5E4321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06EB4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1933 г. на заводе № 67 действовало СКТБ (Специальное конструкторско-технологическое бюро (СКТБ), КТБ-27 (Конструкторско-технологическое бюро) НКТП, НКОП), образованное для координации работ и внедрения АБ в серию на заводах. С 1934 г. СКТБ выведено из числа подразделений завода и преобразовано в КТБ-27 НКТП. По пр. НКОП № 147сс от 4.05.1938 г. НИО-67 вместе с КТБ-27 вошли в состав образованного КБ по авиабомбостроению (ГСКБ-47).</w:t>
      </w:r>
    </w:p>
    <w:p w14:paraId="421E9B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конструкций авиабомб.</w:t>
      </w:r>
    </w:p>
    <w:p w14:paraId="2B534135" w14:textId="25F48066"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(1934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Г.Е. Ворошин.</w:t>
      </w:r>
    </w:p>
    <w:p w14:paraId="33F9513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начальника (1935 г.-)- Н.И. Крупнов, Н.Т. Кулаков.</w:t>
      </w:r>
    </w:p>
    <w:p w14:paraId="7EAE79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(1935 г.-)- Н.И. Крупнов (11982).</w:t>
      </w:r>
    </w:p>
    <w:p w14:paraId="0684D7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13B76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заводе № 67 по решению ГВМУ ВСНХ создали Спецтехбюро по авиабомбам, преобразованное год спустя в Конструкторско-технологическое бюро № 27 - КТБ-27. Под руководством Г.Е.Ворошнина и его заместителя Н.Т.Кулакова оно финансировало и координировало все разработки этого вида вооружений, а также организовывало на заводах страны производство авиабомб, поступивших на вооружение НКО (7453).</w:t>
      </w:r>
    </w:p>
    <w:p w14:paraId="51335A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A2D3C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4-я бригада ЦКБ предложила сразу два образца отечественных дымовых прибора: ДХ-2 под стандартную смесь и двухкомпо- ненгный прибор, в котором два вещества смешивались на выходе. В том же году приступили к работе над универ- сапьным прибором УХАП-1, который мог бы выливать как дымовые смеси, гак и отравляющие вещества.</w:t>
      </w:r>
    </w:p>
    <w:p w14:paraId="7480C3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AD819D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испытывали устройство для сброса с самолета ядовитых дымовых шашек, но оно не оправдало себя (12034).</w:t>
      </w:r>
    </w:p>
    <w:p w14:paraId="1F63B34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EE0AB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14-я бригада ЦАГИ спроектировала ампульную кассету для биплана Р-5 - в те годы основного легкого бомбардировщика. Детали конструкции неизвестны, в документах упоминается только то, что таких кассет на самолете монтировали три, а также то, что существовали варианты с чисто механическим и электрическим открыванием их.</w:t>
      </w:r>
    </w:p>
    <w:p w14:paraId="1C1723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заводе № 39 сделали свою внутреннюю кассету для Р-5. При этом, видимо, использовали тот же отсек, где у штурмовика ССС, сделанного на его базе, устанавливали держатели под мелкие бомбы. В одну кассету вмещались 38 ампул, а кассет было четыре. Всего самолет брол 152 шара. При этом сама кассета была легче - в разных вариантах от 3,7 до 4,6 кг. Суммарная нагрузка получалась ненамного меньше, чем у СБ - 270 кг. Сброс осуществлялся только механикой - от сбрасывателя АСБР-1.</w:t>
      </w:r>
    </w:p>
    <w:p w14:paraId="3EC155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Известный конструктор вооружения Можаровский предложил подвесные (но тоже многоразовые) кассеты для Р-5. Они размещались на бомбодержателях под крылом и фюзеляжем. Всего машина несла десять кассет на 24 ампулы каждая - итого 240. Вес конструкции одной кассеты - 7,4 кг. Соответственно, и общая загрузка получилась больше - 434 кг. Поскольку эти кассеты делали для старого варианта Р-5 (выпуска 1933 г.), то открывание осуществлялось от сбрасывателя СБР-8 (12043).</w:t>
      </w:r>
    </w:p>
    <w:p w14:paraId="19F086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B6633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для разработки радиоэлектронного вооружения армии и флота был создан Всесоюзный государственный Институт телемеханики и связи.</w:t>
      </w:r>
    </w:p>
    <w:p w14:paraId="5AD287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Разработано управление для крылатой ракеты «217» конструкции РНИИ (1930-е г.).57 </w:t>
      </w:r>
    </w:p>
    <w:p w14:paraId="59A11B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1930-е г. в ленинградском филиале создана радиоаппаратура для МБР-2 для наведения торпедных катеров.</w:t>
      </w:r>
    </w:p>
    <w:p w14:paraId="14BB7A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распоряжением СНК № 1720-рс от 19.06.1941 г. и приказом НКАП № 558с от 24.06.1941 г. институту переданы опытные работы и оборудование по морским гироскопическим приборам ликвидированного НИИ-22 НКАП.</w:t>
      </w:r>
    </w:p>
    <w:p w14:paraId="7761CA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1941 г. институт эвакуирован сначала в Сталинград, затем- в Свердловск. В Москве продолжал действовать филиал. В 12.1941 г. в Свердловске в состав НИИ-10 влился НИИ-49. В 08.1942 г. НИИ-10 реэвакуирован в Москву.</w:t>
      </w:r>
    </w:p>
    <w:p w14:paraId="7DAE28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1944 г.- разработка РЛС для ВМФ. С 1950-х г. – разработка корабельных ЗРК.</w:t>
      </w:r>
    </w:p>
    <w:p w14:paraId="1D58D8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войны создан отдел гироскопических приборов УР. Работы по гироприборам, как для морской техники, так и для ракетной (гл. конструктор- В.И. Кузнецов, до этого работавший в МНИИ-1).</w:t>
      </w:r>
    </w:p>
    <w:p w14:paraId="747807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1950-60-е г. с помощью ведущих специалистов НИИ-10 созданы: Московский НИИ прикладной механики, Таганрогский НИИ связи. В 1955 г. на базе СКБ создан НИИГС.</w:t>
      </w:r>
    </w:p>
    <w:p w14:paraId="3BBD78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Входит в концерн «Алмаз-Антей» (2003 г.). По Указу Президента РФ № 1009 от 4.08.2004 г. вошло в число стратегических оборонных предприятий.</w:t>
      </w:r>
    </w:p>
    <w:p w14:paraId="6EC2E5A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Работы (2005 г.): ЗРК ближней зоны обороны, а также обороны малых кораблей «Гибка» с ракетами «Игла».ВП-2/05 </w:t>
      </w:r>
    </w:p>
    <w:p w14:paraId="45F177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(1933 г.) - Ф. Сучков, (1944 г.) - В.Д. Калмыков (затем- министр радопромышленности), (1960-е)- Н.П. Петелин. Ген. директор (-1999-2005 г.-) - С.А. Климов.</w:t>
      </w:r>
    </w:p>
    <w:p w14:paraId="5B7BEA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И.А. Игнатьев, (1969 г.) - В.А. Букатов, (1970-е)- Г.Н. Волгин, (1980-е)- С.А. Фадеев. Ген. конструктор (-1999-2005 г.-)- С.А. Климов.</w:t>
      </w:r>
    </w:p>
    <w:p w14:paraId="3BD827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зам. Ген. конструктора (2004 г.)- С. Соколов.</w:t>
      </w:r>
    </w:p>
    <w:p w14:paraId="6E60BA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конструкторы: (1946 г.)- В.И. Кузнецов (гироприборы), Н.Н. Государов (ИГС-59), Смирнов (ИК ГСН для К-8), А.Ф. Шорин, В.Д. Калмыков, (1960-е)- М.П. Петелин («Астра», «Подснежник»), В.Ф. Измайлов, И.А. Игнатьев.</w:t>
      </w:r>
    </w:p>
    <w:p w14:paraId="0FDED6B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Создано: ИК ГСН: ИГС-59 для К-55, для К-8, 5Г42 (середина 1960-х); </w:t>
      </w:r>
    </w:p>
    <w:p w14:paraId="72DF7E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Корабельные ЗРК: М-1 «Волна» (пнв в 1962 г.), «Волна-М» (пнв в 1968 г.), «Волна-П» (пнв в 1976 г.); «Волна-Н» (пнв в 1984 г.); М-11 «Шторм» (пнв в 1969 г., «Шквал»-экспортный), «Шторм-М» (пнв в 1972 г.), «Шторм-Н» (пнв в 1986 г.); С-300Ф «Форт» (пнв в 1983 г.), «Форт-М» (пнв в 1990 г., "Риф"-экспортный); М-22 "Ураган" (пнв в 1983 г., "Штиль-1"- экспортный); "Клинок" (пнв в 1989 г., «Кинжал»-экспортный); «Каштан» (пнв в 1990 г., «Кортик»- экпортный); «Квант» (опытный, середина 1960-х);58 корабельная РЛС «Бином»; система управления: береговым комплексом «Редут», ККР П-35, УРПК-3 «Метель»;69 командно-измерительная система «Подснежник» для управления ИСЗ (1960-е), командно-траекторная радиолиния «Астра» (1960-е).77 </w:t>
      </w:r>
    </w:p>
    <w:p w14:paraId="0315F5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НИИ-10 МСП, Всесоюзный государственный Институт телемеханики и связи (ВГИТиС), Всесоюзный НИИ радиоэлектронники (ВНИИРЭ) МСП, ВНИИ, НПО "Альтаир", ГосНПО «Альтаир», ФГУП «НТК «Альтаир», ОАО «Морской НИИ радиоэлектроники (МНИИРЭ) «Альтаир»</w:t>
      </w:r>
    </w:p>
    <w:p w14:paraId="7C7E36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111024 г. Москва, ул. Авиамоторная, 57 тел. 273-14-32 (10776).</w:t>
      </w:r>
    </w:p>
    <w:p w14:paraId="10EB78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46841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в Научно-исследовательском морском институте связи началась работа над планирующими торпедами. Для разработки планирующей торпеды была создана лаборатория № 22, система наведения создавалась в специальной лаборатории, занимавшейся инфракрасной техникой.</w:t>
      </w:r>
    </w:p>
    <w:p w14:paraId="1EACF00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начале 1930-х гг. в СССР проект планирующей торпеды дальнего действия разработал инженер-конструктор комиссии минных опытов Морского научно-технического комитета С.Ф. Валк («планторпеда») (Петров Г. Планирующие торпеды. Военный Парад. 1994, январь–февраль. С. 84–86, 133–134.). Она предназначалась для удара по кораблям и портам противника. «План-торпеда» представляла собой планер, подвешиваемый под бомбардировщик и наводимый на цель бортовой аппаратурой в луче инфракрасного прожектора, установленного на носителе.</w:t>
      </w:r>
    </w:p>
    <w:p w14:paraId="6B8116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Свою идею С.Ф. Валк обосновал следующими соображениями: во-первых, невозможно обнаружить планирующую торпеду звукоулавливателями противника из-за бесшумности ее полета, вовторых, истребителям трудно перехватить торпеду из-за ее малоразмерности. С.Ф. Валк предложил наводить планирующую торпеду на цель с помощью инфракрасных лучей.</w:t>
      </w:r>
    </w:p>
    <w:p w14:paraId="52447F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Тема была объявлена важнейшей для Научно-исследовательского морского института связи. Для проверки схемы и проектных характеристик были построены модели планирующих торпед в 1/10 и 1/4 натуральной величины. В 1933 г. были проведены пуски модели «1/4» с высоты 1100 м. В ходе испытания модели планирующей торпеды пролетели 10–11 км.</w:t>
      </w:r>
    </w:p>
    <w:p w14:paraId="28D379F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1934 г. промышленным способом были изготовлены экспериментальные образцы торпед и стабилизатор автопилота. Надежность автопилота была проверена в лабораторных условиях.</w:t>
      </w:r>
    </w:p>
    <w:p w14:paraId="53FAFB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1935 г. Особое конструкторское бюро военного отдела технических изобретений начало разрабатывать специальные планирующие торпеды. Они были следующих типов:</w:t>
      </w:r>
    </w:p>
    <w:p w14:paraId="5E85D6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Безмоторная планирующая торпеда с дальностью полета 30–50 км («дальнобойная планирующая торпеда», кодовое название Волк).</w:t>
      </w:r>
    </w:p>
    <w:p w14:paraId="4F82462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Торпеда, оборудованная поршневым или ракетным двигателем с дальностью полета 100–200 км («летающая торпеда дальнего действия»).</w:t>
      </w:r>
    </w:p>
    <w:p w14:paraId="53C9868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Безмоторная планирующая торпеда на жестком буксире (буксируемый минный планер, кодовое название Вепрь).</w:t>
      </w:r>
    </w:p>
    <w:p w14:paraId="753BC7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1935 г. Завод № 23 (Ленинград) изготовил первые четыре планирующие торпеды ПСН1 («Планер специального назначения»). Систему наведения, получившую название Квант, изготовил НИИ № 10 Наркомата оборонной промышленности. Характеристики ПСН1 приведены в табл. 1.1.</w:t>
      </w:r>
    </w:p>
    <w:p w14:paraId="1158085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Таблица 1.1 Характеристики планирующей торпеды ПСН-1</w:t>
      </w:r>
    </w:p>
    <w:p w14:paraId="7945CC7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Размах крыльев 8000 мм</w:t>
      </w:r>
    </w:p>
    <w:p w14:paraId="05C12A8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Высота 2020 мм</w:t>
      </w:r>
    </w:p>
    <w:p w14:paraId="5E88385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конструкции 970 кг</w:t>
      </w:r>
    </w:p>
    <w:p w14:paraId="2AE6DC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Полезная нагрузка 1000 кг</w:t>
      </w:r>
    </w:p>
    <w:p w14:paraId="759EE0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августе 1934 г. проводилась контрольная буксировка торпеды ПСН1 без отцепления за самолетом Р5. Для полномасштабных летных испытаний планирующей торпеды в качестве самолетаматки были выделены два самолета – ТБ3 и М17. Под каждым крылом этих самолетов были смонтированы специальные держатели. Эксперименты проводились над одним из озер в районе Новгорода. Самолеты взлетали с аэродрома Кречевицы. На озере проходили буксировочные испытания гидропланера-торпеды с подлетом на небольшую высоту на буксире за самолетом Р6.</w:t>
      </w:r>
    </w:p>
    <w:p w14:paraId="6B1476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Мировой приоритет таких испытаний заключается в том, что, вероятнее всего, впервые в мировой практике произошли буксировка и взлет планера с воды при нагрузке 75 кг на 1 м2 несущей поверхности.</w:t>
      </w:r>
    </w:p>
    <w:p w14:paraId="0B1818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 августа 1935 г. были проведены первые опытные взлет и полет самолета ТБ3 с подвешенным под правое крыло планером-торпедой с учебными бомбами.</w:t>
      </w:r>
    </w:p>
    <w:p w14:paraId="3663F2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Интересно, что на этапе испытания опытных образцов планеры-торпеды имели кабину для пилота-наблюдателя, который вел наблюдения за автоматикой. Пилот не вмешивался в действия автопилота и других механизмов, если в том не было необходимости. После отработки телемеханической системы наведения намечалось сделать беспилотные планирующие торпеды.</w:t>
      </w:r>
    </w:p>
    <w:p w14:paraId="334AB5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1936 г. в документах, посвященных ПСН1, часто употребляется выражение «человеко-торпеда» (Петров Г. Планирующие торпеды. Военный Парад. 1994, январь–февраль.С. 84–86, 133–134.). Этот тип торпеды предназначался для визуального наведения на крупную цель – линейный корабль или военно-морскую базу. После сброса боевого заряда пилот должен был уводить планер в сторону на 4–6 миль и сажать на воду. После этого крылья «отстегивались» и планер превращался в катер. Используя имевшийся на борту подвесной двигатель, пилот уходил от пораженной цели. Учитывая военнополитическую обстановку в мире и уровень военно-патриотического воспитания молодежи в СССР, можно предположить, что некоторые пилоты могли стать и смертниками.</w:t>
      </w:r>
    </w:p>
    <w:p w14:paraId="54236B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 июля 1936 г. был проведен полет планера-торпеды. К его днищу была подвешена болванка весом 250 кг (массо-габаритная копия бомбы ФАБ250). Произведены взлет, полет, отцепление и посадка на озеро Ильмень.</w:t>
      </w:r>
    </w:p>
    <w:p w14:paraId="6DEECD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августа 1936 г. выполнен полет планера с грузом 550 кг (массо-габаритная копия бомбы ФАБ550). 2 августа 1936 г. выполнен полет планера с грузом 1000 кг (фугасная бомба со стабилизатором). В полете планер отцепился от носителя и сбросил бомбу с пикирования при скорости 340–350 км. 10 августа были закончены испытания и приемка первых четырех планеров-торпед. Дальность их планирования с различными грузами составила 27 км.</w:t>
      </w:r>
    </w:p>
    <w:p w14:paraId="7D5C6E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Среди вышеуказанного конструкторы предложили вариант возвращения планера на самолет-носитель. Такой планер мог бы иметь двигатель. В этом случае он представлял бы собой небольшой подвесной самолет-торпедоносец.</w:t>
      </w:r>
    </w:p>
    <w:p w14:paraId="5E052F0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1937–1938 гг. Управление морских сил РККА планировало изготовить небольшую серию «план-торпед» («крылатых торпед») для окончательной отработки траектории полета путем опытных пусков с самолета-носителя. К началу 1938 г. специалисты опытного завода НИИ № 12 произвели 138 пусков торпед. Летные эксперименты показали возможность пуска таких торпед на скоростях до 270–320 км/ч. Расчетная скорость планера-торпеды при этом составила 360 км/ч. Отрабатывались также вопросы поведения «план-торпед» на виражах, при выравнивании и сбросе торпеды, автоматическая посадка на воду.</w:t>
      </w:r>
    </w:p>
    <w:p w14:paraId="07E9FA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Система подвески и оборудование для пуска с самолета-носителя при испытаниях действовали безотказно, за исключением нескольких случаев, происшедших из-за ошибок технического персонала. Трудности возникли с функционированием системы управления. По этой причине испытания ограничивались аэрои гидродинамическими опытами планеров-торпед.</w:t>
      </w:r>
    </w:p>
    <w:p w14:paraId="364A73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1938 г. были проведены испытательные полеты с автоматической посадкой на воду. Для наведения торпед по инфракрасному лучу на самолете ТБ3 была оборудована специальная поворотная рама, на которой устанавливались три инфракрасных прожектора. Эта система получила название Квант.</w:t>
      </w:r>
    </w:p>
    <w:p w14:paraId="6144FA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Уже во время испытаний экспериментальных образцов «крылатых торпед» заводу № 23 было выдано техническое задание на постройку боевого образца торпеды, получившей название ПСН2. Носителем ПСН2 должны были стать самолеты ТБ3 со специальными подвесками.</w:t>
      </w:r>
    </w:p>
    <w:p w14:paraId="2E4FEE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1940 г. планировалось провести испытания как опытных торпед (ПСН1), так и боевых – ПСН2. На ПСН1 должны были определяться эллипсы рассеивания и проводиться пуски на точность. Кроме этого, в 1940 г. планировалось запустить в серию боевые «крылатые торпеды» и организовать учебный центр для подготовки специалистов по обслуживанию и применению ПСН2 в войсках. Завод № 23 уже начал создавать задел для серийного производства боевых образцов «план-торпед».</w:t>
      </w:r>
    </w:p>
    <w:p w14:paraId="4B8029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Что касается конструкторов, то они продолжали совершенствовать «план-торпеды». Прорабатывались проекты торпед типа «летающее крыло» в двух вариантах: пилотируемая – тренировочно-пристрелочный вариант с полной автоматикой (ППТ) и беспилотная – с полной автоматикой (БПТ). В конце 1939 г. был представлен проект беспилотной летающей торпеды с дальностью полета от ста и выше километров со скоростью полета до 700 км/ч. Носителем такой «план-торпеды» должны были стать самолеты ДБ3 (11686).</w:t>
      </w:r>
    </w:p>
    <w:p w14:paraId="0EB506D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1D505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в Научно-исследовательском морском институте связи (НИМИС), в специально созданной для этой цели лаборатории N22 начались работы по разработке проекта планирующей торпеды (ПТ). Соломон Федорович Валк предложил наводить планирующую торпеду на цель с помощью инфракрасных лучей. Валк мотивировал свою идею следующими соображениями: невозможностью обнаружения ПТ звукоулавливателями противника из-за бесшумности ее полета, а также трудностью перехвата торпеды истребителями противника из-за ее малоразмерности. К середине 1933 года стало ясно, что одновременное создание самой ПТ и ее телемеханической части слишком сложный процесс. Поэтому проектирование системы наведения было передано в специальную лабораторию, занимавшуюся ИК-техникой, а лаборатория N22 продолжала заниматься непосредственно ПТ и оборудованием для нее. Для проверки схемы и проектных данных безмоторных торпед построили модели в 1/10 и 1/4 натуральной величины. В 1933 году были проведены пуски моделей в 1/4 натуральной величины с высоты 1100 м, в ходе которых они пролетали 10-11 км. В 1934 году промышленности заказали экспериментальные образцы ПТ, а также стабилизаторы автопилота. Надежность автопилота подтвердилась во время его лабораторных испытаний. Для разработки специальных образцов ПТ против кораблей и береговых баз в 1935 году был заключен договор с Особым конструкторским бюро военного отдела технических изобретений. Комиссия Управления морских сил (УМС) РККА рекомендовала установить следующие обозначения различных типов летающих торпед:</w:t>
      </w:r>
    </w:p>
    <w:p w14:paraId="745062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 для безмоторных планирующих торпед с дальностью полета 30-50 км — ДПТ (дальнобойная планирующая торпеда), кодовое обозначение "Волк";</w:t>
      </w:r>
    </w:p>
    <w:p w14:paraId="4AEF3F0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 для оборудованных мотором (обычным винтовым или ракетным) с дальностью полета 100-200 км — ЛТДЦ (летающая торпеда дальнего действия);</w:t>
      </w:r>
    </w:p>
    <w:p w14:paraId="575143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для безмоторных ПТ на жестком буксире — БМП (буксируемый минный планер), кодовое обозначение "Вепрь" (12040).</w:t>
      </w:r>
    </w:p>
    <w:p w14:paraId="63886E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3F1C8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были проведены пуски моделей планирующих торпед в 1/4 натуральной величины с высоты 1100 м, в ходе которых они пролетали 10 - 11 км. Была практически доказана целесообразность этого вида оружия (3861).</w:t>
      </w:r>
    </w:p>
    <w:p w14:paraId="6DAF4F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97C907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разработанные в ленинградской газодинамической лаборатории ускорите</w:t>
      </w:r>
      <w:r w:rsidRPr="0044524F">
        <w:rPr>
          <w:rFonts w:ascii="Times New Roman" w:hAnsi="Times New Roman"/>
          <w:color w:val="000000" w:themeColor="text1"/>
          <w:sz w:val="16"/>
          <w:szCs w:val="16"/>
        </w:rPr>
        <w:softHyphen/>
        <w:t>ли, так называемые газовые агрегаты уста</w:t>
      </w:r>
      <w:r w:rsidRPr="0044524F">
        <w:rPr>
          <w:rFonts w:ascii="Times New Roman" w:hAnsi="Times New Roman"/>
          <w:color w:val="000000" w:themeColor="text1"/>
          <w:sz w:val="16"/>
          <w:szCs w:val="16"/>
        </w:rPr>
        <w:softHyphen/>
        <w:t>новили на ТБ-1 № 614 и № 726. Расположи</w:t>
      </w:r>
      <w:r w:rsidRPr="0044524F">
        <w:rPr>
          <w:rFonts w:ascii="Times New Roman" w:hAnsi="Times New Roman"/>
          <w:color w:val="000000" w:themeColor="text1"/>
          <w:sz w:val="16"/>
          <w:szCs w:val="16"/>
        </w:rPr>
        <w:softHyphen/>
        <w:t>ли их по 3 с каждой стороны центроплана Испытывали варианты размещения агрега</w:t>
      </w:r>
      <w:r w:rsidRPr="0044524F">
        <w:rPr>
          <w:rFonts w:ascii="Times New Roman" w:hAnsi="Times New Roman"/>
          <w:color w:val="000000" w:themeColor="text1"/>
          <w:sz w:val="16"/>
          <w:szCs w:val="16"/>
        </w:rPr>
        <w:softHyphen/>
        <w:t>тов сверху и снизу крыла, так, чтобы струя пороховых газов миновала хвостовое опе</w:t>
      </w:r>
      <w:r w:rsidRPr="0044524F">
        <w:rPr>
          <w:rFonts w:ascii="Times New Roman" w:hAnsi="Times New Roman"/>
          <w:color w:val="000000" w:themeColor="text1"/>
          <w:sz w:val="16"/>
          <w:szCs w:val="16"/>
        </w:rPr>
        <w:softHyphen/>
        <w:t>рение. Весившая 300 кг установка развива</w:t>
      </w:r>
      <w:r w:rsidRPr="0044524F">
        <w:rPr>
          <w:rFonts w:ascii="Times New Roman" w:hAnsi="Times New Roman"/>
          <w:color w:val="000000" w:themeColor="text1"/>
          <w:sz w:val="16"/>
          <w:szCs w:val="16"/>
        </w:rPr>
        <w:softHyphen/>
        <w:t>ла тягу 12000 кгс, сокращала разбег само</w:t>
      </w:r>
      <w:r w:rsidRPr="0044524F">
        <w:rPr>
          <w:rFonts w:ascii="Times New Roman" w:hAnsi="Times New Roman"/>
          <w:color w:val="000000" w:themeColor="text1"/>
          <w:sz w:val="16"/>
          <w:szCs w:val="16"/>
        </w:rPr>
        <w:softHyphen/>
        <w:t>лета со взлетной массой 8000 кг на 80%. В испытательном полете с уменьшенной до 6500 кг массой ТБ-1 оторвался от земли че</w:t>
      </w:r>
      <w:r w:rsidRPr="0044524F">
        <w:rPr>
          <w:rFonts w:ascii="Times New Roman" w:hAnsi="Times New Roman"/>
          <w:color w:val="000000" w:themeColor="text1"/>
          <w:sz w:val="16"/>
          <w:szCs w:val="16"/>
        </w:rPr>
        <w:softHyphen/>
        <w:t>рез 55 м. Несмотря на очевидный успех практического использования ускорители не нашли (11286).</w:t>
      </w:r>
    </w:p>
    <w:p w14:paraId="3ABF047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CD3EB95" w14:textId="77777777" w:rsidR="00DD42F5" w:rsidRPr="00142305" w:rsidRDefault="00DD42F5" w:rsidP="00DD42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три биплана Р-5 вместе с одним трехмоторным АНТ-9 советское правительство подарило Турции. Они несколько лет служили турецким ВВС как учебно-трени</w:t>
      </w:r>
      <w:r w:rsidRPr="00142305">
        <w:rPr>
          <w:rFonts w:ascii="Times New Roman" w:hAnsi="Times New Roman"/>
          <w:color w:val="0070C0"/>
          <w:sz w:val="16"/>
          <w:szCs w:val="16"/>
        </w:rPr>
        <w:softHyphen/>
        <w:t>ровочные машины (24990).</w:t>
      </w:r>
    </w:p>
    <w:p w14:paraId="090179F1" w14:textId="77777777" w:rsidR="00DD42F5" w:rsidRPr="00142305" w:rsidRDefault="00DD42F5" w:rsidP="00DD42F5">
      <w:pPr>
        <w:spacing w:after="0" w:line="240" w:lineRule="auto"/>
        <w:jc w:val="both"/>
        <w:rPr>
          <w:rFonts w:ascii="Times New Roman" w:hAnsi="Times New Roman"/>
          <w:color w:val="0070C0"/>
          <w:sz w:val="16"/>
          <w:szCs w:val="16"/>
        </w:rPr>
      </w:pPr>
    </w:p>
    <w:p w14:paraId="18AFB89E" w14:textId="77777777" w:rsidR="00DD42F5" w:rsidRPr="00142305" w:rsidRDefault="00DD42F5" w:rsidP="00DD42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М.В. Водопьянов попытался совершить на П-5 с почтой перелет из Москвы в Петропавловск-Камчатский, но неудачно — разбил самолет недалеко от Байкала (24990).</w:t>
      </w:r>
    </w:p>
    <w:p w14:paraId="284A435E" w14:textId="77777777" w:rsidR="00DD42F5" w:rsidRPr="00142305" w:rsidRDefault="00DD42F5" w:rsidP="00DD42F5">
      <w:pPr>
        <w:spacing w:after="0" w:line="240" w:lineRule="auto"/>
        <w:jc w:val="both"/>
        <w:rPr>
          <w:rFonts w:ascii="Times New Roman" w:hAnsi="Times New Roman"/>
          <w:color w:val="0070C0"/>
          <w:sz w:val="16"/>
          <w:szCs w:val="16"/>
        </w:rPr>
      </w:pPr>
    </w:p>
    <w:p w14:paraId="440728F1" w14:textId="77777777" w:rsidR="00DD42F5" w:rsidRPr="00142305" w:rsidRDefault="00DD42F5" w:rsidP="00DD42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С 1933 г. большая часть П-5 эксплуатировалась как почтовые и грузовые самолеты. По скорости и дальности полета П-5 значительно превосходил самую массовую тогда машину гражданской авиации — У-2. Специально оснащенными П-5 были укомплектованы все матричные звенья различ</w:t>
      </w:r>
      <w:r w:rsidRPr="00142305">
        <w:rPr>
          <w:rFonts w:ascii="Times New Roman" w:hAnsi="Times New Roman"/>
          <w:color w:val="0070C0"/>
          <w:sz w:val="16"/>
          <w:szCs w:val="16"/>
        </w:rPr>
        <w:softHyphen/>
        <w:t>ных управлений ГВФ.</w:t>
      </w:r>
    </w:p>
    <w:p w14:paraId="61BA7D71" w14:textId="77777777" w:rsidR="00DD42F5" w:rsidRPr="00142305" w:rsidRDefault="00DD42F5" w:rsidP="00DD42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«Матричники» летали практически в любую погоду и в любое время года, невзирая на состояние аэродромов. В Москве они стартовали с бетонной полосы, а на месте на</w:t>
      </w:r>
      <w:r w:rsidRPr="00142305">
        <w:rPr>
          <w:rFonts w:ascii="Times New Roman" w:hAnsi="Times New Roman"/>
          <w:color w:val="0070C0"/>
          <w:sz w:val="16"/>
          <w:szCs w:val="16"/>
        </w:rPr>
        <w:softHyphen/>
        <w:t>значения в распутицу сбрасывали груз с парашютом. Са</w:t>
      </w:r>
      <w:r w:rsidRPr="00142305">
        <w:rPr>
          <w:rFonts w:ascii="Times New Roman" w:hAnsi="Times New Roman"/>
          <w:color w:val="0070C0"/>
          <w:sz w:val="16"/>
          <w:szCs w:val="16"/>
        </w:rPr>
        <w:softHyphen/>
        <w:t>молеты матричных звеньев оборудовались приемниками В-3 для полетов по радиомаякам. Это довольно простое устройство, позволявшее пилоту лететь в равносигналь</w:t>
      </w:r>
      <w:r w:rsidRPr="00142305">
        <w:rPr>
          <w:rFonts w:ascii="Times New Roman" w:hAnsi="Times New Roman"/>
          <w:color w:val="0070C0"/>
          <w:sz w:val="16"/>
          <w:szCs w:val="16"/>
        </w:rPr>
        <w:softHyphen/>
        <w:t>ной зоне, курсом прямо на маяк. Если самолет шел пра</w:t>
      </w:r>
      <w:r w:rsidRPr="00142305">
        <w:rPr>
          <w:rFonts w:ascii="Times New Roman" w:hAnsi="Times New Roman"/>
          <w:color w:val="0070C0"/>
          <w:sz w:val="16"/>
          <w:szCs w:val="16"/>
        </w:rPr>
        <w:softHyphen/>
        <w:t>вильно, то в обоих наушниках звук был одинаковым, если отклонялся в сторону, то в одном наушнике гудело гром</w:t>
      </w:r>
      <w:r w:rsidRPr="00142305">
        <w:rPr>
          <w:rFonts w:ascii="Times New Roman" w:hAnsi="Times New Roman"/>
          <w:color w:val="0070C0"/>
          <w:sz w:val="16"/>
          <w:szCs w:val="16"/>
        </w:rPr>
        <w:softHyphen/>
        <w:t>че, чем в другом.</w:t>
      </w:r>
    </w:p>
    <w:p w14:paraId="4A6B345D" w14:textId="77777777" w:rsidR="00DD42F5" w:rsidRPr="00142305" w:rsidRDefault="00DD42F5" w:rsidP="00DD42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П-5 очень чувствительно реагировал на обледенение. Степень обледенения пилот мог определить по вибрации расчалок: чем больше льда, тем сильнее они тряслись. Са</w:t>
      </w:r>
      <w:r w:rsidRPr="00142305">
        <w:rPr>
          <w:rFonts w:ascii="Times New Roman" w:hAnsi="Times New Roman"/>
          <w:color w:val="0070C0"/>
          <w:sz w:val="16"/>
          <w:szCs w:val="16"/>
        </w:rPr>
        <w:softHyphen/>
        <w:t>молет становился тяжелым и неуклюжим. От перегрузки перегревался мотор. Обледенение винта приводило к сни</w:t>
      </w:r>
      <w:r w:rsidRPr="00142305">
        <w:rPr>
          <w:rFonts w:ascii="Times New Roman" w:hAnsi="Times New Roman"/>
          <w:color w:val="0070C0"/>
          <w:sz w:val="16"/>
          <w:szCs w:val="16"/>
        </w:rPr>
        <w:softHyphen/>
        <w:t>жению тяги, при срыве льда с лопастей нарушалась балан</w:t>
      </w:r>
      <w:r w:rsidRPr="00142305">
        <w:rPr>
          <w:rFonts w:ascii="Times New Roman" w:hAnsi="Times New Roman"/>
          <w:color w:val="0070C0"/>
          <w:sz w:val="16"/>
          <w:szCs w:val="16"/>
        </w:rPr>
        <w:softHyphen/>
        <w:t>сировка, и возникала страшная тряска. А уж если колеба</w:t>
      </w:r>
      <w:r w:rsidRPr="00142305">
        <w:rPr>
          <w:rFonts w:ascii="Times New Roman" w:hAnsi="Times New Roman"/>
          <w:color w:val="0070C0"/>
          <w:sz w:val="16"/>
          <w:szCs w:val="16"/>
        </w:rPr>
        <w:softHyphen/>
        <w:t>ния доходили до столь высокой частоты, что становились незаметны на глаз — готовься к разрушению бипланной коробки!</w:t>
      </w:r>
    </w:p>
    <w:p w14:paraId="0DC4A53C" w14:textId="77777777" w:rsidR="00DD42F5" w:rsidRPr="00142305" w:rsidRDefault="00DD42F5" w:rsidP="00DD42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Широкое применение П-5 объяснялось вовсе не его вы</w:t>
      </w:r>
      <w:r w:rsidRPr="00142305">
        <w:rPr>
          <w:rFonts w:ascii="Times New Roman" w:hAnsi="Times New Roman"/>
          <w:color w:val="0070C0"/>
          <w:sz w:val="16"/>
          <w:szCs w:val="16"/>
        </w:rPr>
        <w:softHyphen/>
        <w:t>сокой эффективностью. Наоборот, для гражданской авиа</w:t>
      </w:r>
      <w:r w:rsidRPr="00142305">
        <w:rPr>
          <w:rFonts w:ascii="Times New Roman" w:hAnsi="Times New Roman"/>
          <w:color w:val="0070C0"/>
          <w:sz w:val="16"/>
          <w:szCs w:val="16"/>
        </w:rPr>
        <w:softHyphen/>
        <w:t>ции его считали малопригодным. Большой, тяжелый, гру</w:t>
      </w:r>
      <w:r w:rsidRPr="00142305">
        <w:rPr>
          <w:rFonts w:ascii="Times New Roman" w:hAnsi="Times New Roman"/>
          <w:color w:val="0070C0"/>
          <w:sz w:val="16"/>
          <w:szCs w:val="16"/>
        </w:rPr>
        <w:softHyphen/>
        <w:t>за перевозит мало, для размещения пассажиров приспо</w:t>
      </w:r>
      <w:r w:rsidRPr="00142305">
        <w:rPr>
          <w:rFonts w:ascii="Times New Roman" w:hAnsi="Times New Roman"/>
          <w:color w:val="0070C0"/>
          <w:sz w:val="16"/>
          <w:szCs w:val="16"/>
        </w:rPr>
        <w:softHyphen/>
        <w:t>соблен плохо. Еще в I934 г. в докладе ВО ГВФ было запи</w:t>
      </w:r>
      <w:r w:rsidRPr="00142305">
        <w:rPr>
          <w:rFonts w:ascii="Times New Roman" w:hAnsi="Times New Roman"/>
          <w:color w:val="0070C0"/>
          <w:sz w:val="16"/>
          <w:szCs w:val="16"/>
        </w:rPr>
        <w:softHyphen/>
        <w:t>сано: «П-5 очень неэкономичен, почти не приспособлен для гражданской работы». (24990).</w:t>
      </w:r>
    </w:p>
    <w:p w14:paraId="4C03B348" w14:textId="77777777" w:rsidR="00DD42F5" w:rsidRPr="00142305" w:rsidRDefault="00DD42F5" w:rsidP="00DD42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Положение несколько спасала нетребовательность к ка</w:t>
      </w:r>
      <w:r w:rsidRPr="00142305">
        <w:rPr>
          <w:rFonts w:ascii="Times New Roman" w:hAnsi="Times New Roman"/>
          <w:color w:val="0070C0"/>
          <w:sz w:val="16"/>
          <w:szCs w:val="16"/>
        </w:rPr>
        <w:softHyphen/>
        <w:t>честву аэродромов и высокая ремонтопригодность — зачас</w:t>
      </w:r>
      <w:r w:rsidRPr="00142305">
        <w:rPr>
          <w:rFonts w:ascii="Times New Roman" w:hAnsi="Times New Roman"/>
          <w:color w:val="0070C0"/>
          <w:sz w:val="16"/>
          <w:szCs w:val="16"/>
        </w:rPr>
        <w:softHyphen/>
        <w:t>тую починку вели подручными средствами, приспособив вместо сломанной рейки сук из ближайшего леса, примотан</w:t>
      </w:r>
      <w:r w:rsidRPr="00142305">
        <w:rPr>
          <w:rFonts w:ascii="Times New Roman" w:hAnsi="Times New Roman"/>
          <w:color w:val="0070C0"/>
          <w:sz w:val="16"/>
          <w:szCs w:val="16"/>
        </w:rPr>
        <w:softHyphen/>
        <w:t>ный веревками. Неоднократно П-5 пытались снять с эксплу</w:t>
      </w:r>
      <w:r w:rsidRPr="00142305">
        <w:rPr>
          <w:rFonts w:ascii="Times New Roman" w:hAnsi="Times New Roman"/>
          <w:color w:val="0070C0"/>
          <w:sz w:val="16"/>
          <w:szCs w:val="16"/>
        </w:rPr>
        <w:softHyphen/>
        <w:t>атации в «Аэрофлоте». Это планировали сначала на I936 г., потом на 1937 г„ но взамен-то перегруженная заказами во</w:t>
      </w:r>
      <w:r w:rsidRPr="00142305">
        <w:rPr>
          <w:rFonts w:ascii="Times New Roman" w:hAnsi="Times New Roman"/>
          <w:color w:val="0070C0"/>
          <w:sz w:val="16"/>
          <w:szCs w:val="16"/>
        </w:rPr>
        <w:softHyphen/>
        <w:t>енных промышленность ничего не давала. И П-5 продолжа</w:t>
      </w:r>
      <w:r w:rsidRPr="00142305">
        <w:rPr>
          <w:rFonts w:ascii="Times New Roman" w:hAnsi="Times New Roman"/>
          <w:color w:val="0070C0"/>
          <w:sz w:val="16"/>
          <w:szCs w:val="16"/>
        </w:rPr>
        <w:softHyphen/>
        <w:t>ли летать и летать...</w:t>
      </w:r>
    </w:p>
    <w:p w14:paraId="4501ABBF" w14:textId="77777777" w:rsidR="00DD42F5" w:rsidRPr="00142305" w:rsidRDefault="00DD42F5" w:rsidP="00DD42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При этом неоднократно делались попытки приспосо</w:t>
      </w:r>
      <w:r w:rsidRPr="00142305">
        <w:rPr>
          <w:rFonts w:ascii="Times New Roman" w:hAnsi="Times New Roman"/>
          <w:color w:val="0070C0"/>
          <w:sz w:val="16"/>
          <w:szCs w:val="16"/>
        </w:rPr>
        <w:softHyphen/>
        <w:t>бить машину к условиям эксплуатации на авиалиниях (24990).</w:t>
      </w:r>
    </w:p>
    <w:p w14:paraId="6C268903" w14:textId="77777777" w:rsidR="00DD42F5" w:rsidRPr="00142305" w:rsidRDefault="00DD42F5" w:rsidP="00DD42F5">
      <w:pPr>
        <w:spacing w:after="0" w:line="240" w:lineRule="auto"/>
        <w:jc w:val="both"/>
        <w:rPr>
          <w:rFonts w:ascii="Times New Roman" w:hAnsi="Times New Roman"/>
          <w:color w:val="0070C0"/>
          <w:sz w:val="16"/>
          <w:szCs w:val="16"/>
        </w:rPr>
      </w:pPr>
    </w:p>
    <w:p w14:paraId="471EBD5F"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свою программу модернизации АНТ-9 про</w:t>
      </w:r>
      <w:r w:rsidRPr="00142305">
        <w:rPr>
          <w:rFonts w:ascii="Times New Roman" w:hAnsi="Times New Roman"/>
          <w:color w:val="0070C0"/>
          <w:sz w:val="16"/>
          <w:szCs w:val="16"/>
        </w:rPr>
        <w:softHyphen/>
        <w:t>водило советско-германское общество «Дерулюфт», тоже эксплуатировавшее АНТ-9 с моторами «райт». Она осущест</w:t>
      </w:r>
      <w:r w:rsidRPr="00142305">
        <w:rPr>
          <w:rFonts w:ascii="Times New Roman" w:hAnsi="Times New Roman"/>
          <w:color w:val="0070C0"/>
          <w:sz w:val="16"/>
          <w:szCs w:val="16"/>
        </w:rPr>
        <w:softHyphen/>
        <w:t>влялась с 1933 г. линейными мастерски</w:t>
      </w:r>
      <w:r w:rsidRPr="00142305">
        <w:rPr>
          <w:rFonts w:ascii="Times New Roman" w:hAnsi="Times New Roman"/>
          <w:color w:val="0070C0"/>
          <w:sz w:val="16"/>
          <w:szCs w:val="16"/>
        </w:rPr>
        <w:softHyphen/>
        <w:t>ми компании. Ставились задачи облег</w:t>
      </w:r>
      <w:r w:rsidRPr="00142305">
        <w:rPr>
          <w:rFonts w:ascii="Times New Roman" w:hAnsi="Times New Roman"/>
          <w:color w:val="0070C0"/>
          <w:sz w:val="16"/>
          <w:szCs w:val="16"/>
        </w:rPr>
        <w:softHyphen/>
        <w:t>чения планера, улучшения аэродинами</w:t>
      </w:r>
      <w:r w:rsidRPr="00142305">
        <w:rPr>
          <w:rFonts w:ascii="Times New Roman" w:hAnsi="Times New Roman"/>
          <w:color w:val="0070C0"/>
          <w:sz w:val="16"/>
          <w:szCs w:val="16"/>
        </w:rPr>
        <w:softHyphen/>
        <w:t>ки, усовершенствования оборудования, повышения комфорта для пассажиров и удобства обслуживания. Проектиро</w:t>
      </w:r>
      <w:r w:rsidRPr="00142305">
        <w:rPr>
          <w:rFonts w:ascii="Times New Roman" w:hAnsi="Times New Roman"/>
          <w:color w:val="0070C0"/>
          <w:sz w:val="16"/>
          <w:szCs w:val="16"/>
        </w:rPr>
        <w:softHyphen/>
        <w:t>вание вели различные специалисты по договорам. Обтекатели колес, например, проектировал В.Б. Шавров.</w:t>
      </w:r>
    </w:p>
    <w:p w14:paraId="0153C8F2"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Для облегчения деревянные рейки, шед</w:t>
      </w:r>
      <w:r w:rsidRPr="00142305">
        <w:rPr>
          <w:rFonts w:ascii="Times New Roman" w:hAnsi="Times New Roman"/>
          <w:color w:val="0070C0"/>
          <w:sz w:val="16"/>
          <w:szCs w:val="16"/>
        </w:rPr>
        <w:softHyphen/>
        <w:t>шие поверху фюзеляжа снаружи, заменили алюминиевыми. Чтобы облагородить очер</w:t>
      </w:r>
      <w:r w:rsidRPr="00142305">
        <w:rPr>
          <w:rFonts w:ascii="Times New Roman" w:hAnsi="Times New Roman"/>
          <w:color w:val="0070C0"/>
          <w:sz w:val="16"/>
          <w:szCs w:val="16"/>
        </w:rPr>
        <w:softHyphen/>
        <w:t>тания самолета, ввели обтекатели стоек шасси, амортизаторов, зализы стабили</w:t>
      </w:r>
      <w:r w:rsidRPr="00142305">
        <w:rPr>
          <w:rFonts w:ascii="Times New Roman" w:hAnsi="Times New Roman"/>
          <w:color w:val="0070C0"/>
          <w:sz w:val="16"/>
          <w:szCs w:val="16"/>
        </w:rPr>
        <w:softHyphen/>
        <w:t>затора, его подкосов и костыля. Колеса тоже убрали в каплевидные обтекатели. Переднюю кромку крыла обшили гладким алюминиевым листом. На самолете D-308 обтекатель установили и на башмак кос</w:t>
      </w:r>
      <w:r w:rsidRPr="00142305">
        <w:rPr>
          <w:rFonts w:ascii="Times New Roman" w:hAnsi="Times New Roman"/>
          <w:color w:val="0070C0"/>
          <w:sz w:val="16"/>
          <w:szCs w:val="16"/>
        </w:rPr>
        <w:softHyphen/>
        <w:t>тыля. Из-под крыльев убрали посадочные фары, заменив одной фарой, вмонтирован</w:t>
      </w:r>
      <w:r w:rsidRPr="00142305">
        <w:rPr>
          <w:rFonts w:ascii="Times New Roman" w:hAnsi="Times New Roman"/>
          <w:color w:val="0070C0"/>
          <w:sz w:val="16"/>
          <w:szCs w:val="16"/>
        </w:rPr>
        <w:softHyphen/>
        <w:t>ной в носок левого крыла. В крыло запод</w:t>
      </w:r>
      <w:r w:rsidRPr="00142305">
        <w:rPr>
          <w:rFonts w:ascii="Times New Roman" w:hAnsi="Times New Roman"/>
          <w:color w:val="0070C0"/>
          <w:sz w:val="16"/>
          <w:szCs w:val="16"/>
        </w:rPr>
        <w:softHyphen/>
        <w:t>лицо убрали также навигационные огни и ракетодержатели. Два верхних люка - над задней частью пассажирской кабины и над туалетом - зашили. В туалете сделали не</w:t>
      </w:r>
      <w:r w:rsidRPr="00142305">
        <w:rPr>
          <w:rFonts w:ascii="Times New Roman" w:hAnsi="Times New Roman"/>
          <w:color w:val="0070C0"/>
          <w:sz w:val="16"/>
          <w:szCs w:val="16"/>
        </w:rPr>
        <w:softHyphen/>
        <w:t>большой круглый иллюминатор.</w:t>
      </w:r>
    </w:p>
    <w:p w14:paraId="0650A0D1"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Окна в салоне стали нераздвижны</w:t>
      </w:r>
      <w:r w:rsidRPr="00142305">
        <w:rPr>
          <w:rFonts w:ascii="Times New Roman" w:hAnsi="Times New Roman"/>
          <w:color w:val="0070C0"/>
          <w:sz w:val="16"/>
          <w:szCs w:val="16"/>
        </w:rPr>
        <w:softHyphen/>
        <w:t>ми. Кресла заменили на новые, более комфортные, с каркасом из магниевого сплава и кожаной обивкой. Изменили внутреннюю отделку салона.</w:t>
      </w:r>
    </w:p>
    <w:p w14:paraId="5E362E8B"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На приборной доске добавилось прибо</w:t>
      </w:r>
      <w:r w:rsidRPr="00142305">
        <w:rPr>
          <w:rFonts w:ascii="Times New Roman" w:hAnsi="Times New Roman"/>
          <w:color w:val="0070C0"/>
          <w:sz w:val="16"/>
          <w:szCs w:val="16"/>
        </w:rPr>
        <w:softHyphen/>
        <w:t>ров. Переместили краны бензосистемы, жесткие бензиновые и масляные магис</w:t>
      </w:r>
      <w:r w:rsidRPr="00142305">
        <w:rPr>
          <w:rFonts w:ascii="Times New Roman" w:hAnsi="Times New Roman"/>
          <w:color w:val="0070C0"/>
          <w:sz w:val="16"/>
          <w:szCs w:val="16"/>
        </w:rPr>
        <w:softHyphen/>
        <w:t>трали заменили импортными шлангами. Смонтировали новую систему пожароту</w:t>
      </w:r>
      <w:r w:rsidRPr="00142305">
        <w:rPr>
          <w:rFonts w:ascii="Times New Roman" w:hAnsi="Times New Roman"/>
          <w:color w:val="0070C0"/>
          <w:sz w:val="16"/>
          <w:szCs w:val="16"/>
        </w:rPr>
        <w:softHyphen/>
        <w:t>шения: вместо трех отдельных огнетуши</w:t>
      </w:r>
      <w:r w:rsidRPr="00142305">
        <w:rPr>
          <w:rFonts w:ascii="Times New Roman" w:hAnsi="Times New Roman"/>
          <w:color w:val="0070C0"/>
          <w:sz w:val="16"/>
          <w:szCs w:val="16"/>
        </w:rPr>
        <w:softHyphen/>
        <w:t>телей под сиденьем пилота установили один большой с разводками ко всем трем моторам Ввели разъем для запуска стар</w:t>
      </w:r>
      <w:r w:rsidRPr="00142305">
        <w:rPr>
          <w:rFonts w:ascii="Times New Roman" w:hAnsi="Times New Roman"/>
          <w:color w:val="0070C0"/>
          <w:sz w:val="16"/>
          <w:szCs w:val="16"/>
        </w:rPr>
        <w:softHyphen/>
        <w:t>теров двигателей не от бортового аккуму</w:t>
      </w:r>
      <w:r w:rsidRPr="00142305">
        <w:rPr>
          <w:rFonts w:ascii="Times New Roman" w:hAnsi="Times New Roman"/>
          <w:color w:val="0070C0"/>
          <w:sz w:val="16"/>
          <w:szCs w:val="16"/>
        </w:rPr>
        <w:softHyphen/>
        <w:t>лятора, а от наземного источника. У хвос</w:t>
      </w:r>
      <w:r w:rsidRPr="00142305">
        <w:rPr>
          <w:rFonts w:ascii="Times New Roman" w:hAnsi="Times New Roman"/>
          <w:color w:val="0070C0"/>
          <w:sz w:val="16"/>
          <w:szCs w:val="16"/>
        </w:rPr>
        <w:softHyphen/>
        <w:t>та сделали подножку для механиков.</w:t>
      </w:r>
    </w:p>
    <w:p w14:paraId="5FA46DCF"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Улучшение аэродинамики привело к повышению средней рейсовой скорости со 175 км/ч до 200 км/ч (24949).</w:t>
      </w:r>
    </w:p>
    <w:p w14:paraId="42157A96" w14:textId="77777777" w:rsidR="00CF3577" w:rsidRPr="00142305" w:rsidRDefault="00CF3577" w:rsidP="00CF3577">
      <w:pPr>
        <w:spacing w:after="0" w:line="240" w:lineRule="auto"/>
        <w:jc w:val="both"/>
        <w:rPr>
          <w:rFonts w:ascii="Times New Roman" w:hAnsi="Times New Roman"/>
          <w:color w:val="0070C0"/>
          <w:sz w:val="16"/>
          <w:szCs w:val="16"/>
        </w:rPr>
      </w:pPr>
    </w:p>
    <w:p w14:paraId="4D0CA4E8"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был разработан санитарный вариант Ш-2. Машина могла перевозить пилота, одного больного на носилках и медика-сопровождающего. От серийной она отличалась съёмной остеклённой «крышкой лимузина» вместо обычного гаргрота, под которой имелся отсек раз</w:t>
      </w:r>
      <w:r w:rsidRPr="00142305">
        <w:rPr>
          <w:rFonts w:ascii="Times New Roman" w:hAnsi="Times New Roman"/>
          <w:color w:val="0070C0"/>
          <w:sz w:val="16"/>
          <w:szCs w:val="16"/>
        </w:rPr>
        <w:softHyphen/>
        <w:t>мерами 1900 х 1000 х 750 мм. Стандарт</w:t>
      </w:r>
      <w:r w:rsidRPr="00142305">
        <w:rPr>
          <w:rFonts w:ascii="Times New Roman" w:hAnsi="Times New Roman"/>
          <w:color w:val="0070C0"/>
          <w:sz w:val="16"/>
          <w:szCs w:val="16"/>
        </w:rPr>
        <w:softHyphen/>
        <w:t>ные носилки армейского образца туда не входили, поэтому применили уменьшен</w:t>
      </w:r>
      <w:r w:rsidRPr="00142305">
        <w:rPr>
          <w:rFonts w:ascii="Times New Roman" w:hAnsi="Times New Roman"/>
          <w:color w:val="0070C0"/>
          <w:sz w:val="16"/>
          <w:szCs w:val="16"/>
        </w:rPr>
        <w:softHyphen/>
        <w:t>ные и облегчённые. Чтобы разместить больного, крышку требовалось полно</w:t>
      </w:r>
      <w:r w:rsidRPr="00142305">
        <w:rPr>
          <w:rFonts w:ascii="Times New Roman" w:hAnsi="Times New Roman"/>
          <w:color w:val="0070C0"/>
          <w:sz w:val="16"/>
          <w:szCs w:val="16"/>
        </w:rPr>
        <w:softHyphen/>
        <w:t>стью снять (она крепилась болтами). Тог</w:t>
      </w:r>
      <w:r w:rsidRPr="00142305">
        <w:rPr>
          <w:rFonts w:ascii="Times New Roman" w:hAnsi="Times New Roman"/>
          <w:color w:val="0070C0"/>
          <w:sz w:val="16"/>
          <w:szCs w:val="16"/>
        </w:rPr>
        <w:softHyphen/>
        <w:t>да трое санитаров могли при содействии пилота задвинуть носилки с человеком на место.</w:t>
      </w:r>
    </w:p>
    <w:p w14:paraId="791F3F01"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Санитарный Ш-2 был на 17 кг тяжелее обычного, хотя объём заднего бензобака уменьшили на 20 л. Общий запас горюче</w:t>
      </w:r>
      <w:r w:rsidRPr="00142305">
        <w:rPr>
          <w:rFonts w:ascii="Times New Roman" w:hAnsi="Times New Roman"/>
          <w:color w:val="0070C0"/>
          <w:sz w:val="16"/>
          <w:szCs w:val="16"/>
        </w:rPr>
        <w:softHyphen/>
        <w:t>го составлял 210 кг, этого хватало на 9 ч полёта. Центровка стала немного более задней.</w:t>
      </w:r>
    </w:p>
    <w:p w14:paraId="3EC10AB1"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Сопровождающий мог наблюдать за больным через зеркало и разговаривать с ним через переговорную трубку. Ото</w:t>
      </w:r>
      <w:r w:rsidRPr="00142305">
        <w:rPr>
          <w:rFonts w:ascii="Times New Roman" w:hAnsi="Times New Roman"/>
          <w:color w:val="0070C0"/>
          <w:sz w:val="16"/>
          <w:szCs w:val="16"/>
        </w:rPr>
        <w:softHyphen/>
        <w:t>двинув окно в перегородке, он мог левой рукой пощупать пульс или напоить боль</w:t>
      </w:r>
      <w:r w:rsidRPr="00142305">
        <w:rPr>
          <w:rFonts w:ascii="Times New Roman" w:hAnsi="Times New Roman"/>
          <w:color w:val="0070C0"/>
          <w:sz w:val="16"/>
          <w:szCs w:val="16"/>
        </w:rPr>
        <w:softHyphen/>
        <w:t>ного с помощью питьевой трубки.</w:t>
      </w:r>
    </w:p>
    <w:p w14:paraId="0EC3EF90"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Опытный образец санитарного Ш-2 успешно прошёл испытания, и в том же 1933 г. на заводе № 31 построили серию из 14 таких машин. В 1940 г. изготовили санитарный вариант описанного далее самолёта ленинградского производства. Он тоже был рассчитан на специальные облегчённые, а не стандартные носилки. На ленинградских машинах задний бен</w:t>
      </w:r>
      <w:r w:rsidRPr="00142305">
        <w:rPr>
          <w:rFonts w:ascii="Times New Roman" w:hAnsi="Times New Roman"/>
          <w:color w:val="0070C0"/>
          <w:sz w:val="16"/>
          <w:szCs w:val="16"/>
        </w:rPr>
        <w:softHyphen/>
        <w:t>зобак заменили двумя меньшего объёма, ввели остеклённый фонарь, прикрывший и пилотскую кабину, и санитарный отсек. В последнем сделали пол и предохрани</w:t>
      </w:r>
      <w:r w:rsidRPr="00142305">
        <w:rPr>
          <w:rFonts w:ascii="Times New Roman" w:hAnsi="Times New Roman"/>
          <w:color w:val="0070C0"/>
          <w:sz w:val="16"/>
          <w:szCs w:val="16"/>
        </w:rPr>
        <w:softHyphen/>
        <w:t>тельные щитки по бортам. Подобные ма</w:t>
      </w:r>
      <w:r w:rsidRPr="00142305">
        <w:rPr>
          <w:rFonts w:ascii="Times New Roman" w:hAnsi="Times New Roman"/>
          <w:color w:val="0070C0"/>
          <w:sz w:val="16"/>
          <w:szCs w:val="16"/>
        </w:rPr>
        <w:softHyphen/>
        <w:t>шины позже строили в Иркутске. Пилот</w:t>
      </w:r>
      <w:r w:rsidRPr="00142305">
        <w:rPr>
          <w:rFonts w:ascii="Times New Roman" w:hAnsi="Times New Roman"/>
          <w:color w:val="0070C0"/>
          <w:sz w:val="16"/>
          <w:szCs w:val="16"/>
        </w:rPr>
        <w:softHyphen/>
        <w:t>ская кабина у них опять стала открытой, а прозрачную крышку с дюралюминиевым каркасом над санитарным отсеком заме</w:t>
      </w:r>
      <w:r w:rsidRPr="00142305">
        <w:rPr>
          <w:rFonts w:ascii="Times New Roman" w:hAnsi="Times New Roman"/>
          <w:color w:val="0070C0"/>
          <w:sz w:val="16"/>
          <w:szCs w:val="16"/>
        </w:rPr>
        <w:softHyphen/>
        <w:t>нили деревянной, обшитой фанерой (24952(.</w:t>
      </w:r>
    </w:p>
    <w:p w14:paraId="0DCA10D3" w14:textId="77777777" w:rsidR="00CF3577" w:rsidRPr="00142305" w:rsidRDefault="00CF3577" w:rsidP="00CF3577">
      <w:pPr>
        <w:spacing w:after="0" w:line="240" w:lineRule="auto"/>
        <w:jc w:val="both"/>
        <w:rPr>
          <w:rFonts w:ascii="Times New Roman" w:hAnsi="Times New Roman"/>
          <w:color w:val="0070C0"/>
          <w:sz w:val="16"/>
          <w:szCs w:val="16"/>
        </w:rPr>
      </w:pPr>
    </w:p>
    <w:p w14:paraId="4D1B1DF9" w14:textId="77777777" w:rsidR="00742DA3" w:rsidRPr="0044524F" w:rsidRDefault="00742DA3"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w:t>
      </w:r>
    </w:p>
    <w:p w14:paraId="2459C402"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Заместителю председателя ЦС ОСОАВИАХИМА тов. Малиновскому</w:t>
      </w:r>
    </w:p>
    <w:p w14:paraId="22C13F72"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преддверии работы конструкторского бюро №8 ГИРД выявился особо секретный характер его функции и переход его исключительно на выполнение заданий НКВД. Исходя из этого дальнейшее сохранение действенности и подчинеия КБ Осоавиахиму и УВИ является нецелесообразным и может вызвать усложнение его работы.</w:t>
      </w:r>
    </w:p>
    <w:p w14:paraId="6AABAD29"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Прошу Ваши указания об окончательной передаче конструкторского Бюро в ведение УВИ Начальника Вооружения РККА</w:t>
      </w:r>
    </w:p>
    <w:p w14:paraId="571EF94D"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УВИ НВ РККА Новиков</w:t>
      </w:r>
    </w:p>
    <w:p w14:paraId="5A4EDF08"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П Отдела УВИ НВ РККА Терентьев</w:t>
      </w:r>
    </w:p>
    <w:p w14:paraId="1ECF0A81"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(рукописно сверху совсем не разобрать)</w:t>
      </w:r>
    </w:p>
    <w:p w14:paraId="07D2AD1D"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ГИРД Королев просит о переводе средств на работу по Снаряду-Ракете в Лен-ГИРД</w:t>
      </w:r>
    </w:p>
    <w:p w14:paraId="3847F87E"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(ГАРФ, Опись 1, Дело № 374: Общество содействия обороне, авиационному и химическому строительству СССР (ОСОАВИАХИМ), Л.19) (15249).</w:t>
      </w:r>
    </w:p>
    <w:p w14:paraId="3C14D423" w14:textId="77777777" w:rsidR="00742DA3" w:rsidRPr="0044524F" w:rsidRDefault="00742DA3" w:rsidP="009654CF">
      <w:pPr>
        <w:spacing w:after="0" w:line="240" w:lineRule="auto"/>
        <w:jc w:val="both"/>
        <w:rPr>
          <w:rFonts w:ascii="Times New Roman" w:hAnsi="Times New Roman"/>
          <w:color w:val="000000" w:themeColor="text1"/>
          <w:sz w:val="16"/>
          <w:szCs w:val="16"/>
        </w:rPr>
      </w:pPr>
    </w:p>
    <w:p w14:paraId="061B1EC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фабрика ткацко-шерстяных изделий, организованная 8.09.1864 г. в районе села Солнечная Гора Клинского уезда купцом П.С. Мешковым в двухэтажном здании бывших солдатских казарм, в 1911 г. переданная владельцем фабрики Прохоровым за неуплату долга барону Кноппу и получившая название «Волокно», получила наименование Парашютная фабрика № 2, с 1936 г. - в системе НКЛП. 8.04.1939 г. фабрике присвоено имя М.М. Громова. Производство грузовых парашютов по чертежам завода № 1 НКЛП. По приказу № 30с/750с от 18.12.1940 г. фабрика передана из НКЛП в систему НКАП. По приказу № 9с от 8.01.1941 г. заводу присвоено название ГС завод № 469 НКАП им. М.М. Громова в подчинении 2ГУ, и начата организация производства радиаторов. Перед войной при заводе был аэродром, на котором базировалась ЛИС завода № 34 НКАП. С начала 1941 г. на заводе началось производство корпусов аэронавигационных бомб АНАБ-1 для НКВМФ.</w:t>
      </w:r>
    </w:p>
    <w:p w14:paraId="59798160" w14:textId="6F56AF18"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1072сс от 15.10.1941 г. завод № 469 2ГУ НКАП эвакуирован в</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Горький на площадку строящегося завода № 285 НКАП. В результате объединения двух заводов образован новый радиаторный завод № 469 НКАП.</w:t>
      </w:r>
    </w:p>
    <w:p w14:paraId="256537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годы войны- производство авиационных масло- и водорадиаторов, в соответствии с пост. ГКО № 2177 от 16.08.1942 г. начато производство водяных радиаторов для танков Т-70.</w:t>
      </w:r>
    </w:p>
    <w:p w14:paraId="36FF207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112с от 11.02.1942 г. на площадке эвакуированного завода в Солнечногорске образован филиал завода № 469 по ремонту радиаторов. Начальник филиала- С.И. Михайлов. По приказу № 464с от 24.06.1942 г. филиал преобразован в самостоятельный радиаторный завод № 459 при 2ГУ НКАП (в н. вр,- ОАО СМЗ).</w:t>
      </w:r>
    </w:p>
    <w:p w14:paraId="748CFDB2" w14:textId="62D0257B"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приказу № 1196с от 30.12.1941 г. при технической помощи заводов № 34 и № 21 при СКО завода № 469 организовано ОКБ для создания новых образцов радиаторов. И.О. гл. конструктора назначен начальник СКО</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Г.А. Мосолов. Из-за затянувшейся реализации приказа и ввиду достаточности опытных работ по данной тематике в ОКБ завода № 124 и на заводе № 459, по приказу № 600с от 7.08.1942 г. организация ОКБ была отменена. СКО оставлен.</w:t>
      </w:r>
    </w:p>
    <w:p w14:paraId="5FED83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1942 г. часть оборудования и кадров возвращена на вновь образованный завод № 459 НКАП.</w:t>
      </w:r>
    </w:p>
    <w:p w14:paraId="35E0B6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СМ СССР № 713-342 от 26.06.1957 г. передан в ведение СНХ РСФСР.</w:t>
      </w:r>
    </w:p>
    <w:p w14:paraId="08CF9AC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Для работ по внедрению в серию теплообменной техники в 12.1960 г. при заводе образован филиал завода № 124. Филиал подчинялся заводу № 124 до 1973 г., далее был передан другому предприятию.</w:t>
      </w:r>
    </w:p>
    <w:p w14:paraId="1F7077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Позже при заводе № 469 образован филиал завода № 918 для освоения производства гермошлемов. Начальник филиала- Ю.И. Менделенко.</w:t>
      </w:r>
    </w:p>
    <w:p w14:paraId="38AB8C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решению правительства № 22-р от 9.01.2004 г. и Указу Президента РФ № 1009 от 4.08.2004 г. вошло в число стратегических оборонных предприятий.</w:t>
      </w:r>
    </w:p>
    <w:p w14:paraId="283139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1965 г. выпускался топливо-воздушный радиатор для КР П-6.</w:t>
      </w:r>
    </w:p>
    <w:p w14:paraId="036EA5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Производство (1996 г.): регуляторы расхода, давления, газовой среды; запорно-регулирующие устройства; турбохолодильные агрегаты; клапаны выпускные, редукционные, обратные, предохранительные; воздухо- воздушные и масляные радиаторы; глушители шума; арматура азотно-кислородная; азотно-топливные </w:t>
      </w:r>
      <w:r w:rsidRPr="0044524F">
        <w:rPr>
          <w:rFonts w:ascii="Times New Roman" w:hAnsi="Times New Roman"/>
          <w:color w:val="000000" w:themeColor="text1"/>
          <w:sz w:val="16"/>
          <w:szCs w:val="16"/>
        </w:rPr>
        <w:lastRenderedPageBreak/>
        <w:t xml:space="preserve">теплообменники; аппаратура управления агрегатами; защитные авиационные шлемы (ЗШ-7А), гермошлемы. Поставщик агрегатов системы кондиционирования, ПОС для создаваемого регионального самолета </w:t>
      </w:r>
      <w:r w:rsidRPr="0044524F">
        <w:rPr>
          <w:rFonts w:ascii="Times New Roman" w:hAnsi="Times New Roman"/>
          <w:color w:val="000000" w:themeColor="text1"/>
          <w:sz w:val="16"/>
          <w:szCs w:val="16"/>
          <w:lang w:val="en-US"/>
        </w:rPr>
        <w:t>RRJ</w:t>
      </w:r>
      <w:r w:rsidRPr="0044524F">
        <w:rPr>
          <w:rFonts w:ascii="Times New Roman" w:hAnsi="Times New Roman"/>
          <w:color w:val="000000" w:themeColor="text1"/>
          <w:sz w:val="16"/>
          <w:szCs w:val="16"/>
        </w:rPr>
        <w:t xml:space="preserve"> (2003 г.).</w:t>
      </w:r>
    </w:p>
    <w:p w14:paraId="46CBD64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Разработка и производство (2005 г.): системы: кондиционирования, регулирования давления в кабине, наддува топливных баков НГ, жидкостного охлаждения бортовой аппаратуры, охлаждения масла двигателей, ПОС; теплообменники, турбохолодильники.</w:t>
      </w:r>
    </w:p>
    <w:p w14:paraId="14E934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(1.01.2001 г.)- 2620 чел.</w:t>
      </w:r>
    </w:p>
    <w:p w14:paraId="51833A8C" w14:textId="793EF511"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(12.1940-11.1944 г.-)- В.Н. Смирнов, (1960-е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Васильев. Гендиректор (1986-2006 г.-)- В.В. Тятинькин.</w:t>
      </w:r>
    </w:p>
    <w:p w14:paraId="326A0066" w14:textId="37F24750"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гендиректора: по экономике (2005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Г.М. Воронина; по маркетингу (2005 г.)- И.Ю. Батраков.</w:t>
      </w:r>
    </w:p>
    <w:p w14:paraId="279E26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(10.1941 г.)- В.В. Сычев.</w:t>
      </w:r>
    </w:p>
    <w:p w14:paraId="7931B6E9" w14:textId="6592C420"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(12.1941-05.1942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Г.А. Мосолов, (2003 г.-)- В.В. Тятинькин. Ген. конструктор (-2005-06 г.-)- В.В. Тятинькин {14.12.1945-} (11982).</w:t>
      </w:r>
    </w:p>
    <w:p w14:paraId="03430AA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DFC3B7A" w14:textId="168E9EFF"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[10, л 1-2] в НИИ ВВС РККА и на кафедре ВВС Военно-морской академии (ВМА) [11,</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 л 1-6] в 1934 г. рассматривались проекты дирижаблей полужесткой конструкции 18500 м3 и 50000 м3 на предмет их использования преимущественно в авиации военно-морских сил. Начальник кафедры ВВС ВМА С.Э. Столярский в докладе от 7 января 1934 г., направленном начальнику ВВС РККА Алкснису, начальнику Вооружений РККА Тухачевскому, заместителю начальника Морских сил РККА Лудри, начальнику ГВФ Уншлихту по вопросу проектирования и постройки дирижабля системы инженера Нобиле объёмом в 50000 м3, высказался против строительства подобных полужестких дирижаблей увеличенных кубатур, полагая, что подобные модели не смогут найти себе должного применения, будучи «регрессом». По мнению Столярского, сотрудничество Дирижаблестроя исключительно</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 итальянскими инженерами под руководством Нобиле, обладавшими опытом только в постройке полужестких дирижаблей средних кубатур, могло завести советское дирижаблестроение в тупик, в то время как наиболее перспективным являлось строительство кораблей больших кубатур жесткой конструкции. «Наш путь – жесткие дирижабли» − утверждал докладчик и ввиду улучшения отношений между</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СССР и США предлагал обратиться к опыту американских специалистов в области дирижаблестроения, заключив с ними соглашение о сотрудничестве [11, л 1-6]. В 1933 г. были проведены испытания дирижаблей В-1 и В-2 совместно с силами Черноморского и Балтийского флотов, полезные свойства дирижаблей получили положительный отзыв командующего Морскими силами Балтийского моря Л.М.Галлера [9, л.41]. В 1934 г. начальником кафедры ВВС ВМА С.Э.Столярским были разработаны «Тактико-технические требования к морским дирижаблям I, II 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III классов для действий в отдалённых районах Чёрного моря» [12, л.2; 12; 21]. Изучение вопросов, связанных с военным использованием дирижаблей, продолжилось</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 в последующие годы. Деятельность Дирижаблестроя за 1933-34 гг. после проверки Комиссией советского контроля при СНК СССР получила крайне негативную оценку председателя Комиссии Н.Антипова (15797).</w:t>
      </w:r>
    </w:p>
    <w:p w14:paraId="10828181" w14:textId="77777777" w:rsidR="00F5172A" w:rsidRPr="0044524F" w:rsidRDefault="00F5172A" w:rsidP="009654CF">
      <w:pPr>
        <w:spacing w:after="0" w:line="240" w:lineRule="auto"/>
        <w:jc w:val="both"/>
        <w:rPr>
          <w:rFonts w:ascii="Times New Roman" w:hAnsi="Times New Roman"/>
          <w:color w:val="000000" w:themeColor="text1"/>
          <w:sz w:val="16"/>
          <w:szCs w:val="16"/>
        </w:rPr>
      </w:pPr>
    </w:p>
    <w:p w14:paraId="79AEF598" w14:textId="0163931A"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были проведены испытания дирижаблей В-1 и В-2 совместно с силами Черноморского и Балтийского флотов, полезные свойства дирижаблей получили положительный отзыв командующего Морскими силами Балтийского моря Л.М.Галлера [9, л.41]. В 1934 г. начальником кафедры ВВС ВМА С.Э.Столярским были разработаны «Тактико-технические требования к морским дирижаблям I, II и</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III классов для действий в отдалённых районах Чёрного моря» [12, л.2; 12; 21]. Изучение вопросов, связанных с военным использованием дирижаблей, продолжилось</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 в последующие годы. Деятельность Дирижаблестроя за 1933-34 гг. после проверки Комиссией советского контроля при СНК СССР получила крайне негативную оценку председателя Комиссии Н.Антипова (15797).</w:t>
      </w:r>
    </w:p>
    <w:p w14:paraId="4810D037" w14:textId="77777777" w:rsidR="00F5172A" w:rsidRPr="0044524F" w:rsidRDefault="00F5172A" w:rsidP="009654CF">
      <w:pPr>
        <w:spacing w:after="0" w:line="240" w:lineRule="auto"/>
        <w:jc w:val="both"/>
        <w:rPr>
          <w:rFonts w:ascii="Times New Roman" w:hAnsi="Times New Roman"/>
          <w:color w:val="000000" w:themeColor="text1"/>
          <w:sz w:val="16"/>
          <w:szCs w:val="16"/>
        </w:rPr>
      </w:pPr>
    </w:p>
    <w:p w14:paraId="48109B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сани АНТ-IV выпускались в Ленинграде на заводе им. Марти (61,30).</w:t>
      </w:r>
    </w:p>
    <w:p w14:paraId="402B8A2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25D8D78" w14:textId="77777777" w:rsidR="003353B3" w:rsidRPr="0044524F" w:rsidRDefault="003353B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П. Гроховский для изготовления парашютов применил самый дешевый материал – упаковочную марлю (10 коп. за метр). Госкомиссия НИИ, проверив парашюты 8 и 12 м в диаметре, приняла их на снабжение. В плане на 1934 год ставилась задача изготовить марлевые грузовые парашюты в 30, 40 и 62 м в диаметре, что позволяло осуществить массовый парашютный десант (21402).</w:t>
      </w:r>
    </w:p>
    <w:p w14:paraId="6A091998" w14:textId="77777777" w:rsidR="003353B3" w:rsidRPr="0044524F" w:rsidRDefault="003353B3" w:rsidP="009654CF">
      <w:pPr>
        <w:spacing w:after="0" w:line="240" w:lineRule="auto"/>
        <w:jc w:val="both"/>
        <w:rPr>
          <w:rFonts w:ascii="Times New Roman" w:hAnsi="Times New Roman"/>
          <w:color w:val="000000" w:themeColor="text1"/>
          <w:sz w:val="16"/>
          <w:szCs w:val="16"/>
        </w:rPr>
      </w:pPr>
    </w:p>
    <w:p w14:paraId="616084B0"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4ECF3173"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DA8D6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принято решение о строительстве химкомбината (Комбинат № 100 НКТП, НКОП, НКБ /г. Алексин Московской обл. п/я 1 «Комбинат» (1943 г.)/). Строительство начато в 1935 г., но шло медленно. В соответствии с пост. СНК № 2139-425сс от 21.12.1936 г. и пр. НКОП № 05с от 29.12.1936 г. строительство комбината № 100 передано из Порохового треста Главазота НКТП в ведение ГУ военно-химической промышленности НКОП, в 04.1937 г. - в ведении 6ГУ. В соответствии с пост. СНК№ 1960-390сс от 5.11.1936 г. и пр. № 068 от 2.04.1937 г. завод переведен в группу особо режимных предприятий. По пр. № 0089 от 20.04.1937 г. передан из 6ГУ в новое 11ГУ (и на 12.1938 г.).</w:t>
      </w:r>
    </w:p>
    <w:p w14:paraId="513EAD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составе комбината (04.1937 г.) - Петровский механический завод. По пр. 11ГУ НКОП № 193 от 7.07.1938 г. Петровский мехзавод вновь был передан комбинату № 100, но приказом НКОП № 293 от 29.07.1938 г. этот приказ был отменен как незаконный.</w:t>
      </w:r>
    </w:p>
    <w:p w14:paraId="6C9CF2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04.1939 г. решением правительства окончательно определено направление производства комбината, начальником строительства назначен Н.Е. Стрельцов. В 1941 г. первая очередь комбината введена в эксплуатацию, в 05.1941 г. получена первая продукция, в том же месяце введен в строй цех № 3. Производство порохов. Мощность производства пироксилиногвого пороха перед эвакуацией - 15 тыс. т в год.</w:t>
      </w:r>
    </w:p>
    <w:p w14:paraId="5C12B7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10.10.1941 г. комбинат № 100 ЗГУ НКБ эвакуирован на восток: производство пироксилинового пороха - на завод № 40 и на комбинат № 392 (116 чел.); часть оборудования (218 чел.) - на завод № 580; турбина ТЭЦ комбината (112 чел.) - на завод № 98; 136 чел. эвакуировано на завод № 576; всего вывезено 387 вагонов оборудования. После эвакуации часть оставшегося оборудования (цеха № 7) и зданий (эфирные колонны, телефонная станция) были взорваны.</w:t>
      </w:r>
    </w:p>
    <w:p w14:paraId="55291C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17.12.1941 г., после освобождения Алексина от фашистов, в соответствии с пост. ГКО № 1091с от 3.01.1942 г. начато возвращение оборудования на комбинат, а в 02-05.1942 г. начат монтаж оборудования на старом месте, частично возвращены работники, и комбинат восстановлен. В 1943 г. шло восстановление порохового, эфирного и кислотного производства. В составе завода (1943 г.): основные производства: № 2, 3, 5; вспомогательные: ремонтно-механический завод (цехи: № 1, котельный, кузница, ДОЦ, ремонтный, токарный, литейный, парокотельный); ЦЗЛ. Строились в 1943 г.: производство № 4.</w:t>
      </w:r>
    </w:p>
    <w:p w14:paraId="253A58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12.1942-04.1943 г. - в ведении ЗГУ НКБ, в 08.1943-09.1944 г. - в ведении 9ГУ.</w:t>
      </w:r>
    </w:p>
    <w:p w14:paraId="4A5DF37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(1943 г.): производственная- 16542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вспомогательная- 14430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прочая- 15114м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115298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(1940 г.)- 99 чел. (рабочих), (10.1941 г.)- 1536 чел., (12.1942 г.)- 2479 чел.</w:t>
      </w:r>
    </w:p>
    <w:p w14:paraId="28C029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(1930-е)- А.П. Севостьянов, (1941 г.)- Н.Е. Стрельцов, (-04-11.1943 г.-)- Готовкин. Начальник (01.1944 г.)- пп Готовкин.</w:t>
      </w:r>
    </w:p>
    <w:p w14:paraId="6EF8DF6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строительства (-12.1936-5.04.1937 г.)- А.Т. Севастьянов; и.о. (5.04.1937 г.-)- В.И. Киселев; (8.05- 15.12.1937 г.)- И. Г. Гранкин, (15.12.1937 г.-)- П.С. Калягин.</w:t>
      </w:r>
    </w:p>
    <w:p w14:paraId="5C9FE29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(1941 г.)- А. Г. Каллистов.</w:t>
      </w:r>
      <w:r w:rsidRPr="0044524F">
        <w:rPr>
          <w:rFonts w:ascii="Times New Roman" w:hAnsi="Times New Roman"/>
          <w:color w:val="000000" w:themeColor="text1"/>
          <w:sz w:val="16"/>
          <w:szCs w:val="16"/>
          <w:vertAlign w:val="superscript"/>
        </w:rPr>
        <w:t>55</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vertAlign w:val="superscript"/>
        </w:rPr>
        <w:t>56</w:t>
      </w:r>
    </w:p>
    <w:p w14:paraId="7CC38E4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энергетик (1938 г.)- Кучеров.</w:t>
      </w:r>
    </w:p>
    <w:p w14:paraId="7536C73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производственно-технического (04.1943-01,1944 г.-)- к Калабухов; 1-го (07.1943 г.)- Мельникова.</w:t>
      </w:r>
    </w:p>
    <w:p w14:paraId="518629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Производство:</w:t>
      </w:r>
      <w:r w:rsidRPr="0044524F">
        <w:rPr>
          <w:rFonts w:ascii="Times New Roman" w:hAnsi="Times New Roman"/>
          <w:color w:val="000000" w:themeColor="text1"/>
          <w:sz w:val="16"/>
          <w:szCs w:val="16"/>
        </w:rPr>
        <w:t xml:space="preserve"> коллоксилин (1943).</w:t>
      </w:r>
    </w:p>
    <w:p w14:paraId="22F40D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Петровский механический завод НКОП Приказом НКОП № 107 от 21.03.1937 г. утвержден Устав ГС Петровского механического завода.</w:t>
      </w:r>
    </w:p>
    <w:p w14:paraId="07A603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11ГУ НКОП № 193 от 7.07.1938 г. завод был передан комбинату № 100, директор завода снят. Приказом НКОП № 293 от 29.07.1938 г. этот приказ был отменен как незаконный.</w:t>
      </w:r>
    </w:p>
    <w:p w14:paraId="06E77D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(07.1938 г.)- Бреев (11982).</w:t>
      </w:r>
    </w:p>
    <w:p w14:paraId="79BFE0EB" w14:textId="77777777" w:rsidR="00742DA3" w:rsidRPr="0044524F" w:rsidRDefault="00742DA3" w:rsidP="009654CF">
      <w:pPr>
        <w:autoSpaceDE w:val="0"/>
        <w:autoSpaceDN w:val="0"/>
        <w:adjustRightInd w:val="0"/>
        <w:spacing w:after="0" w:line="240" w:lineRule="auto"/>
        <w:jc w:val="both"/>
        <w:rPr>
          <w:rFonts w:ascii="Times New Roman" w:hAnsi="Times New Roman"/>
          <w:color w:val="000000" w:themeColor="text1"/>
          <w:sz w:val="16"/>
          <w:szCs w:val="16"/>
        </w:rPr>
      </w:pPr>
    </w:p>
    <w:p w14:paraId="51249C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в Свердловске был создан Завод «Облдормаш». Перед войной выпускал снегоочистители, грейдеры, гудронаторы.</w:t>
      </w:r>
    </w:p>
    <w:p w14:paraId="049B2B5C" w14:textId="308ADABE"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1941 г. после начала войны на площадку завода эвакуированы Смоленский завод «Дормаш» и Воронежский завод им. Коминтерна (затем восстановлен в Воронеже как завод № 723). На базе трех заводов в начале 1942 г. образован единый Минометный завод НКМВ. В 06.1942 г. завод № 760 - в ведении Главстройдревмаша НКМВ, приказом НКМВ № 250с от 7.07.1942 г. завод № 760 передан в ведение ЗГУ (Завод № 760 НКМВ, Областной завод дорожного машиностроения («Облдормаш», «Дормашзавод»), Минометный завод НКМВ, Уральский компрессорный завод (УКЗ) ММиП, ОАО «УКЗ» /г. Свердловск, 7 «Уралкомпрессор» (1948 г.)/ /620007</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Екатеринбург ул. Эстонская, 6/).</w:t>
      </w:r>
      <w:r w:rsidRPr="0044524F">
        <w:rPr>
          <w:rFonts w:ascii="Times New Roman" w:hAnsi="Times New Roman"/>
          <w:color w:val="000000" w:themeColor="text1"/>
          <w:sz w:val="16"/>
          <w:szCs w:val="16"/>
          <w:vertAlign w:val="superscript"/>
        </w:rPr>
        <w:t>129</w:t>
      </w:r>
    </w:p>
    <w:p w14:paraId="4FDB16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Налажен выпуск реактивных минометов «Катюша». Приказом НКМВ № 201сс от 7.06.1942 г. заводу поручено организовать производство ХАБ-100 с выпуском в 06.1942 г. 1000 шт; приказом НКМВ № 232с от 1.07.1942 г. заводу поручено организовать выпуск электродов для производства химбоеприпасов. Пост. ГКО № 1962сс от 4.07.1942 г. и приказом НКМВ № 237сс от 7.07.1942 г. заводу установлен план выпуска на 3-й квартал 1942 г. 82- мм минометов- 2900 шт.</w:t>
      </w:r>
    </w:p>
    <w:p w14:paraId="2303C1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1944 г. наряду с выпуском минометов начато освоение производства аэродромных компрессорных станций для заправки боевых самолетов сжатым воздухом. В 1945 г. начат их серийный выпуск, и завод стал специализироваться на данной продукции.</w:t>
      </w:r>
    </w:p>
    <w:p w14:paraId="6215B80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02.1946 г. пост. СНК завод переименован в Уральский компрессорный, в 1947-53 г. завод - в ведении Главхиммаша ММиП.</w:t>
      </w:r>
    </w:p>
    <w:p w14:paraId="7640D9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составе завода (1947 г.) цехи: основные: механо-сборочный № 1, механический № 2, котельно-прессовый № 3, литейный № 5; вспомогательные: инструментальный № 4, ремонтно-механический № 6, электроцех № 8, ремонтно-строительный № 9, транспортный № 10. Кроме того, (1953 г.): основные: сборочный № 7, механический №13, деревообрабатывающий № 9, термический № 22.</w:t>
      </w:r>
    </w:p>
    <w:p w14:paraId="30D59303" w14:textId="5F31BC8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До 1956 г. выпускались передвижные авиационные компрессорные станции сжатого воздуха, кислорода, углекислого газа. Затем проведено техническое перевооружение производства, построены новые цехи. Освоен выпуск компрессоров для энергетики, химической и нефтегазовой промышленности. В 1956 г. выпущены первые компрессоры для воздушных высоковольтных выключателей в составе распределительных устройств электростанций. К 1970-м</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их построено около 3000.</w:t>
      </w:r>
    </w:p>
    <w:p w14:paraId="0C75A88B" w14:textId="1B4DF565"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начала 1990-х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освоено производство компрессорных станций и азотных компрессорных комплексов для нефтяных скважин, газонаполнительных станций.</w:t>
      </w:r>
    </w:p>
    <w:p w14:paraId="18CF96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1993 г. предприятие было акционировано и преобразовано в АО. Продолжен выпуск компрессоров для авиационной и РКТ. С 2004 г. на базе УКЗ налажен выпуск криогенного оборудования под маркой «Уралкриотехника».</w:t>
      </w:r>
    </w:p>
    <w:p w14:paraId="6ED8A9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Количество оборудования: (1939 г.)- 81 ед., (1946 г.)- 460 ед., (1947 г.)- 464 ед., (1953 г.)- 449 ед.</w:t>
      </w:r>
    </w:p>
    <w:p w14:paraId="08E610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территории (1947 г.)- 7,9 га, (1953 г.)- 15,29 га; застройки (1947 г.)- 11436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(1953 г.)- 41888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производственная (1939 г.)- 2692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(1946 г.)- 10639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(1947 г.)- 11206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(1953 г.)- 14646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7D1115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(1939 г.)- 423 чел., (1946 г.)- 969 чел., (1947 г.)- 937 чел., (1953 г.)- 1495 чел.</w:t>
      </w:r>
    </w:p>
    <w:p w14:paraId="1382969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(06.1942 г.)- Салтанов, (1948 г.)- Суворов.</w:t>
      </w:r>
    </w:p>
    <w:p w14:paraId="13D6E3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(1948 г.)- Ахмечет.</w:t>
      </w:r>
    </w:p>
    <w:p w14:paraId="35D575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vertAlign w:val="superscript"/>
        </w:rPr>
      </w:pPr>
      <w:r w:rsidRPr="0044524F">
        <w:rPr>
          <w:rFonts w:ascii="Times New Roman" w:hAnsi="Times New Roman"/>
          <w:iCs/>
          <w:color w:val="000000" w:themeColor="text1"/>
          <w:sz w:val="16"/>
          <w:szCs w:val="16"/>
        </w:rPr>
        <w:t>Производство:</w:t>
      </w:r>
      <w:r w:rsidRPr="0044524F">
        <w:rPr>
          <w:rFonts w:ascii="Times New Roman" w:hAnsi="Times New Roman"/>
          <w:color w:val="000000" w:themeColor="text1"/>
          <w:sz w:val="16"/>
          <w:szCs w:val="16"/>
        </w:rPr>
        <w:t xml:space="preserve"> 82-мм минометы; стабилизаторы для </w:t>
      </w:r>
      <w:r w:rsidRPr="0044524F">
        <w:rPr>
          <w:rFonts w:ascii="Times New Roman" w:hAnsi="Times New Roman"/>
          <w:color w:val="000000" w:themeColor="text1"/>
          <w:sz w:val="16"/>
          <w:szCs w:val="16"/>
          <w:lang w:val="en-US"/>
        </w:rPr>
        <w:t>PC</w:t>
      </w:r>
      <w:r w:rsidRPr="0044524F">
        <w:rPr>
          <w:rFonts w:ascii="Times New Roman" w:hAnsi="Times New Roman"/>
          <w:color w:val="000000" w:themeColor="text1"/>
          <w:sz w:val="16"/>
          <w:szCs w:val="16"/>
        </w:rPr>
        <w:t xml:space="preserve"> М-30, авиабомбы ЗАБ-50 (1942); аэродромно- компрессорная станция АКС-2 (-1947-53-), -80 (1953), автомобильная кислородно-зарядная станция АКЗС-40, компрессорная станция СМ-14 (1953); вакуум-фильтр ФДШ; шахтный регулятор давления ШРД (1947) (11982).</w:t>
      </w:r>
    </w:p>
    <w:p w14:paraId="59041F9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vertAlign w:val="superscript"/>
        </w:rPr>
      </w:pPr>
    </w:p>
    <w:p w14:paraId="0E3DB8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начал строиться Софринский полигон, введен в строй 19.05.1934 г. для испытаний артиллерийского вооружения. Устав Управления государственного московского контрольно-испытательного и опытно- артиллерийского полигона утвержден приказом НКТП № 319 от 7.03.1934 г. (20.04.1937 г. на базе Управления создано ГС управление артполигонов НКОП). С 1936 г. начаты испытания авиационных боеприпасов. В 03.1937 г. Софринский контрольно-испытательный полигон - в ведении 4ГУ НКОП, в 12.1938 г. - в ведении Бюро комплектации НКОП. По приказу НКБ № 332 от 2.09.1940 г. полигон передан в ведение ГУ полигонов НКБ.</w:t>
      </w:r>
    </w:p>
    <w:p w14:paraId="70C9D741" w14:textId="5F779961"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Софринский контрольно-испытательный полигон НКОП, Софринский научно- испытательный полигон (СНИП) НКБ, МСХМ, Научно-исследовательский полигон артиллерийского вооружения ГАУ, НИАП (научно-испытательный артиллерийский полигон) АУ РККА, ГАУ, Научно-испытательный полигон реактивных снарядов МСХМ, Научно-исследовательский артиллерийский полигон (НИАП), Ордена Трудового Красного Знамени Государственный боеприпасный полигон ФГУП НИИ «Геодезия» Росбоеприпаса, ФАП /141292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Красноармейск Пушкинского р-на Московской обл. пр. Испытателей, 14 тел. 583-32-09/</w:t>
      </w:r>
    </w:p>
    <w:p w14:paraId="0A53DC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 043 от 9.03.1937 г. предписано оборудовать полигон сооружениями для опытных работ по реактивным снарядам.</w:t>
      </w:r>
    </w:p>
    <w:p w14:paraId="4E38B5A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1937 г. работал, будучи в заключении, Кудряшов- гл. конструктор зенитной пушки Б-14.</w:t>
      </w:r>
      <w:r w:rsidRPr="0044524F">
        <w:rPr>
          <w:rFonts w:ascii="Times New Roman" w:hAnsi="Times New Roman"/>
          <w:color w:val="000000" w:themeColor="text1"/>
          <w:sz w:val="16"/>
          <w:szCs w:val="16"/>
          <w:vertAlign w:val="superscript"/>
        </w:rPr>
        <w:t xml:space="preserve">3 </w:t>
      </w:r>
      <w:r w:rsidRPr="0044524F">
        <w:rPr>
          <w:rFonts w:ascii="Times New Roman" w:hAnsi="Times New Roman"/>
          <w:color w:val="000000" w:themeColor="text1"/>
          <w:sz w:val="16"/>
          <w:szCs w:val="16"/>
        </w:rPr>
        <w:t>На полигоне имелись сборочные мастерские, выпускавшие боеприпасы. В 10.1941 г. мастерские перебазированы в Москву, где был продолжен выпуск боеприпасов. В 02.1942 г. мастерские вернулись обратно на полигон.</w:t>
      </w:r>
    </w:p>
    <w:p w14:paraId="709E4692" w14:textId="6C06EF25"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После начала войны полигон эвакуирован, в соответствии с пост. ГКО № 1753 от 14.05.1942 г. восстановлен на прежнем месте. После войны полигон передан в ведение МСХМ. В соответствии с ПСМ № 1017-419сс/оп от 13.05.1946 г. на базе Софринского полигона создан Научно-испытательный полигон реактивных снарядов. В 1947 г. на территории полигона создано КБ-3 по разработке реактивного вооружения для пехоты. В 1950-60-е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кроме испытаний вооружения, на полигоне стали проводиться стендовые испытания ракетных двигателей.</w:t>
      </w:r>
    </w:p>
    <w:p w14:paraId="03064CFF" w14:textId="6D7DAA55"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площадке полигона размещалась лабораторная база НИИ-1 МОП с лабораторией пиротехнических составов. В 1970-е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построен комплекс стендового оборудования института. Имелось отделение № 4 (1960-е), площадки 10 и 11.</w:t>
      </w:r>
    </w:p>
    <w:p w14:paraId="23C49327" w14:textId="55292DE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1960-х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велась отработка элементов ракеты 9М21 ОТРК «Луна-М». Полигон принимал участие в создании скоростной ракето-торпеды «Шквал».</w:t>
      </w:r>
    </w:p>
    <w:p w14:paraId="474E01B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1990 г.- в ведении ММ.</w:t>
      </w:r>
      <w:r w:rsidRPr="0044524F">
        <w:rPr>
          <w:rFonts w:ascii="Times New Roman" w:hAnsi="Times New Roman"/>
          <w:color w:val="000000" w:themeColor="text1"/>
          <w:sz w:val="16"/>
          <w:szCs w:val="16"/>
          <w:vertAlign w:val="superscript"/>
        </w:rPr>
        <w:t>77</w:t>
      </w:r>
      <w:r w:rsidRPr="0044524F">
        <w:rPr>
          <w:rFonts w:ascii="Times New Roman" w:hAnsi="Times New Roman"/>
          <w:color w:val="000000" w:themeColor="text1"/>
          <w:sz w:val="16"/>
          <w:szCs w:val="16"/>
        </w:rPr>
        <w:t xml:space="preserve"> По Указу Президента РФ № 1009 от 4.08.2004 г. вошел в число стратегических оборонных предприятий. На предприятии введена процедура банкротства. В 2005 г.- Ордена Трудового Красного Знамени Государственный боеприпасный полигон НИИ «Геодезия».</w:t>
      </w:r>
    </w:p>
    <w:p w14:paraId="16A452A0" w14:textId="5CC21E1B"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2000-е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создан ипульсный модуль порошкового пожаротушения «Буран-8».</w:t>
      </w:r>
    </w:p>
    <w:p w14:paraId="39027D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(1926-29 г.)- Е.А. Беркалов, М.И. Финогенов. Директор (1933-34 г.)- В.П. Серебряков, (1934-35 г.)- К-А. Григорович, (1935-; -1938 г.)- Н.Т. Остапенко, (05.1937 г.)- Завриев, (-05.1938-40 г.)- военинженерЗр Т.А. Резников, (1940-41 г.)- Н(П).Я. Стариков, (1943-52 г.)- Д.А. Иванов, (1963-85 г.)- Н.Д. Зубов, А.С. Викторов, В.А. Ковшов. Гендиректор (1993-2005 г.)- В.А. Веснин, (09.2005 г.-&gt; В.А. Ковшов.</w:t>
      </w:r>
    </w:p>
    <w:p w14:paraId="2F9ED6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зам. гендиректора по научной работе-В.Т. Волков.</w:t>
      </w:r>
    </w:p>
    <w:p w14:paraId="7B8511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Испытания:</w:t>
      </w:r>
      <w:r w:rsidRPr="0044524F">
        <w:rPr>
          <w:rFonts w:ascii="Times New Roman" w:hAnsi="Times New Roman"/>
          <w:color w:val="000000" w:themeColor="text1"/>
          <w:sz w:val="16"/>
          <w:szCs w:val="16"/>
        </w:rPr>
        <w:t xml:space="preserve"> 122-мм гаубица (1933); 76-мм динамореактивная пушка и 305-мм гаубица </w:t>
      </w:r>
      <w:r w:rsidRPr="0044524F">
        <w:rPr>
          <w:rFonts w:ascii="Times New Roman" w:hAnsi="Times New Roman"/>
          <w:color w:val="000000" w:themeColor="text1"/>
          <w:sz w:val="16"/>
          <w:szCs w:val="16"/>
          <w:lang w:val="en-US"/>
        </w:rPr>
        <w:t>JI</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 xml:space="preserve">. Курчевского (1930-е); 45-мм, 57-мм и 76-мм пушки В. Г. Грабина (1930-е); 122-мм и 152-мм гаубицы Ф.Ф. Петрова (1930-е); 50-мм, 86-мм, 107-мм и 120-мм минометы Б.И. Шавырина (1930-е); железнодорожная артустановка ТГ-1 (1941); 160-мм миномет И. Г. Теверовского (ВОВ), пушки ШВАК, ВЯ, НС (ВОВ); 50-мм миномет Гвая, партизанские боеприпасы (1943); артсистемы «Буратино», «Пион», «Гиацинт», «Тюльпан»; РС-82, РС-132 (1930-е), БМ-13 (06.1939, 06.1941), 82-мм противотанковая установка с НАР А.Д. Надирадзе (07-11.1943); РСЗО М-24 с ТРС-240, М-24Ф (09.1947-50), «Град», «Ураган»; ЗУР Р-102 (1949), </w:t>
      </w:r>
      <w:r w:rsidRPr="0044524F">
        <w:rPr>
          <w:rFonts w:ascii="Times New Roman" w:hAnsi="Times New Roman"/>
          <w:color w:val="000000" w:themeColor="text1"/>
          <w:sz w:val="16"/>
          <w:szCs w:val="16"/>
          <w:lang w:val="en-US"/>
        </w:rPr>
        <w:t>PC</w:t>
      </w:r>
      <w:r w:rsidRPr="0044524F">
        <w:rPr>
          <w:rFonts w:ascii="Times New Roman" w:hAnsi="Times New Roman"/>
          <w:color w:val="000000" w:themeColor="text1"/>
          <w:sz w:val="16"/>
          <w:szCs w:val="16"/>
        </w:rPr>
        <w:t xml:space="preserve"> (1952); ПРД-23 и ПРД-33 противоракеты В-1000 (1958-59); РДТТ 15Д15 РТ-20П (04.1965-), РК 8К98, «Темп», «Темп-С» (1960-е), «Тополь»; БЧ к РК «Луна», «Точка», «Ока», «Нерпа» (11982).</w:t>
      </w:r>
    </w:p>
    <w:p w14:paraId="3B09923C" w14:textId="77777777" w:rsidR="00742DA3" w:rsidRPr="0044524F" w:rsidRDefault="00742DA3" w:rsidP="009654CF">
      <w:pPr>
        <w:spacing w:after="0" w:line="240" w:lineRule="auto"/>
        <w:jc w:val="both"/>
        <w:rPr>
          <w:rFonts w:ascii="Times New Roman" w:hAnsi="Times New Roman"/>
          <w:color w:val="000000" w:themeColor="text1"/>
          <w:sz w:val="16"/>
          <w:szCs w:val="16"/>
        </w:rPr>
      </w:pPr>
    </w:p>
    <w:p w14:paraId="793BE5D4"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заводе «Красный путиловец» были изготовлены первые образцы 152-мм морских ДРП.</w:t>
      </w:r>
    </w:p>
    <w:p w14:paraId="09ECF4A6"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627236E1"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52B046E1"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4F9C0A37"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3040D013" w14:textId="77777777" w:rsidR="00742DA3" w:rsidRPr="0044524F" w:rsidRDefault="00742DA3" w:rsidP="009654CF">
      <w:pPr>
        <w:spacing w:after="0" w:line="240" w:lineRule="auto"/>
        <w:jc w:val="both"/>
        <w:rPr>
          <w:rFonts w:ascii="Times New Roman" w:hAnsi="Times New Roman"/>
          <w:bCs/>
          <w:color w:val="000000" w:themeColor="text1"/>
          <w:sz w:val="16"/>
          <w:szCs w:val="16"/>
        </w:rPr>
      </w:pPr>
      <w:bookmarkStart w:id="71" w:name="label74"/>
      <w:bookmarkEnd w:id="71"/>
      <w:r w:rsidRPr="0044524F">
        <w:rPr>
          <w:rFonts w:ascii="Times New Roman" w:hAnsi="Times New Roman"/>
          <w:bCs/>
          <w:color w:val="000000" w:themeColor="text1"/>
          <w:sz w:val="16"/>
          <w:szCs w:val="16"/>
        </w:rPr>
        <w:t>Данные 152-мм опытной ДРП</w:t>
      </w:r>
    </w:p>
    <w:p w14:paraId="417B388D"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 мм …… 152,4</w:t>
      </w:r>
    </w:p>
    <w:p w14:paraId="2F355649"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хода снаряда …… клб.</w:t>
      </w:r>
    </w:p>
    <w:p w14:paraId="2C3BF8ED"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BH, град …… + 35º</w:t>
      </w:r>
    </w:p>
    <w:p w14:paraId="13C95DBD"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ГН, град …… 360º</w:t>
      </w:r>
    </w:p>
    <w:p w14:paraId="2F1DD3A2"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BH за один оборот маховика, град …… около 1,5°</w:t>
      </w:r>
    </w:p>
    <w:p w14:paraId="264CBBA1"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ГН за один оборот маховика, град …… около 2°</w:t>
      </w:r>
    </w:p>
    <w:p w14:paraId="68C6D7CB"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Скорострельность, выстр/мин …… 10</w:t>
      </w:r>
    </w:p>
    <w:p w14:paraId="2F516B73"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w:t>
      </w:r>
    </w:p>
    <w:p w14:paraId="6193F969" w14:textId="77777777" w:rsidR="00742DA3" w:rsidRPr="0044524F" w:rsidRDefault="00742DA3" w:rsidP="009654CF">
      <w:pPr>
        <w:spacing w:after="0" w:line="240" w:lineRule="auto"/>
        <w:jc w:val="both"/>
        <w:rPr>
          <w:rFonts w:ascii="Times New Roman" w:hAnsi="Times New Roman"/>
          <w:bCs/>
          <w:color w:val="000000" w:themeColor="text1"/>
          <w:sz w:val="16"/>
          <w:szCs w:val="16"/>
        </w:rPr>
      </w:pPr>
      <w:bookmarkStart w:id="72" w:name="label75"/>
      <w:bookmarkStart w:id="73" w:name="label76"/>
      <w:bookmarkEnd w:id="72"/>
      <w:bookmarkEnd w:id="73"/>
      <w:r w:rsidRPr="0044524F">
        <w:rPr>
          <w:rFonts w:ascii="Times New Roman" w:hAnsi="Times New Roman"/>
          <w:bCs/>
          <w:color w:val="000000" w:themeColor="text1"/>
          <w:sz w:val="16"/>
          <w:szCs w:val="16"/>
        </w:rPr>
        <w:t>Таблица стрельбы 152-мм ДРП</w:t>
      </w:r>
    </w:p>
    <w:p w14:paraId="04D41ACC" w14:textId="77777777" w:rsidR="00742DA3" w:rsidRPr="0044524F" w:rsidRDefault="00742DA3" w:rsidP="009654CF">
      <w:pPr>
        <w:spacing w:after="0" w:line="240" w:lineRule="auto"/>
        <w:jc w:val="both"/>
        <w:rPr>
          <w:rFonts w:ascii="Times New Roman" w:hAnsi="Times New Roman"/>
          <w:bCs/>
          <w:color w:val="000000" w:themeColor="text1"/>
          <w:sz w:val="16"/>
          <w:szCs w:val="16"/>
        </w:rPr>
      </w:pPr>
      <w:bookmarkStart w:id="74" w:name="label77"/>
      <w:bookmarkEnd w:id="74"/>
      <w:r w:rsidRPr="0044524F">
        <w:rPr>
          <w:rFonts w:ascii="Times New Roman" w:hAnsi="Times New Roman"/>
          <w:bCs/>
          <w:color w:val="000000" w:themeColor="text1"/>
          <w:sz w:val="16"/>
          <w:szCs w:val="16"/>
          <w:vertAlign w:val="superscript"/>
        </w:rPr>
        <w:t>Вес снаряда, кг …… Заряд — Начальная скорость, м/с — Давление в канале, кг/см2 — Дальность (расчетная), км</w:t>
      </w:r>
    </w:p>
    <w:p w14:paraId="5814BBEE"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 3 кг ПКО — 270 — 1800 — около 5</w:t>
      </w:r>
    </w:p>
    <w:p w14:paraId="2E7A7FAA"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 …… 6 кг Г2-48 — 470 — 2200 — около 9</w:t>
      </w:r>
    </w:p>
    <w:p w14:paraId="2C806D4F"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 января 1934 г. опытная 152-мм ДРП была испытана на Черном море на эсминце «Петровский».</w:t>
      </w:r>
    </w:p>
    <w:p w14:paraId="55EE2D4A"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из 152-мм ДРП производилась с кормы и с носа попеременно. Система была предварительно установлена на специально изготовленном сварном барабане из 6-мм железа высотой 600 мм, так как присланная с ДРП тумба оказалась недостаточно высокой (около 1,0 м).</w:t>
      </w:r>
    </w:p>
    <w:p w14:paraId="2D4C5590"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ДРП была установлена на корме эсминца на расстоянии 2240 мм от трапа корабля и на расстоянии 920 мм от диаметральной плоскости ближе к правому борту. Барабан прикреплен 12 болтами диаметром 16 мм к настилу верхней палубы. Высота оси цапф 1560 мм от палубы.</w:t>
      </w:r>
    </w:p>
    <w:p w14:paraId="647B3B72"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Затем, в тот же день, 15 января, ДРП была установлена между двумя якорными клюзами на расстоянии около 2 м от форштевня в диаметральной плоскости. Стрельба велась, в том числе, и с хода. Скорость эсминца достигала 20 узлов.</w:t>
      </w:r>
    </w:p>
    <w:p w14:paraId="66A45EDA"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16 января 1934 г. 152-мм ДРП была установлена на сторожевом корабле «Шторм» между 117 и 118 шпангоутами. Ось орудия была удалена на расстояние 800 мм от правого борта. Под барабан тумбы орудия уложили деревянную подушку толщиной 1 дюйм для увеличения высоты линии огня.</w:t>
      </w:r>
    </w:p>
    <w:p w14:paraId="4AD7B440"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стрельбе на сторожевом корабле «Шторм» сбились электролампы. Сопло при стрельбе постоянно находилось за бортом.</w:t>
      </w:r>
    </w:p>
    <w:p w14:paraId="502ADA09"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 января 1934 г. 152-мм ДРП установили в носовой части подводной лодки № 32 («Л-5») на 38-м шпангоуте. Тумба ДРП была установлена прямо на настил палубной надстройки и закреплена 12 болтами диаметром 16 мм.</w:t>
      </w:r>
    </w:p>
    <w:p w14:paraId="16FB5C7F"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 менее интересны выводы комиссии по испытаниям 152-мм ДРП, проводившимся с 15 по 20 января 1934 г. на эсминце «Петровский», СКР «Шторм» и подводной лодке № 32 в море.</w:t>
      </w:r>
    </w:p>
    <w:p w14:paraId="441823B7"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Акт подписан 20 января 1934 г.</w:t>
      </w:r>
    </w:p>
    <w:p w14:paraId="6D1F0A6E"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«Вертикальная наводка системы затруднена и ведется рывками. При резких остановках механизма ВН возникли колебания+1°.</w:t>
      </w:r>
    </w:p>
    <w:p w14:paraId="5AE00DD4"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Сотрясение эсминца и СКР терпимо (подобно стрельбе штатного орудия), а на подводной лодке требуется увеличить толщину листов цистерны балласта.</w:t>
      </w:r>
    </w:p>
    <w:p w14:paraId="607F5F32"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Данная система ДРП может быть использована на кораблях только с ограничителями опасных углов обстрела и следующими переделками:</w:t>
      </w:r>
    </w:p>
    <w:p w14:paraId="1173F18F"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Ввести раздельно вертикальное и горизонтальное наведение.</w:t>
      </w:r>
    </w:p>
    <w:p w14:paraId="2806C01C"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Панорама Герца неудовлетворительна и требуются прицельные трубы и прицелы морского типа.</w:t>
      </w:r>
    </w:p>
    <w:p w14:paraId="2604BEC0"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Нужны надежные предохранители к спусковым приспособлениям и спуск педального типа.</w:t>
      </w:r>
    </w:p>
    <w:p w14:paraId="1F1697A8"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 Необходимы приспособления против двойного заряжания.</w:t>
      </w:r>
    </w:p>
    <w:p w14:paraId="40C4BB95"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 Необходима более прочная тумба морского типа,</w:t>
      </w:r>
    </w:p>
    <w:p w14:paraId="565D1BC5"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 Желательно удлинить сопло (возможно введение телескопической системы).</w:t>
      </w:r>
    </w:p>
    <w:p w14:paraId="4CFF29D6"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 Заряжание с дула нежелательно».</w:t>
      </w:r>
    </w:p>
    <w:p w14:paraId="73F4C557"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Как видим, осторожная критика умных специалистов. Нельзя выступать против идиотской идеи устанавливать ДРП на корабле — посадят, а потребовать вполне очевидных переделок можно. А пока будут производиться оные переделки, авось и вся проблема «Курчевщины» схлынет (15117).</w:t>
      </w:r>
    </w:p>
    <w:p w14:paraId="10438934" w14:textId="77777777" w:rsidR="00742DA3" w:rsidRPr="0044524F" w:rsidRDefault="00742DA3" w:rsidP="009654CF">
      <w:pPr>
        <w:spacing w:after="0" w:line="240" w:lineRule="auto"/>
        <w:jc w:val="both"/>
        <w:rPr>
          <w:rFonts w:ascii="Times New Roman" w:hAnsi="Times New Roman"/>
          <w:color w:val="000000" w:themeColor="text1"/>
          <w:sz w:val="16"/>
          <w:szCs w:val="16"/>
        </w:rPr>
      </w:pPr>
    </w:p>
    <w:p w14:paraId="09F34744"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инженер Н. А. Упорников разработал проект переделки 180/60-мм пушки в полигональное 190-мм орудие (рис. 5.1). Для этой цели использовалась расстрелянная к тому времени 180/60-мм пушка, которая, в свою очередь, была получена перестволением 203/50-мм пушки № 1203.</w:t>
      </w:r>
    </w:p>
    <w:p w14:paraId="5501B818"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переделке 180-мм пушки № 1203 в полигональную 190-мм были начаты в 1934 г. на заводе «Большевик». Канал расточили и располировали, но дальнейшие работы были прекращены, так как в присланном на 1935 г. плане работ АНИМИ[38] этой работы не значилось, она была заменена полигональной нарезкой 130-мм ствола.</w:t>
      </w:r>
    </w:p>
    <w:p w14:paraId="3E0059FE"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Проектные данные 190-мм полигональной пушки </w:t>
      </w:r>
    </w:p>
    <w:p w14:paraId="2E8946FB"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Диаметр описанной окружности, мм — 200</w:t>
      </w:r>
    </w:p>
    <w:p w14:paraId="6374DFA0"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 (диаметр по граням), мм — 190</w:t>
      </w:r>
    </w:p>
    <w:p w14:paraId="15B3F22A"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пути снаряда в канале, мм — 8188</w:t>
      </w:r>
    </w:p>
    <w:p w14:paraId="335E0475"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Объем каморы, л — 61,63</w:t>
      </w:r>
    </w:p>
    <w:p w14:paraId="38DDD61E"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граней — 8</w:t>
      </w:r>
    </w:p>
    <w:p w14:paraId="316C2008"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наклона граней, град — 8°55′37″</w:t>
      </w:r>
    </w:p>
    <w:p w14:paraId="1C15924C"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Крутизна граней (постоянная), клб — 20</w:t>
      </w:r>
    </w:p>
    <w:p w14:paraId="029A3AB7"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полигонального снаряда, кг — 100</w:t>
      </w:r>
    </w:p>
    <w:p w14:paraId="71CB2E6F"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Начальная скорость, м/с — 940</w:t>
      </w:r>
    </w:p>
    <w:p w14:paraId="1AC13BC2"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Максимальное давление в канале, кг/см2 — 3200</w:t>
      </w:r>
    </w:p>
    <w:p w14:paraId="021E4D62" w14:textId="77777777" w:rsidR="00DF1D09" w:rsidRPr="0044524F" w:rsidRDefault="00DF1D09"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гильзы, мм — 825 (12705).</w:t>
      </w:r>
    </w:p>
    <w:p w14:paraId="5F8B5C27" w14:textId="77777777" w:rsidR="00DF1D09" w:rsidRPr="0044524F" w:rsidRDefault="00DF1D09" w:rsidP="009654CF">
      <w:pPr>
        <w:spacing w:after="0" w:line="240" w:lineRule="auto"/>
        <w:jc w:val="both"/>
        <w:rPr>
          <w:rFonts w:ascii="Times New Roman" w:hAnsi="Times New Roman"/>
          <w:color w:val="000000" w:themeColor="text1"/>
          <w:sz w:val="16"/>
          <w:szCs w:val="16"/>
        </w:rPr>
      </w:pPr>
    </w:p>
    <w:p w14:paraId="005B1CD1"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инженер Н.А. Упорников разработал проект переделки 180/60-мм пушки в полигональное 190-мм орудие. Для этой цели использовалась расстрелянная к тому времени 180/60-мм пушка, которая в свою очередь была получена перестволением 203/50-мм пушки № 1203. (Сх. 16)</w:t>
      </w:r>
    </w:p>
    <w:p w14:paraId="426D1D79"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Работы по переделке 180-мм пушки № 1203 в полигональную 190-мм были начаты в 1934 г. на заводе «Большевик». Канал расточили и располировали, но дальнейшие работы были прекращены, так как в присланном на 1935 г. плане работ АНИМИ этой работы не значилось, она была заменена полигональной нарезкой 130-мм ствола.</w:t>
      </w:r>
    </w:p>
    <w:p w14:paraId="6F10707D" w14:textId="77777777" w:rsidR="00742DA3" w:rsidRPr="0044524F" w:rsidRDefault="00742DA3" w:rsidP="009654CF">
      <w:pPr>
        <w:spacing w:after="0" w:line="240" w:lineRule="auto"/>
        <w:jc w:val="both"/>
        <w:rPr>
          <w:rFonts w:ascii="Times New Roman" w:hAnsi="Times New Roman"/>
          <w:bCs/>
          <w:color w:val="000000" w:themeColor="text1"/>
          <w:sz w:val="16"/>
          <w:szCs w:val="16"/>
        </w:rPr>
      </w:pPr>
      <w:bookmarkStart w:id="75" w:name="label101"/>
      <w:bookmarkEnd w:id="75"/>
      <w:r w:rsidRPr="0044524F">
        <w:rPr>
          <w:rFonts w:ascii="Times New Roman" w:hAnsi="Times New Roman"/>
          <w:bCs/>
          <w:color w:val="000000" w:themeColor="text1"/>
          <w:sz w:val="16"/>
          <w:szCs w:val="16"/>
        </w:rPr>
        <w:t>Проектные данные 190-мм полигональной пушки</w:t>
      </w:r>
    </w:p>
    <w:p w14:paraId="64B86936"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Диаметр описанной окружности, мм …… 200</w:t>
      </w:r>
    </w:p>
    <w:p w14:paraId="11A93BEC"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 (диаметр по граням), мм …… 190</w:t>
      </w:r>
    </w:p>
    <w:p w14:paraId="246C9784"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пути снаряда в канале, мм …… 8188</w:t>
      </w:r>
    </w:p>
    <w:p w14:paraId="74FD6111"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Объем каморы, л …… 61,63</w:t>
      </w:r>
    </w:p>
    <w:p w14:paraId="3781B945"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Число граней …… 8</w:t>
      </w:r>
    </w:p>
    <w:p w14:paraId="06AD5BB8"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наклона граней, град …… 8°55'37”</w:t>
      </w:r>
    </w:p>
    <w:p w14:paraId="43A4588B"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Крутизна граней (постоянная), клб …… 20</w:t>
      </w:r>
    </w:p>
    <w:p w14:paraId="12E596E7"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полигонального снаряда, кг …… 100</w:t>
      </w:r>
    </w:p>
    <w:p w14:paraId="0CDADD8F"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Начальная скорость, м/с …… 940</w:t>
      </w:r>
    </w:p>
    <w:p w14:paraId="43726EEC"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Максимальное давление в канале, кг/см</w:t>
      </w:r>
      <w:r w:rsidRPr="0044524F">
        <w:rPr>
          <w:rFonts w:ascii="Times New Roman" w:hAnsi="Times New Roman"/>
          <w:color w:val="000000" w:themeColor="text1"/>
          <w:sz w:val="16"/>
          <w:szCs w:val="16"/>
          <w:vertAlign w:val="superscript"/>
        </w:rPr>
        <w:t xml:space="preserve">2 </w:t>
      </w:r>
      <w:r w:rsidRPr="0044524F">
        <w:rPr>
          <w:rFonts w:ascii="Times New Roman" w:hAnsi="Times New Roman"/>
          <w:color w:val="000000" w:themeColor="text1"/>
          <w:sz w:val="16"/>
          <w:szCs w:val="16"/>
        </w:rPr>
        <w:t>…… 3200</w:t>
      </w:r>
    </w:p>
    <w:p w14:paraId="18162183"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гильзы, мм …… 825</w:t>
      </w:r>
    </w:p>
    <w:p w14:paraId="241066E6" w14:textId="77777777" w:rsidR="00742DA3" w:rsidRPr="0044524F" w:rsidRDefault="00742DA3" w:rsidP="009654CF">
      <w:pPr>
        <w:spacing w:after="0" w:line="240" w:lineRule="auto"/>
        <w:jc w:val="both"/>
        <w:rPr>
          <w:rFonts w:ascii="Times New Roman" w:hAnsi="Times New Roman"/>
          <w:color w:val="000000" w:themeColor="text1"/>
          <w:sz w:val="16"/>
          <w:szCs w:val="16"/>
        </w:rPr>
      </w:pPr>
    </w:p>
    <w:p w14:paraId="244843E6"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ввиду острой нехватки кокса, на коксовых печах был введен высокотемпературный режим. Если по старому режиму максимальная температура обжига угля достигала 900 °С, то в новых печах максимальная температура повышалась до 1350-1450 °С. Это значительно форсировало работу печей, увеличив их производительность в 2-2,5 раза, так как период коксования сократился с 28-32 до 13-14 ч при одних и тех же загрузках шихты. Руководство наркомата тяжелой промышленности решило сэкономить средства и время, и вместо того чтобы строить новые мощности по коксованию, просто повысило температуру самого коксования. Однако на выходе ароматических углеводородов (главным образом толуола) такая новация сказалось весьма отрицательно: повышение температуры обжига превысило запас термической стойкости этих углеводородов, и они при коксовании стали распадаться. Как следствие, выход толуола с одной тонны коксуемого угля сократился в 2 раза - с 2,5 до 1,25 кг.</w:t>
      </w:r>
    </w:p>
    <w:p w14:paraId="036186D4"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 временем такие непродуманные действия привели к тому, что по мере увеличения государственных заказов на тротил основным способом получения толуола стал пиролиз нефти. Нефть перегонялась в керосин, который в специальных аппаратах - ретортах - подогревался без доступа воздуха до температуры 670-700 °С. Под влиянием высокой температуры пары керосина разлагались на ряд продуктов, находившихся в газообразном состоянии. В число этих продуктов входили и ароматические углеводороды.</w:t>
      </w:r>
    </w:p>
    <w:p w14:paraId="4F7E364D"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Газ проходил через систему газовых холодильников и, как на коксохимических заводах, промывался соляровым маслом с целью извлечения из газа унесенных им ароматических углеводородов. В целом, из одной тонны керосина получалось 25-35 кг пирогенетического (нефтяного) толуола.</w:t>
      </w:r>
    </w:p>
    <w:p w14:paraId="37F60629"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отличие от коксования, где уголь на 75% превращался в более ценный энергоноситель - кокс, процесс пиролиза являлся крайне неэкономичным. Основные его продукты после извлечения толуола - газ (50%) и тяжелые трудно используемые масла (30%) - находили себе применение только как топливо для коммунальных нужд либо шли на производство беззольной сажи.</w:t>
      </w:r>
    </w:p>
    <w:p w14:paraId="745712BB"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Таким образом, в связи с малой ценностью других продуктов пиролиза, весь расход керосина приходился фактически только на те 2,5-3,5% толуола, которые при пиролизе получались. Чрезвычайно высокий расход керосина на единицу получаемого толуола и был главной причиной, из-за которой уже в конце 1920-х гг. от пиролиза керосина как от способа получения толуола отказались в странах Западной Европы и США. В СССР все произошло с точностью до наоборот.</w:t>
      </w:r>
    </w:p>
    <w:p w14:paraId="4B7686D8"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Экономическую нецелесообразность использования пиролизе керосина с целью получения толуола достаточно хорошо стали понимать в Советском Союзе лишь к концу 1930-х гг., да и то только руководители промышленности боеприпасов. Так, в начале 1940 г. Комитет Обороны планировал увеличить мощности по нефтяному толуолу с 38 000 т к 1 января 1941 г. до 60 000 т к 1 января 1943 г. (5). В своем докладе в КО от 22 июня 1940 г. нарком боеприпасов И.П. Сергеев писал по этому поводу следующее: «Увеличение мощности нефтегазовых заводов по толуолу до 60 000 т в 1943 г. едва ли достижимо с народнохозяйственной точки зрения. Выход толуола не превышает 3% (в среднем) на керосин, следовательно, считая выход керосина на нефть в среднем 16%, мы должны будем затратить на получение этого количества толуола. 12,5 млн т нефти».</w:t>
      </w:r>
    </w:p>
    <w:p w14:paraId="1D1FF080"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Меж тем добыча нефти в СССР в 1939 г. составила всего лишь 30,3 млн т. «Если учесть, - отмечал далее в своем докладе Сергеев, - что керосин является тракторно-танковым и отчасти автомобильным топливом и исходным сырьем для ряда крекинг-установок, то такое расточительное отношение к нему едва ли допустимо» (19151).</w:t>
      </w:r>
    </w:p>
    <w:p w14:paraId="6D5A24C8" w14:textId="77777777" w:rsidR="00145E2A" w:rsidRPr="0044524F" w:rsidRDefault="00145E2A" w:rsidP="009654CF">
      <w:pPr>
        <w:spacing w:after="0" w:line="240" w:lineRule="auto"/>
        <w:jc w:val="both"/>
        <w:rPr>
          <w:rFonts w:ascii="Times New Roman" w:hAnsi="Times New Roman"/>
          <w:color w:val="000000" w:themeColor="text1"/>
          <w:sz w:val="16"/>
          <w:szCs w:val="16"/>
        </w:rPr>
      </w:pPr>
    </w:p>
    <w:p w14:paraId="3641F508"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к выпуску гаубицы Б-4БМ был подключён сталинградский завод «Баррикады». В результате адаптации технической документации «Большевика» к технологическим возможностям «Баррикады» в войска практически стали поступать два разных орудия. Поэтому в 1937 г. на базе деталей и узлов обеих образцов, отработанных в производстве и проверенных в эксплуатации, подготовили единую документацию. В 1938 г. производство гаубиц развернули и на Ново-Краматорском машиностроительном заводе (НКМЗ) (15132).</w:t>
      </w:r>
    </w:p>
    <w:p w14:paraId="1B620ECC" w14:textId="77777777" w:rsidR="00F5172A" w:rsidRPr="0044524F" w:rsidRDefault="00F5172A" w:rsidP="009654CF">
      <w:pPr>
        <w:spacing w:after="0" w:line="240" w:lineRule="auto"/>
        <w:jc w:val="both"/>
        <w:rPr>
          <w:rFonts w:ascii="Times New Roman" w:hAnsi="Times New Roman"/>
          <w:color w:val="000000" w:themeColor="text1"/>
          <w:sz w:val="16"/>
          <w:szCs w:val="16"/>
        </w:rPr>
      </w:pPr>
    </w:p>
    <w:p w14:paraId="1BDE684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заводе “Рабочий металлист” был выпущен первый паровой экскаватор. В 1937 г. освоен выпуск электрических и дизельных экскаваторов, 30.04.1939 г. построен первый в Европе шагающий экскаватор.</w:t>
      </w:r>
    </w:p>
    <w:p w14:paraId="3E5225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1915 г. Завод наследниц Л.Ф. Пло, выпускавший инструмент, вентиляторы и др. оборудование, был эвакуирован из Риги в Кострому.</w:t>
      </w:r>
    </w:p>
    <w:p w14:paraId="706E1B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06.1942 г. завод - в ведении Главстройдревмаша НКМВ. В соответствии с пост. СНК № 837-430сс от 3.06.1942 г. и приказом НКМВ № 250с от 7.07.1942 г. завод «Рабочий металлист» НКМВ переименован в завод № 773 в ведении 2ГУ.</w:t>
      </w:r>
      <w:r w:rsidRPr="0044524F">
        <w:rPr>
          <w:rFonts w:ascii="Times New Roman" w:hAnsi="Times New Roman"/>
          <w:color w:val="000000" w:themeColor="text1"/>
          <w:sz w:val="16"/>
          <w:szCs w:val="16"/>
          <w:vertAlign w:val="superscript"/>
        </w:rPr>
        <w:t>Ш</w:t>
      </w:r>
    </w:p>
    <w:p w14:paraId="4B1527CC" w14:textId="7A54BFC6"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годы войны завод выпускал оборонную продукцию, в 1944 г. возобновлен выпуск экскаваторов. С 1948 г. завод специализируется на выпуске механических канатных экскаваторов. В 1960-е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 завод «Рабочий металлист». Директор (06.1942 г.)-Киселев.</w:t>
      </w:r>
    </w:p>
    <w:p w14:paraId="05A49B9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Производство:</w:t>
      </w:r>
      <w:r w:rsidRPr="0044524F">
        <w:rPr>
          <w:rFonts w:ascii="Times New Roman" w:hAnsi="Times New Roman"/>
          <w:color w:val="000000" w:themeColor="text1"/>
          <w:sz w:val="16"/>
          <w:szCs w:val="16"/>
        </w:rPr>
        <w:t xml:space="preserve"> 122-мм снаряды, авиабомбы ФОТАБ (1942); экскаваторы: тросовой универсальный ЭО-5119 (1990-е); машина бурильная БМ-2501 (1990-е); запчасти для экскаваторов (11982).</w:t>
      </w:r>
    </w:p>
    <w:p w14:paraId="16F1F1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ADB1D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завод (Завод № 67 ИМ. С.К. Тимошенко НКТП, Мастерские тяжелой и осадной артиллерии («Мастяжарт») ГАУ, Московский ремонтно-артиллерийский завод ВСНХ, Завод «Мастяжарт» ВСНХ, ГС завод № 67 НКОП, НКБ, МСХМ. /г. Москва ул. Вельяминовская, 34/) получил наименование завод № 67, до 1935 г. находился в ведении НКТП, в 02.1937 г. - в ведении 4ГУ НКОП. Приказом НКОП № 91 от 13.03.1937 г. утвержден Устав завода. По пр. № 0180 от 15.08.1937 г. передан в новое 13ГУ. В 02.1939 г. завод № 67 13ГУ НКОП передан в ведение 13ГУ НКБ. В 1941 г. завод получил имя С.К. Тимошенко, которое носил до 1951 г.</w:t>
      </w:r>
    </w:p>
    <w:p w14:paraId="231672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конце 1926 г. заводу поручено производство корпусов фугасных авиабомб. К 1930 г. производилось более 4500 корпусов в год. Для организации разработки новых авиабомб РВС на завод откомандирована группа специалистов, и образован бомбовый отдел № 4 завода. В 1932 г. бомбовый отдел завода был преобразован в НИО завода № 67.</w:t>
      </w:r>
    </w:p>
    <w:p w14:paraId="2F4378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НКОП № 0025 от 4.02.1937 г. заводу предписано к 1.01.1938 г. создать мощности по выпуску корпусов авиабомб: ФАБ-500 - 3000 шт. в год, ФАБ-1000 - 1325 шт., ФАБ-2000 - 425 шт., ФАБ-200 - 400 шт. Пр. № 147сс от 4.05.1938 г. требовалось разработать мероприятия по реконструкции к 1.10.1939 г. завода на производство 200 тыс. авиабомб, отнеся ее к первоочередным стройкам; для этого с завода снят и предан в НКМ выпуск котлов и душевых установок. Мощность завода перед эвакуацией: ФАБ-100 - 140 тыс. шт. в год; ФАБ- 250 - 60 тыс. шт.; ФАБ-2000 - 240 шт.; ХАБ-200 - 24 тыс. шт.</w:t>
      </w:r>
    </w:p>
    <w:p w14:paraId="4A845C2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 0240 от 13.11.1937 г. заводу было необходимо изготовить к 1.12.1937 г. 4500 комплектов металлических деталей противогазов для завода «Красный богатырь». По пр. № 229сс от 1.07.1938 г. требовалось изготовить 3 млн. противогазных коробок противогаза БС МТ-4 для завода № 395; в 2-х месячный срок на заводе организовать КБ для решения всех вопросов по изготовлению противогазных коробок.</w:t>
      </w:r>
    </w:p>
    <w:p w14:paraId="52D0BF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ГКО № 777 от 13.10.1941 г. завод № 67 4ГУ НКБ эвакуирован: (производство ФАБ, ХАБ, всего 278 ед. оборудования, 278 чел.) - в Миасс на площадку завода № 316 НКБ, производство ПЛАБ - в Челябинск на завод № 78; но уже в 12.1941 г. завод возобновил деятельность на старом месте, оборудование в соответствии с пост. ГКО № 1219 от 28.01.1942 г. было возвращено из Миасса. В 1939-45 г. завод находился в ведении НКБ (в 10.1941-09.1944 г. - 4ГУ), в 1946-52 г. - в МСХМ.</w:t>
      </w:r>
    </w:p>
    <w:p w14:paraId="2D516D9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1945 г. планировалось на базе завода (на основании письма Ванникова в НКАП от 3.08.1945 г.) сформировать ГЦКБ-2 НКБ для работ по </w:t>
      </w:r>
      <w:r w:rsidRPr="0044524F">
        <w:rPr>
          <w:rFonts w:ascii="Times New Roman" w:hAnsi="Times New Roman"/>
          <w:color w:val="000000" w:themeColor="text1"/>
          <w:sz w:val="16"/>
          <w:szCs w:val="16"/>
          <w:lang w:val="en-US"/>
        </w:rPr>
        <w:t>PC</w:t>
      </w:r>
      <w:r w:rsidRPr="0044524F">
        <w:rPr>
          <w:rFonts w:ascii="Times New Roman" w:hAnsi="Times New Roman"/>
          <w:color w:val="000000" w:themeColor="text1"/>
          <w:sz w:val="16"/>
          <w:szCs w:val="16"/>
        </w:rPr>
        <w:t xml:space="preserve"> дальнего действия (в т.ч. с ЖРД) и по ЗУР. Вместо этого в 1946 г. на базе филиала № 2 НИИ-1 МАП было образовано КБ-2 МСХМ. КБ-2 было перебазировано на площадку завода № 67, который стал его производственной базой. В соответствии с ПСМ № 5119-2226 от 15.12.1951 г. завод № 67 объединен с КБ-2 МСХМ и преобразован в ГС НИИ № 642. Завод № 67 преобразован в Опытный завод при ГС НИИ-642.</w:t>
      </w:r>
    </w:p>
    <w:p w14:paraId="27E562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(10.1941 г.)- 3620 чел., (12.1942 г.)- 2664 чел.</w:t>
      </w:r>
    </w:p>
    <w:p w14:paraId="2608D6CE" w14:textId="6BEF90F5"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(03.1917-25 г.)- Н.Ф. Розанов, (1925-26 г.)- И. Г. Королев, (1926-27 г.)- А. Кошелев, (1928-30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Г.Т. Кузьмичев, (1931-35 г.)- П. Г. Крынкин, (-19.07.1937 г.)- С.В. Фумм, (19.07.1937-39 г.)- М. Г. Масальский, (1939- 41 г.)- В.И. Базаров, (1941-45 г.)- А.Ф. Шибаев, (1946-47 г.)- С.А. Невструев, (1948-52 г.)- А.В. Фролов.</w:t>
      </w:r>
    </w:p>
    <w:p w14:paraId="3C256BE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директора (06.1938 г.)- В.И. Базаров. Помощник директора по найму и увольнению (8.03-21.11.1938 г.)- М.П(Б). Авдохин (снят).</w:t>
      </w:r>
    </w:p>
    <w:p w14:paraId="02A8AF2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(06.1938 г.)- В.И. Базаров, (-1947 г.)- А.Л. Лившиц.</w:t>
      </w:r>
    </w:p>
    <w:p w14:paraId="1C53E3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НИО (1936 г.)- Н.Т. Кулаков.</w:t>
      </w:r>
    </w:p>
    <w:p w14:paraId="594997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корпуса авиабомб: ФАБ-50, -100, -250, -2000, ХАБ-100, -200, ПЛАБ-100 (1941); МЯДШ (1941);</w:t>
      </w:r>
      <w:r w:rsidRPr="0044524F">
        <w:rPr>
          <w:rFonts w:ascii="Times New Roman" w:hAnsi="Times New Roman"/>
          <w:color w:val="000000" w:themeColor="text1"/>
          <w:sz w:val="16"/>
          <w:szCs w:val="16"/>
          <w:vertAlign w:val="superscript"/>
        </w:rPr>
        <w:t>132</w:t>
      </w:r>
      <w:r w:rsidRPr="0044524F">
        <w:rPr>
          <w:rFonts w:ascii="Times New Roman" w:hAnsi="Times New Roman"/>
          <w:color w:val="000000" w:themeColor="text1"/>
          <w:sz w:val="16"/>
          <w:szCs w:val="16"/>
        </w:rPr>
        <w:t xml:space="preserve"> котлы, душевые установки (-1938), противогазовая защита «ТЧ» (1938) (11982).</w:t>
      </w:r>
    </w:p>
    <w:p w14:paraId="7750BE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FB4B4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завод (Завод № 557 НКБ, п/я 2220 /г. Москва 130 п/я 2220 «Копир» (1943 г.)/), построеннный в Москве в 1897, был реконструирован, действовал в ведении НК стройматериалов. В 04.1943-09.1944 г. - в ведении 4ГУ НКБ. В соответствии с распоряжением ГКО № 4375 от 21.10.1943 г. заводу передан совхоз «Турово» (Серпуховским р-н).</w:t>
      </w:r>
    </w:p>
    <w:p w14:paraId="028E15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 ГКО № 4440 от 28.10.1943 г. на завод передано производство корпусов 76-мм снарядов с завода №658 НКЭП.</w:t>
      </w:r>
    </w:p>
    <w:p w14:paraId="1FD815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составе завода основные цехи (1943 г.): механический, термический, литейный.</w:t>
      </w:r>
    </w:p>
    <w:p w14:paraId="3FCBAC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Площадь: производственная- 14954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 вспомогательная- 9000 м</w:t>
      </w:r>
      <w:r w:rsidRPr="0044524F">
        <w:rPr>
          <w:rFonts w:ascii="Times New Roman" w:hAnsi="Times New Roman"/>
          <w:color w:val="000000" w:themeColor="text1"/>
          <w:sz w:val="16"/>
          <w:szCs w:val="16"/>
          <w:vertAlign w:val="superscript"/>
        </w:rPr>
        <w:t>2</w:t>
      </w:r>
      <w:r w:rsidRPr="0044524F">
        <w:rPr>
          <w:rFonts w:ascii="Times New Roman" w:hAnsi="Times New Roman"/>
          <w:color w:val="000000" w:themeColor="text1"/>
          <w:sz w:val="16"/>
          <w:szCs w:val="16"/>
        </w:rPr>
        <w:t>.</w:t>
      </w:r>
    </w:p>
    <w:p w14:paraId="03A108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(-04-11.1943 г.-)- пп Бриль.</w:t>
      </w:r>
    </w:p>
    <w:p w14:paraId="53BF2D3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планового (04.1943 г.)- Тимошевский.</w:t>
      </w:r>
    </w:p>
    <w:p w14:paraId="6835B9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Производство:</w:t>
      </w:r>
      <w:r w:rsidRPr="0044524F">
        <w:rPr>
          <w:rFonts w:ascii="Times New Roman" w:hAnsi="Times New Roman"/>
          <w:color w:val="000000" w:themeColor="text1"/>
          <w:sz w:val="16"/>
          <w:szCs w:val="16"/>
        </w:rPr>
        <w:t xml:space="preserve"> корпуса снарядов 76-мм (1943) (11982).</w:t>
      </w:r>
    </w:p>
    <w:p w14:paraId="702495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697A8D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была разработана 152-мм пушка обр. 1910/1934 г. (в 1935-1936 гг. она именовалась 152-мм гаубицей обр. 1934 г.), которая имела много недостатков. Основными из них были:</w:t>
      </w:r>
    </w:p>
    <w:p w14:paraId="433620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Подрессорен был только лафет, а передок не имел подрессоривания, и скорость возки по шоссе была ограничена 18-20 км/час.</w:t>
      </w:r>
    </w:p>
    <w:p w14:paraId="0E8965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Подрессоривание выключалось специальным механизмом, а не автоматически, на что уходило 2 3 минуты.</w:t>
      </w:r>
    </w:p>
    <w:p w14:paraId="4804F6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Верхний станок представлял собой слишком сложную отливку.</w:t>
      </w:r>
    </w:p>
    <w:p w14:paraId="017B93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 самым серьезным недостатком было совмещение подъемного и уравновешивающего механизма в одной системе. Скорость ВН за один оборот маховика не превышала 10 минут, что было предельно мало. Наконец, система 1934 г. хоть и именовалась гаубицей, но угол возвышения у нее (+45) для гаубиц 30-х голов был слишком мал (3861).</w:t>
      </w:r>
    </w:p>
    <w:p w14:paraId="7CE2B8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0C27A3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C 1933 на Кировском заводе производилась 76-мм танковая пушка обр. 1927/32 г. - КТ, которая была разработана в КБ Кировского завода на базе 76-мм полковой пушки обр. 1927 года. Основным отличием ее было уменьшение длины отката пушки с 1000 мм до 500 мм (для уменьшения габаритов башни). На заводе пушке был присвоен индекс КТ (Кировская танковая). В некоторых случаях пушки именовали КТ-26, КТ-28 и КТ-35 по типу танка, но принципиальных различий у типов этих пушек не было. Пушки КТ устанавливались на серийных танках Т-35, Т-28, БТ-7А. На Т-26 пушка не прижилась. В 1933 году было сдано 55 штук, в 1934 году - 202, в 1935 году - 102 и т.д.</w:t>
      </w:r>
    </w:p>
    <w:p w14:paraId="5FD759A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вооружении Красной армии состояло несколько типов 76-мм танковых пушек. Чтобы разобраться в них, проще всего провести классификацию пушек по боекомплектам, разделив их на три группы:</w:t>
      </w:r>
    </w:p>
    <w:p w14:paraId="63968A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Танковая пушка обр.1927/32 г. стреляла выстрелом только от 76-мм полковой пушки обр.1927 года.</w:t>
      </w:r>
    </w:p>
    <w:p w14:paraId="215B546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 Танковые пушки ПС-3, Л-10, Л-7 и ТГ стреляли выстрелами от 76-мм пушки обр.1902 года.</w:t>
      </w:r>
    </w:p>
    <w:p w14:paraId="47C0B0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 Танковые пушки Ф-32, Л-11, Ф-34, ЗИС-5, Л-15 и Д-56 стреляли выстрелами от 76-мм пушки обр.1902/30 г.</w:t>
      </w:r>
    </w:p>
    <w:p w14:paraId="464F79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Напомним, что пушки обр.1902 г. и 1902/30 г. имели одинаковые гильзы, а выстрелы пушки обр.1902/30 г. имели чуть больший заряд, чем у обр.1902 г. Таблицы стрельбы военных лет разрешали стрельбу бронебойным выстрелом пушек обр.1902/30 г. из пушек обр.1902 г. Таким образом, из пушек второй группы можно было стрелять и выстрелами пушек обр.1902/30 г., но с некоторым риском порчи противооткатных устройств, спроектированных под выстрел 1902 г.</w:t>
      </w:r>
    </w:p>
    <w:p w14:paraId="71F2B0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Баллистика танковой пушки 1927/32 г. совпадает с баллистикой 76-мм полковой пушки обр.1927 г.</w:t>
      </w:r>
    </w:p>
    <w:p w14:paraId="066EDC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 ПС-3 и Л-10 были короче пушки обр.1902 г. и имели несколько худшую баллистику по сравнению с ней.</w:t>
      </w:r>
    </w:p>
    <w:p w14:paraId="6609C2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 Ф-32 и Л-11 имели баллистику пушек обр.1902/30 г. длиной в 30 клб.</w:t>
      </w:r>
    </w:p>
    <w:p w14:paraId="1F707D0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 Ф-34, ЗИС-5, Л-15 и Д-56 имели баллистику пушки обр.1902/30 г. длиной в 40 клб.</w:t>
      </w:r>
    </w:p>
    <w:p w14:paraId="397993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76-мм танковая пушка обр.1927/32 г. была разработана в КБ Кировского завода на базе 76-мм полковой пушки обр.1927 года. Основным отличием ее было уменьшение длины отката пушки с 1000 мм до 500 мм (для уменьшения габаритов башни). На заводе пушке был присвоен индекс КТ (Кировская танковая). В некоторых случаях пушки именовали КТ-26, КТ-28 и КТ-35 по типу танка, но принципиальных различий у типов этих пушек не было.</w:t>
      </w:r>
    </w:p>
    <w:p w14:paraId="08193E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Пушки КТ устанавливались на серийных танках Т-35, Т-28, БТ-7А. На Т-26 пушка не прижилась. Пушки КТ производились на Кировском заводе с 1933 года. В 1933 году было сдано 55 штук, в 1934 году - 202, в 1935 году - 102 и т.д. К 1 ноября 1936 года в РККА состояло 372 боевых пушек КТ и 21 учебная. Кроме того, имелось 5 пушек КТ-27, установленных на танках Т-27 (3861).</w:t>
      </w:r>
    </w:p>
    <w:p w14:paraId="4B8CCF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402D0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 1933 год первоначально МЗМ было заказано 30 152-мм гаубиц НГ, но по просьбе завода их число сократили до 8 штук. Из низ 4 гаубицы сданы в декабре 1933 года, а остальные 4 в 1934 году. Отставание от плана МЗМ в 1933 году было вызвано отсутствием разработанного технического процесса, инструментов и </w:t>
      </w:r>
      <w:r w:rsidRPr="0044524F">
        <w:rPr>
          <w:rFonts w:ascii="Times New Roman" w:hAnsi="Times New Roman"/>
          <w:color w:val="000000" w:themeColor="text1"/>
          <w:sz w:val="16"/>
          <w:szCs w:val="16"/>
        </w:rPr>
        <w:lastRenderedPageBreak/>
        <w:t>приспособлений. Система изготавливалась полукустарным методом (без взаимозаменяемости). По немецкому проекту ствол гаубицы должен быть скрепленный. Но на 1933 года МЗМ было первоначально выдано задание делать лейнеры и лейнированные стволы, а также сварные лафеты (3861).</w:t>
      </w:r>
    </w:p>
    <w:p w14:paraId="2B0A6E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A47B9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на заводе № 8 по чертежам СКБ ОГПУ (специальной шаражки, созданной на заводе N 8 для отладки 45-мм ПТП) была изготовлена модернизированная пушка 19-К. Эта пушка получила название "45-мм ПТП обр. 1933 г.", но позже это название не прижилось. По сравнению с обр. 1932 г. в модернизированной пушке были утолщены щеки казенника, удлинен кожух, изменен клин затвора. Основным же изменением было введение полуавтоматики инерционного типа, работавшей за счет инерции отката, взамен прежней полуавтоматики механического типа, работавшей за счет энергии отката. Ведь пушка обр. 1932 г. была фактически четверть-автоматической. Кроме того, было изменено устройство компрессора. Вес пушки в боевом положении составил 414 кг (3861).</w:t>
      </w:r>
    </w:p>
    <w:p w14:paraId="3CB1D4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D42AE8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план 62 152-мм мортир обр. 1931 г., по отчету сдано 50 мортир, а по другим сведениям 37 (видимо, в число 50 было включено 13 мортир из программы 1932 года). 152-мм мортиры обр. 1931 г. изготавливались только на МЗМ (3861).</w:t>
      </w:r>
    </w:p>
    <w:p w14:paraId="522DC1B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06C5E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Брянский механический завод № 13 делал передки 152-мм мортир обр. 1931 (3861).</w:t>
      </w:r>
    </w:p>
    <w:p w14:paraId="1874D4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5099EB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группой Д ГДЛ была разработана еще одна модификация 165-мм полкового миномета АМ-3. Основным его отличием была большая дальность стрельбы 5500 м. ПМ-3 стрелял теми же минами, что и ПМ-1, и ПМ-2. Несколько единиц 165-мм минометов ПМ-1, ПМ-2 и ПМ-3 было изготовлено на заводе "Красный Октябрь" (г. Харьков) с участием мастерских АНИИ. Точное число изготовленных минометов установить не удалось, так как данные по производству и службе минометов в 1920-1936 годах в большинстве своем до сих пор являются секретными, так это все было связано с химическими частями (3861).</w:t>
      </w:r>
    </w:p>
    <w:p w14:paraId="6D1BFA9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568B68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начальник АНИМИ приказал 130/55-мм пушку как полигональную "с плана снять". А взамен заводу "надлежит нарезать 130/55-мм пушку №7 углубленной нарезкой по чертежам, выданным на завод... Нарезку закончить к 15.12.1933 г.". В 30-е годы 130/55-мм пушки использовались для различных опытов. Так, АНИМИ разработал проект переделки 130-мм пушки в полигональную. Заводу "Большевик" был дан заказ на переделку 130-мм пушки со сроком готовности 1.10.1932 г (3861).</w:t>
      </w:r>
    </w:p>
    <w:p w14:paraId="7D2F9D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6BD219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АУ выдало заводу № 38 задание спроектировать гусеничный ход для 122-мм пушки обр. 1931 г. в связи с ее малой проходимостью на колесном ходу. Завод № 38 такой ход разработал, причем траки гусениц были приняты от танка Т-26. Рабочие чертежи гусеничного хода были утверждены АУ в 1934 году (3861).</w:t>
      </w:r>
    </w:p>
    <w:p w14:paraId="40BF5E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8A3AA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производство гаубиц Б-4 было начато на заводе "Баррикады" (3861).</w:t>
      </w:r>
    </w:p>
    <w:p w14:paraId="09D098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274D3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завод "Баррикады" предъявил к сдаче лишь одну гаубицу, но и ее не смогли сдать до конца года (3861).</w:t>
      </w:r>
    </w:p>
    <w:p w14:paraId="76DF2A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A8180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в ГКБ-38 были разработаны чертежи опытной серии корпусной 122-мм пушек и присвоен индекс А-19 (А это индекс ГКБ-38) (3861).</w:t>
      </w:r>
    </w:p>
    <w:p w14:paraId="052235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C5CDB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заводу "Баррикады" была заказана первая опытная серия в 3 122-мм пушки А-19 (3861).</w:t>
      </w:r>
    </w:p>
    <w:p w14:paraId="616167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0D261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группа Д ГДЛ передала Артуправлению два проекта тяжелых минометов ТМ и 400 Р.О. Проекты минометов были одобрены, однако по неясным причинам работы по ним не были доведены до испытаний опытных образцов (3861).</w:t>
      </w:r>
    </w:p>
    <w:p w14:paraId="51E646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A2C5A6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инженер Упорников предложил проект переделки 180-мм пушки Б-1-К в полигональную, что и было сделано на Обуховском заводе. Сечение канала имело 8 граней с крутизной наклона 20 калибров. Диаметр по вершинам граней был 200 мм, а по серединам 190 мм. Вес снаряда 100 кг, начальная скорость 940 м/с, максимальное давление в канале 3200 кг/см2. Однако из-за сложности изготовления и эксплуатации полигональных орудий на вооружение они приняты не были. Испытания пушки №1203 и теоретические расчеты показали, что чудес на свете не бывает и 180-мм суперпушки не получится, а если бы и удалось сделать таковую с давлением в патроннике 4000 кг/см2, то ее живучесть вряд ли бы достигла и десятка выстрелов. Фактически при весе снаряда 97,5 кг начальная скорость составила 920 м/с, давление в канале 3200 кг/см2, а живучесть около 70 выстрелов (3861).</w:t>
      </w:r>
    </w:p>
    <w:p w14:paraId="6295AF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37ECD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под руководством Упорникова был разработан проект переделки 203/50-мм пушки в полигональную. По этому проекту была переделана уже многократно переделывавшаяся пушка №1203 (ее уже один раз перестволяли в 180-мм). Калибр ее стал 200/190 мм. Число граней 8, крутизна граней постоянная в 20 калибров. Вес снаряда 100 кг, начальная скорость 940 м/с. Дальность стрельбы предполагали 4550 км. Тем не менее работы по полигональным орудиям пришлось прекратить. Мало того, что полигональные орудия были сложны в производстве, их эксплуатация на службе была почти невозможна, особенно в отношении заряжания. Кстати, по этим же причинам испытания полигональных орудий были прекращены во всем мире в 70-х годах XIX века. Другой вопрос, что в 20-30-х годах ХХ века мучились с полигональными системами не только мы, но, к примеру, еще и французы. Великая Отечественная война прервала работы над орудиями сверхдальней стрельбы. Они возобновились лишь во второй половине 1945 года (3861).</w:t>
      </w:r>
    </w:p>
    <w:p w14:paraId="52992C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94DCBF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"Красный Путиловец" изготовил два экземпляра пушки Л-2 с длиной ствола в 60 клб. Первый имел ствол со свободной трубой, а второй скрепленный ствол. Это была вторая 76-мм универсальная пушка, также разработанная в КБ завода "Красный Путиловец". Она именовалась уже не дивизионной или корпусной, а просто универсальной пушкой "большой мощности". Главный конструктор Маханов (3861).</w:t>
      </w:r>
    </w:p>
    <w:p w14:paraId="1895F6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C281C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заводу № 65 было дано задание изготовить 400 лафето-пробных полигональных снарядов и 100 боевых (из них 50 весом 90 кг и 50 весом 70 кг) для 152-мм дальнобойной пушки Б-10 (3861).</w:t>
      </w:r>
    </w:p>
    <w:p w14:paraId="39E9E57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D1509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возникло Специальное конструкторское бюро ОГПУ на заводе № 8 им. Калинина в подмосковной деревне Подлипки (11231).</w:t>
      </w:r>
    </w:p>
    <w:p w14:paraId="0B231C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D01C037" w14:textId="687CFC2C"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завод № 185 приступил к проектированию на базе Т-26 безбашен</w:t>
      </w:r>
      <w:r w:rsidRPr="0044524F">
        <w:rPr>
          <w:rFonts w:ascii="Times New Roman" w:hAnsi="Times New Roman"/>
          <w:color w:val="000000" w:themeColor="text1"/>
          <w:sz w:val="16"/>
          <w:szCs w:val="16"/>
        </w:rPr>
        <w:softHyphen/>
        <w:t>ного артиллерийского танка АТ-1. Эта машина представляла собой самоходно типа</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Вместо башни и подбашенной коробки была смонтирована броневая рубка с верхним поясом в виде откидных щитов, что улучшало обзор поля боя и условия работы прислуги при поддержке атаки из второго эшелона.</w:t>
      </w:r>
    </w:p>
    <w:p w14:paraId="2737DCB1" w14:textId="77777777" w:rsidR="00742DA3" w:rsidRPr="0044524F" w:rsidRDefault="00742DA3"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В боевом отделении на тумбовой уста</w:t>
      </w:r>
      <w:r w:rsidRPr="0044524F">
        <w:rPr>
          <w:rFonts w:ascii="Times New Roman" w:cs="Times New Roman"/>
          <w:color w:val="000000" w:themeColor="text1"/>
          <w:spacing w:val="0"/>
        </w:rPr>
        <w:softHyphen/>
        <w:t>новке была смонтирована пушка ПС-3. Пушка имела клиновой полуавтоматичес</w:t>
      </w:r>
      <w:r w:rsidRPr="0044524F">
        <w:rPr>
          <w:rFonts w:ascii="Times New Roman" w:cs="Times New Roman"/>
          <w:color w:val="000000" w:themeColor="text1"/>
          <w:spacing w:val="0"/>
        </w:rPr>
        <w:softHyphen/>
        <w:t>кий затвор и скорострельность 15 — 18 выстр./мин. Горизонтальный угол наведе</w:t>
      </w:r>
      <w:r w:rsidRPr="0044524F">
        <w:rPr>
          <w:rFonts w:ascii="Times New Roman" w:cs="Times New Roman"/>
          <w:color w:val="000000" w:themeColor="text1"/>
          <w:spacing w:val="0"/>
        </w:rPr>
        <w:softHyphen/>
        <w:t>ния составлял около 5°, вертикальный — от -15° до +15°. Правее пушки в шаровой установке был смонтирован пулемет ДТ. Для ведения прицельного огня пушка снабжалась телескопическим и панорам</w:t>
      </w:r>
      <w:r w:rsidRPr="0044524F">
        <w:rPr>
          <w:rFonts w:ascii="Times New Roman" w:cs="Times New Roman"/>
          <w:color w:val="000000" w:themeColor="text1"/>
          <w:spacing w:val="0"/>
        </w:rPr>
        <w:softHyphen/>
        <w:t>ным прицелами. Боекомплект пушки со</w:t>
      </w:r>
      <w:r w:rsidRPr="0044524F">
        <w:rPr>
          <w:rFonts w:ascii="Times New Roman" w:cs="Times New Roman"/>
          <w:color w:val="000000" w:themeColor="text1"/>
          <w:spacing w:val="0"/>
        </w:rPr>
        <w:softHyphen/>
        <w:t>стоял из 41 выстрела, пулемета — 1827 патронов.</w:t>
      </w:r>
    </w:p>
    <w:p w14:paraId="251A3C8F" w14:textId="77777777" w:rsidR="00742DA3" w:rsidRPr="0044524F" w:rsidRDefault="00742DA3" w:rsidP="009654CF">
      <w:pPr>
        <w:pStyle w:val="27"/>
        <w:shd w:val="clear" w:color="auto" w:fill="auto"/>
        <w:spacing w:after="0" w:line="240" w:lineRule="auto"/>
        <w:ind w:firstLine="0"/>
        <w:rPr>
          <w:rFonts w:ascii="Times New Roman" w:cs="Times New Roman"/>
          <w:color w:val="000000" w:themeColor="text1"/>
          <w:spacing w:val="0"/>
        </w:rPr>
      </w:pPr>
      <w:r w:rsidRPr="0044524F">
        <w:rPr>
          <w:rFonts w:ascii="Times New Roman" w:cs="Times New Roman"/>
          <w:color w:val="000000" w:themeColor="text1"/>
          <w:spacing w:val="0"/>
        </w:rPr>
        <w:t xml:space="preserve">В 1935 году состоялись испытания </w:t>
      </w:r>
      <w:r w:rsidRPr="0044524F">
        <w:rPr>
          <w:rFonts w:ascii="Times New Roman" w:cs="Times New Roman"/>
          <w:color w:val="000000" w:themeColor="text1"/>
          <w:spacing w:val="0"/>
          <w:lang w:val="en-US"/>
        </w:rPr>
        <w:t>AT</w:t>
      </w:r>
      <w:r w:rsidRPr="0044524F">
        <w:rPr>
          <w:rFonts w:ascii="Times New Roman" w:cs="Times New Roman"/>
          <w:color w:val="000000" w:themeColor="text1"/>
          <w:spacing w:val="0"/>
        </w:rPr>
        <w:t>-1, на которых были достигнуты хоро</w:t>
      </w:r>
      <w:r w:rsidRPr="0044524F">
        <w:rPr>
          <w:rFonts w:ascii="Times New Roman" w:cs="Times New Roman"/>
          <w:color w:val="000000" w:themeColor="text1"/>
          <w:spacing w:val="0"/>
        </w:rPr>
        <w:softHyphen/>
        <w:t>шие результаты. Наибольшая дальность стрельбы, например, составила 10 580 м, тогда как по техзаданию должна была со</w:t>
      </w:r>
      <w:r w:rsidRPr="0044524F">
        <w:rPr>
          <w:rFonts w:ascii="Times New Roman" w:cs="Times New Roman"/>
          <w:color w:val="000000" w:themeColor="text1"/>
          <w:spacing w:val="0"/>
        </w:rPr>
        <w:softHyphen/>
        <w:t>ставлять 7500 — 8000 м. САУ была реко</w:t>
      </w:r>
      <w:r w:rsidRPr="0044524F">
        <w:rPr>
          <w:rFonts w:ascii="Times New Roman" w:cs="Times New Roman"/>
          <w:color w:val="000000" w:themeColor="text1"/>
          <w:spacing w:val="0"/>
        </w:rPr>
        <w:softHyphen/>
        <w:t>мендована для принятия на вооружение, но к маю 1936 года ни одна из 5 заказан</w:t>
      </w:r>
      <w:r w:rsidRPr="0044524F">
        <w:rPr>
          <w:rFonts w:ascii="Times New Roman" w:cs="Times New Roman"/>
          <w:color w:val="000000" w:themeColor="text1"/>
          <w:spacing w:val="0"/>
        </w:rPr>
        <w:softHyphen/>
        <w:t>ных для войсковых испытаний машин и пушек для них сданы заказчику не были. В дальнейшем работы над АТ-1, как, впрочем, и над пушкой ПС-3, были свернуты (15232).</w:t>
      </w:r>
    </w:p>
    <w:p w14:paraId="7A91EDA6" w14:textId="77777777" w:rsidR="00742DA3" w:rsidRPr="0044524F" w:rsidRDefault="00742DA3" w:rsidP="009654CF">
      <w:pPr>
        <w:pStyle w:val="27"/>
        <w:shd w:val="clear" w:color="auto" w:fill="auto"/>
        <w:spacing w:after="0" w:line="240" w:lineRule="auto"/>
        <w:ind w:firstLine="0"/>
        <w:rPr>
          <w:rFonts w:ascii="Times New Roman" w:cs="Times New Roman"/>
          <w:color w:val="000000" w:themeColor="text1"/>
          <w:spacing w:val="0"/>
        </w:rPr>
      </w:pPr>
    </w:p>
    <w:p w14:paraId="4B56DFE2"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телеуправляемый танк под индексом ТТ-18 (модификация танка МС-1) испытывался с аппаратурой управления, размещенной на месте водителя. Этот танк мог выполнять 16 команд: поворачиваться, менять скорость, останавливаться, снова начинать движение, подрывать заряд ВВ, а при установке специальной аппаратуры — и ставить дым-завесу или выпускать ОВ. Дальность действия ТТ-18 была не более нескольких сотен метров. В ТТ-18 переоборудовали не менее семи штатных танков, но на вооружение система так и не поступила (15117).</w:t>
      </w:r>
    </w:p>
    <w:p w14:paraId="5ED7AE34" w14:textId="77777777" w:rsidR="00742DA3" w:rsidRPr="0044524F" w:rsidRDefault="00742DA3" w:rsidP="009654CF">
      <w:pPr>
        <w:spacing w:after="0" w:line="240" w:lineRule="auto"/>
        <w:jc w:val="both"/>
        <w:rPr>
          <w:rFonts w:ascii="Times New Roman" w:hAnsi="Times New Roman"/>
          <w:color w:val="000000" w:themeColor="text1"/>
          <w:sz w:val="16"/>
          <w:szCs w:val="16"/>
        </w:rPr>
      </w:pPr>
    </w:p>
    <w:p w14:paraId="1342D736"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«Красный путиловец» изготовил два экземпляра 76-мм универсальной пушки Л-2 с длиной ствола в 60 клб. Первый имел ствол со свободной трубой, а второй — скрепленный ствол.</w:t>
      </w:r>
    </w:p>
    <w:p w14:paraId="0646EFB0" w14:textId="77777777" w:rsidR="00742DA3" w:rsidRPr="0044524F" w:rsidRDefault="00742DA3"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Проекте Постановления ЦК ВКП(б) (январь 1934 г.) о работе КБ завода «Красный путиловец» сказано: «До сих пор универсальная пушка Л-2 не изготовлена, на которую уже потрачено до 1,5 млн. рублей, не может быть подана для отстрела, ввиду недоработанности уравновешивающего и подъемного механизмов» (15117).</w:t>
      </w:r>
    </w:p>
    <w:p w14:paraId="6A65E7D6" w14:textId="77777777" w:rsidR="00742DA3" w:rsidRPr="0044524F" w:rsidRDefault="00742DA3" w:rsidP="009654CF">
      <w:pPr>
        <w:spacing w:after="0" w:line="240" w:lineRule="auto"/>
        <w:jc w:val="both"/>
        <w:rPr>
          <w:rFonts w:ascii="Times New Roman" w:hAnsi="Times New Roman"/>
          <w:color w:val="000000" w:themeColor="text1"/>
          <w:sz w:val="16"/>
          <w:szCs w:val="16"/>
        </w:rPr>
      </w:pPr>
    </w:p>
    <w:p w14:paraId="627BDFB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бывший "Путиловский завод", основанный в 1801 г., как центр производства кораблей локомотивов и артиллерии и в 1922-1934 гг. носивший название завод "Красный Путиловец" (будущий "Кировский завод") в Ленинграде начал производство средних танков, но к 1941 году перешел на тяжёлые танки (4018).</w:t>
      </w:r>
    </w:p>
    <w:p w14:paraId="4542940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6357F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1933 году начался выпуск однобашенного варианта танка Т-26, оснащенного цилиндрической башней большого диаметра (аналогичной башне БТ-5), в которой разместилась 45-мм пушка 20K образца 1932/38 года со спаренным пулеметом ДТ. Это была самая массовая модификация танка, всего советская промышленность дала более 5000 таких машин. В ходе серийного выпуска конструкция танка подвергалась многочисленным изменениям и доработкам: была увеличена емкость топливных баков, танк оснастили зенитным пулеметом, начиная с 1937 года все танки были радиофицированы (радиостанция 71-ТК-З), вместо клепки широко использовали сварку, пушка получила литую маску, были усовершенствованы прицелы, для стрельбы в темноте пушку оснастили мощным прожектором, разные модификации танка отличались друг от друга возимым боезапасом и постоянно возрастающей массой (3862).</w:t>
      </w:r>
    </w:p>
    <w:p w14:paraId="6D6A0D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88B14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завод "Красный Пролетарий" разработал на базе танка Т-26 танк поддержки пехоты. Первый проект - П-Т-26 - так и остался на бумаге. Затем последовал проект "артиллерийского" танка - Т-26А или Т-26-4 с башней от танка БТ-7А, в которой располагалась 76.2-мм пушка КТ-26. Машины этого типа должны были следовать позади обычных танков и огнем своих мощных пушек подавлять цели, против которых оказались бессильны пушки калибра 45 мм. В 1934-1935 годах построили 65 таких машин, после чего от их выпуска, по-видимому, отказались (3862).</w:t>
      </w:r>
    </w:p>
    <w:p w14:paraId="2A98EB9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1059284" w14:textId="77777777" w:rsidR="003705F0" w:rsidRPr="00142305" w:rsidRDefault="003705F0" w:rsidP="003705F0">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году, когда конструкторское бюро технического отдела экономического отделения ОГПУ, в котором работали арестованные конструк</w:t>
      </w:r>
      <w:r w:rsidRPr="00142305">
        <w:rPr>
          <w:rFonts w:ascii="Times New Roman" w:hAnsi="Times New Roman"/>
          <w:color w:val="0070C0"/>
          <w:sz w:val="16"/>
          <w:szCs w:val="16"/>
        </w:rPr>
        <w:softHyphen/>
        <w:t>торы, разработало и изготовило на заводе «Красный Пролетарий» в Москве танк ПТ-1. ПТ-1 являлся дальнейшим развитием танка БТ, но в отличие от «бетешки» он имел привод на три пары опорных катков при движении на колесах, а также мог плавать. Параллельно с этим были разработаны пять вариантов «не</w:t>
      </w:r>
      <w:r w:rsidRPr="00142305">
        <w:rPr>
          <w:rFonts w:ascii="Times New Roman" w:hAnsi="Times New Roman"/>
          <w:color w:val="0070C0"/>
          <w:sz w:val="16"/>
          <w:szCs w:val="16"/>
        </w:rPr>
        <w:softHyphen/>
        <w:t>плавающего колесно-гусеничного танка типа ПТ-1». Они различались размещением воору</w:t>
      </w:r>
      <w:r w:rsidRPr="00142305">
        <w:rPr>
          <w:rFonts w:ascii="Times New Roman" w:hAnsi="Times New Roman"/>
          <w:color w:val="0070C0"/>
          <w:sz w:val="16"/>
          <w:szCs w:val="16"/>
        </w:rPr>
        <w:softHyphen/>
        <w:t>жения (в одной или трех башнях) и толщиной брони - от 15 до 30 мм. После обсуждения проектов, предпочтение отдали трехбашен</w:t>
      </w:r>
      <w:r w:rsidRPr="00142305">
        <w:rPr>
          <w:rFonts w:ascii="Times New Roman" w:hAnsi="Times New Roman"/>
          <w:color w:val="0070C0"/>
          <w:sz w:val="16"/>
          <w:szCs w:val="16"/>
        </w:rPr>
        <w:softHyphen/>
        <w:t>ным вариантам № 4 и 5, которые планирова</w:t>
      </w:r>
      <w:r w:rsidRPr="00142305">
        <w:rPr>
          <w:rFonts w:ascii="Times New Roman" w:hAnsi="Times New Roman"/>
          <w:color w:val="0070C0"/>
          <w:sz w:val="16"/>
          <w:szCs w:val="16"/>
        </w:rPr>
        <w:softHyphen/>
        <w:t>лось изготовить в «металле» в конце 1933 года. Но в связи с расформированием КБ ОГПУ, эту работу передали на опытный завод им. Кирова в Ленинграде, который в 1934 го</w:t>
      </w:r>
      <w:r w:rsidRPr="00142305">
        <w:rPr>
          <w:rFonts w:ascii="Times New Roman" w:hAnsi="Times New Roman"/>
          <w:color w:val="0070C0"/>
          <w:sz w:val="16"/>
          <w:szCs w:val="16"/>
        </w:rPr>
        <w:softHyphen/>
        <w:t>ду построил два трехбашеиных колесно-гусе</w:t>
      </w:r>
      <w:r w:rsidRPr="00142305">
        <w:rPr>
          <w:rFonts w:ascii="Times New Roman" w:hAnsi="Times New Roman"/>
          <w:color w:val="0070C0"/>
          <w:sz w:val="16"/>
          <w:szCs w:val="16"/>
        </w:rPr>
        <w:softHyphen/>
        <w:t>ничных танка, получивших обозначения Т-29-4 и Т-29-5. Они имели одинаковое во</w:t>
      </w:r>
      <w:r w:rsidRPr="00142305">
        <w:rPr>
          <w:rFonts w:ascii="Times New Roman" w:hAnsi="Times New Roman"/>
          <w:color w:val="0070C0"/>
          <w:sz w:val="16"/>
          <w:szCs w:val="16"/>
        </w:rPr>
        <w:softHyphen/>
        <w:t>оружение - 76,2-мм пушку КТ-28 и пять пу</w:t>
      </w:r>
      <w:r w:rsidRPr="00142305">
        <w:rPr>
          <w:rFonts w:ascii="Times New Roman" w:hAnsi="Times New Roman"/>
          <w:color w:val="0070C0"/>
          <w:sz w:val="16"/>
          <w:szCs w:val="16"/>
        </w:rPr>
        <w:softHyphen/>
        <w:t>леметов ДТ - и различались между собой бронированием (15-20 мм и 20-30 мм соот</w:t>
      </w:r>
      <w:r w:rsidRPr="00142305">
        <w:rPr>
          <w:rFonts w:ascii="Times New Roman" w:hAnsi="Times New Roman"/>
          <w:color w:val="0070C0"/>
          <w:sz w:val="16"/>
          <w:szCs w:val="16"/>
        </w:rPr>
        <w:softHyphen/>
        <w:t>ветственно), массой (16 и 23,5 т), скоростью движения и рядом других параметров (25016).</w:t>
      </w:r>
    </w:p>
    <w:p w14:paraId="3DD28E0C" w14:textId="77777777" w:rsidR="003705F0" w:rsidRPr="00142305" w:rsidRDefault="003705F0" w:rsidP="003705F0">
      <w:pPr>
        <w:spacing w:after="0" w:line="240" w:lineRule="auto"/>
        <w:jc w:val="both"/>
        <w:rPr>
          <w:rFonts w:ascii="Times New Roman" w:hAnsi="Times New Roman"/>
          <w:color w:val="0070C0"/>
          <w:sz w:val="16"/>
          <w:szCs w:val="16"/>
        </w:rPr>
      </w:pPr>
    </w:p>
    <w:p w14:paraId="47937F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первые 10 танков поступили во 2-й отдельный танковый полк Резерва Главного Командования (РГК) Ленинградского военного округа (3862).</w:t>
      </w:r>
    </w:p>
    <w:p w14:paraId="008F95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F5943A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на БТ-5 установили съемные нос и хвост для преодоления рвов шириной до 4 м. При преодолении эскарпов нос работал на удар и работы прекратили (3880,31).</w:t>
      </w:r>
    </w:p>
    <w:p w14:paraId="3E85DCC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07476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на смену БТ-2 пришла значительно улучшенная модель БТ-5. В нем, на основе результатов испытаний и эксплуатации в войсках, были устранены основные недостатки предшественника.</w:t>
      </w:r>
    </w:p>
    <w:p w14:paraId="7EE3D2D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Танки БТ-5 получили башню увеличенных размеров новой конструкции. В ней установлены спаренные 45-мм пушка образца 1932 года советской разработки и пулемет ДТ. Башня имела кормовую нишу, в которой (только на командирских танках) размещалась радиостанция. Вокруг башни крепилась поручневая антенна.</w:t>
      </w:r>
    </w:p>
    <w:p w14:paraId="051D0EB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линейных танках без радиостанций в кормовой нише башни размещалась часть боекомплекта. Танк имел два прицела: телескопический и перископический. Незначительные изменения были внесены в конструкцию корпуса и ходовой части. Двигатель остался тот же. В силовом отделении было установлено противопожарное оборудование (ППО).</w:t>
      </w:r>
    </w:p>
    <w:p w14:paraId="46CAB0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8D236D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новые танки БТ-5 вышли из заводских ворот. На них была установлена командирская радиостанция.</w:t>
      </w:r>
    </w:p>
    <w:p w14:paraId="6390050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Боевой вес танка достигал 11,5 т. По сравнению с танком БТ-2 его бронирование не претерпело изменений. Увеличение веса произошло в результате установки 45-мм пушки в башне больших размеров. Броне</w:t>
      </w:r>
      <w:r w:rsidRPr="0044524F">
        <w:rPr>
          <w:rFonts w:ascii="Times New Roman" w:hAnsi="Times New Roman"/>
          <w:color w:val="000000" w:themeColor="text1"/>
          <w:sz w:val="16"/>
          <w:szCs w:val="16"/>
        </w:rPr>
        <w:softHyphen/>
        <w:t>бойный снаряд пушки имел начальную скорость 760 м/сек, что сделало вооружение наших танков более мощным, чем на иностранных легких и некоторых средних танках. И это сохранялось не только в то время, но и в первые годы второй мировой войны. Боекомплект танка БТ-5 состоял из 72 артиллерийских выстрелов для танков с радиостанцией и 115 выстре</w:t>
      </w:r>
      <w:r w:rsidRPr="0044524F">
        <w:rPr>
          <w:rFonts w:ascii="Times New Roman" w:hAnsi="Times New Roman"/>
          <w:color w:val="000000" w:themeColor="text1"/>
          <w:sz w:val="16"/>
          <w:szCs w:val="16"/>
        </w:rPr>
        <w:softHyphen/>
        <w:t>лов для танков без радиостанции.</w:t>
      </w:r>
    </w:p>
    <w:p w14:paraId="271D5BE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небольшую часть танков БТ-5 была установлена 76,2-мм пушка. Имелся пулемет ДТ калибра 7,62 мм. Эти танки получили наименование «артиллерийских». Действуя во втором эшелоне, они должны были обес</w:t>
      </w:r>
      <w:r w:rsidRPr="0044524F">
        <w:rPr>
          <w:rFonts w:ascii="Times New Roman" w:hAnsi="Times New Roman"/>
          <w:color w:val="000000" w:themeColor="text1"/>
          <w:sz w:val="16"/>
          <w:szCs w:val="16"/>
        </w:rPr>
        <w:softHyphen/>
        <w:t>печивать огневую поддержку атакующих танков.</w:t>
      </w:r>
    </w:p>
    <w:p w14:paraId="2C5B3A2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КБ завода имени Коминтерна, возглавляемое А.О.Фирсовым, повез</w:t>
      </w:r>
      <w:r w:rsidRPr="0044524F">
        <w:rPr>
          <w:rFonts w:ascii="Times New Roman" w:hAnsi="Times New Roman"/>
          <w:color w:val="000000" w:themeColor="text1"/>
          <w:sz w:val="16"/>
          <w:szCs w:val="16"/>
        </w:rPr>
        <w:softHyphen/>
        <w:t>ло: в своей работе оно опиралось на взыскательную и заинтересованную помощь всех, от кого зависело превращение чертежей в боевую машину. Всем многотысячным коллективом отрабатывали каждый усиленный узел ходовой части, каждую ее детали, всем миром боролись за то, чтобы со</w:t>
      </w:r>
      <w:r w:rsidRPr="0044524F">
        <w:rPr>
          <w:rFonts w:ascii="Times New Roman" w:hAnsi="Times New Roman"/>
          <w:color w:val="000000" w:themeColor="text1"/>
          <w:sz w:val="16"/>
          <w:szCs w:val="16"/>
        </w:rPr>
        <w:softHyphen/>
        <w:t>зданный на заводе танк отвечал самым высоким взыскательным требова</w:t>
      </w:r>
      <w:r w:rsidRPr="0044524F">
        <w:rPr>
          <w:rFonts w:ascii="Times New Roman" w:hAnsi="Times New Roman"/>
          <w:color w:val="000000" w:themeColor="text1"/>
          <w:sz w:val="16"/>
          <w:szCs w:val="16"/>
        </w:rPr>
        <w:softHyphen/>
        <w:t>ниям современного боя (11504).</w:t>
      </w:r>
    </w:p>
    <w:p w14:paraId="42D3D6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3D1D8E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на базе Т-26 была изготовлена опытная партия бронетранспортеров - ТР-26 и ТР-4 для перевозки пехоты, ТР-4-1 для снабжения танковых частей в бою боеприпасами (3861).</w:t>
      </w:r>
    </w:p>
    <w:p w14:paraId="347C3E2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D6995F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базе танка образца 1931 г. был создан огнеметный танк ОТ-26, у которого была снята левая башня, а в оставшейся установлен огнемет. Масса этого танка составляла 9 т, а экипаж состоял из двух человек. С огнеметом же спарен 7,62 мм пулемет. Дальность огнеметания - 35 метров (3861).</w:t>
      </w:r>
    </w:p>
    <w:p w14:paraId="76AB14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C33B35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на базе Т-26 был создан танк-мостоукладчик ("саперный танк") с надвижным мостом длиной 7 м и грузоподъемностью 14 т (3861).</w:t>
      </w:r>
    </w:p>
    <w:p w14:paraId="0673C1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1E5AEE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неудачные испытания танка типа Д-38 и ос</w:t>
      </w:r>
      <w:r w:rsidRPr="0044524F">
        <w:rPr>
          <w:rFonts w:ascii="Times New Roman" w:hAnsi="Times New Roman"/>
          <w:color w:val="000000" w:themeColor="text1"/>
          <w:sz w:val="16"/>
          <w:szCs w:val="16"/>
        </w:rPr>
        <w:softHyphen/>
        <w:t>трое желание военных иметь танки «артиллерийского со</w:t>
      </w:r>
      <w:r w:rsidRPr="0044524F">
        <w:rPr>
          <w:rFonts w:ascii="Times New Roman" w:hAnsi="Times New Roman"/>
          <w:color w:val="000000" w:themeColor="text1"/>
          <w:sz w:val="16"/>
          <w:szCs w:val="16"/>
        </w:rPr>
        <w:softHyphen/>
        <w:t>провождения» в мехчастях привели к тому, что УММ РККА согласилось с доводами Т-2 О ХПЗ по изменению конструкции корпуса для возможности установки башни как с 45-мм, так и с 76-мм пушкой. 1 мая 1934 г. первый об</w:t>
      </w:r>
      <w:r w:rsidRPr="0044524F">
        <w:rPr>
          <w:rFonts w:ascii="Times New Roman" w:hAnsi="Times New Roman"/>
          <w:color w:val="000000" w:themeColor="text1"/>
          <w:sz w:val="16"/>
          <w:szCs w:val="16"/>
        </w:rPr>
        <w:softHyphen/>
        <w:t>разец танка БТ-7, вооруженного 76-мм пушкой в эллипти</w:t>
      </w:r>
      <w:r w:rsidRPr="0044524F">
        <w:rPr>
          <w:rFonts w:ascii="Times New Roman" w:hAnsi="Times New Roman"/>
          <w:color w:val="000000" w:themeColor="text1"/>
          <w:sz w:val="16"/>
          <w:szCs w:val="16"/>
        </w:rPr>
        <w:softHyphen/>
        <w:t>ческой башне, поступил на испытания. Однако в серии он не изготавливался по целому ряду причин, среди которых не последнее место занимала теснота в башне. В апреле 1934 г. одна кондиционная башня от Т-26-4 прибыла на ХПЗ, кото</w:t>
      </w:r>
      <w:r w:rsidRPr="0044524F">
        <w:rPr>
          <w:rFonts w:ascii="Times New Roman" w:hAnsi="Times New Roman"/>
          <w:color w:val="000000" w:themeColor="text1"/>
          <w:sz w:val="16"/>
          <w:szCs w:val="16"/>
        </w:rPr>
        <w:softHyphen/>
        <w:t>рый уже в течение полугода изучал ее документацию с целью возможности установки на БТ. Такое решение могло устро</w:t>
      </w:r>
      <w:r w:rsidRPr="0044524F">
        <w:rPr>
          <w:rFonts w:ascii="Times New Roman" w:hAnsi="Times New Roman"/>
          <w:color w:val="000000" w:themeColor="text1"/>
          <w:sz w:val="16"/>
          <w:szCs w:val="16"/>
        </w:rPr>
        <w:softHyphen/>
        <w:t>ить всех, ведь унификация была одним из столпов советской военной экономики. Были внесены небольшие изменения в конструкцию башенного погона, чтобы упростить его, уси</w:t>
      </w:r>
      <w:r w:rsidRPr="0044524F">
        <w:rPr>
          <w:rFonts w:ascii="Times New Roman" w:hAnsi="Times New Roman"/>
          <w:color w:val="000000" w:themeColor="text1"/>
          <w:sz w:val="16"/>
          <w:szCs w:val="16"/>
        </w:rPr>
        <w:softHyphen/>
        <w:t>лена крыша, предусмотрена установка кормового пулемета (11417).</w:t>
      </w:r>
    </w:p>
    <w:p w14:paraId="03746D6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496B2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телеуправляемый танк под индексом ТТ-18 (Т-18 — другое обозначение танка МС-1) испытывался с аппаратурой управления, размещенной на месте водителя. Теперь танк мог выполнять до 16 команд: поворачиваться, менять скорость, останавливаться, снова двигаться, подрывать заряд ВВ, а также в случае установки специальной аппаратуры ставить дымовую завесу или выпускать отравляющие вещества. Дальность действия ТТ-18 была не более нескольких сотен метров. Двигался он очень неровно, как говорят моряки: «рыскал на курсе», и, по-видимому, не мог действовать в условиях пониженной видимости. Это и решило его судьбу. На вооружение он принят не был, хотя известно, что было изготовлено не менее семи экземпляров этого танка (11916).</w:t>
      </w:r>
    </w:p>
    <w:p w14:paraId="4444488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4580D19"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году завод «Красный Путиловец» спроектировал цилиндрическую башню с 76-мм пушкой, единую для тан</w:t>
      </w:r>
      <w:r w:rsidRPr="00142305">
        <w:rPr>
          <w:rFonts w:ascii="Times New Roman" w:hAnsi="Times New Roman"/>
          <w:color w:val="0070C0"/>
          <w:sz w:val="16"/>
          <w:szCs w:val="16"/>
        </w:rPr>
        <w:softHyphen/>
        <w:t>ков Т-26 и БТ, но и она была отвергнута УММ РККА из-за ряда недостатков (25009).</w:t>
      </w:r>
    </w:p>
    <w:p w14:paraId="70FB633A" w14:textId="77777777" w:rsidR="00CF3577" w:rsidRPr="00142305" w:rsidRDefault="00CF3577" w:rsidP="00CF3577">
      <w:pPr>
        <w:spacing w:after="0" w:line="240" w:lineRule="auto"/>
        <w:jc w:val="both"/>
        <w:rPr>
          <w:rFonts w:ascii="Times New Roman" w:hAnsi="Times New Roman"/>
          <w:color w:val="0070C0"/>
          <w:sz w:val="16"/>
          <w:szCs w:val="16"/>
        </w:rPr>
      </w:pPr>
    </w:p>
    <w:p w14:paraId="771A9EAE"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согласно годового отчета Треста спе</w:t>
      </w:r>
      <w:r w:rsidRPr="00142305">
        <w:rPr>
          <w:rFonts w:ascii="Times New Roman" w:hAnsi="Times New Roman"/>
          <w:color w:val="0070C0"/>
          <w:sz w:val="16"/>
          <w:szCs w:val="16"/>
        </w:rPr>
        <w:softHyphen/>
        <w:t>циального машиностроения (Спецмаштрест), созданного в конце 1932 года и объединившего основные танкострои</w:t>
      </w:r>
      <w:r w:rsidRPr="00142305">
        <w:rPr>
          <w:rFonts w:ascii="Times New Roman" w:hAnsi="Times New Roman"/>
          <w:color w:val="0070C0"/>
          <w:sz w:val="16"/>
          <w:szCs w:val="16"/>
        </w:rPr>
        <w:softHyphen/>
        <w:t>тельные заводы СССР, в том числе и ХПЗ, Харьковским парово</w:t>
      </w:r>
      <w:r w:rsidRPr="00142305">
        <w:rPr>
          <w:rFonts w:ascii="Times New Roman" w:hAnsi="Times New Roman"/>
          <w:color w:val="0070C0"/>
          <w:sz w:val="16"/>
          <w:szCs w:val="16"/>
        </w:rPr>
        <w:softHyphen/>
        <w:t>зостроительным заводом имени Комин</w:t>
      </w:r>
      <w:r w:rsidRPr="00142305">
        <w:rPr>
          <w:rFonts w:ascii="Times New Roman" w:hAnsi="Times New Roman"/>
          <w:color w:val="0070C0"/>
          <w:sz w:val="16"/>
          <w:szCs w:val="16"/>
        </w:rPr>
        <w:softHyphen/>
        <w:t>терна «полностью освоена конвейерная сборка БТ (производственный цикл сборки машин сократился с 38 до 10 дней), широко применена пневматичес</w:t>
      </w:r>
      <w:r w:rsidRPr="00142305">
        <w:rPr>
          <w:rFonts w:ascii="Times New Roman" w:hAnsi="Times New Roman"/>
          <w:color w:val="0070C0"/>
          <w:sz w:val="16"/>
          <w:szCs w:val="16"/>
        </w:rPr>
        <w:softHyphen/>
        <w:t>кая клепка на корпуса БТ, механизиро</w:t>
      </w:r>
      <w:r w:rsidRPr="00142305">
        <w:rPr>
          <w:rFonts w:ascii="Times New Roman" w:hAnsi="Times New Roman"/>
          <w:color w:val="0070C0"/>
          <w:sz w:val="16"/>
          <w:szCs w:val="16"/>
        </w:rPr>
        <w:softHyphen/>
        <w:t>ваны отдельные процессы сварки» (25009).</w:t>
      </w:r>
    </w:p>
    <w:p w14:paraId="534667BB" w14:textId="77777777" w:rsidR="00CF3577" w:rsidRPr="00142305" w:rsidRDefault="00CF3577" w:rsidP="00CF3577">
      <w:pPr>
        <w:spacing w:after="0" w:line="240" w:lineRule="auto"/>
        <w:jc w:val="both"/>
        <w:rPr>
          <w:rFonts w:ascii="Times New Roman" w:hAnsi="Times New Roman"/>
          <w:color w:val="0070C0"/>
          <w:sz w:val="16"/>
          <w:szCs w:val="16"/>
        </w:rPr>
      </w:pPr>
    </w:p>
    <w:p w14:paraId="4F0647C6"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году утвердили новые требова</w:t>
      </w:r>
      <w:r w:rsidRPr="00142305">
        <w:rPr>
          <w:rFonts w:ascii="Times New Roman" w:hAnsi="Times New Roman"/>
          <w:color w:val="0070C0"/>
          <w:sz w:val="16"/>
          <w:szCs w:val="16"/>
        </w:rPr>
        <w:softHyphen/>
        <w:t>ния на вооружение БТ-5 «132-мм реак</w:t>
      </w:r>
      <w:r w:rsidRPr="00142305">
        <w:rPr>
          <w:rFonts w:ascii="Times New Roman" w:hAnsi="Times New Roman"/>
          <w:color w:val="0070C0"/>
          <w:sz w:val="16"/>
          <w:szCs w:val="16"/>
        </w:rPr>
        <w:softHyphen/>
        <w:t>тивной пушкой» — направляющей для запуска 132-мм реактивного снаряда. Ма</w:t>
      </w:r>
      <w:r w:rsidRPr="00142305">
        <w:rPr>
          <w:rFonts w:ascii="Times New Roman" w:hAnsi="Times New Roman"/>
          <w:color w:val="0070C0"/>
          <w:sz w:val="16"/>
          <w:szCs w:val="16"/>
        </w:rPr>
        <w:softHyphen/>
        <w:t>шина с такой пусковой установкой, раз</w:t>
      </w:r>
      <w:r w:rsidRPr="00142305">
        <w:rPr>
          <w:rFonts w:ascii="Times New Roman" w:hAnsi="Times New Roman"/>
          <w:color w:val="0070C0"/>
          <w:sz w:val="16"/>
          <w:szCs w:val="16"/>
        </w:rPr>
        <w:softHyphen/>
        <w:t>работанной РНИИ под руководством Ю.А. Победоносцева и В.И. Александро</w:t>
      </w:r>
      <w:r w:rsidRPr="00142305">
        <w:rPr>
          <w:rFonts w:ascii="Times New Roman" w:hAnsi="Times New Roman"/>
          <w:color w:val="0070C0"/>
          <w:sz w:val="16"/>
          <w:szCs w:val="16"/>
        </w:rPr>
        <w:softHyphen/>
        <w:t>ва, проходила испытания в апреле — мае 1935 года. Всего было сделано 8 выстре</w:t>
      </w:r>
      <w:r w:rsidRPr="00142305">
        <w:rPr>
          <w:rFonts w:ascii="Times New Roman" w:hAnsi="Times New Roman"/>
          <w:color w:val="0070C0"/>
          <w:sz w:val="16"/>
          <w:szCs w:val="16"/>
        </w:rPr>
        <w:softHyphen/>
        <w:t>лов различными снарядами. При этом от</w:t>
      </w:r>
      <w:r w:rsidRPr="00142305">
        <w:rPr>
          <w:rFonts w:ascii="Times New Roman" w:hAnsi="Times New Roman"/>
          <w:color w:val="0070C0"/>
          <w:sz w:val="16"/>
          <w:szCs w:val="16"/>
        </w:rPr>
        <w:softHyphen/>
        <w:t>мечалось, что стрельба реактивными сна</w:t>
      </w:r>
      <w:r w:rsidRPr="00142305">
        <w:rPr>
          <w:rFonts w:ascii="Times New Roman" w:hAnsi="Times New Roman"/>
          <w:color w:val="0070C0"/>
          <w:sz w:val="16"/>
          <w:szCs w:val="16"/>
        </w:rPr>
        <w:softHyphen/>
        <w:t>рядами с танка не наносит ему механиче</w:t>
      </w:r>
      <w:r w:rsidRPr="00142305">
        <w:rPr>
          <w:rFonts w:ascii="Times New Roman" w:hAnsi="Times New Roman"/>
          <w:color w:val="0070C0"/>
          <w:sz w:val="16"/>
          <w:szCs w:val="16"/>
        </w:rPr>
        <w:softHyphen/>
        <w:t>ских повреждений и безопасна для экипажа. Однако, несмотря на положи</w:t>
      </w:r>
      <w:r w:rsidRPr="00142305">
        <w:rPr>
          <w:rFonts w:ascii="Times New Roman" w:hAnsi="Times New Roman"/>
          <w:color w:val="0070C0"/>
          <w:sz w:val="16"/>
          <w:szCs w:val="16"/>
        </w:rPr>
        <w:softHyphen/>
        <w:t>тельные результаты испытаний, дальней</w:t>
      </w:r>
      <w:r w:rsidRPr="00142305">
        <w:rPr>
          <w:rFonts w:ascii="Times New Roman" w:hAnsi="Times New Roman"/>
          <w:color w:val="0070C0"/>
          <w:sz w:val="16"/>
          <w:szCs w:val="16"/>
        </w:rPr>
        <w:softHyphen/>
        <w:t>шие работы не производились (25009).</w:t>
      </w:r>
    </w:p>
    <w:p w14:paraId="3EFC64C6" w14:textId="77777777" w:rsidR="00CF3577" w:rsidRPr="00142305" w:rsidRDefault="00CF3577" w:rsidP="00CF3577">
      <w:pPr>
        <w:spacing w:after="0" w:line="240" w:lineRule="auto"/>
        <w:jc w:val="both"/>
        <w:rPr>
          <w:rFonts w:ascii="Times New Roman" w:hAnsi="Times New Roman"/>
          <w:color w:val="0070C0"/>
          <w:sz w:val="16"/>
          <w:szCs w:val="16"/>
        </w:rPr>
      </w:pPr>
    </w:p>
    <w:p w14:paraId="0A9E971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Опытном заводе Спецмаштреста по иници</w:t>
      </w:r>
      <w:r w:rsidRPr="0044524F">
        <w:rPr>
          <w:rFonts w:ascii="Times New Roman" w:hAnsi="Times New Roman"/>
          <w:color w:val="000000" w:themeColor="text1"/>
          <w:sz w:val="16"/>
          <w:szCs w:val="16"/>
        </w:rPr>
        <w:softHyphen/>
        <w:t>ативе П.Н. Сячинтова началось проектирование опытной самоходной установки для «триплекса ТАОН» по схеме, предложенной академией ВАММ. Но изготовление первого шасси затянулось и было завершено лишь в мае 1934 г., ког</w:t>
      </w:r>
      <w:r w:rsidRPr="0044524F">
        <w:rPr>
          <w:rFonts w:ascii="Times New Roman" w:hAnsi="Times New Roman"/>
          <w:color w:val="000000" w:themeColor="text1"/>
          <w:sz w:val="16"/>
          <w:szCs w:val="16"/>
        </w:rPr>
        <w:softHyphen/>
        <w:t>да сама САУ уже не рассматривалась как перспективная и не имела места в системе артиллерийского вооружения РККА на вторую пятилетку. Из-за поломок трансмиссии, которую заимствовали от среднего танка Т-28, доводка машины ве</w:t>
      </w:r>
      <w:r w:rsidRPr="0044524F">
        <w:rPr>
          <w:rFonts w:ascii="Times New Roman" w:hAnsi="Times New Roman"/>
          <w:color w:val="000000" w:themeColor="text1"/>
          <w:sz w:val="16"/>
          <w:szCs w:val="16"/>
        </w:rPr>
        <w:softHyphen/>
        <w:t>лась до конца июля 1934 г., но так и не была успешно завершена. Для проведения обкатки на шасси установили ствол орудия Б-4 «малой мощности», с которым оно и отправи</w:t>
      </w:r>
      <w:r w:rsidRPr="0044524F">
        <w:rPr>
          <w:rFonts w:ascii="Times New Roman" w:hAnsi="Times New Roman"/>
          <w:color w:val="000000" w:themeColor="text1"/>
          <w:sz w:val="16"/>
          <w:szCs w:val="16"/>
        </w:rPr>
        <w:softHyphen/>
        <w:t>лось на Научно-испытательный артиллерийский полигон (НИАП) для проведения стрельб (11417).</w:t>
      </w:r>
    </w:p>
    <w:p w14:paraId="011639F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CBAD44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В 1933 г. в статье П.Д. Важигина говорилось: «... </w:t>
      </w:r>
      <w:r w:rsidRPr="0044524F">
        <w:rPr>
          <w:rFonts w:ascii="Times New Roman" w:hAnsi="Times New Roman"/>
          <w:iCs/>
          <w:color w:val="000000" w:themeColor="text1"/>
          <w:sz w:val="16"/>
          <w:szCs w:val="16"/>
        </w:rPr>
        <w:t>это забронированные полно</w:t>
      </w:r>
      <w:r w:rsidRPr="0044524F">
        <w:rPr>
          <w:rFonts w:ascii="Times New Roman" w:hAnsi="Times New Roman"/>
          <w:iCs/>
          <w:color w:val="000000" w:themeColor="text1"/>
          <w:sz w:val="16"/>
          <w:szCs w:val="16"/>
        </w:rPr>
        <w:softHyphen/>
        <w:t>стью или частично танки, главным оружием которого являет</w:t>
      </w:r>
      <w:r w:rsidRPr="0044524F">
        <w:rPr>
          <w:rFonts w:ascii="Times New Roman" w:hAnsi="Times New Roman"/>
          <w:iCs/>
          <w:color w:val="000000" w:themeColor="text1"/>
          <w:sz w:val="16"/>
          <w:szCs w:val="16"/>
        </w:rPr>
        <w:softHyphen/>
        <w:t xml:space="preserve">ся пушка, как правило, увеличенного калибра, установленная во вращающейся башне, или без таковой... А.Т. предназначаются для артиллерийского сопровождения танков и ведут огонь по обнаруженным целям, главным образом, с места, с закрытых или открытых позиций из линии аттаки». </w:t>
      </w:r>
      <w:r w:rsidRPr="0044524F">
        <w:rPr>
          <w:rFonts w:ascii="Times New Roman" w:hAnsi="Times New Roman"/>
          <w:color w:val="000000" w:themeColor="text1"/>
          <w:sz w:val="16"/>
          <w:szCs w:val="16"/>
        </w:rPr>
        <w:t>Собственно это оп</w:t>
      </w:r>
      <w:r w:rsidRPr="0044524F">
        <w:rPr>
          <w:rFonts w:ascii="Times New Roman" w:hAnsi="Times New Roman"/>
          <w:color w:val="000000" w:themeColor="text1"/>
          <w:sz w:val="16"/>
          <w:szCs w:val="16"/>
        </w:rPr>
        <w:softHyphen/>
        <w:t xml:space="preserve">ределение во многом совпадало с определением самих САУ, и в то время САУ и арттанк различали чаще всего по наличию у танка </w:t>
      </w:r>
      <w:r w:rsidRPr="0044524F">
        <w:rPr>
          <w:rFonts w:ascii="Times New Roman" w:hAnsi="Times New Roman"/>
          <w:iCs/>
          <w:color w:val="000000" w:themeColor="text1"/>
          <w:sz w:val="16"/>
          <w:szCs w:val="16"/>
        </w:rPr>
        <w:t>«вращающейся башни, позволявшей осуществлять ма</w:t>
      </w:r>
      <w:r w:rsidRPr="0044524F">
        <w:rPr>
          <w:rFonts w:ascii="Times New Roman" w:hAnsi="Times New Roman"/>
          <w:iCs/>
          <w:color w:val="000000" w:themeColor="text1"/>
          <w:sz w:val="16"/>
          <w:szCs w:val="16"/>
        </w:rPr>
        <w:softHyphen/>
        <w:t xml:space="preserve">невр огнем в ходе скоротечного боя...». </w:t>
      </w:r>
      <w:r w:rsidRPr="0044524F">
        <w:rPr>
          <w:rFonts w:ascii="Times New Roman" w:hAnsi="Times New Roman"/>
          <w:color w:val="000000" w:themeColor="text1"/>
          <w:sz w:val="16"/>
          <w:szCs w:val="16"/>
        </w:rPr>
        <w:t>Но история знает при</w:t>
      </w:r>
      <w:r w:rsidRPr="0044524F">
        <w:rPr>
          <w:rFonts w:ascii="Times New Roman" w:hAnsi="Times New Roman"/>
          <w:color w:val="000000" w:themeColor="text1"/>
          <w:sz w:val="16"/>
          <w:szCs w:val="16"/>
        </w:rPr>
        <w:softHyphen/>
        <w:t>меры безбашенных танков, в том числе и артиллерийских (11417).</w:t>
      </w:r>
    </w:p>
    <w:p w14:paraId="366EAB4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EAE3915"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в мастерских части 1515 изготовили опытный обра</w:t>
      </w:r>
      <w:r w:rsidRPr="0044524F">
        <w:rPr>
          <w:rFonts w:ascii="Times New Roman" w:hAnsi="Times New Roman"/>
          <w:color w:val="000000" w:themeColor="text1"/>
          <w:sz w:val="16"/>
          <w:szCs w:val="16"/>
        </w:rPr>
        <w:softHyphen/>
        <w:t>зец автосцепки Цыганова», и в том же году он прошел испытания.</w:t>
      </w:r>
    </w:p>
    <w:p w14:paraId="0CD0B67F"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Сцепка танка производилась автомати</w:t>
      </w:r>
      <w:r w:rsidRPr="0044524F">
        <w:rPr>
          <w:rFonts w:ascii="Times New Roman" w:hAnsi="Times New Roman"/>
          <w:color w:val="000000" w:themeColor="text1"/>
          <w:sz w:val="16"/>
          <w:szCs w:val="16"/>
        </w:rPr>
        <w:softHyphen/>
        <w:t>чески в течение 5-8 с, без выхода экипажа, на различных скоростях движения. Расцепка осуществлялась из любой машины за 5-10 с. Перед преодолением препятствия дополни</w:t>
      </w:r>
      <w:r w:rsidRPr="0044524F">
        <w:rPr>
          <w:rFonts w:ascii="Times New Roman" w:hAnsi="Times New Roman"/>
          <w:color w:val="000000" w:themeColor="text1"/>
          <w:sz w:val="16"/>
          <w:szCs w:val="16"/>
        </w:rPr>
        <w:softHyphen/>
        <w:t>тельная подготовка подходов к нему не тре</w:t>
      </w:r>
      <w:r w:rsidRPr="0044524F">
        <w:rPr>
          <w:rFonts w:ascii="Times New Roman" w:hAnsi="Times New Roman"/>
          <w:color w:val="000000" w:themeColor="text1"/>
          <w:sz w:val="16"/>
          <w:szCs w:val="16"/>
        </w:rPr>
        <w:softHyphen/>
        <w:t>бовалась. С помощью такого приспособления предполагалось, сцепляя три танка Т-26, прео</w:t>
      </w:r>
      <w:r w:rsidRPr="0044524F">
        <w:rPr>
          <w:rFonts w:ascii="Times New Roman" w:hAnsi="Times New Roman"/>
          <w:color w:val="000000" w:themeColor="text1"/>
          <w:sz w:val="16"/>
          <w:szCs w:val="16"/>
        </w:rPr>
        <w:softHyphen/>
        <w:t>долевать рвы шириной до 6 м, однако практи</w:t>
      </w:r>
      <w:r w:rsidRPr="0044524F">
        <w:rPr>
          <w:rFonts w:ascii="Times New Roman" w:hAnsi="Times New Roman"/>
          <w:color w:val="000000" w:themeColor="text1"/>
          <w:sz w:val="16"/>
          <w:szCs w:val="16"/>
        </w:rPr>
        <w:softHyphen/>
        <w:t>ческих опытов не проводили.</w:t>
      </w:r>
    </w:p>
    <w:p w14:paraId="3DF5CDC6"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положительным качествам предложен</w:t>
      </w:r>
      <w:r w:rsidRPr="0044524F">
        <w:rPr>
          <w:rFonts w:ascii="Times New Roman" w:hAnsi="Times New Roman"/>
          <w:color w:val="000000" w:themeColor="text1"/>
          <w:sz w:val="16"/>
          <w:szCs w:val="16"/>
        </w:rPr>
        <w:softHyphen/>
        <w:t>ной конструкции отнесли и то, что после мон</w:t>
      </w:r>
      <w:r w:rsidRPr="0044524F">
        <w:rPr>
          <w:rFonts w:ascii="Times New Roman" w:hAnsi="Times New Roman"/>
          <w:color w:val="000000" w:themeColor="text1"/>
          <w:sz w:val="16"/>
          <w:szCs w:val="16"/>
        </w:rPr>
        <w:softHyphen/>
        <w:t>тажа она совершенно не мешала Т-26 выпол</w:t>
      </w:r>
      <w:r w:rsidRPr="0044524F">
        <w:rPr>
          <w:rFonts w:ascii="Times New Roman" w:hAnsi="Times New Roman"/>
          <w:color w:val="000000" w:themeColor="text1"/>
          <w:sz w:val="16"/>
          <w:szCs w:val="16"/>
        </w:rPr>
        <w:softHyphen/>
        <w:t>нять различные штатные боевые задачи. Обо</w:t>
      </w:r>
      <w:r w:rsidRPr="0044524F">
        <w:rPr>
          <w:rFonts w:ascii="Times New Roman" w:hAnsi="Times New Roman"/>
          <w:color w:val="000000" w:themeColor="text1"/>
          <w:sz w:val="16"/>
          <w:szCs w:val="16"/>
        </w:rPr>
        <w:softHyphen/>
        <w:t>рудование автосцепкой не представляло слож</w:t>
      </w:r>
      <w:r w:rsidRPr="0044524F">
        <w:rPr>
          <w:rFonts w:ascii="Times New Roman" w:hAnsi="Times New Roman"/>
          <w:color w:val="000000" w:themeColor="text1"/>
          <w:sz w:val="16"/>
          <w:szCs w:val="16"/>
        </w:rPr>
        <w:softHyphen/>
        <w:t>ности и могло быть осуществлено достаточно быстро в строевых частях, а ее стоимость была невысока. Допускалось использовать данное приспособление не только на новых танках, но и на машинах, выпущенных ранее и уже нахо</w:t>
      </w:r>
      <w:r w:rsidRPr="0044524F">
        <w:rPr>
          <w:rFonts w:ascii="Times New Roman" w:hAnsi="Times New Roman"/>
          <w:color w:val="000000" w:themeColor="text1"/>
          <w:sz w:val="16"/>
          <w:szCs w:val="16"/>
        </w:rPr>
        <w:softHyphen/>
        <w:t>дящихся в строевых частях.</w:t>
      </w:r>
    </w:p>
    <w:p w14:paraId="19E40225"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Автосцепка конструкции Цыганова состо</w:t>
      </w:r>
      <w:r w:rsidRPr="0044524F">
        <w:rPr>
          <w:rFonts w:ascii="Times New Roman" w:hAnsi="Times New Roman"/>
          <w:color w:val="000000" w:themeColor="text1"/>
          <w:sz w:val="16"/>
          <w:szCs w:val="16"/>
        </w:rPr>
        <w:softHyphen/>
        <w:t>яла из двух полукомплектов, один из которых (два улавливателя и два опорных хвоста) уста</w:t>
      </w:r>
      <w:r w:rsidRPr="0044524F">
        <w:rPr>
          <w:rFonts w:ascii="Times New Roman" w:hAnsi="Times New Roman"/>
          <w:color w:val="000000" w:themeColor="text1"/>
          <w:sz w:val="16"/>
          <w:szCs w:val="16"/>
        </w:rPr>
        <w:softHyphen/>
        <w:t>навливался в кормовой части переднего танка, другой (два носовых листа и два упорных ва</w:t>
      </w:r>
      <w:r w:rsidRPr="0044524F">
        <w:rPr>
          <w:rFonts w:ascii="Times New Roman" w:hAnsi="Times New Roman"/>
          <w:color w:val="000000" w:themeColor="text1"/>
          <w:sz w:val="16"/>
          <w:szCs w:val="16"/>
        </w:rPr>
        <w:softHyphen/>
        <w:t>лика с кронштейнами) - в носовой части зад</w:t>
      </w:r>
      <w:r w:rsidRPr="0044524F">
        <w:rPr>
          <w:rFonts w:ascii="Times New Roman" w:hAnsi="Times New Roman"/>
          <w:color w:val="000000" w:themeColor="text1"/>
          <w:sz w:val="16"/>
          <w:szCs w:val="16"/>
        </w:rPr>
        <w:softHyphen/>
        <w:t>него танка. Кроме того, имелись замыкающий и размыкающий механизмы, расположенные внутри машины.</w:t>
      </w:r>
    </w:p>
    <w:p w14:paraId="5B32F76B"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итогам проведенных испытаний отме</w:t>
      </w:r>
      <w:r w:rsidRPr="0044524F">
        <w:rPr>
          <w:rFonts w:ascii="Times New Roman" w:hAnsi="Times New Roman"/>
          <w:color w:val="000000" w:themeColor="text1"/>
          <w:sz w:val="16"/>
          <w:szCs w:val="16"/>
        </w:rPr>
        <w:softHyphen/>
        <w:t>чалось, что приспособление для сцепки двух Т-26 полностью удовлетворяет требованиям к прохождению рвов и окопов, которые оди</w:t>
      </w:r>
      <w:r w:rsidRPr="0044524F">
        <w:rPr>
          <w:rFonts w:ascii="Times New Roman" w:hAnsi="Times New Roman"/>
          <w:color w:val="000000" w:themeColor="text1"/>
          <w:sz w:val="16"/>
          <w:szCs w:val="16"/>
        </w:rPr>
        <w:softHyphen/>
        <w:t>ночный танк преодолеть не мог. Так, старший инженер 3-го Управления УММ РККА Зубенко в пояснительной записке</w:t>
      </w:r>
      <w:r w:rsidRPr="0044524F">
        <w:rPr>
          <w:rStyle w:val="aff5"/>
          <w:rFonts w:ascii="Times New Roman" w:eastAsia="Arial Narrow" w:hAnsi="Times New Roman" w:cs="Times New Roman"/>
          <w:i w:val="0"/>
          <w:color w:val="000000" w:themeColor="text1"/>
        </w:rPr>
        <w:t xml:space="preserve"> «к приспособлению для спаривания танков Т-26»</w:t>
      </w:r>
      <w:r w:rsidRPr="0044524F">
        <w:rPr>
          <w:rFonts w:ascii="Times New Roman" w:hAnsi="Times New Roman"/>
          <w:color w:val="000000" w:themeColor="text1"/>
          <w:sz w:val="16"/>
          <w:szCs w:val="16"/>
        </w:rPr>
        <w:t xml:space="preserve"> констатировал, что необходимо:</w:t>
      </w:r>
    </w:p>
    <w:p w14:paraId="4D4AA3A1" w14:textId="77777777" w:rsidR="00F5172A" w:rsidRPr="0044524F" w:rsidRDefault="00F5172A" w:rsidP="009654CF">
      <w:pPr>
        <w:pStyle w:val="45"/>
        <w:shd w:val="clear" w:color="auto" w:fill="auto"/>
        <w:spacing w:before="0" w:line="240" w:lineRule="auto"/>
        <w:jc w:val="both"/>
        <w:rPr>
          <w:rFonts w:ascii="Times New Roman" w:cs="Times New Roman"/>
          <w:color w:val="000000" w:themeColor="text1"/>
          <w:sz w:val="16"/>
          <w:szCs w:val="16"/>
        </w:rPr>
      </w:pPr>
      <w:r w:rsidRPr="0044524F">
        <w:rPr>
          <w:rFonts w:ascii="Times New Roman" w:cs="Times New Roman"/>
          <w:color w:val="000000" w:themeColor="text1"/>
          <w:sz w:val="16"/>
          <w:szCs w:val="16"/>
        </w:rPr>
        <w:t>«1. Срочное изготовление трех комплек</w:t>
      </w:r>
      <w:r w:rsidRPr="0044524F">
        <w:rPr>
          <w:rFonts w:ascii="Times New Roman" w:cs="Times New Roman"/>
          <w:color w:val="000000" w:themeColor="text1"/>
          <w:sz w:val="16"/>
          <w:szCs w:val="16"/>
        </w:rPr>
        <w:softHyphen/>
        <w:t xml:space="preserve">тов приспособления с устранением мелких недостатков (общая педаль выключения и </w:t>
      </w:r>
      <w:r w:rsidRPr="0044524F">
        <w:rPr>
          <w:rStyle w:val="4b"/>
          <w:rFonts w:ascii="Times New Roman" w:hAnsi="Times New Roman" w:cs="Times New Roman"/>
          <w:i w:val="0"/>
          <w:color w:val="000000" w:themeColor="text1"/>
          <w:sz w:val="16"/>
          <w:szCs w:val="16"/>
        </w:rPr>
        <w:t>расположение ее, смещение глушителя и</w:t>
      </w:r>
      <w:r w:rsidRPr="0044524F">
        <w:rPr>
          <w:rFonts w:ascii="Times New Roman" w:cs="Times New Roman"/>
          <w:color w:val="000000" w:themeColor="text1"/>
          <w:sz w:val="16"/>
          <w:szCs w:val="16"/>
        </w:rPr>
        <w:t xml:space="preserve"> др.) выявленных при испытании, и введение в про</w:t>
      </w:r>
      <w:r w:rsidRPr="0044524F">
        <w:rPr>
          <w:rFonts w:ascii="Times New Roman" w:cs="Times New Roman"/>
          <w:color w:val="000000" w:themeColor="text1"/>
          <w:sz w:val="16"/>
          <w:szCs w:val="16"/>
        </w:rPr>
        <w:softHyphen/>
        <w:t>изводство после окончательной проверки на трех машинах.</w:t>
      </w:r>
    </w:p>
    <w:p w14:paraId="43743693" w14:textId="77777777" w:rsidR="00F5172A" w:rsidRPr="0044524F" w:rsidRDefault="00F5172A" w:rsidP="009654CF">
      <w:pPr>
        <w:pStyle w:val="45"/>
        <w:shd w:val="clear" w:color="auto" w:fill="auto"/>
        <w:spacing w:before="0" w:line="240" w:lineRule="auto"/>
        <w:jc w:val="both"/>
        <w:rPr>
          <w:rFonts w:ascii="Times New Roman" w:cs="Times New Roman"/>
          <w:color w:val="000000" w:themeColor="text1"/>
          <w:sz w:val="16"/>
          <w:szCs w:val="16"/>
        </w:rPr>
      </w:pPr>
      <w:r w:rsidRPr="0044524F">
        <w:rPr>
          <w:rFonts w:ascii="Times New Roman" w:cs="Times New Roman"/>
          <w:color w:val="000000" w:themeColor="text1"/>
          <w:sz w:val="16"/>
          <w:szCs w:val="16"/>
        </w:rPr>
        <w:t>Приспособление должно быть дослано на все выпущенные ранее машины.</w:t>
      </w:r>
    </w:p>
    <w:p w14:paraId="5C5E6C22" w14:textId="77777777" w:rsidR="00F5172A" w:rsidRPr="0044524F" w:rsidRDefault="00F5172A" w:rsidP="009654CF">
      <w:pPr>
        <w:pStyle w:val="45"/>
        <w:shd w:val="clear" w:color="auto" w:fill="auto"/>
        <w:spacing w:before="0" w:line="240" w:lineRule="auto"/>
        <w:jc w:val="both"/>
        <w:rPr>
          <w:rFonts w:ascii="Times New Roman" w:cs="Times New Roman"/>
          <w:color w:val="000000" w:themeColor="text1"/>
          <w:sz w:val="16"/>
          <w:szCs w:val="16"/>
        </w:rPr>
      </w:pPr>
      <w:r w:rsidRPr="0044524F">
        <w:rPr>
          <w:rFonts w:ascii="Times New Roman" w:cs="Times New Roman"/>
          <w:color w:val="000000" w:themeColor="text1"/>
          <w:sz w:val="16"/>
          <w:szCs w:val="16"/>
        </w:rPr>
        <w:t>2. Установить такое же приспособление на машинах других типов, по возможности унифицировав его (в части разрабат. для БТ и Т-27).3. Продумать возможность сцепки при равных положениях сцепляющихся машин».</w:t>
      </w:r>
    </w:p>
    <w:p w14:paraId="2D67402D"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по ряду причин данная автосцепка не была поставлена на серийное производст</w:t>
      </w:r>
      <w:r w:rsidRPr="0044524F">
        <w:rPr>
          <w:rFonts w:ascii="Times New Roman" w:hAnsi="Times New Roman"/>
          <w:color w:val="000000" w:themeColor="text1"/>
          <w:sz w:val="16"/>
          <w:szCs w:val="16"/>
        </w:rPr>
        <w:softHyphen/>
        <w:t>во. По данным М.Н. Свирина, «за</w:t>
      </w:r>
      <w:r w:rsidRPr="0044524F">
        <w:rPr>
          <w:rStyle w:val="aff5"/>
          <w:rFonts w:ascii="Times New Roman" w:eastAsia="Arial Narrow" w:hAnsi="Times New Roman" w:cs="Times New Roman"/>
          <w:i w:val="0"/>
          <w:color w:val="000000" w:themeColor="text1"/>
        </w:rPr>
        <w:t xml:space="preserve"> разработку устройства сцепки танков Н.Ф. Цыганов был награжден К. Ворошиловым золотыми часами и повышен в звании из младших командиров до командира взвода».</w:t>
      </w:r>
      <w:r w:rsidRPr="0044524F">
        <w:rPr>
          <w:rFonts w:ascii="Times New Roman" w:hAnsi="Times New Roman"/>
          <w:color w:val="000000" w:themeColor="text1"/>
          <w:sz w:val="16"/>
          <w:szCs w:val="16"/>
        </w:rPr>
        <w:t xml:space="preserve"> Тем не менее, сама идея получила дальнейшее развитие (15780).</w:t>
      </w:r>
    </w:p>
    <w:p w14:paraId="6D15C06F" w14:textId="77777777" w:rsidR="00F5172A" w:rsidRPr="0044524F" w:rsidRDefault="00F5172A" w:rsidP="009654CF">
      <w:pPr>
        <w:spacing w:after="0" w:line="240" w:lineRule="auto"/>
        <w:jc w:val="both"/>
        <w:rPr>
          <w:rFonts w:ascii="Times New Roman" w:hAnsi="Times New Roman"/>
          <w:color w:val="000000" w:themeColor="text1"/>
          <w:sz w:val="16"/>
          <w:szCs w:val="16"/>
        </w:rPr>
      </w:pPr>
    </w:p>
    <w:p w14:paraId="7684441A" w14:textId="77777777" w:rsidR="00F5172A" w:rsidRPr="0044524F" w:rsidRDefault="00F517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базе танков Т-28 и Т-35 был разработан проект самоходной береговой пушки СУ-БУ-10. В качестве артсистемы на этой установке прорабатывались пушка Б-10. Эта 152-мм дальнобойная пушка была создана «Большевиком» по ТТТ ГАУ, выданном в сентябре 1929 г. Орудие предназначалось для поражения на большой дальности резервов, передовых аэродромов, железнодорожных станций и других объектов в ближнем тылу противника, а также для разрушения бетонных сооружений. Испытания пушки Б-10 с наземного станка на НИАПе проводились с мая 1932 г. по 1936 г. Пушка на вооружение не принималась, но наработки по ней в дальнейшем были использованы в конструкции 152-мм пушек Б-30 и Бр-2. Работы по самоходной пушке СУ-БУ-10 были прекращены на ранней стадии. До изготовления серийных образцов и принятия на вооружения дело не дошло (15132).</w:t>
      </w:r>
    </w:p>
    <w:p w14:paraId="4B359B4C" w14:textId="77777777" w:rsidR="00F5172A" w:rsidRPr="0044524F" w:rsidRDefault="00F5172A" w:rsidP="009654CF">
      <w:pPr>
        <w:spacing w:after="0" w:line="240" w:lineRule="auto"/>
        <w:jc w:val="both"/>
        <w:rPr>
          <w:rFonts w:ascii="Times New Roman" w:hAnsi="Times New Roman"/>
          <w:color w:val="000000" w:themeColor="text1"/>
          <w:sz w:val="16"/>
          <w:szCs w:val="16"/>
        </w:rPr>
      </w:pPr>
    </w:p>
    <w:p w14:paraId="62938434" w14:textId="28897551" w:rsidR="00F5172A" w:rsidRPr="0044524F" w:rsidRDefault="00F5172A"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1933 год по плану импорт предполагался в размере 204, 9 млн. руб., экспорт 519,7 млн</w:t>
      </w:r>
      <w:r w:rsidRPr="0044524F">
        <w:rPr>
          <w:rFonts w:ascii="Times New Roman" w:hAnsi="Times New Roman"/>
          <w:color w:val="000000" w:themeColor="text1"/>
          <w:sz w:val="16"/>
          <w:szCs w:val="16"/>
          <w:vertAlign w:val="superscript"/>
        </w:rPr>
        <w:t>27</w:t>
      </w:r>
      <w:r w:rsidRPr="0044524F">
        <w:rPr>
          <w:rFonts w:ascii="Times New Roman" w:hAnsi="Times New Roman"/>
          <w:color w:val="000000" w:themeColor="text1"/>
          <w:sz w:val="16"/>
          <w:szCs w:val="16"/>
        </w:rPr>
        <w:t>. Положительное торговое сальдо должно было составить 314,8 млн. руб. По факту, импорт за 1933 год составил 348,2 млн. руб. Экспорт 495,7 млн. руб. Положительное сальдо 147 млн. руб. За вычетом оборудования, полученного по заказам прошлых лет, импорт получится 217,7 млн. руб. и положительное сальдо 278,2 млн. И как уже отмечалось,</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план экспорта на запад был 508 млн. руб., а фактический вывоз на запад составил 394 млн. руб., т.е. снижение составило 114 млн. руб.</w:t>
      </w:r>
    </w:p>
    <w:p w14:paraId="5043B7AD" w14:textId="259B2F50" w:rsidR="00F5172A" w:rsidRPr="0044524F" w:rsidRDefault="00F5172A" w:rsidP="009654CF">
      <w:pPr>
        <w:shd w:val="clear" w:color="auto" w:fill="FFFFFF"/>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Планируемый приход валютных поступлений 622, 6 млн. руб. Включал в себя предполагаемую выручку от экспорта в размере 440,4 млн. руб., поступления от Торгсина в размере 94,0 млн. руб,</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Интуриста 4 млн. руб., и 80,3 млн. руб продажа золота. Расход 616 млн. руб., состоял в том числе из платежей по импортному плану</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1932</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года и прошлых лет в размере 570 млн. руб., и платежей по импортному плану на 193 г. - 34,5 млн. руб. По факту, приблизительный</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приход составил приблизительно 615 млн. руб, расход порядка 588 млн. (17266).</w:t>
      </w:r>
    </w:p>
    <w:p w14:paraId="50EA3A31" w14:textId="77777777" w:rsidR="00F5172A" w:rsidRPr="0044524F" w:rsidRDefault="00F5172A" w:rsidP="009654CF">
      <w:pPr>
        <w:spacing w:after="0" w:line="240" w:lineRule="auto"/>
        <w:jc w:val="both"/>
        <w:rPr>
          <w:rFonts w:ascii="Times New Roman" w:hAnsi="Times New Roman"/>
          <w:color w:val="000000" w:themeColor="text1"/>
          <w:sz w:val="16"/>
          <w:szCs w:val="16"/>
        </w:rPr>
      </w:pPr>
    </w:p>
    <w:p w14:paraId="44C75B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на Опытном заводе Спецмашстроя под руководством П. И. Сячентова была спроектирована самоходная установка СУ-14. Ходовая часть СУ-14 в основном была комбинацией из агрегатов танков Т-26 и Т-35. Подобно танку Т-35 на СУ-14 был установлен авиационный карбюраторный двигатель М-17, развивавший мощность 500 л. с. при 1450 об/мин. Двигатель располагался в передней части установки. Впереди слева по ходу шасси находилось место механика-водителя, остальные номера расчета помещались на трех съемных скамьях в кормовой части установки. Возимый боекомплект установки 8 выстрелов. При стрельбе СУ-14 опиралась на два задних сошника, имевших ручной и гидравлический приводы (3861).</w:t>
      </w:r>
    </w:p>
    <w:p w14:paraId="2F0FB2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98D8757" w14:textId="77777777" w:rsidR="0082112D" w:rsidRPr="00142305" w:rsidRDefault="0082112D" w:rsidP="0082112D">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1933 г. каждый изготовленный заводом № 37 танк Т-37А перед передачей его в войска прохо</w:t>
      </w:r>
      <w:r w:rsidRPr="00142305">
        <w:rPr>
          <w:rFonts w:ascii="Times New Roman" w:hAnsi="Times New Roman"/>
          <w:color w:val="0070C0"/>
          <w:sz w:val="16"/>
          <w:szCs w:val="16"/>
        </w:rPr>
        <w:softHyphen/>
        <w:t>дил два испытания. Первое проводилось не</w:t>
      </w:r>
      <w:r w:rsidRPr="00142305">
        <w:rPr>
          <w:rFonts w:ascii="Times New Roman" w:hAnsi="Times New Roman"/>
          <w:color w:val="0070C0"/>
          <w:sz w:val="16"/>
          <w:szCs w:val="16"/>
        </w:rPr>
        <w:softHyphen/>
        <w:t>посредственно заводом (без участия пред</w:t>
      </w:r>
      <w:r w:rsidRPr="00142305">
        <w:rPr>
          <w:rFonts w:ascii="Times New Roman" w:hAnsi="Times New Roman"/>
          <w:color w:val="0070C0"/>
          <w:sz w:val="16"/>
          <w:szCs w:val="16"/>
        </w:rPr>
        <w:softHyphen/>
        <w:t>ставителя военной приемки) и проходило на Черкизовском пруду, недалеко от заводс</w:t>
      </w:r>
      <w:r w:rsidRPr="00142305">
        <w:rPr>
          <w:rFonts w:ascii="Times New Roman" w:hAnsi="Times New Roman"/>
          <w:color w:val="0070C0"/>
          <w:sz w:val="16"/>
          <w:szCs w:val="16"/>
        </w:rPr>
        <w:softHyphen/>
        <w:t>кой проходной (этот пруд существует и сей</w:t>
      </w:r>
      <w:r w:rsidRPr="00142305">
        <w:rPr>
          <w:rFonts w:ascii="Times New Roman" w:hAnsi="Times New Roman"/>
          <w:color w:val="0070C0"/>
          <w:sz w:val="16"/>
          <w:szCs w:val="16"/>
        </w:rPr>
        <w:softHyphen/>
        <w:t>час). Целью этого испыта</w:t>
      </w:r>
      <w:r w:rsidRPr="00142305">
        <w:rPr>
          <w:rFonts w:ascii="Times New Roman" w:hAnsi="Times New Roman"/>
          <w:color w:val="0070C0"/>
          <w:sz w:val="16"/>
          <w:szCs w:val="16"/>
        </w:rPr>
        <w:softHyphen/>
        <w:t>ния была проверка герметичности корпуса танка и слаженности работы всех его меха</w:t>
      </w:r>
      <w:r w:rsidRPr="00142305">
        <w:rPr>
          <w:rFonts w:ascii="Times New Roman" w:hAnsi="Times New Roman"/>
          <w:color w:val="0070C0"/>
          <w:sz w:val="16"/>
          <w:szCs w:val="16"/>
        </w:rPr>
        <w:softHyphen/>
        <w:t>низмов. Второе испытание проводилось во</w:t>
      </w:r>
      <w:r w:rsidRPr="00142305">
        <w:rPr>
          <w:rFonts w:ascii="Times New Roman" w:hAnsi="Times New Roman"/>
          <w:color w:val="0070C0"/>
          <w:sz w:val="16"/>
          <w:szCs w:val="16"/>
        </w:rPr>
        <w:softHyphen/>
        <w:t>енпредом и являлось приемо-сдаточным. Для этого все танки, догруженные до пол</w:t>
      </w:r>
      <w:r w:rsidRPr="00142305">
        <w:rPr>
          <w:rFonts w:ascii="Times New Roman" w:hAnsi="Times New Roman"/>
          <w:color w:val="0070C0"/>
          <w:sz w:val="16"/>
          <w:szCs w:val="16"/>
        </w:rPr>
        <w:softHyphen/>
        <w:t>ной боевой массы и с экипажем из двух че</w:t>
      </w:r>
      <w:r w:rsidRPr="00142305">
        <w:rPr>
          <w:rFonts w:ascii="Times New Roman" w:hAnsi="Times New Roman"/>
          <w:color w:val="0070C0"/>
          <w:sz w:val="16"/>
          <w:szCs w:val="16"/>
        </w:rPr>
        <w:softHyphen/>
        <w:t>ловек, совершали 25-километровый марш на подмосковное Медвежье озеро. Здесь проходили испытания на плаву в течение 30 минут при движении на максимальной ско</w:t>
      </w:r>
      <w:r w:rsidRPr="00142305">
        <w:rPr>
          <w:rFonts w:ascii="Times New Roman" w:hAnsi="Times New Roman"/>
          <w:color w:val="0070C0"/>
          <w:sz w:val="16"/>
          <w:szCs w:val="16"/>
        </w:rPr>
        <w:softHyphen/>
        <w:t>рости. За это время в корпус танка не долж</w:t>
      </w:r>
      <w:r w:rsidRPr="00142305">
        <w:rPr>
          <w:rFonts w:ascii="Times New Roman" w:hAnsi="Times New Roman"/>
          <w:color w:val="0070C0"/>
          <w:sz w:val="16"/>
          <w:szCs w:val="16"/>
        </w:rPr>
        <w:softHyphen/>
        <w:t>но было проникнуть более 1,5 л воды, в про</w:t>
      </w:r>
      <w:r w:rsidRPr="00142305">
        <w:rPr>
          <w:rFonts w:ascii="Times New Roman" w:hAnsi="Times New Roman"/>
          <w:color w:val="0070C0"/>
          <w:sz w:val="16"/>
          <w:szCs w:val="16"/>
        </w:rPr>
        <w:softHyphen/>
        <w:t>тивном случае танк мог быть забракован во</w:t>
      </w:r>
      <w:r w:rsidRPr="00142305">
        <w:rPr>
          <w:rFonts w:ascii="Times New Roman" w:hAnsi="Times New Roman"/>
          <w:color w:val="0070C0"/>
          <w:sz w:val="16"/>
          <w:szCs w:val="16"/>
        </w:rPr>
        <w:softHyphen/>
        <w:t>енпредом (25019).</w:t>
      </w:r>
    </w:p>
    <w:p w14:paraId="658DC53B" w14:textId="77777777" w:rsidR="0082112D" w:rsidRPr="00142305" w:rsidRDefault="0082112D" w:rsidP="0082112D">
      <w:pPr>
        <w:spacing w:after="0" w:line="240" w:lineRule="auto"/>
        <w:jc w:val="both"/>
        <w:rPr>
          <w:rFonts w:ascii="Times New Roman" w:hAnsi="Times New Roman"/>
          <w:color w:val="0070C0"/>
          <w:sz w:val="16"/>
          <w:szCs w:val="16"/>
        </w:rPr>
      </w:pPr>
    </w:p>
    <w:p w14:paraId="0852AF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было решено разрабатывать тяжелый самоходный триплекс 254/305/400-мм. Разработку качающейся части поручили заводу "Большевик", а шасси опытному заводу Спецмашстроя. АУ в целях уменьшения веса и увеличения живучести стволов предложило заменить самоходный триплекс 254/305/400-мм дуплексом 203/305-мм, рассчитанным на применение беспоясковых снарядов (3861).</w:t>
      </w:r>
    </w:p>
    <w:p w14:paraId="672D9E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C25E24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была продолжена разработка проекта «пол</w:t>
      </w:r>
      <w:r w:rsidRPr="0044524F">
        <w:rPr>
          <w:rFonts w:ascii="Times New Roman" w:hAnsi="Times New Roman"/>
          <w:color w:val="000000" w:themeColor="text1"/>
          <w:sz w:val="16"/>
          <w:szCs w:val="16"/>
        </w:rPr>
        <w:softHyphen/>
        <w:t>ковой» САУ, начатая еще в 1931 г. Проект выполнялся под руководством профессора В.И, Заславского. От эскизного проекта 1931 г. указанный вариант отли</w:t>
      </w:r>
      <w:r w:rsidRPr="0044524F">
        <w:rPr>
          <w:rFonts w:ascii="Times New Roman" w:hAnsi="Times New Roman"/>
          <w:color w:val="000000" w:themeColor="text1"/>
          <w:sz w:val="16"/>
          <w:szCs w:val="16"/>
        </w:rPr>
        <w:softHyphen/>
        <w:t>чался тем, что в качестве базы теперь использовалась танкет</w:t>
      </w:r>
      <w:r w:rsidRPr="0044524F">
        <w:rPr>
          <w:rFonts w:ascii="Times New Roman" w:hAnsi="Times New Roman"/>
          <w:color w:val="000000" w:themeColor="text1"/>
          <w:sz w:val="16"/>
          <w:szCs w:val="16"/>
        </w:rPr>
        <w:softHyphen/>
        <w:t>ка Т-27 вместо Т-23. В ходе перепроектирования все работы по установке 76,2-мм полковой пушки на Т-27 были переда</w:t>
      </w:r>
      <w:r w:rsidRPr="0044524F">
        <w:rPr>
          <w:rFonts w:ascii="Times New Roman" w:hAnsi="Times New Roman"/>
          <w:color w:val="000000" w:themeColor="text1"/>
          <w:sz w:val="16"/>
          <w:szCs w:val="16"/>
        </w:rPr>
        <w:softHyphen/>
        <w:t>ны из КБ Оружобъединения (КБ ОАТ) в КБ завода «Крас</w:t>
      </w:r>
      <w:r w:rsidRPr="0044524F">
        <w:rPr>
          <w:rFonts w:ascii="Times New Roman" w:hAnsi="Times New Roman"/>
          <w:color w:val="000000" w:themeColor="text1"/>
          <w:sz w:val="16"/>
          <w:szCs w:val="16"/>
        </w:rPr>
        <w:softHyphen/>
        <w:t>ный Путиловец», и ими теперь руководил И.А. Маханов. Согласно эскизному проекту «Путиловцев» указанная САУ должна была быть вооружена 76,2-мм пушкой Л-2 своей раз</w:t>
      </w:r>
      <w:r w:rsidRPr="0044524F">
        <w:rPr>
          <w:rFonts w:ascii="Times New Roman" w:hAnsi="Times New Roman"/>
          <w:color w:val="000000" w:themeColor="text1"/>
          <w:sz w:val="16"/>
          <w:szCs w:val="16"/>
        </w:rPr>
        <w:softHyphen/>
        <w:t>работки, но по целому ряду причин работы по сборке этой САУ начались только в 1933 г., когда надобность в ней упала, да и самый выпуск танкеток Т-27 уже подошел к концу (11317).</w:t>
      </w:r>
    </w:p>
    <w:p w14:paraId="346762F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7D4D54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завод № 2 Всесоюзного автотракторного объединения переименован в завод № 37 в ведении Спецмаштреста НКТП.</w:t>
      </w:r>
      <w:r w:rsidRPr="0044524F">
        <w:rPr>
          <w:rFonts w:ascii="Times New Roman" w:hAnsi="Times New Roman"/>
          <w:color w:val="000000" w:themeColor="text1"/>
          <w:sz w:val="16"/>
          <w:szCs w:val="16"/>
          <w:vertAlign w:val="superscript"/>
        </w:rPr>
        <w:t>104</w:t>
      </w:r>
      <w:r w:rsidRPr="0044524F">
        <w:rPr>
          <w:rFonts w:ascii="Times New Roman" w:hAnsi="Times New Roman"/>
          <w:color w:val="000000" w:themeColor="text1"/>
          <w:sz w:val="16"/>
          <w:szCs w:val="16"/>
        </w:rPr>
        <w:t xml:space="preserve"> С 1936 г. завод № 37 им. Орджоникидзе становится одним из основных танковых заводов (наряду с Ленинградом и Харьковом). По пр. № 09с от 23.01.1937 г. передан в ведение 8ГУ НКОП, Устав завода утвержден приказом № 52 от 4.02.1937 г. В 1939 г. передан из 8ГУ НКОП во вновь образованный НКСМ. В 09.1941 г. вошел в состав НКТП.</w:t>
      </w:r>
    </w:p>
    <w:p w14:paraId="1AB0D05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22.02.1937 г. вышел приказ № 039 об организации на заводе базы по стандартизации и взаимозаменяемости по танкам.</w:t>
      </w:r>
    </w:p>
    <w:p w14:paraId="0C3508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пр. № 83 от 10.03.1937 г. на завод из НИИ-2 НКОП переведено КБ Голосова со всем личным составом (7 чел.), планом работ, объектами Д-1, -2, -3, -4, -5, -6 № 37.</w:t>
      </w:r>
    </w:p>
    <w:p w14:paraId="6986674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 50сс от 4/9.02.1938 г. заводу поручено в 2-месячный срок после получения с Подольского завода экранированных корпусов изготовить 10 Т-38, и в месячный срок - 5 машин «Комсомолец»-</w:t>
      </w:r>
      <w:r w:rsidRPr="0044524F">
        <w:rPr>
          <w:rFonts w:ascii="Times New Roman" w:hAnsi="Times New Roman"/>
          <w:color w:val="000000" w:themeColor="text1"/>
          <w:sz w:val="16"/>
          <w:szCs w:val="16"/>
          <w:vertAlign w:val="superscript"/>
        </w:rPr>
        <w:t>139</w:t>
      </w:r>
    </w:p>
    <w:p w14:paraId="643507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Приказом № 335сс от 21.08.1938 г. заводу поручено изготовить образец опытного плавающего Т-40 (усовершенствованный Т-38). С 02.1939 г. начато освоение производства Т-38М, до конца года выпущено не более 15 машин. В соответствии с пост. КО № 443сс от 19.12.1939 г. начато производство Т-40. Завод должен был выпустить к 1.03.1940 г. первые 3 машины, к 1.08.1940 г. - 15 машин, а до конца года - 100 машин.</w:t>
      </w:r>
    </w:p>
    <w:p w14:paraId="617EEA7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Весной 1941 г. начато освоение производства Т-50, но завод с ним не справился. В соответствии с пост. ГКО № 179 от 17.07.1941 г. на заводе начато освоение производства легкого танка Т-60.</w:t>
      </w:r>
    </w:p>
    <w:p w14:paraId="5CF5B45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соответствии с пост.ениями ГКО № 752 от 9.10.1941 г. и № 811 от 19.10.1941 г. завод эвакуирован в Свердловск на площадку вагоноремонтного завода им. Воеводина. Эвакуация продолжалась с 28.10 по 6.11.1941 г. Сюда же эвакуирована часть завода «КИМ». 10.11.1941 г. образован единый завод № 37.</w:t>
      </w:r>
      <w:r w:rsidRPr="0044524F">
        <w:rPr>
          <w:rFonts w:ascii="Times New Roman" w:hAnsi="Times New Roman"/>
          <w:color w:val="000000" w:themeColor="text1"/>
          <w:sz w:val="16"/>
          <w:szCs w:val="16"/>
          <w:vertAlign w:val="superscript"/>
        </w:rPr>
        <w:t xml:space="preserve">92,109 </w:t>
      </w:r>
      <w:r w:rsidRPr="0044524F">
        <w:rPr>
          <w:rFonts w:ascii="Times New Roman" w:hAnsi="Times New Roman"/>
          <w:color w:val="000000" w:themeColor="text1"/>
          <w:sz w:val="16"/>
          <w:szCs w:val="16"/>
        </w:rPr>
        <w:t>Продолжено производство танков: 1.01.1942 г. выпущены первые 20 Т-60Ш. В соответствии с пост. ГКО № 1417 от 9.03.1942 г. начато производство танка Т-70. 12.04.1942 г. вышло постановление ГКО № 1581 о выпуске танков Т-60 на заводе № 37 НКТП.</w:t>
      </w:r>
    </w:p>
    <w:p w14:paraId="59154B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площадке эвакуированного завода в Москве образован Авторемонтный завод № 6 (АРЗ-6). 7.01.1942 г. АРЗ-6 преобразован в филиал завода № 37.</w:t>
      </w:r>
    </w:p>
    <w:p w14:paraId="20FF113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Завод находился в ведении НКТП, НКСМ. В середине 1942 г. завод № 37 в Свердловске влит в состав завода «Большевик» (завод № 50), а филиал в Москве преобразован в новый завод № 37. 28.07.1942 г. вышло постановление ГКО № 2120 об организации на заводе производства Т-34.</w:t>
      </w:r>
    </w:p>
    <w:p w14:paraId="744389D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1949 г. завод перепрофилирован на производство радиотехнической продукции. В 1950 г. начинается освоение производства </w:t>
      </w:r>
      <w:r w:rsidRPr="0044524F">
        <w:rPr>
          <w:rFonts w:ascii="Times New Roman" w:hAnsi="Times New Roman"/>
          <w:color w:val="000000" w:themeColor="text1"/>
          <w:sz w:val="16"/>
          <w:szCs w:val="16"/>
          <w:lang w:val="en-US"/>
        </w:rPr>
        <w:t>PJIC</w:t>
      </w:r>
      <w:r w:rsidRPr="0044524F">
        <w:rPr>
          <w:rFonts w:ascii="Times New Roman" w:hAnsi="Times New Roman"/>
          <w:color w:val="000000" w:themeColor="text1"/>
          <w:sz w:val="16"/>
          <w:szCs w:val="16"/>
        </w:rPr>
        <w:t xml:space="preserve"> П-20 и П-50.</w:t>
      </w:r>
    </w:p>
    <w:p w14:paraId="5E0D20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1949 г. при заводе образовано ОКБ.</w:t>
      </w:r>
    </w:p>
    <w:p w14:paraId="38A99A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30.07.1959 г. образован филиал НИИ-108, который был размещен на территории ОКБ. В 05.1960 г. филиал преобразован в НИИ-37, а завод преобразован в его Опытный завод № 37. 15.01.1970 г. вошел в состав ЦНПО «Вымпел».</w:t>
      </w:r>
      <w:r w:rsidRPr="0044524F">
        <w:rPr>
          <w:rFonts w:ascii="Times New Roman" w:hAnsi="Times New Roman"/>
          <w:color w:val="000000" w:themeColor="text1"/>
          <w:sz w:val="16"/>
          <w:szCs w:val="16"/>
          <w:vertAlign w:val="superscript"/>
        </w:rPr>
        <w:t>104</w:t>
      </w:r>
    </w:p>
    <w:p w14:paraId="5D9DD9AB" w14:textId="4B1FA4A0"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1960 г. завод был головным по изготовлению </w:t>
      </w:r>
      <w:r w:rsidRPr="0044524F">
        <w:rPr>
          <w:rFonts w:ascii="Times New Roman" w:hAnsi="Times New Roman"/>
          <w:color w:val="000000" w:themeColor="text1"/>
          <w:sz w:val="16"/>
          <w:szCs w:val="16"/>
          <w:lang w:val="en-US"/>
        </w:rPr>
        <w:t>PJIC</w:t>
      </w:r>
      <w:r w:rsidRPr="0044524F">
        <w:rPr>
          <w:rFonts w:ascii="Times New Roman" w:hAnsi="Times New Roman"/>
          <w:color w:val="000000" w:themeColor="text1"/>
          <w:sz w:val="16"/>
          <w:szCs w:val="16"/>
        </w:rPr>
        <w:t xml:space="preserve"> «Дунай-3». В начале 1980-х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г. изготовлен экспериментальный образец ЭВМ М-13 для </w:t>
      </w:r>
      <w:r w:rsidRPr="0044524F">
        <w:rPr>
          <w:rFonts w:ascii="Times New Roman" w:hAnsi="Times New Roman"/>
          <w:color w:val="000000" w:themeColor="text1"/>
          <w:sz w:val="16"/>
          <w:szCs w:val="16"/>
          <w:lang w:val="en-US"/>
        </w:rPr>
        <w:t>PJIC</w:t>
      </w:r>
      <w:r w:rsidRPr="0044524F">
        <w:rPr>
          <w:rFonts w:ascii="Times New Roman" w:hAnsi="Times New Roman"/>
          <w:color w:val="000000" w:themeColor="text1"/>
          <w:sz w:val="16"/>
          <w:szCs w:val="16"/>
        </w:rPr>
        <w:t xml:space="preserve"> «Дарьял-У».</w:t>
      </w:r>
    </w:p>
    <w:p w14:paraId="0BB464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составе завода: цехи: монтажно-сборочный (1950-е), № 1 (1980-е-90-е).</w:t>
      </w:r>
    </w:p>
    <w:p w14:paraId="227C200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(1930 г.)- С. Иванов, (1934-29.08.1937 г.)- Б.К. Гутнов, (29.08.1937-38 г.-)- М.И. Шор, (1946-52 г.)- Н.А. Богородицкий, (1955 г.)- П.И. Кузнецов, (1956-59; 1960-61 г.)- С.В. Скориков, (1961-78 г.)- В.И. Малышев, (1978 г.-)- А.А. Трухманов.</w:t>
      </w:r>
    </w:p>
    <w:p w14:paraId="0EE676C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директора: по новой технике (-1961 г.)- В.И. Малышев; (16.09.1937 г.-)- Н.Н. Козырев, (1938 г.)- М.С. Свердлов. Помощник директора по найму и увольнению (10.07.1938 г.-)- А.Ф. Сигунов.</w:t>
      </w:r>
    </w:p>
    <w:p w14:paraId="3A6690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технический (-1.02.1937 г.)- В.О. Аранович.</w:t>
      </w:r>
    </w:p>
    <w:p w14:paraId="0BBE5B1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(16.09.1937-38 г.-)- Н.Н. Козырев.</w:t>
      </w:r>
    </w:p>
    <w:p w14:paraId="20B875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гл. инженера (1950-51 г.)- А.А. Форштер, (1954 г.-)- В.И. Малышев.</w:t>
      </w:r>
    </w:p>
    <w:p w14:paraId="5F934A71" w14:textId="24966BF9"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 (1936 г.)- Н.А. Астров (Т-38, Т-40), (11.1941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Суренян.</w:t>
      </w:r>
    </w:p>
    <w:p w14:paraId="309BC19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И.О. зам. гл. конструктора (1948 г.)- А.И. Талейсник.</w:t>
      </w:r>
    </w:p>
    <w:p w14:paraId="625EB75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технолог (-1978 г.)- Я.И. Гаврилов.</w:t>
      </w:r>
    </w:p>
    <w:p w14:paraId="66AB62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конструкторы: (1932 г.-)- Н. Козырев, (1942 г.)- Н.А. Астров (Т-70), (1948-70 г.)- О.М. Федоров.</w:t>
      </w:r>
    </w:p>
    <w:p w14:paraId="57F89F7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цехов: (1949-52 г.)- Я.И. Гаврилов.</w:t>
      </w:r>
    </w:p>
    <w:p w14:paraId="780B77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Помощник начальника цеха: № 14 (-11.1937 г.)- С.А. Алабин.</w:t>
      </w:r>
    </w:p>
    <w:p w14:paraId="6AF9CA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 конструкторского отделения- А.И. Талейсник, (1970-73 г.)- О.М. Федоров.</w:t>
      </w:r>
    </w:p>
    <w:p w14:paraId="0BE367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2-го (-08.1938 г.)- Е.Н. Фергман; производственного (1952 г.-)- ЯМ. Гаврилов, (1964-86 г.)- В.Д. Вдовин; технического- О.М. Федоров. Начальник технологической станции (-11.1937 г.)- Д.В. Чеботарев.</w:t>
      </w:r>
    </w:p>
    <w:p w14:paraId="2E0219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Руководитель конструкторской группы: (1965 г.)- А.И. Талейсник.</w:t>
      </w:r>
    </w:p>
    <w:p w14:paraId="21A2E4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Создано: танки Т-38 (1936), Т-40 (1939), Т-60 (1941).</w:t>
      </w:r>
    </w:p>
    <w:p w14:paraId="011DE4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бронеавтомобиль БА-27 на шасси «Форд-АА» (1930)- 1, «Комсомолец» (1938); попки: Т-23 (1930)- 5, Т-27 (1931-33),Т-41 (1932-33-), Т-37А (1933-36)- 2552,</w:t>
      </w:r>
      <w:r w:rsidRPr="0044524F">
        <w:rPr>
          <w:rFonts w:ascii="Times New Roman" w:hAnsi="Times New Roman"/>
          <w:color w:val="000000" w:themeColor="text1"/>
          <w:sz w:val="16"/>
          <w:szCs w:val="16"/>
          <w:vertAlign w:val="superscript"/>
        </w:rPr>
        <w:t>124</w:t>
      </w:r>
      <w:r w:rsidRPr="0044524F">
        <w:rPr>
          <w:rFonts w:ascii="Times New Roman" w:hAnsi="Times New Roman"/>
          <w:color w:val="000000" w:themeColor="text1"/>
          <w:sz w:val="16"/>
          <w:szCs w:val="16"/>
        </w:rPr>
        <w:t xml:space="preserve"> Т-43 (1934), Т-38 (1937-39), Т-38М (1939-), Т- 40 (1940-41-)- 192 (на 1.06.1941), Т-60 (-1941-42-)- 1639 (1942), Т-70 (1942-), Т-34 (1942-), Т-80 (ВОВ); РЛС: П-20, П-50 (1950-), П-30, П-30М, П-35 (-1958)- всего около 800; «Дунай-3» (1960-е); узлы РЛС А-100 системы ПВО С- 25; аппаратура РЛС «Дунай-ЗУ», «Крона», «Волга»; приемно-анализирующая аппаратура и ВК для ЗГРЛС «Дуга» (1970-е); спецвычислители К-340А для РЛС «Волга» (1980-е);</w:t>
      </w:r>
      <w:r w:rsidRPr="0044524F">
        <w:rPr>
          <w:rFonts w:ascii="Times New Roman" w:hAnsi="Times New Roman"/>
          <w:color w:val="000000" w:themeColor="text1"/>
          <w:sz w:val="16"/>
          <w:szCs w:val="16"/>
          <w:vertAlign w:val="superscript"/>
        </w:rPr>
        <w:t>104</w:t>
      </w:r>
      <w:r w:rsidRPr="0044524F">
        <w:rPr>
          <w:rFonts w:ascii="Times New Roman" w:hAnsi="Times New Roman"/>
          <w:color w:val="000000" w:themeColor="text1"/>
          <w:sz w:val="16"/>
          <w:szCs w:val="16"/>
        </w:rPr>
        <w:t xml:space="preserve"> электропроигрыватели: «Эпос-001С, - 006С» (11982).</w:t>
      </w:r>
    </w:p>
    <w:p w14:paraId="72C64EC8" w14:textId="77777777" w:rsidR="0034402C" w:rsidRPr="0044524F" w:rsidRDefault="0034402C" w:rsidP="009654CF">
      <w:pPr>
        <w:autoSpaceDE w:val="0"/>
        <w:autoSpaceDN w:val="0"/>
        <w:adjustRightInd w:val="0"/>
        <w:spacing w:after="0" w:line="240" w:lineRule="auto"/>
        <w:jc w:val="both"/>
        <w:rPr>
          <w:rFonts w:ascii="Times New Roman" w:hAnsi="Times New Roman"/>
          <w:color w:val="000000" w:themeColor="text1"/>
          <w:sz w:val="16"/>
          <w:szCs w:val="16"/>
        </w:rPr>
      </w:pPr>
    </w:p>
    <w:p w14:paraId="3CC94BB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1933 в серию был запущен бронеавтомобиль, который получил наименование "Форд-А Ижорский" (ФАИ). Машина имела экипаж 2 человека (реже - 3 человека); основным вооружением был пулемет ДТ, установленный в башне с круговым обстрелом, и боезапасом 1323 патрона (3862).</w:t>
      </w:r>
    </w:p>
    <w:p w14:paraId="116A70A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Вращение башни осуществлялось с помощью спинного упора. Кроме того, шаровая установка пулемета позволила вести огонь в секторе +10 градусов без вращения башни (3862).</w:t>
      </w:r>
    </w:p>
    <w:p w14:paraId="3B7010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Потом производство передали на Выксинский завод дробильно-размолоточного оборудования и там оно продолжалось до 1936. Всего выпустили 676 и с 1934 использовали отечественное шасси. В 1936 в производстве его сменил БА-20, разработанный на базе более мощного шасси ГАЗ-М1 (3947,15).</w:t>
      </w:r>
    </w:p>
    <w:p w14:paraId="55289A6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1B96E3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инженер Важинский по заданию УММ РККА разработал чертежи заднего рулевого управления для БАИ, но вскоре от этой идеи отказались (11284).</w:t>
      </w:r>
    </w:p>
    <w:p w14:paraId="11C6F2C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185D77BE"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1933 году на ЯГАЗ № 3 по заказу НАТИ были построены сразу несколько опытных конструкций. Базовыми являлись Я-7 и Я-7Д с колесной формулой 4x2 грузоподъемностью 5000 кг, которая могла быть повышена до 7000 кг. </w:t>
      </w:r>
    </w:p>
    <w:p w14:paraId="54C7829F"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Обращает на себя внимание и устаревшая к тому времени индексация этих опытных машин – одной буквой «Я». Хотя уже с 1932 года для бортовых грузовиков Ярославского завода было утверждено обозначение «ЯГ» (ярославский грузовой), как и для автобусов – «ЯА», а позже - самосвалов – «ЯС» и т.д. Кстати, уже в том же ноябре 1931 года первый «заводской» ЯГ-10 во всех документах именовался уже именно как ЯГ-10. Не менялся индекс и в дальнейшем, не смотря на изменения в конструкции.</w:t>
      </w:r>
    </w:p>
    <w:p w14:paraId="04EAFC5C"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них использовался американский двигатель «Соntinental-21R» (6 цилиндров, 6850 куб.см, 100 - 102 л.с. при 2400 об/мин) и 4-ступенчатая коробка передач. Модель Я-7Д, с демультипликатором, получала более широкий диапазон тяговых усилий и скоростей движения. Модели Я-7 и -7Д имели раму, отштампованную из стального листа толщиной 8 мм и базу 4250 мм. Вот на основе этих-то машин и были изготовлены Я-НАТИ-9 или Я-НАТИ-9Д с колесной формулой 6x4 и аналогичной с ЯГ-10 грузоподъемностью (8000 кг по шоссе и 5000 кг по бездорожью). На одном из них был установлен двигатель «Соntinental-21R», а на другом - «Неrcules-YXC-3». Я-9Д, так же, как и Я-7Д, оснащался двухступенчатым демультипликатором. Примененная на этих машинах червячная главная передача, как считалось тогда, для трехосного автомобиля является более удобной. Она дает возможность пропустить карданный вал к заднему ведущему мосту непосредственно, не прибегая к дополнительной передаче, а лишь используя для этого червяк среднего моста. В то же время она допускает большое передаточное отношение. Рамы Я-9Д были аналогичны рамам Я-7 и Я-7Д, но для увеличения их прочности и жесткости в лонжероны над задними мостами также были вставлены дополнительные швеллеры. Кроме базовых Я-7 и «трехосок», был создан еще и седельный тягач Я-НАТИ-12Д. Все эти образцы, собранные на ЯГАЗе, тем не менее, даже внешне существенно отличались от ЯГ-10: имели другие ступицы и фланцы полуосей, комплектовались иными дисками колес, различались габаритами. Кроме того, все Я-НАТИ имели штампованные рамы (а не склепанные из стандартных прокатных швеллеров, как любые серийные довоенные ярославские грузовики) и червячные главные передачи. А вот трехосные Я-НАТИ-10 и Я-НАТИ-11 грузоподъемностью 8000 кг, отличавшиеся от Я-9Д более длинными базами (предполагались с двигателями «Соntinental-21R» и передаточным числом главной передачи 9,33) построены так и не были (из 10 разработанных было воплощено в металле только 5 машин семейства Я-НАТИ).</w:t>
      </w:r>
    </w:p>
    <w:p w14:paraId="45E00CCB"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1932 - 1934 годах специалистами НАТИ и других учреждений были разработаны еще несколько вариантов трехосных ярославских грузовиков, например, Я-5-НАТИ (проект дополнительных узлов к двухосному Я-5: демультипликатора, подвески задних колес и главной передачи червячного типа) с двигателем «Неrcules-YXC-3», грузоподъемностью 5000 кг и передаточным числом главной передачи 8,75; или вспомним вариант с паросиловой установкой высокого давления на удлиненном трехосном ярославском шасси.</w:t>
      </w:r>
    </w:p>
    <w:p w14:paraId="3F57AA80"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все эти разработки, будучи более прогрессивными, все же являлись для Ярославского автозавода чем-то вроде ложки, поданной после обеда. Ни для изготовления червячной передачи, ни для штампованных рам надлежащего оборудования на заводе не имелось. А приемлимый для серийного заводского изготовления ЯГ-10 уже был создан и испытан (12201).</w:t>
      </w:r>
    </w:p>
    <w:p w14:paraId="2134D9C7" w14:textId="77777777" w:rsidR="00A1059C" w:rsidRPr="0044524F" w:rsidRDefault="00A1059C" w:rsidP="009654CF">
      <w:pPr>
        <w:spacing w:after="0" w:line="240" w:lineRule="auto"/>
        <w:jc w:val="both"/>
        <w:rPr>
          <w:rFonts w:ascii="Times New Roman" w:hAnsi="Times New Roman"/>
          <w:color w:val="000000" w:themeColor="text1"/>
          <w:sz w:val="16"/>
          <w:szCs w:val="16"/>
        </w:rPr>
      </w:pPr>
    </w:p>
    <w:p w14:paraId="039362A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План на 1933 год по заводу ДРО составил 100 ФАИ, од</w:t>
      </w:r>
      <w:r w:rsidRPr="0044524F">
        <w:rPr>
          <w:rFonts w:ascii="Times New Roman" w:hAnsi="Times New Roman"/>
          <w:color w:val="000000" w:themeColor="text1"/>
          <w:sz w:val="16"/>
          <w:szCs w:val="16"/>
        </w:rPr>
        <w:softHyphen/>
        <w:t>нако удалось собрать всего 10 машин — 2 в октябре и 8 в но</w:t>
      </w:r>
      <w:r w:rsidRPr="0044524F">
        <w:rPr>
          <w:rFonts w:ascii="Times New Roman" w:hAnsi="Times New Roman"/>
          <w:color w:val="000000" w:themeColor="text1"/>
          <w:sz w:val="16"/>
          <w:szCs w:val="16"/>
        </w:rPr>
        <w:softHyphen/>
        <w:t>ябре. Правда, эти броневики так и не были приняты пред</w:t>
      </w:r>
      <w:r w:rsidRPr="0044524F">
        <w:rPr>
          <w:rFonts w:ascii="Times New Roman" w:hAnsi="Times New Roman"/>
          <w:color w:val="000000" w:themeColor="text1"/>
          <w:sz w:val="16"/>
          <w:szCs w:val="16"/>
        </w:rPr>
        <w:softHyphen/>
        <w:t>ставителем военной приемки, так как не имели вооружения и ряда других деталей. 12 декабря военпред УММ РККА на заводе ДРО докладывал: «ФАИ — ничего не сдано. Сдача 100 штук зависит сейчас от отпуска Правительством машин «Форд-А» под бронировку».</w:t>
      </w:r>
    </w:p>
    <w:p w14:paraId="483BDBA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Ситуация с производством легких бронемашин ФАИ начала выправляться только в 1934 году, когда Выксунский завод ДРО сдал 135 бронемашин (включая 10 штук изготов</w:t>
      </w:r>
      <w:r w:rsidRPr="0044524F">
        <w:rPr>
          <w:rFonts w:ascii="Times New Roman" w:hAnsi="Times New Roman"/>
          <w:color w:val="000000" w:themeColor="text1"/>
          <w:sz w:val="16"/>
          <w:szCs w:val="16"/>
        </w:rPr>
        <w:softHyphen/>
        <w:t>ления 1932 года), из них 115 ФАИ передачи РККА и 20 — главному управлению пограничных войск ОГПУ. Причем с весны 1934 года ФАИ изготавливались на шасси отечест</w:t>
      </w:r>
      <w:r w:rsidRPr="0044524F">
        <w:rPr>
          <w:rFonts w:ascii="Times New Roman" w:hAnsi="Times New Roman"/>
          <w:color w:val="000000" w:themeColor="text1"/>
          <w:sz w:val="16"/>
          <w:szCs w:val="16"/>
        </w:rPr>
        <w:softHyphen/>
        <w:t>венного легкового автомобиля ГАЗ-А, являвшегося анало</w:t>
      </w:r>
      <w:r w:rsidRPr="0044524F">
        <w:rPr>
          <w:rFonts w:ascii="Times New Roman" w:hAnsi="Times New Roman"/>
          <w:color w:val="000000" w:themeColor="text1"/>
          <w:sz w:val="16"/>
          <w:szCs w:val="16"/>
        </w:rPr>
        <w:softHyphen/>
        <w:t>гом «Форда».</w:t>
      </w:r>
    </w:p>
    <w:p w14:paraId="3B66B11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Пик производства ФАИ пришелся на 1935 год, когда Выксунский завод ДРО сдал 452 бронеавтомобиля (442 для РККА и 10 для ОГПУ). В следующем году Красная Армия получила еще ПО ФАИ, после чего их выпуск был прекра</w:t>
      </w:r>
      <w:r w:rsidRPr="0044524F">
        <w:rPr>
          <w:rFonts w:ascii="Times New Roman" w:hAnsi="Times New Roman"/>
          <w:color w:val="000000" w:themeColor="text1"/>
          <w:sz w:val="16"/>
          <w:szCs w:val="16"/>
        </w:rPr>
        <w:softHyphen/>
        <w:t>щен. Таким образом, за все время производства завод ДРО изготовил 697 бронеавтомобилей ФАИ, из них 667 поступи</w:t>
      </w:r>
      <w:r w:rsidRPr="0044524F">
        <w:rPr>
          <w:rFonts w:ascii="Times New Roman" w:hAnsi="Times New Roman"/>
          <w:color w:val="000000" w:themeColor="text1"/>
          <w:sz w:val="16"/>
          <w:szCs w:val="16"/>
        </w:rPr>
        <w:softHyphen/>
        <w:t>ли в РККА, а 30 в части ОГПУ (11284).</w:t>
      </w:r>
    </w:p>
    <w:p w14:paraId="6DA3CEB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3F02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1933 году военным складом № 60 (позднее бронерембаза НКО № 6) в г. Брянске там был разработан бронепоезд БП-35 в составе бронепаровоза ПР-35, оборудованного башней ПВО и радиостанцией, двух легких бронеплощадок ПЛ-35 с двумя 76-мм орудиями обр. 1902/30 г. на каждой или двух тяжелых площадок ПТ-35 с одним 107-мм орудием обр. 1910/30 г. и площадки ПВО типа СПУ-БП. Серийный выпуск БП-35 начался в том же году на брянском машиностроительном заводе "Красный Профинтерн". К началу Великой Отечественной войны Красная Армия получила 47 таких бронепоездов. После эвакуации в августе 1941 года завода "Красный Профинтерн" в Красноярск строительство их прекратилось (9642).</w:t>
      </w:r>
    </w:p>
    <w:p w14:paraId="4C471A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ED2C5B3" w14:textId="77777777" w:rsidR="0034402C" w:rsidRPr="0044524F" w:rsidRDefault="0034402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1933 г. на опытном заводе HATИ в Москве для горно-разведочных работ Севморпути на нефть и соль в Хатангском заливе, были построены полугусеничные вездеходы в 4-х экземплярах. Такое назначение машин было заявлено в прессе, но действительности соответствовало не в полном мере. Желающие узнать побольше о культурном освоении Севера могут обратиться к книгам «Репрессированные геологи», « К.Г.Войновский-Кригер» и др.</w:t>
      </w:r>
    </w:p>
    <w:p w14:paraId="56F7577E" w14:textId="77777777" w:rsidR="0034402C" w:rsidRPr="0044524F" w:rsidRDefault="0034402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Руководил экспедицией Н. Н. Урванцев. Он был в числе пионеров применения механического транспорта на Крайнем Севере при разведке Норильского полиметаллического и угольного месторождений применил 3 импортных гусеничных трактора «Рено» с санными прицепами. НАТИ-3 в представлении Урванцева выглядели следующим образом:</w:t>
      </w:r>
    </w:p>
    <w:p w14:paraId="69E45317" w14:textId="77777777" w:rsidR="0034402C" w:rsidRPr="0044524F" w:rsidRDefault="0034402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«Обычные ГАЗовские полуторатонки были превращены в полугусеничные машины путем монтажа на задний мост двух специальных движителей. Движители состояли из двухметровых дюралюминиевых рам с насаженными на концах двойными скатами колес с пневматиками специального профиля. На каждый из движителей, на парные колеса натягивалась гусеничная лента из резинового ремня около 30 см ширины и 15 мм толщины. Снаружи гусеница покрыта дюралюминиевыми плицами, посередине расположены резиновые башмаки для увеличения сцепления с грунтом. Изнутри, вдоль средней линии, монтирован гребень из резиновых реборд, имеющих вид гусеничных пирамид, примерно 7×7 см сечения в основании. Этот гребень входит в зазоры между парными колесами, направляет ленту и предохраняет ее от соскакивания. Рамы движителя надеты на задние полуоси, имея вокруг них вращение на некоторый угол в вертикальной плоскости. Передача крутящего момента с полуосей заднего моста на ведущие колеса движителя осуществляется цепями Галля. Движение гусеничной ленты происходит путем фрикционного сцепления резиновых покрышек ведущих колес с резиновой поверхностью ленты. На переднюю ось можно надевать односкатные и двускатные колеса пли лыжи двух типов: глухие для глубокого снега и прорезные для малоснежья, где галька и щебень могли бы повредить дюралевые подошвы лыж. Для предохранения в прорезы лыж сантиметров на 10 выдаются ободья колес и по бесснежью катятся колеса, а лыжи остаются на весу».</w:t>
      </w:r>
    </w:p>
    <w:p w14:paraId="77547CC8" w14:textId="77777777" w:rsidR="0034402C" w:rsidRPr="0044524F" w:rsidRDefault="0034402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Машины были доставлены на восточный берег Таймырского полуострова. Здесь на островах «Комсомольской Правды» во время зимовки Первой Ленской экспедиции вездеходы провели весьма разнообразную работу. Осенью и в темную пору в декабре-январе машины перевозили грузы, преимущественно строительные материалы, с зимовавших судов экспедиции на базу, где строились здания полярной станции. Среди груза были такие громоздкие и тяжелые предметы, как 12-метровые бревна для радиомачт, доски и бревна для домов и т. д. Работа не приостанавливалась ни в полярную ночь, ни в пургу: пользовались светом фар и поставленными на пути вехами. Когда зимовавшие суда нуждались в воде для котлов парового отопления, вездеходы доставляли для них лед. На машинах же было завезено в окрестности 3 охотничьих промысловых домика, вывозилось добытое на охоте мясо п шкуры медведей и моржей, забрасывались к месту работ гидрологические партии с оборудованием и снаряжением и гидрографические знаки. Всего на базе вездеходами перевезено 573 тонны грузов и пройдено 5374 км. Осенью 1934 г. вездеходы были перевезены в бухту Нордвик Хатангского залива, где только с их помощью удалось в течение 10 рабочих дней выгрузить более 2000 тонн различных грузов. К приставшим к берегу плашкоутам машины подходили вплотную, забираясь в воду подчас на глубину до 1 метра. НАТИ-3 испытывались и в маршрутных условиях. Маршрут вокруг Таймырского полуострова (геологическое обследование н топографическая съемка) показал большие преимущества механического транспорта. Оказалось возможным значительно увеличить вес грузов исследовательской партии, достигавший 612 кг, а, следовательно, повысить точность и объем научных работ. Среди оборудования имелась и присмо-передающая радиостанция, позволившая наладить постоянную связь с базой. Передвижению не препятствовала пурга, и только плохая видимость, мешавшая ведению топографической съемки, заставляла пережидать непогоду. В случае необходимости можно было стоять на месте сколько требовалось, не заботясь о «корме» для транспорта (прежде пользовались оленьими и собачьими упряжками, животных нужно было кормить в не зависимости от того, стоит караван или движется). Отдых в палатке после работ был обставлен с гораздо большим комфортом. Имелось достаточно топлива для обогревания палатки и сушки одежды, электрическое освещение. Наконец, при езде в закрытых, обогреваемых мотором кабинах люди были защищены от мороза и ветра. Маршрутная работа делалась доступной «даже для людей средней выносливости» (15593).</w:t>
      </w:r>
    </w:p>
    <w:p w14:paraId="7F440647" w14:textId="77777777" w:rsidR="0034402C" w:rsidRPr="0044524F" w:rsidRDefault="0034402C" w:rsidP="009654CF">
      <w:pPr>
        <w:spacing w:after="0" w:line="240" w:lineRule="auto"/>
        <w:jc w:val="both"/>
        <w:rPr>
          <w:rFonts w:ascii="Times New Roman" w:hAnsi="Times New Roman"/>
          <w:color w:val="000000" w:themeColor="text1"/>
          <w:sz w:val="16"/>
          <w:szCs w:val="16"/>
        </w:rPr>
      </w:pPr>
    </w:p>
    <w:p w14:paraId="6FB1DB4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из ворот Кировского завода вышли первые легковые автомобили Л-1, полностью изготовленные из отечественных материалов(3862).</w:t>
      </w:r>
    </w:p>
    <w:p w14:paraId="153665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2DADB7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Та</w:t>
      </w:r>
      <w:r w:rsidRPr="0044524F">
        <w:rPr>
          <w:rFonts w:ascii="Times New Roman" w:hAnsi="Times New Roman"/>
          <w:color w:val="000000" w:themeColor="text1"/>
          <w:sz w:val="16"/>
          <w:szCs w:val="16"/>
        </w:rPr>
        <w:softHyphen/>
        <w:t>ганрогский инструментальный завод № 65 им. Сталина (ТИЗ). входивший в Народный комиссариат боеприпасов (НКБ), с ХМЗ передали чертежи и небольшое количество комплектующих из</w:t>
      </w:r>
      <w:r w:rsidRPr="0044524F">
        <w:rPr>
          <w:rFonts w:ascii="Times New Roman" w:hAnsi="Times New Roman"/>
          <w:color w:val="000000" w:themeColor="text1"/>
          <w:sz w:val="16"/>
          <w:szCs w:val="16"/>
        </w:rPr>
        <w:softHyphen/>
        <w:t>делий мотоцикла ХМЗ-1 с рабочим объёмом двигателя 350 см</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xml:space="preserve"> и приступили к изготовлению опытных образцов [4.142]. Для на</w:t>
      </w:r>
      <w:r w:rsidRPr="0044524F">
        <w:rPr>
          <w:rFonts w:ascii="Times New Roman" w:hAnsi="Times New Roman"/>
          <w:color w:val="000000" w:themeColor="text1"/>
          <w:sz w:val="16"/>
          <w:szCs w:val="16"/>
        </w:rPr>
        <w:softHyphen/>
        <w:t>шей промышленности имело смысл освоить производство модели с кубатурой двигателя 500-600 см</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Решением этой задачи зани</w:t>
      </w:r>
      <w:r w:rsidRPr="0044524F">
        <w:rPr>
          <w:rFonts w:ascii="Times New Roman" w:hAnsi="Times New Roman"/>
          <w:color w:val="000000" w:themeColor="text1"/>
          <w:sz w:val="16"/>
          <w:szCs w:val="16"/>
        </w:rPr>
        <w:softHyphen/>
        <w:t>мались на заводе «Красный Октябрь», где создали опытную ма</w:t>
      </w:r>
      <w:r w:rsidRPr="0044524F">
        <w:rPr>
          <w:rFonts w:ascii="Times New Roman" w:hAnsi="Times New Roman"/>
          <w:color w:val="000000" w:themeColor="text1"/>
          <w:sz w:val="16"/>
          <w:szCs w:val="16"/>
        </w:rPr>
        <w:softHyphen/>
        <w:t>шину Л-500 [4.74]. Её отработка и подготовка к серийному произ</w:t>
      </w:r>
      <w:r w:rsidRPr="0044524F">
        <w:rPr>
          <w:rFonts w:ascii="Times New Roman" w:hAnsi="Times New Roman"/>
          <w:color w:val="000000" w:themeColor="text1"/>
          <w:sz w:val="16"/>
          <w:szCs w:val="16"/>
        </w:rPr>
        <w:softHyphen/>
        <w:t>водству требовала нескольких лет, к тому же на заводах Ленин</w:t>
      </w:r>
      <w:r w:rsidRPr="0044524F">
        <w:rPr>
          <w:rFonts w:ascii="Times New Roman" w:hAnsi="Times New Roman"/>
          <w:color w:val="000000" w:themeColor="text1"/>
          <w:sz w:val="16"/>
          <w:szCs w:val="16"/>
        </w:rPr>
        <w:softHyphen/>
        <w:t>града не просматривалось для этого свободных ресурсов. И тогда в недрах НКТП родилась идея создания нового мотоцикла на ос</w:t>
      </w:r>
      <w:r w:rsidRPr="0044524F">
        <w:rPr>
          <w:rFonts w:ascii="Times New Roman" w:hAnsi="Times New Roman"/>
          <w:color w:val="000000" w:themeColor="text1"/>
          <w:sz w:val="16"/>
          <w:szCs w:val="16"/>
        </w:rPr>
        <w:softHyphen/>
        <w:t>нове хорошо себя показавшего иностранного. Специалисты счи</w:t>
      </w:r>
      <w:r w:rsidRPr="0044524F">
        <w:rPr>
          <w:rFonts w:ascii="Times New Roman" w:hAnsi="Times New Roman"/>
          <w:color w:val="000000" w:themeColor="text1"/>
          <w:sz w:val="16"/>
          <w:szCs w:val="16"/>
        </w:rPr>
        <w:softHyphen/>
        <w:t>тали, что следует выбрать английский аппарат с четырехтактным двигателем рабочим объемом 500-600 см</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Наиболее удачным представлялся популярный мотоцикл, серийно выпускавшийся с 1929 г., марки «Слоупер» (</w:t>
      </w:r>
      <w:r w:rsidRPr="0044524F">
        <w:rPr>
          <w:rFonts w:ascii="Times New Roman" w:hAnsi="Times New Roman"/>
          <w:color w:val="000000" w:themeColor="text1"/>
          <w:sz w:val="16"/>
          <w:szCs w:val="16"/>
          <w:lang w:val="en-US"/>
        </w:rPr>
        <w:t>Slouper</w:t>
      </w:r>
      <w:r w:rsidRPr="0044524F">
        <w:rPr>
          <w:rFonts w:ascii="Times New Roman" w:hAnsi="Times New Roman"/>
          <w:color w:val="000000" w:themeColor="text1"/>
          <w:sz w:val="16"/>
          <w:szCs w:val="16"/>
        </w:rPr>
        <w:t xml:space="preserve">, от англ. </w:t>
      </w:r>
      <w:r w:rsidRPr="0044524F">
        <w:rPr>
          <w:rFonts w:ascii="Times New Roman" w:hAnsi="Times New Roman"/>
          <w:color w:val="000000" w:themeColor="text1"/>
          <w:sz w:val="16"/>
          <w:szCs w:val="16"/>
          <w:lang w:val="en-US"/>
        </w:rPr>
        <w:t>slope</w:t>
      </w:r>
      <w:r w:rsidRPr="0044524F">
        <w:rPr>
          <w:rFonts w:ascii="Times New Roman" w:hAnsi="Times New Roman"/>
          <w:color w:val="000000" w:themeColor="text1"/>
          <w:sz w:val="16"/>
          <w:szCs w:val="16"/>
        </w:rPr>
        <w:t xml:space="preserve"> - наклон) с 600-кубовым одноцилиндровым двигателем, наклонённым вперед [4.143]. Освоить серийный выпуск этой модели решили на ТИЗе. Причин для выбора именно этого завода было две: высокая куль</w:t>
      </w:r>
      <w:r w:rsidRPr="0044524F">
        <w:rPr>
          <w:rFonts w:ascii="Times New Roman" w:hAnsi="Times New Roman"/>
          <w:color w:val="000000" w:themeColor="text1"/>
          <w:sz w:val="16"/>
          <w:szCs w:val="16"/>
        </w:rPr>
        <w:softHyphen/>
        <w:t>тура инструментального производства и выпуск основной продук</w:t>
      </w:r>
      <w:r w:rsidRPr="0044524F">
        <w:rPr>
          <w:rFonts w:ascii="Times New Roman" w:hAnsi="Times New Roman"/>
          <w:color w:val="000000" w:themeColor="text1"/>
          <w:sz w:val="16"/>
          <w:szCs w:val="16"/>
        </w:rPr>
        <w:softHyphen/>
        <w:t>ции для армии (11429).</w:t>
      </w:r>
    </w:p>
    <w:p w14:paraId="0122B07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2AD964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Всесоюзный трест оптико-механической промышленности включал:</w:t>
      </w:r>
    </w:p>
    <w:p w14:paraId="70FA32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ЛОМЗ им. ОГПУ</w:t>
      </w:r>
    </w:p>
    <w:p w14:paraId="495EF3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 Ленинград, Выборгская сторона, ул. Чугунная, 20 (Ленинград, 12, пр. Александровский, Бортовский пер., 3) (8869)</w:t>
      </w:r>
    </w:p>
    <w:p w14:paraId="5AA01A1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«Геофизика»</w:t>
      </w:r>
    </w:p>
    <w:p w14:paraId="4B1687D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 Москва, Стромынка, 24 (Москва, Стромынский пер., 3)</w:t>
      </w:r>
    </w:p>
    <w:p w14:paraId="3A6599D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1925 году значительную долю в производстве изделий заводом занимали физические приборы, медицинская мебель, пурки для зерна и пр. Геодезические инструменты производились в небольшом количестве: изготовлялись теодолиты старой конструкции довоенного времени, простые нивелиры и кипрегеля.</w:t>
      </w:r>
    </w:p>
    <w:p w14:paraId="66CAE3E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1926 год явился переломным и с этого времени началось развитие завода в определенном направлении – построении гл. образом геодезических инструментов.</w:t>
      </w:r>
    </w:p>
    <w:p w14:paraId="109614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Развитие микроскопии началось с 1926 года, когда завод впервые в СССР выпустил школьный микроскоп.</w:t>
      </w:r>
    </w:p>
    <w:p w14:paraId="6892997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1925 году завод «Геофизика» находился в ведении Треста точной механики.</w:t>
      </w:r>
    </w:p>
    <w:p w14:paraId="5B170E8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19 (Завод точной механики № 69)</w:t>
      </w:r>
    </w:p>
    <w:p w14:paraId="1E951A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вырос из небольших сборочных мастерских немецких заводов Цейса и Герца в Риге, филиал Герца был основан в Риге в 1911 году, а Цейса в 1912 году. С началом войны 1914 года мастерские были секвестированы правительством и объединены в один завод под единым управлением Гл. артиллерийского управления.</w:t>
      </w:r>
    </w:p>
    <w:p w14:paraId="5930ED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1915 году завод был эвакуирован в Петроград. Там завод проработал до 1918 года, когда в связи с угрозой Петрограду со стороны белых был эвакуирован сначала в Воронеж, затем в Пермь и в октябре 1918 года переброшен в Подольск Московской области. В первое время после перевода в Подольск завод был в основном занят ремонтом приборов. Ввиду недостатка площадей, завод был переведен в Павшино Московской области в законсервированные корпуса бывших текстильных фабрик Полякова и Персица. Перевод завода в Павшино начался в 1926 году и был закончен в конце 1927 года. В это время на заводе собирались лишь приборы: бинокль типа Цейса, панорама и Б. стереотруба. В 1929 году начинается изготовление медицинских стекол. С 1931 год два основные направления в приборостроении – дальномеростроение, микроскопия и измерительные приборы.</w:t>
      </w:r>
    </w:p>
    <w:p w14:paraId="451723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Опытный завод</w:t>
      </w:r>
    </w:p>
    <w:p w14:paraId="23C646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 Ленинград, В.О., Биржевая линия, д. 8-10</w:t>
      </w:r>
    </w:p>
    <w:p w14:paraId="08885EE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«Геодезия»</w:t>
      </w:r>
    </w:p>
    <w:p w14:paraId="72AC6F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 Москва, ул. Б. Пионерская, 12/14</w:t>
      </w:r>
    </w:p>
    <w:p w14:paraId="5C38771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Государственный оптический институт</w:t>
      </w:r>
    </w:p>
    <w:p w14:paraId="7D3E35A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Место: Ленинград, В.О., Биржевая линия, 12/14 (8869).</w:t>
      </w:r>
    </w:p>
    <w:p w14:paraId="569C2DC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0948EBF" w14:textId="04FDBB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было принято решение о строительстве в Иркутске элементного завода в ведении Всесоюзного аккумуляторного треста для производства гальванических батарей, в 1934 г. вышло соответствующее постановление СТО. В 01.1934 г. на базе ремонтных мастерских основан Иркутский завод «Востсибэлемент» (ГС завод № 394 НКОП, НКСП, НКЭП, ГС Иркутский завод «Востсибэлемент» НКОП, Иркутский релейный завод, Р-6376, ОАО «Иркутский релейный завод» ФАП /664075</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Иркутск ул. Байкальская, 239 тел. 24-57-45/). В соответствии с пост. СНК № 2139-425сс от 21.12.1936 г. и пр. № 59 от 14.02.1937 г. завод «Востсибэлемент» передан из ВАКТ в ведение ГУ аккумуляторной промышленности НКОП, приказом № 76 от 3.03.1937 г. утвержден Устав ГС завода «Востсибэлемент». По пр. № 18с от 19.01.1938 г. переименован в завод № 394 19ГУ НКОП, приказом № 276 от 20.07.1938 г. утвержден новый Устав завода. В 02,1939 г. из 19ГУ передан в ведение НКСП.</w:t>
      </w:r>
      <w:r w:rsidRPr="0044524F">
        <w:rPr>
          <w:rFonts w:ascii="Times New Roman" w:hAnsi="Times New Roman"/>
          <w:color w:val="000000" w:themeColor="text1"/>
          <w:sz w:val="16"/>
          <w:szCs w:val="16"/>
          <w:vertAlign w:val="superscript"/>
        </w:rPr>
        <w:t>139</w:t>
      </w:r>
    </w:p>
    <w:p w14:paraId="1E35075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1936-37 г. реконструирован гл. корпус завода. Приказом № 0018 от 31.01/2.02.1937 г. заводу предписано создать к 1.01.1938 г. мощности по производству анодных батарей - 450 тыс. шт. в год. По пр. № 67с от 21/23.02.1938 г. кирпичный завод ( г. Усолье), принадлежавший «Востсибэлементу», передан (по состоянию на 1.03.1938 г.) заводу № 125. К 1939 г. закончена реконструкция завода.</w:t>
      </w:r>
    </w:p>
    <w:p w14:paraId="7368235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 концу 1941 г. на площадку завода эвакуирована часть завода № 223 НКЭП из Ленинграда. В годы войны выпускал анодные батареи для полевых телефонов и радиоставдий, детали для мин.</w:t>
      </w:r>
    </w:p>
    <w:p w14:paraId="7D1FE4E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1946 г. завод переведен на выпуск гражданской продукции, начато производство акустических приборов (громкоговорителей, батарейных радиопремников).</w:t>
      </w:r>
    </w:p>
    <w:p w14:paraId="4B9CF2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 1956 г. специализация завода изменена на выпуск коммутационной техники- малогабаритных реле, микропереключателей (возможно, выпуск элементов питания выделен в отдельное производство). В 1963 г. предприятие переименовано в Иркутский релейный завод. Имел наименование «п/я Р-6376».</w:t>
      </w:r>
    </w:p>
    <w:p w14:paraId="5F0DBD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1966 г. освоен выпуск реле средней мощности, в 1970 г.- герметизированных реле.</w:t>
      </w:r>
    </w:p>
    <w:p w14:paraId="2D271465" w14:textId="4173E3E4"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1970-е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проведена очередная реконструкция завода, резко увеличен выпуск реле.</w:t>
      </w:r>
    </w:p>
    <w:p w14:paraId="4F463E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имел две производственные площадки.</w:t>
      </w:r>
    </w:p>
    <w:p w14:paraId="54DBB67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решению правительства № 22-р от 9.01.2004 г. вошло в перечень стратегических предприятий.</w:t>
      </w:r>
    </w:p>
    <w:p w14:paraId="0BF2DE8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(2005 г.): коммутационная техника (соединители, переключатели, электромагнитные реле).</w:t>
      </w:r>
    </w:p>
    <w:p w14:paraId="7F4E98F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(1985 г.)- около 5000 чел.</w:t>
      </w:r>
    </w:p>
    <w:p w14:paraId="054FD6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Директор (1934 г.-)- Р.В. Бугошвили, (22.10.1938 г.-)- И.Д. Салов, (1942-55 г.)- Д.Н. Долженко, (1955 г.-)- Л.Ю. Редаих, (1959-63 г.)- М.Б. Кизик, (1967-71 г.)- М.Я. Умань, (10.1971 г.)- </w:t>
      </w:r>
      <w:r w:rsidRPr="0044524F">
        <w:rPr>
          <w:rFonts w:ascii="Times New Roman" w:hAnsi="Times New Roman"/>
          <w:color w:val="000000" w:themeColor="text1"/>
          <w:sz w:val="16"/>
          <w:szCs w:val="16"/>
          <w:lang w:val="en-US"/>
        </w:rPr>
        <w:t>B</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C</w:t>
      </w:r>
      <w:r w:rsidRPr="0044524F">
        <w:rPr>
          <w:rFonts w:ascii="Times New Roman" w:hAnsi="Times New Roman"/>
          <w:color w:val="000000" w:themeColor="text1"/>
          <w:sz w:val="16"/>
          <w:szCs w:val="16"/>
        </w:rPr>
        <w:t>. Мышкин. Гендиректор (1987-2004 г.-)- В.Н. Максименко.</w:t>
      </w:r>
    </w:p>
    <w:p w14:paraId="62D6C76B" w14:textId="44D1A785"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директора: по общим вопросам (1971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Г.И. Федоров; по капстроительству (1971 г.)- П.А. Балканов; (1973 г.)- В.А. Кириллов. Зам. гендиректора по экономике (2004 г.)- О.Л. Костюковский.</w:t>
      </w:r>
    </w:p>
    <w:p w14:paraId="64AD316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(08.1971 г.)- Б.М. Петрухин, В.Н. Максименко, (2004 г.)- С.М. Жигунов.</w:t>
      </w:r>
    </w:p>
    <w:p w14:paraId="634C4A7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технолог- В.Н. Максименко.</w:t>
      </w:r>
    </w:p>
    <w:p w14:paraId="00D1136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ОТК (1971 г.)- А. Г. Берлин.</w:t>
      </w:r>
    </w:p>
    <w:p w14:paraId="6FE2AA1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iCs/>
          <w:color w:val="000000" w:themeColor="text1"/>
          <w:sz w:val="16"/>
          <w:szCs w:val="16"/>
        </w:rPr>
        <w:t>Производство:</w:t>
      </w:r>
      <w:r w:rsidRPr="0044524F">
        <w:rPr>
          <w:rFonts w:ascii="Times New Roman" w:hAnsi="Times New Roman"/>
          <w:color w:val="000000" w:themeColor="text1"/>
          <w:sz w:val="16"/>
          <w:szCs w:val="16"/>
        </w:rPr>
        <w:t xml:space="preserve"> уличные громкоговорители «Байкал», «Ангара» (1950-е); батарейные радиоприемники «Тула», «Заря» (1950-е); блок питания автомобильного радиоприемника; микропереключатели ПД-2, МПН-1, МПВ-1 (1981-); реанимационный тренажер «Витим» (2000-е) (11982).</w:t>
      </w:r>
    </w:p>
    <w:p w14:paraId="65A4135D" w14:textId="77777777" w:rsidR="000A50B4" w:rsidRPr="0044524F" w:rsidRDefault="000A50B4" w:rsidP="009654CF">
      <w:pPr>
        <w:autoSpaceDE w:val="0"/>
        <w:autoSpaceDN w:val="0"/>
        <w:adjustRightInd w:val="0"/>
        <w:spacing w:after="0" w:line="240" w:lineRule="auto"/>
        <w:jc w:val="both"/>
        <w:rPr>
          <w:rFonts w:ascii="Times New Roman" w:hAnsi="Times New Roman"/>
          <w:color w:val="000000" w:themeColor="text1"/>
          <w:sz w:val="16"/>
          <w:szCs w:val="16"/>
        </w:rPr>
      </w:pPr>
    </w:p>
    <w:p w14:paraId="6287C873" w14:textId="3B1FF366"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завод (Завод № 92 НК нефти, Бутырский машиностроительный завод «Густав Лист», Бутырский машиностроительный завод / г. Москва/) разработал и изготовил 20 уникальных пропеллерных насосов большой производительности для шлюзов канала Москва-Волга (работавших и в 2000-е</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 xml:space="preserve">г.). Выпускал воздушные компрессоры для строительства. После начала войны перешел на выпуск </w:t>
      </w:r>
      <w:r w:rsidRPr="0044524F">
        <w:rPr>
          <w:rFonts w:ascii="Times New Roman" w:hAnsi="Times New Roman"/>
          <w:color w:val="000000" w:themeColor="text1"/>
          <w:sz w:val="16"/>
          <w:szCs w:val="16"/>
          <w:lang w:val="en-US"/>
        </w:rPr>
        <w:t>PC</w:t>
      </w:r>
      <w:r w:rsidRPr="0044524F">
        <w:rPr>
          <w:rFonts w:ascii="Times New Roman" w:hAnsi="Times New Roman"/>
          <w:color w:val="000000" w:themeColor="text1"/>
          <w:sz w:val="16"/>
          <w:szCs w:val="16"/>
        </w:rPr>
        <w:t xml:space="preserve"> М-8 и М-13, мин для крупнокалиберных минометов,</w:t>
      </w:r>
    </w:p>
    <w:p w14:paraId="0E21D2A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1941 г. завод получил наименование- завод № 92 НК нефти, в 1943 г. переименован в завод № 414 НК нефти.</w:t>
      </w:r>
    </w:p>
    <w:p w14:paraId="429BE3B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(1913 г.)- 1400 чел. (11982).</w:t>
      </w:r>
    </w:p>
    <w:p w14:paraId="717C4F3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8F768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в изданной ВОХИМУ "Временной инструкции по мерам безопасности при работах с боевыми химическими веществами (БХВ) и материальной частью военно-химического вооружения" содержалась недвусмысленная запись: "...если же по каким-либо причинам разрядку и переливание произвести невозможно, тара или оболочки с ОВ после предварительной поверхностной дегазации отвозятся в заранее отведенное место, где и закапываются в землю на глубину не менее полутора метров...". И это "экологическое указание", отличавшееся от прежних только лишь заменой 1,5 вершков на 1,5 метра, выполнялось, поскольку было доведено до каждого. Здесь процитирован текст из экземпляра № 2951, случайно сохранившегося в архиве военных летчиков, - "законопослушные" военные химики такого рода документы до сих пор держат в спецхране (9065).</w:t>
      </w:r>
    </w:p>
    <w:p w14:paraId="567715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17ED8D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Дербеневский химзавод заключил с Кузьминским полигоном договор на уничтожение отходов производства дифенилхлорарсина. Деталей нет (9065).</w:t>
      </w:r>
    </w:p>
    <w:p w14:paraId="6A5241F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0B99C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была создана Фабрика эндокринных препаратов Вохимфарма НКТП (Химико-фармацевтический завод № 40 НКЗ, МЗ, Фабрика эндокринных препаратов НКТП, Завод эндокринных и витаминных препаратов НКЗ, Московский пенициллиновый завод № 40 Минмедпрома / г. Москва/). С начала 1936 г. переименована в Завод эндокринных и витаминных препаратов в ведении Главхимфармпрома НКЗ. В 11.1944 г. переименован в Химико-фармацевтический завод № 40 Главхимфармпрома НКЗ, затем МЗ. С начала 1947 г. переименован в Московский пенициллиновый завод № 40 в ведении Главпеницшхлинпрома Минмедпрома, в 1948-49г,- в ведении Главхимпрома МЗ. В 1950 г. переименован в завод № 478 МЗ (11982).</w:t>
      </w:r>
    </w:p>
    <w:p w14:paraId="1BC769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C216F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1933 г. на базе шелкоткацкой фабрики </w:t>
      </w:r>
      <w:r w:rsidRPr="0044524F">
        <w:rPr>
          <w:rFonts w:ascii="Times New Roman" w:hAnsi="Times New Roman"/>
          <w:color w:val="000000" w:themeColor="text1"/>
          <w:sz w:val="16"/>
          <w:szCs w:val="16"/>
          <w:lang w:val="en-US"/>
        </w:rPr>
        <w:t>A</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w:t>
      </w:r>
      <w:r w:rsidRPr="0044524F">
        <w:rPr>
          <w:rFonts w:ascii="Times New Roman" w:hAnsi="Times New Roman"/>
          <w:color w:val="000000" w:themeColor="text1"/>
          <w:sz w:val="16"/>
          <w:szCs w:val="16"/>
        </w:rPr>
        <w:t>. Капцовой, созданной в 1901, был организован завод «Радиолампа» (Завод № 191 НКОП, НКАП, НКЭП, Завод «Радио-Лампа» НКТП, НКОП / г. Фрязино Московской обл./). По пр. НКОП № Обсс от 30.12.1936 г. переименован в завод № 191, в 03.1937 г. - в ведении 5ГУ НКОП, приказом № 116 от 31.03.1937 г. утвержден Устав завода. В 01.1939 г. завод № 191 5ГУ передан в ведение 7ГУ НКАП, утвержден Устав завода № 191. Производство радиоламп. По Указу Президиума ВС от 17.04.1940 г. и приказу НКАП/НКЭП № 105/5 от 23.04.1940 г. передан в ведение вновь образованного НКЭП.</w:t>
      </w:r>
    </w:p>
    <w:p w14:paraId="39BB5D6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Приказами № 0020 от 3.02.1937 г. и № 0101 от 7.05.1937 г. предписано к 1.01.1938 г. закончить строительство и пустить в эксплуатацию завод, создать мощности по производству радиоламп: приемно-усилительных (в т.ч. американских) - 4,7 млн. шт. в год; генераторных - 273,8 тыс. шт. Приказом № 0063 от 27.03.1937 г. для реализации договора об инотехпомощи с фирмой «Радио-Корпорейшн», повышения качества средств вооружения РККА и внедрения американского опыта производства радиоламп заводу выдано задание выпустить в 1937 г. 100 тыс. приемоусилительных металлических ламп и 2000 генераторных ламп; организовать к 1.01.1938 г. машиностроительный цех для изготовления станков лампового производства по американским образцам. Приказом № 0219 от 28.09.1937 г. заводу была установлена программа по выпуску в 1938 г. спецмашин для производства металлических радиоламп: автомат для откачки ламп РСА - 10, насосный агрегат - 10, автомат сеточный - 20. По пр. № 156с от 7/10.05.1938 г. требовалось наладить к 1.08.1938 г. технологию производства микалекса. Приказом № 290с от 7.08.1938 г. требовалось ввести в эксплуатацию в 1938 г. цехи: металлических ламп 1-й очереди, инструментальный 1-й очереди, водородно-кислородный, стекольный; трансформаторную подстанцию, коипрессорную.</w:t>
      </w:r>
    </w:p>
    <w:p w14:paraId="63FAAE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началом войны на заводе организован выпуск стаканов для ручных противотанковых гранат. В 11.1941 г. завод эвакуирован в Ташкент и Уфу, в помещения школ № 53 и № 57 Сталинского района. В Уфу прибыл 41 вагон с оборудованием и кадрами. Организовано производство, которое тогда же, в 11.1941 г. преобразовано в самостоятельный ГС завод № 643 (будущий Уфимский электроламповый завод «Свет»).</w:t>
      </w:r>
    </w:p>
    <w:p w14:paraId="22F7EC6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1942 г. завод реэвакуирован на старое место и получил № 191а.</w:t>
      </w:r>
    </w:p>
    <w:p w14:paraId="1C35FE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Директор (-23.01.1937 г.)- </w:t>
      </w:r>
      <w:r w:rsidRPr="0044524F">
        <w:rPr>
          <w:rFonts w:ascii="Times New Roman" w:hAnsi="Times New Roman"/>
          <w:color w:val="000000" w:themeColor="text1"/>
          <w:sz w:val="16"/>
          <w:szCs w:val="16"/>
          <w:lang w:val="en-US"/>
        </w:rPr>
        <w:t>A</w:t>
      </w:r>
      <w:r w:rsidRPr="0044524F">
        <w:rPr>
          <w:rFonts w:ascii="Times New Roman" w:hAnsi="Times New Roman"/>
          <w:color w:val="000000" w:themeColor="text1"/>
          <w:sz w:val="16"/>
          <w:szCs w:val="16"/>
        </w:rPr>
        <w:t>.</w:t>
      </w:r>
      <w:r w:rsidRPr="0044524F">
        <w:rPr>
          <w:rFonts w:ascii="Times New Roman" w:hAnsi="Times New Roman"/>
          <w:color w:val="000000" w:themeColor="text1"/>
          <w:sz w:val="16"/>
          <w:szCs w:val="16"/>
          <w:lang w:val="en-US"/>
        </w:rPr>
        <w:t>M</w:t>
      </w:r>
      <w:r w:rsidRPr="0044524F">
        <w:rPr>
          <w:rFonts w:ascii="Times New Roman" w:hAnsi="Times New Roman"/>
          <w:color w:val="000000" w:themeColor="text1"/>
          <w:sz w:val="16"/>
          <w:szCs w:val="16"/>
        </w:rPr>
        <w:t>. Казарьян, (23.01-19.06.1937 г.)- Я.С. Жезлов (снят); и.о. (19.07-20.08.1937 г.)- С.Т. Валуев; (22.10.1937-08.1938 г.-&gt; А.Т. Храмов.</w:t>
      </w:r>
    </w:p>
    <w:p w14:paraId="5E7B97F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Помощник директора по найму и увольнению (7.09.1937 г.-)- П.П. Куликов.</w:t>
      </w:r>
    </w:p>
    <w:p w14:paraId="4682CF9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(-8.10.1937 г.)- К.Б. Романюк, (8.10.1937 г.-)- М.И. Гальдин.</w:t>
      </w:r>
    </w:p>
    <w:p w14:paraId="2363291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технолог (1938-41 г.)- М.М. Федоров.</w:t>
      </w:r>
    </w:p>
    <w:p w14:paraId="2E2CA25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цехов: (1936-38 г.)- М.М. Федоров.</w:t>
      </w:r>
    </w:p>
    <w:p w14:paraId="015C998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лампы: генераторные ГД-400, М-600 (1938); склянки с жидкостью «Гренэ» для морских мин (1939).</w:t>
      </w:r>
      <w:r w:rsidRPr="0044524F">
        <w:rPr>
          <w:rFonts w:ascii="Times New Roman" w:hAnsi="Times New Roman"/>
          <w:color w:val="000000" w:themeColor="text1"/>
          <w:sz w:val="16"/>
          <w:szCs w:val="16"/>
          <w:vertAlign w:val="superscript"/>
        </w:rPr>
        <w:t>ш</w:t>
      </w:r>
    </w:p>
    <w:p w14:paraId="587BAE08" w14:textId="77777777" w:rsidR="000A50B4" w:rsidRPr="0044524F" w:rsidRDefault="000A50B4"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Завод № 191а /г. Фрязино Московской обл./</w:t>
      </w:r>
    </w:p>
    <w:p w14:paraId="1BD053C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1942 г. завод № 191 НКЭП реэвакуирован на старое место и получил № 191а. С 05.1942 г. начался выпуск радиоламп для миноискателей, приемных и передающих радиостанций. Вскоре завод переименован в завод № 747 (11982).</w:t>
      </w:r>
    </w:p>
    <w:p w14:paraId="2229F92B" w14:textId="77777777" w:rsidR="000A50B4" w:rsidRPr="0044524F" w:rsidRDefault="000A50B4" w:rsidP="009654CF">
      <w:pPr>
        <w:autoSpaceDE w:val="0"/>
        <w:autoSpaceDN w:val="0"/>
        <w:adjustRightInd w:val="0"/>
        <w:spacing w:after="0" w:line="240" w:lineRule="auto"/>
        <w:jc w:val="both"/>
        <w:rPr>
          <w:rFonts w:ascii="Times New Roman" w:hAnsi="Times New Roman"/>
          <w:color w:val="000000" w:themeColor="text1"/>
          <w:sz w:val="16"/>
          <w:szCs w:val="16"/>
        </w:rPr>
      </w:pPr>
    </w:p>
    <w:p w14:paraId="3F48A93C" w14:textId="6D866F2D"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завод (Завод № 202 им. К.Е. Ворошилова НКОП, НКСП, Завод «Крестьянский Интернационал» («Крестинтерн») ВСНХ, Дальневосточный судостроительный и механический завод («Дальзавод») им. К.Е. Ворошилова ВСНХ, НКТП, ОАО «Холдинговая компания (ХК) «Дальзавод» /г. Владивосток, 11 п/я 347 (1938 г.)/ /690001 (690005)</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Владивосток ул. Дальзаводская, 2/) передан из Союзверфи в подчинение Главморпрому НКТП. По пр. НКОП № Обсс от 30.12.1936 г. Судостроительный завод им. Ворошилова переименован в завод № 202 им. Ворошилова. В 02.1937 г. завод - в ведении 2ГУ НКОП, приказом № 136 от 11.04.1937 г. утвержден Устав завода. В 02.1939 г. передан из 2ГУ НКОП в ведение ЗГУ НКСП.</w:t>
      </w:r>
    </w:p>
    <w:p w14:paraId="619128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1921 г. на заводе организована сварочная мастерская, в 1923 г. на ее базе создан электросварочный цех. Изготовлялись сварные котлы и резервуары. В 1925 г. В.П. Вологдиным организована первая лаборатория электродуговой и газовой сварки. В 1930 г. на заводе под его руководством спроектировано и построено первое в стране цельносварное судно- буксирный катер ЖС-1.</w:t>
      </w:r>
    </w:p>
    <w:p w14:paraId="18D08D6B" w14:textId="6CF6F781"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начале 1930-х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для строительства ПЛ построены 4 временных наклонных стапеля в «гнилом углу» бухты Золотой Ро г. Приказом № 0014 от 1.02.1937 г. на 1937 г. запланировано восстановление сухих доков. Во исполнение решения правительства № 150с от 7.07.1938 г. приказом № 242сс от 13.07.1938 г. требовалось приступить к восстановлению затопленного сухого дока. Пр. № 444сс от 25.11.1938 г. заводу предписано обеспечить вербовку 1000 рабочих.</w:t>
      </w:r>
    </w:p>
    <w:p w14:paraId="13CE0F0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Сюда в 1941 г. эвакуирована часть завода № 194 НКСП.</w:t>
      </w:r>
      <w:r w:rsidRPr="0044524F">
        <w:rPr>
          <w:rFonts w:ascii="Times New Roman" w:hAnsi="Times New Roman"/>
          <w:color w:val="000000" w:themeColor="text1"/>
          <w:sz w:val="16"/>
          <w:szCs w:val="16"/>
          <w:vertAlign w:val="superscript"/>
        </w:rPr>
        <w:t>61</w:t>
      </w:r>
      <w:r w:rsidRPr="0044524F">
        <w:rPr>
          <w:rFonts w:ascii="Times New Roman" w:hAnsi="Times New Roman"/>
          <w:color w:val="000000" w:themeColor="text1"/>
          <w:sz w:val="16"/>
          <w:szCs w:val="16"/>
        </w:rPr>
        <w:t xml:space="preserve"> Имел филиал- завод № 263 в Совгавани.</w:t>
      </w:r>
    </w:p>
    <w:p w14:paraId="63241CA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Разработаны минные устройства ПЛ типа «Щ» и «М».</w:t>
      </w:r>
    </w:p>
    <w:p w14:paraId="7B6BC53F" w14:textId="6C14205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1970-80-х</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 на заводе планировалось освоить ремонт АПЛ (программа «Ледокол»). Это не было реализовано (были расширены производственные мощности завода «Звезда»), Завод ремонтировал дизельные ПЛ.</w:t>
      </w:r>
    </w:p>
    <w:p w14:paraId="707B03E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2004 г. - ОАО «ХК «Дальзавод». По распоряжению правительства № 22-р от 9.01.2004 г. вошло в число стратегических предприятий. В 2007 г. планировалось вхождение предприятия в один из 7 создаваемых в России судостроительных холдингов- ОАО «Дальневосточный центр судостроения». 16.03.2009 г. предприятие признано банкротом, введена процедура конкурсного производства.</w:t>
      </w:r>
    </w:p>
    <w:p w14:paraId="3A50FB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 xml:space="preserve">В 2009 г. планировалось в одном из пустующих цехов завода разместить автосборочное производство ОАО «Соллерс» с выпуском первых машин в 12.2009 г. Планировался выпуск внедорожников </w:t>
      </w:r>
      <w:r w:rsidRPr="0044524F">
        <w:rPr>
          <w:rFonts w:ascii="Times New Roman" w:hAnsi="Times New Roman"/>
          <w:color w:val="000000" w:themeColor="text1"/>
          <w:sz w:val="16"/>
          <w:szCs w:val="16"/>
          <w:lang w:val="en-US"/>
        </w:rPr>
        <w:t>SsangYong</w:t>
      </w:r>
      <w:r w:rsidRPr="0044524F">
        <w:rPr>
          <w:rFonts w:ascii="Times New Roman" w:hAnsi="Times New Roman"/>
          <w:color w:val="000000" w:themeColor="text1"/>
          <w:sz w:val="16"/>
          <w:szCs w:val="16"/>
        </w:rPr>
        <w:t xml:space="preserve">, фургонов </w:t>
      </w:r>
      <w:r w:rsidRPr="0044524F">
        <w:rPr>
          <w:rFonts w:ascii="Times New Roman" w:hAnsi="Times New Roman"/>
          <w:color w:val="000000" w:themeColor="text1"/>
          <w:sz w:val="16"/>
          <w:szCs w:val="16"/>
          <w:lang w:val="en-US"/>
        </w:rPr>
        <w:t>FiatDucato</w:t>
      </w:r>
      <w:r w:rsidRPr="0044524F">
        <w:rPr>
          <w:rFonts w:ascii="Times New Roman" w:hAnsi="Times New Roman"/>
          <w:color w:val="000000" w:themeColor="text1"/>
          <w:sz w:val="16"/>
          <w:szCs w:val="16"/>
        </w:rPr>
        <w:t xml:space="preserve">, грузовиков </w:t>
      </w:r>
      <w:r w:rsidRPr="0044524F">
        <w:rPr>
          <w:rFonts w:ascii="Times New Roman" w:hAnsi="Times New Roman"/>
          <w:color w:val="000000" w:themeColor="text1"/>
          <w:sz w:val="16"/>
          <w:szCs w:val="16"/>
          <w:lang w:val="en-US"/>
        </w:rPr>
        <w:t>Isuzu</w:t>
      </w:r>
      <w:r w:rsidRPr="0044524F">
        <w:rPr>
          <w:rFonts w:ascii="Times New Roman" w:hAnsi="Times New Roman"/>
          <w:color w:val="000000" w:themeColor="text1"/>
          <w:sz w:val="16"/>
          <w:szCs w:val="16"/>
        </w:rPr>
        <w:t xml:space="preserve"> мощностью 15 тыс. машин в год.</w:t>
      </w:r>
    </w:p>
    <w:p w14:paraId="4FB9F94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Численность персонала (1937 г.)- 5062 чел., (2002 г.)- 3543 чел.</w:t>
      </w:r>
    </w:p>
    <w:p w14:paraId="2C9C0CAE" w14:textId="64A70716"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(-21.09.1937 г.)- И.С. Сергеев (снят), (21.09.1937-07.1938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Г.Д. Каплун, (1940 г.)- Б.Е. Клопотов, (ВОВ)- В.П. Рудяк, (-1957 г.)- В.Н. Дубровский (затем- начальник Управления ЛенСНХ). Гендиректор (-1999- 2002 г.)- С.М. Кучеренко. Внешний управляющий (2002-04 г.)- А.А. Чавычалов. И.О. конкурсного управляющего (16.03.2009 г.-)- А.А. Чавычалов.</w:t>
      </w:r>
    </w:p>
    <w:p w14:paraId="799F2F6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технический (1930-е)- П. Г. Гойнкис; исполнительный (-2003 г.)- Н. Болгар, (2006 г.)- А. Басаргин.</w:t>
      </w:r>
    </w:p>
    <w:p w14:paraId="6AEB359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исполнительного директора (2004 г.)- Н. Панюта.</w:t>
      </w:r>
    </w:p>
    <w:p w14:paraId="5C750A7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(01.1937 г.)- К.Н. Кулигин.</w:t>
      </w:r>
    </w:p>
    <w:p w14:paraId="111FAB9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Начальники отделов: ППО (02.1938 г.)- Клопотов.</w:t>
      </w:r>
    </w:p>
    <w:p w14:paraId="070654F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Строители кораблей: (1932 г.)- С.В. Волынский.</w:t>
      </w:r>
    </w:p>
    <w:p w14:paraId="18F729EE"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Производство: буксирные катера: типа Ж (1926-), ЖС (1931-); морской буксир 400 л.с. типа «МБ» пр. 130 (зак. 583, 1938), (1933-39)- всего 6; сухогрузы «Работница», «Крестьянка» (1930-33); сторожевики: сборка кораблей заводов им. Жданова и им. Марти II серии (пр. 4) «Метель», «Вьюга», «Гром», «Бурун» (-1934), III серии (пр. 39) «Молния», «Зарница» (1935); эсминцы: сборка эсминцев пр. 7 завода им. Марти «Резвый» (09.1937- ), «Решительный», «Расторопный», «Разящий» (-1940), «Рьяный», «Резкий» (-1942), «Ретивый», «Поспешный», «Проворный», «Передовой», «Прыткий» («Рекордный»), «Пылкий», «Прочный» («Разумный») (1941); ПЛ: сборка лодок: заводов Балтийского и им. Марти V серии (1932-34), Убис (VII) серии Щ-113, -114, -115, -116, -117, -118, - 119, -120 (-1935), Убис (II) серии Щ-121, -122, -123, -124, -125 (1930-е), Ибис (XI) серии Л-7, -8, -9, -10 (1936-37); заводов 189 и 194 X серии Щ-126, -127, -128, -129, -130, -131, -132, -133, -134 (-12.1936), завода 194 Хбис серии Щ-135, -136, -137, -138 (-12.1941); заводов 189 и 194 серии 1Хбис С-51, С-54, С-55, С-56 (-1941)- 5; заводов 189 и 198 XIII серии Л-13, Л-14, Л-15, Л-16, Л-17 (зак. 305, 1938), Л-18 (зак. 306, 1938), Л-19 (зак. 307, 1938-39); транспорт-ракетовоз пр. 1818А (1968-73)- 2; буксируемые щиты-мишени пр. 1784 (1960-е), пр. 1784Б (1970-е), пр. 436Б (1970-е);</w:t>
      </w:r>
      <w:r w:rsidRPr="0044524F">
        <w:rPr>
          <w:rFonts w:ascii="Times New Roman" w:hAnsi="Times New Roman"/>
          <w:color w:val="000000" w:themeColor="text1"/>
          <w:sz w:val="16"/>
          <w:szCs w:val="16"/>
          <w:vertAlign w:val="superscript"/>
        </w:rPr>
        <w:t>116</w:t>
      </w:r>
      <w:r w:rsidRPr="0044524F">
        <w:rPr>
          <w:rFonts w:ascii="Times New Roman" w:hAnsi="Times New Roman"/>
          <w:color w:val="000000" w:themeColor="text1"/>
          <w:sz w:val="16"/>
          <w:szCs w:val="16"/>
        </w:rPr>
        <w:t xml:space="preserve"> достройка (на плаву) лидера пр. 38бис «Орджоникидзе» (11.1938-39);, ремонт: миноносца «Лазо», ледокола «Красный Октябрь» (1922-25), коммерческих судов (1930-е); переоборудование: пароходов «Теодор Нетте», «Астрахань» в мигоаги (1933-35)- 6; ПЛ пр. 611 Б-71 по пр. 611РУ с ГАК «Рубин» (1963-12.1964); крейсера пр. 68 «Адмирал Сенявин» в корабль управления по пр. 68У2 «Бухта» (1971-72); БРК пр. 57Б в БПЛК по пр. 57А (1968-73)- 8 (вместе с заводами 190 и 445); БРК пр. 56М и 56ЭМ в БПЛК по пр. 56У (1972-77)- 3 (вместе с заводом 497); ПЛ пр. 629 в ретрансляторы по пр. 629Р (1976-79)- 2; модернизация: тральщиков пр. 3, 53, 58, 53У (1946-50); ПЛ: Б-62 пр. 611 по пр. АВ611 с МБР Р-11ФМ (1957-58); пр. И641 по пр. И641М (1976-79)-2 (11982).</w:t>
      </w:r>
    </w:p>
    <w:p w14:paraId="5D1055E4" w14:textId="77777777" w:rsidR="000A50B4" w:rsidRPr="0044524F" w:rsidRDefault="000A50B4" w:rsidP="009654CF">
      <w:pPr>
        <w:autoSpaceDE w:val="0"/>
        <w:autoSpaceDN w:val="0"/>
        <w:adjustRightInd w:val="0"/>
        <w:spacing w:after="0" w:line="240" w:lineRule="auto"/>
        <w:jc w:val="both"/>
        <w:rPr>
          <w:rFonts w:ascii="Times New Roman" w:hAnsi="Times New Roman"/>
          <w:color w:val="000000" w:themeColor="text1"/>
          <w:sz w:val="16"/>
          <w:szCs w:val="16"/>
        </w:rPr>
      </w:pPr>
    </w:p>
    <w:p w14:paraId="56BC02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на заводе «Красный Путиловец» были изготовлены первые образцы 152-мм морских ДРП.</w:t>
      </w:r>
    </w:p>
    <w:p w14:paraId="05AAF1A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1934 г. завод «Красный Путиловец» получил заказ на одиннадцать 152-мм ДРП. На 1 декабря 1934 г. заводом было изготовлено, сдано и отгружено в адрес завода № 38 девять 152-мм систем.</w:t>
      </w:r>
    </w:p>
    <w:p w14:paraId="0A054D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Заряжание орудия производилось с дула из надствольного магазина. Автоматика работала за счет подачи сжатого воздуха из специального баллона, расположенного на корабле. Снаряд двигался по цилиндрическому магазину, а затем под действием силы тяжести падал в лоток, откуда специальным досылателем загонялся в ствол.</w:t>
      </w:r>
    </w:p>
    <w:p w14:paraId="087E5CF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Выстрел унитарный. Гильзой служила сгораемая ткань и деревянный поддон, раздробляемый выстрелом. Средством воспламенения был капсюль, при разбитии которого огонь передавался по боковому отверстию в зарядной каморе черному пороху, расположенному в сгорающей ткани кольцом вокруг заряда.</w:t>
      </w:r>
    </w:p>
    <w:p w14:paraId="72C24C8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Стрельба, когда сопло расположено над палубой (даже параллельно ей), не могла вестись без повреждений корпуса и надстроек.</w:t>
      </w:r>
    </w:p>
    <w:p w14:paraId="22FE78C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Данные 152-мм опытной ДРП </w:t>
      </w:r>
    </w:p>
    <w:p w14:paraId="176BA0C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Калибр, мм — 152,4</w:t>
      </w:r>
    </w:p>
    <w:p w14:paraId="170437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Длина хода снаряда, клб — около 15</w:t>
      </w:r>
    </w:p>
    <w:p w14:paraId="17E36BE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ВН, град — +35°</w:t>
      </w:r>
    </w:p>
    <w:p w14:paraId="0AB0263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Угол ГН, град — 360°</w:t>
      </w:r>
    </w:p>
    <w:p w14:paraId="22B79C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ВН за один оборот маховика, град — около 1,5</w:t>
      </w:r>
    </w:p>
    <w:p w14:paraId="78EA407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Скорость ГН за один оборот маховика, град — около 2</w:t>
      </w:r>
    </w:p>
    <w:p w14:paraId="4DB6FED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Скорострельность, выстр/мин — 10</w:t>
      </w:r>
    </w:p>
    <w:p w14:paraId="005BB5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 снаряда 152-мм ДРП — 24 кг. Снаряды — чугунные болванки и снаряды обыкновенного чугуна, снаряженные дымным порохом с 22-секундной трубкой. Пояски системы Минье из красной меди (12091).</w:t>
      </w:r>
    </w:p>
    <w:p w14:paraId="595E4E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1F2F6C7"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1933 год был запущен Днепровский алюминиевый завод в Запорожье, питаемый электроэнергией Днепрогэса. Впоследствии – Запорожский производственный алюминиевый комбинат на Украине. Вначале завод работает на импортном сырье, а через год переходит на советское сырье. В заводской комплекс входили: глиноземный завод, рассчитанный на переработку 30 тыс. тонн бокситов; электролизное производство, позволяющее выдавать до 15 тыс. тонн металла в год, и электродный завод, нацеленный на выпуск угольных анодов и плит, необходимых для футеровки электролизеров. Именно на этом заводе освоено производство вайербарсов – идеально гладких слитков из алюминия высшего сорта, из которых производят катанку. </w:t>
      </w:r>
    </w:p>
    <w:p w14:paraId="30F1EFFC"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1934 год – создается Северо-Уральский бокситовый рудник. Чтобы расширить географию производства, поиски бокситов были организованы по всей стране. </w:t>
      </w:r>
    </w:p>
    <w:p w14:paraId="4C905928"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Найти ценное сырье всегда непросто, но геологу Николаю Каржавину помогла счастливая случайность. Изучая в лаборатории коллекцию минералов, собранную выдающимся кристаллографом академиком Евграфом Федоровым на Турьинских медных рудниках Северного Урала, он выяснил, что горная порода, обозначенная как железный песчаник, на самом деле содержит более 50% оксида алюминия, то есть представляет собой боксит, по качеству значительно превосходящий тихвинский. Такие же образцы породы, как в коллекции Федорова, были обнаружены им в тайге на реке Вагран в районе города Серова. Берега реки, где порода выходила на поверхность, были характерного красно-коричневого цвета, поэтому месторождение назвали «Красная Шапочка». Оно стало первым в Североуральском бокситовом бассейне. </w:t>
      </w:r>
    </w:p>
    <w:p w14:paraId="58B93FBA"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1936 год – запущен Южно-Уральский бокситовый рудник, что определило строительство нового мощного алюминиевого комбината на Урале. </w:t>
      </w:r>
    </w:p>
    <w:p w14:paraId="55CEA77F"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1938 год – в эксплуатацию введен Тихвинский глиноземный завод (впоследствии переименованный в Бокситогорский глиноземный завод) с годовой мощностью 40 тыс. тонн. </w:t>
      </w:r>
    </w:p>
    <w:p w14:paraId="73FCA6AC"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1939 год – запущена первая очередь Уральского алюминиевого завода в городе Каменске-Уральском на реке Исеть. </w:t>
      </w:r>
    </w:p>
    <w:p w14:paraId="3E931822"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1940 год – объем выпущенного алюминия достиг 60 тыс. тонн. СССР вышел на третье место в мире по этому показателю, уступая Германии и США. На территории нынешней Российской Федерации работают два алюминиевых и один глиноземный завод. </w:t>
      </w:r>
    </w:p>
    <w:p w14:paraId="2C11AFBD"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строй вступает Ступинский алюминиевый комбинат – на тот момент самый большой в мире, годом позже его первая очередь выходит на проектную мощностью. </w:t>
      </w:r>
    </w:p>
    <w:p w14:paraId="3D8FA1E7"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Принято решение о строительстве Богословского алюминиевого завода недалеко от реки Турьи и поселка Турьинские рудники. </w:t>
      </w:r>
    </w:p>
    <w:p w14:paraId="4A42F641"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1941-1945 гг. – в рамках масштабной промышленной эвакуации оборудование Волховского и Тихвинского заводов перевозят на Урал и в Западную Сибирь, где на их основе начинают строительство Богословского и Новокузнецкого (в то время – Сталинского) заводов соответственно. Уральский алюминиевый завод остается единственным в Советском Союзе предприятием, выпускающим глинозем, алюминий и его сплавы на нужды обороны. </w:t>
      </w:r>
    </w:p>
    <w:p w14:paraId="05EE0591" w14:textId="77777777" w:rsidR="00A1059C" w:rsidRPr="0044524F" w:rsidRDefault="00A1059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1943 год – Сталинский (Новокузнецкий) и Богословский алюминиевые заводы вступают в строй. Богословский завод вплоть до 1945 года производит только гидроксид алюминия (12271). </w:t>
      </w:r>
    </w:p>
    <w:p w14:paraId="17583903" w14:textId="77777777" w:rsidR="00A1059C" w:rsidRPr="0044524F" w:rsidRDefault="00A1059C" w:rsidP="009654CF">
      <w:pPr>
        <w:spacing w:after="0" w:line="240" w:lineRule="auto"/>
        <w:jc w:val="both"/>
        <w:rPr>
          <w:rFonts w:ascii="Times New Roman" w:hAnsi="Times New Roman"/>
          <w:color w:val="000000" w:themeColor="text1"/>
          <w:sz w:val="16"/>
          <w:szCs w:val="16"/>
        </w:rPr>
      </w:pPr>
    </w:p>
    <w:p w14:paraId="2E8FD772" w14:textId="77777777" w:rsidR="002E2083" w:rsidRPr="0044524F" w:rsidRDefault="008E43F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Армия:</w:t>
      </w:r>
    </w:p>
    <w:p w14:paraId="5F490275"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0EF03EB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штурмовиками Р-5Ш укомплектовали по одной эскадрилье в 251-й, 252-й и 255-й бригадах. Массовое же перевооружение штурмовой авиации произошло в следующем году. Обычно в каждой эскадрилье один отряд должен был нести полную бомбовую нагрузку при снятии одной или двух пар крыльевых пулеметов; второй бомб не брал, но нес полный комплект пулеметов с полным боезапасом; на самолеты третьего подвешивали ВАП-4, ограничивая запас патронов для крыльевых пулеметов (11936).</w:t>
      </w:r>
    </w:p>
    <w:p w14:paraId="31A3924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Одним из основных видов оружия штурмовиков считалось химическое. Предусматривалось применение ВАП-4 против пехоты, кавалерии, артиллерии и обозов, в первую очередь, на конной тяге. Особенно уязвимыми считали обозы и артиллерию, где лошадей много, а людей сравнительно мало. При неожиданной атаке они не успели бы надеть на всех лошадей противогазы. У обозникоа не имелось и эффективных средств борьбы с низколетящими самолетами. Один Р-5 нес 160 кг иприта или люизита и с высоты около 50 м накрывал ядовитым дождем всю ширину дороги. Штурмовая бригада могла за два вылета сбросить 9 т иприта. Две бригады за один вылет могли перебить всех лошадей в польском пехотном корпусе (11936).</w:t>
      </w:r>
    </w:p>
    <w:p w14:paraId="6B2FA1C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1D5E566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1933 г. успели вооружить Р-5Ш по одной эскадрилье в 251 -й, 252-й и 255-й бригадах. Массовое же перевооружение штурмовой авиации на эти машины произошло в следующем году. Каждая бригада состояла из двух-трех эскадрилий. Обычно в каждой эскадрилье один отряд должен был нести полную бомбовую нагрузку (до 40 бомб малого калибра) при снятии одной или двух пар пулеметов на крыльях, второй бомб не брал, но нес полный боекомплект для пулеметов, на самолеты третьего </w:t>
      </w:r>
      <w:r w:rsidRPr="0044524F">
        <w:rPr>
          <w:rFonts w:ascii="Times New Roman" w:hAnsi="Times New Roman"/>
          <w:color w:val="000000" w:themeColor="text1"/>
          <w:sz w:val="16"/>
          <w:szCs w:val="16"/>
        </w:rPr>
        <w:lastRenderedPageBreak/>
        <w:t>подвешивали ВАП-4, ограничивая запас патронов для крыльевых пулеметов. Тактика применения Р-5Ш предусматривала нанесение ударов с малых высот (от 15 до 50 м) (12034).</w:t>
      </w:r>
    </w:p>
    <w:p w14:paraId="472500F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1A3A86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число авиабригад составляло 35 по сравнению с 17 в 1929 (66,179).</w:t>
      </w:r>
    </w:p>
    <w:p w14:paraId="2E803DA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8C9049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ТБ-1 считался уже вполне освоенным типом, однако к тому моменту роль основно</w:t>
      </w:r>
      <w:r w:rsidRPr="0044524F">
        <w:rPr>
          <w:rFonts w:ascii="Times New Roman" w:hAnsi="Times New Roman"/>
          <w:color w:val="000000" w:themeColor="text1"/>
          <w:sz w:val="16"/>
          <w:szCs w:val="16"/>
        </w:rPr>
        <w:softHyphen/>
        <w:t>го тяжелого бомбардировщика уже факти</w:t>
      </w:r>
      <w:r w:rsidRPr="0044524F">
        <w:rPr>
          <w:rFonts w:ascii="Times New Roman" w:hAnsi="Times New Roman"/>
          <w:color w:val="000000" w:themeColor="text1"/>
          <w:sz w:val="16"/>
          <w:szCs w:val="16"/>
        </w:rPr>
        <w:softHyphen/>
        <w:t>чески перешла к ТБ-3, серийное произволство которых нарастало. Начиная с 1935 г., ТБ-1 все активнее стали переводить на вспо</w:t>
      </w:r>
      <w:r w:rsidRPr="0044524F">
        <w:rPr>
          <w:rFonts w:ascii="Times New Roman" w:hAnsi="Times New Roman"/>
          <w:color w:val="000000" w:themeColor="text1"/>
          <w:sz w:val="16"/>
          <w:szCs w:val="16"/>
        </w:rPr>
        <w:softHyphen/>
        <w:t>могательные роли, включая выполнение транспортных задач (11286).</w:t>
      </w:r>
    </w:p>
    <w:tbl>
      <w:tblPr>
        <w:tblW w:w="0" w:type="auto"/>
        <w:tblInd w:w="40" w:type="dxa"/>
        <w:tblLayout w:type="fixed"/>
        <w:tblCellMar>
          <w:left w:w="40" w:type="dxa"/>
          <w:right w:w="40" w:type="dxa"/>
        </w:tblCellMar>
        <w:tblLook w:val="0000" w:firstRow="0" w:lastRow="0" w:firstColumn="0" w:lastColumn="0" w:noHBand="0" w:noVBand="0"/>
      </w:tblPr>
      <w:tblGrid>
        <w:gridCol w:w="2083"/>
        <w:gridCol w:w="634"/>
        <w:gridCol w:w="739"/>
      </w:tblGrid>
      <w:tr w:rsidR="004E10C1" w:rsidRPr="0044524F" w14:paraId="1DBCB6A8" w14:textId="77777777">
        <w:trPr>
          <w:trHeight w:val="374"/>
        </w:trPr>
        <w:tc>
          <w:tcPr>
            <w:tcW w:w="3456" w:type="dxa"/>
            <w:gridSpan w:val="3"/>
            <w:tcBorders>
              <w:top w:val="single" w:sz="6" w:space="0" w:color="auto"/>
              <w:left w:val="single" w:sz="6" w:space="0" w:color="auto"/>
              <w:bottom w:val="single" w:sz="6" w:space="0" w:color="auto"/>
              <w:right w:val="single" w:sz="6" w:space="0" w:color="auto"/>
            </w:tcBorders>
          </w:tcPr>
          <w:p w14:paraId="22C2943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Наличие ТБ- 1 и планы их дальнейшего пе</w:t>
            </w:r>
            <w:r w:rsidRPr="0044524F">
              <w:rPr>
                <w:rFonts w:ascii="Times New Roman" w:hAnsi="Times New Roman"/>
                <w:color w:val="000000" w:themeColor="text1"/>
                <w:sz w:val="16"/>
                <w:szCs w:val="16"/>
              </w:rPr>
              <w:softHyphen/>
              <w:t>рераспределения</w:t>
            </w:r>
          </w:p>
        </w:tc>
      </w:tr>
      <w:tr w:rsidR="004E10C1" w:rsidRPr="0044524F" w14:paraId="1F96DBFF" w14:textId="77777777">
        <w:trPr>
          <w:trHeight w:val="451"/>
        </w:trPr>
        <w:tc>
          <w:tcPr>
            <w:tcW w:w="2083" w:type="dxa"/>
            <w:tcBorders>
              <w:top w:val="single" w:sz="6" w:space="0" w:color="auto"/>
              <w:left w:val="single" w:sz="6" w:space="0" w:color="auto"/>
              <w:bottom w:val="single" w:sz="6" w:space="0" w:color="auto"/>
              <w:right w:val="single" w:sz="6" w:space="0" w:color="auto"/>
            </w:tcBorders>
          </w:tcPr>
          <w:p w14:paraId="6BB8191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Подразделение</w:t>
            </w:r>
          </w:p>
        </w:tc>
        <w:tc>
          <w:tcPr>
            <w:tcW w:w="634" w:type="dxa"/>
            <w:tcBorders>
              <w:top w:val="single" w:sz="6" w:space="0" w:color="auto"/>
              <w:left w:val="single" w:sz="6" w:space="0" w:color="auto"/>
              <w:bottom w:val="single" w:sz="6" w:space="0" w:color="auto"/>
              <w:right w:val="single" w:sz="6" w:space="0" w:color="auto"/>
            </w:tcBorders>
          </w:tcPr>
          <w:p w14:paraId="10A804F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Наличие на 1.03.33</w:t>
            </w:r>
          </w:p>
        </w:tc>
        <w:tc>
          <w:tcPr>
            <w:tcW w:w="739" w:type="dxa"/>
            <w:tcBorders>
              <w:top w:val="single" w:sz="6" w:space="0" w:color="auto"/>
              <w:left w:val="single" w:sz="6" w:space="0" w:color="auto"/>
              <w:bottom w:val="single" w:sz="6" w:space="0" w:color="auto"/>
              <w:right w:val="single" w:sz="6" w:space="0" w:color="auto"/>
            </w:tcBorders>
          </w:tcPr>
          <w:p w14:paraId="18D4323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плану на 1.05.33</w:t>
            </w:r>
          </w:p>
        </w:tc>
      </w:tr>
      <w:tr w:rsidR="004E10C1" w:rsidRPr="0044524F" w14:paraId="3585D14B"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798276B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Московский военный округ</w:t>
            </w:r>
          </w:p>
        </w:tc>
        <w:tc>
          <w:tcPr>
            <w:tcW w:w="1373" w:type="dxa"/>
            <w:gridSpan w:val="2"/>
            <w:tcBorders>
              <w:top w:val="single" w:sz="6" w:space="0" w:color="auto"/>
              <w:left w:val="single" w:sz="6" w:space="0" w:color="auto"/>
              <w:bottom w:val="single" w:sz="6" w:space="0" w:color="auto"/>
              <w:right w:val="single" w:sz="6" w:space="0" w:color="auto"/>
            </w:tcBorders>
          </w:tcPr>
          <w:p w14:paraId="1D11235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EB315E0"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69BAFA6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1-я АБ (Воронеж)</w:t>
            </w:r>
          </w:p>
        </w:tc>
        <w:tc>
          <w:tcPr>
            <w:tcW w:w="634" w:type="dxa"/>
            <w:tcBorders>
              <w:top w:val="single" w:sz="6" w:space="0" w:color="auto"/>
              <w:left w:val="single" w:sz="6" w:space="0" w:color="auto"/>
              <w:bottom w:val="single" w:sz="6" w:space="0" w:color="auto"/>
              <w:right w:val="single" w:sz="6" w:space="0" w:color="auto"/>
            </w:tcBorders>
          </w:tcPr>
          <w:p w14:paraId="4525C25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c>
          <w:tcPr>
            <w:tcW w:w="739" w:type="dxa"/>
            <w:tcBorders>
              <w:top w:val="single" w:sz="6" w:space="0" w:color="auto"/>
              <w:left w:val="single" w:sz="6" w:space="0" w:color="auto"/>
              <w:bottom w:val="single" w:sz="6" w:space="0" w:color="auto"/>
              <w:right w:val="single" w:sz="6" w:space="0" w:color="auto"/>
            </w:tcBorders>
          </w:tcPr>
          <w:p w14:paraId="549DA44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48</w:t>
            </w:r>
          </w:p>
        </w:tc>
      </w:tr>
      <w:tr w:rsidR="004E10C1" w:rsidRPr="0044524F" w14:paraId="7AA70A13"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775AF80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23-я АБ (Монино)</w:t>
            </w:r>
          </w:p>
        </w:tc>
        <w:tc>
          <w:tcPr>
            <w:tcW w:w="634" w:type="dxa"/>
            <w:tcBorders>
              <w:top w:val="single" w:sz="6" w:space="0" w:color="auto"/>
              <w:left w:val="single" w:sz="6" w:space="0" w:color="auto"/>
              <w:bottom w:val="single" w:sz="6" w:space="0" w:color="auto"/>
              <w:right w:val="single" w:sz="6" w:space="0" w:color="auto"/>
            </w:tcBorders>
          </w:tcPr>
          <w:p w14:paraId="77EB2E7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15</w:t>
            </w:r>
          </w:p>
        </w:tc>
        <w:tc>
          <w:tcPr>
            <w:tcW w:w="739" w:type="dxa"/>
            <w:tcBorders>
              <w:top w:val="single" w:sz="6" w:space="0" w:color="auto"/>
              <w:left w:val="single" w:sz="6" w:space="0" w:color="auto"/>
              <w:bottom w:val="single" w:sz="6" w:space="0" w:color="auto"/>
              <w:right w:val="single" w:sz="6" w:space="0" w:color="auto"/>
            </w:tcBorders>
          </w:tcPr>
          <w:p w14:paraId="14617A8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Замена на ТБ-3</w:t>
            </w:r>
          </w:p>
        </w:tc>
      </w:tr>
      <w:tr w:rsidR="004E10C1" w:rsidRPr="0044524F" w14:paraId="173E6CC0"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753A641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4-й ОСБОН *</w:t>
            </w:r>
          </w:p>
        </w:tc>
        <w:tc>
          <w:tcPr>
            <w:tcW w:w="634" w:type="dxa"/>
            <w:tcBorders>
              <w:top w:val="single" w:sz="6" w:space="0" w:color="auto"/>
              <w:left w:val="single" w:sz="6" w:space="0" w:color="auto"/>
              <w:bottom w:val="single" w:sz="6" w:space="0" w:color="auto"/>
              <w:right w:val="single" w:sz="6" w:space="0" w:color="auto"/>
            </w:tcBorders>
          </w:tcPr>
          <w:p w14:paraId="5C1F142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2F5627B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28D37F2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0DED05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Ленинградский военный окру</w:t>
            </w:r>
          </w:p>
        </w:tc>
        <w:tc>
          <w:tcPr>
            <w:tcW w:w="634" w:type="dxa"/>
            <w:tcBorders>
              <w:top w:val="single" w:sz="6" w:space="0" w:color="auto"/>
              <w:left w:val="single" w:sz="6" w:space="0" w:color="auto"/>
              <w:bottom w:val="single" w:sz="6" w:space="0" w:color="auto"/>
              <w:right w:val="single" w:sz="6" w:space="0" w:color="auto"/>
            </w:tcBorders>
          </w:tcPr>
          <w:p w14:paraId="0EEBD4E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w:t>
            </w:r>
          </w:p>
        </w:tc>
        <w:tc>
          <w:tcPr>
            <w:tcW w:w="739" w:type="dxa"/>
            <w:tcBorders>
              <w:top w:val="single" w:sz="6" w:space="0" w:color="auto"/>
              <w:left w:val="single" w:sz="6" w:space="0" w:color="auto"/>
              <w:bottom w:val="single" w:sz="6" w:space="0" w:color="auto"/>
              <w:right w:val="single" w:sz="6" w:space="0" w:color="auto"/>
            </w:tcBorders>
          </w:tcPr>
          <w:p w14:paraId="085465D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14C7754"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54C124A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ТБАК** (Кречевицы)</w:t>
            </w:r>
          </w:p>
        </w:tc>
        <w:tc>
          <w:tcPr>
            <w:tcW w:w="634" w:type="dxa"/>
            <w:tcBorders>
              <w:top w:val="single" w:sz="6" w:space="0" w:color="auto"/>
              <w:left w:val="single" w:sz="6" w:space="0" w:color="auto"/>
              <w:bottom w:val="single" w:sz="6" w:space="0" w:color="auto"/>
              <w:right w:val="single" w:sz="6" w:space="0" w:color="auto"/>
            </w:tcBorders>
          </w:tcPr>
          <w:p w14:paraId="10A6EFD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23</w:t>
            </w:r>
          </w:p>
        </w:tc>
        <w:tc>
          <w:tcPr>
            <w:tcW w:w="739" w:type="dxa"/>
            <w:tcBorders>
              <w:top w:val="single" w:sz="6" w:space="0" w:color="auto"/>
              <w:left w:val="single" w:sz="6" w:space="0" w:color="auto"/>
              <w:bottom w:val="single" w:sz="6" w:space="0" w:color="auto"/>
              <w:right w:val="single" w:sz="6" w:space="0" w:color="auto"/>
            </w:tcBorders>
          </w:tcPr>
          <w:p w14:paraId="6F4B92D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w:t>
            </w:r>
          </w:p>
        </w:tc>
      </w:tr>
      <w:tr w:rsidR="004E10C1" w:rsidRPr="0044524F" w14:paraId="4206CFFE"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D8AA0D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БОН*** (Детское Село)</w:t>
            </w:r>
          </w:p>
        </w:tc>
        <w:tc>
          <w:tcPr>
            <w:tcW w:w="634" w:type="dxa"/>
            <w:tcBorders>
              <w:top w:val="single" w:sz="6" w:space="0" w:color="auto"/>
              <w:left w:val="single" w:sz="6" w:space="0" w:color="auto"/>
              <w:bottom w:val="single" w:sz="6" w:space="0" w:color="auto"/>
              <w:right w:val="single" w:sz="6" w:space="0" w:color="auto"/>
            </w:tcBorders>
          </w:tcPr>
          <w:p w14:paraId="3A4A25D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499A5DA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6</w:t>
            </w:r>
          </w:p>
        </w:tc>
      </w:tr>
      <w:tr w:rsidR="004E10C1" w:rsidRPr="0044524F" w14:paraId="151EBFA4"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1A66095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Белорусский военный округ</w:t>
            </w:r>
          </w:p>
        </w:tc>
        <w:tc>
          <w:tcPr>
            <w:tcW w:w="634" w:type="dxa"/>
            <w:tcBorders>
              <w:top w:val="single" w:sz="6" w:space="0" w:color="auto"/>
              <w:left w:val="single" w:sz="6" w:space="0" w:color="auto"/>
              <w:bottom w:val="single" w:sz="6" w:space="0" w:color="auto"/>
              <w:right w:val="single" w:sz="6" w:space="0" w:color="auto"/>
            </w:tcBorders>
          </w:tcPr>
          <w:p w14:paraId="5780D55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4859E8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2A23016"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7AAA4F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9-я (быв. 26-я) ТБАБ (Сеща)</w:t>
            </w:r>
          </w:p>
        </w:tc>
        <w:tc>
          <w:tcPr>
            <w:tcW w:w="634" w:type="dxa"/>
            <w:tcBorders>
              <w:top w:val="single" w:sz="6" w:space="0" w:color="auto"/>
              <w:left w:val="single" w:sz="6" w:space="0" w:color="auto"/>
              <w:bottom w:val="single" w:sz="6" w:space="0" w:color="auto"/>
              <w:right w:val="single" w:sz="6" w:space="0" w:color="auto"/>
            </w:tcBorders>
          </w:tcPr>
          <w:p w14:paraId="4887358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061E474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0A4083C9"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331B910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4-я (быв. 30-я) ТБАБ (Ржев)</w:t>
            </w:r>
          </w:p>
        </w:tc>
        <w:tc>
          <w:tcPr>
            <w:tcW w:w="634" w:type="dxa"/>
            <w:tcBorders>
              <w:top w:val="single" w:sz="6" w:space="0" w:color="auto"/>
              <w:left w:val="single" w:sz="6" w:space="0" w:color="auto"/>
              <w:bottom w:val="single" w:sz="6" w:space="0" w:color="auto"/>
              <w:right w:val="single" w:sz="6" w:space="0" w:color="auto"/>
            </w:tcBorders>
          </w:tcPr>
          <w:p w14:paraId="4397E65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356BF91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5204F7CD"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680C7CF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2-й ОСБОН (Брянск)</w:t>
            </w:r>
          </w:p>
        </w:tc>
        <w:tc>
          <w:tcPr>
            <w:tcW w:w="634" w:type="dxa"/>
            <w:tcBorders>
              <w:top w:val="single" w:sz="6" w:space="0" w:color="auto"/>
              <w:left w:val="single" w:sz="6" w:space="0" w:color="auto"/>
              <w:bottom w:val="single" w:sz="6" w:space="0" w:color="auto"/>
              <w:right w:val="single" w:sz="6" w:space="0" w:color="auto"/>
            </w:tcBorders>
          </w:tcPr>
          <w:p w14:paraId="42235D2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61BAB02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09EEA5D6"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23A3445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Украинский военный округ</w:t>
            </w:r>
          </w:p>
        </w:tc>
        <w:tc>
          <w:tcPr>
            <w:tcW w:w="634" w:type="dxa"/>
            <w:tcBorders>
              <w:top w:val="single" w:sz="6" w:space="0" w:color="auto"/>
              <w:left w:val="single" w:sz="6" w:space="0" w:color="auto"/>
              <w:bottom w:val="single" w:sz="6" w:space="0" w:color="auto"/>
              <w:right w:val="single" w:sz="6" w:space="0" w:color="auto"/>
            </w:tcBorders>
          </w:tcPr>
          <w:p w14:paraId="4980D74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6ECEADC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73D82631"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235CA8B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452-я (быв.20-я)АБ ^Харьков)</w:t>
            </w:r>
          </w:p>
        </w:tc>
        <w:tc>
          <w:tcPr>
            <w:tcW w:w="634" w:type="dxa"/>
            <w:tcBorders>
              <w:top w:val="single" w:sz="6" w:space="0" w:color="auto"/>
              <w:left w:val="single" w:sz="6" w:space="0" w:color="auto"/>
              <w:bottom w:val="single" w:sz="6" w:space="0" w:color="auto"/>
              <w:right w:val="single" w:sz="6" w:space="0" w:color="auto"/>
            </w:tcBorders>
          </w:tcPr>
          <w:p w14:paraId="34C1EB4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w:t>
            </w:r>
          </w:p>
        </w:tc>
        <w:tc>
          <w:tcPr>
            <w:tcW w:w="739" w:type="dxa"/>
            <w:tcBorders>
              <w:top w:val="single" w:sz="6" w:space="0" w:color="auto"/>
              <w:left w:val="single" w:sz="6" w:space="0" w:color="auto"/>
              <w:bottom w:val="single" w:sz="6" w:space="0" w:color="auto"/>
              <w:right w:val="single" w:sz="6" w:space="0" w:color="auto"/>
            </w:tcBorders>
          </w:tcPr>
          <w:p w14:paraId="0E6C828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18073BBC"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463E2BF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18-я(быв.28-я)АБ 'Запорожье)</w:t>
            </w:r>
          </w:p>
        </w:tc>
        <w:tc>
          <w:tcPr>
            <w:tcW w:w="634" w:type="dxa"/>
            <w:tcBorders>
              <w:top w:val="single" w:sz="6" w:space="0" w:color="auto"/>
              <w:left w:val="single" w:sz="6" w:space="0" w:color="auto"/>
              <w:bottom w:val="single" w:sz="6" w:space="0" w:color="auto"/>
              <w:right w:val="single" w:sz="6" w:space="0" w:color="auto"/>
            </w:tcBorders>
          </w:tcPr>
          <w:p w14:paraId="5A2ABBC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w:t>
            </w:r>
          </w:p>
        </w:tc>
        <w:tc>
          <w:tcPr>
            <w:tcW w:w="739" w:type="dxa"/>
            <w:tcBorders>
              <w:top w:val="single" w:sz="6" w:space="0" w:color="auto"/>
              <w:left w:val="single" w:sz="6" w:space="0" w:color="auto"/>
              <w:bottom w:val="single" w:sz="6" w:space="0" w:color="auto"/>
              <w:right w:val="single" w:sz="6" w:space="0" w:color="auto"/>
            </w:tcBorders>
          </w:tcPr>
          <w:p w14:paraId="347217C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w:t>
            </w:r>
          </w:p>
        </w:tc>
      </w:tr>
      <w:tr w:rsidR="004E10C1" w:rsidRPr="0044524F" w14:paraId="643E647D"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688B5A3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3-й ОСБОН (Харьков)</w:t>
            </w:r>
          </w:p>
        </w:tc>
        <w:tc>
          <w:tcPr>
            <w:tcW w:w="634" w:type="dxa"/>
            <w:tcBorders>
              <w:top w:val="single" w:sz="6" w:space="0" w:color="auto"/>
              <w:left w:val="single" w:sz="6" w:space="0" w:color="auto"/>
              <w:bottom w:val="single" w:sz="6" w:space="0" w:color="auto"/>
              <w:right w:val="single" w:sz="6" w:space="0" w:color="auto"/>
            </w:tcBorders>
          </w:tcPr>
          <w:p w14:paraId="45119FD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502CDD9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600B16E2"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48A1FFC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Северо-Кавказский военный</w:t>
            </w:r>
          </w:p>
        </w:tc>
        <w:tc>
          <w:tcPr>
            <w:tcW w:w="634" w:type="dxa"/>
            <w:tcBorders>
              <w:top w:val="single" w:sz="6" w:space="0" w:color="auto"/>
              <w:left w:val="single" w:sz="6" w:space="0" w:color="auto"/>
              <w:bottom w:val="single" w:sz="6" w:space="0" w:color="auto"/>
              <w:right w:val="single" w:sz="6" w:space="0" w:color="auto"/>
            </w:tcBorders>
          </w:tcPr>
          <w:p w14:paraId="09DF470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округ</w:t>
            </w:r>
          </w:p>
        </w:tc>
        <w:tc>
          <w:tcPr>
            <w:tcW w:w="739" w:type="dxa"/>
            <w:tcBorders>
              <w:top w:val="single" w:sz="6" w:space="0" w:color="auto"/>
              <w:left w:val="single" w:sz="6" w:space="0" w:color="auto"/>
              <w:bottom w:val="single" w:sz="6" w:space="0" w:color="auto"/>
              <w:right w:val="single" w:sz="6" w:space="0" w:color="auto"/>
            </w:tcBorders>
          </w:tcPr>
          <w:p w14:paraId="55B3713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67A161A8"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2479B60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21 -я (быв. 27-я) ТБАБ Ростов-на-Дону)</w:t>
            </w:r>
          </w:p>
        </w:tc>
        <w:tc>
          <w:tcPr>
            <w:tcW w:w="634" w:type="dxa"/>
            <w:tcBorders>
              <w:top w:val="single" w:sz="6" w:space="0" w:color="auto"/>
              <w:left w:val="single" w:sz="6" w:space="0" w:color="auto"/>
              <w:bottom w:val="single" w:sz="6" w:space="0" w:color="auto"/>
              <w:right w:val="single" w:sz="6" w:space="0" w:color="auto"/>
            </w:tcBorders>
          </w:tcPr>
          <w:p w14:paraId="6C48901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36CCBDF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50E2D4D6"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352C669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ОКДВА</w:t>
            </w:r>
          </w:p>
        </w:tc>
        <w:tc>
          <w:tcPr>
            <w:tcW w:w="634" w:type="dxa"/>
            <w:tcBorders>
              <w:top w:val="single" w:sz="6" w:space="0" w:color="auto"/>
              <w:left w:val="single" w:sz="6" w:space="0" w:color="auto"/>
              <w:bottom w:val="single" w:sz="6" w:space="0" w:color="auto"/>
              <w:right w:val="single" w:sz="6" w:space="0" w:color="auto"/>
            </w:tcBorders>
          </w:tcPr>
          <w:p w14:paraId="036777C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336BFD5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475D4F18"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90BF49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28-я (быв. 19-я) ТБАБ</w:t>
            </w:r>
          </w:p>
        </w:tc>
        <w:tc>
          <w:tcPr>
            <w:tcW w:w="634" w:type="dxa"/>
            <w:tcBorders>
              <w:top w:val="single" w:sz="6" w:space="0" w:color="auto"/>
              <w:left w:val="single" w:sz="6" w:space="0" w:color="auto"/>
              <w:bottom w:val="single" w:sz="6" w:space="0" w:color="auto"/>
              <w:right w:val="single" w:sz="6" w:space="0" w:color="auto"/>
            </w:tcBorders>
          </w:tcPr>
          <w:p w14:paraId="4AB3902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c>
          <w:tcPr>
            <w:tcW w:w="739" w:type="dxa"/>
            <w:tcBorders>
              <w:top w:val="single" w:sz="6" w:space="0" w:color="auto"/>
              <w:left w:val="single" w:sz="6" w:space="0" w:color="auto"/>
              <w:bottom w:val="single" w:sz="6" w:space="0" w:color="auto"/>
              <w:right w:val="single" w:sz="6" w:space="0" w:color="auto"/>
            </w:tcBorders>
          </w:tcPr>
          <w:p w14:paraId="65AD608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12</w:t>
            </w:r>
          </w:p>
        </w:tc>
      </w:tr>
      <w:tr w:rsidR="004E10C1" w:rsidRPr="0044524F" w14:paraId="3374117A"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61B0381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Управление армии</w:t>
            </w:r>
          </w:p>
        </w:tc>
        <w:tc>
          <w:tcPr>
            <w:tcW w:w="634" w:type="dxa"/>
            <w:tcBorders>
              <w:top w:val="single" w:sz="6" w:space="0" w:color="auto"/>
              <w:left w:val="single" w:sz="6" w:space="0" w:color="auto"/>
              <w:bottom w:val="single" w:sz="6" w:space="0" w:color="auto"/>
              <w:right w:val="single" w:sz="6" w:space="0" w:color="auto"/>
            </w:tcBorders>
          </w:tcPr>
          <w:p w14:paraId="4063B0A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4B7DC825"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539A3B24"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06CF4D9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Приволжский военный округ</w:t>
            </w:r>
          </w:p>
        </w:tc>
        <w:tc>
          <w:tcPr>
            <w:tcW w:w="634" w:type="dxa"/>
            <w:tcBorders>
              <w:top w:val="single" w:sz="6" w:space="0" w:color="auto"/>
              <w:left w:val="single" w:sz="6" w:space="0" w:color="auto"/>
              <w:bottom w:val="single" w:sz="6" w:space="0" w:color="auto"/>
              <w:right w:val="single" w:sz="6" w:space="0" w:color="auto"/>
            </w:tcBorders>
          </w:tcPr>
          <w:p w14:paraId="59E04C4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0CDB495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5F962362"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5EDBC36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1-й ОСБОН 36-й химический отряд</w:t>
            </w:r>
          </w:p>
        </w:tc>
        <w:tc>
          <w:tcPr>
            <w:tcW w:w="634" w:type="dxa"/>
            <w:tcBorders>
              <w:top w:val="single" w:sz="6" w:space="0" w:color="auto"/>
              <w:left w:val="single" w:sz="6" w:space="0" w:color="auto"/>
              <w:bottom w:val="single" w:sz="6" w:space="0" w:color="auto"/>
              <w:right w:val="single" w:sz="6" w:space="0" w:color="auto"/>
            </w:tcBorders>
          </w:tcPr>
          <w:p w14:paraId="2FE4DCE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c>
          <w:tcPr>
            <w:tcW w:w="739" w:type="dxa"/>
            <w:tcBorders>
              <w:top w:val="single" w:sz="6" w:space="0" w:color="auto"/>
              <w:left w:val="single" w:sz="6" w:space="0" w:color="auto"/>
              <w:bottom w:val="single" w:sz="6" w:space="0" w:color="auto"/>
              <w:right w:val="single" w:sz="6" w:space="0" w:color="auto"/>
            </w:tcBorders>
          </w:tcPr>
          <w:p w14:paraId="79FC500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1 1</w:t>
            </w:r>
          </w:p>
        </w:tc>
      </w:tr>
      <w:tr w:rsidR="004E10C1" w:rsidRPr="0044524F" w14:paraId="2F0023D1"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1DD84B8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Воздушные силы Черного мо</w:t>
            </w:r>
          </w:p>
        </w:tc>
        <w:tc>
          <w:tcPr>
            <w:tcW w:w="634" w:type="dxa"/>
            <w:tcBorders>
              <w:top w:val="single" w:sz="6" w:space="0" w:color="auto"/>
              <w:left w:val="single" w:sz="6" w:space="0" w:color="auto"/>
              <w:bottom w:val="single" w:sz="6" w:space="0" w:color="auto"/>
              <w:right w:val="single" w:sz="6" w:space="0" w:color="auto"/>
            </w:tcBorders>
          </w:tcPr>
          <w:p w14:paraId="0DD66D9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}Я</w:t>
            </w:r>
          </w:p>
        </w:tc>
        <w:tc>
          <w:tcPr>
            <w:tcW w:w="739" w:type="dxa"/>
            <w:tcBorders>
              <w:top w:val="single" w:sz="6" w:space="0" w:color="auto"/>
              <w:left w:val="single" w:sz="6" w:space="0" w:color="auto"/>
              <w:bottom w:val="single" w:sz="6" w:space="0" w:color="auto"/>
              <w:right w:val="single" w:sz="6" w:space="0" w:color="auto"/>
            </w:tcBorders>
          </w:tcPr>
          <w:p w14:paraId="7636CA6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3F204E4C" w14:textId="77777777">
        <w:trPr>
          <w:trHeight w:val="461"/>
        </w:trPr>
        <w:tc>
          <w:tcPr>
            <w:tcW w:w="2083" w:type="dxa"/>
            <w:tcBorders>
              <w:top w:val="single" w:sz="6" w:space="0" w:color="auto"/>
              <w:left w:val="single" w:sz="6" w:space="0" w:color="auto"/>
              <w:bottom w:val="single" w:sz="6" w:space="0" w:color="auto"/>
              <w:right w:val="single" w:sz="6" w:space="0" w:color="auto"/>
            </w:tcBorders>
          </w:tcPr>
          <w:p w14:paraId="336AE49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506-я (быв. 9-я) ТБАБ Севастополь, 5ухта Голландия)</w:t>
            </w:r>
          </w:p>
        </w:tc>
        <w:tc>
          <w:tcPr>
            <w:tcW w:w="634" w:type="dxa"/>
            <w:tcBorders>
              <w:top w:val="single" w:sz="6" w:space="0" w:color="auto"/>
              <w:left w:val="single" w:sz="6" w:space="0" w:color="auto"/>
              <w:bottom w:val="single" w:sz="6" w:space="0" w:color="auto"/>
              <w:right w:val="single" w:sz="6" w:space="0" w:color="auto"/>
            </w:tcBorders>
          </w:tcPr>
          <w:p w14:paraId="26CF47C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c>
          <w:tcPr>
            <w:tcW w:w="739" w:type="dxa"/>
            <w:tcBorders>
              <w:top w:val="single" w:sz="6" w:space="0" w:color="auto"/>
              <w:left w:val="single" w:sz="6" w:space="0" w:color="auto"/>
              <w:bottom w:val="single" w:sz="6" w:space="0" w:color="auto"/>
              <w:right w:val="single" w:sz="6" w:space="0" w:color="auto"/>
            </w:tcBorders>
          </w:tcPr>
          <w:p w14:paraId="79013A2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5D2779A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5687D9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Воздушные силы Балтийскогс</w:t>
            </w:r>
          </w:p>
        </w:tc>
        <w:tc>
          <w:tcPr>
            <w:tcW w:w="634" w:type="dxa"/>
            <w:tcBorders>
              <w:top w:val="single" w:sz="6" w:space="0" w:color="auto"/>
              <w:left w:val="single" w:sz="6" w:space="0" w:color="auto"/>
              <w:bottom w:val="single" w:sz="6" w:space="0" w:color="auto"/>
              <w:right w:val="single" w:sz="6" w:space="0" w:color="auto"/>
            </w:tcBorders>
          </w:tcPr>
          <w:p w14:paraId="24A61A37"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моря</w:t>
            </w:r>
          </w:p>
        </w:tc>
        <w:tc>
          <w:tcPr>
            <w:tcW w:w="739" w:type="dxa"/>
            <w:tcBorders>
              <w:top w:val="single" w:sz="6" w:space="0" w:color="auto"/>
              <w:left w:val="single" w:sz="6" w:space="0" w:color="auto"/>
              <w:bottom w:val="single" w:sz="6" w:space="0" w:color="auto"/>
              <w:right w:val="single" w:sz="6" w:space="0" w:color="auto"/>
            </w:tcBorders>
          </w:tcPr>
          <w:p w14:paraId="1348711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tc>
      </w:tr>
      <w:tr w:rsidR="004E10C1" w:rsidRPr="0044524F" w14:paraId="27A3854C" w14:textId="77777777">
        <w:trPr>
          <w:trHeight w:val="307"/>
        </w:trPr>
        <w:tc>
          <w:tcPr>
            <w:tcW w:w="2083" w:type="dxa"/>
            <w:tcBorders>
              <w:top w:val="single" w:sz="6" w:space="0" w:color="auto"/>
              <w:left w:val="single" w:sz="6" w:space="0" w:color="auto"/>
              <w:bottom w:val="single" w:sz="6" w:space="0" w:color="auto"/>
              <w:right w:val="single" w:sz="6" w:space="0" w:color="auto"/>
            </w:tcBorders>
          </w:tcPr>
          <w:p w14:paraId="4E724CD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505-я (быв. 4-я) ТБАБ Ленинград, Гребной порт)</w:t>
            </w:r>
          </w:p>
        </w:tc>
        <w:tc>
          <w:tcPr>
            <w:tcW w:w="634" w:type="dxa"/>
            <w:tcBorders>
              <w:top w:val="single" w:sz="6" w:space="0" w:color="auto"/>
              <w:left w:val="single" w:sz="6" w:space="0" w:color="auto"/>
              <w:bottom w:val="single" w:sz="6" w:space="0" w:color="auto"/>
              <w:right w:val="single" w:sz="6" w:space="0" w:color="auto"/>
            </w:tcBorders>
          </w:tcPr>
          <w:p w14:paraId="11FA99C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739" w:type="dxa"/>
            <w:tcBorders>
              <w:top w:val="single" w:sz="6" w:space="0" w:color="auto"/>
              <w:left w:val="single" w:sz="6" w:space="0" w:color="auto"/>
              <w:bottom w:val="single" w:sz="6" w:space="0" w:color="auto"/>
              <w:right w:val="single" w:sz="6" w:space="0" w:color="auto"/>
            </w:tcBorders>
          </w:tcPr>
          <w:p w14:paraId="55EAB16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r>
      <w:tr w:rsidR="004E10C1" w:rsidRPr="0044524F" w14:paraId="7C8EBB5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473D6AC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2-я (быв. 14-я) ТБАБ (Едрово)</w:t>
            </w:r>
          </w:p>
        </w:tc>
        <w:tc>
          <w:tcPr>
            <w:tcW w:w="634" w:type="dxa"/>
            <w:tcBorders>
              <w:top w:val="single" w:sz="6" w:space="0" w:color="auto"/>
              <w:left w:val="single" w:sz="6" w:space="0" w:color="auto"/>
              <w:bottom w:val="single" w:sz="6" w:space="0" w:color="auto"/>
              <w:right w:val="single" w:sz="6" w:space="0" w:color="auto"/>
            </w:tcBorders>
          </w:tcPr>
          <w:p w14:paraId="1A36610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w:t>
            </w:r>
          </w:p>
        </w:tc>
        <w:tc>
          <w:tcPr>
            <w:tcW w:w="739" w:type="dxa"/>
            <w:tcBorders>
              <w:top w:val="single" w:sz="6" w:space="0" w:color="auto"/>
              <w:left w:val="single" w:sz="6" w:space="0" w:color="auto"/>
              <w:bottom w:val="single" w:sz="6" w:space="0" w:color="auto"/>
              <w:right w:val="single" w:sz="6" w:space="0" w:color="auto"/>
            </w:tcBorders>
          </w:tcPr>
          <w:p w14:paraId="33346836"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42</w:t>
            </w:r>
          </w:p>
        </w:tc>
      </w:tr>
      <w:tr w:rsidR="004E10C1" w:rsidRPr="0044524F" w14:paraId="32933C7C"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0AB56BF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Академия ВВС РККА</w:t>
            </w:r>
          </w:p>
        </w:tc>
        <w:tc>
          <w:tcPr>
            <w:tcW w:w="634" w:type="dxa"/>
            <w:tcBorders>
              <w:top w:val="single" w:sz="6" w:space="0" w:color="auto"/>
              <w:left w:val="single" w:sz="6" w:space="0" w:color="auto"/>
              <w:bottom w:val="single" w:sz="6" w:space="0" w:color="auto"/>
              <w:right w:val="single" w:sz="6" w:space="0" w:color="auto"/>
            </w:tcBorders>
          </w:tcPr>
          <w:p w14:paraId="6CFAE21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c>
          <w:tcPr>
            <w:tcW w:w="739" w:type="dxa"/>
            <w:tcBorders>
              <w:top w:val="single" w:sz="6" w:space="0" w:color="auto"/>
              <w:left w:val="single" w:sz="6" w:space="0" w:color="auto"/>
              <w:bottom w:val="single" w:sz="6" w:space="0" w:color="auto"/>
              <w:right w:val="single" w:sz="6" w:space="0" w:color="auto"/>
            </w:tcBorders>
          </w:tcPr>
          <w:p w14:paraId="6FBFF7D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w:t>
            </w:r>
          </w:p>
        </w:tc>
      </w:tr>
      <w:tr w:rsidR="004E10C1" w:rsidRPr="0044524F" w14:paraId="41AA4F0C"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55842B0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НИИ ВВС</w:t>
            </w:r>
          </w:p>
        </w:tc>
        <w:tc>
          <w:tcPr>
            <w:tcW w:w="634" w:type="dxa"/>
            <w:tcBorders>
              <w:top w:val="single" w:sz="6" w:space="0" w:color="auto"/>
              <w:left w:val="single" w:sz="6" w:space="0" w:color="auto"/>
              <w:bottom w:val="single" w:sz="6" w:space="0" w:color="auto"/>
              <w:right w:val="single" w:sz="6" w:space="0" w:color="auto"/>
            </w:tcBorders>
          </w:tcPr>
          <w:p w14:paraId="4A72838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c>
          <w:tcPr>
            <w:tcW w:w="739" w:type="dxa"/>
            <w:tcBorders>
              <w:top w:val="single" w:sz="6" w:space="0" w:color="auto"/>
              <w:left w:val="single" w:sz="6" w:space="0" w:color="auto"/>
              <w:bottom w:val="single" w:sz="6" w:space="0" w:color="auto"/>
              <w:right w:val="single" w:sz="6" w:space="0" w:color="auto"/>
            </w:tcBorders>
          </w:tcPr>
          <w:p w14:paraId="262DAF4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w:t>
            </w:r>
          </w:p>
        </w:tc>
      </w:tr>
      <w:tr w:rsidR="004E10C1" w:rsidRPr="0044524F" w14:paraId="4F79DB54"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3DA75CC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Осконбюро УВВС</w:t>
            </w:r>
          </w:p>
        </w:tc>
        <w:tc>
          <w:tcPr>
            <w:tcW w:w="634" w:type="dxa"/>
            <w:tcBorders>
              <w:top w:val="single" w:sz="6" w:space="0" w:color="auto"/>
              <w:left w:val="single" w:sz="6" w:space="0" w:color="auto"/>
              <w:bottom w:val="single" w:sz="6" w:space="0" w:color="auto"/>
              <w:right w:val="single" w:sz="6" w:space="0" w:color="auto"/>
            </w:tcBorders>
          </w:tcPr>
          <w:p w14:paraId="589FC4F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045517A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64A1A7F9"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10E0080D"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Отряд особого назначения</w:t>
            </w:r>
          </w:p>
        </w:tc>
        <w:tc>
          <w:tcPr>
            <w:tcW w:w="634" w:type="dxa"/>
            <w:tcBorders>
              <w:top w:val="single" w:sz="6" w:space="0" w:color="auto"/>
              <w:left w:val="single" w:sz="6" w:space="0" w:color="auto"/>
              <w:bottom w:val="single" w:sz="6" w:space="0" w:color="auto"/>
              <w:right w:val="single" w:sz="6" w:space="0" w:color="auto"/>
            </w:tcBorders>
          </w:tcPr>
          <w:p w14:paraId="7DA188BA"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390735A4"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26586752"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8B5DBA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Школа морских летчиков</w:t>
            </w:r>
          </w:p>
        </w:tc>
        <w:tc>
          <w:tcPr>
            <w:tcW w:w="634" w:type="dxa"/>
            <w:tcBorders>
              <w:top w:val="single" w:sz="6" w:space="0" w:color="auto"/>
              <w:left w:val="single" w:sz="6" w:space="0" w:color="auto"/>
              <w:bottom w:val="single" w:sz="6" w:space="0" w:color="auto"/>
              <w:right w:val="single" w:sz="6" w:space="0" w:color="auto"/>
            </w:tcBorders>
          </w:tcPr>
          <w:p w14:paraId="63B8EB4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c>
          <w:tcPr>
            <w:tcW w:w="739" w:type="dxa"/>
            <w:tcBorders>
              <w:top w:val="single" w:sz="6" w:space="0" w:color="auto"/>
              <w:left w:val="single" w:sz="6" w:space="0" w:color="auto"/>
              <w:bottom w:val="single" w:sz="6" w:space="0" w:color="auto"/>
              <w:right w:val="single" w:sz="6" w:space="0" w:color="auto"/>
            </w:tcBorders>
          </w:tcPr>
          <w:p w14:paraId="48274A40"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7</w:t>
            </w:r>
          </w:p>
        </w:tc>
      </w:tr>
      <w:tr w:rsidR="004E10C1" w:rsidRPr="0044524F" w14:paraId="0BE18B1C"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2880881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9-я школа летчиков</w:t>
            </w:r>
          </w:p>
        </w:tc>
        <w:tc>
          <w:tcPr>
            <w:tcW w:w="634" w:type="dxa"/>
            <w:tcBorders>
              <w:top w:val="single" w:sz="6" w:space="0" w:color="auto"/>
              <w:left w:val="single" w:sz="6" w:space="0" w:color="auto"/>
              <w:bottom w:val="single" w:sz="6" w:space="0" w:color="auto"/>
              <w:right w:val="single" w:sz="6" w:space="0" w:color="auto"/>
            </w:tcBorders>
          </w:tcPr>
          <w:p w14:paraId="65F2736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39" w:type="dxa"/>
            <w:tcBorders>
              <w:top w:val="single" w:sz="6" w:space="0" w:color="auto"/>
              <w:left w:val="single" w:sz="6" w:space="0" w:color="auto"/>
              <w:bottom w:val="single" w:sz="6" w:space="0" w:color="auto"/>
              <w:right w:val="single" w:sz="6" w:space="0" w:color="auto"/>
            </w:tcBorders>
          </w:tcPr>
          <w:p w14:paraId="214269C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w:t>
            </w:r>
          </w:p>
        </w:tc>
      </w:tr>
      <w:tr w:rsidR="004E10C1" w:rsidRPr="0044524F" w14:paraId="6FABCB73" w14:textId="77777777">
        <w:trPr>
          <w:trHeight w:val="154"/>
        </w:trPr>
        <w:tc>
          <w:tcPr>
            <w:tcW w:w="2083" w:type="dxa"/>
            <w:tcBorders>
              <w:top w:val="single" w:sz="6" w:space="0" w:color="auto"/>
              <w:left w:val="single" w:sz="6" w:space="0" w:color="auto"/>
              <w:bottom w:val="single" w:sz="6" w:space="0" w:color="auto"/>
              <w:right w:val="single" w:sz="6" w:space="0" w:color="auto"/>
            </w:tcBorders>
          </w:tcPr>
          <w:p w14:paraId="66A25609"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Школа спецслужб</w:t>
            </w:r>
          </w:p>
        </w:tc>
        <w:tc>
          <w:tcPr>
            <w:tcW w:w="634" w:type="dxa"/>
            <w:tcBorders>
              <w:top w:val="single" w:sz="6" w:space="0" w:color="auto"/>
              <w:left w:val="single" w:sz="6" w:space="0" w:color="auto"/>
              <w:bottom w:val="single" w:sz="6" w:space="0" w:color="auto"/>
              <w:right w:val="single" w:sz="6" w:space="0" w:color="auto"/>
            </w:tcBorders>
          </w:tcPr>
          <w:p w14:paraId="7CCB7F3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w:t>
            </w:r>
          </w:p>
        </w:tc>
        <w:tc>
          <w:tcPr>
            <w:tcW w:w="739" w:type="dxa"/>
            <w:tcBorders>
              <w:top w:val="single" w:sz="6" w:space="0" w:color="auto"/>
              <w:left w:val="single" w:sz="6" w:space="0" w:color="auto"/>
              <w:bottom w:val="single" w:sz="6" w:space="0" w:color="auto"/>
              <w:right w:val="single" w:sz="6" w:space="0" w:color="auto"/>
            </w:tcBorders>
          </w:tcPr>
          <w:p w14:paraId="25DB7888"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w:t>
            </w:r>
          </w:p>
        </w:tc>
      </w:tr>
      <w:tr w:rsidR="004E10C1" w:rsidRPr="0044524F" w14:paraId="082F738A" w14:textId="77777777">
        <w:trPr>
          <w:trHeight w:val="163"/>
        </w:trPr>
        <w:tc>
          <w:tcPr>
            <w:tcW w:w="2083" w:type="dxa"/>
            <w:tcBorders>
              <w:top w:val="single" w:sz="6" w:space="0" w:color="auto"/>
              <w:left w:val="single" w:sz="6" w:space="0" w:color="auto"/>
              <w:bottom w:val="single" w:sz="6" w:space="0" w:color="auto"/>
              <w:right w:val="single" w:sz="6" w:space="0" w:color="auto"/>
            </w:tcBorders>
          </w:tcPr>
          <w:p w14:paraId="2CA8F703"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Всего</w:t>
            </w:r>
          </w:p>
        </w:tc>
        <w:tc>
          <w:tcPr>
            <w:tcW w:w="634" w:type="dxa"/>
            <w:tcBorders>
              <w:top w:val="single" w:sz="6" w:space="0" w:color="auto"/>
              <w:left w:val="single" w:sz="6" w:space="0" w:color="auto"/>
              <w:bottom w:val="single" w:sz="6" w:space="0" w:color="auto"/>
              <w:right w:val="single" w:sz="6" w:space="0" w:color="auto"/>
            </w:tcBorders>
          </w:tcPr>
          <w:p w14:paraId="6918E7D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189</w:t>
            </w:r>
          </w:p>
        </w:tc>
        <w:tc>
          <w:tcPr>
            <w:tcW w:w="739" w:type="dxa"/>
            <w:tcBorders>
              <w:top w:val="single" w:sz="6" w:space="0" w:color="auto"/>
              <w:left w:val="single" w:sz="6" w:space="0" w:color="auto"/>
              <w:bottom w:val="single" w:sz="6" w:space="0" w:color="auto"/>
              <w:right w:val="single" w:sz="6" w:space="0" w:color="auto"/>
            </w:tcBorders>
          </w:tcPr>
          <w:p w14:paraId="7B83BE7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194</w:t>
            </w:r>
          </w:p>
        </w:tc>
      </w:tr>
    </w:tbl>
    <w:p w14:paraId="1F703C8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Кроме того, еще 1 1 ТБ-1 находились: на Цен</w:t>
      </w:r>
      <w:r w:rsidRPr="0044524F">
        <w:rPr>
          <w:rFonts w:ascii="Times New Roman" w:hAnsi="Times New Roman"/>
          <w:color w:val="000000" w:themeColor="text1"/>
          <w:sz w:val="16"/>
          <w:szCs w:val="16"/>
        </w:rPr>
        <w:softHyphen/>
        <w:t xml:space="preserve">тральной авиаремонтной базе — 1 (готовили к пе-&gt;едаче 9-й школе летчиков), в мастерских тяже-той артиллерии (Мастяжарт) — 1 , на авиазаводе </w:t>
      </w:r>
      <w:r w:rsidRPr="0044524F">
        <w:rPr>
          <w:rFonts w:ascii="Times New Roman" w:hAnsi="Times New Roman"/>
          <w:smallCaps/>
          <w:color w:val="000000" w:themeColor="text1"/>
          <w:sz w:val="16"/>
          <w:szCs w:val="16"/>
        </w:rPr>
        <w:t xml:space="preserve">v!" </w:t>
      </w:r>
      <w:r w:rsidRPr="0044524F">
        <w:rPr>
          <w:rFonts w:ascii="Times New Roman" w:hAnsi="Times New Roman"/>
          <w:color w:val="000000" w:themeColor="text1"/>
          <w:sz w:val="16"/>
          <w:szCs w:val="16"/>
        </w:rPr>
        <w:t>22 — 2 (№ 812 передали силам Балтморя, «Страну Советов» — школе спецслужб), на авиа-эемзаводе № 43 — 1 , на авиаремзаводе № 47 — 3, на авиаремзаводе № 35 — 3. Последние 3 са</w:t>
      </w:r>
      <w:r w:rsidRPr="0044524F">
        <w:rPr>
          <w:rFonts w:ascii="Times New Roman" w:hAnsi="Times New Roman"/>
          <w:color w:val="000000" w:themeColor="text1"/>
          <w:sz w:val="16"/>
          <w:szCs w:val="16"/>
        </w:rPr>
        <w:softHyphen/>
        <w:t>молета и один с завода № 47 готовили к передаче в 9-ю школу летчиков. Известно, что один из них № 606 потерпел катастрофу 15 июня 1933 г. (11286).</w:t>
      </w:r>
    </w:p>
    <w:p w14:paraId="2FCF57F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406DA2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1933 г. бригады тяжелых бомбардировщиков стали сводить в корпуса, по три бригады в каждом. В 1935 г. таких корпусов уже имелось пять. С декабря того же года началось формирование Авиагруппы, в которую намеревались включить три тяжелобомбардировочных и три скоростных бомбардировочных бригады. Чуть позже эту группу превратили в армию (11987). </w:t>
      </w:r>
    </w:p>
    <w:p w14:paraId="48F73C9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FDC023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1933 г. ВВС первоначально заказали 350 ТБ-3, затем под давлением представителей промышленности военные ограничили свои аппетиты 300 машинами. По планам за год предстояло сформировать 22 эскадрильи, для чего требовалось 264 бомбардировщика. На практике в 1933 г. заводы выпустили 307 ТБ-3. Это позволило насытить бомбардировщиками ВВС, фактически впервые в мире создав крупные соединения стратегической авиации - бомбардировочные авиакорпуса (БАК). Всего сформировали пять таких корпусов (по две бригады в каждом). Поначалу они имели на вооружении ТБ-3 и ТБ-1, но постепенно четырехмоторные машины вытесняли ТБ-1 на роль учебных и транспортных. Части и соединения тяжелых бомбардировщиков часто носили цветистые наименования, характерные для того времени. Например, -9-я бригада имени 10-го Всесоюзного съезда Ленинского комсомола». Пять входивших в нее эскадрилий носили имена Ворошилова, Кагановича, Кирова, Постышева и Косарева (7668).</w:t>
      </w:r>
    </w:p>
    <w:p w14:paraId="464DA28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977AE74"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было введено в действие первое Наставление по технико-эксплу</w:t>
      </w:r>
      <w:r w:rsidRPr="00142305">
        <w:rPr>
          <w:rFonts w:ascii="Times New Roman" w:hAnsi="Times New Roman"/>
          <w:color w:val="0070C0"/>
          <w:sz w:val="16"/>
          <w:szCs w:val="16"/>
        </w:rPr>
        <w:softHyphen/>
        <w:t xml:space="preserve">атационной службе ВВС (НТЭС-33), которое разработали инженеры из НИИ ВВС РККА А. П. Смолин, В. И. Каперский и И.В. Постнов под общей редакцией Смолина. </w:t>
      </w:r>
    </w:p>
    <w:p w14:paraId="3F6C707B"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10 мая 1933 г. Главный инженер-механик ВВС РККА А. К. Аузан утвердил Наставление по технико-эксплу</w:t>
      </w:r>
      <w:r w:rsidRPr="00142305">
        <w:rPr>
          <w:rFonts w:ascii="Times New Roman" w:hAnsi="Times New Roman"/>
          <w:color w:val="0070C0"/>
          <w:sz w:val="16"/>
          <w:szCs w:val="16"/>
        </w:rPr>
        <w:softHyphen/>
        <w:t>атационной службе ВВС НТЭС-33.</w:t>
      </w:r>
    </w:p>
    <w:p w14:paraId="3E23FE71"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НТЭС-33 было записано: «Техническая эксплуатация материальной ча</w:t>
      </w:r>
      <w:r w:rsidRPr="00142305">
        <w:rPr>
          <w:rFonts w:ascii="Times New Roman" w:hAnsi="Times New Roman"/>
          <w:color w:val="0070C0"/>
          <w:sz w:val="16"/>
          <w:szCs w:val="16"/>
        </w:rPr>
        <w:softHyphen/>
        <w:t>сти (самолетов, моторов и предметов оборудования) слагается из следующих мо</w:t>
      </w:r>
      <w:r w:rsidRPr="00142305">
        <w:rPr>
          <w:rFonts w:ascii="Times New Roman" w:hAnsi="Times New Roman"/>
          <w:color w:val="0070C0"/>
          <w:sz w:val="16"/>
          <w:szCs w:val="16"/>
        </w:rPr>
        <w:softHyphen/>
        <w:t>ментов: хранение и сбережение, подготовка материальной части к полету и прием после полета, эксплуатация материальной части в полете, контроль за ис</w:t>
      </w:r>
      <w:r w:rsidRPr="00142305">
        <w:rPr>
          <w:rFonts w:ascii="Times New Roman" w:hAnsi="Times New Roman"/>
          <w:color w:val="0070C0"/>
          <w:sz w:val="16"/>
          <w:szCs w:val="16"/>
        </w:rPr>
        <w:softHyphen/>
        <w:t>правным состоянием, ремонт и транспортировка в различных ее видах» (Наставление по техническо-эксплуатационной службе. - М., 1933. - 200 с. - С. 7).</w:t>
      </w:r>
    </w:p>
    <w:p w14:paraId="05E51423"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lastRenderedPageBreak/>
        <w:t>НТЭС-33 констатировал, что «Старший инженер-инспектор по техниче</w:t>
      </w:r>
      <w:r w:rsidRPr="00142305">
        <w:rPr>
          <w:rFonts w:ascii="Times New Roman" w:hAnsi="Times New Roman"/>
          <w:color w:val="0070C0"/>
          <w:sz w:val="16"/>
          <w:szCs w:val="16"/>
        </w:rPr>
        <w:softHyphen/>
        <w:t>ской эксплуатации ВВС округа (моря и армии) непосредственно подчиняется во всех отношениях помощнику командующего войсками округа по авиации или начальнику ВВС округа (моря и армии) на правах его помощника по технической службе. В техническом отношении он, сверх того, подчиняется непосредственно главному инженеру-механику ВВС РККА. (...) Старший инженер-механик авиа</w:t>
      </w:r>
      <w:r w:rsidRPr="00142305">
        <w:rPr>
          <w:rFonts w:ascii="Times New Roman" w:hAnsi="Times New Roman"/>
          <w:color w:val="0070C0"/>
          <w:sz w:val="16"/>
          <w:szCs w:val="16"/>
        </w:rPr>
        <w:softHyphen/>
        <w:t>ционной бригады является помощником командира бригады по технической службе, подчиняется ему во всех отношениях, а по технической эксплуатации - старшему инженер-инспектору по технической эксплуатации ВВС округа (моря, армии). Старший инженер-механик эскадрильи является помощником коман</w:t>
      </w:r>
      <w:r w:rsidRPr="00142305">
        <w:rPr>
          <w:rFonts w:ascii="Times New Roman" w:hAnsi="Times New Roman"/>
          <w:color w:val="0070C0"/>
          <w:sz w:val="16"/>
          <w:szCs w:val="16"/>
        </w:rPr>
        <w:softHyphen/>
        <w:t>дира эскадрильи по технической службе и подчиняется ему во всех отношениях, а по технической эксплуатации - старшему инженер-механику авиационной бри</w:t>
      </w:r>
      <w:r w:rsidRPr="00142305">
        <w:rPr>
          <w:rFonts w:ascii="Times New Roman" w:hAnsi="Times New Roman"/>
          <w:color w:val="0070C0"/>
          <w:sz w:val="16"/>
          <w:szCs w:val="16"/>
        </w:rPr>
        <w:softHyphen/>
        <w:t>гады. (...) Старший авиатехник (младший инженер неотдельного отряда, отряда) является помощником командира отряда по технической службе и подчиняется ему во всех отношениях. (...) Звеньевой авиатехник непосредственно подчиня</w:t>
      </w:r>
      <w:r w:rsidRPr="00142305">
        <w:rPr>
          <w:rFonts w:ascii="Times New Roman" w:hAnsi="Times New Roman"/>
          <w:color w:val="0070C0"/>
          <w:sz w:val="16"/>
          <w:szCs w:val="16"/>
        </w:rPr>
        <w:softHyphen/>
        <w:t>ется во всех отношениях командиру звена, а в техническом отношении - стар</w:t>
      </w:r>
      <w:r w:rsidRPr="00142305">
        <w:rPr>
          <w:rFonts w:ascii="Times New Roman" w:hAnsi="Times New Roman"/>
          <w:color w:val="0070C0"/>
          <w:sz w:val="16"/>
          <w:szCs w:val="16"/>
        </w:rPr>
        <w:softHyphen/>
        <w:t>шему авиатехнику. (...) Бортовой авиатехник непосредственно подчиняется во всех отношениях командиру корабля, а в техническом отношении - младшему инженеру-механику отряда. Младший авиатехник подчиняется во всех отноше</w:t>
      </w:r>
      <w:r w:rsidRPr="00142305">
        <w:rPr>
          <w:rFonts w:ascii="Times New Roman" w:hAnsi="Times New Roman"/>
          <w:color w:val="0070C0"/>
          <w:sz w:val="16"/>
          <w:szCs w:val="16"/>
        </w:rPr>
        <w:softHyphen/>
        <w:t>ниях командиру самолета, а в техническом отношении - звеньевому авиатех</w:t>
      </w:r>
      <w:r w:rsidRPr="00142305">
        <w:rPr>
          <w:rFonts w:ascii="Times New Roman" w:hAnsi="Times New Roman"/>
          <w:color w:val="0070C0"/>
          <w:sz w:val="16"/>
          <w:szCs w:val="16"/>
        </w:rPr>
        <w:softHyphen/>
        <w:t>нику. (...) Авиационный моторист подчиняется во всех отношениях младшему авиатехнику» (Наставление по техническо-эксплуатационной службе. - М., 1933. - С. 11-20) (24968).</w:t>
      </w:r>
    </w:p>
    <w:p w14:paraId="40424973" w14:textId="77777777" w:rsidR="00CF3577" w:rsidRPr="00142305" w:rsidRDefault="00CF3577" w:rsidP="00CF3577">
      <w:pPr>
        <w:spacing w:after="0" w:line="240" w:lineRule="auto"/>
        <w:jc w:val="both"/>
        <w:rPr>
          <w:rFonts w:ascii="Times New Roman" w:hAnsi="Times New Roman"/>
          <w:color w:val="0070C0"/>
          <w:sz w:val="16"/>
          <w:szCs w:val="16"/>
        </w:rPr>
      </w:pPr>
    </w:p>
    <w:p w14:paraId="4A08863C"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В 1933 г. учебные заведения имели 1 335 самолетов. Управление ВВС, ре</w:t>
      </w:r>
      <w:r w:rsidRPr="00142305">
        <w:rPr>
          <w:rFonts w:ascii="Times New Roman" w:hAnsi="Times New Roman"/>
          <w:color w:val="0070C0"/>
          <w:sz w:val="16"/>
          <w:szCs w:val="16"/>
        </w:rPr>
        <w:softHyphen/>
        <w:t>шив вопрос с подготовкой авиакадров для мирного времени, в начале 1930-х гг. озаботилось накоплением резерва.</w:t>
      </w:r>
    </w:p>
    <w:p w14:paraId="4412943F"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Ориентировочно пропускная способность летных школ в мирное время давала продукцию равную 25-30% штата летчиков к началу каждого года. В военное же время школьная сеть должна была давать около 200% штата летного состава. Это потребовало бы в шесть-восемь раз увеличить выпуски.</w:t>
      </w:r>
    </w:p>
    <w:p w14:paraId="17CE16AC" w14:textId="77777777" w:rsidR="00CF3577" w:rsidRPr="00142305" w:rsidRDefault="00CF3577" w:rsidP="00CF3577">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Учитывалось, что в военное время нельзя будет значительно сократить программу летной подготовки, что заставило принять при расчетах срок летного обучения в военное время - не менее 9-12 месяцев (24968).</w:t>
      </w:r>
    </w:p>
    <w:p w14:paraId="58487988" w14:textId="77777777" w:rsidR="00CF3577" w:rsidRPr="00142305" w:rsidRDefault="00CF3577" w:rsidP="00CF3577">
      <w:pPr>
        <w:spacing w:after="0" w:line="240" w:lineRule="auto"/>
        <w:jc w:val="both"/>
        <w:rPr>
          <w:rFonts w:ascii="Times New Roman" w:hAnsi="Times New Roman"/>
          <w:color w:val="0070C0"/>
          <w:sz w:val="16"/>
          <w:szCs w:val="16"/>
        </w:rPr>
      </w:pPr>
    </w:p>
    <w:p w14:paraId="2B616891"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рост выпуска бронемашин позволил вклю</w:t>
      </w:r>
      <w:r w:rsidRPr="0044524F">
        <w:rPr>
          <w:rFonts w:ascii="Times New Roman" w:hAnsi="Times New Roman"/>
          <w:color w:val="000000" w:themeColor="text1"/>
          <w:sz w:val="16"/>
          <w:szCs w:val="16"/>
        </w:rPr>
        <w:softHyphen/>
        <w:t>чить автоброневые роты из 10 средних бронемашин в состав вновь формируемых стрелковых бригад механизированных корпусов. В 1933 году автоброневые роты заменили разве</w:t>
      </w:r>
      <w:r w:rsidRPr="0044524F">
        <w:rPr>
          <w:rFonts w:ascii="Times New Roman" w:hAnsi="Times New Roman"/>
          <w:color w:val="000000" w:themeColor="text1"/>
          <w:sz w:val="16"/>
          <w:szCs w:val="16"/>
        </w:rPr>
        <w:softHyphen/>
        <w:t>дывательными танкетными ротами, зато во все типы меха</w:t>
      </w:r>
      <w:r w:rsidRPr="0044524F">
        <w:rPr>
          <w:rFonts w:ascii="Times New Roman" w:hAnsi="Times New Roman"/>
          <w:color w:val="000000" w:themeColor="text1"/>
          <w:sz w:val="16"/>
          <w:szCs w:val="16"/>
        </w:rPr>
        <w:softHyphen/>
        <w:t>низированных бригад (и отдельные, и в составе мехкорпу-сов) ввели отдельный разведывательный батальон, имеющий в своем составе роту из 10 средних бронемашин. Прав</w:t>
      </w:r>
      <w:r w:rsidRPr="0044524F">
        <w:rPr>
          <w:rFonts w:ascii="Times New Roman" w:hAnsi="Times New Roman"/>
          <w:color w:val="000000" w:themeColor="text1"/>
          <w:sz w:val="16"/>
          <w:szCs w:val="16"/>
        </w:rPr>
        <w:softHyphen/>
        <w:t>да, уже в 1934 году броневики изъяли из мехкорпусов, оста</w:t>
      </w:r>
      <w:r w:rsidRPr="0044524F">
        <w:rPr>
          <w:rFonts w:ascii="Times New Roman" w:hAnsi="Times New Roman"/>
          <w:color w:val="000000" w:themeColor="text1"/>
          <w:sz w:val="16"/>
          <w:szCs w:val="16"/>
        </w:rPr>
        <w:softHyphen/>
        <w:t>вив только 3 машины в корпусной школе.</w:t>
      </w:r>
    </w:p>
    <w:p w14:paraId="52F553BF"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Легкие бронеавтомобили в первую очередь поступали на укомплектование отдельных рот связи танковых и кава</w:t>
      </w:r>
      <w:r w:rsidRPr="0044524F">
        <w:rPr>
          <w:rFonts w:ascii="Times New Roman" w:hAnsi="Times New Roman"/>
          <w:color w:val="000000" w:themeColor="text1"/>
          <w:sz w:val="16"/>
          <w:szCs w:val="16"/>
        </w:rPr>
        <w:softHyphen/>
        <w:t>лерийских частей. Так, по состоянию на 1 января 1935 года предусматривалось иметь в составе механизированных бри</w:t>
      </w:r>
      <w:r w:rsidRPr="0044524F">
        <w:rPr>
          <w:rFonts w:ascii="Times New Roman" w:hAnsi="Times New Roman"/>
          <w:color w:val="000000" w:themeColor="text1"/>
          <w:sz w:val="16"/>
          <w:szCs w:val="16"/>
        </w:rPr>
        <w:softHyphen/>
        <w:t>гад танков Т-26, БТ взвод из трех ФАИ в составе отдельной роты связи. Такое же количество легких бронеавтомобилей входило в состав механизированного полка кавалерийских дивизий.</w:t>
      </w:r>
    </w:p>
    <w:p w14:paraId="289AB4C2"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формировании механизированных корпусов в 1933 году по штату мирного времени в их состав входил 71 легкий бронеавтомобиль, а по штату военного времени их число увеличивалось до 101. Они входили в состав разведы</w:t>
      </w:r>
      <w:r w:rsidRPr="0044524F">
        <w:rPr>
          <w:rFonts w:ascii="Times New Roman" w:hAnsi="Times New Roman"/>
          <w:color w:val="000000" w:themeColor="text1"/>
          <w:sz w:val="16"/>
          <w:szCs w:val="16"/>
        </w:rPr>
        <w:softHyphen/>
        <w:t>вательных взводов танковых батальонов и разведыватель</w:t>
      </w:r>
      <w:r w:rsidRPr="0044524F">
        <w:rPr>
          <w:rFonts w:ascii="Times New Roman" w:hAnsi="Times New Roman"/>
          <w:color w:val="000000" w:themeColor="text1"/>
          <w:sz w:val="16"/>
          <w:szCs w:val="16"/>
        </w:rPr>
        <w:softHyphen/>
        <w:t>ных рот, а также рот и батальонов связи. Однако фактичес</w:t>
      </w:r>
      <w:r w:rsidRPr="0044524F">
        <w:rPr>
          <w:rFonts w:ascii="Times New Roman" w:hAnsi="Times New Roman"/>
          <w:color w:val="000000" w:themeColor="text1"/>
          <w:sz w:val="16"/>
          <w:szCs w:val="16"/>
        </w:rPr>
        <w:softHyphen/>
        <w:t>ки бронемашин в них было далеко от штатного. Так, на 1 июня 1934 года в четырех сформированных механизи</w:t>
      </w:r>
      <w:r w:rsidRPr="0044524F">
        <w:rPr>
          <w:rFonts w:ascii="Times New Roman" w:hAnsi="Times New Roman"/>
          <w:color w:val="000000" w:themeColor="text1"/>
          <w:sz w:val="16"/>
          <w:szCs w:val="16"/>
        </w:rPr>
        <w:softHyphen/>
        <w:t>рованных корпусах имелось следующее количество легких бронемашин: 5-й — 22, 45-й — 27, 7 и 11-й — по 1. По состо</w:t>
      </w:r>
      <w:r w:rsidRPr="0044524F">
        <w:rPr>
          <w:rFonts w:ascii="Times New Roman" w:hAnsi="Times New Roman"/>
          <w:color w:val="000000" w:themeColor="text1"/>
          <w:sz w:val="16"/>
          <w:szCs w:val="16"/>
        </w:rPr>
        <w:softHyphen/>
        <w:t>янию на 1 января 1938 года картина несколько изменилась в лучшую сторону: 5-й — 60 (29 ФАИ, 17 БА-20 линейных и 14 Д-8/12), 7-й - 50 (49 ФАИ и 1 Д-8/12), 11-й - 92 (88 ФАИ, 3 Д-8/12) и 45-й - 57 (56 ФАИ и 1 Д-8/12) (11284).</w:t>
      </w:r>
    </w:p>
    <w:p w14:paraId="52153F4E"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color w:val="000000" w:themeColor="text1"/>
          <w:sz w:val="16"/>
          <w:szCs w:val="16"/>
        </w:rPr>
      </w:pPr>
    </w:p>
    <w:p w14:paraId="5F5A07F7" w14:textId="77777777" w:rsidR="00DD42F5" w:rsidRPr="00142305" w:rsidRDefault="00DD42F5" w:rsidP="00DD42F5">
      <w:pPr>
        <w:spacing w:after="0" w:line="240" w:lineRule="auto"/>
        <w:jc w:val="both"/>
        <w:rPr>
          <w:rFonts w:ascii="Times New Roman" w:hAnsi="Times New Roman"/>
          <w:color w:val="0070C0"/>
          <w:sz w:val="16"/>
          <w:szCs w:val="16"/>
        </w:rPr>
      </w:pPr>
      <w:r w:rsidRPr="00142305">
        <w:rPr>
          <w:rFonts w:ascii="Times New Roman" w:hAnsi="Times New Roman"/>
          <w:color w:val="0070C0"/>
          <w:sz w:val="16"/>
          <w:szCs w:val="16"/>
        </w:rPr>
        <w:t>С 1933 г. авиация НКВД активно участвовала в борь</w:t>
      </w:r>
      <w:r w:rsidRPr="00142305">
        <w:rPr>
          <w:rFonts w:ascii="Times New Roman" w:hAnsi="Times New Roman"/>
          <w:color w:val="0070C0"/>
          <w:sz w:val="16"/>
          <w:szCs w:val="16"/>
        </w:rPr>
        <w:softHyphen/>
        <w:t>бе с басмачами в Средней Азии. При этом задействова</w:t>
      </w:r>
      <w:r w:rsidRPr="00142305">
        <w:rPr>
          <w:rFonts w:ascii="Times New Roman" w:hAnsi="Times New Roman"/>
          <w:color w:val="0070C0"/>
          <w:sz w:val="16"/>
          <w:szCs w:val="16"/>
        </w:rPr>
        <w:softHyphen/>
        <w:t>ли 1-й отряд из Ташкента, 2-й из Ашхабада, 3-й из Бурун- дая (под Алма-Атой) и 4-й из Акмолинска. Они действова</w:t>
      </w:r>
      <w:r w:rsidRPr="00142305">
        <w:rPr>
          <w:rFonts w:ascii="Times New Roman" w:hAnsi="Times New Roman"/>
          <w:color w:val="0070C0"/>
          <w:sz w:val="16"/>
          <w:szCs w:val="16"/>
        </w:rPr>
        <w:softHyphen/>
        <w:t>ли не только на советской территории, но и в Синьцзяне (Китай), поддерживая местные власти. В середине 30-х годов отряды развернули в эскадрильи, вооруженные в основном У-2 и Р-5 (24990).</w:t>
      </w:r>
    </w:p>
    <w:p w14:paraId="1BF088DE" w14:textId="77777777" w:rsidR="00DD42F5" w:rsidRPr="00142305" w:rsidRDefault="00DD42F5" w:rsidP="00DD42F5">
      <w:pPr>
        <w:spacing w:after="0" w:line="240" w:lineRule="auto"/>
        <w:jc w:val="both"/>
        <w:rPr>
          <w:rFonts w:ascii="Times New Roman" w:hAnsi="Times New Roman"/>
          <w:color w:val="0070C0"/>
          <w:sz w:val="16"/>
          <w:szCs w:val="16"/>
        </w:rPr>
      </w:pPr>
    </w:p>
    <w:p w14:paraId="142A8275" w14:textId="77777777" w:rsidR="002E2083" w:rsidRPr="0044524F" w:rsidRDefault="001A42D5"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3DDB844B"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296EF72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году в интервью газете "Нью-Йорк Тайме" Сталин заявил, что СССР добыл 82,8 тонны чистого золота, а значит, перегнал США, чья добыча в тот год немногим превысила 70 тонн, и почти догнал Канаду, добывшую в тот год немногим более 90 тонн чистого золота. Дальше - больше. Согласно официальным заявлениям советских руководителей, в 1934 году СССР по добыче золота вышел на второе место в мире, обогнав США и Канаду, уступая лишь мировому лидеру золотодобычи - Южной Африке. Архивы золотодобывающей промышленности свидетельствуют, что гражданская и гулаговская добыча золота в СССР еще и в 1935 году отставала от Канады и США. Однако нельзя сказать, что хвалебные заявления руководителей СССР были абсолютным враньем. Сталинская цифра золотодобычи 1933 года - 82,8 тонны - подозрительно близка к общей сумме золота, добытого гражданскими предприятиями золотодобывающей промышленности (50,5 т), добычи Дальстроя (0,8 т) и золотого лома, скупленного в тот год Торгсином (30 т)! Добавь Сталин сюда еще 15 тонн чистого золота от скупленных Торгсином в тот год царских монет, то поднял бы золотодобычу почти до 100 тонн. Тайна сталинской золотодобычи состояла в том, что рекордные показатели были достигнуты во многом благодаря золоту, которое голодные советские люди принесли в Торгсин.</w:t>
      </w:r>
    </w:p>
    <w:p w14:paraId="210C7F1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Западные эксперты приняли эту цифру за чистую монету и все свои последующие расчеты основывали на ней, что привело к значительному завышению данных о золотодобыче в СССР. Так, аналитики американского посольства в Москве считали, что в 1935 году СССР добыл 141,4 т чистого золота, тогда как фактическая золотодобыча составила порядка 95,4 т.</w:t>
      </w:r>
    </w:p>
    <w:p w14:paraId="7773783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США в 1934 году добыли немногим менее 90 т, а Канада немногим менее 100 т чистого золота. </w:t>
      </w:r>
      <w:r w:rsidRPr="0044524F">
        <w:rPr>
          <w:rFonts w:ascii="Times New Roman" w:hAnsi="Times New Roman"/>
          <w:color w:val="000000" w:themeColor="text1"/>
          <w:sz w:val="16"/>
          <w:szCs w:val="16"/>
          <w:lang w:val="en-US"/>
        </w:rPr>
        <w:t xml:space="preserve">National Archives. Washington, D.C. Record 861.6341/101. Memorandum. Gold Production in the Soviet Union in 1937 and 1938. </w:t>
      </w:r>
      <w:r w:rsidRPr="0044524F">
        <w:rPr>
          <w:rFonts w:ascii="Times New Roman" w:hAnsi="Times New Roman"/>
          <w:color w:val="000000" w:themeColor="text1"/>
          <w:sz w:val="16"/>
          <w:szCs w:val="16"/>
        </w:rPr>
        <w:t>P. 33.</w:t>
      </w:r>
    </w:p>
    <w:p w14:paraId="23D84D1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46. В 1935 году золотодобыча США составила 98,4 т, а Канады 102,2 т. Гражданские предприятия золотодобывающей промышленности СССР в тот год намыли 80,9 т, а Дальстрой дал еще 14,5 т чистого золота. Золотодобыча СССР вышла на второе место в мире, видимо, только в 1936 году.</w:t>
      </w:r>
    </w:p>
    <w:p w14:paraId="3C126DA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Причиной тому, что Сталин не включил эти 15 тонн в сумму золотодобычи 1933 года, могло быть то, что монеты сразу не были переплавлены, а хранились в своем первоначальном царском виде, что не позволяло выдавать их за советскую золотодобычу (11558).</w:t>
      </w:r>
    </w:p>
    <w:p w14:paraId="2A059B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418281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 год стал скорбным триумфом Торгсина. В тот год люди снесли в Торгсин золота на 58 миллионов рублей, перевыполнив гигантский план. Это почти 45 тонн чистого золота, в 2 раза больше того, что Торгсин скупил в голодном 1932-м. Золотоскупка Торгсина в 1933 году лишь немногим уступила промышленной золотодобыче, при этом его затраты были несравнимо меньше затрат капиталоемкой золотодобывающей промышленности!</w:t>
      </w:r>
    </w:p>
    <w:p w14:paraId="1DC6D3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Торгсин начал принимать серебро в последних числах декабря 1932 года и только за эти несколько дней скупил 18,5 тонны этого металла. За 1933 год люди снесли в Торгсин 1420,5 тонны серебра. Со всем основанием состав ценностей, скупленных Торгсином в 1933 году, можно назвать "металлическим" - золото и серебро, в монетах и ломом, составили почти 76 процентов всех поступлений ценностей (11558).</w:t>
      </w:r>
    </w:p>
    <w:p w14:paraId="6F9C35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Скупка царских монет в 1933 году по сравнению с 1932-м выросла в два с половиной раза, причем темпы поступления золотых монет существенно обогнали темпы поступления бытового золота. Аналитик Торгсина определил этот процесс как "усилившийся приток золотой монеты из крестьянских "земельных банков". Ожидания руководства оправдались. Именно в 1933 году Торгсин стал в значительной степени крестьянским. "Коренной перелом" в истории Торгсина оставил след в литературе "деревенщиков". Виктор Астафьев, вспоминая 1933 год в сибирском селе, пишет: "В тот год, именно в тот год, безлошадный и голодный, появились на зимнике - ледовой енисейской дороге - мужики и бабы с котомками, понесли барахло и золотишко, у кого оно было, на мену, в "Торгсин". О том же говорил и зампредседателя правления Торгсина Азовский в июне 1933 года на совещании директоров универмагов Западной области: "Некоторые (ранее выступавшие) приводили пример с чеканкой и отмечали, что пошла чеканка. Что это значит, вот она пошла, а раньше она не шла. В чем дело? Ведь это, товарищи, довольно знаменательно, это говорит о том, что в Торгсин начали втягиваться новые и новые слои покупателей. Сейчас в Торгсин пошел крестьянин, тот, который о Торгсине раньше ничего не знал, тот, который нами еще не обслуживался".</w:t>
      </w:r>
    </w:p>
    <w:p w14:paraId="56C7DDC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Структура золотоскупки 1933 года показывает, что бытовое золото (лом) хотя по темпам поступлений и отставало от монет, по абсолютным показателям оставалось лидером - треть (36%) общей суммы ценностей, скупленных Торгсином в тот год. Значительную часть этого лома составило "городское" золото. Голодные люди снимали с себя обручальные кольца, нательные кресты, серьги. Крестьяне не были исключением. Вспомним опять историю семьи Виктора Астафьева, крестьян сибирского села на берегу Енисея. Единственная золотая вещь в доме, бережно хранимая в сундуке бабушки на память или на черный день, - золотые серьги его трагически погибшей матери - была все-таки снесена в Торгсин в тот голодный год.</w:t>
      </w:r>
    </w:p>
    <w:p w14:paraId="4C93BDA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Показатели сдачи золота во всех кварталах 1933 года очень высокие, но особенно выделяются апрель, май и июнь - апогей голода. Только за эти три месяца люди снесли в Торгсин золота более чем на 20 миллионов рублей (15,6 тонны чистого золота). Почти столько же, сколько за весь предшествующий голодный год!</w:t>
      </w:r>
    </w:p>
    <w:p w14:paraId="5AE0CA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архиве Торгсина не сохранилось полных региональных данных о скупке золота в 1933 году. Но даже то фрагментарное, что удалось собрать, отражает географию голода. Украинский Торгсин в 1933 году скупил золота на 10,7 миллиона рублей, причем перевес бытового золота (5,9 млн руб.) над чеканом (4,7 млн) был незначительным, что косвенно свидетельствует о высокой доле крестьянского участия. Элитная Москва и умирающая украинская деревня почти на равных обеспечили треть выполнения плана золотоскупки 1933 года.</w:t>
      </w:r>
    </w:p>
    <w:p w14:paraId="7CCE077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С хорошим урожаем 1933 года голод отступил, но план золотоскупки на 1934 год оставался высоким - 45,2 миллиона рублей. Руководство, видимо, рассчитывало на "инерцию голода" - однажды голодавший будет закупать впрок. Да и полной уверенности в том, что "продовольственные затруднения" в стране кончились, не было. </w:t>
      </w:r>
      <w:r w:rsidRPr="0044524F">
        <w:rPr>
          <w:rFonts w:ascii="Times New Roman" w:hAnsi="Times New Roman"/>
          <w:color w:val="000000" w:themeColor="text1"/>
          <w:sz w:val="16"/>
          <w:szCs w:val="16"/>
        </w:rPr>
        <w:lastRenderedPageBreak/>
        <w:t>Кроме того, руководство надеялось удержать высокие темпы скупки ценностей, превратив Торгсин из "голодного" предприятия, механически отпускавшего мешками муку, крупу и сахар, в массовый валютный образцовый универсальный магазин модных товаров. План явно утопический. Торговля за валюту, пусть и модными товарами высокого качества, могла быть только элитной (11558).</w:t>
      </w:r>
    </w:p>
    <w:p w14:paraId="0701BF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9119066" w14:textId="77777777" w:rsidR="00375BEC" w:rsidRPr="0044524F" w:rsidRDefault="00375B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в СССР была произведена перерегистрация боевого и охотничьего нарезного оружия, в ходе которой оружие изымалось без компенсации у определенных категорий граждан:</w:t>
      </w:r>
    </w:p>
    <w:p w14:paraId="61DD76B7" w14:textId="77777777" w:rsidR="00375BEC" w:rsidRPr="0044524F" w:rsidRDefault="00375B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своевременно не продливших сроки разрешений на право хранения и ношения оружия или не истребовавших своевременно продленные разрешения;</w:t>
      </w:r>
    </w:p>
    <w:p w14:paraId="08202645" w14:textId="77777777" w:rsidR="00375BEC" w:rsidRPr="0044524F" w:rsidRDefault="00375B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на которых имелся компрометирующий материал;</w:t>
      </w:r>
    </w:p>
    <w:p w14:paraId="5468EC19" w14:textId="77777777" w:rsidR="00375BEC" w:rsidRPr="0044524F" w:rsidRDefault="00375B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ношение и хранение оружия для которых не вызывалось служебной необходимостью;</w:t>
      </w:r>
    </w:p>
    <w:p w14:paraId="58365C6A" w14:textId="77777777" w:rsidR="00375BEC" w:rsidRPr="0044524F" w:rsidRDefault="00375B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душевнобольных</w:t>
      </w:r>
      <w:bookmarkStart w:id="76" w:name="annot_20"/>
      <w:r w:rsidRPr="0044524F">
        <w:rPr>
          <w:rFonts w:ascii="Times New Roman" w:hAnsi="Times New Roman"/>
          <w:color w:val="000000" w:themeColor="text1"/>
          <w:sz w:val="16"/>
          <w:szCs w:val="16"/>
        </w:rPr>
        <w:t xml:space="preserve"> (18514)</w:t>
      </w:r>
      <w:bookmarkEnd w:id="76"/>
      <w:r w:rsidRPr="0044524F">
        <w:rPr>
          <w:rFonts w:ascii="Times New Roman" w:hAnsi="Times New Roman"/>
          <w:color w:val="000000" w:themeColor="text1"/>
          <w:sz w:val="16"/>
          <w:szCs w:val="16"/>
        </w:rPr>
        <w:t>.</w:t>
      </w:r>
    </w:p>
    <w:p w14:paraId="38842679" w14:textId="77777777" w:rsidR="00375BEC" w:rsidRPr="0044524F" w:rsidRDefault="00375BEC" w:rsidP="009654CF">
      <w:pPr>
        <w:spacing w:after="0" w:line="240" w:lineRule="auto"/>
        <w:jc w:val="both"/>
        <w:rPr>
          <w:rFonts w:ascii="Times New Roman" w:hAnsi="Times New Roman"/>
          <w:color w:val="000000" w:themeColor="text1"/>
          <w:sz w:val="16"/>
          <w:szCs w:val="16"/>
        </w:rPr>
      </w:pPr>
    </w:p>
    <w:p w14:paraId="40C4D33D" w14:textId="77777777" w:rsidR="002E2083" w:rsidRPr="0044524F" w:rsidRDefault="001A42D5"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59E8987C" w14:textId="77777777" w:rsidR="002E2083" w:rsidRPr="0044524F" w:rsidRDefault="002E2083" w:rsidP="009654CF">
      <w:pPr>
        <w:shd w:val="clear" w:color="auto" w:fill="FFFFFF"/>
        <w:autoSpaceDE w:val="0"/>
        <w:autoSpaceDN w:val="0"/>
        <w:adjustRightInd w:val="0"/>
        <w:spacing w:after="0" w:line="240" w:lineRule="auto"/>
        <w:jc w:val="both"/>
        <w:rPr>
          <w:rFonts w:ascii="Times New Roman" w:hAnsi="Times New Roman"/>
          <w:iCs/>
          <w:color w:val="000000" w:themeColor="text1"/>
          <w:sz w:val="16"/>
          <w:szCs w:val="16"/>
        </w:rPr>
      </w:pPr>
    </w:p>
    <w:p w14:paraId="4B2EB8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 1933 году после установления дипломатических отношений между СССР и США большевики стали регулярно размещать в САСШ свои облигационные займы – например, их выпускал Внешторгбанк, а часть своих импортных закупок (от 40 до 60% от общего объема) в Америке СССР оплачивал как векселями Амторга, так и за счет кредитов от государственного американского Экспортно-импортного банка и некоторых частных банков (11508).</w:t>
      </w:r>
    </w:p>
    <w:p w14:paraId="5A60062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30D822BD" w14:textId="77777777" w:rsidR="00375BEC" w:rsidRPr="0044524F" w:rsidRDefault="00375B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состоялись поставки Р-5 центральному правительству Китая - три машины для летной школы Урумчи, которые принимали участие в боях против мятежных частей генерала Ма Чжуина. К концу 1934 г. после передачи в состав школы дополнительных Р-5, а также У-2, ее авиапарк насчитывал 18 самолетов. Р-5 в ее составе эксплуатировались, по крайней мере, до 1938 г., однако в боевые части китайских ВВС эти машины не поставлялись26. Тем не менее, в монографии Иванова ошибочно сообщается о нескольких десятках Р-5, якобы поставленных в 1937-1941 гг. правительству провинции Синьцзян (18261).</w:t>
      </w:r>
    </w:p>
    <w:p w14:paraId="6EB98513" w14:textId="77777777" w:rsidR="00375BEC" w:rsidRPr="0044524F" w:rsidRDefault="00375BEC" w:rsidP="009654CF">
      <w:pPr>
        <w:spacing w:after="0" w:line="240" w:lineRule="auto"/>
        <w:jc w:val="both"/>
        <w:rPr>
          <w:rFonts w:ascii="Times New Roman" w:hAnsi="Times New Roman"/>
          <w:color w:val="000000" w:themeColor="text1"/>
          <w:sz w:val="16"/>
          <w:szCs w:val="16"/>
        </w:rPr>
      </w:pPr>
    </w:p>
    <w:p w14:paraId="317C2B80" w14:textId="77777777" w:rsidR="00836DBF" w:rsidRPr="0044524F" w:rsidRDefault="00836DBF"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состоялись поставки Р-5 центральному правительству Китая – три машины для летной школы Урумчи, которые принимали участие в боях против мятежных частей генерала Ма Чжуина. К концу 1934 г. после передачи в состав школы дополнительных Р-5, а также У-2, ее авиапарк насчитывал 18 самолетов. Р-5 в ее составе эксплуатировались, по крайней мере, до 1938 г., однако в боевые части китайских ВВС эти машины не поставлялись. Тем не менее, в монографии Иванова ошибочно сообщается о нескольких десятках Р-5, якобы поставленных в 1937–1941 гг. правительству провинции Синьцзян (24334).</w:t>
      </w:r>
    </w:p>
    <w:p w14:paraId="039D9D87" w14:textId="77777777" w:rsidR="00836DBF" w:rsidRPr="0044524F" w:rsidRDefault="00836DBF" w:rsidP="009654CF">
      <w:pPr>
        <w:spacing w:after="0" w:line="240" w:lineRule="auto"/>
        <w:jc w:val="both"/>
        <w:rPr>
          <w:rFonts w:ascii="Times New Roman" w:hAnsi="Times New Roman"/>
          <w:color w:val="000000" w:themeColor="text1"/>
          <w:sz w:val="16"/>
          <w:szCs w:val="16"/>
        </w:rPr>
      </w:pPr>
    </w:p>
    <w:p w14:paraId="5E3310A1" w14:textId="77777777" w:rsidR="00375BEC" w:rsidRPr="0044524F" w:rsidRDefault="00375BEC"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советское правительство подарило Турции три самолета Р-5 вместе с одним АНТ-9. Они использовались турецкими ВВС как учебно-тренировочные машины в течение нескольких лет (18512).</w:t>
      </w:r>
    </w:p>
    <w:p w14:paraId="6811CB86" w14:textId="77777777" w:rsidR="00375BEC" w:rsidRPr="0044524F" w:rsidRDefault="00375BEC" w:rsidP="009654CF">
      <w:pPr>
        <w:spacing w:after="0" w:line="240" w:lineRule="auto"/>
        <w:jc w:val="both"/>
        <w:rPr>
          <w:rFonts w:ascii="Times New Roman" w:hAnsi="Times New Roman"/>
          <w:color w:val="000000" w:themeColor="text1"/>
          <w:sz w:val="16"/>
          <w:szCs w:val="16"/>
        </w:rPr>
      </w:pPr>
    </w:p>
    <w:p w14:paraId="0DB9C81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три биплана Р-5 советское правительство подарило Турции. Они несколько лет служили там как учебно-тренировочные машины (11936).</w:t>
      </w:r>
    </w:p>
    <w:p w14:paraId="2B3F0B1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C98D27D"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7DCFBF2D"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5E6234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создали ЮМО-205 (700 л.с.), позднее - ЮМО-207 (1000 л.с. с турбонаддувом ). В это же время 700-сильные дизели были и у фирмы "Даймлер- Бенц". В 1942 г. дизель этой фирмы МБ-507 мощностью 720 л.с. установили на танк, кото-рый прошел вначале 1000, а после устранения неисправностей - еще 2000 км. Но серийные германские танки оснащались бензиновыми карбюраторными двигателями (11224).</w:t>
      </w:r>
    </w:p>
    <w:p w14:paraId="08E40D1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FD640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мощный всплеск реформизма произошел в США. На президентских выборах 1932 г. убедительную победу одержал представитель демократической партии - Франклин Делано Рузвельт. "Сильная" социальная политика и активная экономическая роль государства определяли основное содержание предложенного президентом "нового курса". Демократическая администрация смогла приостановить ухудшение экономической конъюнктуры, а затем добиться постепенного смягчения последствий кризиса. Несмотря на критику прессы, возражение части деловых кругов, сопротивление конгресса и протесты социально уязвимых слоев населения, в основном американское общество согласилось с направленностью "нового курса". Упрочение позиций позволило Ф.Рузвельту начать подготовку к проведению активной международной политики (3871).</w:t>
      </w:r>
    </w:p>
    <w:p w14:paraId="498113C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77E167B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г. в Кабуле был убит король Надир-шах. Приход к власти его сына Мухаммад Захир-шаха не внес серьезных изменений во внешнюю политику страны. Однако к середине 30-х гг. и в Афганистане стали укрепляться позиции Германии, заинтересованной в нем главным образом стратегически. Наряду с проникновением германского капитала усиливалась пропаганда нацизма, во многом созвучная проводимому афганским руководством курсу на пуштунизацию страны. Как и в соседнем Иране, в Афганистане появились германские эксперты, консультанты, советники (3871).</w:t>
      </w:r>
    </w:p>
    <w:p w14:paraId="1D5442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479A875"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Авиапромышленность:</w:t>
      </w:r>
    </w:p>
    <w:p w14:paraId="0A405A63"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648D542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Период с 1933 по 1940 год был самым благоприятным в истории сотрудничества между СССР и США в авиационной сфере. Тогда Советский Союз мог покупать не только почти все образцы авиационной техники, но и лицензии на организацию их производства на своей территории, при этом получая весь комплект технической документации, методики расчетов и испытаний, а также регулярную информацию о новшествах, которые появлялись в базовых моделях. Разумеется, иностранные специалисты приезжали в Советский Союз для организации производства, поэтому даже не требовалось задействовать ресурсы внешней разведки для добычи чужих технологических секретов. Например, компании «Райт» и «Кертисс» представили нам образцы и всю документацию, содержащую описания технологических процессов для изготовления моторов R-1820 «Циклон» и V-1800. У нас, правда, освоили лишь первый, под названием М-25. Его ставили на истребители И-15бис, И-16 и разведчики Р-10. Из-за проблем с его внедрением в производство пришлось закупить партию R-1820-F3 (отечественный РЦФ-3). Данные компании «Райт» активно использовались при создании советских М-62 и М-63 — потомков «Циклона», да и в более позднем М-82 можно найти немало «райтовских» технических решений. В США зачастили советские специалисты. После визита в 1935 году группы авиастроителей под руководством А. Н. Туполева Советским Союзом были заказаны образцы штурмовика «Нортоп-2Е» и пассажирской машины «Дуглас-</w:t>
      </w:r>
      <w:r w:rsidRPr="0044524F">
        <w:rPr>
          <w:rFonts w:ascii="Times New Roman" w:hAnsi="Times New Roman"/>
          <w:color w:val="000000" w:themeColor="text1"/>
          <w:sz w:val="16"/>
          <w:szCs w:val="16"/>
          <w:lang w:val="en-US"/>
        </w:rPr>
        <w:t>D</w:t>
      </w:r>
      <w:r w:rsidRPr="0044524F">
        <w:rPr>
          <w:rFonts w:ascii="Times New Roman" w:hAnsi="Times New Roman"/>
          <w:color w:val="000000" w:themeColor="text1"/>
          <w:sz w:val="16"/>
          <w:szCs w:val="16"/>
        </w:rPr>
        <w:t>С-2». На этих моделях советские инженеры впервые смогли изучить сварные бензобаки, машинную клепку и множество других новшеств (11765).</w:t>
      </w:r>
    </w:p>
    <w:p w14:paraId="1CE156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C25F141"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1933 - 1934 гт в КБ Туполева по техническим требованиям ВВС РККА прорабатывался проект двухмоторного многоцелевого самолета класса “воздушный крейсер", развивавший идеи заложенные в Р-6 и МИ-3. Военные заказывали КБ двухмоторный сухопутный крейсер, отсюда название СК-1 - "сухопутный крейсер".</w:t>
      </w:r>
    </w:p>
    <w:p w14:paraId="46A50B93"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КБ в ходе начального проектирования были проработаны варианты самолета АНТ-30 (такое обозначение СК-1 получил по КБ) под два отечественных двигателя типа М-38 с номинальной мощностью по 570 л.с. и под два Испано-Сюиза 12YBrs.</w:t>
      </w:r>
    </w:p>
    <w:p w14:paraId="44B9F2C0"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Согласно проекту, АНТ-30 должен был выполняться по схеме цельнометаллического двухдвигательного низкоплана с гладкой обшивкой и нормальным хвостовым оперением. При рассмотрении возможных проектов особое внимание уделялось эффективности наступательного и оборонительного стрелково-пушечного вооружения. В передней поднимающейся куполообразной установке располагалась огневая точка с двумя пулеметами ШКАС, заднюю полусферу прикрывали фюзеляжная установка типа ДАК с одним пулеметом ДА или ШКАС и хвостовая установка с 20-мм пушкой "Эрликон". В фюзеляжном бомбаотсеке в варианте "крейсера" размещался дополнительный топливный бак, в варианте скоростного бомбардировщика там устанавливались бомбодержатели, кроме того, бомбы могли подвешиваться на внешних держателях под центропланом. Суммарная бомбовая нагрузка достигала 1000 кг.</w:t>
      </w:r>
    </w:p>
    <w:p w14:paraId="2CA27C41"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По самолету АНТ-30 были составлены и предъявлены КБ со сторон ВВС ТТТ, проведен аэродинамический расчет, изготовлены модели, подготовлена конструкторская документация для строительства опытного экземпляра, началось опытное производство. Но все работы были постепенно свернуты в конце 1933 - в начале 1934 года, к этому моменту техническая готовность АНТ-30 оценивалась на 16%. Причиной было решение о переходе на более перспективный тип самолета - АНТ-40 Архангельского (будущий СБ), а также постепенное отмирание концепции универсального самолета типа "крейсер".</w:t>
      </w:r>
    </w:p>
    <w:p w14:paraId="70858E8B"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Основные проектные данные самолета АНТ-30 (СК-1) на основании ТТТ ВВС:</w:t>
      </w:r>
    </w:p>
    <w:p w14:paraId="4EBA6EE5"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Нормальная полетная масса - 5300 кг;</w:t>
      </w:r>
    </w:p>
    <w:p w14:paraId="613D1F88"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нормальной полезной нагрузки - 928-1560 кг;</w:t>
      </w:r>
    </w:p>
    <w:p w14:paraId="00EF842B"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Масса полезной нагрузки с перегрузкой - 2200 кг;</w:t>
      </w:r>
    </w:p>
    <w:p w14:paraId="7FAE1E57"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 скорость у земли - 259-283 км/ч;</w:t>
      </w:r>
    </w:p>
    <w:p w14:paraId="55CEDCB4"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Максимальная скорость на высоте 4000 м - 317 км/ч;</w:t>
      </w:r>
    </w:p>
    <w:p w14:paraId="7BF5B663"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Время подъема на высоту 5000 м - 23,15 мин;</w:t>
      </w:r>
    </w:p>
    <w:p w14:paraId="1C62DB5E"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lastRenderedPageBreak/>
        <w:t>Время выполнения виража на высоте 1000 м - 22 сек;</w:t>
      </w:r>
    </w:p>
    <w:p w14:paraId="1786721A"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Экипаж – 4 человека;</w:t>
      </w:r>
    </w:p>
    <w:p w14:paraId="1BD417D4"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Вооружение: 3 х 7,62 ШКАС и 1 х 20 мм Эрликон;</w:t>
      </w:r>
    </w:p>
    <w:p w14:paraId="32A2E553" w14:textId="77777777" w:rsidR="000656DA" w:rsidRPr="0044524F" w:rsidRDefault="000656D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Бомбовая нагрузка- 1000 кг (15583).</w:t>
      </w:r>
    </w:p>
    <w:p w14:paraId="2E447BAB" w14:textId="77777777" w:rsidR="000656DA" w:rsidRPr="0044524F" w:rsidRDefault="000656DA" w:rsidP="009654CF">
      <w:pPr>
        <w:spacing w:after="0" w:line="240" w:lineRule="auto"/>
        <w:jc w:val="both"/>
        <w:rPr>
          <w:rFonts w:ascii="Times New Roman" w:hAnsi="Times New Roman"/>
          <w:color w:val="000000" w:themeColor="text1"/>
          <w:sz w:val="16"/>
          <w:szCs w:val="16"/>
        </w:rPr>
      </w:pPr>
    </w:p>
    <w:p w14:paraId="3FA126AC" w14:textId="77777777" w:rsidR="008A2CDB" w:rsidRPr="0044524F" w:rsidRDefault="008A2CDB"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1933-1934 гг. Завод № 1 строил Р-5Ш. Кроме того, в частях под этот стандарт переделывались самолеты разных серий и разных лет выпуска. Поэтому точно оценить количество Р-5Ш не удается. Судя по наличию машин в ВВС, всего существовало около 500 штурмовиков этой модификации (12034).</w:t>
      </w:r>
    </w:p>
    <w:p w14:paraId="24556D47" w14:textId="77777777" w:rsidR="008A2CDB" w:rsidRPr="0044524F" w:rsidRDefault="008A2CDB" w:rsidP="009654CF">
      <w:pPr>
        <w:autoSpaceDE w:val="0"/>
        <w:autoSpaceDN w:val="0"/>
        <w:adjustRightInd w:val="0"/>
        <w:spacing w:after="0" w:line="240" w:lineRule="auto"/>
        <w:jc w:val="both"/>
        <w:rPr>
          <w:rFonts w:ascii="Times New Roman" w:hAnsi="Times New Roman"/>
          <w:color w:val="000000" w:themeColor="text1"/>
          <w:sz w:val="16"/>
          <w:szCs w:val="16"/>
        </w:rPr>
      </w:pPr>
    </w:p>
    <w:p w14:paraId="0BD15D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1933-34 г. ремонтный завод № 104 передан в ведение Спецмаштреста НКТП.</w:t>
      </w:r>
      <w:r w:rsidRPr="0044524F">
        <w:rPr>
          <w:rFonts w:ascii="Times New Roman" w:hAnsi="Times New Roman"/>
          <w:color w:val="000000" w:themeColor="text1"/>
          <w:sz w:val="16"/>
          <w:szCs w:val="16"/>
          <w:vertAlign w:val="superscript"/>
        </w:rPr>
        <w:t>124</w:t>
      </w:r>
      <w:r w:rsidRPr="0044524F">
        <w:rPr>
          <w:rFonts w:ascii="Times New Roman" w:hAnsi="Times New Roman"/>
          <w:color w:val="000000" w:themeColor="text1"/>
          <w:sz w:val="16"/>
          <w:szCs w:val="16"/>
        </w:rPr>
        <w:t xml:space="preserve"> В 1934-37 г. завод носил имя Разумова. По пр. № 09с от 23.01.1937 г. передан в ведение 8ГУ НКОП, Устав завода утвержден приказом № 52 от 4.02.1937 г. По пр. № 336с от 22.08.1938 г. завод № 104 им. Разумова переименован в завод № 104, в 12.1938 г. - в ведении 8ГУ. После начала войны влит вместе с заводом № 125 в состав единого завода № 39 НКАП.</w:t>
      </w:r>
      <w:r w:rsidRPr="0044524F">
        <w:rPr>
          <w:rFonts w:ascii="Times New Roman" w:hAnsi="Times New Roman"/>
          <w:color w:val="000000" w:themeColor="text1"/>
          <w:sz w:val="16"/>
          <w:szCs w:val="16"/>
          <w:vertAlign w:val="superscript"/>
        </w:rPr>
        <w:t>91</w:t>
      </w:r>
    </w:p>
    <w:p w14:paraId="79F909F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развитие постановления СТО от 2.09.1936 г. приказом № 00179 от 29.07/15.08.1937 г. заводу установлена производственная годовая мощность по ремонту: танков: БТ-5 - 800 шт., Т-26 - 1200 шт.; автомобилей: ЗиС-5 и ЯГ-5-10 - 1300 шт., ГАЗ-АА и ГАЗ-А - 1700 шт.; танковых моторов: М-5 - 1200 шт., к Т-27 и Т-37 - 1000 шт. 1 НИ-8 поручено разработать техпроект на реконструкцию завода. По пр. № 294с от 7.08.1938 г. необходимо было сдать в 1938 г. в эксплуатацию: укомплектовочно-сдаточный цех, испытательную станцию моторов М-5 и М-17, основной механо-сборочный корпус, горячие цеха.</w:t>
      </w:r>
    </w:p>
    <w:p w14:paraId="61FF2E00" w14:textId="668CC4E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Директор (-2.04.1937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Г.Р. Глезер-Егор (снят), (2.04.1937-8.03.1938; 15.06-21.11.1938 г.)- С.А. Елизарьев (снят), (14.03.1938 г.-)- Л. Г. Бондаренко.</w:t>
      </w:r>
    </w:p>
    <w:p w14:paraId="1594B2E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Зам. директора (06.1937 г.)- И.П. Орловский.</w:t>
      </w:r>
    </w:p>
    <w:p w14:paraId="04A04042" w14:textId="3593B468"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Гл. инженер (06.1937 г.)- М.М. Великанов, (19.07.1938 г.-)-</w:t>
      </w:r>
      <w:r w:rsidR="0088747B">
        <w:rPr>
          <w:rFonts w:ascii="Times New Roman" w:hAnsi="Times New Roman"/>
          <w:color w:val="000000" w:themeColor="text1"/>
          <w:sz w:val="16"/>
          <w:szCs w:val="16"/>
        </w:rPr>
        <w:t xml:space="preserve"> </w:t>
      </w:r>
      <w:r w:rsidRPr="0044524F">
        <w:rPr>
          <w:rFonts w:ascii="Times New Roman" w:hAnsi="Times New Roman"/>
          <w:color w:val="000000" w:themeColor="text1"/>
          <w:sz w:val="16"/>
          <w:szCs w:val="16"/>
        </w:rPr>
        <w:t>Г.И. Михайлов (11982).</w:t>
      </w:r>
    </w:p>
    <w:p w14:paraId="12CDCC84" w14:textId="77777777" w:rsidR="00145E2A" w:rsidRPr="0044524F" w:rsidRDefault="00145E2A" w:rsidP="009654CF">
      <w:pPr>
        <w:autoSpaceDE w:val="0"/>
        <w:autoSpaceDN w:val="0"/>
        <w:adjustRightInd w:val="0"/>
        <w:spacing w:after="0" w:line="240" w:lineRule="auto"/>
        <w:jc w:val="both"/>
        <w:rPr>
          <w:rFonts w:ascii="Times New Roman" w:hAnsi="Times New Roman"/>
          <w:color w:val="000000" w:themeColor="text1"/>
          <w:sz w:val="16"/>
          <w:szCs w:val="16"/>
        </w:rPr>
      </w:pPr>
    </w:p>
    <w:p w14:paraId="7C2BA1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1933 - 34 годах наладили выпуск двух типов стеклянных шаровых ампул емкостью 1 л и 2 л. Литровая ампула имела диаметр 125 мм; толщина стенок у нее достигала 10 мм. В гораздо меньшем количестве выпустили двухлитровые ампулы с диаметром 265 мм. Стеклянная ампула могла храниться долго и хорошо разбивалась при падении, но была довольно тяжела и опасна при транспортировке из- за хрупкости материала (12043).</w:t>
      </w:r>
    </w:p>
    <w:p w14:paraId="30E6F6E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279B5357"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Другие оборонные отрасли:</w:t>
      </w:r>
    </w:p>
    <w:p w14:paraId="0CD8EC67"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78F1DCF1"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1933—1936 гг. на НИАПе проводили стрельбы из 122-мм пушек обр. 1931 г. нарезными снарядами. Для этого был изготовлен ствол с крутизной нарезки в 12 калибров, глубиной нарезов 3,0 мм и объемом каморы 9,889 дм</w:t>
      </w:r>
      <w:r w:rsidRPr="0044524F">
        <w:rPr>
          <w:rFonts w:ascii="Times New Roman" w:hAnsi="Times New Roman"/>
          <w:color w:val="000000" w:themeColor="text1"/>
          <w:sz w:val="16"/>
          <w:szCs w:val="16"/>
          <w:vertAlign w:val="superscript"/>
        </w:rPr>
        <w:t>3</w:t>
      </w:r>
      <w:r w:rsidRPr="0044524F">
        <w:rPr>
          <w:rFonts w:ascii="Times New Roman" w:hAnsi="Times New Roman"/>
          <w:color w:val="000000" w:themeColor="text1"/>
          <w:sz w:val="16"/>
          <w:szCs w:val="16"/>
        </w:rPr>
        <w:t>. Стрельба велась нарезными снарядами с глубиной нарезки 3,0 мм.</w:t>
      </w:r>
    </w:p>
    <w:p w14:paraId="71B60C39" w14:textId="77777777" w:rsidR="00145E2A" w:rsidRPr="0044524F" w:rsidRDefault="00145E2A" w:rsidP="009654CF">
      <w:pPr>
        <w:spacing w:after="0" w:line="240" w:lineRule="auto"/>
        <w:jc w:val="both"/>
        <w:rPr>
          <w:rFonts w:ascii="Times New Roman" w:hAnsi="Times New Roman"/>
          <w:bCs/>
          <w:color w:val="000000" w:themeColor="text1"/>
          <w:sz w:val="16"/>
          <w:szCs w:val="16"/>
        </w:rPr>
      </w:pPr>
      <w:bookmarkStart w:id="77" w:name="label103"/>
      <w:bookmarkStart w:id="78" w:name="label104"/>
      <w:bookmarkEnd w:id="77"/>
      <w:bookmarkEnd w:id="78"/>
      <w:r w:rsidRPr="0044524F">
        <w:rPr>
          <w:rFonts w:ascii="Times New Roman" w:hAnsi="Times New Roman"/>
          <w:bCs/>
          <w:color w:val="000000" w:themeColor="text1"/>
          <w:sz w:val="16"/>
          <w:szCs w:val="16"/>
        </w:rPr>
        <w:t>Данные нарезных снарядов</w:t>
      </w:r>
    </w:p>
    <w:p w14:paraId="6FFFDE84" w14:textId="77777777" w:rsidR="00145E2A" w:rsidRPr="0044524F" w:rsidRDefault="00145E2A" w:rsidP="009654CF">
      <w:pPr>
        <w:spacing w:after="0" w:line="240" w:lineRule="auto"/>
        <w:jc w:val="both"/>
        <w:rPr>
          <w:rFonts w:ascii="Times New Roman" w:hAnsi="Times New Roman"/>
          <w:bCs/>
          <w:color w:val="000000" w:themeColor="text1"/>
          <w:sz w:val="16"/>
          <w:szCs w:val="16"/>
        </w:rPr>
      </w:pPr>
      <w:bookmarkStart w:id="79" w:name="label105"/>
      <w:bookmarkEnd w:id="79"/>
      <w:r w:rsidRPr="0044524F">
        <w:rPr>
          <w:rFonts w:ascii="Times New Roman" w:hAnsi="Times New Roman"/>
          <w:bCs/>
          <w:color w:val="000000" w:themeColor="text1"/>
          <w:sz w:val="16"/>
          <w:szCs w:val="16"/>
          <w:vertAlign w:val="superscript"/>
        </w:rPr>
        <w:t>Тип снаряда, № чертежа …… Вес снаряда, кг / Длина, клб / Вес ВВ, кг</w:t>
      </w:r>
    </w:p>
    <w:p w14:paraId="460858E0"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Фугасный, 5985 …… 25,2 / 5,0 / 3,81</w:t>
      </w:r>
    </w:p>
    <w:p w14:paraId="49466B02"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Бетовобойный, 6105 …… 40,0 / 6,4 / 4,57</w:t>
      </w:r>
    </w:p>
    <w:p w14:paraId="2D83F934"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При стрельбе 10 июня 1936 г. снарядом чертежа 6105 при заряде 5,0 кг достигнута начальная скорость 550 м/с и дальность 14 300 м (при угле возвышения +35°).</w:t>
      </w:r>
    </w:p>
    <w:p w14:paraId="3AFC12B0"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Однако наряду с преимуществом в весе нарезные снаряды имели и ряд недостатков, так как при увеличении длины снаряда сверх 5 калибров резко падала кучность. Заряжание пушек нарезными снарядами производилось весьма «хитрым» способом (чтобы нарезы снаряда входили в нарезы канала), что приводило к существенному уменьшению скорострельности. (Сх. 17) (Сх. 18)</w:t>
      </w:r>
    </w:p>
    <w:p w14:paraId="7365B8C2"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1937 г. опыты со 122-мм нарезными снарядами были прекращены (15117).</w:t>
      </w:r>
    </w:p>
    <w:p w14:paraId="206DEDFA" w14:textId="77777777" w:rsidR="00145E2A" w:rsidRPr="0044524F" w:rsidRDefault="00145E2A" w:rsidP="009654CF">
      <w:pPr>
        <w:spacing w:after="0" w:line="240" w:lineRule="auto"/>
        <w:jc w:val="both"/>
        <w:rPr>
          <w:rFonts w:ascii="Times New Roman" w:hAnsi="Times New Roman"/>
          <w:color w:val="000000" w:themeColor="text1"/>
          <w:sz w:val="16"/>
          <w:szCs w:val="16"/>
        </w:rPr>
      </w:pPr>
    </w:p>
    <w:p w14:paraId="344F614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1930-1933 годах было испытано несколько образцов 76-мм стволов в 30 и 40 клб как с лейнерами, так и со свободными трубами (3861).</w:t>
      </w:r>
    </w:p>
    <w:p w14:paraId="6453588D"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C78F3C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1931 -33 гг. был построен "Уралвагонзавод" в Нижнем Тагиле для выпуска 54000 четырёхосных грузовых вагонов грузоподъёмностью 50 тонн, ежегодно, затем производство было расширено до выпуска 70000 вагонов в год (4018).</w:t>
      </w:r>
    </w:p>
    <w:p w14:paraId="772E3D3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3EE575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1932-1933 годах было изготовлено около тридцати 37-мм РК ММ (малой мощности) Курчевского, которые использовались в войсках для учебных целей. Причем, на дистанции 200-300 м снаряд из РК ММ не пробивал броню насквозь, а выбивал пробку, застревая в броне (3861).</w:t>
      </w:r>
    </w:p>
    <w:p w14:paraId="29999D0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0529785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В 1933-1935 годах Кузнецкий меткомбинат вводил в строй свою вторую очередь – две домны, мартеновский цех, новые коксовые батареи и прокатные станы. Большая проблема возникла с обучением специалистов – именно по причине отсутствия опытных рабочих и мастеров в 1933 году производство на новом западном оборудовании (блюминг – немецкой фирмы «Зак», прокатные станы – немецкой фирмы Schlemann) пробуксовывало. Часто отсутствие знаний приводило к повреждениям техники и даже доменных печей. Проблему решали также ударным способом – быстрой подготовкой кадров на базе филиала Сибирского металлургического института. В 1931-1932 годах по оргнабору на КМК прибыло до четырехсот инженеров и мастеров с южных предприятий СССР (11539). </w:t>
      </w:r>
    </w:p>
    <w:p w14:paraId="22F9C1C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628B968E"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1933-1936 гг. заводы СК-1, СК-2 и СК-3 достигли проектной мощности. В предвоенном 1940 г. промышленность СК выпустила 100 тыс. тонн синтетического каучука. Себестоимость каучука была снижена в 1940 г. по сравнения с 1933 г. более чем в три раза. Кроме введения на заводах новых мощностей, решающую роль в успехахпромышленности СК имели указанные выше интенсивные факторы роста. Необходимо отметить самоотверженный труд специалистов и рабочих заводов, развернувшееся, начиная с 1935 г., стахановское движение, творческий труд коллектива Гипрокаучука, быстро выполнявшего проектные работы по реконструкции действующих цехов и установок и проектирование новых объектов. Выдающиеся организаторские способности начальника Главкаучука О.Д. Осипова-Шмидта, его энергия и смелость при внедрении в производство новшеств, внимание к кадрам помогали достижению высоких показателейработы промышленности СК (18298).</w:t>
      </w:r>
    </w:p>
    <w:p w14:paraId="201BA652" w14:textId="77777777" w:rsidR="00145E2A" w:rsidRPr="0044524F" w:rsidRDefault="00145E2A" w:rsidP="009654CF">
      <w:pPr>
        <w:spacing w:after="0" w:line="240" w:lineRule="auto"/>
        <w:jc w:val="both"/>
        <w:rPr>
          <w:rFonts w:ascii="Times New Roman" w:hAnsi="Times New Roman"/>
          <w:color w:val="000000" w:themeColor="text1"/>
          <w:sz w:val="16"/>
          <w:szCs w:val="16"/>
        </w:rPr>
      </w:pPr>
    </w:p>
    <w:p w14:paraId="5FC85E5F" w14:textId="77777777" w:rsidR="00145E2A" w:rsidRPr="0044524F" w:rsidRDefault="00145E2A"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Жизнь и внутренняя политика:</w:t>
      </w:r>
    </w:p>
    <w:p w14:paraId="24D94066" w14:textId="77777777" w:rsidR="00145E2A" w:rsidRPr="0044524F" w:rsidRDefault="00145E2A"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D885362" w14:textId="77777777" w:rsidR="00145E2A" w:rsidRPr="0044524F" w:rsidRDefault="00145E2A" w:rsidP="009654CF">
      <w:pPr>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1933-1934 гг. снабжение продуктами питания стабилизировалось. За три «хороших года», 1934-1936 гг., уровень жизни существенно вырос, хотя до начала Второй мировой войны так и не достиг уровня конца 1920-х гг.{991}Но несмотря на ухудшение положения по сравнению с 1920-ми гг., следует иметь в виду, что масса рабочих пришла на заводы и фабрики после 1928 г. и потому на собственном опыте не была знакома с исходным положением. Субъективно для этой массы сниженный стандарт жизни 1930-х гг. являлся улучшением, если сравнить их жизнь в городе с прежнейдеревенской{992} (18299).</w:t>
      </w:r>
    </w:p>
    <w:p w14:paraId="31F3B7A3" w14:textId="77777777" w:rsidR="00145E2A" w:rsidRPr="0044524F" w:rsidRDefault="00145E2A" w:rsidP="009654CF">
      <w:pPr>
        <w:spacing w:after="0" w:line="240" w:lineRule="auto"/>
        <w:jc w:val="both"/>
        <w:rPr>
          <w:rFonts w:ascii="Times New Roman" w:hAnsi="Times New Roman"/>
          <w:color w:val="000000" w:themeColor="text1"/>
          <w:sz w:val="16"/>
          <w:szCs w:val="16"/>
        </w:rPr>
      </w:pPr>
    </w:p>
    <w:p w14:paraId="6DD8A44E" w14:textId="77777777" w:rsidR="002E2083"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Внешняя политика:</w:t>
      </w:r>
    </w:p>
    <w:p w14:paraId="2B24381A" w14:textId="77777777" w:rsidR="002E2083" w:rsidRPr="0044524F" w:rsidRDefault="002E2083"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2789095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1933-35 гг. доля исмпорта в Германию из России была невелика:</w:t>
      </w:r>
    </w:p>
    <w:p w14:paraId="4F38753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ИМПОРТ В ГЕРМАНИЮ НЕКОТОРЫХ ВИДОВ СЫРЬЯ, тыс. тонн: </w:t>
      </w:r>
    </w:p>
    <w:tbl>
      <w:tblPr>
        <w:tblW w:w="0" w:type="auto"/>
        <w:tblInd w:w="6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60" w:type="dxa"/>
          <w:right w:w="60" w:type="dxa"/>
        </w:tblCellMar>
        <w:tblLook w:val="0000" w:firstRow="0" w:lastRow="0" w:firstColumn="0" w:lastColumn="0" w:noHBand="0" w:noVBand="0"/>
      </w:tblPr>
      <w:tblGrid>
        <w:gridCol w:w="2101"/>
        <w:gridCol w:w="1064"/>
        <w:gridCol w:w="1354"/>
        <w:gridCol w:w="1064"/>
        <w:gridCol w:w="1354"/>
        <w:gridCol w:w="1064"/>
        <w:gridCol w:w="1354"/>
      </w:tblGrid>
      <w:tr w:rsidR="004E10C1" w:rsidRPr="0044524F" w14:paraId="42FDE184" w14:textId="77777777" w:rsidTr="002E2083">
        <w:tc>
          <w:tcPr>
            <w:tcW w:w="2101" w:type="dxa"/>
            <w:tcBorders>
              <w:top w:val="single" w:sz="12" w:space="0" w:color="000000"/>
            </w:tcBorders>
          </w:tcPr>
          <w:p w14:paraId="43F6CA8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tc>
        <w:tc>
          <w:tcPr>
            <w:tcW w:w="1064" w:type="dxa"/>
            <w:gridSpan w:val="2"/>
            <w:tcBorders>
              <w:top w:val="single" w:sz="12" w:space="0" w:color="000000"/>
            </w:tcBorders>
          </w:tcPr>
          <w:p w14:paraId="6DC4724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1933</w:t>
            </w:r>
          </w:p>
        </w:tc>
        <w:tc>
          <w:tcPr>
            <w:tcW w:w="1064" w:type="dxa"/>
            <w:gridSpan w:val="2"/>
            <w:tcBorders>
              <w:top w:val="single" w:sz="12" w:space="0" w:color="000000"/>
            </w:tcBorders>
          </w:tcPr>
          <w:p w14:paraId="246235A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1934</w:t>
            </w:r>
          </w:p>
        </w:tc>
        <w:tc>
          <w:tcPr>
            <w:tcW w:w="1064" w:type="dxa"/>
            <w:gridSpan w:val="2"/>
            <w:tcBorders>
              <w:top w:val="single" w:sz="12" w:space="0" w:color="000000"/>
            </w:tcBorders>
          </w:tcPr>
          <w:p w14:paraId="66B183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1935</w:t>
            </w:r>
          </w:p>
        </w:tc>
      </w:tr>
      <w:tr w:rsidR="004E10C1" w:rsidRPr="0044524F" w14:paraId="6278D423" w14:textId="77777777">
        <w:tc>
          <w:tcPr>
            <w:tcW w:w="2101" w:type="dxa"/>
          </w:tcPr>
          <w:p w14:paraId="20C1639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Вид сырья</w:t>
            </w:r>
          </w:p>
        </w:tc>
        <w:tc>
          <w:tcPr>
            <w:tcW w:w="1064" w:type="dxa"/>
          </w:tcPr>
          <w:p w14:paraId="36165B2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Весь импорт</w:t>
            </w:r>
          </w:p>
        </w:tc>
        <w:tc>
          <w:tcPr>
            <w:tcW w:w="1354" w:type="dxa"/>
          </w:tcPr>
          <w:p w14:paraId="12B3524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т.ч. из СССР</w:t>
            </w:r>
          </w:p>
        </w:tc>
        <w:tc>
          <w:tcPr>
            <w:tcW w:w="1064" w:type="dxa"/>
          </w:tcPr>
          <w:p w14:paraId="0467BA8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Весь импорт</w:t>
            </w:r>
          </w:p>
        </w:tc>
        <w:tc>
          <w:tcPr>
            <w:tcW w:w="1354" w:type="dxa"/>
          </w:tcPr>
          <w:p w14:paraId="1A6C37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т.ч. из СССР</w:t>
            </w:r>
          </w:p>
        </w:tc>
        <w:tc>
          <w:tcPr>
            <w:tcW w:w="1064" w:type="dxa"/>
          </w:tcPr>
          <w:p w14:paraId="448884F3"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Весь импорт</w:t>
            </w:r>
          </w:p>
        </w:tc>
        <w:tc>
          <w:tcPr>
            <w:tcW w:w="1354" w:type="dxa"/>
          </w:tcPr>
          <w:p w14:paraId="446143F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т.ч. из СССР</w:t>
            </w:r>
          </w:p>
        </w:tc>
      </w:tr>
      <w:tr w:rsidR="004E10C1" w:rsidRPr="0044524F" w14:paraId="1DCD36BD" w14:textId="77777777">
        <w:tc>
          <w:tcPr>
            <w:tcW w:w="2101" w:type="dxa"/>
          </w:tcPr>
          <w:p w14:paraId="506F1D27"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Железная руда</w:t>
            </w:r>
          </w:p>
        </w:tc>
        <w:tc>
          <w:tcPr>
            <w:tcW w:w="1064" w:type="dxa"/>
          </w:tcPr>
          <w:p w14:paraId="51BE443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4527</w:t>
            </w:r>
          </w:p>
        </w:tc>
        <w:tc>
          <w:tcPr>
            <w:tcW w:w="1354" w:type="dxa"/>
          </w:tcPr>
          <w:p w14:paraId="0B4C1D7F"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24,5</w:t>
            </w:r>
          </w:p>
        </w:tc>
        <w:tc>
          <w:tcPr>
            <w:tcW w:w="1064" w:type="dxa"/>
          </w:tcPr>
          <w:p w14:paraId="02143C0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8264</w:t>
            </w:r>
          </w:p>
        </w:tc>
        <w:tc>
          <w:tcPr>
            <w:tcW w:w="1354" w:type="dxa"/>
          </w:tcPr>
          <w:p w14:paraId="5D4E7B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1.9</w:t>
            </w:r>
          </w:p>
        </w:tc>
        <w:tc>
          <w:tcPr>
            <w:tcW w:w="1064" w:type="dxa"/>
          </w:tcPr>
          <w:p w14:paraId="26E7C3B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14061</w:t>
            </w:r>
          </w:p>
        </w:tc>
        <w:tc>
          <w:tcPr>
            <w:tcW w:w="1354" w:type="dxa"/>
          </w:tcPr>
          <w:p w14:paraId="244C4A5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2,7</w:t>
            </w:r>
          </w:p>
        </w:tc>
      </w:tr>
      <w:tr w:rsidR="004E10C1" w:rsidRPr="0044524F" w14:paraId="4D06AFA4" w14:textId="77777777">
        <w:tc>
          <w:tcPr>
            <w:tcW w:w="2101" w:type="dxa"/>
          </w:tcPr>
          <w:p w14:paraId="64B9B48B"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Нефть и нефтепродукты</w:t>
            </w:r>
          </w:p>
        </w:tc>
        <w:tc>
          <w:tcPr>
            <w:tcW w:w="1064" w:type="dxa"/>
          </w:tcPr>
          <w:p w14:paraId="43502810"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2428</w:t>
            </w:r>
          </w:p>
        </w:tc>
        <w:tc>
          <w:tcPr>
            <w:tcW w:w="1354" w:type="dxa"/>
          </w:tcPr>
          <w:p w14:paraId="751DD96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505,5</w:t>
            </w:r>
          </w:p>
        </w:tc>
        <w:tc>
          <w:tcPr>
            <w:tcW w:w="1064" w:type="dxa"/>
          </w:tcPr>
          <w:p w14:paraId="152A64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3094</w:t>
            </w:r>
          </w:p>
        </w:tc>
        <w:tc>
          <w:tcPr>
            <w:tcW w:w="1354" w:type="dxa"/>
          </w:tcPr>
          <w:p w14:paraId="1665A22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458,6</w:t>
            </w:r>
          </w:p>
        </w:tc>
        <w:tc>
          <w:tcPr>
            <w:tcW w:w="1064" w:type="dxa"/>
          </w:tcPr>
          <w:p w14:paraId="540AB9C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3766</w:t>
            </w:r>
          </w:p>
        </w:tc>
        <w:tc>
          <w:tcPr>
            <w:tcW w:w="1354" w:type="dxa"/>
          </w:tcPr>
          <w:p w14:paraId="3A864B62"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491,9</w:t>
            </w:r>
          </w:p>
        </w:tc>
      </w:tr>
      <w:tr w:rsidR="004E10C1" w:rsidRPr="0044524F" w14:paraId="7D3DC3A5" w14:textId="77777777">
        <w:tc>
          <w:tcPr>
            <w:tcW w:w="2101" w:type="dxa"/>
            <w:tcBorders>
              <w:bottom w:val="single" w:sz="12" w:space="0" w:color="000000"/>
            </w:tcBorders>
          </w:tcPr>
          <w:p w14:paraId="148CF388"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Хлопок</w:t>
            </w:r>
          </w:p>
        </w:tc>
        <w:tc>
          <w:tcPr>
            <w:tcW w:w="1064" w:type="dxa"/>
            <w:tcBorders>
              <w:bottom w:val="single" w:sz="12" w:space="0" w:color="000000"/>
            </w:tcBorders>
          </w:tcPr>
          <w:p w14:paraId="7E6770C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220</w:t>
            </w:r>
          </w:p>
        </w:tc>
        <w:tc>
          <w:tcPr>
            <w:tcW w:w="1354" w:type="dxa"/>
            <w:tcBorders>
              <w:bottom w:val="single" w:sz="12" w:space="0" w:color="000000"/>
            </w:tcBorders>
          </w:tcPr>
          <w:p w14:paraId="615EBAB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 xml:space="preserve">— </w:t>
            </w:r>
          </w:p>
        </w:tc>
        <w:tc>
          <w:tcPr>
            <w:tcW w:w="1064" w:type="dxa"/>
            <w:tcBorders>
              <w:bottom w:val="single" w:sz="12" w:space="0" w:color="000000"/>
            </w:tcBorders>
          </w:tcPr>
          <w:p w14:paraId="0A2CF2E5"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260</w:t>
            </w:r>
          </w:p>
        </w:tc>
        <w:tc>
          <w:tcPr>
            <w:tcW w:w="1354" w:type="dxa"/>
            <w:tcBorders>
              <w:bottom w:val="single" w:sz="12" w:space="0" w:color="000000"/>
            </w:tcBorders>
          </w:tcPr>
          <w:p w14:paraId="796EDF7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5,9</w:t>
            </w:r>
          </w:p>
        </w:tc>
        <w:tc>
          <w:tcPr>
            <w:tcW w:w="1064" w:type="dxa"/>
            <w:tcBorders>
              <w:bottom w:val="single" w:sz="12" w:space="0" w:color="000000"/>
            </w:tcBorders>
          </w:tcPr>
          <w:p w14:paraId="2D7F620C"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329</w:t>
            </w:r>
          </w:p>
        </w:tc>
        <w:tc>
          <w:tcPr>
            <w:tcW w:w="1354" w:type="dxa"/>
            <w:tcBorders>
              <w:bottom w:val="single" w:sz="12" w:space="0" w:color="000000"/>
            </w:tcBorders>
          </w:tcPr>
          <w:p w14:paraId="0AE13869"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3,4</w:t>
            </w:r>
          </w:p>
        </w:tc>
      </w:tr>
    </w:tbl>
    <w:p w14:paraId="4587974A"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1933-1936 гг. Германия поглощала до 3/4 всего шведского экспорта железной руды. В 1938 году импорт Третьим рейхом этого стратегического сырья составлял 9 млн тонн, покрывая 41 % потребностей германской металлургической промышленности в руде. Если же учесть высокий процент содержания чистого железа в шведской руде, получается, что 60% немецкого чугуна выплавлялись из руды, импортированной из Швеции. В сравнении с этим доля Советского Союза в поставках сырья Третьему рейху, как это видно из приведённой ниже таблицы, была относительно невелика (11208).</w:t>
      </w:r>
    </w:p>
    <w:p w14:paraId="7DC3BF9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59999ED4"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 1933 –34 гг., то есть после установления между СССР и Америкой дипотношений, началась систематическая разведывательная работа советских спецслужб в США. Первоначально главным прикрытием для советских разведчиков служило посольство в Вашингтоне и ген. консульство в Нью-Йорке. Трудно сказать, что было тому причиной. Возможно, нежелание рисковать важной в экономическом плане фирмой, а может быть, привычка к традиционным решениям. Впрочем, фразу "главным прикрытием служило посольство" не следует понимать как "разведчики базировались только в посольстве". У Амторга была своя "экологическая ниша" в сфере тайных операций – экономический шпионаж, им он и занимался (11507).</w:t>
      </w:r>
    </w:p>
    <w:p w14:paraId="756F13D6"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p>
    <w:p w14:paraId="4158FD5E" w14:textId="77777777" w:rsidR="00E96D40" w:rsidRPr="0044524F" w:rsidRDefault="001A42D5" w:rsidP="009654CF">
      <w:pPr>
        <w:autoSpaceDE w:val="0"/>
        <w:autoSpaceDN w:val="0"/>
        <w:adjustRightInd w:val="0"/>
        <w:spacing w:after="0" w:line="240" w:lineRule="auto"/>
        <w:jc w:val="both"/>
        <w:rPr>
          <w:rFonts w:ascii="Times New Roman" w:hAnsi="Times New Roman"/>
          <w:iCs/>
          <w:color w:val="000000" w:themeColor="text1"/>
          <w:sz w:val="16"/>
          <w:szCs w:val="16"/>
        </w:rPr>
      </w:pPr>
      <w:r w:rsidRPr="0044524F">
        <w:rPr>
          <w:rFonts w:ascii="Times New Roman" w:hAnsi="Times New Roman"/>
          <w:i/>
          <w:iCs/>
          <w:color w:val="000000" w:themeColor="text1"/>
          <w:sz w:val="16"/>
          <w:szCs w:val="16"/>
        </w:rPr>
        <w:t>За рубежом:</w:t>
      </w:r>
    </w:p>
    <w:p w14:paraId="0DFCC61C" w14:textId="77777777" w:rsidR="00E96D40" w:rsidRPr="0044524F" w:rsidRDefault="00E96D40" w:rsidP="009654CF">
      <w:pPr>
        <w:autoSpaceDE w:val="0"/>
        <w:autoSpaceDN w:val="0"/>
        <w:adjustRightInd w:val="0"/>
        <w:spacing w:after="0" w:line="240" w:lineRule="auto"/>
        <w:jc w:val="both"/>
        <w:rPr>
          <w:rFonts w:ascii="Times New Roman" w:hAnsi="Times New Roman"/>
          <w:iCs/>
          <w:color w:val="000000" w:themeColor="text1"/>
          <w:sz w:val="16"/>
          <w:szCs w:val="16"/>
        </w:rPr>
      </w:pPr>
    </w:p>
    <w:p w14:paraId="3548D42C" w14:textId="77777777" w:rsidR="00E96D40" w:rsidRPr="0044524F" w:rsidRDefault="00E96D40" w:rsidP="009654CF">
      <w:pPr>
        <w:spacing w:after="0" w:line="240" w:lineRule="auto"/>
        <w:jc w:val="both"/>
        <w:rPr>
          <w:rFonts w:ascii="Times New Roman" w:hAnsi="Times New Roman"/>
          <w:color w:val="000000" w:themeColor="text1"/>
          <w:sz w:val="16"/>
          <w:szCs w:val="16"/>
        </w:rPr>
      </w:pPr>
      <w:r w:rsidRPr="0044524F">
        <w:rPr>
          <w:rFonts w:ascii="Times New Roman" w:eastAsia="Times New Roman" w:hAnsi="Times New Roman"/>
          <w:color w:val="000000" w:themeColor="text1"/>
          <w:sz w:val="16"/>
          <w:szCs w:val="16"/>
          <w:lang w:eastAsia="ru-RU"/>
        </w:rPr>
        <w:t>В 1933/34 и 1934/35 гг. на армию и на призводство вооружения расходовалось примерно по 1,9 млрд. рейхсмарок, что составляло около 20% всех государственных расходов, или 4% национального дохода. В сравнении с другими странами такие военные расходы являлись крайне умеренными.</w:t>
      </w:r>
    </w:p>
    <w:tbl>
      <w:tblPr>
        <w:tblW w:w="0" w:type="auto"/>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44"/>
        <w:gridCol w:w="2244"/>
        <w:gridCol w:w="2244"/>
        <w:gridCol w:w="2057"/>
        <w:gridCol w:w="1997"/>
      </w:tblGrid>
      <w:tr w:rsidR="004E10C1" w:rsidRPr="0044524F" w14:paraId="26B5D49D" w14:textId="77777777" w:rsidTr="00A2543A">
        <w:trPr>
          <w:tblCellSpacing w:w="15" w:type="dxa"/>
          <w:jc w:val="center"/>
        </w:trPr>
        <w:tc>
          <w:tcPr>
            <w:tcW w:w="1999"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46007812"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 xml:space="preserve">Бюджетный год </w:t>
            </w:r>
          </w:p>
        </w:tc>
        <w:tc>
          <w:tcPr>
            <w:tcW w:w="221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B0B2D72"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 xml:space="preserve">Все бюджетные расходы </w:t>
            </w:r>
          </w:p>
        </w:tc>
        <w:tc>
          <w:tcPr>
            <w:tcW w:w="2214"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6DB3F44"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 xml:space="preserve">Расходы на вооружение и армию </w:t>
            </w:r>
          </w:p>
        </w:tc>
        <w:tc>
          <w:tcPr>
            <w:tcW w:w="2027"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hideMark/>
          </w:tcPr>
          <w:p w14:paraId="7416C6CD"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 xml:space="preserve">Доля военных расходов во всех расходах, % </w:t>
            </w:r>
          </w:p>
        </w:tc>
        <w:tc>
          <w:tcPr>
            <w:tcW w:w="1952" w:type="dxa"/>
            <w:vMerge w:val="restart"/>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8D5A208"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bCs/>
                <w:color w:val="000000" w:themeColor="text1"/>
                <w:sz w:val="16"/>
                <w:szCs w:val="16"/>
                <w:lang w:eastAsia="ru-RU"/>
              </w:rPr>
              <w:t xml:space="preserve">Доля военных расходов в национальном бюджете, % </w:t>
            </w:r>
          </w:p>
        </w:tc>
      </w:tr>
      <w:tr w:rsidR="004E10C1" w:rsidRPr="0044524F" w14:paraId="2D5D9879" w14:textId="77777777" w:rsidTr="00A2543A">
        <w:trPr>
          <w:tblCellSpacing w:w="15"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14:paraId="28AA5E5B"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p>
        </w:tc>
        <w:tc>
          <w:tcPr>
            <w:tcW w:w="4458" w:type="dxa"/>
            <w:gridSpan w:val="2"/>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AF2A24D"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Млрд. рейхсмарок </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39492443"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4600F256"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p>
        </w:tc>
      </w:tr>
      <w:tr w:rsidR="004E10C1" w:rsidRPr="0044524F" w14:paraId="016CAB96"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AAF1B84"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1933/34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2ABF94AF"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8,1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2B7CFA0"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1,9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0A4DCA1"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24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FB0EC79"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46,5 </w:t>
            </w:r>
          </w:p>
        </w:tc>
      </w:tr>
      <w:tr w:rsidR="004E10C1" w:rsidRPr="0044524F" w14:paraId="4C285104"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40FF53DD"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1934/35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E410BDF"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10,4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40712CFF"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1,9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0D81B50"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18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0D9C9C64"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52,8 </w:t>
            </w:r>
          </w:p>
        </w:tc>
      </w:tr>
      <w:tr w:rsidR="004E10C1" w:rsidRPr="0044524F" w14:paraId="04B54920"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41B8D222"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1935/36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6A62275C"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12,8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28CD96D"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4,0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007DFEBF"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31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CA2982F"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59,1 </w:t>
            </w:r>
          </w:p>
        </w:tc>
      </w:tr>
      <w:tr w:rsidR="004E10C1" w:rsidRPr="0044524F" w14:paraId="465058BA"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9C30DFE"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1936/37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0AFC9A0D"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15,8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7AE90DC"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5,8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EF7FAE0"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37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2A602AA2"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65,8 </w:t>
            </w:r>
          </w:p>
        </w:tc>
      </w:tr>
      <w:tr w:rsidR="004E10C1" w:rsidRPr="0044524F" w14:paraId="3A0F66BB"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368A32D"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1937/38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048B364"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20,1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016C616"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8,2 </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34BA3420"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41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666E8C76"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73,8 </w:t>
            </w:r>
          </w:p>
        </w:tc>
      </w:tr>
      <w:tr w:rsidR="004E10C1" w:rsidRPr="0044524F" w14:paraId="62603217" w14:textId="77777777" w:rsidTr="00A2543A">
        <w:trPr>
          <w:tblCellSpacing w:w="15" w:type="dxa"/>
          <w:jc w:val="center"/>
        </w:trPr>
        <w:tc>
          <w:tcPr>
            <w:tcW w:w="1999"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BE4E1EE"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1938/39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16BC6B0A"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31,8 </w:t>
            </w:r>
          </w:p>
        </w:tc>
        <w:tc>
          <w:tcPr>
            <w:tcW w:w="2214"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563109C"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18,4</w:t>
            </w:r>
            <w:r w:rsidRPr="0044524F">
              <w:rPr>
                <w:rFonts w:ascii="Times New Roman" w:eastAsia="Times New Roman" w:hAnsi="Times New Roman"/>
                <w:color w:val="000000" w:themeColor="text1"/>
                <w:sz w:val="16"/>
                <w:szCs w:val="16"/>
                <w:vertAlign w:val="superscript"/>
                <w:lang w:eastAsia="ru-RU"/>
              </w:rPr>
              <w:t>1</w:t>
            </w:r>
          </w:p>
        </w:tc>
        <w:tc>
          <w:tcPr>
            <w:tcW w:w="2027"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5481106E"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58 </w:t>
            </w:r>
          </w:p>
        </w:tc>
        <w:tc>
          <w:tcPr>
            <w:tcW w:w="1952"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hideMark/>
          </w:tcPr>
          <w:p w14:paraId="76602B0B"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 xml:space="preserve">82,1 </w:t>
            </w:r>
          </w:p>
        </w:tc>
      </w:tr>
    </w:tbl>
    <w:p w14:paraId="1F6E882E" w14:textId="77777777" w:rsidR="00E96D40" w:rsidRPr="0044524F" w:rsidRDefault="00E96D40" w:rsidP="009654CF">
      <w:pPr>
        <w:spacing w:after="0" w:line="240" w:lineRule="auto"/>
        <w:jc w:val="both"/>
        <w:rPr>
          <w:rFonts w:ascii="Times New Roman" w:eastAsia="Times New Roman" w:hAnsi="Times New Roman"/>
          <w:color w:val="000000" w:themeColor="text1"/>
          <w:sz w:val="16"/>
          <w:szCs w:val="16"/>
          <w:lang w:eastAsia="ru-RU"/>
        </w:rPr>
      </w:pPr>
      <w:r w:rsidRPr="0044524F">
        <w:rPr>
          <w:rFonts w:ascii="Times New Roman" w:eastAsia="Times New Roman" w:hAnsi="Times New Roman"/>
          <w:color w:val="000000" w:themeColor="text1"/>
          <w:sz w:val="16"/>
          <w:szCs w:val="16"/>
          <w:lang w:eastAsia="ru-RU"/>
        </w:rPr>
        <w:t>Шахт в мемуарах указывает, что военные раснходы за 1938/39 г. составили лишь 11 млрд. рейхсмарок.</w:t>
      </w:r>
    </w:p>
    <w:p w14:paraId="6E6B0ECC" w14:textId="1453DD82" w:rsidR="00E96D40" w:rsidRPr="0044524F" w:rsidRDefault="00E96D40" w:rsidP="009654CF">
      <w:pPr>
        <w:autoSpaceDE w:val="0"/>
        <w:autoSpaceDN w:val="0"/>
        <w:adjustRightInd w:val="0"/>
        <w:spacing w:after="0" w:line="240" w:lineRule="auto"/>
        <w:jc w:val="both"/>
        <w:rPr>
          <w:rFonts w:ascii="Times New Roman" w:hAnsi="Times New Roman"/>
          <w:color w:val="000000" w:themeColor="text1"/>
          <w:sz w:val="16"/>
          <w:szCs w:val="16"/>
          <w:lang w:val="en-US"/>
        </w:rPr>
      </w:pPr>
      <w:r w:rsidRPr="0044524F">
        <w:rPr>
          <w:rFonts w:ascii="Times New Roman" w:eastAsia="Times New Roman" w:hAnsi="Times New Roman"/>
          <w:color w:val="000000" w:themeColor="text1"/>
          <w:sz w:val="16"/>
          <w:szCs w:val="16"/>
          <w:lang w:eastAsia="ru-RU"/>
        </w:rPr>
        <w:t>Источник</w:t>
      </w:r>
      <w:r w:rsidRPr="0044524F">
        <w:rPr>
          <w:rFonts w:ascii="Times New Roman" w:eastAsia="Times New Roman" w:hAnsi="Times New Roman"/>
          <w:color w:val="000000" w:themeColor="text1"/>
          <w:sz w:val="16"/>
          <w:szCs w:val="16"/>
          <w:lang w:val="en-US" w:eastAsia="ru-RU"/>
        </w:rPr>
        <w:t>:</w:t>
      </w:r>
      <w:r w:rsidR="0088747B">
        <w:rPr>
          <w:rFonts w:ascii="Times New Roman" w:eastAsia="Times New Roman" w:hAnsi="Times New Roman"/>
          <w:color w:val="000000" w:themeColor="text1"/>
          <w:sz w:val="16"/>
          <w:szCs w:val="16"/>
          <w:lang w:val="en-US" w:eastAsia="ru-RU"/>
        </w:rPr>
        <w:t xml:space="preserve"> </w:t>
      </w:r>
      <w:r w:rsidRPr="0044524F">
        <w:rPr>
          <w:rFonts w:ascii="Times New Roman" w:eastAsia="Times New Roman" w:hAnsi="Times New Roman"/>
          <w:color w:val="000000" w:themeColor="text1"/>
          <w:sz w:val="16"/>
          <w:szCs w:val="16"/>
          <w:lang w:val="en-US" w:eastAsia="ru-RU"/>
        </w:rPr>
        <w:t xml:space="preserve"> лStatistisches Handbuch von Deutschlatid╗, S. 555, 600</w:t>
      </w:r>
    </w:p>
    <w:p w14:paraId="1C2389E5" w14:textId="77777777" w:rsidR="00E96D40" w:rsidRPr="0044524F" w:rsidRDefault="00E96D40" w:rsidP="009654CF">
      <w:pPr>
        <w:autoSpaceDE w:val="0"/>
        <w:autoSpaceDN w:val="0"/>
        <w:adjustRightInd w:val="0"/>
        <w:spacing w:after="0" w:line="240" w:lineRule="auto"/>
        <w:jc w:val="both"/>
        <w:rPr>
          <w:rFonts w:ascii="Times New Roman" w:hAnsi="Times New Roman"/>
          <w:color w:val="000000" w:themeColor="text1"/>
          <w:sz w:val="16"/>
          <w:szCs w:val="16"/>
          <w:lang w:val="en-US"/>
        </w:rPr>
      </w:pPr>
    </w:p>
    <w:p w14:paraId="1A6DCB51" w14:textId="77777777" w:rsidR="002E2083" w:rsidRPr="0044524F" w:rsidRDefault="002E2083" w:rsidP="009654CF">
      <w:pPr>
        <w:autoSpaceDE w:val="0"/>
        <w:autoSpaceDN w:val="0"/>
        <w:adjustRightInd w:val="0"/>
        <w:spacing w:after="0" w:line="240" w:lineRule="auto"/>
        <w:jc w:val="both"/>
        <w:rPr>
          <w:rFonts w:ascii="Times New Roman" w:hAnsi="Times New Roman"/>
          <w:color w:val="000000" w:themeColor="text1"/>
          <w:sz w:val="16"/>
          <w:szCs w:val="16"/>
        </w:rPr>
      </w:pPr>
      <w:r w:rsidRPr="0044524F">
        <w:rPr>
          <w:rFonts w:ascii="Times New Roman" w:hAnsi="Times New Roman"/>
          <w:color w:val="000000" w:themeColor="text1"/>
          <w:sz w:val="16"/>
          <w:szCs w:val="16"/>
        </w:rPr>
        <w:t>Вновь вернулись к соревнованию в опытном строительстве, дальше развили специализированные институты и заводы. Смерть П.И.Баранова невольно привела к руководству "серых кардиналов" и тем самым усилила личную роль И.В.С.</w:t>
      </w:r>
    </w:p>
    <w:p w14:paraId="011DB3F4" w14:textId="77777777" w:rsidR="007E5FA7" w:rsidRPr="0044524F" w:rsidRDefault="007E5FA7" w:rsidP="009654CF">
      <w:pPr>
        <w:numPr>
          <w:ilvl w:val="12"/>
          <w:numId w:val="0"/>
        </w:numPr>
        <w:autoSpaceDE w:val="0"/>
        <w:autoSpaceDN w:val="0"/>
        <w:adjustRightInd w:val="0"/>
        <w:spacing w:after="0" w:line="240" w:lineRule="auto"/>
        <w:jc w:val="both"/>
        <w:rPr>
          <w:rFonts w:ascii="Times New Roman" w:hAnsi="Times New Roman"/>
          <w:color w:val="000000" w:themeColor="text1"/>
          <w:sz w:val="16"/>
          <w:szCs w:val="16"/>
        </w:rPr>
      </w:pPr>
    </w:p>
    <w:sectPr w:rsidR="007E5FA7" w:rsidRPr="0044524F" w:rsidSect="00691813">
      <w:pgSz w:w="11906" w:h="16838"/>
      <w:pgMar w:top="567" w:right="284" w:bottom="567" w:left="28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PragmaticaCTT">
    <w:altName w:val="Calibri"/>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Franklin Gothic Demi">
    <w:panose1 w:val="020B0703020102020204"/>
    <w:charset w:val="CC"/>
    <w:family w:val="swiss"/>
    <w:pitch w:val="variable"/>
    <w:sig w:usb0="00000287" w:usb1="00000000" w:usb2="00000000" w:usb3="00000000" w:csb0="0000009F" w:csb1="00000000"/>
  </w:font>
  <w:font w:name="MS Mincho">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panose1 w:val="020B0600000101010101"/>
    <w:charset w:val="81"/>
    <w:family w:val="swiss"/>
    <w:pitch w:val="variable"/>
    <w:sig w:usb0="B00002AF" w:usb1="69D77CFB" w:usb2="00000030" w:usb3="00000000" w:csb0="0008009F" w:csb1="00000000"/>
  </w:font>
  <w:font w:name="Batang">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Century Gothic">
    <w:panose1 w:val="020B050202020202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TimesNewRoman">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0" w:usb1="08070000" w:usb2="00000010" w:usb3="00000000" w:csb0="0002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31400"/>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 w15:restartNumberingAfterBreak="0">
    <w:nsid w:val="002257E1"/>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 w15:restartNumberingAfterBreak="0">
    <w:nsid w:val="01EB3EE0"/>
    <w:multiLevelType w:val="multilevel"/>
    <w:tmpl w:val="ADBC70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A63CB9"/>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 w15:restartNumberingAfterBreak="0">
    <w:nsid w:val="0467060D"/>
    <w:multiLevelType w:val="singleLevel"/>
    <w:tmpl w:val="C37CE35A"/>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5" w15:restartNumberingAfterBreak="0">
    <w:nsid w:val="0649444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 w15:restartNumberingAfterBreak="0">
    <w:nsid w:val="06633C7E"/>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 w15:restartNumberingAfterBreak="0">
    <w:nsid w:val="071F64CA"/>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 w15:restartNumberingAfterBreak="0">
    <w:nsid w:val="079513A3"/>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 w15:restartNumberingAfterBreak="0">
    <w:nsid w:val="08FC5AA7"/>
    <w:multiLevelType w:val="multilevel"/>
    <w:tmpl w:val="F3CA3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9400F0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 w15:restartNumberingAfterBreak="0">
    <w:nsid w:val="0C1774BE"/>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2" w15:restartNumberingAfterBreak="0">
    <w:nsid w:val="0C303646"/>
    <w:multiLevelType w:val="multilevel"/>
    <w:tmpl w:val="9E84B754"/>
    <w:lvl w:ilvl="0">
      <w:start w:val="1"/>
      <w:numFmt w:val="bullet"/>
      <w:lvlText w:val="—"/>
      <w:lvlJc w:val="left"/>
      <w:rPr>
        <w:rFonts w:ascii="Arial" w:eastAsia="Arial" w:hAnsi="Arial" w:cs="Arial"/>
        <w:b w:val="0"/>
        <w:bCs w:val="0"/>
        <w:i w:val="0"/>
        <w:iCs w:val="0"/>
        <w:smallCaps w:val="0"/>
        <w:strike w:val="0"/>
        <w:color w:val="000000"/>
        <w:spacing w:val="0"/>
        <w:w w:val="100"/>
        <w:position w:val="0"/>
        <w:sz w:val="19"/>
        <w:szCs w:val="19"/>
        <w:u w:val="none"/>
      </w:rPr>
    </w:lvl>
    <w:lvl w:ilvl="1">
      <w:start w:val="2"/>
      <w:numFmt w:val="decimal"/>
      <w:lvlText w:val="%2."/>
      <w:lvlJc w:val="left"/>
      <w:rPr>
        <w:rFonts w:ascii="Arial" w:eastAsia="Arial" w:hAnsi="Arial" w:cs="Arial"/>
        <w:b w:val="0"/>
        <w:bCs w:val="0"/>
        <w:i w:val="0"/>
        <w:iCs w:val="0"/>
        <w:smallCaps w:val="0"/>
        <w:strike w:val="0"/>
        <w:color w:val="000000"/>
        <w:spacing w:val="0"/>
        <w:w w:val="100"/>
        <w:position w:val="0"/>
        <w:sz w:val="19"/>
        <w:szCs w:val="19"/>
        <w:u w:val="none"/>
      </w:rPr>
    </w:lvl>
    <w:lvl w:ilvl="2">
      <w:start w:val="1"/>
      <w:numFmt w:val="decimal"/>
      <w:lvlText w:val="%3."/>
      <w:lvlJc w:val="left"/>
      <w:rPr>
        <w:rFonts w:ascii="Arial" w:eastAsia="Arial" w:hAnsi="Arial" w:cs="Arial"/>
        <w:b w:val="0"/>
        <w:bCs w:val="0"/>
        <w:i w:val="0"/>
        <w:iCs w:val="0"/>
        <w:smallCaps w:val="0"/>
        <w:strike w:val="0"/>
        <w:color w:val="000000"/>
        <w:spacing w:val="0"/>
        <w:w w:val="100"/>
        <w:position w:val="0"/>
        <w:sz w:val="19"/>
        <w:szCs w:val="19"/>
        <w:u w:val="none"/>
      </w:rPr>
    </w:lvl>
    <w:lvl w:ilvl="3">
      <w:start w:val="2"/>
      <w:numFmt w:val="decimal"/>
      <w:lvlText w:val="%4."/>
      <w:lvlJc w:val="left"/>
      <w:rPr>
        <w:rFonts w:ascii="Arial" w:eastAsia="Arial" w:hAnsi="Arial" w:cs="Arial"/>
        <w:b w:val="0"/>
        <w:bCs w:val="0"/>
        <w:i w:val="0"/>
        <w:iCs w:val="0"/>
        <w:smallCaps w:val="0"/>
        <w:strike w:val="0"/>
        <w:color w:val="000000"/>
        <w:spacing w:val="0"/>
        <w:w w:val="100"/>
        <w:position w:val="0"/>
        <w:sz w:val="19"/>
        <w:szCs w:val="19"/>
        <w:u w:val="none"/>
      </w:rPr>
    </w:lvl>
    <w:lvl w:ilvl="4">
      <w:start w:val="2"/>
      <w:numFmt w:val="decimal"/>
      <w:lvlText w:val="%5."/>
      <w:lvlJc w:val="left"/>
      <w:rPr>
        <w:rFonts w:ascii="Arial" w:eastAsia="Arial" w:hAnsi="Arial" w:cs="Arial"/>
        <w:b w:val="0"/>
        <w:bCs w:val="0"/>
        <w:i w:val="0"/>
        <w:iCs w:val="0"/>
        <w:smallCaps w:val="0"/>
        <w:strike w:val="0"/>
        <w:color w:val="000000"/>
        <w:spacing w:val="0"/>
        <w:w w:val="100"/>
        <w:position w:val="0"/>
        <w:sz w:val="19"/>
        <w:szCs w:val="19"/>
        <w:u w:val="none"/>
      </w:rPr>
    </w:lvl>
    <w:lvl w:ilvl="5">
      <w:start w:val="9"/>
      <w:numFmt w:val="decimal"/>
      <w:lvlText w:val="%6."/>
      <w:lvlJc w:val="left"/>
      <w:rPr>
        <w:rFonts w:ascii="Arial" w:eastAsia="Arial" w:hAnsi="Arial" w:cs="Arial"/>
        <w:b w:val="0"/>
        <w:bCs w:val="0"/>
        <w:i w:val="0"/>
        <w:iCs w:val="0"/>
        <w:smallCaps w:val="0"/>
        <w:strike w:val="0"/>
        <w:color w:val="000000"/>
        <w:spacing w:val="0"/>
        <w:w w:val="100"/>
        <w:position w:val="0"/>
        <w:sz w:val="19"/>
        <w:szCs w:val="19"/>
        <w:u w:val="none"/>
      </w:rPr>
    </w:lvl>
    <w:lvl w:ilvl="6">
      <w:start w:val="1"/>
      <w:numFmt w:val="decimal"/>
      <w:lvlText w:val="%7."/>
      <w:lvlJc w:val="left"/>
      <w:rPr>
        <w:rFonts w:ascii="Arial" w:eastAsia="Arial" w:hAnsi="Arial" w:cs="Arial"/>
        <w:b w:val="0"/>
        <w:bCs w:val="0"/>
        <w:i w:val="0"/>
        <w:iCs w:val="0"/>
        <w:smallCaps w:val="0"/>
        <w:strike w:val="0"/>
        <w:color w:val="000000"/>
        <w:spacing w:val="0"/>
        <w:w w:val="100"/>
        <w:position w:val="0"/>
        <w:sz w:val="19"/>
        <w:szCs w:val="19"/>
        <w:u w:val="none"/>
      </w:rPr>
    </w:lvl>
    <w:lvl w:ilvl="7">
      <w:start w:val="2"/>
      <w:numFmt w:val="decimal"/>
      <w:lvlText w:val="%8."/>
      <w:lvlJc w:val="left"/>
      <w:rPr>
        <w:rFonts w:ascii="Arial" w:eastAsia="Arial" w:hAnsi="Arial" w:cs="Arial"/>
        <w:b w:val="0"/>
        <w:bCs w:val="0"/>
        <w:i w:val="0"/>
        <w:iCs w:val="0"/>
        <w:smallCaps w:val="0"/>
        <w:strike w:val="0"/>
        <w:color w:val="000000"/>
        <w:spacing w:val="0"/>
        <w:w w:val="100"/>
        <w:position w:val="0"/>
        <w:sz w:val="19"/>
        <w:szCs w:val="19"/>
        <w:u w:val="none"/>
      </w:rPr>
    </w:lvl>
    <w:lvl w:ilvl="8">
      <w:start w:val="1"/>
      <w:numFmt w:val="decimal"/>
      <w:lvlText w:val="%9."/>
      <w:lvlJc w:val="left"/>
      <w:rPr>
        <w:rFonts w:ascii="Arial" w:eastAsia="Arial" w:hAnsi="Arial" w:cs="Arial"/>
        <w:b w:val="0"/>
        <w:bCs w:val="0"/>
        <w:i w:val="0"/>
        <w:iCs w:val="0"/>
        <w:smallCaps w:val="0"/>
        <w:strike w:val="0"/>
        <w:color w:val="000000"/>
        <w:spacing w:val="0"/>
        <w:w w:val="100"/>
        <w:position w:val="0"/>
        <w:sz w:val="19"/>
        <w:szCs w:val="19"/>
        <w:u w:val="none"/>
      </w:rPr>
    </w:lvl>
  </w:abstractNum>
  <w:abstractNum w:abstractNumId="13" w15:restartNumberingAfterBreak="0">
    <w:nsid w:val="0D094D1D"/>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 w15:restartNumberingAfterBreak="0">
    <w:nsid w:val="0F33405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 w15:restartNumberingAfterBreak="0">
    <w:nsid w:val="0F6A7C20"/>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6" w15:restartNumberingAfterBreak="0">
    <w:nsid w:val="0FF849A5"/>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7" w15:restartNumberingAfterBreak="0">
    <w:nsid w:val="109A06E0"/>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8" w15:restartNumberingAfterBreak="0">
    <w:nsid w:val="10D90A6B"/>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9" w15:restartNumberingAfterBreak="0">
    <w:nsid w:val="10DC05E3"/>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0" w15:restartNumberingAfterBreak="0">
    <w:nsid w:val="11354285"/>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1" w15:restartNumberingAfterBreak="0">
    <w:nsid w:val="11826A3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2" w15:restartNumberingAfterBreak="0">
    <w:nsid w:val="11DE1E8D"/>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3" w15:restartNumberingAfterBreak="0">
    <w:nsid w:val="146815D4"/>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24" w15:restartNumberingAfterBreak="0">
    <w:nsid w:val="15854054"/>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25" w15:restartNumberingAfterBreak="0">
    <w:nsid w:val="16346D70"/>
    <w:multiLevelType w:val="singleLevel"/>
    <w:tmpl w:val="C37CE35A"/>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26" w15:restartNumberingAfterBreak="0">
    <w:nsid w:val="163E6F1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7" w15:restartNumberingAfterBreak="0">
    <w:nsid w:val="184A74A7"/>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8" w15:restartNumberingAfterBreak="0">
    <w:nsid w:val="18DF59D9"/>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29" w15:restartNumberingAfterBreak="0">
    <w:nsid w:val="1A6F5DA1"/>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30" w15:restartNumberingAfterBreak="0">
    <w:nsid w:val="1BDE52E3"/>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1" w15:restartNumberingAfterBreak="0">
    <w:nsid w:val="1BE84630"/>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2" w15:restartNumberingAfterBreak="0">
    <w:nsid w:val="1BFC4BDC"/>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3" w15:restartNumberingAfterBreak="0">
    <w:nsid w:val="1D921321"/>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4" w15:restartNumberingAfterBreak="0">
    <w:nsid w:val="1E6F3EEA"/>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35" w15:restartNumberingAfterBreak="0">
    <w:nsid w:val="1F1A5AAA"/>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6" w15:restartNumberingAfterBreak="0">
    <w:nsid w:val="1F5D7668"/>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7" w15:restartNumberingAfterBreak="0">
    <w:nsid w:val="1F971BF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8" w15:restartNumberingAfterBreak="0">
    <w:nsid w:val="20D94F1C"/>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39" w15:restartNumberingAfterBreak="0">
    <w:nsid w:val="21795515"/>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40" w15:restartNumberingAfterBreak="0">
    <w:nsid w:val="22A07C19"/>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41" w15:restartNumberingAfterBreak="0">
    <w:nsid w:val="22C75941"/>
    <w:multiLevelType w:val="multilevel"/>
    <w:tmpl w:val="BF0813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22E5513D"/>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3" w15:restartNumberingAfterBreak="0">
    <w:nsid w:val="22FF40A9"/>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44" w15:restartNumberingAfterBreak="0">
    <w:nsid w:val="24B27474"/>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45" w15:restartNumberingAfterBreak="0">
    <w:nsid w:val="24DD71C6"/>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46" w15:restartNumberingAfterBreak="0">
    <w:nsid w:val="24FC03E5"/>
    <w:multiLevelType w:val="multilevel"/>
    <w:tmpl w:val="52E226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25FB3969"/>
    <w:multiLevelType w:val="singleLevel"/>
    <w:tmpl w:val="3B020DA4"/>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48" w15:restartNumberingAfterBreak="0">
    <w:nsid w:val="272913A2"/>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49" w15:restartNumberingAfterBreak="0">
    <w:nsid w:val="27D01296"/>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0" w15:restartNumberingAfterBreak="0">
    <w:nsid w:val="27D54DFC"/>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51" w15:restartNumberingAfterBreak="0">
    <w:nsid w:val="2A542162"/>
    <w:multiLevelType w:val="multilevel"/>
    <w:tmpl w:val="CE16D4DC"/>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15:restartNumberingAfterBreak="0">
    <w:nsid w:val="2BD5341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3" w15:restartNumberingAfterBreak="0">
    <w:nsid w:val="2D9F64C0"/>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4" w15:restartNumberingAfterBreak="0">
    <w:nsid w:val="2DA4387C"/>
    <w:multiLevelType w:val="singleLevel"/>
    <w:tmpl w:val="6240CFC0"/>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55" w15:restartNumberingAfterBreak="0">
    <w:nsid w:val="2E24491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6" w15:restartNumberingAfterBreak="0">
    <w:nsid w:val="2E703ABC"/>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7" w15:restartNumberingAfterBreak="0">
    <w:nsid w:val="2F9A70C8"/>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58" w15:restartNumberingAfterBreak="0">
    <w:nsid w:val="318749FD"/>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59" w15:restartNumberingAfterBreak="0">
    <w:nsid w:val="31AF380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0" w15:restartNumberingAfterBreak="0">
    <w:nsid w:val="31C80F57"/>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1" w15:restartNumberingAfterBreak="0">
    <w:nsid w:val="325700F6"/>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62" w15:restartNumberingAfterBreak="0">
    <w:nsid w:val="3339425B"/>
    <w:multiLevelType w:val="singleLevel"/>
    <w:tmpl w:val="9CB441D4"/>
    <w:lvl w:ilvl="0">
      <w:start w:val="1"/>
      <w:numFmt w:val="decimal"/>
      <w:lvlText w:val="%1. "/>
      <w:legacy w:legacy="1" w:legacySpace="0" w:legacyIndent="283"/>
      <w:lvlJc w:val="left"/>
      <w:pPr>
        <w:ind w:left="283" w:hanging="283"/>
      </w:pPr>
      <w:rPr>
        <w:rFonts w:ascii="Times New Roman" w:hAnsi="Times New Roman" w:cs="Times New Roman" w:hint="default"/>
        <w:b w:val="0"/>
        <w:i w:val="0"/>
        <w:sz w:val="16"/>
      </w:rPr>
    </w:lvl>
  </w:abstractNum>
  <w:abstractNum w:abstractNumId="63" w15:restartNumberingAfterBreak="0">
    <w:nsid w:val="33575FD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4" w15:restartNumberingAfterBreak="0">
    <w:nsid w:val="338F3252"/>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5" w15:restartNumberingAfterBreak="0">
    <w:nsid w:val="34433046"/>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6" w15:restartNumberingAfterBreak="0">
    <w:nsid w:val="363D6E68"/>
    <w:multiLevelType w:val="singleLevel"/>
    <w:tmpl w:val="256E397C"/>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67" w15:restartNumberingAfterBreak="0">
    <w:nsid w:val="366B666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8" w15:restartNumberingAfterBreak="0">
    <w:nsid w:val="374515D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69" w15:restartNumberingAfterBreak="0">
    <w:nsid w:val="386E00C6"/>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70" w15:restartNumberingAfterBreak="0">
    <w:nsid w:val="390838DC"/>
    <w:multiLevelType w:val="singleLevel"/>
    <w:tmpl w:val="C37CE35A"/>
    <w:lvl w:ilvl="0">
      <w:start w:val="8"/>
      <w:numFmt w:val="decimal"/>
      <w:lvlText w:val="%1."/>
      <w:legacy w:legacy="1" w:legacySpace="0" w:legacyIndent="360"/>
      <w:lvlJc w:val="left"/>
      <w:pPr>
        <w:ind w:left="360" w:hanging="360"/>
      </w:pPr>
      <w:rPr>
        <w:rFonts w:ascii="Times New Roman" w:hAnsi="Times New Roman" w:cs="Times New Roman" w:hint="default"/>
      </w:rPr>
    </w:lvl>
  </w:abstractNum>
  <w:abstractNum w:abstractNumId="71" w15:restartNumberingAfterBreak="0">
    <w:nsid w:val="39313AF1"/>
    <w:multiLevelType w:val="multilevel"/>
    <w:tmpl w:val="FF46C2E4"/>
    <w:lvl w:ilvl="0">
      <w:start w:val="1"/>
      <w:numFmt w:val="decimal"/>
      <w:lvlText w:val="%1)"/>
      <w:lvlJc w:val="left"/>
      <w:rPr>
        <w:rFonts w:ascii="Georgia" w:eastAsia="Georgia" w:hAnsi="Georgia" w:cs="Georgia"/>
        <w:b w:val="0"/>
        <w:bCs w:val="0"/>
        <w:i/>
        <w:iCs/>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15:restartNumberingAfterBreak="0">
    <w:nsid w:val="3EEA470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3" w15:restartNumberingAfterBreak="0">
    <w:nsid w:val="3F7D71E5"/>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4" w15:restartNumberingAfterBreak="0">
    <w:nsid w:val="3FE15C0E"/>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75" w15:restartNumberingAfterBreak="0">
    <w:nsid w:val="40F70C80"/>
    <w:multiLevelType w:val="singleLevel"/>
    <w:tmpl w:val="15E68EC2"/>
    <w:lvl w:ilvl="0">
      <w:start w:val="1"/>
      <w:numFmt w:val="upperRoman"/>
      <w:lvlText w:val="%1."/>
      <w:legacy w:legacy="1" w:legacySpace="0" w:legacyIndent="720"/>
      <w:lvlJc w:val="left"/>
      <w:pPr>
        <w:ind w:left="720" w:hanging="720"/>
      </w:pPr>
      <w:rPr>
        <w:rFonts w:ascii="Times New Roman" w:hAnsi="Times New Roman" w:cs="Times New Roman" w:hint="default"/>
      </w:rPr>
    </w:lvl>
  </w:abstractNum>
  <w:abstractNum w:abstractNumId="76" w15:restartNumberingAfterBreak="0">
    <w:nsid w:val="4191242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7" w15:restartNumberingAfterBreak="0">
    <w:nsid w:val="42FB60F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78" w15:restartNumberingAfterBreak="0">
    <w:nsid w:val="42FD25E4"/>
    <w:multiLevelType w:val="multilevel"/>
    <w:tmpl w:val="88161A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44FE0EBF"/>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0" w15:restartNumberingAfterBreak="0">
    <w:nsid w:val="4532593D"/>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1" w15:restartNumberingAfterBreak="0">
    <w:nsid w:val="453F573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2" w15:restartNumberingAfterBreak="0">
    <w:nsid w:val="45A643F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3" w15:restartNumberingAfterBreak="0">
    <w:nsid w:val="45DB1D0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4" w15:restartNumberingAfterBreak="0">
    <w:nsid w:val="474F5DE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5" w15:restartNumberingAfterBreak="0">
    <w:nsid w:val="477C2C6A"/>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86" w15:restartNumberingAfterBreak="0">
    <w:nsid w:val="48B16053"/>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87" w15:restartNumberingAfterBreak="0">
    <w:nsid w:val="49447572"/>
    <w:multiLevelType w:val="singleLevel"/>
    <w:tmpl w:val="34D2EDBE"/>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88" w15:restartNumberingAfterBreak="0">
    <w:nsid w:val="4AB07D26"/>
    <w:multiLevelType w:val="singleLevel"/>
    <w:tmpl w:val="DAD80930"/>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89" w15:restartNumberingAfterBreak="0">
    <w:nsid w:val="4B0E1A64"/>
    <w:multiLevelType w:val="singleLevel"/>
    <w:tmpl w:val="34D2EDBE"/>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0" w15:restartNumberingAfterBreak="0">
    <w:nsid w:val="4B511CB0"/>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1" w15:restartNumberingAfterBreak="0">
    <w:nsid w:val="4C220464"/>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2" w15:restartNumberingAfterBreak="0">
    <w:nsid w:val="4C297E2C"/>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3" w15:restartNumberingAfterBreak="0">
    <w:nsid w:val="4CD433B1"/>
    <w:multiLevelType w:val="multilevel"/>
    <w:tmpl w:val="9174A3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4DC12C15"/>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95" w15:restartNumberingAfterBreak="0">
    <w:nsid w:val="4E8E6D47"/>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6" w15:restartNumberingAfterBreak="0">
    <w:nsid w:val="5008154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7" w15:restartNumberingAfterBreak="0">
    <w:nsid w:val="506F7546"/>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98" w15:restartNumberingAfterBreak="0">
    <w:nsid w:val="513B0B9C"/>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99" w15:restartNumberingAfterBreak="0">
    <w:nsid w:val="51590381"/>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0" w15:restartNumberingAfterBreak="0">
    <w:nsid w:val="52996FD8"/>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1" w15:restartNumberingAfterBreak="0">
    <w:nsid w:val="529E4B37"/>
    <w:multiLevelType w:val="singleLevel"/>
    <w:tmpl w:val="6240CFC0"/>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02" w15:restartNumberingAfterBreak="0">
    <w:nsid w:val="557F26B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3" w15:restartNumberingAfterBreak="0">
    <w:nsid w:val="55EC152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4" w15:restartNumberingAfterBreak="0">
    <w:nsid w:val="55FB462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5" w15:restartNumberingAfterBreak="0">
    <w:nsid w:val="575A6A0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6" w15:restartNumberingAfterBreak="0">
    <w:nsid w:val="57AC298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7" w15:restartNumberingAfterBreak="0">
    <w:nsid w:val="57DF4BCE"/>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08" w15:restartNumberingAfterBreak="0">
    <w:nsid w:val="58405E37"/>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09" w15:restartNumberingAfterBreak="0">
    <w:nsid w:val="593E7457"/>
    <w:multiLevelType w:val="singleLevel"/>
    <w:tmpl w:val="F13635C4"/>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10" w15:restartNumberingAfterBreak="0">
    <w:nsid w:val="596C4069"/>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11" w15:restartNumberingAfterBreak="0">
    <w:nsid w:val="59834BC6"/>
    <w:multiLevelType w:val="singleLevel"/>
    <w:tmpl w:val="34D2EDBE"/>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12" w15:restartNumberingAfterBreak="0">
    <w:nsid w:val="59E44A2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3" w15:restartNumberingAfterBreak="0">
    <w:nsid w:val="5A1D5B9A"/>
    <w:multiLevelType w:val="singleLevel"/>
    <w:tmpl w:val="C37CE35A"/>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14" w15:restartNumberingAfterBreak="0">
    <w:nsid w:val="5AD31EBD"/>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5" w15:restartNumberingAfterBreak="0">
    <w:nsid w:val="5B23213E"/>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6" w15:restartNumberingAfterBreak="0">
    <w:nsid w:val="5B8C4F67"/>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7" w15:restartNumberingAfterBreak="0">
    <w:nsid w:val="5BFA4C93"/>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8" w15:restartNumberingAfterBreak="0">
    <w:nsid w:val="5C740C09"/>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19" w15:restartNumberingAfterBreak="0">
    <w:nsid w:val="5D1A69CB"/>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0" w15:restartNumberingAfterBreak="0">
    <w:nsid w:val="5E873D53"/>
    <w:multiLevelType w:val="singleLevel"/>
    <w:tmpl w:val="34D2EDBE"/>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1" w15:restartNumberingAfterBreak="0">
    <w:nsid w:val="5F3A7DB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2" w15:restartNumberingAfterBreak="0">
    <w:nsid w:val="5F9F2F0D"/>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23" w15:restartNumberingAfterBreak="0">
    <w:nsid w:val="5FB319FD"/>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4" w15:restartNumberingAfterBreak="0">
    <w:nsid w:val="601F42A5"/>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5" w15:restartNumberingAfterBreak="0">
    <w:nsid w:val="608E7047"/>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6" w15:restartNumberingAfterBreak="0">
    <w:nsid w:val="60904BA2"/>
    <w:multiLevelType w:val="singleLevel"/>
    <w:tmpl w:val="34D2EDBE"/>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27" w15:restartNumberingAfterBreak="0">
    <w:nsid w:val="60AB3895"/>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28" w15:restartNumberingAfterBreak="0">
    <w:nsid w:val="60FF56D6"/>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29" w15:restartNumberingAfterBreak="0">
    <w:nsid w:val="62BC04C9"/>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0" w15:restartNumberingAfterBreak="0">
    <w:nsid w:val="63003DE0"/>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1" w15:restartNumberingAfterBreak="0">
    <w:nsid w:val="634469E5"/>
    <w:multiLevelType w:val="singleLevel"/>
    <w:tmpl w:val="4208849C"/>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2" w15:restartNumberingAfterBreak="0">
    <w:nsid w:val="63BB43AC"/>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3" w15:restartNumberingAfterBreak="0">
    <w:nsid w:val="65C6310E"/>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4" w15:restartNumberingAfterBreak="0">
    <w:nsid w:val="662D1140"/>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35" w15:restartNumberingAfterBreak="0">
    <w:nsid w:val="66767900"/>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36" w15:restartNumberingAfterBreak="0">
    <w:nsid w:val="676E2727"/>
    <w:multiLevelType w:val="singleLevel"/>
    <w:tmpl w:val="F57C47A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7" w15:restartNumberingAfterBreak="0">
    <w:nsid w:val="67B608AF"/>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38" w15:restartNumberingAfterBreak="0">
    <w:nsid w:val="68E4468F"/>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39" w15:restartNumberingAfterBreak="0">
    <w:nsid w:val="69BE5C56"/>
    <w:multiLevelType w:val="singleLevel"/>
    <w:tmpl w:val="34D2EDBE"/>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40" w15:restartNumberingAfterBreak="0">
    <w:nsid w:val="6CAE1C24"/>
    <w:multiLevelType w:val="singleLevel"/>
    <w:tmpl w:val="C37CE35A"/>
    <w:lvl w:ilvl="0">
      <w:start w:val="4"/>
      <w:numFmt w:val="decimal"/>
      <w:lvlText w:val="%1."/>
      <w:legacy w:legacy="1" w:legacySpace="0" w:legacyIndent="360"/>
      <w:lvlJc w:val="left"/>
      <w:pPr>
        <w:ind w:left="360" w:hanging="360"/>
      </w:pPr>
      <w:rPr>
        <w:rFonts w:ascii="Times New Roman" w:hAnsi="Times New Roman" w:cs="Times New Roman" w:hint="default"/>
      </w:rPr>
    </w:lvl>
  </w:abstractNum>
  <w:abstractNum w:abstractNumId="141" w15:restartNumberingAfterBreak="0">
    <w:nsid w:val="6D5D68F1"/>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2" w15:restartNumberingAfterBreak="0">
    <w:nsid w:val="6FDA3F80"/>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3" w15:restartNumberingAfterBreak="0">
    <w:nsid w:val="700076AD"/>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4" w15:restartNumberingAfterBreak="0">
    <w:nsid w:val="705B1D5B"/>
    <w:multiLevelType w:val="singleLevel"/>
    <w:tmpl w:val="4208849C"/>
    <w:lvl w:ilvl="0">
      <w:start w:val="2"/>
      <w:numFmt w:val="decimal"/>
      <w:lvlText w:val="%1."/>
      <w:legacy w:legacy="1" w:legacySpace="0" w:legacyIndent="360"/>
      <w:lvlJc w:val="left"/>
      <w:pPr>
        <w:ind w:left="360" w:hanging="360"/>
      </w:pPr>
      <w:rPr>
        <w:rFonts w:ascii="Times New Roman" w:hAnsi="Times New Roman" w:cs="Times New Roman" w:hint="default"/>
      </w:rPr>
    </w:lvl>
  </w:abstractNum>
  <w:abstractNum w:abstractNumId="145" w15:restartNumberingAfterBreak="0">
    <w:nsid w:val="72126638"/>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6" w15:restartNumberingAfterBreak="0">
    <w:nsid w:val="72853378"/>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7" w15:restartNumberingAfterBreak="0">
    <w:nsid w:val="73030DCE"/>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48" w15:restartNumberingAfterBreak="0">
    <w:nsid w:val="731A0870"/>
    <w:multiLevelType w:val="singleLevel"/>
    <w:tmpl w:val="15E68EC2"/>
    <w:lvl w:ilvl="0">
      <w:start w:val="1"/>
      <w:numFmt w:val="upperRoman"/>
      <w:lvlText w:val="%1."/>
      <w:legacy w:legacy="1" w:legacySpace="0" w:legacyIndent="720"/>
      <w:lvlJc w:val="left"/>
      <w:pPr>
        <w:ind w:left="720" w:hanging="720"/>
      </w:pPr>
      <w:rPr>
        <w:rFonts w:ascii="Times New Roman" w:hAnsi="Times New Roman" w:cs="Times New Roman" w:hint="default"/>
      </w:rPr>
    </w:lvl>
  </w:abstractNum>
  <w:abstractNum w:abstractNumId="149" w15:restartNumberingAfterBreak="0">
    <w:nsid w:val="74065D32"/>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0" w15:restartNumberingAfterBreak="0">
    <w:nsid w:val="7476210C"/>
    <w:multiLevelType w:val="singleLevel"/>
    <w:tmpl w:val="256E397C"/>
    <w:lvl w:ilvl="0">
      <w:start w:val="9"/>
      <w:numFmt w:val="decimal"/>
      <w:lvlText w:val="%1."/>
      <w:legacy w:legacy="1" w:legacySpace="0" w:legacyIndent="360"/>
      <w:lvlJc w:val="left"/>
      <w:pPr>
        <w:ind w:left="360" w:hanging="360"/>
      </w:pPr>
      <w:rPr>
        <w:rFonts w:ascii="Times New Roman" w:hAnsi="Times New Roman" w:cs="Times New Roman" w:hint="default"/>
      </w:rPr>
    </w:lvl>
  </w:abstractNum>
  <w:abstractNum w:abstractNumId="151" w15:restartNumberingAfterBreak="0">
    <w:nsid w:val="74B80AC2"/>
    <w:multiLevelType w:val="singleLevel"/>
    <w:tmpl w:val="C37CE35A"/>
    <w:lvl w:ilvl="0">
      <w:start w:val="3"/>
      <w:numFmt w:val="decimal"/>
      <w:lvlText w:val="%1."/>
      <w:legacy w:legacy="1" w:legacySpace="0" w:legacyIndent="360"/>
      <w:lvlJc w:val="left"/>
      <w:pPr>
        <w:ind w:left="360" w:hanging="360"/>
      </w:pPr>
      <w:rPr>
        <w:rFonts w:ascii="Times New Roman" w:hAnsi="Times New Roman" w:cs="Times New Roman" w:hint="default"/>
      </w:rPr>
    </w:lvl>
  </w:abstractNum>
  <w:abstractNum w:abstractNumId="152" w15:restartNumberingAfterBreak="0">
    <w:nsid w:val="75F93355"/>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53" w15:restartNumberingAfterBreak="0">
    <w:nsid w:val="762655B1"/>
    <w:multiLevelType w:val="singleLevel"/>
    <w:tmpl w:val="44FA896A"/>
    <w:lvl w:ilvl="0">
      <w:start w:val="7"/>
      <w:numFmt w:val="decimal"/>
      <w:lvlText w:val="%1."/>
      <w:legacy w:legacy="1" w:legacySpace="0" w:legacyIndent="360"/>
      <w:lvlJc w:val="left"/>
      <w:pPr>
        <w:ind w:left="360" w:hanging="360"/>
      </w:pPr>
      <w:rPr>
        <w:rFonts w:ascii="Times New Roman" w:hAnsi="Times New Roman" w:cs="Times New Roman" w:hint="default"/>
      </w:rPr>
    </w:lvl>
  </w:abstractNum>
  <w:abstractNum w:abstractNumId="154" w15:restartNumberingAfterBreak="0">
    <w:nsid w:val="7704388F"/>
    <w:multiLevelType w:val="singleLevel"/>
    <w:tmpl w:val="C37CE35A"/>
    <w:lvl w:ilvl="0">
      <w:start w:val="5"/>
      <w:numFmt w:val="decimal"/>
      <w:lvlText w:val="%1."/>
      <w:legacy w:legacy="1" w:legacySpace="0" w:legacyIndent="360"/>
      <w:lvlJc w:val="left"/>
      <w:pPr>
        <w:ind w:left="360" w:hanging="360"/>
      </w:pPr>
      <w:rPr>
        <w:rFonts w:ascii="Times New Roman" w:hAnsi="Times New Roman" w:cs="Times New Roman" w:hint="default"/>
      </w:rPr>
    </w:lvl>
  </w:abstractNum>
  <w:abstractNum w:abstractNumId="155" w15:restartNumberingAfterBreak="0">
    <w:nsid w:val="78774BF8"/>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6" w15:restartNumberingAfterBreak="0">
    <w:nsid w:val="799350BF"/>
    <w:multiLevelType w:val="singleLevel"/>
    <w:tmpl w:val="9AB0EF7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7" w15:restartNumberingAfterBreak="0">
    <w:nsid w:val="7B193397"/>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58" w15:restartNumberingAfterBreak="0">
    <w:nsid w:val="7C627E9B"/>
    <w:multiLevelType w:val="singleLevel"/>
    <w:tmpl w:val="C37CE35A"/>
    <w:lvl w:ilvl="0">
      <w:start w:val="6"/>
      <w:numFmt w:val="decimal"/>
      <w:lvlText w:val="%1."/>
      <w:legacy w:legacy="1" w:legacySpace="0" w:legacyIndent="360"/>
      <w:lvlJc w:val="left"/>
      <w:pPr>
        <w:ind w:left="360" w:hanging="360"/>
      </w:pPr>
      <w:rPr>
        <w:rFonts w:ascii="Times New Roman" w:hAnsi="Times New Roman" w:cs="Times New Roman" w:hint="default"/>
      </w:rPr>
    </w:lvl>
  </w:abstractNum>
  <w:abstractNum w:abstractNumId="159" w15:restartNumberingAfterBreak="0">
    <w:nsid w:val="7DE914BF"/>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0" w15:restartNumberingAfterBreak="0">
    <w:nsid w:val="7F5C53EA"/>
    <w:multiLevelType w:val="singleLevel"/>
    <w:tmpl w:val="4DA4ED98"/>
    <w:lvl w:ilvl="0">
      <w:start w:val="1"/>
      <w:numFmt w:val="decimal"/>
      <w:lvlText w:val="%1."/>
      <w:legacy w:legacy="1" w:legacySpace="0" w:legacyIndent="360"/>
      <w:lvlJc w:val="left"/>
      <w:pPr>
        <w:ind w:left="360" w:hanging="360"/>
      </w:pPr>
      <w:rPr>
        <w:rFonts w:ascii="Times New Roman" w:hAnsi="Times New Roman" w:cs="Times New Roman" w:hint="default"/>
      </w:rPr>
    </w:lvl>
  </w:abstractNum>
  <w:abstractNum w:abstractNumId="161" w15:restartNumberingAfterBreak="0">
    <w:nsid w:val="7FAB0AFA"/>
    <w:multiLevelType w:val="singleLevel"/>
    <w:tmpl w:val="C37CE35A"/>
    <w:lvl w:ilvl="0">
      <w:start w:val="1"/>
      <w:numFmt w:val="decimal"/>
      <w:lvlText w:val="%1."/>
      <w:legacy w:legacy="1" w:legacySpace="0" w:legacyIndent="360"/>
      <w:lvlJc w:val="left"/>
      <w:pPr>
        <w:ind w:left="360" w:hanging="360"/>
      </w:pPr>
      <w:rPr>
        <w:rFonts w:ascii="Times New Roman" w:hAnsi="Times New Roman" w:cs="Times New Roman" w:hint="default"/>
      </w:rPr>
    </w:lvl>
  </w:abstractNum>
  <w:num w:numId="1" w16cid:durableId="71895538">
    <w:abstractNumId w:val="10"/>
  </w:num>
  <w:num w:numId="2" w16cid:durableId="1008752314">
    <w:abstractNumId w:val="1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 w16cid:durableId="1123694825">
    <w:abstractNumId w:val="1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 w16cid:durableId="655186177">
    <w:abstractNumId w:val="1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5" w16cid:durableId="1739549359">
    <w:abstractNumId w:val="109"/>
  </w:num>
  <w:num w:numId="6" w16cid:durableId="1045175889">
    <w:abstractNumId w:val="155"/>
  </w:num>
  <w:num w:numId="7" w16cid:durableId="1301036163">
    <w:abstractNumId w:val="15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 w16cid:durableId="1172843269">
    <w:abstractNumId w:val="15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 w16cid:durableId="1450121429">
    <w:abstractNumId w:val="88"/>
  </w:num>
  <w:num w:numId="10" w16cid:durableId="1665549209">
    <w:abstractNumId w:val="153"/>
  </w:num>
  <w:num w:numId="11" w16cid:durableId="1489057972">
    <w:abstractNumId w:val="47"/>
  </w:num>
  <w:num w:numId="12" w16cid:durableId="228272520">
    <w:abstractNumId w:val="81"/>
  </w:num>
  <w:num w:numId="13" w16cid:durableId="881787071">
    <w:abstractNumId w:val="8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 w16cid:durableId="829712894">
    <w:abstractNumId w:val="8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 w16cid:durableId="288779826">
    <w:abstractNumId w:val="8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 w16cid:durableId="1446120272">
    <w:abstractNumId w:val="157"/>
  </w:num>
  <w:num w:numId="17" w16cid:durableId="291248000">
    <w:abstractNumId w:val="40"/>
  </w:num>
  <w:num w:numId="18" w16cid:durableId="854926963">
    <w:abstractNumId w:val="85"/>
  </w:num>
  <w:num w:numId="19" w16cid:durableId="814031123">
    <w:abstractNumId w:val="38"/>
  </w:num>
  <w:num w:numId="20" w16cid:durableId="1888563135">
    <w:abstractNumId w:val="43"/>
  </w:num>
  <w:num w:numId="21" w16cid:durableId="1969815629">
    <w:abstractNumId w:val="84"/>
  </w:num>
  <w:num w:numId="22" w16cid:durableId="416482557">
    <w:abstractNumId w:val="8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 w16cid:durableId="1234508940">
    <w:abstractNumId w:val="8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 w16cid:durableId="1159343902">
    <w:abstractNumId w:val="8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5" w16cid:durableId="1317370644">
    <w:abstractNumId w:val="103"/>
  </w:num>
  <w:num w:numId="26" w16cid:durableId="1085758348">
    <w:abstractNumId w:val="10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 w16cid:durableId="1301885245">
    <w:abstractNumId w:val="10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8" w16cid:durableId="15664060">
    <w:abstractNumId w:val="114"/>
  </w:num>
  <w:num w:numId="29" w16cid:durableId="663171181">
    <w:abstractNumId w:val="1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0" w16cid:durableId="560140215">
    <w:abstractNumId w:val="11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 w16cid:durableId="1553423950">
    <w:abstractNumId w:val="11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2" w16cid:durableId="1263801777">
    <w:abstractNumId w:val="11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3" w16cid:durableId="1602185138">
    <w:abstractNumId w:val="8"/>
  </w:num>
  <w:num w:numId="34" w16cid:durableId="992179459">
    <w:abstractNumId w:val="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5" w16cid:durableId="1077245719">
    <w:abstractNumId w:val="133"/>
  </w:num>
  <w:num w:numId="36" w16cid:durableId="1177616885">
    <w:abstractNumId w:val="13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 w16cid:durableId="1598751093">
    <w:abstractNumId w:val="13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8" w16cid:durableId="767039400">
    <w:abstractNumId w:val="13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9" w16cid:durableId="1462378587">
    <w:abstractNumId w:val="52"/>
  </w:num>
  <w:num w:numId="40" w16cid:durableId="1655448686">
    <w:abstractNumId w:val="5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1" w16cid:durableId="769664287">
    <w:abstractNumId w:val="29"/>
  </w:num>
  <w:num w:numId="42" w16cid:durableId="1908228049">
    <w:abstractNumId w:val="92"/>
  </w:num>
  <w:num w:numId="43" w16cid:durableId="1018779189">
    <w:abstractNumId w:val="154"/>
  </w:num>
  <w:num w:numId="44" w16cid:durableId="1821654961">
    <w:abstractNumId w:val="15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5" w16cid:durableId="391392773">
    <w:abstractNumId w:val="15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46" w16cid:durableId="284166170">
    <w:abstractNumId w:val="138"/>
  </w:num>
  <w:num w:numId="47" w16cid:durableId="2011371109">
    <w:abstractNumId w:val="97"/>
  </w:num>
  <w:num w:numId="48" w16cid:durableId="660042290">
    <w:abstractNumId w:val="9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9" w16cid:durableId="1889106108">
    <w:abstractNumId w:val="91"/>
  </w:num>
  <w:num w:numId="50" w16cid:durableId="1275407131">
    <w:abstractNumId w:val="16"/>
  </w:num>
  <w:num w:numId="51" w16cid:durableId="899487077">
    <w:abstractNumId w:val="1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2" w16cid:durableId="1778285698">
    <w:abstractNumId w:val="1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53" w16cid:durableId="181823001">
    <w:abstractNumId w:val="1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54" w16cid:durableId="1182015108">
    <w:abstractNumId w:val="158"/>
  </w:num>
  <w:num w:numId="55" w16cid:durableId="1725830282">
    <w:abstractNumId w:val="121"/>
  </w:num>
  <w:num w:numId="56" w16cid:durableId="1293825740">
    <w:abstractNumId w:val="12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57" w16cid:durableId="2072190247">
    <w:abstractNumId w:val="12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58" w16cid:durableId="670257918">
    <w:abstractNumId w:val="14"/>
  </w:num>
  <w:num w:numId="59" w16cid:durableId="134027237">
    <w:abstractNumId w:val="1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60" w16cid:durableId="1620062622">
    <w:abstractNumId w:val="151"/>
  </w:num>
  <w:num w:numId="61" w16cid:durableId="2108646682">
    <w:abstractNumId w:val="15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62" w16cid:durableId="1102141486">
    <w:abstractNumId w:val="151"/>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63" w16cid:durableId="290550461">
    <w:abstractNumId w:val="151"/>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64" w16cid:durableId="1756248737">
    <w:abstractNumId w:val="151"/>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65" w16cid:durableId="1407216830">
    <w:abstractNumId w:val="151"/>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66" w16cid:durableId="1699506400">
    <w:abstractNumId w:val="151"/>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67" w16cid:durableId="470557606">
    <w:abstractNumId w:val="151"/>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68" w16cid:durableId="1156531252">
    <w:abstractNumId w:val="67"/>
  </w:num>
  <w:num w:numId="69" w16cid:durableId="1464612176">
    <w:abstractNumId w:val="6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0" w16cid:durableId="1347102326">
    <w:abstractNumId w:val="6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1" w16cid:durableId="125435936">
    <w:abstractNumId w:val="6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72" w16cid:durableId="1488935709">
    <w:abstractNumId w:val="6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73" w16cid:durableId="1064639956">
    <w:abstractNumId w:val="62"/>
  </w:num>
  <w:num w:numId="74" w16cid:durableId="1119837435">
    <w:abstractNumId w:val="141"/>
  </w:num>
  <w:num w:numId="75" w16cid:durableId="7371440">
    <w:abstractNumId w:val="14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6" w16cid:durableId="705832643">
    <w:abstractNumId w:val="83"/>
  </w:num>
  <w:num w:numId="77" w16cid:durableId="1834637817">
    <w:abstractNumId w:val="8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78" w16cid:durableId="945040953">
    <w:abstractNumId w:val="8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79" w16cid:durableId="641153159">
    <w:abstractNumId w:val="8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80" w16cid:durableId="452016903">
    <w:abstractNumId w:val="159"/>
  </w:num>
  <w:num w:numId="81" w16cid:durableId="626811917">
    <w:abstractNumId w:val="15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82" w16cid:durableId="2113931349">
    <w:abstractNumId w:val="24"/>
  </w:num>
  <w:num w:numId="83" w16cid:durableId="907685764">
    <w:abstractNumId w:val="140"/>
  </w:num>
  <w:num w:numId="84" w16cid:durableId="13190144">
    <w:abstractNumId w:val="122"/>
  </w:num>
  <w:num w:numId="85" w16cid:durableId="1299602997">
    <w:abstractNumId w:val="122"/>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86" w16cid:durableId="1391999110">
    <w:abstractNumId w:val="122"/>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87" w16cid:durableId="5445300">
    <w:abstractNumId w:val="135"/>
  </w:num>
  <w:num w:numId="88" w16cid:durableId="89667722">
    <w:abstractNumId w:val="58"/>
  </w:num>
  <w:num w:numId="89" w16cid:durableId="1744640752">
    <w:abstractNumId w:val="58"/>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90" w16cid:durableId="205487511">
    <w:abstractNumId w:val="68"/>
  </w:num>
  <w:num w:numId="91" w16cid:durableId="694424692">
    <w:abstractNumId w:val="94"/>
  </w:num>
  <w:num w:numId="92" w16cid:durableId="2110345294">
    <w:abstractNumId w:val="9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3" w16cid:durableId="225840776">
    <w:abstractNumId w:val="9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94" w16cid:durableId="1870676422">
    <w:abstractNumId w:val="9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95" w16cid:durableId="1856650732">
    <w:abstractNumId w:val="134"/>
  </w:num>
  <w:num w:numId="96" w16cid:durableId="35618585">
    <w:abstractNumId w:val="112"/>
  </w:num>
  <w:num w:numId="97" w16cid:durableId="781151843">
    <w:abstractNumId w:val="11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98" w16cid:durableId="359280957">
    <w:abstractNumId w:val="11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99" w16cid:durableId="1781027386">
    <w:abstractNumId w:val="42"/>
  </w:num>
  <w:num w:numId="100" w16cid:durableId="1323269540">
    <w:abstractNumId w:val="4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01" w16cid:durableId="1916473639">
    <w:abstractNumId w:val="110"/>
  </w:num>
  <w:num w:numId="102" w16cid:durableId="1491605341">
    <w:abstractNumId w:val="11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03" w16cid:durableId="675886736">
    <w:abstractNumId w:val="110"/>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04" w16cid:durableId="951471222">
    <w:abstractNumId w:val="110"/>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05" w16cid:durableId="1119452342">
    <w:abstractNumId w:val="110"/>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06" w16cid:durableId="799763027">
    <w:abstractNumId w:val="110"/>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107" w16cid:durableId="2025594237">
    <w:abstractNumId w:val="110"/>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108" w16cid:durableId="1790279268">
    <w:abstractNumId w:val="110"/>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109" w16cid:durableId="1120804119">
    <w:abstractNumId w:val="86"/>
  </w:num>
  <w:num w:numId="110" w16cid:durableId="1577591832">
    <w:abstractNumId w:val="8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11" w16cid:durableId="736824288">
    <w:abstractNumId w:val="8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12" w16cid:durableId="609824601">
    <w:abstractNumId w:val="8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13" w16cid:durableId="1982954714">
    <w:abstractNumId w:val="8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14" w16cid:durableId="1457916819">
    <w:abstractNumId w:val="119"/>
  </w:num>
  <w:num w:numId="115" w16cid:durableId="523134436">
    <w:abstractNumId w:val="11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16" w16cid:durableId="238951708">
    <w:abstractNumId w:val="0"/>
  </w:num>
  <w:num w:numId="117" w16cid:durableId="1734741673">
    <w:abstractNumId w:val="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18" w16cid:durableId="808665205">
    <w:abstractNumId w:val="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19" w16cid:durableId="1887568791">
    <w:abstractNumId w:val="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20" w16cid:durableId="821964349">
    <w:abstractNumId w:val="106"/>
  </w:num>
  <w:num w:numId="121" w16cid:durableId="458575866">
    <w:abstractNumId w:val="10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2" w16cid:durableId="1800755178">
    <w:abstractNumId w:val="10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23" w16cid:durableId="58335318">
    <w:abstractNumId w:val="10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24" w16cid:durableId="499127226">
    <w:abstractNumId w:val="10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25" w16cid:durableId="1722359649">
    <w:abstractNumId w:val="106"/>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26" w16cid:durableId="628517975">
    <w:abstractNumId w:val="106"/>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27" w16cid:durableId="197278357">
    <w:abstractNumId w:val="21"/>
  </w:num>
  <w:num w:numId="128" w16cid:durableId="681128527">
    <w:abstractNumId w:val="2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29" w16cid:durableId="1716468559">
    <w:abstractNumId w:val="2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0" w16cid:durableId="1907036149">
    <w:abstractNumId w:val="128"/>
  </w:num>
  <w:num w:numId="131" w16cid:durableId="1034573309">
    <w:abstractNumId w:val="11"/>
  </w:num>
  <w:num w:numId="132" w16cid:durableId="1707824872">
    <w:abstractNumId w:val="127"/>
  </w:num>
  <w:num w:numId="133" w16cid:durableId="77287616">
    <w:abstractNumId w:val="12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4" w16cid:durableId="761994292">
    <w:abstractNumId w:val="12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5" w16cid:durableId="1538228162">
    <w:abstractNumId w:val="12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36" w16cid:durableId="284653392">
    <w:abstractNumId w:val="82"/>
  </w:num>
  <w:num w:numId="137" w16cid:durableId="456917327">
    <w:abstractNumId w:val="8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38" w16cid:durableId="619917622">
    <w:abstractNumId w:val="8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39" w16cid:durableId="1604726172">
    <w:abstractNumId w:val="27"/>
  </w:num>
  <w:num w:numId="140" w16cid:durableId="1825201569">
    <w:abstractNumId w:val="2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1" w16cid:durableId="17390364">
    <w:abstractNumId w:val="2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2" w16cid:durableId="1967618280">
    <w:abstractNumId w:val="63"/>
  </w:num>
  <w:num w:numId="143" w16cid:durableId="1866559730">
    <w:abstractNumId w:val="6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44" w16cid:durableId="1937787538">
    <w:abstractNumId w:val="6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45" w16cid:durableId="1500391056">
    <w:abstractNumId w:val="6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46" w16cid:durableId="215510453">
    <w:abstractNumId w:val="6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47" w16cid:durableId="1585217311">
    <w:abstractNumId w:val="55"/>
  </w:num>
  <w:num w:numId="148" w16cid:durableId="1110783356">
    <w:abstractNumId w:val="90"/>
  </w:num>
  <w:num w:numId="149" w16cid:durableId="2131388199">
    <w:abstractNumId w:val="9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0" w16cid:durableId="619534752">
    <w:abstractNumId w:val="146"/>
  </w:num>
  <w:num w:numId="151" w16cid:durableId="675040480">
    <w:abstractNumId w:val="14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2" w16cid:durableId="1276713658">
    <w:abstractNumId w:val="5"/>
  </w:num>
  <w:num w:numId="153" w16cid:durableId="2030905476">
    <w:abstractNumId w:val="102"/>
  </w:num>
  <w:num w:numId="154" w16cid:durableId="253513566">
    <w:abstractNumId w:val="34"/>
  </w:num>
  <w:num w:numId="155" w16cid:durableId="452672858">
    <w:abstractNumId w:val="3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56" w16cid:durableId="250623928">
    <w:abstractNumId w:val="65"/>
  </w:num>
  <w:num w:numId="157" w16cid:durableId="1208369064">
    <w:abstractNumId w:val="6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58" w16cid:durableId="1615361635">
    <w:abstractNumId w:val="3"/>
  </w:num>
  <w:num w:numId="159" w16cid:durableId="2128573546">
    <w:abstractNumId w:val="59"/>
  </w:num>
  <w:num w:numId="160" w16cid:durableId="2059670286">
    <w:abstractNumId w:val="5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61" w16cid:durableId="1905411717">
    <w:abstractNumId w:val="5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2" w16cid:durableId="2049723218">
    <w:abstractNumId w:val="5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3" w16cid:durableId="547844409">
    <w:abstractNumId w:val="143"/>
  </w:num>
  <w:num w:numId="164" w16cid:durableId="21980369">
    <w:abstractNumId w:val="4"/>
  </w:num>
  <w:num w:numId="165" w16cid:durableId="344091479">
    <w:abstractNumId w:val="4"/>
    <w:lvlOverride w:ilvl="0">
      <w:lvl w:ilvl="0">
        <w:start w:val="1"/>
        <w:numFmt w:val="decimal"/>
        <w:lvlText w:val="%1."/>
        <w:legacy w:legacy="1" w:legacySpace="0" w:legacyIndent="360"/>
        <w:lvlJc w:val="left"/>
        <w:pPr>
          <w:ind w:left="360" w:hanging="360"/>
        </w:pPr>
        <w:rPr>
          <w:rFonts w:ascii="Times New Roman" w:hAnsi="Times New Roman" w:cs="Times New Roman" w:hint="default"/>
        </w:rPr>
      </w:lvl>
    </w:lvlOverride>
  </w:num>
  <w:num w:numId="166" w16cid:durableId="789278386">
    <w:abstractNumId w:val="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67" w16cid:durableId="2022196901">
    <w:abstractNumId w:val="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68" w16cid:durableId="1203523105">
    <w:abstractNumId w:val="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69" w16cid:durableId="1266379615">
    <w:abstractNumId w:val="149"/>
  </w:num>
  <w:num w:numId="170" w16cid:durableId="2058123103">
    <w:abstractNumId w:val="14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1" w16cid:durableId="1419207182">
    <w:abstractNumId w:val="1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72" w16cid:durableId="1315063595">
    <w:abstractNumId w:val="14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73" w16cid:durableId="1967540091">
    <w:abstractNumId w:val="14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74" w16cid:durableId="1140147747">
    <w:abstractNumId w:val="74"/>
  </w:num>
  <w:num w:numId="175" w16cid:durableId="853835672">
    <w:abstractNumId w:val="104"/>
  </w:num>
  <w:num w:numId="176" w16cid:durableId="1779059844">
    <w:abstractNumId w:val="10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77" w16cid:durableId="823550926">
    <w:abstractNumId w:val="10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78" w16cid:durableId="545459252">
    <w:abstractNumId w:val="10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79" w16cid:durableId="143352031">
    <w:abstractNumId w:val="10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180" w16cid:durableId="1932733719">
    <w:abstractNumId w:val="10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181" w16cid:durableId="477653786">
    <w:abstractNumId w:val="10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182" w16cid:durableId="1353610173">
    <w:abstractNumId w:val="76"/>
  </w:num>
  <w:num w:numId="183" w16cid:durableId="425540711">
    <w:abstractNumId w:val="7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84" w16cid:durableId="963773617">
    <w:abstractNumId w:val="7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5" w16cid:durableId="260768910">
    <w:abstractNumId w:val="7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86" w16cid:durableId="521013734">
    <w:abstractNumId w:val="161"/>
  </w:num>
  <w:num w:numId="187" w16cid:durableId="1904557158">
    <w:abstractNumId w:val="16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188" w16cid:durableId="1082222336">
    <w:abstractNumId w:val="16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189" w16cid:durableId="1290011254">
    <w:abstractNumId w:val="161"/>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190" w16cid:durableId="1875389111">
    <w:abstractNumId w:val="117"/>
  </w:num>
  <w:num w:numId="191" w16cid:durableId="1596161282">
    <w:abstractNumId w:val="53"/>
  </w:num>
  <w:num w:numId="192" w16cid:durableId="435759072">
    <w:abstractNumId w:val="113"/>
  </w:num>
  <w:num w:numId="193" w16cid:durableId="102498607">
    <w:abstractNumId w:val="61"/>
  </w:num>
  <w:num w:numId="194" w16cid:durableId="169103670">
    <w:abstractNumId w:val="50"/>
  </w:num>
  <w:num w:numId="195" w16cid:durableId="426540642">
    <w:abstractNumId w:val="23"/>
  </w:num>
  <w:num w:numId="196" w16cid:durableId="1327899451">
    <w:abstractNumId w:val="17"/>
  </w:num>
  <w:num w:numId="197" w16cid:durableId="1430811667">
    <w:abstractNumId w:val="25"/>
  </w:num>
  <w:num w:numId="198" w16cid:durableId="117143398">
    <w:abstractNumId w:val="56"/>
  </w:num>
  <w:num w:numId="199" w16cid:durableId="1054933720">
    <w:abstractNumId w:val="5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00" w16cid:durableId="1234318808">
    <w:abstractNumId w:val="5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01" w16cid:durableId="848183438">
    <w:abstractNumId w:val="5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02" w16cid:durableId="2004359417">
    <w:abstractNumId w:val="5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03" w16cid:durableId="655380909">
    <w:abstractNumId w:val="72"/>
  </w:num>
  <w:num w:numId="204" w16cid:durableId="173081728">
    <w:abstractNumId w:val="7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05" w16cid:durableId="276331734">
    <w:abstractNumId w:val="45"/>
  </w:num>
  <w:num w:numId="206" w16cid:durableId="187111130">
    <w:abstractNumId w:val="48"/>
  </w:num>
  <w:num w:numId="207" w16cid:durableId="2028435168">
    <w:abstractNumId w:val="152"/>
  </w:num>
  <w:num w:numId="208" w16cid:durableId="954404553">
    <w:abstractNumId w:val="108"/>
  </w:num>
  <w:num w:numId="209" w16cid:durableId="519898252">
    <w:abstractNumId w:val="108"/>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10" w16cid:durableId="1289363268">
    <w:abstractNumId w:val="70"/>
  </w:num>
  <w:num w:numId="211" w16cid:durableId="269167910">
    <w:abstractNumId w:val="70"/>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12" w16cid:durableId="127748162">
    <w:abstractNumId w:val="70"/>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13" w16cid:durableId="49698050">
    <w:abstractNumId w:val="70"/>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14" w16cid:durableId="823162569">
    <w:abstractNumId w:val="70"/>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15" w16cid:durableId="87584996">
    <w:abstractNumId w:val="70"/>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216" w16cid:durableId="526406960">
    <w:abstractNumId w:val="129"/>
  </w:num>
  <w:num w:numId="217" w16cid:durableId="597299249">
    <w:abstractNumId w:val="18"/>
  </w:num>
  <w:num w:numId="218" w16cid:durableId="1216359828">
    <w:abstractNumId w:val="1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19" w16cid:durableId="186720579">
    <w:abstractNumId w:val="37"/>
  </w:num>
  <w:num w:numId="220" w16cid:durableId="214582779">
    <w:abstractNumId w:val="15"/>
  </w:num>
  <w:num w:numId="221" w16cid:durableId="1816727025">
    <w:abstractNumId w:val="1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22" w16cid:durableId="1693993031">
    <w:abstractNumId w:val="44"/>
  </w:num>
  <w:num w:numId="223" w16cid:durableId="1884714162">
    <w:abstractNumId w:val="69"/>
  </w:num>
  <w:num w:numId="224" w16cid:durableId="1874145151">
    <w:abstractNumId w:val="39"/>
  </w:num>
  <w:num w:numId="225" w16cid:durableId="130099371">
    <w:abstractNumId w:val="77"/>
  </w:num>
  <w:num w:numId="226" w16cid:durableId="1762679432">
    <w:abstractNumId w:val="6"/>
  </w:num>
  <w:num w:numId="227" w16cid:durableId="585917619">
    <w:abstractNumId w:val="125"/>
  </w:num>
  <w:num w:numId="228" w16cid:durableId="399255556">
    <w:abstractNumId w:val="12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29" w16cid:durableId="2002809965">
    <w:abstractNumId w:val="12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30" w16cid:durableId="1615021742">
    <w:abstractNumId w:val="12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31" w16cid:durableId="472915815">
    <w:abstractNumId w:val="105"/>
  </w:num>
  <w:num w:numId="232" w16cid:durableId="514535808">
    <w:abstractNumId w:val="30"/>
  </w:num>
  <w:num w:numId="233" w16cid:durableId="773015310">
    <w:abstractNumId w:val="136"/>
  </w:num>
  <w:num w:numId="234" w16cid:durableId="483862582">
    <w:abstractNumId w:val="13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5" w16cid:durableId="465510685">
    <w:abstractNumId w:val="99"/>
  </w:num>
  <w:num w:numId="236" w16cid:durableId="2083601743">
    <w:abstractNumId w:val="57"/>
  </w:num>
  <w:num w:numId="237" w16cid:durableId="1230115838">
    <w:abstractNumId w:val="5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38" w16cid:durableId="1994408786">
    <w:abstractNumId w:val="5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39" w16cid:durableId="1683556814">
    <w:abstractNumId w:val="5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40" w16cid:durableId="1558276269">
    <w:abstractNumId w:val="19"/>
  </w:num>
  <w:num w:numId="241" w16cid:durableId="445394492">
    <w:abstractNumId w:val="1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2" w16cid:durableId="1986618350">
    <w:abstractNumId w:val="96"/>
  </w:num>
  <w:num w:numId="243" w16cid:durableId="154885707">
    <w:abstractNumId w:val="118"/>
  </w:num>
  <w:num w:numId="244" w16cid:durableId="338895523">
    <w:abstractNumId w:val="11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5" w16cid:durableId="1762025417">
    <w:abstractNumId w:val="118"/>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46" w16cid:durableId="1556895546">
    <w:abstractNumId w:val="116"/>
  </w:num>
  <w:num w:numId="247" w16cid:durableId="1378314425">
    <w:abstractNumId w:val="107"/>
  </w:num>
  <w:num w:numId="248" w16cid:durableId="1756052027">
    <w:abstractNumId w:val="10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49" w16cid:durableId="1235773788">
    <w:abstractNumId w:val="26"/>
  </w:num>
  <w:num w:numId="250" w16cid:durableId="1476993746">
    <w:abstractNumId w:val="2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51" w16cid:durableId="604074112">
    <w:abstractNumId w:val="2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2" w16cid:durableId="1122460810">
    <w:abstractNumId w:val="33"/>
  </w:num>
  <w:num w:numId="253" w16cid:durableId="286199015">
    <w:abstractNumId w:val="28"/>
  </w:num>
  <w:num w:numId="254" w16cid:durableId="301887165">
    <w:abstractNumId w:val="2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55" w16cid:durableId="421147325">
    <w:abstractNumId w:val="132"/>
  </w:num>
  <w:num w:numId="256" w16cid:durableId="358626300">
    <w:abstractNumId w:val="1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57" w16cid:durableId="1706833253">
    <w:abstractNumId w:val="13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58" w16cid:durableId="955260923">
    <w:abstractNumId w:val="35"/>
  </w:num>
  <w:num w:numId="259" w16cid:durableId="1313100207">
    <w:abstractNumId w:val="3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0" w16cid:durableId="1992756139">
    <w:abstractNumId w:val="3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1" w16cid:durableId="508257813">
    <w:abstractNumId w:val="7"/>
  </w:num>
  <w:num w:numId="262" w16cid:durableId="634529893">
    <w:abstractNumId w:val="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3" w16cid:durableId="1683585633">
    <w:abstractNumId w:val="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4" w16cid:durableId="2055418768">
    <w:abstractNumId w:val="64"/>
  </w:num>
  <w:num w:numId="265" w16cid:durableId="181624805">
    <w:abstractNumId w:val="6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66" w16cid:durableId="2004580978">
    <w:abstractNumId w:val="6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67" w16cid:durableId="416832553">
    <w:abstractNumId w:val="64"/>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68" w16cid:durableId="920800581">
    <w:abstractNumId w:val="64"/>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69" w16cid:durableId="1561095043">
    <w:abstractNumId w:val="6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70" w16cid:durableId="1754206967">
    <w:abstractNumId w:val="6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71" w16cid:durableId="1908107056">
    <w:abstractNumId w:val="64"/>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272" w16cid:durableId="1932080832">
    <w:abstractNumId w:val="64"/>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73" w16cid:durableId="585043169">
    <w:abstractNumId w:val="64"/>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74" w16cid:durableId="708260663">
    <w:abstractNumId w:val="64"/>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75" w16cid:durableId="625356463">
    <w:abstractNumId w:val="64"/>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76" w16cid:durableId="2094932204">
    <w:abstractNumId w:val="73"/>
  </w:num>
  <w:num w:numId="277" w16cid:durableId="2102605376">
    <w:abstractNumId w:val="7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78" w16cid:durableId="252320613">
    <w:abstractNumId w:val="7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79" w16cid:durableId="1094665533">
    <w:abstractNumId w:val="7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80" w16cid:durableId="2135518769">
    <w:abstractNumId w:val="7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81" w16cid:durableId="1515457327">
    <w:abstractNumId w:val="73"/>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82" w16cid:durableId="1127234533">
    <w:abstractNumId w:val="73"/>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83" w16cid:durableId="704718410">
    <w:abstractNumId w:val="73"/>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284" w16cid:durableId="526144783">
    <w:abstractNumId w:val="73"/>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85" w16cid:durableId="1086615828">
    <w:abstractNumId w:val="73"/>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286" w16cid:durableId="1632974944">
    <w:abstractNumId w:val="73"/>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287" w16cid:durableId="326327794">
    <w:abstractNumId w:val="73"/>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288" w16cid:durableId="1543244565">
    <w:abstractNumId w:val="73"/>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289" w16cid:durableId="193538146">
    <w:abstractNumId w:val="148"/>
  </w:num>
  <w:num w:numId="290" w16cid:durableId="432895415">
    <w:abstractNumId w:val="137"/>
  </w:num>
  <w:num w:numId="291" w16cid:durableId="2144884404">
    <w:abstractNumId w:val="13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292" w16cid:durableId="558787853">
    <w:abstractNumId w:val="13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293" w16cid:durableId="754591154">
    <w:abstractNumId w:val="13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294" w16cid:durableId="947857988">
    <w:abstractNumId w:val="13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295" w16cid:durableId="298800713">
    <w:abstractNumId w:val="13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296" w16cid:durableId="1015880744">
    <w:abstractNumId w:val="137"/>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297" w16cid:durableId="1321346174">
    <w:abstractNumId w:val="137"/>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298" w16cid:durableId="2041667472">
    <w:abstractNumId w:val="137"/>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299" w16cid:durableId="217937965">
    <w:abstractNumId w:val="137"/>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00" w16cid:durableId="1079448507">
    <w:abstractNumId w:val="137"/>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01" w16cid:durableId="1901018003">
    <w:abstractNumId w:val="137"/>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02" w16cid:durableId="405346581">
    <w:abstractNumId w:val="137"/>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03" w16cid:durableId="1393503891">
    <w:abstractNumId w:val="137"/>
    <w:lvlOverride w:ilvl="0">
      <w:lvl w:ilvl="0">
        <w:start w:val="14"/>
        <w:numFmt w:val="decimal"/>
        <w:lvlText w:val="%1."/>
        <w:legacy w:legacy="1" w:legacySpace="0" w:legacyIndent="360"/>
        <w:lvlJc w:val="left"/>
        <w:pPr>
          <w:ind w:left="360" w:hanging="360"/>
        </w:pPr>
        <w:rPr>
          <w:rFonts w:ascii="Times New Roman" w:hAnsi="Times New Roman" w:cs="Times New Roman" w:hint="default"/>
        </w:rPr>
      </w:lvl>
    </w:lvlOverride>
  </w:num>
  <w:num w:numId="304" w16cid:durableId="1353728806">
    <w:abstractNumId w:val="137"/>
    <w:lvlOverride w:ilvl="0">
      <w:lvl w:ilvl="0">
        <w:start w:val="15"/>
        <w:numFmt w:val="decimal"/>
        <w:lvlText w:val="%1."/>
        <w:legacy w:legacy="1" w:legacySpace="0" w:legacyIndent="360"/>
        <w:lvlJc w:val="left"/>
        <w:pPr>
          <w:ind w:left="360" w:hanging="360"/>
        </w:pPr>
        <w:rPr>
          <w:rFonts w:ascii="Times New Roman" w:hAnsi="Times New Roman" w:cs="Times New Roman" w:hint="default"/>
        </w:rPr>
      </w:lvl>
    </w:lvlOverride>
  </w:num>
  <w:num w:numId="305" w16cid:durableId="601186525">
    <w:abstractNumId w:val="137"/>
    <w:lvlOverride w:ilvl="0">
      <w:lvl w:ilvl="0">
        <w:start w:val="16"/>
        <w:numFmt w:val="decimal"/>
        <w:lvlText w:val="%1."/>
        <w:legacy w:legacy="1" w:legacySpace="0" w:legacyIndent="360"/>
        <w:lvlJc w:val="left"/>
        <w:pPr>
          <w:ind w:left="360" w:hanging="360"/>
        </w:pPr>
        <w:rPr>
          <w:rFonts w:ascii="Times New Roman" w:hAnsi="Times New Roman" w:cs="Times New Roman" w:hint="default"/>
        </w:rPr>
      </w:lvl>
    </w:lvlOverride>
  </w:num>
  <w:num w:numId="306" w16cid:durableId="498009186">
    <w:abstractNumId w:val="137"/>
    <w:lvlOverride w:ilvl="0">
      <w:lvl w:ilvl="0">
        <w:start w:val="17"/>
        <w:numFmt w:val="decimal"/>
        <w:lvlText w:val="%1."/>
        <w:legacy w:legacy="1" w:legacySpace="0" w:legacyIndent="360"/>
        <w:lvlJc w:val="left"/>
        <w:pPr>
          <w:ind w:left="360" w:hanging="360"/>
        </w:pPr>
        <w:rPr>
          <w:rFonts w:ascii="Times New Roman" w:hAnsi="Times New Roman" w:cs="Times New Roman" w:hint="default"/>
        </w:rPr>
      </w:lvl>
    </w:lvlOverride>
  </w:num>
  <w:num w:numId="307" w16cid:durableId="1956866583">
    <w:abstractNumId w:val="137"/>
    <w:lvlOverride w:ilvl="0">
      <w:lvl w:ilvl="0">
        <w:start w:val="18"/>
        <w:numFmt w:val="decimal"/>
        <w:lvlText w:val="%1."/>
        <w:legacy w:legacy="1" w:legacySpace="0" w:legacyIndent="360"/>
        <w:lvlJc w:val="left"/>
        <w:pPr>
          <w:ind w:left="360" w:hanging="360"/>
        </w:pPr>
        <w:rPr>
          <w:rFonts w:ascii="Times New Roman" w:hAnsi="Times New Roman" w:cs="Times New Roman" w:hint="default"/>
        </w:rPr>
      </w:lvl>
    </w:lvlOverride>
  </w:num>
  <w:num w:numId="308" w16cid:durableId="1510824797">
    <w:abstractNumId w:val="137"/>
    <w:lvlOverride w:ilvl="0">
      <w:lvl w:ilvl="0">
        <w:start w:val="19"/>
        <w:numFmt w:val="decimal"/>
        <w:lvlText w:val="%1."/>
        <w:legacy w:legacy="1" w:legacySpace="0" w:legacyIndent="360"/>
        <w:lvlJc w:val="left"/>
        <w:pPr>
          <w:ind w:left="360" w:hanging="360"/>
        </w:pPr>
        <w:rPr>
          <w:rFonts w:ascii="Times New Roman" w:hAnsi="Times New Roman" w:cs="Times New Roman" w:hint="default"/>
        </w:rPr>
      </w:lvl>
    </w:lvlOverride>
  </w:num>
  <w:num w:numId="309" w16cid:durableId="1223562144">
    <w:abstractNumId w:val="32"/>
  </w:num>
  <w:num w:numId="310" w16cid:durableId="916599392">
    <w:abstractNumId w:val="3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11" w16cid:durableId="97335431">
    <w:abstractNumId w:val="3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2" w16cid:durableId="1369063576">
    <w:abstractNumId w:val="156"/>
  </w:num>
  <w:num w:numId="313" w16cid:durableId="742681334">
    <w:abstractNumId w:val="147"/>
  </w:num>
  <w:num w:numId="314" w16cid:durableId="1566724267">
    <w:abstractNumId w:val="147"/>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15" w16cid:durableId="1937589377">
    <w:abstractNumId w:val="147"/>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16" w16cid:durableId="2099472879">
    <w:abstractNumId w:val="147"/>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17" w16cid:durableId="519316899">
    <w:abstractNumId w:val="147"/>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18" w16cid:durableId="2093234239">
    <w:abstractNumId w:val="147"/>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19" w16cid:durableId="1024137020">
    <w:abstractNumId w:val="147"/>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20" w16cid:durableId="1710836804">
    <w:abstractNumId w:val="147"/>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21" w16cid:durableId="1651131841">
    <w:abstractNumId w:val="147"/>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22" w16cid:durableId="1658341806">
    <w:abstractNumId w:val="147"/>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23" w16cid:durableId="969558911">
    <w:abstractNumId w:val="147"/>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24" w16cid:durableId="1320310058">
    <w:abstractNumId w:val="147"/>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25" w16cid:durableId="1260913594">
    <w:abstractNumId w:val="79"/>
  </w:num>
  <w:num w:numId="326" w16cid:durableId="892697135">
    <w:abstractNumId w:val="7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27" w16cid:durableId="1853645711">
    <w:abstractNumId w:val="7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28" w16cid:durableId="750539968">
    <w:abstractNumId w:val="7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29" w16cid:durableId="294337786">
    <w:abstractNumId w:val="7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30" w16cid:durableId="172230418">
    <w:abstractNumId w:val="79"/>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31" w16cid:durableId="900093858">
    <w:abstractNumId w:val="79"/>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32" w16cid:durableId="1443577401">
    <w:abstractNumId w:val="79"/>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33" w16cid:durableId="2017229452">
    <w:abstractNumId w:val="79"/>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34" w16cid:durableId="1800878149">
    <w:abstractNumId w:val="79"/>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35" w16cid:durableId="381638109">
    <w:abstractNumId w:val="79"/>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36" w16cid:durableId="300502681">
    <w:abstractNumId w:val="79"/>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37" w16cid:durableId="2003846682">
    <w:abstractNumId w:val="79"/>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38" w16cid:durableId="271517696">
    <w:abstractNumId w:val="75"/>
  </w:num>
  <w:num w:numId="339" w16cid:durableId="1091585839">
    <w:abstractNumId w:val="123"/>
  </w:num>
  <w:num w:numId="340" w16cid:durableId="519199186">
    <w:abstractNumId w:val="123"/>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41" w16cid:durableId="830681238">
    <w:abstractNumId w:val="123"/>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42" w16cid:durableId="2101024248">
    <w:abstractNumId w:val="123"/>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43" w16cid:durableId="444153597">
    <w:abstractNumId w:val="123"/>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44" w16cid:durableId="1787580199">
    <w:abstractNumId w:val="123"/>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45" w16cid:durableId="1190799503">
    <w:abstractNumId w:val="123"/>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46" w16cid:durableId="1595940909">
    <w:abstractNumId w:val="123"/>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47" w16cid:durableId="1670984908">
    <w:abstractNumId w:val="123"/>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48" w16cid:durableId="1517034568">
    <w:abstractNumId w:val="123"/>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49" w16cid:durableId="1474326642">
    <w:abstractNumId w:val="123"/>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50" w16cid:durableId="501046326">
    <w:abstractNumId w:val="123"/>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51" w16cid:durableId="662667121">
    <w:abstractNumId w:val="123"/>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52" w16cid:durableId="1149127558">
    <w:abstractNumId w:val="123"/>
    <w:lvlOverride w:ilvl="0">
      <w:lvl w:ilvl="0">
        <w:start w:val="14"/>
        <w:numFmt w:val="decimal"/>
        <w:lvlText w:val="%1."/>
        <w:legacy w:legacy="1" w:legacySpace="0" w:legacyIndent="360"/>
        <w:lvlJc w:val="left"/>
        <w:pPr>
          <w:ind w:left="360" w:hanging="360"/>
        </w:pPr>
        <w:rPr>
          <w:rFonts w:ascii="Times New Roman" w:hAnsi="Times New Roman" w:cs="Times New Roman" w:hint="default"/>
        </w:rPr>
      </w:lvl>
    </w:lvlOverride>
  </w:num>
  <w:num w:numId="353" w16cid:durableId="448748151">
    <w:abstractNumId w:val="123"/>
    <w:lvlOverride w:ilvl="0">
      <w:lvl w:ilvl="0">
        <w:start w:val="15"/>
        <w:numFmt w:val="decimal"/>
        <w:lvlText w:val="%1."/>
        <w:legacy w:legacy="1" w:legacySpace="0" w:legacyIndent="360"/>
        <w:lvlJc w:val="left"/>
        <w:pPr>
          <w:ind w:left="360" w:hanging="360"/>
        </w:pPr>
        <w:rPr>
          <w:rFonts w:ascii="Times New Roman" w:hAnsi="Times New Roman" w:cs="Times New Roman" w:hint="default"/>
        </w:rPr>
      </w:lvl>
    </w:lvlOverride>
  </w:num>
  <w:num w:numId="354" w16cid:durableId="1519346078">
    <w:abstractNumId w:val="123"/>
    <w:lvlOverride w:ilvl="0">
      <w:lvl w:ilvl="0">
        <w:start w:val="16"/>
        <w:numFmt w:val="decimal"/>
        <w:lvlText w:val="%1."/>
        <w:legacy w:legacy="1" w:legacySpace="0" w:legacyIndent="360"/>
        <w:lvlJc w:val="left"/>
        <w:pPr>
          <w:ind w:left="360" w:hanging="360"/>
        </w:pPr>
        <w:rPr>
          <w:rFonts w:ascii="Times New Roman" w:hAnsi="Times New Roman" w:cs="Times New Roman" w:hint="default"/>
        </w:rPr>
      </w:lvl>
    </w:lvlOverride>
  </w:num>
  <w:num w:numId="355" w16cid:durableId="1477869231">
    <w:abstractNumId w:val="123"/>
    <w:lvlOverride w:ilvl="0">
      <w:lvl w:ilvl="0">
        <w:start w:val="17"/>
        <w:numFmt w:val="decimal"/>
        <w:lvlText w:val="%1."/>
        <w:legacy w:legacy="1" w:legacySpace="0" w:legacyIndent="360"/>
        <w:lvlJc w:val="left"/>
        <w:pPr>
          <w:ind w:left="360" w:hanging="360"/>
        </w:pPr>
        <w:rPr>
          <w:rFonts w:ascii="Times New Roman" w:hAnsi="Times New Roman" w:cs="Times New Roman" w:hint="default"/>
        </w:rPr>
      </w:lvl>
    </w:lvlOverride>
  </w:num>
  <w:num w:numId="356" w16cid:durableId="1707556620">
    <w:abstractNumId w:val="123"/>
    <w:lvlOverride w:ilvl="0">
      <w:lvl w:ilvl="0">
        <w:start w:val="18"/>
        <w:numFmt w:val="decimal"/>
        <w:lvlText w:val="%1."/>
        <w:legacy w:legacy="1" w:legacySpace="0" w:legacyIndent="360"/>
        <w:lvlJc w:val="left"/>
        <w:pPr>
          <w:ind w:left="360" w:hanging="360"/>
        </w:pPr>
        <w:rPr>
          <w:rFonts w:ascii="Times New Roman" w:hAnsi="Times New Roman" w:cs="Times New Roman" w:hint="default"/>
        </w:rPr>
      </w:lvl>
    </w:lvlOverride>
  </w:num>
  <w:num w:numId="357" w16cid:durableId="2034770608">
    <w:abstractNumId w:val="123"/>
    <w:lvlOverride w:ilvl="0">
      <w:lvl w:ilvl="0">
        <w:start w:val="19"/>
        <w:numFmt w:val="decimal"/>
        <w:lvlText w:val="%1."/>
        <w:legacy w:legacy="1" w:legacySpace="0" w:legacyIndent="360"/>
        <w:lvlJc w:val="left"/>
        <w:pPr>
          <w:ind w:left="360" w:hanging="360"/>
        </w:pPr>
        <w:rPr>
          <w:rFonts w:ascii="Times New Roman" w:hAnsi="Times New Roman" w:cs="Times New Roman" w:hint="default"/>
        </w:rPr>
      </w:lvl>
    </w:lvlOverride>
  </w:num>
  <w:num w:numId="358" w16cid:durableId="1897469341">
    <w:abstractNumId w:val="124"/>
  </w:num>
  <w:num w:numId="359" w16cid:durableId="469204119">
    <w:abstractNumId w:val="124"/>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0" w16cid:durableId="876314333">
    <w:abstractNumId w:val="124"/>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61" w16cid:durableId="1568226026">
    <w:abstractNumId w:val="20"/>
  </w:num>
  <w:num w:numId="362" w16cid:durableId="40137121">
    <w:abstractNumId w:val="131"/>
  </w:num>
  <w:num w:numId="363" w16cid:durableId="1896507063">
    <w:abstractNumId w:val="144"/>
  </w:num>
  <w:num w:numId="364" w16cid:durableId="2039381213">
    <w:abstractNumId w:val="98"/>
  </w:num>
  <w:num w:numId="365" w16cid:durableId="2073776041">
    <w:abstractNumId w:val="98"/>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6" w16cid:durableId="1950239360">
    <w:abstractNumId w:val="31"/>
  </w:num>
  <w:num w:numId="367" w16cid:durableId="1698653533">
    <w:abstractNumId w:val="31"/>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68" w16cid:durableId="1019359279">
    <w:abstractNumId w:val="31"/>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69" w16cid:durableId="850334625">
    <w:abstractNumId w:val="22"/>
  </w:num>
  <w:num w:numId="370" w16cid:durableId="2100633952">
    <w:abstractNumId w:val="100"/>
  </w:num>
  <w:num w:numId="371" w16cid:durableId="1011645622">
    <w:abstractNumId w:val="130"/>
  </w:num>
  <w:num w:numId="372" w16cid:durableId="321012582">
    <w:abstractNumId w:val="13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3" w16cid:durableId="1489588278">
    <w:abstractNumId w:val="95"/>
  </w:num>
  <w:num w:numId="374" w16cid:durableId="57285122">
    <w:abstractNumId w:val="9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5" w16cid:durableId="16196966">
    <w:abstractNumId w:val="9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6" w16cid:durableId="419524398">
    <w:abstractNumId w:val="49"/>
  </w:num>
  <w:num w:numId="377" w16cid:durableId="762074431">
    <w:abstractNumId w:val="49"/>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78" w16cid:durableId="57674012">
    <w:abstractNumId w:val="49"/>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79" w16cid:durableId="1292707047">
    <w:abstractNumId w:val="49"/>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80" w16cid:durableId="708846531">
    <w:abstractNumId w:val="120"/>
  </w:num>
  <w:num w:numId="381" w16cid:durableId="1260287752">
    <w:abstractNumId w:val="36"/>
  </w:num>
  <w:num w:numId="382" w16cid:durableId="601958611">
    <w:abstractNumId w:val="36"/>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383" w16cid:durableId="1369140735">
    <w:abstractNumId w:val="36"/>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384" w16cid:durableId="1338001567">
    <w:abstractNumId w:val="36"/>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385" w16cid:durableId="1059861288">
    <w:abstractNumId w:val="36"/>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386" w16cid:durableId="1847086406">
    <w:abstractNumId w:val="36"/>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387" w16cid:durableId="1268270053">
    <w:abstractNumId w:val="36"/>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388" w16cid:durableId="1062755437">
    <w:abstractNumId w:val="36"/>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389" w16cid:durableId="1472214713">
    <w:abstractNumId w:val="36"/>
    <w:lvlOverride w:ilvl="0">
      <w:lvl w:ilvl="0">
        <w:start w:val="9"/>
        <w:numFmt w:val="decimal"/>
        <w:lvlText w:val="%1."/>
        <w:legacy w:legacy="1" w:legacySpace="0" w:legacyIndent="360"/>
        <w:lvlJc w:val="left"/>
        <w:pPr>
          <w:ind w:left="360" w:hanging="360"/>
        </w:pPr>
        <w:rPr>
          <w:rFonts w:ascii="Times New Roman" w:hAnsi="Times New Roman" w:cs="Times New Roman" w:hint="default"/>
        </w:rPr>
      </w:lvl>
    </w:lvlOverride>
  </w:num>
  <w:num w:numId="390" w16cid:durableId="209614735">
    <w:abstractNumId w:val="3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391" w16cid:durableId="1254389521">
    <w:abstractNumId w:val="36"/>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392" w16cid:durableId="510418374">
    <w:abstractNumId w:val="3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393" w16cid:durableId="966424088">
    <w:abstractNumId w:val="36"/>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394" w16cid:durableId="1024287822">
    <w:abstractNumId w:val="36"/>
    <w:lvlOverride w:ilvl="0">
      <w:lvl w:ilvl="0">
        <w:start w:val="14"/>
        <w:numFmt w:val="decimal"/>
        <w:lvlText w:val="%1."/>
        <w:legacy w:legacy="1" w:legacySpace="0" w:legacyIndent="360"/>
        <w:lvlJc w:val="left"/>
        <w:pPr>
          <w:ind w:left="360" w:hanging="360"/>
        </w:pPr>
        <w:rPr>
          <w:rFonts w:ascii="Times New Roman" w:hAnsi="Times New Roman" w:cs="Times New Roman" w:hint="default"/>
        </w:rPr>
      </w:lvl>
    </w:lvlOverride>
  </w:num>
  <w:num w:numId="395" w16cid:durableId="2039697609">
    <w:abstractNumId w:val="36"/>
    <w:lvlOverride w:ilvl="0">
      <w:lvl w:ilvl="0">
        <w:start w:val="15"/>
        <w:numFmt w:val="decimal"/>
        <w:lvlText w:val="%1."/>
        <w:legacy w:legacy="1" w:legacySpace="0" w:legacyIndent="360"/>
        <w:lvlJc w:val="left"/>
        <w:pPr>
          <w:ind w:left="360" w:hanging="360"/>
        </w:pPr>
        <w:rPr>
          <w:rFonts w:ascii="Times New Roman" w:hAnsi="Times New Roman" w:cs="Times New Roman" w:hint="default"/>
        </w:rPr>
      </w:lvl>
    </w:lvlOverride>
  </w:num>
  <w:num w:numId="396" w16cid:durableId="1446728759">
    <w:abstractNumId w:val="36"/>
    <w:lvlOverride w:ilvl="0">
      <w:lvl w:ilvl="0">
        <w:start w:val="16"/>
        <w:numFmt w:val="decimal"/>
        <w:lvlText w:val="%1."/>
        <w:legacy w:legacy="1" w:legacySpace="0" w:legacyIndent="360"/>
        <w:lvlJc w:val="left"/>
        <w:pPr>
          <w:ind w:left="360" w:hanging="360"/>
        </w:pPr>
        <w:rPr>
          <w:rFonts w:ascii="Times New Roman" w:hAnsi="Times New Roman" w:cs="Times New Roman" w:hint="default"/>
        </w:rPr>
      </w:lvl>
    </w:lvlOverride>
  </w:num>
  <w:num w:numId="397" w16cid:durableId="76833927">
    <w:abstractNumId w:val="36"/>
    <w:lvlOverride w:ilvl="0">
      <w:lvl w:ilvl="0">
        <w:start w:val="17"/>
        <w:numFmt w:val="decimal"/>
        <w:lvlText w:val="%1."/>
        <w:legacy w:legacy="1" w:legacySpace="0" w:legacyIndent="360"/>
        <w:lvlJc w:val="left"/>
        <w:pPr>
          <w:ind w:left="360" w:hanging="360"/>
        </w:pPr>
        <w:rPr>
          <w:rFonts w:ascii="Times New Roman" w:hAnsi="Times New Roman" w:cs="Times New Roman" w:hint="default"/>
        </w:rPr>
      </w:lvl>
    </w:lvlOverride>
  </w:num>
  <w:num w:numId="398" w16cid:durableId="134955471">
    <w:abstractNumId w:val="1"/>
  </w:num>
  <w:num w:numId="399" w16cid:durableId="809128652">
    <w:abstractNumId w:val="111"/>
  </w:num>
  <w:num w:numId="400" w16cid:durableId="1344625712">
    <w:abstractNumId w:val="139"/>
  </w:num>
  <w:num w:numId="401" w16cid:durableId="1997949056">
    <w:abstractNumId w:val="115"/>
  </w:num>
  <w:num w:numId="402" w16cid:durableId="314457822">
    <w:abstractNumId w:val="87"/>
  </w:num>
  <w:num w:numId="403" w16cid:durableId="1250382553">
    <w:abstractNumId w:val="126"/>
  </w:num>
  <w:num w:numId="404" w16cid:durableId="1589264478">
    <w:abstractNumId w:val="89"/>
  </w:num>
  <w:num w:numId="405" w16cid:durableId="501552789">
    <w:abstractNumId w:val="89"/>
    <w:lvlOverride w:ilvl="0">
      <w:lvl w:ilvl="0">
        <w:start w:val="5"/>
        <w:numFmt w:val="decimal"/>
        <w:lvlText w:val="%1."/>
        <w:legacy w:legacy="1" w:legacySpace="0" w:legacyIndent="360"/>
        <w:lvlJc w:val="left"/>
        <w:pPr>
          <w:ind w:left="360" w:hanging="360"/>
        </w:pPr>
        <w:rPr>
          <w:rFonts w:ascii="Times New Roman" w:hAnsi="Times New Roman" w:cs="Times New Roman" w:hint="default"/>
        </w:rPr>
      </w:lvl>
    </w:lvlOverride>
  </w:num>
  <w:num w:numId="406" w16cid:durableId="1764448852">
    <w:abstractNumId w:val="60"/>
  </w:num>
  <w:num w:numId="407" w16cid:durableId="873271319">
    <w:abstractNumId w:val="13"/>
  </w:num>
  <w:num w:numId="408" w16cid:durableId="1591041297">
    <w:abstractNumId w:val="142"/>
  </w:num>
  <w:num w:numId="409" w16cid:durableId="1770541966">
    <w:abstractNumId w:val="142"/>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10" w16cid:durableId="1951008109">
    <w:abstractNumId w:val="142"/>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11" w16cid:durableId="593248298">
    <w:abstractNumId w:val="142"/>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12" w16cid:durableId="1798375215">
    <w:abstractNumId w:val="54"/>
  </w:num>
  <w:num w:numId="413" w16cid:durableId="1027372120">
    <w:abstractNumId w:val="54"/>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14" w16cid:durableId="1511137254">
    <w:abstractNumId w:val="54"/>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415" w16cid:durableId="570507466">
    <w:abstractNumId w:val="54"/>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416" w16cid:durableId="1062484504">
    <w:abstractNumId w:val="66"/>
  </w:num>
  <w:num w:numId="417" w16cid:durableId="2095005112">
    <w:abstractNumId w:val="66"/>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418" w16cid:durableId="1402488480">
    <w:abstractNumId w:val="66"/>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419" w16cid:durableId="1088188880">
    <w:abstractNumId w:val="66"/>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420" w16cid:durableId="322702203">
    <w:abstractNumId w:val="66"/>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421" w16cid:durableId="284431769">
    <w:abstractNumId w:val="160"/>
  </w:num>
  <w:num w:numId="422" w16cid:durableId="991638766">
    <w:abstractNumId w:val="16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23" w16cid:durableId="263924933">
    <w:abstractNumId w:val="145"/>
  </w:num>
  <w:num w:numId="424" w16cid:durableId="1810782306">
    <w:abstractNumId w:val="145"/>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25" w16cid:durableId="1254045980">
    <w:abstractNumId w:val="145"/>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26" w16cid:durableId="190800373">
    <w:abstractNumId w:val="145"/>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27" w16cid:durableId="1613591176">
    <w:abstractNumId w:val="80"/>
  </w:num>
  <w:num w:numId="428" w16cid:durableId="1208638093">
    <w:abstractNumId w:val="80"/>
    <w:lvlOverride w:ilvl="0">
      <w:lvl w:ilvl="0">
        <w:start w:val="2"/>
        <w:numFmt w:val="decimal"/>
        <w:lvlText w:val="%1."/>
        <w:legacy w:legacy="1" w:legacySpace="0" w:legacyIndent="360"/>
        <w:lvlJc w:val="left"/>
        <w:pPr>
          <w:ind w:left="360" w:hanging="360"/>
        </w:pPr>
        <w:rPr>
          <w:rFonts w:ascii="Times New Roman" w:hAnsi="Times New Roman" w:cs="Times New Roman" w:hint="default"/>
        </w:rPr>
      </w:lvl>
    </w:lvlOverride>
  </w:num>
  <w:num w:numId="429" w16cid:durableId="797064230">
    <w:abstractNumId w:val="80"/>
    <w:lvlOverride w:ilvl="0">
      <w:lvl w:ilvl="0">
        <w:start w:val="3"/>
        <w:numFmt w:val="decimal"/>
        <w:lvlText w:val="%1."/>
        <w:legacy w:legacy="1" w:legacySpace="0" w:legacyIndent="360"/>
        <w:lvlJc w:val="left"/>
        <w:pPr>
          <w:ind w:left="360" w:hanging="360"/>
        </w:pPr>
        <w:rPr>
          <w:rFonts w:ascii="Times New Roman" w:hAnsi="Times New Roman" w:cs="Times New Roman" w:hint="default"/>
        </w:rPr>
      </w:lvl>
    </w:lvlOverride>
  </w:num>
  <w:num w:numId="430" w16cid:durableId="2063092526">
    <w:abstractNumId w:val="80"/>
    <w:lvlOverride w:ilvl="0">
      <w:lvl w:ilvl="0">
        <w:start w:val="4"/>
        <w:numFmt w:val="decimal"/>
        <w:lvlText w:val="%1."/>
        <w:legacy w:legacy="1" w:legacySpace="0" w:legacyIndent="360"/>
        <w:lvlJc w:val="left"/>
        <w:pPr>
          <w:ind w:left="360" w:hanging="360"/>
        </w:pPr>
        <w:rPr>
          <w:rFonts w:ascii="Times New Roman" w:hAnsi="Times New Roman" w:cs="Times New Roman" w:hint="default"/>
        </w:rPr>
      </w:lvl>
    </w:lvlOverride>
  </w:num>
  <w:num w:numId="431" w16cid:durableId="291404937">
    <w:abstractNumId w:val="101"/>
  </w:num>
  <w:num w:numId="432" w16cid:durableId="824586559">
    <w:abstractNumId w:val="101"/>
    <w:lvlOverride w:ilvl="0">
      <w:lvl w:ilvl="0">
        <w:start w:val="6"/>
        <w:numFmt w:val="decimal"/>
        <w:lvlText w:val="%1."/>
        <w:legacy w:legacy="1" w:legacySpace="0" w:legacyIndent="360"/>
        <w:lvlJc w:val="left"/>
        <w:pPr>
          <w:ind w:left="360" w:hanging="360"/>
        </w:pPr>
        <w:rPr>
          <w:rFonts w:ascii="Times New Roman" w:hAnsi="Times New Roman" w:cs="Times New Roman" w:hint="default"/>
        </w:rPr>
      </w:lvl>
    </w:lvlOverride>
  </w:num>
  <w:num w:numId="433" w16cid:durableId="814949530">
    <w:abstractNumId w:val="101"/>
    <w:lvlOverride w:ilvl="0">
      <w:lvl w:ilvl="0">
        <w:start w:val="7"/>
        <w:numFmt w:val="decimal"/>
        <w:lvlText w:val="%1."/>
        <w:legacy w:legacy="1" w:legacySpace="0" w:legacyIndent="360"/>
        <w:lvlJc w:val="left"/>
        <w:pPr>
          <w:ind w:left="360" w:hanging="360"/>
        </w:pPr>
        <w:rPr>
          <w:rFonts w:ascii="Times New Roman" w:hAnsi="Times New Roman" w:cs="Times New Roman" w:hint="default"/>
        </w:rPr>
      </w:lvl>
    </w:lvlOverride>
  </w:num>
  <w:num w:numId="434" w16cid:durableId="939070896">
    <w:abstractNumId w:val="101"/>
    <w:lvlOverride w:ilvl="0">
      <w:lvl w:ilvl="0">
        <w:start w:val="8"/>
        <w:numFmt w:val="decimal"/>
        <w:lvlText w:val="%1."/>
        <w:legacy w:legacy="1" w:legacySpace="0" w:legacyIndent="360"/>
        <w:lvlJc w:val="left"/>
        <w:pPr>
          <w:ind w:left="360" w:hanging="360"/>
        </w:pPr>
        <w:rPr>
          <w:rFonts w:ascii="Times New Roman" w:hAnsi="Times New Roman" w:cs="Times New Roman" w:hint="default"/>
        </w:rPr>
      </w:lvl>
    </w:lvlOverride>
  </w:num>
  <w:num w:numId="435" w16cid:durableId="128978895">
    <w:abstractNumId w:val="150"/>
  </w:num>
  <w:num w:numId="436" w16cid:durableId="1956207158">
    <w:abstractNumId w:val="150"/>
    <w:lvlOverride w:ilvl="0">
      <w:lvl w:ilvl="0">
        <w:start w:val="10"/>
        <w:numFmt w:val="decimal"/>
        <w:lvlText w:val="%1."/>
        <w:legacy w:legacy="1" w:legacySpace="0" w:legacyIndent="360"/>
        <w:lvlJc w:val="left"/>
        <w:pPr>
          <w:ind w:left="360" w:hanging="360"/>
        </w:pPr>
        <w:rPr>
          <w:rFonts w:ascii="Times New Roman" w:hAnsi="Times New Roman" w:cs="Times New Roman" w:hint="default"/>
        </w:rPr>
      </w:lvl>
    </w:lvlOverride>
  </w:num>
  <w:num w:numId="437" w16cid:durableId="343098406">
    <w:abstractNumId w:val="150"/>
    <w:lvlOverride w:ilvl="0">
      <w:lvl w:ilvl="0">
        <w:start w:val="11"/>
        <w:numFmt w:val="decimal"/>
        <w:lvlText w:val="%1."/>
        <w:legacy w:legacy="1" w:legacySpace="0" w:legacyIndent="360"/>
        <w:lvlJc w:val="left"/>
        <w:pPr>
          <w:ind w:left="360" w:hanging="360"/>
        </w:pPr>
        <w:rPr>
          <w:rFonts w:ascii="Times New Roman" w:hAnsi="Times New Roman" w:cs="Times New Roman" w:hint="default"/>
        </w:rPr>
      </w:lvl>
    </w:lvlOverride>
  </w:num>
  <w:num w:numId="438" w16cid:durableId="899361036">
    <w:abstractNumId w:val="150"/>
    <w:lvlOverride w:ilvl="0">
      <w:lvl w:ilvl="0">
        <w:start w:val="12"/>
        <w:numFmt w:val="decimal"/>
        <w:lvlText w:val="%1."/>
        <w:legacy w:legacy="1" w:legacySpace="0" w:legacyIndent="360"/>
        <w:lvlJc w:val="left"/>
        <w:pPr>
          <w:ind w:left="360" w:hanging="360"/>
        </w:pPr>
        <w:rPr>
          <w:rFonts w:ascii="Times New Roman" w:hAnsi="Times New Roman" w:cs="Times New Roman" w:hint="default"/>
        </w:rPr>
      </w:lvl>
    </w:lvlOverride>
  </w:num>
  <w:num w:numId="439" w16cid:durableId="157577677">
    <w:abstractNumId w:val="150"/>
    <w:lvlOverride w:ilvl="0">
      <w:lvl w:ilvl="0">
        <w:start w:val="13"/>
        <w:numFmt w:val="decimal"/>
        <w:lvlText w:val="%1."/>
        <w:legacy w:legacy="1" w:legacySpace="0" w:legacyIndent="360"/>
        <w:lvlJc w:val="left"/>
        <w:pPr>
          <w:ind w:left="360" w:hanging="360"/>
        </w:pPr>
        <w:rPr>
          <w:rFonts w:ascii="Times New Roman" w:hAnsi="Times New Roman" w:cs="Times New Roman" w:hint="default"/>
        </w:rPr>
      </w:lvl>
    </w:lvlOverride>
  </w:num>
  <w:num w:numId="440" w16cid:durableId="1172329512">
    <w:abstractNumId w:val="93"/>
  </w:num>
  <w:num w:numId="441" w16cid:durableId="1576937627">
    <w:abstractNumId w:val="93"/>
    <w:lvlOverride w:ilvl="0">
      <w:startOverride w:val="6"/>
    </w:lvlOverride>
  </w:num>
  <w:num w:numId="442" w16cid:durableId="1227716041">
    <w:abstractNumId w:val="93"/>
    <w:lvlOverride w:ilvl="0">
      <w:startOverride w:val="7"/>
    </w:lvlOverride>
  </w:num>
  <w:num w:numId="443" w16cid:durableId="1677073340">
    <w:abstractNumId w:val="93"/>
    <w:lvlOverride w:ilvl="0">
      <w:startOverride w:val="8"/>
    </w:lvlOverride>
  </w:num>
  <w:num w:numId="444" w16cid:durableId="1250966896">
    <w:abstractNumId w:val="93"/>
    <w:lvlOverride w:ilvl="0">
      <w:startOverride w:val="9"/>
    </w:lvlOverride>
  </w:num>
  <w:num w:numId="445" w16cid:durableId="97995044">
    <w:abstractNumId w:val="93"/>
    <w:lvlOverride w:ilvl="0">
      <w:startOverride w:val="10"/>
    </w:lvlOverride>
  </w:num>
  <w:num w:numId="446" w16cid:durableId="1479347748">
    <w:abstractNumId w:val="93"/>
    <w:lvlOverride w:ilvl="0">
      <w:startOverride w:val="11"/>
    </w:lvlOverride>
  </w:num>
  <w:num w:numId="447" w16cid:durableId="1371373385">
    <w:abstractNumId w:val="93"/>
    <w:lvlOverride w:ilvl="0">
      <w:startOverride w:val="12"/>
    </w:lvlOverride>
  </w:num>
  <w:num w:numId="448" w16cid:durableId="1422146711">
    <w:abstractNumId w:val="46"/>
  </w:num>
  <w:num w:numId="449" w16cid:durableId="1184056645">
    <w:abstractNumId w:val="41"/>
  </w:num>
  <w:num w:numId="450" w16cid:durableId="1168788694">
    <w:abstractNumId w:val="2"/>
    <w:lvlOverride w:ilvl="0">
      <w:startOverride w:val="4"/>
    </w:lvlOverride>
  </w:num>
  <w:num w:numId="451" w16cid:durableId="1773208418">
    <w:abstractNumId w:val="2"/>
    <w:lvlOverride w:ilvl="0">
      <w:startOverride w:val="5"/>
    </w:lvlOverride>
  </w:num>
  <w:num w:numId="452" w16cid:durableId="91777789">
    <w:abstractNumId w:val="2"/>
    <w:lvlOverride w:ilvl="0">
      <w:startOverride w:val="6"/>
    </w:lvlOverride>
  </w:num>
  <w:num w:numId="453" w16cid:durableId="2123189211">
    <w:abstractNumId w:val="2"/>
    <w:lvlOverride w:ilvl="0">
      <w:startOverride w:val="7"/>
    </w:lvlOverride>
  </w:num>
  <w:num w:numId="454" w16cid:durableId="70322983">
    <w:abstractNumId w:val="78"/>
    <w:lvlOverride w:ilvl="0">
      <w:startOverride w:val="8"/>
    </w:lvlOverride>
  </w:num>
  <w:num w:numId="455" w16cid:durableId="1816141438">
    <w:abstractNumId w:val="78"/>
    <w:lvlOverride w:ilvl="0">
      <w:startOverride w:val="9"/>
    </w:lvlOverride>
  </w:num>
  <w:num w:numId="456" w16cid:durableId="1711876726">
    <w:abstractNumId w:val="9"/>
  </w:num>
  <w:num w:numId="457" w16cid:durableId="913975975">
    <w:abstractNumId w:val="12"/>
  </w:num>
  <w:num w:numId="458" w16cid:durableId="1153302543">
    <w:abstractNumId w:val="71"/>
  </w:num>
  <w:num w:numId="459" w16cid:durableId="998003110">
    <w:abstractNumId w:val="51"/>
  </w:num>
  <w:numIdMacAtCleanup w:val="4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hideGrammaticalErrors/>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03D98"/>
    <w:rsid w:val="0000440B"/>
    <w:rsid w:val="000048D0"/>
    <w:rsid w:val="00004CEE"/>
    <w:rsid w:val="00006C61"/>
    <w:rsid w:val="00015723"/>
    <w:rsid w:val="00015826"/>
    <w:rsid w:val="000205FE"/>
    <w:rsid w:val="00020DA2"/>
    <w:rsid w:val="00022A55"/>
    <w:rsid w:val="0002327B"/>
    <w:rsid w:val="000244D4"/>
    <w:rsid w:val="00024803"/>
    <w:rsid w:val="000259E5"/>
    <w:rsid w:val="000268E0"/>
    <w:rsid w:val="0003446D"/>
    <w:rsid w:val="00035626"/>
    <w:rsid w:val="00035895"/>
    <w:rsid w:val="00035F40"/>
    <w:rsid w:val="00037080"/>
    <w:rsid w:val="00040C94"/>
    <w:rsid w:val="00040C95"/>
    <w:rsid w:val="0004162D"/>
    <w:rsid w:val="000429A1"/>
    <w:rsid w:val="00045F60"/>
    <w:rsid w:val="00046E51"/>
    <w:rsid w:val="000502B4"/>
    <w:rsid w:val="00053C2F"/>
    <w:rsid w:val="00054834"/>
    <w:rsid w:val="00056252"/>
    <w:rsid w:val="00062B2D"/>
    <w:rsid w:val="00063988"/>
    <w:rsid w:val="00065021"/>
    <w:rsid w:val="000656DA"/>
    <w:rsid w:val="00067174"/>
    <w:rsid w:val="00067E90"/>
    <w:rsid w:val="000701C9"/>
    <w:rsid w:val="0007105E"/>
    <w:rsid w:val="00071897"/>
    <w:rsid w:val="00071F1F"/>
    <w:rsid w:val="000723F3"/>
    <w:rsid w:val="0007455B"/>
    <w:rsid w:val="00075333"/>
    <w:rsid w:val="000768A2"/>
    <w:rsid w:val="00077B5F"/>
    <w:rsid w:val="00080504"/>
    <w:rsid w:val="00084A10"/>
    <w:rsid w:val="00084E79"/>
    <w:rsid w:val="0008514E"/>
    <w:rsid w:val="000904A1"/>
    <w:rsid w:val="000914FB"/>
    <w:rsid w:val="00091E70"/>
    <w:rsid w:val="00093974"/>
    <w:rsid w:val="00094AE4"/>
    <w:rsid w:val="00095B9C"/>
    <w:rsid w:val="0009620A"/>
    <w:rsid w:val="00096706"/>
    <w:rsid w:val="0009738D"/>
    <w:rsid w:val="0009760C"/>
    <w:rsid w:val="000A0B18"/>
    <w:rsid w:val="000A15EA"/>
    <w:rsid w:val="000A35D7"/>
    <w:rsid w:val="000A50B4"/>
    <w:rsid w:val="000A787B"/>
    <w:rsid w:val="000B01C4"/>
    <w:rsid w:val="000B1B08"/>
    <w:rsid w:val="000B2414"/>
    <w:rsid w:val="000B41D6"/>
    <w:rsid w:val="000B4230"/>
    <w:rsid w:val="000C4BE0"/>
    <w:rsid w:val="000D03EE"/>
    <w:rsid w:val="000D2C28"/>
    <w:rsid w:val="000D47D9"/>
    <w:rsid w:val="000D4A20"/>
    <w:rsid w:val="000D4CFB"/>
    <w:rsid w:val="000E0368"/>
    <w:rsid w:val="000E38DB"/>
    <w:rsid w:val="000E63D3"/>
    <w:rsid w:val="000F0C05"/>
    <w:rsid w:val="000F1987"/>
    <w:rsid w:val="000F221B"/>
    <w:rsid w:val="000F30A8"/>
    <w:rsid w:val="000F6E1F"/>
    <w:rsid w:val="000F7829"/>
    <w:rsid w:val="0010250B"/>
    <w:rsid w:val="0010273D"/>
    <w:rsid w:val="00103186"/>
    <w:rsid w:val="00111E22"/>
    <w:rsid w:val="001122C0"/>
    <w:rsid w:val="00113D98"/>
    <w:rsid w:val="00114F15"/>
    <w:rsid w:val="00116626"/>
    <w:rsid w:val="00120DFB"/>
    <w:rsid w:val="00121858"/>
    <w:rsid w:val="0012348E"/>
    <w:rsid w:val="00125FE3"/>
    <w:rsid w:val="00130484"/>
    <w:rsid w:val="00140A37"/>
    <w:rsid w:val="00143E28"/>
    <w:rsid w:val="00145AFC"/>
    <w:rsid w:val="00145E2A"/>
    <w:rsid w:val="001470B0"/>
    <w:rsid w:val="0015074C"/>
    <w:rsid w:val="00150B7E"/>
    <w:rsid w:val="00150B9C"/>
    <w:rsid w:val="00150BD8"/>
    <w:rsid w:val="001512A9"/>
    <w:rsid w:val="00153F88"/>
    <w:rsid w:val="00155128"/>
    <w:rsid w:val="00156946"/>
    <w:rsid w:val="00161F61"/>
    <w:rsid w:val="00162762"/>
    <w:rsid w:val="00166499"/>
    <w:rsid w:val="00166A21"/>
    <w:rsid w:val="00167BB0"/>
    <w:rsid w:val="00170019"/>
    <w:rsid w:val="00170D88"/>
    <w:rsid w:val="001748B7"/>
    <w:rsid w:val="00175890"/>
    <w:rsid w:val="00180F83"/>
    <w:rsid w:val="0018342B"/>
    <w:rsid w:val="001836B7"/>
    <w:rsid w:val="00183C6C"/>
    <w:rsid w:val="00185C06"/>
    <w:rsid w:val="001911F8"/>
    <w:rsid w:val="00192E97"/>
    <w:rsid w:val="00193C02"/>
    <w:rsid w:val="001960CB"/>
    <w:rsid w:val="00197613"/>
    <w:rsid w:val="00197B29"/>
    <w:rsid w:val="001A2CAE"/>
    <w:rsid w:val="001A3DF7"/>
    <w:rsid w:val="001A42D5"/>
    <w:rsid w:val="001A6981"/>
    <w:rsid w:val="001A7A44"/>
    <w:rsid w:val="001B0090"/>
    <w:rsid w:val="001B11E8"/>
    <w:rsid w:val="001B1619"/>
    <w:rsid w:val="001B3BDD"/>
    <w:rsid w:val="001B7599"/>
    <w:rsid w:val="001B7C90"/>
    <w:rsid w:val="001C2E3A"/>
    <w:rsid w:val="001C2FB0"/>
    <w:rsid w:val="001C32AD"/>
    <w:rsid w:val="001C5008"/>
    <w:rsid w:val="001C6342"/>
    <w:rsid w:val="001D2F8A"/>
    <w:rsid w:val="001D30E3"/>
    <w:rsid w:val="001D3320"/>
    <w:rsid w:val="001D47E8"/>
    <w:rsid w:val="001D4DD5"/>
    <w:rsid w:val="001D6BD7"/>
    <w:rsid w:val="001E1317"/>
    <w:rsid w:val="001E4A85"/>
    <w:rsid w:val="001E60C4"/>
    <w:rsid w:val="001E6614"/>
    <w:rsid w:val="001F3595"/>
    <w:rsid w:val="001F72EB"/>
    <w:rsid w:val="001F7908"/>
    <w:rsid w:val="00201255"/>
    <w:rsid w:val="00201C04"/>
    <w:rsid w:val="00206636"/>
    <w:rsid w:val="00212556"/>
    <w:rsid w:val="0021316D"/>
    <w:rsid w:val="00213252"/>
    <w:rsid w:val="00217870"/>
    <w:rsid w:val="002217A6"/>
    <w:rsid w:val="00221E53"/>
    <w:rsid w:val="002226C2"/>
    <w:rsid w:val="00223C0C"/>
    <w:rsid w:val="00224D80"/>
    <w:rsid w:val="00226F9C"/>
    <w:rsid w:val="00231D42"/>
    <w:rsid w:val="002346CC"/>
    <w:rsid w:val="00235986"/>
    <w:rsid w:val="00235A80"/>
    <w:rsid w:val="00237152"/>
    <w:rsid w:val="00237F26"/>
    <w:rsid w:val="002401AD"/>
    <w:rsid w:val="0024489B"/>
    <w:rsid w:val="00244DD2"/>
    <w:rsid w:val="002453E1"/>
    <w:rsid w:val="00245CC2"/>
    <w:rsid w:val="00247A10"/>
    <w:rsid w:val="00247A63"/>
    <w:rsid w:val="00252726"/>
    <w:rsid w:val="002527AE"/>
    <w:rsid w:val="002535BD"/>
    <w:rsid w:val="00254098"/>
    <w:rsid w:val="0025433E"/>
    <w:rsid w:val="00254492"/>
    <w:rsid w:val="00260BE5"/>
    <w:rsid w:val="002620B8"/>
    <w:rsid w:val="00264C23"/>
    <w:rsid w:val="00264DA9"/>
    <w:rsid w:val="00270580"/>
    <w:rsid w:val="00270743"/>
    <w:rsid w:val="00276C35"/>
    <w:rsid w:val="00282617"/>
    <w:rsid w:val="00290858"/>
    <w:rsid w:val="002910CF"/>
    <w:rsid w:val="00291347"/>
    <w:rsid w:val="002913B1"/>
    <w:rsid w:val="00292E07"/>
    <w:rsid w:val="00296374"/>
    <w:rsid w:val="00297268"/>
    <w:rsid w:val="002A6BEA"/>
    <w:rsid w:val="002B259F"/>
    <w:rsid w:val="002B3EFC"/>
    <w:rsid w:val="002B6EFF"/>
    <w:rsid w:val="002C03D8"/>
    <w:rsid w:val="002C29D9"/>
    <w:rsid w:val="002C3CAD"/>
    <w:rsid w:val="002C580E"/>
    <w:rsid w:val="002C7BF8"/>
    <w:rsid w:val="002D5408"/>
    <w:rsid w:val="002D74CC"/>
    <w:rsid w:val="002E1BE7"/>
    <w:rsid w:val="002E1DEE"/>
    <w:rsid w:val="002E2083"/>
    <w:rsid w:val="002E24E6"/>
    <w:rsid w:val="002E2835"/>
    <w:rsid w:val="002E3209"/>
    <w:rsid w:val="002E47F6"/>
    <w:rsid w:val="002E5B02"/>
    <w:rsid w:val="002E6AE0"/>
    <w:rsid w:val="002F0F01"/>
    <w:rsid w:val="002F14D1"/>
    <w:rsid w:val="002F34E6"/>
    <w:rsid w:val="003004AC"/>
    <w:rsid w:val="003026DB"/>
    <w:rsid w:val="00302848"/>
    <w:rsid w:val="00303EFB"/>
    <w:rsid w:val="00305638"/>
    <w:rsid w:val="0030712B"/>
    <w:rsid w:val="00307FF7"/>
    <w:rsid w:val="00310B25"/>
    <w:rsid w:val="00311F12"/>
    <w:rsid w:val="00312320"/>
    <w:rsid w:val="003146EA"/>
    <w:rsid w:val="003172F1"/>
    <w:rsid w:val="00321E7A"/>
    <w:rsid w:val="00323684"/>
    <w:rsid w:val="0033159A"/>
    <w:rsid w:val="0033249E"/>
    <w:rsid w:val="003353B3"/>
    <w:rsid w:val="00335E69"/>
    <w:rsid w:val="003366DD"/>
    <w:rsid w:val="003417C8"/>
    <w:rsid w:val="00342052"/>
    <w:rsid w:val="003423C9"/>
    <w:rsid w:val="0034402C"/>
    <w:rsid w:val="003446BF"/>
    <w:rsid w:val="00347975"/>
    <w:rsid w:val="00352221"/>
    <w:rsid w:val="00352C76"/>
    <w:rsid w:val="00354C71"/>
    <w:rsid w:val="00360AC0"/>
    <w:rsid w:val="00360F52"/>
    <w:rsid w:val="00361643"/>
    <w:rsid w:val="003628CD"/>
    <w:rsid w:val="00362C4F"/>
    <w:rsid w:val="00366092"/>
    <w:rsid w:val="003705F0"/>
    <w:rsid w:val="00371007"/>
    <w:rsid w:val="00371531"/>
    <w:rsid w:val="00373B27"/>
    <w:rsid w:val="00373CC8"/>
    <w:rsid w:val="00375BEC"/>
    <w:rsid w:val="00382475"/>
    <w:rsid w:val="00383A71"/>
    <w:rsid w:val="00384696"/>
    <w:rsid w:val="00385FF5"/>
    <w:rsid w:val="00387381"/>
    <w:rsid w:val="00387981"/>
    <w:rsid w:val="00392001"/>
    <w:rsid w:val="0039292A"/>
    <w:rsid w:val="00393D95"/>
    <w:rsid w:val="003956C5"/>
    <w:rsid w:val="003958B1"/>
    <w:rsid w:val="00396DDE"/>
    <w:rsid w:val="003A1911"/>
    <w:rsid w:val="003A3EA7"/>
    <w:rsid w:val="003B1D44"/>
    <w:rsid w:val="003B3D9F"/>
    <w:rsid w:val="003C1030"/>
    <w:rsid w:val="003C1335"/>
    <w:rsid w:val="003C3117"/>
    <w:rsid w:val="003C418A"/>
    <w:rsid w:val="003C4CEF"/>
    <w:rsid w:val="003C733E"/>
    <w:rsid w:val="003D5AB6"/>
    <w:rsid w:val="003E0642"/>
    <w:rsid w:val="003E25C3"/>
    <w:rsid w:val="003E339D"/>
    <w:rsid w:val="003E442B"/>
    <w:rsid w:val="003E67DC"/>
    <w:rsid w:val="003E6913"/>
    <w:rsid w:val="003E6E3B"/>
    <w:rsid w:val="003F2394"/>
    <w:rsid w:val="003F31F3"/>
    <w:rsid w:val="003F55A7"/>
    <w:rsid w:val="003F580B"/>
    <w:rsid w:val="003F6D62"/>
    <w:rsid w:val="003F7F5F"/>
    <w:rsid w:val="004014A7"/>
    <w:rsid w:val="00403CBA"/>
    <w:rsid w:val="00404414"/>
    <w:rsid w:val="004050DA"/>
    <w:rsid w:val="00407660"/>
    <w:rsid w:val="00407C9A"/>
    <w:rsid w:val="00407F5B"/>
    <w:rsid w:val="00410552"/>
    <w:rsid w:val="004125F7"/>
    <w:rsid w:val="00413CD7"/>
    <w:rsid w:val="00413D6B"/>
    <w:rsid w:val="00416641"/>
    <w:rsid w:val="00421459"/>
    <w:rsid w:val="00426D01"/>
    <w:rsid w:val="00427C3C"/>
    <w:rsid w:val="00427F64"/>
    <w:rsid w:val="00430310"/>
    <w:rsid w:val="00431D7D"/>
    <w:rsid w:val="004345CC"/>
    <w:rsid w:val="0043495B"/>
    <w:rsid w:val="00435D80"/>
    <w:rsid w:val="00436E2B"/>
    <w:rsid w:val="004414F9"/>
    <w:rsid w:val="0044195E"/>
    <w:rsid w:val="0044280B"/>
    <w:rsid w:val="0044428B"/>
    <w:rsid w:val="0044524F"/>
    <w:rsid w:val="0044563D"/>
    <w:rsid w:val="00446A93"/>
    <w:rsid w:val="00447DDC"/>
    <w:rsid w:val="004539AF"/>
    <w:rsid w:val="00455388"/>
    <w:rsid w:val="00460F2B"/>
    <w:rsid w:val="004622D9"/>
    <w:rsid w:val="00462FCF"/>
    <w:rsid w:val="0046798F"/>
    <w:rsid w:val="0047089C"/>
    <w:rsid w:val="0047154B"/>
    <w:rsid w:val="00474353"/>
    <w:rsid w:val="004750BC"/>
    <w:rsid w:val="00476220"/>
    <w:rsid w:val="0047630E"/>
    <w:rsid w:val="00481FC0"/>
    <w:rsid w:val="004852A6"/>
    <w:rsid w:val="004868FE"/>
    <w:rsid w:val="004876B8"/>
    <w:rsid w:val="00487C9C"/>
    <w:rsid w:val="004907CB"/>
    <w:rsid w:val="0049110B"/>
    <w:rsid w:val="004927AD"/>
    <w:rsid w:val="00493616"/>
    <w:rsid w:val="004946F7"/>
    <w:rsid w:val="00494802"/>
    <w:rsid w:val="004949CB"/>
    <w:rsid w:val="0049741B"/>
    <w:rsid w:val="004A1358"/>
    <w:rsid w:val="004A5B76"/>
    <w:rsid w:val="004A63B5"/>
    <w:rsid w:val="004B0814"/>
    <w:rsid w:val="004B1089"/>
    <w:rsid w:val="004B157C"/>
    <w:rsid w:val="004B5021"/>
    <w:rsid w:val="004C18EC"/>
    <w:rsid w:val="004C1FC0"/>
    <w:rsid w:val="004C24F7"/>
    <w:rsid w:val="004C6249"/>
    <w:rsid w:val="004D7C42"/>
    <w:rsid w:val="004E10C1"/>
    <w:rsid w:val="004E284F"/>
    <w:rsid w:val="004E474B"/>
    <w:rsid w:val="004E5B4E"/>
    <w:rsid w:val="004F4B32"/>
    <w:rsid w:val="004F4BE1"/>
    <w:rsid w:val="004F587F"/>
    <w:rsid w:val="004F6CFB"/>
    <w:rsid w:val="00506FF6"/>
    <w:rsid w:val="005119C8"/>
    <w:rsid w:val="00516F49"/>
    <w:rsid w:val="005228D6"/>
    <w:rsid w:val="00523E47"/>
    <w:rsid w:val="005250E9"/>
    <w:rsid w:val="005258EA"/>
    <w:rsid w:val="0052661D"/>
    <w:rsid w:val="005321A5"/>
    <w:rsid w:val="00537F9D"/>
    <w:rsid w:val="00550226"/>
    <w:rsid w:val="00552872"/>
    <w:rsid w:val="00553C91"/>
    <w:rsid w:val="00553DBA"/>
    <w:rsid w:val="00553E52"/>
    <w:rsid w:val="00555697"/>
    <w:rsid w:val="005611E5"/>
    <w:rsid w:val="00562118"/>
    <w:rsid w:val="005653D4"/>
    <w:rsid w:val="00570C39"/>
    <w:rsid w:val="00573F27"/>
    <w:rsid w:val="00582173"/>
    <w:rsid w:val="0058354C"/>
    <w:rsid w:val="00583790"/>
    <w:rsid w:val="00585A9A"/>
    <w:rsid w:val="00585C8D"/>
    <w:rsid w:val="0059042B"/>
    <w:rsid w:val="005949A8"/>
    <w:rsid w:val="0059665B"/>
    <w:rsid w:val="00597A66"/>
    <w:rsid w:val="005A1B41"/>
    <w:rsid w:val="005A361E"/>
    <w:rsid w:val="005A3A2B"/>
    <w:rsid w:val="005A53A8"/>
    <w:rsid w:val="005A6C7B"/>
    <w:rsid w:val="005B3366"/>
    <w:rsid w:val="005B4B1E"/>
    <w:rsid w:val="005B4FE8"/>
    <w:rsid w:val="005B5149"/>
    <w:rsid w:val="005B6001"/>
    <w:rsid w:val="005C0DE4"/>
    <w:rsid w:val="005C3848"/>
    <w:rsid w:val="005C3E23"/>
    <w:rsid w:val="005C5558"/>
    <w:rsid w:val="005D0E3B"/>
    <w:rsid w:val="005D3D2E"/>
    <w:rsid w:val="005D434A"/>
    <w:rsid w:val="005E0042"/>
    <w:rsid w:val="005E4457"/>
    <w:rsid w:val="005E4C87"/>
    <w:rsid w:val="005E5E71"/>
    <w:rsid w:val="005F0450"/>
    <w:rsid w:val="005F068E"/>
    <w:rsid w:val="005F1848"/>
    <w:rsid w:val="005F59D0"/>
    <w:rsid w:val="005F77D1"/>
    <w:rsid w:val="00602186"/>
    <w:rsid w:val="00606F47"/>
    <w:rsid w:val="00607F6B"/>
    <w:rsid w:val="0061497A"/>
    <w:rsid w:val="0062000C"/>
    <w:rsid w:val="006208B0"/>
    <w:rsid w:val="006209C4"/>
    <w:rsid w:val="00622232"/>
    <w:rsid w:val="00623094"/>
    <w:rsid w:val="00625DC6"/>
    <w:rsid w:val="006268DA"/>
    <w:rsid w:val="00627F5A"/>
    <w:rsid w:val="006321CD"/>
    <w:rsid w:val="00633EBB"/>
    <w:rsid w:val="00636E66"/>
    <w:rsid w:val="006401B2"/>
    <w:rsid w:val="00640A34"/>
    <w:rsid w:val="00640C94"/>
    <w:rsid w:val="00640E1D"/>
    <w:rsid w:val="00642049"/>
    <w:rsid w:val="006446C0"/>
    <w:rsid w:val="00645745"/>
    <w:rsid w:val="006474C8"/>
    <w:rsid w:val="006479D8"/>
    <w:rsid w:val="00654D18"/>
    <w:rsid w:val="0066127E"/>
    <w:rsid w:val="00661CFE"/>
    <w:rsid w:val="00662C0F"/>
    <w:rsid w:val="0066440B"/>
    <w:rsid w:val="00664564"/>
    <w:rsid w:val="00671E59"/>
    <w:rsid w:val="006729A9"/>
    <w:rsid w:val="00681942"/>
    <w:rsid w:val="00681A8C"/>
    <w:rsid w:val="0068213E"/>
    <w:rsid w:val="0068370E"/>
    <w:rsid w:val="00683A37"/>
    <w:rsid w:val="00685DD5"/>
    <w:rsid w:val="00685DD7"/>
    <w:rsid w:val="006909F7"/>
    <w:rsid w:val="00691813"/>
    <w:rsid w:val="00694BFD"/>
    <w:rsid w:val="0069553B"/>
    <w:rsid w:val="006967A7"/>
    <w:rsid w:val="00697A24"/>
    <w:rsid w:val="006A14F5"/>
    <w:rsid w:val="006A2601"/>
    <w:rsid w:val="006A4DAE"/>
    <w:rsid w:val="006A5853"/>
    <w:rsid w:val="006A5EEF"/>
    <w:rsid w:val="006A681E"/>
    <w:rsid w:val="006A69B2"/>
    <w:rsid w:val="006A7D5C"/>
    <w:rsid w:val="006B0A16"/>
    <w:rsid w:val="006B0B5F"/>
    <w:rsid w:val="006B155B"/>
    <w:rsid w:val="006B4FD0"/>
    <w:rsid w:val="006B711D"/>
    <w:rsid w:val="006B7271"/>
    <w:rsid w:val="006C01E5"/>
    <w:rsid w:val="006C13C1"/>
    <w:rsid w:val="006C4664"/>
    <w:rsid w:val="006C4F6D"/>
    <w:rsid w:val="006C50AE"/>
    <w:rsid w:val="006C77DB"/>
    <w:rsid w:val="006D155E"/>
    <w:rsid w:val="006D4D50"/>
    <w:rsid w:val="006E4F50"/>
    <w:rsid w:val="006E56A1"/>
    <w:rsid w:val="006F02D8"/>
    <w:rsid w:val="006F1C62"/>
    <w:rsid w:val="006F2F8B"/>
    <w:rsid w:val="00703F7E"/>
    <w:rsid w:val="007112AB"/>
    <w:rsid w:val="00716C34"/>
    <w:rsid w:val="007218D2"/>
    <w:rsid w:val="0072397D"/>
    <w:rsid w:val="007251CB"/>
    <w:rsid w:val="00727216"/>
    <w:rsid w:val="00742DA3"/>
    <w:rsid w:val="00743B33"/>
    <w:rsid w:val="00745F09"/>
    <w:rsid w:val="007461D7"/>
    <w:rsid w:val="00746843"/>
    <w:rsid w:val="00746A80"/>
    <w:rsid w:val="00753E29"/>
    <w:rsid w:val="00754D0B"/>
    <w:rsid w:val="00755546"/>
    <w:rsid w:val="00755821"/>
    <w:rsid w:val="00760051"/>
    <w:rsid w:val="0077410B"/>
    <w:rsid w:val="00775806"/>
    <w:rsid w:val="0078175A"/>
    <w:rsid w:val="0078320D"/>
    <w:rsid w:val="0078560A"/>
    <w:rsid w:val="00785FB6"/>
    <w:rsid w:val="00786542"/>
    <w:rsid w:val="0078659D"/>
    <w:rsid w:val="00790393"/>
    <w:rsid w:val="007906C7"/>
    <w:rsid w:val="00791F8F"/>
    <w:rsid w:val="0079255B"/>
    <w:rsid w:val="007937A6"/>
    <w:rsid w:val="007A024B"/>
    <w:rsid w:val="007A2A20"/>
    <w:rsid w:val="007A5984"/>
    <w:rsid w:val="007A7AC1"/>
    <w:rsid w:val="007B03F0"/>
    <w:rsid w:val="007B1F99"/>
    <w:rsid w:val="007B60FC"/>
    <w:rsid w:val="007B667E"/>
    <w:rsid w:val="007C00E8"/>
    <w:rsid w:val="007C27C6"/>
    <w:rsid w:val="007C6BD8"/>
    <w:rsid w:val="007D171D"/>
    <w:rsid w:val="007D2353"/>
    <w:rsid w:val="007D532D"/>
    <w:rsid w:val="007E2B8A"/>
    <w:rsid w:val="007E448A"/>
    <w:rsid w:val="007E4B5E"/>
    <w:rsid w:val="007E4C1C"/>
    <w:rsid w:val="007E5FA7"/>
    <w:rsid w:val="007F05D7"/>
    <w:rsid w:val="007F0600"/>
    <w:rsid w:val="007F23E2"/>
    <w:rsid w:val="007F3AE2"/>
    <w:rsid w:val="007F562C"/>
    <w:rsid w:val="007F5702"/>
    <w:rsid w:val="008019CE"/>
    <w:rsid w:val="00804D55"/>
    <w:rsid w:val="00805152"/>
    <w:rsid w:val="0080592A"/>
    <w:rsid w:val="0080789B"/>
    <w:rsid w:val="00810511"/>
    <w:rsid w:val="00810F58"/>
    <w:rsid w:val="00812F7F"/>
    <w:rsid w:val="00813435"/>
    <w:rsid w:val="00814683"/>
    <w:rsid w:val="00815390"/>
    <w:rsid w:val="00820904"/>
    <w:rsid w:val="00820A14"/>
    <w:rsid w:val="0082112D"/>
    <w:rsid w:val="00823BD7"/>
    <w:rsid w:val="00836DBF"/>
    <w:rsid w:val="00837BF8"/>
    <w:rsid w:val="008417A6"/>
    <w:rsid w:val="00841CFC"/>
    <w:rsid w:val="00847535"/>
    <w:rsid w:val="0084779D"/>
    <w:rsid w:val="0085124E"/>
    <w:rsid w:val="00851A97"/>
    <w:rsid w:val="008524B2"/>
    <w:rsid w:val="00853C3C"/>
    <w:rsid w:val="008553FB"/>
    <w:rsid w:val="00863284"/>
    <w:rsid w:val="00863F47"/>
    <w:rsid w:val="008655C6"/>
    <w:rsid w:val="00866C07"/>
    <w:rsid w:val="00871A0E"/>
    <w:rsid w:val="00881227"/>
    <w:rsid w:val="008815DC"/>
    <w:rsid w:val="00882140"/>
    <w:rsid w:val="0088747B"/>
    <w:rsid w:val="00887639"/>
    <w:rsid w:val="00887CC8"/>
    <w:rsid w:val="008911EF"/>
    <w:rsid w:val="0089171E"/>
    <w:rsid w:val="0089252B"/>
    <w:rsid w:val="00896025"/>
    <w:rsid w:val="00896E83"/>
    <w:rsid w:val="008A0184"/>
    <w:rsid w:val="008A1994"/>
    <w:rsid w:val="008A2CDB"/>
    <w:rsid w:val="008A3D83"/>
    <w:rsid w:val="008A5189"/>
    <w:rsid w:val="008A6A4E"/>
    <w:rsid w:val="008B6A65"/>
    <w:rsid w:val="008C346C"/>
    <w:rsid w:val="008C37AA"/>
    <w:rsid w:val="008C3A2F"/>
    <w:rsid w:val="008C481E"/>
    <w:rsid w:val="008C59D2"/>
    <w:rsid w:val="008C5AAD"/>
    <w:rsid w:val="008C6458"/>
    <w:rsid w:val="008C761D"/>
    <w:rsid w:val="008D15E1"/>
    <w:rsid w:val="008D1795"/>
    <w:rsid w:val="008D249A"/>
    <w:rsid w:val="008D2E02"/>
    <w:rsid w:val="008D5554"/>
    <w:rsid w:val="008D5CF7"/>
    <w:rsid w:val="008E0FBF"/>
    <w:rsid w:val="008E26BD"/>
    <w:rsid w:val="008E43FA"/>
    <w:rsid w:val="008E51C3"/>
    <w:rsid w:val="008E59AC"/>
    <w:rsid w:val="008E7A66"/>
    <w:rsid w:val="008F1DD6"/>
    <w:rsid w:val="008F721E"/>
    <w:rsid w:val="00900AA0"/>
    <w:rsid w:val="00901063"/>
    <w:rsid w:val="00902533"/>
    <w:rsid w:val="00902BA3"/>
    <w:rsid w:val="00904E0B"/>
    <w:rsid w:val="0090518E"/>
    <w:rsid w:val="00910933"/>
    <w:rsid w:val="00910A99"/>
    <w:rsid w:val="00914080"/>
    <w:rsid w:val="0091437E"/>
    <w:rsid w:val="00917A7A"/>
    <w:rsid w:val="009212F1"/>
    <w:rsid w:val="009217C6"/>
    <w:rsid w:val="0092497E"/>
    <w:rsid w:val="0092785F"/>
    <w:rsid w:val="00930697"/>
    <w:rsid w:val="00933F24"/>
    <w:rsid w:val="009401EE"/>
    <w:rsid w:val="00945ABF"/>
    <w:rsid w:val="00945BF8"/>
    <w:rsid w:val="0094728C"/>
    <w:rsid w:val="0095246B"/>
    <w:rsid w:val="00954CDF"/>
    <w:rsid w:val="00956BB9"/>
    <w:rsid w:val="00957053"/>
    <w:rsid w:val="00961132"/>
    <w:rsid w:val="00962982"/>
    <w:rsid w:val="00964726"/>
    <w:rsid w:val="009654CF"/>
    <w:rsid w:val="00965F83"/>
    <w:rsid w:val="009674FE"/>
    <w:rsid w:val="0097131C"/>
    <w:rsid w:val="009765C4"/>
    <w:rsid w:val="009803CB"/>
    <w:rsid w:val="0098523B"/>
    <w:rsid w:val="00986AFC"/>
    <w:rsid w:val="009870BF"/>
    <w:rsid w:val="00990F31"/>
    <w:rsid w:val="00991BE3"/>
    <w:rsid w:val="0099326C"/>
    <w:rsid w:val="0099326E"/>
    <w:rsid w:val="0099583E"/>
    <w:rsid w:val="00995B13"/>
    <w:rsid w:val="00997E77"/>
    <w:rsid w:val="009A1872"/>
    <w:rsid w:val="009A4E8B"/>
    <w:rsid w:val="009A6572"/>
    <w:rsid w:val="009A7962"/>
    <w:rsid w:val="009C00B3"/>
    <w:rsid w:val="009C29C9"/>
    <w:rsid w:val="009C37DA"/>
    <w:rsid w:val="009D0510"/>
    <w:rsid w:val="009D11B6"/>
    <w:rsid w:val="009D1EF2"/>
    <w:rsid w:val="009D44EF"/>
    <w:rsid w:val="009D5BB7"/>
    <w:rsid w:val="009D616C"/>
    <w:rsid w:val="009E3DAA"/>
    <w:rsid w:val="009E4F90"/>
    <w:rsid w:val="009E7199"/>
    <w:rsid w:val="009F44F5"/>
    <w:rsid w:val="009F4E71"/>
    <w:rsid w:val="009F6B03"/>
    <w:rsid w:val="009F752F"/>
    <w:rsid w:val="009F758E"/>
    <w:rsid w:val="00A021CE"/>
    <w:rsid w:val="00A0257D"/>
    <w:rsid w:val="00A03AB0"/>
    <w:rsid w:val="00A1059C"/>
    <w:rsid w:val="00A10B21"/>
    <w:rsid w:val="00A16CE3"/>
    <w:rsid w:val="00A23B2B"/>
    <w:rsid w:val="00A24FE3"/>
    <w:rsid w:val="00A2543A"/>
    <w:rsid w:val="00A257DB"/>
    <w:rsid w:val="00A316A6"/>
    <w:rsid w:val="00A31E28"/>
    <w:rsid w:val="00A31F9B"/>
    <w:rsid w:val="00A32ABF"/>
    <w:rsid w:val="00A36FFD"/>
    <w:rsid w:val="00A378B3"/>
    <w:rsid w:val="00A4146F"/>
    <w:rsid w:val="00A47E93"/>
    <w:rsid w:val="00A503A4"/>
    <w:rsid w:val="00A5123E"/>
    <w:rsid w:val="00A61E06"/>
    <w:rsid w:val="00A62F5F"/>
    <w:rsid w:val="00A630EB"/>
    <w:rsid w:val="00A63AAE"/>
    <w:rsid w:val="00A64B86"/>
    <w:rsid w:val="00A738D8"/>
    <w:rsid w:val="00A74739"/>
    <w:rsid w:val="00A76142"/>
    <w:rsid w:val="00A804B1"/>
    <w:rsid w:val="00A82C31"/>
    <w:rsid w:val="00A8497D"/>
    <w:rsid w:val="00A91CEB"/>
    <w:rsid w:val="00A923D5"/>
    <w:rsid w:val="00A92F35"/>
    <w:rsid w:val="00A952AA"/>
    <w:rsid w:val="00A954CF"/>
    <w:rsid w:val="00A96A0F"/>
    <w:rsid w:val="00AA01CF"/>
    <w:rsid w:val="00AA1040"/>
    <w:rsid w:val="00AA1F4A"/>
    <w:rsid w:val="00AA3EB5"/>
    <w:rsid w:val="00AA4C72"/>
    <w:rsid w:val="00AA59BC"/>
    <w:rsid w:val="00AA5D8E"/>
    <w:rsid w:val="00AA6296"/>
    <w:rsid w:val="00AB0377"/>
    <w:rsid w:val="00AB0A63"/>
    <w:rsid w:val="00AB1245"/>
    <w:rsid w:val="00AB1DA9"/>
    <w:rsid w:val="00AB2BB0"/>
    <w:rsid w:val="00AB6AA0"/>
    <w:rsid w:val="00AC12ED"/>
    <w:rsid w:val="00AC17BA"/>
    <w:rsid w:val="00AC244E"/>
    <w:rsid w:val="00AC30BC"/>
    <w:rsid w:val="00AC4C77"/>
    <w:rsid w:val="00AC6457"/>
    <w:rsid w:val="00AD0645"/>
    <w:rsid w:val="00AD1D3C"/>
    <w:rsid w:val="00AD329D"/>
    <w:rsid w:val="00AD36C0"/>
    <w:rsid w:val="00AD3AD2"/>
    <w:rsid w:val="00AD4CDF"/>
    <w:rsid w:val="00AD4FAB"/>
    <w:rsid w:val="00AD6ECD"/>
    <w:rsid w:val="00AE0014"/>
    <w:rsid w:val="00AE3430"/>
    <w:rsid w:val="00AE4021"/>
    <w:rsid w:val="00AE51CE"/>
    <w:rsid w:val="00AE6002"/>
    <w:rsid w:val="00AE6ED4"/>
    <w:rsid w:val="00AF2EC7"/>
    <w:rsid w:val="00B0162D"/>
    <w:rsid w:val="00B01BFB"/>
    <w:rsid w:val="00B020D5"/>
    <w:rsid w:val="00B02BDF"/>
    <w:rsid w:val="00B04519"/>
    <w:rsid w:val="00B06AD3"/>
    <w:rsid w:val="00B07C66"/>
    <w:rsid w:val="00B154EA"/>
    <w:rsid w:val="00B15BD2"/>
    <w:rsid w:val="00B16375"/>
    <w:rsid w:val="00B2303C"/>
    <w:rsid w:val="00B26E21"/>
    <w:rsid w:val="00B34788"/>
    <w:rsid w:val="00B35148"/>
    <w:rsid w:val="00B3576E"/>
    <w:rsid w:val="00B4260E"/>
    <w:rsid w:val="00B4520E"/>
    <w:rsid w:val="00B46E0E"/>
    <w:rsid w:val="00B55CC8"/>
    <w:rsid w:val="00B570C6"/>
    <w:rsid w:val="00B61547"/>
    <w:rsid w:val="00B637C8"/>
    <w:rsid w:val="00B64972"/>
    <w:rsid w:val="00B64F5D"/>
    <w:rsid w:val="00B66921"/>
    <w:rsid w:val="00B70750"/>
    <w:rsid w:val="00B71BA6"/>
    <w:rsid w:val="00B74B80"/>
    <w:rsid w:val="00B75DE6"/>
    <w:rsid w:val="00B8018B"/>
    <w:rsid w:val="00B80264"/>
    <w:rsid w:val="00B80661"/>
    <w:rsid w:val="00B81B17"/>
    <w:rsid w:val="00B82EA2"/>
    <w:rsid w:val="00B837BE"/>
    <w:rsid w:val="00B849DC"/>
    <w:rsid w:val="00B84C42"/>
    <w:rsid w:val="00B86EA2"/>
    <w:rsid w:val="00B87A91"/>
    <w:rsid w:val="00B90A61"/>
    <w:rsid w:val="00B96AA7"/>
    <w:rsid w:val="00BA124B"/>
    <w:rsid w:val="00BA27F5"/>
    <w:rsid w:val="00BA29CE"/>
    <w:rsid w:val="00BB0DBE"/>
    <w:rsid w:val="00BB14D0"/>
    <w:rsid w:val="00BB5429"/>
    <w:rsid w:val="00BB620E"/>
    <w:rsid w:val="00BB647E"/>
    <w:rsid w:val="00BC0C54"/>
    <w:rsid w:val="00BC13D7"/>
    <w:rsid w:val="00BC5A2D"/>
    <w:rsid w:val="00BD009E"/>
    <w:rsid w:val="00BD04CA"/>
    <w:rsid w:val="00BD185B"/>
    <w:rsid w:val="00BD343D"/>
    <w:rsid w:val="00BD3BE7"/>
    <w:rsid w:val="00BD7636"/>
    <w:rsid w:val="00BE532B"/>
    <w:rsid w:val="00BE6B55"/>
    <w:rsid w:val="00BE79A3"/>
    <w:rsid w:val="00BE7B0D"/>
    <w:rsid w:val="00BF040B"/>
    <w:rsid w:val="00BF364C"/>
    <w:rsid w:val="00BF574B"/>
    <w:rsid w:val="00BF6883"/>
    <w:rsid w:val="00BF70BD"/>
    <w:rsid w:val="00C02A38"/>
    <w:rsid w:val="00C0470F"/>
    <w:rsid w:val="00C12A56"/>
    <w:rsid w:val="00C13D77"/>
    <w:rsid w:val="00C14A23"/>
    <w:rsid w:val="00C15370"/>
    <w:rsid w:val="00C15F5F"/>
    <w:rsid w:val="00C16319"/>
    <w:rsid w:val="00C16590"/>
    <w:rsid w:val="00C16627"/>
    <w:rsid w:val="00C16E64"/>
    <w:rsid w:val="00C2228D"/>
    <w:rsid w:val="00C22911"/>
    <w:rsid w:val="00C26A6D"/>
    <w:rsid w:val="00C30D8A"/>
    <w:rsid w:val="00C327B3"/>
    <w:rsid w:val="00C335AB"/>
    <w:rsid w:val="00C33834"/>
    <w:rsid w:val="00C3579C"/>
    <w:rsid w:val="00C361D7"/>
    <w:rsid w:val="00C36D9F"/>
    <w:rsid w:val="00C41ABF"/>
    <w:rsid w:val="00C47183"/>
    <w:rsid w:val="00C50515"/>
    <w:rsid w:val="00C51D0F"/>
    <w:rsid w:val="00C523F8"/>
    <w:rsid w:val="00C53BCE"/>
    <w:rsid w:val="00C56BA7"/>
    <w:rsid w:val="00C62179"/>
    <w:rsid w:val="00C64FF6"/>
    <w:rsid w:val="00C65CDA"/>
    <w:rsid w:val="00C7460D"/>
    <w:rsid w:val="00C75FEC"/>
    <w:rsid w:val="00C76194"/>
    <w:rsid w:val="00C7670E"/>
    <w:rsid w:val="00C87725"/>
    <w:rsid w:val="00C91EB6"/>
    <w:rsid w:val="00C921FE"/>
    <w:rsid w:val="00C92D08"/>
    <w:rsid w:val="00C94382"/>
    <w:rsid w:val="00C97702"/>
    <w:rsid w:val="00C97F35"/>
    <w:rsid w:val="00CA324B"/>
    <w:rsid w:val="00CA3267"/>
    <w:rsid w:val="00CA3C9F"/>
    <w:rsid w:val="00CA5E0A"/>
    <w:rsid w:val="00CA66BC"/>
    <w:rsid w:val="00CA6AB8"/>
    <w:rsid w:val="00CA6D87"/>
    <w:rsid w:val="00CB1AF9"/>
    <w:rsid w:val="00CB2EE3"/>
    <w:rsid w:val="00CB3050"/>
    <w:rsid w:val="00CB54D7"/>
    <w:rsid w:val="00CB6568"/>
    <w:rsid w:val="00CC15F1"/>
    <w:rsid w:val="00CC3D5D"/>
    <w:rsid w:val="00CC65A8"/>
    <w:rsid w:val="00CD140E"/>
    <w:rsid w:val="00CD5E36"/>
    <w:rsid w:val="00CD62DA"/>
    <w:rsid w:val="00CD671A"/>
    <w:rsid w:val="00CD7A42"/>
    <w:rsid w:val="00CE09ED"/>
    <w:rsid w:val="00CE35D9"/>
    <w:rsid w:val="00CE3F91"/>
    <w:rsid w:val="00CE54DF"/>
    <w:rsid w:val="00CE56A5"/>
    <w:rsid w:val="00CE69D7"/>
    <w:rsid w:val="00CE750F"/>
    <w:rsid w:val="00CF276A"/>
    <w:rsid w:val="00CF3577"/>
    <w:rsid w:val="00CF38E2"/>
    <w:rsid w:val="00CF593A"/>
    <w:rsid w:val="00CF5BF0"/>
    <w:rsid w:val="00CF699A"/>
    <w:rsid w:val="00D029B1"/>
    <w:rsid w:val="00D04745"/>
    <w:rsid w:val="00D055A2"/>
    <w:rsid w:val="00D06485"/>
    <w:rsid w:val="00D06664"/>
    <w:rsid w:val="00D067C1"/>
    <w:rsid w:val="00D142A2"/>
    <w:rsid w:val="00D16EE0"/>
    <w:rsid w:val="00D2269A"/>
    <w:rsid w:val="00D22BAD"/>
    <w:rsid w:val="00D232B4"/>
    <w:rsid w:val="00D23D16"/>
    <w:rsid w:val="00D25EF2"/>
    <w:rsid w:val="00D2723C"/>
    <w:rsid w:val="00D31A5A"/>
    <w:rsid w:val="00D33082"/>
    <w:rsid w:val="00D33382"/>
    <w:rsid w:val="00D33B4A"/>
    <w:rsid w:val="00D33C8E"/>
    <w:rsid w:val="00D344E9"/>
    <w:rsid w:val="00D352BB"/>
    <w:rsid w:val="00D37E7B"/>
    <w:rsid w:val="00D4328B"/>
    <w:rsid w:val="00D47AAB"/>
    <w:rsid w:val="00D50409"/>
    <w:rsid w:val="00D513BA"/>
    <w:rsid w:val="00D51832"/>
    <w:rsid w:val="00D51966"/>
    <w:rsid w:val="00D51FA5"/>
    <w:rsid w:val="00D55949"/>
    <w:rsid w:val="00D602F8"/>
    <w:rsid w:val="00D60D5D"/>
    <w:rsid w:val="00D622D5"/>
    <w:rsid w:val="00D64533"/>
    <w:rsid w:val="00D64ADE"/>
    <w:rsid w:val="00D65FCC"/>
    <w:rsid w:val="00D6749B"/>
    <w:rsid w:val="00D7310A"/>
    <w:rsid w:val="00D759F6"/>
    <w:rsid w:val="00D8045E"/>
    <w:rsid w:val="00D81002"/>
    <w:rsid w:val="00D8588A"/>
    <w:rsid w:val="00D87298"/>
    <w:rsid w:val="00D90281"/>
    <w:rsid w:val="00D91041"/>
    <w:rsid w:val="00D9119C"/>
    <w:rsid w:val="00D91C1A"/>
    <w:rsid w:val="00D96FB2"/>
    <w:rsid w:val="00DA2E77"/>
    <w:rsid w:val="00DA66D7"/>
    <w:rsid w:val="00DB2463"/>
    <w:rsid w:val="00DB7495"/>
    <w:rsid w:val="00DC18E0"/>
    <w:rsid w:val="00DC292A"/>
    <w:rsid w:val="00DC337E"/>
    <w:rsid w:val="00DC5A55"/>
    <w:rsid w:val="00DC736B"/>
    <w:rsid w:val="00DD1530"/>
    <w:rsid w:val="00DD1A96"/>
    <w:rsid w:val="00DD2236"/>
    <w:rsid w:val="00DD42F1"/>
    <w:rsid w:val="00DD42F5"/>
    <w:rsid w:val="00DD4F9F"/>
    <w:rsid w:val="00DD6690"/>
    <w:rsid w:val="00DE09B3"/>
    <w:rsid w:val="00DE2EF9"/>
    <w:rsid w:val="00DE4AED"/>
    <w:rsid w:val="00DF064F"/>
    <w:rsid w:val="00DF1D09"/>
    <w:rsid w:val="00DF28E3"/>
    <w:rsid w:val="00DF6036"/>
    <w:rsid w:val="00DF67AB"/>
    <w:rsid w:val="00E0670B"/>
    <w:rsid w:val="00E1384A"/>
    <w:rsid w:val="00E139CA"/>
    <w:rsid w:val="00E15462"/>
    <w:rsid w:val="00E160BD"/>
    <w:rsid w:val="00E16E55"/>
    <w:rsid w:val="00E20A24"/>
    <w:rsid w:val="00E23E3F"/>
    <w:rsid w:val="00E274FA"/>
    <w:rsid w:val="00E31131"/>
    <w:rsid w:val="00E31347"/>
    <w:rsid w:val="00E34525"/>
    <w:rsid w:val="00E371D8"/>
    <w:rsid w:val="00E37239"/>
    <w:rsid w:val="00E40190"/>
    <w:rsid w:val="00E5166A"/>
    <w:rsid w:val="00E5244A"/>
    <w:rsid w:val="00E64894"/>
    <w:rsid w:val="00E6695E"/>
    <w:rsid w:val="00E707DF"/>
    <w:rsid w:val="00E7157B"/>
    <w:rsid w:val="00E72149"/>
    <w:rsid w:val="00E74517"/>
    <w:rsid w:val="00E81C2C"/>
    <w:rsid w:val="00E82C91"/>
    <w:rsid w:val="00E844EA"/>
    <w:rsid w:val="00E86445"/>
    <w:rsid w:val="00E86D8F"/>
    <w:rsid w:val="00E90940"/>
    <w:rsid w:val="00E931FD"/>
    <w:rsid w:val="00E937AB"/>
    <w:rsid w:val="00E9595B"/>
    <w:rsid w:val="00E96D40"/>
    <w:rsid w:val="00E9787D"/>
    <w:rsid w:val="00EA1986"/>
    <w:rsid w:val="00EA2540"/>
    <w:rsid w:val="00EA298A"/>
    <w:rsid w:val="00EA41E4"/>
    <w:rsid w:val="00EA6AAD"/>
    <w:rsid w:val="00EA7008"/>
    <w:rsid w:val="00EA74B3"/>
    <w:rsid w:val="00EB09F2"/>
    <w:rsid w:val="00EB0B16"/>
    <w:rsid w:val="00EB0B58"/>
    <w:rsid w:val="00EB1210"/>
    <w:rsid w:val="00EB166A"/>
    <w:rsid w:val="00EB24B6"/>
    <w:rsid w:val="00EB25C4"/>
    <w:rsid w:val="00EB57C4"/>
    <w:rsid w:val="00EB6509"/>
    <w:rsid w:val="00EB71DB"/>
    <w:rsid w:val="00EB7484"/>
    <w:rsid w:val="00EC1465"/>
    <w:rsid w:val="00EC2053"/>
    <w:rsid w:val="00EC70B3"/>
    <w:rsid w:val="00EC7268"/>
    <w:rsid w:val="00ED0B5B"/>
    <w:rsid w:val="00ED11EC"/>
    <w:rsid w:val="00ED1A5E"/>
    <w:rsid w:val="00ED6175"/>
    <w:rsid w:val="00ED7E8E"/>
    <w:rsid w:val="00EE40C6"/>
    <w:rsid w:val="00EE43DE"/>
    <w:rsid w:val="00EE55D6"/>
    <w:rsid w:val="00EF7814"/>
    <w:rsid w:val="00F02E42"/>
    <w:rsid w:val="00F04526"/>
    <w:rsid w:val="00F06DD2"/>
    <w:rsid w:val="00F07866"/>
    <w:rsid w:val="00F121BE"/>
    <w:rsid w:val="00F12726"/>
    <w:rsid w:val="00F13288"/>
    <w:rsid w:val="00F15071"/>
    <w:rsid w:val="00F15A76"/>
    <w:rsid w:val="00F17F30"/>
    <w:rsid w:val="00F214FA"/>
    <w:rsid w:val="00F21CD0"/>
    <w:rsid w:val="00F2233A"/>
    <w:rsid w:val="00F22F48"/>
    <w:rsid w:val="00F249F2"/>
    <w:rsid w:val="00F26F01"/>
    <w:rsid w:val="00F27059"/>
    <w:rsid w:val="00F277B1"/>
    <w:rsid w:val="00F30A45"/>
    <w:rsid w:val="00F319CB"/>
    <w:rsid w:val="00F33F07"/>
    <w:rsid w:val="00F349E3"/>
    <w:rsid w:val="00F40D1C"/>
    <w:rsid w:val="00F42404"/>
    <w:rsid w:val="00F46121"/>
    <w:rsid w:val="00F473A0"/>
    <w:rsid w:val="00F47692"/>
    <w:rsid w:val="00F50F6D"/>
    <w:rsid w:val="00F5172A"/>
    <w:rsid w:val="00F51852"/>
    <w:rsid w:val="00F520F5"/>
    <w:rsid w:val="00F61DC5"/>
    <w:rsid w:val="00F62497"/>
    <w:rsid w:val="00F65AD9"/>
    <w:rsid w:val="00F67B79"/>
    <w:rsid w:val="00F702B9"/>
    <w:rsid w:val="00F722EC"/>
    <w:rsid w:val="00F7433B"/>
    <w:rsid w:val="00F75FDE"/>
    <w:rsid w:val="00F7716D"/>
    <w:rsid w:val="00F77E5A"/>
    <w:rsid w:val="00F8079A"/>
    <w:rsid w:val="00F8249C"/>
    <w:rsid w:val="00F90193"/>
    <w:rsid w:val="00F94132"/>
    <w:rsid w:val="00FA1468"/>
    <w:rsid w:val="00FA3D9E"/>
    <w:rsid w:val="00FA456A"/>
    <w:rsid w:val="00FA4B7D"/>
    <w:rsid w:val="00FA6533"/>
    <w:rsid w:val="00FA6C6A"/>
    <w:rsid w:val="00FA6C6B"/>
    <w:rsid w:val="00FB1B8C"/>
    <w:rsid w:val="00FB3D1E"/>
    <w:rsid w:val="00FB61DD"/>
    <w:rsid w:val="00FC2FD9"/>
    <w:rsid w:val="00FC3467"/>
    <w:rsid w:val="00FC65C5"/>
    <w:rsid w:val="00FD0795"/>
    <w:rsid w:val="00FD14F6"/>
    <w:rsid w:val="00FD16A4"/>
    <w:rsid w:val="00FD262B"/>
    <w:rsid w:val="00FD33CB"/>
    <w:rsid w:val="00FD3BDA"/>
    <w:rsid w:val="00FD3DB6"/>
    <w:rsid w:val="00FD55C8"/>
    <w:rsid w:val="00FD662C"/>
    <w:rsid w:val="00FE0782"/>
    <w:rsid w:val="00FE6D33"/>
    <w:rsid w:val="00FE71E3"/>
    <w:rsid w:val="00FF380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4CC4DF7"/>
  <w15:docId w15:val="{47A515BC-6B66-451E-8FB0-83D3CBEF6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pPr>
      <w:spacing w:after="200" w:line="276" w:lineRule="auto"/>
    </w:pPr>
    <w:rPr>
      <w:sz w:val="22"/>
      <w:szCs w:val="22"/>
      <w:lang w:eastAsia="en-US"/>
    </w:rPr>
  </w:style>
  <w:style w:type="paragraph" w:styleId="1">
    <w:name w:val="heading 1"/>
    <w:basedOn w:val="a"/>
    <w:next w:val="a"/>
    <w:link w:val="10"/>
    <w:uiPriority w:val="9"/>
    <w:qFormat/>
    <w:rsid w:val="0058354C"/>
    <w:pPr>
      <w:keepNext/>
      <w:keepLines/>
      <w:autoSpaceDE w:val="0"/>
      <w:autoSpaceDN w:val="0"/>
      <w:adjustRightInd w:val="0"/>
      <w:spacing w:before="480" w:after="0" w:line="240" w:lineRule="auto"/>
      <w:outlineLvl w:val="0"/>
    </w:pPr>
    <w:rPr>
      <w:rFonts w:ascii="Cambria" w:eastAsia="Times New Roman" w:hAnsi="Cambria"/>
      <w:b/>
      <w:bCs/>
      <w:color w:val="365F91"/>
      <w:sz w:val="28"/>
      <w:szCs w:val="28"/>
    </w:rPr>
  </w:style>
  <w:style w:type="paragraph" w:styleId="2">
    <w:name w:val="heading 2"/>
    <w:basedOn w:val="a"/>
    <w:next w:val="a"/>
    <w:link w:val="20"/>
    <w:uiPriority w:val="9"/>
    <w:unhideWhenUsed/>
    <w:qFormat/>
    <w:rsid w:val="00A4146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BA29CE"/>
    <w:pPr>
      <w:keepNext/>
      <w:keepLines/>
      <w:overflowPunct w:val="0"/>
      <w:autoSpaceDE w:val="0"/>
      <w:autoSpaceDN w:val="0"/>
      <w:adjustRightInd w:val="0"/>
      <w:spacing w:before="40" w:after="0" w:line="240" w:lineRule="auto"/>
      <w:textAlignment w:val="baseline"/>
      <w:outlineLvl w:val="2"/>
    </w:pPr>
    <w:rPr>
      <w:rFonts w:ascii="Cambria" w:eastAsia="Times New Roman" w:hAnsi="Cambria"/>
      <w:color w:val="243F60"/>
      <w:sz w:val="24"/>
      <w:szCs w:val="24"/>
      <w:lang w:eastAsia="ru-RU"/>
    </w:rPr>
  </w:style>
  <w:style w:type="paragraph" w:styleId="4">
    <w:name w:val="heading 4"/>
    <w:basedOn w:val="a"/>
    <w:next w:val="a"/>
    <w:link w:val="40"/>
    <w:uiPriority w:val="9"/>
    <w:unhideWhenUsed/>
    <w:qFormat/>
    <w:rsid w:val="003628CD"/>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3C4CE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lang w:val="en-US"/>
    </w:rPr>
  </w:style>
  <w:style w:type="character" w:customStyle="1" w:styleId="a4">
    <w:name w:val="Основной текст Знак"/>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olor w:val="0000FF"/>
      <w:sz w:val="16"/>
      <w:szCs w:val="16"/>
      <w:lang w:val="en-US"/>
    </w:rPr>
  </w:style>
  <w:style w:type="character" w:customStyle="1" w:styleId="23">
    <w:name w:val="Основной текст с отступом 2 Знак"/>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olor w:val="0000FF"/>
      <w:sz w:val="16"/>
      <w:szCs w:val="16"/>
    </w:rPr>
  </w:style>
  <w:style w:type="character" w:customStyle="1" w:styleId="25">
    <w:name w:val="Основной текст 2 Знак"/>
    <w:link w:val="24"/>
    <w:uiPriority w:val="99"/>
    <w:rsid w:val="008E0FBF"/>
    <w:rPr>
      <w:rFonts w:ascii="Times New Roman" w:hAnsi="Times New Roman" w:cs="Times New Roman"/>
      <w:color w:val="0000FF"/>
      <w:sz w:val="16"/>
      <w:szCs w:val="16"/>
    </w:rPr>
  </w:style>
  <w:style w:type="character" w:styleId="a5">
    <w:name w:val="Hyperlink"/>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olor w:val="0000FF"/>
      <w:sz w:val="16"/>
      <w:szCs w:val="16"/>
    </w:rPr>
  </w:style>
  <w:style w:type="character" w:customStyle="1" w:styleId="32">
    <w:name w:val="Основной текст 3 Знак"/>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olor w:val="0000FF"/>
      <w:sz w:val="24"/>
      <w:szCs w:val="24"/>
    </w:rPr>
  </w:style>
  <w:style w:type="paragraph" w:customStyle="1" w:styleId="FR1">
    <w:name w:val="FR1"/>
    <w:uiPriority w:val="99"/>
    <w:rsid w:val="008E0FBF"/>
    <w:pPr>
      <w:widowControl w:val="0"/>
      <w:autoSpaceDE w:val="0"/>
      <w:autoSpaceDN w:val="0"/>
      <w:adjustRightInd w:val="0"/>
      <w:ind w:firstLine="220"/>
      <w:jc w:val="both"/>
    </w:pPr>
    <w:rPr>
      <w:rFonts w:ascii="Arial" w:hAnsi="Arial" w:cs="Arial"/>
      <w:i/>
      <w:iCs/>
      <w:sz w:val="16"/>
      <w:szCs w:val="16"/>
      <w:lang w:eastAsia="en-US"/>
    </w:rPr>
  </w:style>
  <w:style w:type="character" w:styleId="a7">
    <w:name w:val="Strong"/>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i/>
      <w:iCs/>
      <w:color w:val="0000FF"/>
      <w:sz w:val="16"/>
      <w:szCs w:val="16"/>
      <w:lang w:val="en-US"/>
    </w:rPr>
  </w:style>
  <w:style w:type="paragraph" w:customStyle="1" w:styleId="H3">
    <w:name w:val="H3"/>
    <w:basedOn w:val="a"/>
    <w:next w:val="a"/>
    <w:uiPriority w:val="99"/>
    <w:rsid w:val="008E0FBF"/>
    <w:pPr>
      <w:keepNext/>
      <w:widowControl w:val="0"/>
      <w:autoSpaceDE w:val="0"/>
      <w:autoSpaceDN w:val="0"/>
      <w:adjustRightInd w:val="0"/>
      <w:spacing w:before="100" w:after="100" w:line="240" w:lineRule="auto"/>
    </w:pPr>
    <w:rPr>
      <w:rFonts w:ascii="Times New Roman" w:hAnsi="Times New Roman"/>
      <w:b/>
      <w:bCs/>
      <w:color w:val="0000FF"/>
      <w:sz w:val="28"/>
      <w:szCs w:val="28"/>
      <w:lang w:val="en-AU"/>
    </w:rPr>
  </w:style>
  <w:style w:type="paragraph" w:customStyle="1" w:styleId="FR2">
    <w:name w:val="FR2"/>
    <w:uiPriority w:val="99"/>
    <w:rsid w:val="008E0FBF"/>
    <w:pPr>
      <w:widowControl w:val="0"/>
      <w:autoSpaceDE w:val="0"/>
      <w:autoSpaceDN w:val="0"/>
      <w:adjustRightInd w:val="0"/>
      <w:ind w:firstLine="140"/>
      <w:jc w:val="both"/>
    </w:pPr>
    <w:rPr>
      <w:rFonts w:ascii="Arial" w:hAnsi="Arial" w:cs="Arial"/>
      <w:i/>
      <w:iCs/>
      <w:sz w:val="12"/>
      <w:szCs w:val="12"/>
      <w:lang w:eastAsia="en-US"/>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Preformatted">
    <w:name w:val="Preformatted"/>
    <w:basedOn w:val="a"/>
    <w:uiPriority w:val="99"/>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uiPriority w:val="99"/>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paragraph" w:customStyle="1" w:styleId="Iauiue">
    <w:name w:val="Iau?iue"/>
    <w:uiPriority w:val="99"/>
    <w:rsid w:val="008E0FBF"/>
    <w:pPr>
      <w:widowControl w:val="0"/>
      <w:autoSpaceDE w:val="0"/>
      <w:autoSpaceDN w:val="0"/>
      <w:adjustRightInd w:val="0"/>
    </w:pPr>
    <w:rPr>
      <w:rFonts w:ascii="Times New Roman" w:hAnsi="Times New Roman"/>
      <w:lang w:eastAsia="en-US"/>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uiPriority w:val="99"/>
    <w:rsid w:val="008E0FBF"/>
    <w:pPr>
      <w:autoSpaceDE w:val="0"/>
      <w:autoSpaceDN w:val="0"/>
      <w:adjustRightInd w:val="0"/>
      <w:spacing w:after="0" w:line="240" w:lineRule="auto"/>
    </w:pPr>
    <w:rPr>
      <w:rFonts w:ascii="Times New Roman" w:hAnsi="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uiPriority w:val="20"/>
    <w:qFormat/>
    <w:rsid w:val="008E0FBF"/>
    <w:rPr>
      <w:i/>
      <w:iCs/>
    </w:rPr>
  </w:style>
  <w:style w:type="character" w:styleId="af1">
    <w:name w:val="FollowedHyperlink"/>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pPr>
    <w:rPr>
      <w:rFonts w:ascii="Times New Roman" w:hAnsi="Times New Roman"/>
      <w:i/>
      <w:iCs/>
      <w:spacing w:val="-1"/>
      <w:kern w:val="65535"/>
      <w:position w:val="-1"/>
      <w:sz w:val="24"/>
      <w:szCs w:val="24"/>
      <w:lang w:val="en-US" w:eastAsia="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uiPriority w:val="99"/>
    <w:rsid w:val="008E0FBF"/>
    <w:pPr>
      <w:autoSpaceDE w:val="0"/>
      <w:autoSpaceDN w:val="0"/>
      <w:adjustRightInd w:val="0"/>
      <w:spacing w:before="100" w:after="100"/>
    </w:pPr>
    <w:rPr>
      <w:rFonts w:ascii="Times New Roman" w:hAnsi="Times New Roman"/>
      <w:sz w:val="24"/>
      <w:szCs w:val="24"/>
      <w:lang w:eastAsia="en-US"/>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jc w:val="center"/>
    </w:pPr>
    <w:rPr>
      <w:rFonts w:ascii="Arial" w:hAnsi="Arial" w:cs="Arial"/>
      <w:vanish/>
      <w:sz w:val="16"/>
      <w:szCs w:val="16"/>
      <w:lang w:eastAsia="en-US"/>
    </w:rPr>
  </w:style>
  <w:style w:type="paragraph" w:customStyle="1" w:styleId="Z-">
    <w:name w:val="Z-"/>
    <w:next w:val="af8"/>
    <w:uiPriority w:val="99"/>
    <w:rsid w:val="008E0FBF"/>
    <w:pPr>
      <w:pBdr>
        <w:top w:val="double" w:sz="6" w:space="0" w:color="000000"/>
      </w:pBdr>
      <w:autoSpaceDE w:val="0"/>
      <w:autoSpaceDN w:val="0"/>
      <w:adjustRightInd w:val="0"/>
      <w:jc w:val="center"/>
    </w:pPr>
    <w:rPr>
      <w:rFonts w:ascii="Arial" w:hAnsi="Arial" w:cs="Arial"/>
      <w:vanish/>
      <w:sz w:val="16"/>
      <w:szCs w:val="16"/>
      <w:lang w:eastAsia="en-US"/>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pPr>
    <w:rPr>
      <w:rFonts w:ascii="Times New Roman" w:hAnsi="Times New Roman"/>
      <w:color w:val="000000"/>
      <w:sz w:val="24"/>
      <w:szCs w:val="24"/>
      <w:lang w:eastAsia="en-US"/>
    </w:rPr>
  </w:style>
  <w:style w:type="character" w:customStyle="1" w:styleId="8pt35450pt115">
    <w:name w:val="Основной текст + 8 pt35.Курсив45.Интервал 0 pt115"/>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uiPriority w:val="99"/>
    <w:rsid w:val="008E0FBF"/>
    <w:rPr>
      <w:b/>
      <w:bCs/>
      <w:i/>
      <w:iCs/>
      <w:sz w:val="17"/>
      <w:szCs w:val="17"/>
    </w:rPr>
  </w:style>
  <w:style w:type="paragraph" w:customStyle="1" w:styleId="310">
    <w:name w:val="Основной текст (3)1"/>
    <w:basedOn w:val="a"/>
    <w:uiPriority w:val="99"/>
    <w:rsid w:val="008E0FBF"/>
    <w:pPr>
      <w:shd w:val="clear" w:color="auto" w:fill="FFFFFF"/>
      <w:autoSpaceDE w:val="0"/>
      <w:autoSpaceDN w:val="0"/>
      <w:adjustRightInd w:val="0"/>
      <w:spacing w:after="0" w:line="240" w:lineRule="atLeast"/>
    </w:pPr>
    <w:rPr>
      <w:rFonts w:ascii="Times New Roman" w:hAnsi="Times New Roman"/>
      <w:b/>
      <w:bCs/>
      <w:i/>
      <w:iCs/>
      <w:noProof/>
      <w:sz w:val="17"/>
      <w:szCs w:val="17"/>
      <w:lang w:val="en-US"/>
    </w:rPr>
  </w:style>
  <w:style w:type="character" w:customStyle="1" w:styleId="8pt30390pt109">
    <w:name w:val="Основной текст + 8 pt30.Курсив39.Интервал 0 pt109"/>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uiPriority w:val="99"/>
    <w:rsid w:val="008E0FBF"/>
    <w:rPr>
      <w:i/>
      <w:iCs/>
      <w:spacing w:val="0"/>
      <w:sz w:val="16"/>
      <w:szCs w:val="16"/>
    </w:rPr>
  </w:style>
  <w:style w:type="character" w:customStyle="1" w:styleId="578">
    <w:name w:val="Основной текст (5)78"/>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uiPriority w:val="99"/>
    <w:rsid w:val="008E0FBF"/>
    <w:rPr>
      <w:b/>
      <w:bCs/>
      <w:i/>
      <w:iCs/>
      <w:spacing w:val="0"/>
      <w:sz w:val="14"/>
      <w:szCs w:val="14"/>
    </w:rPr>
  </w:style>
  <w:style w:type="character" w:customStyle="1" w:styleId="57pt124">
    <w:name w:val="Основной текст (5) + 7 pt1.Полужирный24"/>
    <w:uiPriority w:val="99"/>
    <w:rsid w:val="008E0FBF"/>
    <w:rPr>
      <w:b/>
      <w:bCs/>
      <w:i/>
      <w:iCs/>
      <w:spacing w:val="0"/>
      <w:sz w:val="14"/>
      <w:szCs w:val="14"/>
    </w:rPr>
  </w:style>
  <w:style w:type="character" w:customStyle="1" w:styleId="8pt25340pt104">
    <w:name w:val="Основной текст + 8 pt25.Курсив34.Интервал 0 pt104"/>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uiPriority w:val="99"/>
    <w:rsid w:val="008E0FBF"/>
    <w:rPr>
      <w:i/>
      <w:iCs/>
      <w:spacing w:val="0"/>
      <w:sz w:val="16"/>
      <w:szCs w:val="16"/>
    </w:rPr>
  </w:style>
  <w:style w:type="character" w:customStyle="1" w:styleId="576">
    <w:name w:val="Основной текст (5)76"/>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b/>
      <w:bCs/>
      <w:i/>
      <w:iCs/>
      <w:noProof/>
      <w:sz w:val="17"/>
      <w:szCs w:val="17"/>
      <w:lang w:val="en-US"/>
    </w:rPr>
  </w:style>
  <w:style w:type="character" w:customStyle="1" w:styleId="8pt21300pt98">
    <w:name w:val="Основной текст + 8 pt21.Курсив30.Интервал 0 pt98"/>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b/>
      <w:bCs/>
      <w:i/>
      <w:iCs/>
      <w:noProof/>
      <w:sz w:val="15"/>
      <w:szCs w:val="15"/>
      <w:lang w:val="en-US"/>
    </w:rPr>
  </w:style>
  <w:style w:type="character" w:customStyle="1" w:styleId="2090pt38">
    <w:name w:val="Основной текст (20) + Не курсив9.Интервал 0 pt38"/>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uiPriority w:val="99"/>
    <w:rsid w:val="008E0FBF"/>
    <w:rPr>
      <w:rFonts w:ascii="Lucida Sans Unicode" w:hAnsi="Lucida Sans Unicode" w:cs="Lucida Sans Unicode"/>
      <w:i/>
      <w:iCs/>
      <w:spacing w:val="0"/>
      <w:sz w:val="16"/>
      <w:szCs w:val="16"/>
    </w:rPr>
  </w:style>
  <w:style w:type="character" w:customStyle="1" w:styleId="29">
    <w:name w:val="Основной текст (29)_"/>
    <w:rsid w:val="008E0FBF"/>
    <w:rPr>
      <w:rFonts w:ascii="Arial Narrow" w:hAnsi="Arial Narrow" w:cs="Arial Narrow"/>
      <w:i/>
      <w:iCs/>
      <w:sz w:val="15"/>
      <w:szCs w:val="15"/>
    </w:rPr>
  </w:style>
  <w:style w:type="paragraph" w:customStyle="1" w:styleId="100">
    <w:name w:val="Заголовок №10"/>
    <w:basedOn w:val="a"/>
    <w:uiPriority w:val="99"/>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uiPriority w:val="99"/>
    <w:rsid w:val="008E0FBF"/>
    <w:rPr>
      <w:rFonts w:ascii="Lucida Sans Unicode" w:hAnsi="Lucida Sans Unicode" w:cs="Lucida Sans Unicode"/>
      <w:i/>
      <w:iCs/>
      <w:spacing w:val="0"/>
      <w:sz w:val="16"/>
      <w:szCs w:val="16"/>
    </w:rPr>
  </w:style>
  <w:style w:type="character" w:customStyle="1" w:styleId="aff">
    <w:name w:val="Основной текст_"/>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uiPriority w:val="99"/>
    <w:rsid w:val="008E0FBF"/>
    <w:rPr>
      <w:rFonts w:ascii="Lucida Sans Unicode" w:hAnsi="Lucida Sans Unicode" w:cs="Lucida Sans Unicode"/>
      <w:i/>
      <w:iCs/>
      <w:spacing w:val="0"/>
      <w:sz w:val="16"/>
      <w:szCs w:val="16"/>
    </w:rPr>
  </w:style>
  <w:style w:type="character" w:customStyle="1" w:styleId="200">
    <w:name w:val="Основной текст (20)_"/>
    <w:uiPriority w:val="99"/>
    <w:rsid w:val="008E0FBF"/>
    <w:rPr>
      <w:b/>
      <w:bCs/>
      <w:i/>
      <w:iCs/>
      <w:sz w:val="15"/>
      <w:szCs w:val="15"/>
    </w:rPr>
  </w:style>
  <w:style w:type="character" w:customStyle="1" w:styleId="2050pt30">
    <w:name w:val="Основной текст (20) + Не курсив5.Интервал 0 pt3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uiPriority w:val="99"/>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1">
    <w:name w:val="Основной текст + Курсив10"/>
    <w:uiPriority w:val="99"/>
    <w:rsid w:val="008E0FBF"/>
    <w:rPr>
      <w:rFonts w:ascii="Arial" w:hAnsi="Arial" w:cs="Arial"/>
      <w:i/>
      <w:iCs/>
      <w:spacing w:val="-10"/>
      <w:sz w:val="17"/>
      <w:szCs w:val="17"/>
    </w:rPr>
  </w:style>
  <w:style w:type="paragraph" w:customStyle="1" w:styleId="250">
    <w:name w:val="Основной текст25"/>
    <w:basedOn w:val="a"/>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uiPriority w:val="99"/>
    <w:rsid w:val="008E0FBF"/>
    <w:rPr>
      <w:rFonts w:ascii="Times New Roman" w:hAnsi="Times New Roman" w:cs="Times New Roman"/>
      <w:spacing w:val="0"/>
      <w:sz w:val="21"/>
      <w:szCs w:val="21"/>
      <w:u w:val="single"/>
    </w:rPr>
  </w:style>
  <w:style w:type="paragraph" w:customStyle="1" w:styleId="140">
    <w:name w:val="Заголовок №14"/>
    <w:basedOn w:val="a"/>
    <w:uiPriority w:val="99"/>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uiPriority w:val="99"/>
    <w:rsid w:val="008E0FBF"/>
    <w:rPr>
      <w:spacing w:val="10"/>
      <w:sz w:val="26"/>
      <w:szCs w:val="26"/>
    </w:rPr>
  </w:style>
  <w:style w:type="character" w:customStyle="1" w:styleId="240">
    <w:name w:val="Основной текст24"/>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uiPriority w:val="99"/>
    <w:rsid w:val="008E0FBF"/>
    <w:rPr>
      <w:rFonts w:ascii="Lucida Sans Unicode" w:hAnsi="Lucida Sans Unicode" w:cs="Lucida Sans Unicode"/>
      <w:i/>
      <w:iCs/>
      <w:sz w:val="16"/>
      <w:szCs w:val="16"/>
    </w:rPr>
  </w:style>
  <w:style w:type="paragraph" w:customStyle="1" w:styleId="80">
    <w:name w:val="Основной текст (8)"/>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uiPriority w:val="99"/>
    <w:rsid w:val="008E0FBF"/>
    <w:rPr>
      <w:rFonts w:ascii="Lucida Sans Unicode" w:hAnsi="Lucida Sans Unicode" w:cs="Lucida Sans Unicode"/>
      <w:sz w:val="16"/>
      <w:szCs w:val="16"/>
    </w:rPr>
  </w:style>
  <w:style w:type="character" w:customStyle="1" w:styleId="4pt">
    <w:name w:val="Основной текст + Интервал 4 pt"/>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uiPriority w:val="99"/>
    <w:rsid w:val="008E0FBF"/>
    <w:rPr>
      <w:rFonts w:ascii="Segoe UI" w:hAnsi="Segoe UI" w:cs="Segoe UI"/>
      <w:b/>
      <w:bCs/>
      <w:i/>
      <w:iCs/>
      <w:spacing w:val="0"/>
      <w:sz w:val="16"/>
      <w:szCs w:val="16"/>
    </w:rPr>
  </w:style>
  <w:style w:type="character" w:customStyle="1" w:styleId="SegoeUI1">
    <w:name w:val="Основной текст + Segoe UI1"/>
    <w:uiPriority w:val="99"/>
    <w:rsid w:val="008E0FBF"/>
    <w:rPr>
      <w:rFonts w:ascii="Segoe UI" w:hAnsi="Segoe UI" w:cs="Segoe UI"/>
      <w:i/>
      <w:iCs/>
      <w:spacing w:val="0"/>
      <w:sz w:val="13"/>
      <w:szCs w:val="13"/>
    </w:rPr>
  </w:style>
  <w:style w:type="character" w:customStyle="1" w:styleId="18">
    <w:name w:val="Основной текст1"/>
    <w:uiPriority w:val="99"/>
    <w:rsid w:val="008E0FBF"/>
    <w:rPr>
      <w:rFonts w:ascii="Gungsuh" w:eastAsia="Gungsuh" w:cs="Gungsuh"/>
      <w:spacing w:val="-10"/>
      <w:sz w:val="16"/>
      <w:szCs w:val="16"/>
      <w:u w:val="single"/>
    </w:rPr>
  </w:style>
  <w:style w:type="paragraph" w:customStyle="1" w:styleId="34">
    <w:name w:val="Основной текст (3)"/>
    <w:basedOn w:val="a"/>
    <w:link w:val="35"/>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uiPriority w:val="99"/>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link w:val="1a"/>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uiPriority w:val="99"/>
    <w:rsid w:val="008E0FBF"/>
    <w:rPr>
      <w:rFonts w:ascii="Gungsuh" w:eastAsia="Gungsuh" w:cs="Gungsuh"/>
      <w:spacing w:val="0"/>
      <w:sz w:val="15"/>
      <w:szCs w:val="15"/>
    </w:rPr>
  </w:style>
  <w:style w:type="character" w:customStyle="1" w:styleId="TrebuchetMS">
    <w:name w:val="Основной текст + Trebuchet MS"/>
    <w:uiPriority w:val="99"/>
    <w:rsid w:val="008E0FBF"/>
    <w:rPr>
      <w:rFonts w:ascii="Trebuchet MS" w:hAnsi="Trebuchet MS" w:cs="Trebuchet MS"/>
      <w:b/>
      <w:bCs/>
      <w:spacing w:val="0"/>
      <w:sz w:val="20"/>
      <w:szCs w:val="20"/>
    </w:rPr>
  </w:style>
  <w:style w:type="character" w:customStyle="1" w:styleId="102">
    <w:name w:val="Основной текст + 10"/>
    <w:aliases w:val="Основной текст + 93,5 pt7,Полужирный6,Интервал -1 pt3,Полужирный12,Основной текст + Arial Narrow3,Picture caption + 61,Not Bold1,Italic2"/>
    <w:uiPriority w:val="99"/>
    <w:rsid w:val="008E0FBF"/>
    <w:rPr>
      <w:rFonts w:ascii="Gungsuh" w:eastAsia="Gungsuh" w:cs="Gungsuh"/>
      <w:spacing w:val="-20"/>
      <w:sz w:val="21"/>
      <w:szCs w:val="21"/>
    </w:rPr>
  </w:style>
  <w:style w:type="character" w:customStyle="1" w:styleId="9">
    <w:name w:val="Основной текст + 9"/>
    <w:aliases w:val="5 pt12,Полужирный11,Интервал -1 pt,Основной текст + Arial Narrow12,99,Полужирный21,Интервал 0 pt10,Основной текст + 11 pt,Полужирный13,Подпись к картинке + Sylfaen1,8 pt1,Header or footer + Arial Narrow3,Bold16,Picture caption + 6"/>
    <w:uiPriority w:val="99"/>
    <w:rsid w:val="008E0FBF"/>
    <w:rPr>
      <w:rFonts w:ascii="Gungsuh" w:eastAsia="Gungsuh" w:cs="Gungsuh"/>
      <w:smallCaps/>
      <w:spacing w:val="-10"/>
      <w:sz w:val="19"/>
      <w:szCs w:val="19"/>
    </w:rPr>
  </w:style>
  <w:style w:type="character" w:customStyle="1" w:styleId="Candara">
    <w:name w:val="Основной текст + Candara"/>
    <w:uiPriority w:val="99"/>
    <w:rsid w:val="008E0FBF"/>
    <w:rPr>
      <w:rFonts w:ascii="Candara" w:hAnsi="Candara" w:cs="Candara"/>
      <w:b/>
      <w:bCs/>
      <w:spacing w:val="0"/>
      <w:sz w:val="22"/>
      <w:szCs w:val="22"/>
    </w:rPr>
  </w:style>
  <w:style w:type="character" w:customStyle="1" w:styleId="0pt">
    <w:name w:val="Основной текст + Интервал 0 pt"/>
    <w:rsid w:val="008E0FBF"/>
    <w:rPr>
      <w:rFonts w:ascii="Gungsuh" w:eastAsia="Gungsuh" w:cs="Gungsuh"/>
      <w:spacing w:val="10"/>
      <w:sz w:val="18"/>
      <w:szCs w:val="18"/>
    </w:rPr>
  </w:style>
  <w:style w:type="character" w:customStyle="1" w:styleId="8pt">
    <w:name w:val="Основной текст + 8 pt"/>
    <w:aliases w:val="Полужирный65"/>
    <w:uiPriority w:val="99"/>
    <w:rsid w:val="008E0FBF"/>
    <w:rPr>
      <w:rFonts w:ascii="Gungsuh" w:eastAsia="Gungsuh" w:cs="Gungsuh"/>
      <w:spacing w:val="-10"/>
      <w:sz w:val="16"/>
      <w:szCs w:val="16"/>
    </w:rPr>
  </w:style>
  <w:style w:type="character" w:customStyle="1" w:styleId="Consolas">
    <w:name w:val="Основной текст + Consolas"/>
    <w:uiPriority w:val="99"/>
    <w:rsid w:val="008E0FBF"/>
    <w:rPr>
      <w:rFonts w:ascii="Consolas" w:hAnsi="Consolas" w:cs="Consolas"/>
      <w:b/>
      <w:bCs/>
      <w:spacing w:val="0"/>
      <w:sz w:val="19"/>
      <w:szCs w:val="19"/>
    </w:rPr>
  </w:style>
  <w:style w:type="character" w:customStyle="1" w:styleId="82">
    <w:name w:val="Основной текст + 8"/>
    <w:aliases w:val="5 pt11,Полужирный10,Основной текст + Arial Narrow6,Body text + 92,Bold6,Spacing 0 pt7"/>
    <w:uiPriority w:val="99"/>
    <w:rsid w:val="008E0FBF"/>
    <w:rPr>
      <w:rFonts w:ascii="Arial Narrow" w:hAnsi="Arial Narrow" w:cs="Arial Narrow"/>
      <w:i/>
      <w:iCs/>
      <w:smallCaps/>
      <w:sz w:val="17"/>
      <w:szCs w:val="17"/>
    </w:rPr>
  </w:style>
  <w:style w:type="character" w:customStyle="1" w:styleId="280">
    <w:name w:val="Основной текст (2) + 8"/>
    <w:uiPriority w:val="99"/>
    <w:rsid w:val="008E0FBF"/>
    <w:rPr>
      <w:rFonts w:ascii="Arial Narrow" w:hAnsi="Arial Narrow" w:cs="Arial Narrow"/>
      <w:i/>
      <w:iCs/>
      <w:smallCaps/>
      <w:spacing w:val="0"/>
      <w:sz w:val="17"/>
      <w:szCs w:val="17"/>
    </w:rPr>
  </w:style>
  <w:style w:type="character" w:customStyle="1" w:styleId="7pt">
    <w:name w:val="Основной текст + 7 pt"/>
    <w:uiPriority w:val="99"/>
    <w:rsid w:val="008E0FBF"/>
    <w:rPr>
      <w:rFonts w:ascii="Gungsuh" w:eastAsia="Gungsuh" w:cs="Gungsuh"/>
      <w:spacing w:val="0"/>
      <w:sz w:val="14"/>
      <w:szCs w:val="14"/>
    </w:rPr>
  </w:style>
  <w:style w:type="character" w:customStyle="1" w:styleId="9pt">
    <w:name w:val="Основной текст + 9 pt"/>
    <w:rsid w:val="008E0FBF"/>
    <w:rPr>
      <w:rFonts w:ascii="Gungsuh" w:eastAsia="Gungsuh" w:cs="Gungsuh"/>
      <w:b/>
      <w:bCs/>
      <w:i/>
      <w:iCs/>
      <w:spacing w:val="0"/>
      <w:sz w:val="18"/>
      <w:szCs w:val="18"/>
    </w:rPr>
  </w:style>
  <w:style w:type="character" w:customStyle="1" w:styleId="9pt1">
    <w:name w:val="Основной текст + 9 pt1"/>
    <w:uiPriority w:val="99"/>
    <w:rsid w:val="008E0FBF"/>
    <w:rPr>
      <w:rFonts w:ascii="Gungsuh" w:eastAsia="Gungsuh" w:cs="Gungsuh"/>
      <w:smallCaps/>
      <w:spacing w:val="0"/>
      <w:sz w:val="18"/>
      <w:szCs w:val="18"/>
    </w:rPr>
  </w:style>
  <w:style w:type="character" w:customStyle="1" w:styleId="1pt">
    <w:name w:val="Основной текст + Интервал 1 pt"/>
    <w:uiPriority w:val="99"/>
    <w:rsid w:val="008E0FBF"/>
    <w:rPr>
      <w:rFonts w:ascii="Gungsuh" w:eastAsia="Gungsuh" w:cs="Gungsuh"/>
      <w:spacing w:val="30"/>
      <w:sz w:val="17"/>
      <w:szCs w:val="17"/>
    </w:rPr>
  </w:style>
  <w:style w:type="character" w:customStyle="1" w:styleId="Garamond">
    <w:name w:val="Колонтитул + Garamond"/>
    <w:uiPriority w:val="99"/>
    <w:rsid w:val="008E0FBF"/>
    <w:rPr>
      <w:rFonts w:ascii="Garamond" w:hAnsi="Garamond" w:cs="Garamond"/>
      <w:sz w:val="18"/>
      <w:szCs w:val="18"/>
    </w:rPr>
  </w:style>
  <w:style w:type="character" w:customStyle="1" w:styleId="3pt">
    <w:name w:val="Основной текст + Интервал 3 pt"/>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sz w:val="20"/>
      <w:szCs w:val="20"/>
    </w:rPr>
  </w:style>
  <w:style w:type="character" w:customStyle="1" w:styleId="Arial">
    <w:name w:val="Основной текст + Arial"/>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uiPriority w:val="99"/>
    <w:rsid w:val="008E0FBF"/>
    <w:rPr>
      <w:rFonts w:ascii="Gulim" w:eastAsia="Gulim" w:cs="Gulim"/>
      <w:i/>
      <w:iCs/>
      <w:spacing w:val="-20"/>
      <w:sz w:val="19"/>
      <w:szCs w:val="19"/>
    </w:rPr>
  </w:style>
  <w:style w:type="character" w:customStyle="1" w:styleId="FranklinGothicMedium">
    <w:name w:val="Основной текст + Franklin Gothic Medium"/>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uiPriority w:val="99"/>
    <w:rsid w:val="008E0FBF"/>
    <w:rPr>
      <w:rFonts w:ascii="Century Schoolbook" w:hAnsi="Century Schoolbook" w:cs="Century Schoolbook"/>
      <w:spacing w:val="-20"/>
      <w:sz w:val="18"/>
      <w:szCs w:val="18"/>
    </w:rPr>
  </w:style>
  <w:style w:type="character" w:customStyle="1" w:styleId="Batang">
    <w:name w:val="Основной текст + Batang"/>
    <w:uiPriority w:val="99"/>
    <w:rsid w:val="008E0FBF"/>
    <w:rPr>
      <w:rFonts w:ascii="Batang" w:eastAsia="Batang" w:cs="Batang"/>
      <w:b/>
      <w:bCs/>
      <w:smallCaps/>
      <w:spacing w:val="0"/>
      <w:sz w:val="19"/>
      <w:szCs w:val="19"/>
    </w:rPr>
  </w:style>
  <w:style w:type="character" w:customStyle="1" w:styleId="FrankRuehl">
    <w:name w:val="Основной текст + FrankRuehl"/>
    <w:uiPriority w:val="99"/>
    <w:rsid w:val="008E0FBF"/>
    <w:rPr>
      <w:rFonts w:ascii="FrankRuehl" w:cs="FrankRuehl"/>
      <w:sz w:val="30"/>
      <w:szCs w:val="30"/>
      <w:lang w:bidi="he-IL"/>
    </w:rPr>
  </w:style>
  <w:style w:type="character" w:customStyle="1" w:styleId="FrankRuehl2">
    <w:name w:val="Основной текст + FrankRuehl2"/>
    <w:uiPriority w:val="99"/>
    <w:rsid w:val="008E0FBF"/>
    <w:rPr>
      <w:rFonts w:ascii="FrankRuehl" w:cs="FrankRuehl"/>
      <w:sz w:val="29"/>
      <w:szCs w:val="29"/>
      <w:lang w:bidi="he-IL"/>
    </w:rPr>
  </w:style>
  <w:style w:type="character" w:customStyle="1" w:styleId="FrankRuehl1">
    <w:name w:val="Основной текст + FrankRuehl1"/>
    <w:uiPriority w:val="99"/>
    <w:rsid w:val="008E0FBF"/>
    <w:rPr>
      <w:rFonts w:ascii="FrankRuehl" w:cs="FrankRuehl"/>
      <w:i/>
      <w:iCs/>
      <w:sz w:val="16"/>
      <w:szCs w:val="16"/>
      <w:lang w:bidi="he-IL"/>
    </w:rPr>
  </w:style>
  <w:style w:type="character" w:customStyle="1" w:styleId="112">
    <w:name w:val="Основной текст + 11"/>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uiPriority w:val="99"/>
    <w:rsid w:val="008E0FBF"/>
    <w:rPr>
      <w:rFonts w:ascii="FrankRuehl" w:cs="FrankRuehl"/>
      <w:b/>
      <w:bCs/>
      <w:i/>
      <w:iCs/>
      <w:spacing w:val="0"/>
      <w:sz w:val="9"/>
      <w:szCs w:val="9"/>
      <w:lang w:bidi="he-IL"/>
    </w:rPr>
  </w:style>
  <w:style w:type="paragraph" w:customStyle="1" w:styleId="47">
    <w:name w:val="Основной текст4"/>
    <w:basedOn w:val="a"/>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uiPriority w:val="99"/>
    <w:rsid w:val="008E0FBF"/>
    <w:rPr>
      <w:rFonts w:ascii="Gungsuh" w:eastAsia="Gungsuh" w:cs="Gungsuh"/>
      <w:sz w:val="33"/>
      <w:szCs w:val="33"/>
    </w:rPr>
  </w:style>
  <w:style w:type="character" w:customStyle="1" w:styleId="10pt">
    <w:name w:val="Основной текст + 10 pt"/>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rsid w:val="008E0FBF"/>
    <w:rPr>
      <w:rFonts w:ascii="Gungsuh" w:eastAsia="Gungsuh" w:cs="Gungsuh"/>
      <w:b/>
      <w:bCs/>
      <w:smallCaps/>
      <w:spacing w:val="-10"/>
      <w:sz w:val="17"/>
      <w:szCs w:val="17"/>
    </w:rPr>
  </w:style>
  <w:style w:type="character" w:customStyle="1" w:styleId="2TimesNewRoman">
    <w:name w:val="Основной текст (2) + Times New Roman"/>
    <w:uiPriority w:val="99"/>
    <w:rsid w:val="008E0FBF"/>
    <w:rPr>
      <w:rFonts w:ascii="Times New Roman" w:hAnsi="Times New Roman" w:cs="Times New Roman"/>
      <w:b/>
      <w:bCs/>
      <w:sz w:val="21"/>
      <w:szCs w:val="21"/>
    </w:rPr>
  </w:style>
  <w:style w:type="character" w:customStyle="1" w:styleId="-1pt0">
    <w:name w:val="Оглавление + Интервал -1 pt"/>
    <w:uiPriority w:val="99"/>
    <w:rsid w:val="008E0FBF"/>
    <w:rPr>
      <w:rFonts w:ascii="Times New Roman" w:hAnsi="Times New Roman" w:cs="Times New Roman"/>
      <w:spacing w:val="-20"/>
      <w:sz w:val="21"/>
      <w:szCs w:val="21"/>
    </w:rPr>
  </w:style>
  <w:style w:type="character" w:customStyle="1" w:styleId="300">
    <w:name w:val="Основной текст + 30"/>
    <w:uiPriority w:val="99"/>
    <w:rsid w:val="008E0FBF"/>
    <w:rPr>
      <w:rFonts w:ascii="MingLiU" w:eastAsia="MingLiU" w:cs="MingLiU"/>
      <w:i/>
      <w:iCs/>
      <w:spacing w:val="-60"/>
      <w:sz w:val="61"/>
      <w:szCs w:val="61"/>
    </w:rPr>
  </w:style>
  <w:style w:type="character" w:customStyle="1" w:styleId="449pt">
    <w:name w:val="Основной текст (44) + 9 pt.Не полужирный"/>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uiPriority w:val="99"/>
    <w:rsid w:val="008E0FBF"/>
    <w:rPr>
      <w:rFonts w:ascii="Bookman Old Style" w:hAnsi="Bookman Old Style" w:cs="Bookman Old Style"/>
      <w:spacing w:val="-20"/>
      <w:sz w:val="16"/>
      <w:szCs w:val="16"/>
    </w:rPr>
  </w:style>
  <w:style w:type="character" w:customStyle="1" w:styleId="202">
    <w:name w:val="Подпись к картинке (20)"/>
    <w:uiPriority w:val="99"/>
    <w:rsid w:val="008E0FBF"/>
    <w:rPr>
      <w:rFonts w:ascii="Arial Narrow" w:hAnsi="Arial Narrow" w:cs="Arial Narrow"/>
      <w:i/>
      <w:iCs/>
      <w:spacing w:val="0"/>
      <w:sz w:val="16"/>
      <w:szCs w:val="16"/>
      <w:u w:val="single"/>
    </w:rPr>
  </w:style>
  <w:style w:type="character" w:customStyle="1" w:styleId="211">
    <w:name w:val="Подпись к картинке (21)"/>
    <w:uiPriority w:val="99"/>
    <w:rsid w:val="008E0FBF"/>
    <w:rPr>
      <w:rFonts w:ascii="Arial Narrow" w:hAnsi="Arial Narrow" w:cs="Arial Narrow"/>
      <w:strike/>
      <w:spacing w:val="0"/>
      <w:sz w:val="22"/>
      <w:szCs w:val="22"/>
    </w:rPr>
  </w:style>
  <w:style w:type="character" w:customStyle="1" w:styleId="51">
    <w:name w:val="Подпись к картинке (5)"/>
    <w:uiPriority w:val="99"/>
    <w:rsid w:val="008E0FBF"/>
    <w:rPr>
      <w:rFonts w:ascii="Arial Narrow" w:hAnsi="Arial Narrow" w:cs="Arial Narrow"/>
      <w:spacing w:val="0"/>
      <w:sz w:val="17"/>
      <w:szCs w:val="17"/>
      <w:u w:val="single"/>
    </w:rPr>
  </w:style>
  <w:style w:type="character" w:customStyle="1" w:styleId="58">
    <w:name w:val="Основной текст (58) + Полужирный"/>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uiPriority w:val="99"/>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uiPriority w:val="99"/>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uiPriority w:val="99"/>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uiPriority w:val="99"/>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uiPriority w:val="99"/>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uiPriority w:val="99"/>
    <w:rsid w:val="008E0FBF"/>
    <w:rPr>
      <w:rFonts w:ascii="Arial Narrow" w:hAnsi="Arial Narrow" w:cs="Arial Narrow"/>
      <w:b/>
      <w:bCs/>
      <w:i/>
      <w:iCs/>
      <w:smallCaps/>
      <w:spacing w:val="0"/>
      <w:sz w:val="15"/>
      <w:szCs w:val="15"/>
    </w:rPr>
  </w:style>
  <w:style w:type="character" w:customStyle="1" w:styleId="1b">
    <w:name w:val="Основной текст + Курсив1"/>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uiPriority w:val="99"/>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uiPriority w:val="9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uiPriority w:val="99"/>
    <w:rsid w:val="008E0FBF"/>
    <w:rPr>
      <w:rFonts w:ascii="Arial Narrow" w:hAnsi="Arial Narrow" w:cs="Arial Narrow"/>
      <w:i/>
      <w:iCs/>
      <w:spacing w:val="0"/>
      <w:sz w:val="14"/>
      <w:szCs w:val="14"/>
    </w:rPr>
  </w:style>
  <w:style w:type="character" w:customStyle="1" w:styleId="3a">
    <w:name w:val="Основной текст + Курсив3"/>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uiPriority w:val="99"/>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uiPriority w:val="99"/>
    <w:rsid w:val="008E0FBF"/>
    <w:rPr>
      <w:rFonts w:ascii="Consolas" w:hAnsi="Consolas" w:cs="Consolas"/>
      <w:b/>
      <w:bCs/>
      <w:i/>
      <w:iCs/>
      <w:spacing w:val="-10"/>
      <w:sz w:val="18"/>
      <w:szCs w:val="18"/>
    </w:rPr>
  </w:style>
  <w:style w:type="character" w:customStyle="1" w:styleId="27Gulim65pt">
    <w:name w:val="Основной текст (27) + Gulim.6.5 pt"/>
    <w:uiPriority w:val="99"/>
    <w:rsid w:val="008E0FBF"/>
    <w:rPr>
      <w:rFonts w:ascii="Gulim" w:eastAsia="Gulim" w:cs="Gulim"/>
      <w:i/>
      <w:iCs/>
      <w:spacing w:val="0"/>
      <w:sz w:val="13"/>
      <w:szCs w:val="13"/>
    </w:rPr>
  </w:style>
  <w:style w:type="character" w:customStyle="1" w:styleId="73">
    <w:name w:val="Основной текст + Курсив7"/>
    <w:uiPriority w:val="99"/>
    <w:rsid w:val="008E0FBF"/>
    <w:rPr>
      <w:rFonts w:ascii="Arial Narrow" w:hAnsi="Arial Narrow" w:cs="Arial Narrow"/>
      <w:i/>
      <w:iCs/>
      <w:spacing w:val="0"/>
      <w:sz w:val="17"/>
      <w:szCs w:val="17"/>
    </w:rPr>
  </w:style>
  <w:style w:type="character" w:customStyle="1" w:styleId="276">
    <w:name w:val="Основной текст (27) + Не курсив6"/>
    <w:uiPriority w:val="99"/>
    <w:rsid w:val="008E0FBF"/>
    <w:rPr>
      <w:rFonts w:ascii="Arial Narrow" w:hAnsi="Arial Narrow" w:cs="Arial Narrow"/>
      <w:spacing w:val="0"/>
      <w:sz w:val="17"/>
      <w:szCs w:val="17"/>
    </w:rPr>
  </w:style>
  <w:style w:type="character" w:customStyle="1" w:styleId="275">
    <w:name w:val="Основной текст (27) + Не курсив5"/>
    <w:uiPriority w:val="99"/>
    <w:rsid w:val="008E0FBF"/>
    <w:rPr>
      <w:rFonts w:ascii="Arial Narrow" w:hAnsi="Arial Narrow" w:cs="Arial Narrow"/>
      <w:spacing w:val="0"/>
      <w:sz w:val="17"/>
      <w:szCs w:val="17"/>
    </w:rPr>
  </w:style>
  <w:style w:type="character" w:customStyle="1" w:styleId="64">
    <w:name w:val="Основной текст + Курсив6"/>
    <w:uiPriority w:val="99"/>
    <w:rsid w:val="008E0FBF"/>
    <w:rPr>
      <w:rFonts w:ascii="Arial Narrow" w:hAnsi="Arial Narrow" w:cs="Arial Narrow"/>
      <w:i/>
      <w:iCs/>
      <w:spacing w:val="0"/>
      <w:sz w:val="17"/>
      <w:szCs w:val="17"/>
    </w:rPr>
  </w:style>
  <w:style w:type="character" w:customStyle="1" w:styleId="270">
    <w:name w:val="Основной текст (27)"/>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uiPriority w:val="99"/>
    <w:rsid w:val="008E0FBF"/>
    <w:rPr>
      <w:rFonts w:ascii="Arial Narrow" w:hAnsi="Arial Narrow" w:cs="Arial Narrow"/>
      <w:spacing w:val="0"/>
      <w:sz w:val="17"/>
      <w:szCs w:val="17"/>
    </w:rPr>
  </w:style>
  <w:style w:type="character" w:customStyle="1" w:styleId="58pt">
    <w:name w:val="Основной текст (5) + 8 pt.Не курсив"/>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uiPriority w:val="99"/>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uiPriority w:val="99"/>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link w:val="3c"/>
    <w:rsid w:val="008E0FBF"/>
    <w:pPr>
      <w:shd w:val="clear" w:color="auto" w:fill="FFFFFF"/>
      <w:autoSpaceDE w:val="0"/>
      <w:autoSpaceDN w:val="0"/>
      <w:adjustRightInd w:val="0"/>
      <w:spacing w:before="120" w:after="120" w:line="240" w:lineRule="atLeast"/>
    </w:pPr>
    <w:rPr>
      <w:rFonts w:ascii="Times New Roman" w:hAnsi="Times New Roman"/>
      <w:spacing w:val="40"/>
      <w:sz w:val="52"/>
      <w:szCs w:val="52"/>
    </w:rPr>
  </w:style>
  <w:style w:type="paragraph" w:customStyle="1" w:styleId="182">
    <w:name w:val="Основной текст (18)"/>
    <w:basedOn w:val="a"/>
    <w:link w:val="183"/>
    <w:uiPriority w:val="99"/>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uiPriority w:val="99"/>
    <w:rsid w:val="008E0FBF"/>
    <w:rPr>
      <w:rFonts w:ascii="Arial" w:hAnsi="Arial" w:cs="Arial"/>
      <w:b/>
      <w:bCs/>
      <w:spacing w:val="0"/>
      <w:sz w:val="23"/>
      <w:szCs w:val="23"/>
    </w:rPr>
  </w:style>
  <w:style w:type="character" w:customStyle="1" w:styleId="14pt">
    <w:name w:val="Основной текст + 14 pt"/>
    <w:uiPriority w:val="99"/>
    <w:rsid w:val="008E0FBF"/>
    <w:rPr>
      <w:rFonts w:ascii="Lucida Sans Unicode" w:hAnsi="Lucida Sans Unicode" w:cs="Lucida Sans Unicode"/>
      <w:sz w:val="28"/>
      <w:szCs w:val="28"/>
    </w:rPr>
  </w:style>
  <w:style w:type="paragraph" w:customStyle="1" w:styleId="2f">
    <w:name w:val="Подпись к таблице (2)"/>
    <w:basedOn w:val="a"/>
    <w:link w:val="2f0"/>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83">
    <w:name w:val="Заголовок №8"/>
    <w:basedOn w:val="a"/>
    <w:uiPriority w:val="99"/>
    <w:rsid w:val="00930697"/>
    <w:pPr>
      <w:shd w:val="clear" w:color="auto" w:fill="FFFFFF"/>
      <w:autoSpaceDE w:val="0"/>
      <w:autoSpaceDN w:val="0"/>
      <w:adjustRightInd w:val="0"/>
      <w:spacing w:before="180" w:after="0" w:line="211" w:lineRule="exact"/>
    </w:pPr>
    <w:rPr>
      <w:rFonts w:ascii="Microsoft Sans Serif" w:hAnsi="Microsoft Sans Serif" w:cs="Microsoft Sans Serif"/>
      <w:b/>
      <w:bCs/>
      <w:noProof/>
      <w:sz w:val="17"/>
      <w:szCs w:val="17"/>
      <w:lang w:val="en-US"/>
    </w:rPr>
  </w:style>
  <w:style w:type="character" w:customStyle="1" w:styleId="575">
    <w:name w:val="Основной текст (5)75"/>
    <w:uiPriority w:val="99"/>
    <w:rsid w:val="00930697"/>
    <w:rPr>
      <w:i/>
      <w:iCs/>
      <w:spacing w:val="0"/>
      <w:sz w:val="16"/>
      <w:szCs w:val="16"/>
    </w:rPr>
  </w:style>
  <w:style w:type="character" w:customStyle="1" w:styleId="574">
    <w:name w:val="Основной текст (5)74"/>
    <w:uiPriority w:val="99"/>
    <w:rsid w:val="00930697"/>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uiPriority w:val="99"/>
    <w:rsid w:val="00930697"/>
    <w:rPr>
      <w:i/>
      <w:iCs/>
      <w:spacing w:val="-10"/>
      <w:sz w:val="17"/>
      <w:szCs w:val="17"/>
    </w:rPr>
  </w:style>
  <w:style w:type="character" w:customStyle="1" w:styleId="58445pt60510pt90">
    <w:name w:val="Основной текст (5) + 844.5 pt60.Не курсив51.Интервал 0 pt90"/>
    <w:uiPriority w:val="99"/>
    <w:rsid w:val="00930697"/>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uiPriority w:val="99"/>
    <w:rsid w:val="00930697"/>
    <w:rPr>
      <w:i/>
      <w:iCs/>
      <w:spacing w:val="-10"/>
      <w:sz w:val="17"/>
      <w:szCs w:val="17"/>
    </w:rPr>
  </w:style>
  <w:style w:type="character" w:customStyle="1" w:styleId="573">
    <w:name w:val="Основной текст (5)73"/>
    <w:uiPriority w:val="99"/>
    <w:rsid w:val="00930697"/>
    <w:rPr>
      <w:i/>
      <w:iCs/>
      <w:spacing w:val="0"/>
      <w:sz w:val="16"/>
      <w:szCs w:val="16"/>
    </w:rPr>
  </w:style>
  <w:style w:type="character" w:customStyle="1" w:styleId="572">
    <w:name w:val="Основной текст (5)72"/>
    <w:uiPriority w:val="99"/>
    <w:rsid w:val="00930697"/>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uiPriority w:val="99"/>
    <w:rsid w:val="00930697"/>
    <w:rPr>
      <w:rFonts w:ascii="Arial Unicode MS" w:eastAsia="Arial Unicode MS" w:cs="Arial Unicode MS"/>
      <w:i/>
      <w:iCs/>
      <w:noProof/>
      <w:spacing w:val="-10"/>
      <w:sz w:val="17"/>
      <w:szCs w:val="17"/>
    </w:rPr>
  </w:style>
  <w:style w:type="character" w:customStyle="1" w:styleId="571">
    <w:name w:val="Основной текст (5)71"/>
    <w:uiPriority w:val="99"/>
    <w:rsid w:val="00930697"/>
    <w:rPr>
      <w:i/>
      <w:iCs/>
      <w:spacing w:val="0"/>
      <w:sz w:val="16"/>
      <w:szCs w:val="16"/>
    </w:rPr>
  </w:style>
  <w:style w:type="character" w:customStyle="1" w:styleId="58415pt5722">
    <w:name w:val="Основной текст (5) + 841.5 pt57.Полужирный22"/>
    <w:uiPriority w:val="99"/>
    <w:rsid w:val="00930697"/>
    <w:rPr>
      <w:b/>
      <w:bCs/>
      <w:i/>
      <w:iCs/>
      <w:spacing w:val="0"/>
      <w:sz w:val="17"/>
      <w:szCs w:val="17"/>
    </w:rPr>
  </w:style>
  <w:style w:type="character" w:customStyle="1" w:styleId="203">
    <w:name w:val="Основной текст (20)"/>
    <w:uiPriority w:val="99"/>
    <w:rsid w:val="00930697"/>
    <w:rPr>
      <w:b/>
      <w:bCs/>
      <w:i/>
      <w:iCs/>
      <w:sz w:val="15"/>
      <w:szCs w:val="15"/>
    </w:rPr>
  </w:style>
  <w:style w:type="character" w:customStyle="1" w:styleId="2030">
    <w:name w:val="Основной текст (20)3"/>
    <w:uiPriority w:val="99"/>
    <w:rsid w:val="00930697"/>
    <w:rPr>
      <w:rFonts w:ascii="Arial Unicode MS" w:eastAsia="Arial Unicode MS" w:cs="Arial Unicode MS"/>
      <w:b/>
      <w:bCs/>
      <w:i/>
      <w:iCs/>
      <w:noProof/>
      <w:sz w:val="15"/>
      <w:szCs w:val="15"/>
    </w:rPr>
  </w:style>
  <w:style w:type="character" w:customStyle="1" w:styleId="208pt4">
    <w:name w:val="Основной текст (20) + 8 pt.Не полужирный4"/>
    <w:uiPriority w:val="99"/>
    <w:rsid w:val="00930697"/>
    <w:rPr>
      <w:rFonts w:ascii="Arial Unicode MS" w:eastAsia="Arial Unicode MS" w:cs="Arial Unicode MS"/>
      <w:b/>
      <w:bCs/>
      <w:i/>
      <w:iCs/>
      <w:noProof/>
      <w:sz w:val="16"/>
      <w:szCs w:val="16"/>
    </w:rPr>
  </w:style>
  <w:style w:type="character" w:customStyle="1" w:styleId="2020">
    <w:name w:val="Основной текст (20)2"/>
    <w:uiPriority w:val="99"/>
    <w:rsid w:val="00930697"/>
    <w:rPr>
      <w:b/>
      <w:bCs/>
      <w:i/>
      <w:iCs/>
      <w:sz w:val="15"/>
      <w:szCs w:val="15"/>
    </w:rPr>
  </w:style>
  <w:style w:type="paragraph" w:customStyle="1" w:styleId="1110">
    <w:name w:val="Основной текст (11)1"/>
    <w:basedOn w:val="a"/>
    <w:uiPriority w:val="99"/>
    <w:rsid w:val="00930697"/>
    <w:pPr>
      <w:shd w:val="clear" w:color="auto" w:fill="FFFFFF"/>
      <w:autoSpaceDE w:val="0"/>
      <w:autoSpaceDN w:val="0"/>
      <w:adjustRightInd w:val="0"/>
      <w:spacing w:after="0" w:line="240" w:lineRule="atLeast"/>
    </w:pPr>
    <w:rPr>
      <w:rFonts w:ascii="Microsoft Sans Serif" w:hAnsi="Microsoft Sans Serif" w:cs="Microsoft Sans Serif"/>
      <w:i/>
      <w:iCs/>
      <w:noProof/>
      <w:sz w:val="28"/>
      <w:szCs w:val="28"/>
      <w:lang w:val="en-US"/>
    </w:rPr>
  </w:style>
  <w:style w:type="character" w:customStyle="1" w:styleId="92">
    <w:name w:val="Основной текст + Курсив9"/>
    <w:uiPriority w:val="99"/>
    <w:rsid w:val="00930697"/>
    <w:rPr>
      <w:rFonts w:ascii="Arial" w:hAnsi="Arial" w:cs="Arial"/>
      <w:i/>
      <w:iCs/>
      <w:spacing w:val="-10"/>
      <w:sz w:val="17"/>
      <w:szCs w:val="17"/>
    </w:rPr>
  </w:style>
  <w:style w:type="paragraph" w:customStyle="1" w:styleId="811">
    <w:name w:val="Подпись к картинке (8)1"/>
    <w:basedOn w:val="a"/>
    <w:uiPriority w:val="99"/>
    <w:rsid w:val="00930697"/>
    <w:pPr>
      <w:shd w:val="clear" w:color="auto" w:fill="FFFFFF"/>
      <w:autoSpaceDE w:val="0"/>
      <w:autoSpaceDN w:val="0"/>
      <w:adjustRightInd w:val="0"/>
      <w:spacing w:after="0" w:line="206" w:lineRule="exact"/>
    </w:pPr>
    <w:rPr>
      <w:rFonts w:ascii="Arial Narrow" w:hAnsi="Arial Narrow" w:cs="Arial Narrow"/>
      <w:i/>
      <w:iCs/>
      <w:sz w:val="17"/>
      <w:szCs w:val="17"/>
    </w:rPr>
  </w:style>
  <w:style w:type="paragraph" w:customStyle="1" w:styleId="191">
    <w:name w:val="Основной текст (19)"/>
    <w:basedOn w:val="a"/>
    <w:link w:val="192"/>
    <w:uiPriority w:val="99"/>
    <w:rsid w:val="00930697"/>
    <w:pPr>
      <w:shd w:val="clear" w:color="auto" w:fill="FFFFFF"/>
      <w:autoSpaceDE w:val="0"/>
      <w:autoSpaceDN w:val="0"/>
      <w:adjustRightInd w:val="0"/>
      <w:spacing w:after="0" w:line="240" w:lineRule="atLeast"/>
    </w:pPr>
    <w:rPr>
      <w:rFonts w:ascii="Arial Narrow" w:hAnsi="Arial Narrow" w:cs="Arial Narrow"/>
      <w:sz w:val="14"/>
      <w:szCs w:val="14"/>
    </w:rPr>
  </w:style>
  <w:style w:type="paragraph" w:customStyle="1" w:styleId="241">
    <w:name w:val="Основной текст (24)"/>
    <w:basedOn w:val="a"/>
    <w:link w:val="242"/>
    <w:rsid w:val="00930697"/>
    <w:pPr>
      <w:shd w:val="clear" w:color="auto" w:fill="FFFFFF"/>
      <w:autoSpaceDE w:val="0"/>
      <w:autoSpaceDN w:val="0"/>
      <w:adjustRightInd w:val="0"/>
      <w:spacing w:before="240" w:after="0" w:line="240" w:lineRule="atLeast"/>
    </w:pPr>
    <w:rPr>
      <w:rFonts w:ascii="Arial Narrow" w:hAnsi="Arial Narrow" w:cs="Arial Narrow"/>
      <w:b/>
      <w:bCs/>
      <w:sz w:val="15"/>
      <w:szCs w:val="15"/>
    </w:rPr>
  </w:style>
  <w:style w:type="paragraph" w:customStyle="1" w:styleId="130">
    <w:name w:val="Основной текст (13)"/>
    <w:basedOn w:val="a"/>
    <w:link w:val="131"/>
    <w:uiPriority w:val="99"/>
    <w:rsid w:val="002E1BE7"/>
    <w:pPr>
      <w:shd w:val="clear" w:color="auto" w:fill="FFFFFF"/>
      <w:overflowPunct w:val="0"/>
      <w:autoSpaceDE w:val="0"/>
      <w:autoSpaceDN w:val="0"/>
      <w:adjustRightInd w:val="0"/>
      <w:spacing w:after="0" w:line="240" w:lineRule="atLeast"/>
      <w:textAlignment w:val="baseline"/>
    </w:pPr>
    <w:rPr>
      <w:rFonts w:ascii="Arial" w:eastAsia="Times New Roman" w:hAnsi="Arial"/>
      <w:sz w:val="36"/>
      <w:szCs w:val="20"/>
      <w:lang w:eastAsia="ru-RU"/>
    </w:rPr>
  </w:style>
  <w:style w:type="paragraph" w:customStyle="1" w:styleId="59">
    <w:name w:val="Подпись к таблице (5)"/>
    <w:basedOn w:val="a"/>
    <w:rsid w:val="002E1BE7"/>
    <w:pPr>
      <w:shd w:val="clear" w:color="auto" w:fill="FFFFFF"/>
      <w:overflowPunct w:val="0"/>
      <w:autoSpaceDE w:val="0"/>
      <w:autoSpaceDN w:val="0"/>
      <w:adjustRightInd w:val="0"/>
      <w:spacing w:after="0" w:line="191" w:lineRule="exact"/>
      <w:textAlignment w:val="baseline"/>
    </w:pPr>
    <w:rPr>
      <w:rFonts w:ascii="Times New Roman" w:eastAsia="Times New Roman" w:hAnsi="Times New Roman"/>
      <w:sz w:val="16"/>
      <w:szCs w:val="20"/>
      <w:lang w:eastAsia="ru-RU"/>
    </w:rPr>
  </w:style>
  <w:style w:type="paragraph" w:customStyle="1" w:styleId="rtejustify">
    <w:name w:val="rtejustify"/>
    <w:basedOn w:val="a"/>
    <w:rsid w:val="002E1BE7"/>
    <w:pPr>
      <w:overflowPunct w:val="0"/>
      <w:autoSpaceDE w:val="0"/>
      <w:autoSpaceDN w:val="0"/>
      <w:adjustRightInd w:val="0"/>
      <w:spacing w:before="120" w:after="216" w:line="240" w:lineRule="auto"/>
      <w:jc w:val="both"/>
      <w:textAlignment w:val="baseline"/>
    </w:pPr>
    <w:rPr>
      <w:rFonts w:ascii="Times New Roman" w:eastAsia="Times New Roman" w:hAnsi="Times New Roman"/>
      <w:sz w:val="24"/>
      <w:szCs w:val="20"/>
      <w:lang w:eastAsia="ru-RU"/>
    </w:rPr>
  </w:style>
  <w:style w:type="character" w:customStyle="1" w:styleId="50pt">
    <w:name w:val="Подпись к таблице (5) + Интервал 0 pt"/>
    <w:rsid w:val="002E1BE7"/>
    <w:rPr>
      <w:rFonts w:ascii="Times New Roman" w:hAnsi="Times New Roman"/>
      <w:spacing w:val="10"/>
      <w:sz w:val="16"/>
    </w:rPr>
  </w:style>
  <w:style w:type="character" w:customStyle="1" w:styleId="aff1">
    <w:name w:val="Подпись к таблице_"/>
    <w:link w:val="aff0"/>
    <w:rsid w:val="002E1BE7"/>
    <w:rPr>
      <w:rFonts w:ascii="Arial Narrow" w:hAnsi="Arial Narrow" w:cs="Arial Narrow"/>
      <w:i/>
      <w:iCs/>
      <w:noProof/>
      <w:sz w:val="20"/>
      <w:szCs w:val="20"/>
      <w:shd w:val="clear" w:color="auto" w:fill="FFFFFF"/>
      <w:lang w:val="en-US"/>
    </w:rPr>
  </w:style>
  <w:style w:type="character" w:customStyle="1" w:styleId="183">
    <w:name w:val="Основной текст (18)_"/>
    <w:link w:val="182"/>
    <w:uiPriority w:val="99"/>
    <w:rsid w:val="002E1BE7"/>
    <w:rPr>
      <w:rFonts w:ascii="Arial" w:hAnsi="Arial" w:cs="Arial"/>
      <w:sz w:val="24"/>
      <w:szCs w:val="24"/>
      <w:shd w:val="clear" w:color="auto" w:fill="FFFFFF"/>
    </w:rPr>
  </w:style>
  <w:style w:type="character" w:customStyle="1" w:styleId="192">
    <w:name w:val="Основной текст (19)_"/>
    <w:link w:val="191"/>
    <w:uiPriority w:val="99"/>
    <w:rsid w:val="002E1BE7"/>
    <w:rPr>
      <w:rFonts w:ascii="Arial Narrow" w:hAnsi="Arial Narrow" w:cs="Arial Narrow"/>
      <w:sz w:val="14"/>
      <w:szCs w:val="14"/>
      <w:shd w:val="clear" w:color="auto" w:fill="FFFFFF"/>
    </w:rPr>
  </w:style>
  <w:style w:type="character" w:customStyle="1" w:styleId="151">
    <w:name w:val="Основной текст (15)_"/>
    <w:link w:val="152"/>
    <w:uiPriority w:val="99"/>
    <w:rsid w:val="002E1BE7"/>
    <w:rPr>
      <w:rFonts w:ascii="Franklin Gothic Heavy" w:eastAsia="Franklin Gothic Heavy" w:hAnsi="Franklin Gothic Heavy" w:cs="Franklin Gothic Heavy"/>
      <w:sz w:val="33"/>
      <w:szCs w:val="33"/>
      <w:shd w:val="clear" w:color="auto" w:fill="FFFFFF"/>
    </w:rPr>
  </w:style>
  <w:style w:type="paragraph" w:customStyle="1" w:styleId="152">
    <w:name w:val="Основной текст (15)"/>
    <w:basedOn w:val="a"/>
    <w:link w:val="151"/>
    <w:uiPriority w:val="99"/>
    <w:rsid w:val="002E1BE7"/>
    <w:pPr>
      <w:shd w:val="clear" w:color="auto" w:fill="FFFFFF"/>
      <w:spacing w:after="0" w:line="432" w:lineRule="exact"/>
      <w:jc w:val="both"/>
    </w:pPr>
    <w:rPr>
      <w:rFonts w:ascii="Franklin Gothic Heavy" w:eastAsia="Franklin Gothic Heavy" w:hAnsi="Franklin Gothic Heavy" w:cs="Franklin Gothic Heavy"/>
      <w:sz w:val="33"/>
      <w:szCs w:val="33"/>
    </w:rPr>
  </w:style>
  <w:style w:type="paragraph" w:customStyle="1" w:styleId="84">
    <w:name w:val="Основной текст8"/>
    <w:basedOn w:val="a"/>
    <w:rsid w:val="00360AC0"/>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sz w:val="26"/>
      <w:szCs w:val="20"/>
      <w:lang w:eastAsia="ru-RU"/>
    </w:rPr>
  </w:style>
  <w:style w:type="character" w:customStyle="1" w:styleId="10">
    <w:name w:val="Заголовок 1 Знак"/>
    <w:link w:val="1"/>
    <w:uiPriority w:val="9"/>
    <w:rsid w:val="0058354C"/>
    <w:rPr>
      <w:rFonts w:ascii="Cambria" w:eastAsia="Times New Roman" w:hAnsi="Cambria" w:cs="Times New Roman"/>
      <w:b/>
      <w:bCs/>
      <w:color w:val="365F91"/>
      <w:sz w:val="28"/>
      <w:szCs w:val="28"/>
    </w:rPr>
  </w:style>
  <w:style w:type="paragraph" w:customStyle="1" w:styleId="rteright">
    <w:name w:val="rteright"/>
    <w:basedOn w:val="a"/>
    <w:rsid w:val="0058354C"/>
    <w:pPr>
      <w:overflowPunct w:val="0"/>
      <w:autoSpaceDE w:val="0"/>
      <w:autoSpaceDN w:val="0"/>
      <w:adjustRightInd w:val="0"/>
      <w:spacing w:before="120" w:after="216" w:line="240" w:lineRule="auto"/>
      <w:jc w:val="right"/>
      <w:textAlignment w:val="baseline"/>
    </w:pPr>
    <w:rPr>
      <w:rFonts w:ascii="Times New Roman" w:eastAsia="Times New Roman" w:hAnsi="Times New Roman"/>
      <w:sz w:val="24"/>
      <w:szCs w:val="20"/>
      <w:lang w:eastAsia="ru-RU"/>
    </w:rPr>
  </w:style>
  <w:style w:type="paragraph" w:customStyle="1" w:styleId="rteindent1">
    <w:name w:val="rteindent1"/>
    <w:basedOn w:val="a"/>
    <w:rsid w:val="0058354C"/>
    <w:pPr>
      <w:spacing w:before="120" w:after="216" w:line="240" w:lineRule="auto"/>
      <w:ind w:left="349"/>
    </w:pPr>
    <w:rPr>
      <w:rFonts w:ascii="Times New Roman" w:eastAsia="Times New Roman" w:hAnsi="Times New Roman"/>
      <w:sz w:val="24"/>
      <w:szCs w:val="24"/>
      <w:lang w:eastAsia="ru-RU"/>
    </w:rPr>
  </w:style>
  <w:style w:type="character" w:customStyle="1" w:styleId="12pt">
    <w:name w:val="Основной текст + 12 pt"/>
    <w:rsid w:val="0058354C"/>
    <w:rPr>
      <w:rFonts w:ascii="Times New Roman" w:hAnsi="Times New Roman"/>
      <w:spacing w:val="-10"/>
      <w:sz w:val="24"/>
    </w:rPr>
  </w:style>
  <w:style w:type="paragraph" w:customStyle="1" w:styleId="rtecenter">
    <w:name w:val="rtecenter"/>
    <w:basedOn w:val="a"/>
    <w:rsid w:val="00FA6C6A"/>
    <w:pPr>
      <w:spacing w:before="120" w:after="216" w:line="240" w:lineRule="auto"/>
      <w:jc w:val="center"/>
    </w:pPr>
    <w:rPr>
      <w:rFonts w:ascii="Times New Roman" w:eastAsia="Times New Roman" w:hAnsi="Times New Roman"/>
      <w:sz w:val="24"/>
      <w:szCs w:val="24"/>
      <w:lang w:eastAsia="ru-RU"/>
    </w:rPr>
  </w:style>
  <w:style w:type="paragraph" w:customStyle="1" w:styleId="230">
    <w:name w:val="Основной текст (23)"/>
    <w:basedOn w:val="a"/>
    <w:link w:val="231"/>
    <w:rsid w:val="006A4DAE"/>
    <w:pPr>
      <w:shd w:val="clear" w:color="auto" w:fill="FFFFFF"/>
      <w:overflowPunct w:val="0"/>
      <w:autoSpaceDE w:val="0"/>
      <w:autoSpaceDN w:val="0"/>
      <w:adjustRightInd w:val="0"/>
      <w:spacing w:after="0" w:line="240" w:lineRule="atLeast"/>
      <w:textAlignment w:val="baseline"/>
    </w:pPr>
    <w:rPr>
      <w:rFonts w:ascii="Arial" w:eastAsia="Times New Roman" w:hAnsi="Arial"/>
      <w:sz w:val="19"/>
      <w:szCs w:val="20"/>
      <w:lang w:eastAsia="ru-RU"/>
    </w:rPr>
  </w:style>
  <w:style w:type="character" w:customStyle="1" w:styleId="231">
    <w:name w:val="Основной текст (23)_"/>
    <w:link w:val="230"/>
    <w:rsid w:val="006A4DAE"/>
    <w:rPr>
      <w:rFonts w:ascii="Arial" w:eastAsia="Times New Roman" w:hAnsi="Arial" w:cs="Times New Roman"/>
      <w:sz w:val="19"/>
      <w:szCs w:val="20"/>
      <w:shd w:val="clear" w:color="auto" w:fill="FFFFFF"/>
      <w:lang w:eastAsia="ru-RU"/>
    </w:rPr>
  </w:style>
  <w:style w:type="character" w:customStyle="1" w:styleId="272">
    <w:name w:val="Основной текст (27)_"/>
    <w:rsid w:val="006A4DAE"/>
    <w:rPr>
      <w:rFonts w:ascii="Arial" w:hAnsi="Arial"/>
      <w:sz w:val="14"/>
      <w:shd w:val="clear" w:color="auto" w:fill="FFFFFF"/>
    </w:rPr>
  </w:style>
  <w:style w:type="paragraph" w:customStyle="1" w:styleId="260">
    <w:name w:val="Основной текст (26)"/>
    <w:basedOn w:val="a"/>
    <w:link w:val="261"/>
    <w:rsid w:val="006A4DAE"/>
    <w:pPr>
      <w:shd w:val="clear" w:color="auto" w:fill="FFFFFF"/>
      <w:overflowPunct w:val="0"/>
      <w:autoSpaceDE w:val="0"/>
      <w:autoSpaceDN w:val="0"/>
      <w:adjustRightInd w:val="0"/>
      <w:spacing w:after="0" w:line="240" w:lineRule="atLeast"/>
      <w:jc w:val="center"/>
      <w:textAlignment w:val="baseline"/>
    </w:pPr>
    <w:rPr>
      <w:rFonts w:ascii="Arial" w:eastAsia="Times New Roman" w:hAnsi="Arial"/>
      <w:sz w:val="14"/>
      <w:szCs w:val="20"/>
      <w:lang w:eastAsia="ru-RU"/>
    </w:rPr>
  </w:style>
  <w:style w:type="character" w:customStyle="1" w:styleId="261">
    <w:name w:val="Основной текст (26)_"/>
    <w:link w:val="260"/>
    <w:rsid w:val="006A4DAE"/>
    <w:rPr>
      <w:rFonts w:ascii="Arial" w:eastAsia="Times New Roman" w:hAnsi="Arial" w:cs="Times New Roman"/>
      <w:sz w:val="14"/>
      <w:szCs w:val="20"/>
      <w:shd w:val="clear" w:color="auto" w:fill="FFFFFF"/>
      <w:lang w:eastAsia="ru-RU"/>
    </w:rPr>
  </w:style>
  <w:style w:type="character" w:customStyle="1" w:styleId="242">
    <w:name w:val="Основной текст (24)_"/>
    <w:link w:val="241"/>
    <w:rsid w:val="006A4DAE"/>
    <w:rPr>
      <w:rFonts w:ascii="Arial Narrow" w:hAnsi="Arial Narrow" w:cs="Arial Narrow"/>
      <w:b/>
      <w:bCs/>
      <w:sz w:val="15"/>
      <w:szCs w:val="15"/>
      <w:shd w:val="clear" w:color="auto" w:fill="FFFFFF"/>
    </w:rPr>
  </w:style>
  <w:style w:type="character" w:customStyle="1" w:styleId="282">
    <w:name w:val="Основной текст (28)_"/>
    <w:link w:val="281"/>
    <w:rsid w:val="006A4DAE"/>
    <w:rPr>
      <w:rFonts w:ascii="Lucida Sans Unicode" w:hAnsi="Lucida Sans Unicode" w:cs="Lucida Sans Unicode"/>
      <w:spacing w:val="10"/>
      <w:sz w:val="24"/>
      <w:szCs w:val="24"/>
      <w:shd w:val="clear" w:color="auto" w:fill="FFFFFF"/>
    </w:rPr>
  </w:style>
  <w:style w:type="character" w:customStyle="1" w:styleId="251">
    <w:name w:val="Основной текст (25)"/>
    <w:rsid w:val="006A4DAE"/>
    <w:rPr>
      <w:rFonts w:ascii="Arial" w:hAnsi="Arial"/>
      <w:sz w:val="10"/>
    </w:rPr>
  </w:style>
  <w:style w:type="paragraph" w:customStyle="1" w:styleId="5a">
    <w:name w:val="Основной текст (5)"/>
    <w:basedOn w:val="a"/>
    <w:link w:val="5b"/>
    <w:rsid w:val="003F2394"/>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spacing w:val="-10"/>
      <w:sz w:val="26"/>
      <w:szCs w:val="20"/>
      <w:lang w:eastAsia="ru-RU"/>
    </w:rPr>
  </w:style>
  <w:style w:type="character" w:customStyle="1" w:styleId="1c">
    <w:name w:val="Слабое выделение1"/>
    <w:rsid w:val="003F2394"/>
    <w:rPr>
      <w:i/>
      <w:color w:val="808080"/>
    </w:rPr>
  </w:style>
  <w:style w:type="paragraph" w:customStyle="1" w:styleId="74">
    <w:name w:val="Основной текст7"/>
    <w:basedOn w:val="a"/>
    <w:rsid w:val="003F2394"/>
    <w:pPr>
      <w:shd w:val="clear" w:color="auto" w:fill="FFFFFF"/>
      <w:overflowPunct w:val="0"/>
      <w:autoSpaceDE w:val="0"/>
      <w:autoSpaceDN w:val="0"/>
      <w:adjustRightInd w:val="0"/>
      <w:spacing w:after="0" w:line="240" w:lineRule="atLeast"/>
      <w:ind w:hanging="2640"/>
      <w:textAlignment w:val="baseline"/>
    </w:pPr>
    <w:rPr>
      <w:rFonts w:ascii="Arial Narrow" w:eastAsia="Times New Roman" w:hAnsi="Arial Narrow"/>
      <w:color w:val="000000"/>
      <w:sz w:val="15"/>
      <w:szCs w:val="20"/>
      <w:lang w:eastAsia="ru-RU"/>
    </w:rPr>
  </w:style>
  <w:style w:type="character" w:customStyle="1" w:styleId="30">
    <w:name w:val="Заголовок 3 Знак"/>
    <w:link w:val="3"/>
    <w:uiPriority w:val="9"/>
    <w:rsid w:val="00BA29CE"/>
    <w:rPr>
      <w:rFonts w:ascii="Cambria" w:eastAsia="Times New Roman" w:hAnsi="Cambria" w:cs="Times New Roman"/>
      <w:color w:val="243F60"/>
      <w:sz w:val="24"/>
      <w:szCs w:val="24"/>
      <w:lang w:eastAsia="ru-RU"/>
    </w:rPr>
  </w:style>
  <w:style w:type="paragraph" w:customStyle="1" w:styleId="49">
    <w:name w:val="Заголовок №4"/>
    <w:basedOn w:val="a"/>
    <w:link w:val="4a"/>
    <w:rsid w:val="000904A1"/>
    <w:pPr>
      <w:shd w:val="clear" w:color="auto" w:fill="FFFFFF"/>
      <w:overflowPunct w:val="0"/>
      <w:autoSpaceDE w:val="0"/>
      <w:autoSpaceDN w:val="0"/>
      <w:adjustRightInd w:val="0"/>
      <w:spacing w:before="300" w:after="0" w:line="240" w:lineRule="atLeast"/>
      <w:textAlignment w:val="baseline"/>
    </w:pPr>
    <w:rPr>
      <w:rFonts w:ascii="Arial" w:eastAsia="Times New Roman" w:hAnsi="Arial"/>
      <w:spacing w:val="-20"/>
      <w:sz w:val="85"/>
      <w:szCs w:val="20"/>
      <w:lang w:eastAsia="ru-RU"/>
    </w:rPr>
  </w:style>
  <w:style w:type="character" w:customStyle="1" w:styleId="4a">
    <w:name w:val="Заголовок №4_"/>
    <w:link w:val="49"/>
    <w:rsid w:val="000904A1"/>
    <w:rPr>
      <w:rFonts w:ascii="Arial" w:eastAsia="Times New Roman" w:hAnsi="Arial" w:cs="Times New Roman"/>
      <w:spacing w:val="-20"/>
      <w:sz w:val="85"/>
      <w:szCs w:val="20"/>
      <w:shd w:val="clear" w:color="auto" w:fill="FFFFFF"/>
      <w:lang w:eastAsia="ru-RU"/>
    </w:rPr>
  </w:style>
  <w:style w:type="paragraph" w:customStyle="1" w:styleId="rteleft">
    <w:name w:val="rteleft"/>
    <w:basedOn w:val="a"/>
    <w:rsid w:val="00CE35D9"/>
    <w:pPr>
      <w:spacing w:before="120" w:after="216" w:line="240" w:lineRule="auto"/>
    </w:pPr>
    <w:rPr>
      <w:rFonts w:ascii="Times New Roman" w:eastAsia="Times New Roman" w:hAnsi="Times New Roman"/>
      <w:sz w:val="24"/>
      <w:szCs w:val="24"/>
      <w:lang w:eastAsia="ru-RU"/>
    </w:rPr>
  </w:style>
  <w:style w:type="character" w:customStyle="1" w:styleId="114">
    <w:name w:val="Основной текст (11) + Не курсив"/>
    <w:rsid w:val="004539AF"/>
    <w:rPr>
      <w:rFonts w:ascii="Times New Roman" w:eastAsia="Times New Roman" w:hAnsi="Times New Roman" w:cs="Times New Roman"/>
      <w:b w:val="0"/>
      <w:bCs w:val="0"/>
      <w:i/>
      <w:iCs/>
      <w:smallCaps w:val="0"/>
      <w:strike w:val="0"/>
      <w:spacing w:val="0"/>
      <w:sz w:val="17"/>
      <w:szCs w:val="17"/>
    </w:rPr>
  </w:style>
  <w:style w:type="paragraph" w:customStyle="1" w:styleId="txt1">
    <w:name w:val="txt1"/>
    <w:basedOn w:val="a"/>
    <w:rsid w:val="00185C06"/>
    <w:pPr>
      <w:spacing w:before="100" w:beforeAutospacing="1" w:after="100" w:afterAutospacing="1" w:line="432" w:lineRule="auto"/>
      <w:ind w:firstLine="720"/>
      <w:jc w:val="both"/>
    </w:pPr>
    <w:rPr>
      <w:rFonts w:ascii="Times New Roman" w:eastAsia="Times New Roman" w:hAnsi="Times New Roman"/>
      <w:sz w:val="24"/>
      <w:szCs w:val="24"/>
      <w:lang w:eastAsia="ru-RU"/>
    </w:rPr>
  </w:style>
  <w:style w:type="character" w:customStyle="1" w:styleId="115">
    <w:name w:val="Основной текст + Курсив11"/>
    <w:aliases w:val="Интервал -1 pt1"/>
    <w:uiPriority w:val="99"/>
    <w:rsid w:val="00185C06"/>
    <w:rPr>
      <w:rFonts w:ascii="Arial Narrow" w:hAnsi="Arial Narrow" w:cs="Arial Narrow"/>
      <w:i/>
      <w:iCs/>
      <w:spacing w:val="0"/>
      <w:sz w:val="17"/>
      <w:szCs w:val="17"/>
    </w:rPr>
  </w:style>
  <w:style w:type="character" w:customStyle="1" w:styleId="2f1">
    <w:name w:val="Основной текст + Малые прописные2"/>
    <w:uiPriority w:val="99"/>
    <w:rsid w:val="00185C06"/>
    <w:rPr>
      <w:rFonts w:ascii="Arial Narrow" w:hAnsi="Arial Narrow" w:cs="Arial Narrow"/>
      <w:smallCaps/>
      <w:spacing w:val="0"/>
      <w:w w:val="100"/>
      <w:sz w:val="17"/>
      <w:szCs w:val="17"/>
      <w:shd w:val="clear" w:color="auto" w:fill="FFFFFF"/>
    </w:rPr>
  </w:style>
  <w:style w:type="character" w:customStyle="1" w:styleId="3c">
    <w:name w:val="Заголовок №3_"/>
    <w:link w:val="3b"/>
    <w:rsid w:val="004050DA"/>
    <w:rPr>
      <w:rFonts w:ascii="Times New Roman" w:hAnsi="Times New Roman" w:cs="Times New Roman"/>
      <w:spacing w:val="40"/>
      <w:sz w:val="52"/>
      <w:szCs w:val="52"/>
      <w:shd w:val="clear" w:color="auto" w:fill="FFFFFF"/>
    </w:rPr>
  </w:style>
  <w:style w:type="character" w:customStyle="1" w:styleId="35">
    <w:name w:val="Основной текст (3)_"/>
    <w:link w:val="34"/>
    <w:rsid w:val="004050DA"/>
    <w:rPr>
      <w:rFonts w:ascii="Gungsuh" w:eastAsia="Gungsuh" w:hAnsi="Times New Roman" w:cs="Gungsuh"/>
      <w:spacing w:val="20"/>
      <w:sz w:val="35"/>
      <w:szCs w:val="35"/>
      <w:shd w:val="clear" w:color="auto" w:fill="FFFFFF"/>
    </w:rPr>
  </w:style>
  <w:style w:type="character" w:customStyle="1" w:styleId="1a">
    <w:name w:val="Заголовок №1_"/>
    <w:link w:val="19"/>
    <w:rsid w:val="004050DA"/>
    <w:rPr>
      <w:rFonts w:ascii="Segoe UI" w:hAnsi="Segoe UI" w:cs="Segoe UI"/>
      <w:sz w:val="20"/>
      <w:szCs w:val="20"/>
      <w:shd w:val="clear" w:color="auto" w:fill="FFFFFF"/>
    </w:rPr>
  </w:style>
  <w:style w:type="character" w:customStyle="1" w:styleId="320">
    <w:name w:val="Заголовок №3 (2)_"/>
    <w:link w:val="321"/>
    <w:rsid w:val="004050DA"/>
    <w:rPr>
      <w:rFonts w:ascii="Microsoft Sans Serif" w:eastAsia="Microsoft Sans Serif" w:hAnsi="Microsoft Sans Serif" w:cs="Microsoft Sans Serif"/>
      <w:sz w:val="11"/>
      <w:szCs w:val="11"/>
      <w:shd w:val="clear" w:color="auto" w:fill="FFFFFF"/>
    </w:rPr>
  </w:style>
  <w:style w:type="paragraph" w:customStyle="1" w:styleId="321">
    <w:name w:val="Заголовок №3 (2)"/>
    <w:basedOn w:val="a"/>
    <w:link w:val="320"/>
    <w:rsid w:val="004050DA"/>
    <w:pPr>
      <w:shd w:val="clear" w:color="auto" w:fill="FFFFFF"/>
      <w:spacing w:after="0" w:line="221" w:lineRule="exact"/>
      <w:ind w:firstLine="280"/>
      <w:outlineLvl w:val="2"/>
    </w:pPr>
    <w:rPr>
      <w:rFonts w:ascii="Microsoft Sans Serif" w:eastAsia="Microsoft Sans Serif" w:hAnsi="Microsoft Sans Serif" w:cs="Microsoft Sans Serif"/>
      <w:sz w:val="11"/>
      <w:szCs w:val="11"/>
    </w:rPr>
  </w:style>
  <w:style w:type="character" w:customStyle="1" w:styleId="highlight">
    <w:name w:val="highlight"/>
    <w:basedOn w:val="a0"/>
    <w:rsid w:val="004050DA"/>
  </w:style>
  <w:style w:type="character" w:customStyle="1" w:styleId="46">
    <w:name w:val="Основной текст (4)_"/>
    <w:link w:val="45"/>
    <w:uiPriority w:val="99"/>
    <w:rsid w:val="004050DA"/>
    <w:rPr>
      <w:rFonts w:ascii="Gungsuh" w:eastAsia="Gungsuh" w:hAnsi="Times New Roman" w:cs="Gungsuh"/>
      <w:sz w:val="13"/>
      <w:szCs w:val="13"/>
      <w:shd w:val="clear" w:color="auto" w:fill="FFFFFF"/>
    </w:rPr>
  </w:style>
  <w:style w:type="character" w:customStyle="1" w:styleId="38">
    <w:name w:val="Подпись к картинке (3)_"/>
    <w:link w:val="37"/>
    <w:uiPriority w:val="99"/>
    <w:rsid w:val="004050DA"/>
    <w:rPr>
      <w:rFonts w:ascii="Arial Narrow" w:hAnsi="Arial Narrow" w:cs="Arial Narrow"/>
      <w:sz w:val="16"/>
      <w:szCs w:val="16"/>
      <w:shd w:val="clear" w:color="auto" w:fill="FFFFFF"/>
    </w:rPr>
  </w:style>
  <w:style w:type="character" w:customStyle="1" w:styleId="2d">
    <w:name w:val="Подпись к картинке (2)_"/>
    <w:link w:val="2c"/>
    <w:uiPriority w:val="99"/>
    <w:rsid w:val="004050DA"/>
    <w:rPr>
      <w:rFonts w:ascii="MS Reference Sans Serif" w:hAnsi="MS Reference Sans Serif" w:cs="MS Reference Sans Serif"/>
      <w:i/>
      <w:iCs/>
      <w:sz w:val="13"/>
      <w:szCs w:val="13"/>
      <w:shd w:val="clear" w:color="auto" w:fill="FFFFFF"/>
    </w:rPr>
  </w:style>
  <w:style w:type="character" w:customStyle="1" w:styleId="highlight1">
    <w:name w:val="highlight1"/>
    <w:basedOn w:val="a0"/>
    <w:rsid w:val="00150BD8"/>
    <w:rPr>
      <w:b/>
      <w:bCs/>
    </w:rPr>
  </w:style>
  <w:style w:type="character" w:customStyle="1" w:styleId="noprint">
    <w:name w:val="noprint"/>
    <w:basedOn w:val="a0"/>
    <w:rsid w:val="00150BD8"/>
  </w:style>
  <w:style w:type="character" w:customStyle="1" w:styleId="20">
    <w:name w:val="Заголовок 2 Знак"/>
    <w:basedOn w:val="a0"/>
    <w:link w:val="2"/>
    <w:uiPriority w:val="9"/>
    <w:rsid w:val="00A4146F"/>
    <w:rPr>
      <w:rFonts w:asciiTheme="majorHAnsi" w:eastAsiaTheme="majorEastAsia" w:hAnsiTheme="majorHAnsi" w:cstheme="majorBidi"/>
      <w:color w:val="365F91" w:themeColor="accent1" w:themeShade="BF"/>
      <w:sz w:val="26"/>
      <w:szCs w:val="26"/>
      <w:lang w:eastAsia="en-US"/>
    </w:rPr>
  </w:style>
  <w:style w:type="paragraph" w:customStyle="1" w:styleId="paragraphstyle">
    <w:name w:val="paragraphstyle"/>
    <w:basedOn w:val="a"/>
    <w:rsid w:val="00E931FD"/>
    <w:pPr>
      <w:spacing w:before="100" w:beforeAutospacing="1" w:after="384" w:line="432" w:lineRule="auto"/>
    </w:pPr>
    <w:rPr>
      <w:rFonts w:ascii="Times New Roman" w:eastAsia="Times New Roman" w:hAnsi="Times New Roman"/>
      <w:sz w:val="24"/>
      <w:szCs w:val="24"/>
      <w:lang w:eastAsia="ru-RU"/>
    </w:rPr>
  </w:style>
  <w:style w:type="character" w:customStyle="1" w:styleId="40">
    <w:name w:val="Заголовок 4 Знак"/>
    <w:basedOn w:val="a0"/>
    <w:link w:val="4"/>
    <w:uiPriority w:val="9"/>
    <w:rsid w:val="003628CD"/>
    <w:rPr>
      <w:rFonts w:asciiTheme="majorHAnsi" w:eastAsiaTheme="majorEastAsia" w:hAnsiTheme="majorHAnsi" w:cstheme="majorBidi"/>
      <w:i/>
      <w:iCs/>
      <w:color w:val="365F91" w:themeColor="accent1" w:themeShade="BF"/>
      <w:sz w:val="22"/>
      <w:szCs w:val="22"/>
      <w:lang w:eastAsia="en-US"/>
    </w:rPr>
  </w:style>
  <w:style w:type="character" w:customStyle="1" w:styleId="184">
    <w:name w:val="Основной текст + Курсив18"/>
    <w:basedOn w:val="a0"/>
    <w:uiPriority w:val="99"/>
    <w:rsid w:val="000E63D3"/>
    <w:rPr>
      <w:rFonts w:ascii="Arial Narrow" w:hAnsi="Arial Narrow" w:cs="Arial Narrow"/>
      <w:i/>
      <w:iCs/>
      <w:spacing w:val="0"/>
      <w:sz w:val="18"/>
      <w:szCs w:val="18"/>
      <w:shd w:val="clear" w:color="auto" w:fill="FFFFFF"/>
    </w:rPr>
  </w:style>
  <w:style w:type="character" w:customStyle="1" w:styleId="65">
    <w:name w:val="Основной текст (6)_"/>
    <w:basedOn w:val="a0"/>
    <w:link w:val="66"/>
    <w:uiPriority w:val="99"/>
    <w:locked/>
    <w:rsid w:val="000E63D3"/>
    <w:rPr>
      <w:rFonts w:ascii="Times New Roman" w:hAnsi="Times New Roman"/>
      <w:b/>
      <w:bCs/>
      <w:shd w:val="clear" w:color="auto" w:fill="FFFFFF"/>
    </w:rPr>
  </w:style>
  <w:style w:type="paragraph" w:customStyle="1" w:styleId="66">
    <w:name w:val="Основной текст (6)"/>
    <w:basedOn w:val="a"/>
    <w:link w:val="65"/>
    <w:uiPriority w:val="99"/>
    <w:rsid w:val="000E63D3"/>
    <w:pPr>
      <w:shd w:val="clear" w:color="auto" w:fill="FFFFFF"/>
      <w:spacing w:before="600" w:after="0" w:line="240" w:lineRule="exact"/>
      <w:jc w:val="center"/>
    </w:pPr>
    <w:rPr>
      <w:rFonts w:ascii="Times New Roman" w:hAnsi="Times New Roman"/>
      <w:b/>
      <w:bCs/>
      <w:sz w:val="20"/>
      <w:szCs w:val="20"/>
      <w:lang w:eastAsia="ru-RU"/>
    </w:rPr>
  </w:style>
  <w:style w:type="character" w:customStyle="1" w:styleId="0pt0">
    <w:name w:val="Основной текст + Полужирный;Интервал 0 pt"/>
    <w:basedOn w:val="aff"/>
    <w:rsid w:val="000E63D3"/>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affb">
    <w:name w:val="Основной текст + Полужирный;Курсив"/>
    <w:basedOn w:val="aff"/>
    <w:rsid w:val="000E63D3"/>
    <w:rPr>
      <w:rFonts w:ascii="Arial Narrow" w:eastAsia="Arial Narrow" w:hAnsi="Arial Narrow" w:cs="Arial Narrow"/>
      <w:b/>
      <w:bCs/>
      <w:i/>
      <w:iCs/>
      <w:smallCaps w:val="0"/>
      <w:strike w:val="0"/>
      <w:spacing w:val="0"/>
      <w:sz w:val="18"/>
      <w:szCs w:val="18"/>
      <w:shd w:val="clear" w:color="auto" w:fill="FFFFFF"/>
    </w:rPr>
  </w:style>
  <w:style w:type="character" w:customStyle="1" w:styleId="aff3">
    <w:name w:val="Сноска_"/>
    <w:basedOn w:val="a0"/>
    <w:link w:val="aff2"/>
    <w:rsid w:val="00810511"/>
    <w:rPr>
      <w:rFonts w:ascii="Lucida Sans Unicode" w:hAnsi="Lucida Sans Unicode" w:cs="Lucida Sans Unicode"/>
      <w:i/>
      <w:iCs/>
      <w:noProof/>
      <w:sz w:val="13"/>
      <w:szCs w:val="13"/>
      <w:shd w:val="clear" w:color="auto" w:fill="FFFFFF"/>
      <w:lang w:val="en-US" w:eastAsia="en-US"/>
    </w:rPr>
  </w:style>
  <w:style w:type="character" w:customStyle="1" w:styleId="85pt">
    <w:name w:val="Сноска + 8;5 pt"/>
    <w:basedOn w:val="aff3"/>
    <w:rsid w:val="00810511"/>
    <w:rPr>
      <w:rFonts w:ascii="Arial" w:eastAsia="Arial" w:hAnsi="Arial" w:cs="Arial"/>
      <w:b w:val="0"/>
      <w:bCs w:val="0"/>
      <w:i w:val="0"/>
      <w:iCs w:val="0"/>
      <w:smallCaps w:val="0"/>
      <w:strike w:val="0"/>
      <w:noProof/>
      <w:spacing w:val="0"/>
      <w:sz w:val="17"/>
      <w:szCs w:val="17"/>
      <w:shd w:val="clear" w:color="auto" w:fill="FFFFFF"/>
      <w:lang w:val="en-US" w:eastAsia="en-US"/>
    </w:rPr>
  </w:style>
  <w:style w:type="character" w:customStyle="1" w:styleId="selected1">
    <w:name w:val="selected1"/>
    <w:basedOn w:val="a0"/>
    <w:rsid w:val="00180F83"/>
    <w:rPr>
      <w:color w:val="05A505"/>
    </w:rPr>
  </w:style>
  <w:style w:type="paragraph" w:customStyle="1" w:styleId="1010">
    <w:name w:val="Основной текст (10)1"/>
    <w:basedOn w:val="a"/>
    <w:uiPriority w:val="99"/>
    <w:rsid w:val="00361643"/>
    <w:pPr>
      <w:shd w:val="clear" w:color="auto" w:fill="FFFFFF"/>
      <w:spacing w:after="0" w:line="240" w:lineRule="atLeast"/>
      <w:ind w:hanging="260"/>
      <w:jc w:val="both"/>
    </w:pPr>
    <w:rPr>
      <w:rFonts w:ascii="Arial Narrow" w:eastAsia="Arial Unicode MS" w:hAnsi="Arial Narrow" w:cs="Arial Narrow"/>
      <w:i/>
      <w:iCs/>
      <w:sz w:val="18"/>
      <w:szCs w:val="18"/>
      <w:lang w:eastAsia="ru-RU"/>
    </w:rPr>
  </w:style>
  <w:style w:type="character" w:customStyle="1" w:styleId="1d">
    <w:name w:val="Основной текст Знак1"/>
    <w:basedOn w:val="a0"/>
    <w:uiPriority w:val="99"/>
    <w:rsid w:val="00361643"/>
    <w:rPr>
      <w:rFonts w:ascii="Arial Narrow" w:hAnsi="Arial Narrow" w:cs="Arial Narrow"/>
      <w:sz w:val="18"/>
      <w:szCs w:val="18"/>
      <w:shd w:val="clear" w:color="auto" w:fill="FFFFFF"/>
    </w:rPr>
  </w:style>
  <w:style w:type="character" w:customStyle="1" w:styleId="4b">
    <w:name w:val="Основной текст (4) + Не курсив"/>
    <w:basedOn w:val="46"/>
    <w:rsid w:val="0092785F"/>
    <w:rPr>
      <w:rFonts w:ascii="Arial Narrow" w:eastAsia="Arial Narrow" w:hAnsi="Arial Narrow" w:cs="Arial Narrow"/>
      <w:b w:val="0"/>
      <w:bCs w:val="0"/>
      <w:i/>
      <w:iCs/>
      <w:smallCaps w:val="0"/>
      <w:strike w:val="0"/>
      <w:spacing w:val="0"/>
      <w:sz w:val="18"/>
      <w:szCs w:val="18"/>
      <w:shd w:val="clear" w:color="auto" w:fill="FFFFFF"/>
    </w:rPr>
  </w:style>
  <w:style w:type="paragraph" w:styleId="affc">
    <w:name w:val="List Paragraph"/>
    <w:basedOn w:val="a"/>
    <w:uiPriority w:val="34"/>
    <w:qFormat/>
    <w:rsid w:val="00D067C1"/>
    <w:pPr>
      <w:ind w:left="720"/>
      <w:contextualSpacing/>
    </w:pPr>
  </w:style>
  <w:style w:type="character" w:customStyle="1" w:styleId="252">
    <w:name w:val="Основной текст + Курсив25"/>
    <w:basedOn w:val="a0"/>
    <w:uiPriority w:val="99"/>
    <w:rsid w:val="006D155E"/>
    <w:rPr>
      <w:rFonts w:ascii="Arial Narrow" w:hAnsi="Arial Narrow" w:cs="Arial Narrow"/>
      <w:i/>
      <w:iCs/>
      <w:spacing w:val="0"/>
      <w:sz w:val="18"/>
      <w:szCs w:val="18"/>
      <w:shd w:val="clear" w:color="auto" w:fill="FFFFFF"/>
    </w:rPr>
  </w:style>
  <w:style w:type="character" w:customStyle="1" w:styleId="380">
    <w:name w:val="Основной текст + Полужирный38"/>
    <w:basedOn w:val="a0"/>
    <w:uiPriority w:val="99"/>
    <w:rsid w:val="006D155E"/>
    <w:rPr>
      <w:rFonts w:ascii="Arial Narrow" w:hAnsi="Arial Narrow" w:cs="Arial Narrow"/>
      <w:b/>
      <w:bCs/>
      <w:spacing w:val="0"/>
      <w:sz w:val="18"/>
      <w:szCs w:val="18"/>
      <w:shd w:val="clear" w:color="auto" w:fill="FFFFFF"/>
    </w:rPr>
  </w:style>
  <w:style w:type="character" w:customStyle="1" w:styleId="12pt70">
    <w:name w:val="Основной текст + 12 pt;Масштаб 70%"/>
    <w:basedOn w:val="aff"/>
    <w:rsid w:val="00B4520E"/>
    <w:rPr>
      <w:rFonts w:ascii="Arial" w:eastAsia="Arial" w:hAnsi="Arial" w:cs="Arial"/>
      <w:b w:val="0"/>
      <w:bCs w:val="0"/>
      <w:i w:val="0"/>
      <w:iCs w:val="0"/>
      <w:smallCaps w:val="0"/>
      <w:strike w:val="0"/>
      <w:spacing w:val="0"/>
      <w:w w:val="70"/>
      <w:sz w:val="24"/>
      <w:szCs w:val="24"/>
      <w:shd w:val="clear" w:color="auto" w:fill="FFFFFF"/>
    </w:rPr>
  </w:style>
  <w:style w:type="character" w:customStyle="1" w:styleId="ucoz-forum-post">
    <w:name w:val="ucoz-forum-post"/>
    <w:basedOn w:val="a0"/>
    <w:rsid w:val="00F722EC"/>
  </w:style>
  <w:style w:type="character" w:customStyle="1" w:styleId="Bodytext2">
    <w:name w:val="Body text (2)"/>
    <w:basedOn w:val="a0"/>
    <w:rsid w:val="005A361E"/>
    <w:rPr>
      <w:rFonts w:ascii="Times New Roman" w:eastAsia="Times New Roman" w:hAnsi="Times New Roman" w:cs="Times New Roman"/>
      <w:b w:val="0"/>
      <w:bCs w:val="0"/>
      <w:i w:val="0"/>
      <w:iCs w:val="0"/>
      <w:smallCaps w:val="0"/>
      <w:strike w:val="0"/>
      <w:spacing w:val="0"/>
      <w:sz w:val="18"/>
      <w:szCs w:val="18"/>
    </w:rPr>
  </w:style>
  <w:style w:type="character" w:customStyle="1" w:styleId="Bodytext3">
    <w:name w:val="Body text (3)"/>
    <w:basedOn w:val="a0"/>
    <w:rsid w:val="005A361E"/>
    <w:rPr>
      <w:rFonts w:ascii="Times New Roman" w:eastAsia="Times New Roman" w:hAnsi="Times New Roman" w:cs="Times New Roman"/>
      <w:b w:val="0"/>
      <w:bCs w:val="0"/>
      <w:i w:val="0"/>
      <w:iCs w:val="0"/>
      <w:smallCaps w:val="0"/>
      <w:strike w:val="0"/>
      <w:spacing w:val="0"/>
      <w:sz w:val="18"/>
      <w:szCs w:val="18"/>
    </w:rPr>
  </w:style>
  <w:style w:type="character" w:customStyle="1" w:styleId="Bodytext">
    <w:name w:val="Body text_"/>
    <w:basedOn w:val="a0"/>
    <w:link w:val="620"/>
    <w:rsid w:val="005A361E"/>
    <w:rPr>
      <w:rFonts w:ascii="Times New Roman" w:eastAsia="Times New Roman" w:hAnsi="Times New Roman"/>
      <w:shd w:val="clear" w:color="auto" w:fill="FFFFFF"/>
    </w:rPr>
  </w:style>
  <w:style w:type="paragraph" w:customStyle="1" w:styleId="620">
    <w:name w:val="Основной текст62"/>
    <w:basedOn w:val="a"/>
    <w:link w:val="Bodytext"/>
    <w:rsid w:val="005A361E"/>
    <w:pPr>
      <w:shd w:val="clear" w:color="auto" w:fill="FFFFFF"/>
      <w:spacing w:before="420" w:after="0" w:line="216" w:lineRule="exact"/>
      <w:jc w:val="both"/>
    </w:pPr>
    <w:rPr>
      <w:rFonts w:ascii="Times New Roman" w:eastAsia="Times New Roman" w:hAnsi="Times New Roman"/>
      <w:sz w:val="20"/>
      <w:szCs w:val="20"/>
      <w:lang w:eastAsia="ru-RU"/>
    </w:rPr>
  </w:style>
  <w:style w:type="character" w:customStyle="1" w:styleId="Heading3">
    <w:name w:val="Heading #3"/>
    <w:basedOn w:val="a0"/>
    <w:rsid w:val="005A361E"/>
    <w:rPr>
      <w:rFonts w:ascii="Times New Roman" w:eastAsia="Times New Roman" w:hAnsi="Times New Roman" w:cs="Times New Roman"/>
      <w:b w:val="0"/>
      <w:bCs w:val="0"/>
      <w:i w:val="0"/>
      <w:iCs w:val="0"/>
      <w:smallCaps w:val="0"/>
      <w:strike w:val="0"/>
      <w:spacing w:val="0"/>
      <w:sz w:val="23"/>
      <w:szCs w:val="23"/>
    </w:rPr>
  </w:style>
  <w:style w:type="character" w:customStyle="1" w:styleId="Footnote">
    <w:name w:val="Footnote"/>
    <w:basedOn w:val="a0"/>
    <w:rsid w:val="005A361E"/>
    <w:rPr>
      <w:rFonts w:ascii="Times New Roman" w:eastAsia="Times New Roman" w:hAnsi="Times New Roman" w:cs="Times New Roman"/>
      <w:b w:val="0"/>
      <w:bCs w:val="0"/>
      <w:i w:val="0"/>
      <w:iCs w:val="0"/>
      <w:smallCaps w:val="0"/>
      <w:strike w:val="0"/>
      <w:spacing w:val="0"/>
      <w:sz w:val="18"/>
      <w:szCs w:val="18"/>
    </w:rPr>
  </w:style>
  <w:style w:type="character" w:customStyle="1" w:styleId="67">
    <w:name w:val="Основной текст6"/>
    <w:basedOn w:val="Bodytext"/>
    <w:rsid w:val="005A361E"/>
    <w:rPr>
      <w:rFonts w:ascii="Times New Roman" w:eastAsia="Times New Roman" w:hAnsi="Times New Roman"/>
      <w:shd w:val="clear" w:color="auto" w:fill="FFFFFF"/>
    </w:rPr>
  </w:style>
  <w:style w:type="character" w:customStyle="1" w:styleId="Heading4">
    <w:name w:val="Heading #4"/>
    <w:basedOn w:val="a0"/>
    <w:rsid w:val="005A361E"/>
    <w:rPr>
      <w:rFonts w:ascii="Times New Roman" w:eastAsia="Times New Roman" w:hAnsi="Times New Roman" w:cs="Times New Roman"/>
      <w:b w:val="0"/>
      <w:bCs w:val="0"/>
      <w:i w:val="0"/>
      <w:iCs w:val="0"/>
      <w:smallCaps w:val="0"/>
      <w:strike w:val="0"/>
      <w:spacing w:val="0"/>
      <w:sz w:val="20"/>
      <w:szCs w:val="20"/>
    </w:rPr>
  </w:style>
  <w:style w:type="character" w:customStyle="1" w:styleId="BodytextItalic">
    <w:name w:val="Body text + Italic"/>
    <w:basedOn w:val="Bodytext"/>
    <w:rsid w:val="005A361E"/>
    <w:rPr>
      <w:rFonts w:ascii="Times New Roman" w:eastAsia="Times New Roman" w:hAnsi="Times New Roman"/>
      <w:i/>
      <w:iCs/>
      <w:shd w:val="clear" w:color="auto" w:fill="FFFFFF"/>
    </w:rPr>
  </w:style>
  <w:style w:type="character" w:customStyle="1" w:styleId="93">
    <w:name w:val="Основной текст9"/>
    <w:basedOn w:val="Bodytext"/>
    <w:rsid w:val="005A361E"/>
    <w:rPr>
      <w:rFonts w:ascii="Times New Roman" w:eastAsia="Times New Roman" w:hAnsi="Times New Roman"/>
      <w:shd w:val="clear" w:color="auto" w:fill="FFFFFF"/>
    </w:rPr>
  </w:style>
  <w:style w:type="character" w:customStyle="1" w:styleId="Bodytext211pt">
    <w:name w:val="Body text (2) + 11 pt"/>
    <w:basedOn w:val="a0"/>
    <w:rsid w:val="005A361E"/>
    <w:rPr>
      <w:rFonts w:ascii="Times New Roman" w:eastAsia="Times New Roman" w:hAnsi="Times New Roman" w:cs="Times New Roman"/>
      <w:b w:val="0"/>
      <w:bCs w:val="0"/>
      <w:i w:val="0"/>
      <w:iCs w:val="0"/>
      <w:smallCaps w:val="0"/>
      <w:strike w:val="0"/>
      <w:spacing w:val="0"/>
      <w:sz w:val="22"/>
      <w:szCs w:val="22"/>
    </w:rPr>
  </w:style>
  <w:style w:type="character" w:customStyle="1" w:styleId="2a">
    <w:name w:val="Основной текст (2)_"/>
    <w:basedOn w:val="a0"/>
    <w:link w:val="28"/>
    <w:locked/>
    <w:rsid w:val="009E4F90"/>
    <w:rPr>
      <w:rFonts w:ascii="Segoe UI" w:hAnsi="Segoe UI" w:cs="Segoe UI"/>
      <w:sz w:val="13"/>
      <w:szCs w:val="13"/>
      <w:shd w:val="clear" w:color="auto" w:fill="FFFFFF"/>
      <w:lang w:eastAsia="en-US"/>
    </w:rPr>
  </w:style>
  <w:style w:type="character" w:customStyle="1" w:styleId="2f2">
    <w:name w:val="Основной текст (2) + Не курсив"/>
    <w:basedOn w:val="2a"/>
    <w:uiPriority w:val="99"/>
    <w:rsid w:val="009E4F90"/>
    <w:rPr>
      <w:rFonts w:ascii="Arial" w:eastAsia="Times New Roman" w:hAnsi="Arial" w:cs="Arial"/>
      <w:b/>
      <w:bCs/>
      <w:i w:val="0"/>
      <w:iCs w:val="0"/>
      <w:smallCaps w:val="0"/>
      <w:strike w:val="0"/>
      <w:noProof/>
      <w:spacing w:val="0"/>
      <w:sz w:val="13"/>
      <w:szCs w:val="13"/>
      <w:shd w:val="clear" w:color="auto" w:fill="FFFFFF"/>
      <w:lang w:eastAsia="en-US"/>
    </w:rPr>
  </w:style>
  <w:style w:type="character" w:customStyle="1" w:styleId="26pt">
    <w:name w:val="Основной текст (2) + 6 pt"/>
    <w:basedOn w:val="2a"/>
    <w:uiPriority w:val="99"/>
    <w:rsid w:val="009E4F90"/>
    <w:rPr>
      <w:rFonts w:ascii="Century Gothic" w:eastAsia="Century Gothic" w:hAnsi="Century Gothic" w:cs="Century Gothic"/>
      <w:b/>
      <w:bCs/>
      <w:i w:val="0"/>
      <w:iCs w:val="0"/>
      <w:smallCaps w:val="0"/>
      <w:strike w:val="0"/>
      <w:spacing w:val="0"/>
      <w:sz w:val="12"/>
      <w:szCs w:val="12"/>
      <w:shd w:val="clear" w:color="auto" w:fill="FFFFFF"/>
      <w:lang w:eastAsia="en-US"/>
    </w:rPr>
  </w:style>
  <w:style w:type="paragraph" w:customStyle="1" w:styleId="book">
    <w:name w:val="book"/>
    <w:basedOn w:val="a"/>
    <w:rsid w:val="002C03D8"/>
    <w:pPr>
      <w:spacing w:before="100" w:beforeAutospacing="1" w:after="100" w:afterAutospacing="1" w:line="240" w:lineRule="auto"/>
    </w:pPr>
    <w:rPr>
      <w:rFonts w:ascii="Times New Roman" w:eastAsia="Times New Roman" w:hAnsi="Times New Roman"/>
      <w:color w:val="000000"/>
      <w:sz w:val="24"/>
      <w:szCs w:val="24"/>
      <w:lang w:eastAsia="ru-RU"/>
    </w:rPr>
  </w:style>
  <w:style w:type="character" w:customStyle="1" w:styleId="40pt">
    <w:name w:val="Основной текст (4) + Полужирный;Интервал 0 pt"/>
    <w:basedOn w:val="46"/>
    <w:rsid w:val="00CE750F"/>
    <w:rPr>
      <w:rFonts w:ascii="Arial Narrow" w:eastAsia="Arial Narrow" w:hAnsi="Arial Narrow" w:cs="Arial Narrow"/>
      <w:b/>
      <w:bCs/>
      <w:i w:val="0"/>
      <w:iCs w:val="0"/>
      <w:smallCaps w:val="0"/>
      <w:strike w:val="0"/>
      <w:spacing w:val="-10"/>
      <w:sz w:val="18"/>
      <w:szCs w:val="18"/>
      <w:shd w:val="clear" w:color="auto" w:fill="FFFFFF"/>
    </w:rPr>
  </w:style>
  <w:style w:type="character" w:customStyle="1" w:styleId="affd">
    <w:name w:val="Оглавление_"/>
    <w:basedOn w:val="a0"/>
    <w:rsid w:val="0047154B"/>
    <w:rPr>
      <w:rFonts w:ascii="Arial Narrow" w:hAnsi="Arial Narrow" w:cs="Arial Narrow"/>
      <w:sz w:val="18"/>
      <w:szCs w:val="18"/>
      <w:shd w:val="clear" w:color="auto" w:fill="FFFFFF"/>
    </w:rPr>
  </w:style>
  <w:style w:type="character" w:customStyle="1" w:styleId="910">
    <w:name w:val="Основной текст + 91"/>
    <w:aliases w:val="5 pt1,Полужирный1,Интервал 0 pt1,Body text + 7,Полужирный8,Основной текст + 10 pt3,Интервал -1 pt15,Основной текст (5) + Не курсив1,Основной текст + 20,Основной текст (2) + 71,Основной текст + 95,5 pt9,Интервал -1 pt5,97,5 pt3"/>
    <w:basedOn w:val="1d"/>
    <w:uiPriority w:val="99"/>
    <w:rsid w:val="003F580B"/>
    <w:rPr>
      <w:rFonts w:ascii="Arial Narrow" w:hAnsi="Arial Narrow" w:cs="Arial Narrow"/>
      <w:b/>
      <w:bCs/>
      <w:spacing w:val="-10"/>
      <w:sz w:val="19"/>
      <w:szCs w:val="19"/>
      <w:shd w:val="clear" w:color="auto" w:fill="FFFFFF"/>
    </w:rPr>
  </w:style>
  <w:style w:type="paragraph" w:customStyle="1" w:styleId="Bodytext1">
    <w:name w:val="Body text1"/>
    <w:basedOn w:val="a"/>
    <w:uiPriority w:val="99"/>
    <w:rsid w:val="002E6AE0"/>
    <w:pPr>
      <w:shd w:val="clear" w:color="auto" w:fill="FFFFFF"/>
      <w:spacing w:after="0" w:line="221" w:lineRule="exact"/>
      <w:ind w:hanging="120"/>
      <w:jc w:val="both"/>
    </w:pPr>
    <w:rPr>
      <w:rFonts w:ascii="Arial Narrow" w:eastAsiaTheme="minorHAnsi" w:hAnsi="Arial Narrow" w:cs="Arial Narrow"/>
      <w:sz w:val="18"/>
      <w:szCs w:val="18"/>
    </w:rPr>
  </w:style>
  <w:style w:type="character" w:customStyle="1" w:styleId="13ArialNarrow1">
    <w:name w:val="Основной текст (13) + Arial Narrow1"/>
    <w:aliases w:val="7 pt,Курсив1,Основной текст + 10 pt2,Масштаб 75%2,Основной текст (8) + 8 pt4,Полужирный4"/>
    <w:basedOn w:val="a0"/>
    <w:uiPriority w:val="99"/>
    <w:rsid w:val="00F75FDE"/>
    <w:rPr>
      <w:rFonts w:ascii="Arial Narrow" w:hAnsi="Arial Narrow" w:cs="Arial Narrow"/>
      <w:i/>
      <w:iCs/>
      <w:w w:val="100"/>
      <w:sz w:val="14"/>
      <w:szCs w:val="14"/>
      <w:shd w:val="clear" w:color="auto" w:fill="FFFFFF"/>
    </w:rPr>
  </w:style>
  <w:style w:type="character" w:customStyle="1" w:styleId="ArialNarrow10">
    <w:name w:val="Основной текст + Arial Narrow10"/>
    <w:aliases w:val="Полужирный17"/>
    <w:basedOn w:val="a0"/>
    <w:uiPriority w:val="99"/>
    <w:rsid w:val="006C13C1"/>
    <w:rPr>
      <w:rFonts w:ascii="Arial Narrow" w:hAnsi="Arial Narrow" w:cs="Arial Narrow"/>
      <w:b/>
      <w:bCs/>
      <w:spacing w:val="0"/>
      <w:w w:val="100"/>
      <w:sz w:val="18"/>
      <w:szCs w:val="18"/>
      <w:shd w:val="clear" w:color="auto" w:fill="FFFFFF"/>
    </w:rPr>
  </w:style>
  <w:style w:type="character" w:customStyle="1" w:styleId="94">
    <w:name w:val="Основной текст + 94"/>
    <w:aliases w:val="5 pt8,Полужирный7,Интервал 0 pt4,Основной текст + Arial Narrow7,96,Полужирный14,Body text + 91,Bold2,Spacing 0 pt5,5 pt28,Полужирный23,Интервал 0 pt16,5 pt14,Основной текст (5) + 91,Интервал -1 pt29,Интервал -1 pt8"/>
    <w:basedOn w:val="a0"/>
    <w:uiPriority w:val="99"/>
    <w:rsid w:val="006C13C1"/>
    <w:rPr>
      <w:rFonts w:ascii="Arial Narrow" w:hAnsi="Arial Narrow" w:cs="Arial Narrow"/>
      <w:b/>
      <w:bCs/>
      <w:spacing w:val="-10"/>
      <w:sz w:val="19"/>
      <w:szCs w:val="19"/>
      <w:shd w:val="clear" w:color="auto" w:fill="FFFFFF"/>
    </w:rPr>
  </w:style>
  <w:style w:type="character" w:customStyle="1" w:styleId="ArialNarrow8">
    <w:name w:val="Основной текст + Arial Narrow8"/>
    <w:aliases w:val="Полужирный15"/>
    <w:basedOn w:val="a0"/>
    <w:uiPriority w:val="99"/>
    <w:rsid w:val="006C13C1"/>
    <w:rPr>
      <w:rFonts w:ascii="Arial Narrow" w:hAnsi="Arial Narrow" w:cs="Arial Narrow"/>
      <w:b/>
      <w:bCs/>
      <w:spacing w:val="0"/>
      <w:w w:val="100"/>
      <w:sz w:val="18"/>
      <w:szCs w:val="18"/>
      <w:shd w:val="clear" w:color="auto" w:fill="FFFFFF"/>
    </w:rPr>
  </w:style>
  <w:style w:type="character" w:customStyle="1" w:styleId="96">
    <w:name w:val="Основной текст + 96"/>
    <w:aliases w:val="5 pt10,Полужирный9,Интервал 0 pt6,Основной текст + Arial Narrow11,98,Полужирный18,Основной текст + 10 pt1,Body text (2) + 91,Bold5,Spacing -1 pt3,Основной текст (8) + 8 pt3,Полужирный3,Интервал 0 pt2"/>
    <w:basedOn w:val="1d"/>
    <w:rsid w:val="00681A8C"/>
    <w:rPr>
      <w:rFonts w:ascii="Arial Narrow" w:hAnsi="Arial Narrow" w:cs="Arial Narrow"/>
      <w:b/>
      <w:bCs/>
      <w:spacing w:val="-10"/>
      <w:sz w:val="19"/>
      <w:szCs w:val="19"/>
      <w:shd w:val="clear" w:color="auto" w:fill="FFFFFF"/>
    </w:rPr>
  </w:style>
  <w:style w:type="table" w:styleId="affe">
    <w:name w:val="Table Grid"/>
    <w:basedOn w:val="a1"/>
    <w:uiPriority w:val="59"/>
    <w:rsid w:val="002217A6"/>
    <w:pPr>
      <w:jc w:val="both"/>
    </w:pPr>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50">
    <w:name w:val="Заголовок 5 Знак"/>
    <w:basedOn w:val="a0"/>
    <w:link w:val="5"/>
    <w:uiPriority w:val="9"/>
    <w:semiHidden/>
    <w:rsid w:val="003C4CEF"/>
    <w:rPr>
      <w:rFonts w:asciiTheme="majorHAnsi" w:eastAsiaTheme="majorEastAsia" w:hAnsiTheme="majorHAnsi" w:cstheme="majorBidi"/>
      <w:color w:val="243F60" w:themeColor="accent1" w:themeShade="7F"/>
      <w:sz w:val="22"/>
      <w:szCs w:val="22"/>
      <w:lang w:eastAsia="en-US"/>
    </w:rPr>
  </w:style>
  <w:style w:type="character" w:customStyle="1" w:styleId="bbccolor">
    <w:name w:val="bbc_color"/>
    <w:basedOn w:val="a0"/>
    <w:rsid w:val="003C4CEF"/>
  </w:style>
  <w:style w:type="character" w:customStyle="1" w:styleId="fieldset-legend">
    <w:name w:val="fieldset-legend"/>
    <w:basedOn w:val="a0"/>
    <w:rsid w:val="003C4CEF"/>
  </w:style>
  <w:style w:type="character" w:customStyle="1" w:styleId="fieldset-legend-prefix">
    <w:name w:val="fieldset-legend-prefix"/>
    <w:basedOn w:val="a0"/>
    <w:rsid w:val="003C4CEF"/>
  </w:style>
  <w:style w:type="paragraph" w:styleId="HTML">
    <w:name w:val="HTML Preformatted"/>
    <w:basedOn w:val="a"/>
    <w:link w:val="HTML0"/>
    <w:uiPriority w:val="99"/>
    <w:semiHidden/>
    <w:unhideWhenUsed/>
    <w:rsid w:val="003C4C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3C4CEF"/>
    <w:rPr>
      <w:rFonts w:ascii="Courier New" w:eastAsia="Times New Roman" w:hAnsi="Courier New" w:cs="Courier New"/>
    </w:rPr>
  </w:style>
  <w:style w:type="character" w:styleId="HTML1">
    <w:name w:val="HTML Cite"/>
    <w:basedOn w:val="a0"/>
    <w:uiPriority w:val="99"/>
    <w:semiHidden/>
    <w:unhideWhenUsed/>
    <w:rsid w:val="003C4CEF"/>
    <w:rPr>
      <w:i/>
      <w:iCs/>
    </w:rPr>
  </w:style>
  <w:style w:type="paragraph" w:customStyle="1" w:styleId="p">
    <w:name w:val="p"/>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1">
    <w:name w:val="p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center">
    <w:name w:val="picture-cente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krstr">
    <w:name w:val="kr_st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a00">
    <w:name w:val="a0"/>
    <w:basedOn w:val="a"/>
    <w:rsid w:val="003C4CEF"/>
    <w:pPr>
      <w:spacing w:after="75" w:line="240" w:lineRule="auto"/>
    </w:pPr>
    <w:rPr>
      <w:rFonts w:ascii="Times New Roman" w:eastAsia="Times New Roman" w:hAnsi="Times New Roman"/>
      <w:sz w:val="24"/>
      <w:szCs w:val="24"/>
      <w:lang w:eastAsia="ru-RU"/>
    </w:rPr>
  </w:style>
  <w:style w:type="paragraph" w:customStyle="1" w:styleId="rteindent11">
    <w:name w:val="rteindent11"/>
    <w:basedOn w:val="a"/>
    <w:rsid w:val="003C4CEF"/>
    <w:pPr>
      <w:spacing w:before="100" w:beforeAutospacing="1" w:after="150" w:line="240" w:lineRule="auto"/>
      <w:ind w:left="600" w:firstLine="300"/>
      <w:jc w:val="both"/>
    </w:pPr>
    <w:rPr>
      <w:rFonts w:ascii="Times New Roman" w:eastAsia="Times New Roman" w:hAnsi="Times New Roman"/>
      <w:sz w:val="24"/>
      <w:szCs w:val="24"/>
      <w:lang w:eastAsia="ru-RU"/>
    </w:rPr>
  </w:style>
  <w:style w:type="character" w:customStyle="1" w:styleId="490">
    <w:name w:val="Основной текст + Полужирный49"/>
    <w:basedOn w:val="1d"/>
    <w:uiPriority w:val="99"/>
    <w:rsid w:val="003C4CEF"/>
    <w:rPr>
      <w:rFonts w:ascii="Arial Narrow" w:hAnsi="Arial Narrow" w:cs="Arial Narrow"/>
      <w:b/>
      <w:bCs/>
      <w:sz w:val="18"/>
      <w:szCs w:val="18"/>
      <w:shd w:val="clear" w:color="auto" w:fill="FFFFFF"/>
    </w:rPr>
  </w:style>
  <w:style w:type="character" w:customStyle="1" w:styleId="915">
    <w:name w:val="Основной текст + 915"/>
    <w:aliases w:val="5 pt66,Полужирный68,Интервал 0 pt46,Основной текст + 832"/>
    <w:basedOn w:val="1d"/>
    <w:uiPriority w:val="99"/>
    <w:rsid w:val="003C4CEF"/>
    <w:rPr>
      <w:rFonts w:ascii="Arial Narrow" w:hAnsi="Arial Narrow" w:cs="Arial Narrow"/>
      <w:b/>
      <w:bCs/>
      <w:spacing w:val="-10"/>
      <w:sz w:val="19"/>
      <w:szCs w:val="19"/>
      <w:shd w:val="clear" w:color="auto" w:fill="FFFFFF"/>
    </w:rPr>
  </w:style>
  <w:style w:type="character" w:customStyle="1" w:styleId="40pt0">
    <w:name w:val="Основной текст (4) + Полужирный;Не курсив;Интервал 0 pt"/>
    <w:basedOn w:val="46"/>
    <w:rsid w:val="003C4CEF"/>
    <w:rPr>
      <w:rFonts w:ascii="Arial Narrow" w:eastAsia="Arial Narrow" w:hAnsi="Arial Narrow" w:cs="Arial Narrow"/>
      <w:b/>
      <w:bCs/>
      <w:i/>
      <w:iCs/>
      <w:smallCaps w:val="0"/>
      <w:strike w:val="0"/>
      <w:spacing w:val="-10"/>
      <w:sz w:val="18"/>
      <w:szCs w:val="18"/>
      <w:shd w:val="clear" w:color="auto" w:fill="FFFFFF"/>
    </w:rPr>
  </w:style>
  <w:style w:type="character" w:customStyle="1" w:styleId="4c">
    <w:name w:val="Основной текст (4) + Полужирный"/>
    <w:basedOn w:val="46"/>
    <w:rsid w:val="003C4CEF"/>
    <w:rPr>
      <w:rFonts w:ascii="Arial Narrow" w:eastAsia="Arial Narrow" w:hAnsi="Arial Narrow" w:cs="Arial Narrow"/>
      <w:b/>
      <w:bCs/>
      <w:i w:val="0"/>
      <w:iCs w:val="0"/>
      <w:smallCaps w:val="0"/>
      <w:strike w:val="0"/>
      <w:spacing w:val="0"/>
      <w:sz w:val="18"/>
      <w:szCs w:val="18"/>
      <w:shd w:val="clear" w:color="auto" w:fill="FFFFFF"/>
    </w:rPr>
  </w:style>
  <w:style w:type="character" w:customStyle="1" w:styleId="4-1pt">
    <w:name w:val="Основной текст (4) + Полужирный;Интервал -1 pt"/>
    <w:basedOn w:val="46"/>
    <w:rsid w:val="003C4CEF"/>
    <w:rPr>
      <w:rFonts w:ascii="Arial Narrow" w:eastAsia="Arial Narrow" w:hAnsi="Arial Narrow" w:cs="Arial Narrow"/>
      <w:b/>
      <w:bCs/>
      <w:i w:val="0"/>
      <w:iCs w:val="0"/>
      <w:smallCaps w:val="0"/>
      <w:strike w:val="0"/>
      <w:spacing w:val="-20"/>
      <w:sz w:val="18"/>
      <w:szCs w:val="18"/>
      <w:shd w:val="clear" w:color="auto" w:fill="FFFFFF"/>
    </w:rPr>
  </w:style>
  <w:style w:type="character" w:customStyle="1" w:styleId="4Tahoma85pt">
    <w:name w:val="Основной текст (4) + Tahoma;8;5 pt"/>
    <w:basedOn w:val="46"/>
    <w:rsid w:val="003C4CEF"/>
    <w:rPr>
      <w:rFonts w:ascii="Tahoma" w:eastAsia="Tahoma" w:hAnsi="Tahoma" w:cs="Tahoma"/>
      <w:b w:val="0"/>
      <w:bCs w:val="0"/>
      <w:i w:val="0"/>
      <w:iCs w:val="0"/>
      <w:smallCaps w:val="0"/>
      <w:strike w:val="0"/>
      <w:spacing w:val="0"/>
      <w:sz w:val="17"/>
      <w:szCs w:val="17"/>
      <w:shd w:val="clear" w:color="auto" w:fill="FFFFFF"/>
    </w:rPr>
  </w:style>
  <w:style w:type="character" w:customStyle="1" w:styleId="171">
    <w:name w:val="Подпись к картинке (17)_"/>
    <w:basedOn w:val="a0"/>
    <w:link w:val="170"/>
    <w:rsid w:val="003C4CEF"/>
    <w:rPr>
      <w:rFonts w:ascii="Franklin Gothic Book" w:hAnsi="Franklin Gothic Book" w:cs="Franklin Gothic Book"/>
      <w:sz w:val="13"/>
      <w:szCs w:val="13"/>
      <w:shd w:val="clear" w:color="auto" w:fill="FFFFFF"/>
      <w:lang w:eastAsia="en-US"/>
    </w:rPr>
  </w:style>
  <w:style w:type="character" w:customStyle="1" w:styleId="75pt-1pt">
    <w:name w:val="Основной текст + 7;5 pt;Полужирный;Интервал -1 pt"/>
    <w:basedOn w:val="aff"/>
    <w:rsid w:val="003C4CEF"/>
    <w:rPr>
      <w:rFonts w:ascii="Arial Narrow" w:eastAsia="Arial Narrow" w:hAnsi="Arial Narrow" w:cs="Arial Narrow"/>
      <w:b/>
      <w:bCs/>
      <w:i w:val="0"/>
      <w:iCs w:val="0"/>
      <w:smallCaps w:val="0"/>
      <w:strike w:val="0"/>
      <w:spacing w:val="-20"/>
      <w:sz w:val="15"/>
      <w:szCs w:val="15"/>
      <w:shd w:val="clear" w:color="auto" w:fill="FFFFFF"/>
    </w:rPr>
  </w:style>
  <w:style w:type="character" w:customStyle="1" w:styleId="10pt0">
    <w:name w:val="Основной текст + 10 pt;Полужирный"/>
    <w:basedOn w:val="aff"/>
    <w:rsid w:val="003C4CEF"/>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115pt0pt">
    <w:name w:val="Основной текст + 11;5 pt;Полужирный;Интервал 0 pt"/>
    <w:basedOn w:val="aff"/>
    <w:rsid w:val="003C4CEF"/>
    <w:rPr>
      <w:rFonts w:ascii="Arial Narrow" w:eastAsia="Arial Narrow" w:hAnsi="Arial Narrow" w:cs="Arial Narrow"/>
      <w:b/>
      <w:bCs/>
      <w:i w:val="0"/>
      <w:iCs w:val="0"/>
      <w:smallCaps w:val="0"/>
      <w:strike w:val="0"/>
      <w:spacing w:val="-10"/>
      <w:sz w:val="23"/>
      <w:szCs w:val="23"/>
      <w:shd w:val="clear" w:color="auto" w:fill="FFFFFF"/>
    </w:rPr>
  </w:style>
  <w:style w:type="character" w:customStyle="1" w:styleId="34pt">
    <w:name w:val="Основной текст + 34 pt"/>
    <w:basedOn w:val="aff"/>
    <w:rsid w:val="003C4CEF"/>
    <w:rPr>
      <w:rFonts w:ascii="Arial Narrow" w:eastAsia="Arial Narrow" w:hAnsi="Arial Narrow" w:cs="Arial Narrow"/>
      <w:b w:val="0"/>
      <w:bCs w:val="0"/>
      <w:i w:val="0"/>
      <w:iCs w:val="0"/>
      <w:smallCaps w:val="0"/>
      <w:strike w:val="0"/>
      <w:spacing w:val="0"/>
      <w:sz w:val="68"/>
      <w:szCs w:val="68"/>
      <w:shd w:val="clear" w:color="auto" w:fill="FFFFFF"/>
    </w:rPr>
  </w:style>
  <w:style w:type="character" w:customStyle="1" w:styleId="Tahoma65pt">
    <w:name w:val="Основной текст + Tahoma;6;5 pt;Полужирный"/>
    <w:basedOn w:val="aff"/>
    <w:rsid w:val="003C4CEF"/>
    <w:rPr>
      <w:rFonts w:ascii="Tahoma" w:eastAsia="Tahoma" w:hAnsi="Tahoma" w:cs="Tahoma"/>
      <w:b/>
      <w:bCs/>
      <w:i w:val="0"/>
      <w:iCs w:val="0"/>
      <w:smallCaps w:val="0"/>
      <w:strike w:val="0"/>
      <w:spacing w:val="0"/>
      <w:sz w:val="13"/>
      <w:szCs w:val="13"/>
      <w:shd w:val="clear" w:color="auto" w:fill="FFFFFF"/>
    </w:rPr>
  </w:style>
  <w:style w:type="character" w:customStyle="1" w:styleId="12pt0">
    <w:name w:val="Основной текст + 12 pt;Полужирный"/>
    <w:basedOn w:val="aff"/>
    <w:rsid w:val="003C4CEF"/>
    <w:rPr>
      <w:rFonts w:ascii="Arial Narrow" w:eastAsia="Arial Narrow" w:hAnsi="Arial Narrow" w:cs="Arial Narrow"/>
      <w:b/>
      <w:bCs/>
      <w:i w:val="0"/>
      <w:iCs w:val="0"/>
      <w:smallCaps w:val="0"/>
      <w:strike w:val="0"/>
      <w:spacing w:val="0"/>
      <w:w w:val="100"/>
      <w:sz w:val="24"/>
      <w:szCs w:val="24"/>
      <w:shd w:val="clear" w:color="auto" w:fill="FFFFFF"/>
    </w:rPr>
  </w:style>
  <w:style w:type="character" w:customStyle="1" w:styleId="15115pt0pt">
    <w:name w:val="Основной текст (15) + 11;5 pt;Интервал 0 pt"/>
    <w:basedOn w:val="151"/>
    <w:rsid w:val="003C4CEF"/>
    <w:rPr>
      <w:rFonts w:ascii="Arial Narrow" w:eastAsia="Arial Narrow" w:hAnsi="Arial Narrow" w:cs="Arial Narrow"/>
      <w:b w:val="0"/>
      <w:bCs w:val="0"/>
      <w:i w:val="0"/>
      <w:iCs w:val="0"/>
      <w:smallCaps w:val="0"/>
      <w:strike w:val="0"/>
      <w:spacing w:val="-10"/>
      <w:sz w:val="23"/>
      <w:szCs w:val="23"/>
      <w:shd w:val="clear" w:color="auto" w:fill="FFFFFF"/>
    </w:rPr>
  </w:style>
  <w:style w:type="character" w:customStyle="1" w:styleId="1575pt">
    <w:name w:val="Основной текст (15) + 7;5 pt"/>
    <w:basedOn w:val="151"/>
    <w:rsid w:val="003C4CEF"/>
    <w:rPr>
      <w:rFonts w:ascii="Arial Narrow" w:eastAsia="Arial Narrow" w:hAnsi="Arial Narrow" w:cs="Arial Narrow"/>
      <w:b w:val="0"/>
      <w:bCs w:val="0"/>
      <w:i w:val="0"/>
      <w:iCs w:val="0"/>
      <w:smallCaps w:val="0"/>
      <w:strike w:val="0"/>
      <w:spacing w:val="0"/>
      <w:sz w:val="15"/>
      <w:szCs w:val="15"/>
      <w:shd w:val="clear" w:color="auto" w:fill="FFFFFF"/>
    </w:rPr>
  </w:style>
  <w:style w:type="character" w:customStyle="1" w:styleId="159pt">
    <w:name w:val="Основной текст (15) + 9 pt;Не полужирный"/>
    <w:basedOn w:val="151"/>
    <w:rsid w:val="003C4CEF"/>
    <w:rPr>
      <w:rFonts w:ascii="Arial Narrow" w:eastAsia="Arial Narrow" w:hAnsi="Arial Narrow" w:cs="Arial Narrow"/>
      <w:b/>
      <w:bCs/>
      <w:i w:val="0"/>
      <w:iCs w:val="0"/>
      <w:smallCaps w:val="0"/>
      <w:strike/>
      <w:spacing w:val="0"/>
      <w:sz w:val="18"/>
      <w:szCs w:val="18"/>
      <w:shd w:val="clear" w:color="auto" w:fill="FFFFFF"/>
    </w:rPr>
  </w:style>
  <w:style w:type="paragraph" w:customStyle="1" w:styleId="161">
    <w:name w:val="Основной текст16"/>
    <w:basedOn w:val="a"/>
    <w:rsid w:val="003C4CEF"/>
    <w:pPr>
      <w:shd w:val="clear" w:color="auto" w:fill="FFFFFF"/>
      <w:spacing w:before="120" w:after="0" w:line="216" w:lineRule="exact"/>
      <w:ind w:hanging="200"/>
      <w:jc w:val="both"/>
    </w:pPr>
    <w:rPr>
      <w:rFonts w:ascii="Arial" w:eastAsia="Arial" w:hAnsi="Arial" w:cs="Arial"/>
      <w:color w:val="000000"/>
      <w:sz w:val="18"/>
      <w:szCs w:val="18"/>
      <w:lang w:eastAsia="ru-RU"/>
    </w:rPr>
  </w:style>
  <w:style w:type="character" w:customStyle="1" w:styleId="-1pt1">
    <w:name w:val="Основной текст + Полужирный;Интервал -1 pt"/>
    <w:basedOn w:val="aff"/>
    <w:rsid w:val="003C4CEF"/>
    <w:rPr>
      <w:rFonts w:ascii="Arial" w:eastAsia="Arial" w:hAnsi="Arial" w:cs="Arial"/>
      <w:b/>
      <w:bCs/>
      <w:i w:val="0"/>
      <w:iCs w:val="0"/>
      <w:smallCaps w:val="0"/>
      <w:strike w:val="0"/>
      <w:spacing w:val="-20"/>
      <w:sz w:val="18"/>
      <w:szCs w:val="18"/>
      <w:shd w:val="clear" w:color="auto" w:fill="FFFFFF"/>
    </w:rPr>
  </w:style>
  <w:style w:type="character" w:customStyle="1" w:styleId="LucidaSansUnicode95pt">
    <w:name w:val="Основной текст + Lucida Sans Unicode;9;5 pt;Полужирный"/>
    <w:basedOn w:val="aff"/>
    <w:rsid w:val="003C4CEF"/>
    <w:rPr>
      <w:rFonts w:ascii="Lucida Sans Unicode" w:eastAsia="Lucida Sans Unicode" w:hAnsi="Lucida Sans Unicode" w:cs="Lucida Sans Unicode"/>
      <w:b/>
      <w:bCs/>
      <w:i w:val="0"/>
      <w:iCs w:val="0"/>
      <w:smallCaps w:val="0"/>
      <w:strike w:val="0"/>
      <w:spacing w:val="0"/>
      <w:sz w:val="19"/>
      <w:szCs w:val="19"/>
      <w:shd w:val="clear" w:color="auto" w:fill="FFFFFF"/>
    </w:rPr>
  </w:style>
  <w:style w:type="character" w:customStyle="1" w:styleId="95pt0pt">
    <w:name w:val="Основной текст + 9;5 pt;Полужирный;Интервал 0 pt"/>
    <w:basedOn w:val="aff"/>
    <w:rsid w:val="003C4CEF"/>
    <w:rPr>
      <w:rFonts w:ascii="Arial Narrow" w:eastAsia="Arial Narrow" w:hAnsi="Arial Narrow" w:cs="Arial Narrow"/>
      <w:b/>
      <w:bCs/>
      <w:i w:val="0"/>
      <w:iCs w:val="0"/>
      <w:smallCaps w:val="0"/>
      <w:strike w:val="0"/>
      <w:spacing w:val="-10"/>
      <w:sz w:val="19"/>
      <w:szCs w:val="19"/>
      <w:shd w:val="clear" w:color="auto" w:fill="FFFFFF"/>
    </w:rPr>
  </w:style>
  <w:style w:type="character" w:customStyle="1" w:styleId="122">
    <w:name w:val="Основной текст12"/>
    <w:basedOn w:val="aff"/>
    <w:rsid w:val="003C4CEF"/>
    <w:rPr>
      <w:rFonts w:ascii="Arial" w:eastAsia="Arial" w:hAnsi="Arial" w:cs="Arial"/>
      <w:b w:val="0"/>
      <w:bCs w:val="0"/>
      <w:i w:val="0"/>
      <w:iCs w:val="0"/>
      <w:smallCaps w:val="0"/>
      <w:strike w:val="0"/>
      <w:spacing w:val="0"/>
      <w:sz w:val="18"/>
      <w:szCs w:val="18"/>
      <w:shd w:val="clear" w:color="auto" w:fill="FFFFFF"/>
    </w:rPr>
  </w:style>
  <w:style w:type="character" w:customStyle="1" w:styleId="85pt0">
    <w:name w:val="Основной текст + 8;5 pt"/>
    <w:basedOn w:val="aff"/>
    <w:rsid w:val="003C4CEF"/>
    <w:rPr>
      <w:rFonts w:ascii="Arial" w:eastAsia="Arial" w:hAnsi="Arial" w:cs="Arial"/>
      <w:b w:val="0"/>
      <w:bCs w:val="0"/>
      <w:i w:val="0"/>
      <w:iCs w:val="0"/>
      <w:smallCaps w:val="0"/>
      <w:strike w:val="0"/>
      <w:spacing w:val="0"/>
      <w:sz w:val="17"/>
      <w:szCs w:val="17"/>
      <w:shd w:val="clear" w:color="auto" w:fill="FFFFFF"/>
    </w:rPr>
  </w:style>
  <w:style w:type="character" w:customStyle="1" w:styleId="85pt0pt">
    <w:name w:val="Основной текст + 8;5 pt;Интервал 0 pt"/>
    <w:basedOn w:val="aff"/>
    <w:rsid w:val="003C4CEF"/>
    <w:rPr>
      <w:rFonts w:ascii="Arial" w:eastAsia="Arial" w:hAnsi="Arial" w:cs="Arial"/>
      <w:b w:val="0"/>
      <w:bCs w:val="0"/>
      <w:i w:val="0"/>
      <w:iCs w:val="0"/>
      <w:smallCaps w:val="0"/>
      <w:strike w:val="0"/>
      <w:spacing w:val="10"/>
      <w:sz w:val="17"/>
      <w:szCs w:val="17"/>
      <w:shd w:val="clear" w:color="auto" w:fill="FFFFFF"/>
    </w:rPr>
  </w:style>
  <w:style w:type="character" w:customStyle="1" w:styleId="afff">
    <w:name w:val="Основной текст + Малые прописные"/>
    <w:basedOn w:val="aff"/>
    <w:rsid w:val="003C4CEF"/>
    <w:rPr>
      <w:rFonts w:ascii="Arial" w:eastAsia="Arial" w:hAnsi="Arial" w:cs="Arial"/>
      <w:b w:val="0"/>
      <w:bCs w:val="0"/>
      <w:i w:val="0"/>
      <w:iCs w:val="0"/>
      <w:smallCaps/>
      <w:strike w:val="0"/>
      <w:spacing w:val="0"/>
      <w:sz w:val="18"/>
      <w:szCs w:val="18"/>
      <w:shd w:val="clear" w:color="auto" w:fill="FFFFFF"/>
    </w:rPr>
  </w:style>
  <w:style w:type="character" w:customStyle="1" w:styleId="371">
    <w:name w:val="Основной текст + Полужирный37"/>
    <w:basedOn w:val="1d"/>
    <w:uiPriority w:val="99"/>
    <w:rsid w:val="003C4CEF"/>
    <w:rPr>
      <w:rFonts w:ascii="Arial Narrow" w:hAnsi="Arial Narrow" w:cs="Arial Narrow"/>
      <w:b/>
      <w:bCs/>
      <w:spacing w:val="0"/>
      <w:sz w:val="18"/>
      <w:szCs w:val="18"/>
      <w:shd w:val="clear" w:color="auto" w:fill="FFFFFF"/>
    </w:rPr>
  </w:style>
  <w:style w:type="character" w:customStyle="1" w:styleId="2f3">
    <w:name w:val="Основной текст (2) + Полужирный"/>
    <w:basedOn w:val="2a"/>
    <w:uiPriority w:val="99"/>
    <w:rsid w:val="003C4CEF"/>
    <w:rPr>
      <w:rFonts w:ascii="Arial" w:eastAsia="Arial" w:hAnsi="Arial" w:cs="Arial"/>
      <w:b/>
      <w:bCs/>
      <w:i w:val="0"/>
      <w:iCs w:val="0"/>
      <w:smallCaps w:val="0"/>
      <w:strike w:val="0"/>
      <w:spacing w:val="0"/>
      <w:sz w:val="18"/>
      <w:szCs w:val="18"/>
      <w:shd w:val="clear" w:color="auto" w:fill="FFFFFF"/>
      <w:lang w:eastAsia="en-US"/>
    </w:rPr>
  </w:style>
  <w:style w:type="character" w:customStyle="1" w:styleId="91">
    <w:name w:val="Основной текст (9)_"/>
    <w:basedOn w:val="a0"/>
    <w:link w:val="90"/>
    <w:rsid w:val="003C4CEF"/>
    <w:rPr>
      <w:rFonts w:ascii="Lucida Sans Unicode" w:hAnsi="Lucida Sans Unicode" w:cs="Lucida Sans Unicode"/>
      <w:sz w:val="14"/>
      <w:szCs w:val="14"/>
      <w:shd w:val="clear" w:color="auto" w:fill="FFFFFF"/>
      <w:lang w:eastAsia="en-US"/>
    </w:rPr>
  </w:style>
  <w:style w:type="character" w:customStyle="1" w:styleId="243">
    <w:name w:val="Основной текст + 24"/>
    <w:aliases w:val="5 pt55,Полужирный53,Основной текст + 916"/>
    <w:basedOn w:val="1d"/>
    <w:uiPriority w:val="99"/>
    <w:rsid w:val="003C4CEF"/>
    <w:rPr>
      <w:rFonts w:ascii="Arial Narrow" w:hAnsi="Arial Narrow" w:cs="Arial Narrow"/>
      <w:b/>
      <w:bCs/>
      <w:noProof/>
      <w:spacing w:val="0"/>
      <w:sz w:val="49"/>
      <w:szCs w:val="49"/>
      <w:shd w:val="clear" w:color="auto" w:fill="FFFFFF"/>
    </w:rPr>
  </w:style>
  <w:style w:type="character" w:customStyle="1" w:styleId="10MicrosoftSansSerif2">
    <w:name w:val="Основной текст (10) + Microsoft Sans Serif2"/>
    <w:aliases w:val="84,5 pt52,Полужирный50,Основной текст + 11 pt4,Основной текст + Segoe UI4"/>
    <w:basedOn w:val="a0"/>
    <w:uiPriority w:val="99"/>
    <w:rsid w:val="003C4CEF"/>
    <w:rPr>
      <w:rFonts w:ascii="Microsoft Sans Serif" w:eastAsia="Times New Roman" w:hAnsi="Microsoft Sans Serif" w:cs="Microsoft Sans Serif"/>
      <w:b/>
      <w:bCs/>
      <w:i/>
      <w:iCs/>
      <w:smallCaps w:val="0"/>
      <w:strike w:val="0"/>
      <w:spacing w:val="0"/>
      <w:sz w:val="17"/>
      <w:szCs w:val="17"/>
    </w:rPr>
  </w:style>
  <w:style w:type="character" w:customStyle="1" w:styleId="361">
    <w:name w:val="Основной текст + Полужирный36"/>
    <w:basedOn w:val="1d"/>
    <w:uiPriority w:val="99"/>
    <w:rsid w:val="003C4CEF"/>
    <w:rPr>
      <w:rFonts w:ascii="Arial Narrow" w:hAnsi="Arial Narrow" w:cs="Arial Narrow"/>
      <w:b/>
      <w:bCs/>
      <w:spacing w:val="0"/>
      <w:sz w:val="18"/>
      <w:szCs w:val="18"/>
      <w:shd w:val="clear" w:color="auto" w:fill="FFFFFF"/>
    </w:rPr>
  </w:style>
  <w:style w:type="character" w:customStyle="1" w:styleId="1pt9">
    <w:name w:val="Основной текст + Интервал 1 pt9"/>
    <w:basedOn w:val="1d"/>
    <w:uiPriority w:val="99"/>
    <w:rsid w:val="003C4CEF"/>
    <w:rPr>
      <w:rFonts w:ascii="Arial" w:hAnsi="Arial" w:cs="Arial"/>
      <w:spacing w:val="20"/>
      <w:sz w:val="18"/>
      <w:szCs w:val="18"/>
      <w:shd w:val="clear" w:color="auto" w:fill="FFFFFF"/>
    </w:rPr>
  </w:style>
  <w:style w:type="character" w:customStyle="1" w:styleId="351">
    <w:name w:val="Основной текст + Полужирный35"/>
    <w:basedOn w:val="1d"/>
    <w:uiPriority w:val="99"/>
    <w:rsid w:val="003C4CEF"/>
    <w:rPr>
      <w:rFonts w:ascii="Arial Narrow" w:hAnsi="Arial Narrow" w:cs="Arial Narrow"/>
      <w:b/>
      <w:bCs/>
      <w:spacing w:val="0"/>
      <w:sz w:val="18"/>
      <w:szCs w:val="18"/>
      <w:shd w:val="clear" w:color="auto" w:fill="FFFFFF"/>
    </w:rPr>
  </w:style>
  <w:style w:type="character" w:customStyle="1" w:styleId="341">
    <w:name w:val="Основной текст + Полужирный34"/>
    <w:basedOn w:val="1d"/>
    <w:uiPriority w:val="99"/>
    <w:rsid w:val="003C4CEF"/>
    <w:rPr>
      <w:rFonts w:ascii="Arial Narrow" w:hAnsi="Arial Narrow" w:cs="Arial Narrow"/>
      <w:b/>
      <w:bCs/>
      <w:spacing w:val="0"/>
      <w:sz w:val="18"/>
      <w:szCs w:val="18"/>
      <w:shd w:val="clear" w:color="auto" w:fill="FFFFFF"/>
    </w:rPr>
  </w:style>
  <w:style w:type="character" w:customStyle="1" w:styleId="331">
    <w:name w:val="Основной текст + Полужирный33"/>
    <w:basedOn w:val="1d"/>
    <w:uiPriority w:val="99"/>
    <w:rsid w:val="003C4CEF"/>
    <w:rPr>
      <w:rFonts w:ascii="Arial Narrow" w:hAnsi="Arial Narrow" w:cs="Arial Narrow"/>
      <w:b/>
      <w:bCs/>
      <w:spacing w:val="0"/>
      <w:sz w:val="18"/>
      <w:szCs w:val="18"/>
      <w:shd w:val="clear" w:color="auto" w:fill="FFFFFF"/>
    </w:rPr>
  </w:style>
  <w:style w:type="character" w:customStyle="1" w:styleId="322">
    <w:name w:val="Основной текст + Полужирный32"/>
    <w:basedOn w:val="1d"/>
    <w:uiPriority w:val="99"/>
    <w:rsid w:val="003C4CEF"/>
    <w:rPr>
      <w:rFonts w:ascii="Arial Narrow" w:hAnsi="Arial Narrow" w:cs="Arial Narrow"/>
      <w:b/>
      <w:bCs/>
      <w:spacing w:val="0"/>
      <w:sz w:val="18"/>
      <w:szCs w:val="18"/>
      <w:shd w:val="clear" w:color="auto" w:fill="FFFFFF"/>
    </w:rPr>
  </w:style>
  <w:style w:type="character" w:customStyle="1" w:styleId="301">
    <w:name w:val="Основной текст + Полужирный30"/>
    <w:basedOn w:val="1d"/>
    <w:uiPriority w:val="99"/>
    <w:rsid w:val="003C4CEF"/>
    <w:rPr>
      <w:rFonts w:ascii="Arial Narrow" w:hAnsi="Arial Narrow" w:cs="Arial Narrow"/>
      <w:b/>
      <w:bCs/>
      <w:spacing w:val="0"/>
      <w:sz w:val="18"/>
      <w:szCs w:val="18"/>
      <w:shd w:val="clear" w:color="auto" w:fill="FFFFFF"/>
    </w:rPr>
  </w:style>
  <w:style w:type="character" w:customStyle="1" w:styleId="50pt0">
    <w:name w:val="Основной текст (5) + Интервал 0 pt"/>
    <w:basedOn w:val="a0"/>
    <w:uiPriority w:val="99"/>
    <w:rsid w:val="003C4CEF"/>
    <w:rPr>
      <w:rFonts w:ascii="Arial" w:eastAsia="Times New Roman" w:hAnsi="Arial" w:cs="Arial"/>
      <w:b/>
      <w:bCs/>
      <w:i w:val="0"/>
      <w:iCs w:val="0"/>
      <w:smallCaps w:val="0"/>
      <w:strike w:val="0"/>
      <w:spacing w:val="-10"/>
      <w:sz w:val="18"/>
      <w:szCs w:val="18"/>
    </w:rPr>
  </w:style>
  <w:style w:type="character" w:customStyle="1" w:styleId="FranklinGothicBook">
    <w:name w:val="Основной текст + Franklin Gothic Book"/>
    <w:aliases w:val="8 pt6,Полужирный44,Основной текст + MS Reference Sans Serif5,Интервал -1 pt28"/>
    <w:basedOn w:val="1d"/>
    <w:uiPriority w:val="99"/>
    <w:rsid w:val="003C4CEF"/>
    <w:rPr>
      <w:rFonts w:ascii="Franklin Gothic Book" w:hAnsi="Franklin Gothic Book" w:cs="Franklin Gothic Book"/>
      <w:b/>
      <w:bCs/>
      <w:spacing w:val="0"/>
      <w:sz w:val="16"/>
      <w:szCs w:val="16"/>
      <w:shd w:val="clear" w:color="auto" w:fill="FFFFFF"/>
    </w:rPr>
  </w:style>
  <w:style w:type="character" w:customStyle="1" w:styleId="291">
    <w:name w:val="Основной текст + Полужирный29"/>
    <w:basedOn w:val="1d"/>
    <w:uiPriority w:val="99"/>
    <w:rsid w:val="003C4CEF"/>
    <w:rPr>
      <w:rFonts w:ascii="Arial Narrow" w:hAnsi="Arial Narrow" w:cs="Arial Narrow"/>
      <w:b/>
      <w:bCs/>
      <w:spacing w:val="0"/>
      <w:sz w:val="18"/>
      <w:szCs w:val="18"/>
      <w:shd w:val="clear" w:color="auto" w:fill="FFFFFF"/>
    </w:rPr>
  </w:style>
  <w:style w:type="character" w:customStyle="1" w:styleId="273">
    <w:name w:val="Основной текст + Полужирный27"/>
    <w:basedOn w:val="1d"/>
    <w:uiPriority w:val="99"/>
    <w:rsid w:val="003C4CEF"/>
    <w:rPr>
      <w:rFonts w:ascii="Arial Narrow" w:hAnsi="Arial Narrow" w:cs="Arial Narrow"/>
      <w:b/>
      <w:bCs/>
      <w:spacing w:val="0"/>
      <w:sz w:val="18"/>
      <w:szCs w:val="18"/>
      <w:shd w:val="clear" w:color="auto" w:fill="FFFFFF"/>
    </w:rPr>
  </w:style>
  <w:style w:type="character" w:customStyle="1" w:styleId="262">
    <w:name w:val="Основной текст + Полужирный26"/>
    <w:aliases w:val="Курсив14"/>
    <w:basedOn w:val="1d"/>
    <w:uiPriority w:val="99"/>
    <w:rsid w:val="003C4CEF"/>
    <w:rPr>
      <w:rFonts w:ascii="Arial Narrow" w:hAnsi="Arial Narrow" w:cs="Arial Narrow"/>
      <w:b/>
      <w:bCs/>
      <w:i/>
      <w:iCs/>
      <w:spacing w:val="0"/>
      <w:sz w:val="18"/>
      <w:szCs w:val="18"/>
      <w:shd w:val="clear" w:color="auto" w:fill="FFFFFF"/>
    </w:rPr>
  </w:style>
  <w:style w:type="character" w:customStyle="1" w:styleId="131">
    <w:name w:val="Основной текст (13)_"/>
    <w:basedOn w:val="a0"/>
    <w:link w:val="130"/>
    <w:uiPriority w:val="99"/>
    <w:rsid w:val="003C4CEF"/>
    <w:rPr>
      <w:rFonts w:ascii="Arial" w:eastAsia="Times New Roman" w:hAnsi="Arial"/>
      <w:sz w:val="36"/>
      <w:shd w:val="clear" w:color="auto" w:fill="FFFFFF"/>
    </w:rPr>
  </w:style>
  <w:style w:type="character" w:customStyle="1" w:styleId="5b">
    <w:name w:val="Основной текст (5)_"/>
    <w:basedOn w:val="a0"/>
    <w:link w:val="5a"/>
    <w:rsid w:val="003C4CEF"/>
    <w:rPr>
      <w:rFonts w:ascii="Arial" w:eastAsia="Times New Roman" w:hAnsi="Arial"/>
      <w:spacing w:val="-10"/>
      <w:sz w:val="26"/>
      <w:shd w:val="clear" w:color="auto" w:fill="FFFFFF"/>
    </w:rPr>
  </w:style>
  <w:style w:type="character" w:customStyle="1" w:styleId="2f0">
    <w:name w:val="Подпись к таблице (2)_"/>
    <w:basedOn w:val="a0"/>
    <w:link w:val="2f"/>
    <w:uiPriority w:val="99"/>
    <w:rsid w:val="003C4CEF"/>
    <w:rPr>
      <w:rFonts w:ascii="Lucida Sans Unicode" w:hAnsi="Lucida Sans Unicode" w:cs="Lucida Sans Unicode"/>
      <w:sz w:val="25"/>
      <w:szCs w:val="25"/>
      <w:shd w:val="clear" w:color="auto" w:fill="FFFFFF"/>
      <w:lang w:eastAsia="en-US"/>
    </w:rPr>
  </w:style>
  <w:style w:type="character" w:customStyle="1" w:styleId="5Arial">
    <w:name w:val="Основной текст (5) + Arial;Не полужирный;Не курсив"/>
    <w:basedOn w:val="5b"/>
    <w:rsid w:val="003C4CEF"/>
    <w:rPr>
      <w:rFonts w:ascii="Arial" w:eastAsia="Arial" w:hAnsi="Arial" w:cs="Arial"/>
      <w:b/>
      <w:bCs/>
      <w:i/>
      <w:iCs/>
      <w:spacing w:val="-10"/>
      <w:sz w:val="15"/>
      <w:szCs w:val="15"/>
      <w:shd w:val="clear" w:color="auto" w:fill="FFFFFF"/>
    </w:rPr>
  </w:style>
  <w:style w:type="character" w:customStyle="1" w:styleId="LucidaSansUnicode8pt0pt">
    <w:name w:val="Основной текст + Lucida Sans Unicode;8 pt;Полужирный;Интервал 0 pt"/>
    <w:basedOn w:val="aff"/>
    <w:rsid w:val="003C4CEF"/>
    <w:rPr>
      <w:rFonts w:ascii="Lucida Sans Unicode" w:eastAsia="Lucida Sans Unicode" w:hAnsi="Lucida Sans Unicode" w:cs="Lucida Sans Unicode"/>
      <w:b/>
      <w:bCs/>
      <w:i w:val="0"/>
      <w:iCs w:val="0"/>
      <w:smallCaps w:val="0"/>
      <w:strike w:val="0"/>
      <w:spacing w:val="-10"/>
      <w:sz w:val="16"/>
      <w:szCs w:val="16"/>
      <w:shd w:val="clear" w:color="auto" w:fill="FFFFFF"/>
    </w:rPr>
  </w:style>
  <w:style w:type="character" w:customStyle="1" w:styleId="68">
    <w:name w:val="Основной текст (6) + Не полужирный"/>
    <w:aliases w:val="Не курсив20"/>
    <w:basedOn w:val="65"/>
    <w:uiPriority w:val="99"/>
    <w:rsid w:val="003C4CEF"/>
    <w:rPr>
      <w:rFonts w:ascii="Arial Narrow" w:eastAsia="Times New Roman" w:hAnsi="Arial Narrow" w:cs="Arial Narrow"/>
      <w:b/>
      <w:bCs/>
      <w:sz w:val="18"/>
      <w:szCs w:val="18"/>
      <w:shd w:val="clear" w:color="auto" w:fill="FFFFFF"/>
    </w:rPr>
  </w:style>
  <w:style w:type="character" w:customStyle="1" w:styleId="8Arial85pt">
    <w:name w:val="Основной текст (8) + Arial;8;5 pt;Полужирный;Не курсив"/>
    <w:basedOn w:val="81"/>
    <w:rsid w:val="003C4CEF"/>
    <w:rPr>
      <w:rFonts w:ascii="Arial" w:eastAsia="Arial" w:hAnsi="Arial" w:cs="Arial"/>
      <w:b/>
      <w:bCs/>
      <w:i/>
      <w:iCs/>
      <w:sz w:val="17"/>
      <w:szCs w:val="17"/>
      <w:shd w:val="clear" w:color="auto" w:fill="FFFFFF"/>
    </w:rPr>
  </w:style>
  <w:style w:type="character" w:customStyle="1" w:styleId="0pt1">
    <w:name w:val="Основной текст + Курсив;Интервал 0 pt"/>
    <w:basedOn w:val="aff"/>
    <w:rsid w:val="003C4CEF"/>
    <w:rPr>
      <w:rFonts w:ascii="Arial Narrow" w:eastAsia="Arial Narrow" w:hAnsi="Arial Narrow" w:cs="Arial Narrow"/>
      <w:b w:val="0"/>
      <w:bCs w:val="0"/>
      <w:i/>
      <w:iCs/>
      <w:smallCaps w:val="0"/>
      <w:strike w:val="0"/>
      <w:spacing w:val="-10"/>
      <w:sz w:val="18"/>
      <w:szCs w:val="18"/>
      <w:shd w:val="clear" w:color="auto" w:fill="FFFFFF"/>
    </w:rPr>
  </w:style>
  <w:style w:type="character" w:customStyle="1" w:styleId="3BookAntiqua8pt0pt">
    <w:name w:val="Основной текст (3) + Book Antiqua;8 pt;Полужирный;Не курсив;Интервал 0 pt"/>
    <w:basedOn w:val="35"/>
    <w:rsid w:val="003C4CEF"/>
    <w:rPr>
      <w:rFonts w:ascii="Book Antiqua" w:eastAsia="Book Antiqua" w:hAnsi="Book Antiqua" w:cs="Book Antiqua"/>
      <w:b/>
      <w:bCs/>
      <w:i/>
      <w:iCs/>
      <w:smallCaps w:val="0"/>
      <w:strike w:val="0"/>
      <w:spacing w:val="0"/>
      <w:sz w:val="16"/>
      <w:szCs w:val="16"/>
      <w:shd w:val="clear" w:color="auto" w:fill="FFFFFF"/>
    </w:rPr>
  </w:style>
  <w:style w:type="character" w:customStyle="1" w:styleId="30pt">
    <w:name w:val="Основной текст (3) + Не курсив;Интервал 0 pt"/>
    <w:basedOn w:val="35"/>
    <w:rsid w:val="003C4CEF"/>
    <w:rPr>
      <w:rFonts w:ascii="Century Gothic" w:eastAsia="Century Gothic" w:hAnsi="Century Gothic" w:cs="Century Gothic"/>
      <w:b w:val="0"/>
      <w:bCs w:val="0"/>
      <w:i/>
      <w:iCs/>
      <w:smallCaps w:val="0"/>
      <w:strike w:val="0"/>
      <w:spacing w:val="0"/>
      <w:sz w:val="17"/>
      <w:szCs w:val="17"/>
      <w:shd w:val="clear" w:color="auto" w:fill="FFFFFF"/>
    </w:rPr>
  </w:style>
  <w:style w:type="character" w:customStyle="1" w:styleId="ArialUnicodeMS">
    <w:name w:val="Основной текст + Arial Unicode MS"/>
    <w:basedOn w:val="aff"/>
    <w:uiPriority w:val="99"/>
    <w:rsid w:val="003C4CEF"/>
    <w:rPr>
      <w:rFonts w:ascii="Arial Unicode MS" w:eastAsia="Arial Unicode MS" w:hAnsi="Arial Unicode MS" w:cs="Arial Unicode MS"/>
      <w:b w:val="0"/>
      <w:bCs w:val="0"/>
      <w:i w:val="0"/>
      <w:iCs w:val="0"/>
      <w:smallCaps w:val="0"/>
      <w:strike w:val="0"/>
      <w:spacing w:val="0"/>
      <w:sz w:val="17"/>
      <w:szCs w:val="17"/>
      <w:shd w:val="clear" w:color="auto" w:fill="FFFFFF"/>
    </w:rPr>
  </w:style>
  <w:style w:type="character" w:customStyle="1" w:styleId="3d">
    <w:name w:val="Подпись к таблице (3)_"/>
    <w:basedOn w:val="a0"/>
    <w:link w:val="3e"/>
    <w:rsid w:val="003C4CEF"/>
    <w:rPr>
      <w:rFonts w:ascii="Arial Narrow" w:hAnsi="Arial Narrow" w:cs="Arial Narrow"/>
      <w:i/>
      <w:iCs/>
      <w:sz w:val="14"/>
      <w:szCs w:val="14"/>
      <w:shd w:val="clear" w:color="auto" w:fill="FFFFFF"/>
    </w:rPr>
  </w:style>
  <w:style w:type="paragraph" w:customStyle="1" w:styleId="3e">
    <w:name w:val="Подпись к таблице (3)"/>
    <w:basedOn w:val="a"/>
    <w:link w:val="3d"/>
    <w:rsid w:val="003C4CEF"/>
    <w:pPr>
      <w:shd w:val="clear" w:color="auto" w:fill="FFFFFF"/>
      <w:spacing w:after="0" w:line="154" w:lineRule="exact"/>
      <w:jc w:val="both"/>
    </w:pPr>
    <w:rPr>
      <w:rFonts w:ascii="Arial Narrow" w:hAnsi="Arial Narrow" w:cs="Arial Narrow"/>
      <w:i/>
      <w:iCs/>
      <w:sz w:val="14"/>
      <w:szCs w:val="14"/>
      <w:lang w:eastAsia="ru-RU"/>
    </w:rPr>
  </w:style>
  <w:style w:type="paragraph" w:customStyle="1" w:styleId="103">
    <w:name w:val="10"/>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5">
    <w:name w:val="9"/>
    <w:basedOn w:val="a0"/>
    <w:rsid w:val="003C4CEF"/>
  </w:style>
  <w:style w:type="paragraph" w:customStyle="1" w:styleId="911">
    <w:name w:val="91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60">
    <w:name w:val="a6"/>
    <w:basedOn w:val="a0"/>
    <w:rsid w:val="003C4CEF"/>
  </w:style>
  <w:style w:type="character" w:customStyle="1" w:styleId="911pt">
    <w:name w:val="911pt"/>
    <w:basedOn w:val="a0"/>
    <w:rsid w:val="003C4CEF"/>
  </w:style>
  <w:style w:type="character" w:customStyle="1" w:styleId="98pt">
    <w:name w:val="98pt"/>
    <w:basedOn w:val="a0"/>
    <w:rsid w:val="003C4CEF"/>
  </w:style>
  <w:style w:type="character" w:customStyle="1" w:styleId="99pt3">
    <w:name w:val="99pt3"/>
    <w:basedOn w:val="a0"/>
    <w:rsid w:val="003C4CEF"/>
  </w:style>
  <w:style w:type="character" w:customStyle="1" w:styleId="99pt2">
    <w:name w:val="99pt2"/>
    <w:basedOn w:val="a0"/>
    <w:rsid w:val="003C4CEF"/>
  </w:style>
  <w:style w:type="character" w:customStyle="1" w:styleId="99pt">
    <w:name w:val="99pt"/>
    <w:basedOn w:val="a0"/>
    <w:rsid w:val="003C4CEF"/>
  </w:style>
  <w:style w:type="character" w:customStyle="1" w:styleId="920">
    <w:name w:val="92"/>
    <w:basedOn w:val="a0"/>
    <w:rsid w:val="003C4CEF"/>
  </w:style>
  <w:style w:type="character" w:customStyle="1" w:styleId="1300">
    <w:name w:val="130"/>
    <w:basedOn w:val="a0"/>
    <w:rsid w:val="003C4CEF"/>
  </w:style>
  <w:style w:type="character" w:customStyle="1" w:styleId="1311pt">
    <w:name w:val="1311pt"/>
    <w:basedOn w:val="a0"/>
    <w:rsid w:val="003C4CEF"/>
  </w:style>
  <w:style w:type="paragraph" w:customStyle="1" w:styleId="1310">
    <w:name w:val="13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98pt1">
    <w:name w:val="98pt1"/>
    <w:basedOn w:val="a0"/>
    <w:rsid w:val="003C4CEF"/>
  </w:style>
  <w:style w:type="character" w:customStyle="1" w:styleId="99pt1">
    <w:name w:val="99pt1"/>
    <w:basedOn w:val="a0"/>
    <w:rsid w:val="003C4CEF"/>
  </w:style>
  <w:style w:type="paragraph" w:customStyle="1" w:styleId="juscontext">
    <w:name w:val="jusc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rigcontext">
    <w:name w:val="rigc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d">
    <w:name w:val="4"/>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edia-description">
    <w:name w:val="media-description"/>
    <w:basedOn w:val="a0"/>
    <w:rsid w:val="003C4CEF"/>
  </w:style>
  <w:style w:type="character" w:customStyle="1" w:styleId="media-sources">
    <w:name w:val="media-sources"/>
    <w:basedOn w:val="a0"/>
    <w:rsid w:val="003C4CEF"/>
  </w:style>
  <w:style w:type="character" w:customStyle="1" w:styleId="color1">
    <w:name w:val="color1"/>
    <w:basedOn w:val="a0"/>
    <w:rsid w:val="003C4CEF"/>
  </w:style>
  <w:style w:type="character" w:customStyle="1" w:styleId="color2">
    <w:name w:val="color2"/>
    <w:basedOn w:val="a0"/>
    <w:rsid w:val="003C4CEF"/>
  </w:style>
  <w:style w:type="paragraph" w:styleId="z-0">
    <w:name w:val="HTML Top of Form"/>
    <w:basedOn w:val="a"/>
    <w:next w:val="a"/>
    <w:link w:val="z-2"/>
    <w:hidden/>
    <w:uiPriority w:val="99"/>
    <w:semiHidden/>
    <w:unhideWhenUsed/>
    <w:rsid w:val="003C4CEF"/>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3C4CEF"/>
    <w:rPr>
      <w:rFonts w:ascii="Arial" w:eastAsia="Times New Roman" w:hAnsi="Arial" w:cs="Arial"/>
      <w:vanish/>
      <w:sz w:val="16"/>
      <w:szCs w:val="16"/>
    </w:rPr>
  </w:style>
  <w:style w:type="paragraph" w:styleId="z-3">
    <w:name w:val="HTML Bottom of Form"/>
    <w:basedOn w:val="a"/>
    <w:next w:val="a"/>
    <w:link w:val="z-4"/>
    <w:hidden/>
    <w:uiPriority w:val="99"/>
    <w:semiHidden/>
    <w:unhideWhenUsed/>
    <w:rsid w:val="003C4CEF"/>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3C4CEF"/>
    <w:rPr>
      <w:rFonts w:ascii="Arial" w:eastAsia="Times New Roman" w:hAnsi="Arial" w:cs="Arial"/>
      <w:vanish/>
      <w:sz w:val="16"/>
      <w:szCs w:val="16"/>
    </w:rPr>
  </w:style>
  <w:style w:type="character" w:customStyle="1" w:styleId="downarrow">
    <w:name w:val="downarrow"/>
    <w:basedOn w:val="a0"/>
    <w:rsid w:val="003C4CEF"/>
  </w:style>
  <w:style w:type="paragraph" w:customStyle="1" w:styleId="wp-caption-text">
    <w:name w:val="wp-capti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e">
    <w:name w:val="Подзаголовок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ljuser">
    <w:name w:val="ljuser"/>
    <w:basedOn w:val="a0"/>
    <w:rsid w:val="003C4CEF"/>
  </w:style>
  <w:style w:type="character" w:customStyle="1" w:styleId="byline">
    <w:name w:val="byline"/>
    <w:basedOn w:val="a0"/>
    <w:rsid w:val="003C4CEF"/>
  </w:style>
  <w:style w:type="character" w:customStyle="1" w:styleId="author">
    <w:name w:val="author"/>
    <w:basedOn w:val="a0"/>
    <w:rsid w:val="003C4CEF"/>
  </w:style>
  <w:style w:type="character" w:customStyle="1" w:styleId="zag1">
    <w:name w:val="zag1"/>
    <w:basedOn w:val="a0"/>
    <w:rsid w:val="003C4CEF"/>
  </w:style>
  <w:style w:type="paragraph" w:customStyle="1" w:styleId="autor">
    <w:name w:val="auto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picture-sign">
    <w:name w:val="picture-sign"/>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sn-icon">
    <w:name w:val="sn-icon"/>
    <w:basedOn w:val="a0"/>
    <w:rsid w:val="003C4CEF"/>
  </w:style>
  <w:style w:type="character" w:customStyle="1" w:styleId="red">
    <w:name w:val="red"/>
    <w:basedOn w:val="a0"/>
    <w:rsid w:val="003C4CEF"/>
  </w:style>
  <w:style w:type="character" w:customStyle="1" w:styleId="negative">
    <w:name w:val="negative"/>
    <w:basedOn w:val="a0"/>
    <w:rsid w:val="003C4CEF"/>
  </w:style>
  <w:style w:type="character" w:customStyle="1" w:styleId="positive">
    <w:name w:val="positive"/>
    <w:basedOn w:val="a0"/>
    <w:rsid w:val="003C4CEF"/>
  </w:style>
  <w:style w:type="character" w:customStyle="1" w:styleId="gray">
    <w:name w:val="gray"/>
    <w:basedOn w:val="a0"/>
    <w:rsid w:val="003C4CEF"/>
  </w:style>
  <w:style w:type="character" w:customStyle="1" w:styleId="ng-binding">
    <w:name w:val="ng-binding"/>
    <w:basedOn w:val="a0"/>
    <w:rsid w:val="003C4CEF"/>
  </w:style>
  <w:style w:type="paragraph" w:customStyle="1" w:styleId="grey-text">
    <w:name w:val="grey-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banner-place-1">
    <w:name w:val="banner-place-1"/>
    <w:basedOn w:val="a0"/>
    <w:rsid w:val="003C4CEF"/>
  </w:style>
  <w:style w:type="character" w:customStyle="1" w:styleId="banner-place-1-1">
    <w:name w:val="banner-place-1-1"/>
    <w:basedOn w:val="a0"/>
    <w:rsid w:val="003C4CEF"/>
  </w:style>
  <w:style w:type="character" w:customStyle="1" w:styleId="link-views">
    <w:name w:val="link-views"/>
    <w:basedOn w:val="a0"/>
    <w:rsid w:val="003C4CEF"/>
  </w:style>
  <w:style w:type="character" w:customStyle="1" w:styleId="link-comms">
    <w:name w:val="link-comms"/>
    <w:basedOn w:val="a0"/>
    <w:rsid w:val="003C4CEF"/>
  </w:style>
  <w:style w:type="character" w:customStyle="1" w:styleId="rate">
    <w:name w:val="rate"/>
    <w:basedOn w:val="a0"/>
    <w:rsid w:val="003C4CEF"/>
  </w:style>
  <w:style w:type="character" w:customStyle="1" w:styleId="10100">
    <w:name w:val="1010"/>
    <w:basedOn w:val="a0"/>
    <w:rsid w:val="003C4CEF"/>
  </w:style>
  <w:style w:type="character" w:customStyle="1" w:styleId="apple-converted-space">
    <w:name w:val="apple-converted-space"/>
    <w:basedOn w:val="a0"/>
    <w:rsid w:val="003C4CEF"/>
  </w:style>
  <w:style w:type="paragraph" w:customStyle="1" w:styleId="2f4">
    <w:name w:val="2"/>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hl1">
    <w:name w:val="hl1"/>
    <w:basedOn w:val="a0"/>
    <w:rsid w:val="003C4CEF"/>
  </w:style>
  <w:style w:type="paragraph" w:customStyle="1" w:styleId="3f">
    <w:name w:val="3"/>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111">
    <w:name w:val="11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ww8num3z0">
    <w:name w:val="ww8num3z0"/>
    <w:basedOn w:val="a0"/>
    <w:rsid w:val="003C4CEF"/>
  </w:style>
  <w:style w:type="paragraph" w:customStyle="1" w:styleId="1000">
    <w:name w:val="100"/>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011">
    <w:name w:val="101"/>
    <w:basedOn w:val="a0"/>
    <w:rsid w:val="003C4CEF"/>
  </w:style>
  <w:style w:type="character" w:customStyle="1" w:styleId="afff0">
    <w:name w:val="Текст концевой сноски Знак"/>
    <w:basedOn w:val="a0"/>
    <w:link w:val="afff1"/>
    <w:uiPriority w:val="99"/>
    <w:semiHidden/>
    <w:rsid w:val="003C4CEF"/>
    <w:rPr>
      <w:rFonts w:ascii="Times New Roman" w:eastAsia="Times New Roman" w:hAnsi="Times New Roman"/>
      <w:sz w:val="24"/>
      <w:szCs w:val="24"/>
    </w:rPr>
  </w:style>
  <w:style w:type="paragraph" w:styleId="afff1">
    <w:name w:val="endnote text"/>
    <w:basedOn w:val="a"/>
    <w:link w:val="afff0"/>
    <w:uiPriority w:val="99"/>
    <w:semiHidden/>
    <w:unhideWhenUsed/>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f">
    <w:name w:val="Текст концевой сноски Знак1"/>
    <w:basedOn w:val="a0"/>
    <w:uiPriority w:val="99"/>
    <w:semiHidden/>
    <w:rsid w:val="003C4CEF"/>
    <w:rPr>
      <w:lang w:eastAsia="en-US"/>
    </w:rPr>
  </w:style>
  <w:style w:type="character" w:customStyle="1" w:styleId="912pt">
    <w:name w:val="912pt"/>
    <w:basedOn w:val="a0"/>
    <w:rsid w:val="003C4CEF"/>
  </w:style>
  <w:style w:type="character" w:customStyle="1" w:styleId="912pt1">
    <w:name w:val="912pt1"/>
    <w:basedOn w:val="a0"/>
    <w:rsid w:val="003C4CEF"/>
  </w:style>
  <w:style w:type="character" w:customStyle="1" w:styleId="9pt0">
    <w:name w:val="9pt"/>
    <w:basedOn w:val="a0"/>
    <w:rsid w:val="003C4CEF"/>
  </w:style>
  <w:style w:type="character" w:customStyle="1" w:styleId="9pt10">
    <w:name w:val="9pt1"/>
    <w:basedOn w:val="a0"/>
    <w:rsid w:val="003C4CEF"/>
  </w:style>
  <w:style w:type="paragraph" w:customStyle="1" w:styleId="a50">
    <w:name w:val="a5"/>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posted-on">
    <w:name w:val="posted-on"/>
    <w:basedOn w:val="a0"/>
    <w:rsid w:val="003C4CEF"/>
  </w:style>
  <w:style w:type="character" w:customStyle="1" w:styleId="cat-links">
    <w:name w:val="cat-links"/>
    <w:basedOn w:val="a0"/>
    <w:rsid w:val="003C4CEF"/>
  </w:style>
  <w:style w:type="paragraph" w:customStyle="1" w:styleId="upgcontext">
    <w:name w:val="upgcon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tar">
    <w:name w:val="tar"/>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204">
    <w:name w:val="20"/>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411">
    <w:name w:val="4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400">
    <w:name w:val="40"/>
    <w:basedOn w:val="a0"/>
    <w:rsid w:val="003C4CEF"/>
  </w:style>
  <w:style w:type="paragraph" w:customStyle="1" w:styleId="312">
    <w:name w:val="31"/>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02">
    <w:name w:val="30"/>
    <w:basedOn w:val="a0"/>
    <w:rsid w:val="003C4CEF"/>
  </w:style>
  <w:style w:type="character" w:customStyle="1" w:styleId="apple-tab-span">
    <w:name w:val="apple-tab-span"/>
    <w:basedOn w:val="a0"/>
    <w:rsid w:val="003C4CEF"/>
  </w:style>
  <w:style w:type="character" w:customStyle="1" w:styleId="bbcsize">
    <w:name w:val="bbc_size"/>
    <w:basedOn w:val="a0"/>
    <w:rsid w:val="003C4CEF"/>
  </w:style>
  <w:style w:type="character" w:customStyle="1" w:styleId="bbcfont">
    <w:name w:val="bbc_font"/>
    <w:basedOn w:val="a0"/>
    <w:rsid w:val="003C4CEF"/>
  </w:style>
  <w:style w:type="paragraph" w:customStyle="1" w:styleId="storybody">
    <w:name w:val="storybody"/>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1f0">
    <w:name w:val="Строгий1"/>
    <w:rsid w:val="003C4CEF"/>
    <w:rPr>
      <w:b/>
    </w:rPr>
  </w:style>
  <w:style w:type="character" w:customStyle="1" w:styleId="1f1">
    <w:name w:val="Выделение1"/>
    <w:rsid w:val="003C4CEF"/>
    <w:rPr>
      <w:i/>
    </w:rPr>
  </w:style>
  <w:style w:type="paragraph" w:customStyle="1" w:styleId="el-text">
    <w:name w:val="el-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ff7">
    <w:name w:val="Колонтитул_"/>
    <w:basedOn w:val="a0"/>
    <w:link w:val="aff6"/>
    <w:rsid w:val="003C4CEF"/>
    <w:rPr>
      <w:rFonts w:ascii="Times New Roman" w:hAnsi="Times New Roman"/>
      <w:shd w:val="clear" w:color="auto" w:fill="FFFFFF"/>
      <w:lang w:eastAsia="en-US"/>
    </w:rPr>
  </w:style>
  <w:style w:type="character" w:customStyle="1" w:styleId="11pt">
    <w:name w:val="Колонтитул + 11 pt"/>
    <w:basedOn w:val="aff7"/>
    <w:rsid w:val="003C4CEF"/>
    <w:rPr>
      <w:rFonts w:ascii="Times New Roman" w:hAnsi="Times New Roman"/>
      <w:b w:val="0"/>
      <w:bCs w:val="0"/>
      <w:i w:val="0"/>
      <w:iCs w:val="0"/>
      <w:smallCaps w:val="0"/>
      <w:strike w:val="0"/>
      <w:spacing w:val="0"/>
      <w:sz w:val="22"/>
      <w:szCs w:val="22"/>
      <w:shd w:val="clear" w:color="auto" w:fill="FFFFFF"/>
      <w:lang w:eastAsia="en-US"/>
    </w:rPr>
  </w:style>
  <w:style w:type="character" w:customStyle="1" w:styleId="3f0">
    <w:name w:val="Основной текст (3) + Не курсив"/>
    <w:basedOn w:val="35"/>
    <w:rsid w:val="003C4CEF"/>
    <w:rPr>
      <w:rFonts w:ascii="Arial" w:eastAsia="Arial" w:hAnsi="Arial" w:cs="Arial"/>
      <w:i/>
      <w:iCs/>
      <w:spacing w:val="20"/>
      <w:sz w:val="15"/>
      <w:szCs w:val="15"/>
      <w:shd w:val="clear" w:color="auto" w:fill="FFFFFF"/>
    </w:rPr>
  </w:style>
  <w:style w:type="paragraph" w:customStyle="1" w:styleId="213">
    <w:name w:val="Основной текст21"/>
    <w:basedOn w:val="a"/>
    <w:rsid w:val="003C4CEF"/>
    <w:pPr>
      <w:shd w:val="clear" w:color="auto" w:fill="FFFFFF"/>
      <w:spacing w:before="120" w:after="120" w:line="227" w:lineRule="exact"/>
      <w:ind w:hanging="280"/>
      <w:jc w:val="right"/>
    </w:pPr>
    <w:rPr>
      <w:rFonts w:ascii="Times New Roman" w:eastAsia="Times New Roman" w:hAnsi="Times New Roman"/>
      <w:color w:val="000000"/>
      <w:sz w:val="21"/>
      <w:szCs w:val="21"/>
      <w:lang w:eastAsia="ru-RU"/>
    </w:rPr>
  </w:style>
  <w:style w:type="paragraph" w:customStyle="1" w:styleId="b-articletext">
    <w:name w:val="b-article__text"/>
    <w:basedOn w:val="a"/>
    <w:rsid w:val="003C4CEF"/>
    <w:pPr>
      <w:spacing w:before="100" w:beforeAutospacing="1" w:after="100" w:afterAutospacing="1" w:line="240" w:lineRule="auto"/>
    </w:pPr>
    <w:rPr>
      <w:rFonts w:ascii="Times New Roman" w:eastAsia="Times New Roman" w:hAnsi="Times New Roman"/>
      <w:sz w:val="24"/>
      <w:szCs w:val="24"/>
      <w:lang w:eastAsia="ru-RU"/>
    </w:rPr>
  </w:style>
  <w:style w:type="paragraph" w:styleId="afff2">
    <w:name w:val="No Spacing"/>
    <w:basedOn w:val="a"/>
    <w:uiPriority w:val="1"/>
    <w:qFormat/>
    <w:rsid w:val="00B96AA7"/>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7">
    <w:name w:val="Основной текст17"/>
    <w:basedOn w:val="a"/>
    <w:link w:val="aff"/>
    <w:rsid w:val="004125F7"/>
    <w:pPr>
      <w:shd w:val="clear" w:color="auto" w:fill="FFFFFF"/>
      <w:spacing w:before="300" w:after="0" w:line="197" w:lineRule="exact"/>
      <w:ind w:hanging="640"/>
    </w:pPr>
    <w:rPr>
      <w:rFonts w:ascii="Microsoft Sans Serif" w:hAnsi="Microsoft Sans Serif" w:cs="Microsoft Sans Serif"/>
      <w:spacing w:val="-10"/>
      <w:sz w:val="29"/>
      <w:szCs w:val="29"/>
      <w:lang w:eastAsia="ru-RU"/>
    </w:rPr>
  </w:style>
  <w:style w:type="paragraph" w:customStyle="1" w:styleId="521">
    <w:name w:val="Основной текст52"/>
    <w:basedOn w:val="a"/>
    <w:rsid w:val="004125F7"/>
    <w:pPr>
      <w:shd w:val="clear" w:color="auto" w:fill="FFFFFF"/>
      <w:spacing w:after="0" w:line="425" w:lineRule="exact"/>
      <w:jc w:val="both"/>
    </w:pPr>
    <w:rPr>
      <w:rFonts w:ascii="Segoe UI" w:eastAsia="Segoe UI" w:hAnsi="Segoe UI" w:cs="Segoe UI"/>
      <w:color w:val="000000"/>
      <w:sz w:val="15"/>
      <w:szCs w:val="15"/>
      <w:lang w:val="ru" w:eastAsia="ru-RU"/>
    </w:rPr>
  </w:style>
  <w:style w:type="paragraph" w:customStyle="1" w:styleId="221">
    <w:name w:val="Основной текст22"/>
    <w:basedOn w:val="a"/>
    <w:rsid w:val="002F0F01"/>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30">
    <w:name w:val="Основной текст (63)_"/>
    <w:basedOn w:val="a0"/>
    <w:link w:val="631"/>
    <w:rsid w:val="002C7BF8"/>
    <w:rPr>
      <w:rFonts w:ascii="Segoe UI" w:eastAsia="Segoe UI" w:hAnsi="Segoe UI" w:cs="Segoe UI"/>
      <w:sz w:val="15"/>
      <w:szCs w:val="15"/>
      <w:shd w:val="clear" w:color="auto" w:fill="FFFFFF"/>
    </w:rPr>
  </w:style>
  <w:style w:type="paragraph" w:customStyle="1" w:styleId="631">
    <w:name w:val="Основной текст (63)"/>
    <w:basedOn w:val="a"/>
    <w:link w:val="630"/>
    <w:rsid w:val="002C7BF8"/>
    <w:pPr>
      <w:shd w:val="clear" w:color="auto" w:fill="FFFFFF"/>
      <w:spacing w:after="0" w:line="198" w:lineRule="exact"/>
      <w:jc w:val="right"/>
    </w:pPr>
    <w:rPr>
      <w:rFonts w:ascii="Segoe UI" w:eastAsia="Segoe UI" w:hAnsi="Segoe UI" w:cs="Segoe UI"/>
      <w:sz w:val="15"/>
      <w:szCs w:val="15"/>
      <w:lang w:eastAsia="ru-RU"/>
    </w:rPr>
  </w:style>
  <w:style w:type="paragraph" w:customStyle="1" w:styleId="article-renderblock">
    <w:name w:val="article-render__block"/>
    <w:basedOn w:val="a"/>
    <w:rsid w:val="003C1335"/>
    <w:pPr>
      <w:spacing w:before="100" w:beforeAutospacing="1" w:after="100" w:afterAutospacing="1" w:line="240" w:lineRule="auto"/>
    </w:pPr>
    <w:rPr>
      <w:rFonts w:ascii="Times New Roman" w:eastAsia="Times New Roman" w:hAnsi="Times New Roman"/>
      <w:sz w:val="24"/>
      <w:szCs w:val="24"/>
      <w:lang w:eastAsia="ru-RU"/>
    </w:rPr>
  </w:style>
  <w:style w:type="paragraph" w:styleId="HTML2">
    <w:name w:val="HTML Address"/>
    <w:basedOn w:val="a"/>
    <w:link w:val="HTML3"/>
    <w:uiPriority w:val="99"/>
    <w:semiHidden/>
    <w:unhideWhenUsed/>
    <w:rsid w:val="003C1335"/>
    <w:pPr>
      <w:spacing w:after="0" w:line="240" w:lineRule="auto"/>
    </w:pPr>
    <w:rPr>
      <w:rFonts w:ascii="Times New Roman" w:eastAsia="Times New Roman" w:hAnsi="Times New Roman"/>
      <w:i/>
      <w:iCs/>
      <w:sz w:val="24"/>
      <w:szCs w:val="24"/>
      <w:lang w:eastAsia="ru-RU"/>
    </w:rPr>
  </w:style>
  <w:style w:type="character" w:customStyle="1" w:styleId="HTML3">
    <w:name w:val="Адрес HTML Знак"/>
    <w:basedOn w:val="a0"/>
    <w:link w:val="HTML2"/>
    <w:uiPriority w:val="99"/>
    <w:semiHidden/>
    <w:rsid w:val="003C1335"/>
    <w:rPr>
      <w:rFonts w:ascii="Times New Roman" w:eastAsia="Times New Roman" w:hAnsi="Times New Roman"/>
      <w:i/>
      <w:iCs/>
      <w:sz w:val="24"/>
      <w:szCs w:val="24"/>
    </w:rPr>
  </w:style>
  <w:style w:type="character" w:customStyle="1" w:styleId="142">
    <w:name w:val="Основной текст14"/>
    <w:basedOn w:val="aff"/>
    <w:rsid w:val="00270580"/>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
    <w:name w:val="Основной текст108"/>
    <w:basedOn w:val="a"/>
    <w:rsid w:val="00F15A76"/>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820">
    <w:name w:val="Основной текст82"/>
    <w:basedOn w:val="aff"/>
    <w:rsid w:val="00F15A76"/>
    <w:rPr>
      <w:rFonts w:ascii="Segoe UI" w:eastAsia="Segoe UI" w:hAnsi="Segoe UI" w:cs="Segoe UI"/>
      <w:b w:val="0"/>
      <w:bCs w:val="0"/>
      <w:i w:val="0"/>
      <w:iCs w:val="0"/>
      <w:smallCaps w:val="0"/>
      <w:strike w:val="0"/>
      <w:spacing w:val="0"/>
      <w:sz w:val="14"/>
      <w:szCs w:val="14"/>
      <w:shd w:val="clear" w:color="auto" w:fill="FFFFFF"/>
    </w:rPr>
  </w:style>
  <w:style w:type="character" w:customStyle="1" w:styleId="affa">
    <w:name w:val="Подпись к картинке_"/>
    <w:basedOn w:val="a0"/>
    <w:link w:val="aff9"/>
    <w:rsid w:val="00201255"/>
    <w:rPr>
      <w:rFonts w:ascii="MS Reference Sans Serif" w:hAnsi="MS Reference Sans Serif" w:cs="MS Reference Sans Serif"/>
      <w:b/>
      <w:bCs/>
      <w:sz w:val="13"/>
      <w:szCs w:val="13"/>
      <w:shd w:val="clear" w:color="auto" w:fill="FFFFFF"/>
      <w:lang w:eastAsia="en-US"/>
    </w:rPr>
  </w:style>
  <w:style w:type="character" w:customStyle="1" w:styleId="79">
    <w:name w:val="Основной текст79"/>
    <w:basedOn w:val="aff"/>
    <w:rsid w:val="00407660"/>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
    <w:rsid w:val="00A62F5F"/>
    <w:rPr>
      <w:rFonts w:ascii="Segoe UI" w:eastAsia="Segoe UI" w:hAnsi="Segoe UI" w:cs="Segoe UI"/>
      <w:b w:val="0"/>
      <w:bCs w:val="0"/>
      <w:i w:val="0"/>
      <w:iCs w:val="0"/>
      <w:smallCaps w:val="0"/>
      <w:strike w:val="0"/>
      <w:spacing w:val="0"/>
      <w:sz w:val="14"/>
      <w:szCs w:val="14"/>
      <w:u w:val="single"/>
      <w:shd w:val="clear" w:color="auto" w:fill="FFFFFF"/>
    </w:rPr>
  </w:style>
  <w:style w:type="paragraph" w:customStyle="1" w:styleId="116">
    <w:name w:val="Основной текст116"/>
    <w:basedOn w:val="a"/>
    <w:rsid w:val="00A62F5F"/>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89">
    <w:name w:val="Основной текст89"/>
    <w:basedOn w:val="aff"/>
    <w:rsid w:val="00A62F5F"/>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A62F5F"/>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fff3">
    <w:name w:val="Другое_"/>
    <w:basedOn w:val="a0"/>
    <w:link w:val="afff4"/>
    <w:rsid w:val="000B01C4"/>
    <w:rPr>
      <w:rFonts w:ascii="Arial" w:eastAsia="Arial" w:hAnsi="Arial" w:cs="Arial"/>
      <w:sz w:val="17"/>
      <w:szCs w:val="17"/>
    </w:rPr>
  </w:style>
  <w:style w:type="paragraph" w:customStyle="1" w:styleId="afff4">
    <w:name w:val="Другое"/>
    <w:basedOn w:val="a"/>
    <w:link w:val="afff3"/>
    <w:rsid w:val="000B01C4"/>
    <w:pPr>
      <w:widowControl w:val="0"/>
      <w:spacing w:after="0" w:line="240" w:lineRule="auto"/>
      <w:ind w:firstLine="180"/>
    </w:pPr>
    <w:rPr>
      <w:rFonts w:ascii="Arial" w:eastAsia="Arial" w:hAnsi="Arial" w:cs="Arial"/>
      <w:sz w:val="17"/>
      <w:szCs w:val="17"/>
      <w:lang w:eastAsia="ru-RU"/>
    </w:rPr>
  </w:style>
  <w:style w:type="character" w:customStyle="1" w:styleId="article-statdate">
    <w:name w:val="article-stat__date"/>
    <w:basedOn w:val="a0"/>
    <w:rsid w:val="00481FC0"/>
  </w:style>
  <w:style w:type="character" w:customStyle="1" w:styleId="104">
    <w:name w:val="Основной текст (10)_"/>
    <w:basedOn w:val="a0"/>
    <w:link w:val="105"/>
    <w:rsid w:val="008553FB"/>
    <w:rPr>
      <w:rFonts w:ascii="Segoe UI" w:eastAsia="Segoe UI" w:hAnsi="Segoe UI" w:cs="Segoe UI"/>
      <w:sz w:val="12"/>
      <w:szCs w:val="12"/>
      <w:shd w:val="clear" w:color="auto" w:fill="FFFFFF"/>
    </w:rPr>
  </w:style>
  <w:style w:type="paragraph" w:customStyle="1" w:styleId="105">
    <w:name w:val="Основной текст (10)"/>
    <w:basedOn w:val="a"/>
    <w:link w:val="104"/>
    <w:rsid w:val="008553FB"/>
    <w:pPr>
      <w:shd w:val="clear" w:color="auto" w:fill="FFFFFF"/>
      <w:spacing w:after="0" w:line="144" w:lineRule="exact"/>
      <w:ind w:hanging="180"/>
    </w:pPr>
    <w:rPr>
      <w:rFonts w:ascii="Segoe UI" w:eastAsia="Segoe UI" w:hAnsi="Segoe UI" w:cs="Segoe UI"/>
      <w:sz w:val="12"/>
      <w:szCs w:val="12"/>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031687">
      <w:bodyDiv w:val="1"/>
      <w:marLeft w:val="0"/>
      <w:marRight w:val="0"/>
      <w:marTop w:val="0"/>
      <w:marBottom w:val="0"/>
      <w:divBdr>
        <w:top w:val="none" w:sz="0" w:space="0" w:color="auto"/>
        <w:left w:val="none" w:sz="0" w:space="0" w:color="auto"/>
        <w:bottom w:val="none" w:sz="0" w:space="0" w:color="auto"/>
        <w:right w:val="none" w:sz="0" w:space="0" w:color="auto"/>
      </w:divBdr>
      <w:divsChild>
        <w:div w:id="192352951">
          <w:marLeft w:val="0"/>
          <w:marRight w:val="0"/>
          <w:marTop w:val="0"/>
          <w:marBottom w:val="0"/>
          <w:divBdr>
            <w:top w:val="none" w:sz="0" w:space="0" w:color="auto"/>
            <w:left w:val="none" w:sz="0" w:space="0" w:color="auto"/>
            <w:bottom w:val="none" w:sz="0" w:space="0" w:color="auto"/>
            <w:right w:val="none" w:sz="0" w:space="0" w:color="auto"/>
          </w:divBdr>
          <w:divsChild>
            <w:div w:id="1412696642">
              <w:marLeft w:val="0"/>
              <w:marRight w:val="0"/>
              <w:marTop w:val="0"/>
              <w:marBottom w:val="0"/>
              <w:divBdr>
                <w:top w:val="none" w:sz="0" w:space="0" w:color="auto"/>
                <w:left w:val="none" w:sz="0" w:space="0" w:color="auto"/>
                <w:bottom w:val="none" w:sz="0" w:space="0" w:color="auto"/>
                <w:right w:val="none" w:sz="0" w:space="0" w:color="auto"/>
              </w:divBdr>
              <w:divsChild>
                <w:div w:id="702051071">
                  <w:marLeft w:val="0"/>
                  <w:marRight w:val="0"/>
                  <w:marTop w:val="0"/>
                  <w:marBottom w:val="0"/>
                  <w:divBdr>
                    <w:top w:val="none" w:sz="0" w:space="0" w:color="auto"/>
                    <w:left w:val="none" w:sz="0" w:space="0" w:color="auto"/>
                    <w:bottom w:val="none" w:sz="0" w:space="0" w:color="auto"/>
                    <w:right w:val="none" w:sz="0" w:space="0" w:color="auto"/>
                  </w:divBdr>
                  <w:divsChild>
                    <w:div w:id="1113134012">
                      <w:marLeft w:val="0"/>
                      <w:marRight w:val="0"/>
                      <w:marTop w:val="0"/>
                      <w:marBottom w:val="0"/>
                      <w:divBdr>
                        <w:top w:val="none" w:sz="0" w:space="0" w:color="auto"/>
                        <w:left w:val="none" w:sz="0" w:space="0" w:color="auto"/>
                        <w:bottom w:val="none" w:sz="0" w:space="0" w:color="auto"/>
                        <w:right w:val="none" w:sz="0" w:space="0" w:color="auto"/>
                      </w:divBdr>
                      <w:divsChild>
                        <w:div w:id="36530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325702">
      <w:bodyDiv w:val="1"/>
      <w:marLeft w:val="0"/>
      <w:marRight w:val="0"/>
      <w:marTop w:val="0"/>
      <w:marBottom w:val="0"/>
      <w:divBdr>
        <w:top w:val="none" w:sz="0" w:space="0" w:color="auto"/>
        <w:left w:val="none" w:sz="0" w:space="0" w:color="auto"/>
        <w:bottom w:val="none" w:sz="0" w:space="0" w:color="auto"/>
        <w:right w:val="none" w:sz="0" w:space="0" w:color="auto"/>
      </w:divBdr>
      <w:divsChild>
        <w:div w:id="166018206">
          <w:marLeft w:val="0"/>
          <w:marRight w:val="0"/>
          <w:marTop w:val="0"/>
          <w:marBottom w:val="0"/>
          <w:divBdr>
            <w:top w:val="none" w:sz="0" w:space="0" w:color="auto"/>
            <w:left w:val="none" w:sz="0" w:space="0" w:color="auto"/>
            <w:bottom w:val="none" w:sz="0" w:space="0" w:color="auto"/>
            <w:right w:val="none" w:sz="0" w:space="0" w:color="auto"/>
          </w:divBdr>
          <w:divsChild>
            <w:div w:id="1275163836">
              <w:marLeft w:val="0"/>
              <w:marRight w:val="0"/>
              <w:marTop w:val="0"/>
              <w:marBottom w:val="0"/>
              <w:divBdr>
                <w:top w:val="none" w:sz="0" w:space="0" w:color="auto"/>
                <w:left w:val="none" w:sz="0" w:space="0" w:color="auto"/>
                <w:bottom w:val="none" w:sz="0" w:space="0" w:color="auto"/>
                <w:right w:val="none" w:sz="0" w:space="0" w:color="auto"/>
              </w:divBdr>
              <w:divsChild>
                <w:div w:id="624047700">
                  <w:marLeft w:val="0"/>
                  <w:marRight w:val="0"/>
                  <w:marTop w:val="0"/>
                  <w:marBottom w:val="0"/>
                  <w:divBdr>
                    <w:top w:val="none" w:sz="0" w:space="0" w:color="auto"/>
                    <w:left w:val="none" w:sz="0" w:space="0" w:color="auto"/>
                    <w:bottom w:val="none" w:sz="0" w:space="0" w:color="auto"/>
                    <w:right w:val="none" w:sz="0" w:space="0" w:color="auto"/>
                  </w:divBdr>
                  <w:divsChild>
                    <w:div w:id="828406093">
                      <w:marLeft w:val="0"/>
                      <w:marRight w:val="0"/>
                      <w:marTop w:val="0"/>
                      <w:marBottom w:val="0"/>
                      <w:divBdr>
                        <w:top w:val="none" w:sz="0" w:space="0" w:color="auto"/>
                        <w:left w:val="none" w:sz="0" w:space="0" w:color="auto"/>
                        <w:bottom w:val="none" w:sz="0" w:space="0" w:color="auto"/>
                        <w:right w:val="none" w:sz="0" w:space="0" w:color="auto"/>
                      </w:divBdr>
                      <w:divsChild>
                        <w:div w:id="1262878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823353">
      <w:bodyDiv w:val="1"/>
      <w:marLeft w:val="0"/>
      <w:marRight w:val="0"/>
      <w:marTop w:val="0"/>
      <w:marBottom w:val="0"/>
      <w:divBdr>
        <w:top w:val="none" w:sz="0" w:space="0" w:color="auto"/>
        <w:left w:val="none" w:sz="0" w:space="0" w:color="auto"/>
        <w:bottom w:val="none" w:sz="0" w:space="0" w:color="auto"/>
        <w:right w:val="none" w:sz="0" w:space="0" w:color="auto"/>
      </w:divBdr>
      <w:divsChild>
        <w:div w:id="2084600090">
          <w:marLeft w:val="0"/>
          <w:marRight w:val="0"/>
          <w:marTop w:val="0"/>
          <w:marBottom w:val="0"/>
          <w:divBdr>
            <w:top w:val="none" w:sz="0" w:space="0" w:color="auto"/>
            <w:left w:val="none" w:sz="0" w:space="0" w:color="auto"/>
            <w:bottom w:val="none" w:sz="0" w:space="0" w:color="auto"/>
            <w:right w:val="none" w:sz="0" w:space="0" w:color="auto"/>
          </w:divBdr>
          <w:divsChild>
            <w:div w:id="3635568">
              <w:marLeft w:val="0"/>
              <w:marRight w:val="0"/>
              <w:marTop w:val="0"/>
              <w:marBottom w:val="0"/>
              <w:divBdr>
                <w:top w:val="none" w:sz="0" w:space="0" w:color="auto"/>
                <w:left w:val="none" w:sz="0" w:space="0" w:color="auto"/>
                <w:bottom w:val="none" w:sz="0" w:space="0" w:color="auto"/>
                <w:right w:val="none" w:sz="0" w:space="0" w:color="auto"/>
              </w:divBdr>
              <w:divsChild>
                <w:div w:id="2018118977">
                  <w:marLeft w:val="0"/>
                  <w:marRight w:val="0"/>
                  <w:marTop w:val="0"/>
                  <w:marBottom w:val="0"/>
                  <w:divBdr>
                    <w:top w:val="none" w:sz="0" w:space="0" w:color="auto"/>
                    <w:left w:val="none" w:sz="0" w:space="0" w:color="auto"/>
                    <w:bottom w:val="none" w:sz="0" w:space="0" w:color="auto"/>
                    <w:right w:val="none" w:sz="0" w:space="0" w:color="auto"/>
                  </w:divBdr>
                  <w:divsChild>
                    <w:div w:id="923143909">
                      <w:marLeft w:val="0"/>
                      <w:marRight w:val="0"/>
                      <w:marTop w:val="0"/>
                      <w:marBottom w:val="0"/>
                      <w:divBdr>
                        <w:top w:val="none" w:sz="0" w:space="0" w:color="auto"/>
                        <w:left w:val="none" w:sz="0" w:space="0" w:color="auto"/>
                        <w:bottom w:val="none" w:sz="0" w:space="0" w:color="auto"/>
                        <w:right w:val="none" w:sz="0" w:space="0" w:color="auto"/>
                      </w:divBdr>
                      <w:divsChild>
                        <w:div w:id="86062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9176706">
      <w:bodyDiv w:val="1"/>
      <w:marLeft w:val="0"/>
      <w:marRight w:val="0"/>
      <w:marTop w:val="0"/>
      <w:marBottom w:val="0"/>
      <w:divBdr>
        <w:top w:val="none" w:sz="0" w:space="0" w:color="auto"/>
        <w:left w:val="none" w:sz="0" w:space="0" w:color="auto"/>
        <w:bottom w:val="none" w:sz="0" w:space="0" w:color="auto"/>
        <w:right w:val="none" w:sz="0" w:space="0" w:color="auto"/>
      </w:divBdr>
      <w:divsChild>
        <w:div w:id="1938756840">
          <w:marLeft w:val="0"/>
          <w:marRight w:val="0"/>
          <w:marTop w:val="0"/>
          <w:marBottom w:val="0"/>
          <w:divBdr>
            <w:top w:val="none" w:sz="0" w:space="0" w:color="auto"/>
            <w:left w:val="none" w:sz="0" w:space="0" w:color="auto"/>
            <w:bottom w:val="none" w:sz="0" w:space="0" w:color="auto"/>
            <w:right w:val="none" w:sz="0" w:space="0" w:color="auto"/>
          </w:divBdr>
          <w:divsChild>
            <w:div w:id="1336225595">
              <w:marLeft w:val="0"/>
              <w:marRight w:val="0"/>
              <w:marTop w:val="0"/>
              <w:marBottom w:val="0"/>
              <w:divBdr>
                <w:top w:val="none" w:sz="0" w:space="0" w:color="auto"/>
                <w:left w:val="none" w:sz="0" w:space="0" w:color="auto"/>
                <w:bottom w:val="none" w:sz="0" w:space="0" w:color="auto"/>
                <w:right w:val="none" w:sz="0" w:space="0" w:color="auto"/>
              </w:divBdr>
              <w:divsChild>
                <w:div w:id="673073286">
                  <w:marLeft w:val="0"/>
                  <w:marRight w:val="0"/>
                  <w:marTop w:val="0"/>
                  <w:marBottom w:val="0"/>
                  <w:divBdr>
                    <w:top w:val="none" w:sz="0" w:space="0" w:color="auto"/>
                    <w:left w:val="none" w:sz="0" w:space="0" w:color="auto"/>
                    <w:bottom w:val="none" w:sz="0" w:space="0" w:color="auto"/>
                    <w:right w:val="none" w:sz="0" w:space="0" w:color="auto"/>
                  </w:divBdr>
                  <w:divsChild>
                    <w:div w:id="494683459">
                      <w:marLeft w:val="0"/>
                      <w:marRight w:val="0"/>
                      <w:marTop w:val="0"/>
                      <w:marBottom w:val="0"/>
                      <w:divBdr>
                        <w:top w:val="none" w:sz="0" w:space="0" w:color="auto"/>
                        <w:left w:val="none" w:sz="0" w:space="0" w:color="auto"/>
                        <w:bottom w:val="none" w:sz="0" w:space="0" w:color="auto"/>
                        <w:right w:val="none" w:sz="0" w:space="0" w:color="auto"/>
                      </w:divBdr>
                      <w:divsChild>
                        <w:div w:id="101472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1751731">
      <w:bodyDiv w:val="1"/>
      <w:marLeft w:val="0"/>
      <w:marRight w:val="0"/>
      <w:marTop w:val="0"/>
      <w:marBottom w:val="0"/>
      <w:divBdr>
        <w:top w:val="none" w:sz="0" w:space="0" w:color="auto"/>
        <w:left w:val="none" w:sz="0" w:space="0" w:color="auto"/>
        <w:bottom w:val="none" w:sz="0" w:space="0" w:color="auto"/>
        <w:right w:val="none" w:sz="0" w:space="0" w:color="auto"/>
      </w:divBdr>
      <w:divsChild>
        <w:div w:id="567499202">
          <w:marLeft w:val="0"/>
          <w:marRight w:val="0"/>
          <w:marTop w:val="0"/>
          <w:marBottom w:val="0"/>
          <w:divBdr>
            <w:top w:val="none" w:sz="0" w:space="0" w:color="auto"/>
            <w:left w:val="none" w:sz="0" w:space="0" w:color="auto"/>
            <w:bottom w:val="none" w:sz="0" w:space="0" w:color="auto"/>
            <w:right w:val="none" w:sz="0" w:space="0" w:color="auto"/>
          </w:divBdr>
          <w:divsChild>
            <w:div w:id="1555506136">
              <w:marLeft w:val="0"/>
              <w:marRight w:val="0"/>
              <w:marTop w:val="0"/>
              <w:marBottom w:val="0"/>
              <w:divBdr>
                <w:top w:val="none" w:sz="0" w:space="0" w:color="auto"/>
                <w:left w:val="none" w:sz="0" w:space="0" w:color="auto"/>
                <w:bottom w:val="none" w:sz="0" w:space="0" w:color="auto"/>
                <w:right w:val="none" w:sz="0" w:space="0" w:color="auto"/>
              </w:divBdr>
              <w:divsChild>
                <w:div w:id="672685649">
                  <w:marLeft w:val="0"/>
                  <w:marRight w:val="0"/>
                  <w:marTop w:val="0"/>
                  <w:marBottom w:val="0"/>
                  <w:divBdr>
                    <w:top w:val="none" w:sz="0" w:space="0" w:color="auto"/>
                    <w:left w:val="none" w:sz="0" w:space="0" w:color="auto"/>
                    <w:bottom w:val="none" w:sz="0" w:space="0" w:color="auto"/>
                    <w:right w:val="none" w:sz="0" w:space="0" w:color="auto"/>
                  </w:divBdr>
                  <w:divsChild>
                    <w:div w:id="735667575">
                      <w:marLeft w:val="0"/>
                      <w:marRight w:val="0"/>
                      <w:marTop w:val="0"/>
                      <w:marBottom w:val="0"/>
                      <w:divBdr>
                        <w:top w:val="none" w:sz="0" w:space="0" w:color="auto"/>
                        <w:left w:val="none" w:sz="0" w:space="0" w:color="auto"/>
                        <w:bottom w:val="none" w:sz="0" w:space="0" w:color="auto"/>
                        <w:right w:val="none" w:sz="0" w:space="0" w:color="auto"/>
                      </w:divBdr>
                      <w:divsChild>
                        <w:div w:id="70648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8955120">
      <w:bodyDiv w:val="1"/>
      <w:marLeft w:val="0"/>
      <w:marRight w:val="0"/>
      <w:marTop w:val="0"/>
      <w:marBottom w:val="0"/>
      <w:divBdr>
        <w:top w:val="none" w:sz="0" w:space="0" w:color="auto"/>
        <w:left w:val="none" w:sz="0" w:space="0" w:color="auto"/>
        <w:bottom w:val="none" w:sz="0" w:space="0" w:color="auto"/>
        <w:right w:val="none" w:sz="0" w:space="0" w:color="auto"/>
      </w:divBdr>
      <w:divsChild>
        <w:div w:id="2023192952">
          <w:marLeft w:val="0"/>
          <w:marRight w:val="0"/>
          <w:marTop w:val="0"/>
          <w:marBottom w:val="0"/>
          <w:divBdr>
            <w:top w:val="none" w:sz="0" w:space="0" w:color="auto"/>
            <w:left w:val="none" w:sz="0" w:space="0" w:color="auto"/>
            <w:bottom w:val="none" w:sz="0" w:space="0" w:color="auto"/>
            <w:right w:val="none" w:sz="0" w:space="0" w:color="auto"/>
          </w:divBdr>
          <w:divsChild>
            <w:div w:id="1585726629">
              <w:marLeft w:val="0"/>
              <w:marRight w:val="0"/>
              <w:marTop w:val="0"/>
              <w:marBottom w:val="0"/>
              <w:divBdr>
                <w:top w:val="none" w:sz="0" w:space="0" w:color="auto"/>
                <w:left w:val="none" w:sz="0" w:space="0" w:color="auto"/>
                <w:bottom w:val="none" w:sz="0" w:space="0" w:color="auto"/>
                <w:right w:val="none" w:sz="0" w:space="0" w:color="auto"/>
              </w:divBdr>
              <w:divsChild>
                <w:div w:id="903758628">
                  <w:marLeft w:val="0"/>
                  <w:marRight w:val="0"/>
                  <w:marTop w:val="0"/>
                  <w:marBottom w:val="0"/>
                  <w:divBdr>
                    <w:top w:val="none" w:sz="0" w:space="0" w:color="auto"/>
                    <w:left w:val="none" w:sz="0" w:space="0" w:color="auto"/>
                    <w:bottom w:val="none" w:sz="0" w:space="0" w:color="auto"/>
                    <w:right w:val="none" w:sz="0" w:space="0" w:color="auto"/>
                  </w:divBdr>
                  <w:divsChild>
                    <w:div w:id="1507867837">
                      <w:marLeft w:val="0"/>
                      <w:marRight w:val="0"/>
                      <w:marTop w:val="0"/>
                      <w:marBottom w:val="0"/>
                      <w:divBdr>
                        <w:top w:val="none" w:sz="0" w:space="0" w:color="auto"/>
                        <w:left w:val="none" w:sz="0" w:space="0" w:color="auto"/>
                        <w:bottom w:val="none" w:sz="0" w:space="0" w:color="auto"/>
                        <w:right w:val="none" w:sz="0" w:space="0" w:color="auto"/>
                      </w:divBdr>
                      <w:divsChild>
                        <w:div w:id="833302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0430923">
      <w:bodyDiv w:val="1"/>
      <w:marLeft w:val="0"/>
      <w:marRight w:val="0"/>
      <w:marTop w:val="0"/>
      <w:marBottom w:val="0"/>
      <w:divBdr>
        <w:top w:val="none" w:sz="0" w:space="0" w:color="auto"/>
        <w:left w:val="none" w:sz="0" w:space="0" w:color="auto"/>
        <w:bottom w:val="none" w:sz="0" w:space="0" w:color="auto"/>
        <w:right w:val="none" w:sz="0" w:space="0" w:color="auto"/>
      </w:divBdr>
      <w:divsChild>
        <w:div w:id="680355661">
          <w:marLeft w:val="0"/>
          <w:marRight w:val="0"/>
          <w:marTop w:val="0"/>
          <w:marBottom w:val="0"/>
          <w:divBdr>
            <w:top w:val="none" w:sz="0" w:space="0" w:color="auto"/>
            <w:left w:val="none" w:sz="0" w:space="0" w:color="auto"/>
            <w:bottom w:val="none" w:sz="0" w:space="0" w:color="auto"/>
            <w:right w:val="none" w:sz="0" w:space="0" w:color="auto"/>
          </w:divBdr>
          <w:divsChild>
            <w:div w:id="1466314756">
              <w:marLeft w:val="0"/>
              <w:marRight w:val="0"/>
              <w:marTop w:val="0"/>
              <w:marBottom w:val="0"/>
              <w:divBdr>
                <w:top w:val="none" w:sz="0" w:space="0" w:color="auto"/>
                <w:left w:val="none" w:sz="0" w:space="0" w:color="auto"/>
                <w:bottom w:val="none" w:sz="0" w:space="0" w:color="auto"/>
                <w:right w:val="none" w:sz="0" w:space="0" w:color="auto"/>
              </w:divBdr>
              <w:divsChild>
                <w:div w:id="1804468503">
                  <w:marLeft w:val="0"/>
                  <w:marRight w:val="0"/>
                  <w:marTop w:val="0"/>
                  <w:marBottom w:val="0"/>
                  <w:divBdr>
                    <w:top w:val="none" w:sz="0" w:space="0" w:color="auto"/>
                    <w:left w:val="none" w:sz="0" w:space="0" w:color="auto"/>
                    <w:bottom w:val="none" w:sz="0" w:space="0" w:color="auto"/>
                    <w:right w:val="none" w:sz="0" w:space="0" w:color="auto"/>
                  </w:divBdr>
                  <w:divsChild>
                    <w:div w:id="1549413435">
                      <w:marLeft w:val="0"/>
                      <w:marRight w:val="0"/>
                      <w:marTop w:val="0"/>
                      <w:marBottom w:val="0"/>
                      <w:divBdr>
                        <w:top w:val="none" w:sz="0" w:space="0" w:color="auto"/>
                        <w:left w:val="none" w:sz="0" w:space="0" w:color="auto"/>
                        <w:bottom w:val="none" w:sz="0" w:space="0" w:color="auto"/>
                        <w:right w:val="none" w:sz="0" w:space="0" w:color="auto"/>
                      </w:divBdr>
                      <w:divsChild>
                        <w:div w:id="278874870">
                          <w:marLeft w:val="0"/>
                          <w:marRight w:val="0"/>
                          <w:marTop w:val="0"/>
                          <w:marBottom w:val="0"/>
                          <w:divBdr>
                            <w:top w:val="none" w:sz="0" w:space="0" w:color="auto"/>
                            <w:left w:val="none" w:sz="0" w:space="0" w:color="auto"/>
                            <w:bottom w:val="none" w:sz="0" w:space="0" w:color="auto"/>
                            <w:right w:val="none" w:sz="0" w:space="0" w:color="auto"/>
                          </w:divBdr>
                          <w:divsChild>
                            <w:div w:id="185900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170100">
      <w:bodyDiv w:val="1"/>
      <w:marLeft w:val="0"/>
      <w:marRight w:val="0"/>
      <w:marTop w:val="0"/>
      <w:marBottom w:val="0"/>
      <w:divBdr>
        <w:top w:val="none" w:sz="0" w:space="0" w:color="auto"/>
        <w:left w:val="none" w:sz="0" w:space="0" w:color="auto"/>
        <w:bottom w:val="none" w:sz="0" w:space="0" w:color="auto"/>
        <w:right w:val="none" w:sz="0" w:space="0" w:color="auto"/>
      </w:divBdr>
      <w:divsChild>
        <w:div w:id="1199981">
          <w:marLeft w:val="0"/>
          <w:marRight w:val="0"/>
          <w:marTop w:val="0"/>
          <w:marBottom w:val="0"/>
          <w:divBdr>
            <w:top w:val="none" w:sz="0" w:space="0" w:color="auto"/>
            <w:left w:val="none" w:sz="0" w:space="0" w:color="auto"/>
            <w:bottom w:val="none" w:sz="0" w:space="0" w:color="auto"/>
            <w:right w:val="none" w:sz="0" w:space="0" w:color="auto"/>
          </w:divBdr>
          <w:divsChild>
            <w:div w:id="1240558913">
              <w:marLeft w:val="0"/>
              <w:marRight w:val="0"/>
              <w:marTop w:val="0"/>
              <w:marBottom w:val="0"/>
              <w:divBdr>
                <w:top w:val="none" w:sz="0" w:space="0" w:color="auto"/>
                <w:left w:val="none" w:sz="0" w:space="0" w:color="auto"/>
                <w:bottom w:val="none" w:sz="0" w:space="0" w:color="auto"/>
                <w:right w:val="none" w:sz="0" w:space="0" w:color="auto"/>
              </w:divBdr>
              <w:divsChild>
                <w:div w:id="1147552141">
                  <w:marLeft w:val="0"/>
                  <w:marRight w:val="0"/>
                  <w:marTop w:val="0"/>
                  <w:marBottom w:val="0"/>
                  <w:divBdr>
                    <w:top w:val="none" w:sz="0" w:space="0" w:color="auto"/>
                    <w:left w:val="none" w:sz="0" w:space="0" w:color="auto"/>
                    <w:bottom w:val="none" w:sz="0" w:space="0" w:color="auto"/>
                    <w:right w:val="none" w:sz="0" w:space="0" w:color="auto"/>
                  </w:divBdr>
                  <w:divsChild>
                    <w:div w:id="632832280">
                      <w:marLeft w:val="0"/>
                      <w:marRight w:val="0"/>
                      <w:marTop w:val="0"/>
                      <w:marBottom w:val="0"/>
                      <w:divBdr>
                        <w:top w:val="none" w:sz="0" w:space="0" w:color="auto"/>
                        <w:left w:val="none" w:sz="0" w:space="0" w:color="auto"/>
                        <w:bottom w:val="none" w:sz="0" w:space="0" w:color="auto"/>
                        <w:right w:val="none" w:sz="0" w:space="0" w:color="auto"/>
                      </w:divBdr>
                      <w:divsChild>
                        <w:div w:id="114092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5082185">
      <w:bodyDiv w:val="1"/>
      <w:marLeft w:val="0"/>
      <w:marRight w:val="0"/>
      <w:marTop w:val="0"/>
      <w:marBottom w:val="0"/>
      <w:divBdr>
        <w:top w:val="none" w:sz="0" w:space="0" w:color="auto"/>
        <w:left w:val="none" w:sz="0" w:space="0" w:color="auto"/>
        <w:bottom w:val="none" w:sz="0" w:space="0" w:color="auto"/>
        <w:right w:val="none" w:sz="0" w:space="0" w:color="auto"/>
      </w:divBdr>
      <w:divsChild>
        <w:div w:id="1537040091">
          <w:marLeft w:val="0"/>
          <w:marRight w:val="0"/>
          <w:marTop w:val="0"/>
          <w:marBottom w:val="0"/>
          <w:divBdr>
            <w:top w:val="none" w:sz="0" w:space="0" w:color="auto"/>
            <w:left w:val="none" w:sz="0" w:space="0" w:color="auto"/>
            <w:bottom w:val="none" w:sz="0" w:space="0" w:color="auto"/>
            <w:right w:val="none" w:sz="0" w:space="0" w:color="auto"/>
          </w:divBdr>
          <w:divsChild>
            <w:div w:id="1750611580">
              <w:marLeft w:val="0"/>
              <w:marRight w:val="0"/>
              <w:marTop w:val="0"/>
              <w:marBottom w:val="0"/>
              <w:divBdr>
                <w:top w:val="none" w:sz="0" w:space="0" w:color="auto"/>
                <w:left w:val="none" w:sz="0" w:space="0" w:color="auto"/>
                <w:bottom w:val="none" w:sz="0" w:space="0" w:color="auto"/>
                <w:right w:val="none" w:sz="0" w:space="0" w:color="auto"/>
              </w:divBdr>
              <w:divsChild>
                <w:div w:id="821846666">
                  <w:marLeft w:val="0"/>
                  <w:marRight w:val="0"/>
                  <w:marTop w:val="0"/>
                  <w:marBottom w:val="0"/>
                  <w:divBdr>
                    <w:top w:val="none" w:sz="0" w:space="0" w:color="auto"/>
                    <w:left w:val="none" w:sz="0" w:space="0" w:color="auto"/>
                    <w:bottom w:val="none" w:sz="0" w:space="0" w:color="auto"/>
                    <w:right w:val="none" w:sz="0" w:space="0" w:color="auto"/>
                  </w:divBdr>
                  <w:divsChild>
                    <w:div w:id="70549451">
                      <w:marLeft w:val="0"/>
                      <w:marRight w:val="0"/>
                      <w:marTop w:val="0"/>
                      <w:marBottom w:val="0"/>
                      <w:divBdr>
                        <w:top w:val="none" w:sz="0" w:space="0" w:color="auto"/>
                        <w:left w:val="none" w:sz="0" w:space="0" w:color="auto"/>
                        <w:bottom w:val="none" w:sz="0" w:space="0" w:color="auto"/>
                        <w:right w:val="none" w:sz="0" w:space="0" w:color="auto"/>
                      </w:divBdr>
                      <w:divsChild>
                        <w:div w:id="78349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96486610">
      <w:bodyDiv w:val="1"/>
      <w:marLeft w:val="0"/>
      <w:marRight w:val="0"/>
      <w:marTop w:val="0"/>
      <w:marBottom w:val="0"/>
      <w:divBdr>
        <w:top w:val="none" w:sz="0" w:space="0" w:color="auto"/>
        <w:left w:val="none" w:sz="0" w:space="0" w:color="auto"/>
        <w:bottom w:val="none" w:sz="0" w:space="0" w:color="auto"/>
        <w:right w:val="none" w:sz="0" w:space="0" w:color="auto"/>
      </w:divBdr>
      <w:divsChild>
        <w:div w:id="2081555334">
          <w:marLeft w:val="0"/>
          <w:marRight w:val="0"/>
          <w:marTop w:val="0"/>
          <w:marBottom w:val="0"/>
          <w:divBdr>
            <w:top w:val="none" w:sz="0" w:space="0" w:color="auto"/>
            <w:left w:val="none" w:sz="0" w:space="0" w:color="auto"/>
            <w:bottom w:val="none" w:sz="0" w:space="0" w:color="auto"/>
            <w:right w:val="none" w:sz="0" w:space="0" w:color="auto"/>
          </w:divBdr>
          <w:divsChild>
            <w:div w:id="1262224601">
              <w:marLeft w:val="0"/>
              <w:marRight w:val="0"/>
              <w:marTop w:val="0"/>
              <w:marBottom w:val="0"/>
              <w:divBdr>
                <w:top w:val="none" w:sz="0" w:space="0" w:color="auto"/>
                <w:left w:val="none" w:sz="0" w:space="0" w:color="auto"/>
                <w:bottom w:val="none" w:sz="0" w:space="0" w:color="auto"/>
                <w:right w:val="none" w:sz="0" w:space="0" w:color="auto"/>
              </w:divBdr>
              <w:divsChild>
                <w:div w:id="1341663267">
                  <w:marLeft w:val="0"/>
                  <w:marRight w:val="0"/>
                  <w:marTop w:val="0"/>
                  <w:marBottom w:val="0"/>
                  <w:divBdr>
                    <w:top w:val="none" w:sz="0" w:space="0" w:color="auto"/>
                    <w:left w:val="none" w:sz="0" w:space="0" w:color="auto"/>
                    <w:bottom w:val="none" w:sz="0" w:space="0" w:color="auto"/>
                    <w:right w:val="none" w:sz="0" w:space="0" w:color="auto"/>
                  </w:divBdr>
                  <w:divsChild>
                    <w:div w:id="1646352809">
                      <w:marLeft w:val="0"/>
                      <w:marRight w:val="0"/>
                      <w:marTop w:val="0"/>
                      <w:marBottom w:val="0"/>
                      <w:divBdr>
                        <w:top w:val="none" w:sz="0" w:space="0" w:color="auto"/>
                        <w:left w:val="none" w:sz="0" w:space="0" w:color="auto"/>
                        <w:bottom w:val="none" w:sz="0" w:space="0" w:color="auto"/>
                        <w:right w:val="none" w:sz="0" w:space="0" w:color="auto"/>
                      </w:divBdr>
                      <w:divsChild>
                        <w:div w:id="790708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858595">
      <w:bodyDiv w:val="1"/>
      <w:marLeft w:val="0"/>
      <w:marRight w:val="0"/>
      <w:marTop w:val="0"/>
      <w:marBottom w:val="0"/>
      <w:divBdr>
        <w:top w:val="none" w:sz="0" w:space="0" w:color="auto"/>
        <w:left w:val="none" w:sz="0" w:space="0" w:color="auto"/>
        <w:bottom w:val="none" w:sz="0" w:space="0" w:color="auto"/>
        <w:right w:val="none" w:sz="0" w:space="0" w:color="auto"/>
      </w:divBdr>
      <w:divsChild>
        <w:div w:id="915552198">
          <w:marLeft w:val="0"/>
          <w:marRight w:val="0"/>
          <w:marTop w:val="0"/>
          <w:marBottom w:val="0"/>
          <w:divBdr>
            <w:top w:val="none" w:sz="0" w:space="0" w:color="auto"/>
            <w:left w:val="none" w:sz="0" w:space="0" w:color="auto"/>
            <w:bottom w:val="none" w:sz="0" w:space="0" w:color="auto"/>
            <w:right w:val="none" w:sz="0" w:space="0" w:color="auto"/>
          </w:divBdr>
          <w:divsChild>
            <w:div w:id="774326719">
              <w:marLeft w:val="0"/>
              <w:marRight w:val="0"/>
              <w:marTop w:val="0"/>
              <w:marBottom w:val="0"/>
              <w:divBdr>
                <w:top w:val="none" w:sz="0" w:space="0" w:color="auto"/>
                <w:left w:val="none" w:sz="0" w:space="0" w:color="auto"/>
                <w:bottom w:val="none" w:sz="0" w:space="0" w:color="auto"/>
                <w:right w:val="none" w:sz="0" w:space="0" w:color="auto"/>
              </w:divBdr>
              <w:divsChild>
                <w:div w:id="1687753380">
                  <w:marLeft w:val="0"/>
                  <w:marRight w:val="0"/>
                  <w:marTop w:val="0"/>
                  <w:marBottom w:val="0"/>
                  <w:divBdr>
                    <w:top w:val="none" w:sz="0" w:space="0" w:color="auto"/>
                    <w:left w:val="none" w:sz="0" w:space="0" w:color="auto"/>
                    <w:bottom w:val="none" w:sz="0" w:space="0" w:color="auto"/>
                    <w:right w:val="none" w:sz="0" w:space="0" w:color="auto"/>
                  </w:divBdr>
                  <w:divsChild>
                    <w:div w:id="379473518">
                      <w:marLeft w:val="0"/>
                      <w:marRight w:val="0"/>
                      <w:marTop w:val="0"/>
                      <w:marBottom w:val="0"/>
                      <w:divBdr>
                        <w:top w:val="none" w:sz="0" w:space="0" w:color="auto"/>
                        <w:left w:val="none" w:sz="0" w:space="0" w:color="auto"/>
                        <w:bottom w:val="none" w:sz="0" w:space="0" w:color="auto"/>
                        <w:right w:val="none" w:sz="0" w:space="0" w:color="auto"/>
                      </w:divBdr>
                      <w:divsChild>
                        <w:div w:id="1934823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4204120">
      <w:bodyDiv w:val="1"/>
      <w:marLeft w:val="0"/>
      <w:marRight w:val="0"/>
      <w:marTop w:val="0"/>
      <w:marBottom w:val="0"/>
      <w:divBdr>
        <w:top w:val="none" w:sz="0" w:space="0" w:color="auto"/>
        <w:left w:val="none" w:sz="0" w:space="0" w:color="auto"/>
        <w:bottom w:val="none" w:sz="0" w:space="0" w:color="auto"/>
        <w:right w:val="none" w:sz="0" w:space="0" w:color="auto"/>
      </w:divBdr>
      <w:divsChild>
        <w:div w:id="1820805460">
          <w:marLeft w:val="0"/>
          <w:marRight w:val="0"/>
          <w:marTop w:val="0"/>
          <w:marBottom w:val="0"/>
          <w:divBdr>
            <w:top w:val="none" w:sz="0" w:space="0" w:color="auto"/>
            <w:left w:val="none" w:sz="0" w:space="0" w:color="auto"/>
            <w:bottom w:val="none" w:sz="0" w:space="0" w:color="auto"/>
            <w:right w:val="none" w:sz="0" w:space="0" w:color="auto"/>
          </w:divBdr>
          <w:divsChild>
            <w:div w:id="1290673497">
              <w:marLeft w:val="0"/>
              <w:marRight w:val="0"/>
              <w:marTop w:val="0"/>
              <w:marBottom w:val="0"/>
              <w:divBdr>
                <w:top w:val="none" w:sz="0" w:space="0" w:color="auto"/>
                <w:left w:val="none" w:sz="0" w:space="0" w:color="auto"/>
                <w:bottom w:val="none" w:sz="0" w:space="0" w:color="auto"/>
                <w:right w:val="none" w:sz="0" w:space="0" w:color="auto"/>
              </w:divBdr>
              <w:divsChild>
                <w:div w:id="237444173">
                  <w:marLeft w:val="0"/>
                  <w:marRight w:val="0"/>
                  <w:marTop w:val="0"/>
                  <w:marBottom w:val="0"/>
                  <w:divBdr>
                    <w:top w:val="none" w:sz="0" w:space="0" w:color="auto"/>
                    <w:left w:val="none" w:sz="0" w:space="0" w:color="auto"/>
                    <w:bottom w:val="none" w:sz="0" w:space="0" w:color="auto"/>
                    <w:right w:val="none" w:sz="0" w:space="0" w:color="auto"/>
                  </w:divBdr>
                  <w:divsChild>
                    <w:div w:id="488130562">
                      <w:marLeft w:val="0"/>
                      <w:marRight w:val="0"/>
                      <w:marTop w:val="0"/>
                      <w:marBottom w:val="0"/>
                      <w:divBdr>
                        <w:top w:val="none" w:sz="0" w:space="0" w:color="auto"/>
                        <w:left w:val="none" w:sz="0" w:space="0" w:color="auto"/>
                        <w:bottom w:val="none" w:sz="0" w:space="0" w:color="auto"/>
                        <w:right w:val="none" w:sz="0" w:space="0" w:color="auto"/>
                      </w:divBdr>
                      <w:divsChild>
                        <w:div w:id="101850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0829835">
      <w:bodyDiv w:val="1"/>
      <w:marLeft w:val="0"/>
      <w:marRight w:val="0"/>
      <w:marTop w:val="0"/>
      <w:marBottom w:val="0"/>
      <w:divBdr>
        <w:top w:val="none" w:sz="0" w:space="0" w:color="auto"/>
        <w:left w:val="none" w:sz="0" w:space="0" w:color="auto"/>
        <w:bottom w:val="none" w:sz="0" w:space="0" w:color="auto"/>
        <w:right w:val="none" w:sz="0" w:space="0" w:color="auto"/>
      </w:divBdr>
      <w:divsChild>
        <w:div w:id="208152620">
          <w:marLeft w:val="0"/>
          <w:marRight w:val="0"/>
          <w:marTop w:val="0"/>
          <w:marBottom w:val="0"/>
          <w:divBdr>
            <w:top w:val="none" w:sz="0" w:space="0" w:color="auto"/>
            <w:left w:val="none" w:sz="0" w:space="0" w:color="auto"/>
            <w:bottom w:val="none" w:sz="0" w:space="0" w:color="auto"/>
            <w:right w:val="none" w:sz="0" w:space="0" w:color="auto"/>
          </w:divBdr>
          <w:divsChild>
            <w:div w:id="511146586">
              <w:marLeft w:val="0"/>
              <w:marRight w:val="0"/>
              <w:marTop w:val="0"/>
              <w:marBottom w:val="0"/>
              <w:divBdr>
                <w:top w:val="none" w:sz="0" w:space="0" w:color="auto"/>
                <w:left w:val="none" w:sz="0" w:space="0" w:color="auto"/>
                <w:bottom w:val="none" w:sz="0" w:space="0" w:color="auto"/>
                <w:right w:val="none" w:sz="0" w:space="0" w:color="auto"/>
              </w:divBdr>
              <w:divsChild>
                <w:div w:id="684592903">
                  <w:marLeft w:val="0"/>
                  <w:marRight w:val="0"/>
                  <w:marTop w:val="0"/>
                  <w:marBottom w:val="0"/>
                  <w:divBdr>
                    <w:top w:val="none" w:sz="0" w:space="0" w:color="auto"/>
                    <w:left w:val="none" w:sz="0" w:space="0" w:color="auto"/>
                    <w:bottom w:val="none" w:sz="0" w:space="0" w:color="auto"/>
                    <w:right w:val="none" w:sz="0" w:space="0" w:color="auto"/>
                  </w:divBdr>
                  <w:divsChild>
                    <w:div w:id="1660504180">
                      <w:marLeft w:val="0"/>
                      <w:marRight w:val="0"/>
                      <w:marTop w:val="0"/>
                      <w:marBottom w:val="0"/>
                      <w:divBdr>
                        <w:top w:val="none" w:sz="0" w:space="0" w:color="auto"/>
                        <w:left w:val="none" w:sz="0" w:space="0" w:color="auto"/>
                        <w:bottom w:val="none" w:sz="0" w:space="0" w:color="auto"/>
                        <w:right w:val="none" w:sz="0" w:space="0" w:color="auto"/>
                      </w:divBdr>
                      <w:divsChild>
                        <w:div w:id="180298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3755257">
      <w:bodyDiv w:val="1"/>
      <w:marLeft w:val="4"/>
      <w:marRight w:val="4"/>
      <w:marTop w:val="0"/>
      <w:marBottom w:val="0"/>
      <w:divBdr>
        <w:top w:val="none" w:sz="0" w:space="0" w:color="auto"/>
        <w:left w:val="none" w:sz="0" w:space="0" w:color="auto"/>
        <w:bottom w:val="none" w:sz="0" w:space="0" w:color="auto"/>
        <w:right w:val="none" w:sz="0" w:space="0" w:color="auto"/>
      </w:divBdr>
    </w:div>
    <w:div w:id="930821973">
      <w:bodyDiv w:val="1"/>
      <w:marLeft w:val="0"/>
      <w:marRight w:val="0"/>
      <w:marTop w:val="0"/>
      <w:marBottom w:val="0"/>
      <w:divBdr>
        <w:top w:val="none" w:sz="0" w:space="0" w:color="auto"/>
        <w:left w:val="none" w:sz="0" w:space="0" w:color="auto"/>
        <w:bottom w:val="none" w:sz="0" w:space="0" w:color="auto"/>
        <w:right w:val="none" w:sz="0" w:space="0" w:color="auto"/>
      </w:divBdr>
      <w:divsChild>
        <w:div w:id="527066711">
          <w:marLeft w:val="0"/>
          <w:marRight w:val="0"/>
          <w:marTop w:val="0"/>
          <w:marBottom w:val="0"/>
          <w:divBdr>
            <w:top w:val="none" w:sz="0" w:space="0" w:color="auto"/>
            <w:left w:val="none" w:sz="0" w:space="0" w:color="auto"/>
            <w:bottom w:val="none" w:sz="0" w:space="0" w:color="auto"/>
            <w:right w:val="none" w:sz="0" w:space="0" w:color="auto"/>
          </w:divBdr>
          <w:divsChild>
            <w:div w:id="1167817948">
              <w:marLeft w:val="0"/>
              <w:marRight w:val="0"/>
              <w:marTop w:val="0"/>
              <w:marBottom w:val="0"/>
              <w:divBdr>
                <w:top w:val="none" w:sz="0" w:space="0" w:color="auto"/>
                <w:left w:val="none" w:sz="0" w:space="0" w:color="auto"/>
                <w:bottom w:val="none" w:sz="0" w:space="0" w:color="auto"/>
                <w:right w:val="none" w:sz="0" w:space="0" w:color="auto"/>
              </w:divBdr>
              <w:divsChild>
                <w:div w:id="1986351328">
                  <w:marLeft w:val="0"/>
                  <w:marRight w:val="0"/>
                  <w:marTop w:val="0"/>
                  <w:marBottom w:val="0"/>
                  <w:divBdr>
                    <w:top w:val="none" w:sz="0" w:space="0" w:color="auto"/>
                    <w:left w:val="none" w:sz="0" w:space="0" w:color="auto"/>
                    <w:bottom w:val="none" w:sz="0" w:space="0" w:color="auto"/>
                    <w:right w:val="none" w:sz="0" w:space="0" w:color="auto"/>
                  </w:divBdr>
                  <w:divsChild>
                    <w:div w:id="701053268">
                      <w:marLeft w:val="0"/>
                      <w:marRight w:val="0"/>
                      <w:marTop w:val="0"/>
                      <w:marBottom w:val="0"/>
                      <w:divBdr>
                        <w:top w:val="none" w:sz="0" w:space="0" w:color="auto"/>
                        <w:left w:val="none" w:sz="0" w:space="0" w:color="auto"/>
                        <w:bottom w:val="none" w:sz="0" w:space="0" w:color="auto"/>
                        <w:right w:val="none" w:sz="0" w:space="0" w:color="auto"/>
                      </w:divBdr>
                      <w:divsChild>
                        <w:div w:id="1824856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2585892">
      <w:bodyDiv w:val="1"/>
      <w:marLeft w:val="0"/>
      <w:marRight w:val="0"/>
      <w:marTop w:val="0"/>
      <w:marBottom w:val="0"/>
      <w:divBdr>
        <w:top w:val="none" w:sz="0" w:space="0" w:color="auto"/>
        <w:left w:val="none" w:sz="0" w:space="0" w:color="auto"/>
        <w:bottom w:val="none" w:sz="0" w:space="0" w:color="auto"/>
        <w:right w:val="none" w:sz="0" w:space="0" w:color="auto"/>
      </w:divBdr>
      <w:divsChild>
        <w:div w:id="2123330883">
          <w:marLeft w:val="0"/>
          <w:marRight w:val="0"/>
          <w:marTop w:val="0"/>
          <w:marBottom w:val="0"/>
          <w:divBdr>
            <w:top w:val="none" w:sz="0" w:space="0" w:color="auto"/>
            <w:left w:val="none" w:sz="0" w:space="0" w:color="auto"/>
            <w:bottom w:val="none" w:sz="0" w:space="0" w:color="auto"/>
            <w:right w:val="none" w:sz="0" w:space="0" w:color="auto"/>
          </w:divBdr>
          <w:divsChild>
            <w:div w:id="1440635673">
              <w:marLeft w:val="0"/>
              <w:marRight w:val="0"/>
              <w:marTop w:val="0"/>
              <w:marBottom w:val="0"/>
              <w:divBdr>
                <w:top w:val="none" w:sz="0" w:space="0" w:color="auto"/>
                <w:left w:val="none" w:sz="0" w:space="0" w:color="auto"/>
                <w:bottom w:val="none" w:sz="0" w:space="0" w:color="auto"/>
                <w:right w:val="none" w:sz="0" w:space="0" w:color="auto"/>
              </w:divBdr>
              <w:divsChild>
                <w:div w:id="1037118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142838">
      <w:bodyDiv w:val="1"/>
      <w:marLeft w:val="0"/>
      <w:marRight w:val="0"/>
      <w:marTop w:val="0"/>
      <w:marBottom w:val="0"/>
      <w:divBdr>
        <w:top w:val="none" w:sz="0" w:space="0" w:color="auto"/>
        <w:left w:val="none" w:sz="0" w:space="0" w:color="auto"/>
        <w:bottom w:val="none" w:sz="0" w:space="0" w:color="auto"/>
        <w:right w:val="none" w:sz="0" w:space="0" w:color="auto"/>
      </w:divBdr>
      <w:divsChild>
        <w:div w:id="2060129179">
          <w:marLeft w:val="0"/>
          <w:marRight w:val="0"/>
          <w:marTop w:val="0"/>
          <w:marBottom w:val="0"/>
          <w:divBdr>
            <w:top w:val="none" w:sz="0" w:space="0" w:color="auto"/>
            <w:left w:val="none" w:sz="0" w:space="0" w:color="auto"/>
            <w:bottom w:val="none" w:sz="0" w:space="0" w:color="auto"/>
            <w:right w:val="none" w:sz="0" w:space="0" w:color="auto"/>
          </w:divBdr>
          <w:divsChild>
            <w:div w:id="2058386040">
              <w:marLeft w:val="0"/>
              <w:marRight w:val="0"/>
              <w:marTop w:val="0"/>
              <w:marBottom w:val="0"/>
              <w:divBdr>
                <w:top w:val="none" w:sz="0" w:space="0" w:color="auto"/>
                <w:left w:val="none" w:sz="0" w:space="0" w:color="auto"/>
                <w:bottom w:val="none" w:sz="0" w:space="0" w:color="auto"/>
                <w:right w:val="none" w:sz="0" w:space="0" w:color="auto"/>
              </w:divBdr>
              <w:divsChild>
                <w:div w:id="1100639419">
                  <w:marLeft w:val="0"/>
                  <w:marRight w:val="0"/>
                  <w:marTop w:val="0"/>
                  <w:marBottom w:val="0"/>
                  <w:divBdr>
                    <w:top w:val="none" w:sz="0" w:space="0" w:color="auto"/>
                    <w:left w:val="none" w:sz="0" w:space="0" w:color="auto"/>
                    <w:bottom w:val="none" w:sz="0" w:space="0" w:color="auto"/>
                    <w:right w:val="none" w:sz="0" w:space="0" w:color="auto"/>
                  </w:divBdr>
                  <w:divsChild>
                    <w:div w:id="732312901">
                      <w:marLeft w:val="0"/>
                      <w:marRight w:val="0"/>
                      <w:marTop w:val="0"/>
                      <w:marBottom w:val="0"/>
                      <w:divBdr>
                        <w:top w:val="none" w:sz="0" w:space="0" w:color="auto"/>
                        <w:left w:val="none" w:sz="0" w:space="0" w:color="auto"/>
                        <w:bottom w:val="none" w:sz="0" w:space="0" w:color="auto"/>
                        <w:right w:val="none" w:sz="0" w:space="0" w:color="auto"/>
                      </w:divBdr>
                      <w:divsChild>
                        <w:div w:id="751465274">
                          <w:marLeft w:val="0"/>
                          <w:marRight w:val="0"/>
                          <w:marTop w:val="0"/>
                          <w:marBottom w:val="0"/>
                          <w:divBdr>
                            <w:top w:val="none" w:sz="0" w:space="0" w:color="auto"/>
                            <w:left w:val="none" w:sz="0" w:space="0" w:color="auto"/>
                            <w:bottom w:val="none" w:sz="0" w:space="0" w:color="auto"/>
                            <w:right w:val="none" w:sz="0" w:space="0" w:color="auto"/>
                          </w:divBdr>
                          <w:divsChild>
                            <w:div w:id="212141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3190498">
      <w:bodyDiv w:val="1"/>
      <w:marLeft w:val="0"/>
      <w:marRight w:val="0"/>
      <w:marTop w:val="0"/>
      <w:marBottom w:val="0"/>
      <w:divBdr>
        <w:top w:val="none" w:sz="0" w:space="0" w:color="auto"/>
        <w:left w:val="none" w:sz="0" w:space="0" w:color="auto"/>
        <w:bottom w:val="none" w:sz="0" w:space="0" w:color="auto"/>
        <w:right w:val="none" w:sz="0" w:space="0" w:color="auto"/>
      </w:divBdr>
      <w:divsChild>
        <w:div w:id="268851184">
          <w:marLeft w:val="0"/>
          <w:marRight w:val="0"/>
          <w:marTop w:val="0"/>
          <w:marBottom w:val="0"/>
          <w:divBdr>
            <w:top w:val="none" w:sz="0" w:space="0" w:color="auto"/>
            <w:left w:val="none" w:sz="0" w:space="0" w:color="auto"/>
            <w:bottom w:val="none" w:sz="0" w:space="0" w:color="auto"/>
            <w:right w:val="none" w:sz="0" w:space="0" w:color="auto"/>
          </w:divBdr>
          <w:divsChild>
            <w:div w:id="670109834">
              <w:marLeft w:val="0"/>
              <w:marRight w:val="0"/>
              <w:marTop w:val="0"/>
              <w:marBottom w:val="0"/>
              <w:divBdr>
                <w:top w:val="none" w:sz="0" w:space="0" w:color="auto"/>
                <w:left w:val="none" w:sz="0" w:space="0" w:color="auto"/>
                <w:bottom w:val="none" w:sz="0" w:space="0" w:color="auto"/>
                <w:right w:val="none" w:sz="0" w:space="0" w:color="auto"/>
              </w:divBdr>
              <w:divsChild>
                <w:div w:id="1453590806">
                  <w:marLeft w:val="0"/>
                  <w:marRight w:val="0"/>
                  <w:marTop w:val="0"/>
                  <w:marBottom w:val="0"/>
                  <w:divBdr>
                    <w:top w:val="none" w:sz="0" w:space="0" w:color="auto"/>
                    <w:left w:val="none" w:sz="0" w:space="0" w:color="auto"/>
                    <w:bottom w:val="none" w:sz="0" w:space="0" w:color="auto"/>
                    <w:right w:val="none" w:sz="0" w:space="0" w:color="auto"/>
                  </w:divBdr>
                  <w:divsChild>
                    <w:div w:id="397679046">
                      <w:marLeft w:val="0"/>
                      <w:marRight w:val="0"/>
                      <w:marTop w:val="0"/>
                      <w:marBottom w:val="0"/>
                      <w:divBdr>
                        <w:top w:val="none" w:sz="0" w:space="0" w:color="auto"/>
                        <w:left w:val="none" w:sz="0" w:space="0" w:color="auto"/>
                        <w:bottom w:val="none" w:sz="0" w:space="0" w:color="auto"/>
                        <w:right w:val="none" w:sz="0" w:space="0" w:color="auto"/>
                      </w:divBdr>
                      <w:divsChild>
                        <w:div w:id="2042590390">
                          <w:marLeft w:val="0"/>
                          <w:marRight w:val="0"/>
                          <w:marTop w:val="0"/>
                          <w:marBottom w:val="0"/>
                          <w:divBdr>
                            <w:top w:val="none" w:sz="0" w:space="0" w:color="auto"/>
                            <w:left w:val="none" w:sz="0" w:space="0" w:color="auto"/>
                            <w:bottom w:val="none" w:sz="0" w:space="0" w:color="auto"/>
                            <w:right w:val="none" w:sz="0" w:space="0" w:color="auto"/>
                          </w:divBdr>
                          <w:divsChild>
                            <w:div w:id="1919555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7319139">
      <w:bodyDiv w:val="1"/>
      <w:marLeft w:val="0"/>
      <w:marRight w:val="0"/>
      <w:marTop w:val="0"/>
      <w:marBottom w:val="0"/>
      <w:divBdr>
        <w:top w:val="none" w:sz="0" w:space="0" w:color="auto"/>
        <w:left w:val="none" w:sz="0" w:space="0" w:color="auto"/>
        <w:bottom w:val="none" w:sz="0" w:space="0" w:color="auto"/>
        <w:right w:val="none" w:sz="0" w:space="0" w:color="auto"/>
      </w:divBdr>
      <w:divsChild>
        <w:div w:id="174422393">
          <w:marLeft w:val="0"/>
          <w:marRight w:val="0"/>
          <w:marTop w:val="0"/>
          <w:marBottom w:val="0"/>
          <w:divBdr>
            <w:top w:val="none" w:sz="0" w:space="0" w:color="auto"/>
            <w:left w:val="none" w:sz="0" w:space="0" w:color="auto"/>
            <w:bottom w:val="none" w:sz="0" w:space="0" w:color="auto"/>
            <w:right w:val="none" w:sz="0" w:space="0" w:color="auto"/>
          </w:divBdr>
          <w:divsChild>
            <w:div w:id="735787502">
              <w:marLeft w:val="0"/>
              <w:marRight w:val="0"/>
              <w:marTop w:val="0"/>
              <w:marBottom w:val="0"/>
              <w:divBdr>
                <w:top w:val="none" w:sz="0" w:space="0" w:color="auto"/>
                <w:left w:val="none" w:sz="0" w:space="0" w:color="auto"/>
                <w:bottom w:val="none" w:sz="0" w:space="0" w:color="auto"/>
                <w:right w:val="none" w:sz="0" w:space="0" w:color="auto"/>
              </w:divBdr>
              <w:divsChild>
                <w:div w:id="1919438885">
                  <w:marLeft w:val="0"/>
                  <w:marRight w:val="0"/>
                  <w:marTop w:val="0"/>
                  <w:marBottom w:val="0"/>
                  <w:divBdr>
                    <w:top w:val="none" w:sz="0" w:space="0" w:color="auto"/>
                    <w:left w:val="none" w:sz="0" w:space="0" w:color="auto"/>
                    <w:bottom w:val="none" w:sz="0" w:space="0" w:color="auto"/>
                    <w:right w:val="none" w:sz="0" w:space="0" w:color="auto"/>
                  </w:divBdr>
                  <w:divsChild>
                    <w:div w:id="1113089951">
                      <w:marLeft w:val="0"/>
                      <w:marRight w:val="0"/>
                      <w:marTop w:val="0"/>
                      <w:marBottom w:val="0"/>
                      <w:divBdr>
                        <w:top w:val="none" w:sz="0" w:space="0" w:color="auto"/>
                        <w:left w:val="none" w:sz="0" w:space="0" w:color="auto"/>
                        <w:bottom w:val="none" w:sz="0" w:space="0" w:color="auto"/>
                        <w:right w:val="none" w:sz="0" w:space="0" w:color="auto"/>
                      </w:divBdr>
                      <w:divsChild>
                        <w:div w:id="228542290">
                          <w:marLeft w:val="0"/>
                          <w:marRight w:val="0"/>
                          <w:marTop w:val="0"/>
                          <w:marBottom w:val="0"/>
                          <w:divBdr>
                            <w:top w:val="none" w:sz="0" w:space="0" w:color="auto"/>
                            <w:left w:val="none" w:sz="0" w:space="0" w:color="auto"/>
                            <w:bottom w:val="none" w:sz="0" w:space="0" w:color="auto"/>
                            <w:right w:val="none" w:sz="0" w:space="0" w:color="auto"/>
                          </w:divBdr>
                          <w:divsChild>
                            <w:div w:id="1095596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8724958">
      <w:bodyDiv w:val="1"/>
      <w:marLeft w:val="0"/>
      <w:marRight w:val="0"/>
      <w:marTop w:val="0"/>
      <w:marBottom w:val="0"/>
      <w:divBdr>
        <w:top w:val="none" w:sz="0" w:space="0" w:color="auto"/>
        <w:left w:val="none" w:sz="0" w:space="0" w:color="auto"/>
        <w:bottom w:val="none" w:sz="0" w:space="0" w:color="auto"/>
        <w:right w:val="none" w:sz="0" w:space="0" w:color="auto"/>
      </w:divBdr>
      <w:divsChild>
        <w:div w:id="1213034365">
          <w:marLeft w:val="0"/>
          <w:marRight w:val="0"/>
          <w:marTop w:val="0"/>
          <w:marBottom w:val="0"/>
          <w:divBdr>
            <w:top w:val="none" w:sz="0" w:space="0" w:color="auto"/>
            <w:left w:val="none" w:sz="0" w:space="0" w:color="auto"/>
            <w:bottom w:val="none" w:sz="0" w:space="0" w:color="auto"/>
            <w:right w:val="none" w:sz="0" w:space="0" w:color="auto"/>
          </w:divBdr>
          <w:divsChild>
            <w:div w:id="30501494">
              <w:marLeft w:val="0"/>
              <w:marRight w:val="0"/>
              <w:marTop w:val="0"/>
              <w:marBottom w:val="0"/>
              <w:divBdr>
                <w:top w:val="none" w:sz="0" w:space="0" w:color="auto"/>
                <w:left w:val="none" w:sz="0" w:space="0" w:color="auto"/>
                <w:bottom w:val="none" w:sz="0" w:space="0" w:color="auto"/>
                <w:right w:val="none" w:sz="0" w:space="0" w:color="auto"/>
              </w:divBdr>
              <w:divsChild>
                <w:div w:id="1053119664">
                  <w:marLeft w:val="0"/>
                  <w:marRight w:val="0"/>
                  <w:marTop w:val="0"/>
                  <w:marBottom w:val="0"/>
                  <w:divBdr>
                    <w:top w:val="none" w:sz="0" w:space="0" w:color="auto"/>
                    <w:left w:val="none" w:sz="0" w:space="0" w:color="auto"/>
                    <w:bottom w:val="none" w:sz="0" w:space="0" w:color="auto"/>
                    <w:right w:val="none" w:sz="0" w:space="0" w:color="auto"/>
                  </w:divBdr>
                  <w:divsChild>
                    <w:div w:id="960039575">
                      <w:marLeft w:val="0"/>
                      <w:marRight w:val="0"/>
                      <w:marTop w:val="0"/>
                      <w:marBottom w:val="0"/>
                      <w:divBdr>
                        <w:top w:val="none" w:sz="0" w:space="0" w:color="auto"/>
                        <w:left w:val="none" w:sz="0" w:space="0" w:color="auto"/>
                        <w:bottom w:val="none" w:sz="0" w:space="0" w:color="auto"/>
                        <w:right w:val="none" w:sz="0" w:space="0" w:color="auto"/>
                      </w:divBdr>
                      <w:divsChild>
                        <w:div w:id="833036682">
                          <w:marLeft w:val="0"/>
                          <w:marRight w:val="0"/>
                          <w:marTop w:val="0"/>
                          <w:marBottom w:val="0"/>
                          <w:divBdr>
                            <w:top w:val="none" w:sz="0" w:space="0" w:color="auto"/>
                            <w:left w:val="none" w:sz="0" w:space="0" w:color="auto"/>
                            <w:bottom w:val="none" w:sz="0" w:space="0" w:color="auto"/>
                            <w:right w:val="none" w:sz="0" w:space="0" w:color="auto"/>
                          </w:divBdr>
                          <w:divsChild>
                            <w:div w:id="1258713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0572551">
      <w:bodyDiv w:val="1"/>
      <w:marLeft w:val="0"/>
      <w:marRight w:val="0"/>
      <w:marTop w:val="0"/>
      <w:marBottom w:val="0"/>
      <w:divBdr>
        <w:top w:val="none" w:sz="0" w:space="0" w:color="auto"/>
        <w:left w:val="none" w:sz="0" w:space="0" w:color="auto"/>
        <w:bottom w:val="none" w:sz="0" w:space="0" w:color="auto"/>
        <w:right w:val="none" w:sz="0" w:space="0" w:color="auto"/>
      </w:divBdr>
      <w:divsChild>
        <w:div w:id="523403118">
          <w:marLeft w:val="0"/>
          <w:marRight w:val="0"/>
          <w:marTop w:val="0"/>
          <w:marBottom w:val="0"/>
          <w:divBdr>
            <w:top w:val="none" w:sz="0" w:space="0" w:color="auto"/>
            <w:left w:val="none" w:sz="0" w:space="0" w:color="auto"/>
            <w:bottom w:val="none" w:sz="0" w:space="0" w:color="auto"/>
            <w:right w:val="none" w:sz="0" w:space="0" w:color="auto"/>
          </w:divBdr>
          <w:divsChild>
            <w:div w:id="949051680">
              <w:marLeft w:val="0"/>
              <w:marRight w:val="0"/>
              <w:marTop w:val="0"/>
              <w:marBottom w:val="0"/>
              <w:divBdr>
                <w:top w:val="none" w:sz="0" w:space="0" w:color="auto"/>
                <w:left w:val="none" w:sz="0" w:space="0" w:color="auto"/>
                <w:bottom w:val="none" w:sz="0" w:space="0" w:color="auto"/>
                <w:right w:val="none" w:sz="0" w:space="0" w:color="auto"/>
              </w:divBdr>
              <w:divsChild>
                <w:div w:id="1143230441">
                  <w:marLeft w:val="3750"/>
                  <w:marRight w:val="0"/>
                  <w:marTop w:val="0"/>
                  <w:marBottom w:val="0"/>
                  <w:divBdr>
                    <w:top w:val="none" w:sz="0" w:space="0" w:color="auto"/>
                    <w:left w:val="none" w:sz="0" w:space="0" w:color="auto"/>
                    <w:bottom w:val="none" w:sz="0" w:space="0" w:color="auto"/>
                    <w:right w:val="none" w:sz="0" w:space="0" w:color="auto"/>
                  </w:divBdr>
                  <w:divsChild>
                    <w:div w:id="202732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127919">
      <w:bodyDiv w:val="1"/>
      <w:marLeft w:val="0"/>
      <w:marRight w:val="0"/>
      <w:marTop w:val="0"/>
      <w:marBottom w:val="0"/>
      <w:divBdr>
        <w:top w:val="none" w:sz="0" w:space="0" w:color="auto"/>
        <w:left w:val="none" w:sz="0" w:space="0" w:color="auto"/>
        <w:bottom w:val="none" w:sz="0" w:space="0" w:color="auto"/>
        <w:right w:val="none" w:sz="0" w:space="0" w:color="auto"/>
      </w:divBdr>
      <w:divsChild>
        <w:div w:id="7291617">
          <w:marLeft w:val="0"/>
          <w:marRight w:val="0"/>
          <w:marTop w:val="0"/>
          <w:marBottom w:val="0"/>
          <w:divBdr>
            <w:top w:val="none" w:sz="0" w:space="0" w:color="auto"/>
            <w:left w:val="none" w:sz="0" w:space="0" w:color="auto"/>
            <w:bottom w:val="none" w:sz="0" w:space="0" w:color="auto"/>
            <w:right w:val="none" w:sz="0" w:space="0" w:color="auto"/>
          </w:divBdr>
          <w:divsChild>
            <w:div w:id="241917612">
              <w:marLeft w:val="0"/>
              <w:marRight w:val="0"/>
              <w:marTop w:val="0"/>
              <w:marBottom w:val="0"/>
              <w:divBdr>
                <w:top w:val="none" w:sz="0" w:space="0" w:color="auto"/>
                <w:left w:val="none" w:sz="0" w:space="0" w:color="auto"/>
                <w:bottom w:val="none" w:sz="0" w:space="0" w:color="auto"/>
                <w:right w:val="none" w:sz="0" w:space="0" w:color="auto"/>
              </w:divBdr>
              <w:divsChild>
                <w:div w:id="63380933">
                  <w:marLeft w:val="0"/>
                  <w:marRight w:val="0"/>
                  <w:marTop w:val="0"/>
                  <w:marBottom w:val="0"/>
                  <w:divBdr>
                    <w:top w:val="none" w:sz="0" w:space="0" w:color="auto"/>
                    <w:left w:val="none" w:sz="0" w:space="0" w:color="auto"/>
                    <w:bottom w:val="none" w:sz="0" w:space="0" w:color="auto"/>
                    <w:right w:val="none" w:sz="0" w:space="0" w:color="auto"/>
                  </w:divBdr>
                  <w:divsChild>
                    <w:div w:id="1993294549">
                      <w:marLeft w:val="0"/>
                      <w:marRight w:val="0"/>
                      <w:marTop w:val="0"/>
                      <w:marBottom w:val="0"/>
                      <w:divBdr>
                        <w:top w:val="none" w:sz="0" w:space="0" w:color="auto"/>
                        <w:left w:val="none" w:sz="0" w:space="0" w:color="auto"/>
                        <w:bottom w:val="none" w:sz="0" w:space="0" w:color="auto"/>
                        <w:right w:val="none" w:sz="0" w:space="0" w:color="auto"/>
                      </w:divBdr>
                      <w:divsChild>
                        <w:div w:id="1581790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8456045">
      <w:bodyDiv w:val="1"/>
      <w:marLeft w:val="0"/>
      <w:marRight w:val="0"/>
      <w:marTop w:val="0"/>
      <w:marBottom w:val="0"/>
      <w:divBdr>
        <w:top w:val="none" w:sz="0" w:space="0" w:color="auto"/>
        <w:left w:val="none" w:sz="0" w:space="0" w:color="auto"/>
        <w:bottom w:val="none" w:sz="0" w:space="0" w:color="auto"/>
        <w:right w:val="none" w:sz="0" w:space="0" w:color="auto"/>
      </w:divBdr>
      <w:divsChild>
        <w:div w:id="907228329">
          <w:marLeft w:val="0"/>
          <w:marRight w:val="0"/>
          <w:marTop w:val="0"/>
          <w:marBottom w:val="0"/>
          <w:divBdr>
            <w:top w:val="none" w:sz="0" w:space="0" w:color="auto"/>
            <w:left w:val="none" w:sz="0" w:space="0" w:color="auto"/>
            <w:bottom w:val="none" w:sz="0" w:space="0" w:color="auto"/>
            <w:right w:val="none" w:sz="0" w:space="0" w:color="auto"/>
          </w:divBdr>
          <w:divsChild>
            <w:div w:id="482310237">
              <w:marLeft w:val="0"/>
              <w:marRight w:val="0"/>
              <w:marTop w:val="0"/>
              <w:marBottom w:val="0"/>
              <w:divBdr>
                <w:top w:val="none" w:sz="0" w:space="0" w:color="auto"/>
                <w:left w:val="none" w:sz="0" w:space="0" w:color="auto"/>
                <w:bottom w:val="none" w:sz="0" w:space="0" w:color="auto"/>
                <w:right w:val="none" w:sz="0" w:space="0" w:color="auto"/>
              </w:divBdr>
              <w:divsChild>
                <w:div w:id="1919710861">
                  <w:marLeft w:val="0"/>
                  <w:marRight w:val="0"/>
                  <w:marTop w:val="0"/>
                  <w:marBottom w:val="0"/>
                  <w:divBdr>
                    <w:top w:val="none" w:sz="0" w:space="0" w:color="auto"/>
                    <w:left w:val="none" w:sz="0" w:space="0" w:color="auto"/>
                    <w:bottom w:val="none" w:sz="0" w:space="0" w:color="auto"/>
                    <w:right w:val="none" w:sz="0" w:space="0" w:color="auto"/>
                  </w:divBdr>
                  <w:divsChild>
                    <w:div w:id="1319765362">
                      <w:marLeft w:val="0"/>
                      <w:marRight w:val="0"/>
                      <w:marTop w:val="0"/>
                      <w:marBottom w:val="0"/>
                      <w:divBdr>
                        <w:top w:val="none" w:sz="0" w:space="0" w:color="auto"/>
                        <w:left w:val="none" w:sz="0" w:space="0" w:color="auto"/>
                        <w:bottom w:val="none" w:sz="0" w:space="0" w:color="auto"/>
                        <w:right w:val="none" w:sz="0" w:space="0" w:color="auto"/>
                      </w:divBdr>
                      <w:divsChild>
                        <w:div w:id="117854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4253795">
      <w:bodyDiv w:val="1"/>
      <w:marLeft w:val="0"/>
      <w:marRight w:val="0"/>
      <w:marTop w:val="0"/>
      <w:marBottom w:val="0"/>
      <w:divBdr>
        <w:top w:val="none" w:sz="0" w:space="0" w:color="auto"/>
        <w:left w:val="none" w:sz="0" w:space="0" w:color="auto"/>
        <w:bottom w:val="none" w:sz="0" w:space="0" w:color="auto"/>
        <w:right w:val="none" w:sz="0" w:space="0" w:color="auto"/>
      </w:divBdr>
      <w:divsChild>
        <w:div w:id="1187982221">
          <w:marLeft w:val="0"/>
          <w:marRight w:val="0"/>
          <w:marTop w:val="0"/>
          <w:marBottom w:val="0"/>
          <w:divBdr>
            <w:top w:val="none" w:sz="0" w:space="0" w:color="auto"/>
            <w:left w:val="none" w:sz="0" w:space="0" w:color="auto"/>
            <w:bottom w:val="none" w:sz="0" w:space="0" w:color="auto"/>
            <w:right w:val="none" w:sz="0" w:space="0" w:color="auto"/>
          </w:divBdr>
          <w:divsChild>
            <w:div w:id="1646356032">
              <w:marLeft w:val="0"/>
              <w:marRight w:val="0"/>
              <w:marTop w:val="0"/>
              <w:marBottom w:val="0"/>
              <w:divBdr>
                <w:top w:val="none" w:sz="0" w:space="0" w:color="auto"/>
                <w:left w:val="none" w:sz="0" w:space="0" w:color="auto"/>
                <w:bottom w:val="none" w:sz="0" w:space="0" w:color="auto"/>
                <w:right w:val="none" w:sz="0" w:space="0" w:color="auto"/>
              </w:divBdr>
              <w:divsChild>
                <w:div w:id="125661051">
                  <w:marLeft w:val="0"/>
                  <w:marRight w:val="0"/>
                  <w:marTop w:val="0"/>
                  <w:marBottom w:val="0"/>
                  <w:divBdr>
                    <w:top w:val="none" w:sz="0" w:space="0" w:color="auto"/>
                    <w:left w:val="none" w:sz="0" w:space="0" w:color="auto"/>
                    <w:bottom w:val="none" w:sz="0" w:space="0" w:color="auto"/>
                    <w:right w:val="none" w:sz="0" w:space="0" w:color="auto"/>
                  </w:divBdr>
                  <w:divsChild>
                    <w:div w:id="338238483">
                      <w:marLeft w:val="0"/>
                      <w:marRight w:val="0"/>
                      <w:marTop w:val="0"/>
                      <w:marBottom w:val="0"/>
                      <w:divBdr>
                        <w:top w:val="none" w:sz="0" w:space="0" w:color="auto"/>
                        <w:left w:val="none" w:sz="0" w:space="0" w:color="auto"/>
                        <w:bottom w:val="none" w:sz="0" w:space="0" w:color="auto"/>
                        <w:right w:val="none" w:sz="0" w:space="0" w:color="auto"/>
                      </w:divBdr>
                      <w:divsChild>
                        <w:div w:id="2010671439">
                          <w:marLeft w:val="0"/>
                          <w:marRight w:val="0"/>
                          <w:marTop w:val="0"/>
                          <w:marBottom w:val="0"/>
                          <w:divBdr>
                            <w:top w:val="none" w:sz="0" w:space="0" w:color="auto"/>
                            <w:left w:val="none" w:sz="0" w:space="0" w:color="auto"/>
                            <w:bottom w:val="none" w:sz="0" w:space="0" w:color="auto"/>
                            <w:right w:val="none" w:sz="0" w:space="0" w:color="auto"/>
                          </w:divBdr>
                          <w:divsChild>
                            <w:div w:id="1432159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3326152">
      <w:bodyDiv w:val="1"/>
      <w:marLeft w:val="0"/>
      <w:marRight w:val="0"/>
      <w:marTop w:val="0"/>
      <w:marBottom w:val="0"/>
      <w:divBdr>
        <w:top w:val="none" w:sz="0" w:space="0" w:color="auto"/>
        <w:left w:val="none" w:sz="0" w:space="0" w:color="auto"/>
        <w:bottom w:val="none" w:sz="0" w:space="0" w:color="auto"/>
        <w:right w:val="none" w:sz="0" w:space="0" w:color="auto"/>
      </w:divBdr>
      <w:divsChild>
        <w:div w:id="898370390">
          <w:marLeft w:val="0"/>
          <w:marRight w:val="0"/>
          <w:marTop w:val="0"/>
          <w:marBottom w:val="0"/>
          <w:divBdr>
            <w:top w:val="none" w:sz="0" w:space="0" w:color="auto"/>
            <w:left w:val="none" w:sz="0" w:space="0" w:color="auto"/>
            <w:bottom w:val="none" w:sz="0" w:space="0" w:color="auto"/>
            <w:right w:val="none" w:sz="0" w:space="0" w:color="auto"/>
          </w:divBdr>
          <w:divsChild>
            <w:div w:id="879780345">
              <w:marLeft w:val="0"/>
              <w:marRight w:val="0"/>
              <w:marTop w:val="0"/>
              <w:marBottom w:val="0"/>
              <w:divBdr>
                <w:top w:val="none" w:sz="0" w:space="0" w:color="auto"/>
                <w:left w:val="none" w:sz="0" w:space="0" w:color="auto"/>
                <w:bottom w:val="none" w:sz="0" w:space="0" w:color="auto"/>
                <w:right w:val="none" w:sz="0" w:space="0" w:color="auto"/>
              </w:divBdr>
              <w:divsChild>
                <w:div w:id="194776336">
                  <w:marLeft w:val="0"/>
                  <w:marRight w:val="0"/>
                  <w:marTop w:val="0"/>
                  <w:marBottom w:val="0"/>
                  <w:divBdr>
                    <w:top w:val="none" w:sz="0" w:space="0" w:color="auto"/>
                    <w:left w:val="none" w:sz="0" w:space="0" w:color="auto"/>
                    <w:bottom w:val="none" w:sz="0" w:space="0" w:color="auto"/>
                    <w:right w:val="none" w:sz="0" w:space="0" w:color="auto"/>
                  </w:divBdr>
                  <w:divsChild>
                    <w:div w:id="635374309">
                      <w:marLeft w:val="0"/>
                      <w:marRight w:val="0"/>
                      <w:marTop w:val="0"/>
                      <w:marBottom w:val="0"/>
                      <w:divBdr>
                        <w:top w:val="none" w:sz="0" w:space="0" w:color="auto"/>
                        <w:left w:val="none" w:sz="0" w:space="0" w:color="auto"/>
                        <w:bottom w:val="none" w:sz="0" w:space="0" w:color="auto"/>
                        <w:right w:val="none" w:sz="0" w:space="0" w:color="auto"/>
                      </w:divBdr>
                      <w:divsChild>
                        <w:div w:id="40365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4436783">
      <w:bodyDiv w:val="1"/>
      <w:marLeft w:val="0"/>
      <w:marRight w:val="0"/>
      <w:marTop w:val="0"/>
      <w:marBottom w:val="0"/>
      <w:divBdr>
        <w:top w:val="none" w:sz="0" w:space="0" w:color="auto"/>
        <w:left w:val="none" w:sz="0" w:space="0" w:color="auto"/>
        <w:bottom w:val="none" w:sz="0" w:space="0" w:color="auto"/>
        <w:right w:val="none" w:sz="0" w:space="0" w:color="auto"/>
      </w:divBdr>
      <w:divsChild>
        <w:div w:id="2047296132">
          <w:marLeft w:val="0"/>
          <w:marRight w:val="0"/>
          <w:marTop w:val="0"/>
          <w:marBottom w:val="0"/>
          <w:divBdr>
            <w:top w:val="none" w:sz="0" w:space="0" w:color="auto"/>
            <w:left w:val="none" w:sz="0" w:space="0" w:color="auto"/>
            <w:bottom w:val="none" w:sz="0" w:space="0" w:color="auto"/>
            <w:right w:val="none" w:sz="0" w:space="0" w:color="auto"/>
          </w:divBdr>
          <w:divsChild>
            <w:div w:id="996226125">
              <w:marLeft w:val="0"/>
              <w:marRight w:val="0"/>
              <w:marTop w:val="0"/>
              <w:marBottom w:val="0"/>
              <w:divBdr>
                <w:top w:val="none" w:sz="0" w:space="0" w:color="auto"/>
                <w:left w:val="none" w:sz="0" w:space="0" w:color="auto"/>
                <w:bottom w:val="none" w:sz="0" w:space="0" w:color="auto"/>
                <w:right w:val="none" w:sz="0" w:space="0" w:color="auto"/>
              </w:divBdr>
              <w:divsChild>
                <w:div w:id="1954507952">
                  <w:marLeft w:val="0"/>
                  <w:marRight w:val="0"/>
                  <w:marTop w:val="0"/>
                  <w:marBottom w:val="0"/>
                  <w:divBdr>
                    <w:top w:val="none" w:sz="0" w:space="0" w:color="auto"/>
                    <w:left w:val="none" w:sz="0" w:space="0" w:color="auto"/>
                    <w:bottom w:val="none" w:sz="0" w:space="0" w:color="auto"/>
                    <w:right w:val="none" w:sz="0" w:space="0" w:color="auto"/>
                  </w:divBdr>
                  <w:divsChild>
                    <w:div w:id="65225659">
                      <w:marLeft w:val="0"/>
                      <w:marRight w:val="0"/>
                      <w:marTop w:val="0"/>
                      <w:marBottom w:val="0"/>
                      <w:divBdr>
                        <w:top w:val="none" w:sz="0" w:space="0" w:color="auto"/>
                        <w:left w:val="none" w:sz="0" w:space="0" w:color="auto"/>
                        <w:bottom w:val="none" w:sz="0" w:space="0" w:color="auto"/>
                        <w:right w:val="none" w:sz="0" w:space="0" w:color="auto"/>
                      </w:divBdr>
                      <w:divsChild>
                        <w:div w:id="1227374703">
                          <w:marLeft w:val="0"/>
                          <w:marRight w:val="0"/>
                          <w:marTop w:val="0"/>
                          <w:marBottom w:val="0"/>
                          <w:divBdr>
                            <w:top w:val="none" w:sz="0" w:space="0" w:color="auto"/>
                            <w:left w:val="none" w:sz="0" w:space="0" w:color="auto"/>
                            <w:bottom w:val="none" w:sz="0" w:space="0" w:color="auto"/>
                            <w:right w:val="none" w:sz="0" w:space="0" w:color="auto"/>
                          </w:divBdr>
                          <w:divsChild>
                            <w:div w:id="122487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79692567">
      <w:bodyDiv w:val="1"/>
      <w:marLeft w:val="0"/>
      <w:marRight w:val="0"/>
      <w:marTop w:val="0"/>
      <w:marBottom w:val="0"/>
      <w:divBdr>
        <w:top w:val="none" w:sz="0" w:space="0" w:color="auto"/>
        <w:left w:val="none" w:sz="0" w:space="0" w:color="auto"/>
        <w:bottom w:val="none" w:sz="0" w:space="0" w:color="auto"/>
        <w:right w:val="none" w:sz="0" w:space="0" w:color="auto"/>
      </w:divBdr>
      <w:divsChild>
        <w:div w:id="349454863">
          <w:marLeft w:val="0"/>
          <w:marRight w:val="0"/>
          <w:marTop w:val="0"/>
          <w:marBottom w:val="0"/>
          <w:divBdr>
            <w:top w:val="none" w:sz="0" w:space="0" w:color="auto"/>
            <w:left w:val="none" w:sz="0" w:space="0" w:color="auto"/>
            <w:bottom w:val="none" w:sz="0" w:space="0" w:color="auto"/>
            <w:right w:val="none" w:sz="0" w:space="0" w:color="auto"/>
          </w:divBdr>
          <w:divsChild>
            <w:div w:id="304094047">
              <w:marLeft w:val="0"/>
              <w:marRight w:val="0"/>
              <w:marTop w:val="0"/>
              <w:marBottom w:val="0"/>
              <w:divBdr>
                <w:top w:val="none" w:sz="0" w:space="0" w:color="auto"/>
                <w:left w:val="none" w:sz="0" w:space="0" w:color="auto"/>
                <w:bottom w:val="none" w:sz="0" w:space="0" w:color="auto"/>
                <w:right w:val="none" w:sz="0" w:space="0" w:color="auto"/>
              </w:divBdr>
              <w:divsChild>
                <w:div w:id="1134444849">
                  <w:marLeft w:val="0"/>
                  <w:marRight w:val="0"/>
                  <w:marTop w:val="0"/>
                  <w:marBottom w:val="0"/>
                  <w:divBdr>
                    <w:top w:val="none" w:sz="0" w:space="0" w:color="auto"/>
                    <w:left w:val="none" w:sz="0" w:space="0" w:color="auto"/>
                    <w:bottom w:val="none" w:sz="0" w:space="0" w:color="auto"/>
                    <w:right w:val="none" w:sz="0" w:space="0" w:color="auto"/>
                  </w:divBdr>
                  <w:divsChild>
                    <w:div w:id="507209347">
                      <w:marLeft w:val="0"/>
                      <w:marRight w:val="0"/>
                      <w:marTop w:val="0"/>
                      <w:marBottom w:val="0"/>
                      <w:divBdr>
                        <w:top w:val="none" w:sz="0" w:space="0" w:color="auto"/>
                        <w:left w:val="none" w:sz="0" w:space="0" w:color="auto"/>
                        <w:bottom w:val="none" w:sz="0" w:space="0" w:color="auto"/>
                        <w:right w:val="none" w:sz="0" w:space="0" w:color="auto"/>
                      </w:divBdr>
                      <w:divsChild>
                        <w:div w:id="38699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00369074">
      <w:bodyDiv w:val="1"/>
      <w:marLeft w:val="0"/>
      <w:marRight w:val="0"/>
      <w:marTop w:val="0"/>
      <w:marBottom w:val="0"/>
      <w:divBdr>
        <w:top w:val="none" w:sz="0" w:space="0" w:color="auto"/>
        <w:left w:val="none" w:sz="0" w:space="0" w:color="auto"/>
        <w:bottom w:val="none" w:sz="0" w:space="0" w:color="auto"/>
        <w:right w:val="none" w:sz="0" w:space="0" w:color="auto"/>
      </w:divBdr>
      <w:divsChild>
        <w:div w:id="1406798411">
          <w:marLeft w:val="0"/>
          <w:marRight w:val="0"/>
          <w:marTop w:val="0"/>
          <w:marBottom w:val="0"/>
          <w:divBdr>
            <w:top w:val="none" w:sz="0" w:space="0" w:color="auto"/>
            <w:left w:val="none" w:sz="0" w:space="0" w:color="auto"/>
            <w:bottom w:val="none" w:sz="0" w:space="0" w:color="auto"/>
            <w:right w:val="none" w:sz="0" w:space="0" w:color="auto"/>
          </w:divBdr>
          <w:divsChild>
            <w:div w:id="495461100">
              <w:marLeft w:val="0"/>
              <w:marRight w:val="0"/>
              <w:marTop w:val="0"/>
              <w:marBottom w:val="0"/>
              <w:divBdr>
                <w:top w:val="none" w:sz="0" w:space="0" w:color="auto"/>
                <w:left w:val="none" w:sz="0" w:space="0" w:color="auto"/>
                <w:bottom w:val="none" w:sz="0" w:space="0" w:color="auto"/>
                <w:right w:val="none" w:sz="0" w:space="0" w:color="auto"/>
              </w:divBdr>
              <w:divsChild>
                <w:div w:id="689067518">
                  <w:marLeft w:val="0"/>
                  <w:marRight w:val="0"/>
                  <w:marTop w:val="0"/>
                  <w:marBottom w:val="0"/>
                  <w:divBdr>
                    <w:top w:val="none" w:sz="0" w:space="0" w:color="auto"/>
                    <w:left w:val="none" w:sz="0" w:space="0" w:color="auto"/>
                    <w:bottom w:val="none" w:sz="0" w:space="0" w:color="auto"/>
                    <w:right w:val="none" w:sz="0" w:space="0" w:color="auto"/>
                  </w:divBdr>
                  <w:divsChild>
                    <w:div w:id="2068725088">
                      <w:marLeft w:val="0"/>
                      <w:marRight w:val="0"/>
                      <w:marTop w:val="0"/>
                      <w:marBottom w:val="0"/>
                      <w:divBdr>
                        <w:top w:val="none" w:sz="0" w:space="0" w:color="auto"/>
                        <w:left w:val="none" w:sz="0" w:space="0" w:color="auto"/>
                        <w:bottom w:val="none" w:sz="0" w:space="0" w:color="auto"/>
                        <w:right w:val="none" w:sz="0" w:space="0" w:color="auto"/>
                      </w:divBdr>
                      <w:divsChild>
                        <w:div w:id="127293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8084412">
      <w:bodyDiv w:val="1"/>
      <w:marLeft w:val="0"/>
      <w:marRight w:val="0"/>
      <w:marTop w:val="0"/>
      <w:marBottom w:val="0"/>
      <w:divBdr>
        <w:top w:val="none" w:sz="0" w:space="0" w:color="auto"/>
        <w:left w:val="none" w:sz="0" w:space="0" w:color="auto"/>
        <w:bottom w:val="none" w:sz="0" w:space="0" w:color="auto"/>
        <w:right w:val="none" w:sz="0" w:space="0" w:color="auto"/>
      </w:divBdr>
      <w:divsChild>
        <w:div w:id="517932289">
          <w:marLeft w:val="0"/>
          <w:marRight w:val="0"/>
          <w:marTop w:val="0"/>
          <w:marBottom w:val="0"/>
          <w:divBdr>
            <w:top w:val="none" w:sz="0" w:space="0" w:color="auto"/>
            <w:left w:val="none" w:sz="0" w:space="0" w:color="auto"/>
            <w:bottom w:val="none" w:sz="0" w:space="0" w:color="auto"/>
            <w:right w:val="none" w:sz="0" w:space="0" w:color="auto"/>
          </w:divBdr>
          <w:divsChild>
            <w:div w:id="874657863">
              <w:marLeft w:val="0"/>
              <w:marRight w:val="0"/>
              <w:marTop w:val="0"/>
              <w:marBottom w:val="0"/>
              <w:divBdr>
                <w:top w:val="none" w:sz="0" w:space="0" w:color="auto"/>
                <w:left w:val="none" w:sz="0" w:space="0" w:color="auto"/>
                <w:bottom w:val="none" w:sz="0" w:space="0" w:color="auto"/>
                <w:right w:val="none" w:sz="0" w:space="0" w:color="auto"/>
              </w:divBdr>
              <w:divsChild>
                <w:div w:id="505632038">
                  <w:marLeft w:val="0"/>
                  <w:marRight w:val="0"/>
                  <w:marTop w:val="0"/>
                  <w:marBottom w:val="0"/>
                  <w:divBdr>
                    <w:top w:val="none" w:sz="0" w:space="0" w:color="auto"/>
                    <w:left w:val="none" w:sz="0" w:space="0" w:color="auto"/>
                    <w:bottom w:val="none" w:sz="0" w:space="0" w:color="auto"/>
                    <w:right w:val="none" w:sz="0" w:space="0" w:color="auto"/>
                  </w:divBdr>
                  <w:divsChild>
                    <w:div w:id="2078741383">
                      <w:marLeft w:val="0"/>
                      <w:marRight w:val="0"/>
                      <w:marTop w:val="0"/>
                      <w:marBottom w:val="0"/>
                      <w:divBdr>
                        <w:top w:val="none" w:sz="0" w:space="0" w:color="auto"/>
                        <w:left w:val="none" w:sz="0" w:space="0" w:color="auto"/>
                        <w:bottom w:val="none" w:sz="0" w:space="0" w:color="auto"/>
                        <w:right w:val="none" w:sz="0" w:space="0" w:color="auto"/>
                      </w:divBdr>
                      <w:divsChild>
                        <w:div w:id="209743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2955943">
      <w:bodyDiv w:val="1"/>
      <w:marLeft w:val="0"/>
      <w:marRight w:val="0"/>
      <w:marTop w:val="0"/>
      <w:marBottom w:val="0"/>
      <w:divBdr>
        <w:top w:val="none" w:sz="0" w:space="0" w:color="auto"/>
        <w:left w:val="none" w:sz="0" w:space="0" w:color="auto"/>
        <w:bottom w:val="none" w:sz="0" w:space="0" w:color="auto"/>
        <w:right w:val="none" w:sz="0" w:space="0" w:color="auto"/>
      </w:divBdr>
      <w:divsChild>
        <w:div w:id="423190628">
          <w:marLeft w:val="0"/>
          <w:marRight w:val="0"/>
          <w:marTop w:val="0"/>
          <w:marBottom w:val="0"/>
          <w:divBdr>
            <w:top w:val="none" w:sz="0" w:space="0" w:color="auto"/>
            <w:left w:val="none" w:sz="0" w:space="0" w:color="auto"/>
            <w:bottom w:val="none" w:sz="0" w:space="0" w:color="auto"/>
            <w:right w:val="none" w:sz="0" w:space="0" w:color="auto"/>
          </w:divBdr>
          <w:divsChild>
            <w:div w:id="1230652992">
              <w:marLeft w:val="0"/>
              <w:marRight w:val="0"/>
              <w:marTop w:val="0"/>
              <w:marBottom w:val="0"/>
              <w:divBdr>
                <w:top w:val="none" w:sz="0" w:space="0" w:color="auto"/>
                <w:left w:val="none" w:sz="0" w:space="0" w:color="auto"/>
                <w:bottom w:val="none" w:sz="0" w:space="0" w:color="auto"/>
                <w:right w:val="none" w:sz="0" w:space="0" w:color="auto"/>
              </w:divBdr>
              <w:divsChild>
                <w:div w:id="1276015646">
                  <w:marLeft w:val="0"/>
                  <w:marRight w:val="0"/>
                  <w:marTop w:val="0"/>
                  <w:marBottom w:val="0"/>
                  <w:divBdr>
                    <w:top w:val="none" w:sz="0" w:space="0" w:color="auto"/>
                    <w:left w:val="none" w:sz="0" w:space="0" w:color="auto"/>
                    <w:bottom w:val="none" w:sz="0" w:space="0" w:color="auto"/>
                    <w:right w:val="none" w:sz="0" w:space="0" w:color="auto"/>
                  </w:divBdr>
                  <w:divsChild>
                    <w:div w:id="755902195">
                      <w:marLeft w:val="0"/>
                      <w:marRight w:val="0"/>
                      <w:marTop w:val="0"/>
                      <w:marBottom w:val="0"/>
                      <w:divBdr>
                        <w:top w:val="none" w:sz="0" w:space="0" w:color="auto"/>
                        <w:left w:val="none" w:sz="0" w:space="0" w:color="auto"/>
                        <w:bottom w:val="none" w:sz="0" w:space="0" w:color="auto"/>
                        <w:right w:val="none" w:sz="0" w:space="0" w:color="auto"/>
                      </w:divBdr>
                      <w:divsChild>
                        <w:div w:id="40784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305134">
      <w:bodyDiv w:val="1"/>
      <w:marLeft w:val="0"/>
      <w:marRight w:val="0"/>
      <w:marTop w:val="0"/>
      <w:marBottom w:val="0"/>
      <w:divBdr>
        <w:top w:val="none" w:sz="0" w:space="0" w:color="auto"/>
        <w:left w:val="none" w:sz="0" w:space="0" w:color="auto"/>
        <w:bottom w:val="none" w:sz="0" w:space="0" w:color="auto"/>
        <w:right w:val="none" w:sz="0" w:space="0" w:color="auto"/>
      </w:divBdr>
      <w:divsChild>
        <w:div w:id="1194423340">
          <w:marLeft w:val="0"/>
          <w:marRight w:val="0"/>
          <w:marTop w:val="0"/>
          <w:marBottom w:val="0"/>
          <w:divBdr>
            <w:top w:val="none" w:sz="0" w:space="0" w:color="auto"/>
            <w:left w:val="none" w:sz="0" w:space="0" w:color="auto"/>
            <w:bottom w:val="none" w:sz="0" w:space="0" w:color="auto"/>
            <w:right w:val="none" w:sz="0" w:space="0" w:color="auto"/>
          </w:divBdr>
          <w:divsChild>
            <w:div w:id="677007771">
              <w:marLeft w:val="0"/>
              <w:marRight w:val="0"/>
              <w:marTop w:val="0"/>
              <w:marBottom w:val="0"/>
              <w:divBdr>
                <w:top w:val="none" w:sz="0" w:space="0" w:color="auto"/>
                <w:left w:val="none" w:sz="0" w:space="0" w:color="auto"/>
                <w:bottom w:val="none" w:sz="0" w:space="0" w:color="auto"/>
                <w:right w:val="none" w:sz="0" w:space="0" w:color="auto"/>
              </w:divBdr>
              <w:divsChild>
                <w:div w:id="1698700664">
                  <w:marLeft w:val="0"/>
                  <w:marRight w:val="0"/>
                  <w:marTop w:val="0"/>
                  <w:marBottom w:val="0"/>
                  <w:divBdr>
                    <w:top w:val="none" w:sz="0" w:space="0" w:color="auto"/>
                    <w:left w:val="none" w:sz="0" w:space="0" w:color="auto"/>
                    <w:bottom w:val="none" w:sz="0" w:space="0" w:color="auto"/>
                    <w:right w:val="none" w:sz="0" w:space="0" w:color="auto"/>
                  </w:divBdr>
                  <w:divsChild>
                    <w:div w:id="700588928">
                      <w:marLeft w:val="0"/>
                      <w:marRight w:val="0"/>
                      <w:marTop w:val="0"/>
                      <w:marBottom w:val="0"/>
                      <w:divBdr>
                        <w:top w:val="none" w:sz="0" w:space="0" w:color="auto"/>
                        <w:left w:val="none" w:sz="0" w:space="0" w:color="auto"/>
                        <w:bottom w:val="none" w:sz="0" w:space="0" w:color="auto"/>
                        <w:right w:val="none" w:sz="0" w:space="0" w:color="auto"/>
                      </w:divBdr>
                      <w:divsChild>
                        <w:div w:id="687026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0499125">
      <w:bodyDiv w:val="1"/>
      <w:marLeft w:val="0"/>
      <w:marRight w:val="0"/>
      <w:marTop w:val="0"/>
      <w:marBottom w:val="0"/>
      <w:divBdr>
        <w:top w:val="none" w:sz="0" w:space="0" w:color="auto"/>
        <w:left w:val="none" w:sz="0" w:space="0" w:color="auto"/>
        <w:bottom w:val="none" w:sz="0" w:space="0" w:color="auto"/>
        <w:right w:val="none" w:sz="0" w:space="0" w:color="auto"/>
      </w:divBdr>
      <w:divsChild>
        <w:div w:id="404374652">
          <w:marLeft w:val="0"/>
          <w:marRight w:val="0"/>
          <w:marTop w:val="0"/>
          <w:marBottom w:val="0"/>
          <w:divBdr>
            <w:top w:val="none" w:sz="0" w:space="0" w:color="auto"/>
            <w:left w:val="none" w:sz="0" w:space="0" w:color="auto"/>
            <w:bottom w:val="none" w:sz="0" w:space="0" w:color="auto"/>
            <w:right w:val="none" w:sz="0" w:space="0" w:color="auto"/>
          </w:divBdr>
          <w:divsChild>
            <w:div w:id="1404982522">
              <w:marLeft w:val="0"/>
              <w:marRight w:val="0"/>
              <w:marTop w:val="0"/>
              <w:marBottom w:val="0"/>
              <w:divBdr>
                <w:top w:val="none" w:sz="0" w:space="0" w:color="auto"/>
                <w:left w:val="none" w:sz="0" w:space="0" w:color="auto"/>
                <w:bottom w:val="none" w:sz="0" w:space="0" w:color="auto"/>
                <w:right w:val="none" w:sz="0" w:space="0" w:color="auto"/>
              </w:divBdr>
              <w:divsChild>
                <w:div w:id="1388189223">
                  <w:marLeft w:val="0"/>
                  <w:marRight w:val="0"/>
                  <w:marTop w:val="0"/>
                  <w:marBottom w:val="0"/>
                  <w:divBdr>
                    <w:top w:val="none" w:sz="0" w:space="0" w:color="auto"/>
                    <w:left w:val="none" w:sz="0" w:space="0" w:color="auto"/>
                    <w:bottom w:val="none" w:sz="0" w:space="0" w:color="auto"/>
                    <w:right w:val="none" w:sz="0" w:space="0" w:color="auto"/>
                  </w:divBdr>
                  <w:divsChild>
                    <w:div w:id="307635555">
                      <w:marLeft w:val="0"/>
                      <w:marRight w:val="0"/>
                      <w:marTop w:val="0"/>
                      <w:marBottom w:val="0"/>
                      <w:divBdr>
                        <w:top w:val="none" w:sz="0" w:space="0" w:color="auto"/>
                        <w:left w:val="none" w:sz="0" w:space="0" w:color="auto"/>
                        <w:bottom w:val="none" w:sz="0" w:space="0" w:color="auto"/>
                        <w:right w:val="none" w:sz="0" w:space="0" w:color="auto"/>
                      </w:divBdr>
                      <w:divsChild>
                        <w:div w:id="67116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497449">
      <w:bodyDiv w:val="1"/>
      <w:marLeft w:val="0"/>
      <w:marRight w:val="0"/>
      <w:marTop w:val="0"/>
      <w:marBottom w:val="0"/>
      <w:divBdr>
        <w:top w:val="none" w:sz="0" w:space="0" w:color="auto"/>
        <w:left w:val="none" w:sz="0" w:space="0" w:color="auto"/>
        <w:bottom w:val="none" w:sz="0" w:space="0" w:color="auto"/>
        <w:right w:val="none" w:sz="0" w:space="0" w:color="auto"/>
      </w:divBdr>
      <w:divsChild>
        <w:div w:id="1357730548">
          <w:marLeft w:val="0"/>
          <w:marRight w:val="0"/>
          <w:marTop w:val="0"/>
          <w:marBottom w:val="0"/>
          <w:divBdr>
            <w:top w:val="none" w:sz="0" w:space="0" w:color="auto"/>
            <w:left w:val="none" w:sz="0" w:space="0" w:color="auto"/>
            <w:bottom w:val="none" w:sz="0" w:space="0" w:color="auto"/>
            <w:right w:val="none" w:sz="0" w:space="0" w:color="auto"/>
          </w:divBdr>
          <w:divsChild>
            <w:div w:id="989363968">
              <w:marLeft w:val="0"/>
              <w:marRight w:val="0"/>
              <w:marTop w:val="0"/>
              <w:marBottom w:val="0"/>
              <w:divBdr>
                <w:top w:val="none" w:sz="0" w:space="0" w:color="auto"/>
                <w:left w:val="none" w:sz="0" w:space="0" w:color="auto"/>
                <w:bottom w:val="none" w:sz="0" w:space="0" w:color="auto"/>
                <w:right w:val="none" w:sz="0" w:space="0" w:color="auto"/>
              </w:divBdr>
              <w:divsChild>
                <w:div w:id="94055282">
                  <w:marLeft w:val="0"/>
                  <w:marRight w:val="0"/>
                  <w:marTop w:val="0"/>
                  <w:marBottom w:val="0"/>
                  <w:divBdr>
                    <w:top w:val="none" w:sz="0" w:space="0" w:color="auto"/>
                    <w:left w:val="none" w:sz="0" w:space="0" w:color="auto"/>
                    <w:bottom w:val="none" w:sz="0" w:space="0" w:color="auto"/>
                    <w:right w:val="none" w:sz="0" w:space="0" w:color="auto"/>
                  </w:divBdr>
                  <w:divsChild>
                    <w:div w:id="735785093">
                      <w:marLeft w:val="0"/>
                      <w:marRight w:val="0"/>
                      <w:marTop w:val="0"/>
                      <w:marBottom w:val="0"/>
                      <w:divBdr>
                        <w:top w:val="none" w:sz="0" w:space="0" w:color="auto"/>
                        <w:left w:val="none" w:sz="0" w:space="0" w:color="auto"/>
                        <w:bottom w:val="none" w:sz="0" w:space="0" w:color="auto"/>
                        <w:right w:val="none" w:sz="0" w:space="0" w:color="auto"/>
                      </w:divBdr>
                      <w:divsChild>
                        <w:div w:id="497965800">
                          <w:marLeft w:val="0"/>
                          <w:marRight w:val="0"/>
                          <w:marTop w:val="0"/>
                          <w:marBottom w:val="0"/>
                          <w:divBdr>
                            <w:top w:val="none" w:sz="0" w:space="0" w:color="auto"/>
                            <w:left w:val="none" w:sz="0" w:space="0" w:color="auto"/>
                            <w:bottom w:val="none" w:sz="0" w:space="0" w:color="auto"/>
                            <w:right w:val="none" w:sz="0" w:space="0" w:color="auto"/>
                          </w:divBdr>
                          <w:divsChild>
                            <w:div w:id="1175613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0469392">
      <w:bodyDiv w:val="1"/>
      <w:marLeft w:val="0"/>
      <w:marRight w:val="0"/>
      <w:marTop w:val="0"/>
      <w:marBottom w:val="0"/>
      <w:divBdr>
        <w:top w:val="none" w:sz="0" w:space="0" w:color="auto"/>
        <w:left w:val="none" w:sz="0" w:space="0" w:color="auto"/>
        <w:bottom w:val="none" w:sz="0" w:space="0" w:color="auto"/>
        <w:right w:val="none" w:sz="0" w:space="0" w:color="auto"/>
      </w:divBdr>
    </w:div>
    <w:div w:id="2083403054">
      <w:bodyDiv w:val="1"/>
      <w:marLeft w:val="0"/>
      <w:marRight w:val="0"/>
      <w:marTop w:val="0"/>
      <w:marBottom w:val="0"/>
      <w:divBdr>
        <w:top w:val="none" w:sz="0" w:space="0" w:color="auto"/>
        <w:left w:val="none" w:sz="0" w:space="0" w:color="auto"/>
        <w:bottom w:val="none" w:sz="0" w:space="0" w:color="auto"/>
        <w:right w:val="none" w:sz="0" w:space="0" w:color="auto"/>
      </w:divBdr>
      <w:divsChild>
        <w:div w:id="484661684">
          <w:marLeft w:val="0"/>
          <w:marRight w:val="0"/>
          <w:marTop w:val="0"/>
          <w:marBottom w:val="0"/>
          <w:divBdr>
            <w:top w:val="none" w:sz="0" w:space="0" w:color="auto"/>
            <w:left w:val="none" w:sz="0" w:space="0" w:color="auto"/>
            <w:bottom w:val="none" w:sz="0" w:space="0" w:color="auto"/>
            <w:right w:val="none" w:sz="0" w:space="0" w:color="auto"/>
          </w:divBdr>
          <w:divsChild>
            <w:div w:id="1121992352">
              <w:marLeft w:val="0"/>
              <w:marRight w:val="0"/>
              <w:marTop w:val="0"/>
              <w:marBottom w:val="0"/>
              <w:divBdr>
                <w:top w:val="none" w:sz="0" w:space="0" w:color="auto"/>
                <w:left w:val="none" w:sz="0" w:space="0" w:color="auto"/>
                <w:bottom w:val="none" w:sz="0" w:space="0" w:color="auto"/>
                <w:right w:val="none" w:sz="0" w:space="0" w:color="auto"/>
              </w:divBdr>
              <w:divsChild>
                <w:div w:id="1770730721">
                  <w:marLeft w:val="0"/>
                  <w:marRight w:val="0"/>
                  <w:marTop w:val="0"/>
                  <w:marBottom w:val="0"/>
                  <w:divBdr>
                    <w:top w:val="none" w:sz="0" w:space="0" w:color="auto"/>
                    <w:left w:val="none" w:sz="0" w:space="0" w:color="auto"/>
                    <w:bottom w:val="none" w:sz="0" w:space="0" w:color="auto"/>
                    <w:right w:val="none" w:sz="0" w:space="0" w:color="auto"/>
                  </w:divBdr>
                  <w:divsChild>
                    <w:div w:id="2037387144">
                      <w:marLeft w:val="0"/>
                      <w:marRight w:val="0"/>
                      <w:marTop w:val="0"/>
                      <w:marBottom w:val="0"/>
                      <w:divBdr>
                        <w:top w:val="none" w:sz="0" w:space="0" w:color="auto"/>
                        <w:left w:val="none" w:sz="0" w:space="0" w:color="auto"/>
                        <w:bottom w:val="none" w:sz="0" w:space="0" w:color="auto"/>
                        <w:right w:val="none" w:sz="0" w:space="0" w:color="auto"/>
                      </w:divBdr>
                      <w:divsChild>
                        <w:div w:id="44534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ovdoc.rusarchives.ru/" TargetMode="External"/><Relationship Id="rId299" Type="http://schemas.openxmlformats.org/officeDocument/2006/relationships/hyperlink" Target="http://sovdoc.rusarchives.ru/" TargetMode="External"/><Relationship Id="rId21" Type="http://schemas.openxmlformats.org/officeDocument/2006/relationships/hyperlink" Target="http://sovdoc.rusarchives.ru/" TargetMode="External"/><Relationship Id="rId63" Type="http://schemas.openxmlformats.org/officeDocument/2006/relationships/hyperlink" Target="http://sovdoc.rusarchives.ru/" TargetMode="External"/><Relationship Id="rId159" Type="http://schemas.openxmlformats.org/officeDocument/2006/relationships/hyperlink" Target="http://sovdoc.rusarchives.ru/" TargetMode="External"/><Relationship Id="rId324" Type="http://schemas.openxmlformats.org/officeDocument/2006/relationships/hyperlink" Target="http://sovdoc.rusarchives.ru/" TargetMode="External"/><Relationship Id="rId366" Type="http://schemas.openxmlformats.org/officeDocument/2006/relationships/hyperlink" Target="http://detectivebooks.ru/book/47013018/?page=23" TargetMode="External"/><Relationship Id="rId170" Type="http://schemas.openxmlformats.org/officeDocument/2006/relationships/hyperlink" Target="http://www.airwar.ru/enc/fww1/mi3.html" TargetMode="External"/><Relationship Id="rId226" Type="http://schemas.openxmlformats.org/officeDocument/2006/relationships/hyperlink" Target="http://www.airwar.ru/enc/other1/wk3.html" TargetMode="External"/><Relationship Id="rId433" Type="http://schemas.openxmlformats.org/officeDocument/2006/relationships/hyperlink" Target="http://www.rpg-club.com/x1000" TargetMode="External"/><Relationship Id="rId268" Type="http://schemas.openxmlformats.org/officeDocument/2006/relationships/hyperlink" Target="http://www.e-reading.club/chapter.php/1005087/40/Gorlov_Sergey_-_Sovershenno_sekretno__Alyans_Moskva_-_Berlin_1920-1933_gg..html" TargetMode="External"/><Relationship Id="rId32" Type="http://schemas.openxmlformats.org/officeDocument/2006/relationships/hyperlink" Target="https://ru.wikipedia.org/wiki/%D0%A0%D0%B5%D0%B9%D1%85%D1%81%D0%BA%D0%B0%D0%BD%D1%86%D0%BB%D0%B5%D1%80" TargetMode="External"/><Relationship Id="rId74" Type="http://schemas.openxmlformats.org/officeDocument/2006/relationships/hyperlink" Target="https://ru.wikipedia.org/wiki/%D0%A2%D0%BE%D1%80%D0%B3%D0%BB%D0%B5%D1%80,_%D0%AD%D1%80%D0%BD%D1%81%D1%82" TargetMode="External"/><Relationship Id="rId128" Type="http://schemas.openxmlformats.org/officeDocument/2006/relationships/hyperlink" Target="http://sovdoc.rusarchives.ru/" TargetMode="External"/><Relationship Id="rId335" Type="http://schemas.openxmlformats.org/officeDocument/2006/relationships/hyperlink" Target="http://detectivebooks.ru/book/47013018/?page=17" TargetMode="External"/><Relationship Id="rId377" Type="http://schemas.openxmlformats.org/officeDocument/2006/relationships/hyperlink" Target="http://sovdoc.rusarchives.ru/" TargetMode="External"/><Relationship Id="rId5" Type="http://schemas.openxmlformats.org/officeDocument/2006/relationships/hyperlink" Target="http://alternathistory.org.ua/popytka-pereleta-cherez-atlanticheskii-okean-na-samolete-junkers-w-33-esa" TargetMode="External"/><Relationship Id="rId181" Type="http://schemas.openxmlformats.org/officeDocument/2006/relationships/hyperlink" Target="http://www.rpg-club.com/x1000" TargetMode="External"/><Relationship Id="rId237" Type="http://schemas.openxmlformats.org/officeDocument/2006/relationships/hyperlink" Target="http://www.rpg-club.com/x1000" TargetMode="External"/><Relationship Id="rId402" Type="http://schemas.openxmlformats.org/officeDocument/2006/relationships/hyperlink" Target="http://sovdoc.rusarchives.ru/" TargetMode="External"/><Relationship Id="rId279" Type="http://schemas.openxmlformats.org/officeDocument/2006/relationships/hyperlink" Target="http://www.airwar.ru/enc/cw1/k5.html" TargetMode="External"/><Relationship Id="rId43" Type="http://schemas.openxmlformats.org/officeDocument/2006/relationships/hyperlink" Target="http://www.rpg-club.com/x1000" TargetMode="External"/><Relationship Id="rId139" Type="http://schemas.openxmlformats.org/officeDocument/2006/relationships/hyperlink" Target="http://warspot.ru/5638-armeyskie-zemnovodnye" TargetMode="External"/><Relationship Id="rId290" Type="http://schemas.openxmlformats.org/officeDocument/2006/relationships/hyperlink" Target="http://www.airwar.ru/enc/law1/meindla7.html" TargetMode="External"/><Relationship Id="rId304" Type="http://schemas.openxmlformats.org/officeDocument/2006/relationships/hyperlink" Target="http://sovdoc.rusarchives.ru/" TargetMode="External"/><Relationship Id="rId346" Type="http://schemas.openxmlformats.org/officeDocument/2006/relationships/hyperlink" Target="http://sovdoc.rusarchives.ru/" TargetMode="External"/><Relationship Id="rId388" Type="http://schemas.openxmlformats.org/officeDocument/2006/relationships/hyperlink" Target="http://ru.wikipedia.org/wiki/%D0%91%D0%B0%D0%BB%D1%82%D0%B8%D0%B9%D1%81%D0%BA%D0%B8%D0%B9_%D0%B7%D0%B0%D0%B2%D0%BE%D0%B4" TargetMode="External"/><Relationship Id="rId85" Type="http://schemas.openxmlformats.org/officeDocument/2006/relationships/hyperlink" Target="http://detectivebooks.ru/book/47013018/?page=26" TargetMode="External"/><Relationship Id="rId150" Type="http://schemas.openxmlformats.org/officeDocument/2006/relationships/hyperlink" Target="http://vadimvswar.narod.ru/ALL_OUT/AiKOut09/M-34dvig/M-34dvig004.htm" TargetMode="External"/><Relationship Id="rId192" Type="http://schemas.openxmlformats.org/officeDocument/2006/relationships/hyperlink" Target="http://sovdoc.rusarchives.ru/" TargetMode="External"/><Relationship Id="rId206" Type="http://schemas.openxmlformats.org/officeDocument/2006/relationships/hyperlink" Target="http://sovdoc.rusarchives.ru/" TargetMode="External"/><Relationship Id="rId413" Type="http://schemas.openxmlformats.org/officeDocument/2006/relationships/hyperlink" Target="http://www.rpg-club.com/x1000" TargetMode="External"/><Relationship Id="rId248" Type="http://schemas.openxmlformats.org/officeDocument/2006/relationships/hyperlink" Target="http://sovdoc.rusarchives.ru/" TargetMode="External"/><Relationship Id="rId12" Type="http://schemas.openxmlformats.org/officeDocument/2006/relationships/hyperlink" Target="https://www.marxists.org/russkij/stalin/t13/footnotes.htm" TargetMode="External"/><Relationship Id="rId108" Type="http://schemas.openxmlformats.org/officeDocument/2006/relationships/hyperlink" Target="http://sovdoc.rusarchives.ru/" TargetMode="External"/><Relationship Id="rId315" Type="http://schemas.openxmlformats.org/officeDocument/2006/relationships/hyperlink" Target="http://sovdoc.rusarchives.ru/" TargetMode="External"/><Relationship Id="rId357" Type="http://schemas.openxmlformats.org/officeDocument/2006/relationships/hyperlink" Target="http://sovdoc.rusarchives.ru/" TargetMode="External"/><Relationship Id="rId54" Type="http://schemas.openxmlformats.org/officeDocument/2006/relationships/hyperlink" Target="http://detectivebooks.ru/book/47013018/?page=36" TargetMode="External"/><Relationship Id="rId96" Type="http://schemas.openxmlformats.org/officeDocument/2006/relationships/hyperlink" Target="https://ru.wikipedia.org/wiki/%D0%9F%D0%B0%D1%80%D0%BB%D0%B0%D0%BC%D0%B5%D0%BD%D1%82%D1%81%D0%BA%D0%B8%D0%B5_%D0%B2%D1%8B%D0%B1%D0%BE%D1%80%D1%8B_%D0%B2_%D0%93%D0%B5%D1%80%D0%BC%D0%B0%D0%BD%D0%B8%D0%B8_(1933,_%D0%BC%D0%B0%D1%80%D1%82)" TargetMode="External"/><Relationship Id="rId161" Type="http://schemas.openxmlformats.org/officeDocument/2006/relationships/hyperlink" Target="http://sovdoc.rusarchives.ru/" TargetMode="External"/><Relationship Id="rId217" Type="http://schemas.openxmlformats.org/officeDocument/2006/relationships/hyperlink" Target="http://www.opentextnn.ru/censorship/russia/sov/law/tsk/1930/&amp;DTh_Code=64" TargetMode="External"/><Relationship Id="rId399" Type="http://schemas.openxmlformats.org/officeDocument/2006/relationships/hyperlink" Target="http://sovdoc.rusarchives.ru/" TargetMode="External"/><Relationship Id="rId259" Type="http://schemas.openxmlformats.org/officeDocument/2006/relationships/hyperlink" Target="http://detectivebooks.ru/book/47013018/?page=14" TargetMode="External"/><Relationship Id="rId424" Type="http://schemas.openxmlformats.org/officeDocument/2006/relationships/hyperlink" Target="http://www.rpg-club.com/x1000" TargetMode="External"/><Relationship Id="rId23" Type="http://schemas.openxmlformats.org/officeDocument/2006/relationships/hyperlink" Target="http://sovdoc.rusarchives.ru/" TargetMode="External"/><Relationship Id="rId119" Type="http://schemas.openxmlformats.org/officeDocument/2006/relationships/hyperlink" Target="http://ru.wikipedia.org/wiki/USS_Akron_(ZRS-4)" TargetMode="External"/><Relationship Id="rId270" Type="http://schemas.openxmlformats.org/officeDocument/2006/relationships/hyperlink" Target="http://www.airwar.ru/enc/fww1/letovs231.html" TargetMode="External"/><Relationship Id="rId326" Type="http://schemas.openxmlformats.org/officeDocument/2006/relationships/hyperlink" Target="http://sovdoc.rusarchives.ru/" TargetMode="External"/><Relationship Id="rId65" Type="http://schemas.openxmlformats.org/officeDocument/2006/relationships/hyperlink" Target="http://airspot.ru/catalogue/item/boeing-model-247" TargetMode="External"/><Relationship Id="rId130" Type="http://schemas.openxmlformats.org/officeDocument/2006/relationships/hyperlink" Target="http://sovdoc.rusarchives.ru/" TargetMode="External"/><Relationship Id="rId368" Type="http://schemas.openxmlformats.org/officeDocument/2006/relationships/hyperlink" Target="http://sovdoc.rusarchives.ru/" TargetMode="External"/><Relationship Id="rId172" Type="http://schemas.openxmlformats.org/officeDocument/2006/relationships/hyperlink" Target="http://istmat.info/node/48300" TargetMode="External"/><Relationship Id="rId228" Type="http://schemas.openxmlformats.org/officeDocument/2006/relationships/hyperlink" Target="http://detectivebooks.ru/book/47013018/?page=26" TargetMode="External"/><Relationship Id="rId435" Type="http://schemas.openxmlformats.org/officeDocument/2006/relationships/hyperlink" Target="http://www.rpg-club.com/x1000" TargetMode="External"/><Relationship Id="rId281" Type="http://schemas.openxmlformats.org/officeDocument/2006/relationships/hyperlink" Target="http://sovdoc.rusarchives.ru/" TargetMode="External"/><Relationship Id="rId337" Type="http://schemas.openxmlformats.org/officeDocument/2006/relationships/hyperlink" Target="http://sovdoc.rusarchives.ru/" TargetMode="External"/><Relationship Id="rId34" Type="http://schemas.openxmlformats.org/officeDocument/2006/relationships/hyperlink" Target="https://ru.wikipedia.org/wiki/%D0%92%D0%B0%D0%BD_%D0%B4%D0%B5%D1%80_%D0%9B%D1%8E%D0%B1%D0%B1%D0%B5,_%D0%9C%D0%B0%D1%80%D0%B8%D0%BD%D1%83%D1%81" TargetMode="External"/><Relationship Id="rId76" Type="http://schemas.openxmlformats.org/officeDocument/2006/relationships/hyperlink" Target="https://ru.wikipedia.org/wiki/%D0%A2%D0%B0%D0%BD%D0%B5%D0%B2,_%D0%92%D0%B0%D1%81%D0%B8%D0%BB" TargetMode="External"/><Relationship Id="rId141" Type="http://schemas.openxmlformats.org/officeDocument/2006/relationships/hyperlink" Target="http://warspot.ru/7081-angliyskiy-zmey-gorynych" TargetMode="External"/><Relationship Id="rId379" Type="http://schemas.openxmlformats.org/officeDocument/2006/relationships/hyperlink" Target="http://detectivebooks.ru/book/47013018/?page=12" TargetMode="External"/><Relationship Id="rId7" Type="http://schemas.openxmlformats.org/officeDocument/2006/relationships/hyperlink" Target="http://detectivebooks.ru/book/47013018/?page=14" TargetMode="External"/><Relationship Id="rId183" Type="http://schemas.openxmlformats.org/officeDocument/2006/relationships/hyperlink" Target="http://www.rpg-club.com/x1000" TargetMode="External"/><Relationship Id="rId239" Type="http://schemas.openxmlformats.org/officeDocument/2006/relationships/hyperlink" Target="http://www.rpg-club.com/x1000" TargetMode="External"/><Relationship Id="rId390" Type="http://schemas.openxmlformats.org/officeDocument/2006/relationships/hyperlink" Target="http://detectivebooks.ru/book/47013018/?page=40" TargetMode="External"/><Relationship Id="rId404" Type="http://schemas.openxmlformats.org/officeDocument/2006/relationships/hyperlink" Target="http://sovdoc.rusarchives.ru/" TargetMode="External"/><Relationship Id="rId250" Type="http://schemas.openxmlformats.org/officeDocument/2006/relationships/hyperlink" Target="http://www.airwar.ru/enc/cw1/dc1.html" TargetMode="External"/><Relationship Id="rId292" Type="http://schemas.openxmlformats.org/officeDocument/2006/relationships/hyperlink" Target="http://ru.wikipedia.org/w/index.php?title=%D0%A1%D0%BE%D1%8E%D0%B7%D0%B2%D0%B5%D1%80%D1%84%D1%8C&amp;action=edit&amp;redlink=1" TargetMode="External"/><Relationship Id="rId306" Type="http://schemas.openxmlformats.org/officeDocument/2006/relationships/hyperlink" Target="http://www.libussr.ru/doc_ussr/ussr_4275.htm" TargetMode="External"/><Relationship Id="rId45" Type="http://schemas.openxmlformats.org/officeDocument/2006/relationships/hyperlink" Target="http://www.rpg-club.com/x1000" TargetMode="External"/><Relationship Id="rId87" Type="http://schemas.openxmlformats.org/officeDocument/2006/relationships/hyperlink" Target="http://sovdoc.rusarchives.ru/" TargetMode="External"/><Relationship Id="rId110" Type="http://schemas.openxmlformats.org/officeDocument/2006/relationships/hyperlink" Target="http://sovdoc.rusarchives.ru/" TargetMode="External"/><Relationship Id="rId348" Type="http://schemas.openxmlformats.org/officeDocument/2006/relationships/hyperlink" Target="http://detectivebooks.ru/book/47013018/?page=18" TargetMode="External"/><Relationship Id="rId152" Type="http://schemas.openxmlformats.org/officeDocument/2006/relationships/hyperlink" Target="http://www.airwar.ru/enc/sww2/jf.html" TargetMode="External"/><Relationship Id="rId194" Type="http://schemas.openxmlformats.org/officeDocument/2006/relationships/hyperlink" Target="http://sovdoc.rusarchives.ru/" TargetMode="External"/><Relationship Id="rId208" Type="http://schemas.openxmlformats.org/officeDocument/2006/relationships/hyperlink" Target="http://sovdoc.rusarchives.ru/" TargetMode="External"/><Relationship Id="rId415" Type="http://schemas.openxmlformats.org/officeDocument/2006/relationships/hyperlink" Target="http://www.rpg-club.com/x1000" TargetMode="External"/><Relationship Id="rId261" Type="http://schemas.openxmlformats.org/officeDocument/2006/relationships/hyperlink" Target="http://www.airwar.ru/enc/cw1/d332.html" TargetMode="External"/><Relationship Id="rId14" Type="http://schemas.openxmlformats.org/officeDocument/2006/relationships/hyperlink" Target="http://www.rpg-club.com/x1000" TargetMode="External"/><Relationship Id="rId56" Type="http://schemas.openxmlformats.org/officeDocument/2006/relationships/hyperlink" Target="http://sovdoc.rusarchives.ru/" TargetMode="External"/><Relationship Id="rId317" Type="http://schemas.openxmlformats.org/officeDocument/2006/relationships/hyperlink" Target="http://sovdoc.rusarchives.ru/" TargetMode="External"/><Relationship Id="rId359" Type="http://schemas.openxmlformats.org/officeDocument/2006/relationships/hyperlink" Target="http://sovdoc.rusarchives.ru/" TargetMode="External"/><Relationship Id="rId98" Type="http://schemas.openxmlformats.org/officeDocument/2006/relationships/hyperlink" Target="http://sovdoc.rusarchives.ru/" TargetMode="External"/><Relationship Id="rId121" Type="http://schemas.openxmlformats.org/officeDocument/2006/relationships/hyperlink" Target="http://sovdoc.rusarchives.ru/" TargetMode="External"/><Relationship Id="rId163" Type="http://schemas.openxmlformats.org/officeDocument/2006/relationships/hyperlink" Target="http://sovdoc.rusarchives.ru/" TargetMode="External"/><Relationship Id="rId219" Type="http://schemas.openxmlformats.org/officeDocument/2006/relationships/hyperlink" Target="http://www.airwar.ru/enc/law1/sev3.html" TargetMode="External"/><Relationship Id="rId370" Type="http://schemas.openxmlformats.org/officeDocument/2006/relationships/hyperlink" Target="http://sovdoc.rusarchives.ru/" TargetMode="External"/><Relationship Id="rId426" Type="http://schemas.openxmlformats.org/officeDocument/2006/relationships/hyperlink" Target="http://www.rpg-club.com/x1000" TargetMode="External"/><Relationship Id="rId230" Type="http://schemas.openxmlformats.org/officeDocument/2006/relationships/hyperlink" Target="http://detectivebooks.ru/book/47013018/?page=26" TargetMode="External"/><Relationship Id="rId25" Type="http://schemas.openxmlformats.org/officeDocument/2006/relationships/hyperlink" Target="http://detectivebooks.ru/book/47013018/?page=16" TargetMode="External"/><Relationship Id="rId67" Type="http://schemas.openxmlformats.org/officeDocument/2006/relationships/hyperlink" Target="https://t34inform.ru/photo/4-02-013.jpg" TargetMode="External"/><Relationship Id="rId272" Type="http://schemas.openxmlformats.org/officeDocument/2006/relationships/hyperlink" Target="http://www.rpg-club.com/x1000" TargetMode="External"/><Relationship Id="rId328" Type="http://schemas.openxmlformats.org/officeDocument/2006/relationships/hyperlink" Target="http://sovdoc.rusarchives.ru/" TargetMode="External"/><Relationship Id="rId132" Type="http://schemas.openxmlformats.org/officeDocument/2006/relationships/hyperlink" Target="http://sovdoc.rusarchives.ru/" TargetMode="External"/><Relationship Id="rId174" Type="http://schemas.openxmlformats.org/officeDocument/2006/relationships/hyperlink" Target="http://www.airwar.ru/enc/law1/dh85.html" TargetMode="External"/><Relationship Id="rId381" Type="http://schemas.openxmlformats.org/officeDocument/2006/relationships/hyperlink" Target="http://ru.wikipedia.org/wiki/20_%D0%BE%D0%BA%D1%82%D1%8F%D0%B1%D1%80%D1%8F" TargetMode="External"/><Relationship Id="rId241" Type="http://schemas.openxmlformats.org/officeDocument/2006/relationships/hyperlink" Target="http://www.rpg-club.com/x1000" TargetMode="External"/><Relationship Id="rId437" Type="http://schemas.openxmlformats.org/officeDocument/2006/relationships/hyperlink" Target="http://detectivebooks.ru/book/47013018/?page=27" TargetMode="External"/><Relationship Id="rId36" Type="http://schemas.openxmlformats.org/officeDocument/2006/relationships/hyperlink" Target="https://ru.wikipedia.org/wiki/%D0%94%D0%B8%D0%BC%D0%B8%D1%82%D1%80%D0%BE%D0%B2,_%D0%93%D0%B5%D0%BE%D1%80%D0%B3%D0%B8%D0%B9_%D0%9C%D0%B8%D1%85%D0%B0%D0%B9%D0%BB%D0%BE%D0%B2%D0%B8%D1%87" TargetMode="External"/><Relationship Id="rId283" Type="http://schemas.openxmlformats.org/officeDocument/2006/relationships/hyperlink" Target="http://www.airwar.ru/enc/cw1/bl110.html" TargetMode="External"/><Relationship Id="rId339" Type="http://schemas.openxmlformats.org/officeDocument/2006/relationships/hyperlink" Target="http://sovdoc.rusarchives.ru/" TargetMode="External"/><Relationship Id="rId78" Type="http://schemas.openxmlformats.org/officeDocument/2006/relationships/hyperlink" Target="https://ru.wikipedia.org/wiki/%D0%9F%D0%B0%D1%80%D0%BB%D0%B0%D0%BC%D0%B5%D0%BD%D1%82%D1%81%D0%BA%D0%B8%D0%B5_%D0%B2%D1%8B%D0%B1%D0%BE%D1%80%D1%8B_%D0%B2_%D0%93%D0%B5%D1%80%D0%BC%D0%B0%D0%BD%D0%B8%D0%B8_(1933,_%D0%BC%D0%B0%D1%80%D1%82)" TargetMode="External"/><Relationship Id="rId101" Type="http://schemas.openxmlformats.org/officeDocument/2006/relationships/hyperlink" Target="http://sovdoc.rusarchives.ru/" TargetMode="External"/><Relationship Id="rId143" Type="http://schemas.openxmlformats.org/officeDocument/2006/relationships/hyperlink" Target="http://ru.wikipedia.org/w/index.php?title=%D0%A1%D0%BE%D1%8E%D0%B7%D0%B2%D0%B5%D1%80%D1%84%D1%8C&amp;action=edit&amp;redlink=1" TargetMode="External"/><Relationship Id="rId185" Type="http://schemas.openxmlformats.org/officeDocument/2006/relationships/hyperlink" Target="http://sovdoc.rusarchives.ru/" TargetMode="External"/><Relationship Id="rId350" Type="http://schemas.openxmlformats.org/officeDocument/2006/relationships/hyperlink" Target="http://detectivebooks.ru/book/47013018/?page=14" TargetMode="External"/><Relationship Id="rId406" Type="http://schemas.openxmlformats.org/officeDocument/2006/relationships/hyperlink" Target="http://sovdoc.rusarchives.ru/" TargetMode="External"/><Relationship Id="rId9" Type="http://schemas.openxmlformats.org/officeDocument/2006/relationships/hyperlink" Target="http://detectivebooks.ru/book/47013018/?page=47" TargetMode="External"/><Relationship Id="rId210" Type="http://schemas.openxmlformats.org/officeDocument/2006/relationships/hyperlink" Target="http://sovdoc.rusarchives.ru/" TargetMode="External"/><Relationship Id="rId392" Type="http://schemas.openxmlformats.org/officeDocument/2006/relationships/image" Target="media/image1.jpeg"/><Relationship Id="rId252" Type="http://schemas.openxmlformats.org/officeDocument/2006/relationships/hyperlink" Target="http://www.airwar.ru/enc/bww2/tb4.html" TargetMode="External"/><Relationship Id="rId294" Type="http://schemas.openxmlformats.org/officeDocument/2006/relationships/hyperlink" Target="http://istmat.info/node/48309" TargetMode="External"/><Relationship Id="rId308" Type="http://schemas.openxmlformats.org/officeDocument/2006/relationships/hyperlink" Target="http://www.airwar.ru/enc/bww1/k7.html" TargetMode="External"/><Relationship Id="rId47" Type="http://schemas.openxmlformats.org/officeDocument/2006/relationships/hyperlink" Target="http://www.rpg-club.com/x1000" TargetMode="External"/><Relationship Id="rId89" Type="http://schemas.openxmlformats.org/officeDocument/2006/relationships/hyperlink" Target="http://sovdoc.rusarchives.ru/" TargetMode="External"/><Relationship Id="rId112" Type="http://schemas.openxmlformats.org/officeDocument/2006/relationships/hyperlink" Target="http://www.airwar.ru/enc/law1/lh130.html" TargetMode="External"/><Relationship Id="rId154" Type="http://schemas.openxmlformats.org/officeDocument/2006/relationships/hyperlink" Target="http://www.e-reading.club/chapter.php/1005087/40/Gorlov_Sergey_-_Sovershenno_sekretno__Alyans_Moskva_-_Berlin_1920-1933_gg..html" TargetMode="External"/><Relationship Id="rId361" Type="http://schemas.openxmlformats.org/officeDocument/2006/relationships/hyperlink" Target="http://sovdoc.rusarchives.ru/" TargetMode="External"/><Relationship Id="rId196" Type="http://schemas.openxmlformats.org/officeDocument/2006/relationships/hyperlink" Target="http://sovdoc.rusarchives.ru/" TargetMode="External"/><Relationship Id="rId417" Type="http://schemas.openxmlformats.org/officeDocument/2006/relationships/hyperlink" Target="http://www.rpg-club.com/x1000" TargetMode="External"/><Relationship Id="rId16" Type="http://schemas.openxmlformats.org/officeDocument/2006/relationships/hyperlink" Target="http://sovdoc.rusarchives.ru/" TargetMode="External"/><Relationship Id="rId221" Type="http://schemas.openxmlformats.org/officeDocument/2006/relationships/hyperlink" Target="http://www.airwar.ru/enc/sww2/walrus.html" TargetMode="External"/><Relationship Id="rId263" Type="http://schemas.openxmlformats.org/officeDocument/2006/relationships/hyperlink" Target="http://sovdoc.rusarchives.ru/" TargetMode="External"/><Relationship Id="rId319" Type="http://schemas.openxmlformats.org/officeDocument/2006/relationships/hyperlink" Target="http://detectivebooks.ru/book/47013018/?page=17" TargetMode="External"/><Relationship Id="rId58" Type="http://schemas.openxmlformats.org/officeDocument/2006/relationships/hyperlink" Target="http://sovdoc.rusarchives.ru/" TargetMode="External"/><Relationship Id="rId123" Type="http://schemas.openxmlformats.org/officeDocument/2006/relationships/hyperlink" Target="http://www.e-reading.club/chapter.php/1005087/40/Gorlov_Sergey_-_Sovershenno_sekretno__Alyans_Moskva_-_Berlin_1920-1933_gg..html" TargetMode="External"/><Relationship Id="rId330" Type="http://schemas.openxmlformats.org/officeDocument/2006/relationships/hyperlink" Target="http://sovdoc.rusarchives.ru/" TargetMode="External"/><Relationship Id="rId165" Type="http://schemas.openxmlformats.org/officeDocument/2006/relationships/hyperlink" Target="http://sovdoc.rusarchives.ru/" TargetMode="External"/><Relationship Id="rId372" Type="http://schemas.openxmlformats.org/officeDocument/2006/relationships/hyperlink" Target="http://sovdoc.rusarchives.ru/" TargetMode="External"/><Relationship Id="rId428" Type="http://schemas.openxmlformats.org/officeDocument/2006/relationships/hyperlink" Target="http://www.rpg-club.com/x1000" TargetMode="External"/><Relationship Id="rId232" Type="http://schemas.openxmlformats.org/officeDocument/2006/relationships/hyperlink" Target="http://www.rpg-club.com/x1000" TargetMode="External"/><Relationship Id="rId274" Type="http://schemas.openxmlformats.org/officeDocument/2006/relationships/hyperlink" Target="http://www.aviastar.org/tm/uveren.html" TargetMode="External"/><Relationship Id="rId27" Type="http://schemas.openxmlformats.org/officeDocument/2006/relationships/hyperlink" Target="http://www.airwiki.org/enc/bww1/pv3.html" TargetMode="External"/><Relationship Id="rId69" Type="http://schemas.openxmlformats.org/officeDocument/2006/relationships/hyperlink" Target="http://airspot.ru/catalogue/item/loire-45" TargetMode="External"/><Relationship Id="rId134" Type="http://schemas.openxmlformats.org/officeDocument/2006/relationships/hyperlink" Target="http://sovdoc.rusarchives.ru/" TargetMode="External"/><Relationship Id="rId80" Type="http://schemas.openxmlformats.org/officeDocument/2006/relationships/hyperlink" Target="https://ru.wikipedia.org/wiki/1933_%D0%B3%D0%BE%D0%B4" TargetMode="External"/><Relationship Id="rId176" Type="http://schemas.openxmlformats.org/officeDocument/2006/relationships/hyperlink" Target="http://www.rpg-club.com/x1000" TargetMode="External"/><Relationship Id="rId341" Type="http://schemas.openxmlformats.org/officeDocument/2006/relationships/hyperlink" Target="http://sovdoc.rusarchives.ru/" TargetMode="External"/><Relationship Id="rId383" Type="http://schemas.openxmlformats.org/officeDocument/2006/relationships/hyperlink" Target="http://ru.wikipedia.org/wiki/4_%D0%B0%D0%B2%D0%B3%D1%83%D1%81%D1%82%D0%B0" TargetMode="External"/><Relationship Id="rId439" Type="http://schemas.openxmlformats.org/officeDocument/2006/relationships/fontTable" Target="fontTable.xml"/><Relationship Id="rId201" Type="http://schemas.openxmlformats.org/officeDocument/2006/relationships/hyperlink" Target="http://www.rpg-club.com/x1000" TargetMode="External"/><Relationship Id="rId243" Type="http://schemas.openxmlformats.org/officeDocument/2006/relationships/hyperlink" Target="http://detectivebooks.ru/book/47013018/?page=10" TargetMode="External"/><Relationship Id="rId285" Type="http://schemas.openxmlformats.org/officeDocument/2006/relationships/hyperlink" Target="http://eng.ship.bsu.by/ship/101258" TargetMode="External"/><Relationship Id="rId38" Type="http://schemas.openxmlformats.org/officeDocument/2006/relationships/hyperlink" Target="https://ru.wikipedia.org/wiki/%D0%9F%D0%BE%D0%BF%D0%BE%D0%B2,_%D0%91%D0%BB%D0%B0%D0%B3%D0%BE%D0%B9" TargetMode="External"/><Relationship Id="rId103" Type="http://schemas.openxmlformats.org/officeDocument/2006/relationships/hyperlink" Target="http://www.airwar.ru/enc/bww1/pws19.html" TargetMode="External"/><Relationship Id="rId310" Type="http://schemas.openxmlformats.org/officeDocument/2006/relationships/hyperlink" Target="http://sovdoc.rusarchives.ru/" TargetMode="External"/><Relationship Id="rId91" Type="http://schemas.openxmlformats.org/officeDocument/2006/relationships/hyperlink" Target="http://sovdoc.rusarchives.ru/" TargetMode="External"/><Relationship Id="rId145" Type="http://schemas.openxmlformats.org/officeDocument/2006/relationships/hyperlink" Target="http://ru.wikipedia.org/wiki/12_%D0%B0%D0%B2%D0%B3%D1%83%D1%81%D1%82%D0%B0" TargetMode="External"/><Relationship Id="rId187" Type="http://schemas.openxmlformats.org/officeDocument/2006/relationships/hyperlink" Target="http://sovdoc.rusarchives.ru/" TargetMode="External"/><Relationship Id="rId352" Type="http://schemas.openxmlformats.org/officeDocument/2006/relationships/hyperlink" Target="http://www.rpg-club.com/x1000" TargetMode="External"/><Relationship Id="rId394" Type="http://schemas.openxmlformats.org/officeDocument/2006/relationships/hyperlink" Target="http://sovdoc.rusarchives.ru/" TargetMode="External"/><Relationship Id="rId408" Type="http://schemas.openxmlformats.org/officeDocument/2006/relationships/hyperlink" Target="http://sovdoc.rusarchives.ru/" TargetMode="External"/><Relationship Id="rId212" Type="http://schemas.openxmlformats.org/officeDocument/2006/relationships/hyperlink" Target="http://sovdoc.rusarchives.ru/" TargetMode="External"/><Relationship Id="rId254" Type="http://schemas.openxmlformats.org/officeDocument/2006/relationships/hyperlink" Target="http://www.airwar.ru/enc/sww2/r5t.html" TargetMode="External"/><Relationship Id="rId49" Type="http://schemas.openxmlformats.org/officeDocument/2006/relationships/hyperlink" Target="http://www.rpg-club.com/x1000" TargetMode="External"/><Relationship Id="rId114" Type="http://schemas.openxmlformats.org/officeDocument/2006/relationships/hyperlink" Target="http://www.airwar.ru/enc/cw1/bernard60.html" TargetMode="External"/><Relationship Id="rId296" Type="http://schemas.openxmlformats.org/officeDocument/2006/relationships/hyperlink" Target="http://ru.wikipedia.org/w/index.php?title=%D0%259...until=%D0%A1%D1%83-6" TargetMode="External"/><Relationship Id="rId60" Type="http://schemas.openxmlformats.org/officeDocument/2006/relationships/hyperlink" Target="http://www.airwar.ru/enc/attack/a7.html" TargetMode="External"/><Relationship Id="rId81" Type="http://schemas.openxmlformats.org/officeDocument/2006/relationships/hyperlink" Target="http://www.e-reading.club/chapter.php/1005087/40/Gorlov_Sergey_-_Sovershenno_sekretno__Alyans_Moskva_-_Berlin_1920-1933_gg..html" TargetMode="External"/><Relationship Id="rId135" Type="http://schemas.openxmlformats.org/officeDocument/2006/relationships/hyperlink" Target="http://istmat.info/node/48296" TargetMode="External"/><Relationship Id="rId156" Type="http://schemas.openxmlformats.org/officeDocument/2006/relationships/hyperlink" Target="http://www.airwar.ru/enc/fww1/f3u.html" TargetMode="External"/><Relationship Id="rId177" Type="http://schemas.openxmlformats.org/officeDocument/2006/relationships/hyperlink" Target="http://www.rpg-club.com/x1000" TargetMode="External"/><Relationship Id="rId198" Type="http://schemas.openxmlformats.org/officeDocument/2006/relationships/hyperlink" Target="http://www.e-reading.club/chapter.php/1005087/40/Gorlov_Sergey_-_Sovershenno_sekretno__Alyans_Moskva_-_Berlin_1920-1933_gg..html" TargetMode="External"/><Relationship Id="rId321" Type="http://schemas.openxmlformats.org/officeDocument/2006/relationships/hyperlink" Target="http://istmat.info/node/48304" TargetMode="External"/><Relationship Id="rId342" Type="http://schemas.openxmlformats.org/officeDocument/2006/relationships/hyperlink" Target="http://sovdoc.rusarchives.ru/" TargetMode="External"/><Relationship Id="rId363" Type="http://schemas.openxmlformats.org/officeDocument/2006/relationships/hyperlink" Target="http://sovdoc.rusarchives.ru/" TargetMode="External"/><Relationship Id="rId384" Type="http://schemas.openxmlformats.org/officeDocument/2006/relationships/hyperlink" Target="http://ru.wikipedia.org/wiki/1934_%D0%B3%D0%BE%D0%B4" TargetMode="External"/><Relationship Id="rId419" Type="http://schemas.openxmlformats.org/officeDocument/2006/relationships/hyperlink" Target="http://www.rpg-club.com/x1000" TargetMode="External"/><Relationship Id="rId202" Type="http://schemas.openxmlformats.org/officeDocument/2006/relationships/hyperlink" Target="http://www.rpg-club.com/x1000" TargetMode="External"/><Relationship Id="rId223" Type="http://schemas.openxmlformats.org/officeDocument/2006/relationships/hyperlink" Target="http://www.airwar.ru/enc/cw1/dc1.html" TargetMode="External"/><Relationship Id="rId244" Type="http://schemas.openxmlformats.org/officeDocument/2006/relationships/hyperlink" Target="http://detectivebooks.ru/book/47013018/?page=26" TargetMode="External"/><Relationship Id="rId430" Type="http://schemas.openxmlformats.org/officeDocument/2006/relationships/hyperlink" Target="http://www.rpg-club.com/x1000" TargetMode="External"/><Relationship Id="rId18" Type="http://schemas.openxmlformats.org/officeDocument/2006/relationships/hyperlink" Target="http://sovdoc.rusarchives.ru/" TargetMode="External"/><Relationship Id="rId39" Type="http://schemas.openxmlformats.org/officeDocument/2006/relationships/hyperlink" Target="https://ru.wikipedia.org/wiki/%D0%9F%D0%B0%D1%80%D0%BB%D0%B0%D0%BC%D0%B5%D0%BD%D1%82%D1%81%D0%BA%D0%B8%D0%B5_%D0%B2%D1%8B%D0%B1%D0%BE%D1%80%D1%8B_%D0%B2_%D0%93%D0%B5%D1%80%D0%BC%D0%B0%D0%BD%D0%B8%D0%B8_(1933,_%D0%BC%D0%B0%D1%80%D1%82)" TargetMode="External"/><Relationship Id="rId265" Type="http://schemas.openxmlformats.org/officeDocument/2006/relationships/hyperlink" Target="http://sovdoc.rusarchives.ru/" TargetMode="External"/><Relationship Id="rId286" Type="http://schemas.openxmlformats.org/officeDocument/2006/relationships/hyperlink" Target="http://avia-museum.narod.ru/france/bleriot_110.html" TargetMode="External"/><Relationship Id="rId50" Type="http://schemas.openxmlformats.org/officeDocument/2006/relationships/hyperlink" Target="http://www.airwar.ru/enc/bww1/h255.html" TargetMode="External"/><Relationship Id="rId104" Type="http://schemas.openxmlformats.org/officeDocument/2006/relationships/hyperlink" Target="http://ru.wikipedia.org/wiki/%CE%D0-2" TargetMode="External"/><Relationship Id="rId125" Type="http://schemas.openxmlformats.org/officeDocument/2006/relationships/hyperlink" Target="http://sovdoc.rusarchives.ru/" TargetMode="External"/><Relationship Id="rId146" Type="http://schemas.openxmlformats.org/officeDocument/2006/relationships/hyperlink" Target="http://ru.wikipedia.org/wiki/1933_%D0%B3%D0%BE%D0%B4" TargetMode="External"/><Relationship Id="rId167" Type="http://schemas.openxmlformats.org/officeDocument/2006/relationships/hyperlink" Target="http://www.e-reading.club/chapter.php/1005087/40/Gorlov_Sergey_-_Sovershenno_sekretno__Alyans_Moskva_-_Berlin_1920-1933_gg..html" TargetMode="External"/><Relationship Id="rId188" Type="http://schemas.openxmlformats.org/officeDocument/2006/relationships/hyperlink" Target="http://sovdoc.rusarchives.ru/" TargetMode="External"/><Relationship Id="rId311" Type="http://schemas.openxmlformats.org/officeDocument/2006/relationships/hyperlink" Target="http://sovdoc.rusarchives.ru/" TargetMode="External"/><Relationship Id="rId332" Type="http://schemas.openxmlformats.org/officeDocument/2006/relationships/hyperlink" Target="http://sovdoc.rusarchives.ru/" TargetMode="External"/><Relationship Id="rId353" Type="http://schemas.openxmlformats.org/officeDocument/2006/relationships/hyperlink" Target="http://www.rpg-club.com/x1000" TargetMode="External"/><Relationship Id="rId374" Type="http://schemas.openxmlformats.org/officeDocument/2006/relationships/hyperlink" Target="http://sovdoc.rusarchives.ru/" TargetMode="External"/><Relationship Id="rId395" Type="http://schemas.openxmlformats.org/officeDocument/2006/relationships/hyperlink" Target="http://sovdoc.rusarchives.ru/" TargetMode="External"/><Relationship Id="rId409" Type="http://schemas.openxmlformats.org/officeDocument/2006/relationships/hyperlink" Target="http://istmat.info/node/38389" TargetMode="External"/><Relationship Id="rId71" Type="http://schemas.openxmlformats.org/officeDocument/2006/relationships/hyperlink" Target="http://www.e-reading.club/chapter.php/1005087/39/Gorlov_Sergey_-_Sovershenno_sekretno__Alyans_Moskva_-_Berlin_1920-1933_gg..html" TargetMode="External"/><Relationship Id="rId92" Type="http://schemas.openxmlformats.org/officeDocument/2006/relationships/hyperlink" Target="http://sovdoc.rusarchives.ru/" TargetMode="External"/><Relationship Id="rId213" Type="http://schemas.openxmlformats.org/officeDocument/2006/relationships/hyperlink" Target="http://sovdoc.rusarchives.ru/" TargetMode="External"/><Relationship Id="rId234" Type="http://schemas.openxmlformats.org/officeDocument/2006/relationships/hyperlink" Target="http://www.rpg-club.com/x1000" TargetMode="External"/><Relationship Id="rId420" Type="http://schemas.openxmlformats.org/officeDocument/2006/relationships/hyperlink" Target="http://www.rpg-club.com/x1000" TargetMode="External"/><Relationship Id="rId2" Type="http://schemas.openxmlformats.org/officeDocument/2006/relationships/styles" Target="styles.xml"/><Relationship Id="rId29" Type="http://schemas.openxmlformats.org/officeDocument/2006/relationships/hyperlink" Target="https://ru.wikipedia.org/wiki/30_%D1%8F%D0%BD%D0%B2%D0%B0%D1%80%D1%8F" TargetMode="External"/><Relationship Id="rId255" Type="http://schemas.openxmlformats.org/officeDocument/2006/relationships/hyperlink" Target="http://detectivebooks.ru/book/47013018/?page=23" TargetMode="External"/><Relationship Id="rId276" Type="http://schemas.openxmlformats.org/officeDocument/2006/relationships/hyperlink" Target="http://www.airwar.ru/enc/other1/s55.html" TargetMode="External"/><Relationship Id="rId297" Type="http://schemas.openxmlformats.org/officeDocument/2006/relationships/hyperlink" Target="http://sovdoc.rusarchives.ru/" TargetMode="External"/><Relationship Id="rId40" Type="http://schemas.openxmlformats.org/officeDocument/2006/relationships/hyperlink" Target="https://ru.wikipedia.org/wiki/5_%D0%BC%D0%B0%D1%80%D1%82%D0%B0" TargetMode="External"/><Relationship Id="rId115" Type="http://schemas.openxmlformats.org/officeDocument/2006/relationships/hyperlink" Target="http://sovdoc.rusarchives.ru/" TargetMode="External"/><Relationship Id="rId136" Type="http://schemas.openxmlformats.org/officeDocument/2006/relationships/hyperlink" Target="http://istmat.info/node/48297" TargetMode="External"/><Relationship Id="rId157" Type="http://schemas.openxmlformats.org/officeDocument/2006/relationships/hyperlink" Target="http://istmat.info/node/58875" TargetMode="External"/><Relationship Id="rId178" Type="http://schemas.openxmlformats.org/officeDocument/2006/relationships/hyperlink" Target="http://www.rpg-club.com/x1000" TargetMode="External"/><Relationship Id="rId301" Type="http://schemas.openxmlformats.org/officeDocument/2006/relationships/hyperlink" Target="http://sovdoc.rusarchives.ru/" TargetMode="External"/><Relationship Id="rId322" Type="http://schemas.openxmlformats.org/officeDocument/2006/relationships/hyperlink" Target="http://detectivebooks.ru/book/47013018/?page=12" TargetMode="External"/><Relationship Id="rId343" Type="http://schemas.openxmlformats.org/officeDocument/2006/relationships/hyperlink" Target="http://sovdoc.rusarchives.ru/" TargetMode="External"/><Relationship Id="rId364" Type="http://schemas.openxmlformats.org/officeDocument/2006/relationships/hyperlink" Target="http://sovdoc.rusarchives.ru/" TargetMode="External"/><Relationship Id="rId61" Type="http://schemas.openxmlformats.org/officeDocument/2006/relationships/hyperlink" Target="http://sovdoc.rusarchives.ru/" TargetMode="External"/><Relationship Id="rId82" Type="http://schemas.openxmlformats.org/officeDocument/2006/relationships/hyperlink" Target="http://detectivebooks.ru/book/47013018/?page=26" TargetMode="External"/><Relationship Id="rId199" Type="http://schemas.openxmlformats.org/officeDocument/2006/relationships/hyperlink" Target="http://www.rpg-club.com/x1000" TargetMode="External"/><Relationship Id="rId203" Type="http://schemas.openxmlformats.org/officeDocument/2006/relationships/hyperlink" Target="http://www.rpg-club.com/x1000" TargetMode="External"/><Relationship Id="rId385" Type="http://schemas.openxmlformats.org/officeDocument/2006/relationships/hyperlink" Target="http://ru.wikipedia.org/wiki/1934_%D0%B3%D0%BE%D0%B4" TargetMode="External"/><Relationship Id="rId19" Type="http://schemas.openxmlformats.org/officeDocument/2006/relationships/hyperlink" Target="http://sovdoc.rusarchives.ru/" TargetMode="External"/><Relationship Id="rId224" Type="http://schemas.openxmlformats.org/officeDocument/2006/relationships/hyperlink" Target="http://www.airwar.ru/enc/cw1/k5.html" TargetMode="External"/><Relationship Id="rId245" Type="http://schemas.openxmlformats.org/officeDocument/2006/relationships/hyperlink" Target="http://detectivebooks.ru/book/47013018/?page=26" TargetMode="External"/><Relationship Id="rId266" Type="http://schemas.openxmlformats.org/officeDocument/2006/relationships/hyperlink" Target="https://t34inform.ru/doc/1933-07-15_STV-2.html" TargetMode="External"/><Relationship Id="rId287" Type="http://schemas.openxmlformats.org/officeDocument/2006/relationships/hyperlink" Target="http://www.airwar.ru/enc/cw1/ant14.html" TargetMode="External"/><Relationship Id="rId410" Type="http://schemas.openxmlformats.org/officeDocument/2006/relationships/hyperlink" Target="http://www.rpg-club.com/x1000" TargetMode="External"/><Relationship Id="rId431" Type="http://schemas.openxmlformats.org/officeDocument/2006/relationships/hyperlink" Target="http://www.rpg-club.com/x1000" TargetMode="External"/><Relationship Id="rId30" Type="http://schemas.openxmlformats.org/officeDocument/2006/relationships/hyperlink" Target="https://ru.wikipedia.org/wiki/1933" TargetMode="External"/><Relationship Id="rId105" Type="http://schemas.openxmlformats.org/officeDocument/2006/relationships/hyperlink" Target="http://www.plam.ru/hist/porjadok_v_tankovyh_voiskah_kuda_propali_tanki_stalina/p2.php" TargetMode="External"/><Relationship Id="rId126" Type="http://schemas.openxmlformats.org/officeDocument/2006/relationships/hyperlink" Target="http://sovdoc.rusarchives.ru/" TargetMode="External"/><Relationship Id="rId147" Type="http://schemas.openxmlformats.org/officeDocument/2006/relationships/hyperlink" Target="http://ru.wikipedia.org/w/index.php?title=%D0%A1%D0%BE%D1%8E%D0%B7%D0%B2%D0%B5%D1%80%D1%84%D1%8C&amp;action=edit&amp;redlink=1" TargetMode="External"/><Relationship Id="rId168" Type="http://schemas.openxmlformats.org/officeDocument/2006/relationships/hyperlink" Target="http://lechebnik.info/451/5.htm" TargetMode="External"/><Relationship Id="rId312" Type="http://schemas.openxmlformats.org/officeDocument/2006/relationships/hyperlink" Target="http://sovdoc.rusarchives.ru/" TargetMode="External"/><Relationship Id="rId333" Type="http://schemas.openxmlformats.org/officeDocument/2006/relationships/hyperlink" Target="http://sovdoc.rusarchives.ru/" TargetMode="External"/><Relationship Id="rId354" Type="http://schemas.openxmlformats.org/officeDocument/2006/relationships/hyperlink" Target="http://www.rpg-club.com/x1000" TargetMode="External"/><Relationship Id="rId51" Type="http://schemas.openxmlformats.org/officeDocument/2006/relationships/hyperlink" Target="http://www.airwar.ru/enc/cw1/t32.html" TargetMode="External"/><Relationship Id="rId72" Type="http://schemas.openxmlformats.org/officeDocument/2006/relationships/hyperlink" Target="https://ru.wikipedia.org/wiki/%D0%9F%D0%BE%D0%B4%D0%B6%D0%BE%D0%B3_%D0%A0%D0%B5%D0%B9%D1%85%D1%81%D1%82%D0%B0%D0%B3%D0%B0" TargetMode="External"/><Relationship Id="rId93" Type="http://schemas.openxmlformats.org/officeDocument/2006/relationships/hyperlink" Target="http://sovdoc.rusarchives.ru/" TargetMode="External"/><Relationship Id="rId189" Type="http://schemas.openxmlformats.org/officeDocument/2006/relationships/hyperlink" Target="http://sovdoc.rusarchives.ru/" TargetMode="External"/><Relationship Id="rId375" Type="http://schemas.openxmlformats.org/officeDocument/2006/relationships/hyperlink" Target="http://sovdoc.rusarchives.ru/" TargetMode="External"/><Relationship Id="rId396" Type="http://schemas.openxmlformats.org/officeDocument/2006/relationships/hyperlink" Target="http://sovdoc.rusarchives.ru/" TargetMode="External"/><Relationship Id="rId3" Type="http://schemas.openxmlformats.org/officeDocument/2006/relationships/settings" Target="settings.xml"/><Relationship Id="rId214" Type="http://schemas.openxmlformats.org/officeDocument/2006/relationships/hyperlink" Target="http://sovdoc.rusarchives.ru/" TargetMode="External"/><Relationship Id="rId235" Type="http://schemas.openxmlformats.org/officeDocument/2006/relationships/hyperlink" Target="http://www.rpg-club.com/x1000" TargetMode="External"/><Relationship Id="rId256" Type="http://schemas.openxmlformats.org/officeDocument/2006/relationships/hyperlink" Target="http://detectivebooks.ru/book/47013018/?page=23" TargetMode="External"/><Relationship Id="rId277" Type="http://schemas.openxmlformats.org/officeDocument/2006/relationships/hyperlink" Target="http://detectivebooks.ru/book/47013018/?page=17" TargetMode="External"/><Relationship Id="rId298" Type="http://schemas.openxmlformats.org/officeDocument/2006/relationships/hyperlink" Target="http://sovdoc.rusarchives.ru/" TargetMode="External"/><Relationship Id="rId400" Type="http://schemas.openxmlformats.org/officeDocument/2006/relationships/hyperlink" Target="http://sovdoc.rusarchives.ru/" TargetMode="External"/><Relationship Id="rId421" Type="http://schemas.openxmlformats.org/officeDocument/2006/relationships/hyperlink" Target="http://www.rpg-club.com/x1000" TargetMode="External"/><Relationship Id="rId116" Type="http://schemas.openxmlformats.org/officeDocument/2006/relationships/hyperlink" Target="http://sovdoc.rusarchives.ru/" TargetMode="External"/><Relationship Id="rId137" Type="http://schemas.openxmlformats.org/officeDocument/2006/relationships/hyperlink" Target="http://istmat.info/node/36227" TargetMode="External"/><Relationship Id="rId158" Type="http://schemas.openxmlformats.org/officeDocument/2006/relationships/hyperlink" Target="http://sovdoc.rusarchives.ru/" TargetMode="External"/><Relationship Id="rId302" Type="http://schemas.openxmlformats.org/officeDocument/2006/relationships/hyperlink" Target="http://sovdoc.rusarchives.ru/" TargetMode="External"/><Relationship Id="rId323" Type="http://schemas.openxmlformats.org/officeDocument/2006/relationships/hyperlink" Target="http://istmat.info/node/59181" TargetMode="External"/><Relationship Id="rId344" Type="http://schemas.openxmlformats.org/officeDocument/2006/relationships/hyperlink" Target="http://sovdoc.rusarchives.ru/" TargetMode="External"/><Relationship Id="rId20" Type="http://schemas.openxmlformats.org/officeDocument/2006/relationships/hyperlink" Target="http://sovdoc.rusarchives.ru/" TargetMode="External"/><Relationship Id="rId41" Type="http://schemas.openxmlformats.org/officeDocument/2006/relationships/hyperlink" Target="https://ru.wikipedia.org/wiki/1933_%D0%B3%D0%BE%D0%B4" TargetMode="External"/><Relationship Id="rId62" Type="http://schemas.openxmlformats.org/officeDocument/2006/relationships/hyperlink" Target="http://sovdoc.rusarchives.ru/" TargetMode="External"/><Relationship Id="rId83" Type="http://schemas.openxmlformats.org/officeDocument/2006/relationships/hyperlink" Target="http://detectivebooks.ru/book/47013018/?page=26" TargetMode="External"/><Relationship Id="rId179" Type="http://schemas.openxmlformats.org/officeDocument/2006/relationships/hyperlink" Target="http://www.rpg-club.com/x1000" TargetMode="External"/><Relationship Id="rId365" Type="http://schemas.openxmlformats.org/officeDocument/2006/relationships/hyperlink" Target="http://detectivebooks.ru/book/47013018/?page=23" TargetMode="External"/><Relationship Id="rId386" Type="http://schemas.openxmlformats.org/officeDocument/2006/relationships/hyperlink" Target="http://ru.wikipedia.org/wiki/%D0%9F%D0%BE%D0%BB%D0%B8%D1%82%D0%B1%D1%8E%D1%80%D0%BE_%D0%A6%D0%9A_%D0%9A%D0%9F%D0%A1%D0%A1" TargetMode="External"/><Relationship Id="rId190" Type="http://schemas.openxmlformats.org/officeDocument/2006/relationships/hyperlink" Target="http://sovdoc.rusarchives.ru/" TargetMode="External"/><Relationship Id="rId204" Type="http://schemas.openxmlformats.org/officeDocument/2006/relationships/hyperlink" Target="http://www.rpg-club.com/x1000" TargetMode="External"/><Relationship Id="rId225" Type="http://schemas.openxmlformats.org/officeDocument/2006/relationships/hyperlink" Target="http://www.airwar.ru/enc/sww2/walrus.html" TargetMode="External"/><Relationship Id="rId246" Type="http://schemas.openxmlformats.org/officeDocument/2006/relationships/hyperlink" Target="http://detectivebooks.ru/book/47013018/?page=26" TargetMode="External"/><Relationship Id="rId267" Type="http://schemas.openxmlformats.org/officeDocument/2006/relationships/hyperlink" Target="http://istmat.info/node/48309" TargetMode="External"/><Relationship Id="rId288" Type="http://schemas.openxmlformats.org/officeDocument/2006/relationships/hyperlink" Target="http://airspot.ru/catalogue/item/tsagi-ps-9-ant-9" TargetMode="External"/><Relationship Id="rId411" Type="http://schemas.openxmlformats.org/officeDocument/2006/relationships/hyperlink" Target="http://www.rpg-club.com/x1000" TargetMode="External"/><Relationship Id="rId432" Type="http://schemas.openxmlformats.org/officeDocument/2006/relationships/hyperlink" Target="http://www.rpg-club.com/x1000" TargetMode="External"/><Relationship Id="rId106" Type="http://schemas.openxmlformats.org/officeDocument/2006/relationships/hyperlink" Target="http://sovdoc.rusarchives.ru/" TargetMode="External"/><Relationship Id="rId127" Type="http://schemas.openxmlformats.org/officeDocument/2006/relationships/hyperlink" Target="http://sovdoc.rusarchives.ru/" TargetMode="External"/><Relationship Id="rId313" Type="http://schemas.openxmlformats.org/officeDocument/2006/relationships/hyperlink" Target="http://sovdoc.rusarchives.ru/" TargetMode="External"/><Relationship Id="rId10" Type="http://schemas.openxmlformats.org/officeDocument/2006/relationships/hyperlink" Target="http://detectivebooks.ru/book/47013018/?page=47" TargetMode="External"/><Relationship Id="rId31" Type="http://schemas.openxmlformats.org/officeDocument/2006/relationships/hyperlink" Target="https://ru.wikipedia.org/wiki/%D0%93%D0%B8%D1%82%D0%BB%D0%B5%D1%80,_%D0%90%D0%B4%D0%BE%D0%BB%D1%8C%D1%84" TargetMode="External"/><Relationship Id="rId52" Type="http://schemas.openxmlformats.org/officeDocument/2006/relationships/hyperlink" Target="http://detectivebooks.ru/book/47013018/?page=36" TargetMode="External"/><Relationship Id="rId73" Type="http://schemas.openxmlformats.org/officeDocument/2006/relationships/hyperlink" Target="https://ru.wikipedia.org/wiki/%D0%92%D0%B0%D0%BD_%D0%B4%D0%B5%D1%80_%D0%9B%D1%8E%D0%B1%D0%B1%D0%B5,_%D0%9C%D0%B0%D1%80%D0%B8%D0%BD%D1%83%D1%81" TargetMode="External"/><Relationship Id="rId94" Type="http://schemas.openxmlformats.org/officeDocument/2006/relationships/hyperlink" Target="https://ru.wikipedia.org/wiki/5_%D0%BC%D0%B0%D1%80%D1%82%D0%B0" TargetMode="External"/><Relationship Id="rId148" Type="http://schemas.openxmlformats.org/officeDocument/2006/relationships/hyperlink" Target="http://ru.wikipedia.org/wiki/%D0%94%D0%B5%D1%88%D0%B8%D0%BC%D0%B0%D0%B3" TargetMode="External"/><Relationship Id="rId169" Type="http://schemas.openxmlformats.org/officeDocument/2006/relationships/hyperlink" Target="http://www.airwar.ru/enc/fww1/v80.html" TargetMode="External"/><Relationship Id="rId334" Type="http://schemas.openxmlformats.org/officeDocument/2006/relationships/hyperlink" Target="http://sovdoc.rusarchives.ru/" TargetMode="External"/><Relationship Id="rId355" Type="http://schemas.openxmlformats.org/officeDocument/2006/relationships/hyperlink" Target="http://www.rpg-club.com/x1000" TargetMode="External"/><Relationship Id="rId376" Type="http://schemas.openxmlformats.org/officeDocument/2006/relationships/hyperlink" Target="http://sovdoc.rusarchives.ru/" TargetMode="External"/><Relationship Id="rId397" Type="http://schemas.openxmlformats.org/officeDocument/2006/relationships/hyperlink" Target="http://sovdoc.rusarchives.ru/" TargetMode="External"/><Relationship Id="rId4" Type="http://schemas.openxmlformats.org/officeDocument/2006/relationships/webSettings" Target="webSettings.xml"/><Relationship Id="rId180" Type="http://schemas.openxmlformats.org/officeDocument/2006/relationships/hyperlink" Target="http://www.rpg-club.com/x1000" TargetMode="External"/><Relationship Id="rId215" Type="http://schemas.openxmlformats.org/officeDocument/2006/relationships/hyperlink" Target="http://www.opentextnn.ru/censorship/russia/sov/law/tsk/1930/&amp;DTh_Code=64" TargetMode="External"/><Relationship Id="rId236" Type="http://schemas.openxmlformats.org/officeDocument/2006/relationships/hyperlink" Target="http://www.rpg-club.com/x1000" TargetMode="External"/><Relationship Id="rId257" Type="http://schemas.openxmlformats.org/officeDocument/2006/relationships/hyperlink" Target="http://detectivebooks.ru/book/47013018/?page=23" TargetMode="External"/><Relationship Id="rId278" Type="http://schemas.openxmlformats.org/officeDocument/2006/relationships/hyperlink" Target="http://warspot.ru/4365-shvedskie-tanki-otto-merkera" TargetMode="External"/><Relationship Id="rId401" Type="http://schemas.openxmlformats.org/officeDocument/2006/relationships/hyperlink" Target="http://sovdoc.rusarchives.ru/" TargetMode="External"/><Relationship Id="rId422" Type="http://schemas.openxmlformats.org/officeDocument/2006/relationships/hyperlink" Target="http://www.rpg-club.com/x1000" TargetMode="External"/><Relationship Id="rId303" Type="http://schemas.openxmlformats.org/officeDocument/2006/relationships/hyperlink" Target="http://sovdoc.rusarchives.ru/" TargetMode="External"/><Relationship Id="rId42" Type="http://schemas.openxmlformats.org/officeDocument/2006/relationships/hyperlink" Target="http://www.rpg-club.com/x1000" TargetMode="External"/><Relationship Id="rId84" Type="http://schemas.openxmlformats.org/officeDocument/2006/relationships/hyperlink" Target="http://detectivebooks.ru/book/47013018/?page=26" TargetMode="External"/><Relationship Id="rId138" Type="http://schemas.openxmlformats.org/officeDocument/2006/relationships/hyperlink" Target="http://istmat.info/node/58875" TargetMode="External"/><Relationship Id="rId345" Type="http://schemas.openxmlformats.org/officeDocument/2006/relationships/hyperlink" Target="http://sovdoc.rusarchives.ru/" TargetMode="External"/><Relationship Id="rId387" Type="http://schemas.openxmlformats.org/officeDocument/2006/relationships/hyperlink" Target="http://ru.wikipedia.org/wiki/%D0%9F%D0%BE%D0%B4%D0%B2%D0%BE%D0%B4%D0%BD%D1%8B%D0%B5_%D0%BB%D0%BE%D0%B4%D0%BA%D0%B8_%D1%82%D0%B8%D0%BF%D0%B0_%C2%AB%D0%A9%D1%83%D0%BA%D0%B0%C2%BB" TargetMode="External"/><Relationship Id="rId191" Type="http://schemas.openxmlformats.org/officeDocument/2006/relationships/hyperlink" Target="http://sovdoc.rusarchives.ru/" TargetMode="External"/><Relationship Id="rId205" Type="http://schemas.openxmlformats.org/officeDocument/2006/relationships/hyperlink" Target="http://sovdoc.rusarchives.ru/" TargetMode="External"/><Relationship Id="rId247" Type="http://schemas.openxmlformats.org/officeDocument/2006/relationships/hyperlink" Target="http://detectivebooks.ru/book/47013018/?page=26" TargetMode="External"/><Relationship Id="rId412" Type="http://schemas.openxmlformats.org/officeDocument/2006/relationships/hyperlink" Target="http://www.rpg-club.com/x1000" TargetMode="External"/><Relationship Id="rId107" Type="http://schemas.openxmlformats.org/officeDocument/2006/relationships/hyperlink" Target="http://sovdoc.rusarchives.ru/" TargetMode="External"/><Relationship Id="rId289" Type="http://schemas.openxmlformats.org/officeDocument/2006/relationships/hyperlink" Target="http://www.airwar.ru/enc/bww2/tb3.html" TargetMode="External"/><Relationship Id="rId11" Type="http://schemas.openxmlformats.org/officeDocument/2006/relationships/hyperlink" Target="http://detectivebooks.ru/book/47013018/?page=47" TargetMode="External"/><Relationship Id="rId53" Type="http://schemas.openxmlformats.org/officeDocument/2006/relationships/hyperlink" Target="http://detectivebooks.ru/book/47013018/?page=36" TargetMode="External"/><Relationship Id="rId149" Type="http://schemas.openxmlformats.org/officeDocument/2006/relationships/hyperlink" Target="http://ru.wikipedia.org/wiki/12_%D0%B0%D0%B2%D0%B3%D1%83%D1%81%D1%82%D0%B0" TargetMode="External"/><Relationship Id="rId314" Type="http://schemas.openxmlformats.org/officeDocument/2006/relationships/hyperlink" Target="http://sovdoc.rusarchives.ru/" TargetMode="External"/><Relationship Id="rId356" Type="http://schemas.openxmlformats.org/officeDocument/2006/relationships/hyperlink" Target="http://sovdoc.rusarchives.ru/" TargetMode="External"/><Relationship Id="rId398" Type="http://schemas.openxmlformats.org/officeDocument/2006/relationships/hyperlink" Target="http://sovdoc.rusarchives.ru/" TargetMode="External"/><Relationship Id="rId95" Type="http://schemas.openxmlformats.org/officeDocument/2006/relationships/hyperlink" Target="https://ru.wikipedia.org/wiki/1933_%D0%B3%D0%BE%D0%B4" TargetMode="External"/><Relationship Id="rId160" Type="http://schemas.openxmlformats.org/officeDocument/2006/relationships/hyperlink" Target="http://sovdoc.rusarchives.ru/" TargetMode="External"/><Relationship Id="rId216" Type="http://schemas.openxmlformats.org/officeDocument/2006/relationships/hyperlink" Target="http://www.opentextnn.ru/censorship/russia/sov/law/tsk/1930/&amp;DTh_Code=64" TargetMode="External"/><Relationship Id="rId423" Type="http://schemas.openxmlformats.org/officeDocument/2006/relationships/hyperlink" Target="http://www.rpg-club.com/x1000" TargetMode="External"/><Relationship Id="rId258" Type="http://schemas.openxmlformats.org/officeDocument/2006/relationships/hyperlink" Target="http://www.airwar.ru/enc/bww1/tsr1.html" TargetMode="External"/><Relationship Id="rId22" Type="http://schemas.openxmlformats.org/officeDocument/2006/relationships/hyperlink" Target="http://sovdoc.rusarchives.ru/" TargetMode="External"/><Relationship Id="rId64" Type="http://schemas.openxmlformats.org/officeDocument/2006/relationships/hyperlink" Target="http://sovdoc.rusarchives.ru/" TargetMode="External"/><Relationship Id="rId118" Type="http://schemas.openxmlformats.org/officeDocument/2006/relationships/hyperlink" Target="http://sovdoc.rusarchives.ru/" TargetMode="External"/><Relationship Id="rId325" Type="http://schemas.openxmlformats.org/officeDocument/2006/relationships/hyperlink" Target="http://sovdoc.rusarchives.ru/" TargetMode="External"/><Relationship Id="rId367" Type="http://schemas.openxmlformats.org/officeDocument/2006/relationships/hyperlink" Target="http://sovdoc.rusarchives.ru/" TargetMode="External"/><Relationship Id="rId171" Type="http://schemas.openxmlformats.org/officeDocument/2006/relationships/hyperlink" Target="http://airspot.ru/catalogue/item/suhoy-i-14" TargetMode="External"/><Relationship Id="rId227" Type="http://schemas.openxmlformats.org/officeDocument/2006/relationships/hyperlink" Target="http://detectivebooks.ru/book/47013018/?page=12" TargetMode="External"/><Relationship Id="rId269" Type="http://schemas.openxmlformats.org/officeDocument/2006/relationships/hyperlink" Target="http://www.e-reading.club/chapter.php/1005087/40/Gorlov_Sergey_-_Sovershenno_sekretno__Alyans_Moskva_-_Berlin_1920-1933_gg..html" TargetMode="External"/><Relationship Id="rId434" Type="http://schemas.openxmlformats.org/officeDocument/2006/relationships/hyperlink" Target="http://www.rpg-club.com/x1000" TargetMode="External"/><Relationship Id="rId33" Type="http://schemas.openxmlformats.org/officeDocument/2006/relationships/hyperlink" Target="https://ru.wikipedia.org/wiki/%D0%9F%D0%BE%D0%B4%D0%B6%D0%BE%D0%B3_%D0%A0%D0%B5%D0%B9%D1%85%D1%81%D1%82%D0%B0%D0%B3%D0%B0" TargetMode="External"/><Relationship Id="rId129" Type="http://schemas.openxmlformats.org/officeDocument/2006/relationships/hyperlink" Target="http://sovdoc.rusarchives.ru/" TargetMode="External"/><Relationship Id="rId280" Type="http://schemas.openxmlformats.org/officeDocument/2006/relationships/hyperlink" Target="http://sovdoc.rusarchives.ru/" TargetMode="External"/><Relationship Id="rId336" Type="http://schemas.openxmlformats.org/officeDocument/2006/relationships/hyperlink" Target="http://detectivebooks.ru/book/47013018/?page=17" TargetMode="External"/><Relationship Id="rId75" Type="http://schemas.openxmlformats.org/officeDocument/2006/relationships/hyperlink" Target="https://ru.wikipedia.org/wiki/%D0%94%D0%B8%D0%BC%D0%B8%D1%82%D1%80%D0%BE%D0%B2,_%D0%93%D0%B5%D0%BE%D1%80%D0%B3%D0%B8%D0%B9_%D0%9C%D0%B8%D1%85%D0%B0%D0%B9%D0%BB%D0%BE%D0%B2%D0%B8%D1%87" TargetMode="External"/><Relationship Id="rId140" Type="http://schemas.openxmlformats.org/officeDocument/2006/relationships/hyperlink" Target="http://warspot.ru/6355-alternativa-bez-perspektiv" TargetMode="External"/><Relationship Id="rId182" Type="http://schemas.openxmlformats.org/officeDocument/2006/relationships/hyperlink" Target="http://www.rpg-club.com/x1000" TargetMode="External"/><Relationship Id="rId378" Type="http://schemas.openxmlformats.org/officeDocument/2006/relationships/hyperlink" Target="http://sovdoc.rusarchives.ru/" TargetMode="External"/><Relationship Id="rId403" Type="http://schemas.openxmlformats.org/officeDocument/2006/relationships/hyperlink" Target="http://sovdoc.rusarchives.ru/" TargetMode="External"/><Relationship Id="rId6" Type="http://schemas.openxmlformats.org/officeDocument/2006/relationships/hyperlink" Target="http://detectivebooks.ru/book/47013018/?page=14" TargetMode="External"/><Relationship Id="rId238" Type="http://schemas.openxmlformats.org/officeDocument/2006/relationships/hyperlink" Target="http://www.rpg-club.com/x1000" TargetMode="External"/><Relationship Id="rId291" Type="http://schemas.openxmlformats.org/officeDocument/2006/relationships/hyperlink" Target="http://ru.wikipedia.org/wiki/1933_%D0%B3%D0%BE%D0%B4" TargetMode="External"/><Relationship Id="rId305" Type="http://schemas.openxmlformats.org/officeDocument/2006/relationships/hyperlink" Target="http://detectivebooks.ru/book/47013018/?page=23" TargetMode="External"/><Relationship Id="rId347" Type="http://schemas.openxmlformats.org/officeDocument/2006/relationships/hyperlink" Target="http://istmat.info/node/59222" TargetMode="External"/><Relationship Id="rId44" Type="http://schemas.openxmlformats.org/officeDocument/2006/relationships/hyperlink" Target="http://www.rpg-club.com/x1000" TargetMode="External"/><Relationship Id="rId86" Type="http://schemas.openxmlformats.org/officeDocument/2006/relationships/hyperlink" Target="http://detectivebooks.ru/book/47013018/?page=31" TargetMode="External"/><Relationship Id="rId151" Type="http://schemas.openxmlformats.org/officeDocument/2006/relationships/hyperlink" Target="http://airspot.ru/catalogue/item/dornier-do-15-wal" TargetMode="External"/><Relationship Id="rId389" Type="http://schemas.openxmlformats.org/officeDocument/2006/relationships/hyperlink" Target="http://ru.wikipedia.org/wiki/%D0%91%D0%B0%D0%BB%D1%82%D0%B8%D0%B9%D1%81%D0%BA%D0%B8%D0%B9_%D0%B7%D0%B0%D0%B2%D0%BE%D0%B4" TargetMode="External"/><Relationship Id="rId193" Type="http://schemas.openxmlformats.org/officeDocument/2006/relationships/hyperlink" Target="http://sovdoc.rusarchives.ru/" TargetMode="External"/><Relationship Id="rId207" Type="http://schemas.openxmlformats.org/officeDocument/2006/relationships/hyperlink" Target="http://sovdoc.rusarchives.ru/" TargetMode="External"/><Relationship Id="rId249" Type="http://schemas.openxmlformats.org/officeDocument/2006/relationships/hyperlink" Target="http://sovdoc.rusarchives.ru/" TargetMode="External"/><Relationship Id="rId414" Type="http://schemas.openxmlformats.org/officeDocument/2006/relationships/hyperlink" Target="http://www.rpg-club.com/x1000" TargetMode="External"/><Relationship Id="rId13" Type="http://schemas.openxmlformats.org/officeDocument/2006/relationships/hyperlink" Target="https://www.marxists.org/russkij/stalin/t13/footnotes.htm" TargetMode="External"/><Relationship Id="rId109" Type="http://schemas.openxmlformats.org/officeDocument/2006/relationships/hyperlink" Target="http://sovdoc.rusarchives.ru/" TargetMode="External"/><Relationship Id="rId260" Type="http://schemas.openxmlformats.org/officeDocument/2006/relationships/hyperlink" Target="http://istmat.info/node/48304" TargetMode="External"/><Relationship Id="rId316" Type="http://schemas.openxmlformats.org/officeDocument/2006/relationships/hyperlink" Target="http://sovdoc.rusarchives.ru/" TargetMode="External"/><Relationship Id="rId55" Type="http://schemas.openxmlformats.org/officeDocument/2006/relationships/hyperlink" Target="http://alternathistory.com/files/users/user4907/ispitano_v_sssr_2E-03.JPG" TargetMode="External"/><Relationship Id="rId97" Type="http://schemas.openxmlformats.org/officeDocument/2006/relationships/hyperlink" Target="http://sovdoc.rusarchives.ru/" TargetMode="External"/><Relationship Id="rId120" Type="http://schemas.openxmlformats.org/officeDocument/2006/relationships/hyperlink" Target="http://sovdoc.rusarchives.ru/" TargetMode="External"/><Relationship Id="rId358" Type="http://schemas.openxmlformats.org/officeDocument/2006/relationships/hyperlink" Target="http://sovdoc.rusarchives.ru/" TargetMode="External"/><Relationship Id="rId162" Type="http://schemas.openxmlformats.org/officeDocument/2006/relationships/hyperlink" Target="http://sovdoc.rusarchives.ru/" TargetMode="External"/><Relationship Id="rId218" Type="http://schemas.openxmlformats.org/officeDocument/2006/relationships/hyperlink" Target="http://www.opentextnn.ru/censorship/russia/sov/law/tsk/1930/&amp;DTh_Code=64" TargetMode="External"/><Relationship Id="rId425" Type="http://schemas.openxmlformats.org/officeDocument/2006/relationships/hyperlink" Target="http://detectivebooks.ru/book/47013018/?page=37" TargetMode="External"/><Relationship Id="rId271" Type="http://schemas.openxmlformats.org/officeDocument/2006/relationships/hyperlink" Target="http://www.airwar.ru/enc/other1/r34.html" TargetMode="External"/><Relationship Id="rId24" Type="http://schemas.openxmlformats.org/officeDocument/2006/relationships/hyperlink" Target="http://www.airwar.ru/enc/bww2/b10.html" TargetMode="External"/><Relationship Id="rId66" Type="http://schemas.openxmlformats.org/officeDocument/2006/relationships/hyperlink" Target="https://t34inform.ru/photo/4-02-012.jpg" TargetMode="External"/><Relationship Id="rId131" Type="http://schemas.openxmlformats.org/officeDocument/2006/relationships/hyperlink" Target="http://sovdoc.rusarchives.ru/" TargetMode="External"/><Relationship Id="rId327" Type="http://schemas.openxmlformats.org/officeDocument/2006/relationships/hyperlink" Target="http://sovdoc.rusarchives.ru/" TargetMode="External"/><Relationship Id="rId369" Type="http://schemas.openxmlformats.org/officeDocument/2006/relationships/hyperlink" Target="http://sovdoc.rusarchives.ru/" TargetMode="External"/><Relationship Id="rId173" Type="http://schemas.openxmlformats.org/officeDocument/2006/relationships/hyperlink" Target="http://www.airwar.ru/enc/fww1/f11c.html" TargetMode="External"/><Relationship Id="rId229" Type="http://schemas.openxmlformats.org/officeDocument/2006/relationships/hyperlink" Target="http://detectivebooks.ru/book/47013018/?page=26" TargetMode="External"/><Relationship Id="rId380" Type="http://schemas.openxmlformats.org/officeDocument/2006/relationships/hyperlink" Target="http://ru.wikipedia.org/wiki/1935_%D0%B3%D0%BE%D0%B4" TargetMode="External"/><Relationship Id="rId436" Type="http://schemas.openxmlformats.org/officeDocument/2006/relationships/hyperlink" Target="http://www.rpg-club.com/x1000" TargetMode="External"/><Relationship Id="rId240" Type="http://schemas.openxmlformats.org/officeDocument/2006/relationships/hyperlink" Target="http://www.rpg-club.com/x1000" TargetMode="External"/><Relationship Id="rId35" Type="http://schemas.openxmlformats.org/officeDocument/2006/relationships/hyperlink" Target="https://ru.wikipedia.org/wiki/%D0%A2%D0%BE%D1%80%D0%B3%D0%BB%D0%B5%D1%80,_%D0%AD%D1%80%D0%BD%D1%81%D1%82" TargetMode="External"/><Relationship Id="rId77" Type="http://schemas.openxmlformats.org/officeDocument/2006/relationships/hyperlink" Target="https://ru.wikipedia.org/wiki/%D0%9F%D0%BE%D0%BF%D0%BE%D0%B2,_%D0%91%D0%BB%D0%B0%D0%B3%D0%BE%D0%B9" TargetMode="External"/><Relationship Id="rId100" Type="http://schemas.openxmlformats.org/officeDocument/2006/relationships/hyperlink" Target="http://sovdoc.rusarchives.ru/" TargetMode="External"/><Relationship Id="rId282" Type="http://schemas.openxmlformats.org/officeDocument/2006/relationships/hyperlink" Target="http://sovdoc.rusarchives.ru/" TargetMode="External"/><Relationship Id="rId338" Type="http://schemas.openxmlformats.org/officeDocument/2006/relationships/hyperlink" Target="http://sovdoc.rusarchives.ru/" TargetMode="External"/><Relationship Id="rId8" Type="http://schemas.openxmlformats.org/officeDocument/2006/relationships/hyperlink" Target="http://detectivebooks.ru/book/47013018/?page=47" TargetMode="External"/><Relationship Id="rId142" Type="http://schemas.openxmlformats.org/officeDocument/2006/relationships/hyperlink" Target="http://ru.wikipedia.org/wiki/1933_%D0%B3%D0%BE%D0%B4" TargetMode="External"/><Relationship Id="rId184" Type="http://schemas.openxmlformats.org/officeDocument/2006/relationships/hyperlink" Target="http://www.rpg-club.com/x1000" TargetMode="External"/><Relationship Id="rId391" Type="http://schemas.openxmlformats.org/officeDocument/2006/relationships/hyperlink" Target="http://detectivebooks.ru/book/47013018/?page=40" TargetMode="External"/><Relationship Id="rId405" Type="http://schemas.openxmlformats.org/officeDocument/2006/relationships/hyperlink" Target="http://sovdoc.rusarchives.ru/" TargetMode="External"/><Relationship Id="rId251" Type="http://schemas.openxmlformats.org/officeDocument/2006/relationships/hyperlink" Target="http://www.airwar.ru/enc/cw1/aw15.html" TargetMode="External"/><Relationship Id="rId46" Type="http://schemas.openxmlformats.org/officeDocument/2006/relationships/hyperlink" Target="http://www.rpg-club.com/x1000" TargetMode="External"/><Relationship Id="rId293" Type="http://schemas.openxmlformats.org/officeDocument/2006/relationships/hyperlink" Target="http://ru.wikipedia.org/wiki/%D0%94%D0%B5%D1%88%D0%B8%D0%BC%D0%B0%D0%B3" TargetMode="External"/><Relationship Id="rId307" Type="http://schemas.openxmlformats.org/officeDocument/2006/relationships/hyperlink" Target="http://www.airwar.ru/enc/cw1/s16.html" TargetMode="External"/><Relationship Id="rId349" Type="http://schemas.openxmlformats.org/officeDocument/2006/relationships/hyperlink" Target="http://detectivebooks.ru/book/47013018/?page=18" TargetMode="External"/><Relationship Id="rId88" Type="http://schemas.openxmlformats.org/officeDocument/2006/relationships/hyperlink" Target="http://sovdoc.rusarchives.ru/" TargetMode="External"/><Relationship Id="rId111" Type="http://schemas.openxmlformats.org/officeDocument/2006/relationships/hyperlink" Target="http://istmat.info/node/48269" TargetMode="External"/><Relationship Id="rId153" Type="http://schemas.openxmlformats.org/officeDocument/2006/relationships/hyperlink" Target="http://www.airwar.ru/enc/spyww2/lublinr13.html" TargetMode="External"/><Relationship Id="rId195" Type="http://schemas.openxmlformats.org/officeDocument/2006/relationships/hyperlink" Target="http://sovdoc.rusarchives.ru/" TargetMode="External"/><Relationship Id="rId209" Type="http://schemas.openxmlformats.org/officeDocument/2006/relationships/hyperlink" Target="http://sovdoc.rusarchives.ru/" TargetMode="External"/><Relationship Id="rId360" Type="http://schemas.openxmlformats.org/officeDocument/2006/relationships/hyperlink" Target="http://sovdoc.rusarchives.ru/" TargetMode="External"/><Relationship Id="rId416" Type="http://schemas.openxmlformats.org/officeDocument/2006/relationships/hyperlink" Target="http://www.rpg-club.com/x1000" TargetMode="External"/><Relationship Id="rId220" Type="http://schemas.openxmlformats.org/officeDocument/2006/relationships/hyperlink" Target="http://www.airwar.ru/enc/sww2/soc.html" TargetMode="External"/><Relationship Id="rId15" Type="http://schemas.openxmlformats.org/officeDocument/2006/relationships/hyperlink" Target="http://www.rpg-club.com/x1000" TargetMode="External"/><Relationship Id="rId57" Type="http://schemas.openxmlformats.org/officeDocument/2006/relationships/hyperlink" Target="http://sovdoc.rusarchives.ru/" TargetMode="External"/><Relationship Id="rId262" Type="http://schemas.openxmlformats.org/officeDocument/2006/relationships/hyperlink" Target="http://sovdoc.rusarchives.ru/" TargetMode="External"/><Relationship Id="rId318" Type="http://schemas.openxmlformats.org/officeDocument/2006/relationships/hyperlink" Target="http://istmat.info/node/37387" TargetMode="External"/><Relationship Id="rId99" Type="http://schemas.openxmlformats.org/officeDocument/2006/relationships/hyperlink" Target="http://sovdoc.rusarchives.ru/" TargetMode="External"/><Relationship Id="rId122" Type="http://schemas.openxmlformats.org/officeDocument/2006/relationships/hyperlink" Target="http://sovdoc.rusarchives.ru/" TargetMode="External"/><Relationship Id="rId164" Type="http://schemas.openxmlformats.org/officeDocument/2006/relationships/hyperlink" Target="http://sovdoc.rusarchives.ru/" TargetMode="External"/><Relationship Id="rId371" Type="http://schemas.openxmlformats.org/officeDocument/2006/relationships/hyperlink" Target="http://sovdoc.rusarchives.ru/" TargetMode="External"/><Relationship Id="rId427" Type="http://schemas.openxmlformats.org/officeDocument/2006/relationships/hyperlink" Target="https://warspot.ru/16472-glavnyy-konstruktor-30-h" TargetMode="External"/><Relationship Id="rId26" Type="http://schemas.openxmlformats.org/officeDocument/2006/relationships/hyperlink" Target="http://istmat.info/node/35611" TargetMode="External"/><Relationship Id="rId231" Type="http://schemas.openxmlformats.org/officeDocument/2006/relationships/hyperlink" Target="http://www.rpg-club.com/x1000" TargetMode="External"/><Relationship Id="rId273" Type="http://schemas.openxmlformats.org/officeDocument/2006/relationships/hyperlink" Target="http://www.airwar.ru/enc/xplane/stal6.html" TargetMode="External"/><Relationship Id="rId329" Type="http://schemas.openxmlformats.org/officeDocument/2006/relationships/hyperlink" Target="http://sovdoc.rusarchives.ru/" TargetMode="External"/><Relationship Id="rId68" Type="http://schemas.openxmlformats.org/officeDocument/2006/relationships/hyperlink" Target="http://airspot.ru/catalogue/item/hawker-hector" TargetMode="External"/><Relationship Id="rId133" Type="http://schemas.openxmlformats.org/officeDocument/2006/relationships/hyperlink" Target="http://sovdoc.rusarchives.ru/" TargetMode="External"/><Relationship Id="rId175" Type="http://schemas.openxmlformats.org/officeDocument/2006/relationships/hyperlink" Target="http://www.airwar.ru/enc/law1/fiatg5.html" TargetMode="External"/><Relationship Id="rId340" Type="http://schemas.openxmlformats.org/officeDocument/2006/relationships/hyperlink" Target="http://sovdoc.rusarchives.ru/" TargetMode="External"/><Relationship Id="rId200" Type="http://schemas.openxmlformats.org/officeDocument/2006/relationships/hyperlink" Target="http://www.rpg-club.com/x1000" TargetMode="External"/><Relationship Id="rId382" Type="http://schemas.openxmlformats.org/officeDocument/2006/relationships/hyperlink" Target="http://ru.wikipedia.org/wiki/1937_%D0%B3%D0%BE%D0%B4" TargetMode="External"/><Relationship Id="rId438" Type="http://schemas.openxmlformats.org/officeDocument/2006/relationships/hyperlink" Target="http://detectivebooks.ru/book/47013018/?page=57" TargetMode="External"/><Relationship Id="rId242" Type="http://schemas.openxmlformats.org/officeDocument/2006/relationships/hyperlink" Target="http://www.rpg-club.com/x1000" TargetMode="External"/><Relationship Id="rId284" Type="http://schemas.openxmlformats.org/officeDocument/2006/relationships/hyperlink" Target="http://detectivebooks.ru/book/47013018/?page=14" TargetMode="External"/><Relationship Id="rId37" Type="http://schemas.openxmlformats.org/officeDocument/2006/relationships/hyperlink" Target="https://ru.wikipedia.org/wiki/%D0%A2%D0%B0%D0%BD%D0%B5%D0%B2,_%D0%92%D0%B0%D1%81%D0%B8%D0%BB" TargetMode="External"/><Relationship Id="rId79" Type="http://schemas.openxmlformats.org/officeDocument/2006/relationships/hyperlink" Target="https://ru.wikipedia.org/wiki/5_%D0%BC%D0%B0%D1%80%D1%82%D0%B0" TargetMode="External"/><Relationship Id="rId102" Type="http://schemas.openxmlformats.org/officeDocument/2006/relationships/hyperlink" Target="http://www.zateevo.ru/?section=page&amp;action=edit&amp;alias=dirizchabl" TargetMode="External"/><Relationship Id="rId144" Type="http://schemas.openxmlformats.org/officeDocument/2006/relationships/hyperlink" Target="http://ru.wikipedia.org/wiki/%D0%94%D0%B5%D1%88%D0%B8%D0%BC%D0%B0%D0%B3" TargetMode="External"/><Relationship Id="rId90" Type="http://schemas.openxmlformats.org/officeDocument/2006/relationships/hyperlink" Target="http://sovdoc.rusarchives.ru/" TargetMode="External"/><Relationship Id="rId186" Type="http://schemas.openxmlformats.org/officeDocument/2006/relationships/hyperlink" Target="http://sovdoc.rusarchives.ru/" TargetMode="External"/><Relationship Id="rId351" Type="http://schemas.openxmlformats.org/officeDocument/2006/relationships/hyperlink" Target="http://www.rpg-club.com/x1000" TargetMode="External"/><Relationship Id="rId393" Type="http://schemas.openxmlformats.org/officeDocument/2006/relationships/hyperlink" Target="http://sovdoc.rusarchives.ru/" TargetMode="External"/><Relationship Id="rId407" Type="http://schemas.openxmlformats.org/officeDocument/2006/relationships/hyperlink" Target="http://sovdoc.rusarchives.ru/" TargetMode="External"/><Relationship Id="rId211" Type="http://schemas.openxmlformats.org/officeDocument/2006/relationships/hyperlink" Target="http://sovdoc.rusarchives.ru/" TargetMode="External"/><Relationship Id="rId253" Type="http://schemas.openxmlformats.org/officeDocument/2006/relationships/hyperlink" Target="http://detectivebooks.ru/book/47013018/?page=12" TargetMode="External"/><Relationship Id="rId295" Type="http://schemas.openxmlformats.org/officeDocument/2006/relationships/hyperlink" Target="https://t34inform.ru/doc/1933-08-13_71_STO.html" TargetMode="External"/><Relationship Id="rId309" Type="http://schemas.openxmlformats.org/officeDocument/2006/relationships/hyperlink" Target="http://www.airwar.ru/enc/sww2/shark.html" TargetMode="External"/><Relationship Id="rId48" Type="http://schemas.openxmlformats.org/officeDocument/2006/relationships/hyperlink" Target="http://www.rpg-club.com/x1000" TargetMode="External"/><Relationship Id="rId113" Type="http://schemas.openxmlformats.org/officeDocument/2006/relationships/hyperlink" Target="http://airspot.ru/catalogue/item/curtiss-t-32-condor-ii" TargetMode="External"/><Relationship Id="rId320" Type="http://schemas.openxmlformats.org/officeDocument/2006/relationships/hyperlink" Target="http://detectivebooks.ru/book/47013018/?page=12" TargetMode="External"/><Relationship Id="rId155" Type="http://schemas.openxmlformats.org/officeDocument/2006/relationships/hyperlink" Target="http://www.e-reading.club/chapter.php/1005087/40/Gorlov_Sergey_-_Sovershenno_sekretno__Alyans_Moskva_-_Berlin_1920-1933_gg..html" TargetMode="External"/><Relationship Id="rId197" Type="http://schemas.openxmlformats.org/officeDocument/2006/relationships/hyperlink" Target="http://sovdoc.rusarchives.ru/" TargetMode="External"/><Relationship Id="rId362" Type="http://schemas.openxmlformats.org/officeDocument/2006/relationships/hyperlink" Target="http://sovdoc.rusarchives.ru/" TargetMode="External"/><Relationship Id="rId418" Type="http://schemas.openxmlformats.org/officeDocument/2006/relationships/hyperlink" Target="http://www.rpg-club.com/x1000" TargetMode="External"/><Relationship Id="rId222" Type="http://schemas.openxmlformats.org/officeDocument/2006/relationships/hyperlink" Target="http://www.airwar.ru/enc/cw1/k5.html" TargetMode="External"/><Relationship Id="rId264" Type="http://schemas.openxmlformats.org/officeDocument/2006/relationships/hyperlink" Target="http://sovdoc.rusarchives.ru/" TargetMode="External"/><Relationship Id="rId17" Type="http://schemas.openxmlformats.org/officeDocument/2006/relationships/hyperlink" Target="http://sovdoc.rusarchives.ru/" TargetMode="External"/><Relationship Id="rId59" Type="http://schemas.openxmlformats.org/officeDocument/2006/relationships/hyperlink" Target="http://www.airwar.ru/enc/sww2/e7k.html" TargetMode="External"/><Relationship Id="rId124" Type="http://schemas.openxmlformats.org/officeDocument/2006/relationships/hyperlink" Target="http://istmat.info/node/50314" TargetMode="External"/><Relationship Id="rId70" Type="http://schemas.openxmlformats.org/officeDocument/2006/relationships/hyperlink" Target="http://istmat.info/node/35660" TargetMode="External"/><Relationship Id="rId166" Type="http://schemas.openxmlformats.org/officeDocument/2006/relationships/hyperlink" Target="http://sovdoc.rusarchives.ru/" TargetMode="External"/><Relationship Id="rId331" Type="http://schemas.openxmlformats.org/officeDocument/2006/relationships/hyperlink" Target="http://sovdoc.rusarchives.ru/" TargetMode="External"/><Relationship Id="rId373" Type="http://schemas.openxmlformats.org/officeDocument/2006/relationships/hyperlink" Target="http://sovdoc.rusarchives.ru/" TargetMode="External"/><Relationship Id="rId429" Type="http://schemas.openxmlformats.org/officeDocument/2006/relationships/hyperlink" Target="http://www.rpg-club.com/x1000" TargetMode="External"/><Relationship Id="rId1" Type="http://schemas.openxmlformats.org/officeDocument/2006/relationships/numbering" Target="numbering.xml"/><Relationship Id="rId233" Type="http://schemas.openxmlformats.org/officeDocument/2006/relationships/hyperlink" Target="http://www.rpg-club.com/x1000" TargetMode="External"/><Relationship Id="rId440" Type="http://schemas.openxmlformats.org/officeDocument/2006/relationships/theme" Target="theme/theme1.xml"/><Relationship Id="rId28" Type="http://schemas.openxmlformats.org/officeDocument/2006/relationships/hyperlink" Target="https://ru.wikipedia.org/wiki/30_%D1%8F%D0%BD%D0%B2%D0%B0%D1%80%D1%8F" TargetMode="External"/><Relationship Id="rId275" Type="http://schemas.openxmlformats.org/officeDocument/2006/relationships/hyperlink" Target="http://acv179672006.narod.ru/history2-2.htm" TargetMode="External"/><Relationship Id="rId300" Type="http://schemas.openxmlformats.org/officeDocument/2006/relationships/hyperlink" Target="http://sovdoc.rusarchives.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2043</TotalTime>
  <Pages>930</Pages>
  <Words>1071394</Words>
  <Characters>6106950</Characters>
  <Application>Microsoft Office Word</Application>
  <DocSecurity>0</DocSecurity>
  <Lines>50891</Lines>
  <Paragraphs>14328</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7164016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Ivan</dc:creator>
  <cp:lastModifiedBy>Иван Родионов</cp:lastModifiedBy>
  <cp:revision>470</cp:revision>
  <dcterms:created xsi:type="dcterms:W3CDTF">2022-04-08T17:22:00Z</dcterms:created>
  <dcterms:modified xsi:type="dcterms:W3CDTF">2026-07-09T13:41:00Z</dcterms:modified>
</cp:coreProperties>
</file>